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9093" w14:textId="77777777" w:rsidR="00473949" w:rsidRPr="00FD211F" w:rsidRDefault="00473949" w:rsidP="009C58C8">
      <w:pPr>
        <w:ind w:left="0" w:firstLine="227"/>
        <w:jc w:val="both"/>
        <w:rPr>
          <w:sz w:val="36"/>
          <w:szCs w:val="36"/>
          <w:rtl/>
        </w:rPr>
      </w:pPr>
    </w:p>
    <w:p w14:paraId="38A90915" w14:textId="77777777" w:rsidR="00113802" w:rsidRPr="00FD211F" w:rsidRDefault="00113802" w:rsidP="009C58C8">
      <w:pPr>
        <w:ind w:left="0" w:firstLine="227"/>
        <w:jc w:val="both"/>
        <w:rPr>
          <w:sz w:val="36"/>
          <w:szCs w:val="36"/>
          <w:rtl/>
        </w:rPr>
      </w:pPr>
    </w:p>
    <w:p w14:paraId="47CE2E84" w14:textId="77777777" w:rsidR="00473949" w:rsidRPr="00FD211F" w:rsidRDefault="00473949" w:rsidP="009C58C8">
      <w:pPr>
        <w:ind w:left="0" w:firstLine="227"/>
        <w:jc w:val="both"/>
        <w:rPr>
          <w:sz w:val="36"/>
          <w:szCs w:val="36"/>
          <w:rtl/>
        </w:rPr>
      </w:pPr>
    </w:p>
    <w:p w14:paraId="4BDB4728" w14:textId="77777777" w:rsidR="00473949" w:rsidRPr="00FD211F" w:rsidRDefault="00473949" w:rsidP="009C58C8">
      <w:pPr>
        <w:ind w:left="0" w:firstLine="227"/>
        <w:jc w:val="both"/>
        <w:rPr>
          <w:sz w:val="36"/>
          <w:szCs w:val="36"/>
          <w:rtl/>
        </w:rPr>
      </w:pPr>
    </w:p>
    <w:p w14:paraId="3645B521" w14:textId="77777777" w:rsidR="00473949" w:rsidRPr="00FD211F" w:rsidRDefault="00473949" w:rsidP="009C58C8">
      <w:pPr>
        <w:ind w:left="0" w:firstLine="227"/>
        <w:jc w:val="both"/>
        <w:rPr>
          <w:sz w:val="36"/>
          <w:szCs w:val="36"/>
          <w:rtl/>
        </w:rPr>
      </w:pPr>
    </w:p>
    <w:p w14:paraId="2B428689" w14:textId="77777777" w:rsidR="00473949" w:rsidRPr="00FD211F" w:rsidRDefault="00473949" w:rsidP="009C58C8">
      <w:pPr>
        <w:ind w:left="0" w:firstLine="227"/>
        <w:jc w:val="both"/>
        <w:rPr>
          <w:sz w:val="36"/>
          <w:szCs w:val="36"/>
          <w:rtl/>
        </w:rPr>
      </w:pPr>
    </w:p>
    <w:p w14:paraId="322FFD8D" w14:textId="77777777" w:rsidR="00473949" w:rsidRPr="00FD211F" w:rsidRDefault="00473949" w:rsidP="009C58C8">
      <w:pPr>
        <w:ind w:left="0" w:firstLine="227"/>
        <w:jc w:val="both"/>
        <w:rPr>
          <w:sz w:val="36"/>
          <w:szCs w:val="36"/>
          <w:rtl/>
        </w:rPr>
      </w:pPr>
    </w:p>
    <w:p w14:paraId="761EE482" w14:textId="77777777" w:rsidR="00473949" w:rsidRPr="00FD211F" w:rsidRDefault="00473949" w:rsidP="009C58C8">
      <w:pPr>
        <w:ind w:left="0" w:firstLine="227"/>
        <w:jc w:val="both"/>
        <w:rPr>
          <w:sz w:val="36"/>
          <w:szCs w:val="36"/>
          <w:rtl/>
        </w:rPr>
      </w:pPr>
    </w:p>
    <w:p w14:paraId="1A314AB6" w14:textId="77777777" w:rsidR="000C5BBA" w:rsidRPr="00FD211F" w:rsidRDefault="000C5BBA" w:rsidP="009C58C8">
      <w:pPr>
        <w:ind w:left="0" w:firstLine="227"/>
        <w:jc w:val="both"/>
        <w:rPr>
          <w:sz w:val="36"/>
          <w:szCs w:val="36"/>
          <w:rtl/>
        </w:rPr>
      </w:pPr>
    </w:p>
    <w:p w14:paraId="700BE8C7" w14:textId="77777777" w:rsidR="003D0625" w:rsidRPr="00FD211F" w:rsidRDefault="00E8128F" w:rsidP="009C58C8">
      <w:pPr>
        <w:ind w:left="0" w:firstLine="227"/>
        <w:jc w:val="both"/>
        <w:rPr>
          <w:sz w:val="36"/>
          <w:szCs w:val="36"/>
          <w:rtl/>
        </w:rPr>
      </w:pPr>
      <w:r>
        <w:rPr>
          <w:sz w:val="36"/>
          <w:szCs w:val="36"/>
          <w:rtl/>
        </w:rPr>
        <w:t xml:space="preserve"> </w:t>
      </w:r>
      <w:r w:rsidR="001A7DF8" w:rsidRPr="00FD211F">
        <w:rPr>
          <w:sz w:val="36"/>
          <w:szCs w:val="36"/>
          <w:rtl/>
        </w:rPr>
        <w:t>بسم</w:t>
      </w:r>
      <w:r>
        <w:rPr>
          <w:sz w:val="36"/>
          <w:szCs w:val="36"/>
          <w:rtl/>
        </w:rPr>
        <w:t xml:space="preserve"> </w:t>
      </w:r>
      <w:r w:rsidR="001A7DF8" w:rsidRPr="00FD211F">
        <w:rPr>
          <w:sz w:val="36"/>
          <w:szCs w:val="36"/>
          <w:rtl/>
        </w:rPr>
        <w:t>الله</w:t>
      </w:r>
      <w:r>
        <w:rPr>
          <w:sz w:val="36"/>
          <w:szCs w:val="36"/>
          <w:rtl/>
        </w:rPr>
        <w:t xml:space="preserve"> </w:t>
      </w:r>
      <w:r w:rsidR="001A7DF8" w:rsidRPr="00FD211F">
        <w:rPr>
          <w:sz w:val="36"/>
          <w:szCs w:val="36"/>
          <w:rtl/>
        </w:rPr>
        <w:t>الرحمن</w:t>
      </w:r>
      <w:r>
        <w:rPr>
          <w:sz w:val="36"/>
          <w:szCs w:val="36"/>
          <w:rtl/>
        </w:rPr>
        <w:t xml:space="preserve"> </w:t>
      </w:r>
      <w:r w:rsidR="001A7DF8" w:rsidRPr="00FD211F">
        <w:rPr>
          <w:sz w:val="36"/>
          <w:szCs w:val="36"/>
          <w:rtl/>
        </w:rPr>
        <w:t>الرحيم</w:t>
      </w:r>
    </w:p>
    <w:p w14:paraId="13EE1122" w14:textId="77777777" w:rsidR="001A7DF8" w:rsidRPr="00FD211F" w:rsidRDefault="001A7DF8" w:rsidP="009C58C8">
      <w:pPr>
        <w:ind w:left="0" w:firstLine="227"/>
        <w:jc w:val="both"/>
        <w:rPr>
          <w:sz w:val="36"/>
          <w:szCs w:val="36"/>
          <w:rtl/>
        </w:rPr>
      </w:pPr>
      <w:r w:rsidRPr="00FD211F">
        <w:rPr>
          <w:sz w:val="36"/>
          <w:szCs w:val="36"/>
          <w:rtl/>
        </w:rPr>
        <w:t>الحمد</w:t>
      </w:r>
      <w:r w:rsidR="00E8128F">
        <w:rPr>
          <w:sz w:val="36"/>
          <w:szCs w:val="36"/>
          <w:rtl/>
        </w:rPr>
        <w:t xml:space="preserve"> </w:t>
      </w:r>
      <w:r w:rsidRPr="00FD211F">
        <w:rPr>
          <w:sz w:val="36"/>
          <w:szCs w:val="36"/>
          <w:rtl/>
        </w:rPr>
        <w:t>لله</w:t>
      </w:r>
      <w:r w:rsidR="00E8128F">
        <w:rPr>
          <w:sz w:val="36"/>
          <w:szCs w:val="36"/>
          <w:rtl/>
        </w:rPr>
        <w:t xml:space="preserve"> </w:t>
      </w:r>
      <w:r w:rsidRPr="00FD211F">
        <w:rPr>
          <w:sz w:val="36"/>
          <w:szCs w:val="36"/>
          <w:rtl/>
        </w:rPr>
        <w:t>رب</w:t>
      </w:r>
      <w:r w:rsidR="00E8128F">
        <w:rPr>
          <w:sz w:val="36"/>
          <w:szCs w:val="36"/>
          <w:rtl/>
        </w:rPr>
        <w:t xml:space="preserve"> </w:t>
      </w:r>
      <w:r w:rsidRPr="00FD211F">
        <w:rPr>
          <w:sz w:val="36"/>
          <w:szCs w:val="36"/>
          <w:rtl/>
        </w:rPr>
        <w:t>العالمين</w:t>
      </w:r>
      <w:r w:rsidR="00E8128F">
        <w:rPr>
          <w:sz w:val="36"/>
          <w:szCs w:val="36"/>
          <w:rtl/>
        </w:rPr>
        <w:t xml:space="preserve"> </w:t>
      </w:r>
      <w:r w:rsidRPr="00FD211F">
        <w:rPr>
          <w:sz w:val="36"/>
          <w:szCs w:val="36"/>
          <w:rtl/>
        </w:rPr>
        <w:t>وصلى</w:t>
      </w:r>
      <w:r w:rsidR="00E8128F">
        <w:rPr>
          <w:sz w:val="36"/>
          <w:szCs w:val="36"/>
          <w:rtl/>
        </w:rPr>
        <w:t xml:space="preserve"> </w:t>
      </w:r>
      <w:r w:rsidRPr="00FD211F">
        <w:rPr>
          <w:sz w:val="36"/>
          <w:szCs w:val="36"/>
          <w:rtl/>
        </w:rPr>
        <w:t>الله</w:t>
      </w:r>
      <w:r w:rsidR="00E8128F">
        <w:rPr>
          <w:sz w:val="36"/>
          <w:szCs w:val="36"/>
          <w:rtl/>
        </w:rPr>
        <w:t xml:space="preserve"> </w:t>
      </w:r>
      <w:r w:rsidRPr="00FD211F">
        <w:rPr>
          <w:sz w:val="36"/>
          <w:szCs w:val="36"/>
          <w:rtl/>
        </w:rPr>
        <w:t>عل</w:t>
      </w:r>
      <w:r w:rsidR="001D58C4" w:rsidRPr="00FD211F">
        <w:rPr>
          <w:sz w:val="36"/>
          <w:szCs w:val="36"/>
          <w:rtl/>
        </w:rPr>
        <w:t>ى</w:t>
      </w:r>
      <w:r w:rsidR="00E8128F">
        <w:rPr>
          <w:sz w:val="36"/>
          <w:szCs w:val="36"/>
          <w:rtl/>
        </w:rPr>
        <w:t xml:space="preserve"> </w:t>
      </w:r>
      <w:r w:rsidRPr="00FD211F">
        <w:rPr>
          <w:sz w:val="36"/>
          <w:szCs w:val="36"/>
          <w:rtl/>
        </w:rPr>
        <w:t>سيدنا</w:t>
      </w:r>
      <w:r w:rsidR="00E8128F">
        <w:rPr>
          <w:sz w:val="36"/>
          <w:szCs w:val="36"/>
          <w:rtl/>
        </w:rPr>
        <w:t xml:space="preserve"> </w:t>
      </w:r>
      <w:r w:rsidRPr="00FD211F">
        <w:rPr>
          <w:sz w:val="36"/>
          <w:szCs w:val="36"/>
          <w:rtl/>
        </w:rPr>
        <w:t>محمد</w:t>
      </w:r>
      <w:r w:rsidR="00E8128F">
        <w:rPr>
          <w:sz w:val="36"/>
          <w:szCs w:val="36"/>
          <w:rtl/>
        </w:rPr>
        <w:t xml:space="preserve"> </w:t>
      </w:r>
      <w:r w:rsidRPr="00FD211F">
        <w:rPr>
          <w:sz w:val="36"/>
          <w:szCs w:val="36"/>
          <w:rtl/>
        </w:rPr>
        <w:t>وآله</w:t>
      </w:r>
      <w:r w:rsidR="00E8128F">
        <w:rPr>
          <w:sz w:val="36"/>
          <w:szCs w:val="36"/>
          <w:rtl/>
        </w:rPr>
        <w:t xml:space="preserve"> </w:t>
      </w:r>
      <w:r w:rsidRPr="00FD211F">
        <w:rPr>
          <w:sz w:val="36"/>
          <w:szCs w:val="36"/>
          <w:rtl/>
        </w:rPr>
        <w:t>الطاهرين</w:t>
      </w:r>
      <w:r w:rsidR="00E8128F">
        <w:rPr>
          <w:sz w:val="36"/>
          <w:szCs w:val="36"/>
          <w:rtl/>
        </w:rPr>
        <w:t xml:space="preserve"> </w:t>
      </w:r>
      <w:r w:rsidRPr="00FD211F">
        <w:rPr>
          <w:sz w:val="36"/>
          <w:szCs w:val="36"/>
          <w:rtl/>
        </w:rPr>
        <w:t>واللعن</w:t>
      </w:r>
      <w:r w:rsidR="00E8128F">
        <w:rPr>
          <w:sz w:val="36"/>
          <w:szCs w:val="36"/>
          <w:rtl/>
        </w:rPr>
        <w:t xml:space="preserve"> </w:t>
      </w:r>
      <w:r w:rsidRPr="00FD211F">
        <w:rPr>
          <w:sz w:val="36"/>
          <w:szCs w:val="36"/>
          <w:rtl/>
        </w:rPr>
        <w:t>الدائم</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اعدائهم</w:t>
      </w:r>
      <w:r w:rsidR="00E8128F">
        <w:rPr>
          <w:sz w:val="36"/>
          <w:szCs w:val="36"/>
          <w:rtl/>
        </w:rPr>
        <w:t xml:space="preserve"> </w:t>
      </w:r>
      <w:r w:rsidRPr="00FD211F">
        <w:rPr>
          <w:sz w:val="36"/>
          <w:szCs w:val="36"/>
          <w:rtl/>
        </w:rPr>
        <w:t>اجمعين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الآن</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يوم</w:t>
      </w:r>
      <w:r w:rsidR="00E8128F">
        <w:rPr>
          <w:sz w:val="36"/>
          <w:szCs w:val="36"/>
          <w:rtl/>
        </w:rPr>
        <w:t xml:space="preserve"> </w:t>
      </w:r>
      <w:r w:rsidRPr="00FD211F">
        <w:rPr>
          <w:sz w:val="36"/>
          <w:szCs w:val="36"/>
          <w:rtl/>
        </w:rPr>
        <w:t>الدين</w:t>
      </w:r>
      <w:r w:rsidR="000C5F97" w:rsidRPr="00FD211F">
        <w:rPr>
          <w:sz w:val="36"/>
          <w:szCs w:val="36"/>
          <w:rtl/>
        </w:rPr>
        <w:t>.</w:t>
      </w:r>
    </w:p>
    <w:p w14:paraId="2F13FC20" w14:textId="77777777" w:rsidR="00182DA6" w:rsidRPr="00FD211F" w:rsidRDefault="00182DA6" w:rsidP="009C58C8">
      <w:pPr>
        <w:pStyle w:val="3"/>
        <w:ind w:firstLine="227"/>
        <w:jc w:val="both"/>
        <w:rPr>
          <w:rtl/>
        </w:rPr>
      </w:pPr>
      <w:bookmarkStart w:id="0" w:name="_Toc151944579"/>
      <w:bookmarkStart w:id="1" w:name="_Toc154131703"/>
      <w:bookmarkStart w:id="2" w:name="_Toc156401491"/>
      <w:bookmarkStart w:id="3" w:name="_Toc192092838"/>
      <w:bookmarkStart w:id="4" w:name="_Toc223890305"/>
      <w:r w:rsidRPr="00FD211F">
        <w:rPr>
          <w:rtl/>
        </w:rPr>
        <w:t>تعريف</w:t>
      </w:r>
      <w:r w:rsidR="00E8128F">
        <w:rPr>
          <w:rtl/>
        </w:rPr>
        <w:t xml:space="preserve"> </w:t>
      </w:r>
      <w:r w:rsidRPr="00FD211F">
        <w:rPr>
          <w:rtl/>
        </w:rPr>
        <w:t>علم</w:t>
      </w:r>
      <w:r w:rsidR="00E8128F">
        <w:rPr>
          <w:rtl/>
        </w:rPr>
        <w:t xml:space="preserve"> </w:t>
      </w:r>
      <w:r w:rsidRPr="00FD211F">
        <w:rPr>
          <w:rtl/>
        </w:rPr>
        <w:t>الأصول</w:t>
      </w:r>
      <w:bookmarkEnd w:id="0"/>
      <w:bookmarkEnd w:id="1"/>
      <w:bookmarkEnd w:id="2"/>
      <w:bookmarkEnd w:id="3"/>
      <w:bookmarkEnd w:id="4"/>
    </w:p>
    <w:p w14:paraId="2CBC2900" w14:textId="77777777" w:rsidR="00614A3D" w:rsidRPr="00FD211F" w:rsidRDefault="00A11698" w:rsidP="009C58C8">
      <w:pPr>
        <w:pStyle w:val="StyleComplexTraditionalArabic17ptJustifiedFirstline"/>
        <w:ind w:left="0" w:firstLine="227"/>
        <w:rPr>
          <w:rFonts w:cs="Scheherazade"/>
          <w:sz w:val="36"/>
          <w:szCs w:val="36"/>
          <w:rtl/>
        </w:rPr>
      </w:pPr>
      <w:r w:rsidRPr="00FD211F">
        <w:rPr>
          <w:rFonts w:cs="Scheherazade"/>
          <w:sz w:val="36"/>
          <w:szCs w:val="36"/>
          <w:rtl/>
        </w:rPr>
        <w:t>نسب</w:t>
      </w:r>
      <w:r w:rsidR="00E8128F">
        <w:rPr>
          <w:rFonts w:cs="Scheherazade"/>
          <w:sz w:val="36"/>
          <w:szCs w:val="36"/>
          <w:rtl/>
        </w:rPr>
        <w:t xml:space="preserve"> </w:t>
      </w:r>
      <w:r w:rsidRPr="00FD211F">
        <w:rPr>
          <w:rFonts w:cs="Scheherazade"/>
          <w:sz w:val="36"/>
          <w:szCs w:val="36"/>
          <w:rtl/>
        </w:rPr>
        <w:t>الى</w:t>
      </w:r>
      <w:r w:rsidR="00E8128F">
        <w:rPr>
          <w:rFonts w:cs="Scheherazade"/>
          <w:sz w:val="36"/>
          <w:szCs w:val="36"/>
          <w:rtl/>
        </w:rPr>
        <w:t xml:space="preserve"> </w:t>
      </w:r>
      <w:r w:rsidRPr="00FD211F">
        <w:rPr>
          <w:rFonts w:cs="Scheherazade"/>
          <w:sz w:val="36"/>
          <w:szCs w:val="36"/>
          <w:rtl/>
        </w:rPr>
        <w:t>المشهور</w:t>
      </w:r>
      <w:r w:rsidR="00E8128F">
        <w:rPr>
          <w:rFonts w:cs="Scheherazade"/>
          <w:sz w:val="36"/>
          <w:szCs w:val="36"/>
          <w:rtl/>
        </w:rPr>
        <w:t xml:space="preserve"> </w:t>
      </w:r>
      <w:r w:rsidRPr="00FD211F">
        <w:rPr>
          <w:rFonts w:cs="Scheherazade"/>
          <w:sz w:val="36"/>
          <w:szCs w:val="36"/>
          <w:rtl/>
        </w:rPr>
        <w:t>تعريف</w:t>
      </w:r>
      <w:r w:rsidR="00E8128F">
        <w:rPr>
          <w:rFonts w:cs="Scheherazade"/>
          <w:sz w:val="36"/>
          <w:szCs w:val="36"/>
          <w:rtl/>
        </w:rPr>
        <w:t xml:space="preserve"> </w:t>
      </w:r>
      <w:r w:rsidR="006C2351" w:rsidRPr="00FD211F">
        <w:rPr>
          <w:rFonts w:cs="Scheherazade"/>
          <w:sz w:val="36"/>
          <w:szCs w:val="36"/>
          <w:rtl/>
        </w:rPr>
        <w:t>علم</w:t>
      </w:r>
      <w:r w:rsidR="00E8128F">
        <w:rPr>
          <w:rFonts w:cs="Scheherazade"/>
          <w:sz w:val="36"/>
          <w:szCs w:val="36"/>
          <w:rtl/>
        </w:rPr>
        <w:t xml:space="preserve"> </w:t>
      </w:r>
      <w:r w:rsidR="006C2351" w:rsidRPr="00FD211F">
        <w:rPr>
          <w:rFonts w:cs="Scheherazade"/>
          <w:sz w:val="36"/>
          <w:szCs w:val="36"/>
          <w:rtl/>
        </w:rPr>
        <w:t>الاصول</w:t>
      </w:r>
      <w:r w:rsidR="00E8128F">
        <w:rPr>
          <w:rFonts w:cs="Scheherazade"/>
          <w:sz w:val="36"/>
          <w:szCs w:val="36"/>
          <w:rtl/>
        </w:rPr>
        <w:t xml:space="preserve"> </w:t>
      </w:r>
      <w:r w:rsidR="006C2351" w:rsidRPr="00FD211F">
        <w:rPr>
          <w:rFonts w:cs="Scheherazade"/>
          <w:sz w:val="36"/>
          <w:szCs w:val="36"/>
          <w:rtl/>
        </w:rPr>
        <w:t>بانه</w:t>
      </w:r>
      <w:r w:rsidR="00E8128F">
        <w:rPr>
          <w:rFonts w:cs="Scheherazade"/>
          <w:sz w:val="36"/>
          <w:szCs w:val="36"/>
          <w:rtl/>
        </w:rPr>
        <w:t xml:space="preserve"> </w:t>
      </w:r>
      <w:r w:rsidRPr="00FD211F">
        <w:rPr>
          <w:rFonts w:cs="Scheherazade"/>
          <w:sz w:val="36"/>
          <w:szCs w:val="36"/>
          <w:rtl/>
        </w:rPr>
        <w:t>علم</w:t>
      </w:r>
      <w:r w:rsidR="00E8128F">
        <w:rPr>
          <w:rFonts w:cs="Scheherazade"/>
          <w:sz w:val="36"/>
          <w:szCs w:val="36"/>
          <w:rtl/>
        </w:rPr>
        <w:t xml:space="preserve"> </w:t>
      </w:r>
      <w:r w:rsidRPr="00FD211F">
        <w:rPr>
          <w:rFonts w:cs="Scheherazade"/>
          <w:sz w:val="36"/>
          <w:szCs w:val="36"/>
          <w:rtl/>
        </w:rPr>
        <w:t>بالقوا</w:t>
      </w:r>
      <w:r w:rsidR="00976FC0" w:rsidRPr="00FD211F">
        <w:rPr>
          <w:rFonts w:cs="Scheherazade"/>
          <w:sz w:val="36"/>
          <w:szCs w:val="36"/>
          <w:rtl/>
        </w:rPr>
        <w:t>عد</w:t>
      </w:r>
      <w:r w:rsidR="00E8128F">
        <w:rPr>
          <w:rFonts w:cs="Scheherazade"/>
          <w:sz w:val="36"/>
          <w:szCs w:val="36"/>
          <w:rtl/>
        </w:rPr>
        <w:t xml:space="preserve"> </w:t>
      </w:r>
      <w:r w:rsidR="00976FC0" w:rsidRPr="00FD211F">
        <w:rPr>
          <w:rFonts w:cs="Scheherazade"/>
          <w:sz w:val="36"/>
          <w:szCs w:val="36"/>
          <w:rtl/>
        </w:rPr>
        <w:t>الممهّ</w:t>
      </w:r>
      <w:r w:rsidRPr="00FD211F">
        <w:rPr>
          <w:rFonts w:cs="Scheherazade"/>
          <w:sz w:val="36"/>
          <w:szCs w:val="36"/>
          <w:rtl/>
        </w:rPr>
        <w:t>د</w:t>
      </w:r>
      <w:r w:rsidR="00EC7EDF" w:rsidRPr="00FD211F">
        <w:rPr>
          <w:rFonts w:cs="Scheherazade"/>
          <w:sz w:val="36"/>
          <w:szCs w:val="36"/>
          <w:rtl/>
        </w:rPr>
        <w:t>ة</w:t>
      </w:r>
      <w:r w:rsidR="00E8128F">
        <w:rPr>
          <w:rFonts w:cs="Scheherazade"/>
          <w:sz w:val="36"/>
          <w:szCs w:val="36"/>
          <w:rtl/>
        </w:rPr>
        <w:t xml:space="preserve"> </w:t>
      </w:r>
      <w:r w:rsidRPr="00FD211F">
        <w:rPr>
          <w:rFonts w:cs="Scheherazade"/>
          <w:sz w:val="36"/>
          <w:szCs w:val="36"/>
          <w:rtl/>
        </w:rPr>
        <w:t>لاستنباط</w:t>
      </w:r>
      <w:r w:rsidR="00E8128F">
        <w:rPr>
          <w:rFonts w:cs="Scheherazade"/>
          <w:sz w:val="36"/>
          <w:szCs w:val="36"/>
          <w:rtl/>
        </w:rPr>
        <w:t xml:space="preserve"> </w:t>
      </w:r>
      <w:r w:rsidRPr="00FD211F">
        <w:rPr>
          <w:rFonts w:cs="Scheherazade"/>
          <w:sz w:val="36"/>
          <w:szCs w:val="36"/>
          <w:rtl/>
        </w:rPr>
        <w:t>الحكم</w:t>
      </w:r>
      <w:r w:rsidR="00E8128F">
        <w:rPr>
          <w:rFonts w:cs="Scheherazade"/>
          <w:sz w:val="36"/>
          <w:szCs w:val="36"/>
          <w:rtl/>
        </w:rPr>
        <w:t xml:space="preserve"> </w:t>
      </w:r>
      <w:r w:rsidRPr="00FD211F">
        <w:rPr>
          <w:rFonts w:cs="Scheherazade"/>
          <w:sz w:val="36"/>
          <w:szCs w:val="36"/>
          <w:rtl/>
        </w:rPr>
        <w:t>الشرعي</w:t>
      </w:r>
      <w:r w:rsidR="00E8128F">
        <w:rPr>
          <w:rFonts w:cs="Scheherazade"/>
          <w:sz w:val="36"/>
          <w:szCs w:val="36"/>
          <w:rtl/>
        </w:rPr>
        <w:t xml:space="preserve"> </w:t>
      </w:r>
      <w:r w:rsidR="00614A3D" w:rsidRPr="00FD211F">
        <w:rPr>
          <w:rFonts w:cs="Scheherazade"/>
          <w:sz w:val="36"/>
          <w:szCs w:val="36"/>
          <w:rtl/>
        </w:rPr>
        <w:t>وكان</w:t>
      </w:r>
      <w:r w:rsidR="00E8128F">
        <w:rPr>
          <w:rFonts w:cs="Scheherazade"/>
          <w:sz w:val="36"/>
          <w:szCs w:val="36"/>
          <w:rtl/>
        </w:rPr>
        <w:t xml:space="preserve"> </w:t>
      </w:r>
      <w:r w:rsidR="00614A3D" w:rsidRPr="00FD211F">
        <w:rPr>
          <w:rFonts w:cs="Scheherazade"/>
          <w:sz w:val="36"/>
          <w:szCs w:val="36"/>
          <w:rtl/>
        </w:rPr>
        <w:t>الانسب</w:t>
      </w:r>
      <w:r w:rsidR="00E8128F">
        <w:rPr>
          <w:rFonts w:cs="Scheherazade"/>
          <w:sz w:val="36"/>
          <w:szCs w:val="36"/>
          <w:rtl/>
        </w:rPr>
        <w:t xml:space="preserve"> </w:t>
      </w:r>
      <w:r w:rsidR="00614A3D" w:rsidRPr="00FD211F">
        <w:rPr>
          <w:rFonts w:cs="Scheherazade"/>
          <w:sz w:val="36"/>
          <w:szCs w:val="36"/>
          <w:rtl/>
        </w:rPr>
        <w:t>ان</w:t>
      </w:r>
      <w:r w:rsidR="00E8128F">
        <w:rPr>
          <w:rFonts w:cs="Scheherazade"/>
          <w:sz w:val="36"/>
          <w:szCs w:val="36"/>
          <w:rtl/>
        </w:rPr>
        <w:t xml:space="preserve"> </w:t>
      </w:r>
      <w:r w:rsidR="00614A3D" w:rsidRPr="00FD211F">
        <w:rPr>
          <w:rFonts w:cs="Scheherazade"/>
          <w:sz w:val="36"/>
          <w:szCs w:val="36"/>
          <w:rtl/>
        </w:rPr>
        <w:t>يعرَّف</w:t>
      </w:r>
      <w:r w:rsidR="00E8128F">
        <w:rPr>
          <w:rFonts w:cs="Scheherazade"/>
          <w:sz w:val="36"/>
          <w:szCs w:val="36"/>
          <w:rtl/>
        </w:rPr>
        <w:t xml:space="preserve"> </w:t>
      </w:r>
      <w:r w:rsidR="00614A3D" w:rsidRPr="00FD211F">
        <w:rPr>
          <w:rFonts w:cs="Scheherazade"/>
          <w:sz w:val="36"/>
          <w:szCs w:val="36"/>
          <w:rtl/>
        </w:rPr>
        <w:t>علم</w:t>
      </w:r>
      <w:r w:rsidR="00E8128F">
        <w:rPr>
          <w:rFonts w:cs="Scheherazade"/>
          <w:sz w:val="36"/>
          <w:szCs w:val="36"/>
          <w:rtl/>
        </w:rPr>
        <w:t xml:space="preserve"> </w:t>
      </w:r>
      <w:r w:rsidR="00614A3D" w:rsidRPr="00FD211F">
        <w:rPr>
          <w:rFonts w:cs="Scheherazade"/>
          <w:sz w:val="36"/>
          <w:szCs w:val="36"/>
          <w:rtl/>
        </w:rPr>
        <w:t>الاصول</w:t>
      </w:r>
      <w:r w:rsidR="00E8128F">
        <w:rPr>
          <w:rFonts w:cs="Scheherazade"/>
          <w:sz w:val="36"/>
          <w:szCs w:val="36"/>
          <w:rtl/>
        </w:rPr>
        <w:t xml:space="preserve"> </w:t>
      </w:r>
      <w:r w:rsidR="00614A3D" w:rsidRPr="00FD211F">
        <w:rPr>
          <w:rFonts w:cs="Scheherazade"/>
          <w:sz w:val="36"/>
          <w:szCs w:val="36"/>
          <w:rtl/>
        </w:rPr>
        <w:t>بنفس</w:t>
      </w:r>
      <w:r w:rsidR="00E8128F">
        <w:rPr>
          <w:rFonts w:cs="Scheherazade"/>
          <w:sz w:val="36"/>
          <w:szCs w:val="36"/>
          <w:rtl/>
        </w:rPr>
        <w:t xml:space="preserve"> </w:t>
      </w:r>
      <w:r w:rsidR="00614A3D" w:rsidRPr="00FD211F">
        <w:rPr>
          <w:rFonts w:cs="Scheherazade"/>
          <w:sz w:val="36"/>
          <w:szCs w:val="36"/>
          <w:rtl/>
        </w:rPr>
        <w:t>تلك</w:t>
      </w:r>
      <w:r w:rsidR="00E8128F">
        <w:rPr>
          <w:rFonts w:cs="Scheherazade"/>
          <w:sz w:val="36"/>
          <w:szCs w:val="36"/>
          <w:rtl/>
        </w:rPr>
        <w:t xml:space="preserve"> </w:t>
      </w:r>
      <w:r w:rsidR="00614A3D" w:rsidRPr="00FD211F">
        <w:rPr>
          <w:rFonts w:cs="Scheherazade"/>
          <w:sz w:val="36"/>
          <w:szCs w:val="36"/>
          <w:rtl/>
        </w:rPr>
        <w:t>القواعد</w:t>
      </w:r>
      <w:r w:rsidR="00E8128F">
        <w:rPr>
          <w:rFonts w:cs="Scheherazade"/>
          <w:sz w:val="36"/>
          <w:szCs w:val="36"/>
          <w:rtl/>
        </w:rPr>
        <w:t xml:space="preserve"> </w:t>
      </w:r>
      <w:r w:rsidR="00614A3D" w:rsidRPr="00FD211F">
        <w:rPr>
          <w:rFonts w:cs="Scheherazade"/>
          <w:sz w:val="36"/>
          <w:szCs w:val="36"/>
          <w:rtl/>
        </w:rPr>
        <w:t>لاالعلم</w:t>
      </w:r>
      <w:r w:rsidR="00E8128F">
        <w:rPr>
          <w:rFonts w:cs="Scheherazade"/>
          <w:sz w:val="36"/>
          <w:szCs w:val="36"/>
          <w:rtl/>
        </w:rPr>
        <w:t xml:space="preserve"> </w:t>
      </w:r>
      <w:r w:rsidR="00614A3D" w:rsidRPr="00FD211F">
        <w:rPr>
          <w:rFonts w:cs="Scheherazade"/>
          <w:sz w:val="36"/>
          <w:szCs w:val="36"/>
          <w:rtl/>
        </w:rPr>
        <w:t>بها</w:t>
      </w:r>
      <w:r w:rsidR="00603323" w:rsidRPr="00FD211F">
        <w:rPr>
          <w:rFonts w:cs="Scheherazade"/>
          <w:sz w:val="36"/>
          <w:szCs w:val="36"/>
          <w:rtl/>
        </w:rPr>
        <w:t>،</w:t>
      </w:r>
      <w:r w:rsidR="00E8128F">
        <w:rPr>
          <w:rFonts w:cs="Scheherazade"/>
          <w:sz w:val="36"/>
          <w:szCs w:val="36"/>
          <w:rtl/>
        </w:rPr>
        <w:t xml:space="preserve"> </w:t>
      </w:r>
      <w:r w:rsidR="00614A3D" w:rsidRPr="00FD211F">
        <w:rPr>
          <w:rFonts w:cs="Scheherazade"/>
          <w:sz w:val="36"/>
          <w:szCs w:val="36"/>
          <w:rtl/>
        </w:rPr>
        <w:t>فان</w:t>
      </w:r>
      <w:r w:rsidR="00E8128F">
        <w:rPr>
          <w:rFonts w:cs="Scheherazade"/>
          <w:sz w:val="36"/>
          <w:szCs w:val="36"/>
          <w:rtl/>
        </w:rPr>
        <w:t xml:space="preserve"> </w:t>
      </w:r>
      <w:r w:rsidR="00614A3D" w:rsidRPr="00FD211F">
        <w:rPr>
          <w:rFonts w:cs="Scheherazade"/>
          <w:sz w:val="36"/>
          <w:szCs w:val="36"/>
          <w:rtl/>
        </w:rPr>
        <w:t>المراد</w:t>
      </w:r>
      <w:r w:rsidR="00E8128F">
        <w:rPr>
          <w:rFonts w:cs="Scheherazade"/>
          <w:sz w:val="36"/>
          <w:szCs w:val="36"/>
          <w:rtl/>
        </w:rPr>
        <w:t xml:space="preserve"> </w:t>
      </w:r>
      <w:r w:rsidR="00614A3D" w:rsidRPr="00FD211F">
        <w:rPr>
          <w:rFonts w:cs="Scheherazade"/>
          <w:sz w:val="36"/>
          <w:szCs w:val="36"/>
          <w:rtl/>
        </w:rPr>
        <w:t>من</w:t>
      </w:r>
      <w:r w:rsidR="00E8128F">
        <w:rPr>
          <w:rFonts w:cs="Scheherazade"/>
          <w:sz w:val="36"/>
          <w:szCs w:val="36"/>
          <w:rtl/>
        </w:rPr>
        <w:t xml:space="preserve"> </w:t>
      </w:r>
      <w:r w:rsidR="00614A3D" w:rsidRPr="00FD211F">
        <w:rPr>
          <w:rFonts w:cs="Scheherazade"/>
          <w:sz w:val="36"/>
          <w:szCs w:val="36"/>
          <w:rtl/>
        </w:rPr>
        <w:t>العلم</w:t>
      </w:r>
      <w:r w:rsidR="00E8128F">
        <w:rPr>
          <w:rFonts w:cs="Scheherazade"/>
          <w:sz w:val="36"/>
          <w:szCs w:val="36"/>
          <w:rtl/>
        </w:rPr>
        <w:t xml:space="preserve"> </w:t>
      </w:r>
      <w:r w:rsidR="00614A3D" w:rsidRPr="00FD211F">
        <w:rPr>
          <w:rFonts w:cs="Scheherazade"/>
          <w:sz w:val="36"/>
          <w:szCs w:val="36"/>
          <w:rtl/>
        </w:rPr>
        <w:t>في</w:t>
      </w:r>
      <w:r w:rsidR="00E8128F">
        <w:rPr>
          <w:rFonts w:cs="Scheherazade"/>
          <w:sz w:val="36"/>
          <w:szCs w:val="36"/>
          <w:rtl/>
        </w:rPr>
        <w:t xml:space="preserve"> </w:t>
      </w:r>
      <w:r w:rsidR="00614A3D" w:rsidRPr="00FD211F">
        <w:rPr>
          <w:rFonts w:cs="Scheherazade"/>
          <w:sz w:val="36"/>
          <w:szCs w:val="36"/>
          <w:rtl/>
        </w:rPr>
        <w:t>قولنا</w:t>
      </w:r>
      <w:r w:rsidR="00E8128F">
        <w:rPr>
          <w:rFonts w:cs="Scheherazade"/>
          <w:sz w:val="36"/>
          <w:szCs w:val="36"/>
          <w:rtl/>
        </w:rPr>
        <w:t xml:space="preserve"> </w:t>
      </w:r>
      <w:r w:rsidR="00614A3D" w:rsidRPr="00FD211F">
        <w:rPr>
          <w:rFonts w:cs="Scheherazade"/>
          <w:sz w:val="36"/>
          <w:szCs w:val="36"/>
          <w:rtl/>
        </w:rPr>
        <w:t>علم</w:t>
      </w:r>
      <w:r w:rsidR="00E8128F">
        <w:rPr>
          <w:rFonts w:cs="Scheherazade"/>
          <w:sz w:val="36"/>
          <w:szCs w:val="36"/>
          <w:rtl/>
        </w:rPr>
        <w:t xml:space="preserve"> </w:t>
      </w:r>
      <w:r w:rsidR="00614A3D" w:rsidRPr="00FD211F">
        <w:rPr>
          <w:rFonts w:cs="Scheherazade"/>
          <w:sz w:val="36"/>
          <w:szCs w:val="36"/>
          <w:rtl/>
        </w:rPr>
        <w:t>الاصول</w:t>
      </w:r>
      <w:r w:rsidR="00E8128F">
        <w:rPr>
          <w:rFonts w:cs="Scheherazade"/>
          <w:sz w:val="36"/>
          <w:szCs w:val="36"/>
          <w:rtl/>
        </w:rPr>
        <w:t xml:space="preserve"> </w:t>
      </w:r>
      <w:r w:rsidR="00614A3D" w:rsidRPr="00FD211F">
        <w:rPr>
          <w:rFonts w:cs="Scheherazade"/>
          <w:sz w:val="36"/>
          <w:szCs w:val="36"/>
          <w:rtl/>
        </w:rPr>
        <w:t>هو</w:t>
      </w:r>
      <w:r w:rsidR="00E8128F">
        <w:rPr>
          <w:rFonts w:cs="Scheherazade"/>
          <w:sz w:val="36"/>
          <w:szCs w:val="36"/>
          <w:rtl/>
        </w:rPr>
        <w:t xml:space="preserve"> </w:t>
      </w:r>
      <w:r w:rsidR="00614A3D" w:rsidRPr="00FD211F">
        <w:rPr>
          <w:rFonts w:cs="Scheherazade"/>
          <w:sz w:val="36"/>
          <w:szCs w:val="36"/>
          <w:rtl/>
        </w:rPr>
        <w:t>المعني</w:t>
      </w:r>
      <w:r w:rsidR="00E8128F">
        <w:rPr>
          <w:rFonts w:cs="Scheherazade"/>
          <w:sz w:val="36"/>
          <w:szCs w:val="36"/>
          <w:rtl/>
        </w:rPr>
        <w:t xml:space="preserve"> </w:t>
      </w:r>
      <w:r w:rsidR="00614A3D" w:rsidRPr="00FD211F">
        <w:rPr>
          <w:rFonts w:cs="Scheherazade"/>
          <w:sz w:val="36"/>
          <w:szCs w:val="36"/>
          <w:rtl/>
        </w:rPr>
        <w:t>الاسم</w:t>
      </w:r>
      <w:r w:rsidR="00E8128F">
        <w:rPr>
          <w:rFonts w:cs="Scheherazade"/>
          <w:sz w:val="36"/>
          <w:szCs w:val="36"/>
          <w:rtl/>
        </w:rPr>
        <w:t xml:space="preserve"> </w:t>
      </w:r>
      <w:r w:rsidR="00614A3D" w:rsidRPr="00FD211F">
        <w:rPr>
          <w:rFonts w:cs="Scheherazade"/>
          <w:sz w:val="36"/>
          <w:szCs w:val="36"/>
          <w:rtl/>
        </w:rPr>
        <w:t>المصدري</w:t>
      </w:r>
      <w:r w:rsidR="00E8128F">
        <w:rPr>
          <w:rFonts w:cs="Scheherazade"/>
          <w:sz w:val="36"/>
          <w:szCs w:val="36"/>
          <w:rtl/>
        </w:rPr>
        <w:t xml:space="preserve"> </w:t>
      </w:r>
      <w:r w:rsidR="00614A3D" w:rsidRPr="00FD211F">
        <w:rPr>
          <w:rFonts w:cs="Scheherazade"/>
          <w:sz w:val="36"/>
          <w:szCs w:val="36"/>
          <w:rtl/>
        </w:rPr>
        <w:t>الذي</w:t>
      </w:r>
      <w:r w:rsidR="00E8128F">
        <w:rPr>
          <w:rFonts w:cs="Scheherazade"/>
          <w:sz w:val="36"/>
          <w:szCs w:val="36"/>
          <w:rtl/>
        </w:rPr>
        <w:t xml:space="preserve"> </w:t>
      </w:r>
      <w:r w:rsidR="00614A3D" w:rsidRPr="00FD211F">
        <w:rPr>
          <w:rFonts w:cs="Scheherazade"/>
          <w:sz w:val="36"/>
          <w:szCs w:val="36"/>
          <w:rtl/>
        </w:rPr>
        <w:t>ي</w:t>
      </w:r>
      <w:r w:rsidR="00AB1B12" w:rsidRPr="00FD211F">
        <w:rPr>
          <w:rFonts w:cs="Scheherazade"/>
          <w:sz w:val="36"/>
          <w:szCs w:val="36"/>
          <w:rtl/>
        </w:rPr>
        <w:t>كون</w:t>
      </w:r>
      <w:r w:rsidR="00E8128F">
        <w:rPr>
          <w:rFonts w:cs="Scheherazade"/>
          <w:sz w:val="36"/>
          <w:szCs w:val="36"/>
          <w:rtl/>
        </w:rPr>
        <w:t xml:space="preserve"> </w:t>
      </w:r>
      <w:r w:rsidR="00AB1B12" w:rsidRPr="00FD211F">
        <w:rPr>
          <w:rFonts w:cs="Scheherazade"/>
          <w:sz w:val="36"/>
          <w:szCs w:val="36"/>
          <w:rtl/>
        </w:rPr>
        <w:t>مرادفه</w:t>
      </w:r>
      <w:r w:rsidR="00E8128F">
        <w:rPr>
          <w:rFonts w:cs="Scheherazade"/>
          <w:sz w:val="36"/>
          <w:szCs w:val="36"/>
          <w:rtl/>
        </w:rPr>
        <w:t xml:space="preserve"> </w:t>
      </w:r>
      <w:r w:rsidR="00AB1B12" w:rsidRPr="00FD211F">
        <w:rPr>
          <w:rFonts w:cs="Scheherazade"/>
          <w:sz w:val="36"/>
          <w:szCs w:val="36"/>
          <w:rtl/>
        </w:rPr>
        <w:t>في</w:t>
      </w:r>
      <w:r w:rsidR="00E8128F">
        <w:rPr>
          <w:rFonts w:cs="Scheherazade"/>
          <w:sz w:val="36"/>
          <w:szCs w:val="36"/>
          <w:rtl/>
        </w:rPr>
        <w:t xml:space="preserve"> </w:t>
      </w:r>
      <w:r w:rsidR="00AB1B12" w:rsidRPr="00FD211F">
        <w:rPr>
          <w:rFonts w:cs="Scheherazade"/>
          <w:sz w:val="36"/>
          <w:szCs w:val="36"/>
          <w:rtl/>
        </w:rPr>
        <w:t>الفارسي</w:t>
      </w:r>
      <w:r w:rsidR="00EC7EDF" w:rsidRPr="00FD211F">
        <w:rPr>
          <w:rFonts w:cs="Scheherazade"/>
          <w:sz w:val="36"/>
          <w:szCs w:val="36"/>
          <w:rtl/>
        </w:rPr>
        <w:t>ة</w:t>
      </w:r>
      <w:r w:rsidR="00E8128F">
        <w:rPr>
          <w:rFonts w:cs="Scheherazade"/>
          <w:sz w:val="36"/>
          <w:szCs w:val="36"/>
          <w:rtl/>
        </w:rPr>
        <w:t xml:space="preserve"> </w:t>
      </w:r>
      <w:r w:rsidR="00AB1B12" w:rsidRPr="00FD211F">
        <w:rPr>
          <w:rFonts w:cs="Scheherazade"/>
          <w:sz w:val="36"/>
          <w:szCs w:val="36"/>
          <w:rtl/>
        </w:rPr>
        <w:t>كلم</w:t>
      </w:r>
      <w:r w:rsidR="00EC7EDF" w:rsidRPr="00FD211F">
        <w:rPr>
          <w:rFonts w:cs="Scheherazade"/>
          <w:sz w:val="36"/>
          <w:szCs w:val="36"/>
          <w:rtl/>
        </w:rPr>
        <w:t>ة</w:t>
      </w:r>
      <w:r w:rsidR="00E8128F">
        <w:rPr>
          <w:rFonts w:cs="Scheherazade"/>
          <w:sz w:val="36"/>
          <w:szCs w:val="36"/>
          <w:rtl/>
        </w:rPr>
        <w:t xml:space="preserve"> </w:t>
      </w:r>
      <w:r w:rsidR="00AB1B12" w:rsidRPr="00FD211F">
        <w:rPr>
          <w:rFonts w:cs="Scheherazade"/>
          <w:sz w:val="36"/>
          <w:szCs w:val="36"/>
          <w:rtl/>
        </w:rPr>
        <w:t>(دانش)</w:t>
      </w:r>
      <w:r w:rsidR="00E8128F">
        <w:rPr>
          <w:rFonts w:cs="Scheherazade"/>
          <w:sz w:val="36"/>
          <w:szCs w:val="36"/>
          <w:rtl/>
        </w:rPr>
        <w:t xml:space="preserve"> </w:t>
      </w:r>
      <w:r w:rsidR="00614A3D" w:rsidRPr="00FD211F">
        <w:rPr>
          <w:rFonts w:cs="Scheherazade"/>
          <w:sz w:val="36"/>
          <w:szCs w:val="36"/>
          <w:rtl/>
        </w:rPr>
        <w:t>بينما</w:t>
      </w:r>
      <w:r w:rsidR="00E8128F">
        <w:rPr>
          <w:rFonts w:cs="Scheherazade"/>
          <w:sz w:val="36"/>
          <w:szCs w:val="36"/>
          <w:rtl/>
        </w:rPr>
        <w:t xml:space="preserve"> </w:t>
      </w:r>
      <w:r w:rsidR="00614A3D" w:rsidRPr="00FD211F">
        <w:rPr>
          <w:rFonts w:cs="Scheherazade"/>
          <w:sz w:val="36"/>
          <w:szCs w:val="36"/>
          <w:rtl/>
        </w:rPr>
        <w:t>أن</w:t>
      </w:r>
      <w:r w:rsidR="00E8128F">
        <w:rPr>
          <w:rFonts w:cs="Scheherazade"/>
          <w:sz w:val="36"/>
          <w:szCs w:val="36"/>
          <w:rtl/>
        </w:rPr>
        <w:t xml:space="preserve"> </w:t>
      </w:r>
      <w:r w:rsidR="00614A3D" w:rsidRPr="00FD211F">
        <w:rPr>
          <w:rFonts w:cs="Scheherazade"/>
          <w:sz w:val="36"/>
          <w:szCs w:val="36"/>
          <w:rtl/>
        </w:rPr>
        <w:t>الظاهر</w:t>
      </w:r>
      <w:r w:rsidR="00E8128F">
        <w:rPr>
          <w:rFonts w:cs="Scheherazade"/>
          <w:sz w:val="36"/>
          <w:szCs w:val="36"/>
          <w:rtl/>
        </w:rPr>
        <w:t xml:space="preserve"> </w:t>
      </w:r>
      <w:r w:rsidR="00614A3D" w:rsidRPr="00FD211F">
        <w:rPr>
          <w:rFonts w:cs="Scheherazade"/>
          <w:sz w:val="36"/>
          <w:szCs w:val="36"/>
          <w:rtl/>
        </w:rPr>
        <w:t>من</w:t>
      </w:r>
      <w:r w:rsidR="00E8128F">
        <w:rPr>
          <w:rFonts w:cs="Scheherazade"/>
          <w:sz w:val="36"/>
          <w:szCs w:val="36"/>
          <w:rtl/>
        </w:rPr>
        <w:t xml:space="preserve"> </w:t>
      </w:r>
      <w:r w:rsidR="00614A3D" w:rsidRPr="00FD211F">
        <w:rPr>
          <w:rFonts w:cs="Scheherazade"/>
          <w:sz w:val="36"/>
          <w:szCs w:val="36"/>
          <w:rtl/>
        </w:rPr>
        <w:t>العلم</w:t>
      </w:r>
      <w:r w:rsidR="00E8128F">
        <w:rPr>
          <w:rFonts w:cs="Scheherazade"/>
          <w:sz w:val="36"/>
          <w:szCs w:val="36"/>
          <w:rtl/>
        </w:rPr>
        <w:t xml:space="preserve"> </w:t>
      </w:r>
      <w:r w:rsidR="00614A3D" w:rsidRPr="00FD211F">
        <w:rPr>
          <w:rFonts w:cs="Scheherazade"/>
          <w:sz w:val="36"/>
          <w:szCs w:val="36"/>
          <w:rtl/>
        </w:rPr>
        <w:t>بالقواعد</w:t>
      </w:r>
      <w:r w:rsidR="00E8128F">
        <w:rPr>
          <w:rFonts w:cs="Scheherazade"/>
          <w:sz w:val="36"/>
          <w:szCs w:val="36"/>
          <w:rtl/>
        </w:rPr>
        <w:t xml:space="preserve"> </w:t>
      </w:r>
      <w:r w:rsidR="00614A3D" w:rsidRPr="00FD211F">
        <w:rPr>
          <w:rFonts w:cs="Scheherazade"/>
          <w:sz w:val="36"/>
          <w:szCs w:val="36"/>
          <w:rtl/>
        </w:rPr>
        <w:t>هو</w:t>
      </w:r>
      <w:r w:rsidR="00E8128F">
        <w:rPr>
          <w:rFonts w:cs="Scheherazade"/>
          <w:sz w:val="36"/>
          <w:szCs w:val="36"/>
          <w:rtl/>
        </w:rPr>
        <w:t xml:space="preserve"> </w:t>
      </w:r>
      <w:r w:rsidR="00614A3D" w:rsidRPr="00FD211F">
        <w:rPr>
          <w:rFonts w:cs="Scheherazade"/>
          <w:sz w:val="36"/>
          <w:szCs w:val="36"/>
          <w:rtl/>
        </w:rPr>
        <w:t>المعنى</w:t>
      </w:r>
      <w:r w:rsidR="00E8128F">
        <w:rPr>
          <w:rFonts w:cs="Scheherazade"/>
          <w:sz w:val="36"/>
          <w:szCs w:val="36"/>
          <w:rtl/>
        </w:rPr>
        <w:t xml:space="preserve"> </w:t>
      </w:r>
      <w:r w:rsidR="00614A3D" w:rsidRPr="00FD211F">
        <w:rPr>
          <w:rFonts w:cs="Scheherazade"/>
          <w:sz w:val="36"/>
          <w:szCs w:val="36"/>
          <w:rtl/>
        </w:rPr>
        <w:t>المصدري</w:t>
      </w:r>
      <w:r w:rsidR="00E8128F">
        <w:rPr>
          <w:rFonts w:cs="Scheherazade"/>
          <w:sz w:val="36"/>
          <w:szCs w:val="36"/>
          <w:rtl/>
        </w:rPr>
        <w:t xml:space="preserve"> </w:t>
      </w:r>
      <w:r w:rsidR="00AB1B12" w:rsidRPr="00FD211F">
        <w:rPr>
          <w:rFonts w:cs="Scheherazade"/>
          <w:sz w:val="36"/>
          <w:szCs w:val="36"/>
          <w:rtl/>
        </w:rPr>
        <w:t>الذي</w:t>
      </w:r>
      <w:r w:rsidR="00E8128F">
        <w:rPr>
          <w:rFonts w:cs="Scheherazade"/>
          <w:sz w:val="36"/>
          <w:szCs w:val="36"/>
          <w:rtl/>
        </w:rPr>
        <w:t xml:space="preserve"> </w:t>
      </w:r>
      <w:r w:rsidR="00AB1B12" w:rsidRPr="00FD211F">
        <w:rPr>
          <w:rFonts w:cs="Scheherazade"/>
          <w:sz w:val="36"/>
          <w:szCs w:val="36"/>
          <w:rtl/>
        </w:rPr>
        <w:t>يكون</w:t>
      </w:r>
      <w:r w:rsidR="00E8128F">
        <w:rPr>
          <w:rFonts w:cs="Scheherazade"/>
          <w:sz w:val="36"/>
          <w:szCs w:val="36"/>
          <w:rtl/>
        </w:rPr>
        <w:t xml:space="preserve"> </w:t>
      </w:r>
      <w:r w:rsidR="00AB1B12" w:rsidRPr="00FD211F">
        <w:rPr>
          <w:rFonts w:cs="Scheherazade"/>
          <w:sz w:val="36"/>
          <w:szCs w:val="36"/>
          <w:rtl/>
        </w:rPr>
        <w:t>مرادفه</w:t>
      </w:r>
      <w:r w:rsidR="00E8128F">
        <w:rPr>
          <w:rFonts w:cs="Scheherazade"/>
          <w:sz w:val="36"/>
          <w:szCs w:val="36"/>
          <w:rtl/>
        </w:rPr>
        <w:t xml:space="preserve"> </w:t>
      </w:r>
      <w:r w:rsidR="00AB1B12" w:rsidRPr="00FD211F">
        <w:rPr>
          <w:rFonts w:cs="Scheherazade"/>
          <w:sz w:val="36"/>
          <w:szCs w:val="36"/>
          <w:rtl/>
        </w:rPr>
        <w:t>في</w:t>
      </w:r>
      <w:r w:rsidR="00E8128F">
        <w:rPr>
          <w:rFonts w:cs="Scheherazade"/>
          <w:sz w:val="36"/>
          <w:szCs w:val="36"/>
          <w:rtl/>
        </w:rPr>
        <w:t xml:space="preserve"> </w:t>
      </w:r>
      <w:r w:rsidR="00AB1B12" w:rsidRPr="00FD211F">
        <w:rPr>
          <w:rFonts w:cs="Scheherazade"/>
          <w:sz w:val="36"/>
          <w:szCs w:val="36"/>
          <w:rtl/>
        </w:rPr>
        <w:t>الفارسي</w:t>
      </w:r>
      <w:r w:rsidR="00EC7EDF" w:rsidRPr="00FD211F">
        <w:rPr>
          <w:rFonts w:cs="Scheherazade"/>
          <w:sz w:val="36"/>
          <w:szCs w:val="36"/>
          <w:rtl/>
        </w:rPr>
        <w:t>ة</w:t>
      </w:r>
      <w:r w:rsidR="00E8128F">
        <w:rPr>
          <w:rFonts w:cs="Scheherazade"/>
          <w:sz w:val="36"/>
          <w:szCs w:val="36"/>
          <w:rtl/>
        </w:rPr>
        <w:t xml:space="preserve"> </w:t>
      </w:r>
      <w:r w:rsidR="00AB1B12" w:rsidRPr="00FD211F">
        <w:rPr>
          <w:rFonts w:cs="Scheherazade"/>
          <w:sz w:val="36"/>
          <w:szCs w:val="36"/>
          <w:rtl/>
        </w:rPr>
        <w:t>كلم</w:t>
      </w:r>
      <w:r w:rsidR="00EC7EDF" w:rsidRPr="00FD211F">
        <w:rPr>
          <w:rFonts w:cs="Scheherazade"/>
          <w:sz w:val="36"/>
          <w:szCs w:val="36"/>
          <w:rtl/>
        </w:rPr>
        <w:t>ة</w:t>
      </w:r>
      <w:r w:rsidR="00E8128F">
        <w:rPr>
          <w:rFonts w:cs="Scheherazade"/>
          <w:sz w:val="36"/>
          <w:szCs w:val="36"/>
          <w:rtl/>
        </w:rPr>
        <w:t xml:space="preserve"> </w:t>
      </w:r>
      <w:r w:rsidR="00614A3D" w:rsidRPr="00FD211F">
        <w:rPr>
          <w:rFonts w:cs="Scheherazade"/>
          <w:sz w:val="36"/>
          <w:szCs w:val="36"/>
          <w:rtl/>
        </w:rPr>
        <w:t>(دا</w:t>
      </w:r>
      <w:r w:rsidR="008553C7" w:rsidRPr="00FD211F">
        <w:rPr>
          <w:rFonts w:cs="Scheherazade"/>
          <w:sz w:val="36"/>
          <w:szCs w:val="36"/>
          <w:rtl/>
        </w:rPr>
        <w:t>نستن)</w:t>
      </w:r>
      <w:r w:rsidR="00603323" w:rsidRPr="00FD211F">
        <w:rPr>
          <w:rFonts w:cs="Scheherazade"/>
          <w:sz w:val="36"/>
          <w:szCs w:val="36"/>
          <w:rtl/>
        </w:rPr>
        <w:t>،</w:t>
      </w:r>
      <w:r w:rsidR="00E8128F">
        <w:rPr>
          <w:rFonts w:cs="Scheherazade"/>
          <w:sz w:val="36"/>
          <w:szCs w:val="36"/>
          <w:rtl/>
        </w:rPr>
        <w:t xml:space="preserve"> </w:t>
      </w:r>
      <w:r w:rsidR="008553C7" w:rsidRPr="00FD211F">
        <w:rPr>
          <w:rFonts w:cs="Scheherazade"/>
          <w:sz w:val="36"/>
          <w:szCs w:val="36"/>
          <w:rtl/>
        </w:rPr>
        <w:t>نعم</w:t>
      </w:r>
      <w:r w:rsidR="00E8128F">
        <w:rPr>
          <w:rFonts w:cs="Scheherazade"/>
          <w:sz w:val="36"/>
          <w:szCs w:val="36"/>
          <w:rtl/>
        </w:rPr>
        <w:t xml:space="preserve"> </w:t>
      </w:r>
      <w:r w:rsidR="008553C7" w:rsidRPr="00FD211F">
        <w:rPr>
          <w:rFonts w:cs="Scheherazade"/>
          <w:sz w:val="36"/>
          <w:szCs w:val="36"/>
          <w:rtl/>
        </w:rPr>
        <w:t>لو</w:t>
      </w:r>
      <w:r w:rsidR="00E8128F">
        <w:rPr>
          <w:rFonts w:cs="Scheherazade"/>
          <w:sz w:val="36"/>
          <w:szCs w:val="36"/>
          <w:rtl/>
        </w:rPr>
        <w:t xml:space="preserve"> </w:t>
      </w:r>
      <w:r w:rsidR="008553C7" w:rsidRPr="00FD211F">
        <w:rPr>
          <w:rFonts w:cs="Scheherazade"/>
          <w:sz w:val="36"/>
          <w:szCs w:val="36"/>
          <w:rtl/>
        </w:rPr>
        <w:t>قيل</w:t>
      </w:r>
      <w:r w:rsidR="00E8128F">
        <w:rPr>
          <w:rFonts w:cs="Scheherazade"/>
          <w:sz w:val="36"/>
          <w:szCs w:val="36"/>
          <w:rtl/>
        </w:rPr>
        <w:t xml:space="preserve"> </w:t>
      </w:r>
      <w:r w:rsidR="008553C7" w:rsidRPr="00FD211F">
        <w:rPr>
          <w:rFonts w:cs="Scheherazade"/>
          <w:sz w:val="36"/>
          <w:szCs w:val="36"/>
          <w:rtl/>
        </w:rPr>
        <w:t>علم</w:t>
      </w:r>
      <w:r w:rsidR="00E8128F">
        <w:rPr>
          <w:rFonts w:cs="Scheherazade"/>
          <w:sz w:val="36"/>
          <w:szCs w:val="36"/>
          <w:rtl/>
        </w:rPr>
        <w:t xml:space="preserve"> </w:t>
      </w:r>
      <w:r w:rsidR="008553C7" w:rsidRPr="00FD211F">
        <w:rPr>
          <w:rFonts w:cs="Scheherazade"/>
          <w:sz w:val="36"/>
          <w:szCs w:val="36"/>
          <w:rtl/>
        </w:rPr>
        <w:t>الاصول</w:t>
      </w:r>
      <w:r w:rsidR="00E8128F">
        <w:rPr>
          <w:rFonts w:cs="Scheherazade"/>
          <w:sz w:val="36"/>
          <w:szCs w:val="36"/>
          <w:rtl/>
        </w:rPr>
        <w:t xml:space="preserve"> </w:t>
      </w:r>
      <w:r w:rsidR="00614A3D" w:rsidRPr="00FD211F">
        <w:rPr>
          <w:rFonts w:cs="Scheherazade"/>
          <w:sz w:val="36"/>
          <w:szCs w:val="36"/>
          <w:rtl/>
        </w:rPr>
        <w:t>علم</w:t>
      </w:r>
      <w:r w:rsidR="00E8128F">
        <w:rPr>
          <w:rFonts w:cs="Scheherazade"/>
          <w:sz w:val="36"/>
          <w:szCs w:val="36"/>
          <w:rtl/>
        </w:rPr>
        <w:t xml:space="preserve"> </w:t>
      </w:r>
      <w:r w:rsidR="00614A3D" w:rsidRPr="00FD211F">
        <w:rPr>
          <w:rFonts w:cs="Scheherazade"/>
          <w:sz w:val="36"/>
          <w:szCs w:val="36"/>
          <w:rtl/>
        </w:rPr>
        <w:t>القواعد</w:t>
      </w:r>
      <w:r w:rsidR="00E8128F">
        <w:rPr>
          <w:rFonts w:cs="Scheherazade"/>
          <w:sz w:val="36"/>
          <w:szCs w:val="36"/>
          <w:rtl/>
        </w:rPr>
        <w:t xml:space="preserve"> </w:t>
      </w:r>
      <w:r w:rsidR="008553C7" w:rsidRPr="00FD211F">
        <w:rPr>
          <w:rFonts w:cs="Scheherazade"/>
          <w:sz w:val="36"/>
          <w:szCs w:val="36"/>
          <w:rtl/>
        </w:rPr>
        <w:t>كان</w:t>
      </w:r>
      <w:r w:rsidR="00E8128F">
        <w:rPr>
          <w:rFonts w:cs="Scheherazade"/>
          <w:sz w:val="36"/>
          <w:szCs w:val="36"/>
          <w:rtl/>
        </w:rPr>
        <w:t xml:space="preserve"> </w:t>
      </w:r>
      <w:r w:rsidR="008553C7" w:rsidRPr="00FD211F">
        <w:rPr>
          <w:rFonts w:cs="Scheherazade"/>
          <w:sz w:val="36"/>
          <w:szCs w:val="36"/>
          <w:rtl/>
        </w:rPr>
        <w:t>صحيحاً</w:t>
      </w:r>
      <w:r w:rsidR="00AB1B12" w:rsidRPr="00FD211F">
        <w:rPr>
          <w:rFonts w:cs="Scheherazade"/>
          <w:sz w:val="36"/>
          <w:szCs w:val="36"/>
          <w:rtl/>
        </w:rPr>
        <w:t>.</w:t>
      </w:r>
    </w:p>
    <w:p w14:paraId="497DA284" w14:textId="77777777" w:rsidR="00DD2AAE" w:rsidRPr="00FD211F" w:rsidRDefault="00DD2AAE" w:rsidP="0036563E">
      <w:pPr>
        <w:pStyle w:val="StyleComplexTraditionalArabic17ptJustifiedFirstline"/>
        <w:spacing w:before="0"/>
        <w:ind w:left="0" w:firstLine="227"/>
        <w:rPr>
          <w:rFonts w:cs="Scheherazade"/>
          <w:sz w:val="36"/>
          <w:szCs w:val="36"/>
          <w:rtl/>
        </w:rPr>
      </w:pPr>
      <w:r w:rsidRPr="00FD211F">
        <w:rPr>
          <w:rFonts w:cs="Scheherazade"/>
          <w:sz w:val="36"/>
          <w:szCs w:val="36"/>
          <w:rtl/>
        </w:rPr>
        <w:t>ثم</w:t>
      </w:r>
      <w:r w:rsidR="00E8128F">
        <w:rPr>
          <w:rFonts w:cs="Scheherazade"/>
          <w:sz w:val="36"/>
          <w:szCs w:val="36"/>
          <w:rtl/>
        </w:rPr>
        <w:t xml:space="preserve"> </w:t>
      </w:r>
      <w:r w:rsidRPr="00FD211F">
        <w:rPr>
          <w:rFonts w:cs="Scheherazade"/>
          <w:sz w:val="36"/>
          <w:szCs w:val="36"/>
          <w:rtl/>
        </w:rPr>
        <w:t>انه</w:t>
      </w:r>
      <w:r w:rsidR="00E8128F">
        <w:rPr>
          <w:rFonts w:cs="Scheherazade"/>
          <w:sz w:val="36"/>
          <w:szCs w:val="36"/>
          <w:rtl/>
        </w:rPr>
        <w:t xml:space="preserve"> </w:t>
      </w:r>
      <w:r w:rsidRPr="00FD211F">
        <w:rPr>
          <w:rFonts w:cs="Scheherazade"/>
          <w:sz w:val="36"/>
          <w:szCs w:val="36"/>
          <w:rtl/>
        </w:rPr>
        <w:t>يمكن</w:t>
      </w:r>
      <w:r w:rsidR="00E8128F">
        <w:rPr>
          <w:rFonts w:cs="Scheherazade"/>
          <w:sz w:val="36"/>
          <w:szCs w:val="36"/>
          <w:rtl/>
        </w:rPr>
        <w:t xml:space="preserve"> </w:t>
      </w:r>
      <w:r w:rsidRPr="00FD211F">
        <w:rPr>
          <w:rFonts w:cs="Scheherazade"/>
          <w:sz w:val="36"/>
          <w:szCs w:val="36"/>
          <w:rtl/>
        </w:rPr>
        <w:t>ان</w:t>
      </w:r>
      <w:r w:rsidR="00E8128F">
        <w:rPr>
          <w:rFonts w:cs="Scheherazade"/>
          <w:sz w:val="36"/>
          <w:szCs w:val="36"/>
          <w:rtl/>
        </w:rPr>
        <w:t xml:space="preserve"> </w:t>
      </w:r>
      <w:r w:rsidRPr="00FD211F">
        <w:rPr>
          <w:rFonts w:cs="Scheherazade"/>
          <w:sz w:val="36"/>
          <w:szCs w:val="36"/>
          <w:rtl/>
        </w:rPr>
        <w:t>يراد</w:t>
      </w:r>
      <w:r w:rsidR="00E8128F">
        <w:rPr>
          <w:rFonts w:cs="Scheherazade"/>
          <w:sz w:val="36"/>
          <w:szCs w:val="36"/>
          <w:rtl/>
        </w:rPr>
        <w:t xml:space="preserve"> </w:t>
      </w:r>
      <w:r w:rsidRPr="00FD211F">
        <w:rPr>
          <w:rFonts w:cs="Scheherazade"/>
          <w:sz w:val="36"/>
          <w:szCs w:val="36"/>
          <w:rtl/>
        </w:rPr>
        <w:t>من</w:t>
      </w:r>
      <w:r w:rsidR="00E8128F">
        <w:rPr>
          <w:rFonts w:cs="Scheherazade"/>
          <w:sz w:val="36"/>
          <w:szCs w:val="36"/>
          <w:rtl/>
        </w:rPr>
        <w:t xml:space="preserve"> </w:t>
      </w:r>
      <w:r w:rsidRPr="00FD211F">
        <w:rPr>
          <w:rFonts w:cs="Scheherazade"/>
          <w:sz w:val="36"/>
          <w:szCs w:val="36"/>
          <w:rtl/>
        </w:rPr>
        <w:t>كلمة</w:t>
      </w:r>
      <w:r w:rsidR="00E8128F">
        <w:rPr>
          <w:rFonts w:cs="Scheherazade"/>
          <w:sz w:val="36"/>
          <w:szCs w:val="36"/>
          <w:rtl/>
        </w:rPr>
        <w:t xml:space="preserve"> </w:t>
      </w:r>
      <w:r w:rsidRPr="00FD211F">
        <w:rPr>
          <w:rFonts w:cs="Scheherazade"/>
          <w:sz w:val="36"/>
          <w:szCs w:val="36"/>
          <w:rtl/>
        </w:rPr>
        <w:lastRenderedPageBreak/>
        <w:t>الممهّدة</w:t>
      </w:r>
      <w:r w:rsidR="00E8128F">
        <w:rPr>
          <w:rFonts w:cs="Scheherazade"/>
          <w:sz w:val="36"/>
          <w:szCs w:val="36"/>
          <w:rtl/>
        </w:rPr>
        <w:t xml:space="preserve"> </w:t>
      </w:r>
      <w:r w:rsidRPr="00FD211F">
        <w:rPr>
          <w:rFonts w:cs="Scheherazade"/>
          <w:sz w:val="36"/>
          <w:szCs w:val="36"/>
          <w:rtl/>
        </w:rPr>
        <w:t>معنى</w:t>
      </w:r>
      <w:r w:rsidR="00E8128F">
        <w:rPr>
          <w:rFonts w:cs="Scheherazade"/>
          <w:sz w:val="36"/>
          <w:szCs w:val="36"/>
          <w:rtl/>
        </w:rPr>
        <w:t xml:space="preserve"> </w:t>
      </w:r>
      <w:r w:rsidRPr="00FD211F">
        <w:rPr>
          <w:rFonts w:cs="Scheherazade"/>
          <w:sz w:val="36"/>
          <w:szCs w:val="36"/>
          <w:rtl/>
        </w:rPr>
        <w:t>اسم</w:t>
      </w:r>
      <w:r w:rsidR="00E8128F">
        <w:rPr>
          <w:rFonts w:cs="Scheherazade"/>
          <w:sz w:val="36"/>
          <w:szCs w:val="36"/>
          <w:rtl/>
        </w:rPr>
        <w:t xml:space="preserve"> </w:t>
      </w:r>
      <w:r w:rsidRPr="00FD211F">
        <w:rPr>
          <w:rFonts w:cs="Scheherazade"/>
          <w:sz w:val="36"/>
          <w:szCs w:val="36"/>
          <w:rtl/>
        </w:rPr>
        <w:t>الفاعل،</w:t>
      </w:r>
      <w:r w:rsidR="00E8128F">
        <w:rPr>
          <w:rFonts w:cs="Scheherazade"/>
          <w:sz w:val="36"/>
          <w:szCs w:val="36"/>
          <w:rtl/>
        </w:rPr>
        <w:t xml:space="preserve"> </w:t>
      </w:r>
      <w:r w:rsidRPr="00FD211F">
        <w:rPr>
          <w:rFonts w:cs="Scheherazade"/>
          <w:sz w:val="36"/>
          <w:szCs w:val="36"/>
          <w:rtl/>
        </w:rPr>
        <w:t>حيث</w:t>
      </w:r>
      <w:r w:rsidR="00E8128F">
        <w:rPr>
          <w:rFonts w:cs="Scheherazade"/>
          <w:sz w:val="36"/>
          <w:szCs w:val="36"/>
          <w:rtl/>
        </w:rPr>
        <w:t xml:space="preserve"> </w:t>
      </w:r>
      <w:r w:rsidRPr="00FD211F">
        <w:rPr>
          <w:rFonts w:cs="Scheherazade"/>
          <w:sz w:val="36"/>
          <w:szCs w:val="36"/>
          <w:rtl/>
        </w:rPr>
        <w:t>ان</w:t>
      </w:r>
      <w:r w:rsidR="00E8128F">
        <w:rPr>
          <w:rFonts w:cs="Scheherazade"/>
          <w:sz w:val="36"/>
          <w:szCs w:val="36"/>
          <w:rtl/>
        </w:rPr>
        <w:t xml:space="preserve"> </w:t>
      </w:r>
      <w:r w:rsidRPr="00FD211F">
        <w:rPr>
          <w:rFonts w:cs="Scheherazade"/>
          <w:sz w:val="36"/>
          <w:szCs w:val="36"/>
          <w:rtl/>
        </w:rPr>
        <w:t>القواعد</w:t>
      </w:r>
      <w:r w:rsidR="00E8128F">
        <w:rPr>
          <w:rFonts w:cs="Scheherazade"/>
          <w:sz w:val="36"/>
          <w:szCs w:val="36"/>
          <w:rtl/>
        </w:rPr>
        <w:t xml:space="preserve"> </w:t>
      </w:r>
      <w:r w:rsidRPr="00FD211F">
        <w:rPr>
          <w:rFonts w:cs="Scheherazade"/>
          <w:sz w:val="36"/>
          <w:szCs w:val="36"/>
          <w:rtl/>
        </w:rPr>
        <w:t>الاصولية</w:t>
      </w:r>
      <w:r w:rsidR="00E8128F">
        <w:rPr>
          <w:rFonts w:cs="Scheherazade"/>
          <w:sz w:val="36"/>
          <w:szCs w:val="36"/>
          <w:rtl/>
        </w:rPr>
        <w:t xml:space="preserve"> </w:t>
      </w:r>
      <w:r w:rsidRPr="00FD211F">
        <w:rPr>
          <w:rFonts w:cs="Scheherazade"/>
          <w:sz w:val="36"/>
          <w:szCs w:val="36"/>
          <w:rtl/>
        </w:rPr>
        <w:t>تمهِّد</w:t>
      </w:r>
      <w:r w:rsidR="00E8128F">
        <w:rPr>
          <w:rFonts w:cs="Scheherazade"/>
          <w:sz w:val="36"/>
          <w:szCs w:val="36"/>
          <w:rtl/>
        </w:rPr>
        <w:t xml:space="preserve"> </w:t>
      </w:r>
      <w:r w:rsidRPr="00FD211F">
        <w:rPr>
          <w:rFonts w:cs="Scheherazade"/>
          <w:sz w:val="36"/>
          <w:szCs w:val="36"/>
          <w:rtl/>
        </w:rPr>
        <w:t>من</w:t>
      </w:r>
      <w:r w:rsidR="00E8128F">
        <w:rPr>
          <w:rFonts w:cs="Scheherazade"/>
          <w:sz w:val="36"/>
          <w:szCs w:val="36"/>
          <w:rtl/>
        </w:rPr>
        <w:t xml:space="preserve"> </w:t>
      </w:r>
      <w:r w:rsidRPr="00FD211F">
        <w:rPr>
          <w:rFonts w:cs="Scheherazade"/>
          <w:sz w:val="36"/>
          <w:szCs w:val="36"/>
          <w:rtl/>
        </w:rPr>
        <w:t>استنباط</w:t>
      </w:r>
      <w:r w:rsidR="00E8128F">
        <w:rPr>
          <w:rFonts w:cs="Scheherazade"/>
          <w:sz w:val="36"/>
          <w:szCs w:val="36"/>
          <w:rtl/>
        </w:rPr>
        <w:t xml:space="preserve"> </w:t>
      </w:r>
      <w:r w:rsidRPr="00FD211F">
        <w:rPr>
          <w:rFonts w:cs="Scheherazade"/>
          <w:sz w:val="36"/>
          <w:szCs w:val="36"/>
          <w:rtl/>
        </w:rPr>
        <w:t>الاحكام،</w:t>
      </w:r>
      <w:r w:rsidR="00E8128F">
        <w:rPr>
          <w:rFonts w:cs="Scheherazade"/>
          <w:sz w:val="36"/>
          <w:szCs w:val="36"/>
          <w:rtl/>
        </w:rPr>
        <w:t xml:space="preserve"> </w:t>
      </w:r>
      <w:r w:rsidRPr="00FD211F">
        <w:rPr>
          <w:rFonts w:cs="Scheherazade"/>
          <w:sz w:val="36"/>
          <w:szCs w:val="36"/>
          <w:rtl/>
        </w:rPr>
        <w:t>كما</w:t>
      </w:r>
      <w:r w:rsidR="00E8128F">
        <w:rPr>
          <w:rFonts w:cs="Scheherazade"/>
          <w:sz w:val="36"/>
          <w:szCs w:val="36"/>
          <w:rtl/>
        </w:rPr>
        <w:t xml:space="preserve"> </w:t>
      </w:r>
      <w:r w:rsidRPr="00FD211F">
        <w:rPr>
          <w:rFonts w:cs="Scheherazade"/>
          <w:sz w:val="36"/>
          <w:szCs w:val="36"/>
          <w:rtl/>
        </w:rPr>
        <w:t>انه</w:t>
      </w:r>
      <w:r w:rsidR="00E8128F">
        <w:rPr>
          <w:rFonts w:cs="Scheherazade"/>
          <w:sz w:val="36"/>
          <w:szCs w:val="36"/>
          <w:rtl/>
        </w:rPr>
        <w:t xml:space="preserve"> </w:t>
      </w:r>
      <w:r w:rsidRPr="00FD211F">
        <w:rPr>
          <w:rFonts w:cs="Scheherazade"/>
          <w:sz w:val="36"/>
          <w:szCs w:val="36"/>
          <w:rtl/>
        </w:rPr>
        <w:t>قد</w:t>
      </w:r>
      <w:r w:rsidR="00E8128F">
        <w:rPr>
          <w:rFonts w:cs="Scheherazade"/>
          <w:sz w:val="36"/>
          <w:szCs w:val="36"/>
          <w:rtl/>
        </w:rPr>
        <w:t xml:space="preserve"> </w:t>
      </w:r>
      <w:r w:rsidRPr="00FD211F">
        <w:rPr>
          <w:rFonts w:cs="Scheherazade"/>
          <w:sz w:val="36"/>
          <w:szCs w:val="36"/>
          <w:rtl/>
        </w:rPr>
        <w:t>يراد</w:t>
      </w:r>
      <w:r w:rsidR="00E8128F">
        <w:rPr>
          <w:rFonts w:cs="Scheherazade"/>
          <w:sz w:val="36"/>
          <w:szCs w:val="36"/>
          <w:rtl/>
        </w:rPr>
        <w:t xml:space="preserve"> </w:t>
      </w:r>
      <w:r w:rsidRPr="00FD211F">
        <w:rPr>
          <w:rFonts w:cs="Scheherazade"/>
          <w:sz w:val="36"/>
          <w:szCs w:val="36"/>
          <w:rtl/>
        </w:rPr>
        <w:t>بها</w:t>
      </w:r>
      <w:r w:rsidR="00E8128F">
        <w:rPr>
          <w:rFonts w:cs="Scheherazade"/>
          <w:sz w:val="36"/>
          <w:szCs w:val="36"/>
          <w:rtl/>
        </w:rPr>
        <w:t xml:space="preserve"> </w:t>
      </w:r>
      <w:r w:rsidRPr="00FD211F">
        <w:rPr>
          <w:rFonts w:cs="Scheherazade"/>
          <w:sz w:val="36"/>
          <w:szCs w:val="36"/>
          <w:rtl/>
        </w:rPr>
        <w:t>معنى</w:t>
      </w:r>
      <w:r w:rsidR="00E8128F">
        <w:rPr>
          <w:rFonts w:cs="Scheherazade"/>
          <w:sz w:val="36"/>
          <w:szCs w:val="36"/>
          <w:rtl/>
        </w:rPr>
        <w:t xml:space="preserve"> </w:t>
      </w:r>
      <w:r w:rsidRPr="00FD211F">
        <w:rPr>
          <w:rFonts w:cs="Scheherazade"/>
          <w:sz w:val="36"/>
          <w:szCs w:val="36"/>
          <w:rtl/>
        </w:rPr>
        <w:t>اسم</w:t>
      </w:r>
      <w:r w:rsidR="00E8128F">
        <w:rPr>
          <w:rFonts w:cs="Scheherazade"/>
          <w:sz w:val="36"/>
          <w:szCs w:val="36"/>
          <w:rtl/>
        </w:rPr>
        <w:t xml:space="preserve"> </w:t>
      </w:r>
      <w:r w:rsidRPr="00FD211F">
        <w:rPr>
          <w:rFonts w:cs="Scheherazade"/>
          <w:sz w:val="36"/>
          <w:szCs w:val="36"/>
          <w:rtl/>
        </w:rPr>
        <w:t>المفعول،</w:t>
      </w:r>
      <w:r w:rsidR="00E8128F">
        <w:rPr>
          <w:rFonts w:cs="Scheherazade"/>
          <w:sz w:val="36"/>
          <w:szCs w:val="36"/>
          <w:rtl/>
        </w:rPr>
        <w:t xml:space="preserve"> </w:t>
      </w:r>
      <w:r w:rsidRPr="00FD211F">
        <w:rPr>
          <w:rFonts w:cs="Scheherazade"/>
          <w:sz w:val="36"/>
          <w:szCs w:val="36"/>
          <w:rtl/>
        </w:rPr>
        <w:t>حيث</w:t>
      </w:r>
      <w:r w:rsidR="00E8128F">
        <w:rPr>
          <w:rFonts w:cs="Scheherazade"/>
          <w:sz w:val="36"/>
          <w:szCs w:val="36"/>
          <w:rtl/>
        </w:rPr>
        <w:t xml:space="preserve"> </w:t>
      </w:r>
      <w:r w:rsidRPr="00FD211F">
        <w:rPr>
          <w:rFonts w:cs="Scheherazade"/>
          <w:sz w:val="36"/>
          <w:szCs w:val="36"/>
          <w:rtl/>
        </w:rPr>
        <w:t>ان</w:t>
      </w:r>
      <w:r w:rsidR="00E8128F">
        <w:rPr>
          <w:rFonts w:cs="Scheherazade"/>
          <w:sz w:val="36"/>
          <w:szCs w:val="36"/>
          <w:rtl/>
        </w:rPr>
        <w:t xml:space="preserve"> </w:t>
      </w:r>
      <w:r w:rsidRPr="00FD211F">
        <w:rPr>
          <w:rFonts w:cs="Scheherazade"/>
          <w:sz w:val="36"/>
          <w:szCs w:val="36"/>
          <w:rtl/>
        </w:rPr>
        <w:t>المدوّنين</w:t>
      </w:r>
      <w:r w:rsidR="00E8128F">
        <w:rPr>
          <w:rFonts w:cs="Scheherazade"/>
          <w:sz w:val="36"/>
          <w:szCs w:val="36"/>
          <w:rtl/>
        </w:rPr>
        <w:t xml:space="preserve"> </w:t>
      </w:r>
      <w:r w:rsidRPr="00FD211F">
        <w:rPr>
          <w:rFonts w:cs="Scheherazade"/>
          <w:sz w:val="36"/>
          <w:szCs w:val="36"/>
          <w:rtl/>
        </w:rPr>
        <w:t>لعلم</w:t>
      </w:r>
      <w:r w:rsidR="00E8128F">
        <w:rPr>
          <w:rFonts w:cs="Scheherazade"/>
          <w:sz w:val="36"/>
          <w:szCs w:val="36"/>
          <w:rtl/>
        </w:rPr>
        <w:t xml:space="preserve"> </w:t>
      </w:r>
      <w:r w:rsidRPr="00FD211F">
        <w:rPr>
          <w:rFonts w:cs="Scheherazade"/>
          <w:sz w:val="36"/>
          <w:szCs w:val="36"/>
          <w:rtl/>
        </w:rPr>
        <w:t>الاصول</w:t>
      </w:r>
      <w:r w:rsidR="00E8128F">
        <w:rPr>
          <w:rFonts w:cs="Scheherazade"/>
          <w:sz w:val="36"/>
          <w:szCs w:val="36"/>
          <w:rtl/>
        </w:rPr>
        <w:t xml:space="preserve"> </w:t>
      </w:r>
      <w:r w:rsidRPr="00FD211F">
        <w:rPr>
          <w:rFonts w:cs="Scheherazade"/>
          <w:sz w:val="36"/>
          <w:szCs w:val="36"/>
          <w:rtl/>
        </w:rPr>
        <w:t>مهدوا</w:t>
      </w:r>
      <w:r w:rsidR="00E8128F">
        <w:rPr>
          <w:rFonts w:cs="Scheherazade"/>
          <w:sz w:val="36"/>
          <w:szCs w:val="36"/>
          <w:rtl/>
        </w:rPr>
        <w:t xml:space="preserve"> </w:t>
      </w:r>
      <w:r w:rsidRPr="00FD211F">
        <w:rPr>
          <w:rFonts w:cs="Scheherazade"/>
          <w:sz w:val="36"/>
          <w:szCs w:val="36"/>
          <w:rtl/>
        </w:rPr>
        <w:t>تلك</w:t>
      </w:r>
      <w:r w:rsidR="00E8128F">
        <w:rPr>
          <w:rFonts w:cs="Scheherazade"/>
          <w:sz w:val="36"/>
          <w:szCs w:val="36"/>
          <w:rtl/>
        </w:rPr>
        <w:t xml:space="preserve"> </w:t>
      </w:r>
      <w:r w:rsidRPr="00FD211F">
        <w:rPr>
          <w:rFonts w:cs="Scheherazade"/>
          <w:sz w:val="36"/>
          <w:szCs w:val="36"/>
          <w:rtl/>
        </w:rPr>
        <w:t>القواعد</w:t>
      </w:r>
      <w:r w:rsidR="00E8128F">
        <w:rPr>
          <w:rFonts w:cs="Scheherazade"/>
          <w:sz w:val="36"/>
          <w:szCs w:val="36"/>
          <w:rtl/>
        </w:rPr>
        <w:t xml:space="preserve"> </w:t>
      </w:r>
      <w:r w:rsidRPr="00FD211F">
        <w:rPr>
          <w:rFonts w:cs="Scheherazade"/>
          <w:sz w:val="36"/>
          <w:szCs w:val="36"/>
          <w:rtl/>
        </w:rPr>
        <w:t>لاستنباط</w:t>
      </w:r>
      <w:r w:rsidR="00E8128F">
        <w:rPr>
          <w:rFonts w:cs="Scheherazade"/>
          <w:sz w:val="36"/>
          <w:szCs w:val="36"/>
          <w:rtl/>
        </w:rPr>
        <w:t xml:space="preserve"> </w:t>
      </w:r>
      <w:r w:rsidRPr="00FD211F">
        <w:rPr>
          <w:rFonts w:cs="Scheherazade"/>
          <w:sz w:val="36"/>
          <w:szCs w:val="36"/>
          <w:rtl/>
        </w:rPr>
        <w:t>الاحكام،</w:t>
      </w:r>
      <w:r w:rsidR="00E8128F">
        <w:rPr>
          <w:rFonts w:cs="Scheherazade"/>
          <w:sz w:val="36"/>
          <w:szCs w:val="36"/>
          <w:rtl/>
        </w:rPr>
        <w:t xml:space="preserve"> </w:t>
      </w:r>
      <w:r w:rsidRPr="00FD211F">
        <w:rPr>
          <w:rFonts w:cs="Scheherazade"/>
          <w:sz w:val="36"/>
          <w:szCs w:val="36"/>
          <w:rtl/>
        </w:rPr>
        <w:t>والانسب</w:t>
      </w:r>
      <w:r w:rsidR="00E8128F">
        <w:rPr>
          <w:rFonts w:cs="Scheherazade"/>
          <w:sz w:val="36"/>
          <w:szCs w:val="36"/>
          <w:rtl/>
        </w:rPr>
        <w:t xml:space="preserve"> </w:t>
      </w:r>
      <w:r w:rsidRPr="00FD211F">
        <w:rPr>
          <w:rFonts w:cs="Scheherazade"/>
          <w:sz w:val="36"/>
          <w:szCs w:val="36"/>
          <w:rtl/>
        </w:rPr>
        <w:t>هو</w:t>
      </w:r>
      <w:r w:rsidR="00E8128F">
        <w:rPr>
          <w:rFonts w:cs="Scheherazade"/>
          <w:sz w:val="36"/>
          <w:szCs w:val="36"/>
          <w:rtl/>
        </w:rPr>
        <w:t xml:space="preserve"> </w:t>
      </w:r>
      <w:r w:rsidRPr="00FD211F">
        <w:rPr>
          <w:rFonts w:cs="Scheherazade"/>
          <w:sz w:val="36"/>
          <w:szCs w:val="36"/>
          <w:rtl/>
        </w:rPr>
        <w:t>الأول،</w:t>
      </w:r>
      <w:r w:rsidR="00E8128F">
        <w:rPr>
          <w:rFonts w:cs="Scheherazade"/>
          <w:sz w:val="36"/>
          <w:szCs w:val="36"/>
          <w:rtl/>
        </w:rPr>
        <w:t xml:space="preserve"> </w:t>
      </w:r>
      <w:r w:rsidRPr="00FD211F">
        <w:rPr>
          <w:rFonts w:cs="Scheherazade"/>
          <w:sz w:val="36"/>
          <w:szCs w:val="36"/>
          <w:rtl/>
        </w:rPr>
        <w:t>لان</w:t>
      </w:r>
      <w:r w:rsidR="00E8128F">
        <w:rPr>
          <w:rFonts w:cs="Scheherazade"/>
          <w:sz w:val="36"/>
          <w:szCs w:val="36"/>
          <w:rtl/>
        </w:rPr>
        <w:t xml:space="preserve"> </w:t>
      </w:r>
      <w:r w:rsidRPr="00FD211F">
        <w:rPr>
          <w:rFonts w:cs="Scheherazade"/>
          <w:sz w:val="36"/>
          <w:szCs w:val="36"/>
          <w:rtl/>
        </w:rPr>
        <w:t>المهم</w:t>
      </w:r>
      <w:r w:rsidR="00E8128F">
        <w:rPr>
          <w:rFonts w:cs="Scheherazade"/>
          <w:sz w:val="36"/>
          <w:szCs w:val="36"/>
          <w:rtl/>
        </w:rPr>
        <w:t xml:space="preserve"> </w:t>
      </w:r>
      <w:r w:rsidRPr="00FD211F">
        <w:rPr>
          <w:rFonts w:cs="Scheherazade"/>
          <w:sz w:val="36"/>
          <w:szCs w:val="36"/>
          <w:rtl/>
        </w:rPr>
        <w:t>هو</w:t>
      </w:r>
      <w:r w:rsidR="00E8128F">
        <w:rPr>
          <w:rFonts w:cs="Scheherazade"/>
          <w:sz w:val="36"/>
          <w:szCs w:val="36"/>
          <w:rtl/>
        </w:rPr>
        <w:t xml:space="preserve"> </w:t>
      </w:r>
      <w:r w:rsidRPr="00FD211F">
        <w:rPr>
          <w:rFonts w:cs="Scheherazade"/>
          <w:sz w:val="36"/>
          <w:szCs w:val="36"/>
          <w:rtl/>
        </w:rPr>
        <w:t>الارتباط</w:t>
      </w:r>
      <w:r w:rsidR="00E8128F">
        <w:rPr>
          <w:rFonts w:cs="Scheherazade"/>
          <w:sz w:val="36"/>
          <w:szCs w:val="36"/>
          <w:rtl/>
        </w:rPr>
        <w:t xml:space="preserve"> </w:t>
      </w:r>
      <w:r w:rsidRPr="00FD211F">
        <w:rPr>
          <w:rFonts w:cs="Scheherazade"/>
          <w:sz w:val="36"/>
          <w:szCs w:val="36"/>
          <w:rtl/>
        </w:rPr>
        <w:t>الذاتي</w:t>
      </w:r>
      <w:r w:rsidR="00E8128F">
        <w:rPr>
          <w:rFonts w:cs="Scheherazade"/>
          <w:sz w:val="36"/>
          <w:szCs w:val="36"/>
          <w:rtl/>
        </w:rPr>
        <w:t xml:space="preserve"> </w:t>
      </w:r>
      <w:r w:rsidRPr="00FD211F">
        <w:rPr>
          <w:rFonts w:cs="Scheherazade"/>
          <w:sz w:val="36"/>
          <w:szCs w:val="36"/>
          <w:rtl/>
        </w:rPr>
        <w:t>الموجود</w:t>
      </w:r>
      <w:r w:rsidR="00E8128F">
        <w:rPr>
          <w:rFonts w:cs="Scheherazade"/>
          <w:sz w:val="36"/>
          <w:szCs w:val="36"/>
          <w:rtl/>
        </w:rPr>
        <w:t xml:space="preserve"> </w:t>
      </w:r>
      <w:r w:rsidRPr="00FD211F">
        <w:rPr>
          <w:rFonts w:cs="Scheherazade"/>
          <w:sz w:val="36"/>
          <w:szCs w:val="36"/>
          <w:rtl/>
        </w:rPr>
        <w:t>بين</w:t>
      </w:r>
      <w:r w:rsidR="00E8128F">
        <w:rPr>
          <w:rFonts w:cs="Scheherazade"/>
          <w:sz w:val="36"/>
          <w:szCs w:val="36"/>
          <w:rtl/>
        </w:rPr>
        <w:t xml:space="preserve"> </w:t>
      </w:r>
      <w:r w:rsidRPr="00FD211F">
        <w:rPr>
          <w:rFonts w:cs="Scheherazade"/>
          <w:sz w:val="36"/>
          <w:szCs w:val="36"/>
          <w:rtl/>
        </w:rPr>
        <w:t>قاعدة</w:t>
      </w:r>
      <w:r w:rsidR="00E8128F">
        <w:rPr>
          <w:rFonts w:cs="Scheherazade"/>
          <w:sz w:val="36"/>
          <w:szCs w:val="36"/>
          <w:rtl/>
        </w:rPr>
        <w:t xml:space="preserve"> </w:t>
      </w:r>
      <w:r w:rsidRPr="00FD211F">
        <w:rPr>
          <w:rFonts w:cs="Scheherazade"/>
          <w:sz w:val="36"/>
          <w:szCs w:val="36"/>
          <w:rtl/>
        </w:rPr>
        <w:t>وبين</w:t>
      </w:r>
      <w:r w:rsidR="00E8128F">
        <w:rPr>
          <w:rFonts w:cs="Scheherazade"/>
          <w:sz w:val="36"/>
          <w:szCs w:val="36"/>
          <w:rtl/>
        </w:rPr>
        <w:t xml:space="preserve"> </w:t>
      </w:r>
      <w:r w:rsidRPr="00FD211F">
        <w:rPr>
          <w:rFonts w:cs="Scheherazade"/>
          <w:sz w:val="36"/>
          <w:szCs w:val="36"/>
          <w:rtl/>
        </w:rPr>
        <w:t>استنباط</w:t>
      </w:r>
      <w:r w:rsidR="00E8128F">
        <w:rPr>
          <w:rFonts w:cs="Scheherazade"/>
          <w:sz w:val="36"/>
          <w:szCs w:val="36"/>
          <w:rtl/>
        </w:rPr>
        <w:t xml:space="preserve"> </w:t>
      </w:r>
      <w:r w:rsidRPr="00FD211F">
        <w:rPr>
          <w:rFonts w:cs="Scheherazade"/>
          <w:sz w:val="36"/>
          <w:szCs w:val="36"/>
          <w:rtl/>
        </w:rPr>
        <w:t>الاحكام،</w:t>
      </w:r>
      <w:r w:rsidR="00E8128F">
        <w:rPr>
          <w:rFonts w:cs="Scheherazade"/>
          <w:sz w:val="36"/>
          <w:szCs w:val="36"/>
          <w:rtl/>
        </w:rPr>
        <w:t xml:space="preserve"> </w:t>
      </w:r>
      <w:r w:rsidRPr="00FD211F">
        <w:rPr>
          <w:rFonts w:cs="Scheherazade"/>
          <w:sz w:val="36"/>
          <w:szCs w:val="36"/>
          <w:rtl/>
        </w:rPr>
        <w:t>سواء</w:t>
      </w:r>
      <w:r w:rsidR="00E8128F">
        <w:rPr>
          <w:rFonts w:cs="Scheherazade"/>
          <w:sz w:val="36"/>
          <w:szCs w:val="36"/>
          <w:rtl/>
        </w:rPr>
        <w:t xml:space="preserve"> </w:t>
      </w:r>
      <w:r w:rsidRPr="00FD211F">
        <w:rPr>
          <w:rFonts w:cs="Scheherazade"/>
          <w:sz w:val="36"/>
          <w:szCs w:val="36"/>
          <w:rtl/>
        </w:rPr>
        <w:t>لاحظه</w:t>
      </w:r>
      <w:r w:rsidR="00E8128F">
        <w:rPr>
          <w:rFonts w:cs="Scheherazade"/>
          <w:sz w:val="36"/>
          <w:szCs w:val="36"/>
          <w:rtl/>
        </w:rPr>
        <w:t xml:space="preserve"> </w:t>
      </w:r>
      <w:r w:rsidRPr="00FD211F">
        <w:rPr>
          <w:rFonts w:cs="Scheherazade"/>
          <w:sz w:val="36"/>
          <w:szCs w:val="36"/>
          <w:rtl/>
        </w:rPr>
        <w:t>المدوّنون</w:t>
      </w:r>
      <w:r w:rsidR="00E8128F">
        <w:rPr>
          <w:rFonts w:cs="Scheherazade"/>
          <w:sz w:val="36"/>
          <w:szCs w:val="36"/>
          <w:rtl/>
        </w:rPr>
        <w:t xml:space="preserve"> </w:t>
      </w:r>
      <w:r w:rsidRPr="00FD211F">
        <w:rPr>
          <w:rFonts w:cs="Scheherazade"/>
          <w:sz w:val="36"/>
          <w:szCs w:val="36"/>
          <w:rtl/>
        </w:rPr>
        <w:t>ام</w:t>
      </w:r>
      <w:r w:rsidR="00E8128F">
        <w:rPr>
          <w:rFonts w:cs="Scheherazade"/>
          <w:sz w:val="36"/>
          <w:szCs w:val="36"/>
          <w:rtl/>
        </w:rPr>
        <w:t xml:space="preserve"> </w:t>
      </w:r>
      <w:r w:rsidRPr="00FD211F">
        <w:rPr>
          <w:rFonts w:cs="Scheherazade"/>
          <w:sz w:val="36"/>
          <w:szCs w:val="36"/>
          <w:rtl/>
        </w:rPr>
        <w:t>لا.</w:t>
      </w:r>
    </w:p>
    <w:p w14:paraId="73D080A9" w14:textId="77777777" w:rsidR="006C2351" w:rsidRPr="00FD211F" w:rsidRDefault="00492562"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فقد</w:t>
      </w:r>
      <w:r w:rsidR="00E8128F">
        <w:rPr>
          <w:sz w:val="36"/>
          <w:szCs w:val="36"/>
          <w:rtl/>
        </w:rPr>
        <w:t xml:space="preserve"> </w:t>
      </w:r>
      <w:r w:rsidR="006B4F34" w:rsidRPr="00FD211F">
        <w:rPr>
          <w:sz w:val="36"/>
          <w:szCs w:val="36"/>
          <w:rtl/>
        </w:rPr>
        <w:t>اورد</w:t>
      </w:r>
      <w:r w:rsidR="00E8128F">
        <w:rPr>
          <w:sz w:val="36"/>
          <w:szCs w:val="36"/>
          <w:rtl/>
        </w:rPr>
        <w:t xml:space="preserve"> </w:t>
      </w:r>
      <w:r w:rsidR="006B4F34" w:rsidRPr="00FD211F">
        <w:rPr>
          <w:sz w:val="36"/>
          <w:szCs w:val="36"/>
          <w:rtl/>
        </w:rPr>
        <w:t>ع</w:t>
      </w:r>
      <w:r w:rsidR="006C2351" w:rsidRPr="00FD211F">
        <w:rPr>
          <w:sz w:val="36"/>
          <w:szCs w:val="36"/>
          <w:rtl/>
        </w:rPr>
        <w:t>لى</w:t>
      </w:r>
      <w:r w:rsidR="00E8128F">
        <w:rPr>
          <w:sz w:val="36"/>
          <w:szCs w:val="36"/>
          <w:rtl/>
        </w:rPr>
        <w:t xml:space="preserve"> </w:t>
      </w:r>
      <w:r w:rsidR="006C2351" w:rsidRPr="00FD211F">
        <w:rPr>
          <w:sz w:val="36"/>
          <w:szCs w:val="36"/>
          <w:rtl/>
        </w:rPr>
        <w:t>هذا</w:t>
      </w:r>
      <w:r w:rsidR="00E8128F">
        <w:rPr>
          <w:sz w:val="36"/>
          <w:szCs w:val="36"/>
          <w:rtl/>
        </w:rPr>
        <w:t xml:space="preserve"> </w:t>
      </w:r>
      <w:r w:rsidR="006C2351" w:rsidRPr="00FD211F">
        <w:rPr>
          <w:sz w:val="36"/>
          <w:szCs w:val="36"/>
          <w:rtl/>
        </w:rPr>
        <w:t>التعريف</w:t>
      </w:r>
      <w:r w:rsidR="00E8128F">
        <w:rPr>
          <w:sz w:val="36"/>
          <w:szCs w:val="36"/>
          <w:rtl/>
        </w:rPr>
        <w:t xml:space="preserve"> </w:t>
      </w:r>
      <w:r w:rsidR="006B4F34" w:rsidRPr="00FD211F">
        <w:rPr>
          <w:sz w:val="36"/>
          <w:szCs w:val="36"/>
          <w:rtl/>
        </w:rPr>
        <w:t>بعد</w:t>
      </w:r>
      <w:r w:rsidR="00EC7EDF" w:rsidRPr="00FD211F">
        <w:rPr>
          <w:sz w:val="36"/>
          <w:szCs w:val="36"/>
          <w:rtl/>
        </w:rPr>
        <w:t>ة</w:t>
      </w:r>
      <w:r w:rsidR="00E8128F">
        <w:rPr>
          <w:sz w:val="36"/>
          <w:szCs w:val="36"/>
          <w:rtl/>
        </w:rPr>
        <w:t xml:space="preserve"> </w:t>
      </w:r>
      <w:r w:rsidR="006B4F34" w:rsidRPr="00FD211F">
        <w:rPr>
          <w:sz w:val="36"/>
          <w:szCs w:val="36"/>
          <w:rtl/>
        </w:rPr>
        <w:t>ايرادا</w:t>
      </w:r>
      <w:r w:rsidR="006C2351" w:rsidRPr="00FD211F">
        <w:rPr>
          <w:sz w:val="36"/>
          <w:szCs w:val="36"/>
          <w:rtl/>
        </w:rPr>
        <w:t>ت:</w:t>
      </w:r>
    </w:p>
    <w:p w14:paraId="20E4C404" w14:textId="77777777" w:rsidR="000C5BBA" w:rsidRPr="00FD211F" w:rsidRDefault="006B4F34" w:rsidP="009C58C8">
      <w:pPr>
        <w:pStyle w:val="3"/>
        <w:ind w:firstLine="227"/>
        <w:jc w:val="both"/>
        <w:rPr>
          <w:rtl/>
        </w:rPr>
      </w:pPr>
      <w:bookmarkStart w:id="5" w:name="_Toc154131704"/>
      <w:bookmarkStart w:id="6" w:name="_Toc156401492"/>
      <w:bookmarkStart w:id="7" w:name="_Toc192092839"/>
      <w:bookmarkStart w:id="8" w:name="_Toc223890306"/>
      <w:r w:rsidRPr="00FD211F">
        <w:rPr>
          <w:rtl/>
        </w:rPr>
        <w:t>الايراد</w:t>
      </w:r>
      <w:r w:rsidR="00E8128F">
        <w:rPr>
          <w:rtl/>
        </w:rPr>
        <w:t xml:space="preserve"> </w:t>
      </w:r>
      <w:r w:rsidR="006C2351" w:rsidRPr="00FD211F">
        <w:rPr>
          <w:rtl/>
        </w:rPr>
        <w:t>الأول</w:t>
      </w:r>
      <w:r w:rsidR="00E8128F">
        <w:rPr>
          <w:rtl/>
        </w:rPr>
        <w:t xml:space="preserve"> </w:t>
      </w:r>
      <w:r w:rsidR="00DD1C3B" w:rsidRPr="00FD211F">
        <w:rPr>
          <w:rtl/>
        </w:rPr>
        <w:t>على</w:t>
      </w:r>
      <w:r w:rsidR="00E8128F">
        <w:rPr>
          <w:rtl/>
        </w:rPr>
        <w:t xml:space="preserve"> </w:t>
      </w:r>
      <w:r w:rsidR="00DD1C3B" w:rsidRPr="00FD211F">
        <w:rPr>
          <w:rtl/>
        </w:rPr>
        <w:t>تعريف</w:t>
      </w:r>
      <w:r w:rsidR="00E8128F">
        <w:rPr>
          <w:rtl/>
        </w:rPr>
        <w:t xml:space="preserve"> </w:t>
      </w:r>
      <w:r w:rsidR="00DD1C3B" w:rsidRPr="00FD211F">
        <w:rPr>
          <w:rtl/>
        </w:rPr>
        <w:t>المشهور</w:t>
      </w:r>
      <w:bookmarkEnd w:id="5"/>
      <w:bookmarkEnd w:id="6"/>
      <w:bookmarkEnd w:id="7"/>
      <w:bookmarkEnd w:id="8"/>
    </w:p>
    <w:p w14:paraId="0340813C" w14:textId="77777777" w:rsidR="00942AE4" w:rsidRPr="00FD211F" w:rsidRDefault="006B4F34" w:rsidP="009C58C8">
      <w:pPr>
        <w:ind w:left="0" w:firstLine="227"/>
        <w:jc w:val="both"/>
        <w:rPr>
          <w:sz w:val="36"/>
          <w:szCs w:val="36"/>
          <w:rtl/>
        </w:rPr>
      </w:pPr>
      <w:r w:rsidRPr="00FD211F">
        <w:rPr>
          <w:b/>
          <w:bCs/>
          <w:sz w:val="36"/>
          <w:szCs w:val="36"/>
          <w:rtl/>
        </w:rPr>
        <w:t>الايراد</w:t>
      </w:r>
      <w:r w:rsidR="00E8128F">
        <w:rPr>
          <w:b/>
          <w:bCs/>
          <w:sz w:val="36"/>
          <w:szCs w:val="36"/>
          <w:rtl/>
        </w:rPr>
        <w:t xml:space="preserve"> </w:t>
      </w:r>
      <w:r w:rsidR="00DD1C3B" w:rsidRPr="00FD211F">
        <w:rPr>
          <w:b/>
          <w:bCs/>
          <w:sz w:val="36"/>
          <w:szCs w:val="36"/>
          <w:rtl/>
        </w:rPr>
        <w:t>الاول</w:t>
      </w:r>
      <w:r w:rsidR="00DD1C3B" w:rsidRPr="00FD211F">
        <w:rPr>
          <w:sz w:val="36"/>
          <w:szCs w:val="36"/>
          <w:rtl/>
        </w:rPr>
        <w:t>:</w:t>
      </w:r>
      <w:r w:rsidR="00E8128F">
        <w:rPr>
          <w:sz w:val="36"/>
          <w:szCs w:val="36"/>
          <w:rtl/>
        </w:rPr>
        <w:t xml:space="preserve"> </w:t>
      </w:r>
      <w:r w:rsidR="006C2351" w:rsidRPr="00FD211F">
        <w:rPr>
          <w:sz w:val="36"/>
          <w:szCs w:val="36"/>
          <w:rtl/>
        </w:rPr>
        <w:t>ما</w:t>
      </w:r>
      <w:r w:rsidR="00E8128F">
        <w:rPr>
          <w:sz w:val="36"/>
          <w:szCs w:val="36"/>
          <w:rtl/>
        </w:rPr>
        <w:t xml:space="preserve"> </w:t>
      </w:r>
      <w:r w:rsidR="006C2351" w:rsidRPr="00FD211F">
        <w:rPr>
          <w:sz w:val="36"/>
          <w:szCs w:val="36"/>
          <w:rtl/>
        </w:rPr>
        <w:t>ذكره</w:t>
      </w:r>
      <w:r w:rsidR="00E8128F">
        <w:rPr>
          <w:sz w:val="36"/>
          <w:szCs w:val="36"/>
          <w:rtl/>
        </w:rPr>
        <w:t xml:space="preserve"> </w:t>
      </w:r>
      <w:r w:rsidR="00492562" w:rsidRPr="00FD211F">
        <w:rPr>
          <w:sz w:val="36"/>
          <w:szCs w:val="36"/>
          <w:rtl/>
        </w:rPr>
        <w:t>صاحب</w:t>
      </w:r>
      <w:r w:rsidR="00E8128F">
        <w:rPr>
          <w:sz w:val="36"/>
          <w:szCs w:val="36"/>
          <w:rtl/>
        </w:rPr>
        <w:t xml:space="preserve"> </w:t>
      </w:r>
      <w:r w:rsidR="00492562" w:rsidRPr="00FD211F">
        <w:rPr>
          <w:sz w:val="36"/>
          <w:szCs w:val="36"/>
          <w:rtl/>
        </w:rPr>
        <w:t>الكفاي</w:t>
      </w:r>
      <w:r w:rsidR="00EC7EDF" w:rsidRPr="00FD211F">
        <w:rPr>
          <w:sz w:val="36"/>
          <w:szCs w:val="36"/>
          <w:rtl/>
        </w:rPr>
        <w:t>ة</w:t>
      </w:r>
      <w:r w:rsidR="00E8128F">
        <w:rPr>
          <w:sz w:val="36"/>
          <w:szCs w:val="36"/>
          <w:rtl/>
        </w:rPr>
        <w:t xml:space="preserve"> </w:t>
      </w:r>
      <w:r w:rsidR="00AB1B12" w:rsidRPr="00FD211F">
        <w:rPr>
          <w:sz w:val="36"/>
          <w:szCs w:val="36"/>
          <w:rtl/>
        </w:rPr>
        <w:t>"قده"</w:t>
      </w:r>
      <w:r w:rsidR="00E8128F">
        <w:rPr>
          <w:sz w:val="36"/>
          <w:szCs w:val="36"/>
          <w:rtl/>
        </w:rPr>
        <w:t xml:space="preserve"> </w:t>
      </w:r>
      <w:r w:rsidR="00942AE4" w:rsidRPr="00FD211F">
        <w:rPr>
          <w:sz w:val="36"/>
          <w:szCs w:val="36"/>
          <w:rtl/>
        </w:rPr>
        <w:t>ومحصله:</w:t>
      </w:r>
      <w:r w:rsidR="00E8128F">
        <w:rPr>
          <w:sz w:val="36"/>
          <w:szCs w:val="36"/>
          <w:rtl/>
        </w:rPr>
        <w:t xml:space="preserve"> </w:t>
      </w:r>
      <w:r w:rsidR="00492562" w:rsidRPr="00FD211F">
        <w:rPr>
          <w:sz w:val="36"/>
          <w:szCs w:val="36"/>
          <w:rtl/>
        </w:rPr>
        <w:t>انه</w:t>
      </w:r>
      <w:r w:rsidR="00E8128F">
        <w:rPr>
          <w:sz w:val="36"/>
          <w:szCs w:val="36"/>
          <w:rtl/>
        </w:rPr>
        <w:t xml:space="preserve"> </w:t>
      </w:r>
      <w:r w:rsidR="00492562" w:rsidRPr="00FD211F">
        <w:rPr>
          <w:sz w:val="36"/>
          <w:szCs w:val="36"/>
          <w:rtl/>
        </w:rPr>
        <w:t>يلزم</w:t>
      </w:r>
      <w:r w:rsidR="00E8128F">
        <w:rPr>
          <w:sz w:val="36"/>
          <w:szCs w:val="36"/>
          <w:rtl/>
        </w:rPr>
        <w:t xml:space="preserve"> </w:t>
      </w:r>
      <w:r w:rsidR="00492562" w:rsidRPr="00FD211F">
        <w:rPr>
          <w:sz w:val="36"/>
          <w:szCs w:val="36"/>
          <w:rtl/>
        </w:rPr>
        <w:t>منه</w:t>
      </w:r>
      <w:r w:rsidR="00E8128F">
        <w:rPr>
          <w:sz w:val="36"/>
          <w:szCs w:val="36"/>
          <w:rtl/>
        </w:rPr>
        <w:t xml:space="preserve"> </w:t>
      </w:r>
      <w:r w:rsidR="00942AE4" w:rsidRPr="00FD211F">
        <w:rPr>
          <w:sz w:val="36"/>
          <w:szCs w:val="36"/>
          <w:rtl/>
        </w:rPr>
        <w:t>ان</w:t>
      </w:r>
      <w:r w:rsidR="00E8128F">
        <w:rPr>
          <w:sz w:val="36"/>
          <w:szCs w:val="36"/>
          <w:rtl/>
        </w:rPr>
        <w:t xml:space="preserve"> </w:t>
      </w:r>
      <w:r w:rsidR="00942AE4" w:rsidRPr="00FD211F">
        <w:rPr>
          <w:sz w:val="36"/>
          <w:szCs w:val="36"/>
          <w:rtl/>
        </w:rPr>
        <w:t>يخرج</w:t>
      </w:r>
      <w:r w:rsidR="00E8128F">
        <w:rPr>
          <w:sz w:val="36"/>
          <w:szCs w:val="36"/>
          <w:rtl/>
        </w:rPr>
        <w:t xml:space="preserve"> </w:t>
      </w:r>
      <w:r w:rsidR="00942AE4" w:rsidRPr="00FD211F">
        <w:rPr>
          <w:sz w:val="36"/>
          <w:szCs w:val="36"/>
          <w:rtl/>
        </w:rPr>
        <w:t>من</w:t>
      </w:r>
      <w:r w:rsidR="00E8128F">
        <w:rPr>
          <w:sz w:val="36"/>
          <w:szCs w:val="36"/>
          <w:rtl/>
        </w:rPr>
        <w:t xml:space="preserve"> </w:t>
      </w:r>
      <w:r w:rsidR="00942AE4" w:rsidRPr="00FD211F">
        <w:rPr>
          <w:sz w:val="36"/>
          <w:szCs w:val="36"/>
          <w:rtl/>
        </w:rPr>
        <w:t>علم</w:t>
      </w:r>
      <w:r w:rsidR="00E8128F">
        <w:rPr>
          <w:sz w:val="36"/>
          <w:szCs w:val="36"/>
          <w:rtl/>
        </w:rPr>
        <w:t xml:space="preserve"> </w:t>
      </w:r>
      <w:r w:rsidR="00942AE4" w:rsidRPr="00FD211F">
        <w:rPr>
          <w:sz w:val="36"/>
          <w:szCs w:val="36"/>
          <w:rtl/>
        </w:rPr>
        <w:t>الاصول</w:t>
      </w:r>
      <w:r w:rsidR="00E8128F">
        <w:rPr>
          <w:sz w:val="36"/>
          <w:szCs w:val="36"/>
          <w:rtl/>
        </w:rPr>
        <w:t xml:space="preserve"> </w:t>
      </w:r>
      <w:r w:rsidR="00942AE4" w:rsidRPr="00FD211F">
        <w:rPr>
          <w:sz w:val="36"/>
          <w:szCs w:val="36"/>
          <w:rtl/>
        </w:rPr>
        <w:t>مباحث</w:t>
      </w:r>
      <w:r w:rsidR="00E8128F">
        <w:rPr>
          <w:sz w:val="36"/>
          <w:szCs w:val="36"/>
          <w:rtl/>
        </w:rPr>
        <w:t xml:space="preserve"> </w:t>
      </w:r>
      <w:r w:rsidR="00942AE4" w:rsidRPr="00FD211F">
        <w:rPr>
          <w:sz w:val="36"/>
          <w:szCs w:val="36"/>
          <w:rtl/>
        </w:rPr>
        <w:t>الأصول</w:t>
      </w:r>
      <w:r w:rsidR="00E8128F">
        <w:rPr>
          <w:sz w:val="36"/>
          <w:szCs w:val="36"/>
          <w:rtl/>
        </w:rPr>
        <w:t xml:space="preserve"> </w:t>
      </w:r>
      <w:r w:rsidR="00942AE4" w:rsidRPr="00FD211F">
        <w:rPr>
          <w:sz w:val="36"/>
          <w:szCs w:val="36"/>
          <w:rtl/>
        </w:rPr>
        <w:t>العملي</w:t>
      </w:r>
      <w:r w:rsidR="00EC7EDF" w:rsidRPr="00FD211F">
        <w:rPr>
          <w:sz w:val="36"/>
          <w:szCs w:val="36"/>
          <w:rtl/>
        </w:rPr>
        <w:t>ة</w:t>
      </w:r>
      <w:r w:rsidR="00E8128F">
        <w:rPr>
          <w:sz w:val="36"/>
          <w:szCs w:val="36"/>
          <w:rtl/>
        </w:rPr>
        <w:t xml:space="preserve"> </w:t>
      </w:r>
      <w:r w:rsidR="00942AE4" w:rsidRPr="00FD211F">
        <w:rPr>
          <w:sz w:val="36"/>
          <w:szCs w:val="36"/>
          <w:rtl/>
        </w:rPr>
        <w:t>الشرعي</w:t>
      </w:r>
      <w:r w:rsidR="00EC7EDF" w:rsidRPr="00FD211F">
        <w:rPr>
          <w:sz w:val="36"/>
          <w:szCs w:val="36"/>
          <w:rtl/>
        </w:rPr>
        <w:t>ة</w:t>
      </w:r>
      <w:r w:rsidR="00603323" w:rsidRPr="00FD211F">
        <w:rPr>
          <w:sz w:val="36"/>
          <w:szCs w:val="36"/>
          <w:rtl/>
        </w:rPr>
        <w:t>،</w:t>
      </w:r>
      <w:r w:rsidR="00E8128F">
        <w:rPr>
          <w:sz w:val="36"/>
          <w:szCs w:val="36"/>
          <w:rtl/>
        </w:rPr>
        <w:t xml:space="preserve"> </w:t>
      </w:r>
      <w:r w:rsidR="00492562" w:rsidRPr="00FD211F">
        <w:rPr>
          <w:sz w:val="36"/>
          <w:szCs w:val="36"/>
          <w:rtl/>
        </w:rPr>
        <w:t>وكذا</w:t>
      </w:r>
      <w:r w:rsidR="00E8128F">
        <w:rPr>
          <w:sz w:val="36"/>
          <w:szCs w:val="36"/>
          <w:rtl/>
        </w:rPr>
        <w:t xml:space="preserve"> </w:t>
      </w:r>
      <w:r w:rsidR="00492562" w:rsidRPr="00FD211F">
        <w:rPr>
          <w:sz w:val="36"/>
          <w:szCs w:val="36"/>
          <w:rtl/>
        </w:rPr>
        <w:t>الاصول</w:t>
      </w:r>
      <w:r w:rsidR="00E8128F">
        <w:rPr>
          <w:sz w:val="36"/>
          <w:szCs w:val="36"/>
          <w:rtl/>
        </w:rPr>
        <w:t xml:space="preserve"> </w:t>
      </w:r>
      <w:r w:rsidR="00492562" w:rsidRPr="00FD211F">
        <w:rPr>
          <w:sz w:val="36"/>
          <w:szCs w:val="36"/>
          <w:rtl/>
        </w:rPr>
        <w:t>العملي</w:t>
      </w:r>
      <w:r w:rsidR="00EC7EDF" w:rsidRPr="00FD211F">
        <w:rPr>
          <w:sz w:val="36"/>
          <w:szCs w:val="36"/>
          <w:rtl/>
        </w:rPr>
        <w:t>ة</w:t>
      </w:r>
      <w:r w:rsidR="00E8128F">
        <w:rPr>
          <w:sz w:val="36"/>
          <w:szCs w:val="36"/>
          <w:rtl/>
        </w:rPr>
        <w:t xml:space="preserve"> </w:t>
      </w:r>
      <w:r w:rsidR="00492562" w:rsidRPr="00FD211F">
        <w:rPr>
          <w:sz w:val="36"/>
          <w:szCs w:val="36"/>
          <w:rtl/>
        </w:rPr>
        <w:t>العقلي</w:t>
      </w:r>
      <w:r w:rsidR="00EC7EDF" w:rsidRPr="00FD211F">
        <w:rPr>
          <w:sz w:val="36"/>
          <w:szCs w:val="36"/>
          <w:rtl/>
        </w:rPr>
        <w:t>ة</w:t>
      </w:r>
      <w:r w:rsidR="00603323" w:rsidRPr="00FD211F">
        <w:rPr>
          <w:sz w:val="36"/>
          <w:szCs w:val="36"/>
          <w:rtl/>
        </w:rPr>
        <w:t>،</w:t>
      </w:r>
      <w:r w:rsidR="00E8128F">
        <w:rPr>
          <w:sz w:val="36"/>
          <w:szCs w:val="36"/>
          <w:rtl/>
        </w:rPr>
        <w:t xml:space="preserve"> </w:t>
      </w:r>
      <w:r w:rsidR="00492562" w:rsidRPr="00FD211F">
        <w:rPr>
          <w:sz w:val="36"/>
          <w:szCs w:val="36"/>
          <w:rtl/>
        </w:rPr>
        <w:t>وحجي</w:t>
      </w:r>
      <w:r w:rsidR="00EC7EDF" w:rsidRPr="00FD211F">
        <w:rPr>
          <w:sz w:val="36"/>
          <w:szCs w:val="36"/>
          <w:rtl/>
        </w:rPr>
        <w:t>ة</w:t>
      </w:r>
      <w:r w:rsidR="00E8128F">
        <w:rPr>
          <w:sz w:val="36"/>
          <w:szCs w:val="36"/>
          <w:rtl/>
        </w:rPr>
        <w:t xml:space="preserve"> </w:t>
      </w:r>
      <w:r w:rsidR="00492562" w:rsidRPr="00FD211F">
        <w:rPr>
          <w:sz w:val="36"/>
          <w:szCs w:val="36"/>
          <w:rtl/>
        </w:rPr>
        <w:t>الظن</w:t>
      </w:r>
      <w:r w:rsidR="00E8128F">
        <w:rPr>
          <w:sz w:val="36"/>
          <w:szCs w:val="36"/>
          <w:rtl/>
        </w:rPr>
        <w:t xml:space="preserve"> </w:t>
      </w:r>
      <w:r w:rsidR="00492562" w:rsidRPr="00FD211F">
        <w:rPr>
          <w:sz w:val="36"/>
          <w:szCs w:val="36"/>
          <w:rtl/>
        </w:rPr>
        <w:t>المطلق</w:t>
      </w:r>
      <w:r w:rsidR="00E8128F">
        <w:rPr>
          <w:sz w:val="36"/>
          <w:szCs w:val="36"/>
          <w:rtl/>
        </w:rPr>
        <w:t xml:space="preserve"> </w:t>
      </w:r>
      <w:r w:rsidR="00492562" w:rsidRPr="00FD211F">
        <w:rPr>
          <w:sz w:val="36"/>
          <w:szCs w:val="36"/>
          <w:rtl/>
        </w:rPr>
        <w:t>على</w:t>
      </w:r>
      <w:r w:rsidR="00E8128F">
        <w:rPr>
          <w:sz w:val="36"/>
          <w:szCs w:val="36"/>
          <w:rtl/>
        </w:rPr>
        <w:t xml:space="preserve"> </w:t>
      </w:r>
      <w:r w:rsidR="00492562" w:rsidRPr="00FD211F">
        <w:rPr>
          <w:sz w:val="36"/>
          <w:szCs w:val="36"/>
          <w:rtl/>
        </w:rPr>
        <w:t>مسلك</w:t>
      </w:r>
      <w:r w:rsidR="00E8128F">
        <w:rPr>
          <w:sz w:val="36"/>
          <w:szCs w:val="36"/>
          <w:rtl/>
        </w:rPr>
        <w:t xml:space="preserve"> </w:t>
      </w:r>
      <w:r w:rsidR="00492562" w:rsidRPr="00FD211F">
        <w:rPr>
          <w:sz w:val="36"/>
          <w:szCs w:val="36"/>
          <w:rtl/>
        </w:rPr>
        <w:t>الحكوم</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
      </w:r>
      <w:r w:rsidR="009C58C8" w:rsidRPr="00FD211F">
        <w:rPr>
          <w:rStyle w:val="a6"/>
          <w:sz w:val="36"/>
          <w:szCs w:val="36"/>
          <w:rtl/>
        </w:rPr>
        <w:t>)</w:t>
      </w:r>
      <w:r w:rsidR="00E8128F">
        <w:rPr>
          <w:sz w:val="36"/>
          <w:szCs w:val="36"/>
          <w:rtl/>
        </w:rPr>
        <w:t xml:space="preserve"> </w:t>
      </w:r>
      <w:r w:rsidR="00492562" w:rsidRPr="00FD211F">
        <w:rPr>
          <w:sz w:val="36"/>
          <w:szCs w:val="36"/>
          <w:rtl/>
        </w:rPr>
        <w:lastRenderedPageBreak/>
        <w:t>عند</w:t>
      </w:r>
      <w:r w:rsidR="00E8128F">
        <w:rPr>
          <w:sz w:val="36"/>
          <w:szCs w:val="36"/>
          <w:rtl/>
        </w:rPr>
        <w:t xml:space="preserve"> </w:t>
      </w:r>
      <w:r w:rsidR="00492562" w:rsidRPr="00FD211F">
        <w:rPr>
          <w:sz w:val="36"/>
          <w:szCs w:val="36"/>
          <w:rtl/>
        </w:rPr>
        <w:t>تمامي</w:t>
      </w:r>
      <w:r w:rsidR="00EC7EDF" w:rsidRPr="00FD211F">
        <w:rPr>
          <w:sz w:val="36"/>
          <w:szCs w:val="36"/>
          <w:rtl/>
        </w:rPr>
        <w:t>ة</w:t>
      </w:r>
      <w:r w:rsidR="00E8128F">
        <w:rPr>
          <w:sz w:val="36"/>
          <w:szCs w:val="36"/>
          <w:rtl/>
        </w:rPr>
        <w:t xml:space="preserve"> </w:t>
      </w:r>
      <w:r w:rsidR="00492562" w:rsidRPr="00FD211F">
        <w:rPr>
          <w:sz w:val="36"/>
          <w:szCs w:val="36"/>
          <w:rtl/>
        </w:rPr>
        <w:t>مقدمات</w:t>
      </w:r>
      <w:r w:rsidR="00E8128F">
        <w:rPr>
          <w:sz w:val="36"/>
          <w:szCs w:val="36"/>
          <w:rtl/>
        </w:rPr>
        <w:t xml:space="preserve"> </w:t>
      </w:r>
      <w:r w:rsidR="00492562" w:rsidRPr="00FD211F">
        <w:rPr>
          <w:sz w:val="36"/>
          <w:szCs w:val="36"/>
          <w:rtl/>
        </w:rPr>
        <w:t>الانسداد</w:t>
      </w:r>
      <w:r w:rsidR="00942AE4" w:rsidRPr="00FD211F">
        <w:rPr>
          <w:sz w:val="36"/>
          <w:szCs w:val="36"/>
          <w:rtl/>
        </w:rPr>
        <w:t>.</w:t>
      </w:r>
    </w:p>
    <w:p w14:paraId="5CAA7B9D" w14:textId="77777777" w:rsidR="00586C41" w:rsidRPr="00FD211F" w:rsidRDefault="00942AE4" w:rsidP="009C58C8">
      <w:pPr>
        <w:ind w:left="0" w:firstLine="227"/>
        <w:jc w:val="both"/>
        <w:rPr>
          <w:sz w:val="36"/>
          <w:szCs w:val="36"/>
          <w:rtl/>
        </w:rPr>
      </w:pPr>
      <w:r w:rsidRPr="00FD211F">
        <w:rPr>
          <w:sz w:val="36"/>
          <w:szCs w:val="36"/>
          <w:rtl/>
        </w:rPr>
        <w:t>اما</w:t>
      </w:r>
      <w:r w:rsidR="00E8128F">
        <w:rPr>
          <w:sz w:val="36"/>
          <w:szCs w:val="36"/>
          <w:rtl/>
        </w:rPr>
        <w:t xml:space="preserve"> </w:t>
      </w:r>
      <w:r w:rsidRPr="00FD211F">
        <w:rPr>
          <w:sz w:val="36"/>
          <w:szCs w:val="36"/>
          <w:rtl/>
        </w:rPr>
        <w:t>وجه</w:t>
      </w:r>
      <w:r w:rsidR="00E8128F">
        <w:rPr>
          <w:sz w:val="36"/>
          <w:szCs w:val="36"/>
          <w:rtl/>
        </w:rPr>
        <w:t xml:space="preserve"> </w:t>
      </w:r>
      <w:r w:rsidRPr="00FD211F">
        <w:rPr>
          <w:sz w:val="36"/>
          <w:szCs w:val="36"/>
          <w:rtl/>
        </w:rPr>
        <w:t>خروج</w:t>
      </w:r>
      <w:r w:rsidR="00E8128F">
        <w:rPr>
          <w:sz w:val="36"/>
          <w:szCs w:val="36"/>
          <w:rtl/>
        </w:rPr>
        <w:t xml:space="preserve"> </w:t>
      </w:r>
      <w:r w:rsidR="00492562" w:rsidRPr="00FD211F">
        <w:rPr>
          <w:sz w:val="36"/>
          <w:szCs w:val="36"/>
          <w:rtl/>
        </w:rPr>
        <w:t>ال</w:t>
      </w:r>
      <w:r w:rsidR="00621D39" w:rsidRPr="00FD211F">
        <w:rPr>
          <w:sz w:val="36"/>
          <w:szCs w:val="36"/>
          <w:rtl/>
        </w:rPr>
        <w:t>أصول</w:t>
      </w:r>
      <w:r w:rsidR="00E8128F">
        <w:rPr>
          <w:sz w:val="36"/>
          <w:szCs w:val="36"/>
          <w:rtl/>
        </w:rPr>
        <w:t xml:space="preserve"> </w:t>
      </w:r>
      <w:r w:rsidR="004357B3" w:rsidRPr="00FD211F">
        <w:rPr>
          <w:sz w:val="36"/>
          <w:szCs w:val="36"/>
          <w:rtl/>
        </w:rPr>
        <w:t>العملي</w:t>
      </w:r>
      <w:r w:rsidR="00EC7EDF" w:rsidRPr="00FD211F">
        <w:rPr>
          <w:sz w:val="36"/>
          <w:szCs w:val="36"/>
          <w:rtl/>
        </w:rPr>
        <w:t>ة</w:t>
      </w:r>
      <w:r w:rsidR="00E8128F">
        <w:rPr>
          <w:sz w:val="36"/>
          <w:szCs w:val="36"/>
          <w:rtl/>
        </w:rPr>
        <w:t xml:space="preserve"> </w:t>
      </w:r>
      <w:r w:rsidR="00492562" w:rsidRPr="00FD211F">
        <w:rPr>
          <w:sz w:val="36"/>
          <w:szCs w:val="36"/>
          <w:rtl/>
        </w:rPr>
        <w:t>الشرعي</w:t>
      </w:r>
      <w:r w:rsidR="00EC7EDF" w:rsidRPr="00FD211F">
        <w:rPr>
          <w:sz w:val="36"/>
          <w:szCs w:val="36"/>
          <w:rtl/>
        </w:rPr>
        <w:t>ة</w:t>
      </w:r>
      <w:r w:rsidR="00E8128F">
        <w:rPr>
          <w:sz w:val="36"/>
          <w:szCs w:val="36"/>
          <w:rtl/>
        </w:rPr>
        <w:t xml:space="preserve"> </w:t>
      </w:r>
      <w:r w:rsidRPr="00FD211F">
        <w:rPr>
          <w:sz w:val="36"/>
          <w:szCs w:val="36"/>
          <w:rtl/>
        </w:rPr>
        <w:t>فلأنها</w:t>
      </w:r>
      <w:r w:rsidR="00E8128F">
        <w:rPr>
          <w:sz w:val="36"/>
          <w:szCs w:val="36"/>
          <w:rtl/>
        </w:rPr>
        <w:t xml:space="preserve"> </w:t>
      </w:r>
      <w:r w:rsidR="00246E61" w:rsidRPr="00FD211F">
        <w:rPr>
          <w:sz w:val="36"/>
          <w:szCs w:val="36"/>
          <w:rtl/>
        </w:rPr>
        <w:t>ب</w:t>
      </w:r>
      <w:r w:rsidR="005E3BD8" w:rsidRPr="00FD211F">
        <w:rPr>
          <w:sz w:val="36"/>
          <w:szCs w:val="36"/>
          <w:rtl/>
        </w:rPr>
        <w:t>أ</w:t>
      </w:r>
      <w:r w:rsidR="00246E61" w:rsidRPr="00FD211F">
        <w:rPr>
          <w:sz w:val="36"/>
          <w:szCs w:val="36"/>
          <w:rtl/>
        </w:rPr>
        <w:t>نفسها</w:t>
      </w:r>
      <w:r w:rsidR="00E8128F">
        <w:rPr>
          <w:sz w:val="36"/>
          <w:szCs w:val="36"/>
          <w:rtl/>
        </w:rPr>
        <w:t xml:space="preserve"> </w:t>
      </w:r>
      <w:r w:rsidR="00492562" w:rsidRPr="00FD211F">
        <w:rPr>
          <w:sz w:val="36"/>
          <w:szCs w:val="36"/>
          <w:rtl/>
        </w:rPr>
        <w:t>احكام</w:t>
      </w:r>
      <w:r w:rsidR="00E8128F">
        <w:rPr>
          <w:sz w:val="36"/>
          <w:szCs w:val="36"/>
          <w:rtl/>
        </w:rPr>
        <w:t xml:space="preserve"> </w:t>
      </w:r>
      <w:r w:rsidR="00492562" w:rsidRPr="00FD211F">
        <w:rPr>
          <w:sz w:val="36"/>
          <w:szCs w:val="36"/>
          <w:rtl/>
        </w:rPr>
        <w:t>شرعي</w:t>
      </w:r>
      <w:r w:rsidR="00EC7EDF" w:rsidRPr="00FD211F">
        <w:rPr>
          <w:sz w:val="36"/>
          <w:szCs w:val="36"/>
          <w:rtl/>
        </w:rPr>
        <w:t>ة</w:t>
      </w:r>
      <w:r w:rsidR="00E8128F">
        <w:rPr>
          <w:sz w:val="36"/>
          <w:szCs w:val="36"/>
          <w:rtl/>
        </w:rPr>
        <w:t xml:space="preserve"> </w:t>
      </w:r>
      <w:r w:rsidR="00492562" w:rsidRPr="00FD211F">
        <w:rPr>
          <w:sz w:val="36"/>
          <w:szCs w:val="36"/>
          <w:rtl/>
        </w:rPr>
        <w:t>متعلق</w:t>
      </w:r>
      <w:r w:rsidR="00EC7EDF" w:rsidRPr="00FD211F">
        <w:rPr>
          <w:sz w:val="36"/>
          <w:szCs w:val="36"/>
          <w:rtl/>
        </w:rPr>
        <w:t>ة</w:t>
      </w:r>
      <w:r w:rsidR="00E8128F">
        <w:rPr>
          <w:sz w:val="36"/>
          <w:szCs w:val="36"/>
          <w:rtl/>
        </w:rPr>
        <w:t xml:space="preserve"> </w:t>
      </w:r>
      <w:r w:rsidR="00492562" w:rsidRPr="00FD211F">
        <w:rPr>
          <w:sz w:val="36"/>
          <w:szCs w:val="36"/>
          <w:rtl/>
        </w:rPr>
        <w:t>بعمل</w:t>
      </w:r>
      <w:r w:rsidR="00E8128F">
        <w:rPr>
          <w:sz w:val="36"/>
          <w:szCs w:val="36"/>
          <w:rtl/>
        </w:rPr>
        <w:t xml:space="preserve"> </w:t>
      </w:r>
      <w:commentRangeStart w:id="9"/>
      <w:r w:rsidR="00492562" w:rsidRPr="00FD211F">
        <w:rPr>
          <w:sz w:val="36"/>
          <w:szCs w:val="36"/>
          <w:rtl/>
        </w:rPr>
        <w:t>المكلف</w:t>
      </w:r>
      <w:commentRangeEnd w:id="9"/>
      <w:r w:rsidR="00800D4F" w:rsidRPr="00FD211F">
        <w:rPr>
          <w:rStyle w:val="ab"/>
          <w:sz w:val="36"/>
          <w:szCs w:val="36"/>
          <w:rtl/>
        </w:rPr>
        <w:commentReference w:id="9"/>
      </w:r>
      <w:r w:rsidR="009C58C8" w:rsidRPr="00FD211F">
        <w:rPr>
          <w:rStyle w:val="a6"/>
          <w:sz w:val="36"/>
          <w:szCs w:val="36"/>
          <w:rtl/>
        </w:rPr>
        <w:t>(</w:t>
      </w:r>
      <w:r w:rsidR="009C58C8" w:rsidRPr="00FD211F">
        <w:rPr>
          <w:rStyle w:val="a6"/>
          <w:sz w:val="36"/>
          <w:szCs w:val="36"/>
          <w:rtl/>
        </w:rPr>
        <w:footnoteReference w:id="3"/>
      </w:r>
      <w:r w:rsidR="009C58C8" w:rsidRPr="00FD211F">
        <w:rPr>
          <w:rStyle w:val="a6"/>
          <w:sz w:val="36"/>
          <w:szCs w:val="36"/>
          <w:rtl/>
        </w:rPr>
        <w:t>)</w:t>
      </w:r>
      <w:r w:rsidR="00E8128F">
        <w:rPr>
          <w:sz w:val="36"/>
          <w:szCs w:val="36"/>
          <w:rtl/>
        </w:rPr>
        <w:t xml:space="preserve"> </w:t>
      </w:r>
      <w:r w:rsidR="00D86F29" w:rsidRPr="00FD211F">
        <w:rPr>
          <w:sz w:val="36"/>
          <w:szCs w:val="36"/>
          <w:rtl/>
        </w:rPr>
        <w:t>كوجوب</w:t>
      </w:r>
      <w:r w:rsidR="00E8128F">
        <w:rPr>
          <w:sz w:val="36"/>
          <w:szCs w:val="36"/>
          <w:rtl/>
        </w:rPr>
        <w:t xml:space="preserve"> </w:t>
      </w:r>
      <w:r w:rsidR="00D86F29" w:rsidRPr="00FD211F">
        <w:rPr>
          <w:sz w:val="36"/>
          <w:szCs w:val="36"/>
          <w:rtl/>
        </w:rPr>
        <w:t>الاحتياط</w:t>
      </w:r>
      <w:r w:rsidR="00E8128F">
        <w:rPr>
          <w:sz w:val="36"/>
          <w:szCs w:val="36"/>
          <w:rtl/>
        </w:rPr>
        <w:t xml:space="preserve"> </w:t>
      </w:r>
      <w:r w:rsidR="00D86F29" w:rsidRPr="00FD211F">
        <w:rPr>
          <w:sz w:val="36"/>
          <w:szCs w:val="36"/>
          <w:rtl/>
        </w:rPr>
        <w:t>في</w:t>
      </w:r>
      <w:r w:rsidR="00E8128F">
        <w:rPr>
          <w:sz w:val="36"/>
          <w:szCs w:val="36"/>
          <w:rtl/>
        </w:rPr>
        <w:t xml:space="preserve"> </w:t>
      </w:r>
      <w:r w:rsidR="00D86F29" w:rsidRPr="00FD211F">
        <w:rPr>
          <w:sz w:val="36"/>
          <w:szCs w:val="36"/>
          <w:rtl/>
        </w:rPr>
        <w:t>الشبه</w:t>
      </w:r>
      <w:r w:rsidR="00EC7EDF" w:rsidRPr="00FD211F">
        <w:rPr>
          <w:sz w:val="36"/>
          <w:szCs w:val="36"/>
          <w:rtl/>
        </w:rPr>
        <w:t>ة</w:t>
      </w:r>
      <w:r w:rsidR="00E8128F">
        <w:rPr>
          <w:sz w:val="36"/>
          <w:szCs w:val="36"/>
          <w:rtl/>
        </w:rPr>
        <w:t xml:space="preserve"> </w:t>
      </w:r>
      <w:r w:rsidR="00D86F29" w:rsidRPr="00FD211F">
        <w:rPr>
          <w:sz w:val="36"/>
          <w:szCs w:val="36"/>
          <w:rtl/>
        </w:rPr>
        <w:t>الحكمي</w:t>
      </w:r>
      <w:r w:rsidR="00EC7EDF" w:rsidRPr="00FD211F">
        <w:rPr>
          <w:sz w:val="36"/>
          <w:szCs w:val="36"/>
          <w:rtl/>
        </w:rPr>
        <w:t>ة</w:t>
      </w:r>
      <w:r w:rsidR="00E8128F">
        <w:rPr>
          <w:sz w:val="36"/>
          <w:szCs w:val="36"/>
          <w:rtl/>
        </w:rPr>
        <w:t xml:space="preserve"> </w:t>
      </w:r>
      <w:r w:rsidR="00D86F29" w:rsidRPr="00FD211F">
        <w:rPr>
          <w:sz w:val="36"/>
          <w:szCs w:val="36"/>
          <w:rtl/>
        </w:rPr>
        <w:t>قبل</w:t>
      </w:r>
      <w:r w:rsidR="00E8128F">
        <w:rPr>
          <w:sz w:val="36"/>
          <w:szCs w:val="36"/>
          <w:rtl/>
        </w:rPr>
        <w:t xml:space="preserve"> </w:t>
      </w:r>
      <w:r w:rsidR="00D86F29" w:rsidRPr="00FD211F">
        <w:rPr>
          <w:sz w:val="36"/>
          <w:szCs w:val="36"/>
          <w:rtl/>
        </w:rPr>
        <w:t>الفحص</w:t>
      </w:r>
      <w:r w:rsidR="00E8128F">
        <w:rPr>
          <w:sz w:val="36"/>
          <w:szCs w:val="36"/>
          <w:rtl/>
        </w:rPr>
        <w:t xml:space="preserve"> </w:t>
      </w:r>
      <w:r w:rsidR="00D86F29" w:rsidRPr="00FD211F">
        <w:rPr>
          <w:sz w:val="36"/>
          <w:szCs w:val="36"/>
          <w:rtl/>
        </w:rPr>
        <w:t>واصال</w:t>
      </w:r>
      <w:r w:rsidR="00EC7EDF" w:rsidRPr="00FD211F">
        <w:rPr>
          <w:sz w:val="36"/>
          <w:szCs w:val="36"/>
          <w:rtl/>
        </w:rPr>
        <w:t>ة</w:t>
      </w:r>
      <w:r w:rsidR="00E8128F">
        <w:rPr>
          <w:sz w:val="36"/>
          <w:szCs w:val="36"/>
          <w:rtl/>
        </w:rPr>
        <w:t xml:space="preserve"> </w:t>
      </w:r>
      <w:r w:rsidR="00D86F29" w:rsidRPr="00FD211F">
        <w:rPr>
          <w:sz w:val="36"/>
          <w:szCs w:val="36"/>
          <w:rtl/>
        </w:rPr>
        <w:t>الحلّ</w:t>
      </w:r>
      <w:r w:rsidR="00E8128F">
        <w:rPr>
          <w:sz w:val="36"/>
          <w:szCs w:val="36"/>
          <w:rtl/>
        </w:rPr>
        <w:t xml:space="preserve"> </w:t>
      </w:r>
      <w:r w:rsidR="00D86F29" w:rsidRPr="00FD211F">
        <w:rPr>
          <w:sz w:val="36"/>
          <w:szCs w:val="36"/>
          <w:rtl/>
        </w:rPr>
        <w:t>في</w:t>
      </w:r>
      <w:r w:rsidR="00E8128F">
        <w:rPr>
          <w:sz w:val="36"/>
          <w:szCs w:val="36"/>
          <w:rtl/>
        </w:rPr>
        <w:t xml:space="preserve"> </w:t>
      </w:r>
      <w:r w:rsidR="00D86F29" w:rsidRPr="00FD211F">
        <w:rPr>
          <w:sz w:val="36"/>
          <w:szCs w:val="36"/>
          <w:rtl/>
        </w:rPr>
        <w:t>الشبه</w:t>
      </w:r>
      <w:r w:rsidR="00EC7EDF" w:rsidRPr="00FD211F">
        <w:rPr>
          <w:sz w:val="36"/>
          <w:szCs w:val="36"/>
          <w:rtl/>
        </w:rPr>
        <w:t>ة</w:t>
      </w:r>
      <w:r w:rsidR="00E8128F">
        <w:rPr>
          <w:sz w:val="36"/>
          <w:szCs w:val="36"/>
          <w:rtl/>
        </w:rPr>
        <w:t xml:space="preserve"> </w:t>
      </w:r>
      <w:r w:rsidR="00D86F29" w:rsidRPr="00FD211F">
        <w:rPr>
          <w:sz w:val="36"/>
          <w:szCs w:val="36"/>
          <w:rtl/>
        </w:rPr>
        <w:t>الحكمي</w:t>
      </w:r>
      <w:r w:rsidR="00EC7EDF" w:rsidRPr="00FD211F">
        <w:rPr>
          <w:sz w:val="36"/>
          <w:szCs w:val="36"/>
          <w:rtl/>
        </w:rPr>
        <w:t>ة</w:t>
      </w:r>
      <w:r w:rsidR="00E8128F">
        <w:rPr>
          <w:sz w:val="36"/>
          <w:szCs w:val="36"/>
          <w:rtl/>
        </w:rPr>
        <w:t xml:space="preserve"> </w:t>
      </w:r>
      <w:r w:rsidR="00D86F29" w:rsidRPr="00FD211F">
        <w:rPr>
          <w:sz w:val="36"/>
          <w:szCs w:val="36"/>
          <w:rtl/>
        </w:rPr>
        <w:t>بعد</w:t>
      </w:r>
      <w:r w:rsidR="00E8128F">
        <w:rPr>
          <w:sz w:val="36"/>
          <w:szCs w:val="36"/>
          <w:rtl/>
        </w:rPr>
        <w:t xml:space="preserve"> </w:t>
      </w:r>
      <w:r w:rsidR="00D86F29" w:rsidRPr="00FD211F">
        <w:rPr>
          <w:sz w:val="36"/>
          <w:szCs w:val="36"/>
          <w:rtl/>
        </w:rPr>
        <w:t>الفحص</w:t>
      </w:r>
      <w:r w:rsidR="00603323" w:rsidRPr="00FD211F">
        <w:rPr>
          <w:sz w:val="36"/>
          <w:szCs w:val="36"/>
          <w:rtl/>
        </w:rPr>
        <w:t>،</w:t>
      </w:r>
      <w:r w:rsidR="00E8128F">
        <w:rPr>
          <w:sz w:val="36"/>
          <w:szCs w:val="36"/>
          <w:rtl/>
        </w:rPr>
        <w:t xml:space="preserve"> </w:t>
      </w:r>
      <w:r w:rsidR="00992D67" w:rsidRPr="00FD211F">
        <w:rPr>
          <w:sz w:val="36"/>
          <w:szCs w:val="36"/>
          <w:rtl/>
        </w:rPr>
        <w:t>فلايشملها</w:t>
      </w:r>
      <w:r w:rsidR="00E8128F">
        <w:rPr>
          <w:sz w:val="36"/>
          <w:szCs w:val="36"/>
          <w:rtl/>
        </w:rPr>
        <w:t xml:space="preserve"> </w:t>
      </w:r>
      <w:r w:rsidR="00992D67" w:rsidRPr="00FD211F">
        <w:rPr>
          <w:sz w:val="36"/>
          <w:szCs w:val="36"/>
          <w:rtl/>
        </w:rPr>
        <w:t>تعريف</w:t>
      </w:r>
      <w:r w:rsidR="00E8128F">
        <w:rPr>
          <w:sz w:val="36"/>
          <w:szCs w:val="36"/>
          <w:rtl/>
        </w:rPr>
        <w:t xml:space="preserve"> </w:t>
      </w:r>
      <w:r w:rsidR="00992D67" w:rsidRPr="00FD211F">
        <w:rPr>
          <w:sz w:val="36"/>
          <w:szCs w:val="36"/>
          <w:rtl/>
        </w:rPr>
        <w:t>علم</w:t>
      </w:r>
      <w:r w:rsidR="00E8128F">
        <w:rPr>
          <w:sz w:val="36"/>
          <w:szCs w:val="36"/>
          <w:rtl/>
        </w:rPr>
        <w:t xml:space="preserve"> </w:t>
      </w:r>
      <w:r w:rsidR="00992D67" w:rsidRPr="00FD211F">
        <w:rPr>
          <w:sz w:val="36"/>
          <w:szCs w:val="36"/>
          <w:rtl/>
        </w:rPr>
        <w:t>الاصول</w:t>
      </w:r>
      <w:r w:rsidR="00E8128F">
        <w:rPr>
          <w:sz w:val="36"/>
          <w:szCs w:val="36"/>
          <w:rtl/>
        </w:rPr>
        <w:t xml:space="preserve"> </w:t>
      </w:r>
      <w:r w:rsidR="00992D67" w:rsidRPr="00FD211F">
        <w:rPr>
          <w:sz w:val="36"/>
          <w:szCs w:val="36"/>
          <w:rtl/>
        </w:rPr>
        <w:t>بانه</w:t>
      </w:r>
      <w:r w:rsidR="00E8128F">
        <w:rPr>
          <w:sz w:val="36"/>
          <w:szCs w:val="36"/>
          <w:rtl/>
        </w:rPr>
        <w:t xml:space="preserve"> </w:t>
      </w:r>
      <w:r w:rsidR="00992D67" w:rsidRPr="00FD211F">
        <w:rPr>
          <w:sz w:val="36"/>
          <w:szCs w:val="36"/>
          <w:rtl/>
        </w:rPr>
        <w:t>العلم</w:t>
      </w:r>
      <w:r w:rsidR="00E8128F">
        <w:rPr>
          <w:sz w:val="36"/>
          <w:szCs w:val="36"/>
          <w:rtl/>
        </w:rPr>
        <w:t xml:space="preserve"> </w:t>
      </w:r>
      <w:r w:rsidR="00992D67" w:rsidRPr="00FD211F">
        <w:rPr>
          <w:sz w:val="36"/>
          <w:szCs w:val="36"/>
          <w:rtl/>
        </w:rPr>
        <w:t>بالقواعد</w:t>
      </w:r>
      <w:r w:rsidR="00E8128F">
        <w:rPr>
          <w:sz w:val="36"/>
          <w:szCs w:val="36"/>
          <w:rtl/>
        </w:rPr>
        <w:t xml:space="preserve"> </w:t>
      </w:r>
      <w:r w:rsidR="00992D67" w:rsidRPr="00FD211F">
        <w:rPr>
          <w:sz w:val="36"/>
          <w:szCs w:val="36"/>
          <w:rtl/>
        </w:rPr>
        <w:t>التي</w:t>
      </w:r>
      <w:r w:rsidR="00E8128F">
        <w:rPr>
          <w:sz w:val="36"/>
          <w:szCs w:val="36"/>
          <w:rtl/>
        </w:rPr>
        <w:t xml:space="preserve"> </w:t>
      </w:r>
      <w:r w:rsidR="00992D67" w:rsidRPr="00FD211F">
        <w:rPr>
          <w:sz w:val="36"/>
          <w:szCs w:val="36"/>
          <w:rtl/>
        </w:rPr>
        <w:t>تقع</w:t>
      </w:r>
      <w:r w:rsidR="00E8128F">
        <w:rPr>
          <w:sz w:val="36"/>
          <w:szCs w:val="36"/>
          <w:rtl/>
        </w:rPr>
        <w:t xml:space="preserve"> </w:t>
      </w:r>
      <w:r w:rsidR="00992D67" w:rsidRPr="00FD211F">
        <w:rPr>
          <w:sz w:val="36"/>
          <w:szCs w:val="36"/>
          <w:rtl/>
        </w:rPr>
        <w:t>في</w:t>
      </w:r>
      <w:r w:rsidR="00E8128F">
        <w:rPr>
          <w:sz w:val="36"/>
          <w:szCs w:val="36"/>
          <w:rtl/>
        </w:rPr>
        <w:t xml:space="preserve"> </w:t>
      </w:r>
      <w:r w:rsidR="00992D67" w:rsidRPr="00FD211F">
        <w:rPr>
          <w:sz w:val="36"/>
          <w:szCs w:val="36"/>
          <w:rtl/>
        </w:rPr>
        <w:t>طريق</w:t>
      </w:r>
      <w:r w:rsidR="00E8128F">
        <w:rPr>
          <w:sz w:val="36"/>
          <w:szCs w:val="36"/>
          <w:rtl/>
        </w:rPr>
        <w:t xml:space="preserve"> </w:t>
      </w:r>
      <w:r w:rsidR="00992D67" w:rsidRPr="00FD211F">
        <w:rPr>
          <w:sz w:val="36"/>
          <w:szCs w:val="36"/>
          <w:rtl/>
        </w:rPr>
        <w:t>استنباط</w:t>
      </w:r>
      <w:r w:rsidR="00E8128F">
        <w:rPr>
          <w:sz w:val="36"/>
          <w:szCs w:val="36"/>
          <w:rtl/>
        </w:rPr>
        <w:t xml:space="preserve"> </w:t>
      </w:r>
      <w:r w:rsidR="00992D67" w:rsidRPr="00FD211F">
        <w:rPr>
          <w:sz w:val="36"/>
          <w:szCs w:val="36"/>
          <w:rtl/>
        </w:rPr>
        <w:t>الحكم</w:t>
      </w:r>
      <w:r w:rsidR="00E8128F">
        <w:rPr>
          <w:sz w:val="36"/>
          <w:szCs w:val="36"/>
          <w:rtl/>
        </w:rPr>
        <w:t xml:space="preserve"> </w:t>
      </w:r>
      <w:r w:rsidR="00992D67" w:rsidRPr="00FD211F">
        <w:rPr>
          <w:sz w:val="36"/>
          <w:szCs w:val="36"/>
          <w:rtl/>
        </w:rPr>
        <w:t>الشرعي</w:t>
      </w:r>
      <w:r w:rsidR="00E8128F">
        <w:rPr>
          <w:sz w:val="36"/>
          <w:szCs w:val="36"/>
          <w:rtl/>
        </w:rPr>
        <w:t xml:space="preserve"> </w:t>
      </w:r>
      <w:r w:rsidR="00992D67" w:rsidRPr="00FD211F">
        <w:rPr>
          <w:sz w:val="36"/>
          <w:szCs w:val="36"/>
          <w:rtl/>
        </w:rPr>
        <w:t>الكلي</w:t>
      </w:r>
      <w:r w:rsidR="00603323" w:rsidRPr="00FD211F">
        <w:rPr>
          <w:sz w:val="36"/>
          <w:szCs w:val="36"/>
          <w:rtl/>
        </w:rPr>
        <w:t>،</w:t>
      </w:r>
      <w:r w:rsidR="00E8128F">
        <w:rPr>
          <w:sz w:val="36"/>
          <w:szCs w:val="36"/>
          <w:rtl/>
        </w:rPr>
        <w:t xml:space="preserve"> </w:t>
      </w:r>
      <w:r w:rsidR="00992D67" w:rsidRPr="00FD211F">
        <w:rPr>
          <w:sz w:val="36"/>
          <w:szCs w:val="36"/>
          <w:rtl/>
        </w:rPr>
        <w:t>حيث</w:t>
      </w:r>
      <w:r w:rsidR="00E8128F">
        <w:rPr>
          <w:sz w:val="36"/>
          <w:szCs w:val="36"/>
          <w:rtl/>
        </w:rPr>
        <w:t xml:space="preserve"> </w:t>
      </w:r>
      <w:r w:rsidR="00992D67" w:rsidRPr="00FD211F">
        <w:rPr>
          <w:sz w:val="36"/>
          <w:szCs w:val="36"/>
          <w:rtl/>
        </w:rPr>
        <w:t>ان</w:t>
      </w:r>
      <w:r w:rsidR="00E8128F">
        <w:rPr>
          <w:sz w:val="36"/>
          <w:szCs w:val="36"/>
          <w:rtl/>
        </w:rPr>
        <w:t xml:space="preserve"> </w:t>
      </w:r>
      <w:r w:rsidR="000F4D8C" w:rsidRPr="00FD211F">
        <w:rPr>
          <w:sz w:val="36"/>
          <w:szCs w:val="36"/>
          <w:rtl/>
        </w:rPr>
        <w:t>الاستنباط</w:t>
      </w:r>
      <w:r w:rsidR="00E8128F">
        <w:rPr>
          <w:sz w:val="36"/>
          <w:szCs w:val="36"/>
          <w:rtl/>
        </w:rPr>
        <w:t xml:space="preserve"> </w:t>
      </w:r>
      <w:r w:rsidR="00992D67" w:rsidRPr="00FD211F">
        <w:rPr>
          <w:sz w:val="36"/>
          <w:szCs w:val="36"/>
          <w:rtl/>
        </w:rPr>
        <w:t>بمعنى</w:t>
      </w:r>
      <w:r w:rsidR="00E8128F">
        <w:rPr>
          <w:sz w:val="36"/>
          <w:szCs w:val="36"/>
          <w:rtl/>
        </w:rPr>
        <w:t xml:space="preserve"> </w:t>
      </w:r>
      <w:r w:rsidR="00992D67" w:rsidRPr="00FD211F">
        <w:rPr>
          <w:sz w:val="36"/>
          <w:szCs w:val="36"/>
          <w:rtl/>
        </w:rPr>
        <w:t>الاستكشاف</w:t>
      </w:r>
      <w:r w:rsidR="00E8128F">
        <w:rPr>
          <w:sz w:val="36"/>
          <w:szCs w:val="36"/>
          <w:rtl/>
        </w:rPr>
        <w:t xml:space="preserve"> </w:t>
      </w:r>
      <w:r w:rsidR="00992D67" w:rsidRPr="00FD211F">
        <w:rPr>
          <w:sz w:val="36"/>
          <w:szCs w:val="36"/>
          <w:rtl/>
        </w:rPr>
        <w:t>ولاتستكشف</w:t>
      </w:r>
      <w:r w:rsidR="00E8128F">
        <w:rPr>
          <w:sz w:val="36"/>
          <w:szCs w:val="36"/>
          <w:rtl/>
        </w:rPr>
        <w:t xml:space="preserve"> </w:t>
      </w:r>
      <w:r w:rsidR="00992D67" w:rsidRPr="00FD211F">
        <w:rPr>
          <w:sz w:val="36"/>
          <w:szCs w:val="36"/>
          <w:rtl/>
        </w:rPr>
        <w:t>من</w:t>
      </w:r>
      <w:r w:rsidR="00E8128F">
        <w:rPr>
          <w:sz w:val="36"/>
          <w:szCs w:val="36"/>
          <w:rtl/>
        </w:rPr>
        <w:t xml:space="preserve"> </w:t>
      </w:r>
      <w:r w:rsidR="00992D67" w:rsidRPr="00FD211F">
        <w:rPr>
          <w:sz w:val="36"/>
          <w:szCs w:val="36"/>
          <w:rtl/>
        </w:rPr>
        <w:t>هذه</w:t>
      </w:r>
      <w:r w:rsidR="00E8128F">
        <w:rPr>
          <w:sz w:val="36"/>
          <w:szCs w:val="36"/>
          <w:rtl/>
        </w:rPr>
        <w:t xml:space="preserve"> </w:t>
      </w:r>
      <w:r w:rsidR="00992D67" w:rsidRPr="00FD211F">
        <w:rPr>
          <w:sz w:val="36"/>
          <w:szCs w:val="36"/>
          <w:rtl/>
        </w:rPr>
        <w:t>الاصول</w:t>
      </w:r>
      <w:r w:rsidR="00E8128F">
        <w:rPr>
          <w:sz w:val="36"/>
          <w:szCs w:val="36"/>
          <w:rtl/>
        </w:rPr>
        <w:t xml:space="preserve"> </w:t>
      </w:r>
      <w:r w:rsidR="00992D67" w:rsidRPr="00FD211F">
        <w:rPr>
          <w:sz w:val="36"/>
          <w:szCs w:val="36"/>
          <w:rtl/>
        </w:rPr>
        <w:t>العملي</w:t>
      </w:r>
      <w:r w:rsidR="00EC7EDF" w:rsidRPr="00FD211F">
        <w:rPr>
          <w:sz w:val="36"/>
          <w:szCs w:val="36"/>
          <w:rtl/>
        </w:rPr>
        <w:t>ة</w:t>
      </w:r>
      <w:r w:rsidR="00E8128F">
        <w:rPr>
          <w:sz w:val="36"/>
          <w:szCs w:val="36"/>
          <w:rtl/>
        </w:rPr>
        <w:t xml:space="preserve"> </w:t>
      </w:r>
      <w:r w:rsidR="00992D67" w:rsidRPr="00FD211F">
        <w:rPr>
          <w:sz w:val="36"/>
          <w:szCs w:val="36"/>
          <w:rtl/>
        </w:rPr>
        <w:t>اي</w:t>
      </w:r>
      <w:r w:rsidR="00E8128F">
        <w:rPr>
          <w:sz w:val="36"/>
          <w:szCs w:val="36"/>
          <w:rtl/>
        </w:rPr>
        <w:t xml:space="preserve"> </w:t>
      </w:r>
      <w:r w:rsidR="00992D67" w:rsidRPr="00FD211F">
        <w:rPr>
          <w:sz w:val="36"/>
          <w:szCs w:val="36"/>
          <w:rtl/>
        </w:rPr>
        <w:t>حكم</w:t>
      </w:r>
      <w:r w:rsidR="00E8128F">
        <w:rPr>
          <w:sz w:val="36"/>
          <w:szCs w:val="36"/>
          <w:rtl/>
        </w:rPr>
        <w:t xml:space="preserve"> </w:t>
      </w:r>
      <w:r w:rsidR="00992D67" w:rsidRPr="00FD211F">
        <w:rPr>
          <w:sz w:val="36"/>
          <w:szCs w:val="36"/>
          <w:rtl/>
        </w:rPr>
        <w:t>شرعي</w:t>
      </w:r>
      <w:r w:rsidR="00E8128F">
        <w:rPr>
          <w:sz w:val="36"/>
          <w:szCs w:val="36"/>
          <w:rtl/>
        </w:rPr>
        <w:t xml:space="preserve"> </w:t>
      </w:r>
      <w:r w:rsidR="00246E61" w:rsidRPr="00FD211F">
        <w:rPr>
          <w:sz w:val="36"/>
          <w:szCs w:val="36"/>
          <w:rtl/>
        </w:rPr>
        <w:t>ك</w:t>
      </w:r>
      <w:r w:rsidR="00992D67" w:rsidRPr="00FD211F">
        <w:rPr>
          <w:sz w:val="36"/>
          <w:szCs w:val="36"/>
          <w:rtl/>
        </w:rPr>
        <w:t>لي</w:t>
      </w:r>
      <w:r w:rsidR="00603323" w:rsidRPr="00FD211F">
        <w:rPr>
          <w:sz w:val="36"/>
          <w:szCs w:val="36"/>
          <w:rtl/>
        </w:rPr>
        <w:t>،</w:t>
      </w:r>
      <w:r w:rsidR="00E8128F">
        <w:rPr>
          <w:sz w:val="36"/>
          <w:szCs w:val="36"/>
          <w:rtl/>
        </w:rPr>
        <w:t xml:space="preserve"> </w:t>
      </w:r>
      <w:r w:rsidR="00246E61" w:rsidRPr="00FD211F">
        <w:rPr>
          <w:sz w:val="36"/>
          <w:szCs w:val="36"/>
          <w:rtl/>
        </w:rPr>
        <w:t>بل</w:t>
      </w:r>
      <w:r w:rsidR="00E8128F">
        <w:rPr>
          <w:sz w:val="36"/>
          <w:szCs w:val="36"/>
          <w:rtl/>
        </w:rPr>
        <w:t xml:space="preserve"> </w:t>
      </w:r>
      <w:r w:rsidR="00246E61" w:rsidRPr="00FD211F">
        <w:rPr>
          <w:sz w:val="36"/>
          <w:szCs w:val="36"/>
          <w:rtl/>
        </w:rPr>
        <w:t>هي</w:t>
      </w:r>
      <w:r w:rsidR="00E8128F">
        <w:rPr>
          <w:sz w:val="36"/>
          <w:szCs w:val="36"/>
          <w:rtl/>
        </w:rPr>
        <w:t xml:space="preserve"> </w:t>
      </w:r>
      <w:r w:rsidR="00246E61" w:rsidRPr="00FD211F">
        <w:rPr>
          <w:sz w:val="36"/>
          <w:szCs w:val="36"/>
          <w:rtl/>
        </w:rPr>
        <w:t>ب</w:t>
      </w:r>
      <w:r w:rsidR="00D3566A" w:rsidRPr="00FD211F">
        <w:rPr>
          <w:sz w:val="36"/>
          <w:szCs w:val="36"/>
          <w:rtl/>
        </w:rPr>
        <w:t>أ</w:t>
      </w:r>
      <w:r w:rsidR="00246E61" w:rsidRPr="00FD211F">
        <w:rPr>
          <w:sz w:val="36"/>
          <w:szCs w:val="36"/>
          <w:rtl/>
        </w:rPr>
        <w:t>نفسها</w:t>
      </w:r>
      <w:r w:rsidR="00E8128F">
        <w:rPr>
          <w:sz w:val="36"/>
          <w:szCs w:val="36"/>
          <w:rtl/>
        </w:rPr>
        <w:t xml:space="preserve"> </w:t>
      </w:r>
      <w:r w:rsidR="00246E61" w:rsidRPr="00FD211F">
        <w:rPr>
          <w:sz w:val="36"/>
          <w:szCs w:val="36"/>
          <w:rtl/>
        </w:rPr>
        <w:t>احكام</w:t>
      </w:r>
      <w:r w:rsidR="00E8128F">
        <w:rPr>
          <w:sz w:val="36"/>
          <w:szCs w:val="36"/>
          <w:rtl/>
        </w:rPr>
        <w:t xml:space="preserve"> </w:t>
      </w:r>
      <w:r w:rsidR="00246E61" w:rsidRPr="00FD211F">
        <w:rPr>
          <w:sz w:val="36"/>
          <w:szCs w:val="36"/>
          <w:rtl/>
        </w:rPr>
        <w:t>شرعي</w:t>
      </w:r>
      <w:r w:rsidR="00EC7EDF" w:rsidRPr="00FD211F">
        <w:rPr>
          <w:sz w:val="36"/>
          <w:szCs w:val="36"/>
          <w:rtl/>
        </w:rPr>
        <w:t>ة</w:t>
      </w:r>
      <w:r w:rsidR="00E8128F">
        <w:rPr>
          <w:sz w:val="36"/>
          <w:szCs w:val="36"/>
          <w:rtl/>
        </w:rPr>
        <w:t xml:space="preserve"> </w:t>
      </w:r>
      <w:r w:rsidR="00246E61" w:rsidRPr="00FD211F">
        <w:rPr>
          <w:sz w:val="36"/>
          <w:szCs w:val="36"/>
          <w:rtl/>
        </w:rPr>
        <w:t>كلي</w:t>
      </w:r>
      <w:r w:rsidR="00EC7EDF" w:rsidRPr="00FD211F">
        <w:rPr>
          <w:sz w:val="36"/>
          <w:szCs w:val="36"/>
          <w:rtl/>
        </w:rPr>
        <w:t>ة</w:t>
      </w:r>
      <w:r w:rsidR="00E8128F">
        <w:rPr>
          <w:sz w:val="36"/>
          <w:szCs w:val="36"/>
          <w:rtl/>
        </w:rPr>
        <w:t xml:space="preserve"> </w:t>
      </w:r>
      <w:r w:rsidR="00246E61" w:rsidRPr="00FD211F">
        <w:rPr>
          <w:sz w:val="36"/>
          <w:szCs w:val="36"/>
          <w:rtl/>
        </w:rPr>
        <w:t>تطبّق</w:t>
      </w:r>
      <w:r w:rsidR="00E8128F">
        <w:rPr>
          <w:sz w:val="36"/>
          <w:szCs w:val="36"/>
          <w:rtl/>
        </w:rPr>
        <w:t xml:space="preserve"> </w:t>
      </w:r>
      <w:r w:rsidR="00246E61" w:rsidRPr="00FD211F">
        <w:rPr>
          <w:sz w:val="36"/>
          <w:szCs w:val="36"/>
          <w:rtl/>
        </w:rPr>
        <w:t>على</w:t>
      </w:r>
      <w:r w:rsidR="00E8128F">
        <w:rPr>
          <w:sz w:val="36"/>
          <w:szCs w:val="36"/>
          <w:rtl/>
        </w:rPr>
        <w:t xml:space="preserve"> </w:t>
      </w:r>
      <w:r w:rsidR="00246E61" w:rsidRPr="00FD211F">
        <w:rPr>
          <w:sz w:val="36"/>
          <w:szCs w:val="36"/>
          <w:rtl/>
        </w:rPr>
        <w:t>صغرياتها</w:t>
      </w:r>
      <w:r w:rsidR="00E8128F">
        <w:rPr>
          <w:sz w:val="36"/>
          <w:szCs w:val="36"/>
          <w:rtl/>
        </w:rPr>
        <w:t xml:space="preserve"> </w:t>
      </w:r>
      <w:r w:rsidR="00246E61" w:rsidRPr="00FD211F">
        <w:rPr>
          <w:sz w:val="36"/>
          <w:szCs w:val="36"/>
          <w:rtl/>
        </w:rPr>
        <w:t>في</w:t>
      </w:r>
      <w:r w:rsidR="00E8128F">
        <w:rPr>
          <w:sz w:val="36"/>
          <w:szCs w:val="36"/>
          <w:rtl/>
        </w:rPr>
        <w:t xml:space="preserve"> </w:t>
      </w:r>
      <w:r w:rsidR="00246E61" w:rsidRPr="00FD211F">
        <w:rPr>
          <w:sz w:val="36"/>
          <w:szCs w:val="36"/>
          <w:rtl/>
        </w:rPr>
        <w:t>الفقه</w:t>
      </w:r>
      <w:r w:rsidR="00586C41" w:rsidRPr="00FD211F">
        <w:rPr>
          <w:sz w:val="36"/>
          <w:szCs w:val="36"/>
          <w:rtl/>
        </w:rPr>
        <w:t>.</w:t>
      </w:r>
    </w:p>
    <w:p w14:paraId="1355254F" w14:textId="77777777" w:rsidR="000C5BBA" w:rsidRPr="00FD211F" w:rsidRDefault="000F4D8C" w:rsidP="009C58C8">
      <w:pPr>
        <w:ind w:left="0" w:firstLine="227"/>
        <w:jc w:val="both"/>
        <w:rPr>
          <w:sz w:val="36"/>
          <w:szCs w:val="36"/>
          <w:rtl/>
        </w:rPr>
      </w:pPr>
      <w:r w:rsidRPr="00FD211F">
        <w:rPr>
          <w:sz w:val="36"/>
          <w:szCs w:val="36"/>
          <w:rtl/>
        </w:rPr>
        <w:t>واما</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العملي</w:t>
      </w:r>
      <w:r w:rsidR="00EC7EDF" w:rsidRPr="00FD211F">
        <w:rPr>
          <w:sz w:val="36"/>
          <w:szCs w:val="36"/>
          <w:rtl/>
        </w:rPr>
        <w:t>ة</w:t>
      </w:r>
      <w:r w:rsidR="00E8128F">
        <w:rPr>
          <w:sz w:val="36"/>
          <w:szCs w:val="36"/>
          <w:rtl/>
        </w:rPr>
        <w:t xml:space="preserve"> </w:t>
      </w:r>
      <w:r w:rsidRPr="00FD211F">
        <w:rPr>
          <w:sz w:val="36"/>
          <w:szCs w:val="36"/>
          <w:rtl/>
        </w:rPr>
        <w:t>العقلي</w:t>
      </w:r>
      <w:r w:rsidR="00EC7EDF" w:rsidRPr="00FD211F">
        <w:rPr>
          <w:sz w:val="36"/>
          <w:szCs w:val="36"/>
          <w:rtl/>
        </w:rPr>
        <w:t>ة</w:t>
      </w:r>
      <w:r w:rsidR="00E8128F">
        <w:rPr>
          <w:sz w:val="36"/>
          <w:szCs w:val="36"/>
          <w:rtl/>
        </w:rPr>
        <w:t xml:space="preserve"> </w:t>
      </w:r>
      <w:r w:rsidR="009977FE" w:rsidRPr="00FD211F">
        <w:rPr>
          <w:sz w:val="36"/>
          <w:szCs w:val="36"/>
          <w:rtl/>
        </w:rPr>
        <w:t>-</w:t>
      </w:r>
      <w:r w:rsidRPr="00FD211F">
        <w:rPr>
          <w:sz w:val="36"/>
          <w:szCs w:val="36"/>
          <w:rtl/>
        </w:rPr>
        <w:t>كأصال</w:t>
      </w:r>
      <w:r w:rsidR="00EC7EDF" w:rsidRPr="00FD211F">
        <w:rPr>
          <w:sz w:val="36"/>
          <w:szCs w:val="36"/>
          <w:rtl/>
        </w:rPr>
        <w:t>ة</w:t>
      </w:r>
      <w:r w:rsidR="00E8128F">
        <w:rPr>
          <w:sz w:val="36"/>
          <w:szCs w:val="36"/>
          <w:rtl/>
        </w:rPr>
        <w:t xml:space="preserve"> </w:t>
      </w:r>
      <w:r w:rsidRPr="00FD211F">
        <w:rPr>
          <w:sz w:val="36"/>
          <w:szCs w:val="36"/>
          <w:rtl/>
        </w:rPr>
        <w:t>الب</w:t>
      </w:r>
      <w:r w:rsidR="008D7B3D" w:rsidRPr="00FD211F">
        <w:rPr>
          <w:sz w:val="36"/>
          <w:szCs w:val="36"/>
          <w:rtl/>
        </w:rPr>
        <w:t>راءة</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الاحتياط</w:t>
      </w:r>
      <w:r w:rsidR="00E8128F">
        <w:rPr>
          <w:sz w:val="36"/>
          <w:szCs w:val="36"/>
          <w:rtl/>
        </w:rPr>
        <w:t xml:space="preserve"> </w:t>
      </w:r>
      <w:r w:rsidRPr="00FD211F">
        <w:rPr>
          <w:sz w:val="36"/>
          <w:szCs w:val="36"/>
          <w:rtl/>
        </w:rPr>
        <w:t>العقليين</w:t>
      </w:r>
      <w:r w:rsidR="009977FE" w:rsidRPr="00FD211F">
        <w:rPr>
          <w:sz w:val="36"/>
          <w:szCs w:val="36"/>
          <w:rtl/>
        </w:rPr>
        <w:t>-</w:t>
      </w:r>
      <w:r w:rsidR="00E8128F">
        <w:rPr>
          <w:sz w:val="36"/>
          <w:szCs w:val="36"/>
          <w:rtl/>
        </w:rPr>
        <w:t xml:space="preserve"> </w:t>
      </w:r>
      <w:r w:rsidRPr="00FD211F">
        <w:rPr>
          <w:sz w:val="36"/>
          <w:szCs w:val="36"/>
          <w:rtl/>
        </w:rPr>
        <w:t>وكذا</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الظن</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مسلك</w:t>
      </w:r>
      <w:r w:rsidR="00E8128F">
        <w:rPr>
          <w:sz w:val="36"/>
          <w:szCs w:val="36"/>
          <w:rtl/>
        </w:rPr>
        <w:t xml:space="preserve"> </w:t>
      </w:r>
      <w:r w:rsidRPr="00FD211F">
        <w:rPr>
          <w:sz w:val="36"/>
          <w:szCs w:val="36"/>
          <w:rtl/>
        </w:rPr>
        <w:t>الحكوم</w:t>
      </w:r>
      <w:r w:rsidR="00EC7EDF" w:rsidRPr="00FD211F">
        <w:rPr>
          <w:sz w:val="36"/>
          <w:szCs w:val="36"/>
          <w:rtl/>
        </w:rPr>
        <w:t>ة</w:t>
      </w:r>
      <w:r w:rsidR="00E8128F">
        <w:rPr>
          <w:sz w:val="36"/>
          <w:szCs w:val="36"/>
          <w:rtl/>
        </w:rPr>
        <w:t xml:space="preserve"> </w:t>
      </w:r>
      <w:r w:rsidR="00992D67" w:rsidRPr="00FD211F">
        <w:rPr>
          <w:sz w:val="36"/>
          <w:szCs w:val="36"/>
          <w:rtl/>
        </w:rPr>
        <w:t>فتكون</w:t>
      </w:r>
      <w:r w:rsidR="00E8128F">
        <w:rPr>
          <w:sz w:val="36"/>
          <w:szCs w:val="36"/>
          <w:rtl/>
        </w:rPr>
        <w:t xml:space="preserve"> </w:t>
      </w:r>
      <w:r w:rsidR="00992D67" w:rsidRPr="00FD211F">
        <w:rPr>
          <w:sz w:val="36"/>
          <w:szCs w:val="36"/>
          <w:rtl/>
        </w:rPr>
        <w:t>مجرد</w:t>
      </w:r>
      <w:r w:rsidR="00E8128F">
        <w:rPr>
          <w:sz w:val="36"/>
          <w:szCs w:val="36"/>
          <w:rtl/>
        </w:rPr>
        <w:t xml:space="preserve"> </w:t>
      </w:r>
      <w:r w:rsidRPr="00FD211F">
        <w:rPr>
          <w:sz w:val="36"/>
          <w:szCs w:val="36"/>
          <w:rtl/>
        </w:rPr>
        <w:t>منجز</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lastRenderedPageBreak/>
        <w:t>معذر</w:t>
      </w:r>
      <w:r w:rsidR="00E8128F">
        <w:rPr>
          <w:sz w:val="36"/>
          <w:szCs w:val="36"/>
          <w:rtl/>
        </w:rPr>
        <w:t xml:space="preserve"> </w:t>
      </w:r>
      <w:r w:rsidRPr="00FD211F">
        <w:rPr>
          <w:sz w:val="36"/>
          <w:szCs w:val="36"/>
          <w:rtl/>
        </w:rPr>
        <w:t>عقلي</w:t>
      </w:r>
      <w:r w:rsidR="00E8128F">
        <w:rPr>
          <w:sz w:val="36"/>
          <w:szCs w:val="36"/>
          <w:rtl/>
        </w:rPr>
        <w:t xml:space="preserve"> </w:t>
      </w:r>
      <w:r w:rsidRPr="00FD211F">
        <w:rPr>
          <w:sz w:val="36"/>
          <w:szCs w:val="36"/>
          <w:rtl/>
        </w:rPr>
        <w:t>بالنسب</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يقع</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استنباط</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واستكشافه</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التزمنا</w:t>
      </w:r>
      <w:r w:rsidR="00E8128F">
        <w:rPr>
          <w:sz w:val="36"/>
          <w:szCs w:val="36"/>
          <w:rtl/>
        </w:rPr>
        <w:t xml:space="preserve"> </w:t>
      </w:r>
      <w:r w:rsidRPr="00FD211F">
        <w:rPr>
          <w:sz w:val="36"/>
          <w:szCs w:val="36"/>
          <w:rtl/>
        </w:rPr>
        <w:t>بتعريف</w:t>
      </w:r>
      <w:r w:rsidR="00E8128F">
        <w:rPr>
          <w:sz w:val="36"/>
          <w:szCs w:val="36"/>
          <w:rtl/>
        </w:rPr>
        <w:t xml:space="preserve"> </w:t>
      </w:r>
      <w:r w:rsidRPr="00FD211F">
        <w:rPr>
          <w:sz w:val="36"/>
          <w:szCs w:val="36"/>
          <w:rtl/>
        </w:rPr>
        <w:t>المشهور</w:t>
      </w:r>
      <w:r w:rsidR="00E8128F">
        <w:rPr>
          <w:sz w:val="36"/>
          <w:szCs w:val="36"/>
          <w:rtl/>
        </w:rPr>
        <w:t xml:space="preserve"> </w:t>
      </w:r>
      <w:r w:rsidRPr="00FD211F">
        <w:rPr>
          <w:sz w:val="36"/>
          <w:szCs w:val="36"/>
          <w:rtl/>
        </w:rPr>
        <w:t>لزم</w:t>
      </w:r>
      <w:r w:rsidR="00E8128F">
        <w:rPr>
          <w:sz w:val="36"/>
          <w:szCs w:val="36"/>
          <w:rtl/>
        </w:rPr>
        <w:t xml:space="preserve"> </w:t>
      </w:r>
      <w:r w:rsidRPr="00FD211F">
        <w:rPr>
          <w:sz w:val="36"/>
          <w:szCs w:val="36"/>
          <w:rtl/>
        </w:rPr>
        <w:t>كون</w:t>
      </w:r>
      <w:r w:rsidR="00E8128F">
        <w:rPr>
          <w:sz w:val="36"/>
          <w:szCs w:val="36"/>
          <w:rtl/>
        </w:rPr>
        <w:t xml:space="preserve"> </w:t>
      </w:r>
      <w:r w:rsidR="00992D67" w:rsidRPr="00FD211F">
        <w:rPr>
          <w:sz w:val="36"/>
          <w:szCs w:val="36"/>
          <w:rtl/>
        </w:rPr>
        <w:t>ذكر</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المباحث</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الأصول</w:t>
      </w:r>
      <w:r w:rsidR="00E8128F">
        <w:rPr>
          <w:sz w:val="36"/>
          <w:szCs w:val="36"/>
          <w:rtl/>
        </w:rPr>
        <w:t xml:space="preserve"> </w:t>
      </w:r>
      <w:r w:rsidRPr="00FD211F">
        <w:rPr>
          <w:sz w:val="36"/>
          <w:szCs w:val="36"/>
          <w:rtl/>
        </w:rPr>
        <w:t>استطراد</w:t>
      </w:r>
      <w:r w:rsidR="00992D67" w:rsidRPr="00FD211F">
        <w:rPr>
          <w:sz w:val="36"/>
          <w:szCs w:val="36"/>
          <w:rtl/>
        </w:rPr>
        <w:t>يا</w:t>
      </w:r>
      <w:r w:rsidR="00603323" w:rsidRPr="00FD211F">
        <w:rPr>
          <w:sz w:val="36"/>
          <w:szCs w:val="36"/>
          <w:rtl/>
        </w:rPr>
        <w:t>،</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لاداعي</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الالتزام</w:t>
      </w:r>
      <w:r w:rsidR="00E8128F">
        <w:rPr>
          <w:sz w:val="36"/>
          <w:szCs w:val="36"/>
          <w:rtl/>
        </w:rPr>
        <w:t xml:space="preserve"> </w:t>
      </w:r>
      <w:r w:rsidRPr="00FD211F">
        <w:rPr>
          <w:sz w:val="36"/>
          <w:szCs w:val="36"/>
          <w:rtl/>
        </w:rPr>
        <w:t>بذلك</w:t>
      </w:r>
      <w:r w:rsidR="00EE5749" w:rsidRPr="00FD211F">
        <w:rPr>
          <w:sz w:val="36"/>
          <w:szCs w:val="36"/>
          <w:rtl/>
        </w:rPr>
        <w:t>.</w:t>
      </w:r>
    </w:p>
    <w:p w14:paraId="44850810" w14:textId="77777777" w:rsidR="000F4D8C" w:rsidRPr="00FD211F" w:rsidRDefault="00992D67" w:rsidP="009C58C8">
      <w:pPr>
        <w:ind w:left="0" w:firstLine="227"/>
        <w:jc w:val="both"/>
        <w:rPr>
          <w:sz w:val="36"/>
          <w:szCs w:val="36"/>
          <w:rtl/>
        </w:rPr>
      </w:pPr>
      <w:r w:rsidRPr="00FD211F">
        <w:rPr>
          <w:sz w:val="36"/>
          <w:szCs w:val="36"/>
          <w:rtl/>
        </w:rPr>
        <w:t>ولأجل</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أضاف</w:t>
      </w:r>
      <w:r w:rsidR="00E8128F">
        <w:rPr>
          <w:sz w:val="36"/>
          <w:szCs w:val="36"/>
          <w:rtl/>
        </w:rPr>
        <w:t xml:space="preserve"> </w:t>
      </w:r>
      <w:r w:rsidRPr="00FD211F">
        <w:rPr>
          <w:sz w:val="36"/>
          <w:szCs w:val="36"/>
          <w:rtl/>
        </w:rPr>
        <w:t>صاحب</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Pr="00FD211F">
        <w:rPr>
          <w:sz w:val="36"/>
          <w:szCs w:val="36"/>
          <w:rtl/>
        </w:rPr>
        <w:t>تتميما</w:t>
      </w:r>
      <w:r w:rsidR="00E8128F">
        <w:rPr>
          <w:sz w:val="36"/>
          <w:szCs w:val="36"/>
          <w:rtl/>
        </w:rPr>
        <w:t xml:space="preserve"> </w:t>
      </w:r>
      <w:r w:rsidRPr="00FD211F">
        <w:rPr>
          <w:sz w:val="36"/>
          <w:szCs w:val="36"/>
          <w:rtl/>
        </w:rPr>
        <w:t>لتعريف</w:t>
      </w:r>
      <w:r w:rsidR="00E8128F">
        <w:rPr>
          <w:sz w:val="36"/>
          <w:szCs w:val="36"/>
          <w:rtl/>
        </w:rPr>
        <w:t xml:space="preserve"> </w:t>
      </w:r>
      <w:r w:rsidRPr="00FD211F">
        <w:rPr>
          <w:sz w:val="36"/>
          <w:szCs w:val="36"/>
          <w:rtl/>
        </w:rPr>
        <w:t>المشهور</w:t>
      </w:r>
      <w:r w:rsidR="00E8128F">
        <w:rPr>
          <w:sz w:val="36"/>
          <w:szCs w:val="36"/>
          <w:rtl/>
        </w:rPr>
        <w:t xml:space="preserve"> </w:t>
      </w:r>
      <w:r w:rsidRPr="00FD211F">
        <w:rPr>
          <w:sz w:val="36"/>
          <w:szCs w:val="36"/>
          <w:rtl/>
        </w:rPr>
        <w:t>فقال</w:t>
      </w:r>
      <w:r w:rsidR="00E8128F">
        <w:rPr>
          <w:sz w:val="36"/>
          <w:szCs w:val="36"/>
          <w:rtl/>
        </w:rPr>
        <w:t xml:space="preserve"> </w:t>
      </w:r>
      <w:r w:rsidR="009977FE" w:rsidRPr="00FD211F">
        <w:rPr>
          <w:sz w:val="36"/>
          <w:szCs w:val="36"/>
          <w:rtl/>
        </w:rPr>
        <w:t>"</w:t>
      </w:r>
      <w:r w:rsidR="006C2351" w:rsidRPr="00FD211F">
        <w:rPr>
          <w:sz w:val="36"/>
          <w:szCs w:val="36"/>
          <w:rtl/>
        </w:rPr>
        <w:t>علم</w:t>
      </w:r>
      <w:r w:rsidR="00E8128F">
        <w:rPr>
          <w:sz w:val="36"/>
          <w:szCs w:val="36"/>
          <w:rtl/>
        </w:rPr>
        <w:t xml:space="preserve"> </w:t>
      </w:r>
      <w:r w:rsidR="006C2351" w:rsidRPr="00FD211F">
        <w:rPr>
          <w:sz w:val="36"/>
          <w:szCs w:val="36"/>
          <w:rtl/>
        </w:rPr>
        <w:t>الاصول</w:t>
      </w:r>
      <w:r w:rsidR="00E8128F">
        <w:rPr>
          <w:sz w:val="36"/>
          <w:szCs w:val="36"/>
          <w:rtl/>
        </w:rPr>
        <w:t xml:space="preserve"> </w:t>
      </w:r>
      <w:r w:rsidR="000F4D8C" w:rsidRPr="00FD211F">
        <w:rPr>
          <w:sz w:val="36"/>
          <w:szCs w:val="36"/>
          <w:rtl/>
        </w:rPr>
        <w:t>صناع</w:t>
      </w:r>
      <w:r w:rsidR="00EC7EDF" w:rsidRPr="00FD211F">
        <w:rPr>
          <w:sz w:val="36"/>
          <w:szCs w:val="36"/>
          <w:rtl/>
        </w:rPr>
        <w:t>ة</w:t>
      </w:r>
      <w:r w:rsidR="00E8128F">
        <w:rPr>
          <w:sz w:val="36"/>
          <w:szCs w:val="36"/>
          <w:rtl/>
        </w:rPr>
        <w:t xml:space="preserve"> </w:t>
      </w:r>
      <w:r w:rsidR="000F4D8C" w:rsidRPr="00FD211F">
        <w:rPr>
          <w:sz w:val="36"/>
          <w:szCs w:val="36"/>
          <w:rtl/>
        </w:rPr>
        <w:t>يعرف</w:t>
      </w:r>
      <w:r w:rsidR="00E8128F">
        <w:rPr>
          <w:sz w:val="36"/>
          <w:szCs w:val="36"/>
          <w:rtl/>
        </w:rPr>
        <w:t xml:space="preserve"> </w:t>
      </w:r>
      <w:r w:rsidR="000F4D8C" w:rsidRPr="00FD211F">
        <w:rPr>
          <w:sz w:val="36"/>
          <w:szCs w:val="36"/>
          <w:rtl/>
        </w:rPr>
        <w:t>بها</w:t>
      </w:r>
      <w:r w:rsidR="00E8128F">
        <w:rPr>
          <w:sz w:val="36"/>
          <w:szCs w:val="36"/>
          <w:rtl/>
        </w:rPr>
        <w:t xml:space="preserve"> </w:t>
      </w:r>
      <w:r w:rsidR="000F4D8C" w:rsidRPr="00FD211F">
        <w:rPr>
          <w:sz w:val="36"/>
          <w:szCs w:val="36"/>
          <w:rtl/>
        </w:rPr>
        <w:t>القواعد</w:t>
      </w:r>
      <w:r w:rsidR="00E8128F">
        <w:rPr>
          <w:sz w:val="36"/>
          <w:szCs w:val="36"/>
          <w:rtl/>
        </w:rPr>
        <w:t xml:space="preserve"> </w:t>
      </w:r>
      <w:r w:rsidR="000F4D8C" w:rsidRPr="00FD211F">
        <w:rPr>
          <w:sz w:val="36"/>
          <w:szCs w:val="36"/>
          <w:rtl/>
        </w:rPr>
        <w:t>التي</w:t>
      </w:r>
      <w:r w:rsidR="00E8128F">
        <w:rPr>
          <w:sz w:val="36"/>
          <w:szCs w:val="36"/>
          <w:rtl/>
        </w:rPr>
        <w:t xml:space="preserve"> </w:t>
      </w:r>
      <w:r w:rsidR="000F4D8C" w:rsidRPr="00FD211F">
        <w:rPr>
          <w:sz w:val="36"/>
          <w:szCs w:val="36"/>
          <w:rtl/>
        </w:rPr>
        <w:t>يمكن</w:t>
      </w:r>
      <w:r w:rsidR="00E8128F">
        <w:rPr>
          <w:sz w:val="36"/>
          <w:szCs w:val="36"/>
          <w:rtl/>
        </w:rPr>
        <w:t xml:space="preserve"> </w:t>
      </w:r>
      <w:r w:rsidR="000F4D8C" w:rsidRPr="00FD211F">
        <w:rPr>
          <w:sz w:val="36"/>
          <w:szCs w:val="36"/>
          <w:rtl/>
        </w:rPr>
        <w:t>ان</w:t>
      </w:r>
      <w:r w:rsidR="00E8128F">
        <w:rPr>
          <w:sz w:val="36"/>
          <w:szCs w:val="36"/>
          <w:rtl/>
        </w:rPr>
        <w:t xml:space="preserve"> </w:t>
      </w:r>
      <w:r w:rsidR="000F4D8C" w:rsidRPr="00FD211F">
        <w:rPr>
          <w:sz w:val="36"/>
          <w:szCs w:val="36"/>
          <w:rtl/>
        </w:rPr>
        <w:t>تقع</w:t>
      </w:r>
      <w:r w:rsidR="00E8128F">
        <w:rPr>
          <w:sz w:val="36"/>
          <w:szCs w:val="36"/>
          <w:rtl/>
        </w:rPr>
        <w:t xml:space="preserve"> </w:t>
      </w:r>
      <w:r w:rsidR="000F4D8C" w:rsidRPr="00FD211F">
        <w:rPr>
          <w:sz w:val="36"/>
          <w:szCs w:val="36"/>
          <w:rtl/>
        </w:rPr>
        <w:t>في</w:t>
      </w:r>
      <w:r w:rsidR="00E8128F">
        <w:rPr>
          <w:sz w:val="36"/>
          <w:szCs w:val="36"/>
          <w:rtl/>
        </w:rPr>
        <w:t xml:space="preserve"> </w:t>
      </w:r>
      <w:r w:rsidR="000F4D8C" w:rsidRPr="00FD211F">
        <w:rPr>
          <w:sz w:val="36"/>
          <w:szCs w:val="36"/>
          <w:rtl/>
        </w:rPr>
        <w:t>طريق</w:t>
      </w:r>
      <w:r w:rsidR="00E8128F">
        <w:rPr>
          <w:sz w:val="36"/>
          <w:szCs w:val="36"/>
          <w:rtl/>
        </w:rPr>
        <w:t xml:space="preserve"> </w:t>
      </w:r>
      <w:r w:rsidR="000F4D8C" w:rsidRPr="00FD211F">
        <w:rPr>
          <w:sz w:val="36"/>
          <w:szCs w:val="36"/>
          <w:rtl/>
        </w:rPr>
        <w:t>استنباط</w:t>
      </w:r>
      <w:r w:rsidR="00E8128F">
        <w:rPr>
          <w:sz w:val="36"/>
          <w:szCs w:val="36"/>
          <w:rtl/>
        </w:rPr>
        <w:t xml:space="preserve"> </w:t>
      </w:r>
      <w:r w:rsidR="000F4D8C" w:rsidRPr="00FD211F">
        <w:rPr>
          <w:sz w:val="36"/>
          <w:szCs w:val="36"/>
          <w:rtl/>
        </w:rPr>
        <w:t>الاحكام</w:t>
      </w:r>
      <w:r w:rsidR="00E8128F">
        <w:rPr>
          <w:sz w:val="36"/>
          <w:szCs w:val="36"/>
          <w:rtl/>
        </w:rPr>
        <w:t xml:space="preserve"> </w:t>
      </w:r>
      <w:r w:rsidR="000F4D8C" w:rsidRPr="00FD211F">
        <w:rPr>
          <w:sz w:val="36"/>
          <w:szCs w:val="36"/>
          <w:rtl/>
        </w:rPr>
        <w:t>او</w:t>
      </w:r>
      <w:r w:rsidR="00E8128F">
        <w:rPr>
          <w:sz w:val="36"/>
          <w:szCs w:val="36"/>
          <w:rtl/>
        </w:rPr>
        <w:t xml:space="preserve"> </w:t>
      </w:r>
      <w:r w:rsidR="000F4D8C" w:rsidRPr="00FD211F">
        <w:rPr>
          <w:sz w:val="36"/>
          <w:szCs w:val="36"/>
          <w:rtl/>
        </w:rPr>
        <w:t>التي</w:t>
      </w:r>
      <w:r w:rsidR="00E8128F">
        <w:rPr>
          <w:sz w:val="36"/>
          <w:szCs w:val="36"/>
          <w:rtl/>
        </w:rPr>
        <w:t xml:space="preserve"> </w:t>
      </w:r>
      <w:r w:rsidR="000F4D8C" w:rsidRPr="00FD211F">
        <w:rPr>
          <w:sz w:val="36"/>
          <w:szCs w:val="36"/>
          <w:rtl/>
        </w:rPr>
        <w:t>ينتهى</w:t>
      </w:r>
      <w:r w:rsidR="00E8128F">
        <w:rPr>
          <w:sz w:val="36"/>
          <w:szCs w:val="36"/>
          <w:rtl/>
        </w:rPr>
        <w:t xml:space="preserve"> </w:t>
      </w:r>
      <w:r w:rsidR="000F4D8C" w:rsidRPr="00FD211F">
        <w:rPr>
          <w:sz w:val="36"/>
          <w:szCs w:val="36"/>
          <w:rtl/>
        </w:rPr>
        <w:t>اليها</w:t>
      </w:r>
      <w:r w:rsidR="00E8128F">
        <w:rPr>
          <w:sz w:val="36"/>
          <w:szCs w:val="36"/>
          <w:rtl/>
        </w:rPr>
        <w:t xml:space="preserve"> </w:t>
      </w:r>
      <w:r w:rsidR="000F4D8C" w:rsidRPr="00FD211F">
        <w:rPr>
          <w:sz w:val="36"/>
          <w:szCs w:val="36"/>
          <w:rtl/>
        </w:rPr>
        <w:t>في</w:t>
      </w:r>
      <w:r w:rsidR="00E8128F">
        <w:rPr>
          <w:sz w:val="36"/>
          <w:szCs w:val="36"/>
          <w:rtl/>
        </w:rPr>
        <w:t xml:space="preserve"> </w:t>
      </w:r>
      <w:r w:rsidR="000F4D8C" w:rsidRPr="00FD211F">
        <w:rPr>
          <w:sz w:val="36"/>
          <w:szCs w:val="36"/>
          <w:rtl/>
        </w:rPr>
        <w:t>مقام</w:t>
      </w:r>
      <w:r w:rsidR="00E8128F">
        <w:rPr>
          <w:sz w:val="36"/>
          <w:szCs w:val="36"/>
          <w:rtl/>
        </w:rPr>
        <w:t xml:space="preserve"> </w:t>
      </w:r>
      <w:r w:rsidR="000F4D8C" w:rsidRPr="00FD211F">
        <w:rPr>
          <w:sz w:val="36"/>
          <w:szCs w:val="36"/>
          <w:rtl/>
        </w:rPr>
        <w:t>العمل</w:t>
      </w:r>
      <w:r w:rsidR="009977FE" w:rsidRPr="00FD211F">
        <w:rPr>
          <w:sz w:val="36"/>
          <w:szCs w:val="36"/>
          <w:rtl/>
        </w:rPr>
        <w:t>"</w:t>
      </w:r>
      <w:r w:rsidR="00E8128F">
        <w:rPr>
          <w:sz w:val="36"/>
          <w:szCs w:val="36"/>
          <w:rtl/>
        </w:rPr>
        <w:t xml:space="preserve"> </w:t>
      </w:r>
      <w:r w:rsidR="00954EAD" w:rsidRPr="00FD211F">
        <w:rPr>
          <w:sz w:val="36"/>
          <w:szCs w:val="36"/>
          <w:rtl/>
        </w:rPr>
        <w:t>وعليه</w:t>
      </w:r>
      <w:r w:rsidR="00E8128F">
        <w:rPr>
          <w:sz w:val="36"/>
          <w:szCs w:val="36"/>
          <w:rtl/>
        </w:rPr>
        <w:t xml:space="preserve"> </w:t>
      </w:r>
      <w:r w:rsidR="00954EAD" w:rsidRPr="00FD211F">
        <w:rPr>
          <w:sz w:val="36"/>
          <w:szCs w:val="36"/>
          <w:rtl/>
        </w:rPr>
        <w:t>فيدخل</w:t>
      </w:r>
      <w:r w:rsidR="00E8128F">
        <w:rPr>
          <w:sz w:val="36"/>
          <w:szCs w:val="36"/>
          <w:rtl/>
        </w:rPr>
        <w:t xml:space="preserve"> </w:t>
      </w:r>
      <w:r w:rsidR="003546B2" w:rsidRPr="00FD211F">
        <w:rPr>
          <w:sz w:val="36"/>
          <w:szCs w:val="36"/>
          <w:rtl/>
        </w:rPr>
        <w:t>مباحث</w:t>
      </w:r>
      <w:r w:rsidR="00E8128F">
        <w:rPr>
          <w:sz w:val="36"/>
          <w:szCs w:val="36"/>
          <w:rtl/>
        </w:rPr>
        <w:t xml:space="preserve"> </w:t>
      </w:r>
      <w:r w:rsidR="003546B2" w:rsidRPr="00FD211F">
        <w:rPr>
          <w:sz w:val="36"/>
          <w:szCs w:val="36"/>
          <w:rtl/>
        </w:rPr>
        <w:t>الاصول</w:t>
      </w:r>
      <w:r w:rsidR="00E8128F">
        <w:rPr>
          <w:sz w:val="36"/>
          <w:szCs w:val="36"/>
          <w:rtl/>
        </w:rPr>
        <w:t xml:space="preserve"> </w:t>
      </w:r>
      <w:r w:rsidR="003546B2" w:rsidRPr="00FD211F">
        <w:rPr>
          <w:sz w:val="36"/>
          <w:szCs w:val="36"/>
          <w:rtl/>
        </w:rPr>
        <w:t>العملي</w:t>
      </w:r>
      <w:r w:rsidR="00EC7EDF" w:rsidRPr="00FD211F">
        <w:rPr>
          <w:sz w:val="36"/>
          <w:szCs w:val="36"/>
          <w:rtl/>
        </w:rPr>
        <w:t>ة</w:t>
      </w:r>
      <w:r w:rsidR="00E8128F">
        <w:rPr>
          <w:sz w:val="36"/>
          <w:szCs w:val="36"/>
          <w:rtl/>
        </w:rPr>
        <w:t xml:space="preserve"> </w:t>
      </w:r>
      <w:r w:rsidR="003546B2" w:rsidRPr="00FD211F">
        <w:rPr>
          <w:sz w:val="36"/>
          <w:szCs w:val="36"/>
          <w:rtl/>
        </w:rPr>
        <w:t>وحجي</w:t>
      </w:r>
      <w:r w:rsidR="00EC7EDF" w:rsidRPr="00FD211F">
        <w:rPr>
          <w:sz w:val="36"/>
          <w:szCs w:val="36"/>
          <w:rtl/>
        </w:rPr>
        <w:t>ة</w:t>
      </w:r>
      <w:r w:rsidR="00E8128F">
        <w:rPr>
          <w:sz w:val="36"/>
          <w:szCs w:val="36"/>
          <w:rtl/>
        </w:rPr>
        <w:t xml:space="preserve"> </w:t>
      </w:r>
      <w:r w:rsidR="00954EAD" w:rsidRPr="00FD211F">
        <w:rPr>
          <w:sz w:val="36"/>
          <w:szCs w:val="36"/>
          <w:rtl/>
        </w:rPr>
        <w:t>الظن</w:t>
      </w:r>
      <w:r w:rsidR="00E8128F">
        <w:rPr>
          <w:sz w:val="36"/>
          <w:szCs w:val="36"/>
          <w:rtl/>
        </w:rPr>
        <w:t xml:space="preserve"> </w:t>
      </w:r>
      <w:r w:rsidR="00954EAD" w:rsidRPr="00FD211F">
        <w:rPr>
          <w:sz w:val="36"/>
          <w:szCs w:val="36"/>
          <w:rtl/>
        </w:rPr>
        <w:t>على</w:t>
      </w:r>
      <w:r w:rsidR="00E8128F">
        <w:rPr>
          <w:sz w:val="36"/>
          <w:szCs w:val="36"/>
          <w:rtl/>
        </w:rPr>
        <w:t xml:space="preserve"> </w:t>
      </w:r>
      <w:r w:rsidR="00954EAD" w:rsidRPr="00FD211F">
        <w:rPr>
          <w:sz w:val="36"/>
          <w:szCs w:val="36"/>
          <w:rtl/>
        </w:rPr>
        <w:t>مسلك</w:t>
      </w:r>
      <w:r w:rsidR="00E8128F">
        <w:rPr>
          <w:sz w:val="36"/>
          <w:szCs w:val="36"/>
          <w:rtl/>
        </w:rPr>
        <w:t xml:space="preserve"> </w:t>
      </w:r>
      <w:r w:rsidR="00954EAD" w:rsidRPr="00FD211F">
        <w:rPr>
          <w:sz w:val="36"/>
          <w:szCs w:val="36"/>
          <w:rtl/>
        </w:rPr>
        <w:t>الحكوم</w:t>
      </w:r>
      <w:r w:rsidR="00EC7EDF" w:rsidRPr="00FD211F">
        <w:rPr>
          <w:sz w:val="36"/>
          <w:szCs w:val="36"/>
          <w:rtl/>
        </w:rPr>
        <w:t>ة</w:t>
      </w:r>
      <w:r w:rsidR="00E8128F">
        <w:rPr>
          <w:sz w:val="36"/>
          <w:szCs w:val="36"/>
          <w:rtl/>
        </w:rPr>
        <w:t xml:space="preserve"> </w:t>
      </w:r>
      <w:r w:rsidR="003546B2" w:rsidRPr="00FD211F">
        <w:rPr>
          <w:sz w:val="36"/>
          <w:szCs w:val="36"/>
          <w:rtl/>
        </w:rPr>
        <w:t>في</w:t>
      </w:r>
      <w:r w:rsidR="00E8128F">
        <w:rPr>
          <w:sz w:val="36"/>
          <w:szCs w:val="36"/>
          <w:rtl/>
        </w:rPr>
        <w:t xml:space="preserve"> </w:t>
      </w:r>
      <w:r w:rsidR="003546B2" w:rsidRPr="00FD211F">
        <w:rPr>
          <w:sz w:val="36"/>
          <w:szCs w:val="36"/>
          <w:rtl/>
        </w:rPr>
        <w:t>علم</w:t>
      </w:r>
      <w:r w:rsidR="00E8128F">
        <w:rPr>
          <w:sz w:val="36"/>
          <w:szCs w:val="36"/>
          <w:rtl/>
        </w:rPr>
        <w:t xml:space="preserve"> </w:t>
      </w:r>
      <w:r w:rsidR="003546B2" w:rsidRPr="00FD211F">
        <w:rPr>
          <w:sz w:val="36"/>
          <w:szCs w:val="36"/>
          <w:rtl/>
        </w:rPr>
        <w:t>الأصول</w:t>
      </w:r>
      <w:r w:rsidR="00603323" w:rsidRPr="00FD211F">
        <w:rPr>
          <w:sz w:val="36"/>
          <w:szCs w:val="36"/>
          <w:rtl/>
        </w:rPr>
        <w:t>،</w:t>
      </w:r>
      <w:r w:rsidR="00E8128F">
        <w:rPr>
          <w:sz w:val="36"/>
          <w:szCs w:val="36"/>
          <w:rtl/>
        </w:rPr>
        <w:t xml:space="preserve"> </w:t>
      </w:r>
      <w:r w:rsidR="003546B2" w:rsidRPr="00FD211F">
        <w:rPr>
          <w:sz w:val="36"/>
          <w:szCs w:val="36"/>
          <w:rtl/>
        </w:rPr>
        <w:t>لأنها</w:t>
      </w:r>
      <w:r w:rsidR="00E8128F">
        <w:rPr>
          <w:sz w:val="36"/>
          <w:szCs w:val="36"/>
          <w:rtl/>
        </w:rPr>
        <w:t xml:space="preserve"> </w:t>
      </w:r>
      <w:r w:rsidR="003546B2" w:rsidRPr="00FD211F">
        <w:rPr>
          <w:sz w:val="36"/>
          <w:szCs w:val="36"/>
          <w:rtl/>
        </w:rPr>
        <w:t>مما</w:t>
      </w:r>
      <w:r w:rsidR="00E8128F">
        <w:rPr>
          <w:sz w:val="36"/>
          <w:szCs w:val="36"/>
          <w:rtl/>
        </w:rPr>
        <w:t xml:space="preserve"> </w:t>
      </w:r>
      <w:r w:rsidR="003546B2" w:rsidRPr="00FD211F">
        <w:rPr>
          <w:sz w:val="36"/>
          <w:szCs w:val="36"/>
          <w:rtl/>
        </w:rPr>
        <w:t>ينتهي</w:t>
      </w:r>
      <w:r w:rsidR="00E8128F">
        <w:rPr>
          <w:sz w:val="36"/>
          <w:szCs w:val="36"/>
          <w:rtl/>
        </w:rPr>
        <w:t xml:space="preserve"> </w:t>
      </w:r>
      <w:r w:rsidR="003546B2" w:rsidRPr="00FD211F">
        <w:rPr>
          <w:sz w:val="36"/>
          <w:szCs w:val="36"/>
          <w:rtl/>
        </w:rPr>
        <w:t>اليها</w:t>
      </w:r>
      <w:r w:rsidR="00E8128F">
        <w:rPr>
          <w:sz w:val="36"/>
          <w:szCs w:val="36"/>
          <w:rtl/>
        </w:rPr>
        <w:t xml:space="preserve"> </w:t>
      </w:r>
      <w:r w:rsidR="003546B2" w:rsidRPr="00FD211F">
        <w:rPr>
          <w:sz w:val="36"/>
          <w:szCs w:val="36"/>
          <w:rtl/>
        </w:rPr>
        <w:t>المجتهد</w:t>
      </w:r>
      <w:r w:rsidR="00E8128F">
        <w:rPr>
          <w:sz w:val="36"/>
          <w:szCs w:val="36"/>
          <w:rtl/>
        </w:rPr>
        <w:t xml:space="preserve"> </w:t>
      </w:r>
      <w:r w:rsidR="003546B2" w:rsidRPr="00FD211F">
        <w:rPr>
          <w:sz w:val="36"/>
          <w:szCs w:val="36"/>
          <w:rtl/>
        </w:rPr>
        <w:t>بعد</w:t>
      </w:r>
      <w:r w:rsidR="00E8128F">
        <w:rPr>
          <w:sz w:val="36"/>
          <w:szCs w:val="36"/>
          <w:rtl/>
        </w:rPr>
        <w:t xml:space="preserve"> </w:t>
      </w:r>
      <w:r w:rsidR="003546B2" w:rsidRPr="00FD211F">
        <w:rPr>
          <w:sz w:val="36"/>
          <w:szCs w:val="36"/>
          <w:rtl/>
        </w:rPr>
        <w:t>اليأس</w:t>
      </w:r>
      <w:r w:rsidR="00E8128F">
        <w:rPr>
          <w:sz w:val="36"/>
          <w:szCs w:val="36"/>
          <w:rtl/>
        </w:rPr>
        <w:t xml:space="preserve"> </w:t>
      </w:r>
      <w:r w:rsidR="003546B2" w:rsidRPr="00FD211F">
        <w:rPr>
          <w:sz w:val="36"/>
          <w:szCs w:val="36"/>
          <w:rtl/>
        </w:rPr>
        <w:t>عن</w:t>
      </w:r>
      <w:r w:rsidR="00E8128F">
        <w:rPr>
          <w:sz w:val="36"/>
          <w:szCs w:val="36"/>
          <w:rtl/>
        </w:rPr>
        <w:t xml:space="preserve"> </w:t>
      </w:r>
      <w:r w:rsidR="003546B2" w:rsidRPr="00FD211F">
        <w:rPr>
          <w:sz w:val="36"/>
          <w:szCs w:val="36"/>
          <w:rtl/>
        </w:rPr>
        <w:t>الظفر</w:t>
      </w:r>
      <w:r w:rsidR="00E8128F">
        <w:rPr>
          <w:sz w:val="36"/>
          <w:szCs w:val="36"/>
          <w:rtl/>
        </w:rPr>
        <w:t xml:space="preserve"> </w:t>
      </w:r>
      <w:r w:rsidR="003546B2" w:rsidRPr="00FD211F">
        <w:rPr>
          <w:sz w:val="36"/>
          <w:szCs w:val="36"/>
          <w:rtl/>
        </w:rPr>
        <w:t>بالدليل</w:t>
      </w:r>
      <w:r w:rsidR="00727A71" w:rsidRPr="00FD211F">
        <w:rPr>
          <w:sz w:val="36"/>
          <w:szCs w:val="36"/>
          <w:rtl/>
        </w:rPr>
        <w:t>.</w:t>
      </w:r>
    </w:p>
    <w:p w14:paraId="3E9328C7" w14:textId="77777777" w:rsidR="00992D67" w:rsidRPr="00FD211F" w:rsidRDefault="00992D67" w:rsidP="009C58C8">
      <w:pPr>
        <w:ind w:left="0" w:firstLine="227"/>
        <w:jc w:val="both"/>
        <w:rPr>
          <w:sz w:val="36"/>
          <w:szCs w:val="36"/>
          <w:rtl/>
        </w:rPr>
      </w:pPr>
      <w:r w:rsidRPr="00FD211F">
        <w:rPr>
          <w:sz w:val="36"/>
          <w:szCs w:val="36"/>
          <w:rtl/>
        </w:rPr>
        <w:t>ولايخفى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مراده</w:t>
      </w:r>
      <w:r w:rsidR="00E8128F">
        <w:rPr>
          <w:sz w:val="36"/>
          <w:szCs w:val="36"/>
          <w:rtl/>
        </w:rPr>
        <w:t xml:space="preserve"> </w:t>
      </w:r>
      <w:r w:rsidRPr="00FD211F">
        <w:rPr>
          <w:sz w:val="36"/>
          <w:szCs w:val="36"/>
          <w:rtl/>
        </w:rPr>
        <w:t>منه</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ينتهي</w:t>
      </w:r>
      <w:r w:rsidR="00E8128F">
        <w:rPr>
          <w:sz w:val="36"/>
          <w:szCs w:val="36"/>
          <w:rtl/>
        </w:rPr>
        <w:t xml:space="preserve"> </w:t>
      </w:r>
      <w:r w:rsidRPr="00FD211F">
        <w:rPr>
          <w:sz w:val="36"/>
          <w:szCs w:val="36"/>
          <w:rtl/>
        </w:rPr>
        <w:t>اليه</w:t>
      </w:r>
      <w:r w:rsidR="00E8128F">
        <w:rPr>
          <w:sz w:val="36"/>
          <w:szCs w:val="36"/>
          <w:rtl/>
        </w:rPr>
        <w:t xml:space="preserve"> </w:t>
      </w:r>
      <w:r w:rsidRPr="00FD211F">
        <w:rPr>
          <w:sz w:val="36"/>
          <w:szCs w:val="36"/>
          <w:rtl/>
        </w:rPr>
        <w:t>المجتهد</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اليأس</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الظفر</w:t>
      </w:r>
      <w:r w:rsidR="00E8128F">
        <w:rPr>
          <w:sz w:val="36"/>
          <w:szCs w:val="36"/>
          <w:rtl/>
        </w:rPr>
        <w:t xml:space="preserve"> </w:t>
      </w:r>
      <w:r w:rsidRPr="00FD211F">
        <w:rPr>
          <w:sz w:val="36"/>
          <w:szCs w:val="36"/>
          <w:rtl/>
        </w:rPr>
        <w:t>بالدليل</w:t>
      </w:r>
      <w:r w:rsidR="00603323" w:rsidRPr="00FD211F">
        <w:rPr>
          <w:sz w:val="36"/>
          <w:szCs w:val="36"/>
          <w:rtl/>
        </w:rPr>
        <w:t>،</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بنفسه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اول</w:t>
      </w:r>
      <w:r w:rsidR="00E8128F">
        <w:rPr>
          <w:sz w:val="36"/>
          <w:szCs w:val="36"/>
          <w:rtl/>
        </w:rPr>
        <w:t xml:space="preserve"> </w:t>
      </w:r>
      <w:r w:rsidRPr="00FD211F">
        <w:rPr>
          <w:sz w:val="36"/>
          <w:szCs w:val="36"/>
          <w:rtl/>
        </w:rPr>
        <w:t>الأصول</w:t>
      </w:r>
      <w:r w:rsidR="00E8128F">
        <w:rPr>
          <w:sz w:val="36"/>
          <w:szCs w:val="36"/>
          <w:rtl/>
        </w:rPr>
        <w:t xml:space="preserve"> </w:t>
      </w:r>
      <w:r w:rsidRPr="00FD211F">
        <w:rPr>
          <w:sz w:val="36"/>
          <w:szCs w:val="36"/>
          <w:rtl/>
        </w:rPr>
        <w:t>العملي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فلايشمل</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الجاري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الشبهات</w:t>
      </w:r>
      <w:r w:rsidR="00E8128F">
        <w:rPr>
          <w:sz w:val="36"/>
          <w:szCs w:val="36"/>
          <w:rtl/>
        </w:rPr>
        <w:t xml:space="preserve"> </w:t>
      </w:r>
      <w:r w:rsidRPr="00FD211F">
        <w:rPr>
          <w:sz w:val="36"/>
          <w:szCs w:val="36"/>
          <w:rtl/>
        </w:rPr>
        <w:t>الموضوعي</w:t>
      </w:r>
      <w:r w:rsidR="00EC7EDF" w:rsidRPr="00FD211F">
        <w:rPr>
          <w:sz w:val="36"/>
          <w:szCs w:val="36"/>
          <w:rtl/>
        </w:rPr>
        <w:t>ة</w:t>
      </w:r>
      <w:r w:rsidR="00E8128F">
        <w:rPr>
          <w:sz w:val="36"/>
          <w:szCs w:val="36"/>
          <w:rtl/>
        </w:rPr>
        <w:t xml:space="preserve"> </w:t>
      </w:r>
      <w:r w:rsidRPr="00FD211F">
        <w:rPr>
          <w:sz w:val="36"/>
          <w:szCs w:val="36"/>
          <w:rtl/>
        </w:rPr>
        <w:t>كقاعد</w:t>
      </w:r>
      <w:r w:rsidR="00EC7EDF" w:rsidRPr="00FD211F">
        <w:rPr>
          <w:sz w:val="36"/>
          <w:szCs w:val="36"/>
          <w:rtl/>
        </w:rPr>
        <w:t>ة</w:t>
      </w:r>
      <w:r w:rsidR="00E8128F">
        <w:rPr>
          <w:sz w:val="36"/>
          <w:szCs w:val="36"/>
          <w:rtl/>
        </w:rPr>
        <w:t xml:space="preserve"> </w:t>
      </w:r>
      <w:r w:rsidRPr="00FD211F">
        <w:rPr>
          <w:sz w:val="36"/>
          <w:szCs w:val="36"/>
          <w:rtl/>
        </w:rPr>
        <w:t>الفراغ</w:t>
      </w:r>
      <w:r w:rsidR="00E8128F">
        <w:rPr>
          <w:sz w:val="36"/>
          <w:szCs w:val="36"/>
          <w:rtl/>
        </w:rPr>
        <w:t xml:space="preserve"> </w:t>
      </w:r>
      <w:r w:rsidRPr="00FD211F">
        <w:rPr>
          <w:sz w:val="36"/>
          <w:szCs w:val="36"/>
          <w:rtl/>
        </w:rPr>
        <w:t>واصال</w:t>
      </w:r>
      <w:r w:rsidR="00EC7EDF" w:rsidRPr="00FD211F">
        <w:rPr>
          <w:sz w:val="36"/>
          <w:szCs w:val="36"/>
          <w:rtl/>
        </w:rPr>
        <w:t>ة</w:t>
      </w:r>
      <w:r w:rsidR="00E8128F">
        <w:rPr>
          <w:sz w:val="36"/>
          <w:szCs w:val="36"/>
          <w:rtl/>
        </w:rPr>
        <w:t xml:space="preserve"> </w:t>
      </w:r>
      <w:r w:rsidRPr="00FD211F">
        <w:rPr>
          <w:sz w:val="36"/>
          <w:szCs w:val="36"/>
          <w:rtl/>
        </w:rPr>
        <w:t>الصح</w:t>
      </w:r>
      <w:r w:rsidR="00EC7EDF" w:rsidRPr="00FD211F">
        <w:rPr>
          <w:sz w:val="36"/>
          <w:szCs w:val="36"/>
          <w:rtl/>
        </w:rPr>
        <w:t>ة</w:t>
      </w:r>
      <w:r w:rsidR="00E8128F">
        <w:rPr>
          <w:sz w:val="36"/>
          <w:szCs w:val="36"/>
          <w:rtl/>
        </w:rPr>
        <w:t xml:space="preserve"> </w:t>
      </w:r>
      <w:r w:rsidRPr="00FD211F">
        <w:rPr>
          <w:sz w:val="36"/>
          <w:szCs w:val="36"/>
          <w:rtl/>
        </w:rPr>
        <w:t>وقاعد</w:t>
      </w:r>
      <w:r w:rsidR="00EC7EDF" w:rsidRPr="00FD211F">
        <w:rPr>
          <w:sz w:val="36"/>
          <w:szCs w:val="36"/>
          <w:rtl/>
        </w:rPr>
        <w:t>ة</w:t>
      </w:r>
      <w:r w:rsidR="00E8128F">
        <w:rPr>
          <w:sz w:val="36"/>
          <w:szCs w:val="36"/>
          <w:rtl/>
        </w:rPr>
        <w:t xml:space="preserve"> </w:t>
      </w:r>
      <w:r w:rsidRPr="00FD211F">
        <w:rPr>
          <w:sz w:val="36"/>
          <w:szCs w:val="36"/>
          <w:rtl/>
        </w:rPr>
        <w:t>اليد</w:t>
      </w:r>
      <w:r w:rsidR="00E8128F">
        <w:rPr>
          <w:sz w:val="36"/>
          <w:szCs w:val="36"/>
          <w:rtl/>
        </w:rPr>
        <w:t xml:space="preserve"> </w:t>
      </w:r>
      <w:r w:rsidRPr="00FD211F">
        <w:rPr>
          <w:sz w:val="36"/>
          <w:szCs w:val="36"/>
          <w:rtl/>
        </w:rPr>
        <w:t>ونحو</w:t>
      </w:r>
      <w:r w:rsidR="00E8128F">
        <w:rPr>
          <w:sz w:val="36"/>
          <w:szCs w:val="36"/>
          <w:rtl/>
        </w:rPr>
        <w:t xml:space="preserve"> </w:t>
      </w:r>
      <w:r w:rsidRPr="00FD211F">
        <w:rPr>
          <w:sz w:val="36"/>
          <w:szCs w:val="36"/>
          <w:rtl/>
        </w:rPr>
        <w:t>ذلك.</w:t>
      </w:r>
    </w:p>
    <w:p w14:paraId="2E902167" w14:textId="77777777" w:rsidR="00C126AD" w:rsidRPr="00FD211F" w:rsidRDefault="006C2351" w:rsidP="009C58C8">
      <w:pPr>
        <w:ind w:left="0" w:firstLine="227"/>
        <w:jc w:val="both"/>
        <w:rPr>
          <w:sz w:val="36"/>
          <w:szCs w:val="36"/>
          <w:rtl/>
        </w:rPr>
      </w:pPr>
      <w:r w:rsidRPr="00FD211F">
        <w:rPr>
          <w:sz w:val="36"/>
          <w:szCs w:val="36"/>
          <w:rtl/>
        </w:rPr>
        <w:t>وقد</w:t>
      </w:r>
      <w:r w:rsidR="00E8128F">
        <w:rPr>
          <w:sz w:val="36"/>
          <w:szCs w:val="36"/>
          <w:rtl/>
        </w:rPr>
        <w:t xml:space="preserve"> </w:t>
      </w:r>
      <w:r w:rsidR="0057413B" w:rsidRPr="00FD211F">
        <w:rPr>
          <w:sz w:val="36"/>
          <w:szCs w:val="36"/>
          <w:rtl/>
        </w:rPr>
        <w:t>اورد</w:t>
      </w:r>
      <w:r w:rsidR="00E8128F">
        <w:rPr>
          <w:sz w:val="36"/>
          <w:szCs w:val="36"/>
          <w:rtl/>
        </w:rPr>
        <w:t xml:space="preserve"> </w:t>
      </w:r>
      <w:r w:rsidR="000C677F" w:rsidRPr="00FD211F">
        <w:rPr>
          <w:sz w:val="36"/>
          <w:szCs w:val="36"/>
          <w:rtl/>
        </w:rPr>
        <w:t>المحقق</w:t>
      </w:r>
      <w:r w:rsidR="00E8128F">
        <w:rPr>
          <w:sz w:val="36"/>
          <w:szCs w:val="36"/>
          <w:rtl/>
        </w:rPr>
        <w:t xml:space="preserve"> </w:t>
      </w:r>
      <w:r w:rsidR="000C677F" w:rsidRPr="00FD211F">
        <w:rPr>
          <w:sz w:val="36"/>
          <w:szCs w:val="36"/>
          <w:rtl/>
        </w:rPr>
        <w:t>الاصفهاني</w:t>
      </w:r>
      <w:r w:rsidR="0057413B" w:rsidRPr="00FD211F">
        <w:rPr>
          <w:sz w:val="36"/>
          <w:szCs w:val="36"/>
          <w:rtl/>
        </w:rPr>
        <w:t>"</w:t>
      </w:r>
      <w:r w:rsidR="00863C19" w:rsidRPr="00FD211F">
        <w:rPr>
          <w:sz w:val="36"/>
          <w:szCs w:val="36"/>
          <w:rtl/>
        </w:rPr>
        <w:t>قده</w:t>
      </w:r>
      <w:r w:rsidR="0057413B" w:rsidRPr="00FD211F">
        <w:rPr>
          <w:sz w:val="36"/>
          <w:szCs w:val="36"/>
          <w:rtl/>
        </w:rPr>
        <w:t>"</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صاحب</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0057413B" w:rsidRPr="00FD211F">
        <w:rPr>
          <w:sz w:val="36"/>
          <w:szCs w:val="36"/>
          <w:rtl/>
        </w:rPr>
        <w:t>اشكالين</w:t>
      </w:r>
      <w:r w:rsidR="00C126AD" w:rsidRPr="00FD211F">
        <w:rPr>
          <w:sz w:val="36"/>
          <w:szCs w:val="36"/>
          <w:rtl/>
        </w:rPr>
        <w:t>:</w:t>
      </w:r>
    </w:p>
    <w:p w14:paraId="6A5E2E5A" w14:textId="77777777" w:rsidR="000C677F" w:rsidRPr="00FD211F" w:rsidRDefault="0057413B" w:rsidP="009C58C8">
      <w:pPr>
        <w:ind w:left="0" w:firstLine="227"/>
        <w:jc w:val="both"/>
        <w:rPr>
          <w:sz w:val="36"/>
          <w:szCs w:val="36"/>
          <w:rtl/>
        </w:rPr>
      </w:pPr>
      <w:r w:rsidRPr="00FD211F">
        <w:rPr>
          <w:b/>
          <w:bCs/>
          <w:sz w:val="36"/>
          <w:szCs w:val="36"/>
          <w:rtl/>
        </w:rPr>
        <w:t>الإشكال</w:t>
      </w:r>
      <w:r w:rsidR="00E8128F">
        <w:rPr>
          <w:b/>
          <w:bCs/>
          <w:sz w:val="36"/>
          <w:szCs w:val="36"/>
          <w:rtl/>
        </w:rPr>
        <w:t xml:space="preserve"> </w:t>
      </w:r>
      <w:r w:rsidR="008F16AF" w:rsidRPr="00FD211F">
        <w:rPr>
          <w:b/>
          <w:bCs/>
          <w:sz w:val="36"/>
          <w:szCs w:val="36"/>
          <w:rtl/>
        </w:rPr>
        <w:t>الأول</w:t>
      </w:r>
      <w:r w:rsidR="00431D8F" w:rsidRPr="00FD211F">
        <w:rPr>
          <w:sz w:val="36"/>
          <w:szCs w:val="36"/>
          <w:rtl/>
        </w:rPr>
        <w:t>:</w:t>
      </w:r>
      <w:r w:rsidR="00E8128F">
        <w:rPr>
          <w:sz w:val="36"/>
          <w:szCs w:val="36"/>
          <w:rtl/>
        </w:rPr>
        <w:t xml:space="preserve"> </w:t>
      </w:r>
      <w:r w:rsidR="00C126AD" w:rsidRPr="00FD211F">
        <w:rPr>
          <w:sz w:val="36"/>
          <w:szCs w:val="36"/>
          <w:rtl/>
        </w:rPr>
        <w:t>انه</w:t>
      </w:r>
      <w:r w:rsidR="00E8128F">
        <w:rPr>
          <w:sz w:val="36"/>
          <w:szCs w:val="36"/>
          <w:rtl/>
        </w:rPr>
        <w:t xml:space="preserve"> </w:t>
      </w:r>
      <w:r w:rsidR="00C126AD" w:rsidRPr="00FD211F">
        <w:rPr>
          <w:sz w:val="36"/>
          <w:szCs w:val="36"/>
          <w:rtl/>
        </w:rPr>
        <w:t>لاحاج</w:t>
      </w:r>
      <w:r w:rsidR="00EC7EDF" w:rsidRPr="00FD211F">
        <w:rPr>
          <w:sz w:val="36"/>
          <w:szCs w:val="36"/>
          <w:rtl/>
        </w:rPr>
        <w:t>ة</w:t>
      </w:r>
      <w:r w:rsidR="00E8128F">
        <w:rPr>
          <w:sz w:val="36"/>
          <w:szCs w:val="36"/>
          <w:rtl/>
        </w:rPr>
        <w:t xml:space="preserve"> </w:t>
      </w:r>
      <w:r w:rsidR="000C677F" w:rsidRPr="00FD211F">
        <w:rPr>
          <w:sz w:val="36"/>
          <w:szCs w:val="36"/>
          <w:rtl/>
        </w:rPr>
        <w:t>الى</w:t>
      </w:r>
      <w:r w:rsidR="00E8128F">
        <w:rPr>
          <w:sz w:val="36"/>
          <w:szCs w:val="36"/>
          <w:rtl/>
        </w:rPr>
        <w:t xml:space="preserve"> </w:t>
      </w:r>
      <w:r w:rsidR="000C677F" w:rsidRPr="00FD211F">
        <w:rPr>
          <w:sz w:val="36"/>
          <w:szCs w:val="36"/>
          <w:rtl/>
        </w:rPr>
        <w:t>هذا</w:t>
      </w:r>
      <w:r w:rsidR="00E8128F">
        <w:rPr>
          <w:sz w:val="36"/>
          <w:szCs w:val="36"/>
          <w:rtl/>
        </w:rPr>
        <w:t xml:space="preserve"> </w:t>
      </w:r>
      <w:r w:rsidR="000C677F" w:rsidRPr="00FD211F">
        <w:rPr>
          <w:sz w:val="36"/>
          <w:szCs w:val="36"/>
          <w:rtl/>
        </w:rPr>
        <w:lastRenderedPageBreak/>
        <w:t>الت</w:t>
      </w:r>
      <w:r w:rsidR="00863C19" w:rsidRPr="00FD211F">
        <w:rPr>
          <w:sz w:val="36"/>
          <w:szCs w:val="36"/>
          <w:rtl/>
        </w:rPr>
        <w:t>تميم</w:t>
      </w:r>
      <w:r w:rsidR="00603323" w:rsidRPr="00FD211F">
        <w:rPr>
          <w:sz w:val="36"/>
          <w:szCs w:val="36"/>
          <w:rtl/>
        </w:rPr>
        <w:t>،</w:t>
      </w:r>
      <w:r w:rsidR="00E8128F">
        <w:rPr>
          <w:sz w:val="36"/>
          <w:szCs w:val="36"/>
          <w:rtl/>
        </w:rPr>
        <w:t xml:space="preserve"> </w:t>
      </w:r>
      <w:r w:rsidR="000C677F" w:rsidRPr="00FD211F">
        <w:rPr>
          <w:sz w:val="36"/>
          <w:szCs w:val="36"/>
          <w:rtl/>
        </w:rPr>
        <w:t>فان</w:t>
      </w:r>
      <w:r w:rsidR="00E8128F">
        <w:rPr>
          <w:sz w:val="36"/>
          <w:szCs w:val="36"/>
          <w:rtl/>
        </w:rPr>
        <w:t xml:space="preserve"> </w:t>
      </w:r>
      <w:r w:rsidR="000C677F" w:rsidRPr="00FD211F">
        <w:rPr>
          <w:sz w:val="36"/>
          <w:szCs w:val="36"/>
          <w:rtl/>
        </w:rPr>
        <w:t>المراد</w:t>
      </w:r>
      <w:r w:rsidR="00E8128F">
        <w:rPr>
          <w:sz w:val="36"/>
          <w:szCs w:val="36"/>
          <w:rtl/>
        </w:rPr>
        <w:t xml:space="preserve"> </w:t>
      </w:r>
      <w:r w:rsidR="000C677F" w:rsidRPr="00FD211F">
        <w:rPr>
          <w:sz w:val="36"/>
          <w:szCs w:val="36"/>
          <w:rtl/>
        </w:rPr>
        <w:t>من</w:t>
      </w:r>
      <w:r w:rsidR="00E8128F">
        <w:rPr>
          <w:sz w:val="36"/>
          <w:szCs w:val="36"/>
          <w:rtl/>
        </w:rPr>
        <w:t xml:space="preserve"> </w:t>
      </w:r>
      <w:r w:rsidR="000C677F" w:rsidRPr="00FD211F">
        <w:rPr>
          <w:sz w:val="36"/>
          <w:szCs w:val="36"/>
          <w:rtl/>
        </w:rPr>
        <w:t>استنباط</w:t>
      </w:r>
      <w:r w:rsidR="00E8128F">
        <w:rPr>
          <w:sz w:val="36"/>
          <w:szCs w:val="36"/>
          <w:rtl/>
        </w:rPr>
        <w:t xml:space="preserve"> </w:t>
      </w:r>
      <w:r w:rsidR="000C677F" w:rsidRPr="00FD211F">
        <w:rPr>
          <w:sz w:val="36"/>
          <w:szCs w:val="36"/>
          <w:rtl/>
        </w:rPr>
        <w:t>الحكم</w:t>
      </w:r>
      <w:r w:rsidR="00E8128F">
        <w:rPr>
          <w:sz w:val="36"/>
          <w:szCs w:val="36"/>
          <w:rtl/>
        </w:rPr>
        <w:t xml:space="preserve"> </w:t>
      </w:r>
      <w:r w:rsidR="000C677F" w:rsidRPr="00FD211F">
        <w:rPr>
          <w:sz w:val="36"/>
          <w:szCs w:val="36"/>
          <w:rtl/>
        </w:rPr>
        <w:t>الشرعي</w:t>
      </w:r>
      <w:r w:rsidR="00E8128F">
        <w:rPr>
          <w:sz w:val="36"/>
          <w:szCs w:val="36"/>
          <w:rtl/>
        </w:rPr>
        <w:t xml:space="preserve"> </w:t>
      </w:r>
      <w:r w:rsidR="000C677F" w:rsidRPr="00FD211F">
        <w:rPr>
          <w:sz w:val="36"/>
          <w:szCs w:val="36"/>
          <w:rtl/>
        </w:rPr>
        <w:t>في</w:t>
      </w:r>
      <w:r w:rsidR="00E8128F">
        <w:rPr>
          <w:sz w:val="36"/>
          <w:szCs w:val="36"/>
          <w:rtl/>
        </w:rPr>
        <w:t xml:space="preserve"> </w:t>
      </w:r>
      <w:r w:rsidR="000C677F" w:rsidRPr="00FD211F">
        <w:rPr>
          <w:sz w:val="36"/>
          <w:szCs w:val="36"/>
          <w:rtl/>
        </w:rPr>
        <w:t>تعريف</w:t>
      </w:r>
      <w:r w:rsidR="00E8128F">
        <w:rPr>
          <w:sz w:val="36"/>
          <w:szCs w:val="36"/>
          <w:rtl/>
        </w:rPr>
        <w:t xml:space="preserve"> </w:t>
      </w:r>
      <w:r w:rsidR="000C677F" w:rsidRPr="00FD211F">
        <w:rPr>
          <w:sz w:val="36"/>
          <w:szCs w:val="36"/>
          <w:rtl/>
        </w:rPr>
        <w:t>المشهور</w:t>
      </w:r>
      <w:r w:rsidR="00E8128F">
        <w:rPr>
          <w:sz w:val="36"/>
          <w:szCs w:val="36"/>
          <w:rtl/>
        </w:rPr>
        <w:t xml:space="preserve"> </w:t>
      </w:r>
      <w:r w:rsidR="000C677F" w:rsidRPr="00FD211F">
        <w:rPr>
          <w:sz w:val="36"/>
          <w:szCs w:val="36"/>
          <w:rtl/>
        </w:rPr>
        <w:t>ليس</w:t>
      </w:r>
      <w:r w:rsidR="00E8128F">
        <w:rPr>
          <w:sz w:val="36"/>
          <w:szCs w:val="36"/>
          <w:rtl/>
        </w:rPr>
        <w:t xml:space="preserve"> </w:t>
      </w:r>
      <w:r w:rsidR="000C677F" w:rsidRPr="00FD211F">
        <w:rPr>
          <w:sz w:val="36"/>
          <w:szCs w:val="36"/>
          <w:rtl/>
        </w:rPr>
        <w:t>هو</w:t>
      </w:r>
      <w:r w:rsidR="00E8128F">
        <w:rPr>
          <w:sz w:val="36"/>
          <w:szCs w:val="36"/>
          <w:rtl/>
        </w:rPr>
        <w:t xml:space="preserve"> </w:t>
      </w:r>
      <w:r w:rsidR="000C677F" w:rsidRPr="00FD211F">
        <w:rPr>
          <w:sz w:val="36"/>
          <w:szCs w:val="36"/>
          <w:rtl/>
        </w:rPr>
        <w:t>استكشافه</w:t>
      </w:r>
      <w:r w:rsidR="00603323" w:rsidRPr="00FD211F">
        <w:rPr>
          <w:sz w:val="36"/>
          <w:szCs w:val="36"/>
          <w:rtl/>
        </w:rPr>
        <w:t>،</w:t>
      </w:r>
      <w:r w:rsidR="00E8128F">
        <w:rPr>
          <w:sz w:val="36"/>
          <w:szCs w:val="36"/>
          <w:rtl/>
        </w:rPr>
        <w:t xml:space="preserve"> </w:t>
      </w:r>
      <w:r w:rsidR="000C677F" w:rsidRPr="00FD211F">
        <w:rPr>
          <w:sz w:val="36"/>
          <w:szCs w:val="36"/>
          <w:rtl/>
        </w:rPr>
        <w:t>بل</w:t>
      </w:r>
      <w:r w:rsidR="00E8128F">
        <w:rPr>
          <w:sz w:val="36"/>
          <w:szCs w:val="36"/>
          <w:rtl/>
        </w:rPr>
        <w:t xml:space="preserve"> </w:t>
      </w:r>
      <w:r w:rsidR="000C677F" w:rsidRPr="00FD211F">
        <w:rPr>
          <w:sz w:val="36"/>
          <w:szCs w:val="36"/>
          <w:rtl/>
        </w:rPr>
        <w:t>مجرد</w:t>
      </w:r>
      <w:r w:rsidR="00E8128F">
        <w:rPr>
          <w:sz w:val="36"/>
          <w:szCs w:val="36"/>
          <w:rtl/>
        </w:rPr>
        <w:t xml:space="preserve"> </w:t>
      </w:r>
      <w:r w:rsidR="000C677F" w:rsidRPr="00FD211F">
        <w:rPr>
          <w:sz w:val="36"/>
          <w:szCs w:val="36"/>
          <w:rtl/>
        </w:rPr>
        <w:t>اقام</w:t>
      </w:r>
      <w:r w:rsidR="00EC7EDF" w:rsidRPr="00FD211F">
        <w:rPr>
          <w:sz w:val="36"/>
          <w:szCs w:val="36"/>
          <w:rtl/>
        </w:rPr>
        <w:t>ة</w:t>
      </w:r>
      <w:r w:rsidR="00E8128F">
        <w:rPr>
          <w:sz w:val="36"/>
          <w:szCs w:val="36"/>
          <w:rtl/>
        </w:rPr>
        <w:t xml:space="preserve"> </w:t>
      </w:r>
      <w:r w:rsidR="000C677F" w:rsidRPr="00FD211F">
        <w:rPr>
          <w:sz w:val="36"/>
          <w:szCs w:val="36"/>
          <w:rtl/>
        </w:rPr>
        <w:t>الحج</w:t>
      </w:r>
      <w:r w:rsidR="00EC7EDF" w:rsidRPr="00FD211F">
        <w:rPr>
          <w:sz w:val="36"/>
          <w:szCs w:val="36"/>
          <w:rtl/>
        </w:rPr>
        <w:t>ة</w:t>
      </w:r>
      <w:r w:rsidR="00E8128F">
        <w:rPr>
          <w:sz w:val="36"/>
          <w:szCs w:val="36"/>
          <w:rtl/>
        </w:rPr>
        <w:t xml:space="preserve"> </w:t>
      </w:r>
      <w:r w:rsidR="000C677F" w:rsidRPr="00FD211F">
        <w:rPr>
          <w:sz w:val="36"/>
          <w:szCs w:val="36"/>
          <w:rtl/>
        </w:rPr>
        <w:t>عليه</w:t>
      </w:r>
      <w:r w:rsidR="00E8128F">
        <w:rPr>
          <w:sz w:val="36"/>
          <w:szCs w:val="36"/>
          <w:rtl/>
        </w:rPr>
        <w:t xml:space="preserve"> </w:t>
      </w:r>
      <w:r w:rsidR="000C677F" w:rsidRPr="00FD211F">
        <w:rPr>
          <w:sz w:val="36"/>
          <w:szCs w:val="36"/>
          <w:rtl/>
        </w:rPr>
        <w:t>ولو</w:t>
      </w:r>
      <w:r w:rsidR="00E8128F">
        <w:rPr>
          <w:sz w:val="36"/>
          <w:szCs w:val="36"/>
          <w:rtl/>
        </w:rPr>
        <w:t xml:space="preserve"> </w:t>
      </w:r>
      <w:r w:rsidR="000C677F" w:rsidRPr="00FD211F">
        <w:rPr>
          <w:sz w:val="36"/>
          <w:szCs w:val="36"/>
          <w:rtl/>
        </w:rPr>
        <w:t>كانت</w:t>
      </w:r>
      <w:r w:rsidR="00E8128F">
        <w:rPr>
          <w:sz w:val="36"/>
          <w:szCs w:val="36"/>
          <w:rtl/>
        </w:rPr>
        <w:t xml:space="preserve"> </w:t>
      </w:r>
      <w:r w:rsidR="000C677F" w:rsidRPr="00FD211F">
        <w:rPr>
          <w:sz w:val="36"/>
          <w:szCs w:val="36"/>
          <w:rtl/>
        </w:rPr>
        <w:t>الحج</w:t>
      </w:r>
      <w:r w:rsidR="00EC7EDF" w:rsidRPr="00FD211F">
        <w:rPr>
          <w:sz w:val="36"/>
          <w:szCs w:val="36"/>
          <w:rtl/>
        </w:rPr>
        <w:t>ة</w:t>
      </w:r>
      <w:r w:rsidR="00E8128F">
        <w:rPr>
          <w:sz w:val="36"/>
          <w:szCs w:val="36"/>
          <w:rtl/>
        </w:rPr>
        <w:t xml:space="preserve"> </w:t>
      </w:r>
      <w:r w:rsidR="000C677F" w:rsidRPr="00FD211F">
        <w:rPr>
          <w:sz w:val="36"/>
          <w:szCs w:val="36"/>
          <w:rtl/>
        </w:rPr>
        <w:t>بمعنى</w:t>
      </w:r>
      <w:r w:rsidR="00E8128F">
        <w:rPr>
          <w:sz w:val="36"/>
          <w:szCs w:val="36"/>
          <w:rtl/>
        </w:rPr>
        <w:t xml:space="preserve"> </w:t>
      </w:r>
      <w:r w:rsidR="000C677F" w:rsidRPr="00FD211F">
        <w:rPr>
          <w:sz w:val="36"/>
          <w:szCs w:val="36"/>
          <w:rtl/>
        </w:rPr>
        <w:t>المنجز</w:t>
      </w:r>
      <w:r w:rsidR="00E8128F">
        <w:rPr>
          <w:sz w:val="36"/>
          <w:szCs w:val="36"/>
          <w:rtl/>
        </w:rPr>
        <w:t xml:space="preserve"> </w:t>
      </w:r>
      <w:r w:rsidR="000C677F" w:rsidRPr="00FD211F">
        <w:rPr>
          <w:sz w:val="36"/>
          <w:szCs w:val="36"/>
          <w:rtl/>
        </w:rPr>
        <w:t>والمعذر</w:t>
      </w:r>
      <w:r w:rsidR="00603323" w:rsidRPr="00FD211F">
        <w:rPr>
          <w:sz w:val="36"/>
          <w:szCs w:val="36"/>
          <w:rtl/>
        </w:rPr>
        <w:t>،</w:t>
      </w:r>
      <w:r w:rsidR="00E8128F">
        <w:rPr>
          <w:sz w:val="36"/>
          <w:szCs w:val="36"/>
          <w:rtl/>
        </w:rPr>
        <w:t xml:space="preserve"> </w:t>
      </w:r>
      <w:r w:rsidR="000C677F" w:rsidRPr="00FD211F">
        <w:rPr>
          <w:sz w:val="36"/>
          <w:szCs w:val="36"/>
          <w:rtl/>
        </w:rPr>
        <w:t>وذلك</w:t>
      </w:r>
      <w:r w:rsidR="00E8128F">
        <w:rPr>
          <w:sz w:val="36"/>
          <w:szCs w:val="36"/>
          <w:rtl/>
        </w:rPr>
        <w:t xml:space="preserve"> </w:t>
      </w:r>
      <w:r w:rsidR="000C677F" w:rsidRPr="00FD211F">
        <w:rPr>
          <w:sz w:val="36"/>
          <w:szCs w:val="36"/>
          <w:rtl/>
        </w:rPr>
        <w:t>لقرين</w:t>
      </w:r>
      <w:r w:rsidR="00EC7EDF" w:rsidRPr="00FD211F">
        <w:rPr>
          <w:sz w:val="36"/>
          <w:szCs w:val="36"/>
          <w:rtl/>
        </w:rPr>
        <w:t>ة</w:t>
      </w:r>
      <w:r w:rsidR="00E8128F">
        <w:rPr>
          <w:sz w:val="36"/>
          <w:szCs w:val="36"/>
          <w:rtl/>
        </w:rPr>
        <w:t xml:space="preserve"> </w:t>
      </w:r>
      <w:r w:rsidR="000C677F" w:rsidRPr="00FD211F">
        <w:rPr>
          <w:sz w:val="36"/>
          <w:szCs w:val="36"/>
          <w:rtl/>
        </w:rPr>
        <w:t>عام</w:t>
      </w:r>
      <w:r w:rsidR="00EC7EDF" w:rsidRPr="00FD211F">
        <w:rPr>
          <w:sz w:val="36"/>
          <w:szCs w:val="36"/>
          <w:rtl/>
        </w:rPr>
        <w:t>ة</w:t>
      </w:r>
      <w:r w:rsidR="00E8128F">
        <w:rPr>
          <w:sz w:val="36"/>
          <w:szCs w:val="36"/>
          <w:rtl/>
        </w:rPr>
        <w:t xml:space="preserve"> </w:t>
      </w:r>
      <w:r w:rsidR="000C677F" w:rsidRPr="00FD211F">
        <w:rPr>
          <w:sz w:val="36"/>
          <w:szCs w:val="36"/>
          <w:rtl/>
        </w:rPr>
        <w:t>في</w:t>
      </w:r>
      <w:r w:rsidR="00E8128F">
        <w:rPr>
          <w:sz w:val="36"/>
          <w:szCs w:val="36"/>
          <w:rtl/>
        </w:rPr>
        <w:t xml:space="preserve"> </w:t>
      </w:r>
      <w:r w:rsidR="000C677F" w:rsidRPr="00FD211F">
        <w:rPr>
          <w:sz w:val="36"/>
          <w:szCs w:val="36"/>
          <w:rtl/>
        </w:rPr>
        <w:t>الفقه</w:t>
      </w:r>
      <w:r w:rsidR="00E8128F">
        <w:rPr>
          <w:sz w:val="36"/>
          <w:szCs w:val="36"/>
          <w:rtl/>
        </w:rPr>
        <w:t xml:space="preserve"> </w:t>
      </w:r>
      <w:r w:rsidR="00A3557D" w:rsidRPr="00FD211F">
        <w:rPr>
          <w:sz w:val="36"/>
          <w:szCs w:val="36"/>
          <w:rtl/>
        </w:rPr>
        <w:t>توجب</w:t>
      </w:r>
      <w:r w:rsidR="00E8128F">
        <w:rPr>
          <w:sz w:val="36"/>
          <w:szCs w:val="36"/>
          <w:rtl/>
        </w:rPr>
        <w:t xml:space="preserve"> </w:t>
      </w:r>
      <w:r w:rsidR="00D815DE" w:rsidRPr="00FD211F">
        <w:rPr>
          <w:sz w:val="36"/>
          <w:szCs w:val="36"/>
          <w:rtl/>
        </w:rPr>
        <w:t>إراد</w:t>
      </w:r>
      <w:r w:rsidR="00EC7EDF" w:rsidRPr="00FD211F">
        <w:rPr>
          <w:sz w:val="36"/>
          <w:szCs w:val="36"/>
          <w:rtl/>
        </w:rPr>
        <w:t>ة</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المعنى</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الاستنباط</w:t>
      </w:r>
      <w:r w:rsidR="00603323" w:rsidRPr="00FD211F">
        <w:rPr>
          <w:sz w:val="36"/>
          <w:szCs w:val="36"/>
          <w:rtl/>
        </w:rPr>
        <w:t>،</w:t>
      </w:r>
      <w:r w:rsidR="00E8128F">
        <w:rPr>
          <w:sz w:val="36"/>
          <w:szCs w:val="36"/>
          <w:rtl/>
        </w:rPr>
        <w:t xml:space="preserve"> </w:t>
      </w:r>
      <w:r w:rsidRPr="00FD211F">
        <w:rPr>
          <w:sz w:val="36"/>
          <w:szCs w:val="36"/>
          <w:rtl/>
        </w:rPr>
        <w:t>وهذه</w:t>
      </w:r>
      <w:r w:rsidR="00E8128F">
        <w:rPr>
          <w:sz w:val="36"/>
          <w:szCs w:val="36"/>
          <w:rtl/>
        </w:rPr>
        <w:t xml:space="preserve"> </w:t>
      </w:r>
      <w:r w:rsidRPr="00FD211F">
        <w:rPr>
          <w:sz w:val="36"/>
          <w:szCs w:val="36"/>
          <w:rtl/>
        </w:rPr>
        <w:t>القرين</w:t>
      </w:r>
      <w:r w:rsidR="00EC7EDF" w:rsidRPr="00FD211F">
        <w:rPr>
          <w:sz w:val="36"/>
          <w:szCs w:val="36"/>
          <w:rtl/>
        </w:rPr>
        <w:t>ة</w:t>
      </w:r>
      <w:r w:rsidR="00E8128F">
        <w:rPr>
          <w:sz w:val="36"/>
          <w:szCs w:val="36"/>
          <w:rtl/>
        </w:rPr>
        <w:t xml:space="preserve"> </w:t>
      </w:r>
      <w:r w:rsidRPr="00FD211F">
        <w:rPr>
          <w:sz w:val="36"/>
          <w:szCs w:val="36"/>
          <w:rtl/>
        </w:rPr>
        <w:t>العام</w:t>
      </w:r>
      <w:r w:rsidR="00EC7EDF" w:rsidRPr="00FD211F">
        <w:rPr>
          <w:sz w:val="36"/>
          <w:szCs w:val="36"/>
          <w:rtl/>
        </w:rPr>
        <w:t>ة</w:t>
      </w:r>
      <w:r w:rsidR="00E8128F">
        <w:rPr>
          <w:sz w:val="36"/>
          <w:szCs w:val="36"/>
          <w:rtl/>
        </w:rPr>
        <w:t xml:space="preserve"> </w:t>
      </w:r>
      <w:r w:rsidR="00481208" w:rsidRPr="00FD211F">
        <w:rPr>
          <w:sz w:val="36"/>
          <w:szCs w:val="36"/>
          <w:rtl/>
        </w:rPr>
        <w:t>أنه</w:t>
      </w:r>
      <w:r w:rsidR="00E8128F">
        <w:rPr>
          <w:sz w:val="36"/>
          <w:szCs w:val="36"/>
          <w:rtl/>
        </w:rPr>
        <w:t xml:space="preserve"> </w:t>
      </w:r>
      <w:r w:rsidR="000C677F" w:rsidRPr="00FD211F">
        <w:rPr>
          <w:sz w:val="36"/>
          <w:szCs w:val="36"/>
          <w:rtl/>
        </w:rPr>
        <w:t>قل</w:t>
      </w:r>
      <w:r w:rsidR="00992D67" w:rsidRPr="00FD211F">
        <w:rPr>
          <w:sz w:val="36"/>
          <w:szCs w:val="36"/>
          <w:rtl/>
        </w:rPr>
        <w:t>ّ</w:t>
      </w:r>
      <w:r w:rsidR="000C677F" w:rsidRPr="00FD211F">
        <w:rPr>
          <w:sz w:val="36"/>
          <w:szCs w:val="36"/>
          <w:rtl/>
        </w:rPr>
        <w:t>ما</w:t>
      </w:r>
      <w:r w:rsidR="00E8128F">
        <w:rPr>
          <w:sz w:val="36"/>
          <w:szCs w:val="36"/>
          <w:rtl/>
        </w:rPr>
        <w:t xml:space="preserve"> </w:t>
      </w:r>
      <w:r w:rsidR="00A3557D" w:rsidRPr="00FD211F">
        <w:rPr>
          <w:sz w:val="36"/>
          <w:szCs w:val="36"/>
          <w:rtl/>
        </w:rPr>
        <w:t>يستكشف</w:t>
      </w:r>
      <w:r w:rsidR="00E8128F">
        <w:rPr>
          <w:sz w:val="36"/>
          <w:szCs w:val="36"/>
          <w:rtl/>
        </w:rPr>
        <w:t xml:space="preserve"> </w:t>
      </w:r>
      <w:r w:rsidR="000C677F" w:rsidRPr="00FD211F">
        <w:rPr>
          <w:sz w:val="36"/>
          <w:szCs w:val="36"/>
          <w:rtl/>
        </w:rPr>
        <w:t>الحكم</w:t>
      </w:r>
      <w:r w:rsidR="00E8128F">
        <w:rPr>
          <w:sz w:val="36"/>
          <w:szCs w:val="36"/>
          <w:rtl/>
        </w:rPr>
        <w:t xml:space="preserve"> </w:t>
      </w:r>
      <w:r w:rsidR="000C677F" w:rsidRPr="00FD211F">
        <w:rPr>
          <w:sz w:val="36"/>
          <w:szCs w:val="36"/>
          <w:rtl/>
        </w:rPr>
        <w:t>الشرعي</w:t>
      </w:r>
      <w:r w:rsidR="00E8128F">
        <w:rPr>
          <w:sz w:val="36"/>
          <w:szCs w:val="36"/>
          <w:rtl/>
        </w:rPr>
        <w:t xml:space="preserve"> </w:t>
      </w:r>
      <w:r w:rsidR="00A3557D" w:rsidRPr="00FD211F">
        <w:rPr>
          <w:sz w:val="36"/>
          <w:szCs w:val="36"/>
          <w:rtl/>
        </w:rPr>
        <w:t>في</w:t>
      </w:r>
      <w:r w:rsidR="00E8128F">
        <w:rPr>
          <w:sz w:val="36"/>
          <w:szCs w:val="36"/>
          <w:rtl/>
        </w:rPr>
        <w:t xml:space="preserve"> </w:t>
      </w:r>
      <w:r w:rsidR="00A3557D" w:rsidRPr="00FD211F">
        <w:rPr>
          <w:sz w:val="36"/>
          <w:szCs w:val="36"/>
          <w:rtl/>
        </w:rPr>
        <w:t>الفقه</w:t>
      </w:r>
      <w:r w:rsidR="00E8128F">
        <w:rPr>
          <w:sz w:val="36"/>
          <w:szCs w:val="36"/>
          <w:rtl/>
        </w:rPr>
        <w:t xml:space="preserve"> </w:t>
      </w:r>
      <w:r w:rsidR="000C677F" w:rsidRPr="00FD211F">
        <w:rPr>
          <w:sz w:val="36"/>
          <w:szCs w:val="36"/>
          <w:rtl/>
        </w:rPr>
        <w:t>وجدانا</w:t>
      </w:r>
      <w:r w:rsidR="00603323" w:rsidRPr="00FD211F">
        <w:rPr>
          <w:sz w:val="36"/>
          <w:szCs w:val="36"/>
          <w:rtl/>
        </w:rPr>
        <w:t>،</w:t>
      </w:r>
      <w:r w:rsidR="00E8128F">
        <w:rPr>
          <w:sz w:val="36"/>
          <w:szCs w:val="36"/>
          <w:rtl/>
        </w:rPr>
        <w:t xml:space="preserve"> </w:t>
      </w:r>
      <w:r w:rsidR="00A3557D" w:rsidRPr="00FD211F">
        <w:rPr>
          <w:sz w:val="36"/>
          <w:szCs w:val="36"/>
          <w:rtl/>
        </w:rPr>
        <w:t>وعليه</w:t>
      </w:r>
      <w:r w:rsidR="00E8128F">
        <w:rPr>
          <w:sz w:val="36"/>
          <w:szCs w:val="36"/>
          <w:rtl/>
        </w:rPr>
        <w:t xml:space="preserve"> </w:t>
      </w:r>
      <w:r w:rsidR="000C677F" w:rsidRPr="00FD211F">
        <w:rPr>
          <w:sz w:val="36"/>
          <w:szCs w:val="36"/>
          <w:rtl/>
        </w:rPr>
        <w:t>فالبحث</w:t>
      </w:r>
      <w:r w:rsidR="00E8128F">
        <w:rPr>
          <w:sz w:val="36"/>
          <w:szCs w:val="36"/>
          <w:rtl/>
        </w:rPr>
        <w:t xml:space="preserve"> </w:t>
      </w:r>
      <w:r w:rsidR="00A4084D" w:rsidRPr="00FD211F">
        <w:rPr>
          <w:sz w:val="36"/>
          <w:szCs w:val="36"/>
          <w:rtl/>
        </w:rPr>
        <w:t>في</w:t>
      </w:r>
      <w:r w:rsidR="00E8128F">
        <w:rPr>
          <w:sz w:val="36"/>
          <w:szCs w:val="36"/>
          <w:rtl/>
        </w:rPr>
        <w:t xml:space="preserve"> </w:t>
      </w:r>
      <w:r w:rsidR="00A4084D" w:rsidRPr="00FD211F">
        <w:rPr>
          <w:sz w:val="36"/>
          <w:szCs w:val="36"/>
          <w:rtl/>
        </w:rPr>
        <w:t>ان</w:t>
      </w:r>
      <w:r w:rsidR="00E8128F">
        <w:rPr>
          <w:sz w:val="36"/>
          <w:szCs w:val="36"/>
          <w:rtl/>
        </w:rPr>
        <w:t xml:space="preserve"> </w:t>
      </w:r>
      <w:r w:rsidR="00A4084D" w:rsidRPr="00FD211F">
        <w:rPr>
          <w:sz w:val="36"/>
          <w:szCs w:val="36"/>
          <w:rtl/>
        </w:rPr>
        <w:t>احتمال</w:t>
      </w:r>
      <w:r w:rsidR="00E8128F">
        <w:rPr>
          <w:sz w:val="36"/>
          <w:szCs w:val="36"/>
          <w:rtl/>
        </w:rPr>
        <w:t xml:space="preserve"> </w:t>
      </w:r>
      <w:r w:rsidR="00A4084D" w:rsidRPr="00FD211F">
        <w:rPr>
          <w:sz w:val="36"/>
          <w:szCs w:val="36"/>
          <w:rtl/>
        </w:rPr>
        <w:t>التكليف</w:t>
      </w:r>
      <w:r w:rsidR="00E8128F">
        <w:rPr>
          <w:sz w:val="36"/>
          <w:szCs w:val="36"/>
          <w:rtl/>
        </w:rPr>
        <w:t xml:space="preserve"> </w:t>
      </w:r>
      <w:r w:rsidR="00A4084D" w:rsidRPr="00FD211F">
        <w:rPr>
          <w:sz w:val="36"/>
          <w:szCs w:val="36"/>
          <w:rtl/>
        </w:rPr>
        <w:t>منجز</w:t>
      </w:r>
      <w:r w:rsidR="00E8128F">
        <w:rPr>
          <w:sz w:val="36"/>
          <w:szCs w:val="36"/>
          <w:rtl/>
        </w:rPr>
        <w:t xml:space="preserve"> </w:t>
      </w:r>
      <w:r w:rsidR="00A4084D" w:rsidRPr="00FD211F">
        <w:rPr>
          <w:sz w:val="36"/>
          <w:szCs w:val="36"/>
          <w:rtl/>
        </w:rPr>
        <w:t>او</w:t>
      </w:r>
      <w:r w:rsidR="00E8128F">
        <w:rPr>
          <w:sz w:val="36"/>
          <w:szCs w:val="36"/>
          <w:rtl/>
        </w:rPr>
        <w:t xml:space="preserve"> </w:t>
      </w:r>
      <w:r w:rsidR="00A4084D" w:rsidRPr="00FD211F">
        <w:rPr>
          <w:sz w:val="36"/>
          <w:szCs w:val="36"/>
          <w:rtl/>
        </w:rPr>
        <w:t>ان</w:t>
      </w:r>
      <w:r w:rsidR="00E8128F">
        <w:rPr>
          <w:sz w:val="36"/>
          <w:szCs w:val="36"/>
          <w:rtl/>
        </w:rPr>
        <w:t xml:space="preserve"> </w:t>
      </w:r>
      <w:r w:rsidR="00A4084D" w:rsidRPr="00FD211F">
        <w:rPr>
          <w:sz w:val="36"/>
          <w:szCs w:val="36"/>
          <w:rtl/>
        </w:rPr>
        <w:t>الجهل</w:t>
      </w:r>
      <w:r w:rsidR="00E8128F">
        <w:rPr>
          <w:sz w:val="36"/>
          <w:szCs w:val="36"/>
          <w:rtl/>
        </w:rPr>
        <w:t xml:space="preserve"> </w:t>
      </w:r>
      <w:r w:rsidR="00A4084D" w:rsidRPr="00FD211F">
        <w:rPr>
          <w:sz w:val="36"/>
          <w:szCs w:val="36"/>
          <w:rtl/>
        </w:rPr>
        <w:t>به</w:t>
      </w:r>
      <w:r w:rsidR="00E8128F">
        <w:rPr>
          <w:sz w:val="36"/>
          <w:szCs w:val="36"/>
          <w:rtl/>
        </w:rPr>
        <w:t xml:space="preserve"> </w:t>
      </w:r>
      <w:r w:rsidR="00A4084D" w:rsidRPr="00FD211F">
        <w:rPr>
          <w:sz w:val="36"/>
          <w:szCs w:val="36"/>
          <w:rtl/>
        </w:rPr>
        <w:t>معذر</w:t>
      </w:r>
      <w:r w:rsidR="00E8128F">
        <w:rPr>
          <w:sz w:val="36"/>
          <w:szCs w:val="36"/>
          <w:rtl/>
        </w:rPr>
        <w:t xml:space="preserve"> </w:t>
      </w:r>
      <w:r w:rsidR="00A4084D" w:rsidRPr="00FD211F">
        <w:rPr>
          <w:sz w:val="36"/>
          <w:szCs w:val="36"/>
          <w:rtl/>
        </w:rPr>
        <w:t>ام</w:t>
      </w:r>
      <w:r w:rsidR="00E8128F">
        <w:rPr>
          <w:sz w:val="36"/>
          <w:szCs w:val="36"/>
          <w:rtl/>
        </w:rPr>
        <w:t xml:space="preserve"> </w:t>
      </w:r>
      <w:r w:rsidR="00A4084D" w:rsidRPr="00FD211F">
        <w:rPr>
          <w:sz w:val="36"/>
          <w:szCs w:val="36"/>
          <w:rtl/>
        </w:rPr>
        <w:t>لا</w:t>
      </w:r>
      <w:r w:rsidR="00E8128F">
        <w:rPr>
          <w:sz w:val="36"/>
          <w:szCs w:val="36"/>
          <w:rtl/>
        </w:rPr>
        <w:t xml:space="preserve"> </w:t>
      </w:r>
      <w:r w:rsidR="00A4084D" w:rsidRPr="00FD211F">
        <w:rPr>
          <w:sz w:val="36"/>
          <w:szCs w:val="36"/>
          <w:rtl/>
        </w:rPr>
        <w:t>يكون</w:t>
      </w:r>
      <w:r w:rsidR="00E8128F">
        <w:rPr>
          <w:sz w:val="36"/>
          <w:szCs w:val="36"/>
          <w:rtl/>
        </w:rPr>
        <w:t xml:space="preserve"> </w:t>
      </w:r>
      <w:r w:rsidR="00A4084D" w:rsidRPr="00FD211F">
        <w:rPr>
          <w:sz w:val="36"/>
          <w:szCs w:val="36"/>
          <w:rtl/>
        </w:rPr>
        <w:t>داخلا</w:t>
      </w:r>
      <w:r w:rsidR="00E8128F">
        <w:rPr>
          <w:sz w:val="36"/>
          <w:szCs w:val="36"/>
          <w:rtl/>
        </w:rPr>
        <w:t xml:space="preserve"> </w:t>
      </w:r>
      <w:r w:rsidR="00A4084D" w:rsidRPr="00FD211F">
        <w:rPr>
          <w:sz w:val="36"/>
          <w:szCs w:val="36"/>
          <w:rtl/>
        </w:rPr>
        <w:t>في</w:t>
      </w:r>
      <w:r w:rsidR="00E8128F">
        <w:rPr>
          <w:sz w:val="36"/>
          <w:szCs w:val="36"/>
          <w:rtl/>
        </w:rPr>
        <w:t xml:space="preserve"> </w:t>
      </w:r>
      <w:r w:rsidR="00A4084D" w:rsidRPr="00FD211F">
        <w:rPr>
          <w:sz w:val="36"/>
          <w:szCs w:val="36"/>
          <w:rtl/>
        </w:rPr>
        <w:t>علم</w:t>
      </w:r>
      <w:r w:rsidR="00E8128F">
        <w:rPr>
          <w:sz w:val="36"/>
          <w:szCs w:val="36"/>
          <w:rtl/>
        </w:rPr>
        <w:t xml:space="preserve"> </w:t>
      </w:r>
      <w:r w:rsidR="00A4084D" w:rsidRPr="00FD211F">
        <w:rPr>
          <w:sz w:val="36"/>
          <w:szCs w:val="36"/>
          <w:rtl/>
        </w:rPr>
        <w:t>الاصول.</w:t>
      </w:r>
    </w:p>
    <w:p w14:paraId="3A252CE7" w14:textId="77777777" w:rsidR="00E74AC4" w:rsidRPr="00FD211F" w:rsidRDefault="00A4084D" w:rsidP="009C58C8">
      <w:pPr>
        <w:ind w:left="0" w:firstLine="227"/>
        <w:jc w:val="both"/>
        <w:rPr>
          <w:sz w:val="36"/>
          <w:szCs w:val="36"/>
          <w:rtl/>
        </w:rPr>
      </w:pPr>
      <w:r w:rsidRPr="00FD211F">
        <w:rPr>
          <w:sz w:val="36"/>
          <w:szCs w:val="36"/>
          <w:rtl/>
        </w:rPr>
        <w:t>ولولا</w:t>
      </w:r>
      <w:r w:rsidR="00E8128F">
        <w:rPr>
          <w:sz w:val="36"/>
          <w:szCs w:val="36"/>
          <w:rtl/>
        </w:rPr>
        <w:t xml:space="preserve"> </w:t>
      </w:r>
      <w:r w:rsidR="00D815DE" w:rsidRPr="00FD211F">
        <w:rPr>
          <w:sz w:val="36"/>
          <w:szCs w:val="36"/>
          <w:rtl/>
        </w:rPr>
        <w:t>إراد</w:t>
      </w:r>
      <w:r w:rsidR="00EC7EDF" w:rsidRPr="00FD211F">
        <w:rPr>
          <w:sz w:val="36"/>
          <w:szCs w:val="36"/>
          <w:rtl/>
        </w:rPr>
        <w:t>ة</w:t>
      </w:r>
      <w:r w:rsidR="00E8128F">
        <w:rPr>
          <w:sz w:val="36"/>
          <w:szCs w:val="36"/>
          <w:rtl/>
        </w:rPr>
        <w:t xml:space="preserve"> </w:t>
      </w:r>
      <w:r w:rsidRPr="00FD211F">
        <w:rPr>
          <w:sz w:val="36"/>
          <w:szCs w:val="36"/>
          <w:rtl/>
        </w:rPr>
        <w:t>اقام</w:t>
      </w:r>
      <w:r w:rsidR="00EC7EDF" w:rsidRPr="00FD211F">
        <w:rPr>
          <w:sz w:val="36"/>
          <w:szCs w:val="36"/>
          <w:rtl/>
        </w:rPr>
        <w:t>ة</w:t>
      </w:r>
      <w:r w:rsidR="00E8128F">
        <w:rPr>
          <w:sz w:val="36"/>
          <w:szCs w:val="36"/>
          <w:rtl/>
        </w:rPr>
        <w:t xml:space="preserve"> </w:t>
      </w:r>
      <w:r w:rsidRPr="00FD211F">
        <w:rPr>
          <w:sz w:val="36"/>
          <w:szCs w:val="36"/>
          <w:rtl/>
        </w:rPr>
        <w:t>الحج</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كلم</w:t>
      </w:r>
      <w:r w:rsidR="00EC7EDF" w:rsidRPr="00FD211F">
        <w:rPr>
          <w:sz w:val="36"/>
          <w:szCs w:val="36"/>
          <w:rtl/>
        </w:rPr>
        <w:t>ة</w:t>
      </w:r>
      <w:r w:rsidR="00E8128F">
        <w:rPr>
          <w:sz w:val="36"/>
          <w:szCs w:val="36"/>
          <w:rtl/>
        </w:rPr>
        <w:t xml:space="preserve"> </w:t>
      </w:r>
      <w:r w:rsidRPr="00FD211F">
        <w:rPr>
          <w:sz w:val="36"/>
          <w:szCs w:val="36"/>
          <w:rtl/>
        </w:rPr>
        <w:t>الاستنباط</w:t>
      </w:r>
      <w:r w:rsidR="00E8128F">
        <w:rPr>
          <w:sz w:val="36"/>
          <w:szCs w:val="36"/>
          <w:rtl/>
        </w:rPr>
        <w:t xml:space="preserve"> </w:t>
      </w:r>
      <w:r w:rsidR="00A3557D" w:rsidRPr="00FD211F">
        <w:rPr>
          <w:sz w:val="36"/>
          <w:szCs w:val="36"/>
          <w:rtl/>
        </w:rPr>
        <w:t>ل</w:t>
      </w:r>
      <w:r w:rsidRPr="00FD211F">
        <w:rPr>
          <w:sz w:val="36"/>
          <w:szCs w:val="36"/>
          <w:rtl/>
        </w:rPr>
        <w:t>خرج</w:t>
      </w:r>
      <w:r w:rsidR="00E8128F">
        <w:rPr>
          <w:sz w:val="36"/>
          <w:szCs w:val="36"/>
          <w:rtl/>
        </w:rPr>
        <w:t xml:space="preserve"> </w:t>
      </w:r>
      <w:r w:rsidRPr="00FD211F">
        <w:rPr>
          <w:sz w:val="36"/>
          <w:szCs w:val="36"/>
          <w:rtl/>
        </w:rPr>
        <w:t>جل</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الأصول</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التعريف</w:t>
      </w:r>
      <w:r w:rsidR="00603323" w:rsidRPr="00FD211F">
        <w:rPr>
          <w:sz w:val="36"/>
          <w:szCs w:val="36"/>
          <w:rtl/>
        </w:rPr>
        <w:t>،</w:t>
      </w:r>
      <w:r w:rsidR="00E8128F">
        <w:rPr>
          <w:sz w:val="36"/>
          <w:szCs w:val="36"/>
          <w:rtl/>
        </w:rPr>
        <w:t xml:space="preserve"> </w:t>
      </w:r>
      <w:r w:rsidRPr="00FD211F">
        <w:rPr>
          <w:sz w:val="36"/>
          <w:szCs w:val="36"/>
          <w:rtl/>
        </w:rPr>
        <w:t>اذ</w:t>
      </w:r>
      <w:r w:rsidR="00E8128F">
        <w:rPr>
          <w:sz w:val="36"/>
          <w:szCs w:val="36"/>
          <w:rtl/>
        </w:rPr>
        <w:t xml:space="preserve"> </w:t>
      </w:r>
      <w:r w:rsidRPr="00FD211F">
        <w:rPr>
          <w:sz w:val="36"/>
          <w:szCs w:val="36"/>
          <w:rtl/>
        </w:rPr>
        <w:t>مفاد</w:t>
      </w:r>
      <w:r w:rsidR="00E8128F">
        <w:rPr>
          <w:sz w:val="36"/>
          <w:szCs w:val="36"/>
          <w:rtl/>
        </w:rPr>
        <w:t xml:space="preserve"> </w:t>
      </w:r>
      <w:r w:rsidRPr="00FD211F">
        <w:rPr>
          <w:sz w:val="36"/>
          <w:szCs w:val="36"/>
          <w:rtl/>
        </w:rPr>
        <w:t>دليل</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الأمارات</w:t>
      </w:r>
      <w:r w:rsidR="00E8128F">
        <w:rPr>
          <w:sz w:val="36"/>
          <w:szCs w:val="36"/>
          <w:rtl/>
        </w:rPr>
        <w:t xml:space="preserve"> </w:t>
      </w:r>
      <w:r w:rsidR="00510C33" w:rsidRPr="00FD211F">
        <w:rPr>
          <w:sz w:val="36"/>
          <w:szCs w:val="36"/>
          <w:rtl/>
        </w:rPr>
        <w:t>ليس</w:t>
      </w:r>
      <w:r w:rsidR="00E8128F">
        <w:rPr>
          <w:sz w:val="36"/>
          <w:szCs w:val="36"/>
          <w:rtl/>
        </w:rPr>
        <w:t xml:space="preserve"> </w:t>
      </w:r>
      <w:r w:rsidR="00510C33" w:rsidRPr="00FD211F">
        <w:rPr>
          <w:sz w:val="36"/>
          <w:szCs w:val="36"/>
          <w:rtl/>
        </w:rPr>
        <w:t>اعتبارها</w:t>
      </w:r>
      <w:r w:rsidR="00E8128F">
        <w:rPr>
          <w:sz w:val="36"/>
          <w:szCs w:val="36"/>
          <w:rtl/>
        </w:rPr>
        <w:t xml:space="preserve"> </w:t>
      </w:r>
      <w:r w:rsidR="00510C33" w:rsidRPr="00FD211F">
        <w:rPr>
          <w:sz w:val="36"/>
          <w:szCs w:val="36"/>
          <w:rtl/>
        </w:rPr>
        <w:t>علما</w:t>
      </w:r>
      <w:r w:rsidR="00E8128F">
        <w:rPr>
          <w:sz w:val="36"/>
          <w:szCs w:val="36"/>
          <w:rtl/>
        </w:rPr>
        <w:t xml:space="preserve"> </w:t>
      </w:r>
      <w:r w:rsidR="00510C33" w:rsidRPr="00FD211F">
        <w:rPr>
          <w:sz w:val="36"/>
          <w:szCs w:val="36"/>
          <w:rtl/>
        </w:rPr>
        <w:t>بالواقع</w:t>
      </w:r>
      <w:r w:rsidR="00E8128F">
        <w:rPr>
          <w:sz w:val="36"/>
          <w:szCs w:val="36"/>
          <w:rtl/>
        </w:rPr>
        <w:t xml:space="preserve"> </w:t>
      </w:r>
      <w:r w:rsidR="00510C33" w:rsidRPr="00FD211F">
        <w:rPr>
          <w:sz w:val="36"/>
          <w:szCs w:val="36"/>
          <w:rtl/>
        </w:rPr>
        <w:t>كي</w:t>
      </w:r>
      <w:r w:rsidR="00E8128F">
        <w:rPr>
          <w:sz w:val="36"/>
          <w:szCs w:val="36"/>
          <w:rtl/>
        </w:rPr>
        <w:t xml:space="preserve"> </w:t>
      </w:r>
      <w:r w:rsidR="00510C33" w:rsidRPr="00FD211F">
        <w:rPr>
          <w:sz w:val="36"/>
          <w:szCs w:val="36"/>
          <w:rtl/>
        </w:rPr>
        <w:t>تقع</w:t>
      </w:r>
      <w:r w:rsidR="00E8128F">
        <w:rPr>
          <w:sz w:val="36"/>
          <w:szCs w:val="36"/>
          <w:rtl/>
        </w:rPr>
        <w:t xml:space="preserve"> </w:t>
      </w:r>
      <w:r w:rsidR="00510C33" w:rsidRPr="00FD211F">
        <w:rPr>
          <w:sz w:val="36"/>
          <w:szCs w:val="36"/>
          <w:rtl/>
        </w:rPr>
        <w:t>في</w:t>
      </w:r>
      <w:r w:rsidR="00E8128F">
        <w:rPr>
          <w:sz w:val="36"/>
          <w:szCs w:val="36"/>
          <w:rtl/>
        </w:rPr>
        <w:t xml:space="preserve"> </w:t>
      </w:r>
      <w:r w:rsidR="00510C33" w:rsidRPr="00FD211F">
        <w:rPr>
          <w:sz w:val="36"/>
          <w:szCs w:val="36"/>
          <w:rtl/>
        </w:rPr>
        <w:t>طريق</w:t>
      </w:r>
      <w:r w:rsidR="00E8128F">
        <w:rPr>
          <w:sz w:val="36"/>
          <w:szCs w:val="36"/>
          <w:rtl/>
        </w:rPr>
        <w:t xml:space="preserve"> </w:t>
      </w:r>
      <w:r w:rsidR="00510C33" w:rsidRPr="00FD211F">
        <w:rPr>
          <w:sz w:val="36"/>
          <w:szCs w:val="36"/>
          <w:rtl/>
        </w:rPr>
        <w:t>استكشاف</w:t>
      </w:r>
      <w:r w:rsidR="00E8128F">
        <w:rPr>
          <w:sz w:val="36"/>
          <w:szCs w:val="36"/>
          <w:rtl/>
        </w:rPr>
        <w:t xml:space="preserve"> </w:t>
      </w:r>
      <w:r w:rsidR="00510C33" w:rsidRPr="00FD211F">
        <w:rPr>
          <w:sz w:val="36"/>
          <w:szCs w:val="36"/>
          <w:rtl/>
        </w:rPr>
        <w:t>الحكم</w:t>
      </w:r>
      <w:r w:rsidR="00E8128F">
        <w:rPr>
          <w:sz w:val="36"/>
          <w:szCs w:val="36"/>
          <w:rtl/>
        </w:rPr>
        <w:t xml:space="preserve"> </w:t>
      </w:r>
      <w:r w:rsidR="00510C33" w:rsidRPr="00FD211F">
        <w:rPr>
          <w:sz w:val="36"/>
          <w:szCs w:val="36"/>
          <w:rtl/>
        </w:rPr>
        <w:t>الواقعي</w:t>
      </w:r>
      <w:r w:rsidR="00E8128F">
        <w:rPr>
          <w:sz w:val="36"/>
          <w:szCs w:val="36"/>
          <w:rtl/>
        </w:rPr>
        <w:t xml:space="preserve"> </w:t>
      </w:r>
      <w:r w:rsidR="00510C33" w:rsidRPr="00FD211F">
        <w:rPr>
          <w:sz w:val="36"/>
          <w:szCs w:val="36"/>
          <w:rtl/>
        </w:rPr>
        <w:t>تعبدا</w:t>
      </w:r>
      <w:r w:rsidR="00603323" w:rsidRPr="00FD211F">
        <w:rPr>
          <w:sz w:val="36"/>
          <w:szCs w:val="36"/>
          <w:rtl/>
        </w:rPr>
        <w:t>،</w:t>
      </w:r>
      <w:r w:rsidR="00E8128F">
        <w:rPr>
          <w:sz w:val="36"/>
          <w:szCs w:val="36"/>
          <w:rtl/>
        </w:rPr>
        <w:t xml:space="preserve"> </w:t>
      </w:r>
      <w:r w:rsidR="00510C33" w:rsidRPr="00FD211F">
        <w:rPr>
          <w:sz w:val="36"/>
          <w:szCs w:val="36"/>
          <w:rtl/>
        </w:rPr>
        <w:t>بل</w:t>
      </w:r>
      <w:r w:rsidR="00E8128F">
        <w:rPr>
          <w:sz w:val="36"/>
          <w:szCs w:val="36"/>
          <w:rtl/>
        </w:rPr>
        <w:t xml:space="preserve"> </w:t>
      </w:r>
      <w:r w:rsidR="00510C33" w:rsidRPr="00FD211F">
        <w:rPr>
          <w:sz w:val="36"/>
          <w:szCs w:val="36"/>
          <w:rtl/>
        </w:rPr>
        <w:t>مفاد</w:t>
      </w:r>
      <w:r w:rsidR="00E8128F">
        <w:rPr>
          <w:sz w:val="36"/>
          <w:szCs w:val="36"/>
          <w:rtl/>
        </w:rPr>
        <w:t xml:space="preserve"> </w:t>
      </w:r>
      <w:r w:rsidR="00510C33" w:rsidRPr="00FD211F">
        <w:rPr>
          <w:sz w:val="36"/>
          <w:szCs w:val="36"/>
          <w:rtl/>
        </w:rPr>
        <w:t>دليل</w:t>
      </w:r>
      <w:r w:rsidR="00E8128F">
        <w:rPr>
          <w:sz w:val="36"/>
          <w:szCs w:val="36"/>
          <w:rtl/>
        </w:rPr>
        <w:t xml:space="preserve"> </w:t>
      </w:r>
      <w:r w:rsidR="00510C33" w:rsidRPr="00FD211F">
        <w:rPr>
          <w:sz w:val="36"/>
          <w:szCs w:val="36"/>
          <w:rtl/>
        </w:rPr>
        <w:t>حجيتها</w:t>
      </w:r>
      <w:r w:rsidR="00E8128F">
        <w:rPr>
          <w:sz w:val="36"/>
          <w:szCs w:val="36"/>
          <w:rtl/>
        </w:rPr>
        <w:t xml:space="preserve"> </w:t>
      </w:r>
      <w:r w:rsidRPr="00FD211F">
        <w:rPr>
          <w:sz w:val="36"/>
          <w:szCs w:val="36"/>
          <w:rtl/>
        </w:rPr>
        <w:t>إما</w:t>
      </w:r>
      <w:r w:rsidR="00E8128F">
        <w:rPr>
          <w:sz w:val="36"/>
          <w:szCs w:val="36"/>
          <w:rtl/>
        </w:rPr>
        <w:t xml:space="preserve"> </w:t>
      </w:r>
      <w:r w:rsidRPr="00FD211F">
        <w:rPr>
          <w:sz w:val="36"/>
          <w:szCs w:val="36"/>
          <w:rtl/>
        </w:rPr>
        <w:t>إنشاء</w:t>
      </w:r>
      <w:r w:rsidR="00E8128F">
        <w:rPr>
          <w:sz w:val="36"/>
          <w:szCs w:val="36"/>
          <w:rtl/>
        </w:rPr>
        <w:t xml:space="preserve"> </w:t>
      </w:r>
      <w:r w:rsidRPr="00FD211F">
        <w:rPr>
          <w:sz w:val="36"/>
          <w:szCs w:val="36"/>
          <w:rtl/>
        </w:rPr>
        <w:t>حكم</w:t>
      </w:r>
      <w:r w:rsidR="00E8128F">
        <w:rPr>
          <w:sz w:val="36"/>
          <w:szCs w:val="36"/>
          <w:rtl/>
        </w:rPr>
        <w:t xml:space="preserve"> </w:t>
      </w:r>
      <w:r w:rsidRPr="00FD211F">
        <w:rPr>
          <w:sz w:val="36"/>
          <w:szCs w:val="36"/>
          <w:rtl/>
        </w:rPr>
        <w:t>مماثل</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أخبر</w:t>
      </w:r>
      <w:r w:rsidR="00E8128F">
        <w:rPr>
          <w:sz w:val="36"/>
          <w:szCs w:val="36"/>
          <w:rtl/>
        </w:rPr>
        <w:t xml:space="preserve"> </w:t>
      </w:r>
      <w:r w:rsidRPr="00FD211F">
        <w:rPr>
          <w:sz w:val="36"/>
          <w:szCs w:val="36"/>
          <w:rtl/>
        </w:rPr>
        <w:t>ثق</w:t>
      </w:r>
      <w:r w:rsidR="00EC7EDF" w:rsidRPr="00FD211F">
        <w:rPr>
          <w:sz w:val="36"/>
          <w:szCs w:val="36"/>
          <w:rtl/>
        </w:rPr>
        <w:t>ة</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بحرم</w:t>
      </w:r>
      <w:r w:rsidR="00EC7EDF" w:rsidRPr="00FD211F">
        <w:rPr>
          <w:sz w:val="36"/>
          <w:szCs w:val="36"/>
          <w:rtl/>
        </w:rPr>
        <w:t>ة</w:t>
      </w:r>
      <w:r w:rsidR="00E8128F">
        <w:rPr>
          <w:sz w:val="36"/>
          <w:szCs w:val="36"/>
          <w:rtl/>
        </w:rPr>
        <w:t xml:space="preserve"> </w:t>
      </w:r>
      <w:r w:rsidRPr="00FD211F">
        <w:rPr>
          <w:sz w:val="36"/>
          <w:szCs w:val="36"/>
          <w:rtl/>
        </w:rPr>
        <w:t>شرب</w:t>
      </w:r>
      <w:r w:rsidR="00E8128F">
        <w:rPr>
          <w:sz w:val="36"/>
          <w:szCs w:val="36"/>
          <w:rtl/>
        </w:rPr>
        <w:t xml:space="preserve"> </w:t>
      </w:r>
      <w:r w:rsidRPr="00FD211F">
        <w:rPr>
          <w:sz w:val="36"/>
          <w:szCs w:val="36"/>
          <w:rtl/>
        </w:rPr>
        <w:t>التتن</w:t>
      </w:r>
      <w:r w:rsidR="00E8128F">
        <w:rPr>
          <w:sz w:val="36"/>
          <w:szCs w:val="36"/>
          <w:rtl/>
        </w:rPr>
        <w:t xml:space="preserve"> </w:t>
      </w:r>
      <w:r w:rsidRPr="00FD211F">
        <w:rPr>
          <w:sz w:val="36"/>
          <w:szCs w:val="36"/>
          <w:rtl/>
        </w:rPr>
        <w:t>فين</w:t>
      </w:r>
      <w:r w:rsidR="00251CB6" w:rsidRPr="00FD211F">
        <w:rPr>
          <w:sz w:val="36"/>
          <w:szCs w:val="36"/>
          <w:rtl/>
        </w:rPr>
        <w:t>شيء</w:t>
      </w:r>
      <w:r w:rsidR="00E8128F">
        <w:rPr>
          <w:sz w:val="36"/>
          <w:szCs w:val="36"/>
          <w:rtl/>
        </w:rPr>
        <w:t xml:space="preserve"> </w:t>
      </w:r>
      <w:r w:rsidR="00863C19" w:rsidRPr="00FD211F">
        <w:rPr>
          <w:sz w:val="36"/>
          <w:szCs w:val="36"/>
          <w:rtl/>
        </w:rPr>
        <w:t>الشارع</w:t>
      </w:r>
      <w:r w:rsidR="00E8128F">
        <w:rPr>
          <w:sz w:val="36"/>
          <w:szCs w:val="36"/>
          <w:rtl/>
        </w:rPr>
        <w:t xml:space="preserve"> </w:t>
      </w:r>
      <w:r w:rsidR="00863C19" w:rsidRPr="00FD211F">
        <w:rPr>
          <w:sz w:val="36"/>
          <w:szCs w:val="36"/>
          <w:rtl/>
        </w:rPr>
        <w:t>حرم</w:t>
      </w:r>
      <w:r w:rsidR="00EC7EDF" w:rsidRPr="00FD211F">
        <w:rPr>
          <w:sz w:val="36"/>
          <w:szCs w:val="36"/>
          <w:rtl/>
        </w:rPr>
        <w:t>ة</w:t>
      </w:r>
      <w:r w:rsidR="00E8128F">
        <w:rPr>
          <w:sz w:val="36"/>
          <w:szCs w:val="36"/>
          <w:rtl/>
        </w:rPr>
        <w:t xml:space="preserve"> </w:t>
      </w:r>
      <w:r w:rsidR="00863C19" w:rsidRPr="00FD211F">
        <w:rPr>
          <w:sz w:val="36"/>
          <w:szCs w:val="36"/>
          <w:rtl/>
        </w:rPr>
        <w:t>ظاهري</w:t>
      </w:r>
      <w:r w:rsidR="00EC7EDF" w:rsidRPr="00FD211F">
        <w:rPr>
          <w:sz w:val="36"/>
          <w:szCs w:val="36"/>
          <w:rtl/>
        </w:rPr>
        <w:t>ة</w:t>
      </w:r>
      <w:r w:rsidR="00E8128F">
        <w:rPr>
          <w:sz w:val="36"/>
          <w:szCs w:val="36"/>
          <w:rtl/>
        </w:rPr>
        <w:t xml:space="preserve"> </w:t>
      </w:r>
      <w:r w:rsidR="00863C19" w:rsidRPr="00FD211F">
        <w:rPr>
          <w:sz w:val="36"/>
          <w:szCs w:val="36"/>
          <w:rtl/>
        </w:rPr>
        <w:t>لشرب</w:t>
      </w:r>
      <w:r w:rsidR="00E8128F">
        <w:rPr>
          <w:sz w:val="36"/>
          <w:szCs w:val="36"/>
          <w:rtl/>
        </w:rPr>
        <w:t xml:space="preserve"> </w:t>
      </w:r>
      <w:r w:rsidR="00863C19" w:rsidRPr="00FD211F">
        <w:rPr>
          <w:sz w:val="36"/>
          <w:szCs w:val="36"/>
          <w:rtl/>
        </w:rPr>
        <w:t>التتن</w:t>
      </w:r>
      <w:r w:rsidR="00603323" w:rsidRPr="00FD211F">
        <w:rPr>
          <w:sz w:val="36"/>
          <w:szCs w:val="36"/>
          <w:rtl/>
        </w:rPr>
        <w:t>،</w:t>
      </w:r>
      <w:r w:rsidR="00E8128F">
        <w:rPr>
          <w:sz w:val="36"/>
          <w:szCs w:val="36"/>
          <w:rtl/>
        </w:rPr>
        <w:t xml:space="preserve"> </w:t>
      </w:r>
      <w:r w:rsidRPr="00FD211F">
        <w:rPr>
          <w:sz w:val="36"/>
          <w:szCs w:val="36"/>
          <w:rtl/>
        </w:rPr>
        <w:t>فتكون</w:t>
      </w:r>
      <w:r w:rsidR="00E8128F">
        <w:rPr>
          <w:sz w:val="36"/>
          <w:szCs w:val="36"/>
          <w:rtl/>
        </w:rPr>
        <w:t xml:space="preserve"> </w:t>
      </w:r>
      <w:r w:rsidRPr="00FD211F">
        <w:rPr>
          <w:sz w:val="36"/>
          <w:szCs w:val="36"/>
          <w:rtl/>
        </w:rPr>
        <w:t>نتيج</w:t>
      </w:r>
      <w:r w:rsidR="00EC7EDF" w:rsidRPr="00FD211F">
        <w:rPr>
          <w:sz w:val="36"/>
          <w:szCs w:val="36"/>
          <w:rtl/>
        </w:rPr>
        <w:t>ة</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الامارات</w:t>
      </w:r>
      <w:r w:rsidR="00E8128F">
        <w:rPr>
          <w:sz w:val="36"/>
          <w:szCs w:val="36"/>
          <w:rtl/>
        </w:rPr>
        <w:t xml:space="preserve"> </w:t>
      </w:r>
      <w:r w:rsidRPr="00FD211F">
        <w:rPr>
          <w:sz w:val="36"/>
          <w:szCs w:val="36"/>
          <w:rtl/>
        </w:rPr>
        <w:t>حكما</w:t>
      </w:r>
      <w:r w:rsidR="00E8128F">
        <w:rPr>
          <w:sz w:val="36"/>
          <w:szCs w:val="36"/>
          <w:rtl/>
        </w:rPr>
        <w:t xml:space="preserve"> </w:t>
      </w:r>
      <w:r w:rsidRPr="00FD211F">
        <w:rPr>
          <w:sz w:val="36"/>
          <w:szCs w:val="36"/>
          <w:rtl/>
        </w:rPr>
        <w:t>شرعيا</w:t>
      </w:r>
      <w:r w:rsidR="00E8128F">
        <w:rPr>
          <w:sz w:val="36"/>
          <w:szCs w:val="36"/>
          <w:rtl/>
        </w:rPr>
        <w:t xml:space="preserve"> </w:t>
      </w:r>
      <w:r w:rsidRPr="00FD211F">
        <w:rPr>
          <w:sz w:val="36"/>
          <w:szCs w:val="36"/>
          <w:rtl/>
        </w:rPr>
        <w:t>متعلقا</w:t>
      </w:r>
      <w:r w:rsidR="00E8128F">
        <w:rPr>
          <w:sz w:val="36"/>
          <w:szCs w:val="36"/>
          <w:rtl/>
        </w:rPr>
        <w:t xml:space="preserve"> </w:t>
      </w:r>
      <w:r w:rsidRPr="00FD211F">
        <w:rPr>
          <w:sz w:val="36"/>
          <w:szCs w:val="36"/>
          <w:rtl/>
        </w:rPr>
        <w:t>بعمل</w:t>
      </w:r>
      <w:r w:rsidR="00E8128F">
        <w:rPr>
          <w:sz w:val="36"/>
          <w:szCs w:val="36"/>
          <w:rtl/>
        </w:rPr>
        <w:t xml:space="preserve"> </w:t>
      </w:r>
      <w:r w:rsidRPr="00FD211F">
        <w:rPr>
          <w:sz w:val="36"/>
          <w:szCs w:val="36"/>
          <w:rtl/>
        </w:rPr>
        <w:t>المكلف</w:t>
      </w:r>
      <w:r w:rsidR="00603323" w:rsidRPr="00FD211F">
        <w:rPr>
          <w:sz w:val="36"/>
          <w:szCs w:val="36"/>
          <w:rtl/>
        </w:rPr>
        <w:t>،</w:t>
      </w:r>
      <w:r w:rsidR="00E8128F">
        <w:rPr>
          <w:sz w:val="36"/>
          <w:szCs w:val="36"/>
          <w:rtl/>
        </w:rPr>
        <w:t xml:space="preserve"> </w:t>
      </w:r>
      <w:r w:rsidRPr="00FD211F">
        <w:rPr>
          <w:sz w:val="36"/>
          <w:szCs w:val="36"/>
          <w:rtl/>
        </w:rPr>
        <w:t>او</w:t>
      </w:r>
      <w:r w:rsidR="00E8128F">
        <w:rPr>
          <w:sz w:val="36"/>
          <w:szCs w:val="36"/>
          <w:rtl/>
        </w:rPr>
        <w:t xml:space="preserve"> </w:t>
      </w:r>
      <w:r w:rsidR="00A3557D" w:rsidRPr="00FD211F">
        <w:rPr>
          <w:sz w:val="36"/>
          <w:szCs w:val="36"/>
          <w:rtl/>
        </w:rPr>
        <w:t>ان</w:t>
      </w:r>
      <w:r w:rsidR="00E8128F">
        <w:rPr>
          <w:sz w:val="36"/>
          <w:szCs w:val="36"/>
          <w:rtl/>
        </w:rPr>
        <w:t xml:space="preserve"> </w:t>
      </w:r>
      <w:r w:rsidRPr="00FD211F">
        <w:rPr>
          <w:sz w:val="36"/>
          <w:szCs w:val="36"/>
          <w:rtl/>
        </w:rPr>
        <w:t>مفاد</w:t>
      </w:r>
      <w:r w:rsidR="00E8128F">
        <w:rPr>
          <w:sz w:val="36"/>
          <w:szCs w:val="36"/>
          <w:rtl/>
        </w:rPr>
        <w:t xml:space="preserve"> </w:t>
      </w:r>
      <w:r w:rsidRPr="00FD211F">
        <w:rPr>
          <w:sz w:val="36"/>
          <w:szCs w:val="36"/>
          <w:rtl/>
        </w:rPr>
        <w:t>دليل</w:t>
      </w:r>
      <w:r w:rsidR="00E8128F">
        <w:rPr>
          <w:sz w:val="36"/>
          <w:szCs w:val="36"/>
          <w:rtl/>
        </w:rPr>
        <w:t xml:space="preserve"> </w:t>
      </w:r>
      <w:r w:rsidRPr="00FD211F">
        <w:rPr>
          <w:sz w:val="36"/>
          <w:szCs w:val="36"/>
          <w:rtl/>
        </w:rPr>
        <w:t>حجيتها</w:t>
      </w:r>
      <w:r w:rsidR="00E8128F">
        <w:rPr>
          <w:sz w:val="36"/>
          <w:szCs w:val="36"/>
          <w:rtl/>
        </w:rPr>
        <w:t xml:space="preserve"> </w:t>
      </w:r>
      <w:r w:rsidRPr="00FD211F">
        <w:rPr>
          <w:sz w:val="36"/>
          <w:szCs w:val="36"/>
          <w:rtl/>
        </w:rPr>
        <w:t>جعلها</w:t>
      </w:r>
      <w:r w:rsidR="00E8128F">
        <w:rPr>
          <w:sz w:val="36"/>
          <w:szCs w:val="36"/>
          <w:rtl/>
        </w:rPr>
        <w:t xml:space="preserve"> </w:t>
      </w:r>
      <w:r w:rsidRPr="00FD211F">
        <w:rPr>
          <w:sz w:val="36"/>
          <w:szCs w:val="36"/>
          <w:rtl/>
        </w:rPr>
        <w:t>منجز</w:t>
      </w:r>
      <w:r w:rsidR="00EC7EDF" w:rsidRPr="00FD211F">
        <w:rPr>
          <w:sz w:val="36"/>
          <w:szCs w:val="36"/>
          <w:rtl/>
        </w:rPr>
        <w:t>ة</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معذر</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الواقع</w:t>
      </w:r>
      <w:r w:rsidR="00603323" w:rsidRPr="00FD211F">
        <w:rPr>
          <w:sz w:val="36"/>
          <w:szCs w:val="36"/>
          <w:rtl/>
        </w:rPr>
        <w:t>،</w:t>
      </w:r>
      <w:r w:rsidR="00E8128F">
        <w:rPr>
          <w:sz w:val="36"/>
          <w:szCs w:val="36"/>
          <w:rtl/>
        </w:rPr>
        <w:t xml:space="preserve"> </w:t>
      </w:r>
      <w:r w:rsidR="00A3557D" w:rsidRPr="00FD211F">
        <w:rPr>
          <w:sz w:val="36"/>
          <w:szCs w:val="36"/>
          <w:rtl/>
        </w:rPr>
        <w:t>كما</w:t>
      </w:r>
      <w:r w:rsidR="00E8128F">
        <w:rPr>
          <w:sz w:val="36"/>
          <w:szCs w:val="36"/>
          <w:rtl/>
        </w:rPr>
        <w:t xml:space="preserve"> </w:t>
      </w:r>
      <w:r w:rsidR="00A3557D" w:rsidRPr="00FD211F">
        <w:rPr>
          <w:sz w:val="36"/>
          <w:szCs w:val="36"/>
          <w:rtl/>
        </w:rPr>
        <w:t>عليه</w:t>
      </w:r>
      <w:r w:rsidR="00E8128F">
        <w:rPr>
          <w:sz w:val="36"/>
          <w:szCs w:val="36"/>
          <w:rtl/>
        </w:rPr>
        <w:t xml:space="preserve"> </w:t>
      </w:r>
      <w:r w:rsidR="00A3557D" w:rsidRPr="00FD211F">
        <w:rPr>
          <w:sz w:val="36"/>
          <w:szCs w:val="36"/>
          <w:rtl/>
        </w:rPr>
        <w:t>صاحب</w:t>
      </w:r>
      <w:r w:rsidR="00E8128F">
        <w:rPr>
          <w:sz w:val="36"/>
          <w:szCs w:val="36"/>
          <w:rtl/>
        </w:rPr>
        <w:t xml:space="preserve"> </w:t>
      </w:r>
      <w:r w:rsidR="00A3557D" w:rsidRPr="00FD211F">
        <w:rPr>
          <w:sz w:val="36"/>
          <w:szCs w:val="36"/>
          <w:rtl/>
        </w:rPr>
        <w:t>الكفاي</w:t>
      </w:r>
      <w:r w:rsidR="00EC7EDF" w:rsidRPr="00FD211F">
        <w:rPr>
          <w:sz w:val="36"/>
          <w:szCs w:val="36"/>
          <w:rtl/>
        </w:rPr>
        <w:t>ة</w:t>
      </w:r>
      <w:r w:rsidR="00E8128F">
        <w:rPr>
          <w:sz w:val="36"/>
          <w:szCs w:val="36"/>
          <w:rtl/>
        </w:rPr>
        <w:t xml:space="preserve"> </w:t>
      </w:r>
      <w:r w:rsidR="00AB1B12" w:rsidRPr="00FD211F">
        <w:rPr>
          <w:sz w:val="36"/>
          <w:szCs w:val="36"/>
          <w:rtl/>
        </w:rPr>
        <w:t>"</w:t>
      </w:r>
      <w:r w:rsidR="00A3557D" w:rsidRPr="00FD211F">
        <w:rPr>
          <w:sz w:val="36"/>
          <w:szCs w:val="36"/>
          <w:rtl/>
        </w:rPr>
        <w:t>قده</w:t>
      </w:r>
      <w:r w:rsidR="00AB1B12" w:rsidRPr="00FD211F">
        <w:rPr>
          <w:sz w:val="36"/>
          <w:szCs w:val="36"/>
          <w:rtl/>
        </w:rPr>
        <w:t>"</w:t>
      </w:r>
      <w:r w:rsidR="00603323" w:rsidRPr="00FD211F">
        <w:rPr>
          <w:sz w:val="36"/>
          <w:szCs w:val="36"/>
          <w:rtl/>
        </w:rPr>
        <w:t>،</w:t>
      </w:r>
      <w:r w:rsidR="00E8128F">
        <w:rPr>
          <w:sz w:val="36"/>
          <w:szCs w:val="36"/>
          <w:rtl/>
        </w:rPr>
        <w:t xml:space="preserve"> </w:t>
      </w:r>
      <w:r w:rsidRPr="00FD211F">
        <w:rPr>
          <w:sz w:val="36"/>
          <w:szCs w:val="36"/>
          <w:rtl/>
        </w:rPr>
        <w:t>وعلى</w:t>
      </w:r>
      <w:r w:rsidR="00E8128F">
        <w:rPr>
          <w:sz w:val="36"/>
          <w:szCs w:val="36"/>
          <w:rtl/>
        </w:rPr>
        <w:t xml:space="preserve"> </w:t>
      </w:r>
      <w:r w:rsidRPr="00FD211F">
        <w:rPr>
          <w:sz w:val="36"/>
          <w:szCs w:val="36"/>
          <w:rtl/>
        </w:rPr>
        <w:t>كلا</w:t>
      </w:r>
      <w:r w:rsidR="00E8128F">
        <w:rPr>
          <w:sz w:val="36"/>
          <w:szCs w:val="36"/>
          <w:rtl/>
        </w:rPr>
        <w:t xml:space="preserve"> </w:t>
      </w:r>
      <w:r w:rsidRPr="00FD211F">
        <w:rPr>
          <w:sz w:val="36"/>
          <w:szCs w:val="36"/>
          <w:rtl/>
        </w:rPr>
        <w:t>التقديرين</w:t>
      </w:r>
      <w:r w:rsidR="00E8128F">
        <w:rPr>
          <w:sz w:val="36"/>
          <w:szCs w:val="36"/>
          <w:rtl/>
        </w:rPr>
        <w:t xml:space="preserve"> </w:t>
      </w:r>
      <w:r w:rsidRPr="00FD211F">
        <w:rPr>
          <w:sz w:val="36"/>
          <w:szCs w:val="36"/>
          <w:rtl/>
        </w:rPr>
        <w:t>فلايقع</w:t>
      </w:r>
      <w:r w:rsidR="00E8128F">
        <w:rPr>
          <w:sz w:val="36"/>
          <w:szCs w:val="36"/>
          <w:rtl/>
        </w:rPr>
        <w:t xml:space="preserve"> </w:t>
      </w:r>
      <w:r w:rsidRPr="00FD211F">
        <w:rPr>
          <w:sz w:val="36"/>
          <w:szCs w:val="36"/>
          <w:rtl/>
        </w:rPr>
        <w:lastRenderedPageBreak/>
        <w:t>حجي</w:t>
      </w:r>
      <w:r w:rsidR="00EC7EDF" w:rsidRPr="00FD211F">
        <w:rPr>
          <w:sz w:val="36"/>
          <w:szCs w:val="36"/>
          <w:rtl/>
        </w:rPr>
        <w:t>ة</w:t>
      </w:r>
      <w:r w:rsidR="00E8128F">
        <w:rPr>
          <w:sz w:val="36"/>
          <w:szCs w:val="36"/>
          <w:rtl/>
        </w:rPr>
        <w:t xml:space="preserve"> </w:t>
      </w:r>
      <w:r w:rsidRPr="00FD211F">
        <w:rPr>
          <w:sz w:val="36"/>
          <w:szCs w:val="36"/>
          <w:rtl/>
        </w:rPr>
        <w:t>الامارات</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استكشاف</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المتعلق</w:t>
      </w:r>
      <w:r w:rsidR="00E8128F">
        <w:rPr>
          <w:sz w:val="36"/>
          <w:szCs w:val="36"/>
          <w:rtl/>
        </w:rPr>
        <w:t xml:space="preserve"> </w:t>
      </w:r>
      <w:r w:rsidRPr="00FD211F">
        <w:rPr>
          <w:sz w:val="36"/>
          <w:szCs w:val="36"/>
          <w:rtl/>
        </w:rPr>
        <w:t>بعمل</w:t>
      </w:r>
      <w:r w:rsidR="00E8128F">
        <w:rPr>
          <w:sz w:val="36"/>
          <w:szCs w:val="36"/>
          <w:rtl/>
        </w:rPr>
        <w:t xml:space="preserve"> </w:t>
      </w:r>
      <w:r w:rsidRPr="00FD211F">
        <w:rPr>
          <w:sz w:val="36"/>
          <w:szCs w:val="36"/>
          <w:rtl/>
        </w:rPr>
        <w:t>المكلف</w:t>
      </w:r>
      <w:r w:rsidR="00690A47" w:rsidRPr="00FD211F">
        <w:rPr>
          <w:sz w:val="36"/>
          <w:szCs w:val="36"/>
          <w:rtl/>
        </w:rPr>
        <w:t>.</w:t>
      </w:r>
    </w:p>
    <w:p w14:paraId="3F387D93" w14:textId="77777777" w:rsidR="00A4084D" w:rsidRPr="00FD211F" w:rsidRDefault="00936CF6" w:rsidP="009C58C8">
      <w:pPr>
        <w:ind w:left="0" w:firstLine="227"/>
        <w:jc w:val="both"/>
        <w:rPr>
          <w:sz w:val="36"/>
          <w:szCs w:val="36"/>
          <w:rtl/>
        </w:rPr>
      </w:pPr>
      <w:r w:rsidRPr="00FD211F">
        <w:rPr>
          <w:sz w:val="36"/>
          <w:szCs w:val="36"/>
          <w:rtl/>
        </w:rPr>
        <w:t>وبذلك</w:t>
      </w:r>
      <w:r w:rsidR="00E8128F">
        <w:rPr>
          <w:sz w:val="36"/>
          <w:szCs w:val="36"/>
          <w:rtl/>
        </w:rPr>
        <w:t xml:space="preserve"> </w:t>
      </w:r>
      <w:r w:rsidRPr="00FD211F">
        <w:rPr>
          <w:sz w:val="36"/>
          <w:szCs w:val="36"/>
          <w:rtl/>
        </w:rPr>
        <w:t>يخرج</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الالفاظ</w:t>
      </w:r>
      <w:r w:rsidR="00E8128F">
        <w:rPr>
          <w:sz w:val="36"/>
          <w:szCs w:val="36"/>
          <w:rtl/>
        </w:rPr>
        <w:t xml:space="preserve"> </w:t>
      </w:r>
      <w:r w:rsidR="005F5C40" w:rsidRPr="00FD211F">
        <w:rPr>
          <w:sz w:val="36"/>
          <w:szCs w:val="36"/>
          <w:rtl/>
        </w:rPr>
        <w:t>عن</w:t>
      </w:r>
      <w:r w:rsidR="00E8128F">
        <w:rPr>
          <w:sz w:val="36"/>
          <w:szCs w:val="36"/>
          <w:rtl/>
        </w:rPr>
        <w:t xml:space="preserve"> </w:t>
      </w:r>
      <w:r w:rsidR="005F5C40" w:rsidRPr="00FD211F">
        <w:rPr>
          <w:sz w:val="36"/>
          <w:szCs w:val="36"/>
          <w:rtl/>
        </w:rPr>
        <w:t>علم</w:t>
      </w:r>
      <w:r w:rsidR="00E8128F">
        <w:rPr>
          <w:sz w:val="36"/>
          <w:szCs w:val="36"/>
          <w:rtl/>
        </w:rPr>
        <w:t xml:space="preserve"> </w:t>
      </w:r>
      <w:r w:rsidR="005F5C40" w:rsidRPr="00FD211F">
        <w:rPr>
          <w:sz w:val="36"/>
          <w:szCs w:val="36"/>
          <w:rtl/>
        </w:rPr>
        <w:t>الأصول</w:t>
      </w:r>
      <w:r w:rsidR="00E8128F">
        <w:rPr>
          <w:sz w:val="36"/>
          <w:szCs w:val="36"/>
          <w:rtl/>
        </w:rPr>
        <w:t xml:space="preserve"> </w:t>
      </w:r>
      <w:r w:rsidR="00690A47" w:rsidRPr="00FD211F">
        <w:rPr>
          <w:sz w:val="36"/>
          <w:szCs w:val="36"/>
          <w:rtl/>
        </w:rPr>
        <w:t>أيضا</w:t>
      </w:r>
      <w:r w:rsidR="00603323" w:rsidRPr="00FD211F">
        <w:rPr>
          <w:sz w:val="36"/>
          <w:szCs w:val="36"/>
          <w:rtl/>
        </w:rPr>
        <w:t>،</w:t>
      </w:r>
      <w:r w:rsidR="00E8128F">
        <w:rPr>
          <w:sz w:val="36"/>
          <w:szCs w:val="36"/>
          <w:rtl/>
        </w:rPr>
        <w:t xml:space="preserve"> </w:t>
      </w:r>
      <w:r w:rsidRPr="00FD211F">
        <w:rPr>
          <w:sz w:val="36"/>
          <w:szCs w:val="36"/>
          <w:rtl/>
        </w:rPr>
        <w:t>اذ</w:t>
      </w:r>
      <w:r w:rsidR="00E8128F">
        <w:rPr>
          <w:sz w:val="36"/>
          <w:szCs w:val="36"/>
          <w:rtl/>
        </w:rPr>
        <w:t xml:space="preserve"> </w:t>
      </w:r>
      <w:r w:rsidRPr="00FD211F">
        <w:rPr>
          <w:sz w:val="36"/>
          <w:szCs w:val="36"/>
          <w:rtl/>
        </w:rPr>
        <w:t>وقوعها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استنباط</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بواسط</w:t>
      </w:r>
      <w:r w:rsidR="00EC7EDF" w:rsidRPr="00FD211F">
        <w:rPr>
          <w:sz w:val="36"/>
          <w:szCs w:val="36"/>
          <w:rtl/>
        </w:rPr>
        <w:t>ة</w:t>
      </w:r>
      <w:r w:rsidR="00E8128F">
        <w:rPr>
          <w:sz w:val="36"/>
          <w:szCs w:val="36"/>
          <w:rtl/>
        </w:rPr>
        <w:t xml:space="preserve"> </w:t>
      </w:r>
      <w:r w:rsidRPr="00FD211F">
        <w:rPr>
          <w:sz w:val="36"/>
          <w:szCs w:val="36"/>
          <w:rtl/>
        </w:rPr>
        <w:t>مسأل</w:t>
      </w:r>
      <w:r w:rsidR="00EC7EDF" w:rsidRPr="00FD211F">
        <w:rPr>
          <w:sz w:val="36"/>
          <w:szCs w:val="36"/>
          <w:rtl/>
        </w:rPr>
        <w:t>ة</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الظهور</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يقال</w:t>
      </w:r>
      <w:r w:rsidR="00E8128F">
        <w:rPr>
          <w:sz w:val="36"/>
          <w:szCs w:val="36"/>
          <w:rtl/>
        </w:rPr>
        <w:t xml:space="preserve"> </w:t>
      </w:r>
      <w:r w:rsidR="005F5C40" w:rsidRPr="00FD211F">
        <w:rPr>
          <w:sz w:val="36"/>
          <w:szCs w:val="36"/>
          <w:rtl/>
        </w:rPr>
        <w:t>مثلا</w:t>
      </w:r>
      <w:r w:rsidR="00E8128F">
        <w:rPr>
          <w:sz w:val="36"/>
          <w:szCs w:val="36"/>
          <w:rtl/>
        </w:rPr>
        <w:t xml:space="preserve"> </w:t>
      </w:r>
      <w:r w:rsidR="005F5C40" w:rsidRPr="00FD211F">
        <w:rPr>
          <w:sz w:val="36"/>
          <w:szCs w:val="36"/>
          <w:rtl/>
        </w:rPr>
        <w:t>ان</w:t>
      </w:r>
      <w:r w:rsidR="00E8128F">
        <w:rPr>
          <w:sz w:val="36"/>
          <w:szCs w:val="36"/>
          <w:rtl/>
        </w:rPr>
        <w:t xml:space="preserve"> </w:t>
      </w:r>
      <w:r w:rsidR="005F5C40" w:rsidRPr="00FD211F">
        <w:rPr>
          <w:sz w:val="36"/>
          <w:szCs w:val="36"/>
          <w:rtl/>
        </w:rPr>
        <w:t>صيغ</w:t>
      </w:r>
      <w:r w:rsidR="00EC7EDF" w:rsidRPr="00FD211F">
        <w:rPr>
          <w:sz w:val="36"/>
          <w:szCs w:val="36"/>
          <w:rtl/>
        </w:rPr>
        <w:t>ة</w:t>
      </w:r>
      <w:r w:rsidR="00E8128F">
        <w:rPr>
          <w:sz w:val="36"/>
          <w:szCs w:val="36"/>
          <w:rtl/>
        </w:rPr>
        <w:t xml:space="preserve"> </w:t>
      </w:r>
      <w:r w:rsidR="0090224F" w:rsidRPr="00FD211F">
        <w:rPr>
          <w:sz w:val="36"/>
          <w:szCs w:val="36"/>
          <w:rtl/>
        </w:rPr>
        <w:t>الأمر</w:t>
      </w:r>
      <w:r w:rsidR="00E8128F">
        <w:rPr>
          <w:sz w:val="36"/>
          <w:szCs w:val="36"/>
          <w:rtl/>
        </w:rPr>
        <w:t xml:space="preserve"> </w:t>
      </w:r>
      <w:r w:rsidR="005F5C40" w:rsidRPr="00FD211F">
        <w:rPr>
          <w:sz w:val="36"/>
          <w:szCs w:val="36"/>
          <w:rtl/>
        </w:rPr>
        <w:t>ظاهر</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الوجوب</w:t>
      </w:r>
      <w:r w:rsidR="00603323" w:rsidRPr="00FD211F">
        <w:rPr>
          <w:sz w:val="36"/>
          <w:szCs w:val="36"/>
          <w:rtl/>
        </w:rPr>
        <w:t>،</w:t>
      </w:r>
      <w:r w:rsidR="00E8128F">
        <w:rPr>
          <w:sz w:val="36"/>
          <w:szCs w:val="36"/>
          <w:rtl/>
        </w:rPr>
        <w:t xml:space="preserve"> </w:t>
      </w:r>
      <w:r w:rsidRPr="00FD211F">
        <w:rPr>
          <w:sz w:val="36"/>
          <w:szCs w:val="36"/>
          <w:rtl/>
        </w:rPr>
        <w:t>والظهور</w:t>
      </w:r>
      <w:r w:rsidR="00E8128F">
        <w:rPr>
          <w:sz w:val="36"/>
          <w:szCs w:val="36"/>
          <w:rtl/>
        </w:rPr>
        <w:t xml:space="preserve"> </w:t>
      </w:r>
      <w:r w:rsidRPr="00FD211F">
        <w:rPr>
          <w:sz w:val="36"/>
          <w:szCs w:val="36"/>
          <w:rtl/>
        </w:rPr>
        <w:t>حج</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فهذا</w:t>
      </w:r>
      <w:r w:rsidR="00E8128F">
        <w:rPr>
          <w:sz w:val="36"/>
          <w:szCs w:val="36"/>
          <w:rtl/>
        </w:rPr>
        <w:t xml:space="preserve"> </w:t>
      </w:r>
      <w:r w:rsidR="005F5C40" w:rsidRPr="00FD211F">
        <w:rPr>
          <w:sz w:val="36"/>
          <w:szCs w:val="36"/>
          <w:rtl/>
        </w:rPr>
        <w:t>الظهور</w:t>
      </w:r>
      <w:r w:rsidR="00E8128F">
        <w:rPr>
          <w:sz w:val="36"/>
          <w:szCs w:val="36"/>
          <w:rtl/>
        </w:rPr>
        <w:t xml:space="preserve"> </w:t>
      </w:r>
      <w:r w:rsidRPr="00FD211F">
        <w:rPr>
          <w:sz w:val="36"/>
          <w:szCs w:val="36"/>
          <w:rtl/>
        </w:rPr>
        <w:t>حج</w:t>
      </w:r>
      <w:r w:rsidR="00EC7EDF" w:rsidRPr="00FD211F">
        <w:rPr>
          <w:sz w:val="36"/>
          <w:szCs w:val="36"/>
          <w:rtl/>
        </w:rPr>
        <w:t>ة</w:t>
      </w:r>
      <w:r w:rsidR="00603323" w:rsidRPr="00FD211F">
        <w:rPr>
          <w:sz w:val="36"/>
          <w:szCs w:val="36"/>
          <w:rtl/>
        </w:rPr>
        <w:t>،</w:t>
      </w:r>
      <w:r w:rsidR="00E8128F">
        <w:rPr>
          <w:sz w:val="36"/>
          <w:szCs w:val="36"/>
          <w:rtl/>
        </w:rPr>
        <w:t xml:space="preserve"> </w:t>
      </w:r>
      <w:r w:rsidR="00302B95" w:rsidRPr="00FD211F">
        <w:rPr>
          <w:sz w:val="36"/>
          <w:szCs w:val="36"/>
          <w:rtl/>
        </w:rPr>
        <w:t>ولكن</w:t>
      </w:r>
      <w:r w:rsidR="00E8128F">
        <w:rPr>
          <w:sz w:val="36"/>
          <w:szCs w:val="36"/>
          <w:rtl/>
        </w:rPr>
        <w:t xml:space="preserve"> </w:t>
      </w:r>
      <w:r w:rsidR="00302B95" w:rsidRPr="00FD211F">
        <w:rPr>
          <w:sz w:val="36"/>
          <w:szCs w:val="36"/>
          <w:rtl/>
        </w:rPr>
        <w:t>المفروض</w:t>
      </w:r>
      <w:r w:rsidR="00E8128F">
        <w:rPr>
          <w:sz w:val="36"/>
          <w:szCs w:val="36"/>
          <w:rtl/>
        </w:rPr>
        <w:t xml:space="preserve"> </w:t>
      </w:r>
      <w:r w:rsidR="00302B95" w:rsidRPr="00FD211F">
        <w:rPr>
          <w:sz w:val="36"/>
          <w:szCs w:val="36"/>
          <w:rtl/>
        </w:rPr>
        <w:t>ان</w:t>
      </w:r>
      <w:r w:rsidR="00E8128F">
        <w:rPr>
          <w:sz w:val="36"/>
          <w:szCs w:val="36"/>
          <w:rtl/>
        </w:rPr>
        <w:t xml:space="preserve"> </w:t>
      </w:r>
      <w:r w:rsidR="00302B95" w:rsidRPr="00FD211F">
        <w:rPr>
          <w:sz w:val="36"/>
          <w:szCs w:val="36"/>
          <w:rtl/>
        </w:rPr>
        <w:t>مسأل</w:t>
      </w:r>
      <w:r w:rsidR="00EC7EDF" w:rsidRPr="00FD211F">
        <w:rPr>
          <w:sz w:val="36"/>
          <w:szCs w:val="36"/>
          <w:rtl/>
        </w:rPr>
        <w:t>ة</w:t>
      </w:r>
      <w:r w:rsidR="00E8128F">
        <w:rPr>
          <w:sz w:val="36"/>
          <w:szCs w:val="36"/>
          <w:rtl/>
        </w:rPr>
        <w:t xml:space="preserve"> </w:t>
      </w:r>
      <w:r w:rsidR="00302B95" w:rsidRPr="00FD211F">
        <w:rPr>
          <w:sz w:val="36"/>
          <w:szCs w:val="36"/>
          <w:rtl/>
        </w:rPr>
        <w:t>حجي</w:t>
      </w:r>
      <w:r w:rsidR="00EC7EDF" w:rsidRPr="00FD211F">
        <w:rPr>
          <w:sz w:val="36"/>
          <w:szCs w:val="36"/>
          <w:rtl/>
        </w:rPr>
        <w:t>ة</w:t>
      </w:r>
      <w:r w:rsidR="00E8128F">
        <w:rPr>
          <w:sz w:val="36"/>
          <w:szCs w:val="36"/>
          <w:rtl/>
        </w:rPr>
        <w:t xml:space="preserve"> </w:t>
      </w:r>
      <w:r w:rsidR="00302B95" w:rsidRPr="00FD211F">
        <w:rPr>
          <w:sz w:val="36"/>
          <w:szCs w:val="36"/>
          <w:rtl/>
        </w:rPr>
        <w:t>الظهور</w:t>
      </w:r>
      <w:r w:rsidR="00E8128F">
        <w:rPr>
          <w:sz w:val="36"/>
          <w:szCs w:val="36"/>
          <w:rtl/>
        </w:rPr>
        <w:t xml:space="preserve"> </w:t>
      </w:r>
      <w:r w:rsidR="00302B95" w:rsidRPr="00FD211F">
        <w:rPr>
          <w:sz w:val="36"/>
          <w:szCs w:val="36"/>
          <w:rtl/>
        </w:rPr>
        <w:t>خرجت</w:t>
      </w:r>
      <w:r w:rsidR="00E8128F">
        <w:rPr>
          <w:sz w:val="36"/>
          <w:szCs w:val="36"/>
          <w:rtl/>
        </w:rPr>
        <w:t xml:space="preserve"> </w:t>
      </w:r>
      <w:r w:rsidR="00302B95" w:rsidRPr="00FD211F">
        <w:rPr>
          <w:sz w:val="36"/>
          <w:szCs w:val="36"/>
          <w:rtl/>
        </w:rPr>
        <w:t>بنفسها</w:t>
      </w:r>
      <w:r w:rsidR="00E8128F">
        <w:rPr>
          <w:sz w:val="36"/>
          <w:szCs w:val="36"/>
          <w:rtl/>
        </w:rPr>
        <w:t xml:space="preserve"> </w:t>
      </w:r>
      <w:r w:rsidR="00302B95" w:rsidRPr="00FD211F">
        <w:rPr>
          <w:sz w:val="36"/>
          <w:szCs w:val="36"/>
          <w:rtl/>
        </w:rPr>
        <w:t>عن</w:t>
      </w:r>
      <w:r w:rsidR="00E8128F">
        <w:rPr>
          <w:sz w:val="36"/>
          <w:szCs w:val="36"/>
          <w:rtl/>
        </w:rPr>
        <w:t xml:space="preserve"> </w:t>
      </w:r>
      <w:r w:rsidR="00302B95" w:rsidRPr="00FD211F">
        <w:rPr>
          <w:sz w:val="36"/>
          <w:szCs w:val="36"/>
          <w:rtl/>
        </w:rPr>
        <w:t>تعريف</w:t>
      </w:r>
      <w:r w:rsidR="00E8128F">
        <w:rPr>
          <w:sz w:val="36"/>
          <w:szCs w:val="36"/>
          <w:rtl/>
        </w:rPr>
        <w:t xml:space="preserve"> </w:t>
      </w:r>
      <w:r w:rsidR="00302B95" w:rsidRPr="00FD211F">
        <w:rPr>
          <w:sz w:val="36"/>
          <w:szCs w:val="36"/>
          <w:rtl/>
        </w:rPr>
        <w:t>علم</w:t>
      </w:r>
      <w:r w:rsidR="00E8128F">
        <w:rPr>
          <w:sz w:val="36"/>
          <w:szCs w:val="36"/>
          <w:rtl/>
        </w:rPr>
        <w:t xml:space="preserve"> </w:t>
      </w:r>
      <w:r w:rsidR="00302B95" w:rsidRPr="00FD211F">
        <w:rPr>
          <w:sz w:val="36"/>
          <w:szCs w:val="36"/>
          <w:rtl/>
        </w:rPr>
        <w:t>الاصول</w:t>
      </w:r>
      <w:r w:rsidR="00603323" w:rsidRPr="00FD211F">
        <w:rPr>
          <w:sz w:val="36"/>
          <w:szCs w:val="36"/>
          <w:rtl/>
        </w:rPr>
        <w:t>،</w:t>
      </w:r>
      <w:r w:rsidR="00E8128F">
        <w:rPr>
          <w:sz w:val="36"/>
          <w:szCs w:val="36"/>
          <w:rtl/>
        </w:rPr>
        <w:t xml:space="preserve"> </w:t>
      </w:r>
      <w:r w:rsidR="00E74AC4" w:rsidRPr="00FD211F">
        <w:rPr>
          <w:sz w:val="36"/>
          <w:szCs w:val="36"/>
          <w:rtl/>
        </w:rPr>
        <w:t>حيث</w:t>
      </w:r>
      <w:r w:rsidR="00E8128F">
        <w:rPr>
          <w:sz w:val="36"/>
          <w:szCs w:val="36"/>
          <w:rtl/>
        </w:rPr>
        <w:t xml:space="preserve"> </w:t>
      </w:r>
      <w:r w:rsidR="00E74AC4" w:rsidRPr="00FD211F">
        <w:rPr>
          <w:sz w:val="36"/>
          <w:szCs w:val="36"/>
          <w:rtl/>
        </w:rPr>
        <w:t>ان</w:t>
      </w:r>
      <w:r w:rsidR="00E8128F">
        <w:rPr>
          <w:sz w:val="36"/>
          <w:szCs w:val="36"/>
          <w:rtl/>
        </w:rPr>
        <w:t xml:space="preserve"> </w:t>
      </w:r>
      <w:r w:rsidR="00E74AC4" w:rsidRPr="00FD211F">
        <w:rPr>
          <w:sz w:val="36"/>
          <w:szCs w:val="36"/>
          <w:rtl/>
        </w:rPr>
        <w:t>حجي</w:t>
      </w:r>
      <w:r w:rsidR="00EC7EDF" w:rsidRPr="00FD211F">
        <w:rPr>
          <w:sz w:val="36"/>
          <w:szCs w:val="36"/>
          <w:rtl/>
        </w:rPr>
        <w:t>ة</w:t>
      </w:r>
      <w:r w:rsidR="00E8128F">
        <w:rPr>
          <w:sz w:val="36"/>
          <w:szCs w:val="36"/>
          <w:rtl/>
        </w:rPr>
        <w:t xml:space="preserve"> </w:t>
      </w:r>
      <w:r w:rsidR="00E74AC4" w:rsidRPr="00FD211F">
        <w:rPr>
          <w:sz w:val="36"/>
          <w:szCs w:val="36"/>
          <w:rtl/>
        </w:rPr>
        <w:t>الظهور</w:t>
      </w:r>
      <w:r w:rsidR="00E8128F">
        <w:rPr>
          <w:sz w:val="36"/>
          <w:szCs w:val="36"/>
          <w:rtl/>
        </w:rPr>
        <w:t xml:space="preserve"> </w:t>
      </w:r>
      <w:r w:rsidR="00E74AC4" w:rsidRPr="00FD211F">
        <w:rPr>
          <w:sz w:val="36"/>
          <w:szCs w:val="36"/>
          <w:rtl/>
        </w:rPr>
        <w:t>إما</w:t>
      </w:r>
      <w:r w:rsidR="00E8128F">
        <w:rPr>
          <w:sz w:val="36"/>
          <w:szCs w:val="36"/>
          <w:rtl/>
        </w:rPr>
        <w:t xml:space="preserve"> </w:t>
      </w:r>
      <w:r w:rsidR="00E74AC4" w:rsidRPr="00FD211F">
        <w:rPr>
          <w:sz w:val="36"/>
          <w:szCs w:val="36"/>
          <w:rtl/>
        </w:rPr>
        <w:t>بمعنى</w:t>
      </w:r>
      <w:r w:rsidR="00E8128F">
        <w:rPr>
          <w:sz w:val="36"/>
          <w:szCs w:val="36"/>
          <w:rtl/>
        </w:rPr>
        <w:t xml:space="preserve"> </w:t>
      </w:r>
      <w:r w:rsidR="00E74AC4" w:rsidRPr="00FD211F">
        <w:rPr>
          <w:sz w:val="36"/>
          <w:szCs w:val="36"/>
          <w:rtl/>
        </w:rPr>
        <w:t>إنشاء</w:t>
      </w:r>
      <w:r w:rsidR="00E8128F">
        <w:rPr>
          <w:sz w:val="36"/>
          <w:szCs w:val="36"/>
          <w:rtl/>
        </w:rPr>
        <w:t xml:space="preserve"> </w:t>
      </w:r>
      <w:r w:rsidR="00E74AC4" w:rsidRPr="00FD211F">
        <w:rPr>
          <w:sz w:val="36"/>
          <w:szCs w:val="36"/>
          <w:rtl/>
        </w:rPr>
        <w:t>حكم</w:t>
      </w:r>
      <w:r w:rsidR="00E8128F">
        <w:rPr>
          <w:sz w:val="36"/>
          <w:szCs w:val="36"/>
          <w:rtl/>
        </w:rPr>
        <w:t xml:space="preserve"> </w:t>
      </w:r>
      <w:r w:rsidR="00E74AC4" w:rsidRPr="00FD211F">
        <w:rPr>
          <w:sz w:val="36"/>
          <w:szCs w:val="36"/>
          <w:rtl/>
        </w:rPr>
        <w:t>مماثل</w:t>
      </w:r>
      <w:r w:rsidR="00E8128F">
        <w:rPr>
          <w:sz w:val="36"/>
          <w:szCs w:val="36"/>
          <w:rtl/>
        </w:rPr>
        <w:t xml:space="preserve"> </w:t>
      </w:r>
      <w:r w:rsidR="00E74AC4" w:rsidRPr="00FD211F">
        <w:rPr>
          <w:sz w:val="36"/>
          <w:szCs w:val="36"/>
          <w:rtl/>
        </w:rPr>
        <w:t>للواقع</w:t>
      </w:r>
      <w:r w:rsidR="00E8128F">
        <w:rPr>
          <w:sz w:val="36"/>
          <w:szCs w:val="36"/>
          <w:rtl/>
        </w:rPr>
        <w:t xml:space="preserve"> </w:t>
      </w:r>
      <w:r w:rsidR="00E74AC4" w:rsidRPr="00FD211F">
        <w:rPr>
          <w:sz w:val="36"/>
          <w:szCs w:val="36"/>
          <w:rtl/>
        </w:rPr>
        <w:t>مثل</w:t>
      </w:r>
      <w:r w:rsidR="00E8128F">
        <w:rPr>
          <w:sz w:val="36"/>
          <w:szCs w:val="36"/>
          <w:rtl/>
        </w:rPr>
        <w:t xml:space="preserve"> </w:t>
      </w:r>
      <w:r w:rsidR="00E74AC4" w:rsidRPr="00FD211F">
        <w:rPr>
          <w:sz w:val="36"/>
          <w:szCs w:val="36"/>
          <w:rtl/>
        </w:rPr>
        <w:t>انشاء</w:t>
      </w:r>
      <w:r w:rsidR="00E8128F">
        <w:rPr>
          <w:sz w:val="36"/>
          <w:szCs w:val="36"/>
          <w:rtl/>
        </w:rPr>
        <w:t xml:space="preserve"> </w:t>
      </w:r>
      <w:r w:rsidR="00E74AC4" w:rsidRPr="00FD211F">
        <w:rPr>
          <w:sz w:val="36"/>
          <w:szCs w:val="36"/>
          <w:rtl/>
        </w:rPr>
        <w:t>وجوب</w:t>
      </w:r>
      <w:r w:rsidR="00E8128F">
        <w:rPr>
          <w:sz w:val="36"/>
          <w:szCs w:val="36"/>
          <w:rtl/>
        </w:rPr>
        <w:t xml:space="preserve"> </w:t>
      </w:r>
      <w:r w:rsidR="00E74AC4" w:rsidRPr="00FD211F">
        <w:rPr>
          <w:sz w:val="36"/>
          <w:szCs w:val="36"/>
          <w:rtl/>
        </w:rPr>
        <w:t>صلا</w:t>
      </w:r>
      <w:r w:rsidR="00EC7EDF" w:rsidRPr="00FD211F">
        <w:rPr>
          <w:sz w:val="36"/>
          <w:szCs w:val="36"/>
          <w:rtl/>
        </w:rPr>
        <w:t>ة</w:t>
      </w:r>
      <w:r w:rsidR="00E8128F">
        <w:rPr>
          <w:sz w:val="36"/>
          <w:szCs w:val="36"/>
          <w:rtl/>
        </w:rPr>
        <w:t xml:space="preserve"> </w:t>
      </w:r>
      <w:r w:rsidR="00E74AC4" w:rsidRPr="00FD211F">
        <w:rPr>
          <w:sz w:val="36"/>
          <w:szCs w:val="36"/>
          <w:rtl/>
        </w:rPr>
        <w:t>الجمع</w:t>
      </w:r>
      <w:r w:rsidR="00EC7EDF" w:rsidRPr="00FD211F">
        <w:rPr>
          <w:sz w:val="36"/>
          <w:szCs w:val="36"/>
          <w:rtl/>
        </w:rPr>
        <w:t>ة</w:t>
      </w:r>
      <w:r w:rsidR="00E8128F">
        <w:rPr>
          <w:sz w:val="36"/>
          <w:szCs w:val="36"/>
          <w:rtl/>
        </w:rPr>
        <w:t xml:space="preserve"> </w:t>
      </w:r>
      <w:r w:rsidR="00E74AC4" w:rsidRPr="00FD211F">
        <w:rPr>
          <w:sz w:val="36"/>
          <w:szCs w:val="36"/>
          <w:rtl/>
        </w:rPr>
        <w:t>عقيب</w:t>
      </w:r>
      <w:r w:rsidR="00E8128F">
        <w:rPr>
          <w:sz w:val="36"/>
          <w:szCs w:val="36"/>
          <w:rtl/>
        </w:rPr>
        <w:t xml:space="preserve"> </w:t>
      </w:r>
      <w:r w:rsidR="00E74AC4" w:rsidRPr="00FD211F">
        <w:rPr>
          <w:sz w:val="36"/>
          <w:szCs w:val="36"/>
          <w:rtl/>
        </w:rPr>
        <w:t>ورود</w:t>
      </w:r>
      <w:r w:rsidR="00E8128F">
        <w:rPr>
          <w:sz w:val="36"/>
          <w:szCs w:val="36"/>
          <w:rtl/>
        </w:rPr>
        <w:t xml:space="preserve"> </w:t>
      </w:r>
      <w:r w:rsidR="00E74AC4" w:rsidRPr="00FD211F">
        <w:rPr>
          <w:sz w:val="36"/>
          <w:szCs w:val="36"/>
          <w:rtl/>
        </w:rPr>
        <w:t>خطاب</w:t>
      </w:r>
      <w:r w:rsidR="00E8128F">
        <w:rPr>
          <w:sz w:val="36"/>
          <w:szCs w:val="36"/>
          <w:rtl/>
        </w:rPr>
        <w:t xml:space="preserve"> </w:t>
      </w:r>
      <w:r w:rsidR="00E74AC4" w:rsidRPr="00FD211F">
        <w:rPr>
          <w:sz w:val="36"/>
          <w:szCs w:val="36"/>
          <w:rtl/>
        </w:rPr>
        <w:t>ظاهر</w:t>
      </w:r>
      <w:r w:rsidR="00E8128F">
        <w:rPr>
          <w:sz w:val="36"/>
          <w:szCs w:val="36"/>
          <w:rtl/>
        </w:rPr>
        <w:t xml:space="preserve"> </w:t>
      </w:r>
      <w:r w:rsidR="00E74AC4" w:rsidRPr="00FD211F">
        <w:rPr>
          <w:sz w:val="36"/>
          <w:szCs w:val="36"/>
          <w:rtl/>
        </w:rPr>
        <w:t>في</w:t>
      </w:r>
      <w:r w:rsidR="00E8128F">
        <w:rPr>
          <w:sz w:val="36"/>
          <w:szCs w:val="36"/>
          <w:rtl/>
        </w:rPr>
        <w:t xml:space="preserve"> </w:t>
      </w:r>
      <w:r w:rsidR="00E74AC4" w:rsidRPr="00FD211F">
        <w:rPr>
          <w:sz w:val="36"/>
          <w:szCs w:val="36"/>
          <w:rtl/>
        </w:rPr>
        <w:t>وجوبها</w:t>
      </w:r>
      <w:r w:rsidR="00E8128F">
        <w:rPr>
          <w:sz w:val="36"/>
          <w:szCs w:val="36"/>
          <w:rtl/>
        </w:rPr>
        <w:t xml:space="preserve"> </w:t>
      </w:r>
      <w:r w:rsidR="00E74AC4" w:rsidRPr="00FD211F">
        <w:rPr>
          <w:sz w:val="36"/>
          <w:szCs w:val="36"/>
          <w:rtl/>
        </w:rPr>
        <w:t>او</w:t>
      </w:r>
      <w:r w:rsidR="00E8128F">
        <w:rPr>
          <w:sz w:val="36"/>
          <w:szCs w:val="36"/>
          <w:rtl/>
        </w:rPr>
        <w:t xml:space="preserve"> </w:t>
      </w:r>
      <w:r w:rsidR="00E74AC4" w:rsidRPr="00FD211F">
        <w:rPr>
          <w:sz w:val="36"/>
          <w:szCs w:val="36"/>
          <w:rtl/>
        </w:rPr>
        <w:t>ان</w:t>
      </w:r>
      <w:r w:rsidR="00E8128F">
        <w:rPr>
          <w:sz w:val="36"/>
          <w:szCs w:val="36"/>
          <w:rtl/>
        </w:rPr>
        <w:t xml:space="preserve"> </w:t>
      </w:r>
      <w:r w:rsidR="00E74AC4" w:rsidRPr="00FD211F">
        <w:rPr>
          <w:sz w:val="36"/>
          <w:szCs w:val="36"/>
          <w:rtl/>
        </w:rPr>
        <w:t>المراد</w:t>
      </w:r>
      <w:r w:rsidR="00E8128F">
        <w:rPr>
          <w:sz w:val="36"/>
          <w:szCs w:val="36"/>
          <w:rtl/>
        </w:rPr>
        <w:t xml:space="preserve"> </w:t>
      </w:r>
      <w:r w:rsidR="00E74AC4" w:rsidRPr="00FD211F">
        <w:rPr>
          <w:sz w:val="36"/>
          <w:szCs w:val="36"/>
          <w:rtl/>
        </w:rPr>
        <w:t>بحجيته</w:t>
      </w:r>
      <w:r w:rsidR="00E8128F">
        <w:rPr>
          <w:sz w:val="36"/>
          <w:szCs w:val="36"/>
          <w:rtl/>
        </w:rPr>
        <w:t xml:space="preserve"> </w:t>
      </w:r>
      <w:r w:rsidR="00E74AC4" w:rsidRPr="00FD211F">
        <w:rPr>
          <w:sz w:val="36"/>
          <w:szCs w:val="36"/>
          <w:rtl/>
        </w:rPr>
        <w:t>منجزيته</w:t>
      </w:r>
      <w:r w:rsidR="00E8128F">
        <w:rPr>
          <w:sz w:val="36"/>
          <w:szCs w:val="36"/>
          <w:rtl/>
        </w:rPr>
        <w:t xml:space="preserve"> </w:t>
      </w:r>
      <w:r w:rsidR="00E74AC4" w:rsidRPr="00FD211F">
        <w:rPr>
          <w:sz w:val="36"/>
          <w:szCs w:val="36"/>
          <w:rtl/>
        </w:rPr>
        <w:t>ومعذريته</w:t>
      </w:r>
      <w:r w:rsidR="00603323" w:rsidRPr="00FD211F">
        <w:rPr>
          <w:sz w:val="36"/>
          <w:szCs w:val="36"/>
          <w:rtl/>
        </w:rPr>
        <w:t>،</w:t>
      </w:r>
      <w:r w:rsidR="00E8128F">
        <w:rPr>
          <w:sz w:val="36"/>
          <w:szCs w:val="36"/>
          <w:rtl/>
        </w:rPr>
        <w:t xml:space="preserve"> </w:t>
      </w:r>
      <w:r w:rsidR="00E74AC4" w:rsidRPr="00FD211F">
        <w:rPr>
          <w:sz w:val="36"/>
          <w:szCs w:val="36"/>
          <w:rtl/>
        </w:rPr>
        <w:t>كما</w:t>
      </w:r>
      <w:r w:rsidR="00E8128F">
        <w:rPr>
          <w:sz w:val="36"/>
          <w:szCs w:val="36"/>
          <w:rtl/>
        </w:rPr>
        <w:t xml:space="preserve"> </w:t>
      </w:r>
      <w:r w:rsidR="00E74AC4" w:rsidRPr="00FD211F">
        <w:rPr>
          <w:sz w:val="36"/>
          <w:szCs w:val="36"/>
          <w:rtl/>
        </w:rPr>
        <w:t>هو</w:t>
      </w:r>
      <w:r w:rsidR="00E8128F">
        <w:rPr>
          <w:sz w:val="36"/>
          <w:szCs w:val="36"/>
          <w:rtl/>
        </w:rPr>
        <w:t xml:space="preserve"> </w:t>
      </w:r>
      <w:r w:rsidR="00E74AC4" w:rsidRPr="00FD211F">
        <w:rPr>
          <w:sz w:val="36"/>
          <w:szCs w:val="36"/>
          <w:rtl/>
        </w:rPr>
        <w:t>الصحيح</w:t>
      </w:r>
      <w:r w:rsidR="00603323" w:rsidRPr="00FD211F">
        <w:rPr>
          <w:sz w:val="36"/>
          <w:szCs w:val="36"/>
          <w:rtl/>
        </w:rPr>
        <w:t>،</w:t>
      </w:r>
      <w:r w:rsidR="00E8128F">
        <w:rPr>
          <w:sz w:val="36"/>
          <w:szCs w:val="36"/>
          <w:rtl/>
        </w:rPr>
        <w:t xml:space="preserve"> </w:t>
      </w:r>
      <w:r w:rsidR="00E74AC4" w:rsidRPr="00FD211F">
        <w:rPr>
          <w:sz w:val="36"/>
          <w:szCs w:val="36"/>
          <w:rtl/>
        </w:rPr>
        <w:t>حيث</w:t>
      </w:r>
      <w:r w:rsidR="00E8128F">
        <w:rPr>
          <w:sz w:val="36"/>
          <w:szCs w:val="36"/>
          <w:rtl/>
        </w:rPr>
        <w:t xml:space="preserve"> </w:t>
      </w:r>
      <w:r w:rsidR="00E74AC4" w:rsidRPr="00FD211F">
        <w:rPr>
          <w:sz w:val="36"/>
          <w:szCs w:val="36"/>
          <w:rtl/>
        </w:rPr>
        <w:t>ان</w:t>
      </w:r>
      <w:r w:rsidR="00E8128F">
        <w:rPr>
          <w:sz w:val="36"/>
          <w:szCs w:val="36"/>
          <w:rtl/>
        </w:rPr>
        <w:t xml:space="preserve"> </w:t>
      </w:r>
      <w:r w:rsidR="00E74AC4" w:rsidRPr="00FD211F">
        <w:rPr>
          <w:sz w:val="36"/>
          <w:szCs w:val="36"/>
          <w:rtl/>
        </w:rPr>
        <w:t>مدرك</w:t>
      </w:r>
      <w:r w:rsidR="00E8128F">
        <w:rPr>
          <w:sz w:val="36"/>
          <w:szCs w:val="36"/>
          <w:rtl/>
        </w:rPr>
        <w:t xml:space="preserve"> </w:t>
      </w:r>
      <w:r w:rsidR="00E74AC4" w:rsidRPr="00FD211F">
        <w:rPr>
          <w:sz w:val="36"/>
          <w:szCs w:val="36"/>
          <w:rtl/>
        </w:rPr>
        <w:t>حجي</w:t>
      </w:r>
      <w:r w:rsidR="00EC7EDF" w:rsidRPr="00FD211F">
        <w:rPr>
          <w:sz w:val="36"/>
          <w:szCs w:val="36"/>
          <w:rtl/>
        </w:rPr>
        <w:t>ة</w:t>
      </w:r>
      <w:r w:rsidR="00E8128F">
        <w:rPr>
          <w:sz w:val="36"/>
          <w:szCs w:val="36"/>
          <w:rtl/>
        </w:rPr>
        <w:t xml:space="preserve"> </w:t>
      </w:r>
      <w:r w:rsidR="00E74AC4" w:rsidRPr="00FD211F">
        <w:rPr>
          <w:sz w:val="36"/>
          <w:szCs w:val="36"/>
          <w:rtl/>
        </w:rPr>
        <w:t>الظهور</w:t>
      </w:r>
      <w:r w:rsidR="00E8128F">
        <w:rPr>
          <w:sz w:val="36"/>
          <w:szCs w:val="36"/>
          <w:rtl/>
        </w:rPr>
        <w:t xml:space="preserve"> </w:t>
      </w:r>
      <w:r w:rsidR="00E74AC4" w:rsidRPr="00FD211F">
        <w:rPr>
          <w:sz w:val="36"/>
          <w:szCs w:val="36"/>
          <w:rtl/>
        </w:rPr>
        <w:t>بناء</w:t>
      </w:r>
      <w:r w:rsidR="00E8128F">
        <w:rPr>
          <w:sz w:val="36"/>
          <w:szCs w:val="36"/>
          <w:rtl/>
        </w:rPr>
        <w:t xml:space="preserve"> </w:t>
      </w:r>
      <w:r w:rsidR="00E74AC4" w:rsidRPr="00FD211F">
        <w:rPr>
          <w:sz w:val="36"/>
          <w:szCs w:val="36"/>
          <w:rtl/>
        </w:rPr>
        <w:t>العقلاء</w:t>
      </w:r>
      <w:r w:rsidR="00E8128F">
        <w:rPr>
          <w:sz w:val="36"/>
          <w:szCs w:val="36"/>
          <w:rtl/>
        </w:rPr>
        <w:t xml:space="preserve"> </w:t>
      </w:r>
      <w:r w:rsidR="00E74AC4" w:rsidRPr="00FD211F">
        <w:rPr>
          <w:sz w:val="36"/>
          <w:szCs w:val="36"/>
          <w:rtl/>
        </w:rPr>
        <w:t>فحسب</w:t>
      </w:r>
      <w:r w:rsidR="00603323" w:rsidRPr="00FD211F">
        <w:rPr>
          <w:sz w:val="36"/>
          <w:szCs w:val="36"/>
          <w:rtl/>
        </w:rPr>
        <w:t>،</w:t>
      </w:r>
      <w:r w:rsidR="00E8128F">
        <w:rPr>
          <w:sz w:val="36"/>
          <w:szCs w:val="36"/>
          <w:rtl/>
        </w:rPr>
        <w:t xml:space="preserve"> </w:t>
      </w:r>
      <w:r w:rsidR="00E74AC4" w:rsidRPr="00FD211F">
        <w:rPr>
          <w:sz w:val="36"/>
          <w:szCs w:val="36"/>
          <w:rtl/>
        </w:rPr>
        <w:t>ولايوجد</w:t>
      </w:r>
      <w:r w:rsidR="00E8128F">
        <w:rPr>
          <w:sz w:val="36"/>
          <w:szCs w:val="36"/>
          <w:rtl/>
        </w:rPr>
        <w:t xml:space="preserve"> </w:t>
      </w:r>
      <w:r w:rsidR="00E74AC4" w:rsidRPr="00FD211F">
        <w:rPr>
          <w:sz w:val="36"/>
          <w:szCs w:val="36"/>
          <w:rtl/>
        </w:rPr>
        <w:t>لدى</w:t>
      </w:r>
      <w:r w:rsidR="00E8128F">
        <w:rPr>
          <w:sz w:val="36"/>
          <w:szCs w:val="36"/>
          <w:rtl/>
        </w:rPr>
        <w:t xml:space="preserve"> </w:t>
      </w:r>
      <w:r w:rsidR="00E74AC4" w:rsidRPr="00FD211F">
        <w:rPr>
          <w:sz w:val="36"/>
          <w:szCs w:val="36"/>
          <w:rtl/>
        </w:rPr>
        <w:t>العقلاء</w:t>
      </w:r>
      <w:r w:rsidR="00E8128F">
        <w:rPr>
          <w:sz w:val="36"/>
          <w:szCs w:val="36"/>
          <w:rtl/>
        </w:rPr>
        <w:t xml:space="preserve"> </w:t>
      </w:r>
      <w:r w:rsidR="00E74AC4" w:rsidRPr="00FD211F">
        <w:rPr>
          <w:sz w:val="36"/>
          <w:szCs w:val="36"/>
          <w:rtl/>
        </w:rPr>
        <w:t>انشاء</w:t>
      </w:r>
      <w:r w:rsidR="00E8128F">
        <w:rPr>
          <w:sz w:val="36"/>
          <w:szCs w:val="36"/>
          <w:rtl/>
        </w:rPr>
        <w:t xml:space="preserve"> </w:t>
      </w:r>
      <w:r w:rsidR="00E74AC4" w:rsidRPr="00FD211F">
        <w:rPr>
          <w:sz w:val="36"/>
          <w:szCs w:val="36"/>
          <w:rtl/>
        </w:rPr>
        <w:t>حكم</w:t>
      </w:r>
      <w:r w:rsidR="00E8128F">
        <w:rPr>
          <w:sz w:val="36"/>
          <w:szCs w:val="36"/>
          <w:rtl/>
        </w:rPr>
        <w:t xml:space="preserve"> </w:t>
      </w:r>
      <w:r w:rsidR="00E74AC4" w:rsidRPr="00FD211F">
        <w:rPr>
          <w:sz w:val="36"/>
          <w:szCs w:val="36"/>
          <w:rtl/>
        </w:rPr>
        <w:t>مماثل</w:t>
      </w:r>
      <w:r w:rsidR="00E8128F">
        <w:rPr>
          <w:sz w:val="36"/>
          <w:szCs w:val="36"/>
          <w:rtl/>
        </w:rPr>
        <w:t xml:space="preserve"> </w:t>
      </w:r>
      <w:r w:rsidR="00E74AC4" w:rsidRPr="00FD211F">
        <w:rPr>
          <w:sz w:val="36"/>
          <w:szCs w:val="36"/>
          <w:rtl/>
        </w:rPr>
        <w:t>حتى</w:t>
      </w:r>
      <w:r w:rsidR="00E8128F">
        <w:rPr>
          <w:sz w:val="36"/>
          <w:szCs w:val="36"/>
          <w:rtl/>
        </w:rPr>
        <w:t xml:space="preserve"> </w:t>
      </w:r>
      <w:r w:rsidR="00E74AC4" w:rsidRPr="00FD211F">
        <w:rPr>
          <w:sz w:val="36"/>
          <w:szCs w:val="36"/>
          <w:rtl/>
        </w:rPr>
        <w:t>يمضيه</w:t>
      </w:r>
      <w:r w:rsidR="00E8128F">
        <w:rPr>
          <w:sz w:val="36"/>
          <w:szCs w:val="36"/>
          <w:rtl/>
        </w:rPr>
        <w:t xml:space="preserve"> </w:t>
      </w:r>
      <w:r w:rsidR="00E74AC4" w:rsidRPr="00FD211F">
        <w:rPr>
          <w:sz w:val="36"/>
          <w:szCs w:val="36"/>
          <w:rtl/>
        </w:rPr>
        <w:t>الشارع</w:t>
      </w:r>
      <w:r w:rsidR="00603323" w:rsidRPr="00FD211F">
        <w:rPr>
          <w:sz w:val="36"/>
          <w:szCs w:val="36"/>
          <w:rtl/>
        </w:rPr>
        <w:t>،</w:t>
      </w:r>
      <w:r w:rsidR="00E8128F">
        <w:rPr>
          <w:sz w:val="36"/>
          <w:szCs w:val="36"/>
          <w:rtl/>
        </w:rPr>
        <w:t xml:space="preserve"> </w:t>
      </w:r>
      <w:r w:rsidR="00E74AC4" w:rsidRPr="00FD211F">
        <w:rPr>
          <w:sz w:val="36"/>
          <w:szCs w:val="36"/>
          <w:rtl/>
        </w:rPr>
        <w:t>وكيف</w:t>
      </w:r>
      <w:r w:rsidR="00E8128F">
        <w:rPr>
          <w:sz w:val="36"/>
          <w:szCs w:val="36"/>
          <w:rtl/>
        </w:rPr>
        <w:t xml:space="preserve"> </w:t>
      </w:r>
      <w:r w:rsidR="00E74AC4" w:rsidRPr="00FD211F">
        <w:rPr>
          <w:sz w:val="36"/>
          <w:szCs w:val="36"/>
          <w:rtl/>
        </w:rPr>
        <w:t>كان</w:t>
      </w:r>
      <w:r w:rsidR="00E8128F">
        <w:rPr>
          <w:sz w:val="36"/>
          <w:szCs w:val="36"/>
          <w:rtl/>
        </w:rPr>
        <w:t xml:space="preserve"> </w:t>
      </w:r>
      <w:r w:rsidR="00E74AC4" w:rsidRPr="00FD211F">
        <w:rPr>
          <w:sz w:val="36"/>
          <w:szCs w:val="36"/>
          <w:rtl/>
        </w:rPr>
        <w:t>فلاتقع</w:t>
      </w:r>
      <w:r w:rsidR="00E8128F">
        <w:rPr>
          <w:sz w:val="36"/>
          <w:szCs w:val="36"/>
          <w:rtl/>
        </w:rPr>
        <w:t xml:space="preserve"> </w:t>
      </w:r>
      <w:r w:rsidR="00E74AC4" w:rsidRPr="00FD211F">
        <w:rPr>
          <w:sz w:val="36"/>
          <w:szCs w:val="36"/>
          <w:rtl/>
        </w:rPr>
        <w:t>حجي</w:t>
      </w:r>
      <w:r w:rsidR="00EC7EDF" w:rsidRPr="00FD211F">
        <w:rPr>
          <w:sz w:val="36"/>
          <w:szCs w:val="36"/>
          <w:rtl/>
        </w:rPr>
        <w:t>ة</w:t>
      </w:r>
      <w:r w:rsidR="00E8128F">
        <w:rPr>
          <w:sz w:val="36"/>
          <w:szCs w:val="36"/>
          <w:rtl/>
        </w:rPr>
        <w:t xml:space="preserve"> </w:t>
      </w:r>
      <w:r w:rsidR="00E74AC4" w:rsidRPr="00FD211F">
        <w:rPr>
          <w:sz w:val="36"/>
          <w:szCs w:val="36"/>
          <w:rtl/>
        </w:rPr>
        <w:t>الظهور</w:t>
      </w:r>
      <w:r w:rsidR="00E8128F">
        <w:rPr>
          <w:sz w:val="36"/>
          <w:szCs w:val="36"/>
          <w:rtl/>
        </w:rPr>
        <w:t xml:space="preserve"> </w:t>
      </w:r>
      <w:r w:rsidR="00E74AC4" w:rsidRPr="00FD211F">
        <w:rPr>
          <w:sz w:val="36"/>
          <w:szCs w:val="36"/>
          <w:rtl/>
        </w:rPr>
        <w:t>في</w:t>
      </w:r>
      <w:r w:rsidR="00E8128F">
        <w:rPr>
          <w:sz w:val="36"/>
          <w:szCs w:val="36"/>
          <w:rtl/>
        </w:rPr>
        <w:t xml:space="preserve"> </w:t>
      </w:r>
      <w:r w:rsidR="00E74AC4" w:rsidRPr="00FD211F">
        <w:rPr>
          <w:sz w:val="36"/>
          <w:szCs w:val="36"/>
          <w:rtl/>
        </w:rPr>
        <w:t>طريق</w:t>
      </w:r>
      <w:r w:rsidR="00E8128F">
        <w:rPr>
          <w:sz w:val="36"/>
          <w:szCs w:val="36"/>
          <w:rtl/>
        </w:rPr>
        <w:t xml:space="preserve"> </w:t>
      </w:r>
      <w:r w:rsidR="00E74AC4" w:rsidRPr="00FD211F">
        <w:rPr>
          <w:sz w:val="36"/>
          <w:szCs w:val="36"/>
          <w:rtl/>
        </w:rPr>
        <w:t>استكشاف</w:t>
      </w:r>
      <w:r w:rsidR="00E8128F">
        <w:rPr>
          <w:sz w:val="36"/>
          <w:szCs w:val="36"/>
          <w:rtl/>
        </w:rPr>
        <w:t xml:space="preserve"> </w:t>
      </w:r>
      <w:r w:rsidR="00E74AC4" w:rsidRPr="00FD211F">
        <w:rPr>
          <w:sz w:val="36"/>
          <w:szCs w:val="36"/>
          <w:rtl/>
        </w:rPr>
        <w:t>الحكم</w:t>
      </w:r>
      <w:r w:rsidR="00E8128F">
        <w:rPr>
          <w:sz w:val="36"/>
          <w:szCs w:val="36"/>
          <w:rtl/>
        </w:rPr>
        <w:t xml:space="preserve"> </w:t>
      </w:r>
      <w:r w:rsidR="00E74AC4" w:rsidRPr="00FD211F">
        <w:rPr>
          <w:sz w:val="36"/>
          <w:szCs w:val="36"/>
          <w:rtl/>
        </w:rPr>
        <w:t>الشرعي</w:t>
      </w:r>
      <w:r w:rsidR="00E8128F">
        <w:rPr>
          <w:sz w:val="36"/>
          <w:szCs w:val="36"/>
          <w:rtl/>
        </w:rPr>
        <w:t xml:space="preserve"> </w:t>
      </w:r>
      <w:r w:rsidR="00E74AC4" w:rsidRPr="00FD211F">
        <w:rPr>
          <w:sz w:val="36"/>
          <w:szCs w:val="36"/>
          <w:rtl/>
        </w:rPr>
        <w:t>الفرعي</w:t>
      </w:r>
      <w:r w:rsidR="00603323" w:rsidRPr="00FD211F">
        <w:rPr>
          <w:sz w:val="36"/>
          <w:szCs w:val="36"/>
          <w:rtl/>
        </w:rPr>
        <w:t>،</w:t>
      </w:r>
      <w:r w:rsidR="00E8128F">
        <w:rPr>
          <w:sz w:val="36"/>
          <w:szCs w:val="36"/>
          <w:rtl/>
        </w:rPr>
        <w:t xml:space="preserve"> </w:t>
      </w:r>
      <w:r w:rsidR="00E74AC4" w:rsidRPr="00FD211F">
        <w:rPr>
          <w:sz w:val="36"/>
          <w:szCs w:val="36"/>
          <w:rtl/>
        </w:rPr>
        <w:t>فكيف</w:t>
      </w:r>
      <w:r w:rsidR="00E8128F">
        <w:rPr>
          <w:sz w:val="36"/>
          <w:szCs w:val="36"/>
          <w:rtl/>
        </w:rPr>
        <w:t xml:space="preserve"> </w:t>
      </w:r>
      <w:r w:rsidR="00E74AC4" w:rsidRPr="00FD211F">
        <w:rPr>
          <w:sz w:val="36"/>
          <w:szCs w:val="36"/>
          <w:rtl/>
        </w:rPr>
        <w:t>بالبحث</w:t>
      </w:r>
      <w:r w:rsidR="00E8128F">
        <w:rPr>
          <w:sz w:val="36"/>
          <w:szCs w:val="36"/>
          <w:rtl/>
        </w:rPr>
        <w:t xml:space="preserve"> </w:t>
      </w:r>
      <w:r w:rsidR="00E74AC4" w:rsidRPr="00FD211F">
        <w:rPr>
          <w:sz w:val="36"/>
          <w:szCs w:val="36"/>
          <w:rtl/>
        </w:rPr>
        <w:t>عن</w:t>
      </w:r>
      <w:r w:rsidR="00E8128F">
        <w:rPr>
          <w:sz w:val="36"/>
          <w:szCs w:val="36"/>
          <w:rtl/>
        </w:rPr>
        <w:t xml:space="preserve"> </w:t>
      </w:r>
      <w:r w:rsidR="00E74AC4" w:rsidRPr="00FD211F">
        <w:rPr>
          <w:sz w:val="36"/>
          <w:szCs w:val="36"/>
          <w:rtl/>
        </w:rPr>
        <w:t>مصاديق</w:t>
      </w:r>
      <w:r w:rsidR="00E8128F">
        <w:rPr>
          <w:sz w:val="36"/>
          <w:szCs w:val="36"/>
          <w:rtl/>
        </w:rPr>
        <w:t xml:space="preserve"> </w:t>
      </w:r>
      <w:r w:rsidR="00E74AC4" w:rsidRPr="00FD211F">
        <w:rPr>
          <w:sz w:val="36"/>
          <w:szCs w:val="36"/>
          <w:rtl/>
        </w:rPr>
        <w:t>الظهور</w:t>
      </w:r>
      <w:r w:rsidR="00E8128F">
        <w:rPr>
          <w:sz w:val="36"/>
          <w:szCs w:val="36"/>
          <w:rtl/>
        </w:rPr>
        <w:t xml:space="preserve"> </w:t>
      </w:r>
      <w:r w:rsidR="00E74AC4" w:rsidRPr="00FD211F">
        <w:rPr>
          <w:sz w:val="36"/>
          <w:szCs w:val="36"/>
          <w:rtl/>
        </w:rPr>
        <w:t>في</w:t>
      </w:r>
      <w:r w:rsidR="00E8128F">
        <w:rPr>
          <w:sz w:val="36"/>
          <w:szCs w:val="36"/>
          <w:rtl/>
        </w:rPr>
        <w:t xml:space="preserve"> </w:t>
      </w:r>
      <w:r w:rsidR="00E74AC4" w:rsidRPr="00FD211F">
        <w:rPr>
          <w:sz w:val="36"/>
          <w:szCs w:val="36"/>
          <w:rtl/>
        </w:rPr>
        <w:t>مباحث</w:t>
      </w:r>
      <w:r w:rsidR="00E8128F">
        <w:rPr>
          <w:sz w:val="36"/>
          <w:szCs w:val="36"/>
          <w:rtl/>
        </w:rPr>
        <w:t xml:space="preserve"> </w:t>
      </w:r>
      <w:r w:rsidR="00E74AC4" w:rsidRPr="00FD211F">
        <w:rPr>
          <w:sz w:val="36"/>
          <w:szCs w:val="36"/>
          <w:rtl/>
        </w:rPr>
        <w:t>الالفاظ.</w:t>
      </w:r>
    </w:p>
    <w:p w14:paraId="75363A34" w14:textId="77777777" w:rsidR="00E74AC4" w:rsidRPr="00FD211F" w:rsidRDefault="00690A47" w:rsidP="009C58C8">
      <w:pPr>
        <w:ind w:left="0" w:firstLine="227"/>
        <w:jc w:val="both"/>
        <w:rPr>
          <w:sz w:val="36"/>
          <w:szCs w:val="36"/>
          <w:rtl/>
        </w:rPr>
      </w:pPr>
      <w:r w:rsidRPr="00FD211F">
        <w:rPr>
          <w:sz w:val="36"/>
          <w:szCs w:val="36"/>
          <w:rtl/>
        </w:rPr>
        <w:t>وتتميم</w:t>
      </w:r>
      <w:r w:rsidR="00E8128F">
        <w:rPr>
          <w:sz w:val="36"/>
          <w:szCs w:val="36"/>
          <w:rtl/>
        </w:rPr>
        <w:t xml:space="preserve"> </w:t>
      </w:r>
      <w:r w:rsidRPr="00FD211F">
        <w:rPr>
          <w:sz w:val="36"/>
          <w:szCs w:val="36"/>
          <w:rtl/>
        </w:rPr>
        <w:t>صاحب</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00261D9B" w:rsidRPr="00FD211F">
        <w:rPr>
          <w:sz w:val="36"/>
          <w:szCs w:val="36"/>
          <w:rtl/>
        </w:rPr>
        <w:t>لايجدي</w:t>
      </w:r>
      <w:r w:rsidR="00E8128F">
        <w:rPr>
          <w:sz w:val="36"/>
          <w:szCs w:val="36"/>
          <w:rtl/>
        </w:rPr>
        <w:t xml:space="preserve"> </w:t>
      </w:r>
      <w:r w:rsidR="00E74AC4" w:rsidRPr="00FD211F">
        <w:rPr>
          <w:sz w:val="36"/>
          <w:szCs w:val="36"/>
          <w:rtl/>
        </w:rPr>
        <w:t>بحال</w:t>
      </w:r>
      <w:r w:rsidR="00E8128F">
        <w:rPr>
          <w:sz w:val="36"/>
          <w:szCs w:val="36"/>
          <w:rtl/>
        </w:rPr>
        <w:t xml:space="preserve"> </w:t>
      </w:r>
      <w:r w:rsidR="00E74AC4" w:rsidRPr="00FD211F">
        <w:rPr>
          <w:sz w:val="36"/>
          <w:szCs w:val="36"/>
          <w:rtl/>
        </w:rPr>
        <w:t>الأمارات</w:t>
      </w:r>
      <w:r w:rsidR="00E8128F">
        <w:rPr>
          <w:sz w:val="36"/>
          <w:szCs w:val="36"/>
          <w:rtl/>
        </w:rPr>
        <w:t xml:space="preserve"> </w:t>
      </w:r>
      <w:r w:rsidR="00E74AC4" w:rsidRPr="00FD211F">
        <w:rPr>
          <w:sz w:val="36"/>
          <w:szCs w:val="36"/>
          <w:rtl/>
        </w:rPr>
        <w:t>شيئا</w:t>
      </w:r>
      <w:r w:rsidR="00603323" w:rsidRPr="00FD211F">
        <w:rPr>
          <w:sz w:val="36"/>
          <w:szCs w:val="36"/>
          <w:rtl/>
        </w:rPr>
        <w:t>،</w:t>
      </w:r>
      <w:r w:rsidR="00E8128F">
        <w:rPr>
          <w:sz w:val="36"/>
          <w:szCs w:val="36"/>
          <w:rtl/>
        </w:rPr>
        <w:t xml:space="preserve"> </w:t>
      </w:r>
      <w:r w:rsidR="00E74AC4" w:rsidRPr="00FD211F">
        <w:rPr>
          <w:sz w:val="36"/>
          <w:szCs w:val="36"/>
          <w:rtl/>
        </w:rPr>
        <w:t>لعدم</w:t>
      </w:r>
      <w:r w:rsidR="00E8128F">
        <w:rPr>
          <w:sz w:val="36"/>
          <w:szCs w:val="36"/>
          <w:rtl/>
        </w:rPr>
        <w:t xml:space="preserve"> </w:t>
      </w:r>
      <w:r w:rsidR="00E74AC4" w:rsidRPr="00FD211F">
        <w:rPr>
          <w:sz w:val="36"/>
          <w:szCs w:val="36"/>
          <w:rtl/>
        </w:rPr>
        <w:t>كونها</w:t>
      </w:r>
      <w:r w:rsidR="00E8128F">
        <w:rPr>
          <w:sz w:val="36"/>
          <w:szCs w:val="36"/>
          <w:rtl/>
        </w:rPr>
        <w:t xml:space="preserve"> </w:t>
      </w:r>
      <w:r w:rsidR="00E74AC4" w:rsidRPr="00FD211F">
        <w:rPr>
          <w:sz w:val="36"/>
          <w:szCs w:val="36"/>
          <w:rtl/>
        </w:rPr>
        <w:t>مما</w:t>
      </w:r>
      <w:r w:rsidR="00E8128F">
        <w:rPr>
          <w:sz w:val="36"/>
          <w:szCs w:val="36"/>
          <w:rtl/>
        </w:rPr>
        <w:t xml:space="preserve"> </w:t>
      </w:r>
      <w:r w:rsidR="00E74AC4" w:rsidRPr="00FD211F">
        <w:rPr>
          <w:sz w:val="36"/>
          <w:szCs w:val="36"/>
          <w:rtl/>
        </w:rPr>
        <w:t>ينتهى</w:t>
      </w:r>
      <w:r w:rsidR="00E8128F">
        <w:rPr>
          <w:sz w:val="36"/>
          <w:szCs w:val="36"/>
          <w:rtl/>
        </w:rPr>
        <w:t xml:space="preserve"> </w:t>
      </w:r>
      <w:r w:rsidR="00E74AC4" w:rsidRPr="00FD211F">
        <w:rPr>
          <w:sz w:val="36"/>
          <w:szCs w:val="36"/>
          <w:rtl/>
        </w:rPr>
        <w:t>اليها</w:t>
      </w:r>
      <w:r w:rsidR="00E8128F">
        <w:rPr>
          <w:sz w:val="36"/>
          <w:szCs w:val="36"/>
          <w:rtl/>
        </w:rPr>
        <w:t xml:space="preserve"> </w:t>
      </w:r>
      <w:r w:rsidR="004535AB" w:rsidRPr="00FD211F">
        <w:rPr>
          <w:sz w:val="36"/>
          <w:szCs w:val="36"/>
          <w:rtl/>
        </w:rPr>
        <w:t>بعد</w:t>
      </w:r>
      <w:r w:rsidR="00E8128F">
        <w:rPr>
          <w:sz w:val="36"/>
          <w:szCs w:val="36"/>
          <w:rtl/>
        </w:rPr>
        <w:t xml:space="preserve"> </w:t>
      </w:r>
      <w:r w:rsidR="004535AB" w:rsidRPr="00FD211F">
        <w:rPr>
          <w:sz w:val="36"/>
          <w:szCs w:val="36"/>
          <w:rtl/>
        </w:rPr>
        <w:t>اليأس</w:t>
      </w:r>
      <w:r w:rsidR="00E8128F">
        <w:rPr>
          <w:sz w:val="36"/>
          <w:szCs w:val="36"/>
          <w:rtl/>
        </w:rPr>
        <w:t xml:space="preserve"> </w:t>
      </w:r>
      <w:r w:rsidR="004535AB" w:rsidRPr="00FD211F">
        <w:rPr>
          <w:sz w:val="36"/>
          <w:szCs w:val="36"/>
          <w:rtl/>
        </w:rPr>
        <w:t>عن</w:t>
      </w:r>
      <w:r w:rsidR="00E8128F">
        <w:rPr>
          <w:sz w:val="36"/>
          <w:szCs w:val="36"/>
          <w:rtl/>
        </w:rPr>
        <w:t xml:space="preserve"> </w:t>
      </w:r>
      <w:r w:rsidR="004535AB" w:rsidRPr="00FD211F">
        <w:rPr>
          <w:sz w:val="36"/>
          <w:szCs w:val="36"/>
          <w:rtl/>
        </w:rPr>
        <w:t>الدليل</w:t>
      </w:r>
      <w:r w:rsidR="00603323" w:rsidRPr="00FD211F">
        <w:rPr>
          <w:sz w:val="36"/>
          <w:szCs w:val="36"/>
          <w:rtl/>
        </w:rPr>
        <w:t>،</w:t>
      </w:r>
      <w:r w:rsidR="00E8128F">
        <w:rPr>
          <w:sz w:val="36"/>
          <w:szCs w:val="36"/>
          <w:rtl/>
        </w:rPr>
        <w:t xml:space="preserve"> </w:t>
      </w:r>
      <w:r w:rsidR="004535AB" w:rsidRPr="00FD211F">
        <w:rPr>
          <w:sz w:val="36"/>
          <w:szCs w:val="36"/>
          <w:rtl/>
        </w:rPr>
        <w:t>فيتعين</w:t>
      </w:r>
      <w:r w:rsidR="00E8128F">
        <w:rPr>
          <w:sz w:val="36"/>
          <w:szCs w:val="36"/>
          <w:rtl/>
        </w:rPr>
        <w:t xml:space="preserve"> </w:t>
      </w:r>
      <w:r w:rsidR="004535AB" w:rsidRPr="00FD211F">
        <w:rPr>
          <w:sz w:val="36"/>
          <w:szCs w:val="36"/>
          <w:rtl/>
        </w:rPr>
        <w:t>حل</w:t>
      </w:r>
      <w:r w:rsidR="00E8128F">
        <w:rPr>
          <w:sz w:val="36"/>
          <w:szCs w:val="36"/>
          <w:rtl/>
        </w:rPr>
        <w:t xml:space="preserve"> </w:t>
      </w:r>
      <w:r w:rsidR="004535AB" w:rsidRPr="00FD211F">
        <w:rPr>
          <w:sz w:val="36"/>
          <w:szCs w:val="36"/>
          <w:rtl/>
        </w:rPr>
        <w:t>الاشكال</w:t>
      </w:r>
      <w:r w:rsidR="00E8128F">
        <w:rPr>
          <w:sz w:val="36"/>
          <w:szCs w:val="36"/>
          <w:rtl/>
        </w:rPr>
        <w:t xml:space="preserve"> </w:t>
      </w:r>
      <w:r w:rsidR="004535AB" w:rsidRPr="00FD211F">
        <w:rPr>
          <w:sz w:val="36"/>
          <w:szCs w:val="36"/>
          <w:rtl/>
        </w:rPr>
        <w:t>بما</w:t>
      </w:r>
      <w:r w:rsidR="00E8128F">
        <w:rPr>
          <w:sz w:val="36"/>
          <w:szCs w:val="36"/>
          <w:rtl/>
        </w:rPr>
        <w:t xml:space="preserve"> </w:t>
      </w:r>
      <w:r w:rsidR="004535AB" w:rsidRPr="00FD211F">
        <w:rPr>
          <w:sz w:val="36"/>
          <w:szCs w:val="36"/>
          <w:rtl/>
        </w:rPr>
        <w:t>ذكرنا</w:t>
      </w:r>
      <w:r w:rsidR="00E8128F">
        <w:rPr>
          <w:sz w:val="36"/>
          <w:szCs w:val="36"/>
          <w:rtl/>
        </w:rPr>
        <w:t xml:space="preserve"> </w:t>
      </w:r>
      <w:r w:rsidR="004535AB" w:rsidRPr="00FD211F">
        <w:rPr>
          <w:sz w:val="36"/>
          <w:szCs w:val="36"/>
          <w:rtl/>
        </w:rPr>
        <w:t>من</w:t>
      </w:r>
      <w:r w:rsidR="00E8128F">
        <w:rPr>
          <w:sz w:val="36"/>
          <w:szCs w:val="36"/>
          <w:rtl/>
        </w:rPr>
        <w:t xml:space="preserve"> </w:t>
      </w:r>
      <w:r w:rsidR="00D815DE" w:rsidRPr="00FD211F">
        <w:rPr>
          <w:sz w:val="36"/>
          <w:szCs w:val="36"/>
          <w:rtl/>
        </w:rPr>
        <w:lastRenderedPageBreak/>
        <w:t>إراد</w:t>
      </w:r>
      <w:r w:rsidR="00EC7EDF" w:rsidRPr="00FD211F">
        <w:rPr>
          <w:sz w:val="36"/>
          <w:szCs w:val="36"/>
          <w:rtl/>
        </w:rPr>
        <w:t>ة</w:t>
      </w:r>
      <w:r w:rsidR="00E8128F">
        <w:rPr>
          <w:sz w:val="36"/>
          <w:szCs w:val="36"/>
          <w:rtl/>
        </w:rPr>
        <w:t xml:space="preserve"> </w:t>
      </w:r>
      <w:r w:rsidR="004535AB" w:rsidRPr="00FD211F">
        <w:rPr>
          <w:sz w:val="36"/>
          <w:szCs w:val="36"/>
          <w:rtl/>
        </w:rPr>
        <w:t>اقام</w:t>
      </w:r>
      <w:r w:rsidR="00EC7EDF" w:rsidRPr="00FD211F">
        <w:rPr>
          <w:sz w:val="36"/>
          <w:szCs w:val="36"/>
          <w:rtl/>
        </w:rPr>
        <w:t>ة</w:t>
      </w:r>
      <w:r w:rsidR="00E8128F">
        <w:rPr>
          <w:sz w:val="36"/>
          <w:szCs w:val="36"/>
          <w:rtl/>
        </w:rPr>
        <w:t xml:space="preserve"> </w:t>
      </w:r>
      <w:r w:rsidR="004535AB" w:rsidRPr="00FD211F">
        <w:rPr>
          <w:sz w:val="36"/>
          <w:szCs w:val="36"/>
          <w:rtl/>
        </w:rPr>
        <w:t>الحج</w:t>
      </w:r>
      <w:r w:rsidR="00EC7EDF" w:rsidRPr="00FD211F">
        <w:rPr>
          <w:sz w:val="36"/>
          <w:szCs w:val="36"/>
          <w:rtl/>
        </w:rPr>
        <w:t>ة</w:t>
      </w:r>
      <w:r w:rsidR="00E8128F">
        <w:rPr>
          <w:sz w:val="36"/>
          <w:szCs w:val="36"/>
          <w:rtl/>
        </w:rPr>
        <w:t xml:space="preserve"> </w:t>
      </w:r>
      <w:r w:rsidR="004535AB" w:rsidRPr="00FD211F">
        <w:rPr>
          <w:sz w:val="36"/>
          <w:szCs w:val="36"/>
          <w:rtl/>
        </w:rPr>
        <w:t>من</w:t>
      </w:r>
      <w:r w:rsidR="00E8128F">
        <w:rPr>
          <w:sz w:val="36"/>
          <w:szCs w:val="36"/>
          <w:rtl/>
        </w:rPr>
        <w:t xml:space="preserve"> </w:t>
      </w:r>
      <w:r w:rsidR="004535AB" w:rsidRPr="00FD211F">
        <w:rPr>
          <w:sz w:val="36"/>
          <w:szCs w:val="36"/>
          <w:rtl/>
        </w:rPr>
        <w:t>كلم</w:t>
      </w:r>
      <w:r w:rsidR="00EC7EDF" w:rsidRPr="00FD211F">
        <w:rPr>
          <w:sz w:val="36"/>
          <w:szCs w:val="36"/>
          <w:rtl/>
        </w:rPr>
        <w:t>ة</w:t>
      </w:r>
      <w:r w:rsidR="00E8128F">
        <w:rPr>
          <w:sz w:val="36"/>
          <w:szCs w:val="36"/>
          <w:rtl/>
        </w:rPr>
        <w:t xml:space="preserve"> </w:t>
      </w:r>
      <w:r w:rsidR="004535AB" w:rsidRPr="00FD211F">
        <w:rPr>
          <w:sz w:val="36"/>
          <w:szCs w:val="36"/>
          <w:rtl/>
        </w:rPr>
        <w:t>الاستنباط</w:t>
      </w:r>
      <w:r w:rsidR="00603323" w:rsidRPr="00FD211F">
        <w:rPr>
          <w:sz w:val="36"/>
          <w:szCs w:val="36"/>
          <w:rtl/>
        </w:rPr>
        <w:t>،</w:t>
      </w:r>
      <w:r w:rsidR="00E8128F">
        <w:rPr>
          <w:sz w:val="36"/>
          <w:szCs w:val="36"/>
          <w:rtl/>
        </w:rPr>
        <w:t xml:space="preserve"> </w:t>
      </w:r>
      <w:r w:rsidR="004535AB" w:rsidRPr="00FD211F">
        <w:rPr>
          <w:sz w:val="36"/>
          <w:szCs w:val="36"/>
          <w:rtl/>
        </w:rPr>
        <w:t>وبذلك</w:t>
      </w:r>
      <w:r w:rsidR="00E8128F">
        <w:rPr>
          <w:sz w:val="36"/>
          <w:szCs w:val="36"/>
          <w:rtl/>
        </w:rPr>
        <w:t xml:space="preserve"> </w:t>
      </w:r>
      <w:r w:rsidR="004535AB" w:rsidRPr="00FD211F">
        <w:rPr>
          <w:sz w:val="36"/>
          <w:szCs w:val="36"/>
          <w:rtl/>
        </w:rPr>
        <w:t>يدخل</w:t>
      </w:r>
      <w:r w:rsidR="00E8128F">
        <w:rPr>
          <w:sz w:val="36"/>
          <w:szCs w:val="36"/>
          <w:rtl/>
        </w:rPr>
        <w:t xml:space="preserve"> </w:t>
      </w:r>
      <w:r w:rsidR="004535AB" w:rsidRPr="00FD211F">
        <w:rPr>
          <w:sz w:val="36"/>
          <w:szCs w:val="36"/>
          <w:rtl/>
        </w:rPr>
        <w:t>مباحث</w:t>
      </w:r>
      <w:r w:rsidR="00E8128F">
        <w:rPr>
          <w:sz w:val="36"/>
          <w:szCs w:val="36"/>
          <w:rtl/>
        </w:rPr>
        <w:t xml:space="preserve"> </w:t>
      </w:r>
      <w:r w:rsidR="004535AB" w:rsidRPr="00FD211F">
        <w:rPr>
          <w:sz w:val="36"/>
          <w:szCs w:val="36"/>
          <w:rtl/>
        </w:rPr>
        <w:t>الاصول</w:t>
      </w:r>
      <w:r w:rsidR="00E8128F">
        <w:rPr>
          <w:sz w:val="36"/>
          <w:szCs w:val="36"/>
          <w:rtl/>
        </w:rPr>
        <w:t xml:space="preserve"> </w:t>
      </w:r>
      <w:r w:rsidR="004535AB" w:rsidRPr="00FD211F">
        <w:rPr>
          <w:sz w:val="36"/>
          <w:szCs w:val="36"/>
          <w:rtl/>
        </w:rPr>
        <w:t>العملي</w:t>
      </w:r>
      <w:r w:rsidR="00EC7EDF" w:rsidRPr="00FD211F">
        <w:rPr>
          <w:sz w:val="36"/>
          <w:szCs w:val="36"/>
          <w:rtl/>
        </w:rPr>
        <w:t>ة</w:t>
      </w:r>
      <w:r w:rsidR="00E8128F">
        <w:rPr>
          <w:sz w:val="36"/>
          <w:szCs w:val="36"/>
          <w:rtl/>
        </w:rPr>
        <w:t xml:space="preserve"> </w:t>
      </w:r>
      <w:r w:rsidR="004535AB" w:rsidRPr="00FD211F">
        <w:rPr>
          <w:sz w:val="36"/>
          <w:szCs w:val="36"/>
          <w:rtl/>
        </w:rPr>
        <w:t>وحجي</w:t>
      </w:r>
      <w:r w:rsidR="00EC7EDF" w:rsidRPr="00FD211F">
        <w:rPr>
          <w:sz w:val="36"/>
          <w:szCs w:val="36"/>
          <w:rtl/>
        </w:rPr>
        <w:t>ة</w:t>
      </w:r>
      <w:r w:rsidR="00E8128F">
        <w:rPr>
          <w:sz w:val="36"/>
          <w:szCs w:val="36"/>
          <w:rtl/>
        </w:rPr>
        <w:t xml:space="preserve"> </w:t>
      </w:r>
      <w:r w:rsidR="004535AB" w:rsidRPr="00FD211F">
        <w:rPr>
          <w:sz w:val="36"/>
          <w:szCs w:val="36"/>
          <w:rtl/>
        </w:rPr>
        <w:t>الظن</w:t>
      </w:r>
      <w:r w:rsidR="00E8128F">
        <w:rPr>
          <w:sz w:val="36"/>
          <w:szCs w:val="36"/>
          <w:rtl/>
        </w:rPr>
        <w:t xml:space="preserve"> </w:t>
      </w:r>
      <w:r w:rsidR="004535AB" w:rsidRPr="00FD211F">
        <w:rPr>
          <w:sz w:val="36"/>
          <w:szCs w:val="36"/>
          <w:rtl/>
        </w:rPr>
        <w:t>على</w:t>
      </w:r>
      <w:r w:rsidR="00E8128F">
        <w:rPr>
          <w:sz w:val="36"/>
          <w:szCs w:val="36"/>
          <w:rtl/>
        </w:rPr>
        <w:t xml:space="preserve"> </w:t>
      </w:r>
      <w:r w:rsidR="004535AB" w:rsidRPr="00FD211F">
        <w:rPr>
          <w:sz w:val="36"/>
          <w:szCs w:val="36"/>
          <w:rtl/>
        </w:rPr>
        <w:t>مسلك</w:t>
      </w:r>
      <w:r w:rsidR="00E8128F">
        <w:rPr>
          <w:sz w:val="36"/>
          <w:szCs w:val="36"/>
          <w:rtl/>
        </w:rPr>
        <w:t xml:space="preserve"> </w:t>
      </w:r>
      <w:r w:rsidR="004535AB" w:rsidRPr="00FD211F">
        <w:rPr>
          <w:sz w:val="36"/>
          <w:szCs w:val="36"/>
          <w:rtl/>
        </w:rPr>
        <w:t>الحكوم</w:t>
      </w:r>
      <w:r w:rsidR="00EC7EDF" w:rsidRPr="00FD211F">
        <w:rPr>
          <w:sz w:val="36"/>
          <w:szCs w:val="36"/>
          <w:rtl/>
        </w:rPr>
        <w:t>ة</w:t>
      </w:r>
      <w:r w:rsidR="00E8128F">
        <w:rPr>
          <w:sz w:val="36"/>
          <w:szCs w:val="36"/>
          <w:rtl/>
        </w:rPr>
        <w:t xml:space="preserve"> </w:t>
      </w:r>
      <w:r w:rsidR="004535AB" w:rsidRPr="00FD211F">
        <w:rPr>
          <w:sz w:val="36"/>
          <w:szCs w:val="36"/>
          <w:rtl/>
        </w:rPr>
        <w:t>في</w:t>
      </w:r>
      <w:r w:rsidR="00E8128F">
        <w:rPr>
          <w:sz w:val="36"/>
          <w:szCs w:val="36"/>
          <w:rtl/>
        </w:rPr>
        <w:t xml:space="preserve"> </w:t>
      </w:r>
      <w:r w:rsidR="004535AB" w:rsidRPr="00FD211F">
        <w:rPr>
          <w:sz w:val="36"/>
          <w:szCs w:val="36"/>
          <w:rtl/>
        </w:rPr>
        <w:t>التعريف</w:t>
      </w:r>
      <w:r w:rsidR="00E8128F">
        <w:rPr>
          <w:sz w:val="36"/>
          <w:szCs w:val="36"/>
          <w:rtl/>
        </w:rPr>
        <w:t xml:space="preserve"> </w:t>
      </w:r>
      <w:r w:rsidR="004535AB" w:rsidRPr="00FD211F">
        <w:rPr>
          <w:sz w:val="36"/>
          <w:szCs w:val="36"/>
          <w:rtl/>
        </w:rPr>
        <w:t>من</w:t>
      </w:r>
      <w:r w:rsidR="00E8128F">
        <w:rPr>
          <w:sz w:val="36"/>
          <w:szCs w:val="36"/>
          <w:rtl/>
        </w:rPr>
        <w:t xml:space="preserve"> </w:t>
      </w:r>
      <w:r w:rsidR="004535AB" w:rsidRPr="00FD211F">
        <w:rPr>
          <w:sz w:val="36"/>
          <w:szCs w:val="36"/>
          <w:rtl/>
        </w:rPr>
        <w:t>دون</w:t>
      </w:r>
      <w:r w:rsidR="00E8128F">
        <w:rPr>
          <w:sz w:val="36"/>
          <w:szCs w:val="36"/>
          <w:rtl/>
        </w:rPr>
        <w:t xml:space="preserve"> </w:t>
      </w:r>
      <w:r w:rsidR="004535AB" w:rsidRPr="00FD211F">
        <w:rPr>
          <w:sz w:val="36"/>
          <w:szCs w:val="36"/>
          <w:rtl/>
        </w:rPr>
        <w:t>حاج</w:t>
      </w:r>
      <w:r w:rsidR="00EC7EDF" w:rsidRPr="00FD211F">
        <w:rPr>
          <w:sz w:val="36"/>
          <w:szCs w:val="36"/>
          <w:rtl/>
        </w:rPr>
        <w:t>ة</w:t>
      </w:r>
      <w:r w:rsidR="00E8128F">
        <w:rPr>
          <w:sz w:val="36"/>
          <w:szCs w:val="36"/>
          <w:rtl/>
        </w:rPr>
        <w:t xml:space="preserve"> </w:t>
      </w:r>
      <w:r w:rsidR="004535AB" w:rsidRPr="00FD211F">
        <w:rPr>
          <w:sz w:val="36"/>
          <w:szCs w:val="36"/>
          <w:rtl/>
        </w:rPr>
        <w:t>الى</w:t>
      </w:r>
      <w:r w:rsidR="00E8128F">
        <w:rPr>
          <w:sz w:val="36"/>
          <w:szCs w:val="36"/>
          <w:rtl/>
        </w:rPr>
        <w:t xml:space="preserve"> </w:t>
      </w:r>
      <w:r w:rsidR="004535AB" w:rsidRPr="00FD211F">
        <w:rPr>
          <w:sz w:val="36"/>
          <w:szCs w:val="36"/>
          <w:rtl/>
        </w:rPr>
        <w:t>تتميم</w:t>
      </w:r>
      <w:r w:rsidR="00E8128F">
        <w:rPr>
          <w:sz w:val="36"/>
          <w:szCs w:val="36"/>
          <w:rtl/>
        </w:rPr>
        <w:t xml:space="preserve"> </w:t>
      </w:r>
      <w:r w:rsidR="004535AB" w:rsidRPr="00FD211F">
        <w:rPr>
          <w:sz w:val="36"/>
          <w:szCs w:val="36"/>
          <w:rtl/>
        </w:rPr>
        <w:t>تعريف</w:t>
      </w:r>
      <w:r w:rsidR="00E8128F">
        <w:rPr>
          <w:sz w:val="36"/>
          <w:szCs w:val="36"/>
          <w:rtl/>
        </w:rPr>
        <w:t xml:space="preserve"> </w:t>
      </w:r>
      <w:r w:rsidR="004535AB" w:rsidRPr="00FD211F">
        <w:rPr>
          <w:sz w:val="36"/>
          <w:szCs w:val="36"/>
          <w:rtl/>
        </w:rPr>
        <w:t>المشهور</w:t>
      </w:r>
      <w:r w:rsidR="00E8128F">
        <w:rPr>
          <w:sz w:val="36"/>
          <w:szCs w:val="36"/>
          <w:rtl/>
        </w:rPr>
        <w:t xml:space="preserve"> </w:t>
      </w:r>
      <w:r w:rsidR="004535AB" w:rsidRPr="00FD211F">
        <w:rPr>
          <w:sz w:val="36"/>
          <w:szCs w:val="36"/>
          <w:rtl/>
        </w:rPr>
        <w:t>ابدا</w:t>
      </w:r>
      <w:r w:rsidR="007E5BF7" w:rsidRPr="00FD211F">
        <w:rPr>
          <w:sz w:val="36"/>
          <w:szCs w:val="36"/>
          <w:rtl/>
        </w:rPr>
        <w:t>.</w:t>
      </w:r>
    </w:p>
    <w:p w14:paraId="3C63D9DF" w14:textId="77777777" w:rsidR="00690A47" w:rsidRPr="00FD211F" w:rsidRDefault="00CA26A2" w:rsidP="009C58C8">
      <w:pPr>
        <w:ind w:left="0" w:firstLine="227"/>
        <w:jc w:val="both"/>
        <w:rPr>
          <w:sz w:val="36"/>
          <w:szCs w:val="36"/>
          <w:rtl/>
        </w:rPr>
      </w:pPr>
      <w:r w:rsidRPr="00FD211F">
        <w:rPr>
          <w:sz w:val="36"/>
          <w:szCs w:val="36"/>
          <w:rtl/>
        </w:rPr>
        <w:t>و</w:t>
      </w:r>
      <w:r w:rsidR="00690A47" w:rsidRPr="00FD211F">
        <w:rPr>
          <w:sz w:val="36"/>
          <w:szCs w:val="36"/>
          <w:rtl/>
        </w:rPr>
        <w:t>اجاب</w:t>
      </w:r>
      <w:r w:rsidR="00E8128F">
        <w:rPr>
          <w:sz w:val="36"/>
          <w:szCs w:val="36"/>
          <w:rtl/>
        </w:rPr>
        <w:t xml:space="preserve"> </w:t>
      </w:r>
      <w:r w:rsidRPr="00FD211F">
        <w:rPr>
          <w:sz w:val="36"/>
          <w:szCs w:val="36"/>
          <w:rtl/>
        </w:rPr>
        <w:t>بعض</w:t>
      </w:r>
      <w:r w:rsidR="00E8128F">
        <w:rPr>
          <w:sz w:val="36"/>
          <w:szCs w:val="36"/>
          <w:rtl/>
        </w:rPr>
        <w:t xml:space="preserve"> </w:t>
      </w:r>
      <w:r w:rsidRPr="00FD211F">
        <w:rPr>
          <w:sz w:val="36"/>
          <w:szCs w:val="36"/>
          <w:rtl/>
        </w:rPr>
        <w:t>الاعلام</w:t>
      </w:r>
      <w:r w:rsidR="00E8128F">
        <w:rPr>
          <w:sz w:val="36"/>
          <w:szCs w:val="36"/>
          <w:rtl/>
        </w:rPr>
        <w:t xml:space="preserve"> </w:t>
      </w:r>
      <w:r w:rsidR="00EC7EDF" w:rsidRPr="00FD211F">
        <w:rPr>
          <w:sz w:val="36"/>
          <w:szCs w:val="36"/>
          <w:rtl/>
        </w:rPr>
        <w:t>"قده"</w:t>
      </w:r>
      <w:r w:rsidR="00E8128F">
        <w:rPr>
          <w:sz w:val="36"/>
          <w:szCs w:val="36"/>
          <w:rtl/>
        </w:rPr>
        <w:t xml:space="preserve"> </w:t>
      </w:r>
      <w:r w:rsidR="0057413B" w:rsidRPr="00FD211F">
        <w:rPr>
          <w:sz w:val="36"/>
          <w:szCs w:val="36"/>
          <w:rtl/>
        </w:rPr>
        <w:t>عن</w:t>
      </w:r>
      <w:r w:rsidR="00E8128F">
        <w:rPr>
          <w:sz w:val="36"/>
          <w:szCs w:val="36"/>
          <w:rtl/>
        </w:rPr>
        <w:t xml:space="preserve"> </w:t>
      </w:r>
      <w:r w:rsidR="0057413B" w:rsidRPr="00FD211F">
        <w:rPr>
          <w:sz w:val="36"/>
          <w:szCs w:val="36"/>
          <w:rtl/>
        </w:rPr>
        <w:t>اشكال</w:t>
      </w:r>
      <w:r w:rsidR="00E8128F">
        <w:rPr>
          <w:sz w:val="36"/>
          <w:szCs w:val="36"/>
          <w:rtl/>
        </w:rPr>
        <w:t xml:space="preserve"> </w:t>
      </w:r>
      <w:r w:rsidR="00690A47" w:rsidRPr="00FD211F">
        <w:rPr>
          <w:sz w:val="36"/>
          <w:szCs w:val="36"/>
          <w:rtl/>
        </w:rPr>
        <w:t>المحقق</w:t>
      </w:r>
      <w:r w:rsidR="00E8128F">
        <w:rPr>
          <w:sz w:val="36"/>
          <w:szCs w:val="36"/>
          <w:rtl/>
        </w:rPr>
        <w:t xml:space="preserve"> </w:t>
      </w:r>
      <w:r w:rsidR="00690A47" w:rsidRPr="00FD211F">
        <w:rPr>
          <w:sz w:val="36"/>
          <w:szCs w:val="36"/>
          <w:rtl/>
        </w:rPr>
        <w:t>الاصفهاني</w:t>
      </w:r>
      <w:r w:rsidR="00E8128F">
        <w:rPr>
          <w:sz w:val="36"/>
          <w:szCs w:val="36"/>
          <w:rtl/>
        </w:rPr>
        <w:t xml:space="preserve"> </w:t>
      </w:r>
      <w:r w:rsidR="00690A47" w:rsidRPr="00FD211F">
        <w:rPr>
          <w:sz w:val="36"/>
          <w:szCs w:val="36"/>
          <w:rtl/>
        </w:rPr>
        <w:t>على</w:t>
      </w:r>
      <w:r w:rsidR="00E8128F">
        <w:rPr>
          <w:sz w:val="36"/>
          <w:szCs w:val="36"/>
          <w:rtl/>
        </w:rPr>
        <w:t xml:space="preserve"> </w:t>
      </w:r>
      <w:r w:rsidR="00690A47" w:rsidRPr="00FD211F">
        <w:rPr>
          <w:sz w:val="36"/>
          <w:szCs w:val="36"/>
          <w:rtl/>
        </w:rPr>
        <w:t>ص</w:t>
      </w:r>
      <w:r w:rsidR="00AB1B12" w:rsidRPr="00FD211F">
        <w:rPr>
          <w:sz w:val="36"/>
          <w:szCs w:val="36"/>
          <w:rtl/>
        </w:rPr>
        <w:t>احب</w:t>
      </w:r>
      <w:r w:rsidR="00E8128F">
        <w:rPr>
          <w:sz w:val="36"/>
          <w:szCs w:val="36"/>
          <w:rtl/>
        </w:rPr>
        <w:t xml:space="preserve"> </w:t>
      </w:r>
      <w:r w:rsidR="00AB1B12" w:rsidRPr="00FD211F">
        <w:rPr>
          <w:sz w:val="36"/>
          <w:szCs w:val="36"/>
          <w:rtl/>
        </w:rPr>
        <w:t>الكفاي</w:t>
      </w:r>
      <w:r w:rsidR="00EC7EDF" w:rsidRPr="00FD211F">
        <w:rPr>
          <w:sz w:val="36"/>
          <w:szCs w:val="36"/>
          <w:rtl/>
        </w:rPr>
        <w:t>ة</w:t>
      </w:r>
      <w:r w:rsidR="00E8128F">
        <w:rPr>
          <w:sz w:val="36"/>
          <w:szCs w:val="36"/>
          <w:rtl/>
        </w:rPr>
        <w:t xml:space="preserve"> </w:t>
      </w:r>
      <w:r w:rsidR="00690A47" w:rsidRPr="00FD211F">
        <w:rPr>
          <w:sz w:val="36"/>
          <w:szCs w:val="36"/>
          <w:rtl/>
        </w:rPr>
        <w:t>بما</w:t>
      </w:r>
      <w:r w:rsidR="00E8128F">
        <w:rPr>
          <w:sz w:val="36"/>
          <w:szCs w:val="36"/>
          <w:rtl/>
        </w:rPr>
        <w:t xml:space="preserve"> </w:t>
      </w:r>
      <w:r w:rsidRPr="00FD211F">
        <w:rPr>
          <w:sz w:val="36"/>
          <w:szCs w:val="36"/>
          <w:rtl/>
        </w:rPr>
        <w:t>محصله: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تفسير</w:t>
      </w:r>
      <w:r w:rsidR="00E8128F">
        <w:rPr>
          <w:sz w:val="36"/>
          <w:szCs w:val="36"/>
          <w:rtl/>
        </w:rPr>
        <w:t xml:space="preserve"> </w:t>
      </w:r>
      <w:r w:rsidRPr="00FD211F">
        <w:rPr>
          <w:sz w:val="36"/>
          <w:szCs w:val="36"/>
          <w:rtl/>
        </w:rPr>
        <w:t>الاستنباط</w:t>
      </w:r>
      <w:r w:rsidR="00E8128F">
        <w:rPr>
          <w:sz w:val="36"/>
          <w:szCs w:val="36"/>
          <w:rtl/>
        </w:rPr>
        <w:t xml:space="preserve"> </w:t>
      </w:r>
      <w:r w:rsidR="00B53A7E" w:rsidRPr="00FD211F">
        <w:rPr>
          <w:sz w:val="36"/>
          <w:szCs w:val="36"/>
          <w:rtl/>
        </w:rPr>
        <w:t>ب</w:t>
      </w:r>
      <w:r w:rsidRPr="00FD211F">
        <w:rPr>
          <w:sz w:val="36"/>
          <w:szCs w:val="36"/>
          <w:rtl/>
        </w:rPr>
        <w:t>اقام</w:t>
      </w:r>
      <w:r w:rsidR="00EC7EDF" w:rsidRPr="00FD211F">
        <w:rPr>
          <w:sz w:val="36"/>
          <w:szCs w:val="36"/>
          <w:rtl/>
        </w:rPr>
        <w:t>ة</w:t>
      </w:r>
      <w:r w:rsidR="00E8128F">
        <w:rPr>
          <w:sz w:val="36"/>
          <w:szCs w:val="36"/>
          <w:rtl/>
        </w:rPr>
        <w:t xml:space="preserve"> </w:t>
      </w:r>
      <w:r w:rsidRPr="00FD211F">
        <w:rPr>
          <w:sz w:val="36"/>
          <w:szCs w:val="36"/>
          <w:rtl/>
        </w:rPr>
        <w:t>الحج</w:t>
      </w:r>
      <w:r w:rsidR="00EC7EDF" w:rsidRPr="00FD211F">
        <w:rPr>
          <w:sz w:val="36"/>
          <w:szCs w:val="36"/>
          <w:rtl/>
        </w:rPr>
        <w:t>ة</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يجدي</w:t>
      </w:r>
      <w:r w:rsidR="00E8128F">
        <w:rPr>
          <w:sz w:val="36"/>
          <w:szCs w:val="36"/>
          <w:rtl/>
        </w:rPr>
        <w:t xml:space="preserve"> </w:t>
      </w:r>
      <w:r w:rsidRPr="00FD211F">
        <w:rPr>
          <w:sz w:val="36"/>
          <w:szCs w:val="36"/>
          <w:rtl/>
        </w:rPr>
        <w:t>بحال</w:t>
      </w:r>
      <w:r w:rsidR="00E8128F">
        <w:rPr>
          <w:sz w:val="36"/>
          <w:szCs w:val="36"/>
          <w:rtl/>
        </w:rPr>
        <w:t xml:space="preserve"> </w:t>
      </w:r>
      <w:r w:rsidRPr="00FD211F">
        <w:rPr>
          <w:sz w:val="36"/>
          <w:szCs w:val="36"/>
          <w:rtl/>
        </w:rPr>
        <w:t>الامارات</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ويلزم</w:t>
      </w:r>
      <w:r w:rsidR="00E8128F">
        <w:rPr>
          <w:sz w:val="36"/>
          <w:szCs w:val="36"/>
          <w:rtl/>
        </w:rPr>
        <w:t xml:space="preserve"> </w:t>
      </w:r>
      <w:r w:rsidRPr="00FD211F">
        <w:rPr>
          <w:sz w:val="36"/>
          <w:szCs w:val="36"/>
          <w:rtl/>
        </w:rPr>
        <w:t>لمثل</w:t>
      </w:r>
      <w:r w:rsidR="00E8128F">
        <w:rPr>
          <w:sz w:val="36"/>
          <w:szCs w:val="36"/>
          <w:rtl/>
        </w:rPr>
        <w:t xml:space="preserve"> </w:t>
      </w:r>
      <w:r w:rsidRPr="00FD211F">
        <w:rPr>
          <w:sz w:val="36"/>
          <w:szCs w:val="36"/>
          <w:rtl/>
        </w:rPr>
        <w:t>صاحب</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يرى</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الأمارات</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منجزيتها</w:t>
      </w:r>
      <w:r w:rsidR="00E8128F">
        <w:rPr>
          <w:sz w:val="36"/>
          <w:szCs w:val="36"/>
          <w:rtl/>
        </w:rPr>
        <w:t xml:space="preserve"> </w:t>
      </w:r>
      <w:r w:rsidRPr="00FD211F">
        <w:rPr>
          <w:sz w:val="36"/>
          <w:szCs w:val="36"/>
          <w:rtl/>
        </w:rPr>
        <w:t>ومعذريتها</w:t>
      </w:r>
      <w:r w:rsidR="00E8128F">
        <w:rPr>
          <w:sz w:val="36"/>
          <w:szCs w:val="36"/>
          <w:rtl/>
        </w:rPr>
        <w:t xml:space="preserve"> </w:t>
      </w:r>
      <w:r w:rsidRPr="00FD211F">
        <w:rPr>
          <w:sz w:val="36"/>
          <w:szCs w:val="36"/>
          <w:rtl/>
        </w:rPr>
        <w:t>لاكونها</w:t>
      </w:r>
      <w:r w:rsidR="00E8128F">
        <w:rPr>
          <w:sz w:val="36"/>
          <w:szCs w:val="36"/>
          <w:rtl/>
        </w:rPr>
        <w:t xml:space="preserve"> </w:t>
      </w:r>
      <w:r w:rsidRPr="00FD211F">
        <w:rPr>
          <w:sz w:val="36"/>
          <w:szCs w:val="36"/>
          <w:rtl/>
        </w:rPr>
        <w:t>علما</w:t>
      </w:r>
      <w:r w:rsidR="00E8128F">
        <w:rPr>
          <w:sz w:val="36"/>
          <w:szCs w:val="36"/>
          <w:rtl/>
        </w:rPr>
        <w:t xml:space="preserve"> </w:t>
      </w:r>
      <w:r w:rsidRPr="00FD211F">
        <w:rPr>
          <w:sz w:val="36"/>
          <w:szCs w:val="36"/>
          <w:rtl/>
        </w:rPr>
        <w:t>بالواقع</w:t>
      </w:r>
      <w:r w:rsidR="00E8128F">
        <w:rPr>
          <w:sz w:val="36"/>
          <w:szCs w:val="36"/>
          <w:rtl/>
        </w:rPr>
        <w:t xml:space="preserve"> </w:t>
      </w:r>
      <w:r w:rsidRPr="00FD211F">
        <w:rPr>
          <w:sz w:val="36"/>
          <w:szCs w:val="36"/>
          <w:rtl/>
        </w:rPr>
        <w:t>تعبدا</w:t>
      </w:r>
      <w:r w:rsidR="00E8128F">
        <w:rPr>
          <w:sz w:val="36"/>
          <w:szCs w:val="36"/>
          <w:rtl/>
        </w:rPr>
        <w:t xml:space="preserve"> </w:t>
      </w:r>
      <w:r w:rsidRPr="00FD211F">
        <w:rPr>
          <w:sz w:val="36"/>
          <w:szCs w:val="36"/>
          <w:rtl/>
        </w:rPr>
        <w:t>واعتبارا</w:t>
      </w:r>
      <w:r w:rsidR="00603323" w:rsidRPr="00FD211F">
        <w:rPr>
          <w:sz w:val="36"/>
          <w:szCs w:val="36"/>
          <w:rtl/>
        </w:rPr>
        <w:t>،</w:t>
      </w:r>
      <w:r w:rsidR="00E8128F">
        <w:rPr>
          <w:sz w:val="36"/>
          <w:szCs w:val="36"/>
          <w:rtl/>
        </w:rPr>
        <w:t xml:space="preserve"> </w:t>
      </w:r>
      <w:r w:rsidRPr="00FD211F">
        <w:rPr>
          <w:sz w:val="36"/>
          <w:szCs w:val="36"/>
          <w:rtl/>
        </w:rPr>
        <w:t>لكنه</w:t>
      </w:r>
      <w:r w:rsidR="00E8128F">
        <w:rPr>
          <w:sz w:val="36"/>
          <w:szCs w:val="36"/>
          <w:rtl/>
        </w:rPr>
        <w:t xml:space="preserve"> </w:t>
      </w:r>
      <w:r w:rsidRPr="00FD211F">
        <w:rPr>
          <w:sz w:val="36"/>
          <w:szCs w:val="36"/>
          <w:rtl/>
        </w:rPr>
        <w:t>لايجدي</w:t>
      </w:r>
      <w:r w:rsidR="00E8128F">
        <w:rPr>
          <w:sz w:val="36"/>
          <w:szCs w:val="36"/>
          <w:rtl/>
        </w:rPr>
        <w:t xml:space="preserve"> </w:t>
      </w:r>
      <w:r w:rsidRPr="00FD211F">
        <w:rPr>
          <w:sz w:val="36"/>
          <w:szCs w:val="36"/>
          <w:rtl/>
        </w:rPr>
        <w:t>بحال</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العملي</w:t>
      </w:r>
      <w:r w:rsidR="00EC7EDF" w:rsidRPr="00FD211F">
        <w:rPr>
          <w:sz w:val="36"/>
          <w:szCs w:val="36"/>
          <w:rtl/>
        </w:rPr>
        <w:t>ة</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الظن</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مسلك</w:t>
      </w:r>
      <w:r w:rsidR="00E8128F">
        <w:rPr>
          <w:sz w:val="36"/>
          <w:szCs w:val="36"/>
          <w:rtl/>
        </w:rPr>
        <w:t xml:space="preserve"> </w:t>
      </w:r>
      <w:r w:rsidRPr="00FD211F">
        <w:rPr>
          <w:sz w:val="36"/>
          <w:szCs w:val="36"/>
          <w:rtl/>
        </w:rPr>
        <w:t>الحكوم</w:t>
      </w:r>
      <w:r w:rsidR="00EC7EDF" w:rsidRPr="00FD211F">
        <w:rPr>
          <w:sz w:val="36"/>
          <w:szCs w:val="36"/>
          <w:rtl/>
        </w:rPr>
        <w:t>ة</w:t>
      </w:r>
      <w:r w:rsidR="00A61BAE" w:rsidRPr="00FD211F">
        <w:rPr>
          <w:sz w:val="36"/>
          <w:szCs w:val="36"/>
          <w:rtl/>
        </w:rPr>
        <w:t>.</w:t>
      </w:r>
    </w:p>
    <w:p w14:paraId="5DAA18F3" w14:textId="77777777" w:rsidR="00CA26A2" w:rsidRPr="00FD211F" w:rsidRDefault="00690A47" w:rsidP="009C58C8">
      <w:pPr>
        <w:ind w:left="0" w:firstLine="227"/>
        <w:jc w:val="both"/>
        <w:rPr>
          <w:sz w:val="36"/>
          <w:szCs w:val="36"/>
          <w:rtl/>
        </w:rPr>
      </w:pPr>
      <w:r w:rsidRPr="00FD211F">
        <w:rPr>
          <w:sz w:val="36"/>
          <w:szCs w:val="36"/>
          <w:rtl/>
        </w:rPr>
        <w:t>أما</w:t>
      </w:r>
      <w:r w:rsidR="00E8128F">
        <w:rPr>
          <w:sz w:val="36"/>
          <w:szCs w:val="36"/>
          <w:rtl/>
        </w:rPr>
        <w:t xml:space="preserve"> </w:t>
      </w:r>
      <w:r w:rsidRPr="00FD211F">
        <w:rPr>
          <w:sz w:val="36"/>
          <w:szCs w:val="36"/>
          <w:rtl/>
        </w:rPr>
        <w:t>الأصول</w:t>
      </w:r>
      <w:r w:rsidR="00E8128F">
        <w:rPr>
          <w:sz w:val="36"/>
          <w:szCs w:val="36"/>
          <w:rtl/>
        </w:rPr>
        <w:t xml:space="preserve"> </w:t>
      </w:r>
      <w:r w:rsidRPr="00FD211F">
        <w:rPr>
          <w:sz w:val="36"/>
          <w:szCs w:val="36"/>
          <w:rtl/>
        </w:rPr>
        <w:t>العملي</w:t>
      </w:r>
      <w:r w:rsidR="00EC7EDF" w:rsidRPr="00FD211F">
        <w:rPr>
          <w:sz w:val="36"/>
          <w:szCs w:val="36"/>
          <w:rtl/>
        </w:rPr>
        <w:t>ة</w:t>
      </w:r>
      <w:r w:rsidR="00E8128F">
        <w:rPr>
          <w:sz w:val="36"/>
          <w:szCs w:val="36"/>
          <w:rtl/>
        </w:rPr>
        <w:t xml:space="preserve"> </w:t>
      </w:r>
      <w:r w:rsidR="00CA26A2" w:rsidRPr="00FD211F">
        <w:rPr>
          <w:sz w:val="36"/>
          <w:szCs w:val="36"/>
          <w:rtl/>
        </w:rPr>
        <w:t>فل</w:t>
      </w:r>
      <w:r w:rsidR="001E21DD" w:rsidRPr="00FD211F">
        <w:rPr>
          <w:sz w:val="36"/>
          <w:szCs w:val="36"/>
          <w:rtl/>
        </w:rPr>
        <w:t>أ</w:t>
      </w:r>
      <w:r w:rsidR="00CA26A2" w:rsidRPr="00FD211F">
        <w:rPr>
          <w:sz w:val="36"/>
          <w:szCs w:val="36"/>
          <w:rtl/>
        </w:rPr>
        <w:t>ن</w:t>
      </w:r>
      <w:r w:rsidR="00E8128F">
        <w:rPr>
          <w:sz w:val="36"/>
          <w:szCs w:val="36"/>
          <w:rtl/>
        </w:rPr>
        <w:t xml:space="preserve"> </w:t>
      </w:r>
      <w:r w:rsidR="00CA26A2" w:rsidRPr="00FD211F">
        <w:rPr>
          <w:sz w:val="36"/>
          <w:szCs w:val="36"/>
          <w:rtl/>
        </w:rPr>
        <w:t>مسلك</w:t>
      </w:r>
      <w:r w:rsidR="00E8128F">
        <w:rPr>
          <w:sz w:val="36"/>
          <w:szCs w:val="36"/>
          <w:rtl/>
        </w:rPr>
        <w:t xml:space="preserve"> </w:t>
      </w:r>
      <w:r w:rsidR="00CA26A2" w:rsidRPr="00FD211F">
        <w:rPr>
          <w:sz w:val="36"/>
          <w:szCs w:val="36"/>
          <w:rtl/>
        </w:rPr>
        <w:t>صاحب</w:t>
      </w:r>
      <w:r w:rsidR="00E8128F">
        <w:rPr>
          <w:sz w:val="36"/>
          <w:szCs w:val="36"/>
          <w:rtl/>
        </w:rPr>
        <w:t xml:space="preserve"> </w:t>
      </w:r>
      <w:r w:rsidR="00CA26A2" w:rsidRPr="00FD211F">
        <w:rPr>
          <w:sz w:val="36"/>
          <w:szCs w:val="36"/>
          <w:rtl/>
        </w:rPr>
        <w:t>الكفاي</w:t>
      </w:r>
      <w:r w:rsidR="00EC7EDF" w:rsidRPr="00FD211F">
        <w:rPr>
          <w:sz w:val="36"/>
          <w:szCs w:val="36"/>
          <w:rtl/>
        </w:rPr>
        <w:t>ة</w:t>
      </w:r>
      <w:r w:rsidR="00E8128F">
        <w:rPr>
          <w:sz w:val="36"/>
          <w:szCs w:val="36"/>
          <w:rtl/>
        </w:rPr>
        <w:t xml:space="preserve"> </w:t>
      </w:r>
      <w:r w:rsidR="00CA26A2" w:rsidRPr="00FD211F">
        <w:rPr>
          <w:sz w:val="36"/>
          <w:szCs w:val="36"/>
          <w:rtl/>
        </w:rPr>
        <w:t>-على</w:t>
      </w:r>
      <w:r w:rsidR="00E8128F">
        <w:rPr>
          <w:sz w:val="36"/>
          <w:szCs w:val="36"/>
          <w:rtl/>
        </w:rPr>
        <w:t xml:space="preserve"> </w:t>
      </w:r>
      <w:r w:rsidR="00CA26A2" w:rsidRPr="00FD211F">
        <w:rPr>
          <w:sz w:val="36"/>
          <w:szCs w:val="36"/>
          <w:rtl/>
        </w:rPr>
        <w:t>ما</w:t>
      </w:r>
      <w:r w:rsidR="00E8128F">
        <w:rPr>
          <w:sz w:val="36"/>
          <w:szCs w:val="36"/>
          <w:rtl/>
        </w:rPr>
        <w:t xml:space="preserve"> </w:t>
      </w:r>
      <w:r w:rsidR="00CA26A2" w:rsidRPr="00FD211F">
        <w:rPr>
          <w:sz w:val="36"/>
          <w:szCs w:val="36"/>
          <w:rtl/>
        </w:rPr>
        <w:t>ذكره</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مبحث</w:t>
      </w:r>
      <w:r w:rsidR="00E8128F">
        <w:rPr>
          <w:sz w:val="36"/>
          <w:szCs w:val="36"/>
          <w:rtl/>
        </w:rPr>
        <w:t xml:space="preserve"> </w:t>
      </w:r>
      <w:r w:rsidR="00CA26A2" w:rsidRPr="00FD211F">
        <w:rPr>
          <w:sz w:val="36"/>
          <w:szCs w:val="36"/>
          <w:rtl/>
        </w:rPr>
        <w:t>الجمع</w:t>
      </w:r>
      <w:r w:rsidR="00E8128F">
        <w:rPr>
          <w:sz w:val="36"/>
          <w:szCs w:val="36"/>
          <w:rtl/>
        </w:rPr>
        <w:t xml:space="preserve"> </w:t>
      </w:r>
      <w:r w:rsidR="00CA26A2" w:rsidRPr="00FD211F">
        <w:rPr>
          <w:sz w:val="36"/>
          <w:szCs w:val="36"/>
          <w:rtl/>
        </w:rPr>
        <w:t>بين</w:t>
      </w:r>
      <w:r w:rsidR="00E8128F">
        <w:rPr>
          <w:sz w:val="36"/>
          <w:szCs w:val="36"/>
          <w:rtl/>
        </w:rPr>
        <w:t xml:space="preserve"> </w:t>
      </w:r>
      <w:r w:rsidR="00CA26A2" w:rsidRPr="00FD211F">
        <w:rPr>
          <w:sz w:val="36"/>
          <w:szCs w:val="36"/>
          <w:rtl/>
        </w:rPr>
        <w:t>الحكم</w:t>
      </w:r>
      <w:r w:rsidR="00E8128F">
        <w:rPr>
          <w:sz w:val="36"/>
          <w:szCs w:val="36"/>
          <w:rtl/>
        </w:rPr>
        <w:t xml:space="preserve"> </w:t>
      </w:r>
      <w:r w:rsidR="00CA26A2" w:rsidRPr="00FD211F">
        <w:rPr>
          <w:sz w:val="36"/>
          <w:szCs w:val="36"/>
          <w:rtl/>
        </w:rPr>
        <w:t>الظاهري</w:t>
      </w:r>
      <w:r w:rsidR="00E8128F">
        <w:rPr>
          <w:sz w:val="36"/>
          <w:szCs w:val="36"/>
          <w:rtl/>
        </w:rPr>
        <w:t xml:space="preserve"> </w:t>
      </w:r>
      <w:r w:rsidR="00CA26A2" w:rsidRPr="00FD211F">
        <w:rPr>
          <w:sz w:val="36"/>
          <w:szCs w:val="36"/>
          <w:rtl/>
        </w:rPr>
        <w:t>والواقعي-</w:t>
      </w:r>
      <w:r w:rsidR="00E8128F">
        <w:rPr>
          <w:sz w:val="36"/>
          <w:szCs w:val="36"/>
          <w:rtl/>
        </w:rPr>
        <w:t xml:space="preserve"> </w:t>
      </w:r>
      <w:r w:rsidR="00CA26A2" w:rsidRPr="00FD211F">
        <w:rPr>
          <w:sz w:val="36"/>
          <w:szCs w:val="36"/>
          <w:rtl/>
        </w:rPr>
        <w:t>هو</w:t>
      </w:r>
      <w:r w:rsidR="00E8128F">
        <w:rPr>
          <w:sz w:val="36"/>
          <w:szCs w:val="36"/>
          <w:rtl/>
        </w:rPr>
        <w:t xml:space="preserve"> </w:t>
      </w:r>
      <w:r w:rsidR="00CA26A2" w:rsidRPr="00FD211F">
        <w:rPr>
          <w:sz w:val="36"/>
          <w:szCs w:val="36"/>
          <w:rtl/>
        </w:rPr>
        <w:t>عدم</w:t>
      </w:r>
      <w:r w:rsidR="00E8128F">
        <w:rPr>
          <w:sz w:val="36"/>
          <w:szCs w:val="36"/>
          <w:rtl/>
        </w:rPr>
        <w:t xml:space="preserve"> </w:t>
      </w:r>
      <w:r w:rsidR="00CA26A2" w:rsidRPr="00FD211F">
        <w:rPr>
          <w:sz w:val="36"/>
          <w:szCs w:val="36"/>
          <w:rtl/>
        </w:rPr>
        <w:t>فعلي</w:t>
      </w:r>
      <w:r w:rsidR="00EC7EDF" w:rsidRPr="00FD211F">
        <w:rPr>
          <w:sz w:val="36"/>
          <w:szCs w:val="36"/>
          <w:rtl/>
        </w:rPr>
        <w:t>ة</w:t>
      </w:r>
      <w:r w:rsidR="00E8128F">
        <w:rPr>
          <w:sz w:val="36"/>
          <w:szCs w:val="36"/>
          <w:rtl/>
        </w:rPr>
        <w:t xml:space="preserve"> </w:t>
      </w:r>
      <w:r w:rsidR="00CA26A2" w:rsidRPr="00FD211F">
        <w:rPr>
          <w:sz w:val="36"/>
          <w:szCs w:val="36"/>
          <w:rtl/>
        </w:rPr>
        <w:t>الحكم</w:t>
      </w:r>
      <w:r w:rsidR="00E8128F">
        <w:rPr>
          <w:sz w:val="36"/>
          <w:szCs w:val="36"/>
          <w:rtl/>
        </w:rPr>
        <w:t xml:space="preserve"> </w:t>
      </w:r>
      <w:r w:rsidR="00CA26A2" w:rsidRPr="00FD211F">
        <w:rPr>
          <w:sz w:val="36"/>
          <w:szCs w:val="36"/>
          <w:rtl/>
        </w:rPr>
        <w:t>الواقعي</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موارد</w:t>
      </w:r>
      <w:r w:rsidR="00E8128F">
        <w:rPr>
          <w:sz w:val="36"/>
          <w:szCs w:val="36"/>
          <w:rtl/>
        </w:rPr>
        <w:t xml:space="preserve"> </w:t>
      </w:r>
      <w:r w:rsidR="00CA26A2" w:rsidRPr="00FD211F">
        <w:rPr>
          <w:sz w:val="36"/>
          <w:szCs w:val="36"/>
          <w:rtl/>
        </w:rPr>
        <w:t>جريان</w:t>
      </w:r>
      <w:r w:rsidR="00E8128F">
        <w:rPr>
          <w:sz w:val="36"/>
          <w:szCs w:val="36"/>
          <w:rtl/>
        </w:rPr>
        <w:t xml:space="preserve"> </w:t>
      </w:r>
      <w:r w:rsidR="00CA26A2" w:rsidRPr="00FD211F">
        <w:rPr>
          <w:sz w:val="36"/>
          <w:szCs w:val="36"/>
          <w:rtl/>
        </w:rPr>
        <w:t>بعض</w:t>
      </w:r>
      <w:r w:rsidR="00E8128F">
        <w:rPr>
          <w:sz w:val="36"/>
          <w:szCs w:val="36"/>
          <w:rtl/>
        </w:rPr>
        <w:t xml:space="preserve"> </w:t>
      </w:r>
      <w:r w:rsidR="00CA26A2" w:rsidRPr="00FD211F">
        <w:rPr>
          <w:sz w:val="36"/>
          <w:szCs w:val="36"/>
          <w:rtl/>
        </w:rPr>
        <w:t>الاصول</w:t>
      </w:r>
      <w:r w:rsidR="00E8128F">
        <w:rPr>
          <w:sz w:val="36"/>
          <w:szCs w:val="36"/>
          <w:rtl/>
        </w:rPr>
        <w:t xml:space="preserve"> </w:t>
      </w:r>
      <w:r w:rsidR="00CA26A2" w:rsidRPr="00FD211F">
        <w:rPr>
          <w:sz w:val="36"/>
          <w:szCs w:val="36"/>
          <w:rtl/>
        </w:rPr>
        <w:t>العملي</w:t>
      </w:r>
      <w:r w:rsidR="00EC7EDF" w:rsidRPr="00FD211F">
        <w:rPr>
          <w:sz w:val="36"/>
          <w:szCs w:val="36"/>
          <w:rtl/>
        </w:rPr>
        <w:t>ة</w:t>
      </w:r>
      <w:r w:rsidR="00E8128F">
        <w:rPr>
          <w:sz w:val="36"/>
          <w:szCs w:val="36"/>
          <w:rtl/>
        </w:rPr>
        <w:t xml:space="preserve"> </w:t>
      </w:r>
      <w:r w:rsidR="00CA26A2" w:rsidRPr="00FD211F">
        <w:rPr>
          <w:sz w:val="36"/>
          <w:szCs w:val="36"/>
          <w:rtl/>
        </w:rPr>
        <w:t>التي</w:t>
      </w:r>
      <w:r w:rsidR="00E8128F">
        <w:rPr>
          <w:sz w:val="36"/>
          <w:szCs w:val="36"/>
          <w:rtl/>
        </w:rPr>
        <w:t xml:space="preserve"> </w:t>
      </w:r>
      <w:r w:rsidR="00CA26A2" w:rsidRPr="00FD211F">
        <w:rPr>
          <w:sz w:val="36"/>
          <w:szCs w:val="36"/>
          <w:rtl/>
        </w:rPr>
        <w:t>تكون</w:t>
      </w:r>
      <w:r w:rsidR="00E8128F">
        <w:rPr>
          <w:sz w:val="36"/>
          <w:szCs w:val="36"/>
          <w:rtl/>
        </w:rPr>
        <w:t xml:space="preserve"> </w:t>
      </w:r>
      <w:r w:rsidR="00CA26A2" w:rsidRPr="00FD211F">
        <w:rPr>
          <w:sz w:val="36"/>
          <w:szCs w:val="36"/>
          <w:rtl/>
        </w:rPr>
        <w:t>مفادها</w:t>
      </w:r>
      <w:r w:rsidR="00E8128F">
        <w:rPr>
          <w:sz w:val="36"/>
          <w:szCs w:val="36"/>
          <w:rtl/>
        </w:rPr>
        <w:t xml:space="preserve"> </w:t>
      </w:r>
      <w:r w:rsidR="00CA26A2" w:rsidRPr="00FD211F">
        <w:rPr>
          <w:sz w:val="36"/>
          <w:szCs w:val="36"/>
          <w:rtl/>
        </w:rPr>
        <w:t>إذن</w:t>
      </w:r>
      <w:r w:rsidR="00E8128F">
        <w:rPr>
          <w:sz w:val="36"/>
          <w:szCs w:val="36"/>
          <w:rtl/>
        </w:rPr>
        <w:t xml:space="preserve"> </w:t>
      </w:r>
      <w:r w:rsidR="00CA26A2" w:rsidRPr="00FD211F">
        <w:rPr>
          <w:sz w:val="36"/>
          <w:szCs w:val="36"/>
          <w:rtl/>
        </w:rPr>
        <w:t>الشارع</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ارتكاب</w:t>
      </w:r>
      <w:r w:rsidR="00E8128F">
        <w:rPr>
          <w:sz w:val="36"/>
          <w:szCs w:val="36"/>
          <w:rtl/>
        </w:rPr>
        <w:t xml:space="preserve"> </w:t>
      </w:r>
      <w:r w:rsidR="00CA26A2" w:rsidRPr="00FD211F">
        <w:rPr>
          <w:sz w:val="36"/>
          <w:szCs w:val="36"/>
          <w:rtl/>
        </w:rPr>
        <w:t>الشبه</w:t>
      </w:r>
      <w:r w:rsidR="00EC7EDF" w:rsidRPr="00FD211F">
        <w:rPr>
          <w:sz w:val="36"/>
          <w:szCs w:val="36"/>
          <w:rtl/>
        </w:rPr>
        <w:t>ة</w:t>
      </w:r>
      <w:r w:rsidR="00E8128F">
        <w:rPr>
          <w:sz w:val="36"/>
          <w:szCs w:val="36"/>
          <w:rtl/>
        </w:rPr>
        <w:t xml:space="preserve"> </w:t>
      </w:r>
      <w:r w:rsidR="00CA26A2" w:rsidRPr="00FD211F">
        <w:rPr>
          <w:sz w:val="36"/>
          <w:szCs w:val="36"/>
          <w:rtl/>
        </w:rPr>
        <w:t>كقاعد</w:t>
      </w:r>
      <w:r w:rsidR="00EC7EDF" w:rsidRPr="00FD211F">
        <w:rPr>
          <w:sz w:val="36"/>
          <w:szCs w:val="36"/>
          <w:rtl/>
        </w:rPr>
        <w:t>ة</w:t>
      </w:r>
      <w:r w:rsidR="00E8128F">
        <w:rPr>
          <w:sz w:val="36"/>
          <w:szCs w:val="36"/>
          <w:rtl/>
        </w:rPr>
        <w:t xml:space="preserve"> </w:t>
      </w:r>
      <w:r w:rsidR="00CA26A2" w:rsidRPr="00FD211F">
        <w:rPr>
          <w:sz w:val="36"/>
          <w:szCs w:val="36"/>
          <w:rtl/>
        </w:rPr>
        <w:t>الحل</w:t>
      </w:r>
      <w:r w:rsidR="00E8128F">
        <w:rPr>
          <w:sz w:val="36"/>
          <w:szCs w:val="36"/>
          <w:rtl/>
        </w:rPr>
        <w:t xml:space="preserve"> </w:t>
      </w:r>
      <w:r w:rsidR="00CA26A2" w:rsidRPr="00FD211F">
        <w:rPr>
          <w:sz w:val="36"/>
          <w:szCs w:val="36"/>
          <w:rtl/>
        </w:rPr>
        <w:t>(وقد</w:t>
      </w:r>
      <w:r w:rsidR="00E8128F">
        <w:rPr>
          <w:sz w:val="36"/>
          <w:szCs w:val="36"/>
          <w:rtl/>
        </w:rPr>
        <w:t xml:space="preserve"> </w:t>
      </w:r>
      <w:r w:rsidR="00CA26A2" w:rsidRPr="00FD211F">
        <w:rPr>
          <w:sz w:val="36"/>
          <w:szCs w:val="36"/>
          <w:rtl/>
        </w:rPr>
        <w:t>أضاف</w:t>
      </w:r>
      <w:r w:rsidR="00E8128F">
        <w:rPr>
          <w:sz w:val="36"/>
          <w:szCs w:val="36"/>
          <w:rtl/>
        </w:rPr>
        <w:t xml:space="preserve"> </w:t>
      </w:r>
      <w:r w:rsidR="00CA26A2" w:rsidRPr="00FD211F">
        <w:rPr>
          <w:sz w:val="36"/>
          <w:szCs w:val="36"/>
          <w:rtl/>
        </w:rPr>
        <w:t>اليها</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حاشي</w:t>
      </w:r>
      <w:r w:rsidR="00EC7EDF" w:rsidRPr="00FD211F">
        <w:rPr>
          <w:sz w:val="36"/>
          <w:szCs w:val="36"/>
          <w:rtl/>
        </w:rPr>
        <w:t>ة</w:t>
      </w:r>
      <w:r w:rsidR="00E8128F">
        <w:rPr>
          <w:sz w:val="36"/>
          <w:szCs w:val="36"/>
          <w:rtl/>
        </w:rPr>
        <w:t xml:space="preserve"> </w:t>
      </w:r>
      <w:r w:rsidR="00CA26A2" w:rsidRPr="00FD211F">
        <w:rPr>
          <w:sz w:val="36"/>
          <w:szCs w:val="36"/>
          <w:rtl/>
        </w:rPr>
        <w:t>الرسائل</w:t>
      </w:r>
      <w:r w:rsidR="00E8128F">
        <w:rPr>
          <w:sz w:val="36"/>
          <w:szCs w:val="36"/>
          <w:rtl/>
        </w:rPr>
        <w:t xml:space="preserve"> </w:t>
      </w:r>
      <w:r w:rsidR="00CA26A2" w:rsidRPr="00FD211F">
        <w:rPr>
          <w:sz w:val="36"/>
          <w:szCs w:val="36"/>
          <w:rtl/>
        </w:rPr>
        <w:t>الاستصحاب</w:t>
      </w:r>
      <w:r w:rsidR="00E8128F">
        <w:rPr>
          <w:sz w:val="36"/>
          <w:szCs w:val="36"/>
          <w:rtl/>
        </w:rPr>
        <w:t xml:space="preserve"> </w:t>
      </w:r>
      <w:r w:rsidR="00CA26A2" w:rsidRPr="00FD211F">
        <w:rPr>
          <w:sz w:val="36"/>
          <w:szCs w:val="36"/>
          <w:rtl/>
        </w:rPr>
        <w:t>والب</w:t>
      </w:r>
      <w:r w:rsidR="008D7B3D" w:rsidRPr="00FD211F">
        <w:rPr>
          <w:sz w:val="36"/>
          <w:szCs w:val="36"/>
          <w:rtl/>
        </w:rPr>
        <w:t>راءة</w:t>
      </w:r>
      <w:r w:rsidR="00E8128F">
        <w:rPr>
          <w:sz w:val="36"/>
          <w:szCs w:val="36"/>
          <w:rtl/>
        </w:rPr>
        <w:t xml:space="preserve"> </w:t>
      </w:r>
      <w:r w:rsidR="00CA26A2" w:rsidRPr="00FD211F">
        <w:rPr>
          <w:sz w:val="36"/>
          <w:szCs w:val="36"/>
          <w:rtl/>
        </w:rPr>
        <w:t>واصال</w:t>
      </w:r>
      <w:r w:rsidR="00EC7EDF" w:rsidRPr="00FD211F">
        <w:rPr>
          <w:sz w:val="36"/>
          <w:szCs w:val="36"/>
          <w:rtl/>
        </w:rPr>
        <w:t>ة</w:t>
      </w:r>
      <w:r w:rsidR="00E8128F">
        <w:rPr>
          <w:sz w:val="36"/>
          <w:szCs w:val="36"/>
          <w:rtl/>
        </w:rPr>
        <w:t xml:space="preserve"> </w:t>
      </w:r>
      <w:r w:rsidR="00CA26A2" w:rsidRPr="00FD211F">
        <w:rPr>
          <w:sz w:val="36"/>
          <w:szCs w:val="36"/>
          <w:rtl/>
        </w:rPr>
        <w:t>الطهار</w:t>
      </w:r>
      <w:r w:rsidR="00EC7EDF" w:rsidRPr="00FD211F">
        <w:rPr>
          <w:sz w:val="36"/>
          <w:szCs w:val="36"/>
          <w:rtl/>
        </w:rPr>
        <w:t>ة</w:t>
      </w:r>
      <w:r w:rsidR="00E8128F">
        <w:rPr>
          <w:sz w:val="36"/>
          <w:szCs w:val="36"/>
          <w:rtl/>
        </w:rPr>
        <w:t xml:space="preserve"> </w:t>
      </w:r>
      <w:r w:rsidR="00CA26A2" w:rsidRPr="00FD211F">
        <w:rPr>
          <w:sz w:val="36"/>
          <w:szCs w:val="36"/>
          <w:rtl/>
        </w:rPr>
        <w:t>)</w:t>
      </w:r>
      <w:r w:rsidR="00E8128F">
        <w:rPr>
          <w:sz w:val="36"/>
          <w:szCs w:val="36"/>
          <w:rtl/>
        </w:rPr>
        <w:t xml:space="preserve"> </w:t>
      </w:r>
      <w:r w:rsidR="00CA26A2" w:rsidRPr="00FD211F">
        <w:rPr>
          <w:sz w:val="36"/>
          <w:szCs w:val="36"/>
          <w:rtl/>
        </w:rPr>
        <w:t>فان</w:t>
      </w:r>
      <w:r w:rsidR="00E8128F">
        <w:rPr>
          <w:sz w:val="36"/>
          <w:szCs w:val="36"/>
          <w:rtl/>
        </w:rPr>
        <w:t xml:space="preserve"> </w:t>
      </w:r>
      <w:r w:rsidR="00CA26A2" w:rsidRPr="00FD211F">
        <w:rPr>
          <w:sz w:val="36"/>
          <w:szCs w:val="36"/>
          <w:rtl/>
        </w:rPr>
        <w:t>قاعد</w:t>
      </w:r>
      <w:r w:rsidR="00EC7EDF" w:rsidRPr="00FD211F">
        <w:rPr>
          <w:sz w:val="36"/>
          <w:szCs w:val="36"/>
          <w:rtl/>
        </w:rPr>
        <w:t>ة</w:t>
      </w:r>
      <w:r w:rsidR="00E8128F">
        <w:rPr>
          <w:sz w:val="36"/>
          <w:szCs w:val="36"/>
          <w:rtl/>
        </w:rPr>
        <w:t xml:space="preserve"> </w:t>
      </w:r>
      <w:r w:rsidR="00CA26A2" w:rsidRPr="00FD211F">
        <w:rPr>
          <w:sz w:val="36"/>
          <w:szCs w:val="36"/>
          <w:rtl/>
        </w:rPr>
        <w:t>الحل</w:t>
      </w:r>
      <w:r w:rsidR="00E8128F">
        <w:rPr>
          <w:sz w:val="36"/>
          <w:szCs w:val="36"/>
          <w:rtl/>
        </w:rPr>
        <w:t xml:space="preserve"> </w:t>
      </w:r>
      <w:r w:rsidR="00CA26A2" w:rsidRPr="00FD211F">
        <w:rPr>
          <w:sz w:val="36"/>
          <w:szCs w:val="36"/>
          <w:rtl/>
        </w:rPr>
        <w:t>اذا</w:t>
      </w:r>
      <w:r w:rsidR="00E8128F">
        <w:rPr>
          <w:sz w:val="36"/>
          <w:szCs w:val="36"/>
          <w:rtl/>
        </w:rPr>
        <w:t xml:space="preserve"> </w:t>
      </w:r>
      <w:r w:rsidR="00CA26A2" w:rsidRPr="00FD211F">
        <w:rPr>
          <w:sz w:val="36"/>
          <w:szCs w:val="36"/>
          <w:rtl/>
        </w:rPr>
        <w:t>جرت</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مورد</w:t>
      </w:r>
      <w:r w:rsidR="00E8128F">
        <w:rPr>
          <w:sz w:val="36"/>
          <w:szCs w:val="36"/>
          <w:rtl/>
        </w:rPr>
        <w:t xml:space="preserve"> </w:t>
      </w:r>
      <w:r w:rsidR="00CA26A2" w:rsidRPr="00FD211F">
        <w:rPr>
          <w:sz w:val="36"/>
          <w:szCs w:val="36"/>
          <w:rtl/>
        </w:rPr>
        <w:t>شرب</w:t>
      </w:r>
      <w:r w:rsidR="00E8128F">
        <w:rPr>
          <w:sz w:val="36"/>
          <w:szCs w:val="36"/>
          <w:rtl/>
        </w:rPr>
        <w:t xml:space="preserve"> </w:t>
      </w:r>
      <w:r w:rsidR="00CA26A2" w:rsidRPr="00FD211F">
        <w:rPr>
          <w:sz w:val="36"/>
          <w:szCs w:val="36"/>
          <w:rtl/>
        </w:rPr>
        <w:t>التتن</w:t>
      </w:r>
      <w:r w:rsidR="00E8128F">
        <w:rPr>
          <w:sz w:val="36"/>
          <w:szCs w:val="36"/>
          <w:rtl/>
        </w:rPr>
        <w:t xml:space="preserve"> </w:t>
      </w:r>
      <w:r w:rsidR="00CA26A2" w:rsidRPr="00FD211F">
        <w:rPr>
          <w:sz w:val="36"/>
          <w:szCs w:val="36"/>
          <w:rtl/>
        </w:rPr>
        <w:t>مثلا</w:t>
      </w:r>
      <w:r w:rsidR="00E8128F">
        <w:rPr>
          <w:sz w:val="36"/>
          <w:szCs w:val="36"/>
          <w:rtl/>
        </w:rPr>
        <w:t xml:space="preserve"> </w:t>
      </w:r>
      <w:r w:rsidR="00CA26A2" w:rsidRPr="00FD211F">
        <w:rPr>
          <w:sz w:val="36"/>
          <w:szCs w:val="36"/>
          <w:rtl/>
        </w:rPr>
        <w:t>فيكون</w:t>
      </w:r>
      <w:r w:rsidR="00E8128F">
        <w:rPr>
          <w:sz w:val="36"/>
          <w:szCs w:val="36"/>
          <w:rtl/>
        </w:rPr>
        <w:t xml:space="preserve"> </w:t>
      </w:r>
      <w:r w:rsidR="00CA26A2" w:rsidRPr="00FD211F">
        <w:rPr>
          <w:sz w:val="36"/>
          <w:szCs w:val="36"/>
          <w:rtl/>
        </w:rPr>
        <w:lastRenderedPageBreak/>
        <w:t>بمعنى</w:t>
      </w:r>
      <w:r w:rsidR="00E8128F">
        <w:rPr>
          <w:sz w:val="36"/>
          <w:szCs w:val="36"/>
          <w:rtl/>
        </w:rPr>
        <w:t xml:space="preserve"> </w:t>
      </w:r>
      <w:r w:rsidR="00CA26A2" w:rsidRPr="00FD211F">
        <w:rPr>
          <w:sz w:val="36"/>
          <w:szCs w:val="36"/>
          <w:rtl/>
        </w:rPr>
        <w:t>رضى</w:t>
      </w:r>
      <w:r w:rsidR="00E8128F">
        <w:rPr>
          <w:sz w:val="36"/>
          <w:szCs w:val="36"/>
          <w:rtl/>
        </w:rPr>
        <w:t xml:space="preserve"> </w:t>
      </w:r>
      <w:r w:rsidR="00CA26A2" w:rsidRPr="00FD211F">
        <w:rPr>
          <w:sz w:val="36"/>
          <w:szCs w:val="36"/>
          <w:rtl/>
        </w:rPr>
        <w:t>الشارع</w:t>
      </w:r>
      <w:r w:rsidR="00E8128F">
        <w:rPr>
          <w:sz w:val="36"/>
          <w:szCs w:val="36"/>
          <w:rtl/>
        </w:rPr>
        <w:t xml:space="preserve"> </w:t>
      </w:r>
      <w:r w:rsidR="00CA26A2" w:rsidRPr="00FD211F">
        <w:rPr>
          <w:sz w:val="36"/>
          <w:szCs w:val="36"/>
          <w:rtl/>
        </w:rPr>
        <w:t>بارتكابه</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فرض</w:t>
      </w:r>
      <w:r w:rsidR="00E8128F">
        <w:rPr>
          <w:sz w:val="36"/>
          <w:szCs w:val="36"/>
          <w:rtl/>
        </w:rPr>
        <w:t xml:space="preserve"> </w:t>
      </w:r>
      <w:r w:rsidR="00CA26A2" w:rsidRPr="00FD211F">
        <w:rPr>
          <w:sz w:val="36"/>
          <w:szCs w:val="36"/>
          <w:rtl/>
        </w:rPr>
        <w:t>الجهل</w:t>
      </w:r>
      <w:r w:rsidR="00603323" w:rsidRPr="00FD211F">
        <w:rPr>
          <w:sz w:val="36"/>
          <w:szCs w:val="36"/>
          <w:rtl/>
        </w:rPr>
        <w:t>،</w:t>
      </w:r>
      <w:r w:rsidR="00E8128F">
        <w:rPr>
          <w:sz w:val="36"/>
          <w:szCs w:val="36"/>
          <w:rtl/>
        </w:rPr>
        <w:t xml:space="preserve"> </w:t>
      </w:r>
      <w:r w:rsidR="00CA26A2" w:rsidRPr="00FD211F">
        <w:rPr>
          <w:sz w:val="36"/>
          <w:szCs w:val="36"/>
          <w:rtl/>
        </w:rPr>
        <w:t>وهذا</w:t>
      </w:r>
      <w:r w:rsidR="00E8128F">
        <w:rPr>
          <w:sz w:val="36"/>
          <w:szCs w:val="36"/>
          <w:rtl/>
        </w:rPr>
        <w:t xml:space="preserve"> </w:t>
      </w:r>
      <w:r w:rsidR="00CA26A2" w:rsidRPr="00FD211F">
        <w:rPr>
          <w:sz w:val="36"/>
          <w:szCs w:val="36"/>
          <w:rtl/>
        </w:rPr>
        <w:t>لايجتمع</w:t>
      </w:r>
      <w:r w:rsidR="00E8128F">
        <w:rPr>
          <w:sz w:val="36"/>
          <w:szCs w:val="36"/>
          <w:rtl/>
        </w:rPr>
        <w:t xml:space="preserve"> </w:t>
      </w:r>
      <w:r w:rsidR="00CA26A2" w:rsidRPr="00FD211F">
        <w:rPr>
          <w:sz w:val="36"/>
          <w:szCs w:val="36"/>
          <w:rtl/>
        </w:rPr>
        <w:t>مع</w:t>
      </w:r>
      <w:r w:rsidR="00E8128F">
        <w:rPr>
          <w:sz w:val="36"/>
          <w:szCs w:val="36"/>
          <w:rtl/>
        </w:rPr>
        <w:t xml:space="preserve"> </w:t>
      </w:r>
      <w:r w:rsidR="00CA26A2" w:rsidRPr="00FD211F">
        <w:rPr>
          <w:sz w:val="36"/>
          <w:szCs w:val="36"/>
          <w:rtl/>
        </w:rPr>
        <w:t>فعلي</w:t>
      </w:r>
      <w:r w:rsidR="00EC7EDF" w:rsidRPr="00FD211F">
        <w:rPr>
          <w:sz w:val="36"/>
          <w:szCs w:val="36"/>
          <w:rtl/>
        </w:rPr>
        <w:t>ة</w:t>
      </w:r>
      <w:r w:rsidR="00E8128F">
        <w:rPr>
          <w:sz w:val="36"/>
          <w:szCs w:val="36"/>
          <w:rtl/>
        </w:rPr>
        <w:t xml:space="preserve"> </w:t>
      </w:r>
      <w:r w:rsidR="00CA26A2" w:rsidRPr="00FD211F">
        <w:rPr>
          <w:sz w:val="36"/>
          <w:szCs w:val="36"/>
          <w:rtl/>
        </w:rPr>
        <w:t>حرمته</w:t>
      </w:r>
      <w:r w:rsidR="00E8128F">
        <w:rPr>
          <w:sz w:val="36"/>
          <w:szCs w:val="36"/>
          <w:rtl/>
        </w:rPr>
        <w:t xml:space="preserve"> </w:t>
      </w:r>
      <w:r w:rsidR="00CA26A2" w:rsidRPr="00FD211F">
        <w:rPr>
          <w:sz w:val="36"/>
          <w:szCs w:val="36"/>
          <w:rtl/>
        </w:rPr>
        <w:t>الواقعي</w:t>
      </w:r>
      <w:r w:rsidR="00EC7EDF" w:rsidRPr="00FD211F">
        <w:rPr>
          <w:sz w:val="36"/>
          <w:szCs w:val="36"/>
          <w:rtl/>
        </w:rPr>
        <w:t>ة</w:t>
      </w:r>
      <w:r w:rsidR="00603323" w:rsidRPr="00FD211F">
        <w:rPr>
          <w:sz w:val="36"/>
          <w:szCs w:val="36"/>
          <w:rtl/>
        </w:rPr>
        <w:t>،</w:t>
      </w:r>
      <w:r w:rsidR="00E8128F">
        <w:rPr>
          <w:sz w:val="36"/>
          <w:szCs w:val="36"/>
          <w:rtl/>
        </w:rPr>
        <w:t xml:space="preserve"> </w:t>
      </w:r>
      <w:r w:rsidR="00CA26A2" w:rsidRPr="00FD211F">
        <w:rPr>
          <w:sz w:val="36"/>
          <w:szCs w:val="36"/>
          <w:rtl/>
        </w:rPr>
        <w:t>حيث</w:t>
      </w:r>
      <w:r w:rsidR="00E8128F">
        <w:rPr>
          <w:sz w:val="36"/>
          <w:szCs w:val="36"/>
          <w:rtl/>
        </w:rPr>
        <w:t xml:space="preserve"> </w:t>
      </w:r>
      <w:r w:rsidR="00CA26A2" w:rsidRPr="00FD211F">
        <w:rPr>
          <w:sz w:val="36"/>
          <w:szCs w:val="36"/>
          <w:rtl/>
        </w:rPr>
        <w:t>ان</w:t>
      </w:r>
      <w:r w:rsidR="00E8128F">
        <w:rPr>
          <w:sz w:val="36"/>
          <w:szCs w:val="36"/>
          <w:rtl/>
        </w:rPr>
        <w:t xml:space="preserve"> </w:t>
      </w:r>
      <w:r w:rsidR="00CA26A2" w:rsidRPr="00FD211F">
        <w:rPr>
          <w:sz w:val="36"/>
          <w:szCs w:val="36"/>
          <w:rtl/>
        </w:rPr>
        <w:t>فعليتها</w:t>
      </w:r>
      <w:r w:rsidR="00E8128F">
        <w:rPr>
          <w:sz w:val="36"/>
          <w:szCs w:val="36"/>
          <w:rtl/>
        </w:rPr>
        <w:t xml:space="preserve"> </w:t>
      </w:r>
      <w:r w:rsidR="00CA26A2" w:rsidRPr="00FD211F">
        <w:rPr>
          <w:sz w:val="36"/>
          <w:szCs w:val="36"/>
          <w:rtl/>
        </w:rPr>
        <w:t>بمعنى</w:t>
      </w:r>
      <w:r w:rsidR="00E8128F">
        <w:rPr>
          <w:sz w:val="36"/>
          <w:szCs w:val="36"/>
          <w:rtl/>
        </w:rPr>
        <w:t xml:space="preserve"> </w:t>
      </w:r>
      <w:r w:rsidR="00CA26A2" w:rsidRPr="00FD211F">
        <w:rPr>
          <w:sz w:val="36"/>
          <w:szCs w:val="36"/>
          <w:rtl/>
        </w:rPr>
        <w:t>انقداح</w:t>
      </w:r>
      <w:r w:rsidR="00E8128F">
        <w:rPr>
          <w:sz w:val="36"/>
          <w:szCs w:val="36"/>
          <w:rtl/>
        </w:rPr>
        <w:t xml:space="preserve"> </w:t>
      </w:r>
      <w:r w:rsidR="00CA26A2" w:rsidRPr="00FD211F">
        <w:rPr>
          <w:sz w:val="36"/>
          <w:szCs w:val="36"/>
          <w:rtl/>
        </w:rPr>
        <w:t>الكراه</w:t>
      </w:r>
      <w:r w:rsidR="00EC7EDF" w:rsidRPr="00FD211F">
        <w:rPr>
          <w:sz w:val="36"/>
          <w:szCs w:val="36"/>
          <w:rtl/>
        </w:rPr>
        <w:t>ة</w:t>
      </w:r>
      <w:r w:rsidR="00E8128F">
        <w:rPr>
          <w:sz w:val="36"/>
          <w:szCs w:val="36"/>
          <w:rtl/>
        </w:rPr>
        <w:t xml:space="preserve"> </w:t>
      </w:r>
      <w:r w:rsidR="00CA26A2" w:rsidRPr="00FD211F">
        <w:rPr>
          <w:sz w:val="36"/>
          <w:szCs w:val="36"/>
          <w:rtl/>
        </w:rPr>
        <w:t>اللزومي</w:t>
      </w:r>
      <w:r w:rsidR="00EC7EDF" w:rsidRPr="00FD211F">
        <w:rPr>
          <w:sz w:val="36"/>
          <w:szCs w:val="36"/>
          <w:rtl/>
        </w:rPr>
        <w:t>ة</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نفس</w:t>
      </w:r>
      <w:r w:rsidR="00E8128F">
        <w:rPr>
          <w:sz w:val="36"/>
          <w:szCs w:val="36"/>
          <w:rtl/>
        </w:rPr>
        <w:t xml:space="preserve"> </w:t>
      </w:r>
      <w:r w:rsidR="00CA26A2" w:rsidRPr="00FD211F">
        <w:rPr>
          <w:sz w:val="36"/>
          <w:szCs w:val="36"/>
          <w:rtl/>
        </w:rPr>
        <w:t>المولى</w:t>
      </w:r>
      <w:r w:rsidR="00E8128F">
        <w:rPr>
          <w:sz w:val="36"/>
          <w:szCs w:val="36"/>
          <w:rtl/>
        </w:rPr>
        <w:t xml:space="preserve"> </w:t>
      </w:r>
      <w:r w:rsidR="00CA26A2" w:rsidRPr="00FD211F">
        <w:rPr>
          <w:sz w:val="36"/>
          <w:szCs w:val="36"/>
          <w:rtl/>
        </w:rPr>
        <w:t>بالنسب</w:t>
      </w:r>
      <w:r w:rsidR="00EC7EDF" w:rsidRPr="00FD211F">
        <w:rPr>
          <w:sz w:val="36"/>
          <w:szCs w:val="36"/>
          <w:rtl/>
        </w:rPr>
        <w:t>ة</w:t>
      </w:r>
      <w:r w:rsidR="00E8128F">
        <w:rPr>
          <w:sz w:val="36"/>
          <w:szCs w:val="36"/>
          <w:rtl/>
        </w:rPr>
        <w:t xml:space="preserve"> </w:t>
      </w:r>
      <w:r w:rsidR="00CA26A2" w:rsidRPr="00FD211F">
        <w:rPr>
          <w:sz w:val="36"/>
          <w:szCs w:val="36"/>
          <w:rtl/>
        </w:rPr>
        <w:t>الى</w:t>
      </w:r>
      <w:r w:rsidR="00E8128F">
        <w:rPr>
          <w:sz w:val="36"/>
          <w:szCs w:val="36"/>
          <w:rtl/>
        </w:rPr>
        <w:t xml:space="preserve"> </w:t>
      </w:r>
      <w:r w:rsidR="00CA26A2" w:rsidRPr="00FD211F">
        <w:rPr>
          <w:sz w:val="36"/>
          <w:szCs w:val="36"/>
          <w:rtl/>
        </w:rPr>
        <w:t>شرب</w:t>
      </w:r>
      <w:r w:rsidR="00E8128F">
        <w:rPr>
          <w:sz w:val="36"/>
          <w:szCs w:val="36"/>
          <w:rtl/>
        </w:rPr>
        <w:t xml:space="preserve"> </w:t>
      </w:r>
      <w:r w:rsidR="00CA26A2" w:rsidRPr="00FD211F">
        <w:rPr>
          <w:sz w:val="36"/>
          <w:szCs w:val="36"/>
          <w:rtl/>
        </w:rPr>
        <w:t>التتن</w:t>
      </w:r>
      <w:r w:rsidR="00E8128F">
        <w:rPr>
          <w:sz w:val="36"/>
          <w:szCs w:val="36"/>
          <w:rtl/>
        </w:rPr>
        <w:t xml:space="preserve"> </w:t>
      </w:r>
      <w:r w:rsidR="00CA26A2" w:rsidRPr="00FD211F">
        <w:rPr>
          <w:sz w:val="36"/>
          <w:szCs w:val="36"/>
          <w:rtl/>
        </w:rPr>
        <w:t>في</w:t>
      </w:r>
      <w:r w:rsidR="00E8128F">
        <w:rPr>
          <w:sz w:val="36"/>
          <w:szCs w:val="36"/>
          <w:rtl/>
        </w:rPr>
        <w:t xml:space="preserve"> </w:t>
      </w:r>
      <w:r w:rsidR="001E21DD" w:rsidRPr="00FD211F">
        <w:rPr>
          <w:sz w:val="36"/>
          <w:szCs w:val="36"/>
          <w:rtl/>
        </w:rPr>
        <w:t>هذا</w:t>
      </w:r>
      <w:r w:rsidR="00E8128F">
        <w:rPr>
          <w:sz w:val="36"/>
          <w:szCs w:val="36"/>
          <w:rtl/>
        </w:rPr>
        <w:t xml:space="preserve"> </w:t>
      </w:r>
      <w:r w:rsidR="001E21DD" w:rsidRPr="00FD211F">
        <w:rPr>
          <w:sz w:val="36"/>
          <w:szCs w:val="36"/>
          <w:rtl/>
        </w:rPr>
        <w:t>الحال</w:t>
      </w:r>
      <w:r w:rsidR="00E8128F">
        <w:rPr>
          <w:sz w:val="36"/>
          <w:szCs w:val="36"/>
          <w:rtl/>
        </w:rPr>
        <w:t xml:space="preserve"> </w:t>
      </w:r>
      <w:r w:rsidR="001E21DD" w:rsidRPr="00FD211F">
        <w:rPr>
          <w:sz w:val="36"/>
          <w:szCs w:val="36"/>
          <w:rtl/>
        </w:rPr>
        <w:t>بنحو</w:t>
      </w:r>
      <w:r w:rsidR="00E8128F">
        <w:rPr>
          <w:sz w:val="36"/>
          <w:szCs w:val="36"/>
          <w:rtl/>
        </w:rPr>
        <w:t xml:space="preserve"> </w:t>
      </w:r>
      <w:r w:rsidR="001E21DD" w:rsidRPr="00FD211F">
        <w:rPr>
          <w:sz w:val="36"/>
          <w:szCs w:val="36"/>
          <w:rtl/>
        </w:rPr>
        <w:t>لايرضى</w:t>
      </w:r>
      <w:r w:rsidR="00E8128F">
        <w:rPr>
          <w:sz w:val="36"/>
          <w:szCs w:val="36"/>
          <w:rtl/>
        </w:rPr>
        <w:t xml:space="preserve"> </w:t>
      </w:r>
      <w:r w:rsidR="001E21DD" w:rsidRPr="00FD211F">
        <w:rPr>
          <w:sz w:val="36"/>
          <w:szCs w:val="36"/>
          <w:rtl/>
        </w:rPr>
        <w:t>بارتكابه</w:t>
      </w:r>
      <w:r w:rsidR="009C58C8" w:rsidRPr="00FD211F">
        <w:rPr>
          <w:rStyle w:val="a6"/>
          <w:sz w:val="36"/>
          <w:szCs w:val="36"/>
          <w:rtl/>
        </w:rPr>
        <w:t>(</w:t>
      </w:r>
      <w:r w:rsidR="009C58C8" w:rsidRPr="00FD211F">
        <w:rPr>
          <w:rStyle w:val="a6"/>
          <w:sz w:val="36"/>
          <w:szCs w:val="36"/>
          <w:rtl/>
        </w:rPr>
        <w:footnoteReference w:id="4"/>
      </w:r>
      <w:r w:rsidR="009C58C8" w:rsidRPr="00FD211F">
        <w:rPr>
          <w:rStyle w:val="a6"/>
          <w:sz w:val="36"/>
          <w:szCs w:val="36"/>
          <w:rtl/>
        </w:rPr>
        <w:t>)</w:t>
      </w:r>
      <w:r w:rsidR="00CA26A2" w:rsidRPr="00FD211F">
        <w:rPr>
          <w:sz w:val="36"/>
          <w:szCs w:val="36"/>
          <w:rtl/>
        </w:rPr>
        <w:t>.</w:t>
      </w:r>
    </w:p>
    <w:p w14:paraId="618C136B" w14:textId="77777777" w:rsidR="00CA26A2" w:rsidRPr="00FD211F" w:rsidRDefault="00CA26A2" w:rsidP="009C58C8">
      <w:pPr>
        <w:ind w:left="0" w:firstLine="227"/>
        <w:jc w:val="both"/>
        <w:rPr>
          <w:sz w:val="36"/>
          <w:szCs w:val="36"/>
          <w:rtl/>
        </w:rPr>
      </w:pPr>
      <w:r w:rsidRPr="00FD211F">
        <w:rPr>
          <w:sz w:val="36"/>
          <w:szCs w:val="36"/>
          <w:rtl/>
        </w:rPr>
        <w:t>فبناء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المسلك</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الحلي</w:t>
      </w:r>
      <w:r w:rsidR="00EC7EDF" w:rsidRPr="00FD211F">
        <w:rPr>
          <w:sz w:val="36"/>
          <w:szCs w:val="36"/>
          <w:rtl/>
        </w:rPr>
        <w:t>ة</w:t>
      </w:r>
      <w:r w:rsidR="00E8128F">
        <w:rPr>
          <w:sz w:val="36"/>
          <w:szCs w:val="36"/>
          <w:rtl/>
        </w:rPr>
        <w:t xml:space="preserve"> </w:t>
      </w:r>
      <w:r w:rsidRPr="00FD211F">
        <w:rPr>
          <w:sz w:val="36"/>
          <w:szCs w:val="36"/>
          <w:rtl/>
        </w:rPr>
        <w:t>الظاهري</w:t>
      </w:r>
      <w:r w:rsidR="00EC7EDF" w:rsidRPr="00FD211F">
        <w:rPr>
          <w:sz w:val="36"/>
          <w:szCs w:val="36"/>
          <w:rtl/>
        </w:rPr>
        <w:t>ة</w:t>
      </w:r>
      <w:r w:rsidR="00E8128F">
        <w:rPr>
          <w:sz w:val="36"/>
          <w:szCs w:val="36"/>
          <w:rtl/>
        </w:rPr>
        <w:t xml:space="preserve"> </w:t>
      </w:r>
      <w:r w:rsidRPr="00FD211F">
        <w:rPr>
          <w:sz w:val="36"/>
          <w:szCs w:val="36"/>
          <w:rtl/>
        </w:rPr>
        <w:t>مضادّ</w:t>
      </w:r>
      <w:r w:rsidR="00EC7EDF" w:rsidRPr="00FD211F">
        <w:rPr>
          <w:sz w:val="36"/>
          <w:szCs w:val="36"/>
          <w:rtl/>
        </w:rPr>
        <w:t>ة</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الحرم</w:t>
      </w:r>
      <w:r w:rsidR="00EC7EDF" w:rsidRPr="00FD211F">
        <w:rPr>
          <w:sz w:val="36"/>
          <w:szCs w:val="36"/>
          <w:rtl/>
        </w:rPr>
        <w:t>ة</w:t>
      </w:r>
      <w:r w:rsidR="00E8128F">
        <w:rPr>
          <w:sz w:val="36"/>
          <w:szCs w:val="36"/>
          <w:rtl/>
        </w:rPr>
        <w:t xml:space="preserve"> </w:t>
      </w:r>
      <w:r w:rsidRPr="00FD211F">
        <w:rPr>
          <w:sz w:val="36"/>
          <w:szCs w:val="36"/>
          <w:rtl/>
        </w:rPr>
        <w:t>الفعلي</w:t>
      </w:r>
      <w:r w:rsidR="00EC7EDF" w:rsidRPr="00FD211F">
        <w:rPr>
          <w:sz w:val="36"/>
          <w:szCs w:val="36"/>
          <w:rtl/>
        </w:rPr>
        <w:t>ة</w:t>
      </w:r>
      <w:r w:rsidR="00E8128F">
        <w:rPr>
          <w:sz w:val="36"/>
          <w:szCs w:val="36"/>
          <w:rtl/>
        </w:rPr>
        <w:t xml:space="preserve"> </w:t>
      </w:r>
      <w:r w:rsidRPr="00FD211F">
        <w:rPr>
          <w:sz w:val="36"/>
          <w:szCs w:val="36"/>
          <w:rtl/>
        </w:rPr>
        <w:t>الواقعي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فلامعنى</w:t>
      </w:r>
      <w:r w:rsidR="00E8128F">
        <w:rPr>
          <w:sz w:val="36"/>
          <w:szCs w:val="36"/>
          <w:rtl/>
        </w:rPr>
        <w:t xml:space="preserve"> </w:t>
      </w:r>
      <w:r w:rsidRPr="00FD211F">
        <w:rPr>
          <w:sz w:val="36"/>
          <w:szCs w:val="36"/>
          <w:rtl/>
        </w:rPr>
        <w:t>لان</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معذّر</w:t>
      </w:r>
      <w:r w:rsidR="00EC7EDF" w:rsidRPr="00FD211F">
        <w:rPr>
          <w:sz w:val="36"/>
          <w:szCs w:val="36"/>
          <w:rtl/>
        </w:rPr>
        <w:t>ة</w:t>
      </w:r>
      <w:r w:rsidR="00E8128F">
        <w:rPr>
          <w:sz w:val="36"/>
          <w:szCs w:val="36"/>
          <w:rtl/>
        </w:rPr>
        <w:t xml:space="preserve"> </w:t>
      </w:r>
      <w:r w:rsidRPr="00FD211F">
        <w:rPr>
          <w:sz w:val="36"/>
          <w:szCs w:val="36"/>
          <w:rtl/>
        </w:rPr>
        <w:t>عنها</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أن</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المعذري</w:t>
      </w:r>
      <w:r w:rsidR="00EC7EDF" w:rsidRPr="00FD211F">
        <w:rPr>
          <w:sz w:val="36"/>
          <w:szCs w:val="36"/>
          <w:rtl/>
        </w:rPr>
        <w:t>ة</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المكلف</w:t>
      </w:r>
      <w:r w:rsidR="00E8128F">
        <w:rPr>
          <w:sz w:val="36"/>
          <w:szCs w:val="36"/>
          <w:rtl/>
        </w:rPr>
        <w:t xml:space="preserve"> </w:t>
      </w:r>
      <w:r w:rsidRPr="00FD211F">
        <w:rPr>
          <w:sz w:val="36"/>
          <w:szCs w:val="36"/>
          <w:rtl/>
        </w:rPr>
        <w:t>معذورا</w:t>
      </w:r>
      <w:r w:rsidR="00E8128F">
        <w:rPr>
          <w:sz w:val="36"/>
          <w:szCs w:val="36"/>
          <w:rtl/>
        </w:rPr>
        <w:t xml:space="preserve"> </w:t>
      </w:r>
      <w:r w:rsidR="00A3557D" w:rsidRPr="00FD211F">
        <w:rPr>
          <w:sz w:val="36"/>
          <w:szCs w:val="36"/>
          <w:rtl/>
        </w:rPr>
        <w:t>في</w:t>
      </w:r>
      <w:r w:rsidR="00E8128F">
        <w:rPr>
          <w:sz w:val="36"/>
          <w:szCs w:val="36"/>
          <w:rtl/>
        </w:rPr>
        <w:t xml:space="preserve"> </w:t>
      </w:r>
      <w:r w:rsidRPr="00FD211F">
        <w:rPr>
          <w:sz w:val="36"/>
          <w:szCs w:val="36"/>
          <w:rtl/>
        </w:rPr>
        <w:t>مخالف</w:t>
      </w:r>
      <w:r w:rsidR="00EC7EDF" w:rsidRPr="00FD211F">
        <w:rPr>
          <w:sz w:val="36"/>
          <w:szCs w:val="36"/>
          <w:rtl/>
        </w:rPr>
        <w:t>ة</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الفعلي</w:t>
      </w:r>
      <w:r w:rsidR="00E8128F">
        <w:rPr>
          <w:sz w:val="36"/>
          <w:szCs w:val="36"/>
          <w:rtl/>
        </w:rPr>
        <w:t xml:space="preserve"> </w:t>
      </w:r>
      <w:r w:rsidRPr="00FD211F">
        <w:rPr>
          <w:sz w:val="36"/>
          <w:szCs w:val="36"/>
          <w:rtl/>
        </w:rPr>
        <w:t>الواقعي</w:t>
      </w:r>
      <w:r w:rsidR="00603323" w:rsidRPr="00FD211F">
        <w:rPr>
          <w:sz w:val="36"/>
          <w:szCs w:val="36"/>
          <w:rtl/>
        </w:rPr>
        <w:t>،</w:t>
      </w:r>
      <w:r w:rsidR="00E8128F">
        <w:rPr>
          <w:sz w:val="36"/>
          <w:szCs w:val="36"/>
          <w:rtl/>
        </w:rPr>
        <w:t xml:space="preserve"> </w:t>
      </w:r>
      <w:r w:rsidRPr="00FD211F">
        <w:rPr>
          <w:sz w:val="36"/>
          <w:szCs w:val="36"/>
          <w:rtl/>
        </w:rPr>
        <w:t>والمفروض</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الحلي</w:t>
      </w:r>
      <w:r w:rsidR="00EC7EDF" w:rsidRPr="00FD211F">
        <w:rPr>
          <w:sz w:val="36"/>
          <w:szCs w:val="36"/>
          <w:rtl/>
        </w:rPr>
        <w:t>ة</w:t>
      </w:r>
      <w:r w:rsidR="00E8128F">
        <w:rPr>
          <w:sz w:val="36"/>
          <w:szCs w:val="36"/>
          <w:rtl/>
        </w:rPr>
        <w:t xml:space="preserve"> </w:t>
      </w:r>
      <w:r w:rsidRPr="00FD211F">
        <w:rPr>
          <w:sz w:val="36"/>
          <w:szCs w:val="36"/>
          <w:rtl/>
        </w:rPr>
        <w:t>الظاهري</w:t>
      </w:r>
      <w:r w:rsidR="00EC7EDF" w:rsidRPr="00FD211F">
        <w:rPr>
          <w:sz w:val="36"/>
          <w:szCs w:val="36"/>
          <w:rtl/>
        </w:rPr>
        <w:t>ة</w:t>
      </w:r>
      <w:r w:rsidR="00E8128F">
        <w:rPr>
          <w:sz w:val="36"/>
          <w:szCs w:val="36"/>
          <w:rtl/>
        </w:rPr>
        <w:t xml:space="preserve"> </w:t>
      </w:r>
      <w:r w:rsidRPr="00FD211F">
        <w:rPr>
          <w:sz w:val="36"/>
          <w:szCs w:val="36"/>
          <w:rtl/>
        </w:rPr>
        <w:t>بوصولها</w:t>
      </w:r>
      <w:r w:rsidR="00E8128F">
        <w:rPr>
          <w:sz w:val="36"/>
          <w:szCs w:val="36"/>
          <w:rtl/>
        </w:rPr>
        <w:t xml:space="preserve"> </w:t>
      </w:r>
      <w:r w:rsidRPr="00FD211F">
        <w:rPr>
          <w:sz w:val="36"/>
          <w:szCs w:val="36"/>
          <w:rtl/>
        </w:rPr>
        <w:t>تنافي</w:t>
      </w:r>
      <w:r w:rsidR="00E8128F">
        <w:rPr>
          <w:sz w:val="36"/>
          <w:szCs w:val="36"/>
          <w:rtl/>
        </w:rPr>
        <w:t xml:space="preserve"> </w:t>
      </w:r>
      <w:r w:rsidR="00A3557D" w:rsidRPr="00FD211F">
        <w:rPr>
          <w:sz w:val="36"/>
          <w:szCs w:val="36"/>
          <w:rtl/>
        </w:rPr>
        <w:t>فعلي</w:t>
      </w:r>
      <w:r w:rsidR="00EC7EDF" w:rsidRPr="00FD211F">
        <w:rPr>
          <w:sz w:val="36"/>
          <w:szCs w:val="36"/>
          <w:rtl/>
        </w:rPr>
        <w:t>ة</w:t>
      </w:r>
      <w:r w:rsidR="00E8128F">
        <w:rPr>
          <w:sz w:val="36"/>
          <w:szCs w:val="36"/>
          <w:rtl/>
        </w:rPr>
        <w:t xml:space="preserve"> </w:t>
      </w:r>
      <w:r w:rsidR="00A3557D" w:rsidRPr="00FD211F">
        <w:rPr>
          <w:sz w:val="36"/>
          <w:szCs w:val="36"/>
          <w:rtl/>
        </w:rPr>
        <w:t>الحكم</w:t>
      </w:r>
      <w:r w:rsidR="00E8128F">
        <w:rPr>
          <w:sz w:val="36"/>
          <w:szCs w:val="36"/>
          <w:rtl/>
        </w:rPr>
        <w:t xml:space="preserve"> </w:t>
      </w:r>
      <w:r w:rsidR="00A3557D" w:rsidRPr="00FD211F">
        <w:rPr>
          <w:sz w:val="36"/>
          <w:szCs w:val="36"/>
          <w:rtl/>
        </w:rPr>
        <w:t>الواقعي</w:t>
      </w:r>
      <w:r w:rsidR="00603323" w:rsidRPr="00FD211F">
        <w:rPr>
          <w:sz w:val="36"/>
          <w:szCs w:val="36"/>
          <w:rtl/>
        </w:rPr>
        <w:t>،</w:t>
      </w:r>
      <w:r w:rsidR="00E8128F">
        <w:rPr>
          <w:sz w:val="36"/>
          <w:szCs w:val="36"/>
          <w:rtl/>
        </w:rPr>
        <w:t xml:space="preserve"> </w:t>
      </w:r>
      <w:r w:rsidRPr="00FD211F">
        <w:rPr>
          <w:sz w:val="36"/>
          <w:szCs w:val="36"/>
          <w:rtl/>
        </w:rPr>
        <w:t>فلايحتمل</w:t>
      </w:r>
      <w:r w:rsidR="00E8128F">
        <w:rPr>
          <w:sz w:val="36"/>
          <w:szCs w:val="36"/>
          <w:rtl/>
        </w:rPr>
        <w:t xml:space="preserve"> </w:t>
      </w:r>
      <w:r w:rsidRPr="00FD211F">
        <w:rPr>
          <w:sz w:val="36"/>
          <w:szCs w:val="36"/>
          <w:rtl/>
        </w:rPr>
        <w:t>معها</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الواقعي</w:t>
      </w:r>
      <w:r w:rsidR="00E8128F">
        <w:rPr>
          <w:sz w:val="36"/>
          <w:szCs w:val="36"/>
          <w:rtl/>
        </w:rPr>
        <w:t xml:space="preserve"> </w:t>
      </w:r>
      <w:r w:rsidRPr="00FD211F">
        <w:rPr>
          <w:sz w:val="36"/>
          <w:szCs w:val="36"/>
          <w:rtl/>
        </w:rPr>
        <w:t>فعليا</w:t>
      </w:r>
      <w:r w:rsidR="00E8128F">
        <w:rPr>
          <w:sz w:val="36"/>
          <w:szCs w:val="36"/>
          <w:rtl/>
        </w:rPr>
        <w:t xml:space="preserve"> </w:t>
      </w:r>
      <w:r w:rsidRPr="00FD211F">
        <w:rPr>
          <w:sz w:val="36"/>
          <w:szCs w:val="36"/>
          <w:rtl/>
        </w:rPr>
        <w:t>حتى</w:t>
      </w:r>
      <w:r w:rsidR="00E8128F">
        <w:rPr>
          <w:sz w:val="36"/>
          <w:szCs w:val="36"/>
          <w:rtl/>
        </w:rPr>
        <w:t xml:space="preserve"> </w:t>
      </w:r>
      <w:r w:rsidRPr="00FD211F">
        <w:rPr>
          <w:sz w:val="36"/>
          <w:szCs w:val="36"/>
          <w:rtl/>
        </w:rPr>
        <w:t>تعذر</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نعم</w:t>
      </w:r>
      <w:r w:rsidR="00E8128F">
        <w:rPr>
          <w:sz w:val="36"/>
          <w:szCs w:val="36"/>
          <w:rtl/>
        </w:rPr>
        <w:t xml:space="preserve"> </w:t>
      </w:r>
      <w:r w:rsidRPr="00FD211F">
        <w:rPr>
          <w:sz w:val="36"/>
          <w:szCs w:val="36"/>
          <w:rtl/>
        </w:rPr>
        <w:t>دليل</w:t>
      </w:r>
      <w:r w:rsidR="00E8128F">
        <w:rPr>
          <w:sz w:val="36"/>
          <w:szCs w:val="36"/>
          <w:rtl/>
        </w:rPr>
        <w:t xml:space="preserve"> </w:t>
      </w:r>
      <w:r w:rsidRPr="00FD211F">
        <w:rPr>
          <w:sz w:val="36"/>
          <w:szCs w:val="36"/>
          <w:rtl/>
        </w:rPr>
        <w:t>قاعد</w:t>
      </w:r>
      <w:r w:rsidR="00EC7EDF" w:rsidRPr="00FD211F">
        <w:rPr>
          <w:sz w:val="36"/>
          <w:szCs w:val="36"/>
          <w:rtl/>
        </w:rPr>
        <w:t>ة</w:t>
      </w:r>
      <w:r w:rsidR="00E8128F">
        <w:rPr>
          <w:sz w:val="36"/>
          <w:szCs w:val="36"/>
          <w:rtl/>
        </w:rPr>
        <w:t xml:space="preserve"> </w:t>
      </w:r>
      <w:r w:rsidRPr="00FD211F">
        <w:rPr>
          <w:sz w:val="36"/>
          <w:szCs w:val="36"/>
          <w:rtl/>
        </w:rPr>
        <w:t>الحل</w:t>
      </w:r>
      <w:r w:rsidR="00E8128F">
        <w:rPr>
          <w:sz w:val="36"/>
          <w:szCs w:val="36"/>
          <w:rtl/>
        </w:rPr>
        <w:t xml:space="preserve"> </w:t>
      </w:r>
      <w:r w:rsidR="009E52EA" w:rsidRPr="00FD211F">
        <w:rPr>
          <w:sz w:val="36"/>
          <w:szCs w:val="36"/>
          <w:rtl/>
        </w:rPr>
        <w:t>-كصحيح</w:t>
      </w:r>
      <w:r w:rsidR="00EC7EDF" w:rsidRPr="00FD211F">
        <w:rPr>
          <w:sz w:val="36"/>
          <w:szCs w:val="36"/>
          <w:rtl/>
        </w:rPr>
        <w:t>ة</w:t>
      </w:r>
      <w:r w:rsidR="00E8128F">
        <w:rPr>
          <w:sz w:val="36"/>
          <w:szCs w:val="36"/>
          <w:rtl/>
        </w:rPr>
        <w:t xml:space="preserve"> </w:t>
      </w:r>
      <w:r w:rsidR="009E52EA" w:rsidRPr="00FD211F">
        <w:rPr>
          <w:sz w:val="36"/>
          <w:szCs w:val="36"/>
          <w:rtl/>
        </w:rPr>
        <w:t>عبدالله</w:t>
      </w:r>
      <w:r w:rsidR="00E8128F">
        <w:rPr>
          <w:sz w:val="36"/>
          <w:szCs w:val="36"/>
          <w:rtl/>
        </w:rPr>
        <w:t xml:space="preserve"> </w:t>
      </w:r>
      <w:r w:rsidR="009E52EA" w:rsidRPr="00FD211F">
        <w:rPr>
          <w:sz w:val="36"/>
          <w:szCs w:val="36"/>
          <w:rtl/>
        </w:rPr>
        <w:t>بن</w:t>
      </w:r>
      <w:r w:rsidR="00E8128F">
        <w:rPr>
          <w:sz w:val="36"/>
          <w:szCs w:val="36"/>
          <w:rtl/>
        </w:rPr>
        <w:t xml:space="preserve"> </w:t>
      </w:r>
      <w:r w:rsidR="009E52EA" w:rsidRPr="00FD211F">
        <w:rPr>
          <w:sz w:val="36"/>
          <w:szCs w:val="36"/>
          <w:rtl/>
        </w:rPr>
        <w:t>سنان</w:t>
      </w:r>
      <w:r w:rsidR="00E8128F">
        <w:rPr>
          <w:sz w:val="36"/>
          <w:szCs w:val="36"/>
          <w:rtl/>
        </w:rPr>
        <w:t xml:space="preserve"> </w:t>
      </w:r>
      <w:r w:rsidR="009E52EA" w:rsidRPr="00FD211F">
        <w:rPr>
          <w:sz w:val="36"/>
          <w:szCs w:val="36"/>
          <w:rtl/>
        </w:rPr>
        <w:t>عن</w:t>
      </w:r>
      <w:r w:rsidR="00E8128F">
        <w:rPr>
          <w:sz w:val="36"/>
          <w:szCs w:val="36"/>
          <w:rtl/>
        </w:rPr>
        <w:t xml:space="preserve"> </w:t>
      </w:r>
      <w:r w:rsidR="009E52EA" w:rsidRPr="00FD211F">
        <w:rPr>
          <w:sz w:val="36"/>
          <w:szCs w:val="36"/>
          <w:rtl/>
        </w:rPr>
        <w:t>ابي</w:t>
      </w:r>
      <w:r w:rsidR="00E8128F">
        <w:rPr>
          <w:sz w:val="36"/>
          <w:szCs w:val="36"/>
          <w:rtl/>
        </w:rPr>
        <w:t xml:space="preserve"> </w:t>
      </w:r>
      <w:r w:rsidR="009E52EA" w:rsidRPr="00FD211F">
        <w:rPr>
          <w:sz w:val="36"/>
          <w:szCs w:val="36"/>
          <w:rtl/>
        </w:rPr>
        <w:t>عبدالله</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A3557D" w:rsidRPr="00FD211F">
        <w:rPr>
          <w:sz w:val="36"/>
          <w:szCs w:val="36"/>
          <w:rtl/>
        </w:rPr>
        <w:t>كل</w:t>
      </w:r>
      <w:r w:rsidR="00E8128F">
        <w:rPr>
          <w:sz w:val="36"/>
          <w:szCs w:val="36"/>
          <w:rtl/>
        </w:rPr>
        <w:t xml:space="preserve"> </w:t>
      </w:r>
      <w:r w:rsidR="008D7B3D" w:rsidRPr="00FD211F">
        <w:rPr>
          <w:sz w:val="36"/>
          <w:szCs w:val="36"/>
          <w:rtl/>
        </w:rPr>
        <w:t>شيء</w:t>
      </w:r>
      <w:r w:rsidR="00E8128F">
        <w:rPr>
          <w:sz w:val="36"/>
          <w:szCs w:val="36"/>
          <w:rtl/>
        </w:rPr>
        <w:t xml:space="preserve"> </w:t>
      </w:r>
      <w:r w:rsidR="009E52EA" w:rsidRPr="00FD211F">
        <w:rPr>
          <w:sz w:val="36"/>
          <w:szCs w:val="36"/>
          <w:rtl/>
        </w:rPr>
        <w:t>فيه</w:t>
      </w:r>
      <w:r w:rsidR="00E8128F">
        <w:rPr>
          <w:sz w:val="36"/>
          <w:szCs w:val="36"/>
          <w:rtl/>
        </w:rPr>
        <w:t xml:space="preserve"> </w:t>
      </w:r>
      <w:r w:rsidR="009E52EA" w:rsidRPr="00FD211F">
        <w:rPr>
          <w:sz w:val="36"/>
          <w:szCs w:val="36"/>
          <w:rtl/>
        </w:rPr>
        <w:t>حلال</w:t>
      </w:r>
      <w:r w:rsidR="00E8128F">
        <w:rPr>
          <w:sz w:val="36"/>
          <w:szCs w:val="36"/>
          <w:rtl/>
        </w:rPr>
        <w:t xml:space="preserve"> </w:t>
      </w:r>
      <w:r w:rsidR="009E52EA" w:rsidRPr="00FD211F">
        <w:rPr>
          <w:sz w:val="36"/>
          <w:szCs w:val="36"/>
          <w:rtl/>
        </w:rPr>
        <w:t>وحرام</w:t>
      </w:r>
      <w:r w:rsidR="00E8128F">
        <w:rPr>
          <w:sz w:val="36"/>
          <w:szCs w:val="36"/>
          <w:rtl/>
        </w:rPr>
        <w:t xml:space="preserve"> </w:t>
      </w:r>
      <w:r w:rsidR="009E52EA" w:rsidRPr="00FD211F">
        <w:rPr>
          <w:sz w:val="36"/>
          <w:szCs w:val="36"/>
          <w:rtl/>
        </w:rPr>
        <w:t>فهو</w:t>
      </w:r>
      <w:r w:rsidR="00E8128F">
        <w:rPr>
          <w:sz w:val="36"/>
          <w:szCs w:val="36"/>
          <w:rtl/>
        </w:rPr>
        <w:t xml:space="preserve"> </w:t>
      </w:r>
      <w:r w:rsidR="009E52EA" w:rsidRPr="00FD211F">
        <w:rPr>
          <w:sz w:val="36"/>
          <w:szCs w:val="36"/>
          <w:rtl/>
        </w:rPr>
        <w:t>لك</w:t>
      </w:r>
      <w:r w:rsidR="00E8128F">
        <w:rPr>
          <w:sz w:val="36"/>
          <w:szCs w:val="36"/>
          <w:rtl/>
        </w:rPr>
        <w:t xml:space="preserve"> </w:t>
      </w:r>
      <w:r w:rsidR="009E52EA" w:rsidRPr="00FD211F">
        <w:rPr>
          <w:sz w:val="36"/>
          <w:szCs w:val="36"/>
          <w:rtl/>
        </w:rPr>
        <w:t>حلال</w:t>
      </w:r>
      <w:r w:rsidR="00E8128F">
        <w:rPr>
          <w:sz w:val="36"/>
          <w:szCs w:val="36"/>
          <w:rtl/>
        </w:rPr>
        <w:t xml:space="preserve"> </w:t>
      </w:r>
      <w:r w:rsidR="009E52EA" w:rsidRPr="00FD211F">
        <w:rPr>
          <w:sz w:val="36"/>
          <w:szCs w:val="36"/>
          <w:rtl/>
        </w:rPr>
        <w:t>ابدا</w:t>
      </w:r>
      <w:r w:rsidR="00E8128F">
        <w:rPr>
          <w:sz w:val="36"/>
          <w:szCs w:val="36"/>
          <w:rtl/>
        </w:rPr>
        <w:t xml:space="preserve"> </w:t>
      </w:r>
      <w:r w:rsidR="009E52EA" w:rsidRPr="00FD211F">
        <w:rPr>
          <w:sz w:val="36"/>
          <w:szCs w:val="36"/>
          <w:rtl/>
        </w:rPr>
        <w:t>حتى</w:t>
      </w:r>
      <w:r w:rsidR="00E8128F">
        <w:rPr>
          <w:sz w:val="36"/>
          <w:szCs w:val="36"/>
          <w:rtl/>
        </w:rPr>
        <w:t xml:space="preserve"> </w:t>
      </w:r>
      <w:r w:rsidR="009E52EA" w:rsidRPr="00FD211F">
        <w:rPr>
          <w:sz w:val="36"/>
          <w:szCs w:val="36"/>
          <w:rtl/>
        </w:rPr>
        <w:t>تعرف</w:t>
      </w:r>
      <w:r w:rsidR="00E8128F">
        <w:rPr>
          <w:sz w:val="36"/>
          <w:szCs w:val="36"/>
          <w:rtl/>
        </w:rPr>
        <w:t xml:space="preserve"> </w:t>
      </w:r>
      <w:r w:rsidR="009E52EA" w:rsidRPr="00FD211F">
        <w:rPr>
          <w:sz w:val="36"/>
          <w:szCs w:val="36"/>
          <w:rtl/>
        </w:rPr>
        <w:t>الحرام</w:t>
      </w:r>
      <w:r w:rsidR="00E8128F">
        <w:rPr>
          <w:sz w:val="36"/>
          <w:szCs w:val="36"/>
          <w:rtl/>
        </w:rPr>
        <w:t xml:space="preserve"> </w:t>
      </w:r>
      <w:r w:rsidR="009E52EA" w:rsidRPr="00FD211F">
        <w:rPr>
          <w:sz w:val="36"/>
          <w:szCs w:val="36"/>
          <w:rtl/>
        </w:rPr>
        <w:t>منه</w:t>
      </w:r>
      <w:r w:rsidR="00E8128F">
        <w:rPr>
          <w:sz w:val="36"/>
          <w:szCs w:val="36"/>
          <w:rtl/>
        </w:rPr>
        <w:t xml:space="preserve"> </w:t>
      </w:r>
      <w:r w:rsidR="009E52EA" w:rsidRPr="00FD211F">
        <w:rPr>
          <w:sz w:val="36"/>
          <w:szCs w:val="36"/>
          <w:rtl/>
        </w:rPr>
        <w:t>بعينه</w:t>
      </w:r>
      <w:r w:rsidR="00E8128F">
        <w:rPr>
          <w:sz w:val="36"/>
          <w:szCs w:val="36"/>
          <w:rtl/>
        </w:rPr>
        <w:t xml:space="preserve"> </w:t>
      </w:r>
      <w:r w:rsidR="009E52EA" w:rsidRPr="00FD211F">
        <w:rPr>
          <w:sz w:val="36"/>
          <w:szCs w:val="36"/>
          <w:rtl/>
        </w:rPr>
        <w:t>فتدعه</w:t>
      </w:r>
      <w:r w:rsidR="009C58C8" w:rsidRPr="00FD211F">
        <w:rPr>
          <w:rStyle w:val="a6"/>
          <w:sz w:val="36"/>
          <w:szCs w:val="36"/>
          <w:rtl/>
        </w:rPr>
        <w:t>(</w:t>
      </w:r>
      <w:r w:rsidR="009C58C8" w:rsidRPr="00FD211F">
        <w:rPr>
          <w:rStyle w:val="a6"/>
          <w:sz w:val="36"/>
          <w:szCs w:val="36"/>
          <w:rtl/>
        </w:rPr>
        <w:footnoteReference w:id="5"/>
      </w:r>
      <w:r w:rsidR="009C58C8" w:rsidRPr="00FD211F">
        <w:rPr>
          <w:rStyle w:val="a6"/>
          <w:sz w:val="36"/>
          <w:szCs w:val="36"/>
          <w:rtl/>
        </w:rPr>
        <w:t>)</w:t>
      </w:r>
      <w:r w:rsidR="00E8128F">
        <w:rPr>
          <w:sz w:val="36"/>
          <w:szCs w:val="36"/>
          <w:rtl/>
        </w:rPr>
        <w:t xml:space="preserve"> </w:t>
      </w:r>
      <w:r w:rsidR="009E52EA" w:rsidRPr="00FD211F">
        <w:rPr>
          <w:sz w:val="36"/>
          <w:szCs w:val="36"/>
          <w:rtl/>
        </w:rPr>
        <w:t>ومعتبر</w:t>
      </w:r>
      <w:r w:rsidR="00EC7EDF" w:rsidRPr="00FD211F">
        <w:rPr>
          <w:sz w:val="36"/>
          <w:szCs w:val="36"/>
          <w:rtl/>
        </w:rPr>
        <w:t>ة</w:t>
      </w:r>
      <w:r w:rsidR="00E8128F">
        <w:rPr>
          <w:sz w:val="36"/>
          <w:szCs w:val="36"/>
          <w:rtl/>
        </w:rPr>
        <w:t xml:space="preserve"> </w:t>
      </w:r>
      <w:r w:rsidR="009E52EA" w:rsidRPr="00FD211F">
        <w:rPr>
          <w:sz w:val="36"/>
          <w:szCs w:val="36"/>
          <w:rtl/>
        </w:rPr>
        <w:t>مسعد</w:t>
      </w:r>
      <w:r w:rsidR="00EC7EDF" w:rsidRPr="00FD211F">
        <w:rPr>
          <w:sz w:val="36"/>
          <w:szCs w:val="36"/>
          <w:rtl/>
        </w:rPr>
        <w:t>ة</w:t>
      </w:r>
      <w:r w:rsidR="00E8128F">
        <w:rPr>
          <w:sz w:val="36"/>
          <w:szCs w:val="36"/>
          <w:rtl/>
        </w:rPr>
        <w:t xml:space="preserve"> </w:t>
      </w:r>
      <w:r w:rsidR="009E52EA" w:rsidRPr="00FD211F">
        <w:rPr>
          <w:sz w:val="36"/>
          <w:szCs w:val="36"/>
          <w:rtl/>
        </w:rPr>
        <w:t>بن</w:t>
      </w:r>
      <w:r w:rsidR="00E8128F">
        <w:rPr>
          <w:sz w:val="36"/>
          <w:szCs w:val="36"/>
          <w:rtl/>
        </w:rPr>
        <w:t xml:space="preserve"> </w:t>
      </w:r>
      <w:r w:rsidR="009E52EA" w:rsidRPr="00FD211F">
        <w:rPr>
          <w:sz w:val="36"/>
          <w:szCs w:val="36"/>
          <w:rtl/>
        </w:rPr>
        <w:t>صدق</w:t>
      </w:r>
      <w:r w:rsidR="00EC7EDF" w:rsidRPr="00FD211F">
        <w:rPr>
          <w:sz w:val="36"/>
          <w:szCs w:val="36"/>
          <w:rtl/>
        </w:rPr>
        <w:t>ة</w:t>
      </w:r>
      <w:r w:rsidR="00E8128F">
        <w:rPr>
          <w:sz w:val="36"/>
          <w:szCs w:val="36"/>
          <w:rtl/>
        </w:rPr>
        <w:t xml:space="preserve"> </w:t>
      </w:r>
      <w:r w:rsidR="009E52EA" w:rsidRPr="00FD211F">
        <w:rPr>
          <w:sz w:val="36"/>
          <w:szCs w:val="36"/>
          <w:rtl/>
        </w:rPr>
        <w:t>عن</w:t>
      </w:r>
      <w:r w:rsidR="00E8128F">
        <w:rPr>
          <w:sz w:val="36"/>
          <w:szCs w:val="36"/>
          <w:rtl/>
        </w:rPr>
        <w:t xml:space="preserve"> </w:t>
      </w:r>
      <w:r w:rsidR="009E52EA" w:rsidRPr="00FD211F">
        <w:rPr>
          <w:sz w:val="36"/>
          <w:szCs w:val="36"/>
          <w:rtl/>
        </w:rPr>
        <w:t>ابي</w:t>
      </w:r>
      <w:r w:rsidR="00E8128F">
        <w:rPr>
          <w:sz w:val="36"/>
          <w:szCs w:val="36"/>
          <w:rtl/>
        </w:rPr>
        <w:t xml:space="preserve"> </w:t>
      </w:r>
      <w:r w:rsidR="009E52EA" w:rsidRPr="00FD211F">
        <w:rPr>
          <w:sz w:val="36"/>
          <w:szCs w:val="36"/>
          <w:rtl/>
        </w:rPr>
        <w:t>عبدالله</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9E52EA" w:rsidRPr="00FD211F">
        <w:rPr>
          <w:sz w:val="36"/>
          <w:szCs w:val="36"/>
          <w:rtl/>
        </w:rPr>
        <w:t>كل</w:t>
      </w:r>
      <w:r w:rsidR="00E8128F">
        <w:rPr>
          <w:sz w:val="36"/>
          <w:szCs w:val="36"/>
          <w:rtl/>
        </w:rPr>
        <w:t xml:space="preserve"> </w:t>
      </w:r>
      <w:r w:rsidR="00FA7964" w:rsidRPr="00FD211F">
        <w:rPr>
          <w:sz w:val="36"/>
          <w:szCs w:val="36"/>
          <w:rtl/>
        </w:rPr>
        <w:t>شيء</w:t>
      </w:r>
      <w:r w:rsidR="009E52EA" w:rsidRPr="00FD211F">
        <w:rPr>
          <w:sz w:val="36"/>
          <w:szCs w:val="36"/>
          <w:rtl/>
        </w:rPr>
        <w:t>هو</w:t>
      </w:r>
      <w:r w:rsidR="00E8128F">
        <w:rPr>
          <w:sz w:val="36"/>
          <w:szCs w:val="36"/>
          <w:rtl/>
        </w:rPr>
        <w:t xml:space="preserve"> </w:t>
      </w:r>
      <w:r w:rsidR="009E52EA" w:rsidRPr="00FD211F">
        <w:rPr>
          <w:sz w:val="36"/>
          <w:szCs w:val="36"/>
          <w:rtl/>
        </w:rPr>
        <w:t>لك</w:t>
      </w:r>
      <w:r w:rsidR="00E8128F">
        <w:rPr>
          <w:sz w:val="36"/>
          <w:szCs w:val="36"/>
          <w:rtl/>
        </w:rPr>
        <w:t xml:space="preserve"> </w:t>
      </w:r>
      <w:r w:rsidR="009E52EA" w:rsidRPr="00FD211F">
        <w:rPr>
          <w:sz w:val="36"/>
          <w:szCs w:val="36"/>
          <w:rtl/>
        </w:rPr>
        <w:t>حلال</w:t>
      </w:r>
      <w:r w:rsidR="00E8128F">
        <w:rPr>
          <w:sz w:val="36"/>
          <w:szCs w:val="36"/>
          <w:rtl/>
        </w:rPr>
        <w:t xml:space="preserve"> </w:t>
      </w:r>
      <w:r w:rsidR="009E52EA" w:rsidRPr="00FD211F">
        <w:rPr>
          <w:sz w:val="36"/>
          <w:szCs w:val="36"/>
          <w:rtl/>
        </w:rPr>
        <w:t>حتى</w:t>
      </w:r>
      <w:r w:rsidR="00E8128F">
        <w:rPr>
          <w:sz w:val="36"/>
          <w:szCs w:val="36"/>
          <w:rtl/>
        </w:rPr>
        <w:t xml:space="preserve"> </w:t>
      </w:r>
      <w:r w:rsidR="009E52EA" w:rsidRPr="00FD211F">
        <w:rPr>
          <w:sz w:val="36"/>
          <w:szCs w:val="36"/>
          <w:rtl/>
        </w:rPr>
        <w:t>تعلم</w:t>
      </w:r>
      <w:r w:rsidR="00E8128F">
        <w:rPr>
          <w:sz w:val="36"/>
          <w:szCs w:val="36"/>
          <w:rtl/>
        </w:rPr>
        <w:t xml:space="preserve"> </w:t>
      </w:r>
      <w:r w:rsidR="009E52EA" w:rsidRPr="00FD211F">
        <w:rPr>
          <w:sz w:val="36"/>
          <w:szCs w:val="36"/>
          <w:rtl/>
        </w:rPr>
        <w:t>انه</w:t>
      </w:r>
      <w:r w:rsidR="00E8128F">
        <w:rPr>
          <w:sz w:val="36"/>
          <w:szCs w:val="36"/>
          <w:rtl/>
        </w:rPr>
        <w:t xml:space="preserve"> </w:t>
      </w:r>
      <w:r w:rsidR="00A3557D" w:rsidRPr="00FD211F">
        <w:rPr>
          <w:sz w:val="36"/>
          <w:szCs w:val="36"/>
          <w:rtl/>
        </w:rPr>
        <w:t>حرام</w:t>
      </w:r>
      <w:r w:rsidR="00E8128F">
        <w:rPr>
          <w:sz w:val="36"/>
          <w:szCs w:val="36"/>
          <w:rtl/>
        </w:rPr>
        <w:t xml:space="preserve"> </w:t>
      </w:r>
      <w:r w:rsidR="00A3557D" w:rsidRPr="00FD211F">
        <w:rPr>
          <w:sz w:val="36"/>
          <w:szCs w:val="36"/>
          <w:rtl/>
        </w:rPr>
        <w:t>بعينه</w:t>
      </w:r>
      <w:r w:rsidR="009C58C8" w:rsidRPr="00FD211F">
        <w:rPr>
          <w:rStyle w:val="a6"/>
          <w:sz w:val="36"/>
          <w:szCs w:val="36"/>
          <w:rtl/>
        </w:rPr>
        <w:t>(</w:t>
      </w:r>
      <w:r w:rsidR="009C58C8" w:rsidRPr="00FD211F">
        <w:rPr>
          <w:rStyle w:val="a6"/>
          <w:sz w:val="36"/>
          <w:szCs w:val="36"/>
          <w:rtl/>
        </w:rPr>
        <w:footnoteReference w:id="6"/>
      </w:r>
      <w:r w:rsidR="009C58C8" w:rsidRPr="00FD211F">
        <w:rPr>
          <w:rStyle w:val="a6"/>
          <w:sz w:val="36"/>
          <w:szCs w:val="36"/>
          <w:rtl/>
        </w:rPr>
        <w:t>)</w:t>
      </w:r>
      <w:r w:rsidR="00A3557D" w:rsidRPr="00FD211F">
        <w:rPr>
          <w:sz w:val="36"/>
          <w:szCs w:val="36"/>
          <w:rtl/>
        </w:rPr>
        <w:t>-</w:t>
      </w:r>
      <w:r w:rsidR="00E8128F">
        <w:rPr>
          <w:sz w:val="36"/>
          <w:szCs w:val="36"/>
          <w:rtl/>
        </w:rPr>
        <w:t xml:space="preserve"> </w:t>
      </w:r>
      <w:r w:rsidRPr="00FD211F">
        <w:rPr>
          <w:sz w:val="36"/>
          <w:szCs w:val="36"/>
          <w:rtl/>
        </w:rPr>
        <w:t>بدلالته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جعل</w:t>
      </w:r>
      <w:r w:rsidR="00E8128F">
        <w:rPr>
          <w:sz w:val="36"/>
          <w:szCs w:val="36"/>
          <w:rtl/>
        </w:rPr>
        <w:t xml:space="preserve"> </w:t>
      </w:r>
      <w:r w:rsidRPr="00FD211F">
        <w:rPr>
          <w:sz w:val="36"/>
          <w:szCs w:val="36"/>
          <w:rtl/>
        </w:rPr>
        <w:t>الحلي</w:t>
      </w:r>
      <w:r w:rsidR="00EC7EDF" w:rsidRPr="00FD211F">
        <w:rPr>
          <w:sz w:val="36"/>
          <w:szCs w:val="36"/>
          <w:rtl/>
        </w:rPr>
        <w:t>ة</w:t>
      </w:r>
      <w:r w:rsidR="00E8128F">
        <w:rPr>
          <w:sz w:val="36"/>
          <w:szCs w:val="36"/>
          <w:rtl/>
        </w:rPr>
        <w:t xml:space="preserve"> </w:t>
      </w:r>
      <w:r w:rsidRPr="00FD211F">
        <w:rPr>
          <w:sz w:val="36"/>
          <w:szCs w:val="36"/>
          <w:rtl/>
        </w:rPr>
        <w:t>الظاهري</w:t>
      </w:r>
      <w:r w:rsidR="00EC7EDF" w:rsidRPr="00FD211F">
        <w:rPr>
          <w:sz w:val="36"/>
          <w:szCs w:val="36"/>
          <w:rtl/>
        </w:rPr>
        <w:t>ة</w:t>
      </w:r>
      <w:r w:rsidR="00E8128F">
        <w:rPr>
          <w:sz w:val="36"/>
          <w:szCs w:val="36"/>
          <w:rtl/>
        </w:rPr>
        <w:t xml:space="preserve"> </w:t>
      </w:r>
      <w:r w:rsidRPr="00FD211F">
        <w:rPr>
          <w:sz w:val="36"/>
          <w:szCs w:val="36"/>
          <w:rtl/>
        </w:rPr>
        <w:t>للمشكوك</w:t>
      </w:r>
      <w:r w:rsidR="00E8128F">
        <w:rPr>
          <w:sz w:val="36"/>
          <w:szCs w:val="36"/>
          <w:rtl/>
        </w:rPr>
        <w:t xml:space="preserve"> </w:t>
      </w:r>
      <w:r w:rsidRPr="00FD211F">
        <w:rPr>
          <w:sz w:val="36"/>
          <w:szCs w:val="36"/>
          <w:rtl/>
        </w:rPr>
        <w:t>يدل</w:t>
      </w:r>
      <w:r w:rsidR="00E8128F">
        <w:rPr>
          <w:sz w:val="36"/>
          <w:szCs w:val="36"/>
          <w:rtl/>
        </w:rPr>
        <w:t xml:space="preserve"> </w:t>
      </w:r>
      <w:r w:rsidRPr="00FD211F">
        <w:rPr>
          <w:sz w:val="36"/>
          <w:szCs w:val="36"/>
          <w:rtl/>
        </w:rPr>
        <w:lastRenderedPageBreak/>
        <w:t>بالالتزام</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الحرم</w:t>
      </w:r>
      <w:r w:rsidR="00EC7EDF" w:rsidRPr="00FD211F">
        <w:rPr>
          <w:sz w:val="36"/>
          <w:szCs w:val="36"/>
          <w:rtl/>
        </w:rPr>
        <w:t>ة</w:t>
      </w:r>
      <w:r w:rsidR="00E8128F">
        <w:rPr>
          <w:sz w:val="36"/>
          <w:szCs w:val="36"/>
          <w:rtl/>
        </w:rPr>
        <w:t xml:space="preserve"> </w:t>
      </w:r>
      <w:r w:rsidRPr="00FD211F">
        <w:rPr>
          <w:sz w:val="36"/>
          <w:szCs w:val="36"/>
          <w:rtl/>
        </w:rPr>
        <w:t>الفعلي</w:t>
      </w:r>
      <w:r w:rsidR="00EC7EDF" w:rsidRPr="00FD211F">
        <w:rPr>
          <w:sz w:val="36"/>
          <w:szCs w:val="36"/>
          <w:rtl/>
        </w:rPr>
        <w:t>ة</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فهو</w:t>
      </w:r>
      <w:r w:rsidR="00E8128F">
        <w:rPr>
          <w:sz w:val="36"/>
          <w:szCs w:val="36"/>
          <w:rtl/>
        </w:rPr>
        <w:t xml:space="preserve"> </w:t>
      </w:r>
      <w:r w:rsidRPr="00FD211F">
        <w:rPr>
          <w:sz w:val="36"/>
          <w:szCs w:val="36"/>
          <w:rtl/>
        </w:rPr>
        <w:t>معذر</w:t>
      </w:r>
      <w:r w:rsidR="00E8128F">
        <w:rPr>
          <w:sz w:val="36"/>
          <w:szCs w:val="36"/>
          <w:rtl/>
        </w:rPr>
        <w:t xml:space="preserve"> </w:t>
      </w:r>
      <w:r w:rsidRPr="00FD211F">
        <w:rPr>
          <w:sz w:val="36"/>
          <w:szCs w:val="36"/>
          <w:rtl/>
        </w:rPr>
        <w:t>عنه</w:t>
      </w:r>
      <w:r w:rsidR="00603323" w:rsidRPr="00FD211F">
        <w:rPr>
          <w:sz w:val="36"/>
          <w:szCs w:val="36"/>
          <w:rtl/>
        </w:rPr>
        <w:t>،</w:t>
      </w:r>
      <w:r w:rsidR="00E8128F">
        <w:rPr>
          <w:sz w:val="36"/>
          <w:szCs w:val="36"/>
          <w:rtl/>
        </w:rPr>
        <w:t xml:space="preserve"> </w:t>
      </w:r>
      <w:r w:rsidRPr="00FD211F">
        <w:rPr>
          <w:sz w:val="36"/>
          <w:szCs w:val="36"/>
          <w:rtl/>
        </w:rPr>
        <w:t>ولكنه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الامارات</w:t>
      </w:r>
      <w:r w:rsidR="00E8128F">
        <w:rPr>
          <w:sz w:val="36"/>
          <w:szCs w:val="36"/>
          <w:rtl/>
        </w:rPr>
        <w:t xml:space="preserve"> </w:t>
      </w:r>
      <w:r w:rsidRPr="00FD211F">
        <w:rPr>
          <w:sz w:val="36"/>
          <w:szCs w:val="36"/>
          <w:rtl/>
        </w:rPr>
        <w:t>لكونه</w:t>
      </w:r>
      <w:r w:rsidR="00E8128F">
        <w:rPr>
          <w:sz w:val="36"/>
          <w:szCs w:val="36"/>
          <w:rtl/>
        </w:rPr>
        <w:t xml:space="preserve"> </w:t>
      </w:r>
      <w:r w:rsidRPr="00FD211F">
        <w:rPr>
          <w:sz w:val="36"/>
          <w:szCs w:val="36"/>
          <w:rtl/>
        </w:rPr>
        <w:t>خبر</w:t>
      </w:r>
      <w:r w:rsidR="00E8128F">
        <w:rPr>
          <w:sz w:val="36"/>
          <w:szCs w:val="36"/>
          <w:rtl/>
        </w:rPr>
        <w:t xml:space="preserve"> </w:t>
      </w:r>
      <w:r w:rsidRPr="00FD211F">
        <w:rPr>
          <w:sz w:val="36"/>
          <w:szCs w:val="36"/>
          <w:rtl/>
        </w:rPr>
        <w:t>ثق</w:t>
      </w:r>
      <w:r w:rsidR="00EC7EDF" w:rsidRPr="00FD211F">
        <w:rPr>
          <w:sz w:val="36"/>
          <w:szCs w:val="36"/>
          <w:rtl/>
        </w:rPr>
        <w:t>ة</w:t>
      </w:r>
      <w:r w:rsidR="00E8128F">
        <w:rPr>
          <w:sz w:val="36"/>
          <w:szCs w:val="36"/>
          <w:rtl/>
        </w:rPr>
        <w:t xml:space="preserve"> </w:t>
      </w:r>
      <w:r w:rsidRPr="00FD211F">
        <w:rPr>
          <w:sz w:val="36"/>
          <w:szCs w:val="36"/>
          <w:rtl/>
        </w:rPr>
        <w:t>قائم</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قاعد</w:t>
      </w:r>
      <w:r w:rsidR="00EC7EDF" w:rsidRPr="00FD211F">
        <w:rPr>
          <w:sz w:val="36"/>
          <w:szCs w:val="36"/>
          <w:rtl/>
        </w:rPr>
        <w:t>ة</w:t>
      </w:r>
      <w:r w:rsidR="00E8128F">
        <w:rPr>
          <w:sz w:val="36"/>
          <w:szCs w:val="36"/>
          <w:rtl/>
        </w:rPr>
        <w:t xml:space="preserve"> </w:t>
      </w:r>
      <w:r w:rsidRPr="00FD211F">
        <w:rPr>
          <w:sz w:val="36"/>
          <w:szCs w:val="36"/>
          <w:rtl/>
        </w:rPr>
        <w:t>الحل</w:t>
      </w:r>
      <w:r w:rsidR="00603323" w:rsidRPr="00FD211F">
        <w:rPr>
          <w:sz w:val="36"/>
          <w:szCs w:val="36"/>
          <w:rtl/>
        </w:rPr>
        <w:t>،</w:t>
      </w:r>
      <w:r w:rsidR="00E8128F">
        <w:rPr>
          <w:sz w:val="36"/>
          <w:szCs w:val="36"/>
          <w:rtl/>
        </w:rPr>
        <w:t xml:space="preserve"> </w:t>
      </w:r>
      <w:r w:rsidRPr="00FD211F">
        <w:rPr>
          <w:sz w:val="36"/>
          <w:szCs w:val="36"/>
          <w:rtl/>
        </w:rPr>
        <w:t>والبحث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الامارات</w:t>
      </w:r>
      <w:r w:rsidR="00E8128F">
        <w:rPr>
          <w:sz w:val="36"/>
          <w:szCs w:val="36"/>
          <w:rtl/>
        </w:rPr>
        <w:t xml:space="preserve"> </w:t>
      </w:r>
      <w:r w:rsidRPr="00FD211F">
        <w:rPr>
          <w:sz w:val="36"/>
          <w:szCs w:val="36"/>
          <w:rtl/>
        </w:rPr>
        <w:t>بشكل</w:t>
      </w:r>
      <w:r w:rsidR="00E8128F">
        <w:rPr>
          <w:sz w:val="36"/>
          <w:szCs w:val="36"/>
          <w:rtl/>
        </w:rPr>
        <w:t xml:space="preserve"> </w:t>
      </w:r>
      <w:r w:rsidRPr="00FD211F">
        <w:rPr>
          <w:sz w:val="36"/>
          <w:szCs w:val="36"/>
          <w:rtl/>
        </w:rPr>
        <w:t>عام</w:t>
      </w:r>
      <w:r w:rsidR="00E8128F">
        <w:rPr>
          <w:sz w:val="36"/>
          <w:szCs w:val="36"/>
          <w:rtl/>
        </w:rPr>
        <w:t xml:space="preserve"> </w:t>
      </w:r>
      <w:r w:rsidR="00A3557D" w:rsidRPr="00FD211F">
        <w:rPr>
          <w:sz w:val="36"/>
          <w:szCs w:val="36"/>
          <w:rtl/>
        </w:rPr>
        <w:t>وان</w:t>
      </w:r>
      <w:r w:rsidR="00E8128F">
        <w:rPr>
          <w:sz w:val="36"/>
          <w:szCs w:val="36"/>
          <w:rtl/>
        </w:rPr>
        <w:t xml:space="preserve"> </w:t>
      </w:r>
      <w:r w:rsidR="00A3557D" w:rsidRPr="00FD211F">
        <w:rPr>
          <w:sz w:val="36"/>
          <w:szCs w:val="36"/>
          <w:rtl/>
        </w:rPr>
        <w:t>كان</w:t>
      </w:r>
      <w:r w:rsidR="00E8128F">
        <w:rPr>
          <w:sz w:val="36"/>
          <w:szCs w:val="36"/>
          <w:rtl/>
        </w:rPr>
        <w:t xml:space="preserve"> </w:t>
      </w:r>
      <w:r w:rsidR="00A3557D" w:rsidRPr="00FD211F">
        <w:rPr>
          <w:sz w:val="36"/>
          <w:szCs w:val="36"/>
          <w:rtl/>
        </w:rPr>
        <w:t>بحثا</w:t>
      </w:r>
      <w:r w:rsidR="00E8128F">
        <w:rPr>
          <w:sz w:val="36"/>
          <w:szCs w:val="36"/>
          <w:rtl/>
        </w:rPr>
        <w:t xml:space="preserve"> </w:t>
      </w:r>
      <w:r w:rsidR="00A3557D" w:rsidRPr="00FD211F">
        <w:rPr>
          <w:sz w:val="36"/>
          <w:szCs w:val="36"/>
          <w:rtl/>
        </w:rPr>
        <w:t>اصوليا</w:t>
      </w:r>
      <w:r w:rsidR="00E8128F">
        <w:rPr>
          <w:sz w:val="36"/>
          <w:szCs w:val="36"/>
          <w:rtl/>
        </w:rPr>
        <w:t xml:space="preserve"> </w:t>
      </w:r>
      <w:r w:rsidRPr="00FD211F">
        <w:rPr>
          <w:sz w:val="36"/>
          <w:szCs w:val="36"/>
          <w:rtl/>
        </w:rPr>
        <w:t>لكن</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مصاديقها</w:t>
      </w:r>
      <w:r w:rsidR="00E8128F">
        <w:rPr>
          <w:sz w:val="36"/>
          <w:szCs w:val="36"/>
          <w:rtl/>
        </w:rPr>
        <w:t xml:space="preserve"> </w:t>
      </w:r>
      <w:r w:rsidRPr="00FD211F">
        <w:rPr>
          <w:sz w:val="36"/>
          <w:szCs w:val="36"/>
          <w:rtl/>
        </w:rPr>
        <w:t>كالبحث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خبر</w:t>
      </w:r>
      <w:r w:rsidR="00E8128F">
        <w:rPr>
          <w:sz w:val="36"/>
          <w:szCs w:val="36"/>
          <w:rtl/>
        </w:rPr>
        <w:t xml:space="preserve"> </w:t>
      </w:r>
      <w:r w:rsidRPr="00FD211F">
        <w:rPr>
          <w:sz w:val="36"/>
          <w:szCs w:val="36"/>
          <w:rtl/>
        </w:rPr>
        <w:t>خاص</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بحثا</w:t>
      </w:r>
      <w:r w:rsidR="00E8128F">
        <w:rPr>
          <w:sz w:val="36"/>
          <w:szCs w:val="36"/>
          <w:rtl/>
        </w:rPr>
        <w:t xml:space="preserve"> </w:t>
      </w:r>
      <w:r w:rsidRPr="00FD211F">
        <w:rPr>
          <w:sz w:val="36"/>
          <w:szCs w:val="36"/>
          <w:rtl/>
        </w:rPr>
        <w:t>اصوليا</w:t>
      </w:r>
      <w:r w:rsidR="00603323" w:rsidRPr="00FD211F">
        <w:rPr>
          <w:sz w:val="36"/>
          <w:szCs w:val="36"/>
          <w:rtl/>
        </w:rPr>
        <w:t>،</w:t>
      </w:r>
      <w:r w:rsidR="00E8128F">
        <w:rPr>
          <w:sz w:val="36"/>
          <w:szCs w:val="36"/>
          <w:rtl/>
        </w:rPr>
        <w:t xml:space="preserve"> </w:t>
      </w:r>
      <w:r w:rsidRPr="00FD211F">
        <w:rPr>
          <w:sz w:val="36"/>
          <w:szCs w:val="36"/>
          <w:rtl/>
        </w:rPr>
        <w:t>وحينئذ</w:t>
      </w:r>
      <w:r w:rsidR="00E8128F">
        <w:rPr>
          <w:sz w:val="36"/>
          <w:szCs w:val="36"/>
          <w:rtl/>
        </w:rPr>
        <w:t xml:space="preserve"> </w:t>
      </w:r>
      <w:r w:rsidRPr="00FD211F">
        <w:rPr>
          <w:sz w:val="36"/>
          <w:szCs w:val="36"/>
          <w:rtl/>
        </w:rPr>
        <w:t>فنحتاج</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شمول</w:t>
      </w:r>
      <w:r w:rsidR="00E8128F">
        <w:rPr>
          <w:sz w:val="36"/>
          <w:szCs w:val="36"/>
          <w:rtl/>
        </w:rPr>
        <w:t xml:space="preserve"> </w:t>
      </w:r>
      <w:r w:rsidRPr="00FD211F">
        <w:rPr>
          <w:sz w:val="36"/>
          <w:szCs w:val="36"/>
          <w:rtl/>
        </w:rPr>
        <w:t>التعريف</w:t>
      </w:r>
      <w:r w:rsidR="00E8128F">
        <w:rPr>
          <w:sz w:val="36"/>
          <w:szCs w:val="36"/>
          <w:rtl/>
        </w:rPr>
        <w:t xml:space="preserve"> </w:t>
      </w:r>
      <w:r w:rsidRPr="00FD211F">
        <w:rPr>
          <w:sz w:val="36"/>
          <w:szCs w:val="36"/>
          <w:rtl/>
        </w:rPr>
        <w:t>للأصول</w:t>
      </w:r>
      <w:r w:rsidR="00E8128F">
        <w:rPr>
          <w:sz w:val="36"/>
          <w:szCs w:val="36"/>
          <w:rtl/>
        </w:rPr>
        <w:t xml:space="preserve"> </w:t>
      </w:r>
      <w:r w:rsidRPr="00FD211F">
        <w:rPr>
          <w:sz w:val="36"/>
          <w:szCs w:val="36"/>
          <w:rtl/>
        </w:rPr>
        <w:t>العملي</w:t>
      </w:r>
      <w:r w:rsidR="00EC7EDF" w:rsidRPr="00FD211F">
        <w:rPr>
          <w:sz w:val="36"/>
          <w:szCs w:val="36"/>
          <w:rtl/>
        </w:rPr>
        <w:t>ة</w:t>
      </w:r>
      <w:r w:rsidR="00E8128F">
        <w:rPr>
          <w:sz w:val="36"/>
          <w:szCs w:val="36"/>
          <w:rtl/>
        </w:rPr>
        <w:t xml:space="preserve"> </w:t>
      </w:r>
      <w:r w:rsidRPr="00FD211F">
        <w:rPr>
          <w:sz w:val="36"/>
          <w:szCs w:val="36"/>
          <w:rtl/>
        </w:rPr>
        <w:t>الشرعي</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التتميم</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صاحب</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00AB1B12" w:rsidRPr="00FD211F">
        <w:rPr>
          <w:sz w:val="36"/>
          <w:szCs w:val="36"/>
          <w:rtl/>
        </w:rPr>
        <w:t>"قده"</w:t>
      </w:r>
      <w:r w:rsidR="00E8128F">
        <w:rPr>
          <w:sz w:val="36"/>
          <w:szCs w:val="36"/>
          <w:rtl/>
        </w:rPr>
        <w:t xml:space="preserve"> </w:t>
      </w:r>
      <w:r w:rsidRPr="00FD211F">
        <w:rPr>
          <w:sz w:val="36"/>
          <w:szCs w:val="36"/>
          <w:rtl/>
        </w:rPr>
        <w:t>بقوله</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ينتهى</w:t>
      </w:r>
      <w:r w:rsidR="00E8128F">
        <w:rPr>
          <w:sz w:val="36"/>
          <w:szCs w:val="36"/>
          <w:rtl/>
        </w:rPr>
        <w:t xml:space="preserve"> </w:t>
      </w:r>
      <w:r w:rsidRPr="00FD211F">
        <w:rPr>
          <w:sz w:val="36"/>
          <w:szCs w:val="36"/>
          <w:rtl/>
        </w:rPr>
        <w:t>اليها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مقام</w:t>
      </w:r>
      <w:r w:rsidR="00E8128F">
        <w:rPr>
          <w:sz w:val="36"/>
          <w:szCs w:val="36"/>
          <w:rtl/>
        </w:rPr>
        <w:t xml:space="preserve"> </w:t>
      </w:r>
      <w:r w:rsidRPr="00FD211F">
        <w:rPr>
          <w:sz w:val="36"/>
          <w:szCs w:val="36"/>
          <w:rtl/>
        </w:rPr>
        <w:t>العمل.</w:t>
      </w:r>
    </w:p>
    <w:p w14:paraId="55D1D459" w14:textId="77777777" w:rsidR="00CA26A2" w:rsidRPr="00FD211F" w:rsidRDefault="00EF0F68" w:rsidP="009C58C8">
      <w:pPr>
        <w:ind w:left="0" w:firstLine="227"/>
        <w:jc w:val="both"/>
        <w:rPr>
          <w:sz w:val="36"/>
          <w:szCs w:val="36"/>
          <w:rtl/>
        </w:rPr>
      </w:pPr>
      <w:r w:rsidRPr="00FD211F">
        <w:rPr>
          <w:sz w:val="36"/>
          <w:szCs w:val="36"/>
          <w:rtl/>
        </w:rPr>
        <w:t>وهذا</w:t>
      </w:r>
      <w:r w:rsidR="00E8128F">
        <w:rPr>
          <w:sz w:val="36"/>
          <w:szCs w:val="36"/>
          <w:rtl/>
        </w:rPr>
        <w:t xml:space="preserve"> </w:t>
      </w:r>
      <w:r w:rsidRPr="00FD211F">
        <w:rPr>
          <w:sz w:val="36"/>
          <w:szCs w:val="36"/>
          <w:rtl/>
        </w:rPr>
        <w:t>بخلاف</w:t>
      </w:r>
      <w:r w:rsidR="00E8128F">
        <w:rPr>
          <w:sz w:val="36"/>
          <w:szCs w:val="36"/>
          <w:rtl/>
        </w:rPr>
        <w:t xml:space="preserve"> </w:t>
      </w:r>
      <w:r w:rsidRPr="00FD211F">
        <w:rPr>
          <w:sz w:val="36"/>
          <w:szCs w:val="36"/>
          <w:rtl/>
        </w:rPr>
        <w:t>موارد</w:t>
      </w:r>
      <w:r w:rsidR="00E8128F">
        <w:rPr>
          <w:sz w:val="36"/>
          <w:szCs w:val="36"/>
          <w:rtl/>
        </w:rPr>
        <w:t xml:space="preserve"> </w:t>
      </w:r>
      <w:r w:rsidR="00CA26A2" w:rsidRPr="00FD211F">
        <w:rPr>
          <w:sz w:val="36"/>
          <w:szCs w:val="36"/>
          <w:rtl/>
        </w:rPr>
        <w:t>قيام</w:t>
      </w:r>
      <w:r w:rsidR="00E8128F">
        <w:rPr>
          <w:sz w:val="36"/>
          <w:szCs w:val="36"/>
          <w:rtl/>
        </w:rPr>
        <w:t xml:space="preserve"> </w:t>
      </w:r>
      <w:r w:rsidR="00CA26A2" w:rsidRPr="00FD211F">
        <w:rPr>
          <w:sz w:val="36"/>
          <w:szCs w:val="36"/>
          <w:rtl/>
        </w:rPr>
        <w:t>الأمار</w:t>
      </w:r>
      <w:r w:rsidR="00EC7EDF" w:rsidRPr="00FD211F">
        <w:rPr>
          <w:sz w:val="36"/>
          <w:szCs w:val="36"/>
          <w:rtl/>
        </w:rPr>
        <w:t>ة</w:t>
      </w:r>
      <w:r w:rsidR="00603323" w:rsidRPr="00FD211F">
        <w:rPr>
          <w:sz w:val="36"/>
          <w:szCs w:val="36"/>
          <w:rtl/>
        </w:rPr>
        <w:t>،</w:t>
      </w:r>
      <w:r w:rsidR="00E8128F">
        <w:rPr>
          <w:sz w:val="36"/>
          <w:szCs w:val="36"/>
          <w:rtl/>
        </w:rPr>
        <w:t xml:space="preserve"> </w:t>
      </w:r>
      <w:r w:rsidR="00912F73" w:rsidRPr="00FD211F">
        <w:rPr>
          <w:sz w:val="36"/>
          <w:szCs w:val="36"/>
          <w:rtl/>
        </w:rPr>
        <w:t>حيث</w:t>
      </w:r>
      <w:r w:rsidR="00E8128F">
        <w:rPr>
          <w:sz w:val="36"/>
          <w:szCs w:val="36"/>
          <w:rtl/>
        </w:rPr>
        <w:t xml:space="preserve"> </w:t>
      </w:r>
      <w:r w:rsidR="00912F73" w:rsidRPr="00FD211F">
        <w:rPr>
          <w:sz w:val="36"/>
          <w:szCs w:val="36"/>
          <w:rtl/>
        </w:rPr>
        <w:t>تجتمع</w:t>
      </w:r>
      <w:r w:rsidR="00E8128F">
        <w:rPr>
          <w:sz w:val="36"/>
          <w:szCs w:val="36"/>
          <w:rtl/>
        </w:rPr>
        <w:t xml:space="preserve"> </w:t>
      </w:r>
      <w:r w:rsidR="00212462"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الأمار</w:t>
      </w:r>
      <w:r w:rsidR="00EC7EDF" w:rsidRPr="00FD211F">
        <w:rPr>
          <w:sz w:val="36"/>
          <w:szCs w:val="36"/>
          <w:rtl/>
        </w:rPr>
        <w:t>ة</w:t>
      </w:r>
      <w:r w:rsidR="00E8128F">
        <w:rPr>
          <w:sz w:val="36"/>
          <w:szCs w:val="36"/>
          <w:rtl/>
        </w:rPr>
        <w:t xml:space="preserve"> </w:t>
      </w:r>
      <w:r w:rsidR="00212462" w:rsidRPr="00FD211F">
        <w:rPr>
          <w:sz w:val="36"/>
          <w:szCs w:val="36"/>
          <w:rtl/>
        </w:rPr>
        <w:t>مع</w:t>
      </w:r>
      <w:r w:rsidR="00E8128F">
        <w:rPr>
          <w:sz w:val="36"/>
          <w:szCs w:val="36"/>
          <w:rtl/>
        </w:rPr>
        <w:t xml:space="preserve"> </w:t>
      </w:r>
      <w:r w:rsidR="00212462" w:rsidRPr="00FD211F">
        <w:rPr>
          <w:sz w:val="36"/>
          <w:szCs w:val="36"/>
          <w:rtl/>
        </w:rPr>
        <w:t>فعلي</w:t>
      </w:r>
      <w:r w:rsidR="00EC7EDF" w:rsidRPr="00FD211F">
        <w:rPr>
          <w:sz w:val="36"/>
          <w:szCs w:val="36"/>
          <w:rtl/>
        </w:rPr>
        <w:t>ة</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الواقعي</w:t>
      </w:r>
      <w:r w:rsidR="00603323" w:rsidRPr="00FD211F">
        <w:rPr>
          <w:sz w:val="36"/>
          <w:szCs w:val="36"/>
          <w:rtl/>
        </w:rPr>
        <w:t>،</w:t>
      </w:r>
      <w:r w:rsidR="00E8128F">
        <w:rPr>
          <w:sz w:val="36"/>
          <w:szCs w:val="36"/>
          <w:rtl/>
        </w:rPr>
        <w:t xml:space="preserve"> </w:t>
      </w:r>
      <w:r w:rsidR="00481208" w:rsidRPr="00FD211F">
        <w:rPr>
          <w:sz w:val="36"/>
          <w:szCs w:val="36"/>
          <w:rtl/>
        </w:rPr>
        <w:t>ف</w:t>
      </w:r>
      <w:r w:rsidRPr="00FD211F">
        <w:rPr>
          <w:sz w:val="36"/>
          <w:szCs w:val="36"/>
          <w:rtl/>
        </w:rPr>
        <w:t>ان</w:t>
      </w:r>
      <w:r w:rsidR="00E8128F">
        <w:rPr>
          <w:sz w:val="36"/>
          <w:szCs w:val="36"/>
          <w:rtl/>
        </w:rPr>
        <w:t xml:space="preserve"> </w:t>
      </w:r>
      <w:r w:rsidRPr="00FD211F">
        <w:rPr>
          <w:sz w:val="36"/>
          <w:szCs w:val="36"/>
          <w:rtl/>
        </w:rPr>
        <w:t>قيام</w:t>
      </w:r>
      <w:r w:rsidR="00E8128F">
        <w:rPr>
          <w:sz w:val="36"/>
          <w:szCs w:val="36"/>
          <w:rtl/>
        </w:rPr>
        <w:t xml:space="preserve"> </w:t>
      </w:r>
      <w:r w:rsidRPr="00FD211F">
        <w:rPr>
          <w:sz w:val="36"/>
          <w:szCs w:val="36"/>
          <w:rtl/>
        </w:rPr>
        <w:t>الأمار</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حلي</w:t>
      </w:r>
      <w:r w:rsidR="00EC7EDF" w:rsidRPr="00FD211F">
        <w:rPr>
          <w:sz w:val="36"/>
          <w:szCs w:val="36"/>
          <w:rtl/>
        </w:rPr>
        <w:t>ة</w:t>
      </w:r>
      <w:r w:rsidR="00E8128F">
        <w:rPr>
          <w:sz w:val="36"/>
          <w:szCs w:val="36"/>
          <w:rtl/>
        </w:rPr>
        <w:t xml:space="preserve"> </w:t>
      </w:r>
      <w:r w:rsidRPr="00FD211F">
        <w:rPr>
          <w:sz w:val="36"/>
          <w:szCs w:val="36"/>
          <w:rtl/>
        </w:rPr>
        <w:t>شرب</w:t>
      </w:r>
      <w:r w:rsidR="00E8128F">
        <w:rPr>
          <w:sz w:val="36"/>
          <w:szCs w:val="36"/>
          <w:rtl/>
        </w:rPr>
        <w:t xml:space="preserve"> </w:t>
      </w:r>
      <w:r w:rsidRPr="00FD211F">
        <w:rPr>
          <w:sz w:val="36"/>
          <w:szCs w:val="36"/>
          <w:rtl/>
        </w:rPr>
        <w:t>التتن</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يجتمع</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كون</w:t>
      </w:r>
      <w:r w:rsidR="00E8128F">
        <w:rPr>
          <w:sz w:val="36"/>
          <w:szCs w:val="36"/>
          <w:rtl/>
        </w:rPr>
        <w:t xml:space="preserve"> </w:t>
      </w:r>
      <w:r w:rsidR="00CA26A2" w:rsidRPr="00FD211F">
        <w:rPr>
          <w:sz w:val="36"/>
          <w:szCs w:val="36"/>
          <w:rtl/>
        </w:rPr>
        <w:t>حرمته</w:t>
      </w:r>
      <w:r w:rsidR="00E8128F">
        <w:rPr>
          <w:sz w:val="36"/>
          <w:szCs w:val="36"/>
          <w:rtl/>
        </w:rPr>
        <w:t xml:space="preserve"> </w:t>
      </w:r>
      <w:r w:rsidR="00CA26A2" w:rsidRPr="00FD211F">
        <w:rPr>
          <w:sz w:val="36"/>
          <w:szCs w:val="36"/>
          <w:rtl/>
        </w:rPr>
        <w:t>الواقعي</w:t>
      </w:r>
      <w:r w:rsidR="00EC7EDF" w:rsidRPr="00FD211F">
        <w:rPr>
          <w:sz w:val="36"/>
          <w:szCs w:val="36"/>
          <w:rtl/>
        </w:rPr>
        <w:t>ة</w:t>
      </w:r>
      <w:r w:rsidR="00E8128F">
        <w:rPr>
          <w:sz w:val="36"/>
          <w:szCs w:val="36"/>
          <w:rtl/>
        </w:rPr>
        <w:t xml:space="preserve"> </w:t>
      </w:r>
      <w:r w:rsidR="00CA26A2" w:rsidRPr="00FD211F">
        <w:rPr>
          <w:sz w:val="36"/>
          <w:szCs w:val="36"/>
          <w:rtl/>
        </w:rPr>
        <w:t>فعلي</w:t>
      </w:r>
      <w:r w:rsidR="00EC7EDF" w:rsidRPr="00FD211F">
        <w:rPr>
          <w:sz w:val="36"/>
          <w:szCs w:val="36"/>
          <w:rtl/>
        </w:rPr>
        <w:t>ة</w:t>
      </w:r>
      <w:r w:rsidR="00603323" w:rsidRPr="00FD211F">
        <w:rPr>
          <w:sz w:val="36"/>
          <w:szCs w:val="36"/>
          <w:rtl/>
        </w:rPr>
        <w:t>،</w:t>
      </w:r>
      <w:r w:rsidR="00E8128F">
        <w:rPr>
          <w:sz w:val="36"/>
          <w:szCs w:val="36"/>
          <w:rtl/>
        </w:rPr>
        <w:t xml:space="preserve"> </w:t>
      </w:r>
      <w:r w:rsidR="00CA26A2" w:rsidRPr="00FD211F">
        <w:rPr>
          <w:sz w:val="36"/>
          <w:szCs w:val="36"/>
          <w:rtl/>
        </w:rPr>
        <w:t>اذ</w:t>
      </w:r>
      <w:r w:rsidR="00E8128F">
        <w:rPr>
          <w:sz w:val="36"/>
          <w:szCs w:val="36"/>
          <w:rtl/>
        </w:rPr>
        <w:t xml:space="preserve"> </w:t>
      </w:r>
      <w:r w:rsidR="00CA26A2" w:rsidRPr="00FD211F">
        <w:rPr>
          <w:sz w:val="36"/>
          <w:szCs w:val="36"/>
          <w:rtl/>
        </w:rPr>
        <w:t>حجي</w:t>
      </w:r>
      <w:r w:rsidR="00EC7EDF" w:rsidRPr="00FD211F">
        <w:rPr>
          <w:sz w:val="36"/>
          <w:szCs w:val="36"/>
          <w:rtl/>
        </w:rPr>
        <w:t>ة</w:t>
      </w:r>
      <w:r w:rsidR="00E8128F">
        <w:rPr>
          <w:sz w:val="36"/>
          <w:szCs w:val="36"/>
          <w:rtl/>
        </w:rPr>
        <w:t xml:space="preserve"> </w:t>
      </w:r>
      <w:r w:rsidR="00CA26A2" w:rsidRPr="00FD211F">
        <w:rPr>
          <w:sz w:val="36"/>
          <w:szCs w:val="36"/>
          <w:rtl/>
        </w:rPr>
        <w:t>الأمار</w:t>
      </w:r>
      <w:r w:rsidR="00EC7EDF" w:rsidRPr="00FD211F">
        <w:rPr>
          <w:sz w:val="36"/>
          <w:szCs w:val="36"/>
          <w:rtl/>
        </w:rPr>
        <w:t>ة</w:t>
      </w:r>
      <w:r w:rsidR="00E8128F">
        <w:rPr>
          <w:sz w:val="36"/>
          <w:szCs w:val="36"/>
          <w:rtl/>
        </w:rPr>
        <w:t xml:space="preserve"> </w:t>
      </w:r>
      <w:r w:rsidR="00CA26A2" w:rsidRPr="00FD211F">
        <w:rPr>
          <w:sz w:val="36"/>
          <w:szCs w:val="36"/>
          <w:rtl/>
        </w:rPr>
        <w:t>إ</w:t>
      </w:r>
      <w:r w:rsidR="003A4722" w:rsidRPr="00FD211F">
        <w:rPr>
          <w:sz w:val="36"/>
          <w:szCs w:val="36"/>
          <w:rtl/>
        </w:rPr>
        <w:t>ما</w:t>
      </w:r>
      <w:r w:rsidR="00E8128F">
        <w:rPr>
          <w:sz w:val="36"/>
          <w:szCs w:val="36"/>
          <w:rtl/>
        </w:rPr>
        <w:t xml:space="preserve"> </w:t>
      </w:r>
      <w:r w:rsidR="003A4722" w:rsidRPr="00FD211F">
        <w:rPr>
          <w:sz w:val="36"/>
          <w:szCs w:val="36"/>
          <w:rtl/>
        </w:rPr>
        <w:t>بمعنى</w:t>
      </w:r>
      <w:r w:rsidR="00E8128F">
        <w:rPr>
          <w:sz w:val="36"/>
          <w:szCs w:val="36"/>
          <w:rtl/>
        </w:rPr>
        <w:t xml:space="preserve"> </w:t>
      </w:r>
      <w:r w:rsidR="003A4722" w:rsidRPr="00FD211F">
        <w:rPr>
          <w:sz w:val="36"/>
          <w:szCs w:val="36"/>
          <w:rtl/>
        </w:rPr>
        <w:t>المنجزي</w:t>
      </w:r>
      <w:r w:rsidR="00EC7EDF" w:rsidRPr="00FD211F">
        <w:rPr>
          <w:sz w:val="36"/>
          <w:szCs w:val="36"/>
          <w:rtl/>
        </w:rPr>
        <w:t>ة</w:t>
      </w:r>
      <w:r w:rsidR="00E8128F">
        <w:rPr>
          <w:sz w:val="36"/>
          <w:szCs w:val="36"/>
          <w:rtl/>
        </w:rPr>
        <w:t xml:space="preserve"> </w:t>
      </w:r>
      <w:r w:rsidR="003A4722" w:rsidRPr="00FD211F">
        <w:rPr>
          <w:sz w:val="36"/>
          <w:szCs w:val="36"/>
          <w:rtl/>
        </w:rPr>
        <w:t>والمعذري</w:t>
      </w:r>
      <w:r w:rsidR="00EC7EDF" w:rsidRPr="00FD211F">
        <w:rPr>
          <w:sz w:val="36"/>
          <w:szCs w:val="36"/>
          <w:rtl/>
        </w:rPr>
        <w:t>ة</w:t>
      </w:r>
      <w:r w:rsidR="00E8128F">
        <w:rPr>
          <w:sz w:val="36"/>
          <w:szCs w:val="36"/>
          <w:rtl/>
        </w:rPr>
        <w:t xml:space="preserve"> </w:t>
      </w:r>
      <w:r w:rsidR="003A4722" w:rsidRPr="00FD211F">
        <w:rPr>
          <w:sz w:val="36"/>
          <w:szCs w:val="36"/>
          <w:rtl/>
        </w:rPr>
        <w:t>فلات</w:t>
      </w:r>
      <w:r w:rsidR="00CA26A2" w:rsidRPr="00FD211F">
        <w:rPr>
          <w:sz w:val="36"/>
          <w:szCs w:val="36"/>
          <w:rtl/>
        </w:rPr>
        <w:t>تنافي</w:t>
      </w:r>
      <w:r w:rsidR="00E8128F">
        <w:rPr>
          <w:sz w:val="36"/>
          <w:szCs w:val="36"/>
          <w:rtl/>
        </w:rPr>
        <w:t xml:space="preserve"> </w:t>
      </w:r>
      <w:r w:rsidR="00CA26A2" w:rsidRPr="00FD211F">
        <w:rPr>
          <w:sz w:val="36"/>
          <w:szCs w:val="36"/>
          <w:rtl/>
        </w:rPr>
        <w:t>مع</w:t>
      </w:r>
      <w:r w:rsidR="00E8128F">
        <w:rPr>
          <w:sz w:val="36"/>
          <w:szCs w:val="36"/>
          <w:rtl/>
        </w:rPr>
        <w:t xml:space="preserve"> </w:t>
      </w:r>
      <w:r w:rsidR="00CA26A2" w:rsidRPr="00FD211F">
        <w:rPr>
          <w:sz w:val="36"/>
          <w:szCs w:val="36"/>
          <w:rtl/>
        </w:rPr>
        <w:t>فعلي</w:t>
      </w:r>
      <w:r w:rsidR="00EC7EDF" w:rsidRPr="00FD211F">
        <w:rPr>
          <w:sz w:val="36"/>
          <w:szCs w:val="36"/>
          <w:rtl/>
        </w:rPr>
        <w:t>ة</w:t>
      </w:r>
      <w:r w:rsidR="00E8128F">
        <w:rPr>
          <w:sz w:val="36"/>
          <w:szCs w:val="36"/>
          <w:rtl/>
        </w:rPr>
        <w:t xml:space="preserve"> </w:t>
      </w:r>
      <w:r w:rsidR="00CA26A2" w:rsidRPr="00FD211F">
        <w:rPr>
          <w:sz w:val="36"/>
          <w:szCs w:val="36"/>
          <w:rtl/>
        </w:rPr>
        <w:t>الحكم</w:t>
      </w:r>
      <w:r w:rsidR="00E8128F">
        <w:rPr>
          <w:sz w:val="36"/>
          <w:szCs w:val="36"/>
          <w:rtl/>
        </w:rPr>
        <w:t xml:space="preserve"> </w:t>
      </w:r>
      <w:r w:rsidR="00CA26A2" w:rsidRPr="00FD211F">
        <w:rPr>
          <w:sz w:val="36"/>
          <w:szCs w:val="36"/>
          <w:rtl/>
        </w:rPr>
        <w:t>الفعلي</w:t>
      </w:r>
      <w:r w:rsidR="00E8128F">
        <w:rPr>
          <w:sz w:val="36"/>
          <w:szCs w:val="36"/>
          <w:rtl/>
        </w:rPr>
        <w:t xml:space="preserve"> </w:t>
      </w:r>
      <w:r w:rsidR="00CA26A2" w:rsidRPr="00FD211F">
        <w:rPr>
          <w:sz w:val="36"/>
          <w:szCs w:val="36"/>
          <w:rtl/>
        </w:rPr>
        <w:t>الواقعي</w:t>
      </w:r>
      <w:r w:rsidR="00603323" w:rsidRPr="00FD211F">
        <w:rPr>
          <w:sz w:val="36"/>
          <w:szCs w:val="36"/>
          <w:rtl/>
        </w:rPr>
        <w:t>،</w:t>
      </w:r>
      <w:r w:rsidR="00E8128F">
        <w:rPr>
          <w:sz w:val="36"/>
          <w:szCs w:val="36"/>
          <w:rtl/>
        </w:rPr>
        <w:t xml:space="preserve"> </w:t>
      </w:r>
      <w:r w:rsidR="00CA26A2" w:rsidRPr="00FD211F">
        <w:rPr>
          <w:sz w:val="36"/>
          <w:szCs w:val="36"/>
          <w:rtl/>
        </w:rPr>
        <w:t>او</w:t>
      </w:r>
      <w:r w:rsidR="00E8128F">
        <w:rPr>
          <w:sz w:val="36"/>
          <w:szCs w:val="36"/>
          <w:rtl/>
        </w:rPr>
        <w:t xml:space="preserve"> </w:t>
      </w:r>
      <w:r w:rsidR="00CA26A2" w:rsidRPr="00FD211F">
        <w:rPr>
          <w:sz w:val="36"/>
          <w:szCs w:val="36"/>
          <w:rtl/>
        </w:rPr>
        <w:t>بمعنى</w:t>
      </w:r>
      <w:r w:rsidR="00E8128F">
        <w:rPr>
          <w:sz w:val="36"/>
          <w:szCs w:val="36"/>
          <w:rtl/>
        </w:rPr>
        <w:t xml:space="preserve"> </w:t>
      </w:r>
      <w:r w:rsidR="00CA26A2" w:rsidRPr="00FD211F">
        <w:rPr>
          <w:sz w:val="36"/>
          <w:szCs w:val="36"/>
          <w:rtl/>
        </w:rPr>
        <w:t>إنشاء</w:t>
      </w:r>
      <w:r w:rsidR="00E8128F">
        <w:rPr>
          <w:sz w:val="36"/>
          <w:szCs w:val="36"/>
          <w:rtl/>
        </w:rPr>
        <w:t xml:space="preserve"> </w:t>
      </w:r>
      <w:r w:rsidR="00CA26A2" w:rsidRPr="00FD211F">
        <w:rPr>
          <w:sz w:val="36"/>
          <w:szCs w:val="36"/>
          <w:rtl/>
        </w:rPr>
        <w:t>الحكم</w:t>
      </w:r>
      <w:r w:rsidR="00E8128F">
        <w:rPr>
          <w:sz w:val="36"/>
          <w:szCs w:val="36"/>
          <w:rtl/>
        </w:rPr>
        <w:t xml:space="preserve"> </w:t>
      </w:r>
      <w:r w:rsidR="00CA26A2" w:rsidRPr="00FD211F">
        <w:rPr>
          <w:sz w:val="36"/>
          <w:szCs w:val="36"/>
          <w:rtl/>
        </w:rPr>
        <w:t>المماثل</w:t>
      </w:r>
      <w:r w:rsidR="00E8128F">
        <w:rPr>
          <w:sz w:val="36"/>
          <w:szCs w:val="36"/>
          <w:rtl/>
        </w:rPr>
        <w:t xml:space="preserve"> </w:t>
      </w:r>
      <w:r w:rsidR="00CA26A2" w:rsidRPr="00FD211F">
        <w:rPr>
          <w:sz w:val="36"/>
          <w:szCs w:val="36"/>
          <w:rtl/>
        </w:rPr>
        <w:t>على</w:t>
      </w:r>
      <w:r w:rsidR="00E8128F">
        <w:rPr>
          <w:sz w:val="36"/>
          <w:szCs w:val="36"/>
          <w:rtl/>
        </w:rPr>
        <w:t xml:space="preserve"> </w:t>
      </w:r>
      <w:r w:rsidR="00CA26A2" w:rsidRPr="00FD211F">
        <w:rPr>
          <w:sz w:val="36"/>
          <w:szCs w:val="36"/>
          <w:rtl/>
        </w:rPr>
        <w:t>وفق</w:t>
      </w:r>
      <w:r w:rsidR="00E8128F">
        <w:rPr>
          <w:sz w:val="36"/>
          <w:szCs w:val="36"/>
          <w:rtl/>
        </w:rPr>
        <w:t xml:space="preserve"> </w:t>
      </w:r>
      <w:r w:rsidR="00CA26A2" w:rsidRPr="00FD211F">
        <w:rPr>
          <w:sz w:val="36"/>
          <w:szCs w:val="36"/>
          <w:rtl/>
        </w:rPr>
        <w:t>مؤدى</w:t>
      </w:r>
      <w:r w:rsidR="00E8128F">
        <w:rPr>
          <w:sz w:val="36"/>
          <w:szCs w:val="36"/>
          <w:rtl/>
        </w:rPr>
        <w:t xml:space="preserve"> </w:t>
      </w:r>
      <w:r w:rsidR="00CA26A2" w:rsidRPr="00FD211F">
        <w:rPr>
          <w:sz w:val="36"/>
          <w:szCs w:val="36"/>
          <w:rtl/>
        </w:rPr>
        <w:t>الأمار</w:t>
      </w:r>
      <w:r w:rsidR="00EC7EDF" w:rsidRPr="00FD211F">
        <w:rPr>
          <w:sz w:val="36"/>
          <w:szCs w:val="36"/>
          <w:rtl/>
        </w:rPr>
        <w:t>ة</w:t>
      </w:r>
      <w:r w:rsidR="00603323" w:rsidRPr="00FD211F">
        <w:rPr>
          <w:sz w:val="36"/>
          <w:szCs w:val="36"/>
          <w:rtl/>
        </w:rPr>
        <w:t>،</w:t>
      </w:r>
      <w:r w:rsidR="00E8128F">
        <w:rPr>
          <w:sz w:val="36"/>
          <w:szCs w:val="36"/>
          <w:rtl/>
        </w:rPr>
        <w:t xml:space="preserve"> </w:t>
      </w:r>
      <w:r w:rsidR="00CA26A2" w:rsidRPr="00FD211F">
        <w:rPr>
          <w:sz w:val="36"/>
          <w:szCs w:val="36"/>
          <w:rtl/>
        </w:rPr>
        <w:t>فاذا</w:t>
      </w:r>
      <w:r w:rsidR="00E8128F">
        <w:rPr>
          <w:sz w:val="36"/>
          <w:szCs w:val="36"/>
          <w:rtl/>
        </w:rPr>
        <w:t xml:space="preserve"> </w:t>
      </w:r>
      <w:r w:rsidR="00CA26A2" w:rsidRPr="00FD211F">
        <w:rPr>
          <w:sz w:val="36"/>
          <w:szCs w:val="36"/>
          <w:rtl/>
        </w:rPr>
        <w:t>قام</w:t>
      </w:r>
      <w:r w:rsidR="00E8128F">
        <w:rPr>
          <w:sz w:val="36"/>
          <w:szCs w:val="36"/>
          <w:rtl/>
        </w:rPr>
        <w:t xml:space="preserve"> </w:t>
      </w:r>
      <w:r w:rsidR="00CA26A2" w:rsidRPr="00FD211F">
        <w:rPr>
          <w:sz w:val="36"/>
          <w:szCs w:val="36"/>
          <w:rtl/>
        </w:rPr>
        <w:t>خبر</w:t>
      </w:r>
      <w:r w:rsidR="00E8128F">
        <w:rPr>
          <w:sz w:val="36"/>
          <w:szCs w:val="36"/>
          <w:rtl/>
        </w:rPr>
        <w:t xml:space="preserve"> </w:t>
      </w:r>
      <w:r w:rsidR="00CA26A2" w:rsidRPr="00FD211F">
        <w:rPr>
          <w:sz w:val="36"/>
          <w:szCs w:val="36"/>
          <w:rtl/>
        </w:rPr>
        <w:t>الثق</w:t>
      </w:r>
      <w:r w:rsidR="00EC7EDF" w:rsidRPr="00FD211F">
        <w:rPr>
          <w:sz w:val="36"/>
          <w:szCs w:val="36"/>
          <w:rtl/>
        </w:rPr>
        <w:t>ة</w:t>
      </w:r>
      <w:r w:rsidR="00E8128F">
        <w:rPr>
          <w:sz w:val="36"/>
          <w:szCs w:val="36"/>
          <w:rtl/>
        </w:rPr>
        <w:t xml:space="preserve"> </w:t>
      </w:r>
      <w:r w:rsidR="00CA26A2" w:rsidRPr="00FD211F">
        <w:rPr>
          <w:sz w:val="36"/>
          <w:szCs w:val="36"/>
          <w:rtl/>
        </w:rPr>
        <w:t>على</w:t>
      </w:r>
      <w:r w:rsidR="00E8128F">
        <w:rPr>
          <w:sz w:val="36"/>
          <w:szCs w:val="36"/>
          <w:rtl/>
        </w:rPr>
        <w:t xml:space="preserve"> </w:t>
      </w:r>
      <w:r w:rsidR="00CA26A2" w:rsidRPr="00FD211F">
        <w:rPr>
          <w:sz w:val="36"/>
          <w:szCs w:val="36"/>
          <w:rtl/>
        </w:rPr>
        <w:t>حلي</w:t>
      </w:r>
      <w:r w:rsidR="00EC7EDF" w:rsidRPr="00FD211F">
        <w:rPr>
          <w:sz w:val="36"/>
          <w:szCs w:val="36"/>
          <w:rtl/>
        </w:rPr>
        <w:t>ة</w:t>
      </w:r>
      <w:r w:rsidR="00E8128F">
        <w:rPr>
          <w:sz w:val="36"/>
          <w:szCs w:val="36"/>
          <w:rtl/>
        </w:rPr>
        <w:t xml:space="preserve"> </w:t>
      </w:r>
      <w:r w:rsidR="00CA26A2" w:rsidRPr="00FD211F">
        <w:rPr>
          <w:sz w:val="36"/>
          <w:szCs w:val="36"/>
          <w:rtl/>
        </w:rPr>
        <w:t>شرب</w:t>
      </w:r>
      <w:r w:rsidR="00E8128F">
        <w:rPr>
          <w:sz w:val="36"/>
          <w:szCs w:val="36"/>
          <w:rtl/>
        </w:rPr>
        <w:t xml:space="preserve"> </w:t>
      </w:r>
      <w:r w:rsidR="00CA26A2" w:rsidRPr="00FD211F">
        <w:rPr>
          <w:sz w:val="36"/>
          <w:szCs w:val="36"/>
          <w:rtl/>
        </w:rPr>
        <w:t>التتن</w:t>
      </w:r>
      <w:r w:rsidR="00E8128F">
        <w:rPr>
          <w:sz w:val="36"/>
          <w:szCs w:val="36"/>
          <w:rtl/>
        </w:rPr>
        <w:t xml:space="preserve"> </w:t>
      </w:r>
      <w:r w:rsidR="00CA26A2" w:rsidRPr="00FD211F">
        <w:rPr>
          <w:sz w:val="36"/>
          <w:szCs w:val="36"/>
          <w:rtl/>
        </w:rPr>
        <w:t>مثلا</w:t>
      </w:r>
      <w:r w:rsidR="00E8128F">
        <w:rPr>
          <w:sz w:val="36"/>
          <w:szCs w:val="36"/>
          <w:rtl/>
        </w:rPr>
        <w:t xml:space="preserve"> </w:t>
      </w:r>
      <w:r w:rsidR="00CA26A2" w:rsidRPr="00FD211F">
        <w:rPr>
          <w:sz w:val="36"/>
          <w:szCs w:val="36"/>
          <w:rtl/>
        </w:rPr>
        <w:t>فين</w:t>
      </w:r>
      <w:r w:rsidR="00251CB6" w:rsidRPr="00FD211F">
        <w:rPr>
          <w:sz w:val="36"/>
          <w:szCs w:val="36"/>
          <w:rtl/>
        </w:rPr>
        <w:t>شيء</w:t>
      </w:r>
      <w:r w:rsidR="00E8128F">
        <w:rPr>
          <w:sz w:val="36"/>
          <w:szCs w:val="36"/>
          <w:rtl/>
        </w:rPr>
        <w:t xml:space="preserve"> </w:t>
      </w:r>
      <w:r w:rsidR="00CA26A2" w:rsidRPr="00FD211F">
        <w:rPr>
          <w:sz w:val="36"/>
          <w:szCs w:val="36"/>
          <w:rtl/>
        </w:rPr>
        <w:t>المولى</w:t>
      </w:r>
      <w:r w:rsidR="00E8128F">
        <w:rPr>
          <w:sz w:val="36"/>
          <w:szCs w:val="36"/>
          <w:rtl/>
        </w:rPr>
        <w:t xml:space="preserve"> </w:t>
      </w:r>
      <w:r w:rsidR="00CA26A2" w:rsidRPr="00FD211F">
        <w:rPr>
          <w:sz w:val="36"/>
          <w:szCs w:val="36"/>
          <w:rtl/>
        </w:rPr>
        <w:t>حليته</w:t>
      </w:r>
      <w:r w:rsidR="00603323" w:rsidRPr="00FD211F">
        <w:rPr>
          <w:sz w:val="36"/>
          <w:szCs w:val="36"/>
          <w:rtl/>
        </w:rPr>
        <w:t>،</w:t>
      </w:r>
      <w:r w:rsidR="00E8128F">
        <w:rPr>
          <w:sz w:val="36"/>
          <w:szCs w:val="36"/>
          <w:rtl/>
        </w:rPr>
        <w:t xml:space="preserve"> </w:t>
      </w:r>
      <w:r w:rsidR="00CA26A2" w:rsidRPr="00FD211F">
        <w:rPr>
          <w:sz w:val="36"/>
          <w:szCs w:val="36"/>
          <w:rtl/>
        </w:rPr>
        <w:t>وحينئذ</w:t>
      </w:r>
      <w:r w:rsidR="00E8128F">
        <w:rPr>
          <w:sz w:val="36"/>
          <w:szCs w:val="36"/>
          <w:rtl/>
        </w:rPr>
        <w:t xml:space="preserve"> </w:t>
      </w:r>
      <w:r w:rsidR="00CA26A2" w:rsidRPr="00FD211F">
        <w:rPr>
          <w:sz w:val="36"/>
          <w:szCs w:val="36"/>
          <w:rtl/>
        </w:rPr>
        <w:t>فقد</w:t>
      </w:r>
      <w:r w:rsidR="00E8128F">
        <w:rPr>
          <w:sz w:val="36"/>
          <w:szCs w:val="36"/>
          <w:rtl/>
        </w:rPr>
        <w:t xml:space="preserve"> </w:t>
      </w:r>
      <w:r w:rsidR="00CA26A2" w:rsidRPr="00FD211F">
        <w:rPr>
          <w:sz w:val="36"/>
          <w:szCs w:val="36"/>
          <w:rtl/>
        </w:rPr>
        <w:t>يكون</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الواقع</w:t>
      </w:r>
      <w:r w:rsidR="00E8128F">
        <w:rPr>
          <w:sz w:val="36"/>
          <w:szCs w:val="36"/>
          <w:rtl/>
        </w:rPr>
        <w:t xml:space="preserve"> </w:t>
      </w:r>
      <w:r w:rsidR="00CA26A2" w:rsidRPr="00FD211F">
        <w:rPr>
          <w:sz w:val="36"/>
          <w:szCs w:val="36"/>
          <w:rtl/>
        </w:rPr>
        <w:t>محرما</w:t>
      </w:r>
      <w:r w:rsidR="00E8128F">
        <w:rPr>
          <w:sz w:val="36"/>
          <w:szCs w:val="36"/>
          <w:rtl/>
        </w:rPr>
        <w:t xml:space="preserve"> </w:t>
      </w:r>
      <w:r w:rsidR="00CA26A2" w:rsidRPr="00FD211F">
        <w:rPr>
          <w:sz w:val="36"/>
          <w:szCs w:val="36"/>
          <w:rtl/>
        </w:rPr>
        <w:t>ولكن</w:t>
      </w:r>
      <w:r w:rsidR="00E8128F">
        <w:rPr>
          <w:sz w:val="36"/>
          <w:szCs w:val="36"/>
          <w:rtl/>
        </w:rPr>
        <w:t xml:space="preserve"> </w:t>
      </w:r>
      <w:r w:rsidR="008031F7" w:rsidRPr="00FD211F">
        <w:rPr>
          <w:sz w:val="36"/>
          <w:szCs w:val="36"/>
          <w:rtl/>
        </w:rPr>
        <w:t>حيث</w:t>
      </w:r>
      <w:r w:rsidR="00E8128F">
        <w:rPr>
          <w:sz w:val="36"/>
          <w:szCs w:val="36"/>
          <w:rtl/>
        </w:rPr>
        <w:t xml:space="preserve"> </w:t>
      </w:r>
      <w:r w:rsidR="008D7B3D" w:rsidRPr="00FD211F">
        <w:rPr>
          <w:sz w:val="36"/>
          <w:szCs w:val="36"/>
          <w:rtl/>
        </w:rPr>
        <w:t>لم‌</w:t>
      </w:r>
      <w:r w:rsidR="00CA26A2" w:rsidRPr="00FD211F">
        <w:rPr>
          <w:sz w:val="36"/>
          <w:szCs w:val="36"/>
          <w:rtl/>
        </w:rPr>
        <w:t>تكن</w:t>
      </w:r>
      <w:r w:rsidR="00E8128F">
        <w:rPr>
          <w:sz w:val="36"/>
          <w:szCs w:val="36"/>
          <w:rtl/>
        </w:rPr>
        <w:t xml:space="preserve"> </w:t>
      </w:r>
      <w:r w:rsidR="00CA26A2" w:rsidRPr="00FD211F">
        <w:rPr>
          <w:sz w:val="36"/>
          <w:szCs w:val="36"/>
          <w:rtl/>
        </w:rPr>
        <w:t>حليته</w:t>
      </w:r>
      <w:r w:rsidR="00E8128F">
        <w:rPr>
          <w:sz w:val="36"/>
          <w:szCs w:val="36"/>
          <w:rtl/>
        </w:rPr>
        <w:t xml:space="preserve"> </w:t>
      </w:r>
      <w:r w:rsidR="00CA26A2" w:rsidRPr="00FD211F">
        <w:rPr>
          <w:sz w:val="36"/>
          <w:szCs w:val="36"/>
          <w:rtl/>
        </w:rPr>
        <w:t>الظاهري</w:t>
      </w:r>
      <w:r w:rsidR="00EC7EDF" w:rsidRPr="00FD211F">
        <w:rPr>
          <w:sz w:val="36"/>
          <w:szCs w:val="36"/>
          <w:rtl/>
        </w:rPr>
        <w:t>ة</w:t>
      </w:r>
      <w:r w:rsidR="00E8128F">
        <w:rPr>
          <w:sz w:val="36"/>
          <w:szCs w:val="36"/>
          <w:rtl/>
        </w:rPr>
        <w:t xml:space="preserve"> </w:t>
      </w:r>
      <w:r w:rsidR="00CA26A2" w:rsidRPr="00FD211F">
        <w:rPr>
          <w:sz w:val="36"/>
          <w:szCs w:val="36"/>
          <w:rtl/>
        </w:rPr>
        <w:t>ناشئ</w:t>
      </w:r>
      <w:r w:rsidR="00EC7EDF" w:rsidRPr="00FD211F">
        <w:rPr>
          <w:sz w:val="36"/>
          <w:szCs w:val="36"/>
          <w:rtl/>
        </w:rPr>
        <w:t>ة</w:t>
      </w:r>
      <w:r w:rsidR="00E8128F">
        <w:rPr>
          <w:sz w:val="36"/>
          <w:szCs w:val="36"/>
          <w:rtl/>
        </w:rPr>
        <w:t xml:space="preserve"> </w:t>
      </w:r>
      <w:r w:rsidR="00CA26A2" w:rsidRPr="00FD211F">
        <w:rPr>
          <w:sz w:val="36"/>
          <w:szCs w:val="36"/>
          <w:rtl/>
        </w:rPr>
        <w:t>عن</w:t>
      </w:r>
      <w:r w:rsidR="00E8128F">
        <w:rPr>
          <w:sz w:val="36"/>
          <w:szCs w:val="36"/>
          <w:rtl/>
        </w:rPr>
        <w:t xml:space="preserve"> </w:t>
      </w:r>
      <w:r w:rsidR="00CA26A2" w:rsidRPr="00FD211F">
        <w:rPr>
          <w:sz w:val="36"/>
          <w:szCs w:val="36"/>
          <w:rtl/>
        </w:rPr>
        <w:t>ملاك</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متعلقها</w:t>
      </w:r>
      <w:r w:rsidR="00E8128F">
        <w:rPr>
          <w:sz w:val="36"/>
          <w:szCs w:val="36"/>
          <w:rtl/>
        </w:rPr>
        <w:t xml:space="preserve"> </w:t>
      </w:r>
      <w:r w:rsidR="00CA26A2" w:rsidRPr="00FD211F">
        <w:rPr>
          <w:sz w:val="36"/>
          <w:szCs w:val="36"/>
          <w:rtl/>
        </w:rPr>
        <w:t>وهو</w:t>
      </w:r>
      <w:r w:rsidR="00E8128F">
        <w:rPr>
          <w:sz w:val="36"/>
          <w:szCs w:val="36"/>
          <w:rtl/>
        </w:rPr>
        <w:t xml:space="preserve"> </w:t>
      </w:r>
      <w:r w:rsidR="00CA26A2" w:rsidRPr="00FD211F">
        <w:rPr>
          <w:sz w:val="36"/>
          <w:szCs w:val="36"/>
          <w:rtl/>
        </w:rPr>
        <w:t>شرب</w:t>
      </w:r>
      <w:r w:rsidR="00E8128F">
        <w:rPr>
          <w:sz w:val="36"/>
          <w:szCs w:val="36"/>
          <w:rtl/>
        </w:rPr>
        <w:t xml:space="preserve"> </w:t>
      </w:r>
      <w:r w:rsidR="00CA26A2" w:rsidRPr="00FD211F">
        <w:rPr>
          <w:sz w:val="36"/>
          <w:szCs w:val="36"/>
          <w:rtl/>
        </w:rPr>
        <w:t>التتن</w:t>
      </w:r>
      <w:r w:rsidR="00E8128F">
        <w:rPr>
          <w:sz w:val="36"/>
          <w:szCs w:val="36"/>
          <w:rtl/>
        </w:rPr>
        <w:t xml:space="preserve"> </w:t>
      </w:r>
      <w:r w:rsidR="00CA26A2" w:rsidRPr="00FD211F">
        <w:rPr>
          <w:sz w:val="36"/>
          <w:szCs w:val="36"/>
          <w:rtl/>
        </w:rPr>
        <w:t>ولاناشئ</w:t>
      </w:r>
      <w:r w:rsidR="00EC7EDF" w:rsidRPr="00FD211F">
        <w:rPr>
          <w:sz w:val="36"/>
          <w:szCs w:val="36"/>
          <w:rtl/>
        </w:rPr>
        <w:t>ة</w:t>
      </w:r>
      <w:r w:rsidR="00E8128F">
        <w:rPr>
          <w:sz w:val="36"/>
          <w:szCs w:val="36"/>
          <w:rtl/>
        </w:rPr>
        <w:t xml:space="preserve"> </w:t>
      </w:r>
      <w:r w:rsidR="00CA26A2" w:rsidRPr="00FD211F">
        <w:rPr>
          <w:sz w:val="36"/>
          <w:szCs w:val="36"/>
          <w:rtl/>
        </w:rPr>
        <w:t>عن</w:t>
      </w:r>
      <w:r w:rsidR="00E8128F">
        <w:rPr>
          <w:sz w:val="36"/>
          <w:szCs w:val="36"/>
          <w:rtl/>
        </w:rPr>
        <w:t xml:space="preserve"> </w:t>
      </w:r>
      <w:r w:rsidR="00CA26A2" w:rsidRPr="00FD211F">
        <w:rPr>
          <w:sz w:val="36"/>
          <w:szCs w:val="36"/>
          <w:rtl/>
        </w:rPr>
        <w:t>رضا</w:t>
      </w:r>
      <w:r w:rsidR="00E8128F">
        <w:rPr>
          <w:sz w:val="36"/>
          <w:szCs w:val="36"/>
          <w:rtl/>
        </w:rPr>
        <w:t xml:space="preserve"> </w:t>
      </w:r>
      <w:r w:rsidR="00CA26A2" w:rsidRPr="00FD211F">
        <w:rPr>
          <w:sz w:val="36"/>
          <w:szCs w:val="36"/>
          <w:rtl/>
        </w:rPr>
        <w:lastRenderedPageBreak/>
        <w:t>المولى</w:t>
      </w:r>
      <w:r w:rsidR="00E8128F">
        <w:rPr>
          <w:sz w:val="36"/>
          <w:szCs w:val="36"/>
          <w:rtl/>
        </w:rPr>
        <w:t xml:space="preserve"> </w:t>
      </w:r>
      <w:r w:rsidR="00CA26A2" w:rsidRPr="00FD211F">
        <w:rPr>
          <w:sz w:val="36"/>
          <w:szCs w:val="36"/>
          <w:rtl/>
        </w:rPr>
        <w:t>للعمل</w:t>
      </w:r>
      <w:r w:rsidR="00E8128F">
        <w:rPr>
          <w:sz w:val="36"/>
          <w:szCs w:val="36"/>
          <w:rtl/>
        </w:rPr>
        <w:t xml:space="preserve"> </w:t>
      </w:r>
      <w:r w:rsidR="00CA26A2" w:rsidRPr="00FD211F">
        <w:rPr>
          <w:sz w:val="36"/>
          <w:szCs w:val="36"/>
          <w:rtl/>
        </w:rPr>
        <w:t>على</w:t>
      </w:r>
      <w:r w:rsidR="00E8128F">
        <w:rPr>
          <w:sz w:val="36"/>
          <w:szCs w:val="36"/>
          <w:rtl/>
        </w:rPr>
        <w:t xml:space="preserve"> </w:t>
      </w:r>
      <w:r w:rsidR="00CA26A2" w:rsidRPr="00FD211F">
        <w:rPr>
          <w:sz w:val="36"/>
          <w:szCs w:val="36"/>
          <w:rtl/>
        </w:rPr>
        <w:t>وفق</w:t>
      </w:r>
      <w:r w:rsidR="00E8128F">
        <w:rPr>
          <w:sz w:val="36"/>
          <w:szCs w:val="36"/>
          <w:rtl/>
        </w:rPr>
        <w:t xml:space="preserve"> </w:t>
      </w:r>
      <w:r w:rsidR="00CA26A2" w:rsidRPr="00FD211F">
        <w:rPr>
          <w:sz w:val="36"/>
          <w:szCs w:val="36"/>
          <w:rtl/>
        </w:rPr>
        <w:t>الأمار</w:t>
      </w:r>
      <w:r w:rsidR="00EC7EDF" w:rsidRPr="00FD211F">
        <w:rPr>
          <w:sz w:val="36"/>
          <w:szCs w:val="36"/>
          <w:rtl/>
        </w:rPr>
        <w:t>ة</w:t>
      </w:r>
      <w:r w:rsidR="00E8128F">
        <w:rPr>
          <w:sz w:val="36"/>
          <w:szCs w:val="36"/>
          <w:rtl/>
        </w:rPr>
        <w:t xml:space="preserve"> </w:t>
      </w:r>
      <w:r w:rsidR="00CA26A2" w:rsidRPr="00FD211F">
        <w:rPr>
          <w:sz w:val="36"/>
          <w:szCs w:val="36"/>
          <w:rtl/>
        </w:rPr>
        <w:t>على</w:t>
      </w:r>
      <w:r w:rsidR="00E8128F">
        <w:rPr>
          <w:sz w:val="36"/>
          <w:szCs w:val="36"/>
          <w:rtl/>
        </w:rPr>
        <w:t xml:space="preserve"> </w:t>
      </w:r>
      <w:r w:rsidR="00CA26A2" w:rsidRPr="00FD211F">
        <w:rPr>
          <w:sz w:val="36"/>
          <w:szCs w:val="36"/>
          <w:rtl/>
        </w:rPr>
        <w:t>حليته</w:t>
      </w:r>
      <w:r w:rsidR="00603323" w:rsidRPr="00FD211F">
        <w:rPr>
          <w:sz w:val="36"/>
          <w:szCs w:val="36"/>
          <w:rtl/>
        </w:rPr>
        <w:t>،</w:t>
      </w:r>
      <w:r w:rsidR="00E8128F">
        <w:rPr>
          <w:sz w:val="36"/>
          <w:szCs w:val="36"/>
          <w:rtl/>
        </w:rPr>
        <w:t xml:space="preserve"> </w:t>
      </w:r>
      <w:r w:rsidR="00CA26A2" w:rsidRPr="00FD211F">
        <w:rPr>
          <w:sz w:val="36"/>
          <w:szCs w:val="36"/>
          <w:rtl/>
        </w:rPr>
        <w:t>بل</w:t>
      </w:r>
      <w:r w:rsidR="00E8128F">
        <w:rPr>
          <w:sz w:val="36"/>
          <w:szCs w:val="36"/>
          <w:rtl/>
        </w:rPr>
        <w:t xml:space="preserve"> </w:t>
      </w:r>
      <w:r w:rsidR="00CA26A2" w:rsidRPr="00FD211F">
        <w:rPr>
          <w:sz w:val="36"/>
          <w:szCs w:val="36"/>
          <w:rtl/>
        </w:rPr>
        <w:t>كانت</w:t>
      </w:r>
      <w:r w:rsidR="00E8128F">
        <w:rPr>
          <w:sz w:val="36"/>
          <w:szCs w:val="36"/>
          <w:rtl/>
        </w:rPr>
        <w:t xml:space="preserve"> </w:t>
      </w:r>
      <w:r w:rsidR="00CA26A2" w:rsidRPr="00FD211F">
        <w:rPr>
          <w:sz w:val="36"/>
          <w:szCs w:val="36"/>
          <w:rtl/>
        </w:rPr>
        <w:t>ناشئ</w:t>
      </w:r>
      <w:r w:rsidR="00EC7EDF" w:rsidRPr="00FD211F">
        <w:rPr>
          <w:sz w:val="36"/>
          <w:szCs w:val="36"/>
          <w:rtl/>
        </w:rPr>
        <w:t>ة</w:t>
      </w:r>
      <w:r w:rsidR="00E8128F">
        <w:rPr>
          <w:sz w:val="36"/>
          <w:szCs w:val="36"/>
          <w:rtl/>
        </w:rPr>
        <w:t xml:space="preserve"> </w:t>
      </w:r>
      <w:r w:rsidR="00CA26A2" w:rsidRPr="00FD211F">
        <w:rPr>
          <w:sz w:val="36"/>
          <w:szCs w:val="36"/>
          <w:rtl/>
        </w:rPr>
        <w:t>عن</w:t>
      </w:r>
      <w:r w:rsidR="00E8128F">
        <w:rPr>
          <w:sz w:val="36"/>
          <w:szCs w:val="36"/>
          <w:rtl/>
        </w:rPr>
        <w:t xml:space="preserve"> </w:t>
      </w:r>
      <w:r w:rsidR="00CA26A2" w:rsidRPr="00FD211F">
        <w:rPr>
          <w:sz w:val="36"/>
          <w:szCs w:val="36"/>
          <w:rtl/>
        </w:rPr>
        <w:t>مصلح</w:t>
      </w:r>
      <w:r w:rsidR="00EC7EDF" w:rsidRPr="00FD211F">
        <w:rPr>
          <w:sz w:val="36"/>
          <w:szCs w:val="36"/>
          <w:rtl/>
        </w:rPr>
        <w:t>ة</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نفسها</w:t>
      </w:r>
      <w:r w:rsidR="00E8128F">
        <w:rPr>
          <w:sz w:val="36"/>
          <w:szCs w:val="36"/>
          <w:rtl/>
        </w:rPr>
        <w:t xml:space="preserve"> </w:t>
      </w:r>
      <w:r w:rsidR="00CA26A2" w:rsidRPr="00FD211F">
        <w:rPr>
          <w:sz w:val="36"/>
          <w:szCs w:val="36"/>
          <w:rtl/>
        </w:rPr>
        <w:t>موجب</w:t>
      </w:r>
      <w:r w:rsidR="00EC7EDF" w:rsidRPr="00FD211F">
        <w:rPr>
          <w:sz w:val="36"/>
          <w:szCs w:val="36"/>
          <w:rtl/>
        </w:rPr>
        <w:t>ة</w:t>
      </w:r>
      <w:r w:rsidR="00E8128F">
        <w:rPr>
          <w:sz w:val="36"/>
          <w:szCs w:val="36"/>
          <w:rtl/>
        </w:rPr>
        <w:t xml:space="preserve"> </w:t>
      </w:r>
      <w:r w:rsidR="00CA26A2" w:rsidRPr="00FD211F">
        <w:rPr>
          <w:sz w:val="36"/>
          <w:szCs w:val="36"/>
          <w:rtl/>
        </w:rPr>
        <w:t>لانشائها</w:t>
      </w:r>
      <w:r w:rsidR="00E8128F">
        <w:rPr>
          <w:sz w:val="36"/>
          <w:szCs w:val="36"/>
          <w:rtl/>
        </w:rPr>
        <w:t xml:space="preserve"> </w:t>
      </w:r>
      <w:r w:rsidR="00CA26A2" w:rsidRPr="00FD211F">
        <w:rPr>
          <w:sz w:val="36"/>
          <w:szCs w:val="36"/>
          <w:rtl/>
        </w:rPr>
        <w:t>بغرض</w:t>
      </w:r>
      <w:r w:rsidR="00E8128F">
        <w:rPr>
          <w:sz w:val="36"/>
          <w:szCs w:val="36"/>
          <w:rtl/>
        </w:rPr>
        <w:t xml:space="preserve"> </w:t>
      </w:r>
      <w:r w:rsidR="00CA26A2" w:rsidRPr="00FD211F">
        <w:rPr>
          <w:sz w:val="36"/>
          <w:szCs w:val="36"/>
          <w:rtl/>
        </w:rPr>
        <w:t>التعذير</w:t>
      </w:r>
      <w:r w:rsidR="00E8128F">
        <w:rPr>
          <w:sz w:val="36"/>
          <w:szCs w:val="36"/>
          <w:rtl/>
        </w:rPr>
        <w:t xml:space="preserve"> </w:t>
      </w:r>
      <w:r w:rsidR="00CA26A2" w:rsidRPr="00FD211F">
        <w:rPr>
          <w:sz w:val="36"/>
          <w:szCs w:val="36"/>
          <w:rtl/>
        </w:rPr>
        <w:t>عن</w:t>
      </w:r>
      <w:r w:rsidR="00E8128F">
        <w:rPr>
          <w:sz w:val="36"/>
          <w:szCs w:val="36"/>
          <w:rtl/>
        </w:rPr>
        <w:t xml:space="preserve"> </w:t>
      </w:r>
      <w:r w:rsidR="00CA26A2" w:rsidRPr="00FD211F">
        <w:rPr>
          <w:sz w:val="36"/>
          <w:szCs w:val="36"/>
          <w:rtl/>
        </w:rPr>
        <w:t>الحكم</w:t>
      </w:r>
      <w:r w:rsidR="00E8128F">
        <w:rPr>
          <w:sz w:val="36"/>
          <w:szCs w:val="36"/>
          <w:rtl/>
        </w:rPr>
        <w:t xml:space="preserve"> </w:t>
      </w:r>
      <w:r w:rsidR="00CA26A2" w:rsidRPr="00FD211F">
        <w:rPr>
          <w:sz w:val="36"/>
          <w:szCs w:val="36"/>
          <w:rtl/>
        </w:rPr>
        <w:t>الواقعي</w:t>
      </w:r>
      <w:r w:rsidR="00603323" w:rsidRPr="00FD211F">
        <w:rPr>
          <w:sz w:val="36"/>
          <w:szCs w:val="36"/>
          <w:rtl/>
        </w:rPr>
        <w:t>،</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الواقعي</w:t>
      </w:r>
      <w:r w:rsidR="00E8128F">
        <w:rPr>
          <w:sz w:val="36"/>
          <w:szCs w:val="36"/>
          <w:rtl/>
        </w:rPr>
        <w:t xml:space="preserve"> </w:t>
      </w:r>
      <w:r w:rsidRPr="00FD211F">
        <w:rPr>
          <w:sz w:val="36"/>
          <w:szCs w:val="36"/>
          <w:rtl/>
        </w:rPr>
        <w:t>فعليا</w:t>
      </w:r>
      <w:r w:rsidR="00E8128F">
        <w:rPr>
          <w:sz w:val="36"/>
          <w:szCs w:val="36"/>
          <w:rtl/>
        </w:rPr>
        <w:t xml:space="preserve"> </w:t>
      </w:r>
      <w:r w:rsidR="00660EA7" w:rsidRPr="00FD211F">
        <w:rPr>
          <w:sz w:val="36"/>
          <w:szCs w:val="36"/>
          <w:rtl/>
        </w:rPr>
        <w:t>فتكون</w:t>
      </w:r>
      <w:r w:rsidR="00E8128F">
        <w:rPr>
          <w:sz w:val="36"/>
          <w:szCs w:val="36"/>
          <w:rtl/>
        </w:rPr>
        <w:t xml:space="preserve"> </w:t>
      </w:r>
      <w:r w:rsidR="00660EA7" w:rsidRPr="00FD211F">
        <w:rPr>
          <w:sz w:val="36"/>
          <w:szCs w:val="36"/>
          <w:rtl/>
        </w:rPr>
        <w:t>الامار</w:t>
      </w:r>
      <w:r w:rsidR="00EC7EDF" w:rsidRPr="00FD211F">
        <w:rPr>
          <w:sz w:val="36"/>
          <w:szCs w:val="36"/>
          <w:rtl/>
        </w:rPr>
        <w:t>ة</w:t>
      </w:r>
      <w:r w:rsidR="00E8128F">
        <w:rPr>
          <w:sz w:val="36"/>
          <w:szCs w:val="36"/>
          <w:rtl/>
        </w:rPr>
        <w:t xml:space="preserve"> </w:t>
      </w:r>
      <w:r w:rsidR="00660EA7" w:rsidRPr="00FD211F">
        <w:rPr>
          <w:sz w:val="36"/>
          <w:szCs w:val="36"/>
          <w:rtl/>
        </w:rPr>
        <w:t>القائم</w:t>
      </w:r>
      <w:r w:rsidR="00EC7EDF" w:rsidRPr="00FD211F">
        <w:rPr>
          <w:sz w:val="36"/>
          <w:szCs w:val="36"/>
          <w:rtl/>
        </w:rPr>
        <w:t>ة</w:t>
      </w:r>
      <w:r w:rsidR="00E8128F">
        <w:rPr>
          <w:sz w:val="36"/>
          <w:szCs w:val="36"/>
          <w:rtl/>
        </w:rPr>
        <w:t xml:space="preserve"> </w:t>
      </w:r>
      <w:r w:rsidR="00660EA7" w:rsidRPr="00FD211F">
        <w:rPr>
          <w:sz w:val="36"/>
          <w:szCs w:val="36"/>
          <w:rtl/>
        </w:rPr>
        <w:t>على</w:t>
      </w:r>
      <w:r w:rsidR="00E8128F">
        <w:rPr>
          <w:sz w:val="36"/>
          <w:szCs w:val="36"/>
          <w:rtl/>
        </w:rPr>
        <w:t xml:space="preserve"> </w:t>
      </w:r>
      <w:r w:rsidR="00660EA7" w:rsidRPr="00FD211F">
        <w:rPr>
          <w:sz w:val="36"/>
          <w:szCs w:val="36"/>
          <w:rtl/>
        </w:rPr>
        <w:t>حلي</w:t>
      </w:r>
      <w:r w:rsidR="00EC7EDF" w:rsidRPr="00FD211F">
        <w:rPr>
          <w:sz w:val="36"/>
          <w:szCs w:val="36"/>
          <w:rtl/>
        </w:rPr>
        <w:t>ة</w:t>
      </w:r>
      <w:r w:rsidR="00E8128F">
        <w:rPr>
          <w:sz w:val="36"/>
          <w:szCs w:val="36"/>
          <w:rtl/>
        </w:rPr>
        <w:t xml:space="preserve"> </w:t>
      </w:r>
      <w:r w:rsidR="00660EA7" w:rsidRPr="00FD211F">
        <w:rPr>
          <w:sz w:val="36"/>
          <w:szCs w:val="36"/>
          <w:rtl/>
        </w:rPr>
        <w:t>الحرام</w:t>
      </w:r>
      <w:r w:rsidR="00E8128F">
        <w:rPr>
          <w:sz w:val="36"/>
          <w:szCs w:val="36"/>
          <w:rtl/>
        </w:rPr>
        <w:t xml:space="preserve"> </w:t>
      </w:r>
      <w:r w:rsidR="00660EA7" w:rsidRPr="00FD211F">
        <w:rPr>
          <w:sz w:val="36"/>
          <w:szCs w:val="36"/>
          <w:rtl/>
        </w:rPr>
        <w:t>الواقعي</w:t>
      </w:r>
      <w:r w:rsidR="00E8128F">
        <w:rPr>
          <w:sz w:val="36"/>
          <w:szCs w:val="36"/>
          <w:rtl/>
        </w:rPr>
        <w:t xml:space="preserve"> </w:t>
      </w:r>
      <w:r w:rsidR="00660EA7" w:rsidRPr="00FD211F">
        <w:rPr>
          <w:sz w:val="36"/>
          <w:szCs w:val="36"/>
          <w:rtl/>
        </w:rPr>
        <w:t>مجرد</w:t>
      </w:r>
      <w:r w:rsidR="00E8128F">
        <w:rPr>
          <w:sz w:val="36"/>
          <w:szCs w:val="36"/>
          <w:rtl/>
        </w:rPr>
        <w:t xml:space="preserve"> </w:t>
      </w:r>
      <w:r w:rsidR="00660EA7" w:rsidRPr="00FD211F">
        <w:rPr>
          <w:sz w:val="36"/>
          <w:szCs w:val="36"/>
          <w:rtl/>
        </w:rPr>
        <w:t>معذر</w:t>
      </w:r>
      <w:r w:rsidR="00E8128F">
        <w:rPr>
          <w:sz w:val="36"/>
          <w:szCs w:val="36"/>
          <w:rtl/>
        </w:rPr>
        <w:t xml:space="preserve"> </w:t>
      </w:r>
      <w:r w:rsidR="00660EA7" w:rsidRPr="00FD211F">
        <w:rPr>
          <w:sz w:val="36"/>
          <w:szCs w:val="36"/>
          <w:rtl/>
        </w:rPr>
        <w:t>من</w:t>
      </w:r>
      <w:r w:rsidR="00E8128F">
        <w:rPr>
          <w:sz w:val="36"/>
          <w:szCs w:val="36"/>
          <w:rtl/>
        </w:rPr>
        <w:t xml:space="preserve"> </w:t>
      </w:r>
      <w:r w:rsidR="00660EA7" w:rsidRPr="00FD211F">
        <w:rPr>
          <w:sz w:val="36"/>
          <w:szCs w:val="36"/>
          <w:rtl/>
        </w:rPr>
        <w:t>دون</w:t>
      </w:r>
      <w:r w:rsidR="00E8128F">
        <w:rPr>
          <w:sz w:val="36"/>
          <w:szCs w:val="36"/>
          <w:rtl/>
        </w:rPr>
        <w:t xml:space="preserve"> </w:t>
      </w:r>
      <w:r w:rsidR="00660EA7" w:rsidRPr="00FD211F">
        <w:rPr>
          <w:sz w:val="36"/>
          <w:szCs w:val="36"/>
          <w:rtl/>
        </w:rPr>
        <w:t>اذن</w:t>
      </w:r>
      <w:r w:rsidR="00E8128F">
        <w:rPr>
          <w:sz w:val="36"/>
          <w:szCs w:val="36"/>
          <w:rtl/>
        </w:rPr>
        <w:t xml:space="preserve"> </w:t>
      </w:r>
      <w:r w:rsidR="00660EA7" w:rsidRPr="00FD211F">
        <w:rPr>
          <w:sz w:val="36"/>
          <w:szCs w:val="36"/>
          <w:rtl/>
        </w:rPr>
        <w:t>المولى</w:t>
      </w:r>
      <w:r w:rsidR="00E8128F">
        <w:rPr>
          <w:sz w:val="36"/>
          <w:szCs w:val="36"/>
          <w:rtl/>
        </w:rPr>
        <w:t xml:space="preserve"> </w:t>
      </w:r>
      <w:r w:rsidR="00660EA7" w:rsidRPr="00FD211F">
        <w:rPr>
          <w:sz w:val="36"/>
          <w:szCs w:val="36"/>
          <w:rtl/>
        </w:rPr>
        <w:t>ورضاه</w:t>
      </w:r>
      <w:r w:rsidR="00E8128F">
        <w:rPr>
          <w:sz w:val="36"/>
          <w:szCs w:val="36"/>
          <w:rtl/>
        </w:rPr>
        <w:t xml:space="preserve"> </w:t>
      </w:r>
      <w:r w:rsidR="00660EA7" w:rsidRPr="00FD211F">
        <w:rPr>
          <w:sz w:val="36"/>
          <w:szCs w:val="36"/>
          <w:rtl/>
        </w:rPr>
        <w:t>بارتكاب</w:t>
      </w:r>
      <w:r w:rsidR="00E8128F">
        <w:rPr>
          <w:sz w:val="36"/>
          <w:szCs w:val="36"/>
          <w:rtl/>
        </w:rPr>
        <w:t xml:space="preserve"> </w:t>
      </w:r>
      <w:r w:rsidR="00660EA7" w:rsidRPr="00FD211F">
        <w:rPr>
          <w:sz w:val="36"/>
          <w:szCs w:val="36"/>
          <w:rtl/>
        </w:rPr>
        <w:t>الحرام</w:t>
      </w:r>
      <w:r w:rsidR="00E8128F">
        <w:rPr>
          <w:sz w:val="36"/>
          <w:szCs w:val="36"/>
          <w:rtl/>
        </w:rPr>
        <w:t xml:space="preserve"> </w:t>
      </w:r>
      <w:r w:rsidR="00660EA7" w:rsidRPr="00FD211F">
        <w:rPr>
          <w:sz w:val="36"/>
          <w:szCs w:val="36"/>
          <w:rtl/>
        </w:rPr>
        <w:t>ف</w:t>
      </w:r>
      <w:r w:rsidRPr="00FD211F">
        <w:rPr>
          <w:sz w:val="36"/>
          <w:szCs w:val="36"/>
          <w:rtl/>
        </w:rPr>
        <w:t>لايلزم</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اجتماع</w:t>
      </w:r>
      <w:r w:rsidR="00E8128F">
        <w:rPr>
          <w:sz w:val="36"/>
          <w:szCs w:val="36"/>
          <w:rtl/>
        </w:rPr>
        <w:t xml:space="preserve"> </w:t>
      </w:r>
      <w:r w:rsidRPr="00FD211F">
        <w:rPr>
          <w:sz w:val="36"/>
          <w:szCs w:val="36"/>
          <w:rtl/>
        </w:rPr>
        <w:t>الرضا</w:t>
      </w:r>
      <w:r w:rsidR="00E8128F">
        <w:rPr>
          <w:sz w:val="36"/>
          <w:szCs w:val="36"/>
          <w:rtl/>
        </w:rPr>
        <w:t xml:space="preserve"> </w:t>
      </w:r>
      <w:r w:rsidRPr="00FD211F">
        <w:rPr>
          <w:sz w:val="36"/>
          <w:szCs w:val="36"/>
          <w:rtl/>
        </w:rPr>
        <w:t>والكراه</w:t>
      </w:r>
      <w:r w:rsidR="00EC7EDF" w:rsidRPr="00FD211F">
        <w:rPr>
          <w:sz w:val="36"/>
          <w:szCs w:val="36"/>
          <w:rtl/>
        </w:rPr>
        <w:t>ة</w:t>
      </w:r>
      <w:r w:rsidR="00E8128F">
        <w:rPr>
          <w:sz w:val="36"/>
          <w:szCs w:val="36"/>
          <w:rtl/>
        </w:rPr>
        <w:t xml:space="preserve"> </w:t>
      </w:r>
      <w:r w:rsidRPr="00FD211F">
        <w:rPr>
          <w:sz w:val="36"/>
          <w:szCs w:val="36"/>
          <w:rtl/>
        </w:rPr>
        <w:t>معا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نفس</w:t>
      </w:r>
      <w:r w:rsidR="00E8128F">
        <w:rPr>
          <w:sz w:val="36"/>
          <w:szCs w:val="36"/>
          <w:rtl/>
        </w:rPr>
        <w:t xml:space="preserve"> </w:t>
      </w:r>
      <w:r w:rsidRPr="00FD211F">
        <w:rPr>
          <w:sz w:val="36"/>
          <w:szCs w:val="36"/>
          <w:rtl/>
        </w:rPr>
        <w:t>المولى</w:t>
      </w:r>
      <w:r w:rsidR="00E8128F">
        <w:rPr>
          <w:sz w:val="36"/>
          <w:szCs w:val="36"/>
          <w:rtl/>
        </w:rPr>
        <w:t xml:space="preserve"> </w:t>
      </w:r>
      <w:r w:rsidRPr="00FD211F">
        <w:rPr>
          <w:sz w:val="36"/>
          <w:szCs w:val="36"/>
          <w:rtl/>
        </w:rPr>
        <w:t>بالنسب</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فعل</w:t>
      </w:r>
      <w:r w:rsidR="00E8128F">
        <w:rPr>
          <w:sz w:val="36"/>
          <w:szCs w:val="36"/>
          <w:rtl/>
        </w:rPr>
        <w:t xml:space="preserve"> </w:t>
      </w:r>
      <w:r w:rsidRPr="00FD211F">
        <w:rPr>
          <w:sz w:val="36"/>
          <w:szCs w:val="36"/>
          <w:rtl/>
        </w:rPr>
        <w:t>واحد</w:t>
      </w:r>
      <w:r w:rsidR="00603323" w:rsidRPr="00FD211F">
        <w:rPr>
          <w:sz w:val="36"/>
          <w:szCs w:val="36"/>
          <w:rtl/>
        </w:rPr>
        <w:t>،</w:t>
      </w:r>
      <w:r w:rsidR="00E8128F">
        <w:rPr>
          <w:sz w:val="36"/>
          <w:szCs w:val="36"/>
          <w:rtl/>
        </w:rPr>
        <w:t xml:space="preserve"> </w:t>
      </w:r>
      <w:r w:rsidRPr="00FD211F">
        <w:rPr>
          <w:sz w:val="36"/>
          <w:szCs w:val="36"/>
          <w:rtl/>
        </w:rPr>
        <w:t>وبناء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ذلك</w:t>
      </w:r>
      <w:r w:rsidR="00E8128F">
        <w:rPr>
          <w:sz w:val="36"/>
          <w:szCs w:val="36"/>
          <w:rtl/>
        </w:rPr>
        <w:t xml:space="preserve"> </w:t>
      </w:r>
      <w:r w:rsidR="008031F7" w:rsidRPr="00FD211F">
        <w:rPr>
          <w:sz w:val="36"/>
          <w:szCs w:val="36"/>
          <w:rtl/>
        </w:rPr>
        <w:t>فلما</w:t>
      </w:r>
      <w:r w:rsidR="00E8128F">
        <w:rPr>
          <w:sz w:val="36"/>
          <w:szCs w:val="36"/>
          <w:rtl/>
        </w:rPr>
        <w:t xml:space="preserve"> </w:t>
      </w:r>
      <w:r w:rsidR="008031F7" w:rsidRPr="00FD211F">
        <w:rPr>
          <w:sz w:val="36"/>
          <w:szCs w:val="36"/>
          <w:rtl/>
        </w:rPr>
        <w:t>كان</w:t>
      </w:r>
      <w:r w:rsidR="00E8128F">
        <w:rPr>
          <w:sz w:val="36"/>
          <w:szCs w:val="36"/>
          <w:rtl/>
        </w:rPr>
        <w:t xml:space="preserve"> </w:t>
      </w:r>
      <w:r w:rsidRPr="00FD211F">
        <w:rPr>
          <w:sz w:val="36"/>
          <w:szCs w:val="36"/>
          <w:rtl/>
        </w:rPr>
        <w:t>يجتمع</w:t>
      </w:r>
      <w:r w:rsidR="00E8128F">
        <w:rPr>
          <w:sz w:val="36"/>
          <w:szCs w:val="36"/>
          <w:rtl/>
        </w:rPr>
        <w:t xml:space="preserve"> </w:t>
      </w:r>
      <w:r w:rsidRPr="00FD211F">
        <w:rPr>
          <w:sz w:val="36"/>
          <w:szCs w:val="36"/>
          <w:rtl/>
        </w:rPr>
        <w:t>قيام</w:t>
      </w:r>
      <w:r w:rsidR="00E8128F">
        <w:rPr>
          <w:sz w:val="36"/>
          <w:szCs w:val="36"/>
          <w:rtl/>
        </w:rPr>
        <w:t xml:space="preserve"> </w:t>
      </w:r>
      <w:r w:rsidRPr="00FD211F">
        <w:rPr>
          <w:sz w:val="36"/>
          <w:szCs w:val="36"/>
          <w:rtl/>
        </w:rPr>
        <w:t>الأمار</w:t>
      </w:r>
      <w:r w:rsidR="00EC7EDF" w:rsidRPr="00FD211F">
        <w:rPr>
          <w:sz w:val="36"/>
          <w:szCs w:val="36"/>
          <w:rtl/>
        </w:rPr>
        <w:t>ة</w:t>
      </w:r>
      <w:r w:rsidR="00E8128F">
        <w:rPr>
          <w:sz w:val="36"/>
          <w:szCs w:val="36"/>
          <w:rtl/>
        </w:rPr>
        <w:t xml:space="preserve"> </w:t>
      </w:r>
      <w:r w:rsidRPr="00FD211F">
        <w:rPr>
          <w:sz w:val="36"/>
          <w:szCs w:val="36"/>
          <w:rtl/>
        </w:rPr>
        <w:t>المخالف</w:t>
      </w:r>
      <w:r w:rsidR="00EC7EDF" w:rsidRPr="00FD211F">
        <w:rPr>
          <w:sz w:val="36"/>
          <w:szCs w:val="36"/>
          <w:rtl/>
        </w:rPr>
        <w:t>ة</w:t>
      </w:r>
      <w:r w:rsidR="00E8128F">
        <w:rPr>
          <w:sz w:val="36"/>
          <w:szCs w:val="36"/>
          <w:rtl/>
        </w:rPr>
        <w:t xml:space="preserve"> </w:t>
      </w:r>
      <w:r w:rsidRPr="00FD211F">
        <w:rPr>
          <w:sz w:val="36"/>
          <w:szCs w:val="36"/>
          <w:rtl/>
        </w:rPr>
        <w:t>للواقع</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الواقعي</w:t>
      </w:r>
      <w:r w:rsidR="00E8128F">
        <w:rPr>
          <w:sz w:val="36"/>
          <w:szCs w:val="36"/>
          <w:rtl/>
        </w:rPr>
        <w:t xml:space="preserve"> </w:t>
      </w:r>
      <w:r w:rsidR="008031F7" w:rsidRPr="00FD211F">
        <w:rPr>
          <w:sz w:val="36"/>
          <w:szCs w:val="36"/>
          <w:rtl/>
        </w:rPr>
        <w:t>فعليا</w:t>
      </w:r>
      <w:r w:rsidR="00603323" w:rsidRPr="00FD211F">
        <w:rPr>
          <w:sz w:val="36"/>
          <w:szCs w:val="36"/>
          <w:rtl/>
        </w:rPr>
        <w:t>،</w:t>
      </w:r>
      <w:r w:rsidR="00E8128F">
        <w:rPr>
          <w:sz w:val="36"/>
          <w:szCs w:val="36"/>
          <w:rtl/>
        </w:rPr>
        <w:t xml:space="preserve"> </w:t>
      </w:r>
      <w:r w:rsidRPr="00FD211F">
        <w:rPr>
          <w:sz w:val="36"/>
          <w:szCs w:val="36"/>
          <w:rtl/>
        </w:rPr>
        <w:t>فيصدق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الأمار</w:t>
      </w:r>
      <w:r w:rsidR="00EC7EDF" w:rsidRPr="00FD211F">
        <w:rPr>
          <w:sz w:val="36"/>
          <w:szCs w:val="36"/>
          <w:rtl/>
        </w:rPr>
        <w:t>ة</w:t>
      </w:r>
      <w:r w:rsidR="00E8128F">
        <w:rPr>
          <w:sz w:val="36"/>
          <w:szCs w:val="36"/>
          <w:rtl/>
        </w:rPr>
        <w:t xml:space="preserve"> </w:t>
      </w:r>
      <w:r w:rsidRPr="00FD211F">
        <w:rPr>
          <w:sz w:val="36"/>
          <w:szCs w:val="36"/>
          <w:rtl/>
        </w:rPr>
        <w:t>انها</w:t>
      </w:r>
      <w:r w:rsidR="00E8128F">
        <w:rPr>
          <w:sz w:val="36"/>
          <w:szCs w:val="36"/>
          <w:rtl/>
        </w:rPr>
        <w:t xml:space="preserve"> </w:t>
      </w:r>
      <w:r w:rsidRPr="00FD211F">
        <w:rPr>
          <w:sz w:val="36"/>
          <w:szCs w:val="36"/>
          <w:rtl/>
        </w:rPr>
        <w:t>معذر</w:t>
      </w:r>
      <w:r w:rsidR="00EC7EDF" w:rsidRPr="00FD211F">
        <w:rPr>
          <w:sz w:val="36"/>
          <w:szCs w:val="36"/>
          <w:rtl/>
        </w:rPr>
        <w:t>ة</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منجز</w:t>
      </w:r>
      <w:r w:rsidR="00EC7EDF" w:rsidRPr="00FD211F">
        <w:rPr>
          <w:sz w:val="36"/>
          <w:szCs w:val="36"/>
          <w:rtl/>
        </w:rPr>
        <w:t>ة</w:t>
      </w:r>
      <w:r w:rsidR="00E8128F">
        <w:rPr>
          <w:sz w:val="36"/>
          <w:szCs w:val="36"/>
          <w:rtl/>
        </w:rPr>
        <w:t xml:space="preserve"> </w:t>
      </w:r>
      <w:r w:rsidRPr="00FD211F">
        <w:rPr>
          <w:sz w:val="36"/>
          <w:szCs w:val="36"/>
          <w:rtl/>
        </w:rPr>
        <w:t>بالنسب</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008031F7" w:rsidRPr="00FD211F">
        <w:rPr>
          <w:sz w:val="36"/>
          <w:szCs w:val="36"/>
          <w:rtl/>
        </w:rPr>
        <w:t>الحكم</w:t>
      </w:r>
      <w:r w:rsidR="00E8128F">
        <w:rPr>
          <w:sz w:val="36"/>
          <w:szCs w:val="36"/>
          <w:rtl/>
        </w:rPr>
        <w:t xml:space="preserve"> </w:t>
      </w:r>
      <w:r w:rsidR="008031F7" w:rsidRPr="00FD211F">
        <w:rPr>
          <w:sz w:val="36"/>
          <w:szCs w:val="36"/>
          <w:rtl/>
        </w:rPr>
        <w:t>الواقعي</w:t>
      </w:r>
      <w:r w:rsidR="00603323" w:rsidRPr="00FD211F">
        <w:rPr>
          <w:sz w:val="36"/>
          <w:szCs w:val="36"/>
          <w:rtl/>
        </w:rPr>
        <w:t>،</w:t>
      </w:r>
      <w:r w:rsidR="00E8128F">
        <w:rPr>
          <w:sz w:val="36"/>
          <w:szCs w:val="36"/>
          <w:rtl/>
        </w:rPr>
        <w:t xml:space="preserve"> </w:t>
      </w:r>
      <w:r w:rsidRPr="00FD211F">
        <w:rPr>
          <w:sz w:val="36"/>
          <w:szCs w:val="36"/>
          <w:rtl/>
        </w:rPr>
        <w:t>لان</w:t>
      </w:r>
      <w:r w:rsidR="008031F7" w:rsidRPr="00FD211F">
        <w:rPr>
          <w:sz w:val="36"/>
          <w:szCs w:val="36"/>
          <w:rtl/>
        </w:rPr>
        <w:t>ه</w:t>
      </w:r>
      <w:r w:rsidR="00E8128F">
        <w:rPr>
          <w:sz w:val="36"/>
          <w:szCs w:val="36"/>
          <w:rtl/>
        </w:rPr>
        <w:t xml:space="preserve"> </w:t>
      </w:r>
      <w:r w:rsidRPr="00FD211F">
        <w:rPr>
          <w:sz w:val="36"/>
          <w:szCs w:val="36"/>
          <w:rtl/>
        </w:rPr>
        <w:t>بفعليته</w:t>
      </w:r>
      <w:r w:rsidR="00E8128F">
        <w:rPr>
          <w:sz w:val="36"/>
          <w:szCs w:val="36"/>
          <w:rtl/>
        </w:rPr>
        <w:t xml:space="preserve"> </w:t>
      </w:r>
      <w:r w:rsidR="008031F7" w:rsidRPr="00FD211F">
        <w:rPr>
          <w:sz w:val="36"/>
          <w:szCs w:val="36"/>
          <w:rtl/>
        </w:rPr>
        <w:t>يصلح</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يتنجز</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يعذر</w:t>
      </w:r>
      <w:r w:rsidR="00E8128F">
        <w:rPr>
          <w:sz w:val="36"/>
          <w:szCs w:val="36"/>
          <w:rtl/>
        </w:rPr>
        <w:t xml:space="preserve"> </w:t>
      </w:r>
      <w:r w:rsidRPr="00FD211F">
        <w:rPr>
          <w:sz w:val="36"/>
          <w:szCs w:val="36"/>
          <w:rtl/>
        </w:rPr>
        <w:t>ع</w:t>
      </w:r>
      <w:r w:rsidR="008031F7" w:rsidRPr="00FD211F">
        <w:rPr>
          <w:sz w:val="36"/>
          <w:szCs w:val="36"/>
          <w:rtl/>
        </w:rPr>
        <w:t>نه</w:t>
      </w:r>
      <w:r w:rsidR="00CA26A2" w:rsidRPr="00FD211F">
        <w:rPr>
          <w:sz w:val="36"/>
          <w:szCs w:val="36"/>
          <w:rtl/>
        </w:rPr>
        <w:t>.</w:t>
      </w:r>
    </w:p>
    <w:p w14:paraId="6DCC4A6C" w14:textId="77777777" w:rsidR="00CA26A2" w:rsidRPr="00FD211F" w:rsidRDefault="00CA26A2" w:rsidP="009C58C8">
      <w:pPr>
        <w:ind w:left="0" w:firstLine="227"/>
        <w:jc w:val="both"/>
        <w:rPr>
          <w:sz w:val="36"/>
          <w:szCs w:val="36"/>
          <w:rtl/>
        </w:rPr>
      </w:pPr>
      <w:r w:rsidRPr="00FD211F">
        <w:rPr>
          <w:sz w:val="36"/>
          <w:szCs w:val="36"/>
          <w:rtl/>
        </w:rPr>
        <w:t>وأما</w:t>
      </w:r>
      <w:r w:rsidR="00E8128F">
        <w:rPr>
          <w:sz w:val="36"/>
          <w:szCs w:val="36"/>
          <w:rtl/>
        </w:rPr>
        <w:t xml:space="preserve"> </w:t>
      </w:r>
      <w:r w:rsidRPr="00FD211F">
        <w:rPr>
          <w:sz w:val="36"/>
          <w:szCs w:val="36"/>
          <w:rtl/>
        </w:rPr>
        <w:t>مسأل</w:t>
      </w:r>
      <w:r w:rsidR="00EC7EDF" w:rsidRPr="00FD211F">
        <w:rPr>
          <w:sz w:val="36"/>
          <w:szCs w:val="36"/>
          <w:rtl/>
        </w:rPr>
        <w:t>ة</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الظن</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الحكوم</w:t>
      </w:r>
      <w:r w:rsidR="00EC7EDF" w:rsidRPr="00FD211F">
        <w:rPr>
          <w:sz w:val="36"/>
          <w:szCs w:val="36"/>
          <w:rtl/>
        </w:rPr>
        <w:t>ة</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نتيجتها</w:t>
      </w:r>
      <w:r w:rsidR="00E8128F">
        <w:rPr>
          <w:sz w:val="36"/>
          <w:szCs w:val="36"/>
          <w:rtl/>
        </w:rPr>
        <w:t xml:space="preserve"> </w:t>
      </w:r>
      <w:r w:rsidRPr="00FD211F">
        <w:rPr>
          <w:sz w:val="36"/>
          <w:szCs w:val="36"/>
          <w:rtl/>
        </w:rPr>
        <w:t>ليست</w:t>
      </w:r>
      <w:r w:rsidR="00E8128F">
        <w:rPr>
          <w:sz w:val="36"/>
          <w:szCs w:val="36"/>
          <w:rtl/>
        </w:rPr>
        <w:t xml:space="preserve"> </w:t>
      </w:r>
      <w:r w:rsidRPr="00FD211F">
        <w:rPr>
          <w:sz w:val="36"/>
          <w:szCs w:val="36"/>
          <w:rtl/>
        </w:rPr>
        <w:t>منجزي</w:t>
      </w:r>
      <w:r w:rsidR="00EC7EDF" w:rsidRPr="00FD211F">
        <w:rPr>
          <w:sz w:val="36"/>
          <w:szCs w:val="36"/>
          <w:rtl/>
        </w:rPr>
        <w:t>ة</w:t>
      </w:r>
      <w:r w:rsidR="00E8128F">
        <w:rPr>
          <w:sz w:val="36"/>
          <w:szCs w:val="36"/>
          <w:rtl/>
        </w:rPr>
        <w:t xml:space="preserve"> </w:t>
      </w:r>
      <w:r w:rsidRPr="00FD211F">
        <w:rPr>
          <w:sz w:val="36"/>
          <w:szCs w:val="36"/>
          <w:rtl/>
        </w:rPr>
        <w:t>الظن</w:t>
      </w:r>
      <w:r w:rsidR="00E8128F">
        <w:rPr>
          <w:sz w:val="36"/>
          <w:szCs w:val="36"/>
          <w:rtl/>
        </w:rPr>
        <w:t xml:space="preserve"> </w:t>
      </w:r>
      <w:r w:rsidR="00020654" w:rsidRPr="00FD211F">
        <w:rPr>
          <w:sz w:val="36"/>
          <w:szCs w:val="36"/>
          <w:rtl/>
        </w:rPr>
        <w:t>للتكاليف</w:t>
      </w:r>
      <w:r w:rsidR="00E8128F">
        <w:rPr>
          <w:sz w:val="36"/>
          <w:szCs w:val="36"/>
          <w:rtl/>
        </w:rPr>
        <w:t xml:space="preserve"> </w:t>
      </w:r>
      <w:r w:rsidR="00020654" w:rsidRPr="00FD211F">
        <w:rPr>
          <w:sz w:val="36"/>
          <w:szCs w:val="36"/>
          <w:rtl/>
        </w:rPr>
        <w:t>الواقعي</w:t>
      </w:r>
      <w:r w:rsidR="00EC7EDF" w:rsidRPr="00FD211F">
        <w:rPr>
          <w:sz w:val="36"/>
          <w:szCs w:val="36"/>
          <w:rtl/>
        </w:rPr>
        <w:t>ة</w:t>
      </w:r>
      <w:r w:rsidR="00E8128F">
        <w:rPr>
          <w:sz w:val="36"/>
          <w:szCs w:val="36"/>
          <w:rtl/>
        </w:rPr>
        <w:t xml:space="preserve"> </w:t>
      </w:r>
      <w:r w:rsidR="00020654" w:rsidRPr="00FD211F">
        <w:rPr>
          <w:sz w:val="36"/>
          <w:szCs w:val="36"/>
          <w:rtl/>
        </w:rPr>
        <w:t>لتنجزها</w:t>
      </w:r>
      <w:r w:rsidR="00E8128F">
        <w:rPr>
          <w:sz w:val="36"/>
          <w:szCs w:val="36"/>
          <w:rtl/>
        </w:rPr>
        <w:t xml:space="preserve"> </w:t>
      </w:r>
      <w:r w:rsidRPr="00FD211F">
        <w:rPr>
          <w:sz w:val="36"/>
          <w:szCs w:val="36"/>
          <w:rtl/>
        </w:rPr>
        <w:t>بالعلم</w:t>
      </w:r>
      <w:r w:rsidR="00E8128F">
        <w:rPr>
          <w:sz w:val="36"/>
          <w:szCs w:val="36"/>
          <w:rtl/>
        </w:rPr>
        <w:t xml:space="preserve"> </w:t>
      </w:r>
      <w:r w:rsidRPr="00FD211F">
        <w:rPr>
          <w:sz w:val="36"/>
          <w:szCs w:val="36"/>
          <w:rtl/>
        </w:rPr>
        <w:t>الاجمالي</w:t>
      </w:r>
      <w:r w:rsidR="00E8128F">
        <w:rPr>
          <w:sz w:val="36"/>
          <w:szCs w:val="36"/>
          <w:rtl/>
        </w:rPr>
        <w:t xml:space="preserve"> </w:t>
      </w:r>
      <w:r w:rsidRPr="00FD211F">
        <w:rPr>
          <w:sz w:val="36"/>
          <w:szCs w:val="36"/>
          <w:rtl/>
        </w:rPr>
        <w:t>بوجود</w:t>
      </w:r>
      <w:r w:rsidR="00E8128F">
        <w:rPr>
          <w:sz w:val="36"/>
          <w:szCs w:val="36"/>
          <w:rtl/>
        </w:rPr>
        <w:t xml:space="preserve"> </w:t>
      </w:r>
      <w:r w:rsidRPr="00FD211F">
        <w:rPr>
          <w:sz w:val="36"/>
          <w:szCs w:val="36"/>
          <w:rtl/>
        </w:rPr>
        <w:t>تكاليف</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الشريع</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معذرا</w:t>
      </w:r>
      <w:r w:rsidR="00603323" w:rsidRPr="00FD211F">
        <w:rPr>
          <w:sz w:val="36"/>
          <w:szCs w:val="36"/>
          <w:rtl/>
        </w:rPr>
        <w:t>،</w:t>
      </w:r>
      <w:r w:rsidR="00E8128F">
        <w:rPr>
          <w:sz w:val="36"/>
          <w:szCs w:val="36"/>
          <w:rtl/>
        </w:rPr>
        <w:t xml:space="preserve"> </w:t>
      </w:r>
      <w:r w:rsidRPr="00FD211F">
        <w:rPr>
          <w:sz w:val="36"/>
          <w:szCs w:val="36"/>
          <w:rtl/>
        </w:rPr>
        <w:t>لان</w:t>
      </w:r>
      <w:r w:rsidR="00E8128F">
        <w:rPr>
          <w:sz w:val="36"/>
          <w:szCs w:val="36"/>
          <w:rtl/>
        </w:rPr>
        <w:t xml:space="preserve"> </w:t>
      </w:r>
      <w:r w:rsidRPr="00FD211F">
        <w:rPr>
          <w:sz w:val="36"/>
          <w:szCs w:val="36"/>
          <w:rtl/>
        </w:rPr>
        <w:t>نتيج</w:t>
      </w:r>
      <w:r w:rsidR="00EC7EDF" w:rsidRPr="00FD211F">
        <w:rPr>
          <w:sz w:val="36"/>
          <w:szCs w:val="36"/>
          <w:rtl/>
        </w:rPr>
        <w:t>ة</w:t>
      </w:r>
      <w:r w:rsidR="00E8128F">
        <w:rPr>
          <w:sz w:val="36"/>
          <w:szCs w:val="36"/>
          <w:rtl/>
        </w:rPr>
        <w:t xml:space="preserve"> </w:t>
      </w:r>
      <w:r w:rsidRPr="00FD211F">
        <w:rPr>
          <w:sz w:val="36"/>
          <w:szCs w:val="36"/>
          <w:rtl/>
        </w:rPr>
        <w:t>مقدمات</w:t>
      </w:r>
      <w:r w:rsidR="00E8128F">
        <w:rPr>
          <w:sz w:val="36"/>
          <w:szCs w:val="36"/>
          <w:rtl/>
        </w:rPr>
        <w:t xml:space="preserve"> </w:t>
      </w:r>
      <w:r w:rsidRPr="00FD211F">
        <w:rPr>
          <w:sz w:val="36"/>
          <w:szCs w:val="36"/>
          <w:rtl/>
        </w:rPr>
        <w:t>الانسداد</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حكم</w:t>
      </w:r>
      <w:r w:rsidR="00E8128F">
        <w:rPr>
          <w:sz w:val="36"/>
          <w:szCs w:val="36"/>
          <w:rtl/>
        </w:rPr>
        <w:t xml:space="preserve"> </w:t>
      </w:r>
      <w:r w:rsidRPr="00FD211F">
        <w:rPr>
          <w:sz w:val="36"/>
          <w:szCs w:val="36"/>
          <w:rtl/>
        </w:rPr>
        <w:t>العقل</w:t>
      </w:r>
      <w:r w:rsidR="00E8128F">
        <w:rPr>
          <w:sz w:val="36"/>
          <w:szCs w:val="36"/>
          <w:rtl/>
        </w:rPr>
        <w:t xml:space="preserve"> </w:t>
      </w:r>
      <w:r w:rsidRPr="00FD211F">
        <w:rPr>
          <w:sz w:val="36"/>
          <w:szCs w:val="36"/>
          <w:rtl/>
        </w:rPr>
        <w:t>بعدم</w:t>
      </w:r>
      <w:r w:rsidR="00E8128F">
        <w:rPr>
          <w:sz w:val="36"/>
          <w:szCs w:val="36"/>
          <w:rtl/>
        </w:rPr>
        <w:t xml:space="preserve"> </w:t>
      </w:r>
      <w:r w:rsidRPr="00FD211F">
        <w:rPr>
          <w:sz w:val="36"/>
          <w:szCs w:val="36"/>
          <w:rtl/>
        </w:rPr>
        <w:t>لزوم</w:t>
      </w:r>
      <w:r w:rsidR="00E8128F">
        <w:rPr>
          <w:sz w:val="36"/>
          <w:szCs w:val="36"/>
          <w:rtl/>
        </w:rPr>
        <w:t xml:space="preserve"> </w:t>
      </w:r>
      <w:r w:rsidRPr="00FD211F">
        <w:rPr>
          <w:sz w:val="36"/>
          <w:szCs w:val="36"/>
          <w:rtl/>
        </w:rPr>
        <w:t>الإتيان</w:t>
      </w:r>
      <w:r w:rsidR="00E8128F">
        <w:rPr>
          <w:sz w:val="36"/>
          <w:szCs w:val="36"/>
          <w:rtl/>
        </w:rPr>
        <w:t xml:space="preserve"> </w:t>
      </w:r>
      <w:r w:rsidRPr="00FD211F">
        <w:rPr>
          <w:sz w:val="36"/>
          <w:szCs w:val="36"/>
          <w:rtl/>
        </w:rPr>
        <w:t>بالمشكوكات</w:t>
      </w:r>
      <w:r w:rsidR="00E8128F">
        <w:rPr>
          <w:sz w:val="36"/>
          <w:szCs w:val="36"/>
          <w:rtl/>
        </w:rPr>
        <w:t xml:space="preserve"> </w:t>
      </w:r>
      <w:r w:rsidRPr="00FD211F">
        <w:rPr>
          <w:sz w:val="36"/>
          <w:szCs w:val="36"/>
          <w:rtl/>
        </w:rPr>
        <w:t>عقلا</w:t>
      </w:r>
      <w:r w:rsidR="00E8128F">
        <w:rPr>
          <w:sz w:val="36"/>
          <w:szCs w:val="36"/>
          <w:rtl/>
        </w:rPr>
        <w:t xml:space="preserve"> </w:t>
      </w:r>
      <w:r w:rsidRPr="00FD211F">
        <w:rPr>
          <w:sz w:val="36"/>
          <w:szCs w:val="36"/>
          <w:rtl/>
        </w:rPr>
        <w:t>وعذر</w:t>
      </w:r>
      <w:r w:rsidR="00E8128F">
        <w:rPr>
          <w:sz w:val="36"/>
          <w:szCs w:val="36"/>
          <w:rtl/>
        </w:rPr>
        <w:t xml:space="preserve"> </w:t>
      </w:r>
      <w:r w:rsidRPr="00FD211F">
        <w:rPr>
          <w:sz w:val="36"/>
          <w:szCs w:val="36"/>
          <w:rtl/>
        </w:rPr>
        <w:t>المكلف</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الوقعي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ضمن</w:t>
      </w:r>
      <w:r w:rsidR="00E8128F">
        <w:rPr>
          <w:sz w:val="36"/>
          <w:szCs w:val="36"/>
          <w:rtl/>
        </w:rPr>
        <w:t xml:space="preserve"> </w:t>
      </w:r>
      <w:r w:rsidRPr="00FD211F">
        <w:rPr>
          <w:sz w:val="36"/>
          <w:szCs w:val="36"/>
          <w:rtl/>
        </w:rPr>
        <w:t>المشكوكات</w:t>
      </w:r>
      <w:r w:rsidR="00603323" w:rsidRPr="00FD211F">
        <w:rPr>
          <w:sz w:val="36"/>
          <w:szCs w:val="36"/>
          <w:rtl/>
        </w:rPr>
        <w:t>،</w:t>
      </w:r>
      <w:r w:rsidR="00E8128F">
        <w:rPr>
          <w:sz w:val="36"/>
          <w:szCs w:val="36"/>
          <w:rtl/>
        </w:rPr>
        <w:t xml:space="preserve"> </w:t>
      </w:r>
      <w:r w:rsidRPr="00FD211F">
        <w:rPr>
          <w:sz w:val="36"/>
          <w:szCs w:val="36"/>
          <w:rtl/>
        </w:rPr>
        <w:lastRenderedPageBreak/>
        <w:t>واين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معذري</w:t>
      </w:r>
      <w:r w:rsidR="00EC7EDF" w:rsidRPr="00FD211F">
        <w:rPr>
          <w:sz w:val="36"/>
          <w:szCs w:val="36"/>
          <w:rtl/>
        </w:rPr>
        <w:t>ة</w:t>
      </w:r>
      <w:r w:rsidR="00E8128F">
        <w:rPr>
          <w:sz w:val="36"/>
          <w:szCs w:val="36"/>
          <w:rtl/>
        </w:rPr>
        <w:t xml:space="preserve"> </w:t>
      </w:r>
      <w:r w:rsidRPr="00FD211F">
        <w:rPr>
          <w:sz w:val="36"/>
          <w:szCs w:val="36"/>
          <w:rtl/>
        </w:rPr>
        <w:t>الظن</w:t>
      </w:r>
      <w:r w:rsidR="009C58C8" w:rsidRPr="00FD211F">
        <w:rPr>
          <w:rStyle w:val="a6"/>
          <w:sz w:val="36"/>
          <w:szCs w:val="36"/>
          <w:rtl/>
        </w:rPr>
        <w:t>(</w:t>
      </w:r>
      <w:r w:rsidR="009C58C8" w:rsidRPr="00FD211F">
        <w:rPr>
          <w:rStyle w:val="a6"/>
          <w:sz w:val="36"/>
          <w:szCs w:val="36"/>
          <w:rtl/>
        </w:rPr>
        <w:footnoteReference w:id="7"/>
      </w:r>
      <w:r w:rsidR="009C58C8" w:rsidRPr="00FD211F">
        <w:rPr>
          <w:rStyle w:val="a6"/>
          <w:sz w:val="36"/>
          <w:szCs w:val="36"/>
          <w:rtl/>
        </w:rPr>
        <w:t>)</w:t>
      </w:r>
      <w:r w:rsidRPr="00FD211F">
        <w:rPr>
          <w:sz w:val="36"/>
          <w:szCs w:val="36"/>
          <w:rtl/>
        </w:rPr>
        <w:t>.</w:t>
      </w:r>
    </w:p>
    <w:p w14:paraId="5150073F" w14:textId="77777777" w:rsidR="00CA26A2" w:rsidRPr="00FD211F" w:rsidRDefault="00020654" w:rsidP="009C58C8">
      <w:pPr>
        <w:ind w:left="0" w:firstLine="227"/>
        <w:jc w:val="both"/>
        <w:rPr>
          <w:sz w:val="36"/>
          <w:szCs w:val="36"/>
          <w:rtl/>
        </w:rPr>
      </w:pPr>
      <w:r w:rsidRPr="00FD211F">
        <w:rPr>
          <w:sz w:val="36"/>
          <w:szCs w:val="36"/>
          <w:rtl/>
        </w:rPr>
        <w:t>اقول:</w:t>
      </w:r>
      <w:r w:rsidR="00E8128F">
        <w:rPr>
          <w:sz w:val="36"/>
          <w:szCs w:val="36"/>
          <w:rtl/>
        </w:rPr>
        <w:t xml:space="preserve"> </w:t>
      </w:r>
      <w:r w:rsidRPr="00FD211F">
        <w:rPr>
          <w:sz w:val="36"/>
          <w:szCs w:val="36"/>
          <w:rtl/>
        </w:rPr>
        <w:t>الظاهر</w:t>
      </w:r>
      <w:r w:rsidR="00E8128F">
        <w:rPr>
          <w:sz w:val="36"/>
          <w:szCs w:val="36"/>
          <w:rtl/>
        </w:rPr>
        <w:t xml:space="preserve"> </w:t>
      </w:r>
      <w:r w:rsidR="00FC6C65" w:rsidRPr="00FD211F">
        <w:rPr>
          <w:sz w:val="36"/>
          <w:szCs w:val="36"/>
          <w:rtl/>
        </w:rPr>
        <w:t>عدم</w:t>
      </w:r>
      <w:r w:rsidR="00E8128F">
        <w:rPr>
          <w:sz w:val="36"/>
          <w:szCs w:val="36"/>
          <w:rtl/>
        </w:rPr>
        <w:t xml:space="preserve"> </w:t>
      </w:r>
      <w:r w:rsidR="00FC6C65" w:rsidRPr="00FD211F">
        <w:rPr>
          <w:sz w:val="36"/>
          <w:szCs w:val="36"/>
          <w:rtl/>
        </w:rPr>
        <w:t>تمامي</w:t>
      </w:r>
      <w:r w:rsidR="00EC7EDF" w:rsidRPr="00FD211F">
        <w:rPr>
          <w:sz w:val="36"/>
          <w:szCs w:val="36"/>
          <w:rtl/>
        </w:rPr>
        <w:t>ة</w:t>
      </w:r>
      <w:r w:rsidR="00E8128F">
        <w:rPr>
          <w:sz w:val="36"/>
          <w:szCs w:val="36"/>
          <w:rtl/>
        </w:rPr>
        <w:t xml:space="preserve"> </w:t>
      </w:r>
      <w:r w:rsidR="00FC6C65" w:rsidRPr="00FD211F">
        <w:rPr>
          <w:sz w:val="36"/>
          <w:szCs w:val="36"/>
          <w:rtl/>
        </w:rPr>
        <w:t>هذا</w:t>
      </w:r>
      <w:r w:rsidR="00E8128F">
        <w:rPr>
          <w:sz w:val="36"/>
          <w:szCs w:val="36"/>
          <w:rtl/>
        </w:rPr>
        <w:t xml:space="preserve"> </w:t>
      </w:r>
      <w:r w:rsidR="00FC6C65" w:rsidRPr="00FD211F">
        <w:rPr>
          <w:sz w:val="36"/>
          <w:szCs w:val="36"/>
          <w:rtl/>
        </w:rPr>
        <w:t>الجواب</w:t>
      </w:r>
      <w:r w:rsidR="00E8128F">
        <w:rPr>
          <w:sz w:val="36"/>
          <w:szCs w:val="36"/>
          <w:rtl/>
        </w:rPr>
        <w:t xml:space="preserve"> </w:t>
      </w:r>
      <w:r w:rsidR="00B53A7E" w:rsidRPr="00FD211F">
        <w:rPr>
          <w:sz w:val="36"/>
          <w:szCs w:val="36"/>
          <w:rtl/>
        </w:rPr>
        <w:t>الذي</w:t>
      </w:r>
      <w:r w:rsidR="00E8128F">
        <w:rPr>
          <w:sz w:val="36"/>
          <w:szCs w:val="36"/>
          <w:rtl/>
        </w:rPr>
        <w:t xml:space="preserve"> </w:t>
      </w:r>
      <w:r w:rsidR="00123151" w:rsidRPr="00FD211F">
        <w:rPr>
          <w:sz w:val="36"/>
          <w:szCs w:val="36"/>
          <w:rtl/>
        </w:rPr>
        <w:t>حكي</w:t>
      </w:r>
      <w:r w:rsidR="00E8128F">
        <w:rPr>
          <w:sz w:val="36"/>
          <w:szCs w:val="36"/>
          <w:rtl/>
        </w:rPr>
        <w:t xml:space="preserve"> </w:t>
      </w:r>
      <w:r w:rsidR="00123151" w:rsidRPr="00FD211F">
        <w:rPr>
          <w:sz w:val="36"/>
          <w:szCs w:val="36"/>
          <w:rtl/>
        </w:rPr>
        <w:t>عن</w:t>
      </w:r>
      <w:r w:rsidR="00E8128F">
        <w:rPr>
          <w:sz w:val="36"/>
          <w:szCs w:val="36"/>
          <w:rtl/>
        </w:rPr>
        <w:t xml:space="preserve"> </w:t>
      </w:r>
      <w:r w:rsidR="00FC6C65" w:rsidRPr="00FD211F">
        <w:rPr>
          <w:sz w:val="36"/>
          <w:szCs w:val="36"/>
          <w:rtl/>
        </w:rPr>
        <w:t>بعض</w:t>
      </w:r>
      <w:r w:rsidR="00E8128F">
        <w:rPr>
          <w:sz w:val="36"/>
          <w:szCs w:val="36"/>
          <w:rtl/>
        </w:rPr>
        <w:t xml:space="preserve"> </w:t>
      </w:r>
      <w:r w:rsidR="00FC6C65" w:rsidRPr="00FD211F">
        <w:rPr>
          <w:sz w:val="36"/>
          <w:szCs w:val="36"/>
          <w:rtl/>
        </w:rPr>
        <w:t>الاعلام</w:t>
      </w:r>
      <w:r w:rsidR="00E8128F">
        <w:rPr>
          <w:sz w:val="36"/>
          <w:szCs w:val="36"/>
          <w:rtl/>
        </w:rPr>
        <w:t xml:space="preserve"> </w:t>
      </w:r>
      <w:r w:rsidR="008C08F7" w:rsidRPr="00FD211F">
        <w:rPr>
          <w:sz w:val="36"/>
          <w:szCs w:val="36"/>
          <w:rtl/>
        </w:rPr>
        <w:t>"قده"</w:t>
      </w:r>
      <w:r w:rsidR="00603323" w:rsidRPr="00FD211F">
        <w:rPr>
          <w:sz w:val="36"/>
          <w:szCs w:val="36"/>
          <w:rtl/>
        </w:rPr>
        <w:t>،</w:t>
      </w:r>
      <w:r w:rsidR="00E8128F">
        <w:rPr>
          <w:sz w:val="36"/>
          <w:szCs w:val="36"/>
          <w:rtl/>
        </w:rPr>
        <w:t xml:space="preserve"> </w:t>
      </w:r>
      <w:r w:rsidR="00FC6C65" w:rsidRPr="00FD211F">
        <w:rPr>
          <w:sz w:val="36"/>
          <w:szCs w:val="36"/>
          <w:rtl/>
        </w:rPr>
        <w:t>فانه</w:t>
      </w:r>
      <w:r w:rsidR="00E8128F">
        <w:rPr>
          <w:sz w:val="36"/>
          <w:szCs w:val="36"/>
          <w:rtl/>
        </w:rPr>
        <w:t xml:space="preserve"> </w:t>
      </w:r>
      <w:r w:rsidR="00FC6C65" w:rsidRPr="00FD211F">
        <w:rPr>
          <w:sz w:val="36"/>
          <w:szCs w:val="36"/>
          <w:rtl/>
        </w:rPr>
        <w:t>لو</w:t>
      </w:r>
      <w:r w:rsidR="00E8128F">
        <w:rPr>
          <w:sz w:val="36"/>
          <w:szCs w:val="36"/>
          <w:rtl/>
        </w:rPr>
        <w:t xml:space="preserve"> </w:t>
      </w:r>
      <w:r w:rsidR="00FC6C65" w:rsidRPr="00FD211F">
        <w:rPr>
          <w:sz w:val="36"/>
          <w:szCs w:val="36"/>
          <w:rtl/>
        </w:rPr>
        <w:t>تم</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الأصول</w:t>
      </w:r>
      <w:r w:rsidR="00E8128F">
        <w:rPr>
          <w:sz w:val="36"/>
          <w:szCs w:val="36"/>
          <w:rtl/>
        </w:rPr>
        <w:t xml:space="preserve"> </w:t>
      </w:r>
      <w:r w:rsidR="00CA26A2" w:rsidRPr="00FD211F">
        <w:rPr>
          <w:sz w:val="36"/>
          <w:szCs w:val="36"/>
          <w:rtl/>
        </w:rPr>
        <w:t>العملي</w:t>
      </w:r>
      <w:r w:rsidR="00EC7EDF" w:rsidRPr="00FD211F">
        <w:rPr>
          <w:sz w:val="36"/>
          <w:szCs w:val="36"/>
          <w:rtl/>
        </w:rPr>
        <w:t>ة</w:t>
      </w:r>
      <w:r w:rsidR="00E8128F">
        <w:rPr>
          <w:sz w:val="36"/>
          <w:szCs w:val="36"/>
          <w:rtl/>
        </w:rPr>
        <w:t xml:space="preserve"> </w:t>
      </w:r>
      <w:r w:rsidR="00CA26A2" w:rsidRPr="00FD211F">
        <w:rPr>
          <w:sz w:val="36"/>
          <w:szCs w:val="36"/>
          <w:rtl/>
        </w:rPr>
        <w:t>الشرعي</w:t>
      </w:r>
      <w:r w:rsidR="00EC7EDF" w:rsidRPr="00FD211F">
        <w:rPr>
          <w:sz w:val="36"/>
          <w:szCs w:val="36"/>
          <w:rtl/>
        </w:rPr>
        <w:t>ة</w:t>
      </w:r>
      <w:r w:rsidR="00E8128F">
        <w:rPr>
          <w:sz w:val="36"/>
          <w:szCs w:val="36"/>
          <w:rtl/>
        </w:rPr>
        <w:t xml:space="preserve"> </w:t>
      </w:r>
      <w:r w:rsidR="00CA26A2" w:rsidRPr="00FD211F">
        <w:rPr>
          <w:sz w:val="36"/>
          <w:szCs w:val="36"/>
          <w:rtl/>
        </w:rPr>
        <w:t>الترخيصي</w:t>
      </w:r>
      <w:r w:rsidR="00EC7EDF" w:rsidRPr="00FD211F">
        <w:rPr>
          <w:sz w:val="36"/>
          <w:szCs w:val="36"/>
          <w:rtl/>
        </w:rPr>
        <w:t>ة</w:t>
      </w:r>
      <w:r w:rsidR="00E8128F">
        <w:rPr>
          <w:sz w:val="36"/>
          <w:szCs w:val="36"/>
          <w:rtl/>
        </w:rPr>
        <w:t xml:space="preserve"> </w:t>
      </w:r>
      <w:r w:rsidR="00FC6C65" w:rsidRPr="00FD211F">
        <w:rPr>
          <w:sz w:val="36"/>
          <w:szCs w:val="36"/>
          <w:rtl/>
        </w:rPr>
        <w:t>من</w:t>
      </w:r>
      <w:r w:rsidR="00E8128F">
        <w:rPr>
          <w:sz w:val="36"/>
          <w:szCs w:val="36"/>
          <w:rtl/>
        </w:rPr>
        <w:t xml:space="preserve"> </w:t>
      </w:r>
      <w:r w:rsidR="00FC6C65" w:rsidRPr="00FD211F">
        <w:rPr>
          <w:sz w:val="36"/>
          <w:szCs w:val="36"/>
          <w:rtl/>
        </w:rPr>
        <w:t>انها</w:t>
      </w:r>
      <w:r w:rsidR="00E8128F">
        <w:rPr>
          <w:sz w:val="36"/>
          <w:szCs w:val="36"/>
          <w:rtl/>
        </w:rPr>
        <w:t xml:space="preserve"> </w:t>
      </w:r>
      <w:r w:rsidR="00246E61" w:rsidRPr="00FD211F">
        <w:rPr>
          <w:sz w:val="36"/>
          <w:szCs w:val="36"/>
          <w:rtl/>
        </w:rPr>
        <w:t>-بناء</w:t>
      </w:r>
      <w:r w:rsidR="00E8128F">
        <w:rPr>
          <w:sz w:val="36"/>
          <w:szCs w:val="36"/>
          <w:rtl/>
        </w:rPr>
        <w:t xml:space="preserve"> </w:t>
      </w:r>
      <w:r w:rsidR="00246E61" w:rsidRPr="00FD211F">
        <w:rPr>
          <w:sz w:val="36"/>
          <w:szCs w:val="36"/>
          <w:rtl/>
        </w:rPr>
        <w:t>على</w:t>
      </w:r>
      <w:r w:rsidR="00E8128F">
        <w:rPr>
          <w:sz w:val="36"/>
          <w:szCs w:val="36"/>
          <w:rtl/>
        </w:rPr>
        <w:t xml:space="preserve"> </w:t>
      </w:r>
      <w:r w:rsidR="00246E61" w:rsidRPr="00FD211F">
        <w:rPr>
          <w:sz w:val="36"/>
          <w:szCs w:val="36"/>
          <w:rtl/>
        </w:rPr>
        <w:t>مسلك</w:t>
      </w:r>
      <w:r w:rsidR="00E8128F">
        <w:rPr>
          <w:sz w:val="36"/>
          <w:szCs w:val="36"/>
          <w:rtl/>
        </w:rPr>
        <w:t xml:space="preserve"> </w:t>
      </w:r>
      <w:r w:rsidR="00246E61" w:rsidRPr="00FD211F">
        <w:rPr>
          <w:sz w:val="36"/>
          <w:szCs w:val="36"/>
          <w:rtl/>
        </w:rPr>
        <w:t>صاحب</w:t>
      </w:r>
      <w:r w:rsidR="00E8128F">
        <w:rPr>
          <w:sz w:val="36"/>
          <w:szCs w:val="36"/>
          <w:rtl/>
        </w:rPr>
        <w:t xml:space="preserve"> </w:t>
      </w:r>
      <w:r w:rsidR="00246E61" w:rsidRPr="00FD211F">
        <w:rPr>
          <w:sz w:val="36"/>
          <w:szCs w:val="36"/>
          <w:rtl/>
        </w:rPr>
        <w:t>الكفاي</w:t>
      </w:r>
      <w:r w:rsidR="00EC7EDF" w:rsidRPr="00FD211F">
        <w:rPr>
          <w:sz w:val="36"/>
          <w:szCs w:val="36"/>
          <w:rtl/>
        </w:rPr>
        <w:t>ة</w:t>
      </w:r>
      <w:r w:rsidR="00E8128F">
        <w:rPr>
          <w:sz w:val="36"/>
          <w:szCs w:val="36"/>
          <w:rtl/>
        </w:rPr>
        <w:t xml:space="preserve"> </w:t>
      </w:r>
      <w:r w:rsidR="00246E61" w:rsidRPr="00FD211F">
        <w:rPr>
          <w:sz w:val="36"/>
          <w:szCs w:val="36"/>
          <w:rtl/>
        </w:rPr>
        <w:t>-</w:t>
      </w:r>
      <w:r w:rsidR="00E8128F">
        <w:rPr>
          <w:sz w:val="36"/>
          <w:szCs w:val="36"/>
          <w:rtl/>
        </w:rPr>
        <w:t xml:space="preserve"> </w:t>
      </w:r>
      <w:r w:rsidR="00FC6C65" w:rsidRPr="00FD211F">
        <w:rPr>
          <w:sz w:val="36"/>
          <w:szCs w:val="36"/>
          <w:rtl/>
        </w:rPr>
        <w:t>ليست</w:t>
      </w:r>
      <w:r w:rsidR="00E8128F">
        <w:rPr>
          <w:sz w:val="36"/>
          <w:szCs w:val="36"/>
          <w:rtl/>
        </w:rPr>
        <w:t xml:space="preserve"> </w:t>
      </w:r>
      <w:r w:rsidR="00FC6C65" w:rsidRPr="00FD211F">
        <w:rPr>
          <w:sz w:val="36"/>
          <w:szCs w:val="36"/>
          <w:rtl/>
        </w:rPr>
        <w:t>معذر</w:t>
      </w:r>
      <w:r w:rsidR="00EC7EDF" w:rsidRPr="00FD211F">
        <w:rPr>
          <w:sz w:val="36"/>
          <w:szCs w:val="36"/>
          <w:rtl/>
        </w:rPr>
        <w:t>ة</w:t>
      </w:r>
      <w:r w:rsidR="00E8128F">
        <w:rPr>
          <w:sz w:val="36"/>
          <w:szCs w:val="36"/>
          <w:rtl/>
        </w:rPr>
        <w:t xml:space="preserve"> </w:t>
      </w:r>
      <w:r w:rsidR="00FC6C65" w:rsidRPr="00FD211F">
        <w:rPr>
          <w:sz w:val="36"/>
          <w:szCs w:val="36"/>
          <w:rtl/>
        </w:rPr>
        <w:t>عن</w:t>
      </w:r>
      <w:r w:rsidR="00E8128F">
        <w:rPr>
          <w:sz w:val="36"/>
          <w:szCs w:val="36"/>
          <w:rtl/>
        </w:rPr>
        <w:t xml:space="preserve"> </w:t>
      </w:r>
      <w:r w:rsidR="00FC6C65" w:rsidRPr="00FD211F">
        <w:rPr>
          <w:sz w:val="36"/>
          <w:szCs w:val="36"/>
          <w:rtl/>
        </w:rPr>
        <w:t>الواقع</w:t>
      </w:r>
      <w:r w:rsidR="00603323" w:rsidRPr="00FD211F">
        <w:rPr>
          <w:sz w:val="36"/>
          <w:szCs w:val="36"/>
          <w:rtl/>
        </w:rPr>
        <w:t>،</w:t>
      </w:r>
      <w:r w:rsidR="00E8128F">
        <w:rPr>
          <w:sz w:val="36"/>
          <w:szCs w:val="36"/>
          <w:rtl/>
        </w:rPr>
        <w:t xml:space="preserve"> </w:t>
      </w:r>
      <w:r w:rsidR="00CA26A2" w:rsidRPr="00FD211F">
        <w:rPr>
          <w:sz w:val="36"/>
          <w:szCs w:val="36"/>
          <w:rtl/>
        </w:rPr>
        <w:t>فلايقتصر</w:t>
      </w:r>
      <w:r w:rsidR="00E8128F">
        <w:rPr>
          <w:sz w:val="36"/>
          <w:szCs w:val="36"/>
          <w:rtl/>
        </w:rPr>
        <w:t xml:space="preserve"> </w:t>
      </w:r>
      <w:r w:rsidR="00CA26A2" w:rsidRPr="00FD211F">
        <w:rPr>
          <w:sz w:val="36"/>
          <w:szCs w:val="36"/>
          <w:rtl/>
        </w:rPr>
        <w:t>هذا</w:t>
      </w:r>
      <w:r w:rsidR="00E8128F">
        <w:rPr>
          <w:sz w:val="36"/>
          <w:szCs w:val="36"/>
          <w:rtl/>
        </w:rPr>
        <w:t xml:space="preserve"> </w:t>
      </w:r>
      <w:r w:rsidR="00CA26A2" w:rsidRPr="00FD211F">
        <w:rPr>
          <w:sz w:val="36"/>
          <w:szCs w:val="36"/>
          <w:rtl/>
        </w:rPr>
        <w:t>الاشكال</w:t>
      </w:r>
      <w:r w:rsidR="00E8128F">
        <w:rPr>
          <w:sz w:val="36"/>
          <w:szCs w:val="36"/>
          <w:rtl/>
        </w:rPr>
        <w:t xml:space="preserve"> </w:t>
      </w:r>
      <w:r w:rsidR="00CA26A2" w:rsidRPr="00FD211F">
        <w:rPr>
          <w:sz w:val="36"/>
          <w:szCs w:val="36"/>
          <w:rtl/>
        </w:rPr>
        <w:t>عليها</w:t>
      </w:r>
      <w:r w:rsidR="00603323" w:rsidRPr="00FD211F">
        <w:rPr>
          <w:sz w:val="36"/>
          <w:szCs w:val="36"/>
          <w:rtl/>
        </w:rPr>
        <w:t>،</w:t>
      </w:r>
      <w:r w:rsidR="00E8128F">
        <w:rPr>
          <w:sz w:val="36"/>
          <w:szCs w:val="36"/>
          <w:rtl/>
        </w:rPr>
        <w:t xml:space="preserve"> </w:t>
      </w:r>
      <w:r w:rsidR="00CA26A2" w:rsidRPr="00FD211F">
        <w:rPr>
          <w:sz w:val="36"/>
          <w:szCs w:val="36"/>
          <w:rtl/>
        </w:rPr>
        <w:t>بل</w:t>
      </w:r>
      <w:r w:rsidR="00E8128F">
        <w:rPr>
          <w:sz w:val="36"/>
          <w:szCs w:val="36"/>
          <w:rtl/>
        </w:rPr>
        <w:t xml:space="preserve"> </w:t>
      </w:r>
      <w:r w:rsidR="00CA26A2" w:rsidRPr="00FD211F">
        <w:rPr>
          <w:sz w:val="36"/>
          <w:szCs w:val="36"/>
          <w:rtl/>
        </w:rPr>
        <w:t>يشمل</w:t>
      </w:r>
      <w:r w:rsidR="00E8128F">
        <w:rPr>
          <w:sz w:val="36"/>
          <w:szCs w:val="36"/>
          <w:rtl/>
        </w:rPr>
        <w:t xml:space="preserve"> </w:t>
      </w:r>
      <w:r w:rsidR="00CA26A2" w:rsidRPr="00FD211F">
        <w:rPr>
          <w:sz w:val="36"/>
          <w:szCs w:val="36"/>
          <w:rtl/>
        </w:rPr>
        <w:t>الأمارات</w:t>
      </w:r>
      <w:r w:rsidR="00E8128F">
        <w:rPr>
          <w:sz w:val="36"/>
          <w:szCs w:val="36"/>
          <w:rtl/>
        </w:rPr>
        <w:t xml:space="preserve"> </w:t>
      </w:r>
      <w:r w:rsidR="00CA26A2" w:rsidRPr="00FD211F">
        <w:rPr>
          <w:sz w:val="36"/>
          <w:szCs w:val="36"/>
          <w:rtl/>
        </w:rPr>
        <w:t>القائم</w:t>
      </w:r>
      <w:r w:rsidR="00EC7EDF" w:rsidRPr="00FD211F">
        <w:rPr>
          <w:sz w:val="36"/>
          <w:szCs w:val="36"/>
          <w:rtl/>
        </w:rPr>
        <w:t>ة</w:t>
      </w:r>
      <w:r w:rsidR="00E8128F">
        <w:rPr>
          <w:sz w:val="36"/>
          <w:szCs w:val="36"/>
          <w:rtl/>
        </w:rPr>
        <w:t xml:space="preserve"> </w:t>
      </w:r>
      <w:r w:rsidR="00CA26A2" w:rsidRPr="00FD211F">
        <w:rPr>
          <w:sz w:val="36"/>
          <w:szCs w:val="36"/>
          <w:rtl/>
        </w:rPr>
        <w:t>على</w:t>
      </w:r>
      <w:r w:rsidR="00E8128F">
        <w:rPr>
          <w:sz w:val="36"/>
          <w:szCs w:val="36"/>
          <w:rtl/>
        </w:rPr>
        <w:t xml:space="preserve"> </w:t>
      </w:r>
      <w:r w:rsidR="00CA26A2" w:rsidRPr="00FD211F">
        <w:rPr>
          <w:sz w:val="36"/>
          <w:szCs w:val="36"/>
          <w:rtl/>
        </w:rPr>
        <w:t>الأحكام</w:t>
      </w:r>
      <w:r w:rsidR="00E8128F">
        <w:rPr>
          <w:sz w:val="36"/>
          <w:szCs w:val="36"/>
          <w:rtl/>
        </w:rPr>
        <w:t xml:space="preserve"> </w:t>
      </w:r>
      <w:r w:rsidR="00CA26A2" w:rsidRPr="00FD211F">
        <w:rPr>
          <w:sz w:val="36"/>
          <w:szCs w:val="36"/>
          <w:rtl/>
        </w:rPr>
        <w:t>الترخيصي</w:t>
      </w:r>
      <w:r w:rsidR="00EC7EDF" w:rsidRPr="00FD211F">
        <w:rPr>
          <w:sz w:val="36"/>
          <w:szCs w:val="36"/>
          <w:rtl/>
        </w:rPr>
        <w:t>ة</w:t>
      </w:r>
      <w:r w:rsidR="00603323" w:rsidRPr="00FD211F">
        <w:rPr>
          <w:sz w:val="36"/>
          <w:szCs w:val="36"/>
          <w:rtl/>
        </w:rPr>
        <w:t>،</w:t>
      </w:r>
      <w:r w:rsidR="00E8128F">
        <w:rPr>
          <w:sz w:val="36"/>
          <w:szCs w:val="36"/>
          <w:rtl/>
        </w:rPr>
        <w:t xml:space="preserve"> </w:t>
      </w:r>
      <w:r w:rsidR="00CA26A2" w:rsidRPr="00FD211F">
        <w:rPr>
          <w:sz w:val="36"/>
          <w:szCs w:val="36"/>
          <w:rtl/>
        </w:rPr>
        <w:t>بناء</w:t>
      </w:r>
      <w:r w:rsidR="00E8128F">
        <w:rPr>
          <w:sz w:val="36"/>
          <w:szCs w:val="36"/>
          <w:rtl/>
        </w:rPr>
        <w:t xml:space="preserve"> </w:t>
      </w:r>
      <w:r w:rsidR="00CA26A2" w:rsidRPr="00FD211F">
        <w:rPr>
          <w:sz w:val="36"/>
          <w:szCs w:val="36"/>
          <w:rtl/>
        </w:rPr>
        <w:t>على</w:t>
      </w:r>
      <w:r w:rsidR="00E8128F">
        <w:rPr>
          <w:sz w:val="36"/>
          <w:szCs w:val="36"/>
          <w:rtl/>
        </w:rPr>
        <w:t xml:space="preserve"> </w:t>
      </w:r>
      <w:r w:rsidR="00CA26A2" w:rsidRPr="00FD211F">
        <w:rPr>
          <w:sz w:val="36"/>
          <w:szCs w:val="36"/>
          <w:rtl/>
        </w:rPr>
        <w:t>ما</w:t>
      </w:r>
      <w:r w:rsidR="00E8128F">
        <w:rPr>
          <w:sz w:val="36"/>
          <w:szCs w:val="36"/>
          <w:rtl/>
        </w:rPr>
        <w:t xml:space="preserve"> </w:t>
      </w:r>
      <w:r w:rsidR="00CA26A2" w:rsidRPr="00FD211F">
        <w:rPr>
          <w:sz w:val="36"/>
          <w:szCs w:val="36"/>
          <w:rtl/>
        </w:rPr>
        <w:t>ذكر</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غير</w:t>
      </w:r>
      <w:r w:rsidR="00E8128F">
        <w:rPr>
          <w:sz w:val="36"/>
          <w:szCs w:val="36"/>
          <w:rtl/>
        </w:rPr>
        <w:t xml:space="preserve"> </w:t>
      </w:r>
      <w:r w:rsidR="00CA26A2" w:rsidRPr="00FD211F">
        <w:rPr>
          <w:sz w:val="36"/>
          <w:szCs w:val="36"/>
          <w:rtl/>
        </w:rPr>
        <w:t>موضع</w:t>
      </w:r>
      <w:r w:rsidR="00E8128F">
        <w:rPr>
          <w:sz w:val="36"/>
          <w:szCs w:val="36"/>
          <w:rtl/>
        </w:rPr>
        <w:t xml:space="preserve"> </w:t>
      </w:r>
      <w:r w:rsidR="00CA26A2" w:rsidRPr="00FD211F">
        <w:rPr>
          <w:sz w:val="36"/>
          <w:szCs w:val="36"/>
          <w:rtl/>
        </w:rPr>
        <w:t>من</w:t>
      </w:r>
      <w:r w:rsidR="00E8128F">
        <w:rPr>
          <w:sz w:val="36"/>
          <w:szCs w:val="36"/>
          <w:rtl/>
        </w:rPr>
        <w:t xml:space="preserve"> </w:t>
      </w:r>
      <w:r w:rsidR="00CA26A2" w:rsidRPr="00FD211F">
        <w:rPr>
          <w:sz w:val="36"/>
          <w:szCs w:val="36"/>
          <w:rtl/>
        </w:rPr>
        <w:t>الكفاي</w:t>
      </w:r>
      <w:r w:rsidR="00EC7EDF" w:rsidRPr="00FD211F">
        <w:rPr>
          <w:sz w:val="36"/>
          <w:szCs w:val="36"/>
          <w:rtl/>
        </w:rPr>
        <w:t>ة</w:t>
      </w:r>
      <w:r w:rsidR="00E8128F">
        <w:rPr>
          <w:sz w:val="36"/>
          <w:szCs w:val="36"/>
          <w:rtl/>
        </w:rPr>
        <w:t xml:space="preserve"> </w:t>
      </w:r>
      <w:r w:rsidR="00CA26A2" w:rsidRPr="00FD211F">
        <w:rPr>
          <w:sz w:val="36"/>
          <w:szCs w:val="36"/>
          <w:rtl/>
        </w:rPr>
        <w:t>من</w:t>
      </w:r>
      <w:r w:rsidR="00E8128F">
        <w:rPr>
          <w:sz w:val="36"/>
          <w:szCs w:val="36"/>
          <w:rtl/>
        </w:rPr>
        <w:t xml:space="preserve"> </w:t>
      </w:r>
      <w:r w:rsidR="00CA26A2" w:rsidRPr="00FD211F">
        <w:rPr>
          <w:sz w:val="36"/>
          <w:szCs w:val="36"/>
          <w:rtl/>
        </w:rPr>
        <w:t>ان</w:t>
      </w:r>
      <w:r w:rsidR="00E8128F">
        <w:rPr>
          <w:sz w:val="36"/>
          <w:szCs w:val="36"/>
          <w:rtl/>
        </w:rPr>
        <w:t xml:space="preserve"> </w:t>
      </w:r>
      <w:r w:rsidR="00CA26A2" w:rsidRPr="00FD211F">
        <w:rPr>
          <w:sz w:val="36"/>
          <w:szCs w:val="36"/>
          <w:rtl/>
        </w:rPr>
        <w:t>الحكم</w:t>
      </w:r>
      <w:r w:rsidR="00E8128F">
        <w:rPr>
          <w:sz w:val="36"/>
          <w:szCs w:val="36"/>
          <w:rtl/>
        </w:rPr>
        <w:t xml:space="preserve"> </w:t>
      </w:r>
      <w:r w:rsidR="00CA26A2" w:rsidRPr="00FD211F">
        <w:rPr>
          <w:sz w:val="36"/>
          <w:szCs w:val="36"/>
          <w:rtl/>
        </w:rPr>
        <w:t>الواقعي</w:t>
      </w:r>
      <w:r w:rsidR="00E8128F">
        <w:rPr>
          <w:sz w:val="36"/>
          <w:szCs w:val="36"/>
          <w:rtl/>
        </w:rPr>
        <w:t xml:space="preserve"> </w:t>
      </w:r>
      <w:r w:rsidR="00CA26A2" w:rsidRPr="00FD211F">
        <w:rPr>
          <w:sz w:val="36"/>
          <w:szCs w:val="36"/>
          <w:rtl/>
        </w:rPr>
        <w:t>ليس</w:t>
      </w:r>
      <w:r w:rsidR="00E8128F">
        <w:rPr>
          <w:sz w:val="36"/>
          <w:szCs w:val="36"/>
          <w:rtl/>
        </w:rPr>
        <w:t xml:space="preserve"> </w:t>
      </w:r>
      <w:r w:rsidR="00CA26A2" w:rsidRPr="00FD211F">
        <w:rPr>
          <w:sz w:val="36"/>
          <w:szCs w:val="36"/>
          <w:rtl/>
        </w:rPr>
        <w:t>بفعلي</w:t>
      </w:r>
      <w:r w:rsidR="00E8128F">
        <w:rPr>
          <w:sz w:val="36"/>
          <w:szCs w:val="36"/>
          <w:rtl/>
        </w:rPr>
        <w:t xml:space="preserve"> </w:t>
      </w:r>
      <w:r w:rsidR="00CA26A2" w:rsidRPr="00FD211F">
        <w:rPr>
          <w:sz w:val="36"/>
          <w:szCs w:val="36"/>
          <w:rtl/>
        </w:rPr>
        <w:t>ما</w:t>
      </w:r>
      <w:r w:rsidR="00E8128F">
        <w:rPr>
          <w:sz w:val="36"/>
          <w:szCs w:val="36"/>
          <w:rtl/>
        </w:rPr>
        <w:t xml:space="preserve"> </w:t>
      </w:r>
      <w:r w:rsidR="008D7B3D" w:rsidRPr="00FD211F">
        <w:rPr>
          <w:sz w:val="36"/>
          <w:szCs w:val="36"/>
          <w:rtl/>
        </w:rPr>
        <w:t>لم‌</w:t>
      </w:r>
      <w:r w:rsidR="00CA26A2" w:rsidRPr="00FD211F">
        <w:rPr>
          <w:sz w:val="36"/>
          <w:szCs w:val="36"/>
          <w:rtl/>
        </w:rPr>
        <w:t>يقم</w:t>
      </w:r>
      <w:r w:rsidR="00E8128F">
        <w:rPr>
          <w:sz w:val="36"/>
          <w:szCs w:val="36"/>
          <w:rtl/>
        </w:rPr>
        <w:t xml:space="preserve"> </w:t>
      </w:r>
      <w:r w:rsidR="00CA26A2" w:rsidRPr="00FD211F">
        <w:rPr>
          <w:sz w:val="36"/>
          <w:szCs w:val="36"/>
          <w:rtl/>
        </w:rPr>
        <w:t>حج</w:t>
      </w:r>
      <w:r w:rsidR="00EC7EDF" w:rsidRPr="00FD211F">
        <w:rPr>
          <w:sz w:val="36"/>
          <w:szCs w:val="36"/>
          <w:rtl/>
        </w:rPr>
        <w:t>ة</w:t>
      </w:r>
      <w:r w:rsidR="00E8128F">
        <w:rPr>
          <w:sz w:val="36"/>
          <w:szCs w:val="36"/>
          <w:rtl/>
        </w:rPr>
        <w:t xml:space="preserve"> </w:t>
      </w:r>
      <w:r w:rsidR="00CA26A2" w:rsidRPr="00FD211F">
        <w:rPr>
          <w:sz w:val="36"/>
          <w:szCs w:val="36"/>
          <w:rtl/>
        </w:rPr>
        <w:t>مصيب</w:t>
      </w:r>
      <w:r w:rsidR="00EC7EDF" w:rsidRPr="00FD211F">
        <w:rPr>
          <w:sz w:val="36"/>
          <w:szCs w:val="36"/>
          <w:rtl/>
        </w:rPr>
        <w:t>ة</w:t>
      </w:r>
      <w:r w:rsidR="00E8128F">
        <w:rPr>
          <w:sz w:val="36"/>
          <w:szCs w:val="36"/>
          <w:rtl/>
        </w:rPr>
        <w:t xml:space="preserve"> </w:t>
      </w:r>
      <w:r w:rsidR="00CA26A2" w:rsidRPr="00FD211F">
        <w:rPr>
          <w:sz w:val="36"/>
          <w:szCs w:val="36"/>
          <w:rtl/>
        </w:rPr>
        <w:t>عليه</w:t>
      </w:r>
      <w:r w:rsidR="009C58C8" w:rsidRPr="00FD211F">
        <w:rPr>
          <w:rStyle w:val="a6"/>
          <w:sz w:val="36"/>
          <w:szCs w:val="36"/>
          <w:rtl/>
        </w:rPr>
        <w:t>(</w:t>
      </w:r>
      <w:r w:rsidR="009C58C8" w:rsidRPr="00FD211F">
        <w:rPr>
          <w:rStyle w:val="a6"/>
          <w:sz w:val="36"/>
          <w:szCs w:val="36"/>
          <w:rtl/>
        </w:rPr>
        <w:footnoteReference w:id="8"/>
      </w:r>
      <w:r w:rsidR="009C58C8" w:rsidRPr="00FD211F">
        <w:rPr>
          <w:rStyle w:val="a6"/>
          <w:sz w:val="36"/>
          <w:szCs w:val="36"/>
          <w:rtl/>
        </w:rPr>
        <w:t>)</w:t>
      </w:r>
      <w:r w:rsidR="00603323" w:rsidRPr="00FD211F">
        <w:rPr>
          <w:sz w:val="36"/>
          <w:szCs w:val="36"/>
          <w:rtl/>
        </w:rPr>
        <w:t>،</w:t>
      </w:r>
      <w:r w:rsidR="00E8128F">
        <w:rPr>
          <w:sz w:val="36"/>
          <w:szCs w:val="36"/>
          <w:rtl/>
        </w:rPr>
        <w:t xml:space="preserve"> </w:t>
      </w:r>
      <w:r w:rsidR="00CA26A2" w:rsidRPr="00FD211F">
        <w:rPr>
          <w:sz w:val="36"/>
          <w:szCs w:val="36"/>
          <w:rtl/>
        </w:rPr>
        <w:t>وقد</w:t>
      </w:r>
      <w:r w:rsidR="00E8128F">
        <w:rPr>
          <w:sz w:val="36"/>
          <w:szCs w:val="36"/>
          <w:rtl/>
        </w:rPr>
        <w:t xml:space="preserve"> </w:t>
      </w:r>
      <w:r w:rsidR="00CA26A2" w:rsidRPr="00FD211F">
        <w:rPr>
          <w:sz w:val="36"/>
          <w:szCs w:val="36"/>
          <w:rtl/>
        </w:rPr>
        <w:t>ذكر</w:t>
      </w:r>
      <w:r w:rsidR="00E8128F">
        <w:rPr>
          <w:sz w:val="36"/>
          <w:szCs w:val="36"/>
          <w:rtl/>
        </w:rPr>
        <w:t xml:space="preserve"> </w:t>
      </w:r>
      <w:r w:rsidR="00CA26A2" w:rsidRPr="00FD211F">
        <w:rPr>
          <w:sz w:val="36"/>
          <w:szCs w:val="36"/>
          <w:rtl/>
        </w:rPr>
        <w:t>في</w:t>
      </w:r>
      <w:r w:rsidR="00E8128F">
        <w:rPr>
          <w:sz w:val="36"/>
          <w:szCs w:val="36"/>
          <w:rtl/>
        </w:rPr>
        <w:t xml:space="preserve"> </w:t>
      </w:r>
      <w:r w:rsidR="0090224F" w:rsidRPr="00FD211F">
        <w:rPr>
          <w:sz w:val="36"/>
          <w:szCs w:val="36"/>
          <w:rtl/>
        </w:rPr>
        <w:t>الأمر</w:t>
      </w:r>
      <w:r w:rsidR="00E8128F">
        <w:rPr>
          <w:sz w:val="36"/>
          <w:szCs w:val="36"/>
          <w:rtl/>
        </w:rPr>
        <w:t xml:space="preserve"> </w:t>
      </w:r>
      <w:r w:rsidR="00CA26A2" w:rsidRPr="00FD211F">
        <w:rPr>
          <w:sz w:val="36"/>
          <w:szCs w:val="36"/>
          <w:rtl/>
        </w:rPr>
        <w:t>الرابع</w:t>
      </w:r>
      <w:r w:rsidR="00E8128F">
        <w:rPr>
          <w:sz w:val="36"/>
          <w:szCs w:val="36"/>
          <w:rtl/>
        </w:rPr>
        <w:t xml:space="preserve"> </w:t>
      </w:r>
      <w:r w:rsidR="00CA26A2" w:rsidRPr="00FD211F">
        <w:rPr>
          <w:sz w:val="36"/>
          <w:szCs w:val="36"/>
          <w:rtl/>
        </w:rPr>
        <w:t>من</w:t>
      </w:r>
      <w:r w:rsidR="00E8128F">
        <w:rPr>
          <w:sz w:val="36"/>
          <w:szCs w:val="36"/>
          <w:rtl/>
        </w:rPr>
        <w:t xml:space="preserve"> </w:t>
      </w:r>
      <w:r w:rsidR="00CA26A2" w:rsidRPr="00FD211F">
        <w:rPr>
          <w:sz w:val="36"/>
          <w:szCs w:val="36"/>
          <w:rtl/>
        </w:rPr>
        <w:t>مباحث</w:t>
      </w:r>
      <w:r w:rsidR="00E8128F">
        <w:rPr>
          <w:sz w:val="36"/>
          <w:szCs w:val="36"/>
          <w:rtl/>
        </w:rPr>
        <w:t xml:space="preserve"> </w:t>
      </w:r>
      <w:r w:rsidR="00CA26A2" w:rsidRPr="00FD211F">
        <w:rPr>
          <w:sz w:val="36"/>
          <w:szCs w:val="36"/>
          <w:rtl/>
        </w:rPr>
        <w:t>القطع</w:t>
      </w:r>
      <w:r w:rsidR="00E8128F">
        <w:rPr>
          <w:sz w:val="36"/>
          <w:szCs w:val="36"/>
          <w:rtl/>
        </w:rPr>
        <w:t xml:space="preserve"> </w:t>
      </w:r>
      <w:r w:rsidR="00CA26A2" w:rsidRPr="00FD211F">
        <w:rPr>
          <w:sz w:val="36"/>
          <w:szCs w:val="36"/>
          <w:rtl/>
        </w:rPr>
        <w:t>من</w:t>
      </w:r>
      <w:r w:rsidR="00E8128F">
        <w:rPr>
          <w:sz w:val="36"/>
          <w:szCs w:val="36"/>
          <w:rtl/>
        </w:rPr>
        <w:t xml:space="preserve"> </w:t>
      </w:r>
      <w:r w:rsidR="00CA26A2" w:rsidRPr="00FD211F">
        <w:rPr>
          <w:sz w:val="36"/>
          <w:szCs w:val="36"/>
          <w:rtl/>
        </w:rPr>
        <w:t>الكفاي</w:t>
      </w:r>
      <w:r w:rsidR="00EC7EDF" w:rsidRPr="00FD211F">
        <w:rPr>
          <w:sz w:val="36"/>
          <w:szCs w:val="36"/>
          <w:rtl/>
        </w:rPr>
        <w:t>ة</w:t>
      </w:r>
      <w:r w:rsidR="00E8128F">
        <w:rPr>
          <w:sz w:val="36"/>
          <w:szCs w:val="36"/>
          <w:rtl/>
        </w:rPr>
        <w:t xml:space="preserve"> </w:t>
      </w:r>
      <w:r w:rsidR="00CA26A2" w:rsidRPr="00FD211F">
        <w:rPr>
          <w:sz w:val="36"/>
          <w:szCs w:val="36"/>
          <w:rtl/>
        </w:rPr>
        <w:t>ما</w:t>
      </w:r>
      <w:r w:rsidR="00E8128F">
        <w:rPr>
          <w:sz w:val="36"/>
          <w:szCs w:val="36"/>
          <w:rtl/>
        </w:rPr>
        <w:t xml:space="preserve"> </w:t>
      </w:r>
      <w:r w:rsidR="00CA26A2" w:rsidRPr="00FD211F">
        <w:rPr>
          <w:sz w:val="36"/>
          <w:szCs w:val="36"/>
          <w:rtl/>
        </w:rPr>
        <w:t>يظهر</w:t>
      </w:r>
      <w:r w:rsidR="00E8128F">
        <w:rPr>
          <w:sz w:val="36"/>
          <w:szCs w:val="36"/>
          <w:rtl/>
        </w:rPr>
        <w:t xml:space="preserve"> </w:t>
      </w:r>
      <w:r w:rsidR="00CA26A2" w:rsidRPr="00FD211F">
        <w:rPr>
          <w:sz w:val="36"/>
          <w:szCs w:val="36"/>
          <w:rtl/>
        </w:rPr>
        <w:t>منه</w:t>
      </w:r>
      <w:r w:rsidR="00E8128F">
        <w:rPr>
          <w:sz w:val="36"/>
          <w:szCs w:val="36"/>
          <w:rtl/>
        </w:rPr>
        <w:t xml:space="preserve"> </w:t>
      </w:r>
      <w:r w:rsidR="00CA26A2" w:rsidRPr="00FD211F">
        <w:rPr>
          <w:sz w:val="36"/>
          <w:szCs w:val="36"/>
          <w:rtl/>
        </w:rPr>
        <w:t>ان</w:t>
      </w:r>
      <w:r w:rsidR="00E8128F">
        <w:rPr>
          <w:sz w:val="36"/>
          <w:szCs w:val="36"/>
          <w:rtl/>
        </w:rPr>
        <w:t xml:space="preserve"> </w:t>
      </w:r>
      <w:r w:rsidR="00CA26A2" w:rsidRPr="00FD211F">
        <w:rPr>
          <w:sz w:val="36"/>
          <w:szCs w:val="36"/>
          <w:rtl/>
        </w:rPr>
        <w:t>الحكم</w:t>
      </w:r>
      <w:r w:rsidR="00E8128F">
        <w:rPr>
          <w:sz w:val="36"/>
          <w:szCs w:val="36"/>
          <w:rtl/>
        </w:rPr>
        <w:t xml:space="preserve"> </w:t>
      </w:r>
      <w:r w:rsidR="00CA26A2" w:rsidRPr="00FD211F">
        <w:rPr>
          <w:sz w:val="36"/>
          <w:szCs w:val="36"/>
          <w:rtl/>
        </w:rPr>
        <w:t>الواقعي</w:t>
      </w:r>
      <w:r w:rsidR="00E8128F">
        <w:rPr>
          <w:sz w:val="36"/>
          <w:szCs w:val="36"/>
          <w:rtl/>
        </w:rPr>
        <w:t xml:space="preserve"> </w:t>
      </w:r>
      <w:r w:rsidR="00CA26A2" w:rsidRPr="00FD211F">
        <w:rPr>
          <w:sz w:val="36"/>
          <w:szCs w:val="36"/>
          <w:rtl/>
        </w:rPr>
        <w:t>لو</w:t>
      </w:r>
      <w:r w:rsidR="00E8128F">
        <w:rPr>
          <w:sz w:val="36"/>
          <w:szCs w:val="36"/>
          <w:rtl/>
        </w:rPr>
        <w:t xml:space="preserve"> </w:t>
      </w:r>
      <w:r w:rsidR="00CA26A2" w:rsidRPr="00FD211F">
        <w:rPr>
          <w:sz w:val="36"/>
          <w:szCs w:val="36"/>
          <w:rtl/>
        </w:rPr>
        <w:t>كان</w:t>
      </w:r>
      <w:r w:rsidR="00E8128F">
        <w:rPr>
          <w:sz w:val="36"/>
          <w:szCs w:val="36"/>
          <w:rtl/>
        </w:rPr>
        <w:t xml:space="preserve"> </w:t>
      </w:r>
      <w:r w:rsidR="00CA26A2" w:rsidRPr="00FD211F">
        <w:rPr>
          <w:sz w:val="36"/>
          <w:szCs w:val="36"/>
          <w:rtl/>
        </w:rPr>
        <w:t>فعليا</w:t>
      </w:r>
      <w:r w:rsidR="00E8128F">
        <w:rPr>
          <w:sz w:val="36"/>
          <w:szCs w:val="36"/>
          <w:rtl/>
        </w:rPr>
        <w:t xml:space="preserve"> </w:t>
      </w:r>
      <w:r w:rsidR="00CA26A2" w:rsidRPr="00FD211F">
        <w:rPr>
          <w:sz w:val="36"/>
          <w:szCs w:val="36"/>
          <w:rtl/>
        </w:rPr>
        <w:t>فلابد</w:t>
      </w:r>
      <w:r w:rsidR="00E8128F">
        <w:rPr>
          <w:sz w:val="36"/>
          <w:szCs w:val="36"/>
          <w:rtl/>
        </w:rPr>
        <w:t xml:space="preserve"> </w:t>
      </w:r>
      <w:r w:rsidR="00CA26A2" w:rsidRPr="00FD211F">
        <w:rPr>
          <w:sz w:val="36"/>
          <w:szCs w:val="36"/>
          <w:rtl/>
        </w:rPr>
        <w:t>للمولى</w:t>
      </w:r>
      <w:r w:rsidR="00E8128F">
        <w:rPr>
          <w:sz w:val="36"/>
          <w:szCs w:val="36"/>
          <w:rtl/>
        </w:rPr>
        <w:t xml:space="preserve"> </w:t>
      </w:r>
      <w:r w:rsidR="00CA26A2" w:rsidRPr="00FD211F">
        <w:rPr>
          <w:sz w:val="36"/>
          <w:szCs w:val="36"/>
          <w:rtl/>
        </w:rPr>
        <w:t>من</w:t>
      </w:r>
      <w:r w:rsidR="00E8128F">
        <w:rPr>
          <w:sz w:val="36"/>
          <w:szCs w:val="36"/>
          <w:rtl/>
        </w:rPr>
        <w:t xml:space="preserve"> </w:t>
      </w:r>
      <w:r w:rsidR="00CA26A2" w:rsidRPr="00FD211F">
        <w:rPr>
          <w:sz w:val="36"/>
          <w:szCs w:val="36"/>
          <w:rtl/>
        </w:rPr>
        <w:t>ان</w:t>
      </w:r>
      <w:r w:rsidR="00E8128F">
        <w:rPr>
          <w:sz w:val="36"/>
          <w:szCs w:val="36"/>
          <w:rtl/>
        </w:rPr>
        <w:t xml:space="preserve"> </w:t>
      </w:r>
      <w:r w:rsidR="00CA26A2" w:rsidRPr="00FD211F">
        <w:rPr>
          <w:sz w:val="36"/>
          <w:szCs w:val="36"/>
          <w:rtl/>
        </w:rPr>
        <w:t>يرفع</w:t>
      </w:r>
      <w:r w:rsidR="00E8128F">
        <w:rPr>
          <w:sz w:val="36"/>
          <w:szCs w:val="36"/>
          <w:rtl/>
        </w:rPr>
        <w:t xml:space="preserve"> </w:t>
      </w:r>
      <w:r w:rsidR="00CA26A2" w:rsidRPr="00FD211F">
        <w:rPr>
          <w:sz w:val="36"/>
          <w:szCs w:val="36"/>
          <w:rtl/>
        </w:rPr>
        <w:t>جهل</w:t>
      </w:r>
      <w:r w:rsidR="00E8128F">
        <w:rPr>
          <w:sz w:val="36"/>
          <w:szCs w:val="36"/>
          <w:rtl/>
        </w:rPr>
        <w:t xml:space="preserve"> </w:t>
      </w:r>
      <w:r w:rsidR="00CA26A2" w:rsidRPr="00FD211F">
        <w:rPr>
          <w:sz w:val="36"/>
          <w:szCs w:val="36"/>
          <w:rtl/>
        </w:rPr>
        <w:t>المكلف</w:t>
      </w:r>
      <w:r w:rsidR="00E8128F">
        <w:rPr>
          <w:sz w:val="36"/>
          <w:szCs w:val="36"/>
          <w:rtl/>
        </w:rPr>
        <w:t xml:space="preserve"> </w:t>
      </w:r>
      <w:r w:rsidR="00CA26A2" w:rsidRPr="00FD211F">
        <w:rPr>
          <w:sz w:val="36"/>
          <w:szCs w:val="36"/>
          <w:rtl/>
        </w:rPr>
        <w:t>بالواقع</w:t>
      </w:r>
      <w:r w:rsidR="00E8128F">
        <w:rPr>
          <w:sz w:val="36"/>
          <w:szCs w:val="36"/>
          <w:rtl/>
        </w:rPr>
        <w:t xml:space="preserve"> </w:t>
      </w:r>
      <w:r w:rsidR="00CA26A2" w:rsidRPr="00FD211F">
        <w:rPr>
          <w:sz w:val="36"/>
          <w:szCs w:val="36"/>
          <w:rtl/>
        </w:rPr>
        <w:t>او</w:t>
      </w:r>
      <w:r w:rsidR="00E8128F">
        <w:rPr>
          <w:sz w:val="36"/>
          <w:szCs w:val="36"/>
          <w:rtl/>
        </w:rPr>
        <w:t xml:space="preserve"> </w:t>
      </w:r>
      <w:r w:rsidR="00CA26A2" w:rsidRPr="00FD211F">
        <w:rPr>
          <w:sz w:val="36"/>
          <w:szCs w:val="36"/>
          <w:rtl/>
        </w:rPr>
        <w:t>يوجب</w:t>
      </w:r>
      <w:r w:rsidR="00E8128F">
        <w:rPr>
          <w:sz w:val="36"/>
          <w:szCs w:val="36"/>
          <w:rtl/>
        </w:rPr>
        <w:t xml:space="preserve"> </w:t>
      </w:r>
      <w:r w:rsidR="00CA26A2" w:rsidRPr="00FD211F">
        <w:rPr>
          <w:sz w:val="36"/>
          <w:szCs w:val="36"/>
          <w:rtl/>
        </w:rPr>
        <w:t>عليه</w:t>
      </w:r>
      <w:r w:rsidR="00E8128F">
        <w:rPr>
          <w:sz w:val="36"/>
          <w:szCs w:val="36"/>
          <w:rtl/>
        </w:rPr>
        <w:t xml:space="preserve"> </w:t>
      </w:r>
      <w:r w:rsidR="00CA26A2" w:rsidRPr="00FD211F">
        <w:rPr>
          <w:sz w:val="36"/>
          <w:szCs w:val="36"/>
          <w:rtl/>
        </w:rPr>
        <w:t>الاحتياط</w:t>
      </w:r>
      <w:r w:rsidR="00E8128F">
        <w:rPr>
          <w:sz w:val="36"/>
          <w:szCs w:val="36"/>
          <w:rtl/>
        </w:rPr>
        <w:t xml:space="preserve"> </w:t>
      </w:r>
      <w:r w:rsidR="00CA26A2" w:rsidRPr="00FD211F">
        <w:rPr>
          <w:sz w:val="36"/>
          <w:szCs w:val="36"/>
          <w:rtl/>
        </w:rPr>
        <w:t>فيما</w:t>
      </w:r>
      <w:r w:rsidR="00E8128F">
        <w:rPr>
          <w:sz w:val="36"/>
          <w:szCs w:val="36"/>
          <w:rtl/>
        </w:rPr>
        <w:t xml:space="preserve"> </w:t>
      </w:r>
      <w:r w:rsidR="00CA26A2" w:rsidRPr="00FD211F">
        <w:rPr>
          <w:sz w:val="36"/>
          <w:szCs w:val="36"/>
          <w:rtl/>
        </w:rPr>
        <w:t>اذا</w:t>
      </w:r>
      <w:r w:rsidR="00E8128F">
        <w:rPr>
          <w:sz w:val="36"/>
          <w:szCs w:val="36"/>
          <w:rtl/>
        </w:rPr>
        <w:t xml:space="preserve"> </w:t>
      </w:r>
      <w:r w:rsidR="00CA26A2" w:rsidRPr="00FD211F">
        <w:rPr>
          <w:sz w:val="36"/>
          <w:szCs w:val="36"/>
          <w:rtl/>
        </w:rPr>
        <w:t>امكن</w:t>
      </w:r>
      <w:r w:rsidR="009C58C8" w:rsidRPr="00FD211F">
        <w:rPr>
          <w:rStyle w:val="a6"/>
          <w:sz w:val="36"/>
          <w:szCs w:val="36"/>
          <w:rtl/>
        </w:rPr>
        <w:t>(</w:t>
      </w:r>
      <w:r w:rsidR="009C58C8" w:rsidRPr="00FD211F">
        <w:rPr>
          <w:rStyle w:val="a6"/>
          <w:sz w:val="36"/>
          <w:szCs w:val="36"/>
          <w:rtl/>
        </w:rPr>
        <w:footnoteReference w:id="9"/>
      </w:r>
      <w:r w:rsidR="009C58C8" w:rsidRPr="00FD211F">
        <w:rPr>
          <w:rStyle w:val="a6"/>
          <w:sz w:val="36"/>
          <w:szCs w:val="36"/>
          <w:rtl/>
        </w:rPr>
        <w:t>)</w:t>
      </w:r>
      <w:r w:rsidR="00CA26A2" w:rsidRPr="00FD211F">
        <w:rPr>
          <w:sz w:val="36"/>
          <w:szCs w:val="36"/>
          <w:rtl/>
        </w:rPr>
        <w:t>.</w:t>
      </w:r>
    </w:p>
    <w:p w14:paraId="0632D907" w14:textId="77777777" w:rsidR="00CA26A2" w:rsidRPr="00FD211F" w:rsidRDefault="00EF0F68" w:rsidP="009C58C8">
      <w:pPr>
        <w:ind w:left="0" w:firstLine="227"/>
        <w:jc w:val="both"/>
        <w:rPr>
          <w:sz w:val="36"/>
          <w:szCs w:val="36"/>
          <w:rtl/>
        </w:rPr>
      </w:pPr>
      <w:r w:rsidRPr="00FD211F">
        <w:rPr>
          <w:sz w:val="36"/>
          <w:szCs w:val="36"/>
          <w:rtl/>
        </w:rPr>
        <w:t>والوجه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ذلك</w:t>
      </w:r>
      <w:r w:rsidR="00E8128F">
        <w:rPr>
          <w:sz w:val="36"/>
          <w:szCs w:val="36"/>
          <w:rtl/>
        </w:rPr>
        <w:t xml:space="preserve"> </w:t>
      </w:r>
      <w:r w:rsidR="00CA26A2" w:rsidRPr="00FD211F">
        <w:rPr>
          <w:sz w:val="36"/>
          <w:szCs w:val="36"/>
          <w:rtl/>
        </w:rPr>
        <w:t>ان</w:t>
      </w:r>
      <w:r w:rsidR="00E8128F">
        <w:rPr>
          <w:sz w:val="36"/>
          <w:szCs w:val="36"/>
          <w:rtl/>
        </w:rPr>
        <w:t xml:space="preserve"> </w:t>
      </w:r>
      <w:r w:rsidR="00CA26A2" w:rsidRPr="00FD211F">
        <w:rPr>
          <w:sz w:val="36"/>
          <w:szCs w:val="36"/>
          <w:rtl/>
        </w:rPr>
        <w:t>نكت</w:t>
      </w:r>
      <w:r w:rsidR="00EC7EDF" w:rsidRPr="00FD211F">
        <w:rPr>
          <w:sz w:val="36"/>
          <w:szCs w:val="36"/>
          <w:rtl/>
        </w:rPr>
        <w:t>ة</w:t>
      </w:r>
      <w:r w:rsidR="00E8128F">
        <w:rPr>
          <w:sz w:val="36"/>
          <w:szCs w:val="36"/>
          <w:rtl/>
        </w:rPr>
        <w:t xml:space="preserve"> </w:t>
      </w:r>
      <w:r w:rsidR="00CA26A2" w:rsidRPr="00FD211F">
        <w:rPr>
          <w:sz w:val="36"/>
          <w:szCs w:val="36"/>
          <w:rtl/>
        </w:rPr>
        <w:t>استحال</w:t>
      </w:r>
      <w:r w:rsidR="00EC7EDF" w:rsidRPr="00FD211F">
        <w:rPr>
          <w:sz w:val="36"/>
          <w:szCs w:val="36"/>
          <w:rtl/>
        </w:rPr>
        <w:t>ة</w:t>
      </w:r>
      <w:r w:rsidR="00E8128F">
        <w:rPr>
          <w:sz w:val="36"/>
          <w:szCs w:val="36"/>
          <w:rtl/>
        </w:rPr>
        <w:t xml:space="preserve"> </w:t>
      </w:r>
      <w:r w:rsidR="00CA26A2" w:rsidRPr="00FD211F">
        <w:rPr>
          <w:sz w:val="36"/>
          <w:szCs w:val="36"/>
          <w:rtl/>
        </w:rPr>
        <w:t>اجتماع</w:t>
      </w:r>
      <w:r w:rsidR="00E8128F">
        <w:rPr>
          <w:sz w:val="36"/>
          <w:szCs w:val="36"/>
          <w:rtl/>
        </w:rPr>
        <w:t xml:space="preserve"> </w:t>
      </w:r>
      <w:r w:rsidR="00CA26A2" w:rsidRPr="00FD211F">
        <w:rPr>
          <w:sz w:val="36"/>
          <w:szCs w:val="36"/>
          <w:rtl/>
        </w:rPr>
        <w:t>قاعد</w:t>
      </w:r>
      <w:r w:rsidR="00EC7EDF" w:rsidRPr="00FD211F">
        <w:rPr>
          <w:sz w:val="36"/>
          <w:szCs w:val="36"/>
          <w:rtl/>
        </w:rPr>
        <w:t>ة</w:t>
      </w:r>
      <w:r w:rsidR="00E8128F">
        <w:rPr>
          <w:sz w:val="36"/>
          <w:szCs w:val="36"/>
          <w:rtl/>
        </w:rPr>
        <w:t xml:space="preserve"> </w:t>
      </w:r>
      <w:r w:rsidR="00CA26A2" w:rsidRPr="00FD211F">
        <w:rPr>
          <w:sz w:val="36"/>
          <w:szCs w:val="36"/>
          <w:rtl/>
        </w:rPr>
        <w:t>الحل</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شرب</w:t>
      </w:r>
      <w:r w:rsidR="00E8128F">
        <w:rPr>
          <w:sz w:val="36"/>
          <w:szCs w:val="36"/>
          <w:rtl/>
        </w:rPr>
        <w:t xml:space="preserve"> </w:t>
      </w:r>
      <w:r w:rsidR="00CA26A2" w:rsidRPr="00FD211F">
        <w:rPr>
          <w:sz w:val="36"/>
          <w:szCs w:val="36"/>
          <w:rtl/>
        </w:rPr>
        <w:t>التتن</w:t>
      </w:r>
      <w:r w:rsidR="00E8128F">
        <w:rPr>
          <w:sz w:val="36"/>
          <w:szCs w:val="36"/>
          <w:rtl/>
        </w:rPr>
        <w:t xml:space="preserve"> </w:t>
      </w:r>
      <w:r w:rsidR="00CA26A2" w:rsidRPr="00FD211F">
        <w:rPr>
          <w:sz w:val="36"/>
          <w:szCs w:val="36"/>
          <w:rtl/>
        </w:rPr>
        <w:t>مثلا</w:t>
      </w:r>
      <w:r w:rsidR="00E8128F">
        <w:rPr>
          <w:sz w:val="36"/>
          <w:szCs w:val="36"/>
          <w:rtl/>
        </w:rPr>
        <w:t xml:space="preserve"> </w:t>
      </w:r>
      <w:r w:rsidR="00CA26A2" w:rsidRPr="00FD211F">
        <w:rPr>
          <w:sz w:val="36"/>
          <w:szCs w:val="36"/>
          <w:rtl/>
        </w:rPr>
        <w:t>مع</w:t>
      </w:r>
      <w:r w:rsidR="00E8128F">
        <w:rPr>
          <w:sz w:val="36"/>
          <w:szCs w:val="36"/>
          <w:rtl/>
        </w:rPr>
        <w:t xml:space="preserve"> </w:t>
      </w:r>
      <w:r w:rsidR="00CA26A2" w:rsidRPr="00FD211F">
        <w:rPr>
          <w:sz w:val="36"/>
          <w:szCs w:val="36"/>
          <w:rtl/>
        </w:rPr>
        <w:t>فعلي</w:t>
      </w:r>
      <w:r w:rsidR="00EC7EDF" w:rsidRPr="00FD211F">
        <w:rPr>
          <w:sz w:val="36"/>
          <w:szCs w:val="36"/>
          <w:rtl/>
        </w:rPr>
        <w:t>ة</w:t>
      </w:r>
      <w:r w:rsidR="00E8128F">
        <w:rPr>
          <w:sz w:val="36"/>
          <w:szCs w:val="36"/>
          <w:rtl/>
        </w:rPr>
        <w:t xml:space="preserve"> </w:t>
      </w:r>
      <w:r w:rsidR="00CA26A2" w:rsidRPr="00FD211F">
        <w:rPr>
          <w:sz w:val="36"/>
          <w:szCs w:val="36"/>
          <w:rtl/>
        </w:rPr>
        <w:t>حرمته</w:t>
      </w:r>
      <w:r w:rsidR="00E8128F">
        <w:rPr>
          <w:sz w:val="36"/>
          <w:szCs w:val="36"/>
          <w:rtl/>
        </w:rPr>
        <w:t xml:space="preserve"> </w:t>
      </w:r>
      <w:r w:rsidR="00CA26A2" w:rsidRPr="00FD211F">
        <w:rPr>
          <w:sz w:val="36"/>
          <w:szCs w:val="36"/>
          <w:rtl/>
        </w:rPr>
        <w:t>الواقعي</w:t>
      </w:r>
      <w:r w:rsidR="00EC7EDF" w:rsidRPr="00FD211F">
        <w:rPr>
          <w:sz w:val="36"/>
          <w:szCs w:val="36"/>
          <w:rtl/>
        </w:rPr>
        <w:t>ة</w:t>
      </w:r>
      <w:r w:rsidR="00E8128F">
        <w:rPr>
          <w:sz w:val="36"/>
          <w:szCs w:val="36"/>
          <w:rtl/>
        </w:rPr>
        <w:t xml:space="preserve"> </w:t>
      </w:r>
      <w:r w:rsidR="00CA26A2" w:rsidRPr="00FD211F">
        <w:rPr>
          <w:sz w:val="36"/>
          <w:szCs w:val="36"/>
          <w:rtl/>
        </w:rPr>
        <w:t>تأتي</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حجي</w:t>
      </w:r>
      <w:r w:rsidR="00EC7EDF" w:rsidRPr="00FD211F">
        <w:rPr>
          <w:sz w:val="36"/>
          <w:szCs w:val="36"/>
          <w:rtl/>
        </w:rPr>
        <w:t>ة</w:t>
      </w:r>
      <w:r w:rsidR="00E8128F">
        <w:rPr>
          <w:sz w:val="36"/>
          <w:szCs w:val="36"/>
          <w:rtl/>
        </w:rPr>
        <w:t xml:space="preserve"> </w:t>
      </w:r>
      <w:r w:rsidR="00CA26A2" w:rsidRPr="00FD211F">
        <w:rPr>
          <w:sz w:val="36"/>
          <w:szCs w:val="36"/>
          <w:rtl/>
        </w:rPr>
        <w:t>الامار</w:t>
      </w:r>
      <w:r w:rsidR="00EC7EDF" w:rsidRPr="00FD211F">
        <w:rPr>
          <w:sz w:val="36"/>
          <w:szCs w:val="36"/>
          <w:rtl/>
        </w:rPr>
        <w:t>ة</w:t>
      </w:r>
      <w:r w:rsidR="00E8128F">
        <w:rPr>
          <w:sz w:val="36"/>
          <w:szCs w:val="36"/>
          <w:rtl/>
        </w:rPr>
        <w:t xml:space="preserve"> </w:t>
      </w:r>
      <w:r w:rsidR="00CA26A2" w:rsidRPr="00FD211F">
        <w:rPr>
          <w:sz w:val="36"/>
          <w:szCs w:val="36"/>
          <w:rtl/>
        </w:rPr>
        <w:t>القائم</w:t>
      </w:r>
      <w:r w:rsidR="00EC7EDF" w:rsidRPr="00FD211F">
        <w:rPr>
          <w:sz w:val="36"/>
          <w:szCs w:val="36"/>
          <w:rtl/>
        </w:rPr>
        <w:t>ة</w:t>
      </w:r>
      <w:r w:rsidR="00E8128F">
        <w:rPr>
          <w:sz w:val="36"/>
          <w:szCs w:val="36"/>
          <w:rtl/>
        </w:rPr>
        <w:t xml:space="preserve"> </w:t>
      </w:r>
      <w:r w:rsidR="00CA26A2" w:rsidRPr="00FD211F">
        <w:rPr>
          <w:sz w:val="36"/>
          <w:szCs w:val="36"/>
          <w:rtl/>
        </w:rPr>
        <w:t>على</w:t>
      </w:r>
      <w:r w:rsidR="00E8128F">
        <w:rPr>
          <w:sz w:val="36"/>
          <w:szCs w:val="36"/>
          <w:rtl/>
        </w:rPr>
        <w:t xml:space="preserve"> </w:t>
      </w:r>
      <w:r w:rsidR="00CA26A2" w:rsidRPr="00FD211F">
        <w:rPr>
          <w:sz w:val="36"/>
          <w:szCs w:val="36"/>
          <w:rtl/>
        </w:rPr>
        <w:t>الحل</w:t>
      </w:r>
      <w:r w:rsidR="00E8128F">
        <w:rPr>
          <w:sz w:val="36"/>
          <w:szCs w:val="36"/>
          <w:rtl/>
        </w:rPr>
        <w:t xml:space="preserve"> </w:t>
      </w:r>
      <w:r w:rsidR="00CA26A2" w:rsidRPr="00FD211F">
        <w:rPr>
          <w:sz w:val="36"/>
          <w:szCs w:val="36"/>
          <w:rtl/>
        </w:rPr>
        <w:t>أيضا</w:t>
      </w:r>
      <w:r w:rsidR="00603323" w:rsidRPr="00FD211F">
        <w:rPr>
          <w:sz w:val="36"/>
          <w:szCs w:val="36"/>
          <w:rtl/>
        </w:rPr>
        <w:t>،</w:t>
      </w:r>
      <w:r w:rsidR="00E8128F">
        <w:rPr>
          <w:sz w:val="36"/>
          <w:szCs w:val="36"/>
          <w:rtl/>
        </w:rPr>
        <w:t xml:space="preserve"> </w:t>
      </w:r>
      <w:r w:rsidR="00CA26A2" w:rsidRPr="00FD211F">
        <w:rPr>
          <w:sz w:val="36"/>
          <w:szCs w:val="36"/>
          <w:rtl/>
        </w:rPr>
        <w:t>فان</w:t>
      </w:r>
      <w:r w:rsidR="00E8128F">
        <w:rPr>
          <w:sz w:val="36"/>
          <w:szCs w:val="36"/>
          <w:rtl/>
        </w:rPr>
        <w:t xml:space="preserve"> </w:t>
      </w:r>
      <w:r w:rsidR="00CA26A2" w:rsidRPr="00FD211F">
        <w:rPr>
          <w:sz w:val="36"/>
          <w:szCs w:val="36"/>
          <w:rtl/>
        </w:rPr>
        <w:t>كلا</w:t>
      </w:r>
      <w:r w:rsidR="0003763F" w:rsidRPr="00FD211F">
        <w:rPr>
          <w:sz w:val="36"/>
          <w:szCs w:val="36"/>
          <w:rtl/>
        </w:rPr>
        <w:t>ًّ</w:t>
      </w:r>
      <w:r w:rsidR="00E8128F">
        <w:rPr>
          <w:sz w:val="36"/>
          <w:szCs w:val="36"/>
          <w:rtl/>
        </w:rPr>
        <w:t xml:space="preserve"> </w:t>
      </w:r>
      <w:r w:rsidR="00CA26A2" w:rsidRPr="00FD211F">
        <w:rPr>
          <w:sz w:val="36"/>
          <w:szCs w:val="36"/>
          <w:rtl/>
        </w:rPr>
        <w:t>من</w:t>
      </w:r>
      <w:r w:rsidR="00E8128F">
        <w:rPr>
          <w:sz w:val="36"/>
          <w:szCs w:val="36"/>
          <w:rtl/>
        </w:rPr>
        <w:t xml:space="preserve"> </w:t>
      </w:r>
      <w:r w:rsidR="00CA26A2" w:rsidRPr="00FD211F">
        <w:rPr>
          <w:sz w:val="36"/>
          <w:szCs w:val="36"/>
          <w:rtl/>
        </w:rPr>
        <w:t>انشاء</w:t>
      </w:r>
      <w:r w:rsidR="00E8128F">
        <w:rPr>
          <w:sz w:val="36"/>
          <w:szCs w:val="36"/>
          <w:rtl/>
        </w:rPr>
        <w:t xml:space="preserve"> </w:t>
      </w:r>
      <w:r w:rsidR="00CA26A2" w:rsidRPr="00FD211F">
        <w:rPr>
          <w:sz w:val="36"/>
          <w:szCs w:val="36"/>
          <w:rtl/>
        </w:rPr>
        <w:t>الترخيص</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مورد</w:t>
      </w:r>
      <w:r w:rsidR="00E8128F">
        <w:rPr>
          <w:sz w:val="36"/>
          <w:szCs w:val="36"/>
          <w:rtl/>
        </w:rPr>
        <w:t xml:space="preserve"> </w:t>
      </w:r>
      <w:r w:rsidR="00CA26A2" w:rsidRPr="00FD211F">
        <w:rPr>
          <w:sz w:val="36"/>
          <w:szCs w:val="36"/>
          <w:rtl/>
        </w:rPr>
        <w:t>قاعد</w:t>
      </w:r>
      <w:r w:rsidR="00EC7EDF" w:rsidRPr="00FD211F">
        <w:rPr>
          <w:sz w:val="36"/>
          <w:szCs w:val="36"/>
          <w:rtl/>
        </w:rPr>
        <w:t>ة</w:t>
      </w:r>
      <w:r w:rsidR="00E8128F">
        <w:rPr>
          <w:sz w:val="36"/>
          <w:szCs w:val="36"/>
          <w:rtl/>
        </w:rPr>
        <w:t xml:space="preserve"> </w:t>
      </w:r>
      <w:r w:rsidR="00CA26A2" w:rsidRPr="00FD211F">
        <w:rPr>
          <w:sz w:val="36"/>
          <w:szCs w:val="36"/>
          <w:rtl/>
        </w:rPr>
        <w:t>الحل</w:t>
      </w:r>
      <w:r w:rsidR="00E8128F">
        <w:rPr>
          <w:sz w:val="36"/>
          <w:szCs w:val="36"/>
          <w:rtl/>
        </w:rPr>
        <w:t xml:space="preserve"> </w:t>
      </w:r>
      <w:r w:rsidR="00CA26A2" w:rsidRPr="00FD211F">
        <w:rPr>
          <w:sz w:val="36"/>
          <w:szCs w:val="36"/>
          <w:rtl/>
        </w:rPr>
        <w:t>وإنشاء</w:t>
      </w:r>
      <w:r w:rsidR="00E8128F">
        <w:rPr>
          <w:sz w:val="36"/>
          <w:szCs w:val="36"/>
          <w:rtl/>
        </w:rPr>
        <w:t xml:space="preserve"> </w:t>
      </w:r>
      <w:r w:rsidR="00CA26A2" w:rsidRPr="00FD211F">
        <w:rPr>
          <w:sz w:val="36"/>
          <w:szCs w:val="36"/>
          <w:rtl/>
        </w:rPr>
        <w:t>المعذري</w:t>
      </w:r>
      <w:r w:rsidR="00EC7EDF" w:rsidRPr="00FD211F">
        <w:rPr>
          <w:sz w:val="36"/>
          <w:szCs w:val="36"/>
          <w:rtl/>
        </w:rPr>
        <w:t>ة</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مورد</w:t>
      </w:r>
      <w:r w:rsidR="00E8128F">
        <w:rPr>
          <w:sz w:val="36"/>
          <w:szCs w:val="36"/>
          <w:rtl/>
        </w:rPr>
        <w:t xml:space="preserve"> </w:t>
      </w:r>
      <w:r w:rsidR="00CA26A2" w:rsidRPr="00FD211F">
        <w:rPr>
          <w:sz w:val="36"/>
          <w:szCs w:val="36"/>
          <w:rtl/>
        </w:rPr>
        <w:t>امار</w:t>
      </w:r>
      <w:r w:rsidR="00EC7EDF" w:rsidRPr="00FD211F">
        <w:rPr>
          <w:sz w:val="36"/>
          <w:szCs w:val="36"/>
          <w:rtl/>
        </w:rPr>
        <w:t>ة</w:t>
      </w:r>
      <w:r w:rsidR="00E8128F">
        <w:rPr>
          <w:sz w:val="36"/>
          <w:szCs w:val="36"/>
          <w:rtl/>
        </w:rPr>
        <w:t xml:space="preserve"> </w:t>
      </w:r>
      <w:r w:rsidR="00CA26A2" w:rsidRPr="00FD211F">
        <w:rPr>
          <w:sz w:val="36"/>
          <w:szCs w:val="36"/>
          <w:rtl/>
        </w:rPr>
        <w:t>الحل</w:t>
      </w:r>
      <w:r w:rsidR="00E8128F">
        <w:rPr>
          <w:sz w:val="36"/>
          <w:szCs w:val="36"/>
          <w:rtl/>
        </w:rPr>
        <w:t xml:space="preserve"> </w:t>
      </w:r>
      <w:r w:rsidR="00CA26A2" w:rsidRPr="00FD211F">
        <w:rPr>
          <w:sz w:val="36"/>
          <w:szCs w:val="36"/>
          <w:rtl/>
        </w:rPr>
        <w:t>ينشئان</w:t>
      </w:r>
      <w:r w:rsidR="00E8128F">
        <w:rPr>
          <w:sz w:val="36"/>
          <w:szCs w:val="36"/>
          <w:rtl/>
        </w:rPr>
        <w:t xml:space="preserve"> </w:t>
      </w:r>
      <w:r w:rsidR="00CA26A2" w:rsidRPr="00FD211F">
        <w:rPr>
          <w:sz w:val="36"/>
          <w:szCs w:val="36"/>
          <w:rtl/>
        </w:rPr>
        <w:t>عن</w:t>
      </w:r>
      <w:r w:rsidR="00E8128F">
        <w:rPr>
          <w:sz w:val="36"/>
          <w:szCs w:val="36"/>
          <w:rtl/>
        </w:rPr>
        <w:t xml:space="preserve"> </w:t>
      </w:r>
      <w:r w:rsidR="00CA26A2" w:rsidRPr="00FD211F">
        <w:rPr>
          <w:sz w:val="36"/>
          <w:szCs w:val="36"/>
          <w:rtl/>
        </w:rPr>
        <w:t>عدم</w:t>
      </w:r>
      <w:r w:rsidR="00E8128F">
        <w:rPr>
          <w:sz w:val="36"/>
          <w:szCs w:val="36"/>
          <w:rtl/>
        </w:rPr>
        <w:t xml:space="preserve"> </w:t>
      </w:r>
      <w:r w:rsidR="00CA26A2" w:rsidRPr="00FD211F">
        <w:rPr>
          <w:sz w:val="36"/>
          <w:szCs w:val="36"/>
          <w:rtl/>
        </w:rPr>
        <w:lastRenderedPageBreak/>
        <w:t>الكراه</w:t>
      </w:r>
      <w:r w:rsidR="00EC7EDF" w:rsidRPr="00FD211F">
        <w:rPr>
          <w:sz w:val="36"/>
          <w:szCs w:val="36"/>
          <w:rtl/>
        </w:rPr>
        <w:t>ة</w:t>
      </w:r>
      <w:r w:rsidR="00E8128F">
        <w:rPr>
          <w:sz w:val="36"/>
          <w:szCs w:val="36"/>
          <w:rtl/>
        </w:rPr>
        <w:t xml:space="preserve"> </w:t>
      </w:r>
      <w:r w:rsidR="00CA26A2" w:rsidRPr="00FD211F">
        <w:rPr>
          <w:sz w:val="36"/>
          <w:szCs w:val="36"/>
          <w:rtl/>
        </w:rPr>
        <w:t>اللزومي</w:t>
      </w:r>
      <w:r w:rsidR="00EC7EDF" w:rsidRPr="00FD211F">
        <w:rPr>
          <w:sz w:val="36"/>
          <w:szCs w:val="36"/>
          <w:rtl/>
        </w:rPr>
        <w:t>ة</w:t>
      </w:r>
      <w:r w:rsidR="00E8128F">
        <w:rPr>
          <w:sz w:val="36"/>
          <w:szCs w:val="36"/>
          <w:rtl/>
        </w:rPr>
        <w:t xml:space="preserve"> </w:t>
      </w:r>
      <w:r w:rsidR="00CA26A2" w:rsidRPr="00FD211F">
        <w:rPr>
          <w:sz w:val="36"/>
          <w:szCs w:val="36"/>
          <w:rtl/>
        </w:rPr>
        <w:t>للمولى</w:t>
      </w:r>
      <w:r w:rsidR="00E8128F">
        <w:rPr>
          <w:sz w:val="36"/>
          <w:szCs w:val="36"/>
          <w:rtl/>
        </w:rPr>
        <w:t xml:space="preserve"> </w:t>
      </w:r>
      <w:r w:rsidR="00E36F35" w:rsidRPr="00FD211F">
        <w:rPr>
          <w:sz w:val="36"/>
          <w:szCs w:val="36"/>
          <w:rtl/>
        </w:rPr>
        <w:t>لشرب</w:t>
      </w:r>
      <w:r w:rsidR="00E8128F">
        <w:rPr>
          <w:sz w:val="36"/>
          <w:szCs w:val="36"/>
          <w:rtl/>
        </w:rPr>
        <w:t xml:space="preserve"> </w:t>
      </w:r>
      <w:r w:rsidR="00E36F35" w:rsidRPr="00FD211F">
        <w:rPr>
          <w:sz w:val="36"/>
          <w:szCs w:val="36"/>
          <w:rtl/>
        </w:rPr>
        <w:t>التتن</w:t>
      </w:r>
      <w:r w:rsidR="00E8128F">
        <w:rPr>
          <w:sz w:val="36"/>
          <w:szCs w:val="36"/>
          <w:rtl/>
        </w:rPr>
        <w:t xml:space="preserve"> </w:t>
      </w:r>
      <w:r w:rsidR="00E36F35" w:rsidRPr="00FD211F">
        <w:rPr>
          <w:sz w:val="36"/>
          <w:szCs w:val="36"/>
          <w:rtl/>
        </w:rPr>
        <w:t>بنحو</w:t>
      </w:r>
      <w:r w:rsidR="00E8128F">
        <w:rPr>
          <w:sz w:val="36"/>
          <w:szCs w:val="36"/>
          <w:rtl/>
        </w:rPr>
        <w:t xml:space="preserve"> </w:t>
      </w:r>
      <w:r w:rsidR="00E36F35" w:rsidRPr="00FD211F">
        <w:rPr>
          <w:sz w:val="36"/>
          <w:szCs w:val="36"/>
          <w:rtl/>
        </w:rPr>
        <w:t>لايرضى</w:t>
      </w:r>
      <w:r w:rsidR="00E8128F">
        <w:rPr>
          <w:sz w:val="36"/>
          <w:szCs w:val="36"/>
          <w:rtl/>
        </w:rPr>
        <w:t xml:space="preserve"> </w:t>
      </w:r>
      <w:r w:rsidR="00E36F35" w:rsidRPr="00FD211F">
        <w:rPr>
          <w:sz w:val="36"/>
          <w:szCs w:val="36"/>
          <w:rtl/>
        </w:rPr>
        <w:t>بارتكابه</w:t>
      </w:r>
      <w:r w:rsidR="00603323" w:rsidRPr="00FD211F">
        <w:rPr>
          <w:sz w:val="36"/>
          <w:szCs w:val="36"/>
          <w:rtl/>
        </w:rPr>
        <w:t>،</w:t>
      </w:r>
      <w:r w:rsidR="00E8128F">
        <w:rPr>
          <w:sz w:val="36"/>
          <w:szCs w:val="36"/>
          <w:rtl/>
        </w:rPr>
        <w:t xml:space="preserve"> </w:t>
      </w:r>
      <w:r w:rsidR="00CA26A2" w:rsidRPr="00FD211F">
        <w:rPr>
          <w:sz w:val="36"/>
          <w:szCs w:val="36"/>
          <w:rtl/>
        </w:rPr>
        <w:t>اذ</w:t>
      </w:r>
      <w:r w:rsidR="00E8128F">
        <w:rPr>
          <w:sz w:val="36"/>
          <w:szCs w:val="36"/>
          <w:rtl/>
        </w:rPr>
        <w:t xml:space="preserve"> </w:t>
      </w:r>
      <w:r w:rsidR="00CA26A2" w:rsidRPr="00FD211F">
        <w:rPr>
          <w:sz w:val="36"/>
          <w:szCs w:val="36"/>
          <w:rtl/>
        </w:rPr>
        <w:t>لو</w:t>
      </w:r>
      <w:r w:rsidR="00E8128F">
        <w:rPr>
          <w:sz w:val="36"/>
          <w:szCs w:val="36"/>
          <w:rtl/>
        </w:rPr>
        <w:t xml:space="preserve"> </w:t>
      </w:r>
      <w:r w:rsidR="00CA26A2" w:rsidRPr="00FD211F">
        <w:rPr>
          <w:sz w:val="36"/>
          <w:szCs w:val="36"/>
          <w:rtl/>
        </w:rPr>
        <w:t>كان</w:t>
      </w:r>
      <w:r w:rsidR="00E8128F">
        <w:rPr>
          <w:sz w:val="36"/>
          <w:szCs w:val="36"/>
          <w:rtl/>
        </w:rPr>
        <w:t xml:space="preserve"> </w:t>
      </w:r>
      <w:r w:rsidR="00CA26A2" w:rsidRPr="00FD211F">
        <w:rPr>
          <w:sz w:val="36"/>
          <w:szCs w:val="36"/>
          <w:rtl/>
        </w:rPr>
        <w:t>يكره</w:t>
      </w:r>
      <w:r w:rsidR="00E8128F">
        <w:rPr>
          <w:sz w:val="36"/>
          <w:szCs w:val="36"/>
          <w:rtl/>
        </w:rPr>
        <w:t xml:space="preserve"> </w:t>
      </w:r>
      <w:r w:rsidR="00CA26A2" w:rsidRPr="00FD211F">
        <w:rPr>
          <w:sz w:val="36"/>
          <w:szCs w:val="36"/>
          <w:rtl/>
        </w:rPr>
        <w:t>ذلك</w:t>
      </w:r>
      <w:r w:rsidR="00E8128F">
        <w:rPr>
          <w:sz w:val="36"/>
          <w:szCs w:val="36"/>
          <w:rtl/>
        </w:rPr>
        <w:t xml:space="preserve"> </w:t>
      </w:r>
      <w:r w:rsidR="00CA26A2" w:rsidRPr="00FD211F">
        <w:rPr>
          <w:sz w:val="36"/>
          <w:szCs w:val="36"/>
          <w:rtl/>
        </w:rPr>
        <w:t>كراه</w:t>
      </w:r>
      <w:r w:rsidR="00EC7EDF" w:rsidRPr="00FD211F">
        <w:rPr>
          <w:sz w:val="36"/>
          <w:szCs w:val="36"/>
          <w:rtl/>
        </w:rPr>
        <w:t>ة</w:t>
      </w:r>
      <w:r w:rsidR="00E8128F">
        <w:rPr>
          <w:sz w:val="36"/>
          <w:szCs w:val="36"/>
          <w:rtl/>
        </w:rPr>
        <w:t xml:space="preserve"> </w:t>
      </w:r>
      <w:r w:rsidR="00CA26A2" w:rsidRPr="00FD211F">
        <w:rPr>
          <w:sz w:val="36"/>
          <w:szCs w:val="36"/>
          <w:rtl/>
        </w:rPr>
        <w:t>لزومي</w:t>
      </w:r>
      <w:r w:rsidR="00EC7EDF" w:rsidRPr="00FD211F">
        <w:rPr>
          <w:sz w:val="36"/>
          <w:szCs w:val="36"/>
          <w:rtl/>
        </w:rPr>
        <w:t>ة</w:t>
      </w:r>
      <w:r w:rsidR="00E8128F">
        <w:rPr>
          <w:sz w:val="36"/>
          <w:szCs w:val="36"/>
          <w:rtl/>
        </w:rPr>
        <w:t xml:space="preserve"> </w:t>
      </w:r>
      <w:r w:rsidR="00CA26A2" w:rsidRPr="00FD211F">
        <w:rPr>
          <w:sz w:val="36"/>
          <w:szCs w:val="36"/>
          <w:rtl/>
        </w:rPr>
        <w:t>بنحو</w:t>
      </w:r>
      <w:r w:rsidR="00E8128F">
        <w:rPr>
          <w:sz w:val="36"/>
          <w:szCs w:val="36"/>
          <w:rtl/>
        </w:rPr>
        <w:t xml:space="preserve"> </w:t>
      </w:r>
      <w:r w:rsidR="00CA26A2" w:rsidRPr="00FD211F">
        <w:rPr>
          <w:sz w:val="36"/>
          <w:szCs w:val="36"/>
          <w:rtl/>
        </w:rPr>
        <w:t>لايرضى</w:t>
      </w:r>
      <w:r w:rsidR="00E8128F">
        <w:rPr>
          <w:sz w:val="36"/>
          <w:szCs w:val="36"/>
          <w:rtl/>
        </w:rPr>
        <w:t xml:space="preserve"> </w:t>
      </w:r>
      <w:r w:rsidR="00CA26A2" w:rsidRPr="00FD211F">
        <w:rPr>
          <w:sz w:val="36"/>
          <w:szCs w:val="36"/>
          <w:rtl/>
        </w:rPr>
        <w:t>بارتكابه</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هذا</w:t>
      </w:r>
      <w:r w:rsidR="00E8128F">
        <w:rPr>
          <w:sz w:val="36"/>
          <w:szCs w:val="36"/>
          <w:rtl/>
        </w:rPr>
        <w:t xml:space="preserve"> </w:t>
      </w:r>
      <w:r w:rsidR="00CA26A2" w:rsidRPr="00FD211F">
        <w:rPr>
          <w:sz w:val="36"/>
          <w:szCs w:val="36"/>
          <w:rtl/>
        </w:rPr>
        <w:t>الفرض</w:t>
      </w:r>
      <w:r w:rsidR="00E8128F">
        <w:rPr>
          <w:sz w:val="36"/>
          <w:szCs w:val="36"/>
          <w:rtl/>
        </w:rPr>
        <w:t xml:space="preserve"> </w:t>
      </w:r>
      <w:r w:rsidR="00CA26A2" w:rsidRPr="00FD211F">
        <w:rPr>
          <w:sz w:val="36"/>
          <w:szCs w:val="36"/>
          <w:rtl/>
        </w:rPr>
        <w:t>فلايجتمع</w:t>
      </w:r>
      <w:r w:rsidR="00E8128F">
        <w:rPr>
          <w:sz w:val="36"/>
          <w:szCs w:val="36"/>
          <w:rtl/>
        </w:rPr>
        <w:t xml:space="preserve"> </w:t>
      </w:r>
      <w:r w:rsidR="00CA26A2" w:rsidRPr="00FD211F">
        <w:rPr>
          <w:sz w:val="36"/>
          <w:szCs w:val="36"/>
          <w:rtl/>
        </w:rPr>
        <w:t>ذلك</w:t>
      </w:r>
      <w:r w:rsidR="00E8128F">
        <w:rPr>
          <w:sz w:val="36"/>
          <w:szCs w:val="36"/>
          <w:rtl/>
        </w:rPr>
        <w:t xml:space="preserve"> </w:t>
      </w:r>
      <w:r w:rsidR="00CA26A2" w:rsidRPr="00FD211F">
        <w:rPr>
          <w:sz w:val="36"/>
          <w:szCs w:val="36"/>
          <w:rtl/>
        </w:rPr>
        <w:t>مع</w:t>
      </w:r>
      <w:r w:rsidR="00E8128F">
        <w:rPr>
          <w:sz w:val="36"/>
          <w:szCs w:val="36"/>
          <w:rtl/>
        </w:rPr>
        <w:t xml:space="preserve"> </w:t>
      </w:r>
      <w:r w:rsidR="00CA26A2" w:rsidRPr="00FD211F">
        <w:rPr>
          <w:sz w:val="36"/>
          <w:szCs w:val="36"/>
          <w:rtl/>
        </w:rPr>
        <w:t>إنشاء</w:t>
      </w:r>
      <w:r w:rsidR="00E8128F">
        <w:rPr>
          <w:sz w:val="36"/>
          <w:szCs w:val="36"/>
          <w:rtl/>
        </w:rPr>
        <w:t xml:space="preserve"> </w:t>
      </w:r>
      <w:r w:rsidR="00CA26A2" w:rsidRPr="00FD211F">
        <w:rPr>
          <w:sz w:val="36"/>
          <w:szCs w:val="36"/>
          <w:rtl/>
        </w:rPr>
        <w:t>المعذري</w:t>
      </w:r>
      <w:r w:rsidR="00EC7EDF" w:rsidRPr="00FD211F">
        <w:rPr>
          <w:sz w:val="36"/>
          <w:szCs w:val="36"/>
          <w:rtl/>
        </w:rPr>
        <w:t>ة</w:t>
      </w:r>
      <w:r w:rsidR="00E8128F">
        <w:rPr>
          <w:sz w:val="36"/>
          <w:szCs w:val="36"/>
          <w:rtl/>
        </w:rPr>
        <w:t xml:space="preserve"> </w:t>
      </w:r>
      <w:r w:rsidR="00CA26A2" w:rsidRPr="00FD211F">
        <w:rPr>
          <w:sz w:val="36"/>
          <w:szCs w:val="36"/>
          <w:rtl/>
        </w:rPr>
        <w:t>له</w:t>
      </w:r>
      <w:r w:rsidR="00603323" w:rsidRPr="00FD211F">
        <w:rPr>
          <w:sz w:val="36"/>
          <w:szCs w:val="36"/>
          <w:rtl/>
        </w:rPr>
        <w:t>،</w:t>
      </w:r>
      <w:r w:rsidR="00E8128F">
        <w:rPr>
          <w:sz w:val="36"/>
          <w:szCs w:val="36"/>
          <w:rtl/>
        </w:rPr>
        <w:t xml:space="preserve"> </w:t>
      </w:r>
      <w:r w:rsidR="00CA26A2" w:rsidRPr="00FD211F">
        <w:rPr>
          <w:sz w:val="36"/>
          <w:szCs w:val="36"/>
          <w:rtl/>
        </w:rPr>
        <w:t>اذ</w:t>
      </w:r>
      <w:r w:rsidR="00E8128F">
        <w:rPr>
          <w:sz w:val="36"/>
          <w:szCs w:val="36"/>
          <w:rtl/>
        </w:rPr>
        <w:t xml:space="preserve"> </w:t>
      </w:r>
      <w:r w:rsidR="00CA26A2" w:rsidRPr="00FD211F">
        <w:rPr>
          <w:sz w:val="36"/>
          <w:szCs w:val="36"/>
          <w:rtl/>
        </w:rPr>
        <w:t>من</w:t>
      </w:r>
      <w:r w:rsidR="00E8128F">
        <w:rPr>
          <w:sz w:val="36"/>
          <w:szCs w:val="36"/>
          <w:rtl/>
        </w:rPr>
        <w:t xml:space="preserve"> </w:t>
      </w:r>
      <w:r w:rsidR="00CA26A2" w:rsidRPr="00FD211F">
        <w:rPr>
          <w:sz w:val="36"/>
          <w:szCs w:val="36"/>
          <w:rtl/>
        </w:rPr>
        <w:t>الواضح</w:t>
      </w:r>
      <w:r w:rsidR="00E8128F">
        <w:rPr>
          <w:sz w:val="36"/>
          <w:szCs w:val="36"/>
          <w:rtl/>
        </w:rPr>
        <w:t xml:space="preserve"> </w:t>
      </w:r>
      <w:r w:rsidR="00CA26A2" w:rsidRPr="00FD211F">
        <w:rPr>
          <w:sz w:val="36"/>
          <w:szCs w:val="36"/>
          <w:rtl/>
        </w:rPr>
        <w:t>انه</w:t>
      </w:r>
      <w:r w:rsidR="00E8128F">
        <w:rPr>
          <w:sz w:val="36"/>
          <w:szCs w:val="36"/>
          <w:rtl/>
        </w:rPr>
        <w:t xml:space="preserve"> </w:t>
      </w:r>
      <w:r w:rsidR="00CA26A2" w:rsidRPr="00FD211F">
        <w:rPr>
          <w:sz w:val="36"/>
          <w:szCs w:val="36"/>
          <w:rtl/>
        </w:rPr>
        <w:t>يعني</w:t>
      </w:r>
      <w:r w:rsidR="00E8128F">
        <w:rPr>
          <w:sz w:val="36"/>
          <w:szCs w:val="36"/>
          <w:rtl/>
        </w:rPr>
        <w:t xml:space="preserve"> </w:t>
      </w:r>
      <w:r w:rsidR="00CA26A2" w:rsidRPr="00FD211F">
        <w:rPr>
          <w:sz w:val="36"/>
          <w:szCs w:val="36"/>
          <w:rtl/>
        </w:rPr>
        <w:t>رضا</w:t>
      </w:r>
      <w:r w:rsidR="00E8128F">
        <w:rPr>
          <w:sz w:val="36"/>
          <w:szCs w:val="36"/>
          <w:rtl/>
        </w:rPr>
        <w:t xml:space="preserve"> </w:t>
      </w:r>
      <w:r w:rsidR="00CA26A2" w:rsidRPr="00FD211F">
        <w:rPr>
          <w:sz w:val="36"/>
          <w:szCs w:val="36"/>
          <w:rtl/>
        </w:rPr>
        <w:t>المولى</w:t>
      </w:r>
      <w:r w:rsidR="00E8128F">
        <w:rPr>
          <w:sz w:val="36"/>
          <w:szCs w:val="36"/>
          <w:rtl/>
        </w:rPr>
        <w:t xml:space="preserve"> </w:t>
      </w:r>
      <w:r w:rsidR="00CA26A2" w:rsidRPr="00FD211F">
        <w:rPr>
          <w:sz w:val="36"/>
          <w:szCs w:val="36"/>
          <w:rtl/>
        </w:rPr>
        <w:t>بترك</w:t>
      </w:r>
      <w:r w:rsidR="00E8128F">
        <w:rPr>
          <w:sz w:val="36"/>
          <w:szCs w:val="36"/>
          <w:rtl/>
        </w:rPr>
        <w:t xml:space="preserve"> </w:t>
      </w:r>
      <w:r w:rsidR="00CA26A2" w:rsidRPr="00FD211F">
        <w:rPr>
          <w:sz w:val="36"/>
          <w:szCs w:val="36"/>
          <w:rtl/>
        </w:rPr>
        <w:t>المكلف</w:t>
      </w:r>
      <w:r w:rsidR="00E8128F">
        <w:rPr>
          <w:sz w:val="36"/>
          <w:szCs w:val="36"/>
          <w:rtl/>
        </w:rPr>
        <w:t xml:space="preserve"> </w:t>
      </w:r>
      <w:r w:rsidR="00CA26A2" w:rsidRPr="00FD211F">
        <w:rPr>
          <w:sz w:val="36"/>
          <w:szCs w:val="36"/>
          <w:rtl/>
        </w:rPr>
        <w:t>للاحتياط</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هذا</w:t>
      </w:r>
      <w:r w:rsidR="00E8128F">
        <w:rPr>
          <w:sz w:val="36"/>
          <w:szCs w:val="36"/>
          <w:rtl/>
        </w:rPr>
        <w:t xml:space="preserve"> </w:t>
      </w:r>
      <w:r w:rsidR="00CA26A2" w:rsidRPr="00FD211F">
        <w:rPr>
          <w:sz w:val="36"/>
          <w:szCs w:val="36"/>
          <w:rtl/>
        </w:rPr>
        <w:t>الفرض.</w:t>
      </w:r>
    </w:p>
    <w:p w14:paraId="67BC8C8D" w14:textId="77777777" w:rsidR="00CA26A2" w:rsidRPr="00FD211F" w:rsidRDefault="00CA26A2" w:rsidP="009C58C8">
      <w:pPr>
        <w:ind w:left="0" w:firstLine="227"/>
        <w:jc w:val="both"/>
        <w:rPr>
          <w:sz w:val="36"/>
          <w:szCs w:val="36"/>
          <w:rtl/>
        </w:rPr>
      </w:pPr>
      <w:r w:rsidRPr="00FD211F">
        <w:rPr>
          <w:sz w:val="36"/>
          <w:szCs w:val="36"/>
          <w:rtl/>
        </w:rPr>
        <w:t>وان</w:t>
      </w:r>
      <w:r w:rsidR="00E8128F">
        <w:rPr>
          <w:sz w:val="36"/>
          <w:szCs w:val="36"/>
          <w:rtl/>
        </w:rPr>
        <w:t xml:space="preserve"> </w:t>
      </w:r>
      <w:r w:rsidRPr="00FD211F">
        <w:rPr>
          <w:sz w:val="36"/>
          <w:szCs w:val="36"/>
          <w:rtl/>
        </w:rPr>
        <w:t>أبيت</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واصررت</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مسلك</w:t>
      </w:r>
      <w:r w:rsidR="00E8128F">
        <w:rPr>
          <w:sz w:val="36"/>
          <w:szCs w:val="36"/>
          <w:rtl/>
        </w:rPr>
        <w:t xml:space="preserve"> </w:t>
      </w:r>
      <w:r w:rsidRPr="00FD211F">
        <w:rPr>
          <w:sz w:val="36"/>
          <w:szCs w:val="36"/>
          <w:rtl/>
        </w:rPr>
        <w:t>صاحب</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ماذكره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بحث</w:t>
      </w:r>
      <w:r w:rsidR="00E8128F">
        <w:rPr>
          <w:sz w:val="36"/>
          <w:szCs w:val="36"/>
          <w:rtl/>
        </w:rPr>
        <w:t xml:space="preserve"> </w:t>
      </w:r>
      <w:r w:rsidRPr="00FD211F">
        <w:rPr>
          <w:sz w:val="36"/>
          <w:szCs w:val="36"/>
          <w:rtl/>
        </w:rPr>
        <w:t>الجمع</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الظاهري</w:t>
      </w:r>
      <w:r w:rsidR="00E8128F">
        <w:rPr>
          <w:sz w:val="36"/>
          <w:szCs w:val="36"/>
          <w:rtl/>
        </w:rPr>
        <w:t xml:space="preserve"> </w:t>
      </w:r>
      <w:r w:rsidRPr="00FD211F">
        <w:rPr>
          <w:sz w:val="36"/>
          <w:szCs w:val="36"/>
          <w:rtl/>
        </w:rPr>
        <w:t>والواقعي</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التفصيل</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قاعد</w:t>
      </w:r>
      <w:r w:rsidR="00EC7EDF" w:rsidRPr="00FD211F">
        <w:rPr>
          <w:sz w:val="36"/>
          <w:szCs w:val="36"/>
          <w:rtl/>
        </w:rPr>
        <w:t>ة</w:t>
      </w:r>
      <w:r w:rsidR="00E8128F">
        <w:rPr>
          <w:sz w:val="36"/>
          <w:szCs w:val="36"/>
          <w:rtl/>
        </w:rPr>
        <w:t xml:space="preserve"> </w:t>
      </w:r>
      <w:r w:rsidRPr="00FD211F">
        <w:rPr>
          <w:sz w:val="36"/>
          <w:szCs w:val="36"/>
          <w:rtl/>
        </w:rPr>
        <w:t>الحل</w:t>
      </w:r>
      <w:r w:rsidR="00E8128F">
        <w:rPr>
          <w:sz w:val="36"/>
          <w:szCs w:val="36"/>
          <w:rtl/>
        </w:rPr>
        <w:t xml:space="preserve"> </w:t>
      </w:r>
      <w:r w:rsidRPr="00FD211F">
        <w:rPr>
          <w:sz w:val="36"/>
          <w:szCs w:val="36"/>
          <w:rtl/>
        </w:rPr>
        <w:t>وأمار</w:t>
      </w:r>
      <w:r w:rsidR="00EC7EDF" w:rsidRPr="00FD211F">
        <w:rPr>
          <w:sz w:val="36"/>
          <w:szCs w:val="36"/>
          <w:rtl/>
        </w:rPr>
        <w:t>ة</w:t>
      </w:r>
      <w:r w:rsidR="00E8128F">
        <w:rPr>
          <w:sz w:val="36"/>
          <w:szCs w:val="36"/>
          <w:rtl/>
        </w:rPr>
        <w:t xml:space="preserve"> </w:t>
      </w:r>
      <w:r w:rsidRPr="00FD211F">
        <w:rPr>
          <w:sz w:val="36"/>
          <w:szCs w:val="36"/>
          <w:rtl/>
        </w:rPr>
        <w:t>الحل</w:t>
      </w:r>
      <w:r w:rsidR="00603323" w:rsidRPr="00FD211F">
        <w:rPr>
          <w:sz w:val="36"/>
          <w:szCs w:val="36"/>
          <w:rtl/>
        </w:rPr>
        <w:t>،</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صدر</w:t>
      </w:r>
      <w:r w:rsidR="00E8128F">
        <w:rPr>
          <w:sz w:val="36"/>
          <w:szCs w:val="36"/>
          <w:rtl/>
        </w:rPr>
        <w:t xml:space="preserve"> </w:t>
      </w:r>
      <w:r w:rsidRPr="00FD211F">
        <w:rPr>
          <w:sz w:val="36"/>
          <w:szCs w:val="36"/>
          <w:rtl/>
        </w:rPr>
        <w:t>منه</w:t>
      </w:r>
      <w:r w:rsidR="00E8128F">
        <w:rPr>
          <w:sz w:val="36"/>
          <w:szCs w:val="36"/>
          <w:rtl/>
        </w:rPr>
        <w:t xml:space="preserve"> </w:t>
      </w:r>
      <w:r w:rsidR="00844603" w:rsidRPr="00FD211F">
        <w:rPr>
          <w:sz w:val="36"/>
          <w:szCs w:val="36"/>
          <w:rtl/>
        </w:rPr>
        <w:t>في</w:t>
      </w:r>
      <w:r w:rsidR="00E8128F">
        <w:rPr>
          <w:sz w:val="36"/>
          <w:szCs w:val="36"/>
          <w:rtl/>
        </w:rPr>
        <w:t xml:space="preserve"> </w:t>
      </w:r>
      <w:r w:rsidR="00844603" w:rsidRPr="00FD211F">
        <w:rPr>
          <w:sz w:val="36"/>
          <w:szCs w:val="36"/>
          <w:rtl/>
        </w:rPr>
        <w:t>غير</w:t>
      </w:r>
      <w:r w:rsidR="00E8128F">
        <w:rPr>
          <w:sz w:val="36"/>
          <w:szCs w:val="36"/>
          <w:rtl/>
        </w:rPr>
        <w:t xml:space="preserve"> </w:t>
      </w:r>
      <w:r w:rsidR="00844603" w:rsidRPr="00FD211F">
        <w:rPr>
          <w:sz w:val="36"/>
          <w:szCs w:val="36"/>
          <w:rtl/>
        </w:rPr>
        <w:t>هذا</w:t>
      </w:r>
      <w:r w:rsidR="00E8128F">
        <w:rPr>
          <w:sz w:val="36"/>
          <w:szCs w:val="36"/>
          <w:rtl/>
        </w:rPr>
        <w:t xml:space="preserve"> </w:t>
      </w:r>
      <w:r w:rsidR="00844603" w:rsidRPr="00FD211F">
        <w:rPr>
          <w:sz w:val="36"/>
          <w:szCs w:val="36"/>
          <w:rtl/>
        </w:rPr>
        <w:t>الموضع</w:t>
      </w:r>
      <w:r w:rsidR="00E8128F">
        <w:rPr>
          <w:sz w:val="36"/>
          <w:szCs w:val="36"/>
          <w:rtl/>
        </w:rPr>
        <w:t xml:space="preserve"> </w:t>
      </w:r>
      <w:r w:rsidR="00844603" w:rsidRPr="00FD211F">
        <w:rPr>
          <w:sz w:val="36"/>
          <w:szCs w:val="36"/>
          <w:rtl/>
        </w:rPr>
        <w:t>من</w:t>
      </w:r>
      <w:r w:rsidR="00E8128F">
        <w:rPr>
          <w:sz w:val="36"/>
          <w:szCs w:val="36"/>
          <w:rtl/>
        </w:rPr>
        <w:t xml:space="preserve"> </w:t>
      </w:r>
      <w:r w:rsidR="00844603" w:rsidRPr="00FD211F">
        <w:rPr>
          <w:sz w:val="36"/>
          <w:szCs w:val="36"/>
          <w:rtl/>
        </w:rPr>
        <w:t>الكفاي</w:t>
      </w:r>
      <w:r w:rsidR="00EC7EDF" w:rsidRPr="00FD211F">
        <w:rPr>
          <w:sz w:val="36"/>
          <w:szCs w:val="36"/>
          <w:rtl/>
        </w:rPr>
        <w:t>ة</w:t>
      </w:r>
      <w:r w:rsidR="00E8128F">
        <w:rPr>
          <w:sz w:val="36"/>
          <w:szCs w:val="36"/>
          <w:rtl/>
        </w:rPr>
        <w:t xml:space="preserve"> </w:t>
      </w:r>
      <w:r w:rsidR="00844603" w:rsidRPr="00FD211F">
        <w:rPr>
          <w:sz w:val="36"/>
          <w:szCs w:val="36"/>
          <w:rtl/>
        </w:rPr>
        <w:t>مخالف</w:t>
      </w:r>
      <w:r w:rsidR="00E8128F">
        <w:rPr>
          <w:sz w:val="36"/>
          <w:szCs w:val="36"/>
          <w:rtl/>
        </w:rPr>
        <w:t xml:space="preserve"> </w:t>
      </w:r>
      <w:r w:rsidRPr="00FD211F">
        <w:rPr>
          <w:sz w:val="36"/>
          <w:szCs w:val="36"/>
          <w:rtl/>
        </w:rPr>
        <w:t>لمبناه</w:t>
      </w:r>
      <w:r w:rsidR="00603323" w:rsidRPr="00FD211F">
        <w:rPr>
          <w:sz w:val="36"/>
          <w:szCs w:val="36"/>
          <w:rtl/>
        </w:rPr>
        <w:t>،</w:t>
      </w:r>
      <w:r w:rsidR="00E8128F">
        <w:rPr>
          <w:sz w:val="36"/>
          <w:szCs w:val="36"/>
          <w:rtl/>
        </w:rPr>
        <w:t xml:space="preserve"> </w:t>
      </w:r>
      <w:r w:rsidRPr="00FD211F">
        <w:rPr>
          <w:sz w:val="36"/>
          <w:szCs w:val="36"/>
          <w:rtl/>
        </w:rPr>
        <w:t>كما</w:t>
      </w:r>
      <w:r w:rsidR="00E8128F">
        <w:rPr>
          <w:sz w:val="36"/>
          <w:szCs w:val="36"/>
          <w:rtl/>
        </w:rPr>
        <w:t xml:space="preserve"> </w:t>
      </w:r>
      <w:r w:rsidR="009E60D7" w:rsidRPr="00FD211F">
        <w:rPr>
          <w:sz w:val="36"/>
          <w:szCs w:val="36"/>
          <w:rtl/>
        </w:rPr>
        <w:t>ذكر</w:t>
      </w:r>
      <w:r w:rsidR="00E8128F">
        <w:rPr>
          <w:sz w:val="36"/>
          <w:szCs w:val="36"/>
          <w:rtl/>
        </w:rPr>
        <w:t xml:space="preserve"> </w:t>
      </w:r>
      <w:r w:rsidR="004227FC" w:rsidRPr="00FD211F">
        <w:rPr>
          <w:sz w:val="36"/>
          <w:szCs w:val="36"/>
          <w:rtl/>
        </w:rPr>
        <w:t>ذلك</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المشكيني</w:t>
      </w:r>
      <w:r w:rsidR="00E8128F">
        <w:rPr>
          <w:sz w:val="36"/>
          <w:szCs w:val="36"/>
          <w:rtl/>
        </w:rPr>
        <w:t xml:space="preserve"> </w:t>
      </w:r>
      <w:r w:rsidR="004227FC" w:rsidRPr="00FD211F">
        <w:rPr>
          <w:sz w:val="36"/>
          <w:szCs w:val="36"/>
          <w:rtl/>
        </w:rPr>
        <w:t>"قده"</w:t>
      </w:r>
      <w:r w:rsidR="00E8128F">
        <w:rPr>
          <w:sz w:val="36"/>
          <w:szCs w:val="36"/>
          <w:rtl/>
        </w:rPr>
        <w:t xml:space="preserve"> </w:t>
      </w:r>
      <w:r w:rsidR="009E60D7" w:rsidRPr="00FD211F">
        <w:rPr>
          <w:sz w:val="36"/>
          <w:szCs w:val="36"/>
          <w:rtl/>
        </w:rPr>
        <w:t>في</w:t>
      </w:r>
      <w:r w:rsidR="00E8128F">
        <w:rPr>
          <w:sz w:val="36"/>
          <w:szCs w:val="36"/>
          <w:rtl/>
        </w:rPr>
        <w:t xml:space="preserve"> </w:t>
      </w:r>
      <w:r w:rsidR="008031F7" w:rsidRPr="00FD211F">
        <w:rPr>
          <w:sz w:val="36"/>
          <w:szCs w:val="36"/>
          <w:rtl/>
        </w:rPr>
        <w:t>حاشيته</w:t>
      </w:r>
      <w:r w:rsidR="00E8128F">
        <w:rPr>
          <w:sz w:val="36"/>
          <w:szCs w:val="36"/>
          <w:rtl/>
        </w:rPr>
        <w:t xml:space="preserve"> </w:t>
      </w:r>
      <w:r w:rsidR="008031F7" w:rsidRPr="00FD211F">
        <w:rPr>
          <w:sz w:val="36"/>
          <w:szCs w:val="36"/>
          <w:rtl/>
        </w:rPr>
        <w:t>على</w:t>
      </w:r>
      <w:r w:rsidR="00E8128F">
        <w:rPr>
          <w:sz w:val="36"/>
          <w:szCs w:val="36"/>
          <w:rtl/>
        </w:rPr>
        <w:t xml:space="preserve"> </w:t>
      </w:r>
      <w:r w:rsidR="008031F7" w:rsidRPr="00FD211F">
        <w:rPr>
          <w:sz w:val="36"/>
          <w:szCs w:val="36"/>
          <w:rtl/>
        </w:rPr>
        <w:t>الكفاي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0"/>
      </w:r>
      <w:r w:rsidR="009C58C8" w:rsidRPr="00FD211F">
        <w:rPr>
          <w:rStyle w:val="a6"/>
          <w:sz w:val="36"/>
          <w:szCs w:val="36"/>
          <w:rtl/>
        </w:rPr>
        <w:t>)</w:t>
      </w:r>
      <w:r w:rsidR="00603323" w:rsidRPr="00FD211F">
        <w:rPr>
          <w:sz w:val="36"/>
          <w:szCs w:val="36"/>
          <w:rtl/>
        </w:rPr>
        <w:t>،</w:t>
      </w:r>
      <w:r w:rsidR="00E8128F">
        <w:rPr>
          <w:sz w:val="36"/>
          <w:szCs w:val="36"/>
          <w:rtl/>
        </w:rPr>
        <w:t xml:space="preserve"> </w:t>
      </w:r>
      <w:r w:rsidRPr="00FD211F">
        <w:rPr>
          <w:sz w:val="36"/>
          <w:szCs w:val="36"/>
          <w:rtl/>
        </w:rPr>
        <w:t>فلااقل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مسلك</w:t>
      </w:r>
      <w:r w:rsidR="00E8128F">
        <w:rPr>
          <w:sz w:val="36"/>
          <w:szCs w:val="36"/>
          <w:rtl/>
        </w:rPr>
        <w:t xml:space="preserve"> </w:t>
      </w:r>
      <w:r w:rsidRPr="00FD211F">
        <w:rPr>
          <w:sz w:val="36"/>
          <w:szCs w:val="36"/>
          <w:rtl/>
        </w:rPr>
        <w:t>جمع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الاعلام</w:t>
      </w:r>
      <w:r w:rsidR="00E8128F">
        <w:rPr>
          <w:sz w:val="36"/>
          <w:szCs w:val="36"/>
          <w:rtl/>
        </w:rPr>
        <w:t xml:space="preserve"> </w:t>
      </w:r>
      <w:r w:rsidRPr="00FD211F">
        <w:rPr>
          <w:sz w:val="36"/>
          <w:szCs w:val="36"/>
          <w:rtl/>
        </w:rPr>
        <w:t>كالشيخ</w:t>
      </w:r>
      <w:r w:rsidR="00E8128F">
        <w:rPr>
          <w:sz w:val="36"/>
          <w:szCs w:val="36"/>
          <w:rtl/>
        </w:rPr>
        <w:t xml:space="preserve"> </w:t>
      </w:r>
      <w:r w:rsidRPr="00FD211F">
        <w:rPr>
          <w:sz w:val="36"/>
          <w:szCs w:val="36"/>
          <w:rtl/>
        </w:rPr>
        <w:t>الاعظم</w:t>
      </w:r>
      <w:r w:rsidR="00E8128F">
        <w:rPr>
          <w:sz w:val="36"/>
          <w:szCs w:val="36"/>
          <w:rtl/>
        </w:rPr>
        <w:t xml:space="preserve"> </w:t>
      </w:r>
      <w:r w:rsidR="00EC7EDF" w:rsidRPr="00FD211F">
        <w:rPr>
          <w:sz w:val="36"/>
          <w:szCs w:val="36"/>
          <w:rtl/>
        </w:rPr>
        <w:t>"قده"</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الأحكام</w:t>
      </w:r>
      <w:r w:rsidR="00E8128F">
        <w:rPr>
          <w:sz w:val="36"/>
          <w:szCs w:val="36"/>
          <w:rtl/>
        </w:rPr>
        <w:t xml:space="preserve"> </w:t>
      </w:r>
      <w:r w:rsidRPr="00FD211F">
        <w:rPr>
          <w:sz w:val="36"/>
          <w:szCs w:val="36"/>
          <w:rtl/>
        </w:rPr>
        <w:t>الواقعي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مورد</w:t>
      </w:r>
      <w:r w:rsidR="00E8128F">
        <w:rPr>
          <w:sz w:val="36"/>
          <w:szCs w:val="36"/>
          <w:rtl/>
        </w:rPr>
        <w:t xml:space="preserve"> </w:t>
      </w:r>
      <w:r w:rsidRPr="00FD211F">
        <w:rPr>
          <w:sz w:val="36"/>
          <w:szCs w:val="36"/>
          <w:rtl/>
        </w:rPr>
        <w:t>قيام</w:t>
      </w:r>
      <w:r w:rsidR="00E8128F">
        <w:rPr>
          <w:sz w:val="36"/>
          <w:szCs w:val="36"/>
          <w:rtl/>
        </w:rPr>
        <w:t xml:space="preserve"> </w:t>
      </w:r>
      <w:r w:rsidRPr="00FD211F">
        <w:rPr>
          <w:sz w:val="36"/>
          <w:szCs w:val="36"/>
          <w:rtl/>
        </w:rPr>
        <w:t>الحج</w:t>
      </w:r>
      <w:r w:rsidR="00EC7EDF" w:rsidRPr="00FD211F">
        <w:rPr>
          <w:sz w:val="36"/>
          <w:szCs w:val="36"/>
          <w:rtl/>
        </w:rPr>
        <w:t>ة</w:t>
      </w:r>
      <w:r w:rsidR="00E8128F">
        <w:rPr>
          <w:sz w:val="36"/>
          <w:szCs w:val="36"/>
          <w:rtl/>
        </w:rPr>
        <w:t xml:space="preserve"> </w:t>
      </w:r>
      <w:r w:rsidRPr="00FD211F">
        <w:rPr>
          <w:sz w:val="36"/>
          <w:szCs w:val="36"/>
          <w:rtl/>
        </w:rPr>
        <w:t>الشرعي</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خلافه</w:t>
      </w:r>
      <w:r w:rsidR="00E8128F">
        <w:rPr>
          <w:sz w:val="36"/>
          <w:szCs w:val="36"/>
          <w:rtl/>
        </w:rPr>
        <w:t xml:space="preserve"> </w:t>
      </w:r>
      <w:r w:rsidRPr="00FD211F">
        <w:rPr>
          <w:sz w:val="36"/>
          <w:szCs w:val="36"/>
          <w:rtl/>
        </w:rPr>
        <w:t>شأني</w:t>
      </w:r>
      <w:r w:rsidR="00EC7EDF" w:rsidRPr="00FD211F">
        <w:rPr>
          <w:sz w:val="36"/>
          <w:szCs w:val="36"/>
          <w:rtl/>
        </w:rPr>
        <w:t>ة</w:t>
      </w:r>
      <w:r w:rsidR="00E8128F">
        <w:rPr>
          <w:sz w:val="36"/>
          <w:szCs w:val="36"/>
          <w:rtl/>
        </w:rPr>
        <w:t xml:space="preserve"> </w:t>
      </w:r>
      <w:r w:rsidRPr="00FD211F">
        <w:rPr>
          <w:sz w:val="36"/>
          <w:szCs w:val="36"/>
          <w:rtl/>
        </w:rPr>
        <w:t>لافعلي</w:t>
      </w:r>
      <w:r w:rsidR="00EC7EDF" w:rsidRPr="00FD211F">
        <w:rPr>
          <w:sz w:val="36"/>
          <w:szCs w:val="36"/>
          <w:rtl/>
        </w:rPr>
        <w:t>ة</w:t>
      </w:r>
      <w:r w:rsidR="00603323" w:rsidRPr="00FD211F">
        <w:rPr>
          <w:sz w:val="36"/>
          <w:szCs w:val="36"/>
          <w:rtl/>
        </w:rPr>
        <w:t>،</w:t>
      </w:r>
      <w:r w:rsidR="00E8128F">
        <w:rPr>
          <w:sz w:val="36"/>
          <w:szCs w:val="36"/>
          <w:rtl/>
        </w:rPr>
        <w:t xml:space="preserve"> </w:t>
      </w:r>
      <w:r w:rsidR="002C1F82" w:rsidRPr="00FD211F">
        <w:rPr>
          <w:sz w:val="36"/>
          <w:szCs w:val="36"/>
          <w:rtl/>
        </w:rPr>
        <w:t>من</w:t>
      </w:r>
      <w:r w:rsidR="00E8128F">
        <w:rPr>
          <w:sz w:val="36"/>
          <w:szCs w:val="36"/>
          <w:rtl/>
        </w:rPr>
        <w:t xml:space="preserve"> </w:t>
      </w:r>
      <w:r w:rsidR="002C1F82" w:rsidRPr="00FD211F">
        <w:rPr>
          <w:sz w:val="36"/>
          <w:szCs w:val="36"/>
          <w:rtl/>
        </w:rPr>
        <w:t>غير</w:t>
      </w:r>
      <w:r w:rsidR="00E8128F">
        <w:rPr>
          <w:sz w:val="36"/>
          <w:szCs w:val="36"/>
          <w:rtl/>
        </w:rPr>
        <w:t xml:space="preserve"> </w:t>
      </w:r>
      <w:r w:rsidR="002C1F82" w:rsidRPr="00FD211F">
        <w:rPr>
          <w:sz w:val="36"/>
          <w:szCs w:val="36"/>
          <w:rtl/>
        </w:rPr>
        <w:t>فرق</w:t>
      </w:r>
      <w:r w:rsidR="00E8128F">
        <w:rPr>
          <w:sz w:val="36"/>
          <w:szCs w:val="36"/>
          <w:rtl/>
        </w:rPr>
        <w:t xml:space="preserve"> </w:t>
      </w:r>
      <w:r w:rsidR="002C1F82" w:rsidRPr="00FD211F">
        <w:rPr>
          <w:sz w:val="36"/>
          <w:szCs w:val="36"/>
          <w:rtl/>
        </w:rPr>
        <w:t>بين</w:t>
      </w:r>
      <w:r w:rsidR="00E8128F">
        <w:rPr>
          <w:sz w:val="36"/>
          <w:szCs w:val="36"/>
          <w:rtl/>
        </w:rPr>
        <w:t xml:space="preserve"> </w:t>
      </w:r>
      <w:r w:rsidR="002C1F82" w:rsidRPr="00FD211F">
        <w:rPr>
          <w:sz w:val="36"/>
          <w:szCs w:val="36"/>
          <w:rtl/>
        </w:rPr>
        <w:t>ان</w:t>
      </w:r>
      <w:r w:rsidR="00E8128F">
        <w:rPr>
          <w:sz w:val="36"/>
          <w:szCs w:val="36"/>
          <w:rtl/>
        </w:rPr>
        <w:t xml:space="preserve"> </w:t>
      </w:r>
      <w:r w:rsidR="002C1F82" w:rsidRPr="00FD211F">
        <w:rPr>
          <w:sz w:val="36"/>
          <w:szCs w:val="36"/>
          <w:rtl/>
        </w:rPr>
        <w:t>تكون</w:t>
      </w:r>
      <w:r w:rsidR="00E8128F">
        <w:rPr>
          <w:sz w:val="36"/>
          <w:szCs w:val="36"/>
          <w:rtl/>
        </w:rPr>
        <w:t xml:space="preserve"> </w:t>
      </w:r>
      <w:r w:rsidR="002C1F82" w:rsidRPr="00FD211F">
        <w:rPr>
          <w:sz w:val="36"/>
          <w:szCs w:val="36"/>
          <w:rtl/>
        </w:rPr>
        <w:t>الحج</w:t>
      </w:r>
      <w:r w:rsidR="00EC7EDF" w:rsidRPr="00FD211F">
        <w:rPr>
          <w:sz w:val="36"/>
          <w:szCs w:val="36"/>
          <w:rtl/>
        </w:rPr>
        <w:t>ة</w:t>
      </w:r>
      <w:r w:rsidR="00E8128F">
        <w:rPr>
          <w:sz w:val="36"/>
          <w:szCs w:val="36"/>
          <w:rtl/>
        </w:rPr>
        <w:t xml:space="preserve"> </w:t>
      </w:r>
      <w:r w:rsidR="002C1F82" w:rsidRPr="00FD211F">
        <w:rPr>
          <w:sz w:val="36"/>
          <w:szCs w:val="36"/>
          <w:rtl/>
        </w:rPr>
        <w:t>الشرعي</w:t>
      </w:r>
      <w:r w:rsidR="00EC7EDF" w:rsidRPr="00FD211F">
        <w:rPr>
          <w:sz w:val="36"/>
          <w:szCs w:val="36"/>
          <w:rtl/>
        </w:rPr>
        <w:t>ة</w:t>
      </w:r>
      <w:r w:rsidR="00E8128F">
        <w:rPr>
          <w:sz w:val="36"/>
          <w:szCs w:val="36"/>
          <w:rtl/>
        </w:rPr>
        <w:t xml:space="preserve"> </w:t>
      </w:r>
      <w:r w:rsidR="002C1F82" w:rsidRPr="00FD211F">
        <w:rPr>
          <w:sz w:val="36"/>
          <w:szCs w:val="36"/>
          <w:rtl/>
        </w:rPr>
        <w:t>على</w:t>
      </w:r>
      <w:r w:rsidR="00E8128F">
        <w:rPr>
          <w:sz w:val="36"/>
          <w:szCs w:val="36"/>
          <w:rtl/>
        </w:rPr>
        <w:t xml:space="preserve"> </w:t>
      </w:r>
      <w:r w:rsidR="002C1F82" w:rsidRPr="00FD211F">
        <w:rPr>
          <w:sz w:val="36"/>
          <w:szCs w:val="36"/>
          <w:rtl/>
        </w:rPr>
        <w:t>خلاف</w:t>
      </w:r>
      <w:r w:rsidR="00E8128F">
        <w:rPr>
          <w:sz w:val="36"/>
          <w:szCs w:val="36"/>
          <w:rtl/>
        </w:rPr>
        <w:t xml:space="preserve"> </w:t>
      </w:r>
      <w:r w:rsidR="002C1F82" w:rsidRPr="00FD211F">
        <w:rPr>
          <w:sz w:val="36"/>
          <w:szCs w:val="36"/>
          <w:rtl/>
        </w:rPr>
        <w:t>الواقع</w:t>
      </w:r>
      <w:r w:rsidR="00E8128F">
        <w:rPr>
          <w:sz w:val="36"/>
          <w:szCs w:val="36"/>
          <w:rtl/>
        </w:rPr>
        <w:t xml:space="preserve"> </w:t>
      </w:r>
      <w:r w:rsidR="002C1F82" w:rsidRPr="00FD211F">
        <w:rPr>
          <w:sz w:val="36"/>
          <w:szCs w:val="36"/>
          <w:rtl/>
        </w:rPr>
        <w:t>أمار</w:t>
      </w:r>
      <w:r w:rsidR="00EC7EDF" w:rsidRPr="00FD211F">
        <w:rPr>
          <w:sz w:val="36"/>
          <w:szCs w:val="36"/>
          <w:rtl/>
        </w:rPr>
        <w:t>ة</w:t>
      </w:r>
      <w:r w:rsidR="00E8128F">
        <w:rPr>
          <w:sz w:val="36"/>
          <w:szCs w:val="36"/>
          <w:rtl/>
        </w:rPr>
        <w:t xml:space="preserve"> </w:t>
      </w:r>
      <w:r w:rsidR="002C1F82" w:rsidRPr="00FD211F">
        <w:rPr>
          <w:sz w:val="36"/>
          <w:szCs w:val="36"/>
          <w:rtl/>
        </w:rPr>
        <w:t>او</w:t>
      </w:r>
      <w:r w:rsidR="00E8128F">
        <w:rPr>
          <w:sz w:val="36"/>
          <w:szCs w:val="36"/>
          <w:rtl/>
        </w:rPr>
        <w:t xml:space="preserve"> </w:t>
      </w:r>
      <w:r w:rsidR="002C1F82" w:rsidRPr="00FD211F">
        <w:rPr>
          <w:sz w:val="36"/>
          <w:szCs w:val="36"/>
          <w:rtl/>
        </w:rPr>
        <w:t>أصلا</w:t>
      </w:r>
      <w:r w:rsidR="00E8128F">
        <w:rPr>
          <w:sz w:val="36"/>
          <w:szCs w:val="36"/>
          <w:rtl/>
        </w:rPr>
        <w:t xml:space="preserve"> </w:t>
      </w:r>
      <w:r w:rsidR="000242F3" w:rsidRPr="00FD211F">
        <w:rPr>
          <w:sz w:val="36"/>
          <w:szCs w:val="36"/>
          <w:rtl/>
        </w:rPr>
        <w:t>عمليا</w:t>
      </w:r>
      <w:r w:rsidR="00603323" w:rsidRPr="00FD211F">
        <w:rPr>
          <w:sz w:val="36"/>
          <w:szCs w:val="36"/>
          <w:rtl/>
        </w:rPr>
        <w:t>،</w:t>
      </w:r>
      <w:r w:rsidR="00E8128F">
        <w:rPr>
          <w:sz w:val="36"/>
          <w:szCs w:val="36"/>
          <w:rtl/>
        </w:rPr>
        <w:t xml:space="preserve"> </w:t>
      </w:r>
      <w:r w:rsidR="000242F3" w:rsidRPr="00FD211F">
        <w:rPr>
          <w:sz w:val="36"/>
          <w:szCs w:val="36"/>
          <w:rtl/>
        </w:rPr>
        <w:t>فيتوجه</w:t>
      </w:r>
      <w:r w:rsidR="00E8128F">
        <w:rPr>
          <w:sz w:val="36"/>
          <w:szCs w:val="36"/>
          <w:rtl/>
        </w:rPr>
        <w:t xml:space="preserve"> </w:t>
      </w:r>
      <w:r w:rsidR="000242F3" w:rsidRPr="00FD211F">
        <w:rPr>
          <w:sz w:val="36"/>
          <w:szCs w:val="36"/>
          <w:rtl/>
        </w:rPr>
        <w:t>عليه</w:t>
      </w:r>
      <w:r w:rsidR="00AB4F52" w:rsidRPr="00FD211F">
        <w:rPr>
          <w:sz w:val="36"/>
          <w:szCs w:val="36"/>
          <w:rtl/>
        </w:rPr>
        <w:t>م</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من</w:t>
      </w:r>
      <w:r w:rsidR="00E8128F">
        <w:rPr>
          <w:sz w:val="36"/>
          <w:szCs w:val="36"/>
          <w:rtl/>
        </w:rPr>
        <w:t xml:space="preserve"> </w:t>
      </w:r>
      <w:r w:rsidR="00AB4F52" w:rsidRPr="00FD211F">
        <w:rPr>
          <w:sz w:val="36"/>
          <w:szCs w:val="36"/>
          <w:rtl/>
        </w:rPr>
        <w:t>عدم</w:t>
      </w:r>
      <w:r w:rsidR="00E8128F">
        <w:rPr>
          <w:sz w:val="36"/>
          <w:szCs w:val="36"/>
          <w:rtl/>
        </w:rPr>
        <w:t xml:space="preserve"> </w:t>
      </w:r>
      <w:r w:rsidR="00AB4F52" w:rsidRPr="00FD211F">
        <w:rPr>
          <w:sz w:val="36"/>
          <w:szCs w:val="36"/>
          <w:rtl/>
        </w:rPr>
        <w:t>معنى</w:t>
      </w:r>
      <w:r w:rsidR="00E8128F">
        <w:rPr>
          <w:sz w:val="36"/>
          <w:szCs w:val="36"/>
          <w:rtl/>
        </w:rPr>
        <w:t xml:space="preserve"> </w:t>
      </w:r>
      <w:r w:rsidR="00AB4F52" w:rsidRPr="00FD211F">
        <w:rPr>
          <w:sz w:val="36"/>
          <w:szCs w:val="36"/>
          <w:rtl/>
        </w:rPr>
        <w:t>حينئذ</w:t>
      </w:r>
      <w:r w:rsidR="00E8128F">
        <w:rPr>
          <w:sz w:val="36"/>
          <w:szCs w:val="36"/>
          <w:rtl/>
        </w:rPr>
        <w:t xml:space="preserve"> </w:t>
      </w:r>
      <w:r w:rsidR="00AB4F52" w:rsidRPr="00FD211F">
        <w:rPr>
          <w:sz w:val="36"/>
          <w:szCs w:val="36"/>
          <w:rtl/>
        </w:rPr>
        <w:t>لمعذري</w:t>
      </w:r>
      <w:r w:rsidR="00EC7EDF" w:rsidRPr="00FD211F">
        <w:rPr>
          <w:sz w:val="36"/>
          <w:szCs w:val="36"/>
          <w:rtl/>
        </w:rPr>
        <w:t>ة</w:t>
      </w:r>
      <w:r w:rsidR="00E8128F">
        <w:rPr>
          <w:sz w:val="36"/>
          <w:szCs w:val="36"/>
          <w:rtl/>
        </w:rPr>
        <w:t xml:space="preserve"> </w:t>
      </w:r>
      <w:r w:rsidR="00AB4F52" w:rsidRPr="00FD211F">
        <w:rPr>
          <w:sz w:val="36"/>
          <w:szCs w:val="36"/>
          <w:rtl/>
        </w:rPr>
        <w:t>الأمار</w:t>
      </w:r>
      <w:r w:rsidR="00EC7EDF" w:rsidRPr="00FD211F">
        <w:rPr>
          <w:sz w:val="36"/>
          <w:szCs w:val="36"/>
          <w:rtl/>
        </w:rPr>
        <w:t>ة</w:t>
      </w:r>
      <w:r w:rsidR="00E8128F">
        <w:rPr>
          <w:sz w:val="36"/>
          <w:szCs w:val="36"/>
          <w:rtl/>
        </w:rPr>
        <w:t xml:space="preserve"> </w:t>
      </w:r>
      <w:r w:rsidR="000242F3" w:rsidRPr="00FD211F">
        <w:rPr>
          <w:sz w:val="36"/>
          <w:szCs w:val="36"/>
          <w:rtl/>
        </w:rPr>
        <w:t>فلايفيد</w:t>
      </w:r>
      <w:r w:rsidR="00E8128F">
        <w:rPr>
          <w:sz w:val="36"/>
          <w:szCs w:val="36"/>
          <w:rtl/>
        </w:rPr>
        <w:t xml:space="preserve"> </w:t>
      </w:r>
      <w:r w:rsidR="000242F3" w:rsidRPr="00FD211F">
        <w:rPr>
          <w:sz w:val="36"/>
          <w:szCs w:val="36"/>
          <w:rtl/>
        </w:rPr>
        <w:t>بحاله</w:t>
      </w:r>
      <w:r w:rsidR="00AB4F52" w:rsidRPr="00FD211F">
        <w:rPr>
          <w:sz w:val="36"/>
          <w:szCs w:val="36"/>
          <w:rtl/>
        </w:rPr>
        <w:t>م</w:t>
      </w:r>
      <w:r w:rsidR="00E8128F">
        <w:rPr>
          <w:sz w:val="36"/>
          <w:szCs w:val="36"/>
          <w:rtl/>
        </w:rPr>
        <w:t xml:space="preserve"> </w:t>
      </w:r>
      <w:r w:rsidR="000242F3" w:rsidRPr="00FD211F">
        <w:rPr>
          <w:sz w:val="36"/>
          <w:szCs w:val="36"/>
          <w:rtl/>
        </w:rPr>
        <w:t>تفسير</w:t>
      </w:r>
      <w:r w:rsidR="00E8128F">
        <w:rPr>
          <w:sz w:val="36"/>
          <w:szCs w:val="36"/>
          <w:rtl/>
        </w:rPr>
        <w:t xml:space="preserve"> </w:t>
      </w:r>
      <w:r w:rsidR="000242F3" w:rsidRPr="00FD211F">
        <w:rPr>
          <w:sz w:val="36"/>
          <w:szCs w:val="36"/>
          <w:rtl/>
        </w:rPr>
        <w:t>الاستنباط</w:t>
      </w:r>
      <w:r w:rsidR="00E8128F">
        <w:rPr>
          <w:sz w:val="36"/>
          <w:szCs w:val="36"/>
          <w:rtl/>
        </w:rPr>
        <w:t xml:space="preserve"> </w:t>
      </w:r>
      <w:r w:rsidR="00AB4F52" w:rsidRPr="00FD211F">
        <w:rPr>
          <w:sz w:val="36"/>
          <w:szCs w:val="36"/>
          <w:rtl/>
        </w:rPr>
        <w:t>بإقام</w:t>
      </w:r>
      <w:r w:rsidR="00EC7EDF" w:rsidRPr="00FD211F">
        <w:rPr>
          <w:sz w:val="36"/>
          <w:szCs w:val="36"/>
          <w:rtl/>
        </w:rPr>
        <w:t>ة</w:t>
      </w:r>
      <w:r w:rsidR="00E8128F">
        <w:rPr>
          <w:sz w:val="36"/>
          <w:szCs w:val="36"/>
          <w:rtl/>
        </w:rPr>
        <w:t xml:space="preserve"> </w:t>
      </w:r>
      <w:r w:rsidR="00AB4F52" w:rsidRPr="00FD211F">
        <w:rPr>
          <w:sz w:val="36"/>
          <w:szCs w:val="36"/>
          <w:rtl/>
        </w:rPr>
        <w:t>الحج</w:t>
      </w:r>
      <w:r w:rsidR="00EC7EDF" w:rsidRPr="00FD211F">
        <w:rPr>
          <w:sz w:val="36"/>
          <w:szCs w:val="36"/>
          <w:rtl/>
        </w:rPr>
        <w:t>ة</w:t>
      </w:r>
      <w:r w:rsidR="00603323" w:rsidRPr="00FD211F">
        <w:rPr>
          <w:sz w:val="36"/>
          <w:szCs w:val="36"/>
          <w:rtl/>
        </w:rPr>
        <w:t>،</w:t>
      </w:r>
      <w:r w:rsidR="00E8128F">
        <w:rPr>
          <w:sz w:val="36"/>
          <w:szCs w:val="36"/>
          <w:rtl/>
        </w:rPr>
        <w:t xml:space="preserve"> </w:t>
      </w:r>
      <w:r w:rsidR="002C1F82" w:rsidRPr="00FD211F">
        <w:rPr>
          <w:sz w:val="36"/>
          <w:szCs w:val="36"/>
          <w:rtl/>
        </w:rPr>
        <w:t>كما</w:t>
      </w:r>
      <w:r w:rsidR="00E8128F">
        <w:rPr>
          <w:sz w:val="36"/>
          <w:szCs w:val="36"/>
          <w:rtl/>
        </w:rPr>
        <w:t xml:space="preserve"> </w:t>
      </w:r>
      <w:r w:rsidR="00AB4F52" w:rsidRPr="00FD211F">
        <w:rPr>
          <w:sz w:val="36"/>
          <w:szCs w:val="36"/>
          <w:rtl/>
        </w:rPr>
        <w:lastRenderedPageBreak/>
        <w:t>لايجدي</w:t>
      </w:r>
      <w:r w:rsidR="00E8128F">
        <w:rPr>
          <w:sz w:val="36"/>
          <w:szCs w:val="36"/>
          <w:rtl/>
        </w:rPr>
        <w:t xml:space="preserve"> </w:t>
      </w:r>
      <w:r w:rsidR="002C1F82" w:rsidRPr="00FD211F">
        <w:rPr>
          <w:sz w:val="36"/>
          <w:szCs w:val="36"/>
          <w:rtl/>
        </w:rPr>
        <w:t>تتميم</w:t>
      </w:r>
      <w:r w:rsidR="00E8128F">
        <w:rPr>
          <w:sz w:val="36"/>
          <w:szCs w:val="36"/>
          <w:rtl/>
        </w:rPr>
        <w:t xml:space="preserve"> </w:t>
      </w:r>
      <w:r w:rsidRPr="00FD211F">
        <w:rPr>
          <w:sz w:val="36"/>
          <w:szCs w:val="36"/>
          <w:rtl/>
        </w:rPr>
        <w:t>صاحب</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Pr="00FD211F">
        <w:rPr>
          <w:sz w:val="36"/>
          <w:szCs w:val="36"/>
          <w:rtl/>
        </w:rPr>
        <w:t>لعدم</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الأمار</w:t>
      </w:r>
      <w:r w:rsidR="00EC7EDF" w:rsidRPr="00FD211F">
        <w:rPr>
          <w:sz w:val="36"/>
          <w:szCs w:val="36"/>
          <w:rtl/>
        </w:rPr>
        <w:t>ة</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ينتهى</w:t>
      </w:r>
      <w:r w:rsidR="00E8128F">
        <w:rPr>
          <w:sz w:val="36"/>
          <w:szCs w:val="36"/>
          <w:rtl/>
        </w:rPr>
        <w:t xml:space="preserve"> </w:t>
      </w:r>
      <w:r w:rsidRPr="00FD211F">
        <w:rPr>
          <w:sz w:val="36"/>
          <w:szCs w:val="36"/>
          <w:rtl/>
        </w:rPr>
        <w:t>اليها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مقام</w:t>
      </w:r>
      <w:r w:rsidR="00E8128F">
        <w:rPr>
          <w:sz w:val="36"/>
          <w:szCs w:val="36"/>
          <w:rtl/>
        </w:rPr>
        <w:t xml:space="preserve"> </w:t>
      </w:r>
      <w:r w:rsidRPr="00FD211F">
        <w:rPr>
          <w:sz w:val="36"/>
          <w:szCs w:val="36"/>
          <w:rtl/>
        </w:rPr>
        <w:t>العمل</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اليأس</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الظفر</w:t>
      </w:r>
      <w:r w:rsidR="00E8128F">
        <w:rPr>
          <w:sz w:val="36"/>
          <w:szCs w:val="36"/>
          <w:rtl/>
        </w:rPr>
        <w:t xml:space="preserve"> </w:t>
      </w:r>
      <w:r w:rsidRPr="00FD211F">
        <w:rPr>
          <w:sz w:val="36"/>
          <w:szCs w:val="36"/>
          <w:rtl/>
        </w:rPr>
        <w:t>بالدليل.</w:t>
      </w:r>
    </w:p>
    <w:p w14:paraId="4768E11A" w14:textId="77777777" w:rsidR="00CA26A2" w:rsidRPr="00FD211F" w:rsidRDefault="00CA26A2" w:rsidP="009C58C8">
      <w:pPr>
        <w:ind w:left="0" w:firstLine="227"/>
        <w:jc w:val="both"/>
        <w:rPr>
          <w:sz w:val="36"/>
          <w:szCs w:val="36"/>
          <w:rtl/>
        </w:rPr>
      </w:pPr>
      <w:r w:rsidRPr="00FD211F">
        <w:rPr>
          <w:sz w:val="36"/>
          <w:szCs w:val="36"/>
          <w:rtl/>
        </w:rPr>
        <w:t>وحل</w:t>
      </w:r>
      <w:r w:rsidR="00E8128F">
        <w:rPr>
          <w:sz w:val="36"/>
          <w:szCs w:val="36"/>
          <w:rtl/>
        </w:rPr>
        <w:t xml:space="preserve"> </w:t>
      </w:r>
      <w:r w:rsidRPr="00FD211F">
        <w:rPr>
          <w:sz w:val="36"/>
          <w:szCs w:val="36"/>
          <w:rtl/>
        </w:rPr>
        <w:t>الاشكال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اطلاق</w:t>
      </w:r>
      <w:r w:rsidR="00E8128F">
        <w:rPr>
          <w:sz w:val="36"/>
          <w:szCs w:val="36"/>
          <w:rtl/>
        </w:rPr>
        <w:t xml:space="preserve"> </w:t>
      </w:r>
      <w:r w:rsidRPr="00FD211F">
        <w:rPr>
          <w:sz w:val="36"/>
          <w:szCs w:val="36"/>
          <w:rtl/>
        </w:rPr>
        <w:t>الحج</w:t>
      </w:r>
      <w:r w:rsidR="00EC7EDF" w:rsidRPr="00FD211F">
        <w:rPr>
          <w:sz w:val="36"/>
          <w:szCs w:val="36"/>
          <w:rtl/>
        </w:rPr>
        <w:t>ة</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المنجز</w:t>
      </w:r>
      <w:r w:rsidR="00E8128F">
        <w:rPr>
          <w:sz w:val="36"/>
          <w:szCs w:val="36"/>
          <w:rtl/>
        </w:rPr>
        <w:t xml:space="preserve"> </w:t>
      </w:r>
      <w:r w:rsidRPr="00FD211F">
        <w:rPr>
          <w:sz w:val="36"/>
          <w:szCs w:val="36"/>
          <w:rtl/>
        </w:rPr>
        <w:t>والمعذر</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الأمار</w:t>
      </w:r>
      <w:r w:rsidR="00EC7EDF" w:rsidRPr="00FD211F">
        <w:rPr>
          <w:sz w:val="36"/>
          <w:szCs w:val="36"/>
          <w:rtl/>
        </w:rPr>
        <w:t>ة</w:t>
      </w:r>
      <w:r w:rsidR="00E8128F">
        <w:rPr>
          <w:sz w:val="36"/>
          <w:szCs w:val="36"/>
          <w:rtl/>
        </w:rPr>
        <w:t xml:space="preserve"> </w:t>
      </w:r>
      <w:r w:rsidRPr="00FD211F">
        <w:rPr>
          <w:sz w:val="36"/>
          <w:szCs w:val="36"/>
          <w:rtl/>
        </w:rPr>
        <w:t>والأصول</w:t>
      </w:r>
      <w:r w:rsidR="00E8128F">
        <w:rPr>
          <w:sz w:val="36"/>
          <w:szCs w:val="36"/>
          <w:rtl/>
        </w:rPr>
        <w:t xml:space="preserve"> </w:t>
      </w:r>
      <w:r w:rsidRPr="00FD211F">
        <w:rPr>
          <w:sz w:val="36"/>
          <w:szCs w:val="36"/>
          <w:rtl/>
        </w:rPr>
        <w:t>العملي</w:t>
      </w:r>
      <w:r w:rsidR="00EC7EDF" w:rsidRPr="00FD211F">
        <w:rPr>
          <w:sz w:val="36"/>
          <w:szCs w:val="36"/>
          <w:rtl/>
        </w:rPr>
        <w:t>ة</w:t>
      </w:r>
      <w:r w:rsidR="00E8128F">
        <w:rPr>
          <w:sz w:val="36"/>
          <w:szCs w:val="36"/>
          <w:rtl/>
        </w:rPr>
        <w:t xml:space="preserve"> </w:t>
      </w:r>
      <w:r w:rsidRPr="00FD211F">
        <w:rPr>
          <w:sz w:val="36"/>
          <w:szCs w:val="36"/>
          <w:rtl/>
        </w:rPr>
        <w:t>الشرعي</w:t>
      </w:r>
      <w:r w:rsidR="00EC7EDF" w:rsidRPr="00FD211F">
        <w:rPr>
          <w:sz w:val="36"/>
          <w:szCs w:val="36"/>
          <w:rtl/>
        </w:rPr>
        <w:t>ة</w:t>
      </w:r>
      <w:r w:rsidR="00E8128F">
        <w:rPr>
          <w:sz w:val="36"/>
          <w:szCs w:val="36"/>
          <w:rtl/>
        </w:rPr>
        <w:t xml:space="preserve"> </w:t>
      </w:r>
      <w:r w:rsidRPr="00FD211F">
        <w:rPr>
          <w:sz w:val="36"/>
          <w:szCs w:val="36"/>
          <w:rtl/>
        </w:rPr>
        <w:t>عرفي</w:t>
      </w:r>
      <w:r w:rsidR="00E8128F">
        <w:rPr>
          <w:sz w:val="36"/>
          <w:szCs w:val="36"/>
          <w:rtl/>
        </w:rPr>
        <w:t xml:space="preserve"> </w:t>
      </w:r>
      <w:r w:rsidRPr="00FD211F">
        <w:rPr>
          <w:sz w:val="36"/>
          <w:szCs w:val="36"/>
          <w:rtl/>
        </w:rPr>
        <w:t>جدا</w:t>
      </w:r>
      <w:r w:rsidR="00603323" w:rsidRPr="00FD211F">
        <w:rPr>
          <w:sz w:val="36"/>
          <w:szCs w:val="36"/>
          <w:rtl/>
        </w:rPr>
        <w:t>،</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تم</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عقلا</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العرف</w:t>
      </w:r>
      <w:r w:rsidR="00E8128F">
        <w:rPr>
          <w:sz w:val="36"/>
          <w:szCs w:val="36"/>
          <w:rtl/>
        </w:rPr>
        <w:t xml:space="preserve"> </w:t>
      </w:r>
      <w:r w:rsidRPr="00FD211F">
        <w:rPr>
          <w:sz w:val="36"/>
          <w:szCs w:val="36"/>
          <w:rtl/>
        </w:rPr>
        <w:t>يعتبر</w:t>
      </w:r>
      <w:r w:rsidR="00E8128F">
        <w:rPr>
          <w:sz w:val="36"/>
          <w:szCs w:val="36"/>
          <w:rtl/>
        </w:rPr>
        <w:t xml:space="preserve"> </w:t>
      </w:r>
      <w:r w:rsidRPr="00FD211F">
        <w:rPr>
          <w:sz w:val="36"/>
          <w:szCs w:val="36"/>
          <w:rtl/>
        </w:rPr>
        <w:t>قاعد</w:t>
      </w:r>
      <w:r w:rsidR="00EC7EDF" w:rsidRPr="00FD211F">
        <w:rPr>
          <w:sz w:val="36"/>
          <w:szCs w:val="36"/>
          <w:rtl/>
        </w:rPr>
        <w:t>ة</w:t>
      </w:r>
      <w:r w:rsidR="00E8128F">
        <w:rPr>
          <w:sz w:val="36"/>
          <w:szCs w:val="36"/>
          <w:rtl/>
        </w:rPr>
        <w:t xml:space="preserve"> </w:t>
      </w:r>
      <w:r w:rsidRPr="00FD211F">
        <w:rPr>
          <w:sz w:val="36"/>
          <w:szCs w:val="36"/>
          <w:rtl/>
        </w:rPr>
        <w:t>الحل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شرب</w:t>
      </w:r>
      <w:r w:rsidR="00E8128F">
        <w:rPr>
          <w:sz w:val="36"/>
          <w:szCs w:val="36"/>
          <w:rtl/>
        </w:rPr>
        <w:t xml:space="preserve"> </w:t>
      </w:r>
      <w:r w:rsidRPr="00FD211F">
        <w:rPr>
          <w:sz w:val="36"/>
          <w:szCs w:val="36"/>
          <w:rtl/>
        </w:rPr>
        <w:t>التتن</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امار</w:t>
      </w:r>
      <w:r w:rsidR="00EC7EDF" w:rsidRPr="00FD211F">
        <w:rPr>
          <w:sz w:val="36"/>
          <w:szCs w:val="36"/>
          <w:rtl/>
        </w:rPr>
        <w:t>ة</w:t>
      </w:r>
      <w:r w:rsidR="00E8128F">
        <w:rPr>
          <w:sz w:val="36"/>
          <w:szCs w:val="36"/>
          <w:rtl/>
        </w:rPr>
        <w:t xml:space="preserve"> </w:t>
      </w:r>
      <w:r w:rsidRPr="00FD211F">
        <w:rPr>
          <w:sz w:val="36"/>
          <w:szCs w:val="36"/>
          <w:rtl/>
        </w:rPr>
        <w:t>الحل</w:t>
      </w:r>
      <w:r w:rsidR="00E8128F">
        <w:rPr>
          <w:sz w:val="36"/>
          <w:szCs w:val="36"/>
          <w:rtl/>
        </w:rPr>
        <w:t xml:space="preserve"> </w:t>
      </w:r>
      <w:r w:rsidRPr="00FD211F">
        <w:rPr>
          <w:sz w:val="36"/>
          <w:szCs w:val="36"/>
          <w:rtl/>
        </w:rPr>
        <w:t>بالنسب</w:t>
      </w:r>
      <w:r w:rsidR="00EC7EDF" w:rsidRPr="00FD211F">
        <w:rPr>
          <w:sz w:val="36"/>
          <w:szCs w:val="36"/>
          <w:rtl/>
        </w:rPr>
        <w:t>ة</w:t>
      </w:r>
      <w:r w:rsidR="00E8128F">
        <w:rPr>
          <w:sz w:val="36"/>
          <w:szCs w:val="36"/>
          <w:rtl/>
        </w:rPr>
        <w:t xml:space="preserve"> </w:t>
      </w:r>
      <w:r w:rsidRPr="00FD211F">
        <w:rPr>
          <w:sz w:val="36"/>
          <w:szCs w:val="36"/>
          <w:rtl/>
        </w:rPr>
        <w:t>اليه</w:t>
      </w:r>
      <w:r w:rsidR="00E8128F">
        <w:rPr>
          <w:sz w:val="36"/>
          <w:szCs w:val="36"/>
          <w:rtl/>
        </w:rPr>
        <w:t xml:space="preserve"> </w:t>
      </w:r>
      <w:r w:rsidRPr="00FD211F">
        <w:rPr>
          <w:sz w:val="36"/>
          <w:szCs w:val="36"/>
          <w:rtl/>
        </w:rPr>
        <w:t>معذرا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حرمته</w:t>
      </w:r>
      <w:r w:rsidR="00E8128F">
        <w:rPr>
          <w:sz w:val="36"/>
          <w:szCs w:val="36"/>
          <w:rtl/>
        </w:rPr>
        <w:t xml:space="preserve"> </w:t>
      </w:r>
      <w:r w:rsidRPr="00FD211F">
        <w:rPr>
          <w:sz w:val="36"/>
          <w:szCs w:val="36"/>
          <w:rtl/>
        </w:rPr>
        <w:t>الواقعي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التأمين</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العقاب</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ارتكابه</w:t>
      </w:r>
      <w:r w:rsidR="00E8128F">
        <w:rPr>
          <w:sz w:val="36"/>
          <w:szCs w:val="36"/>
          <w:rtl/>
        </w:rPr>
        <w:t xml:space="preserve"> </w:t>
      </w:r>
      <w:r w:rsidRPr="00FD211F">
        <w:rPr>
          <w:sz w:val="36"/>
          <w:szCs w:val="36"/>
          <w:rtl/>
        </w:rPr>
        <w:t>يستند</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الأمار</w:t>
      </w:r>
      <w:r w:rsidR="00EC7EDF" w:rsidRPr="00FD211F">
        <w:rPr>
          <w:sz w:val="36"/>
          <w:szCs w:val="36"/>
          <w:rtl/>
        </w:rPr>
        <w:t>ة</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قاعد</w:t>
      </w:r>
      <w:r w:rsidR="00EC7EDF" w:rsidRPr="00FD211F">
        <w:rPr>
          <w:sz w:val="36"/>
          <w:szCs w:val="36"/>
          <w:rtl/>
        </w:rPr>
        <w:t>ة</w:t>
      </w:r>
      <w:r w:rsidR="00E8128F">
        <w:rPr>
          <w:sz w:val="36"/>
          <w:szCs w:val="36"/>
          <w:rtl/>
        </w:rPr>
        <w:t xml:space="preserve"> </w:t>
      </w:r>
      <w:r w:rsidRPr="00FD211F">
        <w:rPr>
          <w:sz w:val="36"/>
          <w:szCs w:val="36"/>
          <w:rtl/>
        </w:rPr>
        <w:t>الحل</w:t>
      </w:r>
      <w:r w:rsidR="009C58C8" w:rsidRPr="00FD211F">
        <w:rPr>
          <w:rStyle w:val="a6"/>
          <w:sz w:val="36"/>
          <w:szCs w:val="36"/>
          <w:rtl/>
        </w:rPr>
        <w:t>(</w:t>
      </w:r>
      <w:r w:rsidR="009C58C8" w:rsidRPr="00FD211F">
        <w:rPr>
          <w:rStyle w:val="a6"/>
          <w:sz w:val="36"/>
          <w:szCs w:val="36"/>
          <w:rtl/>
        </w:rPr>
        <w:footnoteReference w:id="11"/>
      </w:r>
      <w:r w:rsidR="009C58C8" w:rsidRPr="00FD211F">
        <w:rPr>
          <w:rStyle w:val="a6"/>
          <w:sz w:val="36"/>
          <w:szCs w:val="36"/>
          <w:rtl/>
        </w:rPr>
        <w:t>)</w:t>
      </w:r>
      <w:r w:rsidRPr="00FD211F">
        <w:rPr>
          <w:sz w:val="36"/>
          <w:szCs w:val="36"/>
          <w:rtl/>
        </w:rPr>
        <w:t>.</w:t>
      </w:r>
    </w:p>
    <w:p w14:paraId="1D908128" w14:textId="77777777" w:rsidR="00932411" w:rsidRPr="00FD211F" w:rsidRDefault="00105148" w:rsidP="009C58C8">
      <w:pPr>
        <w:ind w:left="0" w:firstLine="227"/>
        <w:jc w:val="both"/>
        <w:rPr>
          <w:sz w:val="36"/>
          <w:szCs w:val="36"/>
          <w:rtl/>
        </w:rPr>
      </w:pPr>
      <w:r w:rsidRPr="00FD211F">
        <w:rPr>
          <w:sz w:val="36"/>
          <w:szCs w:val="36"/>
          <w:rtl/>
        </w:rPr>
        <w:lastRenderedPageBreak/>
        <w:t>وأما</w:t>
      </w:r>
      <w:r w:rsidR="00E8128F">
        <w:rPr>
          <w:sz w:val="36"/>
          <w:szCs w:val="36"/>
          <w:rtl/>
        </w:rPr>
        <w:t xml:space="preserve"> </w:t>
      </w:r>
      <w:r w:rsidR="00CA26A2" w:rsidRPr="00FD211F">
        <w:rPr>
          <w:sz w:val="36"/>
          <w:szCs w:val="36"/>
          <w:rtl/>
        </w:rPr>
        <w:t>ما</w:t>
      </w:r>
      <w:r w:rsidR="00E8128F">
        <w:rPr>
          <w:sz w:val="36"/>
          <w:szCs w:val="36"/>
          <w:rtl/>
        </w:rPr>
        <w:t xml:space="preserve"> </w:t>
      </w:r>
      <w:r w:rsidR="00CA26A2" w:rsidRPr="00FD211F">
        <w:rPr>
          <w:sz w:val="36"/>
          <w:szCs w:val="36"/>
          <w:rtl/>
        </w:rPr>
        <w:t>افاده</w:t>
      </w:r>
      <w:r w:rsidR="00E8128F">
        <w:rPr>
          <w:sz w:val="36"/>
          <w:szCs w:val="36"/>
          <w:rtl/>
        </w:rPr>
        <w:t xml:space="preserve"> </w:t>
      </w:r>
      <w:r w:rsidR="00CA26A2" w:rsidRPr="00FD211F">
        <w:rPr>
          <w:sz w:val="36"/>
          <w:szCs w:val="36"/>
          <w:rtl/>
        </w:rPr>
        <w:t>بالنسب</w:t>
      </w:r>
      <w:r w:rsidR="00EC7EDF" w:rsidRPr="00FD211F">
        <w:rPr>
          <w:sz w:val="36"/>
          <w:szCs w:val="36"/>
          <w:rtl/>
        </w:rPr>
        <w:t>ة</w:t>
      </w:r>
      <w:r w:rsidR="00E8128F">
        <w:rPr>
          <w:sz w:val="36"/>
          <w:szCs w:val="36"/>
          <w:rtl/>
        </w:rPr>
        <w:t xml:space="preserve"> </w:t>
      </w:r>
      <w:r w:rsidR="00CA26A2" w:rsidRPr="00FD211F">
        <w:rPr>
          <w:sz w:val="36"/>
          <w:szCs w:val="36"/>
          <w:rtl/>
        </w:rPr>
        <w:t>الى</w:t>
      </w:r>
      <w:r w:rsidR="00E8128F">
        <w:rPr>
          <w:sz w:val="36"/>
          <w:szCs w:val="36"/>
          <w:rtl/>
        </w:rPr>
        <w:t xml:space="preserve"> </w:t>
      </w:r>
      <w:r w:rsidR="00CA26A2" w:rsidRPr="00FD211F">
        <w:rPr>
          <w:sz w:val="36"/>
          <w:szCs w:val="36"/>
          <w:rtl/>
        </w:rPr>
        <w:t>التعبير</w:t>
      </w:r>
      <w:r w:rsidR="00E8128F">
        <w:rPr>
          <w:sz w:val="36"/>
          <w:szCs w:val="36"/>
          <w:rtl/>
        </w:rPr>
        <w:t xml:space="preserve"> </w:t>
      </w:r>
      <w:r w:rsidR="00CA26A2" w:rsidRPr="00FD211F">
        <w:rPr>
          <w:sz w:val="36"/>
          <w:szCs w:val="36"/>
          <w:rtl/>
        </w:rPr>
        <w:t>بحجي</w:t>
      </w:r>
      <w:r w:rsidR="00EC7EDF" w:rsidRPr="00FD211F">
        <w:rPr>
          <w:sz w:val="36"/>
          <w:szCs w:val="36"/>
          <w:rtl/>
        </w:rPr>
        <w:t>ة</w:t>
      </w:r>
      <w:r w:rsidR="00E8128F">
        <w:rPr>
          <w:sz w:val="36"/>
          <w:szCs w:val="36"/>
          <w:rtl/>
        </w:rPr>
        <w:t xml:space="preserve"> </w:t>
      </w:r>
      <w:r w:rsidR="00CA26A2" w:rsidRPr="00FD211F">
        <w:rPr>
          <w:sz w:val="36"/>
          <w:szCs w:val="36"/>
          <w:rtl/>
        </w:rPr>
        <w:t>الظن</w:t>
      </w:r>
      <w:r w:rsidR="00E8128F">
        <w:rPr>
          <w:sz w:val="36"/>
          <w:szCs w:val="36"/>
          <w:rtl/>
        </w:rPr>
        <w:t xml:space="preserve"> </w:t>
      </w:r>
      <w:r w:rsidR="00CA26A2" w:rsidRPr="00FD211F">
        <w:rPr>
          <w:sz w:val="36"/>
          <w:szCs w:val="36"/>
          <w:rtl/>
        </w:rPr>
        <w:t>على</w:t>
      </w:r>
      <w:r w:rsidR="00E8128F">
        <w:rPr>
          <w:sz w:val="36"/>
          <w:szCs w:val="36"/>
          <w:rtl/>
        </w:rPr>
        <w:t xml:space="preserve"> </w:t>
      </w:r>
      <w:r w:rsidR="00CA26A2" w:rsidRPr="00FD211F">
        <w:rPr>
          <w:sz w:val="36"/>
          <w:szCs w:val="36"/>
          <w:rtl/>
        </w:rPr>
        <w:t>مسلك</w:t>
      </w:r>
      <w:r w:rsidR="00E8128F">
        <w:rPr>
          <w:sz w:val="36"/>
          <w:szCs w:val="36"/>
          <w:rtl/>
        </w:rPr>
        <w:t xml:space="preserve"> </w:t>
      </w:r>
      <w:r w:rsidR="00CA26A2" w:rsidRPr="00FD211F">
        <w:rPr>
          <w:sz w:val="36"/>
          <w:szCs w:val="36"/>
          <w:rtl/>
        </w:rPr>
        <w:t>الحكوم</w:t>
      </w:r>
      <w:r w:rsidR="00EC7EDF" w:rsidRPr="00FD211F">
        <w:rPr>
          <w:sz w:val="36"/>
          <w:szCs w:val="36"/>
          <w:rtl/>
        </w:rPr>
        <w:t>ة</w:t>
      </w:r>
      <w:r w:rsidR="00E8128F">
        <w:rPr>
          <w:sz w:val="36"/>
          <w:szCs w:val="36"/>
          <w:rtl/>
        </w:rPr>
        <w:t xml:space="preserve"> </w:t>
      </w:r>
      <w:r w:rsidR="00844603" w:rsidRPr="00FD211F">
        <w:rPr>
          <w:sz w:val="36"/>
          <w:szCs w:val="36"/>
          <w:rtl/>
        </w:rPr>
        <w:t>من</w:t>
      </w:r>
      <w:r w:rsidR="00E8128F">
        <w:rPr>
          <w:sz w:val="36"/>
          <w:szCs w:val="36"/>
          <w:rtl/>
        </w:rPr>
        <w:t xml:space="preserve"> </w:t>
      </w:r>
      <w:r w:rsidR="00CA26A2" w:rsidRPr="00FD211F">
        <w:rPr>
          <w:sz w:val="36"/>
          <w:szCs w:val="36"/>
          <w:rtl/>
        </w:rPr>
        <w:t>انه</w:t>
      </w:r>
      <w:r w:rsidR="00E8128F">
        <w:rPr>
          <w:sz w:val="36"/>
          <w:szCs w:val="36"/>
          <w:rtl/>
        </w:rPr>
        <w:t xml:space="preserve"> </w:t>
      </w:r>
      <w:r w:rsidR="00CA26A2" w:rsidRPr="00FD211F">
        <w:rPr>
          <w:sz w:val="36"/>
          <w:szCs w:val="36"/>
          <w:rtl/>
        </w:rPr>
        <w:t>لايعدو</w:t>
      </w:r>
      <w:r w:rsidR="00E8128F">
        <w:rPr>
          <w:sz w:val="36"/>
          <w:szCs w:val="36"/>
          <w:rtl/>
        </w:rPr>
        <w:t xml:space="preserve"> </w:t>
      </w:r>
      <w:r w:rsidR="00CA26A2" w:rsidRPr="00FD211F">
        <w:rPr>
          <w:sz w:val="36"/>
          <w:szCs w:val="36"/>
          <w:rtl/>
        </w:rPr>
        <w:t>عن</w:t>
      </w:r>
      <w:r w:rsidR="00E8128F">
        <w:rPr>
          <w:sz w:val="36"/>
          <w:szCs w:val="36"/>
          <w:rtl/>
        </w:rPr>
        <w:t xml:space="preserve"> </w:t>
      </w:r>
      <w:r w:rsidR="00CA26A2" w:rsidRPr="00FD211F">
        <w:rPr>
          <w:sz w:val="36"/>
          <w:szCs w:val="36"/>
          <w:rtl/>
        </w:rPr>
        <w:t>كونه</w:t>
      </w:r>
      <w:r w:rsidR="00E8128F">
        <w:rPr>
          <w:sz w:val="36"/>
          <w:szCs w:val="36"/>
          <w:rtl/>
        </w:rPr>
        <w:t xml:space="preserve"> </w:t>
      </w:r>
      <w:r w:rsidR="00CA26A2" w:rsidRPr="00FD211F">
        <w:rPr>
          <w:sz w:val="36"/>
          <w:szCs w:val="36"/>
          <w:rtl/>
        </w:rPr>
        <w:t>اشكالا</w:t>
      </w:r>
      <w:r w:rsidR="00E8128F">
        <w:rPr>
          <w:sz w:val="36"/>
          <w:szCs w:val="36"/>
          <w:rtl/>
        </w:rPr>
        <w:t xml:space="preserve"> </w:t>
      </w:r>
      <w:r w:rsidR="00CA26A2" w:rsidRPr="00FD211F">
        <w:rPr>
          <w:sz w:val="36"/>
          <w:szCs w:val="36"/>
          <w:rtl/>
        </w:rPr>
        <w:t>لفظيا</w:t>
      </w:r>
      <w:r w:rsidR="00603323" w:rsidRPr="00FD211F">
        <w:rPr>
          <w:sz w:val="36"/>
          <w:szCs w:val="36"/>
          <w:rtl/>
        </w:rPr>
        <w:t>،</w:t>
      </w:r>
      <w:r w:rsidR="00E8128F">
        <w:rPr>
          <w:sz w:val="36"/>
          <w:szCs w:val="36"/>
          <w:rtl/>
        </w:rPr>
        <w:t xml:space="preserve"> </w:t>
      </w:r>
      <w:r w:rsidR="00CA26A2" w:rsidRPr="00FD211F">
        <w:rPr>
          <w:sz w:val="36"/>
          <w:szCs w:val="36"/>
          <w:rtl/>
        </w:rPr>
        <w:t>اذ</w:t>
      </w:r>
      <w:r w:rsidR="00E8128F">
        <w:rPr>
          <w:sz w:val="36"/>
          <w:szCs w:val="36"/>
          <w:rtl/>
        </w:rPr>
        <w:t xml:space="preserve"> </w:t>
      </w:r>
      <w:r w:rsidR="00CA26A2" w:rsidRPr="00FD211F">
        <w:rPr>
          <w:sz w:val="36"/>
          <w:szCs w:val="36"/>
          <w:rtl/>
        </w:rPr>
        <w:t>في</w:t>
      </w:r>
      <w:r w:rsidR="00E8128F">
        <w:rPr>
          <w:sz w:val="36"/>
          <w:szCs w:val="36"/>
          <w:rtl/>
        </w:rPr>
        <w:t xml:space="preserve"> </w:t>
      </w:r>
      <w:r w:rsidR="00CA26A2" w:rsidRPr="00FD211F">
        <w:rPr>
          <w:sz w:val="36"/>
          <w:szCs w:val="36"/>
          <w:rtl/>
        </w:rPr>
        <w:t>تلك</w:t>
      </w:r>
      <w:r w:rsidR="00E8128F">
        <w:rPr>
          <w:sz w:val="36"/>
          <w:szCs w:val="36"/>
          <w:rtl/>
        </w:rPr>
        <w:t xml:space="preserve"> </w:t>
      </w:r>
      <w:r w:rsidR="00CA26A2" w:rsidRPr="00FD211F">
        <w:rPr>
          <w:sz w:val="36"/>
          <w:szCs w:val="36"/>
          <w:rtl/>
        </w:rPr>
        <w:t>المسأل</w:t>
      </w:r>
      <w:r w:rsidR="00EC7EDF" w:rsidRPr="00FD211F">
        <w:rPr>
          <w:sz w:val="36"/>
          <w:szCs w:val="36"/>
          <w:rtl/>
        </w:rPr>
        <w:t>ة</w:t>
      </w:r>
      <w:r w:rsidR="00E8128F">
        <w:rPr>
          <w:sz w:val="36"/>
          <w:szCs w:val="36"/>
          <w:rtl/>
        </w:rPr>
        <w:t xml:space="preserve"> </w:t>
      </w:r>
      <w:r w:rsidR="00CA26A2" w:rsidRPr="00FD211F">
        <w:rPr>
          <w:sz w:val="36"/>
          <w:szCs w:val="36"/>
          <w:rtl/>
        </w:rPr>
        <w:t>يبحث</w:t>
      </w:r>
      <w:r w:rsidR="00E8128F">
        <w:rPr>
          <w:sz w:val="36"/>
          <w:szCs w:val="36"/>
          <w:rtl/>
        </w:rPr>
        <w:t xml:space="preserve"> </w:t>
      </w:r>
      <w:r w:rsidR="00CA26A2" w:rsidRPr="00FD211F">
        <w:rPr>
          <w:sz w:val="36"/>
          <w:szCs w:val="36"/>
          <w:rtl/>
        </w:rPr>
        <w:t>من</w:t>
      </w:r>
      <w:r w:rsidR="00E8128F">
        <w:rPr>
          <w:sz w:val="36"/>
          <w:szCs w:val="36"/>
          <w:rtl/>
        </w:rPr>
        <w:t xml:space="preserve"> </w:t>
      </w:r>
      <w:r w:rsidR="00CA26A2" w:rsidRPr="00FD211F">
        <w:rPr>
          <w:sz w:val="36"/>
          <w:szCs w:val="36"/>
          <w:rtl/>
        </w:rPr>
        <w:t>منجزي</w:t>
      </w:r>
      <w:r w:rsidR="00EC7EDF" w:rsidRPr="00FD211F">
        <w:rPr>
          <w:sz w:val="36"/>
          <w:szCs w:val="36"/>
          <w:rtl/>
        </w:rPr>
        <w:t>ة</w:t>
      </w:r>
      <w:r w:rsidR="00E8128F">
        <w:rPr>
          <w:sz w:val="36"/>
          <w:szCs w:val="36"/>
          <w:rtl/>
        </w:rPr>
        <w:t xml:space="preserve"> </w:t>
      </w:r>
      <w:r w:rsidR="008D7B3D" w:rsidRPr="00FD211F">
        <w:rPr>
          <w:sz w:val="36"/>
          <w:szCs w:val="36"/>
          <w:rtl/>
        </w:rPr>
        <w:t>شيء</w:t>
      </w:r>
      <w:r w:rsidR="00E8128F">
        <w:rPr>
          <w:sz w:val="36"/>
          <w:szCs w:val="36"/>
          <w:rtl/>
        </w:rPr>
        <w:t xml:space="preserve"> </w:t>
      </w:r>
      <w:r w:rsidR="00CA26A2" w:rsidRPr="00FD211F">
        <w:rPr>
          <w:sz w:val="36"/>
          <w:szCs w:val="36"/>
          <w:rtl/>
        </w:rPr>
        <w:t>ومعذريته</w:t>
      </w:r>
      <w:r w:rsidR="00E8128F">
        <w:rPr>
          <w:sz w:val="36"/>
          <w:szCs w:val="36"/>
          <w:rtl/>
        </w:rPr>
        <w:t xml:space="preserve"> </w:t>
      </w:r>
      <w:r w:rsidR="00CA26A2" w:rsidRPr="00FD211F">
        <w:rPr>
          <w:sz w:val="36"/>
          <w:szCs w:val="36"/>
          <w:rtl/>
        </w:rPr>
        <w:t>ولو</w:t>
      </w:r>
      <w:r w:rsidR="00E8128F">
        <w:rPr>
          <w:sz w:val="36"/>
          <w:szCs w:val="36"/>
          <w:rtl/>
        </w:rPr>
        <w:t xml:space="preserve"> </w:t>
      </w:r>
      <w:r w:rsidR="00CA26A2" w:rsidRPr="00FD211F">
        <w:rPr>
          <w:sz w:val="36"/>
          <w:szCs w:val="36"/>
          <w:rtl/>
        </w:rPr>
        <w:t>قلنا</w:t>
      </w:r>
      <w:r w:rsidR="00E8128F">
        <w:rPr>
          <w:sz w:val="36"/>
          <w:szCs w:val="36"/>
          <w:rtl/>
        </w:rPr>
        <w:t xml:space="preserve"> </w:t>
      </w:r>
      <w:r w:rsidR="00CA26A2" w:rsidRPr="00FD211F">
        <w:rPr>
          <w:sz w:val="36"/>
          <w:szCs w:val="36"/>
          <w:rtl/>
        </w:rPr>
        <w:t>انه</w:t>
      </w:r>
      <w:r w:rsidR="00E8128F">
        <w:rPr>
          <w:sz w:val="36"/>
          <w:szCs w:val="36"/>
          <w:rtl/>
        </w:rPr>
        <w:t xml:space="preserve"> </w:t>
      </w:r>
      <w:r w:rsidR="00CA26A2" w:rsidRPr="00FD211F">
        <w:rPr>
          <w:sz w:val="36"/>
          <w:szCs w:val="36"/>
          <w:rtl/>
        </w:rPr>
        <w:t>تنجز</w:t>
      </w:r>
      <w:r w:rsidR="00E8128F">
        <w:rPr>
          <w:sz w:val="36"/>
          <w:szCs w:val="36"/>
          <w:rtl/>
        </w:rPr>
        <w:t xml:space="preserve"> </w:t>
      </w:r>
      <w:r w:rsidR="00CA26A2" w:rsidRPr="00FD211F">
        <w:rPr>
          <w:sz w:val="36"/>
          <w:szCs w:val="36"/>
          <w:rtl/>
        </w:rPr>
        <w:t>التكاليف</w:t>
      </w:r>
      <w:r w:rsidR="00E8128F">
        <w:rPr>
          <w:sz w:val="36"/>
          <w:szCs w:val="36"/>
          <w:rtl/>
        </w:rPr>
        <w:t xml:space="preserve"> </w:t>
      </w:r>
      <w:r w:rsidR="00CA26A2" w:rsidRPr="00FD211F">
        <w:rPr>
          <w:sz w:val="36"/>
          <w:szCs w:val="36"/>
          <w:rtl/>
        </w:rPr>
        <w:t>المظنون</w:t>
      </w:r>
      <w:r w:rsidR="00EC7EDF" w:rsidRPr="00FD211F">
        <w:rPr>
          <w:sz w:val="36"/>
          <w:szCs w:val="36"/>
          <w:rtl/>
        </w:rPr>
        <w:t>ة</w:t>
      </w:r>
      <w:r w:rsidR="00E8128F">
        <w:rPr>
          <w:sz w:val="36"/>
          <w:szCs w:val="36"/>
          <w:rtl/>
        </w:rPr>
        <w:t xml:space="preserve"> </w:t>
      </w:r>
      <w:r w:rsidR="00CA26A2" w:rsidRPr="00FD211F">
        <w:rPr>
          <w:sz w:val="36"/>
          <w:szCs w:val="36"/>
          <w:rtl/>
        </w:rPr>
        <w:lastRenderedPageBreak/>
        <w:t>والعذر</w:t>
      </w:r>
      <w:r w:rsidR="00E8128F">
        <w:rPr>
          <w:sz w:val="36"/>
          <w:szCs w:val="36"/>
          <w:rtl/>
        </w:rPr>
        <w:t xml:space="preserve"> </w:t>
      </w:r>
      <w:r w:rsidR="00CA26A2" w:rsidRPr="00FD211F">
        <w:rPr>
          <w:sz w:val="36"/>
          <w:szCs w:val="36"/>
          <w:rtl/>
        </w:rPr>
        <w:t>عن</w:t>
      </w:r>
      <w:r w:rsidR="00E8128F">
        <w:rPr>
          <w:sz w:val="36"/>
          <w:szCs w:val="36"/>
          <w:rtl/>
        </w:rPr>
        <w:t xml:space="preserve"> </w:t>
      </w:r>
      <w:r w:rsidR="00CA26A2" w:rsidRPr="00FD211F">
        <w:rPr>
          <w:sz w:val="36"/>
          <w:szCs w:val="36"/>
          <w:rtl/>
        </w:rPr>
        <w:t>المشكوك</w:t>
      </w:r>
      <w:r w:rsidR="00EC7EDF" w:rsidRPr="00FD211F">
        <w:rPr>
          <w:sz w:val="36"/>
          <w:szCs w:val="36"/>
          <w:rtl/>
        </w:rPr>
        <w:t>ة</w:t>
      </w:r>
      <w:r w:rsidR="00E8128F">
        <w:rPr>
          <w:sz w:val="36"/>
          <w:szCs w:val="36"/>
          <w:rtl/>
        </w:rPr>
        <w:t xml:space="preserve"> </w:t>
      </w:r>
      <w:r w:rsidR="00CA26A2" w:rsidRPr="00FD211F">
        <w:rPr>
          <w:sz w:val="36"/>
          <w:szCs w:val="36"/>
          <w:rtl/>
        </w:rPr>
        <w:t>او</w:t>
      </w:r>
      <w:r w:rsidR="00E8128F">
        <w:rPr>
          <w:sz w:val="36"/>
          <w:szCs w:val="36"/>
          <w:rtl/>
        </w:rPr>
        <w:t xml:space="preserve"> </w:t>
      </w:r>
      <w:r w:rsidR="00CA26A2" w:rsidRPr="00FD211F">
        <w:rPr>
          <w:sz w:val="36"/>
          <w:szCs w:val="36"/>
          <w:rtl/>
        </w:rPr>
        <w:t>فقل</w:t>
      </w:r>
      <w:r w:rsidR="00E8128F">
        <w:rPr>
          <w:sz w:val="36"/>
          <w:szCs w:val="36"/>
          <w:rtl/>
        </w:rPr>
        <w:t xml:space="preserve"> </w:t>
      </w:r>
      <w:r w:rsidR="00CA26A2" w:rsidRPr="00FD211F">
        <w:rPr>
          <w:sz w:val="36"/>
          <w:szCs w:val="36"/>
          <w:rtl/>
        </w:rPr>
        <w:t>معذري</w:t>
      </w:r>
      <w:r w:rsidR="00EC7EDF" w:rsidRPr="00FD211F">
        <w:rPr>
          <w:sz w:val="36"/>
          <w:szCs w:val="36"/>
          <w:rtl/>
        </w:rPr>
        <w:t>ة</w:t>
      </w:r>
      <w:r w:rsidR="00E8128F">
        <w:rPr>
          <w:sz w:val="36"/>
          <w:szCs w:val="36"/>
          <w:rtl/>
        </w:rPr>
        <w:t xml:space="preserve"> </w:t>
      </w:r>
      <w:r w:rsidR="00CA26A2" w:rsidRPr="00FD211F">
        <w:rPr>
          <w:sz w:val="36"/>
          <w:szCs w:val="36"/>
          <w:rtl/>
        </w:rPr>
        <w:t>الإتيان</w:t>
      </w:r>
      <w:r w:rsidR="00E8128F">
        <w:rPr>
          <w:sz w:val="36"/>
          <w:szCs w:val="36"/>
          <w:rtl/>
        </w:rPr>
        <w:t xml:space="preserve"> </w:t>
      </w:r>
      <w:r w:rsidR="00CA26A2" w:rsidRPr="00FD211F">
        <w:rPr>
          <w:sz w:val="36"/>
          <w:szCs w:val="36"/>
          <w:rtl/>
        </w:rPr>
        <w:t>بالمظنون؛</w:t>
      </w:r>
      <w:r w:rsidR="00E8128F">
        <w:rPr>
          <w:sz w:val="36"/>
          <w:szCs w:val="36"/>
          <w:rtl/>
        </w:rPr>
        <w:t xml:space="preserve"> </w:t>
      </w:r>
      <w:r w:rsidR="00CA26A2" w:rsidRPr="00FD211F">
        <w:rPr>
          <w:sz w:val="36"/>
          <w:szCs w:val="36"/>
          <w:rtl/>
        </w:rPr>
        <w:t>فالانصاف</w:t>
      </w:r>
      <w:r w:rsidR="00E8128F">
        <w:rPr>
          <w:sz w:val="36"/>
          <w:szCs w:val="36"/>
          <w:rtl/>
        </w:rPr>
        <w:t xml:space="preserve"> </w:t>
      </w:r>
      <w:r w:rsidR="00CA26A2" w:rsidRPr="00FD211F">
        <w:rPr>
          <w:sz w:val="36"/>
          <w:szCs w:val="36"/>
          <w:rtl/>
        </w:rPr>
        <w:t>ان</w:t>
      </w:r>
      <w:r w:rsidR="00E8128F">
        <w:rPr>
          <w:sz w:val="36"/>
          <w:szCs w:val="36"/>
          <w:rtl/>
        </w:rPr>
        <w:t xml:space="preserve"> </w:t>
      </w:r>
      <w:r w:rsidR="00CA26A2" w:rsidRPr="00FD211F">
        <w:rPr>
          <w:sz w:val="36"/>
          <w:szCs w:val="36"/>
          <w:rtl/>
        </w:rPr>
        <w:t>تفسير</w:t>
      </w:r>
      <w:r w:rsidR="00E8128F">
        <w:rPr>
          <w:sz w:val="36"/>
          <w:szCs w:val="36"/>
          <w:rtl/>
        </w:rPr>
        <w:t xml:space="preserve"> </w:t>
      </w:r>
      <w:r w:rsidR="00CA26A2" w:rsidRPr="00FD211F">
        <w:rPr>
          <w:sz w:val="36"/>
          <w:szCs w:val="36"/>
          <w:rtl/>
        </w:rPr>
        <w:t>المحقق</w:t>
      </w:r>
      <w:r w:rsidR="00E8128F">
        <w:rPr>
          <w:sz w:val="36"/>
          <w:szCs w:val="36"/>
          <w:rtl/>
        </w:rPr>
        <w:t xml:space="preserve"> </w:t>
      </w:r>
      <w:r w:rsidR="00CA26A2" w:rsidRPr="00FD211F">
        <w:rPr>
          <w:sz w:val="36"/>
          <w:szCs w:val="36"/>
          <w:rtl/>
        </w:rPr>
        <w:t>الاصفهاني</w:t>
      </w:r>
      <w:r w:rsidR="00E8128F">
        <w:rPr>
          <w:sz w:val="36"/>
          <w:szCs w:val="36"/>
          <w:rtl/>
        </w:rPr>
        <w:t xml:space="preserve"> </w:t>
      </w:r>
      <w:r w:rsidR="00A61BAE" w:rsidRPr="00FD211F">
        <w:rPr>
          <w:sz w:val="36"/>
          <w:szCs w:val="36"/>
          <w:rtl/>
        </w:rPr>
        <w:t>"قده"</w:t>
      </w:r>
      <w:r w:rsidR="00E8128F">
        <w:rPr>
          <w:sz w:val="36"/>
          <w:szCs w:val="36"/>
          <w:rtl/>
        </w:rPr>
        <w:t xml:space="preserve"> </w:t>
      </w:r>
      <w:r w:rsidR="00CA26A2" w:rsidRPr="00FD211F">
        <w:rPr>
          <w:sz w:val="36"/>
          <w:szCs w:val="36"/>
          <w:rtl/>
        </w:rPr>
        <w:t>كلم</w:t>
      </w:r>
      <w:r w:rsidR="00EC7EDF" w:rsidRPr="00FD211F">
        <w:rPr>
          <w:sz w:val="36"/>
          <w:szCs w:val="36"/>
          <w:rtl/>
        </w:rPr>
        <w:t>ة</w:t>
      </w:r>
      <w:r w:rsidR="00E8128F">
        <w:rPr>
          <w:sz w:val="36"/>
          <w:szCs w:val="36"/>
          <w:rtl/>
        </w:rPr>
        <w:t xml:space="preserve"> </w:t>
      </w:r>
      <w:r w:rsidR="00CA26A2" w:rsidRPr="00FD211F">
        <w:rPr>
          <w:sz w:val="36"/>
          <w:szCs w:val="36"/>
          <w:rtl/>
        </w:rPr>
        <w:t>الاستنباط</w:t>
      </w:r>
      <w:r w:rsidR="00E8128F">
        <w:rPr>
          <w:sz w:val="36"/>
          <w:szCs w:val="36"/>
          <w:rtl/>
        </w:rPr>
        <w:t xml:space="preserve"> </w:t>
      </w:r>
      <w:r w:rsidR="00B53A7E" w:rsidRPr="00FD211F">
        <w:rPr>
          <w:sz w:val="36"/>
          <w:szCs w:val="36"/>
          <w:rtl/>
        </w:rPr>
        <w:t>ب</w:t>
      </w:r>
      <w:r w:rsidR="00CA26A2" w:rsidRPr="00FD211F">
        <w:rPr>
          <w:sz w:val="36"/>
          <w:szCs w:val="36"/>
          <w:rtl/>
        </w:rPr>
        <w:t>اقام</w:t>
      </w:r>
      <w:r w:rsidR="00EC7EDF" w:rsidRPr="00FD211F">
        <w:rPr>
          <w:sz w:val="36"/>
          <w:szCs w:val="36"/>
          <w:rtl/>
        </w:rPr>
        <w:t>ة</w:t>
      </w:r>
      <w:r w:rsidR="00E8128F">
        <w:rPr>
          <w:sz w:val="36"/>
          <w:szCs w:val="36"/>
          <w:rtl/>
        </w:rPr>
        <w:t xml:space="preserve"> </w:t>
      </w:r>
      <w:r w:rsidR="00CA26A2" w:rsidRPr="00FD211F">
        <w:rPr>
          <w:sz w:val="36"/>
          <w:szCs w:val="36"/>
          <w:rtl/>
        </w:rPr>
        <w:t>الحج</w:t>
      </w:r>
      <w:r w:rsidR="00EC7EDF" w:rsidRPr="00FD211F">
        <w:rPr>
          <w:sz w:val="36"/>
          <w:szCs w:val="36"/>
          <w:rtl/>
        </w:rPr>
        <w:t>ة</w:t>
      </w:r>
      <w:r w:rsidR="00E8128F">
        <w:rPr>
          <w:sz w:val="36"/>
          <w:szCs w:val="36"/>
          <w:rtl/>
        </w:rPr>
        <w:t xml:space="preserve"> </w:t>
      </w:r>
      <w:r w:rsidR="00CA26A2" w:rsidRPr="00FD211F">
        <w:rPr>
          <w:sz w:val="36"/>
          <w:szCs w:val="36"/>
          <w:rtl/>
        </w:rPr>
        <w:t>متين</w:t>
      </w:r>
      <w:r w:rsidR="00E8128F">
        <w:rPr>
          <w:sz w:val="36"/>
          <w:szCs w:val="36"/>
          <w:rtl/>
        </w:rPr>
        <w:t xml:space="preserve"> </w:t>
      </w:r>
      <w:r w:rsidR="00CA26A2" w:rsidRPr="00FD211F">
        <w:rPr>
          <w:sz w:val="36"/>
          <w:szCs w:val="36"/>
          <w:rtl/>
        </w:rPr>
        <w:t>جدّا</w:t>
      </w:r>
      <w:r w:rsidR="00603323" w:rsidRPr="00FD211F">
        <w:rPr>
          <w:sz w:val="36"/>
          <w:szCs w:val="36"/>
          <w:rtl/>
        </w:rPr>
        <w:t>،</w:t>
      </w:r>
      <w:r w:rsidR="00E8128F">
        <w:rPr>
          <w:sz w:val="36"/>
          <w:szCs w:val="36"/>
          <w:rtl/>
        </w:rPr>
        <w:t xml:space="preserve"> </w:t>
      </w:r>
      <w:r w:rsidR="00CA26A2" w:rsidRPr="00FD211F">
        <w:rPr>
          <w:sz w:val="36"/>
          <w:szCs w:val="36"/>
          <w:rtl/>
        </w:rPr>
        <w:t>ولاحاج</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التتميم</w:t>
      </w:r>
      <w:r w:rsidR="00E8128F">
        <w:rPr>
          <w:sz w:val="36"/>
          <w:szCs w:val="36"/>
          <w:rtl/>
        </w:rPr>
        <w:t xml:space="preserve"> </w:t>
      </w:r>
      <w:r w:rsidRPr="00FD211F">
        <w:rPr>
          <w:sz w:val="36"/>
          <w:szCs w:val="36"/>
          <w:rtl/>
        </w:rPr>
        <w:t>المذكور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الكفاي</w:t>
      </w:r>
      <w:r w:rsidR="00EC7EDF" w:rsidRPr="00FD211F">
        <w:rPr>
          <w:sz w:val="36"/>
          <w:szCs w:val="36"/>
          <w:rtl/>
        </w:rPr>
        <w:t>ة</w:t>
      </w:r>
      <w:r w:rsidR="00603323" w:rsidRPr="00FD211F">
        <w:rPr>
          <w:sz w:val="36"/>
          <w:szCs w:val="36"/>
          <w:rtl/>
        </w:rPr>
        <w:t>،</w:t>
      </w:r>
      <w:r w:rsidR="00E8128F">
        <w:rPr>
          <w:sz w:val="36"/>
          <w:szCs w:val="36"/>
          <w:rtl/>
        </w:rPr>
        <w:t xml:space="preserve"> </w:t>
      </w:r>
      <w:r w:rsidR="00932411" w:rsidRPr="00FD211F">
        <w:rPr>
          <w:sz w:val="36"/>
          <w:szCs w:val="36"/>
          <w:rtl/>
        </w:rPr>
        <w:t>فما</w:t>
      </w:r>
      <w:r w:rsidR="00E8128F">
        <w:rPr>
          <w:sz w:val="36"/>
          <w:szCs w:val="36"/>
          <w:rtl/>
        </w:rPr>
        <w:t xml:space="preserve"> </w:t>
      </w:r>
      <w:r w:rsidR="00932411" w:rsidRPr="00FD211F">
        <w:rPr>
          <w:sz w:val="36"/>
          <w:szCs w:val="36"/>
          <w:rtl/>
        </w:rPr>
        <w:t>افاده</w:t>
      </w:r>
      <w:r w:rsidR="00E8128F">
        <w:rPr>
          <w:sz w:val="36"/>
          <w:szCs w:val="36"/>
          <w:rtl/>
        </w:rPr>
        <w:t xml:space="preserve"> </w:t>
      </w:r>
      <w:r w:rsidR="00932411" w:rsidRPr="00FD211F">
        <w:rPr>
          <w:sz w:val="36"/>
          <w:szCs w:val="36"/>
          <w:rtl/>
        </w:rPr>
        <w:t>المحقق</w:t>
      </w:r>
      <w:r w:rsidR="00E8128F">
        <w:rPr>
          <w:sz w:val="36"/>
          <w:szCs w:val="36"/>
          <w:rtl/>
        </w:rPr>
        <w:t xml:space="preserve"> </w:t>
      </w:r>
      <w:r w:rsidR="00932411" w:rsidRPr="00FD211F">
        <w:rPr>
          <w:sz w:val="36"/>
          <w:szCs w:val="36"/>
          <w:rtl/>
        </w:rPr>
        <w:t>الاصفهاني</w:t>
      </w:r>
      <w:r w:rsidR="00E8128F">
        <w:rPr>
          <w:sz w:val="36"/>
          <w:szCs w:val="36"/>
          <w:rtl/>
        </w:rPr>
        <w:t xml:space="preserve"> </w:t>
      </w:r>
      <w:r w:rsidR="00A61BAE" w:rsidRPr="00FD211F">
        <w:rPr>
          <w:sz w:val="36"/>
          <w:szCs w:val="36"/>
          <w:rtl/>
        </w:rPr>
        <w:t>"قده"</w:t>
      </w:r>
      <w:r w:rsidR="00E8128F">
        <w:rPr>
          <w:sz w:val="36"/>
          <w:szCs w:val="36"/>
          <w:rtl/>
        </w:rPr>
        <w:t xml:space="preserve"> </w:t>
      </w:r>
      <w:r w:rsidR="00932411" w:rsidRPr="00FD211F">
        <w:rPr>
          <w:sz w:val="36"/>
          <w:szCs w:val="36"/>
          <w:rtl/>
        </w:rPr>
        <w:t>من</w:t>
      </w:r>
      <w:r w:rsidR="00E8128F">
        <w:rPr>
          <w:sz w:val="36"/>
          <w:szCs w:val="36"/>
          <w:rtl/>
        </w:rPr>
        <w:t xml:space="preserve"> </w:t>
      </w:r>
      <w:r w:rsidR="00932411" w:rsidRPr="00FD211F">
        <w:rPr>
          <w:sz w:val="36"/>
          <w:szCs w:val="36"/>
          <w:rtl/>
        </w:rPr>
        <w:t>الإيراد</w:t>
      </w:r>
      <w:r w:rsidR="00E8128F">
        <w:rPr>
          <w:sz w:val="36"/>
          <w:szCs w:val="36"/>
          <w:rtl/>
        </w:rPr>
        <w:t xml:space="preserve"> </w:t>
      </w:r>
      <w:r w:rsidR="00932411" w:rsidRPr="00FD211F">
        <w:rPr>
          <w:sz w:val="36"/>
          <w:szCs w:val="36"/>
          <w:rtl/>
        </w:rPr>
        <w:t>الأول</w:t>
      </w:r>
      <w:r w:rsidR="00E8128F">
        <w:rPr>
          <w:sz w:val="36"/>
          <w:szCs w:val="36"/>
          <w:rtl/>
        </w:rPr>
        <w:t xml:space="preserve"> </w:t>
      </w:r>
      <w:r w:rsidR="00932411" w:rsidRPr="00FD211F">
        <w:rPr>
          <w:sz w:val="36"/>
          <w:szCs w:val="36"/>
          <w:rtl/>
        </w:rPr>
        <w:t>في</w:t>
      </w:r>
      <w:r w:rsidR="00E8128F">
        <w:rPr>
          <w:sz w:val="36"/>
          <w:szCs w:val="36"/>
          <w:rtl/>
        </w:rPr>
        <w:t xml:space="preserve"> </w:t>
      </w:r>
      <w:r w:rsidR="00932411" w:rsidRPr="00FD211F">
        <w:rPr>
          <w:sz w:val="36"/>
          <w:szCs w:val="36"/>
          <w:rtl/>
        </w:rPr>
        <w:t>غاي</w:t>
      </w:r>
      <w:r w:rsidR="00EC7EDF" w:rsidRPr="00FD211F">
        <w:rPr>
          <w:sz w:val="36"/>
          <w:szCs w:val="36"/>
          <w:rtl/>
        </w:rPr>
        <w:t>ة</w:t>
      </w:r>
      <w:r w:rsidR="00E8128F">
        <w:rPr>
          <w:sz w:val="36"/>
          <w:szCs w:val="36"/>
          <w:rtl/>
        </w:rPr>
        <w:t xml:space="preserve"> </w:t>
      </w:r>
      <w:r w:rsidR="00932411" w:rsidRPr="00FD211F">
        <w:rPr>
          <w:sz w:val="36"/>
          <w:szCs w:val="36"/>
          <w:rtl/>
        </w:rPr>
        <w:t>المتان</w:t>
      </w:r>
      <w:r w:rsidR="00EC7EDF" w:rsidRPr="00FD211F">
        <w:rPr>
          <w:sz w:val="36"/>
          <w:szCs w:val="36"/>
          <w:rtl/>
        </w:rPr>
        <w:t>ة</w:t>
      </w:r>
      <w:r w:rsidR="00932411" w:rsidRPr="00FD211F">
        <w:rPr>
          <w:sz w:val="36"/>
          <w:szCs w:val="36"/>
          <w:rtl/>
        </w:rPr>
        <w:t>.</w:t>
      </w:r>
    </w:p>
    <w:p w14:paraId="4BB7A5C9" w14:textId="77777777" w:rsidR="00CA2614" w:rsidRPr="00FD211F" w:rsidRDefault="00AB4F52" w:rsidP="009C58C8">
      <w:pPr>
        <w:ind w:left="0" w:firstLine="227"/>
        <w:jc w:val="both"/>
        <w:rPr>
          <w:sz w:val="36"/>
          <w:szCs w:val="36"/>
          <w:rtl/>
        </w:rPr>
      </w:pPr>
      <w:r w:rsidRPr="00FD211F">
        <w:rPr>
          <w:b/>
          <w:bCs/>
          <w:sz w:val="36"/>
          <w:szCs w:val="36"/>
          <w:rtl/>
        </w:rPr>
        <w:t>الاشكال</w:t>
      </w:r>
      <w:r w:rsidR="00E8128F">
        <w:rPr>
          <w:b/>
          <w:bCs/>
          <w:sz w:val="36"/>
          <w:szCs w:val="36"/>
          <w:rtl/>
        </w:rPr>
        <w:t xml:space="preserve"> </w:t>
      </w:r>
      <w:r w:rsidR="008F16AF" w:rsidRPr="00FD211F">
        <w:rPr>
          <w:b/>
          <w:bCs/>
          <w:sz w:val="36"/>
          <w:szCs w:val="36"/>
          <w:rtl/>
        </w:rPr>
        <w:t>الثاني</w:t>
      </w:r>
      <w:r w:rsidR="00731778" w:rsidRPr="00FD211F">
        <w:rPr>
          <w:sz w:val="36"/>
          <w:szCs w:val="36"/>
          <w:rtl/>
        </w:rPr>
        <w:t>:</w:t>
      </w:r>
      <w:r w:rsidR="00E8128F">
        <w:rPr>
          <w:sz w:val="36"/>
          <w:szCs w:val="36"/>
          <w:rtl/>
        </w:rPr>
        <w:t xml:space="preserve"> </w:t>
      </w:r>
      <w:r w:rsidR="00105148" w:rsidRPr="00FD211F">
        <w:rPr>
          <w:sz w:val="36"/>
          <w:szCs w:val="36"/>
          <w:rtl/>
        </w:rPr>
        <w:t>ان</w:t>
      </w:r>
      <w:r w:rsidR="00E8128F">
        <w:rPr>
          <w:sz w:val="36"/>
          <w:szCs w:val="36"/>
          <w:rtl/>
        </w:rPr>
        <w:t xml:space="preserve"> </w:t>
      </w:r>
      <w:r w:rsidR="00105148" w:rsidRPr="00FD211F">
        <w:rPr>
          <w:sz w:val="36"/>
          <w:szCs w:val="36"/>
          <w:rtl/>
        </w:rPr>
        <w:t>معنى</w:t>
      </w:r>
      <w:r w:rsidR="00E8128F">
        <w:rPr>
          <w:sz w:val="36"/>
          <w:szCs w:val="36"/>
          <w:rtl/>
        </w:rPr>
        <w:t xml:space="preserve"> </w:t>
      </w:r>
      <w:r w:rsidR="00105148" w:rsidRPr="00FD211F">
        <w:rPr>
          <w:sz w:val="36"/>
          <w:szCs w:val="36"/>
          <w:rtl/>
        </w:rPr>
        <w:t>إضاف</w:t>
      </w:r>
      <w:r w:rsidR="00EC7EDF" w:rsidRPr="00FD211F">
        <w:rPr>
          <w:sz w:val="36"/>
          <w:szCs w:val="36"/>
          <w:rtl/>
        </w:rPr>
        <w:t>ة</w:t>
      </w:r>
      <w:r w:rsidR="00E8128F">
        <w:rPr>
          <w:sz w:val="36"/>
          <w:szCs w:val="36"/>
          <w:rtl/>
        </w:rPr>
        <w:t xml:space="preserve"> </w:t>
      </w:r>
      <w:r w:rsidR="00105148" w:rsidRPr="00FD211F">
        <w:rPr>
          <w:sz w:val="36"/>
          <w:szCs w:val="36"/>
          <w:rtl/>
        </w:rPr>
        <w:t>جمل</w:t>
      </w:r>
      <w:r w:rsidR="00EC7EDF" w:rsidRPr="00FD211F">
        <w:rPr>
          <w:sz w:val="36"/>
          <w:szCs w:val="36"/>
          <w:rtl/>
        </w:rPr>
        <w:t>ة</w:t>
      </w:r>
      <w:r w:rsidR="00E8128F">
        <w:rPr>
          <w:sz w:val="36"/>
          <w:szCs w:val="36"/>
          <w:rtl/>
        </w:rPr>
        <w:t xml:space="preserve"> </w:t>
      </w:r>
      <w:r w:rsidR="00CA2614" w:rsidRPr="00FD211F">
        <w:rPr>
          <w:sz w:val="36"/>
          <w:szCs w:val="36"/>
          <w:rtl/>
        </w:rPr>
        <w:t>"</w:t>
      </w:r>
      <w:r w:rsidR="00105148" w:rsidRPr="00FD211F">
        <w:rPr>
          <w:sz w:val="36"/>
          <w:szCs w:val="36"/>
          <w:rtl/>
        </w:rPr>
        <w:t>او</w:t>
      </w:r>
      <w:r w:rsidR="00E8128F">
        <w:rPr>
          <w:sz w:val="36"/>
          <w:szCs w:val="36"/>
          <w:rtl/>
        </w:rPr>
        <w:t xml:space="preserve"> </w:t>
      </w:r>
      <w:r w:rsidR="00CA2614" w:rsidRPr="00FD211F">
        <w:rPr>
          <w:sz w:val="36"/>
          <w:szCs w:val="36"/>
          <w:rtl/>
        </w:rPr>
        <w:t>ما</w:t>
      </w:r>
      <w:r w:rsidR="00E8128F">
        <w:rPr>
          <w:sz w:val="36"/>
          <w:szCs w:val="36"/>
          <w:rtl/>
        </w:rPr>
        <w:t xml:space="preserve"> </w:t>
      </w:r>
      <w:r w:rsidR="00CA2614" w:rsidRPr="00FD211F">
        <w:rPr>
          <w:sz w:val="36"/>
          <w:szCs w:val="36"/>
          <w:rtl/>
        </w:rPr>
        <w:t>ينتهى</w:t>
      </w:r>
      <w:r w:rsidR="00E8128F">
        <w:rPr>
          <w:sz w:val="36"/>
          <w:szCs w:val="36"/>
          <w:rtl/>
        </w:rPr>
        <w:t xml:space="preserve"> </w:t>
      </w:r>
      <w:r w:rsidR="00CA2614" w:rsidRPr="00FD211F">
        <w:rPr>
          <w:sz w:val="36"/>
          <w:szCs w:val="36"/>
          <w:rtl/>
        </w:rPr>
        <w:t>اليها</w:t>
      </w:r>
      <w:r w:rsidR="00E8128F">
        <w:rPr>
          <w:sz w:val="36"/>
          <w:szCs w:val="36"/>
          <w:rtl/>
        </w:rPr>
        <w:t xml:space="preserve"> </w:t>
      </w:r>
      <w:r w:rsidR="00CA2614" w:rsidRPr="00FD211F">
        <w:rPr>
          <w:sz w:val="36"/>
          <w:szCs w:val="36"/>
          <w:rtl/>
        </w:rPr>
        <w:t>في</w:t>
      </w:r>
      <w:r w:rsidR="00E8128F">
        <w:rPr>
          <w:sz w:val="36"/>
          <w:szCs w:val="36"/>
          <w:rtl/>
        </w:rPr>
        <w:t xml:space="preserve"> </w:t>
      </w:r>
      <w:r w:rsidR="00CA2614" w:rsidRPr="00FD211F">
        <w:rPr>
          <w:sz w:val="36"/>
          <w:szCs w:val="36"/>
          <w:rtl/>
        </w:rPr>
        <w:t>مقام</w:t>
      </w:r>
      <w:r w:rsidR="00E8128F">
        <w:rPr>
          <w:sz w:val="36"/>
          <w:szCs w:val="36"/>
          <w:rtl/>
        </w:rPr>
        <w:t xml:space="preserve"> </w:t>
      </w:r>
      <w:r w:rsidR="00CA2614" w:rsidRPr="00FD211F">
        <w:rPr>
          <w:sz w:val="36"/>
          <w:szCs w:val="36"/>
          <w:rtl/>
        </w:rPr>
        <w:t>العمل"</w:t>
      </w:r>
      <w:r w:rsidR="00E8128F">
        <w:rPr>
          <w:sz w:val="36"/>
          <w:szCs w:val="36"/>
          <w:rtl/>
        </w:rPr>
        <w:t xml:space="preserve"> </w:t>
      </w:r>
      <w:r w:rsidR="00105148" w:rsidRPr="00FD211F">
        <w:rPr>
          <w:sz w:val="36"/>
          <w:szCs w:val="36"/>
          <w:rtl/>
        </w:rPr>
        <w:t>الى</w:t>
      </w:r>
      <w:r w:rsidR="00E8128F">
        <w:rPr>
          <w:sz w:val="36"/>
          <w:szCs w:val="36"/>
          <w:rtl/>
        </w:rPr>
        <w:t xml:space="preserve"> </w:t>
      </w:r>
      <w:r w:rsidR="00105148" w:rsidRPr="00FD211F">
        <w:rPr>
          <w:sz w:val="36"/>
          <w:szCs w:val="36"/>
          <w:rtl/>
        </w:rPr>
        <w:t>تعريف</w:t>
      </w:r>
      <w:r w:rsidR="00E8128F">
        <w:rPr>
          <w:sz w:val="36"/>
          <w:szCs w:val="36"/>
          <w:rtl/>
        </w:rPr>
        <w:t xml:space="preserve"> </w:t>
      </w:r>
      <w:r w:rsidR="00105148" w:rsidRPr="00FD211F">
        <w:rPr>
          <w:sz w:val="36"/>
          <w:szCs w:val="36"/>
          <w:rtl/>
        </w:rPr>
        <w:t>المشهور</w:t>
      </w:r>
      <w:r w:rsidR="00E8128F">
        <w:rPr>
          <w:sz w:val="36"/>
          <w:szCs w:val="36"/>
          <w:rtl/>
        </w:rPr>
        <w:t xml:space="preserve"> </w:t>
      </w:r>
      <w:r w:rsidR="00105148" w:rsidRPr="00FD211F">
        <w:rPr>
          <w:sz w:val="36"/>
          <w:szCs w:val="36"/>
          <w:rtl/>
        </w:rPr>
        <w:t>هو</w:t>
      </w:r>
      <w:r w:rsidR="00E8128F">
        <w:rPr>
          <w:sz w:val="36"/>
          <w:szCs w:val="36"/>
          <w:rtl/>
        </w:rPr>
        <w:t xml:space="preserve"> </w:t>
      </w:r>
      <w:r w:rsidR="00CA2614" w:rsidRPr="00FD211F">
        <w:rPr>
          <w:sz w:val="36"/>
          <w:szCs w:val="36"/>
          <w:rtl/>
        </w:rPr>
        <w:t>عدم</w:t>
      </w:r>
      <w:r w:rsidR="00E8128F">
        <w:rPr>
          <w:sz w:val="36"/>
          <w:szCs w:val="36"/>
          <w:rtl/>
        </w:rPr>
        <w:t xml:space="preserve"> </w:t>
      </w:r>
      <w:r w:rsidR="00CA2614" w:rsidRPr="00FD211F">
        <w:rPr>
          <w:sz w:val="36"/>
          <w:szCs w:val="36"/>
          <w:rtl/>
        </w:rPr>
        <w:t>جامع</w:t>
      </w:r>
      <w:r w:rsidR="00E8128F">
        <w:rPr>
          <w:sz w:val="36"/>
          <w:szCs w:val="36"/>
          <w:rtl/>
        </w:rPr>
        <w:t xml:space="preserve"> </w:t>
      </w:r>
      <w:r w:rsidR="00CA2614" w:rsidRPr="00FD211F">
        <w:rPr>
          <w:sz w:val="36"/>
          <w:szCs w:val="36"/>
          <w:rtl/>
        </w:rPr>
        <w:t>بين</w:t>
      </w:r>
      <w:r w:rsidR="00E8128F">
        <w:rPr>
          <w:sz w:val="36"/>
          <w:szCs w:val="36"/>
          <w:rtl/>
        </w:rPr>
        <w:t xml:space="preserve"> </w:t>
      </w:r>
      <w:r w:rsidR="00CA2614" w:rsidRPr="00FD211F">
        <w:rPr>
          <w:sz w:val="36"/>
          <w:szCs w:val="36"/>
          <w:rtl/>
        </w:rPr>
        <w:t>القواعد</w:t>
      </w:r>
      <w:r w:rsidR="00E8128F">
        <w:rPr>
          <w:sz w:val="36"/>
          <w:szCs w:val="36"/>
          <w:rtl/>
        </w:rPr>
        <w:t xml:space="preserve"> </w:t>
      </w:r>
      <w:r w:rsidR="00CA2614" w:rsidRPr="00FD211F">
        <w:rPr>
          <w:sz w:val="36"/>
          <w:szCs w:val="36"/>
          <w:rtl/>
        </w:rPr>
        <w:t>الممهد</w:t>
      </w:r>
      <w:r w:rsidR="00EC7EDF" w:rsidRPr="00FD211F">
        <w:rPr>
          <w:sz w:val="36"/>
          <w:szCs w:val="36"/>
          <w:rtl/>
        </w:rPr>
        <w:t>ة</w:t>
      </w:r>
      <w:r w:rsidR="00E8128F">
        <w:rPr>
          <w:sz w:val="36"/>
          <w:szCs w:val="36"/>
          <w:rtl/>
        </w:rPr>
        <w:t xml:space="preserve"> </w:t>
      </w:r>
      <w:r w:rsidR="00CA2614" w:rsidRPr="00FD211F">
        <w:rPr>
          <w:sz w:val="36"/>
          <w:szCs w:val="36"/>
          <w:rtl/>
        </w:rPr>
        <w:t>للاستنباط</w:t>
      </w:r>
      <w:r w:rsidR="00E8128F">
        <w:rPr>
          <w:sz w:val="36"/>
          <w:szCs w:val="36"/>
          <w:rtl/>
        </w:rPr>
        <w:t xml:space="preserve"> </w:t>
      </w:r>
      <w:r w:rsidR="00CA2614" w:rsidRPr="00FD211F">
        <w:rPr>
          <w:sz w:val="36"/>
          <w:szCs w:val="36"/>
          <w:rtl/>
        </w:rPr>
        <w:t>وبين</w:t>
      </w:r>
      <w:r w:rsidR="00E8128F">
        <w:rPr>
          <w:sz w:val="36"/>
          <w:szCs w:val="36"/>
          <w:rtl/>
        </w:rPr>
        <w:t xml:space="preserve"> </w:t>
      </w:r>
      <w:r w:rsidR="00CA2614" w:rsidRPr="00FD211F">
        <w:rPr>
          <w:sz w:val="36"/>
          <w:szCs w:val="36"/>
          <w:rtl/>
        </w:rPr>
        <w:t>ما</w:t>
      </w:r>
      <w:r w:rsidR="00E8128F">
        <w:rPr>
          <w:sz w:val="36"/>
          <w:szCs w:val="36"/>
          <w:rtl/>
        </w:rPr>
        <w:t xml:space="preserve"> </w:t>
      </w:r>
      <w:r w:rsidR="00CA2614" w:rsidRPr="00FD211F">
        <w:rPr>
          <w:sz w:val="36"/>
          <w:szCs w:val="36"/>
          <w:rtl/>
        </w:rPr>
        <w:t>ينتهى</w:t>
      </w:r>
      <w:r w:rsidR="00E8128F">
        <w:rPr>
          <w:sz w:val="36"/>
          <w:szCs w:val="36"/>
          <w:rtl/>
        </w:rPr>
        <w:t xml:space="preserve"> </w:t>
      </w:r>
      <w:r w:rsidR="00CA2614" w:rsidRPr="00FD211F">
        <w:rPr>
          <w:sz w:val="36"/>
          <w:szCs w:val="36"/>
          <w:rtl/>
        </w:rPr>
        <w:t>اليها</w:t>
      </w:r>
      <w:r w:rsidR="00E8128F">
        <w:rPr>
          <w:sz w:val="36"/>
          <w:szCs w:val="36"/>
          <w:rtl/>
        </w:rPr>
        <w:t xml:space="preserve"> </w:t>
      </w:r>
      <w:r w:rsidR="00CA2614" w:rsidRPr="00FD211F">
        <w:rPr>
          <w:sz w:val="36"/>
          <w:szCs w:val="36"/>
          <w:rtl/>
        </w:rPr>
        <w:t>في</w:t>
      </w:r>
      <w:r w:rsidR="00E8128F">
        <w:rPr>
          <w:sz w:val="36"/>
          <w:szCs w:val="36"/>
          <w:rtl/>
        </w:rPr>
        <w:t xml:space="preserve"> </w:t>
      </w:r>
      <w:r w:rsidR="00CA2614" w:rsidRPr="00FD211F">
        <w:rPr>
          <w:sz w:val="36"/>
          <w:szCs w:val="36"/>
          <w:rtl/>
        </w:rPr>
        <w:t>مقام</w:t>
      </w:r>
      <w:r w:rsidR="00E8128F">
        <w:rPr>
          <w:sz w:val="36"/>
          <w:szCs w:val="36"/>
          <w:rtl/>
        </w:rPr>
        <w:t xml:space="preserve"> </w:t>
      </w:r>
      <w:r w:rsidR="00CA2614" w:rsidRPr="00FD211F">
        <w:rPr>
          <w:sz w:val="36"/>
          <w:szCs w:val="36"/>
          <w:rtl/>
        </w:rPr>
        <w:t>العمل</w:t>
      </w:r>
      <w:r w:rsidR="00603323" w:rsidRPr="00FD211F">
        <w:rPr>
          <w:sz w:val="36"/>
          <w:szCs w:val="36"/>
          <w:rtl/>
        </w:rPr>
        <w:t>،</w:t>
      </w:r>
      <w:r w:rsidR="00E8128F">
        <w:rPr>
          <w:sz w:val="36"/>
          <w:szCs w:val="36"/>
          <w:rtl/>
        </w:rPr>
        <w:t xml:space="preserve"> </w:t>
      </w:r>
      <w:r w:rsidR="00CA2614" w:rsidRPr="00FD211F">
        <w:rPr>
          <w:sz w:val="36"/>
          <w:szCs w:val="36"/>
          <w:rtl/>
        </w:rPr>
        <w:t>وهذا</w:t>
      </w:r>
      <w:r w:rsidR="00E8128F">
        <w:rPr>
          <w:sz w:val="36"/>
          <w:szCs w:val="36"/>
          <w:rtl/>
        </w:rPr>
        <w:t xml:space="preserve"> </w:t>
      </w:r>
      <w:r w:rsidR="00CA2614" w:rsidRPr="00FD211F">
        <w:rPr>
          <w:sz w:val="36"/>
          <w:szCs w:val="36"/>
          <w:rtl/>
        </w:rPr>
        <w:t>يعني</w:t>
      </w:r>
      <w:r w:rsidR="00E8128F">
        <w:rPr>
          <w:sz w:val="36"/>
          <w:szCs w:val="36"/>
          <w:rtl/>
        </w:rPr>
        <w:t xml:space="preserve"> </w:t>
      </w:r>
      <w:r w:rsidR="00CA2614" w:rsidRPr="00FD211F">
        <w:rPr>
          <w:sz w:val="36"/>
          <w:szCs w:val="36"/>
          <w:rtl/>
        </w:rPr>
        <w:t>تعدد</w:t>
      </w:r>
      <w:r w:rsidR="00E8128F">
        <w:rPr>
          <w:sz w:val="36"/>
          <w:szCs w:val="36"/>
          <w:rtl/>
        </w:rPr>
        <w:t xml:space="preserve"> </w:t>
      </w:r>
      <w:r w:rsidR="00CA2614" w:rsidRPr="00FD211F">
        <w:rPr>
          <w:sz w:val="36"/>
          <w:szCs w:val="36"/>
          <w:rtl/>
        </w:rPr>
        <w:t>الغرض</w:t>
      </w:r>
      <w:r w:rsidR="00E8128F">
        <w:rPr>
          <w:sz w:val="36"/>
          <w:szCs w:val="36"/>
          <w:rtl/>
        </w:rPr>
        <w:t xml:space="preserve"> </w:t>
      </w:r>
      <w:r w:rsidR="00CA2614" w:rsidRPr="00FD211F">
        <w:rPr>
          <w:sz w:val="36"/>
          <w:szCs w:val="36"/>
          <w:rtl/>
        </w:rPr>
        <w:t>في</w:t>
      </w:r>
      <w:r w:rsidR="00E8128F">
        <w:rPr>
          <w:sz w:val="36"/>
          <w:szCs w:val="36"/>
          <w:rtl/>
        </w:rPr>
        <w:t xml:space="preserve"> </w:t>
      </w:r>
      <w:r w:rsidR="00CA2614" w:rsidRPr="00FD211F">
        <w:rPr>
          <w:sz w:val="36"/>
          <w:szCs w:val="36"/>
          <w:rtl/>
        </w:rPr>
        <w:t>علم</w:t>
      </w:r>
      <w:r w:rsidR="00E8128F">
        <w:rPr>
          <w:sz w:val="36"/>
          <w:szCs w:val="36"/>
          <w:rtl/>
        </w:rPr>
        <w:t xml:space="preserve"> </w:t>
      </w:r>
      <w:r w:rsidR="00CA2614" w:rsidRPr="00FD211F">
        <w:rPr>
          <w:sz w:val="36"/>
          <w:szCs w:val="36"/>
          <w:rtl/>
        </w:rPr>
        <w:t>الاصول</w:t>
      </w:r>
      <w:r w:rsidR="00603323" w:rsidRPr="00FD211F">
        <w:rPr>
          <w:sz w:val="36"/>
          <w:szCs w:val="36"/>
          <w:rtl/>
        </w:rPr>
        <w:t>،</w:t>
      </w:r>
      <w:r w:rsidR="00E8128F">
        <w:rPr>
          <w:sz w:val="36"/>
          <w:szCs w:val="36"/>
          <w:rtl/>
        </w:rPr>
        <w:t xml:space="preserve"> </w:t>
      </w:r>
      <w:r w:rsidR="00CA2614" w:rsidRPr="00FD211F">
        <w:rPr>
          <w:sz w:val="36"/>
          <w:szCs w:val="36"/>
          <w:rtl/>
        </w:rPr>
        <w:t>وتعدد</w:t>
      </w:r>
      <w:r w:rsidR="00E8128F">
        <w:rPr>
          <w:sz w:val="36"/>
          <w:szCs w:val="36"/>
          <w:rtl/>
        </w:rPr>
        <w:t xml:space="preserve"> </w:t>
      </w:r>
      <w:r w:rsidR="00CA2614" w:rsidRPr="00FD211F">
        <w:rPr>
          <w:sz w:val="36"/>
          <w:szCs w:val="36"/>
          <w:rtl/>
        </w:rPr>
        <w:t>الغرض</w:t>
      </w:r>
      <w:r w:rsidR="00E8128F">
        <w:rPr>
          <w:sz w:val="36"/>
          <w:szCs w:val="36"/>
          <w:rtl/>
        </w:rPr>
        <w:t xml:space="preserve"> </w:t>
      </w:r>
      <w:r w:rsidR="00CA2614" w:rsidRPr="00FD211F">
        <w:rPr>
          <w:sz w:val="36"/>
          <w:szCs w:val="36"/>
          <w:rtl/>
        </w:rPr>
        <w:t>موجب</w:t>
      </w:r>
      <w:r w:rsidR="00E8128F">
        <w:rPr>
          <w:sz w:val="36"/>
          <w:szCs w:val="36"/>
          <w:rtl/>
        </w:rPr>
        <w:t xml:space="preserve"> </w:t>
      </w:r>
      <w:r w:rsidR="00CA2614" w:rsidRPr="00FD211F">
        <w:rPr>
          <w:sz w:val="36"/>
          <w:szCs w:val="36"/>
          <w:rtl/>
        </w:rPr>
        <w:t>لتعدد</w:t>
      </w:r>
      <w:r w:rsidR="00E8128F">
        <w:rPr>
          <w:sz w:val="36"/>
          <w:szCs w:val="36"/>
          <w:rtl/>
        </w:rPr>
        <w:t xml:space="preserve"> </w:t>
      </w:r>
      <w:r w:rsidR="00CA2614" w:rsidRPr="00FD211F">
        <w:rPr>
          <w:sz w:val="36"/>
          <w:szCs w:val="36"/>
          <w:rtl/>
        </w:rPr>
        <w:t>العلم</w:t>
      </w:r>
      <w:r w:rsidR="00E8128F">
        <w:rPr>
          <w:sz w:val="36"/>
          <w:szCs w:val="36"/>
          <w:rtl/>
        </w:rPr>
        <w:t xml:space="preserve"> </w:t>
      </w:r>
      <w:r w:rsidR="00CA2614" w:rsidRPr="00FD211F">
        <w:rPr>
          <w:sz w:val="36"/>
          <w:szCs w:val="36"/>
          <w:rtl/>
        </w:rPr>
        <w:t>حتى</w:t>
      </w:r>
      <w:r w:rsidR="00E8128F">
        <w:rPr>
          <w:sz w:val="36"/>
          <w:szCs w:val="36"/>
          <w:rtl/>
        </w:rPr>
        <w:t xml:space="preserve"> </w:t>
      </w:r>
      <w:r w:rsidR="00CA2614" w:rsidRPr="00FD211F">
        <w:rPr>
          <w:sz w:val="36"/>
          <w:szCs w:val="36"/>
          <w:rtl/>
        </w:rPr>
        <w:t>على</w:t>
      </w:r>
      <w:r w:rsidR="00E8128F">
        <w:rPr>
          <w:sz w:val="36"/>
          <w:szCs w:val="36"/>
          <w:rtl/>
        </w:rPr>
        <w:t xml:space="preserve"> </w:t>
      </w:r>
      <w:r w:rsidR="00CA2614" w:rsidRPr="00FD211F">
        <w:rPr>
          <w:sz w:val="36"/>
          <w:szCs w:val="36"/>
          <w:rtl/>
        </w:rPr>
        <w:t>مسلك</w:t>
      </w:r>
      <w:r w:rsidR="00E8128F">
        <w:rPr>
          <w:sz w:val="36"/>
          <w:szCs w:val="36"/>
          <w:rtl/>
        </w:rPr>
        <w:t xml:space="preserve"> </w:t>
      </w:r>
      <w:r w:rsidR="00CA2614" w:rsidRPr="00FD211F">
        <w:rPr>
          <w:sz w:val="36"/>
          <w:szCs w:val="36"/>
          <w:rtl/>
        </w:rPr>
        <w:t>صاحب</w:t>
      </w:r>
      <w:r w:rsidR="00E8128F">
        <w:rPr>
          <w:sz w:val="36"/>
          <w:szCs w:val="36"/>
          <w:rtl/>
        </w:rPr>
        <w:t xml:space="preserve"> </w:t>
      </w:r>
      <w:r w:rsidR="00CA2614" w:rsidRPr="00FD211F">
        <w:rPr>
          <w:sz w:val="36"/>
          <w:szCs w:val="36"/>
          <w:rtl/>
        </w:rPr>
        <w:t>الكفاي</w:t>
      </w:r>
      <w:r w:rsidR="00EC7EDF" w:rsidRPr="00FD211F">
        <w:rPr>
          <w:sz w:val="36"/>
          <w:szCs w:val="36"/>
          <w:rtl/>
        </w:rPr>
        <w:t>ة</w:t>
      </w:r>
      <w:r w:rsidR="00A61BAE" w:rsidRPr="00FD211F">
        <w:rPr>
          <w:sz w:val="36"/>
          <w:szCs w:val="36"/>
          <w:rtl/>
        </w:rPr>
        <w:t>.</w:t>
      </w:r>
    </w:p>
    <w:p w14:paraId="5F5FEA15" w14:textId="77777777" w:rsidR="00BE701E" w:rsidRPr="00FD211F" w:rsidRDefault="00932411" w:rsidP="009C58C8">
      <w:pPr>
        <w:ind w:left="0" w:firstLine="227"/>
        <w:jc w:val="both"/>
        <w:rPr>
          <w:sz w:val="36"/>
          <w:szCs w:val="36"/>
          <w:rtl/>
        </w:rPr>
      </w:pPr>
      <w:r w:rsidRPr="00FD211F">
        <w:rPr>
          <w:sz w:val="36"/>
          <w:szCs w:val="36"/>
          <w:rtl/>
        </w:rPr>
        <w:t>وفيه</w:t>
      </w:r>
      <w:r w:rsidR="0003763F"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00CA2614" w:rsidRPr="00FD211F">
        <w:rPr>
          <w:sz w:val="36"/>
          <w:szCs w:val="36"/>
          <w:rtl/>
        </w:rPr>
        <w:t>صاحب</w:t>
      </w:r>
      <w:r w:rsidR="00E8128F">
        <w:rPr>
          <w:sz w:val="36"/>
          <w:szCs w:val="36"/>
          <w:rtl/>
        </w:rPr>
        <w:t xml:space="preserve"> </w:t>
      </w:r>
      <w:r w:rsidR="00CA2614" w:rsidRPr="00FD211F">
        <w:rPr>
          <w:sz w:val="36"/>
          <w:szCs w:val="36"/>
          <w:rtl/>
        </w:rPr>
        <w:t>الكفاي</w:t>
      </w:r>
      <w:r w:rsidR="00EC7EDF" w:rsidRPr="00FD211F">
        <w:rPr>
          <w:sz w:val="36"/>
          <w:szCs w:val="36"/>
          <w:rtl/>
        </w:rPr>
        <w:t>ة</w:t>
      </w:r>
      <w:r w:rsidR="00E8128F">
        <w:rPr>
          <w:sz w:val="36"/>
          <w:szCs w:val="36"/>
          <w:rtl/>
        </w:rPr>
        <w:t xml:space="preserve"> </w:t>
      </w:r>
      <w:r w:rsidR="006F42DF" w:rsidRPr="00FD211F">
        <w:rPr>
          <w:sz w:val="36"/>
          <w:szCs w:val="36"/>
          <w:rtl/>
        </w:rPr>
        <w:t>"قده"</w:t>
      </w:r>
      <w:r w:rsidR="00E8128F">
        <w:rPr>
          <w:sz w:val="36"/>
          <w:szCs w:val="36"/>
          <w:rtl/>
        </w:rPr>
        <w:t xml:space="preserve"> </w:t>
      </w:r>
      <w:r w:rsidR="008D7B3D" w:rsidRPr="00FD211F">
        <w:rPr>
          <w:sz w:val="36"/>
          <w:szCs w:val="36"/>
          <w:rtl/>
        </w:rPr>
        <w:t>لم‌</w:t>
      </w:r>
      <w:r w:rsidR="00BE701E" w:rsidRPr="00FD211F">
        <w:rPr>
          <w:sz w:val="36"/>
          <w:szCs w:val="36"/>
          <w:rtl/>
        </w:rPr>
        <w:t>ينكر</w:t>
      </w:r>
      <w:r w:rsidR="00E8128F">
        <w:rPr>
          <w:sz w:val="36"/>
          <w:szCs w:val="36"/>
          <w:rtl/>
        </w:rPr>
        <w:t xml:space="preserve"> </w:t>
      </w:r>
      <w:r w:rsidR="00931B70" w:rsidRPr="00FD211F">
        <w:rPr>
          <w:sz w:val="36"/>
          <w:szCs w:val="36"/>
          <w:rtl/>
        </w:rPr>
        <w:t>وحد</w:t>
      </w:r>
      <w:r w:rsidR="00EC7EDF" w:rsidRPr="00FD211F">
        <w:rPr>
          <w:sz w:val="36"/>
          <w:szCs w:val="36"/>
          <w:rtl/>
        </w:rPr>
        <w:t>ة</w:t>
      </w:r>
      <w:r w:rsidR="00E8128F">
        <w:rPr>
          <w:sz w:val="36"/>
          <w:szCs w:val="36"/>
          <w:rtl/>
        </w:rPr>
        <w:t xml:space="preserve"> </w:t>
      </w:r>
      <w:r w:rsidR="00931B70" w:rsidRPr="00FD211F">
        <w:rPr>
          <w:sz w:val="36"/>
          <w:szCs w:val="36"/>
          <w:rtl/>
        </w:rPr>
        <w:t>الغرض</w:t>
      </w:r>
      <w:r w:rsidR="00E8128F">
        <w:rPr>
          <w:sz w:val="36"/>
          <w:szCs w:val="36"/>
          <w:rtl/>
        </w:rPr>
        <w:t xml:space="preserve"> </w:t>
      </w:r>
      <w:r w:rsidR="00BE701E" w:rsidRPr="00FD211F">
        <w:rPr>
          <w:sz w:val="36"/>
          <w:szCs w:val="36"/>
          <w:rtl/>
        </w:rPr>
        <w:t>في</w:t>
      </w:r>
      <w:r w:rsidR="00E8128F">
        <w:rPr>
          <w:sz w:val="36"/>
          <w:szCs w:val="36"/>
          <w:rtl/>
        </w:rPr>
        <w:t xml:space="preserve"> </w:t>
      </w:r>
      <w:r w:rsidR="00BE701E" w:rsidRPr="00FD211F">
        <w:rPr>
          <w:sz w:val="36"/>
          <w:szCs w:val="36"/>
          <w:rtl/>
        </w:rPr>
        <w:t>م</w:t>
      </w:r>
      <w:r w:rsidR="00931B70" w:rsidRPr="00FD211F">
        <w:rPr>
          <w:sz w:val="36"/>
          <w:szCs w:val="36"/>
          <w:rtl/>
        </w:rPr>
        <w:t>سائل</w:t>
      </w:r>
      <w:r w:rsidR="00E8128F">
        <w:rPr>
          <w:sz w:val="36"/>
          <w:szCs w:val="36"/>
          <w:rtl/>
        </w:rPr>
        <w:t xml:space="preserve"> </w:t>
      </w:r>
      <w:r w:rsidR="00931B70" w:rsidRPr="00FD211F">
        <w:rPr>
          <w:sz w:val="36"/>
          <w:szCs w:val="36"/>
          <w:rtl/>
        </w:rPr>
        <w:t>علم</w:t>
      </w:r>
      <w:r w:rsidR="00E8128F">
        <w:rPr>
          <w:sz w:val="36"/>
          <w:szCs w:val="36"/>
          <w:rtl/>
        </w:rPr>
        <w:t xml:space="preserve"> </w:t>
      </w:r>
      <w:r w:rsidR="00BE701E" w:rsidRPr="00FD211F">
        <w:rPr>
          <w:sz w:val="36"/>
          <w:szCs w:val="36"/>
          <w:rtl/>
        </w:rPr>
        <w:t>الاصول</w:t>
      </w:r>
      <w:r w:rsidR="00603323" w:rsidRPr="00FD211F">
        <w:rPr>
          <w:sz w:val="36"/>
          <w:szCs w:val="36"/>
          <w:rtl/>
        </w:rPr>
        <w:t>،</w:t>
      </w:r>
      <w:r w:rsidR="00E8128F">
        <w:rPr>
          <w:sz w:val="36"/>
          <w:szCs w:val="36"/>
          <w:rtl/>
        </w:rPr>
        <w:t xml:space="preserve"> </w:t>
      </w:r>
      <w:r w:rsidR="00BE701E" w:rsidRPr="00FD211F">
        <w:rPr>
          <w:sz w:val="36"/>
          <w:szCs w:val="36"/>
          <w:rtl/>
        </w:rPr>
        <w:t>بل</w:t>
      </w:r>
      <w:r w:rsidR="00E8128F">
        <w:rPr>
          <w:sz w:val="36"/>
          <w:szCs w:val="36"/>
          <w:rtl/>
        </w:rPr>
        <w:t xml:space="preserve"> </w:t>
      </w:r>
      <w:r w:rsidR="00BE701E" w:rsidRPr="00FD211F">
        <w:rPr>
          <w:sz w:val="36"/>
          <w:szCs w:val="36"/>
          <w:rtl/>
        </w:rPr>
        <w:t>اراد</w:t>
      </w:r>
      <w:r w:rsidR="00E8128F">
        <w:rPr>
          <w:sz w:val="36"/>
          <w:szCs w:val="36"/>
          <w:rtl/>
        </w:rPr>
        <w:t xml:space="preserve"> </w:t>
      </w:r>
      <w:r w:rsidR="00BE701E" w:rsidRPr="00FD211F">
        <w:rPr>
          <w:sz w:val="36"/>
          <w:szCs w:val="36"/>
          <w:rtl/>
        </w:rPr>
        <w:t>تتميم</w:t>
      </w:r>
      <w:r w:rsidR="00E8128F">
        <w:rPr>
          <w:sz w:val="36"/>
          <w:szCs w:val="36"/>
          <w:rtl/>
        </w:rPr>
        <w:t xml:space="preserve"> </w:t>
      </w:r>
      <w:r w:rsidR="00BE701E" w:rsidRPr="00FD211F">
        <w:rPr>
          <w:sz w:val="36"/>
          <w:szCs w:val="36"/>
          <w:rtl/>
        </w:rPr>
        <w:t>تعريف</w:t>
      </w:r>
      <w:r w:rsidR="00E8128F">
        <w:rPr>
          <w:sz w:val="36"/>
          <w:szCs w:val="36"/>
          <w:rtl/>
        </w:rPr>
        <w:t xml:space="preserve"> </w:t>
      </w:r>
      <w:r w:rsidR="00BE701E" w:rsidRPr="00FD211F">
        <w:rPr>
          <w:sz w:val="36"/>
          <w:szCs w:val="36"/>
          <w:rtl/>
        </w:rPr>
        <w:t>المشهور</w:t>
      </w:r>
      <w:r w:rsidR="00603323" w:rsidRPr="00FD211F">
        <w:rPr>
          <w:sz w:val="36"/>
          <w:szCs w:val="36"/>
          <w:rtl/>
        </w:rPr>
        <w:t>،</w:t>
      </w:r>
      <w:r w:rsidR="00E8128F">
        <w:rPr>
          <w:sz w:val="36"/>
          <w:szCs w:val="36"/>
          <w:rtl/>
        </w:rPr>
        <w:t xml:space="preserve"> </w:t>
      </w:r>
      <w:r w:rsidR="00BE701E" w:rsidRPr="00FD211F">
        <w:rPr>
          <w:sz w:val="36"/>
          <w:szCs w:val="36"/>
          <w:rtl/>
        </w:rPr>
        <w:t>والغرض</w:t>
      </w:r>
      <w:r w:rsidR="00E8128F">
        <w:rPr>
          <w:sz w:val="36"/>
          <w:szCs w:val="36"/>
          <w:rtl/>
        </w:rPr>
        <w:t xml:space="preserve"> </w:t>
      </w:r>
      <w:r w:rsidR="00431D8F" w:rsidRPr="00FD211F">
        <w:rPr>
          <w:sz w:val="36"/>
          <w:szCs w:val="36"/>
          <w:rtl/>
        </w:rPr>
        <w:t>الواحد</w:t>
      </w:r>
      <w:r w:rsidR="00E8128F">
        <w:rPr>
          <w:sz w:val="36"/>
          <w:szCs w:val="36"/>
          <w:rtl/>
        </w:rPr>
        <w:t xml:space="preserve"> </w:t>
      </w:r>
      <w:r w:rsidR="00BE701E" w:rsidRPr="00FD211F">
        <w:rPr>
          <w:sz w:val="36"/>
          <w:szCs w:val="36"/>
          <w:rtl/>
        </w:rPr>
        <w:t>هو</w:t>
      </w:r>
      <w:r w:rsidR="00E8128F">
        <w:rPr>
          <w:sz w:val="36"/>
          <w:szCs w:val="36"/>
          <w:rtl/>
        </w:rPr>
        <w:t xml:space="preserve"> </w:t>
      </w:r>
      <w:r w:rsidR="00BE701E" w:rsidRPr="00FD211F">
        <w:rPr>
          <w:sz w:val="36"/>
          <w:szCs w:val="36"/>
          <w:rtl/>
        </w:rPr>
        <w:t>تحصيل</w:t>
      </w:r>
      <w:r w:rsidR="00E8128F">
        <w:rPr>
          <w:sz w:val="36"/>
          <w:szCs w:val="36"/>
          <w:rtl/>
        </w:rPr>
        <w:t xml:space="preserve"> </w:t>
      </w:r>
      <w:r w:rsidR="00BE701E" w:rsidRPr="00FD211F">
        <w:rPr>
          <w:sz w:val="36"/>
          <w:szCs w:val="36"/>
          <w:rtl/>
        </w:rPr>
        <w:t>الحج</w:t>
      </w:r>
      <w:r w:rsidR="00EC7EDF" w:rsidRPr="00FD211F">
        <w:rPr>
          <w:sz w:val="36"/>
          <w:szCs w:val="36"/>
          <w:rtl/>
        </w:rPr>
        <w:t>ة</w:t>
      </w:r>
      <w:r w:rsidR="00E8128F">
        <w:rPr>
          <w:sz w:val="36"/>
          <w:szCs w:val="36"/>
          <w:rtl/>
        </w:rPr>
        <w:t xml:space="preserve"> </w:t>
      </w:r>
      <w:r w:rsidR="00BE701E" w:rsidRPr="00FD211F">
        <w:rPr>
          <w:sz w:val="36"/>
          <w:szCs w:val="36"/>
          <w:rtl/>
        </w:rPr>
        <w:t>على</w:t>
      </w:r>
      <w:r w:rsidR="00E8128F">
        <w:rPr>
          <w:sz w:val="36"/>
          <w:szCs w:val="36"/>
          <w:rtl/>
        </w:rPr>
        <w:t xml:space="preserve"> </w:t>
      </w:r>
      <w:r w:rsidR="00BE701E" w:rsidRPr="00FD211F">
        <w:rPr>
          <w:sz w:val="36"/>
          <w:szCs w:val="36"/>
          <w:rtl/>
        </w:rPr>
        <w:t>الحكم</w:t>
      </w:r>
      <w:r w:rsidR="00E8128F">
        <w:rPr>
          <w:sz w:val="36"/>
          <w:szCs w:val="36"/>
          <w:rtl/>
        </w:rPr>
        <w:t xml:space="preserve"> </w:t>
      </w:r>
      <w:r w:rsidR="00BE701E" w:rsidRPr="00FD211F">
        <w:rPr>
          <w:sz w:val="36"/>
          <w:szCs w:val="36"/>
          <w:rtl/>
        </w:rPr>
        <w:t>الشرعي</w:t>
      </w:r>
      <w:r w:rsidR="00603323" w:rsidRPr="00FD211F">
        <w:rPr>
          <w:sz w:val="36"/>
          <w:szCs w:val="36"/>
          <w:rtl/>
        </w:rPr>
        <w:t>،</w:t>
      </w:r>
      <w:r w:rsidR="00E8128F">
        <w:rPr>
          <w:sz w:val="36"/>
          <w:szCs w:val="36"/>
          <w:rtl/>
        </w:rPr>
        <w:t xml:space="preserve"> </w:t>
      </w:r>
      <w:r w:rsidR="00BE701E" w:rsidRPr="00FD211F">
        <w:rPr>
          <w:sz w:val="36"/>
          <w:szCs w:val="36"/>
          <w:rtl/>
        </w:rPr>
        <w:t>الا</w:t>
      </w:r>
      <w:r w:rsidR="00E8128F">
        <w:rPr>
          <w:sz w:val="36"/>
          <w:szCs w:val="36"/>
          <w:rtl/>
        </w:rPr>
        <w:t xml:space="preserve"> </w:t>
      </w:r>
      <w:r w:rsidR="00BE701E" w:rsidRPr="00FD211F">
        <w:rPr>
          <w:sz w:val="36"/>
          <w:szCs w:val="36"/>
          <w:rtl/>
        </w:rPr>
        <w:t>ترى</w:t>
      </w:r>
      <w:r w:rsidR="00E8128F">
        <w:rPr>
          <w:sz w:val="36"/>
          <w:szCs w:val="36"/>
          <w:rtl/>
        </w:rPr>
        <w:t xml:space="preserve"> </w:t>
      </w:r>
      <w:r w:rsidR="00BE701E" w:rsidRPr="00FD211F">
        <w:rPr>
          <w:sz w:val="36"/>
          <w:szCs w:val="36"/>
          <w:rtl/>
        </w:rPr>
        <w:t>ان</w:t>
      </w:r>
      <w:r w:rsidR="00E8128F">
        <w:rPr>
          <w:sz w:val="36"/>
          <w:szCs w:val="36"/>
          <w:rtl/>
        </w:rPr>
        <w:t xml:space="preserve"> </w:t>
      </w:r>
      <w:r w:rsidR="00BE701E" w:rsidRPr="00FD211F">
        <w:rPr>
          <w:sz w:val="36"/>
          <w:szCs w:val="36"/>
          <w:rtl/>
        </w:rPr>
        <w:t>المحقق</w:t>
      </w:r>
      <w:r w:rsidR="00E8128F">
        <w:rPr>
          <w:sz w:val="36"/>
          <w:szCs w:val="36"/>
          <w:rtl/>
        </w:rPr>
        <w:t xml:space="preserve"> </w:t>
      </w:r>
      <w:r w:rsidR="00BE701E" w:rsidRPr="00FD211F">
        <w:rPr>
          <w:sz w:val="36"/>
          <w:szCs w:val="36"/>
          <w:rtl/>
        </w:rPr>
        <w:t>العراقي</w:t>
      </w:r>
      <w:r w:rsidR="00E8128F">
        <w:rPr>
          <w:sz w:val="36"/>
          <w:szCs w:val="36"/>
          <w:rtl/>
        </w:rPr>
        <w:t xml:space="preserve"> </w:t>
      </w:r>
      <w:r w:rsidR="00AB1B12" w:rsidRPr="00FD211F">
        <w:rPr>
          <w:sz w:val="36"/>
          <w:szCs w:val="36"/>
          <w:rtl/>
        </w:rPr>
        <w:t>"</w:t>
      </w:r>
      <w:r w:rsidR="00BE701E" w:rsidRPr="00FD211F">
        <w:rPr>
          <w:sz w:val="36"/>
          <w:szCs w:val="36"/>
          <w:rtl/>
        </w:rPr>
        <w:t>قده</w:t>
      </w:r>
      <w:r w:rsidR="00AB1B12" w:rsidRPr="00FD211F">
        <w:rPr>
          <w:sz w:val="36"/>
          <w:szCs w:val="36"/>
          <w:rtl/>
        </w:rPr>
        <w:t>"</w:t>
      </w:r>
      <w:r w:rsidR="00E8128F">
        <w:rPr>
          <w:sz w:val="36"/>
          <w:szCs w:val="36"/>
          <w:rtl/>
        </w:rPr>
        <w:t xml:space="preserve"> </w:t>
      </w:r>
      <w:r w:rsidR="00BE701E" w:rsidRPr="00FD211F">
        <w:rPr>
          <w:sz w:val="36"/>
          <w:szCs w:val="36"/>
          <w:rtl/>
        </w:rPr>
        <w:t>مع</w:t>
      </w:r>
      <w:r w:rsidR="00E8128F">
        <w:rPr>
          <w:sz w:val="36"/>
          <w:szCs w:val="36"/>
          <w:rtl/>
        </w:rPr>
        <w:t xml:space="preserve"> </w:t>
      </w:r>
      <w:r w:rsidR="00BE701E" w:rsidRPr="00FD211F">
        <w:rPr>
          <w:sz w:val="36"/>
          <w:szCs w:val="36"/>
          <w:rtl/>
        </w:rPr>
        <w:t>انكاره</w:t>
      </w:r>
      <w:r w:rsidR="00E8128F">
        <w:rPr>
          <w:sz w:val="36"/>
          <w:szCs w:val="36"/>
          <w:rtl/>
        </w:rPr>
        <w:t xml:space="preserve"> </w:t>
      </w:r>
      <w:r w:rsidR="00BE701E" w:rsidRPr="00FD211F">
        <w:rPr>
          <w:sz w:val="36"/>
          <w:szCs w:val="36"/>
          <w:rtl/>
        </w:rPr>
        <w:t>لوجود</w:t>
      </w:r>
      <w:r w:rsidR="00E8128F">
        <w:rPr>
          <w:sz w:val="36"/>
          <w:szCs w:val="36"/>
          <w:rtl/>
        </w:rPr>
        <w:t xml:space="preserve"> </w:t>
      </w:r>
      <w:r w:rsidR="00BE701E" w:rsidRPr="00FD211F">
        <w:rPr>
          <w:sz w:val="36"/>
          <w:szCs w:val="36"/>
          <w:rtl/>
        </w:rPr>
        <w:t>جامع</w:t>
      </w:r>
      <w:r w:rsidR="00E8128F">
        <w:rPr>
          <w:sz w:val="36"/>
          <w:szCs w:val="36"/>
          <w:rtl/>
        </w:rPr>
        <w:t xml:space="preserve"> </w:t>
      </w:r>
      <w:r w:rsidR="00BE701E" w:rsidRPr="00FD211F">
        <w:rPr>
          <w:sz w:val="36"/>
          <w:szCs w:val="36"/>
          <w:rtl/>
        </w:rPr>
        <w:t>ذاتي</w:t>
      </w:r>
      <w:r w:rsidR="00E8128F">
        <w:rPr>
          <w:sz w:val="36"/>
          <w:szCs w:val="36"/>
          <w:rtl/>
        </w:rPr>
        <w:t xml:space="preserve"> </w:t>
      </w:r>
      <w:r w:rsidR="00BE701E" w:rsidRPr="00FD211F">
        <w:rPr>
          <w:sz w:val="36"/>
          <w:szCs w:val="36"/>
          <w:rtl/>
        </w:rPr>
        <w:t>بين</w:t>
      </w:r>
      <w:r w:rsidR="00E8128F">
        <w:rPr>
          <w:sz w:val="36"/>
          <w:szCs w:val="36"/>
          <w:rtl/>
        </w:rPr>
        <w:t xml:space="preserve"> </w:t>
      </w:r>
      <w:r w:rsidR="00BE701E" w:rsidRPr="00FD211F">
        <w:rPr>
          <w:sz w:val="36"/>
          <w:szCs w:val="36"/>
          <w:rtl/>
        </w:rPr>
        <w:t>مسائل</w:t>
      </w:r>
      <w:r w:rsidR="00E8128F">
        <w:rPr>
          <w:sz w:val="36"/>
          <w:szCs w:val="36"/>
          <w:rtl/>
        </w:rPr>
        <w:t xml:space="preserve"> </w:t>
      </w:r>
      <w:r w:rsidR="00BE701E" w:rsidRPr="00FD211F">
        <w:rPr>
          <w:sz w:val="36"/>
          <w:szCs w:val="36"/>
          <w:rtl/>
        </w:rPr>
        <w:t>علم</w:t>
      </w:r>
      <w:r w:rsidR="00E8128F">
        <w:rPr>
          <w:sz w:val="36"/>
          <w:szCs w:val="36"/>
          <w:rtl/>
        </w:rPr>
        <w:t xml:space="preserve"> </w:t>
      </w:r>
      <w:r w:rsidR="00BE701E" w:rsidRPr="00FD211F">
        <w:rPr>
          <w:sz w:val="36"/>
          <w:szCs w:val="36"/>
          <w:rtl/>
        </w:rPr>
        <w:t>الاصول</w:t>
      </w:r>
      <w:r w:rsidR="00E8128F">
        <w:rPr>
          <w:sz w:val="36"/>
          <w:szCs w:val="36"/>
          <w:rtl/>
        </w:rPr>
        <w:t xml:space="preserve"> </w:t>
      </w:r>
      <w:r w:rsidR="00BE701E" w:rsidRPr="00FD211F">
        <w:rPr>
          <w:sz w:val="36"/>
          <w:szCs w:val="36"/>
          <w:rtl/>
        </w:rPr>
        <w:t>بلحاظ</w:t>
      </w:r>
      <w:r w:rsidR="00E8128F">
        <w:rPr>
          <w:sz w:val="36"/>
          <w:szCs w:val="36"/>
          <w:rtl/>
        </w:rPr>
        <w:t xml:space="preserve"> </w:t>
      </w:r>
      <w:r w:rsidR="00BE701E" w:rsidRPr="00FD211F">
        <w:rPr>
          <w:sz w:val="36"/>
          <w:szCs w:val="36"/>
          <w:rtl/>
        </w:rPr>
        <w:t>ان</w:t>
      </w:r>
      <w:r w:rsidR="00E8128F">
        <w:rPr>
          <w:sz w:val="36"/>
          <w:szCs w:val="36"/>
          <w:rtl/>
        </w:rPr>
        <w:t xml:space="preserve"> </w:t>
      </w:r>
      <w:r w:rsidR="00BE701E" w:rsidRPr="00FD211F">
        <w:rPr>
          <w:sz w:val="36"/>
          <w:szCs w:val="36"/>
          <w:rtl/>
        </w:rPr>
        <w:t>حيثي</w:t>
      </w:r>
      <w:r w:rsidR="00EC7EDF" w:rsidRPr="00FD211F">
        <w:rPr>
          <w:sz w:val="36"/>
          <w:szCs w:val="36"/>
          <w:rtl/>
        </w:rPr>
        <w:t>ة</w:t>
      </w:r>
      <w:r w:rsidR="00E8128F">
        <w:rPr>
          <w:sz w:val="36"/>
          <w:szCs w:val="36"/>
          <w:rtl/>
        </w:rPr>
        <w:t xml:space="preserve"> </w:t>
      </w:r>
      <w:r w:rsidR="00BE701E" w:rsidRPr="00FD211F">
        <w:rPr>
          <w:sz w:val="36"/>
          <w:szCs w:val="36"/>
          <w:rtl/>
        </w:rPr>
        <w:t>الامارات</w:t>
      </w:r>
      <w:r w:rsidR="00E8128F">
        <w:rPr>
          <w:sz w:val="36"/>
          <w:szCs w:val="36"/>
          <w:rtl/>
        </w:rPr>
        <w:t xml:space="preserve"> </w:t>
      </w:r>
      <w:r w:rsidR="00BE701E" w:rsidRPr="00FD211F">
        <w:rPr>
          <w:sz w:val="36"/>
          <w:szCs w:val="36"/>
          <w:rtl/>
        </w:rPr>
        <w:t>حيثي</w:t>
      </w:r>
      <w:r w:rsidR="00EC7EDF" w:rsidRPr="00FD211F">
        <w:rPr>
          <w:sz w:val="36"/>
          <w:szCs w:val="36"/>
          <w:rtl/>
        </w:rPr>
        <w:t>ة</w:t>
      </w:r>
      <w:r w:rsidR="00E8128F">
        <w:rPr>
          <w:sz w:val="36"/>
          <w:szCs w:val="36"/>
          <w:rtl/>
        </w:rPr>
        <w:t xml:space="preserve"> </w:t>
      </w:r>
      <w:r w:rsidR="00BE701E" w:rsidRPr="00FD211F">
        <w:rPr>
          <w:sz w:val="36"/>
          <w:szCs w:val="36"/>
          <w:rtl/>
        </w:rPr>
        <w:t>انكشاف</w:t>
      </w:r>
      <w:r w:rsidR="00E8128F">
        <w:rPr>
          <w:sz w:val="36"/>
          <w:szCs w:val="36"/>
          <w:rtl/>
        </w:rPr>
        <w:t xml:space="preserve"> </w:t>
      </w:r>
      <w:r w:rsidR="00BE701E" w:rsidRPr="00FD211F">
        <w:rPr>
          <w:sz w:val="36"/>
          <w:szCs w:val="36"/>
          <w:rtl/>
        </w:rPr>
        <w:t>الواقع</w:t>
      </w:r>
      <w:r w:rsidR="00E8128F">
        <w:rPr>
          <w:sz w:val="36"/>
          <w:szCs w:val="36"/>
          <w:rtl/>
        </w:rPr>
        <w:t xml:space="preserve"> </w:t>
      </w:r>
      <w:r w:rsidR="00BE701E" w:rsidRPr="00FD211F">
        <w:rPr>
          <w:sz w:val="36"/>
          <w:szCs w:val="36"/>
          <w:rtl/>
        </w:rPr>
        <w:t>وحيثي</w:t>
      </w:r>
      <w:r w:rsidR="00EC7EDF" w:rsidRPr="00FD211F">
        <w:rPr>
          <w:sz w:val="36"/>
          <w:szCs w:val="36"/>
          <w:rtl/>
        </w:rPr>
        <w:t>ة</w:t>
      </w:r>
      <w:r w:rsidR="00E8128F">
        <w:rPr>
          <w:sz w:val="36"/>
          <w:szCs w:val="36"/>
          <w:rtl/>
        </w:rPr>
        <w:t xml:space="preserve"> </w:t>
      </w:r>
      <w:r w:rsidR="00BE701E" w:rsidRPr="00FD211F">
        <w:rPr>
          <w:sz w:val="36"/>
          <w:szCs w:val="36"/>
          <w:rtl/>
        </w:rPr>
        <w:t>الاصول</w:t>
      </w:r>
      <w:r w:rsidR="00E8128F">
        <w:rPr>
          <w:sz w:val="36"/>
          <w:szCs w:val="36"/>
          <w:rtl/>
        </w:rPr>
        <w:t xml:space="preserve"> </w:t>
      </w:r>
      <w:r w:rsidR="00BE701E" w:rsidRPr="00FD211F">
        <w:rPr>
          <w:sz w:val="36"/>
          <w:szCs w:val="36"/>
          <w:rtl/>
        </w:rPr>
        <w:t>العملي</w:t>
      </w:r>
      <w:r w:rsidR="00EC7EDF" w:rsidRPr="00FD211F">
        <w:rPr>
          <w:sz w:val="36"/>
          <w:szCs w:val="36"/>
          <w:rtl/>
        </w:rPr>
        <w:t>ة</w:t>
      </w:r>
      <w:r w:rsidR="00E8128F">
        <w:rPr>
          <w:sz w:val="36"/>
          <w:szCs w:val="36"/>
          <w:rtl/>
        </w:rPr>
        <w:t xml:space="preserve"> </w:t>
      </w:r>
      <w:r w:rsidR="00BE701E" w:rsidRPr="00FD211F">
        <w:rPr>
          <w:sz w:val="36"/>
          <w:szCs w:val="36"/>
          <w:rtl/>
        </w:rPr>
        <w:t>حيثي</w:t>
      </w:r>
      <w:r w:rsidR="00EC7EDF" w:rsidRPr="00FD211F">
        <w:rPr>
          <w:sz w:val="36"/>
          <w:szCs w:val="36"/>
          <w:rtl/>
        </w:rPr>
        <w:t>ة</w:t>
      </w:r>
      <w:r w:rsidR="00E8128F">
        <w:rPr>
          <w:sz w:val="36"/>
          <w:szCs w:val="36"/>
          <w:rtl/>
        </w:rPr>
        <w:t xml:space="preserve"> </w:t>
      </w:r>
      <w:r w:rsidR="00BE701E" w:rsidRPr="00FD211F">
        <w:rPr>
          <w:sz w:val="36"/>
          <w:szCs w:val="36"/>
          <w:rtl/>
        </w:rPr>
        <w:t>استتاره</w:t>
      </w:r>
      <w:r w:rsidR="00E8128F">
        <w:rPr>
          <w:sz w:val="36"/>
          <w:szCs w:val="36"/>
          <w:rtl/>
        </w:rPr>
        <w:t xml:space="preserve"> </w:t>
      </w:r>
      <w:r w:rsidR="00931B70" w:rsidRPr="00FD211F">
        <w:rPr>
          <w:sz w:val="36"/>
          <w:szCs w:val="36"/>
          <w:rtl/>
        </w:rPr>
        <w:t>فالحيثيتان</w:t>
      </w:r>
      <w:r w:rsidR="00E8128F">
        <w:rPr>
          <w:sz w:val="36"/>
          <w:szCs w:val="36"/>
          <w:rtl/>
        </w:rPr>
        <w:t xml:space="preserve"> </w:t>
      </w:r>
      <w:r w:rsidR="00931B70" w:rsidRPr="00FD211F">
        <w:rPr>
          <w:sz w:val="36"/>
          <w:szCs w:val="36"/>
          <w:rtl/>
        </w:rPr>
        <w:lastRenderedPageBreak/>
        <w:t>متناقضتان</w:t>
      </w:r>
      <w:r w:rsidR="00603323" w:rsidRPr="00FD211F">
        <w:rPr>
          <w:sz w:val="36"/>
          <w:szCs w:val="36"/>
          <w:rtl/>
        </w:rPr>
        <w:t>،</w:t>
      </w:r>
      <w:r w:rsidR="00E8128F">
        <w:rPr>
          <w:sz w:val="36"/>
          <w:szCs w:val="36"/>
          <w:rtl/>
        </w:rPr>
        <w:t xml:space="preserve"> </w:t>
      </w:r>
      <w:r w:rsidR="00BE701E" w:rsidRPr="00FD211F">
        <w:rPr>
          <w:sz w:val="36"/>
          <w:szCs w:val="36"/>
          <w:rtl/>
        </w:rPr>
        <w:t>ولاجامع</w:t>
      </w:r>
      <w:r w:rsidR="00E8128F">
        <w:rPr>
          <w:sz w:val="36"/>
          <w:szCs w:val="36"/>
          <w:rtl/>
        </w:rPr>
        <w:t xml:space="preserve"> </w:t>
      </w:r>
      <w:r w:rsidR="00BE701E" w:rsidRPr="00FD211F">
        <w:rPr>
          <w:sz w:val="36"/>
          <w:szCs w:val="36"/>
          <w:rtl/>
        </w:rPr>
        <w:t>ذاتي</w:t>
      </w:r>
      <w:r w:rsidR="00E8128F">
        <w:rPr>
          <w:sz w:val="36"/>
          <w:szCs w:val="36"/>
          <w:rtl/>
        </w:rPr>
        <w:t xml:space="preserve"> </w:t>
      </w:r>
      <w:r w:rsidR="00BE701E" w:rsidRPr="00FD211F">
        <w:rPr>
          <w:sz w:val="36"/>
          <w:szCs w:val="36"/>
          <w:rtl/>
        </w:rPr>
        <w:t>بين</w:t>
      </w:r>
      <w:r w:rsidR="00E8128F">
        <w:rPr>
          <w:sz w:val="36"/>
          <w:szCs w:val="36"/>
          <w:rtl/>
        </w:rPr>
        <w:t xml:space="preserve"> </w:t>
      </w:r>
      <w:r w:rsidR="00BE701E" w:rsidRPr="00FD211F">
        <w:rPr>
          <w:sz w:val="36"/>
          <w:szCs w:val="36"/>
          <w:rtl/>
        </w:rPr>
        <w:t>النقيضين</w:t>
      </w:r>
      <w:r w:rsidR="00603323" w:rsidRPr="00FD211F">
        <w:rPr>
          <w:sz w:val="36"/>
          <w:szCs w:val="36"/>
          <w:rtl/>
        </w:rPr>
        <w:t>،</w:t>
      </w:r>
      <w:r w:rsidR="00E8128F">
        <w:rPr>
          <w:sz w:val="36"/>
          <w:szCs w:val="36"/>
          <w:rtl/>
        </w:rPr>
        <w:t xml:space="preserve"> </w:t>
      </w:r>
      <w:r w:rsidR="00931B70" w:rsidRPr="00FD211F">
        <w:rPr>
          <w:sz w:val="36"/>
          <w:szCs w:val="36"/>
          <w:rtl/>
        </w:rPr>
        <w:t>مع</w:t>
      </w:r>
      <w:r w:rsidR="00E8128F">
        <w:rPr>
          <w:sz w:val="36"/>
          <w:szCs w:val="36"/>
          <w:rtl/>
        </w:rPr>
        <w:t xml:space="preserve"> </w:t>
      </w:r>
      <w:r w:rsidR="00931B70" w:rsidRPr="00FD211F">
        <w:rPr>
          <w:sz w:val="36"/>
          <w:szCs w:val="36"/>
          <w:rtl/>
        </w:rPr>
        <w:t>ذلك</w:t>
      </w:r>
      <w:r w:rsidR="00E8128F">
        <w:rPr>
          <w:sz w:val="36"/>
          <w:szCs w:val="36"/>
          <w:rtl/>
        </w:rPr>
        <w:t xml:space="preserve"> </w:t>
      </w:r>
      <w:r w:rsidR="00BE701E" w:rsidRPr="00FD211F">
        <w:rPr>
          <w:sz w:val="36"/>
          <w:szCs w:val="36"/>
          <w:rtl/>
        </w:rPr>
        <w:t>قد</w:t>
      </w:r>
      <w:r w:rsidR="00E8128F">
        <w:rPr>
          <w:sz w:val="36"/>
          <w:szCs w:val="36"/>
          <w:rtl/>
        </w:rPr>
        <w:t xml:space="preserve"> </w:t>
      </w:r>
      <w:r w:rsidR="00BE701E" w:rsidRPr="00FD211F">
        <w:rPr>
          <w:sz w:val="36"/>
          <w:szCs w:val="36"/>
          <w:rtl/>
        </w:rPr>
        <w:t>صرح</w:t>
      </w:r>
      <w:r w:rsidR="00E8128F">
        <w:rPr>
          <w:sz w:val="36"/>
          <w:szCs w:val="36"/>
          <w:rtl/>
        </w:rPr>
        <w:t xml:space="preserve"> </w:t>
      </w:r>
      <w:r w:rsidR="00BE701E" w:rsidRPr="00FD211F">
        <w:rPr>
          <w:sz w:val="36"/>
          <w:szCs w:val="36"/>
          <w:rtl/>
        </w:rPr>
        <w:t>بوجود</w:t>
      </w:r>
      <w:r w:rsidR="00E8128F">
        <w:rPr>
          <w:sz w:val="36"/>
          <w:szCs w:val="36"/>
          <w:rtl/>
        </w:rPr>
        <w:t xml:space="preserve"> </w:t>
      </w:r>
      <w:r w:rsidR="00BE701E" w:rsidRPr="00FD211F">
        <w:rPr>
          <w:sz w:val="36"/>
          <w:szCs w:val="36"/>
          <w:rtl/>
        </w:rPr>
        <w:t>غرض</w:t>
      </w:r>
      <w:r w:rsidR="00E8128F">
        <w:rPr>
          <w:sz w:val="36"/>
          <w:szCs w:val="36"/>
          <w:rtl/>
        </w:rPr>
        <w:t xml:space="preserve"> </w:t>
      </w:r>
      <w:r w:rsidR="00BE701E" w:rsidRPr="00FD211F">
        <w:rPr>
          <w:sz w:val="36"/>
          <w:szCs w:val="36"/>
          <w:rtl/>
        </w:rPr>
        <w:t>واحد</w:t>
      </w:r>
      <w:r w:rsidR="00E8128F">
        <w:rPr>
          <w:sz w:val="36"/>
          <w:szCs w:val="36"/>
          <w:rtl/>
        </w:rPr>
        <w:t xml:space="preserve"> </w:t>
      </w:r>
      <w:r w:rsidR="00BE701E" w:rsidRPr="00FD211F">
        <w:rPr>
          <w:sz w:val="36"/>
          <w:szCs w:val="36"/>
          <w:rtl/>
        </w:rPr>
        <w:t>مترتب</w:t>
      </w:r>
      <w:r w:rsidR="00E8128F">
        <w:rPr>
          <w:sz w:val="36"/>
          <w:szCs w:val="36"/>
          <w:rtl/>
        </w:rPr>
        <w:t xml:space="preserve"> </w:t>
      </w:r>
      <w:r w:rsidR="00BE701E" w:rsidRPr="00FD211F">
        <w:rPr>
          <w:sz w:val="36"/>
          <w:szCs w:val="36"/>
          <w:rtl/>
        </w:rPr>
        <w:t>على</w:t>
      </w:r>
      <w:r w:rsidR="00E8128F">
        <w:rPr>
          <w:sz w:val="36"/>
          <w:szCs w:val="36"/>
          <w:rtl/>
        </w:rPr>
        <w:t xml:space="preserve"> </w:t>
      </w:r>
      <w:r w:rsidR="00BE701E" w:rsidRPr="00FD211F">
        <w:rPr>
          <w:sz w:val="36"/>
          <w:szCs w:val="36"/>
          <w:rtl/>
        </w:rPr>
        <w:t>الكل</w:t>
      </w:r>
      <w:r w:rsidR="00603323" w:rsidRPr="00FD211F">
        <w:rPr>
          <w:sz w:val="36"/>
          <w:szCs w:val="36"/>
          <w:rtl/>
        </w:rPr>
        <w:t>،</w:t>
      </w:r>
      <w:r w:rsidR="00E8128F">
        <w:rPr>
          <w:sz w:val="36"/>
          <w:szCs w:val="36"/>
          <w:rtl/>
        </w:rPr>
        <w:t xml:space="preserve"> </w:t>
      </w:r>
      <w:r w:rsidR="00BE701E" w:rsidRPr="00FD211F">
        <w:rPr>
          <w:sz w:val="36"/>
          <w:szCs w:val="36"/>
          <w:rtl/>
        </w:rPr>
        <w:t>وهو</w:t>
      </w:r>
      <w:r w:rsidR="00E8128F">
        <w:rPr>
          <w:sz w:val="36"/>
          <w:szCs w:val="36"/>
          <w:rtl/>
        </w:rPr>
        <w:t xml:space="preserve"> </w:t>
      </w:r>
      <w:r w:rsidR="00BE701E" w:rsidRPr="00FD211F">
        <w:rPr>
          <w:sz w:val="36"/>
          <w:szCs w:val="36"/>
          <w:rtl/>
        </w:rPr>
        <w:t>انكشاف</w:t>
      </w:r>
      <w:r w:rsidR="00E8128F">
        <w:rPr>
          <w:sz w:val="36"/>
          <w:szCs w:val="36"/>
          <w:rtl/>
        </w:rPr>
        <w:t xml:space="preserve"> </w:t>
      </w:r>
      <w:r w:rsidR="00BE701E" w:rsidRPr="00FD211F">
        <w:rPr>
          <w:sz w:val="36"/>
          <w:szCs w:val="36"/>
          <w:rtl/>
        </w:rPr>
        <w:t>الوظيف</w:t>
      </w:r>
      <w:r w:rsidR="00EC7EDF" w:rsidRPr="00FD211F">
        <w:rPr>
          <w:sz w:val="36"/>
          <w:szCs w:val="36"/>
          <w:rtl/>
        </w:rPr>
        <w:t>ة</w:t>
      </w:r>
      <w:r w:rsidR="00E8128F">
        <w:rPr>
          <w:sz w:val="36"/>
          <w:szCs w:val="36"/>
          <w:rtl/>
        </w:rPr>
        <w:t xml:space="preserve"> </w:t>
      </w:r>
      <w:r w:rsidR="00BE701E" w:rsidRPr="00FD211F">
        <w:rPr>
          <w:sz w:val="36"/>
          <w:szCs w:val="36"/>
          <w:rtl/>
        </w:rPr>
        <w:t>الفعلي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2"/>
      </w:r>
      <w:r w:rsidR="009C58C8" w:rsidRPr="00FD211F">
        <w:rPr>
          <w:rStyle w:val="a6"/>
          <w:sz w:val="36"/>
          <w:szCs w:val="36"/>
          <w:rtl/>
        </w:rPr>
        <w:t>)</w:t>
      </w:r>
      <w:r w:rsidR="00BE701E" w:rsidRPr="00FD211F">
        <w:rPr>
          <w:sz w:val="36"/>
          <w:szCs w:val="36"/>
          <w:rtl/>
        </w:rPr>
        <w:t>.</w:t>
      </w:r>
    </w:p>
    <w:p w14:paraId="7DA40E34" w14:textId="77777777" w:rsidR="009576C8" w:rsidRPr="00FD211F" w:rsidRDefault="009576C8" w:rsidP="009C58C8">
      <w:pPr>
        <w:ind w:left="0" w:firstLine="227"/>
        <w:jc w:val="both"/>
        <w:rPr>
          <w:sz w:val="36"/>
          <w:szCs w:val="36"/>
          <w:rtl/>
        </w:rPr>
      </w:pPr>
      <w:r w:rsidRPr="00FD211F">
        <w:rPr>
          <w:sz w:val="36"/>
          <w:szCs w:val="36"/>
          <w:rtl/>
        </w:rPr>
        <w:t>نعم</w:t>
      </w:r>
      <w:r w:rsidR="00E8128F">
        <w:rPr>
          <w:sz w:val="36"/>
          <w:szCs w:val="36"/>
          <w:rtl/>
        </w:rPr>
        <w:t xml:space="preserve"> </w:t>
      </w:r>
      <w:r w:rsidRPr="00FD211F">
        <w:rPr>
          <w:sz w:val="36"/>
          <w:szCs w:val="36"/>
          <w:rtl/>
        </w:rPr>
        <w:t>يرد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صاحب</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ينبغي</w:t>
      </w:r>
      <w:r w:rsidR="00E8128F">
        <w:rPr>
          <w:sz w:val="36"/>
          <w:szCs w:val="36"/>
          <w:rtl/>
        </w:rPr>
        <w:t xml:space="preserve"> </w:t>
      </w:r>
      <w:r w:rsidR="004C7B4E" w:rsidRPr="00FD211F">
        <w:rPr>
          <w:sz w:val="36"/>
          <w:szCs w:val="36"/>
          <w:rtl/>
        </w:rPr>
        <w:t>ابراز</w:t>
      </w:r>
      <w:r w:rsidR="00E8128F">
        <w:rPr>
          <w:sz w:val="36"/>
          <w:szCs w:val="36"/>
          <w:rtl/>
        </w:rPr>
        <w:t xml:space="preserve"> </w:t>
      </w:r>
      <w:r w:rsidR="004C7B4E" w:rsidRPr="00FD211F">
        <w:rPr>
          <w:sz w:val="36"/>
          <w:szCs w:val="36"/>
          <w:rtl/>
        </w:rPr>
        <w:t>جامع</w:t>
      </w:r>
      <w:r w:rsidR="00E8128F">
        <w:rPr>
          <w:sz w:val="36"/>
          <w:szCs w:val="36"/>
          <w:rtl/>
        </w:rPr>
        <w:t xml:space="preserve"> </w:t>
      </w:r>
      <w:r w:rsidR="004C7B4E" w:rsidRPr="00FD211F">
        <w:rPr>
          <w:sz w:val="36"/>
          <w:szCs w:val="36"/>
          <w:rtl/>
        </w:rPr>
        <w:t>حقيقي</w:t>
      </w:r>
      <w:r w:rsidR="00E8128F">
        <w:rPr>
          <w:sz w:val="36"/>
          <w:szCs w:val="36"/>
          <w:rtl/>
        </w:rPr>
        <w:t xml:space="preserve"> </w:t>
      </w:r>
      <w:r w:rsidR="004C7B4E" w:rsidRPr="00FD211F">
        <w:rPr>
          <w:sz w:val="36"/>
          <w:szCs w:val="36"/>
          <w:rtl/>
        </w:rPr>
        <w:t>بين</w:t>
      </w:r>
      <w:r w:rsidR="00E8128F">
        <w:rPr>
          <w:sz w:val="36"/>
          <w:szCs w:val="36"/>
          <w:rtl/>
        </w:rPr>
        <w:t xml:space="preserve"> </w:t>
      </w:r>
      <w:r w:rsidR="004C7B4E" w:rsidRPr="00FD211F">
        <w:rPr>
          <w:sz w:val="36"/>
          <w:szCs w:val="36"/>
          <w:rtl/>
        </w:rPr>
        <w:t>جميع</w:t>
      </w:r>
      <w:r w:rsidR="00E8128F">
        <w:rPr>
          <w:sz w:val="36"/>
          <w:szCs w:val="36"/>
          <w:rtl/>
        </w:rPr>
        <w:t xml:space="preserve"> </w:t>
      </w:r>
      <w:r w:rsidR="004C7B4E" w:rsidRPr="00FD211F">
        <w:rPr>
          <w:sz w:val="36"/>
          <w:szCs w:val="36"/>
          <w:rtl/>
        </w:rPr>
        <w:t>مسائل</w:t>
      </w:r>
      <w:r w:rsidR="00E8128F">
        <w:rPr>
          <w:sz w:val="36"/>
          <w:szCs w:val="36"/>
          <w:rtl/>
        </w:rPr>
        <w:t xml:space="preserve"> </w:t>
      </w:r>
      <w:r w:rsidR="004C7B4E" w:rsidRPr="00FD211F">
        <w:rPr>
          <w:sz w:val="36"/>
          <w:szCs w:val="36"/>
          <w:rtl/>
        </w:rPr>
        <w:t>علم</w:t>
      </w:r>
      <w:r w:rsidR="00E8128F">
        <w:rPr>
          <w:sz w:val="36"/>
          <w:szCs w:val="36"/>
          <w:rtl/>
        </w:rPr>
        <w:t xml:space="preserve"> </w:t>
      </w:r>
      <w:r w:rsidR="004C7B4E" w:rsidRPr="00FD211F">
        <w:rPr>
          <w:sz w:val="36"/>
          <w:szCs w:val="36"/>
          <w:rtl/>
        </w:rPr>
        <w:t>الأصول</w:t>
      </w:r>
      <w:r w:rsidR="00E8128F">
        <w:rPr>
          <w:sz w:val="36"/>
          <w:szCs w:val="36"/>
          <w:rtl/>
        </w:rPr>
        <w:t xml:space="preserve"> </w:t>
      </w:r>
      <w:r w:rsidR="004C7B4E" w:rsidRPr="00FD211F">
        <w:rPr>
          <w:sz w:val="36"/>
          <w:szCs w:val="36"/>
          <w:rtl/>
        </w:rPr>
        <w:t>مهما</w:t>
      </w:r>
      <w:r w:rsidR="00E8128F">
        <w:rPr>
          <w:sz w:val="36"/>
          <w:szCs w:val="36"/>
          <w:rtl/>
        </w:rPr>
        <w:t xml:space="preserve"> </w:t>
      </w:r>
      <w:r w:rsidR="004C7B4E" w:rsidRPr="00FD211F">
        <w:rPr>
          <w:sz w:val="36"/>
          <w:szCs w:val="36"/>
          <w:rtl/>
        </w:rPr>
        <w:t>امكن</w:t>
      </w:r>
      <w:r w:rsidR="00603323" w:rsidRPr="00FD211F">
        <w:rPr>
          <w:sz w:val="36"/>
          <w:szCs w:val="36"/>
          <w:rtl/>
        </w:rPr>
        <w:t>،</w:t>
      </w:r>
      <w:r w:rsidR="00E8128F">
        <w:rPr>
          <w:sz w:val="36"/>
          <w:szCs w:val="36"/>
          <w:rtl/>
        </w:rPr>
        <w:t xml:space="preserve"> </w:t>
      </w:r>
      <w:r w:rsidR="004C7B4E" w:rsidRPr="00FD211F">
        <w:rPr>
          <w:sz w:val="36"/>
          <w:szCs w:val="36"/>
          <w:rtl/>
        </w:rPr>
        <w:t>وهو</w:t>
      </w:r>
      <w:r w:rsidR="00E8128F">
        <w:rPr>
          <w:sz w:val="36"/>
          <w:szCs w:val="36"/>
          <w:rtl/>
        </w:rPr>
        <w:t xml:space="preserve"> </w:t>
      </w:r>
      <w:r w:rsidR="004C7B4E" w:rsidRPr="00FD211F">
        <w:rPr>
          <w:sz w:val="36"/>
          <w:szCs w:val="36"/>
          <w:rtl/>
        </w:rPr>
        <w:t>التعبير</w:t>
      </w:r>
      <w:r w:rsidR="00E8128F">
        <w:rPr>
          <w:sz w:val="36"/>
          <w:szCs w:val="36"/>
          <w:rtl/>
        </w:rPr>
        <w:t xml:space="preserve"> </w:t>
      </w:r>
      <w:r w:rsidR="004C7B4E" w:rsidRPr="00FD211F">
        <w:rPr>
          <w:sz w:val="36"/>
          <w:szCs w:val="36"/>
          <w:rtl/>
        </w:rPr>
        <w:t>بالقواعد</w:t>
      </w:r>
      <w:r w:rsidR="00E8128F">
        <w:rPr>
          <w:sz w:val="36"/>
          <w:szCs w:val="36"/>
          <w:rtl/>
        </w:rPr>
        <w:t xml:space="preserve"> </w:t>
      </w:r>
      <w:r w:rsidR="004C7B4E" w:rsidRPr="00FD211F">
        <w:rPr>
          <w:sz w:val="36"/>
          <w:szCs w:val="36"/>
          <w:rtl/>
        </w:rPr>
        <w:t>التي</w:t>
      </w:r>
      <w:r w:rsidR="00E8128F">
        <w:rPr>
          <w:sz w:val="36"/>
          <w:szCs w:val="36"/>
          <w:rtl/>
        </w:rPr>
        <w:t xml:space="preserve"> </w:t>
      </w:r>
      <w:r w:rsidR="004C7B4E" w:rsidRPr="00FD211F">
        <w:rPr>
          <w:sz w:val="36"/>
          <w:szCs w:val="36"/>
          <w:rtl/>
        </w:rPr>
        <w:t>تقع</w:t>
      </w:r>
      <w:r w:rsidR="00E8128F">
        <w:rPr>
          <w:sz w:val="36"/>
          <w:szCs w:val="36"/>
          <w:rtl/>
        </w:rPr>
        <w:t xml:space="preserve"> </w:t>
      </w:r>
      <w:r w:rsidR="004C7B4E" w:rsidRPr="00FD211F">
        <w:rPr>
          <w:sz w:val="36"/>
          <w:szCs w:val="36"/>
          <w:rtl/>
        </w:rPr>
        <w:t>في</w:t>
      </w:r>
      <w:r w:rsidR="00E8128F">
        <w:rPr>
          <w:sz w:val="36"/>
          <w:szCs w:val="36"/>
          <w:rtl/>
        </w:rPr>
        <w:t xml:space="preserve"> </w:t>
      </w:r>
      <w:r w:rsidR="004C7B4E" w:rsidRPr="00FD211F">
        <w:rPr>
          <w:sz w:val="36"/>
          <w:szCs w:val="36"/>
          <w:rtl/>
        </w:rPr>
        <w:t>طريق</w:t>
      </w:r>
      <w:r w:rsidR="00E8128F">
        <w:rPr>
          <w:sz w:val="36"/>
          <w:szCs w:val="36"/>
          <w:rtl/>
        </w:rPr>
        <w:t xml:space="preserve"> </w:t>
      </w:r>
      <w:r w:rsidR="004C7B4E" w:rsidRPr="00FD211F">
        <w:rPr>
          <w:sz w:val="36"/>
          <w:szCs w:val="36"/>
          <w:rtl/>
        </w:rPr>
        <w:t>اقام</w:t>
      </w:r>
      <w:r w:rsidR="00EC7EDF" w:rsidRPr="00FD211F">
        <w:rPr>
          <w:sz w:val="36"/>
          <w:szCs w:val="36"/>
          <w:rtl/>
        </w:rPr>
        <w:t>ة</w:t>
      </w:r>
      <w:r w:rsidR="00E8128F">
        <w:rPr>
          <w:sz w:val="36"/>
          <w:szCs w:val="36"/>
          <w:rtl/>
        </w:rPr>
        <w:t xml:space="preserve"> </w:t>
      </w:r>
      <w:r w:rsidR="004C7B4E" w:rsidRPr="00FD211F">
        <w:rPr>
          <w:sz w:val="36"/>
          <w:szCs w:val="36"/>
          <w:rtl/>
        </w:rPr>
        <w:t>الحج</w:t>
      </w:r>
      <w:r w:rsidR="00EC7EDF" w:rsidRPr="00FD211F">
        <w:rPr>
          <w:sz w:val="36"/>
          <w:szCs w:val="36"/>
          <w:rtl/>
        </w:rPr>
        <w:t>ة</w:t>
      </w:r>
      <w:r w:rsidR="00E8128F">
        <w:rPr>
          <w:sz w:val="36"/>
          <w:szCs w:val="36"/>
          <w:rtl/>
        </w:rPr>
        <w:t xml:space="preserve"> </w:t>
      </w:r>
      <w:r w:rsidR="004C7B4E" w:rsidRPr="00FD211F">
        <w:rPr>
          <w:sz w:val="36"/>
          <w:szCs w:val="36"/>
          <w:rtl/>
        </w:rPr>
        <w:t>على</w:t>
      </w:r>
      <w:r w:rsidR="00E8128F">
        <w:rPr>
          <w:sz w:val="36"/>
          <w:szCs w:val="36"/>
          <w:rtl/>
        </w:rPr>
        <w:t xml:space="preserve"> </w:t>
      </w:r>
      <w:r w:rsidR="004C7B4E" w:rsidRPr="00FD211F">
        <w:rPr>
          <w:sz w:val="36"/>
          <w:szCs w:val="36"/>
          <w:rtl/>
        </w:rPr>
        <w:t>الحكم</w:t>
      </w:r>
      <w:r w:rsidR="00E8128F">
        <w:rPr>
          <w:sz w:val="36"/>
          <w:szCs w:val="36"/>
          <w:rtl/>
        </w:rPr>
        <w:t xml:space="preserve"> </w:t>
      </w:r>
      <w:r w:rsidR="004C7B4E" w:rsidRPr="00FD211F">
        <w:rPr>
          <w:sz w:val="36"/>
          <w:szCs w:val="36"/>
          <w:rtl/>
        </w:rPr>
        <w:t>الشرعي</w:t>
      </w:r>
      <w:r w:rsidR="00603323" w:rsidRPr="00FD211F">
        <w:rPr>
          <w:sz w:val="36"/>
          <w:szCs w:val="36"/>
          <w:rtl/>
        </w:rPr>
        <w:t>،</w:t>
      </w:r>
      <w:r w:rsidR="00E8128F">
        <w:rPr>
          <w:sz w:val="36"/>
          <w:szCs w:val="36"/>
          <w:rtl/>
        </w:rPr>
        <w:t xml:space="preserve"> </w:t>
      </w:r>
      <w:r w:rsidR="004C7B4E" w:rsidRPr="00FD211F">
        <w:rPr>
          <w:sz w:val="36"/>
          <w:szCs w:val="36"/>
          <w:rtl/>
        </w:rPr>
        <w:t>فمع</w:t>
      </w:r>
      <w:r w:rsidR="00E8128F">
        <w:rPr>
          <w:sz w:val="36"/>
          <w:szCs w:val="36"/>
          <w:rtl/>
        </w:rPr>
        <w:t xml:space="preserve"> </w:t>
      </w:r>
      <w:r w:rsidR="004C7B4E" w:rsidRPr="00FD211F">
        <w:rPr>
          <w:sz w:val="36"/>
          <w:szCs w:val="36"/>
          <w:rtl/>
        </w:rPr>
        <w:t>تيسر</w:t>
      </w:r>
      <w:r w:rsidR="00E8128F">
        <w:rPr>
          <w:sz w:val="36"/>
          <w:szCs w:val="36"/>
          <w:rtl/>
        </w:rPr>
        <w:t xml:space="preserve"> </w:t>
      </w:r>
      <w:r w:rsidR="004C7B4E" w:rsidRPr="00FD211F">
        <w:rPr>
          <w:sz w:val="36"/>
          <w:szCs w:val="36"/>
          <w:rtl/>
        </w:rPr>
        <w:t>ابراز</w:t>
      </w:r>
      <w:r w:rsidR="00E8128F">
        <w:rPr>
          <w:sz w:val="36"/>
          <w:szCs w:val="36"/>
          <w:rtl/>
        </w:rPr>
        <w:t xml:space="preserve"> </w:t>
      </w:r>
      <w:r w:rsidR="004C7B4E" w:rsidRPr="00FD211F">
        <w:rPr>
          <w:sz w:val="36"/>
          <w:szCs w:val="36"/>
          <w:rtl/>
        </w:rPr>
        <w:t>جامع</w:t>
      </w:r>
      <w:r w:rsidR="00E8128F">
        <w:rPr>
          <w:sz w:val="36"/>
          <w:szCs w:val="36"/>
          <w:rtl/>
        </w:rPr>
        <w:t xml:space="preserve"> </w:t>
      </w:r>
      <w:r w:rsidR="004C7B4E" w:rsidRPr="00FD211F">
        <w:rPr>
          <w:sz w:val="36"/>
          <w:szCs w:val="36"/>
          <w:rtl/>
        </w:rPr>
        <w:t>من</w:t>
      </w:r>
      <w:r w:rsidR="00E8128F">
        <w:rPr>
          <w:sz w:val="36"/>
          <w:szCs w:val="36"/>
          <w:rtl/>
        </w:rPr>
        <w:t xml:space="preserve"> </w:t>
      </w:r>
      <w:r w:rsidR="004C7B4E" w:rsidRPr="00FD211F">
        <w:rPr>
          <w:sz w:val="36"/>
          <w:szCs w:val="36"/>
          <w:rtl/>
        </w:rPr>
        <w:t>هذا</w:t>
      </w:r>
      <w:r w:rsidR="00E8128F">
        <w:rPr>
          <w:sz w:val="36"/>
          <w:szCs w:val="36"/>
          <w:rtl/>
        </w:rPr>
        <w:t xml:space="preserve"> </w:t>
      </w:r>
      <w:r w:rsidR="004C7B4E" w:rsidRPr="00FD211F">
        <w:rPr>
          <w:sz w:val="36"/>
          <w:szCs w:val="36"/>
          <w:rtl/>
        </w:rPr>
        <w:t>القبيل</w:t>
      </w:r>
      <w:r w:rsidR="00E8128F">
        <w:rPr>
          <w:sz w:val="36"/>
          <w:szCs w:val="36"/>
          <w:rtl/>
        </w:rPr>
        <w:t xml:space="preserve"> </w:t>
      </w:r>
      <w:r w:rsidR="008D7B3D" w:rsidRPr="00FD211F">
        <w:rPr>
          <w:sz w:val="36"/>
          <w:szCs w:val="36"/>
          <w:rtl/>
        </w:rPr>
        <w:t>لم‌</w:t>
      </w:r>
      <w:r w:rsidR="004C7B4E" w:rsidRPr="00FD211F">
        <w:rPr>
          <w:sz w:val="36"/>
          <w:szCs w:val="36"/>
          <w:rtl/>
        </w:rPr>
        <w:t>يكن</w:t>
      </w:r>
      <w:r w:rsidR="00E8128F">
        <w:rPr>
          <w:sz w:val="36"/>
          <w:szCs w:val="36"/>
          <w:rtl/>
        </w:rPr>
        <w:t xml:space="preserve"> </w:t>
      </w:r>
      <w:r w:rsidR="004C7B4E" w:rsidRPr="00FD211F">
        <w:rPr>
          <w:sz w:val="36"/>
          <w:szCs w:val="36"/>
          <w:rtl/>
        </w:rPr>
        <w:t>يناسب</w:t>
      </w:r>
      <w:r w:rsidR="00E8128F">
        <w:rPr>
          <w:sz w:val="36"/>
          <w:szCs w:val="36"/>
          <w:rtl/>
        </w:rPr>
        <w:t xml:space="preserve"> </w:t>
      </w:r>
      <w:r w:rsidR="004C7B4E" w:rsidRPr="00FD211F">
        <w:rPr>
          <w:sz w:val="36"/>
          <w:szCs w:val="36"/>
          <w:rtl/>
        </w:rPr>
        <w:t>استخدام</w:t>
      </w:r>
      <w:r w:rsidR="00E8128F">
        <w:rPr>
          <w:sz w:val="36"/>
          <w:szCs w:val="36"/>
          <w:rtl/>
        </w:rPr>
        <w:t xml:space="preserve"> </w:t>
      </w:r>
      <w:r w:rsidR="004C7B4E" w:rsidRPr="00FD211F">
        <w:rPr>
          <w:sz w:val="36"/>
          <w:szCs w:val="36"/>
          <w:rtl/>
        </w:rPr>
        <w:t>حرف</w:t>
      </w:r>
      <w:r w:rsidR="00E8128F">
        <w:rPr>
          <w:sz w:val="36"/>
          <w:szCs w:val="36"/>
          <w:rtl/>
        </w:rPr>
        <w:t xml:space="preserve"> </w:t>
      </w:r>
      <w:r w:rsidR="004C7B4E" w:rsidRPr="00FD211F">
        <w:rPr>
          <w:sz w:val="36"/>
          <w:szCs w:val="36"/>
          <w:rtl/>
        </w:rPr>
        <w:t>العطف</w:t>
      </w:r>
      <w:r w:rsidR="00E8128F">
        <w:rPr>
          <w:sz w:val="36"/>
          <w:szCs w:val="36"/>
          <w:rtl/>
        </w:rPr>
        <w:t xml:space="preserve"> </w:t>
      </w:r>
      <w:r w:rsidR="004C7B4E" w:rsidRPr="00FD211F">
        <w:rPr>
          <w:sz w:val="36"/>
          <w:szCs w:val="36"/>
          <w:rtl/>
        </w:rPr>
        <w:t>في</w:t>
      </w:r>
      <w:r w:rsidR="00E8128F">
        <w:rPr>
          <w:sz w:val="36"/>
          <w:szCs w:val="36"/>
          <w:rtl/>
        </w:rPr>
        <w:t xml:space="preserve"> </w:t>
      </w:r>
      <w:r w:rsidR="004C7B4E" w:rsidRPr="00FD211F">
        <w:rPr>
          <w:sz w:val="36"/>
          <w:szCs w:val="36"/>
          <w:rtl/>
        </w:rPr>
        <w:t>التعريف</w:t>
      </w:r>
      <w:r w:rsidR="00603323" w:rsidRPr="00FD211F">
        <w:rPr>
          <w:sz w:val="36"/>
          <w:szCs w:val="36"/>
          <w:rtl/>
        </w:rPr>
        <w:t>،</w:t>
      </w:r>
      <w:r w:rsidR="00E8128F">
        <w:rPr>
          <w:sz w:val="36"/>
          <w:szCs w:val="36"/>
          <w:rtl/>
        </w:rPr>
        <w:t xml:space="preserve"> </w:t>
      </w:r>
      <w:r w:rsidRPr="00FD211F">
        <w:rPr>
          <w:sz w:val="36"/>
          <w:szCs w:val="36"/>
          <w:rtl/>
        </w:rPr>
        <w:t>والا</w:t>
      </w:r>
      <w:r w:rsidR="00E8128F">
        <w:rPr>
          <w:sz w:val="36"/>
          <w:szCs w:val="36"/>
          <w:rtl/>
        </w:rPr>
        <w:t xml:space="preserve"> </w:t>
      </w:r>
      <w:r w:rsidRPr="00FD211F">
        <w:rPr>
          <w:sz w:val="36"/>
          <w:szCs w:val="36"/>
          <w:rtl/>
        </w:rPr>
        <w:t>لأمكن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بمباحث</w:t>
      </w:r>
      <w:r w:rsidR="00E8128F">
        <w:rPr>
          <w:sz w:val="36"/>
          <w:szCs w:val="36"/>
          <w:rtl/>
        </w:rPr>
        <w:t xml:space="preserve"> </w:t>
      </w:r>
      <w:r w:rsidRPr="00FD211F">
        <w:rPr>
          <w:sz w:val="36"/>
          <w:szCs w:val="36"/>
          <w:rtl/>
        </w:rPr>
        <w:t>الألفاظ</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الملازمات</w:t>
      </w:r>
      <w:r w:rsidR="00E8128F">
        <w:rPr>
          <w:sz w:val="36"/>
          <w:szCs w:val="36"/>
          <w:rtl/>
        </w:rPr>
        <w:t xml:space="preserve"> </w:t>
      </w:r>
      <w:r w:rsidRPr="00FD211F">
        <w:rPr>
          <w:sz w:val="36"/>
          <w:szCs w:val="36"/>
          <w:rtl/>
        </w:rPr>
        <w:t>العقلي</w:t>
      </w:r>
      <w:r w:rsidR="00EC7EDF" w:rsidRPr="00FD211F">
        <w:rPr>
          <w:sz w:val="36"/>
          <w:szCs w:val="36"/>
          <w:rtl/>
        </w:rPr>
        <w:t>ة</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العملي</w:t>
      </w:r>
      <w:r w:rsidR="00EC7EDF" w:rsidRPr="00FD211F">
        <w:rPr>
          <w:sz w:val="36"/>
          <w:szCs w:val="36"/>
          <w:rtl/>
        </w:rPr>
        <w:t>ة</w:t>
      </w:r>
      <w:r w:rsidR="00E8128F">
        <w:rPr>
          <w:sz w:val="36"/>
          <w:szCs w:val="36"/>
          <w:rtl/>
        </w:rPr>
        <w:t xml:space="preserve"> </w:t>
      </w:r>
      <w:r w:rsidRPr="00FD211F">
        <w:rPr>
          <w:sz w:val="36"/>
          <w:szCs w:val="36"/>
          <w:rtl/>
        </w:rPr>
        <w:t>وهكذا</w:t>
      </w:r>
      <w:r w:rsidR="00EC7EDF" w:rsidRPr="00FD211F">
        <w:rPr>
          <w:sz w:val="36"/>
          <w:szCs w:val="36"/>
          <w:rtl/>
        </w:rPr>
        <w:t>.</w:t>
      </w:r>
      <w:r w:rsidRPr="00FD211F">
        <w:rPr>
          <w:sz w:val="36"/>
          <w:szCs w:val="36"/>
          <w:rtl/>
        </w:rPr>
        <w:t>..</w:t>
      </w:r>
      <w:r w:rsidR="00603323" w:rsidRPr="00FD211F">
        <w:rPr>
          <w:sz w:val="36"/>
          <w:szCs w:val="36"/>
          <w:rtl/>
        </w:rPr>
        <w:t>،</w:t>
      </w:r>
      <w:r w:rsidR="00E8128F">
        <w:rPr>
          <w:sz w:val="36"/>
          <w:szCs w:val="36"/>
          <w:rtl/>
        </w:rPr>
        <w:t xml:space="preserve"> </w:t>
      </w:r>
      <w:r w:rsidR="004C7B4E" w:rsidRPr="00FD211F">
        <w:rPr>
          <w:sz w:val="36"/>
          <w:szCs w:val="36"/>
          <w:rtl/>
        </w:rPr>
        <w:t>نعم</w:t>
      </w:r>
      <w:r w:rsidR="00E8128F">
        <w:rPr>
          <w:sz w:val="36"/>
          <w:szCs w:val="36"/>
          <w:rtl/>
        </w:rPr>
        <w:t xml:space="preserve"> </w:t>
      </w:r>
      <w:r w:rsidR="004C7B4E" w:rsidRPr="00FD211F">
        <w:rPr>
          <w:sz w:val="36"/>
          <w:szCs w:val="36"/>
          <w:rtl/>
        </w:rPr>
        <w:t>لو</w:t>
      </w:r>
      <w:r w:rsidR="00E8128F">
        <w:rPr>
          <w:sz w:val="36"/>
          <w:szCs w:val="36"/>
          <w:rtl/>
        </w:rPr>
        <w:t xml:space="preserve"> </w:t>
      </w:r>
      <w:r w:rsidR="004C7B4E" w:rsidRPr="00FD211F">
        <w:rPr>
          <w:sz w:val="36"/>
          <w:szCs w:val="36"/>
          <w:rtl/>
        </w:rPr>
        <w:t>افترض</w:t>
      </w:r>
      <w:r w:rsidR="00E8128F">
        <w:rPr>
          <w:sz w:val="36"/>
          <w:szCs w:val="36"/>
          <w:rtl/>
        </w:rPr>
        <w:t xml:space="preserve"> </w:t>
      </w:r>
      <w:r w:rsidR="004C7B4E" w:rsidRPr="00FD211F">
        <w:rPr>
          <w:sz w:val="36"/>
          <w:szCs w:val="36"/>
          <w:rtl/>
        </w:rPr>
        <w:t>عدم</w:t>
      </w:r>
      <w:r w:rsidR="00E8128F">
        <w:rPr>
          <w:sz w:val="36"/>
          <w:szCs w:val="36"/>
          <w:rtl/>
        </w:rPr>
        <w:t xml:space="preserve"> </w:t>
      </w:r>
      <w:r w:rsidR="004C7B4E" w:rsidRPr="00FD211F">
        <w:rPr>
          <w:sz w:val="36"/>
          <w:szCs w:val="36"/>
          <w:rtl/>
        </w:rPr>
        <w:t>تيسر</w:t>
      </w:r>
      <w:r w:rsidR="00E8128F">
        <w:rPr>
          <w:sz w:val="36"/>
          <w:szCs w:val="36"/>
          <w:rtl/>
        </w:rPr>
        <w:t xml:space="preserve"> </w:t>
      </w:r>
      <w:r w:rsidR="004C7B4E" w:rsidRPr="00FD211F">
        <w:rPr>
          <w:sz w:val="36"/>
          <w:szCs w:val="36"/>
          <w:rtl/>
        </w:rPr>
        <w:t>معرف</w:t>
      </w:r>
      <w:r w:rsidR="00EC7EDF" w:rsidRPr="00FD211F">
        <w:rPr>
          <w:sz w:val="36"/>
          <w:szCs w:val="36"/>
          <w:rtl/>
        </w:rPr>
        <w:t>ة</w:t>
      </w:r>
      <w:r w:rsidR="00E8128F">
        <w:rPr>
          <w:sz w:val="36"/>
          <w:szCs w:val="36"/>
          <w:rtl/>
        </w:rPr>
        <w:t xml:space="preserve"> </w:t>
      </w:r>
      <w:r w:rsidR="004C7B4E" w:rsidRPr="00FD211F">
        <w:rPr>
          <w:sz w:val="36"/>
          <w:szCs w:val="36"/>
          <w:rtl/>
        </w:rPr>
        <w:t>ذلك</w:t>
      </w:r>
      <w:r w:rsidR="00E8128F">
        <w:rPr>
          <w:sz w:val="36"/>
          <w:szCs w:val="36"/>
          <w:rtl/>
        </w:rPr>
        <w:t xml:space="preserve"> </w:t>
      </w:r>
      <w:r w:rsidR="004C7B4E" w:rsidRPr="00FD211F">
        <w:rPr>
          <w:sz w:val="36"/>
          <w:szCs w:val="36"/>
          <w:rtl/>
        </w:rPr>
        <w:t>الجامع</w:t>
      </w:r>
      <w:r w:rsidR="00E8128F">
        <w:rPr>
          <w:sz w:val="36"/>
          <w:szCs w:val="36"/>
          <w:rtl/>
        </w:rPr>
        <w:t xml:space="preserve"> </w:t>
      </w:r>
      <w:r w:rsidR="004C7B4E" w:rsidRPr="00FD211F">
        <w:rPr>
          <w:sz w:val="36"/>
          <w:szCs w:val="36"/>
          <w:rtl/>
        </w:rPr>
        <w:t>او</w:t>
      </w:r>
      <w:r w:rsidR="00E8128F">
        <w:rPr>
          <w:sz w:val="36"/>
          <w:szCs w:val="36"/>
          <w:rtl/>
        </w:rPr>
        <w:t xml:space="preserve"> </w:t>
      </w:r>
      <w:r w:rsidR="004C7B4E" w:rsidRPr="00FD211F">
        <w:rPr>
          <w:sz w:val="36"/>
          <w:szCs w:val="36"/>
          <w:rtl/>
        </w:rPr>
        <w:t>عدم</w:t>
      </w:r>
      <w:r w:rsidR="00E8128F">
        <w:rPr>
          <w:sz w:val="36"/>
          <w:szCs w:val="36"/>
          <w:rtl/>
        </w:rPr>
        <w:t xml:space="preserve"> </w:t>
      </w:r>
      <w:r w:rsidR="004C7B4E" w:rsidRPr="00FD211F">
        <w:rPr>
          <w:sz w:val="36"/>
          <w:szCs w:val="36"/>
          <w:rtl/>
        </w:rPr>
        <w:t>وجود</w:t>
      </w:r>
      <w:r w:rsidR="00E8128F">
        <w:rPr>
          <w:sz w:val="36"/>
          <w:szCs w:val="36"/>
          <w:rtl/>
        </w:rPr>
        <w:t xml:space="preserve"> </w:t>
      </w:r>
      <w:r w:rsidR="004C7B4E" w:rsidRPr="00FD211F">
        <w:rPr>
          <w:sz w:val="36"/>
          <w:szCs w:val="36"/>
          <w:rtl/>
        </w:rPr>
        <w:t>جامع</w:t>
      </w:r>
      <w:r w:rsidR="00E8128F">
        <w:rPr>
          <w:sz w:val="36"/>
          <w:szCs w:val="36"/>
          <w:rtl/>
        </w:rPr>
        <w:t xml:space="preserve"> </w:t>
      </w:r>
      <w:r w:rsidR="004C7B4E" w:rsidRPr="00FD211F">
        <w:rPr>
          <w:sz w:val="36"/>
          <w:szCs w:val="36"/>
          <w:rtl/>
        </w:rPr>
        <w:t>حقيقي</w:t>
      </w:r>
      <w:r w:rsidR="00E8128F">
        <w:rPr>
          <w:sz w:val="36"/>
          <w:szCs w:val="36"/>
          <w:rtl/>
        </w:rPr>
        <w:t xml:space="preserve"> </w:t>
      </w:r>
      <w:r w:rsidR="004C7B4E" w:rsidRPr="00FD211F">
        <w:rPr>
          <w:sz w:val="36"/>
          <w:szCs w:val="36"/>
          <w:rtl/>
        </w:rPr>
        <w:t>بين</w:t>
      </w:r>
      <w:r w:rsidR="00E8128F">
        <w:rPr>
          <w:sz w:val="36"/>
          <w:szCs w:val="36"/>
          <w:rtl/>
        </w:rPr>
        <w:t xml:space="preserve"> </w:t>
      </w:r>
      <w:r w:rsidR="004C7B4E" w:rsidRPr="00FD211F">
        <w:rPr>
          <w:sz w:val="36"/>
          <w:szCs w:val="36"/>
          <w:rtl/>
        </w:rPr>
        <w:t>جميع</w:t>
      </w:r>
      <w:r w:rsidR="00E8128F">
        <w:rPr>
          <w:sz w:val="36"/>
          <w:szCs w:val="36"/>
          <w:rtl/>
        </w:rPr>
        <w:t xml:space="preserve"> </w:t>
      </w:r>
      <w:r w:rsidR="004C7B4E" w:rsidRPr="00FD211F">
        <w:rPr>
          <w:sz w:val="36"/>
          <w:szCs w:val="36"/>
          <w:rtl/>
        </w:rPr>
        <w:t>المسائل</w:t>
      </w:r>
      <w:r w:rsidR="00E8128F">
        <w:rPr>
          <w:sz w:val="36"/>
          <w:szCs w:val="36"/>
          <w:rtl/>
        </w:rPr>
        <w:t xml:space="preserve"> </w:t>
      </w:r>
      <w:r w:rsidR="008D7B3D" w:rsidRPr="00FD211F">
        <w:rPr>
          <w:sz w:val="36"/>
          <w:szCs w:val="36"/>
          <w:rtl/>
        </w:rPr>
        <w:t>لم‌</w:t>
      </w:r>
      <w:r w:rsidR="009B008B" w:rsidRPr="00FD211F">
        <w:rPr>
          <w:sz w:val="36"/>
          <w:szCs w:val="36"/>
          <w:rtl/>
        </w:rPr>
        <w:t>يكن</w:t>
      </w:r>
      <w:r w:rsidR="00E8128F">
        <w:rPr>
          <w:sz w:val="36"/>
          <w:szCs w:val="36"/>
          <w:rtl/>
        </w:rPr>
        <w:t xml:space="preserve"> </w:t>
      </w:r>
      <w:r w:rsidR="009B008B" w:rsidRPr="00FD211F">
        <w:rPr>
          <w:sz w:val="36"/>
          <w:szCs w:val="36"/>
          <w:rtl/>
        </w:rPr>
        <w:t>بما</w:t>
      </w:r>
      <w:r w:rsidR="00E8128F">
        <w:rPr>
          <w:sz w:val="36"/>
          <w:szCs w:val="36"/>
          <w:rtl/>
        </w:rPr>
        <w:t xml:space="preserve"> </w:t>
      </w:r>
      <w:r w:rsidR="009B008B" w:rsidRPr="00FD211F">
        <w:rPr>
          <w:sz w:val="36"/>
          <w:szCs w:val="36"/>
          <w:rtl/>
        </w:rPr>
        <w:t>صنعه</w:t>
      </w:r>
      <w:r w:rsidR="00E8128F">
        <w:rPr>
          <w:sz w:val="36"/>
          <w:szCs w:val="36"/>
          <w:rtl/>
        </w:rPr>
        <w:t xml:space="preserve"> </w:t>
      </w:r>
      <w:r w:rsidR="009B008B" w:rsidRPr="00FD211F">
        <w:rPr>
          <w:sz w:val="36"/>
          <w:szCs w:val="36"/>
          <w:rtl/>
        </w:rPr>
        <w:t>من</w:t>
      </w:r>
      <w:r w:rsidR="00E8128F">
        <w:rPr>
          <w:sz w:val="36"/>
          <w:szCs w:val="36"/>
          <w:rtl/>
        </w:rPr>
        <w:t xml:space="preserve"> </w:t>
      </w:r>
      <w:r w:rsidR="009B008B" w:rsidRPr="00FD211F">
        <w:rPr>
          <w:sz w:val="36"/>
          <w:szCs w:val="36"/>
          <w:rtl/>
        </w:rPr>
        <w:t>استخدام</w:t>
      </w:r>
      <w:r w:rsidR="00E8128F">
        <w:rPr>
          <w:sz w:val="36"/>
          <w:szCs w:val="36"/>
          <w:rtl/>
        </w:rPr>
        <w:t xml:space="preserve"> </w:t>
      </w:r>
      <w:r w:rsidR="009B008B" w:rsidRPr="00FD211F">
        <w:rPr>
          <w:sz w:val="36"/>
          <w:szCs w:val="36"/>
          <w:rtl/>
        </w:rPr>
        <w:t>حرف</w:t>
      </w:r>
      <w:r w:rsidR="00E8128F">
        <w:rPr>
          <w:sz w:val="36"/>
          <w:szCs w:val="36"/>
          <w:rtl/>
        </w:rPr>
        <w:t xml:space="preserve"> </w:t>
      </w:r>
      <w:r w:rsidR="009B008B" w:rsidRPr="00FD211F">
        <w:rPr>
          <w:sz w:val="36"/>
          <w:szCs w:val="36"/>
          <w:rtl/>
        </w:rPr>
        <w:t>العطف</w:t>
      </w:r>
      <w:r w:rsidR="00E8128F">
        <w:rPr>
          <w:sz w:val="36"/>
          <w:szCs w:val="36"/>
          <w:rtl/>
        </w:rPr>
        <w:t xml:space="preserve"> </w:t>
      </w:r>
      <w:r w:rsidR="009B008B" w:rsidRPr="00FD211F">
        <w:rPr>
          <w:sz w:val="36"/>
          <w:szCs w:val="36"/>
          <w:rtl/>
        </w:rPr>
        <w:t>بأس</w:t>
      </w:r>
      <w:r w:rsidR="00603323" w:rsidRPr="00FD211F">
        <w:rPr>
          <w:sz w:val="36"/>
          <w:szCs w:val="36"/>
          <w:rtl/>
        </w:rPr>
        <w:t>،</w:t>
      </w:r>
      <w:r w:rsidR="00E8128F">
        <w:rPr>
          <w:sz w:val="36"/>
          <w:szCs w:val="36"/>
          <w:rtl/>
        </w:rPr>
        <w:t xml:space="preserve"> </w:t>
      </w:r>
      <w:r w:rsidR="009B008B" w:rsidRPr="00FD211F">
        <w:rPr>
          <w:sz w:val="36"/>
          <w:szCs w:val="36"/>
          <w:rtl/>
        </w:rPr>
        <w:t>بعد</w:t>
      </w:r>
      <w:r w:rsidR="00E8128F">
        <w:rPr>
          <w:sz w:val="36"/>
          <w:szCs w:val="36"/>
          <w:rtl/>
        </w:rPr>
        <w:t xml:space="preserve"> </w:t>
      </w:r>
      <w:r w:rsidR="009B008B" w:rsidRPr="00FD211F">
        <w:rPr>
          <w:sz w:val="36"/>
          <w:szCs w:val="36"/>
          <w:rtl/>
        </w:rPr>
        <w:t>افتراض</w:t>
      </w:r>
      <w:r w:rsidR="00E8128F">
        <w:rPr>
          <w:sz w:val="36"/>
          <w:szCs w:val="36"/>
          <w:rtl/>
        </w:rPr>
        <w:t xml:space="preserve"> </w:t>
      </w:r>
      <w:r w:rsidR="009B008B" w:rsidRPr="00FD211F">
        <w:rPr>
          <w:sz w:val="36"/>
          <w:szCs w:val="36"/>
          <w:rtl/>
        </w:rPr>
        <w:t>وحد</w:t>
      </w:r>
      <w:r w:rsidR="00EC7EDF" w:rsidRPr="00FD211F">
        <w:rPr>
          <w:sz w:val="36"/>
          <w:szCs w:val="36"/>
          <w:rtl/>
        </w:rPr>
        <w:t>ة</w:t>
      </w:r>
      <w:r w:rsidR="00E8128F">
        <w:rPr>
          <w:sz w:val="36"/>
          <w:szCs w:val="36"/>
          <w:rtl/>
        </w:rPr>
        <w:t xml:space="preserve"> </w:t>
      </w:r>
      <w:r w:rsidR="009B008B" w:rsidRPr="00FD211F">
        <w:rPr>
          <w:sz w:val="36"/>
          <w:szCs w:val="36"/>
          <w:rtl/>
        </w:rPr>
        <w:t>الغرض</w:t>
      </w:r>
      <w:r w:rsidR="00E8128F">
        <w:rPr>
          <w:sz w:val="36"/>
          <w:szCs w:val="36"/>
          <w:rtl/>
        </w:rPr>
        <w:t xml:space="preserve"> </w:t>
      </w:r>
      <w:r w:rsidR="009B008B" w:rsidRPr="00FD211F">
        <w:rPr>
          <w:sz w:val="36"/>
          <w:szCs w:val="36"/>
          <w:rtl/>
        </w:rPr>
        <w:t>المترتب</w:t>
      </w:r>
      <w:r w:rsidR="00E8128F">
        <w:rPr>
          <w:sz w:val="36"/>
          <w:szCs w:val="36"/>
          <w:rtl/>
        </w:rPr>
        <w:t xml:space="preserve"> </w:t>
      </w:r>
      <w:r w:rsidR="009B008B" w:rsidRPr="00FD211F">
        <w:rPr>
          <w:sz w:val="36"/>
          <w:szCs w:val="36"/>
          <w:rtl/>
        </w:rPr>
        <w:t>على</w:t>
      </w:r>
      <w:r w:rsidR="00E8128F">
        <w:rPr>
          <w:sz w:val="36"/>
          <w:szCs w:val="36"/>
          <w:rtl/>
        </w:rPr>
        <w:t xml:space="preserve"> </w:t>
      </w:r>
      <w:r w:rsidR="009B008B" w:rsidRPr="00FD211F">
        <w:rPr>
          <w:sz w:val="36"/>
          <w:szCs w:val="36"/>
          <w:rtl/>
        </w:rPr>
        <w:t>جميع</w:t>
      </w:r>
      <w:r w:rsidR="00E8128F">
        <w:rPr>
          <w:sz w:val="36"/>
          <w:szCs w:val="36"/>
          <w:rtl/>
        </w:rPr>
        <w:t xml:space="preserve"> </w:t>
      </w:r>
      <w:r w:rsidR="009B008B" w:rsidRPr="00FD211F">
        <w:rPr>
          <w:sz w:val="36"/>
          <w:szCs w:val="36"/>
          <w:rtl/>
        </w:rPr>
        <w:t>المسائل</w:t>
      </w:r>
      <w:r w:rsidRPr="00FD211F">
        <w:rPr>
          <w:sz w:val="36"/>
          <w:szCs w:val="36"/>
          <w:rtl/>
        </w:rPr>
        <w:t>.</w:t>
      </w:r>
    </w:p>
    <w:p w14:paraId="19C1D448" w14:textId="77777777" w:rsidR="00D6116C" w:rsidRPr="00FD211F" w:rsidRDefault="00D6116C" w:rsidP="009C58C8">
      <w:pPr>
        <w:pStyle w:val="3"/>
        <w:ind w:firstLine="227"/>
        <w:jc w:val="both"/>
        <w:rPr>
          <w:rtl/>
        </w:rPr>
      </w:pPr>
      <w:bookmarkStart w:id="10" w:name="_Toc151944581"/>
      <w:bookmarkStart w:id="11" w:name="_Toc154131706"/>
      <w:bookmarkStart w:id="12" w:name="_Toc156401494"/>
      <w:bookmarkStart w:id="13" w:name="_Toc192092840"/>
      <w:bookmarkStart w:id="14" w:name="_Toc223890307"/>
      <w:r w:rsidRPr="00FD211F">
        <w:rPr>
          <w:rtl/>
        </w:rPr>
        <w:t>محاول</w:t>
      </w:r>
      <w:r w:rsidR="00EC7EDF" w:rsidRPr="00FD211F">
        <w:rPr>
          <w:rtl/>
        </w:rPr>
        <w:t>ة</w:t>
      </w:r>
      <w:r w:rsidR="00E8128F">
        <w:rPr>
          <w:rtl/>
        </w:rPr>
        <w:t xml:space="preserve"> </w:t>
      </w:r>
      <w:r w:rsidR="00660EA7" w:rsidRPr="00FD211F">
        <w:rPr>
          <w:rtl/>
        </w:rPr>
        <w:t>المحقق</w:t>
      </w:r>
      <w:r w:rsidR="00E8128F">
        <w:rPr>
          <w:rtl/>
        </w:rPr>
        <w:t xml:space="preserve"> </w:t>
      </w:r>
      <w:r w:rsidR="00660EA7" w:rsidRPr="00FD211F">
        <w:rPr>
          <w:rtl/>
        </w:rPr>
        <w:t>النائيني</w:t>
      </w:r>
      <w:r w:rsidR="00E8128F">
        <w:rPr>
          <w:rtl/>
        </w:rPr>
        <w:t xml:space="preserve"> </w:t>
      </w:r>
      <w:r w:rsidR="00AB1B12" w:rsidRPr="00FD211F">
        <w:rPr>
          <w:rtl/>
        </w:rPr>
        <w:t>"</w:t>
      </w:r>
      <w:r w:rsidR="00660EA7" w:rsidRPr="00FD211F">
        <w:rPr>
          <w:rtl/>
        </w:rPr>
        <w:t>قده</w:t>
      </w:r>
      <w:r w:rsidR="00AB1B12" w:rsidRPr="00FD211F">
        <w:rPr>
          <w:rtl/>
        </w:rPr>
        <w:t>"</w:t>
      </w:r>
      <w:r w:rsidR="00E8128F">
        <w:rPr>
          <w:rtl/>
        </w:rPr>
        <w:t xml:space="preserve"> </w:t>
      </w:r>
      <w:r w:rsidR="00660EA7" w:rsidRPr="00FD211F">
        <w:rPr>
          <w:rtl/>
        </w:rPr>
        <w:t>لدفع</w:t>
      </w:r>
      <w:r w:rsidR="00E8128F">
        <w:rPr>
          <w:rtl/>
        </w:rPr>
        <w:t xml:space="preserve"> </w:t>
      </w:r>
      <w:r w:rsidR="00660EA7" w:rsidRPr="00FD211F">
        <w:rPr>
          <w:rtl/>
        </w:rPr>
        <w:t>الايراد</w:t>
      </w:r>
      <w:r w:rsidR="00E8128F">
        <w:rPr>
          <w:rtl/>
        </w:rPr>
        <w:t xml:space="preserve"> </w:t>
      </w:r>
      <w:r w:rsidRPr="00FD211F">
        <w:rPr>
          <w:rtl/>
        </w:rPr>
        <w:t>الاول</w:t>
      </w:r>
      <w:bookmarkEnd w:id="10"/>
      <w:r w:rsidR="00E8128F">
        <w:rPr>
          <w:rtl/>
        </w:rPr>
        <w:t xml:space="preserve"> </w:t>
      </w:r>
      <w:r w:rsidR="00932411" w:rsidRPr="00FD211F">
        <w:rPr>
          <w:rtl/>
        </w:rPr>
        <w:t>على</w:t>
      </w:r>
      <w:r w:rsidR="00E8128F">
        <w:rPr>
          <w:rtl/>
        </w:rPr>
        <w:t xml:space="preserve"> </w:t>
      </w:r>
      <w:r w:rsidR="00932411" w:rsidRPr="00FD211F">
        <w:rPr>
          <w:rtl/>
        </w:rPr>
        <w:t>تعريف</w:t>
      </w:r>
      <w:r w:rsidR="00E8128F">
        <w:rPr>
          <w:rtl/>
        </w:rPr>
        <w:t xml:space="preserve"> </w:t>
      </w:r>
      <w:r w:rsidR="00932411" w:rsidRPr="00FD211F">
        <w:rPr>
          <w:rtl/>
        </w:rPr>
        <w:t>المشهور</w:t>
      </w:r>
      <w:bookmarkEnd w:id="11"/>
      <w:bookmarkEnd w:id="12"/>
      <w:bookmarkEnd w:id="13"/>
      <w:bookmarkEnd w:id="14"/>
      <w:r w:rsidR="00E8128F">
        <w:rPr>
          <w:rtl/>
        </w:rPr>
        <w:t xml:space="preserve"> </w:t>
      </w:r>
    </w:p>
    <w:p w14:paraId="3BF99D82" w14:textId="77777777" w:rsidR="00D6116C" w:rsidRPr="00FD211F" w:rsidRDefault="00BE701E" w:rsidP="009C58C8">
      <w:pPr>
        <w:ind w:left="0" w:firstLine="227"/>
        <w:jc w:val="both"/>
        <w:rPr>
          <w:sz w:val="36"/>
          <w:szCs w:val="36"/>
          <w:rtl/>
        </w:rPr>
      </w:pPr>
      <w:r w:rsidRPr="00FD211F">
        <w:rPr>
          <w:sz w:val="36"/>
          <w:szCs w:val="36"/>
          <w:rtl/>
        </w:rPr>
        <w:t>ذكر</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النائيني</w:t>
      </w:r>
      <w:r w:rsidR="00E8128F">
        <w:rPr>
          <w:sz w:val="36"/>
          <w:szCs w:val="36"/>
          <w:rtl/>
        </w:rPr>
        <w:t xml:space="preserve"> </w:t>
      </w:r>
      <w:r w:rsidR="00AB1B12" w:rsidRPr="00FD211F">
        <w:rPr>
          <w:sz w:val="36"/>
          <w:szCs w:val="36"/>
          <w:rtl/>
        </w:rPr>
        <w:t>"</w:t>
      </w:r>
      <w:r w:rsidRPr="00FD211F">
        <w:rPr>
          <w:sz w:val="36"/>
          <w:szCs w:val="36"/>
          <w:rtl/>
        </w:rPr>
        <w:t>قده</w:t>
      </w:r>
      <w:r w:rsidR="00AB1B12" w:rsidRPr="00FD211F">
        <w:rPr>
          <w:sz w:val="36"/>
          <w:szCs w:val="36"/>
          <w:rtl/>
        </w:rPr>
        <w:t>"</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اريد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تعريف</w:t>
      </w:r>
      <w:r w:rsidR="00E8128F">
        <w:rPr>
          <w:sz w:val="36"/>
          <w:szCs w:val="36"/>
          <w:rtl/>
        </w:rPr>
        <w:t xml:space="preserve"> </w:t>
      </w:r>
      <w:r w:rsidRPr="00FD211F">
        <w:rPr>
          <w:sz w:val="36"/>
          <w:szCs w:val="36"/>
          <w:rtl/>
        </w:rPr>
        <w:lastRenderedPageBreak/>
        <w:t>المشهور</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يعم</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الظاهري</w:t>
      </w:r>
      <w:r w:rsidR="00E8128F">
        <w:rPr>
          <w:sz w:val="36"/>
          <w:szCs w:val="36"/>
          <w:rtl/>
        </w:rPr>
        <w:t xml:space="preserve"> </w:t>
      </w:r>
      <w:r w:rsidR="009F14EE" w:rsidRPr="00FD211F">
        <w:rPr>
          <w:sz w:val="36"/>
          <w:szCs w:val="36"/>
          <w:rtl/>
        </w:rPr>
        <w:t>كما</w:t>
      </w:r>
      <w:r w:rsidR="00E8128F">
        <w:rPr>
          <w:sz w:val="36"/>
          <w:szCs w:val="36"/>
          <w:rtl/>
        </w:rPr>
        <w:t xml:space="preserve"> </w:t>
      </w:r>
      <w:r w:rsidR="009F14EE" w:rsidRPr="00FD211F">
        <w:rPr>
          <w:sz w:val="36"/>
          <w:szCs w:val="36"/>
          <w:rtl/>
        </w:rPr>
        <w:t>يقتضيه</w:t>
      </w:r>
      <w:r w:rsidR="00E8128F">
        <w:rPr>
          <w:sz w:val="36"/>
          <w:szCs w:val="36"/>
          <w:rtl/>
        </w:rPr>
        <w:t xml:space="preserve"> </w:t>
      </w:r>
      <w:r w:rsidR="009F14EE" w:rsidRPr="00FD211F">
        <w:rPr>
          <w:sz w:val="36"/>
          <w:szCs w:val="36"/>
          <w:rtl/>
        </w:rPr>
        <w:t>اطلاق</w:t>
      </w:r>
      <w:r w:rsidR="00E8128F">
        <w:rPr>
          <w:sz w:val="36"/>
          <w:szCs w:val="36"/>
          <w:rtl/>
        </w:rPr>
        <w:t xml:space="preserve"> </w:t>
      </w:r>
      <w:r w:rsidR="009F14EE" w:rsidRPr="00FD211F">
        <w:rPr>
          <w:sz w:val="36"/>
          <w:szCs w:val="36"/>
          <w:rtl/>
        </w:rPr>
        <w:t>التعبير</w:t>
      </w:r>
      <w:r w:rsidR="00E8128F">
        <w:rPr>
          <w:sz w:val="36"/>
          <w:szCs w:val="36"/>
          <w:rtl/>
        </w:rPr>
        <w:t xml:space="preserve"> </w:t>
      </w:r>
      <w:r w:rsidR="009F14EE" w:rsidRPr="00FD211F">
        <w:rPr>
          <w:sz w:val="36"/>
          <w:szCs w:val="36"/>
          <w:rtl/>
        </w:rPr>
        <w:t>بالحكم</w:t>
      </w:r>
      <w:r w:rsidR="00E8128F">
        <w:rPr>
          <w:sz w:val="36"/>
          <w:szCs w:val="36"/>
          <w:rtl/>
        </w:rPr>
        <w:t xml:space="preserve"> </w:t>
      </w:r>
      <w:r w:rsidR="009F14EE" w:rsidRPr="00FD211F">
        <w:rPr>
          <w:sz w:val="36"/>
          <w:szCs w:val="36"/>
          <w:rtl/>
        </w:rPr>
        <w:t>الشرعي</w:t>
      </w:r>
      <w:r w:rsidR="00E8128F">
        <w:rPr>
          <w:sz w:val="36"/>
          <w:szCs w:val="36"/>
          <w:rtl/>
        </w:rPr>
        <w:t xml:space="preserve"> </w:t>
      </w:r>
      <w:r w:rsidR="00D6116C" w:rsidRPr="00FD211F">
        <w:rPr>
          <w:sz w:val="36"/>
          <w:szCs w:val="36"/>
          <w:rtl/>
        </w:rPr>
        <w:t>شمل</w:t>
      </w:r>
      <w:r w:rsidR="00E8128F">
        <w:rPr>
          <w:sz w:val="36"/>
          <w:szCs w:val="36"/>
          <w:rtl/>
        </w:rPr>
        <w:t xml:space="preserve"> </w:t>
      </w:r>
      <w:r w:rsidR="00D6116C" w:rsidRPr="00FD211F">
        <w:rPr>
          <w:sz w:val="36"/>
          <w:szCs w:val="36"/>
          <w:rtl/>
        </w:rPr>
        <w:t>هذا</w:t>
      </w:r>
      <w:r w:rsidR="00E8128F">
        <w:rPr>
          <w:sz w:val="36"/>
          <w:szCs w:val="36"/>
          <w:rtl/>
        </w:rPr>
        <w:t xml:space="preserve"> </w:t>
      </w:r>
      <w:r w:rsidR="00D6116C" w:rsidRPr="00FD211F">
        <w:rPr>
          <w:sz w:val="36"/>
          <w:szCs w:val="36"/>
          <w:rtl/>
        </w:rPr>
        <w:t>التعريف</w:t>
      </w:r>
      <w:r w:rsidR="00E8128F">
        <w:rPr>
          <w:sz w:val="36"/>
          <w:szCs w:val="36"/>
          <w:rtl/>
        </w:rPr>
        <w:t xml:space="preserve"> </w:t>
      </w:r>
      <w:r w:rsidR="00D6116C" w:rsidRPr="00FD211F">
        <w:rPr>
          <w:sz w:val="36"/>
          <w:szCs w:val="36"/>
          <w:rtl/>
        </w:rPr>
        <w:t>مباحث</w:t>
      </w:r>
      <w:r w:rsidR="00E8128F">
        <w:rPr>
          <w:sz w:val="36"/>
          <w:szCs w:val="36"/>
          <w:rtl/>
        </w:rPr>
        <w:t xml:space="preserve"> </w:t>
      </w:r>
      <w:r w:rsidR="00D6116C" w:rsidRPr="00FD211F">
        <w:rPr>
          <w:sz w:val="36"/>
          <w:szCs w:val="36"/>
          <w:rtl/>
        </w:rPr>
        <w:t>الاصول</w:t>
      </w:r>
      <w:r w:rsidR="00E8128F">
        <w:rPr>
          <w:sz w:val="36"/>
          <w:szCs w:val="36"/>
          <w:rtl/>
        </w:rPr>
        <w:t xml:space="preserve"> </w:t>
      </w:r>
      <w:r w:rsidR="00D6116C" w:rsidRPr="00FD211F">
        <w:rPr>
          <w:sz w:val="36"/>
          <w:szCs w:val="36"/>
          <w:rtl/>
        </w:rPr>
        <w:t>العملي</w:t>
      </w:r>
      <w:r w:rsidR="00EC7EDF" w:rsidRPr="00FD211F">
        <w:rPr>
          <w:sz w:val="36"/>
          <w:szCs w:val="36"/>
          <w:rtl/>
        </w:rPr>
        <w:t>ة</w:t>
      </w:r>
      <w:r w:rsidR="00603323" w:rsidRPr="00FD211F">
        <w:rPr>
          <w:sz w:val="36"/>
          <w:szCs w:val="36"/>
          <w:rtl/>
        </w:rPr>
        <w:t>،</w:t>
      </w:r>
      <w:r w:rsidR="00E8128F">
        <w:rPr>
          <w:sz w:val="36"/>
          <w:szCs w:val="36"/>
          <w:rtl/>
        </w:rPr>
        <w:t xml:space="preserve"> </w:t>
      </w:r>
      <w:r w:rsidR="00D6116C" w:rsidRPr="00FD211F">
        <w:rPr>
          <w:sz w:val="36"/>
          <w:szCs w:val="36"/>
          <w:rtl/>
        </w:rPr>
        <w:t>لأنها</w:t>
      </w:r>
      <w:r w:rsidR="00E8128F">
        <w:rPr>
          <w:sz w:val="36"/>
          <w:szCs w:val="36"/>
          <w:rtl/>
        </w:rPr>
        <w:t xml:space="preserve"> </w:t>
      </w:r>
      <w:r w:rsidR="00D6116C" w:rsidRPr="00FD211F">
        <w:rPr>
          <w:sz w:val="36"/>
          <w:szCs w:val="36"/>
          <w:rtl/>
        </w:rPr>
        <w:t>قواعد</w:t>
      </w:r>
      <w:r w:rsidR="00E8128F">
        <w:rPr>
          <w:sz w:val="36"/>
          <w:szCs w:val="36"/>
          <w:rtl/>
        </w:rPr>
        <w:t xml:space="preserve"> </w:t>
      </w:r>
      <w:r w:rsidR="00D6116C" w:rsidRPr="00FD211F">
        <w:rPr>
          <w:sz w:val="36"/>
          <w:szCs w:val="36"/>
          <w:rtl/>
        </w:rPr>
        <w:t>ممهد</w:t>
      </w:r>
      <w:r w:rsidR="00EC7EDF" w:rsidRPr="00FD211F">
        <w:rPr>
          <w:sz w:val="36"/>
          <w:szCs w:val="36"/>
          <w:rtl/>
        </w:rPr>
        <w:t>ة</w:t>
      </w:r>
      <w:r w:rsidR="00E8128F">
        <w:rPr>
          <w:sz w:val="36"/>
          <w:szCs w:val="36"/>
          <w:rtl/>
        </w:rPr>
        <w:t xml:space="preserve"> </w:t>
      </w:r>
      <w:r w:rsidR="00D6116C" w:rsidRPr="00FD211F">
        <w:rPr>
          <w:sz w:val="36"/>
          <w:szCs w:val="36"/>
          <w:rtl/>
        </w:rPr>
        <w:t>لاستنباط</w:t>
      </w:r>
      <w:r w:rsidR="00E8128F">
        <w:rPr>
          <w:sz w:val="36"/>
          <w:szCs w:val="36"/>
          <w:rtl/>
        </w:rPr>
        <w:t xml:space="preserve"> </w:t>
      </w:r>
      <w:r w:rsidR="00D6116C" w:rsidRPr="00FD211F">
        <w:rPr>
          <w:sz w:val="36"/>
          <w:szCs w:val="36"/>
          <w:rtl/>
        </w:rPr>
        <w:t>الحكم</w:t>
      </w:r>
      <w:r w:rsidR="00E8128F">
        <w:rPr>
          <w:sz w:val="36"/>
          <w:szCs w:val="36"/>
          <w:rtl/>
        </w:rPr>
        <w:t xml:space="preserve"> </w:t>
      </w:r>
      <w:r w:rsidR="00D6116C" w:rsidRPr="00FD211F">
        <w:rPr>
          <w:sz w:val="36"/>
          <w:szCs w:val="36"/>
          <w:rtl/>
        </w:rPr>
        <w:t>الشرعي</w:t>
      </w:r>
      <w:r w:rsidR="00E8128F">
        <w:rPr>
          <w:sz w:val="36"/>
          <w:szCs w:val="36"/>
          <w:rtl/>
        </w:rPr>
        <w:t xml:space="preserve"> </w:t>
      </w:r>
      <w:r w:rsidR="00D6116C" w:rsidRPr="00FD211F">
        <w:rPr>
          <w:sz w:val="36"/>
          <w:szCs w:val="36"/>
          <w:rtl/>
        </w:rPr>
        <w:t>الظاهري</w:t>
      </w:r>
      <w:r w:rsidR="00E8128F">
        <w:rPr>
          <w:sz w:val="36"/>
          <w:szCs w:val="36"/>
          <w:rtl/>
        </w:rPr>
        <w:t xml:space="preserve"> </w:t>
      </w:r>
      <w:r w:rsidR="00731778" w:rsidRPr="00FD211F">
        <w:rPr>
          <w:sz w:val="36"/>
          <w:szCs w:val="36"/>
          <w:rtl/>
        </w:rPr>
        <w:t>ولكنه</w:t>
      </w:r>
      <w:r w:rsidR="00E8128F">
        <w:rPr>
          <w:sz w:val="36"/>
          <w:szCs w:val="36"/>
          <w:rtl/>
        </w:rPr>
        <w:t xml:space="preserve"> </w:t>
      </w:r>
      <w:r w:rsidR="00731778" w:rsidRPr="00FD211F">
        <w:rPr>
          <w:sz w:val="36"/>
          <w:szCs w:val="36"/>
          <w:rtl/>
        </w:rPr>
        <w:t>لايكفي</w:t>
      </w:r>
      <w:r w:rsidR="00E8128F">
        <w:rPr>
          <w:sz w:val="36"/>
          <w:szCs w:val="36"/>
          <w:rtl/>
        </w:rPr>
        <w:t xml:space="preserve"> </w:t>
      </w:r>
      <w:r w:rsidR="00731778" w:rsidRPr="00FD211F">
        <w:rPr>
          <w:sz w:val="36"/>
          <w:szCs w:val="36"/>
          <w:rtl/>
        </w:rPr>
        <w:t>لادراج</w:t>
      </w:r>
      <w:r w:rsidR="00E8128F">
        <w:rPr>
          <w:sz w:val="36"/>
          <w:szCs w:val="36"/>
          <w:rtl/>
        </w:rPr>
        <w:t xml:space="preserve"> </w:t>
      </w:r>
      <w:r w:rsidR="00731778" w:rsidRPr="00FD211F">
        <w:rPr>
          <w:sz w:val="36"/>
          <w:szCs w:val="36"/>
          <w:rtl/>
        </w:rPr>
        <w:t>الاصول</w:t>
      </w:r>
      <w:r w:rsidR="00E8128F">
        <w:rPr>
          <w:sz w:val="36"/>
          <w:szCs w:val="36"/>
          <w:rtl/>
        </w:rPr>
        <w:t xml:space="preserve"> </w:t>
      </w:r>
      <w:r w:rsidR="00731778" w:rsidRPr="00FD211F">
        <w:rPr>
          <w:sz w:val="36"/>
          <w:szCs w:val="36"/>
          <w:rtl/>
        </w:rPr>
        <w:t>العملي</w:t>
      </w:r>
      <w:r w:rsidR="00EC7EDF" w:rsidRPr="00FD211F">
        <w:rPr>
          <w:sz w:val="36"/>
          <w:szCs w:val="36"/>
          <w:rtl/>
        </w:rPr>
        <w:t>ة</w:t>
      </w:r>
      <w:r w:rsidR="00E8128F">
        <w:rPr>
          <w:sz w:val="36"/>
          <w:szCs w:val="36"/>
          <w:rtl/>
        </w:rPr>
        <w:t xml:space="preserve"> </w:t>
      </w:r>
      <w:r w:rsidR="00731778" w:rsidRPr="00FD211F">
        <w:rPr>
          <w:sz w:val="36"/>
          <w:szCs w:val="36"/>
          <w:rtl/>
        </w:rPr>
        <w:t>العقلي</w:t>
      </w:r>
      <w:r w:rsidR="00EC7EDF" w:rsidRPr="00FD211F">
        <w:rPr>
          <w:sz w:val="36"/>
          <w:szCs w:val="36"/>
          <w:rtl/>
        </w:rPr>
        <w:t>ة</w:t>
      </w:r>
      <w:r w:rsidR="00E8128F">
        <w:rPr>
          <w:sz w:val="36"/>
          <w:szCs w:val="36"/>
          <w:rtl/>
        </w:rPr>
        <w:t xml:space="preserve"> </w:t>
      </w:r>
      <w:r w:rsidR="00731778" w:rsidRPr="00FD211F">
        <w:rPr>
          <w:sz w:val="36"/>
          <w:szCs w:val="36"/>
          <w:rtl/>
        </w:rPr>
        <w:t>وكذا</w:t>
      </w:r>
      <w:r w:rsidR="00E8128F">
        <w:rPr>
          <w:sz w:val="36"/>
          <w:szCs w:val="36"/>
          <w:rtl/>
        </w:rPr>
        <w:t xml:space="preserve"> </w:t>
      </w:r>
      <w:r w:rsidR="00731778" w:rsidRPr="00FD211F">
        <w:rPr>
          <w:sz w:val="36"/>
          <w:szCs w:val="36"/>
          <w:rtl/>
        </w:rPr>
        <w:t>حجي</w:t>
      </w:r>
      <w:r w:rsidR="00EC7EDF" w:rsidRPr="00FD211F">
        <w:rPr>
          <w:sz w:val="36"/>
          <w:szCs w:val="36"/>
          <w:rtl/>
        </w:rPr>
        <w:t>ة</w:t>
      </w:r>
      <w:r w:rsidR="00E8128F">
        <w:rPr>
          <w:sz w:val="36"/>
          <w:szCs w:val="36"/>
          <w:rtl/>
        </w:rPr>
        <w:t xml:space="preserve"> </w:t>
      </w:r>
      <w:r w:rsidR="00731778" w:rsidRPr="00FD211F">
        <w:rPr>
          <w:sz w:val="36"/>
          <w:szCs w:val="36"/>
          <w:rtl/>
        </w:rPr>
        <w:t>الظن</w:t>
      </w:r>
      <w:r w:rsidR="00E8128F">
        <w:rPr>
          <w:sz w:val="36"/>
          <w:szCs w:val="36"/>
          <w:rtl/>
        </w:rPr>
        <w:t xml:space="preserve"> </w:t>
      </w:r>
      <w:r w:rsidR="00731778" w:rsidRPr="00FD211F">
        <w:rPr>
          <w:sz w:val="36"/>
          <w:szCs w:val="36"/>
          <w:rtl/>
        </w:rPr>
        <w:t>المطلق</w:t>
      </w:r>
      <w:r w:rsidR="00E8128F">
        <w:rPr>
          <w:sz w:val="36"/>
          <w:szCs w:val="36"/>
          <w:rtl/>
        </w:rPr>
        <w:t xml:space="preserve"> </w:t>
      </w:r>
      <w:r w:rsidR="00731778" w:rsidRPr="00FD211F">
        <w:rPr>
          <w:sz w:val="36"/>
          <w:szCs w:val="36"/>
          <w:rtl/>
        </w:rPr>
        <w:t>على</w:t>
      </w:r>
      <w:r w:rsidR="00E8128F">
        <w:rPr>
          <w:sz w:val="36"/>
          <w:szCs w:val="36"/>
          <w:rtl/>
        </w:rPr>
        <w:t xml:space="preserve"> </w:t>
      </w:r>
      <w:r w:rsidR="00731778" w:rsidRPr="00FD211F">
        <w:rPr>
          <w:sz w:val="36"/>
          <w:szCs w:val="36"/>
          <w:rtl/>
        </w:rPr>
        <w:t>مسلك</w:t>
      </w:r>
      <w:r w:rsidR="00E8128F">
        <w:rPr>
          <w:sz w:val="36"/>
          <w:szCs w:val="36"/>
          <w:rtl/>
        </w:rPr>
        <w:t xml:space="preserve"> </w:t>
      </w:r>
      <w:r w:rsidR="00731778" w:rsidRPr="00FD211F">
        <w:rPr>
          <w:sz w:val="36"/>
          <w:szCs w:val="36"/>
          <w:rtl/>
        </w:rPr>
        <w:t>الحكوم</w:t>
      </w:r>
      <w:r w:rsidR="00EC7EDF" w:rsidRPr="00FD211F">
        <w:rPr>
          <w:sz w:val="36"/>
          <w:szCs w:val="36"/>
          <w:rtl/>
        </w:rPr>
        <w:t>ة</w:t>
      </w:r>
      <w:r w:rsidR="00603323" w:rsidRPr="00FD211F">
        <w:rPr>
          <w:sz w:val="36"/>
          <w:szCs w:val="36"/>
          <w:rtl/>
        </w:rPr>
        <w:t>،</w:t>
      </w:r>
      <w:r w:rsidR="00E8128F">
        <w:rPr>
          <w:sz w:val="36"/>
          <w:szCs w:val="36"/>
          <w:rtl/>
        </w:rPr>
        <w:t xml:space="preserve"> </w:t>
      </w:r>
      <w:r w:rsidR="00731778" w:rsidRPr="00FD211F">
        <w:rPr>
          <w:sz w:val="36"/>
          <w:szCs w:val="36"/>
          <w:rtl/>
        </w:rPr>
        <w:t>حيث</w:t>
      </w:r>
      <w:r w:rsidR="00E8128F">
        <w:rPr>
          <w:sz w:val="36"/>
          <w:szCs w:val="36"/>
          <w:rtl/>
        </w:rPr>
        <w:t xml:space="preserve"> </w:t>
      </w:r>
      <w:r w:rsidR="00731778" w:rsidRPr="00FD211F">
        <w:rPr>
          <w:sz w:val="36"/>
          <w:szCs w:val="36"/>
          <w:rtl/>
        </w:rPr>
        <w:t>أن</w:t>
      </w:r>
      <w:r w:rsidR="00E8128F">
        <w:rPr>
          <w:sz w:val="36"/>
          <w:szCs w:val="36"/>
          <w:rtl/>
        </w:rPr>
        <w:t xml:space="preserve"> </w:t>
      </w:r>
      <w:r w:rsidR="00731778" w:rsidRPr="00FD211F">
        <w:rPr>
          <w:sz w:val="36"/>
          <w:szCs w:val="36"/>
          <w:rtl/>
        </w:rPr>
        <w:t>المذكور</w:t>
      </w:r>
      <w:r w:rsidR="00E8128F">
        <w:rPr>
          <w:sz w:val="36"/>
          <w:szCs w:val="36"/>
          <w:rtl/>
        </w:rPr>
        <w:t xml:space="preserve"> </w:t>
      </w:r>
      <w:r w:rsidR="00731778" w:rsidRPr="00FD211F">
        <w:rPr>
          <w:sz w:val="36"/>
          <w:szCs w:val="36"/>
          <w:rtl/>
        </w:rPr>
        <w:t>في</w:t>
      </w:r>
      <w:r w:rsidR="00E8128F">
        <w:rPr>
          <w:sz w:val="36"/>
          <w:szCs w:val="36"/>
          <w:rtl/>
        </w:rPr>
        <w:t xml:space="preserve"> </w:t>
      </w:r>
      <w:r w:rsidR="00731778" w:rsidRPr="00FD211F">
        <w:rPr>
          <w:sz w:val="36"/>
          <w:szCs w:val="36"/>
          <w:rtl/>
        </w:rPr>
        <w:t>تعريفهم</w:t>
      </w:r>
      <w:r w:rsidR="00E8128F">
        <w:rPr>
          <w:sz w:val="36"/>
          <w:szCs w:val="36"/>
          <w:rtl/>
        </w:rPr>
        <w:t xml:space="preserve"> </w:t>
      </w:r>
      <w:r w:rsidR="00731778" w:rsidRPr="00FD211F">
        <w:rPr>
          <w:sz w:val="36"/>
          <w:szCs w:val="36"/>
          <w:rtl/>
        </w:rPr>
        <w:t>الحكم</w:t>
      </w:r>
      <w:r w:rsidR="00E8128F">
        <w:rPr>
          <w:sz w:val="36"/>
          <w:szCs w:val="36"/>
          <w:rtl/>
        </w:rPr>
        <w:t xml:space="preserve"> </w:t>
      </w:r>
      <w:r w:rsidR="00731778" w:rsidRPr="00FD211F">
        <w:rPr>
          <w:sz w:val="36"/>
          <w:szCs w:val="36"/>
          <w:rtl/>
        </w:rPr>
        <w:t>الشرعي</w:t>
      </w:r>
      <w:r w:rsidR="009C58C8" w:rsidRPr="00FD211F">
        <w:rPr>
          <w:rStyle w:val="a6"/>
          <w:sz w:val="36"/>
          <w:szCs w:val="36"/>
          <w:rtl/>
        </w:rPr>
        <w:t>(</w:t>
      </w:r>
      <w:r w:rsidR="009C58C8" w:rsidRPr="00FD211F">
        <w:rPr>
          <w:rStyle w:val="a6"/>
          <w:sz w:val="36"/>
          <w:szCs w:val="36"/>
          <w:rtl/>
        </w:rPr>
        <w:footnoteReference w:id="13"/>
      </w:r>
      <w:r w:rsidR="009C58C8" w:rsidRPr="00FD211F">
        <w:rPr>
          <w:rStyle w:val="a6"/>
          <w:sz w:val="36"/>
          <w:szCs w:val="36"/>
          <w:rtl/>
        </w:rPr>
        <w:t>)</w:t>
      </w:r>
      <w:r w:rsidR="00D6116C" w:rsidRPr="00FD211F">
        <w:rPr>
          <w:sz w:val="36"/>
          <w:szCs w:val="36"/>
          <w:rtl/>
        </w:rPr>
        <w:t>.</w:t>
      </w:r>
    </w:p>
    <w:p w14:paraId="721C4569" w14:textId="77777777" w:rsidR="00BE701E" w:rsidRPr="00FD211F" w:rsidRDefault="00731778" w:rsidP="009C58C8">
      <w:pPr>
        <w:ind w:left="0" w:firstLine="227"/>
        <w:jc w:val="both"/>
        <w:rPr>
          <w:sz w:val="36"/>
          <w:szCs w:val="36"/>
          <w:rtl/>
        </w:rPr>
      </w:pPr>
      <w:r w:rsidRPr="00FD211F">
        <w:rPr>
          <w:sz w:val="36"/>
          <w:szCs w:val="36"/>
          <w:rtl/>
        </w:rPr>
        <w:t>وفيه</w:t>
      </w:r>
      <w:r w:rsidR="00E8128F">
        <w:rPr>
          <w:sz w:val="36"/>
          <w:szCs w:val="36"/>
          <w:rtl/>
        </w:rPr>
        <w:t xml:space="preserve"> </w:t>
      </w:r>
      <w:r w:rsidR="00BE701E" w:rsidRPr="00FD211F">
        <w:rPr>
          <w:sz w:val="36"/>
          <w:szCs w:val="36"/>
          <w:rtl/>
        </w:rPr>
        <w:t>ان</w:t>
      </w:r>
      <w:r w:rsidR="00E8128F">
        <w:rPr>
          <w:sz w:val="36"/>
          <w:szCs w:val="36"/>
          <w:rtl/>
        </w:rPr>
        <w:t xml:space="preserve"> </w:t>
      </w:r>
      <w:r w:rsidR="00BE701E" w:rsidRPr="00FD211F">
        <w:rPr>
          <w:sz w:val="36"/>
          <w:szCs w:val="36"/>
          <w:rtl/>
        </w:rPr>
        <w:t>الاصول</w:t>
      </w:r>
      <w:r w:rsidR="00E8128F">
        <w:rPr>
          <w:sz w:val="36"/>
          <w:szCs w:val="36"/>
          <w:rtl/>
        </w:rPr>
        <w:t xml:space="preserve"> </w:t>
      </w:r>
      <w:r w:rsidR="00BE701E" w:rsidRPr="00FD211F">
        <w:rPr>
          <w:sz w:val="36"/>
          <w:szCs w:val="36"/>
          <w:rtl/>
        </w:rPr>
        <w:t>العملي</w:t>
      </w:r>
      <w:r w:rsidR="00EC7EDF" w:rsidRPr="00FD211F">
        <w:rPr>
          <w:sz w:val="36"/>
          <w:szCs w:val="36"/>
          <w:rtl/>
        </w:rPr>
        <w:t>ة</w:t>
      </w:r>
      <w:r w:rsidR="00E8128F">
        <w:rPr>
          <w:sz w:val="36"/>
          <w:szCs w:val="36"/>
          <w:rtl/>
        </w:rPr>
        <w:t xml:space="preserve"> </w:t>
      </w:r>
      <w:r w:rsidR="00BE701E" w:rsidRPr="00FD211F">
        <w:rPr>
          <w:sz w:val="36"/>
          <w:szCs w:val="36"/>
          <w:rtl/>
        </w:rPr>
        <w:t>الشرعي</w:t>
      </w:r>
      <w:r w:rsidR="00EC7EDF" w:rsidRPr="00FD211F">
        <w:rPr>
          <w:sz w:val="36"/>
          <w:szCs w:val="36"/>
          <w:rtl/>
        </w:rPr>
        <w:t>ة</w:t>
      </w:r>
      <w:r w:rsidR="00E8128F">
        <w:rPr>
          <w:sz w:val="36"/>
          <w:szCs w:val="36"/>
          <w:rtl/>
        </w:rPr>
        <w:t xml:space="preserve"> </w:t>
      </w:r>
      <w:r w:rsidR="00BE701E" w:rsidRPr="00FD211F">
        <w:rPr>
          <w:sz w:val="36"/>
          <w:szCs w:val="36"/>
          <w:rtl/>
        </w:rPr>
        <w:t>تطبق</w:t>
      </w:r>
      <w:r w:rsidR="00E8128F">
        <w:rPr>
          <w:sz w:val="36"/>
          <w:szCs w:val="36"/>
          <w:rtl/>
        </w:rPr>
        <w:t xml:space="preserve"> </w:t>
      </w:r>
      <w:r w:rsidR="00BE701E" w:rsidRPr="00FD211F">
        <w:rPr>
          <w:sz w:val="36"/>
          <w:szCs w:val="36"/>
          <w:rtl/>
        </w:rPr>
        <w:t>على</w:t>
      </w:r>
      <w:r w:rsidR="00E8128F">
        <w:rPr>
          <w:sz w:val="36"/>
          <w:szCs w:val="36"/>
          <w:rtl/>
        </w:rPr>
        <w:t xml:space="preserve"> </w:t>
      </w:r>
      <w:r w:rsidR="00BE701E" w:rsidRPr="00FD211F">
        <w:rPr>
          <w:sz w:val="36"/>
          <w:szCs w:val="36"/>
          <w:rtl/>
        </w:rPr>
        <w:t>مواردها</w:t>
      </w:r>
      <w:r w:rsidR="00E8128F">
        <w:rPr>
          <w:sz w:val="36"/>
          <w:szCs w:val="36"/>
          <w:rtl/>
        </w:rPr>
        <w:t xml:space="preserve"> </w:t>
      </w:r>
      <w:r w:rsidR="00BE701E" w:rsidRPr="00FD211F">
        <w:rPr>
          <w:sz w:val="36"/>
          <w:szCs w:val="36"/>
          <w:rtl/>
        </w:rPr>
        <w:t>في</w:t>
      </w:r>
      <w:r w:rsidR="00E8128F">
        <w:rPr>
          <w:sz w:val="36"/>
          <w:szCs w:val="36"/>
          <w:rtl/>
        </w:rPr>
        <w:t xml:space="preserve"> </w:t>
      </w:r>
      <w:r w:rsidR="00BE701E" w:rsidRPr="00FD211F">
        <w:rPr>
          <w:sz w:val="36"/>
          <w:szCs w:val="36"/>
          <w:rtl/>
        </w:rPr>
        <w:t>الفقه</w:t>
      </w:r>
      <w:r w:rsidR="00603323" w:rsidRPr="00FD211F">
        <w:rPr>
          <w:sz w:val="36"/>
          <w:szCs w:val="36"/>
          <w:rtl/>
        </w:rPr>
        <w:t>،</w:t>
      </w:r>
      <w:r w:rsidR="00E8128F">
        <w:rPr>
          <w:sz w:val="36"/>
          <w:szCs w:val="36"/>
          <w:rtl/>
        </w:rPr>
        <w:t xml:space="preserve"> </w:t>
      </w:r>
      <w:r w:rsidR="009F14EE" w:rsidRPr="00FD211F">
        <w:rPr>
          <w:sz w:val="36"/>
          <w:szCs w:val="36"/>
          <w:rtl/>
        </w:rPr>
        <w:t>فيقال</w:t>
      </w:r>
      <w:r w:rsidR="00E8128F">
        <w:rPr>
          <w:sz w:val="36"/>
          <w:szCs w:val="36"/>
          <w:rtl/>
        </w:rPr>
        <w:t xml:space="preserve"> </w:t>
      </w:r>
      <w:r w:rsidR="009F14EE" w:rsidRPr="00FD211F">
        <w:rPr>
          <w:sz w:val="36"/>
          <w:szCs w:val="36"/>
          <w:rtl/>
        </w:rPr>
        <w:t>ان</w:t>
      </w:r>
      <w:r w:rsidR="00E8128F">
        <w:rPr>
          <w:sz w:val="36"/>
          <w:szCs w:val="36"/>
          <w:rtl/>
        </w:rPr>
        <w:t xml:space="preserve"> </w:t>
      </w:r>
      <w:r w:rsidR="009F14EE" w:rsidRPr="00FD211F">
        <w:rPr>
          <w:sz w:val="36"/>
          <w:szCs w:val="36"/>
          <w:rtl/>
        </w:rPr>
        <w:t>تحريم</w:t>
      </w:r>
      <w:r w:rsidR="00E8128F">
        <w:rPr>
          <w:sz w:val="36"/>
          <w:szCs w:val="36"/>
          <w:rtl/>
        </w:rPr>
        <w:t xml:space="preserve"> </w:t>
      </w:r>
      <w:r w:rsidR="009F14EE" w:rsidRPr="00FD211F">
        <w:rPr>
          <w:sz w:val="36"/>
          <w:szCs w:val="36"/>
          <w:rtl/>
        </w:rPr>
        <w:t>شرب</w:t>
      </w:r>
      <w:r w:rsidR="00E8128F">
        <w:rPr>
          <w:sz w:val="36"/>
          <w:szCs w:val="36"/>
          <w:rtl/>
        </w:rPr>
        <w:t xml:space="preserve"> </w:t>
      </w:r>
      <w:r w:rsidR="009F14EE" w:rsidRPr="00FD211F">
        <w:rPr>
          <w:sz w:val="36"/>
          <w:szCs w:val="36"/>
          <w:rtl/>
        </w:rPr>
        <w:t>التتن</w:t>
      </w:r>
      <w:r w:rsidR="00E8128F">
        <w:rPr>
          <w:sz w:val="36"/>
          <w:szCs w:val="36"/>
          <w:rtl/>
        </w:rPr>
        <w:t xml:space="preserve"> </w:t>
      </w:r>
      <w:r w:rsidR="009F14EE" w:rsidRPr="00FD211F">
        <w:rPr>
          <w:sz w:val="36"/>
          <w:szCs w:val="36"/>
          <w:rtl/>
        </w:rPr>
        <w:t>مشكوك</w:t>
      </w:r>
      <w:r w:rsidR="00603323" w:rsidRPr="00FD211F">
        <w:rPr>
          <w:sz w:val="36"/>
          <w:szCs w:val="36"/>
          <w:rtl/>
        </w:rPr>
        <w:t>،</w:t>
      </w:r>
      <w:r w:rsidR="00E8128F">
        <w:rPr>
          <w:sz w:val="36"/>
          <w:szCs w:val="36"/>
          <w:rtl/>
        </w:rPr>
        <w:t xml:space="preserve"> </w:t>
      </w:r>
      <w:r w:rsidR="009F14EE" w:rsidRPr="00FD211F">
        <w:rPr>
          <w:sz w:val="36"/>
          <w:szCs w:val="36"/>
          <w:rtl/>
        </w:rPr>
        <w:t>وقد</w:t>
      </w:r>
      <w:r w:rsidR="00E8128F">
        <w:rPr>
          <w:sz w:val="36"/>
          <w:szCs w:val="36"/>
          <w:rtl/>
        </w:rPr>
        <w:t xml:space="preserve"> </w:t>
      </w:r>
      <w:r w:rsidR="009F14EE" w:rsidRPr="00FD211F">
        <w:rPr>
          <w:sz w:val="36"/>
          <w:szCs w:val="36"/>
          <w:rtl/>
        </w:rPr>
        <w:t>ثبت</w:t>
      </w:r>
      <w:r w:rsidR="00E8128F">
        <w:rPr>
          <w:sz w:val="36"/>
          <w:szCs w:val="36"/>
          <w:rtl/>
        </w:rPr>
        <w:t xml:space="preserve"> </w:t>
      </w:r>
      <w:r w:rsidR="009F14EE" w:rsidRPr="00FD211F">
        <w:rPr>
          <w:sz w:val="36"/>
          <w:szCs w:val="36"/>
          <w:rtl/>
        </w:rPr>
        <w:t>في</w:t>
      </w:r>
      <w:r w:rsidR="00E8128F">
        <w:rPr>
          <w:sz w:val="36"/>
          <w:szCs w:val="36"/>
          <w:rtl/>
        </w:rPr>
        <w:t xml:space="preserve"> </w:t>
      </w:r>
      <w:r w:rsidR="009F14EE" w:rsidRPr="00FD211F">
        <w:rPr>
          <w:sz w:val="36"/>
          <w:szCs w:val="36"/>
          <w:rtl/>
        </w:rPr>
        <w:t>الاصول</w:t>
      </w:r>
      <w:r w:rsidR="00E8128F">
        <w:rPr>
          <w:sz w:val="36"/>
          <w:szCs w:val="36"/>
          <w:rtl/>
        </w:rPr>
        <w:t xml:space="preserve"> </w:t>
      </w:r>
      <w:r w:rsidR="009F14EE" w:rsidRPr="00FD211F">
        <w:rPr>
          <w:sz w:val="36"/>
          <w:szCs w:val="36"/>
          <w:rtl/>
        </w:rPr>
        <w:t>جريان</w:t>
      </w:r>
      <w:r w:rsidR="00E8128F">
        <w:rPr>
          <w:sz w:val="36"/>
          <w:szCs w:val="36"/>
          <w:rtl/>
        </w:rPr>
        <w:t xml:space="preserve"> </w:t>
      </w:r>
      <w:r w:rsidR="009F14EE" w:rsidRPr="00FD211F">
        <w:rPr>
          <w:sz w:val="36"/>
          <w:szCs w:val="36"/>
          <w:rtl/>
        </w:rPr>
        <w:t>الب</w:t>
      </w:r>
      <w:r w:rsidR="008D7B3D" w:rsidRPr="00FD211F">
        <w:rPr>
          <w:sz w:val="36"/>
          <w:szCs w:val="36"/>
          <w:rtl/>
        </w:rPr>
        <w:t>راءة</w:t>
      </w:r>
      <w:r w:rsidR="00E8128F">
        <w:rPr>
          <w:sz w:val="36"/>
          <w:szCs w:val="36"/>
          <w:rtl/>
        </w:rPr>
        <w:t xml:space="preserve"> </w:t>
      </w:r>
      <w:r w:rsidR="009F14EE" w:rsidRPr="00FD211F">
        <w:rPr>
          <w:sz w:val="36"/>
          <w:szCs w:val="36"/>
          <w:rtl/>
        </w:rPr>
        <w:t>عن</w:t>
      </w:r>
      <w:r w:rsidR="00E8128F">
        <w:rPr>
          <w:sz w:val="36"/>
          <w:szCs w:val="36"/>
          <w:rtl/>
        </w:rPr>
        <w:t xml:space="preserve"> </w:t>
      </w:r>
      <w:r w:rsidR="009F14EE" w:rsidRPr="00FD211F">
        <w:rPr>
          <w:sz w:val="36"/>
          <w:szCs w:val="36"/>
          <w:rtl/>
        </w:rPr>
        <w:t>التكليف</w:t>
      </w:r>
      <w:r w:rsidR="00E8128F">
        <w:rPr>
          <w:sz w:val="36"/>
          <w:szCs w:val="36"/>
          <w:rtl/>
        </w:rPr>
        <w:t xml:space="preserve"> </w:t>
      </w:r>
      <w:r w:rsidR="009F14EE" w:rsidRPr="00FD211F">
        <w:rPr>
          <w:sz w:val="36"/>
          <w:szCs w:val="36"/>
          <w:rtl/>
        </w:rPr>
        <w:t>المشكوك</w:t>
      </w:r>
      <w:r w:rsidR="00E8128F">
        <w:rPr>
          <w:sz w:val="36"/>
          <w:szCs w:val="36"/>
          <w:rtl/>
        </w:rPr>
        <w:t xml:space="preserve"> </w:t>
      </w:r>
      <w:r w:rsidR="009F14EE" w:rsidRPr="00FD211F">
        <w:rPr>
          <w:sz w:val="36"/>
          <w:szCs w:val="36"/>
          <w:rtl/>
        </w:rPr>
        <w:t>فتجري</w:t>
      </w:r>
      <w:r w:rsidR="00E8128F">
        <w:rPr>
          <w:sz w:val="36"/>
          <w:szCs w:val="36"/>
          <w:rtl/>
        </w:rPr>
        <w:t xml:space="preserve"> </w:t>
      </w:r>
      <w:r w:rsidR="009F14EE" w:rsidRPr="00FD211F">
        <w:rPr>
          <w:sz w:val="36"/>
          <w:szCs w:val="36"/>
          <w:rtl/>
        </w:rPr>
        <w:t>الب</w:t>
      </w:r>
      <w:r w:rsidR="008D7B3D" w:rsidRPr="00FD211F">
        <w:rPr>
          <w:sz w:val="36"/>
          <w:szCs w:val="36"/>
          <w:rtl/>
        </w:rPr>
        <w:t>راءة</w:t>
      </w:r>
      <w:r w:rsidR="00E8128F">
        <w:rPr>
          <w:sz w:val="36"/>
          <w:szCs w:val="36"/>
          <w:rtl/>
        </w:rPr>
        <w:t xml:space="preserve"> </w:t>
      </w:r>
      <w:r w:rsidR="009F14EE" w:rsidRPr="00FD211F">
        <w:rPr>
          <w:sz w:val="36"/>
          <w:szCs w:val="36"/>
          <w:rtl/>
        </w:rPr>
        <w:t>عن</w:t>
      </w:r>
      <w:r w:rsidR="00E8128F">
        <w:rPr>
          <w:sz w:val="36"/>
          <w:szCs w:val="36"/>
          <w:rtl/>
        </w:rPr>
        <w:t xml:space="preserve"> </w:t>
      </w:r>
      <w:r w:rsidR="009F14EE" w:rsidRPr="00FD211F">
        <w:rPr>
          <w:sz w:val="36"/>
          <w:szCs w:val="36"/>
          <w:rtl/>
        </w:rPr>
        <w:t>تحريم</w:t>
      </w:r>
      <w:r w:rsidR="00E8128F">
        <w:rPr>
          <w:sz w:val="36"/>
          <w:szCs w:val="36"/>
          <w:rtl/>
        </w:rPr>
        <w:t xml:space="preserve"> </w:t>
      </w:r>
      <w:r w:rsidR="009F14EE" w:rsidRPr="00FD211F">
        <w:rPr>
          <w:sz w:val="36"/>
          <w:szCs w:val="36"/>
          <w:rtl/>
        </w:rPr>
        <w:t>شرب</w:t>
      </w:r>
      <w:r w:rsidR="00E8128F">
        <w:rPr>
          <w:sz w:val="36"/>
          <w:szCs w:val="36"/>
          <w:rtl/>
        </w:rPr>
        <w:t xml:space="preserve"> </w:t>
      </w:r>
      <w:r w:rsidR="009F14EE" w:rsidRPr="00FD211F">
        <w:rPr>
          <w:sz w:val="36"/>
          <w:szCs w:val="36"/>
          <w:rtl/>
        </w:rPr>
        <w:t>التتن</w:t>
      </w:r>
      <w:r w:rsidR="00603323" w:rsidRPr="00FD211F">
        <w:rPr>
          <w:sz w:val="36"/>
          <w:szCs w:val="36"/>
          <w:rtl/>
        </w:rPr>
        <w:t>،</w:t>
      </w:r>
      <w:r w:rsidR="00E8128F">
        <w:rPr>
          <w:sz w:val="36"/>
          <w:szCs w:val="36"/>
          <w:rtl/>
        </w:rPr>
        <w:t xml:space="preserve"> </w:t>
      </w:r>
      <w:r w:rsidR="00DD1C3B" w:rsidRPr="00FD211F">
        <w:rPr>
          <w:sz w:val="36"/>
          <w:szCs w:val="36"/>
          <w:rtl/>
        </w:rPr>
        <w:t>فتكون</w:t>
      </w:r>
      <w:r w:rsidR="00E8128F">
        <w:rPr>
          <w:sz w:val="36"/>
          <w:szCs w:val="36"/>
          <w:rtl/>
        </w:rPr>
        <w:t xml:space="preserve"> </w:t>
      </w:r>
      <w:r w:rsidR="00DD1C3B" w:rsidRPr="00FD211F">
        <w:rPr>
          <w:sz w:val="36"/>
          <w:szCs w:val="36"/>
          <w:rtl/>
        </w:rPr>
        <w:t>البراء</w:t>
      </w:r>
      <w:r w:rsidR="00EC7EDF" w:rsidRPr="00FD211F">
        <w:rPr>
          <w:sz w:val="36"/>
          <w:szCs w:val="36"/>
          <w:rtl/>
        </w:rPr>
        <w:t>ة</w:t>
      </w:r>
      <w:r w:rsidR="00E8128F">
        <w:rPr>
          <w:sz w:val="36"/>
          <w:szCs w:val="36"/>
          <w:rtl/>
        </w:rPr>
        <w:t xml:space="preserve"> </w:t>
      </w:r>
      <w:r w:rsidR="00DD1C3B" w:rsidRPr="00FD211F">
        <w:rPr>
          <w:sz w:val="36"/>
          <w:szCs w:val="36"/>
          <w:rtl/>
        </w:rPr>
        <w:t>عن</w:t>
      </w:r>
      <w:r w:rsidR="00E8128F">
        <w:rPr>
          <w:sz w:val="36"/>
          <w:szCs w:val="36"/>
          <w:rtl/>
        </w:rPr>
        <w:t xml:space="preserve"> </w:t>
      </w:r>
      <w:r w:rsidR="00DD1C3B" w:rsidRPr="00FD211F">
        <w:rPr>
          <w:sz w:val="36"/>
          <w:szCs w:val="36"/>
          <w:rtl/>
        </w:rPr>
        <w:t>تحريم</w:t>
      </w:r>
      <w:r w:rsidR="00E8128F">
        <w:rPr>
          <w:sz w:val="36"/>
          <w:szCs w:val="36"/>
          <w:rtl/>
        </w:rPr>
        <w:t xml:space="preserve"> </w:t>
      </w:r>
      <w:r w:rsidR="00DD1C3B" w:rsidRPr="00FD211F">
        <w:rPr>
          <w:sz w:val="36"/>
          <w:szCs w:val="36"/>
          <w:rtl/>
        </w:rPr>
        <w:t>شرب</w:t>
      </w:r>
      <w:r w:rsidR="00E8128F">
        <w:rPr>
          <w:sz w:val="36"/>
          <w:szCs w:val="36"/>
          <w:rtl/>
        </w:rPr>
        <w:t xml:space="preserve"> </w:t>
      </w:r>
      <w:r w:rsidR="00DD1C3B" w:rsidRPr="00FD211F">
        <w:rPr>
          <w:sz w:val="36"/>
          <w:szCs w:val="36"/>
          <w:rtl/>
        </w:rPr>
        <w:t>التتن</w:t>
      </w:r>
      <w:r w:rsidR="00E8128F">
        <w:rPr>
          <w:sz w:val="36"/>
          <w:szCs w:val="36"/>
          <w:rtl/>
        </w:rPr>
        <w:t xml:space="preserve"> </w:t>
      </w:r>
      <w:r w:rsidR="00DD1C3B" w:rsidRPr="00FD211F">
        <w:rPr>
          <w:sz w:val="36"/>
          <w:szCs w:val="36"/>
          <w:rtl/>
        </w:rPr>
        <w:t>من</w:t>
      </w:r>
      <w:r w:rsidR="00E8128F">
        <w:rPr>
          <w:sz w:val="36"/>
          <w:szCs w:val="36"/>
          <w:rtl/>
        </w:rPr>
        <w:t xml:space="preserve"> </w:t>
      </w:r>
      <w:r w:rsidR="00DD1C3B" w:rsidRPr="00FD211F">
        <w:rPr>
          <w:sz w:val="36"/>
          <w:szCs w:val="36"/>
          <w:rtl/>
        </w:rPr>
        <w:t>مصاديق</w:t>
      </w:r>
      <w:r w:rsidR="00E8128F">
        <w:rPr>
          <w:sz w:val="36"/>
          <w:szCs w:val="36"/>
          <w:rtl/>
        </w:rPr>
        <w:t xml:space="preserve"> </w:t>
      </w:r>
      <w:r w:rsidR="00DD1C3B" w:rsidRPr="00FD211F">
        <w:rPr>
          <w:sz w:val="36"/>
          <w:szCs w:val="36"/>
          <w:rtl/>
        </w:rPr>
        <w:t>الب</w:t>
      </w:r>
      <w:r w:rsidR="008D7B3D" w:rsidRPr="00FD211F">
        <w:rPr>
          <w:sz w:val="36"/>
          <w:szCs w:val="36"/>
          <w:rtl/>
        </w:rPr>
        <w:t>راءة</w:t>
      </w:r>
      <w:r w:rsidR="00E8128F">
        <w:rPr>
          <w:sz w:val="36"/>
          <w:szCs w:val="36"/>
          <w:rtl/>
        </w:rPr>
        <w:t xml:space="preserve"> </w:t>
      </w:r>
      <w:r w:rsidR="00DD1C3B" w:rsidRPr="00FD211F">
        <w:rPr>
          <w:sz w:val="36"/>
          <w:szCs w:val="36"/>
          <w:rtl/>
        </w:rPr>
        <w:t>عن</w:t>
      </w:r>
      <w:r w:rsidR="00E8128F">
        <w:rPr>
          <w:sz w:val="36"/>
          <w:szCs w:val="36"/>
          <w:rtl/>
        </w:rPr>
        <w:t xml:space="preserve"> </w:t>
      </w:r>
      <w:r w:rsidR="00DD1C3B" w:rsidRPr="00FD211F">
        <w:rPr>
          <w:sz w:val="36"/>
          <w:szCs w:val="36"/>
          <w:rtl/>
        </w:rPr>
        <w:t>التكليف</w:t>
      </w:r>
      <w:r w:rsidR="00E8128F">
        <w:rPr>
          <w:sz w:val="36"/>
          <w:szCs w:val="36"/>
          <w:rtl/>
        </w:rPr>
        <w:t xml:space="preserve"> </w:t>
      </w:r>
      <w:r w:rsidR="00DD1C3B" w:rsidRPr="00FD211F">
        <w:rPr>
          <w:sz w:val="36"/>
          <w:szCs w:val="36"/>
          <w:rtl/>
        </w:rPr>
        <w:t>المشكوك</w:t>
      </w:r>
      <w:r w:rsidR="00603323" w:rsidRPr="00FD211F">
        <w:rPr>
          <w:sz w:val="36"/>
          <w:szCs w:val="36"/>
          <w:rtl/>
        </w:rPr>
        <w:t>،</w:t>
      </w:r>
      <w:r w:rsidR="00E8128F">
        <w:rPr>
          <w:sz w:val="36"/>
          <w:szCs w:val="36"/>
          <w:rtl/>
        </w:rPr>
        <w:t xml:space="preserve"> </w:t>
      </w:r>
      <w:r w:rsidR="009F14EE" w:rsidRPr="00FD211F">
        <w:rPr>
          <w:sz w:val="36"/>
          <w:szCs w:val="36"/>
          <w:rtl/>
        </w:rPr>
        <w:t>واين</w:t>
      </w:r>
      <w:r w:rsidR="00E8128F">
        <w:rPr>
          <w:sz w:val="36"/>
          <w:szCs w:val="36"/>
          <w:rtl/>
        </w:rPr>
        <w:t xml:space="preserve"> </w:t>
      </w:r>
      <w:r w:rsidR="009F14EE" w:rsidRPr="00FD211F">
        <w:rPr>
          <w:sz w:val="36"/>
          <w:szCs w:val="36"/>
          <w:rtl/>
        </w:rPr>
        <w:t>هذا</w:t>
      </w:r>
      <w:r w:rsidR="00E8128F">
        <w:rPr>
          <w:sz w:val="36"/>
          <w:szCs w:val="36"/>
          <w:rtl/>
        </w:rPr>
        <w:t xml:space="preserve"> </w:t>
      </w:r>
      <w:r w:rsidR="009F14EE" w:rsidRPr="00FD211F">
        <w:rPr>
          <w:sz w:val="36"/>
          <w:szCs w:val="36"/>
          <w:rtl/>
        </w:rPr>
        <w:t>من</w:t>
      </w:r>
      <w:r w:rsidR="00E8128F">
        <w:rPr>
          <w:sz w:val="36"/>
          <w:szCs w:val="36"/>
          <w:rtl/>
        </w:rPr>
        <w:t xml:space="preserve"> </w:t>
      </w:r>
      <w:r w:rsidR="009F14EE" w:rsidRPr="00FD211F">
        <w:rPr>
          <w:sz w:val="36"/>
          <w:szCs w:val="36"/>
          <w:rtl/>
        </w:rPr>
        <w:t>الاستنباط</w:t>
      </w:r>
      <w:r w:rsidR="00E8128F">
        <w:rPr>
          <w:sz w:val="36"/>
          <w:szCs w:val="36"/>
          <w:rtl/>
        </w:rPr>
        <w:t xml:space="preserve"> </w:t>
      </w:r>
      <w:r w:rsidR="009F14EE" w:rsidRPr="00FD211F">
        <w:rPr>
          <w:sz w:val="36"/>
          <w:szCs w:val="36"/>
          <w:rtl/>
        </w:rPr>
        <w:t>الذي</w:t>
      </w:r>
      <w:r w:rsidR="00E8128F">
        <w:rPr>
          <w:sz w:val="36"/>
          <w:szCs w:val="36"/>
          <w:rtl/>
        </w:rPr>
        <w:t xml:space="preserve"> </w:t>
      </w:r>
      <w:r w:rsidR="00B244E2" w:rsidRPr="00FD211F">
        <w:rPr>
          <w:sz w:val="36"/>
          <w:szCs w:val="36"/>
          <w:rtl/>
        </w:rPr>
        <w:t>يعتبر</w:t>
      </w:r>
      <w:r w:rsidR="00E8128F">
        <w:rPr>
          <w:sz w:val="36"/>
          <w:szCs w:val="36"/>
          <w:rtl/>
        </w:rPr>
        <w:t xml:space="preserve"> </w:t>
      </w:r>
      <w:r w:rsidR="00B244E2" w:rsidRPr="00FD211F">
        <w:rPr>
          <w:sz w:val="36"/>
          <w:szCs w:val="36"/>
          <w:rtl/>
        </w:rPr>
        <w:t>فيه</w:t>
      </w:r>
      <w:r w:rsidR="00E8128F">
        <w:rPr>
          <w:sz w:val="36"/>
          <w:szCs w:val="36"/>
          <w:rtl/>
        </w:rPr>
        <w:t xml:space="preserve"> </w:t>
      </w:r>
      <w:r w:rsidR="00B244E2" w:rsidRPr="00FD211F">
        <w:rPr>
          <w:sz w:val="36"/>
          <w:szCs w:val="36"/>
          <w:rtl/>
        </w:rPr>
        <w:t>مغاير</w:t>
      </w:r>
      <w:r w:rsidR="00EC7EDF" w:rsidRPr="00FD211F">
        <w:rPr>
          <w:sz w:val="36"/>
          <w:szCs w:val="36"/>
          <w:rtl/>
        </w:rPr>
        <w:t>ة</w:t>
      </w:r>
      <w:r w:rsidR="00E8128F">
        <w:rPr>
          <w:sz w:val="36"/>
          <w:szCs w:val="36"/>
          <w:rtl/>
        </w:rPr>
        <w:t xml:space="preserve"> </w:t>
      </w:r>
      <w:r w:rsidR="009F47A4" w:rsidRPr="00FD211F">
        <w:rPr>
          <w:sz w:val="36"/>
          <w:szCs w:val="36"/>
          <w:rtl/>
        </w:rPr>
        <w:t>الحكم</w:t>
      </w:r>
      <w:r w:rsidR="00E8128F">
        <w:rPr>
          <w:sz w:val="36"/>
          <w:szCs w:val="36"/>
          <w:rtl/>
        </w:rPr>
        <w:t xml:space="preserve"> </w:t>
      </w:r>
      <w:r w:rsidR="009F14EE" w:rsidRPr="00FD211F">
        <w:rPr>
          <w:sz w:val="36"/>
          <w:szCs w:val="36"/>
          <w:rtl/>
        </w:rPr>
        <w:t>المستنبط</w:t>
      </w:r>
      <w:r w:rsidR="00E8128F">
        <w:rPr>
          <w:sz w:val="36"/>
          <w:szCs w:val="36"/>
          <w:rtl/>
        </w:rPr>
        <w:t xml:space="preserve"> </w:t>
      </w:r>
      <w:r w:rsidR="009F14EE" w:rsidRPr="00FD211F">
        <w:rPr>
          <w:sz w:val="36"/>
          <w:szCs w:val="36"/>
          <w:rtl/>
        </w:rPr>
        <w:t>مع</w:t>
      </w:r>
      <w:r w:rsidR="00E8128F">
        <w:rPr>
          <w:sz w:val="36"/>
          <w:szCs w:val="36"/>
          <w:rtl/>
        </w:rPr>
        <w:t xml:space="preserve"> </w:t>
      </w:r>
      <w:r w:rsidR="009F47A4" w:rsidRPr="00FD211F">
        <w:rPr>
          <w:sz w:val="36"/>
          <w:szCs w:val="36"/>
          <w:rtl/>
        </w:rPr>
        <w:t>القاعد</w:t>
      </w:r>
      <w:r w:rsidR="00EC7EDF" w:rsidRPr="00FD211F">
        <w:rPr>
          <w:sz w:val="36"/>
          <w:szCs w:val="36"/>
          <w:rtl/>
        </w:rPr>
        <w:t>ة</w:t>
      </w:r>
      <w:r w:rsidR="00E8128F">
        <w:rPr>
          <w:sz w:val="36"/>
          <w:szCs w:val="36"/>
          <w:rtl/>
        </w:rPr>
        <w:t xml:space="preserve"> </w:t>
      </w:r>
      <w:r w:rsidR="009F14EE" w:rsidRPr="00FD211F">
        <w:rPr>
          <w:sz w:val="36"/>
          <w:szCs w:val="36"/>
          <w:rtl/>
        </w:rPr>
        <w:t>المستنبط</w:t>
      </w:r>
      <w:r w:rsidR="00E8128F">
        <w:rPr>
          <w:sz w:val="36"/>
          <w:szCs w:val="36"/>
          <w:rtl/>
        </w:rPr>
        <w:t xml:space="preserve"> </w:t>
      </w:r>
      <w:r w:rsidR="009F14EE" w:rsidRPr="00FD211F">
        <w:rPr>
          <w:sz w:val="36"/>
          <w:szCs w:val="36"/>
          <w:rtl/>
        </w:rPr>
        <w:t>منه</w:t>
      </w:r>
      <w:r w:rsidR="009F47A4" w:rsidRPr="00FD211F">
        <w:rPr>
          <w:sz w:val="36"/>
          <w:szCs w:val="36"/>
          <w:rtl/>
        </w:rPr>
        <w:t>ا</w:t>
      </w:r>
      <w:r w:rsidR="00603323" w:rsidRPr="00FD211F">
        <w:rPr>
          <w:sz w:val="36"/>
          <w:szCs w:val="36"/>
          <w:rtl/>
        </w:rPr>
        <w:t>،</w:t>
      </w:r>
      <w:r w:rsidR="00E8128F">
        <w:rPr>
          <w:sz w:val="36"/>
          <w:szCs w:val="36"/>
          <w:rtl/>
        </w:rPr>
        <w:t xml:space="preserve"> </w:t>
      </w:r>
      <w:r w:rsidR="007D7F9C" w:rsidRPr="00FD211F">
        <w:rPr>
          <w:sz w:val="36"/>
          <w:szCs w:val="36"/>
          <w:rtl/>
        </w:rPr>
        <w:t>كما</w:t>
      </w:r>
      <w:r w:rsidR="00E8128F">
        <w:rPr>
          <w:sz w:val="36"/>
          <w:szCs w:val="36"/>
          <w:rtl/>
        </w:rPr>
        <w:t xml:space="preserve"> </w:t>
      </w:r>
      <w:r w:rsidR="007D7F9C" w:rsidRPr="00FD211F">
        <w:rPr>
          <w:sz w:val="36"/>
          <w:szCs w:val="36"/>
          <w:rtl/>
        </w:rPr>
        <w:t>سيأتي</w:t>
      </w:r>
      <w:r w:rsidR="00E8128F">
        <w:rPr>
          <w:sz w:val="36"/>
          <w:szCs w:val="36"/>
          <w:rtl/>
        </w:rPr>
        <w:t xml:space="preserve"> </w:t>
      </w:r>
      <w:r w:rsidR="007D7F9C" w:rsidRPr="00FD211F">
        <w:rPr>
          <w:sz w:val="36"/>
          <w:szCs w:val="36"/>
          <w:rtl/>
        </w:rPr>
        <w:t>بيانه.</w:t>
      </w:r>
    </w:p>
    <w:p w14:paraId="419FCE65" w14:textId="77777777" w:rsidR="009E0B06" w:rsidRPr="00FD211F" w:rsidRDefault="009E0B06"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فقد</w:t>
      </w:r>
      <w:r w:rsidR="00E8128F">
        <w:rPr>
          <w:sz w:val="36"/>
          <w:szCs w:val="36"/>
          <w:rtl/>
        </w:rPr>
        <w:t xml:space="preserve"> </w:t>
      </w:r>
      <w:r w:rsidRPr="00FD211F">
        <w:rPr>
          <w:sz w:val="36"/>
          <w:szCs w:val="36"/>
          <w:rtl/>
        </w:rPr>
        <w:t>تحص</w:t>
      </w:r>
      <w:r w:rsidR="00731778" w:rsidRPr="00FD211F">
        <w:rPr>
          <w:sz w:val="36"/>
          <w:szCs w:val="36"/>
          <w:rtl/>
        </w:rPr>
        <w:t>ل</w:t>
      </w:r>
      <w:r w:rsidR="00E8128F">
        <w:rPr>
          <w:sz w:val="36"/>
          <w:szCs w:val="36"/>
          <w:rtl/>
        </w:rPr>
        <w:t xml:space="preserve"> </w:t>
      </w:r>
      <w:r w:rsidR="00731778" w:rsidRPr="00FD211F">
        <w:rPr>
          <w:sz w:val="36"/>
          <w:szCs w:val="36"/>
          <w:rtl/>
        </w:rPr>
        <w:t>مما</w:t>
      </w:r>
      <w:r w:rsidR="00E8128F">
        <w:rPr>
          <w:sz w:val="36"/>
          <w:szCs w:val="36"/>
          <w:rtl/>
        </w:rPr>
        <w:t xml:space="preserve"> </w:t>
      </w:r>
      <w:r w:rsidR="00731778" w:rsidRPr="00FD211F">
        <w:rPr>
          <w:sz w:val="36"/>
          <w:szCs w:val="36"/>
          <w:rtl/>
        </w:rPr>
        <w:t>ذكرناه</w:t>
      </w:r>
      <w:r w:rsidR="00E8128F">
        <w:rPr>
          <w:sz w:val="36"/>
          <w:szCs w:val="36"/>
          <w:rtl/>
        </w:rPr>
        <w:t xml:space="preserve"> </w:t>
      </w:r>
      <w:r w:rsidR="00731778" w:rsidRPr="00FD211F">
        <w:rPr>
          <w:sz w:val="36"/>
          <w:szCs w:val="36"/>
          <w:rtl/>
        </w:rPr>
        <w:t>عدم</w:t>
      </w:r>
      <w:r w:rsidR="00E8128F">
        <w:rPr>
          <w:sz w:val="36"/>
          <w:szCs w:val="36"/>
          <w:rtl/>
        </w:rPr>
        <w:t xml:space="preserve"> </w:t>
      </w:r>
      <w:r w:rsidR="00731778" w:rsidRPr="00FD211F">
        <w:rPr>
          <w:sz w:val="36"/>
          <w:szCs w:val="36"/>
          <w:rtl/>
        </w:rPr>
        <w:t>تمامي</w:t>
      </w:r>
      <w:r w:rsidR="00EC7EDF" w:rsidRPr="00FD211F">
        <w:rPr>
          <w:sz w:val="36"/>
          <w:szCs w:val="36"/>
          <w:rtl/>
        </w:rPr>
        <w:t>ة</w:t>
      </w:r>
      <w:r w:rsidR="00E8128F">
        <w:rPr>
          <w:sz w:val="36"/>
          <w:szCs w:val="36"/>
          <w:rtl/>
        </w:rPr>
        <w:t xml:space="preserve"> </w:t>
      </w:r>
      <w:r w:rsidR="00731778" w:rsidRPr="00FD211F">
        <w:rPr>
          <w:sz w:val="36"/>
          <w:szCs w:val="36"/>
          <w:rtl/>
        </w:rPr>
        <w:t>الايراد</w:t>
      </w:r>
      <w:r w:rsidR="00E8128F">
        <w:rPr>
          <w:sz w:val="36"/>
          <w:szCs w:val="36"/>
          <w:rtl/>
        </w:rPr>
        <w:t xml:space="preserve"> </w:t>
      </w:r>
      <w:r w:rsidRPr="00FD211F">
        <w:rPr>
          <w:sz w:val="36"/>
          <w:szCs w:val="36"/>
          <w:rtl/>
        </w:rPr>
        <w:t>الاول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تعريف</w:t>
      </w:r>
      <w:r w:rsidR="00E8128F">
        <w:rPr>
          <w:sz w:val="36"/>
          <w:szCs w:val="36"/>
          <w:rtl/>
        </w:rPr>
        <w:t xml:space="preserve"> </w:t>
      </w:r>
      <w:r w:rsidRPr="00FD211F">
        <w:rPr>
          <w:sz w:val="36"/>
          <w:szCs w:val="36"/>
          <w:rtl/>
        </w:rPr>
        <w:t>المشهور</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المراد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الاستنباط</w:t>
      </w:r>
      <w:r w:rsidR="00E8128F">
        <w:rPr>
          <w:sz w:val="36"/>
          <w:szCs w:val="36"/>
          <w:rtl/>
        </w:rPr>
        <w:t xml:space="preserve"> </w:t>
      </w:r>
      <w:r w:rsidRPr="00FD211F">
        <w:rPr>
          <w:sz w:val="36"/>
          <w:szCs w:val="36"/>
          <w:rtl/>
        </w:rPr>
        <w:t>مطلق</w:t>
      </w:r>
      <w:r w:rsidR="00E8128F">
        <w:rPr>
          <w:sz w:val="36"/>
          <w:szCs w:val="36"/>
          <w:rtl/>
        </w:rPr>
        <w:t xml:space="preserve"> </w:t>
      </w:r>
      <w:r w:rsidRPr="00FD211F">
        <w:rPr>
          <w:sz w:val="36"/>
          <w:szCs w:val="36"/>
          <w:rtl/>
        </w:rPr>
        <w:t>اقام</w:t>
      </w:r>
      <w:r w:rsidR="00EC7EDF" w:rsidRPr="00FD211F">
        <w:rPr>
          <w:sz w:val="36"/>
          <w:szCs w:val="36"/>
          <w:rtl/>
        </w:rPr>
        <w:t>ة</w:t>
      </w:r>
      <w:r w:rsidR="00E8128F">
        <w:rPr>
          <w:sz w:val="36"/>
          <w:szCs w:val="36"/>
          <w:rtl/>
        </w:rPr>
        <w:t xml:space="preserve"> </w:t>
      </w:r>
      <w:r w:rsidRPr="00FD211F">
        <w:rPr>
          <w:sz w:val="36"/>
          <w:szCs w:val="36"/>
          <w:rtl/>
        </w:rPr>
        <w:t>الحج</w:t>
      </w:r>
      <w:r w:rsidR="00EC7EDF" w:rsidRPr="00FD211F">
        <w:rPr>
          <w:sz w:val="36"/>
          <w:szCs w:val="36"/>
          <w:rtl/>
        </w:rPr>
        <w:t>ة</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فقل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المراد</w:t>
      </w:r>
      <w:r w:rsidR="00E8128F">
        <w:rPr>
          <w:sz w:val="36"/>
          <w:szCs w:val="36"/>
          <w:rtl/>
        </w:rPr>
        <w:t xml:space="preserve"> </w:t>
      </w:r>
      <w:r w:rsidRPr="00FD211F">
        <w:rPr>
          <w:sz w:val="36"/>
          <w:szCs w:val="36"/>
          <w:rtl/>
        </w:rPr>
        <w:t>به</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الاعم</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الاستنباط</w:t>
      </w:r>
      <w:r w:rsidR="00E8128F">
        <w:rPr>
          <w:sz w:val="36"/>
          <w:szCs w:val="36"/>
          <w:rtl/>
        </w:rPr>
        <w:t xml:space="preserve"> </w:t>
      </w:r>
      <w:r w:rsidRPr="00FD211F">
        <w:rPr>
          <w:sz w:val="36"/>
          <w:szCs w:val="36"/>
          <w:rtl/>
        </w:rPr>
        <w:t>الوجداني</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الاستن</w:t>
      </w:r>
      <w:r w:rsidR="004428F4" w:rsidRPr="00FD211F">
        <w:rPr>
          <w:sz w:val="36"/>
          <w:szCs w:val="36"/>
          <w:rtl/>
        </w:rPr>
        <w:t>ب</w:t>
      </w:r>
      <w:r w:rsidRPr="00FD211F">
        <w:rPr>
          <w:sz w:val="36"/>
          <w:szCs w:val="36"/>
          <w:rtl/>
        </w:rPr>
        <w:t>اط</w:t>
      </w:r>
      <w:r w:rsidR="00E8128F">
        <w:rPr>
          <w:sz w:val="36"/>
          <w:szCs w:val="36"/>
          <w:rtl/>
        </w:rPr>
        <w:t xml:space="preserve"> </w:t>
      </w:r>
      <w:r w:rsidRPr="00FD211F">
        <w:rPr>
          <w:sz w:val="36"/>
          <w:szCs w:val="36"/>
          <w:rtl/>
        </w:rPr>
        <w:t>التعبدي</w:t>
      </w:r>
      <w:r w:rsidR="00E8128F">
        <w:rPr>
          <w:sz w:val="36"/>
          <w:szCs w:val="36"/>
          <w:rtl/>
        </w:rPr>
        <w:t xml:space="preserve"> </w:t>
      </w:r>
      <w:r w:rsidRPr="00FD211F">
        <w:rPr>
          <w:sz w:val="36"/>
          <w:szCs w:val="36"/>
          <w:rtl/>
        </w:rPr>
        <w:t>–</w:t>
      </w:r>
      <w:r w:rsidRPr="00FD211F">
        <w:rPr>
          <w:sz w:val="36"/>
          <w:szCs w:val="36"/>
          <w:rtl/>
        </w:rPr>
        <w:lastRenderedPageBreak/>
        <w:t>كما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استنباط</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الامارات</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كونها</w:t>
      </w:r>
      <w:r w:rsidR="00E8128F">
        <w:rPr>
          <w:sz w:val="36"/>
          <w:szCs w:val="36"/>
          <w:rtl/>
        </w:rPr>
        <w:t xml:space="preserve"> </w:t>
      </w:r>
      <w:r w:rsidRPr="00FD211F">
        <w:rPr>
          <w:sz w:val="36"/>
          <w:szCs w:val="36"/>
          <w:rtl/>
        </w:rPr>
        <w:t>علما</w:t>
      </w:r>
      <w:r w:rsidR="00E8128F">
        <w:rPr>
          <w:sz w:val="36"/>
          <w:szCs w:val="36"/>
          <w:rtl/>
        </w:rPr>
        <w:t xml:space="preserve"> </w:t>
      </w:r>
      <w:r w:rsidRPr="00FD211F">
        <w:rPr>
          <w:sz w:val="36"/>
          <w:szCs w:val="36"/>
          <w:rtl/>
        </w:rPr>
        <w:t>بالواقع</w:t>
      </w:r>
      <w:r w:rsidR="00E8128F">
        <w:rPr>
          <w:sz w:val="36"/>
          <w:szCs w:val="36"/>
          <w:rtl/>
        </w:rPr>
        <w:t xml:space="preserve"> </w:t>
      </w:r>
      <w:r w:rsidRPr="00FD211F">
        <w:rPr>
          <w:sz w:val="36"/>
          <w:szCs w:val="36"/>
          <w:rtl/>
        </w:rPr>
        <w:t>تعبدا</w:t>
      </w:r>
      <w:r w:rsidR="00E8128F">
        <w:rPr>
          <w:sz w:val="36"/>
          <w:szCs w:val="36"/>
          <w:rtl/>
        </w:rPr>
        <w:t xml:space="preserve"> </w:t>
      </w:r>
      <w:r w:rsidRPr="00FD211F">
        <w:rPr>
          <w:sz w:val="36"/>
          <w:szCs w:val="36"/>
          <w:rtl/>
        </w:rPr>
        <w:t>واعتبارا-</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الاستنباط</w:t>
      </w:r>
      <w:r w:rsidR="00E8128F">
        <w:rPr>
          <w:sz w:val="36"/>
          <w:szCs w:val="36"/>
          <w:rtl/>
        </w:rPr>
        <w:t xml:space="preserve"> </w:t>
      </w:r>
      <w:r w:rsidRPr="00FD211F">
        <w:rPr>
          <w:sz w:val="36"/>
          <w:szCs w:val="36"/>
          <w:rtl/>
        </w:rPr>
        <w:t>التنجيزي</w:t>
      </w:r>
      <w:r w:rsidR="00E8128F">
        <w:rPr>
          <w:sz w:val="36"/>
          <w:szCs w:val="36"/>
          <w:rtl/>
        </w:rPr>
        <w:t xml:space="preserve"> </w:t>
      </w:r>
      <w:r w:rsidRPr="00FD211F">
        <w:rPr>
          <w:sz w:val="36"/>
          <w:szCs w:val="36"/>
          <w:rtl/>
        </w:rPr>
        <w:t>والتعذيري</w:t>
      </w:r>
      <w:r w:rsidR="00603323" w:rsidRPr="00FD211F">
        <w:rPr>
          <w:sz w:val="36"/>
          <w:szCs w:val="36"/>
          <w:rtl/>
        </w:rPr>
        <w:t>،</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الواقعي</w:t>
      </w:r>
      <w:r w:rsidR="00E8128F">
        <w:rPr>
          <w:sz w:val="36"/>
          <w:szCs w:val="36"/>
          <w:rtl/>
        </w:rPr>
        <w:t xml:space="preserve"> </w:t>
      </w:r>
      <w:r w:rsidRPr="00FD211F">
        <w:rPr>
          <w:sz w:val="36"/>
          <w:szCs w:val="36"/>
          <w:rtl/>
        </w:rPr>
        <w:t>لشرب</w:t>
      </w:r>
      <w:r w:rsidR="00E8128F">
        <w:rPr>
          <w:sz w:val="36"/>
          <w:szCs w:val="36"/>
          <w:rtl/>
        </w:rPr>
        <w:t xml:space="preserve"> </w:t>
      </w:r>
      <w:r w:rsidRPr="00FD211F">
        <w:rPr>
          <w:sz w:val="36"/>
          <w:szCs w:val="36"/>
          <w:rtl/>
        </w:rPr>
        <w:t>التتن</w:t>
      </w:r>
      <w:r w:rsidR="00E8128F">
        <w:rPr>
          <w:sz w:val="36"/>
          <w:szCs w:val="36"/>
          <w:rtl/>
        </w:rPr>
        <w:t xml:space="preserve"> </w:t>
      </w:r>
      <w:r w:rsidRPr="00FD211F">
        <w:rPr>
          <w:sz w:val="36"/>
          <w:szCs w:val="36"/>
          <w:rtl/>
        </w:rPr>
        <w:t>مستنبطا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جريان</w:t>
      </w:r>
      <w:r w:rsidR="00E8128F">
        <w:rPr>
          <w:sz w:val="36"/>
          <w:szCs w:val="36"/>
          <w:rtl/>
        </w:rPr>
        <w:t xml:space="preserve"> </w:t>
      </w:r>
      <w:r w:rsidRPr="00FD211F">
        <w:rPr>
          <w:sz w:val="36"/>
          <w:szCs w:val="36"/>
          <w:rtl/>
        </w:rPr>
        <w:t>اصال</w:t>
      </w:r>
      <w:r w:rsidR="00EC7EDF" w:rsidRPr="00FD211F">
        <w:rPr>
          <w:sz w:val="36"/>
          <w:szCs w:val="36"/>
          <w:rtl/>
        </w:rPr>
        <w:t>ة</w:t>
      </w:r>
      <w:r w:rsidR="00E8128F">
        <w:rPr>
          <w:sz w:val="36"/>
          <w:szCs w:val="36"/>
          <w:rtl/>
        </w:rPr>
        <w:t xml:space="preserve"> </w:t>
      </w:r>
      <w:r w:rsidRPr="00FD211F">
        <w:rPr>
          <w:sz w:val="36"/>
          <w:szCs w:val="36"/>
          <w:rtl/>
        </w:rPr>
        <w:t>الب</w:t>
      </w:r>
      <w:r w:rsidR="008D7B3D" w:rsidRPr="00FD211F">
        <w:rPr>
          <w:sz w:val="36"/>
          <w:szCs w:val="36"/>
          <w:rtl/>
        </w:rPr>
        <w:t>راءة</w:t>
      </w:r>
      <w:r w:rsidR="00E8128F">
        <w:rPr>
          <w:sz w:val="36"/>
          <w:szCs w:val="36"/>
          <w:rtl/>
        </w:rPr>
        <w:t xml:space="preserve"> </w:t>
      </w:r>
      <w:r w:rsidRPr="00FD211F">
        <w:rPr>
          <w:sz w:val="36"/>
          <w:szCs w:val="36"/>
          <w:rtl/>
        </w:rPr>
        <w:t>فيه</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المفروض</w:t>
      </w:r>
      <w:r w:rsidR="00E8128F">
        <w:rPr>
          <w:sz w:val="36"/>
          <w:szCs w:val="36"/>
          <w:rtl/>
        </w:rPr>
        <w:t xml:space="preserve"> </w:t>
      </w:r>
      <w:r w:rsidRPr="00FD211F">
        <w:rPr>
          <w:sz w:val="36"/>
          <w:szCs w:val="36"/>
          <w:rtl/>
        </w:rPr>
        <w:t>مغاير</w:t>
      </w:r>
      <w:r w:rsidR="00EC7EDF" w:rsidRPr="00FD211F">
        <w:rPr>
          <w:sz w:val="36"/>
          <w:szCs w:val="36"/>
          <w:rtl/>
        </w:rPr>
        <w:t>ة</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الواقعي</w:t>
      </w:r>
      <w:r w:rsidR="00E8128F">
        <w:rPr>
          <w:sz w:val="36"/>
          <w:szCs w:val="36"/>
          <w:rtl/>
        </w:rPr>
        <w:t xml:space="preserve"> </w:t>
      </w:r>
      <w:r w:rsidRPr="00FD211F">
        <w:rPr>
          <w:sz w:val="36"/>
          <w:szCs w:val="36"/>
          <w:rtl/>
        </w:rPr>
        <w:t>لشرب</w:t>
      </w:r>
      <w:r w:rsidR="00E8128F">
        <w:rPr>
          <w:sz w:val="36"/>
          <w:szCs w:val="36"/>
          <w:rtl/>
        </w:rPr>
        <w:t xml:space="preserve"> </w:t>
      </w:r>
      <w:r w:rsidRPr="00FD211F">
        <w:rPr>
          <w:sz w:val="36"/>
          <w:szCs w:val="36"/>
          <w:rtl/>
        </w:rPr>
        <w:t>التتن</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الب</w:t>
      </w:r>
      <w:r w:rsidR="008D7B3D" w:rsidRPr="00FD211F">
        <w:rPr>
          <w:sz w:val="36"/>
          <w:szCs w:val="36"/>
          <w:rtl/>
        </w:rPr>
        <w:t>راءة</w:t>
      </w:r>
      <w:r w:rsidR="00E8128F">
        <w:rPr>
          <w:sz w:val="36"/>
          <w:szCs w:val="36"/>
          <w:rtl/>
        </w:rPr>
        <w:t xml:space="preserve"> </w:t>
      </w:r>
      <w:r w:rsidRPr="00FD211F">
        <w:rPr>
          <w:sz w:val="36"/>
          <w:szCs w:val="36"/>
          <w:rtl/>
        </w:rPr>
        <w:t>عنه</w:t>
      </w:r>
      <w:r w:rsidR="00603323" w:rsidRPr="00FD211F">
        <w:rPr>
          <w:sz w:val="36"/>
          <w:szCs w:val="36"/>
          <w:rtl/>
        </w:rPr>
        <w:t>،</w:t>
      </w:r>
      <w:r w:rsidR="00E8128F">
        <w:rPr>
          <w:sz w:val="36"/>
          <w:szCs w:val="36"/>
          <w:rtl/>
        </w:rPr>
        <w:t xml:space="preserve"> </w:t>
      </w:r>
      <w:r w:rsidRPr="00FD211F">
        <w:rPr>
          <w:sz w:val="36"/>
          <w:szCs w:val="36"/>
          <w:rtl/>
        </w:rPr>
        <w:t>غاي</w:t>
      </w:r>
      <w:r w:rsidR="00EC7EDF" w:rsidRPr="00FD211F">
        <w:rPr>
          <w:sz w:val="36"/>
          <w:szCs w:val="36"/>
          <w:rtl/>
        </w:rPr>
        <w:t>ة</w:t>
      </w:r>
      <w:r w:rsidR="00E8128F">
        <w:rPr>
          <w:sz w:val="36"/>
          <w:szCs w:val="36"/>
          <w:rtl/>
        </w:rPr>
        <w:t xml:space="preserve"> </w:t>
      </w:r>
      <w:r w:rsidR="0090224F" w:rsidRPr="00FD211F">
        <w:rPr>
          <w:sz w:val="36"/>
          <w:szCs w:val="36"/>
          <w:rtl/>
        </w:rPr>
        <w:t>الأمر</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استنباط</w:t>
      </w:r>
      <w:r w:rsidR="00E8128F">
        <w:rPr>
          <w:sz w:val="36"/>
          <w:szCs w:val="36"/>
          <w:rtl/>
        </w:rPr>
        <w:t xml:space="preserve"> </w:t>
      </w:r>
      <w:r w:rsidRPr="00FD211F">
        <w:rPr>
          <w:sz w:val="36"/>
          <w:szCs w:val="36"/>
          <w:rtl/>
        </w:rPr>
        <w:t>حكمه</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الواقعي</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استنباط</w:t>
      </w:r>
      <w:r w:rsidR="00FC22D0" w:rsidRPr="00FD211F">
        <w:rPr>
          <w:sz w:val="36"/>
          <w:szCs w:val="36"/>
          <w:rtl/>
        </w:rPr>
        <w:t>ا</w:t>
      </w:r>
      <w:r w:rsidR="00E8128F">
        <w:rPr>
          <w:sz w:val="36"/>
          <w:szCs w:val="36"/>
          <w:rtl/>
        </w:rPr>
        <w:t xml:space="preserve"> </w:t>
      </w:r>
      <w:r w:rsidR="00CD64C3" w:rsidRPr="00FD211F">
        <w:rPr>
          <w:sz w:val="36"/>
          <w:szCs w:val="36"/>
          <w:rtl/>
        </w:rPr>
        <w:t>تعذيريا</w:t>
      </w:r>
      <w:r w:rsidR="00E8128F">
        <w:rPr>
          <w:sz w:val="36"/>
          <w:szCs w:val="36"/>
          <w:rtl/>
        </w:rPr>
        <w:t xml:space="preserve"> </w:t>
      </w:r>
      <w:r w:rsidR="00CD64C3" w:rsidRPr="00FD211F">
        <w:rPr>
          <w:sz w:val="36"/>
          <w:szCs w:val="36"/>
          <w:rtl/>
        </w:rPr>
        <w:t>لااكثر</w:t>
      </w:r>
      <w:r w:rsidR="00603323" w:rsidRPr="00FD211F">
        <w:rPr>
          <w:sz w:val="36"/>
          <w:szCs w:val="36"/>
          <w:rtl/>
        </w:rPr>
        <w:t>،</w:t>
      </w:r>
      <w:r w:rsidR="00E8128F">
        <w:rPr>
          <w:sz w:val="36"/>
          <w:szCs w:val="36"/>
          <w:rtl/>
        </w:rPr>
        <w:t xml:space="preserve"> </w:t>
      </w:r>
      <w:r w:rsidR="00CD64C3" w:rsidRPr="00FD211F">
        <w:rPr>
          <w:sz w:val="36"/>
          <w:szCs w:val="36"/>
          <w:rtl/>
        </w:rPr>
        <w:t>وان</w:t>
      </w:r>
      <w:r w:rsidR="00E8128F">
        <w:rPr>
          <w:sz w:val="36"/>
          <w:szCs w:val="36"/>
          <w:rtl/>
        </w:rPr>
        <w:t xml:space="preserve"> </w:t>
      </w:r>
      <w:r w:rsidR="00CD64C3" w:rsidRPr="00FD211F">
        <w:rPr>
          <w:sz w:val="36"/>
          <w:szCs w:val="36"/>
          <w:rtl/>
        </w:rPr>
        <w:t>شئت</w:t>
      </w:r>
      <w:r w:rsidR="00E8128F">
        <w:rPr>
          <w:sz w:val="36"/>
          <w:szCs w:val="36"/>
          <w:rtl/>
        </w:rPr>
        <w:t xml:space="preserve"> </w:t>
      </w:r>
      <w:r w:rsidR="00CD64C3" w:rsidRPr="00FD211F">
        <w:rPr>
          <w:sz w:val="36"/>
          <w:szCs w:val="36"/>
          <w:rtl/>
        </w:rPr>
        <w:t>فعبّر</w:t>
      </w:r>
      <w:r w:rsidR="00E8128F">
        <w:rPr>
          <w:sz w:val="36"/>
          <w:szCs w:val="36"/>
          <w:rtl/>
        </w:rPr>
        <w:t xml:space="preserve"> </w:t>
      </w:r>
      <w:r w:rsidR="00105148" w:rsidRPr="00FD211F">
        <w:rPr>
          <w:sz w:val="36"/>
          <w:szCs w:val="36"/>
          <w:rtl/>
        </w:rPr>
        <w:t>عنه</w:t>
      </w:r>
      <w:r w:rsidR="00E8128F">
        <w:rPr>
          <w:sz w:val="36"/>
          <w:szCs w:val="36"/>
          <w:rtl/>
        </w:rPr>
        <w:t xml:space="preserve"> </w:t>
      </w:r>
      <w:r w:rsidR="00CD64C3" w:rsidRPr="00FD211F">
        <w:rPr>
          <w:sz w:val="36"/>
          <w:szCs w:val="36"/>
          <w:rtl/>
        </w:rPr>
        <w:t>باستكشاف</w:t>
      </w:r>
      <w:r w:rsidR="00E8128F">
        <w:rPr>
          <w:sz w:val="36"/>
          <w:szCs w:val="36"/>
          <w:rtl/>
        </w:rPr>
        <w:t xml:space="preserve"> </w:t>
      </w:r>
      <w:r w:rsidR="00CD64C3" w:rsidRPr="00FD211F">
        <w:rPr>
          <w:sz w:val="36"/>
          <w:szCs w:val="36"/>
          <w:rtl/>
        </w:rPr>
        <w:t>حال</w:t>
      </w:r>
      <w:r w:rsidR="00E8128F">
        <w:rPr>
          <w:sz w:val="36"/>
          <w:szCs w:val="36"/>
          <w:rtl/>
        </w:rPr>
        <w:t xml:space="preserve"> </w:t>
      </w:r>
      <w:r w:rsidR="00CD64C3" w:rsidRPr="00FD211F">
        <w:rPr>
          <w:sz w:val="36"/>
          <w:szCs w:val="36"/>
          <w:rtl/>
        </w:rPr>
        <w:t>الاحكام</w:t>
      </w:r>
      <w:r w:rsidR="00E8128F">
        <w:rPr>
          <w:sz w:val="36"/>
          <w:szCs w:val="36"/>
          <w:rtl/>
        </w:rPr>
        <w:t xml:space="preserve"> </w:t>
      </w:r>
      <w:r w:rsidR="00CD64C3" w:rsidRPr="00FD211F">
        <w:rPr>
          <w:sz w:val="36"/>
          <w:szCs w:val="36"/>
          <w:rtl/>
        </w:rPr>
        <w:t>الشرعي</w:t>
      </w:r>
      <w:r w:rsidR="00EC7EDF" w:rsidRPr="00FD211F">
        <w:rPr>
          <w:sz w:val="36"/>
          <w:szCs w:val="36"/>
          <w:rtl/>
        </w:rPr>
        <w:t>ة</w:t>
      </w:r>
      <w:r w:rsidR="00E8128F">
        <w:rPr>
          <w:sz w:val="36"/>
          <w:szCs w:val="36"/>
          <w:rtl/>
        </w:rPr>
        <w:t xml:space="preserve"> </w:t>
      </w:r>
      <w:r w:rsidR="00CD64C3" w:rsidRPr="00FD211F">
        <w:rPr>
          <w:sz w:val="36"/>
          <w:szCs w:val="36"/>
          <w:rtl/>
        </w:rPr>
        <w:t>الواقعي</w:t>
      </w:r>
      <w:r w:rsidR="00EC7EDF" w:rsidRPr="00FD211F">
        <w:rPr>
          <w:sz w:val="36"/>
          <w:szCs w:val="36"/>
          <w:rtl/>
        </w:rPr>
        <w:t>ة</w:t>
      </w:r>
      <w:r w:rsidR="00603323" w:rsidRPr="00FD211F">
        <w:rPr>
          <w:sz w:val="36"/>
          <w:szCs w:val="36"/>
          <w:rtl/>
        </w:rPr>
        <w:t>،</w:t>
      </w:r>
      <w:r w:rsidR="00E8128F">
        <w:rPr>
          <w:sz w:val="36"/>
          <w:szCs w:val="36"/>
          <w:rtl/>
        </w:rPr>
        <w:t xml:space="preserve"> </w:t>
      </w:r>
      <w:r w:rsidR="00CD64C3" w:rsidRPr="00FD211F">
        <w:rPr>
          <w:sz w:val="36"/>
          <w:szCs w:val="36"/>
          <w:rtl/>
        </w:rPr>
        <w:t>فان</w:t>
      </w:r>
      <w:r w:rsidR="00E8128F">
        <w:rPr>
          <w:sz w:val="36"/>
          <w:szCs w:val="36"/>
          <w:rtl/>
        </w:rPr>
        <w:t xml:space="preserve"> </w:t>
      </w:r>
      <w:r w:rsidR="00CD64C3" w:rsidRPr="00FD211F">
        <w:rPr>
          <w:sz w:val="36"/>
          <w:szCs w:val="36"/>
          <w:rtl/>
        </w:rPr>
        <w:t>المفروض</w:t>
      </w:r>
      <w:r w:rsidR="00E8128F">
        <w:rPr>
          <w:sz w:val="36"/>
          <w:szCs w:val="36"/>
          <w:rtl/>
        </w:rPr>
        <w:t xml:space="preserve"> </w:t>
      </w:r>
      <w:r w:rsidR="00CD64C3" w:rsidRPr="00FD211F">
        <w:rPr>
          <w:sz w:val="36"/>
          <w:szCs w:val="36"/>
          <w:rtl/>
        </w:rPr>
        <w:t>ان</w:t>
      </w:r>
      <w:r w:rsidR="00E8128F">
        <w:rPr>
          <w:sz w:val="36"/>
          <w:szCs w:val="36"/>
          <w:rtl/>
        </w:rPr>
        <w:t xml:space="preserve"> </w:t>
      </w:r>
      <w:r w:rsidR="00CD64C3" w:rsidRPr="00FD211F">
        <w:rPr>
          <w:sz w:val="36"/>
          <w:szCs w:val="36"/>
          <w:rtl/>
        </w:rPr>
        <w:t>الاصول</w:t>
      </w:r>
      <w:r w:rsidR="00E8128F">
        <w:rPr>
          <w:sz w:val="36"/>
          <w:szCs w:val="36"/>
          <w:rtl/>
        </w:rPr>
        <w:t xml:space="preserve"> </w:t>
      </w:r>
      <w:r w:rsidR="00CD64C3" w:rsidRPr="00FD211F">
        <w:rPr>
          <w:sz w:val="36"/>
          <w:szCs w:val="36"/>
          <w:rtl/>
        </w:rPr>
        <w:t>العملي</w:t>
      </w:r>
      <w:r w:rsidR="00EC7EDF" w:rsidRPr="00FD211F">
        <w:rPr>
          <w:sz w:val="36"/>
          <w:szCs w:val="36"/>
          <w:rtl/>
        </w:rPr>
        <w:t>ة</w:t>
      </w:r>
      <w:r w:rsidR="00E8128F">
        <w:rPr>
          <w:sz w:val="36"/>
          <w:szCs w:val="36"/>
          <w:rtl/>
        </w:rPr>
        <w:t xml:space="preserve"> </w:t>
      </w:r>
      <w:r w:rsidR="00CD64C3" w:rsidRPr="00FD211F">
        <w:rPr>
          <w:sz w:val="36"/>
          <w:szCs w:val="36"/>
          <w:rtl/>
        </w:rPr>
        <w:t>تستكشف</w:t>
      </w:r>
      <w:r w:rsidR="00E8128F">
        <w:rPr>
          <w:sz w:val="36"/>
          <w:szCs w:val="36"/>
          <w:rtl/>
        </w:rPr>
        <w:t xml:space="preserve"> </w:t>
      </w:r>
      <w:r w:rsidR="00CD64C3" w:rsidRPr="00FD211F">
        <w:rPr>
          <w:sz w:val="36"/>
          <w:szCs w:val="36"/>
          <w:rtl/>
        </w:rPr>
        <w:t>حال</w:t>
      </w:r>
      <w:r w:rsidR="00E8128F">
        <w:rPr>
          <w:sz w:val="36"/>
          <w:szCs w:val="36"/>
          <w:rtl/>
        </w:rPr>
        <w:t xml:space="preserve"> </w:t>
      </w:r>
      <w:r w:rsidR="00CD64C3" w:rsidRPr="00FD211F">
        <w:rPr>
          <w:sz w:val="36"/>
          <w:szCs w:val="36"/>
          <w:rtl/>
        </w:rPr>
        <w:t>الحكم</w:t>
      </w:r>
      <w:r w:rsidR="00E8128F">
        <w:rPr>
          <w:sz w:val="36"/>
          <w:szCs w:val="36"/>
          <w:rtl/>
        </w:rPr>
        <w:t xml:space="preserve"> </w:t>
      </w:r>
      <w:r w:rsidR="00CD64C3" w:rsidRPr="00FD211F">
        <w:rPr>
          <w:sz w:val="36"/>
          <w:szCs w:val="36"/>
          <w:rtl/>
        </w:rPr>
        <w:t>الواقعي</w:t>
      </w:r>
      <w:r w:rsidR="00E8128F">
        <w:rPr>
          <w:sz w:val="36"/>
          <w:szCs w:val="36"/>
          <w:rtl/>
        </w:rPr>
        <w:t xml:space="preserve"> </w:t>
      </w:r>
      <w:r w:rsidR="00CD64C3" w:rsidRPr="00FD211F">
        <w:rPr>
          <w:sz w:val="36"/>
          <w:szCs w:val="36"/>
          <w:rtl/>
        </w:rPr>
        <w:t>من</w:t>
      </w:r>
      <w:r w:rsidR="00E8128F">
        <w:rPr>
          <w:sz w:val="36"/>
          <w:szCs w:val="36"/>
          <w:rtl/>
        </w:rPr>
        <w:t xml:space="preserve"> </w:t>
      </w:r>
      <w:r w:rsidR="00CD64C3" w:rsidRPr="00FD211F">
        <w:rPr>
          <w:sz w:val="36"/>
          <w:szCs w:val="36"/>
          <w:rtl/>
        </w:rPr>
        <w:t>حيث</w:t>
      </w:r>
      <w:r w:rsidR="00E8128F">
        <w:rPr>
          <w:sz w:val="36"/>
          <w:szCs w:val="36"/>
          <w:rtl/>
        </w:rPr>
        <w:t xml:space="preserve"> </w:t>
      </w:r>
      <w:r w:rsidR="00CD64C3" w:rsidRPr="00FD211F">
        <w:rPr>
          <w:sz w:val="36"/>
          <w:szCs w:val="36"/>
          <w:rtl/>
        </w:rPr>
        <w:t>تنجيزه</w:t>
      </w:r>
      <w:r w:rsidR="00E8128F">
        <w:rPr>
          <w:sz w:val="36"/>
          <w:szCs w:val="36"/>
          <w:rtl/>
        </w:rPr>
        <w:t xml:space="preserve"> </w:t>
      </w:r>
      <w:r w:rsidR="00CD64C3" w:rsidRPr="00FD211F">
        <w:rPr>
          <w:sz w:val="36"/>
          <w:szCs w:val="36"/>
          <w:rtl/>
        </w:rPr>
        <w:t>وتعذيره</w:t>
      </w:r>
      <w:r w:rsidR="00CA26A2" w:rsidRPr="00FD211F">
        <w:rPr>
          <w:sz w:val="36"/>
          <w:szCs w:val="36"/>
          <w:rtl/>
        </w:rPr>
        <w:t>.</w:t>
      </w:r>
    </w:p>
    <w:p w14:paraId="2ABDDF45" w14:textId="77777777" w:rsidR="00DD1C3B" w:rsidRPr="00FD211F" w:rsidRDefault="00731778" w:rsidP="009C58C8">
      <w:pPr>
        <w:pStyle w:val="3"/>
        <w:ind w:firstLine="227"/>
        <w:jc w:val="both"/>
        <w:rPr>
          <w:rtl/>
        </w:rPr>
      </w:pPr>
      <w:bookmarkStart w:id="15" w:name="_Toc154131707"/>
      <w:bookmarkStart w:id="16" w:name="_Toc156401495"/>
      <w:bookmarkStart w:id="17" w:name="_Toc192092841"/>
      <w:bookmarkStart w:id="18" w:name="_Toc223890308"/>
      <w:r w:rsidRPr="00FD211F">
        <w:rPr>
          <w:rtl/>
        </w:rPr>
        <w:t>الايراد</w:t>
      </w:r>
      <w:r w:rsidR="00E8128F">
        <w:rPr>
          <w:rtl/>
        </w:rPr>
        <w:t xml:space="preserve"> </w:t>
      </w:r>
      <w:r w:rsidR="009E0B06" w:rsidRPr="00FD211F">
        <w:rPr>
          <w:rtl/>
        </w:rPr>
        <w:t>الثاني</w:t>
      </w:r>
      <w:r w:rsidR="00E8128F">
        <w:rPr>
          <w:rtl/>
        </w:rPr>
        <w:t xml:space="preserve"> </w:t>
      </w:r>
      <w:r w:rsidR="00DD1C3B" w:rsidRPr="00FD211F">
        <w:rPr>
          <w:rtl/>
        </w:rPr>
        <w:t>على</w:t>
      </w:r>
      <w:r w:rsidR="00E8128F">
        <w:rPr>
          <w:rtl/>
        </w:rPr>
        <w:t xml:space="preserve"> </w:t>
      </w:r>
      <w:r w:rsidR="00DD1C3B" w:rsidRPr="00FD211F">
        <w:rPr>
          <w:rtl/>
        </w:rPr>
        <w:t>تعريف</w:t>
      </w:r>
      <w:r w:rsidR="00E8128F">
        <w:rPr>
          <w:rtl/>
        </w:rPr>
        <w:t xml:space="preserve"> </w:t>
      </w:r>
      <w:r w:rsidR="00DD1C3B" w:rsidRPr="00FD211F">
        <w:rPr>
          <w:rtl/>
        </w:rPr>
        <w:t>المشهور</w:t>
      </w:r>
      <w:bookmarkEnd w:id="15"/>
      <w:bookmarkEnd w:id="16"/>
      <w:bookmarkEnd w:id="17"/>
      <w:bookmarkEnd w:id="18"/>
    </w:p>
    <w:p w14:paraId="512B2718" w14:textId="77777777" w:rsidR="00F036EB" w:rsidRPr="00FD211F" w:rsidRDefault="00731778" w:rsidP="009C58C8">
      <w:pPr>
        <w:ind w:left="0" w:firstLine="227"/>
        <w:jc w:val="both"/>
        <w:rPr>
          <w:sz w:val="36"/>
          <w:szCs w:val="36"/>
          <w:rtl/>
        </w:rPr>
      </w:pPr>
      <w:r w:rsidRPr="00FD211F">
        <w:rPr>
          <w:b/>
          <w:bCs/>
          <w:sz w:val="36"/>
          <w:szCs w:val="36"/>
          <w:rtl/>
        </w:rPr>
        <w:t>الايراد</w:t>
      </w:r>
      <w:r w:rsidR="00E8128F">
        <w:rPr>
          <w:b/>
          <w:bCs/>
          <w:sz w:val="36"/>
          <w:szCs w:val="36"/>
          <w:rtl/>
        </w:rPr>
        <w:t xml:space="preserve"> </w:t>
      </w:r>
      <w:r w:rsidR="00DD1C3B" w:rsidRPr="00FD211F">
        <w:rPr>
          <w:b/>
          <w:bCs/>
          <w:sz w:val="36"/>
          <w:szCs w:val="36"/>
          <w:rtl/>
        </w:rPr>
        <w:t>الثاني</w:t>
      </w:r>
      <w:r w:rsidR="009E0B06" w:rsidRPr="00FD211F">
        <w:rPr>
          <w:sz w:val="36"/>
          <w:szCs w:val="36"/>
          <w:rtl/>
        </w:rPr>
        <w:t>:</w:t>
      </w:r>
      <w:r w:rsidR="00E8128F">
        <w:rPr>
          <w:sz w:val="36"/>
          <w:szCs w:val="36"/>
          <w:rtl/>
        </w:rPr>
        <w:t xml:space="preserve"> </w:t>
      </w:r>
      <w:r w:rsidR="00DC134A" w:rsidRPr="00FD211F">
        <w:rPr>
          <w:sz w:val="36"/>
          <w:szCs w:val="36"/>
          <w:rtl/>
        </w:rPr>
        <w:t>ما</w:t>
      </w:r>
      <w:r w:rsidR="00E8128F">
        <w:rPr>
          <w:sz w:val="36"/>
          <w:szCs w:val="36"/>
          <w:rtl/>
        </w:rPr>
        <w:t xml:space="preserve"> </w:t>
      </w:r>
      <w:r w:rsidR="009E0B06" w:rsidRPr="00FD211F">
        <w:rPr>
          <w:sz w:val="36"/>
          <w:szCs w:val="36"/>
          <w:rtl/>
        </w:rPr>
        <w:t>ذكر</w:t>
      </w:r>
      <w:r w:rsidR="00DC134A" w:rsidRPr="00FD211F">
        <w:rPr>
          <w:sz w:val="36"/>
          <w:szCs w:val="36"/>
          <w:rtl/>
        </w:rPr>
        <w:t>ه</w:t>
      </w:r>
      <w:r w:rsidR="00E8128F">
        <w:rPr>
          <w:sz w:val="36"/>
          <w:szCs w:val="36"/>
          <w:rtl/>
        </w:rPr>
        <w:t xml:space="preserve"> </w:t>
      </w:r>
      <w:r w:rsidR="009E0B06" w:rsidRPr="00FD211F">
        <w:rPr>
          <w:sz w:val="36"/>
          <w:szCs w:val="36"/>
          <w:rtl/>
        </w:rPr>
        <w:t>المحقق</w:t>
      </w:r>
      <w:r w:rsidR="00E8128F">
        <w:rPr>
          <w:sz w:val="36"/>
          <w:szCs w:val="36"/>
          <w:rtl/>
        </w:rPr>
        <w:t xml:space="preserve"> </w:t>
      </w:r>
      <w:r w:rsidR="009E0B06" w:rsidRPr="00FD211F">
        <w:rPr>
          <w:sz w:val="36"/>
          <w:szCs w:val="36"/>
          <w:rtl/>
        </w:rPr>
        <w:t>الاصفهاني</w:t>
      </w:r>
      <w:r w:rsidR="00A61BAE" w:rsidRPr="00FD211F">
        <w:rPr>
          <w:sz w:val="36"/>
          <w:szCs w:val="36"/>
          <w:rtl/>
        </w:rPr>
        <w:t>"قده"</w:t>
      </w:r>
      <w:r w:rsidR="00E8128F">
        <w:rPr>
          <w:sz w:val="36"/>
          <w:szCs w:val="36"/>
          <w:rtl/>
        </w:rPr>
        <w:t xml:space="preserve"> </w:t>
      </w:r>
      <w:r w:rsidR="00DC134A" w:rsidRPr="00FD211F">
        <w:rPr>
          <w:sz w:val="36"/>
          <w:szCs w:val="36"/>
          <w:rtl/>
        </w:rPr>
        <w:t>من</w:t>
      </w:r>
      <w:r w:rsidR="00E8128F">
        <w:rPr>
          <w:sz w:val="36"/>
          <w:szCs w:val="36"/>
          <w:rtl/>
        </w:rPr>
        <w:t xml:space="preserve"> </w:t>
      </w:r>
      <w:r w:rsidR="00F036EB" w:rsidRPr="00FD211F">
        <w:rPr>
          <w:sz w:val="36"/>
          <w:szCs w:val="36"/>
          <w:rtl/>
        </w:rPr>
        <w:t>ان</w:t>
      </w:r>
      <w:r w:rsidR="00E8128F">
        <w:rPr>
          <w:sz w:val="36"/>
          <w:szCs w:val="36"/>
          <w:rtl/>
        </w:rPr>
        <w:t xml:space="preserve"> </w:t>
      </w:r>
      <w:r w:rsidR="00F036EB" w:rsidRPr="00FD211F">
        <w:rPr>
          <w:sz w:val="36"/>
          <w:szCs w:val="36"/>
          <w:rtl/>
        </w:rPr>
        <w:t>تعريف</w:t>
      </w:r>
      <w:r w:rsidR="00E8128F">
        <w:rPr>
          <w:sz w:val="36"/>
          <w:szCs w:val="36"/>
          <w:rtl/>
        </w:rPr>
        <w:t xml:space="preserve"> </w:t>
      </w:r>
      <w:r w:rsidR="00F036EB" w:rsidRPr="00FD211F">
        <w:rPr>
          <w:sz w:val="36"/>
          <w:szCs w:val="36"/>
          <w:rtl/>
        </w:rPr>
        <w:t>المشهور</w:t>
      </w:r>
      <w:r w:rsidR="00E8128F">
        <w:rPr>
          <w:sz w:val="36"/>
          <w:szCs w:val="36"/>
          <w:rtl/>
        </w:rPr>
        <w:t xml:space="preserve"> </w:t>
      </w:r>
      <w:r w:rsidR="00F036EB" w:rsidRPr="00FD211F">
        <w:rPr>
          <w:sz w:val="36"/>
          <w:szCs w:val="36"/>
          <w:rtl/>
        </w:rPr>
        <w:t>لايشمل</w:t>
      </w:r>
      <w:r w:rsidR="00E8128F">
        <w:rPr>
          <w:sz w:val="36"/>
          <w:szCs w:val="36"/>
          <w:rtl/>
        </w:rPr>
        <w:t xml:space="preserve"> </w:t>
      </w:r>
      <w:r w:rsidR="00DD1C3B" w:rsidRPr="00FD211F">
        <w:rPr>
          <w:sz w:val="36"/>
          <w:szCs w:val="36"/>
          <w:rtl/>
        </w:rPr>
        <w:t>القواعد</w:t>
      </w:r>
      <w:r w:rsidR="00E8128F">
        <w:rPr>
          <w:sz w:val="36"/>
          <w:szCs w:val="36"/>
          <w:rtl/>
        </w:rPr>
        <w:t xml:space="preserve"> </w:t>
      </w:r>
      <w:r w:rsidR="00F036EB" w:rsidRPr="00FD211F">
        <w:rPr>
          <w:sz w:val="36"/>
          <w:szCs w:val="36"/>
          <w:rtl/>
        </w:rPr>
        <w:t>العقلي</w:t>
      </w:r>
      <w:r w:rsidR="00EC7EDF" w:rsidRPr="00FD211F">
        <w:rPr>
          <w:sz w:val="36"/>
          <w:szCs w:val="36"/>
          <w:rtl/>
        </w:rPr>
        <w:t>ة</w:t>
      </w:r>
      <w:r w:rsidR="00E8128F">
        <w:rPr>
          <w:sz w:val="36"/>
          <w:szCs w:val="36"/>
          <w:rtl/>
        </w:rPr>
        <w:t xml:space="preserve"> </w:t>
      </w:r>
      <w:r w:rsidR="00F036EB" w:rsidRPr="00FD211F">
        <w:rPr>
          <w:sz w:val="36"/>
          <w:szCs w:val="36"/>
          <w:rtl/>
        </w:rPr>
        <w:t>التي</w:t>
      </w:r>
      <w:r w:rsidR="00E8128F">
        <w:rPr>
          <w:sz w:val="36"/>
          <w:szCs w:val="36"/>
          <w:rtl/>
        </w:rPr>
        <w:t xml:space="preserve"> </w:t>
      </w:r>
      <w:r w:rsidR="00F036EB" w:rsidRPr="00FD211F">
        <w:rPr>
          <w:sz w:val="36"/>
          <w:szCs w:val="36"/>
          <w:rtl/>
        </w:rPr>
        <w:t>ي</w:t>
      </w:r>
      <w:r w:rsidR="00DD1C3B" w:rsidRPr="00FD211F">
        <w:rPr>
          <w:sz w:val="36"/>
          <w:szCs w:val="36"/>
          <w:rtl/>
        </w:rPr>
        <w:t>ستكشف</w:t>
      </w:r>
      <w:r w:rsidR="00E8128F">
        <w:rPr>
          <w:sz w:val="36"/>
          <w:szCs w:val="36"/>
          <w:rtl/>
        </w:rPr>
        <w:t xml:space="preserve"> </w:t>
      </w:r>
      <w:r w:rsidR="00DD1C3B" w:rsidRPr="00FD211F">
        <w:rPr>
          <w:sz w:val="36"/>
          <w:szCs w:val="36"/>
          <w:rtl/>
        </w:rPr>
        <w:t>بها</w:t>
      </w:r>
      <w:r w:rsidR="00E8128F">
        <w:rPr>
          <w:sz w:val="36"/>
          <w:szCs w:val="36"/>
          <w:rtl/>
        </w:rPr>
        <w:t xml:space="preserve"> </w:t>
      </w:r>
      <w:r w:rsidR="00F036EB" w:rsidRPr="00FD211F">
        <w:rPr>
          <w:sz w:val="36"/>
          <w:szCs w:val="36"/>
          <w:rtl/>
        </w:rPr>
        <w:t>الأحكام</w:t>
      </w:r>
      <w:r w:rsidR="00E8128F">
        <w:rPr>
          <w:sz w:val="36"/>
          <w:szCs w:val="36"/>
          <w:rtl/>
        </w:rPr>
        <w:t xml:space="preserve"> </w:t>
      </w:r>
      <w:r w:rsidR="00F036EB" w:rsidRPr="00FD211F">
        <w:rPr>
          <w:sz w:val="36"/>
          <w:szCs w:val="36"/>
          <w:rtl/>
        </w:rPr>
        <w:t>الشرعي</w:t>
      </w:r>
      <w:r w:rsidR="00EC7EDF" w:rsidRPr="00FD211F">
        <w:rPr>
          <w:sz w:val="36"/>
          <w:szCs w:val="36"/>
          <w:rtl/>
        </w:rPr>
        <w:t>ة</w:t>
      </w:r>
      <w:r w:rsidR="00603323" w:rsidRPr="00FD211F">
        <w:rPr>
          <w:sz w:val="36"/>
          <w:szCs w:val="36"/>
          <w:rtl/>
        </w:rPr>
        <w:t>،</w:t>
      </w:r>
      <w:r w:rsidR="00E8128F">
        <w:rPr>
          <w:sz w:val="36"/>
          <w:szCs w:val="36"/>
          <w:rtl/>
        </w:rPr>
        <w:t xml:space="preserve"> </w:t>
      </w:r>
      <w:r w:rsidR="00DD1C3B" w:rsidRPr="00FD211F">
        <w:rPr>
          <w:sz w:val="36"/>
          <w:szCs w:val="36"/>
          <w:rtl/>
        </w:rPr>
        <w:t>مثل</w:t>
      </w:r>
      <w:r w:rsidR="00E8128F">
        <w:rPr>
          <w:sz w:val="36"/>
          <w:szCs w:val="36"/>
          <w:rtl/>
        </w:rPr>
        <w:t xml:space="preserve"> </w:t>
      </w:r>
      <w:r w:rsidR="00DD1C3B" w:rsidRPr="00FD211F">
        <w:rPr>
          <w:sz w:val="36"/>
          <w:szCs w:val="36"/>
          <w:rtl/>
        </w:rPr>
        <w:t>قاعد</w:t>
      </w:r>
      <w:r w:rsidR="00EC7EDF" w:rsidRPr="00FD211F">
        <w:rPr>
          <w:sz w:val="36"/>
          <w:szCs w:val="36"/>
          <w:rtl/>
        </w:rPr>
        <w:t>ة</w:t>
      </w:r>
      <w:r w:rsidR="00E8128F">
        <w:rPr>
          <w:sz w:val="36"/>
          <w:szCs w:val="36"/>
          <w:rtl/>
        </w:rPr>
        <w:t xml:space="preserve"> </w:t>
      </w:r>
      <w:r w:rsidR="00DD1C3B" w:rsidRPr="00FD211F">
        <w:rPr>
          <w:sz w:val="36"/>
          <w:szCs w:val="36"/>
          <w:rtl/>
        </w:rPr>
        <w:t>الملازم</w:t>
      </w:r>
      <w:r w:rsidR="00EC7EDF" w:rsidRPr="00FD211F">
        <w:rPr>
          <w:sz w:val="36"/>
          <w:szCs w:val="36"/>
          <w:rtl/>
        </w:rPr>
        <w:t>ة</w:t>
      </w:r>
      <w:r w:rsidR="00E8128F">
        <w:rPr>
          <w:sz w:val="36"/>
          <w:szCs w:val="36"/>
          <w:rtl/>
        </w:rPr>
        <w:t xml:space="preserve"> </w:t>
      </w:r>
      <w:r w:rsidR="00DD1C3B" w:rsidRPr="00FD211F">
        <w:rPr>
          <w:sz w:val="36"/>
          <w:szCs w:val="36"/>
          <w:rtl/>
        </w:rPr>
        <w:t>بين</w:t>
      </w:r>
      <w:r w:rsidR="00E8128F">
        <w:rPr>
          <w:sz w:val="36"/>
          <w:szCs w:val="36"/>
          <w:rtl/>
        </w:rPr>
        <w:t xml:space="preserve"> </w:t>
      </w:r>
      <w:r w:rsidR="00DD1C3B" w:rsidRPr="00FD211F">
        <w:rPr>
          <w:sz w:val="36"/>
          <w:szCs w:val="36"/>
          <w:rtl/>
        </w:rPr>
        <w:t>وجوب</w:t>
      </w:r>
      <w:r w:rsidR="00E8128F">
        <w:rPr>
          <w:sz w:val="36"/>
          <w:szCs w:val="36"/>
          <w:rtl/>
        </w:rPr>
        <w:t xml:space="preserve"> </w:t>
      </w:r>
      <w:r w:rsidR="00DD1C3B" w:rsidRPr="00FD211F">
        <w:rPr>
          <w:sz w:val="36"/>
          <w:szCs w:val="36"/>
          <w:rtl/>
        </w:rPr>
        <w:t>المقدم</w:t>
      </w:r>
      <w:r w:rsidR="00EC7EDF" w:rsidRPr="00FD211F">
        <w:rPr>
          <w:sz w:val="36"/>
          <w:szCs w:val="36"/>
          <w:rtl/>
        </w:rPr>
        <w:t>ة</w:t>
      </w:r>
      <w:r w:rsidR="00E8128F">
        <w:rPr>
          <w:sz w:val="36"/>
          <w:szCs w:val="36"/>
          <w:rtl/>
        </w:rPr>
        <w:t xml:space="preserve"> </w:t>
      </w:r>
      <w:r w:rsidR="00DD1C3B" w:rsidRPr="00FD211F">
        <w:rPr>
          <w:sz w:val="36"/>
          <w:szCs w:val="36"/>
          <w:rtl/>
        </w:rPr>
        <w:t>ووجوب</w:t>
      </w:r>
      <w:r w:rsidR="00E8128F">
        <w:rPr>
          <w:sz w:val="36"/>
          <w:szCs w:val="36"/>
          <w:rtl/>
        </w:rPr>
        <w:t xml:space="preserve"> </w:t>
      </w:r>
      <w:r w:rsidR="00DD1C3B" w:rsidRPr="00FD211F">
        <w:rPr>
          <w:sz w:val="36"/>
          <w:szCs w:val="36"/>
          <w:rtl/>
        </w:rPr>
        <w:t>ذيها</w:t>
      </w:r>
      <w:r w:rsidR="00603323" w:rsidRPr="00FD211F">
        <w:rPr>
          <w:sz w:val="36"/>
          <w:szCs w:val="36"/>
          <w:rtl/>
        </w:rPr>
        <w:t>،</w:t>
      </w:r>
      <w:r w:rsidR="00E8128F">
        <w:rPr>
          <w:sz w:val="36"/>
          <w:szCs w:val="36"/>
          <w:rtl/>
        </w:rPr>
        <w:t xml:space="preserve"> </w:t>
      </w:r>
      <w:r w:rsidR="00DD1C3B" w:rsidRPr="00FD211F">
        <w:rPr>
          <w:sz w:val="36"/>
          <w:szCs w:val="36"/>
          <w:rtl/>
        </w:rPr>
        <w:t>حيث</w:t>
      </w:r>
      <w:r w:rsidR="00E8128F">
        <w:rPr>
          <w:sz w:val="36"/>
          <w:szCs w:val="36"/>
          <w:rtl/>
        </w:rPr>
        <w:t xml:space="preserve"> </w:t>
      </w:r>
      <w:r w:rsidR="00DD1C3B" w:rsidRPr="00FD211F">
        <w:rPr>
          <w:sz w:val="36"/>
          <w:szCs w:val="36"/>
          <w:rtl/>
        </w:rPr>
        <w:t>تكون</w:t>
      </w:r>
      <w:r w:rsidR="00E8128F">
        <w:rPr>
          <w:sz w:val="36"/>
          <w:szCs w:val="36"/>
          <w:rtl/>
        </w:rPr>
        <w:t xml:space="preserve"> </w:t>
      </w:r>
      <w:r w:rsidR="00DD1C3B" w:rsidRPr="00FD211F">
        <w:rPr>
          <w:sz w:val="36"/>
          <w:szCs w:val="36"/>
          <w:rtl/>
        </w:rPr>
        <w:t>بنفسها</w:t>
      </w:r>
      <w:r w:rsidR="00E8128F">
        <w:rPr>
          <w:sz w:val="36"/>
          <w:szCs w:val="36"/>
          <w:rtl/>
        </w:rPr>
        <w:t xml:space="preserve"> </w:t>
      </w:r>
      <w:r w:rsidR="00DD1C3B" w:rsidRPr="00FD211F">
        <w:rPr>
          <w:sz w:val="36"/>
          <w:szCs w:val="36"/>
          <w:rtl/>
        </w:rPr>
        <w:t>دليلا</w:t>
      </w:r>
      <w:r w:rsidR="00E8128F">
        <w:rPr>
          <w:sz w:val="36"/>
          <w:szCs w:val="36"/>
          <w:rtl/>
        </w:rPr>
        <w:t xml:space="preserve"> </w:t>
      </w:r>
      <w:r w:rsidR="00DD1C3B" w:rsidRPr="00FD211F">
        <w:rPr>
          <w:sz w:val="36"/>
          <w:szCs w:val="36"/>
          <w:rtl/>
        </w:rPr>
        <w:t>على</w:t>
      </w:r>
      <w:r w:rsidR="00E8128F">
        <w:rPr>
          <w:sz w:val="36"/>
          <w:szCs w:val="36"/>
          <w:rtl/>
        </w:rPr>
        <w:t xml:space="preserve"> </w:t>
      </w:r>
      <w:r w:rsidR="00DD1C3B" w:rsidRPr="00FD211F">
        <w:rPr>
          <w:sz w:val="36"/>
          <w:szCs w:val="36"/>
          <w:rtl/>
        </w:rPr>
        <w:t>وجوب</w:t>
      </w:r>
      <w:r w:rsidR="00E8128F">
        <w:rPr>
          <w:sz w:val="36"/>
          <w:szCs w:val="36"/>
          <w:rtl/>
        </w:rPr>
        <w:t xml:space="preserve"> </w:t>
      </w:r>
      <w:r w:rsidR="00DD1C3B" w:rsidRPr="00FD211F">
        <w:rPr>
          <w:sz w:val="36"/>
          <w:szCs w:val="36"/>
          <w:rtl/>
        </w:rPr>
        <w:t>المقدم</w:t>
      </w:r>
      <w:r w:rsidR="00EC7EDF" w:rsidRPr="00FD211F">
        <w:rPr>
          <w:sz w:val="36"/>
          <w:szCs w:val="36"/>
          <w:rtl/>
        </w:rPr>
        <w:t>ة</w:t>
      </w:r>
      <w:r w:rsidR="00E8128F">
        <w:rPr>
          <w:sz w:val="36"/>
          <w:szCs w:val="36"/>
          <w:rtl/>
        </w:rPr>
        <w:t xml:space="preserve"> </w:t>
      </w:r>
      <w:r w:rsidR="00DD1C3B" w:rsidRPr="00FD211F">
        <w:rPr>
          <w:sz w:val="36"/>
          <w:szCs w:val="36"/>
          <w:rtl/>
        </w:rPr>
        <w:t>شرعا</w:t>
      </w:r>
      <w:r w:rsidR="00E8128F">
        <w:rPr>
          <w:sz w:val="36"/>
          <w:szCs w:val="36"/>
          <w:rtl/>
        </w:rPr>
        <w:t xml:space="preserve"> </w:t>
      </w:r>
      <w:r w:rsidR="00DD1C3B" w:rsidRPr="00FD211F">
        <w:rPr>
          <w:sz w:val="36"/>
          <w:szCs w:val="36"/>
          <w:rtl/>
        </w:rPr>
        <w:t>لاانها</w:t>
      </w:r>
      <w:r w:rsidR="00E8128F">
        <w:rPr>
          <w:sz w:val="36"/>
          <w:szCs w:val="36"/>
          <w:rtl/>
        </w:rPr>
        <w:t xml:space="preserve"> </w:t>
      </w:r>
      <w:r w:rsidR="00F036EB" w:rsidRPr="00FD211F">
        <w:rPr>
          <w:sz w:val="36"/>
          <w:szCs w:val="36"/>
          <w:rtl/>
        </w:rPr>
        <w:t>واسط</w:t>
      </w:r>
      <w:r w:rsidR="00EC7EDF" w:rsidRPr="00FD211F">
        <w:rPr>
          <w:sz w:val="36"/>
          <w:szCs w:val="36"/>
          <w:rtl/>
        </w:rPr>
        <w:t>ة</w:t>
      </w:r>
      <w:r w:rsidR="00E8128F">
        <w:rPr>
          <w:sz w:val="36"/>
          <w:szCs w:val="36"/>
          <w:rtl/>
        </w:rPr>
        <w:t xml:space="preserve"> </w:t>
      </w:r>
      <w:r w:rsidR="00F036EB" w:rsidRPr="00FD211F">
        <w:rPr>
          <w:sz w:val="36"/>
          <w:szCs w:val="36"/>
          <w:rtl/>
        </w:rPr>
        <w:t>في</w:t>
      </w:r>
      <w:r w:rsidR="00E8128F">
        <w:rPr>
          <w:sz w:val="36"/>
          <w:szCs w:val="36"/>
          <w:rtl/>
        </w:rPr>
        <w:t xml:space="preserve"> </w:t>
      </w:r>
      <w:r w:rsidR="00F036EB" w:rsidRPr="00FD211F">
        <w:rPr>
          <w:sz w:val="36"/>
          <w:szCs w:val="36"/>
          <w:rtl/>
        </w:rPr>
        <w:t>استنباط</w:t>
      </w:r>
      <w:r w:rsidR="00DC134A" w:rsidRPr="00FD211F">
        <w:rPr>
          <w:sz w:val="36"/>
          <w:szCs w:val="36"/>
          <w:rtl/>
        </w:rPr>
        <w:t>ه</w:t>
      </w:r>
      <w:r w:rsidR="00E8128F">
        <w:rPr>
          <w:sz w:val="36"/>
          <w:szCs w:val="36"/>
          <w:rtl/>
        </w:rPr>
        <w:t xml:space="preserve"> </w:t>
      </w:r>
      <w:r w:rsidR="00DD1C3B" w:rsidRPr="00FD211F">
        <w:rPr>
          <w:sz w:val="36"/>
          <w:szCs w:val="36"/>
          <w:rtl/>
        </w:rPr>
        <w:t>من</w:t>
      </w:r>
      <w:r w:rsidR="00E8128F">
        <w:rPr>
          <w:sz w:val="36"/>
          <w:szCs w:val="36"/>
          <w:rtl/>
        </w:rPr>
        <w:t xml:space="preserve"> </w:t>
      </w:r>
      <w:r w:rsidR="00DD1C3B" w:rsidRPr="00FD211F">
        <w:rPr>
          <w:sz w:val="36"/>
          <w:szCs w:val="36"/>
          <w:rtl/>
        </w:rPr>
        <w:t>دليله</w:t>
      </w:r>
      <w:r w:rsidR="00603323" w:rsidRPr="00FD211F">
        <w:rPr>
          <w:sz w:val="36"/>
          <w:szCs w:val="36"/>
          <w:rtl/>
        </w:rPr>
        <w:t>،</w:t>
      </w:r>
      <w:r w:rsidR="00E8128F">
        <w:rPr>
          <w:sz w:val="36"/>
          <w:szCs w:val="36"/>
          <w:rtl/>
        </w:rPr>
        <w:t xml:space="preserve"> </w:t>
      </w:r>
      <w:r w:rsidR="009E0B06" w:rsidRPr="00FD211F">
        <w:rPr>
          <w:sz w:val="36"/>
          <w:szCs w:val="36"/>
          <w:rtl/>
        </w:rPr>
        <w:t>فالاولى</w:t>
      </w:r>
      <w:r w:rsidR="00E8128F">
        <w:rPr>
          <w:sz w:val="36"/>
          <w:szCs w:val="36"/>
          <w:rtl/>
        </w:rPr>
        <w:t xml:space="preserve"> </w:t>
      </w:r>
      <w:r w:rsidR="009E0B06" w:rsidRPr="00FD211F">
        <w:rPr>
          <w:sz w:val="36"/>
          <w:szCs w:val="36"/>
          <w:rtl/>
        </w:rPr>
        <w:t>تعريف</w:t>
      </w:r>
      <w:r w:rsidR="00E8128F">
        <w:rPr>
          <w:sz w:val="36"/>
          <w:szCs w:val="36"/>
          <w:rtl/>
        </w:rPr>
        <w:t xml:space="preserve"> </w:t>
      </w:r>
      <w:r w:rsidR="009E0B06" w:rsidRPr="00FD211F">
        <w:rPr>
          <w:sz w:val="36"/>
          <w:szCs w:val="36"/>
          <w:rtl/>
        </w:rPr>
        <w:t>علم</w:t>
      </w:r>
      <w:r w:rsidR="00E8128F">
        <w:rPr>
          <w:sz w:val="36"/>
          <w:szCs w:val="36"/>
          <w:rtl/>
        </w:rPr>
        <w:t xml:space="preserve"> </w:t>
      </w:r>
      <w:r w:rsidR="009E0B06" w:rsidRPr="00FD211F">
        <w:rPr>
          <w:sz w:val="36"/>
          <w:szCs w:val="36"/>
          <w:rtl/>
        </w:rPr>
        <w:t>الاصول</w:t>
      </w:r>
      <w:r w:rsidR="00E8128F">
        <w:rPr>
          <w:sz w:val="36"/>
          <w:szCs w:val="36"/>
          <w:rtl/>
        </w:rPr>
        <w:t xml:space="preserve"> </w:t>
      </w:r>
      <w:r w:rsidR="009E0B06" w:rsidRPr="00FD211F">
        <w:rPr>
          <w:sz w:val="36"/>
          <w:szCs w:val="36"/>
          <w:rtl/>
        </w:rPr>
        <w:t>بانه</w:t>
      </w:r>
      <w:r w:rsidR="00E8128F">
        <w:rPr>
          <w:sz w:val="36"/>
          <w:szCs w:val="36"/>
          <w:rtl/>
        </w:rPr>
        <w:t xml:space="preserve"> </w:t>
      </w:r>
      <w:r w:rsidR="009E0B06" w:rsidRPr="00FD211F">
        <w:rPr>
          <w:sz w:val="36"/>
          <w:szCs w:val="36"/>
          <w:rtl/>
        </w:rPr>
        <w:t>فن</w:t>
      </w:r>
      <w:r w:rsidR="00E8128F">
        <w:rPr>
          <w:sz w:val="36"/>
          <w:szCs w:val="36"/>
          <w:rtl/>
        </w:rPr>
        <w:t xml:space="preserve"> </w:t>
      </w:r>
      <w:r w:rsidR="009E0B06" w:rsidRPr="00FD211F">
        <w:rPr>
          <w:sz w:val="36"/>
          <w:szCs w:val="36"/>
          <w:rtl/>
        </w:rPr>
        <w:t>يعرف</w:t>
      </w:r>
      <w:r w:rsidR="00E8128F">
        <w:rPr>
          <w:sz w:val="36"/>
          <w:szCs w:val="36"/>
          <w:rtl/>
        </w:rPr>
        <w:t xml:space="preserve"> </w:t>
      </w:r>
      <w:r w:rsidR="009E0B06" w:rsidRPr="00FD211F">
        <w:rPr>
          <w:sz w:val="36"/>
          <w:szCs w:val="36"/>
          <w:rtl/>
        </w:rPr>
        <w:t>به</w:t>
      </w:r>
      <w:r w:rsidR="00E8128F">
        <w:rPr>
          <w:sz w:val="36"/>
          <w:szCs w:val="36"/>
          <w:rtl/>
        </w:rPr>
        <w:t xml:space="preserve"> </w:t>
      </w:r>
      <w:r w:rsidR="009E0B06" w:rsidRPr="00FD211F">
        <w:rPr>
          <w:sz w:val="36"/>
          <w:szCs w:val="36"/>
          <w:rtl/>
        </w:rPr>
        <w:t>ما</w:t>
      </w:r>
      <w:r w:rsidR="00E8128F">
        <w:rPr>
          <w:sz w:val="36"/>
          <w:szCs w:val="36"/>
          <w:rtl/>
        </w:rPr>
        <w:t xml:space="preserve"> </w:t>
      </w:r>
      <w:r w:rsidR="009E0B06" w:rsidRPr="00FD211F">
        <w:rPr>
          <w:sz w:val="36"/>
          <w:szCs w:val="36"/>
          <w:rtl/>
        </w:rPr>
        <w:t>يفيد</w:t>
      </w:r>
      <w:r w:rsidR="00E8128F">
        <w:rPr>
          <w:sz w:val="36"/>
          <w:szCs w:val="36"/>
          <w:rtl/>
        </w:rPr>
        <w:t xml:space="preserve"> </w:t>
      </w:r>
      <w:r w:rsidR="009E0B06" w:rsidRPr="00FD211F">
        <w:rPr>
          <w:sz w:val="36"/>
          <w:szCs w:val="36"/>
          <w:rtl/>
        </w:rPr>
        <w:t>في</w:t>
      </w:r>
      <w:r w:rsidR="00E8128F">
        <w:rPr>
          <w:sz w:val="36"/>
          <w:szCs w:val="36"/>
          <w:rtl/>
        </w:rPr>
        <w:t xml:space="preserve"> </w:t>
      </w:r>
      <w:r w:rsidR="009E0B06" w:rsidRPr="00FD211F">
        <w:rPr>
          <w:sz w:val="36"/>
          <w:szCs w:val="36"/>
          <w:rtl/>
        </w:rPr>
        <w:t>اقام</w:t>
      </w:r>
      <w:r w:rsidR="00EC7EDF" w:rsidRPr="00FD211F">
        <w:rPr>
          <w:sz w:val="36"/>
          <w:szCs w:val="36"/>
          <w:rtl/>
        </w:rPr>
        <w:t>ة</w:t>
      </w:r>
      <w:r w:rsidR="00E8128F">
        <w:rPr>
          <w:sz w:val="36"/>
          <w:szCs w:val="36"/>
          <w:rtl/>
        </w:rPr>
        <w:t xml:space="preserve"> </w:t>
      </w:r>
      <w:r w:rsidR="009E0B06" w:rsidRPr="00FD211F">
        <w:rPr>
          <w:sz w:val="36"/>
          <w:szCs w:val="36"/>
          <w:rtl/>
        </w:rPr>
        <w:lastRenderedPageBreak/>
        <w:t>الحج</w:t>
      </w:r>
      <w:r w:rsidR="00EC7EDF" w:rsidRPr="00FD211F">
        <w:rPr>
          <w:sz w:val="36"/>
          <w:szCs w:val="36"/>
          <w:rtl/>
        </w:rPr>
        <w:t>ة</w:t>
      </w:r>
      <w:r w:rsidR="00E8128F">
        <w:rPr>
          <w:sz w:val="36"/>
          <w:szCs w:val="36"/>
          <w:rtl/>
        </w:rPr>
        <w:t xml:space="preserve"> </w:t>
      </w:r>
      <w:r w:rsidR="009E0B06" w:rsidRPr="00FD211F">
        <w:rPr>
          <w:sz w:val="36"/>
          <w:szCs w:val="36"/>
          <w:rtl/>
        </w:rPr>
        <w:t>على</w:t>
      </w:r>
      <w:r w:rsidR="00E8128F">
        <w:rPr>
          <w:sz w:val="36"/>
          <w:szCs w:val="36"/>
          <w:rtl/>
        </w:rPr>
        <w:t xml:space="preserve"> </w:t>
      </w:r>
      <w:r w:rsidR="009E0B06" w:rsidRPr="00FD211F">
        <w:rPr>
          <w:sz w:val="36"/>
          <w:szCs w:val="36"/>
          <w:rtl/>
        </w:rPr>
        <w:t>حكم</w:t>
      </w:r>
      <w:r w:rsidR="00E8128F">
        <w:rPr>
          <w:sz w:val="36"/>
          <w:szCs w:val="36"/>
          <w:rtl/>
        </w:rPr>
        <w:t xml:space="preserve"> </w:t>
      </w:r>
      <w:r w:rsidR="009E0B06" w:rsidRPr="00FD211F">
        <w:rPr>
          <w:sz w:val="36"/>
          <w:szCs w:val="36"/>
          <w:rtl/>
        </w:rPr>
        <w:t>العمل</w:t>
      </w:r>
      <w:r w:rsidR="00603323" w:rsidRPr="00FD211F">
        <w:rPr>
          <w:sz w:val="36"/>
          <w:szCs w:val="36"/>
          <w:rtl/>
        </w:rPr>
        <w:t>،</w:t>
      </w:r>
      <w:r w:rsidR="00E8128F">
        <w:rPr>
          <w:sz w:val="36"/>
          <w:szCs w:val="36"/>
          <w:rtl/>
        </w:rPr>
        <w:t xml:space="preserve"> </w:t>
      </w:r>
      <w:r w:rsidR="00DD1C3B" w:rsidRPr="00FD211F">
        <w:rPr>
          <w:sz w:val="36"/>
          <w:szCs w:val="36"/>
          <w:rtl/>
        </w:rPr>
        <w:t>وحينئذ</w:t>
      </w:r>
      <w:r w:rsidR="00E8128F">
        <w:rPr>
          <w:sz w:val="36"/>
          <w:szCs w:val="36"/>
          <w:rtl/>
        </w:rPr>
        <w:t xml:space="preserve"> </w:t>
      </w:r>
      <w:r w:rsidR="00DD1C3B" w:rsidRPr="00FD211F">
        <w:rPr>
          <w:sz w:val="36"/>
          <w:szCs w:val="36"/>
          <w:rtl/>
        </w:rPr>
        <w:t>فيشمل</w:t>
      </w:r>
      <w:r w:rsidR="00E8128F">
        <w:rPr>
          <w:sz w:val="36"/>
          <w:szCs w:val="36"/>
          <w:rtl/>
        </w:rPr>
        <w:t xml:space="preserve"> </w:t>
      </w:r>
      <w:r w:rsidR="00DD1C3B" w:rsidRPr="00FD211F">
        <w:rPr>
          <w:sz w:val="36"/>
          <w:szCs w:val="36"/>
          <w:rtl/>
        </w:rPr>
        <w:t>التعريف</w:t>
      </w:r>
      <w:r w:rsidR="00E8128F">
        <w:rPr>
          <w:sz w:val="36"/>
          <w:szCs w:val="36"/>
          <w:rtl/>
        </w:rPr>
        <w:t xml:space="preserve"> </w:t>
      </w:r>
      <w:r w:rsidR="00DD1C3B" w:rsidRPr="00FD211F">
        <w:rPr>
          <w:sz w:val="36"/>
          <w:szCs w:val="36"/>
          <w:rtl/>
        </w:rPr>
        <w:t>القواعد</w:t>
      </w:r>
      <w:r w:rsidR="00E8128F">
        <w:rPr>
          <w:sz w:val="36"/>
          <w:szCs w:val="36"/>
          <w:rtl/>
        </w:rPr>
        <w:t xml:space="preserve"> </w:t>
      </w:r>
      <w:r w:rsidR="00DD1C3B" w:rsidRPr="00FD211F">
        <w:rPr>
          <w:sz w:val="36"/>
          <w:szCs w:val="36"/>
          <w:rtl/>
        </w:rPr>
        <w:t>العقلي</w:t>
      </w:r>
      <w:r w:rsidR="00EC7EDF" w:rsidRPr="00FD211F">
        <w:rPr>
          <w:sz w:val="36"/>
          <w:szCs w:val="36"/>
          <w:rtl/>
        </w:rPr>
        <w:t>ة</w:t>
      </w:r>
      <w:r w:rsidR="00603323" w:rsidRPr="00FD211F">
        <w:rPr>
          <w:sz w:val="36"/>
          <w:szCs w:val="36"/>
          <w:rtl/>
        </w:rPr>
        <w:t>،</w:t>
      </w:r>
      <w:r w:rsidR="00E8128F">
        <w:rPr>
          <w:sz w:val="36"/>
          <w:szCs w:val="36"/>
          <w:rtl/>
        </w:rPr>
        <w:t xml:space="preserve"> </w:t>
      </w:r>
      <w:r w:rsidR="00DD1C3B" w:rsidRPr="00FD211F">
        <w:rPr>
          <w:sz w:val="36"/>
          <w:szCs w:val="36"/>
          <w:rtl/>
        </w:rPr>
        <w:t>حيث</w:t>
      </w:r>
      <w:r w:rsidR="00E8128F">
        <w:rPr>
          <w:sz w:val="36"/>
          <w:szCs w:val="36"/>
          <w:rtl/>
        </w:rPr>
        <w:t xml:space="preserve"> </w:t>
      </w:r>
      <w:r w:rsidR="00DD1C3B" w:rsidRPr="00FD211F">
        <w:rPr>
          <w:sz w:val="36"/>
          <w:szCs w:val="36"/>
          <w:rtl/>
        </w:rPr>
        <w:t>انها</w:t>
      </w:r>
      <w:r w:rsidR="00E8128F">
        <w:rPr>
          <w:sz w:val="36"/>
          <w:szCs w:val="36"/>
          <w:rtl/>
        </w:rPr>
        <w:t xml:space="preserve"> </w:t>
      </w:r>
      <w:r w:rsidR="00DD1C3B" w:rsidRPr="00FD211F">
        <w:rPr>
          <w:sz w:val="36"/>
          <w:szCs w:val="36"/>
          <w:rtl/>
        </w:rPr>
        <w:t>تفيد</w:t>
      </w:r>
      <w:r w:rsidR="00E8128F">
        <w:rPr>
          <w:sz w:val="36"/>
          <w:szCs w:val="36"/>
          <w:rtl/>
        </w:rPr>
        <w:t xml:space="preserve"> </w:t>
      </w:r>
      <w:r w:rsidR="00DD1C3B" w:rsidRPr="00FD211F">
        <w:rPr>
          <w:sz w:val="36"/>
          <w:szCs w:val="36"/>
          <w:rtl/>
        </w:rPr>
        <w:t>في</w:t>
      </w:r>
      <w:r w:rsidR="00E8128F">
        <w:rPr>
          <w:sz w:val="36"/>
          <w:szCs w:val="36"/>
          <w:rtl/>
        </w:rPr>
        <w:t xml:space="preserve"> </w:t>
      </w:r>
      <w:r w:rsidR="00DD1C3B" w:rsidRPr="00FD211F">
        <w:rPr>
          <w:sz w:val="36"/>
          <w:szCs w:val="36"/>
          <w:rtl/>
        </w:rPr>
        <w:t>اقام</w:t>
      </w:r>
      <w:r w:rsidR="00EC7EDF" w:rsidRPr="00FD211F">
        <w:rPr>
          <w:sz w:val="36"/>
          <w:szCs w:val="36"/>
          <w:rtl/>
        </w:rPr>
        <w:t>ة</w:t>
      </w:r>
      <w:r w:rsidR="00E8128F">
        <w:rPr>
          <w:sz w:val="36"/>
          <w:szCs w:val="36"/>
          <w:rtl/>
        </w:rPr>
        <w:t xml:space="preserve"> </w:t>
      </w:r>
      <w:r w:rsidR="00DD1C3B" w:rsidRPr="00FD211F">
        <w:rPr>
          <w:sz w:val="36"/>
          <w:szCs w:val="36"/>
          <w:rtl/>
        </w:rPr>
        <w:t>الحج</w:t>
      </w:r>
      <w:r w:rsidR="00EC7EDF" w:rsidRPr="00FD211F">
        <w:rPr>
          <w:sz w:val="36"/>
          <w:szCs w:val="36"/>
          <w:rtl/>
        </w:rPr>
        <w:t>ة</w:t>
      </w:r>
      <w:r w:rsidR="00E8128F">
        <w:rPr>
          <w:sz w:val="36"/>
          <w:szCs w:val="36"/>
          <w:rtl/>
        </w:rPr>
        <w:t xml:space="preserve"> </w:t>
      </w:r>
      <w:r w:rsidR="00DD1C3B" w:rsidRPr="00FD211F">
        <w:rPr>
          <w:sz w:val="36"/>
          <w:szCs w:val="36"/>
          <w:rtl/>
        </w:rPr>
        <w:t>على</w:t>
      </w:r>
      <w:r w:rsidR="00E8128F">
        <w:rPr>
          <w:sz w:val="36"/>
          <w:szCs w:val="36"/>
          <w:rtl/>
        </w:rPr>
        <w:t xml:space="preserve"> </w:t>
      </w:r>
      <w:r w:rsidR="00DD1C3B" w:rsidRPr="00FD211F">
        <w:rPr>
          <w:sz w:val="36"/>
          <w:szCs w:val="36"/>
          <w:rtl/>
        </w:rPr>
        <w:t>الحكم</w:t>
      </w:r>
      <w:r w:rsidR="00E8128F">
        <w:rPr>
          <w:sz w:val="36"/>
          <w:szCs w:val="36"/>
          <w:rtl/>
        </w:rPr>
        <w:t xml:space="preserve"> </w:t>
      </w:r>
      <w:r w:rsidR="00DD1C3B" w:rsidRPr="00FD211F">
        <w:rPr>
          <w:sz w:val="36"/>
          <w:szCs w:val="36"/>
          <w:rtl/>
        </w:rPr>
        <w:t>الشرعي</w:t>
      </w:r>
      <w:r w:rsidR="00603323" w:rsidRPr="00FD211F">
        <w:rPr>
          <w:sz w:val="36"/>
          <w:szCs w:val="36"/>
          <w:rtl/>
        </w:rPr>
        <w:t>،</w:t>
      </w:r>
      <w:r w:rsidR="00E8128F">
        <w:rPr>
          <w:sz w:val="36"/>
          <w:szCs w:val="36"/>
          <w:rtl/>
        </w:rPr>
        <w:t xml:space="preserve"> </w:t>
      </w:r>
      <w:r w:rsidR="00DD1C3B" w:rsidRPr="00FD211F">
        <w:rPr>
          <w:sz w:val="36"/>
          <w:szCs w:val="36"/>
          <w:rtl/>
        </w:rPr>
        <w:t>ولو</w:t>
      </w:r>
      <w:r w:rsidR="00E8128F">
        <w:rPr>
          <w:sz w:val="36"/>
          <w:szCs w:val="36"/>
          <w:rtl/>
        </w:rPr>
        <w:t xml:space="preserve"> </w:t>
      </w:r>
      <w:r w:rsidR="00DD1C3B" w:rsidRPr="00FD211F">
        <w:rPr>
          <w:sz w:val="36"/>
          <w:szCs w:val="36"/>
          <w:rtl/>
        </w:rPr>
        <w:t>لأجل</w:t>
      </w:r>
      <w:r w:rsidR="00E8128F">
        <w:rPr>
          <w:sz w:val="36"/>
          <w:szCs w:val="36"/>
          <w:rtl/>
        </w:rPr>
        <w:t xml:space="preserve"> </w:t>
      </w:r>
      <w:r w:rsidR="00DD1C3B" w:rsidRPr="00FD211F">
        <w:rPr>
          <w:sz w:val="36"/>
          <w:szCs w:val="36"/>
          <w:rtl/>
        </w:rPr>
        <w:t>انها</w:t>
      </w:r>
      <w:r w:rsidR="00E8128F">
        <w:rPr>
          <w:sz w:val="36"/>
          <w:szCs w:val="36"/>
          <w:rtl/>
        </w:rPr>
        <w:t xml:space="preserve"> </w:t>
      </w:r>
      <w:r w:rsidR="00DD1C3B" w:rsidRPr="00FD211F">
        <w:rPr>
          <w:sz w:val="36"/>
          <w:szCs w:val="36"/>
          <w:rtl/>
        </w:rPr>
        <w:t>بنفسها</w:t>
      </w:r>
      <w:r w:rsidR="00E8128F">
        <w:rPr>
          <w:sz w:val="36"/>
          <w:szCs w:val="36"/>
          <w:rtl/>
        </w:rPr>
        <w:t xml:space="preserve"> </w:t>
      </w:r>
      <w:r w:rsidR="00DD1C3B" w:rsidRPr="00FD211F">
        <w:rPr>
          <w:sz w:val="36"/>
          <w:szCs w:val="36"/>
          <w:rtl/>
        </w:rPr>
        <w:t>تكون</w:t>
      </w:r>
      <w:r w:rsidR="00E8128F">
        <w:rPr>
          <w:sz w:val="36"/>
          <w:szCs w:val="36"/>
          <w:rtl/>
        </w:rPr>
        <w:t xml:space="preserve"> </w:t>
      </w:r>
      <w:r w:rsidR="00DD1C3B" w:rsidRPr="00FD211F">
        <w:rPr>
          <w:sz w:val="36"/>
          <w:szCs w:val="36"/>
          <w:rtl/>
        </w:rPr>
        <w:t>حج</w:t>
      </w:r>
      <w:r w:rsidR="00EC7EDF" w:rsidRPr="00FD211F">
        <w:rPr>
          <w:sz w:val="36"/>
          <w:szCs w:val="36"/>
          <w:rtl/>
        </w:rPr>
        <w:t>ة</w:t>
      </w:r>
      <w:r w:rsidR="00E8128F">
        <w:rPr>
          <w:sz w:val="36"/>
          <w:szCs w:val="36"/>
          <w:rtl/>
        </w:rPr>
        <w:t xml:space="preserve"> </w:t>
      </w:r>
      <w:r w:rsidR="00DD1C3B" w:rsidRPr="00FD211F">
        <w:rPr>
          <w:sz w:val="36"/>
          <w:szCs w:val="36"/>
          <w:rtl/>
        </w:rPr>
        <w:t>عليه</w:t>
      </w:r>
      <w:r w:rsidR="00E8128F">
        <w:rPr>
          <w:sz w:val="36"/>
          <w:szCs w:val="36"/>
          <w:rtl/>
        </w:rPr>
        <w:t xml:space="preserve"> </w:t>
      </w:r>
      <w:r w:rsidR="00DD1C3B" w:rsidRPr="00FD211F">
        <w:rPr>
          <w:sz w:val="36"/>
          <w:szCs w:val="36"/>
          <w:rtl/>
        </w:rPr>
        <w:t>وان</w:t>
      </w:r>
      <w:r w:rsidR="00E8128F">
        <w:rPr>
          <w:sz w:val="36"/>
          <w:szCs w:val="36"/>
          <w:rtl/>
        </w:rPr>
        <w:t xml:space="preserve"> </w:t>
      </w:r>
      <w:r w:rsidR="008D7B3D" w:rsidRPr="00FD211F">
        <w:rPr>
          <w:sz w:val="36"/>
          <w:szCs w:val="36"/>
          <w:rtl/>
        </w:rPr>
        <w:t>لم‌</w:t>
      </w:r>
      <w:r w:rsidR="00DD1C3B" w:rsidRPr="00FD211F">
        <w:rPr>
          <w:sz w:val="36"/>
          <w:szCs w:val="36"/>
          <w:rtl/>
        </w:rPr>
        <w:t>تقع</w:t>
      </w:r>
      <w:r w:rsidR="00E8128F">
        <w:rPr>
          <w:sz w:val="36"/>
          <w:szCs w:val="36"/>
          <w:rtl/>
        </w:rPr>
        <w:t xml:space="preserve"> </w:t>
      </w:r>
      <w:r w:rsidR="00DD1C3B" w:rsidRPr="00FD211F">
        <w:rPr>
          <w:sz w:val="36"/>
          <w:szCs w:val="36"/>
          <w:rtl/>
        </w:rPr>
        <w:t>في</w:t>
      </w:r>
      <w:r w:rsidR="00E8128F">
        <w:rPr>
          <w:sz w:val="36"/>
          <w:szCs w:val="36"/>
          <w:rtl/>
        </w:rPr>
        <w:t xml:space="preserve"> </w:t>
      </w:r>
      <w:r w:rsidR="00DD1C3B" w:rsidRPr="00FD211F">
        <w:rPr>
          <w:sz w:val="36"/>
          <w:szCs w:val="36"/>
          <w:rtl/>
        </w:rPr>
        <w:t>طريق</w:t>
      </w:r>
      <w:r w:rsidR="00E8128F">
        <w:rPr>
          <w:sz w:val="36"/>
          <w:szCs w:val="36"/>
          <w:rtl/>
        </w:rPr>
        <w:t xml:space="preserve"> </w:t>
      </w:r>
      <w:r w:rsidR="00DD1C3B" w:rsidRPr="00FD211F">
        <w:rPr>
          <w:sz w:val="36"/>
          <w:szCs w:val="36"/>
          <w:rtl/>
        </w:rPr>
        <w:t>اقام</w:t>
      </w:r>
      <w:r w:rsidR="00EC7EDF" w:rsidRPr="00FD211F">
        <w:rPr>
          <w:sz w:val="36"/>
          <w:szCs w:val="36"/>
          <w:rtl/>
        </w:rPr>
        <w:t>ة</w:t>
      </w:r>
      <w:r w:rsidR="00E8128F">
        <w:rPr>
          <w:sz w:val="36"/>
          <w:szCs w:val="36"/>
          <w:rtl/>
        </w:rPr>
        <w:t xml:space="preserve"> </w:t>
      </w:r>
      <w:r w:rsidR="00DD1C3B" w:rsidRPr="00FD211F">
        <w:rPr>
          <w:sz w:val="36"/>
          <w:szCs w:val="36"/>
          <w:rtl/>
        </w:rPr>
        <w:t>الحج</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4"/>
      </w:r>
      <w:r w:rsidR="009C58C8" w:rsidRPr="00FD211F">
        <w:rPr>
          <w:rStyle w:val="a6"/>
          <w:sz w:val="36"/>
          <w:szCs w:val="36"/>
          <w:rtl/>
        </w:rPr>
        <w:t>)</w:t>
      </w:r>
      <w:r w:rsidR="00F036EB" w:rsidRPr="00FD211F">
        <w:rPr>
          <w:sz w:val="36"/>
          <w:szCs w:val="36"/>
          <w:rtl/>
        </w:rPr>
        <w:t>.</w:t>
      </w:r>
    </w:p>
    <w:p w14:paraId="7F879310" w14:textId="77777777" w:rsidR="000700DD" w:rsidRPr="00FD211F" w:rsidRDefault="00F036EB" w:rsidP="009C58C8">
      <w:pPr>
        <w:ind w:left="0" w:firstLine="227"/>
        <w:jc w:val="both"/>
        <w:rPr>
          <w:sz w:val="36"/>
          <w:szCs w:val="36"/>
          <w:rtl/>
        </w:rPr>
      </w:pPr>
      <w:r w:rsidRPr="00FD211F">
        <w:rPr>
          <w:sz w:val="36"/>
          <w:szCs w:val="36"/>
          <w:rtl/>
        </w:rPr>
        <w:t>وفيه:</w:t>
      </w:r>
      <w:r w:rsidR="00E8128F">
        <w:rPr>
          <w:sz w:val="36"/>
          <w:szCs w:val="36"/>
          <w:rtl/>
        </w:rPr>
        <w:t xml:space="preserve"> </w:t>
      </w:r>
      <w:r w:rsidRPr="00FD211F">
        <w:rPr>
          <w:sz w:val="36"/>
          <w:szCs w:val="36"/>
          <w:rtl/>
        </w:rPr>
        <w:t>ان</w:t>
      </w:r>
      <w:r w:rsidR="00E8128F">
        <w:rPr>
          <w:sz w:val="36"/>
          <w:szCs w:val="36"/>
          <w:rtl/>
        </w:rPr>
        <w:t xml:space="preserve"> </w:t>
      </w:r>
      <w:r w:rsidR="00996521" w:rsidRPr="00FD211F">
        <w:rPr>
          <w:sz w:val="36"/>
          <w:szCs w:val="36"/>
          <w:rtl/>
        </w:rPr>
        <w:t>القواعد</w:t>
      </w:r>
      <w:r w:rsidR="00E8128F">
        <w:rPr>
          <w:sz w:val="36"/>
          <w:szCs w:val="36"/>
          <w:rtl/>
        </w:rPr>
        <w:t xml:space="preserve"> </w:t>
      </w:r>
      <w:r w:rsidR="00A20AFF" w:rsidRPr="00FD211F">
        <w:rPr>
          <w:sz w:val="36"/>
          <w:szCs w:val="36"/>
          <w:rtl/>
        </w:rPr>
        <w:t>العقلي</w:t>
      </w:r>
      <w:r w:rsidR="00EC7EDF" w:rsidRPr="00FD211F">
        <w:rPr>
          <w:sz w:val="36"/>
          <w:szCs w:val="36"/>
          <w:rtl/>
        </w:rPr>
        <w:t>ة</w:t>
      </w:r>
      <w:r w:rsidR="00E8128F">
        <w:rPr>
          <w:sz w:val="36"/>
          <w:szCs w:val="36"/>
          <w:rtl/>
        </w:rPr>
        <w:t xml:space="preserve"> </w:t>
      </w:r>
      <w:r w:rsidR="00A20AFF" w:rsidRPr="00FD211F">
        <w:rPr>
          <w:sz w:val="36"/>
          <w:szCs w:val="36"/>
          <w:rtl/>
        </w:rPr>
        <w:t>التي</w:t>
      </w:r>
      <w:r w:rsidR="00E8128F">
        <w:rPr>
          <w:sz w:val="36"/>
          <w:szCs w:val="36"/>
          <w:rtl/>
        </w:rPr>
        <w:t xml:space="preserve"> </w:t>
      </w:r>
      <w:r w:rsidR="00A20AFF" w:rsidRPr="00FD211F">
        <w:rPr>
          <w:sz w:val="36"/>
          <w:szCs w:val="36"/>
          <w:rtl/>
        </w:rPr>
        <w:t>يتوصل</w:t>
      </w:r>
      <w:r w:rsidR="00E8128F">
        <w:rPr>
          <w:sz w:val="36"/>
          <w:szCs w:val="36"/>
          <w:rtl/>
        </w:rPr>
        <w:t xml:space="preserve"> </w:t>
      </w:r>
      <w:r w:rsidR="00A20AFF" w:rsidRPr="00FD211F">
        <w:rPr>
          <w:sz w:val="36"/>
          <w:szCs w:val="36"/>
          <w:rtl/>
        </w:rPr>
        <w:t>بها</w:t>
      </w:r>
      <w:r w:rsidR="00E8128F">
        <w:rPr>
          <w:sz w:val="36"/>
          <w:szCs w:val="36"/>
          <w:rtl/>
        </w:rPr>
        <w:t xml:space="preserve"> </w:t>
      </w:r>
      <w:r w:rsidR="00A20AFF" w:rsidRPr="00FD211F">
        <w:rPr>
          <w:sz w:val="36"/>
          <w:szCs w:val="36"/>
          <w:rtl/>
        </w:rPr>
        <w:t>الى</w:t>
      </w:r>
      <w:r w:rsidR="00E8128F">
        <w:rPr>
          <w:sz w:val="36"/>
          <w:szCs w:val="36"/>
          <w:rtl/>
        </w:rPr>
        <w:t xml:space="preserve"> </w:t>
      </w:r>
      <w:r w:rsidR="00A20AFF" w:rsidRPr="00FD211F">
        <w:rPr>
          <w:sz w:val="36"/>
          <w:szCs w:val="36"/>
          <w:rtl/>
        </w:rPr>
        <w:t>الاحكام</w:t>
      </w:r>
      <w:r w:rsidR="00E8128F">
        <w:rPr>
          <w:sz w:val="36"/>
          <w:szCs w:val="36"/>
          <w:rtl/>
        </w:rPr>
        <w:t xml:space="preserve"> </w:t>
      </w:r>
      <w:r w:rsidR="00A20AFF" w:rsidRPr="00FD211F">
        <w:rPr>
          <w:sz w:val="36"/>
          <w:szCs w:val="36"/>
          <w:rtl/>
        </w:rPr>
        <w:t>الشرعي</w:t>
      </w:r>
      <w:r w:rsidR="00EC7EDF" w:rsidRPr="00FD211F">
        <w:rPr>
          <w:sz w:val="36"/>
          <w:szCs w:val="36"/>
          <w:rtl/>
        </w:rPr>
        <w:t>ة</w:t>
      </w:r>
      <w:r w:rsidR="00E8128F">
        <w:rPr>
          <w:sz w:val="36"/>
          <w:szCs w:val="36"/>
          <w:rtl/>
        </w:rPr>
        <w:t xml:space="preserve"> </w:t>
      </w:r>
      <w:r w:rsidR="00A20AFF" w:rsidRPr="00FD211F">
        <w:rPr>
          <w:sz w:val="36"/>
          <w:szCs w:val="36"/>
          <w:rtl/>
        </w:rPr>
        <w:t>تكون</w:t>
      </w:r>
      <w:r w:rsidR="00E8128F">
        <w:rPr>
          <w:sz w:val="36"/>
          <w:szCs w:val="36"/>
          <w:rtl/>
        </w:rPr>
        <w:t xml:space="preserve"> </w:t>
      </w:r>
      <w:r w:rsidR="00A20AFF" w:rsidRPr="00FD211F">
        <w:rPr>
          <w:sz w:val="36"/>
          <w:szCs w:val="36"/>
          <w:rtl/>
        </w:rPr>
        <w:t>واسط</w:t>
      </w:r>
      <w:r w:rsidR="00EC7EDF" w:rsidRPr="00FD211F">
        <w:rPr>
          <w:sz w:val="36"/>
          <w:szCs w:val="36"/>
          <w:rtl/>
        </w:rPr>
        <w:t>ة</w:t>
      </w:r>
      <w:r w:rsidR="00E8128F">
        <w:rPr>
          <w:sz w:val="36"/>
          <w:szCs w:val="36"/>
          <w:rtl/>
        </w:rPr>
        <w:t xml:space="preserve"> </w:t>
      </w:r>
      <w:r w:rsidR="00A20AFF" w:rsidRPr="00FD211F">
        <w:rPr>
          <w:sz w:val="36"/>
          <w:szCs w:val="36"/>
          <w:rtl/>
        </w:rPr>
        <w:t>دائما</w:t>
      </w:r>
      <w:r w:rsidR="00E8128F">
        <w:rPr>
          <w:sz w:val="36"/>
          <w:szCs w:val="36"/>
          <w:rtl/>
        </w:rPr>
        <w:t xml:space="preserve"> </w:t>
      </w:r>
      <w:r w:rsidR="00A20AFF" w:rsidRPr="00FD211F">
        <w:rPr>
          <w:sz w:val="36"/>
          <w:szCs w:val="36"/>
          <w:rtl/>
        </w:rPr>
        <w:t>في</w:t>
      </w:r>
      <w:r w:rsidR="00E8128F">
        <w:rPr>
          <w:sz w:val="36"/>
          <w:szCs w:val="36"/>
          <w:rtl/>
        </w:rPr>
        <w:t xml:space="preserve"> </w:t>
      </w:r>
      <w:r w:rsidR="00A20AFF" w:rsidRPr="00FD211F">
        <w:rPr>
          <w:sz w:val="36"/>
          <w:szCs w:val="36"/>
          <w:rtl/>
        </w:rPr>
        <w:t>استنباط</w:t>
      </w:r>
      <w:r w:rsidR="00E8128F">
        <w:rPr>
          <w:sz w:val="36"/>
          <w:szCs w:val="36"/>
          <w:rtl/>
        </w:rPr>
        <w:t xml:space="preserve"> </w:t>
      </w:r>
      <w:r w:rsidR="00A20AFF" w:rsidRPr="00FD211F">
        <w:rPr>
          <w:sz w:val="36"/>
          <w:szCs w:val="36"/>
          <w:rtl/>
        </w:rPr>
        <w:t>تلك</w:t>
      </w:r>
      <w:r w:rsidR="00E8128F">
        <w:rPr>
          <w:sz w:val="36"/>
          <w:szCs w:val="36"/>
          <w:rtl/>
        </w:rPr>
        <w:t xml:space="preserve"> </w:t>
      </w:r>
      <w:r w:rsidR="00A20AFF" w:rsidRPr="00FD211F">
        <w:rPr>
          <w:sz w:val="36"/>
          <w:szCs w:val="36"/>
          <w:rtl/>
        </w:rPr>
        <w:t>الاحكام</w:t>
      </w:r>
      <w:r w:rsidR="00E8128F">
        <w:rPr>
          <w:sz w:val="36"/>
          <w:szCs w:val="36"/>
          <w:rtl/>
        </w:rPr>
        <w:t xml:space="preserve"> </w:t>
      </w:r>
      <w:r w:rsidR="00A20AFF" w:rsidRPr="00FD211F">
        <w:rPr>
          <w:sz w:val="36"/>
          <w:szCs w:val="36"/>
          <w:rtl/>
        </w:rPr>
        <w:t>من</w:t>
      </w:r>
      <w:r w:rsidR="00E8128F">
        <w:rPr>
          <w:sz w:val="36"/>
          <w:szCs w:val="36"/>
          <w:rtl/>
        </w:rPr>
        <w:t xml:space="preserve"> </w:t>
      </w:r>
      <w:r w:rsidR="00A20AFF" w:rsidRPr="00FD211F">
        <w:rPr>
          <w:sz w:val="36"/>
          <w:szCs w:val="36"/>
          <w:rtl/>
        </w:rPr>
        <w:t>ادلتها</w:t>
      </w:r>
      <w:r w:rsidR="00603323" w:rsidRPr="00FD211F">
        <w:rPr>
          <w:sz w:val="36"/>
          <w:szCs w:val="36"/>
          <w:rtl/>
        </w:rPr>
        <w:t>،</w:t>
      </w:r>
      <w:r w:rsidR="00E8128F">
        <w:rPr>
          <w:sz w:val="36"/>
          <w:szCs w:val="36"/>
          <w:rtl/>
        </w:rPr>
        <w:t xml:space="preserve"> </w:t>
      </w:r>
      <w:r w:rsidR="00996521" w:rsidRPr="00FD211F">
        <w:rPr>
          <w:sz w:val="36"/>
          <w:szCs w:val="36"/>
          <w:rtl/>
        </w:rPr>
        <w:t>فقاعد</w:t>
      </w:r>
      <w:r w:rsidR="00EC7EDF" w:rsidRPr="00FD211F">
        <w:rPr>
          <w:sz w:val="36"/>
          <w:szCs w:val="36"/>
          <w:rtl/>
        </w:rPr>
        <w:t>ة</w:t>
      </w:r>
      <w:r w:rsidR="00E8128F">
        <w:rPr>
          <w:sz w:val="36"/>
          <w:szCs w:val="36"/>
          <w:rtl/>
        </w:rPr>
        <w:t xml:space="preserve"> </w:t>
      </w:r>
      <w:r w:rsidR="00996521" w:rsidRPr="00FD211F">
        <w:rPr>
          <w:sz w:val="36"/>
          <w:szCs w:val="36"/>
          <w:rtl/>
        </w:rPr>
        <w:t>الملازم</w:t>
      </w:r>
      <w:r w:rsidR="00EC7EDF" w:rsidRPr="00FD211F">
        <w:rPr>
          <w:sz w:val="36"/>
          <w:szCs w:val="36"/>
          <w:rtl/>
        </w:rPr>
        <w:t>ة</w:t>
      </w:r>
      <w:r w:rsidR="00E8128F">
        <w:rPr>
          <w:sz w:val="36"/>
          <w:szCs w:val="36"/>
          <w:rtl/>
        </w:rPr>
        <w:t xml:space="preserve"> </w:t>
      </w:r>
      <w:r w:rsidR="00996521" w:rsidRPr="00FD211F">
        <w:rPr>
          <w:sz w:val="36"/>
          <w:szCs w:val="36"/>
          <w:rtl/>
        </w:rPr>
        <w:t>بين</w:t>
      </w:r>
      <w:r w:rsidR="00E8128F">
        <w:rPr>
          <w:sz w:val="36"/>
          <w:szCs w:val="36"/>
          <w:rtl/>
        </w:rPr>
        <w:t xml:space="preserve"> </w:t>
      </w:r>
      <w:r w:rsidR="00996521" w:rsidRPr="00FD211F">
        <w:rPr>
          <w:sz w:val="36"/>
          <w:szCs w:val="36"/>
          <w:rtl/>
        </w:rPr>
        <w:t>وجوب</w:t>
      </w:r>
      <w:r w:rsidR="00E8128F">
        <w:rPr>
          <w:sz w:val="36"/>
          <w:szCs w:val="36"/>
          <w:rtl/>
        </w:rPr>
        <w:t xml:space="preserve"> </w:t>
      </w:r>
      <w:r w:rsidR="00996521" w:rsidRPr="00FD211F">
        <w:rPr>
          <w:sz w:val="36"/>
          <w:szCs w:val="36"/>
          <w:rtl/>
        </w:rPr>
        <w:t>المقدم</w:t>
      </w:r>
      <w:r w:rsidR="00EC7EDF" w:rsidRPr="00FD211F">
        <w:rPr>
          <w:sz w:val="36"/>
          <w:szCs w:val="36"/>
          <w:rtl/>
        </w:rPr>
        <w:t>ة</w:t>
      </w:r>
      <w:r w:rsidR="00E8128F">
        <w:rPr>
          <w:sz w:val="36"/>
          <w:szCs w:val="36"/>
          <w:rtl/>
        </w:rPr>
        <w:t xml:space="preserve"> </w:t>
      </w:r>
      <w:r w:rsidR="00996521" w:rsidRPr="00FD211F">
        <w:rPr>
          <w:sz w:val="36"/>
          <w:szCs w:val="36"/>
          <w:rtl/>
        </w:rPr>
        <w:t>ووجوب</w:t>
      </w:r>
      <w:r w:rsidR="00E8128F">
        <w:rPr>
          <w:sz w:val="36"/>
          <w:szCs w:val="36"/>
          <w:rtl/>
        </w:rPr>
        <w:t xml:space="preserve"> </w:t>
      </w:r>
      <w:r w:rsidR="00996521" w:rsidRPr="00FD211F">
        <w:rPr>
          <w:sz w:val="36"/>
          <w:szCs w:val="36"/>
          <w:rtl/>
        </w:rPr>
        <w:t>ذيها</w:t>
      </w:r>
      <w:r w:rsidR="00E8128F">
        <w:rPr>
          <w:sz w:val="36"/>
          <w:szCs w:val="36"/>
          <w:rtl/>
        </w:rPr>
        <w:t xml:space="preserve"> </w:t>
      </w:r>
      <w:r w:rsidR="00996521" w:rsidRPr="00FD211F">
        <w:rPr>
          <w:sz w:val="36"/>
          <w:szCs w:val="36"/>
          <w:rtl/>
        </w:rPr>
        <w:t>تكون</w:t>
      </w:r>
      <w:r w:rsidR="00E8128F">
        <w:rPr>
          <w:sz w:val="36"/>
          <w:szCs w:val="36"/>
          <w:rtl/>
        </w:rPr>
        <w:t xml:space="preserve"> </w:t>
      </w:r>
      <w:r w:rsidR="00996521" w:rsidRPr="00FD211F">
        <w:rPr>
          <w:sz w:val="36"/>
          <w:szCs w:val="36"/>
          <w:rtl/>
        </w:rPr>
        <w:t>واسط</w:t>
      </w:r>
      <w:r w:rsidR="00EC7EDF" w:rsidRPr="00FD211F">
        <w:rPr>
          <w:sz w:val="36"/>
          <w:szCs w:val="36"/>
          <w:rtl/>
        </w:rPr>
        <w:t>ة</w:t>
      </w:r>
      <w:r w:rsidR="00E8128F">
        <w:rPr>
          <w:sz w:val="36"/>
          <w:szCs w:val="36"/>
          <w:rtl/>
        </w:rPr>
        <w:t xml:space="preserve"> </w:t>
      </w:r>
      <w:r w:rsidR="00996521" w:rsidRPr="00FD211F">
        <w:rPr>
          <w:sz w:val="36"/>
          <w:szCs w:val="36"/>
          <w:rtl/>
        </w:rPr>
        <w:t>في</w:t>
      </w:r>
      <w:r w:rsidR="00E8128F">
        <w:rPr>
          <w:sz w:val="36"/>
          <w:szCs w:val="36"/>
          <w:rtl/>
        </w:rPr>
        <w:t xml:space="preserve"> </w:t>
      </w:r>
      <w:r w:rsidR="00996521" w:rsidRPr="00FD211F">
        <w:rPr>
          <w:sz w:val="36"/>
          <w:szCs w:val="36"/>
          <w:rtl/>
        </w:rPr>
        <w:t>استنباط</w:t>
      </w:r>
      <w:r w:rsidR="00E8128F">
        <w:rPr>
          <w:sz w:val="36"/>
          <w:szCs w:val="36"/>
          <w:rtl/>
        </w:rPr>
        <w:t xml:space="preserve"> </w:t>
      </w:r>
      <w:r w:rsidR="00996521" w:rsidRPr="00FD211F">
        <w:rPr>
          <w:sz w:val="36"/>
          <w:szCs w:val="36"/>
          <w:rtl/>
        </w:rPr>
        <w:t>وجوب</w:t>
      </w:r>
      <w:r w:rsidR="00E8128F">
        <w:rPr>
          <w:sz w:val="36"/>
          <w:szCs w:val="36"/>
          <w:rtl/>
        </w:rPr>
        <w:t xml:space="preserve"> </w:t>
      </w:r>
      <w:r w:rsidR="00996521" w:rsidRPr="00FD211F">
        <w:rPr>
          <w:sz w:val="36"/>
          <w:szCs w:val="36"/>
          <w:rtl/>
        </w:rPr>
        <w:t>مقدم</w:t>
      </w:r>
      <w:r w:rsidR="00EC7EDF" w:rsidRPr="00FD211F">
        <w:rPr>
          <w:sz w:val="36"/>
          <w:szCs w:val="36"/>
          <w:rtl/>
        </w:rPr>
        <w:t>ة</w:t>
      </w:r>
      <w:r w:rsidR="00E8128F">
        <w:rPr>
          <w:sz w:val="36"/>
          <w:szCs w:val="36"/>
          <w:rtl/>
        </w:rPr>
        <w:t xml:space="preserve"> </w:t>
      </w:r>
      <w:r w:rsidR="00996521" w:rsidRPr="00FD211F">
        <w:rPr>
          <w:sz w:val="36"/>
          <w:szCs w:val="36"/>
          <w:rtl/>
        </w:rPr>
        <w:t>كل</w:t>
      </w:r>
      <w:r w:rsidR="00E8128F">
        <w:rPr>
          <w:sz w:val="36"/>
          <w:szCs w:val="36"/>
          <w:rtl/>
        </w:rPr>
        <w:t xml:space="preserve"> </w:t>
      </w:r>
      <w:r w:rsidR="00996521" w:rsidRPr="00FD211F">
        <w:rPr>
          <w:sz w:val="36"/>
          <w:szCs w:val="36"/>
          <w:rtl/>
        </w:rPr>
        <w:t>واجب</w:t>
      </w:r>
      <w:r w:rsidR="00E8128F">
        <w:rPr>
          <w:sz w:val="36"/>
          <w:szCs w:val="36"/>
          <w:rtl/>
        </w:rPr>
        <w:t xml:space="preserve"> </w:t>
      </w:r>
      <w:r w:rsidR="00996521" w:rsidRPr="00FD211F">
        <w:rPr>
          <w:sz w:val="36"/>
          <w:szCs w:val="36"/>
          <w:rtl/>
        </w:rPr>
        <w:t>من</w:t>
      </w:r>
      <w:r w:rsidR="00E8128F">
        <w:rPr>
          <w:sz w:val="36"/>
          <w:szCs w:val="36"/>
          <w:rtl/>
        </w:rPr>
        <w:t xml:space="preserve"> </w:t>
      </w:r>
      <w:r w:rsidR="00996521" w:rsidRPr="00FD211F">
        <w:rPr>
          <w:sz w:val="36"/>
          <w:szCs w:val="36"/>
          <w:rtl/>
        </w:rPr>
        <w:t>دليل</w:t>
      </w:r>
      <w:r w:rsidR="00E8128F">
        <w:rPr>
          <w:sz w:val="36"/>
          <w:szCs w:val="36"/>
          <w:rtl/>
        </w:rPr>
        <w:t xml:space="preserve"> </w:t>
      </w:r>
      <w:r w:rsidR="00996521" w:rsidRPr="00FD211F">
        <w:rPr>
          <w:sz w:val="36"/>
          <w:szCs w:val="36"/>
          <w:rtl/>
        </w:rPr>
        <w:t>وجوب</w:t>
      </w:r>
      <w:r w:rsidR="00E8128F">
        <w:rPr>
          <w:sz w:val="36"/>
          <w:szCs w:val="36"/>
          <w:rtl/>
        </w:rPr>
        <w:t xml:space="preserve"> </w:t>
      </w:r>
      <w:r w:rsidR="00996521" w:rsidRPr="00FD211F">
        <w:rPr>
          <w:sz w:val="36"/>
          <w:szCs w:val="36"/>
          <w:rtl/>
        </w:rPr>
        <w:t>ذيها</w:t>
      </w:r>
      <w:r w:rsidR="00603323" w:rsidRPr="00FD211F">
        <w:rPr>
          <w:sz w:val="36"/>
          <w:szCs w:val="36"/>
          <w:rtl/>
        </w:rPr>
        <w:t>،</w:t>
      </w:r>
      <w:r w:rsidR="00E8128F">
        <w:rPr>
          <w:sz w:val="36"/>
          <w:szCs w:val="36"/>
          <w:rtl/>
        </w:rPr>
        <w:t xml:space="preserve"> </w:t>
      </w:r>
      <w:r w:rsidR="00996521" w:rsidRPr="00FD211F">
        <w:rPr>
          <w:sz w:val="36"/>
          <w:szCs w:val="36"/>
          <w:rtl/>
        </w:rPr>
        <w:t>وكذا</w:t>
      </w:r>
      <w:r w:rsidR="00E8128F">
        <w:rPr>
          <w:sz w:val="36"/>
          <w:szCs w:val="36"/>
          <w:rtl/>
        </w:rPr>
        <w:t xml:space="preserve"> </w:t>
      </w:r>
      <w:r w:rsidR="00A20AFF" w:rsidRPr="00FD211F">
        <w:rPr>
          <w:sz w:val="36"/>
          <w:szCs w:val="36"/>
          <w:rtl/>
        </w:rPr>
        <w:t>قاعد</w:t>
      </w:r>
      <w:r w:rsidR="00EC7EDF" w:rsidRPr="00FD211F">
        <w:rPr>
          <w:sz w:val="36"/>
          <w:szCs w:val="36"/>
          <w:rtl/>
        </w:rPr>
        <w:t>ة</w:t>
      </w:r>
      <w:r w:rsidR="00E8128F">
        <w:rPr>
          <w:sz w:val="36"/>
          <w:szCs w:val="36"/>
          <w:rtl/>
        </w:rPr>
        <w:t xml:space="preserve"> </w:t>
      </w:r>
      <w:r w:rsidR="00A20AFF" w:rsidRPr="00FD211F">
        <w:rPr>
          <w:sz w:val="36"/>
          <w:szCs w:val="36"/>
          <w:rtl/>
        </w:rPr>
        <w:t>الملازم</w:t>
      </w:r>
      <w:r w:rsidR="00EC7EDF" w:rsidRPr="00FD211F">
        <w:rPr>
          <w:sz w:val="36"/>
          <w:szCs w:val="36"/>
          <w:rtl/>
        </w:rPr>
        <w:t>ة</w:t>
      </w:r>
      <w:r w:rsidR="00E8128F">
        <w:rPr>
          <w:sz w:val="36"/>
          <w:szCs w:val="36"/>
          <w:rtl/>
        </w:rPr>
        <w:t xml:space="preserve"> </w:t>
      </w:r>
      <w:r w:rsidR="00A20AFF" w:rsidRPr="00FD211F">
        <w:rPr>
          <w:sz w:val="36"/>
          <w:szCs w:val="36"/>
          <w:rtl/>
        </w:rPr>
        <w:t>بين</w:t>
      </w:r>
      <w:r w:rsidR="00E8128F">
        <w:rPr>
          <w:sz w:val="36"/>
          <w:szCs w:val="36"/>
          <w:rtl/>
        </w:rPr>
        <w:t xml:space="preserve"> </w:t>
      </w:r>
      <w:r w:rsidR="00A20AFF" w:rsidRPr="00FD211F">
        <w:rPr>
          <w:sz w:val="36"/>
          <w:szCs w:val="36"/>
          <w:rtl/>
        </w:rPr>
        <w:t>حكم</w:t>
      </w:r>
      <w:r w:rsidR="00E8128F">
        <w:rPr>
          <w:sz w:val="36"/>
          <w:szCs w:val="36"/>
          <w:rtl/>
        </w:rPr>
        <w:t xml:space="preserve"> </w:t>
      </w:r>
      <w:r w:rsidR="00A20AFF" w:rsidRPr="00FD211F">
        <w:rPr>
          <w:sz w:val="36"/>
          <w:szCs w:val="36"/>
          <w:rtl/>
        </w:rPr>
        <w:t>العقل</w:t>
      </w:r>
      <w:r w:rsidR="00E8128F">
        <w:rPr>
          <w:sz w:val="36"/>
          <w:szCs w:val="36"/>
          <w:rtl/>
        </w:rPr>
        <w:t xml:space="preserve"> </w:t>
      </w:r>
      <w:r w:rsidR="00A20AFF" w:rsidRPr="00FD211F">
        <w:rPr>
          <w:sz w:val="36"/>
          <w:szCs w:val="36"/>
          <w:rtl/>
        </w:rPr>
        <w:t>وحكم</w:t>
      </w:r>
      <w:r w:rsidR="00E8128F">
        <w:rPr>
          <w:sz w:val="36"/>
          <w:szCs w:val="36"/>
          <w:rtl/>
        </w:rPr>
        <w:t xml:space="preserve"> </w:t>
      </w:r>
      <w:r w:rsidR="00A20AFF" w:rsidRPr="00FD211F">
        <w:rPr>
          <w:sz w:val="36"/>
          <w:szCs w:val="36"/>
          <w:rtl/>
        </w:rPr>
        <w:t>الشرع</w:t>
      </w:r>
      <w:r w:rsidR="00E8128F">
        <w:rPr>
          <w:sz w:val="36"/>
          <w:szCs w:val="36"/>
          <w:rtl/>
        </w:rPr>
        <w:t xml:space="preserve"> </w:t>
      </w:r>
      <w:r w:rsidR="006E206F" w:rsidRPr="00FD211F">
        <w:rPr>
          <w:sz w:val="36"/>
          <w:szCs w:val="36"/>
          <w:rtl/>
        </w:rPr>
        <w:t>وان</w:t>
      </w:r>
      <w:r w:rsidR="00E8128F">
        <w:rPr>
          <w:sz w:val="36"/>
          <w:szCs w:val="36"/>
          <w:rtl/>
        </w:rPr>
        <w:t xml:space="preserve"> </w:t>
      </w:r>
      <w:r w:rsidR="006E206F" w:rsidRPr="00FD211F">
        <w:rPr>
          <w:sz w:val="36"/>
          <w:szCs w:val="36"/>
          <w:rtl/>
        </w:rPr>
        <w:t>ما</w:t>
      </w:r>
      <w:r w:rsidR="00E8128F">
        <w:rPr>
          <w:sz w:val="36"/>
          <w:szCs w:val="36"/>
          <w:rtl/>
        </w:rPr>
        <w:t xml:space="preserve"> </w:t>
      </w:r>
      <w:r w:rsidR="006E206F" w:rsidRPr="00FD211F">
        <w:rPr>
          <w:sz w:val="36"/>
          <w:szCs w:val="36"/>
          <w:rtl/>
        </w:rPr>
        <w:t>حكم</w:t>
      </w:r>
      <w:r w:rsidR="00E8128F">
        <w:rPr>
          <w:sz w:val="36"/>
          <w:szCs w:val="36"/>
          <w:rtl/>
        </w:rPr>
        <w:t xml:space="preserve"> </w:t>
      </w:r>
      <w:r w:rsidR="006E206F" w:rsidRPr="00FD211F">
        <w:rPr>
          <w:sz w:val="36"/>
          <w:szCs w:val="36"/>
          <w:rtl/>
        </w:rPr>
        <w:t>به</w:t>
      </w:r>
      <w:r w:rsidR="00E8128F">
        <w:rPr>
          <w:sz w:val="36"/>
          <w:szCs w:val="36"/>
          <w:rtl/>
        </w:rPr>
        <w:t xml:space="preserve"> </w:t>
      </w:r>
      <w:r w:rsidR="006E206F" w:rsidRPr="00FD211F">
        <w:rPr>
          <w:sz w:val="36"/>
          <w:szCs w:val="36"/>
          <w:rtl/>
        </w:rPr>
        <w:t>العقل</w:t>
      </w:r>
      <w:r w:rsidR="00E8128F">
        <w:rPr>
          <w:sz w:val="36"/>
          <w:szCs w:val="36"/>
          <w:rtl/>
        </w:rPr>
        <w:t xml:space="preserve"> </w:t>
      </w:r>
      <w:r w:rsidR="006E206F" w:rsidRPr="00FD211F">
        <w:rPr>
          <w:sz w:val="36"/>
          <w:szCs w:val="36"/>
          <w:rtl/>
        </w:rPr>
        <w:t>قد</w:t>
      </w:r>
      <w:r w:rsidR="00E8128F">
        <w:rPr>
          <w:sz w:val="36"/>
          <w:szCs w:val="36"/>
          <w:rtl/>
        </w:rPr>
        <w:t xml:space="preserve"> </w:t>
      </w:r>
      <w:r w:rsidR="006E206F" w:rsidRPr="00FD211F">
        <w:rPr>
          <w:sz w:val="36"/>
          <w:szCs w:val="36"/>
          <w:rtl/>
        </w:rPr>
        <w:t>حكم</w:t>
      </w:r>
      <w:r w:rsidR="00E8128F">
        <w:rPr>
          <w:sz w:val="36"/>
          <w:szCs w:val="36"/>
          <w:rtl/>
        </w:rPr>
        <w:t xml:space="preserve"> </w:t>
      </w:r>
      <w:r w:rsidR="006E206F" w:rsidRPr="00FD211F">
        <w:rPr>
          <w:sz w:val="36"/>
          <w:szCs w:val="36"/>
          <w:rtl/>
        </w:rPr>
        <w:t>به</w:t>
      </w:r>
      <w:r w:rsidR="00E8128F">
        <w:rPr>
          <w:sz w:val="36"/>
          <w:szCs w:val="36"/>
          <w:rtl/>
        </w:rPr>
        <w:t xml:space="preserve"> </w:t>
      </w:r>
      <w:r w:rsidR="006E206F" w:rsidRPr="00FD211F">
        <w:rPr>
          <w:sz w:val="36"/>
          <w:szCs w:val="36"/>
          <w:rtl/>
        </w:rPr>
        <w:t>الشرع</w:t>
      </w:r>
      <w:r w:rsidR="00603323" w:rsidRPr="00FD211F">
        <w:rPr>
          <w:sz w:val="36"/>
          <w:szCs w:val="36"/>
          <w:rtl/>
        </w:rPr>
        <w:t>،</w:t>
      </w:r>
      <w:r w:rsidR="00E8128F">
        <w:rPr>
          <w:sz w:val="36"/>
          <w:szCs w:val="36"/>
          <w:rtl/>
        </w:rPr>
        <w:t xml:space="preserve"> </w:t>
      </w:r>
      <w:r w:rsidR="006C66E1" w:rsidRPr="00FD211F">
        <w:rPr>
          <w:sz w:val="36"/>
          <w:szCs w:val="36"/>
          <w:rtl/>
        </w:rPr>
        <w:t>فانها</w:t>
      </w:r>
      <w:r w:rsidR="00E8128F">
        <w:rPr>
          <w:sz w:val="36"/>
          <w:szCs w:val="36"/>
          <w:rtl/>
        </w:rPr>
        <w:t xml:space="preserve"> </w:t>
      </w:r>
      <w:r w:rsidR="006C66E1" w:rsidRPr="00FD211F">
        <w:rPr>
          <w:sz w:val="36"/>
          <w:szCs w:val="36"/>
          <w:rtl/>
        </w:rPr>
        <w:t>بمجردها</w:t>
      </w:r>
      <w:r w:rsidR="00E8128F">
        <w:rPr>
          <w:sz w:val="36"/>
          <w:szCs w:val="36"/>
          <w:rtl/>
        </w:rPr>
        <w:t xml:space="preserve"> </w:t>
      </w:r>
      <w:r w:rsidR="006E206F" w:rsidRPr="00FD211F">
        <w:rPr>
          <w:sz w:val="36"/>
          <w:szCs w:val="36"/>
          <w:rtl/>
        </w:rPr>
        <w:t>لا</w:t>
      </w:r>
      <w:r w:rsidR="006C66E1" w:rsidRPr="00FD211F">
        <w:rPr>
          <w:sz w:val="36"/>
          <w:szCs w:val="36"/>
          <w:rtl/>
        </w:rPr>
        <w:t>ت</w:t>
      </w:r>
      <w:r w:rsidR="006E206F" w:rsidRPr="00FD211F">
        <w:rPr>
          <w:sz w:val="36"/>
          <w:szCs w:val="36"/>
          <w:rtl/>
        </w:rPr>
        <w:t>كون</w:t>
      </w:r>
      <w:r w:rsidR="00E8128F">
        <w:rPr>
          <w:sz w:val="36"/>
          <w:szCs w:val="36"/>
          <w:rtl/>
        </w:rPr>
        <w:t xml:space="preserve"> </w:t>
      </w:r>
      <w:r w:rsidR="006E206F" w:rsidRPr="00FD211F">
        <w:rPr>
          <w:sz w:val="36"/>
          <w:szCs w:val="36"/>
          <w:rtl/>
        </w:rPr>
        <w:t>دليلا</w:t>
      </w:r>
      <w:r w:rsidR="00E8128F">
        <w:rPr>
          <w:sz w:val="36"/>
          <w:szCs w:val="36"/>
          <w:rtl/>
        </w:rPr>
        <w:t xml:space="preserve"> </w:t>
      </w:r>
      <w:r w:rsidR="006E206F" w:rsidRPr="00FD211F">
        <w:rPr>
          <w:sz w:val="36"/>
          <w:szCs w:val="36"/>
          <w:rtl/>
        </w:rPr>
        <w:t>على</w:t>
      </w:r>
      <w:r w:rsidR="00E8128F">
        <w:rPr>
          <w:sz w:val="36"/>
          <w:szCs w:val="36"/>
          <w:rtl/>
        </w:rPr>
        <w:t xml:space="preserve"> </w:t>
      </w:r>
      <w:r w:rsidR="006E206F" w:rsidRPr="00FD211F">
        <w:rPr>
          <w:sz w:val="36"/>
          <w:szCs w:val="36"/>
          <w:rtl/>
        </w:rPr>
        <w:t>حرم</w:t>
      </w:r>
      <w:r w:rsidR="00EC7EDF" w:rsidRPr="00FD211F">
        <w:rPr>
          <w:sz w:val="36"/>
          <w:szCs w:val="36"/>
          <w:rtl/>
        </w:rPr>
        <w:t>ة</w:t>
      </w:r>
      <w:r w:rsidR="00E8128F">
        <w:rPr>
          <w:sz w:val="36"/>
          <w:szCs w:val="36"/>
          <w:rtl/>
        </w:rPr>
        <w:t xml:space="preserve"> </w:t>
      </w:r>
      <w:r w:rsidR="006E206F" w:rsidRPr="00FD211F">
        <w:rPr>
          <w:sz w:val="36"/>
          <w:szCs w:val="36"/>
          <w:rtl/>
        </w:rPr>
        <w:t>الكذب</w:t>
      </w:r>
      <w:r w:rsidR="00E8128F">
        <w:rPr>
          <w:sz w:val="36"/>
          <w:szCs w:val="36"/>
          <w:rtl/>
        </w:rPr>
        <w:t xml:space="preserve"> </w:t>
      </w:r>
      <w:r w:rsidR="006E206F" w:rsidRPr="00FD211F">
        <w:rPr>
          <w:sz w:val="36"/>
          <w:szCs w:val="36"/>
          <w:rtl/>
        </w:rPr>
        <w:t>مثلا</w:t>
      </w:r>
      <w:r w:rsidR="00603323" w:rsidRPr="00FD211F">
        <w:rPr>
          <w:sz w:val="36"/>
          <w:szCs w:val="36"/>
          <w:rtl/>
        </w:rPr>
        <w:t>،</w:t>
      </w:r>
      <w:r w:rsidR="00E8128F">
        <w:rPr>
          <w:sz w:val="36"/>
          <w:szCs w:val="36"/>
          <w:rtl/>
        </w:rPr>
        <w:t xml:space="preserve"> </w:t>
      </w:r>
      <w:r w:rsidR="006E206F" w:rsidRPr="00FD211F">
        <w:rPr>
          <w:sz w:val="36"/>
          <w:szCs w:val="36"/>
          <w:rtl/>
        </w:rPr>
        <w:t>بل</w:t>
      </w:r>
      <w:r w:rsidR="00E8128F">
        <w:rPr>
          <w:sz w:val="36"/>
          <w:szCs w:val="36"/>
          <w:rtl/>
        </w:rPr>
        <w:t xml:space="preserve"> </w:t>
      </w:r>
      <w:r w:rsidR="006C66E1" w:rsidRPr="00FD211F">
        <w:rPr>
          <w:sz w:val="36"/>
          <w:szCs w:val="36"/>
          <w:rtl/>
        </w:rPr>
        <w:t>ت</w:t>
      </w:r>
      <w:r w:rsidR="006E206F" w:rsidRPr="00FD211F">
        <w:rPr>
          <w:sz w:val="36"/>
          <w:szCs w:val="36"/>
          <w:rtl/>
        </w:rPr>
        <w:t>حتاج</w:t>
      </w:r>
      <w:r w:rsidR="00E8128F">
        <w:rPr>
          <w:sz w:val="36"/>
          <w:szCs w:val="36"/>
          <w:rtl/>
        </w:rPr>
        <w:t xml:space="preserve"> </w:t>
      </w:r>
      <w:r w:rsidR="006E206F" w:rsidRPr="00FD211F">
        <w:rPr>
          <w:sz w:val="36"/>
          <w:szCs w:val="36"/>
          <w:rtl/>
        </w:rPr>
        <w:t>الى</w:t>
      </w:r>
      <w:r w:rsidR="00E8128F">
        <w:rPr>
          <w:sz w:val="36"/>
          <w:szCs w:val="36"/>
          <w:rtl/>
        </w:rPr>
        <w:t xml:space="preserve"> </w:t>
      </w:r>
      <w:r w:rsidR="006E206F" w:rsidRPr="00FD211F">
        <w:rPr>
          <w:sz w:val="36"/>
          <w:szCs w:val="36"/>
          <w:rtl/>
        </w:rPr>
        <w:t>توسيط</w:t>
      </w:r>
      <w:r w:rsidR="00E8128F">
        <w:rPr>
          <w:sz w:val="36"/>
          <w:szCs w:val="36"/>
          <w:rtl/>
        </w:rPr>
        <w:t xml:space="preserve"> </w:t>
      </w:r>
      <w:r w:rsidR="006E206F" w:rsidRPr="00FD211F">
        <w:rPr>
          <w:sz w:val="36"/>
          <w:szCs w:val="36"/>
          <w:rtl/>
        </w:rPr>
        <w:t>حكم</w:t>
      </w:r>
      <w:r w:rsidR="00E8128F">
        <w:rPr>
          <w:sz w:val="36"/>
          <w:szCs w:val="36"/>
          <w:rtl/>
        </w:rPr>
        <w:t xml:space="preserve"> </w:t>
      </w:r>
      <w:r w:rsidR="006E206F" w:rsidRPr="00FD211F">
        <w:rPr>
          <w:sz w:val="36"/>
          <w:szCs w:val="36"/>
          <w:rtl/>
        </w:rPr>
        <w:t>عقلي</w:t>
      </w:r>
      <w:r w:rsidR="00E8128F">
        <w:rPr>
          <w:sz w:val="36"/>
          <w:szCs w:val="36"/>
          <w:rtl/>
        </w:rPr>
        <w:t xml:space="preserve"> </w:t>
      </w:r>
      <w:r w:rsidR="006E206F" w:rsidRPr="00FD211F">
        <w:rPr>
          <w:sz w:val="36"/>
          <w:szCs w:val="36"/>
          <w:rtl/>
        </w:rPr>
        <w:t>آخر</w:t>
      </w:r>
      <w:r w:rsidR="00E8128F">
        <w:rPr>
          <w:sz w:val="36"/>
          <w:szCs w:val="36"/>
          <w:rtl/>
        </w:rPr>
        <w:t xml:space="preserve"> </w:t>
      </w:r>
      <w:r w:rsidR="006E206F" w:rsidRPr="00FD211F">
        <w:rPr>
          <w:sz w:val="36"/>
          <w:szCs w:val="36"/>
          <w:rtl/>
        </w:rPr>
        <w:t>وهو</w:t>
      </w:r>
      <w:r w:rsidR="00E8128F">
        <w:rPr>
          <w:sz w:val="36"/>
          <w:szCs w:val="36"/>
          <w:rtl/>
        </w:rPr>
        <w:t xml:space="preserve"> </w:t>
      </w:r>
      <w:r w:rsidR="006E206F" w:rsidRPr="00FD211F">
        <w:rPr>
          <w:sz w:val="36"/>
          <w:szCs w:val="36"/>
          <w:rtl/>
        </w:rPr>
        <w:t>حكمه</w:t>
      </w:r>
      <w:r w:rsidR="00E8128F">
        <w:rPr>
          <w:sz w:val="36"/>
          <w:szCs w:val="36"/>
          <w:rtl/>
        </w:rPr>
        <w:t xml:space="preserve"> </w:t>
      </w:r>
      <w:r w:rsidR="006E206F" w:rsidRPr="00FD211F">
        <w:rPr>
          <w:sz w:val="36"/>
          <w:szCs w:val="36"/>
          <w:rtl/>
        </w:rPr>
        <w:t>بقبح</w:t>
      </w:r>
      <w:r w:rsidR="00E8128F">
        <w:rPr>
          <w:sz w:val="36"/>
          <w:szCs w:val="36"/>
          <w:rtl/>
        </w:rPr>
        <w:t xml:space="preserve"> </w:t>
      </w:r>
      <w:r w:rsidR="006E206F" w:rsidRPr="00FD211F">
        <w:rPr>
          <w:sz w:val="36"/>
          <w:szCs w:val="36"/>
          <w:rtl/>
        </w:rPr>
        <w:t>الكذب</w:t>
      </w:r>
      <w:r w:rsidR="00603323" w:rsidRPr="00FD211F">
        <w:rPr>
          <w:sz w:val="36"/>
          <w:szCs w:val="36"/>
          <w:rtl/>
        </w:rPr>
        <w:t>،</w:t>
      </w:r>
      <w:r w:rsidR="00E8128F">
        <w:rPr>
          <w:sz w:val="36"/>
          <w:szCs w:val="36"/>
          <w:rtl/>
        </w:rPr>
        <w:t xml:space="preserve"> </w:t>
      </w:r>
      <w:r w:rsidR="006E206F" w:rsidRPr="00FD211F">
        <w:rPr>
          <w:sz w:val="36"/>
          <w:szCs w:val="36"/>
          <w:rtl/>
        </w:rPr>
        <w:t>وهذا</w:t>
      </w:r>
      <w:r w:rsidR="00E8128F">
        <w:rPr>
          <w:sz w:val="36"/>
          <w:szCs w:val="36"/>
          <w:rtl/>
        </w:rPr>
        <w:t xml:space="preserve"> </w:t>
      </w:r>
      <w:r w:rsidR="006E206F" w:rsidRPr="00FD211F">
        <w:rPr>
          <w:sz w:val="36"/>
          <w:szCs w:val="36"/>
          <w:rtl/>
        </w:rPr>
        <w:t>الحكم</w:t>
      </w:r>
      <w:r w:rsidR="00E8128F">
        <w:rPr>
          <w:sz w:val="36"/>
          <w:szCs w:val="36"/>
          <w:rtl/>
        </w:rPr>
        <w:t xml:space="preserve"> </w:t>
      </w:r>
      <w:r w:rsidR="006E206F" w:rsidRPr="00FD211F">
        <w:rPr>
          <w:sz w:val="36"/>
          <w:szCs w:val="36"/>
          <w:rtl/>
        </w:rPr>
        <w:t>العقلي</w:t>
      </w:r>
      <w:r w:rsidR="00E8128F">
        <w:rPr>
          <w:sz w:val="36"/>
          <w:szCs w:val="36"/>
          <w:rtl/>
        </w:rPr>
        <w:t xml:space="preserve"> </w:t>
      </w:r>
      <w:r w:rsidR="006E206F" w:rsidRPr="00FD211F">
        <w:rPr>
          <w:sz w:val="36"/>
          <w:szCs w:val="36"/>
          <w:rtl/>
        </w:rPr>
        <w:t>ليس</w:t>
      </w:r>
      <w:r w:rsidR="00E8128F">
        <w:rPr>
          <w:sz w:val="36"/>
          <w:szCs w:val="36"/>
          <w:rtl/>
        </w:rPr>
        <w:t xml:space="preserve"> </w:t>
      </w:r>
      <w:r w:rsidR="006E206F" w:rsidRPr="00FD211F">
        <w:rPr>
          <w:sz w:val="36"/>
          <w:szCs w:val="36"/>
          <w:rtl/>
        </w:rPr>
        <w:t>من</w:t>
      </w:r>
      <w:r w:rsidR="00E8128F">
        <w:rPr>
          <w:sz w:val="36"/>
          <w:szCs w:val="36"/>
          <w:rtl/>
        </w:rPr>
        <w:t xml:space="preserve"> </w:t>
      </w:r>
      <w:r w:rsidR="006E206F" w:rsidRPr="00FD211F">
        <w:rPr>
          <w:sz w:val="36"/>
          <w:szCs w:val="36"/>
          <w:rtl/>
        </w:rPr>
        <w:t>مسائل</w:t>
      </w:r>
      <w:r w:rsidR="00E8128F">
        <w:rPr>
          <w:sz w:val="36"/>
          <w:szCs w:val="36"/>
          <w:rtl/>
        </w:rPr>
        <w:t xml:space="preserve"> </w:t>
      </w:r>
      <w:r w:rsidR="006E206F" w:rsidRPr="00FD211F">
        <w:rPr>
          <w:sz w:val="36"/>
          <w:szCs w:val="36"/>
          <w:rtl/>
        </w:rPr>
        <w:t>علم</w:t>
      </w:r>
      <w:r w:rsidR="00E8128F">
        <w:rPr>
          <w:sz w:val="36"/>
          <w:szCs w:val="36"/>
          <w:rtl/>
        </w:rPr>
        <w:t xml:space="preserve"> </w:t>
      </w:r>
      <w:r w:rsidR="006E206F" w:rsidRPr="00FD211F">
        <w:rPr>
          <w:sz w:val="36"/>
          <w:szCs w:val="36"/>
          <w:rtl/>
        </w:rPr>
        <w:t>الاصول</w:t>
      </w:r>
      <w:r w:rsidR="00E8128F">
        <w:rPr>
          <w:sz w:val="36"/>
          <w:szCs w:val="36"/>
          <w:rtl/>
        </w:rPr>
        <w:t xml:space="preserve"> </w:t>
      </w:r>
      <w:r w:rsidR="00AE2748" w:rsidRPr="00FD211F">
        <w:rPr>
          <w:sz w:val="36"/>
          <w:szCs w:val="36"/>
          <w:rtl/>
        </w:rPr>
        <w:t>طبعا</w:t>
      </w:r>
      <w:r w:rsidR="00603323" w:rsidRPr="00FD211F">
        <w:rPr>
          <w:sz w:val="36"/>
          <w:szCs w:val="36"/>
          <w:rtl/>
        </w:rPr>
        <w:t>،</w:t>
      </w:r>
      <w:r w:rsidR="00E8128F">
        <w:rPr>
          <w:sz w:val="36"/>
          <w:szCs w:val="36"/>
          <w:rtl/>
        </w:rPr>
        <w:t xml:space="preserve"> </w:t>
      </w:r>
      <w:r w:rsidR="006E206F" w:rsidRPr="00FD211F">
        <w:rPr>
          <w:sz w:val="36"/>
          <w:szCs w:val="36"/>
          <w:rtl/>
        </w:rPr>
        <w:t>وانما</w:t>
      </w:r>
      <w:r w:rsidR="00E8128F">
        <w:rPr>
          <w:sz w:val="36"/>
          <w:szCs w:val="36"/>
          <w:rtl/>
        </w:rPr>
        <w:t xml:space="preserve"> </w:t>
      </w:r>
      <w:r w:rsidR="006E206F" w:rsidRPr="00FD211F">
        <w:rPr>
          <w:sz w:val="36"/>
          <w:szCs w:val="36"/>
          <w:rtl/>
        </w:rPr>
        <w:t>هو</w:t>
      </w:r>
      <w:r w:rsidR="00E8128F">
        <w:rPr>
          <w:sz w:val="36"/>
          <w:szCs w:val="36"/>
          <w:rtl/>
        </w:rPr>
        <w:t xml:space="preserve"> </w:t>
      </w:r>
      <w:r w:rsidR="006E206F" w:rsidRPr="00FD211F">
        <w:rPr>
          <w:sz w:val="36"/>
          <w:szCs w:val="36"/>
          <w:rtl/>
        </w:rPr>
        <w:t>دليل</w:t>
      </w:r>
      <w:r w:rsidR="00E8128F">
        <w:rPr>
          <w:sz w:val="36"/>
          <w:szCs w:val="36"/>
          <w:rtl/>
        </w:rPr>
        <w:t xml:space="preserve"> </w:t>
      </w:r>
      <w:r w:rsidR="006E206F" w:rsidRPr="00FD211F">
        <w:rPr>
          <w:sz w:val="36"/>
          <w:szCs w:val="36"/>
          <w:rtl/>
        </w:rPr>
        <w:t>على</w:t>
      </w:r>
      <w:r w:rsidR="00E8128F">
        <w:rPr>
          <w:sz w:val="36"/>
          <w:szCs w:val="36"/>
          <w:rtl/>
        </w:rPr>
        <w:t xml:space="preserve"> </w:t>
      </w:r>
      <w:r w:rsidR="006E206F" w:rsidRPr="00FD211F">
        <w:rPr>
          <w:sz w:val="36"/>
          <w:szCs w:val="36"/>
          <w:rtl/>
        </w:rPr>
        <w:t>حرم</w:t>
      </w:r>
      <w:r w:rsidR="00EC7EDF" w:rsidRPr="00FD211F">
        <w:rPr>
          <w:sz w:val="36"/>
          <w:szCs w:val="36"/>
          <w:rtl/>
        </w:rPr>
        <w:t>ة</w:t>
      </w:r>
      <w:r w:rsidR="00E8128F">
        <w:rPr>
          <w:sz w:val="36"/>
          <w:szCs w:val="36"/>
          <w:rtl/>
        </w:rPr>
        <w:t xml:space="preserve"> </w:t>
      </w:r>
      <w:r w:rsidR="006E206F" w:rsidRPr="00FD211F">
        <w:rPr>
          <w:sz w:val="36"/>
          <w:szCs w:val="36"/>
          <w:rtl/>
        </w:rPr>
        <w:t>الكذب</w:t>
      </w:r>
      <w:r w:rsidR="00E8128F">
        <w:rPr>
          <w:sz w:val="36"/>
          <w:szCs w:val="36"/>
          <w:rtl/>
        </w:rPr>
        <w:t xml:space="preserve"> </w:t>
      </w:r>
      <w:r w:rsidR="006E206F" w:rsidRPr="00FD211F">
        <w:rPr>
          <w:sz w:val="36"/>
          <w:szCs w:val="36"/>
          <w:rtl/>
        </w:rPr>
        <w:t>شرعا</w:t>
      </w:r>
      <w:r w:rsidR="00603323" w:rsidRPr="00FD211F">
        <w:rPr>
          <w:sz w:val="36"/>
          <w:szCs w:val="36"/>
          <w:rtl/>
        </w:rPr>
        <w:t>،</w:t>
      </w:r>
      <w:r w:rsidR="00E8128F">
        <w:rPr>
          <w:sz w:val="36"/>
          <w:szCs w:val="36"/>
          <w:rtl/>
        </w:rPr>
        <w:t xml:space="preserve"> </w:t>
      </w:r>
      <w:r w:rsidR="006E206F" w:rsidRPr="00FD211F">
        <w:rPr>
          <w:sz w:val="36"/>
          <w:szCs w:val="36"/>
          <w:rtl/>
        </w:rPr>
        <w:t>ولايتم</w:t>
      </w:r>
      <w:r w:rsidR="00E8128F">
        <w:rPr>
          <w:sz w:val="36"/>
          <w:szCs w:val="36"/>
          <w:rtl/>
        </w:rPr>
        <w:t xml:space="preserve"> </w:t>
      </w:r>
      <w:r w:rsidR="006E206F" w:rsidRPr="00FD211F">
        <w:rPr>
          <w:sz w:val="36"/>
          <w:szCs w:val="36"/>
          <w:rtl/>
        </w:rPr>
        <w:t>دليليته</w:t>
      </w:r>
      <w:r w:rsidR="00E8128F">
        <w:rPr>
          <w:sz w:val="36"/>
          <w:szCs w:val="36"/>
          <w:rtl/>
        </w:rPr>
        <w:t xml:space="preserve"> </w:t>
      </w:r>
      <w:r w:rsidR="006E206F" w:rsidRPr="00FD211F">
        <w:rPr>
          <w:sz w:val="36"/>
          <w:szCs w:val="36"/>
          <w:rtl/>
        </w:rPr>
        <w:t>الا</w:t>
      </w:r>
      <w:r w:rsidR="00E8128F">
        <w:rPr>
          <w:sz w:val="36"/>
          <w:szCs w:val="36"/>
          <w:rtl/>
        </w:rPr>
        <w:t xml:space="preserve"> </w:t>
      </w:r>
      <w:r w:rsidR="006E206F" w:rsidRPr="00FD211F">
        <w:rPr>
          <w:sz w:val="36"/>
          <w:szCs w:val="36"/>
          <w:rtl/>
        </w:rPr>
        <w:t>بعد</w:t>
      </w:r>
      <w:r w:rsidR="00E8128F">
        <w:rPr>
          <w:sz w:val="36"/>
          <w:szCs w:val="36"/>
          <w:rtl/>
        </w:rPr>
        <w:t xml:space="preserve"> </w:t>
      </w:r>
      <w:r w:rsidR="006E206F" w:rsidRPr="00FD211F">
        <w:rPr>
          <w:sz w:val="36"/>
          <w:szCs w:val="36"/>
          <w:rtl/>
        </w:rPr>
        <w:t>تنقيح</w:t>
      </w:r>
      <w:r w:rsidR="00E8128F">
        <w:rPr>
          <w:sz w:val="36"/>
          <w:szCs w:val="36"/>
          <w:rtl/>
        </w:rPr>
        <w:t xml:space="preserve"> </w:t>
      </w:r>
      <w:r w:rsidR="006E206F" w:rsidRPr="00FD211F">
        <w:rPr>
          <w:sz w:val="36"/>
          <w:szCs w:val="36"/>
          <w:rtl/>
        </w:rPr>
        <w:t>قاعد</w:t>
      </w:r>
      <w:r w:rsidR="00EC7EDF" w:rsidRPr="00FD211F">
        <w:rPr>
          <w:sz w:val="36"/>
          <w:szCs w:val="36"/>
          <w:rtl/>
        </w:rPr>
        <w:t>ة</w:t>
      </w:r>
      <w:r w:rsidR="00E8128F">
        <w:rPr>
          <w:sz w:val="36"/>
          <w:szCs w:val="36"/>
          <w:rtl/>
        </w:rPr>
        <w:t xml:space="preserve"> </w:t>
      </w:r>
      <w:r w:rsidR="006E206F" w:rsidRPr="00FD211F">
        <w:rPr>
          <w:sz w:val="36"/>
          <w:szCs w:val="36"/>
          <w:rtl/>
        </w:rPr>
        <w:t>الملازم</w:t>
      </w:r>
      <w:r w:rsidR="00EC7EDF" w:rsidRPr="00FD211F">
        <w:rPr>
          <w:sz w:val="36"/>
          <w:szCs w:val="36"/>
          <w:rtl/>
        </w:rPr>
        <w:t>ة</w:t>
      </w:r>
      <w:r w:rsidR="00E8128F">
        <w:rPr>
          <w:sz w:val="36"/>
          <w:szCs w:val="36"/>
          <w:rtl/>
        </w:rPr>
        <w:t xml:space="preserve"> </w:t>
      </w:r>
      <w:r w:rsidR="006E206F" w:rsidRPr="00FD211F">
        <w:rPr>
          <w:sz w:val="36"/>
          <w:szCs w:val="36"/>
          <w:rtl/>
        </w:rPr>
        <w:t>في</w:t>
      </w:r>
      <w:r w:rsidR="00E8128F">
        <w:rPr>
          <w:sz w:val="36"/>
          <w:szCs w:val="36"/>
          <w:rtl/>
        </w:rPr>
        <w:t xml:space="preserve"> </w:t>
      </w:r>
      <w:r w:rsidR="006E206F" w:rsidRPr="00FD211F">
        <w:rPr>
          <w:sz w:val="36"/>
          <w:szCs w:val="36"/>
          <w:rtl/>
        </w:rPr>
        <w:t>علم</w:t>
      </w:r>
      <w:r w:rsidR="00E8128F">
        <w:rPr>
          <w:sz w:val="36"/>
          <w:szCs w:val="36"/>
          <w:rtl/>
        </w:rPr>
        <w:t xml:space="preserve"> </w:t>
      </w:r>
      <w:r w:rsidR="006E206F" w:rsidRPr="00FD211F">
        <w:rPr>
          <w:sz w:val="36"/>
          <w:szCs w:val="36"/>
          <w:rtl/>
        </w:rPr>
        <w:t>الاصول.</w:t>
      </w:r>
    </w:p>
    <w:p w14:paraId="0F21DABB" w14:textId="77777777" w:rsidR="006C66E1" w:rsidRPr="00FD211F" w:rsidRDefault="00731778" w:rsidP="009C58C8">
      <w:pPr>
        <w:pStyle w:val="3"/>
        <w:ind w:firstLine="227"/>
        <w:jc w:val="both"/>
        <w:rPr>
          <w:rtl/>
        </w:rPr>
      </w:pPr>
      <w:bookmarkStart w:id="19" w:name="_Toc154131708"/>
      <w:bookmarkStart w:id="20" w:name="_Toc156401496"/>
      <w:bookmarkStart w:id="21" w:name="درس002"/>
      <w:bookmarkStart w:id="22" w:name="_Toc192092842"/>
      <w:bookmarkStart w:id="23" w:name="_Toc223890309"/>
      <w:bookmarkEnd w:id="21"/>
      <w:r w:rsidRPr="00FD211F">
        <w:rPr>
          <w:rtl/>
        </w:rPr>
        <w:lastRenderedPageBreak/>
        <w:t>الايراد</w:t>
      </w:r>
      <w:r w:rsidR="00E8128F">
        <w:rPr>
          <w:rtl/>
        </w:rPr>
        <w:t xml:space="preserve"> </w:t>
      </w:r>
      <w:r w:rsidR="00A06F58" w:rsidRPr="00FD211F">
        <w:rPr>
          <w:rtl/>
        </w:rPr>
        <w:t>الثالث</w:t>
      </w:r>
      <w:r w:rsidR="00E8128F">
        <w:rPr>
          <w:rtl/>
        </w:rPr>
        <w:t xml:space="preserve"> </w:t>
      </w:r>
      <w:r w:rsidR="006C66E1" w:rsidRPr="00FD211F">
        <w:rPr>
          <w:rtl/>
        </w:rPr>
        <w:t>على</w:t>
      </w:r>
      <w:r w:rsidR="00E8128F">
        <w:rPr>
          <w:rtl/>
        </w:rPr>
        <w:t xml:space="preserve"> </w:t>
      </w:r>
      <w:r w:rsidR="006C66E1" w:rsidRPr="00FD211F">
        <w:rPr>
          <w:rtl/>
        </w:rPr>
        <w:t>تعريف</w:t>
      </w:r>
      <w:r w:rsidR="00E8128F">
        <w:rPr>
          <w:rtl/>
        </w:rPr>
        <w:t xml:space="preserve"> </w:t>
      </w:r>
      <w:r w:rsidR="006C66E1" w:rsidRPr="00FD211F">
        <w:rPr>
          <w:rtl/>
        </w:rPr>
        <w:t>المشهور</w:t>
      </w:r>
      <w:bookmarkEnd w:id="19"/>
      <w:bookmarkEnd w:id="20"/>
      <w:bookmarkEnd w:id="22"/>
      <w:bookmarkEnd w:id="23"/>
    </w:p>
    <w:p w14:paraId="20D0EC9C" w14:textId="77777777" w:rsidR="00756695" w:rsidRPr="00FD211F" w:rsidRDefault="00731778" w:rsidP="009C58C8">
      <w:pPr>
        <w:ind w:left="0" w:firstLine="227"/>
        <w:jc w:val="both"/>
        <w:rPr>
          <w:sz w:val="36"/>
          <w:szCs w:val="36"/>
          <w:rtl/>
        </w:rPr>
      </w:pPr>
      <w:r w:rsidRPr="00FD211F">
        <w:rPr>
          <w:b/>
          <w:bCs/>
          <w:sz w:val="36"/>
          <w:szCs w:val="36"/>
          <w:rtl/>
        </w:rPr>
        <w:t>الايراد</w:t>
      </w:r>
      <w:r w:rsidR="00E8128F">
        <w:rPr>
          <w:b/>
          <w:bCs/>
          <w:sz w:val="36"/>
          <w:szCs w:val="36"/>
          <w:rtl/>
        </w:rPr>
        <w:t xml:space="preserve"> </w:t>
      </w:r>
      <w:r w:rsidR="006C66E1" w:rsidRPr="00FD211F">
        <w:rPr>
          <w:b/>
          <w:bCs/>
          <w:sz w:val="36"/>
          <w:szCs w:val="36"/>
          <w:rtl/>
        </w:rPr>
        <w:t>الثالث</w:t>
      </w:r>
      <w:r w:rsidR="00A06F58" w:rsidRPr="00FD211F">
        <w:rPr>
          <w:sz w:val="36"/>
          <w:szCs w:val="36"/>
          <w:rtl/>
        </w:rPr>
        <w:t>:</w:t>
      </w:r>
      <w:r w:rsidR="00E8128F">
        <w:rPr>
          <w:sz w:val="36"/>
          <w:szCs w:val="36"/>
          <w:rtl/>
        </w:rPr>
        <w:t xml:space="preserve"> </w:t>
      </w:r>
      <w:r w:rsidR="00756695" w:rsidRPr="00FD211F">
        <w:rPr>
          <w:sz w:val="36"/>
          <w:szCs w:val="36"/>
          <w:rtl/>
        </w:rPr>
        <w:t>ما</w:t>
      </w:r>
      <w:r w:rsidR="00E8128F">
        <w:rPr>
          <w:sz w:val="36"/>
          <w:szCs w:val="36"/>
          <w:rtl/>
        </w:rPr>
        <w:t xml:space="preserve"> </w:t>
      </w:r>
      <w:r w:rsidR="00756695" w:rsidRPr="00FD211F">
        <w:rPr>
          <w:sz w:val="36"/>
          <w:szCs w:val="36"/>
          <w:rtl/>
        </w:rPr>
        <w:t>يقال</w:t>
      </w:r>
      <w:r w:rsidR="00E8128F">
        <w:rPr>
          <w:sz w:val="36"/>
          <w:szCs w:val="36"/>
          <w:rtl/>
        </w:rPr>
        <w:t xml:space="preserve"> </w:t>
      </w:r>
      <w:r w:rsidR="00756695" w:rsidRPr="00FD211F">
        <w:rPr>
          <w:sz w:val="36"/>
          <w:szCs w:val="36"/>
          <w:rtl/>
        </w:rPr>
        <w:t>من</w:t>
      </w:r>
      <w:r w:rsidR="00E8128F">
        <w:rPr>
          <w:sz w:val="36"/>
          <w:szCs w:val="36"/>
          <w:rtl/>
        </w:rPr>
        <w:t xml:space="preserve"> </w:t>
      </w:r>
      <w:r w:rsidR="00756695" w:rsidRPr="00FD211F">
        <w:rPr>
          <w:sz w:val="36"/>
          <w:szCs w:val="36"/>
          <w:rtl/>
        </w:rPr>
        <w:t>ان</w:t>
      </w:r>
      <w:r w:rsidR="00E8128F">
        <w:rPr>
          <w:sz w:val="36"/>
          <w:szCs w:val="36"/>
          <w:rtl/>
        </w:rPr>
        <w:t xml:space="preserve"> </w:t>
      </w:r>
      <w:r w:rsidR="00756695" w:rsidRPr="00FD211F">
        <w:rPr>
          <w:sz w:val="36"/>
          <w:szCs w:val="36"/>
          <w:rtl/>
        </w:rPr>
        <w:t>تعريف</w:t>
      </w:r>
      <w:r w:rsidR="00E8128F">
        <w:rPr>
          <w:sz w:val="36"/>
          <w:szCs w:val="36"/>
          <w:rtl/>
        </w:rPr>
        <w:t xml:space="preserve"> </w:t>
      </w:r>
      <w:r w:rsidR="00756695" w:rsidRPr="00FD211F">
        <w:rPr>
          <w:sz w:val="36"/>
          <w:szCs w:val="36"/>
          <w:rtl/>
        </w:rPr>
        <w:t>المشهور</w:t>
      </w:r>
      <w:r w:rsidR="00E8128F">
        <w:rPr>
          <w:sz w:val="36"/>
          <w:szCs w:val="36"/>
          <w:rtl/>
        </w:rPr>
        <w:t xml:space="preserve"> </w:t>
      </w:r>
      <w:r w:rsidR="00756695" w:rsidRPr="00FD211F">
        <w:rPr>
          <w:sz w:val="36"/>
          <w:szCs w:val="36"/>
          <w:rtl/>
        </w:rPr>
        <w:t>يشمل</w:t>
      </w:r>
      <w:r w:rsidR="00E8128F">
        <w:rPr>
          <w:sz w:val="36"/>
          <w:szCs w:val="36"/>
          <w:rtl/>
        </w:rPr>
        <w:t xml:space="preserve"> </w:t>
      </w:r>
      <w:r w:rsidR="00756695" w:rsidRPr="00FD211F">
        <w:rPr>
          <w:sz w:val="36"/>
          <w:szCs w:val="36"/>
          <w:rtl/>
        </w:rPr>
        <w:t>مباحث</w:t>
      </w:r>
      <w:r w:rsidR="00E8128F">
        <w:rPr>
          <w:sz w:val="36"/>
          <w:szCs w:val="36"/>
          <w:rtl/>
        </w:rPr>
        <w:t xml:space="preserve"> </w:t>
      </w:r>
      <w:r w:rsidR="00756695" w:rsidRPr="00FD211F">
        <w:rPr>
          <w:sz w:val="36"/>
          <w:szCs w:val="36"/>
          <w:rtl/>
        </w:rPr>
        <w:t>المنطق</w:t>
      </w:r>
      <w:r w:rsidR="00E8128F">
        <w:rPr>
          <w:sz w:val="36"/>
          <w:szCs w:val="36"/>
          <w:rtl/>
        </w:rPr>
        <w:t xml:space="preserve"> </w:t>
      </w:r>
      <w:r w:rsidR="00756695" w:rsidRPr="00FD211F">
        <w:rPr>
          <w:sz w:val="36"/>
          <w:szCs w:val="36"/>
          <w:rtl/>
        </w:rPr>
        <w:t>واللغ</w:t>
      </w:r>
      <w:r w:rsidR="00EC7EDF" w:rsidRPr="00FD211F">
        <w:rPr>
          <w:sz w:val="36"/>
          <w:szCs w:val="36"/>
          <w:rtl/>
        </w:rPr>
        <w:t>ة</w:t>
      </w:r>
      <w:r w:rsidR="00E8128F">
        <w:rPr>
          <w:sz w:val="36"/>
          <w:szCs w:val="36"/>
          <w:rtl/>
        </w:rPr>
        <w:t xml:space="preserve"> </w:t>
      </w:r>
      <w:r w:rsidR="00756695" w:rsidRPr="00FD211F">
        <w:rPr>
          <w:sz w:val="36"/>
          <w:szCs w:val="36"/>
          <w:rtl/>
        </w:rPr>
        <w:t>والرجال</w:t>
      </w:r>
      <w:r w:rsidR="00E8128F">
        <w:rPr>
          <w:sz w:val="36"/>
          <w:szCs w:val="36"/>
          <w:rtl/>
        </w:rPr>
        <w:t xml:space="preserve"> </w:t>
      </w:r>
      <w:r w:rsidR="00756695" w:rsidRPr="00FD211F">
        <w:rPr>
          <w:sz w:val="36"/>
          <w:szCs w:val="36"/>
          <w:rtl/>
        </w:rPr>
        <w:t>كالبحث</w:t>
      </w:r>
      <w:r w:rsidR="00E8128F">
        <w:rPr>
          <w:sz w:val="36"/>
          <w:szCs w:val="36"/>
          <w:rtl/>
        </w:rPr>
        <w:t xml:space="preserve"> </w:t>
      </w:r>
      <w:r w:rsidR="00756695" w:rsidRPr="00FD211F">
        <w:rPr>
          <w:sz w:val="36"/>
          <w:szCs w:val="36"/>
          <w:rtl/>
        </w:rPr>
        <w:t>عن</w:t>
      </w:r>
      <w:r w:rsidR="00E8128F">
        <w:rPr>
          <w:sz w:val="36"/>
          <w:szCs w:val="36"/>
          <w:rtl/>
        </w:rPr>
        <w:t xml:space="preserve"> </w:t>
      </w:r>
      <w:r w:rsidR="00756695" w:rsidRPr="00FD211F">
        <w:rPr>
          <w:sz w:val="36"/>
          <w:szCs w:val="36"/>
          <w:rtl/>
        </w:rPr>
        <w:t>نظري</w:t>
      </w:r>
      <w:r w:rsidR="00EC7EDF" w:rsidRPr="00FD211F">
        <w:rPr>
          <w:sz w:val="36"/>
          <w:szCs w:val="36"/>
          <w:rtl/>
        </w:rPr>
        <w:t>ة</w:t>
      </w:r>
      <w:r w:rsidR="00E8128F">
        <w:rPr>
          <w:sz w:val="36"/>
          <w:szCs w:val="36"/>
          <w:rtl/>
        </w:rPr>
        <w:t xml:space="preserve"> </w:t>
      </w:r>
      <w:r w:rsidR="00756695" w:rsidRPr="00FD211F">
        <w:rPr>
          <w:sz w:val="36"/>
          <w:szCs w:val="36"/>
          <w:rtl/>
        </w:rPr>
        <w:t>التوثيق</w:t>
      </w:r>
      <w:r w:rsidR="00E8128F">
        <w:rPr>
          <w:sz w:val="36"/>
          <w:szCs w:val="36"/>
          <w:rtl/>
        </w:rPr>
        <w:t xml:space="preserve"> </w:t>
      </w:r>
      <w:r w:rsidR="00756695" w:rsidRPr="00FD211F">
        <w:rPr>
          <w:sz w:val="36"/>
          <w:szCs w:val="36"/>
          <w:rtl/>
        </w:rPr>
        <w:t>العام</w:t>
      </w:r>
      <w:r w:rsidR="00E8128F">
        <w:rPr>
          <w:sz w:val="36"/>
          <w:szCs w:val="36"/>
          <w:rtl/>
        </w:rPr>
        <w:t xml:space="preserve"> </w:t>
      </w:r>
      <w:r w:rsidR="00756695" w:rsidRPr="00FD211F">
        <w:rPr>
          <w:sz w:val="36"/>
          <w:szCs w:val="36"/>
          <w:rtl/>
        </w:rPr>
        <w:t>لمشايخ</w:t>
      </w:r>
      <w:r w:rsidR="00E8128F">
        <w:rPr>
          <w:sz w:val="36"/>
          <w:szCs w:val="36"/>
          <w:rtl/>
        </w:rPr>
        <w:t xml:space="preserve"> </w:t>
      </w:r>
      <w:r w:rsidR="00756695" w:rsidRPr="00FD211F">
        <w:rPr>
          <w:sz w:val="36"/>
          <w:szCs w:val="36"/>
          <w:rtl/>
        </w:rPr>
        <w:t>صفوان</w:t>
      </w:r>
      <w:r w:rsidR="00E8128F">
        <w:rPr>
          <w:sz w:val="36"/>
          <w:szCs w:val="36"/>
          <w:rtl/>
        </w:rPr>
        <w:t xml:space="preserve"> </w:t>
      </w:r>
      <w:r w:rsidR="00756695" w:rsidRPr="00FD211F">
        <w:rPr>
          <w:sz w:val="36"/>
          <w:szCs w:val="36"/>
          <w:rtl/>
        </w:rPr>
        <w:t>وابن</w:t>
      </w:r>
      <w:r w:rsidR="00E8128F">
        <w:rPr>
          <w:sz w:val="36"/>
          <w:szCs w:val="36"/>
          <w:rtl/>
        </w:rPr>
        <w:t xml:space="preserve"> </w:t>
      </w:r>
      <w:r w:rsidR="00756695" w:rsidRPr="00FD211F">
        <w:rPr>
          <w:sz w:val="36"/>
          <w:szCs w:val="36"/>
          <w:rtl/>
        </w:rPr>
        <w:t>ابي</w:t>
      </w:r>
      <w:r w:rsidR="00E8128F">
        <w:rPr>
          <w:sz w:val="36"/>
          <w:szCs w:val="36"/>
          <w:rtl/>
        </w:rPr>
        <w:t xml:space="preserve"> </w:t>
      </w:r>
      <w:r w:rsidR="00756695" w:rsidRPr="00FD211F">
        <w:rPr>
          <w:sz w:val="36"/>
          <w:szCs w:val="36"/>
          <w:rtl/>
        </w:rPr>
        <w:t>عمير</w:t>
      </w:r>
      <w:r w:rsidR="00E8128F">
        <w:rPr>
          <w:sz w:val="36"/>
          <w:szCs w:val="36"/>
          <w:rtl/>
        </w:rPr>
        <w:t xml:space="preserve"> </w:t>
      </w:r>
      <w:r w:rsidR="00756695" w:rsidRPr="00FD211F">
        <w:rPr>
          <w:sz w:val="36"/>
          <w:szCs w:val="36"/>
          <w:rtl/>
        </w:rPr>
        <w:t>والبزنطي</w:t>
      </w:r>
      <w:r w:rsidR="00E8128F">
        <w:rPr>
          <w:sz w:val="36"/>
          <w:szCs w:val="36"/>
          <w:rtl/>
        </w:rPr>
        <w:t xml:space="preserve"> </w:t>
      </w:r>
      <w:r w:rsidR="00756695" w:rsidRPr="00FD211F">
        <w:rPr>
          <w:sz w:val="36"/>
          <w:szCs w:val="36"/>
          <w:rtl/>
        </w:rPr>
        <w:t>ونحو</w:t>
      </w:r>
      <w:r w:rsidR="00E8128F">
        <w:rPr>
          <w:sz w:val="36"/>
          <w:szCs w:val="36"/>
          <w:rtl/>
        </w:rPr>
        <w:t xml:space="preserve"> </w:t>
      </w:r>
      <w:r w:rsidR="00756695" w:rsidRPr="00FD211F">
        <w:rPr>
          <w:sz w:val="36"/>
          <w:szCs w:val="36"/>
          <w:rtl/>
        </w:rPr>
        <w:t>ذلك</w:t>
      </w:r>
      <w:r w:rsidR="00603323" w:rsidRPr="00FD211F">
        <w:rPr>
          <w:sz w:val="36"/>
          <w:szCs w:val="36"/>
          <w:rtl/>
        </w:rPr>
        <w:t>،</w:t>
      </w:r>
      <w:r w:rsidR="00E8128F">
        <w:rPr>
          <w:sz w:val="36"/>
          <w:szCs w:val="36"/>
          <w:rtl/>
        </w:rPr>
        <w:t xml:space="preserve"> </w:t>
      </w:r>
      <w:r w:rsidR="00756695" w:rsidRPr="00FD211F">
        <w:rPr>
          <w:sz w:val="36"/>
          <w:szCs w:val="36"/>
          <w:rtl/>
        </w:rPr>
        <w:t>فانها</w:t>
      </w:r>
      <w:r w:rsidR="00E8128F">
        <w:rPr>
          <w:sz w:val="36"/>
          <w:szCs w:val="36"/>
          <w:rtl/>
        </w:rPr>
        <w:t xml:space="preserve"> </w:t>
      </w:r>
      <w:r w:rsidR="00756695" w:rsidRPr="00FD211F">
        <w:rPr>
          <w:sz w:val="36"/>
          <w:szCs w:val="36"/>
          <w:rtl/>
        </w:rPr>
        <w:t>قواعد</w:t>
      </w:r>
      <w:r w:rsidR="00E8128F">
        <w:rPr>
          <w:sz w:val="36"/>
          <w:szCs w:val="36"/>
          <w:rtl/>
        </w:rPr>
        <w:t xml:space="preserve"> </w:t>
      </w:r>
      <w:r w:rsidR="00756695" w:rsidRPr="00FD211F">
        <w:rPr>
          <w:sz w:val="36"/>
          <w:szCs w:val="36"/>
          <w:rtl/>
        </w:rPr>
        <w:t>ممهد</w:t>
      </w:r>
      <w:r w:rsidR="00EC7EDF" w:rsidRPr="00FD211F">
        <w:rPr>
          <w:sz w:val="36"/>
          <w:szCs w:val="36"/>
          <w:rtl/>
        </w:rPr>
        <w:t>ة</w:t>
      </w:r>
      <w:r w:rsidR="00E8128F">
        <w:rPr>
          <w:sz w:val="36"/>
          <w:szCs w:val="36"/>
          <w:rtl/>
        </w:rPr>
        <w:t xml:space="preserve"> </w:t>
      </w:r>
      <w:r w:rsidR="00756695" w:rsidRPr="00FD211F">
        <w:rPr>
          <w:sz w:val="36"/>
          <w:szCs w:val="36"/>
          <w:rtl/>
        </w:rPr>
        <w:t>لاستنباط</w:t>
      </w:r>
      <w:r w:rsidR="00E8128F">
        <w:rPr>
          <w:sz w:val="36"/>
          <w:szCs w:val="36"/>
          <w:rtl/>
        </w:rPr>
        <w:t xml:space="preserve"> </w:t>
      </w:r>
      <w:r w:rsidR="00756695" w:rsidRPr="00FD211F">
        <w:rPr>
          <w:sz w:val="36"/>
          <w:szCs w:val="36"/>
          <w:rtl/>
        </w:rPr>
        <w:t>الحكم</w:t>
      </w:r>
      <w:r w:rsidR="00E8128F">
        <w:rPr>
          <w:sz w:val="36"/>
          <w:szCs w:val="36"/>
          <w:rtl/>
        </w:rPr>
        <w:t xml:space="preserve"> </w:t>
      </w:r>
      <w:r w:rsidR="00756695" w:rsidRPr="00FD211F">
        <w:rPr>
          <w:sz w:val="36"/>
          <w:szCs w:val="36"/>
          <w:rtl/>
        </w:rPr>
        <w:t>الشرعي</w:t>
      </w:r>
      <w:r w:rsidR="00E8128F">
        <w:rPr>
          <w:sz w:val="36"/>
          <w:szCs w:val="36"/>
          <w:rtl/>
        </w:rPr>
        <w:t xml:space="preserve"> </w:t>
      </w:r>
      <w:r w:rsidR="00756695" w:rsidRPr="00FD211F">
        <w:rPr>
          <w:sz w:val="36"/>
          <w:szCs w:val="36"/>
          <w:rtl/>
        </w:rPr>
        <w:t>الفرعي</w:t>
      </w:r>
      <w:r w:rsidR="00603323" w:rsidRPr="00FD211F">
        <w:rPr>
          <w:sz w:val="36"/>
          <w:szCs w:val="36"/>
          <w:rtl/>
        </w:rPr>
        <w:t>،</w:t>
      </w:r>
      <w:r w:rsidR="00E8128F">
        <w:rPr>
          <w:sz w:val="36"/>
          <w:szCs w:val="36"/>
          <w:rtl/>
        </w:rPr>
        <w:t xml:space="preserve"> </w:t>
      </w:r>
      <w:r w:rsidR="00756695" w:rsidRPr="00FD211F">
        <w:rPr>
          <w:sz w:val="36"/>
          <w:szCs w:val="36"/>
          <w:rtl/>
        </w:rPr>
        <w:t>مع</w:t>
      </w:r>
      <w:r w:rsidR="00E8128F">
        <w:rPr>
          <w:sz w:val="36"/>
          <w:szCs w:val="36"/>
          <w:rtl/>
        </w:rPr>
        <w:t xml:space="preserve"> </w:t>
      </w:r>
      <w:r w:rsidR="00756695" w:rsidRPr="00FD211F">
        <w:rPr>
          <w:sz w:val="36"/>
          <w:szCs w:val="36"/>
          <w:rtl/>
        </w:rPr>
        <w:t>كون</w:t>
      </w:r>
      <w:r w:rsidR="00E8128F">
        <w:rPr>
          <w:sz w:val="36"/>
          <w:szCs w:val="36"/>
          <w:rtl/>
        </w:rPr>
        <w:t xml:space="preserve"> </w:t>
      </w:r>
      <w:r w:rsidR="00756695" w:rsidRPr="00FD211F">
        <w:rPr>
          <w:sz w:val="36"/>
          <w:szCs w:val="36"/>
          <w:rtl/>
        </w:rPr>
        <w:t>المرتكز</w:t>
      </w:r>
      <w:r w:rsidR="00E8128F">
        <w:rPr>
          <w:sz w:val="36"/>
          <w:szCs w:val="36"/>
          <w:rtl/>
        </w:rPr>
        <w:t xml:space="preserve"> </w:t>
      </w:r>
      <w:r w:rsidR="00756695" w:rsidRPr="00FD211F">
        <w:rPr>
          <w:sz w:val="36"/>
          <w:szCs w:val="36"/>
          <w:rtl/>
        </w:rPr>
        <w:t>في</w:t>
      </w:r>
      <w:r w:rsidR="00E8128F">
        <w:rPr>
          <w:sz w:val="36"/>
          <w:szCs w:val="36"/>
          <w:rtl/>
        </w:rPr>
        <w:t xml:space="preserve"> </w:t>
      </w:r>
      <w:r w:rsidR="00756695" w:rsidRPr="00FD211F">
        <w:rPr>
          <w:sz w:val="36"/>
          <w:szCs w:val="36"/>
          <w:rtl/>
        </w:rPr>
        <w:t>الأذهان</w:t>
      </w:r>
      <w:r w:rsidR="00E8128F">
        <w:rPr>
          <w:sz w:val="36"/>
          <w:szCs w:val="36"/>
          <w:rtl/>
        </w:rPr>
        <w:t xml:space="preserve"> </w:t>
      </w:r>
      <w:r w:rsidR="00756695" w:rsidRPr="00FD211F">
        <w:rPr>
          <w:sz w:val="36"/>
          <w:szCs w:val="36"/>
          <w:rtl/>
        </w:rPr>
        <w:t>خروجها</w:t>
      </w:r>
      <w:r w:rsidR="00E8128F">
        <w:rPr>
          <w:sz w:val="36"/>
          <w:szCs w:val="36"/>
          <w:rtl/>
        </w:rPr>
        <w:t xml:space="preserve"> </w:t>
      </w:r>
      <w:r w:rsidR="00756695" w:rsidRPr="00FD211F">
        <w:rPr>
          <w:sz w:val="36"/>
          <w:szCs w:val="36"/>
          <w:rtl/>
        </w:rPr>
        <w:t>عن</w:t>
      </w:r>
      <w:r w:rsidR="00E8128F">
        <w:rPr>
          <w:sz w:val="36"/>
          <w:szCs w:val="36"/>
          <w:rtl/>
        </w:rPr>
        <w:t xml:space="preserve"> </w:t>
      </w:r>
      <w:r w:rsidR="00756695" w:rsidRPr="00FD211F">
        <w:rPr>
          <w:sz w:val="36"/>
          <w:szCs w:val="36"/>
          <w:rtl/>
        </w:rPr>
        <w:t>علم</w:t>
      </w:r>
      <w:r w:rsidR="00E8128F">
        <w:rPr>
          <w:sz w:val="36"/>
          <w:szCs w:val="36"/>
          <w:rtl/>
        </w:rPr>
        <w:t xml:space="preserve"> </w:t>
      </w:r>
      <w:r w:rsidR="00756695" w:rsidRPr="00FD211F">
        <w:rPr>
          <w:sz w:val="36"/>
          <w:szCs w:val="36"/>
          <w:rtl/>
        </w:rPr>
        <w:t>الأصول</w:t>
      </w:r>
      <w:r w:rsidR="00E8128F">
        <w:rPr>
          <w:sz w:val="36"/>
          <w:szCs w:val="36"/>
          <w:rtl/>
        </w:rPr>
        <w:t xml:space="preserve"> </w:t>
      </w:r>
      <w:r w:rsidR="00756695" w:rsidRPr="00FD211F">
        <w:rPr>
          <w:sz w:val="36"/>
          <w:szCs w:val="36"/>
          <w:rtl/>
        </w:rPr>
        <w:t>واندراجها</w:t>
      </w:r>
      <w:r w:rsidR="00E8128F">
        <w:rPr>
          <w:sz w:val="36"/>
          <w:szCs w:val="36"/>
          <w:rtl/>
        </w:rPr>
        <w:t xml:space="preserve"> </w:t>
      </w:r>
      <w:r w:rsidR="00756695" w:rsidRPr="00FD211F">
        <w:rPr>
          <w:sz w:val="36"/>
          <w:szCs w:val="36"/>
          <w:rtl/>
        </w:rPr>
        <w:t>في</w:t>
      </w:r>
      <w:r w:rsidR="00E8128F">
        <w:rPr>
          <w:sz w:val="36"/>
          <w:szCs w:val="36"/>
          <w:rtl/>
        </w:rPr>
        <w:t xml:space="preserve"> </w:t>
      </w:r>
      <w:r w:rsidR="00756695" w:rsidRPr="00FD211F">
        <w:rPr>
          <w:sz w:val="36"/>
          <w:szCs w:val="36"/>
          <w:rtl/>
        </w:rPr>
        <w:t>ضمن</w:t>
      </w:r>
      <w:r w:rsidR="00E8128F">
        <w:rPr>
          <w:sz w:val="36"/>
          <w:szCs w:val="36"/>
          <w:rtl/>
        </w:rPr>
        <w:t xml:space="preserve"> </w:t>
      </w:r>
      <w:r w:rsidR="00756695" w:rsidRPr="00FD211F">
        <w:rPr>
          <w:sz w:val="36"/>
          <w:szCs w:val="36"/>
          <w:rtl/>
        </w:rPr>
        <w:t>علم</w:t>
      </w:r>
      <w:r w:rsidR="00E8128F">
        <w:rPr>
          <w:sz w:val="36"/>
          <w:szCs w:val="36"/>
          <w:rtl/>
        </w:rPr>
        <w:t xml:space="preserve"> </w:t>
      </w:r>
      <w:r w:rsidR="00756695" w:rsidRPr="00FD211F">
        <w:rPr>
          <w:sz w:val="36"/>
          <w:szCs w:val="36"/>
          <w:rtl/>
        </w:rPr>
        <w:t>آخر.</w:t>
      </w:r>
    </w:p>
    <w:p w14:paraId="0A11EAC0" w14:textId="77777777" w:rsidR="000C5BBA" w:rsidRPr="00FD211F" w:rsidRDefault="00AE4A36" w:rsidP="009C58C8">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اجاب</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الحائري</w:t>
      </w:r>
      <w:r w:rsidR="00E8128F">
        <w:rPr>
          <w:sz w:val="36"/>
          <w:szCs w:val="36"/>
          <w:rtl/>
        </w:rPr>
        <w:t xml:space="preserve"> </w:t>
      </w:r>
      <w:r w:rsidR="00D578C9" w:rsidRPr="00FD211F">
        <w:rPr>
          <w:sz w:val="36"/>
          <w:szCs w:val="36"/>
          <w:rtl/>
        </w:rPr>
        <w:t>"</w:t>
      </w:r>
      <w:r w:rsidRPr="00FD211F">
        <w:rPr>
          <w:sz w:val="36"/>
          <w:szCs w:val="36"/>
          <w:rtl/>
        </w:rPr>
        <w:t>قده</w:t>
      </w:r>
      <w:r w:rsidR="00D578C9" w:rsidRPr="00FD211F">
        <w:rPr>
          <w:sz w:val="36"/>
          <w:szCs w:val="36"/>
          <w:rtl/>
        </w:rPr>
        <w:t>"</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الاعتراض</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العلوم</w:t>
      </w:r>
      <w:r w:rsidR="00E8128F">
        <w:rPr>
          <w:sz w:val="36"/>
          <w:szCs w:val="36"/>
          <w:rtl/>
        </w:rPr>
        <w:t xml:space="preserve"> </w:t>
      </w:r>
      <w:r w:rsidRPr="00FD211F">
        <w:rPr>
          <w:sz w:val="36"/>
          <w:szCs w:val="36"/>
          <w:rtl/>
        </w:rPr>
        <w:t>الادبي</w:t>
      </w:r>
      <w:r w:rsidR="00EC7EDF" w:rsidRPr="00FD211F">
        <w:rPr>
          <w:sz w:val="36"/>
          <w:szCs w:val="36"/>
          <w:rtl/>
        </w:rPr>
        <w:t>ة</w:t>
      </w:r>
      <w:r w:rsidR="00E8128F">
        <w:rPr>
          <w:sz w:val="36"/>
          <w:szCs w:val="36"/>
          <w:rtl/>
        </w:rPr>
        <w:t xml:space="preserve"> </w:t>
      </w:r>
      <w:r w:rsidRPr="00FD211F">
        <w:rPr>
          <w:sz w:val="36"/>
          <w:szCs w:val="36"/>
          <w:rtl/>
        </w:rPr>
        <w:t>وعلم</w:t>
      </w:r>
      <w:r w:rsidR="00E8128F">
        <w:rPr>
          <w:sz w:val="36"/>
          <w:szCs w:val="36"/>
          <w:rtl/>
        </w:rPr>
        <w:t xml:space="preserve"> </w:t>
      </w:r>
      <w:r w:rsidRPr="00FD211F">
        <w:rPr>
          <w:sz w:val="36"/>
          <w:szCs w:val="36"/>
          <w:rtl/>
        </w:rPr>
        <w:t>المنطق</w:t>
      </w:r>
      <w:r w:rsidR="00E8128F">
        <w:rPr>
          <w:sz w:val="36"/>
          <w:szCs w:val="36"/>
          <w:rtl/>
        </w:rPr>
        <w:t xml:space="preserve"> </w:t>
      </w:r>
      <w:r w:rsidRPr="00FD211F">
        <w:rPr>
          <w:sz w:val="36"/>
          <w:szCs w:val="36"/>
          <w:rtl/>
        </w:rPr>
        <w:t>حيث</w:t>
      </w:r>
      <w:r w:rsidR="00E8128F">
        <w:rPr>
          <w:sz w:val="36"/>
          <w:szCs w:val="36"/>
          <w:rtl/>
        </w:rPr>
        <w:t xml:space="preserve"> </w:t>
      </w:r>
      <w:r w:rsidR="008D7B3D" w:rsidRPr="00FD211F">
        <w:rPr>
          <w:sz w:val="36"/>
          <w:szCs w:val="36"/>
          <w:rtl/>
        </w:rPr>
        <w:t>لم‌</w:t>
      </w:r>
      <w:r w:rsidRPr="00FD211F">
        <w:rPr>
          <w:sz w:val="36"/>
          <w:szCs w:val="36"/>
          <w:rtl/>
        </w:rPr>
        <w:t>تمهّد</w:t>
      </w:r>
      <w:r w:rsidR="00E8128F">
        <w:rPr>
          <w:sz w:val="36"/>
          <w:szCs w:val="36"/>
          <w:rtl/>
        </w:rPr>
        <w:t xml:space="preserve"> </w:t>
      </w:r>
      <w:r w:rsidRPr="00FD211F">
        <w:rPr>
          <w:sz w:val="36"/>
          <w:szCs w:val="36"/>
          <w:rtl/>
        </w:rPr>
        <w:t>لخصوص</w:t>
      </w:r>
      <w:r w:rsidR="00E8128F">
        <w:rPr>
          <w:sz w:val="36"/>
          <w:szCs w:val="36"/>
          <w:rtl/>
        </w:rPr>
        <w:t xml:space="preserve"> </w:t>
      </w:r>
      <w:r w:rsidRPr="00FD211F">
        <w:rPr>
          <w:sz w:val="36"/>
          <w:szCs w:val="36"/>
          <w:rtl/>
        </w:rPr>
        <w:t>استنباط</w:t>
      </w:r>
      <w:r w:rsidR="00E8128F">
        <w:rPr>
          <w:sz w:val="36"/>
          <w:szCs w:val="36"/>
          <w:rtl/>
        </w:rPr>
        <w:t xml:space="preserve"> </w:t>
      </w:r>
      <w:r w:rsidRPr="00FD211F">
        <w:rPr>
          <w:sz w:val="36"/>
          <w:szCs w:val="36"/>
          <w:rtl/>
        </w:rPr>
        <w:t>حال</w:t>
      </w:r>
      <w:r w:rsidR="00E8128F">
        <w:rPr>
          <w:sz w:val="36"/>
          <w:szCs w:val="36"/>
          <w:rtl/>
        </w:rPr>
        <w:t xml:space="preserve"> </w:t>
      </w:r>
      <w:r w:rsidRPr="00FD211F">
        <w:rPr>
          <w:sz w:val="36"/>
          <w:szCs w:val="36"/>
          <w:rtl/>
        </w:rPr>
        <w:t>الاحكام</w:t>
      </w:r>
      <w:r w:rsidR="00E8128F">
        <w:rPr>
          <w:sz w:val="36"/>
          <w:szCs w:val="36"/>
          <w:rtl/>
        </w:rPr>
        <w:t xml:space="preserve"> </w:t>
      </w:r>
      <w:r w:rsidRPr="00FD211F">
        <w:rPr>
          <w:sz w:val="36"/>
          <w:szCs w:val="36"/>
          <w:rtl/>
        </w:rPr>
        <w:t>الشرعي</w:t>
      </w:r>
      <w:r w:rsidR="00EC7EDF" w:rsidRPr="00FD211F">
        <w:rPr>
          <w:sz w:val="36"/>
          <w:szCs w:val="36"/>
          <w:rtl/>
        </w:rPr>
        <w:t>ة</w:t>
      </w:r>
      <w:r w:rsidR="00E8128F">
        <w:rPr>
          <w:sz w:val="36"/>
          <w:szCs w:val="36"/>
          <w:rtl/>
        </w:rPr>
        <w:t xml:space="preserve"> </w:t>
      </w:r>
      <w:r w:rsidRPr="00FD211F">
        <w:rPr>
          <w:sz w:val="36"/>
          <w:szCs w:val="36"/>
          <w:rtl/>
        </w:rPr>
        <w:t>فلايشملها</w:t>
      </w:r>
      <w:r w:rsidR="00E8128F">
        <w:rPr>
          <w:sz w:val="36"/>
          <w:szCs w:val="36"/>
          <w:rtl/>
        </w:rPr>
        <w:t xml:space="preserve"> </w:t>
      </w:r>
      <w:r w:rsidRPr="00FD211F">
        <w:rPr>
          <w:sz w:val="36"/>
          <w:szCs w:val="36"/>
          <w:rtl/>
        </w:rPr>
        <w:t>التعريف</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يختص</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بالقواعد</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مهّدت</w:t>
      </w:r>
      <w:r w:rsidR="00E8128F">
        <w:rPr>
          <w:sz w:val="36"/>
          <w:szCs w:val="36"/>
          <w:rtl/>
        </w:rPr>
        <w:t xml:space="preserve"> </w:t>
      </w:r>
      <w:r w:rsidRPr="00FD211F">
        <w:rPr>
          <w:sz w:val="36"/>
          <w:szCs w:val="36"/>
          <w:rtl/>
        </w:rPr>
        <w:t>لاستنباط</w:t>
      </w:r>
      <w:r w:rsidR="00E8128F">
        <w:rPr>
          <w:sz w:val="36"/>
          <w:szCs w:val="36"/>
          <w:rtl/>
        </w:rPr>
        <w:t xml:space="preserve"> </w:t>
      </w:r>
      <w:r w:rsidRPr="00FD211F">
        <w:rPr>
          <w:sz w:val="36"/>
          <w:szCs w:val="36"/>
          <w:rtl/>
        </w:rPr>
        <w:t>حال</w:t>
      </w:r>
      <w:r w:rsidR="00E8128F">
        <w:rPr>
          <w:sz w:val="36"/>
          <w:szCs w:val="36"/>
          <w:rtl/>
        </w:rPr>
        <w:t xml:space="preserve"> </w:t>
      </w:r>
      <w:r w:rsidRPr="00FD211F">
        <w:rPr>
          <w:sz w:val="36"/>
          <w:szCs w:val="36"/>
          <w:rtl/>
        </w:rPr>
        <w:t>الاحكام</w:t>
      </w:r>
      <w:r w:rsidR="00E8128F">
        <w:rPr>
          <w:sz w:val="36"/>
          <w:szCs w:val="36"/>
          <w:rtl/>
        </w:rPr>
        <w:t xml:space="preserve"> </w:t>
      </w:r>
      <w:r w:rsidRPr="00FD211F">
        <w:rPr>
          <w:sz w:val="36"/>
          <w:szCs w:val="36"/>
          <w:rtl/>
        </w:rPr>
        <w:t>الشرعي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5"/>
      </w:r>
      <w:r w:rsidR="009C58C8" w:rsidRPr="00FD211F">
        <w:rPr>
          <w:rStyle w:val="a6"/>
          <w:sz w:val="36"/>
          <w:szCs w:val="36"/>
          <w:rtl/>
        </w:rPr>
        <w:t>)</w:t>
      </w:r>
      <w:r w:rsidR="00D578C9" w:rsidRPr="00FD211F">
        <w:rPr>
          <w:sz w:val="36"/>
          <w:szCs w:val="36"/>
          <w:rtl/>
        </w:rPr>
        <w:t>.</w:t>
      </w:r>
    </w:p>
    <w:p w14:paraId="6C678590" w14:textId="77777777" w:rsidR="00AE4A36" w:rsidRPr="00FD211F" w:rsidRDefault="00AE4A36" w:rsidP="009C58C8">
      <w:pPr>
        <w:ind w:left="0" w:firstLine="227"/>
        <w:jc w:val="both"/>
        <w:rPr>
          <w:sz w:val="36"/>
          <w:szCs w:val="36"/>
          <w:rtl/>
        </w:rPr>
      </w:pPr>
      <w:r w:rsidRPr="00FD211F">
        <w:rPr>
          <w:sz w:val="36"/>
          <w:szCs w:val="36"/>
          <w:rtl/>
        </w:rPr>
        <w:t>ولكنك</w:t>
      </w:r>
      <w:r w:rsidR="00E8128F">
        <w:rPr>
          <w:sz w:val="36"/>
          <w:szCs w:val="36"/>
          <w:rtl/>
        </w:rPr>
        <w:t xml:space="preserve"> </w:t>
      </w:r>
      <w:r w:rsidRPr="00FD211F">
        <w:rPr>
          <w:sz w:val="36"/>
          <w:szCs w:val="36"/>
          <w:rtl/>
        </w:rPr>
        <w:t>ترى</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لايخرج</w:t>
      </w:r>
      <w:r w:rsidR="00E8128F">
        <w:rPr>
          <w:sz w:val="36"/>
          <w:szCs w:val="36"/>
          <w:rtl/>
        </w:rPr>
        <w:t xml:space="preserve"> </w:t>
      </w:r>
      <w:r w:rsidRPr="00FD211F">
        <w:rPr>
          <w:sz w:val="36"/>
          <w:szCs w:val="36"/>
          <w:rtl/>
        </w:rPr>
        <w:t>بهذا</w:t>
      </w:r>
      <w:r w:rsidR="00E8128F">
        <w:rPr>
          <w:sz w:val="36"/>
          <w:szCs w:val="36"/>
          <w:rtl/>
        </w:rPr>
        <w:t xml:space="preserve"> </w:t>
      </w:r>
      <w:r w:rsidRPr="00FD211F">
        <w:rPr>
          <w:sz w:val="36"/>
          <w:szCs w:val="36"/>
          <w:rtl/>
        </w:rPr>
        <w:t>القيد</w:t>
      </w:r>
      <w:r w:rsidR="00E8128F">
        <w:rPr>
          <w:sz w:val="36"/>
          <w:szCs w:val="36"/>
          <w:rtl/>
        </w:rPr>
        <w:t xml:space="preserve"> </w:t>
      </w:r>
      <w:r w:rsidRPr="00FD211F">
        <w:rPr>
          <w:sz w:val="36"/>
          <w:szCs w:val="36"/>
          <w:rtl/>
        </w:rPr>
        <w:t>المباحث</w:t>
      </w:r>
      <w:r w:rsidR="00E8128F">
        <w:rPr>
          <w:sz w:val="36"/>
          <w:szCs w:val="36"/>
          <w:rtl/>
        </w:rPr>
        <w:t xml:space="preserve"> </w:t>
      </w:r>
      <w:r w:rsidRPr="00FD211F">
        <w:rPr>
          <w:sz w:val="36"/>
          <w:szCs w:val="36"/>
          <w:rtl/>
        </w:rPr>
        <w:t>الرجالي</w:t>
      </w:r>
      <w:r w:rsidR="00EC7EDF" w:rsidRPr="00FD211F">
        <w:rPr>
          <w:sz w:val="36"/>
          <w:szCs w:val="36"/>
          <w:rtl/>
        </w:rPr>
        <w:t>ة</w:t>
      </w:r>
      <w:r w:rsidR="00E8128F">
        <w:rPr>
          <w:sz w:val="36"/>
          <w:szCs w:val="36"/>
          <w:rtl/>
        </w:rPr>
        <w:t xml:space="preserve"> </w:t>
      </w:r>
      <w:r w:rsidR="00246E61" w:rsidRPr="00FD211F">
        <w:rPr>
          <w:sz w:val="36"/>
          <w:szCs w:val="36"/>
          <w:rtl/>
        </w:rPr>
        <w:t>لكونها</w:t>
      </w:r>
      <w:r w:rsidR="00E8128F">
        <w:rPr>
          <w:sz w:val="36"/>
          <w:szCs w:val="36"/>
          <w:rtl/>
        </w:rPr>
        <w:t xml:space="preserve"> </w:t>
      </w:r>
      <w:r w:rsidR="00246E61" w:rsidRPr="00FD211F">
        <w:rPr>
          <w:sz w:val="36"/>
          <w:szCs w:val="36"/>
          <w:rtl/>
        </w:rPr>
        <w:t>ممهد</w:t>
      </w:r>
      <w:r w:rsidR="00EC7EDF" w:rsidRPr="00FD211F">
        <w:rPr>
          <w:sz w:val="36"/>
          <w:szCs w:val="36"/>
          <w:rtl/>
        </w:rPr>
        <w:t>ة</w:t>
      </w:r>
      <w:r w:rsidR="00E8128F">
        <w:rPr>
          <w:sz w:val="36"/>
          <w:szCs w:val="36"/>
          <w:rtl/>
        </w:rPr>
        <w:t xml:space="preserve"> </w:t>
      </w:r>
      <w:r w:rsidR="00246E61" w:rsidRPr="00FD211F">
        <w:rPr>
          <w:sz w:val="36"/>
          <w:szCs w:val="36"/>
          <w:rtl/>
        </w:rPr>
        <w:t>لخصوص</w:t>
      </w:r>
      <w:r w:rsidR="00E8128F">
        <w:rPr>
          <w:sz w:val="36"/>
          <w:szCs w:val="36"/>
          <w:rtl/>
        </w:rPr>
        <w:t xml:space="preserve"> </w:t>
      </w:r>
      <w:r w:rsidR="00246E61" w:rsidRPr="00FD211F">
        <w:rPr>
          <w:sz w:val="36"/>
          <w:szCs w:val="36"/>
          <w:rtl/>
        </w:rPr>
        <w:t>استنباط</w:t>
      </w:r>
      <w:r w:rsidR="00E8128F">
        <w:rPr>
          <w:sz w:val="36"/>
          <w:szCs w:val="36"/>
          <w:rtl/>
        </w:rPr>
        <w:t xml:space="preserve"> </w:t>
      </w:r>
      <w:r w:rsidR="00246E61" w:rsidRPr="00FD211F">
        <w:rPr>
          <w:sz w:val="36"/>
          <w:szCs w:val="36"/>
          <w:rtl/>
        </w:rPr>
        <w:t>الاحكام</w:t>
      </w:r>
      <w:r w:rsidR="00E8128F">
        <w:rPr>
          <w:sz w:val="36"/>
          <w:szCs w:val="36"/>
          <w:rtl/>
        </w:rPr>
        <w:t xml:space="preserve"> </w:t>
      </w:r>
      <w:r w:rsidR="00246E61" w:rsidRPr="00FD211F">
        <w:rPr>
          <w:sz w:val="36"/>
          <w:szCs w:val="36"/>
          <w:rtl/>
        </w:rPr>
        <w:t>الشرعي</w:t>
      </w:r>
      <w:r w:rsidR="00EC7EDF" w:rsidRPr="00FD211F">
        <w:rPr>
          <w:sz w:val="36"/>
          <w:szCs w:val="36"/>
          <w:rtl/>
        </w:rPr>
        <w:t>ة</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المرتكز</w:t>
      </w:r>
      <w:r w:rsidR="00E8128F">
        <w:rPr>
          <w:sz w:val="36"/>
          <w:szCs w:val="36"/>
          <w:rtl/>
        </w:rPr>
        <w:t xml:space="preserve"> </w:t>
      </w:r>
      <w:r w:rsidRPr="00FD211F">
        <w:rPr>
          <w:sz w:val="36"/>
          <w:szCs w:val="36"/>
          <w:rtl/>
        </w:rPr>
        <w:t>خروجها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p>
    <w:p w14:paraId="5A7BDFE5" w14:textId="77777777" w:rsidR="00AE4A36" w:rsidRPr="00FD211F" w:rsidRDefault="00AE4A36" w:rsidP="009C58C8">
      <w:pPr>
        <w:ind w:left="0" w:firstLine="227"/>
        <w:jc w:val="both"/>
        <w:rPr>
          <w:sz w:val="36"/>
          <w:szCs w:val="36"/>
          <w:rtl/>
        </w:rPr>
      </w:pPr>
      <w:r w:rsidRPr="00FD211F">
        <w:rPr>
          <w:sz w:val="36"/>
          <w:szCs w:val="36"/>
          <w:rtl/>
        </w:rPr>
        <w:t>هذا</w:t>
      </w:r>
      <w:r w:rsidR="00603323" w:rsidRPr="00FD211F">
        <w:rPr>
          <w:sz w:val="36"/>
          <w:szCs w:val="36"/>
          <w:rtl/>
        </w:rPr>
        <w:t>،</w:t>
      </w:r>
      <w:r w:rsidR="00E8128F">
        <w:rPr>
          <w:sz w:val="36"/>
          <w:szCs w:val="36"/>
          <w:rtl/>
        </w:rPr>
        <w:t xml:space="preserve"> </w:t>
      </w:r>
      <w:r w:rsidRPr="00FD211F">
        <w:rPr>
          <w:sz w:val="36"/>
          <w:szCs w:val="36"/>
          <w:rtl/>
        </w:rPr>
        <w:t>وقد</w:t>
      </w:r>
      <w:r w:rsidR="00E8128F">
        <w:rPr>
          <w:sz w:val="36"/>
          <w:szCs w:val="36"/>
          <w:rtl/>
        </w:rPr>
        <w:t xml:space="preserve"> </w:t>
      </w:r>
      <w:r w:rsidR="00D578C9" w:rsidRPr="00FD211F">
        <w:rPr>
          <w:sz w:val="36"/>
          <w:szCs w:val="36"/>
          <w:rtl/>
        </w:rPr>
        <w:t>يورد</w:t>
      </w:r>
      <w:r w:rsidR="00E8128F">
        <w:rPr>
          <w:sz w:val="36"/>
          <w:szCs w:val="36"/>
          <w:rtl/>
        </w:rPr>
        <w:t xml:space="preserve"> </w:t>
      </w:r>
      <w:r w:rsidR="00D578C9" w:rsidRPr="00FD211F">
        <w:rPr>
          <w:sz w:val="36"/>
          <w:szCs w:val="36"/>
          <w:rtl/>
        </w:rPr>
        <w:t>على</w:t>
      </w:r>
      <w:r w:rsidR="00E8128F">
        <w:rPr>
          <w:sz w:val="36"/>
          <w:szCs w:val="36"/>
          <w:rtl/>
        </w:rPr>
        <w:t xml:space="preserve"> </w:t>
      </w:r>
      <w:r w:rsidR="00D578C9" w:rsidRPr="00FD211F">
        <w:rPr>
          <w:sz w:val="36"/>
          <w:szCs w:val="36"/>
          <w:rtl/>
        </w:rPr>
        <w:t>ما</w:t>
      </w:r>
      <w:r w:rsidR="00E8128F">
        <w:rPr>
          <w:sz w:val="36"/>
          <w:szCs w:val="36"/>
          <w:rtl/>
        </w:rPr>
        <w:t xml:space="preserve"> </w:t>
      </w:r>
      <w:r w:rsidR="00D578C9" w:rsidRPr="00FD211F">
        <w:rPr>
          <w:sz w:val="36"/>
          <w:szCs w:val="36"/>
          <w:rtl/>
        </w:rPr>
        <w:t>ذكره</w:t>
      </w:r>
      <w:r w:rsidR="00E8128F">
        <w:rPr>
          <w:sz w:val="36"/>
          <w:szCs w:val="36"/>
          <w:rtl/>
        </w:rPr>
        <w:t xml:space="preserve"> </w:t>
      </w:r>
      <w:r w:rsidR="00A61BAE" w:rsidRPr="00FD211F">
        <w:rPr>
          <w:sz w:val="36"/>
          <w:szCs w:val="36"/>
          <w:rtl/>
        </w:rPr>
        <w:t>"قده"</w:t>
      </w:r>
      <w:r w:rsidR="00E8128F">
        <w:rPr>
          <w:sz w:val="36"/>
          <w:szCs w:val="36"/>
          <w:rtl/>
        </w:rPr>
        <w:t xml:space="preserve"> </w:t>
      </w:r>
      <w:r w:rsidRPr="00FD211F">
        <w:rPr>
          <w:sz w:val="36"/>
          <w:szCs w:val="36"/>
          <w:rtl/>
        </w:rPr>
        <w:t>أيضا</w:t>
      </w:r>
      <w:r w:rsidR="00E8128F">
        <w:rPr>
          <w:sz w:val="36"/>
          <w:szCs w:val="36"/>
          <w:rtl/>
        </w:rPr>
        <w:t xml:space="preserve"> </w:t>
      </w:r>
      <w:r w:rsidRPr="00FD211F">
        <w:rPr>
          <w:sz w:val="36"/>
          <w:szCs w:val="36"/>
          <w:rtl/>
        </w:rPr>
        <w:t>أنه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لوحظ</w:t>
      </w:r>
      <w:r w:rsidR="00E8128F">
        <w:rPr>
          <w:sz w:val="36"/>
          <w:szCs w:val="36"/>
          <w:rtl/>
        </w:rPr>
        <w:t xml:space="preserve"> </w:t>
      </w:r>
      <w:r w:rsidRPr="00FD211F">
        <w:rPr>
          <w:sz w:val="36"/>
          <w:szCs w:val="36"/>
          <w:rtl/>
        </w:rPr>
        <w:t>غرض</w:t>
      </w:r>
      <w:r w:rsidR="00E8128F">
        <w:rPr>
          <w:sz w:val="36"/>
          <w:szCs w:val="36"/>
          <w:rtl/>
        </w:rPr>
        <w:t xml:space="preserve"> </w:t>
      </w:r>
      <w:r w:rsidRPr="00FD211F">
        <w:rPr>
          <w:sz w:val="36"/>
          <w:szCs w:val="36"/>
          <w:rtl/>
        </w:rPr>
        <w:t>المدون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يلحظ</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نكت</w:t>
      </w:r>
      <w:r w:rsidR="00EC7EDF" w:rsidRPr="00FD211F">
        <w:rPr>
          <w:sz w:val="36"/>
          <w:szCs w:val="36"/>
          <w:rtl/>
        </w:rPr>
        <w:t>ة</w:t>
      </w:r>
      <w:r w:rsidR="00E8128F">
        <w:rPr>
          <w:sz w:val="36"/>
          <w:szCs w:val="36"/>
          <w:rtl/>
        </w:rPr>
        <w:t xml:space="preserve"> </w:t>
      </w:r>
      <w:r w:rsidRPr="00FD211F">
        <w:rPr>
          <w:sz w:val="36"/>
          <w:szCs w:val="36"/>
          <w:rtl/>
        </w:rPr>
        <w:t>توجب</w:t>
      </w:r>
      <w:r w:rsidR="00E8128F">
        <w:rPr>
          <w:sz w:val="36"/>
          <w:szCs w:val="36"/>
          <w:rtl/>
        </w:rPr>
        <w:t xml:space="preserve"> </w:t>
      </w:r>
      <w:r w:rsidRPr="00FD211F">
        <w:rPr>
          <w:sz w:val="36"/>
          <w:szCs w:val="36"/>
          <w:rtl/>
        </w:rPr>
        <w:t>اختصاص</w:t>
      </w:r>
      <w:r w:rsidR="00E8128F">
        <w:rPr>
          <w:sz w:val="36"/>
          <w:szCs w:val="36"/>
          <w:rtl/>
        </w:rPr>
        <w:t xml:space="preserve"> </w:t>
      </w:r>
      <w:r w:rsidRPr="00FD211F">
        <w:rPr>
          <w:sz w:val="36"/>
          <w:szCs w:val="36"/>
          <w:rtl/>
        </w:rPr>
        <w:t>تلك</w:t>
      </w:r>
      <w:r w:rsidR="00E8128F">
        <w:rPr>
          <w:sz w:val="36"/>
          <w:szCs w:val="36"/>
          <w:rtl/>
        </w:rPr>
        <w:t xml:space="preserve"> </w:t>
      </w:r>
      <w:r w:rsidRPr="00FD211F">
        <w:rPr>
          <w:sz w:val="36"/>
          <w:szCs w:val="36"/>
          <w:rtl/>
        </w:rPr>
        <w:t>القواعد</w:t>
      </w:r>
      <w:r w:rsidR="00E8128F">
        <w:rPr>
          <w:sz w:val="36"/>
          <w:szCs w:val="36"/>
          <w:rtl/>
        </w:rPr>
        <w:t xml:space="preserve"> </w:t>
      </w:r>
      <w:r w:rsidRPr="00FD211F">
        <w:rPr>
          <w:sz w:val="36"/>
          <w:szCs w:val="36"/>
          <w:rtl/>
        </w:rPr>
        <w:t>بطبيع</w:t>
      </w:r>
      <w:r w:rsidR="00EC7EDF" w:rsidRPr="00FD211F">
        <w:rPr>
          <w:sz w:val="36"/>
          <w:szCs w:val="36"/>
          <w:rtl/>
        </w:rPr>
        <w:t>ة</w:t>
      </w:r>
      <w:r w:rsidR="00E8128F">
        <w:rPr>
          <w:sz w:val="36"/>
          <w:szCs w:val="36"/>
          <w:rtl/>
        </w:rPr>
        <w:t xml:space="preserve"> </w:t>
      </w:r>
      <w:r w:rsidRPr="00FD211F">
        <w:rPr>
          <w:sz w:val="36"/>
          <w:szCs w:val="36"/>
          <w:rtl/>
        </w:rPr>
        <w:lastRenderedPageBreak/>
        <w:t>الاستدلال</w:t>
      </w:r>
      <w:r w:rsidR="00E8128F">
        <w:rPr>
          <w:sz w:val="36"/>
          <w:szCs w:val="36"/>
          <w:rtl/>
        </w:rPr>
        <w:t xml:space="preserve"> </w:t>
      </w:r>
      <w:r w:rsidRPr="00FD211F">
        <w:rPr>
          <w:sz w:val="36"/>
          <w:szCs w:val="36"/>
          <w:rtl/>
        </w:rPr>
        <w:t>الفقهي</w:t>
      </w:r>
      <w:r w:rsidR="00E8128F">
        <w:rPr>
          <w:sz w:val="36"/>
          <w:szCs w:val="36"/>
          <w:rtl/>
        </w:rPr>
        <w:t xml:space="preserve"> </w:t>
      </w:r>
      <w:r w:rsidRPr="00FD211F">
        <w:rPr>
          <w:sz w:val="36"/>
          <w:szCs w:val="36"/>
          <w:rtl/>
        </w:rPr>
        <w:t>فيلزم</w:t>
      </w:r>
      <w:r w:rsidR="00E8128F">
        <w:rPr>
          <w:sz w:val="36"/>
          <w:szCs w:val="36"/>
          <w:rtl/>
        </w:rPr>
        <w:t xml:space="preserve"> </w:t>
      </w:r>
      <w:r w:rsidRPr="00FD211F">
        <w:rPr>
          <w:sz w:val="36"/>
          <w:szCs w:val="36"/>
          <w:rtl/>
        </w:rPr>
        <w:t>منه</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غرض</w:t>
      </w:r>
      <w:r w:rsidR="00E8128F">
        <w:rPr>
          <w:sz w:val="36"/>
          <w:szCs w:val="36"/>
          <w:rtl/>
        </w:rPr>
        <w:t xml:space="preserve"> </w:t>
      </w:r>
      <w:r w:rsidRPr="00FD211F">
        <w:rPr>
          <w:sz w:val="36"/>
          <w:szCs w:val="36"/>
          <w:rtl/>
        </w:rPr>
        <w:t>مدون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المنطق</w:t>
      </w:r>
      <w:r w:rsidR="00E8128F">
        <w:rPr>
          <w:sz w:val="36"/>
          <w:szCs w:val="36"/>
          <w:rtl/>
        </w:rPr>
        <w:t xml:space="preserve"> </w:t>
      </w:r>
      <w:r w:rsidRPr="00FD211F">
        <w:rPr>
          <w:sz w:val="36"/>
          <w:szCs w:val="36"/>
          <w:rtl/>
        </w:rPr>
        <w:t>تنقيح</w:t>
      </w:r>
      <w:r w:rsidR="00E8128F">
        <w:rPr>
          <w:sz w:val="36"/>
          <w:szCs w:val="36"/>
          <w:rtl/>
        </w:rPr>
        <w:t xml:space="preserve"> </w:t>
      </w:r>
      <w:r w:rsidRPr="00FD211F">
        <w:rPr>
          <w:sz w:val="36"/>
          <w:szCs w:val="36"/>
          <w:rtl/>
        </w:rPr>
        <w:t>اصول</w:t>
      </w:r>
      <w:r w:rsidR="00E8128F">
        <w:rPr>
          <w:sz w:val="36"/>
          <w:szCs w:val="36"/>
          <w:rtl/>
        </w:rPr>
        <w:t xml:space="preserve"> </w:t>
      </w:r>
      <w:r w:rsidRPr="00FD211F">
        <w:rPr>
          <w:sz w:val="36"/>
          <w:szCs w:val="36"/>
          <w:rtl/>
        </w:rPr>
        <w:t>الاستدلال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الفقه</w:t>
      </w:r>
      <w:r w:rsidR="00E8128F">
        <w:rPr>
          <w:sz w:val="36"/>
          <w:szCs w:val="36"/>
          <w:rtl/>
        </w:rPr>
        <w:t xml:space="preserve"> </w:t>
      </w:r>
      <w:r w:rsidRPr="00FD211F">
        <w:rPr>
          <w:sz w:val="36"/>
          <w:szCs w:val="36"/>
          <w:rtl/>
        </w:rPr>
        <w:t>خاص</w:t>
      </w:r>
      <w:r w:rsidR="00EC7EDF" w:rsidRPr="00FD211F">
        <w:rPr>
          <w:sz w:val="36"/>
          <w:szCs w:val="36"/>
          <w:rtl/>
        </w:rPr>
        <w:t>ة</w:t>
      </w:r>
      <w:r w:rsidR="00E8128F">
        <w:rPr>
          <w:sz w:val="36"/>
          <w:szCs w:val="36"/>
          <w:rtl/>
        </w:rPr>
        <w:t xml:space="preserve"> </w:t>
      </w:r>
      <w:r w:rsidRPr="00FD211F">
        <w:rPr>
          <w:sz w:val="36"/>
          <w:szCs w:val="36"/>
          <w:rtl/>
        </w:rPr>
        <w:t>لكان</w:t>
      </w:r>
      <w:r w:rsidR="00E8128F">
        <w:rPr>
          <w:sz w:val="36"/>
          <w:szCs w:val="36"/>
          <w:rtl/>
        </w:rPr>
        <w:t xml:space="preserve"> </w:t>
      </w:r>
      <w:r w:rsidRPr="00FD211F">
        <w:rPr>
          <w:sz w:val="36"/>
          <w:szCs w:val="36"/>
          <w:rtl/>
        </w:rPr>
        <w:t>المنطق</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603323" w:rsidRPr="00FD211F">
        <w:rPr>
          <w:sz w:val="36"/>
          <w:szCs w:val="36"/>
          <w:rtl/>
        </w:rPr>
        <w:t>،</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الواضح</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مناسبته</w:t>
      </w:r>
      <w:r w:rsidR="00E8128F">
        <w:rPr>
          <w:sz w:val="36"/>
          <w:szCs w:val="36"/>
          <w:rtl/>
        </w:rPr>
        <w:t xml:space="preserve"> </w:t>
      </w:r>
      <w:r w:rsidRPr="00FD211F">
        <w:rPr>
          <w:sz w:val="36"/>
          <w:szCs w:val="36"/>
          <w:rtl/>
        </w:rPr>
        <w:t>الذاتي</w:t>
      </w:r>
      <w:r w:rsidR="00EC7EDF" w:rsidRPr="00FD211F">
        <w:rPr>
          <w:sz w:val="36"/>
          <w:szCs w:val="36"/>
          <w:rtl/>
        </w:rPr>
        <w:t>ة</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طبيعي</w:t>
      </w:r>
      <w:r w:rsidR="00E8128F">
        <w:rPr>
          <w:sz w:val="36"/>
          <w:szCs w:val="36"/>
          <w:rtl/>
        </w:rPr>
        <w:t xml:space="preserve"> </w:t>
      </w:r>
      <w:r w:rsidRPr="00FD211F">
        <w:rPr>
          <w:sz w:val="36"/>
          <w:szCs w:val="36"/>
          <w:rtl/>
        </w:rPr>
        <w:t>الاستدلال</w:t>
      </w:r>
      <w:r w:rsidR="00E8128F">
        <w:rPr>
          <w:sz w:val="36"/>
          <w:szCs w:val="36"/>
          <w:rtl/>
        </w:rPr>
        <w:t xml:space="preserve"> </w:t>
      </w:r>
      <w:r w:rsidRPr="00FD211F">
        <w:rPr>
          <w:sz w:val="36"/>
          <w:szCs w:val="36"/>
          <w:rtl/>
        </w:rPr>
        <w:t>لاخصوص</w:t>
      </w:r>
      <w:r w:rsidR="00E8128F">
        <w:rPr>
          <w:sz w:val="36"/>
          <w:szCs w:val="36"/>
          <w:rtl/>
        </w:rPr>
        <w:t xml:space="preserve"> </w:t>
      </w:r>
      <w:r w:rsidRPr="00FD211F">
        <w:rPr>
          <w:sz w:val="36"/>
          <w:szCs w:val="36"/>
          <w:rtl/>
        </w:rPr>
        <w:t>الاستدلال</w:t>
      </w:r>
      <w:r w:rsidR="00E8128F">
        <w:rPr>
          <w:sz w:val="36"/>
          <w:szCs w:val="36"/>
          <w:rtl/>
        </w:rPr>
        <w:t xml:space="preserve"> </w:t>
      </w:r>
      <w:r w:rsidRPr="00FD211F">
        <w:rPr>
          <w:sz w:val="36"/>
          <w:szCs w:val="36"/>
          <w:rtl/>
        </w:rPr>
        <w:t>الفقهي</w:t>
      </w:r>
      <w:r w:rsidR="00603323" w:rsidRPr="00FD211F">
        <w:rPr>
          <w:sz w:val="36"/>
          <w:szCs w:val="36"/>
          <w:rtl/>
        </w:rPr>
        <w:t>،</w:t>
      </w:r>
      <w:r w:rsidR="00E8128F">
        <w:rPr>
          <w:sz w:val="36"/>
          <w:szCs w:val="36"/>
          <w:rtl/>
        </w:rPr>
        <w:t xml:space="preserve"> </w:t>
      </w:r>
      <w:r w:rsidRPr="00FD211F">
        <w:rPr>
          <w:sz w:val="36"/>
          <w:szCs w:val="36"/>
          <w:rtl/>
        </w:rPr>
        <w:t>فعلم</w:t>
      </w:r>
      <w:r w:rsidR="00E8128F">
        <w:rPr>
          <w:sz w:val="36"/>
          <w:szCs w:val="36"/>
          <w:rtl/>
        </w:rPr>
        <w:t xml:space="preserve"> </w:t>
      </w:r>
      <w:r w:rsidRPr="00FD211F">
        <w:rPr>
          <w:sz w:val="36"/>
          <w:szCs w:val="36"/>
          <w:rtl/>
        </w:rPr>
        <w:t>المنطق</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اصول</w:t>
      </w:r>
      <w:r w:rsidR="00E8128F">
        <w:rPr>
          <w:sz w:val="36"/>
          <w:szCs w:val="36"/>
          <w:rtl/>
        </w:rPr>
        <w:t xml:space="preserve"> </w:t>
      </w:r>
      <w:r w:rsidRPr="00FD211F">
        <w:rPr>
          <w:sz w:val="36"/>
          <w:szCs w:val="36"/>
          <w:rtl/>
        </w:rPr>
        <w:t>الاستدلال</w:t>
      </w:r>
      <w:r w:rsidR="00E8128F">
        <w:rPr>
          <w:sz w:val="36"/>
          <w:szCs w:val="36"/>
          <w:rtl/>
        </w:rPr>
        <w:t xml:space="preserve"> </w:t>
      </w:r>
      <w:r w:rsidRPr="00FD211F">
        <w:rPr>
          <w:sz w:val="36"/>
          <w:szCs w:val="36"/>
          <w:rtl/>
        </w:rPr>
        <w:t>بشكل</w:t>
      </w:r>
      <w:r w:rsidR="00E8128F">
        <w:rPr>
          <w:sz w:val="36"/>
          <w:szCs w:val="36"/>
          <w:rtl/>
        </w:rPr>
        <w:t xml:space="preserve"> </w:t>
      </w:r>
      <w:r w:rsidRPr="00FD211F">
        <w:rPr>
          <w:sz w:val="36"/>
          <w:szCs w:val="36"/>
          <w:rtl/>
        </w:rPr>
        <w:t>عام</w:t>
      </w:r>
      <w:r w:rsidR="00603323" w:rsidRPr="00FD211F">
        <w:rPr>
          <w:sz w:val="36"/>
          <w:szCs w:val="36"/>
          <w:rtl/>
        </w:rPr>
        <w:t>،</w:t>
      </w:r>
      <w:r w:rsidR="00E8128F">
        <w:rPr>
          <w:sz w:val="36"/>
          <w:szCs w:val="36"/>
          <w:rtl/>
        </w:rPr>
        <w:t xml:space="preserve"> </w:t>
      </w:r>
      <w:r w:rsidRPr="00FD211F">
        <w:rPr>
          <w:sz w:val="36"/>
          <w:szCs w:val="36"/>
          <w:rtl/>
        </w:rPr>
        <w:t>وليس</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اصول</w:t>
      </w:r>
      <w:r w:rsidR="00E8128F">
        <w:rPr>
          <w:sz w:val="36"/>
          <w:szCs w:val="36"/>
          <w:rtl/>
        </w:rPr>
        <w:t xml:space="preserve"> </w:t>
      </w:r>
      <w:r w:rsidRPr="00FD211F">
        <w:rPr>
          <w:sz w:val="36"/>
          <w:szCs w:val="36"/>
          <w:rtl/>
        </w:rPr>
        <w:t>الفقه.</w:t>
      </w:r>
    </w:p>
    <w:p w14:paraId="5D493453" w14:textId="77777777" w:rsidR="00756695" w:rsidRPr="00FD211F" w:rsidRDefault="00AE4A36"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w:t>
      </w:r>
      <w:r w:rsidR="00756695" w:rsidRPr="00FD211F">
        <w:rPr>
          <w:sz w:val="36"/>
          <w:szCs w:val="36"/>
          <w:rtl/>
        </w:rPr>
        <w:t>هناك</w:t>
      </w:r>
      <w:r w:rsidR="00E8128F">
        <w:rPr>
          <w:sz w:val="36"/>
          <w:szCs w:val="36"/>
          <w:rtl/>
        </w:rPr>
        <w:t xml:space="preserve"> </w:t>
      </w:r>
      <w:r w:rsidRPr="00FD211F">
        <w:rPr>
          <w:sz w:val="36"/>
          <w:szCs w:val="36"/>
          <w:rtl/>
        </w:rPr>
        <w:t>عد</w:t>
      </w:r>
      <w:r w:rsidR="00EC7EDF" w:rsidRPr="00FD211F">
        <w:rPr>
          <w:sz w:val="36"/>
          <w:szCs w:val="36"/>
          <w:rtl/>
        </w:rPr>
        <w:t>ة</w:t>
      </w:r>
      <w:r w:rsidR="00E8128F">
        <w:rPr>
          <w:sz w:val="36"/>
          <w:szCs w:val="36"/>
          <w:rtl/>
        </w:rPr>
        <w:t xml:space="preserve"> </w:t>
      </w:r>
      <w:r w:rsidR="00756695" w:rsidRPr="00FD211F">
        <w:rPr>
          <w:sz w:val="36"/>
          <w:szCs w:val="36"/>
          <w:rtl/>
        </w:rPr>
        <w:t>محاولات</w:t>
      </w:r>
      <w:r w:rsidR="00E8128F">
        <w:rPr>
          <w:sz w:val="36"/>
          <w:szCs w:val="36"/>
          <w:rtl/>
        </w:rPr>
        <w:t xml:space="preserve"> </w:t>
      </w:r>
      <w:r w:rsidRPr="00FD211F">
        <w:rPr>
          <w:sz w:val="36"/>
          <w:szCs w:val="36"/>
          <w:rtl/>
        </w:rPr>
        <w:t>لتعريف</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يندفع</w:t>
      </w:r>
      <w:r w:rsidR="00E8128F">
        <w:rPr>
          <w:sz w:val="36"/>
          <w:szCs w:val="36"/>
          <w:rtl/>
        </w:rPr>
        <w:t xml:space="preserve"> </w:t>
      </w:r>
      <w:r w:rsidRPr="00FD211F">
        <w:rPr>
          <w:sz w:val="36"/>
          <w:szCs w:val="36"/>
          <w:rtl/>
        </w:rPr>
        <w:t>به</w:t>
      </w:r>
      <w:r w:rsidR="00E8128F">
        <w:rPr>
          <w:sz w:val="36"/>
          <w:szCs w:val="36"/>
          <w:rtl/>
        </w:rPr>
        <w:t xml:space="preserve"> </w:t>
      </w:r>
      <w:r w:rsidR="00D578C9" w:rsidRPr="00FD211F">
        <w:rPr>
          <w:sz w:val="36"/>
          <w:szCs w:val="36"/>
          <w:rtl/>
        </w:rPr>
        <w:t>هذا</w:t>
      </w:r>
      <w:r w:rsidR="00E8128F">
        <w:rPr>
          <w:sz w:val="36"/>
          <w:szCs w:val="36"/>
          <w:rtl/>
        </w:rPr>
        <w:t xml:space="preserve"> </w:t>
      </w:r>
      <w:r w:rsidR="00D578C9" w:rsidRPr="00FD211F">
        <w:rPr>
          <w:sz w:val="36"/>
          <w:szCs w:val="36"/>
          <w:rtl/>
        </w:rPr>
        <w:t>الايراد</w:t>
      </w:r>
      <w:r w:rsidR="00E8128F">
        <w:rPr>
          <w:sz w:val="36"/>
          <w:szCs w:val="36"/>
          <w:rtl/>
        </w:rPr>
        <w:t xml:space="preserve"> </w:t>
      </w:r>
      <w:r w:rsidR="00756695" w:rsidRPr="00FD211F">
        <w:rPr>
          <w:sz w:val="36"/>
          <w:szCs w:val="36"/>
          <w:rtl/>
        </w:rPr>
        <w:t>الثالث.</w:t>
      </w:r>
    </w:p>
    <w:p w14:paraId="5C692FB7" w14:textId="77777777" w:rsidR="006E206F" w:rsidRPr="00FD211F" w:rsidRDefault="000015B0" w:rsidP="009C58C8">
      <w:pPr>
        <w:ind w:left="0" w:firstLine="227"/>
        <w:jc w:val="both"/>
        <w:rPr>
          <w:sz w:val="36"/>
          <w:szCs w:val="36"/>
          <w:rtl/>
        </w:rPr>
      </w:pPr>
      <w:r w:rsidRPr="00FD211F">
        <w:rPr>
          <w:b/>
          <w:bCs/>
          <w:sz w:val="36"/>
          <w:szCs w:val="36"/>
          <w:rtl/>
        </w:rPr>
        <w:t>المحاول</w:t>
      </w:r>
      <w:r w:rsidR="00EC7EDF" w:rsidRPr="00FD211F">
        <w:rPr>
          <w:b/>
          <w:bCs/>
          <w:sz w:val="36"/>
          <w:szCs w:val="36"/>
          <w:rtl/>
        </w:rPr>
        <w:t>ة</w:t>
      </w:r>
      <w:r w:rsidR="00E8128F">
        <w:rPr>
          <w:b/>
          <w:bCs/>
          <w:sz w:val="36"/>
          <w:szCs w:val="36"/>
          <w:rtl/>
        </w:rPr>
        <w:t xml:space="preserve"> </w:t>
      </w:r>
      <w:r w:rsidR="00365A79" w:rsidRPr="00FD211F">
        <w:rPr>
          <w:b/>
          <w:bCs/>
          <w:sz w:val="36"/>
          <w:szCs w:val="36"/>
          <w:rtl/>
        </w:rPr>
        <w:t>الأولى</w:t>
      </w:r>
      <w:r w:rsidR="00F527D7" w:rsidRPr="00FD211F">
        <w:rPr>
          <w:sz w:val="36"/>
          <w:szCs w:val="36"/>
          <w:rtl/>
        </w:rPr>
        <w:t>:</w:t>
      </w:r>
      <w:r w:rsidR="00E8128F">
        <w:rPr>
          <w:sz w:val="36"/>
          <w:szCs w:val="36"/>
          <w:rtl/>
        </w:rPr>
        <w:t xml:space="preserve"> </w:t>
      </w:r>
      <w:r w:rsidR="0094318F" w:rsidRPr="00FD211F">
        <w:rPr>
          <w:sz w:val="36"/>
          <w:szCs w:val="36"/>
          <w:rtl/>
        </w:rPr>
        <w:t>ما</w:t>
      </w:r>
      <w:r w:rsidR="00E8128F">
        <w:rPr>
          <w:sz w:val="36"/>
          <w:szCs w:val="36"/>
          <w:rtl/>
        </w:rPr>
        <w:t xml:space="preserve"> </w:t>
      </w:r>
      <w:r w:rsidR="0094318F" w:rsidRPr="00FD211F">
        <w:rPr>
          <w:sz w:val="36"/>
          <w:szCs w:val="36"/>
          <w:rtl/>
        </w:rPr>
        <w:t>ذكره</w:t>
      </w:r>
      <w:r w:rsidR="00E8128F">
        <w:rPr>
          <w:sz w:val="36"/>
          <w:szCs w:val="36"/>
          <w:rtl/>
        </w:rPr>
        <w:t xml:space="preserve"> </w:t>
      </w:r>
      <w:r w:rsidR="0094318F" w:rsidRPr="00FD211F">
        <w:rPr>
          <w:sz w:val="36"/>
          <w:szCs w:val="36"/>
          <w:rtl/>
        </w:rPr>
        <w:t>المحقق</w:t>
      </w:r>
      <w:r w:rsidR="00E8128F">
        <w:rPr>
          <w:sz w:val="36"/>
          <w:szCs w:val="36"/>
          <w:rtl/>
        </w:rPr>
        <w:t xml:space="preserve"> </w:t>
      </w:r>
      <w:r w:rsidR="0094318F" w:rsidRPr="00FD211F">
        <w:rPr>
          <w:sz w:val="36"/>
          <w:szCs w:val="36"/>
          <w:rtl/>
        </w:rPr>
        <w:t>النائيني</w:t>
      </w:r>
      <w:r w:rsidR="00E8128F">
        <w:rPr>
          <w:sz w:val="36"/>
          <w:szCs w:val="36"/>
          <w:rtl/>
        </w:rPr>
        <w:t xml:space="preserve"> </w:t>
      </w:r>
      <w:r w:rsidR="00AB1B12" w:rsidRPr="00FD211F">
        <w:rPr>
          <w:sz w:val="36"/>
          <w:szCs w:val="36"/>
          <w:rtl/>
        </w:rPr>
        <w:t>"</w:t>
      </w:r>
      <w:r w:rsidR="0094318F" w:rsidRPr="00FD211F">
        <w:rPr>
          <w:sz w:val="36"/>
          <w:szCs w:val="36"/>
          <w:rtl/>
        </w:rPr>
        <w:t>قده</w:t>
      </w:r>
      <w:r w:rsidR="00AB1B12" w:rsidRPr="00FD211F">
        <w:rPr>
          <w:sz w:val="36"/>
          <w:szCs w:val="36"/>
          <w:rtl/>
        </w:rPr>
        <w:t>"</w:t>
      </w:r>
      <w:r w:rsidR="00E8128F">
        <w:rPr>
          <w:sz w:val="36"/>
          <w:szCs w:val="36"/>
          <w:rtl/>
        </w:rPr>
        <w:t xml:space="preserve"> </w:t>
      </w:r>
      <w:r w:rsidR="0094318F" w:rsidRPr="00FD211F">
        <w:rPr>
          <w:sz w:val="36"/>
          <w:szCs w:val="36"/>
          <w:rtl/>
        </w:rPr>
        <w:t>من</w:t>
      </w:r>
      <w:r w:rsidR="00E8128F">
        <w:rPr>
          <w:sz w:val="36"/>
          <w:szCs w:val="36"/>
          <w:rtl/>
        </w:rPr>
        <w:t xml:space="preserve"> </w:t>
      </w:r>
      <w:r w:rsidR="0094318F" w:rsidRPr="00FD211F">
        <w:rPr>
          <w:sz w:val="36"/>
          <w:szCs w:val="36"/>
          <w:rtl/>
        </w:rPr>
        <w:t>ان</w:t>
      </w:r>
      <w:r w:rsidR="00E8128F">
        <w:rPr>
          <w:sz w:val="36"/>
          <w:szCs w:val="36"/>
          <w:rtl/>
        </w:rPr>
        <w:t xml:space="preserve"> </w:t>
      </w:r>
      <w:r w:rsidR="0094318F" w:rsidRPr="00FD211F">
        <w:rPr>
          <w:sz w:val="36"/>
          <w:szCs w:val="36"/>
          <w:rtl/>
        </w:rPr>
        <w:t>علم</w:t>
      </w:r>
      <w:r w:rsidR="00E8128F">
        <w:rPr>
          <w:sz w:val="36"/>
          <w:szCs w:val="36"/>
          <w:rtl/>
        </w:rPr>
        <w:t xml:space="preserve"> </w:t>
      </w:r>
      <w:r w:rsidR="0094318F" w:rsidRPr="00FD211F">
        <w:rPr>
          <w:sz w:val="36"/>
          <w:szCs w:val="36"/>
          <w:rtl/>
        </w:rPr>
        <w:t>الأصول</w:t>
      </w:r>
      <w:r w:rsidR="00E8128F">
        <w:rPr>
          <w:sz w:val="36"/>
          <w:szCs w:val="36"/>
          <w:rtl/>
        </w:rPr>
        <w:t xml:space="preserve"> </w:t>
      </w:r>
      <w:r w:rsidR="0094318F" w:rsidRPr="00FD211F">
        <w:rPr>
          <w:sz w:val="36"/>
          <w:szCs w:val="36"/>
          <w:rtl/>
        </w:rPr>
        <w:t>هو</w:t>
      </w:r>
      <w:r w:rsidR="00E8128F">
        <w:rPr>
          <w:sz w:val="36"/>
          <w:szCs w:val="36"/>
          <w:rtl/>
        </w:rPr>
        <w:t xml:space="preserve"> </w:t>
      </w:r>
      <w:r w:rsidR="0094318F" w:rsidRPr="00FD211F">
        <w:rPr>
          <w:sz w:val="36"/>
          <w:szCs w:val="36"/>
          <w:rtl/>
        </w:rPr>
        <w:t>العلم</w:t>
      </w:r>
      <w:r w:rsidR="00E8128F">
        <w:rPr>
          <w:sz w:val="36"/>
          <w:szCs w:val="36"/>
          <w:rtl/>
        </w:rPr>
        <w:t xml:space="preserve"> </w:t>
      </w:r>
      <w:r w:rsidR="0094318F" w:rsidRPr="00FD211F">
        <w:rPr>
          <w:sz w:val="36"/>
          <w:szCs w:val="36"/>
          <w:rtl/>
        </w:rPr>
        <w:t>بالكبريات</w:t>
      </w:r>
      <w:r w:rsidR="00E8128F">
        <w:rPr>
          <w:sz w:val="36"/>
          <w:szCs w:val="36"/>
          <w:rtl/>
        </w:rPr>
        <w:t xml:space="preserve"> </w:t>
      </w:r>
      <w:r w:rsidR="0094318F" w:rsidRPr="00FD211F">
        <w:rPr>
          <w:sz w:val="36"/>
          <w:szCs w:val="36"/>
          <w:rtl/>
        </w:rPr>
        <w:t>التي</w:t>
      </w:r>
      <w:r w:rsidR="00E8128F">
        <w:rPr>
          <w:sz w:val="36"/>
          <w:szCs w:val="36"/>
          <w:rtl/>
        </w:rPr>
        <w:t xml:space="preserve"> </w:t>
      </w:r>
      <w:r w:rsidR="0094318F" w:rsidRPr="00FD211F">
        <w:rPr>
          <w:sz w:val="36"/>
          <w:szCs w:val="36"/>
          <w:rtl/>
        </w:rPr>
        <w:t>لو</w:t>
      </w:r>
      <w:r w:rsidR="00E8128F">
        <w:rPr>
          <w:sz w:val="36"/>
          <w:szCs w:val="36"/>
          <w:rtl/>
        </w:rPr>
        <w:t xml:space="preserve"> </w:t>
      </w:r>
      <w:r w:rsidR="0094318F" w:rsidRPr="00FD211F">
        <w:rPr>
          <w:sz w:val="36"/>
          <w:szCs w:val="36"/>
          <w:rtl/>
        </w:rPr>
        <w:t>انضم</w:t>
      </w:r>
      <w:r w:rsidR="00E8128F">
        <w:rPr>
          <w:sz w:val="36"/>
          <w:szCs w:val="36"/>
          <w:rtl/>
        </w:rPr>
        <w:t xml:space="preserve"> </w:t>
      </w:r>
      <w:r w:rsidR="0094318F" w:rsidRPr="00FD211F">
        <w:rPr>
          <w:sz w:val="36"/>
          <w:szCs w:val="36"/>
          <w:rtl/>
        </w:rPr>
        <w:t>اليها</w:t>
      </w:r>
      <w:r w:rsidR="00E8128F">
        <w:rPr>
          <w:sz w:val="36"/>
          <w:szCs w:val="36"/>
          <w:rtl/>
        </w:rPr>
        <w:t xml:space="preserve"> </w:t>
      </w:r>
      <w:r w:rsidR="0094318F" w:rsidRPr="00FD211F">
        <w:rPr>
          <w:sz w:val="36"/>
          <w:szCs w:val="36"/>
          <w:rtl/>
        </w:rPr>
        <w:t>صغرياتها</w:t>
      </w:r>
      <w:r w:rsidR="00E8128F">
        <w:rPr>
          <w:sz w:val="36"/>
          <w:szCs w:val="36"/>
          <w:rtl/>
        </w:rPr>
        <w:t xml:space="preserve"> </w:t>
      </w:r>
      <w:r w:rsidR="0094318F" w:rsidRPr="00FD211F">
        <w:rPr>
          <w:sz w:val="36"/>
          <w:szCs w:val="36"/>
          <w:rtl/>
        </w:rPr>
        <w:t>استنج</w:t>
      </w:r>
      <w:r w:rsidR="00E8128F">
        <w:rPr>
          <w:sz w:val="36"/>
          <w:szCs w:val="36"/>
          <w:rtl/>
        </w:rPr>
        <w:t xml:space="preserve"> </w:t>
      </w:r>
      <w:r w:rsidR="0094318F" w:rsidRPr="00FD211F">
        <w:rPr>
          <w:sz w:val="36"/>
          <w:szCs w:val="36"/>
          <w:rtl/>
        </w:rPr>
        <w:t>منها</w:t>
      </w:r>
      <w:r w:rsidR="00E8128F">
        <w:rPr>
          <w:sz w:val="36"/>
          <w:szCs w:val="36"/>
          <w:rtl/>
        </w:rPr>
        <w:t xml:space="preserve"> </w:t>
      </w:r>
      <w:r w:rsidR="0094318F" w:rsidRPr="00FD211F">
        <w:rPr>
          <w:sz w:val="36"/>
          <w:szCs w:val="36"/>
          <w:rtl/>
        </w:rPr>
        <w:t>حكم</w:t>
      </w:r>
      <w:r w:rsidR="00E8128F">
        <w:rPr>
          <w:sz w:val="36"/>
          <w:szCs w:val="36"/>
          <w:rtl/>
        </w:rPr>
        <w:t xml:space="preserve"> </w:t>
      </w:r>
      <w:r w:rsidR="0094318F" w:rsidRPr="00FD211F">
        <w:rPr>
          <w:sz w:val="36"/>
          <w:szCs w:val="36"/>
          <w:rtl/>
        </w:rPr>
        <w:t>فرعي</w:t>
      </w:r>
      <w:r w:rsidR="00E8128F">
        <w:rPr>
          <w:sz w:val="36"/>
          <w:szCs w:val="36"/>
          <w:rtl/>
        </w:rPr>
        <w:t xml:space="preserve"> </w:t>
      </w:r>
      <w:r w:rsidR="0094318F" w:rsidRPr="00FD211F">
        <w:rPr>
          <w:sz w:val="36"/>
          <w:szCs w:val="36"/>
          <w:rtl/>
        </w:rPr>
        <w:t>كلي</w:t>
      </w:r>
      <w:r w:rsidR="00603323" w:rsidRPr="00FD211F">
        <w:rPr>
          <w:sz w:val="36"/>
          <w:szCs w:val="36"/>
          <w:rtl/>
        </w:rPr>
        <w:t>،</w:t>
      </w:r>
      <w:r w:rsidR="00E8128F">
        <w:rPr>
          <w:sz w:val="36"/>
          <w:szCs w:val="36"/>
          <w:rtl/>
        </w:rPr>
        <w:t xml:space="preserve"> </w:t>
      </w:r>
      <w:r w:rsidR="005247C8" w:rsidRPr="00FD211F">
        <w:rPr>
          <w:sz w:val="36"/>
          <w:szCs w:val="36"/>
          <w:rtl/>
        </w:rPr>
        <w:t>فالمباحث</w:t>
      </w:r>
      <w:r w:rsidR="00E8128F">
        <w:rPr>
          <w:sz w:val="36"/>
          <w:szCs w:val="36"/>
          <w:rtl/>
        </w:rPr>
        <w:t xml:space="preserve"> </w:t>
      </w:r>
      <w:r w:rsidR="005247C8" w:rsidRPr="00FD211F">
        <w:rPr>
          <w:sz w:val="36"/>
          <w:szCs w:val="36"/>
          <w:rtl/>
        </w:rPr>
        <w:t>الرجالي</w:t>
      </w:r>
      <w:r w:rsidR="00EC7EDF" w:rsidRPr="00FD211F">
        <w:rPr>
          <w:sz w:val="36"/>
          <w:szCs w:val="36"/>
          <w:rtl/>
        </w:rPr>
        <w:t>ة</w:t>
      </w:r>
      <w:r w:rsidR="00E8128F">
        <w:rPr>
          <w:sz w:val="36"/>
          <w:szCs w:val="36"/>
          <w:rtl/>
        </w:rPr>
        <w:t xml:space="preserve"> </w:t>
      </w:r>
      <w:r w:rsidR="005247C8" w:rsidRPr="00FD211F">
        <w:rPr>
          <w:sz w:val="36"/>
          <w:szCs w:val="36"/>
          <w:rtl/>
        </w:rPr>
        <w:t>كنظري</w:t>
      </w:r>
      <w:r w:rsidR="00EC7EDF" w:rsidRPr="00FD211F">
        <w:rPr>
          <w:sz w:val="36"/>
          <w:szCs w:val="36"/>
          <w:rtl/>
        </w:rPr>
        <w:t>ة</w:t>
      </w:r>
      <w:r w:rsidR="00E8128F">
        <w:rPr>
          <w:sz w:val="36"/>
          <w:szCs w:val="36"/>
          <w:rtl/>
        </w:rPr>
        <w:t xml:space="preserve"> </w:t>
      </w:r>
      <w:r w:rsidR="005247C8" w:rsidRPr="00FD211F">
        <w:rPr>
          <w:sz w:val="36"/>
          <w:szCs w:val="36"/>
          <w:rtl/>
        </w:rPr>
        <w:t>التوثيق</w:t>
      </w:r>
      <w:r w:rsidR="00E8128F">
        <w:rPr>
          <w:sz w:val="36"/>
          <w:szCs w:val="36"/>
          <w:rtl/>
        </w:rPr>
        <w:t xml:space="preserve"> </w:t>
      </w:r>
      <w:r w:rsidR="005247C8" w:rsidRPr="00FD211F">
        <w:rPr>
          <w:sz w:val="36"/>
          <w:szCs w:val="36"/>
          <w:rtl/>
        </w:rPr>
        <w:t>العام</w:t>
      </w:r>
      <w:r w:rsidR="00E8128F">
        <w:rPr>
          <w:sz w:val="36"/>
          <w:szCs w:val="36"/>
          <w:rtl/>
        </w:rPr>
        <w:t xml:space="preserve"> </w:t>
      </w:r>
      <w:r w:rsidR="005247C8" w:rsidRPr="00FD211F">
        <w:rPr>
          <w:sz w:val="36"/>
          <w:szCs w:val="36"/>
          <w:rtl/>
        </w:rPr>
        <w:t>لمشايخ</w:t>
      </w:r>
      <w:r w:rsidR="00E8128F">
        <w:rPr>
          <w:sz w:val="36"/>
          <w:szCs w:val="36"/>
          <w:rtl/>
        </w:rPr>
        <w:t xml:space="preserve"> </w:t>
      </w:r>
      <w:r w:rsidR="005247C8" w:rsidRPr="00FD211F">
        <w:rPr>
          <w:sz w:val="36"/>
          <w:szCs w:val="36"/>
          <w:rtl/>
        </w:rPr>
        <w:t>صفوان</w:t>
      </w:r>
      <w:r w:rsidR="00E8128F">
        <w:rPr>
          <w:sz w:val="36"/>
          <w:szCs w:val="36"/>
          <w:rtl/>
        </w:rPr>
        <w:t xml:space="preserve"> </w:t>
      </w:r>
      <w:r w:rsidR="00AE4A36" w:rsidRPr="00FD211F">
        <w:rPr>
          <w:sz w:val="36"/>
          <w:szCs w:val="36"/>
          <w:rtl/>
        </w:rPr>
        <w:t>وابن</w:t>
      </w:r>
      <w:r w:rsidR="00E8128F">
        <w:rPr>
          <w:sz w:val="36"/>
          <w:szCs w:val="36"/>
          <w:rtl/>
        </w:rPr>
        <w:t xml:space="preserve"> </w:t>
      </w:r>
      <w:r w:rsidR="00AE4A36" w:rsidRPr="00FD211F">
        <w:rPr>
          <w:sz w:val="36"/>
          <w:szCs w:val="36"/>
          <w:rtl/>
        </w:rPr>
        <w:t>ابي</w:t>
      </w:r>
      <w:r w:rsidR="00E8128F">
        <w:rPr>
          <w:sz w:val="36"/>
          <w:szCs w:val="36"/>
          <w:rtl/>
        </w:rPr>
        <w:t xml:space="preserve"> </w:t>
      </w:r>
      <w:r w:rsidR="00AE4A36" w:rsidRPr="00FD211F">
        <w:rPr>
          <w:sz w:val="36"/>
          <w:szCs w:val="36"/>
          <w:rtl/>
        </w:rPr>
        <w:t>عمير</w:t>
      </w:r>
      <w:r w:rsidR="00E8128F">
        <w:rPr>
          <w:sz w:val="36"/>
          <w:szCs w:val="36"/>
          <w:rtl/>
        </w:rPr>
        <w:t xml:space="preserve"> </w:t>
      </w:r>
      <w:r w:rsidR="00AE4A36" w:rsidRPr="00FD211F">
        <w:rPr>
          <w:sz w:val="36"/>
          <w:szCs w:val="36"/>
          <w:rtl/>
        </w:rPr>
        <w:t>والبزنطي</w:t>
      </w:r>
      <w:r w:rsidR="00E8128F">
        <w:rPr>
          <w:sz w:val="36"/>
          <w:szCs w:val="36"/>
          <w:rtl/>
        </w:rPr>
        <w:t xml:space="preserve"> </w:t>
      </w:r>
      <w:r w:rsidR="005247C8" w:rsidRPr="00FD211F">
        <w:rPr>
          <w:sz w:val="36"/>
          <w:szCs w:val="36"/>
          <w:rtl/>
        </w:rPr>
        <w:t>وان</w:t>
      </w:r>
      <w:r w:rsidR="00E8128F">
        <w:rPr>
          <w:sz w:val="36"/>
          <w:szCs w:val="36"/>
          <w:rtl/>
        </w:rPr>
        <w:t xml:space="preserve"> </w:t>
      </w:r>
      <w:r w:rsidR="005247C8" w:rsidRPr="00FD211F">
        <w:rPr>
          <w:sz w:val="36"/>
          <w:szCs w:val="36"/>
          <w:rtl/>
        </w:rPr>
        <w:t>كانت</w:t>
      </w:r>
      <w:r w:rsidR="00E8128F">
        <w:rPr>
          <w:sz w:val="36"/>
          <w:szCs w:val="36"/>
          <w:rtl/>
        </w:rPr>
        <w:t xml:space="preserve"> </w:t>
      </w:r>
      <w:r w:rsidR="005247C8" w:rsidRPr="00FD211F">
        <w:rPr>
          <w:sz w:val="36"/>
          <w:szCs w:val="36"/>
          <w:rtl/>
        </w:rPr>
        <w:t>من</w:t>
      </w:r>
      <w:r w:rsidR="00E8128F">
        <w:rPr>
          <w:sz w:val="36"/>
          <w:szCs w:val="36"/>
          <w:rtl/>
        </w:rPr>
        <w:t xml:space="preserve"> </w:t>
      </w:r>
      <w:r w:rsidR="005247C8" w:rsidRPr="00FD211F">
        <w:rPr>
          <w:sz w:val="36"/>
          <w:szCs w:val="36"/>
          <w:rtl/>
        </w:rPr>
        <w:t>القواعد</w:t>
      </w:r>
      <w:r w:rsidR="00E8128F">
        <w:rPr>
          <w:sz w:val="36"/>
          <w:szCs w:val="36"/>
          <w:rtl/>
        </w:rPr>
        <w:t xml:space="preserve"> </w:t>
      </w:r>
      <w:r w:rsidR="005247C8" w:rsidRPr="00FD211F">
        <w:rPr>
          <w:sz w:val="36"/>
          <w:szCs w:val="36"/>
          <w:rtl/>
        </w:rPr>
        <w:t>الممهد</w:t>
      </w:r>
      <w:r w:rsidR="00EC7EDF" w:rsidRPr="00FD211F">
        <w:rPr>
          <w:sz w:val="36"/>
          <w:szCs w:val="36"/>
          <w:rtl/>
        </w:rPr>
        <w:t>ة</w:t>
      </w:r>
      <w:r w:rsidR="00E8128F">
        <w:rPr>
          <w:sz w:val="36"/>
          <w:szCs w:val="36"/>
          <w:rtl/>
        </w:rPr>
        <w:t xml:space="preserve"> </w:t>
      </w:r>
      <w:r w:rsidR="005247C8" w:rsidRPr="00FD211F">
        <w:rPr>
          <w:sz w:val="36"/>
          <w:szCs w:val="36"/>
          <w:rtl/>
        </w:rPr>
        <w:t>لاستنباط</w:t>
      </w:r>
      <w:r w:rsidR="00E8128F">
        <w:rPr>
          <w:sz w:val="36"/>
          <w:szCs w:val="36"/>
          <w:rtl/>
        </w:rPr>
        <w:t xml:space="preserve"> </w:t>
      </w:r>
      <w:r w:rsidR="005247C8" w:rsidRPr="00FD211F">
        <w:rPr>
          <w:sz w:val="36"/>
          <w:szCs w:val="36"/>
          <w:rtl/>
        </w:rPr>
        <w:t>الحكم</w:t>
      </w:r>
      <w:r w:rsidR="00E8128F">
        <w:rPr>
          <w:sz w:val="36"/>
          <w:szCs w:val="36"/>
          <w:rtl/>
        </w:rPr>
        <w:t xml:space="preserve"> </w:t>
      </w:r>
      <w:r w:rsidR="005247C8" w:rsidRPr="00FD211F">
        <w:rPr>
          <w:sz w:val="36"/>
          <w:szCs w:val="36"/>
          <w:rtl/>
        </w:rPr>
        <w:t>الشرعي</w:t>
      </w:r>
      <w:r w:rsidR="00E8128F">
        <w:rPr>
          <w:sz w:val="36"/>
          <w:szCs w:val="36"/>
          <w:rtl/>
        </w:rPr>
        <w:t xml:space="preserve"> </w:t>
      </w:r>
      <w:r w:rsidR="005247C8" w:rsidRPr="00FD211F">
        <w:rPr>
          <w:sz w:val="36"/>
          <w:szCs w:val="36"/>
          <w:rtl/>
        </w:rPr>
        <w:t>الفرعي</w:t>
      </w:r>
      <w:r w:rsidR="00E8128F">
        <w:rPr>
          <w:sz w:val="36"/>
          <w:szCs w:val="36"/>
          <w:rtl/>
        </w:rPr>
        <w:t xml:space="preserve"> </w:t>
      </w:r>
      <w:r w:rsidR="005247C8" w:rsidRPr="00FD211F">
        <w:rPr>
          <w:sz w:val="36"/>
          <w:szCs w:val="36"/>
          <w:rtl/>
        </w:rPr>
        <w:t>لكن</w:t>
      </w:r>
      <w:r w:rsidR="00E8128F">
        <w:rPr>
          <w:sz w:val="36"/>
          <w:szCs w:val="36"/>
          <w:rtl/>
        </w:rPr>
        <w:t xml:space="preserve"> </w:t>
      </w:r>
      <w:r w:rsidR="005247C8" w:rsidRPr="00FD211F">
        <w:rPr>
          <w:sz w:val="36"/>
          <w:szCs w:val="36"/>
          <w:rtl/>
        </w:rPr>
        <w:t>مجرد</w:t>
      </w:r>
      <w:r w:rsidR="00E8128F">
        <w:rPr>
          <w:sz w:val="36"/>
          <w:szCs w:val="36"/>
          <w:rtl/>
        </w:rPr>
        <w:t xml:space="preserve"> </w:t>
      </w:r>
      <w:r w:rsidR="005247C8" w:rsidRPr="00FD211F">
        <w:rPr>
          <w:sz w:val="36"/>
          <w:szCs w:val="36"/>
          <w:rtl/>
        </w:rPr>
        <w:t>انضمام</w:t>
      </w:r>
      <w:r w:rsidR="00E8128F">
        <w:rPr>
          <w:sz w:val="36"/>
          <w:szCs w:val="36"/>
          <w:rtl/>
        </w:rPr>
        <w:t xml:space="preserve"> </w:t>
      </w:r>
      <w:r w:rsidR="00F56DC6" w:rsidRPr="00FD211F">
        <w:rPr>
          <w:sz w:val="36"/>
          <w:szCs w:val="36"/>
          <w:rtl/>
        </w:rPr>
        <w:t>صغرياتها</w:t>
      </w:r>
      <w:r w:rsidR="00E8128F">
        <w:rPr>
          <w:sz w:val="36"/>
          <w:szCs w:val="36"/>
          <w:rtl/>
        </w:rPr>
        <w:t xml:space="preserve"> </w:t>
      </w:r>
      <w:r w:rsidR="00F56DC6" w:rsidRPr="00FD211F">
        <w:rPr>
          <w:sz w:val="36"/>
          <w:szCs w:val="36"/>
          <w:rtl/>
        </w:rPr>
        <w:t>اليها</w:t>
      </w:r>
      <w:r w:rsidR="00E8128F">
        <w:rPr>
          <w:sz w:val="36"/>
          <w:szCs w:val="36"/>
          <w:rtl/>
        </w:rPr>
        <w:t xml:space="preserve"> </w:t>
      </w:r>
      <w:r w:rsidR="005247C8" w:rsidRPr="00FD211F">
        <w:rPr>
          <w:sz w:val="36"/>
          <w:szCs w:val="36"/>
          <w:rtl/>
        </w:rPr>
        <w:t>لايكفي</w:t>
      </w:r>
      <w:r w:rsidR="00E8128F">
        <w:rPr>
          <w:sz w:val="36"/>
          <w:szCs w:val="36"/>
          <w:rtl/>
        </w:rPr>
        <w:t xml:space="preserve"> </w:t>
      </w:r>
      <w:r w:rsidR="00F56DC6" w:rsidRPr="00FD211F">
        <w:rPr>
          <w:sz w:val="36"/>
          <w:szCs w:val="36"/>
          <w:rtl/>
        </w:rPr>
        <w:t>في</w:t>
      </w:r>
      <w:r w:rsidR="00E8128F">
        <w:rPr>
          <w:sz w:val="36"/>
          <w:szCs w:val="36"/>
          <w:rtl/>
        </w:rPr>
        <w:t xml:space="preserve"> </w:t>
      </w:r>
      <w:r w:rsidR="00F56DC6" w:rsidRPr="00FD211F">
        <w:rPr>
          <w:sz w:val="36"/>
          <w:szCs w:val="36"/>
          <w:rtl/>
        </w:rPr>
        <w:t>استنباط</w:t>
      </w:r>
      <w:r w:rsidR="00E8128F">
        <w:rPr>
          <w:sz w:val="36"/>
          <w:szCs w:val="36"/>
          <w:rtl/>
        </w:rPr>
        <w:t xml:space="preserve"> </w:t>
      </w:r>
      <w:r w:rsidR="00F56DC6" w:rsidRPr="00FD211F">
        <w:rPr>
          <w:sz w:val="36"/>
          <w:szCs w:val="36"/>
          <w:rtl/>
        </w:rPr>
        <w:t>الحكم</w:t>
      </w:r>
      <w:r w:rsidR="00E8128F">
        <w:rPr>
          <w:sz w:val="36"/>
          <w:szCs w:val="36"/>
          <w:rtl/>
        </w:rPr>
        <w:t xml:space="preserve"> </w:t>
      </w:r>
      <w:r w:rsidR="00F56DC6" w:rsidRPr="00FD211F">
        <w:rPr>
          <w:sz w:val="36"/>
          <w:szCs w:val="36"/>
          <w:rtl/>
        </w:rPr>
        <w:t>الشرعي</w:t>
      </w:r>
      <w:r w:rsidR="00E8128F">
        <w:rPr>
          <w:sz w:val="36"/>
          <w:szCs w:val="36"/>
          <w:rtl/>
        </w:rPr>
        <w:t xml:space="preserve"> </w:t>
      </w:r>
      <w:r w:rsidR="00F56DC6" w:rsidRPr="00FD211F">
        <w:rPr>
          <w:sz w:val="36"/>
          <w:szCs w:val="36"/>
          <w:rtl/>
        </w:rPr>
        <w:t>الفرعي</w:t>
      </w:r>
      <w:r w:rsidR="00E8128F">
        <w:rPr>
          <w:sz w:val="36"/>
          <w:szCs w:val="36"/>
          <w:rtl/>
        </w:rPr>
        <w:t xml:space="preserve"> </w:t>
      </w:r>
      <w:r w:rsidR="00F56DC6" w:rsidRPr="00FD211F">
        <w:rPr>
          <w:sz w:val="36"/>
          <w:szCs w:val="36"/>
          <w:rtl/>
        </w:rPr>
        <w:t>بدون</w:t>
      </w:r>
      <w:r w:rsidR="00E8128F">
        <w:rPr>
          <w:sz w:val="36"/>
          <w:szCs w:val="36"/>
          <w:rtl/>
        </w:rPr>
        <w:t xml:space="preserve"> </w:t>
      </w:r>
      <w:r w:rsidR="00F56DC6" w:rsidRPr="00FD211F">
        <w:rPr>
          <w:sz w:val="36"/>
          <w:szCs w:val="36"/>
          <w:rtl/>
        </w:rPr>
        <w:t>توسيط</w:t>
      </w:r>
      <w:r w:rsidR="00E8128F">
        <w:rPr>
          <w:sz w:val="36"/>
          <w:szCs w:val="36"/>
          <w:rtl/>
        </w:rPr>
        <w:t xml:space="preserve"> </w:t>
      </w:r>
      <w:r w:rsidR="00F56DC6" w:rsidRPr="00FD211F">
        <w:rPr>
          <w:sz w:val="36"/>
          <w:szCs w:val="36"/>
          <w:rtl/>
        </w:rPr>
        <w:t>كبرى</w:t>
      </w:r>
      <w:r w:rsidR="00E8128F">
        <w:rPr>
          <w:sz w:val="36"/>
          <w:szCs w:val="36"/>
          <w:rtl/>
        </w:rPr>
        <w:t xml:space="preserve"> </w:t>
      </w:r>
      <w:r w:rsidR="00F56DC6" w:rsidRPr="00FD211F">
        <w:rPr>
          <w:sz w:val="36"/>
          <w:szCs w:val="36"/>
          <w:rtl/>
        </w:rPr>
        <w:t>حجي</w:t>
      </w:r>
      <w:r w:rsidR="00EC7EDF" w:rsidRPr="00FD211F">
        <w:rPr>
          <w:sz w:val="36"/>
          <w:szCs w:val="36"/>
          <w:rtl/>
        </w:rPr>
        <w:t>ة</w:t>
      </w:r>
      <w:r w:rsidR="00E8128F">
        <w:rPr>
          <w:sz w:val="36"/>
          <w:szCs w:val="36"/>
          <w:rtl/>
        </w:rPr>
        <w:t xml:space="preserve"> </w:t>
      </w:r>
      <w:r w:rsidR="00F56DC6" w:rsidRPr="00FD211F">
        <w:rPr>
          <w:sz w:val="36"/>
          <w:szCs w:val="36"/>
          <w:rtl/>
        </w:rPr>
        <w:t>خبر</w:t>
      </w:r>
      <w:r w:rsidR="00E8128F">
        <w:rPr>
          <w:sz w:val="36"/>
          <w:szCs w:val="36"/>
          <w:rtl/>
        </w:rPr>
        <w:t xml:space="preserve"> </w:t>
      </w:r>
      <w:r w:rsidR="00F56DC6" w:rsidRPr="00FD211F">
        <w:rPr>
          <w:sz w:val="36"/>
          <w:szCs w:val="36"/>
          <w:rtl/>
        </w:rPr>
        <w:t>الثق</w:t>
      </w:r>
      <w:r w:rsidR="00EC7EDF" w:rsidRPr="00FD211F">
        <w:rPr>
          <w:sz w:val="36"/>
          <w:szCs w:val="36"/>
          <w:rtl/>
        </w:rPr>
        <w:t>ة</w:t>
      </w:r>
      <w:r w:rsidR="00603323" w:rsidRPr="00FD211F">
        <w:rPr>
          <w:sz w:val="36"/>
          <w:szCs w:val="36"/>
          <w:rtl/>
        </w:rPr>
        <w:t>،</w:t>
      </w:r>
      <w:r w:rsidR="00E8128F">
        <w:rPr>
          <w:sz w:val="36"/>
          <w:szCs w:val="36"/>
          <w:rtl/>
        </w:rPr>
        <w:t xml:space="preserve"> </w:t>
      </w:r>
      <w:r w:rsidR="00F56DC6" w:rsidRPr="00FD211F">
        <w:rPr>
          <w:sz w:val="36"/>
          <w:szCs w:val="36"/>
          <w:rtl/>
        </w:rPr>
        <w:t>وهذا</w:t>
      </w:r>
      <w:r w:rsidR="00E8128F">
        <w:rPr>
          <w:sz w:val="36"/>
          <w:szCs w:val="36"/>
          <w:rtl/>
        </w:rPr>
        <w:t xml:space="preserve"> </w:t>
      </w:r>
      <w:r w:rsidR="00F56DC6" w:rsidRPr="00FD211F">
        <w:rPr>
          <w:sz w:val="36"/>
          <w:szCs w:val="36"/>
          <w:rtl/>
        </w:rPr>
        <w:t>بخلاف</w:t>
      </w:r>
      <w:r w:rsidR="00E8128F">
        <w:rPr>
          <w:sz w:val="36"/>
          <w:szCs w:val="36"/>
          <w:rtl/>
        </w:rPr>
        <w:t xml:space="preserve"> </w:t>
      </w:r>
      <w:r w:rsidR="00F56DC6" w:rsidRPr="00FD211F">
        <w:rPr>
          <w:sz w:val="36"/>
          <w:szCs w:val="36"/>
          <w:rtl/>
        </w:rPr>
        <w:t>مسأل</w:t>
      </w:r>
      <w:r w:rsidR="00EC7EDF" w:rsidRPr="00FD211F">
        <w:rPr>
          <w:sz w:val="36"/>
          <w:szCs w:val="36"/>
          <w:rtl/>
        </w:rPr>
        <w:t>ة</w:t>
      </w:r>
      <w:r w:rsidR="00E8128F">
        <w:rPr>
          <w:sz w:val="36"/>
          <w:szCs w:val="36"/>
          <w:rtl/>
        </w:rPr>
        <w:t xml:space="preserve"> </w:t>
      </w:r>
      <w:r w:rsidR="00F56DC6" w:rsidRPr="00FD211F">
        <w:rPr>
          <w:sz w:val="36"/>
          <w:szCs w:val="36"/>
          <w:rtl/>
        </w:rPr>
        <w:t>حجي</w:t>
      </w:r>
      <w:r w:rsidR="00EC7EDF" w:rsidRPr="00FD211F">
        <w:rPr>
          <w:sz w:val="36"/>
          <w:szCs w:val="36"/>
          <w:rtl/>
        </w:rPr>
        <w:t>ة</w:t>
      </w:r>
      <w:r w:rsidR="00E8128F">
        <w:rPr>
          <w:sz w:val="36"/>
          <w:szCs w:val="36"/>
          <w:rtl/>
        </w:rPr>
        <w:t xml:space="preserve"> </w:t>
      </w:r>
      <w:r w:rsidR="00F56DC6" w:rsidRPr="00FD211F">
        <w:rPr>
          <w:sz w:val="36"/>
          <w:szCs w:val="36"/>
          <w:rtl/>
        </w:rPr>
        <w:t>خبر</w:t>
      </w:r>
      <w:r w:rsidR="00E8128F">
        <w:rPr>
          <w:sz w:val="36"/>
          <w:szCs w:val="36"/>
          <w:rtl/>
        </w:rPr>
        <w:t xml:space="preserve"> </w:t>
      </w:r>
      <w:r w:rsidR="00F56DC6" w:rsidRPr="00FD211F">
        <w:rPr>
          <w:sz w:val="36"/>
          <w:szCs w:val="36"/>
          <w:rtl/>
        </w:rPr>
        <w:t>الثق</w:t>
      </w:r>
      <w:r w:rsidR="00EC7EDF" w:rsidRPr="00FD211F">
        <w:rPr>
          <w:sz w:val="36"/>
          <w:szCs w:val="36"/>
          <w:rtl/>
        </w:rPr>
        <w:t>ة</w:t>
      </w:r>
      <w:r w:rsidR="00E8128F">
        <w:rPr>
          <w:sz w:val="36"/>
          <w:szCs w:val="36"/>
          <w:rtl/>
        </w:rPr>
        <w:t xml:space="preserve"> </w:t>
      </w:r>
      <w:r w:rsidR="00F56DC6" w:rsidRPr="00FD211F">
        <w:rPr>
          <w:sz w:val="36"/>
          <w:szCs w:val="36"/>
          <w:rtl/>
        </w:rPr>
        <w:t>مثلا</w:t>
      </w:r>
      <w:r w:rsidR="00E8128F">
        <w:rPr>
          <w:sz w:val="36"/>
          <w:szCs w:val="36"/>
          <w:rtl/>
        </w:rPr>
        <w:t xml:space="preserve"> </w:t>
      </w:r>
      <w:r w:rsidR="00F56DC6" w:rsidRPr="00FD211F">
        <w:rPr>
          <w:sz w:val="36"/>
          <w:szCs w:val="36"/>
          <w:rtl/>
        </w:rPr>
        <w:t>فانه</w:t>
      </w:r>
      <w:r w:rsidR="00AE4A36" w:rsidRPr="00FD211F">
        <w:rPr>
          <w:sz w:val="36"/>
          <w:szCs w:val="36"/>
          <w:rtl/>
        </w:rPr>
        <w:t>ا</w:t>
      </w:r>
      <w:r w:rsidR="00E8128F">
        <w:rPr>
          <w:sz w:val="36"/>
          <w:szCs w:val="36"/>
          <w:rtl/>
        </w:rPr>
        <w:t xml:space="preserve"> </w:t>
      </w:r>
      <w:r w:rsidR="00F56DC6" w:rsidRPr="00FD211F">
        <w:rPr>
          <w:sz w:val="36"/>
          <w:szCs w:val="36"/>
          <w:rtl/>
        </w:rPr>
        <w:t>لو</w:t>
      </w:r>
      <w:r w:rsidR="00E8128F">
        <w:rPr>
          <w:sz w:val="36"/>
          <w:szCs w:val="36"/>
          <w:rtl/>
        </w:rPr>
        <w:t xml:space="preserve"> </w:t>
      </w:r>
      <w:r w:rsidR="00F56DC6" w:rsidRPr="00FD211F">
        <w:rPr>
          <w:sz w:val="36"/>
          <w:szCs w:val="36"/>
          <w:rtl/>
        </w:rPr>
        <w:t>انضم</w:t>
      </w:r>
      <w:r w:rsidR="00E8128F">
        <w:rPr>
          <w:sz w:val="36"/>
          <w:szCs w:val="36"/>
          <w:rtl/>
        </w:rPr>
        <w:t xml:space="preserve"> </w:t>
      </w:r>
      <w:r w:rsidR="00F56DC6" w:rsidRPr="00FD211F">
        <w:rPr>
          <w:sz w:val="36"/>
          <w:szCs w:val="36"/>
          <w:rtl/>
        </w:rPr>
        <w:t>اليها</w:t>
      </w:r>
      <w:r w:rsidR="00E8128F">
        <w:rPr>
          <w:sz w:val="36"/>
          <w:szCs w:val="36"/>
          <w:rtl/>
        </w:rPr>
        <w:t xml:space="preserve"> </w:t>
      </w:r>
      <w:r w:rsidR="00F56DC6" w:rsidRPr="00FD211F">
        <w:rPr>
          <w:sz w:val="36"/>
          <w:szCs w:val="36"/>
          <w:rtl/>
        </w:rPr>
        <w:t>مصداقها</w:t>
      </w:r>
      <w:r w:rsidR="00E8128F">
        <w:rPr>
          <w:sz w:val="36"/>
          <w:szCs w:val="36"/>
          <w:rtl/>
        </w:rPr>
        <w:t xml:space="preserve"> </w:t>
      </w:r>
      <w:r w:rsidR="00F56DC6" w:rsidRPr="00FD211F">
        <w:rPr>
          <w:sz w:val="36"/>
          <w:szCs w:val="36"/>
          <w:rtl/>
        </w:rPr>
        <w:t>وهو</w:t>
      </w:r>
      <w:r w:rsidR="00E8128F">
        <w:rPr>
          <w:sz w:val="36"/>
          <w:szCs w:val="36"/>
          <w:rtl/>
        </w:rPr>
        <w:t xml:space="preserve"> </w:t>
      </w:r>
      <w:r w:rsidR="00F56DC6" w:rsidRPr="00FD211F">
        <w:rPr>
          <w:sz w:val="36"/>
          <w:szCs w:val="36"/>
          <w:rtl/>
        </w:rPr>
        <w:t>قيام</w:t>
      </w:r>
      <w:r w:rsidR="00E8128F">
        <w:rPr>
          <w:sz w:val="36"/>
          <w:szCs w:val="36"/>
          <w:rtl/>
        </w:rPr>
        <w:t xml:space="preserve"> </w:t>
      </w:r>
      <w:r w:rsidR="00F56DC6" w:rsidRPr="00FD211F">
        <w:rPr>
          <w:sz w:val="36"/>
          <w:szCs w:val="36"/>
          <w:rtl/>
        </w:rPr>
        <w:t>خبر</w:t>
      </w:r>
      <w:r w:rsidR="00E8128F">
        <w:rPr>
          <w:sz w:val="36"/>
          <w:szCs w:val="36"/>
          <w:rtl/>
        </w:rPr>
        <w:t xml:space="preserve"> </w:t>
      </w:r>
      <w:r w:rsidR="00F56DC6" w:rsidRPr="00FD211F">
        <w:rPr>
          <w:sz w:val="36"/>
          <w:szCs w:val="36"/>
          <w:rtl/>
        </w:rPr>
        <w:t>الثق</w:t>
      </w:r>
      <w:r w:rsidR="00EC7EDF" w:rsidRPr="00FD211F">
        <w:rPr>
          <w:sz w:val="36"/>
          <w:szCs w:val="36"/>
          <w:rtl/>
        </w:rPr>
        <w:t>ة</w:t>
      </w:r>
      <w:r w:rsidR="00E8128F">
        <w:rPr>
          <w:sz w:val="36"/>
          <w:szCs w:val="36"/>
          <w:rtl/>
        </w:rPr>
        <w:t xml:space="preserve"> </w:t>
      </w:r>
      <w:r w:rsidR="00F56DC6" w:rsidRPr="00FD211F">
        <w:rPr>
          <w:sz w:val="36"/>
          <w:szCs w:val="36"/>
          <w:rtl/>
        </w:rPr>
        <w:t>على</w:t>
      </w:r>
      <w:r w:rsidR="00E8128F">
        <w:rPr>
          <w:sz w:val="36"/>
          <w:szCs w:val="36"/>
          <w:rtl/>
        </w:rPr>
        <w:t xml:space="preserve"> </w:t>
      </w:r>
      <w:r w:rsidR="00F56DC6" w:rsidRPr="00FD211F">
        <w:rPr>
          <w:sz w:val="36"/>
          <w:szCs w:val="36"/>
          <w:rtl/>
        </w:rPr>
        <w:t>وجوب</w:t>
      </w:r>
      <w:r w:rsidR="00E8128F">
        <w:rPr>
          <w:sz w:val="36"/>
          <w:szCs w:val="36"/>
          <w:rtl/>
        </w:rPr>
        <w:t xml:space="preserve"> </w:t>
      </w:r>
      <w:r w:rsidR="00F56DC6" w:rsidRPr="00FD211F">
        <w:rPr>
          <w:sz w:val="36"/>
          <w:szCs w:val="36"/>
          <w:rtl/>
        </w:rPr>
        <w:t>صلا</w:t>
      </w:r>
      <w:r w:rsidR="00EC7EDF" w:rsidRPr="00FD211F">
        <w:rPr>
          <w:sz w:val="36"/>
          <w:szCs w:val="36"/>
          <w:rtl/>
        </w:rPr>
        <w:t>ة</w:t>
      </w:r>
      <w:r w:rsidR="00E8128F">
        <w:rPr>
          <w:sz w:val="36"/>
          <w:szCs w:val="36"/>
          <w:rtl/>
        </w:rPr>
        <w:t xml:space="preserve"> </w:t>
      </w:r>
      <w:r w:rsidR="00F56DC6" w:rsidRPr="00FD211F">
        <w:rPr>
          <w:sz w:val="36"/>
          <w:szCs w:val="36"/>
          <w:rtl/>
        </w:rPr>
        <w:lastRenderedPageBreak/>
        <w:t>الجمع</w:t>
      </w:r>
      <w:r w:rsidR="00EC7EDF" w:rsidRPr="00FD211F">
        <w:rPr>
          <w:sz w:val="36"/>
          <w:szCs w:val="36"/>
          <w:rtl/>
        </w:rPr>
        <w:t>ة</w:t>
      </w:r>
      <w:r w:rsidR="00E8128F">
        <w:rPr>
          <w:sz w:val="36"/>
          <w:szCs w:val="36"/>
          <w:rtl/>
        </w:rPr>
        <w:t xml:space="preserve"> </w:t>
      </w:r>
      <w:r w:rsidR="00F56DC6" w:rsidRPr="00FD211F">
        <w:rPr>
          <w:sz w:val="36"/>
          <w:szCs w:val="36"/>
          <w:rtl/>
        </w:rPr>
        <w:t>مثلا</w:t>
      </w:r>
      <w:r w:rsidR="00603323" w:rsidRPr="00FD211F">
        <w:rPr>
          <w:sz w:val="36"/>
          <w:szCs w:val="36"/>
          <w:rtl/>
        </w:rPr>
        <w:t>،</w:t>
      </w:r>
      <w:r w:rsidR="00E8128F">
        <w:rPr>
          <w:sz w:val="36"/>
          <w:szCs w:val="36"/>
          <w:rtl/>
        </w:rPr>
        <w:t xml:space="preserve"> </w:t>
      </w:r>
      <w:r w:rsidR="00AE4A36" w:rsidRPr="00FD211F">
        <w:rPr>
          <w:sz w:val="36"/>
          <w:szCs w:val="36"/>
          <w:rtl/>
        </w:rPr>
        <w:t>ف</w:t>
      </w:r>
      <w:r w:rsidR="00F56DC6" w:rsidRPr="00FD211F">
        <w:rPr>
          <w:sz w:val="36"/>
          <w:szCs w:val="36"/>
          <w:rtl/>
        </w:rPr>
        <w:t>يكفي</w:t>
      </w:r>
      <w:r w:rsidR="00E8128F">
        <w:rPr>
          <w:sz w:val="36"/>
          <w:szCs w:val="36"/>
          <w:rtl/>
        </w:rPr>
        <w:t xml:space="preserve"> </w:t>
      </w:r>
      <w:r w:rsidR="00F56DC6" w:rsidRPr="00FD211F">
        <w:rPr>
          <w:sz w:val="36"/>
          <w:szCs w:val="36"/>
          <w:rtl/>
        </w:rPr>
        <w:t>في</w:t>
      </w:r>
      <w:r w:rsidR="00E8128F">
        <w:rPr>
          <w:sz w:val="36"/>
          <w:szCs w:val="36"/>
          <w:rtl/>
        </w:rPr>
        <w:t xml:space="preserve"> </w:t>
      </w:r>
      <w:r w:rsidR="00F56DC6" w:rsidRPr="00FD211F">
        <w:rPr>
          <w:sz w:val="36"/>
          <w:szCs w:val="36"/>
          <w:rtl/>
        </w:rPr>
        <w:t>استنتاج</w:t>
      </w:r>
      <w:r w:rsidR="00E8128F">
        <w:rPr>
          <w:sz w:val="36"/>
          <w:szCs w:val="36"/>
          <w:rtl/>
        </w:rPr>
        <w:t xml:space="preserve"> </w:t>
      </w:r>
      <w:r w:rsidR="00F56DC6" w:rsidRPr="00FD211F">
        <w:rPr>
          <w:sz w:val="36"/>
          <w:szCs w:val="36"/>
          <w:rtl/>
        </w:rPr>
        <w:t>الحكم</w:t>
      </w:r>
      <w:r w:rsidR="00E8128F">
        <w:rPr>
          <w:sz w:val="36"/>
          <w:szCs w:val="36"/>
          <w:rtl/>
        </w:rPr>
        <w:t xml:space="preserve"> </w:t>
      </w:r>
      <w:r w:rsidR="00F56DC6" w:rsidRPr="00FD211F">
        <w:rPr>
          <w:sz w:val="36"/>
          <w:szCs w:val="36"/>
          <w:rtl/>
        </w:rPr>
        <w:t>الفرعي</w:t>
      </w:r>
      <w:r w:rsidR="00E8128F">
        <w:rPr>
          <w:sz w:val="36"/>
          <w:szCs w:val="36"/>
          <w:rtl/>
        </w:rPr>
        <w:t xml:space="preserve"> </w:t>
      </w:r>
      <w:r w:rsidR="00F56DC6" w:rsidRPr="00FD211F">
        <w:rPr>
          <w:sz w:val="36"/>
          <w:szCs w:val="36"/>
          <w:rtl/>
        </w:rPr>
        <w:t>الكلي</w:t>
      </w:r>
      <w:r w:rsidR="00E8128F">
        <w:rPr>
          <w:sz w:val="36"/>
          <w:szCs w:val="36"/>
          <w:rtl/>
        </w:rPr>
        <w:t xml:space="preserve"> </w:t>
      </w:r>
      <w:r w:rsidR="00F56DC6" w:rsidRPr="00FD211F">
        <w:rPr>
          <w:sz w:val="36"/>
          <w:szCs w:val="36"/>
          <w:rtl/>
        </w:rPr>
        <w:t>وهو</w:t>
      </w:r>
      <w:r w:rsidR="00E8128F">
        <w:rPr>
          <w:sz w:val="36"/>
          <w:szCs w:val="36"/>
          <w:rtl/>
        </w:rPr>
        <w:t xml:space="preserve"> </w:t>
      </w:r>
      <w:r w:rsidR="00F56DC6" w:rsidRPr="00FD211F">
        <w:rPr>
          <w:sz w:val="36"/>
          <w:szCs w:val="36"/>
          <w:rtl/>
        </w:rPr>
        <w:t>وجوب</w:t>
      </w:r>
      <w:r w:rsidR="00E8128F">
        <w:rPr>
          <w:sz w:val="36"/>
          <w:szCs w:val="36"/>
          <w:rtl/>
        </w:rPr>
        <w:t xml:space="preserve"> </w:t>
      </w:r>
      <w:r w:rsidR="00F56DC6" w:rsidRPr="00FD211F">
        <w:rPr>
          <w:sz w:val="36"/>
          <w:szCs w:val="36"/>
          <w:rtl/>
        </w:rPr>
        <w:t>صلا</w:t>
      </w:r>
      <w:r w:rsidR="00EC7EDF" w:rsidRPr="00FD211F">
        <w:rPr>
          <w:sz w:val="36"/>
          <w:szCs w:val="36"/>
          <w:rtl/>
        </w:rPr>
        <w:t>ة</w:t>
      </w:r>
      <w:r w:rsidR="00E8128F">
        <w:rPr>
          <w:sz w:val="36"/>
          <w:szCs w:val="36"/>
          <w:rtl/>
        </w:rPr>
        <w:t xml:space="preserve"> </w:t>
      </w:r>
      <w:r w:rsidR="00F56DC6" w:rsidRPr="00FD211F">
        <w:rPr>
          <w:sz w:val="36"/>
          <w:szCs w:val="36"/>
          <w:rtl/>
        </w:rPr>
        <w:t>الجمع</w:t>
      </w:r>
      <w:r w:rsidR="00EC7EDF" w:rsidRPr="00FD211F">
        <w:rPr>
          <w:sz w:val="36"/>
          <w:szCs w:val="36"/>
          <w:rtl/>
        </w:rPr>
        <w:t>ة</w:t>
      </w:r>
      <w:r w:rsidR="00E8128F">
        <w:rPr>
          <w:sz w:val="36"/>
          <w:szCs w:val="36"/>
          <w:rtl/>
        </w:rPr>
        <w:t xml:space="preserve"> </w:t>
      </w:r>
      <w:r w:rsidR="00F56DC6" w:rsidRPr="00FD211F">
        <w:rPr>
          <w:sz w:val="36"/>
          <w:szCs w:val="36"/>
          <w:rtl/>
        </w:rPr>
        <w:t>بلاحاج</w:t>
      </w:r>
      <w:r w:rsidR="00EC7EDF" w:rsidRPr="00FD211F">
        <w:rPr>
          <w:sz w:val="36"/>
          <w:szCs w:val="36"/>
          <w:rtl/>
        </w:rPr>
        <w:t>ة</w:t>
      </w:r>
      <w:r w:rsidR="00E8128F">
        <w:rPr>
          <w:sz w:val="36"/>
          <w:szCs w:val="36"/>
          <w:rtl/>
        </w:rPr>
        <w:t xml:space="preserve"> </w:t>
      </w:r>
      <w:r w:rsidR="00F56DC6" w:rsidRPr="00FD211F">
        <w:rPr>
          <w:sz w:val="36"/>
          <w:szCs w:val="36"/>
          <w:rtl/>
        </w:rPr>
        <w:t>الى</w:t>
      </w:r>
      <w:r w:rsidR="00E8128F">
        <w:rPr>
          <w:sz w:val="36"/>
          <w:szCs w:val="36"/>
          <w:rtl/>
        </w:rPr>
        <w:t xml:space="preserve"> </w:t>
      </w:r>
      <w:r w:rsidR="00F56DC6" w:rsidRPr="00FD211F">
        <w:rPr>
          <w:sz w:val="36"/>
          <w:szCs w:val="36"/>
          <w:rtl/>
        </w:rPr>
        <w:t>توسيط</w:t>
      </w:r>
      <w:r w:rsidR="00E8128F">
        <w:rPr>
          <w:sz w:val="36"/>
          <w:szCs w:val="36"/>
          <w:rtl/>
        </w:rPr>
        <w:t xml:space="preserve"> </w:t>
      </w:r>
      <w:r w:rsidR="00F56DC6" w:rsidRPr="00FD211F">
        <w:rPr>
          <w:sz w:val="36"/>
          <w:szCs w:val="36"/>
          <w:rtl/>
        </w:rPr>
        <w:t>كبرى</w:t>
      </w:r>
      <w:r w:rsidR="00E8128F">
        <w:rPr>
          <w:sz w:val="36"/>
          <w:szCs w:val="36"/>
          <w:rtl/>
        </w:rPr>
        <w:t xml:space="preserve"> </w:t>
      </w:r>
      <w:r w:rsidR="00F56DC6" w:rsidRPr="00FD211F">
        <w:rPr>
          <w:sz w:val="36"/>
          <w:szCs w:val="36"/>
          <w:rtl/>
        </w:rPr>
        <w:t>أخرى.</w:t>
      </w:r>
    </w:p>
    <w:p w14:paraId="4A5857F8" w14:textId="77777777" w:rsidR="00954659" w:rsidRPr="00FD211F" w:rsidRDefault="00F56DC6" w:rsidP="009C58C8">
      <w:pPr>
        <w:ind w:left="0" w:firstLine="227"/>
        <w:jc w:val="both"/>
        <w:rPr>
          <w:sz w:val="36"/>
          <w:szCs w:val="36"/>
          <w:rtl/>
        </w:rPr>
      </w:pPr>
      <w:r w:rsidRPr="00FD211F">
        <w:rPr>
          <w:sz w:val="36"/>
          <w:szCs w:val="36"/>
          <w:rtl/>
        </w:rPr>
        <w:t>ولأجل</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حكم</w:t>
      </w:r>
      <w:r w:rsidR="00E8128F">
        <w:rPr>
          <w:sz w:val="36"/>
          <w:szCs w:val="36"/>
          <w:rtl/>
        </w:rPr>
        <w:t xml:space="preserve"> </w:t>
      </w:r>
      <w:r w:rsidR="00D578C9" w:rsidRPr="00FD211F">
        <w:rPr>
          <w:sz w:val="36"/>
          <w:szCs w:val="36"/>
          <w:rtl/>
        </w:rPr>
        <w:t>"</w:t>
      </w:r>
      <w:r w:rsidRPr="00FD211F">
        <w:rPr>
          <w:sz w:val="36"/>
          <w:szCs w:val="36"/>
          <w:rtl/>
        </w:rPr>
        <w:t>قده</w:t>
      </w:r>
      <w:r w:rsidR="00D578C9" w:rsidRPr="00FD211F">
        <w:rPr>
          <w:sz w:val="36"/>
          <w:szCs w:val="36"/>
          <w:rtl/>
        </w:rPr>
        <w:t>"</w:t>
      </w:r>
      <w:r w:rsidR="00E8128F">
        <w:rPr>
          <w:sz w:val="36"/>
          <w:szCs w:val="36"/>
          <w:rtl/>
        </w:rPr>
        <w:t xml:space="preserve"> </w:t>
      </w:r>
      <w:r w:rsidRPr="00FD211F">
        <w:rPr>
          <w:sz w:val="36"/>
          <w:szCs w:val="36"/>
          <w:rtl/>
        </w:rPr>
        <w:t>بخروج</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الالفاظ</w:t>
      </w:r>
      <w:r w:rsidR="00E8128F">
        <w:rPr>
          <w:sz w:val="36"/>
          <w:szCs w:val="36"/>
          <w:rtl/>
        </w:rPr>
        <w:t xml:space="preserve"> </w:t>
      </w:r>
      <w:r w:rsidRPr="00FD211F">
        <w:rPr>
          <w:sz w:val="36"/>
          <w:szCs w:val="36"/>
          <w:rtl/>
        </w:rPr>
        <w:t>كالبحث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ظهور</w:t>
      </w:r>
      <w:r w:rsidR="00E8128F">
        <w:rPr>
          <w:sz w:val="36"/>
          <w:szCs w:val="36"/>
          <w:rtl/>
        </w:rPr>
        <w:t xml:space="preserve"> </w:t>
      </w:r>
      <w:r w:rsidRPr="00FD211F">
        <w:rPr>
          <w:sz w:val="36"/>
          <w:szCs w:val="36"/>
          <w:rtl/>
        </w:rPr>
        <w:t>صيغ</w:t>
      </w:r>
      <w:r w:rsidR="00EC7EDF" w:rsidRPr="00FD211F">
        <w:rPr>
          <w:sz w:val="36"/>
          <w:szCs w:val="36"/>
          <w:rtl/>
        </w:rPr>
        <w:t>ة</w:t>
      </w:r>
      <w:r w:rsidR="00E8128F">
        <w:rPr>
          <w:sz w:val="36"/>
          <w:szCs w:val="36"/>
          <w:rtl/>
        </w:rPr>
        <w:t xml:space="preserve"> </w:t>
      </w:r>
      <w:r w:rsidR="0090224F" w:rsidRPr="00FD211F">
        <w:rPr>
          <w:sz w:val="36"/>
          <w:szCs w:val="36"/>
          <w:rtl/>
        </w:rPr>
        <w:t>الأمر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الوجوب</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ظهور</w:t>
      </w:r>
      <w:r w:rsidR="00E8128F">
        <w:rPr>
          <w:sz w:val="36"/>
          <w:szCs w:val="36"/>
          <w:rtl/>
        </w:rPr>
        <w:t xml:space="preserve"> </w:t>
      </w:r>
      <w:r w:rsidRPr="00FD211F">
        <w:rPr>
          <w:sz w:val="36"/>
          <w:szCs w:val="36"/>
          <w:rtl/>
        </w:rPr>
        <w:t>الجمل</w:t>
      </w:r>
      <w:r w:rsidR="00EC7EDF" w:rsidRPr="00FD211F">
        <w:rPr>
          <w:sz w:val="36"/>
          <w:szCs w:val="36"/>
          <w:rtl/>
        </w:rPr>
        <w:t>ة</w:t>
      </w:r>
      <w:r w:rsidR="00E8128F">
        <w:rPr>
          <w:sz w:val="36"/>
          <w:szCs w:val="36"/>
          <w:rtl/>
        </w:rPr>
        <w:t xml:space="preserve"> </w:t>
      </w:r>
      <w:r w:rsidRPr="00FD211F">
        <w:rPr>
          <w:sz w:val="36"/>
          <w:szCs w:val="36"/>
          <w:rtl/>
        </w:rPr>
        <w:t>الشرطي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المفهوم</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603323" w:rsidRPr="00FD211F">
        <w:rPr>
          <w:sz w:val="36"/>
          <w:szCs w:val="36"/>
          <w:rtl/>
        </w:rPr>
        <w:t>،</w:t>
      </w:r>
      <w:r w:rsidR="00E8128F">
        <w:rPr>
          <w:sz w:val="36"/>
          <w:szCs w:val="36"/>
          <w:rtl/>
        </w:rPr>
        <w:t xml:space="preserve"> </w:t>
      </w:r>
      <w:r w:rsidRPr="00FD211F">
        <w:rPr>
          <w:sz w:val="36"/>
          <w:szCs w:val="36"/>
          <w:rtl/>
        </w:rPr>
        <w:t>لأنها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انضم</w:t>
      </w:r>
      <w:r w:rsidR="00E8128F">
        <w:rPr>
          <w:sz w:val="36"/>
          <w:szCs w:val="36"/>
          <w:rtl/>
        </w:rPr>
        <w:t xml:space="preserve"> </w:t>
      </w:r>
      <w:r w:rsidRPr="00FD211F">
        <w:rPr>
          <w:sz w:val="36"/>
          <w:szCs w:val="36"/>
          <w:rtl/>
        </w:rPr>
        <w:t>اليها</w:t>
      </w:r>
      <w:r w:rsidR="00E8128F">
        <w:rPr>
          <w:sz w:val="36"/>
          <w:szCs w:val="36"/>
          <w:rtl/>
        </w:rPr>
        <w:t xml:space="preserve"> </w:t>
      </w:r>
      <w:r w:rsidRPr="00FD211F">
        <w:rPr>
          <w:sz w:val="36"/>
          <w:szCs w:val="36"/>
          <w:rtl/>
        </w:rPr>
        <w:t>صغرياتها</w:t>
      </w:r>
      <w:r w:rsidR="00E8128F">
        <w:rPr>
          <w:sz w:val="36"/>
          <w:szCs w:val="36"/>
          <w:rtl/>
        </w:rPr>
        <w:t xml:space="preserve"> </w:t>
      </w:r>
      <w:r w:rsidRPr="00FD211F">
        <w:rPr>
          <w:sz w:val="36"/>
          <w:szCs w:val="36"/>
          <w:rtl/>
        </w:rPr>
        <w:t>فمع</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لاتكفي</w:t>
      </w:r>
      <w:r w:rsidR="00E8128F">
        <w:rPr>
          <w:sz w:val="36"/>
          <w:szCs w:val="36"/>
          <w:rtl/>
        </w:rPr>
        <w:t xml:space="preserve"> </w:t>
      </w:r>
      <w:r w:rsidRPr="00FD211F">
        <w:rPr>
          <w:sz w:val="36"/>
          <w:szCs w:val="36"/>
          <w:rtl/>
        </w:rPr>
        <w:t>لاستنتاج</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الفرعي</w:t>
      </w:r>
      <w:r w:rsidR="00E8128F">
        <w:rPr>
          <w:sz w:val="36"/>
          <w:szCs w:val="36"/>
          <w:rtl/>
        </w:rPr>
        <w:t xml:space="preserve"> </w:t>
      </w:r>
      <w:r w:rsidRPr="00FD211F">
        <w:rPr>
          <w:sz w:val="36"/>
          <w:szCs w:val="36"/>
          <w:rtl/>
        </w:rPr>
        <w:t>الكلي</w:t>
      </w:r>
      <w:r w:rsidR="00E8128F">
        <w:rPr>
          <w:sz w:val="36"/>
          <w:szCs w:val="36"/>
          <w:rtl/>
        </w:rPr>
        <w:t xml:space="preserve"> </w:t>
      </w:r>
      <w:r w:rsidRPr="00FD211F">
        <w:rPr>
          <w:sz w:val="36"/>
          <w:szCs w:val="36"/>
          <w:rtl/>
        </w:rPr>
        <w:t>منها</w:t>
      </w:r>
      <w:r w:rsidR="00E8128F">
        <w:rPr>
          <w:sz w:val="36"/>
          <w:szCs w:val="36"/>
          <w:rtl/>
        </w:rPr>
        <w:t xml:space="preserve"> </w:t>
      </w:r>
      <w:r w:rsidRPr="00FD211F">
        <w:rPr>
          <w:sz w:val="36"/>
          <w:szCs w:val="36"/>
          <w:rtl/>
        </w:rPr>
        <w:t>ما</w:t>
      </w:r>
      <w:r w:rsidR="00E8128F">
        <w:rPr>
          <w:sz w:val="36"/>
          <w:szCs w:val="36"/>
          <w:rtl/>
        </w:rPr>
        <w:t xml:space="preserve"> </w:t>
      </w:r>
      <w:r w:rsidR="008D7B3D" w:rsidRPr="00FD211F">
        <w:rPr>
          <w:sz w:val="36"/>
          <w:szCs w:val="36"/>
          <w:rtl/>
        </w:rPr>
        <w:t>لم‌</w:t>
      </w:r>
      <w:r w:rsidRPr="00FD211F">
        <w:rPr>
          <w:sz w:val="36"/>
          <w:szCs w:val="36"/>
          <w:rtl/>
        </w:rPr>
        <w:t>يضم</w:t>
      </w:r>
      <w:r w:rsidR="00E8128F">
        <w:rPr>
          <w:sz w:val="36"/>
          <w:szCs w:val="36"/>
          <w:rtl/>
        </w:rPr>
        <w:t xml:space="preserve"> </w:t>
      </w:r>
      <w:r w:rsidRPr="00FD211F">
        <w:rPr>
          <w:sz w:val="36"/>
          <w:szCs w:val="36"/>
          <w:rtl/>
        </w:rPr>
        <w:t>اليها</w:t>
      </w:r>
      <w:r w:rsidR="00E8128F">
        <w:rPr>
          <w:sz w:val="36"/>
          <w:szCs w:val="36"/>
          <w:rtl/>
        </w:rPr>
        <w:t xml:space="preserve"> </w:t>
      </w:r>
      <w:r w:rsidRPr="00FD211F">
        <w:rPr>
          <w:sz w:val="36"/>
          <w:szCs w:val="36"/>
          <w:rtl/>
        </w:rPr>
        <w:t>كبرى</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الظهور</w:t>
      </w:r>
      <w:r w:rsidR="00603323" w:rsidRPr="00FD211F">
        <w:rPr>
          <w:sz w:val="36"/>
          <w:szCs w:val="36"/>
          <w:rtl/>
        </w:rPr>
        <w:t>،</w:t>
      </w:r>
      <w:r w:rsidR="00E8128F">
        <w:rPr>
          <w:sz w:val="36"/>
          <w:szCs w:val="36"/>
          <w:rtl/>
        </w:rPr>
        <w:t xml:space="preserve"> </w:t>
      </w:r>
      <w:r w:rsidR="00833497" w:rsidRPr="00FD211F">
        <w:rPr>
          <w:sz w:val="36"/>
          <w:szCs w:val="36"/>
          <w:rtl/>
        </w:rPr>
        <w:t>وانما</w:t>
      </w:r>
      <w:r w:rsidR="00E8128F">
        <w:rPr>
          <w:sz w:val="36"/>
          <w:szCs w:val="36"/>
          <w:rtl/>
        </w:rPr>
        <w:t xml:space="preserve"> </w:t>
      </w:r>
      <w:r w:rsidR="00833497" w:rsidRPr="00FD211F">
        <w:rPr>
          <w:sz w:val="36"/>
          <w:szCs w:val="36"/>
          <w:rtl/>
        </w:rPr>
        <w:t>وقع</w:t>
      </w:r>
      <w:r w:rsidR="00E8128F">
        <w:rPr>
          <w:sz w:val="36"/>
          <w:szCs w:val="36"/>
          <w:rtl/>
        </w:rPr>
        <w:t xml:space="preserve"> </w:t>
      </w:r>
      <w:r w:rsidR="00833497" w:rsidRPr="00FD211F">
        <w:rPr>
          <w:sz w:val="36"/>
          <w:szCs w:val="36"/>
          <w:rtl/>
        </w:rPr>
        <w:t>البحث</w:t>
      </w:r>
      <w:r w:rsidR="00E8128F">
        <w:rPr>
          <w:sz w:val="36"/>
          <w:szCs w:val="36"/>
          <w:rtl/>
        </w:rPr>
        <w:t xml:space="preserve"> </w:t>
      </w:r>
      <w:r w:rsidR="00833497" w:rsidRPr="00FD211F">
        <w:rPr>
          <w:sz w:val="36"/>
          <w:szCs w:val="36"/>
          <w:rtl/>
        </w:rPr>
        <w:t>عنها</w:t>
      </w:r>
      <w:r w:rsidR="00E8128F">
        <w:rPr>
          <w:sz w:val="36"/>
          <w:szCs w:val="36"/>
          <w:rtl/>
        </w:rPr>
        <w:t xml:space="preserve"> </w:t>
      </w:r>
      <w:r w:rsidR="00833497" w:rsidRPr="00FD211F">
        <w:rPr>
          <w:sz w:val="36"/>
          <w:szCs w:val="36"/>
          <w:rtl/>
        </w:rPr>
        <w:t>في</w:t>
      </w:r>
      <w:r w:rsidR="00E8128F">
        <w:rPr>
          <w:sz w:val="36"/>
          <w:szCs w:val="36"/>
          <w:rtl/>
        </w:rPr>
        <w:t xml:space="preserve"> </w:t>
      </w:r>
      <w:r w:rsidR="00833497" w:rsidRPr="00FD211F">
        <w:rPr>
          <w:sz w:val="36"/>
          <w:szCs w:val="36"/>
          <w:rtl/>
        </w:rPr>
        <w:t>علم</w:t>
      </w:r>
      <w:r w:rsidR="00E8128F">
        <w:rPr>
          <w:sz w:val="36"/>
          <w:szCs w:val="36"/>
          <w:rtl/>
        </w:rPr>
        <w:t xml:space="preserve"> </w:t>
      </w:r>
      <w:r w:rsidR="00833497" w:rsidRPr="00FD211F">
        <w:rPr>
          <w:sz w:val="36"/>
          <w:szCs w:val="36"/>
          <w:rtl/>
        </w:rPr>
        <w:t>الاصول</w:t>
      </w:r>
      <w:r w:rsidR="00E8128F">
        <w:rPr>
          <w:sz w:val="36"/>
          <w:szCs w:val="36"/>
          <w:rtl/>
        </w:rPr>
        <w:t xml:space="preserve"> </w:t>
      </w:r>
      <w:r w:rsidRPr="00FD211F">
        <w:rPr>
          <w:sz w:val="36"/>
          <w:szCs w:val="36"/>
          <w:rtl/>
        </w:rPr>
        <w:t>لعدم</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عنه</w:t>
      </w:r>
      <w:r w:rsidR="00833497" w:rsidRPr="00FD211F">
        <w:rPr>
          <w:sz w:val="36"/>
          <w:szCs w:val="36"/>
          <w:rtl/>
        </w:rPr>
        <w:t>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آخر</w:t>
      </w:r>
      <w:r w:rsidR="00603323" w:rsidRPr="00FD211F">
        <w:rPr>
          <w:sz w:val="36"/>
          <w:szCs w:val="36"/>
          <w:rtl/>
        </w:rPr>
        <w:t>،</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انه</w:t>
      </w:r>
      <w:r w:rsidR="00E8128F">
        <w:rPr>
          <w:sz w:val="36"/>
          <w:szCs w:val="36"/>
          <w:rtl/>
        </w:rPr>
        <w:t xml:space="preserve"> </w:t>
      </w:r>
      <w:r w:rsidR="00A61BAE" w:rsidRPr="00FD211F">
        <w:rPr>
          <w:sz w:val="36"/>
          <w:szCs w:val="36"/>
          <w:rtl/>
        </w:rPr>
        <w:t>"قده"</w:t>
      </w:r>
      <w:r w:rsidR="00E8128F">
        <w:rPr>
          <w:sz w:val="36"/>
          <w:szCs w:val="36"/>
          <w:rtl/>
        </w:rPr>
        <w:t xml:space="preserve"> </w:t>
      </w:r>
      <w:r w:rsidR="00833497" w:rsidRPr="00FD211F">
        <w:rPr>
          <w:sz w:val="36"/>
          <w:szCs w:val="36"/>
          <w:rtl/>
        </w:rPr>
        <w:t>بنفسه</w:t>
      </w:r>
      <w:r w:rsidR="00E8128F">
        <w:rPr>
          <w:sz w:val="36"/>
          <w:szCs w:val="36"/>
          <w:rtl/>
        </w:rPr>
        <w:t xml:space="preserve"> </w:t>
      </w:r>
      <w:r w:rsidR="00833497" w:rsidRPr="00FD211F">
        <w:rPr>
          <w:sz w:val="36"/>
          <w:szCs w:val="36"/>
          <w:rtl/>
        </w:rPr>
        <w:t>قد</w:t>
      </w:r>
      <w:r w:rsidR="00E8128F">
        <w:rPr>
          <w:sz w:val="36"/>
          <w:szCs w:val="36"/>
          <w:rtl/>
        </w:rPr>
        <w:t xml:space="preserve"> </w:t>
      </w:r>
      <w:r w:rsidRPr="00FD211F">
        <w:rPr>
          <w:sz w:val="36"/>
          <w:szCs w:val="36"/>
          <w:rtl/>
        </w:rPr>
        <w:t>اورد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جعل</w:t>
      </w:r>
      <w:r w:rsidR="00E8128F">
        <w:rPr>
          <w:sz w:val="36"/>
          <w:szCs w:val="36"/>
          <w:rtl/>
        </w:rPr>
        <w:t xml:space="preserve"> </w:t>
      </w:r>
      <w:r w:rsidRPr="00FD211F">
        <w:rPr>
          <w:sz w:val="36"/>
          <w:szCs w:val="36"/>
          <w:rtl/>
        </w:rPr>
        <w:t>موضوع</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الأدل</w:t>
      </w:r>
      <w:r w:rsidR="00EC7EDF" w:rsidRPr="00FD211F">
        <w:rPr>
          <w:sz w:val="36"/>
          <w:szCs w:val="36"/>
          <w:rtl/>
        </w:rPr>
        <w:t>ة</w:t>
      </w:r>
      <w:r w:rsidR="00E8128F">
        <w:rPr>
          <w:sz w:val="36"/>
          <w:szCs w:val="36"/>
          <w:rtl/>
        </w:rPr>
        <w:t xml:space="preserve"> </w:t>
      </w:r>
      <w:r w:rsidRPr="00FD211F">
        <w:rPr>
          <w:sz w:val="36"/>
          <w:szCs w:val="36"/>
          <w:rtl/>
        </w:rPr>
        <w:t>الاربع</w:t>
      </w:r>
      <w:r w:rsidR="00EC7EDF" w:rsidRPr="00FD211F">
        <w:rPr>
          <w:sz w:val="36"/>
          <w:szCs w:val="36"/>
          <w:rtl/>
        </w:rPr>
        <w:t>ة</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يلزم</w:t>
      </w:r>
      <w:r w:rsidR="00E8128F">
        <w:rPr>
          <w:sz w:val="36"/>
          <w:szCs w:val="36"/>
          <w:rtl/>
        </w:rPr>
        <w:t xml:space="preserve"> </w:t>
      </w:r>
      <w:r w:rsidRPr="00FD211F">
        <w:rPr>
          <w:sz w:val="36"/>
          <w:szCs w:val="36"/>
          <w:rtl/>
        </w:rPr>
        <w:t>منه</w:t>
      </w:r>
      <w:r w:rsidR="00E8128F">
        <w:rPr>
          <w:sz w:val="36"/>
          <w:szCs w:val="36"/>
          <w:rtl/>
        </w:rPr>
        <w:t xml:space="preserve"> </w:t>
      </w:r>
      <w:r w:rsidRPr="00FD211F">
        <w:rPr>
          <w:sz w:val="36"/>
          <w:szCs w:val="36"/>
          <w:rtl/>
        </w:rPr>
        <w:t>خروج</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الالفاظ</w:t>
      </w:r>
      <w:r w:rsidR="009C58C8" w:rsidRPr="00FD211F">
        <w:rPr>
          <w:rStyle w:val="a6"/>
          <w:sz w:val="36"/>
          <w:szCs w:val="36"/>
          <w:rtl/>
        </w:rPr>
        <w:t>(</w:t>
      </w:r>
      <w:r w:rsidR="009C58C8" w:rsidRPr="00FD211F">
        <w:rPr>
          <w:rStyle w:val="a6"/>
          <w:sz w:val="36"/>
          <w:szCs w:val="36"/>
          <w:rtl/>
        </w:rPr>
        <w:footnoteReference w:id="16"/>
      </w:r>
      <w:r w:rsidR="009C58C8" w:rsidRPr="00FD211F">
        <w:rPr>
          <w:rStyle w:val="a6"/>
          <w:sz w:val="36"/>
          <w:szCs w:val="36"/>
          <w:rtl/>
        </w:rPr>
        <w:t>)</w:t>
      </w:r>
      <w:r w:rsidR="00954659" w:rsidRPr="00FD211F">
        <w:rPr>
          <w:sz w:val="36"/>
          <w:szCs w:val="36"/>
          <w:rtl/>
        </w:rPr>
        <w:t>.</w:t>
      </w:r>
    </w:p>
    <w:p w14:paraId="3A33B2CA" w14:textId="77777777" w:rsidR="00954659" w:rsidRPr="00FD211F" w:rsidRDefault="00954659" w:rsidP="009C58C8">
      <w:pPr>
        <w:ind w:left="0" w:firstLine="227"/>
        <w:jc w:val="both"/>
        <w:rPr>
          <w:sz w:val="36"/>
          <w:szCs w:val="36"/>
          <w:rtl/>
        </w:rPr>
      </w:pPr>
      <w:r w:rsidRPr="00FD211F">
        <w:rPr>
          <w:sz w:val="36"/>
          <w:szCs w:val="36"/>
          <w:rtl/>
        </w:rPr>
        <w:t>والانصاف</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الالتزام</w:t>
      </w:r>
      <w:r w:rsidR="00E8128F">
        <w:rPr>
          <w:sz w:val="36"/>
          <w:szCs w:val="36"/>
          <w:rtl/>
        </w:rPr>
        <w:t xml:space="preserve"> </w:t>
      </w:r>
      <w:r w:rsidRPr="00FD211F">
        <w:rPr>
          <w:sz w:val="36"/>
          <w:szCs w:val="36"/>
          <w:rtl/>
        </w:rPr>
        <w:t>بكون</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الالفاظ</w:t>
      </w:r>
      <w:r w:rsidR="00E8128F">
        <w:rPr>
          <w:sz w:val="36"/>
          <w:szCs w:val="36"/>
          <w:rtl/>
        </w:rPr>
        <w:t xml:space="preserve"> </w:t>
      </w:r>
      <w:r w:rsidRPr="00FD211F">
        <w:rPr>
          <w:sz w:val="36"/>
          <w:szCs w:val="36"/>
          <w:rtl/>
        </w:rPr>
        <w:t>خارجا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لاوجه</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توقف</w:t>
      </w:r>
      <w:r w:rsidR="00E8128F">
        <w:rPr>
          <w:sz w:val="36"/>
          <w:szCs w:val="36"/>
          <w:rtl/>
        </w:rPr>
        <w:t xml:space="preserve"> </w:t>
      </w:r>
      <w:r w:rsidRPr="00FD211F">
        <w:rPr>
          <w:sz w:val="36"/>
          <w:szCs w:val="36"/>
          <w:rtl/>
        </w:rPr>
        <w:t>كثير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استنباطات</w:t>
      </w:r>
      <w:r w:rsidR="00E8128F">
        <w:rPr>
          <w:sz w:val="36"/>
          <w:szCs w:val="36"/>
          <w:rtl/>
        </w:rPr>
        <w:t xml:space="preserve"> </w:t>
      </w:r>
      <w:r w:rsidRPr="00FD211F">
        <w:rPr>
          <w:sz w:val="36"/>
          <w:szCs w:val="36"/>
          <w:rtl/>
        </w:rPr>
        <w:t>الاحكام</w:t>
      </w:r>
      <w:r w:rsidR="00E8128F">
        <w:rPr>
          <w:sz w:val="36"/>
          <w:szCs w:val="36"/>
          <w:rtl/>
        </w:rPr>
        <w:t xml:space="preserve"> </w:t>
      </w:r>
      <w:r w:rsidRPr="00FD211F">
        <w:rPr>
          <w:sz w:val="36"/>
          <w:szCs w:val="36"/>
          <w:rtl/>
        </w:rPr>
        <w:t>الشرعي</w:t>
      </w:r>
      <w:r w:rsidR="00EC7EDF" w:rsidRPr="00FD211F">
        <w:rPr>
          <w:sz w:val="36"/>
          <w:szCs w:val="36"/>
          <w:rtl/>
        </w:rPr>
        <w:t>ة</w:t>
      </w:r>
      <w:r w:rsidR="00E8128F">
        <w:rPr>
          <w:sz w:val="36"/>
          <w:szCs w:val="36"/>
          <w:rtl/>
        </w:rPr>
        <w:t xml:space="preserve"> </w:t>
      </w:r>
      <w:r w:rsidRPr="00FD211F">
        <w:rPr>
          <w:sz w:val="36"/>
          <w:szCs w:val="36"/>
          <w:rtl/>
        </w:rPr>
        <w:t>عليها.</w:t>
      </w:r>
    </w:p>
    <w:p w14:paraId="6C5EC639" w14:textId="77777777" w:rsidR="005612B3" w:rsidRPr="00FD211F" w:rsidRDefault="000015B0" w:rsidP="009C58C8">
      <w:pPr>
        <w:ind w:left="0" w:firstLine="227"/>
        <w:jc w:val="both"/>
        <w:rPr>
          <w:sz w:val="36"/>
          <w:szCs w:val="36"/>
          <w:rtl/>
        </w:rPr>
      </w:pPr>
      <w:r w:rsidRPr="00FD211F">
        <w:rPr>
          <w:b/>
          <w:bCs/>
          <w:sz w:val="36"/>
          <w:szCs w:val="36"/>
          <w:rtl/>
        </w:rPr>
        <w:t>المحاول</w:t>
      </w:r>
      <w:r w:rsidR="00EC7EDF" w:rsidRPr="00FD211F">
        <w:rPr>
          <w:b/>
          <w:bCs/>
          <w:sz w:val="36"/>
          <w:szCs w:val="36"/>
          <w:rtl/>
        </w:rPr>
        <w:t>ة</w:t>
      </w:r>
      <w:r w:rsidR="00E8128F">
        <w:rPr>
          <w:b/>
          <w:bCs/>
          <w:sz w:val="36"/>
          <w:szCs w:val="36"/>
          <w:rtl/>
        </w:rPr>
        <w:t xml:space="preserve"> </w:t>
      </w:r>
      <w:r w:rsidR="00365A79" w:rsidRPr="00FD211F">
        <w:rPr>
          <w:b/>
          <w:bCs/>
          <w:sz w:val="36"/>
          <w:szCs w:val="36"/>
          <w:rtl/>
        </w:rPr>
        <w:t>الثاني</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00954659" w:rsidRPr="00FD211F">
        <w:rPr>
          <w:sz w:val="36"/>
          <w:szCs w:val="36"/>
          <w:rtl/>
        </w:rPr>
        <w:t>ما</w:t>
      </w:r>
      <w:r w:rsidR="00E8128F">
        <w:rPr>
          <w:sz w:val="36"/>
          <w:szCs w:val="36"/>
          <w:rtl/>
        </w:rPr>
        <w:t xml:space="preserve"> </w:t>
      </w:r>
      <w:r w:rsidR="00954659" w:rsidRPr="00FD211F">
        <w:rPr>
          <w:sz w:val="36"/>
          <w:szCs w:val="36"/>
          <w:rtl/>
        </w:rPr>
        <w:t>ذكره</w:t>
      </w:r>
      <w:r w:rsidR="00E8128F">
        <w:rPr>
          <w:sz w:val="36"/>
          <w:szCs w:val="36"/>
          <w:rtl/>
        </w:rPr>
        <w:t xml:space="preserve"> </w:t>
      </w:r>
      <w:r w:rsidR="00954659" w:rsidRPr="00FD211F">
        <w:rPr>
          <w:sz w:val="36"/>
          <w:szCs w:val="36"/>
          <w:rtl/>
        </w:rPr>
        <w:t>السيد</w:t>
      </w:r>
      <w:r w:rsidR="00E8128F">
        <w:rPr>
          <w:sz w:val="36"/>
          <w:szCs w:val="36"/>
          <w:rtl/>
        </w:rPr>
        <w:t xml:space="preserve"> </w:t>
      </w:r>
      <w:r w:rsidR="00954659" w:rsidRPr="00FD211F">
        <w:rPr>
          <w:sz w:val="36"/>
          <w:szCs w:val="36"/>
          <w:rtl/>
        </w:rPr>
        <w:t>الخوئي</w:t>
      </w:r>
      <w:r w:rsidR="00E8128F">
        <w:rPr>
          <w:sz w:val="36"/>
          <w:szCs w:val="36"/>
          <w:rtl/>
        </w:rPr>
        <w:t xml:space="preserve"> </w:t>
      </w:r>
      <w:r w:rsidR="00D578C9" w:rsidRPr="00FD211F">
        <w:rPr>
          <w:sz w:val="36"/>
          <w:szCs w:val="36"/>
          <w:rtl/>
        </w:rPr>
        <w:t>"</w:t>
      </w:r>
      <w:r w:rsidR="00954659" w:rsidRPr="00FD211F">
        <w:rPr>
          <w:sz w:val="36"/>
          <w:szCs w:val="36"/>
          <w:rtl/>
        </w:rPr>
        <w:t>قده</w:t>
      </w:r>
      <w:r w:rsidR="00D578C9" w:rsidRPr="00FD211F">
        <w:rPr>
          <w:sz w:val="36"/>
          <w:szCs w:val="36"/>
          <w:rtl/>
        </w:rPr>
        <w:t>"</w:t>
      </w:r>
      <w:r w:rsidR="00E8128F">
        <w:rPr>
          <w:sz w:val="36"/>
          <w:szCs w:val="36"/>
          <w:rtl/>
        </w:rPr>
        <w:t xml:space="preserve"> </w:t>
      </w:r>
      <w:r w:rsidR="00954659" w:rsidRPr="00FD211F">
        <w:rPr>
          <w:sz w:val="36"/>
          <w:szCs w:val="36"/>
          <w:rtl/>
        </w:rPr>
        <w:t>من</w:t>
      </w:r>
      <w:r w:rsidR="00E8128F">
        <w:rPr>
          <w:sz w:val="36"/>
          <w:szCs w:val="36"/>
          <w:rtl/>
        </w:rPr>
        <w:t xml:space="preserve"> </w:t>
      </w:r>
      <w:r w:rsidR="00954659" w:rsidRPr="00FD211F">
        <w:rPr>
          <w:sz w:val="36"/>
          <w:szCs w:val="36"/>
          <w:rtl/>
        </w:rPr>
        <w:t>ان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هو</w:t>
      </w:r>
      <w:r w:rsidR="00E8128F">
        <w:rPr>
          <w:sz w:val="36"/>
          <w:szCs w:val="36"/>
          <w:rtl/>
        </w:rPr>
        <w:t xml:space="preserve"> </w:t>
      </w:r>
      <w:r w:rsidR="00954659" w:rsidRPr="00FD211F">
        <w:rPr>
          <w:sz w:val="36"/>
          <w:szCs w:val="36"/>
          <w:rtl/>
        </w:rPr>
        <w:t>العلم</w:t>
      </w:r>
      <w:r w:rsidR="00E8128F">
        <w:rPr>
          <w:sz w:val="36"/>
          <w:szCs w:val="36"/>
          <w:rtl/>
        </w:rPr>
        <w:t xml:space="preserve"> </w:t>
      </w:r>
      <w:r w:rsidR="00954659" w:rsidRPr="00FD211F">
        <w:rPr>
          <w:sz w:val="36"/>
          <w:szCs w:val="36"/>
          <w:rtl/>
        </w:rPr>
        <w:t>بالقواعد</w:t>
      </w:r>
      <w:r w:rsidR="00E8128F">
        <w:rPr>
          <w:sz w:val="36"/>
          <w:szCs w:val="36"/>
          <w:rtl/>
        </w:rPr>
        <w:t xml:space="preserve"> </w:t>
      </w:r>
      <w:r w:rsidR="00954659" w:rsidRPr="00FD211F">
        <w:rPr>
          <w:sz w:val="36"/>
          <w:szCs w:val="36"/>
          <w:rtl/>
        </w:rPr>
        <w:t>التي</w:t>
      </w:r>
      <w:r w:rsidR="00E8128F">
        <w:rPr>
          <w:sz w:val="36"/>
          <w:szCs w:val="36"/>
          <w:rtl/>
        </w:rPr>
        <w:t xml:space="preserve"> </w:t>
      </w:r>
      <w:r w:rsidR="00954659" w:rsidRPr="00FD211F">
        <w:rPr>
          <w:sz w:val="36"/>
          <w:szCs w:val="36"/>
          <w:rtl/>
        </w:rPr>
        <w:t>تقع</w:t>
      </w:r>
      <w:r w:rsidR="00E8128F">
        <w:rPr>
          <w:sz w:val="36"/>
          <w:szCs w:val="36"/>
          <w:rtl/>
        </w:rPr>
        <w:t xml:space="preserve"> </w:t>
      </w:r>
      <w:r w:rsidR="00954659" w:rsidRPr="00FD211F">
        <w:rPr>
          <w:sz w:val="36"/>
          <w:szCs w:val="36"/>
          <w:rtl/>
        </w:rPr>
        <w:t>بنفسها</w:t>
      </w:r>
      <w:r w:rsidR="00E8128F">
        <w:rPr>
          <w:sz w:val="36"/>
          <w:szCs w:val="36"/>
          <w:rtl/>
        </w:rPr>
        <w:t xml:space="preserve"> </w:t>
      </w:r>
      <w:r w:rsidR="00954659" w:rsidRPr="00FD211F">
        <w:rPr>
          <w:sz w:val="36"/>
          <w:szCs w:val="36"/>
          <w:rtl/>
        </w:rPr>
        <w:t>في</w:t>
      </w:r>
      <w:r w:rsidR="00E8128F">
        <w:rPr>
          <w:sz w:val="36"/>
          <w:szCs w:val="36"/>
          <w:rtl/>
        </w:rPr>
        <w:t xml:space="preserve"> </w:t>
      </w:r>
      <w:r w:rsidR="00954659" w:rsidRPr="00FD211F">
        <w:rPr>
          <w:sz w:val="36"/>
          <w:szCs w:val="36"/>
          <w:rtl/>
        </w:rPr>
        <w:t>طريق</w:t>
      </w:r>
      <w:r w:rsidR="00E8128F">
        <w:rPr>
          <w:sz w:val="36"/>
          <w:szCs w:val="36"/>
          <w:rtl/>
        </w:rPr>
        <w:t xml:space="preserve"> </w:t>
      </w:r>
      <w:r w:rsidR="00954659" w:rsidRPr="00FD211F">
        <w:rPr>
          <w:sz w:val="36"/>
          <w:szCs w:val="36"/>
          <w:rtl/>
        </w:rPr>
        <w:t>استنباط</w:t>
      </w:r>
      <w:r w:rsidR="00E8128F">
        <w:rPr>
          <w:sz w:val="36"/>
          <w:szCs w:val="36"/>
          <w:rtl/>
        </w:rPr>
        <w:t xml:space="preserve"> </w:t>
      </w:r>
      <w:r w:rsidR="00954659" w:rsidRPr="00FD211F">
        <w:rPr>
          <w:sz w:val="36"/>
          <w:szCs w:val="36"/>
          <w:rtl/>
        </w:rPr>
        <w:t>الأحكام</w:t>
      </w:r>
      <w:r w:rsidR="00E8128F">
        <w:rPr>
          <w:sz w:val="36"/>
          <w:szCs w:val="36"/>
          <w:rtl/>
        </w:rPr>
        <w:t xml:space="preserve"> </w:t>
      </w:r>
      <w:r w:rsidR="00954659" w:rsidRPr="00FD211F">
        <w:rPr>
          <w:sz w:val="36"/>
          <w:szCs w:val="36"/>
          <w:rtl/>
        </w:rPr>
        <w:lastRenderedPageBreak/>
        <w:t>الشرعي</w:t>
      </w:r>
      <w:r w:rsidR="00EC7EDF" w:rsidRPr="00FD211F">
        <w:rPr>
          <w:sz w:val="36"/>
          <w:szCs w:val="36"/>
          <w:rtl/>
        </w:rPr>
        <w:t>ة</w:t>
      </w:r>
      <w:r w:rsidR="00E8128F">
        <w:rPr>
          <w:sz w:val="36"/>
          <w:szCs w:val="36"/>
          <w:rtl/>
        </w:rPr>
        <w:t xml:space="preserve"> </w:t>
      </w:r>
      <w:r w:rsidR="00954659" w:rsidRPr="00FD211F">
        <w:rPr>
          <w:sz w:val="36"/>
          <w:szCs w:val="36"/>
          <w:rtl/>
        </w:rPr>
        <w:t>الكلي</w:t>
      </w:r>
      <w:r w:rsidR="00EC7EDF" w:rsidRPr="00FD211F">
        <w:rPr>
          <w:sz w:val="36"/>
          <w:szCs w:val="36"/>
          <w:rtl/>
        </w:rPr>
        <w:t>ة</w:t>
      </w:r>
      <w:r w:rsidR="00E8128F">
        <w:rPr>
          <w:sz w:val="36"/>
          <w:szCs w:val="36"/>
          <w:rtl/>
        </w:rPr>
        <w:t xml:space="preserve"> </w:t>
      </w:r>
      <w:r w:rsidR="00954659" w:rsidRPr="00FD211F">
        <w:rPr>
          <w:sz w:val="36"/>
          <w:szCs w:val="36"/>
          <w:rtl/>
        </w:rPr>
        <w:t>من</w:t>
      </w:r>
      <w:r w:rsidR="00E8128F">
        <w:rPr>
          <w:sz w:val="36"/>
          <w:szCs w:val="36"/>
          <w:rtl/>
        </w:rPr>
        <w:t xml:space="preserve"> </w:t>
      </w:r>
      <w:r w:rsidR="00954659" w:rsidRPr="00FD211F">
        <w:rPr>
          <w:sz w:val="36"/>
          <w:szCs w:val="36"/>
          <w:rtl/>
        </w:rPr>
        <w:t>دون</w:t>
      </w:r>
      <w:r w:rsidR="00E8128F">
        <w:rPr>
          <w:sz w:val="36"/>
          <w:szCs w:val="36"/>
          <w:rtl/>
        </w:rPr>
        <w:t xml:space="preserve"> </w:t>
      </w:r>
      <w:r w:rsidR="00954659" w:rsidRPr="00FD211F">
        <w:rPr>
          <w:sz w:val="36"/>
          <w:szCs w:val="36"/>
          <w:rtl/>
        </w:rPr>
        <w:t>حاج</w:t>
      </w:r>
      <w:r w:rsidR="00EC7EDF" w:rsidRPr="00FD211F">
        <w:rPr>
          <w:sz w:val="36"/>
          <w:szCs w:val="36"/>
          <w:rtl/>
        </w:rPr>
        <w:t>ة</w:t>
      </w:r>
      <w:r w:rsidR="00E8128F">
        <w:rPr>
          <w:sz w:val="36"/>
          <w:szCs w:val="36"/>
          <w:rtl/>
        </w:rPr>
        <w:t xml:space="preserve"> </w:t>
      </w:r>
      <w:r w:rsidR="00954659" w:rsidRPr="00FD211F">
        <w:rPr>
          <w:sz w:val="36"/>
          <w:szCs w:val="36"/>
          <w:rtl/>
        </w:rPr>
        <w:t>الى</w:t>
      </w:r>
      <w:r w:rsidR="00E8128F">
        <w:rPr>
          <w:sz w:val="36"/>
          <w:szCs w:val="36"/>
          <w:rtl/>
        </w:rPr>
        <w:t xml:space="preserve"> </w:t>
      </w:r>
      <w:r w:rsidR="00954659" w:rsidRPr="00FD211F">
        <w:rPr>
          <w:sz w:val="36"/>
          <w:szCs w:val="36"/>
          <w:rtl/>
        </w:rPr>
        <w:t>ضميم</w:t>
      </w:r>
      <w:r w:rsidR="00EC7EDF" w:rsidRPr="00FD211F">
        <w:rPr>
          <w:sz w:val="36"/>
          <w:szCs w:val="36"/>
          <w:rtl/>
        </w:rPr>
        <w:t>ة</w:t>
      </w:r>
      <w:r w:rsidR="00E8128F">
        <w:rPr>
          <w:sz w:val="36"/>
          <w:szCs w:val="36"/>
          <w:rtl/>
        </w:rPr>
        <w:t xml:space="preserve"> </w:t>
      </w:r>
      <w:r w:rsidR="00954659" w:rsidRPr="00FD211F">
        <w:rPr>
          <w:sz w:val="36"/>
          <w:szCs w:val="36"/>
          <w:rtl/>
        </w:rPr>
        <w:t>كبرى</w:t>
      </w:r>
      <w:r w:rsidR="00E8128F">
        <w:rPr>
          <w:sz w:val="36"/>
          <w:szCs w:val="36"/>
          <w:rtl/>
        </w:rPr>
        <w:t xml:space="preserve"> </w:t>
      </w:r>
      <w:r w:rsidR="00954659" w:rsidRPr="00FD211F">
        <w:rPr>
          <w:sz w:val="36"/>
          <w:szCs w:val="36"/>
          <w:rtl/>
        </w:rPr>
        <w:t>او</w:t>
      </w:r>
      <w:r w:rsidR="00E8128F">
        <w:rPr>
          <w:sz w:val="36"/>
          <w:szCs w:val="36"/>
          <w:rtl/>
        </w:rPr>
        <w:t xml:space="preserve"> </w:t>
      </w:r>
      <w:r w:rsidR="00954659" w:rsidRPr="00FD211F">
        <w:rPr>
          <w:sz w:val="36"/>
          <w:szCs w:val="36"/>
          <w:rtl/>
        </w:rPr>
        <w:t>صغرى</w:t>
      </w:r>
      <w:r w:rsidR="00E8128F">
        <w:rPr>
          <w:sz w:val="36"/>
          <w:szCs w:val="36"/>
          <w:rtl/>
        </w:rPr>
        <w:t xml:space="preserve"> </w:t>
      </w:r>
      <w:r w:rsidR="00954659" w:rsidRPr="00FD211F">
        <w:rPr>
          <w:sz w:val="36"/>
          <w:szCs w:val="36"/>
          <w:rtl/>
        </w:rPr>
        <w:t>اصولي</w:t>
      </w:r>
      <w:r w:rsidR="00EC7EDF" w:rsidRPr="00FD211F">
        <w:rPr>
          <w:sz w:val="36"/>
          <w:szCs w:val="36"/>
          <w:rtl/>
        </w:rPr>
        <w:t>ة</w:t>
      </w:r>
      <w:r w:rsidR="00E8128F">
        <w:rPr>
          <w:sz w:val="36"/>
          <w:szCs w:val="36"/>
          <w:rtl/>
        </w:rPr>
        <w:t xml:space="preserve"> </w:t>
      </w:r>
      <w:r w:rsidR="00954659" w:rsidRPr="00FD211F">
        <w:rPr>
          <w:sz w:val="36"/>
          <w:szCs w:val="36"/>
          <w:rtl/>
        </w:rPr>
        <w:t>أخرى</w:t>
      </w:r>
      <w:r w:rsidR="00E8128F">
        <w:rPr>
          <w:sz w:val="36"/>
          <w:szCs w:val="36"/>
          <w:rtl/>
        </w:rPr>
        <w:t xml:space="preserve"> </w:t>
      </w:r>
      <w:r w:rsidR="00954659" w:rsidRPr="00FD211F">
        <w:rPr>
          <w:sz w:val="36"/>
          <w:szCs w:val="36"/>
          <w:rtl/>
        </w:rPr>
        <w:t>اليها</w:t>
      </w:r>
      <w:r w:rsidR="00603323" w:rsidRPr="00FD211F">
        <w:rPr>
          <w:sz w:val="36"/>
          <w:szCs w:val="36"/>
          <w:rtl/>
        </w:rPr>
        <w:t>،</w:t>
      </w:r>
      <w:r w:rsidR="00E8128F">
        <w:rPr>
          <w:sz w:val="36"/>
          <w:szCs w:val="36"/>
          <w:rtl/>
        </w:rPr>
        <w:t xml:space="preserve"> </w:t>
      </w:r>
      <w:r w:rsidRPr="00FD211F">
        <w:rPr>
          <w:sz w:val="36"/>
          <w:szCs w:val="36"/>
          <w:rtl/>
        </w:rPr>
        <w:t>فيدخل</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الالفاظ</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التعريف</w:t>
      </w:r>
      <w:r w:rsidR="00E8128F">
        <w:rPr>
          <w:sz w:val="36"/>
          <w:szCs w:val="36"/>
          <w:rtl/>
        </w:rPr>
        <w:t xml:space="preserve"> </w:t>
      </w:r>
      <w:r w:rsidRPr="00FD211F">
        <w:rPr>
          <w:sz w:val="36"/>
          <w:szCs w:val="36"/>
          <w:rtl/>
        </w:rPr>
        <w:t>لان</w:t>
      </w:r>
      <w:r w:rsidR="00E8128F">
        <w:rPr>
          <w:sz w:val="36"/>
          <w:szCs w:val="36"/>
          <w:rtl/>
        </w:rPr>
        <w:t xml:space="preserve"> </w:t>
      </w:r>
      <w:r w:rsidR="004E20A1" w:rsidRPr="00FD211F">
        <w:rPr>
          <w:sz w:val="36"/>
          <w:szCs w:val="36"/>
          <w:rtl/>
        </w:rPr>
        <w:t>استنتاج</w:t>
      </w:r>
      <w:r w:rsidR="00E8128F">
        <w:rPr>
          <w:sz w:val="36"/>
          <w:szCs w:val="36"/>
          <w:rtl/>
        </w:rPr>
        <w:t xml:space="preserve"> </w:t>
      </w:r>
      <w:r w:rsidR="004E20A1" w:rsidRPr="00FD211F">
        <w:rPr>
          <w:sz w:val="36"/>
          <w:szCs w:val="36"/>
          <w:rtl/>
        </w:rPr>
        <w:t>الحكم</w:t>
      </w:r>
      <w:r w:rsidR="00E8128F">
        <w:rPr>
          <w:sz w:val="36"/>
          <w:szCs w:val="36"/>
          <w:rtl/>
        </w:rPr>
        <w:t xml:space="preserve"> </w:t>
      </w:r>
      <w:r w:rsidR="004E20A1" w:rsidRPr="00FD211F">
        <w:rPr>
          <w:sz w:val="36"/>
          <w:szCs w:val="36"/>
          <w:rtl/>
        </w:rPr>
        <w:t>الشرعي</w:t>
      </w:r>
      <w:r w:rsidR="00E8128F">
        <w:rPr>
          <w:sz w:val="36"/>
          <w:szCs w:val="36"/>
          <w:rtl/>
        </w:rPr>
        <w:t xml:space="preserve"> </w:t>
      </w:r>
      <w:r w:rsidR="004E20A1" w:rsidRPr="00FD211F">
        <w:rPr>
          <w:sz w:val="36"/>
          <w:szCs w:val="36"/>
          <w:rtl/>
        </w:rPr>
        <w:t>الفرعي</w:t>
      </w:r>
      <w:r w:rsidR="00E8128F">
        <w:rPr>
          <w:sz w:val="36"/>
          <w:szCs w:val="36"/>
          <w:rtl/>
        </w:rPr>
        <w:t xml:space="preserve"> </w:t>
      </w:r>
      <w:r w:rsidR="004E20A1" w:rsidRPr="00FD211F">
        <w:rPr>
          <w:sz w:val="36"/>
          <w:szCs w:val="36"/>
          <w:rtl/>
        </w:rPr>
        <w:t>من</w:t>
      </w:r>
      <w:r w:rsidR="00E8128F">
        <w:rPr>
          <w:sz w:val="36"/>
          <w:szCs w:val="36"/>
          <w:rtl/>
        </w:rPr>
        <w:t xml:space="preserve"> </w:t>
      </w:r>
      <w:r w:rsidR="004E20A1" w:rsidRPr="00FD211F">
        <w:rPr>
          <w:sz w:val="36"/>
          <w:szCs w:val="36"/>
          <w:rtl/>
        </w:rPr>
        <w:t>مباحث</w:t>
      </w:r>
      <w:r w:rsidR="00E8128F">
        <w:rPr>
          <w:sz w:val="36"/>
          <w:szCs w:val="36"/>
          <w:rtl/>
        </w:rPr>
        <w:t xml:space="preserve"> </w:t>
      </w:r>
      <w:r w:rsidR="004E20A1" w:rsidRPr="00FD211F">
        <w:rPr>
          <w:sz w:val="36"/>
          <w:szCs w:val="36"/>
          <w:rtl/>
        </w:rPr>
        <w:t>الالفاظ</w:t>
      </w:r>
      <w:r w:rsidR="00E8128F">
        <w:rPr>
          <w:sz w:val="36"/>
          <w:szCs w:val="36"/>
          <w:rtl/>
        </w:rPr>
        <w:t xml:space="preserve"> </w:t>
      </w:r>
      <w:r w:rsidR="004E20A1" w:rsidRPr="00FD211F">
        <w:rPr>
          <w:sz w:val="36"/>
          <w:szCs w:val="36"/>
          <w:rtl/>
        </w:rPr>
        <w:t>وان</w:t>
      </w:r>
      <w:r w:rsidR="00E8128F">
        <w:rPr>
          <w:sz w:val="36"/>
          <w:szCs w:val="36"/>
          <w:rtl/>
        </w:rPr>
        <w:t xml:space="preserve"> </w:t>
      </w:r>
      <w:r w:rsidR="004E20A1" w:rsidRPr="00FD211F">
        <w:rPr>
          <w:sz w:val="36"/>
          <w:szCs w:val="36"/>
          <w:rtl/>
        </w:rPr>
        <w:t>كان</w:t>
      </w:r>
      <w:r w:rsidR="00E8128F">
        <w:rPr>
          <w:sz w:val="36"/>
          <w:szCs w:val="36"/>
          <w:rtl/>
        </w:rPr>
        <w:t xml:space="preserve"> </w:t>
      </w:r>
      <w:r w:rsidR="004E20A1" w:rsidRPr="00FD211F">
        <w:rPr>
          <w:sz w:val="36"/>
          <w:szCs w:val="36"/>
          <w:rtl/>
        </w:rPr>
        <w:t>بحاج</w:t>
      </w:r>
      <w:r w:rsidR="00EC7EDF" w:rsidRPr="00FD211F">
        <w:rPr>
          <w:sz w:val="36"/>
          <w:szCs w:val="36"/>
          <w:rtl/>
        </w:rPr>
        <w:t>ة</w:t>
      </w:r>
      <w:r w:rsidR="00E8128F">
        <w:rPr>
          <w:sz w:val="36"/>
          <w:szCs w:val="36"/>
          <w:rtl/>
        </w:rPr>
        <w:t xml:space="preserve"> </w:t>
      </w:r>
      <w:r w:rsidR="004E20A1" w:rsidRPr="00FD211F">
        <w:rPr>
          <w:sz w:val="36"/>
          <w:szCs w:val="36"/>
          <w:rtl/>
        </w:rPr>
        <w:t>الى</w:t>
      </w:r>
      <w:r w:rsidR="00E8128F">
        <w:rPr>
          <w:sz w:val="36"/>
          <w:szCs w:val="36"/>
          <w:rtl/>
        </w:rPr>
        <w:t xml:space="preserve"> </w:t>
      </w:r>
      <w:r w:rsidR="004E20A1" w:rsidRPr="00FD211F">
        <w:rPr>
          <w:sz w:val="36"/>
          <w:szCs w:val="36"/>
          <w:rtl/>
        </w:rPr>
        <w:t>ضم</w:t>
      </w:r>
      <w:r w:rsidR="00E8128F">
        <w:rPr>
          <w:sz w:val="36"/>
          <w:szCs w:val="36"/>
          <w:rtl/>
        </w:rPr>
        <w:t xml:space="preserve"> </w:t>
      </w:r>
      <w:r w:rsidR="004E20A1" w:rsidRPr="00FD211F">
        <w:rPr>
          <w:sz w:val="36"/>
          <w:szCs w:val="36"/>
          <w:rtl/>
        </w:rPr>
        <w:t>كبرى</w:t>
      </w:r>
      <w:r w:rsidR="00E8128F">
        <w:rPr>
          <w:sz w:val="36"/>
          <w:szCs w:val="36"/>
          <w:rtl/>
        </w:rPr>
        <w:t xml:space="preserve"> </w:t>
      </w:r>
      <w:r w:rsidR="004E20A1" w:rsidRPr="00FD211F">
        <w:rPr>
          <w:sz w:val="36"/>
          <w:szCs w:val="36"/>
          <w:rtl/>
        </w:rPr>
        <w:t>حجي</w:t>
      </w:r>
      <w:r w:rsidR="00EC7EDF" w:rsidRPr="00FD211F">
        <w:rPr>
          <w:sz w:val="36"/>
          <w:szCs w:val="36"/>
          <w:rtl/>
        </w:rPr>
        <w:t>ة</w:t>
      </w:r>
      <w:r w:rsidR="00E8128F">
        <w:rPr>
          <w:sz w:val="36"/>
          <w:szCs w:val="36"/>
          <w:rtl/>
        </w:rPr>
        <w:t xml:space="preserve"> </w:t>
      </w:r>
      <w:r w:rsidR="004E20A1" w:rsidRPr="00FD211F">
        <w:rPr>
          <w:sz w:val="36"/>
          <w:szCs w:val="36"/>
          <w:rtl/>
        </w:rPr>
        <w:t>الظهور</w:t>
      </w:r>
      <w:r w:rsidR="00E8128F">
        <w:rPr>
          <w:sz w:val="36"/>
          <w:szCs w:val="36"/>
          <w:rtl/>
        </w:rPr>
        <w:t xml:space="preserve"> </w:t>
      </w:r>
      <w:r w:rsidR="004E20A1" w:rsidRPr="00FD211F">
        <w:rPr>
          <w:sz w:val="36"/>
          <w:szCs w:val="36"/>
          <w:rtl/>
        </w:rPr>
        <w:t>اليها</w:t>
      </w:r>
      <w:r w:rsidR="00603323" w:rsidRPr="00FD211F">
        <w:rPr>
          <w:sz w:val="36"/>
          <w:szCs w:val="36"/>
          <w:rtl/>
        </w:rPr>
        <w:t>،</w:t>
      </w:r>
      <w:r w:rsidR="00E8128F">
        <w:rPr>
          <w:sz w:val="36"/>
          <w:szCs w:val="36"/>
          <w:rtl/>
        </w:rPr>
        <w:t xml:space="preserve"> </w:t>
      </w:r>
      <w:r w:rsidR="004E20A1" w:rsidRPr="00FD211F">
        <w:rPr>
          <w:sz w:val="36"/>
          <w:szCs w:val="36"/>
          <w:rtl/>
        </w:rPr>
        <w:t>لكن</w:t>
      </w:r>
      <w:r w:rsidR="00E8128F">
        <w:rPr>
          <w:sz w:val="36"/>
          <w:szCs w:val="36"/>
          <w:rtl/>
        </w:rPr>
        <w:t xml:space="preserve"> </w:t>
      </w:r>
      <w:r w:rsidR="004E20A1" w:rsidRPr="00FD211F">
        <w:rPr>
          <w:sz w:val="36"/>
          <w:szCs w:val="36"/>
          <w:rtl/>
        </w:rPr>
        <w:t>كبرى</w:t>
      </w:r>
      <w:r w:rsidR="00E8128F">
        <w:rPr>
          <w:sz w:val="36"/>
          <w:szCs w:val="36"/>
          <w:rtl/>
        </w:rPr>
        <w:t xml:space="preserve"> </w:t>
      </w:r>
      <w:r w:rsidR="004E20A1" w:rsidRPr="00FD211F">
        <w:rPr>
          <w:sz w:val="36"/>
          <w:szCs w:val="36"/>
          <w:rtl/>
        </w:rPr>
        <w:t>حجي</w:t>
      </w:r>
      <w:r w:rsidR="00EC7EDF" w:rsidRPr="00FD211F">
        <w:rPr>
          <w:sz w:val="36"/>
          <w:szCs w:val="36"/>
          <w:rtl/>
        </w:rPr>
        <w:t>ة</w:t>
      </w:r>
      <w:r w:rsidR="00E8128F">
        <w:rPr>
          <w:sz w:val="36"/>
          <w:szCs w:val="36"/>
          <w:rtl/>
        </w:rPr>
        <w:t xml:space="preserve"> </w:t>
      </w:r>
      <w:r w:rsidR="004E20A1" w:rsidRPr="00FD211F">
        <w:rPr>
          <w:sz w:val="36"/>
          <w:szCs w:val="36"/>
          <w:rtl/>
        </w:rPr>
        <w:t>الظهور</w:t>
      </w:r>
      <w:r w:rsidR="00E8128F">
        <w:rPr>
          <w:sz w:val="36"/>
          <w:szCs w:val="36"/>
          <w:rtl/>
        </w:rPr>
        <w:t xml:space="preserve"> </w:t>
      </w:r>
      <w:r w:rsidR="004E20A1" w:rsidRPr="00FD211F">
        <w:rPr>
          <w:sz w:val="36"/>
          <w:szCs w:val="36"/>
          <w:rtl/>
        </w:rPr>
        <w:t>ليست</w:t>
      </w:r>
      <w:r w:rsidR="00E8128F">
        <w:rPr>
          <w:sz w:val="36"/>
          <w:szCs w:val="36"/>
          <w:rtl/>
        </w:rPr>
        <w:t xml:space="preserve"> </w:t>
      </w:r>
      <w:r w:rsidR="004E20A1" w:rsidRPr="00FD211F">
        <w:rPr>
          <w:sz w:val="36"/>
          <w:szCs w:val="36"/>
          <w:rtl/>
        </w:rPr>
        <w:t>كبرى</w:t>
      </w:r>
      <w:r w:rsidR="00E8128F">
        <w:rPr>
          <w:sz w:val="36"/>
          <w:szCs w:val="36"/>
          <w:rtl/>
        </w:rPr>
        <w:t xml:space="preserve"> </w:t>
      </w:r>
      <w:r w:rsidR="004E20A1" w:rsidRPr="00FD211F">
        <w:rPr>
          <w:sz w:val="36"/>
          <w:szCs w:val="36"/>
          <w:rtl/>
        </w:rPr>
        <w:t>اصولي</w:t>
      </w:r>
      <w:r w:rsidR="00EC7EDF" w:rsidRPr="00FD211F">
        <w:rPr>
          <w:sz w:val="36"/>
          <w:szCs w:val="36"/>
          <w:rtl/>
        </w:rPr>
        <w:t>ة</w:t>
      </w:r>
      <w:r w:rsidR="00603323" w:rsidRPr="00FD211F">
        <w:rPr>
          <w:sz w:val="36"/>
          <w:szCs w:val="36"/>
          <w:rtl/>
        </w:rPr>
        <w:t>،</w:t>
      </w:r>
      <w:r w:rsidR="00E8128F">
        <w:rPr>
          <w:sz w:val="36"/>
          <w:szCs w:val="36"/>
          <w:rtl/>
        </w:rPr>
        <w:t xml:space="preserve"> </w:t>
      </w:r>
      <w:r w:rsidR="004E20A1" w:rsidRPr="00FD211F">
        <w:rPr>
          <w:sz w:val="36"/>
          <w:szCs w:val="36"/>
          <w:rtl/>
        </w:rPr>
        <w:t>لانه</w:t>
      </w:r>
      <w:r w:rsidR="00E8128F">
        <w:rPr>
          <w:sz w:val="36"/>
          <w:szCs w:val="36"/>
          <w:rtl/>
        </w:rPr>
        <w:t xml:space="preserve"> </w:t>
      </w:r>
      <w:r w:rsidR="004E20A1" w:rsidRPr="00FD211F">
        <w:rPr>
          <w:sz w:val="36"/>
          <w:szCs w:val="36"/>
          <w:rtl/>
        </w:rPr>
        <w:t>يعتبر</w:t>
      </w:r>
      <w:r w:rsidR="00E8128F">
        <w:rPr>
          <w:sz w:val="36"/>
          <w:szCs w:val="36"/>
          <w:rtl/>
        </w:rPr>
        <w:t xml:space="preserve"> </w:t>
      </w:r>
      <w:r w:rsidR="004E20A1" w:rsidRPr="00FD211F">
        <w:rPr>
          <w:sz w:val="36"/>
          <w:szCs w:val="36"/>
          <w:rtl/>
        </w:rPr>
        <w:t>في</w:t>
      </w:r>
      <w:r w:rsidR="00E8128F">
        <w:rPr>
          <w:sz w:val="36"/>
          <w:szCs w:val="36"/>
          <w:rtl/>
        </w:rPr>
        <w:t xml:space="preserve"> </w:t>
      </w:r>
      <w:r w:rsidR="004E20A1" w:rsidRPr="00FD211F">
        <w:rPr>
          <w:sz w:val="36"/>
          <w:szCs w:val="36"/>
          <w:rtl/>
        </w:rPr>
        <w:t>المسأل</w:t>
      </w:r>
      <w:r w:rsidR="00EC7EDF" w:rsidRPr="00FD211F">
        <w:rPr>
          <w:sz w:val="36"/>
          <w:szCs w:val="36"/>
          <w:rtl/>
        </w:rPr>
        <w:t>ة</w:t>
      </w:r>
      <w:r w:rsidR="00E8128F">
        <w:rPr>
          <w:sz w:val="36"/>
          <w:szCs w:val="36"/>
          <w:rtl/>
        </w:rPr>
        <w:t xml:space="preserve"> </w:t>
      </w:r>
      <w:r w:rsidR="004E20A1" w:rsidRPr="00FD211F">
        <w:rPr>
          <w:sz w:val="36"/>
          <w:szCs w:val="36"/>
          <w:rtl/>
        </w:rPr>
        <w:t>الاصولي</w:t>
      </w:r>
      <w:r w:rsidR="00EC7EDF" w:rsidRPr="00FD211F">
        <w:rPr>
          <w:sz w:val="36"/>
          <w:szCs w:val="36"/>
          <w:rtl/>
        </w:rPr>
        <w:t>ة</w:t>
      </w:r>
      <w:r w:rsidR="00E8128F">
        <w:rPr>
          <w:sz w:val="36"/>
          <w:szCs w:val="36"/>
          <w:rtl/>
        </w:rPr>
        <w:t xml:space="preserve"> </w:t>
      </w:r>
      <w:r w:rsidR="004E20A1" w:rsidRPr="00FD211F">
        <w:rPr>
          <w:sz w:val="36"/>
          <w:szCs w:val="36"/>
          <w:rtl/>
        </w:rPr>
        <w:t>كونها</w:t>
      </w:r>
      <w:r w:rsidR="00E8128F">
        <w:rPr>
          <w:sz w:val="36"/>
          <w:szCs w:val="36"/>
          <w:rtl/>
        </w:rPr>
        <w:t xml:space="preserve"> </w:t>
      </w:r>
      <w:r w:rsidR="004E20A1" w:rsidRPr="00FD211F">
        <w:rPr>
          <w:sz w:val="36"/>
          <w:szCs w:val="36"/>
          <w:rtl/>
        </w:rPr>
        <w:t>نظري</w:t>
      </w:r>
      <w:r w:rsidR="00EC7EDF" w:rsidRPr="00FD211F">
        <w:rPr>
          <w:sz w:val="36"/>
          <w:szCs w:val="36"/>
          <w:rtl/>
        </w:rPr>
        <w:t>ة</w:t>
      </w:r>
      <w:r w:rsidR="00E8128F">
        <w:rPr>
          <w:sz w:val="36"/>
          <w:szCs w:val="36"/>
          <w:rtl/>
        </w:rPr>
        <w:t xml:space="preserve"> </w:t>
      </w:r>
      <w:r w:rsidR="004E20A1" w:rsidRPr="00FD211F">
        <w:rPr>
          <w:sz w:val="36"/>
          <w:szCs w:val="36"/>
          <w:rtl/>
        </w:rPr>
        <w:t>تحتاج</w:t>
      </w:r>
      <w:r w:rsidR="00E8128F">
        <w:rPr>
          <w:sz w:val="36"/>
          <w:szCs w:val="36"/>
          <w:rtl/>
        </w:rPr>
        <w:t xml:space="preserve"> </w:t>
      </w:r>
      <w:r w:rsidR="004E20A1" w:rsidRPr="00FD211F">
        <w:rPr>
          <w:sz w:val="36"/>
          <w:szCs w:val="36"/>
          <w:rtl/>
        </w:rPr>
        <w:t>الى</w:t>
      </w:r>
      <w:r w:rsidR="00E8128F">
        <w:rPr>
          <w:sz w:val="36"/>
          <w:szCs w:val="36"/>
          <w:rtl/>
        </w:rPr>
        <w:t xml:space="preserve"> </w:t>
      </w:r>
      <w:r w:rsidR="004E20A1" w:rsidRPr="00FD211F">
        <w:rPr>
          <w:sz w:val="36"/>
          <w:szCs w:val="36"/>
          <w:rtl/>
        </w:rPr>
        <w:t>البحث</w:t>
      </w:r>
      <w:r w:rsidR="00E8128F">
        <w:rPr>
          <w:sz w:val="36"/>
          <w:szCs w:val="36"/>
          <w:rtl/>
        </w:rPr>
        <w:t xml:space="preserve"> </w:t>
      </w:r>
      <w:r w:rsidR="004E20A1" w:rsidRPr="00FD211F">
        <w:rPr>
          <w:sz w:val="36"/>
          <w:szCs w:val="36"/>
          <w:rtl/>
        </w:rPr>
        <w:t>والاستدلال</w:t>
      </w:r>
      <w:r w:rsidR="00603323" w:rsidRPr="00FD211F">
        <w:rPr>
          <w:sz w:val="36"/>
          <w:szCs w:val="36"/>
          <w:rtl/>
        </w:rPr>
        <w:t>،</w:t>
      </w:r>
      <w:r w:rsidR="00E8128F">
        <w:rPr>
          <w:sz w:val="36"/>
          <w:szCs w:val="36"/>
          <w:rtl/>
        </w:rPr>
        <w:t xml:space="preserve"> </w:t>
      </w:r>
      <w:r w:rsidR="004E20A1" w:rsidRPr="00FD211F">
        <w:rPr>
          <w:sz w:val="36"/>
          <w:szCs w:val="36"/>
          <w:rtl/>
        </w:rPr>
        <w:t>وحجي</w:t>
      </w:r>
      <w:r w:rsidR="00EC7EDF" w:rsidRPr="00FD211F">
        <w:rPr>
          <w:sz w:val="36"/>
          <w:szCs w:val="36"/>
          <w:rtl/>
        </w:rPr>
        <w:t>ة</w:t>
      </w:r>
      <w:r w:rsidR="00E8128F">
        <w:rPr>
          <w:sz w:val="36"/>
          <w:szCs w:val="36"/>
          <w:rtl/>
        </w:rPr>
        <w:t xml:space="preserve"> </w:t>
      </w:r>
      <w:r w:rsidR="004E20A1" w:rsidRPr="00FD211F">
        <w:rPr>
          <w:sz w:val="36"/>
          <w:szCs w:val="36"/>
          <w:rtl/>
        </w:rPr>
        <w:t>الظهور</w:t>
      </w:r>
      <w:r w:rsidR="00E8128F">
        <w:rPr>
          <w:sz w:val="36"/>
          <w:szCs w:val="36"/>
          <w:rtl/>
        </w:rPr>
        <w:t xml:space="preserve"> </w:t>
      </w:r>
      <w:r w:rsidR="004E20A1" w:rsidRPr="00FD211F">
        <w:rPr>
          <w:sz w:val="36"/>
          <w:szCs w:val="36"/>
          <w:rtl/>
        </w:rPr>
        <w:t>في</w:t>
      </w:r>
      <w:r w:rsidR="00E8128F">
        <w:rPr>
          <w:sz w:val="36"/>
          <w:szCs w:val="36"/>
          <w:rtl/>
        </w:rPr>
        <w:t xml:space="preserve"> </w:t>
      </w:r>
      <w:r w:rsidR="004E20A1" w:rsidRPr="00FD211F">
        <w:rPr>
          <w:sz w:val="36"/>
          <w:szCs w:val="36"/>
          <w:rtl/>
        </w:rPr>
        <w:t>الجمل</w:t>
      </w:r>
      <w:r w:rsidR="00EC7EDF" w:rsidRPr="00FD211F">
        <w:rPr>
          <w:sz w:val="36"/>
          <w:szCs w:val="36"/>
          <w:rtl/>
        </w:rPr>
        <w:t>ة</w:t>
      </w:r>
      <w:r w:rsidR="00E8128F">
        <w:rPr>
          <w:sz w:val="36"/>
          <w:szCs w:val="36"/>
          <w:rtl/>
        </w:rPr>
        <w:t xml:space="preserve"> </w:t>
      </w:r>
      <w:r w:rsidR="004E20A1" w:rsidRPr="00FD211F">
        <w:rPr>
          <w:sz w:val="36"/>
          <w:szCs w:val="36"/>
          <w:rtl/>
        </w:rPr>
        <w:t>بديهي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7"/>
      </w:r>
      <w:r w:rsidR="009C58C8" w:rsidRPr="00FD211F">
        <w:rPr>
          <w:rStyle w:val="a6"/>
          <w:sz w:val="36"/>
          <w:szCs w:val="36"/>
          <w:rtl/>
        </w:rPr>
        <w:t>)</w:t>
      </w:r>
      <w:r w:rsidR="00A61BAE" w:rsidRPr="00FD211F">
        <w:rPr>
          <w:sz w:val="36"/>
          <w:szCs w:val="36"/>
          <w:rtl/>
        </w:rPr>
        <w:t>.</w:t>
      </w:r>
    </w:p>
    <w:p w14:paraId="0AE7668E" w14:textId="77777777" w:rsidR="005612B3" w:rsidRPr="00FD211F" w:rsidRDefault="004E20A1" w:rsidP="009C58C8">
      <w:pPr>
        <w:ind w:left="0" w:firstLine="227"/>
        <w:jc w:val="both"/>
        <w:rPr>
          <w:sz w:val="36"/>
          <w:szCs w:val="36"/>
          <w:rtl/>
        </w:rPr>
      </w:pPr>
      <w:r w:rsidRPr="00FD211F">
        <w:rPr>
          <w:sz w:val="36"/>
          <w:szCs w:val="36"/>
          <w:rtl/>
        </w:rPr>
        <w:t>ولايخفى</w:t>
      </w:r>
      <w:r w:rsidR="00E8128F">
        <w:rPr>
          <w:sz w:val="36"/>
          <w:szCs w:val="36"/>
          <w:rtl/>
        </w:rPr>
        <w:t xml:space="preserve"> </w:t>
      </w:r>
      <w:r w:rsidRPr="00FD211F">
        <w:rPr>
          <w:sz w:val="36"/>
          <w:szCs w:val="36"/>
          <w:rtl/>
        </w:rPr>
        <w:t>ان</w:t>
      </w:r>
      <w:r w:rsidR="00E8128F">
        <w:rPr>
          <w:sz w:val="36"/>
          <w:szCs w:val="36"/>
          <w:rtl/>
        </w:rPr>
        <w:t xml:space="preserve"> </w:t>
      </w:r>
      <w:r w:rsidR="00F56DC6" w:rsidRPr="00FD211F">
        <w:rPr>
          <w:sz w:val="36"/>
          <w:szCs w:val="36"/>
          <w:rtl/>
        </w:rPr>
        <w:t>هذا</w:t>
      </w:r>
      <w:r w:rsidR="00E8128F">
        <w:rPr>
          <w:sz w:val="36"/>
          <w:szCs w:val="36"/>
          <w:rtl/>
        </w:rPr>
        <w:t xml:space="preserve"> </w:t>
      </w:r>
      <w:r w:rsidR="00F56DC6" w:rsidRPr="00FD211F">
        <w:rPr>
          <w:sz w:val="36"/>
          <w:szCs w:val="36"/>
          <w:rtl/>
        </w:rPr>
        <w:t>التعريف</w:t>
      </w:r>
      <w:r w:rsidR="00E8128F">
        <w:rPr>
          <w:sz w:val="36"/>
          <w:szCs w:val="36"/>
          <w:rtl/>
        </w:rPr>
        <w:t xml:space="preserve"> </w:t>
      </w:r>
      <w:r w:rsidR="00603338" w:rsidRPr="00FD211F">
        <w:rPr>
          <w:sz w:val="36"/>
          <w:szCs w:val="36"/>
          <w:rtl/>
        </w:rPr>
        <w:t>بظاهره</w:t>
      </w:r>
      <w:r w:rsidR="00E8128F">
        <w:rPr>
          <w:sz w:val="36"/>
          <w:szCs w:val="36"/>
          <w:rtl/>
        </w:rPr>
        <w:t xml:space="preserve"> </w:t>
      </w:r>
      <w:r w:rsidR="00F56DC6" w:rsidRPr="00FD211F">
        <w:rPr>
          <w:sz w:val="36"/>
          <w:szCs w:val="36"/>
          <w:rtl/>
        </w:rPr>
        <w:t>مشتمل</w:t>
      </w:r>
      <w:r w:rsidR="00E8128F">
        <w:rPr>
          <w:sz w:val="36"/>
          <w:szCs w:val="36"/>
          <w:rtl/>
        </w:rPr>
        <w:t xml:space="preserve"> </w:t>
      </w:r>
      <w:r w:rsidR="00F56DC6" w:rsidRPr="00FD211F">
        <w:rPr>
          <w:sz w:val="36"/>
          <w:szCs w:val="36"/>
          <w:rtl/>
        </w:rPr>
        <w:t>على</w:t>
      </w:r>
      <w:r w:rsidR="00E8128F">
        <w:rPr>
          <w:sz w:val="36"/>
          <w:szCs w:val="36"/>
          <w:rtl/>
        </w:rPr>
        <w:t xml:space="preserve"> </w:t>
      </w:r>
      <w:r w:rsidRPr="00FD211F">
        <w:rPr>
          <w:sz w:val="36"/>
          <w:szCs w:val="36"/>
          <w:rtl/>
        </w:rPr>
        <w:t>ال</w:t>
      </w:r>
      <w:r w:rsidR="00F56DC6" w:rsidRPr="00FD211F">
        <w:rPr>
          <w:sz w:val="36"/>
          <w:szCs w:val="36"/>
          <w:rtl/>
        </w:rPr>
        <w:t>دور</w:t>
      </w:r>
      <w:r w:rsidR="00E8128F">
        <w:rPr>
          <w:sz w:val="36"/>
          <w:szCs w:val="36"/>
          <w:rtl/>
        </w:rPr>
        <w:t xml:space="preserve"> </w:t>
      </w:r>
      <w:r w:rsidR="00F56DC6" w:rsidRPr="00FD211F">
        <w:rPr>
          <w:sz w:val="36"/>
          <w:szCs w:val="36"/>
          <w:rtl/>
        </w:rPr>
        <w:t>لاخذ</w:t>
      </w:r>
      <w:r w:rsidR="00E8128F">
        <w:rPr>
          <w:sz w:val="36"/>
          <w:szCs w:val="36"/>
          <w:rtl/>
        </w:rPr>
        <w:t xml:space="preserve"> </w:t>
      </w:r>
      <w:r w:rsidR="00F56DC6" w:rsidRPr="00FD211F">
        <w:rPr>
          <w:sz w:val="36"/>
          <w:szCs w:val="36"/>
          <w:rtl/>
        </w:rPr>
        <w:t>عنوان</w:t>
      </w:r>
      <w:r w:rsidR="00E8128F">
        <w:rPr>
          <w:sz w:val="36"/>
          <w:szCs w:val="36"/>
          <w:rtl/>
        </w:rPr>
        <w:t xml:space="preserve"> </w:t>
      </w:r>
      <w:r w:rsidR="00F56DC6" w:rsidRPr="00FD211F">
        <w:rPr>
          <w:sz w:val="36"/>
          <w:szCs w:val="36"/>
          <w:rtl/>
        </w:rPr>
        <w:t>المعرَّف</w:t>
      </w:r>
      <w:r w:rsidR="00E8128F">
        <w:rPr>
          <w:sz w:val="36"/>
          <w:szCs w:val="36"/>
          <w:rtl/>
        </w:rPr>
        <w:t xml:space="preserve"> </w:t>
      </w:r>
      <w:r w:rsidR="00F56DC6" w:rsidRPr="00FD211F">
        <w:rPr>
          <w:sz w:val="36"/>
          <w:szCs w:val="36"/>
          <w:rtl/>
        </w:rPr>
        <w:t>في</w:t>
      </w:r>
      <w:r w:rsidR="00E8128F">
        <w:rPr>
          <w:sz w:val="36"/>
          <w:szCs w:val="36"/>
          <w:rtl/>
        </w:rPr>
        <w:t xml:space="preserve"> </w:t>
      </w:r>
      <w:r w:rsidRPr="00FD211F">
        <w:rPr>
          <w:sz w:val="36"/>
          <w:szCs w:val="36"/>
          <w:rtl/>
        </w:rPr>
        <w:t>ضمن</w:t>
      </w:r>
      <w:r w:rsidR="00E8128F">
        <w:rPr>
          <w:sz w:val="36"/>
          <w:szCs w:val="36"/>
          <w:rtl/>
        </w:rPr>
        <w:t xml:space="preserve"> </w:t>
      </w:r>
      <w:r w:rsidR="00F56DC6" w:rsidRPr="00FD211F">
        <w:rPr>
          <w:sz w:val="36"/>
          <w:szCs w:val="36"/>
          <w:rtl/>
        </w:rPr>
        <w:t>التعريف</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ورد</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قوله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حاج</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ضميم</w:t>
      </w:r>
      <w:r w:rsidR="00EC7EDF" w:rsidRPr="00FD211F">
        <w:rPr>
          <w:sz w:val="36"/>
          <w:szCs w:val="36"/>
          <w:rtl/>
        </w:rPr>
        <w:t>ة</w:t>
      </w:r>
      <w:r w:rsidR="00E8128F">
        <w:rPr>
          <w:sz w:val="36"/>
          <w:szCs w:val="36"/>
          <w:rtl/>
        </w:rPr>
        <w:t xml:space="preserve"> </w:t>
      </w:r>
      <w:r w:rsidRPr="00FD211F">
        <w:rPr>
          <w:sz w:val="36"/>
          <w:szCs w:val="36"/>
          <w:rtl/>
        </w:rPr>
        <w:t>كبرى</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صغرى</w:t>
      </w:r>
      <w:r w:rsidR="00E8128F">
        <w:rPr>
          <w:sz w:val="36"/>
          <w:szCs w:val="36"/>
          <w:rtl/>
        </w:rPr>
        <w:t xml:space="preserve"> </w:t>
      </w:r>
      <w:r w:rsidRPr="00FD211F">
        <w:rPr>
          <w:sz w:val="36"/>
          <w:szCs w:val="36"/>
          <w:rtl/>
        </w:rPr>
        <w:t>اصولي</w:t>
      </w:r>
      <w:r w:rsidR="00EC7EDF" w:rsidRPr="00FD211F">
        <w:rPr>
          <w:sz w:val="36"/>
          <w:szCs w:val="36"/>
          <w:rtl/>
        </w:rPr>
        <w:t>ة</w:t>
      </w:r>
      <w:r w:rsidR="00603323" w:rsidRPr="00FD211F">
        <w:rPr>
          <w:sz w:val="36"/>
          <w:szCs w:val="36"/>
          <w:rtl/>
        </w:rPr>
        <w:t>،</w:t>
      </w:r>
      <w:r w:rsidR="00E8128F">
        <w:rPr>
          <w:sz w:val="36"/>
          <w:szCs w:val="36"/>
          <w:rtl/>
        </w:rPr>
        <w:t xml:space="preserve"> </w:t>
      </w:r>
      <w:r w:rsidR="006C66E1" w:rsidRPr="00FD211F">
        <w:rPr>
          <w:sz w:val="36"/>
          <w:szCs w:val="36"/>
          <w:rtl/>
        </w:rPr>
        <w:t>فكان</w:t>
      </w:r>
      <w:r w:rsidR="00E8128F">
        <w:rPr>
          <w:sz w:val="36"/>
          <w:szCs w:val="36"/>
          <w:rtl/>
        </w:rPr>
        <w:t xml:space="preserve"> </w:t>
      </w:r>
      <w:r w:rsidR="006C66E1" w:rsidRPr="00FD211F">
        <w:rPr>
          <w:sz w:val="36"/>
          <w:szCs w:val="36"/>
          <w:rtl/>
        </w:rPr>
        <w:t>ينبغي</w:t>
      </w:r>
      <w:r w:rsidR="00E8128F">
        <w:rPr>
          <w:sz w:val="36"/>
          <w:szCs w:val="36"/>
          <w:rtl/>
        </w:rPr>
        <w:t xml:space="preserve"> </w:t>
      </w:r>
      <w:r w:rsidR="006C66E1" w:rsidRPr="00FD211F">
        <w:rPr>
          <w:sz w:val="36"/>
          <w:szCs w:val="36"/>
          <w:rtl/>
        </w:rPr>
        <w:t>ان</w:t>
      </w:r>
      <w:r w:rsidR="00E8128F">
        <w:rPr>
          <w:sz w:val="36"/>
          <w:szCs w:val="36"/>
          <w:rtl/>
        </w:rPr>
        <w:t xml:space="preserve"> </w:t>
      </w:r>
      <w:r w:rsidR="006C66E1" w:rsidRPr="00FD211F">
        <w:rPr>
          <w:sz w:val="36"/>
          <w:szCs w:val="36"/>
          <w:rtl/>
        </w:rPr>
        <w:t>يقال</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بالقواعد</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انضمت</w:t>
      </w:r>
      <w:r w:rsidR="00E8128F">
        <w:rPr>
          <w:sz w:val="36"/>
          <w:szCs w:val="36"/>
          <w:rtl/>
        </w:rPr>
        <w:t xml:space="preserve"> </w:t>
      </w:r>
      <w:r w:rsidRPr="00FD211F">
        <w:rPr>
          <w:sz w:val="36"/>
          <w:szCs w:val="36"/>
          <w:rtl/>
        </w:rPr>
        <w:t>اليها</w:t>
      </w:r>
      <w:r w:rsidR="00E8128F">
        <w:rPr>
          <w:sz w:val="36"/>
          <w:szCs w:val="36"/>
          <w:rtl/>
        </w:rPr>
        <w:t xml:space="preserve"> </w:t>
      </w:r>
      <w:r w:rsidRPr="00FD211F">
        <w:rPr>
          <w:sz w:val="36"/>
          <w:szCs w:val="36"/>
          <w:rtl/>
        </w:rPr>
        <w:t>صغرياتها</w:t>
      </w:r>
      <w:r w:rsidR="00E8128F">
        <w:rPr>
          <w:sz w:val="36"/>
          <w:szCs w:val="36"/>
          <w:rtl/>
        </w:rPr>
        <w:t xml:space="preserve"> </w:t>
      </w:r>
      <w:r w:rsidRPr="00FD211F">
        <w:rPr>
          <w:sz w:val="36"/>
          <w:szCs w:val="36"/>
          <w:rtl/>
        </w:rPr>
        <w:t>استنتج</w:t>
      </w:r>
      <w:r w:rsidR="00E8128F">
        <w:rPr>
          <w:sz w:val="36"/>
          <w:szCs w:val="36"/>
          <w:rtl/>
        </w:rPr>
        <w:t xml:space="preserve"> </w:t>
      </w:r>
      <w:r w:rsidRPr="00FD211F">
        <w:rPr>
          <w:sz w:val="36"/>
          <w:szCs w:val="36"/>
          <w:rtl/>
        </w:rPr>
        <w:t>منها</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الفرعي</w:t>
      </w:r>
      <w:r w:rsidR="00E8128F">
        <w:rPr>
          <w:sz w:val="36"/>
          <w:szCs w:val="36"/>
          <w:rtl/>
        </w:rPr>
        <w:t xml:space="preserve"> </w:t>
      </w:r>
      <w:r w:rsidRPr="00FD211F">
        <w:rPr>
          <w:sz w:val="36"/>
          <w:szCs w:val="36"/>
          <w:rtl/>
        </w:rPr>
        <w:t>بلاحاج</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مسأل</w:t>
      </w:r>
      <w:r w:rsidR="00EC7EDF" w:rsidRPr="00FD211F">
        <w:rPr>
          <w:sz w:val="36"/>
          <w:szCs w:val="36"/>
          <w:rtl/>
        </w:rPr>
        <w:t>ة</w:t>
      </w:r>
      <w:r w:rsidR="00E8128F">
        <w:rPr>
          <w:sz w:val="36"/>
          <w:szCs w:val="36"/>
          <w:rtl/>
        </w:rPr>
        <w:t xml:space="preserve"> </w:t>
      </w:r>
      <w:r w:rsidRPr="00FD211F">
        <w:rPr>
          <w:sz w:val="36"/>
          <w:szCs w:val="36"/>
          <w:rtl/>
        </w:rPr>
        <w:t>نظري</w:t>
      </w:r>
      <w:r w:rsidR="00EC7EDF" w:rsidRPr="00FD211F">
        <w:rPr>
          <w:sz w:val="36"/>
          <w:szCs w:val="36"/>
          <w:rtl/>
        </w:rPr>
        <w:t>ة</w:t>
      </w:r>
      <w:r w:rsidR="00E8128F">
        <w:rPr>
          <w:sz w:val="36"/>
          <w:szCs w:val="36"/>
          <w:rtl/>
        </w:rPr>
        <w:t xml:space="preserve"> </w:t>
      </w:r>
      <w:r w:rsidRPr="00FD211F">
        <w:rPr>
          <w:sz w:val="36"/>
          <w:szCs w:val="36"/>
          <w:rtl/>
        </w:rPr>
        <w:t>أخرى</w:t>
      </w:r>
      <w:r w:rsidR="00603323" w:rsidRPr="00FD211F">
        <w:rPr>
          <w:sz w:val="36"/>
          <w:szCs w:val="36"/>
          <w:rtl/>
        </w:rPr>
        <w:t>،</w:t>
      </w:r>
      <w:r w:rsidR="00E8128F">
        <w:rPr>
          <w:sz w:val="36"/>
          <w:szCs w:val="36"/>
          <w:rtl/>
        </w:rPr>
        <w:t xml:space="preserve"> </w:t>
      </w:r>
      <w:r w:rsidR="00F72403" w:rsidRPr="00FD211F">
        <w:rPr>
          <w:sz w:val="36"/>
          <w:szCs w:val="36"/>
          <w:rtl/>
        </w:rPr>
        <w:t>وهذا</w:t>
      </w:r>
      <w:r w:rsidR="00E8128F">
        <w:rPr>
          <w:sz w:val="36"/>
          <w:szCs w:val="36"/>
          <w:rtl/>
        </w:rPr>
        <w:t xml:space="preserve"> </w:t>
      </w:r>
      <w:r w:rsidR="00F72403" w:rsidRPr="00FD211F">
        <w:rPr>
          <w:sz w:val="36"/>
          <w:szCs w:val="36"/>
          <w:rtl/>
        </w:rPr>
        <w:t>ما</w:t>
      </w:r>
      <w:r w:rsidR="00E8128F">
        <w:rPr>
          <w:sz w:val="36"/>
          <w:szCs w:val="36"/>
          <w:rtl/>
        </w:rPr>
        <w:t xml:space="preserve"> </w:t>
      </w:r>
      <w:r w:rsidR="00F72403" w:rsidRPr="00FD211F">
        <w:rPr>
          <w:sz w:val="36"/>
          <w:szCs w:val="36"/>
          <w:rtl/>
        </w:rPr>
        <w:t>يستفاد</w:t>
      </w:r>
      <w:r w:rsidR="00E8128F">
        <w:rPr>
          <w:sz w:val="36"/>
          <w:szCs w:val="36"/>
          <w:rtl/>
        </w:rPr>
        <w:t xml:space="preserve"> </w:t>
      </w:r>
      <w:r w:rsidR="00F72403" w:rsidRPr="00FD211F">
        <w:rPr>
          <w:sz w:val="36"/>
          <w:szCs w:val="36"/>
          <w:rtl/>
        </w:rPr>
        <w:t>من</w:t>
      </w:r>
      <w:r w:rsidR="00E8128F">
        <w:rPr>
          <w:sz w:val="36"/>
          <w:szCs w:val="36"/>
          <w:rtl/>
        </w:rPr>
        <w:t xml:space="preserve"> </w:t>
      </w:r>
      <w:r w:rsidR="00F72403" w:rsidRPr="00FD211F">
        <w:rPr>
          <w:sz w:val="36"/>
          <w:szCs w:val="36"/>
          <w:rtl/>
        </w:rPr>
        <w:t>تعليقته</w:t>
      </w:r>
      <w:r w:rsidR="00E8128F">
        <w:rPr>
          <w:sz w:val="36"/>
          <w:szCs w:val="36"/>
          <w:rtl/>
        </w:rPr>
        <w:t xml:space="preserve"> </w:t>
      </w:r>
      <w:r w:rsidR="005612B3" w:rsidRPr="00FD211F">
        <w:rPr>
          <w:sz w:val="36"/>
          <w:szCs w:val="36"/>
          <w:rtl/>
        </w:rPr>
        <w:t>على</w:t>
      </w:r>
      <w:r w:rsidR="00E8128F">
        <w:rPr>
          <w:sz w:val="36"/>
          <w:szCs w:val="36"/>
          <w:rtl/>
        </w:rPr>
        <w:t xml:space="preserve"> </w:t>
      </w:r>
      <w:r w:rsidR="005612B3" w:rsidRPr="00FD211F">
        <w:rPr>
          <w:sz w:val="36"/>
          <w:szCs w:val="36"/>
          <w:rtl/>
        </w:rPr>
        <w:t>اجود</w:t>
      </w:r>
      <w:r w:rsidR="00E8128F">
        <w:rPr>
          <w:sz w:val="36"/>
          <w:szCs w:val="36"/>
          <w:rtl/>
        </w:rPr>
        <w:t xml:space="preserve"> </w:t>
      </w:r>
      <w:r w:rsidR="005612B3" w:rsidRPr="00FD211F">
        <w:rPr>
          <w:sz w:val="36"/>
          <w:szCs w:val="36"/>
          <w:rtl/>
        </w:rPr>
        <w:t>التقريرات</w:t>
      </w:r>
      <w:r w:rsidR="009C58C8" w:rsidRPr="00FD211F">
        <w:rPr>
          <w:rStyle w:val="a6"/>
          <w:sz w:val="36"/>
          <w:szCs w:val="36"/>
          <w:rtl/>
        </w:rPr>
        <w:t>(</w:t>
      </w:r>
      <w:r w:rsidR="009C58C8" w:rsidRPr="00FD211F">
        <w:rPr>
          <w:rStyle w:val="a6"/>
          <w:sz w:val="36"/>
          <w:szCs w:val="36"/>
          <w:rtl/>
        </w:rPr>
        <w:footnoteReference w:id="18"/>
      </w:r>
      <w:r w:rsidR="009C58C8" w:rsidRPr="00FD211F">
        <w:rPr>
          <w:rStyle w:val="a6"/>
          <w:sz w:val="36"/>
          <w:szCs w:val="36"/>
          <w:rtl/>
        </w:rPr>
        <w:t>)</w:t>
      </w:r>
      <w:r w:rsidR="005612B3" w:rsidRPr="00FD211F">
        <w:rPr>
          <w:sz w:val="36"/>
          <w:szCs w:val="36"/>
          <w:rtl/>
        </w:rPr>
        <w:t>.</w:t>
      </w:r>
    </w:p>
    <w:p w14:paraId="6A561426" w14:textId="77777777" w:rsidR="005612B3" w:rsidRPr="00FD211F" w:rsidRDefault="00F24429"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انه</w:t>
      </w:r>
      <w:r w:rsidR="00E8128F">
        <w:rPr>
          <w:sz w:val="36"/>
          <w:szCs w:val="36"/>
          <w:rtl/>
        </w:rPr>
        <w:t xml:space="preserve"> </w:t>
      </w:r>
      <w:r w:rsidR="00A61BAE" w:rsidRPr="00FD211F">
        <w:rPr>
          <w:sz w:val="36"/>
          <w:szCs w:val="36"/>
          <w:rtl/>
        </w:rPr>
        <w:t>"قده"</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نقوضا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تعريفه</w:t>
      </w:r>
      <w:r w:rsidR="00E8128F">
        <w:rPr>
          <w:sz w:val="36"/>
          <w:szCs w:val="36"/>
          <w:rtl/>
        </w:rPr>
        <w:t xml:space="preserve"> </w:t>
      </w:r>
      <w:r w:rsidRPr="00FD211F">
        <w:rPr>
          <w:sz w:val="36"/>
          <w:szCs w:val="36"/>
          <w:rtl/>
        </w:rPr>
        <w:t>وتصدى</w:t>
      </w:r>
      <w:r w:rsidR="00E8128F">
        <w:rPr>
          <w:sz w:val="36"/>
          <w:szCs w:val="36"/>
          <w:rtl/>
        </w:rPr>
        <w:t xml:space="preserve"> </w:t>
      </w:r>
      <w:r w:rsidR="001A5E03" w:rsidRPr="00FD211F">
        <w:rPr>
          <w:sz w:val="36"/>
          <w:szCs w:val="36"/>
          <w:rtl/>
        </w:rPr>
        <w:t>للجواب</w:t>
      </w:r>
      <w:r w:rsidR="00E8128F">
        <w:rPr>
          <w:sz w:val="36"/>
          <w:szCs w:val="36"/>
          <w:rtl/>
        </w:rPr>
        <w:t xml:space="preserve"> </w:t>
      </w:r>
      <w:r w:rsidR="001A5E03" w:rsidRPr="00FD211F">
        <w:rPr>
          <w:sz w:val="36"/>
          <w:szCs w:val="36"/>
          <w:rtl/>
        </w:rPr>
        <w:t>عنها</w:t>
      </w:r>
      <w:r w:rsidRPr="00FD211F">
        <w:rPr>
          <w:sz w:val="36"/>
          <w:szCs w:val="36"/>
          <w:rtl/>
        </w:rPr>
        <w:t>:</w:t>
      </w:r>
    </w:p>
    <w:p w14:paraId="034FE959" w14:textId="77777777" w:rsidR="004C71D0" w:rsidRPr="00FD211F" w:rsidRDefault="001A5E03" w:rsidP="009C58C8">
      <w:pPr>
        <w:ind w:left="0" w:firstLine="227"/>
        <w:jc w:val="both"/>
        <w:rPr>
          <w:sz w:val="36"/>
          <w:szCs w:val="36"/>
          <w:rtl/>
        </w:rPr>
      </w:pPr>
      <w:bookmarkStart w:id="24" w:name="درس002دقيقه11"/>
      <w:bookmarkEnd w:id="24"/>
      <w:r w:rsidRPr="00FD211F">
        <w:rPr>
          <w:b/>
          <w:bCs/>
          <w:sz w:val="36"/>
          <w:szCs w:val="36"/>
          <w:rtl/>
        </w:rPr>
        <w:t>النقض</w:t>
      </w:r>
      <w:r w:rsidR="00E8128F">
        <w:rPr>
          <w:b/>
          <w:bCs/>
          <w:sz w:val="36"/>
          <w:szCs w:val="36"/>
          <w:rtl/>
        </w:rPr>
        <w:t xml:space="preserve"> </w:t>
      </w:r>
      <w:r w:rsidR="006C66E1" w:rsidRPr="00FD211F">
        <w:rPr>
          <w:b/>
          <w:bCs/>
          <w:sz w:val="36"/>
          <w:szCs w:val="36"/>
          <w:rtl/>
        </w:rPr>
        <w:t>الأول</w:t>
      </w:r>
      <w:r w:rsidR="006C66E1" w:rsidRPr="00FD211F">
        <w:rPr>
          <w:sz w:val="36"/>
          <w:szCs w:val="36"/>
          <w:rtl/>
        </w:rPr>
        <w:t>:</w:t>
      </w:r>
      <w:r w:rsidR="00E8128F">
        <w:rPr>
          <w:sz w:val="36"/>
          <w:szCs w:val="36"/>
          <w:rtl/>
        </w:rPr>
        <w:t xml:space="preserve"> </w:t>
      </w:r>
      <w:r w:rsidR="00F56DC6" w:rsidRPr="00FD211F">
        <w:rPr>
          <w:sz w:val="36"/>
          <w:szCs w:val="36"/>
          <w:rtl/>
        </w:rPr>
        <w:t>ما</w:t>
      </w:r>
      <w:r w:rsidR="00E8128F">
        <w:rPr>
          <w:sz w:val="36"/>
          <w:szCs w:val="36"/>
          <w:rtl/>
        </w:rPr>
        <w:t xml:space="preserve"> </w:t>
      </w:r>
      <w:r w:rsidR="00F56DC6" w:rsidRPr="00FD211F">
        <w:rPr>
          <w:sz w:val="36"/>
          <w:szCs w:val="36"/>
          <w:rtl/>
        </w:rPr>
        <w:t>قد</w:t>
      </w:r>
      <w:r w:rsidR="00E8128F">
        <w:rPr>
          <w:sz w:val="36"/>
          <w:szCs w:val="36"/>
          <w:rtl/>
        </w:rPr>
        <w:t xml:space="preserve"> </w:t>
      </w:r>
      <w:r w:rsidR="00F56DC6" w:rsidRPr="00FD211F">
        <w:rPr>
          <w:sz w:val="36"/>
          <w:szCs w:val="36"/>
          <w:rtl/>
        </w:rPr>
        <w:t>يقال</w:t>
      </w:r>
      <w:r w:rsidR="00E8128F">
        <w:rPr>
          <w:sz w:val="36"/>
          <w:szCs w:val="36"/>
          <w:rtl/>
        </w:rPr>
        <w:t xml:space="preserve"> </w:t>
      </w:r>
      <w:r w:rsidR="00F56DC6" w:rsidRPr="00FD211F">
        <w:rPr>
          <w:sz w:val="36"/>
          <w:szCs w:val="36"/>
          <w:rtl/>
        </w:rPr>
        <w:t>من</w:t>
      </w:r>
      <w:r w:rsidR="00E8128F">
        <w:rPr>
          <w:sz w:val="36"/>
          <w:szCs w:val="36"/>
          <w:rtl/>
        </w:rPr>
        <w:t xml:space="preserve"> </w:t>
      </w:r>
      <w:r w:rsidR="00F56DC6" w:rsidRPr="00FD211F">
        <w:rPr>
          <w:sz w:val="36"/>
          <w:szCs w:val="36"/>
          <w:rtl/>
        </w:rPr>
        <w:t>انه</w:t>
      </w:r>
      <w:r w:rsidR="00E8128F">
        <w:rPr>
          <w:sz w:val="36"/>
          <w:szCs w:val="36"/>
          <w:rtl/>
        </w:rPr>
        <w:t xml:space="preserve"> </w:t>
      </w:r>
      <w:r w:rsidR="00F56DC6" w:rsidRPr="00FD211F">
        <w:rPr>
          <w:sz w:val="36"/>
          <w:szCs w:val="36"/>
          <w:rtl/>
        </w:rPr>
        <w:t>في</w:t>
      </w:r>
      <w:r w:rsidR="00E8128F">
        <w:rPr>
          <w:sz w:val="36"/>
          <w:szCs w:val="36"/>
          <w:rtl/>
        </w:rPr>
        <w:t xml:space="preserve"> </w:t>
      </w:r>
      <w:r w:rsidR="00F56DC6" w:rsidRPr="00FD211F">
        <w:rPr>
          <w:sz w:val="36"/>
          <w:szCs w:val="36"/>
          <w:rtl/>
        </w:rPr>
        <w:t>مبحث</w:t>
      </w:r>
      <w:r w:rsidR="00E8128F">
        <w:rPr>
          <w:sz w:val="36"/>
          <w:szCs w:val="36"/>
          <w:rtl/>
        </w:rPr>
        <w:t xml:space="preserve"> </w:t>
      </w:r>
      <w:r w:rsidR="00F56DC6" w:rsidRPr="00FD211F">
        <w:rPr>
          <w:sz w:val="36"/>
          <w:szCs w:val="36"/>
          <w:rtl/>
        </w:rPr>
        <w:t>اجتماع</w:t>
      </w:r>
      <w:r w:rsidR="00E8128F">
        <w:rPr>
          <w:sz w:val="36"/>
          <w:szCs w:val="36"/>
          <w:rtl/>
        </w:rPr>
        <w:t xml:space="preserve"> </w:t>
      </w:r>
      <w:r w:rsidR="0090224F" w:rsidRPr="00FD211F">
        <w:rPr>
          <w:sz w:val="36"/>
          <w:szCs w:val="36"/>
          <w:rtl/>
        </w:rPr>
        <w:t>الأمر</w:t>
      </w:r>
      <w:r w:rsidR="00E8128F">
        <w:rPr>
          <w:sz w:val="36"/>
          <w:szCs w:val="36"/>
          <w:rtl/>
        </w:rPr>
        <w:t xml:space="preserve"> </w:t>
      </w:r>
      <w:r w:rsidR="00F56DC6" w:rsidRPr="00FD211F">
        <w:rPr>
          <w:sz w:val="36"/>
          <w:szCs w:val="36"/>
          <w:rtl/>
        </w:rPr>
        <w:t>والنهي</w:t>
      </w:r>
      <w:r w:rsidR="00E8128F">
        <w:rPr>
          <w:sz w:val="36"/>
          <w:szCs w:val="36"/>
          <w:rtl/>
        </w:rPr>
        <w:t xml:space="preserve"> </w:t>
      </w:r>
      <w:r w:rsidR="00F72403" w:rsidRPr="00FD211F">
        <w:rPr>
          <w:sz w:val="36"/>
          <w:szCs w:val="36"/>
          <w:rtl/>
        </w:rPr>
        <w:t>يصير</w:t>
      </w:r>
      <w:r w:rsidR="00E8128F">
        <w:rPr>
          <w:sz w:val="36"/>
          <w:szCs w:val="36"/>
          <w:rtl/>
        </w:rPr>
        <w:t xml:space="preserve"> </w:t>
      </w:r>
      <w:r w:rsidR="00F72403" w:rsidRPr="00FD211F">
        <w:rPr>
          <w:sz w:val="36"/>
          <w:szCs w:val="36"/>
          <w:rtl/>
        </w:rPr>
        <w:lastRenderedPageBreak/>
        <w:t>م</w:t>
      </w:r>
      <w:r w:rsidR="00F61D31" w:rsidRPr="00FD211F">
        <w:rPr>
          <w:sz w:val="36"/>
          <w:szCs w:val="36"/>
          <w:rtl/>
        </w:rPr>
        <w:t>ورد</w:t>
      </w:r>
      <w:r w:rsidR="00F72403" w:rsidRPr="00FD211F">
        <w:rPr>
          <w:sz w:val="36"/>
          <w:szCs w:val="36"/>
          <w:rtl/>
        </w:rPr>
        <w:t>شمول</w:t>
      </w:r>
      <w:r w:rsidR="00E8128F">
        <w:rPr>
          <w:sz w:val="36"/>
          <w:szCs w:val="36"/>
          <w:rtl/>
        </w:rPr>
        <w:t xml:space="preserve"> </w:t>
      </w:r>
      <w:r w:rsidR="00F72403" w:rsidRPr="00FD211F">
        <w:rPr>
          <w:sz w:val="36"/>
          <w:szCs w:val="36"/>
          <w:rtl/>
        </w:rPr>
        <w:t>اطلاق</w:t>
      </w:r>
      <w:r w:rsidR="00E8128F">
        <w:rPr>
          <w:sz w:val="36"/>
          <w:szCs w:val="36"/>
          <w:rtl/>
        </w:rPr>
        <w:t xml:space="preserve"> </w:t>
      </w:r>
      <w:r w:rsidR="00F72403" w:rsidRPr="00FD211F">
        <w:rPr>
          <w:sz w:val="36"/>
          <w:szCs w:val="36"/>
          <w:rtl/>
        </w:rPr>
        <w:t>خطاب</w:t>
      </w:r>
      <w:r w:rsidR="00E8128F">
        <w:rPr>
          <w:sz w:val="36"/>
          <w:szCs w:val="36"/>
          <w:rtl/>
        </w:rPr>
        <w:t xml:space="preserve"> </w:t>
      </w:r>
      <w:r w:rsidR="001B3112" w:rsidRPr="00FD211F">
        <w:rPr>
          <w:sz w:val="36"/>
          <w:szCs w:val="36"/>
          <w:rtl/>
        </w:rPr>
        <w:t>الأمر</w:t>
      </w:r>
      <w:r w:rsidR="00E8128F">
        <w:rPr>
          <w:sz w:val="36"/>
          <w:szCs w:val="36"/>
          <w:rtl/>
        </w:rPr>
        <w:t xml:space="preserve"> </w:t>
      </w:r>
      <w:r w:rsidR="00F72403" w:rsidRPr="00FD211F">
        <w:rPr>
          <w:sz w:val="36"/>
          <w:szCs w:val="36"/>
          <w:rtl/>
        </w:rPr>
        <w:t>والنهي</w:t>
      </w:r>
      <w:r w:rsidR="00603323" w:rsidRPr="00FD211F">
        <w:rPr>
          <w:sz w:val="36"/>
          <w:szCs w:val="36"/>
          <w:rtl/>
        </w:rPr>
        <w:t>،</w:t>
      </w:r>
      <w:r w:rsidR="00E8128F">
        <w:rPr>
          <w:sz w:val="36"/>
          <w:szCs w:val="36"/>
          <w:rtl/>
        </w:rPr>
        <w:t xml:space="preserve"> </w:t>
      </w:r>
      <w:r w:rsidR="00E94FF7" w:rsidRPr="00FD211F">
        <w:rPr>
          <w:sz w:val="36"/>
          <w:szCs w:val="36"/>
          <w:rtl/>
        </w:rPr>
        <w:t>بناء</w:t>
      </w:r>
      <w:r w:rsidR="00E8128F">
        <w:rPr>
          <w:sz w:val="36"/>
          <w:szCs w:val="36"/>
          <w:rtl/>
        </w:rPr>
        <w:t xml:space="preserve"> </w:t>
      </w:r>
      <w:r w:rsidR="00E94FF7" w:rsidRPr="00FD211F">
        <w:rPr>
          <w:sz w:val="36"/>
          <w:szCs w:val="36"/>
          <w:rtl/>
        </w:rPr>
        <w:t>على</w:t>
      </w:r>
      <w:r w:rsidR="00E8128F">
        <w:rPr>
          <w:sz w:val="36"/>
          <w:szCs w:val="36"/>
          <w:rtl/>
        </w:rPr>
        <w:t xml:space="preserve"> </w:t>
      </w:r>
      <w:r w:rsidR="00E94FF7" w:rsidRPr="00FD211F">
        <w:rPr>
          <w:sz w:val="36"/>
          <w:szCs w:val="36"/>
          <w:rtl/>
        </w:rPr>
        <w:t>القول</w:t>
      </w:r>
      <w:r w:rsidR="00E8128F">
        <w:rPr>
          <w:sz w:val="36"/>
          <w:szCs w:val="36"/>
          <w:rtl/>
        </w:rPr>
        <w:t xml:space="preserve"> </w:t>
      </w:r>
      <w:r w:rsidR="00F56DC6" w:rsidRPr="00FD211F">
        <w:rPr>
          <w:sz w:val="36"/>
          <w:szCs w:val="36"/>
          <w:rtl/>
        </w:rPr>
        <w:t>بامتناع</w:t>
      </w:r>
      <w:r w:rsidR="00E8128F">
        <w:rPr>
          <w:sz w:val="36"/>
          <w:szCs w:val="36"/>
          <w:rtl/>
        </w:rPr>
        <w:t xml:space="preserve"> </w:t>
      </w:r>
      <w:r w:rsidR="00F24429" w:rsidRPr="00FD211F">
        <w:rPr>
          <w:sz w:val="36"/>
          <w:szCs w:val="36"/>
          <w:rtl/>
        </w:rPr>
        <w:t>الاجتماع</w:t>
      </w:r>
      <w:r w:rsidR="00603323" w:rsidRPr="00FD211F">
        <w:rPr>
          <w:sz w:val="36"/>
          <w:szCs w:val="36"/>
          <w:rtl/>
        </w:rPr>
        <w:t>،</w:t>
      </w:r>
      <w:r w:rsidR="00E8128F">
        <w:rPr>
          <w:sz w:val="36"/>
          <w:szCs w:val="36"/>
          <w:rtl/>
        </w:rPr>
        <w:t xml:space="preserve"> </w:t>
      </w:r>
      <w:r w:rsidR="00E94FF7" w:rsidRPr="00FD211F">
        <w:rPr>
          <w:sz w:val="36"/>
          <w:szCs w:val="36"/>
          <w:rtl/>
        </w:rPr>
        <w:t>من</w:t>
      </w:r>
      <w:r w:rsidR="00E8128F">
        <w:rPr>
          <w:sz w:val="36"/>
          <w:szCs w:val="36"/>
          <w:rtl/>
        </w:rPr>
        <w:t xml:space="preserve"> </w:t>
      </w:r>
      <w:r w:rsidR="00E94FF7" w:rsidRPr="00FD211F">
        <w:rPr>
          <w:sz w:val="36"/>
          <w:szCs w:val="36"/>
          <w:rtl/>
        </w:rPr>
        <w:t>صغريات</w:t>
      </w:r>
      <w:r w:rsidR="00E8128F">
        <w:rPr>
          <w:sz w:val="36"/>
          <w:szCs w:val="36"/>
          <w:rtl/>
        </w:rPr>
        <w:t xml:space="preserve"> </w:t>
      </w:r>
      <w:r w:rsidR="00F56DC6" w:rsidRPr="00FD211F">
        <w:rPr>
          <w:sz w:val="36"/>
          <w:szCs w:val="36"/>
          <w:rtl/>
        </w:rPr>
        <w:t>باب</w:t>
      </w:r>
      <w:r w:rsidR="00E8128F">
        <w:rPr>
          <w:sz w:val="36"/>
          <w:szCs w:val="36"/>
          <w:rtl/>
        </w:rPr>
        <w:t xml:space="preserve"> </w:t>
      </w:r>
      <w:r w:rsidR="00F56DC6" w:rsidRPr="00FD211F">
        <w:rPr>
          <w:sz w:val="36"/>
          <w:szCs w:val="36"/>
          <w:rtl/>
        </w:rPr>
        <w:t>التعارض</w:t>
      </w:r>
      <w:r w:rsidR="00603323" w:rsidRPr="00FD211F">
        <w:rPr>
          <w:sz w:val="36"/>
          <w:szCs w:val="36"/>
          <w:rtl/>
        </w:rPr>
        <w:t>،</w:t>
      </w:r>
      <w:r w:rsidR="00E8128F">
        <w:rPr>
          <w:sz w:val="36"/>
          <w:szCs w:val="36"/>
          <w:rtl/>
        </w:rPr>
        <w:t xml:space="preserve"> </w:t>
      </w:r>
      <w:r w:rsidR="00E94FF7" w:rsidRPr="00FD211F">
        <w:rPr>
          <w:sz w:val="36"/>
          <w:szCs w:val="36"/>
          <w:rtl/>
        </w:rPr>
        <w:t>فلايمكن</w:t>
      </w:r>
      <w:r w:rsidR="00E8128F">
        <w:rPr>
          <w:sz w:val="36"/>
          <w:szCs w:val="36"/>
          <w:rtl/>
        </w:rPr>
        <w:t xml:space="preserve"> </w:t>
      </w:r>
      <w:r w:rsidR="00E94FF7" w:rsidRPr="00FD211F">
        <w:rPr>
          <w:sz w:val="36"/>
          <w:szCs w:val="36"/>
          <w:rtl/>
        </w:rPr>
        <w:t>استنباط</w:t>
      </w:r>
      <w:r w:rsidR="00E8128F">
        <w:rPr>
          <w:sz w:val="36"/>
          <w:szCs w:val="36"/>
          <w:rtl/>
        </w:rPr>
        <w:t xml:space="preserve"> </w:t>
      </w:r>
      <w:r w:rsidR="00E94FF7" w:rsidRPr="00FD211F">
        <w:rPr>
          <w:sz w:val="36"/>
          <w:szCs w:val="36"/>
          <w:rtl/>
        </w:rPr>
        <w:t>الحكم</w:t>
      </w:r>
      <w:r w:rsidR="00E8128F">
        <w:rPr>
          <w:sz w:val="36"/>
          <w:szCs w:val="36"/>
          <w:rtl/>
        </w:rPr>
        <w:t xml:space="preserve"> </w:t>
      </w:r>
      <w:r w:rsidR="00E94FF7" w:rsidRPr="00FD211F">
        <w:rPr>
          <w:sz w:val="36"/>
          <w:szCs w:val="36"/>
          <w:rtl/>
        </w:rPr>
        <w:t>الشرعي</w:t>
      </w:r>
      <w:r w:rsidR="00E8128F">
        <w:rPr>
          <w:sz w:val="36"/>
          <w:szCs w:val="36"/>
          <w:rtl/>
        </w:rPr>
        <w:t xml:space="preserve"> </w:t>
      </w:r>
      <w:r w:rsidR="00E94FF7" w:rsidRPr="00FD211F">
        <w:rPr>
          <w:sz w:val="36"/>
          <w:szCs w:val="36"/>
          <w:rtl/>
        </w:rPr>
        <w:t>منه</w:t>
      </w:r>
      <w:r w:rsidR="00E8128F">
        <w:rPr>
          <w:sz w:val="36"/>
          <w:szCs w:val="36"/>
          <w:rtl/>
        </w:rPr>
        <w:t xml:space="preserve"> </w:t>
      </w:r>
      <w:r w:rsidR="00E94FF7" w:rsidRPr="00FD211F">
        <w:rPr>
          <w:sz w:val="36"/>
          <w:szCs w:val="36"/>
          <w:rtl/>
        </w:rPr>
        <w:t>الا</w:t>
      </w:r>
      <w:r w:rsidR="00E8128F">
        <w:rPr>
          <w:sz w:val="36"/>
          <w:szCs w:val="36"/>
          <w:rtl/>
        </w:rPr>
        <w:t xml:space="preserve"> </w:t>
      </w:r>
      <w:r w:rsidR="00E94FF7" w:rsidRPr="00FD211F">
        <w:rPr>
          <w:sz w:val="36"/>
          <w:szCs w:val="36"/>
          <w:rtl/>
        </w:rPr>
        <w:t>بتوسيط</w:t>
      </w:r>
      <w:r w:rsidR="00E8128F">
        <w:rPr>
          <w:sz w:val="36"/>
          <w:szCs w:val="36"/>
          <w:rtl/>
        </w:rPr>
        <w:t xml:space="preserve"> </w:t>
      </w:r>
      <w:r w:rsidR="00E94FF7" w:rsidRPr="00FD211F">
        <w:rPr>
          <w:sz w:val="36"/>
          <w:szCs w:val="36"/>
          <w:rtl/>
        </w:rPr>
        <w:t>كبرى</w:t>
      </w:r>
      <w:r w:rsidR="00E8128F">
        <w:rPr>
          <w:sz w:val="36"/>
          <w:szCs w:val="36"/>
          <w:rtl/>
        </w:rPr>
        <w:t xml:space="preserve"> </w:t>
      </w:r>
      <w:r w:rsidR="00E94FF7" w:rsidRPr="00FD211F">
        <w:rPr>
          <w:sz w:val="36"/>
          <w:szCs w:val="36"/>
          <w:rtl/>
        </w:rPr>
        <w:t>حكم</w:t>
      </w:r>
      <w:r w:rsidR="00E8128F">
        <w:rPr>
          <w:sz w:val="36"/>
          <w:szCs w:val="36"/>
          <w:rtl/>
        </w:rPr>
        <w:t xml:space="preserve"> </w:t>
      </w:r>
      <w:r w:rsidR="00E94FF7" w:rsidRPr="00FD211F">
        <w:rPr>
          <w:sz w:val="36"/>
          <w:szCs w:val="36"/>
          <w:rtl/>
        </w:rPr>
        <w:t>تعارض</w:t>
      </w:r>
      <w:r w:rsidR="00E8128F">
        <w:rPr>
          <w:sz w:val="36"/>
          <w:szCs w:val="36"/>
          <w:rtl/>
        </w:rPr>
        <w:t xml:space="preserve"> </w:t>
      </w:r>
      <w:r w:rsidR="00E94FF7" w:rsidRPr="00FD211F">
        <w:rPr>
          <w:sz w:val="36"/>
          <w:szCs w:val="36"/>
          <w:rtl/>
        </w:rPr>
        <w:t>الدليلين</w:t>
      </w:r>
      <w:r w:rsidR="00603323" w:rsidRPr="00FD211F">
        <w:rPr>
          <w:sz w:val="36"/>
          <w:szCs w:val="36"/>
          <w:rtl/>
        </w:rPr>
        <w:t>،</w:t>
      </w:r>
      <w:r w:rsidR="00E8128F">
        <w:rPr>
          <w:sz w:val="36"/>
          <w:szCs w:val="36"/>
          <w:rtl/>
        </w:rPr>
        <w:t xml:space="preserve"> </w:t>
      </w:r>
      <w:r w:rsidR="00E94FF7" w:rsidRPr="00FD211F">
        <w:rPr>
          <w:sz w:val="36"/>
          <w:szCs w:val="36"/>
          <w:rtl/>
        </w:rPr>
        <w:t>مثال</w:t>
      </w:r>
      <w:r w:rsidR="00E8128F">
        <w:rPr>
          <w:sz w:val="36"/>
          <w:szCs w:val="36"/>
          <w:rtl/>
        </w:rPr>
        <w:t xml:space="preserve"> </w:t>
      </w:r>
      <w:r w:rsidR="00E94FF7" w:rsidRPr="00FD211F">
        <w:rPr>
          <w:sz w:val="36"/>
          <w:szCs w:val="36"/>
          <w:rtl/>
        </w:rPr>
        <w:t>ذلك</w:t>
      </w:r>
      <w:r w:rsidR="00E8128F">
        <w:rPr>
          <w:sz w:val="36"/>
          <w:szCs w:val="36"/>
          <w:rtl/>
        </w:rPr>
        <w:t xml:space="preserve"> </w:t>
      </w:r>
      <w:r w:rsidR="00E94FF7" w:rsidRPr="00FD211F">
        <w:rPr>
          <w:sz w:val="36"/>
          <w:szCs w:val="36"/>
          <w:rtl/>
        </w:rPr>
        <w:t>انه</w:t>
      </w:r>
      <w:r w:rsidR="00E8128F">
        <w:rPr>
          <w:sz w:val="36"/>
          <w:szCs w:val="36"/>
          <w:rtl/>
        </w:rPr>
        <w:t xml:space="preserve"> </w:t>
      </w:r>
      <w:r w:rsidR="00F24429" w:rsidRPr="00FD211F">
        <w:rPr>
          <w:sz w:val="36"/>
          <w:szCs w:val="36"/>
          <w:rtl/>
        </w:rPr>
        <w:t>في</w:t>
      </w:r>
      <w:r w:rsidR="00E8128F">
        <w:rPr>
          <w:sz w:val="36"/>
          <w:szCs w:val="36"/>
          <w:rtl/>
        </w:rPr>
        <w:t xml:space="preserve"> </w:t>
      </w:r>
      <w:r w:rsidR="00F24429" w:rsidRPr="00FD211F">
        <w:rPr>
          <w:sz w:val="36"/>
          <w:szCs w:val="36"/>
          <w:rtl/>
        </w:rPr>
        <w:t>مورد</w:t>
      </w:r>
      <w:r w:rsidR="00E8128F">
        <w:rPr>
          <w:sz w:val="36"/>
          <w:szCs w:val="36"/>
          <w:rtl/>
        </w:rPr>
        <w:t xml:space="preserve"> </w:t>
      </w:r>
      <w:r w:rsidR="00F24429" w:rsidRPr="00FD211F">
        <w:rPr>
          <w:sz w:val="36"/>
          <w:szCs w:val="36"/>
          <w:rtl/>
        </w:rPr>
        <w:t>الصلا</w:t>
      </w:r>
      <w:r w:rsidR="00EC7EDF" w:rsidRPr="00FD211F">
        <w:rPr>
          <w:sz w:val="36"/>
          <w:szCs w:val="36"/>
          <w:rtl/>
        </w:rPr>
        <w:t>ة</w:t>
      </w:r>
      <w:r w:rsidR="00E8128F">
        <w:rPr>
          <w:sz w:val="36"/>
          <w:szCs w:val="36"/>
          <w:rtl/>
        </w:rPr>
        <w:t xml:space="preserve"> </w:t>
      </w:r>
      <w:r w:rsidR="00F24429" w:rsidRPr="00FD211F">
        <w:rPr>
          <w:sz w:val="36"/>
          <w:szCs w:val="36"/>
          <w:rtl/>
        </w:rPr>
        <w:t>في</w:t>
      </w:r>
      <w:r w:rsidR="00E8128F">
        <w:rPr>
          <w:sz w:val="36"/>
          <w:szCs w:val="36"/>
          <w:rtl/>
        </w:rPr>
        <w:t xml:space="preserve"> </w:t>
      </w:r>
      <w:r w:rsidR="00F24429" w:rsidRPr="00FD211F">
        <w:rPr>
          <w:sz w:val="36"/>
          <w:szCs w:val="36"/>
          <w:rtl/>
        </w:rPr>
        <w:t>المكان</w:t>
      </w:r>
      <w:r w:rsidR="00E8128F">
        <w:rPr>
          <w:sz w:val="36"/>
          <w:szCs w:val="36"/>
          <w:rtl/>
        </w:rPr>
        <w:t xml:space="preserve"> </w:t>
      </w:r>
      <w:r w:rsidR="00F24429" w:rsidRPr="00FD211F">
        <w:rPr>
          <w:sz w:val="36"/>
          <w:szCs w:val="36"/>
          <w:rtl/>
        </w:rPr>
        <w:t>المغصوب</w:t>
      </w:r>
      <w:r w:rsidR="00E8128F">
        <w:rPr>
          <w:sz w:val="36"/>
          <w:szCs w:val="36"/>
          <w:rtl/>
        </w:rPr>
        <w:t xml:space="preserve"> </w:t>
      </w:r>
      <w:r w:rsidR="00E94FF7" w:rsidRPr="00FD211F">
        <w:rPr>
          <w:sz w:val="36"/>
          <w:szCs w:val="36"/>
          <w:rtl/>
        </w:rPr>
        <w:t>ان</w:t>
      </w:r>
      <w:r w:rsidR="00E8128F">
        <w:rPr>
          <w:sz w:val="36"/>
          <w:szCs w:val="36"/>
          <w:rtl/>
        </w:rPr>
        <w:t xml:space="preserve"> </w:t>
      </w:r>
      <w:r w:rsidR="00E94FF7" w:rsidRPr="00FD211F">
        <w:rPr>
          <w:sz w:val="36"/>
          <w:szCs w:val="36"/>
          <w:rtl/>
        </w:rPr>
        <w:t>بنينا</w:t>
      </w:r>
      <w:r w:rsidR="00E8128F">
        <w:rPr>
          <w:sz w:val="36"/>
          <w:szCs w:val="36"/>
          <w:rtl/>
        </w:rPr>
        <w:t xml:space="preserve"> </w:t>
      </w:r>
      <w:r w:rsidR="00F24429" w:rsidRPr="00FD211F">
        <w:rPr>
          <w:sz w:val="36"/>
          <w:szCs w:val="36"/>
          <w:rtl/>
        </w:rPr>
        <w:t>على</w:t>
      </w:r>
      <w:r w:rsidR="00E8128F">
        <w:rPr>
          <w:sz w:val="36"/>
          <w:szCs w:val="36"/>
          <w:rtl/>
        </w:rPr>
        <w:t xml:space="preserve"> </w:t>
      </w:r>
      <w:r w:rsidR="00F24429" w:rsidRPr="00FD211F">
        <w:rPr>
          <w:sz w:val="36"/>
          <w:szCs w:val="36"/>
          <w:rtl/>
        </w:rPr>
        <w:t>امتناع</w:t>
      </w:r>
      <w:r w:rsidR="00E8128F">
        <w:rPr>
          <w:sz w:val="36"/>
          <w:szCs w:val="36"/>
          <w:rtl/>
        </w:rPr>
        <w:t xml:space="preserve"> </w:t>
      </w:r>
      <w:r w:rsidR="00F24429" w:rsidRPr="00FD211F">
        <w:rPr>
          <w:sz w:val="36"/>
          <w:szCs w:val="36"/>
          <w:rtl/>
        </w:rPr>
        <w:t>اجتماع</w:t>
      </w:r>
      <w:r w:rsidR="00E8128F">
        <w:rPr>
          <w:sz w:val="36"/>
          <w:szCs w:val="36"/>
          <w:rtl/>
        </w:rPr>
        <w:t xml:space="preserve"> </w:t>
      </w:r>
      <w:r w:rsidR="00F24429" w:rsidRPr="00FD211F">
        <w:rPr>
          <w:sz w:val="36"/>
          <w:szCs w:val="36"/>
          <w:rtl/>
        </w:rPr>
        <w:t>النهي</w:t>
      </w:r>
      <w:r w:rsidR="00E8128F">
        <w:rPr>
          <w:sz w:val="36"/>
          <w:szCs w:val="36"/>
          <w:rtl/>
        </w:rPr>
        <w:t xml:space="preserve"> </w:t>
      </w:r>
      <w:r w:rsidR="00F24429" w:rsidRPr="00FD211F">
        <w:rPr>
          <w:sz w:val="36"/>
          <w:szCs w:val="36"/>
          <w:rtl/>
        </w:rPr>
        <w:t>عن</w:t>
      </w:r>
      <w:r w:rsidR="00E8128F">
        <w:rPr>
          <w:sz w:val="36"/>
          <w:szCs w:val="36"/>
          <w:rtl/>
        </w:rPr>
        <w:t xml:space="preserve"> </w:t>
      </w:r>
      <w:r w:rsidR="00F24429" w:rsidRPr="00FD211F">
        <w:rPr>
          <w:sz w:val="36"/>
          <w:szCs w:val="36"/>
          <w:rtl/>
        </w:rPr>
        <w:t>الغصب</w:t>
      </w:r>
      <w:r w:rsidR="00E8128F">
        <w:rPr>
          <w:sz w:val="36"/>
          <w:szCs w:val="36"/>
          <w:rtl/>
        </w:rPr>
        <w:t xml:space="preserve"> </w:t>
      </w:r>
      <w:r w:rsidR="00F24429" w:rsidRPr="00FD211F">
        <w:rPr>
          <w:sz w:val="36"/>
          <w:szCs w:val="36"/>
          <w:rtl/>
        </w:rPr>
        <w:t>مع</w:t>
      </w:r>
      <w:r w:rsidR="00E8128F">
        <w:rPr>
          <w:sz w:val="36"/>
          <w:szCs w:val="36"/>
          <w:rtl/>
        </w:rPr>
        <w:t xml:space="preserve"> </w:t>
      </w:r>
      <w:r w:rsidR="00F24429" w:rsidRPr="00FD211F">
        <w:rPr>
          <w:sz w:val="36"/>
          <w:szCs w:val="36"/>
          <w:rtl/>
        </w:rPr>
        <w:t>اطلاق</w:t>
      </w:r>
      <w:r w:rsidR="00E8128F">
        <w:rPr>
          <w:sz w:val="36"/>
          <w:szCs w:val="36"/>
          <w:rtl/>
        </w:rPr>
        <w:t xml:space="preserve"> </w:t>
      </w:r>
      <w:r w:rsidR="0090224F" w:rsidRPr="00FD211F">
        <w:rPr>
          <w:sz w:val="36"/>
          <w:szCs w:val="36"/>
          <w:rtl/>
        </w:rPr>
        <w:t>الأمر</w:t>
      </w:r>
      <w:r w:rsidR="00E8128F">
        <w:rPr>
          <w:sz w:val="36"/>
          <w:szCs w:val="36"/>
          <w:rtl/>
        </w:rPr>
        <w:t xml:space="preserve"> </w:t>
      </w:r>
      <w:r w:rsidR="00F24429" w:rsidRPr="00FD211F">
        <w:rPr>
          <w:sz w:val="36"/>
          <w:szCs w:val="36"/>
          <w:rtl/>
        </w:rPr>
        <w:t>بالصلا</w:t>
      </w:r>
      <w:r w:rsidR="00EC7EDF" w:rsidRPr="00FD211F">
        <w:rPr>
          <w:sz w:val="36"/>
          <w:szCs w:val="36"/>
          <w:rtl/>
        </w:rPr>
        <w:t>ة</w:t>
      </w:r>
      <w:r w:rsidR="00E8128F">
        <w:rPr>
          <w:sz w:val="36"/>
          <w:szCs w:val="36"/>
          <w:rtl/>
        </w:rPr>
        <w:t xml:space="preserve"> </w:t>
      </w:r>
      <w:r w:rsidR="004C71D0" w:rsidRPr="00FD211F">
        <w:rPr>
          <w:sz w:val="36"/>
          <w:szCs w:val="36"/>
          <w:rtl/>
        </w:rPr>
        <w:t>فيتعارض</w:t>
      </w:r>
      <w:r w:rsidR="00E8128F">
        <w:rPr>
          <w:sz w:val="36"/>
          <w:szCs w:val="36"/>
          <w:rtl/>
        </w:rPr>
        <w:t xml:space="preserve"> </w:t>
      </w:r>
      <w:r w:rsidR="004C71D0" w:rsidRPr="00FD211F">
        <w:rPr>
          <w:sz w:val="36"/>
          <w:szCs w:val="36"/>
          <w:rtl/>
        </w:rPr>
        <w:t>اطلاق</w:t>
      </w:r>
      <w:r w:rsidR="00E8128F">
        <w:rPr>
          <w:sz w:val="36"/>
          <w:szCs w:val="36"/>
          <w:rtl/>
        </w:rPr>
        <w:t xml:space="preserve"> </w:t>
      </w:r>
      <w:r w:rsidR="004C71D0" w:rsidRPr="00FD211F">
        <w:rPr>
          <w:sz w:val="36"/>
          <w:szCs w:val="36"/>
          <w:rtl/>
        </w:rPr>
        <w:t>دليل</w:t>
      </w:r>
      <w:r w:rsidR="00E8128F">
        <w:rPr>
          <w:sz w:val="36"/>
          <w:szCs w:val="36"/>
          <w:rtl/>
        </w:rPr>
        <w:t xml:space="preserve"> </w:t>
      </w:r>
      <w:r w:rsidR="004C71D0" w:rsidRPr="00FD211F">
        <w:rPr>
          <w:sz w:val="36"/>
          <w:szCs w:val="36"/>
          <w:rtl/>
        </w:rPr>
        <w:t>تحريم</w:t>
      </w:r>
      <w:r w:rsidR="00E8128F">
        <w:rPr>
          <w:sz w:val="36"/>
          <w:szCs w:val="36"/>
          <w:rtl/>
        </w:rPr>
        <w:t xml:space="preserve"> </w:t>
      </w:r>
      <w:r w:rsidR="004C71D0" w:rsidRPr="00FD211F">
        <w:rPr>
          <w:sz w:val="36"/>
          <w:szCs w:val="36"/>
          <w:rtl/>
        </w:rPr>
        <w:t>الغصب</w:t>
      </w:r>
      <w:r w:rsidR="00E8128F">
        <w:rPr>
          <w:sz w:val="36"/>
          <w:szCs w:val="36"/>
          <w:rtl/>
        </w:rPr>
        <w:t xml:space="preserve"> </w:t>
      </w:r>
      <w:r w:rsidR="004C71D0" w:rsidRPr="00FD211F">
        <w:rPr>
          <w:sz w:val="36"/>
          <w:szCs w:val="36"/>
          <w:rtl/>
        </w:rPr>
        <w:t>مع</w:t>
      </w:r>
      <w:r w:rsidR="00E8128F">
        <w:rPr>
          <w:sz w:val="36"/>
          <w:szCs w:val="36"/>
          <w:rtl/>
        </w:rPr>
        <w:t xml:space="preserve"> </w:t>
      </w:r>
      <w:r w:rsidR="004C71D0" w:rsidRPr="00FD211F">
        <w:rPr>
          <w:sz w:val="36"/>
          <w:szCs w:val="36"/>
          <w:rtl/>
        </w:rPr>
        <w:t>اطلاق</w:t>
      </w:r>
      <w:r w:rsidR="00E8128F">
        <w:rPr>
          <w:sz w:val="36"/>
          <w:szCs w:val="36"/>
          <w:rtl/>
        </w:rPr>
        <w:t xml:space="preserve"> </w:t>
      </w:r>
      <w:r w:rsidR="0090224F" w:rsidRPr="00FD211F">
        <w:rPr>
          <w:sz w:val="36"/>
          <w:szCs w:val="36"/>
          <w:rtl/>
        </w:rPr>
        <w:t>الأمر</w:t>
      </w:r>
      <w:r w:rsidR="00E8128F">
        <w:rPr>
          <w:sz w:val="36"/>
          <w:szCs w:val="36"/>
          <w:rtl/>
        </w:rPr>
        <w:t xml:space="preserve"> </w:t>
      </w:r>
      <w:r w:rsidR="004C71D0" w:rsidRPr="00FD211F">
        <w:rPr>
          <w:sz w:val="36"/>
          <w:szCs w:val="36"/>
          <w:rtl/>
        </w:rPr>
        <w:t>بالصلا</w:t>
      </w:r>
      <w:r w:rsidR="00EC7EDF" w:rsidRPr="00FD211F">
        <w:rPr>
          <w:sz w:val="36"/>
          <w:szCs w:val="36"/>
          <w:rtl/>
        </w:rPr>
        <w:t>ة</w:t>
      </w:r>
      <w:r w:rsidR="00603323" w:rsidRPr="00FD211F">
        <w:rPr>
          <w:sz w:val="36"/>
          <w:szCs w:val="36"/>
          <w:rtl/>
        </w:rPr>
        <w:t>،</w:t>
      </w:r>
      <w:r w:rsidR="00E8128F">
        <w:rPr>
          <w:sz w:val="36"/>
          <w:szCs w:val="36"/>
          <w:rtl/>
        </w:rPr>
        <w:t xml:space="preserve"> </w:t>
      </w:r>
      <w:r w:rsidR="004C71D0" w:rsidRPr="00FD211F">
        <w:rPr>
          <w:sz w:val="36"/>
          <w:szCs w:val="36"/>
          <w:rtl/>
        </w:rPr>
        <w:t>ولكنه</w:t>
      </w:r>
      <w:r w:rsidR="00E8128F">
        <w:rPr>
          <w:sz w:val="36"/>
          <w:szCs w:val="36"/>
          <w:rtl/>
        </w:rPr>
        <w:t xml:space="preserve"> </w:t>
      </w:r>
      <w:r w:rsidR="004C71D0" w:rsidRPr="00FD211F">
        <w:rPr>
          <w:sz w:val="36"/>
          <w:szCs w:val="36"/>
          <w:rtl/>
        </w:rPr>
        <w:t>لايكفي</w:t>
      </w:r>
      <w:r w:rsidR="00E8128F">
        <w:rPr>
          <w:sz w:val="36"/>
          <w:szCs w:val="36"/>
          <w:rtl/>
        </w:rPr>
        <w:t xml:space="preserve"> </w:t>
      </w:r>
      <w:r w:rsidR="004C71D0" w:rsidRPr="00FD211F">
        <w:rPr>
          <w:sz w:val="36"/>
          <w:szCs w:val="36"/>
          <w:rtl/>
        </w:rPr>
        <w:t>ذلك</w:t>
      </w:r>
      <w:r w:rsidR="00E8128F">
        <w:rPr>
          <w:sz w:val="36"/>
          <w:szCs w:val="36"/>
          <w:rtl/>
        </w:rPr>
        <w:t xml:space="preserve"> </w:t>
      </w:r>
      <w:r w:rsidR="004C71D0" w:rsidRPr="00FD211F">
        <w:rPr>
          <w:sz w:val="36"/>
          <w:szCs w:val="36"/>
          <w:rtl/>
        </w:rPr>
        <w:t>لاستنباط</w:t>
      </w:r>
      <w:r w:rsidR="00E8128F">
        <w:rPr>
          <w:sz w:val="36"/>
          <w:szCs w:val="36"/>
          <w:rtl/>
        </w:rPr>
        <w:t xml:space="preserve"> </w:t>
      </w:r>
      <w:r w:rsidR="004C71D0" w:rsidRPr="00FD211F">
        <w:rPr>
          <w:sz w:val="36"/>
          <w:szCs w:val="36"/>
          <w:rtl/>
        </w:rPr>
        <w:t>الحكم</w:t>
      </w:r>
      <w:r w:rsidR="00E8128F">
        <w:rPr>
          <w:sz w:val="36"/>
          <w:szCs w:val="36"/>
          <w:rtl/>
        </w:rPr>
        <w:t xml:space="preserve"> </w:t>
      </w:r>
      <w:r w:rsidR="004C71D0" w:rsidRPr="00FD211F">
        <w:rPr>
          <w:sz w:val="36"/>
          <w:szCs w:val="36"/>
          <w:rtl/>
        </w:rPr>
        <w:t>الشرعي</w:t>
      </w:r>
      <w:r w:rsidR="00603323" w:rsidRPr="00FD211F">
        <w:rPr>
          <w:sz w:val="36"/>
          <w:szCs w:val="36"/>
          <w:rtl/>
        </w:rPr>
        <w:t>،</w:t>
      </w:r>
      <w:r w:rsidR="00E8128F">
        <w:rPr>
          <w:sz w:val="36"/>
          <w:szCs w:val="36"/>
          <w:rtl/>
        </w:rPr>
        <w:t xml:space="preserve"> </w:t>
      </w:r>
      <w:r w:rsidR="004C71D0" w:rsidRPr="00FD211F">
        <w:rPr>
          <w:sz w:val="36"/>
          <w:szCs w:val="36"/>
          <w:rtl/>
        </w:rPr>
        <w:t>بل</w:t>
      </w:r>
      <w:r w:rsidR="00E8128F">
        <w:rPr>
          <w:sz w:val="36"/>
          <w:szCs w:val="36"/>
          <w:rtl/>
        </w:rPr>
        <w:t xml:space="preserve"> </w:t>
      </w:r>
      <w:r w:rsidR="004C71D0" w:rsidRPr="00FD211F">
        <w:rPr>
          <w:sz w:val="36"/>
          <w:szCs w:val="36"/>
          <w:rtl/>
        </w:rPr>
        <w:t>يحتاج</w:t>
      </w:r>
      <w:r w:rsidR="00E8128F">
        <w:rPr>
          <w:sz w:val="36"/>
          <w:szCs w:val="36"/>
          <w:rtl/>
        </w:rPr>
        <w:t xml:space="preserve"> </w:t>
      </w:r>
      <w:r w:rsidR="004C71D0" w:rsidRPr="00FD211F">
        <w:rPr>
          <w:sz w:val="36"/>
          <w:szCs w:val="36"/>
          <w:rtl/>
        </w:rPr>
        <w:t>الى</w:t>
      </w:r>
      <w:r w:rsidR="00E8128F">
        <w:rPr>
          <w:sz w:val="36"/>
          <w:szCs w:val="36"/>
          <w:rtl/>
        </w:rPr>
        <w:t xml:space="preserve"> </w:t>
      </w:r>
      <w:r w:rsidR="004C71D0" w:rsidRPr="00FD211F">
        <w:rPr>
          <w:sz w:val="36"/>
          <w:szCs w:val="36"/>
          <w:rtl/>
        </w:rPr>
        <w:t>توسيط</w:t>
      </w:r>
      <w:r w:rsidR="00E8128F">
        <w:rPr>
          <w:sz w:val="36"/>
          <w:szCs w:val="36"/>
          <w:rtl/>
        </w:rPr>
        <w:t xml:space="preserve"> </w:t>
      </w:r>
      <w:r w:rsidR="004C71D0" w:rsidRPr="00FD211F">
        <w:rPr>
          <w:sz w:val="36"/>
          <w:szCs w:val="36"/>
          <w:rtl/>
        </w:rPr>
        <w:t>كبر</w:t>
      </w:r>
      <w:r w:rsidR="008B751A" w:rsidRPr="00FD211F">
        <w:rPr>
          <w:sz w:val="36"/>
          <w:szCs w:val="36"/>
          <w:rtl/>
        </w:rPr>
        <w:t>ى</w:t>
      </w:r>
      <w:r w:rsidR="00E8128F">
        <w:rPr>
          <w:sz w:val="36"/>
          <w:szCs w:val="36"/>
          <w:rtl/>
        </w:rPr>
        <w:t xml:space="preserve"> </w:t>
      </w:r>
      <w:r w:rsidR="004C71D0" w:rsidRPr="00FD211F">
        <w:rPr>
          <w:sz w:val="36"/>
          <w:szCs w:val="36"/>
          <w:rtl/>
        </w:rPr>
        <w:t>بحث</w:t>
      </w:r>
      <w:r w:rsidR="00E8128F">
        <w:rPr>
          <w:sz w:val="36"/>
          <w:szCs w:val="36"/>
          <w:rtl/>
        </w:rPr>
        <w:t xml:space="preserve"> </w:t>
      </w:r>
      <w:r w:rsidR="004C71D0" w:rsidRPr="00FD211F">
        <w:rPr>
          <w:sz w:val="36"/>
          <w:szCs w:val="36"/>
          <w:rtl/>
        </w:rPr>
        <w:t>التعارض</w:t>
      </w:r>
      <w:r w:rsidR="00603323" w:rsidRPr="00FD211F">
        <w:rPr>
          <w:sz w:val="36"/>
          <w:szCs w:val="36"/>
          <w:rtl/>
        </w:rPr>
        <w:t>،</w:t>
      </w:r>
      <w:r w:rsidR="00E8128F">
        <w:rPr>
          <w:sz w:val="36"/>
          <w:szCs w:val="36"/>
          <w:rtl/>
        </w:rPr>
        <w:t xml:space="preserve"> </w:t>
      </w:r>
      <w:r w:rsidR="004C71D0" w:rsidRPr="00FD211F">
        <w:rPr>
          <w:sz w:val="36"/>
          <w:szCs w:val="36"/>
          <w:rtl/>
        </w:rPr>
        <w:t>فلايشمل</w:t>
      </w:r>
      <w:r w:rsidR="00E8128F">
        <w:rPr>
          <w:sz w:val="36"/>
          <w:szCs w:val="36"/>
          <w:rtl/>
        </w:rPr>
        <w:t xml:space="preserve"> </w:t>
      </w:r>
      <w:r w:rsidR="004C71D0" w:rsidRPr="00FD211F">
        <w:rPr>
          <w:sz w:val="36"/>
          <w:szCs w:val="36"/>
          <w:rtl/>
        </w:rPr>
        <w:t>التعريف</w:t>
      </w:r>
      <w:r w:rsidR="00E8128F">
        <w:rPr>
          <w:sz w:val="36"/>
          <w:szCs w:val="36"/>
          <w:rtl/>
        </w:rPr>
        <w:t xml:space="preserve"> </w:t>
      </w:r>
      <w:r w:rsidR="004C71D0" w:rsidRPr="00FD211F">
        <w:rPr>
          <w:sz w:val="36"/>
          <w:szCs w:val="36"/>
          <w:rtl/>
        </w:rPr>
        <w:t>مبحث</w:t>
      </w:r>
      <w:r w:rsidR="00E8128F">
        <w:rPr>
          <w:sz w:val="36"/>
          <w:szCs w:val="36"/>
          <w:rtl/>
        </w:rPr>
        <w:t xml:space="preserve"> </w:t>
      </w:r>
      <w:r w:rsidR="004C71D0" w:rsidRPr="00FD211F">
        <w:rPr>
          <w:sz w:val="36"/>
          <w:szCs w:val="36"/>
          <w:rtl/>
        </w:rPr>
        <w:t>اجتماع</w:t>
      </w:r>
      <w:r w:rsidR="00E8128F">
        <w:rPr>
          <w:sz w:val="36"/>
          <w:szCs w:val="36"/>
          <w:rtl/>
        </w:rPr>
        <w:t xml:space="preserve"> </w:t>
      </w:r>
      <w:r w:rsidR="0090224F" w:rsidRPr="00FD211F">
        <w:rPr>
          <w:sz w:val="36"/>
          <w:szCs w:val="36"/>
          <w:rtl/>
        </w:rPr>
        <w:t>الأمر</w:t>
      </w:r>
      <w:r w:rsidR="00E8128F">
        <w:rPr>
          <w:sz w:val="36"/>
          <w:szCs w:val="36"/>
          <w:rtl/>
        </w:rPr>
        <w:t xml:space="preserve"> </w:t>
      </w:r>
      <w:r w:rsidR="004C71D0" w:rsidRPr="00FD211F">
        <w:rPr>
          <w:sz w:val="36"/>
          <w:szCs w:val="36"/>
          <w:rtl/>
        </w:rPr>
        <w:t>والنهي</w:t>
      </w:r>
      <w:r w:rsidR="00E8128F">
        <w:rPr>
          <w:sz w:val="36"/>
          <w:szCs w:val="36"/>
          <w:rtl/>
        </w:rPr>
        <w:t xml:space="preserve"> </w:t>
      </w:r>
      <w:r w:rsidR="004C71D0" w:rsidRPr="00FD211F">
        <w:rPr>
          <w:sz w:val="36"/>
          <w:szCs w:val="36"/>
          <w:rtl/>
        </w:rPr>
        <w:t>على</w:t>
      </w:r>
      <w:r w:rsidR="00E8128F">
        <w:rPr>
          <w:sz w:val="36"/>
          <w:szCs w:val="36"/>
          <w:rtl/>
        </w:rPr>
        <w:t xml:space="preserve"> </w:t>
      </w:r>
      <w:r w:rsidR="004C71D0" w:rsidRPr="00FD211F">
        <w:rPr>
          <w:sz w:val="36"/>
          <w:szCs w:val="36"/>
          <w:rtl/>
        </w:rPr>
        <w:t>القول</w:t>
      </w:r>
      <w:r w:rsidR="00E8128F">
        <w:rPr>
          <w:sz w:val="36"/>
          <w:szCs w:val="36"/>
          <w:rtl/>
        </w:rPr>
        <w:t xml:space="preserve"> </w:t>
      </w:r>
      <w:r w:rsidR="004C71D0" w:rsidRPr="00FD211F">
        <w:rPr>
          <w:sz w:val="36"/>
          <w:szCs w:val="36"/>
          <w:rtl/>
        </w:rPr>
        <w:t>بالامتناع.</w:t>
      </w:r>
    </w:p>
    <w:p w14:paraId="2BB7B242" w14:textId="77777777" w:rsidR="004C71D0" w:rsidRPr="00FD211F" w:rsidRDefault="004C71D0" w:rsidP="009C58C8">
      <w:pPr>
        <w:ind w:left="0" w:firstLine="227"/>
        <w:jc w:val="both"/>
        <w:rPr>
          <w:sz w:val="36"/>
          <w:szCs w:val="36"/>
          <w:rtl/>
        </w:rPr>
      </w:pPr>
      <w:r w:rsidRPr="00FD211F">
        <w:rPr>
          <w:sz w:val="36"/>
          <w:szCs w:val="36"/>
          <w:rtl/>
        </w:rPr>
        <w:t>وأجاب</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بانه</w:t>
      </w:r>
      <w:r w:rsidR="00E8128F">
        <w:rPr>
          <w:sz w:val="36"/>
          <w:szCs w:val="36"/>
          <w:rtl/>
        </w:rPr>
        <w:t xml:space="preserve"> </w:t>
      </w:r>
      <w:r w:rsidR="00F56DC6" w:rsidRPr="00FD211F">
        <w:rPr>
          <w:sz w:val="36"/>
          <w:szCs w:val="36"/>
          <w:rtl/>
        </w:rPr>
        <w:t>يكفي</w:t>
      </w:r>
      <w:r w:rsidR="00E8128F">
        <w:rPr>
          <w:sz w:val="36"/>
          <w:szCs w:val="36"/>
          <w:rtl/>
        </w:rPr>
        <w:t xml:space="preserve"> </w:t>
      </w:r>
      <w:r w:rsidR="00F56DC6" w:rsidRPr="00FD211F">
        <w:rPr>
          <w:sz w:val="36"/>
          <w:szCs w:val="36"/>
          <w:rtl/>
        </w:rPr>
        <w:t>في</w:t>
      </w:r>
      <w:r w:rsidR="00E8128F">
        <w:rPr>
          <w:sz w:val="36"/>
          <w:szCs w:val="36"/>
          <w:rtl/>
        </w:rPr>
        <w:t xml:space="preserve"> </w:t>
      </w:r>
      <w:r w:rsidR="00F56DC6" w:rsidRPr="00FD211F">
        <w:rPr>
          <w:sz w:val="36"/>
          <w:szCs w:val="36"/>
          <w:rtl/>
        </w:rPr>
        <w:t>كون</w:t>
      </w:r>
      <w:r w:rsidR="00E8128F">
        <w:rPr>
          <w:sz w:val="36"/>
          <w:szCs w:val="36"/>
          <w:rtl/>
        </w:rPr>
        <w:t xml:space="preserve"> </w:t>
      </w:r>
      <w:r w:rsidR="00F56DC6" w:rsidRPr="00FD211F">
        <w:rPr>
          <w:sz w:val="36"/>
          <w:szCs w:val="36"/>
          <w:rtl/>
        </w:rPr>
        <w:t>المسأل</w:t>
      </w:r>
      <w:r w:rsidR="00EC7EDF" w:rsidRPr="00FD211F">
        <w:rPr>
          <w:sz w:val="36"/>
          <w:szCs w:val="36"/>
          <w:rtl/>
        </w:rPr>
        <w:t>ة</w:t>
      </w:r>
      <w:r w:rsidR="00E8128F">
        <w:rPr>
          <w:sz w:val="36"/>
          <w:szCs w:val="36"/>
          <w:rtl/>
        </w:rPr>
        <w:t xml:space="preserve"> </w:t>
      </w:r>
      <w:r w:rsidR="00F56DC6" w:rsidRPr="00FD211F">
        <w:rPr>
          <w:sz w:val="36"/>
          <w:szCs w:val="36"/>
          <w:rtl/>
        </w:rPr>
        <w:t>اصولي</w:t>
      </w:r>
      <w:r w:rsidR="00EC7EDF" w:rsidRPr="00FD211F">
        <w:rPr>
          <w:sz w:val="36"/>
          <w:szCs w:val="36"/>
          <w:rtl/>
        </w:rPr>
        <w:t>ة</w:t>
      </w:r>
      <w:r w:rsidR="00E8128F">
        <w:rPr>
          <w:sz w:val="36"/>
          <w:szCs w:val="36"/>
          <w:rtl/>
        </w:rPr>
        <w:t xml:space="preserve"> </w:t>
      </w:r>
      <w:r w:rsidR="00F56DC6" w:rsidRPr="00FD211F">
        <w:rPr>
          <w:sz w:val="36"/>
          <w:szCs w:val="36"/>
          <w:rtl/>
        </w:rPr>
        <w:t>وقوع</w:t>
      </w:r>
      <w:r w:rsidR="00E8128F">
        <w:rPr>
          <w:sz w:val="36"/>
          <w:szCs w:val="36"/>
          <w:rtl/>
        </w:rPr>
        <w:t xml:space="preserve"> </w:t>
      </w:r>
      <w:r w:rsidR="00F56DC6" w:rsidRPr="00FD211F">
        <w:rPr>
          <w:sz w:val="36"/>
          <w:szCs w:val="36"/>
          <w:rtl/>
        </w:rPr>
        <w:t>احد</w:t>
      </w:r>
      <w:r w:rsidR="00E8128F">
        <w:rPr>
          <w:sz w:val="36"/>
          <w:szCs w:val="36"/>
          <w:rtl/>
        </w:rPr>
        <w:t xml:space="preserve"> </w:t>
      </w:r>
      <w:r w:rsidR="00F56DC6" w:rsidRPr="00FD211F">
        <w:rPr>
          <w:sz w:val="36"/>
          <w:szCs w:val="36"/>
          <w:rtl/>
        </w:rPr>
        <w:t>طرفي</w:t>
      </w:r>
      <w:r w:rsidR="00E8128F">
        <w:rPr>
          <w:sz w:val="36"/>
          <w:szCs w:val="36"/>
          <w:rtl/>
        </w:rPr>
        <w:t xml:space="preserve"> </w:t>
      </w:r>
      <w:r w:rsidR="00F56DC6" w:rsidRPr="00FD211F">
        <w:rPr>
          <w:sz w:val="36"/>
          <w:szCs w:val="36"/>
          <w:rtl/>
        </w:rPr>
        <w:t>النتيج</w:t>
      </w:r>
      <w:r w:rsidR="00EC7EDF" w:rsidRPr="00FD211F">
        <w:rPr>
          <w:sz w:val="36"/>
          <w:szCs w:val="36"/>
          <w:rtl/>
        </w:rPr>
        <w:t>ة</w:t>
      </w:r>
      <w:r w:rsidR="00E8128F">
        <w:rPr>
          <w:sz w:val="36"/>
          <w:szCs w:val="36"/>
          <w:rtl/>
        </w:rPr>
        <w:t xml:space="preserve"> </w:t>
      </w:r>
      <w:r w:rsidR="00F56DC6" w:rsidRPr="00FD211F">
        <w:rPr>
          <w:sz w:val="36"/>
          <w:szCs w:val="36"/>
          <w:rtl/>
        </w:rPr>
        <w:t>في</w:t>
      </w:r>
      <w:r w:rsidR="00E8128F">
        <w:rPr>
          <w:sz w:val="36"/>
          <w:szCs w:val="36"/>
          <w:rtl/>
        </w:rPr>
        <w:t xml:space="preserve"> </w:t>
      </w:r>
      <w:r w:rsidR="00F56DC6" w:rsidRPr="00FD211F">
        <w:rPr>
          <w:sz w:val="36"/>
          <w:szCs w:val="36"/>
          <w:rtl/>
        </w:rPr>
        <w:t>طريق</w:t>
      </w:r>
      <w:r w:rsidR="00E8128F">
        <w:rPr>
          <w:sz w:val="36"/>
          <w:szCs w:val="36"/>
          <w:rtl/>
        </w:rPr>
        <w:t xml:space="preserve"> </w:t>
      </w:r>
      <w:r w:rsidR="00F56DC6" w:rsidRPr="00FD211F">
        <w:rPr>
          <w:sz w:val="36"/>
          <w:szCs w:val="36"/>
          <w:rtl/>
        </w:rPr>
        <w:t>الاستنباط</w:t>
      </w:r>
      <w:r w:rsidR="00603323" w:rsidRPr="00FD211F">
        <w:rPr>
          <w:sz w:val="36"/>
          <w:szCs w:val="36"/>
          <w:rtl/>
        </w:rPr>
        <w:t>،</w:t>
      </w:r>
      <w:r w:rsidR="00E8128F">
        <w:rPr>
          <w:sz w:val="36"/>
          <w:szCs w:val="36"/>
          <w:rtl/>
        </w:rPr>
        <w:t xml:space="preserve"> </w:t>
      </w:r>
      <w:r w:rsidR="00F56DC6" w:rsidRPr="00FD211F">
        <w:rPr>
          <w:sz w:val="36"/>
          <w:szCs w:val="36"/>
          <w:rtl/>
        </w:rPr>
        <w:t>والا</w:t>
      </w:r>
      <w:r w:rsidR="00E8128F">
        <w:rPr>
          <w:sz w:val="36"/>
          <w:szCs w:val="36"/>
          <w:rtl/>
        </w:rPr>
        <w:t xml:space="preserve"> </w:t>
      </w:r>
      <w:r w:rsidR="00F56DC6" w:rsidRPr="00FD211F">
        <w:rPr>
          <w:sz w:val="36"/>
          <w:szCs w:val="36"/>
          <w:rtl/>
        </w:rPr>
        <w:t>فمسال</w:t>
      </w:r>
      <w:r w:rsidR="00EC7EDF" w:rsidRPr="00FD211F">
        <w:rPr>
          <w:sz w:val="36"/>
          <w:szCs w:val="36"/>
          <w:rtl/>
        </w:rPr>
        <w:t>ة</w:t>
      </w:r>
      <w:r w:rsidR="00E8128F">
        <w:rPr>
          <w:sz w:val="36"/>
          <w:szCs w:val="36"/>
          <w:rtl/>
        </w:rPr>
        <w:t xml:space="preserve"> </w:t>
      </w:r>
      <w:r w:rsidR="00F56DC6" w:rsidRPr="00FD211F">
        <w:rPr>
          <w:sz w:val="36"/>
          <w:szCs w:val="36"/>
          <w:rtl/>
        </w:rPr>
        <w:t>حجي</w:t>
      </w:r>
      <w:r w:rsidR="00EC7EDF" w:rsidRPr="00FD211F">
        <w:rPr>
          <w:sz w:val="36"/>
          <w:szCs w:val="36"/>
          <w:rtl/>
        </w:rPr>
        <w:t>ة</w:t>
      </w:r>
      <w:r w:rsidR="00E8128F">
        <w:rPr>
          <w:sz w:val="36"/>
          <w:szCs w:val="36"/>
          <w:rtl/>
        </w:rPr>
        <w:t xml:space="preserve"> </w:t>
      </w:r>
      <w:r w:rsidR="00F56DC6" w:rsidRPr="00FD211F">
        <w:rPr>
          <w:sz w:val="36"/>
          <w:szCs w:val="36"/>
          <w:rtl/>
        </w:rPr>
        <w:t>الخبر</w:t>
      </w:r>
      <w:r w:rsidR="00E8128F">
        <w:rPr>
          <w:sz w:val="36"/>
          <w:szCs w:val="36"/>
          <w:rtl/>
        </w:rPr>
        <w:t xml:space="preserve"> </w:t>
      </w:r>
      <w:r w:rsidR="001A5E03" w:rsidRPr="00FD211F">
        <w:rPr>
          <w:sz w:val="36"/>
          <w:szCs w:val="36"/>
          <w:rtl/>
        </w:rPr>
        <w:t>بناء</w:t>
      </w:r>
      <w:r w:rsidR="00E8128F">
        <w:rPr>
          <w:sz w:val="36"/>
          <w:szCs w:val="36"/>
          <w:rtl/>
        </w:rPr>
        <w:t xml:space="preserve"> </w:t>
      </w:r>
      <w:r w:rsidR="001A5E03" w:rsidRPr="00FD211F">
        <w:rPr>
          <w:sz w:val="36"/>
          <w:szCs w:val="36"/>
          <w:rtl/>
        </w:rPr>
        <w:t>على</w:t>
      </w:r>
      <w:r w:rsidR="00E8128F">
        <w:rPr>
          <w:sz w:val="36"/>
          <w:szCs w:val="36"/>
          <w:rtl/>
        </w:rPr>
        <w:t xml:space="preserve"> </w:t>
      </w:r>
      <w:r w:rsidR="001A5E03" w:rsidRPr="00FD211F">
        <w:rPr>
          <w:sz w:val="36"/>
          <w:szCs w:val="36"/>
          <w:rtl/>
        </w:rPr>
        <w:t>القول</w:t>
      </w:r>
      <w:r w:rsidR="00E8128F">
        <w:rPr>
          <w:sz w:val="36"/>
          <w:szCs w:val="36"/>
          <w:rtl/>
        </w:rPr>
        <w:t xml:space="preserve"> </w:t>
      </w:r>
      <w:r w:rsidR="001A5E03" w:rsidRPr="00FD211F">
        <w:rPr>
          <w:sz w:val="36"/>
          <w:szCs w:val="36"/>
          <w:rtl/>
        </w:rPr>
        <w:t>بعدم</w:t>
      </w:r>
      <w:r w:rsidR="00E8128F">
        <w:rPr>
          <w:sz w:val="36"/>
          <w:szCs w:val="36"/>
          <w:rtl/>
        </w:rPr>
        <w:t xml:space="preserve"> </w:t>
      </w:r>
      <w:r w:rsidR="001A5E03" w:rsidRPr="00FD211F">
        <w:rPr>
          <w:sz w:val="36"/>
          <w:szCs w:val="36"/>
          <w:rtl/>
        </w:rPr>
        <w:t>حجيته</w:t>
      </w:r>
      <w:r w:rsidR="00E8128F">
        <w:rPr>
          <w:sz w:val="36"/>
          <w:szCs w:val="36"/>
          <w:rtl/>
        </w:rPr>
        <w:t xml:space="preserve"> </w:t>
      </w:r>
      <w:r w:rsidR="00F56DC6" w:rsidRPr="00FD211F">
        <w:rPr>
          <w:sz w:val="36"/>
          <w:szCs w:val="36"/>
          <w:rtl/>
        </w:rPr>
        <w:t>لاتقع</w:t>
      </w:r>
      <w:r w:rsidR="00E8128F">
        <w:rPr>
          <w:sz w:val="36"/>
          <w:szCs w:val="36"/>
          <w:rtl/>
        </w:rPr>
        <w:t xml:space="preserve"> </w:t>
      </w:r>
      <w:r w:rsidR="00F56DC6" w:rsidRPr="00FD211F">
        <w:rPr>
          <w:sz w:val="36"/>
          <w:szCs w:val="36"/>
          <w:rtl/>
        </w:rPr>
        <w:t>آخر</w:t>
      </w:r>
      <w:r w:rsidR="00E8128F">
        <w:rPr>
          <w:sz w:val="36"/>
          <w:szCs w:val="36"/>
          <w:rtl/>
        </w:rPr>
        <w:t xml:space="preserve"> </w:t>
      </w:r>
      <w:r w:rsidR="00F56DC6" w:rsidRPr="00FD211F">
        <w:rPr>
          <w:sz w:val="36"/>
          <w:szCs w:val="36"/>
          <w:rtl/>
        </w:rPr>
        <w:t>كبرى</w:t>
      </w:r>
      <w:r w:rsidR="00E8128F">
        <w:rPr>
          <w:sz w:val="36"/>
          <w:szCs w:val="36"/>
          <w:rtl/>
        </w:rPr>
        <w:t xml:space="preserve"> </w:t>
      </w:r>
      <w:r w:rsidR="00F56DC6" w:rsidRPr="00FD211F">
        <w:rPr>
          <w:sz w:val="36"/>
          <w:szCs w:val="36"/>
          <w:rtl/>
        </w:rPr>
        <w:t>لقياس</w:t>
      </w:r>
      <w:r w:rsidR="00E8128F">
        <w:rPr>
          <w:sz w:val="36"/>
          <w:szCs w:val="36"/>
          <w:rtl/>
        </w:rPr>
        <w:t xml:space="preserve"> </w:t>
      </w:r>
      <w:r w:rsidR="00F56DC6" w:rsidRPr="00FD211F">
        <w:rPr>
          <w:sz w:val="36"/>
          <w:szCs w:val="36"/>
          <w:rtl/>
        </w:rPr>
        <w:t>الاستنباط</w:t>
      </w:r>
      <w:r w:rsidR="00603323" w:rsidRPr="00FD211F">
        <w:rPr>
          <w:sz w:val="36"/>
          <w:szCs w:val="36"/>
          <w:rtl/>
        </w:rPr>
        <w:t>،</w:t>
      </w:r>
      <w:r w:rsidR="00E8128F">
        <w:rPr>
          <w:sz w:val="36"/>
          <w:szCs w:val="36"/>
          <w:rtl/>
        </w:rPr>
        <w:t xml:space="preserve"> </w:t>
      </w:r>
      <w:r w:rsidR="006C66E1" w:rsidRPr="00FD211F">
        <w:rPr>
          <w:sz w:val="36"/>
          <w:szCs w:val="36"/>
          <w:rtl/>
        </w:rPr>
        <w:t>وعليه</w:t>
      </w:r>
      <w:r w:rsidR="00E8128F">
        <w:rPr>
          <w:sz w:val="36"/>
          <w:szCs w:val="36"/>
          <w:rtl/>
        </w:rPr>
        <w:t xml:space="preserve"> </w:t>
      </w:r>
      <w:r w:rsidR="006C66E1" w:rsidRPr="00FD211F">
        <w:rPr>
          <w:sz w:val="36"/>
          <w:szCs w:val="36"/>
          <w:rtl/>
        </w:rPr>
        <w:t>ف</w:t>
      </w:r>
      <w:r w:rsidRPr="00FD211F">
        <w:rPr>
          <w:sz w:val="36"/>
          <w:szCs w:val="36"/>
          <w:rtl/>
        </w:rPr>
        <w:t>مبحث</w:t>
      </w:r>
      <w:r w:rsidR="00E8128F">
        <w:rPr>
          <w:sz w:val="36"/>
          <w:szCs w:val="36"/>
          <w:rtl/>
        </w:rPr>
        <w:t xml:space="preserve"> </w:t>
      </w:r>
      <w:r w:rsidRPr="00FD211F">
        <w:rPr>
          <w:sz w:val="36"/>
          <w:szCs w:val="36"/>
          <w:rtl/>
        </w:rPr>
        <w:t>اجتماع</w:t>
      </w:r>
      <w:r w:rsidR="00E8128F">
        <w:rPr>
          <w:sz w:val="36"/>
          <w:szCs w:val="36"/>
          <w:rtl/>
        </w:rPr>
        <w:t xml:space="preserve"> </w:t>
      </w:r>
      <w:r w:rsidR="0090224F" w:rsidRPr="00FD211F">
        <w:rPr>
          <w:sz w:val="36"/>
          <w:szCs w:val="36"/>
          <w:rtl/>
        </w:rPr>
        <w:t>الأمر</w:t>
      </w:r>
      <w:r w:rsidR="00E8128F">
        <w:rPr>
          <w:sz w:val="36"/>
          <w:szCs w:val="36"/>
          <w:rtl/>
        </w:rPr>
        <w:t xml:space="preserve"> </w:t>
      </w:r>
      <w:r w:rsidRPr="00FD211F">
        <w:rPr>
          <w:sz w:val="36"/>
          <w:szCs w:val="36"/>
          <w:rtl/>
        </w:rPr>
        <w:t>والنهي</w:t>
      </w:r>
      <w:r w:rsidR="00E8128F">
        <w:rPr>
          <w:sz w:val="36"/>
          <w:szCs w:val="36"/>
          <w:rtl/>
        </w:rPr>
        <w:t xml:space="preserve"> </w:t>
      </w:r>
      <w:r w:rsidR="006C66E1" w:rsidRPr="00FD211F">
        <w:rPr>
          <w:sz w:val="36"/>
          <w:szCs w:val="36"/>
          <w:rtl/>
        </w:rPr>
        <w:t>أيضا</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القول</w:t>
      </w:r>
      <w:r w:rsidR="00E8128F">
        <w:rPr>
          <w:sz w:val="36"/>
          <w:szCs w:val="36"/>
          <w:rtl/>
        </w:rPr>
        <w:t xml:space="preserve"> </w:t>
      </w:r>
      <w:r w:rsidRPr="00FD211F">
        <w:rPr>
          <w:sz w:val="36"/>
          <w:szCs w:val="36"/>
          <w:rtl/>
        </w:rPr>
        <w:t>بجواز</w:t>
      </w:r>
      <w:r w:rsidR="00E8128F">
        <w:rPr>
          <w:sz w:val="36"/>
          <w:szCs w:val="36"/>
          <w:rtl/>
        </w:rPr>
        <w:t xml:space="preserve"> </w:t>
      </w:r>
      <w:r w:rsidRPr="00FD211F">
        <w:rPr>
          <w:sz w:val="36"/>
          <w:szCs w:val="36"/>
          <w:rtl/>
        </w:rPr>
        <w:t>اجتماع</w:t>
      </w:r>
      <w:r w:rsidR="00E8128F">
        <w:rPr>
          <w:sz w:val="36"/>
          <w:szCs w:val="36"/>
          <w:rtl/>
        </w:rPr>
        <w:t xml:space="preserve"> </w:t>
      </w:r>
      <w:r w:rsidR="0090224F" w:rsidRPr="00FD211F">
        <w:rPr>
          <w:sz w:val="36"/>
          <w:szCs w:val="36"/>
          <w:rtl/>
        </w:rPr>
        <w:t>الأمر</w:t>
      </w:r>
      <w:r w:rsidR="00E8128F">
        <w:rPr>
          <w:sz w:val="36"/>
          <w:szCs w:val="36"/>
          <w:rtl/>
        </w:rPr>
        <w:t xml:space="preserve"> </w:t>
      </w:r>
      <w:r w:rsidRPr="00FD211F">
        <w:rPr>
          <w:sz w:val="36"/>
          <w:szCs w:val="36"/>
          <w:rtl/>
        </w:rPr>
        <w:t>والنهي</w:t>
      </w:r>
      <w:r w:rsidR="00E8128F">
        <w:rPr>
          <w:sz w:val="36"/>
          <w:szCs w:val="36"/>
          <w:rtl/>
        </w:rPr>
        <w:t xml:space="preserve"> </w:t>
      </w:r>
      <w:r w:rsidRPr="00FD211F">
        <w:rPr>
          <w:sz w:val="36"/>
          <w:szCs w:val="36"/>
          <w:rtl/>
        </w:rPr>
        <w:t>يمكن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يقع</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استنباط</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وهو</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بصح</w:t>
      </w:r>
      <w:r w:rsidR="00EC7EDF" w:rsidRPr="00FD211F">
        <w:rPr>
          <w:sz w:val="36"/>
          <w:szCs w:val="36"/>
          <w:rtl/>
        </w:rPr>
        <w:t>ة</w:t>
      </w:r>
      <w:r w:rsidR="00E8128F">
        <w:rPr>
          <w:sz w:val="36"/>
          <w:szCs w:val="36"/>
          <w:rtl/>
        </w:rPr>
        <w:t xml:space="preserve"> </w:t>
      </w:r>
      <w:r w:rsidRPr="00FD211F">
        <w:rPr>
          <w:sz w:val="36"/>
          <w:szCs w:val="36"/>
          <w:rtl/>
        </w:rPr>
        <w:t>الصلا</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المكان</w:t>
      </w:r>
      <w:r w:rsidR="00E8128F">
        <w:rPr>
          <w:sz w:val="36"/>
          <w:szCs w:val="36"/>
          <w:rtl/>
        </w:rPr>
        <w:t xml:space="preserve"> </w:t>
      </w:r>
      <w:r w:rsidRPr="00FD211F">
        <w:rPr>
          <w:sz w:val="36"/>
          <w:szCs w:val="36"/>
          <w:rtl/>
        </w:rPr>
        <w:t>المغصوب</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المثال</w:t>
      </w:r>
      <w:r w:rsidR="00E8128F">
        <w:rPr>
          <w:sz w:val="36"/>
          <w:szCs w:val="36"/>
          <w:rtl/>
        </w:rPr>
        <w:t xml:space="preserve"> </w:t>
      </w:r>
      <w:r w:rsidRPr="00FD211F">
        <w:rPr>
          <w:sz w:val="36"/>
          <w:szCs w:val="36"/>
          <w:rtl/>
        </w:rPr>
        <w:t>المتقدم</w:t>
      </w:r>
      <w:r w:rsidR="00E8128F">
        <w:rPr>
          <w:sz w:val="36"/>
          <w:szCs w:val="36"/>
          <w:rtl/>
        </w:rPr>
        <w:t xml:space="preserve"> </w:t>
      </w:r>
      <w:r w:rsidRPr="00FD211F">
        <w:rPr>
          <w:sz w:val="36"/>
          <w:szCs w:val="36"/>
          <w:rtl/>
        </w:rPr>
        <w:t>بلاحاج</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توسيط</w:t>
      </w:r>
      <w:r w:rsidR="00E8128F">
        <w:rPr>
          <w:sz w:val="36"/>
          <w:szCs w:val="36"/>
          <w:rtl/>
        </w:rPr>
        <w:t xml:space="preserve"> </w:t>
      </w:r>
      <w:r w:rsidRPr="00FD211F">
        <w:rPr>
          <w:sz w:val="36"/>
          <w:szCs w:val="36"/>
          <w:rtl/>
        </w:rPr>
        <w:t>كبرى</w:t>
      </w:r>
      <w:r w:rsidR="00E8128F">
        <w:rPr>
          <w:sz w:val="36"/>
          <w:szCs w:val="36"/>
          <w:rtl/>
        </w:rPr>
        <w:t xml:space="preserve"> </w:t>
      </w:r>
      <w:r w:rsidRPr="00FD211F">
        <w:rPr>
          <w:sz w:val="36"/>
          <w:szCs w:val="36"/>
          <w:rtl/>
        </w:rPr>
        <w:t>اصولي</w:t>
      </w:r>
      <w:r w:rsidR="00EC7EDF" w:rsidRPr="00FD211F">
        <w:rPr>
          <w:sz w:val="36"/>
          <w:szCs w:val="36"/>
          <w:rtl/>
        </w:rPr>
        <w:t>ة</w:t>
      </w:r>
      <w:r w:rsidR="00E8128F">
        <w:rPr>
          <w:sz w:val="36"/>
          <w:szCs w:val="36"/>
          <w:rtl/>
        </w:rPr>
        <w:t xml:space="preserve"> </w:t>
      </w:r>
      <w:r w:rsidRPr="00FD211F">
        <w:rPr>
          <w:sz w:val="36"/>
          <w:szCs w:val="36"/>
          <w:rtl/>
        </w:rPr>
        <w:t>أخرى</w:t>
      </w:r>
      <w:r w:rsidR="00603323" w:rsidRPr="00FD211F">
        <w:rPr>
          <w:sz w:val="36"/>
          <w:szCs w:val="36"/>
          <w:rtl/>
        </w:rPr>
        <w:t>،</w:t>
      </w:r>
      <w:r w:rsidR="00E8128F">
        <w:rPr>
          <w:sz w:val="36"/>
          <w:szCs w:val="36"/>
          <w:rtl/>
        </w:rPr>
        <w:t xml:space="preserve"> </w:t>
      </w:r>
      <w:r w:rsidR="0012486D" w:rsidRPr="00FD211F">
        <w:rPr>
          <w:sz w:val="36"/>
          <w:szCs w:val="36"/>
          <w:rtl/>
        </w:rPr>
        <w:t>نعم</w:t>
      </w:r>
      <w:r w:rsidR="00E8128F">
        <w:rPr>
          <w:sz w:val="36"/>
          <w:szCs w:val="36"/>
          <w:rtl/>
        </w:rPr>
        <w:t xml:space="preserve"> </w:t>
      </w:r>
      <w:r w:rsidR="0012486D" w:rsidRPr="00FD211F">
        <w:rPr>
          <w:sz w:val="36"/>
          <w:szCs w:val="36"/>
          <w:rtl/>
        </w:rPr>
        <w:lastRenderedPageBreak/>
        <w:t>نحتاج</w:t>
      </w:r>
      <w:r w:rsidR="00E8128F">
        <w:rPr>
          <w:sz w:val="36"/>
          <w:szCs w:val="36"/>
          <w:rtl/>
        </w:rPr>
        <w:t xml:space="preserve"> </w:t>
      </w:r>
      <w:r w:rsidR="0012486D" w:rsidRPr="00FD211F">
        <w:rPr>
          <w:sz w:val="36"/>
          <w:szCs w:val="36"/>
          <w:rtl/>
        </w:rPr>
        <w:t>حينئذ</w:t>
      </w:r>
      <w:r w:rsidR="00E8128F">
        <w:rPr>
          <w:sz w:val="36"/>
          <w:szCs w:val="36"/>
          <w:rtl/>
        </w:rPr>
        <w:t xml:space="preserve"> </w:t>
      </w:r>
      <w:r w:rsidR="0012486D" w:rsidRPr="00FD211F">
        <w:rPr>
          <w:sz w:val="36"/>
          <w:szCs w:val="36"/>
          <w:rtl/>
        </w:rPr>
        <w:t>ا</w:t>
      </w:r>
      <w:r w:rsidR="00CD64C3" w:rsidRPr="00FD211F">
        <w:rPr>
          <w:sz w:val="36"/>
          <w:szCs w:val="36"/>
          <w:rtl/>
        </w:rPr>
        <w:t>لى</w:t>
      </w:r>
      <w:r w:rsidR="00E8128F">
        <w:rPr>
          <w:sz w:val="36"/>
          <w:szCs w:val="36"/>
          <w:rtl/>
        </w:rPr>
        <w:t xml:space="preserve"> </w:t>
      </w:r>
      <w:r w:rsidR="0012486D" w:rsidRPr="00FD211F">
        <w:rPr>
          <w:sz w:val="36"/>
          <w:szCs w:val="36"/>
          <w:rtl/>
        </w:rPr>
        <w:t>كبرى</w:t>
      </w:r>
      <w:r w:rsidR="00E8128F">
        <w:rPr>
          <w:sz w:val="36"/>
          <w:szCs w:val="36"/>
          <w:rtl/>
        </w:rPr>
        <w:t xml:space="preserve"> </w:t>
      </w:r>
      <w:r w:rsidR="0012486D" w:rsidRPr="00FD211F">
        <w:rPr>
          <w:sz w:val="36"/>
          <w:szCs w:val="36"/>
          <w:rtl/>
        </w:rPr>
        <w:t>حجي</w:t>
      </w:r>
      <w:r w:rsidR="00EC7EDF" w:rsidRPr="00FD211F">
        <w:rPr>
          <w:sz w:val="36"/>
          <w:szCs w:val="36"/>
          <w:rtl/>
        </w:rPr>
        <w:t>ة</w:t>
      </w:r>
      <w:r w:rsidR="00E8128F">
        <w:rPr>
          <w:sz w:val="36"/>
          <w:szCs w:val="36"/>
          <w:rtl/>
        </w:rPr>
        <w:t xml:space="preserve"> </w:t>
      </w:r>
      <w:r w:rsidR="0012486D" w:rsidRPr="00FD211F">
        <w:rPr>
          <w:sz w:val="36"/>
          <w:szCs w:val="36"/>
          <w:rtl/>
        </w:rPr>
        <w:t>الظهور</w:t>
      </w:r>
      <w:r w:rsidR="00E8128F">
        <w:rPr>
          <w:sz w:val="36"/>
          <w:szCs w:val="36"/>
          <w:rtl/>
        </w:rPr>
        <w:t xml:space="preserve"> </w:t>
      </w:r>
      <w:r w:rsidR="0012486D" w:rsidRPr="00FD211F">
        <w:rPr>
          <w:sz w:val="36"/>
          <w:szCs w:val="36"/>
          <w:rtl/>
        </w:rPr>
        <w:t>لأن</w:t>
      </w:r>
      <w:r w:rsidR="00E8128F">
        <w:rPr>
          <w:sz w:val="36"/>
          <w:szCs w:val="36"/>
          <w:rtl/>
        </w:rPr>
        <w:t xml:space="preserve"> </w:t>
      </w:r>
      <w:r w:rsidR="0012486D" w:rsidRPr="00FD211F">
        <w:rPr>
          <w:sz w:val="36"/>
          <w:szCs w:val="36"/>
          <w:rtl/>
        </w:rPr>
        <w:t>غاي</w:t>
      </w:r>
      <w:r w:rsidR="00EC7EDF" w:rsidRPr="00FD211F">
        <w:rPr>
          <w:sz w:val="36"/>
          <w:szCs w:val="36"/>
          <w:rtl/>
        </w:rPr>
        <w:t>ة</w:t>
      </w:r>
      <w:r w:rsidR="00E8128F">
        <w:rPr>
          <w:sz w:val="36"/>
          <w:szCs w:val="36"/>
          <w:rtl/>
        </w:rPr>
        <w:t xml:space="preserve"> </w:t>
      </w:r>
      <w:r w:rsidR="0012486D" w:rsidRPr="00FD211F">
        <w:rPr>
          <w:sz w:val="36"/>
          <w:szCs w:val="36"/>
          <w:rtl/>
        </w:rPr>
        <w:t>ما</w:t>
      </w:r>
      <w:r w:rsidR="00E8128F">
        <w:rPr>
          <w:sz w:val="36"/>
          <w:szCs w:val="36"/>
          <w:rtl/>
        </w:rPr>
        <w:t xml:space="preserve"> </w:t>
      </w:r>
      <w:r w:rsidR="0012486D" w:rsidRPr="00FD211F">
        <w:rPr>
          <w:sz w:val="36"/>
          <w:szCs w:val="36"/>
          <w:rtl/>
        </w:rPr>
        <w:t>أثبتناه</w:t>
      </w:r>
      <w:r w:rsidR="00E8128F">
        <w:rPr>
          <w:sz w:val="36"/>
          <w:szCs w:val="36"/>
          <w:rtl/>
        </w:rPr>
        <w:t xml:space="preserve"> </w:t>
      </w:r>
      <w:r w:rsidR="0012486D" w:rsidRPr="00FD211F">
        <w:rPr>
          <w:sz w:val="36"/>
          <w:szCs w:val="36"/>
          <w:rtl/>
        </w:rPr>
        <w:t>على</w:t>
      </w:r>
      <w:r w:rsidR="00E8128F">
        <w:rPr>
          <w:sz w:val="36"/>
          <w:szCs w:val="36"/>
          <w:rtl/>
        </w:rPr>
        <w:t xml:space="preserve"> </w:t>
      </w:r>
      <w:r w:rsidR="0012486D" w:rsidRPr="00FD211F">
        <w:rPr>
          <w:sz w:val="36"/>
          <w:szCs w:val="36"/>
          <w:rtl/>
        </w:rPr>
        <w:t>مسلك</w:t>
      </w:r>
      <w:r w:rsidR="00E8128F">
        <w:rPr>
          <w:sz w:val="36"/>
          <w:szCs w:val="36"/>
          <w:rtl/>
        </w:rPr>
        <w:t xml:space="preserve"> </w:t>
      </w:r>
      <w:r w:rsidR="0012486D" w:rsidRPr="00FD211F">
        <w:rPr>
          <w:sz w:val="36"/>
          <w:szCs w:val="36"/>
          <w:rtl/>
        </w:rPr>
        <w:t>الجواز</w:t>
      </w:r>
      <w:r w:rsidR="00E8128F">
        <w:rPr>
          <w:sz w:val="36"/>
          <w:szCs w:val="36"/>
          <w:rtl/>
        </w:rPr>
        <w:t xml:space="preserve"> </w:t>
      </w:r>
      <w:r w:rsidR="0012486D" w:rsidRPr="00FD211F">
        <w:rPr>
          <w:sz w:val="36"/>
          <w:szCs w:val="36"/>
          <w:rtl/>
        </w:rPr>
        <w:t>امكان</w:t>
      </w:r>
      <w:r w:rsidR="00E8128F">
        <w:rPr>
          <w:sz w:val="36"/>
          <w:szCs w:val="36"/>
          <w:rtl/>
        </w:rPr>
        <w:t xml:space="preserve"> </w:t>
      </w:r>
      <w:r w:rsidR="0012486D" w:rsidRPr="00FD211F">
        <w:rPr>
          <w:sz w:val="36"/>
          <w:szCs w:val="36"/>
          <w:rtl/>
        </w:rPr>
        <w:t>اطلاق</w:t>
      </w:r>
      <w:r w:rsidR="00E8128F">
        <w:rPr>
          <w:sz w:val="36"/>
          <w:szCs w:val="36"/>
          <w:rtl/>
        </w:rPr>
        <w:t xml:space="preserve"> </w:t>
      </w:r>
      <w:r w:rsidR="0090224F" w:rsidRPr="00FD211F">
        <w:rPr>
          <w:sz w:val="36"/>
          <w:szCs w:val="36"/>
          <w:rtl/>
        </w:rPr>
        <w:t>الأمر</w:t>
      </w:r>
      <w:r w:rsidR="00E8128F">
        <w:rPr>
          <w:sz w:val="36"/>
          <w:szCs w:val="36"/>
          <w:rtl/>
        </w:rPr>
        <w:t xml:space="preserve"> </w:t>
      </w:r>
      <w:r w:rsidR="0012486D" w:rsidRPr="00FD211F">
        <w:rPr>
          <w:sz w:val="36"/>
          <w:szCs w:val="36"/>
          <w:rtl/>
        </w:rPr>
        <w:t>بالصلا</w:t>
      </w:r>
      <w:r w:rsidR="00EC7EDF" w:rsidRPr="00FD211F">
        <w:rPr>
          <w:sz w:val="36"/>
          <w:szCs w:val="36"/>
          <w:rtl/>
        </w:rPr>
        <w:t>ة</w:t>
      </w:r>
      <w:r w:rsidR="00E8128F">
        <w:rPr>
          <w:sz w:val="36"/>
          <w:szCs w:val="36"/>
          <w:rtl/>
        </w:rPr>
        <w:t xml:space="preserve"> </w:t>
      </w:r>
      <w:r w:rsidR="0012486D" w:rsidRPr="00FD211F">
        <w:rPr>
          <w:sz w:val="36"/>
          <w:szCs w:val="36"/>
          <w:rtl/>
        </w:rPr>
        <w:t>لفرض</w:t>
      </w:r>
      <w:r w:rsidR="00E8128F">
        <w:rPr>
          <w:sz w:val="36"/>
          <w:szCs w:val="36"/>
          <w:rtl/>
        </w:rPr>
        <w:t xml:space="preserve"> </w:t>
      </w:r>
      <w:r w:rsidR="0012486D" w:rsidRPr="00FD211F">
        <w:rPr>
          <w:sz w:val="36"/>
          <w:szCs w:val="36"/>
          <w:rtl/>
        </w:rPr>
        <w:t>الصلا</w:t>
      </w:r>
      <w:r w:rsidR="00EC7EDF" w:rsidRPr="00FD211F">
        <w:rPr>
          <w:sz w:val="36"/>
          <w:szCs w:val="36"/>
          <w:rtl/>
        </w:rPr>
        <w:t>ة</w:t>
      </w:r>
      <w:r w:rsidR="00E8128F">
        <w:rPr>
          <w:sz w:val="36"/>
          <w:szCs w:val="36"/>
          <w:rtl/>
        </w:rPr>
        <w:t xml:space="preserve"> </w:t>
      </w:r>
      <w:r w:rsidR="0012486D" w:rsidRPr="00FD211F">
        <w:rPr>
          <w:sz w:val="36"/>
          <w:szCs w:val="36"/>
          <w:rtl/>
        </w:rPr>
        <w:t>في</w:t>
      </w:r>
      <w:r w:rsidR="00E8128F">
        <w:rPr>
          <w:sz w:val="36"/>
          <w:szCs w:val="36"/>
          <w:rtl/>
        </w:rPr>
        <w:t xml:space="preserve"> </w:t>
      </w:r>
      <w:r w:rsidR="0012486D" w:rsidRPr="00FD211F">
        <w:rPr>
          <w:sz w:val="36"/>
          <w:szCs w:val="36"/>
          <w:rtl/>
        </w:rPr>
        <w:t>المكان</w:t>
      </w:r>
      <w:r w:rsidR="00E8128F">
        <w:rPr>
          <w:sz w:val="36"/>
          <w:szCs w:val="36"/>
          <w:rtl/>
        </w:rPr>
        <w:t xml:space="preserve"> </w:t>
      </w:r>
      <w:r w:rsidR="0012486D" w:rsidRPr="00FD211F">
        <w:rPr>
          <w:sz w:val="36"/>
          <w:szCs w:val="36"/>
          <w:rtl/>
        </w:rPr>
        <w:t>المغصوب</w:t>
      </w:r>
      <w:r w:rsidR="00603323" w:rsidRPr="00FD211F">
        <w:rPr>
          <w:sz w:val="36"/>
          <w:szCs w:val="36"/>
          <w:rtl/>
        </w:rPr>
        <w:t>،</w:t>
      </w:r>
      <w:r w:rsidR="00E8128F">
        <w:rPr>
          <w:sz w:val="36"/>
          <w:szCs w:val="36"/>
          <w:rtl/>
        </w:rPr>
        <w:t xml:space="preserve"> </w:t>
      </w:r>
      <w:r w:rsidR="0012486D" w:rsidRPr="00FD211F">
        <w:rPr>
          <w:sz w:val="36"/>
          <w:szCs w:val="36"/>
          <w:rtl/>
        </w:rPr>
        <w:t>مع</w:t>
      </w:r>
      <w:r w:rsidR="00E8128F">
        <w:rPr>
          <w:sz w:val="36"/>
          <w:szCs w:val="36"/>
          <w:rtl/>
        </w:rPr>
        <w:t xml:space="preserve"> </w:t>
      </w:r>
      <w:r w:rsidR="0012486D" w:rsidRPr="00FD211F">
        <w:rPr>
          <w:sz w:val="36"/>
          <w:szCs w:val="36"/>
          <w:rtl/>
        </w:rPr>
        <w:t>ان</w:t>
      </w:r>
      <w:r w:rsidR="00E8128F">
        <w:rPr>
          <w:sz w:val="36"/>
          <w:szCs w:val="36"/>
          <w:rtl/>
        </w:rPr>
        <w:t xml:space="preserve"> </w:t>
      </w:r>
      <w:r w:rsidR="0012486D" w:rsidRPr="00FD211F">
        <w:rPr>
          <w:sz w:val="36"/>
          <w:szCs w:val="36"/>
          <w:rtl/>
        </w:rPr>
        <w:t>الغصب</w:t>
      </w:r>
      <w:r w:rsidR="00E8128F">
        <w:rPr>
          <w:sz w:val="36"/>
          <w:szCs w:val="36"/>
          <w:rtl/>
        </w:rPr>
        <w:t xml:space="preserve"> </w:t>
      </w:r>
      <w:r w:rsidR="0012486D" w:rsidRPr="00FD211F">
        <w:rPr>
          <w:sz w:val="36"/>
          <w:szCs w:val="36"/>
          <w:rtl/>
        </w:rPr>
        <w:t>منهي</w:t>
      </w:r>
      <w:r w:rsidR="00E8128F">
        <w:rPr>
          <w:sz w:val="36"/>
          <w:szCs w:val="36"/>
          <w:rtl/>
        </w:rPr>
        <w:t xml:space="preserve"> </w:t>
      </w:r>
      <w:r w:rsidR="0012486D" w:rsidRPr="00FD211F">
        <w:rPr>
          <w:sz w:val="36"/>
          <w:szCs w:val="36"/>
          <w:rtl/>
        </w:rPr>
        <w:t>عنه</w:t>
      </w:r>
      <w:r w:rsidR="00603323" w:rsidRPr="00FD211F">
        <w:rPr>
          <w:sz w:val="36"/>
          <w:szCs w:val="36"/>
          <w:rtl/>
        </w:rPr>
        <w:t>،</w:t>
      </w:r>
      <w:r w:rsidR="00E8128F">
        <w:rPr>
          <w:sz w:val="36"/>
          <w:szCs w:val="36"/>
          <w:rtl/>
        </w:rPr>
        <w:t xml:space="preserve"> </w:t>
      </w:r>
      <w:r w:rsidR="0012486D" w:rsidRPr="00FD211F">
        <w:rPr>
          <w:sz w:val="36"/>
          <w:szCs w:val="36"/>
          <w:rtl/>
        </w:rPr>
        <w:t>ولكن</w:t>
      </w:r>
      <w:r w:rsidR="00E8128F">
        <w:rPr>
          <w:sz w:val="36"/>
          <w:szCs w:val="36"/>
          <w:rtl/>
        </w:rPr>
        <w:t xml:space="preserve"> </w:t>
      </w:r>
      <w:r w:rsidR="0012486D" w:rsidRPr="00FD211F">
        <w:rPr>
          <w:sz w:val="36"/>
          <w:szCs w:val="36"/>
          <w:rtl/>
        </w:rPr>
        <w:t>لايمكن</w:t>
      </w:r>
      <w:r w:rsidR="00E8128F">
        <w:rPr>
          <w:sz w:val="36"/>
          <w:szCs w:val="36"/>
          <w:rtl/>
        </w:rPr>
        <w:t xml:space="preserve"> </w:t>
      </w:r>
      <w:r w:rsidR="0012486D" w:rsidRPr="00FD211F">
        <w:rPr>
          <w:sz w:val="36"/>
          <w:szCs w:val="36"/>
          <w:rtl/>
        </w:rPr>
        <w:t>الحكم</w:t>
      </w:r>
      <w:r w:rsidR="00E8128F">
        <w:rPr>
          <w:sz w:val="36"/>
          <w:szCs w:val="36"/>
          <w:rtl/>
        </w:rPr>
        <w:t xml:space="preserve"> </w:t>
      </w:r>
      <w:r w:rsidR="0012486D" w:rsidRPr="00FD211F">
        <w:rPr>
          <w:sz w:val="36"/>
          <w:szCs w:val="36"/>
          <w:rtl/>
        </w:rPr>
        <w:t>بفعلي</w:t>
      </w:r>
      <w:r w:rsidR="00EC7EDF" w:rsidRPr="00FD211F">
        <w:rPr>
          <w:sz w:val="36"/>
          <w:szCs w:val="36"/>
          <w:rtl/>
        </w:rPr>
        <w:t>ة</w:t>
      </w:r>
      <w:r w:rsidR="00E8128F">
        <w:rPr>
          <w:sz w:val="36"/>
          <w:szCs w:val="36"/>
          <w:rtl/>
        </w:rPr>
        <w:t xml:space="preserve"> </w:t>
      </w:r>
      <w:r w:rsidR="0012486D" w:rsidRPr="00FD211F">
        <w:rPr>
          <w:sz w:val="36"/>
          <w:szCs w:val="36"/>
          <w:rtl/>
        </w:rPr>
        <w:t>اطلاق</w:t>
      </w:r>
      <w:r w:rsidR="00E8128F">
        <w:rPr>
          <w:sz w:val="36"/>
          <w:szCs w:val="36"/>
          <w:rtl/>
        </w:rPr>
        <w:t xml:space="preserve"> </w:t>
      </w:r>
      <w:r w:rsidR="0090224F" w:rsidRPr="00FD211F">
        <w:rPr>
          <w:sz w:val="36"/>
          <w:szCs w:val="36"/>
          <w:rtl/>
        </w:rPr>
        <w:t>الأمر</w:t>
      </w:r>
      <w:r w:rsidR="00E8128F">
        <w:rPr>
          <w:sz w:val="36"/>
          <w:szCs w:val="36"/>
          <w:rtl/>
        </w:rPr>
        <w:t xml:space="preserve"> </w:t>
      </w:r>
      <w:r w:rsidR="0012486D" w:rsidRPr="00FD211F">
        <w:rPr>
          <w:sz w:val="36"/>
          <w:szCs w:val="36"/>
          <w:rtl/>
        </w:rPr>
        <w:t>الا</w:t>
      </w:r>
      <w:r w:rsidR="00E8128F">
        <w:rPr>
          <w:sz w:val="36"/>
          <w:szCs w:val="36"/>
          <w:rtl/>
        </w:rPr>
        <w:t xml:space="preserve"> </w:t>
      </w:r>
      <w:r w:rsidR="0012486D" w:rsidRPr="00FD211F">
        <w:rPr>
          <w:sz w:val="36"/>
          <w:szCs w:val="36"/>
          <w:rtl/>
        </w:rPr>
        <w:t>استنادا</w:t>
      </w:r>
      <w:r w:rsidR="00E8128F">
        <w:rPr>
          <w:sz w:val="36"/>
          <w:szCs w:val="36"/>
          <w:rtl/>
        </w:rPr>
        <w:t xml:space="preserve"> </w:t>
      </w:r>
      <w:r w:rsidR="0012486D" w:rsidRPr="00FD211F">
        <w:rPr>
          <w:sz w:val="36"/>
          <w:szCs w:val="36"/>
          <w:rtl/>
        </w:rPr>
        <w:t>الى</w:t>
      </w:r>
      <w:r w:rsidR="00E8128F">
        <w:rPr>
          <w:sz w:val="36"/>
          <w:szCs w:val="36"/>
          <w:rtl/>
        </w:rPr>
        <w:t xml:space="preserve"> </w:t>
      </w:r>
      <w:r w:rsidR="0012486D" w:rsidRPr="00FD211F">
        <w:rPr>
          <w:sz w:val="36"/>
          <w:szCs w:val="36"/>
          <w:rtl/>
        </w:rPr>
        <w:t>كبرى</w:t>
      </w:r>
      <w:r w:rsidR="00E8128F">
        <w:rPr>
          <w:sz w:val="36"/>
          <w:szCs w:val="36"/>
          <w:rtl/>
        </w:rPr>
        <w:t xml:space="preserve"> </w:t>
      </w:r>
      <w:r w:rsidR="0012486D" w:rsidRPr="00FD211F">
        <w:rPr>
          <w:sz w:val="36"/>
          <w:szCs w:val="36"/>
          <w:rtl/>
        </w:rPr>
        <w:t>حجي</w:t>
      </w:r>
      <w:r w:rsidR="00EC7EDF" w:rsidRPr="00FD211F">
        <w:rPr>
          <w:sz w:val="36"/>
          <w:szCs w:val="36"/>
          <w:rtl/>
        </w:rPr>
        <w:t>ة</w:t>
      </w:r>
      <w:r w:rsidR="00E8128F">
        <w:rPr>
          <w:sz w:val="36"/>
          <w:szCs w:val="36"/>
          <w:rtl/>
        </w:rPr>
        <w:t xml:space="preserve"> </w:t>
      </w:r>
      <w:r w:rsidR="0012486D" w:rsidRPr="00FD211F">
        <w:rPr>
          <w:sz w:val="36"/>
          <w:szCs w:val="36"/>
          <w:rtl/>
        </w:rPr>
        <w:t>الظهور</w:t>
      </w:r>
      <w:r w:rsidR="00603323" w:rsidRPr="00FD211F">
        <w:rPr>
          <w:sz w:val="36"/>
          <w:szCs w:val="36"/>
          <w:rtl/>
        </w:rPr>
        <w:t>،</w:t>
      </w:r>
      <w:r w:rsidR="00E8128F">
        <w:rPr>
          <w:sz w:val="36"/>
          <w:szCs w:val="36"/>
          <w:rtl/>
        </w:rPr>
        <w:t xml:space="preserve"> </w:t>
      </w:r>
      <w:r w:rsidR="0012486D" w:rsidRPr="00FD211F">
        <w:rPr>
          <w:sz w:val="36"/>
          <w:szCs w:val="36"/>
          <w:rtl/>
        </w:rPr>
        <w:t>فيثبت</w:t>
      </w:r>
      <w:r w:rsidR="00E8128F">
        <w:rPr>
          <w:sz w:val="36"/>
          <w:szCs w:val="36"/>
          <w:rtl/>
        </w:rPr>
        <w:t xml:space="preserve"> </w:t>
      </w:r>
      <w:r w:rsidR="0012486D" w:rsidRPr="00FD211F">
        <w:rPr>
          <w:sz w:val="36"/>
          <w:szCs w:val="36"/>
          <w:rtl/>
        </w:rPr>
        <w:t>بها</w:t>
      </w:r>
      <w:r w:rsidR="00E8128F">
        <w:rPr>
          <w:sz w:val="36"/>
          <w:szCs w:val="36"/>
          <w:rtl/>
        </w:rPr>
        <w:t xml:space="preserve"> </w:t>
      </w:r>
      <w:r w:rsidR="0012486D" w:rsidRPr="00FD211F">
        <w:rPr>
          <w:sz w:val="36"/>
          <w:szCs w:val="36"/>
          <w:rtl/>
        </w:rPr>
        <w:t>حجي</w:t>
      </w:r>
      <w:r w:rsidR="00EC7EDF" w:rsidRPr="00FD211F">
        <w:rPr>
          <w:sz w:val="36"/>
          <w:szCs w:val="36"/>
          <w:rtl/>
        </w:rPr>
        <w:t>ة</w:t>
      </w:r>
      <w:r w:rsidR="00E8128F">
        <w:rPr>
          <w:sz w:val="36"/>
          <w:szCs w:val="36"/>
          <w:rtl/>
        </w:rPr>
        <w:t xml:space="preserve"> </w:t>
      </w:r>
      <w:r w:rsidR="0012486D" w:rsidRPr="00FD211F">
        <w:rPr>
          <w:sz w:val="36"/>
          <w:szCs w:val="36"/>
          <w:rtl/>
        </w:rPr>
        <w:t>الظهور</w:t>
      </w:r>
      <w:r w:rsidR="00E8128F">
        <w:rPr>
          <w:sz w:val="36"/>
          <w:szCs w:val="36"/>
          <w:rtl/>
        </w:rPr>
        <w:t xml:space="preserve"> </w:t>
      </w:r>
      <w:r w:rsidR="0012486D" w:rsidRPr="00FD211F">
        <w:rPr>
          <w:sz w:val="36"/>
          <w:szCs w:val="36"/>
          <w:rtl/>
        </w:rPr>
        <w:t>الاطلاقي</w:t>
      </w:r>
      <w:r w:rsidR="00E8128F">
        <w:rPr>
          <w:sz w:val="36"/>
          <w:szCs w:val="36"/>
          <w:rtl/>
        </w:rPr>
        <w:t xml:space="preserve"> </w:t>
      </w:r>
      <w:r w:rsidR="0012486D" w:rsidRPr="00FD211F">
        <w:rPr>
          <w:sz w:val="36"/>
          <w:szCs w:val="36"/>
          <w:rtl/>
        </w:rPr>
        <w:t>لخطاب</w:t>
      </w:r>
      <w:r w:rsidR="00E8128F">
        <w:rPr>
          <w:sz w:val="36"/>
          <w:szCs w:val="36"/>
          <w:rtl/>
        </w:rPr>
        <w:t xml:space="preserve"> </w:t>
      </w:r>
      <w:r w:rsidR="0090224F" w:rsidRPr="00FD211F">
        <w:rPr>
          <w:sz w:val="36"/>
          <w:szCs w:val="36"/>
          <w:rtl/>
        </w:rPr>
        <w:t>الأمر</w:t>
      </w:r>
      <w:r w:rsidR="00E8128F">
        <w:rPr>
          <w:sz w:val="36"/>
          <w:szCs w:val="36"/>
          <w:rtl/>
        </w:rPr>
        <w:t xml:space="preserve"> </w:t>
      </w:r>
      <w:r w:rsidR="0012486D" w:rsidRPr="00FD211F">
        <w:rPr>
          <w:sz w:val="36"/>
          <w:szCs w:val="36"/>
          <w:rtl/>
        </w:rPr>
        <w:t>بالصلا</w:t>
      </w:r>
      <w:r w:rsidR="00EC7EDF" w:rsidRPr="00FD211F">
        <w:rPr>
          <w:sz w:val="36"/>
          <w:szCs w:val="36"/>
          <w:rtl/>
        </w:rPr>
        <w:t>ة</w:t>
      </w:r>
      <w:r w:rsidR="00603323" w:rsidRPr="00FD211F">
        <w:rPr>
          <w:sz w:val="36"/>
          <w:szCs w:val="36"/>
          <w:rtl/>
        </w:rPr>
        <w:t>،</w:t>
      </w:r>
      <w:r w:rsidR="00E8128F">
        <w:rPr>
          <w:sz w:val="36"/>
          <w:szCs w:val="36"/>
          <w:rtl/>
        </w:rPr>
        <w:t xml:space="preserve"> </w:t>
      </w:r>
      <w:r w:rsidR="00CD64C3" w:rsidRPr="00FD211F">
        <w:rPr>
          <w:sz w:val="36"/>
          <w:szCs w:val="36"/>
          <w:rtl/>
        </w:rPr>
        <w:t>الا</w:t>
      </w:r>
      <w:r w:rsidR="00E8128F">
        <w:rPr>
          <w:sz w:val="36"/>
          <w:szCs w:val="36"/>
          <w:rtl/>
        </w:rPr>
        <w:t xml:space="preserve"> </w:t>
      </w:r>
      <w:r w:rsidR="00CD64C3" w:rsidRPr="00FD211F">
        <w:rPr>
          <w:sz w:val="36"/>
          <w:szCs w:val="36"/>
          <w:rtl/>
        </w:rPr>
        <w:t>انه</w:t>
      </w:r>
      <w:r w:rsidR="00E8128F">
        <w:rPr>
          <w:sz w:val="36"/>
          <w:szCs w:val="36"/>
          <w:rtl/>
        </w:rPr>
        <w:t xml:space="preserve"> </w:t>
      </w:r>
      <w:r w:rsidR="0012486D" w:rsidRPr="00FD211F">
        <w:rPr>
          <w:sz w:val="36"/>
          <w:szCs w:val="36"/>
          <w:rtl/>
        </w:rPr>
        <w:t>مر</w:t>
      </w:r>
      <w:r w:rsidR="00E8128F">
        <w:rPr>
          <w:sz w:val="36"/>
          <w:szCs w:val="36"/>
          <w:rtl/>
        </w:rPr>
        <w:t xml:space="preserve"> </w:t>
      </w:r>
      <w:r w:rsidR="0012486D" w:rsidRPr="00FD211F">
        <w:rPr>
          <w:sz w:val="36"/>
          <w:szCs w:val="36"/>
          <w:rtl/>
        </w:rPr>
        <w:t>ان</w:t>
      </w:r>
      <w:r w:rsidR="00E8128F">
        <w:rPr>
          <w:sz w:val="36"/>
          <w:szCs w:val="36"/>
          <w:rtl/>
        </w:rPr>
        <w:t xml:space="preserve"> </w:t>
      </w:r>
      <w:r w:rsidR="0012486D" w:rsidRPr="00FD211F">
        <w:rPr>
          <w:sz w:val="36"/>
          <w:szCs w:val="36"/>
          <w:rtl/>
        </w:rPr>
        <w:t>كبرى</w:t>
      </w:r>
      <w:r w:rsidR="00E8128F">
        <w:rPr>
          <w:sz w:val="36"/>
          <w:szCs w:val="36"/>
          <w:rtl/>
        </w:rPr>
        <w:t xml:space="preserve"> </w:t>
      </w:r>
      <w:r w:rsidR="0012486D" w:rsidRPr="00FD211F">
        <w:rPr>
          <w:sz w:val="36"/>
          <w:szCs w:val="36"/>
          <w:rtl/>
        </w:rPr>
        <w:t>حجي</w:t>
      </w:r>
      <w:r w:rsidR="00EC7EDF" w:rsidRPr="00FD211F">
        <w:rPr>
          <w:sz w:val="36"/>
          <w:szCs w:val="36"/>
          <w:rtl/>
        </w:rPr>
        <w:t>ة</w:t>
      </w:r>
      <w:r w:rsidR="00E8128F">
        <w:rPr>
          <w:sz w:val="36"/>
          <w:szCs w:val="36"/>
          <w:rtl/>
        </w:rPr>
        <w:t xml:space="preserve"> </w:t>
      </w:r>
      <w:r w:rsidR="0012486D" w:rsidRPr="00FD211F">
        <w:rPr>
          <w:sz w:val="36"/>
          <w:szCs w:val="36"/>
          <w:rtl/>
        </w:rPr>
        <w:t>الظهور</w:t>
      </w:r>
      <w:r w:rsidR="00E8128F">
        <w:rPr>
          <w:sz w:val="36"/>
          <w:szCs w:val="36"/>
          <w:rtl/>
        </w:rPr>
        <w:t xml:space="preserve"> </w:t>
      </w:r>
      <w:r w:rsidR="0012486D" w:rsidRPr="00FD211F">
        <w:rPr>
          <w:sz w:val="36"/>
          <w:szCs w:val="36"/>
          <w:rtl/>
        </w:rPr>
        <w:t>ليست</w:t>
      </w:r>
      <w:r w:rsidR="00E8128F">
        <w:rPr>
          <w:sz w:val="36"/>
          <w:szCs w:val="36"/>
          <w:rtl/>
        </w:rPr>
        <w:t xml:space="preserve"> </w:t>
      </w:r>
      <w:r w:rsidR="0012486D" w:rsidRPr="00FD211F">
        <w:rPr>
          <w:sz w:val="36"/>
          <w:szCs w:val="36"/>
          <w:rtl/>
        </w:rPr>
        <w:t>مسأل</w:t>
      </w:r>
      <w:r w:rsidR="00EC7EDF" w:rsidRPr="00FD211F">
        <w:rPr>
          <w:sz w:val="36"/>
          <w:szCs w:val="36"/>
          <w:rtl/>
        </w:rPr>
        <w:t>ة</w:t>
      </w:r>
      <w:r w:rsidR="00E8128F">
        <w:rPr>
          <w:sz w:val="36"/>
          <w:szCs w:val="36"/>
          <w:rtl/>
        </w:rPr>
        <w:t xml:space="preserve"> </w:t>
      </w:r>
      <w:r w:rsidR="0012486D" w:rsidRPr="00FD211F">
        <w:rPr>
          <w:sz w:val="36"/>
          <w:szCs w:val="36"/>
          <w:rtl/>
        </w:rPr>
        <w:t>أصولي</w:t>
      </w:r>
      <w:r w:rsidR="00EC7EDF" w:rsidRPr="00FD211F">
        <w:rPr>
          <w:sz w:val="36"/>
          <w:szCs w:val="36"/>
          <w:rtl/>
        </w:rPr>
        <w:t>ة</w:t>
      </w:r>
      <w:r w:rsidR="00E8128F">
        <w:rPr>
          <w:sz w:val="36"/>
          <w:szCs w:val="36"/>
          <w:rtl/>
        </w:rPr>
        <w:t xml:space="preserve"> </w:t>
      </w:r>
      <w:r w:rsidR="0012486D" w:rsidRPr="00FD211F">
        <w:rPr>
          <w:sz w:val="36"/>
          <w:szCs w:val="36"/>
          <w:rtl/>
        </w:rPr>
        <w:t>لكونها</w:t>
      </w:r>
      <w:r w:rsidR="00E8128F">
        <w:rPr>
          <w:sz w:val="36"/>
          <w:szCs w:val="36"/>
          <w:rtl/>
        </w:rPr>
        <w:t xml:space="preserve"> </w:t>
      </w:r>
      <w:r w:rsidR="0012486D" w:rsidRPr="00FD211F">
        <w:rPr>
          <w:sz w:val="36"/>
          <w:szCs w:val="36"/>
          <w:rtl/>
        </w:rPr>
        <w:t>بديهي</w:t>
      </w:r>
      <w:r w:rsidR="00EC7EDF" w:rsidRPr="00FD211F">
        <w:rPr>
          <w:sz w:val="36"/>
          <w:szCs w:val="36"/>
          <w:rtl/>
        </w:rPr>
        <w:t>ة</w:t>
      </w:r>
      <w:r w:rsidR="00603323" w:rsidRPr="00FD211F">
        <w:rPr>
          <w:sz w:val="36"/>
          <w:szCs w:val="36"/>
          <w:rtl/>
        </w:rPr>
        <w:t>،</w:t>
      </w:r>
      <w:r w:rsidR="00E8128F">
        <w:rPr>
          <w:sz w:val="36"/>
          <w:szCs w:val="36"/>
          <w:rtl/>
        </w:rPr>
        <w:t xml:space="preserve"> </w:t>
      </w:r>
      <w:r w:rsidR="0012486D" w:rsidRPr="00FD211F">
        <w:rPr>
          <w:sz w:val="36"/>
          <w:szCs w:val="36"/>
          <w:rtl/>
        </w:rPr>
        <w:t>وعليه</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مبحث</w:t>
      </w:r>
      <w:r w:rsidR="00E8128F">
        <w:rPr>
          <w:sz w:val="36"/>
          <w:szCs w:val="36"/>
          <w:rtl/>
        </w:rPr>
        <w:t xml:space="preserve"> </w:t>
      </w:r>
      <w:r w:rsidRPr="00FD211F">
        <w:rPr>
          <w:sz w:val="36"/>
          <w:szCs w:val="36"/>
          <w:rtl/>
        </w:rPr>
        <w:t>اجتماع</w:t>
      </w:r>
      <w:r w:rsidR="00E8128F">
        <w:rPr>
          <w:sz w:val="36"/>
          <w:szCs w:val="36"/>
          <w:rtl/>
        </w:rPr>
        <w:t xml:space="preserve"> </w:t>
      </w:r>
      <w:r w:rsidR="0090224F" w:rsidRPr="00FD211F">
        <w:rPr>
          <w:sz w:val="36"/>
          <w:szCs w:val="36"/>
          <w:rtl/>
        </w:rPr>
        <w:t>الأمر</w:t>
      </w:r>
      <w:r w:rsidR="00E8128F">
        <w:rPr>
          <w:sz w:val="36"/>
          <w:szCs w:val="36"/>
          <w:rtl/>
        </w:rPr>
        <w:t xml:space="preserve"> </w:t>
      </w:r>
      <w:r w:rsidRPr="00FD211F">
        <w:rPr>
          <w:sz w:val="36"/>
          <w:szCs w:val="36"/>
          <w:rtl/>
        </w:rPr>
        <w:t>والنهي</w:t>
      </w:r>
      <w:r w:rsidR="00E8128F">
        <w:rPr>
          <w:sz w:val="36"/>
          <w:szCs w:val="36"/>
          <w:rtl/>
        </w:rPr>
        <w:t xml:space="preserve"> </w:t>
      </w:r>
      <w:r w:rsidRPr="00FD211F">
        <w:rPr>
          <w:sz w:val="36"/>
          <w:szCs w:val="36"/>
          <w:rtl/>
        </w:rPr>
        <w:t>داخلا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9C58C8" w:rsidRPr="00FD211F">
        <w:rPr>
          <w:rStyle w:val="a6"/>
          <w:sz w:val="36"/>
          <w:szCs w:val="36"/>
          <w:rtl/>
        </w:rPr>
        <w:t>(</w:t>
      </w:r>
      <w:r w:rsidR="009C58C8" w:rsidRPr="00FD211F">
        <w:rPr>
          <w:rStyle w:val="a6"/>
          <w:sz w:val="36"/>
          <w:szCs w:val="36"/>
          <w:rtl/>
        </w:rPr>
        <w:footnoteReference w:id="19"/>
      </w:r>
      <w:r w:rsidR="009C58C8" w:rsidRPr="00FD211F">
        <w:rPr>
          <w:rStyle w:val="a6"/>
          <w:sz w:val="36"/>
          <w:szCs w:val="36"/>
          <w:rtl/>
        </w:rPr>
        <w:t>)</w:t>
      </w:r>
      <w:r w:rsidRPr="00FD211F">
        <w:rPr>
          <w:sz w:val="36"/>
          <w:szCs w:val="36"/>
          <w:rtl/>
        </w:rPr>
        <w:t>.</w:t>
      </w:r>
    </w:p>
    <w:p w14:paraId="413E46ED" w14:textId="77777777" w:rsidR="00EE5749" w:rsidRPr="00FD211F" w:rsidRDefault="00B7328C" w:rsidP="009C58C8">
      <w:pPr>
        <w:ind w:left="0" w:firstLine="227"/>
        <w:jc w:val="both"/>
        <w:rPr>
          <w:sz w:val="36"/>
          <w:szCs w:val="36"/>
          <w:rtl/>
        </w:rPr>
      </w:pPr>
      <w:r w:rsidRPr="00FD211F">
        <w:rPr>
          <w:sz w:val="36"/>
          <w:szCs w:val="36"/>
          <w:rtl/>
        </w:rPr>
        <w:t>وقد</w:t>
      </w:r>
      <w:r w:rsidR="00E8128F">
        <w:rPr>
          <w:sz w:val="36"/>
          <w:szCs w:val="36"/>
          <w:rtl/>
        </w:rPr>
        <w:t xml:space="preserve"> </w:t>
      </w:r>
      <w:r w:rsidR="00757DB6" w:rsidRPr="00FD211F">
        <w:rPr>
          <w:sz w:val="36"/>
          <w:szCs w:val="36"/>
          <w:rtl/>
        </w:rPr>
        <w:t>يورد</w:t>
      </w:r>
      <w:r w:rsidR="00E8128F">
        <w:rPr>
          <w:sz w:val="36"/>
          <w:szCs w:val="36"/>
          <w:rtl/>
        </w:rPr>
        <w:t xml:space="preserve"> </w:t>
      </w:r>
      <w:r w:rsidR="00757DB6" w:rsidRPr="00FD211F">
        <w:rPr>
          <w:sz w:val="36"/>
          <w:szCs w:val="36"/>
          <w:rtl/>
        </w:rPr>
        <w:t>عليه</w:t>
      </w:r>
      <w:r w:rsidR="00E8128F">
        <w:rPr>
          <w:sz w:val="36"/>
          <w:szCs w:val="36"/>
          <w:rtl/>
        </w:rPr>
        <w:t xml:space="preserve"> </w:t>
      </w:r>
      <w:r w:rsidR="00757DB6" w:rsidRPr="00FD211F">
        <w:rPr>
          <w:sz w:val="36"/>
          <w:szCs w:val="36"/>
          <w:rtl/>
        </w:rPr>
        <w:t>ب</w:t>
      </w:r>
      <w:r w:rsidR="00F56DC6" w:rsidRPr="00FD211F">
        <w:rPr>
          <w:sz w:val="36"/>
          <w:szCs w:val="36"/>
          <w:rtl/>
        </w:rPr>
        <w:t>ان</w:t>
      </w:r>
      <w:r w:rsidR="00E8128F">
        <w:rPr>
          <w:sz w:val="36"/>
          <w:szCs w:val="36"/>
          <w:rtl/>
        </w:rPr>
        <w:t xml:space="preserve"> </w:t>
      </w:r>
      <w:r w:rsidR="00F56DC6" w:rsidRPr="00FD211F">
        <w:rPr>
          <w:sz w:val="36"/>
          <w:szCs w:val="36"/>
          <w:rtl/>
        </w:rPr>
        <w:t>الحكم</w:t>
      </w:r>
      <w:r w:rsidR="00E8128F">
        <w:rPr>
          <w:sz w:val="36"/>
          <w:szCs w:val="36"/>
          <w:rtl/>
        </w:rPr>
        <w:t xml:space="preserve"> </w:t>
      </w:r>
      <w:r w:rsidR="00F56DC6" w:rsidRPr="00FD211F">
        <w:rPr>
          <w:sz w:val="36"/>
          <w:szCs w:val="36"/>
          <w:rtl/>
        </w:rPr>
        <w:t>بصح</w:t>
      </w:r>
      <w:r w:rsidR="00EC7EDF" w:rsidRPr="00FD211F">
        <w:rPr>
          <w:sz w:val="36"/>
          <w:szCs w:val="36"/>
          <w:rtl/>
        </w:rPr>
        <w:t>ة</w:t>
      </w:r>
      <w:r w:rsidR="00E8128F">
        <w:rPr>
          <w:sz w:val="36"/>
          <w:szCs w:val="36"/>
          <w:rtl/>
        </w:rPr>
        <w:t xml:space="preserve"> </w:t>
      </w:r>
      <w:r w:rsidR="00F56DC6" w:rsidRPr="00FD211F">
        <w:rPr>
          <w:sz w:val="36"/>
          <w:szCs w:val="36"/>
          <w:rtl/>
        </w:rPr>
        <w:t>العباد</w:t>
      </w:r>
      <w:r w:rsidR="00EC7EDF" w:rsidRPr="00FD211F">
        <w:rPr>
          <w:sz w:val="36"/>
          <w:szCs w:val="36"/>
          <w:rtl/>
        </w:rPr>
        <w:t>ة</w:t>
      </w:r>
      <w:r w:rsidR="00E8128F">
        <w:rPr>
          <w:sz w:val="36"/>
          <w:szCs w:val="36"/>
          <w:rtl/>
        </w:rPr>
        <w:t xml:space="preserve"> </w:t>
      </w:r>
      <w:r w:rsidR="00F56DC6" w:rsidRPr="00FD211F">
        <w:rPr>
          <w:sz w:val="36"/>
          <w:szCs w:val="36"/>
          <w:rtl/>
        </w:rPr>
        <w:t>لايكفي</w:t>
      </w:r>
      <w:r w:rsidR="00E8128F">
        <w:rPr>
          <w:sz w:val="36"/>
          <w:szCs w:val="36"/>
          <w:rtl/>
        </w:rPr>
        <w:t xml:space="preserve"> </w:t>
      </w:r>
      <w:r w:rsidR="00F56DC6" w:rsidRPr="00FD211F">
        <w:rPr>
          <w:sz w:val="36"/>
          <w:szCs w:val="36"/>
          <w:rtl/>
        </w:rPr>
        <w:t>فيه</w:t>
      </w:r>
      <w:r w:rsidR="00E8128F">
        <w:rPr>
          <w:sz w:val="36"/>
          <w:szCs w:val="36"/>
          <w:rtl/>
        </w:rPr>
        <w:t xml:space="preserve"> </w:t>
      </w:r>
      <w:r w:rsidR="00F56DC6" w:rsidRPr="00FD211F">
        <w:rPr>
          <w:sz w:val="36"/>
          <w:szCs w:val="36"/>
          <w:rtl/>
        </w:rPr>
        <w:t>إثبات</w:t>
      </w:r>
      <w:r w:rsidR="00E8128F">
        <w:rPr>
          <w:sz w:val="36"/>
          <w:szCs w:val="36"/>
          <w:rtl/>
        </w:rPr>
        <w:t xml:space="preserve"> </w:t>
      </w:r>
      <w:r w:rsidR="004C71D0" w:rsidRPr="00FD211F">
        <w:rPr>
          <w:sz w:val="36"/>
          <w:szCs w:val="36"/>
          <w:rtl/>
        </w:rPr>
        <w:t>اطلاق</w:t>
      </w:r>
      <w:r w:rsidR="00E8128F">
        <w:rPr>
          <w:sz w:val="36"/>
          <w:szCs w:val="36"/>
          <w:rtl/>
        </w:rPr>
        <w:t xml:space="preserve"> </w:t>
      </w:r>
      <w:r w:rsidR="00F56DC6" w:rsidRPr="00FD211F">
        <w:rPr>
          <w:sz w:val="36"/>
          <w:szCs w:val="36"/>
          <w:rtl/>
        </w:rPr>
        <w:t>تعلق</w:t>
      </w:r>
      <w:r w:rsidR="00E8128F">
        <w:rPr>
          <w:sz w:val="36"/>
          <w:szCs w:val="36"/>
          <w:rtl/>
        </w:rPr>
        <w:t xml:space="preserve"> </w:t>
      </w:r>
      <w:r w:rsidR="0090224F" w:rsidRPr="00FD211F">
        <w:rPr>
          <w:sz w:val="36"/>
          <w:szCs w:val="36"/>
          <w:rtl/>
        </w:rPr>
        <w:t>الأمر</w:t>
      </w:r>
      <w:r w:rsidR="00E8128F">
        <w:rPr>
          <w:sz w:val="36"/>
          <w:szCs w:val="36"/>
          <w:rtl/>
        </w:rPr>
        <w:t xml:space="preserve"> </w:t>
      </w:r>
      <w:r w:rsidR="004C71D0" w:rsidRPr="00FD211F">
        <w:rPr>
          <w:sz w:val="36"/>
          <w:szCs w:val="36"/>
          <w:rtl/>
        </w:rPr>
        <w:t>بالنسب</w:t>
      </w:r>
      <w:r w:rsidR="00EC7EDF" w:rsidRPr="00FD211F">
        <w:rPr>
          <w:sz w:val="36"/>
          <w:szCs w:val="36"/>
          <w:rtl/>
        </w:rPr>
        <w:t>ة</w:t>
      </w:r>
      <w:r w:rsidR="00E8128F">
        <w:rPr>
          <w:sz w:val="36"/>
          <w:szCs w:val="36"/>
          <w:rtl/>
        </w:rPr>
        <w:t xml:space="preserve"> </w:t>
      </w:r>
      <w:r w:rsidR="004C71D0" w:rsidRPr="00FD211F">
        <w:rPr>
          <w:sz w:val="36"/>
          <w:szCs w:val="36"/>
          <w:rtl/>
        </w:rPr>
        <w:t>اليها</w:t>
      </w:r>
      <w:r w:rsidR="00603323" w:rsidRPr="00FD211F">
        <w:rPr>
          <w:sz w:val="36"/>
          <w:szCs w:val="36"/>
          <w:rtl/>
        </w:rPr>
        <w:t>،</w:t>
      </w:r>
      <w:r w:rsidR="00E8128F">
        <w:rPr>
          <w:sz w:val="36"/>
          <w:szCs w:val="36"/>
          <w:rtl/>
        </w:rPr>
        <w:t xml:space="preserve"> </w:t>
      </w:r>
      <w:r w:rsidR="004C71D0" w:rsidRPr="00FD211F">
        <w:rPr>
          <w:sz w:val="36"/>
          <w:szCs w:val="36"/>
          <w:rtl/>
        </w:rPr>
        <w:t>بل</w:t>
      </w:r>
      <w:r w:rsidR="00E8128F">
        <w:rPr>
          <w:sz w:val="36"/>
          <w:szCs w:val="36"/>
          <w:rtl/>
        </w:rPr>
        <w:t xml:space="preserve"> </w:t>
      </w:r>
      <w:r w:rsidR="004C71D0" w:rsidRPr="00FD211F">
        <w:rPr>
          <w:sz w:val="36"/>
          <w:szCs w:val="36"/>
          <w:rtl/>
        </w:rPr>
        <w:t>لابد</w:t>
      </w:r>
      <w:r w:rsidR="00E8128F">
        <w:rPr>
          <w:sz w:val="36"/>
          <w:szCs w:val="36"/>
          <w:rtl/>
        </w:rPr>
        <w:t xml:space="preserve"> </w:t>
      </w:r>
      <w:r w:rsidR="00F56DC6" w:rsidRPr="00FD211F">
        <w:rPr>
          <w:sz w:val="36"/>
          <w:szCs w:val="36"/>
          <w:rtl/>
        </w:rPr>
        <w:t>من</w:t>
      </w:r>
      <w:r w:rsidR="00E8128F">
        <w:rPr>
          <w:sz w:val="36"/>
          <w:szCs w:val="36"/>
          <w:rtl/>
        </w:rPr>
        <w:t xml:space="preserve"> </w:t>
      </w:r>
      <w:r w:rsidR="00F56DC6" w:rsidRPr="00FD211F">
        <w:rPr>
          <w:sz w:val="36"/>
          <w:szCs w:val="36"/>
          <w:rtl/>
        </w:rPr>
        <w:t>البحث</w:t>
      </w:r>
      <w:r w:rsidR="00E8128F">
        <w:rPr>
          <w:sz w:val="36"/>
          <w:szCs w:val="36"/>
          <w:rtl/>
        </w:rPr>
        <w:t xml:space="preserve"> </w:t>
      </w:r>
      <w:r w:rsidR="00F56DC6" w:rsidRPr="00FD211F">
        <w:rPr>
          <w:sz w:val="36"/>
          <w:szCs w:val="36"/>
          <w:rtl/>
        </w:rPr>
        <w:t>ثانيا</w:t>
      </w:r>
      <w:r w:rsidR="00E8128F">
        <w:rPr>
          <w:sz w:val="36"/>
          <w:szCs w:val="36"/>
          <w:rtl/>
        </w:rPr>
        <w:t xml:space="preserve"> </w:t>
      </w:r>
      <w:r w:rsidR="00F56DC6" w:rsidRPr="00FD211F">
        <w:rPr>
          <w:sz w:val="36"/>
          <w:szCs w:val="36"/>
          <w:rtl/>
        </w:rPr>
        <w:t>في</w:t>
      </w:r>
      <w:r w:rsidR="00E8128F">
        <w:rPr>
          <w:sz w:val="36"/>
          <w:szCs w:val="36"/>
          <w:rtl/>
        </w:rPr>
        <w:t xml:space="preserve"> </w:t>
      </w:r>
      <w:r w:rsidR="00F56DC6" w:rsidRPr="00FD211F">
        <w:rPr>
          <w:sz w:val="36"/>
          <w:szCs w:val="36"/>
          <w:rtl/>
        </w:rPr>
        <w:t>ان</w:t>
      </w:r>
      <w:r w:rsidR="00E8128F">
        <w:rPr>
          <w:sz w:val="36"/>
          <w:szCs w:val="36"/>
          <w:rtl/>
        </w:rPr>
        <w:t xml:space="preserve"> </w:t>
      </w:r>
      <w:r w:rsidR="00F56DC6" w:rsidRPr="00FD211F">
        <w:rPr>
          <w:sz w:val="36"/>
          <w:szCs w:val="36"/>
          <w:rtl/>
        </w:rPr>
        <w:t>تعلق</w:t>
      </w:r>
      <w:r w:rsidR="00E8128F">
        <w:rPr>
          <w:sz w:val="36"/>
          <w:szCs w:val="36"/>
          <w:rtl/>
        </w:rPr>
        <w:t xml:space="preserve"> </w:t>
      </w:r>
      <w:r w:rsidR="00F56DC6" w:rsidRPr="00FD211F">
        <w:rPr>
          <w:sz w:val="36"/>
          <w:szCs w:val="36"/>
          <w:rtl/>
        </w:rPr>
        <w:t>النهي</w:t>
      </w:r>
      <w:r w:rsidR="00E8128F">
        <w:rPr>
          <w:sz w:val="36"/>
          <w:szCs w:val="36"/>
          <w:rtl/>
        </w:rPr>
        <w:t xml:space="preserve"> </w:t>
      </w:r>
      <w:r w:rsidR="00F56DC6" w:rsidRPr="00FD211F">
        <w:rPr>
          <w:sz w:val="36"/>
          <w:szCs w:val="36"/>
          <w:rtl/>
        </w:rPr>
        <w:t>بها</w:t>
      </w:r>
      <w:r w:rsidR="00E8128F">
        <w:rPr>
          <w:sz w:val="36"/>
          <w:szCs w:val="36"/>
          <w:rtl/>
        </w:rPr>
        <w:t xml:space="preserve"> </w:t>
      </w:r>
      <w:r w:rsidR="00F56DC6" w:rsidRPr="00FD211F">
        <w:rPr>
          <w:sz w:val="36"/>
          <w:szCs w:val="36"/>
          <w:rtl/>
        </w:rPr>
        <w:t>ولو</w:t>
      </w:r>
      <w:r w:rsidR="00E8128F">
        <w:rPr>
          <w:sz w:val="36"/>
          <w:szCs w:val="36"/>
          <w:rtl/>
        </w:rPr>
        <w:t xml:space="preserve"> </w:t>
      </w:r>
      <w:r w:rsidR="00F56DC6" w:rsidRPr="00FD211F">
        <w:rPr>
          <w:sz w:val="36"/>
          <w:szCs w:val="36"/>
          <w:rtl/>
        </w:rPr>
        <w:t>بعنوان</w:t>
      </w:r>
      <w:r w:rsidR="00E8128F">
        <w:rPr>
          <w:sz w:val="36"/>
          <w:szCs w:val="36"/>
          <w:rtl/>
        </w:rPr>
        <w:t xml:space="preserve"> </w:t>
      </w:r>
      <w:r w:rsidR="00F56DC6" w:rsidRPr="00FD211F">
        <w:rPr>
          <w:sz w:val="36"/>
          <w:szCs w:val="36"/>
          <w:rtl/>
        </w:rPr>
        <w:t>آخر</w:t>
      </w:r>
      <w:r w:rsidR="00E8128F">
        <w:rPr>
          <w:sz w:val="36"/>
          <w:szCs w:val="36"/>
          <w:rtl/>
        </w:rPr>
        <w:t xml:space="preserve"> </w:t>
      </w:r>
      <w:r w:rsidR="00F56DC6" w:rsidRPr="00FD211F">
        <w:rPr>
          <w:sz w:val="36"/>
          <w:szCs w:val="36"/>
          <w:rtl/>
        </w:rPr>
        <w:t>متحد</w:t>
      </w:r>
      <w:r w:rsidR="00E8128F">
        <w:rPr>
          <w:sz w:val="36"/>
          <w:szCs w:val="36"/>
          <w:rtl/>
        </w:rPr>
        <w:t xml:space="preserve"> </w:t>
      </w:r>
      <w:r w:rsidR="00F56DC6" w:rsidRPr="00FD211F">
        <w:rPr>
          <w:sz w:val="36"/>
          <w:szCs w:val="36"/>
          <w:rtl/>
        </w:rPr>
        <w:t>معها</w:t>
      </w:r>
      <w:r w:rsidR="00E8128F">
        <w:rPr>
          <w:sz w:val="36"/>
          <w:szCs w:val="36"/>
          <w:rtl/>
        </w:rPr>
        <w:t xml:space="preserve"> </w:t>
      </w:r>
      <w:r w:rsidR="00F56DC6" w:rsidRPr="00FD211F">
        <w:rPr>
          <w:sz w:val="36"/>
          <w:szCs w:val="36"/>
          <w:rtl/>
        </w:rPr>
        <w:t>في</w:t>
      </w:r>
      <w:r w:rsidR="00E8128F">
        <w:rPr>
          <w:sz w:val="36"/>
          <w:szCs w:val="36"/>
          <w:rtl/>
        </w:rPr>
        <w:t xml:space="preserve"> </w:t>
      </w:r>
      <w:r w:rsidR="00F56DC6" w:rsidRPr="00FD211F">
        <w:rPr>
          <w:sz w:val="36"/>
          <w:szCs w:val="36"/>
          <w:rtl/>
        </w:rPr>
        <w:t>الوجود</w:t>
      </w:r>
      <w:r w:rsidR="00E8128F">
        <w:rPr>
          <w:sz w:val="36"/>
          <w:szCs w:val="36"/>
          <w:rtl/>
        </w:rPr>
        <w:t xml:space="preserve"> </w:t>
      </w:r>
      <w:r w:rsidR="00F56DC6" w:rsidRPr="00FD211F">
        <w:rPr>
          <w:sz w:val="36"/>
          <w:szCs w:val="36"/>
          <w:rtl/>
        </w:rPr>
        <w:t>هل</w:t>
      </w:r>
      <w:r w:rsidR="00E8128F">
        <w:rPr>
          <w:sz w:val="36"/>
          <w:szCs w:val="36"/>
          <w:rtl/>
        </w:rPr>
        <w:t xml:space="preserve"> </w:t>
      </w:r>
      <w:r w:rsidR="00F56DC6" w:rsidRPr="00FD211F">
        <w:rPr>
          <w:sz w:val="36"/>
          <w:szCs w:val="36"/>
          <w:rtl/>
        </w:rPr>
        <w:t>يوجب</w:t>
      </w:r>
      <w:r w:rsidR="00E8128F">
        <w:rPr>
          <w:sz w:val="36"/>
          <w:szCs w:val="36"/>
          <w:rtl/>
        </w:rPr>
        <w:t xml:space="preserve"> </w:t>
      </w:r>
      <w:r w:rsidR="00F56DC6" w:rsidRPr="00FD211F">
        <w:rPr>
          <w:sz w:val="36"/>
          <w:szCs w:val="36"/>
          <w:rtl/>
        </w:rPr>
        <w:t>فسادها</w:t>
      </w:r>
      <w:r w:rsidR="00E8128F">
        <w:rPr>
          <w:sz w:val="36"/>
          <w:szCs w:val="36"/>
          <w:rtl/>
        </w:rPr>
        <w:t xml:space="preserve"> </w:t>
      </w:r>
      <w:r w:rsidR="004C71D0" w:rsidRPr="00FD211F">
        <w:rPr>
          <w:sz w:val="36"/>
          <w:szCs w:val="36"/>
          <w:rtl/>
        </w:rPr>
        <w:t>ام</w:t>
      </w:r>
      <w:r w:rsidR="00E8128F">
        <w:rPr>
          <w:sz w:val="36"/>
          <w:szCs w:val="36"/>
          <w:rtl/>
        </w:rPr>
        <w:t xml:space="preserve"> </w:t>
      </w:r>
      <w:r w:rsidR="004C71D0" w:rsidRPr="00FD211F">
        <w:rPr>
          <w:sz w:val="36"/>
          <w:szCs w:val="36"/>
          <w:rtl/>
        </w:rPr>
        <w:t>لا</w:t>
      </w:r>
      <w:r w:rsidR="00EE5749" w:rsidRPr="00FD211F">
        <w:rPr>
          <w:sz w:val="36"/>
          <w:szCs w:val="36"/>
          <w:rtl/>
        </w:rPr>
        <w:t>.</w:t>
      </w:r>
    </w:p>
    <w:p w14:paraId="0D33BE61" w14:textId="77777777" w:rsidR="000C5BBA" w:rsidRPr="00FD211F" w:rsidRDefault="00F56DC6" w:rsidP="009C58C8">
      <w:pPr>
        <w:ind w:left="0" w:firstLine="227"/>
        <w:jc w:val="both"/>
        <w:rPr>
          <w:sz w:val="36"/>
          <w:szCs w:val="36"/>
          <w:rtl/>
        </w:rPr>
      </w:pPr>
      <w:r w:rsidRPr="00FD211F">
        <w:rPr>
          <w:sz w:val="36"/>
          <w:szCs w:val="36"/>
          <w:rtl/>
        </w:rPr>
        <w:t>ولكن</w:t>
      </w:r>
      <w:r w:rsidR="00E8128F">
        <w:rPr>
          <w:sz w:val="36"/>
          <w:szCs w:val="36"/>
          <w:rtl/>
        </w:rPr>
        <w:t xml:space="preserve"> </w:t>
      </w:r>
      <w:r w:rsidRPr="00FD211F">
        <w:rPr>
          <w:sz w:val="36"/>
          <w:szCs w:val="36"/>
          <w:rtl/>
        </w:rPr>
        <w:t>الظاهر</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تمامي</w:t>
      </w:r>
      <w:r w:rsidR="00EC7EDF" w:rsidRPr="00FD211F">
        <w:rPr>
          <w:sz w:val="36"/>
          <w:szCs w:val="36"/>
          <w:rtl/>
        </w:rPr>
        <w:t>ة</w:t>
      </w:r>
      <w:r w:rsidR="00E8128F">
        <w:rPr>
          <w:sz w:val="36"/>
          <w:szCs w:val="36"/>
          <w:rtl/>
        </w:rPr>
        <w:t xml:space="preserve"> </w:t>
      </w:r>
      <w:r w:rsidR="00B7328C" w:rsidRPr="00FD211F">
        <w:rPr>
          <w:sz w:val="36"/>
          <w:szCs w:val="36"/>
          <w:rtl/>
        </w:rPr>
        <w:t>هذا</w:t>
      </w:r>
      <w:r w:rsidR="00E8128F">
        <w:rPr>
          <w:sz w:val="36"/>
          <w:szCs w:val="36"/>
          <w:rtl/>
        </w:rPr>
        <w:t xml:space="preserve"> </w:t>
      </w:r>
      <w:r w:rsidR="00B7328C" w:rsidRPr="00FD211F">
        <w:rPr>
          <w:sz w:val="36"/>
          <w:szCs w:val="36"/>
          <w:rtl/>
        </w:rPr>
        <w:t>الايراد</w:t>
      </w:r>
      <w:r w:rsidR="00603323" w:rsidRPr="00FD211F">
        <w:rPr>
          <w:sz w:val="36"/>
          <w:szCs w:val="36"/>
          <w:rtl/>
        </w:rPr>
        <w:t>،</w:t>
      </w:r>
      <w:r w:rsidR="00E8128F">
        <w:rPr>
          <w:sz w:val="36"/>
          <w:szCs w:val="36"/>
          <w:rtl/>
        </w:rPr>
        <w:t xml:space="preserve"> </w:t>
      </w:r>
      <w:r w:rsidRPr="00FD211F">
        <w:rPr>
          <w:sz w:val="36"/>
          <w:szCs w:val="36"/>
          <w:rtl/>
        </w:rPr>
        <w:t>لانه</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احراز</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العمل</w:t>
      </w:r>
      <w:r w:rsidR="00E8128F">
        <w:rPr>
          <w:sz w:val="36"/>
          <w:szCs w:val="36"/>
          <w:rtl/>
        </w:rPr>
        <w:t xml:space="preserve"> </w:t>
      </w:r>
      <w:r w:rsidRPr="00FD211F">
        <w:rPr>
          <w:sz w:val="36"/>
          <w:szCs w:val="36"/>
          <w:rtl/>
        </w:rPr>
        <w:t>مأمورا</w:t>
      </w:r>
      <w:r w:rsidR="00E8128F">
        <w:rPr>
          <w:sz w:val="36"/>
          <w:szCs w:val="36"/>
          <w:rtl/>
        </w:rPr>
        <w:t xml:space="preserve"> </w:t>
      </w:r>
      <w:r w:rsidRPr="00FD211F">
        <w:rPr>
          <w:sz w:val="36"/>
          <w:szCs w:val="36"/>
          <w:rtl/>
        </w:rPr>
        <w:t>به</w:t>
      </w:r>
      <w:r w:rsidR="00E8128F">
        <w:rPr>
          <w:sz w:val="36"/>
          <w:szCs w:val="36"/>
          <w:rtl/>
        </w:rPr>
        <w:t xml:space="preserve"> </w:t>
      </w:r>
      <w:r w:rsidRPr="00FD211F">
        <w:rPr>
          <w:sz w:val="36"/>
          <w:szCs w:val="36"/>
          <w:rtl/>
        </w:rPr>
        <w:t>فلااشكال</w:t>
      </w:r>
      <w:r w:rsidR="00E8128F">
        <w:rPr>
          <w:sz w:val="36"/>
          <w:szCs w:val="36"/>
          <w:rtl/>
        </w:rPr>
        <w:t xml:space="preserve"> </w:t>
      </w:r>
      <w:r w:rsidRPr="00FD211F">
        <w:rPr>
          <w:sz w:val="36"/>
          <w:szCs w:val="36"/>
          <w:rtl/>
        </w:rPr>
        <w:t>في</w:t>
      </w:r>
      <w:r w:rsidR="00E8128F">
        <w:rPr>
          <w:sz w:val="36"/>
          <w:szCs w:val="36"/>
          <w:rtl/>
        </w:rPr>
        <w:t xml:space="preserve"> </w:t>
      </w:r>
      <w:r w:rsidR="00B7328C" w:rsidRPr="00FD211F">
        <w:rPr>
          <w:sz w:val="36"/>
          <w:szCs w:val="36"/>
          <w:rtl/>
        </w:rPr>
        <w:t>صحته</w:t>
      </w:r>
      <w:r w:rsidR="00E8128F">
        <w:rPr>
          <w:sz w:val="36"/>
          <w:szCs w:val="36"/>
          <w:rtl/>
        </w:rPr>
        <w:t xml:space="preserve"> </w:t>
      </w:r>
      <w:r w:rsidR="00B7328C" w:rsidRPr="00FD211F">
        <w:rPr>
          <w:sz w:val="36"/>
          <w:szCs w:val="36"/>
          <w:rtl/>
        </w:rPr>
        <w:t>ما</w:t>
      </w:r>
      <w:r w:rsidR="00E8128F">
        <w:rPr>
          <w:sz w:val="36"/>
          <w:szCs w:val="36"/>
          <w:rtl/>
        </w:rPr>
        <w:t xml:space="preserve"> </w:t>
      </w:r>
      <w:r w:rsidR="008D7B3D" w:rsidRPr="00FD211F">
        <w:rPr>
          <w:sz w:val="36"/>
          <w:szCs w:val="36"/>
          <w:rtl/>
        </w:rPr>
        <w:t>لم‌</w:t>
      </w:r>
      <w:r w:rsidR="00B7328C" w:rsidRPr="00FD211F">
        <w:rPr>
          <w:sz w:val="36"/>
          <w:szCs w:val="36"/>
          <w:rtl/>
        </w:rPr>
        <w:t>يتنجز</w:t>
      </w:r>
      <w:r w:rsidR="00E8128F">
        <w:rPr>
          <w:sz w:val="36"/>
          <w:szCs w:val="36"/>
          <w:rtl/>
        </w:rPr>
        <w:t xml:space="preserve"> </w:t>
      </w:r>
      <w:r w:rsidR="00B7328C" w:rsidRPr="00FD211F">
        <w:rPr>
          <w:sz w:val="36"/>
          <w:szCs w:val="36"/>
          <w:rtl/>
        </w:rPr>
        <w:t>النهي</w:t>
      </w:r>
      <w:r w:rsidR="00E8128F">
        <w:rPr>
          <w:sz w:val="36"/>
          <w:szCs w:val="36"/>
          <w:rtl/>
        </w:rPr>
        <w:t xml:space="preserve"> </w:t>
      </w:r>
      <w:r w:rsidR="00B7328C" w:rsidRPr="00FD211F">
        <w:rPr>
          <w:sz w:val="36"/>
          <w:szCs w:val="36"/>
          <w:rtl/>
        </w:rPr>
        <w:t>عنه</w:t>
      </w:r>
      <w:r w:rsidR="00E8128F">
        <w:rPr>
          <w:sz w:val="36"/>
          <w:szCs w:val="36"/>
          <w:rtl/>
        </w:rPr>
        <w:t xml:space="preserve"> </w:t>
      </w:r>
      <w:r w:rsidR="002F5121" w:rsidRPr="00FD211F">
        <w:rPr>
          <w:sz w:val="36"/>
          <w:szCs w:val="36"/>
          <w:rtl/>
        </w:rPr>
        <w:t>كما</w:t>
      </w:r>
      <w:r w:rsidR="00E8128F">
        <w:rPr>
          <w:sz w:val="36"/>
          <w:szCs w:val="36"/>
          <w:rtl/>
        </w:rPr>
        <w:t xml:space="preserve"> </w:t>
      </w:r>
      <w:r w:rsidR="002F5121" w:rsidRPr="00FD211F">
        <w:rPr>
          <w:sz w:val="36"/>
          <w:szCs w:val="36"/>
          <w:rtl/>
        </w:rPr>
        <w:t>لو</w:t>
      </w:r>
      <w:r w:rsidR="00E8128F">
        <w:rPr>
          <w:sz w:val="36"/>
          <w:szCs w:val="36"/>
          <w:rtl/>
        </w:rPr>
        <w:t xml:space="preserve"> </w:t>
      </w:r>
      <w:r w:rsidR="002F5121" w:rsidRPr="00FD211F">
        <w:rPr>
          <w:sz w:val="36"/>
          <w:szCs w:val="36"/>
          <w:rtl/>
        </w:rPr>
        <w:t>فرض</w:t>
      </w:r>
      <w:r w:rsidR="00E8128F">
        <w:rPr>
          <w:sz w:val="36"/>
          <w:szCs w:val="36"/>
          <w:rtl/>
        </w:rPr>
        <w:t xml:space="preserve"> </w:t>
      </w:r>
      <w:r w:rsidR="002F5121" w:rsidRPr="00FD211F">
        <w:rPr>
          <w:sz w:val="36"/>
          <w:szCs w:val="36"/>
          <w:rtl/>
        </w:rPr>
        <w:t>الجهل</w:t>
      </w:r>
      <w:r w:rsidR="00E8128F">
        <w:rPr>
          <w:sz w:val="36"/>
          <w:szCs w:val="36"/>
          <w:rtl/>
        </w:rPr>
        <w:t xml:space="preserve"> </w:t>
      </w:r>
      <w:r w:rsidR="002F5121" w:rsidRPr="00FD211F">
        <w:rPr>
          <w:sz w:val="36"/>
          <w:szCs w:val="36"/>
          <w:rtl/>
        </w:rPr>
        <w:t>القصوري</w:t>
      </w:r>
      <w:r w:rsidR="00E8128F">
        <w:rPr>
          <w:sz w:val="36"/>
          <w:szCs w:val="36"/>
          <w:rtl/>
        </w:rPr>
        <w:t xml:space="preserve"> </w:t>
      </w:r>
      <w:r w:rsidR="002F5121" w:rsidRPr="00FD211F">
        <w:rPr>
          <w:sz w:val="36"/>
          <w:szCs w:val="36"/>
          <w:rtl/>
        </w:rPr>
        <w:t>به</w:t>
      </w:r>
      <w:r w:rsidR="00603323" w:rsidRPr="00FD211F">
        <w:rPr>
          <w:sz w:val="36"/>
          <w:szCs w:val="36"/>
          <w:rtl/>
        </w:rPr>
        <w:t>،</w:t>
      </w:r>
      <w:r w:rsidR="00E8128F">
        <w:rPr>
          <w:sz w:val="36"/>
          <w:szCs w:val="36"/>
          <w:rtl/>
        </w:rPr>
        <w:t xml:space="preserve"> </w:t>
      </w:r>
      <w:r w:rsidR="002F5121" w:rsidRPr="00FD211F">
        <w:rPr>
          <w:sz w:val="36"/>
          <w:szCs w:val="36"/>
          <w:rtl/>
        </w:rPr>
        <w:t>نعم</w:t>
      </w:r>
      <w:r w:rsidR="00E8128F">
        <w:rPr>
          <w:sz w:val="36"/>
          <w:szCs w:val="36"/>
          <w:rtl/>
        </w:rPr>
        <w:t xml:space="preserve"> </w:t>
      </w:r>
      <w:r w:rsidR="002F5121" w:rsidRPr="00FD211F">
        <w:rPr>
          <w:sz w:val="36"/>
          <w:szCs w:val="36"/>
          <w:rtl/>
        </w:rPr>
        <w:t>لو</w:t>
      </w:r>
      <w:r w:rsidR="00E8128F">
        <w:rPr>
          <w:sz w:val="36"/>
          <w:szCs w:val="36"/>
          <w:rtl/>
        </w:rPr>
        <w:t xml:space="preserve"> </w:t>
      </w:r>
      <w:r w:rsidR="002F5121" w:rsidRPr="00FD211F">
        <w:rPr>
          <w:sz w:val="36"/>
          <w:szCs w:val="36"/>
          <w:rtl/>
        </w:rPr>
        <w:t>فرض</w:t>
      </w:r>
      <w:r w:rsidR="00E8128F">
        <w:rPr>
          <w:sz w:val="36"/>
          <w:szCs w:val="36"/>
          <w:rtl/>
        </w:rPr>
        <w:t xml:space="preserve"> </w:t>
      </w:r>
      <w:r w:rsidR="002F5121" w:rsidRPr="00FD211F">
        <w:rPr>
          <w:sz w:val="36"/>
          <w:szCs w:val="36"/>
          <w:rtl/>
        </w:rPr>
        <w:t>تنجز</w:t>
      </w:r>
      <w:r w:rsidR="00E8128F">
        <w:rPr>
          <w:sz w:val="36"/>
          <w:szCs w:val="36"/>
          <w:rtl/>
        </w:rPr>
        <w:t xml:space="preserve"> </w:t>
      </w:r>
      <w:r w:rsidR="002F5121" w:rsidRPr="00FD211F">
        <w:rPr>
          <w:sz w:val="36"/>
          <w:szCs w:val="36"/>
          <w:rtl/>
        </w:rPr>
        <w:t>النهي</w:t>
      </w:r>
      <w:r w:rsidR="00E8128F">
        <w:rPr>
          <w:sz w:val="36"/>
          <w:szCs w:val="36"/>
          <w:rtl/>
        </w:rPr>
        <w:t xml:space="preserve"> </w:t>
      </w:r>
      <w:r w:rsidR="002F5121" w:rsidRPr="00FD211F">
        <w:rPr>
          <w:sz w:val="36"/>
          <w:szCs w:val="36"/>
          <w:rtl/>
        </w:rPr>
        <w:t>عنه</w:t>
      </w:r>
      <w:r w:rsidR="00E8128F">
        <w:rPr>
          <w:sz w:val="36"/>
          <w:szCs w:val="36"/>
          <w:rtl/>
        </w:rPr>
        <w:t xml:space="preserve"> </w:t>
      </w:r>
      <w:r w:rsidR="002F5121" w:rsidRPr="00FD211F">
        <w:rPr>
          <w:sz w:val="36"/>
          <w:szCs w:val="36"/>
          <w:rtl/>
        </w:rPr>
        <w:t>وكان</w:t>
      </w:r>
      <w:r w:rsidR="00E8128F">
        <w:rPr>
          <w:sz w:val="36"/>
          <w:szCs w:val="36"/>
          <w:rtl/>
        </w:rPr>
        <w:t xml:space="preserve"> </w:t>
      </w:r>
      <w:r w:rsidRPr="00FD211F">
        <w:rPr>
          <w:sz w:val="36"/>
          <w:szCs w:val="36"/>
          <w:rtl/>
        </w:rPr>
        <w:t>عباد</w:t>
      </w:r>
      <w:r w:rsidR="00EC7EDF" w:rsidRPr="00FD211F">
        <w:rPr>
          <w:sz w:val="36"/>
          <w:szCs w:val="36"/>
          <w:rtl/>
        </w:rPr>
        <w:t>ة</w:t>
      </w:r>
      <w:r w:rsidR="00E8128F">
        <w:rPr>
          <w:sz w:val="36"/>
          <w:szCs w:val="36"/>
          <w:rtl/>
        </w:rPr>
        <w:t xml:space="preserve"> </w:t>
      </w:r>
      <w:r w:rsidR="002F5121" w:rsidRPr="00FD211F">
        <w:rPr>
          <w:sz w:val="36"/>
          <w:szCs w:val="36"/>
          <w:rtl/>
        </w:rPr>
        <w:t>ف</w:t>
      </w:r>
      <w:r w:rsidR="00210F6A" w:rsidRPr="00FD211F">
        <w:rPr>
          <w:sz w:val="36"/>
          <w:szCs w:val="36"/>
          <w:rtl/>
        </w:rPr>
        <w:t>يقال</w:t>
      </w:r>
      <w:r w:rsidR="00E8128F">
        <w:rPr>
          <w:sz w:val="36"/>
          <w:szCs w:val="36"/>
          <w:rtl/>
        </w:rPr>
        <w:t xml:space="preserve"> </w:t>
      </w:r>
      <w:r w:rsidR="00210F6A" w:rsidRPr="00FD211F">
        <w:rPr>
          <w:sz w:val="36"/>
          <w:szCs w:val="36"/>
          <w:rtl/>
        </w:rPr>
        <w:t>حينئذ</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المبعد</w:t>
      </w:r>
      <w:r w:rsidR="00E8128F">
        <w:rPr>
          <w:sz w:val="36"/>
          <w:szCs w:val="36"/>
          <w:rtl/>
        </w:rPr>
        <w:t xml:space="preserve"> </w:t>
      </w:r>
      <w:r w:rsidRPr="00FD211F">
        <w:rPr>
          <w:sz w:val="36"/>
          <w:szCs w:val="36"/>
          <w:rtl/>
        </w:rPr>
        <w:t>لايصلح</w:t>
      </w:r>
      <w:r w:rsidR="00E8128F">
        <w:rPr>
          <w:sz w:val="36"/>
          <w:szCs w:val="36"/>
          <w:rtl/>
        </w:rPr>
        <w:t xml:space="preserve"> </w:t>
      </w:r>
      <w:r w:rsidRPr="00FD211F">
        <w:rPr>
          <w:sz w:val="36"/>
          <w:szCs w:val="36"/>
          <w:rtl/>
        </w:rPr>
        <w:t>للمقربي</w:t>
      </w:r>
      <w:r w:rsidR="00EC7EDF" w:rsidRPr="00FD211F">
        <w:rPr>
          <w:sz w:val="36"/>
          <w:szCs w:val="36"/>
          <w:rtl/>
        </w:rPr>
        <w:t>ة</w:t>
      </w:r>
      <w:r w:rsidR="00E8128F">
        <w:rPr>
          <w:sz w:val="36"/>
          <w:szCs w:val="36"/>
          <w:rtl/>
        </w:rPr>
        <w:t xml:space="preserve"> </w:t>
      </w:r>
      <w:r w:rsidRPr="00FD211F">
        <w:rPr>
          <w:sz w:val="36"/>
          <w:szCs w:val="36"/>
          <w:rtl/>
        </w:rPr>
        <w:lastRenderedPageBreak/>
        <w:t>عقلاء</w:t>
      </w:r>
      <w:r w:rsidR="00D05718" w:rsidRPr="00FD211F">
        <w:rPr>
          <w:sz w:val="36"/>
          <w:szCs w:val="36"/>
          <w:rtl/>
        </w:rPr>
        <w:t>.</w:t>
      </w:r>
    </w:p>
    <w:p w14:paraId="151B3F45" w14:textId="77777777" w:rsidR="00C42AA9" w:rsidRPr="00FD211F" w:rsidRDefault="00E10865" w:rsidP="009C58C8">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وقد</w:t>
      </w:r>
      <w:r w:rsidR="00E8128F">
        <w:rPr>
          <w:sz w:val="36"/>
          <w:szCs w:val="36"/>
          <w:rtl/>
        </w:rPr>
        <w:t xml:space="preserve"> </w:t>
      </w:r>
      <w:r w:rsidR="00F56DC6" w:rsidRPr="00FD211F">
        <w:rPr>
          <w:sz w:val="36"/>
          <w:szCs w:val="36"/>
          <w:rtl/>
        </w:rPr>
        <w:t>ذكر</w:t>
      </w:r>
      <w:r w:rsidR="00E8128F">
        <w:rPr>
          <w:sz w:val="36"/>
          <w:szCs w:val="36"/>
          <w:rtl/>
        </w:rPr>
        <w:t xml:space="preserve"> </w:t>
      </w:r>
      <w:r w:rsidR="00F56DC6" w:rsidRPr="00FD211F">
        <w:rPr>
          <w:sz w:val="36"/>
          <w:szCs w:val="36"/>
          <w:rtl/>
        </w:rPr>
        <w:t>المحقق</w:t>
      </w:r>
      <w:r w:rsidR="00E8128F">
        <w:rPr>
          <w:sz w:val="36"/>
          <w:szCs w:val="36"/>
          <w:rtl/>
        </w:rPr>
        <w:t xml:space="preserve"> </w:t>
      </w:r>
      <w:r w:rsidR="00F56DC6" w:rsidRPr="00FD211F">
        <w:rPr>
          <w:sz w:val="36"/>
          <w:szCs w:val="36"/>
          <w:rtl/>
        </w:rPr>
        <w:t>النائيني</w:t>
      </w:r>
      <w:r w:rsidR="00E8128F">
        <w:rPr>
          <w:sz w:val="36"/>
          <w:szCs w:val="36"/>
          <w:rtl/>
        </w:rPr>
        <w:t xml:space="preserve"> </w:t>
      </w:r>
      <w:r w:rsidR="00AB1B12" w:rsidRPr="00FD211F">
        <w:rPr>
          <w:sz w:val="36"/>
          <w:szCs w:val="36"/>
          <w:rtl/>
        </w:rPr>
        <w:t>"</w:t>
      </w:r>
      <w:r w:rsidR="00F56DC6" w:rsidRPr="00FD211F">
        <w:rPr>
          <w:sz w:val="36"/>
          <w:szCs w:val="36"/>
          <w:rtl/>
        </w:rPr>
        <w:t>قده</w:t>
      </w:r>
      <w:r w:rsidR="00AB1B12" w:rsidRPr="00FD211F">
        <w:rPr>
          <w:sz w:val="36"/>
          <w:szCs w:val="36"/>
          <w:rtl/>
        </w:rPr>
        <w:t>"</w:t>
      </w:r>
      <w:r w:rsidR="00E8128F">
        <w:rPr>
          <w:sz w:val="36"/>
          <w:szCs w:val="36"/>
          <w:rtl/>
        </w:rPr>
        <w:t xml:space="preserve"> </w:t>
      </w:r>
      <w:r w:rsidR="00F56DC6" w:rsidRPr="00FD211F">
        <w:rPr>
          <w:sz w:val="36"/>
          <w:szCs w:val="36"/>
          <w:rtl/>
        </w:rPr>
        <w:t>انه</w:t>
      </w:r>
      <w:r w:rsidR="00E8128F">
        <w:rPr>
          <w:sz w:val="36"/>
          <w:szCs w:val="36"/>
          <w:rtl/>
        </w:rPr>
        <w:t xml:space="preserve"> </w:t>
      </w:r>
      <w:r w:rsidR="00F56DC6" w:rsidRPr="00FD211F">
        <w:rPr>
          <w:sz w:val="36"/>
          <w:szCs w:val="36"/>
          <w:rtl/>
        </w:rPr>
        <w:t>بناء</w:t>
      </w:r>
      <w:r w:rsidR="00E8128F">
        <w:rPr>
          <w:sz w:val="36"/>
          <w:szCs w:val="36"/>
          <w:rtl/>
        </w:rPr>
        <w:t xml:space="preserve"> </w:t>
      </w:r>
      <w:r w:rsidR="00F56DC6" w:rsidRPr="00FD211F">
        <w:rPr>
          <w:sz w:val="36"/>
          <w:szCs w:val="36"/>
          <w:rtl/>
        </w:rPr>
        <w:t>على</w:t>
      </w:r>
      <w:r w:rsidR="00E8128F">
        <w:rPr>
          <w:sz w:val="36"/>
          <w:szCs w:val="36"/>
          <w:rtl/>
        </w:rPr>
        <w:t xml:space="preserve"> </w:t>
      </w:r>
      <w:r w:rsidR="00F41604" w:rsidRPr="00FD211F">
        <w:rPr>
          <w:sz w:val="36"/>
          <w:szCs w:val="36"/>
          <w:rtl/>
        </w:rPr>
        <w:t>جواز</w:t>
      </w:r>
      <w:r w:rsidR="00E8128F">
        <w:rPr>
          <w:sz w:val="36"/>
          <w:szCs w:val="36"/>
          <w:rtl/>
        </w:rPr>
        <w:t xml:space="preserve"> </w:t>
      </w:r>
      <w:r w:rsidR="00FE3CC4" w:rsidRPr="00FD211F">
        <w:rPr>
          <w:sz w:val="36"/>
          <w:szCs w:val="36"/>
          <w:rtl/>
        </w:rPr>
        <w:t>اجتماع</w:t>
      </w:r>
      <w:r w:rsidR="00E8128F">
        <w:rPr>
          <w:sz w:val="36"/>
          <w:szCs w:val="36"/>
          <w:rtl/>
        </w:rPr>
        <w:t xml:space="preserve"> </w:t>
      </w:r>
      <w:r w:rsidR="0090224F" w:rsidRPr="00FD211F">
        <w:rPr>
          <w:sz w:val="36"/>
          <w:szCs w:val="36"/>
          <w:rtl/>
        </w:rPr>
        <w:t>الأمر</w:t>
      </w:r>
      <w:r w:rsidR="00E8128F">
        <w:rPr>
          <w:sz w:val="36"/>
          <w:szCs w:val="36"/>
          <w:rtl/>
        </w:rPr>
        <w:t xml:space="preserve"> </w:t>
      </w:r>
      <w:r w:rsidR="00FE3CC4" w:rsidRPr="00FD211F">
        <w:rPr>
          <w:sz w:val="36"/>
          <w:szCs w:val="36"/>
          <w:rtl/>
        </w:rPr>
        <w:t>والنهي</w:t>
      </w:r>
      <w:r w:rsidR="00E8128F">
        <w:rPr>
          <w:sz w:val="36"/>
          <w:szCs w:val="36"/>
          <w:rtl/>
        </w:rPr>
        <w:t xml:space="preserve"> </w:t>
      </w:r>
      <w:r w:rsidR="00F41604" w:rsidRPr="00FD211F">
        <w:rPr>
          <w:sz w:val="36"/>
          <w:szCs w:val="36"/>
          <w:rtl/>
        </w:rPr>
        <w:t>أيضا</w:t>
      </w:r>
      <w:r w:rsidR="00E8128F">
        <w:rPr>
          <w:sz w:val="36"/>
          <w:szCs w:val="36"/>
          <w:rtl/>
        </w:rPr>
        <w:t xml:space="preserve"> </w:t>
      </w:r>
      <w:r w:rsidR="00F56DC6" w:rsidRPr="00FD211F">
        <w:rPr>
          <w:sz w:val="36"/>
          <w:szCs w:val="36"/>
          <w:rtl/>
        </w:rPr>
        <w:t>يحتاج</w:t>
      </w:r>
      <w:r w:rsidR="00E8128F">
        <w:rPr>
          <w:sz w:val="36"/>
          <w:szCs w:val="36"/>
          <w:rtl/>
        </w:rPr>
        <w:t xml:space="preserve"> </w:t>
      </w:r>
      <w:r w:rsidR="00FE3CC4" w:rsidRPr="00FD211F">
        <w:rPr>
          <w:sz w:val="36"/>
          <w:szCs w:val="36"/>
          <w:rtl/>
        </w:rPr>
        <w:t>استنباط</w:t>
      </w:r>
      <w:r w:rsidR="00E8128F">
        <w:rPr>
          <w:sz w:val="36"/>
          <w:szCs w:val="36"/>
          <w:rtl/>
        </w:rPr>
        <w:t xml:space="preserve"> </w:t>
      </w:r>
      <w:r w:rsidR="00FE3CC4" w:rsidRPr="00FD211F">
        <w:rPr>
          <w:sz w:val="36"/>
          <w:szCs w:val="36"/>
          <w:rtl/>
        </w:rPr>
        <w:t>الحكم</w:t>
      </w:r>
      <w:r w:rsidR="00E8128F">
        <w:rPr>
          <w:sz w:val="36"/>
          <w:szCs w:val="36"/>
          <w:rtl/>
        </w:rPr>
        <w:t xml:space="preserve"> </w:t>
      </w:r>
      <w:r w:rsidR="00FE3CC4" w:rsidRPr="00FD211F">
        <w:rPr>
          <w:sz w:val="36"/>
          <w:szCs w:val="36"/>
          <w:rtl/>
        </w:rPr>
        <w:t>الشرعي</w:t>
      </w:r>
      <w:r w:rsidR="00E8128F">
        <w:rPr>
          <w:sz w:val="36"/>
          <w:szCs w:val="36"/>
          <w:rtl/>
        </w:rPr>
        <w:t xml:space="preserve"> </w:t>
      </w:r>
      <w:r w:rsidR="00F41604" w:rsidRPr="00FD211F">
        <w:rPr>
          <w:sz w:val="36"/>
          <w:szCs w:val="36"/>
          <w:rtl/>
        </w:rPr>
        <w:t>بصح</w:t>
      </w:r>
      <w:r w:rsidR="00EC7EDF" w:rsidRPr="00FD211F">
        <w:rPr>
          <w:sz w:val="36"/>
          <w:szCs w:val="36"/>
          <w:rtl/>
        </w:rPr>
        <w:t>ة</w:t>
      </w:r>
      <w:r w:rsidR="00E8128F">
        <w:rPr>
          <w:sz w:val="36"/>
          <w:szCs w:val="36"/>
          <w:rtl/>
        </w:rPr>
        <w:t xml:space="preserve"> </w:t>
      </w:r>
      <w:r w:rsidR="00F41604" w:rsidRPr="00FD211F">
        <w:rPr>
          <w:sz w:val="36"/>
          <w:szCs w:val="36"/>
          <w:rtl/>
        </w:rPr>
        <w:t>الصلا</w:t>
      </w:r>
      <w:r w:rsidR="00EC7EDF" w:rsidRPr="00FD211F">
        <w:rPr>
          <w:sz w:val="36"/>
          <w:szCs w:val="36"/>
          <w:rtl/>
        </w:rPr>
        <w:t>ة</w:t>
      </w:r>
      <w:r w:rsidR="00E8128F">
        <w:rPr>
          <w:sz w:val="36"/>
          <w:szCs w:val="36"/>
          <w:rtl/>
        </w:rPr>
        <w:t xml:space="preserve"> </w:t>
      </w:r>
      <w:r w:rsidR="00F41604" w:rsidRPr="00FD211F">
        <w:rPr>
          <w:sz w:val="36"/>
          <w:szCs w:val="36"/>
          <w:rtl/>
        </w:rPr>
        <w:t>في</w:t>
      </w:r>
      <w:r w:rsidR="00E8128F">
        <w:rPr>
          <w:sz w:val="36"/>
          <w:szCs w:val="36"/>
          <w:rtl/>
        </w:rPr>
        <w:t xml:space="preserve"> </w:t>
      </w:r>
      <w:r w:rsidR="00F41604" w:rsidRPr="00FD211F">
        <w:rPr>
          <w:sz w:val="36"/>
          <w:szCs w:val="36"/>
          <w:rtl/>
        </w:rPr>
        <w:t>المكان</w:t>
      </w:r>
      <w:r w:rsidR="00E8128F">
        <w:rPr>
          <w:sz w:val="36"/>
          <w:szCs w:val="36"/>
          <w:rtl/>
        </w:rPr>
        <w:t xml:space="preserve"> </w:t>
      </w:r>
      <w:r w:rsidR="00F41604" w:rsidRPr="00FD211F">
        <w:rPr>
          <w:sz w:val="36"/>
          <w:szCs w:val="36"/>
          <w:rtl/>
        </w:rPr>
        <w:t>المغصوب</w:t>
      </w:r>
      <w:r w:rsidR="00E8128F">
        <w:rPr>
          <w:sz w:val="36"/>
          <w:szCs w:val="36"/>
          <w:rtl/>
        </w:rPr>
        <w:t xml:space="preserve"> </w:t>
      </w:r>
      <w:r w:rsidR="00F41604" w:rsidRPr="00FD211F">
        <w:rPr>
          <w:sz w:val="36"/>
          <w:szCs w:val="36"/>
          <w:rtl/>
        </w:rPr>
        <w:t>مثلا</w:t>
      </w:r>
      <w:r w:rsidR="00E8128F">
        <w:rPr>
          <w:sz w:val="36"/>
          <w:szCs w:val="36"/>
          <w:rtl/>
        </w:rPr>
        <w:t xml:space="preserve"> </w:t>
      </w:r>
      <w:r w:rsidR="00F56DC6" w:rsidRPr="00FD211F">
        <w:rPr>
          <w:sz w:val="36"/>
          <w:szCs w:val="36"/>
          <w:rtl/>
        </w:rPr>
        <w:t>الى</w:t>
      </w:r>
      <w:r w:rsidR="00E8128F">
        <w:rPr>
          <w:sz w:val="36"/>
          <w:szCs w:val="36"/>
          <w:rtl/>
        </w:rPr>
        <w:t xml:space="preserve"> </w:t>
      </w:r>
      <w:r w:rsidR="00321B91" w:rsidRPr="00FD211F">
        <w:rPr>
          <w:sz w:val="36"/>
          <w:szCs w:val="36"/>
          <w:rtl/>
        </w:rPr>
        <w:t>توسيط</w:t>
      </w:r>
      <w:r w:rsidR="00E8128F">
        <w:rPr>
          <w:sz w:val="36"/>
          <w:szCs w:val="36"/>
          <w:rtl/>
        </w:rPr>
        <w:t xml:space="preserve"> </w:t>
      </w:r>
      <w:r w:rsidR="00F56DC6" w:rsidRPr="00FD211F">
        <w:rPr>
          <w:sz w:val="36"/>
          <w:szCs w:val="36"/>
          <w:rtl/>
        </w:rPr>
        <w:t>كبرى</w:t>
      </w:r>
      <w:r w:rsidR="00E8128F">
        <w:rPr>
          <w:sz w:val="36"/>
          <w:szCs w:val="36"/>
          <w:rtl/>
        </w:rPr>
        <w:t xml:space="preserve"> </w:t>
      </w:r>
      <w:r w:rsidR="00F56DC6" w:rsidRPr="00FD211F">
        <w:rPr>
          <w:sz w:val="36"/>
          <w:szCs w:val="36"/>
          <w:rtl/>
        </w:rPr>
        <w:t>قواعد</w:t>
      </w:r>
      <w:r w:rsidR="00E8128F">
        <w:rPr>
          <w:sz w:val="36"/>
          <w:szCs w:val="36"/>
          <w:rtl/>
        </w:rPr>
        <w:t xml:space="preserve"> </w:t>
      </w:r>
      <w:r w:rsidR="00F56DC6" w:rsidRPr="00FD211F">
        <w:rPr>
          <w:sz w:val="36"/>
          <w:szCs w:val="36"/>
          <w:rtl/>
        </w:rPr>
        <w:t>الت</w:t>
      </w:r>
      <w:r w:rsidR="00F41604" w:rsidRPr="00FD211F">
        <w:rPr>
          <w:sz w:val="36"/>
          <w:szCs w:val="36"/>
          <w:rtl/>
        </w:rPr>
        <w:t>زاحم</w:t>
      </w:r>
      <w:r w:rsidR="00603323" w:rsidRPr="00FD211F">
        <w:rPr>
          <w:sz w:val="36"/>
          <w:szCs w:val="36"/>
          <w:rtl/>
        </w:rPr>
        <w:t>،</w:t>
      </w:r>
      <w:r w:rsidR="00E8128F">
        <w:rPr>
          <w:sz w:val="36"/>
          <w:szCs w:val="36"/>
          <w:rtl/>
        </w:rPr>
        <w:t xml:space="preserve"> </w:t>
      </w:r>
      <w:r w:rsidR="00321B91" w:rsidRPr="00FD211F">
        <w:rPr>
          <w:sz w:val="36"/>
          <w:szCs w:val="36"/>
          <w:rtl/>
        </w:rPr>
        <w:t>حيث</w:t>
      </w:r>
      <w:r w:rsidR="00E8128F">
        <w:rPr>
          <w:sz w:val="36"/>
          <w:szCs w:val="36"/>
          <w:rtl/>
        </w:rPr>
        <w:t xml:space="preserve"> </w:t>
      </w:r>
      <w:r w:rsidR="00321B91" w:rsidRPr="00FD211F">
        <w:rPr>
          <w:sz w:val="36"/>
          <w:szCs w:val="36"/>
          <w:rtl/>
        </w:rPr>
        <w:t>يقع</w:t>
      </w:r>
      <w:r w:rsidR="00E8128F">
        <w:rPr>
          <w:sz w:val="36"/>
          <w:szCs w:val="36"/>
          <w:rtl/>
        </w:rPr>
        <w:t xml:space="preserve"> </w:t>
      </w:r>
      <w:r w:rsidR="00321B91" w:rsidRPr="00FD211F">
        <w:rPr>
          <w:sz w:val="36"/>
          <w:szCs w:val="36"/>
          <w:rtl/>
        </w:rPr>
        <w:t>التزاحم</w:t>
      </w:r>
      <w:r w:rsidR="00E8128F">
        <w:rPr>
          <w:sz w:val="36"/>
          <w:szCs w:val="36"/>
          <w:rtl/>
        </w:rPr>
        <w:t xml:space="preserve"> </w:t>
      </w:r>
      <w:r w:rsidR="00321B91" w:rsidRPr="00FD211F">
        <w:rPr>
          <w:sz w:val="36"/>
          <w:szCs w:val="36"/>
          <w:rtl/>
        </w:rPr>
        <w:t>بين</w:t>
      </w:r>
      <w:r w:rsidR="00E8128F">
        <w:rPr>
          <w:sz w:val="36"/>
          <w:szCs w:val="36"/>
          <w:rtl/>
        </w:rPr>
        <w:t xml:space="preserve"> </w:t>
      </w:r>
      <w:r w:rsidR="00321B91" w:rsidRPr="00FD211F">
        <w:rPr>
          <w:sz w:val="36"/>
          <w:szCs w:val="36"/>
          <w:rtl/>
        </w:rPr>
        <w:t>النهي</w:t>
      </w:r>
      <w:r w:rsidR="00E8128F">
        <w:rPr>
          <w:sz w:val="36"/>
          <w:szCs w:val="36"/>
          <w:rtl/>
        </w:rPr>
        <w:t xml:space="preserve"> </w:t>
      </w:r>
      <w:r w:rsidR="00321B91" w:rsidRPr="00FD211F">
        <w:rPr>
          <w:sz w:val="36"/>
          <w:szCs w:val="36"/>
          <w:rtl/>
        </w:rPr>
        <w:t>وا</w:t>
      </w:r>
      <w:r w:rsidR="003F364D" w:rsidRPr="00FD211F">
        <w:rPr>
          <w:sz w:val="36"/>
          <w:szCs w:val="36"/>
          <w:rtl/>
        </w:rPr>
        <w:t>لأمر</w:t>
      </w:r>
      <w:r w:rsidR="00603323" w:rsidRPr="00FD211F">
        <w:rPr>
          <w:sz w:val="36"/>
          <w:szCs w:val="36"/>
          <w:rtl/>
        </w:rPr>
        <w:t>،</w:t>
      </w:r>
      <w:r w:rsidR="00E8128F">
        <w:rPr>
          <w:sz w:val="36"/>
          <w:szCs w:val="36"/>
          <w:rtl/>
        </w:rPr>
        <w:t xml:space="preserve"> </w:t>
      </w:r>
      <w:r w:rsidR="003F364D" w:rsidRPr="00FD211F">
        <w:rPr>
          <w:sz w:val="36"/>
          <w:szCs w:val="36"/>
          <w:rtl/>
        </w:rPr>
        <w:t>وهذا</w:t>
      </w:r>
      <w:r w:rsidR="00E8128F">
        <w:rPr>
          <w:sz w:val="36"/>
          <w:szCs w:val="36"/>
          <w:rtl/>
        </w:rPr>
        <w:t xml:space="preserve"> </w:t>
      </w:r>
      <w:r w:rsidR="003F364D" w:rsidRPr="00FD211F">
        <w:rPr>
          <w:sz w:val="36"/>
          <w:szCs w:val="36"/>
          <w:rtl/>
        </w:rPr>
        <w:t>في</w:t>
      </w:r>
      <w:r w:rsidR="00E8128F">
        <w:rPr>
          <w:sz w:val="36"/>
          <w:szCs w:val="36"/>
          <w:rtl/>
        </w:rPr>
        <w:t xml:space="preserve"> </w:t>
      </w:r>
      <w:r w:rsidR="003F364D" w:rsidRPr="00FD211F">
        <w:rPr>
          <w:sz w:val="36"/>
          <w:szCs w:val="36"/>
          <w:rtl/>
        </w:rPr>
        <w:t>مورد</w:t>
      </w:r>
      <w:r w:rsidR="00E8128F">
        <w:rPr>
          <w:sz w:val="36"/>
          <w:szCs w:val="36"/>
          <w:rtl/>
        </w:rPr>
        <w:t xml:space="preserve"> </w:t>
      </w:r>
      <w:r w:rsidR="003F364D" w:rsidRPr="00FD211F">
        <w:rPr>
          <w:sz w:val="36"/>
          <w:szCs w:val="36"/>
          <w:rtl/>
        </w:rPr>
        <w:t>عدم</w:t>
      </w:r>
      <w:r w:rsidR="00E8128F">
        <w:rPr>
          <w:sz w:val="36"/>
          <w:szCs w:val="36"/>
          <w:rtl/>
        </w:rPr>
        <w:t xml:space="preserve"> </w:t>
      </w:r>
      <w:r w:rsidR="003F364D" w:rsidRPr="00FD211F">
        <w:rPr>
          <w:sz w:val="36"/>
          <w:szCs w:val="36"/>
          <w:rtl/>
        </w:rPr>
        <w:t>المندوح</w:t>
      </w:r>
      <w:r w:rsidR="00EC7EDF" w:rsidRPr="00FD211F">
        <w:rPr>
          <w:sz w:val="36"/>
          <w:szCs w:val="36"/>
          <w:rtl/>
        </w:rPr>
        <w:t>ة</w:t>
      </w:r>
      <w:r w:rsidR="00E8128F">
        <w:rPr>
          <w:sz w:val="36"/>
          <w:szCs w:val="36"/>
          <w:rtl/>
        </w:rPr>
        <w:t xml:space="preserve"> </w:t>
      </w:r>
      <w:r w:rsidR="003F364D" w:rsidRPr="00FD211F">
        <w:rPr>
          <w:sz w:val="36"/>
          <w:szCs w:val="36"/>
          <w:rtl/>
        </w:rPr>
        <w:t>–بان</w:t>
      </w:r>
      <w:r w:rsidR="00E8128F">
        <w:rPr>
          <w:sz w:val="36"/>
          <w:szCs w:val="36"/>
          <w:rtl/>
        </w:rPr>
        <w:t xml:space="preserve"> </w:t>
      </w:r>
      <w:r w:rsidR="008D7B3D" w:rsidRPr="00FD211F">
        <w:rPr>
          <w:sz w:val="36"/>
          <w:szCs w:val="36"/>
          <w:rtl/>
        </w:rPr>
        <w:t>لم‌</w:t>
      </w:r>
      <w:r w:rsidR="003F364D" w:rsidRPr="00FD211F">
        <w:rPr>
          <w:sz w:val="36"/>
          <w:szCs w:val="36"/>
          <w:rtl/>
        </w:rPr>
        <w:t>يتمكن</w:t>
      </w:r>
      <w:r w:rsidR="00E8128F">
        <w:rPr>
          <w:sz w:val="36"/>
          <w:szCs w:val="36"/>
          <w:rtl/>
        </w:rPr>
        <w:t xml:space="preserve"> </w:t>
      </w:r>
      <w:r w:rsidR="003F364D" w:rsidRPr="00FD211F">
        <w:rPr>
          <w:sz w:val="36"/>
          <w:szCs w:val="36"/>
          <w:rtl/>
        </w:rPr>
        <w:t>المكلف</w:t>
      </w:r>
      <w:r w:rsidR="00E8128F">
        <w:rPr>
          <w:sz w:val="36"/>
          <w:szCs w:val="36"/>
          <w:rtl/>
        </w:rPr>
        <w:t xml:space="preserve"> </w:t>
      </w:r>
      <w:r w:rsidR="003F364D" w:rsidRPr="00FD211F">
        <w:rPr>
          <w:sz w:val="36"/>
          <w:szCs w:val="36"/>
          <w:rtl/>
        </w:rPr>
        <w:t>من</w:t>
      </w:r>
      <w:r w:rsidR="00E8128F">
        <w:rPr>
          <w:sz w:val="36"/>
          <w:szCs w:val="36"/>
          <w:rtl/>
        </w:rPr>
        <w:t xml:space="preserve"> </w:t>
      </w:r>
      <w:r w:rsidR="003F364D" w:rsidRPr="00FD211F">
        <w:rPr>
          <w:sz w:val="36"/>
          <w:szCs w:val="36"/>
          <w:rtl/>
        </w:rPr>
        <w:t>الصلا</w:t>
      </w:r>
      <w:r w:rsidR="00EC7EDF" w:rsidRPr="00FD211F">
        <w:rPr>
          <w:sz w:val="36"/>
          <w:szCs w:val="36"/>
          <w:rtl/>
        </w:rPr>
        <w:t>ة</w:t>
      </w:r>
      <w:r w:rsidR="00E8128F">
        <w:rPr>
          <w:sz w:val="36"/>
          <w:szCs w:val="36"/>
          <w:rtl/>
        </w:rPr>
        <w:t xml:space="preserve"> </w:t>
      </w:r>
      <w:r w:rsidR="003F364D" w:rsidRPr="00FD211F">
        <w:rPr>
          <w:sz w:val="36"/>
          <w:szCs w:val="36"/>
          <w:rtl/>
        </w:rPr>
        <w:t>في</w:t>
      </w:r>
      <w:r w:rsidR="00E8128F">
        <w:rPr>
          <w:sz w:val="36"/>
          <w:szCs w:val="36"/>
          <w:rtl/>
        </w:rPr>
        <w:t xml:space="preserve"> </w:t>
      </w:r>
      <w:r w:rsidR="003F364D" w:rsidRPr="00FD211F">
        <w:rPr>
          <w:sz w:val="36"/>
          <w:szCs w:val="36"/>
          <w:rtl/>
        </w:rPr>
        <w:t>مكان</w:t>
      </w:r>
      <w:r w:rsidR="00E8128F">
        <w:rPr>
          <w:sz w:val="36"/>
          <w:szCs w:val="36"/>
          <w:rtl/>
        </w:rPr>
        <w:t xml:space="preserve"> </w:t>
      </w:r>
      <w:r w:rsidR="003F364D" w:rsidRPr="00FD211F">
        <w:rPr>
          <w:sz w:val="36"/>
          <w:szCs w:val="36"/>
          <w:rtl/>
        </w:rPr>
        <w:t>مباح-</w:t>
      </w:r>
      <w:r w:rsidR="00E8128F">
        <w:rPr>
          <w:sz w:val="36"/>
          <w:szCs w:val="36"/>
          <w:rtl/>
        </w:rPr>
        <w:t xml:space="preserve"> </w:t>
      </w:r>
      <w:r w:rsidR="003F364D" w:rsidRPr="00FD211F">
        <w:rPr>
          <w:sz w:val="36"/>
          <w:szCs w:val="36"/>
          <w:rtl/>
        </w:rPr>
        <w:t>واضح</w:t>
      </w:r>
      <w:r w:rsidR="00603323" w:rsidRPr="00FD211F">
        <w:rPr>
          <w:sz w:val="36"/>
          <w:szCs w:val="36"/>
          <w:rtl/>
        </w:rPr>
        <w:t>،</w:t>
      </w:r>
      <w:r w:rsidR="00E8128F">
        <w:rPr>
          <w:sz w:val="36"/>
          <w:szCs w:val="36"/>
          <w:rtl/>
        </w:rPr>
        <w:t xml:space="preserve"> </w:t>
      </w:r>
      <w:r w:rsidR="003F364D" w:rsidRPr="00FD211F">
        <w:rPr>
          <w:sz w:val="36"/>
          <w:szCs w:val="36"/>
          <w:rtl/>
        </w:rPr>
        <w:t>وكذا</w:t>
      </w:r>
      <w:r w:rsidR="00E8128F">
        <w:rPr>
          <w:sz w:val="36"/>
          <w:szCs w:val="36"/>
          <w:rtl/>
        </w:rPr>
        <w:t xml:space="preserve"> </w:t>
      </w:r>
      <w:r w:rsidR="003F364D" w:rsidRPr="00FD211F">
        <w:rPr>
          <w:sz w:val="36"/>
          <w:szCs w:val="36"/>
          <w:rtl/>
        </w:rPr>
        <w:t>في</w:t>
      </w:r>
      <w:r w:rsidR="00E8128F">
        <w:rPr>
          <w:sz w:val="36"/>
          <w:szCs w:val="36"/>
          <w:rtl/>
        </w:rPr>
        <w:t xml:space="preserve"> </w:t>
      </w:r>
      <w:r w:rsidR="003F364D" w:rsidRPr="00FD211F">
        <w:rPr>
          <w:sz w:val="36"/>
          <w:szCs w:val="36"/>
          <w:rtl/>
        </w:rPr>
        <w:t>موارد</w:t>
      </w:r>
      <w:r w:rsidR="00E8128F">
        <w:rPr>
          <w:sz w:val="36"/>
          <w:szCs w:val="36"/>
          <w:rtl/>
        </w:rPr>
        <w:t xml:space="preserve"> </w:t>
      </w:r>
      <w:r w:rsidR="003F364D" w:rsidRPr="00FD211F">
        <w:rPr>
          <w:sz w:val="36"/>
          <w:szCs w:val="36"/>
          <w:rtl/>
        </w:rPr>
        <w:t>المندوح</w:t>
      </w:r>
      <w:r w:rsidR="00EC7EDF" w:rsidRPr="00FD211F">
        <w:rPr>
          <w:sz w:val="36"/>
          <w:szCs w:val="36"/>
          <w:rtl/>
        </w:rPr>
        <w:t>ة</w:t>
      </w:r>
      <w:r w:rsidR="00E8128F">
        <w:rPr>
          <w:sz w:val="36"/>
          <w:szCs w:val="36"/>
          <w:rtl/>
        </w:rPr>
        <w:t xml:space="preserve"> </w:t>
      </w:r>
      <w:r w:rsidR="003F364D" w:rsidRPr="00FD211F">
        <w:rPr>
          <w:sz w:val="36"/>
          <w:szCs w:val="36"/>
          <w:rtl/>
        </w:rPr>
        <w:t>يدخل</w:t>
      </w:r>
      <w:r w:rsidR="00E8128F">
        <w:rPr>
          <w:sz w:val="36"/>
          <w:szCs w:val="36"/>
          <w:rtl/>
        </w:rPr>
        <w:t xml:space="preserve"> </w:t>
      </w:r>
      <w:r w:rsidR="003F364D" w:rsidRPr="00FD211F">
        <w:rPr>
          <w:sz w:val="36"/>
          <w:szCs w:val="36"/>
          <w:rtl/>
        </w:rPr>
        <w:t>في</w:t>
      </w:r>
      <w:r w:rsidR="00E8128F">
        <w:rPr>
          <w:sz w:val="36"/>
          <w:szCs w:val="36"/>
          <w:rtl/>
        </w:rPr>
        <w:t xml:space="preserve"> </w:t>
      </w:r>
      <w:r w:rsidR="003F364D" w:rsidRPr="00FD211F">
        <w:rPr>
          <w:sz w:val="36"/>
          <w:szCs w:val="36"/>
          <w:rtl/>
        </w:rPr>
        <w:t>كبرى</w:t>
      </w:r>
      <w:r w:rsidR="00E8128F">
        <w:rPr>
          <w:sz w:val="36"/>
          <w:szCs w:val="36"/>
          <w:rtl/>
        </w:rPr>
        <w:t xml:space="preserve"> </w:t>
      </w:r>
      <w:r w:rsidR="003F364D" w:rsidRPr="00FD211F">
        <w:rPr>
          <w:sz w:val="36"/>
          <w:szCs w:val="36"/>
          <w:rtl/>
        </w:rPr>
        <w:t>بحث</w:t>
      </w:r>
      <w:r w:rsidR="00E8128F">
        <w:rPr>
          <w:sz w:val="36"/>
          <w:szCs w:val="36"/>
          <w:rtl/>
        </w:rPr>
        <w:t xml:space="preserve"> </w:t>
      </w:r>
      <w:r w:rsidR="003F364D" w:rsidRPr="00FD211F">
        <w:rPr>
          <w:sz w:val="36"/>
          <w:szCs w:val="36"/>
          <w:rtl/>
        </w:rPr>
        <w:t>التزاحم</w:t>
      </w:r>
      <w:r w:rsidR="00E8128F">
        <w:rPr>
          <w:sz w:val="36"/>
          <w:szCs w:val="36"/>
          <w:rtl/>
        </w:rPr>
        <w:t xml:space="preserve"> </w:t>
      </w:r>
      <w:r w:rsidR="003F364D" w:rsidRPr="00FD211F">
        <w:rPr>
          <w:sz w:val="36"/>
          <w:szCs w:val="36"/>
          <w:rtl/>
        </w:rPr>
        <w:t>بين</w:t>
      </w:r>
      <w:r w:rsidR="00E8128F">
        <w:rPr>
          <w:sz w:val="36"/>
          <w:szCs w:val="36"/>
          <w:rtl/>
        </w:rPr>
        <w:t xml:space="preserve"> </w:t>
      </w:r>
      <w:r w:rsidR="003F364D" w:rsidRPr="00FD211F">
        <w:rPr>
          <w:sz w:val="36"/>
          <w:szCs w:val="36"/>
          <w:rtl/>
        </w:rPr>
        <w:t>الواجب</w:t>
      </w:r>
      <w:r w:rsidR="00E8128F">
        <w:rPr>
          <w:sz w:val="36"/>
          <w:szCs w:val="36"/>
          <w:rtl/>
        </w:rPr>
        <w:t xml:space="preserve"> </w:t>
      </w:r>
      <w:r w:rsidR="003F364D" w:rsidRPr="00FD211F">
        <w:rPr>
          <w:sz w:val="36"/>
          <w:szCs w:val="36"/>
          <w:rtl/>
        </w:rPr>
        <w:t>الموسع</w:t>
      </w:r>
      <w:r w:rsidR="00E8128F">
        <w:rPr>
          <w:sz w:val="36"/>
          <w:szCs w:val="36"/>
          <w:rtl/>
        </w:rPr>
        <w:t xml:space="preserve"> </w:t>
      </w:r>
      <w:r w:rsidR="003F364D" w:rsidRPr="00FD211F">
        <w:rPr>
          <w:sz w:val="36"/>
          <w:szCs w:val="36"/>
          <w:rtl/>
        </w:rPr>
        <w:t>والمضيق</w:t>
      </w:r>
      <w:r w:rsidR="00603323" w:rsidRPr="00FD211F">
        <w:rPr>
          <w:sz w:val="36"/>
          <w:szCs w:val="36"/>
          <w:rtl/>
        </w:rPr>
        <w:t>،</w:t>
      </w:r>
      <w:r w:rsidR="00E8128F">
        <w:rPr>
          <w:sz w:val="36"/>
          <w:szCs w:val="36"/>
          <w:rtl/>
        </w:rPr>
        <w:t xml:space="preserve"> </w:t>
      </w:r>
      <w:r w:rsidR="000E6DB1" w:rsidRPr="00FD211F">
        <w:rPr>
          <w:sz w:val="36"/>
          <w:szCs w:val="36"/>
          <w:rtl/>
        </w:rPr>
        <w:t>كما</w:t>
      </w:r>
      <w:r w:rsidR="00E8128F">
        <w:rPr>
          <w:sz w:val="36"/>
          <w:szCs w:val="36"/>
          <w:rtl/>
        </w:rPr>
        <w:t xml:space="preserve"> </w:t>
      </w:r>
      <w:r w:rsidR="000E6DB1" w:rsidRPr="00FD211F">
        <w:rPr>
          <w:sz w:val="36"/>
          <w:szCs w:val="36"/>
          <w:rtl/>
        </w:rPr>
        <w:t>لو</w:t>
      </w:r>
      <w:r w:rsidR="00E8128F">
        <w:rPr>
          <w:sz w:val="36"/>
          <w:szCs w:val="36"/>
          <w:rtl/>
        </w:rPr>
        <w:t xml:space="preserve"> </w:t>
      </w:r>
      <w:r w:rsidR="000E6DB1" w:rsidRPr="00FD211F">
        <w:rPr>
          <w:sz w:val="36"/>
          <w:szCs w:val="36"/>
          <w:rtl/>
        </w:rPr>
        <w:t>ابتلي</w:t>
      </w:r>
      <w:r w:rsidR="00E8128F">
        <w:rPr>
          <w:sz w:val="36"/>
          <w:szCs w:val="36"/>
          <w:rtl/>
        </w:rPr>
        <w:t xml:space="preserve"> </w:t>
      </w:r>
      <w:r w:rsidR="000E6DB1" w:rsidRPr="00FD211F">
        <w:rPr>
          <w:sz w:val="36"/>
          <w:szCs w:val="36"/>
          <w:rtl/>
        </w:rPr>
        <w:t>المكلف</w:t>
      </w:r>
      <w:r w:rsidR="00E8128F">
        <w:rPr>
          <w:sz w:val="36"/>
          <w:szCs w:val="36"/>
          <w:rtl/>
        </w:rPr>
        <w:t xml:space="preserve"> </w:t>
      </w:r>
      <w:r w:rsidR="000E6DB1" w:rsidRPr="00FD211F">
        <w:rPr>
          <w:sz w:val="36"/>
          <w:szCs w:val="36"/>
          <w:rtl/>
        </w:rPr>
        <w:t>في</w:t>
      </w:r>
      <w:r w:rsidR="00E8128F">
        <w:rPr>
          <w:sz w:val="36"/>
          <w:szCs w:val="36"/>
          <w:rtl/>
        </w:rPr>
        <w:t xml:space="preserve"> </w:t>
      </w:r>
      <w:r w:rsidR="000E6DB1" w:rsidRPr="00FD211F">
        <w:rPr>
          <w:sz w:val="36"/>
          <w:szCs w:val="36"/>
          <w:rtl/>
        </w:rPr>
        <w:t>اول</w:t>
      </w:r>
      <w:r w:rsidR="00E8128F">
        <w:rPr>
          <w:sz w:val="36"/>
          <w:szCs w:val="36"/>
          <w:rtl/>
        </w:rPr>
        <w:t xml:space="preserve"> </w:t>
      </w:r>
      <w:r w:rsidR="000E6DB1" w:rsidRPr="00FD211F">
        <w:rPr>
          <w:sz w:val="36"/>
          <w:szCs w:val="36"/>
          <w:rtl/>
        </w:rPr>
        <w:t>وقت</w:t>
      </w:r>
      <w:r w:rsidR="00E8128F">
        <w:rPr>
          <w:sz w:val="36"/>
          <w:szCs w:val="36"/>
          <w:rtl/>
        </w:rPr>
        <w:t xml:space="preserve"> </w:t>
      </w:r>
      <w:r w:rsidR="000E6DB1" w:rsidRPr="00FD211F">
        <w:rPr>
          <w:sz w:val="36"/>
          <w:szCs w:val="36"/>
          <w:rtl/>
        </w:rPr>
        <w:t>الصلا</w:t>
      </w:r>
      <w:r w:rsidR="00EC7EDF" w:rsidRPr="00FD211F">
        <w:rPr>
          <w:sz w:val="36"/>
          <w:szCs w:val="36"/>
          <w:rtl/>
        </w:rPr>
        <w:t>ة</w:t>
      </w:r>
      <w:r w:rsidR="00E8128F">
        <w:rPr>
          <w:sz w:val="36"/>
          <w:szCs w:val="36"/>
          <w:rtl/>
        </w:rPr>
        <w:t xml:space="preserve"> </w:t>
      </w:r>
      <w:r w:rsidR="000E6DB1" w:rsidRPr="00FD211F">
        <w:rPr>
          <w:sz w:val="36"/>
          <w:szCs w:val="36"/>
          <w:rtl/>
        </w:rPr>
        <w:t>بوجوب</w:t>
      </w:r>
      <w:r w:rsidR="00E8128F">
        <w:rPr>
          <w:sz w:val="36"/>
          <w:szCs w:val="36"/>
          <w:rtl/>
        </w:rPr>
        <w:t xml:space="preserve"> </w:t>
      </w:r>
      <w:r w:rsidR="000E6DB1" w:rsidRPr="00FD211F">
        <w:rPr>
          <w:sz w:val="36"/>
          <w:szCs w:val="36"/>
          <w:rtl/>
        </w:rPr>
        <w:t>ازال</w:t>
      </w:r>
      <w:r w:rsidR="00EC7EDF" w:rsidRPr="00FD211F">
        <w:rPr>
          <w:sz w:val="36"/>
          <w:szCs w:val="36"/>
          <w:rtl/>
        </w:rPr>
        <w:t>ة</w:t>
      </w:r>
      <w:r w:rsidR="00E8128F">
        <w:rPr>
          <w:sz w:val="36"/>
          <w:szCs w:val="36"/>
          <w:rtl/>
        </w:rPr>
        <w:t xml:space="preserve"> </w:t>
      </w:r>
      <w:r w:rsidR="000E6DB1" w:rsidRPr="00FD211F">
        <w:rPr>
          <w:sz w:val="36"/>
          <w:szCs w:val="36"/>
          <w:rtl/>
        </w:rPr>
        <w:t>النجاس</w:t>
      </w:r>
      <w:r w:rsidR="00EC7EDF" w:rsidRPr="00FD211F">
        <w:rPr>
          <w:sz w:val="36"/>
          <w:szCs w:val="36"/>
          <w:rtl/>
        </w:rPr>
        <w:t>ة</w:t>
      </w:r>
      <w:r w:rsidR="00E8128F">
        <w:rPr>
          <w:sz w:val="36"/>
          <w:szCs w:val="36"/>
          <w:rtl/>
        </w:rPr>
        <w:t xml:space="preserve"> </w:t>
      </w:r>
      <w:r w:rsidR="000E6DB1" w:rsidRPr="00FD211F">
        <w:rPr>
          <w:sz w:val="36"/>
          <w:szCs w:val="36"/>
          <w:rtl/>
        </w:rPr>
        <w:t>عن</w:t>
      </w:r>
      <w:r w:rsidR="00E8128F">
        <w:rPr>
          <w:sz w:val="36"/>
          <w:szCs w:val="36"/>
          <w:rtl/>
        </w:rPr>
        <w:t xml:space="preserve"> </w:t>
      </w:r>
      <w:r w:rsidR="000E6DB1" w:rsidRPr="00FD211F">
        <w:rPr>
          <w:sz w:val="36"/>
          <w:szCs w:val="36"/>
          <w:rtl/>
        </w:rPr>
        <w:t>المسجد</w:t>
      </w:r>
      <w:r w:rsidR="00E8128F">
        <w:rPr>
          <w:sz w:val="36"/>
          <w:szCs w:val="36"/>
          <w:rtl/>
        </w:rPr>
        <w:t xml:space="preserve"> </w:t>
      </w:r>
      <w:r w:rsidR="000E6DB1" w:rsidRPr="00FD211F">
        <w:rPr>
          <w:sz w:val="36"/>
          <w:szCs w:val="36"/>
          <w:rtl/>
        </w:rPr>
        <w:t>فورا</w:t>
      </w:r>
      <w:r w:rsidR="00603323" w:rsidRPr="00FD211F">
        <w:rPr>
          <w:sz w:val="36"/>
          <w:szCs w:val="36"/>
          <w:rtl/>
        </w:rPr>
        <w:t>،</w:t>
      </w:r>
      <w:r w:rsidR="00E8128F">
        <w:rPr>
          <w:sz w:val="36"/>
          <w:szCs w:val="36"/>
          <w:rtl/>
        </w:rPr>
        <w:t xml:space="preserve"> </w:t>
      </w:r>
      <w:r w:rsidR="000E6DB1" w:rsidRPr="00FD211F">
        <w:rPr>
          <w:sz w:val="36"/>
          <w:szCs w:val="36"/>
          <w:rtl/>
        </w:rPr>
        <w:t>فانه</w:t>
      </w:r>
      <w:r w:rsidR="00E8128F">
        <w:rPr>
          <w:sz w:val="36"/>
          <w:szCs w:val="36"/>
          <w:rtl/>
        </w:rPr>
        <w:t xml:space="preserve"> </w:t>
      </w:r>
      <w:r w:rsidR="000E6DB1" w:rsidRPr="00FD211F">
        <w:rPr>
          <w:sz w:val="36"/>
          <w:szCs w:val="36"/>
          <w:rtl/>
        </w:rPr>
        <w:t>لو</w:t>
      </w:r>
      <w:r w:rsidR="00E8128F">
        <w:rPr>
          <w:sz w:val="36"/>
          <w:szCs w:val="36"/>
          <w:rtl/>
        </w:rPr>
        <w:t xml:space="preserve"> </w:t>
      </w:r>
      <w:r w:rsidR="000E6DB1" w:rsidRPr="00FD211F">
        <w:rPr>
          <w:sz w:val="36"/>
          <w:szCs w:val="36"/>
          <w:rtl/>
        </w:rPr>
        <w:t>عصى</w:t>
      </w:r>
      <w:r w:rsidR="00E8128F">
        <w:rPr>
          <w:sz w:val="36"/>
          <w:szCs w:val="36"/>
          <w:rtl/>
        </w:rPr>
        <w:t xml:space="preserve"> </w:t>
      </w:r>
      <w:r w:rsidR="000E6DB1" w:rsidRPr="00FD211F">
        <w:rPr>
          <w:sz w:val="36"/>
          <w:szCs w:val="36"/>
          <w:rtl/>
        </w:rPr>
        <w:t>واشتغل</w:t>
      </w:r>
      <w:r w:rsidR="00E8128F">
        <w:rPr>
          <w:sz w:val="36"/>
          <w:szCs w:val="36"/>
          <w:rtl/>
        </w:rPr>
        <w:t xml:space="preserve"> </w:t>
      </w:r>
      <w:r w:rsidR="000E6DB1" w:rsidRPr="00FD211F">
        <w:rPr>
          <w:sz w:val="36"/>
          <w:szCs w:val="36"/>
          <w:rtl/>
        </w:rPr>
        <w:t>بالصلا</w:t>
      </w:r>
      <w:r w:rsidR="00EC7EDF" w:rsidRPr="00FD211F">
        <w:rPr>
          <w:sz w:val="36"/>
          <w:szCs w:val="36"/>
          <w:rtl/>
        </w:rPr>
        <w:t>ة</w:t>
      </w:r>
      <w:r w:rsidR="00E8128F">
        <w:rPr>
          <w:sz w:val="36"/>
          <w:szCs w:val="36"/>
          <w:rtl/>
        </w:rPr>
        <w:t xml:space="preserve"> </w:t>
      </w:r>
      <w:r w:rsidR="000E6DB1" w:rsidRPr="00FD211F">
        <w:rPr>
          <w:sz w:val="36"/>
          <w:szCs w:val="36"/>
          <w:rtl/>
        </w:rPr>
        <w:t>فيحتاج</w:t>
      </w:r>
      <w:r w:rsidR="00E8128F">
        <w:rPr>
          <w:sz w:val="36"/>
          <w:szCs w:val="36"/>
          <w:rtl/>
        </w:rPr>
        <w:t xml:space="preserve"> </w:t>
      </w:r>
      <w:r w:rsidR="000E6DB1" w:rsidRPr="00FD211F">
        <w:rPr>
          <w:sz w:val="36"/>
          <w:szCs w:val="36"/>
          <w:rtl/>
        </w:rPr>
        <w:t>تصحيح</w:t>
      </w:r>
      <w:r w:rsidR="00E8128F">
        <w:rPr>
          <w:sz w:val="36"/>
          <w:szCs w:val="36"/>
          <w:rtl/>
        </w:rPr>
        <w:t xml:space="preserve"> </w:t>
      </w:r>
      <w:r w:rsidR="000E6DB1" w:rsidRPr="00FD211F">
        <w:rPr>
          <w:sz w:val="36"/>
          <w:szCs w:val="36"/>
          <w:rtl/>
        </w:rPr>
        <w:t>صلاته</w:t>
      </w:r>
      <w:r w:rsidR="00E8128F">
        <w:rPr>
          <w:sz w:val="36"/>
          <w:szCs w:val="36"/>
          <w:rtl/>
        </w:rPr>
        <w:t xml:space="preserve"> </w:t>
      </w:r>
      <w:r w:rsidR="000E6DB1" w:rsidRPr="00FD211F">
        <w:rPr>
          <w:sz w:val="36"/>
          <w:szCs w:val="36"/>
          <w:rtl/>
        </w:rPr>
        <w:t>الى</w:t>
      </w:r>
      <w:r w:rsidR="00E8128F">
        <w:rPr>
          <w:sz w:val="36"/>
          <w:szCs w:val="36"/>
          <w:rtl/>
        </w:rPr>
        <w:t xml:space="preserve"> </w:t>
      </w:r>
      <w:r w:rsidR="003F364D" w:rsidRPr="00FD211F">
        <w:rPr>
          <w:sz w:val="36"/>
          <w:szCs w:val="36"/>
          <w:rtl/>
        </w:rPr>
        <w:t>إثبات</w:t>
      </w:r>
      <w:r w:rsidR="00E8128F">
        <w:rPr>
          <w:sz w:val="36"/>
          <w:szCs w:val="36"/>
          <w:rtl/>
        </w:rPr>
        <w:t xml:space="preserve"> </w:t>
      </w:r>
      <w:r w:rsidR="000E6DB1" w:rsidRPr="00FD211F">
        <w:rPr>
          <w:sz w:val="36"/>
          <w:szCs w:val="36"/>
          <w:rtl/>
        </w:rPr>
        <w:t>امكان</w:t>
      </w:r>
      <w:r w:rsidR="00E8128F">
        <w:rPr>
          <w:sz w:val="36"/>
          <w:szCs w:val="36"/>
          <w:rtl/>
        </w:rPr>
        <w:t xml:space="preserve"> </w:t>
      </w:r>
      <w:r w:rsidR="003F364D" w:rsidRPr="00FD211F">
        <w:rPr>
          <w:sz w:val="36"/>
          <w:szCs w:val="36"/>
          <w:rtl/>
        </w:rPr>
        <w:t>اطلاق</w:t>
      </w:r>
      <w:r w:rsidR="00E8128F">
        <w:rPr>
          <w:sz w:val="36"/>
          <w:szCs w:val="36"/>
          <w:rtl/>
        </w:rPr>
        <w:t xml:space="preserve"> </w:t>
      </w:r>
      <w:r w:rsidR="0090224F" w:rsidRPr="00FD211F">
        <w:rPr>
          <w:sz w:val="36"/>
          <w:szCs w:val="36"/>
          <w:rtl/>
        </w:rPr>
        <w:t>الأمر</w:t>
      </w:r>
      <w:r w:rsidR="00E8128F">
        <w:rPr>
          <w:sz w:val="36"/>
          <w:szCs w:val="36"/>
          <w:rtl/>
        </w:rPr>
        <w:t xml:space="preserve"> </w:t>
      </w:r>
      <w:r w:rsidR="003F364D" w:rsidRPr="00FD211F">
        <w:rPr>
          <w:sz w:val="36"/>
          <w:szCs w:val="36"/>
          <w:rtl/>
        </w:rPr>
        <w:t>بها</w:t>
      </w:r>
      <w:r w:rsidR="00E8128F">
        <w:rPr>
          <w:sz w:val="36"/>
          <w:szCs w:val="36"/>
          <w:rtl/>
        </w:rPr>
        <w:t xml:space="preserve"> </w:t>
      </w:r>
      <w:r w:rsidR="003F364D" w:rsidRPr="00FD211F">
        <w:rPr>
          <w:sz w:val="36"/>
          <w:szCs w:val="36"/>
          <w:rtl/>
        </w:rPr>
        <w:t>ولو</w:t>
      </w:r>
      <w:r w:rsidR="00E8128F">
        <w:rPr>
          <w:sz w:val="36"/>
          <w:szCs w:val="36"/>
          <w:rtl/>
        </w:rPr>
        <w:t xml:space="preserve"> </w:t>
      </w:r>
      <w:r w:rsidR="003F364D" w:rsidRPr="00FD211F">
        <w:rPr>
          <w:sz w:val="36"/>
          <w:szCs w:val="36"/>
          <w:rtl/>
        </w:rPr>
        <w:t>على</w:t>
      </w:r>
      <w:r w:rsidR="00E8128F">
        <w:rPr>
          <w:sz w:val="36"/>
          <w:szCs w:val="36"/>
          <w:rtl/>
        </w:rPr>
        <w:t xml:space="preserve"> </w:t>
      </w:r>
      <w:r w:rsidR="003F364D" w:rsidRPr="00FD211F">
        <w:rPr>
          <w:sz w:val="36"/>
          <w:szCs w:val="36"/>
          <w:rtl/>
        </w:rPr>
        <w:t>نحو</w:t>
      </w:r>
      <w:r w:rsidR="00E8128F">
        <w:rPr>
          <w:sz w:val="36"/>
          <w:szCs w:val="36"/>
          <w:rtl/>
        </w:rPr>
        <w:t xml:space="preserve"> </w:t>
      </w:r>
      <w:r w:rsidR="003F364D" w:rsidRPr="00FD211F">
        <w:rPr>
          <w:sz w:val="36"/>
          <w:szCs w:val="36"/>
          <w:rtl/>
        </w:rPr>
        <w:t>الترتب</w:t>
      </w:r>
      <w:r w:rsidR="00E8128F">
        <w:rPr>
          <w:sz w:val="36"/>
          <w:szCs w:val="36"/>
          <w:rtl/>
        </w:rPr>
        <w:t xml:space="preserve"> </w:t>
      </w:r>
      <w:r w:rsidR="003F364D" w:rsidRPr="00FD211F">
        <w:rPr>
          <w:sz w:val="36"/>
          <w:szCs w:val="36"/>
          <w:rtl/>
        </w:rPr>
        <w:t>على</w:t>
      </w:r>
      <w:r w:rsidR="00E8128F">
        <w:rPr>
          <w:sz w:val="36"/>
          <w:szCs w:val="36"/>
          <w:rtl/>
        </w:rPr>
        <w:t xml:space="preserve"> </w:t>
      </w:r>
      <w:r w:rsidR="003F364D" w:rsidRPr="00FD211F">
        <w:rPr>
          <w:sz w:val="36"/>
          <w:szCs w:val="36"/>
          <w:rtl/>
        </w:rPr>
        <w:t>عصيان</w:t>
      </w:r>
      <w:r w:rsidR="00E8128F">
        <w:rPr>
          <w:sz w:val="36"/>
          <w:szCs w:val="36"/>
          <w:rtl/>
        </w:rPr>
        <w:t xml:space="preserve"> </w:t>
      </w:r>
      <w:r w:rsidR="003F364D" w:rsidRPr="00FD211F">
        <w:rPr>
          <w:sz w:val="36"/>
          <w:szCs w:val="36"/>
          <w:rtl/>
        </w:rPr>
        <w:t>وجوب</w:t>
      </w:r>
      <w:r w:rsidR="00E8128F">
        <w:rPr>
          <w:sz w:val="36"/>
          <w:szCs w:val="36"/>
          <w:rtl/>
        </w:rPr>
        <w:t xml:space="preserve"> </w:t>
      </w:r>
      <w:r w:rsidR="003F364D" w:rsidRPr="00FD211F">
        <w:rPr>
          <w:sz w:val="36"/>
          <w:szCs w:val="36"/>
          <w:rtl/>
        </w:rPr>
        <w:t>الازال</w:t>
      </w:r>
      <w:r w:rsidR="00EC7EDF" w:rsidRPr="00FD211F">
        <w:rPr>
          <w:sz w:val="36"/>
          <w:szCs w:val="36"/>
          <w:rtl/>
        </w:rPr>
        <w:t>ة</w:t>
      </w:r>
      <w:r w:rsidR="00603323" w:rsidRPr="00FD211F">
        <w:rPr>
          <w:sz w:val="36"/>
          <w:szCs w:val="36"/>
          <w:rtl/>
        </w:rPr>
        <w:t>،</w:t>
      </w:r>
      <w:r w:rsidR="00E8128F">
        <w:rPr>
          <w:sz w:val="36"/>
          <w:szCs w:val="36"/>
          <w:rtl/>
        </w:rPr>
        <w:t xml:space="preserve"> </w:t>
      </w:r>
      <w:r w:rsidR="003F364D" w:rsidRPr="00FD211F">
        <w:rPr>
          <w:sz w:val="36"/>
          <w:szCs w:val="36"/>
          <w:rtl/>
        </w:rPr>
        <w:t>او</w:t>
      </w:r>
      <w:r w:rsidR="00E8128F">
        <w:rPr>
          <w:sz w:val="36"/>
          <w:szCs w:val="36"/>
          <w:rtl/>
        </w:rPr>
        <w:t xml:space="preserve"> </w:t>
      </w:r>
      <w:r w:rsidR="003F364D" w:rsidRPr="00FD211F">
        <w:rPr>
          <w:sz w:val="36"/>
          <w:szCs w:val="36"/>
          <w:rtl/>
        </w:rPr>
        <w:t>امكان</w:t>
      </w:r>
      <w:r w:rsidR="00E8128F">
        <w:rPr>
          <w:sz w:val="36"/>
          <w:szCs w:val="36"/>
          <w:rtl/>
        </w:rPr>
        <w:t xml:space="preserve"> </w:t>
      </w:r>
      <w:r w:rsidR="003F364D" w:rsidRPr="00FD211F">
        <w:rPr>
          <w:sz w:val="36"/>
          <w:szCs w:val="36"/>
          <w:rtl/>
        </w:rPr>
        <w:t>تصحيحها</w:t>
      </w:r>
      <w:r w:rsidR="00E8128F">
        <w:rPr>
          <w:sz w:val="36"/>
          <w:szCs w:val="36"/>
          <w:rtl/>
        </w:rPr>
        <w:t xml:space="preserve"> </w:t>
      </w:r>
      <w:r w:rsidR="003F364D" w:rsidRPr="00FD211F">
        <w:rPr>
          <w:sz w:val="36"/>
          <w:szCs w:val="36"/>
          <w:rtl/>
        </w:rPr>
        <w:t>باستكشاف</w:t>
      </w:r>
      <w:r w:rsidR="00E8128F">
        <w:rPr>
          <w:sz w:val="36"/>
          <w:szCs w:val="36"/>
          <w:rtl/>
        </w:rPr>
        <w:t xml:space="preserve"> </w:t>
      </w:r>
      <w:r w:rsidR="003F364D" w:rsidRPr="00FD211F">
        <w:rPr>
          <w:sz w:val="36"/>
          <w:szCs w:val="36"/>
          <w:rtl/>
        </w:rPr>
        <w:t>الملاك</w:t>
      </w:r>
      <w:r w:rsidR="00E8128F">
        <w:rPr>
          <w:sz w:val="36"/>
          <w:szCs w:val="36"/>
          <w:rtl/>
        </w:rPr>
        <w:t xml:space="preserve"> </w:t>
      </w:r>
      <w:r w:rsidR="00C40D99" w:rsidRPr="00FD211F">
        <w:rPr>
          <w:sz w:val="36"/>
          <w:szCs w:val="36"/>
          <w:rtl/>
        </w:rPr>
        <w:t>-</w:t>
      </w:r>
      <w:r w:rsidR="00C42AA9" w:rsidRPr="00FD211F">
        <w:rPr>
          <w:sz w:val="36"/>
          <w:szCs w:val="36"/>
          <w:rtl/>
        </w:rPr>
        <w:t>من</w:t>
      </w:r>
      <w:r w:rsidR="00E8128F">
        <w:rPr>
          <w:sz w:val="36"/>
          <w:szCs w:val="36"/>
          <w:rtl/>
        </w:rPr>
        <w:t xml:space="preserve"> </w:t>
      </w:r>
      <w:r w:rsidR="00C42AA9" w:rsidRPr="00FD211F">
        <w:rPr>
          <w:sz w:val="36"/>
          <w:szCs w:val="36"/>
          <w:rtl/>
        </w:rPr>
        <w:t>اطلاق</w:t>
      </w:r>
      <w:r w:rsidR="00E8128F">
        <w:rPr>
          <w:sz w:val="36"/>
          <w:szCs w:val="36"/>
          <w:rtl/>
        </w:rPr>
        <w:t xml:space="preserve"> </w:t>
      </w:r>
      <w:r w:rsidR="00C42AA9" w:rsidRPr="00FD211F">
        <w:rPr>
          <w:sz w:val="36"/>
          <w:szCs w:val="36"/>
          <w:rtl/>
        </w:rPr>
        <w:t>الماد</w:t>
      </w:r>
      <w:r w:rsidR="00EC7EDF" w:rsidRPr="00FD211F">
        <w:rPr>
          <w:sz w:val="36"/>
          <w:szCs w:val="36"/>
          <w:rtl/>
        </w:rPr>
        <w:t>ة</w:t>
      </w:r>
      <w:r w:rsidR="00E8128F">
        <w:rPr>
          <w:sz w:val="36"/>
          <w:szCs w:val="36"/>
          <w:rtl/>
        </w:rPr>
        <w:t xml:space="preserve"> </w:t>
      </w:r>
      <w:r w:rsidR="00C42AA9" w:rsidRPr="00FD211F">
        <w:rPr>
          <w:sz w:val="36"/>
          <w:szCs w:val="36"/>
          <w:rtl/>
        </w:rPr>
        <w:t>او</w:t>
      </w:r>
      <w:r w:rsidR="00E8128F">
        <w:rPr>
          <w:sz w:val="36"/>
          <w:szCs w:val="36"/>
          <w:rtl/>
        </w:rPr>
        <w:t xml:space="preserve"> </w:t>
      </w:r>
      <w:r w:rsidR="00C42AA9" w:rsidRPr="00FD211F">
        <w:rPr>
          <w:sz w:val="36"/>
          <w:szCs w:val="36"/>
          <w:rtl/>
        </w:rPr>
        <w:t>من</w:t>
      </w:r>
      <w:r w:rsidR="00E8128F">
        <w:rPr>
          <w:sz w:val="36"/>
          <w:szCs w:val="36"/>
          <w:rtl/>
        </w:rPr>
        <w:t xml:space="preserve"> </w:t>
      </w:r>
      <w:r w:rsidR="00C42AA9" w:rsidRPr="00FD211F">
        <w:rPr>
          <w:sz w:val="36"/>
          <w:szCs w:val="36"/>
          <w:rtl/>
        </w:rPr>
        <w:t>الدلال</w:t>
      </w:r>
      <w:r w:rsidR="00EC7EDF" w:rsidRPr="00FD211F">
        <w:rPr>
          <w:sz w:val="36"/>
          <w:szCs w:val="36"/>
          <w:rtl/>
        </w:rPr>
        <w:t>ة</w:t>
      </w:r>
      <w:r w:rsidR="00E8128F">
        <w:rPr>
          <w:sz w:val="36"/>
          <w:szCs w:val="36"/>
          <w:rtl/>
        </w:rPr>
        <w:t xml:space="preserve"> </w:t>
      </w:r>
      <w:r w:rsidR="00C42AA9" w:rsidRPr="00FD211F">
        <w:rPr>
          <w:sz w:val="36"/>
          <w:szCs w:val="36"/>
          <w:rtl/>
        </w:rPr>
        <w:t>الالتزامي</w:t>
      </w:r>
      <w:r w:rsidR="00EC7EDF" w:rsidRPr="00FD211F">
        <w:rPr>
          <w:sz w:val="36"/>
          <w:szCs w:val="36"/>
          <w:rtl/>
        </w:rPr>
        <w:t>ة</w:t>
      </w:r>
      <w:r w:rsidR="00E8128F">
        <w:rPr>
          <w:sz w:val="36"/>
          <w:szCs w:val="36"/>
          <w:rtl/>
        </w:rPr>
        <w:t xml:space="preserve"> </w:t>
      </w:r>
      <w:r w:rsidR="00C42AA9" w:rsidRPr="00FD211F">
        <w:rPr>
          <w:sz w:val="36"/>
          <w:szCs w:val="36"/>
          <w:rtl/>
        </w:rPr>
        <w:t>للخطاب</w:t>
      </w:r>
      <w:r w:rsidR="00C40D99" w:rsidRPr="00FD211F">
        <w:rPr>
          <w:sz w:val="36"/>
          <w:szCs w:val="36"/>
          <w:rtl/>
        </w:rPr>
        <w:t>-</w:t>
      </w:r>
      <w:r w:rsidR="00E8128F">
        <w:rPr>
          <w:sz w:val="36"/>
          <w:szCs w:val="36"/>
          <w:rtl/>
        </w:rPr>
        <w:t xml:space="preserve"> </w:t>
      </w:r>
      <w:r w:rsidR="00210F6A" w:rsidRPr="00FD211F">
        <w:rPr>
          <w:sz w:val="36"/>
          <w:szCs w:val="36"/>
          <w:rtl/>
        </w:rPr>
        <w:t>بعد</w:t>
      </w:r>
      <w:r w:rsidR="00E8128F">
        <w:rPr>
          <w:sz w:val="36"/>
          <w:szCs w:val="36"/>
          <w:rtl/>
        </w:rPr>
        <w:t xml:space="preserve"> </w:t>
      </w:r>
      <w:r w:rsidR="003F364D" w:rsidRPr="00FD211F">
        <w:rPr>
          <w:sz w:val="36"/>
          <w:szCs w:val="36"/>
          <w:rtl/>
        </w:rPr>
        <w:t>سقوط</w:t>
      </w:r>
      <w:r w:rsidR="00E8128F">
        <w:rPr>
          <w:sz w:val="36"/>
          <w:szCs w:val="36"/>
          <w:rtl/>
        </w:rPr>
        <w:t xml:space="preserve"> </w:t>
      </w:r>
      <w:r w:rsidR="003F364D" w:rsidRPr="00FD211F">
        <w:rPr>
          <w:sz w:val="36"/>
          <w:szCs w:val="36"/>
          <w:rtl/>
        </w:rPr>
        <w:t>اطلاق</w:t>
      </w:r>
      <w:r w:rsidR="00E8128F">
        <w:rPr>
          <w:sz w:val="36"/>
          <w:szCs w:val="36"/>
          <w:rtl/>
        </w:rPr>
        <w:t xml:space="preserve"> </w:t>
      </w:r>
      <w:r w:rsidR="003F364D" w:rsidRPr="00FD211F">
        <w:rPr>
          <w:sz w:val="36"/>
          <w:szCs w:val="36"/>
          <w:rtl/>
        </w:rPr>
        <w:t>الأمر</w:t>
      </w:r>
      <w:r w:rsidR="00603323" w:rsidRPr="00FD211F">
        <w:rPr>
          <w:sz w:val="36"/>
          <w:szCs w:val="36"/>
          <w:rtl/>
        </w:rPr>
        <w:t>،</w:t>
      </w:r>
      <w:r w:rsidR="00E8128F">
        <w:rPr>
          <w:sz w:val="36"/>
          <w:szCs w:val="36"/>
          <w:rtl/>
        </w:rPr>
        <w:t xml:space="preserve"> </w:t>
      </w:r>
      <w:r w:rsidR="009E493F" w:rsidRPr="00FD211F">
        <w:rPr>
          <w:sz w:val="36"/>
          <w:szCs w:val="36"/>
          <w:rtl/>
        </w:rPr>
        <w:t>ولاجل</w:t>
      </w:r>
      <w:r w:rsidR="00E8128F">
        <w:rPr>
          <w:sz w:val="36"/>
          <w:szCs w:val="36"/>
          <w:rtl/>
        </w:rPr>
        <w:t xml:space="preserve"> </w:t>
      </w:r>
      <w:r w:rsidR="009E493F" w:rsidRPr="00FD211F">
        <w:rPr>
          <w:sz w:val="36"/>
          <w:szCs w:val="36"/>
          <w:rtl/>
        </w:rPr>
        <w:t>ذلك</w:t>
      </w:r>
      <w:r w:rsidR="00E8128F">
        <w:rPr>
          <w:sz w:val="36"/>
          <w:szCs w:val="36"/>
          <w:rtl/>
        </w:rPr>
        <w:t xml:space="preserve"> </w:t>
      </w:r>
      <w:r w:rsidR="009E493F" w:rsidRPr="00FD211F">
        <w:rPr>
          <w:sz w:val="36"/>
          <w:szCs w:val="36"/>
          <w:rtl/>
        </w:rPr>
        <w:t>التزم</w:t>
      </w:r>
      <w:r w:rsidR="00E8128F">
        <w:rPr>
          <w:sz w:val="36"/>
          <w:szCs w:val="36"/>
          <w:rtl/>
        </w:rPr>
        <w:t xml:space="preserve"> </w:t>
      </w:r>
      <w:r w:rsidR="009E493F" w:rsidRPr="00FD211F">
        <w:rPr>
          <w:sz w:val="36"/>
          <w:szCs w:val="36"/>
          <w:rtl/>
        </w:rPr>
        <w:t>بخروج</w:t>
      </w:r>
      <w:r w:rsidR="00E8128F">
        <w:rPr>
          <w:sz w:val="36"/>
          <w:szCs w:val="36"/>
          <w:rtl/>
        </w:rPr>
        <w:t xml:space="preserve"> </w:t>
      </w:r>
      <w:r w:rsidR="009E493F" w:rsidRPr="00FD211F">
        <w:rPr>
          <w:sz w:val="36"/>
          <w:szCs w:val="36"/>
          <w:rtl/>
        </w:rPr>
        <w:t>بحث</w:t>
      </w:r>
      <w:r w:rsidR="00E8128F">
        <w:rPr>
          <w:sz w:val="36"/>
          <w:szCs w:val="36"/>
          <w:rtl/>
        </w:rPr>
        <w:t xml:space="preserve"> </w:t>
      </w:r>
      <w:r w:rsidR="009E493F" w:rsidRPr="00FD211F">
        <w:rPr>
          <w:sz w:val="36"/>
          <w:szCs w:val="36"/>
          <w:rtl/>
        </w:rPr>
        <w:t>اجتماع</w:t>
      </w:r>
      <w:r w:rsidR="00E8128F">
        <w:rPr>
          <w:sz w:val="36"/>
          <w:szCs w:val="36"/>
          <w:rtl/>
        </w:rPr>
        <w:t xml:space="preserve"> </w:t>
      </w:r>
      <w:r w:rsidR="001B3112" w:rsidRPr="00FD211F">
        <w:rPr>
          <w:sz w:val="36"/>
          <w:szCs w:val="36"/>
          <w:rtl/>
        </w:rPr>
        <w:t>الأمر</w:t>
      </w:r>
      <w:r w:rsidR="00E8128F">
        <w:rPr>
          <w:sz w:val="36"/>
          <w:szCs w:val="36"/>
          <w:rtl/>
        </w:rPr>
        <w:t xml:space="preserve"> </w:t>
      </w:r>
      <w:r w:rsidR="009E493F" w:rsidRPr="00FD211F">
        <w:rPr>
          <w:sz w:val="36"/>
          <w:szCs w:val="36"/>
          <w:rtl/>
        </w:rPr>
        <w:t>والنهي</w:t>
      </w:r>
      <w:r w:rsidR="00E8128F">
        <w:rPr>
          <w:sz w:val="36"/>
          <w:szCs w:val="36"/>
          <w:rtl/>
        </w:rPr>
        <w:t xml:space="preserve"> </w:t>
      </w:r>
      <w:r w:rsidR="009E493F" w:rsidRPr="00FD211F">
        <w:rPr>
          <w:sz w:val="36"/>
          <w:szCs w:val="36"/>
          <w:rtl/>
        </w:rPr>
        <w:t>عن</w:t>
      </w:r>
      <w:r w:rsidR="00E8128F">
        <w:rPr>
          <w:sz w:val="36"/>
          <w:szCs w:val="36"/>
          <w:rtl/>
        </w:rPr>
        <w:t xml:space="preserve"> </w:t>
      </w:r>
      <w:r w:rsidR="009E493F" w:rsidRPr="00FD211F">
        <w:rPr>
          <w:sz w:val="36"/>
          <w:szCs w:val="36"/>
          <w:rtl/>
        </w:rPr>
        <w:t>مسائل</w:t>
      </w:r>
      <w:r w:rsidR="00E8128F">
        <w:rPr>
          <w:sz w:val="36"/>
          <w:szCs w:val="36"/>
          <w:rtl/>
        </w:rPr>
        <w:t xml:space="preserve"> </w:t>
      </w:r>
      <w:r w:rsidR="009E493F" w:rsidRPr="00FD211F">
        <w:rPr>
          <w:sz w:val="36"/>
          <w:szCs w:val="36"/>
          <w:rtl/>
        </w:rPr>
        <w:t>علم</w:t>
      </w:r>
      <w:r w:rsidR="00E8128F">
        <w:rPr>
          <w:sz w:val="36"/>
          <w:szCs w:val="36"/>
          <w:rtl/>
        </w:rPr>
        <w:t xml:space="preserve"> </w:t>
      </w:r>
      <w:r w:rsidR="009E493F" w:rsidRPr="00FD211F">
        <w:rPr>
          <w:sz w:val="36"/>
          <w:szCs w:val="36"/>
          <w:rtl/>
        </w:rPr>
        <w:t>الاصول</w:t>
      </w:r>
      <w:r w:rsidR="00E8128F">
        <w:rPr>
          <w:sz w:val="36"/>
          <w:szCs w:val="36"/>
          <w:rtl/>
        </w:rPr>
        <w:t xml:space="preserve"> </w:t>
      </w:r>
      <w:r w:rsidR="009E493F" w:rsidRPr="00FD211F">
        <w:rPr>
          <w:sz w:val="36"/>
          <w:szCs w:val="36"/>
          <w:rtl/>
        </w:rPr>
        <w:t>واندراجه</w:t>
      </w:r>
      <w:r w:rsidR="00E8128F">
        <w:rPr>
          <w:sz w:val="36"/>
          <w:szCs w:val="36"/>
          <w:rtl/>
        </w:rPr>
        <w:t xml:space="preserve"> </w:t>
      </w:r>
      <w:r w:rsidR="009E493F" w:rsidRPr="00FD211F">
        <w:rPr>
          <w:sz w:val="36"/>
          <w:szCs w:val="36"/>
          <w:rtl/>
        </w:rPr>
        <w:t>في</w:t>
      </w:r>
      <w:r w:rsidR="00E8128F">
        <w:rPr>
          <w:sz w:val="36"/>
          <w:szCs w:val="36"/>
          <w:rtl/>
        </w:rPr>
        <w:t xml:space="preserve"> </w:t>
      </w:r>
      <w:r w:rsidR="009E493F" w:rsidRPr="00FD211F">
        <w:rPr>
          <w:sz w:val="36"/>
          <w:szCs w:val="36"/>
          <w:rtl/>
        </w:rPr>
        <w:t>المبادي</w:t>
      </w:r>
      <w:r w:rsidR="00E8128F">
        <w:rPr>
          <w:sz w:val="36"/>
          <w:szCs w:val="36"/>
          <w:rtl/>
        </w:rPr>
        <w:t xml:space="preserve"> </w:t>
      </w:r>
      <w:r w:rsidR="00EF7272" w:rsidRPr="00FD211F">
        <w:rPr>
          <w:sz w:val="36"/>
          <w:szCs w:val="36"/>
          <w:rtl/>
        </w:rPr>
        <w:t>التصديقي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0"/>
      </w:r>
      <w:r w:rsidR="009C58C8" w:rsidRPr="00FD211F">
        <w:rPr>
          <w:rStyle w:val="a6"/>
          <w:sz w:val="36"/>
          <w:szCs w:val="36"/>
          <w:rtl/>
        </w:rPr>
        <w:t>)</w:t>
      </w:r>
      <w:r w:rsidR="00C42AA9" w:rsidRPr="00FD211F">
        <w:rPr>
          <w:sz w:val="36"/>
          <w:szCs w:val="36"/>
          <w:rtl/>
        </w:rPr>
        <w:t>.</w:t>
      </w:r>
    </w:p>
    <w:p w14:paraId="5156FE1A" w14:textId="77777777" w:rsidR="00F56DC6" w:rsidRPr="00FD211F" w:rsidRDefault="00C42AA9" w:rsidP="009C58C8">
      <w:pPr>
        <w:ind w:left="0" w:firstLine="227"/>
        <w:jc w:val="both"/>
        <w:rPr>
          <w:sz w:val="36"/>
          <w:szCs w:val="36"/>
          <w:rtl/>
        </w:rPr>
      </w:pPr>
      <w:r w:rsidRPr="00FD211F">
        <w:rPr>
          <w:sz w:val="36"/>
          <w:szCs w:val="36"/>
          <w:rtl/>
        </w:rPr>
        <w:lastRenderedPageBreak/>
        <w:t>وف</w:t>
      </w:r>
      <w:r w:rsidR="00763372" w:rsidRPr="00FD211F">
        <w:rPr>
          <w:sz w:val="36"/>
          <w:szCs w:val="36"/>
          <w:rtl/>
        </w:rPr>
        <w:t>يه</w:t>
      </w:r>
      <w:r w:rsidR="00E8128F">
        <w:rPr>
          <w:sz w:val="36"/>
          <w:szCs w:val="36"/>
          <w:rtl/>
        </w:rPr>
        <w:t xml:space="preserve"> </w:t>
      </w:r>
      <w:r w:rsidR="00763372" w:rsidRPr="00FD211F">
        <w:rPr>
          <w:sz w:val="36"/>
          <w:szCs w:val="36"/>
          <w:rtl/>
        </w:rPr>
        <w:t>ان</w:t>
      </w:r>
      <w:r w:rsidR="00E8128F">
        <w:rPr>
          <w:sz w:val="36"/>
          <w:szCs w:val="36"/>
          <w:rtl/>
        </w:rPr>
        <w:t xml:space="preserve"> </w:t>
      </w:r>
      <w:r w:rsidR="00763372" w:rsidRPr="00FD211F">
        <w:rPr>
          <w:sz w:val="36"/>
          <w:szCs w:val="36"/>
          <w:rtl/>
        </w:rPr>
        <w:t>من</w:t>
      </w:r>
      <w:r w:rsidR="00E8128F">
        <w:rPr>
          <w:sz w:val="36"/>
          <w:szCs w:val="36"/>
          <w:rtl/>
        </w:rPr>
        <w:t xml:space="preserve"> </w:t>
      </w:r>
      <w:r w:rsidR="00763372" w:rsidRPr="00FD211F">
        <w:rPr>
          <w:sz w:val="36"/>
          <w:szCs w:val="36"/>
          <w:rtl/>
        </w:rPr>
        <w:t>يرى</w:t>
      </w:r>
      <w:r w:rsidR="00E8128F">
        <w:rPr>
          <w:sz w:val="36"/>
          <w:szCs w:val="36"/>
          <w:rtl/>
        </w:rPr>
        <w:t xml:space="preserve"> </w:t>
      </w:r>
      <w:r w:rsidR="00763372" w:rsidRPr="00FD211F">
        <w:rPr>
          <w:sz w:val="36"/>
          <w:szCs w:val="36"/>
          <w:rtl/>
        </w:rPr>
        <w:t>جواز</w:t>
      </w:r>
      <w:r w:rsidR="00E8128F">
        <w:rPr>
          <w:sz w:val="36"/>
          <w:szCs w:val="36"/>
          <w:rtl/>
        </w:rPr>
        <w:t xml:space="preserve"> </w:t>
      </w:r>
      <w:r w:rsidR="00763372" w:rsidRPr="00FD211F">
        <w:rPr>
          <w:sz w:val="36"/>
          <w:szCs w:val="36"/>
          <w:rtl/>
        </w:rPr>
        <w:t>اجتماع</w:t>
      </w:r>
      <w:r w:rsidR="00E8128F">
        <w:rPr>
          <w:sz w:val="36"/>
          <w:szCs w:val="36"/>
          <w:rtl/>
        </w:rPr>
        <w:t xml:space="preserve"> </w:t>
      </w:r>
      <w:r w:rsidR="0090224F" w:rsidRPr="00FD211F">
        <w:rPr>
          <w:sz w:val="36"/>
          <w:szCs w:val="36"/>
          <w:rtl/>
        </w:rPr>
        <w:t>الأمر</w:t>
      </w:r>
      <w:r w:rsidR="00E8128F">
        <w:rPr>
          <w:sz w:val="36"/>
          <w:szCs w:val="36"/>
          <w:rtl/>
        </w:rPr>
        <w:t xml:space="preserve"> </w:t>
      </w:r>
      <w:r w:rsidR="00763372" w:rsidRPr="00FD211F">
        <w:rPr>
          <w:sz w:val="36"/>
          <w:szCs w:val="36"/>
          <w:rtl/>
        </w:rPr>
        <w:t>والنهي</w:t>
      </w:r>
      <w:r w:rsidR="00E8128F">
        <w:rPr>
          <w:sz w:val="36"/>
          <w:szCs w:val="36"/>
          <w:rtl/>
        </w:rPr>
        <w:t xml:space="preserve"> </w:t>
      </w:r>
      <w:r w:rsidR="00763372" w:rsidRPr="00FD211F">
        <w:rPr>
          <w:sz w:val="36"/>
          <w:szCs w:val="36"/>
          <w:rtl/>
        </w:rPr>
        <w:t>فيعني</w:t>
      </w:r>
      <w:r w:rsidR="00E8128F">
        <w:rPr>
          <w:sz w:val="36"/>
          <w:szCs w:val="36"/>
          <w:rtl/>
        </w:rPr>
        <w:t xml:space="preserve"> </w:t>
      </w:r>
      <w:r w:rsidR="00763372" w:rsidRPr="00FD211F">
        <w:rPr>
          <w:sz w:val="36"/>
          <w:szCs w:val="36"/>
          <w:rtl/>
        </w:rPr>
        <w:t>ذلك</w:t>
      </w:r>
      <w:r w:rsidR="00E8128F">
        <w:rPr>
          <w:sz w:val="36"/>
          <w:szCs w:val="36"/>
          <w:rtl/>
        </w:rPr>
        <w:t xml:space="preserve"> </w:t>
      </w:r>
      <w:r w:rsidR="00763372" w:rsidRPr="00FD211F">
        <w:rPr>
          <w:sz w:val="36"/>
          <w:szCs w:val="36"/>
          <w:rtl/>
        </w:rPr>
        <w:t>التزامه</w:t>
      </w:r>
      <w:r w:rsidR="00E8128F">
        <w:rPr>
          <w:sz w:val="36"/>
          <w:szCs w:val="36"/>
          <w:rtl/>
        </w:rPr>
        <w:t xml:space="preserve"> </w:t>
      </w:r>
      <w:r w:rsidR="00763372" w:rsidRPr="00FD211F">
        <w:rPr>
          <w:sz w:val="36"/>
          <w:szCs w:val="36"/>
          <w:rtl/>
        </w:rPr>
        <w:t>بامكان</w:t>
      </w:r>
      <w:r w:rsidR="00E8128F">
        <w:rPr>
          <w:sz w:val="36"/>
          <w:szCs w:val="36"/>
          <w:rtl/>
        </w:rPr>
        <w:t xml:space="preserve"> </w:t>
      </w:r>
      <w:r w:rsidR="00763372" w:rsidRPr="00FD211F">
        <w:rPr>
          <w:sz w:val="36"/>
          <w:szCs w:val="36"/>
          <w:rtl/>
        </w:rPr>
        <w:t>اطلاق</w:t>
      </w:r>
      <w:r w:rsidR="00E8128F">
        <w:rPr>
          <w:sz w:val="36"/>
          <w:szCs w:val="36"/>
          <w:rtl/>
        </w:rPr>
        <w:t xml:space="preserve"> </w:t>
      </w:r>
      <w:r w:rsidR="0090224F" w:rsidRPr="00FD211F">
        <w:rPr>
          <w:sz w:val="36"/>
          <w:szCs w:val="36"/>
          <w:rtl/>
        </w:rPr>
        <w:t>الأمر</w:t>
      </w:r>
      <w:r w:rsidR="00E8128F">
        <w:rPr>
          <w:sz w:val="36"/>
          <w:szCs w:val="36"/>
          <w:rtl/>
        </w:rPr>
        <w:t xml:space="preserve"> </w:t>
      </w:r>
      <w:r w:rsidR="00763372" w:rsidRPr="00FD211F">
        <w:rPr>
          <w:sz w:val="36"/>
          <w:szCs w:val="36"/>
          <w:rtl/>
        </w:rPr>
        <w:t>ولو</w:t>
      </w:r>
      <w:r w:rsidR="00E8128F">
        <w:rPr>
          <w:sz w:val="36"/>
          <w:szCs w:val="36"/>
          <w:rtl/>
        </w:rPr>
        <w:t xml:space="preserve"> </w:t>
      </w:r>
      <w:r w:rsidR="00763372" w:rsidRPr="00FD211F">
        <w:rPr>
          <w:sz w:val="36"/>
          <w:szCs w:val="36"/>
          <w:rtl/>
        </w:rPr>
        <w:t>مع</w:t>
      </w:r>
      <w:r w:rsidR="00E8128F">
        <w:rPr>
          <w:sz w:val="36"/>
          <w:szCs w:val="36"/>
          <w:rtl/>
        </w:rPr>
        <w:t xml:space="preserve"> </w:t>
      </w:r>
      <w:r w:rsidR="00763372" w:rsidRPr="00FD211F">
        <w:rPr>
          <w:sz w:val="36"/>
          <w:szCs w:val="36"/>
          <w:rtl/>
        </w:rPr>
        <w:t>فعلي</w:t>
      </w:r>
      <w:r w:rsidR="00EC7EDF" w:rsidRPr="00FD211F">
        <w:rPr>
          <w:sz w:val="36"/>
          <w:szCs w:val="36"/>
          <w:rtl/>
        </w:rPr>
        <w:t>ة</w:t>
      </w:r>
      <w:r w:rsidR="00E8128F">
        <w:rPr>
          <w:sz w:val="36"/>
          <w:szCs w:val="36"/>
          <w:rtl/>
        </w:rPr>
        <w:t xml:space="preserve"> </w:t>
      </w:r>
      <w:r w:rsidR="00763372" w:rsidRPr="00FD211F">
        <w:rPr>
          <w:sz w:val="36"/>
          <w:szCs w:val="36"/>
          <w:rtl/>
        </w:rPr>
        <w:t>النهي</w:t>
      </w:r>
      <w:r w:rsidR="00E8128F">
        <w:rPr>
          <w:sz w:val="36"/>
          <w:szCs w:val="36"/>
          <w:rtl/>
        </w:rPr>
        <w:t xml:space="preserve"> </w:t>
      </w:r>
      <w:r w:rsidR="00763372" w:rsidRPr="00FD211F">
        <w:rPr>
          <w:sz w:val="36"/>
          <w:szCs w:val="36"/>
          <w:rtl/>
        </w:rPr>
        <w:t>في</w:t>
      </w:r>
      <w:r w:rsidR="00E8128F">
        <w:rPr>
          <w:sz w:val="36"/>
          <w:szCs w:val="36"/>
          <w:rtl/>
        </w:rPr>
        <w:t xml:space="preserve"> </w:t>
      </w:r>
      <w:r w:rsidR="00763372" w:rsidRPr="00FD211F">
        <w:rPr>
          <w:sz w:val="36"/>
          <w:szCs w:val="36"/>
          <w:rtl/>
        </w:rPr>
        <w:t>موارد</w:t>
      </w:r>
      <w:r w:rsidR="00E8128F">
        <w:rPr>
          <w:sz w:val="36"/>
          <w:szCs w:val="36"/>
          <w:rtl/>
        </w:rPr>
        <w:t xml:space="preserve"> </w:t>
      </w:r>
      <w:r w:rsidR="00763372" w:rsidRPr="00FD211F">
        <w:rPr>
          <w:sz w:val="36"/>
          <w:szCs w:val="36"/>
          <w:rtl/>
        </w:rPr>
        <w:t>وجود</w:t>
      </w:r>
      <w:r w:rsidR="00E8128F">
        <w:rPr>
          <w:sz w:val="36"/>
          <w:szCs w:val="36"/>
          <w:rtl/>
        </w:rPr>
        <w:t xml:space="preserve"> </w:t>
      </w:r>
      <w:r w:rsidR="00763372" w:rsidRPr="00FD211F">
        <w:rPr>
          <w:sz w:val="36"/>
          <w:szCs w:val="36"/>
          <w:rtl/>
        </w:rPr>
        <w:t>المندوح</w:t>
      </w:r>
      <w:r w:rsidR="00EC7EDF" w:rsidRPr="00FD211F">
        <w:rPr>
          <w:sz w:val="36"/>
          <w:szCs w:val="36"/>
          <w:rtl/>
        </w:rPr>
        <w:t>ة</w:t>
      </w:r>
      <w:r w:rsidR="00E8128F">
        <w:rPr>
          <w:sz w:val="36"/>
          <w:szCs w:val="36"/>
          <w:rtl/>
        </w:rPr>
        <w:t xml:space="preserve"> </w:t>
      </w:r>
      <w:r w:rsidR="00763372" w:rsidRPr="00FD211F">
        <w:rPr>
          <w:sz w:val="36"/>
          <w:szCs w:val="36"/>
          <w:rtl/>
        </w:rPr>
        <w:t>على</w:t>
      </w:r>
      <w:r w:rsidR="00E8128F">
        <w:rPr>
          <w:sz w:val="36"/>
          <w:szCs w:val="36"/>
          <w:rtl/>
        </w:rPr>
        <w:t xml:space="preserve"> </w:t>
      </w:r>
      <w:r w:rsidR="00763372" w:rsidRPr="00FD211F">
        <w:rPr>
          <w:sz w:val="36"/>
          <w:szCs w:val="36"/>
          <w:rtl/>
        </w:rPr>
        <w:t>الأقل</w:t>
      </w:r>
      <w:r w:rsidR="00603323" w:rsidRPr="00FD211F">
        <w:rPr>
          <w:sz w:val="36"/>
          <w:szCs w:val="36"/>
          <w:rtl/>
        </w:rPr>
        <w:t>،</w:t>
      </w:r>
      <w:r w:rsidR="00E8128F">
        <w:rPr>
          <w:sz w:val="36"/>
          <w:szCs w:val="36"/>
          <w:rtl/>
        </w:rPr>
        <w:t xml:space="preserve"> </w:t>
      </w:r>
      <w:r w:rsidR="00763372" w:rsidRPr="00FD211F">
        <w:rPr>
          <w:sz w:val="36"/>
          <w:szCs w:val="36"/>
          <w:rtl/>
        </w:rPr>
        <w:t>ولايحتاج</w:t>
      </w:r>
      <w:r w:rsidR="00E8128F">
        <w:rPr>
          <w:sz w:val="36"/>
          <w:szCs w:val="36"/>
          <w:rtl/>
        </w:rPr>
        <w:t xml:space="preserve"> </w:t>
      </w:r>
      <w:r w:rsidR="00763372" w:rsidRPr="00FD211F">
        <w:rPr>
          <w:sz w:val="36"/>
          <w:szCs w:val="36"/>
          <w:rtl/>
        </w:rPr>
        <w:t>بعد</w:t>
      </w:r>
      <w:r w:rsidR="00E8128F">
        <w:rPr>
          <w:sz w:val="36"/>
          <w:szCs w:val="36"/>
          <w:rtl/>
        </w:rPr>
        <w:t xml:space="preserve"> </w:t>
      </w:r>
      <w:r w:rsidR="00763372" w:rsidRPr="00FD211F">
        <w:rPr>
          <w:sz w:val="36"/>
          <w:szCs w:val="36"/>
          <w:rtl/>
        </w:rPr>
        <w:t>ذلك</w:t>
      </w:r>
      <w:r w:rsidR="00E8128F">
        <w:rPr>
          <w:sz w:val="36"/>
          <w:szCs w:val="36"/>
          <w:rtl/>
        </w:rPr>
        <w:t xml:space="preserve"> </w:t>
      </w:r>
      <w:r w:rsidR="00763372" w:rsidRPr="00FD211F">
        <w:rPr>
          <w:sz w:val="36"/>
          <w:szCs w:val="36"/>
          <w:rtl/>
        </w:rPr>
        <w:t>الى</w:t>
      </w:r>
      <w:r w:rsidR="00E8128F">
        <w:rPr>
          <w:sz w:val="36"/>
          <w:szCs w:val="36"/>
          <w:rtl/>
        </w:rPr>
        <w:t xml:space="preserve"> </w:t>
      </w:r>
      <w:r w:rsidR="00763372" w:rsidRPr="00FD211F">
        <w:rPr>
          <w:sz w:val="36"/>
          <w:szCs w:val="36"/>
          <w:rtl/>
        </w:rPr>
        <w:t>توسيط</w:t>
      </w:r>
      <w:r w:rsidR="00E8128F">
        <w:rPr>
          <w:sz w:val="36"/>
          <w:szCs w:val="36"/>
          <w:rtl/>
        </w:rPr>
        <w:t xml:space="preserve"> </w:t>
      </w:r>
      <w:r w:rsidR="00763372" w:rsidRPr="00FD211F">
        <w:rPr>
          <w:sz w:val="36"/>
          <w:szCs w:val="36"/>
          <w:rtl/>
        </w:rPr>
        <w:t>كبرى</w:t>
      </w:r>
      <w:r w:rsidR="00E8128F">
        <w:rPr>
          <w:sz w:val="36"/>
          <w:szCs w:val="36"/>
          <w:rtl/>
        </w:rPr>
        <w:t xml:space="preserve"> </w:t>
      </w:r>
      <w:r w:rsidR="00763372" w:rsidRPr="00FD211F">
        <w:rPr>
          <w:sz w:val="36"/>
          <w:szCs w:val="36"/>
          <w:rtl/>
        </w:rPr>
        <w:t>قواعد</w:t>
      </w:r>
      <w:r w:rsidR="00E8128F">
        <w:rPr>
          <w:sz w:val="36"/>
          <w:szCs w:val="36"/>
          <w:rtl/>
        </w:rPr>
        <w:t xml:space="preserve"> </w:t>
      </w:r>
      <w:r w:rsidR="00763372" w:rsidRPr="00FD211F">
        <w:rPr>
          <w:sz w:val="36"/>
          <w:szCs w:val="36"/>
          <w:rtl/>
        </w:rPr>
        <w:t>التزاحم</w:t>
      </w:r>
      <w:r w:rsidR="00F56DC6" w:rsidRPr="00FD211F">
        <w:rPr>
          <w:sz w:val="36"/>
          <w:szCs w:val="36"/>
          <w:rtl/>
        </w:rPr>
        <w:t>.</w:t>
      </w:r>
    </w:p>
    <w:p w14:paraId="115F0297" w14:textId="77777777" w:rsidR="00B33929" w:rsidRPr="00FD211F" w:rsidRDefault="001A5E03" w:rsidP="009C58C8">
      <w:pPr>
        <w:ind w:left="0" w:firstLine="227"/>
        <w:jc w:val="both"/>
        <w:rPr>
          <w:sz w:val="36"/>
          <w:szCs w:val="36"/>
          <w:rtl/>
        </w:rPr>
      </w:pPr>
      <w:r w:rsidRPr="00FD211F">
        <w:rPr>
          <w:b/>
          <w:bCs/>
          <w:sz w:val="36"/>
          <w:szCs w:val="36"/>
          <w:rtl/>
        </w:rPr>
        <w:t>النقض</w:t>
      </w:r>
      <w:r w:rsidR="00E8128F">
        <w:rPr>
          <w:b/>
          <w:bCs/>
          <w:sz w:val="36"/>
          <w:szCs w:val="36"/>
          <w:rtl/>
        </w:rPr>
        <w:t xml:space="preserve"> </w:t>
      </w:r>
      <w:r w:rsidR="00B75B06" w:rsidRPr="00FD211F">
        <w:rPr>
          <w:b/>
          <w:bCs/>
          <w:sz w:val="36"/>
          <w:szCs w:val="36"/>
          <w:rtl/>
        </w:rPr>
        <w:t>الثاني</w:t>
      </w:r>
      <w:r w:rsidR="00B75B06" w:rsidRPr="00FD211F">
        <w:rPr>
          <w:sz w:val="36"/>
          <w:szCs w:val="36"/>
          <w:rtl/>
        </w:rPr>
        <w:t>:</w:t>
      </w:r>
      <w:r w:rsidR="00E8128F">
        <w:rPr>
          <w:sz w:val="36"/>
          <w:szCs w:val="36"/>
          <w:rtl/>
        </w:rPr>
        <w:t xml:space="preserve"> </w:t>
      </w:r>
      <w:r w:rsidR="00F56DC6" w:rsidRPr="00FD211F">
        <w:rPr>
          <w:sz w:val="36"/>
          <w:szCs w:val="36"/>
          <w:rtl/>
        </w:rPr>
        <w:t>مسأل</w:t>
      </w:r>
      <w:r w:rsidR="00EC7EDF" w:rsidRPr="00FD211F">
        <w:rPr>
          <w:sz w:val="36"/>
          <w:szCs w:val="36"/>
          <w:rtl/>
        </w:rPr>
        <w:t>ة</w:t>
      </w:r>
      <w:r w:rsidR="00E8128F">
        <w:rPr>
          <w:sz w:val="36"/>
          <w:szCs w:val="36"/>
          <w:rtl/>
        </w:rPr>
        <w:t xml:space="preserve"> </w:t>
      </w:r>
      <w:r w:rsidR="00F56DC6" w:rsidRPr="00FD211F">
        <w:rPr>
          <w:sz w:val="36"/>
          <w:szCs w:val="36"/>
          <w:rtl/>
        </w:rPr>
        <w:t>اقتضاء</w:t>
      </w:r>
      <w:r w:rsidR="00E8128F">
        <w:rPr>
          <w:sz w:val="36"/>
          <w:szCs w:val="36"/>
          <w:rtl/>
        </w:rPr>
        <w:t xml:space="preserve"> </w:t>
      </w:r>
      <w:r w:rsidR="0090224F" w:rsidRPr="00FD211F">
        <w:rPr>
          <w:sz w:val="36"/>
          <w:szCs w:val="36"/>
          <w:rtl/>
        </w:rPr>
        <w:t>الأمر</w:t>
      </w:r>
      <w:r w:rsidR="00E8128F">
        <w:rPr>
          <w:sz w:val="36"/>
          <w:szCs w:val="36"/>
          <w:rtl/>
        </w:rPr>
        <w:t xml:space="preserve"> </w:t>
      </w:r>
      <w:r w:rsidR="00F56DC6" w:rsidRPr="00FD211F">
        <w:rPr>
          <w:sz w:val="36"/>
          <w:szCs w:val="36"/>
          <w:rtl/>
        </w:rPr>
        <w:t>بال</w:t>
      </w:r>
      <w:r w:rsidR="008D7B3D" w:rsidRPr="00FD211F">
        <w:rPr>
          <w:sz w:val="36"/>
          <w:szCs w:val="36"/>
          <w:rtl/>
        </w:rPr>
        <w:t>شيء</w:t>
      </w:r>
      <w:r w:rsidR="00E8128F">
        <w:rPr>
          <w:sz w:val="36"/>
          <w:szCs w:val="36"/>
          <w:rtl/>
        </w:rPr>
        <w:t xml:space="preserve"> </w:t>
      </w:r>
      <w:r w:rsidR="00F56DC6" w:rsidRPr="00FD211F">
        <w:rPr>
          <w:sz w:val="36"/>
          <w:szCs w:val="36"/>
          <w:rtl/>
        </w:rPr>
        <w:t>للنهي</w:t>
      </w:r>
      <w:r w:rsidR="00E8128F">
        <w:rPr>
          <w:sz w:val="36"/>
          <w:szCs w:val="36"/>
          <w:rtl/>
        </w:rPr>
        <w:t xml:space="preserve"> </w:t>
      </w:r>
      <w:r w:rsidR="00F56DC6" w:rsidRPr="00FD211F">
        <w:rPr>
          <w:sz w:val="36"/>
          <w:szCs w:val="36"/>
          <w:rtl/>
        </w:rPr>
        <w:t>عن</w:t>
      </w:r>
      <w:r w:rsidR="00E8128F">
        <w:rPr>
          <w:sz w:val="36"/>
          <w:szCs w:val="36"/>
          <w:rtl/>
        </w:rPr>
        <w:t xml:space="preserve"> </w:t>
      </w:r>
      <w:r w:rsidR="00F56DC6" w:rsidRPr="00FD211F">
        <w:rPr>
          <w:sz w:val="36"/>
          <w:szCs w:val="36"/>
          <w:rtl/>
        </w:rPr>
        <w:t>ضده</w:t>
      </w:r>
      <w:r w:rsidR="00603323" w:rsidRPr="00FD211F">
        <w:rPr>
          <w:sz w:val="36"/>
          <w:szCs w:val="36"/>
          <w:rtl/>
        </w:rPr>
        <w:t>،</w:t>
      </w:r>
      <w:r w:rsidR="00E8128F">
        <w:rPr>
          <w:sz w:val="36"/>
          <w:szCs w:val="36"/>
          <w:rtl/>
        </w:rPr>
        <w:t xml:space="preserve"> </w:t>
      </w:r>
      <w:r w:rsidR="00F56DC6" w:rsidRPr="00FD211F">
        <w:rPr>
          <w:sz w:val="36"/>
          <w:szCs w:val="36"/>
          <w:rtl/>
        </w:rPr>
        <w:t>حيث</w:t>
      </w:r>
      <w:r w:rsidR="00E8128F">
        <w:rPr>
          <w:sz w:val="36"/>
          <w:szCs w:val="36"/>
          <w:rtl/>
        </w:rPr>
        <w:t xml:space="preserve"> </w:t>
      </w:r>
      <w:r w:rsidR="00F56DC6" w:rsidRPr="00FD211F">
        <w:rPr>
          <w:sz w:val="36"/>
          <w:szCs w:val="36"/>
          <w:rtl/>
        </w:rPr>
        <w:t>يقال</w:t>
      </w:r>
      <w:r w:rsidR="00E8128F">
        <w:rPr>
          <w:sz w:val="36"/>
          <w:szCs w:val="36"/>
          <w:rtl/>
        </w:rPr>
        <w:t xml:space="preserve"> </w:t>
      </w:r>
      <w:r w:rsidR="00F56DC6" w:rsidRPr="00FD211F">
        <w:rPr>
          <w:sz w:val="36"/>
          <w:szCs w:val="36"/>
          <w:rtl/>
        </w:rPr>
        <w:t>انه</w:t>
      </w:r>
      <w:r w:rsidR="00E8128F">
        <w:rPr>
          <w:sz w:val="36"/>
          <w:szCs w:val="36"/>
          <w:rtl/>
        </w:rPr>
        <w:t xml:space="preserve"> </w:t>
      </w:r>
      <w:r w:rsidR="00F56DC6" w:rsidRPr="00FD211F">
        <w:rPr>
          <w:sz w:val="36"/>
          <w:szCs w:val="36"/>
          <w:rtl/>
        </w:rPr>
        <w:t>بناء</w:t>
      </w:r>
      <w:r w:rsidR="00E8128F">
        <w:rPr>
          <w:sz w:val="36"/>
          <w:szCs w:val="36"/>
          <w:rtl/>
        </w:rPr>
        <w:t xml:space="preserve"> </w:t>
      </w:r>
      <w:r w:rsidR="00F56DC6" w:rsidRPr="00FD211F">
        <w:rPr>
          <w:sz w:val="36"/>
          <w:szCs w:val="36"/>
          <w:rtl/>
        </w:rPr>
        <w:t>على</w:t>
      </w:r>
      <w:r w:rsidR="00E8128F">
        <w:rPr>
          <w:sz w:val="36"/>
          <w:szCs w:val="36"/>
          <w:rtl/>
        </w:rPr>
        <w:t xml:space="preserve"> </w:t>
      </w:r>
      <w:r w:rsidR="00205FD5" w:rsidRPr="00FD211F">
        <w:rPr>
          <w:sz w:val="36"/>
          <w:szCs w:val="36"/>
          <w:rtl/>
        </w:rPr>
        <w:t>القول</w:t>
      </w:r>
      <w:r w:rsidR="00E8128F">
        <w:rPr>
          <w:sz w:val="36"/>
          <w:szCs w:val="36"/>
          <w:rtl/>
        </w:rPr>
        <w:t xml:space="preserve"> </w:t>
      </w:r>
      <w:r w:rsidR="00205FD5" w:rsidRPr="00FD211F">
        <w:rPr>
          <w:sz w:val="36"/>
          <w:szCs w:val="36"/>
          <w:rtl/>
        </w:rPr>
        <w:t>باقتضاء</w:t>
      </w:r>
      <w:r w:rsidR="00E8128F">
        <w:rPr>
          <w:sz w:val="36"/>
          <w:szCs w:val="36"/>
          <w:rtl/>
        </w:rPr>
        <w:t xml:space="preserve"> </w:t>
      </w:r>
      <w:r w:rsidR="0090224F" w:rsidRPr="00FD211F">
        <w:rPr>
          <w:sz w:val="36"/>
          <w:szCs w:val="36"/>
          <w:rtl/>
        </w:rPr>
        <w:t>الأمر</w:t>
      </w:r>
      <w:r w:rsidR="00E8128F">
        <w:rPr>
          <w:sz w:val="36"/>
          <w:szCs w:val="36"/>
          <w:rtl/>
        </w:rPr>
        <w:t xml:space="preserve"> </w:t>
      </w:r>
      <w:r w:rsidR="00205FD5" w:rsidRPr="00FD211F">
        <w:rPr>
          <w:sz w:val="36"/>
          <w:szCs w:val="36"/>
          <w:rtl/>
        </w:rPr>
        <w:t>بال</w:t>
      </w:r>
      <w:r w:rsidR="008D7B3D" w:rsidRPr="00FD211F">
        <w:rPr>
          <w:sz w:val="36"/>
          <w:szCs w:val="36"/>
          <w:rtl/>
        </w:rPr>
        <w:t>شيء</w:t>
      </w:r>
      <w:r w:rsidR="00E8128F">
        <w:rPr>
          <w:sz w:val="36"/>
          <w:szCs w:val="36"/>
          <w:rtl/>
        </w:rPr>
        <w:t xml:space="preserve"> </w:t>
      </w:r>
      <w:r w:rsidR="00205FD5" w:rsidRPr="00FD211F">
        <w:rPr>
          <w:sz w:val="36"/>
          <w:szCs w:val="36"/>
          <w:rtl/>
        </w:rPr>
        <w:t>للنهي</w:t>
      </w:r>
      <w:r w:rsidR="00E8128F">
        <w:rPr>
          <w:sz w:val="36"/>
          <w:szCs w:val="36"/>
          <w:rtl/>
        </w:rPr>
        <w:t xml:space="preserve"> </w:t>
      </w:r>
      <w:r w:rsidR="00205FD5" w:rsidRPr="00FD211F">
        <w:rPr>
          <w:sz w:val="36"/>
          <w:szCs w:val="36"/>
          <w:rtl/>
        </w:rPr>
        <w:t>عن</w:t>
      </w:r>
      <w:r w:rsidR="00E8128F">
        <w:rPr>
          <w:sz w:val="36"/>
          <w:szCs w:val="36"/>
          <w:rtl/>
        </w:rPr>
        <w:t xml:space="preserve"> </w:t>
      </w:r>
      <w:r w:rsidR="00205FD5" w:rsidRPr="00FD211F">
        <w:rPr>
          <w:sz w:val="36"/>
          <w:szCs w:val="36"/>
          <w:rtl/>
        </w:rPr>
        <w:t>ضده</w:t>
      </w:r>
      <w:r w:rsidR="00603323" w:rsidRPr="00FD211F">
        <w:rPr>
          <w:sz w:val="36"/>
          <w:szCs w:val="36"/>
          <w:rtl/>
        </w:rPr>
        <w:t>،</w:t>
      </w:r>
      <w:r w:rsidR="00E8128F">
        <w:rPr>
          <w:sz w:val="36"/>
          <w:szCs w:val="36"/>
          <w:rtl/>
        </w:rPr>
        <w:t xml:space="preserve"> </w:t>
      </w:r>
      <w:r w:rsidR="00857C60" w:rsidRPr="00FD211F">
        <w:rPr>
          <w:sz w:val="36"/>
          <w:szCs w:val="36"/>
          <w:rtl/>
        </w:rPr>
        <w:t>فحيث</w:t>
      </w:r>
      <w:r w:rsidR="00E8128F">
        <w:rPr>
          <w:sz w:val="36"/>
          <w:szCs w:val="36"/>
          <w:rtl/>
        </w:rPr>
        <w:t xml:space="preserve"> </w:t>
      </w:r>
      <w:r w:rsidR="00857C60" w:rsidRPr="00FD211F">
        <w:rPr>
          <w:sz w:val="36"/>
          <w:szCs w:val="36"/>
          <w:rtl/>
        </w:rPr>
        <w:t>يكون</w:t>
      </w:r>
      <w:r w:rsidR="00E8128F">
        <w:rPr>
          <w:sz w:val="36"/>
          <w:szCs w:val="36"/>
          <w:rtl/>
        </w:rPr>
        <w:t xml:space="preserve"> </w:t>
      </w:r>
      <w:r w:rsidR="00857C60" w:rsidRPr="00FD211F">
        <w:rPr>
          <w:sz w:val="36"/>
          <w:szCs w:val="36"/>
          <w:rtl/>
        </w:rPr>
        <w:t>هذا</w:t>
      </w:r>
      <w:r w:rsidR="00E8128F">
        <w:rPr>
          <w:sz w:val="36"/>
          <w:szCs w:val="36"/>
          <w:rtl/>
        </w:rPr>
        <w:t xml:space="preserve"> </w:t>
      </w:r>
      <w:r w:rsidR="00857C60" w:rsidRPr="00FD211F">
        <w:rPr>
          <w:sz w:val="36"/>
          <w:szCs w:val="36"/>
          <w:rtl/>
        </w:rPr>
        <w:t>النهي</w:t>
      </w:r>
      <w:r w:rsidR="00E8128F">
        <w:rPr>
          <w:sz w:val="36"/>
          <w:szCs w:val="36"/>
          <w:rtl/>
        </w:rPr>
        <w:t xml:space="preserve"> </w:t>
      </w:r>
      <w:r w:rsidR="00857C60" w:rsidRPr="00FD211F">
        <w:rPr>
          <w:sz w:val="36"/>
          <w:szCs w:val="36"/>
          <w:rtl/>
        </w:rPr>
        <w:t>نهيا</w:t>
      </w:r>
      <w:r w:rsidR="00E8128F">
        <w:rPr>
          <w:sz w:val="36"/>
          <w:szCs w:val="36"/>
          <w:rtl/>
        </w:rPr>
        <w:t xml:space="preserve"> </w:t>
      </w:r>
      <w:r w:rsidR="00857C60" w:rsidRPr="00FD211F">
        <w:rPr>
          <w:sz w:val="36"/>
          <w:szCs w:val="36"/>
          <w:rtl/>
        </w:rPr>
        <w:t>غيريا</w:t>
      </w:r>
      <w:r w:rsidR="00E8128F">
        <w:rPr>
          <w:sz w:val="36"/>
          <w:szCs w:val="36"/>
          <w:rtl/>
        </w:rPr>
        <w:t xml:space="preserve"> </w:t>
      </w:r>
      <w:r w:rsidR="00C42AA9" w:rsidRPr="00FD211F">
        <w:rPr>
          <w:sz w:val="36"/>
          <w:szCs w:val="36"/>
          <w:rtl/>
        </w:rPr>
        <w:t>بنكت</w:t>
      </w:r>
      <w:r w:rsidR="00EC7EDF" w:rsidRPr="00FD211F">
        <w:rPr>
          <w:sz w:val="36"/>
          <w:szCs w:val="36"/>
          <w:rtl/>
        </w:rPr>
        <w:t>ة</w:t>
      </w:r>
      <w:r w:rsidR="00E8128F">
        <w:rPr>
          <w:sz w:val="36"/>
          <w:szCs w:val="36"/>
          <w:rtl/>
        </w:rPr>
        <w:t xml:space="preserve"> </w:t>
      </w:r>
      <w:r w:rsidR="00857C60" w:rsidRPr="00FD211F">
        <w:rPr>
          <w:sz w:val="36"/>
          <w:szCs w:val="36"/>
          <w:rtl/>
        </w:rPr>
        <w:t>مقدمي</w:t>
      </w:r>
      <w:r w:rsidR="00EC7EDF" w:rsidRPr="00FD211F">
        <w:rPr>
          <w:sz w:val="36"/>
          <w:szCs w:val="36"/>
          <w:rtl/>
        </w:rPr>
        <w:t>ة</w:t>
      </w:r>
      <w:r w:rsidR="00E8128F">
        <w:rPr>
          <w:sz w:val="36"/>
          <w:szCs w:val="36"/>
          <w:rtl/>
        </w:rPr>
        <w:t xml:space="preserve"> </w:t>
      </w:r>
      <w:r w:rsidR="00857C60" w:rsidRPr="00FD211F">
        <w:rPr>
          <w:sz w:val="36"/>
          <w:szCs w:val="36"/>
          <w:rtl/>
        </w:rPr>
        <w:t>ترك</w:t>
      </w:r>
      <w:r w:rsidR="00E8128F">
        <w:rPr>
          <w:sz w:val="36"/>
          <w:szCs w:val="36"/>
          <w:rtl/>
        </w:rPr>
        <w:t xml:space="preserve"> </w:t>
      </w:r>
      <w:r w:rsidR="00857C60" w:rsidRPr="00FD211F">
        <w:rPr>
          <w:sz w:val="36"/>
          <w:szCs w:val="36"/>
          <w:rtl/>
        </w:rPr>
        <w:t>الضد</w:t>
      </w:r>
      <w:r w:rsidR="00E8128F">
        <w:rPr>
          <w:sz w:val="36"/>
          <w:szCs w:val="36"/>
          <w:rtl/>
        </w:rPr>
        <w:t xml:space="preserve"> </w:t>
      </w:r>
      <w:r w:rsidR="00857C60" w:rsidRPr="00FD211F">
        <w:rPr>
          <w:sz w:val="36"/>
          <w:szCs w:val="36"/>
          <w:rtl/>
        </w:rPr>
        <w:t>لإيجاد</w:t>
      </w:r>
      <w:r w:rsidR="00E8128F">
        <w:rPr>
          <w:sz w:val="36"/>
          <w:szCs w:val="36"/>
          <w:rtl/>
        </w:rPr>
        <w:t xml:space="preserve"> </w:t>
      </w:r>
      <w:r w:rsidR="00857C60" w:rsidRPr="00FD211F">
        <w:rPr>
          <w:sz w:val="36"/>
          <w:szCs w:val="36"/>
          <w:rtl/>
        </w:rPr>
        <w:t>ضده</w:t>
      </w:r>
      <w:r w:rsidR="00603323" w:rsidRPr="00FD211F">
        <w:rPr>
          <w:sz w:val="36"/>
          <w:szCs w:val="36"/>
          <w:rtl/>
        </w:rPr>
        <w:t>،</w:t>
      </w:r>
      <w:r w:rsidR="00E8128F">
        <w:rPr>
          <w:sz w:val="36"/>
          <w:szCs w:val="36"/>
          <w:rtl/>
        </w:rPr>
        <w:t xml:space="preserve"> </w:t>
      </w:r>
      <w:r w:rsidR="00857C60" w:rsidRPr="00FD211F">
        <w:rPr>
          <w:sz w:val="36"/>
          <w:szCs w:val="36"/>
          <w:rtl/>
        </w:rPr>
        <w:t>والنهي</w:t>
      </w:r>
      <w:r w:rsidR="00E8128F">
        <w:rPr>
          <w:sz w:val="36"/>
          <w:szCs w:val="36"/>
          <w:rtl/>
        </w:rPr>
        <w:t xml:space="preserve"> </w:t>
      </w:r>
      <w:r w:rsidR="00857C60" w:rsidRPr="00FD211F">
        <w:rPr>
          <w:sz w:val="36"/>
          <w:szCs w:val="36"/>
          <w:rtl/>
        </w:rPr>
        <w:t>الغيري</w:t>
      </w:r>
      <w:r w:rsidR="00E8128F">
        <w:rPr>
          <w:sz w:val="36"/>
          <w:szCs w:val="36"/>
          <w:rtl/>
        </w:rPr>
        <w:t xml:space="preserve"> </w:t>
      </w:r>
      <w:r w:rsidR="003B3495" w:rsidRPr="00FD211F">
        <w:rPr>
          <w:sz w:val="36"/>
          <w:szCs w:val="36"/>
          <w:rtl/>
        </w:rPr>
        <w:t>ك</w:t>
      </w:r>
      <w:r w:rsidR="001B3112" w:rsidRPr="00FD211F">
        <w:rPr>
          <w:sz w:val="36"/>
          <w:szCs w:val="36"/>
          <w:rtl/>
        </w:rPr>
        <w:t>الأمر</w:t>
      </w:r>
      <w:r w:rsidR="00E8128F">
        <w:rPr>
          <w:sz w:val="36"/>
          <w:szCs w:val="36"/>
          <w:rtl/>
        </w:rPr>
        <w:t xml:space="preserve"> </w:t>
      </w:r>
      <w:r w:rsidR="003B3495" w:rsidRPr="00FD211F">
        <w:rPr>
          <w:sz w:val="36"/>
          <w:szCs w:val="36"/>
          <w:rtl/>
        </w:rPr>
        <w:t>الغيري</w:t>
      </w:r>
      <w:r w:rsidR="00E8128F">
        <w:rPr>
          <w:sz w:val="36"/>
          <w:szCs w:val="36"/>
          <w:rtl/>
        </w:rPr>
        <w:t xml:space="preserve"> </w:t>
      </w:r>
      <w:r w:rsidR="00857C60" w:rsidRPr="00FD211F">
        <w:rPr>
          <w:sz w:val="36"/>
          <w:szCs w:val="36"/>
          <w:rtl/>
        </w:rPr>
        <w:t>ليس</w:t>
      </w:r>
      <w:r w:rsidR="00E8128F">
        <w:rPr>
          <w:sz w:val="36"/>
          <w:szCs w:val="36"/>
          <w:rtl/>
        </w:rPr>
        <w:t xml:space="preserve"> </w:t>
      </w:r>
      <w:r w:rsidR="00857C60" w:rsidRPr="00FD211F">
        <w:rPr>
          <w:sz w:val="36"/>
          <w:szCs w:val="36"/>
          <w:rtl/>
        </w:rPr>
        <w:t>قابلا</w:t>
      </w:r>
      <w:r w:rsidR="00E8128F">
        <w:rPr>
          <w:sz w:val="36"/>
          <w:szCs w:val="36"/>
          <w:rtl/>
        </w:rPr>
        <w:t xml:space="preserve"> </w:t>
      </w:r>
      <w:r w:rsidR="00857C60" w:rsidRPr="00FD211F">
        <w:rPr>
          <w:sz w:val="36"/>
          <w:szCs w:val="36"/>
          <w:rtl/>
        </w:rPr>
        <w:t>للتنجز</w:t>
      </w:r>
      <w:r w:rsidR="00E8128F">
        <w:rPr>
          <w:sz w:val="36"/>
          <w:szCs w:val="36"/>
          <w:rtl/>
        </w:rPr>
        <w:t xml:space="preserve"> </w:t>
      </w:r>
      <w:r w:rsidR="00F61D31" w:rsidRPr="00FD211F">
        <w:rPr>
          <w:sz w:val="36"/>
          <w:szCs w:val="36"/>
          <w:rtl/>
        </w:rPr>
        <w:t>لأن</w:t>
      </w:r>
      <w:r w:rsidR="00E8128F">
        <w:rPr>
          <w:sz w:val="36"/>
          <w:szCs w:val="36"/>
          <w:rtl/>
        </w:rPr>
        <w:t xml:space="preserve"> </w:t>
      </w:r>
      <w:r w:rsidR="00F61D31" w:rsidRPr="00FD211F">
        <w:rPr>
          <w:sz w:val="36"/>
          <w:szCs w:val="36"/>
          <w:rtl/>
        </w:rPr>
        <w:t>مخالفته</w:t>
      </w:r>
      <w:r w:rsidR="00E8128F">
        <w:rPr>
          <w:sz w:val="36"/>
          <w:szCs w:val="36"/>
          <w:rtl/>
        </w:rPr>
        <w:t xml:space="preserve"> </w:t>
      </w:r>
      <w:r w:rsidR="00F61D31" w:rsidRPr="00FD211F">
        <w:rPr>
          <w:sz w:val="36"/>
          <w:szCs w:val="36"/>
          <w:rtl/>
        </w:rPr>
        <w:t>لاتوجب</w:t>
      </w:r>
      <w:r w:rsidR="00E8128F">
        <w:rPr>
          <w:sz w:val="36"/>
          <w:szCs w:val="36"/>
          <w:rtl/>
        </w:rPr>
        <w:t xml:space="preserve"> </w:t>
      </w:r>
      <w:r w:rsidR="00F61D31" w:rsidRPr="00FD211F">
        <w:rPr>
          <w:sz w:val="36"/>
          <w:szCs w:val="36"/>
          <w:rtl/>
        </w:rPr>
        <w:t>عقابا</w:t>
      </w:r>
      <w:r w:rsidR="00E8128F">
        <w:rPr>
          <w:sz w:val="36"/>
          <w:szCs w:val="36"/>
          <w:rtl/>
        </w:rPr>
        <w:t xml:space="preserve"> </w:t>
      </w:r>
      <w:r w:rsidR="00F61D31" w:rsidRPr="00FD211F">
        <w:rPr>
          <w:sz w:val="36"/>
          <w:szCs w:val="36"/>
          <w:rtl/>
        </w:rPr>
        <w:t>زائدا</w:t>
      </w:r>
      <w:r w:rsidR="00E8128F">
        <w:rPr>
          <w:sz w:val="36"/>
          <w:szCs w:val="36"/>
          <w:rtl/>
        </w:rPr>
        <w:t xml:space="preserve"> </w:t>
      </w:r>
      <w:r w:rsidR="003B3495" w:rsidRPr="00FD211F">
        <w:rPr>
          <w:sz w:val="36"/>
          <w:szCs w:val="36"/>
          <w:rtl/>
        </w:rPr>
        <w:t>على</w:t>
      </w:r>
      <w:r w:rsidR="00E8128F">
        <w:rPr>
          <w:sz w:val="36"/>
          <w:szCs w:val="36"/>
          <w:rtl/>
        </w:rPr>
        <w:t xml:space="preserve"> </w:t>
      </w:r>
      <w:r w:rsidR="003B3495" w:rsidRPr="00FD211F">
        <w:rPr>
          <w:sz w:val="36"/>
          <w:szCs w:val="36"/>
          <w:rtl/>
        </w:rPr>
        <w:t>العقاب</w:t>
      </w:r>
      <w:r w:rsidR="00E8128F">
        <w:rPr>
          <w:sz w:val="36"/>
          <w:szCs w:val="36"/>
          <w:rtl/>
        </w:rPr>
        <w:t xml:space="preserve"> </w:t>
      </w:r>
      <w:r w:rsidR="003B3495" w:rsidRPr="00FD211F">
        <w:rPr>
          <w:sz w:val="36"/>
          <w:szCs w:val="36"/>
          <w:rtl/>
        </w:rPr>
        <w:t>على</w:t>
      </w:r>
      <w:r w:rsidR="00E8128F">
        <w:rPr>
          <w:sz w:val="36"/>
          <w:szCs w:val="36"/>
          <w:rtl/>
        </w:rPr>
        <w:t xml:space="preserve"> </w:t>
      </w:r>
      <w:r w:rsidR="003B3495" w:rsidRPr="00FD211F">
        <w:rPr>
          <w:sz w:val="36"/>
          <w:szCs w:val="36"/>
          <w:rtl/>
        </w:rPr>
        <w:t>مخالف</w:t>
      </w:r>
      <w:r w:rsidR="00EC7EDF" w:rsidRPr="00FD211F">
        <w:rPr>
          <w:sz w:val="36"/>
          <w:szCs w:val="36"/>
          <w:rtl/>
        </w:rPr>
        <w:t>ة</w:t>
      </w:r>
      <w:r w:rsidR="00E8128F">
        <w:rPr>
          <w:sz w:val="36"/>
          <w:szCs w:val="36"/>
          <w:rtl/>
        </w:rPr>
        <w:t xml:space="preserve"> </w:t>
      </w:r>
      <w:r w:rsidR="003B3495" w:rsidRPr="00FD211F">
        <w:rPr>
          <w:sz w:val="36"/>
          <w:szCs w:val="36"/>
          <w:rtl/>
        </w:rPr>
        <w:t>التكليف</w:t>
      </w:r>
      <w:r w:rsidR="00E8128F">
        <w:rPr>
          <w:sz w:val="36"/>
          <w:szCs w:val="36"/>
          <w:rtl/>
        </w:rPr>
        <w:t xml:space="preserve"> </w:t>
      </w:r>
      <w:r w:rsidR="003B3495" w:rsidRPr="00FD211F">
        <w:rPr>
          <w:sz w:val="36"/>
          <w:szCs w:val="36"/>
          <w:rtl/>
        </w:rPr>
        <w:t>النفسي</w:t>
      </w:r>
      <w:r w:rsidR="00603323" w:rsidRPr="00FD211F">
        <w:rPr>
          <w:sz w:val="36"/>
          <w:szCs w:val="36"/>
          <w:rtl/>
        </w:rPr>
        <w:t>،</w:t>
      </w:r>
      <w:r w:rsidR="00E8128F">
        <w:rPr>
          <w:sz w:val="36"/>
          <w:szCs w:val="36"/>
          <w:rtl/>
        </w:rPr>
        <w:t xml:space="preserve"> </w:t>
      </w:r>
      <w:r w:rsidR="003B3495" w:rsidRPr="00FD211F">
        <w:rPr>
          <w:sz w:val="36"/>
          <w:szCs w:val="36"/>
          <w:rtl/>
        </w:rPr>
        <w:t>فلايتعلق</w:t>
      </w:r>
      <w:r w:rsidR="00E8128F">
        <w:rPr>
          <w:sz w:val="36"/>
          <w:szCs w:val="36"/>
          <w:rtl/>
        </w:rPr>
        <w:t xml:space="preserve"> </w:t>
      </w:r>
      <w:r w:rsidR="003B3495" w:rsidRPr="00FD211F">
        <w:rPr>
          <w:sz w:val="36"/>
          <w:szCs w:val="36"/>
          <w:rtl/>
        </w:rPr>
        <w:t>غرض</w:t>
      </w:r>
      <w:r w:rsidR="00E8128F">
        <w:rPr>
          <w:sz w:val="36"/>
          <w:szCs w:val="36"/>
          <w:rtl/>
        </w:rPr>
        <w:t xml:space="preserve"> </w:t>
      </w:r>
      <w:r w:rsidR="003B3495" w:rsidRPr="00FD211F">
        <w:rPr>
          <w:sz w:val="36"/>
          <w:szCs w:val="36"/>
          <w:rtl/>
        </w:rPr>
        <w:t>الفقيه</w:t>
      </w:r>
      <w:r w:rsidR="00E8128F">
        <w:rPr>
          <w:sz w:val="36"/>
          <w:szCs w:val="36"/>
          <w:rtl/>
        </w:rPr>
        <w:t xml:space="preserve"> </w:t>
      </w:r>
      <w:r w:rsidR="003B3495" w:rsidRPr="00FD211F">
        <w:rPr>
          <w:sz w:val="36"/>
          <w:szCs w:val="36"/>
          <w:rtl/>
        </w:rPr>
        <w:t>بالاصال</w:t>
      </w:r>
      <w:r w:rsidR="00EC7EDF" w:rsidRPr="00FD211F">
        <w:rPr>
          <w:sz w:val="36"/>
          <w:szCs w:val="36"/>
          <w:rtl/>
        </w:rPr>
        <w:t>ة</w:t>
      </w:r>
      <w:r w:rsidR="00E8128F">
        <w:rPr>
          <w:sz w:val="36"/>
          <w:szCs w:val="36"/>
          <w:rtl/>
        </w:rPr>
        <w:t xml:space="preserve"> </w:t>
      </w:r>
      <w:r w:rsidR="003B3495" w:rsidRPr="00FD211F">
        <w:rPr>
          <w:sz w:val="36"/>
          <w:szCs w:val="36"/>
          <w:rtl/>
        </w:rPr>
        <w:t>باستنباطه</w:t>
      </w:r>
      <w:r w:rsidR="00E8128F">
        <w:rPr>
          <w:sz w:val="36"/>
          <w:szCs w:val="36"/>
          <w:rtl/>
        </w:rPr>
        <w:t xml:space="preserve"> </w:t>
      </w:r>
      <w:r w:rsidR="003B3495" w:rsidRPr="00FD211F">
        <w:rPr>
          <w:sz w:val="36"/>
          <w:szCs w:val="36"/>
          <w:rtl/>
        </w:rPr>
        <w:t>فلابد</w:t>
      </w:r>
      <w:r w:rsidR="00E8128F">
        <w:rPr>
          <w:sz w:val="36"/>
          <w:szCs w:val="36"/>
          <w:rtl/>
        </w:rPr>
        <w:t xml:space="preserve"> </w:t>
      </w:r>
      <w:r w:rsidR="003B3495" w:rsidRPr="00FD211F">
        <w:rPr>
          <w:sz w:val="36"/>
          <w:szCs w:val="36"/>
          <w:rtl/>
        </w:rPr>
        <w:t>لاجل</w:t>
      </w:r>
      <w:r w:rsidR="00E8128F">
        <w:rPr>
          <w:sz w:val="36"/>
          <w:szCs w:val="36"/>
          <w:rtl/>
        </w:rPr>
        <w:t xml:space="preserve"> </w:t>
      </w:r>
      <w:r w:rsidR="003B3495" w:rsidRPr="00FD211F">
        <w:rPr>
          <w:sz w:val="36"/>
          <w:szCs w:val="36"/>
          <w:rtl/>
        </w:rPr>
        <w:t>ترتب</w:t>
      </w:r>
      <w:r w:rsidR="00E8128F">
        <w:rPr>
          <w:sz w:val="36"/>
          <w:szCs w:val="36"/>
          <w:rtl/>
        </w:rPr>
        <w:t xml:space="preserve"> </w:t>
      </w:r>
      <w:r w:rsidR="00857C60" w:rsidRPr="00FD211F">
        <w:rPr>
          <w:sz w:val="36"/>
          <w:szCs w:val="36"/>
          <w:rtl/>
        </w:rPr>
        <w:t>الأثر</w:t>
      </w:r>
      <w:r w:rsidR="00E8128F">
        <w:rPr>
          <w:sz w:val="36"/>
          <w:szCs w:val="36"/>
          <w:rtl/>
        </w:rPr>
        <w:t xml:space="preserve"> </w:t>
      </w:r>
      <w:r w:rsidR="00857C60" w:rsidRPr="00FD211F">
        <w:rPr>
          <w:sz w:val="36"/>
          <w:szCs w:val="36"/>
          <w:rtl/>
        </w:rPr>
        <w:t>من</w:t>
      </w:r>
      <w:r w:rsidR="00E8128F">
        <w:rPr>
          <w:sz w:val="36"/>
          <w:szCs w:val="36"/>
          <w:rtl/>
        </w:rPr>
        <w:t xml:space="preserve"> </w:t>
      </w:r>
      <w:r w:rsidR="00857C60" w:rsidRPr="00FD211F">
        <w:rPr>
          <w:sz w:val="36"/>
          <w:szCs w:val="36"/>
          <w:rtl/>
        </w:rPr>
        <w:t>توسيط</w:t>
      </w:r>
      <w:r w:rsidR="00E8128F">
        <w:rPr>
          <w:sz w:val="36"/>
          <w:szCs w:val="36"/>
          <w:rtl/>
        </w:rPr>
        <w:t xml:space="preserve"> </w:t>
      </w:r>
      <w:r w:rsidR="00857C60" w:rsidRPr="00FD211F">
        <w:rPr>
          <w:sz w:val="36"/>
          <w:szCs w:val="36"/>
          <w:rtl/>
        </w:rPr>
        <w:t>كبرى</w:t>
      </w:r>
      <w:r w:rsidR="00E8128F">
        <w:rPr>
          <w:sz w:val="36"/>
          <w:szCs w:val="36"/>
          <w:rtl/>
        </w:rPr>
        <w:t xml:space="preserve"> </w:t>
      </w:r>
      <w:r w:rsidR="00B33929" w:rsidRPr="00FD211F">
        <w:rPr>
          <w:sz w:val="36"/>
          <w:szCs w:val="36"/>
          <w:rtl/>
        </w:rPr>
        <w:t>اقتضاء</w:t>
      </w:r>
      <w:r w:rsidR="00E8128F">
        <w:rPr>
          <w:sz w:val="36"/>
          <w:szCs w:val="36"/>
          <w:rtl/>
        </w:rPr>
        <w:t xml:space="preserve"> </w:t>
      </w:r>
      <w:r w:rsidR="00B33929" w:rsidRPr="00FD211F">
        <w:rPr>
          <w:sz w:val="36"/>
          <w:szCs w:val="36"/>
          <w:rtl/>
        </w:rPr>
        <w:t>النهي</w:t>
      </w:r>
      <w:r w:rsidR="00E8128F">
        <w:rPr>
          <w:sz w:val="36"/>
          <w:szCs w:val="36"/>
          <w:rtl/>
        </w:rPr>
        <w:t xml:space="preserve"> </w:t>
      </w:r>
      <w:r w:rsidR="00B33929" w:rsidRPr="00FD211F">
        <w:rPr>
          <w:sz w:val="36"/>
          <w:szCs w:val="36"/>
          <w:rtl/>
        </w:rPr>
        <w:t>عن</w:t>
      </w:r>
      <w:r w:rsidR="00E8128F">
        <w:rPr>
          <w:sz w:val="36"/>
          <w:szCs w:val="36"/>
          <w:rtl/>
        </w:rPr>
        <w:t xml:space="preserve"> </w:t>
      </w:r>
      <w:r w:rsidR="00B33929" w:rsidRPr="00FD211F">
        <w:rPr>
          <w:sz w:val="36"/>
          <w:szCs w:val="36"/>
          <w:rtl/>
        </w:rPr>
        <w:t>العباد</w:t>
      </w:r>
      <w:r w:rsidR="00EC7EDF" w:rsidRPr="00FD211F">
        <w:rPr>
          <w:sz w:val="36"/>
          <w:szCs w:val="36"/>
          <w:rtl/>
        </w:rPr>
        <w:t>ة</w:t>
      </w:r>
      <w:r w:rsidR="00E8128F">
        <w:rPr>
          <w:sz w:val="36"/>
          <w:szCs w:val="36"/>
          <w:rtl/>
        </w:rPr>
        <w:t xml:space="preserve"> </w:t>
      </w:r>
      <w:r w:rsidR="00B33929" w:rsidRPr="00FD211F">
        <w:rPr>
          <w:sz w:val="36"/>
          <w:szCs w:val="36"/>
          <w:rtl/>
        </w:rPr>
        <w:t>لفسادها</w:t>
      </w:r>
      <w:r w:rsidR="00603323" w:rsidRPr="00FD211F">
        <w:rPr>
          <w:sz w:val="36"/>
          <w:szCs w:val="36"/>
          <w:rtl/>
        </w:rPr>
        <w:t>،</w:t>
      </w:r>
      <w:r w:rsidR="00E8128F">
        <w:rPr>
          <w:sz w:val="36"/>
          <w:szCs w:val="36"/>
          <w:rtl/>
        </w:rPr>
        <w:t xml:space="preserve"> </w:t>
      </w:r>
      <w:r w:rsidR="00B33929" w:rsidRPr="00FD211F">
        <w:rPr>
          <w:sz w:val="36"/>
          <w:szCs w:val="36"/>
          <w:rtl/>
        </w:rPr>
        <w:t>فلايشمل</w:t>
      </w:r>
      <w:r w:rsidR="00E8128F">
        <w:rPr>
          <w:sz w:val="36"/>
          <w:szCs w:val="36"/>
          <w:rtl/>
        </w:rPr>
        <w:t xml:space="preserve"> </w:t>
      </w:r>
      <w:r w:rsidR="00B33929" w:rsidRPr="00FD211F">
        <w:rPr>
          <w:sz w:val="36"/>
          <w:szCs w:val="36"/>
          <w:rtl/>
        </w:rPr>
        <w:t>هذا</w:t>
      </w:r>
      <w:r w:rsidR="00E8128F">
        <w:rPr>
          <w:sz w:val="36"/>
          <w:szCs w:val="36"/>
          <w:rtl/>
        </w:rPr>
        <w:t xml:space="preserve"> </w:t>
      </w:r>
      <w:r w:rsidR="00B33929" w:rsidRPr="00FD211F">
        <w:rPr>
          <w:sz w:val="36"/>
          <w:szCs w:val="36"/>
          <w:rtl/>
        </w:rPr>
        <w:t>التعريف</w:t>
      </w:r>
      <w:r w:rsidR="00E8128F">
        <w:rPr>
          <w:sz w:val="36"/>
          <w:szCs w:val="36"/>
          <w:rtl/>
        </w:rPr>
        <w:t xml:space="preserve"> </w:t>
      </w:r>
      <w:r w:rsidR="00B33929" w:rsidRPr="00FD211F">
        <w:rPr>
          <w:sz w:val="36"/>
          <w:szCs w:val="36"/>
          <w:rtl/>
        </w:rPr>
        <w:t>لمبحث</w:t>
      </w:r>
      <w:r w:rsidR="00E8128F">
        <w:rPr>
          <w:sz w:val="36"/>
          <w:szCs w:val="36"/>
          <w:rtl/>
        </w:rPr>
        <w:t xml:space="preserve"> </w:t>
      </w:r>
      <w:r w:rsidR="00B33929" w:rsidRPr="00FD211F">
        <w:rPr>
          <w:sz w:val="36"/>
          <w:szCs w:val="36"/>
          <w:rtl/>
        </w:rPr>
        <w:t>اقتضاء</w:t>
      </w:r>
      <w:r w:rsidR="00E8128F">
        <w:rPr>
          <w:sz w:val="36"/>
          <w:szCs w:val="36"/>
          <w:rtl/>
        </w:rPr>
        <w:t xml:space="preserve"> </w:t>
      </w:r>
      <w:r w:rsidR="0090224F" w:rsidRPr="00FD211F">
        <w:rPr>
          <w:sz w:val="36"/>
          <w:szCs w:val="36"/>
          <w:rtl/>
        </w:rPr>
        <w:t>الأمر</w:t>
      </w:r>
      <w:r w:rsidR="00E8128F">
        <w:rPr>
          <w:sz w:val="36"/>
          <w:szCs w:val="36"/>
          <w:rtl/>
        </w:rPr>
        <w:t xml:space="preserve"> </w:t>
      </w:r>
      <w:r w:rsidR="00B33929" w:rsidRPr="00FD211F">
        <w:rPr>
          <w:sz w:val="36"/>
          <w:szCs w:val="36"/>
          <w:rtl/>
        </w:rPr>
        <w:t>بال</w:t>
      </w:r>
      <w:r w:rsidR="008D7B3D" w:rsidRPr="00FD211F">
        <w:rPr>
          <w:sz w:val="36"/>
          <w:szCs w:val="36"/>
          <w:rtl/>
        </w:rPr>
        <w:t>شيء</w:t>
      </w:r>
      <w:r w:rsidR="00E8128F">
        <w:rPr>
          <w:sz w:val="36"/>
          <w:szCs w:val="36"/>
          <w:rtl/>
        </w:rPr>
        <w:t xml:space="preserve"> </w:t>
      </w:r>
      <w:r w:rsidR="00B33929" w:rsidRPr="00FD211F">
        <w:rPr>
          <w:sz w:val="36"/>
          <w:szCs w:val="36"/>
          <w:rtl/>
        </w:rPr>
        <w:t>للنهي</w:t>
      </w:r>
      <w:r w:rsidR="00E8128F">
        <w:rPr>
          <w:sz w:val="36"/>
          <w:szCs w:val="36"/>
          <w:rtl/>
        </w:rPr>
        <w:t xml:space="preserve"> </w:t>
      </w:r>
      <w:r w:rsidR="00B33929" w:rsidRPr="00FD211F">
        <w:rPr>
          <w:sz w:val="36"/>
          <w:szCs w:val="36"/>
          <w:rtl/>
        </w:rPr>
        <w:t>عن</w:t>
      </w:r>
      <w:r w:rsidR="00E8128F">
        <w:rPr>
          <w:sz w:val="36"/>
          <w:szCs w:val="36"/>
          <w:rtl/>
        </w:rPr>
        <w:t xml:space="preserve"> </w:t>
      </w:r>
      <w:r w:rsidR="00B33929" w:rsidRPr="00FD211F">
        <w:rPr>
          <w:sz w:val="36"/>
          <w:szCs w:val="36"/>
          <w:rtl/>
        </w:rPr>
        <w:t>ضده.</w:t>
      </w:r>
    </w:p>
    <w:p w14:paraId="04F317DA" w14:textId="77777777" w:rsidR="00C42AA9" w:rsidRPr="00FD211F" w:rsidRDefault="00C42AA9" w:rsidP="009C58C8">
      <w:pPr>
        <w:ind w:left="0" w:firstLine="227"/>
        <w:jc w:val="both"/>
        <w:rPr>
          <w:sz w:val="36"/>
          <w:szCs w:val="36"/>
          <w:rtl/>
        </w:rPr>
      </w:pPr>
      <w:r w:rsidRPr="00FD211F">
        <w:rPr>
          <w:sz w:val="36"/>
          <w:szCs w:val="36"/>
          <w:rtl/>
        </w:rPr>
        <w:t>وأجاب</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003B3495" w:rsidRPr="00FD211F">
        <w:rPr>
          <w:sz w:val="36"/>
          <w:szCs w:val="36"/>
          <w:rtl/>
        </w:rPr>
        <w:t>"</w:t>
      </w:r>
      <w:r w:rsidRPr="00FD211F">
        <w:rPr>
          <w:sz w:val="36"/>
          <w:szCs w:val="36"/>
          <w:rtl/>
        </w:rPr>
        <w:t>قده</w:t>
      </w:r>
      <w:r w:rsidR="003B3495" w:rsidRPr="00FD211F">
        <w:rPr>
          <w:sz w:val="36"/>
          <w:szCs w:val="36"/>
          <w:rtl/>
        </w:rPr>
        <w:t>"</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يكفي</w:t>
      </w:r>
      <w:r w:rsidR="00E8128F">
        <w:rPr>
          <w:sz w:val="36"/>
          <w:szCs w:val="36"/>
          <w:rtl/>
        </w:rPr>
        <w:t xml:space="preserve"> </w:t>
      </w:r>
      <w:r w:rsidR="004B6CC8" w:rsidRPr="00FD211F">
        <w:rPr>
          <w:sz w:val="36"/>
          <w:szCs w:val="36"/>
          <w:rtl/>
        </w:rPr>
        <w:t>في</w:t>
      </w:r>
      <w:r w:rsidR="00E8128F">
        <w:rPr>
          <w:sz w:val="36"/>
          <w:szCs w:val="36"/>
          <w:rtl/>
        </w:rPr>
        <w:t xml:space="preserve"> </w:t>
      </w:r>
      <w:r w:rsidRPr="00FD211F">
        <w:rPr>
          <w:sz w:val="36"/>
          <w:szCs w:val="36"/>
          <w:rtl/>
        </w:rPr>
        <w:t>صيرور</w:t>
      </w:r>
      <w:r w:rsidR="00EC7EDF" w:rsidRPr="00FD211F">
        <w:rPr>
          <w:sz w:val="36"/>
          <w:szCs w:val="36"/>
          <w:rtl/>
        </w:rPr>
        <w:t>ة</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المسأل</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مسائل</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الأصول</w:t>
      </w:r>
      <w:r w:rsidR="00E8128F">
        <w:rPr>
          <w:sz w:val="36"/>
          <w:szCs w:val="36"/>
          <w:rtl/>
        </w:rPr>
        <w:t xml:space="preserve"> </w:t>
      </w:r>
      <w:r w:rsidRPr="00FD211F">
        <w:rPr>
          <w:sz w:val="36"/>
          <w:szCs w:val="36"/>
          <w:rtl/>
        </w:rPr>
        <w:t>أنه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فرض</w:t>
      </w:r>
      <w:r w:rsidR="00E8128F">
        <w:rPr>
          <w:sz w:val="36"/>
          <w:szCs w:val="36"/>
          <w:rtl/>
        </w:rPr>
        <w:t xml:space="preserve"> </w:t>
      </w:r>
      <w:r w:rsidRPr="00FD211F">
        <w:rPr>
          <w:sz w:val="36"/>
          <w:szCs w:val="36"/>
          <w:rtl/>
        </w:rPr>
        <w:t>القول</w:t>
      </w:r>
      <w:r w:rsidR="00E8128F">
        <w:rPr>
          <w:sz w:val="36"/>
          <w:szCs w:val="36"/>
          <w:rtl/>
        </w:rPr>
        <w:t xml:space="preserve"> </w:t>
      </w:r>
      <w:r w:rsidRPr="00FD211F">
        <w:rPr>
          <w:sz w:val="36"/>
          <w:szCs w:val="36"/>
          <w:rtl/>
        </w:rPr>
        <w:t>بعدم</w:t>
      </w:r>
      <w:r w:rsidR="00E8128F">
        <w:rPr>
          <w:sz w:val="36"/>
          <w:szCs w:val="36"/>
          <w:rtl/>
        </w:rPr>
        <w:t xml:space="preserve"> </w:t>
      </w:r>
      <w:r w:rsidRPr="00FD211F">
        <w:rPr>
          <w:sz w:val="36"/>
          <w:szCs w:val="36"/>
          <w:rtl/>
        </w:rPr>
        <w:t>اقتضاء</w:t>
      </w:r>
      <w:r w:rsidR="00E8128F">
        <w:rPr>
          <w:sz w:val="36"/>
          <w:szCs w:val="36"/>
          <w:rtl/>
        </w:rPr>
        <w:t xml:space="preserve"> </w:t>
      </w:r>
      <w:r w:rsidR="0090224F" w:rsidRPr="00FD211F">
        <w:rPr>
          <w:sz w:val="36"/>
          <w:szCs w:val="36"/>
          <w:rtl/>
        </w:rPr>
        <w:t>الأمر</w:t>
      </w:r>
      <w:r w:rsidR="00E8128F">
        <w:rPr>
          <w:sz w:val="36"/>
          <w:szCs w:val="36"/>
          <w:rtl/>
        </w:rPr>
        <w:t xml:space="preserve"> </w:t>
      </w:r>
      <w:r w:rsidRPr="00FD211F">
        <w:rPr>
          <w:sz w:val="36"/>
          <w:szCs w:val="36"/>
          <w:rtl/>
        </w:rPr>
        <w:t>بال</w:t>
      </w:r>
      <w:r w:rsidR="008D7B3D" w:rsidRPr="00FD211F">
        <w:rPr>
          <w:sz w:val="36"/>
          <w:szCs w:val="36"/>
          <w:rtl/>
        </w:rPr>
        <w:t>شيء</w:t>
      </w:r>
      <w:r w:rsidR="00E8128F">
        <w:rPr>
          <w:sz w:val="36"/>
          <w:szCs w:val="36"/>
          <w:rtl/>
        </w:rPr>
        <w:t xml:space="preserve"> </w:t>
      </w:r>
      <w:r w:rsidR="00760DC3" w:rsidRPr="00FD211F">
        <w:rPr>
          <w:sz w:val="36"/>
          <w:szCs w:val="36"/>
          <w:rtl/>
        </w:rPr>
        <w:t>للنهي</w:t>
      </w:r>
      <w:r w:rsidR="00E8128F">
        <w:rPr>
          <w:sz w:val="36"/>
          <w:szCs w:val="36"/>
          <w:rtl/>
        </w:rPr>
        <w:t xml:space="preserve"> </w:t>
      </w:r>
      <w:r w:rsidR="00760DC3" w:rsidRPr="00FD211F">
        <w:rPr>
          <w:sz w:val="36"/>
          <w:szCs w:val="36"/>
          <w:rtl/>
        </w:rPr>
        <w:t>عن</w:t>
      </w:r>
      <w:r w:rsidR="00E8128F">
        <w:rPr>
          <w:sz w:val="36"/>
          <w:szCs w:val="36"/>
          <w:rtl/>
        </w:rPr>
        <w:t xml:space="preserve"> </w:t>
      </w:r>
      <w:r w:rsidR="00760DC3" w:rsidRPr="00FD211F">
        <w:rPr>
          <w:sz w:val="36"/>
          <w:szCs w:val="36"/>
          <w:rtl/>
        </w:rPr>
        <w:t>ضده</w:t>
      </w:r>
      <w:r w:rsidR="00E8128F">
        <w:rPr>
          <w:sz w:val="36"/>
          <w:szCs w:val="36"/>
          <w:rtl/>
        </w:rPr>
        <w:t xml:space="preserve"> </w:t>
      </w:r>
      <w:r w:rsidR="00760DC3" w:rsidRPr="00FD211F">
        <w:rPr>
          <w:sz w:val="36"/>
          <w:szCs w:val="36"/>
          <w:rtl/>
        </w:rPr>
        <w:t>لو</w:t>
      </w:r>
      <w:r w:rsidR="00E8128F">
        <w:rPr>
          <w:sz w:val="36"/>
          <w:szCs w:val="36"/>
          <w:rtl/>
        </w:rPr>
        <w:t xml:space="preserve"> </w:t>
      </w:r>
      <w:r w:rsidR="00760DC3" w:rsidRPr="00FD211F">
        <w:rPr>
          <w:sz w:val="36"/>
          <w:szCs w:val="36"/>
          <w:rtl/>
        </w:rPr>
        <w:t>ابتلي</w:t>
      </w:r>
      <w:r w:rsidR="00E8128F">
        <w:rPr>
          <w:sz w:val="36"/>
          <w:szCs w:val="36"/>
          <w:rtl/>
        </w:rPr>
        <w:t xml:space="preserve"> </w:t>
      </w:r>
      <w:r w:rsidRPr="00FD211F">
        <w:rPr>
          <w:sz w:val="36"/>
          <w:szCs w:val="36"/>
          <w:rtl/>
        </w:rPr>
        <w:t>المكلف</w:t>
      </w:r>
      <w:r w:rsidR="00E8128F">
        <w:rPr>
          <w:sz w:val="36"/>
          <w:szCs w:val="36"/>
          <w:rtl/>
        </w:rPr>
        <w:t xml:space="preserve"> </w:t>
      </w:r>
      <w:r w:rsidRPr="00FD211F">
        <w:rPr>
          <w:sz w:val="36"/>
          <w:szCs w:val="36"/>
          <w:rtl/>
        </w:rPr>
        <w:t>بواجب</w:t>
      </w:r>
      <w:r w:rsidR="00E8128F">
        <w:rPr>
          <w:sz w:val="36"/>
          <w:szCs w:val="36"/>
          <w:rtl/>
        </w:rPr>
        <w:t xml:space="preserve"> </w:t>
      </w:r>
      <w:r w:rsidRPr="00FD211F">
        <w:rPr>
          <w:sz w:val="36"/>
          <w:szCs w:val="36"/>
          <w:rtl/>
        </w:rPr>
        <w:t>مضيق</w:t>
      </w:r>
      <w:r w:rsidR="00E8128F">
        <w:rPr>
          <w:sz w:val="36"/>
          <w:szCs w:val="36"/>
          <w:rtl/>
        </w:rPr>
        <w:t xml:space="preserve"> </w:t>
      </w:r>
      <w:r w:rsidRPr="00FD211F">
        <w:rPr>
          <w:sz w:val="36"/>
          <w:szCs w:val="36"/>
          <w:rtl/>
        </w:rPr>
        <w:t>كإزال</w:t>
      </w:r>
      <w:r w:rsidR="00EC7EDF" w:rsidRPr="00FD211F">
        <w:rPr>
          <w:sz w:val="36"/>
          <w:szCs w:val="36"/>
          <w:rtl/>
        </w:rPr>
        <w:t>ة</w:t>
      </w:r>
      <w:r w:rsidR="00E8128F">
        <w:rPr>
          <w:sz w:val="36"/>
          <w:szCs w:val="36"/>
          <w:rtl/>
        </w:rPr>
        <w:t xml:space="preserve"> </w:t>
      </w:r>
      <w:r w:rsidRPr="00FD211F">
        <w:rPr>
          <w:sz w:val="36"/>
          <w:szCs w:val="36"/>
          <w:rtl/>
        </w:rPr>
        <w:t>النجاس</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lastRenderedPageBreak/>
        <w:t>المسجد</w:t>
      </w:r>
      <w:r w:rsidR="00E8128F">
        <w:rPr>
          <w:sz w:val="36"/>
          <w:szCs w:val="36"/>
          <w:rtl/>
        </w:rPr>
        <w:t xml:space="preserve"> </w:t>
      </w:r>
      <w:r w:rsidRPr="00FD211F">
        <w:rPr>
          <w:sz w:val="36"/>
          <w:szCs w:val="36"/>
          <w:rtl/>
        </w:rPr>
        <w:t>لكنه</w:t>
      </w:r>
      <w:r w:rsidR="00E8128F">
        <w:rPr>
          <w:sz w:val="36"/>
          <w:szCs w:val="36"/>
          <w:rtl/>
        </w:rPr>
        <w:t xml:space="preserve"> </w:t>
      </w:r>
      <w:r w:rsidRPr="00FD211F">
        <w:rPr>
          <w:sz w:val="36"/>
          <w:szCs w:val="36"/>
          <w:rtl/>
        </w:rPr>
        <w:t>عصى</w:t>
      </w:r>
      <w:r w:rsidR="00E8128F">
        <w:rPr>
          <w:sz w:val="36"/>
          <w:szCs w:val="36"/>
          <w:rtl/>
        </w:rPr>
        <w:t xml:space="preserve"> </w:t>
      </w:r>
      <w:r w:rsidRPr="00FD211F">
        <w:rPr>
          <w:sz w:val="36"/>
          <w:szCs w:val="36"/>
          <w:rtl/>
        </w:rPr>
        <w:t>واشتغل</w:t>
      </w:r>
      <w:r w:rsidR="00E8128F">
        <w:rPr>
          <w:sz w:val="36"/>
          <w:szCs w:val="36"/>
          <w:rtl/>
        </w:rPr>
        <w:t xml:space="preserve"> </w:t>
      </w:r>
      <w:r w:rsidRPr="00FD211F">
        <w:rPr>
          <w:sz w:val="36"/>
          <w:szCs w:val="36"/>
          <w:rtl/>
        </w:rPr>
        <w:t>بالصلا</w:t>
      </w:r>
      <w:r w:rsidR="00EC7EDF" w:rsidRPr="00FD211F">
        <w:rPr>
          <w:sz w:val="36"/>
          <w:szCs w:val="36"/>
          <w:rtl/>
        </w:rPr>
        <w:t>ة</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هي</w:t>
      </w:r>
      <w:r w:rsidR="00E8128F">
        <w:rPr>
          <w:sz w:val="36"/>
          <w:szCs w:val="36"/>
          <w:rtl/>
        </w:rPr>
        <w:t xml:space="preserve"> </w:t>
      </w:r>
      <w:r w:rsidRPr="00FD211F">
        <w:rPr>
          <w:sz w:val="36"/>
          <w:szCs w:val="36"/>
          <w:rtl/>
        </w:rPr>
        <w:t>ضد</w:t>
      </w:r>
      <w:r w:rsidR="00E8128F">
        <w:rPr>
          <w:sz w:val="36"/>
          <w:szCs w:val="36"/>
          <w:rtl/>
        </w:rPr>
        <w:t xml:space="preserve"> </w:t>
      </w:r>
      <w:r w:rsidRPr="00FD211F">
        <w:rPr>
          <w:sz w:val="36"/>
          <w:szCs w:val="36"/>
          <w:rtl/>
        </w:rPr>
        <w:t>الازال</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فيحكم</w:t>
      </w:r>
      <w:r w:rsidR="00E8128F">
        <w:rPr>
          <w:sz w:val="36"/>
          <w:szCs w:val="36"/>
          <w:rtl/>
        </w:rPr>
        <w:t xml:space="preserve"> </w:t>
      </w:r>
      <w:r w:rsidRPr="00FD211F">
        <w:rPr>
          <w:sz w:val="36"/>
          <w:szCs w:val="36"/>
          <w:rtl/>
        </w:rPr>
        <w:t>بصح</w:t>
      </w:r>
      <w:r w:rsidR="00EC7EDF" w:rsidRPr="00FD211F">
        <w:rPr>
          <w:sz w:val="36"/>
          <w:szCs w:val="36"/>
          <w:rtl/>
        </w:rPr>
        <w:t>ة</w:t>
      </w:r>
      <w:r w:rsidR="00E8128F">
        <w:rPr>
          <w:sz w:val="36"/>
          <w:szCs w:val="36"/>
          <w:rtl/>
        </w:rPr>
        <w:t xml:space="preserve"> </w:t>
      </w:r>
      <w:r w:rsidRPr="00FD211F">
        <w:rPr>
          <w:sz w:val="36"/>
          <w:szCs w:val="36"/>
          <w:rtl/>
        </w:rPr>
        <w:t>صلاته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حاج</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ضم</w:t>
      </w:r>
      <w:r w:rsidR="00E8128F">
        <w:rPr>
          <w:sz w:val="36"/>
          <w:szCs w:val="36"/>
          <w:rtl/>
        </w:rPr>
        <w:t xml:space="preserve"> </w:t>
      </w:r>
      <w:r w:rsidRPr="00FD211F">
        <w:rPr>
          <w:sz w:val="36"/>
          <w:szCs w:val="36"/>
          <w:rtl/>
        </w:rPr>
        <w:t>مسأل</w:t>
      </w:r>
      <w:r w:rsidR="00EC7EDF" w:rsidRPr="00FD211F">
        <w:rPr>
          <w:sz w:val="36"/>
          <w:szCs w:val="36"/>
          <w:rtl/>
        </w:rPr>
        <w:t>ة</w:t>
      </w:r>
      <w:r w:rsidR="00E8128F">
        <w:rPr>
          <w:sz w:val="36"/>
          <w:szCs w:val="36"/>
          <w:rtl/>
        </w:rPr>
        <w:t xml:space="preserve"> </w:t>
      </w:r>
      <w:r w:rsidR="00347B4F" w:rsidRPr="00FD211F">
        <w:rPr>
          <w:sz w:val="36"/>
          <w:szCs w:val="36"/>
          <w:rtl/>
        </w:rPr>
        <w:t>أ</w:t>
      </w:r>
      <w:r w:rsidRPr="00FD211F">
        <w:rPr>
          <w:sz w:val="36"/>
          <w:szCs w:val="36"/>
          <w:rtl/>
        </w:rPr>
        <w:t>صولي</w:t>
      </w:r>
      <w:r w:rsidR="00EC7EDF" w:rsidRPr="00FD211F">
        <w:rPr>
          <w:sz w:val="36"/>
          <w:szCs w:val="36"/>
          <w:rtl/>
        </w:rPr>
        <w:t>ة</w:t>
      </w:r>
      <w:r w:rsidR="00E8128F">
        <w:rPr>
          <w:sz w:val="36"/>
          <w:szCs w:val="36"/>
          <w:rtl/>
        </w:rPr>
        <w:t xml:space="preserve"> </w:t>
      </w:r>
      <w:r w:rsidR="00347B4F" w:rsidRPr="00FD211F">
        <w:rPr>
          <w:sz w:val="36"/>
          <w:szCs w:val="36"/>
          <w:rtl/>
        </w:rPr>
        <w:t>أ</w:t>
      </w:r>
      <w:r w:rsidRPr="00FD211F">
        <w:rPr>
          <w:sz w:val="36"/>
          <w:szCs w:val="36"/>
          <w:rtl/>
        </w:rPr>
        <w:t>خرى</w:t>
      </w:r>
      <w:r w:rsidR="009C58C8" w:rsidRPr="00FD211F">
        <w:rPr>
          <w:rStyle w:val="a6"/>
          <w:sz w:val="36"/>
          <w:szCs w:val="36"/>
          <w:rtl/>
        </w:rPr>
        <w:t>(</w:t>
      </w:r>
      <w:r w:rsidR="009C58C8" w:rsidRPr="00FD211F">
        <w:rPr>
          <w:rStyle w:val="a6"/>
          <w:sz w:val="36"/>
          <w:szCs w:val="36"/>
          <w:rtl/>
        </w:rPr>
        <w:footnoteReference w:id="21"/>
      </w:r>
      <w:r w:rsidR="009C58C8" w:rsidRPr="00FD211F">
        <w:rPr>
          <w:rStyle w:val="a6"/>
          <w:sz w:val="36"/>
          <w:szCs w:val="36"/>
          <w:rtl/>
        </w:rPr>
        <w:t>)</w:t>
      </w:r>
      <w:r w:rsidRPr="00FD211F">
        <w:rPr>
          <w:sz w:val="36"/>
          <w:szCs w:val="36"/>
          <w:rtl/>
        </w:rPr>
        <w:t>.</w:t>
      </w:r>
    </w:p>
    <w:p w14:paraId="7CE6B41F" w14:textId="77777777" w:rsidR="00C42AA9" w:rsidRPr="00FD211F" w:rsidRDefault="00F56DC6" w:rsidP="009C58C8">
      <w:pPr>
        <w:ind w:left="0" w:firstLine="227"/>
        <w:jc w:val="both"/>
        <w:rPr>
          <w:sz w:val="36"/>
          <w:szCs w:val="36"/>
          <w:rtl/>
        </w:rPr>
      </w:pPr>
      <w:r w:rsidRPr="00FD211F">
        <w:rPr>
          <w:sz w:val="36"/>
          <w:szCs w:val="36"/>
          <w:rtl/>
        </w:rPr>
        <w:t>و</w:t>
      </w:r>
      <w:r w:rsidR="00550DAB" w:rsidRPr="00FD211F">
        <w:rPr>
          <w:sz w:val="36"/>
          <w:szCs w:val="36"/>
          <w:rtl/>
        </w:rPr>
        <w:t>أ</w:t>
      </w:r>
      <w:r w:rsidRPr="00FD211F">
        <w:rPr>
          <w:sz w:val="36"/>
          <w:szCs w:val="36"/>
          <w:rtl/>
        </w:rPr>
        <w:t>ورد</w:t>
      </w:r>
      <w:r w:rsidR="00E8128F">
        <w:rPr>
          <w:sz w:val="36"/>
          <w:szCs w:val="36"/>
          <w:rtl/>
        </w:rPr>
        <w:t xml:space="preserve"> </w:t>
      </w:r>
      <w:r w:rsidR="00406200" w:rsidRPr="00FD211F">
        <w:rPr>
          <w:sz w:val="36"/>
          <w:szCs w:val="36"/>
          <w:rtl/>
        </w:rPr>
        <w:t>في</w:t>
      </w:r>
      <w:r w:rsidR="00E8128F">
        <w:rPr>
          <w:sz w:val="36"/>
          <w:szCs w:val="36"/>
          <w:rtl/>
        </w:rPr>
        <w:t xml:space="preserve"> </w:t>
      </w:r>
      <w:r w:rsidR="00406200" w:rsidRPr="00FD211F">
        <w:rPr>
          <w:sz w:val="36"/>
          <w:szCs w:val="36"/>
          <w:rtl/>
        </w:rPr>
        <w:t>البحوث</w:t>
      </w:r>
      <w:r w:rsidR="00E8128F">
        <w:rPr>
          <w:sz w:val="36"/>
          <w:szCs w:val="36"/>
          <w:rtl/>
        </w:rPr>
        <w:t xml:space="preserve"> </w:t>
      </w:r>
      <w:r w:rsidR="00CD64C3" w:rsidRPr="00FD211F">
        <w:rPr>
          <w:sz w:val="36"/>
          <w:szCs w:val="36"/>
          <w:rtl/>
        </w:rPr>
        <w:t>على</w:t>
      </w:r>
      <w:r w:rsidR="00E8128F">
        <w:rPr>
          <w:sz w:val="36"/>
          <w:szCs w:val="36"/>
          <w:rtl/>
        </w:rPr>
        <w:t xml:space="preserve"> </w:t>
      </w:r>
      <w:r w:rsidR="003B3495" w:rsidRPr="00FD211F">
        <w:rPr>
          <w:sz w:val="36"/>
          <w:szCs w:val="36"/>
          <w:rtl/>
        </w:rPr>
        <w:t>هذاالجواب</w:t>
      </w:r>
      <w:r w:rsidR="00E8128F">
        <w:rPr>
          <w:sz w:val="36"/>
          <w:szCs w:val="36"/>
          <w:rtl/>
        </w:rPr>
        <w:t xml:space="preserve"> </w:t>
      </w:r>
      <w:r w:rsidR="005412BA" w:rsidRPr="00FD211F">
        <w:rPr>
          <w:sz w:val="36"/>
          <w:szCs w:val="36"/>
          <w:rtl/>
        </w:rPr>
        <w:t>بثلاث</w:t>
      </w:r>
      <w:r w:rsidR="00EC7EDF" w:rsidRPr="00FD211F">
        <w:rPr>
          <w:sz w:val="36"/>
          <w:szCs w:val="36"/>
          <w:rtl/>
        </w:rPr>
        <w:t>ة</w:t>
      </w:r>
      <w:r w:rsidR="00E8128F">
        <w:rPr>
          <w:sz w:val="36"/>
          <w:szCs w:val="36"/>
          <w:rtl/>
        </w:rPr>
        <w:t xml:space="preserve"> </w:t>
      </w:r>
      <w:r w:rsidR="005412BA" w:rsidRPr="00FD211F">
        <w:rPr>
          <w:sz w:val="36"/>
          <w:szCs w:val="36"/>
          <w:rtl/>
        </w:rPr>
        <w:t>ايرادات</w:t>
      </w:r>
      <w:r w:rsidR="00C42AA9" w:rsidRPr="00FD211F">
        <w:rPr>
          <w:sz w:val="36"/>
          <w:szCs w:val="36"/>
          <w:rtl/>
        </w:rPr>
        <w:t>:</w:t>
      </w:r>
    </w:p>
    <w:p w14:paraId="399916BA" w14:textId="77777777" w:rsidR="00C42AA9" w:rsidRPr="00FD211F" w:rsidRDefault="00B75B06" w:rsidP="009C58C8">
      <w:pPr>
        <w:ind w:left="0" w:firstLine="227"/>
        <w:jc w:val="both"/>
        <w:rPr>
          <w:sz w:val="36"/>
          <w:szCs w:val="36"/>
          <w:rtl/>
        </w:rPr>
      </w:pPr>
      <w:r w:rsidRPr="00FD211F">
        <w:rPr>
          <w:sz w:val="36"/>
          <w:szCs w:val="36"/>
          <w:rtl/>
        </w:rPr>
        <w:t>1-</w:t>
      </w:r>
      <w:r w:rsidR="00E8128F">
        <w:rPr>
          <w:sz w:val="36"/>
          <w:szCs w:val="36"/>
          <w:rtl/>
        </w:rPr>
        <w:t xml:space="preserve"> </w:t>
      </w:r>
      <w:r w:rsidR="00406200" w:rsidRPr="00FD211F">
        <w:rPr>
          <w:sz w:val="36"/>
          <w:szCs w:val="36"/>
          <w:rtl/>
        </w:rPr>
        <w:t>انه</w:t>
      </w:r>
      <w:r w:rsidR="00E8128F">
        <w:rPr>
          <w:sz w:val="36"/>
          <w:szCs w:val="36"/>
          <w:rtl/>
        </w:rPr>
        <w:t xml:space="preserve"> </w:t>
      </w:r>
      <w:r w:rsidR="00406200" w:rsidRPr="00FD211F">
        <w:rPr>
          <w:sz w:val="36"/>
          <w:szCs w:val="36"/>
          <w:rtl/>
        </w:rPr>
        <w:t>على</w:t>
      </w:r>
      <w:r w:rsidR="00E8128F">
        <w:rPr>
          <w:sz w:val="36"/>
          <w:szCs w:val="36"/>
          <w:rtl/>
        </w:rPr>
        <w:t xml:space="preserve"> </w:t>
      </w:r>
      <w:r w:rsidR="00406200" w:rsidRPr="00FD211F">
        <w:rPr>
          <w:sz w:val="36"/>
          <w:szCs w:val="36"/>
          <w:rtl/>
        </w:rPr>
        <w:t>القول</w:t>
      </w:r>
      <w:r w:rsidR="00E8128F">
        <w:rPr>
          <w:sz w:val="36"/>
          <w:szCs w:val="36"/>
          <w:rtl/>
        </w:rPr>
        <w:t xml:space="preserve"> </w:t>
      </w:r>
      <w:r w:rsidR="00406200" w:rsidRPr="00FD211F">
        <w:rPr>
          <w:sz w:val="36"/>
          <w:szCs w:val="36"/>
          <w:rtl/>
        </w:rPr>
        <w:t>بعدم</w:t>
      </w:r>
      <w:r w:rsidR="00E8128F">
        <w:rPr>
          <w:sz w:val="36"/>
          <w:szCs w:val="36"/>
          <w:rtl/>
        </w:rPr>
        <w:t xml:space="preserve"> </w:t>
      </w:r>
      <w:r w:rsidR="00406200" w:rsidRPr="00FD211F">
        <w:rPr>
          <w:sz w:val="36"/>
          <w:szCs w:val="36"/>
          <w:rtl/>
        </w:rPr>
        <w:t>اقتضاء</w:t>
      </w:r>
      <w:r w:rsidR="00E8128F">
        <w:rPr>
          <w:sz w:val="36"/>
          <w:szCs w:val="36"/>
          <w:rtl/>
        </w:rPr>
        <w:t xml:space="preserve"> </w:t>
      </w:r>
      <w:r w:rsidR="0090224F" w:rsidRPr="00FD211F">
        <w:rPr>
          <w:sz w:val="36"/>
          <w:szCs w:val="36"/>
          <w:rtl/>
        </w:rPr>
        <w:t>الأمر</w:t>
      </w:r>
      <w:r w:rsidR="00E8128F">
        <w:rPr>
          <w:sz w:val="36"/>
          <w:szCs w:val="36"/>
          <w:rtl/>
        </w:rPr>
        <w:t xml:space="preserve"> </w:t>
      </w:r>
      <w:r w:rsidR="002528E1" w:rsidRPr="00FD211F">
        <w:rPr>
          <w:sz w:val="36"/>
          <w:szCs w:val="36"/>
          <w:rtl/>
        </w:rPr>
        <w:t>بال</w:t>
      </w:r>
      <w:r w:rsidR="008D7B3D" w:rsidRPr="00FD211F">
        <w:rPr>
          <w:sz w:val="36"/>
          <w:szCs w:val="36"/>
          <w:rtl/>
        </w:rPr>
        <w:t>شيء</w:t>
      </w:r>
      <w:r w:rsidR="00E8128F">
        <w:rPr>
          <w:sz w:val="36"/>
          <w:szCs w:val="36"/>
          <w:rtl/>
        </w:rPr>
        <w:t xml:space="preserve"> </w:t>
      </w:r>
      <w:r w:rsidR="002528E1" w:rsidRPr="00FD211F">
        <w:rPr>
          <w:sz w:val="36"/>
          <w:szCs w:val="36"/>
          <w:rtl/>
        </w:rPr>
        <w:t>للنهي</w:t>
      </w:r>
      <w:r w:rsidR="00E8128F">
        <w:rPr>
          <w:sz w:val="36"/>
          <w:szCs w:val="36"/>
          <w:rtl/>
        </w:rPr>
        <w:t xml:space="preserve"> </w:t>
      </w:r>
      <w:r w:rsidR="002528E1" w:rsidRPr="00FD211F">
        <w:rPr>
          <w:sz w:val="36"/>
          <w:szCs w:val="36"/>
          <w:rtl/>
        </w:rPr>
        <w:t>عن</w:t>
      </w:r>
      <w:r w:rsidR="00E8128F">
        <w:rPr>
          <w:sz w:val="36"/>
          <w:szCs w:val="36"/>
          <w:rtl/>
        </w:rPr>
        <w:t xml:space="preserve"> </w:t>
      </w:r>
      <w:r w:rsidR="002528E1" w:rsidRPr="00FD211F">
        <w:rPr>
          <w:sz w:val="36"/>
          <w:szCs w:val="36"/>
          <w:rtl/>
        </w:rPr>
        <w:t>ضده</w:t>
      </w:r>
      <w:r w:rsidR="00E8128F">
        <w:rPr>
          <w:sz w:val="36"/>
          <w:szCs w:val="36"/>
          <w:rtl/>
        </w:rPr>
        <w:t xml:space="preserve"> </w:t>
      </w:r>
      <w:r w:rsidR="002528E1" w:rsidRPr="00FD211F">
        <w:rPr>
          <w:sz w:val="36"/>
          <w:szCs w:val="36"/>
          <w:rtl/>
        </w:rPr>
        <w:t>ف</w:t>
      </w:r>
      <w:r w:rsidR="00406200" w:rsidRPr="00FD211F">
        <w:rPr>
          <w:sz w:val="36"/>
          <w:szCs w:val="36"/>
          <w:rtl/>
        </w:rPr>
        <w:t>يحتاج</w:t>
      </w:r>
      <w:r w:rsidR="00E8128F">
        <w:rPr>
          <w:sz w:val="36"/>
          <w:szCs w:val="36"/>
          <w:rtl/>
        </w:rPr>
        <w:t xml:space="preserve"> </w:t>
      </w:r>
      <w:r w:rsidR="002528E1" w:rsidRPr="00FD211F">
        <w:rPr>
          <w:sz w:val="36"/>
          <w:szCs w:val="36"/>
          <w:rtl/>
        </w:rPr>
        <w:t>الحكم</w:t>
      </w:r>
      <w:r w:rsidR="00E8128F">
        <w:rPr>
          <w:sz w:val="36"/>
          <w:szCs w:val="36"/>
          <w:rtl/>
        </w:rPr>
        <w:t xml:space="preserve"> </w:t>
      </w:r>
      <w:r w:rsidR="002528E1" w:rsidRPr="00FD211F">
        <w:rPr>
          <w:sz w:val="36"/>
          <w:szCs w:val="36"/>
          <w:rtl/>
        </w:rPr>
        <w:t>ب</w:t>
      </w:r>
      <w:r w:rsidR="00406200" w:rsidRPr="00FD211F">
        <w:rPr>
          <w:sz w:val="36"/>
          <w:szCs w:val="36"/>
          <w:rtl/>
        </w:rPr>
        <w:t>صح</w:t>
      </w:r>
      <w:r w:rsidR="00EC7EDF" w:rsidRPr="00FD211F">
        <w:rPr>
          <w:sz w:val="36"/>
          <w:szCs w:val="36"/>
          <w:rtl/>
        </w:rPr>
        <w:t>ة</w:t>
      </w:r>
      <w:r w:rsidR="00E8128F">
        <w:rPr>
          <w:sz w:val="36"/>
          <w:szCs w:val="36"/>
          <w:rtl/>
        </w:rPr>
        <w:t xml:space="preserve"> </w:t>
      </w:r>
      <w:r w:rsidR="00763372" w:rsidRPr="00FD211F">
        <w:rPr>
          <w:sz w:val="36"/>
          <w:szCs w:val="36"/>
          <w:rtl/>
        </w:rPr>
        <w:t>هذه</w:t>
      </w:r>
      <w:r w:rsidR="00E8128F">
        <w:rPr>
          <w:sz w:val="36"/>
          <w:szCs w:val="36"/>
          <w:rtl/>
        </w:rPr>
        <w:t xml:space="preserve"> </w:t>
      </w:r>
      <w:r w:rsidR="00C42AA9" w:rsidRPr="00FD211F">
        <w:rPr>
          <w:sz w:val="36"/>
          <w:szCs w:val="36"/>
          <w:rtl/>
        </w:rPr>
        <w:t>الصلا</w:t>
      </w:r>
      <w:r w:rsidR="00EC7EDF" w:rsidRPr="00FD211F">
        <w:rPr>
          <w:sz w:val="36"/>
          <w:szCs w:val="36"/>
          <w:rtl/>
        </w:rPr>
        <w:t>ة</w:t>
      </w:r>
      <w:r w:rsidR="00E8128F">
        <w:rPr>
          <w:sz w:val="36"/>
          <w:szCs w:val="36"/>
          <w:rtl/>
        </w:rPr>
        <w:t xml:space="preserve"> </w:t>
      </w:r>
      <w:r w:rsidR="00763372" w:rsidRPr="00FD211F">
        <w:rPr>
          <w:sz w:val="36"/>
          <w:szCs w:val="36"/>
          <w:rtl/>
        </w:rPr>
        <w:t>المنافي</w:t>
      </w:r>
      <w:r w:rsidR="00EC7EDF" w:rsidRPr="00FD211F">
        <w:rPr>
          <w:sz w:val="36"/>
          <w:szCs w:val="36"/>
          <w:rtl/>
        </w:rPr>
        <w:t>ة</w:t>
      </w:r>
      <w:r w:rsidR="00E8128F">
        <w:rPr>
          <w:sz w:val="36"/>
          <w:szCs w:val="36"/>
          <w:rtl/>
        </w:rPr>
        <w:t xml:space="preserve"> </w:t>
      </w:r>
      <w:r w:rsidR="00763372" w:rsidRPr="00FD211F">
        <w:rPr>
          <w:sz w:val="36"/>
          <w:szCs w:val="36"/>
          <w:rtl/>
        </w:rPr>
        <w:t>ل</w:t>
      </w:r>
      <w:r w:rsidR="00C42AA9" w:rsidRPr="00FD211F">
        <w:rPr>
          <w:sz w:val="36"/>
          <w:szCs w:val="36"/>
          <w:rtl/>
        </w:rPr>
        <w:t>ل</w:t>
      </w:r>
      <w:r w:rsidR="00763372" w:rsidRPr="00FD211F">
        <w:rPr>
          <w:sz w:val="36"/>
          <w:szCs w:val="36"/>
          <w:rtl/>
        </w:rPr>
        <w:t>واجب</w:t>
      </w:r>
      <w:r w:rsidR="00E8128F">
        <w:rPr>
          <w:sz w:val="36"/>
          <w:szCs w:val="36"/>
          <w:rtl/>
        </w:rPr>
        <w:t xml:space="preserve"> </w:t>
      </w:r>
      <w:r w:rsidR="00C40D99" w:rsidRPr="00FD211F">
        <w:rPr>
          <w:sz w:val="36"/>
          <w:szCs w:val="36"/>
          <w:rtl/>
        </w:rPr>
        <w:t>ال</w:t>
      </w:r>
      <w:r w:rsidR="00763372" w:rsidRPr="00FD211F">
        <w:rPr>
          <w:sz w:val="36"/>
          <w:szCs w:val="36"/>
          <w:rtl/>
        </w:rPr>
        <w:t>مضيق</w:t>
      </w:r>
      <w:r w:rsidR="00E8128F">
        <w:rPr>
          <w:sz w:val="36"/>
          <w:szCs w:val="36"/>
          <w:rtl/>
        </w:rPr>
        <w:t xml:space="preserve"> </w:t>
      </w:r>
      <w:r w:rsidR="00763372" w:rsidRPr="00FD211F">
        <w:rPr>
          <w:sz w:val="36"/>
          <w:szCs w:val="36"/>
          <w:rtl/>
        </w:rPr>
        <w:t>الى</w:t>
      </w:r>
      <w:r w:rsidR="00E8128F">
        <w:rPr>
          <w:sz w:val="36"/>
          <w:szCs w:val="36"/>
          <w:rtl/>
        </w:rPr>
        <w:t xml:space="preserve"> </w:t>
      </w:r>
      <w:r w:rsidR="00763372" w:rsidRPr="00FD211F">
        <w:rPr>
          <w:sz w:val="36"/>
          <w:szCs w:val="36"/>
          <w:rtl/>
        </w:rPr>
        <w:t>البحث</w:t>
      </w:r>
      <w:r w:rsidR="00E8128F">
        <w:rPr>
          <w:sz w:val="36"/>
          <w:szCs w:val="36"/>
          <w:rtl/>
        </w:rPr>
        <w:t xml:space="preserve"> </w:t>
      </w:r>
      <w:r w:rsidR="00763372" w:rsidRPr="00FD211F">
        <w:rPr>
          <w:sz w:val="36"/>
          <w:szCs w:val="36"/>
          <w:rtl/>
        </w:rPr>
        <w:t>عن</w:t>
      </w:r>
      <w:r w:rsidR="00E8128F">
        <w:rPr>
          <w:sz w:val="36"/>
          <w:szCs w:val="36"/>
          <w:rtl/>
        </w:rPr>
        <w:t xml:space="preserve"> </w:t>
      </w:r>
      <w:r w:rsidR="00C42AA9" w:rsidRPr="00FD211F">
        <w:rPr>
          <w:sz w:val="36"/>
          <w:szCs w:val="36"/>
          <w:rtl/>
        </w:rPr>
        <w:t>مسأل</w:t>
      </w:r>
      <w:r w:rsidR="00EC7EDF" w:rsidRPr="00FD211F">
        <w:rPr>
          <w:sz w:val="36"/>
          <w:szCs w:val="36"/>
          <w:rtl/>
        </w:rPr>
        <w:t>ة</w:t>
      </w:r>
      <w:r w:rsidR="00E8128F">
        <w:rPr>
          <w:sz w:val="36"/>
          <w:szCs w:val="36"/>
          <w:rtl/>
        </w:rPr>
        <w:t xml:space="preserve"> </w:t>
      </w:r>
      <w:r w:rsidR="00C42AA9" w:rsidRPr="00FD211F">
        <w:rPr>
          <w:sz w:val="36"/>
          <w:szCs w:val="36"/>
          <w:rtl/>
        </w:rPr>
        <w:t>اصولي</w:t>
      </w:r>
      <w:r w:rsidR="00EC7EDF" w:rsidRPr="00FD211F">
        <w:rPr>
          <w:sz w:val="36"/>
          <w:szCs w:val="36"/>
          <w:rtl/>
        </w:rPr>
        <w:t>ة</w:t>
      </w:r>
      <w:r w:rsidR="00E8128F">
        <w:rPr>
          <w:sz w:val="36"/>
          <w:szCs w:val="36"/>
          <w:rtl/>
        </w:rPr>
        <w:t xml:space="preserve"> </w:t>
      </w:r>
      <w:r w:rsidR="00C42AA9" w:rsidRPr="00FD211F">
        <w:rPr>
          <w:sz w:val="36"/>
          <w:szCs w:val="36"/>
          <w:rtl/>
        </w:rPr>
        <w:t>اخرى</w:t>
      </w:r>
      <w:r w:rsidR="00603323" w:rsidRPr="00FD211F">
        <w:rPr>
          <w:sz w:val="36"/>
          <w:szCs w:val="36"/>
          <w:rtl/>
        </w:rPr>
        <w:t>،</w:t>
      </w:r>
      <w:r w:rsidR="00E8128F">
        <w:rPr>
          <w:sz w:val="36"/>
          <w:szCs w:val="36"/>
          <w:rtl/>
        </w:rPr>
        <w:t xml:space="preserve"> </w:t>
      </w:r>
      <w:r w:rsidR="00C42AA9" w:rsidRPr="00FD211F">
        <w:rPr>
          <w:sz w:val="36"/>
          <w:szCs w:val="36"/>
          <w:rtl/>
        </w:rPr>
        <w:t>وهو</w:t>
      </w:r>
      <w:r w:rsidR="00E8128F">
        <w:rPr>
          <w:sz w:val="36"/>
          <w:szCs w:val="36"/>
          <w:rtl/>
        </w:rPr>
        <w:t xml:space="preserve"> </w:t>
      </w:r>
      <w:r w:rsidR="00C42AA9" w:rsidRPr="00FD211F">
        <w:rPr>
          <w:sz w:val="36"/>
          <w:szCs w:val="36"/>
          <w:rtl/>
        </w:rPr>
        <w:t>امكان</w:t>
      </w:r>
      <w:r w:rsidR="00E8128F">
        <w:rPr>
          <w:sz w:val="36"/>
          <w:szCs w:val="36"/>
          <w:rtl/>
        </w:rPr>
        <w:t xml:space="preserve"> </w:t>
      </w:r>
      <w:r w:rsidR="00C42AA9" w:rsidRPr="00FD211F">
        <w:rPr>
          <w:sz w:val="36"/>
          <w:szCs w:val="36"/>
          <w:rtl/>
        </w:rPr>
        <w:t>اطلاق</w:t>
      </w:r>
      <w:r w:rsidR="00E8128F">
        <w:rPr>
          <w:sz w:val="36"/>
          <w:szCs w:val="36"/>
          <w:rtl/>
        </w:rPr>
        <w:t xml:space="preserve"> </w:t>
      </w:r>
      <w:r w:rsidR="0090224F" w:rsidRPr="00FD211F">
        <w:rPr>
          <w:sz w:val="36"/>
          <w:szCs w:val="36"/>
          <w:rtl/>
        </w:rPr>
        <w:t>الأمر</w:t>
      </w:r>
      <w:r w:rsidR="00E8128F">
        <w:rPr>
          <w:sz w:val="36"/>
          <w:szCs w:val="36"/>
          <w:rtl/>
        </w:rPr>
        <w:t xml:space="preserve"> </w:t>
      </w:r>
      <w:r w:rsidR="00C42AA9" w:rsidRPr="00FD211F">
        <w:rPr>
          <w:sz w:val="36"/>
          <w:szCs w:val="36"/>
          <w:rtl/>
        </w:rPr>
        <w:t>لهذه</w:t>
      </w:r>
      <w:r w:rsidR="00E8128F">
        <w:rPr>
          <w:sz w:val="36"/>
          <w:szCs w:val="36"/>
          <w:rtl/>
        </w:rPr>
        <w:t xml:space="preserve"> </w:t>
      </w:r>
      <w:r w:rsidR="00C42AA9" w:rsidRPr="00FD211F">
        <w:rPr>
          <w:sz w:val="36"/>
          <w:szCs w:val="36"/>
          <w:rtl/>
        </w:rPr>
        <w:t>الصلا</w:t>
      </w:r>
      <w:r w:rsidR="00EC7EDF" w:rsidRPr="00FD211F">
        <w:rPr>
          <w:sz w:val="36"/>
          <w:szCs w:val="36"/>
          <w:rtl/>
        </w:rPr>
        <w:t>ة</w:t>
      </w:r>
      <w:r w:rsidR="00E8128F">
        <w:rPr>
          <w:sz w:val="36"/>
          <w:szCs w:val="36"/>
          <w:rtl/>
        </w:rPr>
        <w:t xml:space="preserve"> </w:t>
      </w:r>
      <w:r w:rsidR="00763372" w:rsidRPr="00FD211F">
        <w:rPr>
          <w:sz w:val="36"/>
          <w:szCs w:val="36"/>
          <w:rtl/>
        </w:rPr>
        <w:t>فيما</w:t>
      </w:r>
      <w:r w:rsidR="00E8128F">
        <w:rPr>
          <w:sz w:val="36"/>
          <w:szCs w:val="36"/>
          <w:rtl/>
        </w:rPr>
        <w:t xml:space="preserve"> </w:t>
      </w:r>
      <w:r w:rsidR="00763372" w:rsidRPr="00FD211F">
        <w:rPr>
          <w:sz w:val="36"/>
          <w:szCs w:val="36"/>
          <w:rtl/>
        </w:rPr>
        <w:t>اذا</w:t>
      </w:r>
      <w:r w:rsidR="00E8128F">
        <w:rPr>
          <w:sz w:val="36"/>
          <w:szCs w:val="36"/>
          <w:rtl/>
        </w:rPr>
        <w:t xml:space="preserve"> </w:t>
      </w:r>
      <w:r w:rsidR="00C42AA9" w:rsidRPr="00FD211F">
        <w:rPr>
          <w:sz w:val="36"/>
          <w:szCs w:val="36"/>
          <w:rtl/>
        </w:rPr>
        <w:t>أتى</w:t>
      </w:r>
      <w:r w:rsidR="00E8128F">
        <w:rPr>
          <w:sz w:val="36"/>
          <w:szCs w:val="36"/>
          <w:rtl/>
        </w:rPr>
        <w:t xml:space="preserve"> </w:t>
      </w:r>
      <w:r w:rsidR="00C42AA9" w:rsidRPr="00FD211F">
        <w:rPr>
          <w:sz w:val="36"/>
          <w:szCs w:val="36"/>
          <w:rtl/>
        </w:rPr>
        <w:t>بها</w:t>
      </w:r>
      <w:r w:rsidR="00E8128F">
        <w:rPr>
          <w:sz w:val="36"/>
          <w:szCs w:val="36"/>
          <w:rtl/>
        </w:rPr>
        <w:t xml:space="preserve"> </w:t>
      </w:r>
      <w:r w:rsidR="00C42AA9" w:rsidRPr="00FD211F">
        <w:rPr>
          <w:sz w:val="36"/>
          <w:szCs w:val="36"/>
          <w:rtl/>
        </w:rPr>
        <w:t>في</w:t>
      </w:r>
      <w:r w:rsidR="00E8128F">
        <w:rPr>
          <w:sz w:val="36"/>
          <w:szCs w:val="36"/>
          <w:rtl/>
        </w:rPr>
        <w:t xml:space="preserve"> </w:t>
      </w:r>
      <w:r w:rsidR="00C42AA9" w:rsidRPr="00FD211F">
        <w:rPr>
          <w:sz w:val="36"/>
          <w:szCs w:val="36"/>
          <w:rtl/>
        </w:rPr>
        <w:t>سع</w:t>
      </w:r>
      <w:r w:rsidR="00EC7EDF" w:rsidRPr="00FD211F">
        <w:rPr>
          <w:sz w:val="36"/>
          <w:szCs w:val="36"/>
          <w:rtl/>
        </w:rPr>
        <w:t>ة</w:t>
      </w:r>
      <w:r w:rsidR="00E8128F">
        <w:rPr>
          <w:sz w:val="36"/>
          <w:szCs w:val="36"/>
          <w:rtl/>
        </w:rPr>
        <w:t xml:space="preserve"> </w:t>
      </w:r>
      <w:r w:rsidR="00C42AA9" w:rsidRPr="00FD211F">
        <w:rPr>
          <w:sz w:val="36"/>
          <w:szCs w:val="36"/>
          <w:rtl/>
        </w:rPr>
        <w:t>الوقت</w:t>
      </w:r>
      <w:r w:rsidR="00603323" w:rsidRPr="00FD211F">
        <w:rPr>
          <w:sz w:val="36"/>
          <w:szCs w:val="36"/>
          <w:rtl/>
        </w:rPr>
        <w:t>،</w:t>
      </w:r>
      <w:r w:rsidR="00E8128F">
        <w:rPr>
          <w:sz w:val="36"/>
          <w:szCs w:val="36"/>
          <w:rtl/>
        </w:rPr>
        <w:t xml:space="preserve"> </w:t>
      </w:r>
      <w:r w:rsidR="00763372" w:rsidRPr="00FD211F">
        <w:rPr>
          <w:sz w:val="36"/>
          <w:szCs w:val="36"/>
          <w:rtl/>
        </w:rPr>
        <w:t>او</w:t>
      </w:r>
      <w:r w:rsidR="00E8128F">
        <w:rPr>
          <w:sz w:val="36"/>
          <w:szCs w:val="36"/>
          <w:rtl/>
        </w:rPr>
        <w:t xml:space="preserve"> </w:t>
      </w:r>
      <w:r w:rsidR="00763372" w:rsidRPr="00FD211F">
        <w:rPr>
          <w:sz w:val="36"/>
          <w:szCs w:val="36"/>
          <w:rtl/>
        </w:rPr>
        <w:t>امكان</w:t>
      </w:r>
      <w:r w:rsidR="00E8128F">
        <w:rPr>
          <w:sz w:val="36"/>
          <w:szCs w:val="36"/>
          <w:rtl/>
        </w:rPr>
        <w:t xml:space="preserve"> </w:t>
      </w:r>
      <w:r w:rsidR="0090224F" w:rsidRPr="00FD211F">
        <w:rPr>
          <w:sz w:val="36"/>
          <w:szCs w:val="36"/>
          <w:rtl/>
        </w:rPr>
        <w:t>الأمر</w:t>
      </w:r>
      <w:r w:rsidR="00E8128F">
        <w:rPr>
          <w:sz w:val="36"/>
          <w:szCs w:val="36"/>
          <w:rtl/>
        </w:rPr>
        <w:t xml:space="preserve"> </w:t>
      </w:r>
      <w:r w:rsidR="00763372" w:rsidRPr="00FD211F">
        <w:rPr>
          <w:sz w:val="36"/>
          <w:szCs w:val="36"/>
          <w:rtl/>
        </w:rPr>
        <w:t>الترتبي</w:t>
      </w:r>
      <w:r w:rsidR="00E8128F">
        <w:rPr>
          <w:sz w:val="36"/>
          <w:szCs w:val="36"/>
          <w:rtl/>
        </w:rPr>
        <w:t xml:space="preserve"> </w:t>
      </w:r>
      <w:r w:rsidR="00763372" w:rsidRPr="00FD211F">
        <w:rPr>
          <w:sz w:val="36"/>
          <w:szCs w:val="36"/>
          <w:rtl/>
        </w:rPr>
        <w:t>بها</w:t>
      </w:r>
      <w:r w:rsidR="00603323" w:rsidRPr="00FD211F">
        <w:rPr>
          <w:sz w:val="36"/>
          <w:szCs w:val="36"/>
          <w:rtl/>
        </w:rPr>
        <w:t>،</w:t>
      </w:r>
      <w:r w:rsidR="00E8128F">
        <w:rPr>
          <w:sz w:val="36"/>
          <w:szCs w:val="36"/>
          <w:rtl/>
        </w:rPr>
        <w:t xml:space="preserve"> </w:t>
      </w:r>
      <w:r w:rsidR="00763372" w:rsidRPr="00FD211F">
        <w:rPr>
          <w:sz w:val="36"/>
          <w:szCs w:val="36"/>
          <w:rtl/>
        </w:rPr>
        <w:t>او</w:t>
      </w:r>
      <w:r w:rsidR="00E8128F">
        <w:rPr>
          <w:sz w:val="36"/>
          <w:szCs w:val="36"/>
          <w:rtl/>
        </w:rPr>
        <w:t xml:space="preserve"> </w:t>
      </w:r>
      <w:r w:rsidR="00763372" w:rsidRPr="00FD211F">
        <w:rPr>
          <w:sz w:val="36"/>
          <w:szCs w:val="36"/>
          <w:rtl/>
        </w:rPr>
        <w:t>امكان</w:t>
      </w:r>
      <w:r w:rsidR="00E8128F">
        <w:rPr>
          <w:sz w:val="36"/>
          <w:szCs w:val="36"/>
          <w:rtl/>
        </w:rPr>
        <w:t xml:space="preserve"> </w:t>
      </w:r>
      <w:r w:rsidR="00763372" w:rsidRPr="00FD211F">
        <w:rPr>
          <w:sz w:val="36"/>
          <w:szCs w:val="36"/>
          <w:rtl/>
        </w:rPr>
        <w:t>استكشاف</w:t>
      </w:r>
      <w:r w:rsidR="00E8128F">
        <w:rPr>
          <w:sz w:val="36"/>
          <w:szCs w:val="36"/>
          <w:rtl/>
        </w:rPr>
        <w:t xml:space="preserve"> </w:t>
      </w:r>
      <w:r w:rsidR="00763372" w:rsidRPr="00FD211F">
        <w:rPr>
          <w:sz w:val="36"/>
          <w:szCs w:val="36"/>
          <w:rtl/>
        </w:rPr>
        <w:t>الملاك</w:t>
      </w:r>
      <w:r w:rsidR="00E8128F">
        <w:rPr>
          <w:sz w:val="36"/>
          <w:szCs w:val="36"/>
          <w:rtl/>
        </w:rPr>
        <w:t xml:space="preserve"> </w:t>
      </w:r>
      <w:r w:rsidR="00763372" w:rsidRPr="00FD211F">
        <w:rPr>
          <w:sz w:val="36"/>
          <w:szCs w:val="36"/>
          <w:rtl/>
        </w:rPr>
        <w:t>فيها</w:t>
      </w:r>
      <w:r w:rsidR="00E8128F">
        <w:rPr>
          <w:sz w:val="36"/>
          <w:szCs w:val="36"/>
          <w:rtl/>
        </w:rPr>
        <w:t xml:space="preserve"> </w:t>
      </w:r>
      <w:r w:rsidRPr="00FD211F">
        <w:rPr>
          <w:sz w:val="36"/>
          <w:szCs w:val="36"/>
          <w:rtl/>
        </w:rPr>
        <w:t>إما</w:t>
      </w:r>
      <w:r w:rsidR="00E8128F">
        <w:rPr>
          <w:sz w:val="36"/>
          <w:szCs w:val="36"/>
          <w:rtl/>
        </w:rPr>
        <w:t xml:space="preserve"> </w:t>
      </w:r>
      <w:r w:rsidR="00C42AA9" w:rsidRPr="00FD211F">
        <w:rPr>
          <w:sz w:val="36"/>
          <w:szCs w:val="36"/>
          <w:rtl/>
        </w:rPr>
        <w:t>من</w:t>
      </w:r>
      <w:r w:rsidR="00E8128F">
        <w:rPr>
          <w:sz w:val="36"/>
          <w:szCs w:val="36"/>
          <w:rtl/>
        </w:rPr>
        <w:t xml:space="preserve"> </w:t>
      </w:r>
      <w:r w:rsidR="00C42AA9" w:rsidRPr="00FD211F">
        <w:rPr>
          <w:sz w:val="36"/>
          <w:szCs w:val="36"/>
          <w:rtl/>
        </w:rPr>
        <w:t>اطلاق</w:t>
      </w:r>
      <w:r w:rsidR="00E8128F">
        <w:rPr>
          <w:sz w:val="36"/>
          <w:szCs w:val="36"/>
          <w:rtl/>
        </w:rPr>
        <w:t xml:space="preserve"> </w:t>
      </w:r>
      <w:r w:rsidR="00C42AA9" w:rsidRPr="00FD211F">
        <w:rPr>
          <w:sz w:val="36"/>
          <w:szCs w:val="36"/>
          <w:rtl/>
        </w:rPr>
        <w:t>الماد</w:t>
      </w:r>
      <w:r w:rsidR="00EC7EDF" w:rsidRPr="00FD211F">
        <w:rPr>
          <w:sz w:val="36"/>
          <w:szCs w:val="36"/>
          <w:rtl/>
        </w:rPr>
        <w:t>ة</w:t>
      </w:r>
      <w:r w:rsidR="00E8128F">
        <w:rPr>
          <w:sz w:val="36"/>
          <w:szCs w:val="36"/>
          <w:rtl/>
        </w:rPr>
        <w:t xml:space="preserve"> </w:t>
      </w:r>
      <w:r w:rsidR="00C42AA9" w:rsidRPr="00FD211F">
        <w:rPr>
          <w:sz w:val="36"/>
          <w:szCs w:val="36"/>
          <w:rtl/>
        </w:rPr>
        <w:t>او</w:t>
      </w:r>
      <w:r w:rsidR="00E8128F">
        <w:rPr>
          <w:sz w:val="36"/>
          <w:szCs w:val="36"/>
          <w:rtl/>
        </w:rPr>
        <w:t xml:space="preserve"> </w:t>
      </w:r>
      <w:r w:rsidRPr="00FD211F">
        <w:rPr>
          <w:sz w:val="36"/>
          <w:szCs w:val="36"/>
          <w:rtl/>
        </w:rPr>
        <w:t>من</w:t>
      </w:r>
      <w:r w:rsidR="00E8128F">
        <w:rPr>
          <w:sz w:val="36"/>
          <w:szCs w:val="36"/>
          <w:rtl/>
        </w:rPr>
        <w:t xml:space="preserve"> </w:t>
      </w:r>
      <w:r w:rsidR="00C42AA9" w:rsidRPr="00FD211F">
        <w:rPr>
          <w:sz w:val="36"/>
          <w:szCs w:val="36"/>
          <w:rtl/>
        </w:rPr>
        <w:t>الدلال</w:t>
      </w:r>
      <w:r w:rsidR="00EC7EDF" w:rsidRPr="00FD211F">
        <w:rPr>
          <w:sz w:val="36"/>
          <w:szCs w:val="36"/>
          <w:rtl/>
        </w:rPr>
        <w:t>ة</w:t>
      </w:r>
      <w:r w:rsidR="00E8128F">
        <w:rPr>
          <w:sz w:val="36"/>
          <w:szCs w:val="36"/>
          <w:rtl/>
        </w:rPr>
        <w:t xml:space="preserve"> </w:t>
      </w:r>
      <w:r w:rsidR="00C42AA9" w:rsidRPr="00FD211F">
        <w:rPr>
          <w:sz w:val="36"/>
          <w:szCs w:val="36"/>
          <w:rtl/>
        </w:rPr>
        <w:t>الالتزامي</w:t>
      </w:r>
      <w:r w:rsidR="00EC7EDF" w:rsidRPr="00FD211F">
        <w:rPr>
          <w:sz w:val="36"/>
          <w:szCs w:val="36"/>
          <w:rtl/>
        </w:rPr>
        <w:t>ة</w:t>
      </w:r>
      <w:r w:rsidR="00E8128F">
        <w:rPr>
          <w:sz w:val="36"/>
          <w:szCs w:val="36"/>
          <w:rtl/>
        </w:rPr>
        <w:t xml:space="preserve"> </w:t>
      </w:r>
      <w:r w:rsidR="00C42AA9" w:rsidRPr="00FD211F">
        <w:rPr>
          <w:sz w:val="36"/>
          <w:szCs w:val="36"/>
          <w:rtl/>
        </w:rPr>
        <w:t>لخطاب</w:t>
      </w:r>
      <w:r w:rsidR="00E8128F">
        <w:rPr>
          <w:sz w:val="36"/>
          <w:szCs w:val="36"/>
          <w:rtl/>
        </w:rPr>
        <w:t xml:space="preserve"> </w:t>
      </w:r>
      <w:r w:rsidR="00C42AA9" w:rsidRPr="00FD211F">
        <w:rPr>
          <w:sz w:val="36"/>
          <w:szCs w:val="36"/>
          <w:rtl/>
        </w:rPr>
        <w:t>"صل"</w:t>
      </w:r>
      <w:r w:rsidR="00E8128F">
        <w:rPr>
          <w:sz w:val="36"/>
          <w:szCs w:val="36"/>
          <w:rtl/>
        </w:rPr>
        <w:t xml:space="preserve"> </w:t>
      </w:r>
      <w:r w:rsidR="00763372" w:rsidRPr="00FD211F">
        <w:rPr>
          <w:sz w:val="36"/>
          <w:szCs w:val="36"/>
          <w:rtl/>
        </w:rPr>
        <w:t>بعد</w:t>
      </w:r>
      <w:r w:rsidR="00E8128F">
        <w:rPr>
          <w:sz w:val="36"/>
          <w:szCs w:val="36"/>
          <w:rtl/>
        </w:rPr>
        <w:t xml:space="preserve"> </w:t>
      </w:r>
      <w:r w:rsidR="00763372" w:rsidRPr="00FD211F">
        <w:rPr>
          <w:sz w:val="36"/>
          <w:szCs w:val="36"/>
          <w:rtl/>
        </w:rPr>
        <w:t>سقوط</w:t>
      </w:r>
      <w:r w:rsidR="00E8128F">
        <w:rPr>
          <w:sz w:val="36"/>
          <w:szCs w:val="36"/>
          <w:rtl/>
        </w:rPr>
        <w:t xml:space="preserve"> </w:t>
      </w:r>
      <w:r w:rsidR="001B3112" w:rsidRPr="00FD211F">
        <w:rPr>
          <w:sz w:val="36"/>
          <w:szCs w:val="36"/>
          <w:rtl/>
        </w:rPr>
        <w:t>الأمر</w:t>
      </w:r>
      <w:r w:rsidR="00603323" w:rsidRPr="00FD211F">
        <w:rPr>
          <w:sz w:val="36"/>
          <w:szCs w:val="36"/>
          <w:rtl/>
        </w:rPr>
        <w:t>،</w:t>
      </w:r>
      <w:r w:rsidR="00E8128F">
        <w:rPr>
          <w:sz w:val="36"/>
          <w:szCs w:val="36"/>
          <w:rtl/>
        </w:rPr>
        <w:t xml:space="preserve"> </w:t>
      </w:r>
      <w:r w:rsidR="006128D6" w:rsidRPr="00FD211F">
        <w:rPr>
          <w:sz w:val="36"/>
          <w:szCs w:val="36"/>
          <w:rtl/>
        </w:rPr>
        <w:t>فانه</w:t>
      </w:r>
      <w:r w:rsidR="00E8128F">
        <w:rPr>
          <w:sz w:val="36"/>
          <w:szCs w:val="36"/>
          <w:rtl/>
        </w:rPr>
        <w:t xml:space="preserve"> </w:t>
      </w:r>
      <w:r w:rsidR="006128D6" w:rsidRPr="00FD211F">
        <w:rPr>
          <w:sz w:val="36"/>
          <w:szCs w:val="36"/>
          <w:rtl/>
        </w:rPr>
        <w:t>لو</w:t>
      </w:r>
      <w:r w:rsidR="00E8128F">
        <w:rPr>
          <w:sz w:val="36"/>
          <w:szCs w:val="36"/>
          <w:rtl/>
        </w:rPr>
        <w:t xml:space="preserve"> </w:t>
      </w:r>
      <w:r w:rsidR="008D7B3D" w:rsidRPr="00FD211F">
        <w:rPr>
          <w:sz w:val="36"/>
          <w:szCs w:val="36"/>
          <w:rtl/>
        </w:rPr>
        <w:t>لم‌</w:t>
      </w:r>
      <w:r w:rsidR="006128D6" w:rsidRPr="00FD211F">
        <w:rPr>
          <w:sz w:val="36"/>
          <w:szCs w:val="36"/>
          <w:rtl/>
        </w:rPr>
        <w:t>يمكن</w:t>
      </w:r>
      <w:r w:rsidR="00E8128F">
        <w:rPr>
          <w:sz w:val="36"/>
          <w:szCs w:val="36"/>
          <w:rtl/>
        </w:rPr>
        <w:t xml:space="preserve"> </w:t>
      </w:r>
      <w:r w:rsidR="006128D6" w:rsidRPr="00FD211F">
        <w:rPr>
          <w:sz w:val="36"/>
          <w:szCs w:val="36"/>
          <w:rtl/>
        </w:rPr>
        <w:t>أي</w:t>
      </w:r>
      <w:r w:rsidR="00E8128F">
        <w:rPr>
          <w:sz w:val="36"/>
          <w:szCs w:val="36"/>
          <w:rtl/>
        </w:rPr>
        <w:t xml:space="preserve"> </w:t>
      </w:r>
      <w:r w:rsidR="006128D6" w:rsidRPr="00FD211F">
        <w:rPr>
          <w:sz w:val="36"/>
          <w:szCs w:val="36"/>
          <w:rtl/>
        </w:rPr>
        <w:t>من</w:t>
      </w:r>
      <w:r w:rsidR="00E8128F">
        <w:rPr>
          <w:sz w:val="36"/>
          <w:szCs w:val="36"/>
          <w:rtl/>
        </w:rPr>
        <w:t xml:space="preserve"> </w:t>
      </w:r>
      <w:r w:rsidR="006128D6" w:rsidRPr="00FD211F">
        <w:rPr>
          <w:sz w:val="36"/>
          <w:szCs w:val="36"/>
          <w:rtl/>
        </w:rPr>
        <w:t>ذلك</w:t>
      </w:r>
      <w:r w:rsidR="00E8128F">
        <w:rPr>
          <w:sz w:val="36"/>
          <w:szCs w:val="36"/>
          <w:rtl/>
        </w:rPr>
        <w:t xml:space="preserve"> </w:t>
      </w:r>
      <w:r w:rsidR="008D7B3D" w:rsidRPr="00FD211F">
        <w:rPr>
          <w:sz w:val="36"/>
          <w:szCs w:val="36"/>
          <w:rtl/>
        </w:rPr>
        <w:t>لم‌</w:t>
      </w:r>
      <w:r w:rsidR="006128D6" w:rsidRPr="00FD211F">
        <w:rPr>
          <w:sz w:val="36"/>
          <w:szCs w:val="36"/>
          <w:rtl/>
        </w:rPr>
        <w:t>يمكن</w:t>
      </w:r>
      <w:r w:rsidR="00E8128F">
        <w:rPr>
          <w:sz w:val="36"/>
          <w:szCs w:val="36"/>
          <w:rtl/>
        </w:rPr>
        <w:t xml:space="preserve"> </w:t>
      </w:r>
      <w:r w:rsidR="006128D6" w:rsidRPr="00FD211F">
        <w:rPr>
          <w:sz w:val="36"/>
          <w:szCs w:val="36"/>
          <w:rtl/>
        </w:rPr>
        <w:t>القول</w:t>
      </w:r>
      <w:r w:rsidR="00E8128F">
        <w:rPr>
          <w:sz w:val="36"/>
          <w:szCs w:val="36"/>
          <w:rtl/>
        </w:rPr>
        <w:t xml:space="preserve"> </w:t>
      </w:r>
      <w:r w:rsidR="006128D6" w:rsidRPr="00FD211F">
        <w:rPr>
          <w:sz w:val="36"/>
          <w:szCs w:val="36"/>
          <w:rtl/>
        </w:rPr>
        <w:t>بصح</w:t>
      </w:r>
      <w:r w:rsidR="00EC7EDF" w:rsidRPr="00FD211F">
        <w:rPr>
          <w:sz w:val="36"/>
          <w:szCs w:val="36"/>
          <w:rtl/>
        </w:rPr>
        <w:t>ة</w:t>
      </w:r>
      <w:r w:rsidR="00E8128F">
        <w:rPr>
          <w:sz w:val="36"/>
          <w:szCs w:val="36"/>
          <w:rtl/>
        </w:rPr>
        <w:t xml:space="preserve"> </w:t>
      </w:r>
      <w:r w:rsidR="006128D6" w:rsidRPr="00FD211F">
        <w:rPr>
          <w:sz w:val="36"/>
          <w:szCs w:val="36"/>
          <w:rtl/>
        </w:rPr>
        <w:t>هذه</w:t>
      </w:r>
      <w:r w:rsidR="00E8128F">
        <w:rPr>
          <w:sz w:val="36"/>
          <w:szCs w:val="36"/>
          <w:rtl/>
        </w:rPr>
        <w:t xml:space="preserve"> </w:t>
      </w:r>
      <w:r w:rsidR="006128D6" w:rsidRPr="00FD211F">
        <w:rPr>
          <w:sz w:val="36"/>
          <w:szCs w:val="36"/>
          <w:rtl/>
        </w:rPr>
        <w:t>الصلا</w:t>
      </w:r>
      <w:r w:rsidR="00EC7EDF" w:rsidRPr="00FD211F">
        <w:rPr>
          <w:sz w:val="36"/>
          <w:szCs w:val="36"/>
          <w:rtl/>
        </w:rPr>
        <w:t>ة</w:t>
      </w:r>
      <w:r w:rsidR="00A61BAE" w:rsidRPr="00FD211F">
        <w:rPr>
          <w:sz w:val="36"/>
          <w:szCs w:val="36"/>
          <w:rtl/>
        </w:rPr>
        <w:t>.</w:t>
      </w:r>
    </w:p>
    <w:p w14:paraId="4109B503" w14:textId="77777777" w:rsidR="00C42AA9" w:rsidRPr="00FD211F" w:rsidRDefault="00B75B06" w:rsidP="009C58C8">
      <w:pPr>
        <w:ind w:left="0" w:firstLine="227"/>
        <w:jc w:val="both"/>
        <w:rPr>
          <w:sz w:val="36"/>
          <w:szCs w:val="36"/>
          <w:rtl/>
        </w:rPr>
      </w:pPr>
      <w:r w:rsidRPr="00FD211F">
        <w:rPr>
          <w:sz w:val="36"/>
          <w:szCs w:val="36"/>
          <w:rtl/>
        </w:rPr>
        <w:t>2-</w:t>
      </w:r>
      <w:r w:rsidR="00E8128F">
        <w:rPr>
          <w:sz w:val="36"/>
          <w:szCs w:val="36"/>
          <w:rtl/>
        </w:rPr>
        <w:t xml:space="preserve"> </w:t>
      </w:r>
      <w:r w:rsidR="00857C60" w:rsidRPr="00FD211F">
        <w:rPr>
          <w:sz w:val="36"/>
          <w:szCs w:val="36"/>
          <w:rtl/>
        </w:rPr>
        <w:t>ان</w:t>
      </w:r>
      <w:r w:rsidR="00E8128F">
        <w:rPr>
          <w:sz w:val="36"/>
          <w:szCs w:val="36"/>
          <w:rtl/>
        </w:rPr>
        <w:t xml:space="preserve"> </w:t>
      </w:r>
      <w:r w:rsidR="001A5E03" w:rsidRPr="00FD211F">
        <w:rPr>
          <w:sz w:val="36"/>
          <w:szCs w:val="36"/>
          <w:rtl/>
        </w:rPr>
        <w:t>جعل</w:t>
      </w:r>
      <w:r w:rsidR="00E8128F">
        <w:rPr>
          <w:sz w:val="36"/>
          <w:szCs w:val="36"/>
          <w:rtl/>
        </w:rPr>
        <w:t xml:space="preserve"> </w:t>
      </w:r>
      <w:r w:rsidR="001A5E03" w:rsidRPr="00FD211F">
        <w:rPr>
          <w:sz w:val="36"/>
          <w:szCs w:val="36"/>
          <w:rtl/>
        </w:rPr>
        <w:t>ثمر</w:t>
      </w:r>
      <w:r w:rsidR="00EC7EDF" w:rsidRPr="00FD211F">
        <w:rPr>
          <w:sz w:val="36"/>
          <w:szCs w:val="36"/>
          <w:rtl/>
        </w:rPr>
        <w:t>ة</w:t>
      </w:r>
      <w:r w:rsidR="00E8128F">
        <w:rPr>
          <w:sz w:val="36"/>
          <w:szCs w:val="36"/>
          <w:rtl/>
        </w:rPr>
        <w:t xml:space="preserve"> </w:t>
      </w:r>
      <w:r w:rsidR="00857C60" w:rsidRPr="00FD211F">
        <w:rPr>
          <w:sz w:val="36"/>
          <w:szCs w:val="36"/>
          <w:rtl/>
        </w:rPr>
        <w:t>بحث</w:t>
      </w:r>
      <w:r w:rsidR="00E8128F">
        <w:rPr>
          <w:sz w:val="36"/>
          <w:szCs w:val="36"/>
          <w:rtl/>
        </w:rPr>
        <w:t xml:space="preserve"> </w:t>
      </w:r>
      <w:r w:rsidR="00857C60" w:rsidRPr="00FD211F">
        <w:rPr>
          <w:sz w:val="36"/>
          <w:szCs w:val="36"/>
          <w:rtl/>
        </w:rPr>
        <w:t>اقتضاء</w:t>
      </w:r>
      <w:r w:rsidR="00E8128F">
        <w:rPr>
          <w:sz w:val="36"/>
          <w:szCs w:val="36"/>
          <w:rtl/>
        </w:rPr>
        <w:t xml:space="preserve"> </w:t>
      </w:r>
      <w:r w:rsidR="006128D6" w:rsidRPr="00FD211F">
        <w:rPr>
          <w:sz w:val="36"/>
          <w:szCs w:val="36"/>
          <w:rtl/>
        </w:rPr>
        <w:t>الأمر</w:t>
      </w:r>
      <w:r w:rsidR="00E8128F">
        <w:rPr>
          <w:sz w:val="36"/>
          <w:szCs w:val="36"/>
          <w:rtl/>
        </w:rPr>
        <w:t xml:space="preserve"> </w:t>
      </w:r>
      <w:r w:rsidR="006128D6" w:rsidRPr="00FD211F">
        <w:rPr>
          <w:sz w:val="36"/>
          <w:szCs w:val="36"/>
          <w:rtl/>
        </w:rPr>
        <w:t>بال</w:t>
      </w:r>
      <w:r w:rsidR="008D7B3D" w:rsidRPr="00FD211F">
        <w:rPr>
          <w:sz w:val="36"/>
          <w:szCs w:val="36"/>
          <w:rtl/>
        </w:rPr>
        <w:t>شيء</w:t>
      </w:r>
      <w:r w:rsidR="00E8128F">
        <w:rPr>
          <w:sz w:val="36"/>
          <w:szCs w:val="36"/>
          <w:rtl/>
        </w:rPr>
        <w:t xml:space="preserve"> </w:t>
      </w:r>
      <w:r w:rsidR="006128D6" w:rsidRPr="00FD211F">
        <w:rPr>
          <w:sz w:val="36"/>
          <w:szCs w:val="36"/>
          <w:rtl/>
        </w:rPr>
        <w:t>للنهي</w:t>
      </w:r>
      <w:r w:rsidR="00E8128F">
        <w:rPr>
          <w:sz w:val="36"/>
          <w:szCs w:val="36"/>
          <w:rtl/>
        </w:rPr>
        <w:t xml:space="preserve"> </w:t>
      </w:r>
      <w:r w:rsidR="006128D6" w:rsidRPr="00FD211F">
        <w:rPr>
          <w:sz w:val="36"/>
          <w:szCs w:val="36"/>
          <w:rtl/>
        </w:rPr>
        <w:t>عن</w:t>
      </w:r>
      <w:r w:rsidR="00E8128F">
        <w:rPr>
          <w:sz w:val="36"/>
          <w:szCs w:val="36"/>
          <w:rtl/>
        </w:rPr>
        <w:t xml:space="preserve"> </w:t>
      </w:r>
      <w:r w:rsidR="006128D6" w:rsidRPr="00FD211F">
        <w:rPr>
          <w:sz w:val="36"/>
          <w:szCs w:val="36"/>
          <w:rtl/>
        </w:rPr>
        <w:t>ضده</w:t>
      </w:r>
      <w:r w:rsidR="00E8128F">
        <w:rPr>
          <w:sz w:val="36"/>
          <w:szCs w:val="36"/>
          <w:rtl/>
        </w:rPr>
        <w:t xml:space="preserve"> </w:t>
      </w:r>
      <w:r w:rsidR="001A5E03" w:rsidRPr="00FD211F">
        <w:rPr>
          <w:sz w:val="36"/>
          <w:szCs w:val="36"/>
          <w:rtl/>
        </w:rPr>
        <w:t>هي</w:t>
      </w:r>
      <w:r w:rsidR="00E8128F">
        <w:rPr>
          <w:sz w:val="36"/>
          <w:szCs w:val="36"/>
          <w:rtl/>
        </w:rPr>
        <w:t xml:space="preserve"> </w:t>
      </w:r>
      <w:r w:rsidR="001A5E03" w:rsidRPr="00FD211F">
        <w:rPr>
          <w:sz w:val="36"/>
          <w:szCs w:val="36"/>
          <w:rtl/>
        </w:rPr>
        <w:t>الحكم</w:t>
      </w:r>
      <w:r w:rsidR="00E8128F">
        <w:rPr>
          <w:sz w:val="36"/>
          <w:szCs w:val="36"/>
          <w:rtl/>
        </w:rPr>
        <w:t xml:space="preserve"> </w:t>
      </w:r>
      <w:r w:rsidR="001A5E03" w:rsidRPr="00FD211F">
        <w:rPr>
          <w:sz w:val="36"/>
          <w:szCs w:val="36"/>
          <w:rtl/>
        </w:rPr>
        <w:t>ب</w:t>
      </w:r>
      <w:r w:rsidR="00DC134A" w:rsidRPr="00FD211F">
        <w:rPr>
          <w:sz w:val="36"/>
          <w:szCs w:val="36"/>
          <w:rtl/>
        </w:rPr>
        <w:t>صح</w:t>
      </w:r>
      <w:r w:rsidR="00EC7EDF" w:rsidRPr="00FD211F">
        <w:rPr>
          <w:sz w:val="36"/>
          <w:szCs w:val="36"/>
          <w:rtl/>
        </w:rPr>
        <w:t>ة</w:t>
      </w:r>
      <w:r w:rsidR="00E8128F">
        <w:rPr>
          <w:sz w:val="36"/>
          <w:szCs w:val="36"/>
          <w:rtl/>
        </w:rPr>
        <w:t xml:space="preserve"> </w:t>
      </w:r>
      <w:r w:rsidR="006128D6" w:rsidRPr="00FD211F">
        <w:rPr>
          <w:sz w:val="36"/>
          <w:szCs w:val="36"/>
          <w:rtl/>
        </w:rPr>
        <w:t>الصلا</w:t>
      </w:r>
      <w:r w:rsidR="00EC7EDF" w:rsidRPr="00FD211F">
        <w:rPr>
          <w:sz w:val="36"/>
          <w:szCs w:val="36"/>
          <w:rtl/>
        </w:rPr>
        <w:t>ة</w:t>
      </w:r>
      <w:r w:rsidR="00E8128F">
        <w:rPr>
          <w:sz w:val="36"/>
          <w:szCs w:val="36"/>
          <w:rtl/>
        </w:rPr>
        <w:t xml:space="preserve"> </w:t>
      </w:r>
      <w:r w:rsidR="006128D6" w:rsidRPr="00FD211F">
        <w:rPr>
          <w:sz w:val="36"/>
          <w:szCs w:val="36"/>
          <w:rtl/>
        </w:rPr>
        <w:t>المنافي</w:t>
      </w:r>
      <w:r w:rsidR="00EC7EDF" w:rsidRPr="00FD211F">
        <w:rPr>
          <w:sz w:val="36"/>
          <w:szCs w:val="36"/>
          <w:rtl/>
        </w:rPr>
        <w:t>ة</w:t>
      </w:r>
      <w:r w:rsidR="00E8128F">
        <w:rPr>
          <w:sz w:val="36"/>
          <w:szCs w:val="36"/>
          <w:rtl/>
        </w:rPr>
        <w:t xml:space="preserve"> </w:t>
      </w:r>
      <w:r w:rsidR="006128D6" w:rsidRPr="00FD211F">
        <w:rPr>
          <w:sz w:val="36"/>
          <w:szCs w:val="36"/>
          <w:rtl/>
        </w:rPr>
        <w:t>للواجب</w:t>
      </w:r>
      <w:r w:rsidR="00E8128F">
        <w:rPr>
          <w:sz w:val="36"/>
          <w:szCs w:val="36"/>
          <w:rtl/>
        </w:rPr>
        <w:t xml:space="preserve"> </w:t>
      </w:r>
      <w:r w:rsidR="006128D6" w:rsidRPr="00FD211F">
        <w:rPr>
          <w:sz w:val="36"/>
          <w:szCs w:val="36"/>
          <w:rtl/>
        </w:rPr>
        <w:t>المضيق</w:t>
      </w:r>
      <w:r w:rsidR="00E8128F">
        <w:rPr>
          <w:sz w:val="36"/>
          <w:szCs w:val="36"/>
          <w:rtl/>
        </w:rPr>
        <w:t xml:space="preserve"> </w:t>
      </w:r>
      <w:r w:rsidR="00CC04AB" w:rsidRPr="00FD211F">
        <w:rPr>
          <w:sz w:val="36"/>
          <w:szCs w:val="36"/>
          <w:rtl/>
        </w:rPr>
        <w:t>كإزال</w:t>
      </w:r>
      <w:r w:rsidR="00EC7EDF" w:rsidRPr="00FD211F">
        <w:rPr>
          <w:sz w:val="36"/>
          <w:szCs w:val="36"/>
          <w:rtl/>
        </w:rPr>
        <w:t>ة</w:t>
      </w:r>
      <w:r w:rsidR="00E8128F">
        <w:rPr>
          <w:sz w:val="36"/>
          <w:szCs w:val="36"/>
          <w:rtl/>
        </w:rPr>
        <w:t xml:space="preserve"> </w:t>
      </w:r>
      <w:r w:rsidR="00CC04AB" w:rsidRPr="00FD211F">
        <w:rPr>
          <w:sz w:val="36"/>
          <w:szCs w:val="36"/>
          <w:rtl/>
        </w:rPr>
        <w:t>النجاس</w:t>
      </w:r>
      <w:r w:rsidR="00EC7EDF" w:rsidRPr="00FD211F">
        <w:rPr>
          <w:sz w:val="36"/>
          <w:szCs w:val="36"/>
          <w:rtl/>
        </w:rPr>
        <w:t>ة</w:t>
      </w:r>
      <w:r w:rsidR="00E8128F">
        <w:rPr>
          <w:sz w:val="36"/>
          <w:szCs w:val="36"/>
          <w:rtl/>
        </w:rPr>
        <w:t xml:space="preserve"> </w:t>
      </w:r>
      <w:r w:rsidR="00CC04AB" w:rsidRPr="00FD211F">
        <w:rPr>
          <w:sz w:val="36"/>
          <w:szCs w:val="36"/>
          <w:rtl/>
        </w:rPr>
        <w:t>عن</w:t>
      </w:r>
      <w:r w:rsidR="00E8128F">
        <w:rPr>
          <w:sz w:val="36"/>
          <w:szCs w:val="36"/>
          <w:rtl/>
        </w:rPr>
        <w:t xml:space="preserve"> </w:t>
      </w:r>
      <w:r w:rsidR="00CC04AB" w:rsidRPr="00FD211F">
        <w:rPr>
          <w:sz w:val="36"/>
          <w:szCs w:val="36"/>
          <w:rtl/>
        </w:rPr>
        <w:t>المسجد</w:t>
      </w:r>
      <w:r w:rsidR="00603323" w:rsidRPr="00FD211F">
        <w:rPr>
          <w:sz w:val="36"/>
          <w:szCs w:val="36"/>
          <w:rtl/>
        </w:rPr>
        <w:t>،</w:t>
      </w:r>
      <w:r w:rsidR="00E8128F">
        <w:rPr>
          <w:sz w:val="36"/>
          <w:szCs w:val="36"/>
          <w:rtl/>
        </w:rPr>
        <w:t xml:space="preserve"> </w:t>
      </w:r>
      <w:r w:rsidR="006128D6" w:rsidRPr="00FD211F">
        <w:rPr>
          <w:sz w:val="36"/>
          <w:szCs w:val="36"/>
          <w:rtl/>
        </w:rPr>
        <w:t>بناء</w:t>
      </w:r>
      <w:r w:rsidR="00E8128F">
        <w:rPr>
          <w:sz w:val="36"/>
          <w:szCs w:val="36"/>
          <w:rtl/>
        </w:rPr>
        <w:t xml:space="preserve"> </w:t>
      </w:r>
      <w:r w:rsidR="006128D6" w:rsidRPr="00FD211F">
        <w:rPr>
          <w:sz w:val="36"/>
          <w:szCs w:val="36"/>
          <w:rtl/>
        </w:rPr>
        <w:t>على</w:t>
      </w:r>
      <w:r w:rsidR="00E8128F">
        <w:rPr>
          <w:sz w:val="36"/>
          <w:szCs w:val="36"/>
          <w:rtl/>
        </w:rPr>
        <w:t xml:space="preserve"> </w:t>
      </w:r>
      <w:r w:rsidR="00DC134A" w:rsidRPr="00FD211F">
        <w:rPr>
          <w:sz w:val="36"/>
          <w:szCs w:val="36"/>
          <w:rtl/>
        </w:rPr>
        <w:t>عدم</w:t>
      </w:r>
      <w:r w:rsidR="00E8128F">
        <w:rPr>
          <w:sz w:val="36"/>
          <w:szCs w:val="36"/>
          <w:rtl/>
        </w:rPr>
        <w:t xml:space="preserve"> </w:t>
      </w:r>
      <w:r w:rsidR="00DC134A" w:rsidRPr="00FD211F">
        <w:rPr>
          <w:sz w:val="36"/>
          <w:szCs w:val="36"/>
          <w:rtl/>
        </w:rPr>
        <w:t>الاقتضاء</w:t>
      </w:r>
      <w:r w:rsidR="00E8128F">
        <w:rPr>
          <w:sz w:val="36"/>
          <w:szCs w:val="36"/>
          <w:rtl/>
        </w:rPr>
        <w:t xml:space="preserve"> </w:t>
      </w:r>
      <w:r w:rsidR="00DC134A" w:rsidRPr="00FD211F">
        <w:rPr>
          <w:sz w:val="36"/>
          <w:szCs w:val="36"/>
          <w:rtl/>
        </w:rPr>
        <w:t>و</w:t>
      </w:r>
      <w:r w:rsidR="001A5E03" w:rsidRPr="00FD211F">
        <w:rPr>
          <w:sz w:val="36"/>
          <w:szCs w:val="36"/>
          <w:rtl/>
        </w:rPr>
        <w:t>الحكم</w:t>
      </w:r>
      <w:r w:rsidR="00E8128F">
        <w:rPr>
          <w:sz w:val="36"/>
          <w:szCs w:val="36"/>
          <w:rtl/>
        </w:rPr>
        <w:t xml:space="preserve"> </w:t>
      </w:r>
      <w:r w:rsidR="001A5E03" w:rsidRPr="00FD211F">
        <w:rPr>
          <w:sz w:val="36"/>
          <w:szCs w:val="36"/>
          <w:rtl/>
        </w:rPr>
        <w:t>ب</w:t>
      </w:r>
      <w:r w:rsidR="00DC134A" w:rsidRPr="00FD211F">
        <w:rPr>
          <w:sz w:val="36"/>
          <w:szCs w:val="36"/>
          <w:rtl/>
        </w:rPr>
        <w:t>فسادها</w:t>
      </w:r>
      <w:r w:rsidR="00E8128F">
        <w:rPr>
          <w:sz w:val="36"/>
          <w:szCs w:val="36"/>
          <w:rtl/>
        </w:rPr>
        <w:t xml:space="preserve"> </w:t>
      </w:r>
      <w:r w:rsidR="00DC134A" w:rsidRPr="00FD211F">
        <w:rPr>
          <w:sz w:val="36"/>
          <w:szCs w:val="36"/>
          <w:rtl/>
        </w:rPr>
        <w:t>بناء</w:t>
      </w:r>
      <w:r w:rsidR="00E8128F">
        <w:rPr>
          <w:sz w:val="36"/>
          <w:szCs w:val="36"/>
          <w:rtl/>
        </w:rPr>
        <w:t xml:space="preserve"> </w:t>
      </w:r>
      <w:r w:rsidR="00DC134A" w:rsidRPr="00FD211F">
        <w:rPr>
          <w:sz w:val="36"/>
          <w:szCs w:val="36"/>
          <w:rtl/>
        </w:rPr>
        <w:t>على</w:t>
      </w:r>
      <w:r w:rsidR="00E8128F">
        <w:rPr>
          <w:sz w:val="36"/>
          <w:szCs w:val="36"/>
          <w:rtl/>
        </w:rPr>
        <w:t xml:space="preserve"> </w:t>
      </w:r>
      <w:r w:rsidR="006128D6" w:rsidRPr="00FD211F">
        <w:rPr>
          <w:sz w:val="36"/>
          <w:szCs w:val="36"/>
          <w:rtl/>
        </w:rPr>
        <w:t>الاقتضاء</w:t>
      </w:r>
      <w:r w:rsidR="00E8128F">
        <w:rPr>
          <w:sz w:val="36"/>
          <w:szCs w:val="36"/>
          <w:rtl/>
        </w:rPr>
        <w:t xml:space="preserve"> </w:t>
      </w:r>
      <w:r w:rsidR="00E17291" w:rsidRPr="00FD211F">
        <w:rPr>
          <w:sz w:val="36"/>
          <w:szCs w:val="36"/>
          <w:rtl/>
        </w:rPr>
        <w:t>-</w:t>
      </w:r>
      <w:r w:rsidR="001A5E03" w:rsidRPr="00FD211F">
        <w:rPr>
          <w:sz w:val="36"/>
          <w:szCs w:val="36"/>
          <w:rtl/>
        </w:rPr>
        <w:t>بدعوى</w:t>
      </w:r>
      <w:r w:rsidR="00E8128F">
        <w:rPr>
          <w:sz w:val="36"/>
          <w:szCs w:val="36"/>
          <w:rtl/>
        </w:rPr>
        <w:t xml:space="preserve"> </w:t>
      </w:r>
      <w:r w:rsidR="001A5E03" w:rsidRPr="00FD211F">
        <w:rPr>
          <w:sz w:val="36"/>
          <w:szCs w:val="36"/>
          <w:rtl/>
        </w:rPr>
        <w:t>ان</w:t>
      </w:r>
      <w:r w:rsidR="00E8128F">
        <w:rPr>
          <w:sz w:val="36"/>
          <w:szCs w:val="36"/>
          <w:rtl/>
        </w:rPr>
        <w:t xml:space="preserve"> </w:t>
      </w:r>
      <w:r w:rsidR="006128D6" w:rsidRPr="00FD211F">
        <w:rPr>
          <w:sz w:val="36"/>
          <w:szCs w:val="36"/>
          <w:rtl/>
        </w:rPr>
        <w:t>النهي</w:t>
      </w:r>
      <w:r w:rsidR="00E8128F">
        <w:rPr>
          <w:sz w:val="36"/>
          <w:szCs w:val="36"/>
          <w:rtl/>
        </w:rPr>
        <w:t xml:space="preserve"> </w:t>
      </w:r>
      <w:r w:rsidR="006128D6" w:rsidRPr="00FD211F">
        <w:rPr>
          <w:sz w:val="36"/>
          <w:szCs w:val="36"/>
          <w:rtl/>
        </w:rPr>
        <w:t>عنها</w:t>
      </w:r>
      <w:r w:rsidR="00E8128F">
        <w:rPr>
          <w:sz w:val="36"/>
          <w:szCs w:val="36"/>
          <w:rtl/>
        </w:rPr>
        <w:t xml:space="preserve"> </w:t>
      </w:r>
      <w:r w:rsidR="006128D6" w:rsidRPr="00FD211F">
        <w:rPr>
          <w:sz w:val="36"/>
          <w:szCs w:val="36"/>
          <w:rtl/>
        </w:rPr>
        <w:t>يكون</w:t>
      </w:r>
      <w:r w:rsidR="00E8128F">
        <w:rPr>
          <w:sz w:val="36"/>
          <w:szCs w:val="36"/>
          <w:rtl/>
        </w:rPr>
        <w:t xml:space="preserve"> </w:t>
      </w:r>
      <w:r w:rsidR="006128D6" w:rsidRPr="00FD211F">
        <w:rPr>
          <w:sz w:val="36"/>
          <w:szCs w:val="36"/>
          <w:rtl/>
        </w:rPr>
        <w:t>مقتضيا</w:t>
      </w:r>
      <w:r w:rsidR="00E8128F">
        <w:rPr>
          <w:sz w:val="36"/>
          <w:szCs w:val="36"/>
          <w:rtl/>
        </w:rPr>
        <w:t xml:space="preserve"> </w:t>
      </w:r>
      <w:r w:rsidR="006128D6" w:rsidRPr="00FD211F">
        <w:rPr>
          <w:sz w:val="36"/>
          <w:szCs w:val="36"/>
          <w:rtl/>
        </w:rPr>
        <w:t>لفسادها</w:t>
      </w:r>
      <w:r w:rsidR="00E17291" w:rsidRPr="00FD211F">
        <w:rPr>
          <w:sz w:val="36"/>
          <w:szCs w:val="36"/>
          <w:rtl/>
        </w:rPr>
        <w:t>-</w:t>
      </w:r>
      <w:r w:rsidR="00E8128F">
        <w:rPr>
          <w:sz w:val="36"/>
          <w:szCs w:val="36"/>
          <w:rtl/>
        </w:rPr>
        <w:t xml:space="preserve"> </w:t>
      </w:r>
      <w:r w:rsidR="001A5E03" w:rsidRPr="00FD211F">
        <w:rPr>
          <w:sz w:val="36"/>
          <w:szCs w:val="36"/>
          <w:rtl/>
        </w:rPr>
        <w:t>لايتم</w:t>
      </w:r>
      <w:r w:rsidR="00E8128F">
        <w:rPr>
          <w:sz w:val="36"/>
          <w:szCs w:val="36"/>
          <w:rtl/>
        </w:rPr>
        <w:t xml:space="preserve"> </w:t>
      </w:r>
      <w:r w:rsidR="001A5E03" w:rsidRPr="00FD211F">
        <w:rPr>
          <w:sz w:val="36"/>
          <w:szCs w:val="36"/>
          <w:rtl/>
        </w:rPr>
        <w:t>فنيا</w:t>
      </w:r>
      <w:r w:rsidR="00603323" w:rsidRPr="00FD211F">
        <w:rPr>
          <w:sz w:val="36"/>
          <w:szCs w:val="36"/>
          <w:rtl/>
        </w:rPr>
        <w:t>،</w:t>
      </w:r>
      <w:r w:rsidR="00E8128F">
        <w:rPr>
          <w:sz w:val="36"/>
          <w:szCs w:val="36"/>
          <w:rtl/>
        </w:rPr>
        <w:t xml:space="preserve"> </w:t>
      </w:r>
      <w:r w:rsidR="001A5E03" w:rsidRPr="00FD211F">
        <w:rPr>
          <w:sz w:val="36"/>
          <w:szCs w:val="36"/>
          <w:rtl/>
        </w:rPr>
        <w:t>ل</w:t>
      </w:r>
      <w:r w:rsidR="00857C60" w:rsidRPr="00FD211F">
        <w:rPr>
          <w:sz w:val="36"/>
          <w:szCs w:val="36"/>
          <w:rtl/>
        </w:rPr>
        <w:t>ان</w:t>
      </w:r>
      <w:r w:rsidR="001A5E03" w:rsidRPr="00FD211F">
        <w:rPr>
          <w:sz w:val="36"/>
          <w:szCs w:val="36"/>
          <w:rtl/>
        </w:rPr>
        <w:t>ه</w:t>
      </w:r>
      <w:r w:rsidR="00E8128F">
        <w:rPr>
          <w:sz w:val="36"/>
          <w:szCs w:val="36"/>
          <w:rtl/>
        </w:rPr>
        <w:t xml:space="preserve"> </w:t>
      </w:r>
      <w:r w:rsidR="001A5E03" w:rsidRPr="00FD211F">
        <w:rPr>
          <w:sz w:val="36"/>
          <w:szCs w:val="36"/>
          <w:rtl/>
        </w:rPr>
        <w:t>حتى</w:t>
      </w:r>
      <w:r w:rsidR="00E8128F">
        <w:rPr>
          <w:sz w:val="36"/>
          <w:szCs w:val="36"/>
          <w:rtl/>
        </w:rPr>
        <w:t xml:space="preserve"> </w:t>
      </w:r>
      <w:r w:rsidR="001A5E03" w:rsidRPr="00FD211F">
        <w:rPr>
          <w:sz w:val="36"/>
          <w:szCs w:val="36"/>
          <w:rtl/>
        </w:rPr>
        <w:t>لو</w:t>
      </w:r>
      <w:r w:rsidR="00E8128F">
        <w:rPr>
          <w:sz w:val="36"/>
          <w:szCs w:val="36"/>
          <w:rtl/>
        </w:rPr>
        <w:t xml:space="preserve"> </w:t>
      </w:r>
      <w:r w:rsidR="001A5E03" w:rsidRPr="00FD211F">
        <w:rPr>
          <w:sz w:val="36"/>
          <w:szCs w:val="36"/>
          <w:rtl/>
        </w:rPr>
        <w:lastRenderedPageBreak/>
        <w:t>بني</w:t>
      </w:r>
      <w:r w:rsidR="00E8128F">
        <w:rPr>
          <w:sz w:val="36"/>
          <w:szCs w:val="36"/>
          <w:rtl/>
        </w:rPr>
        <w:t xml:space="preserve"> </w:t>
      </w:r>
      <w:r w:rsidR="001A5E03" w:rsidRPr="00FD211F">
        <w:rPr>
          <w:sz w:val="36"/>
          <w:szCs w:val="36"/>
          <w:rtl/>
        </w:rPr>
        <w:t>على</w:t>
      </w:r>
      <w:r w:rsidR="00E8128F">
        <w:rPr>
          <w:sz w:val="36"/>
          <w:szCs w:val="36"/>
          <w:rtl/>
        </w:rPr>
        <w:t xml:space="preserve"> </w:t>
      </w:r>
      <w:r w:rsidR="001A5E03" w:rsidRPr="00FD211F">
        <w:rPr>
          <w:sz w:val="36"/>
          <w:szCs w:val="36"/>
          <w:rtl/>
        </w:rPr>
        <w:t>اقتضاء</w:t>
      </w:r>
      <w:r w:rsidR="00E8128F">
        <w:rPr>
          <w:sz w:val="36"/>
          <w:szCs w:val="36"/>
          <w:rtl/>
        </w:rPr>
        <w:t xml:space="preserve"> </w:t>
      </w:r>
      <w:r w:rsidR="001B3112" w:rsidRPr="00FD211F">
        <w:rPr>
          <w:sz w:val="36"/>
          <w:szCs w:val="36"/>
          <w:rtl/>
        </w:rPr>
        <w:t>الأمر</w:t>
      </w:r>
      <w:r w:rsidR="00E8128F">
        <w:rPr>
          <w:sz w:val="36"/>
          <w:szCs w:val="36"/>
          <w:rtl/>
        </w:rPr>
        <w:t xml:space="preserve"> </w:t>
      </w:r>
      <w:r w:rsidR="001A5E03" w:rsidRPr="00FD211F">
        <w:rPr>
          <w:sz w:val="36"/>
          <w:szCs w:val="36"/>
          <w:rtl/>
        </w:rPr>
        <w:t>بال</w:t>
      </w:r>
      <w:r w:rsidR="008D7B3D" w:rsidRPr="00FD211F">
        <w:rPr>
          <w:sz w:val="36"/>
          <w:szCs w:val="36"/>
          <w:rtl/>
        </w:rPr>
        <w:t>شيء</w:t>
      </w:r>
      <w:r w:rsidR="00E8128F">
        <w:rPr>
          <w:sz w:val="36"/>
          <w:szCs w:val="36"/>
          <w:rtl/>
        </w:rPr>
        <w:t xml:space="preserve"> </w:t>
      </w:r>
      <w:r w:rsidR="001A5E03" w:rsidRPr="00FD211F">
        <w:rPr>
          <w:sz w:val="36"/>
          <w:szCs w:val="36"/>
          <w:rtl/>
        </w:rPr>
        <w:t>للنهي</w:t>
      </w:r>
      <w:r w:rsidR="00E8128F">
        <w:rPr>
          <w:sz w:val="36"/>
          <w:szCs w:val="36"/>
          <w:rtl/>
        </w:rPr>
        <w:t xml:space="preserve"> </w:t>
      </w:r>
      <w:r w:rsidR="001A5E03" w:rsidRPr="00FD211F">
        <w:rPr>
          <w:sz w:val="36"/>
          <w:szCs w:val="36"/>
          <w:rtl/>
        </w:rPr>
        <w:t>عن</w:t>
      </w:r>
      <w:r w:rsidR="00E8128F">
        <w:rPr>
          <w:sz w:val="36"/>
          <w:szCs w:val="36"/>
          <w:rtl/>
        </w:rPr>
        <w:t xml:space="preserve"> </w:t>
      </w:r>
      <w:r w:rsidR="001A5E03" w:rsidRPr="00FD211F">
        <w:rPr>
          <w:sz w:val="36"/>
          <w:szCs w:val="36"/>
          <w:rtl/>
        </w:rPr>
        <w:t>ضده</w:t>
      </w:r>
      <w:r w:rsidR="00E8128F">
        <w:rPr>
          <w:sz w:val="36"/>
          <w:szCs w:val="36"/>
          <w:rtl/>
        </w:rPr>
        <w:t xml:space="preserve"> </w:t>
      </w:r>
      <w:r w:rsidR="001A5E03" w:rsidRPr="00FD211F">
        <w:rPr>
          <w:sz w:val="36"/>
          <w:szCs w:val="36"/>
          <w:rtl/>
        </w:rPr>
        <w:t>فحيث</w:t>
      </w:r>
      <w:r w:rsidR="00E8128F">
        <w:rPr>
          <w:sz w:val="36"/>
          <w:szCs w:val="36"/>
          <w:rtl/>
        </w:rPr>
        <w:t xml:space="preserve"> </w:t>
      </w:r>
      <w:r w:rsidR="001A5E03" w:rsidRPr="00FD211F">
        <w:rPr>
          <w:sz w:val="36"/>
          <w:szCs w:val="36"/>
          <w:rtl/>
        </w:rPr>
        <w:t>يكون</w:t>
      </w:r>
      <w:r w:rsidR="00E8128F">
        <w:rPr>
          <w:sz w:val="36"/>
          <w:szCs w:val="36"/>
          <w:rtl/>
        </w:rPr>
        <w:t xml:space="preserve"> </w:t>
      </w:r>
      <w:r w:rsidR="001A5E03" w:rsidRPr="00FD211F">
        <w:rPr>
          <w:sz w:val="36"/>
          <w:szCs w:val="36"/>
          <w:rtl/>
        </w:rPr>
        <w:t>هذا</w:t>
      </w:r>
      <w:r w:rsidR="00E8128F">
        <w:rPr>
          <w:sz w:val="36"/>
          <w:szCs w:val="36"/>
          <w:rtl/>
        </w:rPr>
        <w:t xml:space="preserve"> </w:t>
      </w:r>
      <w:r w:rsidR="001A5E03" w:rsidRPr="00FD211F">
        <w:rPr>
          <w:sz w:val="36"/>
          <w:szCs w:val="36"/>
          <w:rtl/>
        </w:rPr>
        <w:t>النهي</w:t>
      </w:r>
      <w:r w:rsidR="00E8128F">
        <w:rPr>
          <w:sz w:val="36"/>
          <w:szCs w:val="36"/>
          <w:rtl/>
        </w:rPr>
        <w:t xml:space="preserve"> </w:t>
      </w:r>
      <w:r w:rsidR="001A5E03" w:rsidRPr="00FD211F">
        <w:rPr>
          <w:sz w:val="36"/>
          <w:szCs w:val="36"/>
          <w:rtl/>
        </w:rPr>
        <w:t>غيريا</w:t>
      </w:r>
      <w:r w:rsidR="00E8128F">
        <w:rPr>
          <w:sz w:val="36"/>
          <w:szCs w:val="36"/>
          <w:rtl/>
        </w:rPr>
        <w:t xml:space="preserve"> </w:t>
      </w:r>
      <w:r w:rsidR="001A5E03" w:rsidRPr="00FD211F">
        <w:rPr>
          <w:sz w:val="36"/>
          <w:szCs w:val="36"/>
          <w:rtl/>
        </w:rPr>
        <w:t>ف</w:t>
      </w:r>
      <w:r w:rsidR="00857C60" w:rsidRPr="00FD211F">
        <w:rPr>
          <w:sz w:val="36"/>
          <w:szCs w:val="36"/>
          <w:rtl/>
        </w:rPr>
        <w:t>لايمكن</w:t>
      </w:r>
      <w:r w:rsidR="00E8128F">
        <w:rPr>
          <w:sz w:val="36"/>
          <w:szCs w:val="36"/>
          <w:rtl/>
        </w:rPr>
        <w:t xml:space="preserve"> </w:t>
      </w:r>
      <w:r w:rsidR="00857C60" w:rsidRPr="00FD211F">
        <w:rPr>
          <w:sz w:val="36"/>
          <w:szCs w:val="36"/>
          <w:rtl/>
        </w:rPr>
        <w:t>ان</w:t>
      </w:r>
      <w:r w:rsidR="00E8128F">
        <w:rPr>
          <w:sz w:val="36"/>
          <w:szCs w:val="36"/>
          <w:rtl/>
        </w:rPr>
        <w:t xml:space="preserve"> </w:t>
      </w:r>
      <w:r w:rsidR="00857C60" w:rsidRPr="00FD211F">
        <w:rPr>
          <w:sz w:val="36"/>
          <w:szCs w:val="36"/>
          <w:rtl/>
        </w:rPr>
        <w:t>ينقح</w:t>
      </w:r>
      <w:r w:rsidR="00E8128F">
        <w:rPr>
          <w:sz w:val="36"/>
          <w:szCs w:val="36"/>
          <w:rtl/>
        </w:rPr>
        <w:t xml:space="preserve"> </w:t>
      </w:r>
      <w:r w:rsidR="00857C60" w:rsidRPr="00FD211F">
        <w:rPr>
          <w:sz w:val="36"/>
          <w:szCs w:val="36"/>
          <w:rtl/>
        </w:rPr>
        <w:t>صغرى</w:t>
      </w:r>
      <w:r w:rsidR="00E8128F">
        <w:rPr>
          <w:sz w:val="36"/>
          <w:szCs w:val="36"/>
          <w:rtl/>
        </w:rPr>
        <w:t xml:space="preserve"> </w:t>
      </w:r>
      <w:r w:rsidR="00857C60" w:rsidRPr="00FD211F">
        <w:rPr>
          <w:sz w:val="36"/>
          <w:szCs w:val="36"/>
          <w:rtl/>
        </w:rPr>
        <w:t>مسأل</w:t>
      </w:r>
      <w:r w:rsidR="00EC7EDF" w:rsidRPr="00FD211F">
        <w:rPr>
          <w:sz w:val="36"/>
          <w:szCs w:val="36"/>
          <w:rtl/>
        </w:rPr>
        <w:t>ة</w:t>
      </w:r>
      <w:r w:rsidR="00E8128F">
        <w:rPr>
          <w:sz w:val="36"/>
          <w:szCs w:val="36"/>
          <w:rtl/>
        </w:rPr>
        <w:t xml:space="preserve"> </w:t>
      </w:r>
      <w:r w:rsidR="00857C60" w:rsidRPr="00FD211F">
        <w:rPr>
          <w:sz w:val="36"/>
          <w:szCs w:val="36"/>
          <w:rtl/>
        </w:rPr>
        <w:t>اقتضاء</w:t>
      </w:r>
      <w:r w:rsidR="00E8128F">
        <w:rPr>
          <w:sz w:val="36"/>
          <w:szCs w:val="36"/>
          <w:rtl/>
        </w:rPr>
        <w:t xml:space="preserve"> </w:t>
      </w:r>
      <w:r w:rsidR="00857C60" w:rsidRPr="00FD211F">
        <w:rPr>
          <w:sz w:val="36"/>
          <w:szCs w:val="36"/>
          <w:rtl/>
        </w:rPr>
        <w:t>النهي</w:t>
      </w:r>
      <w:r w:rsidR="00E8128F">
        <w:rPr>
          <w:sz w:val="36"/>
          <w:szCs w:val="36"/>
          <w:rtl/>
        </w:rPr>
        <w:t xml:space="preserve"> </w:t>
      </w:r>
      <w:r w:rsidR="00857C60" w:rsidRPr="00FD211F">
        <w:rPr>
          <w:sz w:val="36"/>
          <w:szCs w:val="36"/>
          <w:rtl/>
        </w:rPr>
        <w:t>عن</w:t>
      </w:r>
      <w:r w:rsidR="00E8128F">
        <w:rPr>
          <w:sz w:val="36"/>
          <w:szCs w:val="36"/>
          <w:rtl/>
        </w:rPr>
        <w:t xml:space="preserve"> </w:t>
      </w:r>
      <w:r w:rsidR="00857C60" w:rsidRPr="00FD211F">
        <w:rPr>
          <w:sz w:val="36"/>
          <w:szCs w:val="36"/>
          <w:rtl/>
        </w:rPr>
        <w:t>العباد</w:t>
      </w:r>
      <w:r w:rsidR="00EC7EDF" w:rsidRPr="00FD211F">
        <w:rPr>
          <w:sz w:val="36"/>
          <w:szCs w:val="36"/>
          <w:rtl/>
        </w:rPr>
        <w:t>ة</w:t>
      </w:r>
      <w:r w:rsidR="00E8128F">
        <w:rPr>
          <w:sz w:val="36"/>
          <w:szCs w:val="36"/>
          <w:rtl/>
        </w:rPr>
        <w:t xml:space="preserve"> </w:t>
      </w:r>
      <w:r w:rsidR="00857C60" w:rsidRPr="00FD211F">
        <w:rPr>
          <w:sz w:val="36"/>
          <w:szCs w:val="36"/>
          <w:rtl/>
        </w:rPr>
        <w:t>لفسادها</w:t>
      </w:r>
      <w:r w:rsidR="00603323" w:rsidRPr="00FD211F">
        <w:rPr>
          <w:sz w:val="36"/>
          <w:szCs w:val="36"/>
          <w:rtl/>
        </w:rPr>
        <w:t>،</w:t>
      </w:r>
      <w:r w:rsidR="00E8128F">
        <w:rPr>
          <w:sz w:val="36"/>
          <w:szCs w:val="36"/>
          <w:rtl/>
        </w:rPr>
        <w:t xml:space="preserve"> </w:t>
      </w:r>
      <w:r w:rsidR="00857C60" w:rsidRPr="00FD211F">
        <w:rPr>
          <w:sz w:val="36"/>
          <w:szCs w:val="36"/>
          <w:rtl/>
        </w:rPr>
        <w:t>لاختصاص</w:t>
      </w:r>
      <w:r w:rsidR="00E8128F">
        <w:rPr>
          <w:sz w:val="36"/>
          <w:szCs w:val="36"/>
          <w:rtl/>
        </w:rPr>
        <w:t xml:space="preserve"> </w:t>
      </w:r>
      <w:r w:rsidR="00857C60" w:rsidRPr="00FD211F">
        <w:rPr>
          <w:sz w:val="36"/>
          <w:szCs w:val="36"/>
          <w:rtl/>
        </w:rPr>
        <w:t>هذه</w:t>
      </w:r>
      <w:r w:rsidR="00E8128F">
        <w:rPr>
          <w:sz w:val="36"/>
          <w:szCs w:val="36"/>
          <w:rtl/>
        </w:rPr>
        <w:t xml:space="preserve"> </w:t>
      </w:r>
      <w:r w:rsidR="00857C60" w:rsidRPr="00FD211F">
        <w:rPr>
          <w:sz w:val="36"/>
          <w:szCs w:val="36"/>
          <w:rtl/>
        </w:rPr>
        <w:t>المسأل</w:t>
      </w:r>
      <w:r w:rsidR="00EC7EDF" w:rsidRPr="00FD211F">
        <w:rPr>
          <w:sz w:val="36"/>
          <w:szCs w:val="36"/>
          <w:rtl/>
        </w:rPr>
        <w:t>ة</w:t>
      </w:r>
      <w:r w:rsidR="00E8128F">
        <w:rPr>
          <w:sz w:val="36"/>
          <w:szCs w:val="36"/>
          <w:rtl/>
        </w:rPr>
        <w:t xml:space="preserve"> </w:t>
      </w:r>
      <w:r w:rsidR="00857C60" w:rsidRPr="00FD211F">
        <w:rPr>
          <w:sz w:val="36"/>
          <w:szCs w:val="36"/>
          <w:rtl/>
        </w:rPr>
        <w:t>بما</w:t>
      </w:r>
      <w:r w:rsidR="00E8128F">
        <w:rPr>
          <w:sz w:val="36"/>
          <w:szCs w:val="36"/>
          <w:rtl/>
        </w:rPr>
        <w:t xml:space="preserve"> </w:t>
      </w:r>
      <w:r w:rsidR="00857C60" w:rsidRPr="00FD211F">
        <w:rPr>
          <w:sz w:val="36"/>
          <w:szCs w:val="36"/>
          <w:rtl/>
        </w:rPr>
        <w:t>اذا</w:t>
      </w:r>
      <w:r w:rsidR="00E8128F">
        <w:rPr>
          <w:sz w:val="36"/>
          <w:szCs w:val="36"/>
          <w:rtl/>
        </w:rPr>
        <w:t xml:space="preserve"> </w:t>
      </w:r>
      <w:r w:rsidR="00857C60" w:rsidRPr="00FD211F">
        <w:rPr>
          <w:sz w:val="36"/>
          <w:szCs w:val="36"/>
          <w:rtl/>
        </w:rPr>
        <w:t>كان</w:t>
      </w:r>
      <w:r w:rsidR="00E8128F">
        <w:rPr>
          <w:sz w:val="36"/>
          <w:szCs w:val="36"/>
          <w:rtl/>
        </w:rPr>
        <w:t xml:space="preserve"> </w:t>
      </w:r>
      <w:r w:rsidR="00857C60" w:rsidRPr="00FD211F">
        <w:rPr>
          <w:sz w:val="36"/>
          <w:szCs w:val="36"/>
          <w:rtl/>
        </w:rPr>
        <w:t>النهي</w:t>
      </w:r>
      <w:r w:rsidR="00E8128F">
        <w:rPr>
          <w:sz w:val="36"/>
          <w:szCs w:val="36"/>
          <w:rtl/>
        </w:rPr>
        <w:t xml:space="preserve"> </w:t>
      </w:r>
      <w:r w:rsidR="00857C60" w:rsidRPr="00FD211F">
        <w:rPr>
          <w:sz w:val="36"/>
          <w:szCs w:val="36"/>
          <w:rtl/>
        </w:rPr>
        <w:t>صالحا</w:t>
      </w:r>
      <w:r w:rsidR="00E8128F">
        <w:rPr>
          <w:sz w:val="36"/>
          <w:szCs w:val="36"/>
          <w:rtl/>
        </w:rPr>
        <w:t xml:space="preserve"> </w:t>
      </w:r>
      <w:r w:rsidR="00857C60" w:rsidRPr="00FD211F">
        <w:rPr>
          <w:sz w:val="36"/>
          <w:szCs w:val="36"/>
          <w:rtl/>
        </w:rPr>
        <w:t>للتنجيز</w:t>
      </w:r>
      <w:r w:rsidR="00603323" w:rsidRPr="00FD211F">
        <w:rPr>
          <w:sz w:val="36"/>
          <w:szCs w:val="36"/>
          <w:rtl/>
        </w:rPr>
        <w:t>،</w:t>
      </w:r>
      <w:r w:rsidR="00E8128F">
        <w:rPr>
          <w:sz w:val="36"/>
          <w:szCs w:val="36"/>
          <w:rtl/>
        </w:rPr>
        <w:t xml:space="preserve"> </w:t>
      </w:r>
      <w:r w:rsidR="00C42AA9" w:rsidRPr="00FD211F">
        <w:rPr>
          <w:sz w:val="36"/>
          <w:szCs w:val="36"/>
          <w:rtl/>
        </w:rPr>
        <w:t>فلايشمل</w:t>
      </w:r>
      <w:r w:rsidR="00E8128F">
        <w:rPr>
          <w:sz w:val="36"/>
          <w:szCs w:val="36"/>
          <w:rtl/>
        </w:rPr>
        <w:t xml:space="preserve"> </w:t>
      </w:r>
      <w:r w:rsidR="00C42AA9" w:rsidRPr="00FD211F">
        <w:rPr>
          <w:sz w:val="36"/>
          <w:szCs w:val="36"/>
          <w:rtl/>
        </w:rPr>
        <w:t>النهي</w:t>
      </w:r>
      <w:r w:rsidR="00E8128F">
        <w:rPr>
          <w:sz w:val="36"/>
          <w:szCs w:val="36"/>
          <w:rtl/>
        </w:rPr>
        <w:t xml:space="preserve"> </w:t>
      </w:r>
      <w:r w:rsidR="00C42AA9" w:rsidRPr="00FD211F">
        <w:rPr>
          <w:sz w:val="36"/>
          <w:szCs w:val="36"/>
          <w:rtl/>
        </w:rPr>
        <w:t>الغيري</w:t>
      </w:r>
      <w:r w:rsidR="00E8128F">
        <w:rPr>
          <w:sz w:val="36"/>
          <w:szCs w:val="36"/>
          <w:rtl/>
        </w:rPr>
        <w:t xml:space="preserve"> </w:t>
      </w:r>
      <w:r w:rsidR="00C42AA9" w:rsidRPr="00FD211F">
        <w:rPr>
          <w:sz w:val="36"/>
          <w:szCs w:val="36"/>
          <w:rtl/>
        </w:rPr>
        <w:t>وانما</w:t>
      </w:r>
      <w:r w:rsidR="00E8128F">
        <w:rPr>
          <w:sz w:val="36"/>
          <w:szCs w:val="36"/>
          <w:rtl/>
        </w:rPr>
        <w:t xml:space="preserve"> </w:t>
      </w:r>
      <w:r w:rsidR="00C42AA9" w:rsidRPr="00FD211F">
        <w:rPr>
          <w:sz w:val="36"/>
          <w:szCs w:val="36"/>
          <w:rtl/>
        </w:rPr>
        <w:t>يختص</w:t>
      </w:r>
      <w:r w:rsidR="00E8128F">
        <w:rPr>
          <w:sz w:val="36"/>
          <w:szCs w:val="36"/>
          <w:rtl/>
        </w:rPr>
        <w:t xml:space="preserve"> </w:t>
      </w:r>
      <w:r w:rsidR="00C42AA9" w:rsidRPr="00FD211F">
        <w:rPr>
          <w:sz w:val="36"/>
          <w:szCs w:val="36"/>
          <w:rtl/>
        </w:rPr>
        <w:t>بالنهي</w:t>
      </w:r>
      <w:r w:rsidR="00E8128F">
        <w:rPr>
          <w:sz w:val="36"/>
          <w:szCs w:val="36"/>
          <w:rtl/>
        </w:rPr>
        <w:t xml:space="preserve"> </w:t>
      </w:r>
      <w:r w:rsidR="00C42AA9" w:rsidRPr="00FD211F">
        <w:rPr>
          <w:sz w:val="36"/>
          <w:szCs w:val="36"/>
          <w:rtl/>
        </w:rPr>
        <w:t>النفسي</w:t>
      </w:r>
      <w:r w:rsidR="00603323" w:rsidRPr="00FD211F">
        <w:rPr>
          <w:sz w:val="36"/>
          <w:szCs w:val="36"/>
          <w:rtl/>
        </w:rPr>
        <w:t>،</w:t>
      </w:r>
      <w:r w:rsidR="00E8128F">
        <w:rPr>
          <w:sz w:val="36"/>
          <w:szCs w:val="36"/>
          <w:rtl/>
        </w:rPr>
        <w:t xml:space="preserve"> </w:t>
      </w:r>
      <w:r w:rsidR="00D230E9" w:rsidRPr="00FD211F">
        <w:rPr>
          <w:sz w:val="36"/>
          <w:szCs w:val="36"/>
          <w:rtl/>
        </w:rPr>
        <w:t>ف</w:t>
      </w:r>
      <w:r w:rsidR="00857C60" w:rsidRPr="00FD211F">
        <w:rPr>
          <w:sz w:val="36"/>
          <w:szCs w:val="36"/>
          <w:rtl/>
        </w:rPr>
        <w:t>الصحيح</w:t>
      </w:r>
      <w:r w:rsidR="00E8128F">
        <w:rPr>
          <w:sz w:val="36"/>
          <w:szCs w:val="36"/>
          <w:rtl/>
        </w:rPr>
        <w:t xml:space="preserve"> </w:t>
      </w:r>
      <w:r w:rsidR="00857C60" w:rsidRPr="00FD211F">
        <w:rPr>
          <w:sz w:val="36"/>
          <w:szCs w:val="36"/>
          <w:rtl/>
        </w:rPr>
        <w:t>جعل</w:t>
      </w:r>
      <w:r w:rsidR="00E8128F">
        <w:rPr>
          <w:sz w:val="36"/>
          <w:szCs w:val="36"/>
          <w:rtl/>
        </w:rPr>
        <w:t xml:space="preserve"> </w:t>
      </w:r>
      <w:r w:rsidR="00857C60" w:rsidRPr="00FD211F">
        <w:rPr>
          <w:sz w:val="36"/>
          <w:szCs w:val="36"/>
          <w:rtl/>
        </w:rPr>
        <w:t>ثمر</w:t>
      </w:r>
      <w:r w:rsidR="00EC7EDF" w:rsidRPr="00FD211F">
        <w:rPr>
          <w:sz w:val="36"/>
          <w:szCs w:val="36"/>
          <w:rtl/>
        </w:rPr>
        <w:t>ة</w:t>
      </w:r>
      <w:r w:rsidR="00E8128F">
        <w:rPr>
          <w:sz w:val="36"/>
          <w:szCs w:val="36"/>
          <w:rtl/>
        </w:rPr>
        <w:t xml:space="preserve"> </w:t>
      </w:r>
      <w:r w:rsidR="00857C60" w:rsidRPr="00FD211F">
        <w:rPr>
          <w:sz w:val="36"/>
          <w:szCs w:val="36"/>
          <w:rtl/>
        </w:rPr>
        <w:t>هذا</w:t>
      </w:r>
      <w:r w:rsidR="00E8128F">
        <w:rPr>
          <w:sz w:val="36"/>
          <w:szCs w:val="36"/>
          <w:rtl/>
        </w:rPr>
        <w:t xml:space="preserve"> </w:t>
      </w:r>
      <w:r w:rsidR="00857C60" w:rsidRPr="00FD211F">
        <w:rPr>
          <w:sz w:val="36"/>
          <w:szCs w:val="36"/>
          <w:rtl/>
        </w:rPr>
        <w:t>البحث</w:t>
      </w:r>
      <w:r w:rsidR="00E8128F">
        <w:rPr>
          <w:sz w:val="36"/>
          <w:szCs w:val="36"/>
          <w:rtl/>
        </w:rPr>
        <w:t xml:space="preserve"> </w:t>
      </w:r>
      <w:r w:rsidR="00857C60" w:rsidRPr="00FD211F">
        <w:rPr>
          <w:sz w:val="36"/>
          <w:szCs w:val="36"/>
          <w:rtl/>
        </w:rPr>
        <w:t>انه</w:t>
      </w:r>
      <w:r w:rsidR="00E8128F">
        <w:rPr>
          <w:sz w:val="36"/>
          <w:szCs w:val="36"/>
          <w:rtl/>
        </w:rPr>
        <w:t xml:space="preserve"> </w:t>
      </w:r>
      <w:r w:rsidR="00857C60" w:rsidRPr="00FD211F">
        <w:rPr>
          <w:sz w:val="36"/>
          <w:szCs w:val="36"/>
          <w:rtl/>
        </w:rPr>
        <w:t>على</w:t>
      </w:r>
      <w:r w:rsidR="00E8128F">
        <w:rPr>
          <w:sz w:val="36"/>
          <w:szCs w:val="36"/>
          <w:rtl/>
        </w:rPr>
        <w:t xml:space="preserve"> </w:t>
      </w:r>
      <w:r w:rsidR="00857C60" w:rsidRPr="00FD211F">
        <w:rPr>
          <w:sz w:val="36"/>
          <w:szCs w:val="36"/>
          <w:rtl/>
        </w:rPr>
        <w:t>القول</w:t>
      </w:r>
      <w:r w:rsidR="00E8128F">
        <w:rPr>
          <w:sz w:val="36"/>
          <w:szCs w:val="36"/>
          <w:rtl/>
        </w:rPr>
        <w:t xml:space="preserve"> </w:t>
      </w:r>
      <w:r w:rsidR="00857C60" w:rsidRPr="00FD211F">
        <w:rPr>
          <w:sz w:val="36"/>
          <w:szCs w:val="36"/>
          <w:rtl/>
        </w:rPr>
        <w:t>بعدم</w:t>
      </w:r>
      <w:r w:rsidR="00E8128F">
        <w:rPr>
          <w:sz w:val="36"/>
          <w:szCs w:val="36"/>
          <w:rtl/>
        </w:rPr>
        <w:t xml:space="preserve"> </w:t>
      </w:r>
      <w:r w:rsidR="00D230E9" w:rsidRPr="00FD211F">
        <w:rPr>
          <w:sz w:val="36"/>
          <w:szCs w:val="36"/>
          <w:rtl/>
        </w:rPr>
        <w:t>ال</w:t>
      </w:r>
      <w:r w:rsidR="00857C60" w:rsidRPr="00FD211F">
        <w:rPr>
          <w:sz w:val="36"/>
          <w:szCs w:val="36"/>
          <w:rtl/>
        </w:rPr>
        <w:t>اقتضاء</w:t>
      </w:r>
      <w:r w:rsidR="00E8128F">
        <w:rPr>
          <w:sz w:val="36"/>
          <w:szCs w:val="36"/>
          <w:rtl/>
        </w:rPr>
        <w:t xml:space="preserve"> </w:t>
      </w:r>
      <w:r w:rsidR="00857C60" w:rsidRPr="00FD211F">
        <w:rPr>
          <w:sz w:val="36"/>
          <w:szCs w:val="36"/>
          <w:rtl/>
        </w:rPr>
        <w:t>يثبت</w:t>
      </w:r>
      <w:r w:rsidR="00E8128F">
        <w:rPr>
          <w:sz w:val="36"/>
          <w:szCs w:val="36"/>
          <w:rtl/>
        </w:rPr>
        <w:t xml:space="preserve"> </w:t>
      </w:r>
      <w:r w:rsidR="0090224F" w:rsidRPr="00FD211F">
        <w:rPr>
          <w:sz w:val="36"/>
          <w:szCs w:val="36"/>
          <w:rtl/>
        </w:rPr>
        <w:t>الأمر</w:t>
      </w:r>
      <w:r w:rsidR="00E8128F">
        <w:rPr>
          <w:sz w:val="36"/>
          <w:szCs w:val="36"/>
          <w:rtl/>
        </w:rPr>
        <w:t xml:space="preserve"> </w:t>
      </w:r>
      <w:r w:rsidR="004428F4" w:rsidRPr="00FD211F">
        <w:rPr>
          <w:sz w:val="36"/>
          <w:szCs w:val="36"/>
          <w:rtl/>
        </w:rPr>
        <w:t>بالصلا</w:t>
      </w:r>
      <w:r w:rsidR="00EC7EDF" w:rsidRPr="00FD211F">
        <w:rPr>
          <w:sz w:val="36"/>
          <w:szCs w:val="36"/>
          <w:rtl/>
        </w:rPr>
        <w:t>ة</w:t>
      </w:r>
      <w:r w:rsidR="00E8128F">
        <w:rPr>
          <w:sz w:val="36"/>
          <w:szCs w:val="36"/>
          <w:rtl/>
        </w:rPr>
        <w:t xml:space="preserve"> </w:t>
      </w:r>
      <w:r w:rsidR="004428F4" w:rsidRPr="00FD211F">
        <w:rPr>
          <w:sz w:val="36"/>
          <w:szCs w:val="36"/>
          <w:rtl/>
        </w:rPr>
        <w:t>التي</w:t>
      </w:r>
      <w:r w:rsidR="00E8128F">
        <w:rPr>
          <w:sz w:val="36"/>
          <w:szCs w:val="36"/>
          <w:rtl/>
        </w:rPr>
        <w:t xml:space="preserve"> </w:t>
      </w:r>
      <w:r w:rsidR="004428F4" w:rsidRPr="00FD211F">
        <w:rPr>
          <w:sz w:val="36"/>
          <w:szCs w:val="36"/>
          <w:rtl/>
        </w:rPr>
        <w:t>هي</w:t>
      </w:r>
      <w:r w:rsidR="00E8128F">
        <w:rPr>
          <w:sz w:val="36"/>
          <w:szCs w:val="36"/>
          <w:rtl/>
        </w:rPr>
        <w:t xml:space="preserve"> </w:t>
      </w:r>
      <w:r w:rsidR="004428F4" w:rsidRPr="00FD211F">
        <w:rPr>
          <w:sz w:val="36"/>
          <w:szCs w:val="36"/>
          <w:rtl/>
        </w:rPr>
        <w:t>ضد</w:t>
      </w:r>
      <w:r w:rsidR="00E8128F">
        <w:rPr>
          <w:sz w:val="36"/>
          <w:szCs w:val="36"/>
          <w:rtl/>
        </w:rPr>
        <w:t xml:space="preserve"> </w:t>
      </w:r>
      <w:r w:rsidR="004428F4" w:rsidRPr="00FD211F">
        <w:rPr>
          <w:sz w:val="36"/>
          <w:szCs w:val="36"/>
          <w:rtl/>
        </w:rPr>
        <w:t>ا</w:t>
      </w:r>
      <w:r w:rsidR="00771707" w:rsidRPr="00FD211F">
        <w:rPr>
          <w:sz w:val="36"/>
          <w:szCs w:val="36"/>
          <w:rtl/>
        </w:rPr>
        <w:t>لواجب</w:t>
      </w:r>
      <w:r w:rsidR="00E8128F">
        <w:rPr>
          <w:sz w:val="36"/>
          <w:szCs w:val="36"/>
          <w:rtl/>
        </w:rPr>
        <w:t xml:space="preserve"> </w:t>
      </w:r>
      <w:r w:rsidR="00771707" w:rsidRPr="00FD211F">
        <w:rPr>
          <w:sz w:val="36"/>
          <w:szCs w:val="36"/>
          <w:rtl/>
        </w:rPr>
        <w:t>المضيق</w:t>
      </w:r>
      <w:r w:rsidR="00603323" w:rsidRPr="00FD211F">
        <w:rPr>
          <w:sz w:val="36"/>
          <w:szCs w:val="36"/>
          <w:rtl/>
        </w:rPr>
        <w:t>،</w:t>
      </w:r>
      <w:r w:rsidR="00E8128F">
        <w:rPr>
          <w:sz w:val="36"/>
          <w:szCs w:val="36"/>
          <w:rtl/>
        </w:rPr>
        <w:t xml:space="preserve"> </w:t>
      </w:r>
      <w:r w:rsidR="00986E0B" w:rsidRPr="00FD211F">
        <w:rPr>
          <w:sz w:val="36"/>
          <w:szCs w:val="36"/>
          <w:rtl/>
        </w:rPr>
        <w:t>و</w:t>
      </w:r>
      <w:r w:rsidR="001B3D80" w:rsidRPr="00FD211F">
        <w:rPr>
          <w:sz w:val="36"/>
          <w:szCs w:val="36"/>
          <w:rtl/>
        </w:rPr>
        <w:t>لو</w:t>
      </w:r>
      <w:r w:rsidR="00E8128F">
        <w:rPr>
          <w:sz w:val="36"/>
          <w:szCs w:val="36"/>
          <w:rtl/>
        </w:rPr>
        <w:t xml:space="preserve"> </w:t>
      </w:r>
      <w:r w:rsidR="001B3D80" w:rsidRPr="00FD211F">
        <w:rPr>
          <w:sz w:val="36"/>
          <w:szCs w:val="36"/>
          <w:rtl/>
        </w:rPr>
        <w:t>بنحو</w:t>
      </w:r>
      <w:r w:rsidR="00E8128F">
        <w:rPr>
          <w:sz w:val="36"/>
          <w:szCs w:val="36"/>
          <w:rtl/>
        </w:rPr>
        <w:t xml:space="preserve"> </w:t>
      </w:r>
      <w:r w:rsidR="00986E0B" w:rsidRPr="00FD211F">
        <w:rPr>
          <w:sz w:val="36"/>
          <w:szCs w:val="36"/>
          <w:rtl/>
        </w:rPr>
        <w:t>الأمر</w:t>
      </w:r>
      <w:r w:rsidR="00E8128F">
        <w:rPr>
          <w:sz w:val="36"/>
          <w:szCs w:val="36"/>
          <w:rtl/>
        </w:rPr>
        <w:t xml:space="preserve"> </w:t>
      </w:r>
      <w:r w:rsidR="00986E0B" w:rsidRPr="00FD211F">
        <w:rPr>
          <w:sz w:val="36"/>
          <w:szCs w:val="36"/>
          <w:rtl/>
        </w:rPr>
        <w:t>الترتبي</w:t>
      </w:r>
      <w:r w:rsidR="00E8128F">
        <w:rPr>
          <w:sz w:val="36"/>
          <w:szCs w:val="36"/>
          <w:rtl/>
        </w:rPr>
        <w:t xml:space="preserve"> </w:t>
      </w:r>
      <w:r w:rsidR="004428F4" w:rsidRPr="00FD211F">
        <w:rPr>
          <w:sz w:val="36"/>
          <w:szCs w:val="36"/>
          <w:rtl/>
        </w:rPr>
        <w:t>بأن</w:t>
      </w:r>
      <w:r w:rsidR="00E8128F">
        <w:rPr>
          <w:sz w:val="36"/>
          <w:szCs w:val="36"/>
          <w:rtl/>
        </w:rPr>
        <w:t xml:space="preserve"> </w:t>
      </w:r>
      <w:r w:rsidR="004428F4" w:rsidRPr="00FD211F">
        <w:rPr>
          <w:sz w:val="36"/>
          <w:szCs w:val="36"/>
          <w:rtl/>
        </w:rPr>
        <w:t>يكون</w:t>
      </w:r>
      <w:r w:rsidR="00E8128F">
        <w:rPr>
          <w:sz w:val="36"/>
          <w:szCs w:val="36"/>
          <w:rtl/>
        </w:rPr>
        <w:t xml:space="preserve"> </w:t>
      </w:r>
      <w:r w:rsidR="001B3112" w:rsidRPr="00FD211F">
        <w:rPr>
          <w:sz w:val="36"/>
          <w:szCs w:val="36"/>
          <w:rtl/>
        </w:rPr>
        <w:t>الأمر</w:t>
      </w:r>
      <w:r w:rsidR="00E8128F">
        <w:rPr>
          <w:sz w:val="36"/>
          <w:szCs w:val="36"/>
          <w:rtl/>
        </w:rPr>
        <w:t xml:space="preserve"> </w:t>
      </w:r>
      <w:r w:rsidR="004428F4" w:rsidRPr="00FD211F">
        <w:rPr>
          <w:sz w:val="36"/>
          <w:szCs w:val="36"/>
          <w:rtl/>
        </w:rPr>
        <w:t>بالصلو</w:t>
      </w:r>
      <w:r w:rsidR="00EC7EDF" w:rsidRPr="00FD211F">
        <w:rPr>
          <w:sz w:val="36"/>
          <w:szCs w:val="36"/>
          <w:rtl/>
        </w:rPr>
        <w:t>ة</w:t>
      </w:r>
      <w:r w:rsidR="00E8128F">
        <w:rPr>
          <w:sz w:val="36"/>
          <w:szCs w:val="36"/>
          <w:rtl/>
        </w:rPr>
        <w:t xml:space="preserve"> </w:t>
      </w:r>
      <w:r w:rsidR="00C42AA9" w:rsidRPr="00FD211F">
        <w:rPr>
          <w:sz w:val="36"/>
          <w:szCs w:val="36"/>
          <w:rtl/>
        </w:rPr>
        <w:t>مشروطا</w:t>
      </w:r>
      <w:r w:rsidR="00E8128F">
        <w:rPr>
          <w:sz w:val="36"/>
          <w:szCs w:val="36"/>
          <w:rtl/>
        </w:rPr>
        <w:t xml:space="preserve"> </w:t>
      </w:r>
      <w:r w:rsidR="00D230E9" w:rsidRPr="00FD211F">
        <w:rPr>
          <w:sz w:val="36"/>
          <w:szCs w:val="36"/>
          <w:rtl/>
        </w:rPr>
        <w:t>ب</w:t>
      </w:r>
      <w:r w:rsidR="00C42AA9" w:rsidRPr="00FD211F">
        <w:rPr>
          <w:sz w:val="36"/>
          <w:szCs w:val="36"/>
          <w:rtl/>
        </w:rPr>
        <w:t>عصيان</w:t>
      </w:r>
      <w:r w:rsidR="00E8128F">
        <w:rPr>
          <w:sz w:val="36"/>
          <w:szCs w:val="36"/>
          <w:rtl/>
        </w:rPr>
        <w:t xml:space="preserve"> </w:t>
      </w:r>
      <w:r w:rsidR="00986E0B" w:rsidRPr="00FD211F">
        <w:rPr>
          <w:sz w:val="36"/>
          <w:szCs w:val="36"/>
          <w:rtl/>
        </w:rPr>
        <w:t>ذلك</w:t>
      </w:r>
      <w:r w:rsidR="00E8128F">
        <w:rPr>
          <w:sz w:val="36"/>
          <w:szCs w:val="36"/>
          <w:rtl/>
        </w:rPr>
        <w:t xml:space="preserve"> </w:t>
      </w:r>
      <w:r w:rsidR="00986E0B" w:rsidRPr="00FD211F">
        <w:rPr>
          <w:sz w:val="36"/>
          <w:szCs w:val="36"/>
          <w:rtl/>
        </w:rPr>
        <w:t>الواجب</w:t>
      </w:r>
      <w:r w:rsidR="00E8128F">
        <w:rPr>
          <w:sz w:val="36"/>
          <w:szCs w:val="36"/>
          <w:rtl/>
        </w:rPr>
        <w:t xml:space="preserve"> </w:t>
      </w:r>
      <w:r w:rsidR="00986E0B" w:rsidRPr="00FD211F">
        <w:rPr>
          <w:sz w:val="36"/>
          <w:szCs w:val="36"/>
          <w:rtl/>
        </w:rPr>
        <w:t>المضيق</w:t>
      </w:r>
      <w:r w:rsidR="00603323" w:rsidRPr="00FD211F">
        <w:rPr>
          <w:sz w:val="36"/>
          <w:szCs w:val="36"/>
          <w:rtl/>
        </w:rPr>
        <w:t>،</w:t>
      </w:r>
      <w:r w:rsidR="00E8128F">
        <w:rPr>
          <w:sz w:val="36"/>
          <w:szCs w:val="36"/>
          <w:rtl/>
        </w:rPr>
        <w:t xml:space="preserve"> </w:t>
      </w:r>
      <w:r w:rsidR="00744A82" w:rsidRPr="00FD211F">
        <w:rPr>
          <w:sz w:val="36"/>
          <w:szCs w:val="36"/>
          <w:rtl/>
        </w:rPr>
        <w:t>فيوجب</w:t>
      </w:r>
      <w:r w:rsidR="00E8128F">
        <w:rPr>
          <w:sz w:val="36"/>
          <w:szCs w:val="36"/>
          <w:rtl/>
        </w:rPr>
        <w:t xml:space="preserve"> </w:t>
      </w:r>
      <w:r w:rsidR="00986E0B" w:rsidRPr="00FD211F">
        <w:rPr>
          <w:sz w:val="36"/>
          <w:szCs w:val="36"/>
          <w:rtl/>
        </w:rPr>
        <w:t>ذلك</w:t>
      </w:r>
      <w:r w:rsidR="00E8128F">
        <w:rPr>
          <w:sz w:val="36"/>
          <w:szCs w:val="36"/>
          <w:rtl/>
        </w:rPr>
        <w:t xml:space="preserve"> </w:t>
      </w:r>
      <w:r w:rsidR="00986E0B" w:rsidRPr="00FD211F">
        <w:rPr>
          <w:sz w:val="36"/>
          <w:szCs w:val="36"/>
          <w:rtl/>
        </w:rPr>
        <w:t>صح</w:t>
      </w:r>
      <w:r w:rsidR="00EC7EDF" w:rsidRPr="00FD211F">
        <w:rPr>
          <w:sz w:val="36"/>
          <w:szCs w:val="36"/>
          <w:rtl/>
        </w:rPr>
        <w:t>ة</w:t>
      </w:r>
      <w:r w:rsidR="00E8128F">
        <w:rPr>
          <w:sz w:val="36"/>
          <w:szCs w:val="36"/>
          <w:rtl/>
        </w:rPr>
        <w:t xml:space="preserve"> </w:t>
      </w:r>
      <w:r w:rsidR="00986E0B" w:rsidRPr="00FD211F">
        <w:rPr>
          <w:sz w:val="36"/>
          <w:szCs w:val="36"/>
          <w:rtl/>
        </w:rPr>
        <w:t>هذه</w:t>
      </w:r>
      <w:r w:rsidR="00E8128F">
        <w:rPr>
          <w:sz w:val="36"/>
          <w:szCs w:val="36"/>
          <w:rtl/>
        </w:rPr>
        <w:t xml:space="preserve"> </w:t>
      </w:r>
      <w:r w:rsidR="00986E0B" w:rsidRPr="00FD211F">
        <w:rPr>
          <w:sz w:val="36"/>
          <w:szCs w:val="36"/>
          <w:rtl/>
        </w:rPr>
        <w:t>الصلا</w:t>
      </w:r>
      <w:r w:rsidR="00EC7EDF" w:rsidRPr="00FD211F">
        <w:rPr>
          <w:sz w:val="36"/>
          <w:szCs w:val="36"/>
          <w:rtl/>
        </w:rPr>
        <w:t>ة</w:t>
      </w:r>
      <w:r w:rsidR="00E8128F">
        <w:rPr>
          <w:sz w:val="36"/>
          <w:szCs w:val="36"/>
          <w:rtl/>
        </w:rPr>
        <w:t xml:space="preserve"> </w:t>
      </w:r>
      <w:r w:rsidR="00857C60" w:rsidRPr="00FD211F">
        <w:rPr>
          <w:sz w:val="36"/>
          <w:szCs w:val="36"/>
          <w:rtl/>
        </w:rPr>
        <w:t>والاجتزاء</w:t>
      </w:r>
      <w:r w:rsidR="00E8128F">
        <w:rPr>
          <w:sz w:val="36"/>
          <w:szCs w:val="36"/>
          <w:rtl/>
        </w:rPr>
        <w:t xml:space="preserve"> </w:t>
      </w:r>
      <w:r w:rsidR="00C42AA9" w:rsidRPr="00FD211F">
        <w:rPr>
          <w:sz w:val="36"/>
          <w:szCs w:val="36"/>
          <w:rtl/>
        </w:rPr>
        <w:t>به</w:t>
      </w:r>
      <w:r w:rsidR="00986E0B" w:rsidRPr="00FD211F">
        <w:rPr>
          <w:sz w:val="36"/>
          <w:szCs w:val="36"/>
          <w:rtl/>
        </w:rPr>
        <w:t>ا</w:t>
      </w:r>
      <w:r w:rsidR="00603323" w:rsidRPr="00FD211F">
        <w:rPr>
          <w:sz w:val="36"/>
          <w:szCs w:val="36"/>
          <w:rtl/>
        </w:rPr>
        <w:t>،</w:t>
      </w:r>
      <w:r w:rsidR="00E8128F">
        <w:rPr>
          <w:sz w:val="36"/>
          <w:szCs w:val="36"/>
          <w:rtl/>
        </w:rPr>
        <w:t xml:space="preserve"> </w:t>
      </w:r>
      <w:r w:rsidR="00C42AA9" w:rsidRPr="00FD211F">
        <w:rPr>
          <w:sz w:val="36"/>
          <w:szCs w:val="36"/>
          <w:rtl/>
        </w:rPr>
        <w:t>وبناء</w:t>
      </w:r>
      <w:r w:rsidR="00E8128F">
        <w:rPr>
          <w:sz w:val="36"/>
          <w:szCs w:val="36"/>
          <w:rtl/>
        </w:rPr>
        <w:t xml:space="preserve"> </w:t>
      </w:r>
      <w:r w:rsidR="00C42AA9" w:rsidRPr="00FD211F">
        <w:rPr>
          <w:sz w:val="36"/>
          <w:szCs w:val="36"/>
          <w:rtl/>
        </w:rPr>
        <w:t>على</w:t>
      </w:r>
      <w:r w:rsidR="00E8128F">
        <w:rPr>
          <w:sz w:val="36"/>
          <w:szCs w:val="36"/>
          <w:rtl/>
        </w:rPr>
        <w:t xml:space="preserve"> </w:t>
      </w:r>
      <w:r w:rsidR="00C42AA9" w:rsidRPr="00FD211F">
        <w:rPr>
          <w:sz w:val="36"/>
          <w:szCs w:val="36"/>
          <w:rtl/>
        </w:rPr>
        <w:t>القول</w:t>
      </w:r>
      <w:r w:rsidR="00E8128F">
        <w:rPr>
          <w:sz w:val="36"/>
          <w:szCs w:val="36"/>
          <w:rtl/>
        </w:rPr>
        <w:t xml:space="preserve"> </w:t>
      </w:r>
      <w:r w:rsidR="00C42AA9" w:rsidRPr="00FD211F">
        <w:rPr>
          <w:sz w:val="36"/>
          <w:szCs w:val="36"/>
          <w:rtl/>
        </w:rPr>
        <w:t>بالاقتضاء</w:t>
      </w:r>
      <w:r w:rsidR="00E8128F">
        <w:rPr>
          <w:sz w:val="36"/>
          <w:szCs w:val="36"/>
          <w:rtl/>
        </w:rPr>
        <w:t xml:space="preserve"> </w:t>
      </w:r>
      <w:r w:rsidR="00C42AA9" w:rsidRPr="00FD211F">
        <w:rPr>
          <w:sz w:val="36"/>
          <w:szCs w:val="36"/>
          <w:rtl/>
        </w:rPr>
        <w:t>لايثبت</w:t>
      </w:r>
      <w:r w:rsidR="00E8128F">
        <w:rPr>
          <w:sz w:val="36"/>
          <w:szCs w:val="36"/>
          <w:rtl/>
        </w:rPr>
        <w:t xml:space="preserve"> </w:t>
      </w:r>
      <w:r w:rsidR="00857C60" w:rsidRPr="00FD211F">
        <w:rPr>
          <w:sz w:val="36"/>
          <w:szCs w:val="36"/>
          <w:rtl/>
        </w:rPr>
        <w:t>هذا</w:t>
      </w:r>
      <w:r w:rsidR="00E8128F">
        <w:rPr>
          <w:sz w:val="36"/>
          <w:szCs w:val="36"/>
          <w:rtl/>
        </w:rPr>
        <w:t xml:space="preserve"> </w:t>
      </w:r>
      <w:r w:rsidR="0090224F" w:rsidRPr="00FD211F">
        <w:rPr>
          <w:sz w:val="36"/>
          <w:szCs w:val="36"/>
          <w:rtl/>
        </w:rPr>
        <w:t>الأمر</w:t>
      </w:r>
      <w:r w:rsidR="00E8128F">
        <w:rPr>
          <w:sz w:val="36"/>
          <w:szCs w:val="36"/>
          <w:rtl/>
        </w:rPr>
        <w:t xml:space="preserve"> </w:t>
      </w:r>
      <w:r w:rsidR="00974884" w:rsidRPr="00FD211F">
        <w:rPr>
          <w:sz w:val="36"/>
          <w:szCs w:val="36"/>
          <w:rtl/>
        </w:rPr>
        <w:t>ولو</w:t>
      </w:r>
      <w:r w:rsidR="00E8128F">
        <w:rPr>
          <w:sz w:val="36"/>
          <w:szCs w:val="36"/>
          <w:rtl/>
        </w:rPr>
        <w:t xml:space="preserve"> </w:t>
      </w:r>
      <w:r w:rsidR="00974884" w:rsidRPr="00FD211F">
        <w:rPr>
          <w:sz w:val="36"/>
          <w:szCs w:val="36"/>
          <w:rtl/>
        </w:rPr>
        <w:t>ترتبا</w:t>
      </w:r>
      <w:r w:rsidR="00603323" w:rsidRPr="00FD211F">
        <w:rPr>
          <w:sz w:val="36"/>
          <w:szCs w:val="36"/>
          <w:rtl/>
        </w:rPr>
        <w:t>،</w:t>
      </w:r>
      <w:r w:rsidR="00E8128F">
        <w:rPr>
          <w:sz w:val="36"/>
          <w:szCs w:val="36"/>
          <w:rtl/>
        </w:rPr>
        <w:t xml:space="preserve"> </w:t>
      </w:r>
      <w:r w:rsidR="00974884" w:rsidRPr="00FD211F">
        <w:rPr>
          <w:sz w:val="36"/>
          <w:szCs w:val="36"/>
          <w:rtl/>
        </w:rPr>
        <w:t>لعدم</w:t>
      </w:r>
      <w:r w:rsidR="00E8128F">
        <w:rPr>
          <w:sz w:val="36"/>
          <w:szCs w:val="36"/>
          <w:rtl/>
        </w:rPr>
        <w:t xml:space="preserve"> </w:t>
      </w:r>
      <w:r w:rsidR="00974884" w:rsidRPr="00FD211F">
        <w:rPr>
          <w:sz w:val="36"/>
          <w:szCs w:val="36"/>
          <w:rtl/>
        </w:rPr>
        <w:t>امكان</w:t>
      </w:r>
      <w:r w:rsidR="00E8128F">
        <w:rPr>
          <w:sz w:val="36"/>
          <w:szCs w:val="36"/>
          <w:rtl/>
        </w:rPr>
        <w:t xml:space="preserve"> </w:t>
      </w:r>
      <w:r w:rsidR="00974884" w:rsidRPr="00FD211F">
        <w:rPr>
          <w:sz w:val="36"/>
          <w:szCs w:val="36"/>
          <w:rtl/>
        </w:rPr>
        <w:t>اجتماع</w:t>
      </w:r>
      <w:r w:rsidR="00E8128F">
        <w:rPr>
          <w:sz w:val="36"/>
          <w:szCs w:val="36"/>
          <w:rtl/>
        </w:rPr>
        <w:t xml:space="preserve"> </w:t>
      </w:r>
      <w:r w:rsidR="00974884" w:rsidRPr="00FD211F">
        <w:rPr>
          <w:sz w:val="36"/>
          <w:szCs w:val="36"/>
          <w:rtl/>
        </w:rPr>
        <w:t>هذا</w:t>
      </w:r>
      <w:r w:rsidR="00E8128F">
        <w:rPr>
          <w:sz w:val="36"/>
          <w:szCs w:val="36"/>
          <w:rtl/>
        </w:rPr>
        <w:t xml:space="preserve"> </w:t>
      </w:r>
      <w:r w:rsidR="0090224F" w:rsidRPr="00FD211F">
        <w:rPr>
          <w:sz w:val="36"/>
          <w:szCs w:val="36"/>
          <w:rtl/>
        </w:rPr>
        <w:t>الأمر</w:t>
      </w:r>
      <w:r w:rsidR="00E8128F">
        <w:rPr>
          <w:sz w:val="36"/>
          <w:szCs w:val="36"/>
          <w:rtl/>
        </w:rPr>
        <w:t xml:space="preserve"> </w:t>
      </w:r>
      <w:r w:rsidR="00974884" w:rsidRPr="00FD211F">
        <w:rPr>
          <w:sz w:val="36"/>
          <w:szCs w:val="36"/>
          <w:rtl/>
        </w:rPr>
        <w:t>بالضد</w:t>
      </w:r>
      <w:r w:rsidR="00E8128F">
        <w:rPr>
          <w:sz w:val="36"/>
          <w:szCs w:val="36"/>
          <w:rtl/>
        </w:rPr>
        <w:t xml:space="preserve"> </w:t>
      </w:r>
      <w:r w:rsidR="00974884" w:rsidRPr="00FD211F">
        <w:rPr>
          <w:sz w:val="36"/>
          <w:szCs w:val="36"/>
          <w:rtl/>
        </w:rPr>
        <w:t>مع</w:t>
      </w:r>
      <w:r w:rsidR="00E8128F">
        <w:rPr>
          <w:sz w:val="36"/>
          <w:szCs w:val="36"/>
          <w:rtl/>
        </w:rPr>
        <w:t xml:space="preserve"> </w:t>
      </w:r>
      <w:r w:rsidR="00974884" w:rsidRPr="00FD211F">
        <w:rPr>
          <w:sz w:val="36"/>
          <w:szCs w:val="36"/>
          <w:rtl/>
        </w:rPr>
        <w:t>النهي</w:t>
      </w:r>
      <w:r w:rsidR="00E8128F">
        <w:rPr>
          <w:sz w:val="36"/>
          <w:szCs w:val="36"/>
          <w:rtl/>
        </w:rPr>
        <w:t xml:space="preserve"> </w:t>
      </w:r>
      <w:r w:rsidR="00974884" w:rsidRPr="00FD211F">
        <w:rPr>
          <w:sz w:val="36"/>
          <w:szCs w:val="36"/>
          <w:rtl/>
        </w:rPr>
        <w:t>الغيري</w:t>
      </w:r>
      <w:r w:rsidR="00E8128F">
        <w:rPr>
          <w:sz w:val="36"/>
          <w:szCs w:val="36"/>
          <w:rtl/>
        </w:rPr>
        <w:t xml:space="preserve"> </w:t>
      </w:r>
      <w:r w:rsidR="00974884" w:rsidRPr="00FD211F">
        <w:rPr>
          <w:sz w:val="36"/>
          <w:szCs w:val="36"/>
          <w:rtl/>
        </w:rPr>
        <w:t>عنه</w:t>
      </w:r>
      <w:r w:rsidR="00603323" w:rsidRPr="00FD211F">
        <w:rPr>
          <w:sz w:val="36"/>
          <w:szCs w:val="36"/>
          <w:rtl/>
        </w:rPr>
        <w:t>،</w:t>
      </w:r>
      <w:r w:rsidR="00E8128F">
        <w:rPr>
          <w:sz w:val="36"/>
          <w:szCs w:val="36"/>
          <w:rtl/>
        </w:rPr>
        <w:t xml:space="preserve"> </w:t>
      </w:r>
      <w:r w:rsidR="00857C60" w:rsidRPr="00FD211F">
        <w:rPr>
          <w:sz w:val="36"/>
          <w:szCs w:val="36"/>
          <w:rtl/>
        </w:rPr>
        <w:t>فيستلزم</w:t>
      </w:r>
      <w:r w:rsidR="00E8128F">
        <w:rPr>
          <w:sz w:val="36"/>
          <w:szCs w:val="36"/>
          <w:rtl/>
        </w:rPr>
        <w:t xml:space="preserve"> </w:t>
      </w:r>
      <w:r w:rsidR="00857C60" w:rsidRPr="00FD211F">
        <w:rPr>
          <w:sz w:val="36"/>
          <w:szCs w:val="36"/>
          <w:rtl/>
        </w:rPr>
        <w:t>ذلك</w:t>
      </w:r>
      <w:r w:rsidR="00E8128F">
        <w:rPr>
          <w:sz w:val="36"/>
          <w:szCs w:val="36"/>
          <w:rtl/>
        </w:rPr>
        <w:t xml:space="preserve"> </w:t>
      </w:r>
      <w:r w:rsidR="00857C60" w:rsidRPr="00FD211F">
        <w:rPr>
          <w:sz w:val="36"/>
          <w:szCs w:val="36"/>
          <w:rtl/>
        </w:rPr>
        <w:t>عدم</w:t>
      </w:r>
      <w:r w:rsidR="00E8128F">
        <w:rPr>
          <w:sz w:val="36"/>
          <w:szCs w:val="36"/>
          <w:rtl/>
        </w:rPr>
        <w:t xml:space="preserve"> </w:t>
      </w:r>
      <w:r w:rsidR="00857C60" w:rsidRPr="00FD211F">
        <w:rPr>
          <w:sz w:val="36"/>
          <w:szCs w:val="36"/>
          <w:rtl/>
        </w:rPr>
        <w:t>الاجتزاء</w:t>
      </w:r>
      <w:r w:rsidR="00E8128F">
        <w:rPr>
          <w:sz w:val="36"/>
          <w:szCs w:val="36"/>
          <w:rtl/>
        </w:rPr>
        <w:t xml:space="preserve"> </w:t>
      </w:r>
      <w:r w:rsidR="00857C60" w:rsidRPr="00FD211F">
        <w:rPr>
          <w:sz w:val="36"/>
          <w:szCs w:val="36"/>
          <w:rtl/>
        </w:rPr>
        <w:t>به</w:t>
      </w:r>
      <w:r w:rsidR="00C42AA9" w:rsidRPr="00FD211F">
        <w:rPr>
          <w:sz w:val="36"/>
          <w:szCs w:val="36"/>
          <w:rtl/>
        </w:rPr>
        <w:t>.</w:t>
      </w:r>
    </w:p>
    <w:p w14:paraId="2C720CF5" w14:textId="77777777" w:rsidR="00857C60" w:rsidRPr="00FD211F" w:rsidRDefault="00B75B06" w:rsidP="009C58C8">
      <w:pPr>
        <w:ind w:left="0" w:firstLine="227"/>
        <w:jc w:val="both"/>
        <w:rPr>
          <w:sz w:val="36"/>
          <w:szCs w:val="36"/>
          <w:rtl/>
        </w:rPr>
      </w:pPr>
      <w:r w:rsidRPr="00FD211F">
        <w:rPr>
          <w:sz w:val="36"/>
          <w:szCs w:val="36"/>
          <w:rtl/>
        </w:rPr>
        <w:t>3-</w:t>
      </w:r>
      <w:r w:rsidR="00E8128F">
        <w:rPr>
          <w:sz w:val="36"/>
          <w:szCs w:val="36"/>
          <w:rtl/>
        </w:rPr>
        <w:t xml:space="preserve"> </w:t>
      </w:r>
      <w:r w:rsidR="005412BA" w:rsidRPr="00FD211F">
        <w:rPr>
          <w:sz w:val="36"/>
          <w:szCs w:val="36"/>
          <w:rtl/>
        </w:rPr>
        <w:t>ان</w:t>
      </w:r>
      <w:r w:rsidR="00E8128F">
        <w:rPr>
          <w:sz w:val="36"/>
          <w:szCs w:val="36"/>
          <w:rtl/>
        </w:rPr>
        <w:t xml:space="preserve"> </w:t>
      </w:r>
      <w:r w:rsidR="005412BA" w:rsidRPr="00FD211F">
        <w:rPr>
          <w:sz w:val="36"/>
          <w:szCs w:val="36"/>
          <w:rtl/>
        </w:rPr>
        <w:t>ترتب</w:t>
      </w:r>
      <w:r w:rsidR="00E8128F">
        <w:rPr>
          <w:sz w:val="36"/>
          <w:szCs w:val="36"/>
          <w:rtl/>
        </w:rPr>
        <w:t xml:space="preserve"> </w:t>
      </w:r>
      <w:r w:rsidR="005412BA" w:rsidRPr="00FD211F">
        <w:rPr>
          <w:sz w:val="36"/>
          <w:szCs w:val="36"/>
          <w:rtl/>
        </w:rPr>
        <w:t>صح</w:t>
      </w:r>
      <w:r w:rsidR="00EC7EDF" w:rsidRPr="00FD211F">
        <w:rPr>
          <w:sz w:val="36"/>
          <w:szCs w:val="36"/>
          <w:rtl/>
        </w:rPr>
        <w:t>ة</w:t>
      </w:r>
      <w:r w:rsidR="00E8128F">
        <w:rPr>
          <w:sz w:val="36"/>
          <w:szCs w:val="36"/>
          <w:rtl/>
        </w:rPr>
        <w:t xml:space="preserve"> </w:t>
      </w:r>
      <w:r w:rsidR="00974884" w:rsidRPr="00FD211F">
        <w:rPr>
          <w:sz w:val="36"/>
          <w:szCs w:val="36"/>
          <w:rtl/>
        </w:rPr>
        <w:t>الصلا</w:t>
      </w:r>
      <w:r w:rsidR="00EC7EDF" w:rsidRPr="00FD211F">
        <w:rPr>
          <w:sz w:val="36"/>
          <w:szCs w:val="36"/>
          <w:rtl/>
        </w:rPr>
        <w:t>ة</w:t>
      </w:r>
      <w:r w:rsidR="00E8128F">
        <w:rPr>
          <w:sz w:val="36"/>
          <w:szCs w:val="36"/>
          <w:rtl/>
        </w:rPr>
        <w:t xml:space="preserve"> </w:t>
      </w:r>
      <w:r w:rsidR="005412BA" w:rsidRPr="00FD211F">
        <w:rPr>
          <w:sz w:val="36"/>
          <w:szCs w:val="36"/>
          <w:rtl/>
        </w:rPr>
        <w:t>التي</w:t>
      </w:r>
      <w:r w:rsidR="00E8128F">
        <w:rPr>
          <w:sz w:val="36"/>
          <w:szCs w:val="36"/>
          <w:rtl/>
        </w:rPr>
        <w:t xml:space="preserve"> </w:t>
      </w:r>
      <w:r w:rsidR="005412BA" w:rsidRPr="00FD211F">
        <w:rPr>
          <w:sz w:val="36"/>
          <w:szCs w:val="36"/>
          <w:rtl/>
        </w:rPr>
        <w:t>هي</w:t>
      </w:r>
      <w:r w:rsidR="00E8128F">
        <w:rPr>
          <w:sz w:val="36"/>
          <w:szCs w:val="36"/>
          <w:rtl/>
        </w:rPr>
        <w:t xml:space="preserve"> </w:t>
      </w:r>
      <w:r w:rsidR="005412BA" w:rsidRPr="00FD211F">
        <w:rPr>
          <w:sz w:val="36"/>
          <w:szCs w:val="36"/>
          <w:rtl/>
        </w:rPr>
        <w:t>ضد</w:t>
      </w:r>
      <w:r w:rsidR="00E8128F">
        <w:rPr>
          <w:sz w:val="36"/>
          <w:szCs w:val="36"/>
          <w:rtl/>
        </w:rPr>
        <w:t xml:space="preserve"> </w:t>
      </w:r>
      <w:r w:rsidR="005412BA" w:rsidRPr="00FD211F">
        <w:rPr>
          <w:sz w:val="36"/>
          <w:szCs w:val="36"/>
          <w:rtl/>
        </w:rPr>
        <w:t>الواجب</w:t>
      </w:r>
      <w:r w:rsidR="00E8128F">
        <w:rPr>
          <w:sz w:val="36"/>
          <w:szCs w:val="36"/>
          <w:rtl/>
        </w:rPr>
        <w:t xml:space="preserve"> </w:t>
      </w:r>
      <w:r w:rsidR="00974884" w:rsidRPr="00FD211F">
        <w:rPr>
          <w:sz w:val="36"/>
          <w:szCs w:val="36"/>
          <w:rtl/>
        </w:rPr>
        <w:t>-وهو</w:t>
      </w:r>
      <w:r w:rsidR="00E8128F">
        <w:rPr>
          <w:sz w:val="36"/>
          <w:szCs w:val="36"/>
          <w:rtl/>
        </w:rPr>
        <w:t xml:space="preserve"> </w:t>
      </w:r>
      <w:r w:rsidR="00974884" w:rsidRPr="00FD211F">
        <w:rPr>
          <w:sz w:val="36"/>
          <w:szCs w:val="36"/>
          <w:rtl/>
        </w:rPr>
        <w:t>إزال</w:t>
      </w:r>
      <w:r w:rsidR="00EC7EDF" w:rsidRPr="00FD211F">
        <w:rPr>
          <w:sz w:val="36"/>
          <w:szCs w:val="36"/>
          <w:rtl/>
        </w:rPr>
        <w:t>ة</w:t>
      </w:r>
      <w:r w:rsidR="00E8128F">
        <w:rPr>
          <w:sz w:val="36"/>
          <w:szCs w:val="36"/>
          <w:rtl/>
        </w:rPr>
        <w:t xml:space="preserve"> </w:t>
      </w:r>
      <w:r w:rsidR="00974884" w:rsidRPr="00FD211F">
        <w:rPr>
          <w:sz w:val="36"/>
          <w:szCs w:val="36"/>
          <w:rtl/>
        </w:rPr>
        <w:t>النجاس</w:t>
      </w:r>
      <w:r w:rsidR="00EC7EDF" w:rsidRPr="00FD211F">
        <w:rPr>
          <w:sz w:val="36"/>
          <w:szCs w:val="36"/>
          <w:rtl/>
        </w:rPr>
        <w:t>ة</w:t>
      </w:r>
      <w:r w:rsidR="00E8128F">
        <w:rPr>
          <w:sz w:val="36"/>
          <w:szCs w:val="36"/>
          <w:rtl/>
        </w:rPr>
        <w:t xml:space="preserve"> </w:t>
      </w:r>
      <w:r w:rsidR="00974884" w:rsidRPr="00FD211F">
        <w:rPr>
          <w:sz w:val="36"/>
          <w:szCs w:val="36"/>
          <w:rtl/>
        </w:rPr>
        <w:t>عن</w:t>
      </w:r>
      <w:r w:rsidR="00E8128F">
        <w:rPr>
          <w:sz w:val="36"/>
          <w:szCs w:val="36"/>
          <w:rtl/>
        </w:rPr>
        <w:t xml:space="preserve"> </w:t>
      </w:r>
      <w:r w:rsidR="00974884" w:rsidRPr="00FD211F">
        <w:rPr>
          <w:sz w:val="36"/>
          <w:szCs w:val="36"/>
          <w:rtl/>
        </w:rPr>
        <w:t>المسجد</w:t>
      </w:r>
      <w:r w:rsidR="00E8128F">
        <w:rPr>
          <w:sz w:val="36"/>
          <w:szCs w:val="36"/>
          <w:rtl/>
        </w:rPr>
        <w:t xml:space="preserve"> </w:t>
      </w:r>
      <w:r w:rsidR="00974884" w:rsidRPr="00FD211F">
        <w:rPr>
          <w:sz w:val="36"/>
          <w:szCs w:val="36"/>
          <w:rtl/>
        </w:rPr>
        <w:t>في</w:t>
      </w:r>
      <w:r w:rsidR="00E8128F">
        <w:rPr>
          <w:sz w:val="36"/>
          <w:szCs w:val="36"/>
          <w:rtl/>
        </w:rPr>
        <w:t xml:space="preserve"> </w:t>
      </w:r>
      <w:r w:rsidR="00974884" w:rsidRPr="00FD211F">
        <w:rPr>
          <w:sz w:val="36"/>
          <w:szCs w:val="36"/>
          <w:rtl/>
        </w:rPr>
        <w:t>مفروض</w:t>
      </w:r>
      <w:r w:rsidR="00E8128F">
        <w:rPr>
          <w:sz w:val="36"/>
          <w:szCs w:val="36"/>
          <w:rtl/>
        </w:rPr>
        <w:t xml:space="preserve"> </w:t>
      </w:r>
      <w:r w:rsidR="00974884" w:rsidRPr="00FD211F">
        <w:rPr>
          <w:sz w:val="36"/>
          <w:szCs w:val="36"/>
          <w:rtl/>
        </w:rPr>
        <w:t>المثال-</w:t>
      </w:r>
      <w:r w:rsidR="00E8128F">
        <w:rPr>
          <w:sz w:val="36"/>
          <w:szCs w:val="36"/>
          <w:rtl/>
        </w:rPr>
        <w:t xml:space="preserve"> </w:t>
      </w:r>
      <w:r w:rsidR="005412BA" w:rsidRPr="00FD211F">
        <w:rPr>
          <w:sz w:val="36"/>
          <w:szCs w:val="36"/>
          <w:rtl/>
        </w:rPr>
        <w:t>على</w:t>
      </w:r>
      <w:r w:rsidR="00E8128F">
        <w:rPr>
          <w:sz w:val="36"/>
          <w:szCs w:val="36"/>
          <w:rtl/>
        </w:rPr>
        <w:t xml:space="preserve"> </w:t>
      </w:r>
      <w:r w:rsidR="005412BA" w:rsidRPr="00FD211F">
        <w:rPr>
          <w:sz w:val="36"/>
          <w:szCs w:val="36"/>
          <w:rtl/>
        </w:rPr>
        <w:t>القول</w:t>
      </w:r>
      <w:r w:rsidR="00E8128F">
        <w:rPr>
          <w:sz w:val="36"/>
          <w:szCs w:val="36"/>
          <w:rtl/>
        </w:rPr>
        <w:t xml:space="preserve"> </w:t>
      </w:r>
      <w:r w:rsidR="005412BA" w:rsidRPr="00FD211F">
        <w:rPr>
          <w:sz w:val="36"/>
          <w:szCs w:val="36"/>
          <w:rtl/>
        </w:rPr>
        <w:t>بعدم</w:t>
      </w:r>
      <w:r w:rsidR="00E8128F">
        <w:rPr>
          <w:sz w:val="36"/>
          <w:szCs w:val="36"/>
          <w:rtl/>
        </w:rPr>
        <w:t xml:space="preserve"> </w:t>
      </w:r>
      <w:r w:rsidR="005412BA" w:rsidRPr="00FD211F">
        <w:rPr>
          <w:sz w:val="36"/>
          <w:szCs w:val="36"/>
          <w:rtl/>
        </w:rPr>
        <w:t>اقتضاء</w:t>
      </w:r>
      <w:r w:rsidR="00E8128F">
        <w:rPr>
          <w:sz w:val="36"/>
          <w:szCs w:val="36"/>
          <w:rtl/>
        </w:rPr>
        <w:t xml:space="preserve"> </w:t>
      </w:r>
      <w:r w:rsidR="0090224F" w:rsidRPr="00FD211F">
        <w:rPr>
          <w:sz w:val="36"/>
          <w:szCs w:val="36"/>
          <w:rtl/>
        </w:rPr>
        <w:t>الأمر</w:t>
      </w:r>
      <w:r w:rsidR="00E8128F">
        <w:rPr>
          <w:sz w:val="36"/>
          <w:szCs w:val="36"/>
          <w:rtl/>
        </w:rPr>
        <w:t xml:space="preserve"> </w:t>
      </w:r>
      <w:r w:rsidR="005412BA" w:rsidRPr="00FD211F">
        <w:rPr>
          <w:sz w:val="36"/>
          <w:szCs w:val="36"/>
          <w:rtl/>
        </w:rPr>
        <w:t>بال</w:t>
      </w:r>
      <w:r w:rsidR="008D7B3D" w:rsidRPr="00FD211F">
        <w:rPr>
          <w:sz w:val="36"/>
          <w:szCs w:val="36"/>
          <w:rtl/>
        </w:rPr>
        <w:t>شيء</w:t>
      </w:r>
      <w:r w:rsidR="00E8128F">
        <w:rPr>
          <w:sz w:val="36"/>
          <w:szCs w:val="36"/>
          <w:rtl/>
        </w:rPr>
        <w:t xml:space="preserve"> </w:t>
      </w:r>
      <w:r w:rsidR="005412BA" w:rsidRPr="00FD211F">
        <w:rPr>
          <w:sz w:val="36"/>
          <w:szCs w:val="36"/>
          <w:rtl/>
        </w:rPr>
        <w:t>للنهي</w:t>
      </w:r>
      <w:r w:rsidR="00E8128F">
        <w:rPr>
          <w:sz w:val="36"/>
          <w:szCs w:val="36"/>
          <w:rtl/>
        </w:rPr>
        <w:t xml:space="preserve"> </w:t>
      </w:r>
      <w:r w:rsidR="005412BA" w:rsidRPr="00FD211F">
        <w:rPr>
          <w:sz w:val="36"/>
          <w:szCs w:val="36"/>
          <w:rtl/>
        </w:rPr>
        <w:t>عن</w:t>
      </w:r>
      <w:r w:rsidR="00E8128F">
        <w:rPr>
          <w:sz w:val="36"/>
          <w:szCs w:val="36"/>
          <w:rtl/>
        </w:rPr>
        <w:t xml:space="preserve"> </w:t>
      </w:r>
      <w:r w:rsidR="005412BA" w:rsidRPr="00FD211F">
        <w:rPr>
          <w:sz w:val="36"/>
          <w:szCs w:val="36"/>
          <w:rtl/>
        </w:rPr>
        <w:t>ضده</w:t>
      </w:r>
      <w:r w:rsidR="00E8128F">
        <w:rPr>
          <w:sz w:val="36"/>
          <w:szCs w:val="36"/>
          <w:rtl/>
        </w:rPr>
        <w:t xml:space="preserve"> </w:t>
      </w:r>
      <w:r w:rsidR="00BC4D55" w:rsidRPr="00FD211F">
        <w:rPr>
          <w:sz w:val="36"/>
          <w:szCs w:val="36"/>
          <w:rtl/>
        </w:rPr>
        <w:t>–من</w:t>
      </w:r>
      <w:r w:rsidR="00E8128F">
        <w:rPr>
          <w:sz w:val="36"/>
          <w:szCs w:val="36"/>
          <w:rtl/>
        </w:rPr>
        <w:t xml:space="preserve"> </w:t>
      </w:r>
      <w:r w:rsidR="00BC4D55" w:rsidRPr="00FD211F">
        <w:rPr>
          <w:sz w:val="36"/>
          <w:szCs w:val="36"/>
          <w:rtl/>
        </w:rPr>
        <w:t>غير</w:t>
      </w:r>
      <w:r w:rsidR="00E8128F">
        <w:rPr>
          <w:sz w:val="36"/>
          <w:szCs w:val="36"/>
          <w:rtl/>
        </w:rPr>
        <w:t xml:space="preserve"> </w:t>
      </w:r>
      <w:r w:rsidR="00BC4D55" w:rsidRPr="00FD211F">
        <w:rPr>
          <w:sz w:val="36"/>
          <w:szCs w:val="36"/>
          <w:rtl/>
        </w:rPr>
        <w:t>حاج</w:t>
      </w:r>
      <w:r w:rsidR="00EC7EDF" w:rsidRPr="00FD211F">
        <w:rPr>
          <w:sz w:val="36"/>
          <w:szCs w:val="36"/>
          <w:rtl/>
        </w:rPr>
        <w:t>ة</w:t>
      </w:r>
      <w:r w:rsidR="00E8128F">
        <w:rPr>
          <w:sz w:val="36"/>
          <w:szCs w:val="36"/>
          <w:rtl/>
        </w:rPr>
        <w:t xml:space="preserve"> </w:t>
      </w:r>
      <w:r w:rsidR="00BC4D55" w:rsidRPr="00FD211F">
        <w:rPr>
          <w:sz w:val="36"/>
          <w:szCs w:val="36"/>
          <w:rtl/>
        </w:rPr>
        <w:t>الى</w:t>
      </w:r>
      <w:r w:rsidR="00E8128F">
        <w:rPr>
          <w:sz w:val="36"/>
          <w:szCs w:val="36"/>
          <w:rtl/>
        </w:rPr>
        <w:t xml:space="preserve"> </w:t>
      </w:r>
      <w:r w:rsidR="00BC4D55" w:rsidRPr="00FD211F">
        <w:rPr>
          <w:sz w:val="36"/>
          <w:szCs w:val="36"/>
          <w:rtl/>
        </w:rPr>
        <w:t>مسأل</w:t>
      </w:r>
      <w:r w:rsidR="00EC7EDF" w:rsidRPr="00FD211F">
        <w:rPr>
          <w:sz w:val="36"/>
          <w:szCs w:val="36"/>
          <w:rtl/>
        </w:rPr>
        <w:t>ة</w:t>
      </w:r>
      <w:r w:rsidR="00E8128F">
        <w:rPr>
          <w:sz w:val="36"/>
          <w:szCs w:val="36"/>
          <w:rtl/>
        </w:rPr>
        <w:t xml:space="preserve"> </w:t>
      </w:r>
      <w:r w:rsidR="00BC4D55" w:rsidRPr="00FD211F">
        <w:rPr>
          <w:sz w:val="36"/>
          <w:szCs w:val="36"/>
          <w:rtl/>
        </w:rPr>
        <w:t>اصولي</w:t>
      </w:r>
      <w:r w:rsidR="00EC7EDF" w:rsidRPr="00FD211F">
        <w:rPr>
          <w:sz w:val="36"/>
          <w:szCs w:val="36"/>
          <w:rtl/>
        </w:rPr>
        <w:t>ة</w:t>
      </w:r>
      <w:r w:rsidR="00E8128F">
        <w:rPr>
          <w:sz w:val="36"/>
          <w:szCs w:val="36"/>
          <w:rtl/>
        </w:rPr>
        <w:t xml:space="preserve"> </w:t>
      </w:r>
      <w:r w:rsidR="00BC4D55" w:rsidRPr="00FD211F">
        <w:rPr>
          <w:sz w:val="36"/>
          <w:szCs w:val="36"/>
          <w:rtl/>
        </w:rPr>
        <w:t>أخرى-</w:t>
      </w:r>
      <w:r w:rsidR="00E8128F">
        <w:rPr>
          <w:sz w:val="36"/>
          <w:szCs w:val="36"/>
          <w:rtl/>
        </w:rPr>
        <w:t xml:space="preserve"> </w:t>
      </w:r>
      <w:r w:rsidR="005412BA" w:rsidRPr="00FD211F">
        <w:rPr>
          <w:sz w:val="36"/>
          <w:szCs w:val="36"/>
          <w:rtl/>
        </w:rPr>
        <w:t>يكون</w:t>
      </w:r>
      <w:r w:rsidR="00E8128F">
        <w:rPr>
          <w:sz w:val="36"/>
          <w:szCs w:val="36"/>
          <w:rtl/>
        </w:rPr>
        <w:t xml:space="preserve"> </w:t>
      </w:r>
      <w:r w:rsidR="005412BA" w:rsidRPr="00FD211F">
        <w:rPr>
          <w:sz w:val="36"/>
          <w:szCs w:val="36"/>
          <w:rtl/>
        </w:rPr>
        <w:t>بنحو</w:t>
      </w:r>
      <w:r w:rsidR="00E8128F">
        <w:rPr>
          <w:sz w:val="36"/>
          <w:szCs w:val="36"/>
          <w:rtl/>
        </w:rPr>
        <w:t xml:space="preserve"> </w:t>
      </w:r>
      <w:r w:rsidR="005412BA" w:rsidRPr="00FD211F">
        <w:rPr>
          <w:sz w:val="36"/>
          <w:szCs w:val="36"/>
          <w:rtl/>
        </w:rPr>
        <w:t>التطبيق</w:t>
      </w:r>
      <w:r w:rsidR="00E8128F">
        <w:rPr>
          <w:sz w:val="36"/>
          <w:szCs w:val="36"/>
          <w:rtl/>
        </w:rPr>
        <w:t xml:space="preserve"> </w:t>
      </w:r>
      <w:r w:rsidR="005412BA" w:rsidRPr="00FD211F">
        <w:rPr>
          <w:sz w:val="36"/>
          <w:szCs w:val="36"/>
          <w:rtl/>
        </w:rPr>
        <w:t>وليس</w:t>
      </w:r>
      <w:r w:rsidR="00E8128F">
        <w:rPr>
          <w:sz w:val="36"/>
          <w:szCs w:val="36"/>
          <w:rtl/>
        </w:rPr>
        <w:t xml:space="preserve"> </w:t>
      </w:r>
      <w:r w:rsidR="005412BA" w:rsidRPr="00FD211F">
        <w:rPr>
          <w:sz w:val="36"/>
          <w:szCs w:val="36"/>
          <w:rtl/>
        </w:rPr>
        <w:t>بنحو</w:t>
      </w:r>
      <w:r w:rsidR="00E8128F">
        <w:rPr>
          <w:sz w:val="36"/>
          <w:szCs w:val="36"/>
          <w:rtl/>
        </w:rPr>
        <w:t xml:space="preserve"> </w:t>
      </w:r>
      <w:r w:rsidR="005412BA" w:rsidRPr="00FD211F">
        <w:rPr>
          <w:sz w:val="36"/>
          <w:szCs w:val="36"/>
          <w:rtl/>
        </w:rPr>
        <w:t>الاستنباط</w:t>
      </w:r>
      <w:r w:rsidR="00603323" w:rsidRPr="00FD211F">
        <w:rPr>
          <w:sz w:val="36"/>
          <w:szCs w:val="36"/>
          <w:rtl/>
        </w:rPr>
        <w:t>،</w:t>
      </w:r>
      <w:r w:rsidR="00E8128F">
        <w:rPr>
          <w:sz w:val="36"/>
          <w:szCs w:val="36"/>
          <w:rtl/>
        </w:rPr>
        <w:t xml:space="preserve"> </w:t>
      </w:r>
      <w:r w:rsidR="005412BA" w:rsidRPr="00FD211F">
        <w:rPr>
          <w:sz w:val="36"/>
          <w:szCs w:val="36"/>
          <w:rtl/>
        </w:rPr>
        <w:t>فلايقع</w:t>
      </w:r>
      <w:r w:rsidR="00E8128F">
        <w:rPr>
          <w:sz w:val="36"/>
          <w:szCs w:val="36"/>
          <w:rtl/>
        </w:rPr>
        <w:t xml:space="preserve"> </w:t>
      </w:r>
      <w:r w:rsidR="005412BA" w:rsidRPr="00FD211F">
        <w:rPr>
          <w:sz w:val="36"/>
          <w:szCs w:val="36"/>
          <w:rtl/>
        </w:rPr>
        <w:t>القول</w:t>
      </w:r>
      <w:r w:rsidR="00E8128F">
        <w:rPr>
          <w:sz w:val="36"/>
          <w:szCs w:val="36"/>
          <w:rtl/>
        </w:rPr>
        <w:t xml:space="preserve"> </w:t>
      </w:r>
      <w:r w:rsidR="005412BA" w:rsidRPr="00FD211F">
        <w:rPr>
          <w:sz w:val="36"/>
          <w:szCs w:val="36"/>
          <w:rtl/>
        </w:rPr>
        <w:t>بعدم</w:t>
      </w:r>
      <w:r w:rsidR="00E8128F">
        <w:rPr>
          <w:sz w:val="36"/>
          <w:szCs w:val="36"/>
          <w:rtl/>
        </w:rPr>
        <w:t xml:space="preserve"> </w:t>
      </w:r>
      <w:r w:rsidR="005412BA" w:rsidRPr="00FD211F">
        <w:rPr>
          <w:sz w:val="36"/>
          <w:szCs w:val="36"/>
          <w:rtl/>
        </w:rPr>
        <w:t>الاقتضاء</w:t>
      </w:r>
      <w:r w:rsidR="00E8128F">
        <w:rPr>
          <w:sz w:val="36"/>
          <w:szCs w:val="36"/>
          <w:rtl/>
        </w:rPr>
        <w:t xml:space="preserve"> </w:t>
      </w:r>
      <w:r w:rsidR="005412BA" w:rsidRPr="00FD211F">
        <w:rPr>
          <w:sz w:val="36"/>
          <w:szCs w:val="36"/>
          <w:rtl/>
        </w:rPr>
        <w:t>في</w:t>
      </w:r>
      <w:r w:rsidR="00E8128F">
        <w:rPr>
          <w:sz w:val="36"/>
          <w:szCs w:val="36"/>
          <w:rtl/>
        </w:rPr>
        <w:t xml:space="preserve"> </w:t>
      </w:r>
      <w:r w:rsidR="005412BA" w:rsidRPr="00FD211F">
        <w:rPr>
          <w:sz w:val="36"/>
          <w:szCs w:val="36"/>
          <w:rtl/>
        </w:rPr>
        <w:t>طريق</w:t>
      </w:r>
      <w:r w:rsidR="00E8128F">
        <w:rPr>
          <w:sz w:val="36"/>
          <w:szCs w:val="36"/>
          <w:rtl/>
        </w:rPr>
        <w:t xml:space="preserve"> </w:t>
      </w:r>
      <w:r w:rsidR="005412BA" w:rsidRPr="00FD211F">
        <w:rPr>
          <w:sz w:val="36"/>
          <w:szCs w:val="36"/>
          <w:rtl/>
        </w:rPr>
        <w:lastRenderedPageBreak/>
        <w:t>استنباط</w:t>
      </w:r>
      <w:r w:rsidR="00E8128F">
        <w:rPr>
          <w:sz w:val="36"/>
          <w:szCs w:val="36"/>
          <w:rtl/>
        </w:rPr>
        <w:t xml:space="preserve"> </w:t>
      </w:r>
      <w:r w:rsidR="005412BA" w:rsidRPr="00FD211F">
        <w:rPr>
          <w:sz w:val="36"/>
          <w:szCs w:val="36"/>
          <w:rtl/>
        </w:rPr>
        <w:t>صح</w:t>
      </w:r>
      <w:r w:rsidR="00EC7EDF" w:rsidRPr="00FD211F">
        <w:rPr>
          <w:sz w:val="36"/>
          <w:szCs w:val="36"/>
          <w:rtl/>
        </w:rPr>
        <w:t>ة</w:t>
      </w:r>
      <w:r w:rsidR="00E8128F">
        <w:rPr>
          <w:sz w:val="36"/>
          <w:szCs w:val="36"/>
          <w:rtl/>
        </w:rPr>
        <w:t xml:space="preserve"> </w:t>
      </w:r>
      <w:r w:rsidR="005412BA" w:rsidRPr="00FD211F">
        <w:rPr>
          <w:sz w:val="36"/>
          <w:szCs w:val="36"/>
          <w:rtl/>
        </w:rPr>
        <w:t>هذه</w:t>
      </w:r>
      <w:r w:rsidR="00E8128F">
        <w:rPr>
          <w:sz w:val="36"/>
          <w:szCs w:val="36"/>
          <w:rtl/>
        </w:rPr>
        <w:t xml:space="preserve"> </w:t>
      </w:r>
      <w:r w:rsidR="005412BA" w:rsidRPr="00FD211F">
        <w:rPr>
          <w:sz w:val="36"/>
          <w:szCs w:val="36"/>
          <w:rtl/>
        </w:rPr>
        <w:t>العباد</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2"/>
      </w:r>
      <w:r w:rsidR="009C58C8" w:rsidRPr="00FD211F">
        <w:rPr>
          <w:rStyle w:val="a6"/>
          <w:sz w:val="36"/>
          <w:szCs w:val="36"/>
          <w:rtl/>
        </w:rPr>
        <w:t>)</w:t>
      </w:r>
      <w:r w:rsidR="005412BA" w:rsidRPr="00FD211F">
        <w:rPr>
          <w:sz w:val="36"/>
          <w:szCs w:val="36"/>
          <w:rtl/>
        </w:rPr>
        <w:t>.</w:t>
      </w:r>
    </w:p>
    <w:p w14:paraId="2E67D6D1" w14:textId="77777777" w:rsidR="00587B5C" w:rsidRPr="00FD211F" w:rsidRDefault="005412BA" w:rsidP="009C58C8">
      <w:pPr>
        <w:ind w:left="0" w:firstLine="227"/>
        <w:jc w:val="both"/>
        <w:rPr>
          <w:sz w:val="36"/>
          <w:szCs w:val="36"/>
          <w:rtl/>
        </w:rPr>
      </w:pPr>
      <w:r w:rsidRPr="00FD211F">
        <w:rPr>
          <w:sz w:val="36"/>
          <w:szCs w:val="36"/>
          <w:rtl/>
        </w:rPr>
        <w:t>اقول:</w:t>
      </w:r>
      <w:r w:rsidR="00E8128F">
        <w:rPr>
          <w:sz w:val="36"/>
          <w:szCs w:val="36"/>
          <w:rtl/>
        </w:rPr>
        <w:t xml:space="preserve"> </w:t>
      </w:r>
      <w:r w:rsidR="00BC4D55" w:rsidRPr="00FD211F">
        <w:rPr>
          <w:sz w:val="36"/>
          <w:szCs w:val="36"/>
          <w:rtl/>
        </w:rPr>
        <w:t>ما</w:t>
      </w:r>
      <w:r w:rsidR="00E8128F">
        <w:rPr>
          <w:sz w:val="36"/>
          <w:szCs w:val="36"/>
          <w:rtl/>
        </w:rPr>
        <w:t xml:space="preserve"> </w:t>
      </w:r>
      <w:r w:rsidR="00BC4D55" w:rsidRPr="00FD211F">
        <w:rPr>
          <w:sz w:val="36"/>
          <w:szCs w:val="36"/>
          <w:rtl/>
        </w:rPr>
        <w:t>افاده</w:t>
      </w:r>
      <w:r w:rsidR="00E8128F">
        <w:rPr>
          <w:sz w:val="36"/>
          <w:szCs w:val="36"/>
          <w:rtl/>
        </w:rPr>
        <w:t xml:space="preserve"> </w:t>
      </w:r>
      <w:r w:rsidR="00BC4D55" w:rsidRPr="00FD211F">
        <w:rPr>
          <w:sz w:val="36"/>
          <w:szCs w:val="36"/>
          <w:rtl/>
        </w:rPr>
        <w:t>في</w:t>
      </w:r>
      <w:r w:rsidR="00E8128F">
        <w:rPr>
          <w:sz w:val="36"/>
          <w:szCs w:val="36"/>
          <w:rtl/>
        </w:rPr>
        <w:t xml:space="preserve"> </w:t>
      </w:r>
      <w:r w:rsidR="00BC4D55" w:rsidRPr="00FD211F">
        <w:rPr>
          <w:sz w:val="36"/>
          <w:szCs w:val="36"/>
          <w:rtl/>
        </w:rPr>
        <w:t>الايراد</w:t>
      </w:r>
      <w:r w:rsidR="00E8128F">
        <w:rPr>
          <w:sz w:val="36"/>
          <w:szCs w:val="36"/>
          <w:rtl/>
        </w:rPr>
        <w:t xml:space="preserve"> </w:t>
      </w:r>
      <w:r w:rsidR="00BC4D55" w:rsidRPr="00FD211F">
        <w:rPr>
          <w:sz w:val="36"/>
          <w:szCs w:val="36"/>
          <w:rtl/>
        </w:rPr>
        <w:t>الاول</w:t>
      </w:r>
      <w:r w:rsidR="00E8128F">
        <w:rPr>
          <w:sz w:val="36"/>
          <w:szCs w:val="36"/>
          <w:rtl/>
        </w:rPr>
        <w:t xml:space="preserve"> </w:t>
      </w:r>
      <w:r w:rsidR="00882A6E" w:rsidRPr="00FD211F">
        <w:rPr>
          <w:sz w:val="36"/>
          <w:szCs w:val="36"/>
          <w:rtl/>
        </w:rPr>
        <w:t>تام</w:t>
      </w:r>
      <w:r w:rsidR="00E8128F">
        <w:rPr>
          <w:sz w:val="36"/>
          <w:szCs w:val="36"/>
          <w:rtl/>
        </w:rPr>
        <w:t xml:space="preserve"> </w:t>
      </w:r>
      <w:r w:rsidR="00882A6E" w:rsidRPr="00FD211F">
        <w:rPr>
          <w:sz w:val="36"/>
          <w:szCs w:val="36"/>
          <w:rtl/>
        </w:rPr>
        <w:t>جدّا</w:t>
      </w:r>
      <w:r w:rsidR="00603323" w:rsidRPr="00FD211F">
        <w:rPr>
          <w:sz w:val="36"/>
          <w:szCs w:val="36"/>
          <w:rtl/>
        </w:rPr>
        <w:t>،</w:t>
      </w:r>
      <w:r w:rsidR="00E8128F">
        <w:rPr>
          <w:sz w:val="36"/>
          <w:szCs w:val="36"/>
          <w:rtl/>
        </w:rPr>
        <w:t xml:space="preserve"> </w:t>
      </w:r>
      <w:r w:rsidR="00882A6E" w:rsidRPr="00FD211F">
        <w:rPr>
          <w:sz w:val="36"/>
          <w:szCs w:val="36"/>
          <w:rtl/>
        </w:rPr>
        <w:t>ولكن</w:t>
      </w:r>
      <w:r w:rsidR="00E8128F">
        <w:rPr>
          <w:sz w:val="36"/>
          <w:szCs w:val="36"/>
          <w:rtl/>
        </w:rPr>
        <w:t xml:space="preserve"> </w:t>
      </w:r>
      <w:r w:rsidR="00882A6E" w:rsidRPr="00FD211F">
        <w:rPr>
          <w:sz w:val="36"/>
          <w:szCs w:val="36"/>
          <w:rtl/>
        </w:rPr>
        <w:t>قد</w:t>
      </w:r>
      <w:r w:rsidR="00E8128F">
        <w:rPr>
          <w:sz w:val="36"/>
          <w:szCs w:val="36"/>
          <w:rtl/>
        </w:rPr>
        <w:t xml:space="preserve"> </w:t>
      </w:r>
      <w:r w:rsidR="00882A6E" w:rsidRPr="00FD211F">
        <w:rPr>
          <w:sz w:val="36"/>
          <w:szCs w:val="36"/>
          <w:rtl/>
        </w:rPr>
        <w:t>يلاحظ</w:t>
      </w:r>
      <w:r w:rsidR="00E8128F">
        <w:rPr>
          <w:sz w:val="36"/>
          <w:szCs w:val="36"/>
          <w:rtl/>
        </w:rPr>
        <w:t xml:space="preserve"> </w:t>
      </w:r>
      <w:r w:rsidR="00882A6E" w:rsidRPr="00FD211F">
        <w:rPr>
          <w:sz w:val="36"/>
          <w:szCs w:val="36"/>
          <w:rtl/>
        </w:rPr>
        <w:t>على</w:t>
      </w:r>
      <w:r w:rsidR="00E8128F">
        <w:rPr>
          <w:sz w:val="36"/>
          <w:szCs w:val="36"/>
          <w:rtl/>
        </w:rPr>
        <w:t xml:space="preserve"> </w:t>
      </w:r>
      <w:r w:rsidR="00882A6E" w:rsidRPr="00FD211F">
        <w:rPr>
          <w:sz w:val="36"/>
          <w:szCs w:val="36"/>
          <w:rtl/>
        </w:rPr>
        <w:t>ايراده</w:t>
      </w:r>
      <w:r w:rsidR="00E8128F">
        <w:rPr>
          <w:sz w:val="36"/>
          <w:szCs w:val="36"/>
          <w:rtl/>
        </w:rPr>
        <w:t xml:space="preserve"> </w:t>
      </w:r>
      <w:r w:rsidR="00882A6E" w:rsidRPr="00FD211F">
        <w:rPr>
          <w:sz w:val="36"/>
          <w:szCs w:val="36"/>
          <w:rtl/>
        </w:rPr>
        <w:t>الثاني</w:t>
      </w:r>
      <w:r w:rsidR="00E8128F">
        <w:rPr>
          <w:sz w:val="36"/>
          <w:szCs w:val="36"/>
          <w:rtl/>
        </w:rPr>
        <w:t xml:space="preserve"> </w:t>
      </w:r>
      <w:r w:rsidR="00882A6E" w:rsidRPr="00FD211F">
        <w:rPr>
          <w:sz w:val="36"/>
          <w:szCs w:val="36"/>
          <w:rtl/>
        </w:rPr>
        <w:t>عدم</w:t>
      </w:r>
      <w:r w:rsidR="00E8128F">
        <w:rPr>
          <w:sz w:val="36"/>
          <w:szCs w:val="36"/>
          <w:rtl/>
        </w:rPr>
        <w:t xml:space="preserve"> </w:t>
      </w:r>
      <w:r w:rsidR="00882A6E" w:rsidRPr="00FD211F">
        <w:rPr>
          <w:sz w:val="36"/>
          <w:szCs w:val="36"/>
          <w:rtl/>
        </w:rPr>
        <w:t>وضوح</w:t>
      </w:r>
      <w:r w:rsidR="00E8128F">
        <w:rPr>
          <w:sz w:val="36"/>
          <w:szCs w:val="36"/>
          <w:rtl/>
        </w:rPr>
        <w:t xml:space="preserve"> </w:t>
      </w:r>
      <w:r w:rsidR="00882A6E" w:rsidRPr="00FD211F">
        <w:rPr>
          <w:sz w:val="36"/>
          <w:szCs w:val="36"/>
          <w:rtl/>
        </w:rPr>
        <w:t>امتناع</w:t>
      </w:r>
      <w:r w:rsidR="00E8128F">
        <w:rPr>
          <w:sz w:val="36"/>
          <w:szCs w:val="36"/>
          <w:rtl/>
        </w:rPr>
        <w:t xml:space="preserve"> </w:t>
      </w:r>
      <w:r w:rsidR="00882A6E" w:rsidRPr="00FD211F">
        <w:rPr>
          <w:sz w:val="36"/>
          <w:szCs w:val="36"/>
          <w:rtl/>
        </w:rPr>
        <w:t>اجتماع</w:t>
      </w:r>
      <w:r w:rsidR="00E8128F">
        <w:rPr>
          <w:sz w:val="36"/>
          <w:szCs w:val="36"/>
          <w:rtl/>
        </w:rPr>
        <w:t xml:space="preserve"> </w:t>
      </w:r>
      <w:r w:rsidR="00882A6E" w:rsidRPr="00FD211F">
        <w:rPr>
          <w:sz w:val="36"/>
          <w:szCs w:val="36"/>
          <w:rtl/>
        </w:rPr>
        <w:t>النهي</w:t>
      </w:r>
      <w:r w:rsidR="00E8128F">
        <w:rPr>
          <w:sz w:val="36"/>
          <w:szCs w:val="36"/>
          <w:rtl/>
        </w:rPr>
        <w:t xml:space="preserve"> </w:t>
      </w:r>
      <w:r w:rsidR="00882A6E" w:rsidRPr="00FD211F">
        <w:rPr>
          <w:sz w:val="36"/>
          <w:szCs w:val="36"/>
          <w:rtl/>
        </w:rPr>
        <w:t>الغيري</w:t>
      </w:r>
      <w:r w:rsidR="00E8128F">
        <w:rPr>
          <w:sz w:val="36"/>
          <w:szCs w:val="36"/>
          <w:rtl/>
        </w:rPr>
        <w:t xml:space="preserve"> </w:t>
      </w:r>
      <w:r w:rsidR="00882A6E" w:rsidRPr="00FD211F">
        <w:rPr>
          <w:sz w:val="36"/>
          <w:szCs w:val="36"/>
          <w:rtl/>
        </w:rPr>
        <w:t>عن</w:t>
      </w:r>
      <w:r w:rsidR="00E8128F">
        <w:rPr>
          <w:sz w:val="36"/>
          <w:szCs w:val="36"/>
          <w:rtl/>
        </w:rPr>
        <w:t xml:space="preserve"> </w:t>
      </w:r>
      <w:r w:rsidR="00882A6E" w:rsidRPr="00FD211F">
        <w:rPr>
          <w:sz w:val="36"/>
          <w:szCs w:val="36"/>
          <w:rtl/>
        </w:rPr>
        <w:t>ضد</w:t>
      </w:r>
      <w:r w:rsidR="00E8128F">
        <w:rPr>
          <w:sz w:val="36"/>
          <w:szCs w:val="36"/>
          <w:rtl/>
        </w:rPr>
        <w:t xml:space="preserve"> </w:t>
      </w:r>
      <w:r w:rsidR="00882A6E" w:rsidRPr="00FD211F">
        <w:rPr>
          <w:sz w:val="36"/>
          <w:szCs w:val="36"/>
          <w:rtl/>
        </w:rPr>
        <w:t>الواجب</w:t>
      </w:r>
      <w:r w:rsidR="00E8128F">
        <w:rPr>
          <w:sz w:val="36"/>
          <w:szCs w:val="36"/>
          <w:rtl/>
        </w:rPr>
        <w:t xml:space="preserve"> </w:t>
      </w:r>
      <w:r w:rsidR="00882A6E" w:rsidRPr="00FD211F">
        <w:rPr>
          <w:sz w:val="36"/>
          <w:szCs w:val="36"/>
          <w:rtl/>
        </w:rPr>
        <w:t>مع</w:t>
      </w:r>
      <w:r w:rsidR="00E8128F">
        <w:rPr>
          <w:sz w:val="36"/>
          <w:szCs w:val="36"/>
          <w:rtl/>
        </w:rPr>
        <w:t xml:space="preserve"> </w:t>
      </w:r>
      <w:r w:rsidR="001B3112" w:rsidRPr="00FD211F">
        <w:rPr>
          <w:sz w:val="36"/>
          <w:szCs w:val="36"/>
          <w:rtl/>
        </w:rPr>
        <w:t>الأمر</w:t>
      </w:r>
      <w:r w:rsidR="00E8128F">
        <w:rPr>
          <w:sz w:val="36"/>
          <w:szCs w:val="36"/>
          <w:rtl/>
        </w:rPr>
        <w:t xml:space="preserve"> </w:t>
      </w:r>
      <w:r w:rsidR="00882A6E" w:rsidRPr="00FD211F">
        <w:rPr>
          <w:sz w:val="36"/>
          <w:szCs w:val="36"/>
          <w:rtl/>
        </w:rPr>
        <w:t>الترتبي</w:t>
      </w:r>
      <w:r w:rsidR="00E8128F">
        <w:rPr>
          <w:sz w:val="36"/>
          <w:szCs w:val="36"/>
          <w:rtl/>
        </w:rPr>
        <w:t xml:space="preserve"> </w:t>
      </w:r>
      <w:r w:rsidR="00882A6E" w:rsidRPr="00FD211F">
        <w:rPr>
          <w:sz w:val="36"/>
          <w:szCs w:val="36"/>
          <w:rtl/>
        </w:rPr>
        <w:t>به</w:t>
      </w:r>
      <w:r w:rsidR="00E8128F">
        <w:rPr>
          <w:sz w:val="36"/>
          <w:szCs w:val="36"/>
          <w:rtl/>
        </w:rPr>
        <w:t xml:space="preserve"> </w:t>
      </w:r>
      <w:r w:rsidR="00882A6E" w:rsidRPr="00FD211F">
        <w:rPr>
          <w:sz w:val="36"/>
          <w:szCs w:val="36"/>
          <w:rtl/>
        </w:rPr>
        <w:t>على</w:t>
      </w:r>
      <w:r w:rsidR="00E8128F">
        <w:rPr>
          <w:sz w:val="36"/>
          <w:szCs w:val="36"/>
          <w:rtl/>
        </w:rPr>
        <w:t xml:space="preserve"> </w:t>
      </w:r>
      <w:r w:rsidR="00882A6E" w:rsidRPr="00FD211F">
        <w:rPr>
          <w:sz w:val="36"/>
          <w:szCs w:val="36"/>
          <w:rtl/>
        </w:rPr>
        <w:t>تقدير</w:t>
      </w:r>
      <w:r w:rsidR="00E8128F">
        <w:rPr>
          <w:sz w:val="36"/>
          <w:szCs w:val="36"/>
          <w:rtl/>
        </w:rPr>
        <w:t xml:space="preserve"> </w:t>
      </w:r>
      <w:r w:rsidR="00882A6E" w:rsidRPr="00FD211F">
        <w:rPr>
          <w:sz w:val="36"/>
          <w:szCs w:val="36"/>
          <w:rtl/>
        </w:rPr>
        <w:t>عصيان</w:t>
      </w:r>
      <w:r w:rsidR="00E8128F">
        <w:rPr>
          <w:sz w:val="36"/>
          <w:szCs w:val="36"/>
          <w:rtl/>
        </w:rPr>
        <w:t xml:space="preserve"> </w:t>
      </w:r>
      <w:r w:rsidR="00882A6E" w:rsidRPr="00FD211F">
        <w:rPr>
          <w:sz w:val="36"/>
          <w:szCs w:val="36"/>
          <w:rtl/>
        </w:rPr>
        <w:t>ذلك</w:t>
      </w:r>
      <w:r w:rsidR="00E8128F">
        <w:rPr>
          <w:sz w:val="36"/>
          <w:szCs w:val="36"/>
          <w:rtl/>
        </w:rPr>
        <w:t xml:space="preserve"> </w:t>
      </w:r>
      <w:r w:rsidR="00882A6E" w:rsidRPr="00FD211F">
        <w:rPr>
          <w:sz w:val="36"/>
          <w:szCs w:val="36"/>
          <w:rtl/>
        </w:rPr>
        <w:t>الواجب</w:t>
      </w:r>
      <w:r w:rsidR="00603323" w:rsidRPr="00FD211F">
        <w:rPr>
          <w:sz w:val="36"/>
          <w:szCs w:val="36"/>
          <w:rtl/>
        </w:rPr>
        <w:t>،</w:t>
      </w:r>
      <w:r w:rsidR="00E8128F">
        <w:rPr>
          <w:sz w:val="36"/>
          <w:szCs w:val="36"/>
          <w:rtl/>
        </w:rPr>
        <w:t xml:space="preserve"> </w:t>
      </w:r>
      <w:r w:rsidR="00882A6E" w:rsidRPr="00FD211F">
        <w:rPr>
          <w:sz w:val="36"/>
          <w:szCs w:val="36"/>
          <w:rtl/>
        </w:rPr>
        <w:t>فانه</w:t>
      </w:r>
      <w:r w:rsidR="00E8128F">
        <w:rPr>
          <w:sz w:val="36"/>
          <w:szCs w:val="36"/>
          <w:rtl/>
        </w:rPr>
        <w:t xml:space="preserve"> </w:t>
      </w:r>
      <w:r w:rsidR="00882A6E" w:rsidRPr="00FD211F">
        <w:rPr>
          <w:sz w:val="36"/>
          <w:szCs w:val="36"/>
          <w:rtl/>
        </w:rPr>
        <w:t>لامانع</w:t>
      </w:r>
      <w:r w:rsidR="00E8128F">
        <w:rPr>
          <w:sz w:val="36"/>
          <w:szCs w:val="36"/>
          <w:rtl/>
        </w:rPr>
        <w:t xml:space="preserve"> </w:t>
      </w:r>
      <w:r w:rsidR="00882A6E" w:rsidRPr="00FD211F">
        <w:rPr>
          <w:sz w:val="36"/>
          <w:szCs w:val="36"/>
          <w:rtl/>
        </w:rPr>
        <w:t>من</w:t>
      </w:r>
      <w:r w:rsidR="00E8128F">
        <w:rPr>
          <w:sz w:val="36"/>
          <w:szCs w:val="36"/>
          <w:rtl/>
        </w:rPr>
        <w:t xml:space="preserve"> </w:t>
      </w:r>
      <w:r w:rsidR="00882A6E" w:rsidRPr="00FD211F">
        <w:rPr>
          <w:sz w:val="36"/>
          <w:szCs w:val="36"/>
          <w:rtl/>
        </w:rPr>
        <w:t>اجتماع</w:t>
      </w:r>
      <w:r w:rsidR="00E8128F">
        <w:rPr>
          <w:sz w:val="36"/>
          <w:szCs w:val="36"/>
          <w:rtl/>
        </w:rPr>
        <w:t xml:space="preserve"> </w:t>
      </w:r>
      <w:r w:rsidR="00882A6E" w:rsidRPr="00FD211F">
        <w:rPr>
          <w:sz w:val="36"/>
          <w:szCs w:val="36"/>
          <w:rtl/>
        </w:rPr>
        <w:t>الكراه</w:t>
      </w:r>
      <w:r w:rsidR="00EC7EDF" w:rsidRPr="00FD211F">
        <w:rPr>
          <w:sz w:val="36"/>
          <w:szCs w:val="36"/>
          <w:rtl/>
        </w:rPr>
        <w:t>ة</w:t>
      </w:r>
      <w:r w:rsidR="00E8128F">
        <w:rPr>
          <w:sz w:val="36"/>
          <w:szCs w:val="36"/>
          <w:rtl/>
        </w:rPr>
        <w:t xml:space="preserve"> </w:t>
      </w:r>
      <w:r w:rsidR="00882A6E" w:rsidRPr="00FD211F">
        <w:rPr>
          <w:sz w:val="36"/>
          <w:szCs w:val="36"/>
          <w:rtl/>
        </w:rPr>
        <w:t>الغيري</w:t>
      </w:r>
      <w:r w:rsidR="00EC7EDF" w:rsidRPr="00FD211F">
        <w:rPr>
          <w:sz w:val="36"/>
          <w:szCs w:val="36"/>
          <w:rtl/>
        </w:rPr>
        <w:t>ة</w:t>
      </w:r>
      <w:r w:rsidR="00E8128F">
        <w:rPr>
          <w:sz w:val="36"/>
          <w:szCs w:val="36"/>
          <w:rtl/>
        </w:rPr>
        <w:t xml:space="preserve"> </w:t>
      </w:r>
      <w:r w:rsidR="00882A6E" w:rsidRPr="00FD211F">
        <w:rPr>
          <w:sz w:val="36"/>
          <w:szCs w:val="36"/>
          <w:rtl/>
        </w:rPr>
        <w:t>مع</w:t>
      </w:r>
      <w:r w:rsidR="00E8128F">
        <w:rPr>
          <w:sz w:val="36"/>
          <w:szCs w:val="36"/>
          <w:rtl/>
        </w:rPr>
        <w:t xml:space="preserve"> </w:t>
      </w:r>
      <w:r w:rsidR="00882A6E" w:rsidRPr="00FD211F">
        <w:rPr>
          <w:sz w:val="36"/>
          <w:szCs w:val="36"/>
          <w:rtl/>
        </w:rPr>
        <w:t>المحبوبي</w:t>
      </w:r>
      <w:r w:rsidR="00EC7EDF" w:rsidRPr="00FD211F">
        <w:rPr>
          <w:sz w:val="36"/>
          <w:szCs w:val="36"/>
          <w:rtl/>
        </w:rPr>
        <w:t>ة</w:t>
      </w:r>
      <w:r w:rsidR="00E8128F">
        <w:rPr>
          <w:sz w:val="36"/>
          <w:szCs w:val="36"/>
          <w:rtl/>
        </w:rPr>
        <w:t xml:space="preserve"> </w:t>
      </w:r>
      <w:r w:rsidR="00882A6E" w:rsidRPr="00FD211F">
        <w:rPr>
          <w:sz w:val="36"/>
          <w:szCs w:val="36"/>
          <w:rtl/>
        </w:rPr>
        <w:t>النفسي</w:t>
      </w:r>
      <w:r w:rsidR="00EC7EDF" w:rsidRPr="00FD211F">
        <w:rPr>
          <w:sz w:val="36"/>
          <w:szCs w:val="36"/>
          <w:rtl/>
        </w:rPr>
        <w:t>ة</w:t>
      </w:r>
      <w:r w:rsidR="00603323" w:rsidRPr="00FD211F">
        <w:rPr>
          <w:sz w:val="36"/>
          <w:szCs w:val="36"/>
          <w:rtl/>
        </w:rPr>
        <w:t>،</w:t>
      </w:r>
      <w:r w:rsidR="00E8128F">
        <w:rPr>
          <w:sz w:val="36"/>
          <w:szCs w:val="36"/>
          <w:rtl/>
        </w:rPr>
        <w:t xml:space="preserve"> </w:t>
      </w:r>
      <w:r w:rsidR="00744A82" w:rsidRPr="00FD211F">
        <w:rPr>
          <w:sz w:val="36"/>
          <w:szCs w:val="36"/>
          <w:rtl/>
        </w:rPr>
        <w:t>فيمكن</w:t>
      </w:r>
      <w:r w:rsidR="00E8128F">
        <w:rPr>
          <w:sz w:val="36"/>
          <w:szCs w:val="36"/>
          <w:rtl/>
        </w:rPr>
        <w:t xml:space="preserve"> </w:t>
      </w:r>
      <w:r w:rsidR="00744A82" w:rsidRPr="00FD211F">
        <w:rPr>
          <w:sz w:val="36"/>
          <w:szCs w:val="36"/>
          <w:rtl/>
        </w:rPr>
        <w:t>ان</w:t>
      </w:r>
      <w:r w:rsidR="00E8128F">
        <w:rPr>
          <w:sz w:val="36"/>
          <w:szCs w:val="36"/>
          <w:rtl/>
        </w:rPr>
        <w:t xml:space="preserve"> </w:t>
      </w:r>
      <w:r w:rsidR="00744A82" w:rsidRPr="00FD211F">
        <w:rPr>
          <w:sz w:val="36"/>
          <w:szCs w:val="36"/>
          <w:rtl/>
        </w:rPr>
        <w:t>يكره</w:t>
      </w:r>
      <w:r w:rsidR="00E8128F">
        <w:rPr>
          <w:sz w:val="36"/>
          <w:szCs w:val="36"/>
          <w:rtl/>
        </w:rPr>
        <w:t xml:space="preserve"> </w:t>
      </w:r>
      <w:r w:rsidR="00882A6E" w:rsidRPr="00FD211F">
        <w:rPr>
          <w:sz w:val="36"/>
          <w:szCs w:val="36"/>
          <w:rtl/>
        </w:rPr>
        <w:t>المولى</w:t>
      </w:r>
      <w:r w:rsidR="00E8128F">
        <w:rPr>
          <w:sz w:val="36"/>
          <w:szCs w:val="36"/>
          <w:rtl/>
        </w:rPr>
        <w:t xml:space="preserve"> </w:t>
      </w:r>
      <w:r w:rsidR="00882A6E" w:rsidRPr="00FD211F">
        <w:rPr>
          <w:sz w:val="36"/>
          <w:szCs w:val="36"/>
          <w:rtl/>
        </w:rPr>
        <w:t>الصلا</w:t>
      </w:r>
      <w:r w:rsidR="00EC7EDF" w:rsidRPr="00FD211F">
        <w:rPr>
          <w:sz w:val="36"/>
          <w:szCs w:val="36"/>
          <w:rtl/>
        </w:rPr>
        <w:t>ة</w:t>
      </w:r>
      <w:r w:rsidR="00E8128F">
        <w:rPr>
          <w:sz w:val="36"/>
          <w:szCs w:val="36"/>
          <w:rtl/>
        </w:rPr>
        <w:t xml:space="preserve"> </w:t>
      </w:r>
      <w:r w:rsidR="00882A6E" w:rsidRPr="00FD211F">
        <w:rPr>
          <w:sz w:val="36"/>
          <w:szCs w:val="36"/>
          <w:rtl/>
        </w:rPr>
        <w:t>المنافي</w:t>
      </w:r>
      <w:r w:rsidR="00EC7EDF" w:rsidRPr="00FD211F">
        <w:rPr>
          <w:sz w:val="36"/>
          <w:szCs w:val="36"/>
          <w:rtl/>
        </w:rPr>
        <w:t>ة</w:t>
      </w:r>
      <w:r w:rsidR="00E8128F">
        <w:rPr>
          <w:sz w:val="36"/>
          <w:szCs w:val="36"/>
          <w:rtl/>
        </w:rPr>
        <w:t xml:space="preserve"> </w:t>
      </w:r>
      <w:r w:rsidR="00744A82" w:rsidRPr="00FD211F">
        <w:rPr>
          <w:sz w:val="36"/>
          <w:szCs w:val="36"/>
          <w:rtl/>
        </w:rPr>
        <w:t>للإزال</w:t>
      </w:r>
      <w:r w:rsidR="00EC7EDF" w:rsidRPr="00FD211F">
        <w:rPr>
          <w:sz w:val="36"/>
          <w:szCs w:val="36"/>
          <w:rtl/>
        </w:rPr>
        <w:t>ة</w:t>
      </w:r>
      <w:r w:rsidR="00E8128F">
        <w:rPr>
          <w:sz w:val="36"/>
          <w:szCs w:val="36"/>
          <w:rtl/>
        </w:rPr>
        <w:t xml:space="preserve"> </w:t>
      </w:r>
      <w:r w:rsidR="00882A6E" w:rsidRPr="00FD211F">
        <w:rPr>
          <w:sz w:val="36"/>
          <w:szCs w:val="36"/>
          <w:rtl/>
        </w:rPr>
        <w:t>من</w:t>
      </w:r>
      <w:r w:rsidR="00E8128F">
        <w:rPr>
          <w:sz w:val="36"/>
          <w:szCs w:val="36"/>
          <w:rtl/>
        </w:rPr>
        <w:t xml:space="preserve"> </w:t>
      </w:r>
      <w:r w:rsidR="00882A6E" w:rsidRPr="00FD211F">
        <w:rPr>
          <w:sz w:val="36"/>
          <w:szCs w:val="36"/>
          <w:rtl/>
        </w:rPr>
        <w:t>حيث</w:t>
      </w:r>
      <w:r w:rsidR="00E8128F">
        <w:rPr>
          <w:sz w:val="36"/>
          <w:szCs w:val="36"/>
          <w:rtl/>
        </w:rPr>
        <w:t xml:space="preserve"> </w:t>
      </w:r>
      <w:r w:rsidR="00882A6E" w:rsidRPr="00FD211F">
        <w:rPr>
          <w:sz w:val="36"/>
          <w:szCs w:val="36"/>
          <w:rtl/>
        </w:rPr>
        <w:t>كونها</w:t>
      </w:r>
      <w:r w:rsidR="00E8128F">
        <w:rPr>
          <w:sz w:val="36"/>
          <w:szCs w:val="36"/>
          <w:rtl/>
        </w:rPr>
        <w:t xml:space="preserve"> </w:t>
      </w:r>
      <w:r w:rsidR="00882A6E" w:rsidRPr="00FD211F">
        <w:rPr>
          <w:sz w:val="36"/>
          <w:szCs w:val="36"/>
          <w:rtl/>
        </w:rPr>
        <w:t>ضد</w:t>
      </w:r>
      <w:r w:rsidR="00E8128F">
        <w:rPr>
          <w:sz w:val="36"/>
          <w:szCs w:val="36"/>
          <w:rtl/>
        </w:rPr>
        <w:t xml:space="preserve"> </w:t>
      </w:r>
      <w:r w:rsidR="00882A6E" w:rsidRPr="00FD211F">
        <w:rPr>
          <w:sz w:val="36"/>
          <w:szCs w:val="36"/>
          <w:rtl/>
        </w:rPr>
        <w:t>الواجب</w:t>
      </w:r>
      <w:r w:rsidR="00E8128F">
        <w:rPr>
          <w:sz w:val="36"/>
          <w:szCs w:val="36"/>
          <w:rtl/>
        </w:rPr>
        <w:t xml:space="preserve"> </w:t>
      </w:r>
      <w:r w:rsidR="00882A6E" w:rsidRPr="00FD211F">
        <w:rPr>
          <w:sz w:val="36"/>
          <w:szCs w:val="36"/>
          <w:rtl/>
        </w:rPr>
        <w:t>المضيق</w:t>
      </w:r>
      <w:r w:rsidR="00603323" w:rsidRPr="00FD211F">
        <w:rPr>
          <w:sz w:val="36"/>
          <w:szCs w:val="36"/>
          <w:rtl/>
        </w:rPr>
        <w:t>،</w:t>
      </w:r>
      <w:r w:rsidR="00E8128F">
        <w:rPr>
          <w:sz w:val="36"/>
          <w:szCs w:val="36"/>
          <w:rtl/>
        </w:rPr>
        <w:t xml:space="preserve"> </w:t>
      </w:r>
      <w:r w:rsidR="00882A6E" w:rsidRPr="00FD211F">
        <w:rPr>
          <w:sz w:val="36"/>
          <w:szCs w:val="36"/>
          <w:rtl/>
        </w:rPr>
        <w:t>ولكن</w:t>
      </w:r>
      <w:r w:rsidR="00E8128F">
        <w:rPr>
          <w:sz w:val="36"/>
          <w:szCs w:val="36"/>
          <w:rtl/>
        </w:rPr>
        <w:t xml:space="preserve"> </w:t>
      </w:r>
      <w:r w:rsidR="00882A6E" w:rsidRPr="00FD211F">
        <w:rPr>
          <w:sz w:val="36"/>
          <w:szCs w:val="36"/>
          <w:rtl/>
        </w:rPr>
        <w:t>يحبها</w:t>
      </w:r>
      <w:r w:rsidR="00E8128F">
        <w:rPr>
          <w:sz w:val="36"/>
          <w:szCs w:val="36"/>
          <w:rtl/>
        </w:rPr>
        <w:t xml:space="preserve"> </w:t>
      </w:r>
      <w:r w:rsidR="00882A6E" w:rsidRPr="00FD211F">
        <w:rPr>
          <w:sz w:val="36"/>
          <w:szCs w:val="36"/>
          <w:rtl/>
        </w:rPr>
        <w:t>من</w:t>
      </w:r>
      <w:r w:rsidR="00E8128F">
        <w:rPr>
          <w:sz w:val="36"/>
          <w:szCs w:val="36"/>
          <w:rtl/>
        </w:rPr>
        <w:t xml:space="preserve"> </w:t>
      </w:r>
      <w:r w:rsidR="00882A6E" w:rsidRPr="00FD211F">
        <w:rPr>
          <w:sz w:val="36"/>
          <w:szCs w:val="36"/>
          <w:rtl/>
        </w:rPr>
        <w:t>حيث</w:t>
      </w:r>
      <w:r w:rsidR="00E8128F">
        <w:rPr>
          <w:sz w:val="36"/>
          <w:szCs w:val="36"/>
          <w:rtl/>
        </w:rPr>
        <w:t xml:space="preserve"> </w:t>
      </w:r>
      <w:r w:rsidR="00882A6E" w:rsidRPr="00FD211F">
        <w:rPr>
          <w:sz w:val="36"/>
          <w:szCs w:val="36"/>
          <w:rtl/>
        </w:rPr>
        <w:t>نفسها</w:t>
      </w:r>
      <w:r w:rsidR="00603323" w:rsidRPr="00FD211F">
        <w:rPr>
          <w:sz w:val="36"/>
          <w:szCs w:val="36"/>
          <w:rtl/>
        </w:rPr>
        <w:t>،</w:t>
      </w:r>
      <w:r w:rsidR="00E8128F">
        <w:rPr>
          <w:sz w:val="36"/>
          <w:szCs w:val="36"/>
          <w:rtl/>
        </w:rPr>
        <w:t xml:space="preserve"> </w:t>
      </w:r>
      <w:r w:rsidR="00587B5C" w:rsidRPr="00FD211F">
        <w:rPr>
          <w:sz w:val="36"/>
          <w:szCs w:val="36"/>
          <w:rtl/>
        </w:rPr>
        <w:t>فتأمل.</w:t>
      </w:r>
    </w:p>
    <w:p w14:paraId="60A8D229" w14:textId="77777777" w:rsidR="005412BA" w:rsidRPr="00FD211F" w:rsidRDefault="00587B5C" w:rsidP="009C58C8">
      <w:pPr>
        <w:ind w:left="0" w:firstLine="227"/>
        <w:jc w:val="both"/>
        <w:rPr>
          <w:sz w:val="36"/>
          <w:szCs w:val="36"/>
          <w:rtl/>
        </w:rPr>
      </w:pPr>
      <w:r w:rsidRPr="00FD211F">
        <w:rPr>
          <w:sz w:val="36"/>
          <w:szCs w:val="36"/>
          <w:rtl/>
        </w:rPr>
        <w:t>و</w:t>
      </w:r>
      <w:r w:rsidR="001A5E03" w:rsidRPr="00FD211F">
        <w:rPr>
          <w:sz w:val="36"/>
          <w:szCs w:val="36"/>
          <w:rtl/>
        </w:rPr>
        <w:t>اما</w:t>
      </w:r>
      <w:r w:rsidR="00E8128F">
        <w:rPr>
          <w:sz w:val="36"/>
          <w:szCs w:val="36"/>
          <w:rtl/>
        </w:rPr>
        <w:t xml:space="preserve"> </w:t>
      </w:r>
      <w:r w:rsidR="001A5E03" w:rsidRPr="00FD211F">
        <w:rPr>
          <w:sz w:val="36"/>
          <w:szCs w:val="36"/>
          <w:rtl/>
        </w:rPr>
        <w:t>ايراده</w:t>
      </w:r>
      <w:r w:rsidR="00E8128F">
        <w:rPr>
          <w:sz w:val="36"/>
          <w:szCs w:val="36"/>
          <w:rtl/>
        </w:rPr>
        <w:t xml:space="preserve"> </w:t>
      </w:r>
      <w:r w:rsidR="001A5E03" w:rsidRPr="00FD211F">
        <w:rPr>
          <w:sz w:val="36"/>
          <w:szCs w:val="36"/>
          <w:rtl/>
        </w:rPr>
        <w:t>الثالث</w:t>
      </w:r>
      <w:r w:rsidR="00E8128F">
        <w:rPr>
          <w:sz w:val="36"/>
          <w:szCs w:val="36"/>
          <w:rtl/>
        </w:rPr>
        <w:t xml:space="preserve"> </w:t>
      </w:r>
      <w:r w:rsidR="001A5E03" w:rsidRPr="00FD211F">
        <w:rPr>
          <w:sz w:val="36"/>
          <w:szCs w:val="36"/>
          <w:rtl/>
        </w:rPr>
        <w:t>فغير</w:t>
      </w:r>
      <w:r w:rsidR="00E8128F">
        <w:rPr>
          <w:sz w:val="36"/>
          <w:szCs w:val="36"/>
          <w:rtl/>
        </w:rPr>
        <w:t xml:space="preserve"> </w:t>
      </w:r>
      <w:r w:rsidR="001A5E03" w:rsidRPr="00FD211F">
        <w:rPr>
          <w:sz w:val="36"/>
          <w:szCs w:val="36"/>
          <w:rtl/>
        </w:rPr>
        <w:t>متجه</w:t>
      </w:r>
      <w:r w:rsidR="00E8128F">
        <w:rPr>
          <w:sz w:val="36"/>
          <w:szCs w:val="36"/>
          <w:rtl/>
        </w:rPr>
        <w:t xml:space="preserve"> </w:t>
      </w:r>
      <w:r w:rsidR="00BC4D55" w:rsidRPr="00FD211F">
        <w:rPr>
          <w:sz w:val="36"/>
          <w:szCs w:val="36"/>
          <w:rtl/>
        </w:rPr>
        <w:t>فان</w:t>
      </w:r>
      <w:r w:rsidR="00E8128F">
        <w:rPr>
          <w:sz w:val="36"/>
          <w:szCs w:val="36"/>
          <w:rtl/>
        </w:rPr>
        <w:t xml:space="preserve"> </w:t>
      </w:r>
      <w:r w:rsidR="005412BA" w:rsidRPr="00FD211F">
        <w:rPr>
          <w:sz w:val="36"/>
          <w:szCs w:val="36"/>
          <w:rtl/>
        </w:rPr>
        <w:t>صح</w:t>
      </w:r>
      <w:r w:rsidR="00EC7EDF" w:rsidRPr="00FD211F">
        <w:rPr>
          <w:sz w:val="36"/>
          <w:szCs w:val="36"/>
          <w:rtl/>
        </w:rPr>
        <w:t>ة</w:t>
      </w:r>
      <w:r w:rsidR="00E8128F">
        <w:rPr>
          <w:sz w:val="36"/>
          <w:szCs w:val="36"/>
          <w:rtl/>
        </w:rPr>
        <w:t xml:space="preserve"> </w:t>
      </w:r>
      <w:r w:rsidR="00417559" w:rsidRPr="00FD211F">
        <w:rPr>
          <w:sz w:val="36"/>
          <w:szCs w:val="36"/>
          <w:rtl/>
        </w:rPr>
        <w:t>الصلا</w:t>
      </w:r>
      <w:r w:rsidR="00EC7EDF" w:rsidRPr="00FD211F">
        <w:rPr>
          <w:sz w:val="36"/>
          <w:szCs w:val="36"/>
          <w:rtl/>
        </w:rPr>
        <w:t>ة</w:t>
      </w:r>
      <w:r w:rsidR="00E8128F">
        <w:rPr>
          <w:sz w:val="36"/>
          <w:szCs w:val="36"/>
          <w:rtl/>
        </w:rPr>
        <w:t xml:space="preserve"> </w:t>
      </w:r>
      <w:r w:rsidR="005412BA" w:rsidRPr="00FD211F">
        <w:rPr>
          <w:sz w:val="36"/>
          <w:szCs w:val="36"/>
          <w:rtl/>
        </w:rPr>
        <w:t>التي</w:t>
      </w:r>
      <w:r w:rsidR="00E8128F">
        <w:rPr>
          <w:sz w:val="36"/>
          <w:szCs w:val="36"/>
          <w:rtl/>
        </w:rPr>
        <w:t xml:space="preserve"> </w:t>
      </w:r>
      <w:r w:rsidR="005412BA" w:rsidRPr="00FD211F">
        <w:rPr>
          <w:sz w:val="36"/>
          <w:szCs w:val="36"/>
          <w:rtl/>
        </w:rPr>
        <w:t>هي</w:t>
      </w:r>
      <w:r w:rsidR="00E8128F">
        <w:rPr>
          <w:sz w:val="36"/>
          <w:szCs w:val="36"/>
          <w:rtl/>
        </w:rPr>
        <w:t xml:space="preserve"> </w:t>
      </w:r>
      <w:r w:rsidR="005412BA" w:rsidRPr="00FD211F">
        <w:rPr>
          <w:sz w:val="36"/>
          <w:szCs w:val="36"/>
          <w:rtl/>
        </w:rPr>
        <w:t>ضد</w:t>
      </w:r>
      <w:r w:rsidR="00E8128F">
        <w:rPr>
          <w:sz w:val="36"/>
          <w:szCs w:val="36"/>
          <w:rtl/>
        </w:rPr>
        <w:t xml:space="preserve"> </w:t>
      </w:r>
      <w:r w:rsidR="005412BA" w:rsidRPr="00FD211F">
        <w:rPr>
          <w:sz w:val="36"/>
          <w:szCs w:val="36"/>
          <w:rtl/>
        </w:rPr>
        <w:t>الواجب</w:t>
      </w:r>
      <w:r w:rsidR="00E8128F">
        <w:rPr>
          <w:sz w:val="36"/>
          <w:szCs w:val="36"/>
          <w:rtl/>
        </w:rPr>
        <w:t xml:space="preserve"> </w:t>
      </w:r>
      <w:r w:rsidR="005412BA" w:rsidRPr="00FD211F">
        <w:rPr>
          <w:sz w:val="36"/>
          <w:szCs w:val="36"/>
          <w:rtl/>
        </w:rPr>
        <w:t>ليست</w:t>
      </w:r>
      <w:r w:rsidR="00E8128F">
        <w:rPr>
          <w:sz w:val="36"/>
          <w:szCs w:val="36"/>
          <w:rtl/>
        </w:rPr>
        <w:t xml:space="preserve"> </w:t>
      </w:r>
      <w:r w:rsidR="005412BA" w:rsidRPr="00FD211F">
        <w:rPr>
          <w:sz w:val="36"/>
          <w:szCs w:val="36"/>
          <w:rtl/>
        </w:rPr>
        <w:t>من</w:t>
      </w:r>
      <w:r w:rsidR="00E8128F">
        <w:rPr>
          <w:sz w:val="36"/>
          <w:szCs w:val="36"/>
          <w:rtl/>
        </w:rPr>
        <w:t xml:space="preserve"> </w:t>
      </w:r>
      <w:r w:rsidR="005412BA" w:rsidRPr="00FD211F">
        <w:rPr>
          <w:sz w:val="36"/>
          <w:szCs w:val="36"/>
          <w:rtl/>
        </w:rPr>
        <w:t>مصاديق</w:t>
      </w:r>
      <w:r w:rsidR="00E8128F">
        <w:rPr>
          <w:sz w:val="36"/>
          <w:szCs w:val="36"/>
          <w:rtl/>
        </w:rPr>
        <w:t xml:space="preserve"> </w:t>
      </w:r>
      <w:r w:rsidR="005412BA" w:rsidRPr="00FD211F">
        <w:rPr>
          <w:sz w:val="36"/>
          <w:szCs w:val="36"/>
          <w:rtl/>
        </w:rPr>
        <w:t>عدم</w:t>
      </w:r>
      <w:r w:rsidR="00E8128F">
        <w:rPr>
          <w:sz w:val="36"/>
          <w:szCs w:val="36"/>
          <w:rtl/>
        </w:rPr>
        <w:t xml:space="preserve"> </w:t>
      </w:r>
      <w:r w:rsidR="005412BA" w:rsidRPr="00FD211F">
        <w:rPr>
          <w:sz w:val="36"/>
          <w:szCs w:val="36"/>
          <w:rtl/>
        </w:rPr>
        <w:t>اقتضاء</w:t>
      </w:r>
      <w:r w:rsidR="00E8128F">
        <w:rPr>
          <w:sz w:val="36"/>
          <w:szCs w:val="36"/>
          <w:rtl/>
        </w:rPr>
        <w:t xml:space="preserve"> </w:t>
      </w:r>
      <w:r w:rsidR="0090224F" w:rsidRPr="00FD211F">
        <w:rPr>
          <w:sz w:val="36"/>
          <w:szCs w:val="36"/>
          <w:rtl/>
        </w:rPr>
        <w:t>الأمر</w:t>
      </w:r>
      <w:r w:rsidR="00E8128F">
        <w:rPr>
          <w:sz w:val="36"/>
          <w:szCs w:val="36"/>
          <w:rtl/>
        </w:rPr>
        <w:t xml:space="preserve"> </w:t>
      </w:r>
      <w:r w:rsidR="005412BA" w:rsidRPr="00FD211F">
        <w:rPr>
          <w:sz w:val="36"/>
          <w:szCs w:val="36"/>
          <w:rtl/>
        </w:rPr>
        <w:t>بال</w:t>
      </w:r>
      <w:r w:rsidR="008D7B3D" w:rsidRPr="00FD211F">
        <w:rPr>
          <w:sz w:val="36"/>
          <w:szCs w:val="36"/>
          <w:rtl/>
        </w:rPr>
        <w:t>شيء</w:t>
      </w:r>
      <w:r w:rsidR="00E8128F">
        <w:rPr>
          <w:sz w:val="36"/>
          <w:szCs w:val="36"/>
          <w:rtl/>
        </w:rPr>
        <w:t xml:space="preserve"> </w:t>
      </w:r>
      <w:r w:rsidR="005412BA" w:rsidRPr="00FD211F">
        <w:rPr>
          <w:sz w:val="36"/>
          <w:szCs w:val="36"/>
          <w:rtl/>
        </w:rPr>
        <w:t>للنهي</w:t>
      </w:r>
      <w:r w:rsidR="00E8128F">
        <w:rPr>
          <w:sz w:val="36"/>
          <w:szCs w:val="36"/>
          <w:rtl/>
        </w:rPr>
        <w:t xml:space="preserve"> </w:t>
      </w:r>
      <w:r w:rsidR="005412BA" w:rsidRPr="00FD211F">
        <w:rPr>
          <w:sz w:val="36"/>
          <w:szCs w:val="36"/>
          <w:rtl/>
        </w:rPr>
        <w:t>عن</w:t>
      </w:r>
      <w:r w:rsidR="00E8128F">
        <w:rPr>
          <w:sz w:val="36"/>
          <w:szCs w:val="36"/>
          <w:rtl/>
        </w:rPr>
        <w:t xml:space="preserve"> </w:t>
      </w:r>
      <w:r w:rsidR="005412BA" w:rsidRPr="00FD211F">
        <w:rPr>
          <w:sz w:val="36"/>
          <w:szCs w:val="36"/>
          <w:rtl/>
        </w:rPr>
        <w:t>ضده</w:t>
      </w:r>
      <w:r w:rsidR="00603323" w:rsidRPr="00FD211F">
        <w:rPr>
          <w:sz w:val="36"/>
          <w:szCs w:val="36"/>
          <w:rtl/>
        </w:rPr>
        <w:t>،</w:t>
      </w:r>
      <w:r w:rsidR="00E8128F">
        <w:rPr>
          <w:sz w:val="36"/>
          <w:szCs w:val="36"/>
          <w:rtl/>
        </w:rPr>
        <w:t xml:space="preserve"> </w:t>
      </w:r>
      <w:r w:rsidR="005412BA" w:rsidRPr="00FD211F">
        <w:rPr>
          <w:sz w:val="36"/>
          <w:szCs w:val="36"/>
          <w:rtl/>
        </w:rPr>
        <w:t>فانه</w:t>
      </w:r>
      <w:r w:rsidR="00E8128F">
        <w:rPr>
          <w:sz w:val="36"/>
          <w:szCs w:val="36"/>
          <w:rtl/>
        </w:rPr>
        <w:t xml:space="preserve"> </w:t>
      </w:r>
      <w:r w:rsidR="001A5E03" w:rsidRPr="00FD211F">
        <w:rPr>
          <w:sz w:val="36"/>
          <w:szCs w:val="36"/>
          <w:rtl/>
        </w:rPr>
        <w:t>بمعنى</w:t>
      </w:r>
      <w:r w:rsidR="00E8128F">
        <w:rPr>
          <w:sz w:val="36"/>
          <w:szCs w:val="36"/>
          <w:rtl/>
        </w:rPr>
        <w:t xml:space="preserve"> </w:t>
      </w:r>
      <w:r w:rsidR="005412BA" w:rsidRPr="00FD211F">
        <w:rPr>
          <w:sz w:val="36"/>
          <w:szCs w:val="36"/>
          <w:rtl/>
        </w:rPr>
        <w:t>نفي</w:t>
      </w:r>
      <w:r w:rsidR="00E8128F">
        <w:rPr>
          <w:sz w:val="36"/>
          <w:szCs w:val="36"/>
          <w:rtl/>
        </w:rPr>
        <w:t xml:space="preserve"> </w:t>
      </w:r>
      <w:r w:rsidR="00417559" w:rsidRPr="00FD211F">
        <w:rPr>
          <w:sz w:val="36"/>
          <w:szCs w:val="36"/>
          <w:rtl/>
        </w:rPr>
        <w:t>ا</w:t>
      </w:r>
      <w:r w:rsidR="005412BA" w:rsidRPr="00FD211F">
        <w:rPr>
          <w:sz w:val="36"/>
          <w:szCs w:val="36"/>
          <w:rtl/>
        </w:rPr>
        <w:t>لملازم</w:t>
      </w:r>
      <w:r w:rsidR="00EC7EDF" w:rsidRPr="00FD211F">
        <w:rPr>
          <w:sz w:val="36"/>
          <w:szCs w:val="36"/>
          <w:rtl/>
        </w:rPr>
        <w:t>ة</w:t>
      </w:r>
      <w:r w:rsidR="00E8128F">
        <w:rPr>
          <w:sz w:val="36"/>
          <w:szCs w:val="36"/>
          <w:rtl/>
        </w:rPr>
        <w:t xml:space="preserve"> </w:t>
      </w:r>
      <w:r w:rsidR="001A5E03" w:rsidRPr="00FD211F">
        <w:rPr>
          <w:sz w:val="36"/>
          <w:szCs w:val="36"/>
          <w:rtl/>
        </w:rPr>
        <w:t>العقلي</w:t>
      </w:r>
      <w:r w:rsidR="00EC7EDF" w:rsidRPr="00FD211F">
        <w:rPr>
          <w:sz w:val="36"/>
          <w:szCs w:val="36"/>
          <w:rtl/>
        </w:rPr>
        <w:t>ة</w:t>
      </w:r>
      <w:r w:rsidR="00E8128F">
        <w:rPr>
          <w:sz w:val="36"/>
          <w:szCs w:val="36"/>
          <w:rtl/>
        </w:rPr>
        <w:t xml:space="preserve"> </w:t>
      </w:r>
      <w:r w:rsidR="005412BA" w:rsidRPr="00FD211F">
        <w:rPr>
          <w:sz w:val="36"/>
          <w:szCs w:val="36"/>
          <w:rtl/>
        </w:rPr>
        <w:t>بين</w:t>
      </w:r>
      <w:r w:rsidR="00E8128F">
        <w:rPr>
          <w:sz w:val="36"/>
          <w:szCs w:val="36"/>
          <w:rtl/>
        </w:rPr>
        <w:t xml:space="preserve"> </w:t>
      </w:r>
      <w:r w:rsidR="0090224F" w:rsidRPr="00FD211F">
        <w:rPr>
          <w:sz w:val="36"/>
          <w:szCs w:val="36"/>
          <w:rtl/>
        </w:rPr>
        <w:t>الأمر</w:t>
      </w:r>
      <w:r w:rsidR="00E8128F">
        <w:rPr>
          <w:sz w:val="36"/>
          <w:szCs w:val="36"/>
          <w:rtl/>
        </w:rPr>
        <w:t xml:space="preserve"> </w:t>
      </w:r>
      <w:r w:rsidR="005412BA" w:rsidRPr="00FD211F">
        <w:rPr>
          <w:sz w:val="36"/>
          <w:szCs w:val="36"/>
          <w:rtl/>
        </w:rPr>
        <w:t>ب</w:t>
      </w:r>
      <w:r w:rsidR="008D7B3D" w:rsidRPr="00FD211F">
        <w:rPr>
          <w:sz w:val="36"/>
          <w:szCs w:val="36"/>
          <w:rtl/>
        </w:rPr>
        <w:t>شيء</w:t>
      </w:r>
      <w:r w:rsidR="00E8128F">
        <w:rPr>
          <w:sz w:val="36"/>
          <w:szCs w:val="36"/>
          <w:rtl/>
        </w:rPr>
        <w:t xml:space="preserve"> </w:t>
      </w:r>
      <w:r w:rsidR="001A5E03" w:rsidRPr="00FD211F">
        <w:rPr>
          <w:sz w:val="36"/>
          <w:szCs w:val="36"/>
          <w:rtl/>
        </w:rPr>
        <w:t>وبين</w:t>
      </w:r>
      <w:r w:rsidR="00E8128F">
        <w:rPr>
          <w:sz w:val="36"/>
          <w:szCs w:val="36"/>
          <w:rtl/>
        </w:rPr>
        <w:t xml:space="preserve"> </w:t>
      </w:r>
      <w:r w:rsidR="005412BA" w:rsidRPr="00FD211F">
        <w:rPr>
          <w:sz w:val="36"/>
          <w:szCs w:val="36"/>
          <w:rtl/>
        </w:rPr>
        <w:t>النهي</w:t>
      </w:r>
      <w:r w:rsidR="00E8128F">
        <w:rPr>
          <w:sz w:val="36"/>
          <w:szCs w:val="36"/>
          <w:rtl/>
        </w:rPr>
        <w:t xml:space="preserve"> </w:t>
      </w:r>
      <w:r w:rsidR="005412BA" w:rsidRPr="00FD211F">
        <w:rPr>
          <w:sz w:val="36"/>
          <w:szCs w:val="36"/>
          <w:rtl/>
        </w:rPr>
        <w:t>عن</w:t>
      </w:r>
      <w:r w:rsidR="00E8128F">
        <w:rPr>
          <w:sz w:val="36"/>
          <w:szCs w:val="36"/>
          <w:rtl/>
        </w:rPr>
        <w:t xml:space="preserve"> </w:t>
      </w:r>
      <w:r w:rsidR="005412BA" w:rsidRPr="00FD211F">
        <w:rPr>
          <w:sz w:val="36"/>
          <w:szCs w:val="36"/>
          <w:rtl/>
        </w:rPr>
        <w:t>ضده</w:t>
      </w:r>
      <w:r w:rsidR="00603323" w:rsidRPr="00FD211F">
        <w:rPr>
          <w:sz w:val="36"/>
          <w:szCs w:val="36"/>
          <w:rtl/>
        </w:rPr>
        <w:t>،</w:t>
      </w:r>
      <w:r w:rsidR="00E8128F">
        <w:rPr>
          <w:sz w:val="36"/>
          <w:szCs w:val="36"/>
          <w:rtl/>
        </w:rPr>
        <w:t xml:space="preserve"> </w:t>
      </w:r>
      <w:r w:rsidR="001A5E03" w:rsidRPr="00FD211F">
        <w:rPr>
          <w:sz w:val="36"/>
          <w:szCs w:val="36"/>
          <w:rtl/>
        </w:rPr>
        <w:t>ومن</w:t>
      </w:r>
      <w:r w:rsidR="00E8128F">
        <w:rPr>
          <w:sz w:val="36"/>
          <w:szCs w:val="36"/>
          <w:rtl/>
        </w:rPr>
        <w:t xml:space="preserve"> </w:t>
      </w:r>
      <w:r w:rsidR="001A5E03" w:rsidRPr="00FD211F">
        <w:rPr>
          <w:sz w:val="36"/>
          <w:szCs w:val="36"/>
          <w:rtl/>
        </w:rPr>
        <w:t>الواضح</w:t>
      </w:r>
      <w:r w:rsidR="00E8128F">
        <w:rPr>
          <w:sz w:val="36"/>
          <w:szCs w:val="36"/>
          <w:rtl/>
        </w:rPr>
        <w:t xml:space="preserve"> </w:t>
      </w:r>
      <w:r w:rsidR="001A5E03" w:rsidRPr="00FD211F">
        <w:rPr>
          <w:sz w:val="36"/>
          <w:szCs w:val="36"/>
          <w:rtl/>
        </w:rPr>
        <w:t>ان</w:t>
      </w:r>
      <w:r w:rsidR="00E8128F">
        <w:rPr>
          <w:sz w:val="36"/>
          <w:szCs w:val="36"/>
          <w:rtl/>
        </w:rPr>
        <w:t xml:space="preserve"> </w:t>
      </w:r>
      <w:r w:rsidR="005412BA" w:rsidRPr="00FD211F">
        <w:rPr>
          <w:sz w:val="36"/>
          <w:szCs w:val="36"/>
          <w:rtl/>
        </w:rPr>
        <w:t>صح</w:t>
      </w:r>
      <w:r w:rsidR="00EC7EDF" w:rsidRPr="00FD211F">
        <w:rPr>
          <w:sz w:val="36"/>
          <w:szCs w:val="36"/>
          <w:rtl/>
        </w:rPr>
        <w:t>ة</w:t>
      </w:r>
      <w:r w:rsidR="00E8128F">
        <w:rPr>
          <w:sz w:val="36"/>
          <w:szCs w:val="36"/>
          <w:rtl/>
        </w:rPr>
        <w:t xml:space="preserve"> </w:t>
      </w:r>
      <w:r w:rsidR="00417559" w:rsidRPr="00FD211F">
        <w:rPr>
          <w:sz w:val="36"/>
          <w:szCs w:val="36"/>
          <w:rtl/>
        </w:rPr>
        <w:t>الصلا</w:t>
      </w:r>
      <w:r w:rsidR="00EC7EDF" w:rsidRPr="00FD211F">
        <w:rPr>
          <w:sz w:val="36"/>
          <w:szCs w:val="36"/>
          <w:rtl/>
        </w:rPr>
        <w:t>ة</w:t>
      </w:r>
      <w:r w:rsidR="00E8128F">
        <w:rPr>
          <w:sz w:val="36"/>
          <w:szCs w:val="36"/>
          <w:rtl/>
        </w:rPr>
        <w:t xml:space="preserve"> </w:t>
      </w:r>
      <w:r w:rsidR="005412BA" w:rsidRPr="00FD211F">
        <w:rPr>
          <w:sz w:val="36"/>
          <w:szCs w:val="36"/>
          <w:rtl/>
        </w:rPr>
        <w:t>التي</w:t>
      </w:r>
      <w:r w:rsidR="00E8128F">
        <w:rPr>
          <w:sz w:val="36"/>
          <w:szCs w:val="36"/>
          <w:rtl/>
        </w:rPr>
        <w:t xml:space="preserve"> </w:t>
      </w:r>
      <w:r w:rsidR="005412BA" w:rsidRPr="00FD211F">
        <w:rPr>
          <w:sz w:val="36"/>
          <w:szCs w:val="36"/>
          <w:rtl/>
        </w:rPr>
        <w:t>هي</w:t>
      </w:r>
      <w:r w:rsidR="00E8128F">
        <w:rPr>
          <w:sz w:val="36"/>
          <w:szCs w:val="36"/>
          <w:rtl/>
        </w:rPr>
        <w:t xml:space="preserve"> </w:t>
      </w:r>
      <w:r w:rsidR="005412BA" w:rsidRPr="00FD211F">
        <w:rPr>
          <w:sz w:val="36"/>
          <w:szCs w:val="36"/>
          <w:rtl/>
        </w:rPr>
        <w:t>ضد</w:t>
      </w:r>
      <w:r w:rsidR="00E8128F">
        <w:rPr>
          <w:sz w:val="36"/>
          <w:szCs w:val="36"/>
          <w:rtl/>
        </w:rPr>
        <w:t xml:space="preserve"> </w:t>
      </w:r>
      <w:r w:rsidR="005412BA" w:rsidRPr="00FD211F">
        <w:rPr>
          <w:sz w:val="36"/>
          <w:szCs w:val="36"/>
          <w:rtl/>
        </w:rPr>
        <w:t>الواجب</w:t>
      </w:r>
      <w:r w:rsidR="00E8128F">
        <w:rPr>
          <w:sz w:val="36"/>
          <w:szCs w:val="36"/>
          <w:rtl/>
        </w:rPr>
        <w:t xml:space="preserve"> </w:t>
      </w:r>
      <w:r w:rsidR="00417559" w:rsidRPr="00FD211F">
        <w:rPr>
          <w:sz w:val="36"/>
          <w:szCs w:val="36"/>
          <w:rtl/>
        </w:rPr>
        <w:t>ليست</w:t>
      </w:r>
      <w:r w:rsidR="00E8128F">
        <w:rPr>
          <w:sz w:val="36"/>
          <w:szCs w:val="36"/>
          <w:rtl/>
        </w:rPr>
        <w:t xml:space="preserve"> </w:t>
      </w:r>
      <w:r w:rsidR="00417559" w:rsidRPr="00FD211F">
        <w:rPr>
          <w:sz w:val="36"/>
          <w:szCs w:val="36"/>
          <w:rtl/>
        </w:rPr>
        <w:t>من</w:t>
      </w:r>
      <w:r w:rsidR="00E8128F">
        <w:rPr>
          <w:sz w:val="36"/>
          <w:szCs w:val="36"/>
          <w:rtl/>
        </w:rPr>
        <w:t xml:space="preserve"> </w:t>
      </w:r>
      <w:r w:rsidR="00417559" w:rsidRPr="00FD211F">
        <w:rPr>
          <w:sz w:val="36"/>
          <w:szCs w:val="36"/>
          <w:rtl/>
        </w:rPr>
        <w:t>مصاديق</w:t>
      </w:r>
      <w:r w:rsidR="00E8128F">
        <w:rPr>
          <w:sz w:val="36"/>
          <w:szCs w:val="36"/>
          <w:rtl/>
        </w:rPr>
        <w:t xml:space="preserve"> </w:t>
      </w:r>
      <w:r w:rsidR="00417559" w:rsidRPr="00FD211F">
        <w:rPr>
          <w:sz w:val="36"/>
          <w:szCs w:val="36"/>
          <w:rtl/>
        </w:rPr>
        <w:t>عدم</w:t>
      </w:r>
      <w:r w:rsidR="00E8128F">
        <w:rPr>
          <w:sz w:val="36"/>
          <w:szCs w:val="36"/>
          <w:rtl/>
        </w:rPr>
        <w:t xml:space="preserve"> </w:t>
      </w:r>
      <w:r w:rsidR="00417559" w:rsidRPr="00FD211F">
        <w:rPr>
          <w:sz w:val="36"/>
          <w:szCs w:val="36"/>
          <w:rtl/>
        </w:rPr>
        <w:t>الملازم</w:t>
      </w:r>
      <w:r w:rsidR="00EC7EDF" w:rsidRPr="00FD211F">
        <w:rPr>
          <w:sz w:val="36"/>
          <w:szCs w:val="36"/>
          <w:rtl/>
        </w:rPr>
        <w:t>ة</w:t>
      </w:r>
      <w:r w:rsidR="00603323" w:rsidRPr="00FD211F">
        <w:rPr>
          <w:sz w:val="36"/>
          <w:szCs w:val="36"/>
          <w:rtl/>
        </w:rPr>
        <w:t>،</w:t>
      </w:r>
      <w:r w:rsidR="00E8128F">
        <w:rPr>
          <w:sz w:val="36"/>
          <w:szCs w:val="36"/>
          <w:rtl/>
        </w:rPr>
        <w:t xml:space="preserve"> </w:t>
      </w:r>
      <w:r w:rsidR="00417559" w:rsidRPr="00FD211F">
        <w:rPr>
          <w:sz w:val="36"/>
          <w:szCs w:val="36"/>
          <w:rtl/>
        </w:rPr>
        <w:t>وانما</w:t>
      </w:r>
      <w:r w:rsidR="00E8128F">
        <w:rPr>
          <w:sz w:val="36"/>
          <w:szCs w:val="36"/>
          <w:rtl/>
        </w:rPr>
        <w:t xml:space="preserve"> </w:t>
      </w:r>
      <w:r w:rsidR="00417559" w:rsidRPr="00FD211F">
        <w:rPr>
          <w:sz w:val="36"/>
          <w:szCs w:val="36"/>
          <w:rtl/>
        </w:rPr>
        <w:t>تنتزع</w:t>
      </w:r>
      <w:r w:rsidR="00E8128F">
        <w:rPr>
          <w:sz w:val="36"/>
          <w:szCs w:val="36"/>
          <w:rtl/>
        </w:rPr>
        <w:t xml:space="preserve"> </w:t>
      </w:r>
      <w:r w:rsidR="00417559" w:rsidRPr="00FD211F">
        <w:rPr>
          <w:sz w:val="36"/>
          <w:szCs w:val="36"/>
          <w:rtl/>
        </w:rPr>
        <w:t>من</w:t>
      </w:r>
      <w:r w:rsidR="00E8128F">
        <w:rPr>
          <w:sz w:val="36"/>
          <w:szCs w:val="36"/>
          <w:rtl/>
        </w:rPr>
        <w:t xml:space="preserve"> </w:t>
      </w:r>
      <w:r w:rsidR="005412BA" w:rsidRPr="00FD211F">
        <w:rPr>
          <w:sz w:val="36"/>
          <w:szCs w:val="36"/>
          <w:rtl/>
        </w:rPr>
        <w:t>فعلي</w:t>
      </w:r>
      <w:r w:rsidR="00EC7EDF" w:rsidRPr="00FD211F">
        <w:rPr>
          <w:sz w:val="36"/>
          <w:szCs w:val="36"/>
          <w:rtl/>
        </w:rPr>
        <w:t>ة</w:t>
      </w:r>
      <w:r w:rsidR="00E8128F">
        <w:rPr>
          <w:sz w:val="36"/>
          <w:szCs w:val="36"/>
          <w:rtl/>
        </w:rPr>
        <w:t xml:space="preserve"> </w:t>
      </w:r>
      <w:r w:rsidR="0090224F" w:rsidRPr="00FD211F">
        <w:rPr>
          <w:sz w:val="36"/>
          <w:szCs w:val="36"/>
          <w:rtl/>
        </w:rPr>
        <w:t>الأمر</w:t>
      </w:r>
      <w:r w:rsidR="00E8128F">
        <w:rPr>
          <w:sz w:val="36"/>
          <w:szCs w:val="36"/>
          <w:rtl/>
        </w:rPr>
        <w:t xml:space="preserve"> </w:t>
      </w:r>
      <w:r w:rsidR="005412BA" w:rsidRPr="00FD211F">
        <w:rPr>
          <w:sz w:val="36"/>
          <w:szCs w:val="36"/>
          <w:rtl/>
        </w:rPr>
        <w:t>بها</w:t>
      </w:r>
      <w:r w:rsidR="00E8128F">
        <w:rPr>
          <w:sz w:val="36"/>
          <w:szCs w:val="36"/>
          <w:rtl/>
        </w:rPr>
        <w:t xml:space="preserve"> </w:t>
      </w:r>
      <w:r w:rsidR="005412BA" w:rsidRPr="00FD211F">
        <w:rPr>
          <w:sz w:val="36"/>
          <w:szCs w:val="36"/>
          <w:rtl/>
        </w:rPr>
        <w:t>إما</w:t>
      </w:r>
      <w:r w:rsidR="00E8128F">
        <w:rPr>
          <w:sz w:val="36"/>
          <w:szCs w:val="36"/>
          <w:rtl/>
        </w:rPr>
        <w:t xml:space="preserve"> </w:t>
      </w:r>
      <w:r w:rsidR="005412BA" w:rsidRPr="00FD211F">
        <w:rPr>
          <w:sz w:val="36"/>
          <w:szCs w:val="36"/>
          <w:rtl/>
        </w:rPr>
        <w:t>بمناط</w:t>
      </w:r>
      <w:r w:rsidR="00E8128F">
        <w:rPr>
          <w:sz w:val="36"/>
          <w:szCs w:val="36"/>
          <w:rtl/>
        </w:rPr>
        <w:t xml:space="preserve"> </w:t>
      </w:r>
      <w:r w:rsidR="005412BA" w:rsidRPr="00FD211F">
        <w:rPr>
          <w:sz w:val="36"/>
          <w:szCs w:val="36"/>
          <w:rtl/>
        </w:rPr>
        <w:t>شمول</w:t>
      </w:r>
      <w:r w:rsidR="00E8128F">
        <w:rPr>
          <w:sz w:val="36"/>
          <w:szCs w:val="36"/>
          <w:rtl/>
        </w:rPr>
        <w:t xml:space="preserve"> </w:t>
      </w:r>
      <w:r w:rsidR="005412BA" w:rsidRPr="00FD211F">
        <w:rPr>
          <w:sz w:val="36"/>
          <w:szCs w:val="36"/>
          <w:rtl/>
        </w:rPr>
        <w:t>اطلاق</w:t>
      </w:r>
      <w:r w:rsidR="00E8128F">
        <w:rPr>
          <w:sz w:val="36"/>
          <w:szCs w:val="36"/>
          <w:rtl/>
        </w:rPr>
        <w:t xml:space="preserve"> </w:t>
      </w:r>
      <w:r w:rsidR="0090224F" w:rsidRPr="00FD211F">
        <w:rPr>
          <w:sz w:val="36"/>
          <w:szCs w:val="36"/>
          <w:rtl/>
        </w:rPr>
        <w:t>الأمر</w:t>
      </w:r>
      <w:r w:rsidR="00E8128F">
        <w:rPr>
          <w:sz w:val="36"/>
          <w:szCs w:val="36"/>
          <w:rtl/>
        </w:rPr>
        <w:t xml:space="preserve"> </w:t>
      </w:r>
      <w:r w:rsidR="005412BA" w:rsidRPr="00FD211F">
        <w:rPr>
          <w:sz w:val="36"/>
          <w:szCs w:val="36"/>
          <w:rtl/>
        </w:rPr>
        <w:t>لها</w:t>
      </w:r>
      <w:r w:rsidR="00E8128F">
        <w:rPr>
          <w:sz w:val="36"/>
          <w:szCs w:val="36"/>
          <w:rtl/>
        </w:rPr>
        <w:t xml:space="preserve"> </w:t>
      </w:r>
      <w:r w:rsidR="00417559" w:rsidRPr="00FD211F">
        <w:rPr>
          <w:sz w:val="36"/>
          <w:szCs w:val="36"/>
          <w:rtl/>
        </w:rPr>
        <w:t>في</w:t>
      </w:r>
      <w:r w:rsidR="00E8128F">
        <w:rPr>
          <w:sz w:val="36"/>
          <w:szCs w:val="36"/>
          <w:rtl/>
        </w:rPr>
        <w:t xml:space="preserve"> </w:t>
      </w:r>
      <w:r w:rsidR="00417559" w:rsidRPr="00FD211F">
        <w:rPr>
          <w:sz w:val="36"/>
          <w:szCs w:val="36"/>
          <w:rtl/>
        </w:rPr>
        <w:t>فرض</w:t>
      </w:r>
      <w:r w:rsidR="00E8128F">
        <w:rPr>
          <w:sz w:val="36"/>
          <w:szCs w:val="36"/>
          <w:rtl/>
        </w:rPr>
        <w:t xml:space="preserve"> </w:t>
      </w:r>
      <w:r w:rsidR="00417559" w:rsidRPr="00FD211F">
        <w:rPr>
          <w:sz w:val="36"/>
          <w:szCs w:val="36"/>
          <w:rtl/>
        </w:rPr>
        <w:t>سع</w:t>
      </w:r>
      <w:r w:rsidR="00EC7EDF" w:rsidRPr="00FD211F">
        <w:rPr>
          <w:sz w:val="36"/>
          <w:szCs w:val="36"/>
          <w:rtl/>
        </w:rPr>
        <w:t>ة</w:t>
      </w:r>
      <w:r w:rsidR="00E8128F">
        <w:rPr>
          <w:sz w:val="36"/>
          <w:szCs w:val="36"/>
          <w:rtl/>
        </w:rPr>
        <w:t xml:space="preserve"> </w:t>
      </w:r>
      <w:r w:rsidR="00417559" w:rsidRPr="00FD211F">
        <w:rPr>
          <w:sz w:val="36"/>
          <w:szCs w:val="36"/>
          <w:rtl/>
        </w:rPr>
        <w:t>الوقت</w:t>
      </w:r>
      <w:r w:rsidR="00E8128F">
        <w:rPr>
          <w:sz w:val="36"/>
          <w:szCs w:val="36"/>
          <w:rtl/>
        </w:rPr>
        <w:t xml:space="preserve"> </w:t>
      </w:r>
      <w:r w:rsidR="005412BA" w:rsidRPr="00FD211F">
        <w:rPr>
          <w:sz w:val="36"/>
          <w:szCs w:val="36"/>
          <w:rtl/>
        </w:rPr>
        <w:t>من</w:t>
      </w:r>
      <w:r w:rsidR="00E8128F">
        <w:rPr>
          <w:sz w:val="36"/>
          <w:szCs w:val="36"/>
          <w:rtl/>
        </w:rPr>
        <w:t xml:space="preserve"> </w:t>
      </w:r>
      <w:r w:rsidR="005412BA" w:rsidRPr="00FD211F">
        <w:rPr>
          <w:sz w:val="36"/>
          <w:szCs w:val="36"/>
          <w:rtl/>
        </w:rPr>
        <w:t>دون</w:t>
      </w:r>
      <w:r w:rsidR="00E8128F">
        <w:rPr>
          <w:sz w:val="36"/>
          <w:szCs w:val="36"/>
          <w:rtl/>
        </w:rPr>
        <w:t xml:space="preserve"> </w:t>
      </w:r>
      <w:r w:rsidR="005412BA" w:rsidRPr="00FD211F">
        <w:rPr>
          <w:sz w:val="36"/>
          <w:szCs w:val="36"/>
          <w:rtl/>
        </w:rPr>
        <w:t>حاج</w:t>
      </w:r>
      <w:r w:rsidR="00EC7EDF" w:rsidRPr="00FD211F">
        <w:rPr>
          <w:sz w:val="36"/>
          <w:szCs w:val="36"/>
          <w:rtl/>
        </w:rPr>
        <w:t>ة</w:t>
      </w:r>
      <w:r w:rsidR="00E8128F">
        <w:rPr>
          <w:sz w:val="36"/>
          <w:szCs w:val="36"/>
          <w:rtl/>
        </w:rPr>
        <w:t xml:space="preserve"> </w:t>
      </w:r>
      <w:r w:rsidR="005412BA" w:rsidRPr="00FD211F">
        <w:rPr>
          <w:sz w:val="36"/>
          <w:szCs w:val="36"/>
          <w:rtl/>
        </w:rPr>
        <w:t>الى</w:t>
      </w:r>
      <w:r w:rsidR="00E8128F">
        <w:rPr>
          <w:sz w:val="36"/>
          <w:szCs w:val="36"/>
          <w:rtl/>
        </w:rPr>
        <w:t xml:space="preserve"> </w:t>
      </w:r>
      <w:r w:rsidR="005412BA" w:rsidRPr="00FD211F">
        <w:rPr>
          <w:sz w:val="36"/>
          <w:szCs w:val="36"/>
          <w:rtl/>
        </w:rPr>
        <w:t>الترتب</w:t>
      </w:r>
      <w:r w:rsidR="00E8128F">
        <w:rPr>
          <w:sz w:val="36"/>
          <w:szCs w:val="36"/>
          <w:rtl/>
        </w:rPr>
        <w:t xml:space="preserve"> </w:t>
      </w:r>
      <w:r w:rsidR="005412BA" w:rsidRPr="00FD211F">
        <w:rPr>
          <w:sz w:val="36"/>
          <w:szCs w:val="36"/>
          <w:rtl/>
        </w:rPr>
        <w:t>كما</w:t>
      </w:r>
      <w:r w:rsidR="00E8128F">
        <w:rPr>
          <w:sz w:val="36"/>
          <w:szCs w:val="36"/>
          <w:rtl/>
        </w:rPr>
        <w:t xml:space="preserve"> </w:t>
      </w:r>
      <w:r w:rsidR="005412BA" w:rsidRPr="00FD211F">
        <w:rPr>
          <w:sz w:val="36"/>
          <w:szCs w:val="36"/>
          <w:rtl/>
        </w:rPr>
        <w:t>هو</w:t>
      </w:r>
      <w:r w:rsidR="00E8128F">
        <w:rPr>
          <w:sz w:val="36"/>
          <w:szCs w:val="36"/>
          <w:rtl/>
        </w:rPr>
        <w:t xml:space="preserve"> </w:t>
      </w:r>
      <w:r w:rsidR="005412BA" w:rsidRPr="00FD211F">
        <w:rPr>
          <w:sz w:val="36"/>
          <w:szCs w:val="36"/>
          <w:rtl/>
        </w:rPr>
        <w:t>المختار</w:t>
      </w:r>
      <w:r w:rsidR="00E8128F">
        <w:rPr>
          <w:sz w:val="36"/>
          <w:szCs w:val="36"/>
          <w:rtl/>
        </w:rPr>
        <w:t xml:space="preserve"> </w:t>
      </w:r>
      <w:r w:rsidR="005412BA" w:rsidRPr="00FD211F">
        <w:rPr>
          <w:sz w:val="36"/>
          <w:szCs w:val="36"/>
          <w:rtl/>
        </w:rPr>
        <w:t>في</w:t>
      </w:r>
      <w:r w:rsidR="00E8128F">
        <w:rPr>
          <w:sz w:val="36"/>
          <w:szCs w:val="36"/>
          <w:rtl/>
        </w:rPr>
        <w:t xml:space="preserve"> </w:t>
      </w:r>
      <w:r w:rsidR="005412BA" w:rsidRPr="00FD211F">
        <w:rPr>
          <w:sz w:val="36"/>
          <w:szCs w:val="36"/>
          <w:rtl/>
        </w:rPr>
        <w:t>مسأل</w:t>
      </w:r>
      <w:r w:rsidR="00EC7EDF" w:rsidRPr="00FD211F">
        <w:rPr>
          <w:sz w:val="36"/>
          <w:szCs w:val="36"/>
          <w:rtl/>
        </w:rPr>
        <w:t>ة</w:t>
      </w:r>
      <w:r w:rsidR="00E8128F">
        <w:rPr>
          <w:sz w:val="36"/>
          <w:szCs w:val="36"/>
          <w:rtl/>
        </w:rPr>
        <w:t xml:space="preserve"> </w:t>
      </w:r>
      <w:r w:rsidR="005412BA" w:rsidRPr="00FD211F">
        <w:rPr>
          <w:sz w:val="36"/>
          <w:szCs w:val="36"/>
          <w:rtl/>
        </w:rPr>
        <w:t>تزاحم</w:t>
      </w:r>
      <w:r w:rsidR="00E8128F">
        <w:rPr>
          <w:sz w:val="36"/>
          <w:szCs w:val="36"/>
          <w:rtl/>
        </w:rPr>
        <w:t xml:space="preserve"> </w:t>
      </w:r>
      <w:r w:rsidR="005412BA" w:rsidRPr="00FD211F">
        <w:rPr>
          <w:sz w:val="36"/>
          <w:szCs w:val="36"/>
          <w:rtl/>
        </w:rPr>
        <w:t>الواجب</w:t>
      </w:r>
      <w:r w:rsidR="00E8128F">
        <w:rPr>
          <w:sz w:val="36"/>
          <w:szCs w:val="36"/>
          <w:rtl/>
        </w:rPr>
        <w:t xml:space="preserve"> </w:t>
      </w:r>
      <w:r w:rsidR="005412BA" w:rsidRPr="00FD211F">
        <w:rPr>
          <w:sz w:val="36"/>
          <w:szCs w:val="36"/>
          <w:rtl/>
        </w:rPr>
        <w:t>الموسع</w:t>
      </w:r>
      <w:r w:rsidR="00E8128F">
        <w:rPr>
          <w:sz w:val="36"/>
          <w:szCs w:val="36"/>
          <w:rtl/>
        </w:rPr>
        <w:t xml:space="preserve"> </w:t>
      </w:r>
      <w:r w:rsidR="005412BA" w:rsidRPr="00FD211F">
        <w:rPr>
          <w:sz w:val="36"/>
          <w:szCs w:val="36"/>
          <w:rtl/>
        </w:rPr>
        <w:t>والمضيق</w:t>
      </w:r>
      <w:r w:rsidR="00603323" w:rsidRPr="00FD211F">
        <w:rPr>
          <w:sz w:val="36"/>
          <w:szCs w:val="36"/>
          <w:rtl/>
        </w:rPr>
        <w:t>،</w:t>
      </w:r>
      <w:r w:rsidR="00E8128F">
        <w:rPr>
          <w:sz w:val="36"/>
          <w:szCs w:val="36"/>
          <w:rtl/>
        </w:rPr>
        <w:t xml:space="preserve"> </w:t>
      </w:r>
      <w:r w:rsidR="005412BA" w:rsidRPr="00FD211F">
        <w:rPr>
          <w:sz w:val="36"/>
          <w:szCs w:val="36"/>
          <w:rtl/>
        </w:rPr>
        <w:t>او</w:t>
      </w:r>
      <w:r w:rsidR="00E8128F">
        <w:rPr>
          <w:sz w:val="36"/>
          <w:szCs w:val="36"/>
          <w:rtl/>
        </w:rPr>
        <w:t xml:space="preserve"> </w:t>
      </w:r>
      <w:r w:rsidR="005412BA" w:rsidRPr="00FD211F">
        <w:rPr>
          <w:sz w:val="36"/>
          <w:szCs w:val="36"/>
          <w:rtl/>
        </w:rPr>
        <w:t>لأجل</w:t>
      </w:r>
      <w:r w:rsidR="00E8128F">
        <w:rPr>
          <w:sz w:val="36"/>
          <w:szCs w:val="36"/>
          <w:rtl/>
        </w:rPr>
        <w:t xml:space="preserve"> </w:t>
      </w:r>
      <w:r w:rsidR="0090224F" w:rsidRPr="00FD211F">
        <w:rPr>
          <w:sz w:val="36"/>
          <w:szCs w:val="36"/>
          <w:rtl/>
        </w:rPr>
        <w:t>الأمر</w:t>
      </w:r>
      <w:r w:rsidR="00E8128F">
        <w:rPr>
          <w:sz w:val="36"/>
          <w:szCs w:val="36"/>
          <w:rtl/>
        </w:rPr>
        <w:t xml:space="preserve"> </w:t>
      </w:r>
      <w:r w:rsidR="005412BA" w:rsidRPr="00FD211F">
        <w:rPr>
          <w:sz w:val="36"/>
          <w:szCs w:val="36"/>
          <w:rtl/>
        </w:rPr>
        <w:t>الترتبي</w:t>
      </w:r>
      <w:r w:rsidR="00E8128F">
        <w:rPr>
          <w:sz w:val="36"/>
          <w:szCs w:val="36"/>
          <w:rtl/>
        </w:rPr>
        <w:t xml:space="preserve"> </w:t>
      </w:r>
      <w:r w:rsidR="005412BA" w:rsidRPr="00FD211F">
        <w:rPr>
          <w:sz w:val="36"/>
          <w:szCs w:val="36"/>
          <w:rtl/>
        </w:rPr>
        <w:t>بها</w:t>
      </w:r>
      <w:r w:rsidR="00E8128F">
        <w:rPr>
          <w:sz w:val="36"/>
          <w:szCs w:val="36"/>
          <w:rtl/>
        </w:rPr>
        <w:t xml:space="preserve"> </w:t>
      </w:r>
      <w:r w:rsidR="00417559" w:rsidRPr="00FD211F">
        <w:rPr>
          <w:sz w:val="36"/>
          <w:szCs w:val="36"/>
          <w:rtl/>
        </w:rPr>
        <w:lastRenderedPageBreak/>
        <w:t>على</w:t>
      </w:r>
      <w:r w:rsidR="00E8128F">
        <w:rPr>
          <w:sz w:val="36"/>
          <w:szCs w:val="36"/>
          <w:rtl/>
        </w:rPr>
        <w:t xml:space="preserve"> </w:t>
      </w:r>
      <w:r w:rsidR="00417559" w:rsidRPr="00FD211F">
        <w:rPr>
          <w:sz w:val="36"/>
          <w:szCs w:val="36"/>
          <w:rtl/>
        </w:rPr>
        <w:t>الأقل</w:t>
      </w:r>
      <w:r w:rsidR="00E8128F">
        <w:rPr>
          <w:sz w:val="36"/>
          <w:szCs w:val="36"/>
          <w:rtl/>
        </w:rPr>
        <w:t xml:space="preserve"> </w:t>
      </w:r>
      <w:r w:rsidR="005412BA" w:rsidRPr="00FD211F">
        <w:rPr>
          <w:sz w:val="36"/>
          <w:szCs w:val="36"/>
          <w:rtl/>
        </w:rPr>
        <w:t>كما</w:t>
      </w:r>
      <w:r w:rsidR="00E8128F">
        <w:rPr>
          <w:sz w:val="36"/>
          <w:szCs w:val="36"/>
          <w:rtl/>
        </w:rPr>
        <w:t xml:space="preserve"> </w:t>
      </w:r>
      <w:r w:rsidR="005412BA" w:rsidRPr="00FD211F">
        <w:rPr>
          <w:sz w:val="36"/>
          <w:szCs w:val="36"/>
          <w:rtl/>
        </w:rPr>
        <w:t>هو</w:t>
      </w:r>
      <w:r w:rsidR="00E8128F">
        <w:rPr>
          <w:sz w:val="36"/>
          <w:szCs w:val="36"/>
          <w:rtl/>
        </w:rPr>
        <w:t xml:space="preserve"> </w:t>
      </w:r>
      <w:r w:rsidR="005412BA" w:rsidRPr="00FD211F">
        <w:rPr>
          <w:sz w:val="36"/>
          <w:szCs w:val="36"/>
          <w:rtl/>
        </w:rPr>
        <w:t>مختار</w:t>
      </w:r>
      <w:r w:rsidR="00E8128F">
        <w:rPr>
          <w:sz w:val="36"/>
          <w:szCs w:val="36"/>
          <w:rtl/>
        </w:rPr>
        <w:t xml:space="preserve"> </w:t>
      </w:r>
      <w:r w:rsidR="005412BA" w:rsidRPr="00FD211F">
        <w:rPr>
          <w:sz w:val="36"/>
          <w:szCs w:val="36"/>
          <w:rtl/>
        </w:rPr>
        <w:t>المحقق</w:t>
      </w:r>
      <w:r w:rsidR="00E8128F">
        <w:rPr>
          <w:sz w:val="36"/>
          <w:szCs w:val="36"/>
          <w:rtl/>
        </w:rPr>
        <w:t xml:space="preserve"> </w:t>
      </w:r>
      <w:r w:rsidR="005412BA" w:rsidRPr="00FD211F">
        <w:rPr>
          <w:sz w:val="36"/>
          <w:szCs w:val="36"/>
          <w:rtl/>
        </w:rPr>
        <w:t>النائيني</w:t>
      </w:r>
      <w:r w:rsidR="00E8128F">
        <w:rPr>
          <w:sz w:val="36"/>
          <w:szCs w:val="36"/>
          <w:rtl/>
        </w:rPr>
        <w:t xml:space="preserve"> </w:t>
      </w:r>
      <w:r w:rsidR="008D7B3D" w:rsidRPr="00FD211F">
        <w:rPr>
          <w:sz w:val="36"/>
          <w:szCs w:val="36"/>
          <w:rtl/>
        </w:rPr>
        <w:t>"قده".</w:t>
      </w:r>
    </w:p>
    <w:p w14:paraId="47935E9D" w14:textId="77777777" w:rsidR="00BC4D55" w:rsidRPr="00FD211F" w:rsidRDefault="001A5E03" w:rsidP="009C58C8">
      <w:pPr>
        <w:ind w:left="0" w:firstLine="227"/>
        <w:jc w:val="both"/>
        <w:rPr>
          <w:sz w:val="36"/>
          <w:szCs w:val="36"/>
          <w:rtl/>
        </w:rPr>
      </w:pPr>
      <w:bookmarkStart w:id="25" w:name="درس003"/>
      <w:bookmarkEnd w:id="25"/>
      <w:r w:rsidRPr="00FD211F">
        <w:rPr>
          <w:b/>
          <w:bCs/>
          <w:sz w:val="36"/>
          <w:szCs w:val="36"/>
          <w:rtl/>
        </w:rPr>
        <w:t>النقض</w:t>
      </w:r>
      <w:r w:rsidR="00E8128F">
        <w:rPr>
          <w:b/>
          <w:bCs/>
          <w:sz w:val="36"/>
          <w:szCs w:val="36"/>
          <w:rtl/>
        </w:rPr>
        <w:t xml:space="preserve"> </w:t>
      </w:r>
      <w:r w:rsidR="00587B5C" w:rsidRPr="00FD211F">
        <w:rPr>
          <w:b/>
          <w:bCs/>
          <w:sz w:val="36"/>
          <w:szCs w:val="36"/>
          <w:rtl/>
        </w:rPr>
        <w:t>الثالث:</w:t>
      </w:r>
      <w:r w:rsidR="00E8128F">
        <w:rPr>
          <w:sz w:val="36"/>
          <w:szCs w:val="36"/>
          <w:rtl/>
        </w:rPr>
        <w:t xml:space="preserve"> </w:t>
      </w:r>
      <w:r w:rsidR="00BC4D55" w:rsidRPr="00FD211F">
        <w:rPr>
          <w:sz w:val="36"/>
          <w:szCs w:val="36"/>
          <w:rtl/>
        </w:rPr>
        <w:t>مسأل</w:t>
      </w:r>
      <w:r w:rsidR="00EC7EDF" w:rsidRPr="00FD211F">
        <w:rPr>
          <w:sz w:val="36"/>
          <w:szCs w:val="36"/>
          <w:rtl/>
        </w:rPr>
        <w:t>ة</w:t>
      </w:r>
      <w:r w:rsidR="00E8128F">
        <w:rPr>
          <w:sz w:val="36"/>
          <w:szCs w:val="36"/>
          <w:rtl/>
        </w:rPr>
        <w:t xml:space="preserve"> </w:t>
      </w:r>
      <w:r w:rsidR="00BC4D55" w:rsidRPr="00FD211F">
        <w:rPr>
          <w:sz w:val="36"/>
          <w:szCs w:val="36"/>
          <w:rtl/>
        </w:rPr>
        <w:t>الملازم</w:t>
      </w:r>
      <w:r w:rsidR="00EC7EDF" w:rsidRPr="00FD211F">
        <w:rPr>
          <w:sz w:val="36"/>
          <w:szCs w:val="36"/>
          <w:rtl/>
        </w:rPr>
        <w:t>ة</w:t>
      </w:r>
      <w:r w:rsidR="00E8128F">
        <w:rPr>
          <w:sz w:val="36"/>
          <w:szCs w:val="36"/>
          <w:rtl/>
        </w:rPr>
        <w:t xml:space="preserve"> </w:t>
      </w:r>
      <w:r w:rsidR="00BC4D55" w:rsidRPr="00FD211F">
        <w:rPr>
          <w:sz w:val="36"/>
          <w:szCs w:val="36"/>
          <w:rtl/>
        </w:rPr>
        <w:t>بين</w:t>
      </w:r>
      <w:r w:rsidR="00E8128F">
        <w:rPr>
          <w:sz w:val="36"/>
          <w:szCs w:val="36"/>
          <w:rtl/>
        </w:rPr>
        <w:t xml:space="preserve"> </w:t>
      </w:r>
      <w:r w:rsidR="00BC4D55" w:rsidRPr="00FD211F">
        <w:rPr>
          <w:sz w:val="36"/>
          <w:szCs w:val="36"/>
          <w:rtl/>
        </w:rPr>
        <w:t>وجوب</w:t>
      </w:r>
      <w:r w:rsidR="00E8128F">
        <w:rPr>
          <w:sz w:val="36"/>
          <w:szCs w:val="36"/>
          <w:rtl/>
        </w:rPr>
        <w:t xml:space="preserve"> </w:t>
      </w:r>
      <w:r w:rsidR="008D7B3D" w:rsidRPr="00FD211F">
        <w:rPr>
          <w:sz w:val="36"/>
          <w:szCs w:val="36"/>
          <w:rtl/>
        </w:rPr>
        <w:t>شيء</w:t>
      </w:r>
      <w:r w:rsidR="00E8128F">
        <w:rPr>
          <w:sz w:val="36"/>
          <w:szCs w:val="36"/>
          <w:rtl/>
        </w:rPr>
        <w:t xml:space="preserve"> </w:t>
      </w:r>
      <w:r w:rsidR="00BC4D55" w:rsidRPr="00FD211F">
        <w:rPr>
          <w:sz w:val="36"/>
          <w:szCs w:val="36"/>
          <w:rtl/>
        </w:rPr>
        <w:t>ووجوب</w:t>
      </w:r>
      <w:r w:rsidR="00E8128F">
        <w:rPr>
          <w:sz w:val="36"/>
          <w:szCs w:val="36"/>
          <w:rtl/>
        </w:rPr>
        <w:t xml:space="preserve"> </w:t>
      </w:r>
      <w:r w:rsidR="00BC4D55" w:rsidRPr="00FD211F">
        <w:rPr>
          <w:sz w:val="36"/>
          <w:szCs w:val="36"/>
          <w:rtl/>
        </w:rPr>
        <w:t>مقدمته</w:t>
      </w:r>
      <w:r w:rsidR="00603323" w:rsidRPr="00FD211F">
        <w:rPr>
          <w:sz w:val="36"/>
          <w:szCs w:val="36"/>
          <w:rtl/>
        </w:rPr>
        <w:t>،</w:t>
      </w:r>
      <w:r w:rsidR="00E8128F">
        <w:rPr>
          <w:sz w:val="36"/>
          <w:szCs w:val="36"/>
          <w:rtl/>
        </w:rPr>
        <w:t xml:space="preserve"> </w:t>
      </w:r>
      <w:r w:rsidR="00BC4D55" w:rsidRPr="00FD211F">
        <w:rPr>
          <w:sz w:val="36"/>
          <w:szCs w:val="36"/>
          <w:rtl/>
        </w:rPr>
        <w:t>فقد</w:t>
      </w:r>
      <w:r w:rsidR="00E8128F">
        <w:rPr>
          <w:sz w:val="36"/>
          <w:szCs w:val="36"/>
          <w:rtl/>
        </w:rPr>
        <w:t xml:space="preserve"> </w:t>
      </w:r>
      <w:r w:rsidR="00BC4D55" w:rsidRPr="00FD211F">
        <w:rPr>
          <w:sz w:val="36"/>
          <w:szCs w:val="36"/>
          <w:rtl/>
        </w:rPr>
        <w:t>يقال</w:t>
      </w:r>
      <w:r w:rsidR="00E8128F">
        <w:rPr>
          <w:sz w:val="36"/>
          <w:szCs w:val="36"/>
          <w:rtl/>
        </w:rPr>
        <w:t xml:space="preserve"> </w:t>
      </w:r>
      <w:r w:rsidR="00F56DC6" w:rsidRPr="00FD211F">
        <w:rPr>
          <w:sz w:val="36"/>
          <w:szCs w:val="36"/>
          <w:rtl/>
        </w:rPr>
        <w:t>ان</w:t>
      </w:r>
      <w:r w:rsidR="00E8128F">
        <w:rPr>
          <w:sz w:val="36"/>
          <w:szCs w:val="36"/>
          <w:rtl/>
        </w:rPr>
        <w:t xml:space="preserve"> </w:t>
      </w:r>
      <w:r w:rsidR="00F56DC6" w:rsidRPr="00FD211F">
        <w:rPr>
          <w:sz w:val="36"/>
          <w:szCs w:val="36"/>
          <w:rtl/>
        </w:rPr>
        <w:t>وجوب</w:t>
      </w:r>
      <w:r w:rsidR="00E8128F">
        <w:rPr>
          <w:sz w:val="36"/>
          <w:szCs w:val="36"/>
          <w:rtl/>
        </w:rPr>
        <w:t xml:space="preserve"> </w:t>
      </w:r>
      <w:r w:rsidR="00F56DC6" w:rsidRPr="00FD211F">
        <w:rPr>
          <w:sz w:val="36"/>
          <w:szCs w:val="36"/>
          <w:rtl/>
        </w:rPr>
        <w:t>المقدم</w:t>
      </w:r>
      <w:r w:rsidR="00EC7EDF" w:rsidRPr="00FD211F">
        <w:rPr>
          <w:sz w:val="36"/>
          <w:szCs w:val="36"/>
          <w:rtl/>
        </w:rPr>
        <w:t>ة</w:t>
      </w:r>
      <w:r w:rsidR="00E8128F">
        <w:rPr>
          <w:sz w:val="36"/>
          <w:szCs w:val="36"/>
          <w:rtl/>
        </w:rPr>
        <w:t xml:space="preserve"> </w:t>
      </w:r>
      <w:r w:rsidR="00417559" w:rsidRPr="00FD211F">
        <w:rPr>
          <w:sz w:val="36"/>
          <w:szCs w:val="36"/>
          <w:rtl/>
        </w:rPr>
        <w:t>لما</w:t>
      </w:r>
      <w:r w:rsidR="00E8128F">
        <w:rPr>
          <w:sz w:val="36"/>
          <w:szCs w:val="36"/>
          <w:rtl/>
        </w:rPr>
        <w:t xml:space="preserve"> </w:t>
      </w:r>
      <w:r w:rsidR="00417559" w:rsidRPr="00FD211F">
        <w:rPr>
          <w:sz w:val="36"/>
          <w:szCs w:val="36"/>
          <w:rtl/>
        </w:rPr>
        <w:t>كان</w:t>
      </w:r>
      <w:r w:rsidR="00E8128F">
        <w:rPr>
          <w:sz w:val="36"/>
          <w:szCs w:val="36"/>
          <w:rtl/>
        </w:rPr>
        <w:t xml:space="preserve"> </w:t>
      </w:r>
      <w:r w:rsidR="00417559" w:rsidRPr="00FD211F">
        <w:rPr>
          <w:sz w:val="36"/>
          <w:szCs w:val="36"/>
          <w:rtl/>
        </w:rPr>
        <w:t>وجوبا</w:t>
      </w:r>
      <w:r w:rsidR="00E8128F">
        <w:rPr>
          <w:sz w:val="36"/>
          <w:szCs w:val="36"/>
          <w:rtl/>
        </w:rPr>
        <w:t xml:space="preserve"> </w:t>
      </w:r>
      <w:r w:rsidR="00417559" w:rsidRPr="00FD211F">
        <w:rPr>
          <w:sz w:val="36"/>
          <w:szCs w:val="36"/>
          <w:rtl/>
        </w:rPr>
        <w:t>غيريا</w:t>
      </w:r>
      <w:r w:rsidR="00E8128F">
        <w:rPr>
          <w:sz w:val="36"/>
          <w:szCs w:val="36"/>
          <w:rtl/>
        </w:rPr>
        <w:t xml:space="preserve"> </w:t>
      </w:r>
      <w:r w:rsidR="00417559" w:rsidRPr="00FD211F">
        <w:rPr>
          <w:sz w:val="36"/>
          <w:szCs w:val="36"/>
          <w:rtl/>
        </w:rPr>
        <w:t>لايستتبع</w:t>
      </w:r>
      <w:r w:rsidR="00E8128F">
        <w:rPr>
          <w:sz w:val="36"/>
          <w:szCs w:val="36"/>
          <w:rtl/>
        </w:rPr>
        <w:t xml:space="preserve"> </w:t>
      </w:r>
      <w:r w:rsidR="00417559" w:rsidRPr="00FD211F">
        <w:rPr>
          <w:sz w:val="36"/>
          <w:szCs w:val="36"/>
          <w:rtl/>
        </w:rPr>
        <w:t>موافقته</w:t>
      </w:r>
      <w:r w:rsidR="00E8128F">
        <w:rPr>
          <w:sz w:val="36"/>
          <w:szCs w:val="36"/>
          <w:rtl/>
        </w:rPr>
        <w:t xml:space="preserve"> </w:t>
      </w:r>
      <w:r w:rsidR="00417559" w:rsidRPr="00FD211F">
        <w:rPr>
          <w:sz w:val="36"/>
          <w:szCs w:val="36"/>
          <w:rtl/>
        </w:rPr>
        <w:t>ثوابا</w:t>
      </w:r>
      <w:r w:rsidR="00E8128F">
        <w:rPr>
          <w:sz w:val="36"/>
          <w:szCs w:val="36"/>
          <w:rtl/>
        </w:rPr>
        <w:t xml:space="preserve"> </w:t>
      </w:r>
      <w:r w:rsidR="00417559" w:rsidRPr="00FD211F">
        <w:rPr>
          <w:sz w:val="36"/>
          <w:szCs w:val="36"/>
          <w:rtl/>
        </w:rPr>
        <w:t>ولامخالفته</w:t>
      </w:r>
      <w:r w:rsidR="00E8128F">
        <w:rPr>
          <w:sz w:val="36"/>
          <w:szCs w:val="36"/>
          <w:rtl/>
        </w:rPr>
        <w:t xml:space="preserve"> </w:t>
      </w:r>
      <w:r w:rsidR="00417559" w:rsidRPr="00FD211F">
        <w:rPr>
          <w:sz w:val="36"/>
          <w:szCs w:val="36"/>
          <w:rtl/>
        </w:rPr>
        <w:t>عقابا</w:t>
      </w:r>
      <w:r w:rsidR="00E8128F">
        <w:rPr>
          <w:sz w:val="36"/>
          <w:szCs w:val="36"/>
          <w:rtl/>
        </w:rPr>
        <w:t xml:space="preserve"> </w:t>
      </w:r>
      <w:r w:rsidR="00BC4D55" w:rsidRPr="00FD211F">
        <w:rPr>
          <w:sz w:val="36"/>
          <w:szCs w:val="36"/>
          <w:rtl/>
        </w:rPr>
        <w:t>فليس</w:t>
      </w:r>
      <w:r w:rsidR="00E8128F">
        <w:rPr>
          <w:sz w:val="36"/>
          <w:szCs w:val="36"/>
          <w:rtl/>
        </w:rPr>
        <w:t xml:space="preserve"> </w:t>
      </w:r>
      <w:r w:rsidR="00BC4D55" w:rsidRPr="00FD211F">
        <w:rPr>
          <w:sz w:val="36"/>
          <w:szCs w:val="36"/>
          <w:rtl/>
        </w:rPr>
        <w:t>استنباطه</w:t>
      </w:r>
      <w:r w:rsidR="00E8128F">
        <w:rPr>
          <w:sz w:val="36"/>
          <w:szCs w:val="36"/>
          <w:rtl/>
        </w:rPr>
        <w:t xml:space="preserve"> </w:t>
      </w:r>
      <w:r w:rsidR="00BC4D55" w:rsidRPr="00FD211F">
        <w:rPr>
          <w:sz w:val="36"/>
          <w:szCs w:val="36"/>
          <w:rtl/>
        </w:rPr>
        <w:t>غرض</w:t>
      </w:r>
      <w:r w:rsidR="00E8128F">
        <w:rPr>
          <w:sz w:val="36"/>
          <w:szCs w:val="36"/>
          <w:rtl/>
        </w:rPr>
        <w:t xml:space="preserve"> </w:t>
      </w:r>
      <w:r w:rsidR="00BC4D55" w:rsidRPr="00FD211F">
        <w:rPr>
          <w:sz w:val="36"/>
          <w:szCs w:val="36"/>
          <w:rtl/>
        </w:rPr>
        <w:t>الفقيه</w:t>
      </w:r>
      <w:r w:rsidR="00E8128F">
        <w:rPr>
          <w:sz w:val="36"/>
          <w:szCs w:val="36"/>
          <w:rtl/>
        </w:rPr>
        <w:t xml:space="preserve"> </w:t>
      </w:r>
      <w:r w:rsidR="00BC4D55" w:rsidRPr="00FD211F">
        <w:rPr>
          <w:sz w:val="36"/>
          <w:szCs w:val="36"/>
          <w:rtl/>
        </w:rPr>
        <w:t>في</w:t>
      </w:r>
      <w:r w:rsidR="00E8128F">
        <w:rPr>
          <w:sz w:val="36"/>
          <w:szCs w:val="36"/>
          <w:rtl/>
        </w:rPr>
        <w:t xml:space="preserve"> </w:t>
      </w:r>
      <w:r w:rsidR="00BC4D55" w:rsidRPr="00FD211F">
        <w:rPr>
          <w:sz w:val="36"/>
          <w:szCs w:val="36"/>
          <w:rtl/>
        </w:rPr>
        <w:t>حد</w:t>
      </w:r>
      <w:r w:rsidR="00E8128F">
        <w:rPr>
          <w:sz w:val="36"/>
          <w:szCs w:val="36"/>
          <w:rtl/>
        </w:rPr>
        <w:t xml:space="preserve"> </w:t>
      </w:r>
      <w:r w:rsidR="00BC4D55" w:rsidRPr="00FD211F">
        <w:rPr>
          <w:sz w:val="36"/>
          <w:szCs w:val="36"/>
          <w:rtl/>
        </w:rPr>
        <w:t>ذاته</w:t>
      </w:r>
      <w:r w:rsidR="00603323" w:rsidRPr="00FD211F">
        <w:rPr>
          <w:sz w:val="36"/>
          <w:szCs w:val="36"/>
          <w:rtl/>
        </w:rPr>
        <w:t>،</w:t>
      </w:r>
      <w:r w:rsidR="00E8128F">
        <w:rPr>
          <w:sz w:val="36"/>
          <w:szCs w:val="36"/>
          <w:rtl/>
        </w:rPr>
        <w:t xml:space="preserve"> </w:t>
      </w:r>
      <w:r w:rsidR="00BC4D55" w:rsidRPr="00FD211F">
        <w:rPr>
          <w:sz w:val="36"/>
          <w:szCs w:val="36"/>
          <w:rtl/>
        </w:rPr>
        <w:t>فلايترتب</w:t>
      </w:r>
      <w:r w:rsidR="00E8128F">
        <w:rPr>
          <w:sz w:val="36"/>
          <w:szCs w:val="36"/>
          <w:rtl/>
        </w:rPr>
        <w:t xml:space="preserve"> </w:t>
      </w:r>
      <w:r w:rsidR="00BC4D55" w:rsidRPr="00FD211F">
        <w:rPr>
          <w:sz w:val="36"/>
          <w:szCs w:val="36"/>
          <w:rtl/>
        </w:rPr>
        <w:t>على</w:t>
      </w:r>
      <w:r w:rsidR="00E8128F">
        <w:rPr>
          <w:sz w:val="36"/>
          <w:szCs w:val="36"/>
          <w:rtl/>
        </w:rPr>
        <w:t xml:space="preserve"> </w:t>
      </w:r>
      <w:r w:rsidR="00BC4D55" w:rsidRPr="00FD211F">
        <w:rPr>
          <w:sz w:val="36"/>
          <w:szCs w:val="36"/>
          <w:rtl/>
        </w:rPr>
        <w:t>هذه</w:t>
      </w:r>
      <w:r w:rsidR="00E8128F">
        <w:rPr>
          <w:sz w:val="36"/>
          <w:szCs w:val="36"/>
          <w:rtl/>
        </w:rPr>
        <w:t xml:space="preserve"> </w:t>
      </w:r>
      <w:r w:rsidR="00BC4D55" w:rsidRPr="00FD211F">
        <w:rPr>
          <w:sz w:val="36"/>
          <w:szCs w:val="36"/>
          <w:rtl/>
        </w:rPr>
        <w:t>المسأل</w:t>
      </w:r>
      <w:r w:rsidR="00EC7EDF" w:rsidRPr="00FD211F">
        <w:rPr>
          <w:sz w:val="36"/>
          <w:szCs w:val="36"/>
          <w:rtl/>
        </w:rPr>
        <w:t>ة</w:t>
      </w:r>
      <w:r w:rsidR="00E8128F">
        <w:rPr>
          <w:sz w:val="36"/>
          <w:szCs w:val="36"/>
          <w:rtl/>
        </w:rPr>
        <w:t xml:space="preserve"> </w:t>
      </w:r>
      <w:r w:rsidR="00BC4D55" w:rsidRPr="00FD211F">
        <w:rPr>
          <w:sz w:val="36"/>
          <w:szCs w:val="36"/>
          <w:rtl/>
        </w:rPr>
        <w:t>أي</w:t>
      </w:r>
      <w:r w:rsidR="00EC7EDF" w:rsidRPr="00FD211F">
        <w:rPr>
          <w:sz w:val="36"/>
          <w:szCs w:val="36"/>
          <w:rtl/>
        </w:rPr>
        <w:t>ة</w:t>
      </w:r>
      <w:r w:rsidR="00E8128F">
        <w:rPr>
          <w:sz w:val="36"/>
          <w:szCs w:val="36"/>
          <w:rtl/>
        </w:rPr>
        <w:t xml:space="preserve"> </w:t>
      </w:r>
      <w:r w:rsidR="00F56DC6" w:rsidRPr="00FD211F">
        <w:rPr>
          <w:sz w:val="36"/>
          <w:szCs w:val="36"/>
          <w:rtl/>
        </w:rPr>
        <w:t>نتيج</w:t>
      </w:r>
      <w:r w:rsidR="00EC7EDF" w:rsidRPr="00FD211F">
        <w:rPr>
          <w:sz w:val="36"/>
          <w:szCs w:val="36"/>
          <w:rtl/>
        </w:rPr>
        <w:t>ة</w:t>
      </w:r>
      <w:r w:rsidR="00E8128F">
        <w:rPr>
          <w:sz w:val="36"/>
          <w:szCs w:val="36"/>
          <w:rtl/>
        </w:rPr>
        <w:t xml:space="preserve"> </w:t>
      </w:r>
      <w:r w:rsidR="00F56DC6" w:rsidRPr="00FD211F">
        <w:rPr>
          <w:sz w:val="36"/>
          <w:szCs w:val="36"/>
          <w:rtl/>
        </w:rPr>
        <w:t>فقهي</w:t>
      </w:r>
      <w:r w:rsidR="00EC7EDF" w:rsidRPr="00FD211F">
        <w:rPr>
          <w:sz w:val="36"/>
          <w:szCs w:val="36"/>
          <w:rtl/>
        </w:rPr>
        <w:t>ة</w:t>
      </w:r>
      <w:r w:rsidR="00E8128F">
        <w:rPr>
          <w:sz w:val="36"/>
          <w:szCs w:val="36"/>
          <w:rtl/>
        </w:rPr>
        <w:t xml:space="preserve"> </w:t>
      </w:r>
      <w:r w:rsidR="00BC4D55" w:rsidRPr="00FD211F">
        <w:rPr>
          <w:sz w:val="36"/>
          <w:szCs w:val="36"/>
          <w:rtl/>
        </w:rPr>
        <w:t>بلاوساط</w:t>
      </w:r>
      <w:r w:rsidR="00EC7EDF" w:rsidRPr="00FD211F">
        <w:rPr>
          <w:sz w:val="36"/>
          <w:szCs w:val="36"/>
          <w:rtl/>
        </w:rPr>
        <w:t>ة</w:t>
      </w:r>
      <w:r w:rsidR="00E8128F">
        <w:rPr>
          <w:sz w:val="36"/>
          <w:szCs w:val="36"/>
          <w:rtl/>
        </w:rPr>
        <w:t xml:space="preserve"> </w:t>
      </w:r>
      <w:r w:rsidR="00BC4D55" w:rsidRPr="00FD211F">
        <w:rPr>
          <w:sz w:val="36"/>
          <w:szCs w:val="36"/>
          <w:rtl/>
        </w:rPr>
        <w:t>كبرى</w:t>
      </w:r>
      <w:r w:rsidR="00E8128F">
        <w:rPr>
          <w:sz w:val="36"/>
          <w:szCs w:val="36"/>
          <w:rtl/>
        </w:rPr>
        <w:t xml:space="preserve"> </w:t>
      </w:r>
      <w:r w:rsidR="00BC4D55" w:rsidRPr="00FD211F">
        <w:rPr>
          <w:sz w:val="36"/>
          <w:szCs w:val="36"/>
          <w:rtl/>
        </w:rPr>
        <w:t>اصولي</w:t>
      </w:r>
      <w:r w:rsidR="00EC7EDF" w:rsidRPr="00FD211F">
        <w:rPr>
          <w:sz w:val="36"/>
          <w:szCs w:val="36"/>
          <w:rtl/>
        </w:rPr>
        <w:t>ة</w:t>
      </w:r>
      <w:r w:rsidR="00E8128F">
        <w:rPr>
          <w:sz w:val="36"/>
          <w:szCs w:val="36"/>
          <w:rtl/>
        </w:rPr>
        <w:t xml:space="preserve"> </w:t>
      </w:r>
      <w:r w:rsidR="00BC4D55" w:rsidRPr="00FD211F">
        <w:rPr>
          <w:sz w:val="36"/>
          <w:szCs w:val="36"/>
          <w:rtl/>
        </w:rPr>
        <w:t>أخرى.</w:t>
      </w:r>
    </w:p>
    <w:p w14:paraId="7BA18034" w14:textId="77777777" w:rsidR="00990C2C" w:rsidRPr="00FD211F" w:rsidRDefault="00BC4D55" w:rsidP="009C58C8">
      <w:pPr>
        <w:ind w:left="0" w:firstLine="227"/>
        <w:jc w:val="both"/>
        <w:rPr>
          <w:sz w:val="36"/>
          <w:szCs w:val="36"/>
          <w:rtl/>
        </w:rPr>
      </w:pPr>
      <w:r w:rsidRPr="00FD211F">
        <w:rPr>
          <w:sz w:val="36"/>
          <w:szCs w:val="36"/>
          <w:rtl/>
        </w:rPr>
        <w:t>وأجاب</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00A61BAE" w:rsidRPr="00FD211F">
        <w:rPr>
          <w:sz w:val="36"/>
          <w:szCs w:val="36"/>
          <w:rtl/>
        </w:rPr>
        <w:t>"قده"</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يترتب</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المسأل</w:t>
      </w:r>
      <w:r w:rsidR="00EC7EDF" w:rsidRPr="00FD211F">
        <w:rPr>
          <w:sz w:val="36"/>
          <w:szCs w:val="36"/>
          <w:rtl/>
        </w:rPr>
        <w:t>ة</w:t>
      </w:r>
      <w:r w:rsidR="00E8128F">
        <w:rPr>
          <w:sz w:val="36"/>
          <w:szCs w:val="36"/>
          <w:rtl/>
        </w:rPr>
        <w:t xml:space="preserve"> </w:t>
      </w:r>
      <w:r w:rsidRPr="00FD211F">
        <w:rPr>
          <w:sz w:val="36"/>
          <w:szCs w:val="36"/>
          <w:rtl/>
        </w:rPr>
        <w:t>-اذا</w:t>
      </w:r>
      <w:r w:rsidR="00E8128F">
        <w:rPr>
          <w:sz w:val="36"/>
          <w:szCs w:val="36"/>
          <w:rtl/>
        </w:rPr>
        <w:t xml:space="preserve"> </w:t>
      </w:r>
      <w:r w:rsidRPr="00FD211F">
        <w:rPr>
          <w:sz w:val="36"/>
          <w:szCs w:val="36"/>
          <w:rtl/>
        </w:rPr>
        <w:t>أدى</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عنها</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القول</w:t>
      </w:r>
      <w:r w:rsidR="00E8128F">
        <w:rPr>
          <w:sz w:val="36"/>
          <w:szCs w:val="36"/>
          <w:rtl/>
        </w:rPr>
        <w:t xml:space="preserve"> </w:t>
      </w:r>
      <w:r w:rsidRPr="00FD211F">
        <w:rPr>
          <w:sz w:val="36"/>
          <w:szCs w:val="36"/>
          <w:rtl/>
        </w:rPr>
        <w:t>بوجوب</w:t>
      </w:r>
      <w:r w:rsidR="00E8128F">
        <w:rPr>
          <w:sz w:val="36"/>
          <w:szCs w:val="36"/>
          <w:rtl/>
        </w:rPr>
        <w:t xml:space="preserve"> </w:t>
      </w:r>
      <w:r w:rsidR="00F56DC6" w:rsidRPr="00FD211F">
        <w:rPr>
          <w:sz w:val="36"/>
          <w:szCs w:val="36"/>
          <w:rtl/>
        </w:rPr>
        <w:t>المقدم</w:t>
      </w:r>
      <w:r w:rsidR="00EC7EDF" w:rsidRPr="00FD211F">
        <w:rPr>
          <w:sz w:val="36"/>
          <w:szCs w:val="36"/>
          <w:rtl/>
        </w:rPr>
        <w:t>ة</w:t>
      </w:r>
      <w:r w:rsidR="00E8128F">
        <w:rPr>
          <w:sz w:val="36"/>
          <w:szCs w:val="36"/>
          <w:rtl/>
        </w:rPr>
        <w:t xml:space="preserve"> </w:t>
      </w:r>
      <w:r w:rsidR="00F56DC6" w:rsidRPr="00FD211F">
        <w:rPr>
          <w:sz w:val="36"/>
          <w:szCs w:val="36"/>
          <w:rtl/>
        </w:rPr>
        <w:t>مطلقا</w:t>
      </w:r>
      <w:r w:rsidRPr="00FD211F">
        <w:rPr>
          <w:sz w:val="36"/>
          <w:szCs w:val="36"/>
          <w:rtl/>
        </w:rPr>
        <w:t>-</w:t>
      </w:r>
      <w:r w:rsidR="00E8128F">
        <w:rPr>
          <w:sz w:val="36"/>
          <w:szCs w:val="36"/>
          <w:rtl/>
        </w:rPr>
        <w:t xml:space="preserve"> </w:t>
      </w:r>
      <w:r w:rsidR="00F56DC6" w:rsidRPr="00FD211F">
        <w:rPr>
          <w:sz w:val="36"/>
          <w:szCs w:val="36"/>
          <w:rtl/>
        </w:rPr>
        <w:t>ثمر</w:t>
      </w:r>
      <w:r w:rsidR="00EC7EDF" w:rsidRPr="00FD211F">
        <w:rPr>
          <w:sz w:val="36"/>
          <w:szCs w:val="36"/>
          <w:rtl/>
        </w:rPr>
        <w:t>ة</w:t>
      </w:r>
      <w:r w:rsidR="00E8128F">
        <w:rPr>
          <w:sz w:val="36"/>
          <w:szCs w:val="36"/>
          <w:rtl/>
        </w:rPr>
        <w:t xml:space="preserve"> </w:t>
      </w:r>
      <w:r w:rsidR="00F56DC6" w:rsidRPr="00FD211F">
        <w:rPr>
          <w:sz w:val="36"/>
          <w:szCs w:val="36"/>
          <w:rtl/>
        </w:rPr>
        <w:t>فقهي</w:t>
      </w:r>
      <w:r w:rsidR="00EC7EDF" w:rsidRPr="00FD211F">
        <w:rPr>
          <w:sz w:val="36"/>
          <w:szCs w:val="36"/>
          <w:rtl/>
        </w:rPr>
        <w:t>ة</w:t>
      </w:r>
      <w:r w:rsidR="00E8128F">
        <w:rPr>
          <w:sz w:val="36"/>
          <w:szCs w:val="36"/>
          <w:rtl/>
        </w:rPr>
        <w:t xml:space="preserve"> </w:t>
      </w:r>
      <w:r w:rsidRPr="00FD211F">
        <w:rPr>
          <w:sz w:val="36"/>
          <w:szCs w:val="36"/>
          <w:rtl/>
        </w:rPr>
        <w:t>مهم</w:t>
      </w:r>
      <w:r w:rsidR="00EC7EDF" w:rsidRPr="00FD211F">
        <w:rPr>
          <w:sz w:val="36"/>
          <w:szCs w:val="36"/>
          <w:rtl/>
        </w:rPr>
        <w:t>ة</w:t>
      </w:r>
      <w:r w:rsidR="00E8128F">
        <w:rPr>
          <w:sz w:val="36"/>
          <w:szCs w:val="36"/>
          <w:rtl/>
        </w:rPr>
        <w:t xml:space="preserve"> </w:t>
      </w:r>
      <w:r w:rsidR="00F56DC6" w:rsidRPr="00FD211F">
        <w:rPr>
          <w:sz w:val="36"/>
          <w:szCs w:val="36"/>
          <w:rtl/>
        </w:rPr>
        <w:t>بلاحاج</w:t>
      </w:r>
      <w:r w:rsidR="00EC7EDF" w:rsidRPr="00FD211F">
        <w:rPr>
          <w:sz w:val="36"/>
          <w:szCs w:val="36"/>
          <w:rtl/>
        </w:rPr>
        <w:t>ة</w:t>
      </w:r>
      <w:r w:rsidR="00E8128F">
        <w:rPr>
          <w:sz w:val="36"/>
          <w:szCs w:val="36"/>
          <w:rtl/>
        </w:rPr>
        <w:t xml:space="preserve"> </w:t>
      </w:r>
      <w:r w:rsidR="00F56DC6" w:rsidRPr="00FD211F">
        <w:rPr>
          <w:sz w:val="36"/>
          <w:szCs w:val="36"/>
          <w:rtl/>
        </w:rPr>
        <w:t>الى</w:t>
      </w:r>
      <w:r w:rsidR="00E8128F">
        <w:rPr>
          <w:sz w:val="36"/>
          <w:szCs w:val="36"/>
          <w:rtl/>
        </w:rPr>
        <w:t xml:space="preserve"> </w:t>
      </w:r>
      <w:r w:rsidR="00F56DC6" w:rsidRPr="00FD211F">
        <w:rPr>
          <w:sz w:val="36"/>
          <w:szCs w:val="36"/>
          <w:rtl/>
        </w:rPr>
        <w:t>توسيط</w:t>
      </w:r>
      <w:r w:rsidR="00E8128F">
        <w:rPr>
          <w:sz w:val="36"/>
          <w:szCs w:val="36"/>
          <w:rtl/>
        </w:rPr>
        <w:t xml:space="preserve"> </w:t>
      </w:r>
      <w:r w:rsidR="00F56DC6" w:rsidRPr="00FD211F">
        <w:rPr>
          <w:sz w:val="36"/>
          <w:szCs w:val="36"/>
          <w:rtl/>
        </w:rPr>
        <w:t>أي</w:t>
      </w:r>
      <w:r w:rsidR="00EC7EDF" w:rsidRPr="00FD211F">
        <w:rPr>
          <w:sz w:val="36"/>
          <w:szCs w:val="36"/>
          <w:rtl/>
        </w:rPr>
        <w:t>ة</w:t>
      </w:r>
      <w:r w:rsidR="00E8128F">
        <w:rPr>
          <w:sz w:val="36"/>
          <w:szCs w:val="36"/>
          <w:rtl/>
        </w:rPr>
        <w:t xml:space="preserve"> </w:t>
      </w:r>
      <w:r w:rsidR="00F56DC6" w:rsidRPr="00FD211F">
        <w:rPr>
          <w:sz w:val="36"/>
          <w:szCs w:val="36"/>
          <w:rtl/>
        </w:rPr>
        <w:t>مسأل</w:t>
      </w:r>
      <w:r w:rsidR="00EC7EDF" w:rsidRPr="00FD211F">
        <w:rPr>
          <w:sz w:val="36"/>
          <w:szCs w:val="36"/>
          <w:rtl/>
        </w:rPr>
        <w:t>ة</w:t>
      </w:r>
      <w:r w:rsidR="00E8128F">
        <w:rPr>
          <w:sz w:val="36"/>
          <w:szCs w:val="36"/>
          <w:rtl/>
        </w:rPr>
        <w:t xml:space="preserve"> </w:t>
      </w:r>
      <w:r w:rsidR="00F56DC6" w:rsidRPr="00FD211F">
        <w:rPr>
          <w:sz w:val="36"/>
          <w:szCs w:val="36"/>
          <w:rtl/>
        </w:rPr>
        <w:t>اصولي</w:t>
      </w:r>
      <w:r w:rsidR="00EC7EDF" w:rsidRPr="00FD211F">
        <w:rPr>
          <w:sz w:val="36"/>
          <w:szCs w:val="36"/>
          <w:rtl/>
        </w:rPr>
        <w:t>ة</w:t>
      </w:r>
      <w:r w:rsidR="00E8128F">
        <w:rPr>
          <w:sz w:val="36"/>
          <w:szCs w:val="36"/>
          <w:rtl/>
        </w:rPr>
        <w:t xml:space="preserve"> </w:t>
      </w:r>
      <w:r w:rsidR="00F56DC6" w:rsidRPr="00FD211F">
        <w:rPr>
          <w:sz w:val="36"/>
          <w:szCs w:val="36"/>
          <w:rtl/>
        </w:rPr>
        <w:t>أخرى</w:t>
      </w:r>
      <w:r w:rsidR="00603323" w:rsidRPr="00FD211F">
        <w:rPr>
          <w:sz w:val="36"/>
          <w:szCs w:val="36"/>
          <w:rtl/>
        </w:rPr>
        <w:t>،</w:t>
      </w:r>
      <w:r w:rsidR="00E8128F">
        <w:rPr>
          <w:sz w:val="36"/>
          <w:szCs w:val="36"/>
          <w:rtl/>
        </w:rPr>
        <w:t xml:space="preserve"> </w:t>
      </w:r>
      <w:r w:rsidR="00501ABE" w:rsidRPr="00FD211F">
        <w:rPr>
          <w:sz w:val="36"/>
          <w:szCs w:val="36"/>
          <w:rtl/>
        </w:rPr>
        <w:t>وهي</w:t>
      </w:r>
      <w:r w:rsidR="00E8128F">
        <w:rPr>
          <w:sz w:val="36"/>
          <w:szCs w:val="36"/>
          <w:rtl/>
        </w:rPr>
        <w:t xml:space="preserve"> </w:t>
      </w:r>
      <w:r w:rsidR="00F56DC6" w:rsidRPr="00FD211F">
        <w:rPr>
          <w:sz w:val="36"/>
          <w:szCs w:val="36"/>
          <w:rtl/>
        </w:rPr>
        <w:t>انه</w:t>
      </w:r>
      <w:r w:rsidR="00E8128F">
        <w:rPr>
          <w:sz w:val="36"/>
          <w:szCs w:val="36"/>
          <w:rtl/>
        </w:rPr>
        <w:t xml:space="preserve"> </w:t>
      </w:r>
      <w:r w:rsidR="00F56DC6" w:rsidRPr="00FD211F">
        <w:rPr>
          <w:sz w:val="36"/>
          <w:szCs w:val="36"/>
          <w:rtl/>
        </w:rPr>
        <w:t>لو</w:t>
      </w:r>
      <w:r w:rsidR="00E8128F">
        <w:rPr>
          <w:sz w:val="36"/>
          <w:szCs w:val="36"/>
          <w:rtl/>
        </w:rPr>
        <w:t xml:space="preserve"> </w:t>
      </w:r>
      <w:r w:rsidR="00F56DC6" w:rsidRPr="00FD211F">
        <w:rPr>
          <w:sz w:val="36"/>
          <w:szCs w:val="36"/>
          <w:rtl/>
        </w:rPr>
        <w:t>توقف</w:t>
      </w:r>
      <w:r w:rsidR="00E8128F">
        <w:rPr>
          <w:sz w:val="36"/>
          <w:szCs w:val="36"/>
          <w:rtl/>
        </w:rPr>
        <w:t xml:space="preserve"> </w:t>
      </w:r>
      <w:r w:rsidR="00F56DC6" w:rsidRPr="00FD211F">
        <w:rPr>
          <w:sz w:val="36"/>
          <w:szCs w:val="36"/>
          <w:rtl/>
        </w:rPr>
        <w:t>واجب</w:t>
      </w:r>
      <w:r w:rsidR="00E8128F">
        <w:rPr>
          <w:sz w:val="36"/>
          <w:szCs w:val="36"/>
          <w:rtl/>
        </w:rPr>
        <w:t xml:space="preserve"> </w:t>
      </w:r>
      <w:r w:rsidR="00F56DC6" w:rsidRPr="00FD211F">
        <w:rPr>
          <w:sz w:val="36"/>
          <w:szCs w:val="36"/>
          <w:rtl/>
        </w:rPr>
        <w:t>أهم</w:t>
      </w:r>
      <w:r w:rsidR="00E8128F">
        <w:rPr>
          <w:sz w:val="36"/>
          <w:szCs w:val="36"/>
          <w:rtl/>
        </w:rPr>
        <w:t xml:space="preserve"> </w:t>
      </w:r>
      <w:r w:rsidR="00F56DC6" w:rsidRPr="00FD211F">
        <w:rPr>
          <w:sz w:val="36"/>
          <w:szCs w:val="36"/>
          <w:rtl/>
        </w:rPr>
        <w:t>كانقا</w:t>
      </w:r>
      <w:r w:rsidR="00501ABE" w:rsidRPr="00FD211F">
        <w:rPr>
          <w:sz w:val="36"/>
          <w:szCs w:val="36"/>
          <w:rtl/>
        </w:rPr>
        <w:t>ذ</w:t>
      </w:r>
      <w:r w:rsidR="00E8128F">
        <w:rPr>
          <w:sz w:val="36"/>
          <w:szCs w:val="36"/>
          <w:rtl/>
        </w:rPr>
        <w:t xml:space="preserve"> </w:t>
      </w:r>
      <w:r w:rsidR="00501ABE" w:rsidRPr="00FD211F">
        <w:rPr>
          <w:sz w:val="36"/>
          <w:szCs w:val="36"/>
          <w:rtl/>
        </w:rPr>
        <w:t>غريق</w:t>
      </w:r>
      <w:r w:rsidR="00E8128F">
        <w:rPr>
          <w:sz w:val="36"/>
          <w:szCs w:val="36"/>
          <w:rtl/>
        </w:rPr>
        <w:t xml:space="preserve"> </w:t>
      </w:r>
      <w:r w:rsidR="00501ABE" w:rsidRPr="00FD211F">
        <w:rPr>
          <w:sz w:val="36"/>
          <w:szCs w:val="36"/>
          <w:rtl/>
        </w:rPr>
        <w:t>على</w:t>
      </w:r>
      <w:r w:rsidR="00E8128F">
        <w:rPr>
          <w:sz w:val="36"/>
          <w:szCs w:val="36"/>
          <w:rtl/>
        </w:rPr>
        <w:t xml:space="preserve"> </w:t>
      </w:r>
      <w:r w:rsidR="00501ABE" w:rsidRPr="00FD211F">
        <w:rPr>
          <w:sz w:val="36"/>
          <w:szCs w:val="36"/>
          <w:rtl/>
        </w:rPr>
        <w:t>محرم</w:t>
      </w:r>
      <w:r w:rsidR="00E8128F">
        <w:rPr>
          <w:sz w:val="36"/>
          <w:szCs w:val="36"/>
          <w:rtl/>
        </w:rPr>
        <w:t xml:space="preserve"> </w:t>
      </w:r>
      <w:r w:rsidR="00501ABE" w:rsidRPr="00FD211F">
        <w:rPr>
          <w:sz w:val="36"/>
          <w:szCs w:val="36"/>
          <w:rtl/>
        </w:rPr>
        <w:t>كالدخول</w:t>
      </w:r>
      <w:r w:rsidR="00E8128F">
        <w:rPr>
          <w:sz w:val="36"/>
          <w:szCs w:val="36"/>
          <w:rtl/>
        </w:rPr>
        <w:t xml:space="preserve"> </w:t>
      </w:r>
      <w:r w:rsidR="00501ABE" w:rsidRPr="00FD211F">
        <w:rPr>
          <w:sz w:val="36"/>
          <w:szCs w:val="36"/>
          <w:rtl/>
        </w:rPr>
        <w:t>في</w:t>
      </w:r>
      <w:r w:rsidR="00E8128F">
        <w:rPr>
          <w:sz w:val="36"/>
          <w:szCs w:val="36"/>
          <w:rtl/>
        </w:rPr>
        <w:t xml:space="preserve"> </w:t>
      </w:r>
      <w:r w:rsidR="00501ABE" w:rsidRPr="00FD211F">
        <w:rPr>
          <w:sz w:val="36"/>
          <w:szCs w:val="36"/>
          <w:rtl/>
        </w:rPr>
        <w:t>المكان</w:t>
      </w:r>
      <w:r w:rsidR="00E8128F">
        <w:rPr>
          <w:sz w:val="36"/>
          <w:szCs w:val="36"/>
          <w:rtl/>
        </w:rPr>
        <w:t xml:space="preserve"> </w:t>
      </w:r>
      <w:r w:rsidR="00F56DC6" w:rsidRPr="00FD211F">
        <w:rPr>
          <w:sz w:val="36"/>
          <w:szCs w:val="36"/>
          <w:rtl/>
        </w:rPr>
        <w:t>المغصوب</w:t>
      </w:r>
      <w:r w:rsidR="00E8128F">
        <w:rPr>
          <w:sz w:val="36"/>
          <w:szCs w:val="36"/>
          <w:rtl/>
        </w:rPr>
        <w:t xml:space="preserve"> </w:t>
      </w:r>
      <w:r w:rsidR="00F56DC6" w:rsidRPr="00FD211F">
        <w:rPr>
          <w:sz w:val="36"/>
          <w:szCs w:val="36"/>
          <w:rtl/>
        </w:rPr>
        <w:t>ارتفع</w:t>
      </w:r>
      <w:r w:rsidR="00E8128F">
        <w:rPr>
          <w:sz w:val="36"/>
          <w:szCs w:val="36"/>
          <w:rtl/>
        </w:rPr>
        <w:t xml:space="preserve"> </w:t>
      </w:r>
      <w:r w:rsidR="00F56DC6" w:rsidRPr="00FD211F">
        <w:rPr>
          <w:sz w:val="36"/>
          <w:szCs w:val="36"/>
          <w:rtl/>
        </w:rPr>
        <w:t>الحرم</w:t>
      </w:r>
      <w:r w:rsidR="00EC7EDF" w:rsidRPr="00FD211F">
        <w:rPr>
          <w:sz w:val="36"/>
          <w:szCs w:val="36"/>
          <w:rtl/>
        </w:rPr>
        <w:t>ة</w:t>
      </w:r>
      <w:r w:rsidR="00E8128F">
        <w:rPr>
          <w:sz w:val="36"/>
          <w:szCs w:val="36"/>
          <w:rtl/>
        </w:rPr>
        <w:t xml:space="preserve"> </w:t>
      </w:r>
      <w:r w:rsidR="00F56DC6" w:rsidRPr="00FD211F">
        <w:rPr>
          <w:sz w:val="36"/>
          <w:szCs w:val="36"/>
          <w:rtl/>
        </w:rPr>
        <w:t>عنه</w:t>
      </w:r>
      <w:r w:rsidR="00E8128F">
        <w:rPr>
          <w:sz w:val="36"/>
          <w:szCs w:val="36"/>
          <w:rtl/>
        </w:rPr>
        <w:t xml:space="preserve"> </w:t>
      </w:r>
      <w:r w:rsidR="00F56DC6" w:rsidRPr="00FD211F">
        <w:rPr>
          <w:sz w:val="36"/>
          <w:szCs w:val="36"/>
          <w:rtl/>
        </w:rPr>
        <w:t>ول</w:t>
      </w:r>
      <w:r w:rsidR="009977FE" w:rsidRPr="00FD211F">
        <w:rPr>
          <w:sz w:val="36"/>
          <w:szCs w:val="36"/>
          <w:rtl/>
        </w:rPr>
        <w:t>و</w:t>
      </w:r>
      <w:r w:rsidR="00E8128F">
        <w:rPr>
          <w:sz w:val="36"/>
          <w:szCs w:val="36"/>
          <w:rtl/>
        </w:rPr>
        <w:t xml:space="preserve"> </w:t>
      </w:r>
      <w:r w:rsidR="008D7B3D" w:rsidRPr="00FD211F">
        <w:rPr>
          <w:sz w:val="36"/>
          <w:szCs w:val="36"/>
          <w:rtl/>
        </w:rPr>
        <w:t>لم‌</w:t>
      </w:r>
      <w:r w:rsidR="00F56DC6" w:rsidRPr="00FD211F">
        <w:rPr>
          <w:sz w:val="36"/>
          <w:szCs w:val="36"/>
          <w:rtl/>
        </w:rPr>
        <w:t>يقصد</w:t>
      </w:r>
      <w:r w:rsidR="00E8128F">
        <w:rPr>
          <w:sz w:val="36"/>
          <w:szCs w:val="36"/>
          <w:rtl/>
        </w:rPr>
        <w:t xml:space="preserve"> </w:t>
      </w:r>
      <w:r w:rsidR="00F56DC6" w:rsidRPr="00FD211F">
        <w:rPr>
          <w:sz w:val="36"/>
          <w:szCs w:val="36"/>
          <w:rtl/>
        </w:rPr>
        <w:t>به</w:t>
      </w:r>
      <w:r w:rsidR="00E8128F">
        <w:rPr>
          <w:sz w:val="36"/>
          <w:szCs w:val="36"/>
          <w:rtl/>
        </w:rPr>
        <w:t xml:space="preserve"> </w:t>
      </w:r>
      <w:r w:rsidR="00F56DC6" w:rsidRPr="00FD211F">
        <w:rPr>
          <w:sz w:val="36"/>
          <w:szCs w:val="36"/>
          <w:rtl/>
        </w:rPr>
        <w:t>التوصل</w:t>
      </w:r>
      <w:r w:rsidR="00E8128F">
        <w:rPr>
          <w:sz w:val="36"/>
          <w:szCs w:val="36"/>
          <w:rtl/>
        </w:rPr>
        <w:t xml:space="preserve"> </w:t>
      </w:r>
      <w:r w:rsidR="00990C2C" w:rsidRPr="00FD211F">
        <w:rPr>
          <w:sz w:val="36"/>
          <w:szCs w:val="36"/>
          <w:rtl/>
        </w:rPr>
        <w:t>الى</w:t>
      </w:r>
      <w:r w:rsidR="00E8128F">
        <w:rPr>
          <w:sz w:val="36"/>
          <w:szCs w:val="36"/>
          <w:rtl/>
        </w:rPr>
        <w:t xml:space="preserve"> </w:t>
      </w:r>
      <w:r w:rsidR="00990C2C" w:rsidRPr="00FD211F">
        <w:rPr>
          <w:sz w:val="36"/>
          <w:szCs w:val="36"/>
          <w:rtl/>
        </w:rPr>
        <w:t>انقاذ</w:t>
      </w:r>
      <w:r w:rsidR="00E8128F">
        <w:rPr>
          <w:sz w:val="36"/>
          <w:szCs w:val="36"/>
          <w:rtl/>
        </w:rPr>
        <w:t xml:space="preserve"> </w:t>
      </w:r>
      <w:r w:rsidR="00990C2C" w:rsidRPr="00FD211F">
        <w:rPr>
          <w:sz w:val="36"/>
          <w:szCs w:val="36"/>
          <w:rtl/>
        </w:rPr>
        <w:t>الغريق</w:t>
      </w:r>
      <w:r w:rsidR="00E8128F">
        <w:rPr>
          <w:sz w:val="36"/>
          <w:szCs w:val="36"/>
          <w:rtl/>
        </w:rPr>
        <w:t xml:space="preserve"> </w:t>
      </w:r>
      <w:r w:rsidR="009977FE" w:rsidRPr="00FD211F">
        <w:rPr>
          <w:sz w:val="36"/>
          <w:szCs w:val="36"/>
          <w:rtl/>
        </w:rPr>
        <w:t>و</w:t>
      </w:r>
      <w:r w:rsidR="00E8128F">
        <w:rPr>
          <w:sz w:val="36"/>
          <w:szCs w:val="36"/>
          <w:rtl/>
        </w:rPr>
        <w:t xml:space="preserve"> </w:t>
      </w:r>
      <w:r w:rsidR="008D7B3D" w:rsidRPr="00FD211F">
        <w:rPr>
          <w:sz w:val="36"/>
          <w:szCs w:val="36"/>
          <w:rtl/>
        </w:rPr>
        <w:t>لم‌</w:t>
      </w:r>
      <w:r w:rsidR="00F56DC6" w:rsidRPr="00FD211F">
        <w:rPr>
          <w:sz w:val="36"/>
          <w:szCs w:val="36"/>
          <w:rtl/>
        </w:rPr>
        <w:t>يتوصل</w:t>
      </w:r>
      <w:r w:rsidR="00E8128F">
        <w:rPr>
          <w:sz w:val="36"/>
          <w:szCs w:val="36"/>
          <w:rtl/>
        </w:rPr>
        <w:t xml:space="preserve"> </w:t>
      </w:r>
      <w:r w:rsidR="00990C2C" w:rsidRPr="00FD211F">
        <w:rPr>
          <w:sz w:val="36"/>
          <w:szCs w:val="36"/>
          <w:rtl/>
        </w:rPr>
        <w:t>به</w:t>
      </w:r>
      <w:r w:rsidR="00E8128F">
        <w:rPr>
          <w:sz w:val="36"/>
          <w:szCs w:val="36"/>
          <w:rtl/>
        </w:rPr>
        <w:t xml:space="preserve"> </w:t>
      </w:r>
      <w:r w:rsidR="00F56DC6" w:rsidRPr="00FD211F">
        <w:rPr>
          <w:sz w:val="36"/>
          <w:szCs w:val="36"/>
          <w:rtl/>
        </w:rPr>
        <w:t>ال</w:t>
      </w:r>
      <w:r w:rsidR="00990C2C" w:rsidRPr="00FD211F">
        <w:rPr>
          <w:sz w:val="36"/>
          <w:szCs w:val="36"/>
          <w:rtl/>
        </w:rPr>
        <w:t>يه</w:t>
      </w:r>
      <w:r w:rsidR="009C58C8" w:rsidRPr="00FD211F">
        <w:rPr>
          <w:rStyle w:val="a6"/>
          <w:sz w:val="36"/>
          <w:szCs w:val="36"/>
          <w:rtl/>
        </w:rPr>
        <w:t>(</w:t>
      </w:r>
      <w:r w:rsidR="009C58C8" w:rsidRPr="00FD211F">
        <w:rPr>
          <w:rStyle w:val="a6"/>
          <w:sz w:val="36"/>
          <w:szCs w:val="36"/>
          <w:rtl/>
        </w:rPr>
        <w:footnoteReference w:id="23"/>
      </w:r>
      <w:r w:rsidR="009C58C8" w:rsidRPr="00FD211F">
        <w:rPr>
          <w:rStyle w:val="a6"/>
          <w:sz w:val="36"/>
          <w:szCs w:val="36"/>
          <w:rtl/>
        </w:rPr>
        <w:t>)</w:t>
      </w:r>
      <w:r w:rsidR="00990C2C" w:rsidRPr="00FD211F">
        <w:rPr>
          <w:sz w:val="36"/>
          <w:szCs w:val="36"/>
          <w:rtl/>
        </w:rPr>
        <w:t>.</w:t>
      </w:r>
    </w:p>
    <w:p w14:paraId="7DC03C8E" w14:textId="77777777" w:rsidR="004B6CC8" w:rsidRPr="00FD211F" w:rsidRDefault="00990C2C" w:rsidP="009C58C8">
      <w:pPr>
        <w:pStyle w:val="hasan"/>
        <w:ind w:left="0" w:firstLine="227"/>
        <w:rPr>
          <w:rFonts w:ascii="Scheherazade" w:hAnsi="Scheherazade" w:cs="Scheherazade"/>
          <w:sz w:val="36"/>
          <w:szCs w:val="36"/>
          <w:rtl/>
        </w:rPr>
      </w:pPr>
      <w:r w:rsidRPr="00FD211F">
        <w:rPr>
          <w:rFonts w:ascii="Scheherazade" w:hAnsi="Scheherazade" w:cs="Scheherazade"/>
          <w:sz w:val="36"/>
          <w:szCs w:val="36"/>
          <w:rtl/>
        </w:rPr>
        <w:t>توضيح</w:t>
      </w:r>
      <w:r w:rsidR="00E8128F">
        <w:rPr>
          <w:rFonts w:ascii="Scheherazade" w:hAnsi="Scheherazade" w:cs="Scheherazade"/>
          <w:sz w:val="36"/>
          <w:szCs w:val="36"/>
          <w:rtl/>
        </w:rPr>
        <w:t xml:space="preserve"> </w:t>
      </w:r>
      <w:r w:rsidRPr="00FD211F">
        <w:rPr>
          <w:rFonts w:ascii="Scheherazade" w:hAnsi="Scheherazade" w:cs="Scheherazade"/>
          <w:sz w:val="36"/>
          <w:szCs w:val="36"/>
          <w:rtl/>
        </w:rPr>
        <w:t>ما</w:t>
      </w:r>
      <w:r w:rsidR="00E8128F">
        <w:rPr>
          <w:rFonts w:ascii="Scheherazade" w:hAnsi="Scheherazade" w:cs="Scheherazade"/>
          <w:sz w:val="36"/>
          <w:szCs w:val="36"/>
          <w:rtl/>
        </w:rPr>
        <w:t xml:space="preserve"> </w:t>
      </w:r>
      <w:r w:rsidRPr="00FD211F">
        <w:rPr>
          <w:rFonts w:ascii="Scheherazade" w:hAnsi="Scheherazade" w:cs="Scheherazade"/>
          <w:sz w:val="36"/>
          <w:szCs w:val="36"/>
          <w:rtl/>
        </w:rPr>
        <w:t>افاده</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انه</w:t>
      </w:r>
      <w:r w:rsidR="00E8128F">
        <w:rPr>
          <w:rFonts w:ascii="Scheherazade" w:hAnsi="Scheherazade" w:cs="Scheherazade"/>
          <w:sz w:val="36"/>
          <w:szCs w:val="36"/>
          <w:rtl/>
        </w:rPr>
        <w:t xml:space="preserve"> </w:t>
      </w:r>
      <w:r w:rsidRPr="00FD211F">
        <w:rPr>
          <w:rFonts w:ascii="Scheherazade" w:hAnsi="Scheherazade" w:cs="Scheherazade"/>
          <w:sz w:val="36"/>
          <w:szCs w:val="36"/>
          <w:rtl/>
        </w:rPr>
        <w:t>اذا</w:t>
      </w:r>
      <w:r w:rsidR="00E8128F">
        <w:rPr>
          <w:rFonts w:ascii="Scheherazade" w:hAnsi="Scheherazade" w:cs="Scheherazade"/>
          <w:sz w:val="36"/>
          <w:szCs w:val="36"/>
          <w:rtl/>
        </w:rPr>
        <w:t xml:space="preserve"> </w:t>
      </w:r>
      <w:r w:rsidRPr="00FD211F">
        <w:rPr>
          <w:rFonts w:ascii="Scheherazade" w:hAnsi="Scheherazade" w:cs="Scheherazade"/>
          <w:sz w:val="36"/>
          <w:szCs w:val="36"/>
          <w:rtl/>
        </w:rPr>
        <w:t>توقف</w:t>
      </w:r>
      <w:r w:rsidR="00E8128F">
        <w:rPr>
          <w:rFonts w:ascii="Scheherazade" w:hAnsi="Scheherazade" w:cs="Scheherazade"/>
          <w:sz w:val="36"/>
          <w:szCs w:val="36"/>
          <w:rtl/>
        </w:rPr>
        <w:t xml:space="preserve"> </w:t>
      </w:r>
      <w:r w:rsidRPr="00FD211F">
        <w:rPr>
          <w:rFonts w:ascii="Scheherazade" w:hAnsi="Scheherazade" w:cs="Scheherazade"/>
          <w:sz w:val="36"/>
          <w:szCs w:val="36"/>
          <w:rtl/>
        </w:rPr>
        <w:t>انقاذ</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الغريق</w:t>
      </w:r>
      <w:r w:rsidR="00E8128F">
        <w:rPr>
          <w:rFonts w:ascii="Scheherazade" w:hAnsi="Scheherazade" w:cs="Scheherazade"/>
          <w:sz w:val="36"/>
          <w:szCs w:val="36"/>
          <w:rtl/>
        </w:rPr>
        <w:t xml:space="preserve"> </w:t>
      </w:r>
      <w:r w:rsidRPr="00FD211F">
        <w:rPr>
          <w:rFonts w:ascii="Scheherazade" w:hAnsi="Scheherazade" w:cs="Scheherazade"/>
          <w:sz w:val="36"/>
          <w:szCs w:val="36"/>
          <w:rtl/>
        </w:rPr>
        <w:t>على</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Pr="00FD211F">
        <w:rPr>
          <w:rFonts w:ascii="Scheherazade" w:hAnsi="Scheherazade" w:cs="Scheherazade"/>
          <w:sz w:val="36"/>
          <w:szCs w:val="36"/>
          <w:rtl/>
        </w:rPr>
        <w:t>فبناء</w:t>
      </w:r>
      <w:r w:rsidR="00E8128F">
        <w:rPr>
          <w:rFonts w:ascii="Scheherazade" w:hAnsi="Scheherazade" w:cs="Scheherazade"/>
          <w:sz w:val="36"/>
          <w:szCs w:val="36"/>
          <w:rtl/>
        </w:rPr>
        <w:t xml:space="preserve"> </w:t>
      </w:r>
      <w:r w:rsidRPr="00FD211F">
        <w:rPr>
          <w:rFonts w:ascii="Scheherazade" w:hAnsi="Scheherazade" w:cs="Scheherazade"/>
          <w:sz w:val="36"/>
          <w:szCs w:val="36"/>
          <w:rtl/>
        </w:rPr>
        <w:t>على</w:t>
      </w:r>
      <w:r w:rsidR="00E8128F">
        <w:rPr>
          <w:rFonts w:ascii="Scheherazade" w:hAnsi="Scheherazade" w:cs="Scheherazade"/>
          <w:sz w:val="36"/>
          <w:szCs w:val="36"/>
          <w:rtl/>
        </w:rPr>
        <w:t xml:space="preserve"> </w:t>
      </w:r>
      <w:r w:rsidRPr="00FD211F">
        <w:rPr>
          <w:rFonts w:ascii="Scheherazade" w:hAnsi="Scheherazade" w:cs="Scheherazade"/>
          <w:sz w:val="36"/>
          <w:szCs w:val="36"/>
          <w:rtl/>
        </w:rPr>
        <w:t>القول</w:t>
      </w:r>
      <w:r w:rsidR="00E8128F">
        <w:rPr>
          <w:rFonts w:ascii="Scheherazade" w:hAnsi="Scheherazade" w:cs="Scheherazade"/>
          <w:sz w:val="36"/>
          <w:szCs w:val="36"/>
          <w:rtl/>
        </w:rPr>
        <w:t xml:space="preserve"> </w:t>
      </w:r>
      <w:r w:rsidRPr="00FD211F">
        <w:rPr>
          <w:rFonts w:ascii="Scheherazade" w:hAnsi="Scheherazade" w:cs="Scheherazade"/>
          <w:sz w:val="36"/>
          <w:szCs w:val="36"/>
          <w:rtl/>
        </w:rPr>
        <w:t>بعدم</w:t>
      </w:r>
      <w:r w:rsidR="00E8128F">
        <w:rPr>
          <w:rFonts w:ascii="Scheherazade" w:hAnsi="Scheherazade" w:cs="Scheherazade"/>
          <w:sz w:val="36"/>
          <w:szCs w:val="36"/>
          <w:rtl/>
        </w:rPr>
        <w:t xml:space="preserve"> </w:t>
      </w:r>
      <w:r w:rsidRPr="00FD211F">
        <w:rPr>
          <w:rFonts w:ascii="Scheherazade" w:hAnsi="Scheherazade" w:cs="Scheherazade"/>
          <w:sz w:val="36"/>
          <w:szCs w:val="36"/>
          <w:rtl/>
        </w:rPr>
        <w:t>وجوب</w:t>
      </w:r>
      <w:r w:rsidR="00E8128F">
        <w:rPr>
          <w:rFonts w:ascii="Scheherazade" w:hAnsi="Scheherazade" w:cs="Scheherazade"/>
          <w:sz w:val="36"/>
          <w:szCs w:val="36"/>
          <w:rtl/>
        </w:rPr>
        <w:t xml:space="preserve"> </w:t>
      </w:r>
      <w:r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Pr="00FD211F">
        <w:rPr>
          <w:rFonts w:ascii="Scheherazade" w:hAnsi="Scheherazade" w:cs="Scheherazade"/>
          <w:sz w:val="36"/>
          <w:szCs w:val="36"/>
          <w:rtl/>
        </w:rPr>
        <w:t>مطلقا</w:t>
      </w:r>
      <w:r w:rsidR="00E8128F">
        <w:rPr>
          <w:rFonts w:ascii="Scheherazade" w:hAnsi="Scheherazade" w:cs="Scheherazade"/>
          <w:sz w:val="36"/>
          <w:szCs w:val="36"/>
          <w:rtl/>
        </w:rPr>
        <w:t xml:space="preserve"> </w:t>
      </w:r>
      <w:r w:rsidRPr="00FD211F">
        <w:rPr>
          <w:rFonts w:ascii="Scheherazade" w:hAnsi="Scheherazade" w:cs="Scheherazade"/>
          <w:sz w:val="36"/>
          <w:szCs w:val="36"/>
          <w:rtl/>
        </w:rPr>
        <w:t>فلااشكال</w:t>
      </w:r>
      <w:r w:rsidR="00E8128F">
        <w:rPr>
          <w:rFonts w:ascii="Scheherazade" w:hAnsi="Scheherazade" w:cs="Scheherazade"/>
          <w:sz w:val="36"/>
          <w:szCs w:val="36"/>
          <w:rtl/>
        </w:rPr>
        <w:t xml:space="preserve"> </w:t>
      </w:r>
      <w:r w:rsidRPr="00FD211F">
        <w:rPr>
          <w:rFonts w:ascii="Scheherazade" w:hAnsi="Scheherazade" w:cs="Scheherazade"/>
          <w:sz w:val="36"/>
          <w:szCs w:val="36"/>
          <w:rtl/>
        </w:rPr>
        <w:t>في</w:t>
      </w:r>
      <w:r w:rsidR="00E8128F">
        <w:rPr>
          <w:rFonts w:ascii="Scheherazade" w:hAnsi="Scheherazade" w:cs="Scheherazade"/>
          <w:sz w:val="36"/>
          <w:szCs w:val="36"/>
          <w:rtl/>
        </w:rPr>
        <w:t xml:space="preserve"> </w:t>
      </w:r>
      <w:r w:rsidRPr="00FD211F">
        <w:rPr>
          <w:rFonts w:ascii="Scheherazade" w:hAnsi="Scheherazade" w:cs="Scheherazade"/>
          <w:sz w:val="36"/>
          <w:szCs w:val="36"/>
          <w:rtl/>
        </w:rPr>
        <w:t>اندراجه</w:t>
      </w:r>
      <w:r w:rsidR="00E8128F">
        <w:rPr>
          <w:rFonts w:ascii="Scheherazade" w:hAnsi="Scheherazade" w:cs="Scheherazade"/>
          <w:sz w:val="36"/>
          <w:szCs w:val="36"/>
          <w:rtl/>
        </w:rPr>
        <w:t xml:space="preserve"> </w:t>
      </w:r>
      <w:r w:rsidRPr="00FD211F">
        <w:rPr>
          <w:rFonts w:ascii="Scheherazade" w:hAnsi="Scheherazade" w:cs="Scheherazade"/>
          <w:sz w:val="36"/>
          <w:szCs w:val="36"/>
          <w:rtl/>
        </w:rPr>
        <w:t>في</w:t>
      </w:r>
      <w:r w:rsidR="00E8128F">
        <w:rPr>
          <w:rFonts w:ascii="Scheherazade" w:hAnsi="Scheherazade" w:cs="Scheherazade"/>
          <w:sz w:val="36"/>
          <w:szCs w:val="36"/>
          <w:rtl/>
        </w:rPr>
        <w:t xml:space="preserve"> </w:t>
      </w:r>
      <w:r w:rsidRPr="00FD211F">
        <w:rPr>
          <w:rFonts w:ascii="Scheherazade" w:hAnsi="Scheherazade" w:cs="Scheherazade"/>
          <w:sz w:val="36"/>
          <w:szCs w:val="36"/>
          <w:rtl/>
        </w:rPr>
        <w:t>باب</w:t>
      </w:r>
      <w:r w:rsidR="00E8128F">
        <w:rPr>
          <w:rFonts w:ascii="Scheherazade" w:hAnsi="Scheherazade" w:cs="Scheherazade"/>
          <w:sz w:val="36"/>
          <w:szCs w:val="36"/>
          <w:rtl/>
        </w:rPr>
        <w:t xml:space="preserve"> </w:t>
      </w:r>
      <w:r w:rsidRPr="00FD211F">
        <w:rPr>
          <w:rFonts w:ascii="Scheherazade" w:hAnsi="Scheherazade" w:cs="Scheherazade"/>
          <w:sz w:val="36"/>
          <w:szCs w:val="36"/>
          <w:rtl/>
        </w:rPr>
        <w:lastRenderedPageBreak/>
        <w:t>التزاحم</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Pr="00FD211F">
        <w:rPr>
          <w:rFonts w:ascii="Scheherazade" w:hAnsi="Scheherazade" w:cs="Scheherazade"/>
          <w:sz w:val="36"/>
          <w:szCs w:val="36"/>
          <w:rtl/>
        </w:rPr>
        <w:t>فيحتاج</w:t>
      </w:r>
      <w:r w:rsidR="00E8128F">
        <w:rPr>
          <w:rFonts w:ascii="Scheherazade" w:hAnsi="Scheherazade" w:cs="Scheherazade"/>
          <w:sz w:val="36"/>
          <w:szCs w:val="36"/>
          <w:rtl/>
        </w:rPr>
        <w:t xml:space="preserve"> </w:t>
      </w:r>
      <w:r w:rsidRPr="00FD211F">
        <w:rPr>
          <w:rFonts w:ascii="Scheherazade" w:hAnsi="Scheherazade" w:cs="Scheherazade"/>
          <w:sz w:val="36"/>
          <w:szCs w:val="36"/>
          <w:rtl/>
        </w:rPr>
        <w:t>استنباط</w:t>
      </w:r>
      <w:r w:rsidR="00E8128F">
        <w:rPr>
          <w:rFonts w:ascii="Scheherazade" w:hAnsi="Scheherazade" w:cs="Scheherazade"/>
          <w:sz w:val="36"/>
          <w:szCs w:val="36"/>
          <w:rtl/>
        </w:rPr>
        <w:t xml:space="preserve"> </w:t>
      </w:r>
      <w:r w:rsidRPr="00FD211F">
        <w:rPr>
          <w:rFonts w:ascii="Scheherazade" w:hAnsi="Scheherazade" w:cs="Scheherazade"/>
          <w:sz w:val="36"/>
          <w:szCs w:val="36"/>
          <w:rtl/>
        </w:rPr>
        <w:t>حكمه</w:t>
      </w:r>
      <w:r w:rsidR="00E8128F">
        <w:rPr>
          <w:rFonts w:ascii="Scheherazade" w:hAnsi="Scheherazade" w:cs="Scheherazade"/>
          <w:sz w:val="36"/>
          <w:szCs w:val="36"/>
          <w:rtl/>
        </w:rPr>
        <w:t xml:space="preserve"> </w:t>
      </w:r>
      <w:r w:rsidRPr="00FD211F">
        <w:rPr>
          <w:rFonts w:ascii="Scheherazade" w:hAnsi="Scheherazade" w:cs="Scheherazade"/>
          <w:sz w:val="36"/>
          <w:szCs w:val="36"/>
          <w:rtl/>
        </w:rPr>
        <w:t>الشرعي</w:t>
      </w:r>
      <w:r w:rsidR="00E8128F">
        <w:rPr>
          <w:rFonts w:ascii="Scheherazade" w:hAnsi="Scheherazade" w:cs="Scheherazade"/>
          <w:sz w:val="36"/>
          <w:szCs w:val="36"/>
          <w:rtl/>
        </w:rPr>
        <w:t xml:space="preserve"> </w:t>
      </w:r>
      <w:r w:rsidRPr="00FD211F">
        <w:rPr>
          <w:rFonts w:ascii="Scheherazade" w:hAnsi="Scheherazade" w:cs="Scheherazade"/>
          <w:sz w:val="36"/>
          <w:szCs w:val="36"/>
          <w:rtl/>
        </w:rPr>
        <w:t>الى</w:t>
      </w:r>
      <w:r w:rsidR="00E8128F">
        <w:rPr>
          <w:rFonts w:ascii="Scheherazade" w:hAnsi="Scheherazade" w:cs="Scheherazade"/>
          <w:sz w:val="36"/>
          <w:szCs w:val="36"/>
          <w:rtl/>
        </w:rPr>
        <w:t xml:space="preserve"> </w:t>
      </w:r>
      <w:r w:rsidRPr="00FD211F">
        <w:rPr>
          <w:rFonts w:ascii="Scheherazade" w:hAnsi="Scheherazade" w:cs="Scheherazade"/>
          <w:sz w:val="36"/>
          <w:szCs w:val="36"/>
          <w:rtl/>
        </w:rPr>
        <w:t>توسيط</w:t>
      </w:r>
      <w:r w:rsidR="00E8128F">
        <w:rPr>
          <w:rFonts w:ascii="Scheherazade" w:hAnsi="Scheherazade" w:cs="Scheherazade"/>
          <w:sz w:val="36"/>
          <w:szCs w:val="36"/>
          <w:rtl/>
        </w:rPr>
        <w:t xml:space="preserve"> </w:t>
      </w:r>
      <w:r w:rsidRPr="00FD211F">
        <w:rPr>
          <w:rFonts w:ascii="Scheherazade" w:hAnsi="Scheherazade" w:cs="Scheherazade"/>
          <w:sz w:val="36"/>
          <w:szCs w:val="36"/>
          <w:rtl/>
        </w:rPr>
        <w:t>كبرى</w:t>
      </w:r>
      <w:r w:rsidR="00E8128F">
        <w:rPr>
          <w:rFonts w:ascii="Scheherazade" w:hAnsi="Scheherazade" w:cs="Scheherazade"/>
          <w:sz w:val="36"/>
          <w:szCs w:val="36"/>
          <w:rtl/>
        </w:rPr>
        <w:t xml:space="preserve"> </w:t>
      </w:r>
      <w:r w:rsidRPr="00FD211F">
        <w:rPr>
          <w:rFonts w:ascii="Scheherazade" w:hAnsi="Scheherazade" w:cs="Scheherazade"/>
          <w:sz w:val="36"/>
          <w:szCs w:val="36"/>
          <w:rtl/>
        </w:rPr>
        <w:t>التزاحم</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Pr="00FD211F">
        <w:rPr>
          <w:rFonts w:ascii="Scheherazade" w:hAnsi="Scheherazade" w:cs="Scheherazade"/>
          <w:sz w:val="36"/>
          <w:szCs w:val="36"/>
          <w:rtl/>
        </w:rPr>
        <w:t>وهكذا</w:t>
      </w:r>
      <w:r w:rsidR="00E8128F">
        <w:rPr>
          <w:rFonts w:ascii="Scheherazade" w:hAnsi="Scheherazade" w:cs="Scheherazade"/>
          <w:sz w:val="36"/>
          <w:szCs w:val="36"/>
          <w:rtl/>
        </w:rPr>
        <w:t xml:space="preserve"> </w:t>
      </w:r>
      <w:r w:rsidRPr="00FD211F">
        <w:rPr>
          <w:rFonts w:ascii="Scheherazade" w:hAnsi="Scheherazade" w:cs="Scheherazade"/>
          <w:sz w:val="36"/>
          <w:szCs w:val="36"/>
          <w:rtl/>
        </w:rPr>
        <w:t>بناء</w:t>
      </w:r>
      <w:r w:rsidR="00E8128F">
        <w:rPr>
          <w:rFonts w:ascii="Scheherazade" w:hAnsi="Scheherazade" w:cs="Scheherazade"/>
          <w:sz w:val="36"/>
          <w:szCs w:val="36"/>
          <w:rtl/>
        </w:rPr>
        <w:t xml:space="preserve"> </w:t>
      </w:r>
      <w:r w:rsidRPr="00FD211F">
        <w:rPr>
          <w:rFonts w:ascii="Scheherazade" w:hAnsi="Scheherazade" w:cs="Scheherazade"/>
          <w:sz w:val="36"/>
          <w:szCs w:val="36"/>
          <w:rtl/>
        </w:rPr>
        <w:t>على</w:t>
      </w:r>
      <w:r w:rsidR="00E8128F">
        <w:rPr>
          <w:rFonts w:ascii="Scheherazade" w:hAnsi="Scheherazade" w:cs="Scheherazade"/>
          <w:sz w:val="36"/>
          <w:szCs w:val="36"/>
          <w:rtl/>
        </w:rPr>
        <w:t xml:space="preserve"> </w:t>
      </w:r>
      <w:r w:rsidRPr="00FD211F">
        <w:rPr>
          <w:rFonts w:ascii="Scheherazade" w:hAnsi="Scheherazade" w:cs="Scheherazade"/>
          <w:sz w:val="36"/>
          <w:szCs w:val="36"/>
          <w:rtl/>
        </w:rPr>
        <w:t>وجوب</w:t>
      </w:r>
      <w:r w:rsidR="00E8128F">
        <w:rPr>
          <w:rFonts w:ascii="Scheherazade" w:hAnsi="Scheherazade" w:cs="Scheherazade"/>
          <w:sz w:val="36"/>
          <w:szCs w:val="36"/>
          <w:rtl/>
        </w:rPr>
        <w:t xml:space="preserve"> </w:t>
      </w:r>
      <w:r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Pr="00FD211F">
        <w:rPr>
          <w:rFonts w:ascii="Scheherazade" w:hAnsi="Scheherazade" w:cs="Scheherazade"/>
          <w:sz w:val="36"/>
          <w:szCs w:val="36"/>
          <w:rtl/>
        </w:rPr>
        <w:t>الموصل</w:t>
      </w:r>
      <w:r w:rsidR="00EC7EDF" w:rsidRPr="00FD211F">
        <w:rPr>
          <w:rFonts w:ascii="Scheherazade" w:hAnsi="Scheherazade" w:cs="Scheherazade"/>
          <w:sz w:val="36"/>
          <w:szCs w:val="36"/>
          <w:rtl/>
        </w:rPr>
        <w:t>ة</w:t>
      </w:r>
      <w:r w:rsidR="00A61BAE" w:rsidRPr="00FD211F">
        <w:rPr>
          <w:rFonts w:ascii="Scheherazade" w:hAnsi="Scheherazade" w:cs="Scheherazade"/>
          <w:sz w:val="36"/>
          <w:szCs w:val="36"/>
          <w:rtl/>
        </w:rPr>
        <w:t>.</w:t>
      </w:r>
    </w:p>
    <w:p w14:paraId="52E0028E" w14:textId="77777777" w:rsidR="00990C2C" w:rsidRPr="00FD211F" w:rsidRDefault="00CB6C35" w:rsidP="009C58C8">
      <w:pPr>
        <w:pStyle w:val="hasan"/>
        <w:ind w:left="0" w:firstLine="227"/>
        <w:rPr>
          <w:rFonts w:ascii="Scheherazade" w:hAnsi="Scheherazade" w:cs="Scheherazade"/>
          <w:sz w:val="36"/>
          <w:szCs w:val="36"/>
          <w:rtl/>
        </w:rPr>
      </w:pPr>
      <w:r w:rsidRPr="00FD211F">
        <w:rPr>
          <w:rFonts w:ascii="Scheherazade" w:hAnsi="Scheherazade" w:cs="Scheherazade"/>
          <w:sz w:val="36"/>
          <w:szCs w:val="36"/>
          <w:rtl/>
        </w:rPr>
        <w:t>وما</w:t>
      </w:r>
      <w:r w:rsidR="00E8128F">
        <w:rPr>
          <w:rFonts w:ascii="Scheherazade" w:hAnsi="Scheherazade" w:cs="Scheherazade"/>
          <w:sz w:val="36"/>
          <w:szCs w:val="36"/>
          <w:rtl/>
        </w:rPr>
        <w:t xml:space="preserve"> </w:t>
      </w:r>
      <w:r w:rsidRPr="00FD211F">
        <w:rPr>
          <w:rFonts w:ascii="Scheherazade" w:hAnsi="Scheherazade" w:cs="Scheherazade"/>
          <w:sz w:val="36"/>
          <w:szCs w:val="36"/>
          <w:rtl/>
        </w:rPr>
        <w:t>ذكره</w:t>
      </w:r>
      <w:r w:rsidR="00E8128F">
        <w:rPr>
          <w:rFonts w:ascii="Scheherazade" w:hAnsi="Scheherazade" w:cs="Scheherazade"/>
          <w:sz w:val="36"/>
          <w:szCs w:val="36"/>
          <w:rtl/>
        </w:rPr>
        <w:t xml:space="preserve"> </w:t>
      </w:r>
      <w:r w:rsidRPr="00FD211F">
        <w:rPr>
          <w:rFonts w:ascii="Scheherazade" w:hAnsi="Scheherazade" w:cs="Scheherazade"/>
          <w:sz w:val="36"/>
          <w:szCs w:val="36"/>
          <w:rtl/>
        </w:rPr>
        <w:t>بعض</w:t>
      </w:r>
      <w:r w:rsidR="00E8128F">
        <w:rPr>
          <w:rFonts w:ascii="Scheherazade" w:hAnsi="Scheherazade" w:cs="Scheherazade"/>
          <w:sz w:val="36"/>
          <w:szCs w:val="36"/>
          <w:rtl/>
        </w:rPr>
        <w:t xml:space="preserve"> </w:t>
      </w:r>
      <w:r w:rsidRPr="00FD211F">
        <w:rPr>
          <w:rFonts w:ascii="Scheherazade" w:hAnsi="Scheherazade" w:cs="Scheherazade"/>
          <w:sz w:val="36"/>
          <w:szCs w:val="36"/>
          <w:rtl/>
        </w:rPr>
        <w:t>الاعلام</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من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انه</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بناء</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على</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وجوب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الموصل</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فيقع</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التعارض</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ايضا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بين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دليل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حرم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ودليل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وجوب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ذيها</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فان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تنقسم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الى</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قسمين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احدهما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غير</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الموصل</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والآخر</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الموصل</w:t>
      </w:r>
      <w:r w:rsidR="00EC7EDF" w:rsidRPr="00FD211F">
        <w:rPr>
          <w:rFonts w:ascii="Scheherazade" w:hAnsi="Scheherazade" w:cs="Scheherazade"/>
          <w:sz w:val="36"/>
          <w:szCs w:val="36"/>
          <w:rtl/>
        </w:rPr>
        <w:t>ة</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وهما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حصتان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متباينتان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فلاتصدق</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إحديهما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على</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الأخرى</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ولايحتمل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تكون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حرم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غير</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الموصل</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مزاحم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لوجوب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الواجب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وهو</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ذو</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لعدم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التزاحم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بينهما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وتمكن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المكلف</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من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الاتيان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بالواجب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وترك</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الحرام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معا</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لاينفك</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احدهما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عن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الآخر</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خارجا</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لانه</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اذا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اتى</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بالواجب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وهو</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ذو</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فقد</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ترك</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الحرام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وهو</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غير</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الموصل</w:t>
      </w:r>
      <w:r w:rsidR="00EC7EDF" w:rsidRPr="00FD211F">
        <w:rPr>
          <w:rFonts w:ascii="Scheherazade" w:hAnsi="Scheherazade" w:cs="Scheherazade"/>
          <w:sz w:val="36"/>
          <w:szCs w:val="36"/>
          <w:rtl/>
        </w:rPr>
        <w:t>ة</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وأما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الموصل</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فلايمكن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فرض</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التزاحم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بين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حرمتها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ووجوب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ذيها</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بينهما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تعارض</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وتناف</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في</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مقام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الجعل</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اذ</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لايمكن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الجمع</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بين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وجوب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ذي</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وحرم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الموصل</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ولايمكن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علاجه</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بالالتزام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بالحرم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lastRenderedPageBreak/>
        <w:t>الترتبي</w:t>
      </w:r>
      <w:r w:rsidR="00EC7EDF" w:rsidRPr="00FD211F">
        <w:rPr>
          <w:rFonts w:ascii="Scheherazade" w:hAnsi="Scheherazade" w:cs="Scheherazade"/>
          <w:sz w:val="36"/>
          <w:szCs w:val="36"/>
          <w:rtl/>
        </w:rPr>
        <w:t>ة</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اذ</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معنى</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الترتب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هو</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حرم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الموصل</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مشروط</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بترك</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الواجب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وهو</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ذو</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وهذا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لغو</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محض</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لانه</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اذا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ترك</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الواجب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فلاتكون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موصل</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كي</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تكون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محرم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بالترتب</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فلذلك</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يقع</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التعارض</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بين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دليل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حرم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الموصل</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ودليل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وجوب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ذي</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فالمرجع</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هو</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مرجحات</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باب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التعارض</w:t>
      </w:r>
      <w:r w:rsidR="009C58C8" w:rsidRPr="00FD211F">
        <w:rPr>
          <w:rStyle w:val="a6"/>
          <w:rFonts w:ascii="Scheherazade" w:hAnsi="Scheherazade" w:cs="Scheherazade"/>
          <w:sz w:val="36"/>
          <w:szCs w:val="36"/>
          <w:rtl/>
        </w:rPr>
        <w:t>(</w:t>
      </w:r>
      <w:r w:rsidR="009C58C8" w:rsidRPr="00FD211F">
        <w:rPr>
          <w:rStyle w:val="a6"/>
          <w:rFonts w:ascii="Scheherazade" w:hAnsi="Scheherazade" w:cs="Scheherazade"/>
          <w:sz w:val="36"/>
          <w:szCs w:val="36"/>
          <w:rtl/>
        </w:rPr>
        <w:footnoteReference w:id="24"/>
      </w:r>
      <w:r w:rsidR="009C58C8" w:rsidRPr="00FD211F">
        <w:rPr>
          <w:rStyle w:val="a6"/>
          <w:rFonts w:ascii="Scheherazade" w:hAnsi="Scheherazade" w:cs="Scheherazade"/>
          <w:sz w:val="36"/>
          <w:szCs w:val="36"/>
          <w:rtl/>
        </w:rPr>
        <w:t>)</w:t>
      </w:r>
      <w:r w:rsidR="00990C2C" w:rsidRPr="00FD211F">
        <w:rPr>
          <w:rFonts w:ascii="Scheherazade" w:hAnsi="Scheherazade" w:cs="Scheherazade"/>
          <w:sz w:val="36"/>
          <w:szCs w:val="36"/>
          <w:rtl/>
        </w:rPr>
        <w:t>.</w:t>
      </w:r>
    </w:p>
    <w:p w14:paraId="76CEDBDF" w14:textId="77777777" w:rsidR="00990C2C" w:rsidRPr="00FD211F" w:rsidRDefault="004B6CC8" w:rsidP="009C58C8">
      <w:pPr>
        <w:pStyle w:val="hasan"/>
        <w:ind w:left="0" w:firstLine="227"/>
        <w:rPr>
          <w:rFonts w:ascii="Scheherazade" w:hAnsi="Scheherazade" w:cs="Scheherazade"/>
          <w:sz w:val="36"/>
          <w:szCs w:val="36"/>
          <w:rtl/>
        </w:rPr>
      </w:pPr>
      <w:r w:rsidRPr="00FD211F">
        <w:rPr>
          <w:rFonts w:ascii="Scheherazade" w:hAnsi="Scheherazade" w:cs="Scheherazade"/>
          <w:sz w:val="36"/>
          <w:szCs w:val="36"/>
          <w:rtl/>
        </w:rPr>
        <w:t>ف</w:t>
      </w:r>
      <w:r w:rsidR="00990C2C" w:rsidRPr="00FD211F">
        <w:rPr>
          <w:rFonts w:ascii="Scheherazade" w:hAnsi="Scheherazade" w:cs="Scheherazade"/>
          <w:sz w:val="36"/>
          <w:szCs w:val="36"/>
          <w:rtl/>
        </w:rPr>
        <w:t>يرد</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عليه</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لدينا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خطابين</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1A5E03" w:rsidRPr="00FD211F">
        <w:rPr>
          <w:rFonts w:ascii="Scheherazade" w:hAnsi="Scheherazade" w:cs="Scheherazade"/>
          <w:sz w:val="36"/>
          <w:szCs w:val="36"/>
          <w:rtl/>
        </w:rPr>
        <w:t>احدهما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خطاب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وجوب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انقاذ</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الغريق</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w:t>
      </w:r>
      <w:r w:rsidR="001A5E03" w:rsidRPr="00FD211F">
        <w:rPr>
          <w:rFonts w:ascii="Scheherazade" w:hAnsi="Scheherazade" w:cs="Scheherazade"/>
          <w:sz w:val="36"/>
          <w:szCs w:val="36"/>
          <w:rtl/>
        </w:rPr>
        <w:t>الثاني</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خ</w:t>
      </w:r>
      <w:r w:rsidR="00C40D99" w:rsidRPr="00FD211F">
        <w:rPr>
          <w:rFonts w:ascii="Scheherazade" w:hAnsi="Scheherazade" w:cs="Scheherazade"/>
          <w:sz w:val="36"/>
          <w:szCs w:val="36"/>
          <w:rtl/>
        </w:rPr>
        <w:t>طاب</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تحريم</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الغصب</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وكل</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منهما</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مقيد</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بعدم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الاشتغال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بما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لايقل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عنه</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اهمي</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–كجميع</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خطابات</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التكاليف</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حيث</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أنها</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مقيد</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بمثل</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ذلك</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على</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ما</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حقق</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في</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بحث</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التزاحم-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فقد</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دل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خطاب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وجوب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انقاذ</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الغريق</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على</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وجوبه</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بشرط</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عدم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الاشتغال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بما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لايقل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عنه</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اهمي</w:t>
      </w:r>
      <w:r w:rsidR="00EC7EDF" w:rsidRPr="00FD211F">
        <w:rPr>
          <w:rFonts w:ascii="Scheherazade" w:hAnsi="Scheherazade" w:cs="Scheherazade"/>
          <w:sz w:val="36"/>
          <w:szCs w:val="36"/>
          <w:rtl/>
        </w:rPr>
        <w:t>ة</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وكذا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دل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خطاب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تحريم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على</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تحريمه</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مشروطا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بعدم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الاشتغال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بمالايقل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عنه</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اهمي</w:t>
      </w:r>
      <w:r w:rsidR="00EC7EDF" w:rsidRPr="00FD211F">
        <w:rPr>
          <w:rFonts w:ascii="Scheherazade" w:hAnsi="Scheherazade" w:cs="Scheherazade"/>
          <w:sz w:val="36"/>
          <w:szCs w:val="36"/>
          <w:rtl/>
        </w:rPr>
        <w:t>ة</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فاذا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كان</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انقاذ</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الغريق</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اهم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فقد</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وجب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الموصل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الى</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الانقاذ</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–بناء</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على</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وجوب</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المقدم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الموصل</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وهذا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لايتنافى</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مع</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تحريم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lastRenderedPageBreak/>
        <w:t>مشروطا</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بعدم</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الاشتغال</w:t>
      </w:r>
      <w:r w:rsidR="00E8128F">
        <w:rPr>
          <w:rFonts w:ascii="Scheherazade" w:hAnsi="Scheherazade" w:cs="Scheherazade"/>
          <w:sz w:val="36"/>
          <w:szCs w:val="36"/>
          <w:rtl/>
        </w:rPr>
        <w:t xml:space="preserve"> </w:t>
      </w:r>
      <w:r w:rsidR="00990C2C" w:rsidRPr="00FD211F">
        <w:rPr>
          <w:rFonts w:ascii="Scheherazade" w:hAnsi="Scheherazade" w:cs="Scheherazade"/>
          <w:sz w:val="36"/>
          <w:szCs w:val="36"/>
          <w:rtl/>
        </w:rPr>
        <w:t>بالانقاذ</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لان</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تقييد</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الهيئ</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مستلزم</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لتقييد</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الماد</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لبا</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فاشتراط</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حرم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بعدم</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تحقق</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انقاذ</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الغريق</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يوجب</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عدم</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اطلاق</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متعلق</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الحرم</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001A5E03" w:rsidRPr="00FD211F">
        <w:rPr>
          <w:rFonts w:ascii="Scheherazade" w:hAnsi="Scheherazade" w:cs="Scheherazade"/>
          <w:sz w:val="36"/>
          <w:szCs w:val="36"/>
          <w:rtl/>
        </w:rPr>
        <w:t>-الذي</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هو</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الغصب</w:t>
      </w:r>
      <w:r w:rsidR="001A5E0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للغصب</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الذي</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تحقق</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معه</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الانقاذ</w:t>
      </w:r>
      <w:r w:rsidR="00990C2C" w:rsidRPr="00FD211F">
        <w:rPr>
          <w:rFonts w:ascii="Scheherazade" w:hAnsi="Scheherazade" w:cs="Scheherazade"/>
          <w:sz w:val="36"/>
          <w:szCs w:val="36"/>
          <w:rtl/>
        </w:rPr>
        <w:t>.</w:t>
      </w:r>
    </w:p>
    <w:p w14:paraId="78D5F57E" w14:textId="77777777" w:rsidR="00990C2C" w:rsidRPr="00FD211F" w:rsidRDefault="00990C2C" w:rsidP="009C58C8">
      <w:pPr>
        <w:pStyle w:val="hasan"/>
        <w:ind w:left="0" w:firstLine="227"/>
        <w:rPr>
          <w:rFonts w:ascii="Scheherazade" w:hAnsi="Scheherazade" w:cs="Scheherazade"/>
          <w:sz w:val="36"/>
          <w:szCs w:val="36"/>
          <w:rtl/>
        </w:rPr>
      </w:pPr>
      <w:r w:rsidRPr="00FD211F">
        <w:rPr>
          <w:rFonts w:ascii="Scheherazade" w:hAnsi="Scheherazade" w:cs="Scheherazade"/>
          <w:sz w:val="36"/>
          <w:szCs w:val="36"/>
          <w:rtl/>
        </w:rPr>
        <w:t>والمتحصل</w:t>
      </w:r>
      <w:r w:rsidR="00E8128F">
        <w:rPr>
          <w:rFonts w:ascii="Scheherazade" w:hAnsi="Scheherazade" w:cs="Scheherazade"/>
          <w:sz w:val="36"/>
          <w:szCs w:val="36"/>
          <w:rtl/>
        </w:rPr>
        <w:t xml:space="preserve"> </w:t>
      </w:r>
      <w:r w:rsidRPr="00FD211F">
        <w:rPr>
          <w:rFonts w:ascii="Scheherazade" w:hAnsi="Scheherazade" w:cs="Scheherazade"/>
          <w:sz w:val="36"/>
          <w:szCs w:val="36"/>
          <w:rtl/>
        </w:rPr>
        <w:t>ان</w:t>
      </w:r>
      <w:r w:rsidR="00E8128F">
        <w:rPr>
          <w:rFonts w:ascii="Scheherazade" w:hAnsi="Scheherazade" w:cs="Scheherazade"/>
          <w:sz w:val="36"/>
          <w:szCs w:val="36"/>
          <w:rtl/>
        </w:rPr>
        <w:t xml:space="preserve"> </w:t>
      </w:r>
      <w:r w:rsidRPr="00FD211F">
        <w:rPr>
          <w:rFonts w:ascii="Scheherazade" w:hAnsi="Scheherazade" w:cs="Scheherazade"/>
          <w:sz w:val="36"/>
          <w:szCs w:val="36"/>
          <w:rtl/>
        </w:rPr>
        <w:t>المناط</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في</w:t>
      </w:r>
      <w:r w:rsidR="00E8128F">
        <w:rPr>
          <w:rFonts w:ascii="Scheherazade" w:hAnsi="Scheherazade" w:cs="Scheherazade"/>
          <w:sz w:val="36"/>
          <w:szCs w:val="36"/>
          <w:rtl/>
        </w:rPr>
        <w:t xml:space="preserve"> </w:t>
      </w:r>
      <w:r w:rsidRPr="00FD211F">
        <w:rPr>
          <w:rFonts w:ascii="Scheherazade" w:hAnsi="Scheherazade" w:cs="Scheherazade"/>
          <w:sz w:val="36"/>
          <w:szCs w:val="36"/>
          <w:rtl/>
        </w:rPr>
        <w:t>اندراج</w:t>
      </w:r>
      <w:r w:rsidR="00E8128F">
        <w:rPr>
          <w:rFonts w:ascii="Scheherazade" w:hAnsi="Scheherazade" w:cs="Scheherazade"/>
          <w:sz w:val="36"/>
          <w:szCs w:val="36"/>
          <w:rtl/>
        </w:rPr>
        <w:t xml:space="preserve"> </w:t>
      </w:r>
      <w:r w:rsidRPr="00FD211F">
        <w:rPr>
          <w:rFonts w:ascii="Scheherazade" w:hAnsi="Scheherazade" w:cs="Scheherazade"/>
          <w:sz w:val="36"/>
          <w:szCs w:val="36"/>
          <w:rtl/>
        </w:rPr>
        <w:t>خطابي</w:t>
      </w:r>
      <w:r w:rsidR="00E8128F">
        <w:rPr>
          <w:rFonts w:ascii="Scheherazade" w:hAnsi="Scheherazade" w:cs="Scheherazade"/>
          <w:sz w:val="36"/>
          <w:szCs w:val="36"/>
          <w:rtl/>
        </w:rPr>
        <w:t xml:space="preserve"> </w:t>
      </w:r>
      <w:r w:rsidRPr="00FD211F">
        <w:rPr>
          <w:rFonts w:ascii="Scheherazade" w:hAnsi="Scheherazade" w:cs="Scheherazade"/>
          <w:sz w:val="36"/>
          <w:szCs w:val="36"/>
          <w:rtl/>
        </w:rPr>
        <w:t>وجوب</w:t>
      </w:r>
      <w:r w:rsidR="00E8128F">
        <w:rPr>
          <w:rFonts w:ascii="Scheherazade" w:hAnsi="Scheherazade" w:cs="Scheherazade"/>
          <w:sz w:val="36"/>
          <w:szCs w:val="36"/>
          <w:rtl/>
        </w:rPr>
        <w:t xml:space="preserve"> </w:t>
      </w:r>
      <w:r w:rsidRPr="00FD211F">
        <w:rPr>
          <w:rFonts w:ascii="Scheherazade" w:hAnsi="Scheherazade" w:cs="Scheherazade"/>
          <w:sz w:val="36"/>
          <w:szCs w:val="36"/>
          <w:rtl/>
        </w:rPr>
        <w:t>انقاذ</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الغريق</w:t>
      </w:r>
      <w:r w:rsidR="00E8128F">
        <w:rPr>
          <w:rFonts w:ascii="Scheherazade" w:hAnsi="Scheherazade" w:cs="Scheherazade"/>
          <w:sz w:val="36"/>
          <w:szCs w:val="36"/>
          <w:rtl/>
        </w:rPr>
        <w:t xml:space="preserve"> </w:t>
      </w:r>
      <w:r w:rsidRPr="00FD211F">
        <w:rPr>
          <w:rFonts w:ascii="Scheherazade" w:hAnsi="Scheherazade" w:cs="Scheherazade"/>
          <w:sz w:val="36"/>
          <w:szCs w:val="36"/>
          <w:rtl/>
        </w:rPr>
        <w:t>وتحريم</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Pr="00FD211F">
        <w:rPr>
          <w:rFonts w:ascii="Scheherazade" w:hAnsi="Scheherazade" w:cs="Scheherazade"/>
          <w:sz w:val="36"/>
          <w:szCs w:val="36"/>
          <w:rtl/>
        </w:rPr>
        <w:t>في</w:t>
      </w:r>
      <w:r w:rsidR="00E8128F">
        <w:rPr>
          <w:rFonts w:ascii="Scheherazade" w:hAnsi="Scheherazade" w:cs="Scheherazade"/>
          <w:sz w:val="36"/>
          <w:szCs w:val="36"/>
          <w:rtl/>
        </w:rPr>
        <w:t xml:space="preserve"> </w:t>
      </w:r>
      <w:r w:rsidRPr="00FD211F">
        <w:rPr>
          <w:rFonts w:ascii="Scheherazade" w:hAnsi="Scheherazade" w:cs="Scheherazade"/>
          <w:sz w:val="36"/>
          <w:szCs w:val="36"/>
          <w:rtl/>
        </w:rPr>
        <w:t>باب</w:t>
      </w:r>
      <w:r w:rsidR="00E8128F">
        <w:rPr>
          <w:rFonts w:ascii="Scheherazade" w:hAnsi="Scheherazade" w:cs="Scheherazade"/>
          <w:sz w:val="36"/>
          <w:szCs w:val="36"/>
          <w:rtl/>
        </w:rPr>
        <w:t xml:space="preserve"> </w:t>
      </w:r>
      <w:r w:rsidRPr="00FD211F">
        <w:rPr>
          <w:rFonts w:ascii="Scheherazade" w:hAnsi="Scheherazade" w:cs="Scheherazade"/>
          <w:sz w:val="36"/>
          <w:szCs w:val="36"/>
          <w:rtl/>
        </w:rPr>
        <w:t>التزاحم</w:t>
      </w:r>
      <w:r w:rsidR="00E8128F">
        <w:rPr>
          <w:rFonts w:ascii="Scheherazade" w:hAnsi="Scheherazade" w:cs="Scheherazade"/>
          <w:sz w:val="36"/>
          <w:szCs w:val="36"/>
          <w:rtl/>
        </w:rPr>
        <w:t xml:space="preserve"> </w:t>
      </w:r>
      <w:r w:rsidRPr="00FD211F">
        <w:rPr>
          <w:rFonts w:ascii="Scheherazade" w:hAnsi="Scheherazade" w:cs="Scheherazade"/>
          <w:sz w:val="36"/>
          <w:szCs w:val="36"/>
          <w:rtl/>
        </w:rPr>
        <w:t>او</w:t>
      </w:r>
      <w:r w:rsidR="00E8128F">
        <w:rPr>
          <w:rFonts w:ascii="Scheherazade" w:hAnsi="Scheherazade" w:cs="Scheherazade"/>
          <w:sz w:val="36"/>
          <w:szCs w:val="36"/>
          <w:rtl/>
        </w:rPr>
        <w:t xml:space="preserve"> </w:t>
      </w:r>
      <w:r w:rsidRPr="00FD211F">
        <w:rPr>
          <w:rFonts w:ascii="Scheherazade" w:hAnsi="Scheherazade" w:cs="Scheherazade"/>
          <w:sz w:val="36"/>
          <w:szCs w:val="36"/>
          <w:rtl/>
        </w:rPr>
        <w:t>التعارض</w:t>
      </w:r>
      <w:r w:rsidR="00E8128F">
        <w:rPr>
          <w:rFonts w:ascii="Scheherazade" w:hAnsi="Scheherazade" w:cs="Scheherazade"/>
          <w:sz w:val="36"/>
          <w:szCs w:val="36"/>
          <w:rtl/>
        </w:rPr>
        <w:t xml:space="preserve"> </w:t>
      </w:r>
      <w:r w:rsidRPr="00FD211F">
        <w:rPr>
          <w:rFonts w:ascii="Scheherazade" w:hAnsi="Scheherazade" w:cs="Scheherazade"/>
          <w:sz w:val="36"/>
          <w:szCs w:val="36"/>
          <w:rtl/>
        </w:rPr>
        <w:t>هو</w:t>
      </w:r>
      <w:r w:rsidR="00E8128F">
        <w:rPr>
          <w:rFonts w:ascii="Scheherazade" w:hAnsi="Scheherazade" w:cs="Scheherazade"/>
          <w:sz w:val="36"/>
          <w:szCs w:val="36"/>
          <w:rtl/>
        </w:rPr>
        <w:t xml:space="preserve"> </w:t>
      </w:r>
      <w:r w:rsidRPr="00FD211F">
        <w:rPr>
          <w:rFonts w:ascii="Scheherazade" w:hAnsi="Scheherazade" w:cs="Scheherazade"/>
          <w:sz w:val="36"/>
          <w:szCs w:val="36"/>
          <w:rtl/>
        </w:rPr>
        <w:t>ملاحظ</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Pr="00FD211F">
        <w:rPr>
          <w:rFonts w:ascii="Scheherazade" w:hAnsi="Scheherazade" w:cs="Scheherazade"/>
          <w:sz w:val="36"/>
          <w:szCs w:val="36"/>
          <w:rtl/>
        </w:rPr>
        <w:t>ان</w:t>
      </w:r>
      <w:r w:rsidR="00E8128F">
        <w:rPr>
          <w:rFonts w:ascii="Scheherazade" w:hAnsi="Scheherazade" w:cs="Scheherazade"/>
          <w:sz w:val="36"/>
          <w:szCs w:val="36"/>
          <w:rtl/>
        </w:rPr>
        <w:t xml:space="preserve"> </w:t>
      </w:r>
      <w:r w:rsidRPr="00FD211F">
        <w:rPr>
          <w:rFonts w:ascii="Scheherazade" w:hAnsi="Scheherazade" w:cs="Scheherazade"/>
          <w:sz w:val="36"/>
          <w:szCs w:val="36"/>
          <w:rtl/>
        </w:rPr>
        <w:t>خطاب</w:t>
      </w:r>
      <w:r w:rsidR="00E8128F">
        <w:rPr>
          <w:rFonts w:ascii="Scheherazade" w:hAnsi="Scheherazade" w:cs="Scheherazade"/>
          <w:sz w:val="36"/>
          <w:szCs w:val="36"/>
          <w:rtl/>
        </w:rPr>
        <w:t xml:space="preserve"> </w:t>
      </w:r>
      <w:r w:rsidRPr="00FD211F">
        <w:rPr>
          <w:rFonts w:ascii="Scheherazade" w:hAnsi="Scheherazade" w:cs="Scheherazade"/>
          <w:sz w:val="36"/>
          <w:szCs w:val="36"/>
          <w:rtl/>
        </w:rPr>
        <w:t>تحريم</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Pr="00FD211F">
        <w:rPr>
          <w:rFonts w:ascii="Scheherazade" w:hAnsi="Scheherazade" w:cs="Scheherazade"/>
          <w:sz w:val="36"/>
          <w:szCs w:val="36"/>
          <w:rtl/>
        </w:rPr>
        <w:t>هل</w:t>
      </w:r>
      <w:r w:rsidR="00E8128F">
        <w:rPr>
          <w:rFonts w:ascii="Scheherazade" w:hAnsi="Scheherazade" w:cs="Scheherazade"/>
          <w:sz w:val="36"/>
          <w:szCs w:val="36"/>
          <w:rtl/>
        </w:rPr>
        <w:t xml:space="preserve"> </w:t>
      </w:r>
      <w:r w:rsidRPr="00FD211F">
        <w:rPr>
          <w:rFonts w:ascii="Scheherazade" w:hAnsi="Scheherazade" w:cs="Scheherazade"/>
          <w:sz w:val="36"/>
          <w:szCs w:val="36"/>
          <w:rtl/>
        </w:rPr>
        <w:t>ورد</w:t>
      </w:r>
      <w:r w:rsidR="00E8128F">
        <w:rPr>
          <w:rFonts w:ascii="Scheherazade" w:hAnsi="Scheherazade" w:cs="Scheherazade"/>
          <w:sz w:val="36"/>
          <w:szCs w:val="36"/>
          <w:rtl/>
        </w:rPr>
        <w:t xml:space="preserve"> </w:t>
      </w:r>
      <w:r w:rsidRPr="00FD211F">
        <w:rPr>
          <w:rFonts w:ascii="Scheherazade" w:hAnsi="Scheherazade" w:cs="Scheherazade"/>
          <w:sz w:val="36"/>
          <w:szCs w:val="36"/>
          <w:rtl/>
        </w:rPr>
        <w:t>في</w:t>
      </w:r>
      <w:r w:rsidR="00E8128F">
        <w:rPr>
          <w:rFonts w:ascii="Scheherazade" w:hAnsi="Scheherazade" w:cs="Scheherazade"/>
          <w:sz w:val="36"/>
          <w:szCs w:val="36"/>
          <w:rtl/>
        </w:rPr>
        <w:t xml:space="preserve"> </w:t>
      </w:r>
      <w:r w:rsidRPr="00FD211F">
        <w:rPr>
          <w:rFonts w:ascii="Scheherazade" w:hAnsi="Scheherazade" w:cs="Scheherazade"/>
          <w:sz w:val="36"/>
          <w:szCs w:val="36"/>
          <w:rtl/>
        </w:rPr>
        <w:t>خصوص</w:t>
      </w:r>
      <w:r w:rsidR="00E8128F">
        <w:rPr>
          <w:rFonts w:ascii="Scheherazade" w:hAnsi="Scheherazade" w:cs="Scheherazade"/>
          <w:sz w:val="36"/>
          <w:szCs w:val="36"/>
          <w:rtl/>
        </w:rPr>
        <w:t xml:space="preserve"> </w:t>
      </w:r>
      <w:r w:rsidRPr="00FD211F">
        <w:rPr>
          <w:rFonts w:ascii="Scheherazade" w:hAnsi="Scheherazade" w:cs="Scheherazade"/>
          <w:sz w:val="36"/>
          <w:szCs w:val="36"/>
          <w:rtl/>
        </w:rPr>
        <w:t>تحريم</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Pr="00FD211F">
        <w:rPr>
          <w:rFonts w:ascii="Scheherazade" w:hAnsi="Scheherazade" w:cs="Scheherazade"/>
          <w:sz w:val="36"/>
          <w:szCs w:val="36"/>
          <w:rtl/>
        </w:rPr>
        <w:t>الموصل</w:t>
      </w:r>
      <w:r w:rsidR="00E8128F">
        <w:rPr>
          <w:rFonts w:ascii="Scheherazade" w:hAnsi="Scheherazade" w:cs="Scheherazade"/>
          <w:sz w:val="36"/>
          <w:szCs w:val="36"/>
          <w:rtl/>
        </w:rPr>
        <w:t xml:space="preserve"> </w:t>
      </w:r>
      <w:r w:rsidRPr="00FD211F">
        <w:rPr>
          <w:rFonts w:ascii="Scheherazade" w:hAnsi="Scheherazade" w:cs="Scheherazade"/>
          <w:sz w:val="36"/>
          <w:szCs w:val="36"/>
          <w:rtl/>
        </w:rPr>
        <w:t>الى</w:t>
      </w:r>
      <w:r w:rsidR="00E8128F">
        <w:rPr>
          <w:rFonts w:ascii="Scheherazade" w:hAnsi="Scheherazade" w:cs="Scheherazade"/>
          <w:sz w:val="36"/>
          <w:szCs w:val="36"/>
          <w:rtl/>
        </w:rPr>
        <w:t xml:space="preserve"> </w:t>
      </w:r>
      <w:r w:rsidRPr="00FD211F">
        <w:rPr>
          <w:rFonts w:ascii="Scheherazade" w:hAnsi="Scheherazade" w:cs="Scheherazade"/>
          <w:sz w:val="36"/>
          <w:szCs w:val="36"/>
          <w:rtl/>
        </w:rPr>
        <w:t>الانقاذ</w:t>
      </w:r>
      <w:r w:rsidR="00E8128F">
        <w:rPr>
          <w:rFonts w:ascii="Scheherazade" w:hAnsi="Scheherazade" w:cs="Scheherazade"/>
          <w:sz w:val="36"/>
          <w:szCs w:val="36"/>
          <w:rtl/>
        </w:rPr>
        <w:t xml:space="preserve"> </w:t>
      </w:r>
      <w:r w:rsidRPr="00FD211F">
        <w:rPr>
          <w:rFonts w:ascii="Scheherazade" w:hAnsi="Scheherazade" w:cs="Scheherazade"/>
          <w:sz w:val="36"/>
          <w:szCs w:val="36"/>
          <w:rtl/>
        </w:rPr>
        <w:t>او</w:t>
      </w:r>
      <w:r w:rsidR="00E8128F">
        <w:rPr>
          <w:rFonts w:ascii="Scheherazade" w:hAnsi="Scheherazade" w:cs="Scheherazade"/>
          <w:sz w:val="36"/>
          <w:szCs w:val="36"/>
          <w:rtl/>
        </w:rPr>
        <w:t xml:space="preserve"> </w:t>
      </w:r>
      <w:r w:rsidRPr="00FD211F">
        <w:rPr>
          <w:rFonts w:ascii="Scheherazade" w:hAnsi="Scheherazade" w:cs="Scheherazade"/>
          <w:sz w:val="36"/>
          <w:szCs w:val="36"/>
          <w:rtl/>
        </w:rPr>
        <w:t>ورد</w:t>
      </w:r>
      <w:r w:rsidR="00E8128F">
        <w:rPr>
          <w:rFonts w:ascii="Scheherazade" w:hAnsi="Scheherazade" w:cs="Scheherazade"/>
          <w:sz w:val="36"/>
          <w:szCs w:val="36"/>
          <w:rtl/>
        </w:rPr>
        <w:t xml:space="preserve"> </w:t>
      </w:r>
      <w:r w:rsidRPr="00FD211F">
        <w:rPr>
          <w:rFonts w:ascii="Scheherazade" w:hAnsi="Scheherazade" w:cs="Scheherazade"/>
          <w:sz w:val="36"/>
          <w:szCs w:val="36"/>
          <w:rtl/>
        </w:rPr>
        <w:t>بشكل</w:t>
      </w:r>
      <w:r w:rsidR="00E8128F">
        <w:rPr>
          <w:rFonts w:ascii="Scheherazade" w:hAnsi="Scheherazade" w:cs="Scheherazade"/>
          <w:sz w:val="36"/>
          <w:szCs w:val="36"/>
          <w:rtl/>
        </w:rPr>
        <w:t xml:space="preserve"> </w:t>
      </w:r>
      <w:r w:rsidRPr="00FD211F">
        <w:rPr>
          <w:rFonts w:ascii="Scheherazade" w:hAnsi="Scheherazade" w:cs="Scheherazade"/>
          <w:sz w:val="36"/>
          <w:szCs w:val="36"/>
          <w:rtl/>
        </w:rPr>
        <w:t>مطلق</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Pr="00FD211F">
        <w:rPr>
          <w:rFonts w:ascii="Scheherazade" w:hAnsi="Scheherazade" w:cs="Scheherazade"/>
          <w:sz w:val="36"/>
          <w:szCs w:val="36"/>
          <w:rtl/>
        </w:rPr>
        <w:t>فان</w:t>
      </w:r>
      <w:r w:rsidR="00E8128F">
        <w:rPr>
          <w:rFonts w:ascii="Scheherazade" w:hAnsi="Scheherazade" w:cs="Scheherazade"/>
          <w:sz w:val="36"/>
          <w:szCs w:val="36"/>
          <w:rtl/>
        </w:rPr>
        <w:t xml:space="preserve"> </w:t>
      </w:r>
      <w:r w:rsidRPr="00FD211F">
        <w:rPr>
          <w:rFonts w:ascii="Scheherazade" w:hAnsi="Scheherazade" w:cs="Scheherazade"/>
          <w:sz w:val="36"/>
          <w:szCs w:val="36"/>
          <w:rtl/>
        </w:rPr>
        <w:t>كان</w:t>
      </w:r>
      <w:r w:rsidR="00E8128F">
        <w:rPr>
          <w:rFonts w:ascii="Scheherazade" w:hAnsi="Scheherazade" w:cs="Scheherazade"/>
          <w:sz w:val="36"/>
          <w:szCs w:val="36"/>
          <w:rtl/>
        </w:rPr>
        <w:t xml:space="preserve"> </w:t>
      </w:r>
      <w:r w:rsidRPr="00FD211F">
        <w:rPr>
          <w:rFonts w:ascii="Scheherazade" w:hAnsi="Scheherazade" w:cs="Scheherazade"/>
          <w:sz w:val="36"/>
          <w:szCs w:val="36"/>
          <w:rtl/>
        </w:rPr>
        <w:t>واردا</w:t>
      </w:r>
      <w:r w:rsidR="00E8128F">
        <w:rPr>
          <w:rFonts w:ascii="Scheherazade" w:hAnsi="Scheherazade" w:cs="Scheherazade"/>
          <w:sz w:val="36"/>
          <w:szCs w:val="36"/>
          <w:rtl/>
        </w:rPr>
        <w:t xml:space="preserve"> </w:t>
      </w:r>
      <w:r w:rsidRPr="00FD211F">
        <w:rPr>
          <w:rFonts w:ascii="Scheherazade" w:hAnsi="Scheherazade" w:cs="Scheherazade"/>
          <w:sz w:val="36"/>
          <w:szCs w:val="36"/>
          <w:rtl/>
        </w:rPr>
        <w:t>في</w:t>
      </w:r>
      <w:r w:rsidR="00E8128F">
        <w:rPr>
          <w:rFonts w:ascii="Scheherazade" w:hAnsi="Scheherazade" w:cs="Scheherazade"/>
          <w:sz w:val="36"/>
          <w:szCs w:val="36"/>
          <w:rtl/>
        </w:rPr>
        <w:t xml:space="preserve"> </w:t>
      </w:r>
      <w:r w:rsidRPr="00FD211F">
        <w:rPr>
          <w:rFonts w:ascii="Scheherazade" w:hAnsi="Scheherazade" w:cs="Scheherazade"/>
          <w:sz w:val="36"/>
          <w:szCs w:val="36"/>
          <w:rtl/>
        </w:rPr>
        <w:t>خصوص</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Pr="00FD211F">
        <w:rPr>
          <w:rFonts w:ascii="Scheherazade" w:hAnsi="Scheherazade" w:cs="Scheherazade"/>
          <w:sz w:val="36"/>
          <w:szCs w:val="36"/>
          <w:rtl/>
        </w:rPr>
        <w:t>الموصل</w:t>
      </w:r>
      <w:r w:rsidR="00E8128F">
        <w:rPr>
          <w:rFonts w:ascii="Scheherazade" w:hAnsi="Scheherazade" w:cs="Scheherazade"/>
          <w:sz w:val="36"/>
          <w:szCs w:val="36"/>
          <w:rtl/>
        </w:rPr>
        <w:t xml:space="preserve"> </w:t>
      </w:r>
      <w:r w:rsidRPr="00FD211F">
        <w:rPr>
          <w:rFonts w:ascii="Scheherazade" w:hAnsi="Scheherazade" w:cs="Scheherazade"/>
          <w:sz w:val="36"/>
          <w:szCs w:val="36"/>
          <w:rtl/>
        </w:rPr>
        <w:t>الى</w:t>
      </w:r>
      <w:r w:rsidR="00E8128F">
        <w:rPr>
          <w:rFonts w:ascii="Scheherazade" w:hAnsi="Scheherazade" w:cs="Scheherazade"/>
          <w:sz w:val="36"/>
          <w:szCs w:val="36"/>
          <w:rtl/>
        </w:rPr>
        <w:t xml:space="preserve"> </w:t>
      </w:r>
      <w:r w:rsidRPr="00FD211F">
        <w:rPr>
          <w:rFonts w:ascii="Scheherazade" w:hAnsi="Scheherazade" w:cs="Scheherazade"/>
          <w:sz w:val="36"/>
          <w:szCs w:val="36"/>
          <w:rtl/>
        </w:rPr>
        <w:t>الانقاذ</w:t>
      </w:r>
      <w:r w:rsidR="00E8128F">
        <w:rPr>
          <w:rFonts w:ascii="Scheherazade" w:hAnsi="Scheherazade" w:cs="Scheherazade"/>
          <w:sz w:val="36"/>
          <w:szCs w:val="36"/>
          <w:rtl/>
        </w:rPr>
        <w:t xml:space="preserve"> </w:t>
      </w:r>
      <w:r w:rsidRPr="00FD211F">
        <w:rPr>
          <w:rFonts w:ascii="Scheherazade" w:hAnsi="Scheherazade" w:cs="Scheherazade"/>
          <w:sz w:val="36"/>
          <w:szCs w:val="36"/>
          <w:rtl/>
        </w:rPr>
        <w:t>تم</w:t>
      </w:r>
      <w:r w:rsidR="00E8128F">
        <w:rPr>
          <w:rFonts w:ascii="Scheherazade" w:hAnsi="Scheherazade" w:cs="Scheherazade"/>
          <w:sz w:val="36"/>
          <w:szCs w:val="36"/>
          <w:rtl/>
        </w:rPr>
        <w:t xml:space="preserve"> </w:t>
      </w:r>
      <w:r w:rsidRPr="00FD211F">
        <w:rPr>
          <w:rFonts w:ascii="Scheherazade" w:hAnsi="Scheherazade" w:cs="Scheherazade"/>
          <w:sz w:val="36"/>
          <w:szCs w:val="36"/>
          <w:rtl/>
        </w:rPr>
        <w:t>ما</w:t>
      </w:r>
      <w:r w:rsidR="00E8128F">
        <w:rPr>
          <w:rFonts w:ascii="Scheherazade" w:hAnsi="Scheherazade" w:cs="Scheherazade"/>
          <w:sz w:val="36"/>
          <w:szCs w:val="36"/>
          <w:rtl/>
        </w:rPr>
        <w:t xml:space="preserve"> </w:t>
      </w:r>
      <w:r w:rsidRPr="00FD211F">
        <w:rPr>
          <w:rFonts w:ascii="Scheherazade" w:hAnsi="Scheherazade" w:cs="Scheherazade"/>
          <w:sz w:val="36"/>
          <w:szCs w:val="36"/>
          <w:rtl/>
        </w:rPr>
        <w:t>ذكره</w:t>
      </w:r>
      <w:r w:rsidR="00E8128F">
        <w:rPr>
          <w:rFonts w:ascii="Scheherazade" w:hAnsi="Scheherazade" w:cs="Scheherazade"/>
          <w:sz w:val="36"/>
          <w:szCs w:val="36"/>
          <w:rtl/>
        </w:rPr>
        <w:t xml:space="preserve"> </w:t>
      </w:r>
      <w:r w:rsidRPr="00FD211F">
        <w:rPr>
          <w:rFonts w:ascii="Scheherazade" w:hAnsi="Scheherazade" w:cs="Scheherazade"/>
          <w:sz w:val="36"/>
          <w:szCs w:val="36"/>
          <w:rtl/>
        </w:rPr>
        <w:t>من</w:t>
      </w:r>
      <w:r w:rsidR="00E8128F">
        <w:rPr>
          <w:rFonts w:ascii="Scheherazade" w:hAnsi="Scheherazade" w:cs="Scheherazade"/>
          <w:sz w:val="36"/>
          <w:szCs w:val="36"/>
          <w:rtl/>
        </w:rPr>
        <w:t xml:space="preserve"> </w:t>
      </w:r>
      <w:r w:rsidRPr="00FD211F">
        <w:rPr>
          <w:rFonts w:ascii="Scheherazade" w:hAnsi="Scheherazade" w:cs="Scheherazade"/>
          <w:sz w:val="36"/>
          <w:szCs w:val="36"/>
          <w:rtl/>
        </w:rPr>
        <w:t>تعارضه</w:t>
      </w:r>
      <w:r w:rsidR="00E8128F">
        <w:rPr>
          <w:rFonts w:ascii="Scheherazade" w:hAnsi="Scheherazade" w:cs="Scheherazade"/>
          <w:sz w:val="36"/>
          <w:szCs w:val="36"/>
          <w:rtl/>
        </w:rPr>
        <w:t xml:space="preserve"> </w:t>
      </w:r>
      <w:r w:rsidRPr="00FD211F">
        <w:rPr>
          <w:rFonts w:ascii="Scheherazade" w:hAnsi="Scheherazade" w:cs="Scheherazade"/>
          <w:sz w:val="36"/>
          <w:szCs w:val="36"/>
          <w:rtl/>
        </w:rPr>
        <w:t>مع</w:t>
      </w:r>
      <w:r w:rsidR="00E8128F">
        <w:rPr>
          <w:rFonts w:ascii="Scheherazade" w:hAnsi="Scheherazade" w:cs="Scheherazade"/>
          <w:sz w:val="36"/>
          <w:szCs w:val="36"/>
          <w:rtl/>
        </w:rPr>
        <w:t xml:space="preserve"> </w:t>
      </w:r>
      <w:r w:rsidRPr="00FD211F">
        <w:rPr>
          <w:rFonts w:ascii="Scheherazade" w:hAnsi="Scheherazade" w:cs="Scheherazade"/>
          <w:sz w:val="36"/>
          <w:szCs w:val="36"/>
          <w:rtl/>
        </w:rPr>
        <w:t>دليل</w:t>
      </w:r>
      <w:r w:rsidR="00E8128F">
        <w:rPr>
          <w:rFonts w:ascii="Scheherazade" w:hAnsi="Scheherazade" w:cs="Scheherazade"/>
          <w:sz w:val="36"/>
          <w:szCs w:val="36"/>
          <w:rtl/>
        </w:rPr>
        <w:t xml:space="preserve"> </w:t>
      </w:r>
      <w:r w:rsidRPr="00FD211F">
        <w:rPr>
          <w:rFonts w:ascii="Scheherazade" w:hAnsi="Scheherazade" w:cs="Scheherazade"/>
          <w:sz w:val="36"/>
          <w:szCs w:val="36"/>
          <w:rtl/>
        </w:rPr>
        <w:t>وجوب</w:t>
      </w:r>
      <w:r w:rsidR="00E8128F">
        <w:rPr>
          <w:rFonts w:ascii="Scheherazade" w:hAnsi="Scheherazade" w:cs="Scheherazade"/>
          <w:sz w:val="36"/>
          <w:szCs w:val="36"/>
          <w:rtl/>
        </w:rPr>
        <w:t xml:space="preserve"> </w:t>
      </w:r>
      <w:r w:rsidRPr="00FD211F">
        <w:rPr>
          <w:rFonts w:ascii="Scheherazade" w:hAnsi="Scheherazade" w:cs="Scheherazade"/>
          <w:sz w:val="36"/>
          <w:szCs w:val="36"/>
          <w:rtl/>
        </w:rPr>
        <w:t>انقاذ</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الغريق</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Pr="00FD211F">
        <w:rPr>
          <w:rFonts w:ascii="Scheherazade" w:hAnsi="Scheherazade" w:cs="Scheherazade"/>
          <w:sz w:val="36"/>
          <w:szCs w:val="36"/>
          <w:rtl/>
        </w:rPr>
        <w:t>ولكن</w:t>
      </w:r>
      <w:r w:rsidR="00E8128F">
        <w:rPr>
          <w:rFonts w:ascii="Scheherazade" w:hAnsi="Scheherazade" w:cs="Scheherazade"/>
          <w:sz w:val="36"/>
          <w:szCs w:val="36"/>
          <w:rtl/>
        </w:rPr>
        <w:t xml:space="preserve"> </w:t>
      </w:r>
      <w:r w:rsidRPr="00FD211F">
        <w:rPr>
          <w:rFonts w:ascii="Scheherazade" w:hAnsi="Scheherazade" w:cs="Scheherazade"/>
          <w:sz w:val="36"/>
          <w:szCs w:val="36"/>
          <w:rtl/>
        </w:rPr>
        <w:t>حيث</w:t>
      </w:r>
      <w:r w:rsidR="00E8128F">
        <w:rPr>
          <w:rFonts w:ascii="Scheherazade" w:hAnsi="Scheherazade" w:cs="Scheherazade"/>
          <w:sz w:val="36"/>
          <w:szCs w:val="36"/>
          <w:rtl/>
        </w:rPr>
        <w:t xml:space="preserve"> </w:t>
      </w:r>
      <w:r w:rsidRPr="00FD211F">
        <w:rPr>
          <w:rFonts w:ascii="Scheherazade" w:hAnsi="Scheherazade" w:cs="Scheherazade"/>
          <w:sz w:val="36"/>
          <w:szCs w:val="36"/>
          <w:rtl/>
        </w:rPr>
        <w:t>ان</w:t>
      </w:r>
      <w:r w:rsidR="00E8128F">
        <w:rPr>
          <w:rFonts w:ascii="Scheherazade" w:hAnsi="Scheherazade" w:cs="Scheherazade"/>
          <w:sz w:val="36"/>
          <w:szCs w:val="36"/>
          <w:rtl/>
        </w:rPr>
        <w:t xml:space="preserve"> </w:t>
      </w:r>
      <w:r w:rsidRPr="00FD211F">
        <w:rPr>
          <w:rFonts w:ascii="Scheherazade" w:hAnsi="Scheherazade" w:cs="Scheherazade"/>
          <w:sz w:val="36"/>
          <w:szCs w:val="36"/>
          <w:rtl/>
        </w:rPr>
        <w:t>خطاب</w:t>
      </w:r>
      <w:r w:rsidR="00E8128F">
        <w:rPr>
          <w:rFonts w:ascii="Scheherazade" w:hAnsi="Scheherazade" w:cs="Scheherazade"/>
          <w:sz w:val="36"/>
          <w:szCs w:val="36"/>
          <w:rtl/>
        </w:rPr>
        <w:t xml:space="preserve"> </w:t>
      </w:r>
      <w:r w:rsidRPr="00FD211F">
        <w:rPr>
          <w:rFonts w:ascii="Scheherazade" w:hAnsi="Scheherazade" w:cs="Scheherazade"/>
          <w:sz w:val="36"/>
          <w:szCs w:val="36"/>
          <w:rtl/>
        </w:rPr>
        <w:t>تحريم</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Pr="00FD211F">
        <w:rPr>
          <w:rFonts w:ascii="Scheherazade" w:hAnsi="Scheherazade" w:cs="Scheherazade"/>
          <w:sz w:val="36"/>
          <w:szCs w:val="36"/>
          <w:rtl/>
        </w:rPr>
        <w:t>مطلق</w:t>
      </w:r>
      <w:r w:rsidR="00E8128F">
        <w:rPr>
          <w:rFonts w:ascii="Scheherazade" w:hAnsi="Scheherazade" w:cs="Scheherazade"/>
          <w:sz w:val="36"/>
          <w:szCs w:val="36"/>
          <w:rtl/>
        </w:rPr>
        <w:t xml:space="preserve"> </w:t>
      </w:r>
      <w:r w:rsidRPr="00FD211F">
        <w:rPr>
          <w:rFonts w:ascii="Scheherazade" w:hAnsi="Scheherazade" w:cs="Scheherazade"/>
          <w:sz w:val="36"/>
          <w:szCs w:val="36"/>
          <w:rtl/>
        </w:rPr>
        <w:t>فتقييده</w:t>
      </w:r>
      <w:r w:rsidR="00E8128F">
        <w:rPr>
          <w:rFonts w:ascii="Scheherazade" w:hAnsi="Scheherazade" w:cs="Scheherazade"/>
          <w:sz w:val="36"/>
          <w:szCs w:val="36"/>
          <w:rtl/>
        </w:rPr>
        <w:t xml:space="preserve"> </w:t>
      </w:r>
      <w:r w:rsidRPr="00FD211F">
        <w:rPr>
          <w:rFonts w:ascii="Scheherazade" w:hAnsi="Scheherazade" w:cs="Scheherazade"/>
          <w:sz w:val="36"/>
          <w:szCs w:val="36"/>
          <w:rtl/>
        </w:rPr>
        <w:t>بعدم</w:t>
      </w:r>
      <w:r w:rsidR="00E8128F">
        <w:rPr>
          <w:rFonts w:ascii="Scheherazade" w:hAnsi="Scheherazade" w:cs="Scheherazade"/>
          <w:sz w:val="36"/>
          <w:szCs w:val="36"/>
          <w:rtl/>
        </w:rPr>
        <w:t xml:space="preserve"> </w:t>
      </w:r>
      <w:r w:rsidRPr="00FD211F">
        <w:rPr>
          <w:rFonts w:ascii="Scheherazade" w:hAnsi="Scheherazade" w:cs="Scheherazade"/>
          <w:sz w:val="36"/>
          <w:szCs w:val="36"/>
          <w:rtl/>
        </w:rPr>
        <w:t>الاشتغال</w:t>
      </w:r>
      <w:r w:rsidR="00E8128F">
        <w:rPr>
          <w:rFonts w:ascii="Scheherazade" w:hAnsi="Scheherazade" w:cs="Scheherazade"/>
          <w:sz w:val="36"/>
          <w:szCs w:val="36"/>
          <w:rtl/>
        </w:rPr>
        <w:t xml:space="preserve"> </w:t>
      </w:r>
      <w:r w:rsidRPr="00FD211F">
        <w:rPr>
          <w:rFonts w:ascii="Scheherazade" w:hAnsi="Scheherazade" w:cs="Scheherazade"/>
          <w:sz w:val="36"/>
          <w:szCs w:val="36"/>
          <w:rtl/>
        </w:rPr>
        <w:t>بما</w:t>
      </w:r>
      <w:r w:rsidR="00E8128F">
        <w:rPr>
          <w:rFonts w:ascii="Scheherazade" w:hAnsi="Scheherazade" w:cs="Scheherazade"/>
          <w:sz w:val="36"/>
          <w:szCs w:val="36"/>
          <w:rtl/>
        </w:rPr>
        <w:t xml:space="preserve"> </w:t>
      </w:r>
      <w:r w:rsidRPr="00FD211F">
        <w:rPr>
          <w:rFonts w:ascii="Scheherazade" w:hAnsi="Scheherazade" w:cs="Scheherazade"/>
          <w:sz w:val="36"/>
          <w:szCs w:val="36"/>
          <w:rtl/>
        </w:rPr>
        <w:t>لايقل</w:t>
      </w:r>
      <w:r w:rsidR="00E8128F">
        <w:rPr>
          <w:rFonts w:ascii="Scheherazade" w:hAnsi="Scheherazade" w:cs="Scheherazade"/>
          <w:sz w:val="36"/>
          <w:szCs w:val="36"/>
          <w:rtl/>
        </w:rPr>
        <w:t xml:space="preserve"> </w:t>
      </w:r>
      <w:r w:rsidRPr="00FD211F">
        <w:rPr>
          <w:rFonts w:ascii="Scheherazade" w:hAnsi="Scheherazade" w:cs="Scheherazade"/>
          <w:sz w:val="36"/>
          <w:szCs w:val="36"/>
          <w:rtl/>
        </w:rPr>
        <w:t>عنه</w:t>
      </w:r>
      <w:r w:rsidR="00E8128F">
        <w:rPr>
          <w:rFonts w:ascii="Scheherazade" w:hAnsi="Scheherazade" w:cs="Scheherazade"/>
          <w:sz w:val="36"/>
          <w:szCs w:val="36"/>
          <w:rtl/>
        </w:rPr>
        <w:t xml:space="preserve"> </w:t>
      </w:r>
      <w:r w:rsidRPr="00FD211F">
        <w:rPr>
          <w:rFonts w:ascii="Scheherazade" w:hAnsi="Scheherazade" w:cs="Scheherazade"/>
          <w:sz w:val="36"/>
          <w:szCs w:val="36"/>
          <w:rtl/>
        </w:rPr>
        <w:t>اهمي</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Pr="00FD211F">
        <w:rPr>
          <w:rFonts w:ascii="Scheherazade" w:hAnsi="Scheherazade" w:cs="Scheherazade"/>
          <w:sz w:val="36"/>
          <w:szCs w:val="36"/>
          <w:rtl/>
        </w:rPr>
        <w:t>يرفع</w:t>
      </w:r>
      <w:r w:rsidR="00E8128F">
        <w:rPr>
          <w:rFonts w:ascii="Scheherazade" w:hAnsi="Scheherazade" w:cs="Scheherazade"/>
          <w:sz w:val="36"/>
          <w:szCs w:val="36"/>
          <w:rtl/>
        </w:rPr>
        <w:t xml:space="preserve"> </w:t>
      </w:r>
      <w:r w:rsidRPr="00FD211F">
        <w:rPr>
          <w:rFonts w:ascii="Scheherazade" w:hAnsi="Scheherazade" w:cs="Scheherazade"/>
          <w:sz w:val="36"/>
          <w:szCs w:val="36"/>
          <w:rtl/>
        </w:rPr>
        <w:t>التنافي</w:t>
      </w:r>
      <w:r w:rsidR="00E8128F">
        <w:rPr>
          <w:rFonts w:ascii="Scheherazade" w:hAnsi="Scheherazade" w:cs="Scheherazade"/>
          <w:sz w:val="36"/>
          <w:szCs w:val="36"/>
          <w:rtl/>
        </w:rPr>
        <w:t xml:space="preserve"> </w:t>
      </w:r>
      <w:r w:rsidRPr="00FD211F">
        <w:rPr>
          <w:rFonts w:ascii="Scheherazade" w:hAnsi="Scheherazade" w:cs="Scheherazade"/>
          <w:sz w:val="36"/>
          <w:szCs w:val="36"/>
          <w:rtl/>
        </w:rPr>
        <w:t>بين</w:t>
      </w:r>
      <w:r w:rsidR="00E8128F">
        <w:rPr>
          <w:rFonts w:ascii="Scheherazade" w:hAnsi="Scheherazade" w:cs="Scheherazade"/>
          <w:sz w:val="36"/>
          <w:szCs w:val="36"/>
          <w:rtl/>
        </w:rPr>
        <w:t xml:space="preserve"> </w:t>
      </w:r>
      <w:r w:rsidRPr="00FD211F">
        <w:rPr>
          <w:rFonts w:ascii="Scheherazade" w:hAnsi="Scheherazade" w:cs="Scheherazade"/>
          <w:sz w:val="36"/>
          <w:szCs w:val="36"/>
          <w:rtl/>
        </w:rPr>
        <w:t>جعله</w:t>
      </w:r>
      <w:r w:rsidR="00E8128F">
        <w:rPr>
          <w:rFonts w:ascii="Scheherazade" w:hAnsi="Scheherazade" w:cs="Scheherazade"/>
          <w:sz w:val="36"/>
          <w:szCs w:val="36"/>
          <w:rtl/>
        </w:rPr>
        <w:t xml:space="preserve"> </w:t>
      </w:r>
      <w:r w:rsidRPr="00FD211F">
        <w:rPr>
          <w:rFonts w:ascii="Scheherazade" w:hAnsi="Scheherazade" w:cs="Scheherazade"/>
          <w:sz w:val="36"/>
          <w:szCs w:val="36"/>
          <w:rtl/>
        </w:rPr>
        <w:t>وجعل</w:t>
      </w:r>
      <w:r w:rsidR="00E8128F">
        <w:rPr>
          <w:rFonts w:ascii="Scheherazade" w:hAnsi="Scheherazade" w:cs="Scheherazade"/>
          <w:sz w:val="36"/>
          <w:szCs w:val="36"/>
          <w:rtl/>
        </w:rPr>
        <w:t xml:space="preserve"> </w:t>
      </w:r>
      <w:r w:rsidRPr="00FD211F">
        <w:rPr>
          <w:rFonts w:ascii="Scheherazade" w:hAnsi="Scheherazade" w:cs="Scheherazade"/>
          <w:sz w:val="36"/>
          <w:szCs w:val="36"/>
          <w:rtl/>
        </w:rPr>
        <w:t>وجوب</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Pr="00FD211F">
        <w:rPr>
          <w:rFonts w:ascii="Scheherazade" w:hAnsi="Scheherazade" w:cs="Scheherazade"/>
          <w:sz w:val="36"/>
          <w:szCs w:val="36"/>
          <w:rtl/>
        </w:rPr>
        <w:t>الموصل</w:t>
      </w:r>
      <w:r w:rsidR="00E8128F">
        <w:rPr>
          <w:rFonts w:ascii="Scheherazade" w:hAnsi="Scheherazade" w:cs="Scheherazade"/>
          <w:sz w:val="36"/>
          <w:szCs w:val="36"/>
          <w:rtl/>
        </w:rPr>
        <w:t xml:space="preserve"> </w:t>
      </w:r>
      <w:r w:rsidRPr="00FD211F">
        <w:rPr>
          <w:rFonts w:ascii="Scheherazade" w:hAnsi="Scheherazade" w:cs="Scheherazade"/>
          <w:sz w:val="36"/>
          <w:szCs w:val="36"/>
          <w:rtl/>
        </w:rPr>
        <w:t>الى</w:t>
      </w:r>
      <w:r w:rsidR="00E8128F">
        <w:rPr>
          <w:rFonts w:ascii="Scheherazade" w:hAnsi="Scheherazade" w:cs="Scheherazade"/>
          <w:sz w:val="36"/>
          <w:szCs w:val="36"/>
          <w:rtl/>
        </w:rPr>
        <w:t xml:space="preserve"> </w:t>
      </w:r>
      <w:r w:rsidRPr="00FD211F">
        <w:rPr>
          <w:rFonts w:ascii="Scheherazade" w:hAnsi="Scheherazade" w:cs="Scheherazade"/>
          <w:sz w:val="36"/>
          <w:szCs w:val="36"/>
          <w:rtl/>
        </w:rPr>
        <w:t>الانقاذ</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Pr="00FD211F">
        <w:rPr>
          <w:rFonts w:ascii="Scheherazade" w:hAnsi="Scheherazade" w:cs="Scheherazade"/>
          <w:sz w:val="36"/>
          <w:szCs w:val="36"/>
          <w:rtl/>
        </w:rPr>
        <w:t>فنكت</w:t>
      </w:r>
      <w:r w:rsidR="00EC7EDF" w:rsidRPr="00FD211F">
        <w:rPr>
          <w:rFonts w:ascii="Scheherazade" w:hAnsi="Scheherazade" w:cs="Scheherazade"/>
          <w:sz w:val="36"/>
          <w:szCs w:val="36"/>
          <w:rtl/>
        </w:rPr>
        <w:t>ة</w:t>
      </w:r>
      <w:r w:rsidR="00E8128F">
        <w:rPr>
          <w:rFonts w:ascii="Scheherazade" w:hAnsi="Scheherazade" w:cs="Scheherazade"/>
          <w:sz w:val="36"/>
          <w:szCs w:val="36"/>
          <w:rtl/>
        </w:rPr>
        <w:t xml:space="preserve"> </w:t>
      </w:r>
      <w:r w:rsidRPr="00FD211F">
        <w:rPr>
          <w:rFonts w:ascii="Scheherazade" w:hAnsi="Scheherazade" w:cs="Scheherazade"/>
          <w:sz w:val="36"/>
          <w:szCs w:val="36"/>
          <w:rtl/>
        </w:rPr>
        <w:t>اندراجهما</w:t>
      </w:r>
      <w:r w:rsidR="00E8128F">
        <w:rPr>
          <w:rFonts w:ascii="Scheherazade" w:hAnsi="Scheherazade" w:cs="Scheherazade"/>
          <w:sz w:val="36"/>
          <w:szCs w:val="36"/>
          <w:rtl/>
        </w:rPr>
        <w:t xml:space="preserve"> </w:t>
      </w:r>
      <w:r w:rsidRPr="00FD211F">
        <w:rPr>
          <w:rFonts w:ascii="Scheherazade" w:hAnsi="Scheherazade" w:cs="Scheherazade"/>
          <w:sz w:val="36"/>
          <w:szCs w:val="36"/>
          <w:rtl/>
        </w:rPr>
        <w:t>في</w:t>
      </w:r>
      <w:r w:rsidR="00E8128F">
        <w:rPr>
          <w:rFonts w:ascii="Scheherazade" w:hAnsi="Scheherazade" w:cs="Scheherazade"/>
          <w:sz w:val="36"/>
          <w:szCs w:val="36"/>
          <w:rtl/>
        </w:rPr>
        <w:t xml:space="preserve"> </w:t>
      </w:r>
      <w:r w:rsidRPr="00FD211F">
        <w:rPr>
          <w:rFonts w:ascii="Scheherazade" w:hAnsi="Scheherazade" w:cs="Scheherazade"/>
          <w:sz w:val="36"/>
          <w:szCs w:val="36"/>
          <w:rtl/>
        </w:rPr>
        <w:t>باب</w:t>
      </w:r>
      <w:r w:rsidR="00E8128F">
        <w:rPr>
          <w:rFonts w:ascii="Scheherazade" w:hAnsi="Scheherazade" w:cs="Scheherazade"/>
          <w:sz w:val="36"/>
          <w:szCs w:val="36"/>
          <w:rtl/>
        </w:rPr>
        <w:t xml:space="preserve"> </w:t>
      </w:r>
      <w:r w:rsidRPr="00FD211F">
        <w:rPr>
          <w:rFonts w:ascii="Scheherazade" w:hAnsi="Scheherazade" w:cs="Scheherazade"/>
          <w:sz w:val="36"/>
          <w:szCs w:val="36"/>
          <w:rtl/>
        </w:rPr>
        <w:t>التزاحم</w:t>
      </w:r>
      <w:r w:rsidR="00E8128F">
        <w:rPr>
          <w:rFonts w:ascii="Scheherazade" w:hAnsi="Scheherazade" w:cs="Scheherazade"/>
          <w:sz w:val="36"/>
          <w:szCs w:val="36"/>
          <w:rtl/>
        </w:rPr>
        <w:t xml:space="preserve"> </w:t>
      </w:r>
      <w:r w:rsidRPr="00FD211F">
        <w:rPr>
          <w:rFonts w:ascii="Scheherazade" w:hAnsi="Scheherazade" w:cs="Scheherazade"/>
          <w:sz w:val="36"/>
          <w:szCs w:val="36"/>
          <w:rtl/>
        </w:rPr>
        <w:t>هو</w:t>
      </w:r>
      <w:r w:rsidR="00E8128F">
        <w:rPr>
          <w:rFonts w:ascii="Scheherazade" w:hAnsi="Scheherazade" w:cs="Scheherazade"/>
          <w:sz w:val="36"/>
          <w:szCs w:val="36"/>
          <w:rtl/>
        </w:rPr>
        <w:t xml:space="preserve"> </w:t>
      </w:r>
      <w:r w:rsidRPr="00FD211F">
        <w:rPr>
          <w:rFonts w:ascii="Scheherazade" w:hAnsi="Scheherazade" w:cs="Scheherazade"/>
          <w:sz w:val="36"/>
          <w:szCs w:val="36"/>
          <w:rtl/>
        </w:rPr>
        <w:t>اطلاق</w:t>
      </w:r>
      <w:r w:rsidR="00E8128F">
        <w:rPr>
          <w:rFonts w:ascii="Scheherazade" w:hAnsi="Scheherazade" w:cs="Scheherazade"/>
          <w:sz w:val="36"/>
          <w:szCs w:val="36"/>
          <w:rtl/>
        </w:rPr>
        <w:t xml:space="preserve"> </w:t>
      </w:r>
      <w:r w:rsidRPr="00FD211F">
        <w:rPr>
          <w:rFonts w:ascii="Scheherazade" w:hAnsi="Scheherazade" w:cs="Scheherazade"/>
          <w:sz w:val="36"/>
          <w:szCs w:val="36"/>
          <w:rtl/>
        </w:rPr>
        <w:t>خطاب</w:t>
      </w:r>
      <w:r w:rsidR="00E8128F">
        <w:rPr>
          <w:rFonts w:ascii="Scheherazade" w:hAnsi="Scheherazade" w:cs="Scheherazade"/>
          <w:sz w:val="36"/>
          <w:szCs w:val="36"/>
          <w:rtl/>
        </w:rPr>
        <w:t xml:space="preserve"> </w:t>
      </w:r>
      <w:r w:rsidRPr="00FD211F">
        <w:rPr>
          <w:rFonts w:ascii="Scheherazade" w:hAnsi="Scheherazade" w:cs="Scheherazade"/>
          <w:sz w:val="36"/>
          <w:szCs w:val="36"/>
          <w:rtl/>
        </w:rPr>
        <w:t>تحريم</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Pr="00FD211F">
        <w:rPr>
          <w:rFonts w:ascii="Scheherazade" w:hAnsi="Scheherazade" w:cs="Scheherazade"/>
          <w:sz w:val="36"/>
          <w:szCs w:val="36"/>
          <w:rtl/>
        </w:rPr>
        <w:t>وعدم</w:t>
      </w:r>
      <w:r w:rsidR="00E8128F">
        <w:rPr>
          <w:rFonts w:ascii="Scheherazade" w:hAnsi="Scheherazade" w:cs="Scheherazade"/>
          <w:sz w:val="36"/>
          <w:szCs w:val="36"/>
          <w:rtl/>
        </w:rPr>
        <w:t xml:space="preserve"> </w:t>
      </w:r>
      <w:r w:rsidRPr="00FD211F">
        <w:rPr>
          <w:rFonts w:ascii="Scheherazade" w:hAnsi="Scheherazade" w:cs="Scheherazade"/>
          <w:sz w:val="36"/>
          <w:szCs w:val="36"/>
          <w:rtl/>
        </w:rPr>
        <w:t>وروده</w:t>
      </w:r>
      <w:r w:rsidR="00E8128F">
        <w:rPr>
          <w:rFonts w:ascii="Scheherazade" w:hAnsi="Scheherazade" w:cs="Scheherazade"/>
          <w:sz w:val="36"/>
          <w:szCs w:val="36"/>
          <w:rtl/>
        </w:rPr>
        <w:t xml:space="preserve"> </w:t>
      </w:r>
      <w:r w:rsidRPr="00FD211F">
        <w:rPr>
          <w:rFonts w:ascii="Scheherazade" w:hAnsi="Scheherazade" w:cs="Scheherazade"/>
          <w:sz w:val="36"/>
          <w:szCs w:val="36"/>
          <w:rtl/>
        </w:rPr>
        <w:t>في</w:t>
      </w:r>
      <w:r w:rsidR="00E8128F">
        <w:rPr>
          <w:rFonts w:ascii="Scheherazade" w:hAnsi="Scheherazade" w:cs="Scheherazade"/>
          <w:sz w:val="36"/>
          <w:szCs w:val="36"/>
          <w:rtl/>
        </w:rPr>
        <w:t xml:space="preserve"> </w:t>
      </w:r>
      <w:r w:rsidRPr="00FD211F">
        <w:rPr>
          <w:rFonts w:ascii="Scheherazade" w:hAnsi="Scheherazade" w:cs="Scheherazade"/>
          <w:sz w:val="36"/>
          <w:szCs w:val="36"/>
          <w:rtl/>
        </w:rPr>
        <w:t>خصوص</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Pr="00FD211F">
        <w:rPr>
          <w:rFonts w:ascii="Scheherazade" w:hAnsi="Scheherazade" w:cs="Scheherazade"/>
          <w:sz w:val="36"/>
          <w:szCs w:val="36"/>
          <w:rtl/>
        </w:rPr>
        <w:t>الموصل</w:t>
      </w:r>
      <w:r w:rsidR="00E8128F">
        <w:rPr>
          <w:rFonts w:ascii="Scheherazade" w:hAnsi="Scheherazade" w:cs="Scheherazade"/>
          <w:sz w:val="36"/>
          <w:szCs w:val="36"/>
          <w:rtl/>
        </w:rPr>
        <w:t xml:space="preserve"> </w:t>
      </w:r>
      <w:r w:rsidRPr="00FD211F">
        <w:rPr>
          <w:rFonts w:ascii="Scheherazade" w:hAnsi="Scheherazade" w:cs="Scheherazade"/>
          <w:sz w:val="36"/>
          <w:szCs w:val="36"/>
          <w:rtl/>
        </w:rPr>
        <w:t>الى</w:t>
      </w:r>
      <w:r w:rsidR="00E8128F">
        <w:rPr>
          <w:rFonts w:ascii="Scheherazade" w:hAnsi="Scheherazade" w:cs="Scheherazade"/>
          <w:sz w:val="36"/>
          <w:szCs w:val="36"/>
          <w:rtl/>
        </w:rPr>
        <w:t xml:space="preserve"> </w:t>
      </w:r>
      <w:r w:rsidRPr="00FD211F">
        <w:rPr>
          <w:rFonts w:ascii="Scheherazade" w:hAnsi="Scheherazade" w:cs="Scheherazade"/>
          <w:sz w:val="36"/>
          <w:szCs w:val="36"/>
          <w:rtl/>
        </w:rPr>
        <w:t>الانقاذ</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ولايقدح</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في</w:t>
      </w:r>
      <w:r w:rsidR="00E8128F">
        <w:rPr>
          <w:rFonts w:ascii="Scheherazade" w:hAnsi="Scheherazade" w:cs="Scheherazade"/>
          <w:sz w:val="36"/>
          <w:szCs w:val="36"/>
          <w:rtl/>
        </w:rPr>
        <w:t xml:space="preserve"> </w:t>
      </w:r>
      <w:r w:rsidR="00C40D99" w:rsidRPr="00FD211F">
        <w:rPr>
          <w:rFonts w:ascii="Scheherazade" w:hAnsi="Scheherazade" w:cs="Scheherazade"/>
          <w:sz w:val="36"/>
          <w:szCs w:val="36"/>
          <w:rtl/>
        </w:rPr>
        <w:t>ذلك</w:t>
      </w:r>
      <w:r w:rsidR="00E8128F">
        <w:rPr>
          <w:rFonts w:ascii="Scheherazade" w:hAnsi="Scheherazade" w:cs="Scheherazade"/>
          <w:sz w:val="36"/>
          <w:szCs w:val="36"/>
          <w:rtl/>
        </w:rPr>
        <w:t xml:space="preserve"> </w:t>
      </w:r>
      <w:r w:rsidRPr="00FD211F">
        <w:rPr>
          <w:rFonts w:ascii="Scheherazade" w:hAnsi="Scheherazade" w:cs="Scheherazade"/>
          <w:sz w:val="36"/>
          <w:szCs w:val="36"/>
          <w:rtl/>
        </w:rPr>
        <w:t>انحلال</w:t>
      </w:r>
      <w:r w:rsidR="00E8128F">
        <w:rPr>
          <w:rFonts w:ascii="Scheherazade" w:hAnsi="Scheherazade" w:cs="Scheherazade"/>
          <w:sz w:val="36"/>
          <w:szCs w:val="36"/>
          <w:rtl/>
        </w:rPr>
        <w:t xml:space="preserve"> </w:t>
      </w:r>
      <w:r w:rsidRPr="00FD211F">
        <w:rPr>
          <w:rFonts w:ascii="Scheherazade" w:hAnsi="Scheherazade" w:cs="Scheherazade"/>
          <w:sz w:val="36"/>
          <w:szCs w:val="36"/>
          <w:rtl/>
        </w:rPr>
        <w:t>تحريم</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006721C6" w:rsidRPr="00FD211F">
        <w:rPr>
          <w:rFonts w:ascii="Scheherazade" w:hAnsi="Scheherazade" w:cs="Scheherazade"/>
          <w:sz w:val="36"/>
          <w:szCs w:val="36"/>
          <w:rtl/>
        </w:rPr>
        <w:t>بلحاظ</w:t>
      </w:r>
      <w:r w:rsidR="00E8128F">
        <w:rPr>
          <w:rFonts w:ascii="Scheherazade" w:hAnsi="Scheherazade" w:cs="Scheherazade"/>
          <w:sz w:val="36"/>
          <w:szCs w:val="36"/>
          <w:rtl/>
        </w:rPr>
        <w:t xml:space="preserve"> </w:t>
      </w:r>
      <w:r w:rsidRPr="00FD211F">
        <w:rPr>
          <w:rFonts w:ascii="Scheherazade" w:hAnsi="Scheherazade" w:cs="Scheherazade"/>
          <w:sz w:val="36"/>
          <w:szCs w:val="36"/>
          <w:rtl/>
        </w:rPr>
        <w:t>الغصب</w:t>
      </w:r>
      <w:r w:rsidR="00E8128F">
        <w:rPr>
          <w:rFonts w:ascii="Scheherazade" w:hAnsi="Scheherazade" w:cs="Scheherazade"/>
          <w:sz w:val="36"/>
          <w:szCs w:val="36"/>
          <w:rtl/>
        </w:rPr>
        <w:t xml:space="preserve"> </w:t>
      </w:r>
      <w:r w:rsidRPr="00FD211F">
        <w:rPr>
          <w:rFonts w:ascii="Scheherazade" w:hAnsi="Scheherazade" w:cs="Scheherazade"/>
          <w:sz w:val="36"/>
          <w:szCs w:val="36"/>
          <w:rtl/>
        </w:rPr>
        <w:t>الموصل</w:t>
      </w:r>
      <w:r w:rsidR="00E8128F">
        <w:rPr>
          <w:rFonts w:ascii="Scheherazade" w:hAnsi="Scheherazade" w:cs="Scheherazade"/>
          <w:sz w:val="36"/>
          <w:szCs w:val="36"/>
          <w:rtl/>
        </w:rPr>
        <w:t xml:space="preserve"> </w:t>
      </w:r>
      <w:r w:rsidRPr="00FD211F">
        <w:rPr>
          <w:rFonts w:ascii="Scheherazade" w:hAnsi="Scheherazade" w:cs="Scheherazade"/>
          <w:sz w:val="36"/>
          <w:szCs w:val="36"/>
          <w:rtl/>
        </w:rPr>
        <w:t>الى</w:t>
      </w:r>
      <w:r w:rsidR="00E8128F">
        <w:rPr>
          <w:rFonts w:ascii="Scheherazade" w:hAnsi="Scheherazade" w:cs="Scheherazade"/>
          <w:sz w:val="36"/>
          <w:szCs w:val="36"/>
          <w:rtl/>
        </w:rPr>
        <w:t xml:space="preserve"> </w:t>
      </w:r>
      <w:r w:rsidRPr="00FD211F">
        <w:rPr>
          <w:rFonts w:ascii="Scheherazade" w:hAnsi="Scheherazade" w:cs="Scheherazade"/>
          <w:sz w:val="36"/>
          <w:szCs w:val="36"/>
          <w:rtl/>
        </w:rPr>
        <w:t>الانقاذ</w:t>
      </w:r>
      <w:r w:rsidR="00E8128F">
        <w:rPr>
          <w:rFonts w:ascii="Scheherazade" w:hAnsi="Scheherazade" w:cs="Scheherazade"/>
          <w:sz w:val="36"/>
          <w:szCs w:val="36"/>
          <w:rtl/>
        </w:rPr>
        <w:t xml:space="preserve"> </w:t>
      </w:r>
      <w:r w:rsidRPr="00FD211F">
        <w:rPr>
          <w:rFonts w:ascii="Scheherazade" w:hAnsi="Scheherazade" w:cs="Scheherazade"/>
          <w:sz w:val="36"/>
          <w:szCs w:val="36"/>
          <w:rtl/>
        </w:rPr>
        <w:t>والغصب</w:t>
      </w:r>
      <w:r w:rsidR="00E8128F">
        <w:rPr>
          <w:rFonts w:ascii="Scheherazade" w:hAnsi="Scheherazade" w:cs="Scheherazade"/>
          <w:sz w:val="36"/>
          <w:szCs w:val="36"/>
          <w:rtl/>
        </w:rPr>
        <w:t xml:space="preserve"> </w:t>
      </w:r>
      <w:r w:rsidRPr="00FD211F">
        <w:rPr>
          <w:rFonts w:ascii="Scheherazade" w:hAnsi="Scheherazade" w:cs="Scheherazade"/>
          <w:sz w:val="36"/>
          <w:szCs w:val="36"/>
          <w:rtl/>
        </w:rPr>
        <w:t>غير</w:t>
      </w:r>
      <w:r w:rsidR="00E8128F">
        <w:rPr>
          <w:rFonts w:ascii="Scheherazade" w:hAnsi="Scheherazade" w:cs="Scheherazade"/>
          <w:sz w:val="36"/>
          <w:szCs w:val="36"/>
          <w:rtl/>
        </w:rPr>
        <w:t xml:space="preserve"> </w:t>
      </w:r>
      <w:r w:rsidRPr="00FD211F">
        <w:rPr>
          <w:rFonts w:ascii="Scheherazade" w:hAnsi="Scheherazade" w:cs="Scheherazade"/>
          <w:sz w:val="36"/>
          <w:szCs w:val="36"/>
          <w:rtl/>
        </w:rPr>
        <w:t>الموصل</w:t>
      </w:r>
      <w:r w:rsidR="00603323" w:rsidRPr="00FD211F">
        <w:rPr>
          <w:rFonts w:ascii="Scheherazade" w:hAnsi="Scheherazade" w:cs="Scheherazade"/>
          <w:sz w:val="36"/>
          <w:szCs w:val="36"/>
          <w:rtl/>
        </w:rPr>
        <w:t>،</w:t>
      </w:r>
      <w:r w:rsidR="00E8128F">
        <w:rPr>
          <w:rFonts w:ascii="Scheherazade" w:hAnsi="Scheherazade" w:cs="Scheherazade"/>
          <w:sz w:val="36"/>
          <w:szCs w:val="36"/>
          <w:rtl/>
        </w:rPr>
        <w:t xml:space="preserve"> </w:t>
      </w:r>
      <w:r w:rsidR="006721C6" w:rsidRPr="00FD211F">
        <w:rPr>
          <w:rFonts w:ascii="Scheherazade" w:hAnsi="Scheherazade" w:cs="Scheherazade"/>
          <w:sz w:val="36"/>
          <w:szCs w:val="36"/>
          <w:rtl/>
        </w:rPr>
        <w:t>لان</w:t>
      </w:r>
      <w:r w:rsidR="00E8128F">
        <w:rPr>
          <w:rFonts w:ascii="Scheherazade" w:hAnsi="Scheherazade" w:cs="Scheherazade"/>
          <w:sz w:val="36"/>
          <w:szCs w:val="36"/>
          <w:rtl/>
        </w:rPr>
        <w:t xml:space="preserve"> </w:t>
      </w:r>
      <w:r w:rsidR="006721C6" w:rsidRPr="00FD211F">
        <w:rPr>
          <w:rFonts w:ascii="Scheherazade" w:hAnsi="Scheherazade" w:cs="Scheherazade"/>
          <w:sz w:val="36"/>
          <w:szCs w:val="36"/>
          <w:rtl/>
        </w:rPr>
        <w:t>المناط</w:t>
      </w:r>
      <w:r w:rsidR="00E8128F">
        <w:rPr>
          <w:rFonts w:ascii="Scheherazade" w:hAnsi="Scheherazade" w:cs="Scheherazade"/>
          <w:sz w:val="36"/>
          <w:szCs w:val="36"/>
          <w:rtl/>
        </w:rPr>
        <w:t xml:space="preserve"> </w:t>
      </w:r>
      <w:r w:rsidR="006721C6" w:rsidRPr="00FD211F">
        <w:rPr>
          <w:rFonts w:ascii="Scheherazade" w:hAnsi="Scheherazade" w:cs="Scheherazade"/>
          <w:sz w:val="36"/>
          <w:szCs w:val="36"/>
          <w:rtl/>
        </w:rPr>
        <w:t>هو</w:t>
      </w:r>
      <w:r w:rsidR="00E8128F">
        <w:rPr>
          <w:rFonts w:ascii="Scheherazade" w:hAnsi="Scheherazade" w:cs="Scheherazade"/>
          <w:sz w:val="36"/>
          <w:szCs w:val="36"/>
          <w:rtl/>
        </w:rPr>
        <w:t xml:space="preserve"> </w:t>
      </w:r>
      <w:r w:rsidR="006721C6" w:rsidRPr="00FD211F">
        <w:rPr>
          <w:rFonts w:ascii="Scheherazade" w:hAnsi="Scheherazade" w:cs="Scheherazade"/>
          <w:sz w:val="36"/>
          <w:szCs w:val="36"/>
          <w:rtl/>
        </w:rPr>
        <w:t>اطلاق</w:t>
      </w:r>
      <w:r w:rsidR="00E8128F">
        <w:rPr>
          <w:rFonts w:ascii="Scheherazade" w:hAnsi="Scheherazade" w:cs="Scheherazade"/>
          <w:sz w:val="36"/>
          <w:szCs w:val="36"/>
          <w:rtl/>
        </w:rPr>
        <w:t xml:space="preserve"> </w:t>
      </w:r>
      <w:r w:rsidR="006721C6" w:rsidRPr="00FD211F">
        <w:rPr>
          <w:rFonts w:ascii="Scheherazade" w:hAnsi="Scheherazade" w:cs="Scheherazade"/>
          <w:sz w:val="36"/>
          <w:szCs w:val="36"/>
          <w:rtl/>
        </w:rPr>
        <w:t>الخطاب</w:t>
      </w:r>
      <w:r w:rsidRPr="00FD211F">
        <w:rPr>
          <w:rFonts w:ascii="Scheherazade" w:hAnsi="Scheherazade" w:cs="Scheherazade"/>
          <w:sz w:val="36"/>
          <w:szCs w:val="36"/>
          <w:rtl/>
        </w:rPr>
        <w:t>.</w:t>
      </w:r>
    </w:p>
    <w:p w14:paraId="4337C9CD" w14:textId="77777777" w:rsidR="001823B3" w:rsidRPr="00FD211F" w:rsidRDefault="00990C2C" w:rsidP="009C58C8">
      <w:pPr>
        <w:ind w:left="0" w:firstLine="227"/>
        <w:jc w:val="both"/>
        <w:rPr>
          <w:sz w:val="36"/>
          <w:szCs w:val="36"/>
          <w:rtl/>
        </w:rPr>
      </w:pPr>
      <w:r w:rsidRPr="00FD211F">
        <w:rPr>
          <w:sz w:val="36"/>
          <w:szCs w:val="36"/>
          <w:rtl/>
        </w:rPr>
        <w:lastRenderedPageBreak/>
        <w:t>وأما</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القول</w:t>
      </w:r>
      <w:r w:rsidR="00E8128F">
        <w:rPr>
          <w:sz w:val="36"/>
          <w:szCs w:val="36"/>
          <w:rtl/>
        </w:rPr>
        <w:t xml:space="preserve"> </w:t>
      </w:r>
      <w:r w:rsidRPr="00FD211F">
        <w:rPr>
          <w:sz w:val="36"/>
          <w:szCs w:val="36"/>
          <w:rtl/>
        </w:rPr>
        <w:t>بوجوب</w:t>
      </w:r>
      <w:r w:rsidR="00E8128F">
        <w:rPr>
          <w:sz w:val="36"/>
          <w:szCs w:val="36"/>
          <w:rtl/>
        </w:rPr>
        <w:t xml:space="preserve"> </w:t>
      </w:r>
      <w:r w:rsidRPr="00FD211F">
        <w:rPr>
          <w:sz w:val="36"/>
          <w:szCs w:val="36"/>
          <w:rtl/>
        </w:rPr>
        <w:t>المقدم</w:t>
      </w:r>
      <w:r w:rsidR="00EC7EDF" w:rsidRPr="00FD211F">
        <w:rPr>
          <w:sz w:val="36"/>
          <w:szCs w:val="36"/>
          <w:rtl/>
        </w:rPr>
        <w:t>ة</w:t>
      </w:r>
      <w:r w:rsidR="00E8128F">
        <w:rPr>
          <w:sz w:val="36"/>
          <w:szCs w:val="36"/>
          <w:rtl/>
        </w:rPr>
        <w:t xml:space="preserve"> </w:t>
      </w:r>
      <w:r w:rsidRPr="00FD211F">
        <w:rPr>
          <w:sz w:val="36"/>
          <w:szCs w:val="36"/>
          <w:rtl/>
        </w:rPr>
        <w:t>مطلقا</w:t>
      </w:r>
      <w:r w:rsidR="00603323" w:rsidRPr="00FD211F">
        <w:rPr>
          <w:sz w:val="36"/>
          <w:szCs w:val="36"/>
          <w:rtl/>
        </w:rPr>
        <w:t>،</w:t>
      </w:r>
      <w:r w:rsidR="00E8128F">
        <w:rPr>
          <w:sz w:val="36"/>
          <w:szCs w:val="36"/>
          <w:rtl/>
        </w:rPr>
        <w:t xml:space="preserve"> </w:t>
      </w:r>
      <w:r w:rsidR="00DD4B48" w:rsidRPr="00FD211F">
        <w:rPr>
          <w:sz w:val="36"/>
          <w:szCs w:val="36"/>
          <w:rtl/>
        </w:rPr>
        <w:t>فقد</w:t>
      </w:r>
      <w:r w:rsidR="00E8128F">
        <w:rPr>
          <w:sz w:val="36"/>
          <w:szCs w:val="36"/>
          <w:rtl/>
        </w:rPr>
        <w:t xml:space="preserve"> </w:t>
      </w:r>
      <w:r w:rsidR="00581E85" w:rsidRPr="00FD211F">
        <w:rPr>
          <w:sz w:val="36"/>
          <w:szCs w:val="36"/>
          <w:rtl/>
        </w:rPr>
        <w:t>يقال</w:t>
      </w:r>
      <w:r w:rsidR="00E8128F">
        <w:rPr>
          <w:sz w:val="36"/>
          <w:szCs w:val="36"/>
          <w:rtl/>
        </w:rPr>
        <w:t xml:space="preserve"> </w:t>
      </w:r>
      <w:r w:rsidR="00581E85" w:rsidRPr="00FD211F">
        <w:rPr>
          <w:sz w:val="36"/>
          <w:szCs w:val="36"/>
          <w:rtl/>
        </w:rPr>
        <w:t>ب</w:t>
      </w:r>
      <w:r w:rsidR="00DD4B48" w:rsidRPr="00FD211F">
        <w:rPr>
          <w:sz w:val="36"/>
          <w:szCs w:val="36"/>
          <w:rtl/>
        </w:rPr>
        <w:t>انه</w:t>
      </w:r>
      <w:r w:rsidR="00E8128F">
        <w:rPr>
          <w:sz w:val="36"/>
          <w:szCs w:val="36"/>
          <w:rtl/>
        </w:rPr>
        <w:t xml:space="preserve"> </w:t>
      </w:r>
      <w:r w:rsidR="00DD4B48" w:rsidRPr="00FD211F">
        <w:rPr>
          <w:sz w:val="36"/>
          <w:szCs w:val="36"/>
          <w:rtl/>
        </w:rPr>
        <w:t>يندرج</w:t>
      </w:r>
      <w:r w:rsidR="00E8128F">
        <w:rPr>
          <w:sz w:val="36"/>
          <w:szCs w:val="36"/>
          <w:rtl/>
        </w:rPr>
        <w:t xml:space="preserve"> </w:t>
      </w:r>
      <w:r w:rsidR="00DD4B48" w:rsidRPr="00FD211F">
        <w:rPr>
          <w:sz w:val="36"/>
          <w:szCs w:val="36"/>
          <w:rtl/>
        </w:rPr>
        <w:t>في</w:t>
      </w:r>
      <w:r w:rsidR="00E8128F">
        <w:rPr>
          <w:sz w:val="36"/>
          <w:szCs w:val="36"/>
          <w:rtl/>
        </w:rPr>
        <w:t xml:space="preserve"> </w:t>
      </w:r>
      <w:r w:rsidR="00DD4B48" w:rsidRPr="00FD211F">
        <w:rPr>
          <w:sz w:val="36"/>
          <w:szCs w:val="36"/>
          <w:rtl/>
        </w:rPr>
        <w:t>باب</w:t>
      </w:r>
      <w:r w:rsidR="00E8128F">
        <w:rPr>
          <w:sz w:val="36"/>
          <w:szCs w:val="36"/>
          <w:rtl/>
        </w:rPr>
        <w:t xml:space="preserve"> </w:t>
      </w:r>
      <w:r w:rsidR="00DD4B48" w:rsidRPr="00FD211F">
        <w:rPr>
          <w:sz w:val="36"/>
          <w:szCs w:val="36"/>
          <w:rtl/>
        </w:rPr>
        <w:t>التعارض</w:t>
      </w:r>
      <w:r w:rsidR="00603323" w:rsidRPr="00FD211F">
        <w:rPr>
          <w:sz w:val="36"/>
          <w:szCs w:val="36"/>
          <w:rtl/>
        </w:rPr>
        <w:t>،</w:t>
      </w:r>
      <w:r w:rsidR="00E8128F">
        <w:rPr>
          <w:sz w:val="36"/>
          <w:szCs w:val="36"/>
          <w:rtl/>
        </w:rPr>
        <w:t xml:space="preserve"> </w:t>
      </w:r>
      <w:r w:rsidR="00DD4B48" w:rsidRPr="00FD211F">
        <w:rPr>
          <w:sz w:val="36"/>
          <w:szCs w:val="36"/>
          <w:rtl/>
        </w:rPr>
        <w:t>حيث</w:t>
      </w:r>
      <w:r w:rsidR="00E8128F">
        <w:rPr>
          <w:sz w:val="36"/>
          <w:szCs w:val="36"/>
          <w:rtl/>
        </w:rPr>
        <w:t xml:space="preserve"> </w:t>
      </w:r>
      <w:r w:rsidR="00DD4B48" w:rsidRPr="00FD211F">
        <w:rPr>
          <w:sz w:val="36"/>
          <w:szCs w:val="36"/>
          <w:rtl/>
        </w:rPr>
        <w:t>أن</w:t>
      </w:r>
      <w:r w:rsidR="00E8128F">
        <w:rPr>
          <w:sz w:val="36"/>
          <w:szCs w:val="36"/>
          <w:rtl/>
        </w:rPr>
        <w:t xml:space="preserve"> </w:t>
      </w:r>
      <w:r w:rsidR="00DD4B48" w:rsidRPr="00FD211F">
        <w:rPr>
          <w:sz w:val="36"/>
          <w:szCs w:val="36"/>
          <w:rtl/>
        </w:rPr>
        <w:t>لازم</w:t>
      </w:r>
      <w:r w:rsidR="00E8128F">
        <w:rPr>
          <w:sz w:val="36"/>
          <w:szCs w:val="36"/>
          <w:rtl/>
        </w:rPr>
        <w:t xml:space="preserve"> </w:t>
      </w:r>
      <w:r w:rsidR="00DD4B48" w:rsidRPr="00FD211F">
        <w:rPr>
          <w:sz w:val="36"/>
          <w:szCs w:val="36"/>
          <w:rtl/>
        </w:rPr>
        <w:t>دليل</w:t>
      </w:r>
      <w:r w:rsidR="00E8128F">
        <w:rPr>
          <w:sz w:val="36"/>
          <w:szCs w:val="36"/>
          <w:rtl/>
        </w:rPr>
        <w:t xml:space="preserve"> </w:t>
      </w:r>
      <w:r w:rsidR="00DD4B48" w:rsidRPr="00FD211F">
        <w:rPr>
          <w:sz w:val="36"/>
          <w:szCs w:val="36"/>
          <w:rtl/>
        </w:rPr>
        <w:t>وجوب</w:t>
      </w:r>
      <w:r w:rsidR="00E8128F">
        <w:rPr>
          <w:sz w:val="36"/>
          <w:szCs w:val="36"/>
          <w:rtl/>
        </w:rPr>
        <w:t xml:space="preserve"> </w:t>
      </w:r>
      <w:r w:rsidR="00DD4B48" w:rsidRPr="00FD211F">
        <w:rPr>
          <w:sz w:val="36"/>
          <w:szCs w:val="36"/>
          <w:rtl/>
        </w:rPr>
        <w:t>انقاذ</w:t>
      </w:r>
      <w:r w:rsidR="00E8128F">
        <w:rPr>
          <w:sz w:val="36"/>
          <w:szCs w:val="36"/>
          <w:rtl/>
        </w:rPr>
        <w:t xml:space="preserve"> </w:t>
      </w:r>
      <w:r w:rsidR="00DD4B48" w:rsidRPr="00FD211F">
        <w:rPr>
          <w:sz w:val="36"/>
          <w:szCs w:val="36"/>
          <w:rtl/>
        </w:rPr>
        <w:t>الغريق</w:t>
      </w:r>
      <w:r w:rsidR="00E8128F">
        <w:rPr>
          <w:sz w:val="36"/>
          <w:szCs w:val="36"/>
          <w:rtl/>
        </w:rPr>
        <w:t xml:space="preserve"> </w:t>
      </w:r>
      <w:r w:rsidR="00DD4B48" w:rsidRPr="00FD211F">
        <w:rPr>
          <w:sz w:val="36"/>
          <w:szCs w:val="36"/>
          <w:rtl/>
        </w:rPr>
        <w:t>وجوب</w:t>
      </w:r>
      <w:r w:rsidR="00E8128F">
        <w:rPr>
          <w:sz w:val="36"/>
          <w:szCs w:val="36"/>
          <w:rtl/>
        </w:rPr>
        <w:t xml:space="preserve"> </w:t>
      </w:r>
      <w:r w:rsidR="00DD4B48" w:rsidRPr="00FD211F">
        <w:rPr>
          <w:sz w:val="36"/>
          <w:szCs w:val="36"/>
          <w:rtl/>
        </w:rPr>
        <w:t>الغصب</w:t>
      </w:r>
      <w:r w:rsidR="00E8128F">
        <w:rPr>
          <w:sz w:val="36"/>
          <w:szCs w:val="36"/>
          <w:rtl/>
        </w:rPr>
        <w:t xml:space="preserve"> </w:t>
      </w:r>
      <w:r w:rsidR="00DD4B48" w:rsidRPr="00FD211F">
        <w:rPr>
          <w:sz w:val="36"/>
          <w:szCs w:val="36"/>
          <w:rtl/>
        </w:rPr>
        <w:t>الذي</w:t>
      </w:r>
      <w:r w:rsidR="00E8128F">
        <w:rPr>
          <w:sz w:val="36"/>
          <w:szCs w:val="36"/>
          <w:rtl/>
        </w:rPr>
        <w:t xml:space="preserve"> </w:t>
      </w:r>
      <w:r w:rsidR="00DD4B48" w:rsidRPr="00FD211F">
        <w:rPr>
          <w:sz w:val="36"/>
          <w:szCs w:val="36"/>
          <w:rtl/>
        </w:rPr>
        <w:t>يتوقف</w:t>
      </w:r>
      <w:r w:rsidR="00E8128F">
        <w:rPr>
          <w:sz w:val="36"/>
          <w:szCs w:val="36"/>
          <w:rtl/>
        </w:rPr>
        <w:t xml:space="preserve"> </w:t>
      </w:r>
      <w:r w:rsidR="00DD4B48" w:rsidRPr="00FD211F">
        <w:rPr>
          <w:sz w:val="36"/>
          <w:szCs w:val="36"/>
          <w:rtl/>
        </w:rPr>
        <w:t>عليه</w:t>
      </w:r>
      <w:r w:rsidR="00E8128F">
        <w:rPr>
          <w:sz w:val="36"/>
          <w:szCs w:val="36"/>
          <w:rtl/>
        </w:rPr>
        <w:t xml:space="preserve"> </w:t>
      </w:r>
      <w:r w:rsidR="00DD4B48" w:rsidRPr="00FD211F">
        <w:rPr>
          <w:sz w:val="36"/>
          <w:szCs w:val="36"/>
          <w:rtl/>
        </w:rPr>
        <w:t>الانقاذ</w:t>
      </w:r>
      <w:r w:rsidR="00603323" w:rsidRPr="00FD211F">
        <w:rPr>
          <w:sz w:val="36"/>
          <w:szCs w:val="36"/>
          <w:rtl/>
        </w:rPr>
        <w:t>،</w:t>
      </w:r>
      <w:r w:rsidR="00E8128F">
        <w:rPr>
          <w:sz w:val="36"/>
          <w:szCs w:val="36"/>
          <w:rtl/>
        </w:rPr>
        <w:t xml:space="preserve"> </w:t>
      </w:r>
      <w:r w:rsidR="00DD4B48" w:rsidRPr="00FD211F">
        <w:rPr>
          <w:sz w:val="36"/>
          <w:szCs w:val="36"/>
          <w:rtl/>
        </w:rPr>
        <w:t>فيتناف</w:t>
      </w:r>
      <w:r w:rsidR="00663F8E" w:rsidRPr="00FD211F">
        <w:rPr>
          <w:sz w:val="36"/>
          <w:szCs w:val="36"/>
          <w:rtl/>
        </w:rPr>
        <w:t>ى</w:t>
      </w:r>
      <w:r w:rsidR="00E8128F">
        <w:rPr>
          <w:sz w:val="36"/>
          <w:szCs w:val="36"/>
          <w:rtl/>
        </w:rPr>
        <w:t xml:space="preserve"> </w:t>
      </w:r>
      <w:r w:rsidR="00DD4B48" w:rsidRPr="00FD211F">
        <w:rPr>
          <w:sz w:val="36"/>
          <w:szCs w:val="36"/>
          <w:rtl/>
        </w:rPr>
        <w:t>مع</w:t>
      </w:r>
      <w:r w:rsidR="00E8128F">
        <w:rPr>
          <w:sz w:val="36"/>
          <w:szCs w:val="36"/>
          <w:rtl/>
        </w:rPr>
        <w:t xml:space="preserve"> </w:t>
      </w:r>
      <w:r w:rsidR="00DD4B48" w:rsidRPr="00FD211F">
        <w:rPr>
          <w:sz w:val="36"/>
          <w:szCs w:val="36"/>
          <w:rtl/>
        </w:rPr>
        <w:t>دليل</w:t>
      </w:r>
      <w:r w:rsidR="00E8128F">
        <w:rPr>
          <w:sz w:val="36"/>
          <w:szCs w:val="36"/>
          <w:rtl/>
        </w:rPr>
        <w:t xml:space="preserve"> </w:t>
      </w:r>
      <w:r w:rsidR="00DD4B48" w:rsidRPr="00FD211F">
        <w:rPr>
          <w:sz w:val="36"/>
          <w:szCs w:val="36"/>
          <w:rtl/>
        </w:rPr>
        <w:t>تحريم</w:t>
      </w:r>
      <w:r w:rsidR="00E8128F">
        <w:rPr>
          <w:sz w:val="36"/>
          <w:szCs w:val="36"/>
          <w:rtl/>
        </w:rPr>
        <w:t xml:space="preserve"> </w:t>
      </w:r>
      <w:r w:rsidR="00DD4B48" w:rsidRPr="00FD211F">
        <w:rPr>
          <w:sz w:val="36"/>
          <w:szCs w:val="36"/>
          <w:rtl/>
        </w:rPr>
        <w:t>الغصب</w:t>
      </w:r>
      <w:r w:rsidR="00E8128F">
        <w:rPr>
          <w:sz w:val="36"/>
          <w:szCs w:val="36"/>
          <w:rtl/>
        </w:rPr>
        <w:t xml:space="preserve"> </w:t>
      </w:r>
      <w:r w:rsidR="00DD4B48" w:rsidRPr="00FD211F">
        <w:rPr>
          <w:sz w:val="36"/>
          <w:szCs w:val="36"/>
          <w:rtl/>
        </w:rPr>
        <w:t>حيث</w:t>
      </w:r>
      <w:r w:rsidR="00E8128F">
        <w:rPr>
          <w:sz w:val="36"/>
          <w:szCs w:val="36"/>
          <w:rtl/>
        </w:rPr>
        <w:t xml:space="preserve"> </w:t>
      </w:r>
      <w:r w:rsidR="00DD4B48" w:rsidRPr="00FD211F">
        <w:rPr>
          <w:sz w:val="36"/>
          <w:szCs w:val="36"/>
          <w:rtl/>
        </w:rPr>
        <w:t>لايمكن</w:t>
      </w:r>
      <w:r w:rsidR="00E8128F">
        <w:rPr>
          <w:sz w:val="36"/>
          <w:szCs w:val="36"/>
          <w:rtl/>
        </w:rPr>
        <w:t xml:space="preserve"> </w:t>
      </w:r>
      <w:r w:rsidR="00DD4B48" w:rsidRPr="00FD211F">
        <w:rPr>
          <w:sz w:val="36"/>
          <w:szCs w:val="36"/>
          <w:rtl/>
        </w:rPr>
        <w:t>جعلهما</w:t>
      </w:r>
      <w:r w:rsidR="00E8128F">
        <w:rPr>
          <w:sz w:val="36"/>
          <w:szCs w:val="36"/>
          <w:rtl/>
        </w:rPr>
        <w:t xml:space="preserve"> </w:t>
      </w:r>
      <w:r w:rsidR="00DD4B48" w:rsidRPr="00FD211F">
        <w:rPr>
          <w:sz w:val="36"/>
          <w:szCs w:val="36"/>
          <w:rtl/>
        </w:rPr>
        <w:t>معا</w:t>
      </w:r>
      <w:r w:rsidR="00603323" w:rsidRPr="00FD211F">
        <w:rPr>
          <w:sz w:val="36"/>
          <w:szCs w:val="36"/>
          <w:rtl/>
        </w:rPr>
        <w:t>،</w:t>
      </w:r>
      <w:r w:rsidR="00E8128F">
        <w:rPr>
          <w:sz w:val="36"/>
          <w:szCs w:val="36"/>
          <w:rtl/>
        </w:rPr>
        <w:t xml:space="preserve"> </w:t>
      </w:r>
      <w:r w:rsidR="00DD4B48" w:rsidRPr="00FD211F">
        <w:rPr>
          <w:sz w:val="36"/>
          <w:szCs w:val="36"/>
          <w:rtl/>
        </w:rPr>
        <w:t>ولما</w:t>
      </w:r>
      <w:r w:rsidR="00E8128F">
        <w:rPr>
          <w:sz w:val="36"/>
          <w:szCs w:val="36"/>
          <w:rtl/>
        </w:rPr>
        <w:t xml:space="preserve"> </w:t>
      </w:r>
      <w:r w:rsidR="00DD4B48" w:rsidRPr="00FD211F">
        <w:rPr>
          <w:sz w:val="36"/>
          <w:szCs w:val="36"/>
          <w:rtl/>
        </w:rPr>
        <w:t>كان</w:t>
      </w:r>
      <w:r w:rsidR="00E8128F">
        <w:rPr>
          <w:sz w:val="36"/>
          <w:szCs w:val="36"/>
          <w:rtl/>
        </w:rPr>
        <w:t xml:space="preserve"> </w:t>
      </w:r>
      <w:r w:rsidR="00DD4B48" w:rsidRPr="00FD211F">
        <w:rPr>
          <w:sz w:val="36"/>
          <w:szCs w:val="36"/>
          <w:rtl/>
        </w:rPr>
        <w:t>وجوب</w:t>
      </w:r>
      <w:r w:rsidR="00E8128F">
        <w:rPr>
          <w:sz w:val="36"/>
          <w:szCs w:val="36"/>
          <w:rtl/>
        </w:rPr>
        <w:t xml:space="preserve"> </w:t>
      </w:r>
      <w:r w:rsidR="00DD4B48" w:rsidRPr="00FD211F">
        <w:rPr>
          <w:sz w:val="36"/>
          <w:szCs w:val="36"/>
          <w:rtl/>
        </w:rPr>
        <w:t>هذا</w:t>
      </w:r>
      <w:r w:rsidR="00E8128F">
        <w:rPr>
          <w:sz w:val="36"/>
          <w:szCs w:val="36"/>
          <w:rtl/>
        </w:rPr>
        <w:t xml:space="preserve"> </w:t>
      </w:r>
      <w:r w:rsidR="00DD4B48" w:rsidRPr="00FD211F">
        <w:rPr>
          <w:sz w:val="36"/>
          <w:szCs w:val="36"/>
          <w:rtl/>
        </w:rPr>
        <w:t>الغصب</w:t>
      </w:r>
      <w:r w:rsidR="00E8128F">
        <w:rPr>
          <w:sz w:val="36"/>
          <w:szCs w:val="36"/>
          <w:rtl/>
        </w:rPr>
        <w:t xml:space="preserve"> </w:t>
      </w:r>
      <w:r w:rsidR="00B66FE4" w:rsidRPr="00FD211F">
        <w:rPr>
          <w:sz w:val="36"/>
          <w:szCs w:val="36"/>
          <w:rtl/>
        </w:rPr>
        <w:t>من</w:t>
      </w:r>
      <w:r w:rsidR="00E8128F">
        <w:rPr>
          <w:sz w:val="36"/>
          <w:szCs w:val="36"/>
          <w:rtl/>
        </w:rPr>
        <w:t xml:space="preserve"> </w:t>
      </w:r>
      <w:r w:rsidR="00B66FE4" w:rsidRPr="00FD211F">
        <w:rPr>
          <w:sz w:val="36"/>
          <w:szCs w:val="36"/>
          <w:rtl/>
        </w:rPr>
        <w:t>لوازم</w:t>
      </w:r>
      <w:r w:rsidR="00E8128F">
        <w:rPr>
          <w:sz w:val="36"/>
          <w:szCs w:val="36"/>
          <w:rtl/>
        </w:rPr>
        <w:t xml:space="preserve"> </w:t>
      </w:r>
      <w:r w:rsidR="00B66FE4" w:rsidRPr="00FD211F">
        <w:rPr>
          <w:sz w:val="36"/>
          <w:szCs w:val="36"/>
          <w:rtl/>
        </w:rPr>
        <w:t>وجوب</w:t>
      </w:r>
      <w:r w:rsidR="00E8128F">
        <w:rPr>
          <w:sz w:val="36"/>
          <w:szCs w:val="36"/>
          <w:rtl/>
        </w:rPr>
        <w:t xml:space="preserve"> </w:t>
      </w:r>
      <w:r w:rsidR="00B66FE4" w:rsidRPr="00FD211F">
        <w:rPr>
          <w:sz w:val="36"/>
          <w:szCs w:val="36"/>
          <w:rtl/>
        </w:rPr>
        <w:t>انقاذ</w:t>
      </w:r>
      <w:r w:rsidR="00E8128F">
        <w:rPr>
          <w:sz w:val="36"/>
          <w:szCs w:val="36"/>
          <w:rtl/>
        </w:rPr>
        <w:t xml:space="preserve"> </w:t>
      </w:r>
      <w:r w:rsidR="00B66FE4" w:rsidRPr="00FD211F">
        <w:rPr>
          <w:sz w:val="36"/>
          <w:szCs w:val="36"/>
          <w:rtl/>
        </w:rPr>
        <w:t>الغريق</w:t>
      </w:r>
      <w:r w:rsidR="00E8128F">
        <w:rPr>
          <w:sz w:val="36"/>
          <w:szCs w:val="36"/>
          <w:rtl/>
        </w:rPr>
        <w:t xml:space="preserve"> </w:t>
      </w:r>
      <w:r w:rsidR="00B66FE4" w:rsidRPr="00FD211F">
        <w:rPr>
          <w:sz w:val="36"/>
          <w:szCs w:val="36"/>
          <w:rtl/>
        </w:rPr>
        <w:t>فيسري</w:t>
      </w:r>
      <w:r w:rsidR="00E8128F">
        <w:rPr>
          <w:sz w:val="36"/>
          <w:szCs w:val="36"/>
          <w:rtl/>
        </w:rPr>
        <w:t xml:space="preserve"> </w:t>
      </w:r>
      <w:r w:rsidR="00B66FE4" w:rsidRPr="00FD211F">
        <w:rPr>
          <w:sz w:val="36"/>
          <w:szCs w:val="36"/>
          <w:rtl/>
        </w:rPr>
        <w:t>المعارض</w:t>
      </w:r>
      <w:r w:rsidR="00EC7EDF" w:rsidRPr="00FD211F">
        <w:rPr>
          <w:sz w:val="36"/>
          <w:szCs w:val="36"/>
          <w:rtl/>
        </w:rPr>
        <w:t>ة</w:t>
      </w:r>
      <w:r w:rsidR="00E8128F">
        <w:rPr>
          <w:sz w:val="36"/>
          <w:szCs w:val="36"/>
          <w:rtl/>
        </w:rPr>
        <w:t xml:space="preserve"> </w:t>
      </w:r>
      <w:r w:rsidR="00B66FE4" w:rsidRPr="00FD211F">
        <w:rPr>
          <w:sz w:val="36"/>
          <w:szCs w:val="36"/>
          <w:rtl/>
        </w:rPr>
        <w:t>الى</w:t>
      </w:r>
      <w:r w:rsidR="00E8128F">
        <w:rPr>
          <w:sz w:val="36"/>
          <w:szCs w:val="36"/>
          <w:rtl/>
        </w:rPr>
        <w:t xml:space="preserve"> </w:t>
      </w:r>
      <w:r w:rsidR="00B66FE4" w:rsidRPr="00FD211F">
        <w:rPr>
          <w:sz w:val="36"/>
          <w:szCs w:val="36"/>
          <w:rtl/>
        </w:rPr>
        <w:t>دليل</w:t>
      </w:r>
      <w:r w:rsidR="00E8128F">
        <w:rPr>
          <w:sz w:val="36"/>
          <w:szCs w:val="36"/>
          <w:rtl/>
        </w:rPr>
        <w:t xml:space="preserve"> </w:t>
      </w:r>
      <w:r w:rsidR="00B66FE4" w:rsidRPr="00FD211F">
        <w:rPr>
          <w:sz w:val="36"/>
          <w:szCs w:val="36"/>
          <w:rtl/>
        </w:rPr>
        <w:t>تحريم</w:t>
      </w:r>
      <w:r w:rsidR="00E8128F">
        <w:rPr>
          <w:sz w:val="36"/>
          <w:szCs w:val="36"/>
          <w:rtl/>
        </w:rPr>
        <w:t xml:space="preserve"> </w:t>
      </w:r>
      <w:r w:rsidR="00B66FE4" w:rsidRPr="00FD211F">
        <w:rPr>
          <w:sz w:val="36"/>
          <w:szCs w:val="36"/>
          <w:rtl/>
        </w:rPr>
        <w:t>الغصب</w:t>
      </w:r>
      <w:r w:rsidR="00E8128F">
        <w:rPr>
          <w:sz w:val="36"/>
          <w:szCs w:val="36"/>
          <w:rtl/>
        </w:rPr>
        <w:t xml:space="preserve"> </w:t>
      </w:r>
      <w:r w:rsidR="00B66FE4" w:rsidRPr="00FD211F">
        <w:rPr>
          <w:sz w:val="36"/>
          <w:szCs w:val="36"/>
          <w:rtl/>
        </w:rPr>
        <w:t>ودليل</w:t>
      </w:r>
      <w:r w:rsidR="00E8128F">
        <w:rPr>
          <w:sz w:val="36"/>
          <w:szCs w:val="36"/>
          <w:rtl/>
        </w:rPr>
        <w:t xml:space="preserve"> </w:t>
      </w:r>
      <w:r w:rsidR="00B66FE4" w:rsidRPr="00FD211F">
        <w:rPr>
          <w:sz w:val="36"/>
          <w:szCs w:val="36"/>
          <w:rtl/>
        </w:rPr>
        <w:t>وجوب</w:t>
      </w:r>
      <w:r w:rsidR="00E8128F">
        <w:rPr>
          <w:sz w:val="36"/>
          <w:szCs w:val="36"/>
          <w:rtl/>
        </w:rPr>
        <w:t xml:space="preserve"> </w:t>
      </w:r>
      <w:r w:rsidR="00B66FE4" w:rsidRPr="00FD211F">
        <w:rPr>
          <w:sz w:val="36"/>
          <w:szCs w:val="36"/>
          <w:rtl/>
        </w:rPr>
        <w:t>انقاذ</w:t>
      </w:r>
      <w:r w:rsidR="00E8128F">
        <w:rPr>
          <w:sz w:val="36"/>
          <w:szCs w:val="36"/>
          <w:rtl/>
        </w:rPr>
        <w:t xml:space="preserve"> </w:t>
      </w:r>
      <w:r w:rsidR="00B66FE4" w:rsidRPr="00FD211F">
        <w:rPr>
          <w:sz w:val="36"/>
          <w:szCs w:val="36"/>
          <w:rtl/>
        </w:rPr>
        <w:t>الغريق</w:t>
      </w:r>
      <w:r w:rsidR="00603323" w:rsidRPr="00FD211F">
        <w:rPr>
          <w:sz w:val="36"/>
          <w:szCs w:val="36"/>
          <w:rtl/>
        </w:rPr>
        <w:t>،</w:t>
      </w:r>
      <w:r w:rsidR="00E8128F">
        <w:rPr>
          <w:sz w:val="36"/>
          <w:szCs w:val="36"/>
          <w:rtl/>
        </w:rPr>
        <w:t xml:space="preserve"> </w:t>
      </w:r>
      <w:r w:rsidR="00B66FE4" w:rsidRPr="00FD211F">
        <w:rPr>
          <w:sz w:val="36"/>
          <w:szCs w:val="36"/>
          <w:rtl/>
        </w:rPr>
        <w:t>نعم</w:t>
      </w:r>
      <w:r w:rsidR="00E8128F">
        <w:rPr>
          <w:sz w:val="36"/>
          <w:szCs w:val="36"/>
          <w:rtl/>
        </w:rPr>
        <w:t xml:space="preserve"> </w:t>
      </w:r>
      <w:r w:rsidR="00B66FE4" w:rsidRPr="00FD211F">
        <w:rPr>
          <w:sz w:val="36"/>
          <w:szCs w:val="36"/>
          <w:rtl/>
        </w:rPr>
        <w:t>لو</w:t>
      </w:r>
      <w:r w:rsidR="00E8128F">
        <w:rPr>
          <w:sz w:val="36"/>
          <w:szCs w:val="36"/>
          <w:rtl/>
        </w:rPr>
        <w:t xml:space="preserve"> </w:t>
      </w:r>
      <w:r w:rsidR="00B66FE4" w:rsidRPr="00FD211F">
        <w:rPr>
          <w:sz w:val="36"/>
          <w:szCs w:val="36"/>
          <w:rtl/>
        </w:rPr>
        <w:t>علم</w:t>
      </w:r>
      <w:r w:rsidR="00E8128F">
        <w:rPr>
          <w:sz w:val="36"/>
          <w:szCs w:val="36"/>
          <w:rtl/>
        </w:rPr>
        <w:t xml:space="preserve"> </w:t>
      </w:r>
      <w:r w:rsidR="00B66FE4" w:rsidRPr="00FD211F">
        <w:rPr>
          <w:sz w:val="36"/>
          <w:szCs w:val="36"/>
          <w:rtl/>
        </w:rPr>
        <w:t>بان</w:t>
      </w:r>
      <w:r w:rsidR="00E8128F">
        <w:rPr>
          <w:sz w:val="36"/>
          <w:szCs w:val="36"/>
          <w:rtl/>
        </w:rPr>
        <w:t xml:space="preserve"> </w:t>
      </w:r>
      <w:r w:rsidR="00B66FE4" w:rsidRPr="00FD211F">
        <w:rPr>
          <w:sz w:val="36"/>
          <w:szCs w:val="36"/>
          <w:rtl/>
        </w:rPr>
        <w:t>انقاذ</w:t>
      </w:r>
      <w:r w:rsidR="00E8128F">
        <w:rPr>
          <w:sz w:val="36"/>
          <w:szCs w:val="36"/>
          <w:rtl/>
        </w:rPr>
        <w:t xml:space="preserve"> </w:t>
      </w:r>
      <w:r w:rsidR="00B66FE4" w:rsidRPr="00FD211F">
        <w:rPr>
          <w:sz w:val="36"/>
          <w:szCs w:val="36"/>
          <w:rtl/>
        </w:rPr>
        <w:t>الغريق</w:t>
      </w:r>
      <w:r w:rsidR="00E8128F">
        <w:rPr>
          <w:sz w:val="36"/>
          <w:szCs w:val="36"/>
          <w:rtl/>
        </w:rPr>
        <w:t xml:space="preserve"> </w:t>
      </w:r>
      <w:r w:rsidR="00B66FE4" w:rsidRPr="00FD211F">
        <w:rPr>
          <w:sz w:val="36"/>
          <w:szCs w:val="36"/>
          <w:rtl/>
        </w:rPr>
        <w:t>اهم</w:t>
      </w:r>
      <w:r w:rsidR="00E8128F">
        <w:rPr>
          <w:sz w:val="36"/>
          <w:szCs w:val="36"/>
          <w:rtl/>
        </w:rPr>
        <w:t xml:space="preserve"> </w:t>
      </w:r>
      <w:r w:rsidR="00B66FE4" w:rsidRPr="00FD211F">
        <w:rPr>
          <w:sz w:val="36"/>
          <w:szCs w:val="36"/>
          <w:rtl/>
        </w:rPr>
        <w:t>كما</w:t>
      </w:r>
      <w:r w:rsidR="00E8128F">
        <w:rPr>
          <w:sz w:val="36"/>
          <w:szCs w:val="36"/>
          <w:rtl/>
        </w:rPr>
        <w:t xml:space="preserve"> </w:t>
      </w:r>
      <w:r w:rsidR="00B66FE4" w:rsidRPr="00FD211F">
        <w:rPr>
          <w:sz w:val="36"/>
          <w:szCs w:val="36"/>
          <w:rtl/>
        </w:rPr>
        <w:t>هو</w:t>
      </w:r>
      <w:r w:rsidR="00E8128F">
        <w:rPr>
          <w:sz w:val="36"/>
          <w:szCs w:val="36"/>
          <w:rtl/>
        </w:rPr>
        <w:t xml:space="preserve"> </w:t>
      </w:r>
      <w:r w:rsidR="00B66FE4" w:rsidRPr="00FD211F">
        <w:rPr>
          <w:sz w:val="36"/>
          <w:szCs w:val="36"/>
          <w:rtl/>
        </w:rPr>
        <w:t>المفروض</w:t>
      </w:r>
      <w:r w:rsidR="00E8128F">
        <w:rPr>
          <w:sz w:val="36"/>
          <w:szCs w:val="36"/>
          <w:rtl/>
        </w:rPr>
        <w:t xml:space="preserve"> </w:t>
      </w:r>
      <w:r w:rsidR="00B66FE4" w:rsidRPr="00FD211F">
        <w:rPr>
          <w:sz w:val="36"/>
          <w:szCs w:val="36"/>
          <w:rtl/>
        </w:rPr>
        <w:t>فيعلم</w:t>
      </w:r>
      <w:r w:rsidR="00E8128F">
        <w:rPr>
          <w:sz w:val="36"/>
          <w:szCs w:val="36"/>
          <w:rtl/>
        </w:rPr>
        <w:t xml:space="preserve"> </w:t>
      </w:r>
      <w:r w:rsidR="00B66FE4" w:rsidRPr="00FD211F">
        <w:rPr>
          <w:sz w:val="36"/>
          <w:szCs w:val="36"/>
          <w:rtl/>
        </w:rPr>
        <w:t>بوجوب</w:t>
      </w:r>
      <w:r w:rsidR="00E8128F">
        <w:rPr>
          <w:sz w:val="36"/>
          <w:szCs w:val="36"/>
          <w:rtl/>
        </w:rPr>
        <w:t xml:space="preserve"> </w:t>
      </w:r>
      <w:r w:rsidR="00B66FE4" w:rsidRPr="00FD211F">
        <w:rPr>
          <w:sz w:val="36"/>
          <w:szCs w:val="36"/>
          <w:rtl/>
        </w:rPr>
        <w:t>الغصب</w:t>
      </w:r>
      <w:r w:rsidR="00E8128F">
        <w:rPr>
          <w:sz w:val="36"/>
          <w:szCs w:val="36"/>
          <w:rtl/>
        </w:rPr>
        <w:t xml:space="preserve"> </w:t>
      </w:r>
      <w:r w:rsidR="00B66FE4" w:rsidRPr="00FD211F">
        <w:rPr>
          <w:sz w:val="36"/>
          <w:szCs w:val="36"/>
          <w:rtl/>
        </w:rPr>
        <w:t>المتوقف</w:t>
      </w:r>
      <w:r w:rsidR="00E8128F">
        <w:rPr>
          <w:sz w:val="36"/>
          <w:szCs w:val="36"/>
          <w:rtl/>
        </w:rPr>
        <w:t xml:space="preserve"> </w:t>
      </w:r>
      <w:r w:rsidR="00B66FE4" w:rsidRPr="00FD211F">
        <w:rPr>
          <w:sz w:val="36"/>
          <w:szCs w:val="36"/>
          <w:rtl/>
        </w:rPr>
        <w:t>عليه</w:t>
      </w:r>
      <w:r w:rsidR="00E8128F">
        <w:rPr>
          <w:sz w:val="36"/>
          <w:szCs w:val="36"/>
          <w:rtl/>
        </w:rPr>
        <w:t xml:space="preserve"> </w:t>
      </w:r>
      <w:r w:rsidR="00B66FE4" w:rsidRPr="00FD211F">
        <w:rPr>
          <w:sz w:val="36"/>
          <w:szCs w:val="36"/>
          <w:rtl/>
        </w:rPr>
        <w:t>الإنقاذ</w:t>
      </w:r>
      <w:r w:rsidR="00E8128F">
        <w:rPr>
          <w:sz w:val="36"/>
          <w:szCs w:val="36"/>
          <w:rtl/>
        </w:rPr>
        <w:t xml:space="preserve"> </w:t>
      </w:r>
      <w:r w:rsidR="00B66FE4" w:rsidRPr="00FD211F">
        <w:rPr>
          <w:sz w:val="36"/>
          <w:szCs w:val="36"/>
          <w:rtl/>
        </w:rPr>
        <w:t>وبذلك</w:t>
      </w:r>
      <w:r w:rsidR="00E8128F">
        <w:rPr>
          <w:sz w:val="36"/>
          <w:szCs w:val="36"/>
          <w:rtl/>
        </w:rPr>
        <w:t xml:space="preserve"> </w:t>
      </w:r>
      <w:r w:rsidR="00B66FE4" w:rsidRPr="00FD211F">
        <w:rPr>
          <w:sz w:val="36"/>
          <w:szCs w:val="36"/>
          <w:rtl/>
        </w:rPr>
        <w:t>ينتفي</w:t>
      </w:r>
      <w:r w:rsidR="00E8128F">
        <w:rPr>
          <w:sz w:val="36"/>
          <w:szCs w:val="36"/>
          <w:rtl/>
        </w:rPr>
        <w:t xml:space="preserve"> </w:t>
      </w:r>
      <w:r w:rsidR="00B66FE4" w:rsidRPr="00FD211F">
        <w:rPr>
          <w:sz w:val="36"/>
          <w:szCs w:val="36"/>
          <w:rtl/>
        </w:rPr>
        <w:t>حرمته</w:t>
      </w:r>
      <w:r w:rsidR="00603323" w:rsidRPr="00FD211F">
        <w:rPr>
          <w:sz w:val="36"/>
          <w:szCs w:val="36"/>
          <w:rtl/>
        </w:rPr>
        <w:t>،</w:t>
      </w:r>
      <w:r w:rsidR="00E8128F">
        <w:rPr>
          <w:sz w:val="36"/>
          <w:szCs w:val="36"/>
          <w:rtl/>
        </w:rPr>
        <w:t xml:space="preserve"> </w:t>
      </w:r>
      <w:r w:rsidR="00B66FE4" w:rsidRPr="00FD211F">
        <w:rPr>
          <w:sz w:val="36"/>
          <w:szCs w:val="36"/>
          <w:rtl/>
        </w:rPr>
        <w:t>فيجوز</w:t>
      </w:r>
      <w:r w:rsidR="00E8128F">
        <w:rPr>
          <w:sz w:val="36"/>
          <w:szCs w:val="36"/>
          <w:rtl/>
        </w:rPr>
        <w:t xml:space="preserve"> </w:t>
      </w:r>
      <w:r w:rsidR="00B66FE4" w:rsidRPr="00FD211F">
        <w:rPr>
          <w:sz w:val="36"/>
          <w:szCs w:val="36"/>
          <w:rtl/>
        </w:rPr>
        <w:t>ا</w:t>
      </w:r>
      <w:r w:rsidR="00581E85" w:rsidRPr="00FD211F">
        <w:rPr>
          <w:sz w:val="36"/>
          <w:szCs w:val="36"/>
          <w:rtl/>
        </w:rPr>
        <w:t>لغصب</w:t>
      </w:r>
      <w:r w:rsidR="00E8128F">
        <w:rPr>
          <w:sz w:val="36"/>
          <w:szCs w:val="36"/>
          <w:rtl/>
        </w:rPr>
        <w:t xml:space="preserve"> </w:t>
      </w:r>
      <w:r w:rsidR="00B66FE4" w:rsidRPr="00FD211F">
        <w:rPr>
          <w:sz w:val="36"/>
          <w:szCs w:val="36"/>
          <w:rtl/>
        </w:rPr>
        <w:t>ولو</w:t>
      </w:r>
      <w:r w:rsidR="00E8128F">
        <w:rPr>
          <w:sz w:val="36"/>
          <w:szCs w:val="36"/>
          <w:rtl/>
        </w:rPr>
        <w:t xml:space="preserve"> </w:t>
      </w:r>
      <w:r w:rsidR="008D7B3D" w:rsidRPr="00FD211F">
        <w:rPr>
          <w:sz w:val="36"/>
          <w:szCs w:val="36"/>
          <w:rtl/>
        </w:rPr>
        <w:t>لم‌</w:t>
      </w:r>
      <w:r w:rsidR="00581E85" w:rsidRPr="00FD211F">
        <w:rPr>
          <w:sz w:val="36"/>
          <w:szCs w:val="36"/>
          <w:rtl/>
        </w:rPr>
        <w:t>ينق</w:t>
      </w:r>
      <w:r w:rsidR="00B66FE4" w:rsidRPr="00FD211F">
        <w:rPr>
          <w:sz w:val="36"/>
          <w:szCs w:val="36"/>
          <w:rtl/>
        </w:rPr>
        <w:t>ذ</w:t>
      </w:r>
      <w:r w:rsidR="00E8128F">
        <w:rPr>
          <w:sz w:val="36"/>
          <w:szCs w:val="36"/>
          <w:rtl/>
        </w:rPr>
        <w:t xml:space="preserve"> </w:t>
      </w:r>
      <w:r w:rsidR="00B66FE4" w:rsidRPr="00FD211F">
        <w:rPr>
          <w:sz w:val="36"/>
          <w:szCs w:val="36"/>
          <w:rtl/>
        </w:rPr>
        <w:t>الغريق</w:t>
      </w:r>
      <w:r w:rsidR="00E8128F">
        <w:rPr>
          <w:sz w:val="36"/>
          <w:szCs w:val="36"/>
          <w:rtl/>
        </w:rPr>
        <w:t xml:space="preserve"> </w:t>
      </w:r>
      <w:r w:rsidR="00581E85" w:rsidRPr="00FD211F">
        <w:rPr>
          <w:sz w:val="36"/>
          <w:szCs w:val="36"/>
          <w:rtl/>
        </w:rPr>
        <w:t>بعده</w:t>
      </w:r>
      <w:r w:rsidR="00603323" w:rsidRPr="00FD211F">
        <w:rPr>
          <w:sz w:val="36"/>
          <w:szCs w:val="36"/>
          <w:rtl/>
        </w:rPr>
        <w:t>،</w:t>
      </w:r>
      <w:r w:rsidR="00E8128F">
        <w:rPr>
          <w:sz w:val="36"/>
          <w:szCs w:val="36"/>
          <w:rtl/>
        </w:rPr>
        <w:t xml:space="preserve"> </w:t>
      </w:r>
      <w:r w:rsidR="00581E85" w:rsidRPr="00FD211F">
        <w:rPr>
          <w:sz w:val="36"/>
          <w:szCs w:val="36"/>
          <w:rtl/>
        </w:rPr>
        <w:t>ولأجل</w:t>
      </w:r>
      <w:r w:rsidR="00E8128F">
        <w:rPr>
          <w:sz w:val="36"/>
          <w:szCs w:val="36"/>
          <w:rtl/>
        </w:rPr>
        <w:t xml:space="preserve"> </w:t>
      </w:r>
      <w:r w:rsidR="00581E85" w:rsidRPr="00FD211F">
        <w:rPr>
          <w:sz w:val="36"/>
          <w:szCs w:val="36"/>
          <w:rtl/>
        </w:rPr>
        <w:t>ذلك</w:t>
      </w:r>
      <w:r w:rsidR="00E8128F">
        <w:rPr>
          <w:sz w:val="36"/>
          <w:szCs w:val="36"/>
          <w:rtl/>
        </w:rPr>
        <w:t xml:space="preserve"> </w:t>
      </w:r>
      <w:r w:rsidR="00581E85" w:rsidRPr="00FD211F">
        <w:rPr>
          <w:sz w:val="36"/>
          <w:szCs w:val="36"/>
          <w:rtl/>
        </w:rPr>
        <w:t>ذكر</w:t>
      </w:r>
      <w:r w:rsidR="00E8128F">
        <w:rPr>
          <w:sz w:val="36"/>
          <w:szCs w:val="36"/>
          <w:rtl/>
        </w:rPr>
        <w:t xml:space="preserve"> </w:t>
      </w:r>
      <w:r w:rsidR="00581E85" w:rsidRPr="00FD211F">
        <w:rPr>
          <w:sz w:val="36"/>
          <w:szCs w:val="36"/>
          <w:rtl/>
        </w:rPr>
        <w:t>السيد</w:t>
      </w:r>
      <w:r w:rsidR="00E8128F">
        <w:rPr>
          <w:sz w:val="36"/>
          <w:szCs w:val="36"/>
          <w:rtl/>
        </w:rPr>
        <w:t xml:space="preserve"> </w:t>
      </w:r>
      <w:r w:rsidR="00581E85" w:rsidRPr="00FD211F">
        <w:rPr>
          <w:sz w:val="36"/>
          <w:szCs w:val="36"/>
          <w:rtl/>
        </w:rPr>
        <w:t>الخوئي</w:t>
      </w:r>
      <w:r w:rsidR="00E8128F">
        <w:rPr>
          <w:sz w:val="36"/>
          <w:szCs w:val="36"/>
          <w:rtl/>
        </w:rPr>
        <w:t xml:space="preserve"> </w:t>
      </w:r>
      <w:r w:rsidR="00581E85" w:rsidRPr="00FD211F">
        <w:rPr>
          <w:sz w:val="36"/>
          <w:szCs w:val="36"/>
          <w:rtl/>
        </w:rPr>
        <w:t>"قده"أنه</w:t>
      </w:r>
      <w:r w:rsidR="00E8128F">
        <w:rPr>
          <w:sz w:val="36"/>
          <w:szCs w:val="36"/>
          <w:rtl/>
        </w:rPr>
        <w:t xml:space="preserve"> </w:t>
      </w:r>
      <w:r w:rsidR="00B66FE4" w:rsidRPr="00FD211F">
        <w:rPr>
          <w:sz w:val="36"/>
          <w:szCs w:val="36"/>
          <w:rtl/>
        </w:rPr>
        <w:t>بناء</w:t>
      </w:r>
      <w:r w:rsidR="00E8128F">
        <w:rPr>
          <w:sz w:val="36"/>
          <w:szCs w:val="36"/>
          <w:rtl/>
        </w:rPr>
        <w:t xml:space="preserve"> </w:t>
      </w:r>
      <w:r w:rsidR="00B66FE4" w:rsidRPr="00FD211F">
        <w:rPr>
          <w:sz w:val="36"/>
          <w:szCs w:val="36"/>
          <w:rtl/>
        </w:rPr>
        <w:t>على</w:t>
      </w:r>
      <w:r w:rsidR="00E8128F">
        <w:rPr>
          <w:sz w:val="36"/>
          <w:szCs w:val="36"/>
          <w:rtl/>
        </w:rPr>
        <w:t xml:space="preserve"> </w:t>
      </w:r>
      <w:r w:rsidR="00581E85" w:rsidRPr="00FD211F">
        <w:rPr>
          <w:sz w:val="36"/>
          <w:szCs w:val="36"/>
          <w:rtl/>
        </w:rPr>
        <w:t>القول</w:t>
      </w:r>
      <w:r w:rsidR="00E8128F">
        <w:rPr>
          <w:sz w:val="36"/>
          <w:szCs w:val="36"/>
          <w:rtl/>
        </w:rPr>
        <w:t xml:space="preserve"> </w:t>
      </w:r>
      <w:r w:rsidR="00581E85" w:rsidRPr="00FD211F">
        <w:rPr>
          <w:sz w:val="36"/>
          <w:szCs w:val="36"/>
          <w:rtl/>
        </w:rPr>
        <w:t>بوجوب</w:t>
      </w:r>
      <w:r w:rsidR="00E8128F">
        <w:rPr>
          <w:sz w:val="36"/>
          <w:szCs w:val="36"/>
          <w:rtl/>
        </w:rPr>
        <w:t xml:space="preserve"> </w:t>
      </w:r>
      <w:r w:rsidR="00581E85" w:rsidRPr="00FD211F">
        <w:rPr>
          <w:sz w:val="36"/>
          <w:szCs w:val="36"/>
          <w:rtl/>
        </w:rPr>
        <w:t>المقدمة</w:t>
      </w:r>
      <w:r w:rsidR="00E8128F">
        <w:rPr>
          <w:sz w:val="36"/>
          <w:szCs w:val="36"/>
          <w:rtl/>
        </w:rPr>
        <w:t xml:space="preserve"> </w:t>
      </w:r>
      <w:r w:rsidR="00581E85" w:rsidRPr="00FD211F">
        <w:rPr>
          <w:sz w:val="36"/>
          <w:szCs w:val="36"/>
          <w:rtl/>
        </w:rPr>
        <w:t>مطلقا</w:t>
      </w:r>
      <w:r w:rsidR="00E8128F">
        <w:rPr>
          <w:sz w:val="36"/>
          <w:szCs w:val="36"/>
          <w:rtl/>
        </w:rPr>
        <w:t xml:space="preserve"> </w:t>
      </w:r>
      <w:r w:rsidR="00B66FE4" w:rsidRPr="00FD211F">
        <w:rPr>
          <w:sz w:val="36"/>
          <w:szCs w:val="36"/>
          <w:rtl/>
        </w:rPr>
        <w:t>فقد</w:t>
      </w:r>
      <w:r w:rsidR="00E8128F">
        <w:rPr>
          <w:sz w:val="36"/>
          <w:szCs w:val="36"/>
          <w:rtl/>
        </w:rPr>
        <w:t xml:space="preserve"> </w:t>
      </w:r>
      <w:r w:rsidR="00B66FE4" w:rsidRPr="00FD211F">
        <w:rPr>
          <w:sz w:val="36"/>
          <w:szCs w:val="36"/>
          <w:rtl/>
        </w:rPr>
        <w:t>استنبطنا</w:t>
      </w:r>
      <w:r w:rsidR="00E8128F">
        <w:rPr>
          <w:sz w:val="36"/>
          <w:szCs w:val="36"/>
          <w:rtl/>
        </w:rPr>
        <w:t xml:space="preserve"> </w:t>
      </w:r>
      <w:r w:rsidR="00B66FE4" w:rsidRPr="00FD211F">
        <w:rPr>
          <w:sz w:val="36"/>
          <w:szCs w:val="36"/>
          <w:rtl/>
        </w:rPr>
        <w:t>جواز</w:t>
      </w:r>
      <w:r w:rsidR="00E8128F">
        <w:rPr>
          <w:sz w:val="36"/>
          <w:szCs w:val="36"/>
          <w:rtl/>
        </w:rPr>
        <w:t xml:space="preserve"> </w:t>
      </w:r>
      <w:r w:rsidR="00B66FE4" w:rsidRPr="00FD211F">
        <w:rPr>
          <w:sz w:val="36"/>
          <w:szCs w:val="36"/>
          <w:rtl/>
        </w:rPr>
        <w:t>ارتكاب</w:t>
      </w:r>
      <w:r w:rsidR="00E8128F">
        <w:rPr>
          <w:sz w:val="36"/>
          <w:szCs w:val="36"/>
          <w:rtl/>
        </w:rPr>
        <w:t xml:space="preserve"> </w:t>
      </w:r>
      <w:r w:rsidR="00B66FE4" w:rsidRPr="00FD211F">
        <w:rPr>
          <w:sz w:val="36"/>
          <w:szCs w:val="36"/>
          <w:rtl/>
        </w:rPr>
        <w:t>هذا</w:t>
      </w:r>
      <w:r w:rsidR="00E8128F">
        <w:rPr>
          <w:sz w:val="36"/>
          <w:szCs w:val="36"/>
          <w:rtl/>
        </w:rPr>
        <w:t xml:space="preserve"> </w:t>
      </w:r>
      <w:r w:rsidR="00B66FE4" w:rsidRPr="00FD211F">
        <w:rPr>
          <w:sz w:val="36"/>
          <w:szCs w:val="36"/>
          <w:rtl/>
        </w:rPr>
        <w:t>الغصب</w:t>
      </w:r>
      <w:r w:rsidR="00E8128F">
        <w:rPr>
          <w:sz w:val="36"/>
          <w:szCs w:val="36"/>
          <w:rtl/>
        </w:rPr>
        <w:t xml:space="preserve"> </w:t>
      </w:r>
      <w:r w:rsidR="00B66FE4" w:rsidRPr="00FD211F">
        <w:rPr>
          <w:sz w:val="36"/>
          <w:szCs w:val="36"/>
          <w:rtl/>
        </w:rPr>
        <w:t>ولو</w:t>
      </w:r>
      <w:r w:rsidR="00E8128F">
        <w:rPr>
          <w:sz w:val="36"/>
          <w:szCs w:val="36"/>
          <w:rtl/>
        </w:rPr>
        <w:t xml:space="preserve"> </w:t>
      </w:r>
      <w:r w:rsidR="00581E85" w:rsidRPr="00FD211F">
        <w:rPr>
          <w:sz w:val="36"/>
          <w:szCs w:val="36"/>
          <w:rtl/>
        </w:rPr>
        <w:t>ترك</w:t>
      </w:r>
      <w:r w:rsidR="00E8128F">
        <w:rPr>
          <w:sz w:val="36"/>
          <w:szCs w:val="36"/>
          <w:rtl/>
        </w:rPr>
        <w:t xml:space="preserve"> </w:t>
      </w:r>
      <w:r w:rsidR="00581E85" w:rsidRPr="00FD211F">
        <w:rPr>
          <w:sz w:val="36"/>
          <w:szCs w:val="36"/>
          <w:rtl/>
        </w:rPr>
        <w:t>المكلف</w:t>
      </w:r>
      <w:r w:rsidR="00E8128F">
        <w:rPr>
          <w:sz w:val="36"/>
          <w:szCs w:val="36"/>
          <w:rtl/>
        </w:rPr>
        <w:t xml:space="preserve"> </w:t>
      </w:r>
      <w:r w:rsidR="00B66FE4" w:rsidRPr="00FD211F">
        <w:rPr>
          <w:sz w:val="36"/>
          <w:szCs w:val="36"/>
          <w:rtl/>
        </w:rPr>
        <w:t>إنقاذ</w:t>
      </w:r>
      <w:r w:rsidR="00E8128F">
        <w:rPr>
          <w:sz w:val="36"/>
          <w:szCs w:val="36"/>
          <w:rtl/>
        </w:rPr>
        <w:t xml:space="preserve"> </w:t>
      </w:r>
      <w:r w:rsidR="00581E85" w:rsidRPr="00FD211F">
        <w:rPr>
          <w:sz w:val="36"/>
          <w:szCs w:val="36"/>
          <w:rtl/>
        </w:rPr>
        <w:t>الغريق</w:t>
      </w:r>
      <w:r w:rsidR="00E8128F">
        <w:rPr>
          <w:sz w:val="36"/>
          <w:szCs w:val="36"/>
          <w:rtl/>
        </w:rPr>
        <w:t xml:space="preserve"> </w:t>
      </w:r>
      <w:r w:rsidR="00581E85" w:rsidRPr="00FD211F">
        <w:rPr>
          <w:sz w:val="36"/>
          <w:szCs w:val="36"/>
          <w:rtl/>
        </w:rPr>
        <w:t>بعده</w:t>
      </w:r>
      <w:r w:rsidR="00E8128F">
        <w:rPr>
          <w:sz w:val="36"/>
          <w:szCs w:val="36"/>
          <w:rtl/>
        </w:rPr>
        <w:t xml:space="preserve"> </w:t>
      </w:r>
      <w:r w:rsidR="00B66FE4" w:rsidRPr="00FD211F">
        <w:rPr>
          <w:sz w:val="36"/>
          <w:szCs w:val="36"/>
          <w:rtl/>
        </w:rPr>
        <w:t>بلاحاج</w:t>
      </w:r>
      <w:r w:rsidR="00EC7EDF" w:rsidRPr="00FD211F">
        <w:rPr>
          <w:sz w:val="36"/>
          <w:szCs w:val="36"/>
          <w:rtl/>
        </w:rPr>
        <w:t>ة</w:t>
      </w:r>
      <w:r w:rsidR="00E8128F">
        <w:rPr>
          <w:sz w:val="36"/>
          <w:szCs w:val="36"/>
          <w:rtl/>
        </w:rPr>
        <w:t xml:space="preserve"> </w:t>
      </w:r>
      <w:r w:rsidR="00B66FE4" w:rsidRPr="00FD211F">
        <w:rPr>
          <w:sz w:val="36"/>
          <w:szCs w:val="36"/>
          <w:rtl/>
        </w:rPr>
        <w:t>الى</w:t>
      </w:r>
      <w:r w:rsidR="00E8128F">
        <w:rPr>
          <w:sz w:val="36"/>
          <w:szCs w:val="36"/>
          <w:rtl/>
        </w:rPr>
        <w:t xml:space="preserve"> </w:t>
      </w:r>
      <w:r w:rsidR="00B66FE4" w:rsidRPr="00FD211F">
        <w:rPr>
          <w:sz w:val="36"/>
          <w:szCs w:val="36"/>
          <w:rtl/>
        </w:rPr>
        <w:t>توسيط</w:t>
      </w:r>
      <w:r w:rsidR="00E8128F">
        <w:rPr>
          <w:sz w:val="36"/>
          <w:szCs w:val="36"/>
          <w:rtl/>
        </w:rPr>
        <w:t xml:space="preserve"> </w:t>
      </w:r>
      <w:r w:rsidR="00B66FE4" w:rsidRPr="00FD211F">
        <w:rPr>
          <w:sz w:val="36"/>
          <w:szCs w:val="36"/>
          <w:rtl/>
        </w:rPr>
        <w:t>مسأل</w:t>
      </w:r>
      <w:r w:rsidR="00EC7EDF" w:rsidRPr="00FD211F">
        <w:rPr>
          <w:sz w:val="36"/>
          <w:szCs w:val="36"/>
          <w:rtl/>
        </w:rPr>
        <w:t>ة</w:t>
      </w:r>
      <w:r w:rsidR="00E8128F">
        <w:rPr>
          <w:sz w:val="36"/>
          <w:szCs w:val="36"/>
          <w:rtl/>
        </w:rPr>
        <w:t xml:space="preserve"> </w:t>
      </w:r>
      <w:r w:rsidR="00B66FE4" w:rsidRPr="00FD211F">
        <w:rPr>
          <w:sz w:val="36"/>
          <w:szCs w:val="36"/>
          <w:rtl/>
        </w:rPr>
        <w:t>أصولي</w:t>
      </w:r>
      <w:r w:rsidR="00EC7EDF" w:rsidRPr="00FD211F">
        <w:rPr>
          <w:sz w:val="36"/>
          <w:szCs w:val="36"/>
          <w:rtl/>
        </w:rPr>
        <w:t>ة</w:t>
      </w:r>
      <w:r w:rsidR="00E8128F">
        <w:rPr>
          <w:sz w:val="36"/>
          <w:szCs w:val="36"/>
          <w:rtl/>
        </w:rPr>
        <w:t xml:space="preserve"> </w:t>
      </w:r>
      <w:r w:rsidR="00B66FE4" w:rsidRPr="00FD211F">
        <w:rPr>
          <w:sz w:val="36"/>
          <w:szCs w:val="36"/>
          <w:rtl/>
        </w:rPr>
        <w:t>أخرى</w:t>
      </w:r>
      <w:r w:rsidR="009C58C8" w:rsidRPr="00FD211F">
        <w:rPr>
          <w:rStyle w:val="a6"/>
          <w:sz w:val="36"/>
          <w:szCs w:val="36"/>
          <w:rtl/>
        </w:rPr>
        <w:t>(</w:t>
      </w:r>
      <w:r w:rsidR="009C58C8" w:rsidRPr="00FD211F">
        <w:rPr>
          <w:rStyle w:val="a6"/>
          <w:sz w:val="36"/>
          <w:szCs w:val="36"/>
          <w:rtl/>
        </w:rPr>
        <w:footnoteReference w:id="25"/>
      </w:r>
      <w:r w:rsidR="009C58C8" w:rsidRPr="00FD211F">
        <w:rPr>
          <w:rStyle w:val="a6"/>
          <w:sz w:val="36"/>
          <w:szCs w:val="36"/>
          <w:rtl/>
        </w:rPr>
        <w:t>)</w:t>
      </w:r>
      <w:r w:rsidR="00B66FE4" w:rsidRPr="00FD211F">
        <w:rPr>
          <w:sz w:val="36"/>
          <w:szCs w:val="36"/>
          <w:rtl/>
        </w:rPr>
        <w:t>.</w:t>
      </w:r>
    </w:p>
    <w:p w14:paraId="4E458E05" w14:textId="77777777" w:rsidR="004B6CC8" w:rsidRPr="00FD211F" w:rsidRDefault="00F56DC6" w:rsidP="009C58C8">
      <w:pPr>
        <w:ind w:left="0" w:firstLine="227"/>
        <w:jc w:val="both"/>
        <w:rPr>
          <w:sz w:val="36"/>
          <w:szCs w:val="36"/>
          <w:rtl/>
        </w:rPr>
      </w:pPr>
      <w:r w:rsidRPr="00FD211F">
        <w:rPr>
          <w:sz w:val="36"/>
          <w:szCs w:val="36"/>
          <w:rtl/>
        </w:rPr>
        <w:t>ولكن</w:t>
      </w:r>
      <w:r w:rsidR="00E8128F">
        <w:rPr>
          <w:sz w:val="36"/>
          <w:szCs w:val="36"/>
          <w:rtl/>
        </w:rPr>
        <w:t xml:space="preserve"> </w:t>
      </w:r>
      <w:r w:rsidR="001823B3" w:rsidRPr="00FD211F">
        <w:rPr>
          <w:sz w:val="36"/>
          <w:szCs w:val="36"/>
          <w:rtl/>
        </w:rPr>
        <w:t>يلاحظ</w:t>
      </w:r>
      <w:r w:rsidR="00E8128F">
        <w:rPr>
          <w:sz w:val="36"/>
          <w:szCs w:val="36"/>
          <w:rtl/>
        </w:rPr>
        <w:t xml:space="preserve"> </w:t>
      </w:r>
      <w:r w:rsidR="001823B3" w:rsidRPr="00FD211F">
        <w:rPr>
          <w:sz w:val="36"/>
          <w:szCs w:val="36"/>
          <w:rtl/>
        </w:rPr>
        <w:t>عليه:</w:t>
      </w:r>
      <w:r w:rsidR="00E8128F">
        <w:rPr>
          <w:sz w:val="36"/>
          <w:szCs w:val="36"/>
          <w:rtl/>
        </w:rPr>
        <w:t xml:space="preserve"> </w:t>
      </w:r>
      <w:r w:rsidR="001823B3" w:rsidRPr="00FD211F">
        <w:rPr>
          <w:sz w:val="36"/>
          <w:szCs w:val="36"/>
          <w:rtl/>
        </w:rPr>
        <w:t>ان</w:t>
      </w:r>
      <w:r w:rsidR="00E8128F">
        <w:rPr>
          <w:sz w:val="36"/>
          <w:szCs w:val="36"/>
          <w:rtl/>
        </w:rPr>
        <w:t xml:space="preserve"> </w:t>
      </w:r>
      <w:r w:rsidR="001823B3" w:rsidRPr="00FD211F">
        <w:rPr>
          <w:sz w:val="36"/>
          <w:szCs w:val="36"/>
          <w:rtl/>
        </w:rPr>
        <w:t>احراز</w:t>
      </w:r>
      <w:r w:rsidR="00E8128F">
        <w:rPr>
          <w:sz w:val="36"/>
          <w:szCs w:val="36"/>
          <w:rtl/>
        </w:rPr>
        <w:t xml:space="preserve"> </w:t>
      </w:r>
      <w:r w:rsidR="001823B3" w:rsidRPr="00FD211F">
        <w:rPr>
          <w:sz w:val="36"/>
          <w:szCs w:val="36"/>
          <w:rtl/>
        </w:rPr>
        <w:t>الوجوب</w:t>
      </w:r>
      <w:r w:rsidR="00E8128F">
        <w:rPr>
          <w:sz w:val="36"/>
          <w:szCs w:val="36"/>
          <w:rtl/>
        </w:rPr>
        <w:t xml:space="preserve"> </w:t>
      </w:r>
      <w:r w:rsidR="001823B3" w:rsidRPr="00FD211F">
        <w:rPr>
          <w:sz w:val="36"/>
          <w:szCs w:val="36"/>
          <w:rtl/>
        </w:rPr>
        <w:t>الغيري</w:t>
      </w:r>
      <w:r w:rsidR="00E8128F">
        <w:rPr>
          <w:sz w:val="36"/>
          <w:szCs w:val="36"/>
          <w:rtl/>
        </w:rPr>
        <w:t xml:space="preserve"> </w:t>
      </w:r>
      <w:r w:rsidR="001823B3" w:rsidRPr="00FD211F">
        <w:rPr>
          <w:sz w:val="36"/>
          <w:szCs w:val="36"/>
          <w:rtl/>
        </w:rPr>
        <w:t>للغصب</w:t>
      </w:r>
      <w:r w:rsidR="00E8128F">
        <w:rPr>
          <w:sz w:val="36"/>
          <w:szCs w:val="36"/>
          <w:rtl/>
        </w:rPr>
        <w:t xml:space="preserve"> </w:t>
      </w:r>
      <w:r w:rsidR="001823B3" w:rsidRPr="00FD211F">
        <w:rPr>
          <w:sz w:val="36"/>
          <w:szCs w:val="36"/>
          <w:rtl/>
        </w:rPr>
        <w:t>لايكفي</w:t>
      </w:r>
      <w:r w:rsidR="00E8128F">
        <w:rPr>
          <w:sz w:val="36"/>
          <w:szCs w:val="36"/>
          <w:rtl/>
        </w:rPr>
        <w:t xml:space="preserve"> </w:t>
      </w:r>
      <w:r w:rsidR="001823B3" w:rsidRPr="00FD211F">
        <w:rPr>
          <w:sz w:val="36"/>
          <w:szCs w:val="36"/>
          <w:rtl/>
        </w:rPr>
        <w:t>في</w:t>
      </w:r>
      <w:r w:rsidR="00E8128F">
        <w:rPr>
          <w:sz w:val="36"/>
          <w:szCs w:val="36"/>
          <w:rtl/>
        </w:rPr>
        <w:t xml:space="preserve"> </w:t>
      </w:r>
      <w:r w:rsidR="001823B3" w:rsidRPr="00FD211F">
        <w:rPr>
          <w:sz w:val="36"/>
          <w:szCs w:val="36"/>
          <w:rtl/>
        </w:rPr>
        <w:t>الحكم</w:t>
      </w:r>
      <w:r w:rsidR="00E8128F">
        <w:rPr>
          <w:sz w:val="36"/>
          <w:szCs w:val="36"/>
          <w:rtl/>
        </w:rPr>
        <w:t xml:space="preserve"> </w:t>
      </w:r>
      <w:r w:rsidR="001823B3" w:rsidRPr="00FD211F">
        <w:rPr>
          <w:sz w:val="36"/>
          <w:szCs w:val="36"/>
          <w:rtl/>
        </w:rPr>
        <w:t>بجواز</w:t>
      </w:r>
      <w:r w:rsidR="00E8128F">
        <w:rPr>
          <w:sz w:val="36"/>
          <w:szCs w:val="36"/>
          <w:rtl/>
        </w:rPr>
        <w:t xml:space="preserve"> </w:t>
      </w:r>
      <w:r w:rsidR="001823B3" w:rsidRPr="00FD211F">
        <w:rPr>
          <w:sz w:val="36"/>
          <w:szCs w:val="36"/>
          <w:rtl/>
        </w:rPr>
        <w:t>ارتكابه</w:t>
      </w:r>
      <w:r w:rsidR="00E8128F">
        <w:rPr>
          <w:sz w:val="36"/>
          <w:szCs w:val="36"/>
          <w:rtl/>
        </w:rPr>
        <w:t xml:space="preserve"> </w:t>
      </w:r>
      <w:r w:rsidR="001823B3" w:rsidRPr="00FD211F">
        <w:rPr>
          <w:sz w:val="36"/>
          <w:szCs w:val="36"/>
          <w:rtl/>
        </w:rPr>
        <w:t>لمن</w:t>
      </w:r>
      <w:r w:rsidR="00E8128F">
        <w:rPr>
          <w:sz w:val="36"/>
          <w:szCs w:val="36"/>
          <w:rtl/>
        </w:rPr>
        <w:t xml:space="preserve"> </w:t>
      </w:r>
      <w:r w:rsidR="001823B3" w:rsidRPr="00FD211F">
        <w:rPr>
          <w:sz w:val="36"/>
          <w:szCs w:val="36"/>
          <w:rtl/>
        </w:rPr>
        <w:t>كان</w:t>
      </w:r>
      <w:r w:rsidR="00E8128F">
        <w:rPr>
          <w:sz w:val="36"/>
          <w:szCs w:val="36"/>
          <w:rtl/>
        </w:rPr>
        <w:t xml:space="preserve"> </w:t>
      </w:r>
      <w:r w:rsidR="001823B3" w:rsidRPr="00FD211F">
        <w:rPr>
          <w:sz w:val="36"/>
          <w:szCs w:val="36"/>
          <w:rtl/>
        </w:rPr>
        <w:t>بانيا</w:t>
      </w:r>
      <w:r w:rsidR="00E8128F">
        <w:rPr>
          <w:sz w:val="36"/>
          <w:szCs w:val="36"/>
          <w:rtl/>
        </w:rPr>
        <w:t xml:space="preserve"> </w:t>
      </w:r>
      <w:r w:rsidR="001823B3" w:rsidRPr="00FD211F">
        <w:rPr>
          <w:sz w:val="36"/>
          <w:szCs w:val="36"/>
          <w:rtl/>
        </w:rPr>
        <w:t>على</w:t>
      </w:r>
      <w:r w:rsidR="00E8128F">
        <w:rPr>
          <w:sz w:val="36"/>
          <w:szCs w:val="36"/>
          <w:rtl/>
        </w:rPr>
        <w:t xml:space="preserve"> </w:t>
      </w:r>
      <w:r w:rsidR="001823B3" w:rsidRPr="00FD211F">
        <w:rPr>
          <w:sz w:val="36"/>
          <w:szCs w:val="36"/>
          <w:rtl/>
        </w:rPr>
        <w:t>ترك</w:t>
      </w:r>
      <w:r w:rsidR="00E8128F">
        <w:rPr>
          <w:sz w:val="36"/>
          <w:szCs w:val="36"/>
          <w:rtl/>
        </w:rPr>
        <w:t xml:space="preserve"> </w:t>
      </w:r>
      <w:r w:rsidR="00B66FE4" w:rsidRPr="00FD211F">
        <w:rPr>
          <w:sz w:val="36"/>
          <w:szCs w:val="36"/>
          <w:rtl/>
        </w:rPr>
        <w:t>إنقاذ</w:t>
      </w:r>
      <w:r w:rsidR="00E8128F">
        <w:rPr>
          <w:sz w:val="36"/>
          <w:szCs w:val="36"/>
          <w:rtl/>
        </w:rPr>
        <w:t xml:space="preserve"> </w:t>
      </w:r>
      <w:r w:rsidR="00B66FE4" w:rsidRPr="00FD211F">
        <w:rPr>
          <w:sz w:val="36"/>
          <w:szCs w:val="36"/>
          <w:rtl/>
        </w:rPr>
        <w:t>الغريق</w:t>
      </w:r>
      <w:r w:rsidR="00603323" w:rsidRPr="00FD211F">
        <w:rPr>
          <w:sz w:val="36"/>
          <w:szCs w:val="36"/>
          <w:rtl/>
        </w:rPr>
        <w:t>،</w:t>
      </w:r>
      <w:r w:rsidR="00E8128F">
        <w:rPr>
          <w:sz w:val="36"/>
          <w:szCs w:val="36"/>
          <w:rtl/>
        </w:rPr>
        <w:t xml:space="preserve"> </w:t>
      </w:r>
      <w:r w:rsidR="001823B3" w:rsidRPr="00FD211F">
        <w:rPr>
          <w:sz w:val="36"/>
          <w:szCs w:val="36"/>
          <w:rtl/>
        </w:rPr>
        <w:t>اذ</w:t>
      </w:r>
      <w:r w:rsidR="00E8128F">
        <w:rPr>
          <w:sz w:val="36"/>
          <w:szCs w:val="36"/>
          <w:rtl/>
        </w:rPr>
        <w:t xml:space="preserve"> </w:t>
      </w:r>
      <w:r w:rsidR="001823B3" w:rsidRPr="00FD211F">
        <w:rPr>
          <w:sz w:val="36"/>
          <w:szCs w:val="36"/>
          <w:rtl/>
        </w:rPr>
        <w:t>قد</w:t>
      </w:r>
      <w:r w:rsidR="00E8128F">
        <w:rPr>
          <w:sz w:val="36"/>
          <w:szCs w:val="36"/>
          <w:rtl/>
        </w:rPr>
        <w:t xml:space="preserve"> </w:t>
      </w:r>
      <w:r w:rsidRPr="00FD211F">
        <w:rPr>
          <w:sz w:val="36"/>
          <w:szCs w:val="36"/>
          <w:rtl/>
        </w:rPr>
        <w:t>يقال</w:t>
      </w:r>
      <w:r w:rsidR="00E8128F">
        <w:rPr>
          <w:sz w:val="36"/>
          <w:szCs w:val="36"/>
          <w:rtl/>
        </w:rPr>
        <w:t xml:space="preserve"> </w:t>
      </w:r>
      <w:r w:rsidR="00A1557C" w:rsidRPr="00FD211F">
        <w:rPr>
          <w:sz w:val="36"/>
          <w:szCs w:val="36"/>
          <w:rtl/>
        </w:rPr>
        <w:t>بلزوم</w:t>
      </w:r>
      <w:r w:rsidR="00E8128F">
        <w:rPr>
          <w:sz w:val="36"/>
          <w:szCs w:val="36"/>
          <w:rtl/>
        </w:rPr>
        <w:t xml:space="preserve"> </w:t>
      </w:r>
      <w:r w:rsidR="00A1557C" w:rsidRPr="00FD211F">
        <w:rPr>
          <w:sz w:val="36"/>
          <w:szCs w:val="36"/>
          <w:rtl/>
        </w:rPr>
        <w:t>الاجتناب</w:t>
      </w:r>
      <w:r w:rsidR="00E8128F">
        <w:rPr>
          <w:sz w:val="36"/>
          <w:szCs w:val="36"/>
          <w:rtl/>
        </w:rPr>
        <w:t xml:space="preserve"> </w:t>
      </w:r>
      <w:r w:rsidR="00A1557C" w:rsidRPr="00FD211F">
        <w:rPr>
          <w:sz w:val="36"/>
          <w:szCs w:val="36"/>
          <w:rtl/>
        </w:rPr>
        <w:t>عنه</w:t>
      </w:r>
      <w:r w:rsidR="00E8128F">
        <w:rPr>
          <w:sz w:val="36"/>
          <w:szCs w:val="36"/>
          <w:rtl/>
        </w:rPr>
        <w:t xml:space="preserve"> </w:t>
      </w:r>
      <w:r w:rsidR="00B66FE4" w:rsidRPr="00FD211F">
        <w:rPr>
          <w:sz w:val="36"/>
          <w:szCs w:val="36"/>
          <w:rtl/>
        </w:rPr>
        <w:t>في</w:t>
      </w:r>
      <w:r w:rsidR="00E8128F">
        <w:rPr>
          <w:sz w:val="36"/>
          <w:szCs w:val="36"/>
          <w:rtl/>
        </w:rPr>
        <w:t xml:space="preserve"> </w:t>
      </w:r>
      <w:r w:rsidR="00B66FE4" w:rsidRPr="00FD211F">
        <w:rPr>
          <w:sz w:val="36"/>
          <w:szCs w:val="36"/>
          <w:rtl/>
        </w:rPr>
        <w:t>هذا</w:t>
      </w:r>
      <w:r w:rsidR="00E8128F">
        <w:rPr>
          <w:sz w:val="36"/>
          <w:szCs w:val="36"/>
          <w:rtl/>
        </w:rPr>
        <w:t xml:space="preserve"> </w:t>
      </w:r>
      <w:r w:rsidR="00B66FE4" w:rsidRPr="00FD211F">
        <w:rPr>
          <w:sz w:val="36"/>
          <w:szCs w:val="36"/>
          <w:rtl/>
        </w:rPr>
        <w:lastRenderedPageBreak/>
        <w:t>الفرض</w:t>
      </w:r>
      <w:r w:rsidR="00E8128F">
        <w:rPr>
          <w:sz w:val="36"/>
          <w:szCs w:val="36"/>
          <w:rtl/>
        </w:rPr>
        <w:t xml:space="preserve"> </w:t>
      </w:r>
      <w:r w:rsidR="004B6CC8" w:rsidRPr="00FD211F">
        <w:rPr>
          <w:sz w:val="36"/>
          <w:szCs w:val="36"/>
          <w:rtl/>
        </w:rPr>
        <w:t>بإحدى</w:t>
      </w:r>
      <w:r w:rsidR="00E8128F">
        <w:rPr>
          <w:sz w:val="36"/>
          <w:szCs w:val="36"/>
          <w:rtl/>
        </w:rPr>
        <w:t xml:space="preserve"> </w:t>
      </w:r>
      <w:r w:rsidR="004B6CC8" w:rsidRPr="00FD211F">
        <w:rPr>
          <w:sz w:val="36"/>
          <w:szCs w:val="36"/>
          <w:rtl/>
        </w:rPr>
        <w:t>نكتتين:</w:t>
      </w:r>
    </w:p>
    <w:p w14:paraId="5D6639C5" w14:textId="77777777" w:rsidR="004B6CC8" w:rsidRPr="00FD211F" w:rsidRDefault="004B6CC8" w:rsidP="009C58C8">
      <w:pPr>
        <w:ind w:left="0" w:firstLine="227"/>
        <w:jc w:val="both"/>
        <w:rPr>
          <w:sz w:val="36"/>
          <w:szCs w:val="36"/>
          <w:rtl/>
        </w:rPr>
      </w:pPr>
      <w:bookmarkStart w:id="26" w:name="تغييرات"/>
      <w:bookmarkEnd w:id="26"/>
      <w:r w:rsidRPr="00FD211F">
        <w:rPr>
          <w:sz w:val="36"/>
          <w:szCs w:val="36"/>
          <w:rtl/>
        </w:rPr>
        <w:t>1-</w:t>
      </w:r>
      <w:r w:rsidR="00E8128F">
        <w:rPr>
          <w:sz w:val="36"/>
          <w:szCs w:val="36"/>
          <w:rtl/>
        </w:rPr>
        <w:t xml:space="preserve"> </w:t>
      </w:r>
      <w:r w:rsidR="00F200A1" w:rsidRPr="00FD211F">
        <w:rPr>
          <w:sz w:val="36"/>
          <w:szCs w:val="36"/>
          <w:rtl/>
        </w:rPr>
        <w:t>ان</w:t>
      </w:r>
      <w:r w:rsidR="00E8128F">
        <w:rPr>
          <w:sz w:val="36"/>
          <w:szCs w:val="36"/>
          <w:rtl/>
        </w:rPr>
        <w:t xml:space="preserve"> </w:t>
      </w:r>
      <w:r w:rsidR="00F200A1" w:rsidRPr="00FD211F">
        <w:rPr>
          <w:sz w:val="36"/>
          <w:szCs w:val="36"/>
          <w:rtl/>
        </w:rPr>
        <w:t>الوجوب</w:t>
      </w:r>
      <w:r w:rsidR="00E8128F">
        <w:rPr>
          <w:sz w:val="36"/>
          <w:szCs w:val="36"/>
          <w:rtl/>
        </w:rPr>
        <w:t xml:space="preserve"> </w:t>
      </w:r>
      <w:r w:rsidR="00F200A1" w:rsidRPr="00FD211F">
        <w:rPr>
          <w:sz w:val="36"/>
          <w:szCs w:val="36"/>
          <w:rtl/>
        </w:rPr>
        <w:t>الغيري</w:t>
      </w:r>
      <w:r w:rsidR="00E8128F">
        <w:rPr>
          <w:sz w:val="36"/>
          <w:szCs w:val="36"/>
          <w:rtl/>
        </w:rPr>
        <w:t xml:space="preserve"> </w:t>
      </w:r>
      <w:r w:rsidR="00F200A1" w:rsidRPr="00FD211F">
        <w:rPr>
          <w:sz w:val="36"/>
          <w:szCs w:val="36"/>
          <w:rtl/>
        </w:rPr>
        <w:t>–على</w:t>
      </w:r>
      <w:r w:rsidR="00E8128F">
        <w:rPr>
          <w:sz w:val="36"/>
          <w:szCs w:val="36"/>
          <w:rtl/>
        </w:rPr>
        <w:t xml:space="preserve"> </w:t>
      </w:r>
      <w:r w:rsidR="00F200A1" w:rsidRPr="00FD211F">
        <w:rPr>
          <w:sz w:val="36"/>
          <w:szCs w:val="36"/>
          <w:rtl/>
        </w:rPr>
        <w:t>ما</w:t>
      </w:r>
      <w:r w:rsidR="00E8128F">
        <w:rPr>
          <w:sz w:val="36"/>
          <w:szCs w:val="36"/>
          <w:rtl/>
        </w:rPr>
        <w:t xml:space="preserve"> </w:t>
      </w:r>
      <w:r w:rsidR="00F200A1" w:rsidRPr="00FD211F">
        <w:rPr>
          <w:sz w:val="36"/>
          <w:szCs w:val="36"/>
          <w:rtl/>
        </w:rPr>
        <w:t>سيأتي</w:t>
      </w:r>
      <w:r w:rsidR="00E8128F">
        <w:rPr>
          <w:sz w:val="36"/>
          <w:szCs w:val="36"/>
          <w:rtl/>
        </w:rPr>
        <w:t xml:space="preserve"> </w:t>
      </w:r>
      <w:r w:rsidR="00F200A1" w:rsidRPr="00FD211F">
        <w:rPr>
          <w:sz w:val="36"/>
          <w:szCs w:val="36"/>
          <w:rtl/>
        </w:rPr>
        <w:t>بيانه</w:t>
      </w:r>
      <w:r w:rsidR="00E8128F">
        <w:rPr>
          <w:sz w:val="36"/>
          <w:szCs w:val="36"/>
          <w:rtl/>
        </w:rPr>
        <w:t xml:space="preserve"> </w:t>
      </w:r>
      <w:r w:rsidR="00F200A1" w:rsidRPr="00FD211F">
        <w:rPr>
          <w:sz w:val="36"/>
          <w:szCs w:val="36"/>
          <w:rtl/>
        </w:rPr>
        <w:t>في</w:t>
      </w:r>
      <w:r w:rsidR="00E8128F">
        <w:rPr>
          <w:sz w:val="36"/>
          <w:szCs w:val="36"/>
          <w:rtl/>
        </w:rPr>
        <w:t xml:space="preserve"> </w:t>
      </w:r>
      <w:r w:rsidR="00F200A1" w:rsidRPr="00FD211F">
        <w:rPr>
          <w:sz w:val="36"/>
          <w:szCs w:val="36"/>
          <w:rtl/>
        </w:rPr>
        <w:t>بحث</w:t>
      </w:r>
      <w:r w:rsidR="00E8128F">
        <w:rPr>
          <w:sz w:val="36"/>
          <w:szCs w:val="36"/>
          <w:rtl/>
        </w:rPr>
        <w:t xml:space="preserve"> </w:t>
      </w:r>
      <w:r w:rsidR="00F200A1" w:rsidRPr="00FD211F">
        <w:rPr>
          <w:sz w:val="36"/>
          <w:szCs w:val="36"/>
          <w:rtl/>
        </w:rPr>
        <w:t>وجوب</w:t>
      </w:r>
      <w:r w:rsidR="00E8128F">
        <w:rPr>
          <w:sz w:val="36"/>
          <w:szCs w:val="36"/>
          <w:rtl/>
        </w:rPr>
        <w:t xml:space="preserve"> </w:t>
      </w:r>
      <w:r w:rsidR="00F200A1" w:rsidRPr="00FD211F">
        <w:rPr>
          <w:sz w:val="36"/>
          <w:szCs w:val="36"/>
          <w:rtl/>
        </w:rPr>
        <w:t>مقدمة</w:t>
      </w:r>
      <w:r w:rsidR="00E8128F">
        <w:rPr>
          <w:sz w:val="36"/>
          <w:szCs w:val="36"/>
          <w:rtl/>
        </w:rPr>
        <w:t xml:space="preserve"> </w:t>
      </w:r>
      <w:r w:rsidR="00F200A1" w:rsidRPr="00FD211F">
        <w:rPr>
          <w:sz w:val="36"/>
          <w:szCs w:val="36"/>
          <w:rtl/>
        </w:rPr>
        <w:t>الواجب-</w:t>
      </w:r>
      <w:r w:rsidR="00E8128F">
        <w:rPr>
          <w:sz w:val="36"/>
          <w:szCs w:val="36"/>
          <w:rtl/>
        </w:rPr>
        <w:t xml:space="preserve"> </w:t>
      </w:r>
      <w:r w:rsidR="00F200A1" w:rsidRPr="00FD211F">
        <w:rPr>
          <w:sz w:val="36"/>
          <w:szCs w:val="36"/>
          <w:rtl/>
        </w:rPr>
        <w:t>حيث</w:t>
      </w:r>
      <w:r w:rsidR="00E8128F">
        <w:rPr>
          <w:sz w:val="36"/>
          <w:szCs w:val="36"/>
          <w:rtl/>
        </w:rPr>
        <w:t xml:space="preserve"> </w:t>
      </w:r>
      <w:r w:rsidR="00F200A1" w:rsidRPr="00FD211F">
        <w:rPr>
          <w:sz w:val="36"/>
          <w:szCs w:val="36"/>
          <w:rtl/>
        </w:rPr>
        <w:t>لايكون</w:t>
      </w:r>
      <w:r w:rsidR="00E8128F">
        <w:rPr>
          <w:sz w:val="36"/>
          <w:szCs w:val="36"/>
          <w:rtl/>
        </w:rPr>
        <w:t xml:space="preserve"> </w:t>
      </w:r>
      <w:r w:rsidR="00F200A1" w:rsidRPr="00FD211F">
        <w:rPr>
          <w:sz w:val="36"/>
          <w:szCs w:val="36"/>
          <w:rtl/>
        </w:rPr>
        <w:t>بداعي</w:t>
      </w:r>
      <w:r w:rsidR="00E8128F">
        <w:rPr>
          <w:sz w:val="36"/>
          <w:szCs w:val="36"/>
          <w:rtl/>
        </w:rPr>
        <w:t xml:space="preserve"> </w:t>
      </w:r>
      <w:r w:rsidR="00F200A1" w:rsidRPr="00FD211F">
        <w:rPr>
          <w:sz w:val="36"/>
          <w:szCs w:val="36"/>
          <w:rtl/>
        </w:rPr>
        <w:t>المحركية</w:t>
      </w:r>
      <w:r w:rsidR="00E8128F">
        <w:rPr>
          <w:sz w:val="36"/>
          <w:szCs w:val="36"/>
          <w:rtl/>
        </w:rPr>
        <w:t xml:space="preserve"> </w:t>
      </w:r>
      <w:r w:rsidR="00F200A1" w:rsidRPr="00FD211F">
        <w:rPr>
          <w:sz w:val="36"/>
          <w:szCs w:val="36"/>
          <w:rtl/>
        </w:rPr>
        <w:t>نحو</w:t>
      </w:r>
      <w:r w:rsidR="00E8128F">
        <w:rPr>
          <w:sz w:val="36"/>
          <w:szCs w:val="36"/>
          <w:rtl/>
        </w:rPr>
        <w:t xml:space="preserve"> </w:t>
      </w:r>
      <w:r w:rsidR="00F200A1" w:rsidRPr="00FD211F">
        <w:rPr>
          <w:sz w:val="36"/>
          <w:szCs w:val="36"/>
          <w:rtl/>
        </w:rPr>
        <w:t>متعلقه</w:t>
      </w:r>
      <w:r w:rsidR="00603323" w:rsidRPr="00FD211F">
        <w:rPr>
          <w:sz w:val="36"/>
          <w:szCs w:val="36"/>
          <w:rtl/>
        </w:rPr>
        <w:t>،</w:t>
      </w:r>
      <w:r w:rsidR="00E8128F">
        <w:rPr>
          <w:sz w:val="36"/>
          <w:szCs w:val="36"/>
          <w:rtl/>
        </w:rPr>
        <w:t xml:space="preserve"> </w:t>
      </w:r>
      <w:r w:rsidR="00F200A1" w:rsidRPr="00FD211F">
        <w:rPr>
          <w:sz w:val="36"/>
          <w:szCs w:val="36"/>
          <w:rtl/>
        </w:rPr>
        <w:t>وانما</w:t>
      </w:r>
      <w:r w:rsidR="00E8128F">
        <w:rPr>
          <w:sz w:val="36"/>
          <w:szCs w:val="36"/>
          <w:rtl/>
        </w:rPr>
        <w:t xml:space="preserve"> </w:t>
      </w:r>
      <w:r w:rsidR="00F200A1" w:rsidRPr="00FD211F">
        <w:rPr>
          <w:sz w:val="36"/>
          <w:szCs w:val="36"/>
          <w:rtl/>
        </w:rPr>
        <w:t>يعني</w:t>
      </w:r>
      <w:r w:rsidR="00E8128F">
        <w:rPr>
          <w:sz w:val="36"/>
          <w:szCs w:val="36"/>
          <w:rtl/>
        </w:rPr>
        <w:t xml:space="preserve"> </w:t>
      </w:r>
      <w:r w:rsidR="00F200A1" w:rsidRPr="00FD211F">
        <w:rPr>
          <w:sz w:val="36"/>
          <w:szCs w:val="36"/>
          <w:rtl/>
        </w:rPr>
        <w:t>تعلق</w:t>
      </w:r>
      <w:r w:rsidR="00E8128F">
        <w:rPr>
          <w:sz w:val="36"/>
          <w:szCs w:val="36"/>
          <w:rtl/>
        </w:rPr>
        <w:t xml:space="preserve"> </w:t>
      </w:r>
      <w:r w:rsidR="00F200A1" w:rsidRPr="00FD211F">
        <w:rPr>
          <w:sz w:val="36"/>
          <w:szCs w:val="36"/>
          <w:rtl/>
        </w:rPr>
        <w:t>الشوق</w:t>
      </w:r>
      <w:r w:rsidR="00E8128F">
        <w:rPr>
          <w:sz w:val="36"/>
          <w:szCs w:val="36"/>
          <w:rtl/>
        </w:rPr>
        <w:t xml:space="preserve"> </w:t>
      </w:r>
      <w:r w:rsidR="00F200A1" w:rsidRPr="00FD211F">
        <w:rPr>
          <w:sz w:val="36"/>
          <w:szCs w:val="36"/>
          <w:rtl/>
        </w:rPr>
        <w:t>التبعي</w:t>
      </w:r>
      <w:r w:rsidR="00E8128F">
        <w:rPr>
          <w:sz w:val="36"/>
          <w:szCs w:val="36"/>
          <w:rtl/>
        </w:rPr>
        <w:t xml:space="preserve"> </w:t>
      </w:r>
      <w:r w:rsidR="00F200A1" w:rsidRPr="00FD211F">
        <w:rPr>
          <w:sz w:val="36"/>
          <w:szCs w:val="36"/>
          <w:rtl/>
        </w:rPr>
        <w:t>نحوه</w:t>
      </w:r>
      <w:r w:rsidR="00603323" w:rsidRPr="00FD211F">
        <w:rPr>
          <w:sz w:val="36"/>
          <w:szCs w:val="36"/>
          <w:rtl/>
        </w:rPr>
        <w:t>،</w:t>
      </w:r>
      <w:r w:rsidR="00E8128F">
        <w:rPr>
          <w:sz w:val="36"/>
          <w:szCs w:val="36"/>
          <w:rtl/>
        </w:rPr>
        <w:t xml:space="preserve"> </w:t>
      </w:r>
      <w:r w:rsidR="00F200A1" w:rsidRPr="00FD211F">
        <w:rPr>
          <w:sz w:val="36"/>
          <w:szCs w:val="36"/>
          <w:rtl/>
        </w:rPr>
        <w:t>فلامانع</w:t>
      </w:r>
      <w:r w:rsidR="00E8128F">
        <w:rPr>
          <w:sz w:val="36"/>
          <w:szCs w:val="36"/>
          <w:rtl/>
        </w:rPr>
        <w:t xml:space="preserve"> </w:t>
      </w:r>
      <w:r w:rsidR="00F200A1" w:rsidRPr="00FD211F">
        <w:rPr>
          <w:sz w:val="36"/>
          <w:szCs w:val="36"/>
          <w:rtl/>
        </w:rPr>
        <w:t>من</w:t>
      </w:r>
      <w:r w:rsidR="00E8128F">
        <w:rPr>
          <w:sz w:val="36"/>
          <w:szCs w:val="36"/>
          <w:rtl/>
        </w:rPr>
        <w:t xml:space="preserve"> </w:t>
      </w:r>
      <w:r w:rsidR="00F200A1" w:rsidRPr="00FD211F">
        <w:rPr>
          <w:sz w:val="36"/>
          <w:szCs w:val="36"/>
          <w:rtl/>
        </w:rPr>
        <w:t>اجتماعه</w:t>
      </w:r>
      <w:r w:rsidR="00E8128F">
        <w:rPr>
          <w:sz w:val="36"/>
          <w:szCs w:val="36"/>
          <w:rtl/>
        </w:rPr>
        <w:t xml:space="preserve"> </w:t>
      </w:r>
      <w:r w:rsidR="00F200A1" w:rsidRPr="00FD211F">
        <w:rPr>
          <w:sz w:val="36"/>
          <w:szCs w:val="36"/>
          <w:rtl/>
        </w:rPr>
        <w:t>مع</w:t>
      </w:r>
      <w:r w:rsidR="00E8128F">
        <w:rPr>
          <w:sz w:val="36"/>
          <w:szCs w:val="36"/>
          <w:rtl/>
        </w:rPr>
        <w:t xml:space="preserve"> </w:t>
      </w:r>
      <w:r w:rsidR="00F200A1" w:rsidRPr="00FD211F">
        <w:rPr>
          <w:sz w:val="36"/>
          <w:szCs w:val="36"/>
          <w:rtl/>
        </w:rPr>
        <w:t>الحرمة</w:t>
      </w:r>
      <w:r w:rsidR="00E8128F">
        <w:rPr>
          <w:sz w:val="36"/>
          <w:szCs w:val="36"/>
          <w:rtl/>
        </w:rPr>
        <w:t xml:space="preserve"> </w:t>
      </w:r>
      <w:r w:rsidR="00F200A1" w:rsidRPr="00FD211F">
        <w:rPr>
          <w:sz w:val="36"/>
          <w:szCs w:val="36"/>
          <w:rtl/>
        </w:rPr>
        <w:t>النفسية</w:t>
      </w:r>
      <w:r w:rsidR="00603323" w:rsidRPr="00FD211F">
        <w:rPr>
          <w:sz w:val="36"/>
          <w:szCs w:val="36"/>
          <w:rtl/>
        </w:rPr>
        <w:t>،</w:t>
      </w:r>
      <w:r w:rsidR="00E8128F">
        <w:rPr>
          <w:sz w:val="36"/>
          <w:szCs w:val="36"/>
          <w:rtl/>
        </w:rPr>
        <w:t xml:space="preserve"> </w:t>
      </w:r>
      <w:r w:rsidR="00A1557C" w:rsidRPr="00FD211F">
        <w:rPr>
          <w:sz w:val="36"/>
          <w:szCs w:val="36"/>
          <w:rtl/>
        </w:rPr>
        <w:t>فيقول</w:t>
      </w:r>
      <w:r w:rsidR="00E8128F">
        <w:rPr>
          <w:sz w:val="36"/>
          <w:szCs w:val="36"/>
          <w:rtl/>
        </w:rPr>
        <w:t xml:space="preserve"> </w:t>
      </w:r>
      <w:r w:rsidR="00A1557C" w:rsidRPr="00FD211F">
        <w:rPr>
          <w:sz w:val="36"/>
          <w:szCs w:val="36"/>
          <w:rtl/>
        </w:rPr>
        <w:t>المولى</w:t>
      </w:r>
      <w:r w:rsidR="00E8128F">
        <w:rPr>
          <w:sz w:val="36"/>
          <w:szCs w:val="36"/>
          <w:rtl/>
        </w:rPr>
        <w:t xml:space="preserve"> </w:t>
      </w:r>
      <w:r w:rsidR="00A1557C" w:rsidRPr="00FD211F">
        <w:rPr>
          <w:sz w:val="36"/>
          <w:szCs w:val="36"/>
          <w:rtl/>
        </w:rPr>
        <w:t>اني</w:t>
      </w:r>
      <w:r w:rsidR="00E8128F">
        <w:rPr>
          <w:sz w:val="36"/>
          <w:szCs w:val="36"/>
          <w:rtl/>
        </w:rPr>
        <w:t xml:space="preserve"> </w:t>
      </w:r>
      <w:r w:rsidR="00A1557C" w:rsidRPr="00FD211F">
        <w:rPr>
          <w:sz w:val="36"/>
          <w:szCs w:val="36"/>
          <w:rtl/>
        </w:rPr>
        <w:t>احب</w:t>
      </w:r>
      <w:r w:rsidR="00E8128F">
        <w:rPr>
          <w:sz w:val="36"/>
          <w:szCs w:val="36"/>
          <w:rtl/>
        </w:rPr>
        <w:t xml:space="preserve"> </w:t>
      </w:r>
      <w:r w:rsidR="00A1557C" w:rsidRPr="00FD211F">
        <w:rPr>
          <w:sz w:val="36"/>
          <w:szCs w:val="36"/>
          <w:rtl/>
        </w:rPr>
        <w:t>هذا</w:t>
      </w:r>
      <w:r w:rsidR="00E8128F">
        <w:rPr>
          <w:sz w:val="36"/>
          <w:szCs w:val="36"/>
          <w:rtl/>
        </w:rPr>
        <w:t xml:space="preserve"> </w:t>
      </w:r>
      <w:r w:rsidR="00A1557C" w:rsidRPr="00FD211F">
        <w:rPr>
          <w:sz w:val="36"/>
          <w:szCs w:val="36"/>
          <w:rtl/>
        </w:rPr>
        <w:t>الغصب</w:t>
      </w:r>
      <w:r w:rsidR="00E8128F">
        <w:rPr>
          <w:sz w:val="36"/>
          <w:szCs w:val="36"/>
          <w:rtl/>
        </w:rPr>
        <w:t xml:space="preserve"> </w:t>
      </w:r>
      <w:r w:rsidR="00A1557C" w:rsidRPr="00FD211F">
        <w:rPr>
          <w:sz w:val="36"/>
          <w:szCs w:val="36"/>
          <w:rtl/>
        </w:rPr>
        <w:t>من</w:t>
      </w:r>
      <w:r w:rsidR="00E8128F">
        <w:rPr>
          <w:sz w:val="36"/>
          <w:szCs w:val="36"/>
          <w:rtl/>
        </w:rPr>
        <w:t xml:space="preserve"> </w:t>
      </w:r>
      <w:r w:rsidR="00A1557C" w:rsidRPr="00FD211F">
        <w:rPr>
          <w:sz w:val="36"/>
          <w:szCs w:val="36"/>
          <w:rtl/>
        </w:rPr>
        <w:t>جه</w:t>
      </w:r>
      <w:r w:rsidR="00EC7EDF" w:rsidRPr="00FD211F">
        <w:rPr>
          <w:sz w:val="36"/>
          <w:szCs w:val="36"/>
          <w:rtl/>
        </w:rPr>
        <w:t>ة</w:t>
      </w:r>
      <w:r w:rsidR="00E8128F">
        <w:rPr>
          <w:sz w:val="36"/>
          <w:szCs w:val="36"/>
          <w:rtl/>
        </w:rPr>
        <w:t xml:space="preserve"> </w:t>
      </w:r>
      <w:r w:rsidR="00A1557C" w:rsidRPr="00FD211F">
        <w:rPr>
          <w:sz w:val="36"/>
          <w:szCs w:val="36"/>
          <w:rtl/>
        </w:rPr>
        <w:t>كونه</w:t>
      </w:r>
      <w:r w:rsidR="00E8128F">
        <w:rPr>
          <w:sz w:val="36"/>
          <w:szCs w:val="36"/>
          <w:rtl/>
        </w:rPr>
        <w:t xml:space="preserve"> </w:t>
      </w:r>
      <w:r w:rsidR="00A1557C" w:rsidRPr="00FD211F">
        <w:rPr>
          <w:sz w:val="36"/>
          <w:szCs w:val="36"/>
          <w:rtl/>
        </w:rPr>
        <w:t>مقدم</w:t>
      </w:r>
      <w:r w:rsidR="00EC7EDF" w:rsidRPr="00FD211F">
        <w:rPr>
          <w:sz w:val="36"/>
          <w:szCs w:val="36"/>
          <w:rtl/>
        </w:rPr>
        <w:t>ة</w:t>
      </w:r>
      <w:r w:rsidR="00E8128F">
        <w:rPr>
          <w:sz w:val="36"/>
          <w:szCs w:val="36"/>
          <w:rtl/>
        </w:rPr>
        <w:t xml:space="preserve"> </w:t>
      </w:r>
      <w:r w:rsidR="00DC6EA4" w:rsidRPr="00FD211F">
        <w:rPr>
          <w:sz w:val="36"/>
          <w:szCs w:val="36"/>
          <w:rtl/>
        </w:rPr>
        <w:t>لإنقاذ</w:t>
      </w:r>
      <w:r w:rsidR="00E8128F">
        <w:rPr>
          <w:sz w:val="36"/>
          <w:szCs w:val="36"/>
          <w:rtl/>
        </w:rPr>
        <w:t xml:space="preserve"> </w:t>
      </w:r>
      <w:r w:rsidR="00DC6EA4" w:rsidRPr="00FD211F">
        <w:rPr>
          <w:sz w:val="36"/>
          <w:szCs w:val="36"/>
          <w:rtl/>
        </w:rPr>
        <w:t>الغريق</w:t>
      </w:r>
      <w:r w:rsidR="00603323" w:rsidRPr="00FD211F">
        <w:rPr>
          <w:sz w:val="36"/>
          <w:szCs w:val="36"/>
          <w:rtl/>
        </w:rPr>
        <w:t>،</w:t>
      </w:r>
      <w:r w:rsidR="00E8128F">
        <w:rPr>
          <w:sz w:val="36"/>
          <w:szCs w:val="36"/>
          <w:rtl/>
        </w:rPr>
        <w:t xml:space="preserve"> </w:t>
      </w:r>
      <w:r w:rsidR="00A1557C" w:rsidRPr="00FD211F">
        <w:rPr>
          <w:sz w:val="36"/>
          <w:szCs w:val="36"/>
          <w:rtl/>
        </w:rPr>
        <w:t>لكن</w:t>
      </w:r>
      <w:r w:rsidR="00E8128F">
        <w:rPr>
          <w:sz w:val="36"/>
          <w:szCs w:val="36"/>
          <w:rtl/>
        </w:rPr>
        <w:t xml:space="preserve"> </w:t>
      </w:r>
      <w:r w:rsidR="00A1557C" w:rsidRPr="00FD211F">
        <w:rPr>
          <w:sz w:val="36"/>
          <w:szCs w:val="36"/>
          <w:rtl/>
        </w:rPr>
        <w:t>أبغضه</w:t>
      </w:r>
      <w:r w:rsidR="00E8128F">
        <w:rPr>
          <w:sz w:val="36"/>
          <w:szCs w:val="36"/>
          <w:rtl/>
        </w:rPr>
        <w:t xml:space="preserve"> </w:t>
      </w:r>
      <w:r w:rsidR="00A1557C" w:rsidRPr="00FD211F">
        <w:rPr>
          <w:sz w:val="36"/>
          <w:szCs w:val="36"/>
          <w:rtl/>
        </w:rPr>
        <w:t>من</w:t>
      </w:r>
      <w:r w:rsidR="00E8128F">
        <w:rPr>
          <w:sz w:val="36"/>
          <w:szCs w:val="36"/>
          <w:rtl/>
        </w:rPr>
        <w:t xml:space="preserve"> </w:t>
      </w:r>
      <w:r w:rsidR="00A1557C" w:rsidRPr="00FD211F">
        <w:rPr>
          <w:sz w:val="36"/>
          <w:szCs w:val="36"/>
          <w:rtl/>
        </w:rPr>
        <w:t>جه</w:t>
      </w:r>
      <w:r w:rsidR="00EC7EDF" w:rsidRPr="00FD211F">
        <w:rPr>
          <w:sz w:val="36"/>
          <w:szCs w:val="36"/>
          <w:rtl/>
        </w:rPr>
        <w:t>ة</w:t>
      </w:r>
      <w:r w:rsidR="00E8128F">
        <w:rPr>
          <w:sz w:val="36"/>
          <w:szCs w:val="36"/>
          <w:rtl/>
        </w:rPr>
        <w:t xml:space="preserve"> </w:t>
      </w:r>
      <w:r w:rsidR="00A1557C" w:rsidRPr="00FD211F">
        <w:rPr>
          <w:sz w:val="36"/>
          <w:szCs w:val="36"/>
          <w:rtl/>
        </w:rPr>
        <w:t>نفسه</w:t>
      </w:r>
      <w:r w:rsidR="00603323" w:rsidRPr="00FD211F">
        <w:rPr>
          <w:sz w:val="36"/>
          <w:szCs w:val="36"/>
          <w:rtl/>
        </w:rPr>
        <w:t>،</w:t>
      </w:r>
      <w:r w:rsidR="00E8128F">
        <w:rPr>
          <w:sz w:val="36"/>
          <w:szCs w:val="36"/>
          <w:rtl/>
        </w:rPr>
        <w:t xml:space="preserve"> </w:t>
      </w:r>
      <w:r w:rsidR="00DC6EA4" w:rsidRPr="00FD211F">
        <w:rPr>
          <w:sz w:val="36"/>
          <w:szCs w:val="36"/>
          <w:rtl/>
        </w:rPr>
        <w:t>فان</w:t>
      </w:r>
      <w:r w:rsidR="00E8128F">
        <w:rPr>
          <w:sz w:val="36"/>
          <w:szCs w:val="36"/>
          <w:rtl/>
        </w:rPr>
        <w:t xml:space="preserve"> </w:t>
      </w:r>
      <w:r w:rsidR="008D7B3D" w:rsidRPr="00FD211F">
        <w:rPr>
          <w:sz w:val="36"/>
          <w:szCs w:val="36"/>
          <w:rtl/>
        </w:rPr>
        <w:t>لم‌</w:t>
      </w:r>
      <w:r w:rsidR="00DC6EA4" w:rsidRPr="00FD211F">
        <w:rPr>
          <w:sz w:val="36"/>
          <w:szCs w:val="36"/>
          <w:rtl/>
        </w:rPr>
        <w:t>تكن</w:t>
      </w:r>
      <w:r w:rsidR="00E8128F">
        <w:rPr>
          <w:sz w:val="36"/>
          <w:szCs w:val="36"/>
          <w:rtl/>
        </w:rPr>
        <w:t xml:space="preserve"> </w:t>
      </w:r>
      <w:r w:rsidR="00DC6EA4" w:rsidRPr="00FD211F">
        <w:rPr>
          <w:sz w:val="36"/>
          <w:szCs w:val="36"/>
          <w:rtl/>
        </w:rPr>
        <w:t>تنقذ</w:t>
      </w:r>
      <w:r w:rsidR="00E8128F">
        <w:rPr>
          <w:sz w:val="36"/>
          <w:szCs w:val="36"/>
          <w:rtl/>
        </w:rPr>
        <w:t xml:space="preserve"> </w:t>
      </w:r>
      <w:r w:rsidR="00DC6EA4" w:rsidRPr="00FD211F">
        <w:rPr>
          <w:sz w:val="36"/>
          <w:szCs w:val="36"/>
          <w:rtl/>
        </w:rPr>
        <w:t>الغريق</w:t>
      </w:r>
      <w:r w:rsidR="00E8128F">
        <w:rPr>
          <w:sz w:val="36"/>
          <w:szCs w:val="36"/>
          <w:rtl/>
        </w:rPr>
        <w:t xml:space="preserve"> </w:t>
      </w:r>
      <w:r w:rsidR="00DC6EA4" w:rsidRPr="00FD211F">
        <w:rPr>
          <w:sz w:val="36"/>
          <w:szCs w:val="36"/>
          <w:rtl/>
        </w:rPr>
        <w:t>فلاتغصب</w:t>
      </w:r>
      <w:r w:rsidR="00E8128F">
        <w:rPr>
          <w:sz w:val="36"/>
          <w:szCs w:val="36"/>
          <w:rtl/>
        </w:rPr>
        <w:t xml:space="preserve"> </w:t>
      </w:r>
      <w:r w:rsidR="005C5EB7" w:rsidRPr="00FD211F">
        <w:rPr>
          <w:sz w:val="36"/>
          <w:szCs w:val="36"/>
          <w:rtl/>
        </w:rPr>
        <w:t>و</w:t>
      </w:r>
      <w:r w:rsidR="00B66FE4" w:rsidRPr="00FD211F">
        <w:rPr>
          <w:sz w:val="36"/>
          <w:szCs w:val="36"/>
          <w:rtl/>
        </w:rPr>
        <w:t>هذا</w:t>
      </w:r>
      <w:r w:rsidR="00E8128F">
        <w:rPr>
          <w:sz w:val="36"/>
          <w:szCs w:val="36"/>
          <w:rtl/>
        </w:rPr>
        <w:t xml:space="preserve"> </w:t>
      </w:r>
      <w:r w:rsidR="00B66FE4" w:rsidRPr="00FD211F">
        <w:rPr>
          <w:sz w:val="36"/>
          <w:szCs w:val="36"/>
          <w:rtl/>
        </w:rPr>
        <w:t>لاينافي</w:t>
      </w:r>
      <w:r w:rsidR="00E8128F">
        <w:rPr>
          <w:sz w:val="36"/>
          <w:szCs w:val="36"/>
          <w:rtl/>
        </w:rPr>
        <w:t xml:space="preserve"> </w:t>
      </w:r>
      <w:r w:rsidR="00B66FE4" w:rsidRPr="00FD211F">
        <w:rPr>
          <w:sz w:val="36"/>
          <w:szCs w:val="36"/>
          <w:rtl/>
        </w:rPr>
        <w:t>كون</w:t>
      </w:r>
      <w:r w:rsidR="00E8128F">
        <w:rPr>
          <w:sz w:val="36"/>
          <w:szCs w:val="36"/>
          <w:rtl/>
        </w:rPr>
        <w:t xml:space="preserve"> </w:t>
      </w:r>
      <w:r w:rsidR="005C5EB7" w:rsidRPr="00FD211F">
        <w:rPr>
          <w:sz w:val="36"/>
          <w:szCs w:val="36"/>
          <w:rtl/>
        </w:rPr>
        <w:t>الغصب</w:t>
      </w:r>
      <w:r w:rsidR="00E8128F">
        <w:rPr>
          <w:sz w:val="36"/>
          <w:szCs w:val="36"/>
          <w:rtl/>
        </w:rPr>
        <w:t xml:space="preserve"> </w:t>
      </w:r>
      <w:r w:rsidR="005C5EB7" w:rsidRPr="00FD211F">
        <w:rPr>
          <w:sz w:val="36"/>
          <w:szCs w:val="36"/>
          <w:rtl/>
        </w:rPr>
        <w:t>محبوبا</w:t>
      </w:r>
      <w:r w:rsidR="00E8128F">
        <w:rPr>
          <w:sz w:val="36"/>
          <w:szCs w:val="36"/>
          <w:rtl/>
        </w:rPr>
        <w:t xml:space="preserve"> </w:t>
      </w:r>
      <w:r w:rsidR="005C5EB7" w:rsidRPr="00FD211F">
        <w:rPr>
          <w:sz w:val="36"/>
          <w:szCs w:val="36"/>
          <w:rtl/>
        </w:rPr>
        <w:t>غيريا</w:t>
      </w:r>
      <w:r w:rsidR="00E8128F">
        <w:rPr>
          <w:sz w:val="36"/>
          <w:szCs w:val="36"/>
          <w:rtl/>
        </w:rPr>
        <w:t xml:space="preserve"> </w:t>
      </w:r>
      <w:r w:rsidR="00F200A1" w:rsidRPr="00FD211F">
        <w:rPr>
          <w:sz w:val="36"/>
          <w:szCs w:val="36"/>
          <w:rtl/>
        </w:rPr>
        <w:t>لاجل</w:t>
      </w:r>
      <w:r w:rsidR="00E8128F">
        <w:rPr>
          <w:sz w:val="36"/>
          <w:szCs w:val="36"/>
          <w:rtl/>
        </w:rPr>
        <w:t xml:space="preserve"> </w:t>
      </w:r>
      <w:r w:rsidR="00F200A1" w:rsidRPr="00FD211F">
        <w:rPr>
          <w:sz w:val="36"/>
          <w:szCs w:val="36"/>
          <w:rtl/>
        </w:rPr>
        <w:t>توقف</w:t>
      </w:r>
      <w:r w:rsidR="00E8128F">
        <w:rPr>
          <w:sz w:val="36"/>
          <w:szCs w:val="36"/>
          <w:rtl/>
        </w:rPr>
        <w:t xml:space="preserve"> </w:t>
      </w:r>
      <w:r w:rsidR="00F200A1" w:rsidRPr="00FD211F">
        <w:rPr>
          <w:sz w:val="36"/>
          <w:szCs w:val="36"/>
          <w:rtl/>
        </w:rPr>
        <w:t>الانقاذ</w:t>
      </w:r>
      <w:r w:rsidR="00E8128F">
        <w:rPr>
          <w:sz w:val="36"/>
          <w:szCs w:val="36"/>
          <w:rtl/>
        </w:rPr>
        <w:t xml:space="preserve"> </w:t>
      </w:r>
      <w:r w:rsidR="00F200A1" w:rsidRPr="00FD211F">
        <w:rPr>
          <w:sz w:val="36"/>
          <w:szCs w:val="36"/>
          <w:rtl/>
        </w:rPr>
        <w:t>عليه</w:t>
      </w:r>
      <w:r w:rsidR="00603323" w:rsidRPr="00FD211F">
        <w:rPr>
          <w:sz w:val="36"/>
          <w:szCs w:val="36"/>
          <w:rtl/>
        </w:rPr>
        <w:t>،</w:t>
      </w:r>
      <w:r w:rsidR="00E8128F">
        <w:rPr>
          <w:sz w:val="36"/>
          <w:szCs w:val="36"/>
          <w:rtl/>
        </w:rPr>
        <w:t xml:space="preserve"> </w:t>
      </w:r>
      <w:r w:rsidR="005C5EB7" w:rsidRPr="00FD211F">
        <w:rPr>
          <w:sz w:val="36"/>
          <w:szCs w:val="36"/>
          <w:rtl/>
        </w:rPr>
        <w:t>ولافرق</w:t>
      </w:r>
      <w:r w:rsidR="00E8128F">
        <w:rPr>
          <w:sz w:val="36"/>
          <w:szCs w:val="36"/>
          <w:rtl/>
        </w:rPr>
        <w:t xml:space="preserve"> </w:t>
      </w:r>
      <w:r w:rsidR="005C5EB7" w:rsidRPr="00FD211F">
        <w:rPr>
          <w:sz w:val="36"/>
          <w:szCs w:val="36"/>
          <w:rtl/>
        </w:rPr>
        <w:t>فيما</w:t>
      </w:r>
      <w:r w:rsidR="00E8128F">
        <w:rPr>
          <w:sz w:val="36"/>
          <w:szCs w:val="36"/>
          <w:rtl/>
        </w:rPr>
        <w:t xml:space="preserve"> </w:t>
      </w:r>
      <w:r w:rsidR="005C5EB7" w:rsidRPr="00FD211F">
        <w:rPr>
          <w:sz w:val="36"/>
          <w:szCs w:val="36"/>
          <w:rtl/>
        </w:rPr>
        <w:t>ذكر</w:t>
      </w:r>
      <w:r w:rsidR="00E8128F">
        <w:rPr>
          <w:sz w:val="36"/>
          <w:szCs w:val="36"/>
          <w:rtl/>
        </w:rPr>
        <w:t xml:space="preserve"> </w:t>
      </w:r>
      <w:r w:rsidR="005C5EB7" w:rsidRPr="00FD211F">
        <w:rPr>
          <w:sz w:val="36"/>
          <w:szCs w:val="36"/>
          <w:rtl/>
        </w:rPr>
        <w:t>بين</w:t>
      </w:r>
      <w:r w:rsidR="00E8128F">
        <w:rPr>
          <w:sz w:val="36"/>
          <w:szCs w:val="36"/>
          <w:rtl/>
        </w:rPr>
        <w:t xml:space="preserve"> </w:t>
      </w:r>
      <w:r w:rsidR="005C5EB7" w:rsidRPr="00FD211F">
        <w:rPr>
          <w:sz w:val="36"/>
          <w:szCs w:val="36"/>
          <w:rtl/>
        </w:rPr>
        <w:t>ان</w:t>
      </w:r>
      <w:r w:rsidR="00E8128F">
        <w:rPr>
          <w:sz w:val="36"/>
          <w:szCs w:val="36"/>
          <w:rtl/>
        </w:rPr>
        <w:t xml:space="preserve"> </w:t>
      </w:r>
      <w:r w:rsidR="005C5EB7" w:rsidRPr="00FD211F">
        <w:rPr>
          <w:sz w:val="36"/>
          <w:szCs w:val="36"/>
          <w:rtl/>
        </w:rPr>
        <w:t>يكون</w:t>
      </w:r>
      <w:r w:rsidR="00E8128F">
        <w:rPr>
          <w:sz w:val="36"/>
          <w:szCs w:val="36"/>
          <w:rtl/>
        </w:rPr>
        <w:t xml:space="preserve"> </w:t>
      </w:r>
      <w:r w:rsidR="005C5EB7" w:rsidRPr="00FD211F">
        <w:rPr>
          <w:sz w:val="36"/>
          <w:szCs w:val="36"/>
          <w:rtl/>
        </w:rPr>
        <w:t>عنوان</w:t>
      </w:r>
      <w:r w:rsidR="00E8128F">
        <w:rPr>
          <w:sz w:val="36"/>
          <w:szCs w:val="36"/>
          <w:rtl/>
        </w:rPr>
        <w:t xml:space="preserve"> </w:t>
      </w:r>
      <w:r w:rsidR="005C5EB7" w:rsidRPr="00FD211F">
        <w:rPr>
          <w:sz w:val="36"/>
          <w:szCs w:val="36"/>
          <w:rtl/>
        </w:rPr>
        <w:t>المقدم</w:t>
      </w:r>
      <w:r w:rsidR="00EC7EDF" w:rsidRPr="00FD211F">
        <w:rPr>
          <w:sz w:val="36"/>
          <w:szCs w:val="36"/>
          <w:rtl/>
        </w:rPr>
        <w:t>ة</w:t>
      </w:r>
      <w:r w:rsidR="00E8128F">
        <w:rPr>
          <w:sz w:val="36"/>
          <w:szCs w:val="36"/>
          <w:rtl/>
        </w:rPr>
        <w:t xml:space="preserve"> </w:t>
      </w:r>
      <w:r w:rsidR="005C5EB7" w:rsidRPr="00FD211F">
        <w:rPr>
          <w:sz w:val="36"/>
          <w:szCs w:val="36"/>
          <w:rtl/>
        </w:rPr>
        <w:t>حيثي</w:t>
      </w:r>
      <w:r w:rsidR="00EC7EDF" w:rsidRPr="00FD211F">
        <w:rPr>
          <w:sz w:val="36"/>
          <w:szCs w:val="36"/>
          <w:rtl/>
        </w:rPr>
        <w:t>ة</w:t>
      </w:r>
      <w:r w:rsidR="00E8128F">
        <w:rPr>
          <w:sz w:val="36"/>
          <w:szCs w:val="36"/>
          <w:rtl/>
        </w:rPr>
        <w:t xml:space="preserve"> </w:t>
      </w:r>
      <w:r w:rsidR="005C5EB7" w:rsidRPr="00FD211F">
        <w:rPr>
          <w:sz w:val="36"/>
          <w:szCs w:val="36"/>
          <w:rtl/>
        </w:rPr>
        <w:t>تعليلي</w:t>
      </w:r>
      <w:r w:rsidR="00EC7EDF" w:rsidRPr="00FD211F">
        <w:rPr>
          <w:sz w:val="36"/>
          <w:szCs w:val="36"/>
          <w:rtl/>
        </w:rPr>
        <w:t>ة</w:t>
      </w:r>
      <w:r w:rsidR="00E8128F">
        <w:rPr>
          <w:sz w:val="36"/>
          <w:szCs w:val="36"/>
          <w:rtl/>
        </w:rPr>
        <w:t xml:space="preserve"> </w:t>
      </w:r>
      <w:r w:rsidR="005C5EB7" w:rsidRPr="00FD211F">
        <w:rPr>
          <w:sz w:val="36"/>
          <w:szCs w:val="36"/>
          <w:rtl/>
        </w:rPr>
        <w:t>لطرو</w:t>
      </w:r>
      <w:r w:rsidR="00E8128F">
        <w:rPr>
          <w:sz w:val="36"/>
          <w:szCs w:val="36"/>
          <w:rtl/>
        </w:rPr>
        <w:t xml:space="preserve"> </w:t>
      </w:r>
      <w:r w:rsidR="005C5EB7" w:rsidRPr="00FD211F">
        <w:rPr>
          <w:sz w:val="36"/>
          <w:szCs w:val="36"/>
          <w:rtl/>
        </w:rPr>
        <w:t>الوجوب</w:t>
      </w:r>
      <w:r w:rsidR="00E8128F">
        <w:rPr>
          <w:sz w:val="36"/>
          <w:szCs w:val="36"/>
          <w:rtl/>
        </w:rPr>
        <w:t xml:space="preserve"> </w:t>
      </w:r>
      <w:r w:rsidR="005C5EB7" w:rsidRPr="00FD211F">
        <w:rPr>
          <w:sz w:val="36"/>
          <w:szCs w:val="36"/>
          <w:rtl/>
        </w:rPr>
        <w:t>الغيري</w:t>
      </w:r>
      <w:r w:rsidR="00E8128F">
        <w:rPr>
          <w:sz w:val="36"/>
          <w:szCs w:val="36"/>
          <w:rtl/>
        </w:rPr>
        <w:t xml:space="preserve"> </w:t>
      </w:r>
      <w:r w:rsidR="005C5EB7" w:rsidRPr="00FD211F">
        <w:rPr>
          <w:sz w:val="36"/>
          <w:szCs w:val="36"/>
          <w:rtl/>
        </w:rPr>
        <w:t>على</w:t>
      </w:r>
      <w:r w:rsidR="00E8128F">
        <w:rPr>
          <w:sz w:val="36"/>
          <w:szCs w:val="36"/>
          <w:rtl/>
        </w:rPr>
        <w:t xml:space="preserve"> </w:t>
      </w:r>
      <w:r w:rsidR="005C5EB7" w:rsidRPr="00FD211F">
        <w:rPr>
          <w:sz w:val="36"/>
          <w:szCs w:val="36"/>
          <w:rtl/>
        </w:rPr>
        <w:t>ذات</w:t>
      </w:r>
      <w:r w:rsidR="00E8128F">
        <w:rPr>
          <w:sz w:val="36"/>
          <w:szCs w:val="36"/>
          <w:rtl/>
        </w:rPr>
        <w:t xml:space="preserve"> </w:t>
      </w:r>
      <w:r w:rsidR="005C5EB7" w:rsidRPr="00FD211F">
        <w:rPr>
          <w:sz w:val="36"/>
          <w:szCs w:val="36"/>
          <w:rtl/>
        </w:rPr>
        <w:t>المقدم</w:t>
      </w:r>
      <w:r w:rsidR="00EC7EDF" w:rsidRPr="00FD211F">
        <w:rPr>
          <w:sz w:val="36"/>
          <w:szCs w:val="36"/>
          <w:rtl/>
        </w:rPr>
        <w:t>ة</w:t>
      </w:r>
      <w:r w:rsidR="00603323" w:rsidRPr="00FD211F">
        <w:rPr>
          <w:sz w:val="36"/>
          <w:szCs w:val="36"/>
          <w:rtl/>
        </w:rPr>
        <w:t>،</w:t>
      </w:r>
      <w:r w:rsidR="00E8128F">
        <w:rPr>
          <w:sz w:val="36"/>
          <w:szCs w:val="36"/>
          <w:rtl/>
        </w:rPr>
        <w:t xml:space="preserve"> </w:t>
      </w:r>
      <w:r w:rsidR="005C5EB7" w:rsidRPr="00FD211F">
        <w:rPr>
          <w:sz w:val="36"/>
          <w:szCs w:val="36"/>
          <w:rtl/>
        </w:rPr>
        <w:t>كالغصب</w:t>
      </w:r>
      <w:r w:rsidR="00E8128F">
        <w:rPr>
          <w:sz w:val="36"/>
          <w:szCs w:val="36"/>
          <w:rtl/>
        </w:rPr>
        <w:t xml:space="preserve"> </w:t>
      </w:r>
      <w:r w:rsidR="005C5EB7" w:rsidRPr="00FD211F">
        <w:rPr>
          <w:sz w:val="36"/>
          <w:szCs w:val="36"/>
          <w:rtl/>
        </w:rPr>
        <w:t>في</w:t>
      </w:r>
      <w:r w:rsidR="00E8128F">
        <w:rPr>
          <w:sz w:val="36"/>
          <w:szCs w:val="36"/>
          <w:rtl/>
        </w:rPr>
        <w:t xml:space="preserve"> </w:t>
      </w:r>
      <w:r w:rsidR="005C5EB7" w:rsidRPr="00FD211F">
        <w:rPr>
          <w:sz w:val="36"/>
          <w:szCs w:val="36"/>
          <w:rtl/>
        </w:rPr>
        <w:t>المثال</w:t>
      </w:r>
      <w:r w:rsidR="00E8128F">
        <w:rPr>
          <w:sz w:val="36"/>
          <w:szCs w:val="36"/>
          <w:rtl/>
        </w:rPr>
        <w:t xml:space="preserve"> </w:t>
      </w:r>
      <w:r w:rsidR="005C5EB7" w:rsidRPr="00FD211F">
        <w:rPr>
          <w:sz w:val="36"/>
          <w:szCs w:val="36"/>
          <w:rtl/>
        </w:rPr>
        <w:t>المذكور</w:t>
      </w:r>
      <w:r w:rsidR="00603323" w:rsidRPr="00FD211F">
        <w:rPr>
          <w:sz w:val="36"/>
          <w:szCs w:val="36"/>
          <w:rtl/>
        </w:rPr>
        <w:t>،</w:t>
      </w:r>
      <w:r w:rsidR="00E8128F">
        <w:rPr>
          <w:sz w:val="36"/>
          <w:szCs w:val="36"/>
          <w:rtl/>
        </w:rPr>
        <w:t xml:space="preserve"> </w:t>
      </w:r>
      <w:r w:rsidR="005C5EB7" w:rsidRPr="00FD211F">
        <w:rPr>
          <w:sz w:val="36"/>
          <w:szCs w:val="36"/>
          <w:rtl/>
        </w:rPr>
        <w:t>او</w:t>
      </w:r>
      <w:r w:rsidR="00E8128F">
        <w:rPr>
          <w:sz w:val="36"/>
          <w:szCs w:val="36"/>
          <w:rtl/>
        </w:rPr>
        <w:t xml:space="preserve"> </w:t>
      </w:r>
      <w:r w:rsidR="005C5EB7" w:rsidRPr="00FD211F">
        <w:rPr>
          <w:sz w:val="36"/>
          <w:szCs w:val="36"/>
          <w:rtl/>
        </w:rPr>
        <w:t>يكون</w:t>
      </w:r>
      <w:r w:rsidR="00E8128F">
        <w:rPr>
          <w:sz w:val="36"/>
          <w:szCs w:val="36"/>
          <w:rtl/>
        </w:rPr>
        <w:t xml:space="preserve"> </w:t>
      </w:r>
      <w:r w:rsidR="005C5EB7" w:rsidRPr="00FD211F">
        <w:rPr>
          <w:sz w:val="36"/>
          <w:szCs w:val="36"/>
          <w:rtl/>
        </w:rPr>
        <w:t>عنوان</w:t>
      </w:r>
      <w:r w:rsidR="00E8128F">
        <w:rPr>
          <w:sz w:val="36"/>
          <w:szCs w:val="36"/>
          <w:rtl/>
        </w:rPr>
        <w:t xml:space="preserve"> </w:t>
      </w:r>
      <w:r w:rsidR="005C5EB7" w:rsidRPr="00FD211F">
        <w:rPr>
          <w:sz w:val="36"/>
          <w:szCs w:val="36"/>
          <w:rtl/>
        </w:rPr>
        <w:t>المقدم</w:t>
      </w:r>
      <w:r w:rsidR="00EC7EDF" w:rsidRPr="00FD211F">
        <w:rPr>
          <w:sz w:val="36"/>
          <w:szCs w:val="36"/>
          <w:rtl/>
        </w:rPr>
        <w:t>ة</w:t>
      </w:r>
      <w:r w:rsidR="00E8128F">
        <w:rPr>
          <w:sz w:val="36"/>
          <w:szCs w:val="36"/>
          <w:rtl/>
        </w:rPr>
        <w:t xml:space="preserve"> </w:t>
      </w:r>
      <w:r w:rsidR="005C5EB7" w:rsidRPr="00FD211F">
        <w:rPr>
          <w:sz w:val="36"/>
          <w:szCs w:val="36"/>
          <w:rtl/>
        </w:rPr>
        <w:t>حيثي</w:t>
      </w:r>
      <w:r w:rsidR="00EC7EDF" w:rsidRPr="00FD211F">
        <w:rPr>
          <w:sz w:val="36"/>
          <w:szCs w:val="36"/>
          <w:rtl/>
        </w:rPr>
        <w:t>ة</w:t>
      </w:r>
      <w:r w:rsidR="00E8128F">
        <w:rPr>
          <w:sz w:val="36"/>
          <w:szCs w:val="36"/>
          <w:rtl/>
        </w:rPr>
        <w:t xml:space="preserve"> </w:t>
      </w:r>
      <w:r w:rsidR="005C5EB7" w:rsidRPr="00FD211F">
        <w:rPr>
          <w:sz w:val="36"/>
          <w:szCs w:val="36"/>
          <w:rtl/>
        </w:rPr>
        <w:t>تقييدي</w:t>
      </w:r>
      <w:r w:rsidR="00EC7EDF" w:rsidRPr="00FD211F">
        <w:rPr>
          <w:sz w:val="36"/>
          <w:szCs w:val="36"/>
          <w:rtl/>
        </w:rPr>
        <w:t>ة</w:t>
      </w:r>
      <w:r w:rsidR="00E8128F">
        <w:rPr>
          <w:sz w:val="36"/>
          <w:szCs w:val="36"/>
          <w:rtl/>
        </w:rPr>
        <w:t xml:space="preserve"> </w:t>
      </w:r>
      <w:r w:rsidR="005C5EB7" w:rsidRPr="00FD211F">
        <w:rPr>
          <w:sz w:val="36"/>
          <w:szCs w:val="36"/>
          <w:rtl/>
        </w:rPr>
        <w:t>فيكون</w:t>
      </w:r>
      <w:r w:rsidR="00E8128F">
        <w:rPr>
          <w:sz w:val="36"/>
          <w:szCs w:val="36"/>
          <w:rtl/>
        </w:rPr>
        <w:t xml:space="preserve"> </w:t>
      </w:r>
      <w:r w:rsidR="005C5EB7" w:rsidRPr="00FD211F">
        <w:rPr>
          <w:sz w:val="36"/>
          <w:szCs w:val="36"/>
          <w:rtl/>
        </w:rPr>
        <w:t>الوجوب</w:t>
      </w:r>
      <w:r w:rsidR="00E8128F">
        <w:rPr>
          <w:sz w:val="36"/>
          <w:szCs w:val="36"/>
          <w:rtl/>
        </w:rPr>
        <w:t xml:space="preserve"> </w:t>
      </w:r>
      <w:r w:rsidR="005C5EB7" w:rsidRPr="00FD211F">
        <w:rPr>
          <w:sz w:val="36"/>
          <w:szCs w:val="36"/>
          <w:rtl/>
        </w:rPr>
        <w:t>الغيري</w:t>
      </w:r>
      <w:r w:rsidR="00E8128F">
        <w:rPr>
          <w:sz w:val="36"/>
          <w:szCs w:val="36"/>
          <w:rtl/>
        </w:rPr>
        <w:t xml:space="preserve"> </w:t>
      </w:r>
      <w:r w:rsidR="005C5EB7" w:rsidRPr="00FD211F">
        <w:rPr>
          <w:sz w:val="36"/>
          <w:szCs w:val="36"/>
          <w:rtl/>
        </w:rPr>
        <w:t>طارئا</w:t>
      </w:r>
      <w:r w:rsidR="00E8128F">
        <w:rPr>
          <w:sz w:val="36"/>
          <w:szCs w:val="36"/>
          <w:rtl/>
        </w:rPr>
        <w:t xml:space="preserve"> </w:t>
      </w:r>
      <w:r w:rsidR="005C5EB7" w:rsidRPr="00FD211F">
        <w:rPr>
          <w:sz w:val="36"/>
          <w:szCs w:val="36"/>
          <w:rtl/>
        </w:rPr>
        <w:t>على</w:t>
      </w:r>
      <w:r w:rsidR="00E8128F">
        <w:rPr>
          <w:sz w:val="36"/>
          <w:szCs w:val="36"/>
          <w:rtl/>
        </w:rPr>
        <w:t xml:space="preserve"> </w:t>
      </w:r>
      <w:r w:rsidR="005C5EB7" w:rsidRPr="00FD211F">
        <w:rPr>
          <w:sz w:val="36"/>
          <w:szCs w:val="36"/>
          <w:rtl/>
        </w:rPr>
        <w:t>عنوان</w:t>
      </w:r>
      <w:r w:rsidR="00E8128F">
        <w:rPr>
          <w:sz w:val="36"/>
          <w:szCs w:val="36"/>
          <w:rtl/>
        </w:rPr>
        <w:t xml:space="preserve"> </w:t>
      </w:r>
      <w:r w:rsidR="005C5EB7" w:rsidRPr="00FD211F">
        <w:rPr>
          <w:sz w:val="36"/>
          <w:szCs w:val="36"/>
          <w:rtl/>
        </w:rPr>
        <w:t>المقدم</w:t>
      </w:r>
      <w:r w:rsidR="00EC7EDF" w:rsidRPr="00FD211F">
        <w:rPr>
          <w:sz w:val="36"/>
          <w:szCs w:val="36"/>
          <w:rtl/>
        </w:rPr>
        <w:t>ة</w:t>
      </w:r>
      <w:r w:rsidR="00A61BAE" w:rsidRPr="00FD211F">
        <w:rPr>
          <w:sz w:val="36"/>
          <w:szCs w:val="36"/>
          <w:rtl/>
        </w:rPr>
        <w:t>.</w:t>
      </w:r>
    </w:p>
    <w:p w14:paraId="35C3203F" w14:textId="77777777" w:rsidR="00C80DD6" w:rsidRPr="00FD211F" w:rsidRDefault="004B6CC8" w:rsidP="009C58C8">
      <w:pPr>
        <w:ind w:left="0" w:firstLine="227"/>
        <w:jc w:val="both"/>
        <w:rPr>
          <w:sz w:val="36"/>
          <w:szCs w:val="36"/>
          <w:rtl/>
        </w:rPr>
      </w:pPr>
      <w:r w:rsidRPr="00FD211F">
        <w:rPr>
          <w:sz w:val="36"/>
          <w:szCs w:val="36"/>
          <w:rtl/>
        </w:rPr>
        <w:t>2-</w:t>
      </w:r>
      <w:r w:rsidR="00E8128F">
        <w:rPr>
          <w:sz w:val="36"/>
          <w:szCs w:val="36"/>
          <w:rtl/>
        </w:rPr>
        <w:t xml:space="preserve"> </w:t>
      </w:r>
      <w:r w:rsidR="00F200A1" w:rsidRPr="00FD211F">
        <w:rPr>
          <w:sz w:val="36"/>
          <w:szCs w:val="36"/>
          <w:rtl/>
        </w:rPr>
        <w:t>انه</w:t>
      </w:r>
      <w:r w:rsidR="00E8128F">
        <w:rPr>
          <w:sz w:val="36"/>
          <w:szCs w:val="36"/>
          <w:rtl/>
        </w:rPr>
        <w:t xml:space="preserve"> </w:t>
      </w:r>
      <w:r w:rsidR="00F200A1" w:rsidRPr="00FD211F">
        <w:rPr>
          <w:sz w:val="36"/>
          <w:szCs w:val="36"/>
          <w:rtl/>
        </w:rPr>
        <w:t>بعد</w:t>
      </w:r>
      <w:r w:rsidR="00E8128F">
        <w:rPr>
          <w:sz w:val="36"/>
          <w:szCs w:val="36"/>
          <w:rtl/>
        </w:rPr>
        <w:t xml:space="preserve"> </w:t>
      </w:r>
      <w:r w:rsidR="00F200A1" w:rsidRPr="00FD211F">
        <w:rPr>
          <w:sz w:val="36"/>
          <w:szCs w:val="36"/>
          <w:rtl/>
        </w:rPr>
        <w:t>استكشاف</w:t>
      </w:r>
      <w:r w:rsidR="00E8128F">
        <w:rPr>
          <w:sz w:val="36"/>
          <w:szCs w:val="36"/>
          <w:rtl/>
        </w:rPr>
        <w:t xml:space="preserve"> </w:t>
      </w:r>
      <w:r w:rsidR="00F200A1" w:rsidRPr="00FD211F">
        <w:rPr>
          <w:sz w:val="36"/>
          <w:szCs w:val="36"/>
          <w:rtl/>
        </w:rPr>
        <w:t>مفسدة</w:t>
      </w:r>
      <w:r w:rsidR="00E8128F">
        <w:rPr>
          <w:sz w:val="36"/>
          <w:szCs w:val="36"/>
          <w:rtl/>
        </w:rPr>
        <w:t xml:space="preserve"> </w:t>
      </w:r>
      <w:r w:rsidR="00F200A1" w:rsidRPr="00FD211F">
        <w:rPr>
          <w:sz w:val="36"/>
          <w:szCs w:val="36"/>
          <w:rtl/>
        </w:rPr>
        <w:t>نفسية</w:t>
      </w:r>
      <w:r w:rsidR="00E8128F">
        <w:rPr>
          <w:sz w:val="36"/>
          <w:szCs w:val="36"/>
          <w:rtl/>
        </w:rPr>
        <w:t xml:space="preserve"> </w:t>
      </w:r>
      <w:r w:rsidR="00F200A1" w:rsidRPr="00FD211F">
        <w:rPr>
          <w:sz w:val="36"/>
          <w:szCs w:val="36"/>
          <w:rtl/>
        </w:rPr>
        <w:t>لزومية</w:t>
      </w:r>
      <w:r w:rsidR="00E8128F">
        <w:rPr>
          <w:sz w:val="36"/>
          <w:szCs w:val="36"/>
          <w:rtl/>
        </w:rPr>
        <w:t xml:space="preserve"> </w:t>
      </w:r>
      <w:r w:rsidR="00F200A1" w:rsidRPr="00FD211F">
        <w:rPr>
          <w:sz w:val="36"/>
          <w:szCs w:val="36"/>
          <w:rtl/>
        </w:rPr>
        <w:t>في</w:t>
      </w:r>
      <w:r w:rsidR="00E8128F">
        <w:rPr>
          <w:sz w:val="36"/>
          <w:szCs w:val="36"/>
          <w:rtl/>
        </w:rPr>
        <w:t xml:space="preserve"> </w:t>
      </w:r>
      <w:r w:rsidR="00F200A1" w:rsidRPr="00FD211F">
        <w:rPr>
          <w:sz w:val="36"/>
          <w:szCs w:val="36"/>
          <w:rtl/>
        </w:rPr>
        <w:t>الغصب</w:t>
      </w:r>
      <w:r w:rsidR="00E8128F">
        <w:rPr>
          <w:sz w:val="36"/>
          <w:szCs w:val="36"/>
          <w:rtl/>
        </w:rPr>
        <w:t xml:space="preserve"> </w:t>
      </w:r>
      <w:r w:rsidR="00F200A1" w:rsidRPr="00FD211F">
        <w:rPr>
          <w:sz w:val="36"/>
          <w:szCs w:val="36"/>
          <w:rtl/>
        </w:rPr>
        <w:t>في</w:t>
      </w:r>
      <w:r w:rsidR="00E8128F">
        <w:rPr>
          <w:sz w:val="36"/>
          <w:szCs w:val="36"/>
          <w:rtl/>
        </w:rPr>
        <w:t xml:space="preserve"> </w:t>
      </w:r>
      <w:r w:rsidR="00F200A1" w:rsidRPr="00FD211F">
        <w:rPr>
          <w:sz w:val="36"/>
          <w:szCs w:val="36"/>
          <w:rtl/>
        </w:rPr>
        <w:t>فرض</w:t>
      </w:r>
      <w:r w:rsidR="00E8128F">
        <w:rPr>
          <w:sz w:val="36"/>
          <w:szCs w:val="36"/>
          <w:rtl/>
        </w:rPr>
        <w:t xml:space="preserve"> </w:t>
      </w:r>
      <w:r w:rsidR="00F200A1" w:rsidRPr="00FD211F">
        <w:rPr>
          <w:sz w:val="36"/>
          <w:szCs w:val="36"/>
          <w:rtl/>
        </w:rPr>
        <w:t>ترك</w:t>
      </w:r>
      <w:r w:rsidR="00E8128F">
        <w:rPr>
          <w:sz w:val="36"/>
          <w:szCs w:val="36"/>
          <w:rtl/>
        </w:rPr>
        <w:t xml:space="preserve"> </w:t>
      </w:r>
      <w:r w:rsidR="00F200A1" w:rsidRPr="00FD211F">
        <w:rPr>
          <w:sz w:val="36"/>
          <w:szCs w:val="36"/>
          <w:rtl/>
        </w:rPr>
        <w:t>الانقاذ</w:t>
      </w:r>
      <w:r w:rsidR="00E8128F">
        <w:rPr>
          <w:sz w:val="36"/>
          <w:szCs w:val="36"/>
          <w:rtl/>
        </w:rPr>
        <w:t xml:space="preserve"> </w:t>
      </w:r>
      <w:r w:rsidR="00C80DD6" w:rsidRPr="00FD211F">
        <w:rPr>
          <w:sz w:val="36"/>
          <w:szCs w:val="36"/>
          <w:rtl/>
        </w:rPr>
        <w:t>-</w:t>
      </w:r>
      <w:r w:rsidR="00F200A1" w:rsidRPr="00FD211F">
        <w:rPr>
          <w:sz w:val="36"/>
          <w:szCs w:val="36"/>
          <w:rtl/>
        </w:rPr>
        <w:t>بمقتضى</w:t>
      </w:r>
      <w:r w:rsidR="00E8128F">
        <w:rPr>
          <w:sz w:val="36"/>
          <w:szCs w:val="36"/>
          <w:rtl/>
        </w:rPr>
        <w:t xml:space="preserve"> </w:t>
      </w:r>
      <w:r w:rsidR="00F200A1" w:rsidRPr="00FD211F">
        <w:rPr>
          <w:sz w:val="36"/>
          <w:szCs w:val="36"/>
          <w:rtl/>
        </w:rPr>
        <w:t>ظهور</w:t>
      </w:r>
      <w:r w:rsidR="00E8128F">
        <w:rPr>
          <w:sz w:val="36"/>
          <w:szCs w:val="36"/>
          <w:rtl/>
        </w:rPr>
        <w:t xml:space="preserve"> </w:t>
      </w:r>
      <w:r w:rsidR="00F200A1" w:rsidRPr="00FD211F">
        <w:rPr>
          <w:sz w:val="36"/>
          <w:szCs w:val="36"/>
          <w:rtl/>
        </w:rPr>
        <w:t>خطاب</w:t>
      </w:r>
      <w:r w:rsidR="00E8128F">
        <w:rPr>
          <w:sz w:val="36"/>
          <w:szCs w:val="36"/>
          <w:rtl/>
        </w:rPr>
        <w:t xml:space="preserve"> </w:t>
      </w:r>
      <w:r w:rsidR="00F200A1" w:rsidRPr="00FD211F">
        <w:rPr>
          <w:sz w:val="36"/>
          <w:szCs w:val="36"/>
          <w:rtl/>
        </w:rPr>
        <w:t>النهي</w:t>
      </w:r>
      <w:r w:rsidR="00E8128F">
        <w:rPr>
          <w:sz w:val="36"/>
          <w:szCs w:val="36"/>
          <w:rtl/>
        </w:rPr>
        <w:t xml:space="preserve"> </w:t>
      </w:r>
      <w:r w:rsidR="00F200A1" w:rsidRPr="00FD211F">
        <w:rPr>
          <w:sz w:val="36"/>
          <w:szCs w:val="36"/>
          <w:rtl/>
        </w:rPr>
        <w:t>عن</w:t>
      </w:r>
      <w:r w:rsidR="00E8128F">
        <w:rPr>
          <w:sz w:val="36"/>
          <w:szCs w:val="36"/>
          <w:rtl/>
        </w:rPr>
        <w:t xml:space="preserve"> </w:t>
      </w:r>
      <w:r w:rsidR="00F200A1" w:rsidRPr="00FD211F">
        <w:rPr>
          <w:sz w:val="36"/>
          <w:szCs w:val="36"/>
          <w:rtl/>
        </w:rPr>
        <w:t>الغصب</w:t>
      </w:r>
      <w:r w:rsidR="00E8128F">
        <w:rPr>
          <w:sz w:val="36"/>
          <w:szCs w:val="36"/>
          <w:rtl/>
        </w:rPr>
        <w:t xml:space="preserve"> </w:t>
      </w:r>
      <w:r w:rsidR="00F200A1" w:rsidRPr="00FD211F">
        <w:rPr>
          <w:sz w:val="36"/>
          <w:szCs w:val="36"/>
          <w:rtl/>
        </w:rPr>
        <w:t>عرفا</w:t>
      </w:r>
      <w:r w:rsidR="00C80DD6" w:rsidRPr="00FD211F">
        <w:rPr>
          <w:sz w:val="36"/>
          <w:szCs w:val="36"/>
          <w:rtl/>
        </w:rPr>
        <w:t>-</w:t>
      </w:r>
      <w:r w:rsidR="00E8128F">
        <w:rPr>
          <w:sz w:val="36"/>
          <w:szCs w:val="36"/>
          <w:rtl/>
        </w:rPr>
        <w:t xml:space="preserve"> </w:t>
      </w:r>
      <w:r w:rsidR="00C80DD6" w:rsidRPr="00FD211F">
        <w:rPr>
          <w:sz w:val="36"/>
          <w:szCs w:val="36"/>
          <w:rtl/>
        </w:rPr>
        <w:t>فيستكشف</w:t>
      </w:r>
      <w:r w:rsidR="00E8128F">
        <w:rPr>
          <w:sz w:val="36"/>
          <w:szCs w:val="36"/>
          <w:rtl/>
        </w:rPr>
        <w:t xml:space="preserve"> </w:t>
      </w:r>
      <w:r w:rsidR="00C80DD6" w:rsidRPr="00FD211F">
        <w:rPr>
          <w:sz w:val="36"/>
          <w:szCs w:val="36"/>
          <w:rtl/>
        </w:rPr>
        <w:t>بذلك</w:t>
      </w:r>
      <w:r w:rsidR="00E8128F">
        <w:rPr>
          <w:sz w:val="36"/>
          <w:szCs w:val="36"/>
          <w:rtl/>
        </w:rPr>
        <w:t xml:space="preserve"> </w:t>
      </w:r>
      <w:r w:rsidR="00C80DD6" w:rsidRPr="00FD211F">
        <w:rPr>
          <w:sz w:val="36"/>
          <w:szCs w:val="36"/>
          <w:rtl/>
        </w:rPr>
        <w:t>الغرض</w:t>
      </w:r>
      <w:r w:rsidR="00E8128F">
        <w:rPr>
          <w:sz w:val="36"/>
          <w:szCs w:val="36"/>
          <w:rtl/>
        </w:rPr>
        <w:t xml:space="preserve"> </w:t>
      </w:r>
      <w:r w:rsidR="00C80DD6" w:rsidRPr="00FD211F">
        <w:rPr>
          <w:sz w:val="36"/>
          <w:szCs w:val="36"/>
          <w:rtl/>
        </w:rPr>
        <w:t>اللزومي</w:t>
      </w:r>
      <w:r w:rsidR="00E8128F">
        <w:rPr>
          <w:sz w:val="36"/>
          <w:szCs w:val="36"/>
          <w:rtl/>
        </w:rPr>
        <w:t xml:space="preserve"> </w:t>
      </w:r>
      <w:r w:rsidR="00C80DD6" w:rsidRPr="00FD211F">
        <w:rPr>
          <w:sz w:val="36"/>
          <w:szCs w:val="36"/>
          <w:rtl/>
        </w:rPr>
        <w:t>بتركه</w:t>
      </w:r>
      <w:r w:rsidR="00E8128F">
        <w:rPr>
          <w:sz w:val="36"/>
          <w:szCs w:val="36"/>
          <w:rtl/>
        </w:rPr>
        <w:t xml:space="preserve"> </w:t>
      </w:r>
      <w:r w:rsidR="00C80DD6" w:rsidRPr="00FD211F">
        <w:rPr>
          <w:sz w:val="36"/>
          <w:szCs w:val="36"/>
          <w:rtl/>
        </w:rPr>
        <w:t>وان</w:t>
      </w:r>
      <w:r w:rsidR="00E8128F">
        <w:rPr>
          <w:sz w:val="36"/>
          <w:szCs w:val="36"/>
          <w:rtl/>
        </w:rPr>
        <w:t xml:space="preserve"> </w:t>
      </w:r>
      <w:r w:rsidR="00C80DD6" w:rsidRPr="00FD211F">
        <w:rPr>
          <w:sz w:val="36"/>
          <w:szCs w:val="36"/>
          <w:rtl/>
        </w:rPr>
        <w:t>لم</w:t>
      </w:r>
      <w:r w:rsidR="00E8128F">
        <w:rPr>
          <w:sz w:val="36"/>
          <w:szCs w:val="36"/>
          <w:rtl/>
        </w:rPr>
        <w:t xml:space="preserve"> </w:t>
      </w:r>
      <w:r w:rsidR="00C80DD6" w:rsidRPr="00FD211F">
        <w:rPr>
          <w:sz w:val="36"/>
          <w:szCs w:val="36"/>
          <w:rtl/>
        </w:rPr>
        <w:t>يتمكن</w:t>
      </w:r>
      <w:r w:rsidR="00E8128F">
        <w:rPr>
          <w:sz w:val="36"/>
          <w:szCs w:val="36"/>
          <w:rtl/>
        </w:rPr>
        <w:t xml:space="preserve"> </w:t>
      </w:r>
      <w:r w:rsidR="00C80DD6" w:rsidRPr="00FD211F">
        <w:rPr>
          <w:sz w:val="36"/>
          <w:szCs w:val="36"/>
          <w:rtl/>
        </w:rPr>
        <w:t>المولى</w:t>
      </w:r>
      <w:r w:rsidR="00E8128F">
        <w:rPr>
          <w:sz w:val="36"/>
          <w:szCs w:val="36"/>
          <w:rtl/>
        </w:rPr>
        <w:t xml:space="preserve"> </w:t>
      </w:r>
      <w:r w:rsidR="00C80DD6" w:rsidRPr="00FD211F">
        <w:rPr>
          <w:sz w:val="36"/>
          <w:szCs w:val="36"/>
          <w:rtl/>
        </w:rPr>
        <w:t>من</w:t>
      </w:r>
      <w:r w:rsidR="00E8128F">
        <w:rPr>
          <w:sz w:val="36"/>
          <w:szCs w:val="36"/>
          <w:rtl/>
        </w:rPr>
        <w:t xml:space="preserve"> </w:t>
      </w:r>
      <w:r w:rsidR="00C80DD6" w:rsidRPr="00FD211F">
        <w:rPr>
          <w:sz w:val="36"/>
          <w:szCs w:val="36"/>
          <w:rtl/>
        </w:rPr>
        <w:t>النهي</w:t>
      </w:r>
      <w:r w:rsidR="00E8128F">
        <w:rPr>
          <w:sz w:val="36"/>
          <w:szCs w:val="36"/>
          <w:rtl/>
        </w:rPr>
        <w:t xml:space="preserve"> </w:t>
      </w:r>
      <w:r w:rsidR="00C80DD6" w:rsidRPr="00FD211F">
        <w:rPr>
          <w:sz w:val="36"/>
          <w:szCs w:val="36"/>
          <w:rtl/>
        </w:rPr>
        <w:t>عنه</w:t>
      </w:r>
      <w:r w:rsidR="00E8128F">
        <w:rPr>
          <w:sz w:val="36"/>
          <w:szCs w:val="36"/>
          <w:rtl/>
        </w:rPr>
        <w:t xml:space="preserve"> </w:t>
      </w:r>
      <w:r w:rsidR="00C80DD6" w:rsidRPr="00FD211F">
        <w:rPr>
          <w:sz w:val="36"/>
          <w:szCs w:val="36"/>
          <w:rtl/>
        </w:rPr>
        <w:t>لكونه</w:t>
      </w:r>
      <w:r w:rsidR="00E8128F">
        <w:rPr>
          <w:sz w:val="36"/>
          <w:szCs w:val="36"/>
          <w:rtl/>
        </w:rPr>
        <w:t xml:space="preserve"> </w:t>
      </w:r>
      <w:r w:rsidR="00C80DD6" w:rsidRPr="00FD211F">
        <w:rPr>
          <w:sz w:val="36"/>
          <w:szCs w:val="36"/>
          <w:rtl/>
        </w:rPr>
        <w:t>مقدمة</w:t>
      </w:r>
      <w:r w:rsidR="00E8128F">
        <w:rPr>
          <w:sz w:val="36"/>
          <w:szCs w:val="36"/>
          <w:rtl/>
        </w:rPr>
        <w:t xml:space="preserve"> </w:t>
      </w:r>
      <w:r w:rsidR="00C80DD6" w:rsidRPr="00FD211F">
        <w:rPr>
          <w:sz w:val="36"/>
          <w:szCs w:val="36"/>
          <w:rtl/>
        </w:rPr>
        <w:t>الواجب</w:t>
      </w:r>
      <w:r w:rsidR="00603323" w:rsidRPr="00FD211F">
        <w:rPr>
          <w:sz w:val="36"/>
          <w:szCs w:val="36"/>
          <w:rtl/>
        </w:rPr>
        <w:t>،</w:t>
      </w:r>
      <w:r w:rsidR="00E8128F">
        <w:rPr>
          <w:sz w:val="36"/>
          <w:szCs w:val="36"/>
          <w:rtl/>
        </w:rPr>
        <w:t xml:space="preserve"> </w:t>
      </w:r>
      <w:r w:rsidR="00C80DD6" w:rsidRPr="00FD211F">
        <w:rPr>
          <w:sz w:val="36"/>
          <w:szCs w:val="36"/>
          <w:rtl/>
        </w:rPr>
        <w:t>وعليه</w:t>
      </w:r>
      <w:r w:rsidR="00E8128F">
        <w:rPr>
          <w:sz w:val="36"/>
          <w:szCs w:val="36"/>
          <w:rtl/>
        </w:rPr>
        <w:t xml:space="preserve"> </w:t>
      </w:r>
      <w:r w:rsidR="00C80DD6" w:rsidRPr="00FD211F">
        <w:rPr>
          <w:sz w:val="36"/>
          <w:szCs w:val="36"/>
          <w:rtl/>
        </w:rPr>
        <w:t>فلايبعد</w:t>
      </w:r>
      <w:r w:rsidR="00E8128F">
        <w:rPr>
          <w:sz w:val="36"/>
          <w:szCs w:val="36"/>
          <w:rtl/>
        </w:rPr>
        <w:t xml:space="preserve"> </w:t>
      </w:r>
      <w:r w:rsidR="00C80DD6" w:rsidRPr="00FD211F">
        <w:rPr>
          <w:sz w:val="36"/>
          <w:szCs w:val="36"/>
          <w:rtl/>
        </w:rPr>
        <w:t>ان</w:t>
      </w:r>
      <w:r w:rsidR="00E8128F">
        <w:rPr>
          <w:sz w:val="36"/>
          <w:szCs w:val="36"/>
          <w:rtl/>
        </w:rPr>
        <w:t xml:space="preserve"> </w:t>
      </w:r>
      <w:r w:rsidR="00C80DD6" w:rsidRPr="00FD211F">
        <w:rPr>
          <w:sz w:val="36"/>
          <w:szCs w:val="36"/>
          <w:rtl/>
        </w:rPr>
        <w:t>يحكم</w:t>
      </w:r>
      <w:r w:rsidR="00E8128F">
        <w:rPr>
          <w:sz w:val="36"/>
          <w:szCs w:val="36"/>
          <w:rtl/>
        </w:rPr>
        <w:t xml:space="preserve"> </w:t>
      </w:r>
      <w:r w:rsidR="00C80DD6" w:rsidRPr="00FD211F">
        <w:rPr>
          <w:sz w:val="36"/>
          <w:szCs w:val="36"/>
          <w:rtl/>
        </w:rPr>
        <w:t>العقل</w:t>
      </w:r>
      <w:r w:rsidR="00E8128F">
        <w:rPr>
          <w:sz w:val="36"/>
          <w:szCs w:val="36"/>
          <w:rtl/>
        </w:rPr>
        <w:t xml:space="preserve"> </w:t>
      </w:r>
      <w:r w:rsidR="00C80DD6" w:rsidRPr="00FD211F">
        <w:rPr>
          <w:sz w:val="36"/>
          <w:szCs w:val="36"/>
          <w:rtl/>
        </w:rPr>
        <w:t>بلزوم</w:t>
      </w:r>
      <w:r w:rsidR="00E8128F">
        <w:rPr>
          <w:sz w:val="36"/>
          <w:szCs w:val="36"/>
          <w:rtl/>
        </w:rPr>
        <w:t xml:space="preserve"> </w:t>
      </w:r>
      <w:r w:rsidR="00C80DD6" w:rsidRPr="00FD211F">
        <w:rPr>
          <w:sz w:val="36"/>
          <w:szCs w:val="36"/>
          <w:rtl/>
        </w:rPr>
        <w:t>الاجتناب</w:t>
      </w:r>
      <w:r w:rsidR="00E8128F">
        <w:rPr>
          <w:sz w:val="36"/>
          <w:szCs w:val="36"/>
          <w:rtl/>
        </w:rPr>
        <w:t xml:space="preserve"> </w:t>
      </w:r>
      <w:r w:rsidR="00C80DD6" w:rsidRPr="00FD211F">
        <w:rPr>
          <w:sz w:val="36"/>
          <w:szCs w:val="36"/>
          <w:rtl/>
        </w:rPr>
        <w:t>عنه.</w:t>
      </w:r>
    </w:p>
    <w:p w14:paraId="19B8D706" w14:textId="77777777" w:rsidR="00B66FE4" w:rsidRPr="00FD211F" w:rsidRDefault="00C80DD6" w:rsidP="009C58C8">
      <w:pPr>
        <w:ind w:left="0" w:firstLine="227"/>
        <w:jc w:val="both"/>
        <w:rPr>
          <w:sz w:val="36"/>
          <w:szCs w:val="36"/>
          <w:rtl/>
        </w:rPr>
      </w:pPr>
      <w:r w:rsidRPr="00FD211F">
        <w:rPr>
          <w:sz w:val="36"/>
          <w:szCs w:val="36"/>
          <w:rtl/>
        </w:rPr>
        <w:lastRenderedPageBreak/>
        <w:t>فلايكفي</w:t>
      </w:r>
      <w:r w:rsidR="00E8128F">
        <w:rPr>
          <w:sz w:val="36"/>
          <w:szCs w:val="36"/>
          <w:rtl/>
        </w:rPr>
        <w:t xml:space="preserve"> </w:t>
      </w:r>
      <w:r w:rsidRPr="00FD211F">
        <w:rPr>
          <w:sz w:val="36"/>
          <w:szCs w:val="36"/>
          <w:rtl/>
        </w:rPr>
        <w:t>البناء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وجوب</w:t>
      </w:r>
      <w:r w:rsidR="00E8128F">
        <w:rPr>
          <w:sz w:val="36"/>
          <w:szCs w:val="36"/>
          <w:rtl/>
        </w:rPr>
        <w:t xml:space="preserve"> </w:t>
      </w:r>
      <w:r w:rsidR="00B66FE4" w:rsidRPr="00FD211F">
        <w:rPr>
          <w:sz w:val="36"/>
          <w:szCs w:val="36"/>
          <w:rtl/>
        </w:rPr>
        <w:t>المقدم</w:t>
      </w:r>
      <w:r w:rsidR="00EC7EDF" w:rsidRPr="00FD211F">
        <w:rPr>
          <w:sz w:val="36"/>
          <w:szCs w:val="36"/>
          <w:rtl/>
        </w:rPr>
        <w:t>ة</w:t>
      </w:r>
      <w:r w:rsidR="00E8128F">
        <w:rPr>
          <w:sz w:val="36"/>
          <w:szCs w:val="36"/>
          <w:rtl/>
        </w:rPr>
        <w:t xml:space="preserve"> </w:t>
      </w:r>
      <w:r w:rsidR="00B66FE4" w:rsidRPr="00FD211F">
        <w:rPr>
          <w:sz w:val="36"/>
          <w:szCs w:val="36"/>
          <w:rtl/>
        </w:rPr>
        <w:t>مطلقا</w:t>
      </w:r>
      <w:r w:rsidR="00E8128F">
        <w:rPr>
          <w:sz w:val="36"/>
          <w:szCs w:val="36"/>
          <w:rtl/>
        </w:rPr>
        <w:t xml:space="preserve"> </w:t>
      </w:r>
      <w:r w:rsidR="00B66FE4" w:rsidRPr="00FD211F">
        <w:rPr>
          <w:sz w:val="36"/>
          <w:szCs w:val="36"/>
          <w:rtl/>
        </w:rPr>
        <w:t>في</w:t>
      </w:r>
      <w:r w:rsidR="00E8128F">
        <w:rPr>
          <w:sz w:val="36"/>
          <w:szCs w:val="36"/>
          <w:rtl/>
        </w:rPr>
        <w:t xml:space="preserve"> </w:t>
      </w:r>
      <w:r w:rsidR="00B66FE4" w:rsidRPr="00FD211F">
        <w:rPr>
          <w:sz w:val="36"/>
          <w:szCs w:val="36"/>
          <w:rtl/>
        </w:rPr>
        <w:t>الحكم</w:t>
      </w:r>
      <w:r w:rsidR="00E8128F">
        <w:rPr>
          <w:sz w:val="36"/>
          <w:szCs w:val="36"/>
          <w:rtl/>
        </w:rPr>
        <w:t xml:space="preserve"> </w:t>
      </w:r>
      <w:r w:rsidR="00B66FE4" w:rsidRPr="00FD211F">
        <w:rPr>
          <w:sz w:val="36"/>
          <w:szCs w:val="36"/>
          <w:rtl/>
        </w:rPr>
        <w:t>بجواز</w:t>
      </w:r>
      <w:r w:rsidR="00E8128F">
        <w:rPr>
          <w:sz w:val="36"/>
          <w:szCs w:val="36"/>
          <w:rtl/>
        </w:rPr>
        <w:t xml:space="preserve"> </w:t>
      </w:r>
      <w:r w:rsidR="00B66FE4" w:rsidRPr="00FD211F">
        <w:rPr>
          <w:sz w:val="36"/>
          <w:szCs w:val="36"/>
          <w:rtl/>
        </w:rPr>
        <w:t>ارتكاب</w:t>
      </w:r>
      <w:r w:rsidR="00E8128F">
        <w:rPr>
          <w:sz w:val="36"/>
          <w:szCs w:val="36"/>
          <w:rtl/>
        </w:rPr>
        <w:t xml:space="preserve"> </w:t>
      </w:r>
      <w:r w:rsidR="00B66FE4" w:rsidRPr="00FD211F">
        <w:rPr>
          <w:sz w:val="36"/>
          <w:szCs w:val="36"/>
          <w:rtl/>
        </w:rPr>
        <w:t>الغصب</w:t>
      </w:r>
      <w:r w:rsidR="00E8128F">
        <w:rPr>
          <w:sz w:val="36"/>
          <w:szCs w:val="36"/>
          <w:rtl/>
        </w:rPr>
        <w:t xml:space="preserve"> </w:t>
      </w:r>
      <w:r w:rsidR="00B66FE4" w:rsidRPr="00FD211F">
        <w:rPr>
          <w:sz w:val="36"/>
          <w:szCs w:val="36"/>
          <w:rtl/>
        </w:rPr>
        <w:t>مع</w:t>
      </w:r>
      <w:r w:rsidR="00E8128F">
        <w:rPr>
          <w:sz w:val="36"/>
          <w:szCs w:val="36"/>
          <w:rtl/>
        </w:rPr>
        <w:t xml:space="preserve"> </w:t>
      </w:r>
      <w:r w:rsidR="00B66FE4" w:rsidRPr="00FD211F">
        <w:rPr>
          <w:sz w:val="36"/>
          <w:szCs w:val="36"/>
          <w:rtl/>
        </w:rPr>
        <w:t>عدم</w:t>
      </w:r>
      <w:r w:rsidR="00E8128F">
        <w:rPr>
          <w:sz w:val="36"/>
          <w:szCs w:val="36"/>
          <w:rtl/>
        </w:rPr>
        <w:t xml:space="preserve"> </w:t>
      </w:r>
      <w:r w:rsidR="00B66FE4" w:rsidRPr="00FD211F">
        <w:rPr>
          <w:sz w:val="36"/>
          <w:szCs w:val="36"/>
          <w:rtl/>
        </w:rPr>
        <w:t>ترتب</w:t>
      </w:r>
      <w:r w:rsidR="00E8128F">
        <w:rPr>
          <w:sz w:val="36"/>
          <w:szCs w:val="36"/>
          <w:rtl/>
        </w:rPr>
        <w:t xml:space="preserve"> </w:t>
      </w:r>
      <w:r w:rsidR="00B66FE4" w:rsidRPr="00FD211F">
        <w:rPr>
          <w:sz w:val="36"/>
          <w:szCs w:val="36"/>
          <w:rtl/>
        </w:rPr>
        <w:t>الانقاذ</w:t>
      </w:r>
      <w:r w:rsidR="00E8128F">
        <w:rPr>
          <w:sz w:val="36"/>
          <w:szCs w:val="36"/>
          <w:rtl/>
        </w:rPr>
        <w:t xml:space="preserve"> </w:t>
      </w:r>
      <w:r w:rsidR="00B66FE4" w:rsidRPr="00FD211F">
        <w:rPr>
          <w:sz w:val="36"/>
          <w:szCs w:val="36"/>
          <w:rtl/>
        </w:rPr>
        <w:t>عليه.</w:t>
      </w:r>
    </w:p>
    <w:p w14:paraId="631DB541" w14:textId="77777777" w:rsidR="004B6CC8" w:rsidRPr="00FD211F" w:rsidRDefault="004B6CC8" w:rsidP="009C58C8">
      <w:pPr>
        <w:ind w:left="0" w:firstLine="227"/>
        <w:jc w:val="both"/>
        <w:rPr>
          <w:sz w:val="36"/>
          <w:szCs w:val="36"/>
          <w:rtl/>
        </w:rPr>
      </w:pPr>
      <w:r w:rsidRPr="00FD211F">
        <w:rPr>
          <w:sz w:val="36"/>
          <w:szCs w:val="36"/>
          <w:rtl/>
        </w:rPr>
        <w:t>لكن</w:t>
      </w:r>
      <w:r w:rsidR="00E8128F">
        <w:rPr>
          <w:sz w:val="36"/>
          <w:szCs w:val="36"/>
          <w:rtl/>
        </w:rPr>
        <w:t xml:space="preserve"> </w:t>
      </w:r>
      <w:r w:rsidRPr="00FD211F">
        <w:rPr>
          <w:sz w:val="36"/>
          <w:szCs w:val="36"/>
          <w:rtl/>
        </w:rPr>
        <w:t>المهم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الجواب</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النقض</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لاوجه</w:t>
      </w:r>
      <w:r w:rsidR="00E8128F">
        <w:rPr>
          <w:sz w:val="36"/>
          <w:szCs w:val="36"/>
          <w:rtl/>
        </w:rPr>
        <w:t xml:space="preserve"> </w:t>
      </w:r>
      <w:r w:rsidRPr="00FD211F">
        <w:rPr>
          <w:sz w:val="36"/>
          <w:szCs w:val="36"/>
          <w:rtl/>
        </w:rPr>
        <w:t>لدعوى</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المراد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يراد</w:t>
      </w:r>
      <w:r w:rsidR="00E8128F">
        <w:rPr>
          <w:sz w:val="36"/>
          <w:szCs w:val="36"/>
          <w:rtl/>
        </w:rPr>
        <w:t xml:space="preserve"> </w:t>
      </w:r>
      <w:r w:rsidRPr="00FD211F">
        <w:rPr>
          <w:sz w:val="36"/>
          <w:szCs w:val="36"/>
          <w:rtl/>
        </w:rPr>
        <w:t>استنباطه</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النفسي</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استنباط</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الغيري</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غرض</w:t>
      </w:r>
      <w:r w:rsidR="00E8128F">
        <w:rPr>
          <w:sz w:val="36"/>
          <w:szCs w:val="36"/>
          <w:rtl/>
        </w:rPr>
        <w:t xml:space="preserve"> </w:t>
      </w:r>
      <w:r w:rsidRPr="00FD211F">
        <w:rPr>
          <w:sz w:val="36"/>
          <w:szCs w:val="36"/>
          <w:rtl/>
        </w:rPr>
        <w:t>الفقيه</w:t>
      </w:r>
      <w:r w:rsidR="00E8128F">
        <w:rPr>
          <w:sz w:val="36"/>
          <w:szCs w:val="36"/>
          <w:rtl/>
        </w:rPr>
        <w:t xml:space="preserve"> </w:t>
      </w:r>
      <w:r w:rsidRPr="00FD211F">
        <w:rPr>
          <w:sz w:val="36"/>
          <w:szCs w:val="36"/>
          <w:rtl/>
        </w:rPr>
        <w:t>أيضا</w:t>
      </w:r>
      <w:r w:rsidR="00E8128F">
        <w:rPr>
          <w:sz w:val="36"/>
          <w:szCs w:val="36"/>
          <w:rtl/>
        </w:rPr>
        <w:t xml:space="preserve"> </w:t>
      </w:r>
      <w:r w:rsidRPr="00FD211F">
        <w:rPr>
          <w:sz w:val="36"/>
          <w:szCs w:val="36"/>
          <w:rtl/>
        </w:rPr>
        <w:t>بلحاظ</w:t>
      </w:r>
      <w:r w:rsidR="00E8128F">
        <w:rPr>
          <w:sz w:val="36"/>
          <w:szCs w:val="36"/>
          <w:rtl/>
        </w:rPr>
        <w:t xml:space="preserve"> </w:t>
      </w:r>
      <w:r w:rsidRPr="00FD211F">
        <w:rPr>
          <w:sz w:val="36"/>
          <w:szCs w:val="36"/>
          <w:rtl/>
        </w:rPr>
        <w:t>ترتب</w:t>
      </w:r>
      <w:r w:rsidR="00E8128F">
        <w:rPr>
          <w:sz w:val="36"/>
          <w:szCs w:val="36"/>
          <w:rtl/>
        </w:rPr>
        <w:t xml:space="preserve"> </w:t>
      </w:r>
      <w:r w:rsidRPr="00FD211F">
        <w:rPr>
          <w:sz w:val="36"/>
          <w:szCs w:val="36"/>
          <w:rtl/>
        </w:rPr>
        <w:t>الثمرات</w:t>
      </w:r>
      <w:r w:rsidR="00E8128F">
        <w:rPr>
          <w:sz w:val="36"/>
          <w:szCs w:val="36"/>
          <w:rtl/>
        </w:rPr>
        <w:t xml:space="preserve"> </w:t>
      </w:r>
      <w:r w:rsidRPr="00FD211F">
        <w:rPr>
          <w:sz w:val="36"/>
          <w:szCs w:val="36"/>
          <w:rtl/>
        </w:rPr>
        <w:t>الفقهي</w:t>
      </w:r>
      <w:r w:rsidR="00EC7EDF" w:rsidRPr="00FD211F">
        <w:rPr>
          <w:sz w:val="36"/>
          <w:szCs w:val="36"/>
          <w:rtl/>
        </w:rPr>
        <w:t>ة</w:t>
      </w:r>
      <w:r w:rsidR="00E8128F">
        <w:rPr>
          <w:sz w:val="36"/>
          <w:szCs w:val="36"/>
          <w:rtl/>
        </w:rPr>
        <w:t xml:space="preserve"> </w:t>
      </w:r>
      <w:r w:rsidRPr="00FD211F">
        <w:rPr>
          <w:sz w:val="36"/>
          <w:szCs w:val="36"/>
          <w:rtl/>
        </w:rPr>
        <w:t>عليه.</w:t>
      </w:r>
    </w:p>
    <w:p w14:paraId="05BF61AC" w14:textId="77777777" w:rsidR="00BE7EA7" w:rsidRPr="00FD211F" w:rsidRDefault="005C5EB7"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فيرد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تعريف</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00A61BAE" w:rsidRPr="00FD211F">
        <w:rPr>
          <w:sz w:val="36"/>
          <w:szCs w:val="36"/>
          <w:rtl/>
        </w:rPr>
        <w:t>"قده"</w:t>
      </w:r>
      <w:r w:rsidR="00E8128F">
        <w:rPr>
          <w:sz w:val="36"/>
          <w:szCs w:val="36"/>
          <w:rtl/>
        </w:rPr>
        <w:t xml:space="preserve"> </w:t>
      </w:r>
      <w:r w:rsidRPr="00FD211F">
        <w:rPr>
          <w:sz w:val="36"/>
          <w:szCs w:val="36"/>
          <w:rtl/>
        </w:rPr>
        <w:t>لعلم</w:t>
      </w:r>
      <w:r w:rsidR="00E8128F">
        <w:rPr>
          <w:sz w:val="36"/>
          <w:szCs w:val="36"/>
          <w:rtl/>
        </w:rPr>
        <w:t xml:space="preserve"> </w:t>
      </w:r>
      <w:r w:rsidRPr="00FD211F">
        <w:rPr>
          <w:sz w:val="36"/>
          <w:szCs w:val="36"/>
          <w:rtl/>
        </w:rPr>
        <w:t>الأصول</w:t>
      </w:r>
      <w:r w:rsidR="00E8128F">
        <w:rPr>
          <w:sz w:val="36"/>
          <w:szCs w:val="36"/>
          <w:rtl/>
        </w:rPr>
        <w:t xml:space="preserve"> </w:t>
      </w:r>
      <w:r w:rsidR="00211C80" w:rsidRPr="00FD211F">
        <w:rPr>
          <w:b/>
          <w:bCs/>
          <w:sz w:val="36"/>
          <w:szCs w:val="36"/>
          <w:rtl/>
        </w:rPr>
        <w:t>اولا</w:t>
      </w:r>
      <w:r w:rsidR="00885A87" w:rsidRPr="00FD211F">
        <w:rPr>
          <w:sz w:val="36"/>
          <w:szCs w:val="36"/>
          <w:rtl/>
        </w:rPr>
        <w:t>:</w:t>
      </w:r>
      <w:r w:rsidR="00E8128F">
        <w:rPr>
          <w:sz w:val="36"/>
          <w:szCs w:val="36"/>
          <w:rtl/>
        </w:rPr>
        <w:t xml:space="preserve"> </w:t>
      </w:r>
      <w:r w:rsidR="00211C80" w:rsidRPr="00FD211F">
        <w:rPr>
          <w:sz w:val="36"/>
          <w:szCs w:val="36"/>
          <w:rtl/>
        </w:rPr>
        <w:t>النقض</w:t>
      </w:r>
      <w:r w:rsidR="00E8128F">
        <w:rPr>
          <w:sz w:val="36"/>
          <w:szCs w:val="36"/>
          <w:rtl/>
        </w:rPr>
        <w:t xml:space="preserve"> </w:t>
      </w:r>
      <w:r w:rsidR="00211C80" w:rsidRPr="00FD211F">
        <w:rPr>
          <w:sz w:val="36"/>
          <w:szCs w:val="36"/>
          <w:rtl/>
        </w:rPr>
        <w:t>بالمباحث</w:t>
      </w:r>
      <w:r w:rsidR="00E8128F">
        <w:rPr>
          <w:sz w:val="36"/>
          <w:szCs w:val="36"/>
          <w:rtl/>
        </w:rPr>
        <w:t xml:space="preserve"> </w:t>
      </w:r>
      <w:r w:rsidR="00211C80" w:rsidRPr="00FD211F">
        <w:rPr>
          <w:sz w:val="36"/>
          <w:szCs w:val="36"/>
          <w:rtl/>
        </w:rPr>
        <w:t>التي</w:t>
      </w:r>
      <w:r w:rsidR="00E8128F">
        <w:rPr>
          <w:sz w:val="36"/>
          <w:szCs w:val="36"/>
          <w:rtl/>
        </w:rPr>
        <w:t xml:space="preserve"> </w:t>
      </w:r>
      <w:r w:rsidR="00211C80" w:rsidRPr="00FD211F">
        <w:rPr>
          <w:sz w:val="36"/>
          <w:szCs w:val="36"/>
          <w:rtl/>
        </w:rPr>
        <w:t>ترتبط</w:t>
      </w:r>
      <w:r w:rsidR="00E8128F">
        <w:rPr>
          <w:sz w:val="36"/>
          <w:szCs w:val="36"/>
          <w:rtl/>
        </w:rPr>
        <w:t xml:space="preserve"> </w:t>
      </w:r>
      <w:r w:rsidR="00211C80" w:rsidRPr="00FD211F">
        <w:rPr>
          <w:sz w:val="36"/>
          <w:szCs w:val="36"/>
          <w:rtl/>
        </w:rPr>
        <w:t>بتشخيص</w:t>
      </w:r>
      <w:r w:rsidR="00E8128F">
        <w:rPr>
          <w:sz w:val="36"/>
          <w:szCs w:val="36"/>
          <w:rtl/>
        </w:rPr>
        <w:t xml:space="preserve"> </w:t>
      </w:r>
      <w:r w:rsidR="00211C80" w:rsidRPr="00FD211F">
        <w:rPr>
          <w:sz w:val="36"/>
          <w:szCs w:val="36"/>
          <w:rtl/>
        </w:rPr>
        <w:t>صغريات</w:t>
      </w:r>
      <w:r w:rsidR="00E8128F">
        <w:rPr>
          <w:sz w:val="36"/>
          <w:szCs w:val="36"/>
          <w:rtl/>
        </w:rPr>
        <w:t xml:space="preserve"> </w:t>
      </w:r>
      <w:r w:rsidR="00211C80" w:rsidRPr="00FD211F">
        <w:rPr>
          <w:sz w:val="36"/>
          <w:szCs w:val="36"/>
          <w:rtl/>
        </w:rPr>
        <w:t>الجمع</w:t>
      </w:r>
      <w:r w:rsidR="00E8128F">
        <w:rPr>
          <w:sz w:val="36"/>
          <w:szCs w:val="36"/>
          <w:rtl/>
        </w:rPr>
        <w:t xml:space="preserve"> </w:t>
      </w:r>
      <w:r w:rsidR="00211C80" w:rsidRPr="00FD211F">
        <w:rPr>
          <w:sz w:val="36"/>
          <w:szCs w:val="36"/>
          <w:rtl/>
        </w:rPr>
        <w:t>العرفي</w:t>
      </w:r>
      <w:r w:rsidR="00E8128F">
        <w:rPr>
          <w:sz w:val="36"/>
          <w:szCs w:val="36"/>
          <w:rtl/>
        </w:rPr>
        <w:t xml:space="preserve"> </w:t>
      </w:r>
      <w:r w:rsidR="00211C80" w:rsidRPr="00FD211F">
        <w:rPr>
          <w:sz w:val="36"/>
          <w:szCs w:val="36"/>
          <w:rtl/>
        </w:rPr>
        <w:t>كالبحث</w:t>
      </w:r>
      <w:r w:rsidR="00E8128F">
        <w:rPr>
          <w:sz w:val="36"/>
          <w:szCs w:val="36"/>
          <w:rtl/>
        </w:rPr>
        <w:t xml:space="preserve"> </w:t>
      </w:r>
      <w:r w:rsidR="00211C80" w:rsidRPr="00FD211F">
        <w:rPr>
          <w:sz w:val="36"/>
          <w:szCs w:val="36"/>
          <w:rtl/>
        </w:rPr>
        <w:t>عن</w:t>
      </w:r>
      <w:r w:rsidR="00E8128F">
        <w:rPr>
          <w:sz w:val="36"/>
          <w:szCs w:val="36"/>
          <w:rtl/>
        </w:rPr>
        <w:t xml:space="preserve"> </w:t>
      </w:r>
      <w:r w:rsidR="00211C80" w:rsidRPr="00FD211F">
        <w:rPr>
          <w:sz w:val="36"/>
          <w:szCs w:val="36"/>
          <w:rtl/>
        </w:rPr>
        <w:t>انه</w:t>
      </w:r>
      <w:r w:rsidR="00E8128F">
        <w:rPr>
          <w:sz w:val="36"/>
          <w:szCs w:val="36"/>
          <w:rtl/>
        </w:rPr>
        <w:t xml:space="preserve"> </w:t>
      </w:r>
      <w:r w:rsidR="00211C80" w:rsidRPr="00FD211F">
        <w:rPr>
          <w:sz w:val="36"/>
          <w:szCs w:val="36"/>
          <w:rtl/>
        </w:rPr>
        <w:t>هل</w:t>
      </w:r>
      <w:r w:rsidR="00E8128F">
        <w:rPr>
          <w:sz w:val="36"/>
          <w:szCs w:val="36"/>
          <w:rtl/>
        </w:rPr>
        <w:t xml:space="preserve"> </w:t>
      </w:r>
      <w:r w:rsidR="00211C80" w:rsidRPr="00FD211F">
        <w:rPr>
          <w:sz w:val="36"/>
          <w:szCs w:val="36"/>
          <w:rtl/>
        </w:rPr>
        <w:t>يكون</w:t>
      </w:r>
      <w:r w:rsidR="00E8128F">
        <w:rPr>
          <w:sz w:val="36"/>
          <w:szCs w:val="36"/>
          <w:rtl/>
        </w:rPr>
        <w:t xml:space="preserve"> </w:t>
      </w:r>
      <w:r w:rsidR="00211C80" w:rsidRPr="00FD211F">
        <w:rPr>
          <w:sz w:val="36"/>
          <w:szCs w:val="36"/>
          <w:rtl/>
        </w:rPr>
        <w:t>تقديم</w:t>
      </w:r>
      <w:r w:rsidR="00E8128F">
        <w:rPr>
          <w:sz w:val="36"/>
          <w:szCs w:val="36"/>
          <w:rtl/>
        </w:rPr>
        <w:t xml:space="preserve"> </w:t>
      </w:r>
      <w:r w:rsidR="00211C80" w:rsidRPr="00FD211F">
        <w:rPr>
          <w:sz w:val="36"/>
          <w:szCs w:val="36"/>
          <w:rtl/>
        </w:rPr>
        <w:t>العام</w:t>
      </w:r>
      <w:r w:rsidR="00E8128F">
        <w:rPr>
          <w:sz w:val="36"/>
          <w:szCs w:val="36"/>
          <w:rtl/>
        </w:rPr>
        <w:t xml:space="preserve"> </w:t>
      </w:r>
      <w:r w:rsidR="00211C80" w:rsidRPr="00FD211F">
        <w:rPr>
          <w:sz w:val="36"/>
          <w:szCs w:val="36"/>
          <w:rtl/>
        </w:rPr>
        <w:t>على</w:t>
      </w:r>
      <w:r w:rsidR="00E8128F">
        <w:rPr>
          <w:sz w:val="36"/>
          <w:szCs w:val="36"/>
          <w:rtl/>
        </w:rPr>
        <w:t xml:space="preserve"> </w:t>
      </w:r>
      <w:r w:rsidR="00211C80" w:rsidRPr="00FD211F">
        <w:rPr>
          <w:sz w:val="36"/>
          <w:szCs w:val="36"/>
          <w:rtl/>
        </w:rPr>
        <w:t>المطلق</w:t>
      </w:r>
      <w:r w:rsidR="00E8128F">
        <w:rPr>
          <w:sz w:val="36"/>
          <w:szCs w:val="36"/>
          <w:rtl/>
        </w:rPr>
        <w:t xml:space="preserve"> </w:t>
      </w:r>
      <w:r w:rsidR="00211C80" w:rsidRPr="00FD211F">
        <w:rPr>
          <w:sz w:val="36"/>
          <w:szCs w:val="36"/>
          <w:rtl/>
        </w:rPr>
        <w:t>في</w:t>
      </w:r>
      <w:r w:rsidR="00E8128F">
        <w:rPr>
          <w:sz w:val="36"/>
          <w:szCs w:val="36"/>
          <w:rtl/>
        </w:rPr>
        <w:t xml:space="preserve"> </w:t>
      </w:r>
      <w:r w:rsidR="00211C80" w:rsidRPr="00FD211F">
        <w:rPr>
          <w:sz w:val="36"/>
          <w:szCs w:val="36"/>
          <w:rtl/>
        </w:rPr>
        <w:t>مورد</w:t>
      </w:r>
      <w:r w:rsidR="00E8128F">
        <w:rPr>
          <w:sz w:val="36"/>
          <w:szCs w:val="36"/>
          <w:rtl/>
        </w:rPr>
        <w:t xml:space="preserve"> </w:t>
      </w:r>
      <w:r w:rsidR="00211C80" w:rsidRPr="00FD211F">
        <w:rPr>
          <w:sz w:val="36"/>
          <w:szCs w:val="36"/>
          <w:rtl/>
        </w:rPr>
        <w:t>تعارضهما</w:t>
      </w:r>
      <w:r w:rsidR="00E8128F">
        <w:rPr>
          <w:sz w:val="36"/>
          <w:szCs w:val="36"/>
          <w:rtl/>
        </w:rPr>
        <w:t xml:space="preserve"> </w:t>
      </w:r>
      <w:r w:rsidR="00211C80" w:rsidRPr="00FD211F">
        <w:rPr>
          <w:sz w:val="36"/>
          <w:szCs w:val="36"/>
          <w:rtl/>
        </w:rPr>
        <w:t>بالعموم</w:t>
      </w:r>
      <w:r w:rsidR="00E8128F">
        <w:rPr>
          <w:sz w:val="36"/>
          <w:szCs w:val="36"/>
          <w:rtl/>
        </w:rPr>
        <w:t xml:space="preserve"> </w:t>
      </w:r>
      <w:r w:rsidR="00211C80" w:rsidRPr="00FD211F">
        <w:rPr>
          <w:sz w:val="36"/>
          <w:szCs w:val="36"/>
          <w:rtl/>
        </w:rPr>
        <w:t>من</w:t>
      </w:r>
      <w:r w:rsidR="00E8128F">
        <w:rPr>
          <w:sz w:val="36"/>
          <w:szCs w:val="36"/>
          <w:rtl/>
        </w:rPr>
        <w:t xml:space="preserve"> </w:t>
      </w:r>
      <w:r w:rsidR="00211C80" w:rsidRPr="00FD211F">
        <w:rPr>
          <w:sz w:val="36"/>
          <w:szCs w:val="36"/>
          <w:rtl/>
        </w:rPr>
        <w:t>وجه</w:t>
      </w:r>
      <w:r w:rsidR="00E8128F">
        <w:rPr>
          <w:sz w:val="36"/>
          <w:szCs w:val="36"/>
          <w:rtl/>
        </w:rPr>
        <w:t xml:space="preserve"> </w:t>
      </w:r>
      <w:r w:rsidR="00211C80" w:rsidRPr="00FD211F">
        <w:rPr>
          <w:sz w:val="36"/>
          <w:szCs w:val="36"/>
          <w:rtl/>
        </w:rPr>
        <w:t>جمعا</w:t>
      </w:r>
      <w:r w:rsidR="00E8128F">
        <w:rPr>
          <w:sz w:val="36"/>
          <w:szCs w:val="36"/>
          <w:rtl/>
        </w:rPr>
        <w:t xml:space="preserve"> </w:t>
      </w:r>
      <w:r w:rsidR="00211C80" w:rsidRPr="00FD211F">
        <w:rPr>
          <w:sz w:val="36"/>
          <w:szCs w:val="36"/>
          <w:rtl/>
        </w:rPr>
        <w:t>عرفيا</w:t>
      </w:r>
      <w:r w:rsidR="00E8128F">
        <w:rPr>
          <w:sz w:val="36"/>
          <w:szCs w:val="36"/>
          <w:rtl/>
        </w:rPr>
        <w:t xml:space="preserve"> </w:t>
      </w:r>
      <w:r w:rsidR="00211C80" w:rsidRPr="00FD211F">
        <w:rPr>
          <w:sz w:val="36"/>
          <w:szCs w:val="36"/>
          <w:rtl/>
        </w:rPr>
        <w:t>ام</w:t>
      </w:r>
      <w:r w:rsidR="00E8128F">
        <w:rPr>
          <w:sz w:val="36"/>
          <w:szCs w:val="36"/>
          <w:rtl/>
        </w:rPr>
        <w:t xml:space="preserve"> </w:t>
      </w:r>
      <w:r w:rsidR="00211C80" w:rsidRPr="00FD211F">
        <w:rPr>
          <w:sz w:val="36"/>
          <w:szCs w:val="36"/>
          <w:rtl/>
        </w:rPr>
        <w:t>لا</w:t>
      </w:r>
      <w:r w:rsidR="00E8128F">
        <w:rPr>
          <w:sz w:val="36"/>
          <w:szCs w:val="36"/>
          <w:rtl/>
        </w:rPr>
        <w:t xml:space="preserve"> </w:t>
      </w:r>
      <w:r w:rsidR="00211C80" w:rsidRPr="00FD211F">
        <w:rPr>
          <w:sz w:val="36"/>
          <w:szCs w:val="36"/>
          <w:rtl/>
        </w:rPr>
        <w:t>مثل</w:t>
      </w:r>
      <w:r w:rsidR="00E8128F">
        <w:rPr>
          <w:sz w:val="36"/>
          <w:szCs w:val="36"/>
          <w:rtl/>
        </w:rPr>
        <w:t xml:space="preserve"> </w:t>
      </w:r>
      <w:r w:rsidR="00211C80" w:rsidRPr="00FD211F">
        <w:rPr>
          <w:sz w:val="36"/>
          <w:szCs w:val="36"/>
          <w:rtl/>
        </w:rPr>
        <w:t>تعارض</w:t>
      </w:r>
      <w:r w:rsidR="00E8128F">
        <w:rPr>
          <w:sz w:val="36"/>
          <w:szCs w:val="36"/>
          <w:rtl/>
        </w:rPr>
        <w:t xml:space="preserve"> </w:t>
      </w:r>
      <w:r w:rsidR="00211C80" w:rsidRPr="00FD211F">
        <w:rPr>
          <w:sz w:val="36"/>
          <w:szCs w:val="36"/>
          <w:rtl/>
        </w:rPr>
        <w:t>قوله</w:t>
      </w:r>
      <w:r w:rsidR="00E8128F">
        <w:rPr>
          <w:sz w:val="36"/>
          <w:szCs w:val="36"/>
          <w:rtl/>
        </w:rPr>
        <w:t xml:space="preserve"> </w:t>
      </w:r>
      <w:r w:rsidR="00211C80" w:rsidRPr="00FD211F">
        <w:rPr>
          <w:sz w:val="36"/>
          <w:szCs w:val="36"/>
          <w:rtl/>
        </w:rPr>
        <w:t>لاتكرم</w:t>
      </w:r>
      <w:r w:rsidR="00E8128F">
        <w:rPr>
          <w:sz w:val="36"/>
          <w:szCs w:val="36"/>
          <w:rtl/>
        </w:rPr>
        <w:t xml:space="preserve"> </w:t>
      </w:r>
      <w:r w:rsidR="00211C80" w:rsidRPr="00FD211F">
        <w:rPr>
          <w:sz w:val="36"/>
          <w:szCs w:val="36"/>
          <w:rtl/>
        </w:rPr>
        <w:t>اي</w:t>
      </w:r>
      <w:r w:rsidR="00E8128F">
        <w:rPr>
          <w:sz w:val="36"/>
          <w:szCs w:val="36"/>
          <w:rtl/>
        </w:rPr>
        <w:t xml:space="preserve"> </w:t>
      </w:r>
      <w:r w:rsidR="00211C80" w:rsidRPr="00FD211F">
        <w:rPr>
          <w:sz w:val="36"/>
          <w:szCs w:val="36"/>
          <w:rtl/>
        </w:rPr>
        <w:t>فاسق</w:t>
      </w:r>
      <w:r w:rsidR="00E8128F">
        <w:rPr>
          <w:sz w:val="36"/>
          <w:szCs w:val="36"/>
          <w:rtl/>
        </w:rPr>
        <w:t xml:space="preserve"> </w:t>
      </w:r>
      <w:r w:rsidR="00211C80" w:rsidRPr="00FD211F">
        <w:rPr>
          <w:sz w:val="36"/>
          <w:szCs w:val="36"/>
          <w:rtl/>
        </w:rPr>
        <w:t>مع</w:t>
      </w:r>
      <w:r w:rsidR="00E8128F">
        <w:rPr>
          <w:sz w:val="36"/>
          <w:szCs w:val="36"/>
          <w:rtl/>
        </w:rPr>
        <w:t xml:space="preserve"> </w:t>
      </w:r>
      <w:r w:rsidR="00211C80" w:rsidRPr="00FD211F">
        <w:rPr>
          <w:sz w:val="36"/>
          <w:szCs w:val="36"/>
          <w:rtl/>
        </w:rPr>
        <w:t>قوله</w:t>
      </w:r>
      <w:r w:rsidR="00E8128F">
        <w:rPr>
          <w:sz w:val="36"/>
          <w:szCs w:val="36"/>
          <w:rtl/>
        </w:rPr>
        <w:t xml:space="preserve"> </w:t>
      </w:r>
      <w:r w:rsidR="00211C80" w:rsidRPr="00FD211F">
        <w:rPr>
          <w:sz w:val="36"/>
          <w:szCs w:val="36"/>
          <w:rtl/>
        </w:rPr>
        <w:t>اكرم</w:t>
      </w:r>
      <w:r w:rsidR="00E8128F">
        <w:rPr>
          <w:sz w:val="36"/>
          <w:szCs w:val="36"/>
          <w:rtl/>
        </w:rPr>
        <w:t xml:space="preserve"> </w:t>
      </w:r>
      <w:r w:rsidR="00211C80" w:rsidRPr="00FD211F">
        <w:rPr>
          <w:sz w:val="36"/>
          <w:szCs w:val="36"/>
          <w:rtl/>
        </w:rPr>
        <w:t>العالم</w:t>
      </w:r>
      <w:r w:rsidR="00603323" w:rsidRPr="00FD211F">
        <w:rPr>
          <w:sz w:val="36"/>
          <w:szCs w:val="36"/>
          <w:rtl/>
        </w:rPr>
        <w:t>،</w:t>
      </w:r>
      <w:r w:rsidR="00E8128F">
        <w:rPr>
          <w:sz w:val="36"/>
          <w:szCs w:val="36"/>
          <w:rtl/>
        </w:rPr>
        <w:t xml:space="preserve"> </w:t>
      </w:r>
      <w:r w:rsidR="00861DF8" w:rsidRPr="00FD211F">
        <w:rPr>
          <w:sz w:val="36"/>
          <w:szCs w:val="36"/>
          <w:rtl/>
        </w:rPr>
        <w:t>فان</w:t>
      </w:r>
      <w:r w:rsidR="00E8128F">
        <w:rPr>
          <w:sz w:val="36"/>
          <w:szCs w:val="36"/>
          <w:rtl/>
        </w:rPr>
        <w:t xml:space="preserve"> </w:t>
      </w:r>
      <w:r w:rsidR="00861DF8" w:rsidRPr="00FD211F">
        <w:rPr>
          <w:sz w:val="36"/>
          <w:szCs w:val="36"/>
          <w:rtl/>
        </w:rPr>
        <w:t>هذه</w:t>
      </w:r>
      <w:r w:rsidR="00E8128F">
        <w:rPr>
          <w:sz w:val="36"/>
          <w:szCs w:val="36"/>
          <w:rtl/>
        </w:rPr>
        <w:t xml:space="preserve"> </w:t>
      </w:r>
      <w:r w:rsidR="00861DF8" w:rsidRPr="00FD211F">
        <w:rPr>
          <w:sz w:val="36"/>
          <w:szCs w:val="36"/>
          <w:rtl/>
        </w:rPr>
        <w:t>المباحث</w:t>
      </w:r>
      <w:r w:rsidR="00E8128F">
        <w:rPr>
          <w:sz w:val="36"/>
          <w:szCs w:val="36"/>
          <w:rtl/>
        </w:rPr>
        <w:t xml:space="preserve"> </w:t>
      </w:r>
      <w:r w:rsidR="00211C80" w:rsidRPr="00FD211F">
        <w:rPr>
          <w:sz w:val="36"/>
          <w:szCs w:val="36"/>
          <w:rtl/>
        </w:rPr>
        <w:t>تكون</w:t>
      </w:r>
      <w:r w:rsidR="00E8128F">
        <w:rPr>
          <w:sz w:val="36"/>
          <w:szCs w:val="36"/>
          <w:rtl/>
        </w:rPr>
        <w:t xml:space="preserve"> </w:t>
      </w:r>
      <w:r w:rsidR="00211C80" w:rsidRPr="00FD211F">
        <w:rPr>
          <w:sz w:val="36"/>
          <w:szCs w:val="36"/>
          <w:rtl/>
        </w:rPr>
        <w:t>من</w:t>
      </w:r>
      <w:r w:rsidR="00E8128F">
        <w:rPr>
          <w:sz w:val="36"/>
          <w:szCs w:val="36"/>
          <w:rtl/>
        </w:rPr>
        <w:t xml:space="preserve"> </w:t>
      </w:r>
      <w:r w:rsidR="00211C80" w:rsidRPr="00FD211F">
        <w:rPr>
          <w:sz w:val="36"/>
          <w:szCs w:val="36"/>
          <w:rtl/>
        </w:rPr>
        <w:t>مباحث</w:t>
      </w:r>
      <w:r w:rsidR="00E8128F">
        <w:rPr>
          <w:sz w:val="36"/>
          <w:szCs w:val="36"/>
          <w:rtl/>
        </w:rPr>
        <w:t xml:space="preserve"> </w:t>
      </w:r>
      <w:r w:rsidR="00211C80" w:rsidRPr="00FD211F">
        <w:rPr>
          <w:sz w:val="36"/>
          <w:szCs w:val="36"/>
          <w:rtl/>
        </w:rPr>
        <w:t>علم</w:t>
      </w:r>
      <w:r w:rsidR="00E8128F">
        <w:rPr>
          <w:sz w:val="36"/>
          <w:szCs w:val="36"/>
          <w:rtl/>
        </w:rPr>
        <w:t xml:space="preserve"> </w:t>
      </w:r>
      <w:r w:rsidR="00211C80" w:rsidRPr="00FD211F">
        <w:rPr>
          <w:sz w:val="36"/>
          <w:szCs w:val="36"/>
          <w:rtl/>
        </w:rPr>
        <w:t>الاصول</w:t>
      </w:r>
      <w:r w:rsidR="00E8128F">
        <w:rPr>
          <w:sz w:val="36"/>
          <w:szCs w:val="36"/>
          <w:rtl/>
        </w:rPr>
        <w:t xml:space="preserve"> </w:t>
      </w:r>
      <w:r w:rsidR="00211C80" w:rsidRPr="00FD211F">
        <w:rPr>
          <w:sz w:val="36"/>
          <w:szCs w:val="36"/>
          <w:rtl/>
        </w:rPr>
        <w:t>جزما</w:t>
      </w:r>
      <w:r w:rsidR="00603323" w:rsidRPr="00FD211F">
        <w:rPr>
          <w:sz w:val="36"/>
          <w:szCs w:val="36"/>
          <w:rtl/>
        </w:rPr>
        <w:t>،</w:t>
      </w:r>
      <w:r w:rsidR="00E8128F">
        <w:rPr>
          <w:sz w:val="36"/>
          <w:szCs w:val="36"/>
          <w:rtl/>
        </w:rPr>
        <w:t xml:space="preserve"> </w:t>
      </w:r>
      <w:r w:rsidR="00211C80" w:rsidRPr="00FD211F">
        <w:rPr>
          <w:sz w:val="36"/>
          <w:szCs w:val="36"/>
          <w:rtl/>
        </w:rPr>
        <w:t>مع</w:t>
      </w:r>
      <w:r w:rsidR="00E8128F">
        <w:rPr>
          <w:sz w:val="36"/>
          <w:szCs w:val="36"/>
          <w:rtl/>
        </w:rPr>
        <w:t xml:space="preserve"> </w:t>
      </w:r>
      <w:r w:rsidR="00211C80" w:rsidRPr="00FD211F">
        <w:rPr>
          <w:sz w:val="36"/>
          <w:szCs w:val="36"/>
          <w:rtl/>
        </w:rPr>
        <w:t>انه</w:t>
      </w:r>
      <w:r w:rsidR="00E8128F">
        <w:rPr>
          <w:sz w:val="36"/>
          <w:szCs w:val="36"/>
          <w:rtl/>
        </w:rPr>
        <w:t xml:space="preserve"> </w:t>
      </w:r>
      <w:r w:rsidR="00211C80" w:rsidRPr="00FD211F">
        <w:rPr>
          <w:sz w:val="36"/>
          <w:szCs w:val="36"/>
          <w:rtl/>
        </w:rPr>
        <w:t>لايمكن</w:t>
      </w:r>
      <w:r w:rsidR="00E8128F">
        <w:rPr>
          <w:sz w:val="36"/>
          <w:szCs w:val="36"/>
          <w:rtl/>
        </w:rPr>
        <w:t xml:space="preserve"> </w:t>
      </w:r>
      <w:r w:rsidR="00211C80" w:rsidRPr="00FD211F">
        <w:rPr>
          <w:sz w:val="36"/>
          <w:szCs w:val="36"/>
          <w:rtl/>
        </w:rPr>
        <w:t>استنباط</w:t>
      </w:r>
      <w:r w:rsidR="00E8128F">
        <w:rPr>
          <w:sz w:val="36"/>
          <w:szCs w:val="36"/>
          <w:rtl/>
        </w:rPr>
        <w:t xml:space="preserve"> </w:t>
      </w:r>
      <w:r w:rsidR="00211C80" w:rsidRPr="00FD211F">
        <w:rPr>
          <w:sz w:val="36"/>
          <w:szCs w:val="36"/>
          <w:rtl/>
        </w:rPr>
        <w:t>الحكم</w:t>
      </w:r>
      <w:r w:rsidR="00E8128F">
        <w:rPr>
          <w:sz w:val="36"/>
          <w:szCs w:val="36"/>
          <w:rtl/>
        </w:rPr>
        <w:t xml:space="preserve"> </w:t>
      </w:r>
      <w:r w:rsidR="00211C80" w:rsidRPr="00FD211F">
        <w:rPr>
          <w:sz w:val="36"/>
          <w:szCs w:val="36"/>
          <w:rtl/>
        </w:rPr>
        <w:t>الشرعي</w:t>
      </w:r>
      <w:r w:rsidR="00E8128F">
        <w:rPr>
          <w:sz w:val="36"/>
          <w:szCs w:val="36"/>
          <w:rtl/>
        </w:rPr>
        <w:t xml:space="preserve"> </w:t>
      </w:r>
      <w:r w:rsidR="00211C80" w:rsidRPr="00FD211F">
        <w:rPr>
          <w:sz w:val="36"/>
          <w:szCs w:val="36"/>
          <w:rtl/>
        </w:rPr>
        <w:t>منها</w:t>
      </w:r>
      <w:r w:rsidR="00E8128F">
        <w:rPr>
          <w:sz w:val="36"/>
          <w:szCs w:val="36"/>
          <w:rtl/>
        </w:rPr>
        <w:t xml:space="preserve"> </w:t>
      </w:r>
      <w:r w:rsidR="00211C80" w:rsidRPr="00FD211F">
        <w:rPr>
          <w:sz w:val="36"/>
          <w:szCs w:val="36"/>
          <w:rtl/>
        </w:rPr>
        <w:t>الا</w:t>
      </w:r>
      <w:r w:rsidR="00E8128F">
        <w:rPr>
          <w:sz w:val="36"/>
          <w:szCs w:val="36"/>
          <w:rtl/>
        </w:rPr>
        <w:t xml:space="preserve"> </w:t>
      </w:r>
      <w:r w:rsidR="00211C80" w:rsidRPr="00FD211F">
        <w:rPr>
          <w:sz w:val="36"/>
          <w:szCs w:val="36"/>
          <w:rtl/>
        </w:rPr>
        <w:t>بتوسيط</w:t>
      </w:r>
      <w:r w:rsidR="00E8128F">
        <w:rPr>
          <w:sz w:val="36"/>
          <w:szCs w:val="36"/>
          <w:rtl/>
        </w:rPr>
        <w:t xml:space="preserve"> </w:t>
      </w:r>
      <w:r w:rsidR="00211C80" w:rsidRPr="00FD211F">
        <w:rPr>
          <w:sz w:val="36"/>
          <w:szCs w:val="36"/>
          <w:rtl/>
        </w:rPr>
        <w:t>كبرى</w:t>
      </w:r>
      <w:r w:rsidR="00E8128F">
        <w:rPr>
          <w:sz w:val="36"/>
          <w:szCs w:val="36"/>
          <w:rtl/>
        </w:rPr>
        <w:t xml:space="preserve"> </w:t>
      </w:r>
      <w:r w:rsidR="00211C80" w:rsidRPr="00FD211F">
        <w:rPr>
          <w:sz w:val="36"/>
          <w:szCs w:val="36"/>
          <w:rtl/>
        </w:rPr>
        <w:t>اعتبار</w:t>
      </w:r>
      <w:r w:rsidR="00E8128F">
        <w:rPr>
          <w:sz w:val="36"/>
          <w:szCs w:val="36"/>
          <w:rtl/>
        </w:rPr>
        <w:t xml:space="preserve"> </w:t>
      </w:r>
      <w:r w:rsidR="00211C80" w:rsidRPr="00FD211F">
        <w:rPr>
          <w:sz w:val="36"/>
          <w:szCs w:val="36"/>
          <w:rtl/>
        </w:rPr>
        <w:t>الجمع</w:t>
      </w:r>
      <w:r w:rsidR="00E8128F">
        <w:rPr>
          <w:sz w:val="36"/>
          <w:szCs w:val="36"/>
          <w:rtl/>
        </w:rPr>
        <w:t xml:space="preserve"> </w:t>
      </w:r>
      <w:r w:rsidR="00211C80" w:rsidRPr="00FD211F">
        <w:rPr>
          <w:sz w:val="36"/>
          <w:szCs w:val="36"/>
          <w:rtl/>
        </w:rPr>
        <w:t>العرفي</w:t>
      </w:r>
      <w:r w:rsidR="00603323" w:rsidRPr="00FD211F">
        <w:rPr>
          <w:sz w:val="36"/>
          <w:szCs w:val="36"/>
          <w:rtl/>
        </w:rPr>
        <w:t>،</w:t>
      </w:r>
      <w:r w:rsidR="00E8128F">
        <w:rPr>
          <w:sz w:val="36"/>
          <w:szCs w:val="36"/>
          <w:rtl/>
        </w:rPr>
        <w:t xml:space="preserve"> </w:t>
      </w:r>
      <w:r w:rsidR="00211C80" w:rsidRPr="00FD211F">
        <w:rPr>
          <w:sz w:val="36"/>
          <w:szCs w:val="36"/>
          <w:rtl/>
        </w:rPr>
        <w:t>وهذه</w:t>
      </w:r>
      <w:r w:rsidR="00E8128F">
        <w:rPr>
          <w:sz w:val="36"/>
          <w:szCs w:val="36"/>
          <w:rtl/>
        </w:rPr>
        <w:t xml:space="preserve"> </w:t>
      </w:r>
      <w:r w:rsidR="00211C80" w:rsidRPr="00FD211F">
        <w:rPr>
          <w:sz w:val="36"/>
          <w:szCs w:val="36"/>
          <w:rtl/>
        </w:rPr>
        <w:t>الكبرى</w:t>
      </w:r>
      <w:r w:rsidR="00E8128F">
        <w:rPr>
          <w:sz w:val="36"/>
          <w:szCs w:val="36"/>
          <w:rtl/>
        </w:rPr>
        <w:t xml:space="preserve"> </w:t>
      </w:r>
      <w:r w:rsidR="00211C80" w:rsidRPr="00FD211F">
        <w:rPr>
          <w:sz w:val="36"/>
          <w:szCs w:val="36"/>
          <w:rtl/>
        </w:rPr>
        <w:t>ليست</w:t>
      </w:r>
      <w:r w:rsidR="00E8128F">
        <w:rPr>
          <w:sz w:val="36"/>
          <w:szCs w:val="36"/>
          <w:rtl/>
        </w:rPr>
        <w:t xml:space="preserve"> </w:t>
      </w:r>
      <w:r w:rsidR="00211C80" w:rsidRPr="00FD211F">
        <w:rPr>
          <w:sz w:val="36"/>
          <w:szCs w:val="36"/>
          <w:rtl/>
        </w:rPr>
        <w:t>بديهي</w:t>
      </w:r>
      <w:r w:rsidR="00EC7EDF" w:rsidRPr="00FD211F">
        <w:rPr>
          <w:sz w:val="36"/>
          <w:szCs w:val="36"/>
          <w:rtl/>
        </w:rPr>
        <w:t>ة</w:t>
      </w:r>
      <w:r w:rsidR="00603323" w:rsidRPr="00FD211F">
        <w:rPr>
          <w:sz w:val="36"/>
          <w:szCs w:val="36"/>
          <w:rtl/>
        </w:rPr>
        <w:t>،</w:t>
      </w:r>
      <w:r w:rsidR="00E8128F">
        <w:rPr>
          <w:sz w:val="36"/>
          <w:szCs w:val="36"/>
          <w:rtl/>
        </w:rPr>
        <w:t xml:space="preserve"> </w:t>
      </w:r>
      <w:r w:rsidR="00211C80" w:rsidRPr="00FD211F">
        <w:rPr>
          <w:sz w:val="36"/>
          <w:szCs w:val="36"/>
          <w:rtl/>
        </w:rPr>
        <w:t>خاص</w:t>
      </w:r>
      <w:r w:rsidR="00EC7EDF" w:rsidRPr="00FD211F">
        <w:rPr>
          <w:sz w:val="36"/>
          <w:szCs w:val="36"/>
          <w:rtl/>
        </w:rPr>
        <w:t>ة</w:t>
      </w:r>
      <w:r w:rsidR="00E8128F">
        <w:rPr>
          <w:sz w:val="36"/>
          <w:szCs w:val="36"/>
          <w:rtl/>
        </w:rPr>
        <w:t xml:space="preserve"> </w:t>
      </w:r>
      <w:r w:rsidR="00211C80" w:rsidRPr="00FD211F">
        <w:rPr>
          <w:sz w:val="36"/>
          <w:szCs w:val="36"/>
          <w:rtl/>
        </w:rPr>
        <w:t>مع</w:t>
      </w:r>
      <w:r w:rsidR="00E8128F">
        <w:rPr>
          <w:sz w:val="36"/>
          <w:szCs w:val="36"/>
          <w:rtl/>
        </w:rPr>
        <w:t xml:space="preserve"> </w:t>
      </w:r>
      <w:r w:rsidR="00211C80" w:rsidRPr="00FD211F">
        <w:rPr>
          <w:sz w:val="36"/>
          <w:szCs w:val="36"/>
          <w:rtl/>
        </w:rPr>
        <w:t>ما</w:t>
      </w:r>
      <w:r w:rsidR="00E8128F">
        <w:rPr>
          <w:sz w:val="36"/>
          <w:szCs w:val="36"/>
          <w:rtl/>
        </w:rPr>
        <w:t xml:space="preserve"> </w:t>
      </w:r>
      <w:r w:rsidR="00211C80" w:rsidRPr="00FD211F">
        <w:rPr>
          <w:sz w:val="36"/>
          <w:szCs w:val="36"/>
          <w:rtl/>
        </w:rPr>
        <w:t>حكي</w:t>
      </w:r>
      <w:r w:rsidR="00E8128F">
        <w:rPr>
          <w:sz w:val="36"/>
          <w:szCs w:val="36"/>
          <w:rtl/>
        </w:rPr>
        <w:t xml:space="preserve"> </w:t>
      </w:r>
      <w:r w:rsidR="00211C80" w:rsidRPr="00FD211F">
        <w:rPr>
          <w:sz w:val="36"/>
          <w:szCs w:val="36"/>
          <w:rtl/>
        </w:rPr>
        <w:t>عن</w:t>
      </w:r>
      <w:r w:rsidR="00E8128F">
        <w:rPr>
          <w:sz w:val="36"/>
          <w:szCs w:val="36"/>
          <w:rtl/>
        </w:rPr>
        <w:t xml:space="preserve"> </w:t>
      </w:r>
      <w:r w:rsidR="00211C80" w:rsidRPr="00FD211F">
        <w:rPr>
          <w:sz w:val="36"/>
          <w:szCs w:val="36"/>
          <w:rtl/>
        </w:rPr>
        <w:t>صاحب</w:t>
      </w:r>
      <w:r w:rsidR="00E8128F">
        <w:rPr>
          <w:sz w:val="36"/>
          <w:szCs w:val="36"/>
          <w:rtl/>
        </w:rPr>
        <w:t xml:space="preserve"> </w:t>
      </w:r>
      <w:r w:rsidR="00211C80" w:rsidRPr="00FD211F">
        <w:rPr>
          <w:sz w:val="36"/>
          <w:szCs w:val="36"/>
          <w:rtl/>
        </w:rPr>
        <w:t>الحدائق</w:t>
      </w:r>
      <w:r w:rsidR="00E8128F">
        <w:rPr>
          <w:sz w:val="36"/>
          <w:szCs w:val="36"/>
          <w:rtl/>
        </w:rPr>
        <w:t xml:space="preserve"> </w:t>
      </w:r>
      <w:r w:rsidR="007A4A0D" w:rsidRPr="00FD211F">
        <w:rPr>
          <w:sz w:val="36"/>
          <w:szCs w:val="36"/>
          <w:rtl/>
        </w:rPr>
        <w:t>“ره”</w:t>
      </w:r>
      <w:r w:rsidR="00E8128F">
        <w:rPr>
          <w:sz w:val="36"/>
          <w:szCs w:val="36"/>
          <w:rtl/>
        </w:rPr>
        <w:t xml:space="preserve"> </w:t>
      </w:r>
      <w:r w:rsidR="00211C80" w:rsidRPr="00FD211F">
        <w:rPr>
          <w:sz w:val="36"/>
          <w:szCs w:val="36"/>
          <w:rtl/>
        </w:rPr>
        <w:t>من</w:t>
      </w:r>
      <w:r w:rsidR="00E8128F">
        <w:rPr>
          <w:sz w:val="36"/>
          <w:szCs w:val="36"/>
          <w:rtl/>
        </w:rPr>
        <w:t xml:space="preserve"> </w:t>
      </w:r>
      <w:r w:rsidR="00211C80" w:rsidRPr="00FD211F">
        <w:rPr>
          <w:sz w:val="36"/>
          <w:szCs w:val="36"/>
          <w:rtl/>
        </w:rPr>
        <w:t>شمول</w:t>
      </w:r>
      <w:r w:rsidR="00E8128F">
        <w:rPr>
          <w:sz w:val="36"/>
          <w:szCs w:val="36"/>
          <w:rtl/>
        </w:rPr>
        <w:t xml:space="preserve"> </w:t>
      </w:r>
      <w:r w:rsidR="00211C80" w:rsidRPr="00FD211F">
        <w:rPr>
          <w:sz w:val="36"/>
          <w:szCs w:val="36"/>
          <w:rtl/>
        </w:rPr>
        <w:t>الأخبار</w:t>
      </w:r>
      <w:r w:rsidR="00E8128F">
        <w:rPr>
          <w:sz w:val="36"/>
          <w:szCs w:val="36"/>
          <w:rtl/>
        </w:rPr>
        <w:t xml:space="preserve"> </w:t>
      </w:r>
      <w:r w:rsidR="00211C80" w:rsidRPr="00FD211F">
        <w:rPr>
          <w:sz w:val="36"/>
          <w:szCs w:val="36"/>
          <w:rtl/>
        </w:rPr>
        <w:t>العلاجي</w:t>
      </w:r>
      <w:r w:rsidR="00EC7EDF" w:rsidRPr="00FD211F">
        <w:rPr>
          <w:sz w:val="36"/>
          <w:szCs w:val="36"/>
          <w:rtl/>
        </w:rPr>
        <w:t>ة</w:t>
      </w:r>
      <w:r w:rsidR="00E8128F">
        <w:rPr>
          <w:sz w:val="36"/>
          <w:szCs w:val="36"/>
          <w:rtl/>
        </w:rPr>
        <w:t xml:space="preserve"> </w:t>
      </w:r>
      <w:r w:rsidR="00211C80" w:rsidRPr="00FD211F">
        <w:rPr>
          <w:sz w:val="36"/>
          <w:szCs w:val="36"/>
          <w:rtl/>
        </w:rPr>
        <w:t>لموارد</w:t>
      </w:r>
      <w:r w:rsidR="00E8128F">
        <w:rPr>
          <w:sz w:val="36"/>
          <w:szCs w:val="36"/>
          <w:rtl/>
        </w:rPr>
        <w:t xml:space="preserve"> </w:t>
      </w:r>
      <w:r w:rsidR="00211C80" w:rsidRPr="00FD211F">
        <w:rPr>
          <w:sz w:val="36"/>
          <w:szCs w:val="36"/>
          <w:rtl/>
        </w:rPr>
        <w:t>من</w:t>
      </w:r>
      <w:r w:rsidR="00E8128F">
        <w:rPr>
          <w:sz w:val="36"/>
          <w:szCs w:val="36"/>
          <w:rtl/>
        </w:rPr>
        <w:t xml:space="preserve"> </w:t>
      </w:r>
      <w:r w:rsidR="00211C80" w:rsidRPr="00FD211F">
        <w:rPr>
          <w:sz w:val="36"/>
          <w:szCs w:val="36"/>
          <w:rtl/>
        </w:rPr>
        <w:t>الجمع</w:t>
      </w:r>
      <w:r w:rsidR="00E8128F">
        <w:rPr>
          <w:sz w:val="36"/>
          <w:szCs w:val="36"/>
          <w:rtl/>
        </w:rPr>
        <w:t xml:space="preserve"> </w:t>
      </w:r>
      <w:r w:rsidR="00211C80" w:rsidRPr="00FD211F">
        <w:rPr>
          <w:sz w:val="36"/>
          <w:szCs w:val="36"/>
          <w:rtl/>
        </w:rPr>
        <w:t>العرفي</w:t>
      </w:r>
      <w:r w:rsidR="00603323" w:rsidRPr="00FD211F">
        <w:rPr>
          <w:sz w:val="36"/>
          <w:szCs w:val="36"/>
          <w:rtl/>
        </w:rPr>
        <w:t>،</w:t>
      </w:r>
      <w:r w:rsidR="00E8128F">
        <w:rPr>
          <w:sz w:val="36"/>
          <w:szCs w:val="36"/>
          <w:rtl/>
        </w:rPr>
        <w:t xml:space="preserve"> </w:t>
      </w:r>
      <w:r w:rsidR="00211C80" w:rsidRPr="00FD211F">
        <w:rPr>
          <w:sz w:val="36"/>
          <w:szCs w:val="36"/>
          <w:rtl/>
        </w:rPr>
        <w:t>وقد</w:t>
      </w:r>
      <w:r w:rsidR="00E8128F">
        <w:rPr>
          <w:sz w:val="36"/>
          <w:szCs w:val="36"/>
          <w:rtl/>
        </w:rPr>
        <w:t xml:space="preserve"> </w:t>
      </w:r>
      <w:r w:rsidR="00211C80" w:rsidRPr="00FD211F">
        <w:rPr>
          <w:sz w:val="36"/>
          <w:szCs w:val="36"/>
          <w:rtl/>
        </w:rPr>
        <w:t>ذكر</w:t>
      </w:r>
      <w:r w:rsidR="00E8128F">
        <w:rPr>
          <w:sz w:val="36"/>
          <w:szCs w:val="36"/>
          <w:rtl/>
        </w:rPr>
        <w:t xml:space="preserve"> </w:t>
      </w:r>
      <w:r w:rsidR="00211C80" w:rsidRPr="00FD211F">
        <w:rPr>
          <w:sz w:val="36"/>
          <w:szCs w:val="36"/>
          <w:rtl/>
        </w:rPr>
        <w:lastRenderedPageBreak/>
        <w:t>نظيره</w:t>
      </w:r>
      <w:r w:rsidR="00E8128F">
        <w:rPr>
          <w:sz w:val="36"/>
          <w:szCs w:val="36"/>
          <w:rtl/>
        </w:rPr>
        <w:t xml:space="preserve"> </w:t>
      </w:r>
      <w:r w:rsidR="00211C80" w:rsidRPr="00FD211F">
        <w:rPr>
          <w:sz w:val="36"/>
          <w:szCs w:val="36"/>
          <w:rtl/>
        </w:rPr>
        <w:t>المحقق</w:t>
      </w:r>
      <w:r w:rsidR="00E8128F">
        <w:rPr>
          <w:sz w:val="36"/>
          <w:szCs w:val="36"/>
          <w:rtl/>
        </w:rPr>
        <w:t xml:space="preserve"> </w:t>
      </w:r>
      <w:r w:rsidR="00211C80" w:rsidRPr="00FD211F">
        <w:rPr>
          <w:sz w:val="36"/>
          <w:szCs w:val="36"/>
          <w:rtl/>
        </w:rPr>
        <w:t>الحائري</w:t>
      </w:r>
      <w:r w:rsidR="00E8128F">
        <w:rPr>
          <w:sz w:val="36"/>
          <w:szCs w:val="36"/>
          <w:rtl/>
        </w:rPr>
        <w:t xml:space="preserve"> </w:t>
      </w:r>
      <w:r w:rsidR="008F14E7" w:rsidRPr="00FD211F">
        <w:rPr>
          <w:sz w:val="36"/>
          <w:szCs w:val="36"/>
          <w:rtl/>
        </w:rPr>
        <w:t>"قده"</w:t>
      </w:r>
      <w:r w:rsidR="009C58C8" w:rsidRPr="00FD211F">
        <w:rPr>
          <w:rStyle w:val="a6"/>
          <w:sz w:val="36"/>
          <w:szCs w:val="36"/>
          <w:rtl/>
        </w:rPr>
        <w:t>(</w:t>
      </w:r>
      <w:r w:rsidR="009C58C8" w:rsidRPr="00FD211F">
        <w:rPr>
          <w:rStyle w:val="a6"/>
          <w:sz w:val="36"/>
          <w:szCs w:val="36"/>
          <w:rtl/>
        </w:rPr>
        <w:footnoteReference w:id="26"/>
      </w:r>
      <w:r w:rsidR="009C58C8" w:rsidRPr="00FD211F">
        <w:rPr>
          <w:rStyle w:val="a6"/>
          <w:sz w:val="36"/>
          <w:szCs w:val="36"/>
          <w:rtl/>
        </w:rPr>
        <w:t>)</w:t>
      </w:r>
      <w:r w:rsidR="00BE7EA7" w:rsidRPr="00FD211F">
        <w:rPr>
          <w:sz w:val="36"/>
          <w:szCs w:val="36"/>
          <w:rtl/>
        </w:rPr>
        <w:t>.</w:t>
      </w:r>
    </w:p>
    <w:p w14:paraId="1A12BBE8" w14:textId="77777777" w:rsidR="00711015" w:rsidRPr="00FD211F" w:rsidRDefault="00BE7EA7" w:rsidP="009C58C8">
      <w:pPr>
        <w:ind w:left="0" w:firstLine="227"/>
        <w:jc w:val="both"/>
        <w:rPr>
          <w:sz w:val="36"/>
          <w:szCs w:val="36"/>
          <w:rtl/>
        </w:rPr>
      </w:pPr>
      <w:r w:rsidRPr="00FD211F">
        <w:rPr>
          <w:b/>
          <w:bCs/>
          <w:sz w:val="36"/>
          <w:szCs w:val="36"/>
          <w:rtl/>
        </w:rPr>
        <w:t>وثانيا</w:t>
      </w:r>
      <w:r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001F113F" w:rsidRPr="00FD211F">
        <w:rPr>
          <w:sz w:val="36"/>
          <w:szCs w:val="36"/>
          <w:rtl/>
        </w:rPr>
        <w:t>السيد</w:t>
      </w:r>
      <w:r w:rsidR="00E8128F">
        <w:rPr>
          <w:sz w:val="36"/>
          <w:szCs w:val="36"/>
          <w:rtl/>
        </w:rPr>
        <w:t xml:space="preserve"> </w:t>
      </w:r>
      <w:r w:rsidR="001F113F" w:rsidRPr="00FD211F">
        <w:rPr>
          <w:sz w:val="36"/>
          <w:szCs w:val="36"/>
          <w:rtl/>
        </w:rPr>
        <w:t>الخوئي</w:t>
      </w:r>
      <w:r w:rsidR="00E8128F">
        <w:rPr>
          <w:sz w:val="36"/>
          <w:szCs w:val="36"/>
          <w:rtl/>
        </w:rPr>
        <w:t xml:space="preserve"> </w:t>
      </w:r>
      <w:r w:rsidR="00A61BAE" w:rsidRPr="00FD211F">
        <w:rPr>
          <w:sz w:val="36"/>
          <w:szCs w:val="36"/>
          <w:rtl/>
        </w:rPr>
        <w:t>"قده"</w:t>
      </w:r>
      <w:r w:rsidR="00E8128F">
        <w:rPr>
          <w:sz w:val="36"/>
          <w:szCs w:val="36"/>
          <w:rtl/>
        </w:rPr>
        <w:t xml:space="preserve"> </w:t>
      </w:r>
      <w:r w:rsidR="00BD510F" w:rsidRPr="00FD211F">
        <w:rPr>
          <w:sz w:val="36"/>
          <w:szCs w:val="36"/>
          <w:rtl/>
        </w:rPr>
        <w:t>من</w:t>
      </w:r>
      <w:r w:rsidR="00E8128F">
        <w:rPr>
          <w:sz w:val="36"/>
          <w:szCs w:val="36"/>
          <w:rtl/>
        </w:rPr>
        <w:t xml:space="preserve"> </w:t>
      </w:r>
      <w:r w:rsidR="00BD510F" w:rsidRPr="00FD211F">
        <w:rPr>
          <w:sz w:val="36"/>
          <w:szCs w:val="36"/>
          <w:rtl/>
        </w:rPr>
        <w:t>ان</w:t>
      </w:r>
      <w:r w:rsidR="00E8128F">
        <w:rPr>
          <w:sz w:val="36"/>
          <w:szCs w:val="36"/>
          <w:rtl/>
        </w:rPr>
        <w:t xml:space="preserve"> </w:t>
      </w:r>
      <w:r w:rsidR="00BD510F" w:rsidRPr="00FD211F">
        <w:rPr>
          <w:sz w:val="36"/>
          <w:szCs w:val="36"/>
          <w:rtl/>
        </w:rPr>
        <w:t>مباحث</w:t>
      </w:r>
      <w:r w:rsidR="00E8128F">
        <w:rPr>
          <w:sz w:val="36"/>
          <w:szCs w:val="36"/>
          <w:rtl/>
        </w:rPr>
        <w:t xml:space="preserve"> </w:t>
      </w:r>
      <w:r w:rsidR="00BD510F" w:rsidRPr="00FD211F">
        <w:rPr>
          <w:sz w:val="36"/>
          <w:szCs w:val="36"/>
          <w:rtl/>
        </w:rPr>
        <w:t>الالفاظ</w:t>
      </w:r>
      <w:r w:rsidR="00E8128F">
        <w:rPr>
          <w:sz w:val="36"/>
          <w:szCs w:val="36"/>
          <w:rtl/>
        </w:rPr>
        <w:t xml:space="preserve"> </w:t>
      </w:r>
      <w:r w:rsidR="00BD510F" w:rsidRPr="00FD211F">
        <w:rPr>
          <w:sz w:val="36"/>
          <w:szCs w:val="36"/>
          <w:rtl/>
        </w:rPr>
        <w:t>وان</w:t>
      </w:r>
      <w:r w:rsidR="00E8128F">
        <w:rPr>
          <w:sz w:val="36"/>
          <w:szCs w:val="36"/>
          <w:rtl/>
        </w:rPr>
        <w:t xml:space="preserve"> </w:t>
      </w:r>
      <w:r w:rsidR="00BD510F" w:rsidRPr="00FD211F">
        <w:rPr>
          <w:sz w:val="36"/>
          <w:szCs w:val="36"/>
          <w:rtl/>
        </w:rPr>
        <w:t>كانت</w:t>
      </w:r>
      <w:r w:rsidR="00E8128F">
        <w:rPr>
          <w:sz w:val="36"/>
          <w:szCs w:val="36"/>
          <w:rtl/>
        </w:rPr>
        <w:t xml:space="preserve"> </w:t>
      </w:r>
      <w:r w:rsidR="00BD510F" w:rsidRPr="00FD211F">
        <w:rPr>
          <w:sz w:val="36"/>
          <w:szCs w:val="36"/>
          <w:rtl/>
        </w:rPr>
        <w:t>بنفسها</w:t>
      </w:r>
      <w:r w:rsidR="00E8128F">
        <w:rPr>
          <w:sz w:val="36"/>
          <w:szCs w:val="36"/>
          <w:rtl/>
        </w:rPr>
        <w:t xml:space="preserve"> </w:t>
      </w:r>
      <w:r w:rsidR="00BD510F" w:rsidRPr="00FD211F">
        <w:rPr>
          <w:sz w:val="36"/>
          <w:szCs w:val="36"/>
          <w:rtl/>
        </w:rPr>
        <w:t>من</w:t>
      </w:r>
      <w:r w:rsidR="00E8128F">
        <w:rPr>
          <w:sz w:val="36"/>
          <w:szCs w:val="36"/>
          <w:rtl/>
        </w:rPr>
        <w:t xml:space="preserve"> </w:t>
      </w:r>
      <w:r w:rsidR="00BD510F" w:rsidRPr="00FD211F">
        <w:rPr>
          <w:sz w:val="36"/>
          <w:szCs w:val="36"/>
          <w:rtl/>
        </w:rPr>
        <w:t>صغريات</w:t>
      </w:r>
      <w:r w:rsidR="00E8128F">
        <w:rPr>
          <w:sz w:val="36"/>
          <w:szCs w:val="36"/>
          <w:rtl/>
        </w:rPr>
        <w:t xml:space="preserve"> </w:t>
      </w:r>
      <w:r w:rsidR="00BD510F" w:rsidRPr="00FD211F">
        <w:rPr>
          <w:sz w:val="36"/>
          <w:szCs w:val="36"/>
          <w:rtl/>
        </w:rPr>
        <w:t>الظهور</w:t>
      </w:r>
      <w:r w:rsidR="00603323" w:rsidRPr="00FD211F">
        <w:rPr>
          <w:sz w:val="36"/>
          <w:szCs w:val="36"/>
          <w:rtl/>
        </w:rPr>
        <w:t>،</w:t>
      </w:r>
      <w:r w:rsidR="00E8128F">
        <w:rPr>
          <w:sz w:val="36"/>
          <w:szCs w:val="36"/>
          <w:rtl/>
        </w:rPr>
        <w:t xml:space="preserve"> </w:t>
      </w:r>
      <w:r w:rsidR="00711015" w:rsidRPr="00FD211F">
        <w:rPr>
          <w:sz w:val="36"/>
          <w:szCs w:val="36"/>
          <w:rtl/>
        </w:rPr>
        <w:t>ويحتاج</w:t>
      </w:r>
      <w:r w:rsidR="00E8128F">
        <w:rPr>
          <w:sz w:val="36"/>
          <w:szCs w:val="36"/>
          <w:rtl/>
        </w:rPr>
        <w:t xml:space="preserve"> </w:t>
      </w:r>
      <w:r w:rsidR="00711015" w:rsidRPr="00FD211F">
        <w:rPr>
          <w:sz w:val="36"/>
          <w:szCs w:val="36"/>
          <w:rtl/>
        </w:rPr>
        <w:t>استنباط</w:t>
      </w:r>
      <w:r w:rsidR="00E8128F">
        <w:rPr>
          <w:sz w:val="36"/>
          <w:szCs w:val="36"/>
          <w:rtl/>
        </w:rPr>
        <w:t xml:space="preserve"> </w:t>
      </w:r>
      <w:r w:rsidR="00711015" w:rsidRPr="00FD211F">
        <w:rPr>
          <w:sz w:val="36"/>
          <w:szCs w:val="36"/>
          <w:rtl/>
        </w:rPr>
        <w:t>الحكم</w:t>
      </w:r>
      <w:r w:rsidR="00E8128F">
        <w:rPr>
          <w:sz w:val="36"/>
          <w:szCs w:val="36"/>
          <w:rtl/>
        </w:rPr>
        <w:t xml:space="preserve"> </w:t>
      </w:r>
      <w:r w:rsidR="00711015" w:rsidRPr="00FD211F">
        <w:rPr>
          <w:sz w:val="36"/>
          <w:szCs w:val="36"/>
          <w:rtl/>
        </w:rPr>
        <w:t>الشرعي</w:t>
      </w:r>
      <w:r w:rsidR="00E8128F">
        <w:rPr>
          <w:sz w:val="36"/>
          <w:szCs w:val="36"/>
          <w:rtl/>
        </w:rPr>
        <w:t xml:space="preserve"> </w:t>
      </w:r>
      <w:r w:rsidR="00711015" w:rsidRPr="00FD211F">
        <w:rPr>
          <w:sz w:val="36"/>
          <w:szCs w:val="36"/>
          <w:rtl/>
        </w:rPr>
        <w:t>منها</w:t>
      </w:r>
      <w:r w:rsidR="00E8128F">
        <w:rPr>
          <w:sz w:val="36"/>
          <w:szCs w:val="36"/>
          <w:rtl/>
        </w:rPr>
        <w:t xml:space="preserve"> </w:t>
      </w:r>
      <w:r w:rsidR="00711015" w:rsidRPr="00FD211F">
        <w:rPr>
          <w:sz w:val="36"/>
          <w:szCs w:val="36"/>
          <w:rtl/>
        </w:rPr>
        <w:t>الى</w:t>
      </w:r>
      <w:r w:rsidR="00E8128F">
        <w:rPr>
          <w:sz w:val="36"/>
          <w:szCs w:val="36"/>
          <w:rtl/>
        </w:rPr>
        <w:t xml:space="preserve"> </w:t>
      </w:r>
      <w:r w:rsidR="00711015" w:rsidRPr="00FD211F">
        <w:rPr>
          <w:sz w:val="36"/>
          <w:szCs w:val="36"/>
          <w:rtl/>
        </w:rPr>
        <w:t>ضم</w:t>
      </w:r>
      <w:r w:rsidR="00E8128F">
        <w:rPr>
          <w:sz w:val="36"/>
          <w:szCs w:val="36"/>
          <w:rtl/>
        </w:rPr>
        <w:t xml:space="preserve"> </w:t>
      </w:r>
      <w:r w:rsidR="00BD510F" w:rsidRPr="00FD211F">
        <w:rPr>
          <w:sz w:val="36"/>
          <w:szCs w:val="36"/>
          <w:rtl/>
        </w:rPr>
        <w:t>كبرى</w:t>
      </w:r>
      <w:r w:rsidR="00E8128F">
        <w:rPr>
          <w:sz w:val="36"/>
          <w:szCs w:val="36"/>
          <w:rtl/>
        </w:rPr>
        <w:t xml:space="preserve"> </w:t>
      </w:r>
      <w:r w:rsidR="00BD510F" w:rsidRPr="00FD211F">
        <w:rPr>
          <w:sz w:val="36"/>
          <w:szCs w:val="36"/>
          <w:rtl/>
        </w:rPr>
        <w:t>حجي</w:t>
      </w:r>
      <w:r w:rsidR="00EC7EDF" w:rsidRPr="00FD211F">
        <w:rPr>
          <w:sz w:val="36"/>
          <w:szCs w:val="36"/>
          <w:rtl/>
        </w:rPr>
        <w:t>ة</w:t>
      </w:r>
      <w:r w:rsidR="00E8128F">
        <w:rPr>
          <w:sz w:val="36"/>
          <w:szCs w:val="36"/>
          <w:rtl/>
        </w:rPr>
        <w:t xml:space="preserve"> </w:t>
      </w:r>
      <w:r w:rsidR="00BD510F" w:rsidRPr="00FD211F">
        <w:rPr>
          <w:sz w:val="36"/>
          <w:szCs w:val="36"/>
          <w:rtl/>
        </w:rPr>
        <w:t>الظهور</w:t>
      </w:r>
      <w:r w:rsidR="00E8128F">
        <w:rPr>
          <w:sz w:val="36"/>
          <w:szCs w:val="36"/>
          <w:rtl/>
        </w:rPr>
        <w:t xml:space="preserve"> </w:t>
      </w:r>
      <w:r w:rsidR="00BD510F" w:rsidRPr="00FD211F">
        <w:rPr>
          <w:sz w:val="36"/>
          <w:szCs w:val="36"/>
          <w:rtl/>
        </w:rPr>
        <w:t>الا</w:t>
      </w:r>
      <w:r w:rsidR="00E8128F">
        <w:rPr>
          <w:sz w:val="36"/>
          <w:szCs w:val="36"/>
          <w:rtl/>
        </w:rPr>
        <w:t xml:space="preserve"> </w:t>
      </w:r>
      <w:r w:rsidR="00BD510F" w:rsidRPr="00FD211F">
        <w:rPr>
          <w:sz w:val="36"/>
          <w:szCs w:val="36"/>
          <w:rtl/>
        </w:rPr>
        <w:t>ان</w:t>
      </w:r>
      <w:r w:rsidR="00E8128F">
        <w:rPr>
          <w:sz w:val="36"/>
          <w:szCs w:val="36"/>
          <w:rtl/>
        </w:rPr>
        <w:t xml:space="preserve"> </w:t>
      </w:r>
      <w:r w:rsidR="00BD510F" w:rsidRPr="00FD211F">
        <w:rPr>
          <w:sz w:val="36"/>
          <w:szCs w:val="36"/>
          <w:rtl/>
        </w:rPr>
        <w:t>هذه</w:t>
      </w:r>
      <w:r w:rsidR="00E8128F">
        <w:rPr>
          <w:sz w:val="36"/>
          <w:szCs w:val="36"/>
          <w:rtl/>
        </w:rPr>
        <w:t xml:space="preserve"> </w:t>
      </w:r>
      <w:r w:rsidR="00BD510F" w:rsidRPr="00FD211F">
        <w:rPr>
          <w:sz w:val="36"/>
          <w:szCs w:val="36"/>
          <w:rtl/>
        </w:rPr>
        <w:t>الكبرى</w:t>
      </w:r>
      <w:r w:rsidR="00E8128F">
        <w:rPr>
          <w:sz w:val="36"/>
          <w:szCs w:val="36"/>
          <w:rtl/>
        </w:rPr>
        <w:t xml:space="preserve"> </w:t>
      </w:r>
      <w:r w:rsidR="00BD510F" w:rsidRPr="00FD211F">
        <w:rPr>
          <w:sz w:val="36"/>
          <w:szCs w:val="36"/>
          <w:rtl/>
        </w:rPr>
        <w:t>ليست</w:t>
      </w:r>
      <w:r w:rsidR="00E8128F">
        <w:rPr>
          <w:sz w:val="36"/>
          <w:szCs w:val="36"/>
          <w:rtl/>
        </w:rPr>
        <w:t xml:space="preserve"> </w:t>
      </w:r>
      <w:r w:rsidR="00BD510F" w:rsidRPr="00FD211F">
        <w:rPr>
          <w:sz w:val="36"/>
          <w:szCs w:val="36"/>
          <w:rtl/>
        </w:rPr>
        <w:t>اصولي</w:t>
      </w:r>
      <w:r w:rsidR="00EC7EDF" w:rsidRPr="00FD211F">
        <w:rPr>
          <w:sz w:val="36"/>
          <w:szCs w:val="36"/>
          <w:rtl/>
        </w:rPr>
        <w:t>ة</w:t>
      </w:r>
      <w:r w:rsidR="00E8128F">
        <w:rPr>
          <w:sz w:val="36"/>
          <w:szCs w:val="36"/>
          <w:rtl/>
        </w:rPr>
        <w:t xml:space="preserve"> </w:t>
      </w:r>
      <w:r w:rsidR="00BD510F" w:rsidRPr="00FD211F">
        <w:rPr>
          <w:sz w:val="36"/>
          <w:szCs w:val="36"/>
          <w:rtl/>
        </w:rPr>
        <w:t>لبداهتها</w:t>
      </w:r>
      <w:r w:rsidR="00E8128F">
        <w:rPr>
          <w:sz w:val="36"/>
          <w:szCs w:val="36"/>
          <w:rtl/>
        </w:rPr>
        <w:t xml:space="preserve"> </w:t>
      </w:r>
      <w:r w:rsidR="00BD510F" w:rsidRPr="00FD211F">
        <w:rPr>
          <w:sz w:val="36"/>
          <w:szCs w:val="36"/>
          <w:rtl/>
        </w:rPr>
        <w:t>في</w:t>
      </w:r>
      <w:r w:rsidR="00E8128F">
        <w:rPr>
          <w:sz w:val="36"/>
          <w:szCs w:val="36"/>
          <w:rtl/>
        </w:rPr>
        <w:t xml:space="preserve"> </w:t>
      </w:r>
      <w:r w:rsidR="00BD510F" w:rsidRPr="00FD211F">
        <w:rPr>
          <w:sz w:val="36"/>
          <w:szCs w:val="36"/>
          <w:rtl/>
        </w:rPr>
        <w:t>الجمل</w:t>
      </w:r>
      <w:r w:rsidR="00EC7EDF" w:rsidRPr="00FD211F">
        <w:rPr>
          <w:sz w:val="36"/>
          <w:szCs w:val="36"/>
          <w:rtl/>
        </w:rPr>
        <w:t>ة</w:t>
      </w:r>
      <w:r w:rsidR="00E8128F">
        <w:rPr>
          <w:sz w:val="36"/>
          <w:szCs w:val="36"/>
          <w:rtl/>
        </w:rPr>
        <w:t xml:space="preserve"> </w:t>
      </w:r>
      <w:r w:rsidR="00711015" w:rsidRPr="00FD211F">
        <w:rPr>
          <w:sz w:val="36"/>
          <w:szCs w:val="36"/>
          <w:rtl/>
        </w:rPr>
        <w:t>فلايحتاج</w:t>
      </w:r>
      <w:r w:rsidR="00E8128F">
        <w:rPr>
          <w:sz w:val="36"/>
          <w:szCs w:val="36"/>
          <w:rtl/>
        </w:rPr>
        <w:t xml:space="preserve"> </w:t>
      </w:r>
      <w:r w:rsidR="00711015" w:rsidRPr="00FD211F">
        <w:rPr>
          <w:sz w:val="36"/>
          <w:szCs w:val="36"/>
          <w:rtl/>
        </w:rPr>
        <w:t>استنباط</w:t>
      </w:r>
      <w:r w:rsidR="00E8128F">
        <w:rPr>
          <w:sz w:val="36"/>
          <w:szCs w:val="36"/>
          <w:rtl/>
        </w:rPr>
        <w:t xml:space="preserve"> </w:t>
      </w:r>
      <w:r w:rsidR="00711015" w:rsidRPr="00FD211F">
        <w:rPr>
          <w:sz w:val="36"/>
          <w:szCs w:val="36"/>
          <w:rtl/>
        </w:rPr>
        <w:t>الحكم</w:t>
      </w:r>
      <w:r w:rsidR="00E8128F">
        <w:rPr>
          <w:sz w:val="36"/>
          <w:szCs w:val="36"/>
          <w:rtl/>
        </w:rPr>
        <w:t xml:space="preserve"> </w:t>
      </w:r>
      <w:r w:rsidR="00711015" w:rsidRPr="00FD211F">
        <w:rPr>
          <w:sz w:val="36"/>
          <w:szCs w:val="36"/>
          <w:rtl/>
        </w:rPr>
        <w:t>الشرعي</w:t>
      </w:r>
      <w:r w:rsidR="00E8128F">
        <w:rPr>
          <w:sz w:val="36"/>
          <w:szCs w:val="36"/>
          <w:rtl/>
        </w:rPr>
        <w:t xml:space="preserve"> </w:t>
      </w:r>
      <w:r w:rsidR="00711015" w:rsidRPr="00FD211F">
        <w:rPr>
          <w:sz w:val="36"/>
          <w:szCs w:val="36"/>
          <w:rtl/>
        </w:rPr>
        <w:t>من</w:t>
      </w:r>
      <w:r w:rsidR="00E8128F">
        <w:rPr>
          <w:sz w:val="36"/>
          <w:szCs w:val="36"/>
          <w:rtl/>
        </w:rPr>
        <w:t xml:space="preserve"> </w:t>
      </w:r>
      <w:r w:rsidR="00711015" w:rsidRPr="00FD211F">
        <w:rPr>
          <w:sz w:val="36"/>
          <w:szCs w:val="36"/>
          <w:rtl/>
        </w:rPr>
        <w:t>مباحث</w:t>
      </w:r>
      <w:r w:rsidR="00E8128F">
        <w:rPr>
          <w:sz w:val="36"/>
          <w:szCs w:val="36"/>
          <w:rtl/>
        </w:rPr>
        <w:t xml:space="preserve"> </w:t>
      </w:r>
      <w:r w:rsidR="00711015" w:rsidRPr="00FD211F">
        <w:rPr>
          <w:sz w:val="36"/>
          <w:szCs w:val="36"/>
          <w:rtl/>
        </w:rPr>
        <w:t>الالفاظ</w:t>
      </w:r>
      <w:r w:rsidR="00E8128F">
        <w:rPr>
          <w:sz w:val="36"/>
          <w:szCs w:val="36"/>
          <w:rtl/>
        </w:rPr>
        <w:t xml:space="preserve"> </w:t>
      </w:r>
      <w:r w:rsidR="00711015" w:rsidRPr="00FD211F">
        <w:rPr>
          <w:sz w:val="36"/>
          <w:szCs w:val="36"/>
          <w:rtl/>
        </w:rPr>
        <w:t>الى</w:t>
      </w:r>
      <w:r w:rsidR="00E8128F">
        <w:rPr>
          <w:sz w:val="36"/>
          <w:szCs w:val="36"/>
          <w:rtl/>
        </w:rPr>
        <w:t xml:space="preserve"> </w:t>
      </w:r>
      <w:r w:rsidR="00711015" w:rsidRPr="00FD211F">
        <w:rPr>
          <w:sz w:val="36"/>
          <w:szCs w:val="36"/>
          <w:rtl/>
        </w:rPr>
        <w:t>ضم</w:t>
      </w:r>
      <w:r w:rsidR="00E8128F">
        <w:rPr>
          <w:sz w:val="36"/>
          <w:szCs w:val="36"/>
          <w:rtl/>
        </w:rPr>
        <w:t xml:space="preserve"> </w:t>
      </w:r>
      <w:r w:rsidR="00711015" w:rsidRPr="00FD211F">
        <w:rPr>
          <w:sz w:val="36"/>
          <w:szCs w:val="36"/>
          <w:rtl/>
        </w:rPr>
        <w:t>كبرى</w:t>
      </w:r>
      <w:r w:rsidR="00E8128F">
        <w:rPr>
          <w:sz w:val="36"/>
          <w:szCs w:val="36"/>
          <w:rtl/>
        </w:rPr>
        <w:t xml:space="preserve"> </w:t>
      </w:r>
      <w:r w:rsidR="00711015" w:rsidRPr="00FD211F">
        <w:rPr>
          <w:sz w:val="36"/>
          <w:szCs w:val="36"/>
          <w:rtl/>
        </w:rPr>
        <w:t>اصولي</w:t>
      </w:r>
      <w:r w:rsidR="00EC7EDF" w:rsidRPr="00FD211F">
        <w:rPr>
          <w:sz w:val="36"/>
          <w:szCs w:val="36"/>
          <w:rtl/>
        </w:rPr>
        <w:t>ة</w:t>
      </w:r>
      <w:r w:rsidR="00E8128F">
        <w:rPr>
          <w:sz w:val="36"/>
          <w:szCs w:val="36"/>
          <w:rtl/>
        </w:rPr>
        <w:t xml:space="preserve"> </w:t>
      </w:r>
      <w:r w:rsidR="00711015" w:rsidRPr="00FD211F">
        <w:rPr>
          <w:sz w:val="36"/>
          <w:szCs w:val="36"/>
          <w:rtl/>
        </w:rPr>
        <w:t>أخرى.</w:t>
      </w:r>
    </w:p>
    <w:p w14:paraId="5BBF8481" w14:textId="77777777" w:rsidR="001A5E03" w:rsidRPr="00FD211F" w:rsidRDefault="00BD510F" w:rsidP="009C58C8">
      <w:pPr>
        <w:ind w:left="0" w:firstLine="227"/>
        <w:jc w:val="both"/>
        <w:rPr>
          <w:sz w:val="36"/>
          <w:szCs w:val="36"/>
          <w:rtl/>
        </w:rPr>
      </w:pPr>
      <w:r w:rsidRPr="00FD211F">
        <w:rPr>
          <w:sz w:val="36"/>
          <w:szCs w:val="36"/>
          <w:rtl/>
        </w:rPr>
        <w:t>ف</w:t>
      </w:r>
      <w:r w:rsidR="00BE7EA7" w:rsidRPr="00FD211F">
        <w:rPr>
          <w:sz w:val="36"/>
          <w:szCs w:val="36"/>
          <w:rtl/>
        </w:rPr>
        <w:t>يرد</w:t>
      </w:r>
      <w:r w:rsidR="00E8128F">
        <w:rPr>
          <w:sz w:val="36"/>
          <w:szCs w:val="36"/>
          <w:rtl/>
        </w:rPr>
        <w:t xml:space="preserve"> </w:t>
      </w:r>
      <w:r w:rsidR="00BE7EA7" w:rsidRPr="00FD211F">
        <w:rPr>
          <w:sz w:val="36"/>
          <w:szCs w:val="36"/>
          <w:rtl/>
        </w:rPr>
        <w:t>عليه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كبرى</w:t>
      </w:r>
      <w:r w:rsidR="00E8128F">
        <w:rPr>
          <w:sz w:val="36"/>
          <w:szCs w:val="36"/>
          <w:rtl/>
        </w:rPr>
        <w:t xml:space="preserve"> </w:t>
      </w:r>
      <w:r w:rsidR="00711015" w:rsidRPr="00FD211F">
        <w:rPr>
          <w:sz w:val="36"/>
          <w:szCs w:val="36"/>
          <w:rtl/>
        </w:rPr>
        <w:t>حجي</w:t>
      </w:r>
      <w:r w:rsidR="00EC7EDF" w:rsidRPr="00FD211F">
        <w:rPr>
          <w:sz w:val="36"/>
          <w:szCs w:val="36"/>
          <w:rtl/>
        </w:rPr>
        <w:t>ة</w:t>
      </w:r>
      <w:r w:rsidR="00E8128F">
        <w:rPr>
          <w:sz w:val="36"/>
          <w:szCs w:val="36"/>
          <w:rtl/>
        </w:rPr>
        <w:t xml:space="preserve"> </w:t>
      </w:r>
      <w:r w:rsidR="00711015" w:rsidRPr="00FD211F">
        <w:rPr>
          <w:sz w:val="36"/>
          <w:szCs w:val="36"/>
          <w:rtl/>
        </w:rPr>
        <w:t>الظهور</w:t>
      </w:r>
      <w:r w:rsidR="00E8128F">
        <w:rPr>
          <w:sz w:val="36"/>
          <w:szCs w:val="36"/>
          <w:rtl/>
        </w:rPr>
        <w:t xml:space="preserve"> </w:t>
      </w:r>
      <w:r w:rsidRPr="00FD211F">
        <w:rPr>
          <w:sz w:val="36"/>
          <w:szCs w:val="36"/>
          <w:rtl/>
        </w:rPr>
        <w:t>ليست</w:t>
      </w:r>
      <w:r w:rsidR="00E8128F">
        <w:rPr>
          <w:sz w:val="36"/>
          <w:szCs w:val="36"/>
          <w:rtl/>
        </w:rPr>
        <w:t xml:space="preserve"> </w:t>
      </w:r>
      <w:r w:rsidRPr="00FD211F">
        <w:rPr>
          <w:sz w:val="36"/>
          <w:szCs w:val="36"/>
          <w:rtl/>
        </w:rPr>
        <w:t>بديهي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كيف</w:t>
      </w:r>
      <w:r w:rsidR="00E8128F">
        <w:rPr>
          <w:sz w:val="36"/>
          <w:szCs w:val="36"/>
          <w:rtl/>
        </w:rPr>
        <w:t xml:space="preserve"> </w:t>
      </w:r>
      <w:r w:rsidRPr="00FD211F">
        <w:rPr>
          <w:sz w:val="36"/>
          <w:szCs w:val="36"/>
          <w:rtl/>
        </w:rPr>
        <w:t>وقد</w:t>
      </w:r>
      <w:r w:rsidR="00E8128F">
        <w:rPr>
          <w:sz w:val="36"/>
          <w:szCs w:val="36"/>
          <w:rtl/>
        </w:rPr>
        <w:t xml:space="preserve"> </w:t>
      </w:r>
      <w:r w:rsidRPr="00FD211F">
        <w:rPr>
          <w:sz w:val="36"/>
          <w:szCs w:val="36"/>
          <w:rtl/>
        </w:rPr>
        <w:t>نوقش</w:t>
      </w:r>
      <w:r w:rsidR="00E8128F">
        <w:rPr>
          <w:sz w:val="36"/>
          <w:szCs w:val="36"/>
          <w:rtl/>
        </w:rPr>
        <w:t xml:space="preserve"> </w:t>
      </w:r>
      <w:r w:rsidRPr="00FD211F">
        <w:rPr>
          <w:sz w:val="36"/>
          <w:szCs w:val="36"/>
          <w:rtl/>
        </w:rPr>
        <w:t>فيها</w:t>
      </w:r>
      <w:r w:rsidR="00E8128F">
        <w:rPr>
          <w:sz w:val="36"/>
          <w:szCs w:val="36"/>
          <w:rtl/>
        </w:rPr>
        <w:t xml:space="preserve"> </w:t>
      </w:r>
      <w:r w:rsidR="00711015" w:rsidRPr="00FD211F">
        <w:rPr>
          <w:sz w:val="36"/>
          <w:szCs w:val="36"/>
          <w:rtl/>
        </w:rPr>
        <w:t>من</w:t>
      </w:r>
      <w:r w:rsidR="00E8128F">
        <w:rPr>
          <w:sz w:val="36"/>
          <w:szCs w:val="36"/>
          <w:rtl/>
        </w:rPr>
        <w:t xml:space="preserve"> </w:t>
      </w:r>
      <w:r w:rsidR="00711015" w:rsidRPr="00FD211F">
        <w:rPr>
          <w:sz w:val="36"/>
          <w:szCs w:val="36"/>
          <w:rtl/>
        </w:rPr>
        <w:t>قبل</w:t>
      </w:r>
      <w:r w:rsidR="00E8128F">
        <w:rPr>
          <w:sz w:val="36"/>
          <w:szCs w:val="36"/>
          <w:rtl/>
        </w:rPr>
        <w:t xml:space="preserve"> </w:t>
      </w:r>
      <w:r w:rsidR="00711015" w:rsidRPr="00FD211F">
        <w:rPr>
          <w:sz w:val="36"/>
          <w:szCs w:val="36"/>
          <w:rtl/>
        </w:rPr>
        <w:t>مثل</w:t>
      </w:r>
      <w:r w:rsidR="00E8128F">
        <w:rPr>
          <w:sz w:val="36"/>
          <w:szCs w:val="36"/>
          <w:rtl/>
        </w:rPr>
        <w:t xml:space="preserve"> </w:t>
      </w:r>
      <w:r w:rsidR="00711015" w:rsidRPr="00FD211F">
        <w:rPr>
          <w:sz w:val="36"/>
          <w:szCs w:val="36"/>
          <w:rtl/>
        </w:rPr>
        <w:t>ابن</w:t>
      </w:r>
      <w:r w:rsidR="00E8128F">
        <w:rPr>
          <w:sz w:val="36"/>
          <w:szCs w:val="36"/>
          <w:rtl/>
        </w:rPr>
        <w:t xml:space="preserve"> </w:t>
      </w:r>
      <w:r w:rsidR="00711015" w:rsidRPr="00FD211F">
        <w:rPr>
          <w:sz w:val="36"/>
          <w:szCs w:val="36"/>
          <w:rtl/>
        </w:rPr>
        <w:t>قب</w:t>
      </w:r>
      <w:r w:rsidR="00EC7EDF" w:rsidRPr="00FD211F">
        <w:rPr>
          <w:sz w:val="36"/>
          <w:szCs w:val="36"/>
          <w:rtl/>
        </w:rPr>
        <w:t>ة</w:t>
      </w:r>
      <w:r w:rsidR="00E8128F">
        <w:rPr>
          <w:sz w:val="36"/>
          <w:szCs w:val="36"/>
          <w:rtl/>
        </w:rPr>
        <w:t xml:space="preserve"> </w:t>
      </w:r>
      <w:r w:rsidRPr="00FD211F">
        <w:rPr>
          <w:sz w:val="36"/>
          <w:szCs w:val="36"/>
          <w:rtl/>
        </w:rPr>
        <w:t>باستحال</w:t>
      </w:r>
      <w:r w:rsidR="00EC7EDF" w:rsidRPr="00FD211F">
        <w:rPr>
          <w:sz w:val="36"/>
          <w:szCs w:val="36"/>
          <w:rtl/>
        </w:rPr>
        <w:t>ة</w:t>
      </w:r>
      <w:r w:rsidR="00E8128F">
        <w:rPr>
          <w:sz w:val="36"/>
          <w:szCs w:val="36"/>
          <w:rtl/>
        </w:rPr>
        <w:t xml:space="preserve"> </w:t>
      </w:r>
      <w:r w:rsidRPr="00FD211F">
        <w:rPr>
          <w:sz w:val="36"/>
          <w:szCs w:val="36"/>
          <w:rtl/>
        </w:rPr>
        <w:t>التعبد</w:t>
      </w:r>
      <w:r w:rsidR="00E8128F">
        <w:rPr>
          <w:sz w:val="36"/>
          <w:szCs w:val="36"/>
          <w:rtl/>
        </w:rPr>
        <w:t xml:space="preserve"> </w:t>
      </w:r>
      <w:r w:rsidRPr="00FD211F">
        <w:rPr>
          <w:sz w:val="36"/>
          <w:szCs w:val="36"/>
          <w:rtl/>
        </w:rPr>
        <w:t>بالظن</w:t>
      </w:r>
      <w:r w:rsidR="00603323" w:rsidRPr="00FD211F">
        <w:rPr>
          <w:sz w:val="36"/>
          <w:szCs w:val="36"/>
          <w:rtl/>
        </w:rPr>
        <w:t>،</w:t>
      </w:r>
      <w:r w:rsidR="00E8128F">
        <w:rPr>
          <w:sz w:val="36"/>
          <w:szCs w:val="36"/>
          <w:rtl/>
        </w:rPr>
        <w:t xml:space="preserve"> </w:t>
      </w:r>
      <w:r w:rsidR="00101B46" w:rsidRPr="00FD211F">
        <w:rPr>
          <w:sz w:val="36"/>
          <w:szCs w:val="36"/>
          <w:rtl/>
        </w:rPr>
        <w:t>كما</w:t>
      </w:r>
      <w:r w:rsidR="00E8128F">
        <w:rPr>
          <w:sz w:val="36"/>
          <w:szCs w:val="36"/>
          <w:rtl/>
        </w:rPr>
        <w:t xml:space="preserve"> </w:t>
      </w:r>
      <w:r w:rsidR="00101B46" w:rsidRPr="00FD211F">
        <w:rPr>
          <w:sz w:val="36"/>
          <w:szCs w:val="36"/>
          <w:rtl/>
        </w:rPr>
        <w:t>نوقش</w:t>
      </w:r>
      <w:r w:rsidR="00E8128F">
        <w:rPr>
          <w:sz w:val="36"/>
          <w:szCs w:val="36"/>
          <w:rtl/>
        </w:rPr>
        <w:t xml:space="preserve"> </w:t>
      </w:r>
      <w:r w:rsidR="00101B46" w:rsidRPr="00FD211F">
        <w:rPr>
          <w:sz w:val="36"/>
          <w:szCs w:val="36"/>
          <w:rtl/>
        </w:rPr>
        <w:t>فيها</w:t>
      </w:r>
      <w:r w:rsidR="00E8128F">
        <w:rPr>
          <w:sz w:val="36"/>
          <w:szCs w:val="36"/>
          <w:rtl/>
        </w:rPr>
        <w:t xml:space="preserve"> </w:t>
      </w:r>
      <w:r w:rsidR="00101B46" w:rsidRPr="00FD211F">
        <w:rPr>
          <w:sz w:val="36"/>
          <w:szCs w:val="36"/>
          <w:rtl/>
        </w:rPr>
        <w:t>بان</w:t>
      </w:r>
      <w:r w:rsidR="00E8128F">
        <w:rPr>
          <w:sz w:val="36"/>
          <w:szCs w:val="36"/>
          <w:rtl/>
        </w:rPr>
        <w:t xml:space="preserve"> </w:t>
      </w:r>
      <w:r w:rsidR="00101B46" w:rsidRPr="00FD211F">
        <w:rPr>
          <w:sz w:val="36"/>
          <w:szCs w:val="36"/>
          <w:rtl/>
        </w:rPr>
        <w:t>المدار</w:t>
      </w:r>
      <w:r w:rsidR="00E8128F">
        <w:rPr>
          <w:sz w:val="36"/>
          <w:szCs w:val="36"/>
          <w:rtl/>
        </w:rPr>
        <w:t xml:space="preserve"> </w:t>
      </w:r>
      <w:r w:rsidRPr="00FD211F">
        <w:rPr>
          <w:sz w:val="36"/>
          <w:szCs w:val="36"/>
          <w:rtl/>
        </w:rPr>
        <w:t>عند</w:t>
      </w:r>
      <w:r w:rsidR="00E8128F">
        <w:rPr>
          <w:sz w:val="36"/>
          <w:szCs w:val="36"/>
          <w:rtl/>
        </w:rPr>
        <w:t xml:space="preserve"> </w:t>
      </w:r>
      <w:r w:rsidRPr="00FD211F">
        <w:rPr>
          <w:sz w:val="36"/>
          <w:szCs w:val="36"/>
          <w:rtl/>
        </w:rPr>
        <w:t>العقلاء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اتباع</w:t>
      </w:r>
      <w:r w:rsidR="00E8128F">
        <w:rPr>
          <w:sz w:val="36"/>
          <w:szCs w:val="36"/>
          <w:rtl/>
        </w:rPr>
        <w:t xml:space="preserve"> </w:t>
      </w:r>
      <w:r w:rsidRPr="00FD211F">
        <w:rPr>
          <w:sz w:val="36"/>
          <w:szCs w:val="36"/>
          <w:rtl/>
        </w:rPr>
        <w:t>الاطمئنان</w:t>
      </w:r>
      <w:r w:rsidR="00E8128F">
        <w:rPr>
          <w:sz w:val="36"/>
          <w:szCs w:val="36"/>
          <w:rtl/>
        </w:rPr>
        <w:t xml:space="preserve"> </w:t>
      </w:r>
      <w:r w:rsidRPr="00FD211F">
        <w:rPr>
          <w:sz w:val="36"/>
          <w:szCs w:val="36"/>
          <w:rtl/>
        </w:rPr>
        <w:t>الشخصي</w:t>
      </w:r>
      <w:r w:rsidR="001A5E03" w:rsidRPr="00FD211F">
        <w:rPr>
          <w:sz w:val="36"/>
          <w:szCs w:val="36"/>
          <w:rtl/>
        </w:rPr>
        <w:t>.</w:t>
      </w:r>
    </w:p>
    <w:p w14:paraId="5D4B1ECE" w14:textId="77777777" w:rsidR="00927E76" w:rsidRPr="00FD211F" w:rsidRDefault="001A5E03" w:rsidP="009C58C8">
      <w:pPr>
        <w:ind w:left="0" w:firstLine="227"/>
        <w:jc w:val="both"/>
        <w:rPr>
          <w:sz w:val="36"/>
          <w:szCs w:val="36"/>
          <w:rtl/>
        </w:rPr>
      </w:pPr>
      <w:r w:rsidRPr="00FD211F">
        <w:rPr>
          <w:sz w:val="36"/>
          <w:szCs w:val="36"/>
          <w:rtl/>
        </w:rPr>
        <w:t>مضاف</w:t>
      </w:r>
      <w:r w:rsidR="00924E4B" w:rsidRPr="00FD211F">
        <w:rPr>
          <w:sz w:val="36"/>
          <w:szCs w:val="36"/>
          <w:rtl/>
        </w:rPr>
        <w:t>ا</w:t>
      </w:r>
      <w:r w:rsidR="00E8128F">
        <w:rPr>
          <w:sz w:val="36"/>
          <w:szCs w:val="36"/>
          <w:rtl/>
        </w:rPr>
        <w:t xml:space="preserve"> </w:t>
      </w:r>
      <w:r w:rsidRPr="00FD211F">
        <w:rPr>
          <w:sz w:val="36"/>
          <w:szCs w:val="36"/>
          <w:rtl/>
        </w:rPr>
        <w:t>الى</w:t>
      </w:r>
      <w:r w:rsidR="00E8128F">
        <w:rPr>
          <w:sz w:val="36"/>
          <w:szCs w:val="36"/>
          <w:rtl/>
        </w:rPr>
        <w:t xml:space="preserve"> </w:t>
      </w:r>
      <w:r w:rsidR="00CC786D" w:rsidRPr="00FD211F">
        <w:rPr>
          <w:sz w:val="36"/>
          <w:szCs w:val="36"/>
          <w:rtl/>
        </w:rPr>
        <w:t>أ</w:t>
      </w:r>
      <w:r w:rsidR="00927E76" w:rsidRPr="00FD211F">
        <w:rPr>
          <w:sz w:val="36"/>
          <w:szCs w:val="36"/>
          <w:rtl/>
        </w:rPr>
        <w:t>ن</w:t>
      </w:r>
      <w:r w:rsidR="00E8128F">
        <w:rPr>
          <w:sz w:val="36"/>
          <w:szCs w:val="36"/>
          <w:rtl/>
        </w:rPr>
        <w:t xml:space="preserve"> </w:t>
      </w:r>
      <w:r w:rsidR="00927E76" w:rsidRPr="00FD211F">
        <w:rPr>
          <w:sz w:val="36"/>
          <w:szCs w:val="36"/>
          <w:rtl/>
        </w:rPr>
        <w:t>صيرور</w:t>
      </w:r>
      <w:r w:rsidR="00EC7EDF" w:rsidRPr="00FD211F">
        <w:rPr>
          <w:sz w:val="36"/>
          <w:szCs w:val="36"/>
          <w:rtl/>
        </w:rPr>
        <w:t>ة</w:t>
      </w:r>
      <w:r w:rsidR="00E8128F">
        <w:rPr>
          <w:sz w:val="36"/>
          <w:szCs w:val="36"/>
          <w:rtl/>
        </w:rPr>
        <w:t xml:space="preserve"> </w:t>
      </w:r>
      <w:r w:rsidR="00927E76" w:rsidRPr="00FD211F">
        <w:rPr>
          <w:sz w:val="36"/>
          <w:szCs w:val="36"/>
          <w:rtl/>
        </w:rPr>
        <w:t>المسأل</w:t>
      </w:r>
      <w:r w:rsidR="00EC7EDF" w:rsidRPr="00FD211F">
        <w:rPr>
          <w:sz w:val="36"/>
          <w:szCs w:val="36"/>
          <w:rtl/>
        </w:rPr>
        <w:t>ة</w:t>
      </w:r>
      <w:r w:rsidR="00E8128F">
        <w:rPr>
          <w:sz w:val="36"/>
          <w:szCs w:val="36"/>
          <w:rtl/>
        </w:rPr>
        <w:t xml:space="preserve"> </w:t>
      </w:r>
      <w:r w:rsidR="00927E76" w:rsidRPr="00FD211F">
        <w:rPr>
          <w:sz w:val="36"/>
          <w:szCs w:val="36"/>
          <w:rtl/>
        </w:rPr>
        <w:t>بديهي</w:t>
      </w:r>
      <w:r w:rsidR="00EC7EDF" w:rsidRPr="00FD211F">
        <w:rPr>
          <w:sz w:val="36"/>
          <w:szCs w:val="36"/>
          <w:rtl/>
        </w:rPr>
        <w:t>ة</w:t>
      </w:r>
      <w:r w:rsidR="00E8128F">
        <w:rPr>
          <w:sz w:val="36"/>
          <w:szCs w:val="36"/>
          <w:rtl/>
        </w:rPr>
        <w:t xml:space="preserve"> </w:t>
      </w:r>
      <w:r w:rsidR="00927E76" w:rsidRPr="00FD211F">
        <w:rPr>
          <w:sz w:val="36"/>
          <w:szCs w:val="36"/>
          <w:rtl/>
        </w:rPr>
        <w:t>لاتجعلها</w:t>
      </w:r>
      <w:r w:rsidR="00E8128F">
        <w:rPr>
          <w:sz w:val="36"/>
          <w:szCs w:val="36"/>
          <w:rtl/>
        </w:rPr>
        <w:t xml:space="preserve"> </w:t>
      </w:r>
      <w:r w:rsidR="00927E76" w:rsidRPr="00FD211F">
        <w:rPr>
          <w:sz w:val="36"/>
          <w:szCs w:val="36"/>
          <w:rtl/>
        </w:rPr>
        <w:t>خارج</w:t>
      </w:r>
      <w:r w:rsidR="00EC7EDF" w:rsidRPr="00FD211F">
        <w:rPr>
          <w:sz w:val="36"/>
          <w:szCs w:val="36"/>
          <w:rtl/>
        </w:rPr>
        <w:t>ة</w:t>
      </w:r>
      <w:r w:rsidR="00E8128F">
        <w:rPr>
          <w:sz w:val="36"/>
          <w:szCs w:val="36"/>
          <w:rtl/>
        </w:rPr>
        <w:t xml:space="preserve"> </w:t>
      </w:r>
      <w:r w:rsidR="00927E76" w:rsidRPr="00FD211F">
        <w:rPr>
          <w:sz w:val="36"/>
          <w:szCs w:val="36"/>
          <w:rtl/>
        </w:rPr>
        <w:t>عن</w:t>
      </w:r>
      <w:r w:rsidR="00E8128F">
        <w:rPr>
          <w:sz w:val="36"/>
          <w:szCs w:val="36"/>
          <w:rtl/>
        </w:rPr>
        <w:t xml:space="preserve"> </w:t>
      </w:r>
      <w:r w:rsidR="00927E76" w:rsidRPr="00FD211F">
        <w:rPr>
          <w:sz w:val="36"/>
          <w:szCs w:val="36"/>
          <w:rtl/>
        </w:rPr>
        <w:t>مسائل</w:t>
      </w:r>
      <w:r w:rsidR="00E8128F">
        <w:rPr>
          <w:sz w:val="36"/>
          <w:szCs w:val="36"/>
          <w:rtl/>
        </w:rPr>
        <w:t xml:space="preserve"> </w:t>
      </w:r>
      <w:r w:rsidR="00927E76" w:rsidRPr="00FD211F">
        <w:rPr>
          <w:sz w:val="36"/>
          <w:szCs w:val="36"/>
          <w:rtl/>
        </w:rPr>
        <w:t>العلم</w:t>
      </w:r>
      <w:r w:rsidR="00603323" w:rsidRPr="00FD211F">
        <w:rPr>
          <w:sz w:val="36"/>
          <w:szCs w:val="36"/>
          <w:rtl/>
        </w:rPr>
        <w:t>،</w:t>
      </w:r>
      <w:r w:rsidR="00E8128F">
        <w:rPr>
          <w:sz w:val="36"/>
          <w:szCs w:val="36"/>
          <w:rtl/>
        </w:rPr>
        <w:t xml:space="preserve"> </w:t>
      </w:r>
      <w:r w:rsidR="00927E76" w:rsidRPr="00FD211F">
        <w:rPr>
          <w:sz w:val="36"/>
          <w:szCs w:val="36"/>
          <w:rtl/>
        </w:rPr>
        <w:t>خاص</w:t>
      </w:r>
      <w:r w:rsidR="00EC7EDF" w:rsidRPr="00FD211F">
        <w:rPr>
          <w:sz w:val="36"/>
          <w:szCs w:val="36"/>
          <w:rtl/>
        </w:rPr>
        <w:t>ة</w:t>
      </w:r>
      <w:r w:rsidR="00E8128F">
        <w:rPr>
          <w:sz w:val="36"/>
          <w:szCs w:val="36"/>
          <w:rtl/>
        </w:rPr>
        <w:t xml:space="preserve"> </w:t>
      </w:r>
      <w:r w:rsidR="00927E76" w:rsidRPr="00FD211F">
        <w:rPr>
          <w:sz w:val="36"/>
          <w:szCs w:val="36"/>
          <w:rtl/>
        </w:rPr>
        <w:t>بعد</w:t>
      </w:r>
      <w:r w:rsidR="00E8128F">
        <w:rPr>
          <w:sz w:val="36"/>
          <w:szCs w:val="36"/>
          <w:rtl/>
        </w:rPr>
        <w:t xml:space="preserve"> </w:t>
      </w:r>
      <w:r w:rsidR="00927E76" w:rsidRPr="00FD211F">
        <w:rPr>
          <w:sz w:val="36"/>
          <w:szCs w:val="36"/>
          <w:rtl/>
        </w:rPr>
        <w:t>وقوع</w:t>
      </w:r>
      <w:r w:rsidR="00E8128F">
        <w:rPr>
          <w:sz w:val="36"/>
          <w:szCs w:val="36"/>
          <w:rtl/>
        </w:rPr>
        <w:t xml:space="preserve"> </w:t>
      </w:r>
      <w:r w:rsidR="00927E76" w:rsidRPr="00FD211F">
        <w:rPr>
          <w:sz w:val="36"/>
          <w:szCs w:val="36"/>
          <w:rtl/>
        </w:rPr>
        <w:t>الاختلاف</w:t>
      </w:r>
      <w:r w:rsidR="00E8128F">
        <w:rPr>
          <w:sz w:val="36"/>
          <w:szCs w:val="36"/>
          <w:rtl/>
        </w:rPr>
        <w:t xml:space="preserve"> </w:t>
      </w:r>
      <w:r w:rsidR="00927E76" w:rsidRPr="00FD211F">
        <w:rPr>
          <w:sz w:val="36"/>
          <w:szCs w:val="36"/>
          <w:rtl/>
        </w:rPr>
        <w:t>فيها</w:t>
      </w:r>
      <w:r w:rsidR="00E8128F">
        <w:rPr>
          <w:sz w:val="36"/>
          <w:szCs w:val="36"/>
          <w:rtl/>
        </w:rPr>
        <w:t xml:space="preserve"> </w:t>
      </w:r>
      <w:r w:rsidR="00927E76" w:rsidRPr="00FD211F">
        <w:rPr>
          <w:sz w:val="36"/>
          <w:szCs w:val="36"/>
          <w:rtl/>
        </w:rPr>
        <w:t>سع</w:t>
      </w:r>
      <w:r w:rsidR="00EC7EDF" w:rsidRPr="00FD211F">
        <w:rPr>
          <w:sz w:val="36"/>
          <w:szCs w:val="36"/>
          <w:rtl/>
        </w:rPr>
        <w:t>ة</w:t>
      </w:r>
      <w:r w:rsidR="00E8128F">
        <w:rPr>
          <w:sz w:val="36"/>
          <w:szCs w:val="36"/>
          <w:rtl/>
        </w:rPr>
        <w:t xml:space="preserve"> </w:t>
      </w:r>
      <w:r w:rsidR="00927E76" w:rsidRPr="00FD211F">
        <w:rPr>
          <w:sz w:val="36"/>
          <w:szCs w:val="36"/>
          <w:rtl/>
        </w:rPr>
        <w:t>وضيقا</w:t>
      </w:r>
      <w:r w:rsidR="00BE7EA7" w:rsidRPr="00FD211F">
        <w:rPr>
          <w:sz w:val="36"/>
          <w:szCs w:val="36"/>
          <w:rtl/>
        </w:rPr>
        <w:t>.</w:t>
      </w:r>
    </w:p>
    <w:p w14:paraId="25E9ABCA" w14:textId="77777777" w:rsidR="00BE7EA7" w:rsidRPr="00FD211F" w:rsidRDefault="00BE7EA7" w:rsidP="009C58C8">
      <w:pPr>
        <w:ind w:left="0" w:firstLine="227"/>
        <w:jc w:val="both"/>
        <w:rPr>
          <w:sz w:val="36"/>
          <w:szCs w:val="36"/>
          <w:rtl/>
        </w:rPr>
      </w:pPr>
      <w:r w:rsidRPr="00FD211F">
        <w:rPr>
          <w:b/>
          <w:bCs/>
          <w:sz w:val="36"/>
          <w:szCs w:val="36"/>
          <w:rtl/>
        </w:rPr>
        <w:t>وثالثا</w:t>
      </w:r>
      <w:r w:rsidRPr="00FD211F">
        <w:rPr>
          <w:sz w:val="36"/>
          <w:szCs w:val="36"/>
          <w:rtl/>
        </w:rPr>
        <w:t>:</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لاموجب</w:t>
      </w:r>
      <w:r w:rsidR="00E8128F">
        <w:rPr>
          <w:sz w:val="36"/>
          <w:szCs w:val="36"/>
          <w:rtl/>
        </w:rPr>
        <w:t xml:space="preserve"> </w:t>
      </w:r>
      <w:r w:rsidRPr="00FD211F">
        <w:rPr>
          <w:sz w:val="36"/>
          <w:szCs w:val="36"/>
          <w:rtl/>
        </w:rPr>
        <w:t>لحصر</w:t>
      </w:r>
      <w:r w:rsidR="00E8128F">
        <w:rPr>
          <w:sz w:val="36"/>
          <w:szCs w:val="36"/>
          <w:rtl/>
        </w:rPr>
        <w:t xml:space="preserve"> </w:t>
      </w:r>
      <w:r w:rsidRPr="00FD211F">
        <w:rPr>
          <w:sz w:val="36"/>
          <w:szCs w:val="36"/>
          <w:rtl/>
        </w:rPr>
        <w:t>المسأل</w:t>
      </w:r>
      <w:r w:rsidR="00EC7EDF" w:rsidRPr="00FD211F">
        <w:rPr>
          <w:sz w:val="36"/>
          <w:szCs w:val="36"/>
          <w:rtl/>
        </w:rPr>
        <w:t>ة</w:t>
      </w:r>
      <w:r w:rsidR="00E8128F">
        <w:rPr>
          <w:sz w:val="36"/>
          <w:szCs w:val="36"/>
          <w:rtl/>
        </w:rPr>
        <w:t xml:space="preserve"> </w:t>
      </w:r>
      <w:r w:rsidRPr="00FD211F">
        <w:rPr>
          <w:sz w:val="36"/>
          <w:szCs w:val="36"/>
          <w:rtl/>
        </w:rPr>
        <w:t>الاصولي</w:t>
      </w:r>
      <w:r w:rsidR="00EC7EDF" w:rsidRPr="00FD211F">
        <w:rPr>
          <w:sz w:val="36"/>
          <w:szCs w:val="36"/>
          <w:rtl/>
        </w:rPr>
        <w:t>ة</w:t>
      </w:r>
      <w:r w:rsidR="00E8128F">
        <w:rPr>
          <w:sz w:val="36"/>
          <w:szCs w:val="36"/>
          <w:rtl/>
        </w:rPr>
        <w:t xml:space="preserve"> </w:t>
      </w:r>
      <w:r w:rsidRPr="00FD211F">
        <w:rPr>
          <w:sz w:val="36"/>
          <w:szCs w:val="36"/>
          <w:rtl/>
        </w:rPr>
        <w:t>بامكان</w:t>
      </w:r>
      <w:r w:rsidR="00E8128F">
        <w:rPr>
          <w:sz w:val="36"/>
          <w:szCs w:val="36"/>
          <w:rtl/>
        </w:rPr>
        <w:t xml:space="preserve"> </w:t>
      </w:r>
      <w:r w:rsidRPr="00FD211F">
        <w:rPr>
          <w:sz w:val="36"/>
          <w:szCs w:val="36"/>
          <w:rtl/>
        </w:rPr>
        <w:t>وقوعها</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كبرى</w:t>
      </w:r>
      <w:r w:rsidR="00E8128F">
        <w:rPr>
          <w:sz w:val="36"/>
          <w:szCs w:val="36"/>
          <w:rtl/>
        </w:rPr>
        <w:t xml:space="preserve"> </w:t>
      </w:r>
      <w:r w:rsidRPr="00FD211F">
        <w:rPr>
          <w:sz w:val="36"/>
          <w:szCs w:val="36"/>
          <w:rtl/>
        </w:rPr>
        <w:t>لقياس</w:t>
      </w:r>
      <w:r w:rsidR="00E8128F">
        <w:rPr>
          <w:sz w:val="36"/>
          <w:szCs w:val="36"/>
          <w:rtl/>
        </w:rPr>
        <w:t xml:space="preserve"> </w:t>
      </w:r>
      <w:r w:rsidRPr="00FD211F">
        <w:rPr>
          <w:sz w:val="36"/>
          <w:szCs w:val="36"/>
          <w:rtl/>
        </w:rPr>
        <w:t>استنباط</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603323" w:rsidRPr="00FD211F">
        <w:rPr>
          <w:sz w:val="36"/>
          <w:szCs w:val="36"/>
          <w:rtl/>
        </w:rPr>
        <w:t>،</w:t>
      </w:r>
      <w:r w:rsidR="00E8128F">
        <w:rPr>
          <w:sz w:val="36"/>
          <w:szCs w:val="36"/>
          <w:rtl/>
        </w:rPr>
        <w:t xml:space="preserve"> </w:t>
      </w:r>
      <w:r w:rsidRPr="00FD211F">
        <w:rPr>
          <w:sz w:val="36"/>
          <w:szCs w:val="36"/>
          <w:rtl/>
        </w:rPr>
        <w:t>عدا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لولا</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القيد</w:t>
      </w:r>
      <w:r w:rsidR="00E8128F">
        <w:rPr>
          <w:sz w:val="36"/>
          <w:szCs w:val="36"/>
          <w:rtl/>
        </w:rPr>
        <w:t xml:space="preserve"> </w:t>
      </w:r>
      <w:r w:rsidRPr="00FD211F">
        <w:rPr>
          <w:sz w:val="36"/>
          <w:szCs w:val="36"/>
          <w:rtl/>
        </w:rPr>
        <w:t>لدخل</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يتوقف</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الاستنباط</w:t>
      </w:r>
      <w:r w:rsidR="00E8128F">
        <w:rPr>
          <w:sz w:val="36"/>
          <w:szCs w:val="36"/>
          <w:rtl/>
        </w:rPr>
        <w:t xml:space="preserve"> </w:t>
      </w:r>
      <w:r w:rsidRPr="00FD211F">
        <w:rPr>
          <w:sz w:val="36"/>
          <w:szCs w:val="36"/>
          <w:rtl/>
        </w:rPr>
        <w:lastRenderedPageBreak/>
        <w:t>من</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المنطق</w:t>
      </w:r>
      <w:r w:rsidR="00E8128F">
        <w:rPr>
          <w:sz w:val="36"/>
          <w:szCs w:val="36"/>
          <w:rtl/>
        </w:rPr>
        <w:t xml:space="preserve"> </w:t>
      </w:r>
      <w:r w:rsidRPr="00FD211F">
        <w:rPr>
          <w:sz w:val="36"/>
          <w:szCs w:val="36"/>
          <w:rtl/>
        </w:rPr>
        <w:t>واللغ</w:t>
      </w:r>
      <w:r w:rsidR="00EC7EDF" w:rsidRPr="00FD211F">
        <w:rPr>
          <w:sz w:val="36"/>
          <w:szCs w:val="36"/>
          <w:rtl/>
        </w:rPr>
        <w:t>ة</w:t>
      </w:r>
      <w:r w:rsidR="00E8128F">
        <w:rPr>
          <w:sz w:val="36"/>
          <w:szCs w:val="36"/>
          <w:rtl/>
        </w:rPr>
        <w:t xml:space="preserve"> </w:t>
      </w:r>
      <w:r w:rsidRPr="00FD211F">
        <w:rPr>
          <w:sz w:val="36"/>
          <w:szCs w:val="36"/>
          <w:rtl/>
        </w:rPr>
        <w:t>والرجال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خروجها</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بحسب</w:t>
      </w:r>
      <w:r w:rsidR="00E8128F">
        <w:rPr>
          <w:sz w:val="36"/>
          <w:szCs w:val="36"/>
          <w:rtl/>
        </w:rPr>
        <w:t xml:space="preserve"> </w:t>
      </w:r>
      <w:r w:rsidRPr="00FD211F">
        <w:rPr>
          <w:sz w:val="36"/>
          <w:szCs w:val="36"/>
          <w:rtl/>
        </w:rPr>
        <w:t>الارتكاز</w:t>
      </w:r>
      <w:r w:rsidR="00603323" w:rsidRPr="00FD211F">
        <w:rPr>
          <w:sz w:val="36"/>
          <w:szCs w:val="36"/>
          <w:rtl/>
        </w:rPr>
        <w:t>،</w:t>
      </w:r>
      <w:r w:rsidR="00E8128F">
        <w:rPr>
          <w:sz w:val="36"/>
          <w:szCs w:val="36"/>
          <w:rtl/>
        </w:rPr>
        <w:t xml:space="preserve"> </w:t>
      </w:r>
      <w:r w:rsidRPr="00FD211F">
        <w:rPr>
          <w:sz w:val="36"/>
          <w:szCs w:val="36"/>
          <w:rtl/>
        </w:rPr>
        <w:t>ولكن</w:t>
      </w:r>
      <w:r w:rsidR="00E8128F">
        <w:rPr>
          <w:sz w:val="36"/>
          <w:szCs w:val="36"/>
          <w:rtl/>
        </w:rPr>
        <w:t xml:space="preserve"> </w:t>
      </w:r>
      <w:r w:rsidRPr="00FD211F">
        <w:rPr>
          <w:sz w:val="36"/>
          <w:szCs w:val="36"/>
          <w:rtl/>
        </w:rPr>
        <w:t>سيأتي</w:t>
      </w:r>
      <w:r w:rsidR="00E8128F">
        <w:rPr>
          <w:sz w:val="36"/>
          <w:szCs w:val="36"/>
          <w:rtl/>
        </w:rPr>
        <w:t xml:space="preserve"> </w:t>
      </w:r>
      <w:r w:rsidRPr="00FD211F">
        <w:rPr>
          <w:sz w:val="36"/>
          <w:szCs w:val="36"/>
          <w:rtl/>
        </w:rPr>
        <w:t>امكان</w:t>
      </w:r>
      <w:r w:rsidR="00E8128F">
        <w:rPr>
          <w:sz w:val="36"/>
          <w:szCs w:val="36"/>
          <w:rtl/>
        </w:rPr>
        <w:t xml:space="preserve"> </w:t>
      </w:r>
      <w:r w:rsidRPr="00FD211F">
        <w:rPr>
          <w:sz w:val="36"/>
          <w:szCs w:val="36"/>
          <w:rtl/>
        </w:rPr>
        <w:t>دفع</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الشبه</w:t>
      </w:r>
      <w:r w:rsidR="00EC7EDF" w:rsidRPr="00FD211F">
        <w:rPr>
          <w:sz w:val="36"/>
          <w:szCs w:val="36"/>
          <w:rtl/>
        </w:rPr>
        <w:t>ة</w:t>
      </w:r>
      <w:r w:rsidR="00E8128F">
        <w:rPr>
          <w:sz w:val="36"/>
          <w:szCs w:val="36"/>
          <w:rtl/>
        </w:rPr>
        <w:t xml:space="preserve"> </w:t>
      </w:r>
      <w:r w:rsidRPr="00FD211F">
        <w:rPr>
          <w:sz w:val="36"/>
          <w:szCs w:val="36"/>
          <w:rtl/>
        </w:rPr>
        <w:t>بطريق</w:t>
      </w:r>
      <w:r w:rsidR="00E8128F">
        <w:rPr>
          <w:sz w:val="36"/>
          <w:szCs w:val="36"/>
          <w:rtl/>
        </w:rPr>
        <w:t xml:space="preserve"> </w:t>
      </w:r>
      <w:r w:rsidRPr="00FD211F">
        <w:rPr>
          <w:sz w:val="36"/>
          <w:szCs w:val="36"/>
          <w:rtl/>
        </w:rPr>
        <w:t>آخر.</w:t>
      </w:r>
    </w:p>
    <w:p w14:paraId="10702DE4" w14:textId="77777777" w:rsidR="00927E76" w:rsidRPr="00FD211F" w:rsidRDefault="00AF3B0B"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قد</w:t>
      </w:r>
      <w:r w:rsidR="00E8128F">
        <w:rPr>
          <w:sz w:val="36"/>
          <w:szCs w:val="36"/>
          <w:rtl/>
        </w:rPr>
        <w:t xml:space="preserve"> </w:t>
      </w:r>
      <w:r w:rsidR="00927E76" w:rsidRPr="00FD211F">
        <w:rPr>
          <w:sz w:val="36"/>
          <w:szCs w:val="36"/>
          <w:rtl/>
        </w:rPr>
        <w:t>اورد</w:t>
      </w:r>
      <w:r w:rsidR="00E8128F">
        <w:rPr>
          <w:sz w:val="36"/>
          <w:szCs w:val="36"/>
          <w:rtl/>
        </w:rPr>
        <w:t xml:space="preserve"> </w:t>
      </w:r>
      <w:r w:rsidR="00927E76" w:rsidRPr="00FD211F">
        <w:rPr>
          <w:sz w:val="36"/>
          <w:szCs w:val="36"/>
          <w:rtl/>
        </w:rPr>
        <w:t>في</w:t>
      </w:r>
      <w:r w:rsidR="00E8128F">
        <w:rPr>
          <w:sz w:val="36"/>
          <w:szCs w:val="36"/>
          <w:rtl/>
        </w:rPr>
        <w:t xml:space="preserve"> </w:t>
      </w:r>
      <w:r w:rsidR="00927E76" w:rsidRPr="00FD211F">
        <w:rPr>
          <w:sz w:val="36"/>
          <w:szCs w:val="36"/>
          <w:rtl/>
        </w:rPr>
        <w:t>البحوث</w:t>
      </w:r>
      <w:r w:rsidR="00E8128F">
        <w:rPr>
          <w:sz w:val="36"/>
          <w:szCs w:val="36"/>
          <w:rtl/>
        </w:rPr>
        <w:t xml:space="preserve"> </w:t>
      </w:r>
      <w:r w:rsidR="00927E76" w:rsidRPr="00FD211F">
        <w:rPr>
          <w:sz w:val="36"/>
          <w:szCs w:val="36"/>
          <w:rtl/>
        </w:rPr>
        <w:t>على</w:t>
      </w:r>
      <w:r w:rsidR="00E8128F">
        <w:rPr>
          <w:sz w:val="36"/>
          <w:szCs w:val="36"/>
          <w:rtl/>
        </w:rPr>
        <w:t xml:space="preserve"> </w:t>
      </w:r>
      <w:r w:rsidR="00927E76" w:rsidRPr="00FD211F">
        <w:rPr>
          <w:sz w:val="36"/>
          <w:szCs w:val="36"/>
          <w:rtl/>
        </w:rPr>
        <w:t>تعريف</w:t>
      </w:r>
      <w:r w:rsidR="00E8128F">
        <w:rPr>
          <w:sz w:val="36"/>
          <w:szCs w:val="36"/>
          <w:rtl/>
        </w:rPr>
        <w:t xml:space="preserve"> </w:t>
      </w:r>
      <w:r w:rsidR="00927E76" w:rsidRPr="00FD211F">
        <w:rPr>
          <w:sz w:val="36"/>
          <w:szCs w:val="36"/>
          <w:rtl/>
        </w:rPr>
        <w:t>السيد</w:t>
      </w:r>
      <w:r w:rsidR="00E8128F">
        <w:rPr>
          <w:sz w:val="36"/>
          <w:szCs w:val="36"/>
          <w:rtl/>
        </w:rPr>
        <w:t xml:space="preserve"> </w:t>
      </w:r>
      <w:r w:rsidR="00927E76" w:rsidRPr="00FD211F">
        <w:rPr>
          <w:sz w:val="36"/>
          <w:szCs w:val="36"/>
          <w:rtl/>
        </w:rPr>
        <w:t>الخوئي</w:t>
      </w:r>
      <w:r w:rsidR="00E8128F">
        <w:rPr>
          <w:sz w:val="36"/>
          <w:szCs w:val="36"/>
          <w:rtl/>
        </w:rPr>
        <w:t xml:space="preserve"> </w:t>
      </w:r>
      <w:r w:rsidR="003411C4" w:rsidRPr="00FD211F">
        <w:rPr>
          <w:sz w:val="36"/>
          <w:szCs w:val="36"/>
          <w:rtl/>
        </w:rPr>
        <w:t>"</w:t>
      </w:r>
      <w:r w:rsidR="00927E76" w:rsidRPr="00FD211F">
        <w:rPr>
          <w:sz w:val="36"/>
          <w:szCs w:val="36"/>
          <w:rtl/>
        </w:rPr>
        <w:t>قده</w:t>
      </w:r>
      <w:r w:rsidR="003411C4" w:rsidRPr="00FD211F">
        <w:rPr>
          <w:sz w:val="36"/>
          <w:szCs w:val="36"/>
          <w:rtl/>
        </w:rPr>
        <w:t>"</w:t>
      </w:r>
      <w:r w:rsidR="00E8128F">
        <w:rPr>
          <w:sz w:val="36"/>
          <w:szCs w:val="36"/>
          <w:rtl/>
        </w:rPr>
        <w:t xml:space="preserve"> </w:t>
      </w:r>
      <w:r w:rsidR="00CF7F32" w:rsidRPr="00FD211F">
        <w:rPr>
          <w:sz w:val="36"/>
          <w:szCs w:val="36"/>
          <w:rtl/>
        </w:rPr>
        <w:t>ب</w:t>
      </w:r>
      <w:r w:rsidR="008A30CC" w:rsidRPr="00FD211F">
        <w:rPr>
          <w:sz w:val="36"/>
          <w:szCs w:val="36"/>
          <w:rtl/>
        </w:rPr>
        <w:t>ما</w:t>
      </w:r>
      <w:r w:rsidR="00E8128F">
        <w:rPr>
          <w:sz w:val="36"/>
          <w:szCs w:val="36"/>
          <w:rtl/>
        </w:rPr>
        <w:t xml:space="preserve"> </w:t>
      </w:r>
      <w:r w:rsidR="008A30CC" w:rsidRPr="00FD211F">
        <w:rPr>
          <w:sz w:val="36"/>
          <w:szCs w:val="36"/>
          <w:rtl/>
        </w:rPr>
        <w:t>محصله</w:t>
      </w:r>
      <w:r w:rsidR="00E8128F">
        <w:rPr>
          <w:sz w:val="36"/>
          <w:szCs w:val="36"/>
          <w:rtl/>
        </w:rPr>
        <w:t xml:space="preserve"> </w:t>
      </w:r>
      <w:r w:rsidR="00927E76" w:rsidRPr="00FD211F">
        <w:rPr>
          <w:sz w:val="36"/>
          <w:szCs w:val="36"/>
          <w:rtl/>
        </w:rPr>
        <w:t>ان</w:t>
      </w:r>
      <w:r w:rsidR="00CF7F32" w:rsidRPr="00FD211F">
        <w:rPr>
          <w:sz w:val="36"/>
          <w:szCs w:val="36"/>
          <w:rtl/>
        </w:rPr>
        <w:t>ه</w:t>
      </w:r>
      <w:r w:rsidR="00E8128F">
        <w:rPr>
          <w:sz w:val="36"/>
          <w:szCs w:val="36"/>
          <w:rtl/>
        </w:rPr>
        <w:t xml:space="preserve"> </w:t>
      </w:r>
      <w:r w:rsidR="00134660" w:rsidRPr="00FD211F">
        <w:rPr>
          <w:sz w:val="36"/>
          <w:szCs w:val="36"/>
          <w:rtl/>
        </w:rPr>
        <w:t>ان</w:t>
      </w:r>
      <w:r w:rsidR="00E8128F">
        <w:rPr>
          <w:sz w:val="36"/>
          <w:szCs w:val="36"/>
          <w:rtl/>
        </w:rPr>
        <w:t xml:space="preserve"> </w:t>
      </w:r>
      <w:r w:rsidR="00927E76" w:rsidRPr="00FD211F">
        <w:rPr>
          <w:sz w:val="36"/>
          <w:szCs w:val="36"/>
          <w:rtl/>
        </w:rPr>
        <w:t>اريد</w:t>
      </w:r>
      <w:r w:rsidR="00E8128F">
        <w:rPr>
          <w:sz w:val="36"/>
          <w:szCs w:val="36"/>
          <w:rtl/>
        </w:rPr>
        <w:t xml:space="preserve"> </w:t>
      </w:r>
      <w:r w:rsidR="00134660" w:rsidRPr="00FD211F">
        <w:rPr>
          <w:sz w:val="36"/>
          <w:szCs w:val="36"/>
          <w:rtl/>
        </w:rPr>
        <w:t>من</w:t>
      </w:r>
      <w:r w:rsidR="00E8128F">
        <w:rPr>
          <w:sz w:val="36"/>
          <w:szCs w:val="36"/>
          <w:rtl/>
        </w:rPr>
        <w:t xml:space="preserve"> </w:t>
      </w:r>
      <w:r w:rsidR="00134660" w:rsidRPr="00FD211F">
        <w:rPr>
          <w:sz w:val="36"/>
          <w:szCs w:val="36"/>
          <w:rtl/>
        </w:rPr>
        <w:t>كون</w:t>
      </w:r>
      <w:r w:rsidR="00E8128F">
        <w:rPr>
          <w:sz w:val="36"/>
          <w:szCs w:val="36"/>
          <w:rtl/>
        </w:rPr>
        <w:t xml:space="preserve"> </w:t>
      </w:r>
      <w:r w:rsidR="00134660" w:rsidRPr="00FD211F">
        <w:rPr>
          <w:sz w:val="36"/>
          <w:szCs w:val="36"/>
          <w:rtl/>
        </w:rPr>
        <w:t>المسأل</w:t>
      </w:r>
      <w:r w:rsidR="00EC7EDF" w:rsidRPr="00FD211F">
        <w:rPr>
          <w:sz w:val="36"/>
          <w:szCs w:val="36"/>
          <w:rtl/>
        </w:rPr>
        <w:t>ة</w:t>
      </w:r>
      <w:r w:rsidR="00E8128F">
        <w:rPr>
          <w:sz w:val="36"/>
          <w:szCs w:val="36"/>
          <w:rtl/>
        </w:rPr>
        <w:t xml:space="preserve"> </w:t>
      </w:r>
      <w:r w:rsidR="00134660" w:rsidRPr="00FD211F">
        <w:rPr>
          <w:sz w:val="36"/>
          <w:szCs w:val="36"/>
          <w:rtl/>
        </w:rPr>
        <w:t>الاصولي</w:t>
      </w:r>
      <w:r w:rsidR="00EC7EDF" w:rsidRPr="00FD211F">
        <w:rPr>
          <w:sz w:val="36"/>
          <w:szCs w:val="36"/>
          <w:rtl/>
        </w:rPr>
        <w:t>ة</w:t>
      </w:r>
      <w:r w:rsidR="00E8128F">
        <w:rPr>
          <w:sz w:val="36"/>
          <w:szCs w:val="36"/>
          <w:rtl/>
        </w:rPr>
        <w:t xml:space="preserve"> </w:t>
      </w:r>
      <w:r w:rsidR="00134660" w:rsidRPr="00FD211F">
        <w:rPr>
          <w:sz w:val="36"/>
          <w:szCs w:val="36"/>
          <w:rtl/>
        </w:rPr>
        <w:t>هي</w:t>
      </w:r>
      <w:r w:rsidR="00E8128F">
        <w:rPr>
          <w:sz w:val="36"/>
          <w:szCs w:val="36"/>
          <w:rtl/>
        </w:rPr>
        <w:t xml:space="preserve"> </w:t>
      </w:r>
      <w:r w:rsidR="00134660" w:rsidRPr="00FD211F">
        <w:rPr>
          <w:sz w:val="36"/>
          <w:szCs w:val="36"/>
          <w:rtl/>
        </w:rPr>
        <w:t>التي</w:t>
      </w:r>
      <w:r w:rsidR="00E8128F">
        <w:rPr>
          <w:sz w:val="36"/>
          <w:szCs w:val="36"/>
          <w:rtl/>
        </w:rPr>
        <w:t xml:space="preserve"> </w:t>
      </w:r>
      <w:r w:rsidR="00134660" w:rsidRPr="00FD211F">
        <w:rPr>
          <w:sz w:val="36"/>
          <w:szCs w:val="36"/>
          <w:rtl/>
        </w:rPr>
        <w:t>لايحتاج</w:t>
      </w:r>
      <w:r w:rsidR="00E8128F">
        <w:rPr>
          <w:sz w:val="36"/>
          <w:szCs w:val="36"/>
          <w:rtl/>
        </w:rPr>
        <w:t xml:space="preserve"> </w:t>
      </w:r>
      <w:r w:rsidR="00134660" w:rsidRPr="00FD211F">
        <w:rPr>
          <w:sz w:val="36"/>
          <w:szCs w:val="36"/>
          <w:rtl/>
        </w:rPr>
        <w:t>استنباط</w:t>
      </w:r>
      <w:r w:rsidR="00E8128F">
        <w:rPr>
          <w:sz w:val="36"/>
          <w:szCs w:val="36"/>
          <w:rtl/>
        </w:rPr>
        <w:t xml:space="preserve"> </w:t>
      </w:r>
      <w:r w:rsidR="00134660" w:rsidRPr="00FD211F">
        <w:rPr>
          <w:sz w:val="36"/>
          <w:szCs w:val="36"/>
          <w:rtl/>
        </w:rPr>
        <w:t>الحكم</w:t>
      </w:r>
      <w:r w:rsidR="00E8128F">
        <w:rPr>
          <w:sz w:val="36"/>
          <w:szCs w:val="36"/>
          <w:rtl/>
        </w:rPr>
        <w:t xml:space="preserve"> </w:t>
      </w:r>
      <w:r w:rsidR="00134660" w:rsidRPr="00FD211F">
        <w:rPr>
          <w:sz w:val="36"/>
          <w:szCs w:val="36"/>
          <w:rtl/>
        </w:rPr>
        <w:t>الشرعي</w:t>
      </w:r>
      <w:r w:rsidR="00E8128F">
        <w:rPr>
          <w:sz w:val="36"/>
          <w:szCs w:val="36"/>
          <w:rtl/>
        </w:rPr>
        <w:t xml:space="preserve"> </w:t>
      </w:r>
      <w:r w:rsidR="00134660" w:rsidRPr="00FD211F">
        <w:rPr>
          <w:sz w:val="36"/>
          <w:szCs w:val="36"/>
          <w:rtl/>
        </w:rPr>
        <w:t>منها</w:t>
      </w:r>
      <w:r w:rsidR="00E8128F">
        <w:rPr>
          <w:sz w:val="36"/>
          <w:szCs w:val="36"/>
          <w:rtl/>
        </w:rPr>
        <w:t xml:space="preserve"> </w:t>
      </w:r>
      <w:r w:rsidR="00134660" w:rsidRPr="00FD211F">
        <w:rPr>
          <w:sz w:val="36"/>
          <w:szCs w:val="36"/>
          <w:rtl/>
        </w:rPr>
        <w:t>الى</w:t>
      </w:r>
      <w:r w:rsidR="00E8128F">
        <w:rPr>
          <w:sz w:val="36"/>
          <w:szCs w:val="36"/>
          <w:rtl/>
        </w:rPr>
        <w:t xml:space="preserve"> </w:t>
      </w:r>
      <w:r w:rsidR="00134660" w:rsidRPr="00FD211F">
        <w:rPr>
          <w:sz w:val="36"/>
          <w:szCs w:val="36"/>
          <w:rtl/>
        </w:rPr>
        <w:t>كبرى</w:t>
      </w:r>
      <w:r w:rsidR="00E8128F">
        <w:rPr>
          <w:sz w:val="36"/>
          <w:szCs w:val="36"/>
          <w:rtl/>
        </w:rPr>
        <w:t xml:space="preserve"> </w:t>
      </w:r>
      <w:r w:rsidR="00134660" w:rsidRPr="00FD211F">
        <w:rPr>
          <w:sz w:val="36"/>
          <w:szCs w:val="36"/>
          <w:rtl/>
        </w:rPr>
        <w:t>اصولي</w:t>
      </w:r>
      <w:r w:rsidR="00EC7EDF" w:rsidRPr="00FD211F">
        <w:rPr>
          <w:sz w:val="36"/>
          <w:szCs w:val="36"/>
          <w:rtl/>
        </w:rPr>
        <w:t>ة</w:t>
      </w:r>
      <w:r w:rsidR="00E8128F">
        <w:rPr>
          <w:sz w:val="36"/>
          <w:szCs w:val="36"/>
          <w:rtl/>
        </w:rPr>
        <w:t xml:space="preserve"> </w:t>
      </w:r>
      <w:r w:rsidR="00134660" w:rsidRPr="00FD211F">
        <w:rPr>
          <w:sz w:val="36"/>
          <w:szCs w:val="36"/>
          <w:rtl/>
        </w:rPr>
        <w:t>أخرى</w:t>
      </w:r>
      <w:r w:rsidR="00603323" w:rsidRPr="00FD211F">
        <w:rPr>
          <w:sz w:val="36"/>
          <w:szCs w:val="36"/>
          <w:rtl/>
        </w:rPr>
        <w:t>،</w:t>
      </w:r>
      <w:r w:rsidR="00E8128F">
        <w:rPr>
          <w:sz w:val="36"/>
          <w:szCs w:val="36"/>
          <w:rtl/>
        </w:rPr>
        <w:t xml:space="preserve"> </w:t>
      </w:r>
      <w:r w:rsidR="00927E76" w:rsidRPr="00FD211F">
        <w:rPr>
          <w:sz w:val="36"/>
          <w:szCs w:val="36"/>
          <w:rtl/>
        </w:rPr>
        <w:t>عدم</w:t>
      </w:r>
      <w:r w:rsidR="00E8128F">
        <w:rPr>
          <w:sz w:val="36"/>
          <w:szCs w:val="36"/>
          <w:rtl/>
        </w:rPr>
        <w:t xml:space="preserve"> </w:t>
      </w:r>
      <w:r w:rsidR="00927E76" w:rsidRPr="00FD211F">
        <w:rPr>
          <w:sz w:val="36"/>
          <w:szCs w:val="36"/>
          <w:rtl/>
        </w:rPr>
        <w:t>الحاج</w:t>
      </w:r>
      <w:r w:rsidR="00EC7EDF" w:rsidRPr="00FD211F">
        <w:rPr>
          <w:sz w:val="36"/>
          <w:szCs w:val="36"/>
          <w:rtl/>
        </w:rPr>
        <w:t>ة</w:t>
      </w:r>
      <w:r w:rsidR="00E8128F">
        <w:rPr>
          <w:sz w:val="36"/>
          <w:szCs w:val="36"/>
          <w:rtl/>
        </w:rPr>
        <w:t xml:space="preserve"> </w:t>
      </w:r>
      <w:r w:rsidR="00927E76" w:rsidRPr="00FD211F">
        <w:rPr>
          <w:sz w:val="36"/>
          <w:szCs w:val="36"/>
          <w:rtl/>
        </w:rPr>
        <w:t>اليها</w:t>
      </w:r>
      <w:r w:rsidR="00E8128F">
        <w:rPr>
          <w:sz w:val="36"/>
          <w:szCs w:val="36"/>
          <w:rtl/>
        </w:rPr>
        <w:t xml:space="preserve"> </w:t>
      </w:r>
      <w:r w:rsidR="00927E76" w:rsidRPr="00FD211F">
        <w:rPr>
          <w:sz w:val="36"/>
          <w:szCs w:val="36"/>
          <w:rtl/>
        </w:rPr>
        <w:t>اصلا</w:t>
      </w:r>
      <w:r w:rsidR="00603323" w:rsidRPr="00FD211F">
        <w:rPr>
          <w:sz w:val="36"/>
          <w:szCs w:val="36"/>
          <w:rtl/>
        </w:rPr>
        <w:t>،</w:t>
      </w:r>
      <w:r w:rsidR="00E8128F">
        <w:rPr>
          <w:sz w:val="36"/>
          <w:szCs w:val="36"/>
          <w:rtl/>
        </w:rPr>
        <w:t xml:space="preserve"> </w:t>
      </w:r>
      <w:r w:rsidR="00927E76" w:rsidRPr="00FD211F">
        <w:rPr>
          <w:sz w:val="36"/>
          <w:szCs w:val="36"/>
          <w:rtl/>
        </w:rPr>
        <w:t>خرجت</w:t>
      </w:r>
      <w:r w:rsidR="00E8128F">
        <w:rPr>
          <w:sz w:val="36"/>
          <w:szCs w:val="36"/>
          <w:rtl/>
        </w:rPr>
        <w:t xml:space="preserve"> </w:t>
      </w:r>
      <w:r w:rsidR="00927E76" w:rsidRPr="00FD211F">
        <w:rPr>
          <w:sz w:val="36"/>
          <w:szCs w:val="36"/>
          <w:rtl/>
        </w:rPr>
        <w:t>الكثير</w:t>
      </w:r>
      <w:r w:rsidR="00E8128F">
        <w:rPr>
          <w:sz w:val="36"/>
          <w:szCs w:val="36"/>
          <w:rtl/>
        </w:rPr>
        <w:t xml:space="preserve"> </w:t>
      </w:r>
      <w:r w:rsidR="00927E76" w:rsidRPr="00FD211F">
        <w:rPr>
          <w:sz w:val="36"/>
          <w:szCs w:val="36"/>
          <w:rtl/>
        </w:rPr>
        <w:t>من</w:t>
      </w:r>
      <w:r w:rsidR="00E8128F">
        <w:rPr>
          <w:sz w:val="36"/>
          <w:szCs w:val="36"/>
          <w:rtl/>
        </w:rPr>
        <w:t xml:space="preserve"> </w:t>
      </w:r>
      <w:r w:rsidR="00927E76" w:rsidRPr="00FD211F">
        <w:rPr>
          <w:sz w:val="36"/>
          <w:szCs w:val="36"/>
          <w:rtl/>
        </w:rPr>
        <w:t>المسائل</w:t>
      </w:r>
      <w:r w:rsidR="00E8128F">
        <w:rPr>
          <w:sz w:val="36"/>
          <w:szCs w:val="36"/>
          <w:rtl/>
        </w:rPr>
        <w:t xml:space="preserve"> </w:t>
      </w:r>
      <w:r w:rsidR="00927E76" w:rsidRPr="00FD211F">
        <w:rPr>
          <w:sz w:val="36"/>
          <w:szCs w:val="36"/>
          <w:rtl/>
        </w:rPr>
        <w:t>الاصولي</w:t>
      </w:r>
      <w:r w:rsidR="00EC7EDF" w:rsidRPr="00FD211F">
        <w:rPr>
          <w:sz w:val="36"/>
          <w:szCs w:val="36"/>
          <w:rtl/>
        </w:rPr>
        <w:t>ة</w:t>
      </w:r>
      <w:r w:rsidR="00E8128F">
        <w:rPr>
          <w:sz w:val="36"/>
          <w:szCs w:val="36"/>
          <w:rtl/>
        </w:rPr>
        <w:t xml:space="preserve"> </w:t>
      </w:r>
      <w:r w:rsidR="00142397" w:rsidRPr="00FD211F">
        <w:rPr>
          <w:sz w:val="36"/>
          <w:szCs w:val="36"/>
          <w:rtl/>
        </w:rPr>
        <w:t>ل</w:t>
      </w:r>
      <w:r w:rsidR="00927E76" w:rsidRPr="00FD211F">
        <w:rPr>
          <w:sz w:val="36"/>
          <w:szCs w:val="36"/>
          <w:rtl/>
        </w:rPr>
        <w:t>كثر</w:t>
      </w:r>
      <w:r w:rsidR="00EC7EDF" w:rsidRPr="00FD211F">
        <w:rPr>
          <w:sz w:val="36"/>
          <w:szCs w:val="36"/>
          <w:rtl/>
        </w:rPr>
        <w:t>ة</w:t>
      </w:r>
      <w:r w:rsidR="00E8128F">
        <w:rPr>
          <w:sz w:val="36"/>
          <w:szCs w:val="36"/>
          <w:rtl/>
        </w:rPr>
        <w:t xml:space="preserve"> </w:t>
      </w:r>
      <w:r w:rsidR="00927E76" w:rsidRPr="00FD211F">
        <w:rPr>
          <w:sz w:val="36"/>
          <w:szCs w:val="36"/>
          <w:rtl/>
        </w:rPr>
        <w:t>موارد</w:t>
      </w:r>
      <w:r w:rsidR="00E8128F">
        <w:rPr>
          <w:sz w:val="36"/>
          <w:szCs w:val="36"/>
          <w:rtl/>
        </w:rPr>
        <w:t xml:space="preserve"> </w:t>
      </w:r>
      <w:r w:rsidR="00927E76" w:rsidRPr="00FD211F">
        <w:rPr>
          <w:sz w:val="36"/>
          <w:szCs w:val="36"/>
          <w:rtl/>
        </w:rPr>
        <w:t>احتياج</w:t>
      </w:r>
      <w:r w:rsidR="00E8128F">
        <w:rPr>
          <w:sz w:val="36"/>
          <w:szCs w:val="36"/>
          <w:rtl/>
        </w:rPr>
        <w:t xml:space="preserve"> </w:t>
      </w:r>
      <w:r w:rsidR="00927E76" w:rsidRPr="00FD211F">
        <w:rPr>
          <w:sz w:val="36"/>
          <w:szCs w:val="36"/>
          <w:rtl/>
        </w:rPr>
        <w:t>بعضها</w:t>
      </w:r>
      <w:r w:rsidR="00E8128F">
        <w:rPr>
          <w:sz w:val="36"/>
          <w:szCs w:val="36"/>
          <w:rtl/>
        </w:rPr>
        <w:t xml:space="preserve"> </w:t>
      </w:r>
      <w:r w:rsidR="00927E76" w:rsidRPr="00FD211F">
        <w:rPr>
          <w:sz w:val="36"/>
          <w:szCs w:val="36"/>
          <w:rtl/>
        </w:rPr>
        <w:t>الى</w:t>
      </w:r>
      <w:r w:rsidR="00E8128F">
        <w:rPr>
          <w:sz w:val="36"/>
          <w:szCs w:val="36"/>
          <w:rtl/>
        </w:rPr>
        <w:t xml:space="preserve"> </w:t>
      </w:r>
      <w:r w:rsidR="00927E76" w:rsidRPr="00FD211F">
        <w:rPr>
          <w:sz w:val="36"/>
          <w:szCs w:val="36"/>
          <w:rtl/>
        </w:rPr>
        <w:t>بعضها</w:t>
      </w:r>
      <w:r w:rsidR="00E8128F">
        <w:rPr>
          <w:sz w:val="36"/>
          <w:szCs w:val="36"/>
          <w:rtl/>
        </w:rPr>
        <w:t xml:space="preserve"> </w:t>
      </w:r>
      <w:r w:rsidR="00927E76" w:rsidRPr="00FD211F">
        <w:rPr>
          <w:sz w:val="36"/>
          <w:szCs w:val="36"/>
          <w:rtl/>
        </w:rPr>
        <w:t>في</w:t>
      </w:r>
      <w:r w:rsidR="00E8128F">
        <w:rPr>
          <w:sz w:val="36"/>
          <w:szCs w:val="36"/>
          <w:rtl/>
        </w:rPr>
        <w:t xml:space="preserve"> </w:t>
      </w:r>
      <w:r w:rsidR="00927E76" w:rsidRPr="00FD211F">
        <w:rPr>
          <w:sz w:val="36"/>
          <w:szCs w:val="36"/>
          <w:rtl/>
        </w:rPr>
        <w:t>مجال</w:t>
      </w:r>
      <w:r w:rsidR="00E8128F">
        <w:rPr>
          <w:sz w:val="36"/>
          <w:szCs w:val="36"/>
          <w:rtl/>
        </w:rPr>
        <w:t xml:space="preserve"> </w:t>
      </w:r>
      <w:r w:rsidR="00927E76" w:rsidRPr="00FD211F">
        <w:rPr>
          <w:sz w:val="36"/>
          <w:szCs w:val="36"/>
          <w:rtl/>
        </w:rPr>
        <w:t>استنباط</w:t>
      </w:r>
      <w:r w:rsidR="00E8128F">
        <w:rPr>
          <w:sz w:val="36"/>
          <w:szCs w:val="36"/>
          <w:rtl/>
        </w:rPr>
        <w:t xml:space="preserve"> </w:t>
      </w:r>
      <w:r w:rsidR="00927E76" w:rsidRPr="00FD211F">
        <w:rPr>
          <w:sz w:val="36"/>
          <w:szCs w:val="36"/>
          <w:rtl/>
        </w:rPr>
        <w:t>الحكم</w:t>
      </w:r>
      <w:r w:rsidR="00E8128F">
        <w:rPr>
          <w:sz w:val="36"/>
          <w:szCs w:val="36"/>
          <w:rtl/>
        </w:rPr>
        <w:t xml:space="preserve"> </w:t>
      </w:r>
      <w:r w:rsidR="00927E76" w:rsidRPr="00FD211F">
        <w:rPr>
          <w:sz w:val="36"/>
          <w:szCs w:val="36"/>
          <w:rtl/>
        </w:rPr>
        <w:t>الشرعي</w:t>
      </w:r>
      <w:r w:rsidR="00603323" w:rsidRPr="00FD211F">
        <w:rPr>
          <w:sz w:val="36"/>
          <w:szCs w:val="36"/>
          <w:rtl/>
        </w:rPr>
        <w:t>،</w:t>
      </w:r>
      <w:r w:rsidR="00E8128F">
        <w:rPr>
          <w:sz w:val="36"/>
          <w:szCs w:val="36"/>
          <w:rtl/>
        </w:rPr>
        <w:t xml:space="preserve"> </w:t>
      </w:r>
      <w:r w:rsidR="00927E76" w:rsidRPr="00FD211F">
        <w:rPr>
          <w:sz w:val="36"/>
          <w:szCs w:val="36"/>
          <w:rtl/>
        </w:rPr>
        <w:t>كما</w:t>
      </w:r>
      <w:r w:rsidR="00E8128F">
        <w:rPr>
          <w:sz w:val="36"/>
          <w:szCs w:val="36"/>
          <w:rtl/>
        </w:rPr>
        <w:t xml:space="preserve"> </w:t>
      </w:r>
      <w:r w:rsidR="00142397" w:rsidRPr="00FD211F">
        <w:rPr>
          <w:sz w:val="36"/>
          <w:szCs w:val="36"/>
          <w:rtl/>
        </w:rPr>
        <w:t>لو</w:t>
      </w:r>
      <w:r w:rsidR="00E8128F">
        <w:rPr>
          <w:sz w:val="36"/>
          <w:szCs w:val="36"/>
          <w:rtl/>
        </w:rPr>
        <w:t xml:space="preserve"> </w:t>
      </w:r>
      <w:r w:rsidR="00927E76" w:rsidRPr="00FD211F">
        <w:rPr>
          <w:sz w:val="36"/>
          <w:szCs w:val="36"/>
          <w:rtl/>
        </w:rPr>
        <w:t>اعتمد</w:t>
      </w:r>
      <w:r w:rsidR="00E8128F">
        <w:rPr>
          <w:sz w:val="36"/>
          <w:szCs w:val="36"/>
          <w:rtl/>
        </w:rPr>
        <w:t xml:space="preserve"> </w:t>
      </w:r>
      <w:r w:rsidR="00927E76" w:rsidRPr="00FD211F">
        <w:rPr>
          <w:sz w:val="36"/>
          <w:szCs w:val="36"/>
          <w:rtl/>
        </w:rPr>
        <w:t>الاستن</w:t>
      </w:r>
      <w:r w:rsidR="00142397" w:rsidRPr="00FD211F">
        <w:rPr>
          <w:sz w:val="36"/>
          <w:szCs w:val="36"/>
          <w:rtl/>
        </w:rPr>
        <w:t>ب</w:t>
      </w:r>
      <w:r w:rsidR="00927E76" w:rsidRPr="00FD211F">
        <w:rPr>
          <w:sz w:val="36"/>
          <w:szCs w:val="36"/>
          <w:rtl/>
        </w:rPr>
        <w:t>اط</w:t>
      </w:r>
      <w:r w:rsidR="00E8128F">
        <w:rPr>
          <w:sz w:val="36"/>
          <w:szCs w:val="36"/>
          <w:rtl/>
        </w:rPr>
        <w:t xml:space="preserve"> </w:t>
      </w:r>
      <w:r w:rsidR="00927E76" w:rsidRPr="00FD211F">
        <w:rPr>
          <w:sz w:val="36"/>
          <w:szCs w:val="36"/>
          <w:rtl/>
        </w:rPr>
        <w:t>على</w:t>
      </w:r>
      <w:r w:rsidR="00E8128F">
        <w:rPr>
          <w:sz w:val="36"/>
          <w:szCs w:val="36"/>
          <w:rtl/>
        </w:rPr>
        <w:t xml:space="preserve"> </w:t>
      </w:r>
      <w:r w:rsidR="00927E76" w:rsidRPr="00FD211F">
        <w:rPr>
          <w:sz w:val="36"/>
          <w:szCs w:val="36"/>
          <w:rtl/>
        </w:rPr>
        <w:t>دليل</w:t>
      </w:r>
      <w:r w:rsidR="00E8128F">
        <w:rPr>
          <w:sz w:val="36"/>
          <w:szCs w:val="36"/>
          <w:rtl/>
        </w:rPr>
        <w:t xml:space="preserve"> </w:t>
      </w:r>
      <w:r w:rsidR="00927E76" w:rsidRPr="00FD211F">
        <w:rPr>
          <w:sz w:val="36"/>
          <w:szCs w:val="36"/>
          <w:rtl/>
        </w:rPr>
        <w:t>غير</w:t>
      </w:r>
      <w:r w:rsidR="00E8128F">
        <w:rPr>
          <w:sz w:val="36"/>
          <w:szCs w:val="36"/>
          <w:rtl/>
        </w:rPr>
        <w:t xml:space="preserve"> </w:t>
      </w:r>
      <w:r w:rsidR="00927E76" w:rsidRPr="00FD211F">
        <w:rPr>
          <w:sz w:val="36"/>
          <w:szCs w:val="36"/>
          <w:rtl/>
        </w:rPr>
        <w:t>قطعي</w:t>
      </w:r>
      <w:r w:rsidR="00E8128F">
        <w:rPr>
          <w:sz w:val="36"/>
          <w:szCs w:val="36"/>
          <w:rtl/>
        </w:rPr>
        <w:t xml:space="preserve"> </w:t>
      </w:r>
      <w:r w:rsidR="00927E76" w:rsidRPr="00FD211F">
        <w:rPr>
          <w:sz w:val="36"/>
          <w:szCs w:val="36"/>
          <w:rtl/>
        </w:rPr>
        <w:t>السند</w:t>
      </w:r>
      <w:r w:rsidR="00E8128F">
        <w:rPr>
          <w:sz w:val="36"/>
          <w:szCs w:val="36"/>
          <w:rtl/>
        </w:rPr>
        <w:t xml:space="preserve"> </w:t>
      </w:r>
      <w:r w:rsidR="00927E76" w:rsidRPr="00FD211F">
        <w:rPr>
          <w:sz w:val="36"/>
          <w:szCs w:val="36"/>
          <w:rtl/>
        </w:rPr>
        <w:t>والدلال</w:t>
      </w:r>
      <w:r w:rsidR="00EC7EDF" w:rsidRPr="00FD211F">
        <w:rPr>
          <w:sz w:val="36"/>
          <w:szCs w:val="36"/>
          <w:rtl/>
        </w:rPr>
        <w:t>ة</w:t>
      </w:r>
      <w:r w:rsidR="00603323" w:rsidRPr="00FD211F">
        <w:rPr>
          <w:sz w:val="36"/>
          <w:szCs w:val="36"/>
          <w:rtl/>
        </w:rPr>
        <w:t>،</w:t>
      </w:r>
      <w:r w:rsidR="00E8128F">
        <w:rPr>
          <w:sz w:val="36"/>
          <w:szCs w:val="36"/>
          <w:rtl/>
        </w:rPr>
        <w:t xml:space="preserve"> </w:t>
      </w:r>
      <w:r w:rsidR="00927E76" w:rsidRPr="00FD211F">
        <w:rPr>
          <w:sz w:val="36"/>
          <w:szCs w:val="36"/>
          <w:rtl/>
        </w:rPr>
        <w:t>وان</w:t>
      </w:r>
      <w:r w:rsidR="00E8128F">
        <w:rPr>
          <w:sz w:val="36"/>
          <w:szCs w:val="36"/>
          <w:rtl/>
        </w:rPr>
        <w:t xml:space="preserve"> </w:t>
      </w:r>
      <w:r w:rsidR="00927E76" w:rsidRPr="00FD211F">
        <w:rPr>
          <w:sz w:val="36"/>
          <w:szCs w:val="36"/>
          <w:rtl/>
        </w:rPr>
        <w:t>اريد</w:t>
      </w:r>
      <w:r w:rsidR="00E8128F">
        <w:rPr>
          <w:sz w:val="36"/>
          <w:szCs w:val="36"/>
          <w:rtl/>
        </w:rPr>
        <w:t xml:space="preserve"> </w:t>
      </w:r>
      <w:r w:rsidR="00927E76" w:rsidRPr="00FD211F">
        <w:rPr>
          <w:sz w:val="36"/>
          <w:szCs w:val="36"/>
          <w:rtl/>
        </w:rPr>
        <w:t>عدم</w:t>
      </w:r>
      <w:r w:rsidR="00E8128F">
        <w:rPr>
          <w:sz w:val="36"/>
          <w:szCs w:val="36"/>
          <w:rtl/>
        </w:rPr>
        <w:t xml:space="preserve"> </w:t>
      </w:r>
      <w:r w:rsidR="00927E76" w:rsidRPr="00FD211F">
        <w:rPr>
          <w:sz w:val="36"/>
          <w:szCs w:val="36"/>
          <w:rtl/>
        </w:rPr>
        <w:t>الحاج</w:t>
      </w:r>
      <w:r w:rsidR="00EC7EDF" w:rsidRPr="00FD211F">
        <w:rPr>
          <w:sz w:val="36"/>
          <w:szCs w:val="36"/>
          <w:rtl/>
        </w:rPr>
        <w:t>ة</w:t>
      </w:r>
      <w:r w:rsidR="00E8128F">
        <w:rPr>
          <w:sz w:val="36"/>
          <w:szCs w:val="36"/>
          <w:rtl/>
        </w:rPr>
        <w:t xml:space="preserve"> </w:t>
      </w:r>
      <w:r w:rsidR="00927E76" w:rsidRPr="00FD211F">
        <w:rPr>
          <w:sz w:val="36"/>
          <w:szCs w:val="36"/>
          <w:rtl/>
        </w:rPr>
        <w:t>في</w:t>
      </w:r>
      <w:r w:rsidR="00E8128F">
        <w:rPr>
          <w:sz w:val="36"/>
          <w:szCs w:val="36"/>
          <w:rtl/>
        </w:rPr>
        <w:t xml:space="preserve"> </w:t>
      </w:r>
      <w:r w:rsidR="00927E76" w:rsidRPr="00FD211F">
        <w:rPr>
          <w:sz w:val="36"/>
          <w:szCs w:val="36"/>
          <w:rtl/>
        </w:rPr>
        <w:t>الجمل</w:t>
      </w:r>
      <w:r w:rsidR="00EC7EDF" w:rsidRPr="00FD211F">
        <w:rPr>
          <w:sz w:val="36"/>
          <w:szCs w:val="36"/>
          <w:rtl/>
        </w:rPr>
        <w:t>ة</w:t>
      </w:r>
      <w:r w:rsidR="00E8128F">
        <w:rPr>
          <w:sz w:val="36"/>
          <w:szCs w:val="36"/>
          <w:rtl/>
        </w:rPr>
        <w:t xml:space="preserve"> </w:t>
      </w:r>
      <w:r w:rsidR="00927E76" w:rsidRPr="00FD211F">
        <w:rPr>
          <w:sz w:val="36"/>
          <w:szCs w:val="36"/>
          <w:rtl/>
        </w:rPr>
        <w:t>بان</w:t>
      </w:r>
      <w:r w:rsidR="00E8128F">
        <w:rPr>
          <w:sz w:val="36"/>
          <w:szCs w:val="36"/>
          <w:rtl/>
        </w:rPr>
        <w:t xml:space="preserve"> </w:t>
      </w:r>
      <w:r w:rsidR="00927E76" w:rsidRPr="00FD211F">
        <w:rPr>
          <w:sz w:val="36"/>
          <w:szCs w:val="36"/>
          <w:rtl/>
        </w:rPr>
        <w:t>تكون</w:t>
      </w:r>
      <w:r w:rsidR="00E8128F">
        <w:rPr>
          <w:sz w:val="36"/>
          <w:szCs w:val="36"/>
          <w:rtl/>
        </w:rPr>
        <w:t xml:space="preserve"> </w:t>
      </w:r>
      <w:r w:rsidR="00927E76" w:rsidRPr="00FD211F">
        <w:rPr>
          <w:sz w:val="36"/>
          <w:szCs w:val="36"/>
          <w:rtl/>
        </w:rPr>
        <w:t>المسأل</w:t>
      </w:r>
      <w:r w:rsidR="00EC7EDF" w:rsidRPr="00FD211F">
        <w:rPr>
          <w:sz w:val="36"/>
          <w:szCs w:val="36"/>
          <w:rtl/>
        </w:rPr>
        <w:t>ة</w:t>
      </w:r>
      <w:r w:rsidR="00E8128F">
        <w:rPr>
          <w:sz w:val="36"/>
          <w:szCs w:val="36"/>
          <w:rtl/>
        </w:rPr>
        <w:t xml:space="preserve"> </w:t>
      </w:r>
      <w:r w:rsidR="00927E76" w:rsidRPr="00FD211F">
        <w:rPr>
          <w:sz w:val="36"/>
          <w:szCs w:val="36"/>
          <w:rtl/>
        </w:rPr>
        <w:t>الاصولي</w:t>
      </w:r>
      <w:r w:rsidR="00EC7EDF" w:rsidRPr="00FD211F">
        <w:rPr>
          <w:sz w:val="36"/>
          <w:szCs w:val="36"/>
          <w:rtl/>
        </w:rPr>
        <w:t>ة</w:t>
      </w:r>
      <w:r w:rsidR="00E8128F">
        <w:rPr>
          <w:sz w:val="36"/>
          <w:szCs w:val="36"/>
          <w:rtl/>
        </w:rPr>
        <w:t xml:space="preserve"> </w:t>
      </w:r>
      <w:r w:rsidR="00927E76" w:rsidRPr="00FD211F">
        <w:rPr>
          <w:sz w:val="36"/>
          <w:szCs w:val="36"/>
          <w:rtl/>
        </w:rPr>
        <w:t>مستغني</w:t>
      </w:r>
      <w:r w:rsidR="00EC7EDF" w:rsidRPr="00FD211F">
        <w:rPr>
          <w:sz w:val="36"/>
          <w:szCs w:val="36"/>
          <w:rtl/>
        </w:rPr>
        <w:t>ة</w:t>
      </w:r>
      <w:r w:rsidR="00E8128F">
        <w:rPr>
          <w:sz w:val="36"/>
          <w:szCs w:val="36"/>
          <w:rtl/>
        </w:rPr>
        <w:t xml:space="preserve"> </w:t>
      </w:r>
      <w:r w:rsidR="00927E76" w:rsidRPr="00FD211F">
        <w:rPr>
          <w:sz w:val="36"/>
          <w:szCs w:val="36"/>
          <w:rtl/>
        </w:rPr>
        <w:t>عن</w:t>
      </w:r>
      <w:r w:rsidR="00E8128F">
        <w:rPr>
          <w:sz w:val="36"/>
          <w:szCs w:val="36"/>
          <w:rtl/>
        </w:rPr>
        <w:t xml:space="preserve"> </w:t>
      </w:r>
      <w:r w:rsidR="00927E76" w:rsidRPr="00FD211F">
        <w:rPr>
          <w:sz w:val="36"/>
          <w:szCs w:val="36"/>
          <w:rtl/>
        </w:rPr>
        <w:t>غيرها</w:t>
      </w:r>
      <w:r w:rsidR="00E8128F">
        <w:rPr>
          <w:sz w:val="36"/>
          <w:szCs w:val="36"/>
          <w:rtl/>
        </w:rPr>
        <w:t xml:space="preserve"> </w:t>
      </w:r>
      <w:r w:rsidR="00927E76" w:rsidRPr="00FD211F">
        <w:rPr>
          <w:sz w:val="36"/>
          <w:szCs w:val="36"/>
          <w:rtl/>
        </w:rPr>
        <w:t>ولو</w:t>
      </w:r>
      <w:r w:rsidR="00E8128F">
        <w:rPr>
          <w:sz w:val="36"/>
          <w:szCs w:val="36"/>
          <w:rtl/>
        </w:rPr>
        <w:t xml:space="preserve"> </w:t>
      </w:r>
      <w:r w:rsidR="00927E76" w:rsidRPr="00FD211F">
        <w:rPr>
          <w:sz w:val="36"/>
          <w:szCs w:val="36"/>
          <w:rtl/>
        </w:rPr>
        <w:t>في</w:t>
      </w:r>
      <w:r w:rsidR="00E8128F">
        <w:rPr>
          <w:sz w:val="36"/>
          <w:szCs w:val="36"/>
          <w:rtl/>
        </w:rPr>
        <w:t xml:space="preserve"> </w:t>
      </w:r>
      <w:r w:rsidR="00927E76" w:rsidRPr="00FD211F">
        <w:rPr>
          <w:sz w:val="36"/>
          <w:szCs w:val="36"/>
          <w:rtl/>
        </w:rPr>
        <w:t>مورد</w:t>
      </w:r>
      <w:r w:rsidR="00E8128F">
        <w:rPr>
          <w:sz w:val="36"/>
          <w:szCs w:val="36"/>
          <w:rtl/>
        </w:rPr>
        <w:t xml:space="preserve"> </w:t>
      </w:r>
      <w:r w:rsidR="00927E76" w:rsidRPr="00FD211F">
        <w:rPr>
          <w:sz w:val="36"/>
          <w:szCs w:val="36"/>
          <w:rtl/>
        </w:rPr>
        <w:t>واحد</w:t>
      </w:r>
      <w:r w:rsidR="00603323" w:rsidRPr="00FD211F">
        <w:rPr>
          <w:sz w:val="36"/>
          <w:szCs w:val="36"/>
          <w:rtl/>
        </w:rPr>
        <w:t>،</w:t>
      </w:r>
      <w:r w:rsidR="00E8128F">
        <w:rPr>
          <w:sz w:val="36"/>
          <w:szCs w:val="36"/>
          <w:rtl/>
        </w:rPr>
        <w:t xml:space="preserve"> </w:t>
      </w:r>
      <w:r w:rsidR="00927E76" w:rsidRPr="00FD211F">
        <w:rPr>
          <w:sz w:val="36"/>
          <w:szCs w:val="36"/>
          <w:rtl/>
        </w:rPr>
        <w:t>فسوف</w:t>
      </w:r>
      <w:r w:rsidR="00E8128F">
        <w:rPr>
          <w:sz w:val="36"/>
          <w:szCs w:val="36"/>
          <w:rtl/>
        </w:rPr>
        <w:t xml:space="preserve"> </w:t>
      </w:r>
      <w:r w:rsidR="00927E76" w:rsidRPr="00FD211F">
        <w:rPr>
          <w:sz w:val="36"/>
          <w:szCs w:val="36"/>
          <w:rtl/>
        </w:rPr>
        <w:t>يشمل</w:t>
      </w:r>
      <w:r w:rsidR="00E8128F">
        <w:rPr>
          <w:sz w:val="36"/>
          <w:szCs w:val="36"/>
          <w:rtl/>
        </w:rPr>
        <w:t xml:space="preserve"> </w:t>
      </w:r>
      <w:r w:rsidR="00927E76" w:rsidRPr="00FD211F">
        <w:rPr>
          <w:sz w:val="36"/>
          <w:szCs w:val="36"/>
          <w:rtl/>
        </w:rPr>
        <w:t>التعريف</w:t>
      </w:r>
      <w:r w:rsidR="00E8128F">
        <w:rPr>
          <w:sz w:val="36"/>
          <w:szCs w:val="36"/>
          <w:rtl/>
        </w:rPr>
        <w:t xml:space="preserve"> </w:t>
      </w:r>
      <w:r w:rsidR="00927E76" w:rsidRPr="00FD211F">
        <w:rPr>
          <w:sz w:val="36"/>
          <w:szCs w:val="36"/>
          <w:rtl/>
        </w:rPr>
        <w:t>جمل</w:t>
      </w:r>
      <w:r w:rsidR="00EC7EDF" w:rsidRPr="00FD211F">
        <w:rPr>
          <w:sz w:val="36"/>
          <w:szCs w:val="36"/>
          <w:rtl/>
        </w:rPr>
        <w:t>ة</w:t>
      </w:r>
      <w:r w:rsidR="00E8128F">
        <w:rPr>
          <w:sz w:val="36"/>
          <w:szCs w:val="36"/>
          <w:rtl/>
        </w:rPr>
        <w:t xml:space="preserve"> </w:t>
      </w:r>
      <w:r w:rsidR="00927E76" w:rsidRPr="00FD211F">
        <w:rPr>
          <w:sz w:val="36"/>
          <w:szCs w:val="36"/>
          <w:rtl/>
        </w:rPr>
        <w:t>من</w:t>
      </w:r>
      <w:r w:rsidR="00E8128F">
        <w:rPr>
          <w:sz w:val="36"/>
          <w:szCs w:val="36"/>
          <w:rtl/>
        </w:rPr>
        <w:t xml:space="preserve"> </w:t>
      </w:r>
      <w:r w:rsidR="00927E76" w:rsidRPr="00FD211F">
        <w:rPr>
          <w:sz w:val="36"/>
          <w:szCs w:val="36"/>
          <w:rtl/>
        </w:rPr>
        <w:t>المسائل</w:t>
      </w:r>
      <w:r w:rsidR="00E8128F">
        <w:rPr>
          <w:sz w:val="36"/>
          <w:szCs w:val="36"/>
          <w:rtl/>
        </w:rPr>
        <w:t xml:space="preserve"> </w:t>
      </w:r>
      <w:r w:rsidR="00927E76" w:rsidRPr="00FD211F">
        <w:rPr>
          <w:sz w:val="36"/>
          <w:szCs w:val="36"/>
          <w:rtl/>
        </w:rPr>
        <w:t>غير</w:t>
      </w:r>
      <w:r w:rsidR="00E8128F">
        <w:rPr>
          <w:sz w:val="36"/>
          <w:szCs w:val="36"/>
          <w:rtl/>
        </w:rPr>
        <w:t xml:space="preserve"> </w:t>
      </w:r>
      <w:r w:rsidR="00927E76" w:rsidRPr="00FD211F">
        <w:rPr>
          <w:sz w:val="36"/>
          <w:szCs w:val="36"/>
          <w:rtl/>
        </w:rPr>
        <w:t>الاصولي</w:t>
      </w:r>
      <w:r w:rsidR="00EC7EDF" w:rsidRPr="00FD211F">
        <w:rPr>
          <w:sz w:val="36"/>
          <w:szCs w:val="36"/>
          <w:rtl/>
        </w:rPr>
        <w:t>ة</w:t>
      </w:r>
      <w:r w:rsidR="00E8128F">
        <w:rPr>
          <w:sz w:val="36"/>
          <w:szCs w:val="36"/>
          <w:rtl/>
        </w:rPr>
        <w:t xml:space="preserve"> </w:t>
      </w:r>
      <w:r w:rsidR="00927E76" w:rsidRPr="00FD211F">
        <w:rPr>
          <w:sz w:val="36"/>
          <w:szCs w:val="36"/>
          <w:rtl/>
        </w:rPr>
        <w:t>التي</w:t>
      </w:r>
      <w:r w:rsidR="00E8128F">
        <w:rPr>
          <w:sz w:val="36"/>
          <w:szCs w:val="36"/>
          <w:rtl/>
        </w:rPr>
        <w:t xml:space="preserve"> </w:t>
      </w:r>
      <w:r w:rsidR="00927E76" w:rsidRPr="00FD211F">
        <w:rPr>
          <w:sz w:val="36"/>
          <w:szCs w:val="36"/>
          <w:rtl/>
        </w:rPr>
        <w:t>قد</w:t>
      </w:r>
      <w:r w:rsidR="00E8128F">
        <w:rPr>
          <w:sz w:val="36"/>
          <w:szCs w:val="36"/>
          <w:rtl/>
        </w:rPr>
        <w:t xml:space="preserve"> </w:t>
      </w:r>
      <w:r w:rsidR="00927E76" w:rsidRPr="00FD211F">
        <w:rPr>
          <w:sz w:val="36"/>
          <w:szCs w:val="36"/>
          <w:rtl/>
        </w:rPr>
        <w:t>يتفق</w:t>
      </w:r>
      <w:r w:rsidR="00E8128F">
        <w:rPr>
          <w:sz w:val="36"/>
          <w:szCs w:val="36"/>
          <w:rtl/>
        </w:rPr>
        <w:t xml:space="preserve"> </w:t>
      </w:r>
      <w:r w:rsidR="00927E76" w:rsidRPr="00FD211F">
        <w:rPr>
          <w:sz w:val="36"/>
          <w:szCs w:val="36"/>
          <w:rtl/>
        </w:rPr>
        <w:t>بشأنها</w:t>
      </w:r>
      <w:r w:rsidR="00E8128F">
        <w:rPr>
          <w:sz w:val="36"/>
          <w:szCs w:val="36"/>
          <w:rtl/>
        </w:rPr>
        <w:t xml:space="preserve"> </w:t>
      </w:r>
      <w:r w:rsidR="00927E76" w:rsidRPr="00FD211F">
        <w:rPr>
          <w:sz w:val="36"/>
          <w:szCs w:val="36"/>
          <w:rtl/>
        </w:rPr>
        <w:t>الاستغناء</w:t>
      </w:r>
      <w:r w:rsidR="00E8128F">
        <w:rPr>
          <w:sz w:val="36"/>
          <w:szCs w:val="36"/>
          <w:rtl/>
        </w:rPr>
        <w:t xml:space="preserve"> </w:t>
      </w:r>
      <w:r w:rsidR="00927E76" w:rsidRPr="00FD211F">
        <w:rPr>
          <w:sz w:val="36"/>
          <w:szCs w:val="36"/>
          <w:rtl/>
        </w:rPr>
        <w:t>في</w:t>
      </w:r>
      <w:r w:rsidR="00E8128F">
        <w:rPr>
          <w:sz w:val="36"/>
          <w:szCs w:val="36"/>
          <w:rtl/>
        </w:rPr>
        <w:t xml:space="preserve"> </w:t>
      </w:r>
      <w:r w:rsidR="00927E76" w:rsidRPr="00FD211F">
        <w:rPr>
          <w:sz w:val="36"/>
          <w:szCs w:val="36"/>
          <w:rtl/>
        </w:rPr>
        <w:t>الجمل</w:t>
      </w:r>
      <w:r w:rsidR="00EC7EDF" w:rsidRPr="00FD211F">
        <w:rPr>
          <w:sz w:val="36"/>
          <w:szCs w:val="36"/>
          <w:rtl/>
        </w:rPr>
        <w:t>ة</w:t>
      </w:r>
      <w:r w:rsidR="00603323" w:rsidRPr="00FD211F">
        <w:rPr>
          <w:sz w:val="36"/>
          <w:szCs w:val="36"/>
          <w:rtl/>
        </w:rPr>
        <w:t>،</w:t>
      </w:r>
      <w:r w:rsidR="00E8128F">
        <w:rPr>
          <w:sz w:val="36"/>
          <w:szCs w:val="36"/>
          <w:rtl/>
        </w:rPr>
        <w:t xml:space="preserve"> </w:t>
      </w:r>
      <w:r w:rsidR="00927E76" w:rsidRPr="00FD211F">
        <w:rPr>
          <w:sz w:val="36"/>
          <w:szCs w:val="36"/>
          <w:rtl/>
        </w:rPr>
        <w:t>كما</w:t>
      </w:r>
      <w:r w:rsidR="00E8128F">
        <w:rPr>
          <w:sz w:val="36"/>
          <w:szCs w:val="36"/>
          <w:rtl/>
        </w:rPr>
        <w:t xml:space="preserve"> </w:t>
      </w:r>
      <w:r w:rsidR="00927E76" w:rsidRPr="00FD211F">
        <w:rPr>
          <w:sz w:val="36"/>
          <w:szCs w:val="36"/>
          <w:rtl/>
        </w:rPr>
        <w:t>اذا</w:t>
      </w:r>
      <w:r w:rsidR="00E8128F">
        <w:rPr>
          <w:sz w:val="36"/>
          <w:szCs w:val="36"/>
          <w:rtl/>
        </w:rPr>
        <w:t xml:space="preserve"> </w:t>
      </w:r>
      <w:r w:rsidR="00927E76" w:rsidRPr="00FD211F">
        <w:rPr>
          <w:sz w:val="36"/>
          <w:szCs w:val="36"/>
          <w:rtl/>
        </w:rPr>
        <w:t>وردت</w:t>
      </w:r>
      <w:r w:rsidR="00E8128F">
        <w:rPr>
          <w:sz w:val="36"/>
          <w:szCs w:val="36"/>
          <w:rtl/>
        </w:rPr>
        <w:t xml:space="preserve"> </w:t>
      </w:r>
      <w:r w:rsidR="00927E76" w:rsidRPr="00FD211F">
        <w:rPr>
          <w:sz w:val="36"/>
          <w:szCs w:val="36"/>
          <w:rtl/>
        </w:rPr>
        <w:t>كلم</w:t>
      </w:r>
      <w:r w:rsidR="00EC7EDF" w:rsidRPr="00FD211F">
        <w:rPr>
          <w:sz w:val="36"/>
          <w:szCs w:val="36"/>
          <w:rtl/>
        </w:rPr>
        <w:t>ة</w:t>
      </w:r>
      <w:r w:rsidR="00E8128F">
        <w:rPr>
          <w:sz w:val="36"/>
          <w:szCs w:val="36"/>
          <w:rtl/>
        </w:rPr>
        <w:t xml:space="preserve"> </w:t>
      </w:r>
      <w:r w:rsidR="00927E76" w:rsidRPr="00FD211F">
        <w:rPr>
          <w:sz w:val="36"/>
          <w:szCs w:val="36"/>
          <w:rtl/>
        </w:rPr>
        <w:t>الصعيد</w:t>
      </w:r>
      <w:r w:rsidR="00E8128F">
        <w:rPr>
          <w:sz w:val="36"/>
          <w:szCs w:val="36"/>
          <w:rtl/>
        </w:rPr>
        <w:t xml:space="preserve"> </w:t>
      </w:r>
      <w:r w:rsidR="00927E76" w:rsidRPr="00FD211F">
        <w:rPr>
          <w:sz w:val="36"/>
          <w:szCs w:val="36"/>
          <w:rtl/>
        </w:rPr>
        <w:t>في</w:t>
      </w:r>
      <w:r w:rsidR="00E8128F">
        <w:rPr>
          <w:sz w:val="36"/>
          <w:szCs w:val="36"/>
          <w:rtl/>
        </w:rPr>
        <w:t xml:space="preserve"> </w:t>
      </w:r>
      <w:r w:rsidR="00927E76" w:rsidRPr="00FD211F">
        <w:rPr>
          <w:sz w:val="36"/>
          <w:szCs w:val="36"/>
          <w:rtl/>
        </w:rPr>
        <w:t>دليل</w:t>
      </w:r>
      <w:r w:rsidR="00E8128F">
        <w:rPr>
          <w:sz w:val="36"/>
          <w:szCs w:val="36"/>
          <w:rtl/>
        </w:rPr>
        <w:t xml:space="preserve"> </w:t>
      </w:r>
      <w:r w:rsidR="00927E76" w:rsidRPr="00FD211F">
        <w:rPr>
          <w:sz w:val="36"/>
          <w:szCs w:val="36"/>
          <w:rtl/>
        </w:rPr>
        <w:t>قطعي</w:t>
      </w:r>
      <w:r w:rsidR="00E8128F">
        <w:rPr>
          <w:sz w:val="36"/>
          <w:szCs w:val="36"/>
          <w:rtl/>
        </w:rPr>
        <w:t xml:space="preserve"> </w:t>
      </w:r>
      <w:r w:rsidR="00927E76" w:rsidRPr="00FD211F">
        <w:rPr>
          <w:sz w:val="36"/>
          <w:szCs w:val="36"/>
          <w:rtl/>
        </w:rPr>
        <w:t>السند</w:t>
      </w:r>
      <w:r w:rsidR="00E8128F">
        <w:rPr>
          <w:sz w:val="36"/>
          <w:szCs w:val="36"/>
          <w:rtl/>
        </w:rPr>
        <w:t xml:space="preserve"> </w:t>
      </w:r>
      <w:r w:rsidR="00927E76" w:rsidRPr="00FD211F">
        <w:rPr>
          <w:sz w:val="36"/>
          <w:szCs w:val="36"/>
          <w:rtl/>
        </w:rPr>
        <w:t>كالنص</w:t>
      </w:r>
      <w:r w:rsidR="00E8128F">
        <w:rPr>
          <w:sz w:val="36"/>
          <w:szCs w:val="36"/>
          <w:rtl/>
        </w:rPr>
        <w:t xml:space="preserve"> </w:t>
      </w:r>
      <w:r w:rsidR="00927E76" w:rsidRPr="00FD211F">
        <w:rPr>
          <w:sz w:val="36"/>
          <w:szCs w:val="36"/>
          <w:rtl/>
        </w:rPr>
        <w:t>القرآني</w:t>
      </w:r>
      <w:r w:rsidR="00603323" w:rsidRPr="00FD211F">
        <w:rPr>
          <w:sz w:val="36"/>
          <w:szCs w:val="36"/>
          <w:rtl/>
        </w:rPr>
        <w:t>،</w:t>
      </w:r>
      <w:r w:rsidR="00E8128F">
        <w:rPr>
          <w:sz w:val="36"/>
          <w:szCs w:val="36"/>
          <w:rtl/>
        </w:rPr>
        <w:t xml:space="preserve"> </w:t>
      </w:r>
      <w:r w:rsidR="00927E76" w:rsidRPr="00FD211F">
        <w:rPr>
          <w:sz w:val="36"/>
          <w:szCs w:val="36"/>
          <w:rtl/>
        </w:rPr>
        <w:t>بحيث</w:t>
      </w:r>
      <w:r w:rsidR="00E8128F">
        <w:rPr>
          <w:sz w:val="36"/>
          <w:szCs w:val="36"/>
          <w:rtl/>
        </w:rPr>
        <w:t xml:space="preserve"> </w:t>
      </w:r>
      <w:r w:rsidR="008D7B3D" w:rsidRPr="00FD211F">
        <w:rPr>
          <w:sz w:val="36"/>
          <w:szCs w:val="36"/>
          <w:rtl/>
        </w:rPr>
        <w:t>لم‌</w:t>
      </w:r>
      <w:r w:rsidR="00927E76" w:rsidRPr="00FD211F">
        <w:rPr>
          <w:sz w:val="36"/>
          <w:szCs w:val="36"/>
          <w:rtl/>
        </w:rPr>
        <w:t>يكن</w:t>
      </w:r>
      <w:r w:rsidR="00E8128F">
        <w:rPr>
          <w:sz w:val="36"/>
          <w:szCs w:val="36"/>
          <w:rtl/>
        </w:rPr>
        <w:t xml:space="preserve"> </w:t>
      </w:r>
      <w:r w:rsidR="00927E76" w:rsidRPr="00FD211F">
        <w:rPr>
          <w:sz w:val="36"/>
          <w:szCs w:val="36"/>
          <w:rtl/>
        </w:rPr>
        <w:t>الاستنباط</w:t>
      </w:r>
      <w:r w:rsidR="00E8128F">
        <w:rPr>
          <w:sz w:val="36"/>
          <w:szCs w:val="36"/>
          <w:rtl/>
        </w:rPr>
        <w:t xml:space="preserve"> </w:t>
      </w:r>
      <w:r w:rsidR="00927E76" w:rsidRPr="00FD211F">
        <w:rPr>
          <w:sz w:val="36"/>
          <w:szCs w:val="36"/>
          <w:rtl/>
        </w:rPr>
        <w:t>الفقهي</w:t>
      </w:r>
      <w:r w:rsidR="00E8128F">
        <w:rPr>
          <w:sz w:val="36"/>
          <w:szCs w:val="36"/>
          <w:rtl/>
        </w:rPr>
        <w:t xml:space="preserve"> </w:t>
      </w:r>
      <w:r w:rsidR="00927E76" w:rsidRPr="00FD211F">
        <w:rPr>
          <w:sz w:val="36"/>
          <w:szCs w:val="36"/>
          <w:rtl/>
        </w:rPr>
        <w:t>بحاج</w:t>
      </w:r>
      <w:r w:rsidR="00EC7EDF" w:rsidRPr="00FD211F">
        <w:rPr>
          <w:sz w:val="36"/>
          <w:szCs w:val="36"/>
          <w:rtl/>
        </w:rPr>
        <w:t>ة</w:t>
      </w:r>
      <w:r w:rsidR="00E8128F">
        <w:rPr>
          <w:sz w:val="36"/>
          <w:szCs w:val="36"/>
          <w:rtl/>
        </w:rPr>
        <w:t xml:space="preserve"> </w:t>
      </w:r>
      <w:r w:rsidR="00927E76" w:rsidRPr="00FD211F">
        <w:rPr>
          <w:sz w:val="36"/>
          <w:szCs w:val="36"/>
          <w:rtl/>
        </w:rPr>
        <w:t>الى</w:t>
      </w:r>
      <w:r w:rsidR="00E8128F">
        <w:rPr>
          <w:sz w:val="36"/>
          <w:szCs w:val="36"/>
          <w:rtl/>
        </w:rPr>
        <w:t xml:space="preserve"> </w:t>
      </w:r>
      <w:r w:rsidR="00927E76" w:rsidRPr="00FD211F">
        <w:rPr>
          <w:sz w:val="36"/>
          <w:szCs w:val="36"/>
          <w:rtl/>
        </w:rPr>
        <w:t>اكثر</w:t>
      </w:r>
      <w:r w:rsidR="00E8128F">
        <w:rPr>
          <w:sz w:val="36"/>
          <w:szCs w:val="36"/>
          <w:rtl/>
        </w:rPr>
        <w:t xml:space="preserve"> </w:t>
      </w:r>
      <w:r w:rsidR="00927E76" w:rsidRPr="00FD211F">
        <w:rPr>
          <w:sz w:val="36"/>
          <w:szCs w:val="36"/>
          <w:rtl/>
        </w:rPr>
        <w:t>من</w:t>
      </w:r>
      <w:r w:rsidR="00E8128F">
        <w:rPr>
          <w:sz w:val="36"/>
          <w:szCs w:val="36"/>
          <w:rtl/>
        </w:rPr>
        <w:t xml:space="preserve"> </w:t>
      </w:r>
      <w:r w:rsidR="00927E76" w:rsidRPr="00FD211F">
        <w:rPr>
          <w:sz w:val="36"/>
          <w:szCs w:val="36"/>
          <w:rtl/>
        </w:rPr>
        <w:t>تحديد</w:t>
      </w:r>
      <w:r w:rsidR="00E8128F">
        <w:rPr>
          <w:sz w:val="36"/>
          <w:szCs w:val="36"/>
          <w:rtl/>
        </w:rPr>
        <w:t xml:space="preserve"> </w:t>
      </w:r>
      <w:r w:rsidR="00927E76" w:rsidRPr="00FD211F">
        <w:rPr>
          <w:sz w:val="36"/>
          <w:szCs w:val="36"/>
          <w:rtl/>
        </w:rPr>
        <w:t>مدلولها</w:t>
      </w:r>
      <w:r w:rsidR="00603323" w:rsidRPr="00FD211F">
        <w:rPr>
          <w:sz w:val="36"/>
          <w:szCs w:val="36"/>
          <w:rtl/>
        </w:rPr>
        <w:t>،</w:t>
      </w:r>
      <w:r w:rsidR="00E8128F">
        <w:rPr>
          <w:sz w:val="36"/>
          <w:szCs w:val="36"/>
          <w:rtl/>
        </w:rPr>
        <w:t xml:space="preserve"> </w:t>
      </w:r>
      <w:r w:rsidR="00927E76" w:rsidRPr="00FD211F">
        <w:rPr>
          <w:sz w:val="36"/>
          <w:szCs w:val="36"/>
          <w:rtl/>
        </w:rPr>
        <w:t>فيكون</w:t>
      </w:r>
      <w:r w:rsidR="00E8128F">
        <w:rPr>
          <w:sz w:val="36"/>
          <w:szCs w:val="36"/>
          <w:rtl/>
        </w:rPr>
        <w:t xml:space="preserve"> </w:t>
      </w:r>
      <w:r w:rsidR="00927E76" w:rsidRPr="00FD211F">
        <w:rPr>
          <w:sz w:val="36"/>
          <w:szCs w:val="36"/>
          <w:rtl/>
        </w:rPr>
        <w:t>البحث</w:t>
      </w:r>
      <w:r w:rsidR="00E8128F">
        <w:rPr>
          <w:sz w:val="36"/>
          <w:szCs w:val="36"/>
          <w:rtl/>
        </w:rPr>
        <w:t xml:space="preserve"> </w:t>
      </w:r>
      <w:r w:rsidR="00927E76" w:rsidRPr="00FD211F">
        <w:rPr>
          <w:sz w:val="36"/>
          <w:szCs w:val="36"/>
          <w:rtl/>
        </w:rPr>
        <w:t>عنها</w:t>
      </w:r>
      <w:r w:rsidR="00E8128F">
        <w:rPr>
          <w:sz w:val="36"/>
          <w:szCs w:val="36"/>
          <w:rtl/>
        </w:rPr>
        <w:t xml:space="preserve"> </w:t>
      </w:r>
      <w:r w:rsidR="00927E76" w:rsidRPr="00FD211F">
        <w:rPr>
          <w:sz w:val="36"/>
          <w:szCs w:val="36"/>
          <w:rtl/>
        </w:rPr>
        <w:t>بحثا</w:t>
      </w:r>
      <w:r w:rsidR="00E8128F">
        <w:rPr>
          <w:sz w:val="36"/>
          <w:szCs w:val="36"/>
          <w:rtl/>
        </w:rPr>
        <w:t xml:space="preserve"> </w:t>
      </w:r>
      <w:r w:rsidR="00927E76" w:rsidRPr="00FD211F">
        <w:rPr>
          <w:sz w:val="36"/>
          <w:szCs w:val="36"/>
          <w:rtl/>
        </w:rPr>
        <w:t>اصوليا</w:t>
      </w:r>
      <w:r w:rsidR="00E8128F">
        <w:rPr>
          <w:sz w:val="36"/>
          <w:szCs w:val="36"/>
          <w:rtl/>
        </w:rPr>
        <w:t xml:space="preserve"> </w:t>
      </w:r>
      <w:r w:rsidR="00927E76" w:rsidRPr="00FD211F">
        <w:rPr>
          <w:sz w:val="36"/>
          <w:szCs w:val="36"/>
          <w:rtl/>
        </w:rPr>
        <w:t>بمقتضى</w:t>
      </w:r>
      <w:r w:rsidR="00E8128F">
        <w:rPr>
          <w:sz w:val="36"/>
          <w:szCs w:val="36"/>
          <w:rtl/>
        </w:rPr>
        <w:t xml:space="preserve"> </w:t>
      </w:r>
      <w:r w:rsidR="00927E76" w:rsidRPr="00FD211F">
        <w:rPr>
          <w:sz w:val="36"/>
          <w:szCs w:val="36"/>
          <w:rtl/>
        </w:rPr>
        <w:t>هذا</w:t>
      </w:r>
      <w:r w:rsidR="00E8128F">
        <w:rPr>
          <w:sz w:val="36"/>
          <w:szCs w:val="36"/>
          <w:rtl/>
        </w:rPr>
        <w:t xml:space="preserve"> </w:t>
      </w:r>
      <w:r w:rsidR="00927E76" w:rsidRPr="00FD211F">
        <w:rPr>
          <w:sz w:val="36"/>
          <w:szCs w:val="36"/>
          <w:rtl/>
        </w:rPr>
        <w:lastRenderedPageBreak/>
        <w:t>التعريف</w:t>
      </w:r>
      <w:r w:rsidR="009C58C8" w:rsidRPr="00FD211F">
        <w:rPr>
          <w:rStyle w:val="a6"/>
          <w:sz w:val="36"/>
          <w:szCs w:val="36"/>
          <w:rtl/>
        </w:rPr>
        <w:t>(</w:t>
      </w:r>
      <w:r w:rsidR="009C58C8" w:rsidRPr="00FD211F">
        <w:rPr>
          <w:rStyle w:val="a6"/>
          <w:sz w:val="36"/>
          <w:szCs w:val="36"/>
          <w:rtl/>
        </w:rPr>
        <w:footnoteReference w:id="27"/>
      </w:r>
      <w:r w:rsidR="009C58C8" w:rsidRPr="00FD211F">
        <w:rPr>
          <w:rStyle w:val="a6"/>
          <w:sz w:val="36"/>
          <w:szCs w:val="36"/>
          <w:rtl/>
        </w:rPr>
        <w:t>)</w:t>
      </w:r>
      <w:r w:rsidR="00927E76" w:rsidRPr="00FD211F">
        <w:rPr>
          <w:sz w:val="36"/>
          <w:szCs w:val="36"/>
          <w:rtl/>
        </w:rPr>
        <w:t>.</w:t>
      </w:r>
    </w:p>
    <w:p w14:paraId="3A9D3E93" w14:textId="77777777" w:rsidR="003669B7" w:rsidRPr="00FD211F" w:rsidRDefault="00927E76" w:rsidP="009C58C8">
      <w:pPr>
        <w:ind w:left="0" w:firstLine="227"/>
        <w:jc w:val="both"/>
        <w:rPr>
          <w:sz w:val="36"/>
          <w:szCs w:val="36"/>
          <w:rtl/>
        </w:rPr>
      </w:pPr>
      <w:r w:rsidRPr="00FD211F">
        <w:rPr>
          <w:sz w:val="36"/>
          <w:szCs w:val="36"/>
          <w:rtl/>
        </w:rPr>
        <w:t>ويلاحظ</w:t>
      </w:r>
      <w:r w:rsidR="00E8128F">
        <w:rPr>
          <w:sz w:val="36"/>
          <w:szCs w:val="36"/>
          <w:rtl/>
        </w:rPr>
        <w:t xml:space="preserve"> </w:t>
      </w:r>
      <w:r w:rsidRPr="00FD211F">
        <w:rPr>
          <w:sz w:val="36"/>
          <w:szCs w:val="36"/>
          <w:rtl/>
        </w:rPr>
        <w:t>عليه</w:t>
      </w:r>
      <w:r w:rsidR="00142397"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بامكان</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00A61BAE" w:rsidRPr="00FD211F">
        <w:rPr>
          <w:sz w:val="36"/>
          <w:szCs w:val="36"/>
          <w:rtl/>
        </w:rPr>
        <w:t>"قده"</w:t>
      </w:r>
      <w:r w:rsidR="00E8128F">
        <w:rPr>
          <w:sz w:val="36"/>
          <w:szCs w:val="36"/>
          <w:rtl/>
        </w:rPr>
        <w:t xml:space="preserve"> </w:t>
      </w:r>
      <w:r w:rsidRPr="00FD211F">
        <w:rPr>
          <w:sz w:val="36"/>
          <w:szCs w:val="36"/>
          <w:rtl/>
        </w:rPr>
        <w:t>ان</w:t>
      </w:r>
      <w:r w:rsidR="00E8128F">
        <w:rPr>
          <w:sz w:val="36"/>
          <w:szCs w:val="36"/>
          <w:rtl/>
        </w:rPr>
        <w:t xml:space="preserve"> </w:t>
      </w:r>
      <w:r w:rsidR="00142397" w:rsidRPr="00FD211F">
        <w:rPr>
          <w:sz w:val="36"/>
          <w:szCs w:val="36"/>
          <w:rtl/>
        </w:rPr>
        <w:t>يجيب</w:t>
      </w:r>
      <w:r w:rsidR="00E8128F">
        <w:rPr>
          <w:sz w:val="36"/>
          <w:szCs w:val="36"/>
          <w:rtl/>
        </w:rPr>
        <w:t xml:space="preserve"> </w:t>
      </w:r>
      <w:r w:rsidR="00142397" w:rsidRPr="00FD211F">
        <w:rPr>
          <w:sz w:val="36"/>
          <w:szCs w:val="36"/>
          <w:rtl/>
        </w:rPr>
        <w:t>عن</w:t>
      </w:r>
      <w:r w:rsidR="00E8128F">
        <w:rPr>
          <w:sz w:val="36"/>
          <w:szCs w:val="36"/>
          <w:rtl/>
        </w:rPr>
        <w:t xml:space="preserve"> </w:t>
      </w:r>
      <w:r w:rsidR="00142397" w:rsidRPr="00FD211F">
        <w:rPr>
          <w:sz w:val="36"/>
          <w:szCs w:val="36"/>
          <w:rtl/>
        </w:rPr>
        <w:t>هذا</w:t>
      </w:r>
      <w:r w:rsidR="00E8128F">
        <w:rPr>
          <w:sz w:val="36"/>
          <w:szCs w:val="36"/>
          <w:rtl/>
        </w:rPr>
        <w:t xml:space="preserve"> </w:t>
      </w:r>
      <w:r w:rsidR="00142397" w:rsidRPr="00FD211F">
        <w:rPr>
          <w:sz w:val="36"/>
          <w:szCs w:val="36"/>
          <w:rtl/>
        </w:rPr>
        <w:t>الإيراد</w:t>
      </w:r>
      <w:r w:rsidR="00E8128F">
        <w:rPr>
          <w:sz w:val="36"/>
          <w:szCs w:val="36"/>
          <w:rtl/>
        </w:rPr>
        <w:t xml:space="preserve"> </w:t>
      </w:r>
      <w:r w:rsidR="00142397" w:rsidRPr="00FD211F">
        <w:rPr>
          <w:sz w:val="36"/>
          <w:szCs w:val="36"/>
          <w:rtl/>
        </w:rPr>
        <w:t>بان</w:t>
      </w:r>
      <w:r w:rsidR="00E8128F">
        <w:rPr>
          <w:sz w:val="36"/>
          <w:szCs w:val="36"/>
          <w:rtl/>
        </w:rPr>
        <w:t xml:space="preserve"> </w:t>
      </w:r>
      <w:r w:rsidR="00142397" w:rsidRPr="00FD211F">
        <w:rPr>
          <w:sz w:val="36"/>
          <w:szCs w:val="36"/>
          <w:rtl/>
        </w:rPr>
        <w:t>مقصوده</w:t>
      </w:r>
      <w:r w:rsidR="00E8128F">
        <w:rPr>
          <w:sz w:val="36"/>
          <w:szCs w:val="36"/>
          <w:rtl/>
        </w:rPr>
        <w:t xml:space="preserve"> </w:t>
      </w:r>
      <w:r w:rsidR="00142397" w:rsidRPr="00FD211F">
        <w:rPr>
          <w:sz w:val="36"/>
          <w:szCs w:val="36"/>
          <w:rtl/>
        </w:rPr>
        <w:t>من</w:t>
      </w:r>
      <w:r w:rsidR="00E8128F">
        <w:rPr>
          <w:sz w:val="36"/>
          <w:szCs w:val="36"/>
          <w:rtl/>
        </w:rPr>
        <w:t xml:space="preserve"> </w:t>
      </w:r>
      <w:r w:rsidR="00142397" w:rsidRPr="00FD211F">
        <w:rPr>
          <w:sz w:val="36"/>
          <w:szCs w:val="36"/>
          <w:rtl/>
        </w:rPr>
        <w:t>عدم</w:t>
      </w:r>
      <w:r w:rsidR="00E8128F">
        <w:rPr>
          <w:sz w:val="36"/>
          <w:szCs w:val="36"/>
          <w:rtl/>
        </w:rPr>
        <w:t xml:space="preserve"> </w:t>
      </w:r>
      <w:r w:rsidR="00142397" w:rsidRPr="00FD211F">
        <w:rPr>
          <w:sz w:val="36"/>
          <w:szCs w:val="36"/>
          <w:rtl/>
        </w:rPr>
        <w:t>الحاج</w:t>
      </w:r>
      <w:r w:rsidR="00EC7EDF" w:rsidRPr="00FD211F">
        <w:rPr>
          <w:sz w:val="36"/>
          <w:szCs w:val="36"/>
          <w:rtl/>
        </w:rPr>
        <w:t>ة</w:t>
      </w:r>
      <w:r w:rsidR="00E8128F">
        <w:rPr>
          <w:sz w:val="36"/>
          <w:szCs w:val="36"/>
          <w:rtl/>
        </w:rPr>
        <w:t xml:space="preserve"> </w:t>
      </w:r>
      <w:r w:rsidR="00142397" w:rsidRPr="00FD211F">
        <w:rPr>
          <w:sz w:val="36"/>
          <w:szCs w:val="36"/>
          <w:rtl/>
        </w:rPr>
        <w:t>الى</w:t>
      </w:r>
      <w:r w:rsidR="00E8128F">
        <w:rPr>
          <w:sz w:val="36"/>
          <w:szCs w:val="36"/>
          <w:rtl/>
        </w:rPr>
        <w:t xml:space="preserve"> </w:t>
      </w:r>
      <w:r w:rsidR="00142397" w:rsidRPr="00FD211F">
        <w:rPr>
          <w:sz w:val="36"/>
          <w:szCs w:val="36"/>
          <w:rtl/>
        </w:rPr>
        <w:t>توسيط</w:t>
      </w:r>
      <w:r w:rsidR="00E8128F">
        <w:rPr>
          <w:sz w:val="36"/>
          <w:szCs w:val="36"/>
          <w:rtl/>
        </w:rPr>
        <w:t xml:space="preserve"> </w:t>
      </w:r>
      <w:r w:rsidR="00142397" w:rsidRPr="00FD211F">
        <w:rPr>
          <w:sz w:val="36"/>
          <w:szCs w:val="36"/>
          <w:rtl/>
        </w:rPr>
        <w:t>مسأل</w:t>
      </w:r>
      <w:r w:rsidR="00EC7EDF" w:rsidRPr="00FD211F">
        <w:rPr>
          <w:sz w:val="36"/>
          <w:szCs w:val="36"/>
          <w:rtl/>
        </w:rPr>
        <w:t>ة</w:t>
      </w:r>
      <w:r w:rsidR="00E8128F">
        <w:rPr>
          <w:sz w:val="36"/>
          <w:szCs w:val="36"/>
          <w:rtl/>
        </w:rPr>
        <w:t xml:space="preserve"> </w:t>
      </w:r>
      <w:r w:rsidR="00142397" w:rsidRPr="00FD211F">
        <w:rPr>
          <w:sz w:val="36"/>
          <w:szCs w:val="36"/>
          <w:rtl/>
        </w:rPr>
        <w:t>أصولي</w:t>
      </w:r>
      <w:r w:rsidR="00EC7EDF" w:rsidRPr="00FD211F">
        <w:rPr>
          <w:sz w:val="36"/>
          <w:szCs w:val="36"/>
          <w:rtl/>
        </w:rPr>
        <w:t>ة</w:t>
      </w:r>
      <w:r w:rsidR="00E8128F">
        <w:rPr>
          <w:sz w:val="36"/>
          <w:szCs w:val="36"/>
          <w:rtl/>
        </w:rPr>
        <w:t xml:space="preserve"> </w:t>
      </w:r>
      <w:r w:rsidR="00142397" w:rsidRPr="00FD211F">
        <w:rPr>
          <w:sz w:val="36"/>
          <w:szCs w:val="36"/>
          <w:rtl/>
        </w:rPr>
        <w:t>أخرى</w:t>
      </w:r>
      <w:r w:rsidR="00E8128F">
        <w:rPr>
          <w:sz w:val="36"/>
          <w:szCs w:val="36"/>
          <w:rtl/>
        </w:rPr>
        <w:t xml:space="preserve"> </w:t>
      </w:r>
      <w:r w:rsidR="00142397" w:rsidRPr="00FD211F">
        <w:rPr>
          <w:sz w:val="36"/>
          <w:szCs w:val="36"/>
          <w:rtl/>
        </w:rPr>
        <w:t>هو</w:t>
      </w:r>
      <w:r w:rsidR="00E8128F">
        <w:rPr>
          <w:sz w:val="36"/>
          <w:szCs w:val="36"/>
          <w:rtl/>
        </w:rPr>
        <w:t xml:space="preserve"> </w:t>
      </w:r>
      <w:r w:rsidR="00142397" w:rsidRPr="00FD211F">
        <w:rPr>
          <w:sz w:val="36"/>
          <w:szCs w:val="36"/>
          <w:rtl/>
        </w:rPr>
        <w:t>عدم</w:t>
      </w:r>
      <w:r w:rsidR="00E8128F">
        <w:rPr>
          <w:sz w:val="36"/>
          <w:szCs w:val="36"/>
          <w:rtl/>
        </w:rPr>
        <w:t xml:space="preserve"> </w:t>
      </w:r>
      <w:r w:rsidR="00142397" w:rsidRPr="00FD211F">
        <w:rPr>
          <w:sz w:val="36"/>
          <w:szCs w:val="36"/>
          <w:rtl/>
        </w:rPr>
        <w:t>الحاج</w:t>
      </w:r>
      <w:r w:rsidR="00EC7EDF" w:rsidRPr="00FD211F">
        <w:rPr>
          <w:sz w:val="36"/>
          <w:szCs w:val="36"/>
          <w:rtl/>
        </w:rPr>
        <w:t>ة</w:t>
      </w:r>
      <w:r w:rsidR="00E8128F">
        <w:rPr>
          <w:sz w:val="36"/>
          <w:szCs w:val="36"/>
          <w:rtl/>
        </w:rPr>
        <w:t xml:space="preserve"> </w:t>
      </w:r>
      <w:r w:rsidR="00142397" w:rsidRPr="00FD211F">
        <w:rPr>
          <w:sz w:val="36"/>
          <w:szCs w:val="36"/>
          <w:rtl/>
        </w:rPr>
        <w:t>الى</w:t>
      </w:r>
      <w:r w:rsidR="00E8128F">
        <w:rPr>
          <w:sz w:val="36"/>
          <w:szCs w:val="36"/>
          <w:rtl/>
        </w:rPr>
        <w:t xml:space="preserve"> </w:t>
      </w:r>
      <w:r w:rsidR="003669B7" w:rsidRPr="00FD211F">
        <w:rPr>
          <w:sz w:val="36"/>
          <w:szCs w:val="36"/>
          <w:rtl/>
        </w:rPr>
        <w:t>تطبيق</w:t>
      </w:r>
      <w:r w:rsidR="00E8128F">
        <w:rPr>
          <w:sz w:val="36"/>
          <w:szCs w:val="36"/>
          <w:rtl/>
        </w:rPr>
        <w:t xml:space="preserve"> </w:t>
      </w:r>
      <w:r w:rsidR="00142397" w:rsidRPr="00FD211F">
        <w:rPr>
          <w:sz w:val="36"/>
          <w:szCs w:val="36"/>
          <w:rtl/>
        </w:rPr>
        <w:t>مسأل</w:t>
      </w:r>
      <w:r w:rsidR="00EC7EDF" w:rsidRPr="00FD211F">
        <w:rPr>
          <w:sz w:val="36"/>
          <w:szCs w:val="36"/>
          <w:rtl/>
        </w:rPr>
        <w:t>ة</w:t>
      </w:r>
      <w:r w:rsidR="00E8128F">
        <w:rPr>
          <w:sz w:val="36"/>
          <w:szCs w:val="36"/>
          <w:rtl/>
        </w:rPr>
        <w:t xml:space="preserve"> </w:t>
      </w:r>
      <w:r w:rsidR="00142397" w:rsidRPr="00FD211F">
        <w:rPr>
          <w:sz w:val="36"/>
          <w:szCs w:val="36"/>
          <w:rtl/>
        </w:rPr>
        <w:t>اصولي</w:t>
      </w:r>
      <w:r w:rsidR="00EC7EDF" w:rsidRPr="00FD211F">
        <w:rPr>
          <w:sz w:val="36"/>
          <w:szCs w:val="36"/>
          <w:rtl/>
        </w:rPr>
        <w:t>ة</w:t>
      </w:r>
      <w:r w:rsidR="00E8128F">
        <w:rPr>
          <w:sz w:val="36"/>
          <w:szCs w:val="36"/>
          <w:rtl/>
        </w:rPr>
        <w:t xml:space="preserve"> </w:t>
      </w:r>
      <w:r w:rsidR="00142397" w:rsidRPr="00FD211F">
        <w:rPr>
          <w:sz w:val="36"/>
          <w:szCs w:val="36"/>
          <w:rtl/>
        </w:rPr>
        <w:t>أخرى</w:t>
      </w:r>
      <w:r w:rsidR="00E8128F">
        <w:rPr>
          <w:sz w:val="36"/>
          <w:szCs w:val="36"/>
          <w:rtl/>
        </w:rPr>
        <w:t xml:space="preserve"> </w:t>
      </w:r>
      <w:r w:rsidR="00142397" w:rsidRPr="00FD211F">
        <w:rPr>
          <w:sz w:val="36"/>
          <w:szCs w:val="36"/>
          <w:rtl/>
        </w:rPr>
        <w:t>على</w:t>
      </w:r>
      <w:r w:rsidR="00E8128F">
        <w:rPr>
          <w:sz w:val="36"/>
          <w:szCs w:val="36"/>
          <w:rtl/>
        </w:rPr>
        <w:t xml:space="preserve"> </w:t>
      </w:r>
      <w:r w:rsidR="00142397" w:rsidRPr="00FD211F">
        <w:rPr>
          <w:sz w:val="36"/>
          <w:szCs w:val="36"/>
          <w:rtl/>
        </w:rPr>
        <w:t>نتيج</w:t>
      </w:r>
      <w:r w:rsidR="00EC7EDF" w:rsidRPr="00FD211F">
        <w:rPr>
          <w:sz w:val="36"/>
          <w:szCs w:val="36"/>
          <w:rtl/>
        </w:rPr>
        <w:t>ة</w:t>
      </w:r>
      <w:r w:rsidR="00E8128F">
        <w:rPr>
          <w:sz w:val="36"/>
          <w:szCs w:val="36"/>
          <w:rtl/>
        </w:rPr>
        <w:t xml:space="preserve"> </w:t>
      </w:r>
      <w:r w:rsidR="00142397" w:rsidRPr="00FD211F">
        <w:rPr>
          <w:sz w:val="36"/>
          <w:szCs w:val="36"/>
          <w:rtl/>
        </w:rPr>
        <w:t>هذه</w:t>
      </w:r>
      <w:r w:rsidR="00E8128F">
        <w:rPr>
          <w:sz w:val="36"/>
          <w:szCs w:val="36"/>
          <w:rtl/>
        </w:rPr>
        <w:t xml:space="preserve"> </w:t>
      </w:r>
      <w:r w:rsidR="00142397" w:rsidRPr="00FD211F">
        <w:rPr>
          <w:sz w:val="36"/>
          <w:szCs w:val="36"/>
          <w:rtl/>
        </w:rPr>
        <w:t>المسأل</w:t>
      </w:r>
      <w:r w:rsidR="00EC7EDF" w:rsidRPr="00FD211F">
        <w:rPr>
          <w:sz w:val="36"/>
          <w:szCs w:val="36"/>
          <w:rtl/>
        </w:rPr>
        <w:t>ة</w:t>
      </w:r>
      <w:r w:rsidR="00603323" w:rsidRPr="00FD211F">
        <w:rPr>
          <w:sz w:val="36"/>
          <w:szCs w:val="36"/>
          <w:rtl/>
        </w:rPr>
        <w:t>،</w:t>
      </w:r>
      <w:r w:rsidR="00E8128F">
        <w:rPr>
          <w:sz w:val="36"/>
          <w:szCs w:val="36"/>
          <w:rtl/>
        </w:rPr>
        <w:t xml:space="preserve"> </w:t>
      </w:r>
      <w:r w:rsidR="00142397" w:rsidRPr="00FD211F">
        <w:rPr>
          <w:sz w:val="36"/>
          <w:szCs w:val="36"/>
          <w:rtl/>
        </w:rPr>
        <w:t>وفي</w:t>
      </w:r>
      <w:r w:rsidR="00E8128F">
        <w:rPr>
          <w:sz w:val="36"/>
          <w:szCs w:val="36"/>
          <w:rtl/>
        </w:rPr>
        <w:t xml:space="preserve"> </w:t>
      </w:r>
      <w:r w:rsidR="00142397" w:rsidRPr="00FD211F">
        <w:rPr>
          <w:sz w:val="36"/>
          <w:szCs w:val="36"/>
          <w:rtl/>
        </w:rPr>
        <w:t>الدليل</w:t>
      </w:r>
      <w:r w:rsidR="00E8128F">
        <w:rPr>
          <w:sz w:val="36"/>
          <w:szCs w:val="36"/>
          <w:rtl/>
        </w:rPr>
        <w:t xml:space="preserve"> </w:t>
      </w:r>
      <w:r w:rsidR="003669B7" w:rsidRPr="00FD211F">
        <w:rPr>
          <w:sz w:val="36"/>
          <w:szCs w:val="36"/>
          <w:rtl/>
        </w:rPr>
        <w:t>الذي</w:t>
      </w:r>
      <w:r w:rsidR="00E8128F">
        <w:rPr>
          <w:sz w:val="36"/>
          <w:szCs w:val="36"/>
          <w:rtl/>
        </w:rPr>
        <w:t xml:space="preserve"> </w:t>
      </w:r>
      <w:r w:rsidR="00142397" w:rsidRPr="00FD211F">
        <w:rPr>
          <w:sz w:val="36"/>
          <w:szCs w:val="36"/>
          <w:rtl/>
        </w:rPr>
        <w:t>لايكون</w:t>
      </w:r>
      <w:r w:rsidR="00E8128F">
        <w:rPr>
          <w:sz w:val="36"/>
          <w:szCs w:val="36"/>
          <w:rtl/>
        </w:rPr>
        <w:t xml:space="preserve"> </w:t>
      </w:r>
      <w:r w:rsidR="00142397" w:rsidRPr="00FD211F">
        <w:rPr>
          <w:sz w:val="36"/>
          <w:szCs w:val="36"/>
          <w:rtl/>
        </w:rPr>
        <w:t>قطعي</w:t>
      </w:r>
      <w:r w:rsidR="00E8128F">
        <w:rPr>
          <w:sz w:val="36"/>
          <w:szCs w:val="36"/>
          <w:rtl/>
        </w:rPr>
        <w:t xml:space="preserve"> </w:t>
      </w:r>
      <w:r w:rsidR="00142397" w:rsidRPr="00FD211F">
        <w:rPr>
          <w:sz w:val="36"/>
          <w:szCs w:val="36"/>
          <w:rtl/>
        </w:rPr>
        <w:t>السند</w:t>
      </w:r>
      <w:r w:rsidR="00E8128F">
        <w:rPr>
          <w:sz w:val="36"/>
          <w:szCs w:val="36"/>
          <w:rtl/>
        </w:rPr>
        <w:t xml:space="preserve"> </w:t>
      </w:r>
      <w:r w:rsidR="00142397" w:rsidRPr="00FD211F">
        <w:rPr>
          <w:sz w:val="36"/>
          <w:szCs w:val="36"/>
          <w:rtl/>
        </w:rPr>
        <w:t>والدلال</w:t>
      </w:r>
      <w:r w:rsidR="00EC7EDF" w:rsidRPr="00FD211F">
        <w:rPr>
          <w:sz w:val="36"/>
          <w:szCs w:val="36"/>
          <w:rtl/>
        </w:rPr>
        <w:t>ة</w:t>
      </w:r>
      <w:r w:rsidR="00E8128F">
        <w:rPr>
          <w:sz w:val="36"/>
          <w:szCs w:val="36"/>
          <w:rtl/>
        </w:rPr>
        <w:t xml:space="preserve"> </w:t>
      </w:r>
      <w:r w:rsidR="00142397" w:rsidRPr="00FD211F">
        <w:rPr>
          <w:sz w:val="36"/>
          <w:szCs w:val="36"/>
          <w:rtl/>
        </w:rPr>
        <w:t>كما</w:t>
      </w:r>
      <w:r w:rsidR="00E8128F">
        <w:rPr>
          <w:sz w:val="36"/>
          <w:szCs w:val="36"/>
          <w:rtl/>
        </w:rPr>
        <w:t xml:space="preserve"> </w:t>
      </w:r>
      <w:r w:rsidR="00142397" w:rsidRPr="00FD211F">
        <w:rPr>
          <w:sz w:val="36"/>
          <w:szCs w:val="36"/>
          <w:rtl/>
        </w:rPr>
        <w:t>لو</w:t>
      </w:r>
      <w:r w:rsidR="00E8128F">
        <w:rPr>
          <w:sz w:val="36"/>
          <w:szCs w:val="36"/>
          <w:rtl/>
        </w:rPr>
        <w:t xml:space="preserve"> </w:t>
      </w:r>
      <w:r w:rsidR="00142397" w:rsidRPr="00FD211F">
        <w:rPr>
          <w:sz w:val="36"/>
          <w:szCs w:val="36"/>
          <w:rtl/>
        </w:rPr>
        <w:t>اشتمل</w:t>
      </w:r>
      <w:r w:rsidR="00E8128F">
        <w:rPr>
          <w:sz w:val="36"/>
          <w:szCs w:val="36"/>
          <w:rtl/>
        </w:rPr>
        <w:t xml:space="preserve"> </w:t>
      </w:r>
      <w:r w:rsidR="00142397" w:rsidRPr="00FD211F">
        <w:rPr>
          <w:sz w:val="36"/>
          <w:szCs w:val="36"/>
          <w:rtl/>
        </w:rPr>
        <w:t>خبر</w:t>
      </w:r>
      <w:r w:rsidR="00E8128F">
        <w:rPr>
          <w:sz w:val="36"/>
          <w:szCs w:val="36"/>
          <w:rtl/>
        </w:rPr>
        <w:t xml:space="preserve"> </w:t>
      </w:r>
      <w:r w:rsidR="00142397" w:rsidRPr="00FD211F">
        <w:rPr>
          <w:sz w:val="36"/>
          <w:szCs w:val="36"/>
          <w:rtl/>
        </w:rPr>
        <w:t>الثق</w:t>
      </w:r>
      <w:r w:rsidR="00EC7EDF" w:rsidRPr="00FD211F">
        <w:rPr>
          <w:sz w:val="36"/>
          <w:szCs w:val="36"/>
          <w:rtl/>
        </w:rPr>
        <w:t>ة</w:t>
      </w:r>
      <w:r w:rsidR="00E8128F">
        <w:rPr>
          <w:sz w:val="36"/>
          <w:szCs w:val="36"/>
          <w:rtl/>
        </w:rPr>
        <w:t xml:space="preserve"> </w:t>
      </w:r>
      <w:r w:rsidR="00142397" w:rsidRPr="00FD211F">
        <w:rPr>
          <w:sz w:val="36"/>
          <w:szCs w:val="36"/>
          <w:rtl/>
        </w:rPr>
        <w:t>على</w:t>
      </w:r>
      <w:r w:rsidR="00E8128F">
        <w:rPr>
          <w:sz w:val="36"/>
          <w:szCs w:val="36"/>
          <w:rtl/>
        </w:rPr>
        <w:t xml:space="preserve"> </w:t>
      </w:r>
      <w:r w:rsidR="00142397" w:rsidRPr="00FD211F">
        <w:rPr>
          <w:sz w:val="36"/>
          <w:szCs w:val="36"/>
          <w:rtl/>
        </w:rPr>
        <w:t>صيغ</w:t>
      </w:r>
      <w:r w:rsidR="00EC7EDF" w:rsidRPr="00FD211F">
        <w:rPr>
          <w:sz w:val="36"/>
          <w:szCs w:val="36"/>
          <w:rtl/>
        </w:rPr>
        <w:t>ة</w:t>
      </w:r>
      <w:r w:rsidR="00E8128F">
        <w:rPr>
          <w:sz w:val="36"/>
          <w:szCs w:val="36"/>
          <w:rtl/>
        </w:rPr>
        <w:t xml:space="preserve"> </w:t>
      </w:r>
      <w:r w:rsidR="0090224F" w:rsidRPr="00FD211F">
        <w:rPr>
          <w:sz w:val="36"/>
          <w:szCs w:val="36"/>
          <w:rtl/>
        </w:rPr>
        <w:t>الأمر</w:t>
      </w:r>
      <w:r w:rsidR="00E8128F">
        <w:rPr>
          <w:sz w:val="36"/>
          <w:szCs w:val="36"/>
          <w:rtl/>
        </w:rPr>
        <w:t xml:space="preserve"> </w:t>
      </w:r>
      <w:r w:rsidR="00142397" w:rsidRPr="00FD211F">
        <w:rPr>
          <w:sz w:val="36"/>
          <w:szCs w:val="36"/>
          <w:rtl/>
        </w:rPr>
        <w:t>فيحتاج</w:t>
      </w:r>
      <w:r w:rsidR="00E8128F">
        <w:rPr>
          <w:sz w:val="36"/>
          <w:szCs w:val="36"/>
          <w:rtl/>
        </w:rPr>
        <w:t xml:space="preserve"> </w:t>
      </w:r>
      <w:r w:rsidR="00142397" w:rsidRPr="00FD211F">
        <w:rPr>
          <w:sz w:val="36"/>
          <w:szCs w:val="36"/>
          <w:rtl/>
        </w:rPr>
        <w:t>استنباط</w:t>
      </w:r>
      <w:r w:rsidR="00E8128F">
        <w:rPr>
          <w:sz w:val="36"/>
          <w:szCs w:val="36"/>
          <w:rtl/>
        </w:rPr>
        <w:t xml:space="preserve"> </w:t>
      </w:r>
      <w:r w:rsidR="00142397" w:rsidRPr="00FD211F">
        <w:rPr>
          <w:sz w:val="36"/>
          <w:szCs w:val="36"/>
          <w:rtl/>
        </w:rPr>
        <w:t>الحكم</w:t>
      </w:r>
      <w:r w:rsidR="00E8128F">
        <w:rPr>
          <w:sz w:val="36"/>
          <w:szCs w:val="36"/>
          <w:rtl/>
        </w:rPr>
        <w:t xml:space="preserve"> </w:t>
      </w:r>
      <w:r w:rsidR="00142397" w:rsidRPr="00FD211F">
        <w:rPr>
          <w:sz w:val="36"/>
          <w:szCs w:val="36"/>
          <w:rtl/>
        </w:rPr>
        <w:t>الشرعي</w:t>
      </w:r>
      <w:r w:rsidR="00E8128F">
        <w:rPr>
          <w:sz w:val="36"/>
          <w:szCs w:val="36"/>
          <w:rtl/>
        </w:rPr>
        <w:t xml:space="preserve"> </w:t>
      </w:r>
      <w:r w:rsidR="00142397" w:rsidRPr="00FD211F">
        <w:rPr>
          <w:sz w:val="36"/>
          <w:szCs w:val="36"/>
          <w:rtl/>
        </w:rPr>
        <w:t>الى</w:t>
      </w:r>
      <w:r w:rsidR="00E8128F">
        <w:rPr>
          <w:sz w:val="36"/>
          <w:szCs w:val="36"/>
          <w:rtl/>
        </w:rPr>
        <w:t xml:space="preserve"> </w:t>
      </w:r>
      <w:r w:rsidR="00142397" w:rsidRPr="00FD211F">
        <w:rPr>
          <w:sz w:val="36"/>
          <w:szCs w:val="36"/>
          <w:rtl/>
        </w:rPr>
        <w:t>توسيط</w:t>
      </w:r>
      <w:r w:rsidR="00E8128F">
        <w:rPr>
          <w:sz w:val="36"/>
          <w:szCs w:val="36"/>
          <w:rtl/>
        </w:rPr>
        <w:t xml:space="preserve"> </w:t>
      </w:r>
      <w:r w:rsidR="00142397" w:rsidRPr="00FD211F">
        <w:rPr>
          <w:sz w:val="36"/>
          <w:szCs w:val="36"/>
          <w:rtl/>
        </w:rPr>
        <w:t>كبريين</w:t>
      </w:r>
      <w:r w:rsidR="00E8128F">
        <w:rPr>
          <w:sz w:val="36"/>
          <w:szCs w:val="36"/>
          <w:rtl/>
        </w:rPr>
        <w:t xml:space="preserve"> </w:t>
      </w:r>
      <w:r w:rsidR="00142397" w:rsidRPr="00FD211F">
        <w:rPr>
          <w:sz w:val="36"/>
          <w:szCs w:val="36"/>
          <w:rtl/>
        </w:rPr>
        <w:t>اصوليين</w:t>
      </w:r>
      <w:r w:rsidR="00E8128F">
        <w:rPr>
          <w:sz w:val="36"/>
          <w:szCs w:val="36"/>
          <w:rtl/>
        </w:rPr>
        <w:t xml:space="preserve"> </w:t>
      </w:r>
      <w:r w:rsidR="003669B7" w:rsidRPr="00FD211F">
        <w:rPr>
          <w:sz w:val="36"/>
          <w:szCs w:val="36"/>
          <w:rtl/>
        </w:rPr>
        <w:t>في</w:t>
      </w:r>
      <w:r w:rsidR="00E8128F">
        <w:rPr>
          <w:sz w:val="36"/>
          <w:szCs w:val="36"/>
          <w:rtl/>
        </w:rPr>
        <w:t xml:space="preserve"> </w:t>
      </w:r>
      <w:r w:rsidR="003669B7" w:rsidRPr="00FD211F">
        <w:rPr>
          <w:sz w:val="36"/>
          <w:szCs w:val="36"/>
          <w:rtl/>
        </w:rPr>
        <w:t>عرض</w:t>
      </w:r>
      <w:r w:rsidR="00E8128F">
        <w:rPr>
          <w:sz w:val="36"/>
          <w:szCs w:val="36"/>
          <w:rtl/>
        </w:rPr>
        <w:t xml:space="preserve"> </w:t>
      </w:r>
      <w:r w:rsidR="003669B7" w:rsidRPr="00FD211F">
        <w:rPr>
          <w:sz w:val="36"/>
          <w:szCs w:val="36"/>
          <w:rtl/>
        </w:rPr>
        <w:t>واحد</w:t>
      </w:r>
      <w:r w:rsidR="00E8128F">
        <w:rPr>
          <w:sz w:val="36"/>
          <w:szCs w:val="36"/>
          <w:rtl/>
        </w:rPr>
        <w:t xml:space="preserve"> </w:t>
      </w:r>
      <w:r w:rsidR="00142397" w:rsidRPr="00FD211F">
        <w:rPr>
          <w:sz w:val="36"/>
          <w:szCs w:val="36"/>
          <w:rtl/>
        </w:rPr>
        <w:t>وهما</w:t>
      </w:r>
      <w:r w:rsidR="00E8128F">
        <w:rPr>
          <w:sz w:val="36"/>
          <w:szCs w:val="36"/>
          <w:rtl/>
        </w:rPr>
        <w:t xml:space="preserve"> </w:t>
      </w:r>
      <w:r w:rsidR="00142397" w:rsidRPr="00FD211F">
        <w:rPr>
          <w:sz w:val="36"/>
          <w:szCs w:val="36"/>
          <w:rtl/>
        </w:rPr>
        <w:t>ظهور</w:t>
      </w:r>
      <w:r w:rsidR="00E8128F">
        <w:rPr>
          <w:sz w:val="36"/>
          <w:szCs w:val="36"/>
          <w:rtl/>
        </w:rPr>
        <w:t xml:space="preserve"> </w:t>
      </w:r>
      <w:r w:rsidR="00142397" w:rsidRPr="00FD211F">
        <w:rPr>
          <w:sz w:val="36"/>
          <w:szCs w:val="36"/>
          <w:rtl/>
        </w:rPr>
        <w:t>صيغ</w:t>
      </w:r>
      <w:r w:rsidR="00EC7EDF" w:rsidRPr="00FD211F">
        <w:rPr>
          <w:sz w:val="36"/>
          <w:szCs w:val="36"/>
          <w:rtl/>
        </w:rPr>
        <w:t>ة</w:t>
      </w:r>
      <w:r w:rsidR="00E8128F">
        <w:rPr>
          <w:sz w:val="36"/>
          <w:szCs w:val="36"/>
          <w:rtl/>
        </w:rPr>
        <w:t xml:space="preserve"> </w:t>
      </w:r>
      <w:r w:rsidR="0090224F" w:rsidRPr="00FD211F">
        <w:rPr>
          <w:sz w:val="36"/>
          <w:szCs w:val="36"/>
          <w:rtl/>
        </w:rPr>
        <w:t>الأمر</w:t>
      </w:r>
      <w:r w:rsidR="00E8128F">
        <w:rPr>
          <w:sz w:val="36"/>
          <w:szCs w:val="36"/>
          <w:rtl/>
        </w:rPr>
        <w:t xml:space="preserve"> </w:t>
      </w:r>
      <w:r w:rsidR="00142397" w:rsidRPr="00FD211F">
        <w:rPr>
          <w:sz w:val="36"/>
          <w:szCs w:val="36"/>
          <w:rtl/>
        </w:rPr>
        <w:t>في</w:t>
      </w:r>
      <w:r w:rsidR="00E8128F">
        <w:rPr>
          <w:sz w:val="36"/>
          <w:szCs w:val="36"/>
          <w:rtl/>
        </w:rPr>
        <w:t xml:space="preserve"> </w:t>
      </w:r>
      <w:r w:rsidR="00142397" w:rsidRPr="00FD211F">
        <w:rPr>
          <w:sz w:val="36"/>
          <w:szCs w:val="36"/>
          <w:rtl/>
        </w:rPr>
        <w:t>الوجوب</w:t>
      </w:r>
      <w:r w:rsidR="00E8128F">
        <w:rPr>
          <w:sz w:val="36"/>
          <w:szCs w:val="36"/>
          <w:rtl/>
        </w:rPr>
        <w:t xml:space="preserve"> </w:t>
      </w:r>
      <w:r w:rsidR="00142397" w:rsidRPr="00FD211F">
        <w:rPr>
          <w:sz w:val="36"/>
          <w:szCs w:val="36"/>
          <w:rtl/>
        </w:rPr>
        <w:t>وحجي</w:t>
      </w:r>
      <w:r w:rsidR="00EC7EDF" w:rsidRPr="00FD211F">
        <w:rPr>
          <w:sz w:val="36"/>
          <w:szCs w:val="36"/>
          <w:rtl/>
        </w:rPr>
        <w:t>ة</w:t>
      </w:r>
      <w:r w:rsidR="00E8128F">
        <w:rPr>
          <w:sz w:val="36"/>
          <w:szCs w:val="36"/>
          <w:rtl/>
        </w:rPr>
        <w:t xml:space="preserve"> </w:t>
      </w:r>
      <w:r w:rsidR="00142397" w:rsidRPr="00FD211F">
        <w:rPr>
          <w:sz w:val="36"/>
          <w:szCs w:val="36"/>
          <w:rtl/>
        </w:rPr>
        <w:t>خبر</w:t>
      </w:r>
      <w:r w:rsidR="00E8128F">
        <w:rPr>
          <w:sz w:val="36"/>
          <w:szCs w:val="36"/>
          <w:rtl/>
        </w:rPr>
        <w:t xml:space="preserve"> </w:t>
      </w:r>
      <w:r w:rsidR="00142397" w:rsidRPr="00FD211F">
        <w:rPr>
          <w:sz w:val="36"/>
          <w:szCs w:val="36"/>
          <w:rtl/>
        </w:rPr>
        <w:t>الثق</w:t>
      </w:r>
      <w:r w:rsidR="00EC7EDF" w:rsidRPr="00FD211F">
        <w:rPr>
          <w:sz w:val="36"/>
          <w:szCs w:val="36"/>
          <w:rtl/>
        </w:rPr>
        <w:t>ة</w:t>
      </w:r>
      <w:r w:rsidR="00603323" w:rsidRPr="00FD211F">
        <w:rPr>
          <w:sz w:val="36"/>
          <w:szCs w:val="36"/>
          <w:rtl/>
        </w:rPr>
        <w:t>،</w:t>
      </w:r>
      <w:r w:rsidR="00E8128F">
        <w:rPr>
          <w:sz w:val="36"/>
          <w:szCs w:val="36"/>
          <w:rtl/>
        </w:rPr>
        <w:t xml:space="preserve"> </w:t>
      </w:r>
      <w:r w:rsidR="00142397" w:rsidRPr="00FD211F">
        <w:rPr>
          <w:sz w:val="36"/>
          <w:szCs w:val="36"/>
          <w:rtl/>
        </w:rPr>
        <w:t>وليست</w:t>
      </w:r>
      <w:r w:rsidR="00E8128F">
        <w:rPr>
          <w:sz w:val="36"/>
          <w:szCs w:val="36"/>
          <w:rtl/>
        </w:rPr>
        <w:t xml:space="preserve"> </w:t>
      </w:r>
      <w:r w:rsidR="00142397" w:rsidRPr="00FD211F">
        <w:rPr>
          <w:sz w:val="36"/>
          <w:szCs w:val="36"/>
          <w:rtl/>
        </w:rPr>
        <w:t>احديهما</w:t>
      </w:r>
      <w:r w:rsidR="00E8128F">
        <w:rPr>
          <w:sz w:val="36"/>
          <w:szCs w:val="36"/>
          <w:rtl/>
        </w:rPr>
        <w:t xml:space="preserve"> </w:t>
      </w:r>
      <w:r w:rsidR="00142397" w:rsidRPr="00FD211F">
        <w:rPr>
          <w:sz w:val="36"/>
          <w:szCs w:val="36"/>
          <w:rtl/>
        </w:rPr>
        <w:t>من</w:t>
      </w:r>
      <w:r w:rsidR="00E8128F">
        <w:rPr>
          <w:sz w:val="36"/>
          <w:szCs w:val="36"/>
          <w:rtl/>
        </w:rPr>
        <w:t xml:space="preserve"> </w:t>
      </w:r>
      <w:r w:rsidR="00142397" w:rsidRPr="00FD211F">
        <w:rPr>
          <w:sz w:val="36"/>
          <w:szCs w:val="36"/>
          <w:rtl/>
        </w:rPr>
        <w:t>صغريات</w:t>
      </w:r>
      <w:r w:rsidR="00E8128F">
        <w:rPr>
          <w:sz w:val="36"/>
          <w:szCs w:val="36"/>
          <w:rtl/>
        </w:rPr>
        <w:t xml:space="preserve"> </w:t>
      </w:r>
      <w:r w:rsidR="00142397" w:rsidRPr="00FD211F">
        <w:rPr>
          <w:sz w:val="36"/>
          <w:szCs w:val="36"/>
          <w:rtl/>
        </w:rPr>
        <w:t>الأخرى</w:t>
      </w:r>
      <w:r w:rsidR="003669B7" w:rsidRPr="00FD211F">
        <w:rPr>
          <w:sz w:val="36"/>
          <w:szCs w:val="36"/>
          <w:rtl/>
        </w:rPr>
        <w:t>.</w:t>
      </w:r>
    </w:p>
    <w:p w14:paraId="3D765077" w14:textId="77777777" w:rsidR="00142397" w:rsidRPr="00FD211F" w:rsidRDefault="003669B7" w:rsidP="009C58C8">
      <w:pPr>
        <w:ind w:left="0" w:firstLine="227"/>
        <w:jc w:val="both"/>
        <w:rPr>
          <w:sz w:val="36"/>
          <w:szCs w:val="36"/>
          <w:rtl/>
        </w:rPr>
      </w:pPr>
      <w:r w:rsidRPr="00FD211F">
        <w:rPr>
          <w:sz w:val="36"/>
          <w:szCs w:val="36"/>
          <w:rtl/>
        </w:rPr>
        <w:t>نعم</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مقصوده</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الحاج</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ضم</w:t>
      </w:r>
      <w:r w:rsidR="00E8128F">
        <w:rPr>
          <w:sz w:val="36"/>
          <w:szCs w:val="36"/>
          <w:rtl/>
        </w:rPr>
        <w:t xml:space="preserve"> </w:t>
      </w:r>
      <w:r w:rsidRPr="00FD211F">
        <w:rPr>
          <w:sz w:val="36"/>
          <w:szCs w:val="36"/>
          <w:rtl/>
        </w:rPr>
        <w:t>مسأل</w:t>
      </w:r>
      <w:r w:rsidR="00EC7EDF" w:rsidRPr="00FD211F">
        <w:rPr>
          <w:sz w:val="36"/>
          <w:szCs w:val="36"/>
          <w:rtl/>
        </w:rPr>
        <w:t>ة</w:t>
      </w:r>
      <w:r w:rsidR="00E8128F">
        <w:rPr>
          <w:sz w:val="36"/>
          <w:szCs w:val="36"/>
          <w:rtl/>
        </w:rPr>
        <w:t xml:space="preserve"> </w:t>
      </w:r>
      <w:r w:rsidRPr="00FD211F">
        <w:rPr>
          <w:sz w:val="36"/>
          <w:szCs w:val="36"/>
          <w:rtl/>
        </w:rPr>
        <w:t>اصولي</w:t>
      </w:r>
      <w:r w:rsidR="00EC7EDF" w:rsidRPr="00FD211F">
        <w:rPr>
          <w:sz w:val="36"/>
          <w:szCs w:val="36"/>
          <w:rtl/>
        </w:rPr>
        <w:t>ة</w:t>
      </w:r>
      <w:r w:rsidR="00E8128F">
        <w:rPr>
          <w:sz w:val="36"/>
          <w:szCs w:val="36"/>
          <w:rtl/>
        </w:rPr>
        <w:t xml:space="preserve"> </w:t>
      </w:r>
      <w:r w:rsidRPr="00FD211F">
        <w:rPr>
          <w:sz w:val="36"/>
          <w:szCs w:val="36"/>
          <w:rtl/>
        </w:rPr>
        <w:t>أخرى</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عرض</w:t>
      </w:r>
      <w:r w:rsidR="00E8128F">
        <w:rPr>
          <w:sz w:val="36"/>
          <w:szCs w:val="36"/>
          <w:rtl/>
        </w:rPr>
        <w:t xml:space="preserve"> </w:t>
      </w:r>
      <w:r w:rsidRPr="00FD211F">
        <w:rPr>
          <w:sz w:val="36"/>
          <w:szCs w:val="36"/>
          <w:rtl/>
        </w:rPr>
        <w:t>تلك</w:t>
      </w:r>
      <w:r w:rsidR="00E8128F">
        <w:rPr>
          <w:sz w:val="36"/>
          <w:szCs w:val="36"/>
          <w:rtl/>
        </w:rPr>
        <w:t xml:space="preserve"> </w:t>
      </w:r>
      <w:r w:rsidRPr="00FD211F">
        <w:rPr>
          <w:sz w:val="36"/>
          <w:szCs w:val="36"/>
          <w:rtl/>
        </w:rPr>
        <w:t>المسأل</w:t>
      </w:r>
      <w:r w:rsidR="00EC7EDF" w:rsidRPr="00FD211F">
        <w:rPr>
          <w:sz w:val="36"/>
          <w:szCs w:val="36"/>
          <w:rtl/>
        </w:rPr>
        <w:t>ة</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يراد</w:t>
      </w:r>
      <w:r w:rsidR="00E8128F">
        <w:rPr>
          <w:sz w:val="36"/>
          <w:szCs w:val="36"/>
          <w:rtl/>
        </w:rPr>
        <w:t xml:space="preserve"> </w:t>
      </w:r>
      <w:r w:rsidRPr="00FD211F">
        <w:rPr>
          <w:sz w:val="36"/>
          <w:szCs w:val="36"/>
          <w:rtl/>
        </w:rPr>
        <w:t>استنباط</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منها</w:t>
      </w:r>
      <w:r w:rsidR="00E8128F">
        <w:rPr>
          <w:sz w:val="36"/>
          <w:szCs w:val="36"/>
          <w:rtl/>
        </w:rPr>
        <w:t xml:space="preserve"> </w:t>
      </w:r>
      <w:r w:rsidRPr="00FD211F">
        <w:rPr>
          <w:sz w:val="36"/>
          <w:szCs w:val="36"/>
          <w:rtl/>
        </w:rPr>
        <w:t>ل</w:t>
      </w:r>
      <w:r w:rsidR="0055728F" w:rsidRPr="00FD211F">
        <w:rPr>
          <w:sz w:val="36"/>
          <w:szCs w:val="36"/>
          <w:rtl/>
        </w:rPr>
        <w:t>توجه</w:t>
      </w:r>
      <w:r w:rsidR="00E8128F">
        <w:rPr>
          <w:sz w:val="36"/>
          <w:szCs w:val="36"/>
          <w:rtl/>
        </w:rPr>
        <w:t xml:space="preserve"> </w:t>
      </w:r>
      <w:r w:rsidR="0055728F" w:rsidRPr="00FD211F">
        <w:rPr>
          <w:sz w:val="36"/>
          <w:szCs w:val="36"/>
          <w:rtl/>
        </w:rPr>
        <w:t>عليه</w:t>
      </w:r>
      <w:r w:rsidR="00E8128F">
        <w:rPr>
          <w:sz w:val="36"/>
          <w:szCs w:val="36"/>
          <w:rtl/>
        </w:rPr>
        <w:t xml:space="preserve"> </w:t>
      </w:r>
      <w:r w:rsidR="0055728F" w:rsidRPr="00FD211F">
        <w:rPr>
          <w:sz w:val="36"/>
          <w:szCs w:val="36"/>
          <w:rtl/>
        </w:rPr>
        <w:t>هذا</w:t>
      </w:r>
      <w:r w:rsidR="00E8128F">
        <w:rPr>
          <w:sz w:val="36"/>
          <w:szCs w:val="36"/>
          <w:rtl/>
        </w:rPr>
        <w:t xml:space="preserve"> </w:t>
      </w:r>
      <w:r w:rsidR="0055728F" w:rsidRPr="00FD211F">
        <w:rPr>
          <w:sz w:val="36"/>
          <w:szCs w:val="36"/>
          <w:rtl/>
        </w:rPr>
        <w:t>الايراد</w:t>
      </w:r>
      <w:r w:rsidR="00603323" w:rsidRPr="00FD211F">
        <w:rPr>
          <w:sz w:val="36"/>
          <w:szCs w:val="36"/>
          <w:rtl/>
        </w:rPr>
        <w:t>،</w:t>
      </w:r>
      <w:r w:rsidR="00E8128F">
        <w:rPr>
          <w:sz w:val="36"/>
          <w:szCs w:val="36"/>
          <w:rtl/>
        </w:rPr>
        <w:t xml:space="preserve"> </w:t>
      </w:r>
      <w:r w:rsidRPr="00FD211F">
        <w:rPr>
          <w:sz w:val="36"/>
          <w:szCs w:val="36"/>
          <w:rtl/>
        </w:rPr>
        <w:t>ول</w:t>
      </w:r>
      <w:r w:rsidR="0055728F" w:rsidRPr="00FD211F">
        <w:rPr>
          <w:sz w:val="36"/>
          <w:szCs w:val="36"/>
          <w:rtl/>
        </w:rPr>
        <w:t>م</w:t>
      </w:r>
      <w:r w:rsidR="00E8128F">
        <w:rPr>
          <w:sz w:val="36"/>
          <w:szCs w:val="36"/>
          <w:rtl/>
        </w:rPr>
        <w:t xml:space="preserve"> </w:t>
      </w:r>
      <w:r w:rsidR="0055728F" w:rsidRPr="00FD211F">
        <w:rPr>
          <w:sz w:val="36"/>
          <w:szCs w:val="36"/>
          <w:rtl/>
        </w:rPr>
        <w:t>يمكن</w:t>
      </w:r>
      <w:r w:rsidR="00E8128F">
        <w:rPr>
          <w:sz w:val="36"/>
          <w:szCs w:val="36"/>
          <w:rtl/>
        </w:rPr>
        <w:t xml:space="preserve"> </w:t>
      </w:r>
      <w:r w:rsidR="0055728F" w:rsidRPr="00FD211F">
        <w:rPr>
          <w:sz w:val="36"/>
          <w:szCs w:val="36"/>
          <w:rtl/>
        </w:rPr>
        <w:t>اندفاعه</w:t>
      </w:r>
      <w:r w:rsidR="00E8128F">
        <w:rPr>
          <w:sz w:val="36"/>
          <w:szCs w:val="36"/>
          <w:rtl/>
        </w:rPr>
        <w:t xml:space="preserve"> </w:t>
      </w:r>
      <w:r w:rsidR="0055728F" w:rsidRPr="00FD211F">
        <w:rPr>
          <w:sz w:val="36"/>
          <w:szCs w:val="36"/>
          <w:rtl/>
        </w:rPr>
        <w:t>ب</w:t>
      </w:r>
      <w:r w:rsidRPr="00FD211F">
        <w:rPr>
          <w:sz w:val="36"/>
          <w:szCs w:val="36"/>
          <w:rtl/>
        </w:rPr>
        <w:t>ما</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من</w:t>
      </w:r>
      <w:r w:rsidR="00E8128F">
        <w:rPr>
          <w:sz w:val="36"/>
          <w:szCs w:val="36"/>
          <w:rtl/>
        </w:rPr>
        <w:t xml:space="preserve"> </w:t>
      </w:r>
      <w:r w:rsidR="0055728F" w:rsidRPr="00FD211F">
        <w:rPr>
          <w:sz w:val="36"/>
          <w:szCs w:val="36"/>
          <w:rtl/>
        </w:rPr>
        <w:t>أنَّ</w:t>
      </w:r>
      <w:r w:rsidR="00E8128F">
        <w:rPr>
          <w:sz w:val="36"/>
          <w:szCs w:val="36"/>
          <w:rtl/>
        </w:rPr>
        <w:t xml:space="preserve"> </w:t>
      </w:r>
      <w:r w:rsidR="00142397" w:rsidRPr="00FD211F">
        <w:rPr>
          <w:sz w:val="36"/>
          <w:szCs w:val="36"/>
          <w:rtl/>
        </w:rPr>
        <w:t>للتعبد</w:t>
      </w:r>
      <w:r w:rsidR="00E8128F">
        <w:rPr>
          <w:sz w:val="36"/>
          <w:szCs w:val="36"/>
          <w:rtl/>
        </w:rPr>
        <w:t xml:space="preserve"> </w:t>
      </w:r>
      <w:r w:rsidR="00142397" w:rsidRPr="00FD211F">
        <w:rPr>
          <w:sz w:val="36"/>
          <w:szCs w:val="36"/>
          <w:rtl/>
        </w:rPr>
        <w:t>بسند</w:t>
      </w:r>
      <w:r w:rsidR="00E8128F">
        <w:rPr>
          <w:sz w:val="36"/>
          <w:szCs w:val="36"/>
          <w:rtl/>
        </w:rPr>
        <w:t xml:space="preserve"> </w:t>
      </w:r>
      <w:r w:rsidR="00142397" w:rsidRPr="00FD211F">
        <w:rPr>
          <w:sz w:val="36"/>
          <w:szCs w:val="36"/>
          <w:rtl/>
        </w:rPr>
        <w:t>خبر</w:t>
      </w:r>
      <w:r w:rsidR="00E8128F">
        <w:rPr>
          <w:sz w:val="36"/>
          <w:szCs w:val="36"/>
          <w:rtl/>
        </w:rPr>
        <w:t xml:space="preserve"> </w:t>
      </w:r>
      <w:r w:rsidR="00142397" w:rsidRPr="00FD211F">
        <w:rPr>
          <w:sz w:val="36"/>
          <w:szCs w:val="36"/>
          <w:rtl/>
        </w:rPr>
        <w:t>مع</w:t>
      </w:r>
      <w:r w:rsidR="00E8128F">
        <w:rPr>
          <w:sz w:val="36"/>
          <w:szCs w:val="36"/>
          <w:rtl/>
        </w:rPr>
        <w:t xml:space="preserve"> </w:t>
      </w:r>
      <w:r w:rsidR="00142397" w:rsidRPr="00FD211F">
        <w:rPr>
          <w:sz w:val="36"/>
          <w:szCs w:val="36"/>
          <w:rtl/>
        </w:rPr>
        <w:t>التعبد</w:t>
      </w:r>
      <w:r w:rsidR="00E8128F">
        <w:rPr>
          <w:sz w:val="36"/>
          <w:szCs w:val="36"/>
          <w:rtl/>
        </w:rPr>
        <w:t xml:space="preserve"> </w:t>
      </w:r>
      <w:r w:rsidR="00142397" w:rsidRPr="00FD211F">
        <w:rPr>
          <w:sz w:val="36"/>
          <w:szCs w:val="36"/>
          <w:rtl/>
        </w:rPr>
        <w:t>بظهوره</w:t>
      </w:r>
      <w:r w:rsidR="00E8128F">
        <w:rPr>
          <w:sz w:val="36"/>
          <w:szCs w:val="36"/>
          <w:rtl/>
        </w:rPr>
        <w:t xml:space="preserve"> </w:t>
      </w:r>
      <w:r w:rsidR="0055728F" w:rsidRPr="00FD211F">
        <w:rPr>
          <w:sz w:val="36"/>
          <w:szCs w:val="36"/>
          <w:rtl/>
        </w:rPr>
        <w:t>وحدة</w:t>
      </w:r>
      <w:r w:rsidR="00E8128F">
        <w:rPr>
          <w:sz w:val="36"/>
          <w:szCs w:val="36"/>
          <w:rtl/>
        </w:rPr>
        <w:t xml:space="preserve"> </w:t>
      </w:r>
      <w:r w:rsidR="0055728F" w:rsidRPr="00FD211F">
        <w:rPr>
          <w:sz w:val="36"/>
          <w:szCs w:val="36"/>
          <w:rtl/>
        </w:rPr>
        <w:t>ثبوتية</w:t>
      </w:r>
      <w:r w:rsidR="00E8128F">
        <w:rPr>
          <w:sz w:val="36"/>
          <w:szCs w:val="36"/>
          <w:rtl/>
        </w:rPr>
        <w:t xml:space="preserve"> </w:t>
      </w:r>
      <w:r w:rsidR="00142397" w:rsidRPr="00FD211F">
        <w:rPr>
          <w:sz w:val="36"/>
          <w:szCs w:val="36"/>
          <w:rtl/>
        </w:rPr>
        <w:t>حيث</w:t>
      </w:r>
      <w:r w:rsidR="00E8128F">
        <w:rPr>
          <w:sz w:val="36"/>
          <w:szCs w:val="36"/>
          <w:rtl/>
        </w:rPr>
        <w:t xml:space="preserve"> </w:t>
      </w:r>
      <w:r w:rsidR="00142397" w:rsidRPr="00FD211F">
        <w:rPr>
          <w:sz w:val="36"/>
          <w:szCs w:val="36"/>
          <w:rtl/>
        </w:rPr>
        <w:t>ان</w:t>
      </w:r>
      <w:r w:rsidR="00E8128F">
        <w:rPr>
          <w:sz w:val="36"/>
          <w:szCs w:val="36"/>
          <w:rtl/>
        </w:rPr>
        <w:t xml:space="preserve"> </w:t>
      </w:r>
      <w:r w:rsidR="00142397" w:rsidRPr="00FD211F">
        <w:rPr>
          <w:sz w:val="36"/>
          <w:szCs w:val="36"/>
          <w:rtl/>
        </w:rPr>
        <w:t>مفاد</w:t>
      </w:r>
      <w:r w:rsidR="00E8128F">
        <w:rPr>
          <w:sz w:val="36"/>
          <w:szCs w:val="36"/>
          <w:rtl/>
        </w:rPr>
        <w:t xml:space="preserve"> </w:t>
      </w:r>
      <w:r w:rsidR="00142397" w:rsidRPr="00FD211F">
        <w:rPr>
          <w:sz w:val="36"/>
          <w:szCs w:val="36"/>
          <w:rtl/>
        </w:rPr>
        <w:t>دليل</w:t>
      </w:r>
      <w:r w:rsidR="00E8128F">
        <w:rPr>
          <w:sz w:val="36"/>
          <w:szCs w:val="36"/>
          <w:rtl/>
        </w:rPr>
        <w:t xml:space="preserve"> </w:t>
      </w:r>
      <w:r w:rsidR="00142397" w:rsidRPr="00FD211F">
        <w:rPr>
          <w:sz w:val="36"/>
          <w:szCs w:val="36"/>
          <w:rtl/>
        </w:rPr>
        <w:t>حجي</w:t>
      </w:r>
      <w:r w:rsidR="00EC7EDF" w:rsidRPr="00FD211F">
        <w:rPr>
          <w:sz w:val="36"/>
          <w:szCs w:val="36"/>
          <w:rtl/>
        </w:rPr>
        <w:t>ة</w:t>
      </w:r>
      <w:r w:rsidR="00E8128F">
        <w:rPr>
          <w:sz w:val="36"/>
          <w:szCs w:val="36"/>
          <w:rtl/>
        </w:rPr>
        <w:t xml:space="preserve"> </w:t>
      </w:r>
      <w:r w:rsidR="00142397" w:rsidRPr="00FD211F">
        <w:rPr>
          <w:sz w:val="36"/>
          <w:szCs w:val="36"/>
          <w:rtl/>
        </w:rPr>
        <w:t>السند</w:t>
      </w:r>
      <w:r w:rsidR="00E8128F">
        <w:rPr>
          <w:sz w:val="36"/>
          <w:szCs w:val="36"/>
          <w:rtl/>
        </w:rPr>
        <w:t xml:space="preserve"> </w:t>
      </w:r>
      <w:r w:rsidR="00142397" w:rsidRPr="00FD211F">
        <w:rPr>
          <w:sz w:val="36"/>
          <w:szCs w:val="36"/>
          <w:rtl/>
        </w:rPr>
        <w:t>ليس</w:t>
      </w:r>
      <w:r w:rsidR="00E8128F">
        <w:rPr>
          <w:sz w:val="36"/>
          <w:szCs w:val="36"/>
          <w:rtl/>
        </w:rPr>
        <w:t xml:space="preserve"> </w:t>
      </w:r>
      <w:r w:rsidR="00142397" w:rsidRPr="00FD211F">
        <w:rPr>
          <w:sz w:val="36"/>
          <w:szCs w:val="36"/>
          <w:rtl/>
        </w:rPr>
        <w:t>مجرد</w:t>
      </w:r>
      <w:r w:rsidR="00E8128F">
        <w:rPr>
          <w:sz w:val="36"/>
          <w:szCs w:val="36"/>
          <w:rtl/>
        </w:rPr>
        <w:t xml:space="preserve"> </w:t>
      </w:r>
      <w:r w:rsidR="00142397" w:rsidRPr="00FD211F">
        <w:rPr>
          <w:sz w:val="36"/>
          <w:szCs w:val="36"/>
          <w:rtl/>
        </w:rPr>
        <w:t>التعبد</w:t>
      </w:r>
      <w:r w:rsidR="00E8128F">
        <w:rPr>
          <w:sz w:val="36"/>
          <w:szCs w:val="36"/>
          <w:rtl/>
        </w:rPr>
        <w:t xml:space="preserve"> </w:t>
      </w:r>
      <w:r w:rsidR="00142397" w:rsidRPr="00FD211F">
        <w:rPr>
          <w:sz w:val="36"/>
          <w:szCs w:val="36"/>
          <w:rtl/>
        </w:rPr>
        <w:t>بصدور</w:t>
      </w:r>
      <w:r w:rsidR="00E8128F">
        <w:rPr>
          <w:sz w:val="36"/>
          <w:szCs w:val="36"/>
          <w:rtl/>
        </w:rPr>
        <w:t xml:space="preserve"> </w:t>
      </w:r>
      <w:r w:rsidR="00142397" w:rsidRPr="00FD211F">
        <w:rPr>
          <w:sz w:val="36"/>
          <w:szCs w:val="36"/>
          <w:rtl/>
        </w:rPr>
        <w:t>الخبر</w:t>
      </w:r>
      <w:r w:rsidR="00603323" w:rsidRPr="00FD211F">
        <w:rPr>
          <w:sz w:val="36"/>
          <w:szCs w:val="36"/>
          <w:rtl/>
        </w:rPr>
        <w:t>،</w:t>
      </w:r>
      <w:r w:rsidR="00E8128F">
        <w:rPr>
          <w:sz w:val="36"/>
          <w:szCs w:val="36"/>
          <w:rtl/>
        </w:rPr>
        <w:t xml:space="preserve"> </w:t>
      </w:r>
      <w:r w:rsidR="00142397" w:rsidRPr="00FD211F">
        <w:rPr>
          <w:sz w:val="36"/>
          <w:szCs w:val="36"/>
          <w:rtl/>
        </w:rPr>
        <w:t>بل</w:t>
      </w:r>
      <w:r w:rsidR="00E8128F">
        <w:rPr>
          <w:sz w:val="36"/>
          <w:szCs w:val="36"/>
          <w:rtl/>
        </w:rPr>
        <w:t xml:space="preserve"> </w:t>
      </w:r>
      <w:r w:rsidR="00142397" w:rsidRPr="00FD211F">
        <w:rPr>
          <w:sz w:val="36"/>
          <w:szCs w:val="36"/>
          <w:rtl/>
        </w:rPr>
        <w:t>مفاده</w:t>
      </w:r>
      <w:r w:rsidR="00E8128F">
        <w:rPr>
          <w:sz w:val="36"/>
          <w:szCs w:val="36"/>
          <w:rtl/>
        </w:rPr>
        <w:t xml:space="preserve"> </w:t>
      </w:r>
      <w:r w:rsidR="00142397" w:rsidRPr="00FD211F">
        <w:rPr>
          <w:sz w:val="36"/>
          <w:szCs w:val="36"/>
          <w:rtl/>
        </w:rPr>
        <w:t>تنجيز</w:t>
      </w:r>
      <w:r w:rsidR="00E8128F">
        <w:rPr>
          <w:sz w:val="36"/>
          <w:szCs w:val="36"/>
          <w:rtl/>
        </w:rPr>
        <w:t xml:space="preserve"> </w:t>
      </w:r>
      <w:r w:rsidR="00142397" w:rsidRPr="00FD211F">
        <w:rPr>
          <w:sz w:val="36"/>
          <w:szCs w:val="36"/>
          <w:rtl/>
        </w:rPr>
        <w:t>الحكم</w:t>
      </w:r>
      <w:r w:rsidR="00E8128F">
        <w:rPr>
          <w:sz w:val="36"/>
          <w:szCs w:val="36"/>
          <w:rtl/>
        </w:rPr>
        <w:t xml:space="preserve"> </w:t>
      </w:r>
      <w:r w:rsidR="00142397" w:rsidRPr="00FD211F">
        <w:rPr>
          <w:sz w:val="36"/>
          <w:szCs w:val="36"/>
          <w:rtl/>
        </w:rPr>
        <w:t>الذي</w:t>
      </w:r>
      <w:r w:rsidR="00E8128F">
        <w:rPr>
          <w:sz w:val="36"/>
          <w:szCs w:val="36"/>
          <w:rtl/>
        </w:rPr>
        <w:t xml:space="preserve"> </w:t>
      </w:r>
      <w:r w:rsidR="00142397" w:rsidRPr="00FD211F">
        <w:rPr>
          <w:sz w:val="36"/>
          <w:szCs w:val="36"/>
          <w:rtl/>
        </w:rPr>
        <w:lastRenderedPageBreak/>
        <w:t>يدل</w:t>
      </w:r>
      <w:r w:rsidR="00E8128F">
        <w:rPr>
          <w:sz w:val="36"/>
          <w:szCs w:val="36"/>
          <w:rtl/>
        </w:rPr>
        <w:t xml:space="preserve"> </w:t>
      </w:r>
      <w:r w:rsidR="00142397" w:rsidRPr="00FD211F">
        <w:rPr>
          <w:sz w:val="36"/>
          <w:szCs w:val="36"/>
          <w:rtl/>
        </w:rPr>
        <w:t>عليه</w:t>
      </w:r>
      <w:r w:rsidR="00E8128F">
        <w:rPr>
          <w:sz w:val="36"/>
          <w:szCs w:val="36"/>
          <w:rtl/>
        </w:rPr>
        <w:t xml:space="preserve"> </w:t>
      </w:r>
      <w:r w:rsidR="00142397" w:rsidRPr="00FD211F">
        <w:rPr>
          <w:sz w:val="36"/>
          <w:szCs w:val="36"/>
          <w:rtl/>
        </w:rPr>
        <w:t>الخبر</w:t>
      </w:r>
      <w:r w:rsidR="00E8128F">
        <w:rPr>
          <w:sz w:val="36"/>
          <w:szCs w:val="36"/>
          <w:rtl/>
        </w:rPr>
        <w:t xml:space="preserve"> </w:t>
      </w:r>
      <w:r w:rsidR="00142397" w:rsidRPr="00FD211F">
        <w:rPr>
          <w:sz w:val="36"/>
          <w:szCs w:val="36"/>
          <w:rtl/>
        </w:rPr>
        <w:t>او</w:t>
      </w:r>
      <w:r w:rsidR="00E8128F">
        <w:rPr>
          <w:sz w:val="36"/>
          <w:szCs w:val="36"/>
          <w:rtl/>
        </w:rPr>
        <w:t xml:space="preserve"> </w:t>
      </w:r>
      <w:r w:rsidR="00142397" w:rsidRPr="00FD211F">
        <w:rPr>
          <w:sz w:val="36"/>
          <w:szCs w:val="36"/>
          <w:rtl/>
        </w:rPr>
        <w:t>التعذير</w:t>
      </w:r>
      <w:r w:rsidR="00E8128F">
        <w:rPr>
          <w:sz w:val="36"/>
          <w:szCs w:val="36"/>
          <w:rtl/>
        </w:rPr>
        <w:t xml:space="preserve"> </w:t>
      </w:r>
      <w:r w:rsidR="00142397" w:rsidRPr="00FD211F">
        <w:rPr>
          <w:sz w:val="36"/>
          <w:szCs w:val="36"/>
          <w:rtl/>
        </w:rPr>
        <w:t>عنه</w:t>
      </w:r>
      <w:r w:rsidR="009C58C8" w:rsidRPr="00FD211F">
        <w:rPr>
          <w:rStyle w:val="a6"/>
          <w:sz w:val="36"/>
          <w:szCs w:val="36"/>
          <w:rtl/>
        </w:rPr>
        <w:t>(</w:t>
      </w:r>
      <w:r w:rsidR="009C58C8" w:rsidRPr="00FD211F">
        <w:rPr>
          <w:rStyle w:val="a6"/>
          <w:sz w:val="36"/>
          <w:szCs w:val="36"/>
          <w:rtl/>
        </w:rPr>
        <w:footnoteReference w:id="28"/>
      </w:r>
      <w:r w:rsidR="009C58C8" w:rsidRPr="00FD211F">
        <w:rPr>
          <w:rStyle w:val="a6"/>
          <w:sz w:val="36"/>
          <w:szCs w:val="36"/>
          <w:rtl/>
        </w:rPr>
        <w:t>)</w:t>
      </w:r>
      <w:r w:rsidR="00603323" w:rsidRPr="00FD211F">
        <w:rPr>
          <w:sz w:val="36"/>
          <w:szCs w:val="36"/>
          <w:rtl/>
        </w:rPr>
        <w:t>،</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تم</w:t>
      </w:r>
      <w:r w:rsidR="00E8128F">
        <w:rPr>
          <w:sz w:val="36"/>
          <w:szCs w:val="36"/>
          <w:rtl/>
        </w:rPr>
        <w:t xml:space="preserve"> </w:t>
      </w:r>
      <w:r w:rsidR="0055728F" w:rsidRPr="00FD211F">
        <w:rPr>
          <w:sz w:val="36"/>
          <w:szCs w:val="36"/>
          <w:rtl/>
        </w:rPr>
        <w:t>القول</w:t>
      </w:r>
      <w:r w:rsidR="00E8128F">
        <w:rPr>
          <w:sz w:val="36"/>
          <w:szCs w:val="36"/>
          <w:rtl/>
        </w:rPr>
        <w:t xml:space="preserve"> </w:t>
      </w:r>
      <w:r w:rsidR="0055728F" w:rsidRPr="00FD211F">
        <w:rPr>
          <w:sz w:val="36"/>
          <w:szCs w:val="36"/>
          <w:rtl/>
        </w:rPr>
        <w:t>بهذه</w:t>
      </w:r>
      <w:r w:rsidR="00E8128F">
        <w:rPr>
          <w:sz w:val="36"/>
          <w:szCs w:val="36"/>
          <w:rtl/>
        </w:rPr>
        <w:t xml:space="preserve"> </w:t>
      </w:r>
      <w:r w:rsidR="0055728F" w:rsidRPr="00FD211F">
        <w:rPr>
          <w:sz w:val="36"/>
          <w:szCs w:val="36"/>
          <w:rtl/>
        </w:rPr>
        <w:t>الوحدة</w:t>
      </w:r>
      <w:r w:rsidR="00E8128F">
        <w:rPr>
          <w:sz w:val="36"/>
          <w:szCs w:val="36"/>
          <w:rtl/>
        </w:rPr>
        <w:t xml:space="preserve"> </w:t>
      </w:r>
      <w:r w:rsidR="0055728F" w:rsidRPr="00FD211F">
        <w:rPr>
          <w:sz w:val="36"/>
          <w:szCs w:val="36"/>
          <w:rtl/>
        </w:rPr>
        <w:t>الثبوتية</w:t>
      </w:r>
      <w:r w:rsidR="00E8128F">
        <w:rPr>
          <w:sz w:val="36"/>
          <w:szCs w:val="36"/>
          <w:rtl/>
        </w:rPr>
        <w:t xml:space="preserve"> </w:t>
      </w:r>
      <w:r w:rsidR="0055728F" w:rsidRPr="00FD211F">
        <w:rPr>
          <w:sz w:val="36"/>
          <w:szCs w:val="36"/>
          <w:rtl/>
        </w:rPr>
        <w:t>-</w:t>
      </w:r>
      <w:r w:rsidRPr="00FD211F">
        <w:rPr>
          <w:sz w:val="36"/>
          <w:szCs w:val="36"/>
          <w:rtl/>
        </w:rPr>
        <w:t>كما</w:t>
      </w:r>
      <w:r w:rsidR="00E8128F">
        <w:rPr>
          <w:sz w:val="36"/>
          <w:szCs w:val="36"/>
          <w:rtl/>
        </w:rPr>
        <w:t xml:space="preserve"> </w:t>
      </w:r>
      <w:r w:rsidRPr="00FD211F">
        <w:rPr>
          <w:sz w:val="36"/>
          <w:szCs w:val="36"/>
          <w:rtl/>
        </w:rPr>
        <w:t>ه</w:t>
      </w:r>
      <w:r w:rsidR="003411C4" w:rsidRPr="00FD211F">
        <w:rPr>
          <w:sz w:val="36"/>
          <w:szCs w:val="36"/>
          <w:rtl/>
        </w:rPr>
        <w:t>و</w:t>
      </w:r>
      <w:r w:rsidR="00A7233B" w:rsidRPr="00FD211F">
        <w:rPr>
          <w:sz w:val="36"/>
          <w:szCs w:val="36"/>
          <w:rtl/>
        </w:rPr>
        <w:t>المحكي</w:t>
      </w:r>
      <w:r w:rsidR="00E8128F">
        <w:rPr>
          <w:sz w:val="36"/>
          <w:szCs w:val="36"/>
          <w:rtl/>
        </w:rPr>
        <w:t xml:space="preserve"> </w:t>
      </w:r>
      <w:r w:rsidR="00A7233B" w:rsidRPr="00FD211F">
        <w:rPr>
          <w:sz w:val="36"/>
          <w:szCs w:val="36"/>
          <w:rtl/>
        </w:rPr>
        <w:t>عن</w:t>
      </w:r>
      <w:r w:rsidR="00E8128F">
        <w:rPr>
          <w:sz w:val="36"/>
          <w:szCs w:val="36"/>
          <w:rtl/>
        </w:rPr>
        <w:t xml:space="preserve"> </w:t>
      </w:r>
      <w:r w:rsidR="00A7233B" w:rsidRPr="00FD211F">
        <w:rPr>
          <w:sz w:val="36"/>
          <w:szCs w:val="36"/>
          <w:rtl/>
        </w:rPr>
        <w:t>السيد</w:t>
      </w:r>
      <w:r w:rsidR="00E8128F">
        <w:rPr>
          <w:sz w:val="36"/>
          <w:szCs w:val="36"/>
          <w:rtl/>
        </w:rPr>
        <w:t xml:space="preserve"> </w:t>
      </w:r>
      <w:r w:rsidR="00A7233B" w:rsidRPr="00FD211F">
        <w:rPr>
          <w:sz w:val="36"/>
          <w:szCs w:val="36"/>
          <w:rtl/>
        </w:rPr>
        <w:t>الصدر"قده"</w:t>
      </w:r>
      <w:r w:rsidR="00C17D0B" w:rsidRPr="00FD211F">
        <w:rPr>
          <w:rStyle w:val="a6"/>
          <w:sz w:val="36"/>
          <w:szCs w:val="36"/>
          <w:rtl/>
        </w:rPr>
        <w:t>(</w:t>
      </w:r>
      <w:r w:rsidR="00C17D0B" w:rsidRPr="00FD211F">
        <w:rPr>
          <w:rStyle w:val="a6"/>
          <w:sz w:val="36"/>
          <w:szCs w:val="36"/>
          <w:rtl/>
        </w:rPr>
        <w:footnoteReference w:id="29"/>
      </w:r>
      <w:r w:rsidR="00C17D0B" w:rsidRPr="00FD211F">
        <w:rPr>
          <w:rStyle w:val="a6"/>
          <w:sz w:val="36"/>
          <w:szCs w:val="36"/>
          <w:rtl/>
        </w:rPr>
        <w:t>)</w:t>
      </w:r>
      <w:r w:rsidR="00A7233B" w:rsidRPr="00FD211F">
        <w:rPr>
          <w:sz w:val="36"/>
          <w:szCs w:val="36"/>
          <w:rtl/>
        </w:rPr>
        <w:t>وان</w:t>
      </w:r>
      <w:r w:rsidR="00E8128F">
        <w:rPr>
          <w:sz w:val="36"/>
          <w:szCs w:val="36"/>
          <w:rtl/>
        </w:rPr>
        <w:t xml:space="preserve"> </w:t>
      </w:r>
      <w:r w:rsidR="00A7233B" w:rsidRPr="00FD211F">
        <w:rPr>
          <w:sz w:val="36"/>
          <w:szCs w:val="36"/>
          <w:rtl/>
        </w:rPr>
        <w:t>كنا</w:t>
      </w:r>
      <w:r w:rsidR="00E8128F">
        <w:rPr>
          <w:sz w:val="36"/>
          <w:szCs w:val="36"/>
          <w:rtl/>
        </w:rPr>
        <w:t xml:space="preserve"> </w:t>
      </w:r>
      <w:r w:rsidR="00A7233B" w:rsidRPr="00FD211F">
        <w:rPr>
          <w:sz w:val="36"/>
          <w:szCs w:val="36"/>
          <w:rtl/>
        </w:rPr>
        <w:t>ناقشنا</w:t>
      </w:r>
      <w:r w:rsidR="00E8128F">
        <w:rPr>
          <w:sz w:val="36"/>
          <w:szCs w:val="36"/>
          <w:rtl/>
        </w:rPr>
        <w:t xml:space="preserve"> </w:t>
      </w:r>
      <w:r w:rsidR="00A7233B" w:rsidRPr="00FD211F">
        <w:rPr>
          <w:sz w:val="36"/>
          <w:szCs w:val="36"/>
          <w:rtl/>
        </w:rPr>
        <w:t>فيه</w:t>
      </w:r>
      <w:r w:rsidR="00E8128F">
        <w:rPr>
          <w:sz w:val="36"/>
          <w:szCs w:val="36"/>
          <w:rtl/>
        </w:rPr>
        <w:t xml:space="preserve"> </w:t>
      </w:r>
      <w:r w:rsidR="00A7233B" w:rsidRPr="00FD211F">
        <w:rPr>
          <w:sz w:val="36"/>
          <w:szCs w:val="36"/>
          <w:rtl/>
        </w:rPr>
        <w:t>في</w:t>
      </w:r>
      <w:r w:rsidR="00E8128F">
        <w:rPr>
          <w:sz w:val="36"/>
          <w:szCs w:val="36"/>
          <w:rtl/>
        </w:rPr>
        <w:t xml:space="preserve"> </w:t>
      </w:r>
      <w:r w:rsidR="00A7233B" w:rsidRPr="00FD211F">
        <w:rPr>
          <w:sz w:val="36"/>
          <w:szCs w:val="36"/>
          <w:rtl/>
        </w:rPr>
        <w:t>بحث</w:t>
      </w:r>
      <w:r w:rsidR="00E8128F">
        <w:rPr>
          <w:sz w:val="36"/>
          <w:szCs w:val="36"/>
          <w:rtl/>
        </w:rPr>
        <w:t xml:space="preserve"> </w:t>
      </w:r>
      <w:r w:rsidR="00A7233B" w:rsidRPr="00FD211F">
        <w:rPr>
          <w:sz w:val="36"/>
          <w:szCs w:val="36"/>
          <w:rtl/>
        </w:rPr>
        <w:t>التعارض</w:t>
      </w:r>
      <w:r w:rsidR="00C17D0B" w:rsidRPr="00FD211F">
        <w:rPr>
          <w:rStyle w:val="a6"/>
          <w:sz w:val="36"/>
          <w:szCs w:val="36"/>
          <w:rtl/>
        </w:rPr>
        <w:t>(</w:t>
      </w:r>
      <w:r w:rsidR="00C17D0B" w:rsidRPr="00FD211F">
        <w:rPr>
          <w:rStyle w:val="a6"/>
          <w:sz w:val="36"/>
          <w:szCs w:val="36"/>
          <w:rtl/>
        </w:rPr>
        <w:footnoteReference w:id="30"/>
      </w:r>
      <w:r w:rsidR="00C17D0B" w:rsidRPr="00FD211F">
        <w:rPr>
          <w:rStyle w:val="a6"/>
          <w:sz w:val="36"/>
          <w:szCs w:val="36"/>
          <w:rtl/>
        </w:rPr>
        <w:t>)</w:t>
      </w:r>
      <w:r w:rsidR="00E8128F">
        <w:rPr>
          <w:sz w:val="36"/>
          <w:szCs w:val="36"/>
          <w:rtl/>
        </w:rPr>
        <w:t xml:space="preserve"> </w:t>
      </w:r>
      <w:r w:rsidR="0055728F" w:rsidRPr="00FD211F">
        <w:rPr>
          <w:sz w:val="36"/>
          <w:szCs w:val="36"/>
          <w:rtl/>
        </w:rPr>
        <w:t>-</w:t>
      </w:r>
      <w:r w:rsidR="00E8128F">
        <w:rPr>
          <w:sz w:val="36"/>
          <w:szCs w:val="36"/>
          <w:rtl/>
        </w:rPr>
        <w:t xml:space="preserve"> </w:t>
      </w:r>
      <w:r w:rsidRPr="00FD211F">
        <w:rPr>
          <w:sz w:val="36"/>
          <w:szCs w:val="36"/>
          <w:rtl/>
        </w:rPr>
        <w:t>فمع</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ل</w:t>
      </w:r>
      <w:r w:rsidR="00513D56" w:rsidRPr="00FD211F">
        <w:rPr>
          <w:sz w:val="36"/>
          <w:szCs w:val="36"/>
          <w:rtl/>
        </w:rPr>
        <w:t>يس</w:t>
      </w:r>
      <w:r w:rsidR="00E8128F">
        <w:rPr>
          <w:sz w:val="36"/>
          <w:szCs w:val="36"/>
          <w:rtl/>
        </w:rPr>
        <w:t xml:space="preserve"> </w:t>
      </w:r>
      <w:r w:rsidR="00513D56" w:rsidRPr="00FD211F">
        <w:rPr>
          <w:sz w:val="36"/>
          <w:szCs w:val="36"/>
          <w:rtl/>
        </w:rPr>
        <w:t>له</w:t>
      </w:r>
      <w:r w:rsidR="00E8128F">
        <w:rPr>
          <w:sz w:val="36"/>
          <w:szCs w:val="36"/>
          <w:rtl/>
        </w:rPr>
        <w:t xml:space="preserve"> </w:t>
      </w:r>
      <w:r w:rsidR="00513D56" w:rsidRPr="00FD211F">
        <w:rPr>
          <w:sz w:val="36"/>
          <w:szCs w:val="36"/>
          <w:rtl/>
        </w:rPr>
        <w:t>أية</w:t>
      </w:r>
      <w:r w:rsidR="00E8128F">
        <w:rPr>
          <w:sz w:val="36"/>
          <w:szCs w:val="36"/>
          <w:rtl/>
        </w:rPr>
        <w:t xml:space="preserve"> </w:t>
      </w:r>
      <w:r w:rsidRPr="00FD211F">
        <w:rPr>
          <w:sz w:val="36"/>
          <w:szCs w:val="36"/>
          <w:rtl/>
        </w:rPr>
        <w:t>علاق</w:t>
      </w:r>
      <w:r w:rsidR="00EC7EDF" w:rsidRPr="00FD211F">
        <w:rPr>
          <w:sz w:val="36"/>
          <w:szCs w:val="36"/>
          <w:rtl/>
        </w:rPr>
        <w:t>ة</w:t>
      </w:r>
      <w:r w:rsidR="00E8128F">
        <w:rPr>
          <w:sz w:val="36"/>
          <w:szCs w:val="36"/>
          <w:rtl/>
        </w:rPr>
        <w:t xml:space="preserve"> </w:t>
      </w:r>
      <w:r w:rsidRPr="00FD211F">
        <w:rPr>
          <w:sz w:val="36"/>
          <w:szCs w:val="36"/>
          <w:rtl/>
        </w:rPr>
        <w:t>بالمقام</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المراد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توسيط</w:t>
      </w:r>
      <w:r w:rsidR="00E8128F">
        <w:rPr>
          <w:sz w:val="36"/>
          <w:szCs w:val="36"/>
          <w:rtl/>
        </w:rPr>
        <w:t xml:space="preserve"> </w:t>
      </w:r>
      <w:r w:rsidRPr="00FD211F">
        <w:rPr>
          <w:sz w:val="36"/>
          <w:szCs w:val="36"/>
          <w:rtl/>
        </w:rPr>
        <w:t>كبريين</w:t>
      </w:r>
      <w:r w:rsidR="00E8128F">
        <w:rPr>
          <w:sz w:val="36"/>
          <w:szCs w:val="36"/>
          <w:rtl/>
        </w:rPr>
        <w:t xml:space="preserve"> </w:t>
      </w:r>
      <w:r w:rsidRPr="00FD211F">
        <w:rPr>
          <w:sz w:val="36"/>
          <w:szCs w:val="36"/>
          <w:rtl/>
        </w:rPr>
        <w:t>اصوليين</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المقام</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كبرى</w:t>
      </w:r>
      <w:r w:rsidR="00E8128F">
        <w:rPr>
          <w:sz w:val="36"/>
          <w:szCs w:val="36"/>
          <w:rtl/>
        </w:rPr>
        <w:t xml:space="preserve"> </w:t>
      </w:r>
      <w:r w:rsidRPr="00FD211F">
        <w:rPr>
          <w:sz w:val="36"/>
          <w:szCs w:val="36"/>
          <w:rtl/>
        </w:rPr>
        <w:t>ظهور</w:t>
      </w:r>
      <w:r w:rsidR="00E8128F">
        <w:rPr>
          <w:sz w:val="36"/>
          <w:szCs w:val="36"/>
          <w:rtl/>
        </w:rPr>
        <w:t xml:space="preserve"> </w:t>
      </w:r>
      <w:r w:rsidRPr="00FD211F">
        <w:rPr>
          <w:sz w:val="36"/>
          <w:szCs w:val="36"/>
          <w:rtl/>
        </w:rPr>
        <w:t>صيغ</w:t>
      </w:r>
      <w:r w:rsidR="00EC7EDF" w:rsidRPr="00FD211F">
        <w:rPr>
          <w:sz w:val="36"/>
          <w:szCs w:val="36"/>
          <w:rtl/>
        </w:rPr>
        <w:t>ة</w:t>
      </w:r>
      <w:r w:rsidR="00E8128F">
        <w:rPr>
          <w:sz w:val="36"/>
          <w:szCs w:val="36"/>
          <w:rtl/>
        </w:rPr>
        <w:t xml:space="preserve"> </w:t>
      </w:r>
      <w:r w:rsidR="0090224F" w:rsidRPr="00FD211F">
        <w:rPr>
          <w:sz w:val="36"/>
          <w:szCs w:val="36"/>
          <w:rtl/>
        </w:rPr>
        <w:t>الأمر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الوجوب</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سائر</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الالفاظ</w:t>
      </w:r>
      <w:r w:rsidR="00603323" w:rsidRPr="00FD211F">
        <w:rPr>
          <w:sz w:val="36"/>
          <w:szCs w:val="36"/>
          <w:rtl/>
        </w:rPr>
        <w:t>،</w:t>
      </w:r>
      <w:r w:rsidR="00E8128F">
        <w:rPr>
          <w:sz w:val="36"/>
          <w:szCs w:val="36"/>
          <w:rtl/>
        </w:rPr>
        <w:t xml:space="preserve"> </w:t>
      </w:r>
      <w:r w:rsidRPr="00FD211F">
        <w:rPr>
          <w:sz w:val="36"/>
          <w:szCs w:val="36"/>
          <w:rtl/>
        </w:rPr>
        <w:t>لاحجي</w:t>
      </w:r>
      <w:r w:rsidR="00EC7EDF" w:rsidRPr="00FD211F">
        <w:rPr>
          <w:sz w:val="36"/>
          <w:szCs w:val="36"/>
          <w:rtl/>
        </w:rPr>
        <w:t>ة</w:t>
      </w:r>
      <w:r w:rsidR="00E8128F">
        <w:rPr>
          <w:sz w:val="36"/>
          <w:szCs w:val="36"/>
          <w:rtl/>
        </w:rPr>
        <w:t xml:space="preserve"> </w:t>
      </w:r>
      <w:r w:rsidRPr="00FD211F">
        <w:rPr>
          <w:sz w:val="36"/>
          <w:szCs w:val="36"/>
          <w:rtl/>
        </w:rPr>
        <w:t>الظهور</w:t>
      </w:r>
      <w:r w:rsidR="00E8128F">
        <w:rPr>
          <w:sz w:val="36"/>
          <w:szCs w:val="36"/>
          <w:rtl/>
        </w:rPr>
        <w:t xml:space="preserve"> </w:t>
      </w:r>
      <w:r w:rsidRPr="00FD211F">
        <w:rPr>
          <w:sz w:val="36"/>
          <w:szCs w:val="36"/>
          <w:rtl/>
        </w:rPr>
        <w:t>كي</w:t>
      </w:r>
      <w:r w:rsidR="00E8128F">
        <w:rPr>
          <w:sz w:val="36"/>
          <w:szCs w:val="36"/>
          <w:rtl/>
        </w:rPr>
        <w:t xml:space="preserve"> </w:t>
      </w:r>
      <w:r w:rsidRPr="00FD211F">
        <w:rPr>
          <w:sz w:val="36"/>
          <w:szCs w:val="36"/>
          <w:rtl/>
        </w:rPr>
        <w:t>تندكّ</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السند.</w:t>
      </w:r>
    </w:p>
    <w:p w14:paraId="7EF9AE82" w14:textId="77777777" w:rsidR="0029219F" w:rsidRPr="00FD211F" w:rsidRDefault="003669B7"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فلا</w:t>
      </w:r>
      <w:r w:rsidR="00142397" w:rsidRPr="00FD211F">
        <w:rPr>
          <w:sz w:val="36"/>
          <w:szCs w:val="36"/>
          <w:rtl/>
        </w:rPr>
        <w:t>ينبغي</w:t>
      </w:r>
      <w:r w:rsidR="00E8128F">
        <w:rPr>
          <w:sz w:val="36"/>
          <w:szCs w:val="36"/>
          <w:rtl/>
        </w:rPr>
        <w:t xml:space="preserve"> </w:t>
      </w:r>
      <w:r w:rsidR="00142397" w:rsidRPr="00FD211F">
        <w:rPr>
          <w:sz w:val="36"/>
          <w:szCs w:val="36"/>
          <w:rtl/>
        </w:rPr>
        <w:t>الاشكال</w:t>
      </w:r>
      <w:r w:rsidR="00E8128F">
        <w:rPr>
          <w:sz w:val="36"/>
          <w:szCs w:val="36"/>
          <w:rtl/>
        </w:rPr>
        <w:t xml:space="preserve"> </w:t>
      </w:r>
      <w:r w:rsidR="00142397" w:rsidRPr="00FD211F">
        <w:rPr>
          <w:sz w:val="36"/>
          <w:szCs w:val="36"/>
          <w:rtl/>
        </w:rPr>
        <w:t>في</w:t>
      </w:r>
      <w:r w:rsidR="00E8128F">
        <w:rPr>
          <w:sz w:val="36"/>
          <w:szCs w:val="36"/>
          <w:rtl/>
        </w:rPr>
        <w:t xml:space="preserve"> </w:t>
      </w:r>
      <w:r w:rsidR="00F81C95" w:rsidRPr="00FD211F">
        <w:rPr>
          <w:sz w:val="36"/>
          <w:szCs w:val="36"/>
          <w:rtl/>
        </w:rPr>
        <w:t>ان</w:t>
      </w:r>
      <w:r w:rsidRPr="00FD211F">
        <w:rPr>
          <w:sz w:val="36"/>
          <w:szCs w:val="36"/>
          <w:rtl/>
        </w:rPr>
        <w:t>ه</w:t>
      </w:r>
      <w:r w:rsidR="00E8128F">
        <w:rPr>
          <w:sz w:val="36"/>
          <w:szCs w:val="36"/>
          <w:rtl/>
        </w:rPr>
        <w:t xml:space="preserve"> </w:t>
      </w:r>
      <w:r w:rsidRPr="00FD211F">
        <w:rPr>
          <w:sz w:val="36"/>
          <w:szCs w:val="36"/>
          <w:rtl/>
        </w:rPr>
        <w:t>ليس</w:t>
      </w:r>
      <w:r w:rsidR="00E8128F">
        <w:rPr>
          <w:sz w:val="36"/>
          <w:szCs w:val="36"/>
          <w:rtl/>
        </w:rPr>
        <w:t xml:space="preserve"> </w:t>
      </w:r>
      <w:r w:rsidR="00F81C95" w:rsidRPr="00FD211F">
        <w:rPr>
          <w:sz w:val="36"/>
          <w:szCs w:val="36"/>
          <w:rtl/>
        </w:rPr>
        <w:t>مقصود</w:t>
      </w:r>
      <w:r w:rsidR="00E8128F">
        <w:rPr>
          <w:sz w:val="36"/>
          <w:szCs w:val="36"/>
          <w:rtl/>
        </w:rPr>
        <w:t xml:space="preserve"> </w:t>
      </w:r>
      <w:r w:rsidR="00F81C95" w:rsidRPr="00FD211F">
        <w:rPr>
          <w:sz w:val="36"/>
          <w:szCs w:val="36"/>
          <w:rtl/>
        </w:rPr>
        <w:t>السيد</w:t>
      </w:r>
      <w:r w:rsidR="00E8128F">
        <w:rPr>
          <w:sz w:val="36"/>
          <w:szCs w:val="36"/>
          <w:rtl/>
        </w:rPr>
        <w:t xml:space="preserve"> </w:t>
      </w:r>
      <w:r w:rsidR="00F81C95" w:rsidRPr="00FD211F">
        <w:rPr>
          <w:sz w:val="36"/>
          <w:szCs w:val="36"/>
          <w:rtl/>
        </w:rPr>
        <w:t>الخوئي</w:t>
      </w:r>
      <w:r w:rsidR="00E8128F">
        <w:rPr>
          <w:sz w:val="36"/>
          <w:szCs w:val="36"/>
          <w:rtl/>
        </w:rPr>
        <w:t xml:space="preserve"> </w:t>
      </w:r>
      <w:r w:rsidR="00A61BAE" w:rsidRPr="00FD211F">
        <w:rPr>
          <w:sz w:val="36"/>
          <w:szCs w:val="36"/>
          <w:rtl/>
        </w:rPr>
        <w:t>"قده"</w:t>
      </w:r>
      <w:r w:rsidR="00E8128F">
        <w:rPr>
          <w:sz w:val="36"/>
          <w:szCs w:val="36"/>
          <w:rtl/>
        </w:rPr>
        <w:t xml:space="preserve"> </w:t>
      </w:r>
      <w:r w:rsidR="00C560CF" w:rsidRPr="00FD211F">
        <w:rPr>
          <w:sz w:val="36"/>
          <w:szCs w:val="36"/>
          <w:rtl/>
        </w:rPr>
        <w:t>عدم</w:t>
      </w:r>
      <w:r w:rsidR="00E8128F">
        <w:rPr>
          <w:sz w:val="36"/>
          <w:szCs w:val="36"/>
          <w:rtl/>
        </w:rPr>
        <w:t xml:space="preserve"> </w:t>
      </w:r>
      <w:r w:rsidR="00C560CF" w:rsidRPr="00FD211F">
        <w:rPr>
          <w:sz w:val="36"/>
          <w:szCs w:val="36"/>
          <w:rtl/>
        </w:rPr>
        <w:t>الحاج</w:t>
      </w:r>
      <w:r w:rsidR="00EC7EDF" w:rsidRPr="00FD211F">
        <w:rPr>
          <w:sz w:val="36"/>
          <w:szCs w:val="36"/>
          <w:rtl/>
        </w:rPr>
        <w:t>ة</w:t>
      </w:r>
      <w:r w:rsidR="00E8128F">
        <w:rPr>
          <w:sz w:val="36"/>
          <w:szCs w:val="36"/>
          <w:rtl/>
        </w:rPr>
        <w:t xml:space="preserve"> </w:t>
      </w:r>
      <w:r w:rsidR="00C560CF" w:rsidRPr="00FD211F">
        <w:rPr>
          <w:sz w:val="36"/>
          <w:szCs w:val="36"/>
          <w:rtl/>
        </w:rPr>
        <w:t>في</w:t>
      </w:r>
      <w:r w:rsidR="00E8128F">
        <w:rPr>
          <w:sz w:val="36"/>
          <w:szCs w:val="36"/>
          <w:rtl/>
        </w:rPr>
        <w:t xml:space="preserve"> </w:t>
      </w:r>
      <w:r w:rsidR="00C560CF" w:rsidRPr="00FD211F">
        <w:rPr>
          <w:sz w:val="36"/>
          <w:szCs w:val="36"/>
          <w:rtl/>
        </w:rPr>
        <w:t>استنباط</w:t>
      </w:r>
      <w:r w:rsidR="00E8128F">
        <w:rPr>
          <w:sz w:val="36"/>
          <w:szCs w:val="36"/>
          <w:rtl/>
        </w:rPr>
        <w:t xml:space="preserve"> </w:t>
      </w:r>
      <w:r w:rsidR="00C560CF" w:rsidRPr="00FD211F">
        <w:rPr>
          <w:sz w:val="36"/>
          <w:szCs w:val="36"/>
          <w:rtl/>
        </w:rPr>
        <w:t>الحكم</w:t>
      </w:r>
      <w:r w:rsidR="00E8128F">
        <w:rPr>
          <w:sz w:val="36"/>
          <w:szCs w:val="36"/>
          <w:rtl/>
        </w:rPr>
        <w:t xml:space="preserve"> </w:t>
      </w:r>
      <w:r w:rsidR="00C560CF" w:rsidRPr="00FD211F">
        <w:rPr>
          <w:sz w:val="36"/>
          <w:szCs w:val="36"/>
          <w:rtl/>
        </w:rPr>
        <w:t>الشرعي</w:t>
      </w:r>
      <w:r w:rsidR="00E8128F">
        <w:rPr>
          <w:sz w:val="36"/>
          <w:szCs w:val="36"/>
          <w:rtl/>
        </w:rPr>
        <w:t xml:space="preserve"> </w:t>
      </w:r>
      <w:r w:rsidR="00C560CF" w:rsidRPr="00FD211F">
        <w:rPr>
          <w:sz w:val="36"/>
          <w:szCs w:val="36"/>
          <w:rtl/>
        </w:rPr>
        <w:lastRenderedPageBreak/>
        <w:t>من</w:t>
      </w:r>
      <w:r w:rsidR="00E8128F">
        <w:rPr>
          <w:sz w:val="36"/>
          <w:szCs w:val="36"/>
          <w:rtl/>
        </w:rPr>
        <w:t xml:space="preserve"> </w:t>
      </w:r>
      <w:r w:rsidRPr="00FD211F">
        <w:rPr>
          <w:sz w:val="36"/>
          <w:szCs w:val="36"/>
          <w:rtl/>
        </w:rPr>
        <w:t>المسأل</w:t>
      </w:r>
      <w:r w:rsidR="00EC7EDF" w:rsidRPr="00FD211F">
        <w:rPr>
          <w:sz w:val="36"/>
          <w:szCs w:val="36"/>
          <w:rtl/>
        </w:rPr>
        <w:t>ة</w:t>
      </w:r>
      <w:r w:rsidR="00E8128F">
        <w:rPr>
          <w:sz w:val="36"/>
          <w:szCs w:val="36"/>
          <w:rtl/>
        </w:rPr>
        <w:t xml:space="preserve"> </w:t>
      </w:r>
      <w:r w:rsidRPr="00FD211F">
        <w:rPr>
          <w:sz w:val="36"/>
          <w:szCs w:val="36"/>
          <w:rtl/>
        </w:rPr>
        <w:t>الاصولي</w:t>
      </w:r>
      <w:r w:rsidR="00EC7EDF" w:rsidRPr="00FD211F">
        <w:rPr>
          <w:sz w:val="36"/>
          <w:szCs w:val="36"/>
          <w:rtl/>
        </w:rPr>
        <w:t>ة</w:t>
      </w:r>
      <w:r w:rsidR="00E8128F">
        <w:rPr>
          <w:sz w:val="36"/>
          <w:szCs w:val="36"/>
          <w:rtl/>
        </w:rPr>
        <w:t xml:space="preserve"> </w:t>
      </w:r>
      <w:r w:rsidR="00C560CF" w:rsidRPr="00FD211F">
        <w:rPr>
          <w:sz w:val="36"/>
          <w:szCs w:val="36"/>
          <w:rtl/>
        </w:rPr>
        <w:t>الى</w:t>
      </w:r>
      <w:r w:rsidR="00E8128F">
        <w:rPr>
          <w:sz w:val="36"/>
          <w:szCs w:val="36"/>
          <w:rtl/>
        </w:rPr>
        <w:t xml:space="preserve"> </w:t>
      </w:r>
      <w:r w:rsidR="00C560CF" w:rsidRPr="00FD211F">
        <w:rPr>
          <w:sz w:val="36"/>
          <w:szCs w:val="36"/>
          <w:rtl/>
        </w:rPr>
        <w:t>توسيط</w:t>
      </w:r>
      <w:r w:rsidR="00E8128F">
        <w:rPr>
          <w:sz w:val="36"/>
          <w:szCs w:val="36"/>
          <w:rtl/>
        </w:rPr>
        <w:t xml:space="preserve"> </w:t>
      </w:r>
      <w:r w:rsidR="00C560CF" w:rsidRPr="00FD211F">
        <w:rPr>
          <w:sz w:val="36"/>
          <w:szCs w:val="36"/>
          <w:rtl/>
        </w:rPr>
        <w:t>كبرى</w:t>
      </w:r>
      <w:r w:rsidR="00E8128F">
        <w:rPr>
          <w:sz w:val="36"/>
          <w:szCs w:val="36"/>
          <w:rtl/>
        </w:rPr>
        <w:t xml:space="preserve"> </w:t>
      </w:r>
      <w:r w:rsidR="00C560CF" w:rsidRPr="00FD211F">
        <w:rPr>
          <w:sz w:val="36"/>
          <w:szCs w:val="36"/>
          <w:rtl/>
        </w:rPr>
        <w:t>اصولي</w:t>
      </w:r>
      <w:r w:rsidR="00EC7EDF" w:rsidRPr="00FD211F">
        <w:rPr>
          <w:sz w:val="36"/>
          <w:szCs w:val="36"/>
          <w:rtl/>
        </w:rPr>
        <w:t>ة</w:t>
      </w:r>
      <w:r w:rsidR="00E8128F">
        <w:rPr>
          <w:sz w:val="36"/>
          <w:szCs w:val="36"/>
          <w:rtl/>
        </w:rPr>
        <w:t xml:space="preserve"> </w:t>
      </w:r>
      <w:r w:rsidR="00C560CF" w:rsidRPr="00FD211F">
        <w:rPr>
          <w:sz w:val="36"/>
          <w:szCs w:val="36"/>
          <w:rtl/>
        </w:rPr>
        <w:t>أخرى</w:t>
      </w:r>
      <w:r w:rsidR="00E8128F">
        <w:rPr>
          <w:sz w:val="36"/>
          <w:szCs w:val="36"/>
          <w:rtl/>
        </w:rPr>
        <w:t xml:space="preserve"> </w:t>
      </w:r>
      <w:r w:rsidR="00C560CF" w:rsidRPr="00FD211F">
        <w:rPr>
          <w:sz w:val="36"/>
          <w:szCs w:val="36"/>
          <w:rtl/>
        </w:rPr>
        <w:t>دائما</w:t>
      </w:r>
      <w:r w:rsidR="00603323" w:rsidRPr="00FD211F">
        <w:rPr>
          <w:sz w:val="36"/>
          <w:szCs w:val="36"/>
          <w:rtl/>
        </w:rPr>
        <w:t>،</w:t>
      </w:r>
      <w:r w:rsidR="00E8128F">
        <w:rPr>
          <w:sz w:val="36"/>
          <w:szCs w:val="36"/>
          <w:rtl/>
        </w:rPr>
        <w:t xml:space="preserve"> </w:t>
      </w:r>
      <w:r w:rsidR="00C560CF" w:rsidRPr="00FD211F">
        <w:rPr>
          <w:sz w:val="36"/>
          <w:szCs w:val="36"/>
          <w:rtl/>
        </w:rPr>
        <w:t>فان</w:t>
      </w:r>
      <w:r w:rsidR="00E8128F">
        <w:rPr>
          <w:sz w:val="36"/>
          <w:szCs w:val="36"/>
          <w:rtl/>
        </w:rPr>
        <w:t xml:space="preserve"> </w:t>
      </w:r>
      <w:r w:rsidR="00C560CF" w:rsidRPr="00FD211F">
        <w:rPr>
          <w:sz w:val="36"/>
          <w:szCs w:val="36"/>
          <w:rtl/>
        </w:rPr>
        <w:t>مباحث</w:t>
      </w:r>
      <w:r w:rsidR="00E8128F">
        <w:rPr>
          <w:sz w:val="36"/>
          <w:szCs w:val="36"/>
          <w:rtl/>
        </w:rPr>
        <w:t xml:space="preserve"> </w:t>
      </w:r>
      <w:r w:rsidR="00C560CF" w:rsidRPr="00FD211F">
        <w:rPr>
          <w:sz w:val="36"/>
          <w:szCs w:val="36"/>
          <w:rtl/>
        </w:rPr>
        <w:t>الألفاظ</w:t>
      </w:r>
      <w:r w:rsidR="00E8128F">
        <w:rPr>
          <w:sz w:val="36"/>
          <w:szCs w:val="36"/>
          <w:rtl/>
        </w:rPr>
        <w:t xml:space="preserve"> </w:t>
      </w:r>
      <w:r w:rsidR="00C560CF" w:rsidRPr="00FD211F">
        <w:rPr>
          <w:sz w:val="36"/>
          <w:szCs w:val="36"/>
          <w:rtl/>
        </w:rPr>
        <w:t>التي</w:t>
      </w:r>
      <w:r w:rsidR="00E8128F">
        <w:rPr>
          <w:sz w:val="36"/>
          <w:szCs w:val="36"/>
          <w:rtl/>
        </w:rPr>
        <w:t xml:space="preserve"> </w:t>
      </w:r>
      <w:r w:rsidR="00C560CF" w:rsidRPr="00FD211F">
        <w:rPr>
          <w:sz w:val="36"/>
          <w:szCs w:val="36"/>
          <w:rtl/>
        </w:rPr>
        <w:t>اختار</w:t>
      </w:r>
      <w:r w:rsidR="00E8128F">
        <w:rPr>
          <w:sz w:val="36"/>
          <w:szCs w:val="36"/>
          <w:rtl/>
        </w:rPr>
        <w:t xml:space="preserve"> </w:t>
      </w:r>
      <w:r w:rsidR="00832131" w:rsidRPr="00FD211F">
        <w:rPr>
          <w:sz w:val="36"/>
          <w:szCs w:val="36"/>
          <w:rtl/>
        </w:rPr>
        <w:t>"</w:t>
      </w:r>
      <w:r w:rsidR="00C560CF" w:rsidRPr="00FD211F">
        <w:rPr>
          <w:sz w:val="36"/>
          <w:szCs w:val="36"/>
          <w:rtl/>
        </w:rPr>
        <w:t>قده</w:t>
      </w:r>
      <w:r w:rsidR="00832131" w:rsidRPr="00FD211F">
        <w:rPr>
          <w:sz w:val="36"/>
          <w:szCs w:val="36"/>
          <w:rtl/>
        </w:rPr>
        <w:t>"</w:t>
      </w:r>
      <w:r w:rsidR="00E8128F">
        <w:rPr>
          <w:sz w:val="36"/>
          <w:szCs w:val="36"/>
          <w:rtl/>
        </w:rPr>
        <w:t xml:space="preserve"> </w:t>
      </w:r>
      <w:r w:rsidR="00C560CF" w:rsidRPr="00FD211F">
        <w:rPr>
          <w:sz w:val="36"/>
          <w:szCs w:val="36"/>
          <w:rtl/>
        </w:rPr>
        <w:t>كونها</w:t>
      </w:r>
      <w:r w:rsidR="00E8128F">
        <w:rPr>
          <w:sz w:val="36"/>
          <w:szCs w:val="36"/>
          <w:rtl/>
        </w:rPr>
        <w:t xml:space="preserve"> </w:t>
      </w:r>
      <w:r w:rsidR="00C560CF" w:rsidRPr="00FD211F">
        <w:rPr>
          <w:sz w:val="36"/>
          <w:szCs w:val="36"/>
          <w:rtl/>
        </w:rPr>
        <w:t>من</w:t>
      </w:r>
      <w:r w:rsidR="00E8128F">
        <w:rPr>
          <w:sz w:val="36"/>
          <w:szCs w:val="36"/>
          <w:rtl/>
        </w:rPr>
        <w:t xml:space="preserve"> </w:t>
      </w:r>
      <w:r w:rsidR="00C560CF" w:rsidRPr="00FD211F">
        <w:rPr>
          <w:sz w:val="36"/>
          <w:szCs w:val="36"/>
          <w:rtl/>
        </w:rPr>
        <w:t>علم</w:t>
      </w:r>
      <w:r w:rsidR="00E8128F">
        <w:rPr>
          <w:sz w:val="36"/>
          <w:szCs w:val="36"/>
          <w:rtl/>
        </w:rPr>
        <w:t xml:space="preserve"> </w:t>
      </w:r>
      <w:r w:rsidR="00C560CF" w:rsidRPr="00FD211F">
        <w:rPr>
          <w:sz w:val="36"/>
          <w:szCs w:val="36"/>
          <w:rtl/>
        </w:rPr>
        <w:t>الأصول</w:t>
      </w:r>
      <w:r w:rsidR="00E8128F">
        <w:rPr>
          <w:sz w:val="36"/>
          <w:szCs w:val="36"/>
          <w:rtl/>
        </w:rPr>
        <w:t xml:space="preserve"> </w:t>
      </w:r>
      <w:r w:rsidR="00C560CF" w:rsidRPr="00FD211F">
        <w:rPr>
          <w:sz w:val="36"/>
          <w:szCs w:val="36"/>
          <w:rtl/>
        </w:rPr>
        <w:t>قد</w:t>
      </w:r>
      <w:r w:rsidR="00E8128F">
        <w:rPr>
          <w:sz w:val="36"/>
          <w:szCs w:val="36"/>
          <w:rtl/>
        </w:rPr>
        <w:t xml:space="preserve"> </w:t>
      </w:r>
      <w:r w:rsidR="00C560CF" w:rsidRPr="00FD211F">
        <w:rPr>
          <w:sz w:val="36"/>
          <w:szCs w:val="36"/>
          <w:rtl/>
        </w:rPr>
        <w:t>يراد</w:t>
      </w:r>
      <w:r w:rsidR="00E8128F">
        <w:rPr>
          <w:sz w:val="36"/>
          <w:szCs w:val="36"/>
          <w:rtl/>
        </w:rPr>
        <w:t xml:space="preserve"> </w:t>
      </w:r>
      <w:r w:rsidR="00C560CF" w:rsidRPr="00FD211F">
        <w:rPr>
          <w:sz w:val="36"/>
          <w:szCs w:val="36"/>
          <w:rtl/>
        </w:rPr>
        <w:t>استنباط</w:t>
      </w:r>
      <w:r w:rsidR="00E8128F">
        <w:rPr>
          <w:sz w:val="36"/>
          <w:szCs w:val="36"/>
          <w:rtl/>
        </w:rPr>
        <w:t xml:space="preserve"> </w:t>
      </w:r>
      <w:r w:rsidR="00C560CF" w:rsidRPr="00FD211F">
        <w:rPr>
          <w:sz w:val="36"/>
          <w:szCs w:val="36"/>
          <w:rtl/>
        </w:rPr>
        <w:t>الحكم</w:t>
      </w:r>
      <w:r w:rsidR="00E8128F">
        <w:rPr>
          <w:sz w:val="36"/>
          <w:szCs w:val="36"/>
          <w:rtl/>
        </w:rPr>
        <w:t xml:space="preserve"> </w:t>
      </w:r>
      <w:r w:rsidR="00C560CF" w:rsidRPr="00FD211F">
        <w:rPr>
          <w:sz w:val="36"/>
          <w:szCs w:val="36"/>
          <w:rtl/>
        </w:rPr>
        <w:t>الشرعي</w:t>
      </w:r>
      <w:r w:rsidR="00E8128F">
        <w:rPr>
          <w:sz w:val="36"/>
          <w:szCs w:val="36"/>
          <w:rtl/>
        </w:rPr>
        <w:t xml:space="preserve"> </w:t>
      </w:r>
      <w:r w:rsidR="00C560CF" w:rsidRPr="00FD211F">
        <w:rPr>
          <w:sz w:val="36"/>
          <w:szCs w:val="36"/>
          <w:rtl/>
        </w:rPr>
        <w:t>منها</w:t>
      </w:r>
      <w:r w:rsidR="00E8128F">
        <w:rPr>
          <w:sz w:val="36"/>
          <w:szCs w:val="36"/>
          <w:rtl/>
        </w:rPr>
        <w:t xml:space="preserve"> </w:t>
      </w:r>
      <w:r w:rsidR="00C560CF" w:rsidRPr="00FD211F">
        <w:rPr>
          <w:sz w:val="36"/>
          <w:szCs w:val="36"/>
          <w:rtl/>
        </w:rPr>
        <w:t>في</w:t>
      </w:r>
      <w:r w:rsidR="00E8128F">
        <w:rPr>
          <w:sz w:val="36"/>
          <w:szCs w:val="36"/>
          <w:rtl/>
        </w:rPr>
        <w:t xml:space="preserve"> </w:t>
      </w:r>
      <w:r w:rsidR="00C560CF" w:rsidRPr="00FD211F">
        <w:rPr>
          <w:sz w:val="36"/>
          <w:szCs w:val="36"/>
          <w:rtl/>
        </w:rPr>
        <w:t>فرض</w:t>
      </w:r>
      <w:r w:rsidR="00E8128F">
        <w:rPr>
          <w:sz w:val="36"/>
          <w:szCs w:val="36"/>
          <w:rtl/>
        </w:rPr>
        <w:t xml:space="preserve"> </w:t>
      </w:r>
      <w:r w:rsidR="00C560CF" w:rsidRPr="00FD211F">
        <w:rPr>
          <w:sz w:val="36"/>
          <w:szCs w:val="36"/>
          <w:rtl/>
        </w:rPr>
        <w:t>كون</w:t>
      </w:r>
      <w:r w:rsidR="00E8128F">
        <w:rPr>
          <w:sz w:val="36"/>
          <w:szCs w:val="36"/>
          <w:rtl/>
        </w:rPr>
        <w:t xml:space="preserve"> </w:t>
      </w:r>
      <w:r w:rsidR="00C560CF" w:rsidRPr="00FD211F">
        <w:rPr>
          <w:sz w:val="36"/>
          <w:szCs w:val="36"/>
          <w:rtl/>
        </w:rPr>
        <w:t>الظهور</w:t>
      </w:r>
      <w:r w:rsidR="00E8128F">
        <w:rPr>
          <w:sz w:val="36"/>
          <w:szCs w:val="36"/>
          <w:rtl/>
        </w:rPr>
        <w:t xml:space="preserve"> </w:t>
      </w:r>
      <w:r w:rsidR="00DD0CAC" w:rsidRPr="00FD211F">
        <w:rPr>
          <w:sz w:val="36"/>
          <w:szCs w:val="36"/>
          <w:rtl/>
        </w:rPr>
        <w:t>مبتلى</w:t>
      </w:r>
      <w:r w:rsidR="00E8128F">
        <w:rPr>
          <w:sz w:val="36"/>
          <w:szCs w:val="36"/>
          <w:rtl/>
        </w:rPr>
        <w:t xml:space="preserve"> </w:t>
      </w:r>
      <w:r w:rsidR="00DD0CAC" w:rsidRPr="00FD211F">
        <w:rPr>
          <w:sz w:val="36"/>
          <w:szCs w:val="36"/>
          <w:rtl/>
        </w:rPr>
        <w:t>بالظن</w:t>
      </w:r>
      <w:r w:rsidR="00E8128F">
        <w:rPr>
          <w:sz w:val="36"/>
          <w:szCs w:val="36"/>
          <w:rtl/>
        </w:rPr>
        <w:t xml:space="preserve"> </w:t>
      </w:r>
      <w:r w:rsidR="00DD0CAC" w:rsidRPr="00FD211F">
        <w:rPr>
          <w:sz w:val="36"/>
          <w:szCs w:val="36"/>
          <w:rtl/>
        </w:rPr>
        <w:t>بالخلاف</w:t>
      </w:r>
      <w:r w:rsidR="00E8128F">
        <w:rPr>
          <w:sz w:val="36"/>
          <w:szCs w:val="36"/>
          <w:rtl/>
        </w:rPr>
        <w:t xml:space="preserve"> </w:t>
      </w:r>
      <w:r w:rsidR="00DD0CAC" w:rsidRPr="00FD211F">
        <w:rPr>
          <w:sz w:val="36"/>
          <w:szCs w:val="36"/>
          <w:rtl/>
        </w:rPr>
        <w:t>او</w:t>
      </w:r>
      <w:r w:rsidR="00E8128F">
        <w:rPr>
          <w:sz w:val="36"/>
          <w:szCs w:val="36"/>
          <w:rtl/>
        </w:rPr>
        <w:t xml:space="preserve"> </w:t>
      </w:r>
      <w:r w:rsidR="00DD0CAC" w:rsidRPr="00FD211F">
        <w:rPr>
          <w:sz w:val="36"/>
          <w:szCs w:val="36"/>
          <w:rtl/>
        </w:rPr>
        <w:t>بعدم</w:t>
      </w:r>
      <w:r w:rsidR="00E8128F">
        <w:rPr>
          <w:sz w:val="36"/>
          <w:szCs w:val="36"/>
          <w:rtl/>
        </w:rPr>
        <w:t xml:space="preserve"> </w:t>
      </w:r>
      <w:r w:rsidR="00DD0CAC" w:rsidRPr="00FD211F">
        <w:rPr>
          <w:sz w:val="36"/>
          <w:szCs w:val="36"/>
          <w:rtl/>
        </w:rPr>
        <w:t>الظن</w:t>
      </w:r>
      <w:r w:rsidR="00E8128F">
        <w:rPr>
          <w:sz w:val="36"/>
          <w:szCs w:val="36"/>
          <w:rtl/>
        </w:rPr>
        <w:t xml:space="preserve"> </w:t>
      </w:r>
      <w:r w:rsidR="0029219F" w:rsidRPr="00FD211F">
        <w:rPr>
          <w:sz w:val="36"/>
          <w:szCs w:val="36"/>
          <w:rtl/>
        </w:rPr>
        <w:t>بالوفاق</w:t>
      </w:r>
      <w:r w:rsidR="00603323" w:rsidRPr="00FD211F">
        <w:rPr>
          <w:sz w:val="36"/>
          <w:szCs w:val="36"/>
          <w:rtl/>
        </w:rPr>
        <w:t>،</w:t>
      </w:r>
      <w:r w:rsidR="00E8128F">
        <w:rPr>
          <w:sz w:val="36"/>
          <w:szCs w:val="36"/>
          <w:rtl/>
        </w:rPr>
        <w:t xml:space="preserve"> </w:t>
      </w:r>
      <w:r w:rsidR="00DD0CAC" w:rsidRPr="00FD211F">
        <w:rPr>
          <w:sz w:val="36"/>
          <w:szCs w:val="36"/>
          <w:rtl/>
        </w:rPr>
        <w:t>وليس</w:t>
      </w:r>
      <w:r w:rsidR="001A5E03" w:rsidRPr="00FD211F">
        <w:rPr>
          <w:sz w:val="36"/>
          <w:szCs w:val="36"/>
          <w:rtl/>
        </w:rPr>
        <w:t>ت</w:t>
      </w:r>
      <w:r w:rsidR="00E8128F">
        <w:rPr>
          <w:sz w:val="36"/>
          <w:szCs w:val="36"/>
          <w:rtl/>
        </w:rPr>
        <w:t xml:space="preserve"> </w:t>
      </w:r>
      <w:r w:rsidR="00DD0CAC" w:rsidRPr="00FD211F">
        <w:rPr>
          <w:sz w:val="36"/>
          <w:szCs w:val="36"/>
          <w:rtl/>
        </w:rPr>
        <w:t>حجي</w:t>
      </w:r>
      <w:r w:rsidR="00EC7EDF" w:rsidRPr="00FD211F">
        <w:rPr>
          <w:sz w:val="36"/>
          <w:szCs w:val="36"/>
          <w:rtl/>
        </w:rPr>
        <w:t>ة</w:t>
      </w:r>
      <w:r w:rsidR="00E8128F">
        <w:rPr>
          <w:sz w:val="36"/>
          <w:szCs w:val="36"/>
          <w:rtl/>
        </w:rPr>
        <w:t xml:space="preserve"> </w:t>
      </w:r>
      <w:r w:rsidR="00DD0CAC" w:rsidRPr="00FD211F">
        <w:rPr>
          <w:sz w:val="36"/>
          <w:szCs w:val="36"/>
          <w:rtl/>
        </w:rPr>
        <w:t>الظهور</w:t>
      </w:r>
      <w:r w:rsidR="00E8128F">
        <w:rPr>
          <w:sz w:val="36"/>
          <w:szCs w:val="36"/>
          <w:rtl/>
        </w:rPr>
        <w:t xml:space="preserve"> </w:t>
      </w:r>
      <w:r w:rsidR="00DD0CAC" w:rsidRPr="00FD211F">
        <w:rPr>
          <w:sz w:val="36"/>
          <w:szCs w:val="36"/>
          <w:rtl/>
        </w:rPr>
        <w:t>في</w:t>
      </w:r>
      <w:r w:rsidR="00E8128F">
        <w:rPr>
          <w:sz w:val="36"/>
          <w:szCs w:val="36"/>
          <w:rtl/>
        </w:rPr>
        <w:t xml:space="preserve"> </w:t>
      </w:r>
      <w:r w:rsidR="00DD0CAC" w:rsidRPr="00FD211F">
        <w:rPr>
          <w:sz w:val="36"/>
          <w:szCs w:val="36"/>
          <w:rtl/>
        </w:rPr>
        <w:t>هذين</w:t>
      </w:r>
      <w:r w:rsidR="00E8128F">
        <w:rPr>
          <w:sz w:val="36"/>
          <w:szCs w:val="36"/>
          <w:rtl/>
        </w:rPr>
        <w:t xml:space="preserve"> </w:t>
      </w:r>
      <w:r w:rsidR="00DD0CAC" w:rsidRPr="00FD211F">
        <w:rPr>
          <w:sz w:val="36"/>
          <w:szCs w:val="36"/>
          <w:rtl/>
        </w:rPr>
        <w:t>الفرضين</w:t>
      </w:r>
      <w:r w:rsidR="00E8128F">
        <w:rPr>
          <w:sz w:val="36"/>
          <w:szCs w:val="36"/>
          <w:rtl/>
        </w:rPr>
        <w:t xml:space="preserve"> </w:t>
      </w:r>
      <w:r w:rsidR="00DD0CAC" w:rsidRPr="00FD211F">
        <w:rPr>
          <w:sz w:val="36"/>
          <w:szCs w:val="36"/>
          <w:rtl/>
        </w:rPr>
        <w:t>بديهي</w:t>
      </w:r>
      <w:r w:rsidR="00EC7EDF" w:rsidRPr="00FD211F">
        <w:rPr>
          <w:sz w:val="36"/>
          <w:szCs w:val="36"/>
          <w:rtl/>
        </w:rPr>
        <w:t>ة</w:t>
      </w:r>
      <w:r w:rsidR="00E8128F">
        <w:rPr>
          <w:sz w:val="36"/>
          <w:szCs w:val="36"/>
          <w:rtl/>
        </w:rPr>
        <w:t xml:space="preserve"> </w:t>
      </w:r>
      <w:r w:rsidR="00DD0CAC" w:rsidRPr="00FD211F">
        <w:rPr>
          <w:sz w:val="36"/>
          <w:szCs w:val="36"/>
          <w:rtl/>
        </w:rPr>
        <w:t>بعد</w:t>
      </w:r>
      <w:r w:rsidR="00E8128F">
        <w:rPr>
          <w:sz w:val="36"/>
          <w:szCs w:val="36"/>
          <w:rtl/>
        </w:rPr>
        <w:t xml:space="preserve"> </w:t>
      </w:r>
      <w:r w:rsidR="00DD0CAC" w:rsidRPr="00FD211F">
        <w:rPr>
          <w:sz w:val="36"/>
          <w:szCs w:val="36"/>
          <w:rtl/>
        </w:rPr>
        <w:t>وقوع</w:t>
      </w:r>
      <w:r w:rsidR="00E8128F">
        <w:rPr>
          <w:sz w:val="36"/>
          <w:szCs w:val="36"/>
          <w:rtl/>
        </w:rPr>
        <w:t xml:space="preserve"> </w:t>
      </w:r>
      <w:r w:rsidR="00DD0CAC" w:rsidRPr="00FD211F">
        <w:rPr>
          <w:sz w:val="36"/>
          <w:szCs w:val="36"/>
          <w:rtl/>
        </w:rPr>
        <w:t>الخلاف</w:t>
      </w:r>
      <w:r w:rsidR="00E8128F">
        <w:rPr>
          <w:sz w:val="36"/>
          <w:szCs w:val="36"/>
          <w:rtl/>
        </w:rPr>
        <w:t xml:space="preserve"> </w:t>
      </w:r>
      <w:r w:rsidR="00DD0CAC" w:rsidRPr="00FD211F">
        <w:rPr>
          <w:sz w:val="36"/>
          <w:szCs w:val="36"/>
          <w:rtl/>
        </w:rPr>
        <w:t>فيها</w:t>
      </w:r>
      <w:r w:rsidR="00E8128F">
        <w:rPr>
          <w:sz w:val="36"/>
          <w:szCs w:val="36"/>
          <w:rtl/>
        </w:rPr>
        <w:t xml:space="preserve"> </w:t>
      </w:r>
      <w:r w:rsidR="00DD0CAC" w:rsidRPr="00FD211F">
        <w:rPr>
          <w:sz w:val="36"/>
          <w:szCs w:val="36"/>
          <w:rtl/>
        </w:rPr>
        <w:t>بين</w:t>
      </w:r>
      <w:r w:rsidR="00E8128F">
        <w:rPr>
          <w:sz w:val="36"/>
          <w:szCs w:val="36"/>
          <w:rtl/>
        </w:rPr>
        <w:t xml:space="preserve"> </w:t>
      </w:r>
      <w:r w:rsidR="00DD0CAC" w:rsidRPr="00FD211F">
        <w:rPr>
          <w:sz w:val="36"/>
          <w:szCs w:val="36"/>
          <w:rtl/>
        </w:rPr>
        <w:t>الأعلام</w:t>
      </w:r>
      <w:r w:rsidR="00603323" w:rsidRPr="00FD211F">
        <w:rPr>
          <w:sz w:val="36"/>
          <w:szCs w:val="36"/>
          <w:rtl/>
        </w:rPr>
        <w:t>،</w:t>
      </w:r>
      <w:r w:rsidR="00E8128F">
        <w:rPr>
          <w:sz w:val="36"/>
          <w:szCs w:val="36"/>
          <w:rtl/>
        </w:rPr>
        <w:t xml:space="preserve"> </w:t>
      </w:r>
      <w:r w:rsidR="00DD0CAC" w:rsidRPr="00FD211F">
        <w:rPr>
          <w:sz w:val="36"/>
          <w:szCs w:val="36"/>
          <w:rtl/>
        </w:rPr>
        <w:t>ولكن</w:t>
      </w:r>
      <w:r w:rsidR="00E8128F">
        <w:rPr>
          <w:sz w:val="36"/>
          <w:szCs w:val="36"/>
          <w:rtl/>
        </w:rPr>
        <w:t xml:space="preserve"> </w:t>
      </w:r>
      <w:r w:rsidR="00DD0CAC" w:rsidRPr="00FD211F">
        <w:rPr>
          <w:sz w:val="36"/>
          <w:szCs w:val="36"/>
          <w:rtl/>
        </w:rPr>
        <w:t>لايعني</w:t>
      </w:r>
      <w:r w:rsidR="00E8128F">
        <w:rPr>
          <w:sz w:val="36"/>
          <w:szCs w:val="36"/>
          <w:rtl/>
        </w:rPr>
        <w:t xml:space="preserve"> </w:t>
      </w:r>
      <w:r w:rsidR="00DD0CAC" w:rsidRPr="00FD211F">
        <w:rPr>
          <w:sz w:val="36"/>
          <w:szCs w:val="36"/>
          <w:rtl/>
        </w:rPr>
        <w:t>ذلك</w:t>
      </w:r>
      <w:r w:rsidR="00E8128F">
        <w:rPr>
          <w:sz w:val="36"/>
          <w:szCs w:val="36"/>
          <w:rtl/>
        </w:rPr>
        <w:t xml:space="preserve"> </w:t>
      </w:r>
      <w:r w:rsidR="00DD0CAC" w:rsidRPr="00FD211F">
        <w:rPr>
          <w:sz w:val="36"/>
          <w:szCs w:val="36"/>
          <w:rtl/>
        </w:rPr>
        <w:t>كفاي</w:t>
      </w:r>
      <w:r w:rsidR="00EC7EDF" w:rsidRPr="00FD211F">
        <w:rPr>
          <w:sz w:val="36"/>
          <w:szCs w:val="36"/>
          <w:rtl/>
        </w:rPr>
        <w:t>ة</w:t>
      </w:r>
      <w:r w:rsidR="00E8128F">
        <w:rPr>
          <w:sz w:val="36"/>
          <w:szCs w:val="36"/>
          <w:rtl/>
        </w:rPr>
        <w:t xml:space="preserve"> </w:t>
      </w:r>
      <w:r w:rsidR="00DD0CAC" w:rsidRPr="00FD211F">
        <w:rPr>
          <w:sz w:val="36"/>
          <w:szCs w:val="36"/>
          <w:rtl/>
        </w:rPr>
        <w:t>عدم</w:t>
      </w:r>
      <w:r w:rsidR="00E8128F">
        <w:rPr>
          <w:sz w:val="36"/>
          <w:szCs w:val="36"/>
          <w:rtl/>
        </w:rPr>
        <w:t xml:space="preserve"> </w:t>
      </w:r>
      <w:r w:rsidR="00DD0CAC" w:rsidRPr="00FD211F">
        <w:rPr>
          <w:sz w:val="36"/>
          <w:szCs w:val="36"/>
          <w:rtl/>
        </w:rPr>
        <w:t>الحاج</w:t>
      </w:r>
      <w:r w:rsidR="00EC7EDF" w:rsidRPr="00FD211F">
        <w:rPr>
          <w:sz w:val="36"/>
          <w:szCs w:val="36"/>
          <w:rtl/>
        </w:rPr>
        <w:t>ة</w:t>
      </w:r>
      <w:r w:rsidR="00E8128F">
        <w:rPr>
          <w:sz w:val="36"/>
          <w:szCs w:val="36"/>
          <w:rtl/>
        </w:rPr>
        <w:t xml:space="preserve"> </w:t>
      </w:r>
      <w:r w:rsidR="00DD0CAC" w:rsidRPr="00FD211F">
        <w:rPr>
          <w:sz w:val="36"/>
          <w:szCs w:val="36"/>
          <w:rtl/>
        </w:rPr>
        <w:t>الى</w:t>
      </w:r>
      <w:r w:rsidR="00E8128F">
        <w:rPr>
          <w:sz w:val="36"/>
          <w:szCs w:val="36"/>
          <w:rtl/>
        </w:rPr>
        <w:t xml:space="preserve"> </w:t>
      </w:r>
      <w:r w:rsidR="00DD0CAC" w:rsidRPr="00FD211F">
        <w:rPr>
          <w:sz w:val="36"/>
          <w:szCs w:val="36"/>
          <w:rtl/>
        </w:rPr>
        <w:t>توسيط</w:t>
      </w:r>
      <w:r w:rsidR="00E8128F">
        <w:rPr>
          <w:sz w:val="36"/>
          <w:szCs w:val="36"/>
          <w:rtl/>
        </w:rPr>
        <w:t xml:space="preserve"> </w:t>
      </w:r>
      <w:r w:rsidR="00DD0CAC" w:rsidRPr="00FD211F">
        <w:rPr>
          <w:sz w:val="36"/>
          <w:szCs w:val="36"/>
          <w:rtl/>
        </w:rPr>
        <w:t>كبرى</w:t>
      </w:r>
      <w:r w:rsidR="00E8128F">
        <w:rPr>
          <w:sz w:val="36"/>
          <w:szCs w:val="36"/>
          <w:rtl/>
        </w:rPr>
        <w:t xml:space="preserve"> </w:t>
      </w:r>
      <w:r w:rsidR="00DD0CAC" w:rsidRPr="00FD211F">
        <w:rPr>
          <w:sz w:val="36"/>
          <w:szCs w:val="36"/>
          <w:rtl/>
        </w:rPr>
        <w:t>اصولي</w:t>
      </w:r>
      <w:r w:rsidR="00EC7EDF" w:rsidRPr="00FD211F">
        <w:rPr>
          <w:sz w:val="36"/>
          <w:szCs w:val="36"/>
          <w:rtl/>
        </w:rPr>
        <w:t>ة</w:t>
      </w:r>
      <w:r w:rsidR="00E8128F">
        <w:rPr>
          <w:sz w:val="36"/>
          <w:szCs w:val="36"/>
          <w:rtl/>
        </w:rPr>
        <w:t xml:space="preserve"> </w:t>
      </w:r>
      <w:r w:rsidR="00DD0CAC" w:rsidRPr="00FD211F">
        <w:rPr>
          <w:sz w:val="36"/>
          <w:szCs w:val="36"/>
          <w:rtl/>
        </w:rPr>
        <w:t>اخرى</w:t>
      </w:r>
      <w:r w:rsidR="00E8128F">
        <w:rPr>
          <w:sz w:val="36"/>
          <w:szCs w:val="36"/>
          <w:rtl/>
        </w:rPr>
        <w:t xml:space="preserve"> </w:t>
      </w:r>
      <w:r w:rsidR="00DD0CAC" w:rsidRPr="00FD211F">
        <w:rPr>
          <w:sz w:val="36"/>
          <w:szCs w:val="36"/>
          <w:rtl/>
        </w:rPr>
        <w:t>بشكل</w:t>
      </w:r>
      <w:r w:rsidR="00E8128F">
        <w:rPr>
          <w:sz w:val="36"/>
          <w:szCs w:val="36"/>
          <w:rtl/>
        </w:rPr>
        <w:t xml:space="preserve"> </w:t>
      </w:r>
      <w:r w:rsidR="00DD0CAC" w:rsidRPr="00FD211F">
        <w:rPr>
          <w:sz w:val="36"/>
          <w:szCs w:val="36"/>
          <w:rtl/>
        </w:rPr>
        <w:t>نادر</w:t>
      </w:r>
      <w:r w:rsidR="00603323" w:rsidRPr="00FD211F">
        <w:rPr>
          <w:sz w:val="36"/>
          <w:szCs w:val="36"/>
          <w:rtl/>
        </w:rPr>
        <w:t>،</w:t>
      </w:r>
      <w:r w:rsidR="00E8128F">
        <w:rPr>
          <w:sz w:val="36"/>
          <w:szCs w:val="36"/>
          <w:rtl/>
        </w:rPr>
        <w:t xml:space="preserve"> </w:t>
      </w:r>
      <w:r w:rsidR="00DD0CAC" w:rsidRPr="00FD211F">
        <w:rPr>
          <w:sz w:val="36"/>
          <w:szCs w:val="36"/>
          <w:rtl/>
        </w:rPr>
        <w:t>بل</w:t>
      </w:r>
      <w:r w:rsidR="00E8128F">
        <w:rPr>
          <w:sz w:val="36"/>
          <w:szCs w:val="36"/>
          <w:rtl/>
        </w:rPr>
        <w:t xml:space="preserve"> </w:t>
      </w:r>
      <w:r w:rsidR="00DD0CAC" w:rsidRPr="00FD211F">
        <w:rPr>
          <w:sz w:val="36"/>
          <w:szCs w:val="36"/>
          <w:rtl/>
        </w:rPr>
        <w:t>لعل</w:t>
      </w:r>
      <w:r w:rsidR="00E8128F">
        <w:rPr>
          <w:sz w:val="36"/>
          <w:szCs w:val="36"/>
          <w:rtl/>
        </w:rPr>
        <w:t xml:space="preserve"> </w:t>
      </w:r>
      <w:r w:rsidR="00DD0CAC" w:rsidRPr="00FD211F">
        <w:rPr>
          <w:sz w:val="36"/>
          <w:szCs w:val="36"/>
          <w:rtl/>
        </w:rPr>
        <w:t>مقصوده</w:t>
      </w:r>
      <w:r w:rsidR="00E8128F">
        <w:rPr>
          <w:sz w:val="36"/>
          <w:szCs w:val="36"/>
          <w:rtl/>
        </w:rPr>
        <w:t xml:space="preserve"> </w:t>
      </w:r>
      <w:r w:rsidR="00DD0CAC" w:rsidRPr="00FD211F">
        <w:rPr>
          <w:sz w:val="36"/>
          <w:szCs w:val="36"/>
          <w:rtl/>
        </w:rPr>
        <w:t>هو</w:t>
      </w:r>
      <w:r w:rsidR="00E8128F">
        <w:rPr>
          <w:sz w:val="36"/>
          <w:szCs w:val="36"/>
          <w:rtl/>
        </w:rPr>
        <w:t xml:space="preserve"> </w:t>
      </w:r>
      <w:r w:rsidR="00DD0CAC" w:rsidRPr="00FD211F">
        <w:rPr>
          <w:sz w:val="36"/>
          <w:szCs w:val="36"/>
          <w:rtl/>
        </w:rPr>
        <w:t>عدم</w:t>
      </w:r>
      <w:r w:rsidR="00E8128F">
        <w:rPr>
          <w:sz w:val="36"/>
          <w:szCs w:val="36"/>
          <w:rtl/>
        </w:rPr>
        <w:t xml:space="preserve"> </w:t>
      </w:r>
      <w:r w:rsidR="00DD0CAC" w:rsidRPr="00FD211F">
        <w:rPr>
          <w:sz w:val="36"/>
          <w:szCs w:val="36"/>
          <w:rtl/>
        </w:rPr>
        <w:t>الحاج</w:t>
      </w:r>
      <w:r w:rsidR="00EC7EDF" w:rsidRPr="00FD211F">
        <w:rPr>
          <w:sz w:val="36"/>
          <w:szCs w:val="36"/>
          <w:rtl/>
        </w:rPr>
        <w:t>ة</w:t>
      </w:r>
      <w:r w:rsidR="00E8128F">
        <w:rPr>
          <w:sz w:val="36"/>
          <w:szCs w:val="36"/>
          <w:rtl/>
        </w:rPr>
        <w:t xml:space="preserve"> </w:t>
      </w:r>
      <w:r w:rsidR="00DD0CAC" w:rsidRPr="00FD211F">
        <w:rPr>
          <w:sz w:val="36"/>
          <w:szCs w:val="36"/>
          <w:rtl/>
        </w:rPr>
        <w:t>في</w:t>
      </w:r>
      <w:r w:rsidR="00E8128F">
        <w:rPr>
          <w:sz w:val="36"/>
          <w:szCs w:val="36"/>
          <w:rtl/>
        </w:rPr>
        <w:t xml:space="preserve"> </w:t>
      </w:r>
      <w:r w:rsidR="00DD0CAC" w:rsidRPr="00FD211F">
        <w:rPr>
          <w:sz w:val="36"/>
          <w:szCs w:val="36"/>
          <w:rtl/>
        </w:rPr>
        <w:t>استنباط</w:t>
      </w:r>
      <w:r w:rsidR="00E8128F">
        <w:rPr>
          <w:sz w:val="36"/>
          <w:szCs w:val="36"/>
          <w:rtl/>
        </w:rPr>
        <w:t xml:space="preserve"> </w:t>
      </w:r>
      <w:r w:rsidR="00DD0CAC" w:rsidRPr="00FD211F">
        <w:rPr>
          <w:sz w:val="36"/>
          <w:szCs w:val="36"/>
          <w:rtl/>
        </w:rPr>
        <w:t>الحكم</w:t>
      </w:r>
      <w:r w:rsidR="00E8128F">
        <w:rPr>
          <w:sz w:val="36"/>
          <w:szCs w:val="36"/>
          <w:rtl/>
        </w:rPr>
        <w:t xml:space="preserve"> </w:t>
      </w:r>
      <w:r w:rsidR="00DD0CAC" w:rsidRPr="00FD211F">
        <w:rPr>
          <w:sz w:val="36"/>
          <w:szCs w:val="36"/>
          <w:rtl/>
        </w:rPr>
        <w:t>الشرعي</w:t>
      </w:r>
      <w:r w:rsidR="00E8128F">
        <w:rPr>
          <w:sz w:val="36"/>
          <w:szCs w:val="36"/>
          <w:rtl/>
        </w:rPr>
        <w:t xml:space="preserve"> </w:t>
      </w:r>
      <w:r w:rsidR="00F64C93" w:rsidRPr="00FD211F">
        <w:rPr>
          <w:sz w:val="36"/>
          <w:szCs w:val="36"/>
          <w:rtl/>
        </w:rPr>
        <w:t>من</w:t>
      </w:r>
      <w:r w:rsidR="00E8128F">
        <w:rPr>
          <w:sz w:val="36"/>
          <w:szCs w:val="36"/>
          <w:rtl/>
        </w:rPr>
        <w:t xml:space="preserve"> </w:t>
      </w:r>
      <w:r w:rsidR="00F64C93" w:rsidRPr="00FD211F">
        <w:rPr>
          <w:sz w:val="36"/>
          <w:szCs w:val="36"/>
          <w:rtl/>
        </w:rPr>
        <w:t>هذه</w:t>
      </w:r>
      <w:r w:rsidR="00E8128F">
        <w:rPr>
          <w:sz w:val="36"/>
          <w:szCs w:val="36"/>
          <w:rtl/>
        </w:rPr>
        <w:t xml:space="preserve"> </w:t>
      </w:r>
      <w:r w:rsidR="00DD0CAC" w:rsidRPr="00FD211F">
        <w:rPr>
          <w:sz w:val="36"/>
          <w:szCs w:val="36"/>
          <w:rtl/>
        </w:rPr>
        <w:t>المسأل</w:t>
      </w:r>
      <w:r w:rsidR="00EC7EDF" w:rsidRPr="00FD211F">
        <w:rPr>
          <w:sz w:val="36"/>
          <w:szCs w:val="36"/>
          <w:rtl/>
        </w:rPr>
        <w:t>ة</w:t>
      </w:r>
      <w:r w:rsidR="00E8128F">
        <w:rPr>
          <w:sz w:val="36"/>
          <w:szCs w:val="36"/>
          <w:rtl/>
        </w:rPr>
        <w:t xml:space="preserve"> </w:t>
      </w:r>
      <w:r w:rsidR="00DD0CAC" w:rsidRPr="00FD211F">
        <w:rPr>
          <w:sz w:val="36"/>
          <w:szCs w:val="36"/>
          <w:rtl/>
        </w:rPr>
        <w:t>الاصولي</w:t>
      </w:r>
      <w:r w:rsidR="00EC7EDF" w:rsidRPr="00FD211F">
        <w:rPr>
          <w:sz w:val="36"/>
          <w:szCs w:val="36"/>
          <w:rtl/>
        </w:rPr>
        <w:t>ة</w:t>
      </w:r>
      <w:r w:rsidR="00E8128F">
        <w:rPr>
          <w:sz w:val="36"/>
          <w:szCs w:val="36"/>
          <w:rtl/>
        </w:rPr>
        <w:t xml:space="preserve"> </w:t>
      </w:r>
      <w:r w:rsidR="00DD0CAC" w:rsidRPr="00FD211F">
        <w:rPr>
          <w:sz w:val="36"/>
          <w:szCs w:val="36"/>
          <w:rtl/>
        </w:rPr>
        <w:t>الى</w:t>
      </w:r>
      <w:r w:rsidR="00E8128F">
        <w:rPr>
          <w:sz w:val="36"/>
          <w:szCs w:val="36"/>
          <w:rtl/>
        </w:rPr>
        <w:t xml:space="preserve"> </w:t>
      </w:r>
      <w:r w:rsidR="00927E76" w:rsidRPr="00FD211F">
        <w:rPr>
          <w:sz w:val="36"/>
          <w:szCs w:val="36"/>
          <w:rtl/>
        </w:rPr>
        <w:t>توسيط</w:t>
      </w:r>
      <w:r w:rsidR="00E8128F">
        <w:rPr>
          <w:sz w:val="36"/>
          <w:szCs w:val="36"/>
          <w:rtl/>
        </w:rPr>
        <w:t xml:space="preserve"> </w:t>
      </w:r>
      <w:r w:rsidR="00927E76" w:rsidRPr="00FD211F">
        <w:rPr>
          <w:sz w:val="36"/>
          <w:szCs w:val="36"/>
          <w:rtl/>
        </w:rPr>
        <w:t>مسأل</w:t>
      </w:r>
      <w:r w:rsidR="00EC7EDF" w:rsidRPr="00FD211F">
        <w:rPr>
          <w:sz w:val="36"/>
          <w:szCs w:val="36"/>
          <w:rtl/>
        </w:rPr>
        <w:t>ة</w:t>
      </w:r>
      <w:r w:rsidR="00E8128F">
        <w:rPr>
          <w:sz w:val="36"/>
          <w:szCs w:val="36"/>
          <w:rtl/>
        </w:rPr>
        <w:t xml:space="preserve"> </w:t>
      </w:r>
      <w:r w:rsidR="00927E76" w:rsidRPr="00FD211F">
        <w:rPr>
          <w:sz w:val="36"/>
          <w:szCs w:val="36"/>
          <w:rtl/>
        </w:rPr>
        <w:t>اصولي</w:t>
      </w:r>
      <w:r w:rsidR="00EC7EDF" w:rsidRPr="00FD211F">
        <w:rPr>
          <w:sz w:val="36"/>
          <w:szCs w:val="36"/>
          <w:rtl/>
        </w:rPr>
        <w:t>ة</w:t>
      </w:r>
      <w:r w:rsidR="00E8128F">
        <w:rPr>
          <w:sz w:val="36"/>
          <w:szCs w:val="36"/>
          <w:rtl/>
        </w:rPr>
        <w:t xml:space="preserve"> </w:t>
      </w:r>
      <w:r w:rsidR="00927E76" w:rsidRPr="00FD211F">
        <w:rPr>
          <w:sz w:val="36"/>
          <w:szCs w:val="36"/>
          <w:rtl/>
        </w:rPr>
        <w:t>أخرى</w:t>
      </w:r>
      <w:r w:rsidR="00E8128F">
        <w:rPr>
          <w:sz w:val="36"/>
          <w:szCs w:val="36"/>
          <w:rtl/>
        </w:rPr>
        <w:t xml:space="preserve"> </w:t>
      </w:r>
      <w:r w:rsidR="00DD0CAC" w:rsidRPr="00FD211F">
        <w:rPr>
          <w:sz w:val="36"/>
          <w:szCs w:val="36"/>
          <w:rtl/>
        </w:rPr>
        <w:t>في</w:t>
      </w:r>
      <w:r w:rsidR="00E8128F">
        <w:rPr>
          <w:sz w:val="36"/>
          <w:szCs w:val="36"/>
          <w:rtl/>
        </w:rPr>
        <w:t xml:space="preserve"> </w:t>
      </w:r>
      <w:r w:rsidR="00F64C93" w:rsidRPr="00FD211F">
        <w:rPr>
          <w:sz w:val="36"/>
          <w:szCs w:val="36"/>
          <w:rtl/>
        </w:rPr>
        <w:t>موارد</w:t>
      </w:r>
      <w:r w:rsidR="00E8128F">
        <w:rPr>
          <w:sz w:val="36"/>
          <w:szCs w:val="36"/>
          <w:rtl/>
        </w:rPr>
        <w:t xml:space="preserve"> </w:t>
      </w:r>
      <w:r w:rsidR="00F64C93" w:rsidRPr="00FD211F">
        <w:rPr>
          <w:sz w:val="36"/>
          <w:szCs w:val="36"/>
          <w:rtl/>
        </w:rPr>
        <w:t>معتد</w:t>
      </w:r>
      <w:r w:rsidR="00E8128F">
        <w:rPr>
          <w:sz w:val="36"/>
          <w:szCs w:val="36"/>
          <w:rtl/>
        </w:rPr>
        <w:t xml:space="preserve"> </w:t>
      </w:r>
      <w:r w:rsidR="00F64C93" w:rsidRPr="00FD211F">
        <w:rPr>
          <w:sz w:val="36"/>
          <w:szCs w:val="36"/>
          <w:rtl/>
        </w:rPr>
        <w:t>بها</w:t>
      </w:r>
      <w:r w:rsidR="00E8128F">
        <w:rPr>
          <w:sz w:val="36"/>
          <w:szCs w:val="36"/>
          <w:rtl/>
        </w:rPr>
        <w:t xml:space="preserve"> </w:t>
      </w:r>
      <w:r w:rsidR="00F64C93" w:rsidRPr="00FD211F">
        <w:rPr>
          <w:sz w:val="36"/>
          <w:szCs w:val="36"/>
          <w:rtl/>
        </w:rPr>
        <w:t>في</w:t>
      </w:r>
      <w:r w:rsidR="00E8128F">
        <w:rPr>
          <w:sz w:val="36"/>
          <w:szCs w:val="36"/>
          <w:rtl/>
        </w:rPr>
        <w:t xml:space="preserve"> </w:t>
      </w:r>
      <w:r w:rsidR="00F64C93" w:rsidRPr="00FD211F">
        <w:rPr>
          <w:sz w:val="36"/>
          <w:szCs w:val="36"/>
          <w:rtl/>
        </w:rPr>
        <w:t>الفقه</w:t>
      </w:r>
      <w:r w:rsidR="00603323" w:rsidRPr="00FD211F">
        <w:rPr>
          <w:sz w:val="36"/>
          <w:szCs w:val="36"/>
          <w:rtl/>
        </w:rPr>
        <w:t>،</w:t>
      </w:r>
      <w:r w:rsidR="00E8128F">
        <w:rPr>
          <w:sz w:val="36"/>
          <w:szCs w:val="36"/>
          <w:rtl/>
        </w:rPr>
        <w:t xml:space="preserve"> </w:t>
      </w:r>
      <w:r w:rsidR="00927E76" w:rsidRPr="00FD211F">
        <w:rPr>
          <w:sz w:val="36"/>
          <w:szCs w:val="36"/>
          <w:rtl/>
        </w:rPr>
        <w:t>بحيث</w:t>
      </w:r>
      <w:r w:rsidR="00E8128F">
        <w:rPr>
          <w:sz w:val="36"/>
          <w:szCs w:val="36"/>
          <w:rtl/>
        </w:rPr>
        <w:t xml:space="preserve"> </w:t>
      </w:r>
      <w:r w:rsidR="00927E76" w:rsidRPr="00FD211F">
        <w:rPr>
          <w:sz w:val="36"/>
          <w:szCs w:val="36"/>
          <w:rtl/>
        </w:rPr>
        <w:t>يصح</w:t>
      </w:r>
      <w:r w:rsidR="00E8128F">
        <w:rPr>
          <w:sz w:val="36"/>
          <w:szCs w:val="36"/>
          <w:rtl/>
        </w:rPr>
        <w:t xml:space="preserve"> </w:t>
      </w:r>
      <w:r w:rsidR="00927E76" w:rsidRPr="00FD211F">
        <w:rPr>
          <w:sz w:val="36"/>
          <w:szCs w:val="36"/>
          <w:rtl/>
        </w:rPr>
        <w:t>عرفا</w:t>
      </w:r>
      <w:r w:rsidR="00E8128F">
        <w:rPr>
          <w:sz w:val="36"/>
          <w:szCs w:val="36"/>
          <w:rtl/>
        </w:rPr>
        <w:t xml:space="preserve"> </w:t>
      </w:r>
      <w:r w:rsidR="00927E76" w:rsidRPr="00FD211F">
        <w:rPr>
          <w:sz w:val="36"/>
          <w:szCs w:val="36"/>
          <w:rtl/>
        </w:rPr>
        <w:t>ان</w:t>
      </w:r>
      <w:r w:rsidR="00E8128F">
        <w:rPr>
          <w:sz w:val="36"/>
          <w:szCs w:val="36"/>
          <w:rtl/>
        </w:rPr>
        <w:t xml:space="preserve"> </w:t>
      </w:r>
      <w:r w:rsidR="00927E76" w:rsidRPr="00FD211F">
        <w:rPr>
          <w:sz w:val="36"/>
          <w:szCs w:val="36"/>
          <w:rtl/>
        </w:rPr>
        <w:t>يكون</w:t>
      </w:r>
      <w:r w:rsidR="00E8128F">
        <w:rPr>
          <w:sz w:val="36"/>
          <w:szCs w:val="36"/>
          <w:rtl/>
        </w:rPr>
        <w:t xml:space="preserve"> </w:t>
      </w:r>
      <w:r w:rsidR="00927E76" w:rsidRPr="00FD211F">
        <w:rPr>
          <w:sz w:val="36"/>
          <w:szCs w:val="36"/>
          <w:rtl/>
        </w:rPr>
        <w:t>ملاكا</w:t>
      </w:r>
      <w:r w:rsidR="00E8128F">
        <w:rPr>
          <w:sz w:val="36"/>
          <w:szCs w:val="36"/>
          <w:rtl/>
        </w:rPr>
        <w:t xml:space="preserve"> </w:t>
      </w:r>
      <w:r w:rsidR="00927E76" w:rsidRPr="00FD211F">
        <w:rPr>
          <w:sz w:val="36"/>
          <w:szCs w:val="36"/>
          <w:rtl/>
        </w:rPr>
        <w:t>في</w:t>
      </w:r>
      <w:r w:rsidR="00E8128F">
        <w:rPr>
          <w:sz w:val="36"/>
          <w:szCs w:val="36"/>
          <w:rtl/>
        </w:rPr>
        <w:t xml:space="preserve"> </w:t>
      </w:r>
      <w:r w:rsidR="00927E76" w:rsidRPr="00FD211F">
        <w:rPr>
          <w:sz w:val="36"/>
          <w:szCs w:val="36"/>
          <w:rtl/>
        </w:rPr>
        <w:t>كون</w:t>
      </w:r>
      <w:r w:rsidR="00E8128F">
        <w:rPr>
          <w:sz w:val="36"/>
          <w:szCs w:val="36"/>
          <w:rtl/>
        </w:rPr>
        <w:t xml:space="preserve"> </w:t>
      </w:r>
      <w:r w:rsidR="00927E76" w:rsidRPr="00FD211F">
        <w:rPr>
          <w:sz w:val="36"/>
          <w:szCs w:val="36"/>
          <w:rtl/>
        </w:rPr>
        <w:t>ا</w:t>
      </w:r>
      <w:r w:rsidR="003A7F25" w:rsidRPr="00FD211F">
        <w:rPr>
          <w:sz w:val="36"/>
          <w:szCs w:val="36"/>
          <w:rtl/>
        </w:rPr>
        <w:t>لمسأل</w:t>
      </w:r>
      <w:r w:rsidR="00EC7EDF" w:rsidRPr="00FD211F">
        <w:rPr>
          <w:sz w:val="36"/>
          <w:szCs w:val="36"/>
          <w:rtl/>
        </w:rPr>
        <w:t>ة</w:t>
      </w:r>
      <w:r w:rsidR="00E8128F">
        <w:rPr>
          <w:sz w:val="36"/>
          <w:szCs w:val="36"/>
          <w:rtl/>
        </w:rPr>
        <w:t xml:space="preserve"> </w:t>
      </w:r>
      <w:r w:rsidR="003A7F25" w:rsidRPr="00FD211F">
        <w:rPr>
          <w:sz w:val="36"/>
          <w:szCs w:val="36"/>
          <w:rtl/>
        </w:rPr>
        <w:t>اصولي</w:t>
      </w:r>
      <w:r w:rsidR="00EC7EDF" w:rsidRPr="00FD211F">
        <w:rPr>
          <w:sz w:val="36"/>
          <w:szCs w:val="36"/>
          <w:rtl/>
        </w:rPr>
        <w:t>ة</w:t>
      </w:r>
      <w:r w:rsidR="00E8128F">
        <w:rPr>
          <w:sz w:val="36"/>
          <w:szCs w:val="36"/>
          <w:rtl/>
        </w:rPr>
        <w:t xml:space="preserve"> </w:t>
      </w:r>
      <w:r w:rsidR="003A7F25" w:rsidRPr="00FD211F">
        <w:rPr>
          <w:sz w:val="36"/>
          <w:szCs w:val="36"/>
          <w:rtl/>
        </w:rPr>
        <w:t>وعدمه</w:t>
      </w:r>
      <w:r w:rsidR="00603323" w:rsidRPr="00FD211F">
        <w:rPr>
          <w:sz w:val="36"/>
          <w:szCs w:val="36"/>
          <w:rtl/>
        </w:rPr>
        <w:t>،</w:t>
      </w:r>
      <w:r w:rsidR="00E8128F">
        <w:rPr>
          <w:sz w:val="36"/>
          <w:szCs w:val="36"/>
          <w:rtl/>
        </w:rPr>
        <w:t xml:space="preserve"> </w:t>
      </w:r>
      <w:r w:rsidR="003A7F25" w:rsidRPr="00FD211F">
        <w:rPr>
          <w:sz w:val="36"/>
          <w:szCs w:val="36"/>
          <w:rtl/>
        </w:rPr>
        <w:t>فالبحث</w:t>
      </w:r>
      <w:r w:rsidR="00E8128F">
        <w:rPr>
          <w:sz w:val="36"/>
          <w:szCs w:val="36"/>
          <w:rtl/>
        </w:rPr>
        <w:t xml:space="preserve"> </w:t>
      </w:r>
      <w:r w:rsidR="003A7F25" w:rsidRPr="00FD211F">
        <w:rPr>
          <w:sz w:val="36"/>
          <w:szCs w:val="36"/>
          <w:rtl/>
        </w:rPr>
        <w:t>عن</w:t>
      </w:r>
      <w:r w:rsidR="00E8128F">
        <w:rPr>
          <w:sz w:val="36"/>
          <w:szCs w:val="36"/>
          <w:rtl/>
        </w:rPr>
        <w:t xml:space="preserve"> </w:t>
      </w:r>
      <w:r w:rsidR="003A7F25" w:rsidRPr="00FD211F">
        <w:rPr>
          <w:sz w:val="36"/>
          <w:szCs w:val="36"/>
          <w:rtl/>
        </w:rPr>
        <w:t>القواعد</w:t>
      </w:r>
      <w:r w:rsidR="00E8128F">
        <w:rPr>
          <w:sz w:val="36"/>
          <w:szCs w:val="36"/>
          <w:rtl/>
        </w:rPr>
        <w:t xml:space="preserve"> </w:t>
      </w:r>
      <w:r w:rsidR="003A7F25" w:rsidRPr="00FD211F">
        <w:rPr>
          <w:sz w:val="36"/>
          <w:szCs w:val="36"/>
          <w:rtl/>
        </w:rPr>
        <w:t>الرجالي</w:t>
      </w:r>
      <w:r w:rsidR="00EC7EDF" w:rsidRPr="00FD211F">
        <w:rPr>
          <w:sz w:val="36"/>
          <w:szCs w:val="36"/>
          <w:rtl/>
        </w:rPr>
        <w:t>ة</w:t>
      </w:r>
      <w:r w:rsidR="00E8128F">
        <w:rPr>
          <w:sz w:val="36"/>
          <w:szCs w:val="36"/>
          <w:rtl/>
        </w:rPr>
        <w:t xml:space="preserve"> </w:t>
      </w:r>
      <w:r w:rsidR="003A7F25" w:rsidRPr="00FD211F">
        <w:rPr>
          <w:sz w:val="36"/>
          <w:szCs w:val="36"/>
          <w:rtl/>
        </w:rPr>
        <w:t>كثبوت</w:t>
      </w:r>
      <w:r w:rsidR="00E8128F">
        <w:rPr>
          <w:sz w:val="36"/>
          <w:szCs w:val="36"/>
          <w:rtl/>
        </w:rPr>
        <w:t xml:space="preserve"> </w:t>
      </w:r>
      <w:r w:rsidR="003A7F25" w:rsidRPr="00FD211F">
        <w:rPr>
          <w:sz w:val="36"/>
          <w:szCs w:val="36"/>
          <w:rtl/>
        </w:rPr>
        <w:t>التوثيق</w:t>
      </w:r>
      <w:r w:rsidR="00E8128F">
        <w:rPr>
          <w:sz w:val="36"/>
          <w:szCs w:val="36"/>
          <w:rtl/>
        </w:rPr>
        <w:t xml:space="preserve"> </w:t>
      </w:r>
      <w:r w:rsidR="003A7F25" w:rsidRPr="00FD211F">
        <w:rPr>
          <w:sz w:val="36"/>
          <w:szCs w:val="36"/>
          <w:rtl/>
        </w:rPr>
        <w:t>العام</w:t>
      </w:r>
      <w:r w:rsidR="00E8128F">
        <w:rPr>
          <w:sz w:val="36"/>
          <w:szCs w:val="36"/>
          <w:rtl/>
        </w:rPr>
        <w:t xml:space="preserve"> </w:t>
      </w:r>
      <w:r w:rsidR="003A7F25" w:rsidRPr="00FD211F">
        <w:rPr>
          <w:sz w:val="36"/>
          <w:szCs w:val="36"/>
          <w:rtl/>
        </w:rPr>
        <w:t>لمشايخ</w:t>
      </w:r>
      <w:r w:rsidR="00E8128F">
        <w:rPr>
          <w:sz w:val="36"/>
          <w:szCs w:val="36"/>
          <w:rtl/>
        </w:rPr>
        <w:t xml:space="preserve"> </w:t>
      </w:r>
      <w:r w:rsidR="003A7F25" w:rsidRPr="00FD211F">
        <w:rPr>
          <w:sz w:val="36"/>
          <w:szCs w:val="36"/>
          <w:rtl/>
        </w:rPr>
        <w:t>صفوان</w:t>
      </w:r>
      <w:r w:rsidR="00E8128F">
        <w:rPr>
          <w:sz w:val="36"/>
          <w:szCs w:val="36"/>
          <w:rtl/>
        </w:rPr>
        <w:t xml:space="preserve"> </w:t>
      </w:r>
      <w:r w:rsidRPr="00FD211F">
        <w:rPr>
          <w:sz w:val="36"/>
          <w:szCs w:val="36"/>
          <w:rtl/>
        </w:rPr>
        <w:t>وابن</w:t>
      </w:r>
      <w:r w:rsidR="00E8128F">
        <w:rPr>
          <w:sz w:val="36"/>
          <w:szCs w:val="36"/>
          <w:rtl/>
        </w:rPr>
        <w:t xml:space="preserve"> </w:t>
      </w:r>
      <w:r w:rsidRPr="00FD211F">
        <w:rPr>
          <w:sz w:val="36"/>
          <w:szCs w:val="36"/>
          <w:rtl/>
        </w:rPr>
        <w:t>ابي</w:t>
      </w:r>
      <w:r w:rsidR="00E8128F">
        <w:rPr>
          <w:sz w:val="36"/>
          <w:szCs w:val="36"/>
          <w:rtl/>
        </w:rPr>
        <w:t xml:space="preserve"> </w:t>
      </w:r>
      <w:r w:rsidRPr="00FD211F">
        <w:rPr>
          <w:sz w:val="36"/>
          <w:szCs w:val="36"/>
          <w:rtl/>
        </w:rPr>
        <w:t>عمير</w:t>
      </w:r>
      <w:r w:rsidR="00E8128F">
        <w:rPr>
          <w:sz w:val="36"/>
          <w:szCs w:val="36"/>
          <w:rtl/>
        </w:rPr>
        <w:t xml:space="preserve"> </w:t>
      </w:r>
      <w:r w:rsidRPr="00FD211F">
        <w:rPr>
          <w:sz w:val="36"/>
          <w:szCs w:val="36"/>
          <w:rtl/>
        </w:rPr>
        <w:t>والبزنطي</w:t>
      </w:r>
      <w:r w:rsidR="00E8128F">
        <w:rPr>
          <w:sz w:val="36"/>
          <w:szCs w:val="36"/>
          <w:rtl/>
        </w:rPr>
        <w:t xml:space="preserve"> </w:t>
      </w:r>
      <w:r w:rsidR="003A7F25" w:rsidRPr="00FD211F">
        <w:rPr>
          <w:sz w:val="36"/>
          <w:szCs w:val="36"/>
          <w:rtl/>
        </w:rPr>
        <w:t>وان</w:t>
      </w:r>
      <w:r w:rsidR="00E8128F">
        <w:rPr>
          <w:sz w:val="36"/>
          <w:szCs w:val="36"/>
          <w:rtl/>
        </w:rPr>
        <w:t xml:space="preserve"> </w:t>
      </w:r>
      <w:r w:rsidR="003A7F25" w:rsidRPr="00FD211F">
        <w:rPr>
          <w:sz w:val="36"/>
          <w:szCs w:val="36"/>
          <w:rtl/>
        </w:rPr>
        <w:t>كان</w:t>
      </w:r>
      <w:r w:rsidR="00E8128F">
        <w:rPr>
          <w:sz w:val="36"/>
          <w:szCs w:val="36"/>
          <w:rtl/>
        </w:rPr>
        <w:t xml:space="preserve"> </w:t>
      </w:r>
      <w:r w:rsidR="003A7F25" w:rsidRPr="00FD211F">
        <w:rPr>
          <w:sz w:val="36"/>
          <w:szCs w:val="36"/>
          <w:rtl/>
        </w:rPr>
        <w:t>قد</w:t>
      </w:r>
      <w:r w:rsidR="00E8128F">
        <w:rPr>
          <w:sz w:val="36"/>
          <w:szCs w:val="36"/>
          <w:rtl/>
        </w:rPr>
        <w:t xml:space="preserve"> </w:t>
      </w:r>
      <w:r w:rsidR="003A7F25" w:rsidRPr="00FD211F">
        <w:rPr>
          <w:sz w:val="36"/>
          <w:szCs w:val="36"/>
          <w:rtl/>
        </w:rPr>
        <w:t>لايحتاج</w:t>
      </w:r>
      <w:r w:rsidR="00E8128F">
        <w:rPr>
          <w:sz w:val="36"/>
          <w:szCs w:val="36"/>
          <w:rtl/>
        </w:rPr>
        <w:t xml:space="preserve"> </w:t>
      </w:r>
      <w:r w:rsidR="003A7F25" w:rsidRPr="00FD211F">
        <w:rPr>
          <w:sz w:val="36"/>
          <w:szCs w:val="36"/>
          <w:rtl/>
        </w:rPr>
        <w:t>استنباط</w:t>
      </w:r>
      <w:r w:rsidR="00E8128F">
        <w:rPr>
          <w:sz w:val="36"/>
          <w:szCs w:val="36"/>
          <w:rtl/>
        </w:rPr>
        <w:t xml:space="preserve"> </w:t>
      </w:r>
      <w:r w:rsidR="003A7F25" w:rsidRPr="00FD211F">
        <w:rPr>
          <w:sz w:val="36"/>
          <w:szCs w:val="36"/>
          <w:rtl/>
        </w:rPr>
        <w:t>الحكم</w:t>
      </w:r>
      <w:r w:rsidR="00E8128F">
        <w:rPr>
          <w:sz w:val="36"/>
          <w:szCs w:val="36"/>
          <w:rtl/>
        </w:rPr>
        <w:t xml:space="preserve"> </w:t>
      </w:r>
      <w:r w:rsidR="003A7F25" w:rsidRPr="00FD211F">
        <w:rPr>
          <w:sz w:val="36"/>
          <w:szCs w:val="36"/>
          <w:rtl/>
        </w:rPr>
        <w:t>الشرعي</w:t>
      </w:r>
      <w:r w:rsidR="00E8128F">
        <w:rPr>
          <w:sz w:val="36"/>
          <w:szCs w:val="36"/>
          <w:rtl/>
        </w:rPr>
        <w:t xml:space="preserve"> </w:t>
      </w:r>
      <w:r w:rsidR="003A7F25" w:rsidRPr="00FD211F">
        <w:rPr>
          <w:sz w:val="36"/>
          <w:szCs w:val="36"/>
          <w:rtl/>
        </w:rPr>
        <w:t>منها</w:t>
      </w:r>
      <w:r w:rsidR="00E8128F">
        <w:rPr>
          <w:sz w:val="36"/>
          <w:szCs w:val="36"/>
          <w:rtl/>
        </w:rPr>
        <w:t xml:space="preserve"> </w:t>
      </w:r>
      <w:r w:rsidR="003A7F25" w:rsidRPr="00FD211F">
        <w:rPr>
          <w:sz w:val="36"/>
          <w:szCs w:val="36"/>
          <w:rtl/>
        </w:rPr>
        <w:t>الى</w:t>
      </w:r>
      <w:r w:rsidR="00E8128F">
        <w:rPr>
          <w:sz w:val="36"/>
          <w:szCs w:val="36"/>
          <w:rtl/>
        </w:rPr>
        <w:t xml:space="preserve"> </w:t>
      </w:r>
      <w:r w:rsidR="003A7F25" w:rsidRPr="00FD211F">
        <w:rPr>
          <w:sz w:val="36"/>
          <w:szCs w:val="36"/>
          <w:rtl/>
        </w:rPr>
        <w:t>توسيط</w:t>
      </w:r>
      <w:r w:rsidR="00E8128F">
        <w:rPr>
          <w:sz w:val="36"/>
          <w:szCs w:val="36"/>
          <w:rtl/>
        </w:rPr>
        <w:t xml:space="preserve"> </w:t>
      </w:r>
      <w:r w:rsidR="003A7F25" w:rsidRPr="00FD211F">
        <w:rPr>
          <w:sz w:val="36"/>
          <w:szCs w:val="36"/>
          <w:rtl/>
        </w:rPr>
        <w:t>مسأل</w:t>
      </w:r>
      <w:r w:rsidR="00EC7EDF" w:rsidRPr="00FD211F">
        <w:rPr>
          <w:sz w:val="36"/>
          <w:szCs w:val="36"/>
          <w:rtl/>
        </w:rPr>
        <w:t>ة</w:t>
      </w:r>
      <w:r w:rsidR="00E8128F">
        <w:rPr>
          <w:sz w:val="36"/>
          <w:szCs w:val="36"/>
          <w:rtl/>
        </w:rPr>
        <w:t xml:space="preserve"> </w:t>
      </w:r>
      <w:r w:rsidR="003A7F25" w:rsidRPr="00FD211F">
        <w:rPr>
          <w:sz w:val="36"/>
          <w:szCs w:val="36"/>
          <w:rtl/>
        </w:rPr>
        <w:t>اصولي</w:t>
      </w:r>
      <w:r w:rsidR="00EC7EDF" w:rsidRPr="00FD211F">
        <w:rPr>
          <w:sz w:val="36"/>
          <w:szCs w:val="36"/>
          <w:rtl/>
        </w:rPr>
        <w:t>ة</w:t>
      </w:r>
      <w:r w:rsidR="00E8128F">
        <w:rPr>
          <w:sz w:val="36"/>
          <w:szCs w:val="36"/>
          <w:rtl/>
        </w:rPr>
        <w:t xml:space="preserve"> </w:t>
      </w:r>
      <w:r w:rsidR="003A7F25" w:rsidRPr="00FD211F">
        <w:rPr>
          <w:sz w:val="36"/>
          <w:szCs w:val="36"/>
          <w:rtl/>
        </w:rPr>
        <w:t>أخرى</w:t>
      </w:r>
      <w:r w:rsidR="00603323" w:rsidRPr="00FD211F">
        <w:rPr>
          <w:sz w:val="36"/>
          <w:szCs w:val="36"/>
          <w:rtl/>
        </w:rPr>
        <w:t>،</w:t>
      </w:r>
      <w:r w:rsidR="00E8128F">
        <w:rPr>
          <w:sz w:val="36"/>
          <w:szCs w:val="36"/>
          <w:rtl/>
        </w:rPr>
        <w:t xml:space="preserve"> </w:t>
      </w:r>
      <w:r w:rsidR="003A7F25" w:rsidRPr="00FD211F">
        <w:rPr>
          <w:sz w:val="36"/>
          <w:szCs w:val="36"/>
          <w:rtl/>
        </w:rPr>
        <w:t>كما</w:t>
      </w:r>
      <w:r w:rsidR="00E8128F">
        <w:rPr>
          <w:sz w:val="36"/>
          <w:szCs w:val="36"/>
          <w:rtl/>
        </w:rPr>
        <w:t xml:space="preserve"> </w:t>
      </w:r>
      <w:r w:rsidR="003A7F25" w:rsidRPr="00FD211F">
        <w:rPr>
          <w:sz w:val="36"/>
          <w:szCs w:val="36"/>
          <w:rtl/>
        </w:rPr>
        <w:t>لو</w:t>
      </w:r>
      <w:r w:rsidR="00E8128F">
        <w:rPr>
          <w:sz w:val="36"/>
          <w:szCs w:val="36"/>
          <w:rtl/>
        </w:rPr>
        <w:t xml:space="preserve"> </w:t>
      </w:r>
      <w:r w:rsidR="003A7F25" w:rsidRPr="00FD211F">
        <w:rPr>
          <w:sz w:val="36"/>
          <w:szCs w:val="36"/>
          <w:rtl/>
        </w:rPr>
        <w:t>علمنا</w:t>
      </w:r>
      <w:r w:rsidR="00E8128F">
        <w:rPr>
          <w:sz w:val="36"/>
          <w:szCs w:val="36"/>
          <w:rtl/>
        </w:rPr>
        <w:t xml:space="preserve"> </w:t>
      </w:r>
      <w:r w:rsidR="003A7F25" w:rsidRPr="00FD211F">
        <w:rPr>
          <w:sz w:val="36"/>
          <w:szCs w:val="36"/>
          <w:rtl/>
        </w:rPr>
        <w:t>بانه</w:t>
      </w:r>
      <w:r w:rsidR="00E8128F">
        <w:rPr>
          <w:sz w:val="36"/>
          <w:szCs w:val="36"/>
          <w:rtl/>
        </w:rPr>
        <w:t xml:space="preserve"> </w:t>
      </w:r>
      <w:r w:rsidR="003A7F25" w:rsidRPr="00FD211F">
        <w:rPr>
          <w:sz w:val="36"/>
          <w:szCs w:val="36"/>
          <w:rtl/>
        </w:rPr>
        <w:t>لو</w:t>
      </w:r>
      <w:r w:rsidR="00E8128F">
        <w:rPr>
          <w:sz w:val="36"/>
          <w:szCs w:val="36"/>
          <w:rtl/>
        </w:rPr>
        <w:t xml:space="preserve"> </w:t>
      </w:r>
      <w:r w:rsidR="003A7F25" w:rsidRPr="00FD211F">
        <w:rPr>
          <w:sz w:val="36"/>
          <w:szCs w:val="36"/>
          <w:rtl/>
        </w:rPr>
        <w:t>كان</w:t>
      </w:r>
      <w:r w:rsidR="00E8128F">
        <w:rPr>
          <w:sz w:val="36"/>
          <w:szCs w:val="36"/>
          <w:rtl/>
        </w:rPr>
        <w:t xml:space="preserve"> </w:t>
      </w:r>
      <w:r w:rsidR="003A7F25" w:rsidRPr="00FD211F">
        <w:rPr>
          <w:sz w:val="36"/>
          <w:szCs w:val="36"/>
          <w:rtl/>
        </w:rPr>
        <w:t>راوي</w:t>
      </w:r>
      <w:r w:rsidR="00E8128F">
        <w:rPr>
          <w:sz w:val="36"/>
          <w:szCs w:val="36"/>
          <w:rtl/>
        </w:rPr>
        <w:t xml:space="preserve"> </w:t>
      </w:r>
      <w:r w:rsidR="003A7F25" w:rsidRPr="00FD211F">
        <w:rPr>
          <w:sz w:val="36"/>
          <w:szCs w:val="36"/>
          <w:rtl/>
        </w:rPr>
        <w:t>هذا</w:t>
      </w:r>
      <w:r w:rsidR="00E8128F">
        <w:rPr>
          <w:sz w:val="36"/>
          <w:szCs w:val="36"/>
          <w:rtl/>
        </w:rPr>
        <w:t xml:space="preserve"> </w:t>
      </w:r>
      <w:r w:rsidR="00B55BAD" w:rsidRPr="00FD211F">
        <w:rPr>
          <w:sz w:val="36"/>
          <w:szCs w:val="36"/>
          <w:rtl/>
        </w:rPr>
        <w:t>الخبر</w:t>
      </w:r>
      <w:r w:rsidR="00E8128F">
        <w:rPr>
          <w:sz w:val="36"/>
          <w:szCs w:val="36"/>
          <w:rtl/>
        </w:rPr>
        <w:t xml:space="preserve"> </w:t>
      </w:r>
      <w:r w:rsidR="003A7F25" w:rsidRPr="00FD211F">
        <w:rPr>
          <w:sz w:val="36"/>
          <w:szCs w:val="36"/>
          <w:rtl/>
        </w:rPr>
        <w:t>ثق</w:t>
      </w:r>
      <w:r w:rsidR="00EC7EDF" w:rsidRPr="00FD211F">
        <w:rPr>
          <w:sz w:val="36"/>
          <w:szCs w:val="36"/>
          <w:rtl/>
        </w:rPr>
        <w:t>ة</w:t>
      </w:r>
      <w:r w:rsidR="00E8128F">
        <w:rPr>
          <w:sz w:val="36"/>
          <w:szCs w:val="36"/>
          <w:rtl/>
        </w:rPr>
        <w:t xml:space="preserve"> </w:t>
      </w:r>
      <w:r w:rsidR="003A7F25" w:rsidRPr="00FD211F">
        <w:rPr>
          <w:sz w:val="36"/>
          <w:szCs w:val="36"/>
          <w:rtl/>
        </w:rPr>
        <w:t>لكان</w:t>
      </w:r>
      <w:r w:rsidR="00E8128F">
        <w:rPr>
          <w:sz w:val="36"/>
          <w:szCs w:val="36"/>
          <w:rtl/>
        </w:rPr>
        <w:t xml:space="preserve"> </w:t>
      </w:r>
      <w:r w:rsidR="00B55BAD" w:rsidRPr="00FD211F">
        <w:rPr>
          <w:sz w:val="36"/>
          <w:szCs w:val="36"/>
          <w:rtl/>
        </w:rPr>
        <w:t>خبره</w:t>
      </w:r>
      <w:r w:rsidR="00E8128F">
        <w:rPr>
          <w:sz w:val="36"/>
          <w:szCs w:val="36"/>
          <w:rtl/>
        </w:rPr>
        <w:t xml:space="preserve"> </w:t>
      </w:r>
      <w:r w:rsidR="003A7F25" w:rsidRPr="00FD211F">
        <w:rPr>
          <w:sz w:val="36"/>
          <w:szCs w:val="36"/>
          <w:rtl/>
        </w:rPr>
        <w:t>صادرا</w:t>
      </w:r>
      <w:r w:rsidR="00E8128F">
        <w:rPr>
          <w:sz w:val="36"/>
          <w:szCs w:val="36"/>
          <w:rtl/>
        </w:rPr>
        <w:t xml:space="preserve"> </w:t>
      </w:r>
      <w:r w:rsidR="003A7F25" w:rsidRPr="00FD211F">
        <w:rPr>
          <w:sz w:val="36"/>
          <w:szCs w:val="36"/>
          <w:rtl/>
        </w:rPr>
        <w:t>عن</w:t>
      </w:r>
      <w:r w:rsidR="00E8128F">
        <w:rPr>
          <w:sz w:val="36"/>
          <w:szCs w:val="36"/>
          <w:rtl/>
        </w:rPr>
        <w:t xml:space="preserve"> </w:t>
      </w:r>
      <w:r w:rsidR="003A7F25" w:rsidRPr="00FD211F">
        <w:rPr>
          <w:sz w:val="36"/>
          <w:szCs w:val="36"/>
          <w:rtl/>
        </w:rPr>
        <w:t>الإمام</w:t>
      </w:r>
      <w:r w:rsidR="00E8128F">
        <w:rPr>
          <w:sz w:val="36"/>
          <w:szCs w:val="36"/>
          <w:rtl/>
        </w:rPr>
        <w:t xml:space="preserve"> </w:t>
      </w:r>
      <w:r w:rsidR="003A7F25" w:rsidRPr="00FD211F">
        <w:rPr>
          <w:sz w:val="36"/>
          <w:szCs w:val="36"/>
          <w:rtl/>
        </w:rPr>
        <w:t>جزما</w:t>
      </w:r>
      <w:r w:rsidR="00603323" w:rsidRPr="00FD211F">
        <w:rPr>
          <w:sz w:val="36"/>
          <w:szCs w:val="36"/>
          <w:rtl/>
        </w:rPr>
        <w:t>،</w:t>
      </w:r>
      <w:r w:rsidR="00E8128F">
        <w:rPr>
          <w:sz w:val="36"/>
          <w:szCs w:val="36"/>
          <w:rtl/>
        </w:rPr>
        <w:t xml:space="preserve"> </w:t>
      </w:r>
      <w:r w:rsidR="003A7F25" w:rsidRPr="00FD211F">
        <w:rPr>
          <w:sz w:val="36"/>
          <w:szCs w:val="36"/>
          <w:rtl/>
        </w:rPr>
        <w:t>لكنه</w:t>
      </w:r>
      <w:r w:rsidR="00E8128F">
        <w:rPr>
          <w:sz w:val="36"/>
          <w:szCs w:val="36"/>
          <w:rtl/>
        </w:rPr>
        <w:t xml:space="preserve"> </w:t>
      </w:r>
      <w:r w:rsidR="003A7F25" w:rsidRPr="00FD211F">
        <w:rPr>
          <w:sz w:val="36"/>
          <w:szCs w:val="36"/>
          <w:rtl/>
        </w:rPr>
        <w:t>حيث</w:t>
      </w:r>
      <w:r w:rsidR="00E8128F">
        <w:rPr>
          <w:sz w:val="36"/>
          <w:szCs w:val="36"/>
          <w:rtl/>
        </w:rPr>
        <w:t xml:space="preserve"> </w:t>
      </w:r>
      <w:r w:rsidR="003A7F25" w:rsidRPr="00FD211F">
        <w:rPr>
          <w:sz w:val="36"/>
          <w:szCs w:val="36"/>
          <w:rtl/>
        </w:rPr>
        <w:t>يكون</w:t>
      </w:r>
      <w:r w:rsidR="00E8128F">
        <w:rPr>
          <w:sz w:val="36"/>
          <w:szCs w:val="36"/>
          <w:rtl/>
        </w:rPr>
        <w:t xml:space="preserve"> </w:t>
      </w:r>
      <w:r w:rsidR="003A7F25" w:rsidRPr="00FD211F">
        <w:rPr>
          <w:sz w:val="36"/>
          <w:szCs w:val="36"/>
          <w:rtl/>
        </w:rPr>
        <w:t>فرضا</w:t>
      </w:r>
      <w:r w:rsidR="00E8128F">
        <w:rPr>
          <w:sz w:val="36"/>
          <w:szCs w:val="36"/>
          <w:rtl/>
        </w:rPr>
        <w:t xml:space="preserve"> </w:t>
      </w:r>
      <w:r w:rsidR="003A7F25" w:rsidRPr="00FD211F">
        <w:rPr>
          <w:sz w:val="36"/>
          <w:szCs w:val="36"/>
          <w:rtl/>
        </w:rPr>
        <w:t>نادرا</w:t>
      </w:r>
      <w:r w:rsidR="00E8128F">
        <w:rPr>
          <w:sz w:val="36"/>
          <w:szCs w:val="36"/>
          <w:rtl/>
        </w:rPr>
        <w:t xml:space="preserve"> </w:t>
      </w:r>
      <w:r w:rsidR="003A7F25" w:rsidRPr="00FD211F">
        <w:rPr>
          <w:sz w:val="36"/>
          <w:szCs w:val="36"/>
          <w:rtl/>
        </w:rPr>
        <w:t>فلايوجب</w:t>
      </w:r>
      <w:r w:rsidR="00E8128F">
        <w:rPr>
          <w:sz w:val="36"/>
          <w:szCs w:val="36"/>
          <w:rtl/>
        </w:rPr>
        <w:t xml:space="preserve"> </w:t>
      </w:r>
      <w:r w:rsidR="003A7F25" w:rsidRPr="00FD211F">
        <w:rPr>
          <w:sz w:val="36"/>
          <w:szCs w:val="36"/>
          <w:rtl/>
        </w:rPr>
        <w:t>صيرور</w:t>
      </w:r>
      <w:r w:rsidR="00EC7EDF" w:rsidRPr="00FD211F">
        <w:rPr>
          <w:sz w:val="36"/>
          <w:szCs w:val="36"/>
          <w:rtl/>
        </w:rPr>
        <w:t>ة</w:t>
      </w:r>
      <w:r w:rsidR="00E8128F">
        <w:rPr>
          <w:sz w:val="36"/>
          <w:szCs w:val="36"/>
          <w:rtl/>
        </w:rPr>
        <w:t xml:space="preserve"> </w:t>
      </w:r>
      <w:r w:rsidR="003A7F25" w:rsidRPr="00FD211F">
        <w:rPr>
          <w:sz w:val="36"/>
          <w:szCs w:val="36"/>
          <w:rtl/>
        </w:rPr>
        <w:t>هذه</w:t>
      </w:r>
      <w:r w:rsidR="00E8128F">
        <w:rPr>
          <w:sz w:val="36"/>
          <w:szCs w:val="36"/>
          <w:rtl/>
        </w:rPr>
        <w:t xml:space="preserve"> </w:t>
      </w:r>
      <w:r w:rsidR="003A7F25" w:rsidRPr="00FD211F">
        <w:rPr>
          <w:sz w:val="36"/>
          <w:szCs w:val="36"/>
          <w:rtl/>
        </w:rPr>
        <w:t>المباحث</w:t>
      </w:r>
      <w:r w:rsidR="00E8128F">
        <w:rPr>
          <w:sz w:val="36"/>
          <w:szCs w:val="36"/>
          <w:rtl/>
        </w:rPr>
        <w:t xml:space="preserve"> </w:t>
      </w:r>
      <w:r w:rsidR="003A7F25" w:rsidRPr="00FD211F">
        <w:rPr>
          <w:sz w:val="36"/>
          <w:szCs w:val="36"/>
          <w:rtl/>
        </w:rPr>
        <w:t>من</w:t>
      </w:r>
      <w:r w:rsidR="00E8128F">
        <w:rPr>
          <w:sz w:val="36"/>
          <w:szCs w:val="36"/>
          <w:rtl/>
        </w:rPr>
        <w:t xml:space="preserve"> </w:t>
      </w:r>
      <w:r w:rsidR="003A7F25" w:rsidRPr="00FD211F">
        <w:rPr>
          <w:sz w:val="36"/>
          <w:szCs w:val="36"/>
          <w:rtl/>
        </w:rPr>
        <w:lastRenderedPageBreak/>
        <w:t>المباحث</w:t>
      </w:r>
      <w:r w:rsidR="00E8128F">
        <w:rPr>
          <w:sz w:val="36"/>
          <w:szCs w:val="36"/>
          <w:rtl/>
        </w:rPr>
        <w:t xml:space="preserve"> </w:t>
      </w:r>
      <w:r w:rsidR="003A7F25" w:rsidRPr="00FD211F">
        <w:rPr>
          <w:sz w:val="36"/>
          <w:szCs w:val="36"/>
          <w:rtl/>
        </w:rPr>
        <w:t>الاصولي</w:t>
      </w:r>
      <w:r w:rsidR="00EC7EDF" w:rsidRPr="00FD211F">
        <w:rPr>
          <w:sz w:val="36"/>
          <w:szCs w:val="36"/>
          <w:rtl/>
        </w:rPr>
        <w:t>ة</w:t>
      </w:r>
      <w:r w:rsidR="00A61BAE" w:rsidRPr="00FD211F">
        <w:rPr>
          <w:sz w:val="36"/>
          <w:szCs w:val="36"/>
          <w:rtl/>
        </w:rPr>
        <w:t>.</w:t>
      </w:r>
    </w:p>
    <w:p w14:paraId="4BA8A3CB" w14:textId="77777777" w:rsidR="00927E76" w:rsidRPr="00FD211F" w:rsidRDefault="003A7F25" w:rsidP="009C58C8">
      <w:pPr>
        <w:ind w:left="0" w:firstLine="227"/>
        <w:jc w:val="both"/>
        <w:rPr>
          <w:sz w:val="36"/>
          <w:szCs w:val="36"/>
          <w:rtl/>
        </w:rPr>
      </w:pPr>
      <w:r w:rsidRPr="00FD211F">
        <w:rPr>
          <w:sz w:val="36"/>
          <w:szCs w:val="36"/>
          <w:rtl/>
        </w:rPr>
        <w:t>وأما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w:t>
      </w:r>
      <w:r w:rsidR="00E8128F">
        <w:rPr>
          <w:sz w:val="36"/>
          <w:szCs w:val="36"/>
          <w:rtl/>
        </w:rPr>
        <w:t xml:space="preserve"> </w:t>
      </w:r>
      <w:r w:rsidR="00F64C93" w:rsidRPr="00FD211F">
        <w:rPr>
          <w:sz w:val="36"/>
          <w:szCs w:val="36"/>
          <w:rtl/>
        </w:rPr>
        <w:t>في</w:t>
      </w:r>
      <w:r w:rsidR="00E8128F">
        <w:rPr>
          <w:sz w:val="36"/>
          <w:szCs w:val="36"/>
          <w:rtl/>
        </w:rPr>
        <w:t xml:space="preserve"> </w:t>
      </w:r>
      <w:r w:rsidR="00F64C93" w:rsidRPr="00FD211F">
        <w:rPr>
          <w:sz w:val="36"/>
          <w:szCs w:val="36"/>
          <w:rtl/>
        </w:rPr>
        <w:t>البحوث</w:t>
      </w:r>
      <w:r w:rsidR="00E8128F">
        <w:rPr>
          <w:sz w:val="36"/>
          <w:szCs w:val="36"/>
          <w:rtl/>
        </w:rPr>
        <w:t xml:space="preserve"> </w:t>
      </w:r>
      <w:r w:rsidRPr="00FD211F">
        <w:rPr>
          <w:sz w:val="36"/>
          <w:szCs w:val="36"/>
          <w:rtl/>
        </w:rPr>
        <w:t>م</w:t>
      </w:r>
      <w:r w:rsidR="00B76AE0" w:rsidRPr="00FD211F">
        <w:rPr>
          <w:sz w:val="36"/>
          <w:szCs w:val="36"/>
          <w:rtl/>
        </w:rPr>
        <w:t>ن</w:t>
      </w:r>
      <w:r w:rsidR="00E8128F">
        <w:rPr>
          <w:sz w:val="36"/>
          <w:szCs w:val="36"/>
          <w:rtl/>
        </w:rPr>
        <w:t xml:space="preserve"> </w:t>
      </w:r>
      <w:r w:rsidR="00B76AE0" w:rsidRPr="00FD211F">
        <w:rPr>
          <w:sz w:val="36"/>
          <w:szCs w:val="36"/>
          <w:rtl/>
        </w:rPr>
        <w:t>النقض</w:t>
      </w:r>
      <w:r w:rsidR="00E8128F">
        <w:rPr>
          <w:sz w:val="36"/>
          <w:szCs w:val="36"/>
          <w:rtl/>
        </w:rPr>
        <w:t xml:space="preserve"> </w:t>
      </w:r>
      <w:r w:rsidR="00B76AE0" w:rsidRPr="00FD211F">
        <w:rPr>
          <w:sz w:val="36"/>
          <w:szCs w:val="36"/>
          <w:rtl/>
        </w:rPr>
        <w:t>ب</w:t>
      </w:r>
      <w:r w:rsidR="00B55BAD" w:rsidRPr="00FD211F">
        <w:rPr>
          <w:sz w:val="36"/>
          <w:szCs w:val="36"/>
          <w:rtl/>
        </w:rPr>
        <w:t>البحث</w:t>
      </w:r>
      <w:r w:rsidR="00E8128F">
        <w:rPr>
          <w:sz w:val="36"/>
          <w:szCs w:val="36"/>
          <w:rtl/>
        </w:rPr>
        <w:t xml:space="preserve"> </w:t>
      </w:r>
      <w:r w:rsidR="00B55BAD" w:rsidRPr="00FD211F">
        <w:rPr>
          <w:sz w:val="36"/>
          <w:szCs w:val="36"/>
          <w:rtl/>
        </w:rPr>
        <w:t>عن</w:t>
      </w:r>
      <w:r w:rsidR="00E8128F">
        <w:rPr>
          <w:sz w:val="36"/>
          <w:szCs w:val="36"/>
          <w:rtl/>
        </w:rPr>
        <w:t xml:space="preserve"> </w:t>
      </w:r>
      <w:r w:rsidR="00B55BAD" w:rsidRPr="00FD211F">
        <w:rPr>
          <w:sz w:val="36"/>
          <w:szCs w:val="36"/>
          <w:rtl/>
        </w:rPr>
        <w:t>ظهور</w:t>
      </w:r>
      <w:r w:rsidR="00E8128F">
        <w:rPr>
          <w:sz w:val="36"/>
          <w:szCs w:val="36"/>
          <w:rtl/>
        </w:rPr>
        <w:t xml:space="preserve"> </w:t>
      </w:r>
      <w:r w:rsidR="00B76AE0" w:rsidRPr="00FD211F">
        <w:rPr>
          <w:sz w:val="36"/>
          <w:szCs w:val="36"/>
          <w:rtl/>
        </w:rPr>
        <w:t>كلم</w:t>
      </w:r>
      <w:r w:rsidR="00EC7EDF" w:rsidRPr="00FD211F">
        <w:rPr>
          <w:sz w:val="36"/>
          <w:szCs w:val="36"/>
          <w:rtl/>
        </w:rPr>
        <w:t>ة</w:t>
      </w:r>
      <w:r w:rsidR="00E8128F">
        <w:rPr>
          <w:sz w:val="36"/>
          <w:szCs w:val="36"/>
          <w:rtl/>
        </w:rPr>
        <w:t xml:space="preserve"> </w:t>
      </w:r>
      <w:r w:rsidR="00B76AE0" w:rsidRPr="00FD211F">
        <w:rPr>
          <w:sz w:val="36"/>
          <w:szCs w:val="36"/>
          <w:rtl/>
        </w:rPr>
        <w:t>الصعيد</w:t>
      </w:r>
      <w:r w:rsidR="00E8128F">
        <w:rPr>
          <w:sz w:val="36"/>
          <w:szCs w:val="36"/>
          <w:rtl/>
        </w:rPr>
        <w:t xml:space="preserve"> </w:t>
      </w:r>
      <w:r w:rsidR="00F64C93" w:rsidRPr="00FD211F">
        <w:rPr>
          <w:sz w:val="36"/>
          <w:szCs w:val="36"/>
          <w:rtl/>
        </w:rPr>
        <w:t>فلايرتبط</w:t>
      </w:r>
      <w:r w:rsidR="00E8128F">
        <w:rPr>
          <w:sz w:val="36"/>
          <w:szCs w:val="36"/>
          <w:rtl/>
        </w:rPr>
        <w:t xml:space="preserve"> </w:t>
      </w:r>
      <w:r w:rsidR="00F64C93" w:rsidRPr="00FD211F">
        <w:rPr>
          <w:sz w:val="36"/>
          <w:szCs w:val="36"/>
          <w:rtl/>
        </w:rPr>
        <w:t>بالمقام</w:t>
      </w:r>
      <w:r w:rsidR="00603323" w:rsidRPr="00FD211F">
        <w:rPr>
          <w:sz w:val="36"/>
          <w:szCs w:val="36"/>
          <w:rtl/>
        </w:rPr>
        <w:t>،</w:t>
      </w:r>
      <w:r w:rsidR="00E8128F">
        <w:rPr>
          <w:sz w:val="36"/>
          <w:szCs w:val="36"/>
          <w:rtl/>
        </w:rPr>
        <w:t xml:space="preserve"> </w:t>
      </w:r>
      <w:r w:rsidR="00F64C93" w:rsidRPr="00FD211F">
        <w:rPr>
          <w:sz w:val="36"/>
          <w:szCs w:val="36"/>
          <w:rtl/>
        </w:rPr>
        <w:t>فانه</w:t>
      </w:r>
      <w:r w:rsidR="00E8128F">
        <w:rPr>
          <w:sz w:val="36"/>
          <w:szCs w:val="36"/>
          <w:rtl/>
        </w:rPr>
        <w:t xml:space="preserve"> </w:t>
      </w:r>
      <w:r w:rsidR="00F70046" w:rsidRPr="00FD211F">
        <w:rPr>
          <w:sz w:val="36"/>
          <w:szCs w:val="36"/>
          <w:rtl/>
        </w:rPr>
        <w:t>لايوجد</w:t>
      </w:r>
      <w:r w:rsidR="00E8128F">
        <w:rPr>
          <w:sz w:val="36"/>
          <w:szCs w:val="36"/>
          <w:rtl/>
        </w:rPr>
        <w:t xml:space="preserve"> </w:t>
      </w:r>
      <w:r w:rsidR="00F70046" w:rsidRPr="00FD211F">
        <w:rPr>
          <w:sz w:val="36"/>
          <w:szCs w:val="36"/>
          <w:rtl/>
        </w:rPr>
        <w:t>فرق</w:t>
      </w:r>
      <w:r w:rsidR="00E8128F">
        <w:rPr>
          <w:sz w:val="36"/>
          <w:szCs w:val="36"/>
          <w:rtl/>
        </w:rPr>
        <w:t xml:space="preserve"> </w:t>
      </w:r>
      <w:r w:rsidR="00F70046" w:rsidRPr="00FD211F">
        <w:rPr>
          <w:sz w:val="36"/>
          <w:szCs w:val="36"/>
          <w:rtl/>
        </w:rPr>
        <w:t>بين</w:t>
      </w:r>
      <w:r w:rsidR="00E8128F">
        <w:rPr>
          <w:sz w:val="36"/>
          <w:szCs w:val="36"/>
          <w:rtl/>
        </w:rPr>
        <w:t xml:space="preserve"> </w:t>
      </w:r>
      <w:r w:rsidR="00F70046" w:rsidRPr="00FD211F">
        <w:rPr>
          <w:sz w:val="36"/>
          <w:szCs w:val="36"/>
          <w:rtl/>
        </w:rPr>
        <w:t>البحث</w:t>
      </w:r>
      <w:r w:rsidR="00E8128F">
        <w:rPr>
          <w:sz w:val="36"/>
          <w:szCs w:val="36"/>
          <w:rtl/>
        </w:rPr>
        <w:t xml:space="preserve"> </w:t>
      </w:r>
      <w:r w:rsidR="00F70046" w:rsidRPr="00FD211F">
        <w:rPr>
          <w:sz w:val="36"/>
          <w:szCs w:val="36"/>
          <w:rtl/>
        </w:rPr>
        <w:t>عن</w:t>
      </w:r>
      <w:r w:rsidR="00E8128F">
        <w:rPr>
          <w:sz w:val="36"/>
          <w:szCs w:val="36"/>
          <w:rtl/>
        </w:rPr>
        <w:t xml:space="preserve"> </w:t>
      </w:r>
      <w:r w:rsidR="00F70046" w:rsidRPr="00FD211F">
        <w:rPr>
          <w:sz w:val="36"/>
          <w:szCs w:val="36"/>
          <w:rtl/>
        </w:rPr>
        <w:t>ظهور</w:t>
      </w:r>
      <w:r w:rsidR="00E8128F">
        <w:rPr>
          <w:sz w:val="36"/>
          <w:szCs w:val="36"/>
          <w:rtl/>
        </w:rPr>
        <w:t xml:space="preserve"> </w:t>
      </w:r>
      <w:r w:rsidR="00F70046" w:rsidRPr="00FD211F">
        <w:rPr>
          <w:sz w:val="36"/>
          <w:szCs w:val="36"/>
          <w:rtl/>
        </w:rPr>
        <w:t>كلم</w:t>
      </w:r>
      <w:r w:rsidR="00EC7EDF" w:rsidRPr="00FD211F">
        <w:rPr>
          <w:sz w:val="36"/>
          <w:szCs w:val="36"/>
          <w:rtl/>
        </w:rPr>
        <w:t>ة</w:t>
      </w:r>
      <w:r w:rsidR="00E8128F">
        <w:rPr>
          <w:sz w:val="36"/>
          <w:szCs w:val="36"/>
          <w:rtl/>
        </w:rPr>
        <w:t xml:space="preserve"> </w:t>
      </w:r>
      <w:r w:rsidR="00F70046" w:rsidRPr="00FD211F">
        <w:rPr>
          <w:sz w:val="36"/>
          <w:szCs w:val="36"/>
          <w:rtl/>
        </w:rPr>
        <w:t>الصعيد</w:t>
      </w:r>
      <w:r w:rsidR="00E8128F">
        <w:rPr>
          <w:sz w:val="36"/>
          <w:szCs w:val="36"/>
          <w:rtl/>
        </w:rPr>
        <w:t xml:space="preserve"> </w:t>
      </w:r>
      <w:r w:rsidR="00F70046" w:rsidRPr="00FD211F">
        <w:rPr>
          <w:sz w:val="36"/>
          <w:szCs w:val="36"/>
          <w:rtl/>
        </w:rPr>
        <w:t>مع</w:t>
      </w:r>
      <w:r w:rsidR="00E8128F">
        <w:rPr>
          <w:sz w:val="36"/>
          <w:szCs w:val="36"/>
          <w:rtl/>
        </w:rPr>
        <w:t xml:space="preserve"> </w:t>
      </w:r>
      <w:r w:rsidR="00F70046" w:rsidRPr="00FD211F">
        <w:rPr>
          <w:sz w:val="36"/>
          <w:szCs w:val="36"/>
          <w:rtl/>
        </w:rPr>
        <w:t>البحث</w:t>
      </w:r>
      <w:r w:rsidR="00E8128F">
        <w:rPr>
          <w:sz w:val="36"/>
          <w:szCs w:val="36"/>
          <w:rtl/>
        </w:rPr>
        <w:t xml:space="preserve"> </w:t>
      </w:r>
      <w:r w:rsidR="00F70046" w:rsidRPr="00FD211F">
        <w:rPr>
          <w:sz w:val="36"/>
          <w:szCs w:val="36"/>
          <w:rtl/>
        </w:rPr>
        <w:t>عن</w:t>
      </w:r>
      <w:r w:rsidR="00E8128F">
        <w:rPr>
          <w:sz w:val="36"/>
          <w:szCs w:val="36"/>
          <w:rtl/>
        </w:rPr>
        <w:t xml:space="preserve"> </w:t>
      </w:r>
      <w:r w:rsidR="00F70046" w:rsidRPr="00FD211F">
        <w:rPr>
          <w:sz w:val="36"/>
          <w:szCs w:val="36"/>
          <w:rtl/>
        </w:rPr>
        <w:t>ظهور</w:t>
      </w:r>
      <w:r w:rsidR="00E8128F">
        <w:rPr>
          <w:sz w:val="36"/>
          <w:szCs w:val="36"/>
          <w:rtl/>
        </w:rPr>
        <w:t xml:space="preserve"> </w:t>
      </w:r>
      <w:r w:rsidR="00F70046" w:rsidRPr="00FD211F">
        <w:rPr>
          <w:sz w:val="36"/>
          <w:szCs w:val="36"/>
          <w:rtl/>
        </w:rPr>
        <w:t>صيغ</w:t>
      </w:r>
      <w:r w:rsidR="00EC7EDF" w:rsidRPr="00FD211F">
        <w:rPr>
          <w:sz w:val="36"/>
          <w:szCs w:val="36"/>
          <w:rtl/>
        </w:rPr>
        <w:t>ة</w:t>
      </w:r>
      <w:r w:rsidR="00E8128F">
        <w:rPr>
          <w:sz w:val="36"/>
          <w:szCs w:val="36"/>
          <w:rtl/>
        </w:rPr>
        <w:t xml:space="preserve"> </w:t>
      </w:r>
      <w:r w:rsidR="001B3112" w:rsidRPr="00FD211F">
        <w:rPr>
          <w:sz w:val="36"/>
          <w:szCs w:val="36"/>
          <w:rtl/>
        </w:rPr>
        <w:t>الأمر</w:t>
      </w:r>
      <w:r w:rsidR="00E8128F">
        <w:rPr>
          <w:sz w:val="36"/>
          <w:szCs w:val="36"/>
          <w:rtl/>
        </w:rPr>
        <w:t xml:space="preserve"> </w:t>
      </w:r>
      <w:r w:rsidR="00F70046" w:rsidRPr="00FD211F">
        <w:rPr>
          <w:sz w:val="36"/>
          <w:szCs w:val="36"/>
          <w:rtl/>
        </w:rPr>
        <w:t>في</w:t>
      </w:r>
      <w:r w:rsidR="00E8128F">
        <w:rPr>
          <w:sz w:val="36"/>
          <w:szCs w:val="36"/>
          <w:rtl/>
        </w:rPr>
        <w:t xml:space="preserve"> </w:t>
      </w:r>
      <w:r w:rsidR="00F70046" w:rsidRPr="00FD211F">
        <w:rPr>
          <w:sz w:val="36"/>
          <w:szCs w:val="36"/>
          <w:rtl/>
        </w:rPr>
        <w:t>الوجوب</w:t>
      </w:r>
      <w:r w:rsidR="00603323" w:rsidRPr="00FD211F">
        <w:rPr>
          <w:sz w:val="36"/>
          <w:szCs w:val="36"/>
          <w:rtl/>
        </w:rPr>
        <w:t>،</w:t>
      </w:r>
      <w:r w:rsidR="00E8128F">
        <w:rPr>
          <w:sz w:val="36"/>
          <w:szCs w:val="36"/>
          <w:rtl/>
        </w:rPr>
        <w:t xml:space="preserve"> </w:t>
      </w:r>
      <w:r w:rsidR="00F70046" w:rsidRPr="00FD211F">
        <w:rPr>
          <w:sz w:val="36"/>
          <w:szCs w:val="36"/>
          <w:rtl/>
        </w:rPr>
        <w:t>وانما</w:t>
      </w:r>
      <w:r w:rsidR="00E8128F">
        <w:rPr>
          <w:sz w:val="36"/>
          <w:szCs w:val="36"/>
          <w:rtl/>
        </w:rPr>
        <w:t xml:space="preserve"> </w:t>
      </w:r>
      <w:r w:rsidR="00F70046" w:rsidRPr="00FD211F">
        <w:rPr>
          <w:sz w:val="36"/>
          <w:szCs w:val="36"/>
          <w:rtl/>
        </w:rPr>
        <w:t>الفرق</w:t>
      </w:r>
      <w:r w:rsidR="00E8128F">
        <w:rPr>
          <w:sz w:val="36"/>
          <w:szCs w:val="36"/>
          <w:rtl/>
        </w:rPr>
        <w:t xml:space="preserve"> </w:t>
      </w:r>
      <w:r w:rsidR="00F70046" w:rsidRPr="00FD211F">
        <w:rPr>
          <w:sz w:val="36"/>
          <w:szCs w:val="36"/>
          <w:rtl/>
        </w:rPr>
        <w:t>بينهما</w:t>
      </w:r>
      <w:r w:rsidR="00E8128F">
        <w:rPr>
          <w:sz w:val="36"/>
          <w:szCs w:val="36"/>
          <w:rtl/>
        </w:rPr>
        <w:t xml:space="preserve"> </w:t>
      </w:r>
      <w:r w:rsidR="00F70046" w:rsidRPr="00FD211F">
        <w:rPr>
          <w:sz w:val="36"/>
          <w:szCs w:val="36"/>
          <w:rtl/>
        </w:rPr>
        <w:t>في</w:t>
      </w:r>
      <w:r w:rsidR="00E8128F">
        <w:rPr>
          <w:sz w:val="36"/>
          <w:szCs w:val="36"/>
          <w:rtl/>
        </w:rPr>
        <w:t xml:space="preserve"> </w:t>
      </w:r>
      <w:r w:rsidR="00F70046" w:rsidRPr="00FD211F">
        <w:rPr>
          <w:sz w:val="36"/>
          <w:szCs w:val="36"/>
          <w:rtl/>
        </w:rPr>
        <w:t>أن</w:t>
      </w:r>
      <w:r w:rsidR="00E8128F">
        <w:rPr>
          <w:sz w:val="36"/>
          <w:szCs w:val="36"/>
          <w:rtl/>
        </w:rPr>
        <w:t xml:space="preserve"> </w:t>
      </w:r>
      <w:r w:rsidR="00F70046" w:rsidRPr="00FD211F">
        <w:rPr>
          <w:sz w:val="36"/>
          <w:szCs w:val="36"/>
          <w:rtl/>
        </w:rPr>
        <w:t>البحث</w:t>
      </w:r>
      <w:r w:rsidR="00E8128F">
        <w:rPr>
          <w:sz w:val="36"/>
          <w:szCs w:val="36"/>
          <w:rtl/>
        </w:rPr>
        <w:t xml:space="preserve"> </w:t>
      </w:r>
      <w:r w:rsidR="00F70046" w:rsidRPr="00FD211F">
        <w:rPr>
          <w:sz w:val="36"/>
          <w:szCs w:val="36"/>
          <w:rtl/>
        </w:rPr>
        <w:t>الثاني</w:t>
      </w:r>
      <w:r w:rsidR="00E8128F">
        <w:rPr>
          <w:sz w:val="36"/>
          <w:szCs w:val="36"/>
          <w:rtl/>
        </w:rPr>
        <w:t xml:space="preserve"> </w:t>
      </w:r>
      <w:r w:rsidR="00F70046" w:rsidRPr="00FD211F">
        <w:rPr>
          <w:sz w:val="36"/>
          <w:szCs w:val="36"/>
          <w:rtl/>
        </w:rPr>
        <w:t>من</w:t>
      </w:r>
      <w:r w:rsidR="00E8128F">
        <w:rPr>
          <w:sz w:val="36"/>
          <w:szCs w:val="36"/>
          <w:rtl/>
        </w:rPr>
        <w:t xml:space="preserve"> </w:t>
      </w:r>
      <w:r w:rsidR="00F70046" w:rsidRPr="00FD211F">
        <w:rPr>
          <w:sz w:val="36"/>
          <w:szCs w:val="36"/>
          <w:rtl/>
        </w:rPr>
        <w:t>العناصر</w:t>
      </w:r>
      <w:r w:rsidR="00E8128F">
        <w:rPr>
          <w:sz w:val="36"/>
          <w:szCs w:val="36"/>
          <w:rtl/>
        </w:rPr>
        <w:t xml:space="preserve"> </w:t>
      </w:r>
      <w:r w:rsidR="00F70046" w:rsidRPr="00FD211F">
        <w:rPr>
          <w:sz w:val="36"/>
          <w:szCs w:val="36"/>
          <w:rtl/>
        </w:rPr>
        <w:t>المشترك</w:t>
      </w:r>
      <w:r w:rsidR="00EC7EDF" w:rsidRPr="00FD211F">
        <w:rPr>
          <w:sz w:val="36"/>
          <w:szCs w:val="36"/>
          <w:rtl/>
        </w:rPr>
        <w:t>ة</w:t>
      </w:r>
      <w:r w:rsidR="00E8128F">
        <w:rPr>
          <w:sz w:val="36"/>
          <w:szCs w:val="36"/>
          <w:rtl/>
        </w:rPr>
        <w:t xml:space="preserve"> </w:t>
      </w:r>
      <w:r w:rsidR="00F70046" w:rsidRPr="00FD211F">
        <w:rPr>
          <w:sz w:val="36"/>
          <w:szCs w:val="36"/>
          <w:rtl/>
        </w:rPr>
        <w:t>للاستنباط</w:t>
      </w:r>
      <w:r w:rsidR="00E8128F">
        <w:rPr>
          <w:sz w:val="36"/>
          <w:szCs w:val="36"/>
          <w:rtl/>
        </w:rPr>
        <w:t xml:space="preserve"> </w:t>
      </w:r>
      <w:r w:rsidR="00F70046" w:rsidRPr="00FD211F">
        <w:rPr>
          <w:sz w:val="36"/>
          <w:szCs w:val="36"/>
          <w:rtl/>
        </w:rPr>
        <w:t>دون</w:t>
      </w:r>
      <w:r w:rsidR="00E8128F">
        <w:rPr>
          <w:sz w:val="36"/>
          <w:szCs w:val="36"/>
          <w:rtl/>
        </w:rPr>
        <w:t xml:space="preserve"> </w:t>
      </w:r>
      <w:r w:rsidR="00F70046" w:rsidRPr="00FD211F">
        <w:rPr>
          <w:sz w:val="36"/>
          <w:szCs w:val="36"/>
          <w:rtl/>
        </w:rPr>
        <w:t>الاول</w:t>
      </w:r>
      <w:r w:rsidR="00E8128F">
        <w:rPr>
          <w:sz w:val="36"/>
          <w:szCs w:val="36"/>
          <w:rtl/>
        </w:rPr>
        <w:t xml:space="preserve"> </w:t>
      </w:r>
      <w:r w:rsidR="00F70046" w:rsidRPr="00FD211F">
        <w:rPr>
          <w:sz w:val="36"/>
          <w:szCs w:val="36"/>
          <w:rtl/>
        </w:rPr>
        <w:t>كماسيأتي</w:t>
      </w:r>
      <w:r w:rsidR="00E8128F">
        <w:rPr>
          <w:sz w:val="36"/>
          <w:szCs w:val="36"/>
          <w:rtl/>
        </w:rPr>
        <w:t xml:space="preserve"> </w:t>
      </w:r>
      <w:r w:rsidR="00F70046" w:rsidRPr="00FD211F">
        <w:rPr>
          <w:sz w:val="36"/>
          <w:szCs w:val="36"/>
          <w:rtl/>
        </w:rPr>
        <w:t>توضيحه</w:t>
      </w:r>
      <w:r w:rsidR="00EC7EDF" w:rsidRPr="00FD211F">
        <w:rPr>
          <w:sz w:val="36"/>
          <w:szCs w:val="36"/>
          <w:rtl/>
        </w:rPr>
        <w:t>.</w:t>
      </w:r>
    </w:p>
    <w:p w14:paraId="1FA0723F" w14:textId="77777777" w:rsidR="00D74C20" w:rsidRPr="00FD211F" w:rsidRDefault="00B655E7" w:rsidP="009C58C8">
      <w:pPr>
        <w:ind w:left="0" w:firstLine="227"/>
        <w:jc w:val="both"/>
        <w:rPr>
          <w:sz w:val="36"/>
          <w:szCs w:val="36"/>
          <w:rtl/>
        </w:rPr>
      </w:pPr>
      <w:bookmarkStart w:id="27" w:name="درس002دقيقه40"/>
      <w:bookmarkEnd w:id="27"/>
      <w:r w:rsidRPr="00FD211F">
        <w:rPr>
          <w:b/>
          <w:bCs/>
          <w:sz w:val="36"/>
          <w:szCs w:val="36"/>
          <w:rtl/>
        </w:rPr>
        <w:t>المحاول</w:t>
      </w:r>
      <w:r w:rsidR="00EC7EDF" w:rsidRPr="00FD211F">
        <w:rPr>
          <w:b/>
          <w:bCs/>
          <w:sz w:val="36"/>
          <w:szCs w:val="36"/>
          <w:rtl/>
        </w:rPr>
        <w:t>ة</w:t>
      </w:r>
      <w:r w:rsidR="00E8128F">
        <w:rPr>
          <w:b/>
          <w:bCs/>
          <w:sz w:val="36"/>
          <w:szCs w:val="36"/>
          <w:rtl/>
        </w:rPr>
        <w:t xml:space="preserve"> </w:t>
      </w:r>
      <w:r w:rsidR="00365A79" w:rsidRPr="00FD211F">
        <w:rPr>
          <w:b/>
          <w:bCs/>
          <w:sz w:val="36"/>
          <w:szCs w:val="36"/>
          <w:rtl/>
        </w:rPr>
        <w:t>الثالث</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009D35DA" w:rsidRPr="00FD211F">
        <w:rPr>
          <w:sz w:val="36"/>
          <w:szCs w:val="36"/>
          <w:rtl/>
        </w:rPr>
        <w:t>ما</w:t>
      </w:r>
      <w:r w:rsidR="00E8128F">
        <w:rPr>
          <w:sz w:val="36"/>
          <w:szCs w:val="36"/>
          <w:rtl/>
        </w:rPr>
        <w:t xml:space="preserve"> </w:t>
      </w:r>
      <w:r w:rsidR="009D35DA" w:rsidRPr="00FD211F">
        <w:rPr>
          <w:sz w:val="36"/>
          <w:szCs w:val="36"/>
          <w:rtl/>
        </w:rPr>
        <w:t>ذكره</w:t>
      </w:r>
      <w:r w:rsidR="00E8128F">
        <w:rPr>
          <w:sz w:val="36"/>
          <w:szCs w:val="36"/>
          <w:rtl/>
        </w:rPr>
        <w:t xml:space="preserve"> </w:t>
      </w:r>
      <w:r w:rsidR="009D35DA" w:rsidRPr="00FD211F">
        <w:rPr>
          <w:sz w:val="36"/>
          <w:szCs w:val="36"/>
          <w:rtl/>
        </w:rPr>
        <w:t>المحقق</w:t>
      </w:r>
      <w:r w:rsidR="00E8128F">
        <w:rPr>
          <w:sz w:val="36"/>
          <w:szCs w:val="36"/>
          <w:rtl/>
        </w:rPr>
        <w:t xml:space="preserve"> </w:t>
      </w:r>
      <w:r w:rsidR="009D35DA" w:rsidRPr="00FD211F">
        <w:rPr>
          <w:sz w:val="36"/>
          <w:szCs w:val="36"/>
          <w:rtl/>
        </w:rPr>
        <w:t>العراقي</w:t>
      </w:r>
      <w:r w:rsidR="00E8128F">
        <w:rPr>
          <w:sz w:val="36"/>
          <w:szCs w:val="36"/>
          <w:rtl/>
        </w:rPr>
        <w:t xml:space="preserve"> </w:t>
      </w:r>
      <w:r w:rsidR="00F7650D" w:rsidRPr="00FD211F">
        <w:rPr>
          <w:sz w:val="36"/>
          <w:szCs w:val="36"/>
          <w:rtl/>
        </w:rPr>
        <w:t>"</w:t>
      </w:r>
      <w:r w:rsidR="009D35DA" w:rsidRPr="00FD211F">
        <w:rPr>
          <w:sz w:val="36"/>
          <w:szCs w:val="36"/>
          <w:rtl/>
        </w:rPr>
        <w:t>قده</w:t>
      </w:r>
      <w:r w:rsidR="00F7650D" w:rsidRPr="00FD211F">
        <w:rPr>
          <w:sz w:val="36"/>
          <w:szCs w:val="36"/>
          <w:rtl/>
        </w:rPr>
        <w:t>"</w:t>
      </w:r>
      <w:r w:rsidR="00E8128F">
        <w:rPr>
          <w:sz w:val="36"/>
          <w:szCs w:val="36"/>
          <w:rtl/>
        </w:rPr>
        <w:t xml:space="preserve"> </w:t>
      </w:r>
      <w:r w:rsidR="009D35DA" w:rsidRPr="00FD211F">
        <w:rPr>
          <w:sz w:val="36"/>
          <w:szCs w:val="36"/>
          <w:rtl/>
        </w:rPr>
        <w:t>من</w:t>
      </w:r>
      <w:r w:rsidR="00E8128F">
        <w:rPr>
          <w:sz w:val="36"/>
          <w:szCs w:val="36"/>
          <w:rtl/>
        </w:rPr>
        <w:t xml:space="preserve"> </w:t>
      </w:r>
      <w:r w:rsidR="009D35DA" w:rsidRPr="00FD211F">
        <w:rPr>
          <w:sz w:val="36"/>
          <w:szCs w:val="36"/>
          <w:rtl/>
        </w:rPr>
        <w:t>ان</w:t>
      </w:r>
      <w:r w:rsidR="00E8128F">
        <w:rPr>
          <w:sz w:val="36"/>
          <w:szCs w:val="36"/>
          <w:rtl/>
        </w:rPr>
        <w:t xml:space="preserve"> </w:t>
      </w:r>
      <w:r w:rsidR="009D35DA" w:rsidRPr="00FD211F">
        <w:rPr>
          <w:sz w:val="36"/>
          <w:szCs w:val="36"/>
          <w:rtl/>
        </w:rPr>
        <w:t>علم</w:t>
      </w:r>
      <w:r w:rsidR="00E8128F">
        <w:rPr>
          <w:sz w:val="36"/>
          <w:szCs w:val="36"/>
          <w:rtl/>
        </w:rPr>
        <w:t xml:space="preserve"> </w:t>
      </w:r>
      <w:r w:rsidR="009D35DA" w:rsidRPr="00FD211F">
        <w:rPr>
          <w:sz w:val="36"/>
          <w:szCs w:val="36"/>
          <w:rtl/>
        </w:rPr>
        <w:t>الاصول</w:t>
      </w:r>
      <w:r w:rsidR="00E8128F">
        <w:rPr>
          <w:sz w:val="36"/>
          <w:szCs w:val="36"/>
          <w:rtl/>
        </w:rPr>
        <w:t xml:space="preserve"> </w:t>
      </w:r>
      <w:r w:rsidR="009D35DA" w:rsidRPr="00FD211F">
        <w:rPr>
          <w:sz w:val="36"/>
          <w:szCs w:val="36"/>
          <w:rtl/>
        </w:rPr>
        <w:t>ما</w:t>
      </w:r>
      <w:r w:rsidR="00E8128F">
        <w:rPr>
          <w:sz w:val="36"/>
          <w:szCs w:val="36"/>
          <w:rtl/>
        </w:rPr>
        <w:t xml:space="preserve"> </w:t>
      </w:r>
      <w:r w:rsidR="009D35DA" w:rsidRPr="00FD211F">
        <w:rPr>
          <w:sz w:val="36"/>
          <w:szCs w:val="36"/>
          <w:rtl/>
        </w:rPr>
        <w:t>يبحث</w:t>
      </w:r>
      <w:r w:rsidR="00E8128F">
        <w:rPr>
          <w:sz w:val="36"/>
          <w:szCs w:val="36"/>
          <w:rtl/>
        </w:rPr>
        <w:t xml:space="preserve"> </w:t>
      </w:r>
      <w:r w:rsidR="009D35DA" w:rsidRPr="00FD211F">
        <w:rPr>
          <w:sz w:val="36"/>
          <w:szCs w:val="36"/>
          <w:rtl/>
        </w:rPr>
        <w:t>عن</w:t>
      </w:r>
      <w:r w:rsidR="00E8128F">
        <w:rPr>
          <w:sz w:val="36"/>
          <w:szCs w:val="36"/>
          <w:rtl/>
        </w:rPr>
        <w:t xml:space="preserve"> </w:t>
      </w:r>
      <w:r w:rsidR="009D35DA" w:rsidRPr="00FD211F">
        <w:rPr>
          <w:sz w:val="36"/>
          <w:szCs w:val="36"/>
          <w:rtl/>
        </w:rPr>
        <w:t>المسائل</w:t>
      </w:r>
      <w:r w:rsidR="00E8128F">
        <w:rPr>
          <w:sz w:val="36"/>
          <w:szCs w:val="36"/>
          <w:rtl/>
        </w:rPr>
        <w:t xml:space="preserve"> </w:t>
      </w:r>
      <w:r w:rsidR="009D35DA" w:rsidRPr="00FD211F">
        <w:rPr>
          <w:sz w:val="36"/>
          <w:szCs w:val="36"/>
          <w:rtl/>
        </w:rPr>
        <w:t>التي</w:t>
      </w:r>
      <w:r w:rsidR="00E8128F">
        <w:rPr>
          <w:sz w:val="36"/>
          <w:szCs w:val="36"/>
          <w:rtl/>
        </w:rPr>
        <w:t xml:space="preserve"> </w:t>
      </w:r>
      <w:r w:rsidR="009D35DA" w:rsidRPr="00FD211F">
        <w:rPr>
          <w:sz w:val="36"/>
          <w:szCs w:val="36"/>
          <w:rtl/>
        </w:rPr>
        <w:t>تقع</w:t>
      </w:r>
      <w:r w:rsidR="00E8128F">
        <w:rPr>
          <w:sz w:val="36"/>
          <w:szCs w:val="36"/>
          <w:rtl/>
        </w:rPr>
        <w:t xml:space="preserve"> </w:t>
      </w:r>
      <w:r w:rsidR="009D35DA" w:rsidRPr="00FD211F">
        <w:rPr>
          <w:sz w:val="36"/>
          <w:szCs w:val="36"/>
          <w:rtl/>
        </w:rPr>
        <w:t>نتيجتها</w:t>
      </w:r>
      <w:r w:rsidR="00E8128F">
        <w:rPr>
          <w:sz w:val="36"/>
          <w:szCs w:val="36"/>
          <w:rtl/>
        </w:rPr>
        <w:t xml:space="preserve"> </w:t>
      </w:r>
      <w:r w:rsidR="009D35DA" w:rsidRPr="00FD211F">
        <w:rPr>
          <w:sz w:val="36"/>
          <w:szCs w:val="36"/>
          <w:rtl/>
        </w:rPr>
        <w:t>في</w:t>
      </w:r>
      <w:r w:rsidR="00E8128F">
        <w:rPr>
          <w:sz w:val="36"/>
          <w:szCs w:val="36"/>
          <w:rtl/>
        </w:rPr>
        <w:t xml:space="preserve"> </w:t>
      </w:r>
      <w:r w:rsidR="009D35DA" w:rsidRPr="00FD211F">
        <w:rPr>
          <w:sz w:val="36"/>
          <w:szCs w:val="36"/>
          <w:rtl/>
        </w:rPr>
        <w:t>طريق</w:t>
      </w:r>
      <w:r w:rsidR="00E8128F">
        <w:rPr>
          <w:sz w:val="36"/>
          <w:szCs w:val="36"/>
          <w:rtl/>
        </w:rPr>
        <w:t xml:space="preserve"> </w:t>
      </w:r>
      <w:r w:rsidR="009D35DA" w:rsidRPr="00FD211F">
        <w:rPr>
          <w:sz w:val="36"/>
          <w:szCs w:val="36"/>
          <w:rtl/>
        </w:rPr>
        <w:t>استنباط</w:t>
      </w:r>
      <w:r w:rsidR="00E8128F">
        <w:rPr>
          <w:sz w:val="36"/>
          <w:szCs w:val="36"/>
          <w:rtl/>
        </w:rPr>
        <w:t xml:space="preserve"> </w:t>
      </w:r>
      <w:r w:rsidR="009D35DA" w:rsidRPr="00FD211F">
        <w:rPr>
          <w:sz w:val="36"/>
          <w:szCs w:val="36"/>
          <w:rtl/>
        </w:rPr>
        <w:t>الحكم</w:t>
      </w:r>
      <w:r w:rsidR="00E8128F">
        <w:rPr>
          <w:sz w:val="36"/>
          <w:szCs w:val="36"/>
          <w:rtl/>
        </w:rPr>
        <w:t xml:space="preserve"> </w:t>
      </w:r>
      <w:r w:rsidR="009D35DA" w:rsidRPr="00FD211F">
        <w:rPr>
          <w:sz w:val="36"/>
          <w:szCs w:val="36"/>
          <w:rtl/>
        </w:rPr>
        <w:t>الشر</w:t>
      </w:r>
      <w:r w:rsidR="00F7650D" w:rsidRPr="00FD211F">
        <w:rPr>
          <w:sz w:val="36"/>
          <w:szCs w:val="36"/>
          <w:rtl/>
        </w:rPr>
        <w:t>عي</w:t>
      </w:r>
      <w:r w:rsidR="00603323" w:rsidRPr="00FD211F">
        <w:rPr>
          <w:sz w:val="36"/>
          <w:szCs w:val="36"/>
          <w:rtl/>
        </w:rPr>
        <w:t>،</w:t>
      </w:r>
      <w:r w:rsidR="00E8128F">
        <w:rPr>
          <w:sz w:val="36"/>
          <w:szCs w:val="36"/>
          <w:rtl/>
        </w:rPr>
        <w:t xml:space="preserve"> </w:t>
      </w:r>
      <w:r w:rsidR="00F7650D" w:rsidRPr="00FD211F">
        <w:rPr>
          <w:sz w:val="36"/>
          <w:szCs w:val="36"/>
          <w:rtl/>
        </w:rPr>
        <w:t>بنحو</w:t>
      </w:r>
      <w:r w:rsidR="00E8128F">
        <w:rPr>
          <w:sz w:val="36"/>
          <w:szCs w:val="36"/>
          <w:rtl/>
        </w:rPr>
        <w:t xml:space="preserve"> </w:t>
      </w:r>
      <w:r w:rsidR="00F7650D" w:rsidRPr="00FD211F">
        <w:rPr>
          <w:sz w:val="36"/>
          <w:szCs w:val="36"/>
          <w:rtl/>
        </w:rPr>
        <w:t>تكون</w:t>
      </w:r>
      <w:r w:rsidR="00E8128F">
        <w:rPr>
          <w:sz w:val="36"/>
          <w:szCs w:val="36"/>
          <w:rtl/>
        </w:rPr>
        <w:t xml:space="preserve"> </w:t>
      </w:r>
      <w:r w:rsidR="00F7650D" w:rsidRPr="00FD211F">
        <w:rPr>
          <w:sz w:val="36"/>
          <w:szCs w:val="36"/>
          <w:rtl/>
        </w:rPr>
        <w:t>المسأل</w:t>
      </w:r>
      <w:r w:rsidR="00EC7EDF" w:rsidRPr="00FD211F">
        <w:rPr>
          <w:sz w:val="36"/>
          <w:szCs w:val="36"/>
          <w:rtl/>
        </w:rPr>
        <w:t>ة</w:t>
      </w:r>
      <w:r w:rsidR="00E8128F">
        <w:rPr>
          <w:sz w:val="36"/>
          <w:szCs w:val="36"/>
          <w:rtl/>
        </w:rPr>
        <w:t xml:space="preserve"> </w:t>
      </w:r>
      <w:r w:rsidR="00F7650D" w:rsidRPr="00FD211F">
        <w:rPr>
          <w:sz w:val="36"/>
          <w:szCs w:val="36"/>
          <w:rtl/>
        </w:rPr>
        <w:t>ناظر</w:t>
      </w:r>
      <w:r w:rsidR="00EC7EDF" w:rsidRPr="00FD211F">
        <w:rPr>
          <w:sz w:val="36"/>
          <w:szCs w:val="36"/>
          <w:rtl/>
        </w:rPr>
        <w:t>ة</w:t>
      </w:r>
      <w:r w:rsidR="00E8128F">
        <w:rPr>
          <w:sz w:val="36"/>
          <w:szCs w:val="36"/>
          <w:rtl/>
        </w:rPr>
        <w:t xml:space="preserve"> </w:t>
      </w:r>
      <w:r w:rsidR="00F7650D" w:rsidRPr="00FD211F">
        <w:rPr>
          <w:sz w:val="36"/>
          <w:szCs w:val="36"/>
          <w:rtl/>
        </w:rPr>
        <w:t>الى</w:t>
      </w:r>
      <w:r w:rsidR="00E8128F">
        <w:rPr>
          <w:sz w:val="36"/>
          <w:szCs w:val="36"/>
          <w:rtl/>
        </w:rPr>
        <w:t xml:space="preserve"> </w:t>
      </w:r>
      <w:r w:rsidR="00D74C20" w:rsidRPr="00FD211F">
        <w:rPr>
          <w:sz w:val="36"/>
          <w:szCs w:val="36"/>
          <w:rtl/>
        </w:rPr>
        <w:t>اثبات</w:t>
      </w:r>
      <w:r w:rsidR="00E8128F">
        <w:rPr>
          <w:sz w:val="36"/>
          <w:szCs w:val="36"/>
          <w:rtl/>
        </w:rPr>
        <w:t xml:space="preserve"> </w:t>
      </w:r>
      <w:r w:rsidR="00D74C20" w:rsidRPr="00FD211F">
        <w:rPr>
          <w:sz w:val="36"/>
          <w:szCs w:val="36"/>
          <w:rtl/>
        </w:rPr>
        <w:t>الحكم</w:t>
      </w:r>
      <w:r w:rsidR="00E8128F">
        <w:rPr>
          <w:sz w:val="36"/>
          <w:szCs w:val="36"/>
          <w:rtl/>
        </w:rPr>
        <w:t xml:space="preserve"> </w:t>
      </w:r>
      <w:r w:rsidR="00D74C20" w:rsidRPr="00FD211F">
        <w:rPr>
          <w:sz w:val="36"/>
          <w:szCs w:val="36"/>
          <w:rtl/>
        </w:rPr>
        <w:t>الشرعي</w:t>
      </w:r>
      <w:r w:rsidR="00E8128F">
        <w:rPr>
          <w:sz w:val="36"/>
          <w:szCs w:val="36"/>
          <w:rtl/>
        </w:rPr>
        <w:t xml:space="preserve"> </w:t>
      </w:r>
      <w:r w:rsidR="00D74C20" w:rsidRPr="00FD211F">
        <w:rPr>
          <w:sz w:val="36"/>
          <w:szCs w:val="36"/>
          <w:rtl/>
        </w:rPr>
        <w:t>بنفسه</w:t>
      </w:r>
      <w:r w:rsidR="00E8128F">
        <w:rPr>
          <w:sz w:val="36"/>
          <w:szCs w:val="36"/>
          <w:rtl/>
        </w:rPr>
        <w:t xml:space="preserve"> </w:t>
      </w:r>
      <w:r w:rsidR="00D74C20" w:rsidRPr="00FD211F">
        <w:rPr>
          <w:sz w:val="36"/>
          <w:szCs w:val="36"/>
          <w:rtl/>
        </w:rPr>
        <w:t>او</w:t>
      </w:r>
      <w:r w:rsidR="00E8128F">
        <w:rPr>
          <w:sz w:val="36"/>
          <w:szCs w:val="36"/>
          <w:rtl/>
        </w:rPr>
        <w:t xml:space="preserve"> </w:t>
      </w:r>
      <w:r w:rsidR="00D74C20" w:rsidRPr="00FD211F">
        <w:rPr>
          <w:sz w:val="36"/>
          <w:szCs w:val="36"/>
          <w:rtl/>
        </w:rPr>
        <w:t>الى</w:t>
      </w:r>
      <w:r w:rsidR="00E8128F">
        <w:rPr>
          <w:sz w:val="36"/>
          <w:szCs w:val="36"/>
          <w:rtl/>
        </w:rPr>
        <w:t xml:space="preserve"> </w:t>
      </w:r>
      <w:r w:rsidR="00D74C20" w:rsidRPr="00FD211F">
        <w:rPr>
          <w:sz w:val="36"/>
          <w:szCs w:val="36"/>
          <w:rtl/>
        </w:rPr>
        <w:t>كيفي</w:t>
      </w:r>
      <w:r w:rsidR="00EC7EDF" w:rsidRPr="00FD211F">
        <w:rPr>
          <w:sz w:val="36"/>
          <w:szCs w:val="36"/>
          <w:rtl/>
        </w:rPr>
        <w:t>ة</w:t>
      </w:r>
      <w:r w:rsidR="00E8128F">
        <w:rPr>
          <w:sz w:val="36"/>
          <w:szCs w:val="36"/>
          <w:rtl/>
        </w:rPr>
        <w:t xml:space="preserve"> </w:t>
      </w:r>
      <w:r w:rsidR="00D74C20" w:rsidRPr="00FD211F">
        <w:rPr>
          <w:sz w:val="36"/>
          <w:szCs w:val="36"/>
          <w:rtl/>
        </w:rPr>
        <w:t>تعلقه</w:t>
      </w:r>
      <w:r w:rsidR="00E8128F">
        <w:rPr>
          <w:sz w:val="36"/>
          <w:szCs w:val="36"/>
          <w:rtl/>
        </w:rPr>
        <w:t xml:space="preserve"> </w:t>
      </w:r>
      <w:r w:rsidR="00D74C20" w:rsidRPr="00FD211F">
        <w:rPr>
          <w:sz w:val="36"/>
          <w:szCs w:val="36"/>
          <w:rtl/>
        </w:rPr>
        <w:t>بموضوعه</w:t>
      </w:r>
      <w:r w:rsidR="00E8128F">
        <w:rPr>
          <w:sz w:val="36"/>
          <w:szCs w:val="36"/>
          <w:rtl/>
        </w:rPr>
        <w:t xml:space="preserve"> </w:t>
      </w:r>
      <w:r w:rsidR="00D74C20" w:rsidRPr="00FD211F">
        <w:rPr>
          <w:sz w:val="36"/>
          <w:szCs w:val="36"/>
          <w:rtl/>
        </w:rPr>
        <w:t>كمباحث</w:t>
      </w:r>
      <w:r w:rsidR="00E8128F">
        <w:rPr>
          <w:sz w:val="36"/>
          <w:szCs w:val="36"/>
          <w:rtl/>
        </w:rPr>
        <w:t xml:space="preserve"> </w:t>
      </w:r>
      <w:r w:rsidR="00D74C20" w:rsidRPr="00FD211F">
        <w:rPr>
          <w:sz w:val="36"/>
          <w:szCs w:val="36"/>
          <w:rtl/>
        </w:rPr>
        <w:t>العام</w:t>
      </w:r>
      <w:r w:rsidR="00E8128F">
        <w:rPr>
          <w:sz w:val="36"/>
          <w:szCs w:val="36"/>
          <w:rtl/>
        </w:rPr>
        <w:t xml:space="preserve"> </w:t>
      </w:r>
      <w:r w:rsidR="00D74C20" w:rsidRPr="00FD211F">
        <w:rPr>
          <w:sz w:val="36"/>
          <w:szCs w:val="36"/>
          <w:rtl/>
        </w:rPr>
        <w:t>والخاص</w:t>
      </w:r>
      <w:r w:rsidR="00E8128F">
        <w:rPr>
          <w:sz w:val="36"/>
          <w:szCs w:val="36"/>
          <w:rtl/>
        </w:rPr>
        <w:t xml:space="preserve"> </w:t>
      </w:r>
      <w:r w:rsidR="00D74C20" w:rsidRPr="00FD211F">
        <w:rPr>
          <w:sz w:val="36"/>
          <w:szCs w:val="36"/>
          <w:rtl/>
        </w:rPr>
        <w:t>والمطلق</w:t>
      </w:r>
      <w:r w:rsidR="00E8128F">
        <w:rPr>
          <w:sz w:val="36"/>
          <w:szCs w:val="36"/>
          <w:rtl/>
        </w:rPr>
        <w:t xml:space="preserve"> </w:t>
      </w:r>
      <w:r w:rsidR="00D74C20" w:rsidRPr="00FD211F">
        <w:rPr>
          <w:sz w:val="36"/>
          <w:szCs w:val="36"/>
          <w:rtl/>
        </w:rPr>
        <w:t>والمقيد</w:t>
      </w:r>
      <w:r w:rsidR="00E8128F">
        <w:rPr>
          <w:sz w:val="36"/>
          <w:szCs w:val="36"/>
          <w:rtl/>
        </w:rPr>
        <w:t xml:space="preserve"> </w:t>
      </w:r>
      <w:r w:rsidR="00D74C20" w:rsidRPr="00FD211F">
        <w:rPr>
          <w:sz w:val="36"/>
          <w:szCs w:val="36"/>
          <w:rtl/>
        </w:rPr>
        <w:t>ومباحث</w:t>
      </w:r>
      <w:r w:rsidR="00E8128F">
        <w:rPr>
          <w:sz w:val="36"/>
          <w:szCs w:val="36"/>
          <w:rtl/>
        </w:rPr>
        <w:t xml:space="preserve"> </w:t>
      </w:r>
      <w:r w:rsidR="00D74C20" w:rsidRPr="00FD211F">
        <w:rPr>
          <w:sz w:val="36"/>
          <w:szCs w:val="36"/>
          <w:rtl/>
        </w:rPr>
        <w:t>المفاهيم</w:t>
      </w:r>
      <w:r w:rsidR="00603323" w:rsidRPr="00FD211F">
        <w:rPr>
          <w:sz w:val="36"/>
          <w:szCs w:val="36"/>
          <w:rtl/>
        </w:rPr>
        <w:t>،</w:t>
      </w:r>
      <w:r w:rsidR="00E8128F">
        <w:rPr>
          <w:sz w:val="36"/>
          <w:szCs w:val="36"/>
          <w:rtl/>
        </w:rPr>
        <w:t xml:space="preserve"> </w:t>
      </w:r>
      <w:r w:rsidR="001A5E03" w:rsidRPr="00FD211F">
        <w:rPr>
          <w:sz w:val="36"/>
          <w:szCs w:val="36"/>
          <w:rtl/>
        </w:rPr>
        <w:t>حيث</w:t>
      </w:r>
      <w:r w:rsidR="00E8128F">
        <w:rPr>
          <w:sz w:val="36"/>
          <w:szCs w:val="36"/>
          <w:rtl/>
        </w:rPr>
        <w:t xml:space="preserve"> </w:t>
      </w:r>
      <w:r w:rsidR="001A5E03" w:rsidRPr="00FD211F">
        <w:rPr>
          <w:sz w:val="36"/>
          <w:szCs w:val="36"/>
          <w:rtl/>
        </w:rPr>
        <w:t>يبحث</w:t>
      </w:r>
      <w:r w:rsidR="00E8128F">
        <w:rPr>
          <w:sz w:val="36"/>
          <w:szCs w:val="36"/>
          <w:rtl/>
        </w:rPr>
        <w:t xml:space="preserve"> </w:t>
      </w:r>
      <w:r w:rsidR="001A5E03" w:rsidRPr="00FD211F">
        <w:rPr>
          <w:sz w:val="36"/>
          <w:szCs w:val="36"/>
          <w:rtl/>
        </w:rPr>
        <w:t>في</w:t>
      </w:r>
      <w:r w:rsidR="00E8128F">
        <w:rPr>
          <w:sz w:val="36"/>
          <w:szCs w:val="36"/>
          <w:rtl/>
        </w:rPr>
        <w:t xml:space="preserve"> </w:t>
      </w:r>
      <w:r w:rsidR="001A5E03" w:rsidRPr="00FD211F">
        <w:rPr>
          <w:sz w:val="36"/>
          <w:szCs w:val="36"/>
          <w:rtl/>
        </w:rPr>
        <w:t>المطلق</w:t>
      </w:r>
      <w:r w:rsidR="00E8128F">
        <w:rPr>
          <w:sz w:val="36"/>
          <w:szCs w:val="36"/>
          <w:rtl/>
        </w:rPr>
        <w:t xml:space="preserve"> </w:t>
      </w:r>
      <w:r w:rsidR="001A5E03" w:rsidRPr="00FD211F">
        <w:rPr>
          <w:sz w:val="36"/>
          <w:szCs w:val="36"/>
          <w:rtl/>
        </w:rPr>
        <w:t>والمقيد</w:t>
      </w:r>
      <w:r w:rsidR="00E8128F">
        <w:rPr>
          <w:sz w:val="36"/>
          <w:szCs w:val="36"/>
          <w:rtl/>
        </w:rPr>
        <w:t xml:space="preserve"> </w:t>
      </w:r>
      <w:r w:rsidR="001A5E03" w:rsidRPr="00FD211F">
        <w:rPr>
          <w:sz w:val="36"/>
          <w:szCs w:val="36"/>
          <w:rtl/>
        </w:rPr>
        <w:t>مثلا</w:t>
      </w:r>
      <w:r w:rsidR="00E8128F">
        <w:rPr>
          <w:sz w:val="36"/>
          <w:szCs w:val="36"/>
          <w:rtl/>
        </w:rPr>
        <w:t xml:space="preserve"> </w:t>
      </w:r>
      <w:r w:rsidR="001A5E03" w:rsidRPr="00FD211F">
        <w:rPr>
          <w:sz w:val="36"/>
          <w:szCs w:val="36"/>
          <w:rtl/>
        </w:rPr>
        <w:t>ان</w:t>
      </w:r>
      <w:r w:rsidR="00E8128F">
        <w:rPr>
          <w:sz w:val="36"/>
          <w:szCs w:val="36"/>
          <w:rtl/>
        </w:rPr>
        <w:t xml:space="preserve"> </w:t>
      </w:r>
      <w:r w:rsidR="001A5E03" w:rsidRPr="00FD211F">
        <w:rPr>
          <w:sz w:val="36"/>
          <w:szCs w:val="36"/>
          <w:rtl/>
        </w:rPr>
        <w:t>الحكم</w:t>
      </w:r>
      <w:r w:rsidR="00E8128F">
        <w:rPr>
          <w:sz w:val="36"/>
          <w:szCs w:val="36"/>
          <w:rtl/>
        </w:rPr>
        <w:t xml:space="preserve"> </w:t>
      </w:r>
      <w:r w:rsidR="001A5E03" w:rsidRPr="00FD211F">
        <w:rPr>
          <w:sz w:val="36"/>
          <w:szCs w:val="36"/>
          <w:rtl/>
        </w:rPr>
        <w:t>الشرعي</w:t>
      </w:r>
      <w:r w:rsidR="00E8128F">
        <w:rPr>
          <w:sz w:val="36"/>
          <w:szCs w:val="36"/>
          <w:rtl/>
        </w:rPr>
        <w:t xml:space="preserve"> </w:t>
      </w:r>
      <w:r w:rsidR="001A5E03" w:rsidRPr="00FD211F">
        <w:rPr>
          <w:sz w:val="36"/>
          <w:szCs w:val="36"/>
          <w:rtl/>
        </w:rPr>
        <w:t>ثابت</w:t>
      </w:r>
      <w:r w:rsidR="00E8128F">
        <w:rPr>
          <w:sz w:val="36"/>
          <w:szCs w:val="36"/>
          <w:rtl/>
        </w:rPr>
        <w:t xml:space="preserve"> </w:t>
      </w:r>
      <w:r w:rsidR="001A5E03" w:rsidRPr="00FD211F">
        <w:rPr>
          <w:sz w:val="36"/>
          <w:szCs w:val="36"/>
          <w:rtl/>
        </w:rPr>
        <w:t>للموضوع</w:t>
      </w:r>
      <w:r w:rsidR="00E8128F">
        <w:rPr>
          <w:sz w:val="36"/>
          <w:szCs w:val="36"/>
          <w:rtl/>
        </w:rPr>
        <w:t xml:space="preserve"> </w:t>
      </w:r>
      <w:r w:rsidR="001A5E03" w:rsidRPr="00FD211F">
        <w:rPr>
          <w:sz w:val="36"/>
          <w:szCs w:val="36"/>
          <w:rtl/>
        </w:rPr>
        <w:t>بلاقيد</w:t>
      </w:r>
      <w:r w:rsidR="00E8128F">
        <w:rPr>
          <w:sz w:val="36"/>
          <w:szCs w:val="36"/>
          <w:rtl/>
        </w:rPr>
        <w:t xml:space="preserve"> </w:t>
      </w:r>
      <w:r w:rsidR="001A5E03" w:rsidRPr="00FD211F">
        <w:rPr>
          <w:sz w:val="36"/>
          <w:szCs w:val="36"/>
          <w:rtl/>
        </w:rPr>
        <w:t>ام</w:t>
      </w:r>
      <w:r w:rsidR="00E8128F">
        <w:rPr>
          <w:sz w:val="36"/>
          <w:szCs w:val="36"/>
          <w:rtl/>
        </w:rPr>
        <w:t xml:space="preserve"> </w:t>
      </w:r>
      <w:r w:rsidR="001A5E03" w:rsidRPr="00FD211F">
        <w:rPr>
          <w:sz w:val="36"/>
          <w:szCs w:val="36"/>
          <w:rtl/>
        </w:rPr>
        <w:t>لا</w:t>
      </w:r>
      <w:r w:rsidR="00603323" w:rsidRPr="00FD211F">
        <w:rPr>
          <w:sz w:val="36"/>
          <w:szCs w:val="36"/>
          <w:rtl/>
        </w:rPr>
        <w:t>،</w:t>
      </w:r>
      <w:r w:rsidR="00E8128F">
        <w:rPr>
          <w:sz w:val="36"/>
          <w:szCs w:val="36"/>
          <w:rtl/>
        </w:rPr>
        <w:t xml:space="preserve"> </w:t>
      </w:r>
      <w:r w:rsidR="001A5E03" w:rsidRPr="00FD211F">
        <w:rPr>
          <w:sz w:val="36"/>
          <w:szCs w:val="36"/>
          <w:rtl/>
        </w:rPr>
        <w:t>او</w:t>
      </w:r>
      <w:r w:rsidR="00E8128F">
        <w:rPr>
          <w:sz w:val="36"/>
          <w:szCs w:val="36"/>
          <w:rtl/>
        </w:rPr>
        <w:t xml:space="preserve"> </w:t>
      </w:r>
      <w:r w:rsidR="001A5E03" w:rsidRPr="00FD211F">
        <w:rPr>
          <w:sz w:val="36"/>
          <w:szCs w:val="36"/>
          <w:rtl/>
        </w:rPr>
        <w:t>يبحث</w:t>
      </w:r>
      <w:r w:rsidR="00E8128F">
        <w:rPr>
          <w:sz w:val="36"/>
          <w:szCs w:val="36"/>
          <w:rtl/>
        </w:rPr>
        <w:t xml:space="preserve"> </w:t>
      </w:r>
      <w:r w:rsidR="001A5E03" w:rsidRPr="00FD211F">
        <w:rPr>
          <w:sz w:val="36"/>
          <w:szCs w:val="36"/>
          <w:rtl/>
        </w:rPr>
        <w:t>في</w:t>
      </w:r>
      <w:r w:rsidR="00E8128F">
        <w:rPr>
          <w:sz w:val="36"/>
          <w:szCs w:val="36"/>
          <w:rtl/>
        </w:rPr>
        <w:t xml:space="preserve"> </w:t>
      </w:r>
      <w:r w:rsidR="001A5E03" w:rsidRPr="00FD211F">
        <w:rPr>
          <w:sz w:val="36"/>
          <w:szCs w:val="36"/>
          <w:rtl/>
        </w:rPr>
        <w:t>مفهوم</w:t>
      </w:r>
      <w:r w:rsidR="00E8128F">
        <w:rPr>
          <w:sz w:val="36"/>
          <w:szCs w:val="36"/>
          <w:rtl/>
        </w:rPr>
        <w:t xml:space="preserve"> </w:t>
      </w:r>
      <w:r w:rsidR="001A5E03" w:rsidRPr="00FD211F">
        <w:rPr>
          <w:sz w:val="36"/>
          <w:szCs w:val="36"/>
          <w:rtl/>
        </w:rPr>
        <w:t>الشرط</w:t>
      </w:r>
      <w:r w:rsidR="00E8128F">
        <w:rPr>
          <w:sz w:val="36"/>
          <w:szCs w:val="36"/>
          <w:rtl/>
        </w:rPr>
        <w:t xml:space="preserve"> </w:t>
      </w:r>
      <w:r w:rsidR="001A5E03" w:rsidRPr="00FD211F">
        <w:rPr>
          <w:sz w:val="36"/>
          <w:szCs w:val="36"/>
          <w:rtl/>
        </w:rPr>
        <w:t>مثلا</w:t>
      </w:r>
      <w:r w:rsidR="00E8128F">
        <w:rPr>
          <w:sz w:val="36"/>
          <w:szCs w:val="36"/>
          <w:rtl/>
        </w:rPr>
        <w:t xml:space="preserve"> </w:t>
      </w:r>
      <w:r w:rsidR="001A5E03" w:rsidRPr="00FD211F">
        <w:rPr>
          <w:sz w:val="36"/>
          <w:szCs w:val="36"/>
          <w:rtl/>
        </w:rPr>
        <w:t>ان</w:t>
      </w:r>
      <w:r w:rsidR="00E8128F">
        <w:rPr>
          <w:sz w:val="36"/>
          <w:szCs w:val="36"/>
          <w:rtl/>
        </w:rPr>
        <w:t xml:space="preserve"> </w:t>
      </w:r>
      <w:r w:rsidR="001A5E03" w:rsidRPr="00FD211F">
        <w:rPr>
          <w:sz w:val="36"/>
          <w:szCs w:val="36"/>
          <w:rtl/>
        </w:rPr>
        <w:t>الحكم</w:t>
      </w:r>
      <w:r w:rsidR="00E8128F">
        <w:rPr>
          <w:sz w:val="36"/>
          <w:szCs w:val="36"/>
          <w:rtl/>
        </w:rPr>
        <w:t xml:space="preserve"> </w:t>
      </w:r>
      <w:r w:rsidR="001A5E03" w:rsidRPr="00FD211F">
        <w:rPr>
          <w:sz w:val="36"/>
          <w:szCs w:val="36"/>
          <w:rtl/>
        </w:rPr>
        <w:t>الذي</w:t>
      </w:r>
      <w:r w:rsidR="00E8128F">
        <w:rPr>
          <w:sz w:val="36"/>
          <w:szCs w:val="36"/>
          <w:rtl/>
        </w:rPr>
        <w:t xml:space="preserve"> </w:t>
      </w:r>
      <w:r w:rsidR="001A5E03" w:rsidRPr="00FD211F">
        <w:rPr>
          <w:sz w:val="36"/>
          <w:szCs w:val="36"/>
          <w:rtl/>
        </w:rPr>
        <w:t>يدل</w:t>
      </w:r>
      <w:r w:rsidR="00E8128F">
        <w:rPr>
          <w:sz w:val="36"/>
          <w:szCs w:val="36"/>
          <w:rtl/>
        </w:rPr>
        <w:t xml:space="preserve"> </w:t>
      </w:r>
      <w:r w:rsidR="001A5E03" w:rsidRPr="00FD211F">
        <w:rPr>
          <w:sz w:val="36"/>
          <w:szCs w:val="36"/>
          <w:rtl/>
        </w:rPr>
        <w:t>عليه</w:t>
      </w:r>
      <w:r w:rsidR="00E8128F">
        <w:rPr>
          <w:sz w:val="36"/>
          <w:szCs w:val="36"/>
          <w:rtl/>
        </w:rPr>
        <w:t xml:space="preserve"> </w:t>
      </w:r>
      <w:r w:rsidR="001A5E03" w:rsidRPr="00FD211F">
        <w:rPr>
          <w:sz w:val="36"/>
          <w:szCs w:val="36"/>
          <w:rtl/>
        </w:rPr>
        <w:t>الجزاء</w:t>
      </w:r>
      <w:r w:rsidR="00E8128F">
        <w:rPr>
          <w:sz w:val="36"/>
          <w:szCs w:val="36"/>
          <w:rtl/>
        </w:rPr>
        <w:t xml:space="preserve"> </w:t>
      </w:r>
      <w:r w:rsidR="001A5E03" w:rsidRPr="00FD211F">
        <w:rPr>
          <w:sz w:val="36"/>
          <w:szCs w:val="36"/>
          <w:rtl/>
        </w:rPr>
        <w:t>في</w:t>
      </w:r>
      <w:r w:rsidR="00E8128F">
        <w:rPr>
          <w:sz w:val="36"/>
          <w:szCs w:val="36"/>
          <w:rtl/>
        </w:rPr>
        <w:t xml:space="preserve"> </w:t>
      </w:r>
      <w:r w:rsidR="001A5E03" w:rsidRPr="00FD211F">
        <w:rPr>
          <w:sz w:val="36"/>
          <w:szCs w:val="36"/>
          <w:rtl/>
        </w:rPr>
        <w:t>الجمل</w:t>
      </w:r>
      <w:r w:rsidR="00EC7EDF" w:rsidRPr="00FD211F">
        <w:rPr>
          <w:sz w:val="36"/>
          <w:szCs w:val="36"/>
          <w:rtl/>
        </w:rPr>
        <w:t>ة</w:t>
      </w:r>
      <w:r w:rsidR="00E8128F">
        <w:rPr>
          <w:sz w:val="36"/>
          <w:szCs w:val="36"/>
          <w:rtl/>
        </w:rPr>
        <w:t xml:space="preserve"> </w:t>
      </w:r>
      <w:r w:rsidR="001A5E03" w:rsidRPr="00FD211F">
        <w:rPr>
          <w:sz w:val="36"/>
          <w:szCs w:val="36"/>
          <w:rtl/>
        </w:rPr>
        <w:t>الشرطي</w:t>
      </w:r>
      <w:r w:rsidR="00EC7EDF" w:rsidRPr="00FD211F">
        <w:rPr>
          <w:sz w:val="36"/>
          <w:szCs w:val="36"/>
          <w:rtl/>
        </w:rPr>
        <w:t>ة</w:t>
      </w:r>
      <w:r w:rsidR="00E8128F">
        <w:rPr>
          <w:sz w:val="36"/>
          <w:szCs w:val="36"/>
          <w:rtl/>
        </w:rPr>
        <w:t xml:space="preserve"> </w:t>
      </w:r>
      <w:r w:rsidR="001A5E03" w:rsidRPr="00FD211F">
        <w:rPr>
          <w:sz w:val="36"/>
          <w:szCs w:val="36"/>
          <w:rtl/>
        </w:rPr>
        <w:t>هل</w:t>
      </w:r>
      <w:r w:rsidR="00E8128F">
        <w:rPr>
          <w:sz w:val="36"/>
          <w:szCs w:val="36"/>
          <w:rtl/>
        </w:rPr>
        <w:t xml:space="preserve"> </w:t>
      </w:r>
      <w:r w:rsidR="001A5E03" w:rsidRPr="00FD211F">
        <w:rPr>
          <w:sz w:val="36"/>
          <w:szCs w:val="36"/>
          <w:rtl/>
        </w:rPr>
        <w:t>ينتفي</w:t>
      </w:r>
      <w:r w:rsidR="00E8128F">
        <w:rPr>
          <w:sz w:val="36"/>
          <w:szCs w:val="36"/>
          <w:rtl/>
        </w:rPr>
        <w:t xml:space="preserve"> </w:t>
      </w:r>
      <w:r w:rsidR="001A5E03" w:rsidRPr="00FD211F">
        <w:rPr>
          <w:sz w:val="36"/>
          <w:szCs w:val="36"/>
          <w:rtl/>
        </w:rPr>
        <w:t>بانتفاء</w:t>
      </w:r>
      <w:r w:rsidR="00E8128F">
        <w:rPr>
          <w:sz w:val="36"/>
          <w:szCs w:val="36"/>
          <w:rtl/>
        </w:rPr>
        <w:t xml:space="preserve"> </w:t>
      </w:r>
      <w:r w:rsidR="001A5E03" w:rsidRPr="00FD211F">
        <w:rPr>
          <w:sz w:val="36"/>
          <w:szCs w:val="36"/>
          <w:rtl/>
        </w:rPr>
        <w:t>الشرط</w:t>
      </w:r>
      <w:r w:rsidR="00E8128F">
        <w:rPr>
          <w:sz w:val="36"/>
          <w:szCs w:val="36"/>
          <w:rtl/>
        </w:rPr>
        <w:t xml:space="preserve"> </w:t>
      </w:r>
      <w:r w:rsidR="001A5E03" w:rsidRPr="00FD211F">
        <w:rPr>
          <w:sz w:val="36"/>
          <w:szCs w:val="36"/>
          <w:rtl/>
        </w:rPr>
        <w:t>ام</w:t>
      </w:r>
      <w:r w:rsidR="00E8128F">
        <w:rPr>
          <w:sz w:val="36"/>
          <w:szCs w:val="36"/>
          <w:rtl/>
        </w:rPr>
        <w:t xml:space="preserve"> </w:t>
      </w:r>
      <w:r w:rsidR="001A5E03" w:rsidRPr="00FD211F">
        <w:rPr>
          <w:sz w:val="36"/>
          <w:szCs w:val="36"/>
          <w:rtl/>
        </w:rPr>
        <w:t>لا</w:t>
      </w:r>
      <w:r w:rsidR="00603323" w:rsidRPr="00FD211F">
        <w:rPr>
          <w:sz w:val="36"/>
          <w:szCs w:val="36"/>
          <w:rtl/>
        </w:rPr>
        <w:t>،</w:t>
      </w:r>
      <w:r w:rsidR="00E8128F">
        <w:rPr>
          <w:sz w:val="36"/>
          <w:szCs w:val="36"/>
          <w:rtl/>
        </w:rPr>
        <w:t xml:space="preserve"> </w:t>
      </w:r>
      <w:r w:rsidR="001A5E03" w:rsidRPr="00FD211F">
        <w:rPr>
          <w:sz w:val="36"/>
          <w:szCs w:val="36"/>
          <w:rtl/>
        </w:rPr>
        <w:t>وهذا</w:t>
      </w:r>
      <w:r w:rsidR="00E8128F">
        <w:rPr>
          <w:sz w:val="36"/>
          <w:szCs w:val="36"/>
          <w:rtl/>
        </w:rPr>
        <w:t xml:space="preserve"> </w:t>
      </w:r>
      <w:r w:rsidR="001A5E03" w:rsidRPr="00FD211F">
        <w:rPr>
          <w:sz w:val="36"/>
          <w:szCs w:val="36"/>
          <w:rtl/>
        </w:rPr>
        <w:t>بخلاف</w:t>
      </w:r>
      <w:r w:rsidR="00E8128F">
        <w:rPr>
          <w:sz w:val="36"/>
          <w:szCs w:val="36"/>
          <w:rtl/>
        </w:rPr>
        <w:t xml:space="preserve"> </w:t>
      </w:r>
      <w:r w:rsidR="001A5E03" w:rsidRPr="00FD211F">
        <w:rPr>
          <w:sz w:val="36"/>
          <w:szCs w:val="36"/>
          <w:rtl/>
        </w:rPr>
        <w:t>البحث</w:t>
      </w:r>
      <w:r w:rsidR="00E8128F">
        <w:rPr>
          <w:sz w:val="36"/>
          <w:szCs w:val="36"/>
          <w:rtl/>
        </w:rPr>
        <w:t xml:space="preserve"> </w:t>
      </w:r>
      <w:r w:rsidR="001A5E03" w:rsidRPr="00FD211F">
        <w:rPr>
          <w:sz w:val="36"/>
          <w:szCs w:val="36"/>
          <w:rtl/>
        </w:rPr>
        <w:t>عن</w:t>
      </w:r>
      <w:r w:rsidR="00E8128F">
        <w:rPr>
          <w:sz w:val="36"/>
          <w:szCs w:val="36"/>
          <w:rtl/>
        </w:rPr>
        <w:t xml:space="preserve"> </w:t>
      </w:r>
      <w:r w:rsidR="001A5E03" w:rsidRPr="00FD211F">
        <w:rPr>
          <w:sz w:val="36"/>
          <w:szCs w:val="36"/>
          <w:rtl/>
        </w:rPr>
        <w:t>معنى</w:t>
      </w:r>
      <w:r w:rsidR="00E8128F">
        <w:rPr>
          <w:sz w:val="36"/>
          <w:szCs w:val="36"/>
          <w:rtl/>
        </w:rPr>
        <w:t xml:space="preserve"> </w:t>
      </w:r>
      <w:r w:rsidR="001A5E03" w:rsidRPr="00FD211F">
        <w:rPr>
          <w:sz w:val="36"/>
          <w:szCs w:val="36"/>
          <w:rtl/>
        </w:rPr>
        <w:t>المشتق</w:t>
      </w:r>
      <w:r w:rsidR="00E8128F">
        <w:rPr>
          <w:sz w:val="36"/>
          <w:szCs w:val="36"/>
          <w:rtl/>
        </w:rPr>
        <w:t xml:space="preserve"> </w:t>
      </w:r>
      <w:r w:rsidR="001A5E03" w:rsidRPr="00FD211F">
        <w:rPr>
          <w:sz w:val="36"/>
          <w:szCs w:val="36"/>
          <w:rtl/>
        </w:rPr>
        <w:t>حيث</w:t>
      </w:r>
      <w:r w:rsidR="00E8128F">
        <w:rPr>
          <w:sz w:val="36"/>
          <w:szCs w:val="36"/>
          <w:rtl/>
        </w:rPr>
        <w:t xml:space="preserve"> </w:t>
      </w:r>
      <w:r w:rsidR="001A5E03" w:rsidRPr="00FD211F">
        <w:rPr>
          <w:sz w:val="36"/>
          <w:szCs w:val="36"/>
          <w:rtl/>
        </w:rPr>
        <w:t>انه</w:t>
      </w:r>
      <w:r w:rsidR="00E8128F">
        <w:rPr>
          <w:sz w:val="36"/>
          <w:szCs w:val="36"/>
          <w:rtl/>
        </w:rPr>
        <w:t xml:space="preserve"> </w:t>
      </w:r>
      <w:r w:rsidR="001A5E03" w:rsidRPr="00FD211F">
        <w:rPr>
          <w:sz w:val="36"/>
          <w:szCs w:val="36"/>
          <w:rtl/>
        </w:rPr>
        <w:t>يبحث</w:t>
      </w:r>
      <w:r w:rsidR="00E8128F">
        <w:rPr>
          <w:sz w:val="36"/>
          <w:szCs w:val="36"/>
          <w:rtl/>
        </w:rPr>
        <w:t xml:space="preserve"> </w:t>
      </w:r>
      <w:r w:rsidR="001A5E03" w:rsidRPr="00FD211F">
        <w:rPr>
          <w:sz w:val="36"/>
          <w:szCs w:val="36"/>
          <w:rtl/>
        </w:rPr>
        <w:t>فيه</w:t>
      </w:r>
      <w:r w:rsidR="00E8128F">
        <w:rPr>
          <w:sz w:val="36"/>
          <w:szCs w:val="36"/>
          <w:rtl/>
        </w:rPr>
        <w:t xml:space="preserve"> </w:t>
      </w:r>
      <w:r w:rsidR="001A5E03" w:rsidRPr="00FD211F">
        <w:rPr>
          <w:sz w:val="36"/>
          <w:szCs w:val="36"/>
          <w:rtl/>
        </w:rPr>
        <w:t>عن</w:t>
      </w:r>
      <w:r w:rsidR="00E8128F">
        <w:rPr>
          <w:sz w:val="36"/>
          <w:szCs w:val="36"/>
          <w:rtl/>
        </w:rPr>
        <w:t xml:space="preserve"> </w:t>
      </w:r>
      <w:r w:rsidR="001A5E03" w:rsidRPr="00FD211F">
        <w:rPr>
          <w:sz w:val="36"/>
          <w:szCs w:val="36"/>
          <w:rtl/>
        </w:rPr>
        <w:t>مدلول</w:t>
      </w:r>
      <w:r w:rsidR="00E8128F">
        <w:rPr>
          <w:sz w:val="36"/>
          <w:szCs w:val="36"/>
          <w:rtl/>
        </w:rPr>
        <w:t xml:space="preserve"> </w:t>
      </w:r>
      <w:r w:rsidR="001A5E03" w:rsidRPr="00FD211F">
        <w:rPr>
          <w:sz w:val="36"/>
          <w:szCs w:val="36"/>
          <w:rtl/>
        </w:rPr>
        <w:t>المشتق</w:t>
      </w:r>
      <w:r w:rsidR="00E8128F">
        <w:rPr>
          <w:sz w:val="36"/>
          <w:szCs w:val="36"/>
          <w:rtl/>
        </w:rPr>
        <w:t xml:space="preserve"> </w:t>
      </w:r>
      <w:r w:rsidR="001A5E03" w:rsidRPr="00FD211F">
        <w:rPr>
          <w:sz w:val="36"/>
          <w:szCs w:val="36"/>
          <w:rtl/>
        </w:rPr>
        <w:t>في</w:t>
      </w:r>
      <w:r w:rsidR="00E8128F">
        <w:rPr>
          <w:sz w:val="36"/>
          <w:szCs w:val="36"/>
          <w:rtl/>
        </w:rPr>
        <w:t xml:space="preserve"> </w:t>
      </w:r>
      <w:r w:rsidR="001A5E03" w:rsidRPr="00FD211F">
        <w:rPr>
          <w:sz w:val="36"/>
          <w:szCs w:val="36"/>
          <w:rtl/>
        </w:rPr>
        <w:t>حد</w:t>
      </w:r>
      <w:r w:rsidR="00E8128F">
        <w:rPr>
          <w:sz w:val="36"/>
          <w:szCs w:val="36"/>
          <w:rtl/>
        </w:rPr>
        <w:t xml:space="preserve"> </w:t>
      </w:r>
      <w:r w:rsidR="001A5E03" w:rsidRPr="00FD211F">
        <w:rPr>
          <w:sz w:val="36"/>
          <w:szCs w:val="36"/>
          <w:rtl/>
        </w:rPr>
        <w:t>ذاته</w:t>
      </w:r>
      <w:r w:rsidR="00E8128F">
        <w:rPr>
          <w:sz w:val="36"/>
          <w:szCs w:val="36"/>
          <w:rtl/>
        </w:rPr>
        <w:t xml:space="preserve"> </w:t>
      </w:r>
      <w:r w:rsidR="001A5E03" w:rsidRPr="00FD211F">
        <w:rPr>
          <w:sz w:val="36"/>
          <w:szCs w:val="36"/>
          <w:rtl/>
        </w:rPr>
        <w:t>كأي</w:t>
      </w:r>
      <w:r w:rsidR="00E8128F">
        <w:rPr>
          <w:sz w:val="36"/>
          <w:szCs w:val="36"/>
          <w:rtl/>
        </w:rPr>
        <w:t xml:space="preserve"> </w:t>
      </w:r>
      <w:r w:rsidR="001A5E03" w:rsidRPr="00FD211F">
        <w:rPr>
          <w:sz w:val="36"/>
          <w:szCs w:val="36"/>
          <w:rtl/>
        </w:rPr>
        <w:lastRenderedPageBreak/>
        <w:t>مفهوم</w:t>
      </w:r>
      <w:r w:rsidR="00E8128F">
        <w:rPr>
          <w:sz w:val="36"/>
          <w:szCs w:val="36"/>
          <w:rtl/>
        </w:rPr>
        <w:t xml:space="preserve"> </w:t>
      </w:r>
      <w:r w:rsidR="001A5E03" w:rsidRPr="00FD211F">
        <w:rPr>
          <w:sz w:val="36"/>
          <w:szCs w:val="36"/>
          <w:rtl/>
        </w:rPr>
        <w:t>آخر</w:t>
      </w:r>
      <w:r w:rsidR="00E8128F">
        <w:rPr>
          <w:sz w:val="36"/>
          <w:szCs w:val="36"/>
          <w:rtl/>
        </w:rPr>
        <w:t xml:space="preserve"> </w:t>
      </w:r>
      <w:r w:rsidR="001A5E03" w:rsidRPr="00FD211F">
        <w:rPr>
          <w:sz w:val="36"/>
          <w:szCs w:val="36"/>
          <w:rtl/>
        </w:rPr>
        <w:t>مع</w:t>
      </w:r>
      <w:r w:rsidR="00E8128F">
        <w:rPr>
          <w:sz w:val="36"/>
          <w:szCs w:val="36"/>
          <w:rtl/>
        </w:rPr>
        <w:t xml:space="preserve"> </w:t>
      </w:r>
      <w:r w:rsidR="001A5E03" w:rsidRPr="00FD211F">
        <w:rPr>
          <w:sz w:val="36"/>
          <w:szCs w:val="36"/>
          <w:rtl/>
        </w:rPr>
        <w:t>قطع</w:t>
      </w:r>
      <w:r w:rsidR="00E8128F">
        <w:rPr>
          <w:sz w:val="36"/>
          <w:szCs w:val="36"/>
          <w:rtl/>
        </w:rPr>
        <w:t xml:space="preserve"> </w:t>
      </w:r>
      <w:r w:rsidR="001A5E03" w:rsidRPr="00FD211F">
        <w:rPr>
          <w:sz w:val="36"/>
          <w:szCs w:val="36"/>
          <w:rtl/>
        </w:rPr>
        <w:t>النظر</w:t>
      </w:r>
      <w:r w:rsidR="00E8128F">
        <w:rPr>
          <w:sz w:val="36"/>
          <w:szCs w:val="36"/>
          <w:rtl/>
        </w:rPr>
        <w:t xml:space="preserve"> </w:t>
      </w:r>
      <w:r w:rsidR="001A5E03" w:rsidRPr="00FD211F">
        <w:rPr>
          <w:sz w:val="36"/>
          <w:szCs w:val="36"/>
          <w:rtl/>
        </w:rPr>
        <w:t>عن</w:t>
      </w:r>
      <w:r w:rsidR="00E8128F">
        <w:rPr>
          <w:sz w:val="36"/>
          <w:szCs w:val="36"/>
          <w:rtl/>
        </w:rPr>
        <w:t xml:space="preserve"> </w:t>
      </w:r>
      <w:r w:rsidR="001A5E03" w:rsidRPr="00FD211F">
        <w:rPr>
          <w:sz w:val="36"/>
          <w:szCs w:val="36"/>
          <w:rtl/>
        </w:rPr>
        <w:t>وقوعه</w:t>
      </w:r>
      <w:r w:rsidR="00E8128F">
        <w:rPr>
          <w:sz w:val="36"/>
          <w:szCs w:val="36"/>
          <w:rtl/>
        </w:rPr>
        <w:t xml:space="preserve"> </w:t>
      </w:r>
      <w:r w:rsidR="001A5E03" w:rsidRPr="00FD211F">
        <w:rPr>
          <w:sz w:val="36"/>
          <w:szCs w:val="36"/>
          <w:rtl/>
        </w:rPr>
        <w:t>موضوعا</w:t>
      </w:r>
      <w:r w:rsidR="00E8128F">
        <w:rPr>
          <w:sz w:val="36"/>
          <w:szCs w:val="36"/>
          <w:rtl/>
        </w:rPr>
        <w:t xml:space="preserve"> </w:t>
      </w:r>
      <w:r w:rsidR="001A5E03" w:rsidRPr="00FD211F">
        <w:rPr>
          <w:sz w:val="36"/>
          <w:szCs w:val="36"/>
          <w:rtl/>
        </w:rPr>
        <w:t>لحكم</w:t>
      </w:r>
      <w:r w:rsidR="00E8128F">
        <w:rPr>
          <w:sz w:val="36"/>
          <w:szCs w:val="36"/>
          <w:rtl/>
        </w:rPr>
        <w:t xml:space="preserve"> </w:t>
      </w:r>
      <w:r w:rsidR="001A5E03" w:rsidRPr="00FD211F">
        <w:rPr>
          <w:sz w:val="36"/>
          <w:szCs w:val="36"/>
          <w:rtl/>
        </w:rPr>
        <w:t>شرعي</w:t>
      </w:r>
      <w:r w:rsidR="00603323" w:rsidRPr="00FD211F">
        <w:rPr>
          <w:sz w:val="36"/>
          <w:szCs w:val="36"/>
          <w:rtl/>
        </w:rPr>
        <w:t>،</w:t>
      </w:r>
      <w:r w:rsidR="00E8128F">
        <w:rPr>
          <w:sz w:val="36"/>
          <w:szCs w:val="36"/>
          <w:rtl/>
        </w:rPr>
        <w:t xml:space="preserve"> </w:t>
      </w:r>
      <w:r w:rsidR="008E41A3" w:rsidRPr="00FD211F">
        <w:rPr>
          <w:sz w:val="36"/>
          <w:szCs w:val="36"/>
          <w:rtl/>
        </w:rPr>
        <w:t>وبذلك</w:t>
      </w:r>
      <w:r w:rsidR="00E8128F">
        <w:rPr>
          <w:sz w:val="36"/>
          <w:szCs w:val="36"/>
          <w:rtl/>
        </w:rPr>
        <w:t xml:space="preserve"> </w:t>
      </w:r>
      <w:r w:rsidR="00D74C20" w:rsidRPr="00FD211F">
        <w:rPr>
          <w:sz w:val="36"/>
          <w:szCs w:val="36"/>
          <w:rtl/>
        </w:rPr>
        <w:t>خرج</w:t>
      </w:r>
      <w:r w:rsidR="00E8128F">
        <w:rPr>
          <w:sz w:val="36"/>
          <w:szCs w:val="36"/>
          <w:rtl/>
        </w:rPr>
        <w:t xml:space="preserve"> </w:t>
      </w:r>
      <w:r w:rsidR="00D74C20" w:rsidRPr="00FD211F">
        <w:rPr>
          <w:sz w:val="36"/>
          <w:szCs w:val="36"/>
          <w:rtl/>
        </w:rPr>
        <w:t>مباحث</w:t>
      </w:r>
      <w:r w:rsidR="00E8128F">
        <w:rPr>
          <w:sz w:val="36"/>
          <w:szCs w:val="36"/>
          <w:rtl/>
        </w:rPr>
        <w:t xml:space="preserve"> </w:t>
      </w:r>
      <w:r w:rsidR="00D74C20" w:rsidRPr="00FD211F">
        <w:rPr>
          <w:sz w:val="36"/>
          <w:szCs w:val="36"/>
          <w:rtl/>
        </w:rPr>
        <w:t>المشتق</w:t>
      </w:r>
      <w:r w:rsidR="00E8128F">
        <w:rPr>
          <w:sz w:val="36"/>
          <w:szCs w:val="36"/>
          <w:rtl/>
        </w:rPr>
        <w:t xml:space="preserve"> </w:t>
      </w:r>
      <w:r w:rsidR="00D74C20" w:rsidRPr="00FD211F">
        <w:rPr>
          <w:sz w:val="36"/>
          <w:szCs w:val="36"/>
          <w:rtl/>
        </w:rPr>
        <w:t>والصحيح</w:t>
      </w:r>
      <w:r w:rsidR="00E8128F">
        <w:rPr>
          <w:sz w:val="36"/>
          <w:szCs w:val="36"/>
          <w:rtl/>
        </w:rPr>
        <w:t xml:space="preserve"> </w:t>
      </w:r>
      <w:r w:rsidR="00D74C20" w:rsidRPr="00FD211F">
        <w:rPr>
          <w:sz w:val="36"/>
          <w:szCs w:val="36"/>
          <w:rtl/>
        </w:rPr>
        <w:t>والأعم</w:t>
      </w:r>
      <w:r w:rsidR="00E8128F">
        <w:rPr>
          <w:sz w:val="36"/>
          <w:szCs w:val="36"/>
          <w:rtl/>
        </w:rPr>
        <w:t xml:space="preserve"> </w:t>
      </w:r>
      <w:r w:rsidR="00D74C20" w:rsidRPr="00FD211F">
        <w:rPr>
          <w:sz w:val="36"/>
          <w:szCs w:val="36"/>
          <w:rtl/>
        </w:rPr>
        <w:t>ومسائل</w:t>
      </w:r>
      <w:r w:rsidR="00E8128F">
        <w:rPr>
          <w:sz w:val="36"/>
          <w:szCs w:val="36"/>
          <w:rtl/>
        </w:rPr>
        <w:t xml:space="preserve"> </w:t>
      </w:r>
      <w:r w:rsidR="00D74C20" w:rsidRPr="00FD211F">
        <w:rPr>
          <w:sz w:val="36"/>
          <w:szCs w:val="36"/>
          <w:rtl/>
        </w:rPr>
        <w:t>علم</w:t>
      </w:r>
      <w:r w:rsidR="00E8128F">
        <w:rPr>
          <w:sz w:val="36"/>
          <w:szCs w:val="36"/>
          <w:rtl/>
        </w:rPr>
        <w:t xml:space="preserve"> </w:t>
      </w:r>
      <w:r w:rsidR="00D74C20" w:rsidRPr="00FD211F">
        <w:rPr>
          <w:sz w:val="36"/>
          <w:szCs w:val="36"/>
          <w:rtl/>
        </w:rPr>
        <w:t>الرجال</w:t>
      </w:r>
      <w:r w:rsidR="00E8128F">
        <w:rPr>
          <w:sz w:val="36"/>
          <w:szCs w:val="36"/>
          <w:rtl/>
        </w:rPr>
        <w:t xml:space="preserve"> </w:t>
      </w:r>
      <w:r w:rsidR="00D74C20" w:rsidRPr="00FD211F">
        <w:rPr>
          <w:sz w:val="36"/>
          <w:szCs w:val="36"/>
          <w:rtl/>
        </w:rPr>
        <w:t>عن</w:t>
      </w:r>
      <w:r w:rsidR="00E8128F">
        <w:rPr>
          <w:sz w:val="36"/>
          <w:szCs w:val="36"/>
          <w:rtl/>
        </w:rPr>
        <w:t xml:space="preserve"> </w:t>
      </w:r>
      <w:r w:rsidR="00D74C20" w:rsidRPr="00FD211F">
        <w:rPr>
          <w:sz w:val="36"/>
          <w:szCs w:val="36"/>
          <w:rtl/>
        </w:rPr>
        <w:t>علم</w:t>
      </w:r>
      <w:r w:rsidR="00E8128F">
        <w:rPr>
          <w:sz w:val="36"/>
          <w:szCs w:val="36"/>
          <w:rtl/>
        </w:rPr>
        <w:t xml:space="preserve"> </w:t>
      </w:r>
      <w:r w:rsidR="00D74C20" w:rsidRPr="00FD211F">
        <w:rPr>
          <w:sz w:val="36"/>
          <w:szCs w:val="36"/>
          <w:rtl/>
        </w:rPr>
        <w:t>الأصول</w:t>
      </w:r>
      <w:r w:rsidR="009C58C8" w:rsidRPr="00FD211F">
        <w:rPr>
          <w:rStyle w:val="a6"/>
          <w:sz w:val="36"/>
          <w:szCs w:val="36"/>
          <w:rtl/>
        </w:rPr>
        <w:t>(</w:t>
      </w:r>
      <w:r w:rsidR="009C58C8" w:rsidRPr="00FD211F">
        <w:rPr>
          <w:rStyle w:val="a6"/>
          <w:sz w:val="36"/>
          <w:szCs w:val="36"/>
          <w:rtl/>
        </w:rPr>
        <w:footnoteReference w:id="31"/>
      </w:r>
      <w:r w:rsidR="009C58C8" w:rsidRPr="00FD211F">
        <w:rPr>
          <w:rStyle w:val="a6"/>
          <w:sz w:val="36"/>
          <w:szCs w:val="36"/>
          <w:rtl/>
        </w:rPr>
        <w:t>)</w:t>
      </w:r>
      <w:r w:rsidR="00C23463" w:rsidRPr="00FD211F">
        <w:rPr>
          <w:sz w:val="36"/>
          <w:szCs w:val="36"/>
          <w:rtl/>
        </w:rPr>
        <w:t>.</w:t>
      </w:r>
    </w:p>
    <w:p w14:paraId="694BAA02" w14:textId="77777777" w:rsidR="003D56A1" w:rsidRPr="00FD211F" w:rsidRDefault="003F01EC" w:rsidP="009C58C8">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اورد</w:t>
      </w:r>
      <w:r w:rsidR="00E8128F">
        <w:rPr>
          <w:sz w:val="36"/>
          <w:szCs w:val="36"/>
          <w:rtl/>
        </w:rPr>
        <w:t xml:space="preserve"> </w:t>
      </w:r>
      <w:r w:rsidRPr="00FD211F">
        <w:rPr>
          <w:sz w:val="36"/>
          <w:szCs w:val="36"/>
          <w:rtl/>
        </w:rPr>
        <w:t>عليه</w:t>
      </w:r>
      <w:r w:rsidR="00E8128F">
        <w:rPr>
          <w:sz w:val="36"/>
          <w:szCs w:val="36"/>
          <w:rtl/>
        </w:rPr>
        <w:t xml:space="preserve"> </w:t>
      </w:r>
      <w:r w:rsidR="00F7650D" w:rsidRPr="00FD211F">
        <w:rPr>
          <w:sz w:val="36"/>
          <w:szCs w:val="36"/>
          <w:rtl/>
        </w:rPr>
        <w:t>في</w:t>
      </w:r>
      <w:r w:rsidR="00E8128F">
        <w:rPr>
          <w:sz w:val="36"/>
          <w:szCs w:val="36"/>
          <w:rtl/>
        </w:rPr>
        <w:t xml:space="preserve"> </w:t>
      </w:r>
      <w:r w:rsidR="00F7650D" w:rsidRPr="00FD211F">
        <w:rPr>
          <w:sz w:val="36"/>
          <w:szCs w:val="36"/>
          <w:rtl/>
        </w:rPr>
        <w:t>البحوث</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المحاول</w:t>
      </w:r>
      <w:r w:rsidR="00EC7EDF" w:rsidRPr="00FD211F">
        <w:rPr>
          <w:sz w:val="36"/>
          <w:szCs w:val="36"/>
          <w:rtl/>
        </w:rPr>
        <w:t>ة</w:t>
      </w:r>
      <w:r w:rsidR="00E8128F">
        <w:rPr>
          <w:sz w:val="36"/>
          <w:szCs w:val="36"/>
          <w:rtl/>
        </w:rPr>
        <w:t xml:space="preserve"> </w:t>
      </w:r>
      <w:r w:rsidRPr="00FD211F">
        <w:rPr>
          <w:sz w:val="36"/>
          <w:szCs w:val="36"/>
          <w:rtl/>
        </w:rPr>
        <w:t>لاتخلو</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اشكال</w:t>
      </w:r>
      <w:r w:rsidR="00603323" w:rsidRPr="00FD211F">
        <w:rPr>
          <w:sz w:val="36"/>
          <w:szCs w:val="36"/>
          <w:rtl/>
        </w:rPr>
        <w:t>،</w:t>
      </w:r>
      <w:r w:rsidR="00E8128F">
        <w:rPr>
          <w:sz w:val="36"/>
          <w:szCs w:val="36"/>
          <w:rtl/>
        </w:rPr>
        <w:t xml:space="preserve"> </w:t>
      </w:r>
      <w:r w:rsidRPr="00FD211F">
        <w:rPr>
          <w:sz w:val="36"/>
          <w:szCs w:val="36"/>
          <w:rtl/>
        </w:rPr>
        <w:t>لانها</w:t>
      </w:r>
      <w:r w:rsidR="00E8128F">
        <w:rPr>
          <w:sz w:val="36"/>
          <w:szCs w:val="36"/>
          <w:rtl/>
        </w:rPr>
        <w:t xml:space="preserve"> </w:t>
      </w:r>
      <w:r w:rsidRPr="00FD211F">
        <w:rPr>
          <w:sz w:val="36"/>
          <w:szCs w:val="36"/>
          <w:rtl/>
        </w:rPr>
        <w:t>توجب</w:t>
      </w:r>
      <w:r w:rsidR="00E8128F">
        <w:rPr>
          <w:sz w:val="36"/>
          <w:szCs w:val="36"/>
          <w:rtl/>
        </w:rPr>
        <w:t xml:space="preserve"> </w:t>
      </w:r>
      <w:r w:rsidR="006721C6" w:rsidRPr="00FD211F">
        <w:rPr>
          <w:sz w:val="36"/>
          <w:szCs w:val="36"/>
          <w:rtl/>
        </w:rPr>
        <w:t>خروج</w:t>
      </w:r>
      <w:r w:rsidR="00E8128F">
        <w:rPr>
          <w:sz w:val="36"/>
          <w:szCs w:val="36"/>
          <w:rtl/>
        </w:rPr>
        <w:t xml:space="preserve"> </w:t>
      </w:r>
      <w:r w:rsidR="003D56A1" w:rsidRPr="00FD211F">
        <w:rPr>
          <w:sz w:val="36"/>
          <w:szCs w:val="36"/>
          <w:rtl/>
        </w:rPr>
        <w:t>مثل</w:t>
      </w:r>
      <w:r w:rsidR="00E8128F">
        <w:rPr>
          <w:sz w:val="36"/>
          <w:szCs w:val="36"/>
          <w:rtl/>
        </w:rPr>
        <w:t xml:space="preserve"> </w:t>
      </w:r>
      <w:r w:rsidR="003D56A1" w:rsidRPr="00FD211F">
        <w:rPr>
          <w:sz w:val="36"/>
          <w:szCs w:val="36"/>
          <w:rtl/>
        </w:rPr>
        <w:t>مسأل</w:t>
      </w:r>
      <w:r w:rsidR="00EC7EDF" w:rsidRPr="00FD211F">
        <w:rPr>
          <w:sz w:val="36"/>
          <w:szCs w:val="36"/>
          <w:rtl/>
        </w:rPr>
        <w:t>ة</w:t>
      </w:r>
      <w:r w:rsidR="00E8128F">
        <w:rPr>
          <w:sz w:val="36"/>
          <w:szCs w:val="36"/>
          <w:rtl/>
        </w:rPr>
        <w:t xml:space="preserve"> </w:t>
      </w:r>
      <w:r w:rsidR="003D56A1" w:rsidRPr="00FD211F">
        <w:rPr>
          <w:sz w:val="36"/>
          <w:szCs w:val="36"/>
          <w:rtl/>
        </w:rPr>
        <w:t>اقتضاء</w:t>
      </w:r>
      <w:r w:rsidR="00E8128F">
        <w:rPr>
          <w:sz w:val="36"/>
          <w:szCs w:val="36"/>
          <w:rtl/>
        </w:rPr>
        <w:t xml:space="preserve"> </w:t>
      </w:r>
      <w:r w:rsidR="0090224F" w:rsidRPr="00FD211F">
        <w:rPr>
          <w:sz w:val="36"/>
          <w:szCs w:val="36"/>
          <w:rtl/>
        </w:rPr>
        <w:t>الأمر</w:t>
      </w:r>
      <w:r w:rsidR="00E8128F">
        <w:rPr>
          <w:sz w:val="36"/>
          <w:szCs w:val="36"/>
          <w:rtl/>
        </w:rPr>
        <w:t xml:space="preserve"> </w:t>
      </w:r>
      <w:r w:rsidR="003D56A1" w:rsidRPr="00FD211F">
        <w:rPr>
          <w:sz w:val="36"/>
          <w:szCs w:val="36"/>
          <w:rtl/>
        </w:rPr>
        <w:t>بال</w:t>
      </w:r>
      <w:r w:rsidR="008D7B3D" w:rsidRPr="00FD211F">
        <w:rPr>
          <w:sz w:val="36"/>
          <w:szCs w:val="36"/>
          <w:rtl/>
        </w:rPr>
        <w:t>شيء</w:t>
      </w:r>
      <w:r w:rsidR="00E8128F">
        <w:rPr>
          <w:sz w:val="36"/>
          <w:szCs w:val="36"/>
          <w:rtl/>
        </w:rPr>
        <w:t xml:space="preserve"> </w:t>
      </w:r>
      <w:r w:rsidR="003D56A1" w:rsidRPr="00FD211F">
        <w:rPr>
          <w:sz w:val="36"/>
          <w:szCs w:val="36"/>
          <w:rtl/>
        </w:rPr>
        <w:t>للنهي</w:t>
      </w:r>
      <w:r w:rsidR="00E8128F">
        <w:rPr>
          <w:sz w:val="36"/>
          <w:szCs w:val="36"/>
          <w:rtl/>
        </w:rPr>
        <w:t xml:space="preserve"> </w:t>
      </w:r>
      <w:r w:rsidR="003D56A1" w:rsidRPr="00FD211F">
        <w:rPr>
          <w:sz w:val="36"/>
          <w:szCs w:val="36"/>
          <w:rtl/>
        </w:rPr>
        <w:t>عن</w:t>
      </w:r>
      <w:r w:rsidR="00E8128F">
        <w:rPr>
          <w:sz w:val="36"/>
          <w:szCs w:val="36"/>
          <w:rtl/>
        </w:rPr>
        <w:t xml:space="preserve"> </w:t>
      </w:r>
      <w:r w:rsidR="003D56A1" w:rsidRPr="00FD211F">
        <w:rPr>
          <w:sz w:val="36"/>
          <w:szCs w:val="36"/>
          <w:rtl/>
        </w:rPr>
        <w:t>ضده</w:t>
      </w:r>
      <w:r w:rsidR="00E8128F">
        <w:rPr>
          <w:sz w:val="36"/>
          <w:szCs w:val="36"/>
          <w:rtl/>
        </w:rPr>
        <w:t xml:space="preserve"> </w:t>
      </w:r>
      <w:r w:rsidR="003D56A1" w:rsidRPr="00FD211F">
        <w:rPr>
          <w:sz w:val="36"/>
          <w:szCs w:val="36"/>
          <w:rtl/>
        </w:rPr>
        <w:t>عن</w:t>
      </w:r>
      <w:r w:rsidR="00E8128F">
        <w:rPr>
          <w:sz w:val="36"/>
          <w:szCs w:val="36"/>
          <w:rtl/>
        </w:rPr>
        <w:t xml:space="preserve"> </w:t>
      </w:r>
      <w:r w:rsidR="003D56A1" w:rsidRPr="00FD211F">
        <w:rPr>
          <w:sz w:val="36"/>
          <w:szCs w:val="36"/>
          <w:rtl/>
        </w:rPr>
        <w:t>مسائل</w:t>
      </w:r>
      <w:r w:rsidR="00E8128F">
        <w:rPr>
          <w:sz w:val="36"/>
          <w:szCs w:val="36"/>
          <w:rtl/>
        </w:rPr>
        <w:t xml:space="preserve"> </w:t>
      </w:r>
      <w:r w:rsidR="003D56A1" w:rsidRPr="00FD211F">
        <w:rPr>
          <w:sz w:val="36"/>
          <w:szCs w:val="36"/>
          <w:rtl/>
        </w:rPr>
        <w:t>علم</w:t>
      </w:r>
      <w:r w:rsidR="00E8128F">
        <w:rPr>
          <w:sz w:val="36"/>
          <w:szCs w:val="36"/>
          <w:rtl/>
        </w:rPr>
        <w:t xml:space="preserve"> </w:t>
      </w:r>
      <w:r w:rsidR="003D56A1" w:rsidRPr="00FD211F">
        <w:rPr>
          <w:sz w:val="36"/>
          <w:szCs w:val="36"/>
          <w:rtl/>
        </w:rPr>
        <w:t>الاصول</w:t>
      </w:r>
      <w:r w:rsidR="00E8128F">
        <w:rPr>
          <w:sz w:val="36"/>
          <w:szCs w:val="36"/>
          <w:rtl/>
        </w:rPr>
        <w:t xml:space="preserve"> </w:t>
      </w:r>
      <w:r w:rsidR="00893AA1" w:rsidRPr="00FD211F">
        <w:rPr>
          <w:sz w:val="36"/>
          <w:szCs w:val="36"/>
          <w:rtl/>
        </w:rPr>
        <w:t>حيث</w:t>
      </w:r>
      <w:r w:rsidR="00E8128F">
        <w:rPr>
          <w:sz w:val="36"/>
          <w:szCs w:val="36"/>
          <w:rtl/>
        </w:rPr>
        <w:t xml:space="preserve"> </w:t>
      </w:r>
      <w:r w:rsidR="00893AA1" w:rsidRPr="00FD211F">
        <w:rPr>
          <w:sz w:val="36"/>
          <w:szCs w:val="36"/>
          <w:rtl/>
        </w:rPr>
        <w:t>أ</w:t>
      </w:r>
      <w:r w:rsidRPr="00FD211F">
        <w:rPr>
          <w:sz w:val="36"/>
          <w:szCs w:val="36"/>
          <w:rtl/>
        </w:rPr>
        <w:t>ن</w:t>
      </w:r>
      <w:r w:rsidR="00E8128F">
        <w:rPr>
          <w:sz w:val="36"/>
          <w:szCs w:val="36"/>
          <w:rtl/>
        </w:rPr>
        <w:t xml:space="preserve"> </w:t>
      </w:r>
      <w:r w:rsidR="006721C6" w:rsidRPr="00FD211F">
        <w:rPr>
          <w:sz w:val="36"/>
          <w:szCs w:val="36"/>
          <w:rtl/>
        </w:rPr>
        <w:t>استنباط</w:t>
      </w:r>
      <w:r w:rsidR="00E8128F">
        <w:rPr>
          <w:sz w:val="36"/>
          <w:szCs w:val="36"/>
          <w:rtl/>
        </w:rPr>
        <w:t xml:space="preserve"> </w:t>
      </w:r>
      <w:r w:rsidR="003D56A1" w:rsidRPr="00FD211F">
        <w:rPr>
          <w:sz w:val="36"/>
          <w:szCs w:val="36"/>
          <w:rtl/>
        </w:rPr>
        <w:t>مجرد</w:t>
      </w:r>
      <w:r w:rsidR="00E8128F">
        <w:rPr>
          <w:sz w:val="36"/>
          <w:szCs w:val="36"/>
          <w:rtl/>
        </w:rPr>
        <w:t xml:space="preserve"> </w:t>
      </w:r>
      <w:r w:rsidR="003D56A1" w:rsidRPr="00FD211F">
        <w:rPr>
          <w:sz w:val="36"/>
          <w:szCs w:val="36"/>
          <w:rtl/>
        </w:rPr>
        <w:t>ثبوت</w:t>
      </w:r>
      <w:r w:rsidR="00E8128F">
        <w:rPr>
          <w:sz w:val="36"/>
          <w:szCs w:val="36"/>
          <w:rtl/>
        </w:rPr>
        <w:t xml:space="preserve"> </w:t>
      </w:r>
      <w:r w:rsidR="003D56A1" w:rsidRPr="00FD211F">
        <w:rPr>
          <w:sz w:val="36"/>
          <w:szCs w:val="36"/>
          <w:rtl/>
        </w:rPr>
        <w:t>النهي</w:t>
      </w:r>
      <w:r w:rsidR="00E8128F">
        <w:rPr>
          <w:sz w:val="36"/>
          <w:szCs w:val="36"/>
          <w:rtl/>
        </w:rPr>
        <w:t xml:space="preserve"> </w:t>
      </w:r>
      <w:r w:rsidR="003D56A1" w:rsidRPr="00FD211F">
        <w:rPr>
          <w:sz w:val="36"/>
          <w:szCs w:val="36"/>
          <w:rtl/>
        </w:rPr>
        <w:t>الغيري</w:t>
      </w:r>
      <w:r w:rsidR="00E8128F">
        <w:rPr>
          <w:sz w:val="36"/>
          <w:szCs w:val="36"/>
          <w:rtl/>
        </w:rPr>
        <w:t xml:space="preserve"> </w:t>
      </w:r>
      <w:r w:rsidR="003D56A1" w:rsidRPr="00FD211F">
        <w:rPr>
          <w:sz w:val="36"/>
          <w:szCs w:val="36"/>
          <w:rtl/>
        </w:rPr>
        <w:t>عن</w:t>
      </w:r>
      <w:r w:rsidR="00E8128F">
        <w:rPr>
          <w:sz w:val="36"/>
          <w:szCs w:val="36"/>
          <w:rtl/>
        </w:rPr>
        <w:t xml:space="preserve"> </w:t>
      </w:r>
      <w:r w:rsidR="003D56A1" w:rsidRPr="00FD211F">
        <w:rPr>
          <w:sz w:val="36"/>
          <w:szCs w:val="36"/>
          <w:rtl/>
        </w:rPr>
        <w:t>الضد</w:t>
      </w:r>
      <w:r w:rsidR="00E8128F">
        <w:rPr>
          <w:sz w:val="36"/>
          <w:szCs w:val="36"/>
          <w:rtl/>
        </w:rPr>
        <w:t xml:space="preserve"> </w:t>
      </w:r>
      <w:r w:rsidR="00893AA1" w:rsidRPr="00FD211F">
        <w:rPr>
          <w:sz w:val="36"/>
          <w:szCs w:val="36"/>
          <w:rtl/>
        </w:rPr>
        <w:t>او</w:t>
      </w:r>
      <w:r w:rsidR="00E8128F">
        <w:rPr>
          <w:sz w:val="36"/>
          <w:szCs w:val="36"/>
          <w:rtl/>
        </w:rPr>
        <w:t xml:space="preserve"> </w:t>
      </w:r>
      <w:r w:rsidR="00893AA1" w:rsidRPr="00FD211F">
        <w:rPr>
          <w:sz w:val="36"/>
          <w:szCs w:val="36"/>
          <w:rtl/>
        </w:rPr>
        <w:t>عدم</w:t>
      </w:r>
      <w:r w:rsidR="00E8128F">
        <w:rPr>
          <w:sz w:val="36"/>
          <w:szCs w:val="36"/>
          <w:rtl/>
        </w:rPr>
        <w:t xml:space="preserve"> </w:t>
      </w:r>
      <w:r w:rsidR="00893AA1" w:rsidRPr="00FD211F">
        <w:rPr>
          <w:sz w:val="36"/>
          <w:szCs w:val="36"/>
          <w:rtl/>
        </w:rPr>
        <w:t>ثبوته</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غرض</w:t>
      </w:r>
      <w:r w:rsidR="00E8128F">
        <w:rPr>
          <w:sz w:val="36"/>
          <w:szCs w:val="36"/>
          <w:rtl/>
        </w:rPr>
        <w:t xml:space="preserve"> </w:t>
      </w:r>
      <w:r w:rsidRPr="00FD211F">
        <w:rPr>
          <w:sz w:val="36"/>
          <w:szCs w:val="36"/>
          <w:rtl/>
        </w:rPr>
        <w:t>الفقيه</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003D56A1" w:rsidRPr="00FD211F">
        <w:rPr>
          <w:sz w:val="36"/>
          <w:szCs w:val="36"/>
          <w:rtl/>
        </w:rPr>
        <w:t>ا</w:t>
      </w:r>
      <w:r w:rsidR="00893AA1" w:rsidRPr="00FD211F">
        <w:rPr>
          <w:sz w:val="36"/>
          <w:szCs w:val="36"/>
          <w:rtl/>
        </w:rPr>
        <w:t>لغرض</w:t>
      </w:r>
      <w:r w:rsidR="00E8128F">
        <w:rPr>
          <w:sz w:val="36"/>
          <w:szCs w:val="36"/>
          <w:rtl/>
        </w:rPr>
        <w:t xml:space="preserve"> </w:t>
      </w:r>
      <w:r w:rsidR="00893AA1" w:rsidRPr="00FD211F">
        <w:rPr>
          <w:sz w:val="36"/>
          <w:szCs w:val="36"/>
          <w:rtl/>
        </w:rPr>
        <w:t>من</w:t>
      </w:r>
      <w:r w:rsidR="00E8128F">
        <w:rPr>
          <w:sz w:val="36"/>
          <w:szCs w:val="36"/>
          <w:rtl/>
        </w:rPr>
        <w:t xml:space="preserve"> </w:t>
      </w:r>
      <w:r w:rsidR="00893AA1" w:rsidRPr="00FD211F">
        <w:rPr>
          <w:sz w:val="36"/>
          <w:szCs w:val="36"/>
          <w:rtl/>
        </w:rPr>
        <w:t>خلال</w:t>
      </w:r>
      <w:r w:rsidR="00E8128F">
        <w:rPr>
          <w:sz w:val="36"/>
          <w:szCs w:val="36"/>
          <w:rtl/>
        </w:rPr>
        <w:t xml:space="preserve"> </w:t>
      </w:r>
      <w:r w:rsidR="00893AA1" w:rsidRPr="00FD211F">
        <w:rPr>
          <w:sz w:val="36"/>
          <w:szCs w:val="36"/>
          <w:rtl/>
        </w:rPr>
        <w:t>ذلك</w:t>
      </w:r>
      <w:r w:rsidR="00E8128F">
        <w:rPr>
          <w:sz w:val="36"/>
          <w:szCs w:val="36"/>
          <w:rtl/>
        </w:rPr>
        <w:t xml:space="preserve"> </w:t>
      </w:r>
      <w:r w:rsidR="003D56A1" w:rsidRPr="00FD211F">
        <w:rPr>
          <w:sz w:val="36"/>
          <w:szCs w:val="36"/>
          <w:rtl/>
        </w:rPr>
        <w:t>اثبات</w:t>
      </w:r>
      <w:r w:rsidR="00E8128F">
        <w:rPr>
          <w:sz w:val="36"/>
          <w:szCs w:val="36"/>
          <w:rtl/>
        </w:rPr>
        <w:t xml:space="preserve"> </w:t>
      </w:r>
      <w:r w:rsidR="003D56A1" w:rsidRPr="00FD211F">
        <w:rPr>
          <w:sz w:val="36"/>
          <w:szCs w:val="36"/>
          <w:rtl/>
        </w:rPr>
        <w:t>صح</w:t>
      </w:r>
      <w:r w:rsidR="00EC7EDF" w:rsidRPr="00FD211F">
        <w:rPr>
          <w:sz w:val="36"/>
          <w:szCs w:val="36"/>
          <w:rtl/>
        </w:rPr>
        <w:t>ة</w:t>
      </w:r>
      <w:r w:rsidR="00E8128F">
        <w:rPr>
          <w:sz w:val="36"/>
          <w:szCs w:val="36"/>
          <w:rtl/>
        </w:rPr>
        <w:t xml:space="preserve"> </w:t>
      </w:r>
      <w:r w:rsidR="003D56A1" w:rsidRPr="00FD211F">
        <w:rPr>
          <w:sz w:val="36"/>
          <w:szCs w:val="36"/>
          <w:rtl/>
        </w:rPr>
        <w:t>ضد</w:t>
      </w:r>
      <w:r w:rsidR="00E8128F">
        <w:rPr>
          <w:sz w:val="36"/>
          <w:szCs w:val="36"/>
          <w:rtl/>
        </w:rPr>
        <w:t xml:space="preserve"> </w:t>
      </w:r>
      <w:r w:rsidR="003D56A1" w:rsidRPr="00FD211F">
        <w:rPr>
          <w:sz w:val="36"/>
          <w:szCs w:val="36"/>
          <w:rtl/>
        </w:rPr>
        <w:t>الواجب</w:t>
      </w:r>
      <w:r w:rsidR="00E8128F">
        <w:rPr>
          <w:sz w:val="36"/>
          <w:szCs w:val="36"/>
          <w:rtl/>
        </w:rPr>
        <w:t xml:space="preserve"> </w:t>
      </w:r>
      <w:r w:rsidR="006721C6" w:rsidRPr="00FD211F">
        <w:rPr>
          <w:sz w:val="36"/>
          <w:szCs w:val="36"/>
          <w:rtl/>
        </w:rPr>
        <w:t>او</w:t>
      </w:r>
      <w:r w:rsidR="00E8128F">
        <w:rPr>
          <w:sz w:val="36"/>
          <w:szCs w:val="36"/>
          <w:rtl/>
        </w:rPr>
        <w:t xml:space="preserve"> </w:t>
      </w:r>
      <w:r w:rsidR="006721C6" w:rsidRPr="00FD211F">
        <w:rPr>
          <w:sz w:val="36"/>
          <w:szCs w:val="36"/>
          <w:rtl/>
        </w:rPr>
        <w:t>فساده</w:t>
      </w:r>
      <w:r w:rsidR="00E8128F">
        <w:rPr>
          <w:sz w:val="36"/>
          <w:szCs w:val="36"/>
          <w:rtl/>
        </w:rPr>
        <w:t xml:space="preserve"> </w:t>
      </w:r>
      <w:r w:rsidR="003D56A1" w:rsidRPr="00FD211F">
        <w:rPr>
          <w:sz w:val="36"/>
          <w:szCs w:val="36"/>
          <w:rtl/>
        </w:rPr>
        <w:t>كما</w:t>
      </w:r>
      <w:r w:rsidR="00E8128F">
        <w:rPr>
          <w:sz w:val="36"/>
          <w:szCs w:val="36"/>
          <w:rtl/>
        </w:rPr>
        <w:t xml:space="preserve"> </w:t>
      </w:r>
      <w:r w:rsidR="003D56A1" w:rsidRPr="00FD211F">
        <w:rPr>
          <w:sz w:val="36"/>
          <w:szCs w:val="36"/>
          <w:rtl/>
        </w:rPr>
        <w:t>لو</w:t>
      </w:r>
      <w:r w:rsidR="00E8128F">
        <w:rPr>
          <w:sz w:val="36"/>
          <w:szCs w:val="36"/>
          <w:rtl/>
        </w:rPr>
        <w:t xml:space="preserve"> </w:t>
      </w:r>
      <w:r w:rsidR="003D56A1" w:rsidRPr="00FD211F">
        <w:rPr>
          <w:sz w:val="36"/>
          <w:szCs w:val="36"/>
          <w:rtl/>
        </w:rPr>
        <w:t>اشتغل</w:t>
      </w:r>
      <w:r w:rsidR="00E8128F">
        <w:rPr>
          <w:sz w:val="36"/>
          <w:szCs w:val="36"/>
          <w:rtl/>
        </w:rPr>
        <w:t xml:space="preserve"> </w:t>
      </w:r>
      <w:r w:rsidR="003D56A1" w:rsidRPr="00FD211F">
        <w:rPr>
          <w:sz w:val="36"/>
          <w:szCs w:val="36"/>
          <w:rtl/>
        </w:rPr>
        <w:t>بالصلا</w:t>
      </w:r>
      <w:r w:rsidR="00EC7EDF" w:rsidRPr="00FD211F">
        <w:rPr>
          <w:sz w:val="36"/>
          <w:szCs w:val="36"/>
          <w:rtl/>
        </w:rPr>
        <w:t>ة</w:t>
      </w:r>
      <w:r w:rsidR="00E8128F">
        <w:rPr>
          <w:sz w:val="36"/>
          <w:szCs w:val="36"/>
          <w:rtl/>
        </w:rPr>
        <w:t xml:space="preserve"> </w:t>
      </w:r>
      <w:r w:rsidR="003D56A1" w:rsidRPr="00FD211F">
        <w:rPr>
          <w:sz w:val="36"/>
          <w:szCs w:val="36"/>
          <w:rtl/>
        </w:rPr>
        <w:t>التي</w:t>
      </w:r>
      <w:r w:rsidR="00E8128F">
        <w:rPr>
          <w:sz w:val="36"/>
          <w:szCs w:val="36"/>
          <w:rtl/>
        </w:rPr>
        <w:t xml:space="preserve"> </w:t>
      </w:r>
      <w:r w:rsidR="003D56A1" w:rsidRPr="00FD211F">
        <w:rPr>
          <w:sz w:val="36"/>
          <w:szCs w:val="36"/>
          <w:rtl/>
        </w:rPr>
        <w:t>هي</w:t>
      </w:r>
      <w:r w:rsidR="00E8128F">
        <w:rPr>
          <w:sz w:val="36"/>
          <w:szCs w:val="36"/>
          <w:rtl/>
        </w:rPr>
        <w:t xml:space="preserve"> </w:t>
      </w:r>
      <w:r w:rsidR="003D56A1" w:rsidRPr="00FD211F">
        <w:rPr>
          <w:sz w:val="36"/>
          <w:szCs w:val="36"/>
          <w:rtl/>
        </w:rPr>
        <w:t>ضد</w:t>
      </w:r>
      <w:r w:rsidR="00E8128F">
        <w:rPr>
          <w:sz w:val="36"/>
          <w:szCs w:val="36"/>
          <w:rtl/>
        </w:rPr>
        <w:t xml:space="preserve"> </w:t>
      </w:r>
      <w:r w:rsidR="003D56A1" w:rsidRPr="00FD211F">
        <w:rPr>
          <w:sz w:val="36"/>
          <w:szCs w:val="36"/>
          <w:rtl/>
        </w:rPr>
        <w:t>ازال</w:t>
      </w:r>
      <w:r w:rsidR="00EC7EDF" w:rsidRPr="00FD211F">
        <w:rPr>
          <w:sz w:val="36"/>
          <w:szCs w:val="36"/>
          <w:rtl/>
        </w:rPr>
        <w:t>ة</w:t>
      </w:r>
      <w:r w:rsidR="00E8128F">
        <w:rPr>
          <w:sz w:val="36"/>
          <w:szCs w:val="36"/>
          <w:rtl/>
        </w:rPr>
        <w:t xml:space="preserve"> </w:t>
      </w:r>
      <w:r w:rsidR="006721C6" w:rsidRPr="00FD211F">
        <w:rPr>
          <w:sz w:val="36"/>
          <w:szCs w:val="36"/>
          <w:rtl/>
        </w:rPr>
        <w:t>ا</w:t>
      </w:r>
      <w:r w:rsidR="003D56A1" w:rsidRPr="00FD211F">
        <w:rPr>
          <w:sz w:val="36"/>
          <w:szCs w:val="36"/>
          <w:rtl/>
        </w:rPr>
        <w:t>لنجاس</w:t>
      </w:r>
      <w:r w:rsidR="00EC7EDF" w:rsidRPr="00FD211F">
        <w:rPr>
          <w:sz w:val="36"/>
          <w:szCs w:val="36"/>
          <w:rtl/>
        </w:rPr>
        <w:t>ة</w:t>
      </w:r>
      <w:r w:rsidR="00E8128F">
        <w:rPr>
          <w:sz w:val="36"/>
          <w:szCs w:val="36"/>
          <w:rtl/>
        </w:rPr>
        <w:t xml:space="preserve"> </w:t>
      </w:r>
      <w:r w:rsidR="006721C6" w:rsidRPr="00FD211F">
        <w:rPr>
          <w:sz w:val="36"/>
          <w:szCs w:val="36"/>
          <w:rtl/>
        </w:rPr>
        <w:lastRenderedPageBreak/>
        <w:t>عن</w:t>
      </w:r>
      <w:r w:rsidR="00E8128F">
        <w:rPr>
          <w:sz w:val="36"/>
          <w:szCs w:val="36"/>
          <w:rtl/>
        </w:rPr>
        <w:t xml:space="preserve"> </w:t>
      </w:r>
      <w:r w:rsidR="003D56A1" w:rsidRPr="00FD211F">
        <w:rPr>
          <w:sz w:val="36"/>
          <w:szCs w:val="36"/>
          <w:rtl/>
        </w:rPr>
        <w:t>ال</w:t>
      </w:r>
      <w:r w:rsidR="006721C6" w:rsidRPr="00FD211F">
        <w:rPr>
          <w:sz w:val="36"/>
          <w:szCs w:val="36"/>
          <w:rtl/>
        </w:rPr>
        <w:t>مسجد</w:t>
      </w:r>
      <w:r w:rsidR="00603323" w:rsidRPr="00FD211F">
        <w:rPr>
          <w:sz w:val="36"/>
          <w:szCs w:val="36"/>
          <w:rtl/>
        </w:rPr>
        <w:t>،</w:t>
      </w:r>
      <w:r w:rsidR="00E8128F">
        <w:rPr>
          <w:sz w:val="36"/>
          <w:szCs w:val="36"/>
          <w:rtl/>
        </w:rPr>
        <w:t xml:space="preserve"> </w:t>
      </w:r>
      <w:r w:rsidR="003D56A1" w:rsidRPr="00FD211F">
        <w:rPr>
          <w:sz w:val="36"/>
          <w:szCs w:val="36"/>
          <w:rtl/>
        </w:rPr>
        <w:t>فمسأل</w:t>
      </w:r>
      <w:r w:rsidR="00EC7EDF" w:rsidRPr="00FD211F">
        <w:rPr>
          <w:sz w:val="36"/>
          <w:szCs w:val="36"/>
          <w:rtl/>
        </w:rPr>
        <w:t>ة</w:t>
      </w:r>
      <w:r w:rsidR="00E8128F">
        <w:rPr>
          <w:sz w:val="36"/>
          <w:szCs w:val="36"/>
          <w:rtl/>
        </w:rPr>
        <w:t xml:space="preserve"> </w:t>
      </w:r>
      <w:r w:rsidR="003D56A1" w:rsidRPr="00FD211F">
        <w:rPr>
          <w:sz w:val="36"/>
          <w:szCs w:val="36"/>
          <w:rtl/>
        </w:rPr>
        <w:t>الاقتضاء</w:t>
      </w:r>
      <w:r w:rsidR="00E8128F">
        <w:rPr>
          <w:sz w:val="36"/>
          <w:szCs w:val="36"/>
          <w:rtl/>
        </w:rPr>
        <w:t xml:space="preserve"> </w:t>
      </w:r>
      <w:r w:rsidR="003D56A1" w:rsidRPr="00FD211F">
        <w:rPr>
          <w:sz w:val="36"/>
          <w:szCs w:val="36"/>
          <w:rtl/>
        </w:rPr>
        <w:t>ليست</w:t>
      </w:r>
      <w:r w:rsidR="00E8128F">
        <w:rPr>
          <w:sz w:val="36"/>
          <w:szCs w:val="36"/>
          <w:rtl/>
        </w:rPr>
        <w:t xml:space="preserve"> </w:t>
      </w:r>
      <w:r w:rsidR="003D56A1" w:rsidRPr="00FD211F">
        <w:rPr>
          <w:sz w:val="36"/>
          <w:szCs w:val="36"/>
          <w:rtl/>
        </w:rPr>
        <w:t>ناظر</w:t>
      </w:r>
      <w:r w:rsidR="00EC7EDF" w:rsidRPr="00FD211F">
        <w:rPr>
          <w:sz w:val="36"/>
          <w:szCs w:val="36"/>
          <w:rtl/>
        </w:rPr>
        <w:t>ة</w:t>
      </w:r>
      <w:r w:rsidR="00E8128F">
        <w:rPr>
          <w:sz w:val="36"/>
          <w:szCs w:val="36"/>
          <w:rtl/>
        </w:rPr>
        <w:t xml:space="preserve"> </w:t>
      </w:r>
      <w:r w:rsidR="003D56A1" w:rsidRPr="00FD211F">
        <w:rPr>
          <w:sz w:val="36"/>
          <w:szCs w:val="36"/>
          <w:rtl/>
        </w:rPr>
        <w:t>الى</w:t>
      </w:r>
      <w:r w:rsidR="00E8128F">
        <w:rPr>
          <w:sz w:val="36"/>
          <w:szCs w:val="36"/>
          <w:rtl/>
        </w:rPr>
        <w:t xml:space="preserve"> </w:t>
      </w:r>
      <w:r w:rsidR="003D56A1" w:rsidRPr="00FD211F">
        <w:rPr>
          <w:sz w:val="36"/>
          <w:szCs w:val="36"/>
          <w:rtl/>
        </w:rPr>
        <w:t>الحك</w:t>
      </w:r>
      <w:r w:rsidR="006721C6" w:rsidRPr="00FD211F">
        <w:rPr>
          <w:sz w:val="36"/>
          <w:szCs w:val="36"/>
          <w:rtl/>
        </w:rPr>
        <w:t>م</w:t>
      </w:r>
      <w:r w:rsidR="00E8128F">
        <w:rPr>
          <w:sz w:val="36"/>
          <w:szCs w:val="36"/>
          <w:rtl/>
        </w:rPr>
        <w:t xml:space="preserve"> </w:t>
      </w:r>
      <w:r w:rsidR="006721C6" w:rsidRPr="00FD211F">
        <w:rPr>
          <w:sz w:val="36"/>
          <w:szCs w:val="36"/>
          <w:rtl/>
        </w:rPr>
        <w:t>الذي</w:t>
      </w:r>
      <w:r w:rsidR="00E8128F">
        <w:rPr>
          <w:sz w:val="36"/>
          <w:szCs w:val="36"/>
          <w:rtl/>
        </w:rPr>
        <w:t xml:space="preserve"> </w:t>
      </w:r>
      <w:r w:rsidR="006721C6" w:rsidRPr="00FD211F">
        <w:rPr>
          <w:sz w:val="36"/>
          <w:szCs w:val="36"/>
          <w:rtl/>
        </w:rPr>
        <w:t>يكون</w:t>
      </w:r>
      <w:r w:rsidR="00E8128F">
        <w:rPr>
          <w:sz w:val="36"/>
          <w:szCs w:val="36"/>
          <w:rtl/>
        </w:rPr>
        <w:t xml:space="preserve"> </w:t>
      </w:r>
      <w:r w:rsidR="006721C6" w:rsidRPr="00FD211F">
        <w:rPr>
          <w:sz w:val="36"/>
          <w:szCs w:val="36"/>
          <w:rtl/>
        </w:rPr>
        <w:t>غرض</w:t>
      </w:r>
      <w:r w:rsidR="00E8128F">
        <w:rPr>
          <w:sz w:val="36"/>
          <w:szCs w:val="36"/>
          <w:rtl/>
        </w:rPr>
        <w:t xml:space="preserve"> </w:t>
      </w:r>
      <w:r w:rsidR="006721C6" w:rsidRPr="00FD211F">
        <w:rPr>
          <w:sz w:val="36"/>
          <w:szCs w:val="36"/>
          <w:rtl/>
        </w:rPr>
        <w:t>الفقيه</w:t>
      </w:r>
      <w:r w:rsidR="00E8128F">
        <w:rPr>
          <w:sz w:val="36"/>
          <w:szCs w:val="36"/>
          <w:rtl/>
        </w:rPr>
        <w:t xml:space="preserve"> </w:t>
      </w:r>
      <w:r w:rsidR="006721C6" w:rsidRPr="00FD211F">
        <w:rPr>
          <w:sz w:val="36"/>
          <w:szCs w:val="36"/>
          <w:rtl/>
        </w:rPr>
        <w:t>استنباطه</w:t>
      </w:r>
      <w:r w:rsidR="00603323" w:rsidRPr="00FD211F">
        <w:rPr>
          <w:sz w:val="36"/>
          <w:szCs w:val="36"/>
          <w:rtl/>
        </w:rPr>
        <w:t>،</w:t>
      </w:r>
      <w:r w:rsidR="00E8128F">
        <w:rPr>
          <w:sz w:val="36"/>
          <w:szCs w:val="36"/>
          <w:rtl/>
        </w:rPr>
        <w:t xml:space="preserve"> </w:t>
      </w:r>
      <w:r w:rsidR="006721C6" w:rsidRPr="00FD211F">
        <w:rPr>
          <w:sz w:val="36"/>
          <w:szCs w:val="36"/>
          <w:rtl/>
        </w:rPr>
        <w:t>وكذا</w:t>
      </w:r>
      <w:r w:rsidR="00E8128F">
        <w:rPr>
          <w:sz w:val="36"/>
          <w:szCs w:val="36"/>
          <w:rtl/>
        </w:rPr>
        <w:t xml:space="preserve"> </w:t>
      </w:r>
      <w:r w:rsidR="006721C6" w:rsidRPr="00FD211F">
        <w:rPr>
          <w:sz w:val="36"/>
          <w:szCs w:val="36"/>
          <w:rtl/>
        </w:rPr>
        <w:t>مسأل</w:t>
      </w:r>
      <w:r w:rsidR="00EC7EDF" w:rsidRPr="00FD211F">
        <w:rPr>
          <w:sz w:val="36"/>
          <w:szCs w:val="36"/>
          <w:rtl/>
        </w:rPr>
        <w:t>ة</w:t>
      </w:r>
      <w:r w:rsidR="00E8128F">
        <w:rPr>
          <w:sz w:val="36"/>
          <w:szCs w:val="36"/>
          <w:rtl/>
        </w:rPr>
        <w:t xml:space="preserve"> </w:t>
      </w:r>
      <w:r w:rsidR="006721C6" w:rsidRPr="00FD211F">
        <w:rPr>
          <w:sz w:val="36"/>
          <w:szCs w:val="36"/>
          <w:rtl/>
        </w:rPr>
        <w:t>الملازم</w:t>
      </w:r>
      <w:r w:rsidR="00EC7EDF" w:rsidRPr="00FD211F">
        <w:rPr>
          <w:sz w:val="36"/>
          <w:szCs w:val="36"/>
          <w:rtl/>
        </w:rPr>
        <w:t>ة</w:t>
      </w:r>
      <w:r w:rsidR="00E8128F">
        <w:rPr>
          <w:sz w:val="36"/>
          <w:szCs w:val="36"/>
          <w:rtl/>
        </w:rPr>
        <w:t xml:space="preserve"> </w:t>
      </w:r>
      <w:r w:rsidR="006721C6" w:rsidRPr="00FD211F">
        <w:rPr>
          <w:sz w:val="36"/>
          <w:szCs w:val="36"/>
          <w:rtl/>
        </w:rPr>
        <w:t>بين</w:t>
      </w:r>
      <w:r w:rsidR="00E8128F">
        <w:rPr>
          <w:sz w:val="36"/>
          <w:szCs w:val="36"/>
          <w:rtl/>
        </w:rPr>
        <w:t xml:space="preserve"> </w:t>
      </w:r>
      <w:r w:rsidR="006721C6" w:rsidRPr="00FD211F">
        <w:rPr>
          <w:sz w:val="36"/>
          <w:szCs w:val="36"/>
          <w:rtl/>
        </w:rPr>
        <w:t>وجوب</w:t>
      </w:r>
      <w:r w:rsidR="00E8128F">
        <w:rPr>
          <w:sz w:val="36"/>
          <w:szCs w:val="36"/>
          <w:rtl/>
        </w:rPr>
        <w:t xml:space="preserve"> </w:t>
      </w:r>
      <w:r w:rsidR="006721C6" w:rsidRPr="00FD211F">
        <w:rPr>
          <w:sz w:val="36"/>
          <w:szCs w:val="36"/>
          <w:rtl/>
        </w:rPr>
        <w:t>المقدم</w:t>
      </w:r>
      <w:r w:rsidR="00EC7EDF" w:rsidRPr="00FD211F">
        <w:rPr>
          <w:sz w:val="36"/>
          <w:szCs w:val="36"/>
          <w:rtl/>
        </w:rPr>
        <w:t>ة</w:t>
      </w:r>
      <w:r w:rsidR="00E8128F">
        <w:rPr>
          <w:sz w:val="36"/>
          <w:szCs w:val="36"/>
          <w:rtl/>
        </w:rPr>
        <w:t xml:space="preserve"> </w:t>
      </w:r>
      <w:r w:rsidR="006721C6" w:rsidRPr="00FD211F">
        <w:rPr>
          <w:sz w:val="36"/>
          <w:szCs w:val="36"/>
          <w:rtl/>
        </w:rPr>
        <w:t>ووجوب</w:t>
      </w:r>
      <w:r w:rsidR="00E8128F">
        <w:rPr>
          <w:sz w:val="36"/>
          <w:szCs w:val="36"/>
          <w:rtl/>
        </w:rPr>
        <w:t xml:space="preserve"> </w:t>
      </w:r>
      <w:r w:rsidR="006721C6" w:rsidRPr="00FD211F">
        <w:rPr>
          <w:sz w:val="36"/>
          <w:szCs w:val="36"/>
          <w:rtl/>
        </w:rPr>
        <w:t>ذي</w:t>
      </w:r>
      <w:r w:rsidR="00E8128F">
        <w:rPr>
          <w:sz w:val="36"/>
          <w:szCs w:val="36"/>
          <w:rtl/>
        </w:rPr>
        <w:t xml:space="preserve"> </w:t>
      </w:r>
      <w:r w:rsidR="006721C6" w:rsidRPr="00FD211F">
        <w:rPr>
          <w:sz w:val="36"/>
          <w:szCs w:val="36"/>
          <w:rtl/>
        </w:rPr>
        <w:t>المقدم</w:t>
      </w:r>
      <w:r w:rsidR="00EC7EDF" w:rsidRPr="00FD211F">
        <w:rPr>
          <w:sz w:val="36"/>
          <w:szCs w:val="36"/>
          <w:rtl/>
        </w:rPr>
        <w:t>ة</w:t>
      </w:r>
      <w:r w:rsidR="00603323" w:rsidRPr="00FD211F">
        <w:rPr>
          <w:sz w:val="36"/>
          <w:szCs w:val="36"/>
          <w:rtl/>
        </w:rPr>
        <w:t>،</w:t>
      </w:r>
      <w:r w:rsidR="00E8128F">
        <w:rPr>
          <w:sz w:val="36"/>
          <w:szCs w:val="36"/>
          <w:rtl/>
        </w:rPr>
        <w:t xml:space="preserve"> </w:t>
      </w:r>
      <w:r w:rsidR="00893AA1" w:rsidRPr="00FD211F">
        <w:rPr>
          <w:sz w:val="36"/>
          <w:szCs w:val="36"/>
          <w:rtl/>
        </w:rPr>
        <w:t>حيث</w:t>
      </w:r>
      <w:r w:rsidR="00E8128F">
        <w:rPr>
          <w:sz w:val="36"/>
          <w:szCs w:val="36"/>
          <w:rtl/>
        </w:rPr>
        <w:t xml:space="preserve"> </w:t>
      </w:r>
      <w:r w:rsidR="00893AA1" w:rsidRPr="00FD211F">
        <w:rPr>
          <w:sz w:val="36"/>
          <w:szCs w:val="36"/>
          <w:rtl/>
        </w:rPr>
        <w:t>أ</w:t>
      </w:r>
      <w:r w:rsidRPr="00FD211F">
        <w:rPr>
          <w:sz w:val="36"/>
          <w:szCs w:val="36"/>
          <w:rtl/>
        </w:rPr>
        <w:t>ن</w:t>
      </w:r>
      <w:r w:rsidR="00E8128F">
        <w:rPr>
          <w:sz w:val="36"/>
          <w:szCs w:val="36"/>
          <w:rtl/>
        </w:rPr>
        <w:t xml:space="preserve"> </w:t>
      </w:r>
      <w:r w:rsidR="006721C6" w:rsidRPr="00FD211F">
        <w:rPr>
          <w:sz w:val="36"/>
          <w:szCs w:val="36"/>
          <w:rtl/>
        </w:rPr>
        <w:t>استنباط</w:t>
      </w:r>
      <w:r w:rsidR="00E8128F">
        <w:rPr>
          <w:sz w:val="36"/>
          <w:szCs w:val="36"/>
          <w:rtl/>
        </w:rPr>
        <w:t xml:space="preserve"> </w:t>
      </w:r>
      <w:r w:rsidR="006721C6" w:rsidRPr="00FD211F">
        <w:rPr>
          <w:sz w:val="36"/>
          <w:szCs w:val="36"/>
          <w:rtl/>
        </w:rPr>
        <w:t>وجوب</w:t>
      </w:r>
      <w:r w:rsidR="00E8128F">
        <w:rPr>
          <w:sz w:val="36"/>
          <w:szCs w:val="36"/>
          <w:rtl/>
        </w:rPr>
        <w:t xml:space="preserve"> </w:t>
      </w:r>
      <w:r w:rsidR="006721C6" w:rsidRPr="00FD211F">
        <w:rPr>
          <w:sz w:val="36"/>
          <w:szCs w:val="36"/>
          <w:rtl/>
        </w:rPr>
        <w:t>المقدم</w:t>
      </w:r>
      <w:r w:rsidR="00EC7EDF" w:rsidRPr="00FD211F">
        <w:rPr>
          <w:sz w:val="36"/>
          <w:szCs w:val="36"/>
          <w:rtl/>
        </w:rPr>
        <w:t>ة</w:t>
      </w:r>
      <w:r w:rsidR="00E8128F">
        <w:rPr>
          <w:sz w:val="36"/>
          <w:szCs w:val="36"/>
          <w:rtl/>
        </w:rPr>
        <w:t xml:space="preserve"> </w:t>
      </w:r>
      <w:r w:rsidR="006721C6" w:rsidRPr="00FD211F">
        <w:rPr>
          <w:sz w:val="36"/>
          <w:szCs w:val="36"/>
          <w:rtl/>
        </w:rPr>
        <w:t>ليس</w:t>
      </w:r>
      <w:r w:rsidR="00E8128F">
        <w:rPr>
          <w:sz w:val="36"/>
          <w:szCs w:val="36"/>
          <w:rtl/>
        </w:rPr>
        <w:t xml:space="preserve"> </w:t>
      </w:r>
      <w:r w:rsidR="006721C6" w:rsidRPr="00FD211F">
        <w:rPr>
          <w:sz w:val="36"/>
          <w:szCs w:val="36"/>
          <w:rtl/>
        </w:rPr>
        <w:t>غرض</w:t>
      </w:r>
      <w:r w:rsidR="00E8128F">
        <w:rPr>
          <w:sz w:val="36"/>
          <w:szCs w:val="36"/>
          <w:rtl/>
        </w:rPr>
        <w:t xml:space="preserve"> </w:t>
      </w:r>
      <w:r w:rsidR="006721C6" w:rsidRPr="00FD211F">
        <w:rPr>
          <w:sz w:val="36"/>
          <w:szCs w:val="36"/>
          <w:rtl/>
        </w:rPr>
        <w:t>الفقيه</w:t>
      </w:r>
      <w:r w:rsidR="00E8128F">
        <w:rPr>
          <w:sz w:val="36"/>
          <w:szCs w:val="36"/>
          <w:rtl/>
        </w:rPr>
        <w:t xml:space="preserve"> </w:t>
      </w:r>
      <w:r w:rsidR="006721C6" w:rsidRPr="00FD211F">
        <w:rPr>
          <w:sz w:val="36"/>
          <w:szCs w:val="36"/>
          <w:rtl/>
        </w:rPr>
        <w:t>في</w:t>
      </w:r>
      <w:r w:rsidR="00E8128F">
        <w:rPr>
          <w:sz w:val="36"/>
          <w:szCs w:val="36"/>
          <w:rtl/>
        </w:rPr>
        <w:t xml:space="preserve"> </w:t>
      </w:r>
      <w:r w:rsidR="006721C6" w:rsidRPr="00FD211F">
        <w:rPr>
          <w:sz w:val="36"/>
          <w:szCs w:val="36"/>
          <w:rtl/>
        </w:rPr>
        <w:t>حد</w:t>
      </w:r>
      <w:r w:rsidR="00E8128F">
        <w:rPr>
          <w:sz w:val="36"/>
          <w:szCs w:val="36"/>
          <w:rtl/>
        </w:rPr>
        <w:t xml:space="preserve"> </w:t>
      </w:r>
      <w:r w:rsidR="006721C6" w:rsidRPr="00FD211F">
        <w:rPr>
          <w:sz w:val="36"/>
          <w:szCs w:val="36"/>
          <w:rtl/>
        </w:rPr>
        <w:t>ذاته</w:t>
      </w:r>
      <w:r w:rsidR="00E8128F">
        <w:rPr>
          <w:sz w:val="36"/>
          <w:szCs w:val="36"/>
          <w:rtl/>
        </w:rPr>
        <w:t xml:space="preserve"> </w:t>
      </w:r>
      <w:r w:rsidR="006721C6" w:rsidRPr="00FD211F">
        <w:rPr>
          <w:sz w:val="36"/>
          <w:szCs w:val="36"/>
          <w:rtl/>
        </w:rPr>
        <w:t>لكون</w:t>
      </w:r>
      <w:r w:rsidR="00E8128F">
        <w:rPr>
          <w:sz w:val="36"/>
          <w:szCs w:val="36"/>
          <w:rtl/>
        </w:rPr>
        <w:t xml:space="preserve"> </w:t>
      </w:r>
      <w:r w:rsidR="006721C6" w:rsidRPr="00FD211F">
        <w:rPr>
          <w:sz w:val="36"/>
          <w:szCs w:val="36"/>
          <w:rtl/>
        </w:rPr>
        <w:t>وجوبه</w:t>
      </w:r>
      <w:r w:rsidR="00E8128F">
        <w:rPr>
          <w:sz w:val="36"/>
          <w:szCs w:val="36"/>
          <w:rtl/>
        </w:rPr>
        <w:t xml:space="preserve"> </w:t>
      </w:r>
      <w:r w:rsidR="006721C6" w:rsidRPr="00FD211F">
        <w:rPr>
          <w:sz w:val="36"/>
          <w:szCs w:val="36"/>
          <w:rtl/>
        </w:rPr>
        <w:t>غيريا</w:t>
      </w:r>
      <w:r w:rsidR="00E8128F">
        <w:rPr>
          <w:sz w:val="36"/>
          <w:szCs w:val="36"/>
          <w:rtl/>
        </w:rPr>
        <w:t xml:space="preserve"> </w:t>
      </w:r>
      <w:r w:rsidR="006721C6" w:rsidRPr="00FD211F">
        <w:rPr>
          <w:sz w:val="36"/>
          <w:szCs w:val="36"/>
          <w:rtl/>
        </w:rPr>
        <w:t>لايستتبع</w:t>
      </w:r>
      <w:r w:rsidR="00E8128F">
        <w:rPr>
          <w:sz w:val="36"/>
          <w:szCs w:val="36"/>
          <w:rtl/>
        </w:rPr>
        <w:t xml:space="preserve"> </w:t>
      </w:r>
      <w:r w:rsidR="006721C6" w:rsidRPr="00FD211F">
        <w:rPr>
          <w:sz w:val="36"/>
          <w:szCs w:val="36"/>
          <w:rtl/>
        </w:rPr>
        <w:t>ثوابا</w:t>
      </w:r>
      <w:r w:rsidR="00E8128F">
        <w:rPr>
          <w:sz w:val="36"/>
          <w:szCs w:val="36"/>
          <w:rtl/>
        </w:rPr>
        <w:t xml:space="preserve"> </w:t>
      </w:r>
      <w:r w:rsidR="006721C6" w:rsidRPr="00FD211F">
        <w:rPr>
          <w:sz w:val="36"/>
          <w:szCs w:val="36"/>
          <w:rtl/>
        </w:rPr>
        <w:t>ولاعقابا</w:t>
      </w:r>
      <w:r w:rsidR="009C58C8" w:rsidRPr="00FD211F">
        <w:rPr>
          <w:rStyle w:val="a6"/>
          <w:sz w:val="36"/>
          <w:szCs w:val="36"/>
          <w:rtl/>
        </w:rPr>
        <w:t>(</w:t>
      </w:r>
      <w:r w:rsidR="009C58C8" w:rsidRPr="00FD211F">
        <w:rPr>
          <w:rStyle w:val="a6"/>
          <w:sz w:val="36"/>
          <w:szCs w:val="36"/>
          <w:rtl/>
        </w:rPr>
        <w:footnoteReference w:id="32"/>
      </w:r>
      <w:r w:rsidR="009C58C8" w:rsidRPr="00FD211F">
        <w:rPr>
          <w:rStyle w:val="a6"/>
          <w:sz w:val="36"/>
          <w:szCs w:val="36"/>
          <w:rtl/>
        </w:rPr>
        <w:t>)</w:t>
      </w:r>
      <w:r w:rsidR="006721C6" w:rsidRPr="00FD211F">
        <w:rPr>
          <w:sz w:val="36"/>
          <w:szCs w:val="36"/>
          <w:rtl/>
        </w:rPr>
        <w:t>.</w:t>
      </w:r>
    </w:p>
    <w:p w14:paraId="16C607BD" w14:textId="77777777" w:rsidR="004B6CC8" w:rsidRPr="00FD211F" w:rsidRDefault="0025223A" w:rsidP="009C58C8">
      <w:pPr>
        <w:ind w:left="0" w:firstLine="227"/>
        <w:jc w:val="both"/>
        <w:rPr>
          <w:sz w:val="36"/>
          <w:szCs w:val="36"/>
          <w:rtl/>
        </w:rPr>
      </w:pPr>
      <w:r w:rsidRPr="00FD211F">
        <w:rPr>
          <w:sz w:val="36"/>
          <w:szCs w:val="36"/>
          <w:rtl/>
        </w:rPr>
        <w:t>اقول:</w:t>
      </w:r>
      <w:r w:rsidR="00E8128F">
        <w:rPr>
          <w:sz w:val="36"/>
          <w:szCs w:val="36"/>
          <w:rtl/>
        </w:rPr>
        <w:t xml:space="preserve"> </w:t>
      </w:r>
      <w:r w:rsidRPr="00FD211F">
        <w:rPr>
          <w:sz w:val="36"/>
          <w:szCs w:val="36"/>
          <w:rtl/>
        </w:rPr>
        <w:t>لاوجه</w:t>
      </w:r>
      <w:r w:rsidR="00E8128F">
        <w:rPr>
          <w:sz w:val="36"/>
          <w:szCs w:val="36"/>
          <w:rtl/>
        </w:rPr>
        <w:t xml:space="preserve"> </w:t>
      </w:r>
      <w:r w:rsidRPr="00FD211F">
        <w:rPr>
          <w:sz w:val="36"/>
          <w:szCs w:val="36"/>
          <w:rtl/>
        </w:rPr>
        <w:t>لتخصيص</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يراد</w:t>
      </w:r>
      <w:r w:rsidR="00E8128F">
        <w:rPr>
          <w:sz w:val="36"/>
          <w:szCs w:val="36"/>
          <w:rtl/>
        </w:rPr>
        <w:t xml:space="preserve"> </w:t>
      </w:r>
      <w:r w:rsidRPr="00FD211F">
        <w:rPr>
          <w:sz w:val="36"/>
          <w:szCs w:val="36"/>
          <w:rtl/>
        </w:rPr>
        <w:t>استنباطه</w:t>
      </w:r>
      <w:r w:rsidR="00E8128F">
        <w:rPr>
          <w:sz w:val="36"/>
          <w:szCs w:val="36"/>
          <w:rtl/>
        </w:rPr>
        <w:t xml:space="preserve"> </w:t>
      </w:r>
      <w:r w:rsidRPr="00FD211F">
        <w:rPr>
          <w:sz w:val="36"/>
          <w:szCs w:val="36"/>
          <w:rtl/>
        </w:rPr>
        <w:t>بالحكم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الن</w:t>
      </w:r>
      <w:r w:rsidR="003F0970" w:rsidRPr="00FD211F">
        <w:rPr>
          <w:sz w:val="36"/>
          <w:szCs w:val="36"/>
          <w:rtl/>
        </w:rPr>
        <w:t>فسي</w:t>
      </w:r>
      <w:r w:rsidR="00603323" w:rsidRPr="00FD211F">
        <w:rPr>
          <w:sz w:val="36"/>
          <w:szCs w:val="36"/>
          <w:rtl/>
        </w:rPr>
        <w:t>،</w:t>
      </w:r>
      <w:r w:rsidR="00E8128F">
        <w:rPr>
          <w:sz w:val="36"/>
          <w:szCs w:val="36"/>
          <w:rtl/>
        </w:rPr>
        <w:t xml:space="preserve"> </w:t>
      </w:r>
      <w:r w:rsidR="003F0970" w:rsidRPr="00FD211F">
        <w:rPr>
          <w:sz w:val="36"/>
          <w:szCs w:val="36"/>
          <w:rtl/>
        </w:rPr>
        <w:t>فان</w:t>
      </w:r>
      <w:r w:rsidR="00E8128F">
        <w:rPr>
          <w:sz w:val="36"/>
          <w:szCs w:val="36"/>
          <w:rtl/>
        </w:rPr>
        <w:t xml:space="preserve"> </w:t>
      </w:r>
      <w:r w:rsidR="003F0970" w:rsidRPr="00FD211F">
        <w:rPr>
          <w:sz w:val="36"/>
          <w:szCs w:val="36"/>
          <w:rtl/>
        </w:rPr>
        <w:t>استنباط</w:t>
      </w:r>
      <w:r w:rsidR="00E8128F">
        <w:rPr>
          <w:sz w:val="36"/>
          <w:szCs w:val="36"/>
          <w:rtl/>
        </w:rPr>
        <w:t xml:space="preserve"> </w:t>
      </w:r>
      <w:r w:rsidR="003F0970" w:rsidRPr="00FD211F">
        <w:rPr>
          <w:sz w:val="36"/>
          <w:szCs w:val="36"/>
          <w:rtl/>
        </w:rPr>
        <w:t>الحكم</w:t>
      </w:r>
      <w:r w:rsidR="00E8128F">
        <w:rPr>
          <w:sz w:val="36"/>
          <w:szCs w:val="36"/>
          <w:rtl/>
        </w:rPr>
        <w:t xml:space="preserve"> </w:t>
      </w:r>
      <w:r w:rsidR="003F0970" w:rsidRPr="00FD211F">
        <w:rPr>
          <w:sz w:val="36"/>
          <w:szCs w:val="36"/>
          <w:rtl/>
        </w:rPr>
        <w:t>الغيري</w:t>
      </w:r>
      <w:r w:rsidR="00E8128F">
        <w:rPr>
          <w:sz w:val="36"/>
          <w:szCs w:val="36"/>
          <w:rtl/>
        </w:rPr>
        <w:t xml:space="preserve"> </w:t>
      </w:r>
      <w:r w:rsidR="003F0970" w:rsidRPr="00FD211F">
        <w:rPr>
          <w:sz w:val="36"/>
          <w:szCs w:val="36"/>
          <w:rtl/>
        </w:rPr>
        <w:t>ايضا</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غرض</w:t>
      </w:r>
      <w:r w:rsidR="00E8128F">
        <w:rPr>
          <w:sz w:val="36"/>
          <w:szCs w:val="36"/>
          <w:rtl/>
        </w:rPr>
        <w:t xml:space="preserve"> </w:t>
      </w:r>
      <w:r w:rsidRPr="00FD211F">
        <w:rPr>
          <w:sz w:val="36"/>
          <w:szCs w:val="36"/>
          <w:rtl/>
        </w:rPr>
        <w:t>الفقيه</w:t>
      </w:r>
      <w:r w:rsidR="00E8128F">
        <w:rPr>
          <w:sz w:val="36"/>
          <w:szCs w:val="36"/>
          <w:rtl/>
        </w:rPr>
        <w:t xml:space="preserve"> </w:t>
      </w:r>
      <w:r w:rsidRPr="00FD211F">
        <w:rPr>
          <w:sz w:val="36"/>
          <w:szCs w:val="36"/>
          <w:rtl/>
        </w:rPr>
        <w:t>بالعرض</w:t>
      </w:r>
      <w:r w:rsidR="00603323" w:rsidRPr="00FD211F">
        <w:rPr>
          <w:sz w:val="36"/>
          <w:szCs w:val="36"/>
          <w:rtl/>
        </w:rPr>
        <w:t>،</w:t>
      </w:r>
      <w:r w:rsidR="00E8128F">
        <w:rPr>
          <w:sz w:val="36"/>
          <w:szCs w:val="36"/>
          <w:rtl/>
        </w:rPr>
        <w:t xml:space="preserve"> </w:t>
      </w:r>
      <w:r w:rsidRPr="00FD211F">
        <w:rPr>
          <w:sz w:val="36"/>
          <w:szCs w:val="36"/>
          <w:rtl/>
        </w:rPr>
        <w:t>والا</w:t>
      </w:r>
      <w:r w:rsidR="00E8128F">
        <w:rPr>
          <w:sz w:val="36"/>
          <w:szCs w:val="36"/>
          <w:rtl/>
        </w:rPr>
        <w:t xml:space="preserve"> </w:t>
      </w:r>
      <w:r w:rsidR="003F0970" w:rsidRPr="00FD211F">
        <w:rPr>
          <w:sz w:val="36"/>
          <w:szCs w:val="36"/>
          <w:rtl/>
        </w:rPr>
        <w:t>لتوجه</w:t>
      </w:r>
      <w:r w:rsidR="00E8128F">
        <w:rPr>
          <w:sz w:val="36"/>
          <w:szCs w:val="36"/>
          <w:rtl/>
        </w:rPr>
        <w:t xml:space="preserve"> </w:t>
      </w:r>
      <w:r w:rsidR="003F0970" w:rsidRPr="00FD211F">
        <w:rPr>
          <w:sz w:val="36"/>
          <w:szCs w:val="36"/>
          <w:rtl/>
        </w:rPr>
        <w:t>هذا</w:t>
      </w:r>
      <w:r w:rsidR="00E8128F">
        <w:rPr>
          <w:sz w:val="36"/>
          <w:szCs w:val="36"/>
          <w:rtl/>
        </w:rPr>
        <w:t xml:space="preserve"> </w:t>
      </w:r>
      <w:r w:rsidR="003F0970" w:rsidRPr="00FD211F">
        <w:rPr>
          <w:sz w:val="36"/>
          <w:szCs w:val="36"/>
          <w:rtl/>
        </w:rPr>
        <w:t>الإيراد</w:t>
      </w:r>
      <w:r w:rsidR="00E8128F">
        <w:rPr>
          <w:sz w:val="36"/>
          <w:szCs w:val="36"/>
          <w:rtl/>
        </w:rPr>
        <w:t xml:space="preserve"> </w:t>
      </w:r>
      <w:r w:rsidR="003F0970" w:rsidRPr="00FD211F">
        <w:rPr>
          <w:sz w:val="36"/>
          <w:szCs w:val="36"/>
          <w:rtl/>
        </w:rPr>
        <w:t>ايضا</w:t>
      </w:r>
      <w:r w:rsidR="00E8128F">
        <w:rPr>
          <w:sz w:val="36"/>
          <w:szCs w:val="36"/>
          <w:rtl/>
        </w:rPr>
        <w:t xml:space="preserve"> </w:t>
      </w:r>
      <w:r w:rsidR="003F0970" w:rsidRPr="00FD211F">
        <w:rPr>
          <w:sz w:val="36"/>
          <w:szCs w:val="36"/>
          <w:rtl/>
        </w:rPr>
        <w:t>على</w:t>
      </w:r>
      <w:r w:rsidR="00E8128F">
        <w:rPr>
          <w:sz w:val="36"/>
          <w:szCs w:val="36"/>
          <w:rtl/>
        </w:rPr>
        <w:t xml:space="preserve"> </w:t>
      </w:r>
      <w:r w:rsidRPr="00FD211F">
        <w:rPr>
          <w:sz w:val="36"/>
          <w:szCs w:val="36"/>
          <w:rtl/>
        </w:rPr>
        <w:t>تعريف</w:t>
      </w:r>
      <w:r w:rsidR="002C41DC" w:rsidRPr="00FD211F">
        <w:rPr>
          <w:sz w:val="36"/>
          <w:szCs w:val="36"/>
          <w:rtl/>
        </w:rPr>
        <w:t>ه</w:t>
      </w:r>
      <w:r w:rsidR="00E8128F">
        <w:rPr>
          <w:sz w:val="36"/>
          <w:szCs w:val="36"/>
          <w:rtl/>
        </w:rPr>
        <w:t xml:space="preserve"> </w:t>
      </w:r>
      <w:r w:rsidR="002C41DC" w:rsidRPr="00FD211F">
        <w:rPr>
          <w:sz w:val="36"/>
          <w:szCs w:val="36"/>
          <w:rtl/>
        </w:rPr>
        <w:t>نفسه</w:t>
      </w:r>
      <w:r w:rsidR="00E8128F">
        <w:rPr>
          <w:sz w:val="36"/>
          <w:szCs w:val="36"/>
          <w:rtl/>
        </w:rPr>
        <w:t xml:space="preserve"> </w:t>
      </w:r>
      <w:r w:rsidR="004B6CC8" w:rsidRPr="00FD211F">
        <w:rPr>
          <w:sz w:val="36"/>
          <w:szCs w:val="36"/>
          <w:rtl/>
        </w:rPr>
        <w:t>لعلم</w:t>
      </w:r>
      <w:r w:rsidR="00E8128F">
        <w:rPr>
          <w:sz w:val="36"/>
          <w:szCs w:val="36"/>
          <w:rtl/>
        </w:rPr>
        <w:t xml:space="preserve"> </w:t>
      </w:r>
      <w:r w:rsidR="004B6CC8" w:rsidRPr="00FD211F">
        <w:rPr>
          <w:sz w:val="36"/>
          <w:szCs w:val="36"/>
          <w:rtl/>
        </w:rPr>
        <w:t>الاصول</w:t>
      </w:r>
      <w:r w:rsidR="00E8128F">
        <w:rPr>
          <w:sz w:val="36"/>
          <w:szCs w:val="36"/>
          <w:rtl/>
        </w:rPr>
        <w:t xml:space="preserve"> </w:t>
      </w:r>
      <w:r w:rsidR="004B6CC8" w:rsidRPr="00FD211F">
        <w:rPr>
          <w:sz w:val="36"/>
          <w:szCs w:val="36"/>
          <w:rtl/>
        </w:rPr>
        <w:t>بانه</w:t>
      </w:r>
      <w:r w:rsidR="00E8128F">
        <w:rPr>
          <w:sz w:val="36"/>
          <w:szCs w:val="36"/>
          <w:rtl/>
        </w:rPr>
        <w:t xml:space="preserve"> </w:t>
      </w:r>
      <w:r w:rsidR="004B6CC8" w:rsidRPr="00FD211F">
        <w:rPr>
          <w:sz w:val="36"/>
          <w:szCs w:val="36"/>
          <w:rtl/>
        </w:rPr>
        <w:t>علم</w:t>
      </w:r>
      <w:r w:rsidR="00E8128F">
        <w:rPr>
          <w:sz w:val="36"/>
          <w:szCs w:val="36"/>
          <w:rtl/>
        </w:rPr>
        <w:t xml:space="preserve"> </w:t>
      </w:r>
      <w:r w:rsidR="004B6CC8" w:rsidRPr="00FD211F">
        <w:rPr>
          <w:sz w:val="36"/>
          <w:szCs w:val="36"/>
          <w:rtl/>
        </w:rPr>
        <w:t>بالقواعد</w:t>
      </w:r>
      <w:r w:rsidR="00E8128F">
        <w:rPr>
          <w:sz w:val="36"/>
          <w:szCs w:val="36"/>
          <w:rtl/>
        </w:rPr>
        <w:t xml:space="preserve"> </w:t>
      </w:r>
      <w:r w:rsidR="004B6CC8" w:rsidRPr="00FD211F">
        <w:rPr>
          <w:sz w:val="36"/>
          <w:szCs w:val="36"/>
          <w:rtl/>
        </w:rPr>
        <w:t>التي</w:t>
      </w:r>
      <w:r w:rsidR="00E8128F">
        <w:rPr>
          <w:sz w:val="36"/>
          <w:szCs w:val="36"/>
          <w:rtl/>
        </w:rPr>
        <w:t xml:space="preserve"> </w:t>
      </w:r>
      <w:r w:rsidR="004B6CC8" w:rsidRPr="00FD211F">
        <w:rPr>
          <w:sz w:val="36"/>
          <w:szCs w:val="36"/>
          <w:rtl/>
        </w:rPr>
        <w:t>يستعملها</w:t>
      </w:r>
      <w:r w:rsidR="00E8128F">
        <w:rPr>
          <w:sz w:val="36"/>
          <w:szCs w:val="36"/>
          <w:rtl/>
        </w:rPr>
        <w:t xml:space="preserve"> </w:t>
      </w:r>
      <w:r w:rsidR="004B6CC8" w:rsidRPr="00FD211F">
        <w:rPr>
          <w:sz w:val="36"/>
          <w:szCs w:val="36"/>
          <w:rtl/>
        </w:rPr>
        <w:t>الفقيه</w:t>
      </w:r>
      <w:r w:rsidR="00E8128F">
        <w:rPr>
          <w:sz w:val="36"/>
          <w:szCs w:val="36"/>
          <w:rtl/>
        </w:rPr>
        <w:t xml:space="preserve"> </w:t>
      </w:r>
      <w:r w:rsidR="004B6CC8" w:rsidRPr="00FD211F">
        <w:rPr>
          <w:sz w:val="36"/>
          <w:szCs w:val="36"/>
          <w:rtl/>
        </w:rPr>
        <w:t>كدليل</w:t>
      </w:r>
      <w:r w:rsidR="00E8128F">
        <w:rPr>
          <w:sz w:val="36"/>
          <w:szCs w:val="36"/>
          <w:rtl/>
        </w:rPr>
        <w:t xml:space="preserve"> </w:t>
      </w:r>
      <w:r w:rsidR="004B6CC8" w:rsidRPr="00FD211F">
        <w:rPr>
          <w:sz w:val="36"/>
          <w:szCs w:val="36"/>
          <w:rtl/>
        </w:rPr>
        <w:t>على</w:t>
      </w:r>
      <w:r w:rsidR="00E8128F">
        <w:rPr>
          <w:sz w:val="36"/>
          <w:szCs w:val="36"/>
          <w:rtl/>
        </w:rPr>
        <w:t xml:space="preserve"> </w:t>
      </w:r>
      <w:r w:rsidR="004B6CC8" w:rsidRPr="00FD211F">
        <w:rPr>
          <w:sz w:val="36"/>
          <w:szCs w:val="36"/>
          <w:rtl/>
        </w:rPr>
        <w:t>الجعل</w:t>
      </w:r>
      <w:r w:rsidR="00E8128F">
        <w:rPr>
          <w:sz w:val="36"/>
          <w:szCs w:val="36"/>
          <w:rtl/>
        </w:rPr>
        <w:t xml:space="preserve"> </w:t>
      </w:r>
      <w:r w:rsidR="004B6CC8" w:rsidRPr="00FD211F">
        <w:rPr>
          <w:sz w:val="36"/>
          <w:szCs w:val="36"/>
          <w:rtl/>
        </w:rPr>
        <w:t>الشرعي</w:t>
      </w:r>
      <w:r w:rsidR="00E8128F">
        <w:rPr>
          <w:sz w:val="36"/>
          <w:szCs w:val="36"/>
          <w:rtl/>
        </w:rPr>
        <w:t xml:space="preserve"> </w:t>
      </w:r>
      <w:r w:rsidR="003F0970" w:rsidRPr="00FD211F">
        <w:rPr>
          <w:sz w:val="36"/>
          <w:szCs w:val="36"/>
          <w:rtl/>
        </w:rPr>
        <w:t>مباشر</w:t>
      </w:r>
      <w:r w:rsidR="00EC7EDF" w:rsidRPr="00FD211F">
        <w:rPr>
          <w:sz w:val="36"/>
          <w:szCs w:val="36"/>
          <w:rtl/>
        </w:rPr>
        <w:t>ة</w:t>
      </w:r>
      <w:r w:rsidR="00603323" w:rsidRPr="00FD211F">
        <w:rPr>
          <w:sz w:val="36"/>
          <w:szCs w:val="36"/>
          <w:rtl/>
        </w:rPr>
        <w:t>،</w:t>
      </w:r>
      <w:r w:rsidR="00E8128F">
        <w:rPr>
          <w:sz w:val="36"/>
          <w:szCs w:val="36"/>
          <w:rtl/>
        </w:rPr>
        <w:t xml:space="preserve"> </w:t>
      </w:r>
      <w:r w:rsidR="002C41DC" w:rsidRPr="00FD211F">
        <w:rPr>
          <w:sz w:val="36"/>
          <w:szCs w:val="36"/>
          <w:rtl/>
        </w:rPr>
        <w:t>-ومراده</w:t>
      </w:r>
      <w:r w:rsidR="00E8128F">
        <w:rPr>
          <w:sz w:val="36"/>
          <w:szCs w:val="36"/>
          <w:rtl/>
        </w:rPr>
        <w:t xml:space="preserve"> </w:t>
      </w:r>
      <w:r w:rsidR="003F0970" w:rsidRPr="00FD211F">
        <w:rPr>
          <w:sz w:val="36"/>
          <w:szCs w:val="36"/>
          <w:rtl/>
        </w:rPr>
        <w:t>ان</w:t>
      </w:r>
      <w:r w:rsidR="00E8128F">
        <w:rPr>
          <w:sz w:val="36"/>
          <w:szCs w:val="36"/>
          <w:rtl/>
        </w:rPr>
        <w:t xml:space="preserve"> </w:t>
      </w:r>
      <w:r w:rsidR="003F0970" w:rsidRPr="00FD211F">
        <w:rPr>
          <w:sz w:val="36"/>
          <w:szCs w:val="36"/>
          <w:rtl/>
        </w:rPr>
        <w:t>الفقيه</w:t>
      </w:r>
      <w:r w:rsidR="00E8128F">
        <w:rPr>
          <w:sz w:val="36"/>
          <w:szCs w:val="36"/>
          <w:rtl/>
        </w:rPr>
        <w:t xml:space="preserve"> </w:t>
      </w:r>
      <w:r w:rsidR="003F0970" w:rsidRPr="00FD211F">
        <w:rPr>
          <w:sz w:val="36"/>
          <w:szCs w:val="36"/>
          <w:rtl/>
        </w:rPr>
        <w:t>يستع</w:t>
      </w:r>
      <w:r w:rsidR="002C41DC" w:rsidRPr="00FD211F">
        <w:rPr>
          <w:sz w:val="36"/>
          <w:szCs w:val="36"/>
          <w:rtl/>
        </w:rPr>
        <w:t>ملها</w:t>
      </w:r>
      <w:r w:rsidR="00E8128F">
        <w:rPr>
          <w:sz w:val="36"/>
          <w:szCs w:val="36"/>
          <w:rtl/>
        </w:rPr>
        <w:t xml:space="preserve"> </w:t>
      </w:r>
      <w:r w:rsidR="002C41DC" w:rsidRPr="00FD211F">
        <w:rPr>
          <w:sz w:val="36"/>
          <w:szCs w:val="36"/>
          <w:rtl/>
        </w:rPr>
        <w:t>كآخر</w:t>
      </w:r>
      <w:r w:rsidR="00E8128F">
        <w:rPr>
          <w:sz w:val="36"/>
          <w:szCs w:val="36"/>
          <w:rtl/>
        </w:rPr>
        <w:t xml:space="preserve"> </w:t>
      </w:r>
      <w:r w:rsidR="002C41DC" w:rsidRPr="00FD211F">
        <w:rPr>
          <w:sz w:val="36"/>
          <w:szCs w:val="36"/>
          <w:rtl/>
        </w:rPr>
        <w:t>دليل</w:t>
      </w:r>
      <w:r w:rsidR="00E8128F">
        <w:rPr>
          <w:sz w:val="36"/>
          <w:szCs w:val="36"/>
          <w:rtl/>
        </w:rPr>
        <w:t xml:space="preserve"> </w:t>
      </w:r>
      <w:r w:rsidR="002C41DC" w:rsidRPr="00FD211F">
        <w:rPr>
          <w:sz w:val="36"/>
          <w:szCs w:val="36"/>
          <w:rtl/>
        </w:rPr>
        <w:t>على</w:t>
      </w:r>
      <w:r w:rsidR="00E8128F">
        <w:rPr>
          <w:sz w:val="36"/>
          <w:szCs w:val="36"/>
          <w:rtl/>
        </w:rPr>
        <w:t xml:space="preserve"> </w:t>
      </w:r>
      <w:r w:rsidR="002C41DC" w:rsidRPr="00FD211F">
        <w:rPr>
          <w:sz w:val="36"/>
          <w:szCs w:val="36"/>
          <w:rtl/>
        </w:rPr>
        <w:t>الجعل</w:t>
      </w:r>
      <w:r w:rsidR="00E8128F">
        <w:rPr>
          <w:sz w:val="36"/>
          <w:szCs w:val="36"/>
          <w:rtl/>
        </w:rPr>
        <w:t xml:space="preserve"> </w:t>
      </w:r>
      <w:r w:rsidR="002C41DC" w:rsidRPr="00FD211F">
        <w:rPr>
          <w:sz w:val="36"/>
          <w:szCs w:val="36"/>
          <w:rtl/>
        </w:rPr>
        <w:t>الشرعي</w:t>
      </w:r>
      <w:r w:rsidR="00603323" w:rsidRPr="00FD211F">
        <w:rPr>
          <w:sz w:val="36"/>
          <w:szCs w:val="36"/>
          <w:rtl/>
        </w:rPr>
        <w:t>،</w:t>
      </w:r>
      <w:r w:rsidR="00E8128F">
        <w:rPr>
          <w:sz w:val="36"/>
          <w:szCs w:val="36"/>
          <w:rtl/>
        </w:rPr>
        <w:t xml:space="preserve"> </w:t>
      </w:r>
      <w:r w:rsidR="002C41DC" w:rsidRPr="00FD211F">
        <w:rPr>
          <w:sz w:val="36"/>
          <w:szCs w:val="36"/>
          <w:rtl/>
        </w:rPr>
        <w:t>وبذلك</w:t>
      </w:r>
      <w:r w:rsidR="00E8128F">
        <w:rPr>
          <w:sz w:val="36"/>
          <w:szCs w:val="36"/>
          <w:rtl/>
        </w:rPr>
        <w:t xml:space="preserve"> </w:t>
      </w:r>
      <w:r w:rsidR="002C41DC" w:rsidRPr="00FD211F">
        <w:rPr>
          <w:sz w:val="36"/>
          <w:szCs w:val="36"/>
          <w:rtl/>
        </w:rPr>
        <w:t>حكم</w:t>
      </w:r>
      <w:r w:rsidR="00E8128F">
        <w:rPr>
          <w:sz w:val="36"/>
          <w:szCs w:val="36"/>
          <w:rtl/>
        </w:rPr>
        <w:t xml:space="preserve"> </w:t>
      </w:r>
      <w:r w:rsidR="002C41DC" w:rsidRPr="00FD211F">
        <w:rPr>
          <w:sz w:val="36"/>
          <w:szCs w:val="36"/>
          <w:rtl/>
        </w:rPr>
        <w:t>بخروج</w:t>
      </w:r>
      <w:r w:rsidR="00E8128F">
        <w:rPr>
          <w:sz w:val="36"/>
          <w:szCs w:val="36"/>
          <w:rtl/>
        </w:rPr>
        <w:t xml:space="preserve"> </w:t>
      </w:r>
      <w:r w:rsidR="002C41DC" w:rsidRPr="00FD211F">
        <w:rPr>
          <w:sz w:val="36"/>
          <w:szCs w:val="36"/>
          <w:rtl/>
        </w:rPr>
        <w:t>مثل</w:t>
      </w:r>
      <w:r w:rsidR="00E8128F">
        <w:rPr>
          <w:sz w:val="36"/>
          <w:szCs w:val="36"/>
          <w:rtl/>
        </w:rPr>
        <w:t xml:space="preserve"> </w:t>
      </w:r>
      <w:r w:rsidR="002C41DC" w:rsidRPr="00FD211F">
        <w:rPr>
          <w:sz w:val="36"/>
          <w:szCs w:val="36"/>
          <w:rtl/>
        </w:rPr>
        <w:t>بحث</w:t>
      </w:r>
      <w:r w:rsidR="00E8128F">
        <w:rPr>
          <w:sz w:val="36"/>
          <w:szCs w:val="36"/>
          <w:rtl/>
        </w:rPr>
        <w:t xml:space="preserve"> </w:t>
      </w:r>
      <w:r w:rsidR="002C41DC" w:rsidRPr="00FD211F">
        <w:rPr>
          <w:sz w:val="36"/>
          <w:szCs w:val="36"/>
          <w:rtl/>
        </w:rPr>
        <w:t>الرجال-</w:t>
      </w:r>
      <w:r w:rsidR="00E8128F">
        <w:rPr>
          <w:sz w:val="36"/>
          <w:szCs w:val="36"/>
          <w:rtl/>
        </w:rPr>
        <w:t xml:space="preserve"> </w:t>
      </w:r>
      <w:r w:rsidR="003F0970" w:rsidRPr="00FD211F">
        <w:rPr>
          <w:sz w:val="36"/>
          <w:szCs w:val="36"/>
          <w:rtl/>
        </w:rPr>
        <w:t>حيث</w:t>
      </w:r>
      <w:r w:rsidR="00E8128F">
        <w:rPr>
          <w:sz w:val="36"/>
          <w:szCs w:val="36"/>
          <w:rtl/>
        </w:rPr>
        <w:t xml:space="preserve"> </w:t>
      </w:r>
      <w:r w:rsidR="003F0970" w:rsidRPr="00FD211F">
        <w:rPr>
          <w:sz w:val="36"/>
          <w:szCs w:val="36"/>
          <w:rtl/>
        </w:rPr>
        <w:t>انه</w:t>
      </w:r>
      <w:r w:rsidR="00E8128F">
        <w:rPr>
          <w:sz w:val="36"/>
          <w:szCs w:val="36"/>
          <w:rtl/>
        </w:rPr>
        <w:t xml:space="preserve"> </w:t>
      </w:r>
      <w:r w:rsidR="003F0970" w:rsidRPr="00FD211F">
        <w:rPr>
          <w:sz w:val="36"/>
          <w:szCs w:val="36"/>
          <w:rtl/>
        </w:rPr>
        <w:t>لو</w:t>
      </w:r>
      <w:r w:rsidR="00E8128F">
        <w:rPr>
          <w:sz w:val="36"/>
          <w:szCs w:val="36"/>
          <w:rtl/>
        </w:rPr>
        <w:t xml:space="preserve"> </w:t>
      </w:r>
      <w:r w:rsidR="003F0970" w:rsidRPr="00FD211F">
        <w:rPr>
          <w:sz w:val="36"/>
          <w:szCs w:val="36"/>
          <w:rtl/>
        </w:rPr>
        <w:t>اريد</w:t>
      </w:r>
      <w:r w:rsidR="00E8128F">
        <w:rPr>
          <w:sz w:val="36"/>
          <w:szCs w:val="36"/>
          <w:rtl/>
        </w:rPr>
        <w:t xml:space="preserve"> </w:t>
      </w:r>
      <w:r w:rsidR="003F0970" w:rsidRPr="00FD211F">
        <w:rPr>
          <w:sz w:val="36"/>
          <w:szCs w:val="36"/>
          <w:rtl/>
        </w:rPr>
        <w:t>به</w:t>
      </w:r>
      <w:r w:rsidR="00E8128F">
        <w:rPr>
          <w:sz w:val="36"/>
          <w:szCs w:val="36"/>
          <w:rtl/>
        </w:rPr>
        <w:t xml:space="preserve"> </w:t>
      </w:r>
      <w:r w:rsidR="003F0970" w:rsidRPr="00FD211F">
        <w:rPr>
          <w:sz w:val="36"/>
          <w:szCs w:val="36"/>
          <w:rtl/>
        </w:rPr>
        <w:t>الجعل</w:t>
      </w:r>
      <w:r w:rsidR="00E8128F">
        <w:rPr>
          <w:sz w:val="36"/>
          <w:szCs w:val="36"/>
          <w:rtl/>
        </w:rPr>
        <w:t xml:space="preserve"> </w:t>
      </w:r>
      <w:r w:rsidR="003F0970" w:rsidRPr="00FD211F">
        <w:rPr>
          <w:sz w:val="36"/>
          <w:szCs w:val="36"/>
          <w:rtl/>
        </w:rPr>
        <w:t>الشرعي</w:t>
      </w:r>
      <w:r w:rsidR="00E8128F">
        <w:rPr>
          <w:sz w:val="36"/>
          <w:szCs w:val="36"/>
          <w:rtl/>
        </w:rPr>
        <w:t xml:space="preserve"> </w:t>
      </w:r>
      <w:r w:rsidR="003F0970" w:rsidRPr="00FD211F">
        <w:rPr>
          <w:sz w:val="36"/>
          <w:szCs w:val="36"/>
          <w:rtl/>
        </w:rPr>
        <w:t>النفسي</w:t>
      </w:r>
      <w:r w:rsidR="00E8128F">
        <w:rPr>
          <w:sz w:val="36"/>
          <w:szCs w:val="36"/>
          <w:rtl/>
        </w:rPr>
        <w:t xml:space="preserve"> </w:t>
      </w:r>
      <w:r w:rsidR="003F0970" w:rsidRPr="00FD211F">
        <w:rPr>
          <w:sz w:val="36"/>
          <w:szCs w:val="36"/>
          <w:rtl/>
        </w:rPr>
        <w:t>فمسأل</w:t>
      </w:r>
      <w:r w:rsidR="00EC7EDF" w:rsidRPr="00FD211F">
        <w:rPr>
          <w:sz w:val="36"/>
          <w:szCs w:val="36"/>
          <w:rtl/>
        </w:rPr>
        <w:t>ة</w:t>
      </w:r>
      <w:r w:rsidR="00E8128F">
        <w:rPr>
          <w:sz w:val="36"/>
          <w:szCs w:val="36"/>
          <w:rtl/>
        </w:rPr>
        <w:t xml:space="preserve"> </w:t>
      </w:r>
      <w:r w:rsidR="003F0970" w:rsidRPr="00FD211F">
        <w:rPr>
          <w:sz w:val="36"/>
          <w:szCs w:val="36"/>
          <w:rtl/>
        </w:rPr>
        <w:t>اقتضاء</w:t>
      </w:r>
      <w:r w:rsidR="00E8128F">
        <w:rPr>
          <w:sz w:val="36"/>
          <w:szCs w:val="36"/>
          <w:rtl/>
        </w:rPr>
        <w:t xml:space="preserve"> </w:t>
      </w:r>
      <w:r w:rsidR="001B3112" w:rsidRPr="00FD211F">
        <w:rPr>
          <w:sz w:val="36"/>
          <w:szCs w:val="36"/>
          <w:rtl/>
        </w:rPr>
        <w:t>الأمر</w:t>
      </w:r>
      <w:r w:rsidR="00E8128F">
        <w:rPr>
          <w:sz w:val="36"/>
          <w:szCs w:val="36"/>
          <w:rtl/>
        </w:rPr>
        <w:t xml:space="preserve"> </w:t>
      </w:r>
      <w:r w:rsidR="003F0970" w:rsidRPr="00FD211F">
        <w:rPr>
          <w:sz w:val="36"/>
          <w:szCs w:val="36"/>
          <w:rtl/>
        </w:rPr>
        <w:t>بال</w:t>
      </w:r>
      <w:r w:rsidR="008D7B3D" w:rsidRPr="00FD211F">
        <w:rPr>
          <w:sz w:val="36"/>
          <w:szCs w:val="36"/>
          <w:rtl/>
        </w:rPr>
        <w:t>شيء</w:t>
      </w:r>
      <w:r w:rsidR="00E8128F">
        <w:rPr>
          <w:sz w:val="36"/>
          <w:szCs w:val="36"/>
          <w:rtl/>
        </w:rPr>
        <w:t xml:space="preserve"> </w:t>
      </w:r>
      <w:r w:rsidR="003F0970" w:rsidRPr="00FD211F">
        <w:rPr>
          <w:sz w:val="36"/>
          <w:szCs w:val="36"/>
          <w:rtl/>
        </w:rPr>
        <w:t>للنهي</w:t>
      </w:r>
      <w:r w:rsidR="00E8128F">
        <w:rPr>
          <w:sz w:val="36"/>
          <w:szCs w:val="36"/>
          <w:rtl/>
        </w:rPr>
        <w:t xml:space="preserve"> </w:t>
      </w:r>
      <w:r w:rsidR="003F0970" w:rsidRPr="00FD211F">
        <w:rPr>
          <w:sz w:val="36"/>
          <w:szCs w:val="36"/>
          <w:rtl/>
        </w:rPr>
        <w:t>عن</w:t>
      </w:r>
      <w:r w:rsidR="00E8128F">
        <w:rPr>
          <w:sz w:val="36"/>
          <w:szCs w:val="36"/>
          <w:rtl/>
        </w:rPr>
        <w:t xml:space="preserve"> </w:t>
      </w:r>
      <w:r w:rsidR="003F0970" w:rsidRPr="00FD211F">
        <w:rPr>
          <w:sz w:val="36"/>
          <w:szCs w:val="36"/>
          <w:rtl/>
        </w:rPr>
        <w:t>ضده</w:t>
      </w:r>
      <w:r w:rsidR="00E8128F">
        <w:rPr>
          <w:sz w:val="36"/>
          <w:szCs w:val="36"/>
          <w:rtl/>
        </w:rPr>
        <w:t xml:space="preserve"> </w:t>
      </w:r>
      <w:r w:rsidR="003F0970" w:rsidRPr="00FD211F">
        <w:rPr>
          <w:sz w:val="36"/>
          <w:szCs w:val="36"/>
          <w:rtl/>
        </w:rPr>
        <w:t>او</w:t>
      </w:r>
      <w:r w:rsidR="00E8128F">
        <w:rPr>
          <w:sz w:val="36"/>
          <w:szCs w:val="36"/>
          <w:rtl/>
        </w:rPr>
        <w:t xml:space="preserve"> </w:t>
      </w:r>
      <w:r w:rsidR="003F0970" w:rsidRPr="00FD211F">
        <w:rPr>
          <w:sz w:val="36"/>
          <w:szCs w:val="36"/>
          <w:rtl/>
        </w:rPr>
        <w:t>مسأل</w:t>
      </w:r>
      <w:r w:rsidR="00EC7EDF" w:rsidRPr="00FD211F">
        <w:rPr>
          <w:sz w:val="36"/>
          <w:szCs w:val="36"/>
          <w:rtl/>
        </w:rPr>
        <w:t>ة</w:t>
      </w:r>
      <w:r w:rsidR="00E8128F">
        <w:rPr>
          <w:sz w:val="36"/>
          <w:szCs w:val="36"/>
          <w:rtl/>
        </w:rPr>
        <w:t xml:space="preserve"> </w:t>
      </w:r>
      <w:r w:rsidR="003F0970" w:rsidRPr="00FD211F">
        <w:rPr>
          <w:sz w:val="36"/>
          <w:szCs w:val="36"/>
          <w:rtl/>
        </w:rPr>
        <w:t>الملازم</w:t>
      </w:r>
      <w:r w:rsidR="00EC7EDF" w:rsidRPr="00FD211F">
        <w:rPr>
          <w:sz w:val="36"/>
          <w:szCs w:val="36"/>
          <w:rtl/>
        </w:rPr>
        <w:t>ة</w:t>
      </w:r>
      <w:r w:rsidR="00E8128F">
        <w:rPr>
          <w:sz w:val="36"/>
          <w:szCs w:val="36"/>
          <w:rtl/>
        </w:rPr>
        <w:t xml:space="preserve"> </w:t>
      </w:r>
      <w:r w:rsidR="003F0970" w:rsidRPr="00FD211F">
        <w:rPr>
          <w:sz w:val="36"/>
          <w:szCs w:val="36"/>
          <w:rtl/>
        </w:rPr>
        <w:t>بين</w:t>
      </w:r>
      <w:r w:rsidR="00E8128F">
        <w:rPr>
          <w:sz w:val="36"/>
          <w:szCs w:val="36"/>
          <w:rtl/>
        </w:rPr>
        <w:t xml:space="preserve"> </w:t>
      </w:r>
      <w:r w:rsidR="003F0970" w:rsidRPr="00FD211F">
        <w:rPr>
          <w:sz w:val="36"/>
          <w:szCs w:val="36"/>
          <w:rtl/>
        </w:rPr>
        <w:t>وجوب</w:t>
      </w:r>
      <w:r w:rsidR="00E8128F">
        <w:rPr>
          <w:sz w:val="36"/>
          <w:szCs w:val="36"/>
          <w:rtl/>
        </w:rPr>
        <w:t xml:space="preserve"> </w:t>
      </w:r>
      <w:r w:rsidR="008D7B3D" w:rsidRPr="00FD211F">
        <w:rPr>
          <w:sz w:val="36"/>
          <w:szCs w:val="36"/>
          <w:rtl/>
        </w:rPr>
        <w:t>شيء</w:t>
      </w:r>
      <w:r w:rsidR="00E8128F">
        <w:rPr>
          <w:sz w:val="36"/>
          <w:szCs w:val="36"/>
          <w:rtl/>
        </w:rPr>
        <w:t xml:space="preserve"> </w:t>
      </w:r>
      <w:r w:rsidR="003F0970" w:rsidRPr="00FD211F">
        <w:rPr>
          <w:sz w:val="36"/>
          <w:szCs w:val="36"/>
          <w:rtl/>
        </w:rPr>
        <w:t>ووجوب</w:t>
      </w:r>
      <w:r w:rsidR="00E8128F">
        <w:rPr>
          <w:sz w:val="36"/>
          <w:szCs w:val="36"/>
          <w:rtl/>
        </w:rPr>
        <w:t xml:space="preserve"> </w:t>
      </w:r>
      <w:r w:rsidR="003F0970" w:rsidRPr="00FD211F">
        <w:rPr>
          <w:sz w:val="36"/>
          <w:szCs w:val="36"/>
          <w:rtl/>
        </w:rPr>
        <w:t>مقدمته</w:t>
      </w:r>
      <w:r w:rsidR="00E8128F">
        <w:rPr>
          <w:sz w:val="36"/>
          <w:szCs w:val="36"/>
          <w:rtl/>
        </w:rPr>
        <w:t xml:space="preserve"> </w:t>
      </w:r>
      <w:r w:rsidR="003F0970" w:rsidRPr="00FD211F">
        <w:rPr>
          <w:sz w:val="36"/>
          <w:szCs w:val="36"/>
          <w:rtl/>
        </w:rPr>
        <w:t>لاتستعمل</w:t>
      </w:r>
      <w:r w:rsidR="00E8128F">
        <w:rPr>
          <w:sz w:val="36"/>
          <w:szCs w:val="36"/>
          <w:rtl/>
        </w:rPr>
        <w:t xml:space="preserve"> </w:t>
      </w:r>
      <w:r w:rsidR="003F0970" w:rsidRPr="00FD211F">
        <w:rPr>
          <w:sz w:val="36"/>
          <w:szCs w:val="36"/>
          <w:rtl/>
        </w:rPr>
        <w:t>كدليل</w:t>
      </w:r>
      <w:r w:rsidR="00E8128F">
        <w:rPr>
          <w:sz w:val="36"/>
          <w:szCs w:val="36"/>
          <w:rtl/>
        </w:rPr>
        <w:t xml:space="preserve"> </w:t>
      </w:r>
      <w:r w:rsidR="003F0970" w:rsidRPr="00FD211F">
        <w:rPr>
          <w:sz w:val="36"/>
          <w:szCs w:val="36"/>
          <w:rtl/>
        </w:rPr>
        <w:t>على</w:t>
      </w:r>
      <w:r w:rsidR="00E8128F">
        <w:rPr>
          <w:sz w:val="36"/>
          <w:szCs w:val="36"/>
          <w:rtl/>
        </w:rPr>
        <w:t xml:space="preserve"> </w:t>
      </w:r>
      <w:r w:rsidR="003F0970" w:rsidRPr="00FD211F">
        <w:rPr>
          <w:sz w:val="36"/>
          <w:szCs w:val="36"/>
          <w:rtl/>
        </w:rPr>
        <w:t>الجعل</w:t>
      </w:r>
      <w:r w:rsidR="00E8128F">
        <w:rPr>
          <w:sz w:val="36"/>
          <w:szCs w:val="36"/>
          <w:rtl/>
        </w:rPr>
        <w:t xml:space="preserve"> </w:t>
      </w:r>
      <w:r w:rsidR="003F0970" w:rsidRPr="00FD211F">
        <w:rPr>
          <w:sz w:val="36"/>
          <w:szCs w:val="36"/>
          <w:rtl/>
        </w:rPr>
        <w:t>الشرعي</w:t>
      </w:r>
      <w:r w:rsidR="00E8128F">
        <w:rPr>
          <w:sz w:val="36"/>
          <w:szCs w:val="36"/>
          <w:rtl/>
        </w:rPr>
        <w:t xml:space="preserve"> </w:t>
      </w:r>
      <w:r w:rsidR="003F0970" w:rsidRPr="00FD211F">
        <w:rPr>
          <w:sz w:val="36"/>
          <w:szCs w:val="36"/>
          <w:rtl/>
        </w:rPr>
        <w:t>النفسي</w:t>
      </w:r>
      <w:r w:rsidR="00E8128F">
        <w:rPr>
          <w:sz w:val="36"/>
          <w:szCs w:val="36"/>
          <w:rtl/>
        </w:rPr>
        <w:t xml:space="preserve"> </w:t>
      </w:r>
      <w:r w:rsidR="003F0970" w:rsidRPr="00FD211F">
        <w:rPr>
          <w:sz w:val="36"/>
          <w:szCs w:val="36"/>
          <w:rtl/>
        </w:rPr>
        <w:t>مباشر</w:t>
      </w:r>
      <w:r w:rsidR="00EC7EDF" w:rsidRPr="00FD211F">
        <w:rPr>
          <w:sz w:val="36"/>
          <w:szCs w:val="36"/>
          <w:rtl/>
        </w:rPr>
        <w:t>ة</w:t>
      </w:r>
      <w:r w:rsidR="00A61BAE" w:rsidRPr="00FD211F">
        <w:rPr>
          <w:sz w:val="36"/>
          <w:szCs w:val="36"/>
          <w:rtl/>
        </w:rPr>
        <w:t>.</w:t>
      </w:r>
    </w:p>
    <w:p w14:paraId="46239E8C" w14:textId="77777777" w:rsidR="003F01EC" w:rsidRPr="00FD211F" w:rsidRDefault="003F0970" w:rsidP="009C58C8">
      <w:pPr>
        <w:ind w:left="0" w:firstLine="227"/>
        <w:jc w:val="both"/>
        <w:rPr>
          <w:sz w:val="36"/>
          <w:szCs w:val="36"/>
          <w:rtl/>
        </w:rPr>
      </w:pPr>
      <w:r w:rsidRPr="00FD211F">
        <w:rPr>
          <w:sz w:val="36"/>
          <w:szCs w:val="36"/>
          <w:rtl/>
        </w:rPr>
        <w:t>نعم</w:t>
      </w:r>
      <w:r w:rsidR="00E8128F">
        <w:rPr>
          <w:sz w:val="36"/>
          <w:szCs w:val="36"/>
          <w:rtl/>
        </w:rPr>
        <w:t xml:space="preserve"> </w:t>
      </w:r>
      <w:r w:rsidR="004B6CC8" w:rsidRPr="00FD211F">
        <w:rPr>
          <w:sz w:val="36"/>
          <w:szCs w:val="36"/>
          <w:rtl/>
        </w:rPr>
        <w:t>يرد</w:t>
      </w:r>
      <w:r w:rsidR="00E8128F">
        <w:rPr>
          <w:sz w:val="36"/>
          <w:szCs w:val="36"/>
          <w:rtl/>
        </w:rPr>
        <w:t xml:space="preserve"> </w:t>
      </w:r>
      <w:r w:rsidR="004B6CC8" w:rsidRPr="00FD211F">
        <w:rPr>
          <w:sz w:val="36"/>
          <w:szCs w:val="36"/>
          <w:rtl/>
        </w:rPr>
        <w:t>على</w:t>
      </w:r>
      <w:r w:rsidR="00E8128F">
        <w:rPr>
          <w:sz w:val="36"/>
          <w:szCs w:val="36"/>
          <w:rtl/>
        </w:rPr>
        <w:t xml:space="preserve"> </w:t>
      </w:r>
      <w:r w:rsidR="004B6CC8" w:rsidRPr="00FD211F">
        <w:rPr>
          <w:sz w:val="36"/>
          <w:szCs w:val="36"/>
          <w:rtl/>
        </w:rPr>
        <w:t>هذه</w:t>
      </w:r>
      <w:r w:rsidR="00E8128F">
        <w:rPr>
          <w:sz w:val="36"/>
          <w:szCs w:val="36"/>
          <w:rtl/>
        </w:rPr>
        <w:t xml:space="preserve"> </w:t>
      </w:r>
      <w:r w:rsidR="004B6CC8" w:rsidRPr="00FD211F">
        <w:rPr>
          <w:sz w:val="36"/>
          <w:szCs w:val="36"/>
          <w:rtl/>
        </w:rPr>
        <w:t>المحاول</w:t>
      </w:r>
      <w:r w:rsidR="00EC7EDF" w:rsidRPr="00FD211F">
        <w:rPr>
          <w:sz w:val="36"/>
          <w:szCs w:val="36"/>
          <w:rtl/>
        </w:rPr>
        <w:t>ة</w:t>
      </w:r>
      <w:r w:rsidR="00E8128F">
        <w:rPr>
          <w:sz w:val="36"/>
          <w:szCs w:val="36"/>
          <w:rtl/>
        </w:rPr>
        <w:t xml:space="preserve"> </w:t>
      </w:r>
      <w:r w:rsidRPr="00FD211F">
        <w:rPr>
          <w:sz w:val="36"/>
          <w:szCs w:val="36"/>
          <w:rtl/>
        </w:rPr>
        <w:t>الثالث</w:t>
      </w:r>
      <w:r w:rsidR="00EC7EDF" w:rsidRPr="00FD211F">
        <w:rPr>
          <w:sz w:val="36"/>
          <w:szCs w:val="36"/>
          <w:rtl/>
        </w:rPr>
        <w:t>ة</w:t>
      </w:r>
      <w:r w:rsidR="00E8128F">
        <w:rPr>
          <w:sz w:val="36"/>
          <w:szCs w:val="36"/>
          <w:rtl/>
        </w:rPr>
        <w:t xml:space="preserve"> </w:t>
      </w:r>
      <w:r w:rsidR="004B6CC8" w:rsidRPr="00FD211F">
        <w:rPr>
          <w:sz w:val="36"/>
          <w:szCs w:val="36"/>
          <w:rtl/>
        </w:rPr>
        <w:t>أنها</w:t>
      </w:r>
      <w:r w:rsidR="00E8128F">
        <w:rPr>
          <w:sz w:val="36"/>
          <w:szCs w:val="36"/>
          <w:rtl/>
        </w:rPr>
        <w:t xml:space="preserve"> </w:t>
      </w:r>
      <w:r w:rsidR="004B6CC8" w:rsidRPr="00FD211F">
        <w:rPr>
          <w:sz w:val="36"/>
          <w:szCs w:val="36"/>
          <w:rtl/>
        </w:rPr>
        <w:t>توجب</w:t>
      </w:r>
      <w:r w:rsidR="00E8128F">
        <w:rPr>
          <w:sz w:val="36"/>
          <w:szCs w:val="36"/>
          <w:rtl/>
        </w:rPr>
        <w:t xml:space="preserve"> </w:t>
      </w:r>
      <w:r w:rsidR="004B6CC8" w:rsidRPr="00FD211F">
        <w:rPr>
          <w:sz w:val="36"/>
          <w:szCs w:val="36"/>
          <w:rtl/>
        </w:rPr>
        <w:t>خروج</w:t>
      </w:r>
      <w:r w:rsidR="00E8128F">
        <w:rPr>
          <w:sz w:val="36"/>
          <w:szCs w:val="36"/>
          <w:rtl/>
        </w:rPr>
        <w:t xml:space="preserve"> </w:t>
      </w:r>
      <w:r w:rsidR="004B6CC8" w:rsidRPr="00FD211F">
        <w:rPr>
          <w:sz w:val="36"/>
          <w:szCs w:val="36"/>
          <w:rtl/>
        </w:rPr>
        <w:t>مباحث</w:t>
      </w:r>
      <w:r w:rsidR="00E8128F">
        <w:rPr>
          <w:sz w:val="36"/>
          <w:szCs w:val="36"/>
          <w:rtl/>
        </w:rPr>
        <w:t xml:space="preserve"> </w:t>
      </w:r>
      <w:r w:rsidR="004B6CC8" w:rsidRPr="00FD211F">
        <w:rPr>
          <w:sz w:val="36"/>
          <w:szCs w:val="36"/>
          <w:rtl/>
        </w:rPr>
        <w:lastRenderedPageBreak/>
        <w:t>المشتق</w:t>
      </w:r>
      <w:r w:rsidR="00E8128F">
        <w:rPr>
          <w:sz w:val="36"/>
          <w:szCs w:val="36"/>
          <w:rtl/>
        </w:rPr>
        <w:t xml:space="preserve"> </w:t>
      </w:r>
      <w:r w:rsidR="004B6CC8" w:rsidRPr="00FD211F">
        <w:rPr>
          <w:sz w:val="36"/>
          <w:szCs w:val="36"/>
          <w:rtl/>
        </w:rPr>
        <w:t>والصحيح</w:t>
      </w:r>
      <w:r w:rsidR="00E8128F">
        <w:rPr>
          <w:sz w:val="36"/>
          <w:szCs w:val="36"/>
          <w:rtl/>
        </w:rPr>
        <w:t xml:space="preserve"> </w:t>
      </w:r>
      <w:r w:rsidR="004B6CC8" w:rsidRPr="00FD211F">
        <w:rPr>
          <w:sz w:val="36"/>
          <w:szCs w:val="36"/>
          <w:rtl/>
        </w:rPr>
        <w:t>والأعم</w:t>
      </w:r>
      <w:r w:rsidR="00E8128F">
        <w:rPr>
          <w:sz w:val="36"/>
          <w:szCs w:val="36"/>
          <w:rtl/>
        </w:rPr>
        <w:t xml:space="preserve"> </w:t>
      </w:r>
      <w:r w:rsidR="004B6CC8" w:rsidRPr="00FD211F">
        <w:rPr>
          <w:sz w:val="36"/>
          <w:szCs w:val="36"/>
          <w:rtl/>
        </w:rPr>
        <w:t>عن</w:t>
      </w:r>
      <w:r w:rsidR="00E8128F">
        <w:rPr>
          <w:sz w:val="36"/>
          <w:szCs w:val="36"/>
          <w:rtl/>
        </w:rPr>
        <w:t xml:space="preserve"> </w:t>
      </w:r>
      <w:r w:rsidR="004B6CC8" w:rsidRPr="00FD211F">
        <w:rPr>
          <w:sz w:val="36"/>
          <w:szCs w:val="36"/>
          <w:rtl/>
        </w:rPr>
        <w:t>علم</w:t>
      </w:r>
      <w:r w:rsidR="00E8128F">
        <w:rPr>
          <w:sz w:val="36"/>
          <w:szCs w:val="36"/>
          <w:rtl/>
        </w:rPr>
        <w:t xml:space="preserve"> </w:t>
      </w:r>
      <w:r w:rsidR="004B6CC8" w:rsidRPr="00FD211F">
        <w:rPr>
          <w:sz w:val="36"/>
          <w:szCs w:val="36"/>
          <w:rtl/>
        </w:rPr>
        <w:t>الاصول</w:t>
      </w:r>
      <w:r w:rsidR="00E8128F">
        <w:rPr>
          <w:sz w:val="36"/>
          <w:szCs w:val="36"/>
          <w:rtl/>
        </w:rPr>
        <w:t xml:space="preserve"> </w:t>
      </w:r>
      <w:r w:rsidR="004B6CC8" w:rsidRPr="00FD211F">
        <w:rPr>
          <w:sz w:val="36"/>
          <w:szCs w:val="36"/>
          <w:rtl/>
        </w:rPr>
        <w:t>مع</w:t>
      </w:r>
      <w:r w:rsidR="00E8128F">
        <w:rPr>
          <w:sz w:val="36"/>
          <w:szCs w:val="36"/>
          <w:rtl/>
        </w:rPr>
        <w:t xml:space="preserve"> </w:t>
      </w:r>
      <w:r w:rsidR="004B6CC8" w:rsidRPr="00FD211F">
        <w:rPr>
          <w:sz w:val="36"/>
          <w:szCs w:val="36"/>
          <w:rtl/>
        </w:rPr>
        <w:t>انه</w:t>
      </w:r>
      <w:r w:rsidR="00E8128F">
        <w:rPr>
          <w:sz w:val="36"/>
          <w:szCs w:val="36"/>
          <w:rtl/>
        </w:rPr>
        <w:t xml:space="preserve"> </w:t>
      </w:r>
      <w:r w:rsidR="004B6CC8" w:rsidRPr="00FD211F">
        <w:rPr>
          <w:sz w:val="36"/>
          <w:szCs w:val="36"/>
          <w:rtl/>
        </w:rPr>
        <w:t>لاوجه</w:t>
      </w:r>
      <w:r w:rsidR="00E8128F">
        <w:rPr>
          <w:sz w:val="36"/>
          <w:szCs w:val="36"/>
          <w:rtl/>
        </w:rPr>
        <w:t xml:space="preserve"> </w:t>
      </w:r>
      <w:r w:rsidR="004B6CC8" w:rsidRPr="00FD211F">
        <w:rPr>
          <w:sz w:val="36"/>
          <w:szCs w:val="36"/>
          <w:rtl/>
        </w:rPr>
        <w:t>له.</w:t>
      </w:r>
      <w:r w:rsidR="00E8128F">
        <w:rPr>
          <w:sz w:val="36"/>
          <w:szCs w:val="36"/>
          <w:rtl/>
        </w:rPr>
        <w:t xml:space="preserve"> </w:t>
      </w:r>
    </w:p>
    <w:p w14:paraId="5F86463C" w14:textId="77777777" w:rsidR="00887122" w:rsidRPr="00FD211F" w:rsidRDefault="008863D3" w:rsidP="009C58C8">
      <w:pPr>
        <w:ind w:left="0" w:firstLine="227"/>
        <w:jc w:val="both"/>
        <w:rPr>
          <w:sz w:val="36"/>
          <w:szCs w:val="36"/>
          <w:rtl/>
        </w:rPr>
      </w:pPr>
      <w:bookmarkStart w:id="28" w:name="درس004"/>
      <w:bookmarkEnd w:id="28"/>
      <w:r w:rsidRPr="00FD211F">
        <w:rPr>
          <w:b/>
          <w:bCs/>
          <w:sz w:val="36"/>
          <w:szCs w:val="36"/>
          <w:rtl/>
        </w:rPr>
        <w:t>المحاول</w:t>
      </w:r>
      <w:r w:rsidR="00EC7EDF" w:rsidRPr="00FD211F">
        <w:rPr>
          <w:b/>
          <w:bCs/>
          <w:sz w:val="36"/>
          <w:szCs w:val="36"/>
          <w:rtl/>
        </w:rPr>
        <w:t>ة</w:t>
      </w:r>
      <w:r w:rsidR="00E8128F">
        <w:rPr>
          <w:b/>
          <w:bCs/>
          <w:sz w:val="36"/>
          <w:szCs w:val="36"/>
          <w:rtl/>
        </w:rPr>
        <w:t xml:space="preserve"> </w:t>
      </w:r>
      <w:r w:rsidR="00365A79" w:rsidRPr="00FD211F">
        <w:rPr>
          <w:b/>
          <w:bCs/>
          <w:sz w:val="36"/>
          <w:szCs w:val="36"/>
          <w:rtl/>
        </w:rPr>
        <w:t>الرابع</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البروجردي</w:t>
      </w:r>
      <w:r w:rsidR="00E8128F">
        <w:rPr>
          <w:sz w:val="36"/>
          <w:szCs w:val="36"/>
          <w:rtl/>
        </w:rPr>
        <w:t xml:space="preserve"> </w:t>
      </w:r>
      <w:r w:rsidR="00F7650D" w:rsidRPr="00FD211F">
        <w:rPr>
          <w:sz w:val="36"/>
          <w:szCs w:val="36"/>
          <w:rtl/>
        </w:rPr>
        <w:t>"</w:t>
      </w:r>
      <w:r w:rsidRPr="00FD211F">
        <w:rPr>
          <w:sz w:val="36"/>
          <w:szCs w:val="36"/>
          <w:rtl/>
        </w:rPr>
        <w:t>قده</w:t>
      </w:r>
      <w:r w:rsidR="00F7650D"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006721C6" w:rsidRPr="00FD211F">
        <w:rPr>
          <w:sz w:val="36"/>
          <w:szCs w:val="36"/>
          <w:rtl/>
        </w:rPr>
        <w:t>علم</w:t>
      </w:r>
      <w:r w:rsidR="00E8128F">
        <w:rPr>
          <w:sz w:val="36"/>
          <w:szCs w:val="36"/>
          <w:rtl/>
        </w:rPr>
        <w:t xml:space="preserve"> </w:t>
      </w:r>
      <w:r w:rsidR="006721C6" w:rsidRPr="00FD211F">
        <w:rPr>
          <w:sz w:val="36"/>
          <w:szCs w:val="36"/>
          <w:rtl/>
        </w:rPr>
        <w:t>يبحث</w:t>
      </w:r>
      <w:r w:rsidR="00E8128F">
        <w:rPr>
          <w:sz w:val="36"/>
          <w:szCs w:val="36"/>
          <w:rtl/>
        </w:rPr>
        <w:t xml:space="preserve"> </w:t>
      </w:r>
      <w:r w:rsidR="006721C6" w:rsidRPr="00FD211F">
        <w:rPr>
          <w:sz w:val="36"/>
          <w:szCs w:val="36"/>
          <w:rtl/>
        </w:rPr>
        <w:t>فيه</w:t>
      </w:r>
      <w:r w:rsidR="00E8128F">
        <w:rPr>
          <w:sz w:val="36"/>
          <w:szCs w:val="36"/>
          <w:rtl/>
        </w:rPr>
        <w:t xml:space="preserve"> </w:t>
      </w:r>
      <w:r w:rsidR="006721C6" w:rsidRPr="00FD211F">
        <w:rPr>
          <w:sz w:val="36"/>
          <w:szCs w:val="36"/>
          <w:rtl/>
        </w:rPr>
        <w:t>عن</w:t>
      </w:r>
      <w:r w:rsidR="00E8128F">
        <w:rPr>
          <w:sz w:val="36"/>
          <w:szCs w:val="36"/>
          <w:rtl/>
        </w:rPr>
        <w:t xml:space="preserve"> </w:t>
      </w:r>
      <w:r w:rsidR="006721C6" w:rsidRPr="00FD211F">
        <w:rPr>
          <w:sz w:val="36"/>
          <w:szCs w:val="36"/>
          <w:rtl/>
        </w:rPr>
        <w:t>تعيين</w:t>
      </w:r>
      <w:r w:rsidR="00E8128F">
        <w:rPr>
          <w:sz w:val="36"/>
          <w:szCs w:val="36"/>
          <w:rtl/>
        </w:rPr>
        <w:t xml:space="preserve"> </w:t>
      </w:r>
      <w:r w:rsidRPr="00FD211F">
        <w:rPr>
          <w:sz w:val="36"/>
          <w:szCs w:val="36"/>
          <w:rtl/>
        </w:rPr>
        <w:t>مصداق</w:t>
      </w:r>
      <w:r w:rsidR="00E8128F">
        <w:rPr>
          <w:sz w:val="36"/>
          <w:szCs w:val="36"/>
          <w:rtl/>
        </w:rPr>
        <w:t xml:space="preserve"> </w:t>
      </w:r>
      <w:r w:rsidRPr="00FD211F">
        <w:rPr>
          <w:sz w:val="36"/>
          <w:szCs w:val="36"/>
          <w:rtl/>
        </w:rPr>
        <w:t>الحج</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الفقه</w:t>
      </w:r>
      <w:r w:rsidR="00603323" w:rsidRPr="00FD211F">
        <w:rPr>
          <w:sz w:val="36"/>
          <w:szCs w:val="36"/>
          <w:rtl/>
        </w:rPr>
        <w:t>،</w:t>
      </w:r>
      <w:r w:rsidR="00E8128F">
        <w:rPr>
          <w:sz w:val="36"/>
          <w:szCs w:val="36"/>
          <w:rtl/>
        </w:rPr>
        <w:t xml:space="preserve"> </w:t>
      </w:r>
      <w:r w:rsidRPr="00FD211F">
        <w:rPr>
          <w:sz w:val="36"/>
          <w:szCs w:val="36"/>
          <w:rtl/>
        </w:rPr>
        <w:t>والمراد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الحج</w:t>
      </w:r>
      <w:r w:rsidR="00EC7EDF" w:rsidRPr="00FD211F">
        <w:rPr>
          <w:sz w:val="36"/>
          <w:szCs w:val="36"/>
          <w:rtl/>
        </w:rPr>
        <w:t>ة</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الواسط</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الاثبات</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يحتج</w:t>
      </w:r>
      <w:r w:rsidR="00E8128F">
        <w:rPr>
          <w:sz w:val="36"/>
          <w:szCs w:val="36"/>
          <w:rtl/>
        </w:rPr>
        <w:t xml:space="preserve"> </w:t>
      </w:r>
      <w:r w:rsidRPr="00FD211F">
        <w:rPr>
          <w:sz w:val="36"/>
          <w:szCs w:val="36"/>
          <w:rtl/>
        </w:rPr>
        <w:t>به</w:t>
      </w:r>
      <w:r w:rsidR="00603323" w:rsidRPr="00FD211F">
        <w:rPr>
          <w:sz w:val="36"/>
          <w:szCs w:val="36"/>
          <w:rtl/>
        </w:rPr>
        <w:t>،</w:t>
      </w:r>
      <w:r w:rsidR="00E8128F">
        <w:rPr>
          <w:sz w:val="36"/>
          <w:szCs w:val="36"/>
          <w:rtl/>
        </w:rPr>
        <w:t xml:space="preserve"> </w:t>
      </w:r>
      <w:r w:rsidRPr="00FD211F">
        <w:rPr>
          <w:sz w:val="36"/>
          <w:szCs w:val="36"/>
          <w:rtl/>
        </w:rPr>
        <w:t>فيشمل</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القطع</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القطع</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عين</w:t>
      </w:r>
      <w:r w:rsidR="00E8128F">
        <w:rPr>
          <w:sz w:val="36"/>
          <w:szCs w:val="36"/>
          <w:rtl/>
        </w:rPr>
        <w:t xml:space="preserve"> </w:t>
      </w:r>
      <w:r w:rsidRPr="00FD211F">
        <w:rPr>
          <w:sz w:val="36"/>
          <w:szCs w:val="36"/>
          <w:rtl/>
        </w:rPr>
        <w:t>اثبات</w:t>
      </w:r>
      <w:r w:rsidR="00E8128F">
        <w:rPr>
          <w:sz w:val="36"/>
          <w:szCs w:val="36"/>
          <w:rtl/>
        </w:rPr>
        <w:t xml:space="preserve"> </w:t>
      </w:r>
      <w:r w:rsidRPr="00FD211F">
        <w:rPr>
          <w:sz w:val="36"/>
          <w:szCs w:val="36"/>
          <w:rtl/>
        </w:rPr>
        <w:t>الواقع</w:t>
      </w:r>
      <w:r w:rsidR="00E8128F">
        <w:rPr>
          <w:sz w:val="36"/>
          <w:szCs w:val="36"/>
          <w:rtl/>
        </w:rPr>
        <w:t xml:space="preserve"> </w:t>
      </w:r>
      <w:r w:rsidRPr="00FD211F">
        <w:rPr>
          <w:sz w:val="36"/>
          <w:szCs w:val="36"/>
          <w:rtl/>
        </w:rPr>
        <w:t>لاانه</w:t>
      </w:r>
      <w:r w:rsidR="00E8128F">
        <w:rPr>
          <w:sz w:val="36"/>
          <w:szCs w:val="36"/>
          <w:rtl/>
        </w:rPr>
        <w:t xml:space="preserve"> </w:t>
      </w:r>
      <w:r w:rsidRPr="00FD211F">
        <w:rPr>
          <w:sz w:val="36"/>
          <w:szCs w:val="36"/>
          <w:rtl/>
        </w:rPr>
        <w:t>واسط</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اثباته</w:t>
      </w:r>
      <w:r w:rsidR="00603323" w:rsidRPr="00FD211F">
        <w:rPr>
          <w:sz w:val="36"/>
          <w:szCs w:val="36"/>
          <w:rtl/>
        </w:rPr>
        <w:t>،</w:t>
      </w:r>
      <w:r w:rsidR="00E8128F">
        <w:rPr>
          <w:sz w:val="36"/>
          <w:szCs w:val="36"/>
          <w:rtl/>
        </w:rPr>
        <w:t xml:space="preserve"> </w:t>
      </w:r>
      <w:r w:rsidRPr="00FD211F">
        <w:rPr>
          <w:sz w:val="36"/>
          <w:szCs w:val="36"/>
          <w:rtl/>
        </w:rPr>
        <w:t>ولكن</w:t>
      </w:r>
      <w:r w:rsidR="00E8128F">
        <w:rPr>
          <w:sz w:val="36"/>
          <w:szCs w:val="36"/>
          <w:rtl/>
        </w:rPr>
        <w:t xml:space="preserve"> </w:t>
      </w:r>
      <w:r w:rsidRPr="00FD211F">
        <w:rPr>
          <w:sz w:val="36"/>
          <w:szCs w:val="36"/>
          <w:rtl/>
        </w:rPr>
        <w:t>حجيته</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صح</w:t>
      </w:r>
      <w:r w:rsidR="00EC7EDF" w:rsidRPr="00FD211F">
        <w:rPr>
          <w:sz w:val="36"/>
          <w:szCs w:val="36"/>
          <w:rtl/>
        </w:rPr>
        <w:t>ة</w:t>
      </w:r>
      <w:r w:rsidR="00E8128F">
        <w:rPr>
          <w:sz w:val="36"/>
          <w:szCs w:val="36"/>
          <w:rtl/>
        </w:rPr>
        <w:t xml:space="preserve"> </w:t>
      </w:r>
      <w:r w:rsidRPr="00FD211F">
        <w:rPr>
          <w:sz w:val="36"/>
          <w:szCs w:val="36"/>
          <w:rtl/>
        </w:rPr>
        <w:t>الاحتجاج</w:t>
      </w:r>
      <w:r w:rsidR="00E8128F">
        <w:rPr>
          <w:sz w:val="36"/>
          <w:szCs w:val="36"/>
          <w:rtl/>
        </w:rPr>
        <w:t xml:space="preserve"> </w:t>
      </w:r>
      <w:r w:rsidRPr="00FD211F">
        <w:rPr>
          <w:sz w:val="36"/>
          <w:szCs w:val="36"/>
          <w:rtl/>
        </w:rPr>
        <w:t>به</w:t>
      </w:r>
      <w:r w:rsidR="00E8128F">
        <w:rPr>
          <w:sz w:val="36"/>
          <w:szCs w:val="36"/>
          <w:rtl/>
        </w:rPr>
        <w:t xml:space="preserve"> </w:t>
      </w:r>
      <w:r w:rsidR="003D7702" w:rsidRPr="00FD211F">
        <w:rPr>
          <w:sz w:val="36"/>
          <w:szCs w:val="36"/>
          <w:rtl/>
        </w:rPr>
        <w:t>او</w:t>
      </w:r>
      <w:r w:rsidR="00E8128F">
        <w:rPr>
          <w:sz w:val="36"/>
          <w:szCs w:val="36"/>
          <w:rtl/>
        </w:rPr>
        <w:t xml:space="preserve"> </w:t>
      </w:r>
      <w:r w:rsidR="003D7702" w:rsidRPr="00FD211F">
        <w:rPr>
          <w:sz w:val="36"/>
          <w:szCs w:val="36"/>
          <w:rtl/>
        </w:rPr>
        <w:t>فقل</w:t>
      </w:r>
      <w:r w:rsidR="00E8128F">
        <w:rPr>
          <w:sz w:val="36"/>
          <w:szCs w:val="36"/>
          <w:rtl/>
        </w:rPr>
        <w:t xml:space="preserve"> </w:t>
      </w:r>
      <w:r w:rsidR="003D7702" w:rsidRPr="00FD211F">
        <w:rPr>
          <w:sz w:val="36"/>
          <w:szCs w:val="36"/>
          <w:rtl/>
        </w:rPr>
        <w:t>معذريته</w:t>
      </w:r>
      <w:r w:rsidR="00E8128F">
        <w:rPr>
          <w:sz w:val="36"/>
          <w:szCs w:val="36"/>
          <w:rtl/>
        </w:rPr>
        <w:t xml:space="preserve"> </w:t>
      </w:r>
      <w:r w:rsidR="003D7702" w:rsidRPr="00FD211F">
        <w:rPr>
          <w:sz w:val="36"/>
          <w:szCs w:val="36"/>
          <w:rtl/>
        </w:rPr>
        <w:t>ومنجزيته</w:t>
      </w:r>
      <w:r w:rsidR="00E8128F">
        <w:rPr>
          <w:sz w:val="36"/>
          <w:szCs w:val="36"/>
          <w:rtl/>
        </w:rPr>
        <w:t xml:space="preserve"> </w:t>
      </w:r>
      <w:r w:rsidRPr="00FD211F">
        <w:rPr>
          <w:sz w:val="36"/>
          <w:szCs w:val="36"/>
          <w:rtl/>
        </w:rPr>
        <w:t>قابل</w:t>
      </w:r>
      <w:r w:rsidR="00EC7EDF" w:rsidRPr="00FD211F">
        <w:rPr>
          <w:sz w:val="36"/>
          <w:szCs w:val="36"/>
          <w:rtl/>
        </w:rPr>
        <w:t>ة</w:t>
      </w:r>
      <w:r w:rsidR="00E8128F">
        <w:rPr>
          <w:sz w:val="36"/>
          <w:szCs w:val="36"/>
          <w:rtl/>
        </w:rPr>
        <w:t xml:space="preserve"> </w:t>
      </w:r>
      <w:r w:rsidRPr="00FD211F">
        <w:rPr>
          <w:sz w:val="36"/>
          <w:szCs w:val="36"/>
          <w:rtl/>
        </w:rPr>
        <w:t>للبحث</w:t>
      </w:r>
      <w:r w:rsidR="00603323" w:rsidRPr="00FD211F">
        <w:rPr>
          <w:sz w:val="36"/>
          <w:szCs w:val="36"/>
          <w:rtl/>
        </w:rPr>
        <w:t>،</w:t>
      </w:r>
      <w:r w:rsidR="00E8128F">
        <w:rPr>
          <w:sz w:val="36"/>
          <w:szCs w:val="36"/>
          <w:rtl/>
        </w:rPr>
        <w:t xml:space="preserve"> </w:t>
      </w:r>
      <w:r w:rsidR="00887122" w:rsidRPr="00FD211F">
        <w:rPr>
          <w:sz w:val="36"/>
          <w:szCs w:val="36"/>
          <w:rtl/>
        </w:rPr>
        <w:t>لان</w:t>
      </w:r>
      <w:r w:rsidR="00E8128F">
        <w:rPr>
          <w:sz w:val="36"/>
          <w:szCs w:val="36"/>
          <w:rtl/>
        </w:rPr>
        <w:t xml:space="preserve"> </w:t>
      </w:r>
      <w:r w:rsidR="00887122" w:rsidRPr="00FD211F">
        <w:rPr>
          <w:sz w:val="36"/>
          <w:szCs w:val="36"/>
          <w:rtl/>
        </w:rPr>
        <w:t>حجيته</w:t>
      </w:r>
      <w:r w:rsidR="00E8128F">
        <w:rPr>
          <w:sz w:val="36"/>
          <w:szCs w:val="36"/>
          <w:rtl/>
        </w:rPr>
        <w:t xml:space="preserve"> </w:t>
      </w:r>
      <w:r w:rsidR="00887122" w:rsidRPr="00FD211F">
        <w:rPr>
          <w:sz w:val="36"/>
          <w:szCs w:val="36"/>
          <w:rtl/>
        </w:rPr>
        <w:t>وان</w:t>
      </w:r>
      <w:r w:rsidR="00E8128F">
        <w:rPr>
          <w:sz w:val="36"/>
          <w:szCs w:val="36"/>
          <w:rtl/>
        </w:rPr>
        <w:t xml:space="preserve"> </w:t>
      </w:r>
      <w:r w:rsidR="00887122" w:rsidRPr="00FD211F">
        <w:rPr>
          <w:sz w:val="36"/>
          <w:szCs w:val="36"/>
          <w:rtl/>
        </w:rPr>
        <w:t>كانت</w:t>
      </w:r>
      <w:r w:rsidR="00E8128F">
        <w:rPr>
          <w:sz w:val="36"/>
          <w:szCs w:val="36"/>
          <w:rtl/>
        </w:rPr>
        <w:t xml:space="preserve"> </w:t>
      </w:r>
      <w:r w:rsidR="00887122" w:rsidRPr="00FD211F">
        <w:rPr>
          <w:sz w:val="36"/>
          <w:szCs w:val="36"/>
          <w:rtl/>
        </w:rPr>
        <w:t>واضح</w:t>
      </w:r>
      <w:r w:rsidR="00EC7EDF" w:rsidRPr="00FD211F">
        <w:rPr>
          <w:sz w:val="36"/>
          <w:szCs w:val="36"/>
          <w:rtl/>
        </w:rPr>
        <w:t>ة</w:t>
      </w:r>
      <w:r w:rsidR="00E8128F">
        <w:rPr>
          <w:sz w:val="36"/>
          <w:szCs w:val="36"/>
          <w:rtl/>
        </w:rPr>
        <w:t xml:space="preserve"> </w:t>
      </w:r>
      <w:r w:rsidR="00887122" w:rsidRPr="00FD211F">
        <w:rPr>
          <w:sz w:val="36"/>
          <w:szCs w:val="36"/>
          <w:rtl/>
        </w:rPr>
        <w:t>في</w:t>
      </w:r>
      <w:r w:rsidR="00E8128F">
        <w:rPr>
          <w:sz w:val="36"/>
          <w:szCs w:val="36"/>
          <w:rtl/>
        </w:rPr>
        <w:t xml:space="preserve"> </w:t>
      </w:r>
      <w:r w:rsidR="00887122" w:rsidRPr="00FD211F">
        <w:rPr>
          <w:sz w:val="36"/>
          <w:szCs w:val="36"/>
          <w:rtl/>
        </w:rPr>
        <w:t>الجمل</w:t>
      </w:r>
      <w:r w:rsidR="00EC7EDF" w:rsidRPr="00FD211F">
        <w:rPr>
          <w:sz w:val="36"/>
          <w:szCs w:val="36"/>
          <w:rtl/>
        </w:rPr>
        <w:t>ة</w:t>
      </w:r>
      <w:r w:rsidR="00E8128F">
        <w:rPr>
          <w:sz w:val="36"/>
          <w:szCs w:val="36"/>
          <w:rtl/>
        </w:rPr>
        <w:t xml:space="preserve"> </w:t>
      </w:r>
      <w:r w:rsidR="00887122" w:rsidRPr="00FD211F">
        <w:rPr>
          <w:sz w:val="36"/>
          <w:szCs w:val="36"/>
          <w:rtl/>
        </w:rPr>
        <w:t>الا</w:t>
      </w:r>
      <w:r w:rsidR="00E8128F">
        <w:rPr>
          <w:sz w:val="36"/>
          <w:szCs w:val="36"/>
          <w:rtl/>
        </w:rPr>
        <w:t xml:space="preserve"> </w:t>
      </w:r>
      <w:r w:rsidR="00887122" w:rsidRPr="00FD211F">
        <w:rPr>
          <w:sz w:val="36"/>
          <w:szCs w:val="36"/>
          <w:rtl/>
        </w:rPr>
        <w:t>ان</w:t>
      </w:r>
      <w:r w:rsidR="00E8128F">
        <w:rPr>
          <w:sz w:val="36"/>
          <w:szCs w:val="36"/>
          <w:rtl/>
        </w:rPr>
        <w:t xml:space="preserve"> </w:t>
      </w:r>
      <w:r w:rsidR="00887122" w:rsidRPr="00FD211F">
        <w:rPr>
          <w:sz w:val="36"/>
          <w:szCs w:val="36"/>
          <w:rtl/>
        </w:rPr>
        <w:t>توهم</w:t>
      </w:r>
      <w:r w:rsidR="00E8128F">
        <w:rPr>
          <w:sz w:val="36"/>
          <w:szCs w:val="36"/>
          <w:rtl/>
        </w:rPr>
        <w:t xml:space="preserve"> </w:t>
      </w:r>
      <w:r w:rsidR="00887122" w:rsidRPr="00FD211F">
        <w:rPr>
          <w:sz w:val="36"/>
          <w:szCs w:val="36"/>
          <w:rtl/>
        </w:rPr>
        <w:t>عدم</w:t>
      </w:r>
      <w:r w:rsidR="00E8128F">
        <w:rPr>
          <w:sz w:val="36"/>
          <w:szCs w:val="36"/>
          <w:rtl/>
        </w:rPr>
        <w:t xml:space="preserve"> </w:t>
      </w:r>
      <w:r w:rsidR="00887122" w:rsidRPr="00FD211F">
        <w:rPr>
          <w:sz w:val="36"/>
          <w:szCs w:val="36"/>
          <w:rtl/>
        </w:rPr>
        <w:t>حجي</w:t>
      </w:r>
      <w:r w:rsidR="00EC7EDF" w:rsidRPr="00FD211F">
        <w:rPr>
          <w:sz w:val="36"/>
          <w:szCs w:val="36"/>
          <w:rtl/>
        </w:rPr>
        <w:t>ة</w:t>
      </w:r>
      <w:r w:rsidR="00E8128F">
        <w:rPr>
          <w:sz w:val="36"/>
          <w:szCs w:val="36"/>
          <w:rtl/>
        </w:rPr>
        <w:t xml:space="preserve"> </w:t>
      </w:r>
      <w:r w:rsidR="00887122" w:rsidRPr="00FD211F">
        <w:rPr>
          <w:sz w:val="36"/>
          <w:szCs w:val="36"/>
          <w:rtl/>
        </w:rPr>
        <w:t>بعض</w:t>
      </w:r>
      <w:r w:rsidR="00E8128F">
        <w:rPr>
          <w:sz w:val="36"/>
          <w:szCs w:val="36"/>
          <w:rtl/>
        </w:rPr>
        <w:t xml:space="preserve"> </w:t>
      </w:r>
      <w:r w:rsidR="00887122" w:rsidRPr="00FD211F">
        <w:rPr>
          <w:sz w:val="36"/>
          <w:szCs w:val="36"/>
          <w:rtl/>
        </w:rPr>
        <w:t>اقسامه</w:t>
      </w:r>
      <w:r w:rsidR="00E8128F">
        <w:rPr>
          <w:sz w:val="36"/>
          <w:szCs w:val="36"/>
          <w:rtl/>
        </w:rPr>
        <w:t xml:space="preserve"> </w:t>
      </w:r>
      <w:r w:rsidR="00887122" w:rsidRPr="00FD211F">
        <w:rPr>
          <w:sz w:val="36"/>
          <w:szCs w:val="36"/>
          <w:rtl/>
        </w:rPr>
        <w:t>اوجب</w:t>
      </w:r>
      <w:r w:rsidR="00E8128F">
        <w:rPr>
          <w:sz w:val="36"/>
          <w:szCs w:val="36"/>
          <w:rtl/>
        </w:rPr>
        <w:t xml:space="preserve"> </w:t>
      </w:r>
      <w:r w:rsidR="00887122" w:rsidRPr="00FD211F">
        <w:rPr>
          <w:sz w:val="36"/>
          <w:szCs w:val="36"/>
          <w:rtl/>
        </w:rPr>
        <w:t>البحث</w:t>
      </w:r>
      <w:r w:rsidR="00E8128F">
        <w:rPr>
          <w:sz w:val="36"/>
          <w:szCs w:val="36"/>
          <w:rtl/>
        </w:rPr>
        <w:t xml:space="preserve"> </w:t>
      </w:r>
      <w:r w:rsidR="00887122" w:rsidRPr="00FD211F">
        <w:rPr>
          <w:sz w:val="36"/>
          <w:szCs w:val="36"/>
          <w:rtl/>
        </w:rPr>
        <w:t>عن</w:t>
      </w:r>
      <w:r w:rsidR="00E8128F">
        <w:rPr>
          <w:sz w:val="36"/>
          <w:szCs w:val="36"/>
          <w:rtl/>
        </w:rPr>
        <w:t xml:space="preserve"> </w:t>
      </w:r>
      <w:r w:rsidR="00887122" w:rsidRPr="00FD211F">
        <w:rPr>
          <w:sz w:val="36"/>
          <w:szCs w:val="36"/>
          <w:rtl/>
        </w:rPr>
        <w:t>ذلك</w:t>
      </w:r>
      <w:r w:rsidR="00603323" w:rsidRPr="00FD211F">
        <w:rPr>
          <w:sz w:val="36"/>
          <w:szCs w:val="36"/>
          <w:rtl/>
        </w:rPr>
        <w:t>،</w:t>
      </w:r>
      <w:r w:rsidR="00E8128F">
        <w:rPr>
          <w:sz w:val="36"/>
          <w:szCs w:val="36"/>
          <w:rtl/>
        </w:rPr>
        <w:t xml:space="preserve"> </w:t>
      </w:r>
      <w:r w:rsidR="00887122" w:rsidRPr="00FD211F">
        <w:rPr>
          <w:sz w:val="36"/>
          <w:szCs w:val="36"/>
          <w:rtl/>
        </w:rPr>
        <w:t>وهكذا</w:t>
      </w:r>
      <w:r w:rsidR="00E8128F">
        <w:rPr>
          <w:sz w:val="36"/>
          <w:szCs w:val="36"/>
          <w:rtl/>
        </w:rPr>
        <w:t xml:space="preserve"> </w:t>
      </w:r>
      <w:r w:rsidR="00887122" w:rsidRPr="00FD211F">
        <w:rPr>
          <w:sz w:val="36"/>
          <w:szCs w:val="36"/>
          <w:rtl/>
        </w:rPr>
        <w:t>يبحث</w:t>
      </w:r>
      <w:r w:rsidR="00E8128F">
        <w:rPr>
          <w:sz w:val="36"/>
          <w:szCs w:val="36"/>
          <w:rtl/>
        </w:rPr>
        <w:t xml:space="preserve"> </w:t>
      </w:r>
      <w:r w:rsidR="00887122" w:rsidRPr="00FD211F">
        <w:rPr>
          <w:sz w:val="36"/>
          <w:szCs w:val="36"/>
          <w:rtl/>
        </w:rPr>
        <w:t>في</w:t>
      </w:r>
      <w:r w:rsidR="00E8128F">
        <w:rPr>
          <w:sz w:val="36"/>
          <w:szCs w:val="36"/>
          <w:rtl/>
        </w:rPr>
        <w:t xml:space="preserve"> </w:t>
      </w:r>
      <w:r w:rsidR="00887122" w:rsidRPr="00FD211F">
        <w:rPr>
          <w:sz w:val="36"/>
          <w:szCs w:val="36"/>
          <w:rtl/>
        </w:rPr>
        <w:t>بحث</w:t>
      </w:r>
      <w:r w:rsidR="00E8128F">
        <w:rPr>
          <w:sz w:val="36"/>
          <w:szCs w:val="36"/>
          <w:rtl/>
        </w:rPr>
        <w:t xml:space="preserve"> </w:t>
      </w:r>
      <w:r w:rsidR="00887122" w:rsidRPr="00FD211F">
        <w:rPr>
          <w:sz w:val="36"/>
          <w:szCs w:val="36"/>
          <w:rtl/>
        </w:rPr>
        <w:t>الب</w:t>
      </w:r>
      <w:r w:rsidR="008D7B3D" w:rsidRPr="00FD211F">
        <w:rPr>
          <w:sz w:val="36"/>
          <w:szCs w:val="36"/>
          <w:rtl/>
        </w:rPr>
        <w:t>راءة</w:t>
      </w:r>
      <w:r w:rsidR="00E8128F">
        <w:rPr>
          <w:sz w:val="36"/>
          <w:szCs w:val="36"/>
          <w:rtl/>
        </w:rPr>
        <w:t xml:space="preserve"> </w:t>
      </w:r>
      <w:r w:rsidR="00887122" w:rsidRPr="00FD211F">
        <w:rPr>
          <w:sz w:val="36"/>
          <w:szCs w:val="36"/>
          <w:rtl/>
        </w:rPr>
        <w:t>عن</w:t>
      </w:r>
      <w:r w:rsidR="00E8128F">
        <w:rPr>
          <w:sz w:val="36"/>
          <w:szCs w:val="36"/>
          <w:rtl/>
        </w:rPr>
        <w:t xml:space="preserve"> </w:t>
      </w:r>
      <w:r w:rsidR="00887122" w:rsidRPr="00FD211F">
        <w:rPr>
          <w:sz w:val="36"/>
          <w:szCs w:val="36"/>
          <w:rtl/>
        </w:rPr>
        <w:t>حجي</w:t>
      </w:r>
      <w:r w:rsidR="00EC7EDF" w:rsidRPr="00FD211F">
        <w:rPr>
          <w:sz w:val="36"/>
          <w:szCs w:val="36"/>
          <w:rtl/>
        </w:rPr>
        <w:t>ة</w:t>
      </w:r>
      <w:r w:rsidR="00E8128F">
        <w:rPr>
          <w:sz w:val="36"/>
          <w:szCs w:val="36"/>
          <w:rtl/>
        </w:rPr>
        <w:t xml:space="preserve"> </w:t>
      </w:r>
      <w:r w:rsidR="00887122" w:rsidRPr="00FD211F">
        <w:rPr>
          <w:sz w:val="36"/>
          <w:szCs w:val="36"/>
          <w:rtl/>
        </w:rPr>
        <w:t>الاحتمال</w:t>
      </w:r>
      <w:r w:rsidR="00E8128F">
        <w:rPr>
          <w:sz w:val="36"/>
          <w:szCs w:val="36"/>
          <w:rtl/>
        </w:rPr>
        <w:t xml:space="preserve"> </w:t>
      </w:r>
      <w:r w:rsidR="00887122" w:rsidRPr="00FD211F">
        <w:rPr>
          <w:sz w:val="36"/>
          <w:szCs w:val="36"/>
          <w:rtl/>
        </w:rPr>
        <w:t>وانه</w:t>
      </w:r>
      <w:r w:rsidR="00E8128F">
        <w:rPr>
          <w:sz w:val="36"/>
          <w:szCs w:val="36"/>
          <w:rtl/>
        </w:rPr>
        <w:t xml:space="preserve"> </w:t>
      </w:r>
      <w:r w:rsidR="00887122" w:rsidRPr="00FD211F">
        <w:rPr>
          <w:sz w:val="36"/>
          <w:szCs w:val="36"/>
          <w:rtl/>
        </w:rPr>
        <w:t>هل</w:t>
      </w:r>
      <w:r w:rsidR="00E8128F">
        <w:rPr>
          <w:sz w:val="36"/>
          <w:szCs w:val="36"/>
          <w:rtl/>
        </w:rPr>
        <w:t xml:space="preserve"> </w:t>
      </w:r>
      <w:r w:rsidR="00887122" w:rsidRPr="00FD211F">
        <w:rPr>
          <w:sz w:val="36"/>
          <w:szCs w:val="36"/>
          <w:rtl/>
        </w:rPr>
        <w:t>يكون</w:t>
      </w:r>
      <w:r w:rsidR="00E8128F">
        <w:rPr>
          <w:sz w:val="36"/>
          <w:szCs w:val="36"/>
          <w:rtl/>
        </w:rPr>
        <w:t xml:space="preserve"> </w:t>
      </w:r>
      <w:r w:rsidR="00887122" w:rsidRPr="00FD211F">
        <w:rPr>
          <w:sz w:val="36"/>
          <w:szCs w:val="36"/>
          <w:rtl/>
        </w:rPr>
        <w:t>منجزا</w:t>
      </w:r>
      <w:r w:rsidR="00E8128F">
        <w:rPr>
          <w:sz w:val="36"/>
          <w:szCs w:val="36"/>
          <w:rtl/>
        </w:rPr>
        <w:t xml:space="preserve"> </w:t>
      </w:r>
      <w:r w:rsidR="00887122" w:rsidRPr="00FD211F">
        <w:rPr>
          <w:sz w:val="36"/>
          <w:szCs w:val="36"/>
          <w:rtl/>
        </w:rPr>
        <w:t>للواقع</w:t>
      </w:r>
      <w:r w:rsidR="00E8128F">
        <w:rPr>
          <w:sz w:val="36"/>
          <w:szCs w:val="36"/>
          <w:rtl/>
        </w:rPr>
        <w:t xml:space="preserve"> </w:t>
      </w:r>
      <w:r w:rsidR="00887122" w:rsidRPr="00FD211F">
        <w:rPr>
          <w:sz w:val="36"/>
          <w:szCs w:val="36"/>
          <w:rtl/>
        </w:rPr>
        <w:t>ام</w:t>
      </w:r>
      <w:r w:rsidR="00E8128F">
        <w:rPr>
          <w:sz w:val="36"/>
          <w:szCs w:val="36"/>
          <w:rtl/>
        </w:rPr>
        <w:t xml:space="preserve"> </w:t>
      </w:r>
      <w:r w:rsidR="00887122" w:rsidRPr="00FD211F">
        <w:rPr>
          <w:sz w:val="36"/>
          <w:szCs w:val="36"/>
          <w:rtl/>
        </w:rPr>
        <w:t>لا</w:t>
      </w:r>
      <w:r w:rsidR="00603323" w:rsidRPr="00FD211F">
        <w:rPr>
          <w:sz w:val="36"/>
          <w:szCs w:val="36"/>
          <w:rtl/>
        </w:rPr>
        <w:t>،</w:t>
      </w:r>
      <w:r w:rsidR="00E8128F">
        <w:rPr>
          <w:sz w:val="36"/>
          <w:szCs w:val="36"/>
          <w:rtl/>
        </w:rPr>
        <w:t xml:space="preserve"> </w:t>
      </w:r>
      <w:r w:rsidR="00887122" w:rsidRPr="00FD211F">
        <w:rPr>
          <w:sz w:val="36"/>
          <w:szCs w:val="36"/>
          <w:rtl/>
        </w:rPr>
        <w:t>وهكذا</w:t>
      </w:r>
      <w:r w:rsidR="00E8128F">
        <w:rPr>
          <w:sz w:val="36"/>
          <w:szCs w:val="36"/>
          <w:rtl/>
        </w:rPr>
        <w:t xml:space="preserve"> </w:t>
      </w:r>
      <w:r w:rsidR="00887122" w:rsidRPr="00FD211F">
        <w:rPr>
          <w:sz w:val="36"/>
          <w:szCs w:val="36"/>
          <w:rtl/>
        </w:rPr>
        <w:t>يبحث</w:t>
      </w:r>
      <w:r w:rsidR="00E8128F">
        <w:rPr>
          <w:sz w:val="36"/>
          <w:szCs w:val="36"/>
          <w:rtl/>
        </w:rPr>
        <w:t xml:space="preserve"> </w:t>
      </w:r>
      <w:r w:rsidR="00887122" w:rsidRPr="00FD211F">
        <w:rPr>
          <w:sz w:val="36"/>
          <w:szCs w:val="36"/>
          <w:rtl/>
        </w:rPr>
        <w:t>في</w:t>
      </w:r>
      <w:r w:rsidR="00E8128F">
        <w:rPr>
          <w:sz w:val="36"/>
          <w:szCs w:val="36"/>
          <w:rtl/>
        </w:rPr>
        <w:t xml:space="preserve"> </w:t>
      </w:r>
      <w:r w:rsidR="00887122" w:rsidRPr="00FD211F">
        <w:rPr>
          <w:sz w:val="36"/>
          <w:szCs w:val="36"/>
          <w:rtl/>
        </w:rPr>
        <w:t>المفاهيم</w:t>
      </w:r>
      <w:r w:rsidR="00E8128F">
        <w:rPr>
          <w:sz w:val="36"/>
          <w:szCs w:val="36"/>
          <w:rtl/>
        </w:rPr>
        <w:t xml:space="preserve"> </w:t>
      </w:r>
      <w:r w:rsidR="00887122" w:rsidRPr="00FD211F">
        <w:rPr>
          <w:sz w:val="36"/>
          <w:szCs w:val="36"/>
          <w:rtl/>
        </w:rPr>
        <w:t>عن</w:t>
      </w:r>
      <w:r w:rsidR="00E8128F">
        <w:rPr>
          <w:sz w:val="36"/>
          <w:szCs w:val="36"/>
          <w:rtl/>
        </w:rPr>
        <w:t xml:space="preserve"> </w:t>
      </w:r>
      <w:r w:rsidR="00887122" w:rsidRPr="00FD211F">
        <w:rPr>
          <w:sz w:val="36"/>
          <w:szCs w:val="36"/>
          <w:rtl/>
        </w:rPr>
        <w:t>حجيتها</w:t>
      </w:r>
      <w:r w:rsidR="00603323" w:rsidRPr="00FD211F">
        <w:rPr>
          <w:sz w:val="36"/>
          <w:szCs w:val="36"/>
          <w:rtl/>
        </w:rPr>
        <w:t>،</w:t>
      </w:r>
      <w:r w:rsidR="00E8128F">
        <w:rPr>
          <w:sz w:val="36"/>
          <w:szCs w:val="36"/>
          <w:rtl/>
        </w:rPr>
        <w:t xml:space="preserve"> </w:t>
      </w:r>
      <w:r w:rsidR="00887122" w:rsidRPr="00FD211F">
        <w:rPr>
          <w:sz w:val="36"/>
          <w:szCs w:val="36"/>
          <w:rtl/>
        </w:rPr>
        <w:t>اذ</w:t>
      </w:r>
      <w:r w:rsidR="00E8128F">
        <w:rPr>
          <w:sz w:val="36"/>
          <w:szCs w:val="36"/>
          <w:rtl/>
        </w:rPr>
        <w:t xml:space="preserve"> </w:t>
      </w:r>
      <w:r w:rsidR="00887122" w:rsidRPr="00FD211F">
        <w:rPr>
          <w:sz w:val="36"/>
          <w:szCs w:val="36"/>
          <w:rtl/>
        </w:rPr>
        <w:t>ليس</w:t>
      </w:r>
      <w:r w:rsidR="00E8128F">
        <w:rPr>
          <w:sz w:val="36"/>
          <w:szCs w:val="36"/>
          <w:rtl/>
        </w:rPr>
        <w:t xml:space="preserve"> </w:t>
      </w:r>
      <w:r w:rsidR="00887122" w:rsidRPr="00FD211F">
        <w:rPr>
          <w:sz w:val="36"/>
          <w:szCs w:val="36"/>
          <w:rtl/>
        </w:rPr>
        <w:t>البحث</w:t>
      </w:r>
      <w:r w:rsidR="00E8128F">
        <w:rPr>
          <w:sz w:val="36"/>
          <w:szCs w:val="36"/>
          <w:rtl/>
        </w:rPr>
        <w:t xml:space="preserve"> </w:t>
      </w:r>
      <w:r w:rsidR="00887122" w:rsidRPr="00FD211F">
        <w:rPr>
          <w:sz w:val="36"/>
          <w:szCs w:val="36"/>
          <w:rtl/>
        </w:rPr>
        <w:t>هناك</w:t>
      </w:r>
      <w:r w:rsidR="00E8128F">
        <w:rPr>
          <w:sz w:val="36"/>
          <w:szCs w:val="36"/>
          <w:rtl/>
        </w:rPr>
        <w:t xml:space="preserve"> </w:t>
      </w:r>
      <w:r w:rsidR="00887122" w:rsidRPr="00FD211F">
        <w:rPr>
          <w:sz w:val="36"/>
          <w:szCs w:val="36"/>
          <w:rtl/>
        </w:rPr>
        <w:t>عن</w:t>
      </w:r>
      <w:r w:rsidR="00E8128F">
        <w:rPr>
          <w:sz w:val="36"/>
          <w:szCs w:val="36"/>
          <w:rtl/>
        </w:rPr>
        <w:t xml:space="preserve"> </w:t>
      </w:r>
      <w:r w:rsidR="00887122" w:rsidRPr="00FD211F">
        <w:rPr>
          <w:sz w:val="36"/>
          <w:szCs w:val="36"/>
          <w:rtl/>
        </w:rPr>
        <w:t>ثبوت</w:t>
      </w:r>
      <w:r w:rsidR="00E8128F">
        <w:rPr>
          <w:sz w:val="36"/>
          <w:szCs w:val="36"/>
          <w:rtl/>
        </w:rPr>
        <w:t xml:space="preserve"> </w:t>
      </w:r>
      <w:r w:rsidR="00887122" w:rsidRPr="00FD211F">
        <w:rPr>
          <w:sz w:val="36"/>
          <w:szCs w:val="36"/>
          <w:rtl/>
        </w:rPr>
        <w:t>تلك</w:t>
      </w:r>
      <w:r w:rsidR="00E8128F">
        <w:rPr>
          <w:sz w:val="36"/>
          <w:szCs w:val="36"/>
          <w:rtl/>
        </w:rPr>
        <w:t xml:space="preserve"> </w:t>
      </w:r>
      <w:r w:rsidR="00887122" w:rsidRPr="00FD211F">
        <w:rPr>
          <w:sz w:val="36"/>
          <w:szCs w:val="36"/>
          <w:rtl/>
        </w:rPr>
        <w:t>المفاهيم</w:t>
      </w:r>
      <w:r w:rsidR="00603323" w:rsidRPr="00FD211F">
        <w:rPr>
          <w:sz w:val="36"/>
          <w:szCs w:val="36"/>
          <w:rtl/>
        </w:rPr>
        <w:t>،</w:t>
      </w:r>
      <w:r w:rsidR="00E8128F">
        <w:rPr>
          <w:sz w:val="36"/>
          <w:szCs w:val="36"/>
          <w:rtl/>
        </w:rPr>
        <w:t xml:space="preserve"> </w:t>
      </w:r>
      <w:r w:rsidR="00887122" w:rsidRPr="00FD211F">
        <w:rPr>
          <w:sz w:val="36"/>
          <w:szCs w:val="36"/>
          <w:rtl/>
        </w:rPr>
        <w:t>لان</w:t>
      </w:r>
      <w:r w:rsidR="00E8128F">
        <w:rPr>
          <w:sz w:val="36"/>
          <w:szCs w:val="36"/>
          <w:rtl/>
        </w:rPr>
        <w:t xml:space="preserve"> </w:t>
      </w:r>
      <w:r w:rsidR="00887122" w:rsidRPr="00FD211F">
        <w:rPr>
          <w:sz w:val="36"/>
          <w:szCs w:val="36"/>
          <w:rtl/>
        </w:rPr>
        <w:t>لذكر</w:t>
      </w:r>
      <w:r w:rsidR="00E8128F">
        <w:rPr>
          <w:sz w:val="36"/>
          <w:szCs w:val="36"/>
          <w:rtl/>
        </w:rPr>
        <w:t xml:space="preserve"> </w:t>
      </w:r>
      <w:r w:rsidR="00887122" w:rsidRPr="00FD211F">
        <w:rPr>
          <w:sz w:val="36"/>
          <w:szCs w:val="36"/>
          <w:rtl/>
        </w:rPr>
        <w:t>القيد</w:t>
      </w:r>
      <w:r w:rsidR="00E8128F">
        <w:rPr>
          <w:sz w:val="36"/>
          <w:szCs w:val="36"/>
          <w:rtl/>
        </w:rPr>
        <w:t xml:space="preserve"> </w:t>
      </w:r>
      <w:r w:rsidR="00887122" w:rsidRPr="00FD211F">
        <w:rPr>
          <w:sz w:val="36"/>
          <w:szCs w:val="36"/>
          <w:rtl/>
        </w:rPr>
        <w:t>الزائد</w:t>
      </w:r>
      <w:r w:rsidR="00E8128F">
        <w:rPr>
          <w:sz w:val="36"/>
          <w:szCs w:val="36"/>
          <w:rtl/>
        </w:rPr>
        <w:t xml:space="preserve"> </w:t>
      </w:r>
      <w:r w:rsidR="00887122" w:rsidRPr="00FD211F">
        <w:rPr>
          <w:sz w:val="36"/>
          <w:szCs w:val="36"/>
          <w:rtl/>
        </w:rPr>
        <w:t>مثل</w:t>
      </w:r>
      <w:r w:rsidR="00E8128F">
        <w:rPr>
          <w:sz w:val="36"/>
          <w:szCs w:val="36"/>
          <w:rtl/>
        </w:rPr>
        <w:t xml:space="preserve"> </w:t>
      </w:r>
      <w:r w:rsidR="00887122" w:rsidRPr="00FD211F">
        <w:rPr>
          <w:sz w:val="36"/>
          <w:szCs w:val="36"/>
          <w:rtl/>
        </w:rPr>
        <w:t>الشرط</w:t>
      </w:r>
      <w:r w:rsidR="00E8128F">
        <w:rPr>
          <w:sz w:val="36"/>
          <w:szCs w:val="36"/>
          <w:rtl/>
        </w:rPr>
        <w:t xml:space="preserve"> </w:t>
      </w:r>
      <w:r w:rsidR="00887122" w:rsidRPr="00FD211F">
        <w:rPr>
          <w:sz w:val="36"/>
          <w:szCs w:val="36"/>
          <w:rtl/>
        </w:rPr>
        <w:t>ظهورا</w:t>
      </w:r>
      <w:r w:rsidR="00E8128F">
        <w:rPr>
          <w:sz w:val="36"/>
          <w:szCs w:val="36"/>
          <w:rtl/>
        </w:rPr>
        <w:t xml:space="preserve"> </w:t>
      </w:r>
      <w:r w:rsidR="00887122" w:rsidRPr="00FD211F">
        <w:rPr>
          <w:sz w:val="36"/>
          <w:szCs w:val="36"/>
          <w:rtl/>
        </w:rPr>
        <w:t>ما</w:t>
      </w:r>
      <w:r w:rsidR="00E8128F">
        <w:rPr>
          <w:sz w:val="36"/>
          <w:szCs w:val="36"/>
          <w:rtl/>
        </w:rPr>
        <w:t xml:space="preserve"> </w:t>
      </w:r>
      <w:r w:rsidR="00887122" w:rsidRPr="00FD211F">
        <w:rPr>
          <w:sz w:val="36"/>
          <w:szCs w:val="36"/>
          <w:rtl/>
        </w:rPr>
        <w:t>في</w:t>
      </w:r>
      <w:r w:rsidR="00E8128F">
        <w:rPr>
          <w:sz w:val="36"/>
          <w:szCs w:val="36"/>
          <w:rtl/>
        </w:rPr>
        <w:t xml:space="preserve"> </w:t>
      </w:r>
      <w:r w:rsidR="00887122" w:rsidRPr="00FD211F">
        <w:rPr>
          <w:sz w:val="36"/>
          <w:szCs w:val="36"/>
          <w:rtl/>
        </w:rPr>
        <w:t>الدخال</w:t>
      </w:r>
      <w:r w:rsidR="00EC7EDF" w:rsidRPr="00FD211F">
        <w:rPr>
          <w:sz w:val="36"/>
          <w:szCs w:val="36"/>
          <w:rtl/>
        </w:rPr>
        <w:t>ة</w:t>
      </w:r>
      <w:r w:rsidR="00E8128F">
        <w:rPr>
          <w:sz w:val="36"/>
          <w:szCs w:val="36"/>
          <w:rtl/>
        </w:rPr>
        <w:t xml:space="preserve"> </w:t>
      </w:r>
      <w:r w:rsidR="00887122" w:rsidRPr="00FD211F">
        <w:rPr>
          <w:sz w:val="36"/>
          <w:szCs w:val="36"/>
          <w:rtl/>
        </w:rPr>
        <w:t>بلااشكال</w:t>
      </w:r>
      <w:r w:rsidR="00E8128F">
        <w:rPr>
          <w:sz w:val="36"/>
          <w:szCs w:val="36"/>
          <w:rtl/>
        </w:rPr>
        <w:t xml:space="preserve"> </w:t>
      </w:r>
      <w:r w:rsidR="00887122" w:rsidRPr="00FD211F">
        <w:rPr>
          <w:sz w:val="36"/>
          <w:szCs w:val="36"/>
          <w:rtl/>
        </w:rPr>
        <w:t>فيبحث</w:t>
      </w:r>
      <w:r w:rsidR="00E8128F">
        <w:rPr>
          <w:sz w:val="36"/>
          <w:szCs w:val="36"/>
          <w:rtl/>
        </w:rPr>
        <w:t xml:space="preserve"> </w:t>
      </w:r>
      <w:r w:rsidR="00887122" w:rsidRPr="00FD211F">
        <w:rPr>
          <w:sz w:val="36"/>
          <w:szCs w:val="36"/>
          <w:rtl/>
        </w:rPr>
        <w:t>عن</w:t>
      </w:r>
      <w:r w:rsidR="00E8128F">
        <w:rPr>
          <w:sz w:val="36"/>
          <w:szCs w:val="36"/>
          <w:rtl/>
        </w:rPr>
        <w:t xml:space="preserve"> </w:t>
      </w:r>
      <w:r w:rsidR="00887122" w:rsidRPr="00FD211F">
        <w:rPr>
          <w:sz w:val="36"/>
          <w:szCs w:val="36"/>
          <w:rtl/>
        </w:rPr>
        <w:t>حجيتها</w:t>
      </w:r>
      <w:r w:rsidR="00603323" w:rsidRPr="00FD211F">
        <w:rPr>
          <w:sz w:val="36"/>
          <w:szCs w:val="36"/>
          <w:rtl/>
        </w:rPr>
        <w:t>،</w:t>
      </w:r>
      <w:r w:rsidR="00E8128F">
        <w:rPr>
          <w:sz w:val="36"/>
          <w:szCs w:val="36"/>
          <w:rtl/>
        </w:rPr>
        <w:t xml:space="preserve"> </w:t>
      </w:r>
      <w:r w:rsidR="00887122" w:rsidRPr="00FD211F">
        <w:rPr>
          <w:sz w:val="36"/>
          <w:szCs w:val="36"/>
          <w:rtl/>
        </w:rPr>
        <w:t>نعم</w:t>
      </w:r>
      <w:r w:rsidR="00E8128F">
        <w:rPr>
          <w:sz w:val="36"/>
          <w:szCs w:val="36"/>
          <w:rtl/>
        </w:rPr>
        <w:t xml:space="preserve"> </w:t>
      </w:r>
      <w:r w:rsidR="00887122" w:rsidRPr="00FD211F">
        <w:rPr>
          <w:sz w:val="36"/>
          <w:szCs w:val="36"/>
          <w:rtl/>
        </w:rPr>
        <w:t>مثل</w:t>
      </w:r>
      <w:r w:rsidR="00E8128F">
        <w:rPr>
          <w:sz w:val="36"/>
          <w:szCs w:val="36"/>
          <w:rtl/>
        </w:rPr>
        <w:t xml:space="preserve"> </w:t>
      </w:r>
      <w:r w:rsidR="00887122" w:rsidRPr="00FD211F">
        <w:rPr>
          <w:sz w:val="36"/>
          <w:szCs w:val="36"/>
          <w:rtl/>
        </w:rPr>
        <w:t>بحث</w:t>
      </w:r>
      <w:r w:rsidR="00E8128F">
        <w:rPr>
          <w:sz w:val="36"/>
          <w:szCs w:val="36"/>
          <w:rtl/>
        </w:rPr>
        <w:t xml:space="preserve"> </w:t>
      </w:r>
      <w:r w:rsidR="00887122" w:rsidRPr="00FD211F">
        <w:rPr>
          <w:sz w:val="36"/>
          <w:szCs w:val="36"/>
          <w:rtl/>
        </w:rPr>
        <w:t>مقدم</w:t>
      </w:r>
      <w:r w:rsidR="00EC7EDF" w:rsidRPr="00FD211F">
        <w:rPr>
          <w:sz w:val="36"/>
          <w:szCs w:val="36"/>
          <w:rtl/>
        </w:rPr>
        <w:t>ة</w:t>
      </w:r>
      <w:r w:rsidR="00E8128F">
        <w:rPr>
          <w:sz w:val="36"/>
          <w:szCs w:val="36"/>
          <w:rtl/>
        </w:rPr>
        <w:t xml:space="preserve"> </w:t>
      </w:r>
      <w:r w:rsidR="007813DB" w:rsidRPr="00FD211F">
        <w:rPr>
          <w:sz w:val="36"/>
          <w:szCs w:val="36"/>
          <w:rtl/>
        </w:rPr>
        <w:t>الواجب</w:t>
      </w:r>
      <w:r w:rsidR="00E8128F">
        <w:rPr>
          <w:sz w:val="36"/>
          <w:szCs w:val="36"/>
          <w:rtl/>
        </w:rPr>
        <w:t xml:space="preserve"> </w:t>
      </w:r>
      <w:r w:rsidR="007813DB" w:rsidRPr="00FD211F">
        <w:rPr>
          <w:sz w:val="36"/>
          <w:szCs w:val="36"/>
          <w:rtl/>
        </w:rPr>
        <w:t>والضد</w:t>
      </w:r>
      <w:r w:rsidR="00E8128F">
        <w:rPr>
          <w:sz w:val="36"/>
          <w:szCs w:val="36"/>
          <w:rtl/>
        </w:rPr>
        <w:t xml:space="preserve"> </w:t>
      </w:r>
      <w:r w:rsidR="007813DB" w:rsidRPr="00FD211F">
        <w:rPr>
          <w:sz w:val="36"/>
          <w:szCs w:val="36"/>
          <w:rtl/>
        </w:rPr>
        <w:t>مما</w:t>
      </w:r>
      <w:r w:rsidR="00E8128F">
        <w:rPr>
          <w:sz w:val="36"/>
          <w:szCs w:val="36"/>
          <w:rtl/>
        </w:rPr>
        <w:t xml:space="preserve"> </w:t>
      </w:r>
      <w:r w:rsidR="008D7B3D" w:rsidRPr="00FD211F">
        <w:rPr>
          <w:sz w:val="36"/>
          <w:szCs w:val="36"/>
          <w:rtl/>
        </w:rPr>
        <w:t>لم‌</w:t>
      </w:r>
      <w:r w:rsidR="007813DB" w:rsidRPr="00FD211F">
        <w:rPr>
          <w:sz w:val="36"/>
          <w:szCs w:val="36"/>
          <w:rtl/>
        </w:rPr>
        <w:t>ي</w:t>
      </w:r>
      <w:r w:rsidR="00887122" w:rsidRPr="00FD211F">
        <w:rPr>
          <w:sz w:val="36"/>
          <w:szCs w:val="36"/>
          <w:rtl/>
        </w:rPr>
        <w:t>كن</w:t>
      </w:r>
      <w:r w:rsidR="00E8128F">
        <w:rPr>
          <w:sz w:val="36"/>
          <w:szCs w:val="36"/>
          <w:rtl/>
        </w:rPr>
        <w:t xml:space="preserve"> </w:t>
      </w:r>
      <w:r w:rsidR="00887122" w:rsidRPr="00FD211F">
        <w:rPr>
          <w:sz w:val="36"/>
          <w:szCs w:val="36"/>
          <w:rtl/>
        </w:rPr>
        <w:t>المبحوث</w:t>
      </w:r>
      <w:r w:rsidR="00E8128F">
        <w:rPr>
          <w:sz w:val="36"/>
          <w:szCs w:val="36"/>
          <w:rtl/>
        </w:rPr>
        <w:t xml:space="preserve"> </w:t>
      </w:r>
      <w:r w:rsidR="00887122" w:rsidRPr="00FD211F">
        <w:rPr>
          <w:sz w:val="36"/>
          <w:szCs w:val="36"/>
          <w:rtl/>
        </w:rPr>
        <w:t>فيه</w:t>
      </w:r>
      <w:r w:rsidR="00E8128F">
        <w:rPr>
          <w:sz w:val="36"/>
          <w:szCs w:val="36"/>
          <w:rtl/>
        </w:rPr>
        <w:t xml:space="preserve"> </w:t>
      </w:r>
      <w:r w:rsidR="00887122" w:rsidRPr="00FD211F">
        <w:rPr>
          <w:sz w:val="36"/>
          <w:szCs w:val="36"/>
          <w:rtl/>
        </w:rPr>
        <w:t>حيثي</w:t>
      </w:r>
      <w:r w:rsidR="00EC7EDF" w:rsidRPr="00FD211F">
        <w:rPr>
          <w:sz w:val="36"/>
          <w:szCs w:val="36"/>
          <w:rtl/>
        </w:rPr>
        <w:t>ة</w:t>
      </w:r>
      <w:r w:rsidR="00E8128F">
        <w:rPr>
          <w:sz w:val="36"/>
          <w:szCs w:val="36"/>
          <w:rtl/>
        </w:rPr>
        <w:t xml:space="preserve"> </w:t>
      </w:r>
      <w:r w:rsidR="00887122" w:rsidRPr="00FD211F">
        <w:rPr>
          <w:sz w:val="36"/>
          <w:szCs w:val="36"/>
          <w:rtl/>
        </w:rPr>
        <w:t>الحجي</w:t>
      </w:r>
      <w:r w:rsidR="00EC7EDF" w:rsidRPr="00FD211F">
        <w:rPr>
          <w:sz w:val="36"/>
          <w:szCs w:val="36"/>
          <w:rtl/>
        </w:rPr>
        <w:t>ة</w:t>
      </w:r>
      <w:r w:rsidR="00E8128F">
        <w:rPr>
          <w:sz w:val="36"/>
          <w:szCs w:val="36"/>
          <w:rtl/>
        </w:rPr>
        <w:t xml:space="preserve"> </w:t>
      </w:r>
      <w:r w:rsidR="00887122" w:rsidRPr="00FD211F">
        <w:rPr>
          <w:sz w:val="36"/>
          <w:szCs w:val="36"/>
          <w:rtl/>
        </w:rPr>
        <w:t>ف</w:t>
      </w:r>
      <w:r w:rsidR="003F0970" w:rsidRPr="00FD211F">
        <w:rPr>
          <w:sz w:val="36"/>
          <w:szCs w:val="36"/>
          <w:rtl/>
        </w:rPr>
        <w:t>يكون</w:t>
      </w:r>
      <w:r w:rsidR="00E8128F">
        <w:rPr>
          <w:sz w:val="36"/>
          <w:szCs w:val="36"/>
          <w:rtl/>
        </w:rPr>
        <w:t xml:space="preserve"> </w:t>
      </w:r>
      <w:r w:rsidR="00924E4B" w:rsidRPr="00FD211F">
        <w:rPr>
          <w:sz w:val="36"/>
          <w:szCs w:val="36"/>
          <w:rtl/>
        </w:rPr>
        <w:t>خارجا</w:t>
      </w:r>
      <w:r w:rsidR="00E8128F">
        <w:rPr>
          <w:sz w:val="36"/>
          <w:szCs w:val="36"/>
          <w:rtl/>
        </w:rPr>
        <w:t xml:space="preserve"> </w:t>
      </w:r>
      <w:r w:rsidR="00887122" w:rsidRPr="00FD211F">
        <w:rPr>
          <w:sz w:val="36"/>
          <w:szCs w:val="36"/>
          <w:rtl/>
        </w:rPr>
        <w:t>عن</w:t>
      </w:r>
      <w:r w:rsidR="00E8128F">
        <w:rPr>
          <w:sz w:val="36"/>
          <w:szCs w:val="36"/>
          <w:rtl/>
        </w:rPr>
        <w:t xml:space="preserve"> </w:t>
      </w:r>
      <w:r w:rsidR="00887122" w:rsidRPr="00FD211F">
        <w:rPr>
          <w:sz w:val="36"/>
          <w:szCs w:val="36"/>
          <w:rtl/>
        </w:rPr>
        <w:t>علم</w:t>
      </w:r>
      <w:r w:rsidR="00E8128F">
        <w:rPr>
          <w:sz w:val="36"/>
          <w:szCs w:val="36"/>
          <w:rtl/>
        </w:rPr>
        <w:t xml:space="preserve"> </w:t>
      </w:r>
      <w:r w:rsidR="00887122" w:rsidRPr="00FD211F">
        <w:rPr>
          <w:sz w:val="36"/>
          <w:szCs w:val="36"/>
          <w:rtl/>
        </w:rPr>
        <w:t>الاصول</w:t>
      </w:r>
      <w:r w:rsidR="00603323" w:rsidRPr="00FD211F">
        <w:rPr>
          <w:sz w:val="36"/>
          <w:szCs w:val="36"/>
          <w:rtl/>
        </w:rPr>
        <w:t>،</w:t>
      </w:r>
      <w:r w:rsidR="00E8128F">
        <w:rPr>
          <w:sz w:val="36"/>
          <w:szCs w:val="36"/>
          <w:rtl/>
        </w:rPr>
        <w:t xml:space="preserve"> </w:t>
      </w:r>
      <w:r w:rsidR="00887122" w:rsidRPr="00FD211F">
        <w:rPr>
          <w:sz w:val="36"/>
          <w:szCs w:val="36"/>
          <w:rtl/>
        </w:rPr>
        <w:t>وقد</w:t>
      </w:r>
      <w:r w:rsidR="00E8128F">
        <w:rPr>
          <w:sz w:val="36"/>
          <w:szCs w:val="36"/>
          <w:rtl/>
        </w:rPr>
        <w:t xml:space="preserve"> </w:t>
      </w:r>
      <w:r w:rsidR="007813DB" w:rsidRPr="00FD211F">
        <w:rPr>
          <w:sz w:val="36"/>
          <w:szCs w:val="36"/>
          <w:rtl/>
        </w:rPr>
        <w:t>حكي</w:t>
      </w:r>
      <w:r w:rsidR="00E8128F">
        <w:rPr>
          <w:sz w:val="36"/>
          <w:szCs w:val="36"/>
          <w:rtl/>
        </w:rPr>
        <w:t xml:space="preserve"> </w:t>
      </w:r>
      <w:r w:rsidR="007813DB" w:rsidRPr="00FD211F">
        <w:rPr>
          <w:sz w:val="36"/>
          <w:szCs w:val="36"/>
          <w:rtl/>
        </w:rPr>
        <w:t>عنه</w:t>
      </w:r>
      <w:r w:rsidR="00E8128F">
        <w:rPr>
          <w:sz w:val="36"/>
          <w:szCs w:val="36"/>
          <w:rtl/>
        </w:rPr>
        <w:t xml:space="preserve"> </w:t>
      </w:r>
      <w:r w:rsidR="007813DB" w:rsidRPr="00FD211F">
        <w:rPr>
          <w:sz w:val="36"/>
          <w:szCs w:val="36"/>
          <w:rtl/>
        </w:rPr>
        <w:t>ان</w:t>
      </w:r>
      <w:r w:rsidR="00E8128F">
        <w:rPr>
          <w:sz w:val="36"/>
          <w:szCs w:val="36"/>
          <w:rtl/>
        </w:rPr>
        <w:t xml:space="preserve"> </w:t>
      </w:r>
      <w:r w:rsidR="007813DB" w:rsidRPr="00FD211F">
        <w:rPr>
          <w:sz w:val="36"/>
          <w:szCs w:val="36"/>
          <w:rtl/>
        </w:rPr>
        <w:t>ظاهر</w:t>
      </w:r>
      <w:r w:rsidR="00E8128F">
        <w:rPr>
          <w:sz w:val="36"/>
          <w:szCs w:val="36"/>
          <w:rtl/>
        </w:rPr>
        <w:t xml:space="preserve"> </w:t>
      </w:r>
      <w:r w:rsidR="007813DB" w:rsidRPr="00FD211F">
        <w:rPr>
          <w:sz w:val="36"/>
          <w:szCs w:val="36"/>
          <w:rtl/>
        </w:rPr>
        <w:t>القوم</w:t>
      </w:r>
      <w:r w:rsidR="00E8128F">
        <w:rPr>
          <w:sz w:val="36"/>
          <w:szCs w:val="36"/>
          <w:rtl/>
        </w:rPr>
        <w:t xml:space="preserve"> </w:t>
      </w:r>
      <w:r w:rsidR="007813DB" w:rsidRPr="00FD211F">
        <w:rPr>
          <w:sz w:val="36"/>
          <w:szCs w:val="36"/>
          <w:rtl/>
        </w:rPr>
        <w:t>كون</w:t>
      </w:r>
      <w:r w:rsidR="00E8128F">
        <w:rPr>
          <w:sz w:val="36"/>
          <w:szCs w:val="36"/>
          <w:rtl/>
        </w:rPr>
        <w:t xml:space="preserve"> </w:t>
      </w:r>
      <w:r w:rsidR="007813DB" w:rsidRPr="00FD211F">
        <w:rPr>
          <w:sz w:val="36"/>
          <w:szCs w:val="36"/>
          <w:rtl/>
        </w:rPr>
        <w:t>مباحث</w:t>
      </w:r>
      <w:r w:rsidR="00E8128F">
        <w:rPr>
          <w:sz w:val="36"/>
          <w:szCs w:val="36"/>
          <w:rtl/>
        </w:rPr>
        <w:t xml:space="preserve"> </w:t>
      </w:r>
      <w:r w:rsidR="00887122" w:rsidRPr="00FD211F">
        <w:rPr>
          <w:sz w:val="36"/>
          <w:szCs w:val="36"/>
          <w:rtl/>
        </w:rPr>
        <w:t>الالفاظ</w:t>
      </w:r>
      <w:r w:rsidR="00E8128F">
        <w:rPr>
          <w:sz w:val="36"/>
          <w:szCs w:val="36"/>
          <w:rtl/>
        </w:rPr>
        <w:t xml:space="preserve"> </w:t>
      </w:r>
      <w:r w:rsidR="00887122" w:rsidRPr="00FD211F">
        <w:rPr>
          <w:sz w:val="36"/>
          <w:szCs w:val="36"/>
          <w:rtl/>
        </w:rPr>
        <w:lastRenderedPageBreak/>
        <w:t>وشبهها</w:t>
      </w:r>
      <w:r w:rsidR="00E8128F">
        <w:rPr>
          <w:sz w:val="36"/>
          <w:szCs w:val="36"/>
          <w:rtl/>
        </w:rPr>
        <w:t xml:space="preserve"> </w:t>
      </w:r>
      <w:r w:rsidR="00887122" w:rsidRPr="00FD211F">
        <w:rPr>
          <w:sz w:val="36"/>
          <w:szCs w:val="36"/>
          <w:rtl/>
        </w:rPr>
        <w:t>من</w:t>
      </w:r>
      <w:r w:rsidR="00E8128F">
        <w:rPr>
          <w:sz w:val="36"/>
          <w:szCs w:val="36"/>
          <w:rtl/>
        </w:rPr>
        <w:t xml:space="preserve"> </w:t>
      </w:r>
      <w:r w:rsidR="00887122" w:rsidRPr="00FD211F">
        <w:rPr>
          <w:sz w:val="36"/>
          <w:szCs w:val="36"/>
          <w:rtl/>
        </w:rPr>
        <w:t>مبادئ</w:t>
      </w:r>
      <w:r w:rsidR="00E8128F">
        <w:rPr>
          <w:sz w:val="36"/>
          <w:szCs w:val="36"/>
          <w:rtl/>
        </w:rPr>
        <w:t xml:space="preserve"> </w:t>
      </w:r>
      <w:r w:rsidR="00887122" w:rsidRPr="00FD211F">
        <w:rPr>
          <w:sz w:val="36"/>
          <w:szCs w:val="36"/>
          <w:rtl/>
        </w:rPr>
        <w:t>علم</w:t>
      </w:r>
      <w:r w:rsidR="00E8128F">
        <w:rPr>
          <w:sz w:val="36"/>
          <w:szCs w:val="36"/>
          <w:rtl/>
        </w:rPr>
        <w:t xml:space="preserve"> </w:t>
      </w:r>
      <w:r w:rsidR="00887122" w:rsidRPr="00FD211F">
        <w:rPr>
          <w:sz w:val="36"/>
          <w:szCs w:val="36"/>
          <w:rtl/>
        </w:rPr>
        <w:t>الاصول</w:t>
      </w:r>
      <w:r w:rsidR="00E8128F">
        <w:rPr>
          <w:sz w:val="36"/>
          <w:szCs w:val="36"/>
          <w:rtl/>
        </w:rPr>
        <w:t xml:space="preserve"> </w:t>
      </w:r>
      <w:r w:rsidR="00887122" w:rsidRPr="00FD211F">
        <w:rPr>
          <w:sz w:val="36"/>
          <w:szCs w:val="36"/>
          <w:rtl/>
        </w:rPr>
        <w:t>وليست</w:t>
      </w:r>
      <w:r w:rsidR="00E8128F">
        <w:rPr>
          <w:sz w:val="36"/>
          <w:szCs w:val="36"/>
          <w:rtl/>
        </w:rPr>
        <w:t xml:space="preserve"> </w:t>
      </w:r>
      <w:r w:rsidR="00887122" w:rsidRPr="00FD211F">
        <w:rPr>
          <w:sz w:val="36"/>
          <w:szCs w:val="36"/>
          <w:rtl/>
        </w:rPr>
        <w:t>من</w:t>
      </w:r>
      <w:r w:rsidR="00E8128F">
        <w:rPr>
          <w:sz w:val="36"/>
          <w:szCs w:val="36"/>
          <w:rtl/>
        </w:rPr>
        <w:t xml:space="preserve"> </w:t>
      </w:r>
      <w:r w:rsidR="00887122" w:rsidRPr="00FD211F">
        <w:rPr>
          <w:sz w:val="36"/>
          <w:szCs w:val="36"/>
          <w:rtl/>
        </w:rPr>
        <w:t>مباحث</w:t>
      </w:r>
      <w:r w:rsidR="00E8128F">
        <w:rPr>
          <w:sz w:val="36"/>
          <w:szCs w:val="36"/>
          <w:rtl/>
        </w:rPr>
        <w:t xml:space="preserve"> </w:t>
      </w:r>
      <w:r w:rsidR="00887122" w:rsidRPr="00FD211F">
        <w:rPr>
          <w:sz w:val="36"/>
          <w:szCs w:val="36"/>
          <w:rtl/>
        </w:rPr>
        <w:t>علم</w:t>
      </w:r>
      <w:r w:rsidR="00E8128F">
        <w:rPr>
          <w:sz w:val="36"/>
          <w:szCs w:val="36"/>
          <w:rtl/>
        </w:rPr>
        <w:t xml:space="preserve"> </w:t>
      </w:r>
      <w:r w:rsidR="00887122" w:rsidRPr="00FD211F">
        <w:rPr>
          <w:sz w:val="36"/>
          <w:szCs w:val="36"/>
          <w:rtl/>
        </w:rPr>
        <w:t>الاصول</w:t>
      </w:r>
      <w:r w:rsidR="009C58C8" w:rsidRPr="00FD211F">
        <w:rPr>
          <w:rStyle w:val="a6"/>
          <w:sz w:val="36"/>
          <w:szCs w:val="36"/>
          <w:rtl/>
        </w:rPr>
        <w:t>(</w:t>
      </w:r>
      <w:r w:rsidR="009C58C8" w:rsidRPr="00FD211F">
        <w:rPr>
          <w:rStyle w:val="a6"/>
          <w:sz w:val="36"/>
          <w:szCs w:val="36"/>
          <w:rtl/>
        </w:rPr>
        <w:footnoteReference w:id="33"/>
      </w:r>
      <w:r w:rsidR="009C58C8" w:rsidRPr="00FD211F">
        <w:rPr>
          <w:rStyle w:val="a6"/>
          <w:sz w:val="36"/>
          <w:szCs w:val="36"/>
          <w:rtl/>
        </w:rPr>
        <w:t>)</w:t>
      </w:r>
      <w:r w:rsidR="00603323" w:rsidRPr="00FD211F">
        <w:rPr>
          <w:sz w:val="36"/>
          <w:szCs w:val="36"/>
          <w:rtl/>
        </w:rPr>
        <w:t>،</w:t>
      </w:r>
      <w:r w:rsidR="00E8128F">
        <w:rPr>
          <w:sz w:val="36"/>
          <w:szCs w:val="36"/>
          <w:rtl/>
        </w:rPr>
        <w:t xml:space="preserve"> </w:t>
      </w:r>
      <w:r w:rsidR="00280DDC" w:rsidRPr="00FD211F">
        <w:rPr>
          <w:sz w:val="36"/>
          <w:szCs w:val="36"/>
          <w:rtl/>
        </w:rPr>
        <w:t>وبناء</w:t>
      </w:r>
      <w:r w:rsidR="00E8128F">
        <w:rPr>
          <w:sz w:val="36"/>
          <w:szCs w:val="36"/>
          <w:rtl/>
        </w:rPr>
        <w:t xml:space="preserve"> </w:t>
      </w:r>
      <w:r w:rsidR="00280DDC" w:rsidRPr="00FD211F">
        <w:rPr>
          <w:sz w:val="36"/>
          <w:szCs w:val="36"/>
          <w:rtl/>
        </w:rPr>
        <w:t>عليه</w:t>
      </w:r>
      <w:r w:rsidR="00E8128F">
        <w:rPr>
          <w:sz w:val="36"/>
          <w:szCs w:val="36"/>
          <w:rtl/>
        </w:rPr>
        <w:t xml:space="preserve"> </w:t>
      </w:r>
      <w:r w:rsidR="00280DDC" w:rsidRPr="00FD211F">
        <w:rPr>
          <w:sz w:val="36"/>
          <w:szCs w:val="36"/>
          <w:rtl/>
        </w:rPr>
        <w:t>فيخرج</w:t>
      </w:r>
      <w:r w:rsidR="00E8128F">
        <w:rPr>
          <w:sz w:val="36"/>
          <w:szCs w:val="36"/>
          <w:rtl/>
        </w:rPr>
        <w:t xml:space="preserve"> </w:t>
      </w:r>
      <w:r w:rsidR="00280DDC" w:rsidRPr="00FD211F">
        <w:rPr>
          <w:sz w:val="36"/>
          <w:szCs w:val="36"/>
          <w:rtl/>
        </w:rPr>
        <w:t>المباحث</w:t>
      </w:r>
      <w:r w:rsidR="00E8128F">
        <w:rPr>
          <w:sz w:val="36"/>
          <w:szCs w:val="36"/>
          <w:rtl/>
        </w:rPr>
        <w:t xml:space="preserve"> </w:t>
      </w:r>
      <w:r w:rsidR="00280DDC" w:rsidRPr="00FD211F">
        <w:rPr>
          <w:sz w:val="36"/>
          <w:szCs w:val="36"/>
          <w:rtl/>
        </w:rPr>
        <w:t>اللغوي</w:t>
      </w:r>
      <w:r w:rsidR="00EC7EDF" w:rsidRPr="00FD211F">
        <w:rPr>
          <w:sz w:val="36"/>
          <w:szCs w:val="36"/>
          <w:rtl/>
        </w:rPr>
        <w:t>ة</w:t>
      </w:r>
      <w:r w:rsidR="00E8128F">
        <w:rPr>
          <w:sz w:val="36"/>
          <w:szCs w:val="36"/>
          <w:rtl/>
        </w:rPr>
        <w:t xml:space="preserve"> </w:t>
      </w:r>
      <w:r w:rsidR="00280DDC" w:rsidRPr="00FD211F">
        <w:rPr>
          <w:sz w:val="36"/>
          <w:szCs w:val="36"/>
          <w:rtl/>
        </w:rPr>
        <w:t>والرجالي</w:t>
      </w:r>
      <w:r w:rsidR="00EC7EDF" w:rsidRPr="00FD211F">
        <w:rPr>
          <w:sz w:val="36"/>
          <w:szCs w:val="36"/>
          <w:rtl/>
        </w:rPr>
        <w:t>ة</w:t>
      </w:r>
      <w:r w:rsidR="00E8128F">
        <w:rPr>
          <w:sz w:val="36"/>
          <w:szCs w:val="36"/>
          <w:rtl/>
        </w:rPr>
        <w:t xml:space="preserve"> </w:t>
      </w:r>
      <w:r w:rsidR="00280DDC" w:rsidRPr="00FD211F">
        <w:rPr>
          <w:sz w:val="36"/>
          <w:szCs w:val="36"/>
          <w:rtl/>
        </w:rPr>
        <w:t>ونحوها</w:t>
      </w:r>
      <w:r w:rsidR="00E8128F">
        <w:rPr>
          <w:sz w:val="36"/>
          <w:szCs w:val="36"/>
          <w:rtl/>
        </w:rPr>
        <w:t xml:space="preserve"> </w:t>
      </w:r>
      <w:r w:rsidR="00280DDC" w:rsidRPr="00FD211F">
        <w:rPr>
          <w:sz w:val="36"/>
          <w:szCs w:val="36"/>
          <w:rtl/>
        </w:rPr>
        <w:t>عن</w:t>
      </w:r>
      <w:r w:rsidR="00E8128F">
        <w:rPr>
          <w:sz w:val="36"/>
          <w:szCs w:val="36"/>
          <w:rtl/>
        </w:rPr>
        <w:t xml:space="preserve"> </w:t>
      </w:r>
      <w:r w:rsidR="00280DDC" w:rsidRPr="00FD211F">
        <w:rPr>
          <w:sz w:val="36"/>
          <w:szCs w:val="36"/>
          <w:rtl/>
        </w:rPr>
        <w:t>علم</w:t>
      </w:r>
      <w:r w:rsidR="00E8128F">
        <w:rPr>
          <w:sz w:val="36"/>
          <w:szCs w:val="36"/>
          <w:rtl/>
        </w:rPr>
        <w:t xml:space="preserve"> </w:t>
      </w:r>
      <w:r w:rsidR="00280DDC" w:rsidRPr="00FD211F">
        <w:rPr>
          <w:sz w:val="36"/>
          <w:szCs w:val="36"/>
          <w:rtl/>
        </w:rPr>
        <w:t>الاصول</w:t>
      </w:r>
      <w:r w:rsidR="00E8128F">
        <w:rPr>
          <w:sz w:val="36"/>
          <w:szCs w:val="36"/>
          <w:rtl/>
        </w:rPr>
        <w:t xml:space="preserve"> </w:t>
      </w:r>
      <w:r w:rsidR="006721C6" w:rsidRPr="00FD211F">
        <w:rPr>
          <w:sz w:val="36"/>
          <w:szCs w:val="36"/>
          <w:rtl/>
        </w:rPr>
        <w:t>ف</w:t>
      </w:r>
      <w:r w:rsidR="00280DDC" w:rsidRPr="00FD211F">
        <w:rPr>
          <w:sz w:val="36"/>
          <w:szCs w:val="36"/>
          <w:rtl/>
        </w:rPr>
        <w:t>ان</w:t>
      </w:r>
      <w:r w:rsidR="00E8128F">
        <w:rPr>
          <w:sz w:val="36"/>
          <w:szCs w:val="36"/>
          <w:rtl/>
        </w:rPr>
        <w:t xml:space="preserve"> </w:t>
      </w:r>
      <w:r w:rsidR="00280DDC" w:rsidRPr="00FD211F">
        <w:rPr>
          <w:sz w:val="36"/>
          <w:szCs w:val="36"/>
          <w:rtl/>
        </w:rPr>
        <w:t>البحث</w:t>
      </w:r>
      <w:r w:rsidR="00E8128F">
        <w:rPr>
          <w:sz w:val="36"/>
          <w:szCs w:val="36"/>
          <w:rtl/>
        </w:rPr>
        <w:t xml:space="preserve"> </w:t>
      </w:r>
      <w:r w:rsidR="00280DDC" w:rsidRPr="00FD211F">
        <w:rPr>
          <w:sz w:val="36"/>
          <w:szCs w:val="36"/>
          <w:rtl/>
        </w:rPr>
        <w:t>عنها</w:t>
      </w:r>
      <w:r w:rsidR="00E8128F">
        <w:rPr>
          <w:sz w:val="36"/>
          <w:szCs w:val="36"/>
          <w:rtl/>
        </w:rPr>
        <w:t xml:space="preserve"> </w:t>
      </w:r>
      <w:r w:rsidR="00280DDC" w:rsidRPr="00FD211F">
        <w:rPr>
          <w:sz w:val="36"/>
          <w:szCs w:val="36"/>
          <w:rtl/>
        </w:rPr>
        <w:t>ليس</w:t>
      </w:r>
      <w:r w:rsidR="00E8128F">
        <w:rPr>
          <w:sz w:val="36"/>
          <w:szCs w:val="36"/>
          <w:rtl/>
        </w:rPr>
        <w:t xml:space="preserve"> </w:t>
      </w:r>
      <w:r w:rsidR="00280DDC" w:rsidRPr="00FD211F">
        <w:rPr>
          <w:sz w:val="36"/>
          <w:szCs w:val="36"/>
          <w:rtl/>
        </w:rPr>
        <w:t>بحثا</w:t>
      </w:r>
      <w:r w:rsidR="00E8128F">
        <w:rPr>
          <w:sz w:val="36"/>
          <w:szCs w:val="36"/>
          <w:rtl/>
        </w:rPr>
        <w:t xml:space="preserve"> </w:t>
      </w:r>
      <w:r w:rsidR="00280DDC" w:rsidRPr="00FD211F">
        <w:rPr>
          <w:sz w:val="36"/>
          <w:szCs w:val="36"/>
          <w:rtl/>
        </w:rPr>
        <w:t>عن</w:t>
      </w:r>
      <w:r w:rsidR="00E8128F">
        <w:rPr>
          <w:sz w:val="36"/>
          <w:szCs w:val="36"/>
          <w:rtl/>
        </w:rPr>
        <w:t xml:space="preserve"> </w:t>
      </w:r>
      <w:r w:rsidR="00280DDC" w:rsidRPr="00FD211F">
        <w:rPr>
          <w:sz w:val="36"/>
          <w:szCs w:val="36"/>
          <w:rtl/>
        </w:rPr>
        <w:t>تعيين</w:t>
      </w:r>
      <w:r w:rsidR="00E8128F">
        <w:rPr>
          <w:sz w:val="36"/>
          <w:szCs w:val="36"/>
          <w:rtl/>
        </w:rPr>
        <w:t xml:space="preserve"> </w:t>
      </w:r>
      <w:r w:rsidR="00280DDC" w:rsidRPr="00FD211F">
        <w:rPr>
          <w:sz w:val="36"/>
          <w:szCs w:val="36"/>
          <w:rtl/>
        </w:rPr>
        <w:t>مصاديق</w:t>
      </w:r>
      <w:r w:rsidR="00E8128F">
        <w:rPr>
          <w:sz w:val="36"/>
          <w:szCs w:val="36"/>
          <w:rtl/>
        </w:rPr>
        <w:t xml:space="preserve"> </w:t>
      </w:r>
      <w:r w:rsidR="00280DDC" w:rsidRPr="00FD211F">
        <w:rPr>
          <w:sz w:val="36"/>
          <w:szCs w:val="36"/>
          <w:rtl/>
        </w:rPr>
        <w:t>الحج</w:t>
      </w:r>
      <w:r w:rsidR="00EC7EDF" w:rsidRPr="00FD211F">
        <w:rPr>
          <w:sz w:val="36"/>
          <w:szCs w:val="36"/>
          <w:rtl/>
        </w:rPr>
        <w:t>ة</w:t>
      </w:r>
      <w:r w:rsidR="00E8128F">
        <w:rPr>
          <w:sz w:val="36"/>
          <w:szCs w:val="36"/>
          <w:rtl/>
        </w:rPr>
        <w:t xml:space="preserve"> </w:t>
      </w:r>
      <w:r w:rsidR="00280DDC" w:rsidRPr="00FD211F">
        <w:rPr>
          <w:sz w:val="36"/>
          <w:szCs w:val="36"/>
          <w:rtl/>
        </w:rPr>
        <w:t>على</w:t>
      </w:r>
      <w:r w:rsidR="00E8128F">
        <w:rPr>
          <w:sz w:val="36"/>
          <w:szCs w:val="36"/>
          <w:rtl/>
        </w:rPr>
        <w:t xml:space="preserve"> </w:t>
      </w:r>
      <w:r w:rsidR="00280DDC" w:rsidRPr="00FD211F">
        <w:rPr>
          <w:sz w:val="36"/>
          <w:szCs w:val="36"/>
          <w:rtl/>
        </w:rPr>
        <w:t>الحكم</w:t>
      </w:r>
      <w:r w:rsidR="00E8128F">
        <w:rPr>
          <w:sz w:val="36"/>
          <w:szCs w:val="36"/>
          <w:rtl/>
        </w:rPr>
        <w:t xml:space="preserve"> </w:t>
      </w:r>
      <w:r w:rsidR="00280DDC" w:rsidRPr="00FD211F">
        <w:rPr>
          <w:sz w:val="36"/>
          <w:szCs w:val="36"/>
          <w:rtl/>
        </w:rPr>
        <w:t>الشرعي</w:t>
      </w:r>
      <w:r w:rsidR="00E8128F">
        <w:rPr>
          <w:sz w:val="36"/>
          <w:szCs w:val="36"/>
          <w:rtl/>
        </w:rPr>
        <w:t xml:space="preserve"> </w:t>
      </w:r>
      <w:r w:rsidR="00280DDC" w:rsidRPr="00FD211F">
        <w:rPr>
          <w:sz w:val="36"/>
          <w:szCs w:val="36"/>
          <w:rtl/>
        </w:rPr>
        <w:t>الفرعي</w:t>
      </w:r>
      <w:r w:rsidR="00E8128F">
        <w:rPr>
          <w:sz w:val="36"/>
          <w:szCs w:val="36"/>
          <w:rtl/>
        </w:rPr>
        <w:t xml:space="preserve"> </w:t>
      </w:r>
      <w:r w:rsidR="00280DDC" w:rsidRPr="00FD211F">
        <w:rPr>
          <w:sz w:val="36"/>
          <w:szCs w:val="36"/>
          <w:rtl/>
        </w:rPr>
        <w:t>في</w:t>
      </w:r>
      <w:r w:rsidR="00E8128F">
        <w:rPr>
          <w:sz w:val="36"/>
          <w:szCs w:val="36"/>
          <w:rtl/>
        </w:rPr>
        <w:t xml:space="preserve"> </w:t>
      </w:r>
      <w:r w:rsidR="00280DDC" w:rsidRPr="00FD211F">
        <w:rPr>
          <w:sz w:val="36"/>
          <w:szCs w:val="36"/>
          <w:rtl/>
        </w:rPr>
        <w:t>الفقه.</w:t>
      </w:r>
    </w:p>
    <w:p w14:paraId="3D4162C9" w14:textId="77777777" w:rsidR="008863D3" w:rsidRPr="00FD211F" w:rsidRDefault="00280DDC" w:rsidP="009C58C8">
      <w:pPr>
        <w:ind w:left="0" w:firstLine="227"/>
        <w:jc w:val="both"/>
        <w:rPr>
          <w:sz w:val="36"/>
          <w:szCs w:val="36"/>
          <w:rtl/>
        </w:rPr>
      </w:pPr>
      <w:r w:rsidRPr="00FD211F">
        <w:rPr>
          <w:sz w:val="36"/>
          <w:szCs w:val="36"/>
          <w:rtl/>
        </w:rPr>
        <w:t>و</w:t>
      </w:r>
      <w:r w:rsidR="00887122" w:rsidRPr="00FD211F">
        <w:rPr>
          <w:sz w:val="36"/>
          <w:szCs w:val="36"/>
          <w:rtl/>
        </w:rPr>
        <w:t>يلاحظ</w:t>
      </w:r>
      <w:r w:rsidR="00E8128F">
        <w:rPr>
          <w:sz w:val="36"/>
          <w:szCs w:val="36"/>
          <w:rtl/>
        </w:rPr>
        <w:t xml:space="preserve"> </w:t>
      </w:r>
      <w:r w:rsidR="00887122" w:rsidRPr="00FD211F">
        <w:rPr>
          <w:sz w:val="36"/>
          <w:szCs w:val="36"/>
          <w:rtl/>
        </w:rPr>
        <w:t>عليه</w:t>
      </w:r>
      <w:r w:rsidRPr="00FD211F">
        <w:rPr>
          <w:sz w:val="36"/>
          <w:szCs w:val="36"/>
          <w:rtl/>
        </w:rPr>
        <w:t>:</w:t>
      </w:r>
      <w:r w:rsidR="00E8128F">
        <w:rPr>
          <w:sz w:val="36"/>
          <w:szCs w:val="36"/>
          <w:rtl/>
        </w:rPr>
        <w:t xml:space="preserve"> </w:t>
      </w:r>
      <w:r w:rsidR="00887122" w:rsidRPr="00FD211F">
        <w:rPr>
          <w:sz w:val="36"/>
          <w:szCs w:val="36"/>
          <w:rtl/>
        </w:rPr>
        <w:t>انه</w:t>
      </w:r>
      <w:r w:rsidR="00E8128F">
        <w:rPr>
          <w:sz w:val="36"/>
          <w:szCs w:val="36"/>
          <w:rtl/>
        </w:rPr>
        <w:t xml:space="preserve"> </w:t>
      </w:r>
      <w:r w:rsidR="00887122" w:rsidRPr="00FD211F">
        <w:rPr>
          <w:sz w:val="36"/>
          <w:szCs w:val="36"/>
          <w:rtl/>
        </w:rPr>
        <w:t>لاوجه</w:t>
      </w:r>
      <w:r w:rsidR="00E8128F">
        <w:rPr>
          <w:sz w:val="36"/>
          <w:szCs w:val="36"/>
          <w:rtl/>
        </w:rPr>
        <w:t xml:space="preserve"> </w:t>
      </w:r>
      <w:r w:rsidR="00887122" w:rsidRPr="00FD211F">
        <w:rPr>
          <w:sz w:val="36"/>
          <w:szCs w:val="36"/>
          <w:rtl/>
        </w:rPr>
        <w:t>لتخصيص</w:t>
      </w:r>
      <w:r w:rsidR="00E8128F">
        <w:rPr>
          <w:sz w:val="36"/>
          <w:szCs w:val="36"/>
          <w:rtl/>
        </w:rPr>
        <w:t xml:space="preserve"> </w:t>
      </w:r>
      <w:r w:rsidR="00887122" w:rsidRPr="00FD211F">
        <w:rPr>
          <w:sz w:val="36"/>
          <w:szCs w:val="36"/>
          <w:rtl/>
        </w:rPr>
        <w:t>البحث</w:t>
      </w:r>
      <w:r w:rsidR="00E8128F">
        <w:rPr>
          <w:sz w:val="36"/>
          <w:szCs w:val="36"/>
          <w:rtl/>
        </w:rPr>
        <w:t xml:space="preserve"> </w:t>
      </w:r>
      <w:r w:rsidR="00887122" w:rsidRPr="00FD211F">
        <w:rPr>
          <w:sz w:val="36"/>
          <w:szCs w:val="36"/>
          <w:rtl/>
        </w:rPr>
        <w:t>الاصولي</w:t>
      </w:r>
      <w:r w:rsidR="00E8128F">
        <w:rPr>
          <w:sz w:val="36"/>
          <w:szCs w:val="36"/>
          <w:rtl/>
        </w:rPr>
        <w:t xml:space="preserve"> </w:t>
      </w:r>
      <w:r w:rsidR="00887122" w:rsidRPr="00FD211F">
        <w:rPr>
          <w:sz w:val="36"/>
          <w:szCs w:val="36"/>
          <w:rtl/>
        </w:rPr>
        <w:t>بالبحث</w:t>
      </w:r>
      <w:r w:rsidR="00E8128F">
        <w:rPr>
          <w:sz w:val="36"/>
          <w:szCs w:val="36"/>
          <w:rtl/>
        </w:rPr>
        <w:t xml:space="preserve"> </w:t>
      </w:r>
      <w:r w:rsidR="00887122" w:rsidRPr="00FD211F">
        <w:rPr>
          <w:sz w:val="36"/>
          <w:szCs w:val="36"/>
          <w:rtl/>
        </w:rPr>
        <w:t>عن</w:t>
      </w:r>
      <w:r w:rsidR="00E8128F">
        <w:rPr>
          <w:sz w:val="36"/>
          <w:szCs w:val="36"/>
          <w:rtl/>
        </w:rPr>
        <w:t xml:space="preserve"> </w:t>
      </w:r>
      <w:r w:rsidR="00887122" w:rsidRPr="00FD211F">
        <w:rPr>
          <w:sz w:val="36"/>
          <w:szCs w:val="36"/>
          <w:rtl/>
        </w:rPr>
        <w:t>الحجي</w:t>
      </w:r>
      <w:r w:rsidR="00EC7EDF" w:rsidRPr="00FD211F">
        <w:rPr>
          <w:sz w:val="36"/>
          <w:szCs w:val="36"/>
          <w:rtl/>
        </w:rPr>
        <w:t>ة</w:t>
      </w:r>
      <w:r w:rsidR="00E8128F">
        <w:rPr>
          <w:sz w:val="36"/>
          <w:szCs w:val="36"/>
          <w:rtl/>
        </w:rPr>
        <w:t xml:space="preserve"> </w:t>
      </w:r>
      <w:r w:rsidR="00887122" w:rsidRPr="00FD211F">
        <w:rPr>
          <w:sz w:val="36"/>
          <w:szCs w:val="36"/>
          <w:rtl/>
        </w:rPr>
        <w:t>كي</w:t>
      </w:r>
      <w:r w:rsidR="00E8128F">
        <w:rPr>
          <w:sz w:val="36"/>
          <w:szCs w:val="36"/>
          <w:rtl/>
        </w:rPr>
        <w:t xml:space="preserve"> </w:t>
      </w:r>
      <w:r w:rsidR="00887122" w:rsidRPr="00FD211F">
        <w:rPr>
          <w:sz w:val="36"/>
          <w:szCs w:val="36"/>
          <w:rtl/>
        </w:rPr>
        <w:t>يتكلف</w:t>
      </w:r>
      <w:r w:rsidR="00E8128F">
        <w:rPr>
          <w:sz w:val="36"/>
          <w:szCs w:val="36"/>
          <w:rtl/>
        </w:rPr>
        <w:t xml:space="preserve"> </w:t>
      </w:r>
      <w:r w:rsidR="00887122" w:rsidRPr="00FD211F">
        <w:rPr>
          <w:sz w:val="36"/>
          <w:szCs w:val="36"/>
          <w:rtl/>
        </w:rPr>
        <w:t>في</w:t>
      </w:r>
      <w:r w:rsidR="00E8128F">
        <w:rPr>
          <w:sz w:val="36"/>
          <w:szCs w:val="36"/>
          <w:rtl/>
        </w:rPr>
        <w:t xml:space="preserve"> </w:t>
      </w:r>
      <w:r w:rsidR="00887122" w:rsidRPr="00FD211F">
        <w:rPr>
          <w:sz w:val="36"/>
          <w:szCs w:val="36"/>
          <w:rtl/>
        </w:rPr>
        <w:t>مثل</w:t>
      </w:r>
      <w:r w:rsidR="00E8128F">
        <w:rPr>
          <w:sz w:val="36"/>
          <w:szCs w:val="36"/>
          <w:rtl/>
        </w:rPr>
        <w:t xml:space="preserve"> </w:t>
      </w:r>
      <w:r w:rsidR="00887122" w:rsidRPr="00FD211F">
        <w:rPr>
          <w:sz w:val="36"/>
          <w:szCs w:val="36"/>
          <w:rtl/>
        </w:rPr>
        <w:t>المفاهيم</w:t>
      </w:r>
      <w:r w:rsidR="00E8128F">
        <w:rPr>
          <w:sz w:val="36"/>
          <w:szCs w:val="36"/>
          <w:rtl/>
        </w:rPr>
        <w:t xml:space="preserve"> </w:t>
      </w:r>
      <w:r w:rsidR="00887122" w:rsidRPr="00FD211F">
        <w:rPr>
          <w:sz w:val="36"/>
          <w:szCs w:val="36"/>
          <w:rtl/>
        </w:rPr>
        <w:t>بما</w:t>
      </w:r>
      <w:r w:rsidR="00E8128F">
        <w:rPr>
          <w:sz w:val="36"/>
          <w:szCs w:val="36"/>
          <w:rtl/>
        </w:rPr>
        <w:t xml:space="preserve"> </w:t>
      </w:r>
      <w:r w:rsidR="00887122" w:rsidRPr="00FD211F">
        <w:rPr>
          <w:sz w:val="36"/>
          <w:szCs w:val="36"/>
          <w:rtl/>
        </w:rPr>
        <w:t>ذكر</w:t>
      </w:r>
      <w:r w:rsidR="00E8128F">
        <w:rPr>
          <w:sz w:val="36"/>
          <w:szCs w:val="36"/>
          <w:rtl/>
        </w:rPr>
        <w:t xml:space="preserve"> </w:t>
      </w:r>
      <w:r w:rsidR="00887122" w:rsidRPr="00FD211F">
        <w:rPr>
          <w:sz w:val="36"/>
          <w:szCs w:val="36"/>
          <w:rtl/>
        </w:rPr>
        <w:t>ويلزم</w:t>
      </w:r>
      <w:r w:rsidR="00E8128F">
        <w:rPr>
          <w:sz w:val="36"/>
          <w:szCs w:val="36"/>
          <w:rtl/>
        </w:rPr>
        <w:t xml:space="preserve"> </w:t>
      </w:r>
      <w:r w:rsidRPr="00FD211F">
        <w:rPr>
          <w:sz w:val="36"/>
          <w:szCs w:val="36"/>
          <w:rtl/>
        </w:rPr>
        <w:t>لأجله</w:t>
      </w:r>
      <w:r w:rsidR="00E8128F">
        <w:rPr>
          <w:sz w:val="36"/>
          <w:szCs w:val="36"/>
          <w:rtl/>
        </w:rPr>
        <w:t xml:space="preserve"> </w:t>
      </w:r>
      <w:r w:rsidRPr="00FD211F">
        <w:rPr>
          <w:sz w:val="36"/>
          <w:szCs w:val="36"/>
          <w:rtl/>
        </w:rPr>
        <w:t>خروج</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الالفاظ.</w:t>
      </w:r>
    </w:p>
    <w:p w14:paraId="10777D95" w14:textId="77777777" w:rsidR="000C5BBA" w:rsidRPr="00FD211F" w:rsidRDefault="00CF1591" w:rsidP="009C58C8">
      <w:pPr>
        <w:ind w:left="0" w:firstLine="227"/>
        <w:jc w:val="both"/>
        <w:rPr>
          <w:sz w:val="36"/>
          <w:szCs w:val="36"/>
          <w:rtl/>
        </w:rPr>
      </w:pPr>
      <w:bookmarkStart w:id="29" w:name="درس004دقيقه14"/>
      <w:bookmarkEnd w:id="29"/>
      <w:r w:rsidRPr="00FD211F">
        <w:rPr>
          <w:b/>
          <w:bCs/>
          <w:sz w:val="36"/>
          <w:szCs w:val="36"/>
          <w:rtl/>
        </w:rPr>
        <w:t>المحاول</w:t>
      </w:r>
      <w:r w:rsidR="00EC7EDF" w:rsidRPr="00FD211F">
        <w:rPr>
          <w:b/>
          <w:bCs/>
          <w:sz w:val="36"/>
          <w:szCs w:val="36"/>
          <w:rtl/>
        </w:rPr>
        <w:t>ة</w:t>
      </w:r>
      <w:r w:rsidR="00E8128F">
        <w:rPr>
          <w:b/>
          <w:bCs/>
          <w:sz w:val="36"/>
          <w:szCs w:val="36"/>
          <w:rtl/>
        </w:rPr>
        <w:t xml:space="preserve"> </w:t>
      </w:r>
      <w:r w:rsidRPr="00FD211F">
        <w:rPr>
          <w:b/>
          <w:bCs/>
          <w:sz w:val="36"/>
          <w:szCs w:val="36"/>
          <w:rtl/>
        </w:rPr>
        <w:t>الخامس</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003F0970" w:rsidRPr="00FD211F">
        <w:rPr>
          <w:sz w:val="36"/>
          <w:szCs w:val="36"/>
          <w:rtl/>
        </w:rPr>
        <w:t>ما</w:t>
      </w:r>
      <w:r w:rsidR="00E8128F">
        <w:rPr>
          <w:sz w:val="36"/>
          <w:szCs w:val="36"/>
          <w:rtl/>
        </w:rPr>
        <w:t xml:space="preserve"> </w:t>
      </w:r>
      <w:r w:rsidR="003F0970" w:rsidRPr="00FD211F">
        <w:rPr>
          <w:sz w:val="36"/>
          <w:szCs w:val="36"/>
          <w:rtl/>
        </w:rPr>
        <w:t>اخترناه</w:t>
      </w:r>
      <w:r w:rsidR="00E8128F">
        <w:rPr>
          <w:sz w:val="36"/>
          <w:szCs w:val="36"/>
          <w:rtl/>
        </w:rPr>
        <w:t xml:space="preserve"> </w:t>
      </w:r>
      <w:r w:rsidR="003F0970" w:rsidRPr="00FD211F">
        <w:rPr>
          <w:sz w:val="36"/>
          <w:szCs w:val="36"/>
          <w:rtl/>
        </w:rPr>
        <w:t>في</w:t>
      </w:r>
      <w:r w:rsidR="00E8128F">
        <w:rPr>
          <w:sz w:val="36"/>
          <w:szCs w:val="36"/>
          <w:rtl/>
        </w:rPr>
        <w:t xml:space="preserve"> </w:t>
      </w:r>
      <w:r w:rsidR="003F0970" w:rsidRPr="00FD211F">
        <w:rPr>
          <w:sz w:val="36"/>
          <w:szCs w:val="36"/>
          <w:rtl/>
        </w:rPr>
        <w:t>الدور</w:t>
      </w:r>
      <w:r w:rsidR="00EC7EDF" w:rsidRPr="00FD211F">
        <w:rPr>
          <w:sz w:val="36"/>
          <w:szCs w:val="36"/>
          <w:rtl/>
        </w:rPr>
        <w:t>ة</w:t>
      </w:r>
      <w:r w:rsidR="00E8128F">
        <w:rPr>
          <w:sz w:val="36"/>
          <w:szCs w:val="36"/>
          <w:rtl/>
        </w:rPr>
        <w:t xml:space="preserve"> </w:t>
      </w:r>
      <w:r w:rsidR="003F0970" w:rsidRPr="00FD211F">
        <w:rPr>
          <w:sz w:val="36"/>
          <w:szCs w:val="36"/>
          <w:rtl/>
        </w:rPr>
        <w:t>السابق</w:t>
      </w:r>
      <w:r w:rsidR="00EC7EDF" w:rsidRPr="00FD211F">
        <w:rPr>
          <w:sz w:val="36"/>
          <w:szCs w:val="36"/>
          <w:rtl/>
        </w:rPr>
        <w:t>ة</w:t>
      </w:r>
      <w:r w:rsidR="00E8128F">
        <w:rPr>
          <w:sz w:val="36"/>
          <w:szCs w:val="36"/>
          <w:rtl/>
        </w:rPr>
        <w:t xml:space="preserve"> </w:t>
      </w:r>
      <w:r w:rsidR="003F0970"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هو</w:t>
      </w:r>
      <w:r w:rsidR="00E8128F">
        <w:rPr>
          <w:sz w:val="36"/>
          <w:szCs w:val="36"/>
          <w:rtl/>
        </w:rPr>
        <w:t xml:space="preserve"> </w:t>
      </w:r>
      <w:r w:rsidR="00D270B6" w:rsidRPr="00FD211F">
        <w:rPr>
          <w:sz w:val="36"/>
          <w:szCs w:val="36"/>
          <w:rtl/>
        </w:rPr>
        <w:t>"</w:t>
      </w:r>
      <w:r w:rsidRPr="00FD211F">
        <w:rPr>
          <w:sz w:val="36"/>
          <w:szCs w:val="36"/>
          <w:rtl/>
        </w:rPr>
        <w:t>القواعد</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تقع</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استنباط</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بشرط</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تمهيد</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آخر</w:t>
      </w:r>
      <w:r w:rsidR="00E8128F">
        <w:rPr>
          <w:sz w:val="36"/>
          <w:szCs w:val="36"/>
          <w:rtl/>
        </w:rPr>
        <w:t xml:space="preserve"> </w:t>
      </w:r>
      <w:r w:rsidR="00D270B6" w:rsidRPr="00FD211F">
        <w:rPr>
          <w:sz w:val="36"/>
          <w:szCs w:val="36"/>
          <w:rtl/>
        </w:rPr>
        <w:t>لها"</w:t>
      </w:r>
      <w:r w:rsidR="00E8128F">
        <w:rPr>
          <w:sz w:val="36"/>
          <w:szCs w:val="36"/>
          <w:rtl/>
        </w:rPr>
        <w:t xml:space="preserve"> </w:t>
      </w:r>
      <w:r w:rsidR="003F0970" w:rsidRPr="00FD211F">
        <w:rPr>
          <w:sz w:val="36"/>
          <w:szCs w:val="36"/>
          <w:rtl/>
        </w:rPr>
        <w:t>وذلك</w:t>
      </w:r>
      <w:r w:rsidR="00E8128F">
        <w:rPr>
          <w:sz w:val="36"/>
          <w:szCs w:val="36"/>
          <w:rtl/>
        </w:rPr>
        <w:t xml:space="preserve"> </w:t>
      </w:r>
      <w:r w:rsidR="003F0970" w:rsidRPr="00FD211F">
        <w:rPr>
          <w:sz w:val="36"/>
          <w:szCs w:val="36"/>
          <w:rtl/>
        </w:rPr>
        <w:t>لانه</w:t>
      </w:r>
      <w:r w:rsidR="00E8128F">
        <w:rPr>
          <w:sz w:val="36"/>
          <w:szCs w:val="36"/>
          <w:rtl/>
        </w:rPr>
        <w:t xml:space="preserve"> </w:t>
      </w:r>
      <w:r w:rsidR="00851958" w:rsidRPr="00FD211F">
        <w:rPr>
          <w:sz w:val="36"/>
          <w:szCs w:val="36"/>
          <w:rtl/>
        </w:rPr>
        <w:t>لابد</w:t>
      </w:r>
      <w:r w:rsidR="00E8128F">
        <w:rPr>
          <w:sz w:val="36"/>
          <w:szCs w:val="36"/>
          <w:rtl/>
        </w:rPr>
        <w:t xml:space="preserve"> </w:t>
      </w:r>
      <w:r w:rsidR="00851958" w:rsidRPr="00FD211F">
        <w:rPr>
          <w:sz w:val="36"/>
          <w:szCs w:val="36"/>
          <w:rtl/>
        </w:rPr>
        <w:t>في</w:t>
      </w:r>
      <w:r w:rsidR="00E8128F">
        <w:rPr>
          <w:sz w:val="36"/>
          <w:szCs w:val="36"/>
          <w:rtl/>
        </w:rPr>
        <w:t xml:space="preserve"> </w:t>
      </w:r>
      <w:r w:rsidR="00851958" w:rsidRPr="00FD211F">
        <w:rPr>
          <w:sz w:val="36"/>
          <w:szCs w:val="36"/>
          <w:rtl/>
        </w:rPr>
        <w:t>تحديد</w:t>
      </w:r>
      <w:r w:rsidR="00E8128F">
        <w:rPr>
          <w:sz w:val="36"/>
          <w:szCs w:val="36"/>
          <w:rtl/>
        </w:rPr>
        <w:t xml:space="preserve"> </w:t>
      </w:r>
      <w:r w:rsidR="00851958" w:rsidRPr="00FD211F">
        <w:rPr>
          <w:sz w:val="36"/>
          <w:szCs w:val="36"/>
          <w:rtl/>
        </w:rPr>
        <w:t>مسائل</w:t>
      </w:r>
      <w:r w:rsidR="00E8128F">
        <w:rPr>
          <w:sz w:val="36"/>
          <w:szCs w:val="36"/>
          <w:rtl/>
        </w:rPr>
        <w:t xml:space="preserve"> </w:t>
      </w:r>
      <w:r w:rsidR="00851958" w:rsidRPr="00FD211F">
        <w:rPr>
          <w:sz w:val="36"/>
          <w:szCs w:val="36"/>
          <w:rtl/>
        </w:rPr>
        <w:t>اي</w:t>
      </w:r>
      <w:r w:rsidR="00E8128F">
        <w:rPr>
          <w:sz w:val="36"/>
          <w:szCs w:val="36"/>
          <w:rtl/>
        </w:rPr>
        <w:t xml:space="preserve"> </w:t>
      </w:r>
      <w:r w:rsidR="00851958" w:rsidRPr="00FD211F">
        <w:rPr>
          <w:sz w:val="36"/>
          <w:szCs w:val="36"/>
          <w:rtl/>
        </w:rPr>
        <w:t>علم</w:t>
      </w:r>
      <w:r w:rsidR="00E8128F">
        <w:rPr>
          <w:sz w:val="36"/>
          <w:szCs w:val="36"/>
          <w:rtl/>
        </w:rPr>
        <w:t xml:space="preserve"> </w:t>
      </w:r>
      <w:r w:rsidR="00851958" w:rsidRPr="00FD211F">
        <w:rPr>
          <w:sz w:val="36"/>
          <w:szCs w:val="36"/>
          <w:rtl/>
        </w:rPr>
        <w:t>من</w:t>
      </w:r>
      <w:r w:rsidR="00E8128F">
        <w:rPr>
          <w:sz w:val="36"/>
          <w:szCs w:val="36"/>
          <w:rtl/>
        </w:rPr>
        <w:t xml:space="preserve"> </w:t>
      </w:r>
      <w:r w:rsidR="00851958" w:rsidRPr="00FD211F">
        <w:rPr>
          <w:sz w:val="36"/>
          <w:szCs w:val="36"/>
          <w:rtl/>
        </w:rPr>
        <w:t>ملاحظ</w:t>
      </w:r>
      <w:r w:rsidR="00EC7EDF" w:rsidRPr="00FD211F">
        <w:rPr>
          <w:sz w:val="36"/>
          <w:szCs w:val="36"/>
          <w:rtl/>
        </w:rPr>
        <w:t>ة</w:t>
      </w:r>
      <w:r w:rsidR="00E8128F">
        <w:rPr>
          <w:sz w:val="36"/>
          <w:szCs w:val="36"/>
          <w:rtl/>
        </w:rPr>
        <w:t xml:space="preserve"> </w:t>
      </w:r>
      <w:r w:rsidR="00851958" w:rsidRPr="00FD211F">
        <w:rPr>
          <w:sz w:val="36"/>
          <w:szCs w:val="36"/>
          <w:rtl/>
        </w:rPr>
        <w:t>عرض</w:t>
      </w:r>
      <w:r w:rsidR="00E8128F">
        <w:rPr>
          <w:sz w:val="36"/>
          <w:szCs w:val="36"/>
          <w:rtl/>
        </w:rPr>
        <w:t xml:space="preserve"> </w:t>
      </w:r>
      <w:r w:rsidR="00851958" w:rsidRPr="00FD211F">
        <w:rPr>
          <w:sz w:val="36"/>
          <w:szCs w:val="36"/>
          <w:rtl/>
        </w:rPr>
        <w:t>التدوين</w:t>
      </w:r>
      <w:r w:rsidR="00E8128F">
        <w:rPr>
          <w:sz w:val="36"/>
          <w:szCs w:val="36"/>
          <w:rtl/>
        </w:rPr>
        <w:t xml:space="preserve"> </w:t>
      </w:r>
      <w:r w:rsidR="00851958" w:rsidRPr="00FD211F">
        <w:rPr>
          <w:sz w:val="36"/>
          <w:szCs w:val="36"/>
          <w:rtl/>
        </w:rPr>
        <w:t>منه</w:t>
      </w:r>
      <w:r w:rsidR="00603323" w:rsidRPr="00FD211F">
        <w:rPr>
          <w:sz w:val="36"/>
          <w:szCs w:val="36"/>
          <w:rtl/>
        </w:rPr>
        <w:t>،</w:t>
      </w:r>
      <w:r w:rsidR="00E8128F">
        <w:rPr>
          <w:sz w:val="36"/>
          <w:szCs w:val="36"/>
          <w:rtl/>
        </w:rPr>
        <w:t xml:space="preserve"> </w:t>
      </w:r>
      <w:r w:rsidR="00851958" w:rsidRPr="00FD211F">
        <w:rPr>
          <w:sz w:val="36"/>
          <w:szCs w:val="36"/>
          <w:rtl/>
        </w:rPr>
        <w:t>فانه</w:t>
      </w:r>
      <w:r w:rsidR="00E8128F">
        <w:rPr>
          <w:sz w:val="36"/>
          <w:szCs w:val="36"/>
          <w:rtl/>
        </w:rPr>
        <w:t xml:space="preserve"> </w:t>
      </w:r>
      <w:r w:rsidR="00851958" w:rsidRPr="00FD211F">
        <w:rPr>
          <w:sz w:val="36"/>
          <w:szCs w:val="36"/>
          <w:rtl/>
        </w:rPr>
        <w:t>ليس</w:t>
      </w:r>
      <w:r w:rsidR="00E8128F">
        <w:rPr>
          <w:sz w:val="36"/>
          <w:szCs w:val="36"/>
          <w:rtl/>
        </w:rPr>
        <w:t xml:space="preserve"> </w:t>
      </w:r>
      <w:r w:rsidR="00851958" w:rsidRPr="00FD211F">
        <w:rPr>
          <w:sz w:val="36"/>
          <w:szCs w:val="36"/>
          <w:rtl/>
        </w:rPr>
        <w:t>ذلك</w:t>
      </w:r>
      <w:r w:rsidR="00E8128F">
        <w:rPr>
          <w:sz w:val="36"/>
          <w:szCs w:val="36"/>
          <w:rtl/>
        </w:rPr>
        <w:t xml:space="preserve"> </w:t>
      </w:r>
      <w:r w:rsidR="00851958" w:rsidRPr="00FD211F">
        <w:rPr>
          <w:sz w:val="36"/>
          <w:szCs w:val="36"/>
          <w:rtl/>
        </w:rPr>
        <w:t>تابعا</w:t>
      </w:r>
      <w:r w:rsidR="00E8128F">
        <w:rPr>
          <w:sz w:val="36"/>
          <w:szCs w:val="36"/>
          <w:rtl/>
        </w:rPr>
        <w:t xml:space="preserve"> </w:t>
      </w:r>
      <w:r w:rsidR="00851958" w:rsidRPr="00FD211F">
        <w:rPr>
          <w:sz w:val="36"/>
          <w:szCs w:val="36"/>
          <w:rtl/>
        </w:rPr>
        <w:t>للبرهان</w:t>
      </w:r>
      <w:r w:rsidR="00603323" w:rsidRPr="00FD211F">
        <w:rPr>
          <w:sz w:val="36"/>
          <w:szCs w:val="36"/>
          <w:rtl/>
        </w:rPr>
        <w:t>،</w:t>
      </w:r>
      <w:r w:rsidR="00E8128F">
        <w:rPr>
          <w:sz w:val="36"/>
          <w:szCs w:val="36"/>
          <w:rtl/>
        </w:rPr>
        <w:t xml:space="preserve"> </w:t>
      </w:r>
      <w:r w:rsidR="00851958" w:rsidRPr="00FD211F">
        <w:rPr>
          <w:sz w:val="36"/>
          <w:szCs w:val="36"/>
          <w:rtl/>
        </w:rPr>
        <w:t>وحيث</w:t>
      </w:r>
      <w:r w:rsidR="00E8128F">
        <w:rPr>
          <w:sz w:val="36"/>
          <w:szCs w:val="36"/>
          <w:rtl/>
        </w:rPr>
        <w:t xml:space="preserve"> </w:t>
      </w:r>
      <w:r w:rsidR="00851958" w:rsidRPr="00FD211F">
        <w:rPr>
          <w:sz w:val="36"/>
          <w:szCs w:val="36"/>
          <w:rtl/>
        </w:rPr>
        <w:t>ان</w:t>
      </w:r>
      <w:r w:rsidR="00E8128F">
        <w:rPr>
          <w:sz w:val="36"/>
          <w:szCs w:val="36"/>
          <w:rtl/>
        </w:rPr>
        <w:t xml:space="preserve"> </w:t>
      </w:r>
      <w:r w:rsidR="00851958" w:rsidRPr="00FD211F">
        <w:rPr>
          <w:sz w:val="36"/>
          <w:szCs w:val="36"/>
          <w:rtl/>
        </w:rPr>
        <w:t>غرض</w:t>
      </w:r>
      <w:r w:rsidR="00E8128F">
        <w:rPr>
          <w:sz w:val="36"/>
          <w:szCs w:val="36"/>
          <w:rtl/>
        </w:rPr>
        <w:t xml:space="preserve"> </w:t>
      </w:r>
      <w:r w:rsidR="00851958" w:rsidRPr="00FD211F">
        <w:rPr>
          <w:sz w:val="36"/>
          <w:szCs w:val="36"/>
          <w:rtl/>
        </w:rPr>
        <w:t>المدو</w:t>
      </w:r>
      <w:r w:rsidR="003E5ACF" w:rsidRPr="00FD211F">
        <w:rPr>
          <w:sz w:val="36"/>
          <w:szCs w:val="36"/>
          <w:rtl/>
        </w:rPr>
        <w:t>ِّ</w:t>
      </w:r>
      <w:r w:rsidR="00851958" w:rsidRPr="00FD211F">
        <w:rPr>
          <w:sz w:val="36"/>
          <w:szCs w:val="36"/>
          <w:rtl/>
        </w:rPr>
        <w:t>ن</w:t>
      </w:r>
      <w:r w:rsidR="00E8128F">
        <w:rPr>
          <w:sz w:val="36"/>
          <w:szCs w:val="36"/>
          <w:rtl/>
        </w:rPr>
        <w:t xml:space="preserve"> </w:t>
      </w:r>
      <w:r w:rsidR="00851958" w:rsidRPr="00FD211F">
        <w:rPr>
          <w:sz w:val="36"/>
          <w:szCs w:val="36"/>
          <w:rtl/>
        </w:rPr>
        <w:t>من</w:t>
      </w:r>
      <w:r w:rsidR="00E8128F">
        <w:rPr>
          <w:sz w:val="36"/>
          <w:szCs w:val="36"/>
          <w:rtl/>
        </w:rPr>
        <w:t xml:space="preserve"> </w:t>
      </w:r>
      <w:r w:rsidR="00851958" w:rsidRPr="00FD211F">
        <w:rPr>
          <w:sz w:val="36"/>
          <w:szCs w:val="36"/>
          <w:rtl/>
        </w:rPr>
        <w:t>الاول</w:t>
      </w:r>
      <w:r w:rsidR="00E8128F">
        <w:rPr>
          <w:sz w:val="36"/>
          <w:szCs w:val="36"/>
          <w:rtl/>
        </w:rPr>
        <w:t xml:space="preserve"> </w:t>
      </w:r>
      <w:r w:rsidR="00851958" w:rsidRPr="00FD211F">
        <w:rPr>
          <w:sz w:val="36"/>
          <w:szCs w:val="36"/>
          <w:rtl/>
        </w:rPr>
        <w:t>خروج</w:t>
      </w:r>
      <w:r w:rsidR="00E8128F">
        <w:rPr>
          <w:sz w:val="36"/>
          <w:szCs w:val="36"/>
          <w:rtl/>
        </w:rPr>
        <w:t xml:space="preserve"> </w:t>
      </w:r>
      <w:r w:rsidR="00851958" w:rsidRPr="00FD211F">
        <w:rPr>
          <w:sz w:val="36"/>
          <w:szCs w:val="36"/>
          <w:rtl/>
        </w:rPr>
        <w:t>مباحث</w:t>
      </w:r>
      <w:r w:rsidR="00E8128F">
        <w:rPr>
          <w:sz w:val="36"/>
          <w:szCs w:val="36"/>
          <w:rtl/>
        </w:rPr>
        <w:t xml:space="preserve"> </w:t>
      </w:r>
      <w:r w:rsidR="00851958" w:rsidRPr="00FD211F">
        <w:rPr>
          <w:sz w:val="36"/>
          <w:szCs w:val="36"/>
          <w:rtl/>
        </w:rPr>
        <w:t>المنطق</w:t>
      </w:r>
      <w:r w:rsidR="00E8128F">
        <w:rPr>
          <w:sz w:val="36"/>
          <w:szCs w:val="36"/>
          <w:rtl/>
        </w:rPr>
        <w:t xml:space="preserve"> </w:t>
      </w:r>
      <w:r w:rsidR="00851958" w:rsidRPr="00FD211F">
        <w:rPr>
          <w:sz w:val="36"/>
          <w:szCs w:val="36"/>
          <w:rtl/>
        </w:rPr>
        <w:t>واللغ</w:t>
      </w:r>
      <w:r w:rsidR="00EC7EDF" w:rsidRPr="00FD211F">
        <w:rPr>
          <w:sz w:val="36"/>
          <w:szCs w:val="36"/>
          <w:rtl/>
        </w:rPr>
        <w:t>ة</w:t>
      </w:r>
      <w:r w:rsidR="00E8128F">
        <w:rPr>
          <w:sz w:val="36"/>
          <w:szCs w:val="36"/>
          <w:rtl/>
        </w:rPr>
        <w:t xml:space="preserve"> </w:t>
      </w:r>
      <w:r w:rsidR="00851958" w:rsidRPr="00FD211F">
        <w:rPr>
          <w:sz w:val="36"/>
          <w:szCs w:val="36"/>
          <w:rtl/>
        </w:rPr>
        <w:t>والرجال</w:t>
      </w:r>
      <w:r w:rsidR="00E8128F">
        <w:rPr>
          <w:sz w:val="36"/>
          <w:szCs w:val="36"/>
          <w:rtl/>
        </w:rPr>
        <w:t xml:space="preserve"> </w:t>
      </w:r>
      <w:r w:rsidR="00851958" w:rsidRPr="00FD211F">
        <w:rPr>
          <w:sz w:val="36"/>
          <w:szCs w:val="36"/>
          <w:rtl/>
        </w:rPr>
        <w:t>عن</w:t>
      </w:r>
      <w:r w:rsidR="00E8128F">
        <w:rPr>
          <w:sz w:val="36"/>
          <w:szCs w:val="36"/>
          <w:rtl/>
        </w:rPr>
        <w:t xml:space="preserve"> </w:t>
      </w:r>
      <w:r w:rsidR="00851958" w:rsidRPr="00FD211F">
        <w:rPr>
          <w:sz w:val="36"/>
          <w:szCs w:val="36"/>
          <w:rtl/>
        </w:rPr>
        <w:t>علم</w:t>
      </w:r>
      <w:r w:rsidR="00E8128F">
        <w:rPr>
          <w:sz w:val="36"/>
          <w:szCs w:val="36"/>
          <w:rtl/>
        </w:rPr>
        <w:t xml:space="preserve"> </w:t>
      </w:r>
      <w:r w:rsidR="00851958" w:rsidRPr="00FD211F">
        <w:rPr>
          <w:sz w:val="36"/>
          <w:szCs w:val="36"/>
          <w:rtl/>
        </w:rPr>
        <w:t>الاصول</w:t>
      </w:r>
      <w:r w:rsidR="00603323" w:rsidRPr="00FD211F">
        <w:rPr>
          <w:sz w:val="36"/>
          <w:szCs w:val="36"/>
          <w:rtl/>
        </w:rPr>
        <w:t>،</w:t>
      </w:r>
      <w:r w:rsidR="00E8128F">
        <w:rPr>
          <w:sz w:val="36"/>
          <w:szCs w:val="36"/>
          <w:rtl/>
        </w:rPr>
        <w:t xml:space="preserve"> </w:t>
      </w:r>
      <w:r w:rsidR="00851958" w:rsidRPr="00FD211F">
        <w:rPr>
          <w:sz w:val="36"/>
          <w:szCs w:val="36"/>
          <w:rtl/>
        </w:rPr>
        <w:t>لأجل</w:t>
      </w:r>
      <w:r w:rsidR="00E8128F">
        <w:rPr>
          <w:sz w:val="36"/>
          <w:szCs w:val="36"/>
          <w:rtl/>
        </w:rPr>
        <w:t xml:space="preserve"> </w:t>
      </w:r>
      <w:r w:rsidR="00851958" w:rsidRPr="00FD211F">
        <w:rPr>
          <w:sz w:val="36"/>
          <w:szCs w:val="36"/>
          <w:rtl/>
        </w:rPr>
        <w:t>انه</w:t>
      </w:r>
      <w:r w:rsidR="00E8128F">
        <w:rPr>
          <w:sz w:val="36"/>
          <w:szCs w:val="36"/>
          <w:rtl/>
        </w:rPr>
        <w:t xml:space="preserve"> </w:t>
      </w:r>
      <w:r w:rsidR="00851958" w:rsidRPr="00FD211F">
        <w:rPr>
          <w:sz w:val="36"/>
          <w:szCs w:val="36"/>
          <w:rtl/>
        </w:rPr>
        <w:t>قد</w:t>
      </w:r>
      <w:r w:rsidR="00E8128F">
        <w:rPr>
          <w:sz w:val="36"/>
          <w:szCs w:val="36"/>
          <w:rtl/>
        </w:rPr>
        <w:t xml:space="preserve"> </w:t>
      </w:r>
      <w:r w:rsidR="00851958" w:rsidRPr="00FD211F">
        <w:rPr>
          <w:sz w:val="36"/>
          <w:szCs w:val="36"/>
          <w:rtl/>
        </w:rPr>
        <w:t>مُهّ</w:t>
      </w:r>
      <w:r w:rsidR="003E5ACF" w:rsidRPr="00FD211F">
        <w:rPr>
          <w:sz w:val="36"/>
          <w:szCs w:val="36"/>
          <w:rtl/>
        </w:rPr>
        <w:t>ِ</w:t>
      </w:r>
      <w:r w:rsidR="00851958" w:rsidRPr="00FD211F">
        <w:rPr>
          <w:sz w:val="36"/>
          <w:szCs w:val="36"/>
          <w:rtl/>
        </w:rPr>
        <w:t>د</w:t>
      </w:r>
      <w:r w:rsidR="00E8128F">
        <w:rPr>
          <w:sz w:val="36"/>
          <w:szCs w:val="36"/>
          <w:rtl/>
        </w:rPr>
        <w:t xml:space="preserve"> </w:t>
      </w:r>
      <w:r w:rsidR="00851958" w:rsidRPr="00FD211F">
        <w:rPr>
          <w:sz w:val="36"/>
          <w:szCs w:val="36"/>
          <w:rtl/>
        </w:rPr>
        <w:t>علم</w:t>
      </w:r>
      <w:r w:rsidR="00E8128F">
        <w:rPr>
          <w:sz w:val="36"/>
          <w:szCs w:val="36"/>
          <w:rtl/>
        </w:rPr>
        <w:t xml:space="preserve"> </w:t>
      </w:r>
      <w:r w:rsidR="00851958" w:rsidRPr="00FD211F">
        <w:rPr>
          <w:sz w:val="36"/>
          <w:szCs w:val="36"/>
          <w:rtl/>
        </w:rPr>
        <w:t>آخر</w:t>
      </w:r>
      <w:r w:rsidR="00E8128F">
        <w:rPr>
          <w:sz w:val="36"/>
          <w:szCs w:val="36"/>
          <w:rtl/>
        </w:rPr>
        <w:t xml:space="preserve"> </w:t>
      </w:r>
      <w:r w:rsidR="00851958" w:rsidRPr="00FD211F">
        <w:rPr>
          <w:sz w:val="36"/>
          <w:szCs w:val="36"/>
          <w:rtl/>
        </w:rPr>
        <w:t>لها</w:t>
      </w:r>
      <w:r w:rsidR="00E8128F">
        <w:rPr>
          <w:sz w:val="36"/>
          <w:szCs w:val="36"/>
          <w:rtl/>
        </w:rPr>
        <w:t xml:space="preserve"> </w:t>
      </w:r>
      <w:r w:rsidR="00851958" w:rsidRPr="00FD211F">
        <w:rPr>
          <w:sz w:val="36"/>
          <w:szCs w:val="36"/>
          <w:rtl/>
        </w:rPr>
        <w:t>فتكون</w:t>
      </w:r>
      <w:r w:rsidR="00E8128F">
        <w:rPr>
          <w:sz w:val="36"/>
          <w:szCs w:val="36"/>
          <w:rtl/>
        </w:rPr>
        <w:t xml:space="preserve"> </w:t>
      </w:r>
      <w:r w:rsidR="00851958" w:rsidRPr="00FD211F">
        <w:rPr>
          <w:sz w:val="36"/>
          <w:szCs w:val="36"/>
          <w:rtl/>
        </w:rPr>
        <w:t>خارج</w:t>
      </w:r>
      <w:r w:rsidR="00EC7EDF" w:rsidRPr="00FD211F">
        <w:rPr>
          <w:sz w:val="36"/>
          <w:szCs w:val="36"/>
          <w:rtl/>
        </w:rPr>
        <w:t>ة</w:t>
      </w:r>
      <w:r w:rsidR="00E8128F">
        <w:rPr>
          <w:sz w:val="36"/>
          <w:szCs w:val="36"/>
          <w:rtl/>
        </w:rPr>
        <w:t xml:space="preserve"> </w:t>
      </w:r>
      <w:r w:rsidR="00851958" w:rsidRPr="00FD211F">
        <w:rPr>
          <w:sz w:val="36"/>
          <w:szCs w:val="36"/>
          <w:rtl/>
        </w:rPr>
        <w:t>عن</w:t>
      </w:r>
      <w:r w:rsidR="00E8128F">
        <w:rPr>
          <w:sz w:val="36"/>
          <w:szCs w:val="36"/>
          <w:rtl/>
        </w:rPr>
        <w:t xml:space="preserve"> </w:t>
      </w:r>
      <w:r w:rsidR="00851958" w:rsidRPr="00FD211F">
        <w:rPr>
          <w:sz w:val="36"/>
          <w:szCs w:val="36"/>
          <w:rtl/>
        </w:rPr>
        <w:t>علم</w:t>
      </w:r>
      <w:r w:rsidR="00E8128F">
        <w:rPr>
          <w:sz w:val="36"/>
          <w:szCs w:val="36"/>
          <w:rtl/>
        </w:rPr>
        <w:t xml:space="preserve"> </w:t>
      </w:r>
      <w:r w:rsidR="00851958" w:rsidRPr="00FD211F">
        <w:rPr>
          <w:sz w:val="36"/>
          <w:szCs w:val="36"/>
          <w:rtl/>
        </w:rPr>
        <w:t>الاصول</w:t>
      </w:r>
      <w:r w:rsidR="00603323" w:rsidRPr="00FD211F">
        <w:rPr>
          <w:sz w:val="36"/>
          <w:szCs w:val="36"/>
          <w:rtl/>
        </w:rPr>
        <w:t>،</w:t>
      </w:r>
      <w:r w:rsidR="00E8128F">
        <w:rPr>
          <w:sz w:val="36"/>
          <w:szCs w:val="36"/>
          <w:rtl/>
        </w:rPr>
        <w:t xml:space="preserve"> </w:t>
      </w:r>
      <w:r w:rsidR="00851958" w:rsidRPr="00FD211F">
        <w:rPr>
          <w:sz w:val="36"/>
          <w:szCs w:val="36"/>
          <w:rtl/>
        </w:rPr>
        <w:t>وأما</w:t>
      </w:r>
      <w:r w:rsidR="00E8128F">
        <w:rPr>
          <w:sz w:val="36"/>
          <w:szCs w:val="36"/>
          <w:rtl/>
        </w:rPr>
        <w:t xml:space="preserve"> </w:t>
      </w:r>
      <w:r w:rsidR="00851958" w:rsidRPr="00FD211F">
        <w:rPr>
          <w:sz w:val="36"/>
          <w:szCs w:val="36"/>
          <w:rtl/>
        </w:rPr>
        <w:t>مثل</w:t>
      </w:r>
      <w:r w:rsidR="00E8128F">
        <w:rPr>
          <w:sz w:val="36"/>
          <w:szCs w:val="36"/>
          <w:rtl/>
        </w:rPr>
        <w:t xml:space="preserve"> </w:t>
      </w:r>
      <w:r w:rsidR="00851958" w:rsidRPr="00FD211F">
        <w:rPr>
          <w:sz w:val="36"/>
          <w:szCs w:val="36"/>
          <w:rtl/>
        </w:rPr>
        <w:t>مباحث</w:t>
      </w:r>
      <w:r w:rsidR="00E8128F">
        <w:rPr>
          <w:sz w:val="36"/>
          <w:szCs w:val="36"/>
          <w:rtl/>
        </w:rPr>
        <w:t xml:space="preserve"> </w:t>
      </w:r>
      <w:r w:rsidR="00851958" w:rsidRPr="00FD211F">
        <w:rPr>
          <w:sz w:val="36"/>
          <w:szCs w:val="36"/>
          <w:rtl/>
        </w:rPr>
        <w:t>المشتق</w:t>
      </w:r>
      <w:r w:rsidR="00E8128F">
        <w:rPr>
          <w:sz w:val="36"/>
          <w:szCs w:val="36"/>
          <w:rtl/>
        </w:rPr>
        <w:t xml:space="preserve"> </w:t>
      </w:r>
      <w:r w:rsidR="00851958" w:rsidRPr="00FD211F">
        <w:rPr>
          <w:sz w:val="36"/>
          <w:szCs w:val="36"/>
          <w:rtl/>
        </w:rPr>
        <w:t>والصحيح</w:t>
      </w:r>
      <w:r w:rsidR="00E8128F">
        <w:rPr>
          <w:sz w:val="36"/>
          <w:szCs w:val="36"/>
          <w:rtl/>
        </w:rPr>
        <w:t xml:space="preserve"> </w:t>
      </w:r>
      <w:r w:rsidR="00851958" w:rsidRPr="00FD211F">
        <w:rPr>
          <w:sz w:val="36"/>
          <w:szCs w:val="36"/>
          <w:rtl/>
        </w:rPr>
        <w:t>والأعم</w:t>
      </w:r>
      <w:r w:rsidR="00E8128F">
        <w:rPr>
          <w:sz w:val="36"/>
          <w:szCs w:val="36"/>
          <w:rtl/>
        </w:rPr>
        <w:t xml:space="preserve"> </w:t>
      </w:r>
      <w:r w:rsidR="00851958" w:rsidRPr="00FD211F">
        <w:rPr>
          <w:sz w:val="36"/>
          <w:szCs w:val="36"/>
          <w:rtl/>
        </w:rPr>
        <w:t>ونحوهما</w:t>
      </w:r>
      <w:r w:rsidR="00E8128F">
        <w:rPr>
          <w:sz w:val="36"/>
          <w:szCs w:val="36"/>
          <w:rtl/>
        </w:rPr>
        <w:t xml:space="preserve"> </w:t>
      </w:r>
      <w:r w:rsidR="00851958" w:rsidRPr="00FD211F">
        <w:rPr>
          <w:sz w:val="36"/>
          <w:szCs w:val="36"/>
          <w:rtl/>
        </w:rPr>
        <w:t>فحيث</w:t>
      </w:r>
      <w:r w:rsidR="00E8128F">
        <w:rPr>
          <w:sz w:val="36"/>
          <w:szCs w:val="36"/>
          <w:rtl/>
        </w:rPr>
        <w:t xml:space="preserve"> </w:t>
      </w:r>
      <w:r w:rsidR="008D7B3D" w:rsidRPr="00FD211F">
        <w:rPr>
          <w:sz w:val="36"/>
          <w:szCs w:val="36"/>
          <w:rtl/>
        </w:rPr>
        <w:t>لم‌</w:t>
      </w:r>
      <w:r w:rsidR="00851958" w:rsidRPr="00FD211F">
        <w:rPr>
          <w:sz w:val="36"/>
          <w:szCs w:val="36"/>
          <w:rtl/>
        </w:rPr>
        <w:t>يمه</w:t>
      </w:r>
      <w:r w:rsidR="003E5ACF" w:rsidRPr="00FD211F">
        <w:rPr>
          <w:sz w:val="36"/>
          <w:szCs w:val="36"/>
          <w:rtl/>
        </w:rPr>
        <w:t>َّ</w:t>
      </w:r>
      <w:r w:rsidR="00851958" w:rsidRPr="00FD211F">
        <w:rPr>
          <w:sz w:val="36"/>
          <w:szCs w:val="36"/>
          <w:rtl/>
        </w:rPr>
        <w:t>د</w:t>
      </w:r>
      <w:r w:rsidR="00E8128F">
        <w:rPr>
          <w:sz w:val="36"/>
          <w:szCs w:val="36"/>
          <w:rtl/>
        </w:rPr>
        <w:t xml:space="preserve"> </w:t>
      </w:r>
      <w:r w:rsidR="00851958" w:rsidRPr="00FD211F">
        <w:rPr>
          <w:sz w:val="36"/>
          <w:szCs w:val="36"/>
          <w:rtl/>
        </w:rPr>
        <w:t>علم</w:t>
      </w:r>
      <w:r w:rsidR="00E8128F">
        <w:rPr>
          <w:sz w:val="36"/>
          <w:szCs w:val="36"/>
          <w:rtl/>
        </w:rPr>
        <w:t xml:space="preserve"> </w:t>
      </w:r>
      <w:r w:rsidR="00851958" w:rsidRPr="00FD211F">
        <w:rPr>
          <w:sz w:val="36"/>
          <w:szCs w:val="36"/>
          <w:rtl/>
        </w:rPr>
        <w:t>آخر</w:t>
      </w:r>
      <w:r w:rsidR="00E8128F">
        <w:rPr>
          <w:sz w:val="36"/>
          <w:szCs w:val="36"/>
          <w:rtl/>
        </w:rPr>
        <w:t xml:space="preserve"> </w:t>
      </w:r>
      <w:r w:rsidR="00851958" w:rsidRPr="00FD211F">
        <w:rPr>
          <w:sz w:val="36"/>
          <w:szCs w:val="36"/>
          <w:rtl/>
        </w:rPr>
        <w:t>للبحث</w:t>
      </w:r>
      <w:r w:rsidR="00E8128F">
        <w:rPr>
          <w:sz w:val="36"/>
          <w:szCs w:val="36"/>
          <w:rtl/>
        </w:rPr>
        <w:t xml:space="preserve"> </w:t>
      </w:r>
      <w:r w:rsidR="003E5ACF" w:rsidRPr="00FD211F">
        <w:rPr>
          <w:sz w:val="36"/>
          <w:szCs w:val="36"/>
          <w:rtl/>
        </w:rPr>
        <w:t>عنها</w:t>
      </w:r>
      <w:r w:rsidR="00E8128F">
        <w:rPr>
          <w:sz w:val="36"/>
          <w:szCs w:val="36"/>
          <w:rtl/>
        </w:rPr>
        <w:t xml:space="preserve"> </w:t>
      </w:r>
      <w:r w:rsidR="003E5ACF" w:rsidRPr="00FD211F">
        <w:rPr>
          <w:sz w:val="36"/>
          <w:szCs w:val="36"/>
          <w:rtl/>
        </w:rPr>
        <w:t>فتكون</w:t>
      </w:r>
      <w:r w:rsidR="00E8128F">
        <w:rPr>
          <w:sz w:val="36"/>
          <w:szCs w:val="36"/>
          <w:rtl/>
        </w:rPr>
        <w:t xml:space="preserve"> </w:t>
      </w:r>
      <w:r w:rsidR="003E5ACF" w:rsidRPr="00FD211F">
        <w:rPr>
          <w:sz w:val="36"/>
          <w:szCs w:val="36"/>
          <w:rtl/>
        </w:rPr>
        <w:t>داخل</w:t>
      </w:r>
      <w:r w:rsidR="00EC7EDF" w:rsidRPr="00FD211F">
        <w:rPr>
          <w:sz w:val="36"/>
          <w:szCs w:val="36"/>
          <w:rtl/>
        </w:rPr>
        <w:t>ة</w:t>
      </w:r>
      <w:r w:rsidR="00E8128F">
        <w:rPr>
          <w:sz w:val="36"/>
          <w:szCs w:val="36"/>
          <w:rtl/>
        </w:rPr>
        <w:t xml:space="preserve"> </w:t>
      </w:r>
      <w:r w:rsidR="003E5ACF" w:rsidRPr="00FD211F">
        <w:rPr>
          <w:sz w:val="36"/>
          <w:szCs w:val="36"/>
          <w:rtl/>
        </w:rPr>
        <w:t>في</w:t>
      </w:r>
      <w:r w:rsidR="00E8128F">
        <w:rPr>
          <w:sz w:val="36"/>
          <w:szCs w:val="36"/>
          <w:rtl/>
        </w:rPr>
        <w:t xml:space="preserve"> </w:t>
      </w:r>
      <w:r w:rsidR="003E5ACF" w:rsidRPr="00FD211F">
        <w:rPr>
          <w:sz w:val="36"/>
          <w:szCs w:val="36"/>
          <w:rtl/>
        </w:rPr>
        <w:t>علم</w:t>
      </w:r>
      <w:r w:rsidR="00E8128F">
        <w:rPr>
          <w:sz w:val="36"/>
          <w:szCs w:val="36"/>
          <w:rtl/>
        </w:rPr>
        <w:t xml:space="preserve"> </w:t>
      </w:r>
      <w:r w:rsidR="003E5ACF" w:rsidRPr="00FD211F">
        <w:rPr>
          <w:sz w:val="36"/>
          <w:szCs w:val="36"/>
          <w:rtl/>
        </w:rPr>
        <w:lastRenderedPageBreak/>
        <w:t>الاصول.</w:t>
      </w:r>
    </w:p>
    <w:p w14:paraId="53197852" w14:textId="77777777" w:rsidR="00CF1591" w:rsidRPr="00FD211F" w:rsidRDefault="00851958" w:rsidP="009C58C8">
      <w:pPr>
        <w:ind w:left="0" w:firstLine="227"/>
        <w:jc w:val="both"/>
        <w:rPr>
          <w:sz w:val="36"/>
          <w:szCs w:val="36"/>
          <w:rtl/>
        </w:rPr>
      </w:pPr>
      <w:r w:rsidRPr="00FD211F">
        <w:rPr>
          <w:sz w:val="36"/>
          <w:szCs w:val="36"/>
          <w:rtl/>
        </w:rPr>
        <w:t>و</w:t>
      </w:r>
      <w:r w:rsidR="003E5ACF" w:rsidRPr="00FD211F">
        <w:rPr>
          <w:sz w:val="36"/>
          <w:szCs w:val="36"/>
          <w:rtl/>
        </w:rPr>
        <w:t>اشكال</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المحاول</w:t>
      </w:r>
      <w:r w:rsidR="00EC7EDF" w:rsidRPr="00FD211F">
        <w:rPr>
          <w:sz w:val="36"/>
          <w:szCs w:val="36"/>
          <w:rtl/>
        </w:rPr>
        <w:t>ة</w:t>
      </w:r>
      <w:r w:rsidR="00E8128F">
        <w:rPr>
          <w:sz w:val="36"/>
          <w:szCs w:val="36"/>
          <w:rtl/>
        </w:rPr>
        <w:t xml:space="preserve"> </w:t>
      </w:r>
      <w:r w:rsidR="003E5ACF" w:rsidRPr="00FD211F">
        <w:rPr>
          <w:sz w:val="36"/>
          <w:szCs w:val="36"/>
          <w:rtl/>
        </w:rPr>
        <w:t>أ</w:t>
      </w:r>
      <w:r w:rsidRPr="00FD211F">
        <w:rPr>
          <w:sz w:val="36"/>
          <w:szCs w:val="36"/>
          <w:rtl/>
        </w:rPr>
        <w:t>نها</w:t>
      </w:r>
      <w:r w:rsidR="00E8128F">
        <w:rPr>
          <w:sz w:val="36"/>
          <w:szCs w:val="36"/>
          <w:rtl/>
        </w:rPr>
        <w:t xml:space="preserve"> </w:t>
      </w:r>
      <w:r w:rsidRPr="00FD211F">
        <w:rPr>
          <w:sz w:val="36"/>
          <w:szCs w:val="36"/>
          <w:rtl/>
        </w:rPr>
        <w:t>تعجز</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اعطاء</w:t>
      </w:r>
      <w:r w:rsidR="00E8128F">
        <w:rPr>
          <w:sz w:val="36"/>
          <w:szCs w:val="36"/>
          <w:rtl/>
        </w:rPr>
        <w:t xml:space="preserve"> </w:t>
      </w:r>
      <w:r w:rsidRPr="00FD211F">
        <w:rPr>
          <w:sz w:val="36"/>
          <w:szCs w:val="36"/>
          <w:rtl/>
        </w:rPr>
        <w:t>صور</w:t>
      </w:r>
      <w:r w:rsidR="00EC7EDF" w:rsidRPr="00FD211F">
        <w:rPr>
          <w:sz w:val="36"/>
          <w:szCs w:val="36"/>
          <w:rtl/>
        </w:rPr>
        <w:t>ة</w:t>
      </w:r>
      <w:r w:rsidR="00E8128F">
        <w:rPr>
          <w:sz w:val="36"/>
          <w:szCs w:val="36"/>
          <w:rtl/>
        </w:rPr>
        <w:t xml:space="preserve"> </w:t>
      </w:r>
      <w:r w:rsidRPr="00FD211F">
        <w:rPr>
          <w:sz w:val="36"/>
          <w:szCs w:val="36"/>
          <w:rtl/>
        </w:rPr>
        <w:t>واضح</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الجامع</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مسائل</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603323" w:rsidRPr="00FD211F">
        <w:rPr>
          <w:sz w:val="36"/>
          <w:szCs w:val="36"/>
          <w:rtl/>
        </w:rPr>
        <w:t>،</w:t>
      </w:r>
      <w:r w:rsidR="00E8128F">
        <w:rPr>
          <w:sz w:val="36"/>
          <w:szCs w:val="36"/>
          <w:rtl/>
        </w:rPr>
        <w:t xml:space="preserve"> </w:t>
      </w:r>
      <w:r w:rsidR="00FA4CFD" w:rsidRPr="00FD211F">
        <w:rPr>
          <w:sz w:val="36"/>
          <w:szCs w:val="36"/>
          <w:rtl/>
        </w:rPr>
        <w:t>وقد</w:t>
      </w:r>
      <w:r w:rsidR="00E8128F">
        <w:rPr>
          <w:sz w:val="36"/>
          <w:szCs w:val="36"/>
          <w:rtl/>
        </w:rPr>
        <w:t xml:space="preserve"> </w:t>
      </w:r>
      <w:r w:rsidR="00FA4CFD" w:rsidRPr="00FD211F">
        <w:rPr>
          <w:sz w:val="36"/>
          <w:szCs w:val="36"/>
          <w:rtl/>
        </w:rPr>
        <w:t>يكون</w:t>
      </w:r>
      <w:r w:rsidR="00E8128F">
        <w:rPr>
          <w:sz w:val="36"/>
          <w:szCs w:val="36"/>
          <w:rtl/>
        </w:rPr>
        <w:t xml:space="preserve"> </w:t>
      </w:r>
      <w:r w:rsidR="00FA4CFD" w:rsidRPr="00FD211F">
        <w:rPr>
          <w:sz w:val="36"/>
          <w:szCs w:val="36"/>
          <w:rtl/>
        </w:rPr>
        <w:t>مما</w:t>
      </w:r>
      <w:r w:rsidR="00E8128F">
        <w:rPr>
          <w:sz w:val="36"/>
          <w:szCs w:val="36"/>
          <w:rtl/>
        </w:rPr>
        <w:t xml:space="preserve"> </w:t>
      </w:r>
      <w:r w:rsidR="00FA4CFD" w:rsidRPr="00FD211F">
        <w:rPr>
          <w:sz w:val="36"/>
          <w:szCs w:val="36"/>
          <w:rtl/>
        </w:rPr>
        <w:t>مهّد</w:t>
      </w:r>
      <w:r w:rsidR="00E8128F">
        <w:rPr>
          <w:sz w:val="36"/>
          <w:szCs w:val="36"/>
          <w:rtl/>
        </w:rPr>
        <w:t xml:space="preserve"> </w:t>
      </w:r>
      <w:r w:rsidR="00FA4CFD" w:rsidRPr="00FD211F">
        <w:rPr>
          <w:sz w:val="36"/>
          <w:szCs w:val="36"/>
          <w:rtl/>
        </w:rPr>
        <w:t>للبحث</w:t>
      </w:r>
      <w:r w:rsidR="00E8128F">
        <w:rPr>
          <w:sz w:val="36"/>
          <w:szCs w:val="36"/>
          <w:rtl/>
        </w:rPr>
        <w:t xml:space="preserve"> </w:t>
      </w:r>
      <w:r w:rsidR="00FA4CFD" w:rsidRPr="00FD211F">
        <w:rPr>
          <w:sz w:val="36"/>
          <w:szCs w:val="36"/>
          <w:rtl/>
        </w:rPr>
        <w:t>عنه</w:t>
      </w:r>
      <w:r w:rsidR="00E8128F">
        <w:rPr>
          <w:sz w:val="36"/>
          <w:szCs w:val="36"/>
          <w:rtl/>
        </w:rPr>
        <w:t xml:space="preserve"> </w:t>
      </w:r>
      <w:r w:rsidR="00FA4CFD" w:rsidRPr="00FD211F">
        <w:rPr>
          <w:sz w:val="36"/>
          <w:szCs w:val="36"/>
          <w:rtl/>
        </w:rPr>
        <w:t>علم</w:t>
      </w:r>
      <w:r w:rsidR="00E8128F">
        <w:rPr>
          <w:sz w:val="36"/>
          <w:szCs w:val="36"/>
          <w:rtl/>
        </w:rPr>
        <w:t xml:space="preserve"> </w:t>
      </w:r>
      <w:r w:rsidR="00FA4CFD" w:rsidRPr="00FD211F">
        <w:rPr>
          <w:sz w:val="36"/>
          <w:szCs w:val="36"/>
          <w:rtl/>
        </w:rPr>
        <w:t>آخر</w:t>
      </w:r>
      <w:r w:rsidR="00E8128F">
        <w:rPr>
          <w:sz w:val="36"/>
          <w:szCs w:val="36"/>
          <w:rtl/>
        </w:rPr>
        <w:t xml:space="preserve"> </w:t>
      </w:r>
      <w:r w:rsidR="00FA4CFD" w:rsidRPr="00FD211F">
        <w:rPr>
          <w:sz w:val="36"/>
          <w:szCs w:val="36"/>
          <w:rtl/>
        </w:rPr>
        <w:t>كما</w:t>
      </w:r>
      <w:r w:rsidR="00E8128F">
        <w:rPr>
          <w:sz w:val="36"/>
          <w:szCs w:val="36"/>
          <w:rtl/>
        </w:rPr>
        <w:t xml:space="preserve"> </w:t>
      </w:r>
      <w:r w:rsidR="00FA4CFD" w:rsidRPr="00FD211F">
        <w:rPr>
          <w:sz w:val="36"/>
          <w:szCs w:val="36"/>
          <w:rtl/>
        </w:rPr>
        <w:t>في</w:t>
      </w:r>
      <w:r w:rsidR="00E8128F">
        <w:rPr>
          <w:sz w:val="36"/>
          <w:szCs w:val="36"/>
          <w:rtl/>
        </w:rPr>
        <w:t xml:space="preserve"> </w:t>
      </w:r>
      <w:r w:rsidR="00FA4CFD" w:rsidRPr="00FD211F">
        <w:rPr>
          <w:sz w:val="36"/>
          <w:szCs w:val="36"/>
          <w:rtl/>
        </w:rPr>
        <w:t>الملازم</w:t>
      </w:r>
      <w:r w:rsidR="00EC7EDF" w:rsidRPr="00FD211F">
        <w:rPr>
          <w:sz w:val="36"/>
          <w:szCs w:val="36"/>
          <w:rtl/>
        </w:rPr>
        <w:t>ة</w:t>
      </w:r>
      <w:r w:rsidR="00E8128F">
        <w:rPr>
          <w:sz w:val="36"/>
          <w:szCs w:val="36"/>
          <w:rtl/>
        </w:rPr>
        <w:t xml:space="preserve"> </w:t>
      </w:r>
      <w:r w:rsidR="00FA4CFD" w:rsidRPr="00FD211F">
        <w:rPr>
          <w:sz w:val="36"/>
          <w:szCs w:val="36"/>
          <w:rtl/>
        </w:rPr>
        <w:t>بين</w:t>
      </w:r>
      <w:r w:rsidR="00E8128F">
        <w:rPr>
          <w:sz w:val="36"/>
          <w:szCs w:val="36"/>
          <w:rtl/>
        </w:rPr>
        <w:t xml:space="preserve"> </w:t>
      </w:r>
      <w:r w:rsidR="00FA4CFD" w:rsidRPr="00FD211F">
        <w:rPr>
          <w:sz w:val="36"/>
          <w:szCs w:val="36"/>
          <w:rtl/>
        </w:rPr>
        <w:t>حكم</w:t>
      </w:r>
      <w:r w:rsidR="00E8128F">
        <w:rPr>
          <w:sz w:val="36"/>
          <w:szCs w:val="36"/>
          <w:rtl/>
        </w:rPr>
        <w:t xml:space="preserve"> </w:t>
      </w:r>
      <w:r w:rsidR="00FA4CFD" w:rsidRPr="00FD211F">
        <w:rPr>
          <w:sz w:val="36"/>
          <w:szCs w:val="36"/>
          <w:rtl/>
        </w:rPr>
        <w:t>العقل</w:t>
      </w:r>
      <w:r w:rsidR="00E8128F">
        <w:rPr>
          <w:sz w:val="36"/>
          <w:szCs w:val="36"/>
          <w:rtl/>
        </w:rPr>
        <w:t xml:space="preserve"> </w:t>
      </w:r>
      <w:r w:rsidR="00FA4CFD" w:rsidRPr="00FD211F">
        <w:rPr>
          <w:sz w:val="36"/>
          <w:szCs w:val="36"/>
          <w:rtl/>
        </w:rPr>
        <w:t>وحكم</w:t>
      </w:r>
      <w:r w:rsidR="00E8128F">
        <w:rPr>
          <w:sz w:val="36"/>
          <w:szCs w:val="36"/>
          <w:rtl/>
        </w:rPr>
        <w:t xml:space="preserve"> </w:t>
      </w:r>
      <w:r w:rsidR="00FA4CFD" w:rsidRPr="00FD211F">
        <w:rPr>
          <w:sz w:val="36"/>
          <w:szCs w:val="36"/>
          <w:rtl/>
        </w:rPr>
        <w:t>الشرع</w:t>
      </w:r>
      <w:r w:rsidR="00603323" w:rsidRPr="00FD211F">
        <w:rPr>
          <w:sz w:val="36"/>
          <w:szCs w:val="36"/>
          <w:rtl/>
        </w:rPr>
        <w:t>،</w:t>
      </w:r>
      <w:r w:rsidR="00E8128F">
        <w:rPr>
          <w:sz w:val="36"/>
          <w:szCs w:val="36"/>
          <w:rtl/>
        </w:rPr>
        <w:t xml:space="preserve"> </w:t>
      </w:r>
      <w:r w:rsidR="00FA4CFD" w:rsidRPr="00FD211F">
        <w:rPr>
          <w:sz w:val="36"/>
          <w:szCs w:val="36"/>
          <w:rtl/>
        </w:rPr>
        <w:t>حيث</w:t>
      </w:r>
      <w:r w:rsidR="00E8128F">
        <w:rPr>
          <w:sz w:val="36"/>
          <w:szCs w:val="36"/>
          <w:rtl/>
        </w:rPr>
        <w:t xml:space="preserve"> </w:t>
      </w:r>
      <w:r w:rsidR="00FA4CFD" w:rsidRPr="00FD211F">
        <w:rPr>
          <w:sz w:val="36"/>
          <w:szCs w:val="36"/>
          <w:rtl/>
        </w:rPr>
        <w:t>يقال</w:t>
      </w:r>
      <w:r w:rsidR="00E8128F">
        <w:rPr>
          <w:sz w:val="36"/>
          <w:szCs w:val="36"/>
          <w:rtl/>
        </w:rPr>
        <w:t xml:space="preserve"> </w:t>
      </w:r>
      <w:r w:rsidR="00FA4CFD" w:rsidRPr="00FD211F">
        <w:rPr>
          <w:sz w:val="36"/>
          <w:szCs w:val="36"/>
          <w:rtl/>
        </w:rPr>
        <w:t>بانه</w:t>
      </w:r>
      <w:r w:rsidR="00E8128F">
        <w:rPr>
          <w:sz w:val="36"/>
          <w:szCs w:val="36"/>
          <w:rtl/>
        </w:rPr>
        <w:t xml:space="preserve"> </w:t>
      </w:r>
      <w:r w:rsidR="00FA4CFD" w:rsidRPr="00FD211F">
        <w:rPr>
          <w:sz w:val="36"/>
          <w:szCs w:val="36"/>
          <w:rtl/>
        </w:rPr>
        <w:t>يبحث</w:t>
      </w:r>
      <w:r w:rsidR="00E8128F">
        <w:rPr>
          <w:sz w:val="36"/>
          <w:szCs w:val="36"/>
          <w:rtl/>
        </w:rPr>
        <w:t xml:space="preserve"> </w:t>
      </w:r>
      <w:r w:rsidR="00FA4CFD" w:rsidRPr="00FD211F">
        <w:rPr>
          <w:sz w:val="36"/>
          <w:szCs w:val="36"/>
          <w:rtl/>
        </w:rPr>
        <w:t>عنه</w:t>
      </w:r>
      <w:r w:rsidR="00E8128F">
        <w:rPr>
          <w:sz w:val="36"/>
          <w:szCs w:val="36"/>
          <w:rtl/>
        </w:rPr>
        <w:t xml:space="preserve"> </w:t>
      </w:r>
      <w:r w:rsidR="00FA4CFD" w:rsidRPr="00FD211F">
        <w:rPr>
          <w:sz w:val="36"/>
          <w:szCs w:val="36"/>
          <w:rtl/>
        </w:rPr>
        <w:t>في</w:t>
      </w:r>
      <w:r w:rsidR="00E8128F">
        <w:rPr>
          <w:sz w:val="36"/>
          <w:szCs w:val="36"/>
          <w:rtl/>
        </w:rPr>
        <w:t xml:space="preserve"> </w:t>
      </w:r>
      <w:r w:rsidR="00FA4CFD" w:rsidRPr="00FD211F">
        <w:rPr>
          <w:sz w:val="36"/>
          <w:szCs w:val="36"/>
          <w:rtl/>
        </w:rPr>
        <w:t>علم</w:t>
      </w:r>
      <w:r w:rsidR="00E8128F">
        <w:rPr>
          <w:sz w:val="36"/>
          <w:szCs w:val="36"/>
          <w:rtl/>
        </w:rPr>
        <w:t xml:space="preserve"> </w:t>
      </w:r>
      <w:r w:rsidR="00FA4CFD" w:rsidRPr="00FD211F">
        <w:rPr>
          <w:sz w:val="36"/>
          <w:szCs w:val="36"/>
          <w:rtl/>
        </w:rPr>
        <w:t>الكلام</w:t>
      </w:r>
      <w:r w:rsidR="00603323" w:rsidRPr="00FD211F">
        <w:rPr>
          <w:sz w:val="36"/>
          <w:szCs w:val="36"/>
          <w:rtl/>
        </w:rPr>
        <w:t>،</w:t>
      </w:r>
      <w:r w:rsidR="00E8128F">
        <w:rPr>
          <w:sz w:val="36"/>
          <w:szCs w:val="36"/>
          <w:rtl/>
        </w:rPr>
        <w:t xml:space="preserve"> </w:t>
      </w:r>
      <w:r w:rsidR="00FA4CFD" w:rsidRPr="00FD211F">
        <w:rPr>
          <w:sz w:val="36"/>
          <w:szCs w:val="36"/>
          <w:rtl/>
        </w:rPr>
        <w:t>لكن</w:t>
      </w:r>
      <w:r w:rsidR="00E8128F">
        <w:rPr>
          <w:sz w:val="36"/>
          <w:szCs w:val="36"/>
          <w:rtl/>
        </w:rPr>
        <w:t xml:space="preserve"> </w:t>
      </w:r>
      <w:r w:rsidR="008D7B3D" w:rsidRPr="00FD211F">
        <w:rPr>
          <w:sz w:val="36"/>
          <w:szCs w:val="36"/>
          <w:rtl/>
        </w:rPr>
        <w:t>لم‌</w:t>
      </w:r>
      <w:r w:rsidR="00FA4CFD" w:rsidRPr="00FD211F">
        <w:rPr>
          <w:sz w:val="36"/>
          <w:szCs w:val="36"/>
          <w:rtl/>
        </w:rPr>
        <w:t>ينقح</w:t>
      </w:r>
      <w:r w:rsidR="00E8128F">
        <w:rPr>
          <w:sz w:val="36"/>
          <w:szCs w:val="36"/>
          <w:rtl/>
        </w:rPr>
        <w:t xml:space="preserve"> </w:t>
      </w:r>
      <w:r w:rsidR="00FA4CFD" w:rsidRPr="00FD211F">
        <w:rPr>
          <w:sz w:val="36"/>
          <w:szCs w:val="36"/>
          <w:rtl/>
        </w:rPr>
        <w:t>البحث</w:t>
      </w:r>
      <w:r w:rsidR="00E8128F">
        <w:rPr>
          <w:sz w:val="36"/>
          <w:szCs w:val="36"/>
          <w:rtl/>
        </w:rPr>
        <w:t xml:space="preserve"> </w:t>
      </w:r>
      <w:r w:rsidR="00FA4CFD" w:rsidRPr="00FD211F">
        <w:rPr>
          <w:sz w:val="36"/>
          <w:szCs w:val="36"/>
          <w:rtl/>
        </w:rPr>
        <w:t>عنه</w:t>
      </w:r>
      <w:r w:rsidR="00E8128F">
        <w:rPr>
          <w:sz w:val="36"/>
          <w:szCs w:val="36"/>
          <w:rtl/>
        </w:rPr>
        <w:t xml:space="preserve"> </w:t>
      </w:r>
      <w:r w:rsidR="00FA4CFD" w:rsidRPr="00FD211F">
        <w:rPr>
          <w:sz w:val="36"/>
          <w:szCs w:val="36"/>
          <w:rtl/>
        </w:rPr>
        <w:t>هناك</w:t>
      </w:r>
      <w:r w:rsidR="00E8128F">
        <w:rPr>
          <w:sz w:val="36"/>
          <w:szCs w:val="36"/>
          <w:rtl/>
        </w:rPr>
        <w:t xml:space="preserve"> </w:t>
      </w:r>
      <w:r w:rsidR="00FA4CFD" w:rsidRPr="00FD211F">
        <w:rPr>
          <w:sz w:val="36"/>
          <w:szCs w:val="36"/>
          <w:rtl/>
        </w:rPr>
        <w:t>فيبحث</w:t>
      </w:r>
      <w:r w:rsidR="00E8128F">
        <w:rPr>
          <w:sz w:val="36"/>
          <w:szCs w:val="36"/>
          <w:rtl/>
        </w:rPr>
        <w:t xml:space="preserve"> </w:t>
      </w:r>
      <w:r w:rsidR="00FA4CFD" w:rsidRPr="00FD211F">
        <w:rPr>
          <w:sz w:val="36"/>
          <w:szCs w:val="36"/>
          <w:rtl/>
        </w:rPr>
        <w:t>عنه</w:t>
      </w:r>
      <w:r w:rsidR="00E8128F">
        <w:rPr>
          <w:sz w:val="36"/>
          <w:szCs w:val="36"/>
          <w:rtl/>
        </w:rPr>
        <w:t xml:space="preserve"> </w:t>
      </w:r>
      <w:r w:rsidR="00FA4CFD" w:rsidRPr="00FD211F">
        <w:rPr>
          <w:sz w:val="36"/>
          <w:szCs w:val="36"/>
          <w:rtl/>
        </w:rPr>
        <w:t>في</w:t>
      </w:r>
      <w:r w:rsidR="00E8128F">
        <w:rPr>
          <w:sz w:val="36"/>
          <w:szCs w:val="36"/>
          <w:rtl/>
        </w:rPr>
        <w:t xml:space="preserve"> </w:t>
      </w:r>
      <w:r w:rsidR="00FA4CFD" w:rsidRPr="00FD211F">
        <w:rPr>
          <w:sz w:val="36"/>
          <w:szCs w:val="36"/>
          <w:rtl/>
        </w:rPr>
        <w:t>علم</w:t>
      </w:r>
      <w:r w:rsidR="00E8128F">
        <w:rPr>
          <w:sz w:val="36"/>
          <w:szCs w:val="36"/>
          <w:rtl/>
        </w:rPr>
        <w:t xml:space="preserve"> </w:t>
      </w:r>
      <w:r w:rsidR="00FA4CFD" w:rsidRPr="00FD211F">
        <w:rPr>
          <w:sz w:val="36"/>
          <w:szCs w:val="36"/>
          <w:rtl/>
        </w:rPr>
        <w:t>الأصول</w:t>
      </w:r>
      <w:r w:rsidR="00E8128F">
        <w:rPr>
          <w:sz w:val="36"/>
          <w:szCs w:val="36"/>
          <w:rtl/>
        </w:rPr>
        <w:t xml:space="preserve"> </w:t>
      </w:r>
      <w:r w:rsidR="00FA4CFD" w:rsidRPr="00FD211F">
        <w:rPr>
          <w:sz w:val="36"/>
          <w:szCs w:val="36"/>
          <w:rtl/>
        </w:rPr>
        <w:t>أيضا</w:t>
      </w:r>
      <w:r w:rsidR="00603323" w:rsidRPr="00FD211F">
        <w:rPr>
          <w:sz w:val="36"/>
          <w:szCs w:val="36"/>
          <w:rtl/>
        </w:rPr>
        <w:t>،</w:t>
      </w:r>
      <w:r w:rsidR="00E8128F">
        <w:rPr>
          <w:sz w:val="36"/>
          <w:szCs w:val="36"/>
          <w:rtl/>
        </w:rPr>
        <w:t xml:space="preserve"> </w:t>
      </w:r>
      <w:r w:rsidRPr="00FD211F">
        <w:rPr>
          <w:sz w:val="36"/>
          <w:szCs w:val="36"/>
          <w:rtl/>
        </w:rPr>
        <w:t>فمادام</w:t>
      </w:r>
      <w:r w:rsidR="00E8128F">
        <w:rPr>
          <w:sz w:val="36"/>
          <w:szCs w:val="36"/>
          <w:rtl/>
        </w:rPr>
        <w:t xml:space="preserve"> </w:t>
      </w:r>
      <w:r w:rsidRPr="00FD211F">
        <w:rPr>
          <w:sz w:val="36"/>
          <w:szCs w:val="36"/>
          <w:rtl/>
        </w:rPr>
        <w:t>يوجد</w:t>
      </w:r>
      <w:r w:rsidR="00E8128F">
        <w:rPr>
          <w:sz w:val="36"/>
          <w:szCs w:val="36"/>
          <w:rtl/>
        </w:rPr>
        <w:t xml:space="preserve"> </w:t>
      </w:r>
      <w:r w:rsidRPr="00FD211F">
        <w:rPr>
          <w:sz w:val="36"/>
          <w:szCs w:val="36"/>
          <w:rtl/>
        </w:rPr>
        <w:t>تعريف</w:t>
      </w:r>
      <w:r w:rsidR="00E8128F">
        <w:rPr>
          <w:sz w:val="36"/>
          <w:szCs w:val="36"/>
          <w:rtl/>
        </w:rPr>
        <w:t xml:space="preserve"> </w:t>
      </w:r>
      <w:r w:rsidR="00FD160F" w:rsidRPr="00FD211F">
        <w:rPr>
          <w:sz w:val="36"/>
          <w:szCs w:val="36"/>
          <w:rtl/>
        </w:rPr>
        <w:t>آخر</w:t>
      </w:r>
      <w:r w:rsidR="00E8128F">
        <w:rPr>
          <w:sz w:val="36"/>
          <w:szCs w:val="36"/>
          <w:rtl/>
        </w:rPr>
        <w:t xml:space="preserve"> </w:t>
      </w:r>
      <w:r w:rsidR="00FD160F" w:rsidRPr="00FD211F">
        <w:rPr>
          <w:sz w:val="36"/>
          <w:szCs w:val="36"/>
          <w:rtl/>
        </w:rPr>
        <w:t>خال</w:t>
      </w:r>
      <w:r w:rsidR="00E8128F">
        <w:rPr>
          <w:sz w:val="36"/>
          <w:szCs w:val="36"/>
          <w:rtl/>
        </w:rPr>
        <w:t xml:space="preserve"> </w:t>
      </w:r>
      <w:r w:rsidR="00FD160F" w:rsidRPr="00FD211F">
        <w:rPr>
          <w:sz w:val="36"/>
          <w:szCs w:val="36"/>
          <w:rtl/>
        </w:rPr>
        <w:t>عن</w:t>
      </w:r>
      <w:r w:rsidR="00E8128F">
        <w:rPr>
          <w:sz w:val="36"/>
          <w:szCs w:val="36"/>
          <w:rtl/>
        </w:rPr>
        <w:t xml:space="preserve"> </w:t>
      </w:r>
      <w:r w:rsidR="00FD160F" w:rsidRPr="00FD211F">
        <w:rPr>
          <w:sz w:val="36"/>
          <w:szCs w:val="36"/>
          <w:rtl/>
        </w:rPr>
        <w:t>هذا</w:t>
      </w:r>
      <w:r w:rsidR="00E8128F">
        <w:rPr>
          <w:sz w:val="36"/>
          <w:szCs w:val="36"/>
          <w:rtl/>
        </w:rPr>
        <w:t xml:space="preserve"> </w:t>
      </w:r>
      <w:r w:rsidR="00FD160F" w:rsidRPr="00FD211F">
        <w:rPr>
          <w:sz w:val="36"/>
          <w:szCs w:val="36"/>
          <w:rtl/>
        </w:rPr>
        <w:t>الاشكال</w:t>
      </w:r>
      <w:r w:rsidR="00603323" w:rsidRPr="00FD211F">
        <w:rPr>
          <w:sz w:val="36"/>
          <w:szCs w:val="36"/>
          <w:rtl/>
        </w:rPr>
        <w:t>،</w:t>
      </w:r>
      <w:r w:rsidR="00E8128F">
        <w:rPr>
          <w:sz w:val="36"/>
          <w:szCs w:val="36"/>
          <w:rtl/>
        </w:rPr>
        <w:t xml:space="preserve"> </w:t>
      </w:r>
      <w:r w:rsidR="00E61EED" w:rsidRPr="00FD211F">
        <w:rPr>
          <w:sz w:val="36"/>
          <w:szCs w:val="36"/>
          <w:rtl/>
        </w:rPr>
        <w:t>فلايتناسب</w:t>
      </w:r>
      <w:r w:rsidR="00E8128F">
        <w:rPr>
          <w:sz w:val="36"/>
          <w:szCs w:val="36"/>
          <w:rtl/>
        </w:rPr>
        <w:t xml:space="preserve"> </w:t>
      </w:r>
      <w:r w:rsidR="00E61EED" w:rsidRPr="00FD211F">
        <w:rPr>
          <w:sz w:val="36"/>
          <w:szCs w:val="36"/>
          <w:rtl/>
        </w:rPr>
        <w:t>اختيار</w:t>
      </w:r>
      <w:r w:rsidR="00E8128F">
        <w:rPr>
          <w:sz w:val="36"/>
          <w:szCs w:val="36"/>
          <w:rtl/>
        </w:rPr>
        <w:t xml:space="preserve"> </w:t>
      </w:r>
      <w:r w:rsidR="00E61EED" w:rsidRPr="00FD211F">
        <w:rPr>
          <w:sz w:val="36"/>
          <w:szCs w:val="36"/>
          <w:rtl/>
        </w:rPr>
        <w:t>هذا</w:t>
      </w:r>
      <w:r w:rsidR="00E8128F">
        <w:rPr>
          <w:sz w:val="36"/>
          <w:szCs w:val="36"/>
          <w:rtl/>
        </w:rPr>
        <w:t xml:space="preserve"> </w:t>
      </w:r>
      <w:r w:rsidR="00E61EED" w:rsidRPr="00FD211F">
        <w:rPr>
          <w:sz w:val="36"/>
          <w:szCs w:val="36"/>
          <w:rtl/>
        </w:rPr>
        <w:t>التعريف</w:t>
      </w:r>
      <w:r w:rsidRPr="00FD211F">
        <w:rPr>
          <w:sz w:val="36"/>
          <w:szCs w:val="36"/>
          <w:rtl/>
        </w:rPr>
        <w:t>.</w:t>
      </w:r>
    </w:p>
    <w:p w14:paraId="1329CEAA" w14:textId="77777777" w:rsidR="009F5E72" w:rsidRPr="00FD211F" w:rsidRDefault="007E742C" w:rsidP="009C58C8">
      <w:pPr>
        <w:ind w:left="0" w:firstLine="227"/>
        <w:jc w:val="both"/>
        <w:rPr>
          <w:sz w:val="36"/>
          <w:szCs w:val="36"/>
          <w:rtl/>
        </w:rPr>
      </w:pPr>
      <w:r w:rsidRPr="00FD211F">
        <w:rPr>
          <w:b/>
          <w:bCs/>
          <w:sz w:val="36"/>
          <w:szCs w:val="36"/>
          <w:rtl/>
        </w:rPr>
        <w:t>المحاول</w:t>
      </w:r>
      <w:r w:rsidR="00EC7EDF" w:rsidRPr="00FD211F">
        <w:rPr>
          <w:b/>
          <w:bCs/>
          <w:sz w:val="36"/>
          <w:szCs w:val="36"/>
          <w:rtl/>
        </w:rPr>
        <w:t>ة</w:t>
      </w:r>
      <w:r w:rsidR="00E8128F">
        <w:rPr>
          <w:b/>
          <w:bCs/>
          <w:sz w:val="36"/>
          <w:szCs w:val="36"/>
          <w:rtl/>
        </w:rPr>
        <w:t xml:space="preserve"> </w:t>
      </w:r>
      <w:r w:rsidRPr="00FD211F">
        <w:rPr>
          <w:b/>
          <w:bCs/>
          <w:sz w:val="36"/>
          <w:szCs w:val="36"/>
          <w:rtl/>
        </w:rPr>
        <w:t>السادس</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حكي</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الصدر</w:t>
      </w:r>
      <w:r w:rsidR="00E8128F">
        <w:rPr>
          <w:sz w:val="36"/>
          <w:szCs w:val="36"/>
          <w:rtl/>
        </w:rPr>
        <w:t xml:space="preserve"> </w:t>
      </w:r>
      <w:r w:rsidR="00F7650D" w:rsidRPr="00FD211F">
        <w:rPr>
          <w:sz w:val="36"/>
          <w:szCs w:val="36"/>
          <w:rtl/>
        </w:rPr>
        <w:t>"</w:t>
      </w:r>
      <w:r w:rsidRPr="00FD211F">
        <w:rPr>
          <w:sz w:val="36"/>
          <w:szCs w:val="36"/>
          <w:rtl/>
        </w:rPr>
        <w:t>قده</w:t>
      </w:r>
      <w:r w:rsidR="00F7650D"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باعتبار</w:t>
      </w:r>
      <w:r w:rsidR="00E8128F">
        <w:rPr>
          <w:sz w:val="36"/>
          <w:szCs w:val="36"/>
          <w:rtl/>
        </w:rPr>
        <w:t xml:space="preserve"> </w:t>
      </w:r>
      <w:r w:rsidRPr="00FD211F">
        <w:rPr>
          <w:sz w:val="36"/>
          <w:szCs w:val="36"/>
          <w:rtl/>
        </w:rPr>
        <w:t>كونه</w:t>
      </w:r>
      <w:r w:rsidR="00E8128F">
        <w:rPr>
          <w:sz w:val="36"/>
          <w:szCs w:val="36"/>
          <w:rtl/>
        </w:rPr>
        <w:t xml:space="preserve"> </w:t>
      </w:r>
      <w:r w:rsidRPr="00FD211F">
        <w:rPr>
          <w:sz w:val="36"/>
          <w:szCs w:val="36"/>
          <w:rtl/>
        </w:rPr>
        <w:t>علما</w:t>
      </w:r>
      <w:r w:rsidR="00E8128F">
        <w:rPr>
          <w:sz w:val="36"/>
          <w:szCs w:val="36"/>
          <w:rtl/>
        </w:rPr>
        <w:t xml:space="preserve"> </w:t>
      </w:r>
      <w:r w:rsidRPr="00FD211F">
        <w:rPr>
          <w:sz w:val="36"/>
          <w:szCs w:val="36"/>
          <w:rtl/>
        </w:rPr>
        <w:t>شرعيا</w:t>
      </w:r>
      <w:r w:rsidR="00E8128F">
        <w:rPr>
          <w:sz w:val="36"/>
          <w:szCs w:val="36"/>
          <w:rtl/>
        </w:rPr>
        <w:t xml:space="preserve"> </w:t>
      </w:r>
      <w:r w:rsidRPr="00FD211F">
        <w:rPr>
          <w:sz w:val="36"/>
          <w:szCs w:val="36"/>
          <w:rtl/>
        </w:rPr>
        <w:t>يبحث</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قضايا</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شأن</w:t>
      </w:r>
      <w:r w:rsidR="00E8128F">
        <w:rPr>
          <w:sz w:val="36"/>
          <w:szCs w:val="36"/>
          <w:rtl/>
        </w:rPr>
        <w:t xml:space="preserve"> </w:t>
      </w:r>
      <w:r w:rsidRPr="00FD211F">
        <w:rPr>
          <w:sz w:val="36"/>
          <w:szCs w:val="36"/>
          <w:rtl/>
        </w:rPr>
        <w:t>الشارع</w:t>
      </w:r>
      <w:r w:rsidR="00E8128F">
        <w:rPr>
          <w:sz w:val="36"/>
          <w:szCs w:val="36"/>
          <w:rtl/>
        </w:rPr>
        <w:t xml:space="preserve"> </w:t>
      </w:r>
      <w:r w:rsidRPr="00FD211F">
        <w:rPr>
          <w:sz w:val="36"/>
          <w:szCs w:val="36"/>
          <w:rtl/>
        </w:rPr>
        <w:t>إما</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حكما</w:t>
      </w:r>
      <w:r w:rsidR="00E8128F">
        <w:rPr>
          <w:sz w:val="36"/>
          <w:szCs w:val="36"/>
          <w:rtl/>
        </w:rPr>
        <w:t xml:space="preserve"> </w:t>
      </w:r>
      <w:r w:rsidRPr="00FD211F">
        <w:rPr>
          <w:sz w:val="36"/>
          <w:szCs w:val="36"/>
          <w:rtl/>
        </w:rPr>
        <w:t>مجعولا</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إمضاءا</w:t>
      </w:r>
      <w:r w:rsidR="00E8128F">
        <w:rPr>
          <w:sz w:val="36"/>
          <w:szCs w:val="36"/>
          <w:rtl/>
        </w:rPr>
        <w:t xml:space="preserve"> </w:t>
      </w:r>
      <w:r w:rsidRPr="00FD211F">
        <w:rPr>
          <w:sz w:val="36"/>
          <w:szCs w:val="36"/>
          <w:rtl/>
        </w:rPr>
        <w:t>كحجي</w:t>
      </w:r>
      <w:r w:rsidR="00EC7EDF" w:rsidRPr="00FD211F">
        <w:rPr>
          <w:sz w:val="36"/>
          <w:szCs w:val="36"/>
          <w:rtl/>
        </w:rPr>
        <w:t>ة</w:t>
      </w:r>
      <w:r w:rsidR="00E8128F">
        <w:rPr>
          <w:sz w:val="36"/>
          <w:szCs w:val="36"/>
          <w:rtl/>
        </w:rPr>
        <w:t xml:space="preserve"> </w:t>
      </w:r>
      <w:r w:rsidRPr="00FD211F">
        <w:rPr>
          <w:sz w:val="36"/>
          <w:szCs w:val="36"/>
          <w:rtl/>
        </w:rPr>
        <w:t>خبر</w:t>
      </w:r>
      <w:r w:rsidR="00E8128F">
        <w:rPr>
          <w:sz w:val="36"/>
          <w:szCs w:val="36"/>
          <w:rtl/>
        </w:rPr>
        <w:t xml:space="preserve"> </w:t>
      </w:r>
      <w:r w:rsidRPr="00FD211F">
        <w:rPr>
          <w:sz w:val="36"/>
          <w:szCs w:val="36"/>
          <w:rtl/>
        </w:rPr>
        <w:t>الثق</w:t>
      </w:r>
      <w:r w:rsidR="00EC7EDF" w:rsidRPr="00FD211F">
        <w:rPr>
          <w:sz w:val="36"/>
          <w:szCs w:val="36"/>
          <w:rtl/>
        </w:rPr>
        <w:t>ة</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حال</w:t>
      </w:r>
      <w:r w:rsidR="00EC7EDF" w:rsidRPr="00FD211F">
        <w:rPr>
          <w:sz w:val="36"/>
          <w:szCs w:val="36"/>
          <w:rtl/>
        </w:rPr>
        <w:t>ة</w:t>
      </w:r>
      <w:r w:rsidR="00E8128F">
        <w:rPr>
          <w:sz w:val="36"/>
          <w:szCs w:val="36"/>
          <w:rtl/>
        </w:rPr>
        <w:t xml:space="preserve"> </w:t>
      </w:r>
      <w:r w:rsidRPr="00FD211F">
        <w:rPr>
          <w:sz w:val="36"/>
          <w:szCs w:val="36"/>
          <w:rtl/>
        </w:rPr>
        <w:t>عام</w:t>
      </w:r>
      <w:r w:rsidR="00EC7EDF" w:rsidRPr="00FD211F">
        <w:rPr>
          <w:sz w:val="36"/>
          <w:szCs w:val="36"/>
          <w:rtl/>
        </w:rPr>
        <w:t>ة</w:t>
      </w:r>
      <w:r w:rsidR="00E8128F">
        <w:rPr>
          <w:sz w:val="36"/>
          <w:szCs w:val="36"/>
          <w:rtl/>
        </w:rPr>
        <w:t xml:space="preserve"> </w:t>
      </w:r>
      <w:r w:rsidRPr="00FD211F">
        <w:rPr>
          <w:sz w:val="36"/>
          <w:szCs w:val="36"/>
          <w:rtl/>
        </w:rPr>
        <w:t>للشريع</w:t>
      </w:r>
      <w:r w:rsidR="00EC7EDF" w:rsidRPr="00FD211F">
        <w:rPr>
          <w:sz w:val="36"/>
          <w:szCs w:val="36"/>
          <w:rtl/>
        </w:rPr>
        <w:t>ة</w:t>
      </w:r>
      <w:r w:rsidR="00E8128F">
        <w:rPr>
          <w:sz w:val="36"/>
          <w:szCs w:val="36"/>
          <w:rtl/>
        </w:rPr>
        <w:t xml:space="preserve"> </w:t>
      </w:r>
      <w:r w:rsidRPr="00FD211F">
        <w:rPr>
          <w:sz w:val="36"/>
          <w:szCs w:val="36"/>
          <w:rtl/>
        </w:rPr>
        <w:t>وان</w:t>
      </w:r>
      <w:r w:rsidR="00E8128F">
        <w:rPr>
          <w:sz w:val="36"/>
          <w:szCs w:val="36"/>
          <w:rtl/>
        </w:rPr>
        <w:t xml:space="preserve"> </w:t>
      </w:r>
      <w:r w:rsidR="008D7B3D" w:rsidRPr="00FD211F">
        <w:rPr>
          <w:sz w:val="36"/>
          <w:szCs w:val="36"/>
          <w:rtl/>
        </w:rPr>
        <w:t>لم‌</w:t>
      </w:r>
      <w:r w:rsidRPr="00FD211F">
        <w:rPr>
          <w:sz w:val="36"/>
          <w:szCs w:val="36"/>
          <w:rtl/>
        </w:rPr>
        <w:t>تكن</w:t>
      </w:r>
      <w:r w:rsidR="00E8128F">
        <w:rPr>
          <w:sz w:val="36"/>
          <w:szCs w:val="36"/>
          <w:rtl/>
        </w:rPr>
        <w:t xml:space="preserve"> </w:t>
      </w:r>
      <w:r w:rsidRPr="00FD211F">
        <w:rPr>
          <w:sz w:val="36"/>
          <w:szCs w:val="36"/>
          <w:rtl/>
        </w:rPr>
        <w:t>حكما</w:t>
      </w:r>
      <w:r w:rsidR="00E8128F">
        <w:rPr>
          <w:sz w:val="36"/>
          <w:szCs w:val="36"/>
          <w:rtl/>
        </w:rPr>
        <w:t xml:space="preserve"> </w:t>
      </w:r>
      <w:r w:rsidRPr="00FD211F">
        <w:rPr>
          <w:sz w:val="36"/>
          <w:szCs w:val="36"/>
          <w:rtl/>
        </w:rPr>
        <w:t>للشارع</w:t>
      </w:r>
      <w:r w:rsidR="00E8128F">
        <w:rPr>
          <w:sz w:val="36"/>
          <w:szCs w:val="36"/>
          <w:rtl/>
        </w:rPr>
        <w:t xml:space="preserve"> </w:t>
      </w:r>
      <w:r w:rsidRPr="00FD211F">
        <w:rPr>
          <w:sz w:val="36"/>
          <w:szCs w:val="36"/>
          <w:rtl/>
        </w:rPr>
        <w:t>ك</w:t>
      </w:r>
      <w:r w:rsidR="00FD160F" w:rsidRPr="00FD211F">
        <w:rPr>
          <w:sz w:val="36"/>
          <w:szCs w:val="36"/>
          <w:rtl/>
        </w:rPr>
        <w:t>ال</w:t>
      </w:r>
      <w:r w:rsidRPr="00FD211F">
        <w:rPr>
          <w:sz w:val="36"/>
          <w:szCs w:val="36"/>
          <w:rtl/>
        </w:rPr>
        <w:t>م</w:t>
      </w:r>
      <w:r w:rsidR="00FD160F" w:rsidRPr="00FD211F">
        <w:rPr>
          <w:sz w:val="36"/>
          <w:szCs w:val="36"/>
          <w:rtl/>
        </w:rPr>
        <w:t>ل</w:t>
      </w:r>
      <w:r w:rsidRPr="00FD211F">
        <w:rPr>
          <w:sz w:val="36"/>
          <w:szCs w:val="36"/>
          <w:rtl/>
        </w:rPr>
        <w:t>ا</w:t>
      </w:r>
      <w:r w:rsidR="00FD160F" w:rsidRPr="00FD211F">
        <w:rPr>
          <w:sz w:val="36"/>
          <w:szCs w:val="36"/>
          <w:rtl/>
        </w:rPr>
        <w:t>زم</w:t>
      </w:r>
      <w:r w:rsidR="00EC7EDF" w:rsidRPr="00FD211F">
        <w:rPr>
          <w:sz w:val="36"/>
          <w:szCs w:val="36"/>
          <w:rtl/>
        </w:rPr>
        <w:t>ة</w:t>
      </w:r>
      <w:r w:rsidR="00E8128F">
        <w:rPr>
          <w:sz w:val="36"/>
          <w:szCs w:val="36"/>
          <w:rtl/>
        </w:rPr>
        <w:t xml:space="preserve"> </w:t>
      </w:r>
      <w:r w:rsidR="00FD160F" w:rsidRPr="00FD211F">
        <w:rPr>
          <w:sz w:val="36"/>
          <w:szCs w:val="36"/>
          <w:rtl/>
        </w:rPr>
        <w:t>بين</w:t>
      </w:r>
      <w:r w:rsidR="00E8128F">
        <w:rPr>
          <w:sz w:val="36"/>
          <w:szCs w:val="36"/>
          <w:rtl/>
        </w:rPr>
        <w:t xml:space="preserve"> </w:t>
      </w:r>
      <w:r w:rsidR="00FD160F" w:rsidRPr="00FD211F">
        <w:rPr>
          <w:sz w:val="36"/>
          <w:szCs w:val="36"/>
          <w:rtl/>
        </w:rPr>
        <w:t>امر</w:t>
      </w:r>
      <w:r w:rsidR="00E8128F">
        <w:rPr>
          <w:sz w:val="36"/>
          <w:szCs w:val="36"/>
          <w:rtl/>
        </w:rPr>
        <w:t xml:space="preserve"> </w:t>
      </w:r>
      <w:r w:rsidR="00FD160F" w:rsidRPr="00FD211F">
        <w:rPr>
          <w:sz w:val="36"/>
          <w:szCs w:val="36"/>
          <w:rtl/>
        </w:rPr>
        <w:t>الشارع</w:t>
      </w:r>
      <w:r w:rsidR="00E8128F">
        <w:rPr>
          <w:sz w:val="36"/>
          <w:szCs w:val="36"/>
          <w:rtl/>
        </w:rPr>
        <w:t xml:space="preserve"> </w:t>
      </w:r>
      <w:r w:rsidRPr="00FD211F">
        <w:rPr>
          <w:sz w:val="36"/>
          <w:szCs w:val="36"/>
          <w:rtl/>
        </w:rPr>
        <w:t>ب</w:t>
      </w:r>
      <w:r w:rsidR="008D7B3D" w:rsidRPr="00FD211F">
        <w:rPr>
          <w:sz w:val="36"/>
          <w:szCs w:val="36"/>
          <w:rtl/>
        </w:rPr>
        <w:t>شيء</w:t>
      </w:r>
      <w:r w:rsidR="00E8128F">
        <w:rPr>
          <w:sz w:val="36"/>
          <w:szCs w:val="36"/>
          <w:rtl/>
        </w:rPr>
        <w:t xml:space="preserve"> </w:t>
      </w:r>
      <w:r w:rsidR="00FD160F" w:rsidRPr="00FD211F">
        <w:rPr>
          <w:sz w:val="36"/>
          <w:szCs w:val="36"/>
          <w:rtl/>
        </w:rPr>
        <w:t>وامره</w:t>
      </w:r>
      <w:r w:rsidR="00E8128F">
        <w:rPr>
          <w:sz w:val="36"/>
          <w:szCs w:val="36"/>
          <w:rtl/>
        </w:rPr>
        <w:t xml:space="preserve"> </w:t>
      </w:r>
      <w:r w:rsidRPr="00FD211F">
        <w:rPr>
          <w:sz w:val="36"/>
          <w:szCs w:val="36"/>
          <w:rtl/>
        </w:rPr>
        <w:t>بمقدمته</w:t>
      </w:r>
      <w:r w:rsidR="00603323" w:rsidRPr="00FD211F">
        <w:rPr>
          <w:sz w:val="36"/>
          <w:szCs w:val="36"/>
          <w:rtl/>
        </w:rPr>
        <w:t>،</w:t>
      </w:r>
      <w:r w:rsidR="00E8128F">
        <w:rPr>
          <w:sz w:val="36"/>
          <w:szCs w:val="36"/>
          <w:rtl/>
        </w:rPr>
        <w:t xml:space="preserve"> </w:t>
      </w:r>
      <w:r w:rsidRPr="00FD211F">
        <w:rPr>
          <w:sz w:val="36"/>
          <w:szCs w:val="36"/>
          <w:rtl/>
        </w:rPr>
        <w:t>فانه</w:t>
      </w:r>
      <w:r w:rsidR="00E8128F">
        <w:rPr>
          <w:sz w:val="36"/>
          <w:szCs w:val="36"/>
          <w:rtl/>
        </w:rPr>
        <w:t xml:space="preserve"> </w:t>
      </w:r>
      <w:r w:rsidR="00FD160F" w:rsidRPr="00FD211F">
        <w:rPr>
          <w:sz w:val="36"/>
          <w:szCs w:val="36"/>
          <w:rtl/>
        </w:rPr>
        <w:t>وان</w:t>
      </w:r>
      <w:r w:rsidR="00E8128F">
        <w:rPr>
          <w:sz w:val="36"/>
          <w:szCs w:val="36"/>
          <w:rtl/>
        </w:rPr>
        <w:t xml:space="preserve"> </w:t>
      </w:r>
      <w:r w:rsidR="00FD160F" w:rsidRPr="00FD211F">
        <w:rPr>
          <w:sz w:val="36"/>
          <w:szCs w:val="36"/>
          <w:rtl/>
        </w:rPr>
        <w:t>كان</w:t>
      </w:r>
      <w:r w:rsidR="00E8128F">
        <w:rPr>
          <w:sz w:val="36"/>
          <w:szCs w:val="36"/>
          <w:rtl/>
        </w:rPr>
        <w:t xml:space="preserve"> </w:t>
      </w:r>
      <w:r w:rsidR="00FD160F" w:rsidRPr="00FD211F">
        <w:rPr>
          <w:sz w:val="36"/>
          <w:szCs w:val="36"/>
          <w:rtl/>
        </w:rPr>
        <w:t>يقام</w:t>
      </w:r>
      <w:r w:rsidR="00E8128F">
        <w:rPr>
          <w:sz w:val="36"/>
          <w:szCs w:val="36"/>
          <w:rtl/>
        </w:rPr>
        <w:t xml:space="preserve"> </w:t>
      </w:r>
      <w:r w:rsidR="00FD160F" w:rsidRPr="00FD211F">
        <w:rPr>
          <w:sz w:val="36"/>
          <w:szCs w:val="36"/>
          <w:rtl/>
        </w:rPr>
        <w:t>برهان</w:t>
      </w:r>
      <w:r w:rsidR="00E8128F">
        <w:rPr>
          <w:sz w:val="36"/>
          <w:szCs w:val="36"/>
          <w:rtl/>
        </w:rPr>
        <w:t xml:space="preserve"> </w:t>
      </w:r>
      <w:r w:rsidR="00FD160F" w:rsidRPr="00FD211F">
        <w:rPr>
          <w:sz w:val="36"/>
          <w:szCs w:val="36"/>
          <w:rtl/>
        </w:rPr>
        <w:t>عقلي</w:t>
      </w:r>
      <w:r w:rsidR="00E8128F">
        <w:rPr>
          <w:sz w:val="36"/>
          <w:szCs w:val="36"/>
          <w:rtl/>
        </w:rPr>
        <w:t xml:space="preserve"> </w:t>
      </w:r>
      <w:r w:rsidR="00FD160F" w:rsidRPr="00FD211F">
        <w:rPr>
          <w:sz w:val="36"/>
          <w:szCs w:val="36"/>
          <w:rtl/>
        </w:rPr>
        <w:t>على</w:t>
      </w:r>
      <w:r w:rsidR="00E8128F">
        <w:rPr>
          <w:sz w:val="36"/>
          <w:szCs w:val="36"/>
          <w:rtl/>
        </w:rPr>
        <w:t xml:space="preserve"> </w:t>
      </w:r>
      <w:r w:rsidR="00FD160F" w:rsidRPr="00FD211F">
        <w:rPr>
          <w:sz w:val="36"/>
          <w:szCs w:val="36"/>
          <w:rtl/>
        </w:rPr>
        <w:t>هذه</w:t>
      </w:r>
      <w:r w:rsidR="00E8128F">
        <w:rPr>
          <w:sz w:val="36"/>
          <w:szCs w:val="36"/>
          <w:rtl/>
        </w:rPr>
        <w:t xml:space="preserve"> </w:t>
      </w:r>
      <w:r w:rsidR="00FD160F" w:rsidRPr="00FD211F">
        <w:rPr>
          <w:sz w:val="36"/>
          <w:szCs w:val="36"/>
          <w:rtl/>
        </w:rPr>
        <w:t>الملازم</w:t>
      </w:r>
      <w:r w:rsidR="00EC7EDF" w:rsidRPr="00FD211F">
        <w:rPr>
          <w:sz w:val="36"/>
          <w:szCs w:val="36"/>
          <w:rtl/>
        </w:rPr>
        <w:t>ة</w:t>
      </w:r>
      <w:r w:rsidR="00E8128F">
        <w:rPr>
          <w:sz w:val="36"/>
          <w:szCs w:val="36"/>
          <w:rtl/>
        </w:rPr>
        <w:t xml:space="preserve"> </w:t>
      </w:r>
      <w:r w:rsidRPr="00FD211F">
        <w:rPr>
          <w:sz w:val="36"/>
          <w:szCs w:val="36"/>
          <w:rtl/>
        </w:rPr>
        <w:t>لكنه</w:t>
      </w:r>
      <w:r w:rsidR="00FD160F" w:rsidRPr="00FD211F">
        <w:rPr>
          <w:sz w:val="36"/>
          <w:szCs w:val="36"/>
          <w:rtl/>
        </w:rPr>
        <w:t>ا</w:t>
      </w:r>
      <w:r w:rsidR="00E8128F">
        <w:rPr>
          <w:sz w:val="36"/>
          <w:szCs w:val="36"/>
          <w:rtl/>
        </w:rPr>
        <w:t xml:space="preserve"> </w:t>
      </w:r>
      <w:r w:rsidR="00FD160F" w:rsidRPr="00FD211F">
        <w:rPr>
          <w:sz w:val="36"/>
          <w:szCs w:val="36"/>
          <w:rtl/>
        </w:rPr>
        <w:t>مع</w:t>
      </w:r>
      <w:r w:rsidR="00E8128F">
        <w:rPr>
          <w:sz w:val="36"/>
          <w:szCs w:val="36"/>
          <w:rtl/>
        </w:rPr>
        <w:t xml:space="preserve"> </w:t>
      </w:r>
      <w:r w:rsidR="00FD160F" w:rsidRPr="00FD211F">
        <w:rPr>
          <w:sz w:val="36"/>
          <w:szCs w:val="36"/>
          <w:rtl/>
        </w:rPr>
        <w:t>ذلك</w:t>
      </w:r>
      <w:r w:rsidR="00E8128F">
        <w:rPr>
          <w:sz w:val="36"/>
          <w:szCs w:val="36"/>
          <w:rtl/>
        </w:rPr>
        <w:t xml:space="preserve"> </w:t>
      </w:r>
      <w:r w:rsidR="00FD160F" w:rsidRPr="00FD211F">
        <w:rPr>
          <w:sz w:val="36"/>
          <w:szCs w:val="36"/>
          <w:rtl/>
        </w:rPr>
        <w:t>حال</w:t>
      </w:r>
      <w:r w:rsidR="00EC7EDF" w:rsidRPr="00FD211F">
        <w:rPr>
          <w:sz w:val="36"/>
          <w:szCs w:val="36"/>
          <w:rtl/>
        </w:rPr>
        <w:t>ة</w:t>
      </w:r>
      <w:r w:rsidR="00E8128F">
        <w:rPr>
          <w:sz w:val="36"/>
          <w:szCs w:val="36"/>
          <w:rtl/>
        </w:rPr>
        <w:t xml:space="preserve"> </w:t>
      </w:r>
      <w:r w:rsidR="00FD160F" w:rsidRPr="00FD211F">
        <w:rPr>
          <w:sz w:val="36"/>
          <w:szCs w:val="36"/>
          <w:rtl/>
        </w:rPr>
        <w:t>ترجع</w:t>
      </w:r>
      <w:r w:rsidR="00E8128F">
        <w:rPr>
          <w:sz w:val="36"/>
          <w:szCs w:val="36"/>
          <w:rtl/>
        </w:rPr>
        <w:t xml:space="preserve"> </w:t>
      </w:r>
      <w:r w:rsidR="00FD160F" w:rsidRPr="00FD211F">
        <w:rPr>
          <w:sz w:val="36"/>
          <w:szCs w:val="36"/>
          <w:rtl/>
        </w:rPr>
        <w:t>الى</w:t>
      </w:r>
      <w:r w:rsidR="00E8128F">
        <w:rPr>
          <w:sz w:val="36"/>
          <w:szCs w:val="36"/>
          <w:rtl/>
        </w:rPr>
        <w:t xml:space="preserve"> </w:t>
      </w:r>
      <w:r w:rsidR="00FD160F" w:rsidRPr="00FD211F">
        <w:rPr>
          <w:sz w:val="36"/>
          <w:szCs w:val="36"/>
          <w:rtl/>
        </w:rPr>
        <w:t>الشارع</w:t>
      </w:r>
      <w:r w:rsidR="00E8128F">
        <w:rPr>
          <w:sz w:val="36"/>
          <w:szCs w:val="36"/>
          <w:rtl/>
        </w:rPr>
        <w:t xml:space="preserve"> </w:t>
      </w:r>
      <w:r w:rsidR="00EC7EDF" w:rsidRPr="00FD211F">
        <w:rPr>
          <w:sz w:val="36"/>
          <w:szCs w:val="36"/>
          <w:rtl/>
        </w:rPr>
        <w:t>و</w:t>
      </w:r>
      <w:r w:rsidR="00FD160F" w:rsidRPr="00FD211F">
        <w:rPr>
          <w:sz w:val="36"/>
          <w:szCs w:val="36"/>
          <w:rtl/>
        </w:rPr>
        <w:t>اما</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عبار</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الشارع</w:t>
      </w:r>
      <w:r w:rsidR="00E8128F">
        <w:rPr>
          <w:sz w:val="36"/>
          <w:szCs w:val="36"/>
          <w:rtl/>
        </w:rPr>
        <w:t xml:space="preserve"> </w:t>
      </w:r>
      <w:r w:rsidRPr="00FD211F">
        <w:rPr>
          <w:sz w:val="36"/>
          <w:szCs w:val="36"/>
          <w:rtl/>
        </w:rPr>
        <w:t>والتزاماته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مقام</w:t>
      </w:r>
      <w:r w:rsidR="00E8128F">
        <w:rPr>
          <w:sz w:val="36"/>
          <w:szCs w:val="36"/>
          <w:rtl/>
        </w:rPr>
        <w:t xml:space="preserve"> </w:t>
      </w:r>
      <w:r w:rsidRPr="00FD211F">
        <w:rPr>
          <w:sz w:val="36"/>
          <w:szCs w:val="36"/>
          <w:rtl/>
        </w:rPr>
        <w:t>المحاور</w:t>
      </w:r>
      <w:r w:rsidR="00EC7EDF" w:rsidRPr="00FD211F">
        <w:rPr>
          <w:sz w:val="36"/>
          <w:szCs w:val="36"/>
          <w:rtl/>
        </w:rPr>
        <w:t>ة</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ظهور</w:t>
      </w:r>
      <w:r w:rsidR="00E8128F">
        <w:rPr>
          <w:sz w:val="36"/>
          <w:szCs w:val="36"/>
          <w:rtl/>
        </w:rPr>
        <w:t xml:space="preserve"> </w:t>
      </w:r>
      <w:r w:rsidRPr="00FD211F">
        <w:rPr>
          <w:sz w:val="36"/>
          <w:szCs w:val="36"/>
          <w:rtl/>
        </w:rPr>
        <w:t>صيغ</w:t>
      </w:r>
      <w:r w:rsidR="00EC7EDF" w:rsidRPr="00FD211F">
        <w:rPr>
          <w:sz w:val="36"/>
          <w:szCs w:val="36"/>
          <w:rtl/>
        </w:rPr>
        <w:t>ة</w:t>
      </w:r>
      <w:r w:rsidR="00E8128F">
        <w:rPr>
          <w:sz w:val="36"/>
          <w:szCs w:val="36"/>
          <w:rtl/>
        </w:rPr>
        <w:t xml:space="preserve"> </w:t>
      </w:r>
      <w:r w:rsidR="001B3112" w:rsidRPr="00FD211F">
        <w:rPr>
          <w:sz w:val="36"/>
          <w:szCs w:val="36"/>
          <w:rtl/>
        </w:rPr>
        <w:t>الأمر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الوجوب</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الغرض</w:t>
      </w:r>
      <w:r w:rsidR="00E8128F">
        <w:rPr>
          <w:sz w:val="36"/>
          <w:szCs w:val="36"/>
          <w:rtl/>
        </w:rPr>
        <w:t xml:space="preserve"> </w:t>
      </w:r>
      <w:r w:rsidRPr="00FD211F">
        <w:rPr>
          <w:sz w:val="36"/>
          <w:szCs w:val="36"/>
          <w:rtl/>
        </w:rPr>
        <w:lastRenderedPageBreak/>
        <w:t>فيه</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ظهور</w:t>
      </w:r>
      <w:r w:rsidR="00E8128F">
        <w:rPr>
          <w:sz w:val="36"/>
          <w:szCs w:val="36"/>
          <w:rtl/>
        </w:rPr>
        <w:t xml:space="preserve"> </w:t>
      </w:r>
      <w:r w:rsidRPr="00FD211F">
        <w:rPr>
          <w:sz w:val="36"/>
          <w:szCs w:val="36"/>
          <w:rtl/>
        </w:rPr>
        <w:t>صيغ</w:t>
      </w:r>
      <w:r w:rsidR="00EC7EDF" w:rsidRPr="00FD211F">
        <w:rPr>
          <w:sz w:val="36"/>
          <w:szCs w:val="36"/>
          <w:rtl/>
        </w:rPr>
        <w:t>ة</w:t>
      </w:r>
      <w:r w:rsidR="00E8128F">
        <w:rPr>
          <w:sz w:val="36"/>
          <w:szCs w:val="36"/>
          <w:rtl/>
        </w:rPr>
        <w:t xml:space="preserve"> </w:t>
      </w:r>
      <w:r w:rsidR="001B3112" w:rsidRPr="00FD211F">
        <w:rPr>
          <w:sz w:val="36"/>
          <w:szCs w:val="36"/>
          <w:rtl/>
        </w:rPr>
        <w:t>الأمر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لسان</w:t>
      </w:r>
      <w:r w:rsidR="00E8128F">
        <w:rPr>
          <w:sz w:val="36"/>
          <w:szCs w:val="36"/>
          <w:rtl/>
        </w:rPr>
        <w:t xml:space="preserve"> </w:t>
      </w:r>
      <w:r w:rsidRPr="00FD211F">
        <w:rPr>
          <w:sz w:val="36"/>
          <w:szCs w:val="36"/>
          <w:rtl/>
        </w:rPr>
        <w:t>الشارع</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الوجوب</w:t>
      </w:r>
      <w:r w:rsidR="00603323" w:rsidRPr="00FD211F">
        <w:rPr>
          <w:sz w:val="36"/>
          <w:szCs w:val="36"/>
          <w:rtl/>
        </w:rPr>
        <w:t>،</w:t>
      </w:r>
      <w:r w:rsidR="00E8128F">
        <w:rPr>
          <w:sz w:val="36"/>
          <w:szCs w:val="36"/>
          <w:rtl/>
        </w:rPr>
        <w:t xml:space="preserve"> </w:t>
      </w:r>
      <w:r w:rsidRPr="00FD211F">
        <w:rPr>
          <w:sz w:val="36"/>
          <w:szCs w:val="36"/>
          <w:rtl/>
        </w:rPr>
        <w:t>غاي</w:t>
      </w:r>
      <w:r w:rsidR="00EC7EDF" w:rsidRPr="00FD211F">
        <w:rPr>
          <w:sz w:val="36"/>
          <w:szCs w:val="36"/>
          <w:rtl/>
        </w:rPr>
        <w:t>ة</w:t>
      </w:r>
      <w:r w:rsidR="00E8128F">
        <w:rPr>
          <w:sz w:val="36"/>
          <w:szCs w:val="36"/>
          <w:rtl/>
        </w:rPr>
        <w:t xml:space="preserve"> </w:t>
      </w:r>
      <w:r w:rsidR="001B3112" w:rsidRPr="00FD211F">
        <w:rPr>
          <w:sz w:val="36"/>
          <w:szCs w:val="36"/>
          <w:rtl/>
        </w:rPr>
        <w:t>الأمر</w:t>
      </w:r>
      <w:r w:rsidR="00E8128F">
        <w:rPr>
          <w:sz w:val="36"/>
          <w:szCs w:val="36"/>
          <w:rtl/>
        </w:rPr>
        <w:t xml:space="preserve"> </w:t>
      </w:r>
      <w:r w:rsidRPr="00FD211F">
        <w:rPr>
          <w:sz w:val="36"/>
          <w:szCs w:val="36"/>
          <w:rtl/>
        </w:rPr>
        <w:t>اننا</w:t>
      </w:r>
      <w:r w:rsidR="00E8128F">
        <w:rPr>
          <w:sz w:val="36"/>
          <w:szCs w:val="36"/>
          <w:rtl/>
        </w:rPr>
        <w:t xml:space="preserve"> </w:t>
      </w:r>
      <w:r w:rsidRPr="00FD211F">
        <w:rPr>
          <w:sz w:val="36"/>
          <w:szCs w:val="36"/>
          <w:rtl/>
        </w:rPr>
        <w:t>نتكلم</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ظهور</w:t>
      </w:r>
      <w:r w:rsidR="00E8128F">
        <w:rPr>
          <w:sz w:val="36"/>
          <w:szCs w:val="36"/>
          <w:rtl/>
        </w:rPr>
        <w:t xml:space="preserve"> </w:t>
      </w:r>
      <w:r w:rsidRPr="00FD211F">
        <w:rPr>
          <w:sz w:val="36"/>
          <w:szCs w:val="36"/>
          <w:rtl/>
        </w:rPr>
        <w:t>صيغ</w:t>
      </w:r>
      <w:r w:rsidR="00EC7EDF" w:rsidRPr="00FD211F">
        <w:rPr>
          <w:sz w:val="36"/>
          <w:szCs w:val="36"/>
          <w:rtl/>
        </w:rPr>
        <w:t>ة</w:t>
      </w:r>
      <w:r w:rsidR="00E8128F">
        <w:rPr>
          <w:sz w:val="36"/>
          <w:szCs w:val="36"/>
          <w:rtl/>
        </w:rPr>
        <w:t xml:space="preserve"> </w:t>
      </w:r>
      <w:r w:rsidR="001B3112" w:rsidRPr="00FD211F">
        <w:rPr>
          <w:sz w:val="36"/>
          <w:szCs w:val="36"/>
          <w:rtl/>
        </w:rPr>
        <w:t>الأمر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الوجوب</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محاورات</w:t>
      </w:r>
      <w:r w:rsidR="00E8128F">
        <w:rPr>
          <w:sz w:val="36"/>
          <w:szCs w:val="36"/>
          <w:rtl/>
        </w:rPr>
        <w:t xml:space="preserve"> </w:t>
      </w:r>
      <w:r w:rsidRPr="00FD211F">
        <w:rPr>
          <w:sz w:val="36"/>
          <w:szCs w:val="36"/>
          <w:rtl/>
        </w:rPr>
        <w:t>العرف</w:t>
      </w:r>
      <w:r w:rsidR="00E8128F">
        <w:rPr>
          <w:sz w:val="36"/>
          <w:szCs w:val="36"/>
          <w:rtl/>
        </w:rPr>
        <w:t xml:space="preserve"> </w:t>
      </w:r>
      <w:r w:rsidRPr="00FD211F">
        <w:rPr>
          <w:sz w:val="36"/>
          <w:szCs w:val="36"/>
          <w:rtl/>
        </w:rPr>
        <w:t>باعتبار</w:t>
      </w:r>
      <w:r w:rsidR="00E8128F">
        <w:rPr>
          <w:sz w:val="36"/>
          <w:szCs w:val="36"/>
          <w:rtl/>
        </w:rPr>
        <w:t xml:space="preserve"> </w:t>
      </w:r>
      <w:r w:rsidRPr="00FD211F">
        <w:rPr>
          <w:sz w:val="36"/>
          <w:szCs w:val="36"/>
          <w:rtl/>
        </w:rPr>
        <w:t>جريان</w:t>
      </w:r>
      <w:r w:rsidR="00E8128F">
        <w:rPr>
          <w:sz w:val="36"/>
          <w:szCs w:val="36"/>
          <w:rtl/>
        </w:rPr>
        <w:t xml:space="preserve"> </w:t>
      </w:r>
      <w:r w:rsidRPr="00FD211F">
        <w:rPr>
          <w:sz w:val="36"/>
          <w:szCs w:val="36"/>
          <w:rtl/>
        </w:rPr>
        <w:t>الشارع</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طبق</w:t>
      </w:r>
      <w:r w:rsidR="00E8128F">
        <w:rPr>
          <w:sz w:val="36"/>
          <w:szCs w:val="36"/>
          <w:rtl/>
        </w:rPr>
        <w:t xml:space="preserve"> </w:t>
      </w:r>
      <w:r w:rsidRPr="00FD211F">
        <w:rPr>
          <w:sz w:val="36"/>
          <w:szCs w:val="36"/>
          <w:rtl/>
        </w:rPr>
        <w:t>الطريق</w:t>
      </w:r>
      <w:r w:rsidR="00EC7EDF" w:rsidRPr="00FD211F">
        <w:rPr>
          <w:sz w:val="36"/>
          <w:szCs w:val="36"/>
          <w:rtl/>
        </w:rPr>
        <w:t>ة</w:t>
      </w:r>
      <w:r w:rsidR="00E8128F">
        <w:rPr>
          <w:sz w:val="36"/>
          <w:szCs w:val="36"/>
          <w:rtl/>
        </w:rPr>
        <w:t xml:space="preserve"> </w:t>
      </w:r>
      <w:r w:rsidRPr="00FD211F">
        <w:rPr>
          <w:sz w:val="36"/>
          <w:szCs w:val="36"/>
          <w:rtl/>
        </w:rPr>
        <w:t>العرفي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ولهذا</w:t>
      </w:r>
      <w:r w:rsidR="00E8128F">
        <w:rPr>
          <w:sz w:val="36"/>
          <w:szCs w:val="36"/>
          <w:rtl/>
        </w:rPr>
        <w:t xml:space="preserve"> </w:t>
      </w:r>
      <w:r w:rsidRPr="00FD211F">
        <w:rPr>
          <w:sz w:val="36"/>
          <w:szCs w:val="36"/>
          <w:rtl/>
        </w:rPr>
        <w:t>ترى</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00E17291" w:rsidRPr="00FD211F">
        <w:rPr>
          <w:sz w:val="36"/>
          <w:szCs w:val="36"/>
          <w:rtl/>
        </w:rPr>
        <w:t>احتمل</w:t>
      </w:r>
      <w:r w:rsidR="00E8128F">
        <w:rPr>
          <w:sz w:val="36"/>
          <w:szCs w:val="36"/>
          <w:rtl/>
        </w:rPr>
        <w:t xml:space="preserve"> </w:t>
      </w:r>
      <w:r w:rsidRPr="00FD211F">
        <w:rPr>
          <w:sz w:val="36"/>
          <w:szCs w:val="36"/>
          <w:rtl/>
        </w:rPr>
        <w:t>مصطلح</w:t>
      </w:r>
      <w:r w:rsidR="00E8128F">
        <w:rPr>
          <w:sz w:val="36"/>
          <w:szCs w:val="36"/>
          <w:rtl/>
        </w:rPr>
        <w:t xml:space="preserve"> </w:t>
      </w:r>
      <w:r w:rsidRPr="00FD211F">
        <w:rPr>
          <w:sz w:val="36"/>
          <w:szCs w:val="36"/>
          <w:rtl/>
        </w:rPr>
        <w:t>خاص</w:t>
      </w:r>
      <w:r w:rsidR="00E8128F">
        <w:rPr>
          <w:sz w:val="36"/>
          <w:szCs w:val="36"/>
          <w:rtl/>
        </w:rPr>
        <w:t xml:space="preserve"> </w:t>
      </w:r>
      <w:r w:rsidRPr="00FD211F">
        <w:rPr>
          <w:sz w:val="36"/>
          <w:szCs w:val="36"/>
          <w:rtl/>
        </w:rPr>
        <w:t>شرعي</w:t>
      </w:r>
      <w:r w:rsidR="00E8128F">
        <w:rPr>
          <w:sz w:val="36"/>
          <w:szCs w:val="36"/>
          <w:rtl/>
        </w:rPr>
        <w:t xml:space="preserve"> </w:t>
      </w:r>
      <w:r w:rsidRPr="00FD211F">
        <w:rPr>
          <w:sz w:val="36"/>
          <w:szCs w:val="36"/>
          <w:rtl/>
        </w:rPr>
        <w:t>كصيغ</w:t>
      </w:r>
      <w:r w:rsidR="00EC7EDF" w:rsidRPr="00FD211F">
        <w:rPr>
          <w:sz w:val="36"/>
          <w:szCs w:val="36"/>
          <w:rtl/>
        </w:rPr>
        <w:t>ة</w:t>
      </w:r>
      <w:r w:rsidR="00E8128F">
        <w:rPr>
          <w:sz w:val="36"/>
          <w:szCs w:val="36"/>
          <w:rtl/>
        </w:rPr>
        <w:t xml:space="preserve"> </w:t>
      </w:r>
      <w:r w:rsidR="001B3112" w:rsidRPr="00FD211F">
        <w:rPr>
          <w:sz w:val="36"/>
          <w:szCs w:val="36"/>
          <w:rtl/>
        </w:rPr>
        <w:t>الأمر</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لوقع</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ايضا</w:t>
      </w:r>
      <w:r w:rsidR="00603323" w:rsidRPr="00FD211F">
        <w:rPr>
          <w:sz w:val="36"/>
          <w:szCs w:val="36"/>
          <w:rtl/>
        </w:rPr>
        <w:t>،</w:t>
      </w:r>
      <w:r w:rsidR="00E8128F">
        <w:rPr>
          <w:sz w:val="36"/>
          <w:szCs w:val="36"/>
          <w:rtl/>
        </w:rPr>
        <w:t xml:space="preserve"> </w:t>
      </w:r>
      <w:r w:rsidR="00E17291" w:rsidRPr="00FD211F">
        <w:rPr>
          <w:sz w:val="36"/>
          <w:szCs w:val="36"/>
          <w:rtl/>
        </w:rPr>
        <w:t>و</w:t>
      </w:r>
      <w:r w:rsidRPr="00FD211F">
        <w:rPr>
          <w:sz w:val="36"/>
          <w:szCs w:val="36"/>
          <w:rtl/>
        </w:rPr>
        <w:t>عليه</w:t>
      </w:r>
      <w:r w:rsidR="00E8128F">
        <w:rPr>
          <w:sz w:val="36"/>
          <w:szCs w:val="36"/>
          <w:rtl/>
        </w:rPr>
        <w:t xml:space="preserve"> </w:t>
      </w:r>
      <w:r w:rsidR="00E17291" w:rsidRPr="00FD211F">
        <w:rPr>
          <w:sz w:val="36"/>
          <w:szCs w:val="36"/>
          <w:rtl/>
        </w:rPr>
        <w:t>ف</w:t>
      </w:r>
      <w:r w:rsidRPr="00FD211F">
        <w:rPr>
          <w:sz w:val="36"/>
          <w:szCs w:val="36"/>
          <w:rtl/>
        </w:rPr>
        <w:t>وثاق</w:t>
      </w:r>
      <w:r w:rsidR="00EC7EDF" w:rsidRPr="00FD211F">
        <w:rPr>
          <w:sz w:val="36"/>
          <w:szCs w:val="36"/>
          <w:rtl/>
        </w:rPr>
        <w:t>ة</w:t>
      </w:r>
      <w:r w:rsidR="00E8128F">
        <w:rPr>
          <w:sz w:val="36"/>
          <w:szCs w:val="36"/>
          <w:rtl/>
        </w:rPr>
        <w:t xml:space="preserve"> </w:t>
      </w:r>
      <w:r w:rsidRPr="00FD211F">
        <w:rPr>
          <w:sz w:val="36"/>
          <w:szCs w:val="36"/>
          <w:rtl/>
        </w:rPr>
        <w:t>الراوي</w:t>
      </w:r>
      <w:r w:rsidR="00E8128F">
        <w:rPr>
          <w:sz w:val="36"/>
          <w:szCs w:val="36"/>
          <w:rtl/>
        </w:rPr>
        <w:t xml:space="preserve"> </w:t>
      </w:r>
      <w:r w:rsidRPr="00FD211F">
        <w:rPr>
          <w:sz w:val="36"/>
          <w:szCs w:val="36"/>
          <w:rtl/>
        </w:rPr>
        <w:t>ليس</w:t>
      </w:r>
      <w:r w:rsidR="00E17291" w:rsidRPr="00FD211F">
        <w:rPr>
          <w:sz w:val="36"/>
          <w:szCs w:val="36"/>
          <w:rtl/>
        </w:rPr>
        <w:t>ت</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شؤون</w:t>
      </w:r>
      <w:r w:rsidR="00E8128F">
        <w:rPr>
          <w:sz w:val="36"/>
          <w:szCs w:val="36"/>
          <w:rtl/>
        </w:rPr>
        <w:t xml:space="preserve"> </w:t>
      </w:r>
      <w:r w:rsidRPr="00FD211F">
        <w:rPr>
          <w:sz w:val="36"/>
          <w:szCs w:val="36"/>
          <w:rtl/>
        </w:rPr>
        <w:t>الشارع</w:t>
      </w:r>
      <w:r w:rsidR="009C58C8" w:rsidRPr="00FD211F">
        <w:rPr>
          <w:rStyle w:val="a6"/>
          <w:sz w:val="36"/>
          <w:szCs w:val="36"/>
          <w:rtl/>
        </w:rPr>
        <w:t>(</w:t>
      </w:r>
      <w:r w:rsidR="009C58C8" w:rsidRPr="00FD211F">
        <w:rPr>
          <w:rStyle w:val="a6"/>
          <w:sz w:val="36"/>
          <w:szCs w:val="36"/>
          <w:rtl/>
        </w:rPr>
        <w:footnoteReference w:id="34"/>
      </w:r>
      <w:r w:rsidR="009C58C8" w:rsidRPr="00FD211F">
        <w:rPr>
          <w:rStyle w:val="a6"/>
          <w:sz w:val="36"/>
          <w:szCs w:val="36"/>
          <w:rtl/>
        </w:rPr>
        <w:t>)</w:t>
      </w:r>
      <w:r w:rsidRPr="00FD211F">
        <w:rPr>
          <w:sz w:val="36"/>
          <w:szCs w:val="36"/>
          <w:rtl/>
        </w:rPr>
        <w:t>.</w:t>
      </w:r>
    </w:p>
    <w:p w14:paraId="45EA0050" w14:textId="77777777" w:rsidR="007E742C" w:rsidRPr="00FD211F" w:rsidRDefault="009F5E72" w:rsidP="009C58C8">
      <w:pPr>
        <w:ind w:left="0" w:firstLine="227"/>
        <w:jc w:val="both"/>
        <w:rPr>
          <w:sz w:val="36"/>
          <w:szCs w:val="36"/>
          <w:rtl/>
        </w:rPr>
      </w:pPr>
      <w:r w:rsidRPr="00FD211F">
        <w:rPr>
          <w:sz w:val="36"/>
          <w:szCs w:val="36"/>
          <w:rtl/>
        </w:rPr>
        <w:t>اقول:</w:t>
      </w:r>
      <w:r w:rsidR="00E8128F">
        <w:rPr>
          <w:sz w:val="36"/>
          <w:szCs w:val="36"/>
          <w:rtl/>
        </w:rPr>
        <w:t xml:space="preserve"> </w:t>
      </w:r>
      <w:r w:rsidRPr="00FD211F">
        <w:rPr>
          <w:sz w:val="36"/>
          <w:szCs w:val="36"/>
          <w:rtl/>
        </w:rPr>
        <w:t>لانعرف</w:t>
      </w:r>
      <w:r w:rsidR="00E8128F">
        <w:rPr>
          <w:sz w:val="36"/>
          <w:szCs w:val="36"/>
          <w:rtl/>
        </w:rPr>
        <w:t xml:space="preserve"> </w:t>
      </w:r>
      <w:r w:rsidRPr="00FD211F">
        <w:rPr>
          <w:sz w:val="36"/>
          <w:szCs w:val="36"/>
          <w:rtl/>
        </w:rPr>
        <w:t>وجها</w:t>
      </w:r>
      <w:r w:rsidR="00E8128F">
        <w:rPr>
          <w:sz w:val="36"/>
          <w:szCs w:val="36"/>
          <w:rtl/>
        </w:rPr>
        <w:t xml:space="preserve"> </w:t>
      </w:r>
      <w:r w:rsidR="00E17291" w:rsidRPr="00FD211F">
        <w:rPr>
          <w:sz w:val="36"/>
          <w:szCs w:val="36"/>
          <w:rtl/>
        </w:rPr>
        <w:t>لتخصيص</w:t>
      </w:r>
      <w:r w:rsidR="00E8128F">
        <w:rPr>
          <w:sz w:val="36"/>
          <w:szCs w:val="36"/>
          <w:rtl/>
        </w:rPr>
        <w:t xml:space="preserve"> </w:t>
      </w:r>
      <w:r w:rsidRPr="00FD211F">
        <w:rPr>
          <w:sz w:val="36"/>
          <w:szCs w:val="36"/>
          <w:rtl/>
        </w:rPr>
        <w:t>المسائل</w:t>
      </w:r>
      <w:r w:rsidR="00E8128F">
        <w:rPr>
          <w:sz w:val="36"/>
          <w:szCs w:val="36"/>
          <w:rtl/>
        </w:rPr>
        <w:t xml:space="preserve"> </w:t>
      </w:r>
      <w:r w:rsidRPr="00FD211F">
        <w:rPr>
          <w:sz w:val="36"/>
          <w:szCs w:val="36"/>
          <w:rtl/>
        </w:rPr>
        <w:t>الاصولي</w:t>
      </w:r>
      <w:r w:rsidR="00EC7EDF" w:rsidRPr="00FD211F">
        <w:rPr>
          <w:sz w:val="36"/>
          <w:szCs w:val="36"/>
          <w:rtl/>
        </w:rPr>
        <w:t>ة</w:t>
      </w:r>
      <w:r w:rsidR="00E8128F">
        <w:rPr>
          <w:sz w:val="36"/>
          <w:szCs w:val="36"/>
          <w:rtl/>
        </w:rPr>
        <w:t xml:space="preserve"> </w:t>
      </w:r>
      <w:r w:rsidR="00E17291" w:rsidRPr="00FD211F">
        <w:rPr>
          <w:sz w:val="36"/>
          <w:szCs w:val="36"/>
          <w:rtl/>
        </w:rPr>
        <w:t>با</w:t>
      </w:r>
      <w:r w:rsidRPr="00FD211F">
        <w:rPr>
          <w:sz w:val="36"/>
          <w:szCs w:val="36"/>
          <w:rtl/>
        </w:rPr>
        <w:t>لبحث</w:t>
      </w:r>
      <w:r w:rsidR="00E8128F">
        <w:rPr>
          <w:sz w:val="36"/>
          <w:szCs w:val="36"/>
          <w:rtl/>
        </w:rPr>
        <w:t xml:space="preserve"> </w:t>
      </w:r>
      <w:r w:rsidRPr="00FD211F">
        <w:rPr>
          <w:sz w:val="36"/>
          <w:szCs w:val="36"/>
          <w:rtl/>
        </w:rPr>
        <w:t>عما</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شؤون</w:t>
      </w:r>
      <w:r w:rsidR="00E8128F">
        <w:rPr>
          <w:sz w:val="36"/>
          <w:szCs w:val="36"/>
          <w:rtl/>
        </w:rPr>
        <w:t xml:space="preserve"> </w:t>
      </w:r>
      <w:r w:rsidRPr="00FD211F">
        <w:rPr>
          <w:sz w:val="36"/>
          <w:szCs w:val="36"/>
          <w:rtl/>
        </w:rPr>
        <w:t>الشارع</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الغرض</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معرف</w:t>
      </w:r>
      <w:r w:rsidR="00EC7EDF" w:rsidRPr="00FD211F">
        <w:rPr>
          <w:sz w:val="36"/>
          <w:szCs w:val="36"/>
          <w:rtl/>
        </w:rPr>
        <w:t>ة</w:t>
      </w:r>
      <w:r w:rsidR="00E8128F">
        <w:rPr>
          <w:sz w:val="36"/>
          <w:szCs w:val="36"/>
          <w:rtl/>
        </w:rPr>
        <w:t xml:space="preserve"> </w:t>
      </w:r>
      <w:r w:rsidRPr="00FD211F">
        <w:rPr>
          <w:sz w:val="36"/>
          <w:szCs w:val="36"/>
          <w:rtl/>
        </w:rPr>
        <w:t>الأحكام</w:t>
      </w:r>
      <w:r w:rsidR="00E8128F">
        <w:rPr>
          <w:sz w:val="36"/>
          <w:szCs w:val="36"/>
          <w:rtl/>
        </w:rPr>
        <w:t xml:space="preserve"> </w:t>
      </w:r>
      <w:r w:rsidRPr="00FD211F">
        <w:rPr>
          <w:sz w:val="36"/>
          <w:szCs w:val="36"/>
          <w:rtl/>
        </w:rPr>
        <w:t>الشرعي</w:t>
      </w:r>
      <w:r w:rsidR="00EC7EDF" w:rsidRPr="00FD211F">
        <w:rPr>
          <w:sz w:val="36"/>
          <w:szCs w:val="36"/>
          <w:rtl/>
        </w:rPr>
        <w:t>ة</w:t>
      </w:r>
      <w:r w:rsidR="00E8128F">
        <w:rPr>
          <w:sz w:val="36"/>
          <w:szCs w:val="36"/>
          <w:rtl/>
        </w:rPr>
        <w:t xml:space="preserve"> </w:t>
      </w:r>
      <w:r w:rsidRPr="00FD211F">
        <w:rPr>
          <w:sz w:val="36"/>
          <w:szCs w:val="36"/>
          <w:rtl/>
        </w:rPr>
        <w:t>الكلي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لكن</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المسائل</w:t>
      </w:r>
      <w:r w:rsidR="00E8128F">
        <w:rPr>
          <w:sz w:val="36"/>
          <w:szCs w:val="36"/>
          <w:rtl/>
        </w:rPr>
        <w:t xml:space="preserve"> </w:t>
      </w:r>
      <w:r w:rsidRPr="00FD211F">
        <w:rPr>
          <w:sz w:val="36"/>
          <w:szCs w:val="36"/>
          <w:rtl/>
        </w:rPr>
        <w:t>الاصولي</w:t>
      </w:r>
      <w:r w:rsidR="00EC7EDF" w:rsidRPr="00FD211F">
        <w:rPr>
          <w:sz w:val="36"/>
          <w:szCs w:val="36"/>
          <w:rtl/>
        </w:rPr>
        <w:t>ة</w:t>
      </w:r>
      <w:r w:rsidR="00E8128F">
        <w:rPr>
          <w:sz w:val="36"/>
          <w:szCs w:val="36"/>
          <w:rtl/>
        </w:rPr>
        <w:t xml:space="preserve"> </w:t>
      </w:r>
      <w:r w:rsidRPr="00FD211F">
        <w:rPr>
          <w:sz w:val="36"/>
          <w:szCs w:val="36"/>
          <w:rtl/>
        </w:rPr>
        <w:t>لايختص</w:t>
      </w:r>
      <w:r w:rsidR="00E8128F">
        <w:rPr>
          <w:sz w:val="36"/>
          <w:szCs w:val="36"/>
          <w:rtl/>
        </w:rPr>
        <w:t xml:space="preserve"> </w:t>
      </w:r>
      <w:r w:rsidRPr="00FD211F">
        <w:rPr>
          <w:sz w:val="36"/>
          <w:szCs w:val="36"/>
          <w:rtl/>
        </w:rPr>
        <w:t>بما</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شؤون</w:t>
      </w:r>
      <w:r w:rsidR="00E8128F">
        <w:rPr>
          <w:sz w:val="36"/>
          <w:szCs w:val="36"/>
          <w:rtl/>
        </w:rPr>
        <w:t xml:space="preserve"> </w:t>
      </w:r>
      <w:r w:rsidRPr="00FD211F">
        <w:rPr>
          <w:sz w:val="36"/>
          <w:szCs w:val="36"/>
          <w:rtl/>
        </w:rPr>
        <w:t>الشارع</w:t>
      </w:r>
      <w:r w:rsidR="00603323" w:rsidRPr="00FD211F">
        <w:rPr>
          <w:sz w:val="36"/>
          <w:szCs w:val="36"/>
          <w:rtl/>
        </w:rPr>
        <w:t>،</w:t>
      </w:r>
      <w:r w:rsidR="00E8128F">
        <w:rPr>
          <w:sz w:val="36"/>
          <w:szCs w:val="36"/>
          <w:rtl/>
        </w:rPr>
        <w:t xml:space="preserve"> </w:t>
      </w:r>
      <w:r w:rsidRPr="00FD211F">
        <w:rPr>
          <w:sz w:val="36"/>
          <w:szCs w:val="36"/>
          <w:rtl/>
        </w:rPr>
        <w:t>فالبحث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الشرط</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انتج</w:t>
      </w:r>
      <w:r w:rsidR="00E8128F">
        <w:rPr>
          <w:sz w:val="36"/>
          <w:szCs w:val="36"/>
          <w:rtl/>
        </w:rPr>
        <w:t xml:space="preserve"> </w:t>
      </w:r>
      <w:r w:rsidRPr="00FD211F">
        <w:rPr>
          <w:sz w:val="36"/>
          <w:szCs w:val="36"/>
          <w:rtl/>
        </w:rPr>
        <w:t>القول</w:t>
      </w:r>
      <w:r w:rsidR="00E8128F">
        <w:rPr>
          <w:sz w:val="36"/>
          <w:szCs w:val="36"/>
          <w:rtl/>
        </w:rPr>
        <w:t xml:space="preserve"> </w:t>
      </w:r>
      <w:r w:rsidRPr="00FD211F">
        <w:rPr>
          <w:sz w:val="36"/>
          <w:szCs w:val="36"/>
          <w:rtl/>
        </w:rPr>
        <w:t>بثبوت</w:t>
      </w:r>
      <w:r w:rsidR="00E8128F">
        <w:rPr>
          <w:sz w:val="36"/>
          <w:szCs w:val="36"/>
          <w:rtl/>
        </w:rPr>
        <w:t xml:space="preserve"> </w:t>
      </w:r>
      <w:r w:rsidRPr="00FD211F">
        <w:rPr>
          <w:sz w:val="36"/>
          <w:szCs w:val="36"/>
          <w:rtl/>
        </w:rPr>
        <w:t>المفهوم</w:t>
      </w:r>
      <w:r w:rsidR="00E8128F">
        <w:rPr>
          <w:sz w:val="36"/>
          <w:szCs w:val="36"/>
          <w:rtl/>
        </w:rPr>
        <w:t xml:space="preserve"> </w:t>
      </w:r>
      <w:r w:rsidRPr="00FD211F">
        <w:rPr>
          <w:sz w:val="36"/>
          <w:szCs w:val="36"/>
          <w:rtl/>
        </w:rPr>
        <w:t>المطلق</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فيفيدنا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المحاورات</w:t>
      </w:r>
      <w:r w:rsidR="00E8128F">
        <w:rPr>
          <w:sz w:val="36"/>
          <w:szCs w:val="36"/>
          <w:rtl/>
        </w:rPr>
        <w:t xml:space="preserve"> </w:t>
      </w:r>
      <w:r w:rsidRPr="00FD211F">
        <w:rPr>
          <w:sz w:val="36"/>
          <w:szCs w:val="36"/>
          <w:rtl/>
        </w:rPr>
        <w:t>العرفي</w:t>
      </w:r>
      <w:r w:rsidR="00EC7EDF" w:rsidRPr="00FD211F">
        <w:rPr>
          <w:sz w:val="36"/>
          <w:szCs w:val="36"/>
          <w:rtl/>
        </w:rPr>
        <w:t>ة</w:t>
      </w:r>
      <w:r w:rsidR="00E8128F">
        <w:rPr>
          <w:sz w:val="36"/>
          <w:szCs w:val="36"/>
          <w:rtl/>
        </w:rPr>
        <w:t xml:space="preserve"> </w:t>
      </w:r>
      <w:r w:rsidRPr="00FD211F">
        <w:rPr>
          <w:sz w:val="36"/>
          <w:szCs w:val="36"/>
          <w:rtl/>
        </w:rPr>
        <w:t>أيضا</w:t>
      </w:r>
      <w:r w:rsidR="00603323" w:rsidRPr="00FD211F">
        <w:rPr>
          <w:sz w:val="36"/>
          <w:szCs w:val="36"/>
          <w:rtl/>
        </w:rPr>
        <w:t>،</w:t>
      </w:r>
      <w:r w:rsidR="00E8128F">
        <w:rPr>
          <w:sz w:val="36"/>
          <w:szCs w:val="36"/>
          <w:rtl/>
        </w:rPr>
        <w:t xml:space="preserve"> </w:t>
      </w:r>
      <w:r w:rsidRPr="00FD211F">
        <w:rPr>
          <w:sz w:val="36"/>
          <w:szCs w:val="36"/>
          <w:rtl/>
        </w:rPr>
        <w:t>وكذلك</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الظهور</w:t>
      </w:r>
      <w:r w:rsidR="00603323" w:rsidRPr="00FD211F">
        <w:rPr>
          <w:sz w:val="36"/>
          <w:szCs w:val="36"/>
          <w:rtl/>
        </w:rPr>
        <w:t>،</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ان</w:t>
      </w:r>
      <w:r w:rsidR="00E17291" w:rsidRPr="00FD211F">
        <w:rPr>
          <w:sz w:val="36"/>
          <w:szCs w:val="36"/>
          <w:rtl/>
        </w:rPr>
        <w:t>ه</w:t>
      </w:r>
      <w:r w:rsidR="00E8128F">
        <w:rPr>
          <w:sz w:val="36"/>
          <w:szCs w:val="36"/>
          <w:rtl/>
        </w:rPr>
        <w:t xml:space="preserve"> </w:t>
      </w:r>
      <w:r w:rsidR="00E17291" w:rsidRPr="00FD211F">
        <w:rPr>
          <w:sz w:val="36"/>
          <w:szCs w:val="36"/>
          <w:rtl/>
        </w:rPr>
        <w:t>لاداعي</w:t>
      </w:r>
      <w:r w:rsidR="00E8128F">
        <w:rPr>
          <w:sz w:val="36"/>
          <w:szCs w:val="36"/>
          <w:rtl/>
        </w:rPr>
        <w:t xml:space="preserve"> </w:t>
      </w:r>
      <w:r w:rsidR="00E17291" w:rsidRPr="00FD211F">
        <w:rPr>
          <w:sz w:val="36"/>
          <w:szCs w:val="36"/>
          <w:rtl/>
        </w:rPr>
        <w:t>الى</w:t>
      </w:r>
      <w:r w:rsidR="00E8128F">
        <w:rPr>
          <w:sz w:val="36"/>
          <w:szCs w:val="36"/>
          <w:rtl/>
        </w:rPr>
        <w:t xml:space="preserve"> </w:t>
      </w:r>
      <w:r w:rsidRPr="00FD211F">
        <w:rPr>
          <w:sz w:val="36"/>
          <w:szCs w:val="36"/>
          <w:rtl/>
        </w:rPr>
        <w:t>إخراج</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بحث</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p>
    <w:p w14:paraId="3D1ACB83" w14:textId="77777777" w:rsidR="00C76457" w:rsidRPr="00FD211F" w:rsidRDefault="00B655E7" w:rsidP="009C58C8">
      <w:pPr>
        <w:ind w:left="0" w:firstLine="227"/>
        <w:jc w:val="both"/>
        <w:rPr>
          <w:sz w:val="36"/>
          <w:szCs w:val="36"/>
          <w:rtl/>
        </w:rPr>
      </w:pPr>
      <w:r w:rsidRPr="00FD211F">
        <w:rPr>
          <w:b/>
          <w:bCs/>
          <w:sz w:val="36"/>
          <w:szCs w:val="36"/>
          <w:rtl/>
        </w:rPr>
        <w:t>المحاول</w:t>
      </w:r>
      <w:r w:rsidR="00EC7EDF" w:rsidRPr="00FD211F">
        <w:rPr>
          <w:b/>
          <w:bCs/>
          <w:sz w:val="36"/>
          <w:szCs w:val="36"/>
          <w:rtl/>
        </w:rPr>
        <w:t>ة</w:t>
      </w:r>
      <w:r w:rsidR="00E8128F">
        <w:rPr>
          <w:b/>
          <w:bCs/>
          <w:sz w:val="36"/>
          <w:szCs w:val="36"/>
          <w:rtl/>
        </w:rPr>
        <w:t xml:space="preserve"> </w:t>
      </w:r>
      <w:r w:rsidR="00CF1591" w:rsidRPr="00FD211F">
        <w:rPr>
          <w:b/>
          <w:bCs/>
          <w:sz w:val="36"/>
          <w:szCs w:val="36"/>
          <w:rtl/>
        </w:rPr>
        <w:t>ال</w:t>
      </w:r>
      <w:r w:rsidR="00E61EED" w:rsidRPr="00FD211F">
        <w:rPr>
          <w:b/>
          <w:bCs/>
          <w:sz w:val="36"/>
          <w:szCs w:val="36"/>
          <w:rtl/>
        </w:rPr>
        <w:t>سا</w:t>
      </w:r>
      <w:r w:rsidR="007E742C" w:rsidRPr="00FD211F">
        <w:rPr>
          <w:b/>
          <w:bCs/>
          <w:sz w:val="36"/>
          <w:szCs w:val="36"/>
          <w:rtl/>
        </w:rPr>
        <w:t>بع</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الصدر</w:t>
      </w:r>
      <w:r w:rsidR="00E8128F">
        <w:rPr>
          <w:sz w:val="36"/>
          <w:szCs w:val="36"/>
          <w:rtl/>
        </w:rPr>
        <w:t xml:space="preserve"> </w:t>
      </w:r>
      <w:r w:rsidR="00A61BAE" w:rsidRPr="00FD211F">
        <w:rPr>
          <w:sz w:val="36"/>
          <w:szCs w:val="36"/>
          <w:rtl/>
        </w:rPr>
        <w:t>"قده"</w:t>
      </w:r>
      <w:r w:rsidR="00E8128F">
        <w:rPr>
          <w:sz w:val="36"/>
          <w:szCs w:val="36"/>
          <w:rtl/>
        </w:rPr>
        <w:t xml:space="preserve"> </w:t>
      </w:r>
      <w:r w:rsidR="00FD160F" w:rsidRPr="00FD211F">
        <w:rPr>
          <w:sz w:val="36"/>
          <w:szCs w:val="36"/>
          <w:rtl/>
        </w:rPr>
        <w:t>ايضا</w:t>
      </w:r>
      <w:r w:rsidR="00E8128F">
        <w:rPr>
          <w:sz w:val="36"/>
          <w:szCs w:val="36"/>
          <w:rtl/>
        </w:rPr>
        <w:t xml:space="preserve"> </w:t>
      </w:r>
      <w:r w:rsidRPr="00FD211F">
        <w:rPr>
          <w:sz w:val="36"/>
          <w:szCs w:val="36"/>
          <w:rtl/>
        </w:rPr>
        <w:t>من</w:t>
      </w:r>
      <w:r w:rsidR="00E8128F">
        <w:rPr>
          <w:sz w:val="36"/>
          <w:szCs w:val="36"/>
          <w:rtl/>
        </w:rPr>
        <w:t xml:space="preserve"> </w:t>
      </w:r>
      <w:r w:rsidR="008E3125" w:rsidRPr="00FD211F">
        <w:rPr>
          <w:sz w:val="36"/>
          <w:szCs w:val="36"/>
          <w:rtl/>
        </w:rPr>
        <w:t>كون</w:t>
      </w:r>
      <w:r w:rsidR="00E8128F">
        <w:rPr>
          <w:sz w:val="36"/>
          <w:szCs w:val="36"/>
          <w:rtl/>
        </w:rPr>
        <w:t xml:space="preserve"> </w:t>
      </w:r>
      <w:r w:rsidR="008E3125" w:rsidRPr="00FD211F">
        <w:rPr>
          <w:sz w:val="36"/>
          <w:szCs w:val="36"/>
          <w:rtl/>
        </w:rPr>
        <w:t>تلك</w:t>
      </w:r>
      <w:r w:rsidR="00E8128F">
        <w:rPr>
          <w:sz w:val="36"/>
          <w:szCs w:val="36"/>
          <w:rtl/>
        </w:rPr>
        <w:t xml:space="preserve"> </w:t>
      </w:r>
      <w:r w:rsidR="008E3125" w:rsidRPr="00FD211F">
        <w:rPr>
          <w:sz w:val="36"/>
          <w:szCs w:val="36"/>
          <w:rtl/>
        </w:rPr>
        <w:t>القواعد</w:t>
      </w:r>
      <w:r w:rsidR="00E8128F">
        <w:rPr>
          <w:sz w:val="36"/>
          <w:szCs w:val="36"/>
          <w:rtl/>
        </w:rPr>
        <w:t xml:space="preserve"> </w:t>
      </w:r>
      <w:r w:rsidR="008E3125" w:rsidRPr="00FD211F">
        <w:rPr>
          <w:sz w:val="36"/>
          <w:szCs w:val="36"/>
          <w:rtl/>
        </w:rPr>
        <w:t>المبحوث</w:t>
      </w:r>
      <w:r w:rsidR="00E8128F">
        <w:rPr>
          <w:sz w:val="36"/>
          <w:szCs w:val="36"/>
          <w:rtl/>
        </w:rPr>
        <w:t xml:space="preserve"> </w:t>
      </w:r>
      <w:r w:rsidR="008E3125" w:rsidRPr="00FD211F">
        <w:rPr>
          <w:sz w:val="36"/>
          <w:szCs w:val="36"/>
          <w:rtl/>
        </w:rPr>
        <w:t>عنها</w:t>
      </w:r>
      <w:r w:rsidR="00E8128F">
        <w:rPr>
          <w:sz w:val="36"/>
          <w:szCs w:val="36"/>
          <w:rtl/>
        </w:rPr>
        <w:t xml:space="preserve"> </w:t>
      </w:r>
      <w:r w:rsidR="008E3125" w:rsidRPr="00FD211F">
        <w:rPr>
          <w:sz w:val="36"/>
          <w:szCs w:val="36"/>
          <w:rtl/>
        </w:rPr>
        <w:t>في</w:t>
      </w:r>
      <w:r w:rsidR="00E8128F">
        <w:rPr>
          <w:sz w:val="36"/>
          <w:szCs w:val="36"/>
          <w:rtl/>
        </w:rPr>
        <w:t xml:space="preserve"> </w:t>
      </w:r>
      <w:r w:rsidR="008E3125" w:rsidRPr="00FD211F">
        <w:rPr>
          <w:sz w:val="36"/>
          <w:szCs w:val="36"/>
          <w:rtl/>
        </w:rPr>
        <w:t>علم</w:t>
      </w:r>
      <w:r w:rsidR="00E8128F">
        <w:rPr>
          <w:sz w:val="36"/>
          <w:szCs w:val="36"/>
          <w:rtl/>
        </w:rPr>
        <w:t xml:space="preserve"> </w:t>
      </w:r>
      <w:r w:rsidR="008E3125" w:rsidRPr="00FD211F">
        <w:rPr>
          <w:sz w:val="36"/>
          <w:szCs w:val="36"/>
          <w:rtl/>
        </w:rPr>
        <w:lastRenderedPageBreak/>
        <w:t>الاصول</w:t>
      </w:r>
      <w:r w:rsidR="00E8128F">
        <w:rPr>
          <w:sz w:val="36"/>
          <w:szCs w:val="36"/>
          <w:rtl/>
        </w:rPr>
        <w:t xml:space="preserve"> </w:t>
      </w:r>
      <w:r w:rsidR="008E3125" w:rsidRPr="00FD211F">
        <w:rPr>
          <w:sz w:val="36"/>
          <w:szCs w:val="36"/>
          <w:rtl/>
        </w:rPr>
        <w:t>مشترك</w:t>
      </w:r>
      <w:r w:rsidR="00EC7EDF" w:rsidRPr="00FD211F">
        <w:rPr>
          <w:sz w:val="36"/>
          <w:szCs w:val="36"/>
          <w:rtl/>
        </w:rPr>
        <w:t>ة</w:t>
      </w:r>
      <w:r w:rsidR="00E8128F">
        <w:rPr>
          <w:sz w:val="36"/>
          <w:szCs w:val="36"/>
          <w:rtl/>
        </w:rPr>
        <w:t xml:space="preserve"> </w:t>
      </w:r>
      <w:r w:rsidR="008E3125" w:rsidRPr="00FD211F">
        <w:rPr>
          <w:sz w:val="36"/>
          <w:szCs w:val="36"/>
          <w:rtl/>
        </w:rPr>
        <w:t>في</w:t>
      </w:r>
      <w:r w:rsidR="00E8128F">
        <w:rPr>
          <w:sz w:val="36"/>
          <w:szCs w:val="36"/>
          <w:rtl/>
        </w:rPr>
        <w:t xml:space="preserve"> </w:t>
      </w:r>
      <w:r w:rsidR="008E3125" w:rsidRPr="00FD211F">
        <w:rPr>
          <w:sz w:val="36"/>
          <w:szCs w:val="36"/>
          <w:rtl/>
        </w:rPr>
        <w:t>الاستدلال</w:t>
      </w:r>
      <w:r w:rsidR="00E8128F">
        <w:rPr>
          <w:sz w:val="36"/>
          <w:szCs w:val="36"/>
          <w:rtl/>
        </w:rPr>
        <w:t xml:space="preserve"> </w:t>
      </w:r>
      <w:r w:rsidR="008E3125" w:rsidRPr="00FD211F">
        <w:rPr>
          <w:sz w:val="36"/>
          <w:szCs w:val="36"/>
          <w:rtl/>
        </w:rPr>
        <w:t>الفقهي</w:t>
      </w:r>
      <w:r w:rsidR="00E8128F">
        <w:rPr>
          <w:sz w:val="36"/>
          <w:szCs w:val="36"/>
          <w:rtl/>
        </w:rPr>
        <w:t xml:space="preserve"> </w:t>
      </w:r>
      <w:r w:rsidR="008E3125" w:rsidRPr="00FD211F">
        <w:rPr>
          <w:sz w:val="36"/>
          <w:szCs w:val="36"/>
          <w:rtl/>
        </w:rPr>
        <w:t>خاص</w:t>
      </w:r>
      <w:r w:rsidR="00EC7EDF" w:rsidRPr="00FD211F">
        <w:rPr>
          <w:sz w:val="36"/>
          <w:szCs w:val="36"/>
          <w:rtl/>
        </w:rPr>
        <w:t>ة</w:t>
      </w:r>
      <w:r w:rsidR="00603323" w:rsidRPr="00FD211F">
        <w:rPr>
          <w:sz w:val="36"/>
          <w:szCs w:val="36"/>
          <w:rtl/>
        </w:rPr>
        <w:t>،</w:t>
      </w:r>
      <w:r w:rsidR="00E8128F">
        <w:rPr>
          <w:sz w:val="36"/>
          <w:szCs w:val="36"/>
          <w:rtl/>
        </w:rPr>
        <w:t xml:space="preserve"> </w:t>
      </w:r>
      <w:r w:rsidR="008E3125" w:rsidRPr="00FD211F">
        <w:rPr>
          <w:sz w:val="36"/>
          <w:szCs w:val="36"/>
          <w:rtl/>
        </w:rPr>
        <w:t>ويستعملها</w:t>
      </w:r>
      <w:r w:rsidR="00E8128F">
        <w:rPr>
          <w:sz w:val="36"/>
          <w:szCs w:val="36"/>
          <w:rtl/>
        </w:rPr>
        <w:t xml:space="preserve"> </w:t>
      </w:r>
      <w:r w:rsidR="008E3125" w:rsidRPr="00FD211F">
        <w:rPr>
          <w:sz w:val="36"/>
          <w:szCs w:val="36"/>
          <w:rtl/>
        </w:rPr>
        <w:t>الفقيه</w:t>
      </w:r>
      <w:r w:rsidR="00E8128F">
        <w:rPr>
          <w:sz w:val="36"/>
          <w:szCs w:val="36"/>
          <w:rtl/>
        </w:rPr>
        <w:t xml:space="preserve"> </w:t>
      </w:r>
      <w:r w:rsidR="008E3125" w:rsidRPr="00FD211F">
        <w:rPr>
          <w:sz w:val="36"/>
          <w:szCs w:val="36"/>
          <w:rtl/>
        </w:rPr>
        <w:t>كدليل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الجعل</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الكلي</w:t>
      </w:r>
      <w:r w:rsidR="00603323" w:rsidRPr="00FD211F">
        <w:rPr>
          <w:sz w:val="36"/>
          <w:szCs w:val="36"/>
          <w:rtl/>
        </w:rPr>
        <w:t>،</w:t>
      </w:r>
      <w:r w:rsidR="00E8128F">
        <w:rPr>
          <w:sz w:val="36"/>
          <w:szCs w:val="36"/>
          <w:rtl/>
        </w:rPr>
        <w:t xml:space="preserve"> </w:t>
      </w:r>
      <w:r w:rsidR="00C72E5D" w:rsidRPr="00FD211F">
        <w:rPr>
          <w:sz w:val="36"/>
          <w:szCs w:val="36"/>
          <w:rtl/>
        </w:rPr>
        <w:t>ف</w:t>
      </w:r>
      <w:r w:rsidR="00C76457" w:rsidRPr="00FD211F">
        <w:rPr>
          <w:sz w:val="36"/>
          <w:szCs w:val="36"/>
          <w:rtl/>
        </w:rPr>
        <w:t>ذكر</w:t>
      </w:r>
      <w:r w:rsidR="00E8128F">
        <w:rPr>
          <w:sz w:val="36"/>
          <w:szCs w:val="36"/>
          <w:rtl/>
        </w:rPr>
        <w:t xml:space="preserve"> </w:t>
      </w:r>
      <w:r w:rsidR="00C76457" w:rsidRPr="00FD211F">
        <w:rPr>
          <w:sz w:val="36"/>
          <w:szCs w:val="36"/>
          <w:rtl/>
        </w:rPr>
        <w:t>انه</w:t>
      </w:r>
      <w:r w:rsidR="00E8128F">
        <w:rPr>
          <w:sz w:val="36"/>
          <w:szCs w:val="36"/>
          <w:rtl/>
        </w:rPr>
        <w:t xml:space="preserve"> </w:t>
      </w:r>
      <w:r w:rsidR="00C72E5D" w:rsidRPr="00FD211F">
        <w:rPr>
          <w:sz w:val="36"/>
          <w:szCs w:val="36"/>
          <w:rtl/>
        </w:rPr>
        <w:t>خرج</w:t>
      </w:r>
      <w:r w:rsidR="00E8128F">
        <w:rPr>
          <w:sz w:val="36"/>
          <w:szCs w:val="36"/>
          <w:rtl/>
        </w:rPr>
        <w:t xml:space="preserve"> </w:t>
      </w:r>
      <w:r w:rsidR="00C72E5D" w:rsidRPr="00FD211F">
        <w:rPr>
          <w:sz w:val="36"/>
          <w:szCs w:val="36"/>
          <w:rtl/>
        </w:rPr>
        <w:t>ب</w:t>
      </w:r>
      <w:r w:rsidR="00C76457" w:rsidRPr="00FD211F">
        <w:rPr>
          <w:sz w:val="36"/>
          <w:szCs w:val="36"/>
          <w:rtl/>
        </w:rPr>
        <w:t>قولنا</w:t>
      </w:r>
      <w:r w:rsidR="00E8128F">
        <w:rPr>
          <w:sz w:val="36"/>
          <w:szCs w:val="36"/>
          <w:rtl/>
        </w:rPr>
        <w:t xml:space="preserve"> </w:t>
      </w:r>
      <w:r w:rsidR="00C72E5D" w:rsidRPr="00FD211F">
        <w:rPr>
          <w:sz w:val="36"/>
          <w:szCs w:val="36"/>
          <w:rtl/>
        </w:rPr>
        <w:t>"خاص</w:t>
      </w:r>
      <w:r w:rsidR="00EC7EDF" w:rsidRPr="00FD211F">
        <w:rPr>
          <w:sz w:val="36"/>
          <w:szCs w:val="36"/>
          <w:rtl/>
        </w:rPr>
        <w:t>ة</w:t>
      </w:r>
      <w:r w:rsidR="00E8128F">
        <w:rPr>
          <w:sz w:val="36"/>
          <w:szCs w:val="36"/>
          <w:rtl/>
        </w:rPr>
        <w:t xml:space="preserve"> </w:t>
      </w:r>
      <w:r w:rsidR="00C72E5D" w:rsidRPr="00FD211F">
        <w:rPr>
          <w:sz w:val="36"/>
          <w:szCs w:val="36"/>
          <w:rtl/>
        </w:rPr>
        <w:t>"</w:t>
      </w:r>
      <w:r w:rsidR="00E8128F">
        <w:rPr>
          <w:sz w:val="36"/>
          <w:szCs w:val="36"/>
          <w:rtl/>
        </w:rPr>
        <w:t xml:space="preserve"> </w:t>
      </w:r>
      <w:r w:rsidR="00C72E5D" w:rsidRPr="00FD211F">
        <w:rPr>
          <w:sz w:val="36"/>
          <w:szCs w:val="36"/>
          <w:rtl/>
        </w:rPr>
        <w:t>مثل</w:t>
      </w:r>
      <w:r w:rsidR="00E8128F">
        <w:rPr>
          <w:sz w:val="36"/>
          <w:szCs w:val="36"/>
          <w:rtl/>
        </w:rPr>
        <w:t xml:space="preserve"> </w:t>
      </w:r>
      <w:r w:rsidR="00C72E5D" w:rsidRPr="00FD211F">
        <w:rPr>
          <w:sz w:val="36"/>
          <w:szCs w:val="36"/>
          <w:rtl/>
        </w:rPr>
        <w:t>علم</w:t>
      </w:r>
      <w:r w:rsidR="00E8128F">
        <w:rPr>
          <w:sz w:val="36"/>
          <w:szCs w:val="36"/>
          <w:rtl/>
        </w:rPr>
        <w:t xml:space="preserve"> </w:t>
      </w:r>
      <w:r w:rsidR="00C72E5D" w:rsidRPr="00FD211F">
        <w:rPr>
          <w:sz w:val="36"/>
          <w:szCs w:val="36"/>
          <w:rtl/>
        </w:rPr>
        <w:t>المنطق</w:t>
      </w:r>
      <w:r w:rsidR="00603323" w:rsidRPr="00FD211F">
        <w:rPr>
          <w:sz w:val="36"/>
          <w:szCs w:val="36"/>
          <w:rtl/>
        </w:rPr>
        <w:t>،</w:t>
      </w:r>
      <w:r w:rsidR="00E8128F">
        <w:rPr>
          <w:sz w:val="36"/>
          <w:szCs w:val="36"/>
          <w:rtl/>
        </w:rPr>
        <w:t xml:space="preserve"> </w:t>
      </w:r>
      <w:r w:rsidR="00C72E5D" w:rsidRPr="00FD211F">
        <w:rPr>
          <w:sz w:val="36"/>
          <w:szCs w:val="36"/>
          <w:rtl/>
        </w:rPr>
        <w:t>فانه</w:t>
      </w:r>
      <w:r w:rsidR="00E8128F">
        <w:rPr>
          <w:sz w:val="36"/>
          <w:szCs w:val="36"/>
          <w:rtl/>
        </w:rPr>
        <w:t xml:space="preserve"> </w:t>
      </w:r>
      <w:r w:rsidR="00C72E5D" w:rsidRPr="00FD211F">
        <w:rPr>
          <w:sz w:val="36"/>
          <w:szCs w:val="36"/>
          <w:rtl/>
        </w:rPr>
        <w:t>ليس</w:t>
      </w:r>
      <w:r w:rsidR="00E8128F">
        <w:rPr>
          <w:sz w:val="36"/>
          <w:szCs w:val="36"/>
          <w:rtl/>
        </w:rPr>
        <w:t xml:space="preserve"> </w:t>
      </w:r>
      <w:r w:rsidR="00C72E5D" w:rsidRPr="00FD211F">
        <w:rPr>
          <w:sz w:val="36"/>
          <w:szCs w:val="36"/>
          <w:rtl/>
        </w:rPr>
        <w:t>مختصا</w:t>
      </w:r>
      <w:r w:rsidR="00E8128F">
        <w:rPr>
          <w:sz w:val="36"/>
          <w:szCs w:val="36"/>
          <w:rtl/>
        </w:rPr>
        <w:t xml:space="preserve"> </w:t>
      </w:r>
      <w:r w:rsidR="00C72E5D" w:rsidRPr="00FD211F">
        <w:rPr>
          <w:sz w:val="36"/>
          <w:szCs w:val="36"/>
          <w:rtl/>
        </w:rPr>
        <w:t>بالاستدلال</w:t>
      </w:r>
      <w:r w:rsidR="00E8128F">
        <w:rPr>
          <w:sz w:val="36"/>
          <w:szCs w:val="36"/>
          <w:rtl/>
        </w:rPr>
        <w:t xml:space="preserve"> </w:t>
      </w:r>
      <w:r w:rsidR="00C72E5D" w:rsidRPr="00FD211F">
        <w:rPr>
          <w:sz w:val="36"/>
          <w:szCs w:val="36"/>
          <w:rtl/>
        </w:rPr>
        <w:t>الفقهي</w:t>
      </w:r>
      <w:r w:rsidR="00603323" w:rsidRPr="00FD211F">
        <w:rPr>
          <w:sz w:val="36"/>
          <w:szCs w:val="36"/>
          <w:rtl/>
        </w:rPr>
        <w:t>،</w:t>
      </w:r>
      <w:r w:rsidR="00E8128F">
        <w:rPr>
          <w:sz w:val="36"/>
          <w:szCs w:val="36"/>
          <w:rtl/>
        </w:rPr>
        <w:t xml:space="preserve"> </w:t>
      </w:r>
      <w:r w:rsidR="00C72E5D" w:rsidRPr="00FD211F">
        <w:rPr>
          <w:sz w:val="36"/>
          <w:szCs w:val="36"/>
          <w:rtl/>
        </w:rPr>
        <w:t>اذ</w:t>
      </w:r>
      <w:r w:rsidR="00E8128F">
        <w:rPr>
          <w:sz w:val="36"/>
          <w:szCs w:val="36"/>
          <w:rtl/>
        </w:rPr>
        <w:t xml:space="preserve"> </w:t>
      </w:r>
      <w:r w:rsidR="00C72E5D" w:rsidRPr="00FD211F">
        <w:rPr>
          <w:sz w:val="36"/>
          <w:szCs w:val="36"/>
          <w:rtl/>
        </w:rPr>
        <w:t>علم</w:t>
      </w:r>
      <w:r w:rsidR="00E8128F">
        <w:rPr>
          <w:sz w:val="36"/>
          <w:szCs w:val="36"/>
          <w:rtl/>
        </w:rPr>
        <w:t xml:space="preserve"> </w:t>
      </w:r>
      <w:r w:rsidR="00C72E5D" w:rsidRPr="00FD211F">
        <w:rPr>
          <w:sz w:val="36"/>
          <w:szCs w:val="36"/>
          <w:rtl/>
        </w:rPr>
        <w:t>المنطق</w:t>
      </w:r>
      <w:r w:rsidR="00E8128F">
        <w:rPr>
          <w:sz w:val="36"/>
          <w:szCs w:val="36"/>
          <w:rtl/>
        </w:rPr>
        <w:t xml:space="preserve"> </w:t>
      </w:r>
      <w:r w:rsidR="00E61EED" w:rsidRPr="00FD211F">
        <w:rPr>
          <w:sz w:val="36"/>
          <w:szCs w:val="36"/>
          <w:rtl/>
        </w:rPr>
        <w:t>علم</w:t>
      </w:r>
      <w:r w:rsidR="00E8128F">
        <w:rPr>
          <w:sz w:val="36"/>
          <w:szCs w:val="36"/>
          <w:rtl/>
        </w:rPr>
        <w:t xml:space="preserve"> </w:t>
      </w:r>
      <w:r w:rsidR="00C72E5D" w:rsidRPr="00FD211F">
        <w:rPr>
          <w:sz w:val="36"/>
          <w:szCs w:val="36"/>
          <w:rtl/>
        </w:rPr>
        <w:t>اصول</w:t>
      </w:r>
      <w:r w:rsidR="00E8128F">
        <w:rPr>
          <w:sz w:val="36"/>
          <w:szCs w:val="36"/>
          <w:rtl/>
        </w:rPr>
        <w:t xml:space="preserve"> </w:t>
      </w:r>
      <w:r w:rsidR="00C72E5D" w:rsidRPr="00FD211F">
        <w:rPr>
          <w:sz w:val="36"/>
          <w:szCs w:val="36"/>
          <w:rtl/>
        </w:rPr>
        <w:t>الاستدلال</w:t>
      </w:r>
      <w:r w:rsidR="00E8128F">
        <w:rPr>
          <w:sz w:val="36"/>
          <w:szCs w:val="36"/>
          <w:rtl/>
        </w:rPr>
        <w:t xml:space="preserve"> </w:t>
      </w:r>
      <w:r w:rsidR="00C72E5D" w:rsidRPr="00FD211F">
        <w:rPr>
          <w:sz w:val="36"/>
          <w:szCs w:val="36"/>
          <w:rtl/>
        </w:rPr>
        <w:t>بشكل</w:t>
      </w:r>
      <w:r w:rsidR="00E8128F">
        <w:rPr>
          <w:sz w:val="36"/>
          <w:szCs w:val="36"/>
          <w:rtl/>
        </w:rPr>
        <w:t xml:space="preserve"> </w:t>
      </w:r>
      <w:r w:rsidR="00C72E5D" w:rsidRPr="00FD211F">
        <w:rPr>
          <w:sz w:val="36"/>
          <w:szCs w:val="36"/>
          <w:rtl/>
        </w:rPr>
        <w:t>عام</w:t>
      </w:r>
      <w:r w:rsidR="00E8128F">
        <w:rPr>
          <w:sz w:val="36"/>
          <w:szCs w:val="36"/>
          <w:rtl/>
        </w:rPr>
        <w:t xml:space="preserve"> </w:t>
      </w:r>
      <w:r w:rsidR="00E61EED" w:rsidRPr="00FD211F">
        <w:rPr>
          <w:sz w:val="36"/>
          <w:szCs w:val="36"/>
          <w:rtl/>
        </w:rPr>
        <w:t>ولايختص</w:t>
      </w:r>
      <w:r w:rsidR="00E8128F">
        <w:rPr>
          <w:sz w:val="36"/>
          <w:szCs w:val="36"/>
          <w:rtl/>
        </w:rPr>
        <w:t xml:space="preserve"> </w:t>
      </w:r>
      <w:r w:rsidR="00E61EED" w:rsidRPr="00FD211F">
        <w:rPr>
          <w:sz w:val="36"/>
          <w:szCs w:val="36"/>
          <w:rtl/>
        </w:rPr>
        <w:t>بالاستدلال</w:t>
      </w:r>
      <w:r w:rsidR="00E8128F">
        <w:rPr>
          <w:sz w:val="36"/>
          <w:szCs w:val="36"/>
          <w:rtl/>
        </w:rPr>
        <w:t xml:space="preserve"> </w:t>
      </w:r>
      <w:r w:rsidR="00E61EED" w:rsidRPr="00FD211F">
        <w:rPr>
          <w:sz w:val="36"/>
          <w:szCs w:val="36"/>
          <w:rtl/>
        </w:rPr>
        <w:t>الفقهي</w:t>
      </w:r>
      <w:r w:rsidR="00603323" w:rsidRPr="00FD211F">
        <w:rPr>
          <w:sz w:val="36"/>
          <w:szCs w:val="36"/>
          <w:rtl/>
        </w:rPr>
        <w:t>،</w:t>
      </w:r>
      <w:r w:rsidR="00E8128F">
        <w:rPr>
          <w:sz w:val="36"/>
          <w:szCs w:val="36"/>
          <w:rtl/>
        </w:rPr>
        <w:t xml:space="preserve"> </w:t>
      </w:r>
      <w:r w:rsidR="00C72E5D" w:rsidRPr="00FD211F">
        <w:rPr>
          <w:sz w:val="36"/>
          <w:szCs w:val="36"/>
          <w:rtl/>
        </w:rPr>
        <w:t>وخرج</w:t>
      </w:r>
      <w:r w:rsidR="00E8128F">
        <w:rPr>
          <w:sz w:val="36"/>
          <w:szCs w:val="36"/>
          <w:rtl/>
        </w:rPr>
        <w:t xml:space="preserve"> </w:t>
      </w:r>
      <w:r w:rsidR="00C72E5D" w:rsidRPr="00FD211F">
        <w:rPr>
          <w:sz w:val="36"/>
          <w:szCs w:val="36"/>
          <w:rtl/>
        </w:rPr>
        <w:t>بقول</w:t>
      </w:r>
      <w:r w:rsidR="00C76457" w:rsidRPr="00FD211F">
        <w:rPr>
          <w:sz w:val="36"/>
          <w:szCs w:val="36"/>
          <w:rtl/>
        </w:rPr>
        <w:t>نا</w:t>
      </w:r>
      <w:r w:rsidR="00E8128F">
        <w:rPr>
          <w:sz w:val="36"/>
          <w:szCs w:val="36"/>
          <w:rtl/>
        </w:rPr>
        <w:t xml:space="preserve"> </w:t>
      </w:r>
      <w:r w:rsidR="00C72E5D" w:rsidRPr="00FD211F">
        <w:rPr>
          <w:sz w:val="36"/>
          <w:szCs w:val="36"/>
          <w:rtl/>
        </w:rPr>
        <w:t>"التي</w:t>
      </w:r>
      <w:r w:rsidR="00E8128F">
        <w:rPr>
          <w:sz w:val="36"/>
          <w:szCs w:val="36"/>
          <w:rtl/>
        </w:rPr>
        <w:t xml:space="preserve"> </w:t>
      </w:r>
      <w:r w:rsidR="00C72E5D" w:rsidRPr="00FD211F">
        <w:rPr>
          <w:sz w:val="36"/>
          <w:szCs w:val="36"/>
          <w:rtl/>
        </w:rPr>
        <w:t>يستعملها</w:t>
      </w:r>
      <w:r w:rsidR="00E8128F">
        <w:rPr>
          <w:sz w:val="36"/>
          <w:szCs w:val="36"/>
          <w:rtl/>
        </w:rPr>
        <w:t xml:space="preserve"> </w:t>
      </w:r>
      <w:r w:rsidR="00C72E5D" w:rsidRPr="00FD211F">
        <w:rPr>
          <w:sz w:val="36"/>
          <w:szCs w:val="36"/>
          <w:rtl/>
        </w:rPr>
        <w:t>الفقيه</w:t>
      </w:r>
      <w:r w:rsidR="00E8128F">
        <w:rPr>
          <w:sz w:val="36"/>
          <w:szCs w:val="36"/>
          <w:rtl/>
        </w:rPr>
        <w:t xml:space="preserve"> </w:t>
      </w:r>
      <w:r w:rsidR="00C72E5D" w:rsidRPr="00FD211F">
        <w:rPr>
          <w:sz w:val="36"/>
          <w:szCs w:val="36"/>
          <w:rtl/>
        </w:rPr>
        <w:t>كدليل</w:t>
      </w:r>
      <w:r w:rsidR="00E8128F">
        <w:rPr>
          <w:sz w:val="36"/>
          <w:szCs w:val="36"/>
          <w:rtl/>
        </w:rPr>
        <w:t xml:space="preserve"> </w:t>
      </w:r>
      <w:r w:rsidR="00C72E5D" w:rsidRPr="00FD211F">
        <w:rPr>
          <w:sz w:val="36"/>
          <w:szCs w:val="36"/>
          <w:rtl/>
        </w:rPr>
        <w:t>على</w:t>
      </w:r>
      <w:r w:rsidR="00E8128F">
        <w:rPr>
          <w:sz w:val="36"/>
          <w:szCs w:val="36"/>
          <w:rtl/>
        </w:rPr>
        <w:t xml:space="preserve"> </w:t>
      </w:r>
      <w:r w:rsidR="00C72E5D" w:rsidRPr="00FD211F">
        <w:rPr>
          <w:sz w:val="36"/>
          <w:szCs w:val="36"/>
          <w:rtl/>
        </w:rPr>
        <w:t>الجعل</w:t>
      </w:r>
      <w:r w:rsidR="00E8128F">
        <w:rPr>
          <w:sz w:val="36"/>
          <w:szCs w:val="36"/>
          <w:rtl/>
        </w:rPr>
        <w:t xml:space="preserve"> </w:t>
      </w:r>
      <w:r w:rsidR="00C72E5D" w:rsidRPr="00FD211F">
        <w:rPr>
          <w:sz w:val="36"/>
          <w:szCs w:val="36"/>
          <w:rtl/>
        </w:rPr>
        <w:t>الشرعي</w:t>
      </w:r>
      <w:r w:rsidR="00E8128F">
        <w:rPr>
          <w:sz w:val="36"/>
          <w:szCs w:val="36"/>
          <w:rtl/>
        </w:rPr>
        <w:t xml:space="preserve"> </w:t>
      </w:r>
      <w:r w:rsidR="00C72E5D" w:rsidRPr="00FD211F">
        <w:rPr>
          <w:sz w:val="36"/>
          <w:szCs w:val="36"/>
          <w:rtl/>
        </w:rPr>
        <w:t>الكلي"</w:t>
      </w:r>
      <w:r w:rsidR="00E8128F">
        <w:rPr>
          <w:sz w:val="36"/>
          <w:szCs w:val="36"/>
          <w:rtl/>
        </w:rPr>
        <w:t xml:space="preserve"> </w:t>
      </w:r>
      <w:r w:rsidR="00C72E5D" w:rsidRPr="00FD211F">
        <w:rPr>
          <w:sz w:val="36"/>
          <w:szCs w:val="36"/>
          <w:rtl/>
        </w:rPr>
        <w:t>مثل</w:t>
      </w:r>
      <w:r w:rsidR="00E8128F">
        <w:rPr>
          <w:sz w:val="36"/>
          <w:szCs w:val="36"/>
          <w:rtl/>
        </w:rPr>
        <w:t xml:space="preserve"> </w:t>
      </w:r>
      <w:r w:rsidR="00C76457" w:rsidRPr="00FD211F">
        <w:rPr>
          <w:sz w:val="36"/>
          <w:szCs w:val="36"/>
          <w:rtl/>
        </w:rPr>
        <w:t>مباحث</w:t>
      </w:r>
      <w:r w:rsidR="00E8128F">
        <w:rPr>
          <w:sz w:val="36"/>
          <w:szCs w:val="36"/>
          <w:rtl/>
        </w:rPr>
        <w:t xml:space="preserve"> </w:t>
      </w:r>
      <w:r w:rsidR="00C76457" w:rsidRPr="00FD211F">
        <w:rPr>
          <w:sz w:val="36"/>
          <w:szCs w:val="36"/>
          <w:rtl/>
        </w:rPr>
        <w:t>الرجال</w:t>
      </w:r>
      <w:r w:rsidR="00603323" w:rsidRPr="00FD211F">
        <w:rPr>
          <w:sz w:val="36"/>
          <w:szCs w:val="36"/>
          <w:rtl/>
        </w:rPr>
        <w:t>،</w:t>
      </w:r>
      <w:r w:rsidR="00E8128F">
        <w:rPr>
          <w:sz w:val="36"/>
          <w:szCs w:val="36"/>
          <w:rtl/>
        </w:rPr>
        <w:t xml:space="preserve"> </w:t>
      </w:r>
      <w:r w:rsidR="00C76457" w:rsidRPr="00FD211F">
        <w:rPr>
          <w:sz w:val="36"/>
          <w:szCs w:val="36"/>
          <w:rtl/>
        </w:rPr>
        <w:t>حيث</w:t>
      </w:r>
      <w:r w:rsidR="00E8128F">
        <w:rPr>
          <w:sz w:val="36"/>
          <w:szCs w:val="36"/>
          <w:rtl/>
        </w:rPr>
        <w:t xml:space="preserve"> </w:t>
      </w:r>
      <w:r w:rsidR="00C76457" w:rsidRPr="00FD211F">
        <w:rPr>
          <w:sz w:val="36"/>
          <w:szCs w:val="36"/>
          <w:rtl/>
        </w:rPr>
        <w:t>ان</w:t>
      </w:r>
      <w:r w:rsidR="00E8128F">
        <w:rPr>
          <w:sz w:val="36"/>
          <w:szCs w:val="36"/>
          <w:rtl/>
        </w:rPr>
        <w:t xml:space="preserve"> </w:t>
      </w:r>
      <w:r w:rsidR="00C76457" w:rsidRPr="00FD211F">
        <w:rPr>
          <w:sz w:val="36"/>
          <w:szCs w:val="36"/>
          <w:rtl/>
        </w:rPr>
        <w:t>الفقيه</w:t>
      </w:r>
      <w:r w:rsidR="00E8128F">
        <w:rPr>
          <w:sz w:val="36"/>
          <w:szCs w:val="36"/>
          <w:rtl/>
        </w:rPr>
        <w:t xml:space="preserve"> </w:t>
      </w:r>
      <w:r w:rsidR="00C76457" w:rsidRPr="00FD211F">
        <w:rPr>
          <w:sz w:val="36"/>
          <w:szCs w:val="36"/>
          <w:rtl/>
        </w:rPr>
        <w:t>لايستعملها</w:t>
      </w:r>
      <w:r w:rsidR="00E8128F">
        <w:rPr>
          <w:sz w:val="36"/>
          <w:szCs w:val="36"/>
          <w:rtl/>
        </w:rPr>
        <w:t xml:space="preserve"> </w:t>
      </w:r>
      <w:r w:rsidR="00C76457" w:rsidRPr="00FD211F">
        <w:rPr>
          <w:sz w:val="36"/>
          <w:szCs w:val="36"/>
          <w:rtl/>
        </w:rPr>
        <w:t>كدليل</w:t>
      </w:r>
      <w:r w:rsidR="00E8128F">
        <w:rPr>
          <w:sz w:val="36"/>
          <w:szCs w:val="36"/>
          <w:rtl/>
        </w:rPr>
        <w:t xml:space="preserve"> </w:t>
      </w:r>
      <w:r w:rsidR="00C76457" w:rsidRPr="00FD211F">
        <w:rPr>
          <w:sz w:val="36"/>
          <w:szCs w:val="36"/>
          <w:rtl/>
        </w:rPr>
        <w:t>على</w:t>
      </w:r>
      <w:r w:rsidR="00E8128F">
        <w:rPr>
          <w:sz w:val="36"/>
          <w:szCs w:val="36"/>
          <w:rtl/>
        </w:rPr>
        <w:t xml:space="preserve"> </w:t>
      </w:r>
      <w:r w:rsidR="00C76457" w:rsidRPr="00FD211F">
        <w:rPr>
          <w:sz w:val="36"/>
          <w:szCs w:val="36"/>
          <w:rtl/>
        </w:rPr>
        <w:t>الجعل</w:t>
      </w:r>
      <w:r w:rsidR="00E8128F">
        <w:rPr>
          <w:sz w:val="36"/>
          <w:szCs w:val="36"/>
          <w:rtl/>
        </w:rPr>
        <w:t xml:space="preserve"> </w:t>
      </w:r>
      <w:r w:rsidR="00C76457" w:rsidRPr="00FD211F">
        <w:rPr>
          <w:sz w:val="36"/>
          <w:szCs w:val="36"/>
          <w:rtl/>
        </w:rPr>
        <w:t>الشرعي</w:t>
      </w:r>
      <w:r w:rsidR="00603323" w:rsidRPr="00FD211F">
        <w:rPr>
          <w:sz w:val="36"/>
          <w:szCs w:val="36"/>
          <w:rtl/>
        </w:rPr>
        <w:t>،</w:t>
      </w:r>
      <w:r w:rsidR="00E8128F">
        <w:rPr>
          <w:sz w:val="36"/>
          <w:szCs w:val="36"/>
          <w:rtl/>
        </w:rPr>
        <w:t xml:space="preserve"> </w:t>
      </w:r>
      <w:r w:rsidR="00C76457" w:rsidRPr="00FD211F">
        <w:rPr>
          <w:sz w:val="36"/>
          <w:szCs w:val="36"/>
          <w:rtl/>
        </w:rPr>
        <w:t>وانما</w:t>
      </w:r>
      <w:r w:rsidR="00E8128F">
        <w:rPr>
          <w:sz w:val="36"/>
          <w:szCs w:val="36"/>
          <w:rtl/>
        </w:rPr>
        <w:t xml:space="preserve"> </w:t>
      </w:r>
      <w:r w:rsidR="00C76457" w:rsidRPr="00FD211F">
        <w:rPr>
          <w:sz w:val="36"/>
          <w:szCs w:val="36"/>
          <w:rtl/>
        </w:rPr>
        <w:t>يستعملها</w:t>
      </w:r>
      <w:r w:rsidR="00E8128F">
        <w:rPr>
          <w:sz w:val="36"/>
          <w:szCs w:val="36"/>
          <w:rtl/>
        </w:rPr>
        <w:t xml:space="preserve"> </w:t>
      </w:r>
      <w:r w:rsidR="00C76457" w:rsidRPr="00FD211F">
        <w:rPr>
          <w:sz w:val="36"/>
          <w:szCs w:val="36"/>
          <w:rtl/>
        </w:rPr>
        <w:t>لتنقيح</w:t>
      </w:r>
      <w:r w:rsidR="00E8128F">
        <w:rPr>
          <w:sz w:val="36"/>
          <w:szCs w:val="36"/>
          <w:rtl/>
        </w:rPr>
        <w:t xml:space="preserve"> </w:t>
      </w:r>
      <w:r w:rsidR="00C76457" w:rsidRPr="00FD211F">
        <w:rPr>
          <w:sz w:val="36"/>
          <w:szCs w:val="36"/>
          <w:rtl/>
        </w:rPr>
        <w:t>موضوع</w:t>
      </w:r>
      <w:r w:rsidR="00E8128F">
        <w:rPr>
          <w:sz w:val="36"/>
          <w:szCs w:val="36"/>
          <w:rtl/>
        </w:rPr>
        <w:t xml:space="preserve"> </w:t>
      </w:r>
      <w:r w:rsidR="00C76457" w:rsidRPr="00FD211F">
        <w:rPr>
          <w:sz w:val="36"/>
          <w:szCs w:val="36"/>
          <w:rtl/>
        </w:rPr>
        <w:t>الدليل</w:t>
      </w:r>
      <w:r w:rsidR="00E8128F">
        <w:rPr>
          <w:sz w:val="36"/>
          <w:szCs w:val="36"/>
          <w:rtl/>
        </w:rPr>
        <w:t xml:space="preserve"> </w:t>
      </w:r>
      <w:r w:rsidR="00C76457" w:rsidRPr="00FD211F">
        <w:rPr>
          <w:sz w:val="36"/>
          <w:szCs w:val="36"/>
          <w:rtl/>
        </w:rPr>
        <w:t>وهو</w:t>
      </w:r>
      <w:r w:rsidR="00E8128F">
        <w:rPr>
          <w:sz w:val="36"/>
          <w:szCs w:val="36"/>
          <w:rtl/>
        </w:rPr>
        <w:t xml:space="preserve"> </w:t>
      </w:r>
      <w:r w:rsidR="00C76457" w:rsidRPr="00FD211F">
        <w:rPr>
          <w:sz w:val="36"/>
          <w:szCs w:val="36"/>
          <w:rtl/>
        </w:rPr>
        <w:t>خبر</w:t>
      </w:r>
      <w:r w:rsidR="00E8128F">
        <w:rPr>
          <w:sz w:val="36"/>
          <w:szCs w:val="36"/>
          <w:rtl/>
        </w:rPr>
        <w:t xml:space="preserve"> </w:t>
      </w:r>
      <w:r w:rsidR="00C76457" w:rsidRPr="00FD211F">
        <w:rPr>
          <w:sz w:val="36"/>
          <w:szCs w:val="36"/>
          <w:rtl/>
        </w:rPr>
        <w:t>الثق</w:t>
      </w:r>
      <w:r w:rsidR="00EC7EDF" w:rsidRPr="00FD211F">
        <w:rPr>
          <w:sz w:val="36"/>
          <w:szCs w:val="36"/>
          <w:rtl/>
        </w:rPr>
        <w:t>ة</w:t>
      </w:r>
      <w:r w:rsidR="00A61BAE" w:rsidRPr="00FD211F">
        <w:rPr>
          <w:sz w:val="36"/>
          <w:szCs w:val="36"/>
          <w:rtl/>
        </w:rPr>
        <w:t>.</w:t>
      </w:r>
    </w:p>
    <w:p w14:paraId="47FE413F" w14:textId="77777777" w:rsidR="000C5BBA" w:rsidRPr="00FD211F" w:rsidRDefault="00C76457" w:rsidP="009C58C8">
      <w:pPr>
        <w:ind w:left="0" w:firstLine="227"/>
        <w:jc w:val="both"/>
        <w:rPr>
          <w:sz w:val="36"/>
          <w:szCs w:val="36"/>
          <w:rtl/>
        </w:rPr>
      </w:pPr>
      <w:r w:rsidRPr="00FD211F">
        <w:rPr>
          <w:sz w:val="36"/>
          <w:szCs w:val="36"/>
          <w:rtl/>
        </w:rPr>
        <w:t>و</w:t>
      </w:r>
      <w:r w:rsidR="007008CD" w:rsidRPr="00FD211F">
        <w:rPr>
          <w:sz w:val="36"/>
          <w:szCs w:val="36"/>
          <w:rtl/>
        </w:rPr>
        <w:t>ادعاء</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لازم</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خروج</w:t>
      </w:r>
      <w:r w:rsidR="00E8128F">
        <w:rPr>
          <w:sz w:val="36"/>
          <w:szCs w:val="36"/>
          <w:rtl/>
        </w:rPr>
        <w:t xml:space="preserve"> </w:t>
      </w:r>
      <w:r w:rsidRPr="00FD211F">
        <w:rPr>
          <w:sz w:val="36"/>
          <w:szCs w:val="36"/>
          <w:rtl/>
        </w:rPr>
        <w:t>بحث</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خبر</w:t>
      </w:r>
      <w:r w:rsidR="00E8128F">
        <w:rPr>
          <w:sz w:val="36"/>
          <w:szCs w:val="36"/>
          <w:rtl/>
        </w:rPr>
        <w:t xml:space="preserve"> </w:t>
      </w:r>
      <w:r w:rsidRPr="00FD211F">
        <w:rPr>
          <w:sz w:val="36"/>
          <w:szCs w:val="36"/>
          <w:rtl/>
        </w:rPr>
        <w:t>الثق</w:t>
      </w:r>
      <w:r w:rsidR="00EC7EDF" w:rsidRPr="00FD211F">
        <w:rPr>
          <w:sz w:val="36"/>
          <w:szCs w:val="36"/>
          <w:rtl/>
        </w:rPr>
        <w:t>ة</w:t>
      </w:r>
      <w:r w:rsidR="00E8128F">
        <w:rPr>
          <w:sz w:val="36"/>
          <w:szCs w:val="36"/>
          <w:rtl/>
        </w:rPr>
        <w:t xml:space="preserve"> </w:t>
      </w:r>
      <w:r w:rsidRPr="00FD211F">
        <w:rPr>
          <w:sz w:val="36"/>
          <w:szCs w:val="36"/>
          <w:rtl/>
        </w:rPr>
        <w:t>ايضا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لان</w:t>
      </w:r>
      <w:r w:rsidR="00E8128F">
        <w:rPr>
          <w:sz w:val="36"/>
          <w:szCs w:val="36"/>
          <w:rtl/>
        </w:rPr>
        <w:t xml:space="preserve"> </w:t>
      </w:r>
      <w:r w:rsidRPr="00FD211F">
        <w:rPr>
          <w:sz w:val="36"/>
          <w:szCs w:val="36"/>
          <w:rtl/>
        </w:rPr>
        <w:t>خبر</w:t>
      </w:r>
      <w:r w:rsidR="00E8128F">
        <w:rPr>
          <w:sz w:val="36"/>
          <w:szCs w:val="36"/>
          <w:rtl/>
        </w:rPr>
        <w:t xml:space="preserve"> </w:t>
      </w:r>
      <w:r w:rsidRPr="00FD211F">
        <w:rPr>
          <w:sz w:val="36"/>
          <w:szCs w:val="36"/>
          <w:rtl/>
        </w:rPr>
        <w:t>الثق</w:t>
      </w:r>
      <w:r w:rsidR="00EC7EDF" w:rsidRPr="00FD211F">
        <w:rPr>
          <w:sz w:val="36"/>
          <w:szCs w:val="36"/>
          <w:rtl/>
        </w:rPr>
        <w:t>ة</w:t>
      </w:r>
      <w:r w:rsidR="00E8128F">
        <w:rPr>
          <w:sz w:val="36"/>
          <w:szCs w:val="36"/>
          <w:rtl/>
        </w:rPr>
        <w:t xml:space="preserve"> </w:t>
      </w:r>
      <w:r w:rsidRPr="00FD211F">
        <w:rPr>
          <w:sz w:val="36"/>
          <w:szCs w:val="36"/>
          <w:rtl/>
        </w:rPr>
        <w:t>ينقح</w:t>
      </w:r>
      <w:r w:rsidR="00E8128F">
        <w:rPr>
          <w:sz w:val="36"/>
          <w:szCs w:val="36"/>
          <w:rtl/>
        </w:rPr>
        <w:t xml:space="preserve"> </w:t>
      </w:r>
      <w:r w:rsidRPr="00FD211F">
        <w:rPr>
          <w:sz w:val="36"/>
          <w:szCs w:val="36"/>
          <w:rtl/>
        </w:rPr>
        <w:t>موضوع</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الكلام</w:t>
      </w:r>
      <w:r w:rsidR="00E8128F">
        <w:rPr>
          <w:sz w:val="36"/>
          <w:szCs w:val="36"/>
          <w:rtl/>
        </w:rPr>
        <w:t xml:space="preserve"> </w:t>
      </w:r>
      <w:r w:rsidRPr="00FD211F">
        <w:rPr>
          <w:sz w:val="36"/>
          <w:szCs w:val="36"/>
          <w:rtl/>
        </w:rPr>
        <w:t>الصادر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الإمام</w:t>
      </w:r>
      <w:r w:rsidR="00E8128F">
        <w:rPr>
          <w:sz w:val="36"/>
          <w:szCs w:val="36"/>
          <w:rtl/>
        </w:rPr>
        <w:t xml:space="preserve"> </w:t>
      </w:r>
      <w:r w:rsidR="007A4A0D" w:rsidRPr="00FD211F">
        <w:rPr>
          <w:sz w:val="36"/>
          <w:szCs w:val="36"/>
          <w:rtl/>
        </w:rPr>
        <w:t>(عليه‌السلام)</w:t>
      </w:r>
      <w:r w:rsidR="00603323" w:rsidRPr="00FD211F">
        <w:rPr>
          <w:sz w:val="36"/>
          <w:szCs w:val="36"/>
          <w:rtl/>
        </w:rPr>
        <w:t>،</w:t>
      </w:r>
      <w:r w:rsidR="00E8128F">
        <w:rPr>
          <w:sz w:val="36"/>
          <w:szCs w:val="36"/>
          <w:rtl/>
        </w:rPr>
        <w:t xml:space="preserve"> </w:t>
      </w:r>
      <w:r w:rsidR="007008CD" w:rsidRPr="00FD211F">
        <w:rPr>
          <w:sz w:val="36"/>
          <w:szCs w:val="36"/>
          <w:rtl/>
        </w:rPr>
        <w:t>غير</w:t>
      </w:r>
      <w:r w:rsidR="00E8128F">
        <w:rPr>
          <w:sz w:val="36"/>
          <w:szCs w:val="36"/>
          <w:rtl/>
        </w:rPr>
        <w:t xml:space="preserve"> </w:t>
      </w:r>
      <w:r w:rsidR="007008CD" w:rsidRPr="00FD211F">
        <w:rPr>
          <w:sz w:val="36"/>
          <w:szCs w:val="36"/>
          <w:rtl/>
        </w:rPr>
        <w:t>تامّ</w:t>
      </w:r>
      <w:r w:rsidR="00E8128F">
        <w:rPr>
          <w:sz w:val="36"/>
          <w:szCs w:val="36"/>
          <w:rtl/>
        </w:rPr>
        <w:t xml:space="preserve"> </w:t>
      </w:r>
      <w:r w:rsidRPr="00FD211F">
        <w:rPr>
          <w:sz w:val="36"/>
          <w:szCs w:val="36"/>
          <w:rtl/>
        </w:rPr>
        <w:t>فان</w:t>
      </w:r>
      <w:r w:rsidR="00E8128F">
        <w:rPr>
          <w:sz w:val="36"/>
          <w:szCs w:val="36"/>
          <w:rtl/>
        </w:rPr>
        <w:t xml:space="preserve"> </w:t>
      </w:r>
      <w:r w:rsidR="004E6AE5" w:rsidRPr="00FD211F">
        <w:rPr>
          <w:sz w:val="36"/>
          <w:szCs w:val="36"/>
          <w:rtl/>
        </w:rPr>
        <w:t>خبر</w:t>
      </w:r>
      <w:r w:rsidR="00E8128F">
        <w:rPr>
          <w:sz w:val="36"/>
          <w:szCs w:val="36"/>
          <w:rtl/>
        </w:rPr>
        <w:t xml:space="preserve"> </w:t>
      </w:r>
      <w:r w:rsidR="004E6AE5" w:rsidRPr="00FD211F">
        <w:rPr>
          <w:sz w:val="36"/>
          <w:szCs w:val="36"/>
          <w:rtl/>
        </w:rPr>
        <w:t>الثق</w:t>
      </w:r>
      <w:r w:rsidR="00EC7EDF" w:rsidRPr="00FD211F">
        <w:rPr>
          <w:sz w:val="36"/>
          <w:szCs w:val="36"/>
          <w:rtl/>
        </w:rPr>
        <w:t>ة</w:t>
      </w:r>
      <w:r w:rsidR="00E8128F">
        <w:rPr>
          <w:sz w:val="36"/>
          <w:szCs w:val="36"/>
          <w:rtl/>
        </w:rPr>
        <w:t xml:space="preserve"> </w:t>
      </w:r>
      <w:r w:rsidR="004E6AE5" w:rsidRPr="00FD211F">
        <w:rPr>
          <w:sz w:val="36"/>
          <w:szCs w:val="36"/>
          <w:rtl/>
        </w:rPr>
        <w:t>منجز</w:t>
      </w:r>
      <w:r w:rsidR="00E8128F">
        <w:rPr>
          <w:sz w:val="36"/>
          <w:szCs w:val="36"/>
          <w:rtl/>
        </w:rPr>
        <w:t xml:space="preserve"> </w:t>
      </w:r>
      <w:r w:rsidRPr="00FD211F">
        <w:rPr>
          <w:sz w:val="36"/>
          <w:szCs w:val="36"/>
          <w:rtl/>
        </w:rPr>
        <w:t>للحكم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الواقعي</w:t>
      </w:r>
      <w:r w:rsidR="00E8128F">
        <w:rPr>
          <w:sz w:val="36"/>
          <w:szCs w:val="36"/>
          <w:rtl/>
        </w:rPr>
        <w:t xml:space="preserve"> </w:t>
      </w:r>
      <w:r w:rsidRPr="00FD211F">
        <w:rPr>
          <w:sz w:val="36"/>
          <w:szCs w:val="36"/>
          <w:rtl/>
        </w:rPr>
        <w:t>ابتداءا</w:t>
      </w:r>
      <w:r w:rsidR="00603323" w:rsidRPr="00FD211F">
        <w:rPr>
          <w:sz w:val="36"/>
          <w:szCs w:val="36"/>
          <w:rtl/>
        </w:rPr>
        <w:t>،</w:t>
      </w:r>
      <w:r w:rsidR="00E8128F">
        <w:rPr>
          <w:sz w:val="36"/>
          <w:szCs w:val="36"/>
          <w:rtl/>
        </w:rPr>
        <w:t xml:space="preserve"> </w:t>
      </w:r>
      <w:r w:rsidR="004E6AE5" w:rsidRPr="00FD211F">
        <w:rPr>
          <w:sz w:val="36"/>
          <w:szCs w:val="36"/>
          <w:rtl/>
        </w:rPr>
        <w:t>لاانه</w:t>
      </w:r>
      <w:r w:rsidR="00E8128F">
        <w:rPr>
          <w:sz w:val="36"/>
          <w:szCs w:val="36"/>
          <w:rtl/>
        </w:rPr>
        <w:t xml:space="preserve"> </w:t>
      </w:r>
      <w:r w:rsidR="004E6AE5" w:rsidRPr="00FD211F">
        <w:rPr>
          <w:sz w:val="36"/>
          <w:szCs w:val="36"/>
          <w:rtl/>
        </w:rPr>
        <w:t>منقح</w:t>
      </w:r>
      <w:r w:rsidR="00E8128F">
        <w:rPr>
          <w:sz w:val="36"/>
          <w:szCs w:val="36"/>
          <w:rtl/>
        </w:rPr>
        <w:t xml:space="preserve"> </w:t>
      </w:r>
      <w:r w:rsidR="004E6AE5" w:rsidRPr="00FD211F">
        <w:rPr>
          <w:sz w:val="36"/>
          <w:szCs w:val="36"/>
          <w:rtl/>
        </w:rPr>
        <w:t>لموضوع</w:t>
      </w:r>
      <w:r w:rsidR="00E8128F">
        <w:rPr>
          <w:sz w:val="36"/>
          <w:szCs w:val="36"/>
          <w:rtl/>
        </w:rPr>
        <w:t xml:space="preserve"> </w:t>
      </w:r>
      <w:r w:rsidR="004E6AE5" w:rsidRPr="00FD211F">
        <w:rPr>
          <w:sz w:val="36"/>
          <w:szCs w:val="36"/>
          <w:rtl/>
        </w:rPr>
        <w:t>حجي</w:t>
      </w:r>
      <w:r w:rsidR="00EC7EDF" w:rsidRPr="00FD211F">
        <w:rPr>
          <w:sz w:val="36"/>
          <w:szCs w:val="36"/>
          <w:rtl/>
        </w:rPr>
        <w:t>ة</w:t>
      </w:r>
      <w:r w:rsidR="00E8128F">
        <w:rPr>
          <w:sz w:val="36"/>
          <w:szCs w:val="36"/>
          <w:rtl/>
        </w:rPr>
        <w:t xml:space="preserve"> </w:t>
      </w:r>
      <w:r w:rsidR="004E6AE5" w:rsidRPr="00FD211F">
        <w:rPr>
          <w:sz w:val="36"/>
          <w:szCs w:val="36"/>
          <w:rtl/>
        </w:rPr>
        <w:t>كلام</w:t>
      </w:r>
      <w:r w:rsidR="00E8128F">
        <w:rPr>
          <w:sz w:val="36"/>
          <w:szCs w:val="36"/>
          <w:rtl/>
        </w:rPr>
        <w:t xml:space="preserve"> </w:t>
      </w:r>
      <w:r w:rsidR="004E6AE5" w:rsidRPr="00FD211F">
        <w:rPr>
          <w:sz w:val="36"/>
          <w:szCs w:val="36"/>
          <w:rtl/>
        </w:rPr>
        <w:t>الامام</w:t>
      </w:r>
      <w:r w:rsidR="00E8128F">
        <w:rPr>
          <w:sz w:val="36"/>
          <w:szCs w:val="36"/>
          <w:rtl/>
        </w:rPr>
        <w:t xml:space="preserve"> </w:t>
      </w:r>
      <w:r w:rsidR="007A4A0D" w:rsidRPr="00FD211F">
        <w:rPr>
          <w:sz w:val="36"/>
          <w:szCs w:val="36"/>
          <w:rtl/>
        </w:rPr>
        <w:t>(عليه‌السلام)</w:t>
      </w:r>
      <w:r w:rsidR="00603323" w:rsidRPr="00FD211F">
        <w:rPr>
          <w:sz w:val="36"/>
          <w:szCs w:val="36"/>
          <w:rtl/>
        </w:rPr>
        <w:t>،</w:t>
      </w:r>
      <w:r w:rsidR="00E8128F">
        <w:rPr>
          <w:sz w:val="36"/>
          <w:szCs w:val="36"/>
          <w:rtl/>
        </w:rPr>
        <w:t xml:space="preserve"> </w:t>
      </w:r>
      <w:r w:rsidRPr="00FD211F">
        <w:rPr>
          <w:sz w:val="36"/>
          <w:szCs w:val="36"/>
          <w:rtl/>
        </w:rPr>
        <w:t>ولذا</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الواقعي</w:t>
      </w:r>
      <w:r w:rsidR="00E8128F">
        <w:rPr>
          <w:sz w:val="36"/>
          <w:szCs w:val="36"/>
          <w:rtl/>
        </w:rPr>
        <w:t xml:space="preserve"> </w:t>
      </w:r>
      <w:r w:rsidRPr="00FD211F">
        <w:rPr>
          <w:sz w:val="36"/>
          <w:szCs w:val="36"/>
          <w:rtl/>
        </w:rPr>
        <w:t>متنجزا</w:t>
      </w:r>
      <w:r w:rsidR="00E8128F">
        <w:rPr>
          <w:sz w:val="36"/>
          <w:szCs w:val="36"/>
          <w:rtl/>
        </w:rPr>
        <w:t xml:space="preserve"> </w:t>
      </w:r>
      <w:r w:rsidR="00A4777B" w:rsidRPr="00FD211F">
        <w:rPr>
          <w:sz w:val="36"/>
          <w:szCs w:val="36"/>
          <w:rtl/>
        </w:rPr>
        <w:t>بخبر</w:t>
      </w:r>
      <w:r w:rsidR="00E8128F">
        <w:rPr>
          <w:sz w:val="36"/>
          <w:szCs w:val="36"/>
          <w:rtl/>
        </w:rPr>
        <w:t xml:space="preserve"> </w:t>
      </w:r>
      <w:r w:rsidR="00A4777B" w:rsidRPr="00FD211F">
        <w:rPr>
          <w:sz w:val="36"/>
          <w:szCs w:val="36"/>
          <w:rtl/>
        </w:rPr>
        <w:t>الثق</w:t>
      </w:r>
      <w:r w:rsidR="00EC7EDF" w:rsidRPr="00FD211F">
        <w:rPr>
          <w:sz w:val="36"/>
          <w:szCs w:val="36"/>
          <w:rtl/>
        </w:rPr>
        <w:t>ة</w:t>
      </w:r>
      <w:r w:rsidR="00E8128F">
        <w:rPr>
          <w:sz w:val="36"/>
          <w:szCs w:val="36"/>
          <w:rtl/>
        </w:rPr>
        <w:t xml:space="preserve"> </w:t>
      </w:r>
      <w:r w:rsidRPr="00FD211F">
        <w:rPr>
          <w:sz w:val="36"/>
          <w:szCs w:val="36"/>
          <w:rtl/>
        </w:rPr>
        <w:t>ول</w:t>
      </w:r>
      <w:r w:rsidR="009977FE" w:rsidRPr="00FD211F">
        <w:rPr>
          <w:sz w:val="36"/>
          <w:szCs w:val="36"/>
          <w:rtl/>
        </w:rPr>
        <w:t>و</w:t>
      </w:r>
      <w:r w:rsidR="00E8128F">
        <w:rPr>
          <w:sz w:val="36"/>
          <w:szCs w:val="36"/>
          <w:rtl/>
        </w:rPr>
        <w:t xml:space="preserve"> </w:t>
      </w:r>
      <w:r w:rsidR="008D7B3D" w:rsidRPr="00FD211F">
        <w:rPr>
          <w:sz w:val="36"/>
          <w:szCs w:val="36"/>
          <w:rtl/>
        </w:rPr>
        <w:t>لم‌</w:t>
      </w:r>
      <w:r w:rsidRPr="00FD211F">
        <w:rPr>
          <w:sz w:val="36"/>
          <w:szCs w:val="36"/>
          <w:rtl/>
        </w:rPr>
        <w:t>يكن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اخبر</w:t>
      </w:r>
      <w:r w:rsidR="00E8128F">
        <w:rPr>
          <w:sz w:val="36"/>
          <w:szCs w:val="36"/>
          <w:rtl/>
        </w:rPr>
        <w:t xml:space="preserve"> </w:t>
      </w:r>
      <w:r w:rsidRPr="00FD211F">
        <w:rPr>
          <w:sz w:val="36"/>
          <w:szCs w:val="36"/>
          <w:rtl/>
        </w:rPr>
        <w:t>به</w:t>
      </w:r>
      <w:r w:rsidR="00E8128F">
        <w:rPr>
          <w:sz w:val="36"/>
          <w:szCs w:val="36"/>
          <w:rtl/>
        </w:rPr>
        <w:t xml:space="preserve"> </w:t>
      </w:r>
      <w:r w:rsidRPr="00FD211F">
        <w:rPr>
          <w:sz w:val="36"/>
          <w:szCs w:val="36"/>
          <w:rtl/>
        </w:rPr>
        <w:t>صادرا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الإمام</w:t>
      </w:r>
      <w:r w:rsidR="00E8128F">
        <w:rPr>
          <w:sz w:val="36"/>
          <w:szCs w:val="36"/>
          <w:rtl/>
        </w:rPr>
        <w:t xml:space="preserve"> </w:t>
      </w:r>
      <w:r w:rsidR="007A4A0D" w:rsidRPr="00FD211F">
        <w:rPr>
          <w:sz w:val="36"/>
          <w:szCs w:val="36"/>
          <w:rtl/>
        </w:rPr>
        <w:t>(عليه‌السلام)</w:t>
      </w:r>
      <w:r w:rsidR="00603323" w:rsidRPr="00FD211F">
        <w:rPr>
          <w:sz w:val="36"/>
          <w:szCs w:val="36"/>
          <w:rtl/>
        </w:rPr>
        <w:t>،</w:t>
      </w:r>
      <w:r w:rsidR="00E8128F">
        <w:rPr>
          <w:sz w:val="36"/>
          <w:szCs w:val="36"/>
          <w:rtl/>
        </w:rPr>
        <w:t xml:space="preserve"> </w:t>
      </w:r>
      <w:r w:rsidR="00A4777B" w:rsidRPr="00FD211F">
        <w:rPr>
          <w:sz w:val="36"/>
          <w:szCs w:val="36"/>
          <w:rtl/>
        </w:rPr>
        <w:t>وهذا</w:t>
      </w:r>
      <w:r w:rsidR="00E8128F">
        <w:rPr>
          <w:sz w:val="36"/>
          <w:szCs w:val="36"/>
          <w:rtl/>
        </w:rPr>
        <w:t xml:space="preserve"> </w:t>
      </w:r>
      <w:r w:rsidR="00A4777B" w:rsidRPr="00FD211F">
        <w:rPr>
          <w:sz w:val="36"/>
          <w:szCs w:val="36"/>
          <w:rtl/>
        </w:rPr>
        <w:t>بخلاف</w:t>
      </w:r>
      <w:r w:rsidR="00E8128F">
        <w:rPr>
          <w:sz w:val="36"/>
          <w:szCs w:val="36"/>
          <w:rtl/>
        </w:rPr>
        <w:t xml:space="preserve"> </w:t>
      </w:r>
      <w:r w:rsidR="00A4777B" w:rsidRPr="00FD211F">
        <w:rPr>
          <w:sz w:val="36"/>
          <w:szCs w:val="36"/>
          <w:rtl/>
        </w:rPr>
        <w:t>التوثيقات</w:t>
      </w:r>
      <w:r w:rsidR="00E8128F">
        <w:rPr>
          <w:sz w:val="36"/>
          <w:szCs w:val="36"/>
          <w:rtl/>
        </w:rPr>
        <w:t xml:space="preserve"> </w:t>
      </w:r>
      <w:r w:rsidR="00A4777B" w:rsidRPr="00FD211F">
        <w:rPr>
          <w:sz w:val="36"/>
          <w:szCs w:val="36"/>
          <w:rtl/>
        </w:rPr>
        <w:t>الرجالي</w:t>
      </w:r>
      <w:r w:rsidR="00EC7EDF" w:rsidRPr="00FD211F">
        <w:rPr>
          <w:sz w:val="36"/>
          <w:szCs w:val="36"/>
          <w:rtl/>
        </w:rPr>
        <w:t>ة</w:t>
      </w:r>
      <w:r w:rsidR="00E8128F">
        <w:rPr>
          <w:sz w:val="36"/>
          <w:szCs w:val="36"/>
          <w:rtl/>
        </w:rPr>
        <w:t xml:space="preserve"> </w:t>
      </w:r>
      <w:r w:rsidR="00A4777B" w:rsidRPr="00FD211F">
        <w:rPr>
          <w:sz w:val="36"/>
          <w:szCs w:val="36"/>
          <w:rtl/>
        </w:rPr>
        <w:t>فانها</w:t>
      </w:r>
      <w:r w:rsidR="00E8128F">
        <w:rPr>
          <w:sz w:val="36"/>
          <w:szCs w:val="36"/>
          <w:rtl/>
        </w:rPr>
        <w:t xml:space="preserve"> </w:t>
      </w:r>
      <w:r w:rsidR="00A4777B" w:rsidRPr="00FD211F">
        <w:rPr>
          <w:sz w:val="36"/>
          <w:szCs w:val="36"/>
          <w:rtl/>
        </w:rPr>
        <w:t>ليست</w:t>
      </w:r>
      <w:r w:rsidR="00E8128F">
        <w:rPr>
          <w:sz w:val="36"/>
          <w:szCs w:val="36"/>
          <w:rtl/>
        </w:rPr>
        <w:t xml:space="preserve"> </w:t>
      </w:r>
      <w:r w:rsidR="00A4777B" w:rsidRPr="00FD211F">
        <w:rPr>
          <w:sz w:val="36"/>
          <w:szCs w:val="36"/>
          <w:rtl/>
        </w:rPr>
        <w:t>منجز</w:t>
      </w:r>
      <w:r w:rsidR="00EC7EDF" w:rsidRPr="00FD211F">
        <w:rPr>
          <w:sz w:val="36"/>
          <w:szCs w:val="36"/>
          <w:rtl/>
        </w:rPr>
        <w:t>ة</w:t>
      </w:r>
      <w:r w:rsidR="00E8128F">
        <w:rPr>
          <w:sz w:val="36"/>
          <w:szCs w:val="36"/>
          <w:rtl/>
        </w:rPr>
        <w:t xml:space="preserve"> </w:t>
      </w:r>
      <w:r w:rsidR="00A4777B" w:rsidRPr="00FD211F">
        <w:rPr>
          <w:sz w:val="36"/>
          <w:szCs w:val="36"/>
          <w:rtl/>
        </w:rPr>
        <w:t>للحكم</w:t>
      </w:r>
      <w:r w:rsidR="00E8128F">
        <w:rPr>
          <w:sz w:val="36"/>
          <w:szCs w:val="36"/>
          <w:rtl/>
        </w:rPr>
        <w:t xml:space="preserve"> </w:t>
      </w:r>
      <w:r w:rsidR="00A4777B" w:rsidRPr="00FD211F">
        <w:rPr>
          <w:sz w:val="36"/>
          <w:szCs w:val="36"/>
          <w:rtl/>
        </w:rPr>
        <w:t>الشرعي</w:t>
      </w:r>
      <w:r w:rsidR="00E8128F">
        <w:rPr>
          <w:sz w:val="36"/>
          <w:szCs w:val="36"/>
          <w:rtl/>
        </w:rPr>
        <w:t xml:space="preserve"> </w:t>
      </w:r>
      <w:r w:rsidR="00A4777B" w:rsidRPr="00FD211F">
        <w:rPr>
          <w:sz w:val="36"/>
          <w:szCs w:val="36"/>
          <w:rtl/>
        </w:rPr>
        <w:t>الواقعي</w:t>
      </w:r>
      <w:r w:rsidR="00E8128F">
        <w:rPr>
          <w:sz w:val="36"/>
          <w:szCs w:val="36"/>
          <w:rtl/>
        </w:rPr>
        <w:t xml:space="preserve"> </w:t>
      </w:r>
      <w:r w:rsidR="00A4777B" w:rsidRPr="00FD211F">
        <w:rPr>
          <w:sz w:val="36"/>
          <w:szCs w:val="36"/>
          <w:rtl/>
        </w:rPr>
        <w:t>ابتداء</w:t>
      </w:r>
      <w:r w:rsidR="00E8128F">
        <w:rPr>
          <w:sz w:val="36"/>
          <w:szCs w:val="36"/>
          <w:rtl/>
        </w:rPr>
        <w:t xml:space="preserve"> </w:t>
      </w:r>
      <w:r w:rsidR="00A4777B" w:rsidRPr="00FD211F">
        <w:rPr>
          <w:sz w:val="36"/>
          <w:szCs w:val="36"/>
          <w:rtl/>
        </w:rPr>
        <w:t>وانما</w:t>
      </w:r>
      <w:r w:rsidR="00E8128F">
        <w:rPr>
          <w:sz w:val="36"/>
          <w:szCs w:val="36"/>
          <w:rtl/>
        </w:rPr>
        <w:t xml:space="preserve"> </w:t>
      </w:r>
      <w:r w:rsidR="003E5ACF" w:rsidRPr="00FD211F">
        <w:rPr>
          <w:sz w:val="36"/>
          <w:szCs w:val="36"/>
          <w:rtl/>
        </w:rPr>
        <w:t>هي</w:t>
      </w:r>
      <w:r w:rsidR="00E8128F">
        <w:rPr>
          <w:sz w:val="36"/>
          <w:szCs w:val="36"/>
          <w:rtl/>
        </w:rPr>
        <w:t xml:space="preserve"> </w:t>
      </w:r>
      <w:r w:rsidR="003E5ACF" w:rsidRPr="00FD211F">
        <w:rPr>
          <w:sz w:val="36"/>
          <w:szCs w:val="36"/>
          <w:rtl/>
        </w:rPr>
        <w:t>منقح</w:t>
      </w:r>
      <w:r w:rsidR="00EC7EDF" w:rsidRPr="00FD211F">
        <w:rPr>
          <w:sz w:val="36"/>
          <w:szCs w:val="36"/>
          <w:rtl/>
        </w:rPr>
        <w:t>ة</w:t>
      </w:r>
      <w:r w:rsidR="00E8128F">
        <w:rPr>
          <w:sz w:val="36"/>
          <w:szCs w:val="36"/>
          <w:rtl/>
        </w:rPr>
        <w:t xml:space="preserve"> </w:t>
      </w:r>
      <w:r w:rsidR="003E5ACF" w:rsidRPr="00FD211F">
        <w:rPr>
          <w:sz w:val="36"/>
          <w:szCs w:val="36"/>
          <w:rtl/>
        </w:rPr>
        <w:t>لموضوع</w:t>
      </w:r>
      <w:r w:rsidR="00E8128F">
        <w:rPr>
          <w:sz w:val="36"/>
          <w:szCs w:val="36"/>
          <w:rtl/>
        </w:rPr>
        <w:t xml:space="preserve"> </w:t>
      </w:r>
      <w:r w:rsidR="003E5ACF" w:rsidRPr="00FD211F">
        <w:rPr>
          <w:sz w:val="36"/>
          <w:szCs w:val="36"/>
          <w:rtl/>
        </w:rPr>
        <w:lastRenderedPageBreak/>
        <w:t>حجي</w:t>
      </w:r>
      <w:r w:rsidR="00EC7EDF" w:rsidRPr="00FD211F">
        <w:rPr>
          <w:sz w:val="36"/>
          <w:szCs w:val="36"/>
          <w:rtl/>
        </w:rPr>
        <w:t>ة</w:t>
      </w:r>
      <w:r w:rsidR="00E8128F">
        <w:rPr>
          <w:sz w:val="36"/>
          <w:szCs w:val="36"/>
          <w:rtl/>
        </w:rPr>
        <w:t xml:space="preserve"> </w:t>
      </w:r>
      <w:r w:rsidR="003E5ACF" w:rsidRPr="00FD211F">
        <w:rPr>
          <w:sz w:val="36"/>
          <w:szCs w:val="36"/>
          <w:rtl/>
        </w:rPr>
        <w:t>خبر</w:t>
      </w:r>
      <w:r w:rsidR="00E8128F">
        <w:rPr>
          <w:sz w:val="36"/>
          <w:szCs w:val="36"/>
          <w:rtl/>
        </w:rPr>
        <w:t xml:space="preserve"> </w:t>
      </w:r>
      <w:r w:rsidR="003E5ACF" w:rsidRPr="00FD211F">
        <w:rPr>
          <w:sz w:val="36"/>
          <w:szCs w:val="36"/>
          <w:rtl/>
        </w:rPr>
        <w:t>الثق</w:t>
      </w:r>
      <w:r w:rsidR="00EC7EDF" w:rsidRPr="00FD211F">
        <w:rPr>
          <w:sz w:val="36"/>
          <w:szCs w:val="36"/>
          <w:rtl/>
        </w:rPr>
        <w:t>ة</w:t>
      </w:r>
      <w:r w:rsidR="00A61BAE" w:rsidRPr="00FD211F">
        <w:rPr>
          <w:sz w:val="36"/>
          <w:szCs w:val="36"/>
          <w:rtl/>
        </w:rPr>
        <w:t>.</w:t>
      </w:r>
    </w:p>
    <w:p w14:paraId="0019F3DE" w14:textId="77777777" w:rsidR="00A4777B" w:rsidRPr="00FD211F" w:rsidRDefault="00A4777B" w:rsidP="009C58C8">
      <w:pPr>
        <w:ind w:left="0" w:firstLine="227"/>
        <w:jc w:val="both"/>
        <w:rPr>
          <w:sz w:val="36"/>
          <w:szCs w:val="36"/>
          <w:rtl/>
        </w:rPr>
      </w:pPr>
      <w:r w:rsidRPr="00FD211F">
        <w:rPr>
          <w:sz w:val="36"/>
          <w:szCs w:val="36"/>
          <w:rtl/>
        </w:rPr>
        <w:t>وان</w:t>
      </w:r>
      <w:r w:rsidR="00E8128F">
        <w:rPr>
          <w:sz w:val="36"/>
          <w:szCs w:val="36"/>
          <w:rtl/>
        </w:rPr>
        <w:t xml:space="preserve"> </w:t>
      </w:r>
      <w:r w:rsidRPr="00FD211F">
        <w:rPr>
          <w:sz w:val="36"/>
          <w:szCs w:val="36"/>
          <w:rtl/>
        </w:rPr>
        <w:t>شئت</w:t>
      </w:r>
      <w:r w:rsidR="00E8128F">
        <w:rPr>
          <w:sz w:val="36"/>
          <w:szCs w:val="36"/>
          <w:rtl/>
        </w:rPr>
        <w:t xml:space="preserve"> </w:t>
      </w:r>
      <w:r w:rsidRPr="00FD211F">
        <w:rPr>
          <w:sz w:val="36"/>
          <w:szCs w:val="36"/>
          <w:rtl/>
        </w:rPr>
        <w:t>قلت:</w:t>
      </w:r>
      <w:r w:rsidR="00E8128F">
        <w:rPr>
          <w:sz w:val="36"/>
          <w:szCs w:val="36"/>
          <w:rtl/>
        </w:rPr>
        <w:t xml:space="preserve"> </w:t>
      </w:r>
      <w:r w:rsidRPr="00FD211F">
        <w:rPr>
          <w:sz w:val="36"/>
          <w:szCs w:val="36"/>
          <w:rtl/>
        </w:rPr>
        <w:t>ان</w:t>
      </w:r>
      <w:r w:rsidR="00E8128F">
        <w:rPr>
          <w:sz w:val="36"/>
          <w:szCs w:val="36"/>
          <w:rtl/>
        </w:rPr>
        <w:t xml:space="preserve"> </w:t>
      </w:r>
      <w:r w:rsidR="00E61EED" w:rsidRPr="00FD211F">
        <w:rPr>
          <w:sz w:val="36"/>
          <w:szCs w:val="36"/>
          <w:rtl/>
        </w:rPr>
        <w:t>البحث</w:t>
      </w:r>
      <w:r w:rsidR="00E8128F">
        <w:rPr>
          <w:sz w:val="36"/>
          <w:szCs w:val="36"/>
          <w:rtl/>
        </w:rPr>
        <w:t xml:space="preserve"> </w:t>
      </w:r>
      <w:r w:rsidR="00E61EED" w:rsidRPr="00FD211F">
        <w:rPr>
          <w:sz w:val="36"/>
          <w:szCs w:val="36"/>
          <w:rtl/>
        </w:rPr>
        <w:t>عن</w:t>
      </w:r>
      <w:r w:rsidR="00E8128F">
        <w:rPr>
          <w:sz w:val="36"/>
          <w:szCs w:val="36"/>
          <w:rtl/>
        </w:rPr>
        <w:t xml:space="preserve"> </w:t>
      </w:r>
      <w:r w:rsidR="00E61EED" w:rsidRPr="00FD211F">
        <w:rPr>
          <w:sz w:val="36"/>
          <w:szCs w:val="36"/>
          <w:rtl/>
        </w:rPr>
        <w:t>حجي</w:t>
      </w:r>
      <w:r w:rsidR="00EC7EDF" w:rsidRPr="00FD211F">
        <w:rPr>
          <w:sz w:val="36"/>
          <w:szCs w:val="36"/>
          <w:rtl/>
        </w:rPr>
        <w:t>ة</w:t>
      </w:r>
      <w:r w:rsidR="00E8128F">
        <w:rPr>
          <w:sz w:val="36"/>
          <w:szCs w:val="36"/>
          <w:rtl/>
        </w:rPr>
        <w:t xml:space="preserve"> </w:t>
      </w:r>
      <w:r w:rsidR="00E61EED" w:rsidRPr="00FD211F">
        <w:rPr>
          <w:sz w:val="36"/>
          <w:szCs w:val="36"/>
          <w:rtl/>
        </w:rPr>
        <w:t>خبر</w:t>
      </w:r>
      <w:r w:rsidR="00E8128F">
        <w:rPr>
          <w:sz w:val="36"/>
          <w:szCs w:val="36"/>
          <w:rtl/>
        </w:rPr>
        <w:t xml:space="preserve"> </w:t>
      </w:r>
      <w:r w:rsidR="00E61EED" w:rsidRPr="00FD211F">
        <w:rPr>
          <w:sz w:val="36"/>
          <w:szCs w:val="36"/>
          <w:rtl/>
        </w:rPr>
        <w:t>الثق</w:t>
      </w:r>
      <w:r w:rsidR="00EC7EDF" w:rsidRPr="00FD211F">
        <w:rPr>
          <w:sz w:val="36"/>
          <w:szCs w:val="36"/>
          <w:rtl/>
        </w:rPr>
        <w:t>ة</w:t>
      </w:r>
      <w:r w:rsidR="00E8128F">
        <w:rPr>
          <w:sz w:val="36"/>
          <w:szCs w:val="36"/>
          <w:rtl/>
        </w:rPr>
        <w:t xml:space="preserve"> </w:t>
      </w:r>
      <w:r w:rsidR="00E61EED" w:rsidRPr="00FD211F">
        <w:rPr>
          <w:sz w:val="36"/>
          <w:szCs w:val="36"/>
          <w:rtl/>
        </w:rPr>
        <w:t>يدخل</w:t>
      </w:r>
      <w:r w:rsidR="00E8128F">
        <w:rPr>
          <w:sz w:val="36"/>
          <w:szCs w:val="36"/>
          <w:rtl/>
        </w:rPr>
        <w:t xml:space="preserve"> </w:t>
      </w:r>
      <w:r w:rsidR="00E61EED" w:rsidRPr="00FD211F">
        <w:rPr>
          <w:sz w:val="36"/>
          <w:szCs w:val="36"/>
          <w:rtl/>
        </w:rPr>
        <w:t>في</w:t>
      </w:r>
      <w:r w:rsidR="00E8128F">
        <w:rPr>
          <w:sz w:val="36"/>
          <w:szCs w:val="36"/>
          <w:rtl/>
        </w:rPr>
        <w:t xml:space="preserve"> </w:t>
      </w:r>
      <w:r w:rsidR="00E61EED" w:rsidRPr="00FD211F">
        <w:rPr>
          <w:sz w:val="36"/>
          <w:szCs w:val="36"/>
          <w:rtl/>
        </w:rPr>
        <w:t>كبرى</w:t>
      </w:r>
      <w:r w:rsidR="00E8128F">
        <w:rPr>
          <w:sz w:val="36"/>
          <w:szCs w:val="36"/>
          <w:rtl/>
        </w:rPr>
        <w:t xml:space="preserve"> </w:t>
      </w:r>
      <w:r w:rsidR="00E61EED" w:rsidRPr="00FD211F">
        <w:rPr>
          <w:sz w:val="36"/>
          <w:szCs w:val="36"/>
          <w:rtl/>
        </w:rPr>
        <w:t>القياس</w:t>
      </w:r>
      <w:r w:rsidR="00E8128F">
        <w:rPr>
          <w:sz w:val="36"/>
          <w:szCs w:val="36"/>
          <w:rtl/>
        </w:rPr>
        <w:t xml:space="preserve"> </w:t>
      </w:r>
      <w:r w:rsidR="00E61EED" w:rsidRPr="00FD211F">
        <w:rPr>
          <w:sz w:val="36"/>
          <w:szCs w:val="36"/>
          <w:rtl/>
        </w:rPr>
        <w:t>الأخير</w:t>
      </w:r>
      <w:r w:rsidR="00E8128F">
        <w:rPr>
          <w:sz w:val="36"/>
          <w:szCs w:val="36"/>
          <w:rtl/>
        </w:rPr>
        <w:t xml:space="preserve"> </w:t>
      </w:r>
      <w:r w:rsidR="00E61EED" w:rsidRPr="00FD211F">
        <w:rPr>
          <w:sz w:val="36"/>
          <w:szCs w:val="36"/>
          <w:rtl/>
        </w:rPr>
        <w:t>للاستنباط</w:t>
      </w:r>
      <w:r w:rsidR="00E8128F">
        <w:rPr>
          <w:sz w:val="36"/>
          <w:szCs w:val="36"/>
          <w:rtl/>
        </w:rPr>
        <w:t xml:space="preserve"> </w:t>
      </w:r>
      <w:r w:rsidR="00E61EED" w:rsidRPr="00FD211F">
        <w:rPr>
          <w:sz w:val="36"/>
          <w:szCs w:val="36"/>
          <w:rtl/>
        </w:rPr>
        <w:t>فيقال</w:t>
      </w:r>
      <w:r w:rsidR="00E8128F">
        <w:rPr>
          <w:sz w:val="36"/>
          <w:szCs w:val="36"/>
          <w:rtl/>
        </w:rPr>
        <w:t xml:space="preserve"> </w:t>
      </w:r>
      <w:r w:rsidR="00E61EED" w:rsidRPr="00FD211F">
        <w:rPr>
          <w:sz w:val="36"/>
          <w:szCs w:val="36"/>
          <w:rtl/>
        </w:rPr>
        <w:t>وجوب</w:t>
      </w:r>
      <w:r w:rsidR="00E8128F">
        <w:rPr>
          <w:sz w:val="36"/>
          <w:szCs w:val="36"/>
          <w:rtl/>
        </w:rPr>
        <w:t xml:space="preserve"> </w:t>
      </w:r>
      <w:r w:rsidR="00E61EED" w:rsidRPr="00FD211F">
        <w:rPr>
          <w:sz w:val="36"/>
          <w:szCs w:val="36"/>
          <w:rtl/>
        </w:rPr>
        <w:t>صلا</w:t>
      </w:r>
      <w:r w:rsidR="00EC7EDF" w:rsidRPr="00FD211F">
        <w:rPr>
          <w:sz w:val="36"/>
          <w:szCs w:val="36"/>
          <w:rtl/>
        </w:rPr>
        <w:t>ة</w:t>
      </w:r>
      <w:r w:rsidR="00E8128F">
        <w:rPr>
          <w:sz w:val="36"/>
          <w:szCs w:val="36"/>
          <w:rtl/>
        </w:rPr>
        <w:t xml:space="preserve"> </w:t>
      </w:r>
      <w:r w:rsidR="00E61EED" w:rsidRPr="00FD211F">
        <w:rPr>
          <w:sz w:val="36"/>
          <w:szCs w:val="36"/>
          <w:rtl/>
        </w:rPr>
        <w:t>الجمع</w:t>
      </w:r>
      <w:r w:rsidR="00EC7EDF" w:rsidRPr="00FD211F">
        <w:rPr>
          <w:sz w:val="36"/>
          <w:szCs w:val="36"/>
          <w:rtl/>
        </w:rPr>
        <w:t>ة</w:t>
      </w:r>
      <w:r w:rsidR="00E8128F">
        <w:rPr>
          <w:sz w:val="36"/>
          <w:szCs w:val="36"/>
          <w:rtl/>
        </w:rPr>
        <w:t xml:space="preserve"> </w:t>
      </w:r>
      <w:r w:rsidR="00E61EED" w:rsidRPr="00FD211F">
        <w:rPr>
          <w:sz w:val="36"/>
          <w:szCs w:val="36"/>
          <w:rtl/>
        </w:rPr>
        <w:t>ما</w:t>
      </w:r>
      <w:r w:rsidR="00E8128F">
        <w:rPr>
          <w:sz w:val="36"/>
          <w:szCs w:val="36"/>
          <w:rtl/>
        </w:rPr>
        <w:t xml:space="preserve"> </w:t>
      </w:r>
      <w:r w:rsidR="00E61EED" w:rsidRPr="00FD211F">
        <w:rPr>
          <w:sz w:val="36"/>
          <w:szCs w:val="36"/>
          <w:rtl/>
        </w:rPr>
        <w:t>أخبر</w:t>
      </w:r>
      <w:r w:rsidR="00E8128F">
        <w:rPr>
          <w:sz w:val="36"/>
          <w:szCs w:val="36"/>
          <w:rtl/>
        </w:rPr>
        <w:t xml:space="preserve"> </w:t>
      </w:r>
      <w:r w:rsidR="00E61EED" w:rsidRPr="00FD211F">
        <w:rPr>
          <w:sz w:val="36"/>
          <w:szCs w:val="36"/>
          <w:rtl/>
        </w:rPr>
        <w:t>به</w:t>
      </w:r>
      <w:r w:rsidR="00E8128F">
        <w:rPr>
          <w:sz w:val="36"/>
          <w:szCs w:val="36"/>
          <w:rtl/>
        </w:rPr>
        <w:t xml:space="preserve"> </w:t>
      </w:r>
      <w:r w:rsidR="00E61EED" w:rsidRPr="00FD211F">
        <w:rPr>
          <w:sz w:val="36"/>
          <w:szCs w:val="36"/>
          <w:rtl/>
        </w:rPr>
        <w:t>الثق</w:t>
      </w:r>
      <w:r w:rsidR="00EC7EDF" w:rsidRPr="00FD211F">
        <w:rPr>
          <w:sz w:val="36"/>
          <w:szCs w:val="36"/>
          <w:rtl/>
        </w:rPr>
        <w:t>ة</w:t>
      </w:r>
      <w:r w:rsidR="00E8128F">
        <w:rPr>
          <w:sz w:val="36"/>
          <w:szCs w:val="36"/>
          <w:rtl/>
        </w:rPr>
        <w:t xml:space="preserve"> </w:t>
      </w:r>
      <w:r w:rsidR="00E61EED" w:rsidRPr="00FD211F">
        <w:rPr>
          <w:sz w:val="36"/>
          <w:szCs w:val="36"/>
          <w:rtl/>
        </w:rPr>
        <w:t>وكل</w:t>
      </w:r>
      <w:r w:rsidR="00E8128F">
        <w:rPr>
          <w:sz w:val="36"/>
          <w:szCs w:val="36"/>
          <w:rtl/>
        </w:rPr>
        <w:t xml:space="preserve"> </w:t>
      </w:r>
      <w:r w:rsidR="00E61EED" w:rsidRPr="00FD211F">
        <w:rPr>
          <w:sz w:val="36"/>
          <w:szCs w:val="36"/>
          <w:rtl/>
        </w:rPr>
        <w:t>ما</w:t>
      </w:r>
      <w:r w:rsidR="00E8128F">
        <w:rPr>
          <w:sz w:val="36"/>
          <w:szCs w:val="36"/>
          <w:rtl/>
        </w:rPr>
        <w:t xml:space="preserve"> </w:t>
      </w:r>
      <w:r w:rsidR="00E61EED" w:rsidRPr="00FD211F">
        <w:rPr>
          <w:sz w:val="36"/>
          <w:szCs w:val="36"/>
          <w:rtl/>
        </w:rPr>
        <w:t>اخبر</w:t>
      </w:r>
      <w:r w:rsidR="00E8128F">
        <w:rPr>
          <w:sz w:val="36"/>
          <w:szCs w:val="36"/>
          <w:rtl/>
        </w:rPr>
        <w:t xml:space="preserve"> </w:t>
      </w:r>
      <w:r w:rsidR="00E61EED" w:rsidRPr="00FD211F">
        <w:rPr>
          <w:sz w:val="36"/>
          <w:szCs w:val="36"/>
          <w:rtl/>
        </w:rPr>
        <w:t>به</w:t>
      </w:r>
      <w:r w:rsidR="00E8128F">
        <w:rPr>
          <w:sz w:val="36"/>
          <w:szCs w:val="36"/>
          <w:rtl/>
        </w:rPr>
        <w:t xml:space="preserve"> </w:t>
      </w:r>
      <w:r w:rsidR="00E61EED" w:rsidRPr="00FD211F">
        <w:rPr>
          <w:sz w:val="36"/>
          <w:szCs w:val="36"/>
          <w:rtl/>
        </w:rPr>
        <w:t>الثق</w:t>
      </w:r>
      <w:r w:rsidR="00EC7EDF" w:rsidRPr="00FD211F">
        <w:rPr>
          <w:sz w:val="36"/>
          <w:szCs w:val="36"/>
          <w:rtl/>
        </w:rPr>
        <w:t>ة</w:t>
      </w:r>
      <w:r w:rsidR="00E8128F">
        <w:rPr>
          <w:sz w:val="36"/>
          <w:szCs w:val="36"/>
          <w:rtl/>
        </w:rPr>
        <w:t xml:space="preserve"> </w:t>
      </w:r>
      <w:r w:rsidR="00E61EED" w:rsidRPr="00FD211F">
        <w:rPr>
          <w:sz w:val="36"/>
          <w:szCs w:val="36"/>
          <w:rtl/>
        </w:rPr>
        <w:t>فهو</w:t>
      </w:r>
      <w:r w:rsidR="00E8128F">
        <w:rPr>
          <w:sz w:val="36"/>
          <w:szCs w:val="36"/>
          <w:rtl/>
        </w:rPr>
        <w:t xml:space="preserve"> </w:t>
      </w:r>
      <w:r w:rsidR="00E61EED" w:rsidRPr="00FD211F">
        <w:rPr>
          <w:sz w:val="36"/>
          <w:szCs w:val="36"/>
          <w:rtl/>
        </w:rPr>
        <w:t>متنجز</w:t>
      </w:r>
      <w:r w:rsidR="00E8128F">
        <w:rPr>
          <w:sz w:val="36"/>
          <w:szCs w:val="36"/>
          <w:rtl/>
        </w:rPr>
        <w:t xml:space="preserve"> </w:t>
      </w:r>
      <w:r w:rsidR="00E61EED" w:rsidRPr="00FD211F">
        <w:rPr>
          <w:sz w:val="36"/>
          <w:szCs w:val="36"/>
          <w:rtl/>
        </w:rPr>
        <w:t>وثابت</w:t>
      </w:r>
      <w:r w:rsidR="00E8128F">
        <w:rPr>
          <w:sz w:val="36"/>
          <w:szCs w:val="36"/>
          <w:rtl/>
        </w:rPr>
        <w:t xml:space="preserve"> </w:t>
      </w:r>
      <w:r w:rsidR="00E61EED" w:rsidRPr="00FD211F">
        <w:rPr>
          <w:sz w:val="36"/>
          <w:szCs w:val="36"/>
          <w:rtl/>
        </w:rPr>
        <w:t>تعبدا</w:t>
      </w:r>
      <w:r w:rsidR="00603323" w:rsidRPr="00FD211F">
        <w:rPr>
          <w:sz w:val="36"/>
          <w:szCs w:val="36"/>
          <w:rtl/>
        </w:rPr>
        <w:t>،</w:t>
      </w:r>
      <w:r w:rsidR="00E8128F">
        <w:rPr>
          <w:sz w:val="36"/>
          <w:szCs w:val="36"/>
          <w:rtl/>
        </w:rPr>
        <w:t xml:space="preserve"> </w:t>
      </w:r>
      <w:r w:rsidR="00E61EED" w:rsidRPr="00FD211F">
        <w:rPr>
          <w:sz w:val="36"/>
          <w:szCs w:val="36"/>
          <w:rtl/>
        </w:rPr>
        <w:t>فوجوب</w:t>
      </w:r>
      <w:r w:rsidR="00E8128F">
        <w:rPr>
          <w:sz w:val="36"/>
          <w:szCs w:val="36"/>
          <w:rtl/>
        </w:rPr>
        <w:t xml:space="preserve"> </w:t>
      </w:r>
      <w:r w:rsidR="00E61EED" w:rsidRPr="00FD211F">
        <w:rPr>
          <w:sz w:val="36"/>
          <w:szCs w:val="36"/>
          <w:rtl/>
        </w:rPr>
        <w:t>صلا</w:t>
      </w:r>
      <w:r w:rsidR="00EC7EDF" w:rsidRPr="00FD211F">
        <w:rPr>
          <w:sz w:val="36"/>
          <w:szCs w:val="36"/>
          <w:rtl/>
        </w:rPr>
        <w:t>ة</w:t>
      </w:r>
      <w:r w:rsidR="00E8128F">
        <w:rPr>
          <w:sz w:val="36"/>
          <w:szCs w:val="36"/>
          <w:rtl/>
        </w:rPr>
        <w:t xml:space="preserve"> </w:t>
      </w:r>
      <w:r w:rsidR="00E61EED" w:rsidRPr="00FD211F">
        <w:rPr>
          <w:sz w:val="36"/>
          <w:szCs w:val="36"/>
          <w:rtl/>
        </w:rPr>
        <w:t>الجمع</w:t>
      </w:r>
      <w:r w:rsidR="00EC7EDF" w:rsidRPr="00FD211F">
        <w:rPr>
          <w:sz w:val="36"/>
          <w:szCs w:val="36"/>
          <w:rtl/>
        </w:rPr>
        <w:t>ة</w:t>
      </w:r>
      <w:r w:rsidR="00E8128F">
        <w:rPr>
          <w:sz w:val="36"/>
          <w:szCs w:val="36"/>
          <w:rtl/>
        </w:rPr>
        <w:t xml:space="preserve"> </w:t>
      </w:r>
      <w:r w:rsidR="00E61EED" w:rsidRPr="00FD211F">
        <w:rPr>
          <w:sz w:val="36"/>
          <w:szCs w:val="36"/>
          <w:rtl/>
        </w:rPr>
        <w:t>متنجز</w:t>
      </w:r>
      <w:r w:rsidR="00E8128F">
        <w:rPr>
          <w:sz w:val="36"/>
          <w:szCs w:val="36"/>
          <w:rtl/>
        </w:rPr>
        <w:t xml:space="preserve"> </w:t>
      </w:r>
      <w:r w:rsidR="00E61EED" w:rsidRPr="00FD211F">
        <w:rPr>
          <w:sz w:val="36"/>
          <w:szCs w:val="36"/>
          <w:rtl/>
        </w:rPr>
        <w:t>وثابت</w:t>
      </w:r>
      <w:r w:rsidR="00E8128F">
        <w:rPr>
          <w:sz w:val="36"/>
          <w:szCs w:val="36"/>
          <w:rtl/>
        </w:rPr>
        <w:t xml:space="preserve"> </w:t>
      </w:r>
      <w:r w:rsidR="00E61EED" w:rsidRPr="00FD211F">
        <w:rPr>
          <w:sz w:val="36"/>
          <w:szCs w:val="36"/>
          <w:rtl/>
        </w:rPr>
        <w:t>تعبدا</w:t>
      </w:r>
      <w:r w:rsidR="00603323" w:rsidRPr="00FD211F">
        <w:rPr>
          <w:sz w:val="36"/>
          <w:szCs w:val="36"/>
          <w:rtl/>
        </w:rPr>
        <w:t>،</w:t>
      </w:r>
      <w:r w:rsidR="00E8128F">
        <w:rPr>
          <w:sz w:val="36"/>
          <w:szCs w:val="36"/>
          <w:rtl/>
        </w:rPr>
        <w:t xml:space="preserve"> </w:t>
      </w:r>
      <w:r w:rsidRPr="00FD211F">
        <w:rPr>
          <w:sz w:val="36"/>
          <w:szCs w:val="36"/>
          <w:rtl/>
        </w:rPr>
        <w:t>و</w:t>
      </w:r>
      <w:r w:rsidR="00E61EED" w:rsidRPr="00FD211F">
        <w:rPr>
          <w:sz w:val="36"/>
          <w:szCs w:val="36"/>
          <w:rtl/>
        </w:rPr>
        <w:t>البحث</w:t>
      </w:r>
      <w:r w:rsidR="00E8128F">
        <w:rPr>
          <w:sz w:val="36"/>
          <w:szCs w:val="36"/>
          <w:rtl/>
        </w:rPr>
        <w:t xml:space="preserve"> </w:t>
      </w:r>
      <w:r w:rsidR="00E61EED" w:rsidRPr="00FD211F">
        <w:rPr>
          <w:sz w:val="36"/>
          <w:szCs w:val="36"/>
          <w:rtl/>
        </w:rPr>
        <w:t>عن</w:t>
      </w:r>
      <w:r w:rsidR="00E8128F">
        <w:rPr>
          <w:sz w:val="36"/>
          <w:szCs w:val="36"/>
          <w:rtl/>
        </w:rPr>
        <w:t xml:space="preserve"> </w:t>
      </w:r>
      <w:r w:rsidR="00E61EED" w:rsidRPr="00FD211F">
        <w:rPr>
          <w:sz w:val="36"/>
          <w:szCs w:val="36"/>
          <w:rtl/>
        </w:rPr>
        <w:t>صغريات</w:t>
      </w:r>
      <w:r w:rsidR="00E8128F">
        <w:rPr>
          <w:sz w:val="36"/>
          <w:szCs w:val="36"/>
          <w:rtl/>
        </w:rPr>
        <w:t xml:space="preserve"> </w:t>
      </w:r>
      <w:r w:rsidR="00E61EED" w:rsidRPr="00FD211F">
        <w:rPr>
          <w:sz w:val="36"/>
          <w:szCs w:val="36"/>
          <w:rtl/>
        </w:rPr>
        <w:t>الظهور</w:t>
      </w:r>
      <w:r w:rsidR="00E8128F">
        <w:rPr>
          <w:sz w:val="36"/>
          <w:szCs w:val="36"/>
          <w:rtl/>
        </w:rPr>
        <w:t xml:space="preserve"> </w:t>
      </w:r>
      <w:r w:rsidR="00E61EED" w:rsidRPr="00FD211F">
        <w:rPr>
          <w:sz w:val="36"/>
          <w:szCs w:val="36"/>
          <w:rtl/>
        </w:rPr>
        <w:t>كظهور</w:t>
      </w:r>
      <w:r w:rsidR="00E8128F">
        <w:rPr>
          <w:sz w:val="36"/>
          <w:szCs w:val="36"/>
          <w:rtl/>
        </w:rPr>
        <w:t xml:space="preserve"> </w:t>
      </w:r>
      <w:r w:rsidR="00E61EED" w:rsidRPr="00FD211F">
        <w:rPr>
          <w:sz w:val="36"/>
          <w:szCs w:val="36"/>
          <w:rtl/>
        </w:rPr>
        <w:t>صيغ</w:t>
      </w:r>
      <w:r w:rsidR="00EC7EDF" w:rsidRPr="00FD211F">
        <w:rPr>
          <w:sz w:val="36"/>
          <w:szCs w:val="36"/>
          <w:rtl/>
        </w:rPr>
        <w:t>ة</w:t>
      </w:r>
      <w:r w:rsidR="00E8128F">
        <w:rPr>
          <w:sz w:val="36"/>
          <w:szCs w:val="36"/>
          <w:rtl/>
        </w:rPr>
        <w:t xml:space="preserve"> </w:t>
      </w:r>
      <w:r w:rsidR="001B3112" w:rsidRPr="00FD211F">
        <w:rPr>
          <w:sz w:val="36"/>
          <w:szCs w:val="36"/>
          <w:rtl/>
        </w:rPr>
        <w:t>الأمر</w:t>
      </w:r>
      <w:r w:rsidR="00E8128F">
        <w:rPr>
          <w:sz w:val="36"/>
          <w:szCs w:val="36"/>
          <w:rtl/>
        </w:rPr>
        <w:t xml:space="preserve"> </w:t>
      </w:r>
      <w:r w:rsidR="00E61EED" w:rsidRPr="00FD211F">
        <w:rPr>
          <w:sz w:val="36"/>
          <w:szCs w:val="36"/>
          <w:rtl/>
        </w:rPr>
        <w:t>في</w:t>
      </w:r>
      <w:r w:rsidR="00E8128F">
        <w:rPr>
          <w:sz w:val="36"/>
          <w:szCs w:val="36"/>
          <w:rtl/>
        </w:rPr>
        <w:t xml:space="preserve"> </w:t>
      </w:r>
      <w:r w:rsidR="00E61EED" w:rsidRPr="00FD211F">
        <w:rPr>
          <w:sz w:val="36"/>
          <w:szCs w:val="36"/>
          <w:rtl/>
        </w:rPr>
        <w:t>الوجوب</w:t>
      </w:r>
      <w:r w:rsidR="00E8128F">
        <w:rPr>
          <w:sz w:val="36"/>
          <w:szCs w:val="36"/>
          <w:rtl/>
        </w:rPr>
        <w:t xml:space="preserve"> </w:t>
      </w:r>
      <w:r w:rsidR="00E61EED" w:rsidRPr="00FD211F">
        <w:rPr>
          <w:sz w:val="36"/>
          <w:szCs w:val="36"/>
          <w:rtl/>
        </w:rPr>
        <w:t>يدخل</w:t>
      </w:r>
      <w:r w:rsidR="00E8128F">
        <w:rPr>
          <w:sz w:val="36"/>
          <w:szCs w:val="36"/>
          <w:rtl/>
        </w:rPr>
        <w:t xml:space="preserve"> </w:t>
      </w:r>
      <w:r w:rsidR="00E61EED" w:rsidRPr="00FD211F">
        <w:rPr>
          <w:sz w:val="36"/>
          <w:szCs w:val="36"/>
          <w:rtl/>
        </w:rPr>
        <w:t>في</w:t>
      </w:r>
      <w:r w:rsidR="00E8128F">
        <w:rPr>
          <w:sz w:val="36"/>
          <w:szCs w:val="36"/>
          <w:rtl/>
        </w:rPr>
        <w:t xml:space="preserve"> </w:t>
      </w:r>
      <w:r w:rsidR="00E61EED" w:rsidRPr="00FD211F">
        <w:rPr>
          <w:sz w:val="36"/>
          <w:szCs w:val="36"/>
          <w:rtl/>
        </w:rPr>
        <w:t>صغرى</w:t>
      </w:r>
      <w:r w:rsidR="00E8128F">
        <w:rPr>
          <w:sz w:val="36"/>
          <w:szCs w:val="36"/>
          <w:rtl/>
        </w:rPr>
        <w:t xml:space="preserve"> </w:t>
      </w:r>
      <w:r w:rsidR="00E61EED" w:rsidRPr="00FD211F">
        <w:rPr>
          <w:sz w:val="36"/>
          <w:szCs w:val="36"/>
          <w:rtl/>
        </w:rPr>
        <w:t>القياس</w:t>
      </w:r>
      <w:r w:rsidR="00E8128F">
        <w:rPr>
          <w:sz w:val="36"/>
          <w:szCs w:val="36"/>
          <w:rtl/>
        </w:rPr>
        <w:t xml:space="preserve"> </w:t>
      </w:r>
      <w:r w:rsidR="00E61EED" w:rsidRPr="00FD211F">
        <w:rPr>
          <w:sz w:val="36"/>
          <w:szCs w:val="36"/>
          <w:rtl/>
        </w:rPr>
        <w:t>الأخير</w:t>
      </w:r>
      <w:r w:rsidR="00E8128F">
        <w:rPr>
          <w:sz w:val="36"/>
          <w:szCs w:val="36"/>
          <w:rtl/>
        </w:rPr>
        <w:t xml:space="preserve"> </w:t>
      </w:r>
      <w:r w:rsidR="00E61EED" w:rsidRPr="00FD211F">
        <w:rPr>
          <w:sz w:val="36"/>
          <w:szCs w:val="36"/>
          <w:rtl/>
        </w:rPr>
        <w:t>للاستنباط</w:t>
      </w:r>
      <w:r w:rsidR="00E8128F">
        <w:rPr>
          <w:sz w:val="36"/>
          <w:szCs w:val="36"/>
          <w:rtl/>
        </w:rPr>
        <w:t xml:space="preserve"> </w:t>
      </w:r>
      <w:r w:rsidR="00E61EED" w:rsidRPr="00FD211F">
        <w:rPr>
          <w:sz w:val="36"/>
          <w:szCs w:val="36"/>
          <w:rtl/>
        </w:rPr>
        <w:t>فيقال</w:t>
      </w:r>
      <w:r w:rsidR="00E8128F">
        <w:rPr>
          <w:sz w:val="36"/>
          <w:szCs w:val="36"/>
          <w:rtl/>
        </w:rPr>
        <w:t xml:space="preserve"> </w:t>
      </w:r>
      <w:r w:rsidR="00E61EED" w:rsidRPr="00FD211F">
        <w:rPr>
          <w:sz w:val="36"/>
          <w:szCs w:val="36"/>
          <w:rtl/>
        </w:rPr>
        <w:t>هذا</w:t>
      </w:r>
      <w:r w:rsidR="00E8128F">
        <w:rPr>
          <w:sz w:val="36"/>
          <w:szCs w:val="36"/>
          <w:rtl/>
        </w:rPr>
        <w:t xml:space="preserve"> </w:t>
      </w:r>
      <w:r w:rsidR="001B3112" w:rsidRPr="00FD211F">
        <w:rPr>
          <w:sz w:val="36"/>
          <w:szCs w:val="36"/>
          <w:rtl/>
        </w:rPr>
        <w:t>الأمر</w:t>
      </w:r>
      <w:r w:rsidR="00E8128F">
        <w:rPr>
          <w:sz w:val="36"/>
          <w:szCs w:val="36"/>
          <w:rtl/>
        </w:rPr>
        <w:t xml:space="preserve"> </w:t>
      </w:r>
      <w:r w:rsidR="00E61EED" w:rsidRPr="00FD211F">
        <w:rPr>
          <w:sz w:val="36"/>
          <w:szCs w:val="36"/>
          <w:rtl/>
        </w:rPr>
        <w:t>ظاهر</w:t>
      </w:r>
      <w:r w:rsidR="00E8128F">
        <w:rPr>
          <w:sz w:val="36"/>
          <w:szCs w:val="36"/>
          <w:rtl/>
        </w:rPr>
        <w:t xml:space="preserve"> </w:t>
      </w:r>
      <w:r w:rsidR="00E61EED" w:rsidRPr="00FD211F">
        <w:rPr>
          <w:sz w:val="36"/>
          <w:szCs w:val="36"/>
          <w:rtl/>
        </w:rPr>
        <w:t>في</w:t>
      </w:r>
      <w:r w:rsidR="00E8128F">
        <w:rPr>
          <w:sz w:val="36"/>
          <w:szCs w:val="36"/>
          <w:rtl/>
        </w:rPr>
        <w:t xml:space="preserve"> </w:t>
      </w:r>
      <w:r w:rsidR="00E61EED" w:rsidRPr="00FD211F">
        <w:rPr>
          <w:sz w:val="36"/>
          <w:szCs w:val="36"/>
          <w:rtl/>
        </w:rPr>
        <w:t>الوجوب</w:t>
      </w:r>
      <w:r w:rsidR="00E8128F">
        <w:rPr>
          <w:sz w:val="36"/>
          <w:szCs w:val="36"/>
          <w:rtl/>
        </w:rPr>
        <w:t xml:space="preserve"> </w:t>
      </w:r>
      <w:r w:rsidR="00E61EED" w:rsidRPr="00FD211F">
        <w:rPr>
          <w:sz w:val="36"/>
          <w:szCs w:val="36"/>
          <w:rtl/>
        </w:rPr>
        <w:t>والظ</w:t>
      </w:r>
      <w:r w:rsidR="002D6ACE" w:rsidRPr="00FD211F">
        <w:rPr>
          <w:sz w:val="36"/>
          <w:szCs w:val="36"/>
          <w:rtl/>
        </w:rPr>
        <w:t>ا</w:t>
      </w:r>
      <w:r w:rsidR="00E61EED" w:rsidRPr="00FD211F">
        <w:rPr>
          <w:sz w:val="36"/>
          <w:szCs w:val="36"/>
          <w:rtl/>
        </w:rPr>
        <w:t>هر</w:t>
      </w:r>
      <w:r w:rsidR="00E8128F">
        <w:rPr>
          <w:sz w:val="36"/>
          <w:szCs w:val="36"/>
          <w:rtl/>
        </w:rPr>
        <w:t xml:space="preserve"> </w:t>
      </w:r>
      <w:r w:rsidR="00E61EED" w:rsidRPr="00FD211F">
        <w:rPr>
          <w:sz w:val="36"/>
          <w:szCs w:val="36"/>
          <w:rtl/>
        </w:rPr>
        <w:t>يكون</w:t>
      </w:r>
      <w:r w:rsidR="00E8128F">
        <w:rPr>
          <w:sz w:val="36"/>
          <w:szCs w:val="36"/>
          <w:rtl/>
        </w:rPr>
        <w:t xml:space="preserve"> </w:t>
      </w:r>
      <w:r w:rsidR="00E61EED" w:rsidRPr="00FD211F">
        <w:rPr>
          <w:sz w:val="36"/>
          <w:szCs w:val="36"/>
          <w:rtl/>
        </w:rPr>
        <w:t>منجزا</w:t>
      </w:r>
      <w:r w:rsidR="00E8128F">
        <w:rPr>
          <w:sz w:val="36"/>
          <w:szCs w:val="36"/>
          <w:rtl/>
        </w:rPr>
        <w:t xml:space="preserve"> </w:t>
      </w:r>
      <w:r w:rsidR="00E61EED" w:rsidRPr="00FD211F">
        <w:rPr>
          <w:sz w:val="36"/>
          <w:szCs w:val="36"/>
          <w:rtl/>
        </w:rPr>
        <w:t>للحكم</w:t>
      </w:r>
      <w:r w:rsidR="00E8128F">
        <w:rPr>
          <w:sz w:val="36"/>
          <w:szCs w:val="36"/>
          <w:rtl/>
        </w:rPr>
        <w:t xml:space="preserve"> </w:t>
      </w:r>
      <w:r w:rsidR="00E61EED" w:rsidRPr="00FD211F">
        <w:rPr>
          <w:sz w:val="36"/>
          <w:szCs w:val="36"/>
          <w:rtl/>
        </w:rPr>
        <w:t>ويثبت</w:t>
      </w:r>
      <w:r w:rsidR="00E8128F">
        <w:rPr>
          <w:sz w:val="36"/>
          <w:szCs w:val="36"/>
          <w:rtl/>
        </w:rPr>
        <w:t xml:space="preserve"> </w:t>
      </w:r>
      <w:r w:rsidR="00E61EED" w:rsidRPr="00FD211F">
        <w:rPr>
          <w:sz w:val="36"/>
          <w:szCs w:val="36"/>
          <w:rtl/>
        </w:rPr>
        <w:t>به</w:t>
      </w:r>
      <w:r w:rsidR="00E8128F">
        <w:rPr>
          <w:sz w:val="36"/>
          <w:szCs w:val="36"/>
          <w:rtl/>
        </w:rPr>
        <w:t xml:space="preserve"> </w:t>
      </w:r>
      <w:r w:rsidR="00E61EED" w:rsidRPr="00FD211F">
        <w:rPr>
          <w:sz w:val="36"/>
          <w:szCs w:val="36"/>
          <w:rtl/>
        </w:rPr>
        <w:t>الحكم</w:t>
      </w:r>
      <w:r w:rsidR="00E8128F">
        <w:rPr>
          <w:sz w:val="36"/>
          <w:szCs w:val="36"/>
          <w:rtl/>
        </w:rPr>
        <w:t xml:space="preserve"> </w:t>
      </w:r>
      <w:r w:rsidR="00E61EED" w:rsidRPr="00FD211F">
        <w:rPr>
          <w:sz w:val="36"/>
          <w:szCs w:val="36"/>
          <w:rtl/>
        </w:rPr>
        <w:t>تعبدا</w:t>
      </w:r>
      <w:r w:rsidR="00603323" w:rsidRPr="00FD211F">
        <w:rPr>
          <w:sz w:val="36"/>
          <w:szCs w:val="36"/>
          <w:rtl/>
        </w:rPr>
        <w:t>،</w:t>
      </w:r>
      <w:r w:rsidR="00E8128F">
        <w:rPr>
          <w:sz w:val="36"/>
          <w:szCs w:val="36"/>
          <w:rtl/>
        </w:rPr>
        <w:t xml:space="preserve"> </w:t>
      </w:r>
      <w:r w:rsidR="002D6ACE" w:rsidRPr="00FD211F">
        <w:rPr>
          <w:sz w:val="36"/>
          <w:szCs w:val="36"/>
          <w:rtl/>
        </w:rPr>
        <w:t>ف</w:t>
      </w:r>
      <w:r w:rsidR="001B3112" w:rsidRPr="00FD211F">
        <w:rPr>
          <w:sz w:val="36"/>
          <w:szCs w:val="36"/>
          <w:rtl/>
        </w:rPr>
        <w:t>الأمر</w:t>
      </w:r>
      <w:r w:rsidR="00E8128F">
        <w:rPr>
          <w:sz w:val="36"/>
          <w:szCs w:val="36"/>
          <w:rtl/>
        </w:rPr>
        <w:t xml:space="preserve"> </w:t>
      </w:r>
      <w:r w:rsidR="002D6ACE" w:rsidRPr="00FD211F">
        <w:rPr>
          <w:sz w:val="36"/>
          <w:szCs w:val="36"/>
          <w:rtl/>
        </w:rPr>
        <w:t>يكون</w:t>
      </w:r>
      <w:r w:rsidR="00E8128F">
        <w:rPr>
          <w:sz w:val="36"/>
          <w:szCs w:val="36"/>
          <w:rtl/>
        </w:rPr>
        <w:t xml:space="preserve"> </w:t>
      </w:r>
      <w:r w:rsidR="002D6ACE" w:rsidRPr="00FD211F">
        <w:rPr>
          <w:sz w:val="36"/>
          <w:szCs w:val="36"/>
          <w:rtl/>
        </w:rPr>
        <w:t>منجزا</w:t>
      </w:r>
      <w:r w:rsidR="00E8128F">
        <w:rPr>
          <w:sz w:val="36"/>
          <w:szCs w:val="36"/>
          <w:rtl/>
        </w:rPr>
        <w:t xml:space="preserve"> </w:t>
      </w:r>
      <w:r w:rsidR="002D6ACE" w:rsidRPr="00FD211F">
        <w:rPr>
          <w:sz w:val="36"/>
          <w:szCs w:val="36"/>
          <w:rtl/>
        </w:rPr>
        <w:t>للوجوب</w:t>
      </w:r>
      <w:r w:rsidR="00E8128F">
        <w:rPr>
          <w:sz w:val="36"/>
          <w:szCs w:val="36"/>
          <w:rtl/>
        </w:rPr>
        <w:t xml:space="preserve"> </w:t>
      </w:r>
      <w:r w:rsidR="002D6ACE" w:rsidRPr="00FD211F">
        <w:rPr>
          <w:sz w:val="36"/>
          <w:szCs w:val="36"/>
          <w:rtl/>
        </w:rPr>
        <w:t>ويثبت</w:t>
      </w:r>
      <w:r w:rsidR="00E8128F">
        <w:rPr>
          <w:sz w:val="36"/>
          <w:szCs w:val="36"/>
          <w:rtl/>
        </w:rPr>
        <w:t xml:space="preserve"> </w:t>
      </w:r>
      <w:r w:rsidR="002D6ACE" w:rsidRPr="00FD211F">
        <w:rPr>
          <w:sz w:val="36"/>
          <w:szCs w:val="36"/>
          <w:rtl/>
        </w:rPr>
        <w:t>به</w:t>
      </w:r>
      <w:r w:rsidR="00E8128F">
        <w:rPr>
          <w:sz w:val="36"/>
          <w:szCs w:val="36"/>
          <w:rtl/>
        </w:rPr>
        <w:t xml:space="preserve"> </w:t>
      </w:r>
      <w:r w:rsidR="002D6ACE" w:rsidRPr="00FD211F">
        <w:rPr>
          <w:sz w:val="36"/>
          <w:szCs w:val="36"/>
          <w:rtl/>
        </w:rPr>
        <w:t>الوجوب</w:t>
      </w:r>
      <w:r w:rsidR="00E8128F">
        <w:rPr>
          <w:sz w:val="36"/>
          <w:szCs w:val="36"/>
          <w:rtl/>
        </w:rPr>
        <w:t xml:space="preserve"> </w:t>
      </w:r>
      <w:r w:rsidR="002D6ACE" w:rsidRPr="00FD211F">
        <w:rPr>
          <w:sz w:val="36"/>
          <w:szCs w:val="36"/>
          <w:rtl/>
        </w:rPr>
        <w:t>تعبدا</w:t>
      </w:r>
      <w:r w:rsidRPr="00FD211F">
        <w:rPr>
          <w:sz w:val="36"/>
          <w:szCs w:val="36"/>
          <w:rtl/>
        </w:rPr>
        <w:t>.</w:t>
      </w:r>
    </w:p>
    <w:p w14:paraId="7EAD474A" w14:textId="77777777" w:rsidR="00C76457" w:rsidRPr="00FD211F" w:rsidRDefault="00467359" w:rsidP="009C58C8">
      <w:pPr>
        <w:ind w:left="0" w:firstLine="227"/>
        <w:jc w:val="both"/>
        <w:rPr>
          <w:sz w:val="36"/>
          <w:szCs w:val="36"/>
          <w:rtl/>
        </w:rPr>
      </w:pPr>
      <w:r w:rsidRPr="00FD211F">
        <w:rPr>
          <w:sz w:val="36"/>
          <w:szCs w:val="36"/>
          <w:rtl/>
        </w:rPr>
        <w:t>وأما</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الرجال</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فقل</w:t>
      </w:r>
      <w:r w:rsidR="00E8128F">
        <w:rPr>
          <w:sz w:val="36"/>
          <w:szCs w:val="36"/>
          <w:rtl/>
        </w:rPr>
        <w:t xml:space="preserve"> </w:t>
      </w:r>
      <w:r w:rsidRPr="00FD211F">
        <w:rPr>
          <w:sz w:val="36"/>
          <w:szCs w:val="36"/>
          <w:rtl/>
        </w:rPr>
        <w:t>التوثيقات</w:t>
      </w:r>
      <w:r w:rsidR="00E8128F">
        <w:rPr>
          <w:sz w:val="36"/>
          <w:szCs w:val="36"/>
          <w:rtl/>
        </w:rPr>
        <w:t xml:space="preserve"> </w:t>
      </w:r>
      <w:r w:rsidRPr="00FD211F">
        <w:rPr>
          <w:sz w:val="36"/>
          <w:szCs w:val="36"/>
          <w:rtl/>
        </w:rPr>
        <w:t>الرجالي</w:t>
      </w:r>
      <w:r w:rsidR="00EC7EDF" w:rsidRPr="00FD211F">
        <w:rPr>
          <w:sz w:val="36"/>
          <w:szCs w:val="36"/>
          <w:rtl/>
        </w:rPr>
        <w:t>ة</w:t>
      </w:r>
      <w:r w:rsidR="00E8128F">
        <w:rPr>
          <w:sz w:val="36"/>
          <w:szCs w:val="36"/>
          <w:rtl/>
        </w:rPr>
        <w:t xml:space="preserve"> </w:t>
      </w:r>
      <w:r w:rsidRPr="00FD211F">
        <w:rPr>
          <w:sz w:val="36"/>
          <w:szCs w:val="36"/>
          <w:rtl/>
        </w:rPr>
        <w:t>لاتكون</w:t>
      </w:r>
      <w:r w:rsidR="00E8128F">
        <w:rPr>
          <w:sz w:val="36"/>
          <w:szCs w:val="36"/>
          <w:rtl/>
        </w:rPr>
        <w:t xml:space="preserve"> </w:t>
      </w:r>
      <w:r w:rsidRPr="00FD211F">
        <w:rPr>
          <w:sz w:val="36"/>
          <w:szCs w:val="36"/>
          <w:rtl/>
        </w:rPr>
        <w:t>صغرى</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كبرى</w:t>
      </w:r>
      <w:r w:rsidR="00E8128F">
        <w:rPr>
          <w:sz w:val="36"/>
          <w:szCs w:val="36"/>
          <w:rtl/>
        </w:rPr>
        <w:t xml:space="preserve"> </w:t>
      </w:r>
      <w:r w:rsidRPr="00FD211F">
        <w:rPr>
          <w:sz w:val="36"/>
          <w:szCs w:val="36"/>
          <w:rtl/>
        </w:rPr>
        <w:t>للقياس</w:t>
      </w:r>
      <w:r w:rsidR="00E8128F">
        <w:rPr>
          <w:sz w:val="36"/>
          <w:szCs w:val="36"/>
          <w:rtl/>
        </w:rPr>
        <w:t xml:space="preserve"> </w:t>
      </w:r>
      <w:r w:rsidRPr="00FD211F">
        <w:rPr>
          <w:sz w:val="36"/>
          <w:szCs w:val="36"/>
          <w:rtl/>
        </w:rPr>
        <w:t>الأخير</w:t>
      </w:r>
      <w:r w:rsidR="00E8128F">
        <w:rPr>
          <w:sz w:val="36"/>
          <w:szCs w:val="36"/>
          <w:rtl/>
        </w:rPr>
        <w:t xml:space="preserve"> </w:t>
      </w:r>
      <w:r w:rsidRPr="00FD211F">
        <w:rPr>
          <w:sz w:val="36"/>
          <w:szCs w:val="36"/>
          <w:rtl/>
        </w:rPr>
        <w:t>لاستنباط</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603323" w:rsidRPr="00FD211F">
        <w:rPr>
          <w:sz w:val="36"/>
          <w:szCs w:val="36"/>
          <w:rtl/>
        </w:rPr>
        <w:t>،</w:t>
      </w:r>
      <w:r w:rsidR="00E8128F">
        <w:rPr>
          <w:sz w:val="36"/>
          <w:szCs w:val="36"/>
          <w:rtl/>
        </w:rPr>
        <w:t xml:space="preserve"> </w:t>
      </w:r>
      <w:r w:rsidR="00685587" w:rsidRPr="00FD211F">
        <w:rPr>
          <w:sz w:val="36"/>
          <w:szCs w:val="36"/>
          <w:rtl/>
        </w:rPr>
        <w:t>توضيح</w:t>
      </w:r>
      <w:r w:rsidR="00E8128F">
        <w:rPr>
          <w:sz w:val="36"/>
          <w:szCs w:val="36"/>
          <w:rtl/>
        </w:rPr>
        <w:t xml:space="preserve"> </w:t>
      </w:r>
      <w:r w:rsidR="00685587" w:rsidRPr="00FD211F">
        <w:rPr>
          <w:sz w:val="36"/>
          <w:szCs w:val="36"/>
          <w:rtl/>
        </w:rPr>
        <w:t>ذلك</w:t>
      </w:r>
      <w:r w:rsidR="00A4777B" w:rsidRPr="00FD211F">
        <w:rPr>
          <w:sz w:val="36"/>
          <w:szCs w:val="36"/>
          <w:rtl/>
        </w:rPr>
        <w:t>:</w:t>
      </w:r>
      <w:r w:rsidR="00E8128F">
        <w:rPr>
          <w:sz w:val="36"/>
          <w:szCs w:val="36"/>
          <w:rtl/>
        </w:rPr>
        <w:t xml:space="preserve"> </w:t>
      </w:r>
      <w:r w:rsidR="00685587" w:rsidRPr="00FD211F">
        <w:rPr>
          <w:sz w:val="36"/>
          <w:szCs w:val="36"/>
          <w:rtl/>
        </w:rPr>
        <w:t>ان</w:t>
      </w:r>
      <w:r w:rsidR="00E8128F">
        <w:rPr>
          <w:sz w:val="36"/>
          <w:szCs w:val="36"/>
          <w:rtl/>
        </w:rPr>
        <w:t xml:space="preserve"> </w:t>
      </w:r>
      <w:r w:rsidR="002D6ACE" w:rsidRPr="00FD211F">
        <w:rPr>
          <w:sz w:val="36"/>
          <w:szCs w:val="36"/>
          <w:rtl/>
        </w:rPr>
        <w:t>وثاق</w:t>
      </w:r>
      <w:r w:rsidR="00EC7EDF" w:rsidRPr="00FD211F">
        <w:rPr>
          <w:sz w:val="36"/>
          <w:szCs w:val="36"/>
          <w:rtl/>
        </w:rPr>
        <w:t>ة</w:t>
      </w:r>
      <w:r w:rsidR="00E8128F">
        <w:rPr>
          <w:sz w:val="36"/>
          <w:szCs w:val="36"/>
          <w:rtl/>
        </w:rPr>
        <w:t xml:space="preserve"> </w:t>
      </w:r>
      <w:r w:rsidR="002D6ACE" w:rsidRPr="00FD211F">
        <w:rPr>
          <w:sz w:val="36"/>
          <w:szCs w:val="36"/>
          <w:rtl/>
        </w:rPr>
        <w:t>زرار</w:t>
      </w:r>
      <w:r w:rsidR="00EC7EDF" w:rsidRPr="00FD211F">
        <w:rPr>
          <w:sz w:val="36"/>
          <w:szCs w:val="36"/>
          <w:rtl/>
        </w:rPr>
        <w:t>ة</w:t>
      </w:r>
      <w:r w:rsidR="00E8128F">
        <w:rPr>
          <w:sz w:val="36"/>
          <w:szCs w:val="36"/>
          <w:rtl/>
        </w:rPr>
        <w:t xml:space="preserve"> </w:t>
      </w:r>
      <w:r w:rsidR="002D6ACE" w:rsidRPr="00FD211F">
        <w:rPr>
          <w:sz w:val="36"/>
          <w:szCs w:val="36"/>
          <w:rtl/>
        </w:rPr>
        <w:t>مثلا</w:t>
      </w:r>
      <w:r w:rsidR="00E8128F">
        <w:rPr>
          <w:sz w:val="36"/>
          <w:szCs w:val="36"/>
          <w:rtl/>
        </w:rPr>
        <w:t xml:space="preserve"> </w:t>
      </w:r>
      <w:r w:rsidR="002D6ACE" w:rsidRPr="00FD211F">
        <w:rPr>
          <w:sz w:val="36"/>
          <w:szCs w:val="36"/>
          <w:rtl/>
        </w:rPr>
        <w:t>ليست</w:t>
      </w:r>
      <w:r w:rsidR="00E8128F">
        <w:rPr>
          <w:sz w:val="36"/>
          <w:szCs w:val="36"/>
          <w:rtl/>
        </w:rPr>
        <w:t xml:space="preserve"> </w:t>
      </w:r>
      <w:r w:rsidR="002D6ACE" w:rsidRPr="00FD211F">
        <w:rPr>
          <w:sz w:val="36"/>
          <w:szCs w:val="36"/>
          <w:rtl/>
        </w:rPr>
        <w:t>دخيل</w:t>
      </w:r>
      <w:r w:rsidR="00EC7EDF" w:rsidRPr="00FD211F">
        <w:rPr>
          <w:sz w:val="36"/>
          <w:szCs w:val="36"/>
          <w:rtl/>
        </w:rPr>
        <w:t>ة</w:t>
      </w:r>
      <w:r w:rsidR="00E8128F">
        <w:rPr>
          <w:sz w:val="36"/>
          <w:szCs w:val="36"/>
          <w:rtl/>
        </w:rPr>
        <w:t xml:space="preserve"> </w:t>
      </w:r>
      <w:r w:rsidR="002D6ACE" w:rsidRPr="00FD211F">
        <w:rPr>
          <w:sz w:val="36"/>
          <w:szCs w:val="36"/>
          <w:rtl/>
        </w:rPr>
        <w:t>في</w:t>
      </w:r>
      <w:r w:rsidR="00E8128F">
        <w:rPr>
          <w:sz w:val="36"/>
          <w:szCs w:val="36"/>
          <w:rtl/>
        </w:rPr>
        <w:t xml:space="preserve"> </w:t>
      </w:r>
      <w:r w:rsidR="002D6ACE" w:rsidRPr="00FD211F">
        <w:rPr>
          <w:sz w:val="36"/>
          <w:szCs w:val="36"/>
          <w:rtl/>
        </w:rPr>
        <w:t>صغرى</w:t>
      </w:r>
      <w:r w:rsidR="00E8128F">
        <w:rPr>
          <w:sz w:val="36"/>
          <w:szCs w:val="36"/>
          <w:rtl/>
        </w:rPr>
        <w:t xml:space="preserve"> </w:t>
      </w:r>
      <w:r w:rsidR="002D6ACE" w:rsidRPr="00FD211F">
        <w:rPr>
          <w:sz w:val="36"/>
          <w:szCs w:val="36"/>
          <w:rtl/>
        </w:rPr>
        <w:t>او</w:t>
      </w:r>
      <w:r w:rsidR="00E8128F">
        <w:rPr>
          <w:sz w:val="36"/>
          <w:szCs w:val="36"/>
          <w:rtl/>
        </w:rPr>
        <w:t xml:space="preserve"> </w:t>
      </w:r>
      <w:r w:rsidR="002D6ACE" w:rsidRPr="00FD211F">
        <w:rPr>
          <w:sz w:val="36"/>
          <w:szCs w:val="36"/>
          <w:rtl/>
        </w:rPr>
        <w:t>كبرى</w:t>
      </w:r>
      <w:r w:rsidR="00E8128F">
        <w:rPr>
          <w:sz w:val="36"/>
          <w:szCs w:val="36"/>
          <w:rtl/>
        </w:rPr>
        <w:t xml:space="preserve"> </w:t>
      </w:r>
      <w:r w:rsidR="002D6ACE" w:rsidRPr="00FD211F">
        <w:rPr>
          <w:sz w:val="36"/>
          <w:szCs w:val="36"/>
          <w:rtl/>
        </w:rPr>
        <w:t>القياس</w:t>
      </w:r>
      <w:r w:rsidR="00E8128F">
        <w:rPr>
          <w:sz w:val="36"/>
          <w:szCs w:val="36"/>
          <w:rtl/>
        </w:rPr>
        <w:t xml:space="preserve"> </w:t>
      </w:r>
      <w:r w:rsidR="002D6ACE" w:rsidRPr="00FD211F">
        <w:rPr>
          <w:sz w:val="36"/>
          <w:szCs w:val="36"/>
          <w:rtl/>
        </w:rPr>
        <w:t>الأخير</w:t>
      </w:r>
      <w:r w:rsidR="00E8128F">
        <w:rPr>
          <w:sz w:val="36"/>
          <w:szCs w:val="36"/>
          <w:rtl/>
        </w:rPr>
        <w:t xml:space="preserve"> </w:t>
      </w:r>
      <w:r w:rsidR="002D6ACE" w:rsidRPr="00FD211F">
        <w:rPr>
          <w:sz w:val="36"/>
          <w:szCs w:val="36"/>
          <w:rtl/>
        </w:rPr>
        <w:t>للاستنباط</w:t>
      </w:r>
      <w:r w:rsidR="00E8128F">
        <w:rPr>
          <w:sz w:val="36"/>
          <w:szCs w:val="36"/>
          <w:rtl/>
        </w:rPr>
        <w:t xml:space="preserve"> </w:t>
      </w:r>
      <w:r w:rsidR="002D6ACE" w:rsidRPr="00FD211F">
        <w:rPr>
          <w:sz w:val="36"/>
          <w:szCs w:val="36"/>
          <w:rtl/>
        </w:rPr>
        <w:t>وانما</w:t>
      </w:r>
      <w:r w:rsidR="00E8128F">
        <w:rPr>
          <w:sz w:val="36"/>
          <w:szCs w:val="36"/>
          <w:rtl/>
        </w:rPr>
        <w:t xml:space="preserve"> </w:t>
      </w:r>
      <w:r w:rsidR="002D6ACE" w:rsidRPr="00FD211F">
        <w:rPr>
          <w:sz w:val="36"/>
          <w:szCs w:val="36"/>
          <w:rtl/>
        </w:rPr>
        <w:t>هي</w:t>
      </w:r>
      <w:r w:rsidR="00E8128F">
        <w:rPr>
          <w:sz w:val="36"/>
          <w:szCs w:val="36"/>
          <w:rtl/>
        </w:rPr>
        <w:t xml:space="preserve"> </w:t>
      </w:r>
      <w:r w:rsidR="002D6ACE" w:rsidRPr="00FD211F">
        <w:rPr>
          <w:sz w:val="36"/>
          <w:szCs w:val="36"/>
          <w:rtl/>
        </w:rPr>
        <w:t>من</w:t>
      </w:r>
      <w:r w:rsidR="00E8128F">
        <w:rPr>
          <w:sz w:val="36"/>
          <w:szCs w:val="36"/>
          <w:rtl/>
        </w:rPr>
        <w:t xml:space="preserve"> </w:t>
      </w:r>
      <w:r w:rsidR="002D6ACE" w:rsidRPr="00FD211F">
        <w:rPr>
          <w:sz w:val="36"/>
          <w:szCs w:val="36"/>
          <w:rtl/>
        </w:rPr>
        <w:t>مقدمات</w:t>
      </w:r>
      <w:r w:rsidR="00E8128F">
        <w:rPr>
          <w:sz w:val="36"/>
          <w:szCs w:val="36"/>
          <w:rtl/>
        </w:rPr>
        <w:t xml:space="preserve"> </w:t>
      </w:r>
      <w:r w:rsidR="002D6ACE" w:rsidRPr="00FD211F">
        <w:rPr>
          <w:sz w:val="36"/>
          <w:szCs w:val="36"/>
          <w:rtl/>
        </w:rPr>
        <w:t>قياس</w:t>
      </w:r>
      <w:r w:rsidR="00E8128F">
        <w:rPr>
          <w:sz w:val="36"/>
          <w:szCs w:val="36"/>
          <w:rtl/>
        </w:rPr>
        <w:t xml:space="preserve"> </w:t>
      </w:r>
      <w:r w:rsidR="002D6ACE" w:rsidRPr="00FD211F">
        <w:rPr>
          <w:sz w:val="36"/>
          <w:szCs w:val="36"/>
          <w:rtl/>
        </w:rPr>
        <w:t>سابق</w:t>
      </w:r>
      <w:r w:rsidR="00603323" w:rsidRPr="00FD211F">
        <w:rPr>
          <w:sz w:val="36"/>
          <w:szCs w:val="36"/>
          <w:rtl/>
        </w:rPr>
        <w:t>،</w:t>
      </w:r>
      <w:r w:rsidR="00E8128F">
        <w:rPr>
          <w:sz w:val="36"/>
          <w:szCs w:val="36"/>
          <w:rtl/>
        </w:rPr>
        <w:t xml:space="preserve"> </w:t>
      </w:r>
      <w:r w:rsidR="002D6ACE" w:rsidRPr="00FD211F">
        <w:rPr>
          <w:sz w:val="36"/>
          <w:szCs w:val="36"/>
          <w:rtl/>
        </w:rPr>
        <w:t>حيث</w:t>
      </w:r>
      <w:r w:rsidR="00E8128F">
        <w:rPr>
          <w:sz w:val="36"/>
          <w:szCs w:val="36"/>
          <w:rtl/>
        </w:rPr>
        <w:t xml:space="preserve"> </w:t>
      </w:r>
      <w:r w:rsidR="002D6ACE" w:rsidRPr="00FD211F">
        <w:rPr>
          <w:sz w:val="36"/>
          <w:szCs w:val="36"/>
          <w:rtl/>
        </w:rPr>
        <w:t>يذكر</w:t>
      </w:r>
      <w:r w:rsidR="00E8128F">
        <w:rPr>
          <w:sz w:val="36"/>
          <w:szCs w:val="36"/>
          <w:rtl/>
        </w:rPr>
        <w:t xml:space="preserve"> </w:t>
      </w:r>
      <w:r w:rsidR="002D6ACE" w:rsidRPr="00FD211F">
        <w:rPr>
          <w:sz w:val="36"/>
          <w:szCs w:val="36"/>
          <w:rtl/>
        </w:rPr>
        <w:t>قياسان</w:t>
      </w:r>
      <w:r w:rsidR="00E8128F">
        <w:rPr>
          <w:sz w:val="36"/>
          <w:szCs w:val="36"/>
          <w:rtl/>
        </w:rPr>
        <w:t xml:space="preserve"> </w:t>
      </w:r>
      <w:r w:rsidR="002D6ACE" w:rsidRPr="00FD211F">
        <w:rPr>
          <w:sz w:val="36"/>
          <w:szCs w:val="36"/>
          <w:rtl/>
        </w:rPr>
        <w:t>اولهما</w:t>
      </w:r>
      <w:r w:rsidR="00E8128F">
        <w:rPr>
          <w:sz w:val="36"/>
          <w:szCs w:val="36"/>
          <w:rtl/>
        </w:rPr>
        <w:t xml:space="preserve"> </w:t>
      </w:r>
      <w:r w:rsidR="002D6ACE" w:rsidRPr="00FD211F">
        <w:rPr>
          <w:sz w:val="36"/>
          <w:szCs w:val="36"/>
          <w:rtl/>
        </w:rPr>
        <w:t>ان</w:t>
      </w:r>
      <w:r w:rsidR="00E8128F">
        <w:rPr>
          <w:sz w:val="36"/>
          <w:szCs w:val="36"/>
          <w:rtl/>
        </w:rPr>
        <w:t xml:space="preserve"> </w:t>
      </w:r>
      <w:r w:rsidR="002D6ACE" w:rsidRPr="00FD211F">
        <w:rPr>
          <w:sz w:val="36"/>
          <w:szCs w:val="36"/>
          <w:rtl/>
        </w:rPr>
        <w:t>هذا</w:t>
      </w:r>
      <w:r w:rsidR="00E8128F">
        <w:rPr>
          <w:sz w:val="36"/>
          <w:szCs w:val="36"/>
          <w:rtl/>
        </w:rPr>
        <w:t xml:space="preserve"> </w:t>
      </w:r>
      <w:r w:rsidR="002D6ACE" w:rsidRPr="00FD211F">
        <w:rPr>
          <w:sz w:val="36"/>
          <w:szCs w:val="36"/>
          <w:rtl/>
        </w:rPr>
        <w:t>خبر</w:t>
      </w:r>
      <w:r w:rsidR="00E8128F">
        <w:rPr>
          <w:sz w:val="36"/>
          <w:szCs w:val="36"/>
          <w:rtl/>
        </w:rPr>
        <w:t xml:space="preserve"> </w:t>
      </w:r>
      <w:r w:rsidR="002D6ACE" w:rsidRPr="00FD211F">
        <w:rPr>
          <w:sz w:val="36"/>
          <w:szCs w:val="36"/>
          <w:rtl/>
        </w:rPr>
        <w:t>زرار</w:t>
      </w:r>
      <w:r w:rsidR="00EC7EDF" w:rsidRPr="00FD211F">
        <w:rPr>
          <w:sz w:val="36"/>
          <w:szCs w:val="36"/>
          <w:rtl/>
        </w:rPr>
        <w:t>ة</w:t>
      </w:r>
      <w:r w:rsidR="00E8128F">
        <w:rPr>
          <w:sz w:val="36"/>
          <w:szCs w:val="36"/>
          <w:rtl/>
        </w:rPr>
        <w:t xml:space="preserve"> </w:t>
      </w:r>
      <w:r w:rsidR="002D6ACE" w:rsidRPr="00FD211F">
        <w:rPr>
          <w:sz w:val="36"/>
          <w:szCs w:val="36"/>
          <w:rtl/>
        </w:rPr>
        <w:t>وزرار</w:t>
      </w:r>
      <w:r w:rsidR="00EC7EDF" w:rsidRPr="00FD211F">
        <w:rPr>
          <w:sz w:val="36"/>
          <w:szCs w:val="36"/>
          <w:rtl/>
        </w:rPr>
        <w:t>ة</w:t>
      </w:r>
      <w:r w:rsidR="00E8128F">
        <w:rPr>
          <w:sz w:val="36"/>
          <w:szCs w:val="36"/>
          <w:rtl/>
        </w:rPr>
        <w:t xml:space="preserve"> </w:t>
      </w:r>
      <w:r w:rsidR="002D6ACE" w:rsidRPr="00FD211F">
        <w:rPr>
          <w:sz w:val="36"/>
          <w:szCs w:val="36"/>
          <w:rtl/>
        </w:rPr>
        <w:t>ثق</w:t>
      </w:r>
      <w:r w:rsidR="00EC7EDF" w:rsidRPr="00FD211F">
        <w:rPr>
          <w:sz w:val="36"/>
          <w:szCs w:val="36"/>
          <w:rtl/>
        </w:rPr>
        <w:t>ة</w:t>
      </w:r>
      <w:r w:rsidR="00E8128F">
        <w:rPr>
          <w:sz w:val="36"/>
          <w:szCs w:val="36"/>
          <w:rtl/>
        </w:rPr>
        <w:t xml:space="preserve"> </w:t>
      </w:r>
      <w:r w:rsidR="002D6ACE" w:rsidRPr="00FD211F">
        <w:rPr>
          <w:sz w:val="36"/>
          <w:szCs w:val="36"/>
          <w:rtl/>
        </w:rPr>
        <w:t>فهذا</w:t>
      </w:r>
      <w:r w:rsidR="00E8128F">
        <w:rPr>
          <w:sz w:val="36"/>
          <w:szCs w:val="36"/>
          <w:rtl/>
        </w:rPr>
        <w:t xml:space="preserve"> </w:t>
      </w:r>
      <w:r w:rsidR="002D6ACE" w:rsidRPr="00FD211F">
        <w:rPr>
          <w:sz w:val="36"/>
          <w:szCs w:val="36"/>
          <w:rtl/>
        </w:rPr>
        <w:t>خبر</w:t>
      </w:r>
      <w:r w:rsidR="00E8128F">
        <w:rPr>
          <w:sz w:val="36"/>
          <w:szCs w:val="36"/>
          <w:rtl/>
        </w:rPr>
        <w:t xml:space="preserve"> </w:t>
      </w:r>
      <w:r w:rsidR="002D6ACE" w:rsidRPr="00FD211F">
        <w:rPr>
          <w:sz w:val="36"/>
          <w:szCs w:val="36"/>
          <w:rtl/>
        </w:rPr>
        <w:t>ثق</w:t>
      </w:r>
      <w:r w:rsidR="00EC7EDF" w:rsidRPr="00FD211F">
        <w:rPr>
          <w:sz w:val="36"/>
          <w:szCs w:val="36"/>
          <w:rtl/>
        </w:rPr>
        <w:t>ة</w:t>
      </w:r>
      <w:r w:rsidR="00603323" w:rsidRPr="00FD211F">
        <w:rPr>
          <w:sz w:val="36"/>
          <w:szCs w:val="36"/>
          <w:rtl/>
        </w:rPr>
        <w:t>،</w:t>
      </w:r>
      <w:r w:rsidR="00E8128F">
        <w:rPr>
          <w:sz w:val="36"/>
          <w:szCs w:val="36"/>
          <w:rtl/>
        </w:rPr>
        <w:t xml:space="preserve"> </w:t>
      </w:r>
      <w:r w:rsidR="002D6ACE" w:rsidRPr="00FD211F">
        <w:rPr>
          <w:sz w:val="36"/>
          <w:szCs w:val="36"/>
          <w:rtl/>
        </w:rPr>
        <w:t>وثانيهما</w:t>
      </w:r>
      <w:r w:rsidR="00E8128F">
        <w:rPr>
          <w:sz w:val="36"/>
          <w:szCs w:val="36"/>
          <w:rtl/>
        </w:rPr>
        <w:t xml:space="preserve"> </w:t>
      </w:r>
      <w:r w:rsidR="002D6ACE" w:rsidRPr="00FD211F">
        <w:rPr>
          <w:sz w:val="36"/>
          <w:szCs w:val="36"/>
          <w:rtl/>
        </w:rPr>
        <w:t>هو</w:t>
      </w:r>
      <w:r w:rsidR="00E8128F">
        <w:rPr>
          <w:sz w:val="36"/>
          <w:szCs w:val="36"/>
          <w:rtl/>
        </w:rPr>
        <w:t xml:space="preserve"> </w:t>
      </w:r>
      <w:r w:rsidR="002D6ACE" w:rsidRPr="00FD211F">
        <w:rPr>
          <w:sz w:val="36"/>
          <w:szCs w:val="36"/>
          <w:rtl/>
        </w:rPr>
        <w:t>القياس</w:t>
      </w:r>
      <w:r w:rsidR="00E8128F">
        <w:rPr>
          <w:sz w:val="36"/>
          <w:szCs w:val="36"/>
          <w:rtl/>
        </w:rPr>
        <w:t xml:space="preserve"> </w:t>
      </w:r>
      <w:r w:rsidR="002D6ACE" w:rsidRPr="00FD211F">
        <w:rPr>
          <w:sz w:val="36"/>
          <w:szCs w:val="36"/>
          <w:rtl/>
        </w:rPr>
        <w:t>الاخير</w:t>
      </w:r>
      <w:r w:rsidR="00E8128F">
        <w:rPr>
          <w:sz w:val="36"/>
          <w:szCs w:val="36"/>
          <w:rtl/>
        </w:rPr>
        <w:t xml:space="preserve"> </w:t>
      </w:r>
      <w:r w:rsidR="002D6ACE" w:rsidRPr="00FD211F">
        <w:rPr>
          <w:sz w:val="36"/>
          <w:szCs w:val="36"/>
          <w:rtl/>
        </w:rPr>
        <w:t>للاستنباط</w:t>
      </w:r>
      <w:r w:rsidR="00E8128F">
        <w:rPr>
          <w:sz w:val="36"/>
          <w:szCs w:val="36"/>
          <w:rtl/>
        </w:rPr>
        <w:t xml:space="preserve"> </w:t>
      </w:r>
      <w:r w:rsidR="002D6ACE" w:rsidRPr="00FD211F">
        <w:rPr>
          <w:sz w:val="36"/>
          <w:szCs w:val="36"/>
          <w:rtl/>
        </w:rPr>
        <w:t>حيث</w:t>
      </w:r>
      <w:r w:rsidR="00E8128F">
        <w:rPr>
          <w:sz w:val="36"/>
          <w:szCs w:val="36"/>
          <w:rtl/>
        </w:rPr>
        <w:t xml:space="preserve"> </w:t>
      </w:r>
      <w:r w:rsidR="002D6ACE" w:rsidRPr="00FD211F">
        <w:rPr>
          <w:sz w:val="36"/>
          <w:szCs w:val="36"/>
          <w:rtl/>
        </w:rPr>
        <w:t>يقال</w:t>
      </w:r>
      <w:r w:rsidR="00E8128F">
        <w:rPr>
          <w:sz w:val="36"/>
          <w:szCs w:val="36"/>
          <w:rtl/>
        </w:rPr>
        <w:t xml:space="preserve"> </w:t>
      </w:r>
      <w:r w:rsidR="002D6ACE" w:rsidRPr="00FD211F">
        <w:rPr>
          <w:sz w:val="36"/>
          <w:szCs w:val="36"/>
          <w:rtl/>
        </w:rPr>
        <w:t>هذا</w:t>
      </w:r>
      <w:r w:rsidR="00E8128F">
        <w:rPr>
          <w:sz w:val="36"/>
          <w:szCs w:val="36"/>
          <w:rtl/>
        </w:rPr>
        <w:t xml:space="preserve"> </w:t>
      </w:r>
      <w:r w:rsidR="002D6ACE" w:rsidRPr="00FD211F">
        <w:rPr>
          <w:sz w:val="36"/>
          <w:szCs w:val="36"/>
          <w:rtl/>
        </w:rPr>
        <w:t>ما</w:t>
      </w:r>
      <w:r w:rsidR="00E8128F">
        <w:rPr>
          <w:sz w:val="36"/>
          <w:szCs w:val="36"/>
          <w:rtl/>
        </w:rPr>
        <w:t xml:space="preserve"> </w:t>
      </w:r>
      <w:r w:rsidR="002D6ACE" w:rsidRPr="00FD211F">
        <w:rPr>
          <w:sz w:val="36"/>
          <w:szCs w:val="36"/>
          <w:rtl/>
        </w:rPr>
        <w:t>اخبر</w:t>
      </w:r>
      <w:r w:rsidR="00E8128F">
        <w:rPr>
          <w:sz w:val="36"/>
          <w:szCs w:val="36"/>
          <w:rtl/>
        </w:rPr>
        <w:t xml:space="preserve"> </w:t>
      </w:r>
      <w:r w:rsidR="002D6ACE" w:rsidRPr="00FD211F">
        <w:rPr>
          <w:sz w:val="36"/>
          <w:szCs w:val="36"/>
          <w:rtl/>
        </w:rPr>
        <w:t>به</w:t>
      </w:r>
      <w:r w:rsidR="00E8128F">
        <w:rPr>
          <w:sz w:val="36"/>
          <w:szCs w:val="36"/>
          <w:rtl/>
        </w:rPr>
        <w:t xml:space="preserve"> </w:t>
      </w:r>
      <w:r w:rsidR="002D6ACE" w:rsidRPr="00FD211F">
        <w:rPr>
          <w:sz w:val="36"/>
          <w:szCs w:val="36"/>
          <w:rtl/>
        </w:rPr>
        <w:t>الثق</w:t>
      </w:r>
      <w:r w:rsidR="00EC7EDF" w:rsidRPr="00FD211F">
        <w:rPr>
          <w:sz w:val="36"/>
          <w:szCs w:val="36"/>
          <w:rtl/>
        </w:rPr>
        <w:t>ة</w:t>
      </w:r>
      <w:r w:rsidR="00E8128F">
        <w:rPr>
          <w:sz w:val="36"/>
          <w:szCs w:val="36"/>
          <w:rtl/>
        </w:rPr>
        <w:t xml:space="preserve"> </w:t>
      </w:r>
      <w:r w:rsidR="002D6ACE" w:rsidRPr="00FD211F">
        <w:rPr>
          <w:sz w:val="36"/>
          <w:szCs w:val="36"/>
          <w:rtl/>
        </w:rPr>
        <w:t>وكل</w:t>
      </w:r>
      <w:r w:rsidR="00E8128F">
        <w:rPr>
          <w:sz w:val="36"/>
          <w:szCs w:val="36"/>
          <w:rtl/>
        </w:rPr>
        <w:t xml:space="preserve"> </w:t>
      </w:r>
      <w:r w:rsidR="002D6ACE" w:rsidRPr="00FD211F">
        <w:rPr>
          <w:sz w:val="36"/>
          <w:szCs w:val="36"/>
          <w:rtl/>
        </w:rPr>
        <w:t>ما</w:t>
      </w:r>
      <w:r w:rsidR="00E8128F">
        <w:rPr>
          <w:sz w:val="36"/>
          <w:szCs w:val="36"/>
          <w:rtl/>
        </w:rPr>
        <w:t xml:space="preserve"> </w:t>
      </w:r>
      <w:r w:rsidR="002D6ACE" w:rsidRPr="00FD211F">
        <w:rPr>
          <w:sz w:val="36"/>
          <w:szCs w:val="36"/>
          <w:rtl/>
        </w:rPr>
        <w:t>اخبر</w:t>
      </w:r>
      <w:r w:rsidR="00E8128F">
        <w:rPr>
          <w:sz w:val="36"/>
          <w:szCs w:val="36"/>
          <w:rtl/>
        </w:rPr>
        <w:t xml:space="preserve"> </w:t>
      </w:r>
      <w:r w:rsidR="002D6ACE" w:rsidRPr="00FD211F">
        <w:rPr>
          <w:sz w:val="36"/>
          <w:szCs w:val="36"/>
          <w:rtl/>
        </w:rPr>
        <w:t>به</w:t>
      </w:r>
      <w:r w:rsidR="00E8128F">
        <w:rPr>
          <w:sz w:val="36"/>
          <w:szCs w:val="36"/>
          <w:rtl/>
        </w:rPr>
        <w:t xml:space="preserve"> </w:t>
      </w:r>
      <w:r w:rsidR="002D6ACE" w:rsidRPr="00FD211F">
        <w:rPr>
          <w:sz w:val="36"/>
          <w:szCs w:val="36"/>
          <w:rtl/>
        </w:rPr>
        <w:t>الثق</w:t>
      </w:r>
      <w:r w:rsidR="00EC7EDF" w:rsidRPr="00FD211F">
        <w:rPr>
          <w:sz w:val="36"/>
          <w:szCs w:val="36"/>
          <w:rtl/>
        </w:rPr>
        <w:t>ة</w:t>
      </w:r>
      <w:r w:rsidR="00E8128F">
        <w:rPr>
          <w:sz w:val="36"/>
          <w:szCs w:val="36"/>
          <w:rtl/>
        </w:rPr>
        <w:t xml:space="preserve"> </w:t>
      </w:r>
      <w:r w:rsidR="002D6ACE" w:rsidRPr="00FD211F">
        <w:rPr>
          <w:sz w:val="36"/>
          <w:szCs w:val="36"/>
          <w:rtl/>
        </w:rPr>
        <w:t>فهو</w:t>
      </w:r>
      <w:r w:rsidR="00E8128F">
        <w:rPr>
          <w:sz w:val="36"/>
          <w:szCs w:val="36"/>
          <w:rtl/>
        </w:rPr>
        <w:t xml:space="preserve"> </w:t>
      </w:r>
      <w:r w:rsidR="002D6ACE" w:rsidRPr="00FD211F">
        <w:rPr>
          <w:sz w:val="36"/>
          <w:szCs w:val="36"/>
          <w:rtl/>
        </w:rPr>
        <w:lastRenderedPageBreak/>
        <w:t>متنجز</w:t>
      </w:r>
      <w:r w:rsidR="00E8128F">
        <w:rPr>
          <w:sz w:val="36"/>
          <w:szCs w:val="36"/>
          <w:rtl/>
        </w:rPr>
        <w:t xml:space="preserve"> </w:t>
      </w:r>
      <w:r w:rsidR="002D6ACE" w:rsidRPr="00FD211F">
        <w:rPr>
          <w:sz w:val="36"/>
          <w:szCs w:val="36"/>
          <w:rtl/>
        </w:rPr>
        <w:t>وثابت</w:t>
      </w:r>
      <w:r w:rsidR="00E8128F">
        <w:rPr>
          <w:sz w:val="36"/>
          <w:szCs w:val="36"/>
          <w:rtl/>
        </w:rPr>
        <w:t xml:space="preserve"> </w:t>
      </w:r>
      <w:r w:rsidR="002D6ACE" w:rsidRPr="00FD211F">
        <w:rPr>
          <w:sz w:val="36"/>
          <w:szCs w:val="36"/>
          <w:rtl/>
        </w:rPr>
        <w:t>تعبدا</w:t>
      </w:r>
      <w:r w:rsidR="00603323" w:rsidRPr="00FD211F">
        <w:rPr>
          <w:sz w:val="36"/>
          <w:szCs w:val="36"/>
          <w:rtl/>
        </w:rPr>
        <w:t>،</w:t>
      </w:r>
      <w:r w:rsidR="00E8128F">
        <w:rPr>
          <w:sz w:val="36"/>
          <w:szCs w:val="36"/>
          <w:rtl/>
        </w:rPr>
        <w:t xml:space="preserve"> </w:t>
      </w:r>
      <w:r w:rsidR="002D6ACE" w:rsidRPr="00FD211F">
        <w:rPr>
          <w:sz w:val="36"/>
          <w:szCs w:val="36"/>
          <w:rtl/>
        </w:rPr>
        <w:t>فهذا</w:t>
      </w:r>
      <w:r w:rsidR="00E8128F">
        <w:rPr>
          <w:sz w:val="36"/>
          <w:szCs w:val="36"/>
          <w:rtl/>
        </w:rPr>
        <w:t xml:space="preserve"> </w:t>
      </w:r>
      <w:r w:rsidR="002D6ACE" w:rsidRPr="00FD211F">
        <w:rPr>
          <w:sz w:val="36"/>
          <w:szCs w:val="36"/>
          <w:rtl/>
        </w:rPr>
        <w:t>ثابت</w:t>
      </w:r>
      <w:r w:rsidR="00E8128F">
        <w:rPr>
          <w:sz w:val="36"/>
          <w:szCs w:val="36"/>
          <w:rtl/>
        </w:rPr>
        <w:t xml:space="preserve"> </w:t>
      </w:r>
      <w:r w:rsidR="002D6ACE" w:rsidRPr="00FD211F">
        <w:rPr>
          <w:sz w:val="36"/>
          <w:szCs w:val="36"/>
          <w:rtl/>
        </w:rPr>
        <w:t>تعبدا</w:t>
      </w:r>
      <w:r w:rsidR="00603323" w:rsidRPr="00FD211F">
        <w:rPr>
          <w:sz w:val="36"/>
          <w:szCs w:val="36"/>
          <w:rtl/>
        </w:rPr>
        <w:t>،</w:t>
      </w:r>
      <w:r w:rsidR="00E8128F">
        <w:rPr>
          <w:sz w:val="36"/>
          <w:szCs w:val="36"/>
          <w:rtl/>
        </w:rPr>
        <w:t xml:space="preserve"> </w:t>
      </w:r>
      <w:r w:rsidR="002D6ACE" w:rsidRPr="00FD211F">
        <w:rPr>
          <w:sz w:val="36"/>
          <w:szCs w:val="36"/>
          <w:rtl/>
        </w:rPr>
        <w:t>فالقياس</w:t>
      </w:r>
      <w:r w:rsidR="00E8128F">
        <w:rPr>
          <w:sz w:val="36"/>
          <w:szCs w:val="36"/>
          <w:rtl/>
        </w:rPr>
        <w:t xml:space="preserve"> </w:t>
      </w:r>
      <w:r w:rsidR="002D6ACE" w:rsidRPr="00FD211F">
        <w:rPr>
          <w:sz w:val="36"/>
          <w:szCs w:val="36"/>
          <w:rtl/>
        </w:rPr>
        <w:t>الأول</w:t>
      </w:r>
      <w:r w:rsidR="00E8128F">
        <w:rPr>
          <w:sz w:val="36"/>
          <w:szCs w:val="36"/>
          <w:rtl/>
        </w:rPr>
        <w:t xml:space="preserve"> </w:t>
      </w:r>
      <w:r w:rsidR="002D6ACE" w:rsidRPr="00FD211F">
        <w:rPr>
          <w:sz w:val="36"/>
          <w:szCs w:val="36"/>
          <w:rtl/>
        </w:rPr>
        <w:t>بصغراه</w:t>
      </w:r>
      <w:r w:rsidR="00E8128F">
        <w:rPr>
          <w:sz w:val="36"/>
          <w:szCs w:val="36"/>
          <w:rtl/>
        </w:rPr>
        <w:t xml:space="preserve"> </w:t>
      </w:r>
      <w:r w:rsidR="002D6ACE" w:rsidRPr="00FD211F">
        <w:rPr>
          <w:sz w:val="36"/>
          <w:szCs w:val="36"/>
          <w:rtl/>
        </w:rPr>
        <w:t>وكبراه</w:t>
      </w:r>
      <w:r w:rsidR="00E8128F">
        <w:rPr>
          <w:sz w:val="36"/>
          <w:szCs w:val="36"/>
          <w:rtl/>
        </w:rPr>
        <w:t xml:space="preserve"> </w:t>
      </w:r>
      <w:r w:rsidR="002D6ACE" w:rsidRPr="00FD211F">
        <w:rPr>
          <w:sz w:val="36"/>
          <w:szCs w:val="36"/>
          <w:rtl/>
        </w:rPr>
        <w:t>خارج</w:t>
      </w:r>
      <w:r w:rsidR="00EC7EDF" w:rsidRPr="00FD211F">
        <w:rPr>
          <w:sz w:val="36"/>
          <w:szCs w:val="36"/>
          <w:rtl/>
        </w:rPr>
        <w:t>ة</w:t>
      </w:r>
      <w:r w:rsidR="00E8128F">
        <w:rPr>
          <w:sz w:val="36"/>
          <w:szCs w:val="36"/>
          <w:rtl/>
        </w:rPr>
        <w:t xml:space="preserve"> </w:t>
      </w:r>
      <w:r w:rsidR="002D6ACE" w:rsidRPr="00FD211F">
        <w:rPr>
          <w:sz w:val="36"/>
          <w:szCs w:val="36"/>
          <w:rtl/>
        </w:rPr>
        <w:t>عن</w:t>
      </w:r>
      <w:r w:rsidR="00E8128F">
        <w:rPr>
          <w:sz w:val="36"/>
          <w:szCs w:val="36"/>
          <w:rtl/>
        </w:rPr>
        <w:t xml:space="preserve"> </w:t>
      </w:r>
      <w:r w:rsidR="002D6ACE" w:rsidRPr="00FD211F">
        <w:rPr>
          <w:sz w:val="36"/>
          <w:szCs w:val="36"/>
          <w:rtl/>
        </w:rPr>
        <w:t>علم</w:t>
      </w:r>
      <w:r w:rsidR="00E8128F">
        <w:rPr>
          <w:sz w:val="36"/>
          <w:szCs w:val="36"/>
          <w:rtl/>
        </w:rPr>
        <w:t xml:space="preserve"> </w:t>
      </w:r>
      <w:r w:rsidR="002D6ACE" w:rsidRPr="00FD211F">
        <w:rPr>
          <w:sz w:val="36"/>
          <w:szCs w:val="36"/>
          <w:rtl/>
        </w:rPr>
        <w:t>الأصول</w:t>
      </w:r>
      <w:r w:rsidR="00603323" w:rsidRPr="00FD211F">
        <w:rPr>
          <w:sz w:val="36"/>
          <w:szCs w:val="36"/>
          <w:rtl/>
        </w:rPr>
        <w:t>،</w:t>
      </w:r>
      <w:r w:rsidR="00E8128F">
        <w:rPr>
          <w:sz w:val="36"/>
          <w:szCs w:val="36"/>
          <w:rtl/>
        </w:rPr>
        <w:t xml:space="preserve"> </w:t>
      </w:r>
      <w:r w:rsidR="002D6ACE" w:rsidRPr="00FD211F">
        <w:rPr>
          <w:sz w:val="36"/>
          <w:szCs w:val="36"/>
          <w:rtl/>
        </w:rPr>
        <w:t>واما</w:t>
      </w:r>
      <w:r w:rsidR="00E8128F">
        <w:rPr>
          <w:sz w:val="36"/>
          <w:szCs w:val="36"/>
          <w:rtl/>
        </w:rPr>
        <w:t xml:space="preserve"> </w:t>
      </w:r>
      <w:r w:rsidR="002D6ACE" w:rsidRPr="00FD211F">
        <w:rPr>
          <w:sz w:val="36"/>
          <w:szCs w:val="36"/>
          <w:rtl/>
        </w:rPr>
        <w:t>القياس</w:t>
      </w:r>
      <w:r w:rsidR="00E8128F">
        <w:rPr>
          <w:sz w:val="36"/>
          <w:szCs w:val="36"/>
          <w:rtl/>
        </w:rPr>
        <w:t xml:space="preserve"> </w:t>
      </w:r>
      <w:r w:rsidR="002D6ACE" w:rsidRPr="00FD211F">
        <w:rPr>
          <w:sz w:val="36"/>
          <w:szCs w:val="36"/>
          <w:rtl/>
        </w:rPr>
        <w:t>الثاني</w:t>
      </w:r>
      <w:r w:rsidR="00E8128F">
        <w:rPr>
          <w:sz w:val="36"/>
          <w:szCs w:val="36"/>
          <w:rtl/>
        </w:rPr>
        <w:t xml:space="preserve"> </w:t>
      </w:r>
      <w:r w:rsidR="002D6ACE" w:rsidRPr="00FD211F">
        <w:rPr>
          <w:sz w:val="36"/>
          <w:szCs w:val="36"/>
          <w:rtl/>
        </w:rPr>
        <w:t>فصغراه</w:t>
      </w:r>
      <w:r w:rsidR="00E8128F">
        <w:rPr>
          <w:sz w:val="36"/>
          <w:szCs w:val="36"/>
          <w:rtl/>
        </w:rPr>
        <w:t xml:space="preserve"> </w:t>
      </w:r>
      <w:r w:rsidR="002D6ACE" w:rsidRPr="00FD211F">
        <w:rPr>
          <w:sz w:val="36"/>
          <w:szCs w:val="36"/>
          <w:rtl/>
        </w:rPr>
        <w:t>وهي</w:t>
      </w:r>
      <w:r w:rsidR="00E8128F">
        <w:rPr>
          <w:sz w:val="36"/>
          <w:szCs w:val="36"/>
          <w:rtl/>
        </w:rPr>
        <w:t xml:space="preserve"> </w:t>
      </w:r>
      <w:r w:rsidR="002D6ACE" w:rsidRPr="00FD211F">
        <w:rPr>
          <w:sz w:val="36"/>
          <w:szCs w:val="36"/>
          <w:rtl/>
        </w:rPr>
        <w:t>ان</w:t>
      </w:r>
      <w:r w:rsidR="00E8128F">
        <w:rPr>
          <w:sz w:val="36"/>
          <w:szCs w:val="36"/>
          <w:rtl/>
        </w:rPr>
        <w:t xml:space="preserve"> </w:t>
      </w:r>
      <w:r w:rsidR="002D6ACE" w:rsidRPr="00FD211F">
        <w:rPr>
          <w:sz w:val="36"/>
          <w:szCs w:val="36"/>
          <w:rtl/>
        </w:rPr>
        <w:t>هذا</w:t>
      </w:r>
      <w:r w:rsidR="00E8128F">
        <w:rPr>
          <w:sz w:val="36"/>
          <w:szCs w:val="36"/>
          <w:rtl/>
        </w:rPr>
        <w:t xml:space="preserve"> </w:t>
      </w:r>
      <w:r w:rsidR="002D6ACE" w:rsidRPr="00FD211F">
        <w:rPr>
          <w:sz w:val="36"/>
          <w:szCs w:val="36"/>
          <w:rtl/>
        </w:rPr>
        <w:t>ما</w:t>
      </w:r>
      <w:r w:rsidR="00E8128F">
        <w:rPr>
          <w:sz w:val="36"/>
          <w:szCs w:val="36"/>
          <w:rtl/>
        </w:rPr>
        <w:t xml:space="preserve"> </w:t>
      </w:r>
      <w:r w:rsidR="002D6ACE" w:rsidRPr="00FD211F">
        <w:rPr>
          <w:sz w:val="36"/>
          <w:szCs w:val="36"/>
          <w:rtl/>
        </w:rPr>
        <w:t>اخبر</w:t>
      </w:r>
      <w:r w:rsidR="00E8128F">
        <w:rPr>
          <w:sz w:val="36"/>
          <w:szCs w:val="36"/>
          <w:rtl/>
        </w:rPr>
        <w:t xml:space="preserve"> </w:t>
      </w:r>
      <w:r w:rsidR="002D6ACE" w:rsidRPr="00FD211F">
        <w:rPr>
          <w:sz w:val="36"/>
          <w:szCs w:val="36"/>
          <w:rtl/>
        </w:rPr>
        <w:t>به</w:t>
      </w:r>
      <w:r w:rsidR="00E8128F">
        <w:rPr>
          <w:sz w:val="36"/>
          <w:szCs w:val="36"/>
          <w:rtl/>
        </w:rPr>
        <w:t xml:space="preserve"> </w:t>
      </w:r>
      <w:r w:rsidR="002D6ACE" w:rsidRPr="00FD211F">
        <w:rPr>
          <w:sz w:val="36"/>
          <w:szCs w:val="36"/>
          <w:rtl/>
        </w:rPr>
        <w:t>الثق</w:t>
      </w:r>
      <w:r w:rsidR="00EC7EDF" w:rsidRPr="00FD211F">
        <w:rPr>
          <w:sz w:val="36"/>
          <w:szCs w:val="36"/>
          <w:rtl/>
        </w:rPr>
        <w:t>ة</w:t>
      </w:r>
      <w:r w:rsidR="00E8128F">
        <w:rPr>
          <w:sz w:val="36"/>
          <w:szCs w:val="36"/>
          <w:rtl/>
        </w:rPr>
        <w:t xml:space="preserve"> </w:t>
      </w:r>
      <w:r w:rsidR="002D6ACE" w:rsidRPr="00FD211F">
        <w:rPr>
          <w:sz w:val="36"/>
          <w:szCs w:val="36"/>
          <w:rtl/>
        </w:rPr>
        <w:t>خارج</w:t>
      </w:r>
      <w:r w:rsidR="00EC7EDF" w:rsidRPr="00FD211F">
        <w:rPr>
          <w:sz w:val="36"/>
          <w:szCs w:val="36"/>
          <w:rtl/>
        </w:rPr>
        <w:t>ة</w:t>
      </w:r>
      <w:r w:rsidR="00E8128F">
        <w:rPr>
          <w:sz w:val="36"/>
          <w:szCs w:val="36"/>
          <w:rtl/>
        </w:rPr>
        <w:t xml:space="preserve"> </w:t>
      </w:r>
      <w:r w:rsidR="002D6ACE" w:rsidRPr="00FD211F">
        <w:rPr>
          <w:sz w:val="36"/>
          <w:szCs w:val="36"/>
          <w:rtl/>
        </w:rPr>
        <w:t>عن</w:t>
      </w:r>
      <w:r w:rsidR="00E8128F">
        <w:rPr>
          <w:sz w:val="36"/>
          <w:szCs w:val="36"/>
          <w:rtl/>
        </w:rPr>
        <w:t xml:space="preserve"> </w:t>
      </w:r>
      <w:r w:rsidR="002D6ACE" w:rsidRPr="00FD211F">
        <w:rPr>
          <w:sz w:val="36"/>
          <w:szCs w:val="36"/>
          <w:rtl/>
        </w:rPr>
        <w:t>علم</w:t>
      </w:r>
      <w:r w:rsidR="00E8128F">
        <w:rPr>
          <w:sz w:val="36"/>
          <w:szCs w:val="36"/>
          <w:rtl/>
        </w:rPr>
        <w:t xml:space="preserve"> </w:t>
      </w:r>
      <w:r w:rsidR="002D6ACE" w:rsidRPr="00FD211F">
        <w:rPr>
          <w:sz w:val="36"/>
          <w:szCs w:val="36"/>
          <w:rtl/>
        </w:rPr>
        <w:t>الاصول</w:t>
      </w:r>
      <w:r w:rsidR="00E8128F">
        <w:rPr>
          <w:sz w:val="36"/>
          <w:szCs w:val="36"/>
          <w:rtl/>
        </w:rPr>
        <w:t xml:space="preserve"> </w:t>
      </w:r>
      <w:r w:rsidR="002D6ACE" w:rsidRPr="00FD211F">
        <w:rPr>
          <w:sz w:val="36"/>
          <w:szCs w:val="36"/>
          <w:rtl/>
        </w:rPr>
        <w:t>لانها</w:t>
      </w:r>
      <w:r w:rsidR="00E8128F">
        <w:rPr>
          <w:sz w:val="36"/>
          <w:szCs w:val="36"/>
          <w:rtl/>
        </w:rPr>
        <w:t xml:space="preserve"> </w:t>
      </w:r>
      <w:r w:rsidR="002D6ACE" w:rsidRPr="00FD211F">
        <w:rPr>
          <w:sz w:val="36"/>
          <w:szCs w:val="36"/>
          <w:rtl/>
        </w:rPr>
        <w:t>ليست</w:t>
      </w:r>
      <w:r w:rsidR="00E8128F">
        <w:rPr>
          <w:sz w:val="36"/>
          <w:szCs w:val="36"/>
          <w:rtl/>
        </w:rPr>
        <w:t xml:space="preserve"> </w:t>
      </w:r>
      <w:r w:rsidR="002D6ACE" w:rsidRPr="00FD211F">
        <w:rPr>
          <w:sz w:val="36"/>
          <w:szCs w:val="36"/>
          <w:rtl/>
        </w:rPr>
        <w:t>سيال</w:t>
      </w:r>
      <w:r w:rsidR="00EC7EDF" w:rsidRPr="00FD211F">
        <w:rPr>
          <w:sz w:val="36"/>
          <w:szCs w:val="36"/>
          <w:rtl/>
        </w:rPr>
        <w:t>ة</w:t>
      </w:r>
      <w:r w:rsidR="00E8128F">
        <w:rPr>
          <w:sz w:val="36"/>
          <w:szCs w:val="36"/>
          <w:rtl/>
        </w:rPr>
        <w:t xml:space="preserve"> </w:t>
      </w:r>
      <w:r w:rsidR="002D6ACE" w:rsidRPr="00FD211F">
        <w:rPr>
          <w:sz w:val="36"/>
          <w:szCs w:val="36"/>
          <w:rtl/>
        </w:rPr>
        <w:t>في</w:t>
      </w:r>
      <w:r w:rsidR="00E8128F">
        <w:rPr>
          <w:sz w:val="36"/>
          <w:szCs w:val="36"/>
          <w:rtl/>
        </w:rPr>
        <w:t xml:space="preserve"> </w:t>
      </w:r>
      <w:r w:rsidR="002D6ACE" w:rsidRPr="00FD211F">
        <w:rPr>
          <w:sz w:val="36"/>
          <w:szCs w:val="36"/>
          <w:rtl/>
        </w:rPr>
        <w:t>الفقه</w:t>
      </w:r>
      <w:r w:rsidR="00603323" w:rsidRPr="00FD211F">
        <w:rPr>
          <w:sz w:val="36"/>
          <w:szCs w:val="36"/>
          <w:rtl/>
        </w:rPr>
        <w:t>،</w:t>
      </w:r>
      <w:r w:rsidR="00E8128F">
        <w:rPr>
          <w:sz w:val="36"/>
          <w:szCs w:val="36"/>
          <w:rtl/>
        </w:rPr>
        <w:t xml:space="preserve"> </w:t>
      </w:r>
      <w:r w:rsidR="002D6ACE" w:rsidRPr="00FD211F">
        <w:rPr>
          <w:sz w:val="36"/>
          <w:szCs w:val="36"/>
          <w:rtl/>
        </w:rPr>
        <w:t>ويلزم</w:t>
      </w:r>
      <w:r w:rsidR="00E8128F">
        <w:rPr>
          <w:sz w:val="36"/>
          <w:szCs w:val="36"/>
          <w:rtl/>
        </w:rPr>
        <w:t xml:space="preserve"> </w:t>
      </w:r>
      <w:r w:rsidR="002D6ACE" w:rsidRPr="00FD211F">
        <w:rPr>
          <w:sz w:val="36"/>
          <w:szCs w:val="36"/>
          <w:rtl/>
        </w:rPr>
        <w:t>في</w:t>
      </w:r>
      <w:r w:rsidR="00E8128F">
        <w:rPr>
          <w:sz w:val="36"/>
          <w:szCs w:val="36"/>
          <w:rtl/>
        </w:rPr>
        <w:t xml:space="preserve"> </w:t>
      </w:r>
      <w:r w:rsidR="002D6ACE" w:rsidRPr="00FD211F">
        <w:rPr>
          <w:sz w:val="36"/>
          <w:szCs w:val="36"/>
          <w:rtl/>
        </w:rPr>
        <w:t>المسأل</w:t>
      </w:r>
      <w:r w:rsidR="00EC7EDF" w:rsidRPr="00FD211F">
        <w:rPr>
          <w:sz w:val="36"/>
          <w:szCs w:val="36"/>
          <w:rtl/>
        </w:rPr>
        <w:t>ة</w:t>
      </w:r>
      <w:r w:rsidR="00E8128F">
        <w:rPr>
          <w:sz w:val="36"/>
          <w:szCs w:val="36"/>
          <w:rtl/>
        </w:rPr>
        <w:t xml:space="preserve"> </w:t>
      </w:r>
      <w:r w:rsidR="002D6ACE" w:rsidRPr="00FD211F">
        <w:rPr>
          <w:sz w:val="36"/>
          <w:szCs w:val="36"/>
          <w:rtl/>
        </w:rPr>
        <w:t>الاصولي</w:t>
      </w:r>
      <w:r w:rsidR="00EC7EDF" w:rsidRPr="00FD211F">
        <w:rPr>
          <w:sz w:val="36"/>
          <w:szCs w:val="36"/>
          <w:rtl/>
        </w:rPr>
        <w:t>ة</w:t>
      </w:r>
      <w:r w:rsidR="00E8128F">
        <w:rPr>
          <w:sz w:val="36"/>
          <w:szCs w:val="36"/>
          <w:rtl/>
        </w:rPr>
        <w:t xml:space="preserve"> </w:t>
      </w:r>
      <w:r w:rsidR="002D6ACE" w:rsidRPr="00FD211F">
        <w:rPr>
          <w:sz w:val="36"/>
          <w:szCs w:val="36"/>
          <w:rtl/>
        </w:rPr>
        <w:t>ان</w:t>
      </w:r>
      <w:r w:rsidR="00E8128F">
        <w:rPr>
          <w:sz w:val="36"/>
          <w:szCs w:val="36"/>
          <w:rtl/>
        </w:rPr>
        <w:t xml:space="preserve"> </w:t>
      </w:r>
      <w:r w:rsidR="002D6ACE" w:rsidRPr="00FD211F">
        <w:rPr>
          <w:sz w:val="36"/>
          <w:szCs w:val="36"/>
          <w:rtl/>
        </w:rPr>
        <w:t>تكون</w:t>
      </w:r>
      <w:r w:rsidR="00E8128F">
        <w:rPr>
          <w:sz w:val="36"/>
          <w:szCs w:val="36"/>
          <w:rtl/>
        </w:rPr>
        <w:t xml:space="preserve"> </w:t>
      </w:r>
      <w:r w:rsidR="002D6ACE" w:rsidRPr="00FD211F">
        <w:rPr>
          <w:sz w:val="36"/>
          <w:szCs w:val="36"/>
          <w:rtl/>
        </w:rPr>
        <w:t>سيال</w:t>
      </w:r>
      <w:r w:rsidR="00EC7EDF" w:rsidRPr="00FD211F">
        <w:rPr>
          <w:sz w:val="36"/>
          <w:szCs w:val="36"/>
          <w:rtl/>
        </w:rPr>
        <w:t>ة</w:t>
      </w:r>
      <w:r w:rsidR="00E8128F">
        <w:rPr>
          <w:sz w:val="36"/>
          <w:szCs w:val="36"/>
          <w:rtl/>
        </w:rPr>
        <w:t xml:space="preserve"> </w:t>
      </w:r>
      <w:r w:rsidR="002D6ACE" w:rsidRPr="00FD211F">
        <w:rPr>
          <w:sz w:val="36"/>
          <w:szCs w:val="36"/>
          <w:rtl/>
        </w:rPr>
        <w:t>في</w:t>
      </w:r>
      <w:r w:rsidR="00E8128F">
        <w:rPr>
          <w:sz w:val="36"/>
          <w:szCs w:val="36"/>
          <w:rtl/>
        </w:rPr>
        <w:t xml:space="preserve"> </w:t>
      </w:r>
      <w:r w:rsidR="002D6ACE" w:rsidRPr="00FD211F">
        <w:rPr>
          <w:sz w:val="36"/>
          <w:szCs w:val="36"/>
          <w:rtl/>
        </w:rPr>
        <w:t>الفقه</w:t>
      </w:r>
      <w:r w:rsidR="00E8128F">
        <w:rPr>
          <w:sz w:val="36"/>
          <w:szCs w:val="36"/>
          <w:rtl/>
        </w:rPr>
        <w:t xml:space="preserve"> </w:t>
      </w:r>
      <w:r w:rsidR="002D6ACE" w:rsidRPr="00FD211F">
        <w:rPr>
          <w:sz w:val="36"/>
          <w:szCs w:val="36"/>
          <w:rtl/>
        </w:rPr>
        <w:t>ولاتختص</w:t>
      </w:r>
      <w:r w:rsidR="00E8128F">
        <w:rPr>
          <w:sz w:val="36"/>
          <w:szCs w:val="36"/>
          <w:rtl/>
        </w:rPr>
        <w:t xml:space="preserve"> </w:t>
      </w:r>
      <w:r w:rsidR="00685587" w:rsidRPr="00FD211F">
        <w:rPr>
          <w:sz w:val="36"/>
          <w:szCs w:val="36"/>
          <w:rtl/>
        </w:rPr>
        <w:t>ببحث</w:t>
      </w:r>
      <w:r w:rsidR="00E8128F">
        <w:rPr>
          <w:sz w:val="36"/>
          <w:szCs w:val="36"/>
          <w:rtl/>
        </w:rPr>
        <w:t xml:space="preserve"> </w:t>
      </w:r>
      <w:r w:rsidR="00685587" w:rsidRPr="00FD211F">
        <w:rPr>
          <w:sz w:val="36"/>
          <w:szCs w:val="36"/>
          <w:rtl/>
        </w:rPr>
        <w:t>فقهي</w:t>
      </w:r>
      <w:r w:rsidR="00E8128F">
        <w:rPr>
          <w:sz w:val="36"/>
          <w:szCs w:val="36"/>
          <w:rtl/>
        </w:rPr>
        <w:t xml:space="preserve"> </w:t>
      </w:r>
      <w:r w:rsidR="00685587" w:rsidRPr="00FD211F">
        <w:rPr>
          <w:sz w:val="36"/>
          <w:szCs w:val="36"/>
          <w:rtl/>
        </w:rPr>
        <w:t>معين</w:t>
      </w:r>
      <w:r w:rsidR="00603323" w:rsidRPr="00FD211F">
        <w:rPr>
          <w:sz w:val="36"/>
          <w:szCs w:val="36"/>
          <w:rtl/>
        </w:rPr>
        <w:t>،</w:t>
      </w:r>
      <w:r w:rsidR="00E8128F">
        <w:rPr>
          <w:sz w:val="36"/>
          <w:szCs w:val="36"/>
          <w:rtl/>
        </w:rPr>
        <w:t xml:space="preserve"> </w:t>
      </w:r>
      <w:r w:rsidR="00685587" w:rsidRPr="00FD211F">
        <w:rPr>
          <w:sz w:val="36"/>
          <w:szCs w:val="36"/>
          <w:rtl/>
        </w:rPr>
        <w:t>نعم</w:t>
      </w:r>
      <w:r w:rsidR="00E8128F">
        <w:rPr>
          <w:sz w:val="36"/>
          <w:szCs w:val="36"/>
          <w:rtl/>
        </w:rPr>
        <w:t xml:space="preserve"> </w:t>
      </w:r>
      <w:r w:rsidR="00685587" w:rsidRPr="00FD211F">
        <w:rPr>
          <w:sz w:val="36"/>
          <w:szCs w:val="36"/>
          <w:rtl/>
        </w:rPr>
        <w:t>كبرى</w:t>
      </w:r>
      <w:r w:rsidR="00E8128F">
        <w:rPr>
          <w:sz w:val="36"/>
          <w:szCs w:val="36"/>
          <w:rtl/>
        </w:rPr>
        <w:t xml:space="preserve"> </w:t>
      </w:r>
      <w:r w:rsidR="00685587" w:rsidRPr="00FD211F">
        <w:rPr>
          <w:sz w:val="36"/>
          <w:szCs w:val="36"/>
          <w:rtl/>
        </w:rPr>
        <w:t>هذا</w:t>
      </w:r>
      <w:r w:rsidR="00E8128F">
        <w:rPr>
          <w:sz w:val="36"/>
          <w:szCs w:val="36"/>
          <w:rtl/>
        </w:rPr>
        <w:t xml:space="preserve"> </w:t>
      </w:r>
      <w:r w:rsidR="00685587" w:rsidRPr="00FD211F">
        <w:rPr>
          <w:sz w:val="36"/>
          <w:szCs w:val="36"/>
          <w:rtl/>
        </w:rPr>
        <w:t>القياس</w:t>
      </w:r>
      <w:r w:rsidR="00E8128F">
        <w:rPr>
          <w:sz w:val="36"/>
          <w:szCs w:val="36"/>
          <w:rtl/>
        </w:rPr>
        <w:t xml:space="preserve"> </w:t>
      </w:r>
      <w:r w:rsidR="00685587" w:rsidRPr="00FD211F">
        <w:rPr>
          <w:sz w:val="36"/>
          <w:szCs w:val="36"/>
          <w:rtl/>
        </w:rPr>
        <w:t>الثاني</w:t>
      </w:r>
      <w:r w:rsidR="00E8128F">
        <w:rPr>
          <w:sz w:val="36"/>
          <w:szCs w:val="36"/>
          <w:rtl/>
        </w:rPr>
        <w:t xml:space="preserve"> </w:t>
      </w:r>
      <w:r w:rsidR="00685587" w:rsidRPr="00FD211F">
        <w:rPr>
          <w:sz w:val="36"/>
          <w:szCs w:val="36"/>
          <w:rtl/>
        </w:rPr>
        <w:t>داخل</w:t>
      </w:r>
      <w:r w:rsidR="00EC7EDF" w:rsidRPr="00FD211F">
        <w:rPr>
          <w:sz w:val="36"/>
          <w:szCs w:val="36"/>
          <w:rtl/>
        </w:rPr>
        <w:t>ة</w:t>
      </w:r>
      <w:r w:rsidR="00E8128F">
        <w:rPr>
          <w:sz w:val="36"/>
          <w:szCs w:val="36"/>
          <w:rtl/>
        </w:rPr>
        <w:t xml:space="preserve"> </w:t>
      </w:r>
      <w:r w:rsidR="00685587" w:rsidRPr="00FD211F">
        <w:rPr>
          <w:sz w:val="36"/>
          <w:szCs w:val="36"/>
          <w:rtl/>
        </w:rPr>
        <w:t>في</w:t>
      </w:r>
      <w:r w:rsidR="00E8128F">
        <w:rPr>
          <w:sz w:val="36"/>
          <w:szCs w:val="36"/>
          <w:rtl/>
        </w:rPr>
        <w:t xml:space="preserve"> </w:t>
      </w:r>
      <w:r w:rsidR="00685587" w:rsidRPr="00FD211F">
        <w:rPr>
          <w:sz w:val="36"/>
          <w:szCs w:val="36"/>
          <w:rtl/>
        </w:rPr>
        <w:t>علم</w:t>
      </w:r>
      <w:r w:rsidR="00E8128F">
        <w:rPr>
          <w:sz w:val="36"/>
          <w:szCs w:val="36"/>
          <w:rtl/>
        </w:rPr>
        <w:t xml:space="preserve"> </w:t>
      </w:r>
      <w:r w:rsidR="00685587" w:rsidRPr="00FD211F">
        <w:rPr>
          <w:sz w:val="36"/>
          <w:szCs w:val="36"/>
          <w:rtl/>
        </w:rPr>
        <w:t>الاصول</w:t>
      </w:r>
      <w:r w:rsidR="00603323" w:rsidRPr="00FD211F">
        <w:rPr>
          <w:sz w:val="36"/>
          <w:szCs w:val="36"/>
          <w:rtl/>
        </w:rPr>
        <w:t>،</w:t>
      </w:r>
      <w:r w:rsidR="00E8128F">
        <w:rPr>
          <w:sz w:val="36"/>
          <w:szCs w:val="36"/>
          <w:rtl/>
        </w:rPr>
        <w:t xml:space="preserve"> </w:t>
      </w:r>
      <w:r w:rsidR="00685587" w:rsidRPr="00FD211F">
        <w:rPr>
          <w:sz w:val="36"/>
          <w:szCs w:val="36"/>
          <w:rtl/>
        </w:rPr>
        <w:t>وعليه</w:t>
      </w:r>
      <w:r w:rsidR="00E8128F">
        <w:rPr>
          <w:sz w:val="36"/>
          <w:szCs w:val="36"/>
          <w:rtl/>
        </w:rPr>
        <w:t xml:space="preserve"> </w:t>
      </w:r>
      <w:r w:rsidR="00C76457" w:rsidRPr="00FD211F">
        <w:rPr>
          <w:sz w:val="36"/>
          <w:szCs w:val="36"/>
          <w:rtl/>
        </w:rPr>
        <w:t>فلايقاس</w:t>
      </w:r>
      <w:r w:rsidR="00E8128F">
        <w:rPr>
          <w:sz w:val="36"/>
          <w:szCs w:val="36"/>
          <w:rtl/>
        </w:rPr>
        <w:t xml:space="preserve"> </w:t>
      </w:r>
      <w:r w:rsidR="00C76457" w:rsidRPr="00FD211F">
        <w:rPr>
          <w:sz w:val="36"/>
          <w:szCs w:val="36"/>
          <w:rtl/>
        </w:rPr>
        <w:t>مباحث</w:t>
      </w:r>
      <w:r w:rsidR="00E8128F">
        <w:rPr>
          <w:sz w:val="36"/>
          <w:szCs w:val="36"/>
          <w:rtl/>
        </w:rPr>
        <w:t xml:space="preserve"> </w:t>
      </w:r>
      <w:r w:rsidR="00C76457" w:rsidRPr="00FD211F">
        <w:rPr>
          <w:sz w:val="36"/>
          <w:szCs w:val="36"/>
          <w:rtl/>
        </w:rPr>
        <w:t>الرجال</w:t>
      </w:r>
      <w:r w:rsidR="00E8128F">
        <w:rPr>
          <w:sz w:val="36"/>
          <w:szCs w:val="36"/>
          <w:rtl/>
        </w:rPr>
        <w:t xml:space="preserve"> </w:t>
      </w:r>
      <w:r w:rsidR="00C76457" w:rsidRPr="00FD211F">
        <w:rPr>
          <w:sz w:val="36"/>
          <w:szCs w:val="36"/>
          <w:rtl/>
        </w:rPr>
        <w:t>بالبحث</w:t>
      </w:r>
      <w:r w:rsidR="00E8128F">
        <w:rPr>
          <w:sz w:val="36"/>
          <w:szCs w:val="36"/>
          <w:rtl/>
        </w:rPr>
        <w:t xml:space="preserve"> </w:t>
      </w:r>
      <w:r w:rsidR="00C76457" w:rsidRPr="00FD211F">
        <w:rPr>
          <w:sz w:val="36"/>
          <w:szCs w:val="36"/>
          <w:rtl/>
        </w:rPr>
        <w:t>عن</w:t>
      </w:r>
      <w:r w:rsidR="00E8128F">
        <w:rPr>
          <w:sz w:val="36"/>
          <w:szCs w:val="36"/>
          <w:rtl/>
        </w:rPr>
        <w:t xml:space="preserve"> </w:t>
      </w:r>
      <w:r w:rsidR="00C76457" w:rsidRPr="00FD211F">
        <w:rPr>
          <w:sz w:val="36"/>
          <w:szCs w:val="36"/>
          <w:rtl/>
        </w:rPr>
        <w:t>حجي</w:t>
      </w:r>
      <w:r w:rsidR="00EC7EDF" w:rsidRPr="00FD211F">
        <w:rPr>
          <w:sz w:val="36"/>
          <w:szCs w:val="36"/>
          <w:rtl/>
        </w:rPr>
        <w:t>ة</w:t>
      </w:r>
      <w:r w:rsidR="00E8128F">
        <w:rPr>
          <w:sz w:val="36"/>
          <w:szCs w:val="36"/>
          <w:rtl/>
        </w:rPr>
        <w:t xml:space="preserve"> </w:t>
      </w:r>
      <w:r w:rsidR="00C76457" w:rsidRPr="00FD211F">
        <w:rPr>
          <w:sz w:val="36"/>
          <w:szCs w:val="36"/>
          <w:rtl/>
        </w:rPr>
        <w:t>خبر</w:t>
      </w:r>
      <w:r w:rsidR="00E8128F">
        <w:rPr>
          <w:sz w:val="36"/>
          <w:szCs w:val="36"/>
          <w:rtl/>
        </w:rPr>
        <w:t xml:space="preserve"> </w:t>
      </w:r>
      <w:r w:rsidR="00C76457" w:rsidRPr="00FD211F">
        <w:rPr>
          <w:sz w:val="36"/>
          <w:szCs w:val="36"/>
          <w:rtl/>
        </w:rPr>
        <w:t>الثق</w:t>
      </w:r>
      <w:r w:rsidR="00EC7EDF" w:rsidRPr="00FD211F">
        <w:rPr>
          <w:sz w:val="36"/>
          <w:szCs w:val="36"/>
          <w:rtl/>
        </w:rPr>
        <w:t>ة</w:t>
      </w:r>
      <w:r w:rsidR="00E8128F">
        <w:rPr>
          <w:sz w:val="36"/>
          <w:szCs w:val="36"/>
          <w:rtl/>
        </w:rPr>
        <w:t xml:space="preserve"> </w:t>
      </w:r>
      <w:r w:rsidR="00FC00E0" w:rsidRPr="00FD211F">
        <w:rPr>
          <w:sz w:val="36"/>
          <w:szCs w:val="36"/>
          <w:rtl/>
        </w:rPr>
        <w:t>او</w:t>
      </w:r>
      <w:r w:rsidR="00E8128F">
        <w:rPr>
          <w:sz w:val="36"/>
          <w:szCs w:val="36"/>
          <w:rtl/>
        </w:rPr>
        <w:t xml:space="preserve"> </w:t>
      </w:r>
      <w:r w:rsidR="00FC00E0" w:rsidRPr="00FD211F">
        <w:rPr>
          <w:sz w:val="36"/>
          <w:szCs w:val="36"/>
          <w:rtl/>
        </w:rPr>
        <w:t>البحث</w:t>
      </w:r>
      <w:r w:rsidR="00E8128F">
        <w:rPr>
          <w:sz w:val="36"/>
          <w:szCs w:val="36"/>
          <w:rtl/>
        </w:rPr>
        <w:t xml:space="preserve"> </w:t>
      </w:r>
      <w:r w:rsidR="00FC00E0" w:rsidRPr="00FD211F">
        <w:rPr>
          <w:sz w:val="36"/>
          <w:szCs w:val="36"/>
          <w:rtl/>
        </w:rPr>
        <w:t>عن</w:t>
      </w:r>
      <w:r w:rsidR="00E8128F">
        <w:rPr>
          <w:sz w:val="36"/>
          <w:szCs w:val="36"/>
          <w:rtl/>
        </w:rPr>
        <w:t xml:space="preserve"> </w:t>
      </w:r>
      <w:r w:rsidR="00FC00E0" w:rsidRPr="00FD211F">
        <w:rPr>
          <w:sz w:val="36"/>
          <w:szCs w:val="36"/>
          <w:rtl/>
        </w:rPr>
        <w:t>ظهور</w:t>
      </w:r>
      <w:r w:rsidR="00E8128F">
        <w:rPr>
          <w:sz w:val="36"/>
          <w:szCs w:val="36"/>
          <w:rtl/>
        </w:rPr>
        <w:t xml:space="preserve"> </w:t>
      </w:r>
      <w:r w:rsidR="00FC00E0" w:rsidRPr="00FD211F">
        <w:rPr>
          <w:sz w:val="36"/>
          <w:szCs w:val="36"/>
          <w:rtl/>
        </w:rPr>
        <w:t>صيغ</w:t>
      </w:r>
      <w:r w:rsidR="00EC7EDF" w:rsidRPr="00FD211F">
        <w:rPr>
          <w:sz w:val="36"/>
          <w:szCs w:val="36"/>
          <w:rtl/>
        </w:rPr>
        <w:t>ة</w:t>
      </w:r>
      <w:r w:rsidR="00E8128F">
        <w:rPr>
          <w:sz w:val="36"/>
          <w:szCs w:val="36"/>
          <w:rtl/>
        </w:rPr>
        <w:t xml:space="preserve"> </w:t>
      </w:r>
      <w:r w:rsidR="001B3112" w:rsidRPr="00FD211F">
        <w:rPr>
          <w:sz w:val="36"/>
          <w:szCs w:val="36"/>
          <w:rtl/>
        </w:rPr>
        <w:t>الأمر</w:t>
      </w:r>
      <w:r w:rsidR="00E8128F">
        <w:rPr>
          <w:sz w:val="36"/>
          <w:szCs w:val="36"/>
          <w:rtl/>
        </w:rPr>
        <w:t xml:space="preserve"> </w:t>
      </w:r>
      <w:r w:rsidR="00FC00E0" w:rsidRPr="00FD211F">
        <w:rPr>
          <w:sz w:val="36"/>
          <w:szCs w:val="36"/>
          <w:rtl/>
        </w:rPr>
        <w:t>في</w:t>
      </w:r>
      <w:r w:rsidR="00E8128F">
        <w:rPr>
          <w:sz w:val="36"/>
          <w:szCs w:val="36"/>
          <w:rtl/>
        </w:rPr>
        <w:t xml:space="preserve"> </w:t>
      </w:r>
      <w:r w:rsidR="00FC00E0" w:rsidRPr="00FD211F">
        <w:rPr>
          <w:sz w:val="36"/>
          <w:szCs w:val="36"/>
          <w:rtl/>
        </w:rPr>
        <w:t>الوجوب</w:t>
      </w:r>
      <w:r w:rsidR="009C58C8" w:rsidRPr="00FD211F">
        <w:rPr>
          <w:rStyle w:val="a6"/>
          <w:sz w:val="36"/>
          <w:szCs w:val="36"/>
          <w:rtl/>
        </w:rPr>
        <w:t>(</w:t>
      </w:r>
      <w:r w:rsidR="009C58C8" w:rsidRPr="00FD211F">
        <w:rPr>
          <w:rStyle w:val="a6"/>
          <w:sz w:val="36"/>
          <w:szCs w:val="36"/>
          <w:rtl/>
        </w:rPr>
        <w:footnoteReference w:id="35"/>
      </w:r>
      <w:r w:rsidR="009C58C8" w:rsidRPr="00FD211F">
        <w:rPr>
          <w:rStyle w:val="a6"/>
          <w:sz w:val="36"/>
          <w:szCs w:val="36"/>
          <w:rtl/>
        </w:rPr>
        <w:t>)</w:t>
      </w:r>
      <w:r w:rsidR="00C76457" w:rsidRPr="00FD211F">
        <w:rPr>
          <w:sz w:val="36"/>
          <w:szCs w:val="36"/>
          <w:rtl/>
        </w:rPr>
        <w:t>.</w:t>
      </w:r>
    </w:p>
    <w:p w14:paraId="5894D233" w14:textId="77777777" w:rsidR="000C5BBA" w:rsidRPr="00FD211F" w:rsidRDefault="00C76457" w:rsidP="009C58C8">
      <w:pPr>
        <w:ind w:left="0" w:firstLine="227"/>
        <w:jc w:val="both"/>
        <w:rPr>
          <w:sz w:val="36"/>
          <w:szCs w:val="36"/>
          <w:rtl/>
        </w:rPr>
      </w:pPr>
      <w:r w:rsidRPr="00FD211F">
        <w:rPr>
          <w:sz w:val="36"/>
          <w:szCs w:val="36"/>
          <w:rtl/>
        </w:rPr>
        <w:t>و</w:t>
      </w:r>
      <w:r w:rsidR="00AE7871" w:rsidRPr="00FD211F">
        <w:rPr>
          <w:sz w:val="36"/>
          <w:szCs w:val="36"/>
          <w:rtl/>
        </w:rPr>
        <w:t>هذه</w:t>
      </w:r>
      <w:r w:rsidR="00E8128F">
        <w:rPr>
          <w:sz w:val="36"/>
          <w:szCs w:val="36"/>
          <w:rtl/>
        </w:rPr>
        <w:t xml:space="preserve"> </w:t>
      </w:r>
      <w:r w:rsidR="00AE7871" w:rsidRPr="00FD211F">
        <w:rPr>
          <w:sz w:val="36"/>
          <w:szCs w:val="36"/>
          <w:rtl/>
        </w:rPr>
        <w:t>المحاول</w:t>
      </w:r>
      <w:r w:rsidR="00EC7EDF" w:rsidRPr="00FD211F">
        <w:rPr>
          <w:sz w:val="36"/>
          <w:szCs w:val="36"/>
          <w:rtl/>
        </w:rPr>
        <w:t>ة</w:t>
      </w:r>
      <w:r w:rsidR="00E8128F">
        <w:rPr>
          <w:sz w:val="36"/>
          <w:szCs w:val="36"/>
          <w:rtl/>
        </w:rPr>
        <w:t xml:space="preserve"> </w:t>
      </w:r>
      <w:r w:rsidR="00AE7871" w:rsidRPr="00FD211F">
        <w:rPr>
          <w:sz w:val="36"/>
          <w:szCs w:val="36"/>
          <w:rtl/>
        </w:rPr>
        <w:t>رغم</w:t>
      </w:r>
      <w:r w:rsidR="00E8128F">
        <w:rPr>
          <w:sz w:val="36"/>
          <w:szCs w:val="36"/>
          <w:rtl/>
        </w:rPr>
        <w:t xml:space="preserve"> </w:t>
      </w:r>
      <w:r w:rsidR="003E5ACF" w:rsidRPr="00FD211F">
        <w:rPr>
          <w:sz w:val="36"/>
          <w:szCs w:val="36"/>
          <w:rtl/>
        </w:rPr>
        <w:t>بعض</w:t>
      </w:r>
      <w:r w:rsidR="00E8128F">
        <w:rPr>
          <w:sz w:val="36"/>
          <w:szCs w:val="36"/>
          <w:rtl/>
        </w:rPr>
        <w:t xml:space="preserve"> </w:t>
      </w:r>
      <w:r w:rsidR="003E5ACF" w:rsidRPr="00FD211F">
        <w:rPr>
          <w:sz w:val="36"/>
          <w:szCs w:val="36"/>
          <w:rtl/>
        </w:rPr>
        <w:t>المناقشات</w:t>
      </w:r>
      <w:r w:rsidR="00E8128F">
        <w:rPr>
          <w:sz w:val="36"/>
          <w:szCs w:val="36"/>
          <w:rtl/>
        </w:rPr>
        <w:t xml:space="preserve"> </w:t>
      </w:r>
      <w:r w:rsidR="003E5ACF" w:rsidRPr="00FD211F">
        <w:rPr>
          <w:sz w:val="36"/>
          <w:szCs w:val="36"/>
          <w:rtl/>
        </w:rPr>
        <w:t>فيها</w:t>
      </w:r>
      <w:r w:rsidR="00E8128F">
        <w:rPr>
          <w:sz w:val="36"/>
          <w:szCs w:val="36"/>
          <w:rtl/>
        </w:rPr>
        <w:t xml:space="preserve"> </w:t>
      </w:r>
      <w:r w:rsidR="003E5ACF" w:rsidRPr="00FD211F">
        <w:rPr>
          <w:sz w:val="36"/>
          <w:szCs w:val="36"/>
          <w:rtl/>
        </w:rPr>
        <w:t>محاول</w:t>
      </w:r>
      <w:r w:rsidR="00EC7EDF" w:rsidRPr="00FD211F">
        <w:rPr>
          <w:sz w:val="36"/>
          <w:szCs w:val="36"/>
          <w:rtl/>
        </w:rPr>
        <w:t>ة</w:t>
      </w:r>
      <w:r w:rsidR="00E8128F">
        <w:rPr>
          <w:sz w:val="36"/>
          <w:szCs w:val="36"/>
          <w:rtl/>
        </w:rPr>
        <w:t xml:space="preserve"> </w:t>
      </w:r>
      <w:r w:rsidR="003E5ACF" w:rsidRPr="00FD211F">
        <w:rPr>
          <w:sz w:val="36"/>
          <w:szCs w:val="36"/>
          <w:rtl/>
        </w:rPr>
        <w:t>تام</w:t>
      </w:r>
      <w:r w:rsidR="00EC7EDF" w:rsidRPr="00FD211F">
        <w:rPr>
          <w:sz w:val="36"/>
          <w:szCs w:val="36"/>
          <w:rtl/>
        </w:rPr>
        <w:t>ة</w:t>
      </w:r>
      <w:r w:rsidR="00A61BAE" w:rsidRPr="00FD211F">
        <w:rPr>
          <w:sz w:val="36"/>
          <w:szCs w:val="36"/>
          <w:rtl/>
        </w:rPr>
        <w:t>.</w:t>
      </w:r>
    </w:p>
    <w:p w14:paraId="6050E0CB" w14:textId="77777777" w:rsidR="000C5BBA" w:rsidRPr="00FD211F" w:rsidRDefault="00AE7871" w:rsidP="009C58C8">
      <w:pPr>
        <w:ind w:left="0" w:firstLine="227"/>
        <w:jc w:val="both"/>
        <w:rPr>
          <w:sz w:val="36"/>
          <w:szCs w:val="36"/>
          <w:rtl/>
        </w:rPr>
      </w:pPr>
      <w:r w:rsidRPr="00FD211F">
        <w:rPr>
          <w:sz w:val="36"/>
          <w:szCs w:val="36"/>
          <w:rtl/>
        </w:rPr>
        <w:t>توضيح</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الفرق</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التوثيق</w:t>
      </w:r>
      <w:r w:rsidR="00E8128F">
        <w:rPr>
          <w:sz w:val="36"/>
          <w:szCs w:val="36"/>
          <w:rtl/>
        </w:rPr>
        <w:t xml:space="preserve"> </w:t>
      </w:r>
      <w:r w:rsidRPr="00FD211F">
        <w:rPr>
          <w:sz w:val="36"/>
          <w:szCs w:val="36"/>
          <w:rtl/>
        </w:rPr>
        <w:t>الرجالي</w:t>
      </w:r>
      <w:r w:rsidR="00E8128F">
        <w:rPr>
          <w:sz w:val="36"/>
          <w:szCs w:val="36"/>
          <w:rtl/>
        </w:rPr>
        <w:t xml:space="preserve"> </w:t>
      </w:r>
      <w:r w:rsidRPr="00FD211F">
        <w:rPr>
          <w:sz w:val="36"/>
          <w:szCs w:val="36"/>
          <w:rtl/>
        </w:rPr>
        <w:t>وبين</w:t>
      </w:r>
      <w:r w:rsidR="00E8128F">
        <w:rPr>
          <w:sz w:val="36"/>
          <w:szCs w:val="36"/>
          <w:rtl/>
        </w:rPr>
        <w:t xml:space="preserve"> </w:t>
      </w:r>
      <w:r w:rsidRPr="00FD211F">
        <w:rPr>
          <w:sz w:val="36"/>
          <w:szCs w:val="36"/>
          <w:rtl/>
        </w:rPr>
        <w:t>خبر</w:t>
      </w:r>
      <w:r w:rsidR="00E8128F">
        <w:rPr>
          <w:sz w:val="36"/>
          <w:szCs w:val="36"/>
          <w:rtl/>
        </w:rPr>
        <w:t xml:space="preserve"> </w:t>
      </w:r>
      <w:r w:rsidRPr="00FD211F">
        <w:rPr>
          <w:sz w:val="36"/>
          <w:szCs w:val="36"/>
          <w:rtl/>
        </w:rPr>
        <w:t>الثق</w:t>
      </w:r>
      <w:r w:rsidR="00EC7EDF" w:rsidRPr="00FD211F">
        <w:rPr>
          <w:sz w:val="36"/>
          <w:szCs w:val="36"/>
          <w:rtl/>
        </w:rPr>
        <w:t>ة</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خبر</w:t>
      </w:r>
      <w:r w:rsidR="00E8128F">
        <w:rPr>
          <w:sz w:val="36"/>
          <w:szCs w:val="36"/>
          <w:rtl/>
        </w:rPr>
        <w:t xml:space="preserve"> </w:t>
      </w:r>
      <w:r w:rsidRPr="00FD211F">
        <w:rPr>
          <w:sz w:val="36"/>
          <w:szCs w:val="36"/>
          <w:rtl/>
        </w:rPr>
        <w:t>الثق</w:t>
      </w:r>
      <w:r w:rsidR="00EC7EDF" w:rsidRPr="00FD211F">
        <w:rPr>
          <w:sz w:val="36"/>
          <w:szCs w:val="36"/>
          <w:rtl/>
        </w:rPr>
        <w:t>ة</w:t>
      </w:r>
      <w:r w:rsidR="00E8128F">
        <w:rPr>
          <w:sz w:val="36"/>
          <w:szCs w:val="36"/>
          <w:rtl/>
        </w:rPr>
        <w:t xml:space="preserve"> </w:t>
      </w:r>
      <w:r w:rsidRPr="00FD211F">
        <w:rPr>
          <w:sz w:val="36"/>
          <w:szCs w:val="36"/>
          <w:rtl/>
        </w:rPr>
        <w:t>كخبر</w:t>
      </w:r>
      <w:r w:rsidR="00E8128F">
        <w:rPr>
          <w:sz w:val="36"/>
          <w:szCs w:val="36"/>
          <w:rtl/>
        </w:rPr>
        <w:t xml:space="preserve"> </w:t>
      </w:r>
      <w:r w:rsidRPr="00FD211F">
        <w:rPr>
          <w:sz w:val="36"/>
          <w:szCs w:val="36"/>
          <w:rtl/>
        </w:rPr>
        <w:t>زرار</w:t>
      </w:r>
      <w:r w:rsidR="00EC7EDF" w:rsidRPr="00FD211F">
        <w:rPr>
          <w:sz w:val="36"/>
          <w:szCs w:val="36"/>
          <w:rtl/>
        </w:rPr>
        <w:t>ة</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منجز</w:t>
      </w:r>
      <w:r w:rsidR="00E8128F">
        <w:rPr>
          <w:sz w:val="36"/>
          <w:szCs w:val="36"/>
          <w:rtl/>
        </w:rPr>
        <w:t xml:space="preserve"> </w:t>
      </w:r>
      <w:r w:rsidRPr="00FD211F">
        <w:rPr>
          <w:sz w:val="36"/>
          <w:szCs w:val="36"/>
          <w:rtl/>
        </w:rPr>
        <w:t>للحكم</w:t>
      </w:r>
      <w:r w:rsidR="00E8128F">
        <w:rPr>
          <w:sz w:val="36"/>
          <w:szCs w:val="36"/>
          <w:rtl/>
        </w:rPr>
        <w:t xml:space="preserve"> </w:t>
      </w:r>
      <w:r w:rsidRPr="00FD211F">
        <w:rPr>
          <w:sz w:val="36"/>
          <w:szCs w:val="36"/>
          <w:rtl/>
        </w:rPr>
        <w:t>الواقعي</w:t>
      </w:r>
      <w:r w:rsidR="00E8128F">
        <w:rPr>
          <w:sz w:val="36"/>
          <w:szCs w:val="36"/>
          <w:rtl/>
        </w:rPr>
        <w:t xml:space="preserve"> </w:t>
      </w:r>
      <w:r w:rsidRPr="00FD211F">
        <w:rPr>
          <w:sz w:val="36"/>
          <w:szCs w:val="36"/>
          <w:rtl/>
        </w:rPr>
        <w:t>ابتداءا</w:t>
      </w:r>
      <w:r w:rsidR="00603323" w:rsidRPr="00FD211F">
        <w:rPr>
          <w:sz w:val="36"/>
          <w:szCs w:val="36"/>
          <w:rtl/>
        </w:rPr>
        <w:t>،</w:t>
      </w:r>
      <w:r w:rsidR="00E8128F">
        <w:rPr>
          <w:sz w:val="36"/>
          <w:szCs w:val="36"/>
          <w:rtl/>
        </w:rPr>
        <w:t xml:space="preserve"> </w:t>
      </w:r>
      <w:r w:rsidRPr="00FD211F">
        <w:rPr>
          <w:sz w:val="36"/>
          <w:szCs w:val="36"/>
          <w:rtl/>
        </w:rPr>
        <w:t>وأما</w:t>
      </w:r>
      <w:r w:rsidR="00E8128F">
        <w:rPr>
          <w:sz w:val="36"/>
          <w:szCs w:val="36"/>
          <w:rtl/>
        </w:rPr>
        <w:t xml:space="preserve"> </w:t>
      </w:r>
      <w:r w:rsidRPr="00FD211F">
        <w:rPr>
          <w:sz w:val="36"/>
          <w:szCs w:val="36"/>
          <w:rtl/>
        </w:rPr>
        <w:t>التوثيق</w:t>
      </w:r>
      <w:r w:rsidR="00E8128F">
        <w:rPr>
          <w:sz w:val="36"/>
          <w:szCs w:val="36"/>
          <w:rtl/>
        </w:rPr>
        <w:t xml:space="preserve"> </w:t>
      </w:r>
      <w:r w:rsidRPr="00FD211F">
        <w:rPr>
          <w:sz w:val="36"/>
          <w:szCs w:val="36"/>
          <w:rtl/>
        </w:rPr>
        <w:t>الرجالي</w:t>
      </w:r>
      <w:r w:rsidR="00E8128F">
        <w:rPr>
          <w:sz w:val="36"/>
          <w:szCs w:val="36"/>
          <w:rtl/>
        </w:rPr>
        <w:t xml:space="preserve"> </w:t>
      </w:r>
      <w:r w:rsidRPr="00FD211F">
        <w:rPr>
          <w:sz w:val="36"/>
          <w:szCs w:val="36"/>
          <w:rtl/>
        </w:rPr>
        <w:t>فهو</w:t>
      </w:r>
      <w:r w:rsidR="00E8128F">
        <w:rPr>
          <w:sz w:val="36"/>
          <w:szCs w:val="36"/>
          <w:rtl/>
        </w:rPr>
        <w:t xml:space="preserve"> </w:t>
      </w:r>
      <w:r w:rsidRPr="00FD211F">
        <w:rPr>
          <w:sz w:val="36"/>
          <w:szCs w:val="36"/>
          <w:rtl/>
        </w:rPr>
        <w:t>سبب</w:t>
      </w:r>
      <w:r w:rsidR="00E8128F">
        <w:rPr>
          <w:sz w:val="36"/>
          <w:szCs w:val="36"/>
          <w:rtl/>
        </w:rPr>
        <w:t xml:space="preserve"> </w:t>
      </w:r>
      <w:r w:rsidRPr="00FD211F">
        <w:rPr>
          <w:sz w:val="36"/>
          <w:szCs w:val="36"/>
          <w:rtl/>
        </w:rPr>
        <w:t>لمنجزي</w:t>
      </w:r>
      <w:r w:rsidR="00EC7EDF" w:rsidRPr="00FD211F">
        <w:rPr>
          <w:sz w:val="36"/>
          <w:szCs w:val="36"/>
          <w:rtl/>
        </w:rPr>
        <w:t>ة</w:t>
      </w:r>
      <w:r w:rsidR="00E8128F">
        <w:rPr>
          <w:sz w:val="36"/>
          <w:szCs w:val="36"/>
          <w:rtl/>
        </w:rPr>
        <w:t xml:space="preserve"> </w:t>
      </w:r>
      <w:r w:rsidRPr="00FD211F">
        <w:rPr>
          <w:sz w:val="36"/>
          <w:szCs w:val="36"/>
          <w:rtl/>
        </w:rPr>
        <w:t>خبر</w:t>
      </w:r>
      <w:r w:rsidR="00E8128F">
        <w:rPr>
          <w:sz w:val="36"/>
          <w:szCs w:val="36"/>
          <w:rtl/>
        </w:rPr>
        <w:t xml:space="preserve"> </w:t>
      </w:r>
      <w:r w:rsidRPr="00FD211F">
        <w:rPr>
          <w:sz w:val="36"/>
          <w:szCs w:val="36"/>
          <w:rtl/>
        </w:rPr>
        <w:t>الثق</w:t>
      </w:r>
      <w:r w:rsidR="00EC7EDF" w:rsidRPr="00FD211F">
        <w:rPr>
          <w:sz w:val="36"/>
          <w:szCs w:val="36"/>
          <w:rtl/>
        </w:rPr>
        <w:t>ة</w:t>
      </w:r>
      <w:r w:rsidR="00603323" w:rsidRPr="00FD211F">
        <w:rPr>
          <w:sz w:val="36"/>
          <w:szCs w:val="36"/>
          <w:rtl/>
        </w:rPr>
        <w:t>،</w:t>
      </w:r>
      <w:r w:rsidR="00E8128F">
        <w:rPr>
          <w:sz w:val="36"/>
          <w:szCs w:val="36"/>
          <w:rtl/>
        </w:rPr>
        <w:t xml:space="preserve"> </w:t>
      </w:r>
      <w:r w:rsidR="003E5ACF" w:rsidRPr="00FD211F">
        <w:rPr>
          <w:sz w:val="36"/>
          <w:szCs w:val="36"/>
          <w:rtl/>
        </w:rPr>
        <w:t>وان</w:t>
      </w:r>
      <w:r w:rsidR="00E8128F">
        <w:rPr>
          <w:sz w:val="36"/>
          <w:szCs w:val="36"/>
          <w:rtl/>
        </w:rPr>
        <w:t xml:space="preserve"> </w:t>
      </w:r>
      <w:r w:rsidR="003E5ACF" w:rsidRPr="00FD211F">
        <w:rPr>
          <w:sz w:val="36"/>
          <w:szCs w:val="36"/>
          <w:rtl/>
        </w:rPr>
        <w:t>كان</w:t>
      </w:r>
      <w:r w:rsidR="00E8128F">
        <w:rPr>
          <w:sz w:val="36"/>
          <w:szCs w:val="36"/>
          <w:rtl/>
        </w:rPr>
        <w:t xml:space="preserve"> </w:t>
      </w:r>
      <w:r w:rsidR="003E5ACF" w:rsidRPr="00FD211F">
        <w:rPr>
          <w:sz w:val="36"/>
          <w:szCs w:val="36"/>
          <w:rtl/>
        </w:rPr>
        <w:t>قابلا</w:t>
      </w:r>
      <w:r w:rsidR="00E8128F">
        <w:rPr>
          <w:sz w:val="36"/>
          <w:szCs w:val="36"/>
          <w:rtl/>
        </w:rPr>
        <w:t xml:space="preserve"> </w:t>
      </w:r>
      <w:r w:rsidR="003E5ACF" w:rsidRPr="00FD211F">
        <w:rPr>
          <w:sz w:val="36"/>
          <w:szCs w:val="36"/>
          <w:rtl/>
        </w:rPr>
        <w:t>للنقاش</w:t>
      </w:r>
      <w:r w:rsidR="00E8128F">
        <w:rPr>
          <w:sz w:val="36"/>
          <w:szCs w:val="36"/>
          <w:rtl/>
        </w:rPr>
        <w:t xml:space="preserve"> </w:t>
      </w:r>
      <w:r w:rsidR="003E5ACF" w:rsidRPr="00FD211F">
        <w:rPr>
          <w:sz w:val="36"/>
          <w:szCs w:val="36"/>
          <w:rtl/>
        </w:rPr>
        <w:t>حيث</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تم</w:t>
      </w:r>
      <w:r w:rsidR="00E8128F">
        <w:rPr>
          <w:sz w:val="36"/>
          <w:szCs w:val="36"/>
          <w:rtl/>
        </w:rPr>
        <w:t xml:space="preserve"> </w:t>
      </w:r>
      <w:r w:rsidRPr="00FD211F">
        <w:rPr>
          <w:sz w:val="36"/>
          <w:szCs w:val="36"/>
          <w:rtl/>
        </w:rPr>
        <w:t>مبنى</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خبر</w:t>
      </w:r>
      <w:r w:rsidR="00E8128F">
        <w:rPr>
          <w:sz w:val="36"/>
          <w:szCs w:val="36"/>
          <w:rtl/>
        </w:rPr>
        <w:t xml:space="preserve"> </w:t>
      </w:r>
      <w:r w:rsidRPr="00FD211F">
        <w:rPr>
          <w:sz w:val="36"/>
          <w:szCs w:val="36"/>
          <w:rtl/>
        </w:rPr>
        <w:t>الثق</w:t>
      </w:r>
      <w:r w:rsidR="00EC7EDF" w:rsidRPr="00FD211F">
        <w:rPr>
          <w:sz w:val="36"/>
          <w:szCs w:val="36"/>
          <w:rtl/>
        </w:rPr>
        <w:t>ة</w:t>
      </w:r>
      <w:r w:rsidR="00E8128F">
        <w:rPr>
          <w:sz w:val="36"/>
          <w:szCs w:val="36"/>
          <w:rtl/>
        </w:rPr>
        <w:t xml:space="preserve"> </w:t>
      </w:r>
      <w:r w:rsidRPr="00FD211F">
        <w:rPr>
          <w:sz w:val="36"/>
          <w:szCs w:val="36"/>
          <w:rtl/>
        </w:rPr>
        <w:t>منجزا</w:t>
      </w:r>
      <w:r w:rsidR="00E8128F">
        <w:rPr>
          <w:sz w:val="36"/>
          <w:szCs w:val="36"/>
          <w:rtl/>
        </w:rPr>
        <w:t xml:space="preserve"> </w:t>
      </w:r>
      <w:r w:rsidRPr="00FD211F">
        <w:rPr>
          <w:sz w:val="36"/>
          <w:szCs w:val="36"/>
          <w:rtl/>
        </w:rPr>
        <w:t>للحكم</w:t>
      </w:r>
      <w:r w:rsidR="00E8128F">
        <w:rPr>
          <w:sz w:val="36"/>
          <w:szCs w:val="36"/>
          <w:rtl/>
        </w:rPr>
        <w:t xml:space="preserve"> </w:t>
      </w:r>
      <w:r w:rsidRPr="00FD211F">
        <w:rPr>
          <w:sz w:val="36"/>
          <w:szCs w:val="36"/>
          <w:rtl/>
        </w:rPr>
        <w:t>الواقعي</w:t>
      </w:r>
      <w:r w:rsidR="00E8128F">
        <w:rPr>
          <w:sz w:val="36"/>
          <w:szCs w:val="36"/>
          <w:rtl/>
        </w:rPr>
        <w:t xml:space="preserve"> </w:t>
      </w:r>
      <w:r w:rsidRPr="00FD211F">
        <w:rPr>
          <w:sz w:val="36"/>
          <w:szCs w:val="36"/>
          <w:rtl/>
        </w:rPr>
        <w:t>ابتداءا</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التزم</w:t>
      </w:r>
      <w:r w:rsidR="00E8128F">
        <w:rPr>
          <w:sz w:val="36"/>
          <w:szCs w:val="36"/>
          <w:rtl/>
        </w:rPr>
        <w:t xml:space="preserve"> </w:t>
      </w:r>
      <w:r w:rsidRPr="00FD211F">
        <w:rPr>
          <w:sz w:val="36"/>
          <w:szCs w:val="36"/>
          <w:rtl/>
        </w:rPr>
        <w:t>به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بحث</w:t>
      </w:r>
      <w:r w:rsidR="00E8128F">
        <w:rPr>
          <w:sz w:val="36"/>
          <w:szCs w:val="36"/>
          <w:rtl/>
        </w:rPr>
        <w:t xml:space="preserve"> </w:t>
      </w:r>
      <w:r w:rsidRPr="00FD211F">
        <w:rPr>
          <w:sz w:val="36"/>
          <w:szCs w:val="36"/>
          <w:rtl/>
        </w:rPr>
        <w:t>التعارض</w:t>
      </w:r>
      <w:r w:rsidR="009C58C8" w:rsidRPr="00FD211F">
        <w:rPr>
          <w:rStyle w:val="a6"/>
          <w:sz w:val="36"/>
          <w:szCs w:val="36"/>
          <w:rtl/>
        </w:rPr>
        <w:t>(</w:t>
      </w:r>
      <w:r w:rsidR="009C58C8" w:rsidRPr="00FD211F">
        <w:rPr>
          <w:rStyle w:val="a6"/>
          <w:sz w:val="36"/>
          <w:szCs w:val="36"/>
          <w:rtl/>
        </w:rPr>
        <w:footnoteReference w:id="36"/>
      </w:r>
      <w:r w:rsidR="009C58C8" w:rsidRPr="00FD211F">
        <w:rPr>
          <w:rStyle w:val="a6"/>
          <w:sz w:val="36"/>
          <w:szCs w:val="36"/>
          <w:rtl/>
        </w:rPr>
        <w:t>)</w:t>
      </w:r>
      <w:r w:rsidR="00E8128F">
        <w:rPr>
          <w:sz w:val="36"/>
          <w:szCs w:val="36"/>
          <w:rtl/>
        </w:rPr>
        <w:t xml:space="preserve"> </w:t>
      </w:r>
      <w:r w:rsidR="00DB5769" w:rsidRPr="00FD211F">
        <w:rPr>
          <w:sz w:val="36"/>
          <w:szCs w:val="36"/>
          <w:rtl/>
        </w:rPr>
        <w:t>-وان</w:t>
      </w:r>
      <w:r w:rsidR="00E8128F">
        <w:rPr>
          <w:sz w:val="36"/>
          <w:szCs w:val="36"/>
          <w:rtl/>
        </w:rPr>
        <w:t xml:space="preserve"> </w:t>
      </w:r>
      <w:r w:rsidR="00DB5769" w:rsidRPr="00FD211F">
        <w:rPr>
          <w:sz w:val="36"/>
          <w:szCs w:val="36"/>
          <w:rtl/>
        </w:rPr>
        <w:t>ناقشناه</w:t>
      </w:r>
      <w:r w:rsidR="00E8128F">
        <w:rPr>
          <w:sz w:val="36"/>
          <w:szCs w:val="36"/>
          <w:rtl/>
        </w:rPr>
        <w:t xml:space="preserve"> </w:t>
      </w:r>
      <w:r w:rsidR="00DB5769" w:rsidRPr="00FD211F">
        <w:rPr>
          <w:sz w:val="36"/>
          <w:szCs w:val="36"/>
          <w:rtl/>
        </w:rPr>
        <w:t>في</w:t>
      </w:r>
      <w:r w:rsidR="00E8128F">
        <w:rPr>
          <w:sz w:val="36"/>
          <w:szCs w:val="36"/>
          <w:rtl/>
        </w:rPr>
        <w:t xml:space="preserve"> </w:t>
      </w:r>
      <w:r w:rsidR="00DB5769" w:rsidRPr="00FD211F">
        <w:rPr>
          <w:sz w:val="36"/>
          <w:szCs w:val="36"/>
          <w:rtl/>
        </w:rPr>
        <w:lastRenderedPageBreak/>
        <w:t>محله</w:t>
      </w:r>
      <w:r w:rsidR="009C58C8" w:rsidRPr="00FD211F">
        <w:rPr>
          <w:rStyle w:val="a6"/>
          <w:sz w:val="36"/>
          <w:szCs w:val="36"/>
          <w:rtl/>
        </w:rPr>
        <w:t>(</w:t>
      </w:r>
      <w:r w:rsidR="009C58C8" w:rsidRPr="00FD211F">
        <w:rPr>
          <w:rStyle w:val="a6"/>
          <w:sz w:val="36"/>
          <w:szCs w:val="36"/>
          <w:rtl/>
        </w:rPr>
        <w:footnoteReference w:id="37"/>
      </w:r>
      <w:r w:rsidR="009C58C8" w:rsidRPr="00FD211F">
        <w:rPr>
          <w:rStyle w:val="a6"/>
          <w:sz w:val="36"/>
          <w:szCs w:val="36"/>
          <w:rtl/>
        </w:rPr>
        <w:t>)</w:t>
      </w:r>
      <w:r w:rsidR="00DB5769" w:rsidRPr="00FD211F">
        <w:rPr>
          <w:sz w:val="36"/>
          <w:szCs w:val="36"/>
          <w:rtl/>
        </w:rPr>
        <w:t>-</w:t>
      </w:r>
      <w:r w:rsidR="00E8128F">
        <w:rPr>
          <w:sz w:val="36"/>
          <w:szCs w:val="36"/>
          <w:rtl/>
        </w:rPr>
        <w:t xml:space="preserve"> </w:t>
      </w:r>
      <w:r w:rsidR="00A63009" w:rsidRPr="00FD211F">
        <w:rPr>
          <w:sz w:val="36"/>
          <w:szCs w:val="36"/>
          <w:rtl/>
        </w:rPr>
        <w:t>فيكون</w:t>
      </w:r>
      <w:r w:rsidR="00E8128F">
        <w:rPr>
          <w:sz w:val="36"/>
          <w:szCs w:val="36"/>
          <w:rtl/>
        </w:rPr>
        <w:t xml:space="preserve"> </w:t>
      </w:r>
      <w:r w:rsidR="00A63009" w:rsidRPr="00FD211F">
        <w:rPr>
          <w:sz w:val="36"/>
          <w:szCs w:val="36"/>
          <w:rtl/>
        </w:rPr>
        <w:t>البحث</w:t>
      </w:r>
      <w:r w:rsidR="00E8128F">
        <w:rPr>
          <w:sz w:val="36"/>
          <w:szCs w:val="36"/>
          <w:rtl/>
        </w:rPr>
        <w:t xml:space="preserve"> </w:t>
      </w:r>
      <w:r w:rsidR="00A63009" w:rsidRPr="00FD211F">
        <w:rPr>
          <w:sz w:val="36"/>
          <w:szCs w:val="36"/>
          <w:rtl/>
        </w:rPr>
        <w:t>عن</w:t>
      </w:r>
      <w:r w:rsidR="00E8128F">
        <w:rPr>
          <w:sz w:val="36"/>
          <w:szCs w:val="36"/>
          <w:rtl/>
        </w:rPr>
        <w:t xml:space="preserve"> </w:t>
      </w:r>
      <w:r w:rsidR="00A63009" w:rsidRPr="00FD211F">
        <w:rPr>
          <w:sz w:val="36"/>
          <w:szCs w:val="36"/>
          <w:rtl/>
        </w:rPr>
        <w:t>حجي</w:t>
      </w:r>
      <w:r w:rsidR="00EC7EDF" w:rsidRPr="00FD211F">
        <w:rPr>
          <w:sz w:val="36"/>
          <w:szCs w:val="36"/>
          <w:rtl/>
        </w:rPr>
        <w:t>ة</w:t>
      </w:r>
      <w:r w:rsidR="00E8128F">
        <w:rPr>
          <w:sz w:val="36"/>
          <w:szCs w:val="36"/>
          <w:rtl/>
        </w:rPr>
        <w:t xml:space="preserve"> </w:t>
      </w:r>
      <w:r w:rsidR="00A63009" w:rsidRPr="00FD211F">
        <w:rPr>
          <w:sz w:val="36"/>
          <w:szCs w:val="36"/>
          <w:rtl/>
        </w:rPr>
        <w:t>التوثيقات</w:t>
      </w:r>
      <w:r w:rsidR="00E8128F">
        <w:rPr>
          <w:sz w:val="36"/>
          <w:szCs w:val="36"/>
          <w:rtl/>
        </w:rPr>
        <w:t xml:space="preserve"> </w:t>
      </w:r>
      <w:r w:rsidR="00A63009" w:rsidRPr="00FD211F">
        <w:rPr>
          <w:sz w:val="36"/>
          <w:szCs w:val="36"/>
          <w:rtl/>
        </w:rPr>
        <w:t>الرجالي</w:t>
      </w:r>
      <w:r w:rsidR="00EC7EDF" w:rsidRPr="00FD211F">
        <w:rPr>
          <w:sz w:val="36"/>
          <w:szCs w:val="36"/>
          <w:rtl/>
        </w:rPr>
        <w:t>ة</w:t>
      </w:r>
      <w:r w:rsidR="00E8128F">
        <w:rPr>
          <w:sz w:val="36"/>
          <w:szCs w:val="36"/>
          <w:rtl/>
        </w:rPr>
        <w:t xml:space="preserve"> </w:t>
      </w:r>
      <w:r w:rsidR="00A63009" w:rsidRPr="00FD211F">
        <w:rPr>
          <w:sz w:val="36"/>
          <w:szCs w:val="36"/>
          <w:rtl/>
        </w:rPr>
        <w:t>مثله</w:t>
      </w:r>
      <w:r w:rsidR="00603323" w:rsidRPr="00FD211F">
        <w:rPr>
          <w:sz w:val="36"/>
          <w:szCs w:val="36"/>
          <w:rtl/>
        </w:rPr>
        <w:t>،</w:t>
      </w:r>
      <w:r w:rsidR="00E8128F">
        <w:rPr>
          <w:sz w:val="36"/>
          <w:szCs w:val="36"/>
          <w:rtl/>
        </w:rPr>
        <w:t xml:space="preserve"> </w:t>
      </w:r>
      <w:r w:rsidR="00A63009" w:rsidRPr="00FD211F">
        <w:rPr>
          <w:sz w:val="36"/>
          <w:szCs w:val="36"/>
          <w:rtl/>
        </w:rPr>
        <w:t>حيث</w:t>
      </w:r>
      <w:r w:rsidR="00E8128F">
        <w:rPr>
          <w:sz w:val="36"/>
          <w:szCs w:val="36"/>
          <w:rtl/>
        </w:rPr>
        <w:t xml:space="preserve"> </w:t>
      </w:r>
      <w:r w:rsidR="00A63009" w:rsidRPr="00FD211F">
        <w:rPr>
          <w:sz w:val="36"/>
          <w:szCs w:val="36"/>
          <w:rtl/>
        </w:rPr>
        <w:t>أنه</w:t>
      </w:r>
      <w:r w:rsidR="00E8128F">
        <w:rPr>
          <w:sz w:val="36"/>
          <w:szCs w:val="36"/>
          <w:rtl/>
        </w:rPr>
        <w:t xml:space="preserve"> </w:t>
      </w:r>
      <w:r w:rsidR="00A63009" w:rsidRPr="00FD211F">
        <w:rPr>
          <w:sz w:val="36"/>
          <w:szCs w:val="36"/>
          <w:rtl/>
        </w:rPr>
        <w:t>لامعنى</w:t>
      </w:r>
      <w:r w:rsidR="00E8128F">
        <w:rPr>
          <w:sz w:val="36"/>
          <w:szCs w:val="36"/>
          <w:rtl/>
        </w:rPr>
        <w:t xml:space="preserve"> </w:t>
      </w:r>
      <w:r w:rsidR="00A63009" w:rsidRPr="00FD211F">
        <w:rPr>
          <w:sz w:val="36"/>
          <w:szCs w:val="36"/>
          <w:rtl/>
        </w:rPr>
        <w:t>لحجيتها</w:t>
      </w:r>
      <w:r w:rsidR="00E8128F">
        <w:rPr>
          <w:sz w:val="36"/>
          <w:szCs w:val="36"/>
          <w:rtl/>
        </w:rPr>
        <w:t xml:space="preserve"> </w:t>
      </w:r>
      <w:r w:rsidR="00A63009" w:rsidRPr="00FD211F">
        <w:rPr>
          <w:sz w:val="36"/>
          <w:szCs w:val="36"/>
          <w:rtl/>
        </w:rPr>
        <w:t>الا</w:t>
      </w:r>
      <w:r w:rsidR="00E8128F">
        <w:rPr>
          <w:sz w:val="36"/>
          <w:szCs w:val="36"/>
          <w:rtl/>
        </w:rPr>
        <w:t xml:space="preserve"> </w:t>
      </w:r>
      <w:r w:rsidR="00A63009" w:rsidRPr="00FD211F">
        <w:rPr>
          <w:sz w:val="36"/>
          <w:szCs w:val="36"/>
          <w:rtl/>
        </w:rPr>
        <w:t>تنجز</w:t>
      </w:r>
      <w:r w:rsidR="00E8128F">
        <w:rPr>
          <w:sz w:val="36"/>
          <w:szCs w:val="36"/>
          <w:rtl/>
        </w:rPr>
        <w:t xml:space="preserve"> </w:t>
      </w:r>
      <w:r w:rsidR="00A63009" w:rsidRPr="00FD211F">
        <w:rPr>
          <w:sz w:val="36"/>
          <w:szCs w:val="36"/>
          <w:rtl/>
        </w:rPr>
        <w:t>الحكم</w:t>
      </w:r>
      <w:r w:rsidR="00E8128F">
        <w:rPr>
          <w:sz w:val="36"/>
          <w:szCs w:val="36"/>
          <w:rtl/>
        </w:rPr>
        <w:t xml:space="preserve"> </w:t>
      </w:r>
      <w:r w:rsidR="00A63009" w:rsidRPr="00FD211F">
        <w:rPr>
          <w:sz w:val="36"/>
          <w:szCs w:val="36"/>
          <w:rtl/>
        </w:rPr>
        <w:t>الواقعي</w:t>
      </w:r>
      <w:r w:rsidR="00E8128F">
        <w:rPr>
          <w:sz w:val="36"/>
          <w:szCs w:val="36"/>
          <w:rtl/>
        </w:rPr>
        <w:t xml:space="preserve"> </w:t>
      </w:r>
      <w:r w:rsidR="00A63009" w:rsidRPr="00FD211F">
        <w:rPr>
          <w:sz w:val="36"/>
          <w:szCs w:val="36"/>
          <w:rtl/>
        </w:rPr>
        <w:t>الذي</w:t>
      </w:r>
      <w:r w:rsidR="00E8128F">
        <w:rPr>
          <w:sz w:val="36"/>
          <w:szCs w:val="36"/>
          <w:rtl/>
        </w:rPr>
        <w:t xml:space="preserve"> </w:t>
      </w:r>
      <w:r w:rsidR="00A63009" w:rsidRPr="00FD211F">
        <w:rPr>
          <w:sz w:val="36"/>
          <w:szCs w:val="36"/>
          <w:rtl/>
        </w:rPr>
        <w:t>دل</w:t>
      </w:r>
      <w:r w:rsidR="00E8128F">
        <w:rPr>
          <w:sz w:val="36"/>
          <w:szCs w:val="36"/>
          <w:rtl/>
        </w:rPr>
        <w:t xml:space="preserve"> </w:t>
      </w:r>
      <w:r w:rsidR="00A63009" w:rsidRPr="00FD211F">
        <w:rPr>
          <w:sz w:val="36"/>
          <w:szCs w:val="36"/>
          <w:rtl/>
        </w:rPr>
        <w:t>عليه</w:t>
      </w:r>
      <w:r w:rsidR="00E8128F">
        <w:rPr>
          <w:sz w:val="36"/>
          <w:szCs w:val="36"/>
          <w:rtl/>
        </w:rPr>
        <w:t xml:space="preserve"> </w:t>
      </w:r>
      <w:r w:rsidR="00A63009" w:rsidRPr="00FD211F">
        <w:rPr>
          <w:sz w:val="36"/>
          <w:szCs w:val="36"/>
          <w:rtl/>
        </w:rPr>
        <w:t>الخبر</w:t>
      </w:r>
      <w:r w:rsidR="00E8128F">
        <w:rPr>
          <w:sz w:val="36"/>
          <w:szCs w:val="36"/>
          <w:rtl/>
        </w:rPr>
        <w:t xml:space="preserve"> </w:t>
      </w:r>
      <w:r w:rsidR="001A2B65" w:rsidRPr="00FD211F">
        <w:rPr>
          <w:sz w:val="36"/>
          <w:szCs w:val="36"/>
          <w:rtl/>
        </w:rPr>
        <w:t>الذي</w:t>
      </w:r>
      <w:r w:rsidR="00E8128F">
        <w:rPr>
          <w:sz w:val="36"/>
          <w:szCs w:val="36"/>
          <w:rtl/>
        </w:rPr>
        <w:t xml:space="preserve"> </w:t>
      </w:r>
      <w:r w:rsidR="001A2B65" w:rsidRPr="00FD211F">
        <w:rPr>
          <w:sz w:val="36"/>
          <w:szCs w:val="36"/>
          <w:rtl/>
        </w:rPr>
        <w:t>وُثّق</w:t>
      </w:r>
      <w:r w:rsidR="00E8128F">
        <w:rPr>
          <w:sz w:val="36"/>
          <w:szCs w:val="36"/>
          <w:rtl/>
        </w:rPr>
        <w:t xml:space="preserve"> </w:t>
      </w:r>
      <w:r w:rsidR="001A2B65" w:rsidRPr="00FD211F">
        <w:rPr>
          <w:sz w:val="36"/>
          <w:szCs w:val="36"/>
          <w:rtl/>
        </w:rPr>
        <w:t>راويه</w:t>
      </w:r>
      <w:r w:rsidR="00E8128F">
        <w:rPr>
          <w:sz w:val="36"/>
          <w:szCs w:val="36"/>
          <w:rtl/>
        </w:rPr>
        <w:t xml:space="preserve"> </w:t>
      </w:r>
      <w:r w:rsidR="001A2B65" w:rsidRPr="00FD211F">
        <w:rPr>
          <w:sz w:val="36"/>
          <w:szCs w:val="36"/>
          <w:rtl/>
        </w:rPr>
        <w:t>في</w:t>
      </w:r>
      <w:r w:rsidR="00E8128F">
        <w:rPr>
          <w:sz w:val="36"/>
          <w:szCs w:val="36"/>
          <w:rtl/>
        </w:rPr>
        <w:t xml:space="preserve"> </w:t>
      </w:r>
      <w:r w:rsidR="001A2B65" w:rsidRPr="00FD211F">
        <w:rPr>
          <w:sz w:val="36"/>
          <w:szCs w:val="36"/>
          <w:rtl/>
        </w:rPr>
        <w:t>علم</w:t>
      </w:r>
      <w:r w:rsidR="00E8128F">
        <w:rPr>
          <w:sz w:val="36"/>
          <w:szCs w:val="36"/>
          <w:rtl/>
        </w:rPr>
        <w:t xml:space="preserve"> </w:t>
      </w:r>
      <w:r w:rsidR="001A2B65" w:rsidRPr="00FD211F">
        <w:rPr>
          <w:sz w:val="36"/>
          <w:szCs w:val="36"/>
          <w:rtl/>
        </w:rPr>
        <w:t>الرجال.</w:t>
      </w:r>
    </w:p>
    <w:p w14:paraId="19CCA5AA" w14:textId="77777777" w:rsidR="00EE4755" w:rsidRPr="00FD211F" w:rsidRDefault="00A63009" w:rsidP="009C58C8">
      <w:pPr>
        <w:ind w:left="0" w:firstLine="227"/>
        <w:jc w:val="both"/>
        <w:rPr>
          <w:sz w:val="36"/>
          <w:szCs w:val="36"/>
          <w:rtl/>
        </w:rPr>
      </w:pPr>
      <w:r w:rsidRPr="00FD211F">
        <w:rPr>
          <w:sz w:val="36"/>
          <w:szCs w:val="36"/>
          <w:rtl/>
        </w:rPr>
        <w:t>و</w:t>
      </w:r>
      <w:r w:rsidR="00271644" w:rsidRPr="00FD211F">
        <w:rPr>
          <w:sz w:val="36"/>
          <w:szCs w:val="36"/>
          <w:rtl/>
        </w:rPr>
        <w:t>ما</w:t>
      </w:r>
      <w:r w:rsidR="00E8128F">
        <w:rPr>
          <w:sz w:val="36"/>
          <w:szCs w:val="36"/>
          <w:rtl/>
        </w:rPr>
        <w:t xml:space="preserve"> </w:t>
      </w:r>
      <w:r w:rsidR="00271644" w:rsidRPr="00FD211F">
        <w:rPr>
          <w:sz w:val="36"/>
          <w:szCs w:val="36"/>
          <w:rtl/>
        </w:rPr>
        <w:t>ذكره</w:t>
      </w:r>
      <w:r w:rsidR="00E8128F">
        <w:rPr>
          <w:sz w:val="36"/>
          <w:szCs w:val="36"/>
          <w:rtl/>
        </w:rPr>
        <w:t xml:space="preserve"> </w:t>
      </w:r>
      <w:r w:rsidR="001A2B65" w:rsidRPr="00FD211F">
        <w:rPr>
          <w:sz w:val="36"/>
          <w:szCs w:val="36"/>
          <w:rtl/>
        </w:rPr>
        <w:t>-</w:t>
      </w:r>
      <w:r w:rsidR="00873FA7" w:rsidRPr="00FD211F">
        <w:rPr>
          <w:sz w:val="36"/>
          <w:szCs w:val="36"/>
          <w:rtl/>
        </w:rPr>
        <w:t>من</w:t>
      </w:r>
      <w:r w:rsidR="00E8128F">
        <w:rPr>
          <w:sz w:val="36"/>
          <w:szCs w:val="36"/>
          <w:rtl/>
        </w:rPr>
        <w:t xml:space="preserve"> </w:t>
      </w:r>
      <w:r w:rsidR="00873FA7" w:rsidRPr="00FD211F">
        <w:rPr>
          <w:sz w:val="36"/>
          <w:szCs w:val="36"/>
          <w:rtl/>
        </w:rPr>
        <w:t>أنه</w:t>
      </w:r>
      <w:r w:rsidR="00E8128F">
        <w:rPr>
          <w:sz w:val="36"/>
          <w:szCs w:val="36"/>
          <w:rtl/>
        </w:rPr>
        <w:t xml:space="preserve"> </w:t>
      </w:r>
      <w:r w:rsidR="001A2B65" w:rsidRPr="00FD211F">
        <w:rPr>
          <w:sz w:val="36"/>
          <w:szCs w:val="36"/>
          <w:rtl/>
        </w:rPr>
        <w:t>حيث</w:t>
      </w:r>
      <w:r w:rsidR="00E8128F">
        <w:rPr>
          <w:sz w:val="36"/>
          <w:szCs w:val="36"/>
          <w:rtl/>
        </w:rPr>
        <w:t xml:space="preserve"> </w:t>
      </w:r>
      <w:r w:rsidR="00873FA7" w:rsidRPr="00FD211F">
        <w:rPr>
          <w:sz w:val="36"/>
          <w:szCs w:val="36"/>
          <w:rtl/>
        </w:rPr>
        <w:t>يكون</w:t>
      </w:r>
      <w:r w:rsidR="00E8128F">
        <w:rPr>
          <w:sz w:val="36"/>
          <w:szCs w:val="36"/>
          <w:rtl/>
        </w:rPr>
        <w:t xml:space="preserve"> </w:t>
      </w:r>
      <w:r w:rsidR="003E5ACF" w:rsidRPr="00FD211F">
        <w:rPr>
          <w:sz w:val="36"/>
          <w:szCs w:val="36"/>
          <w:rtl/>
        </w:rPr>
        <w:t>خبر</w:t>
      </w:r>
      <w:r w:rsidR="00E8128F">
        <w:rPr>
          <w:sz w:val="36"/>
          <w:szCs w:val="36"/>
          <w:rtl/>
        </w:rPr>
        <w:t xml:space="preserve"> </w:t>
      </w:r>
      <w:r w:rsidR="003E5ACF" w:rsidRPr="00FD211F">
        <w:rPr>
          <w:sz w:val="36"/>
          <w:szCs w:val="36"/>
          <w:rtl/>
        </w:rPr>
        <w:t>الثق</w:t>
      </w:r>
      <w:r w:rsidR="00EC7EDF" w:rsidRPr="00FD211F">
        <w:rPr>
          <w:sz w:val="36"/>
          <w:szCs w:val="36"/>
          <w:rtl/>
        </w:rPr>
        <w:t>ة</w:t>
      </w:r>
      <w:r w:rsidR="00E8128F">
        <w:rPr>
          <w:sz w:val="36"/>
          <w:szCs w:val="36"/>
          <w:rtl/>
        </w:rPr>
        <w:t xml:space="preserve"> </w:t>
      </w:r>
      <w:r w:rsidR="003E5ACF" w:rsidRPr="00FD211F">
        <w:rPr>
          <w:sz w:val="36"/>
          <w:szCs w:val="36"/>
          <w:rtl/>
        </w:rPr>
        <w:t>منجزا</w:t>
      </w:r>
      <w:r w:rsidR="00E8128F">
        <w:rPr>
          <w:sz w:val="36"/>
          <w:szCs w:val="36"/>
          <w:rtl/>
        </w:rPr>
        <w:t xml:space="preserve"> </w:t>
      </w:r>
      <w:r w:rsidR="003E5ACF" w:rsidRPr="00FD211F">
        <w:rPr>
          <w:sz w:val="36"/>
          <w:szCs w:val="36"/>
          <w:rtl/>
        </w:rPr>
        <w:t>للحكم</w:t>
      </w:r>
      <w:r w:rsidR="00E8128F">
        <w:rPr>
          <w:sz w:val="36"/>
          <w:szCs w:val="36"/>
          <w:rtl/>
        </w:rPr>
        <w:t xml:space="preserve"> </w:t>
      </w:r>
      <w:r w:rsidR="003E5ACF" w:rsidRPr="00FD211F">
        <w:rPr>
          <w:sz w:val="36"/>
          <w:szCs w:val="36"/>
          <w:rtl/>
        </w:rPr>
        <w:t>الواقعي</w:t>
      </w:r>
      <w:r w:rsidR="00E8128F">
        <w:rPr>
          <w:sz w:val="36"/>
          <w:szCs w:val="36"/>
          <w:rtl/>
        </w:rPr>
        <w:t xml:space="preserve"> </w:t>
      </w:r>
      <w:r w:rsidRPr="00FD211F">
        <w:rPr>
          <w:sz w:val="36"/>
          <w:szCs w:val="36"/>
          <w:rtl/>
        </w:rPr>
        <w:t>ولو</w:t>
      </w:r>
      <w:r w:rsidR="00E8128F">
        <w:rPr>
          <w:sz w:val="36"/>
          <w:szCs w:val="36"/>
          <w:rtl/>
        </w:rPr>
        <w:t xml:space="preserve"> </w:t>
      </w:r>
      <w:r w:rsidR="008D7B3D" w:rsidRPr="00FD211F">
        <w:rPr>
          <w:sz w:val="36"/>
          <w:szCs w:val="36"/>
          <w:rtl/>
        </w:rPr>
        <w:t>لم‌</w:t>
      </w:r>
      <w:r w:rsidRPr="00FD211F">
        <w:rPr>
          <w:sz w:val="36"/>
          <w:szCs w:val="36"/>
          <w:rtl/>
        </w:rPr>
        <w:t>يصدر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الامام</w:t>
      </w:r>
      <w:r w:rsidR="00E8128F">
        <w:rPr>
          <w:sz w:val="36"/>
          <w:szCs w:val="36"/>
          <w:rtl/>
        </w:rPr>
        <w:t xml:space="preserve"> </w:t>
      </w:r>
      <w:r w:rsidRPr="00FD211F">
        <w:rPr>
          <w:sz w:val="36"/>
          <w:szCs w:val="36"/>
          <w:rtl/>
        </w:rPr>
        <w:t>شيئ</w:t>
      </w:r>
      <w:r w:rsidR="00603323" w:rsidRPr="00FD211F">
        <w:rPr>
          <w:sz w:val="36"/>
          <w:szCs w:val="36"/>
          <w:rtl/>
        </w:rPr>
        <w:t>،</w:t>
      </w:r>
      <w:r w:rsidR="00E8128F">
        <w:rPr>
          <w:sz w:val="36"/>
          <w:szCs w:val="36"/>
          <w:rtl/>
        </w:rPr>
        <w:t xml:space="preserve"> </w:t>
      </w:r>
      <w:r w:rsidR="001A2B65" w:rsidRPr="00FD211F">
        <w:rPr>
          <w:sz w:val="36"/>
          <w:szCs w:val="36"/>
          <w:rtl/>
        </w:rPr>
        <w:t>فيكون</w:t>
      </w:r>
      <w:r w:rsidR="00E8128F">
        <w:rPr>
          <w:sz w:val="36"/>
          <w:szCs w:val="36"/>
          <w:rtl/>
        </w:rPr>
        <w:t xml:space="preserve"> </w:t>
      </w:r>
      <w:r w:rsidR="001A2B65" w:rsidRPr="00FD211F">
        <w:rPr>
          <w:sz w:val="36"/>
          <w:szCs w:val="36"/>
          <w:rtl/>
        </w:rPr>
        <w:t>شاهدا</w:t>
      </w:r>
      <w:r w:rsidR="00E8128F">
        <w:rPr>
          <w:sz w:val="36"/>
          <w:szCs w:val="36"/>
          <w:rtl/>
        </w:rPr>
        <w:t xml:space="preserve"> </w:t>
      </w:r>
      <w:r w:rsidR="001A2B65" w:rsidRPr="00FD211F">
        <w:rPr>
          <w:sz w:val="36"/>
          <w:szCs w:val="36"/>
          <w:rtl/>
        </w:rPr>
        <w:t>على</w:t>
      </w:r>
      <w:r w:rsidR="00E8128F">
        <w:rPr>
          <w:sz w:val="36"/>
          <w:szCs w:val="36"/>
          <w:rtl/>
        </w:rPr>
        <w:t xml:space="preserve"> </w:t>
      </w:r>
      <w:r w:rsidR="001A2B65" w:rsidRPr="00FD211F">
        <w:rPr>
          <w:sz w:val="36"/>
          <w:szCs w:val="36"/>
          <w:rtl/>
        </w:rPr>
        <w:t>كون</w:t>
      </w:r>
      <w:r w:rsidR="00E8128F">
        <w:rPr>
          <w:sz w:val="36"/>
          <w:szCs w:val="36"/>
          <w:rtl/>
        </w:rPr>
        <w:t xml:space="preserve"> </w:t>
      </w:r>
      <w:r w:rsidR="001A2B65" w:rsidRPr="00FD211F">
        <w:rPr>
          <w:sz w:val="36"/>
          <w:szCs w:val="36"/>
          <w:rtl/>
        </w:rPr>
        <w:t>خبر</w:t>
      </w:r>
      <w:r w:rsidR="00E8128F">
        <w:rPr>
          <w:sz w:val="36"/>
          <w:szCs w:val="36"/>
          <w:rtl/>
        </w:rPr>
        <w:t xml:space="preserve"> </w:t>
      </w:r>
      <w:r w:rsidR="001A2B65" w:rsidRPr="00FD211F">
        <w:rPr>
          <w:sz w:val="36"/>
          <w:szCs w:val="36"/>
          <w:rtl/>
        </w:rPr>
        <w:t>الثق</w:t>
      </w:r>
      <w:r w:rsidR="00EC7EDF" w:rsidRPr="00FD211F">
        <w:rPr>
          <w:sz w:val="36"/>
          <w:szCs w:val="36"/>
          <w:rtl/>
        </w:rPr>
        <w:t>ة</w:t>
      </w:r>
      <w:r w:rsidR="00E8128F">
        <w:rPr>
          <w:sz w:val="36"/>
          <w:szCs w:val="36"/>
          <w:rtl/>
        </w:rPr>
        <w:t xml:space="preserve"> </w:t>
      </w:r>
      <w:r w:rsidR="001A2B65" w:rsidRPr="00FD211F">
        <w:rPr>
          <w:sz w:val="36"/>
          <w:szCs w:val="36"/>
          <w:rtl/>
        </w:rPr>
        <w:t>منجزا</w:t>
      </w:r>
      <w:r w:rsidR="00E8128F">
        <w:rPr>
          <w:sz w:val="36"/>
          <w:szCs w:val="36"/>
          <w:rtl/>
        </w:rPr>
        <w:t xml:space="preserve"> </w:t>
      </w:r>
      <w:r w:rsidR="001A2B65" w:rsidRPr="00FD211F">
        <w:rPr>
          <w:sz w:val="36"/>
          <w:szCs w:val="36"/>
          <w:rtl/>
        </w:rPr>
        <w:t>للحكم</w:t>
      </w:r>
      <w:r w:rsidR="00E8128F">
        <w:rPr>
          <w:sz w:val="36"/>
          <w:szCs w:val="36"/>
          <w:rtl/>
        </w:rPr>
        <w:t xml:space="preserve"> </w:t>
      </w:r>
      <w:r w:rsidR="001A2B65" w:rsidRPr="00FD211F">
        <w:rPr>
          <w:sz w:val="36"/>
          <w:szCs w:val="36"/>
          <w:rtl/>
        </w:rPr>
        <w:t>الواقعي</w:t>
      </w:r>
      <w:r w:rsidR="00E8128F">
        <w:rPr>
          <w:sz w:val="36"/>
          <w:szCs w:val="36"/>
          <w:rtl/>
        </w:rPr>
        <w:t xml:space="preserve"> </w:t>
      </w:r>
      <w:r w:rsidR="001A2B65" w:rsidRPr="00FD211F">
        <w:rPr>
          <w:sz w:val="36"/>
          <w:szCs w:val="36"/>
          <w:rtl/>
        </w:rPr>
        <w:t>ابتداءا</w:t>
      </w:r>
      <w:r w:rsidR="00E8128F">
        <w:rPr>
          <w:sz w:val="36"/>
          <w:szCs w:val="36"/>
          <w:rtl/>
        </w:rPr>
        <w:t xml:space="preserve"> </w:t>
      </w:r>
      <w:r w:rsidR="001A2B65" w:rsidRPr="00FD211F">
        <w:rPr>
          <w:sz w:val="36"/>
          <w:szCs w:val="36"/>
          <w:rtl/>
        </w:rPr>
        <w:t>-</w:t>
      </w:r>
      <w:r w:rsidR="00E8128F">
        <w:rPr>
          <w:sz w:val="36"/>
          <w:szCs w:val="36"/>
          <w:rtl/>
        </w:rPr>
        <w:t xml:space="preserve"> </w:t>
      </w:r>
      <w:r w:rsidR="00873FA7" w:rsidRPr="00FD211F">
        <w:rPr>
          <w:sz w:val="36"/>
          <w:szCs w:val="36"/>
          <w:rtl/>
        </w:rPr>
        <w:t>فهذا</w:t>
      </w:r>
      <w:r w:rsidR="00E8128F">
        <w:rPr>
          <w:sz w:val="36"/>
          <w:szCs w:val="36"/>
          <w:rtl/>
        </w:rPr>
        <w:t xml:space="preserve"> </w:t>
      </w:r>
      <w:r w:rsidRPr="00FD211F">
        <w:rPr>
          <w:sz w:val="36"/>
          <w:szCs w:val="36"/>
          <w:rtl/>
        </w:rPr>
        <w:t>يجري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الحجج</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تقع</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اثبات</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الواسط</w:t>
      </w:r>
      <w:r w:rsidR="00EC7EDF" w:rsidRPr="00FD211F">
        <w:rPr>
          <w:sz w:val="36"/>
          <w:szCs w:val="36"/>
          <w:rtl/>
        </w:rPr>
        <w:t>ة</w:t>
      </w:r>
      <w:r w:rsidR="00603323" w:rsidRPr="00FD211F">
        <w:rPr>
          <w:sz w:val="36"/>
          <w:szCs w:val="36"/>
          <w:rtl/>
        </w:rPr>
        <w:t>،</w:t>
      </w:r>
      <w:r w:rsidR="00E8128F">
        <w:rPr>
          <w:sz w:val="36"/>
          <w:szCs w:val="36"/>
          <w:rtl/>
        </w:rPr>
        <w:t xml:space="preserve"> </w:t>
      </w:r>
      <w:r w:rsidR="00873FA7" w:rsidRPr="00FD211F">
        <w:rPr>
          <w:sz w:val="36"/>
          <w:szCs w:val="36"/>
          <w:rtl/>
        </w:rPr>
        <w:t>فمعنى</w:t>
      </w:r>
      <w:r w:rsidR="00E8128F">
        <w:rPr>
          <w:sz w:val="36"/>
          <w:szCs w:val="36"/>
          <w:rtl/>
        </w:rPr>
        <w:t xml:space="preserve"> </w:t>
      </w:r>
      <w:r w:rsidR="00873FA7" w:rsidRPr="00FD211F">
        <w:rPr>
          <w:sz w:val="36"/>
          <w:szCs w:val="36"/>
          <w:rtl/>
        </w:rPr>
        <w:t>حجي</w:t>
      </w:r>
      <w:r w:rsidR="00EC7EDF" w:rsidRPr="00FD211F">
        <w:rPr>
          <w:sz w:val="36"/>
          <w:szCs w:val="36"/>
          <w:rtl/>
        </w:rPr>
        <w:t>ة</w:t>
      </w:r>
      <w:r w:rsidR="00E8128F">
        <w:rPr>
          <w:sz w:val="36"/>
          <w:szCs w:val="36"/>
          <w:rtl/>
        </w:rPr>
        <w:t xml:space="preserve"> </w:t>
      </w:r>
      <w:r w:rsidR="00873FA7" w:rsidRPr="00FD211F">
        <w:rPr>
          <w:sz w:val="36"/>
          <w:szCs w:val="36"/>
          <w:rtl/>
        </w:rPr>
        <w:t>التوثيقات</w:t>
      </w:r>
      <w:r w:rsidR="00E8128F">
        <w:rPr>
          <w:sz w:val="36"/>
          <w:szCs w:val="36"/>
          <w:rtl/>
        </w:rPr>
        <w:t xml:space="preserve"> </w:t>
      </w:r>
      <w:r w:rsidR="00873FA7" w:rsidRPr="00FD211F">
        <w:rPr>
          <w:sz w:val="36"/>
          <w:szCs w:val="36"/>
          <w:rtl/>
        </w:rPr>
        <w:t>الرجالي</w:t>
      </w:r>
      <w:r w:rsidR="00EC7EDF" w:rsidRPr="00FD211F">
        <w:rPr>
          <w:sz w:val="36"/>
          <w:szCs w:val="36"/>
          <w:rtl/>
        </w:rPr>
        <w:t>ة</w:t>
      </w:r>
      <w:r w:rsidR="00E8128F">
        <w:rPr>
          <w:sz w:val="36"/>
          <w:szCs w:val="36"/>
          <w:rtl/>
        </w:rPr>
        <w:t xml:space="preserve"> </w:t>
      </w:r>
      <w:r w:rsidR="00873FA7" w:rsidRPr="00FD211F">
        <w:rPr>
          <w:sz w:val="36"/>
          <w:szCs w:val="36"/>
          <w:rtl/>
        </w:rPr>
        <w:t>هو</w:t>
      </w:r>
      <w:r w:rsidR="00E8128F">
        <w:rPr>
          <w:sz w:val="36"/>
          <w:szCs w:val="36"/>
          <w:rtl/>
        </w:rPr>
        <w:t xml:space="preserve"> </w:t>
      </w:r>
      <w:r w:rsidR="00873FA7" w:rsidRPr="00FD211F">
        <w:rPr>
          <w:sz w:val="36"/>
          <w:szCs w:val="36"/>
          <w:rtl/>
        </w:rPr>
        <w:t>كونها</w:t>
      </w:r>
      <w:r w:rsidR="00E8128F">
        <w:rPr>
          <w:sz w:val="36"/>
          <w:szCs w:val="36"/>
          <w:rtl/>
        </w:rPr>
        <w:t xml:space="preserve"> </w:t>
      </w:r>
      <w:r w:rsidR="00873FA7" w:rsidRPr="00FD211F">
        <w:rPr>
          <w:sz w:val="36"/>
          <w:szCs w:val="36"/>
          <w:rtl/>
        </w:rPr>
        <w:t>منجز</w:t>
      </w:r>
      <w:r w:rsidR="00EC7EDF" w:rsidRPr="00FD211F">
        <w:rPr>
          <w:sz w:val="36"/>
          <w:szCs w:val="36"/>
          <w:rtl/>
        </w:rPr>
        <w:t>ة</w:t>
      </w:r>
      <w:r w:rsidR="00E8128F">
        <w:rPr>
          <w:sz w:val="36"/>
          <w:szCs w:val="36"/>
          <w:rtl/>
        </w:rPr>
        <w:t xml:space="preserve"> </w:t>
      </w:r>
      <w:r w:rsidR="00873FA7" w:rsidRPr="00FD211F">
        <w:rPr>
          <w:sz w:val="36"/>
          <w:szCs w:val="36"/>
          <w:rtl/>
        </w:rPr>
        <w:t>للحكم</w:t>
      </w:r>
      <w:r w:rsidR="00E8128F">
        <w:rPr>
          <w:sz w:val="36"/>
          <w:szCs w:val="36"/>
          <w:rtl/>
        </w:rPr>
        <w:t xml:space="preserve"> </w:t>
      </w:r>
      <w:r w:rsidR="00873FA7" w:rsidRPr="00FD211F">
        <w:rPr>
          <w:sz w:val="36"/>
          <w:szCs w:val="36"/>
          <w:rtl/>
        </w:rPr>
        <w:t>الواقعي</w:t>
      </w:r>
      <w:r w:rsidR="00E8128F">
        <w:rPr>
          <w:sz w:val="36"/>
          <w:szCs w:val="36"/>
          <w:rtl/>
        </w:rPr>
        <w:t xml:space="preserve"> </w:t>
      </w:r>
      <w:r w:rsidR="00873FA7" w:rsidRPr="00FD211F">
        <w:rPr>
          <w:sz w:val="36"/>
          <w:szCs w:val="36"/>
          <w:rtl/>
        </w:rPr>
        <w:t>الذي</w:t>
      </w:r>
      <w:r w:rsidR="00E8128F">
        <w:rPr>
          <w:sz w:val="36"/>
          <w:szCs w:val="36"/>
          <w:rtl/>
        </w:rPr>
        <w:t xml:space="preserve"> </w:t>
      </w:r>
      <w:r w:rsidR="00873FA7" w:rsidRPr="00FD211F">
        <w:rPr>
          <w:sz w:val="36"/>
          <w:szCs w:val="36"/>
          <w:rtl/>
        </w:rPr>
        <w:t>أخبر</w:t>
      </w:r>
      <w:r w:rsidR="00E8128F">
        <w:rPr>
          <w:sz w:val="36"/>
          <w:szCs w:val="36"/>
          <w:rtl/>
        </w:rPr>
        <w:t xml:space="preserve"> </w:t>
      </w:r>
      <w:r w:rsidR="00873FA7" w:rsidRPr="00FD211F">
        <w:rPr>
          <w:sz w:val="36"/>
          <w:szCs w:val="36"/>
          <w:rtl/>
        </w:rPr>
        <w:t>به</w:t>
      </w:r>
      <w:r w:rsidR="00E8128F">
        <w:rPr>
          <w:sz w:val="36"/>
          <w:szCs w:val="36"/>
          <w:rtl/>
        </w:rPr>
        <w:t xml:space="preserve"> </w:t>
      </w:r>
      <w:r w:rsidR="00873FA7" w:rsidRPr="00FD211F">
        <w:rPr>
          <w:sz w:val="36"/>
          <w:szCs w:val="36"/>
          <w:rtl/>
        </w:rPr>
        <w:t>من</w:t>
      </w:r>
      <w:r w:rsidR="00E8128F">
        <w:rPr>
          <w:sz w:val="36"/>
          <w:szCs w:val="36"/>
          <w:rtl/>
        </w:rPr>
        <w:t xml:space="preserve"> </w:t>
      </w:r>
      <w:r w:rsidR="00873FA7" w:rsidRPr="00FD211F">
        <w:rPr>
          <w:sz w:val="36"/>
          <w:szCs w:val="36"/>
          <w:rtl/>
        </w:rPr>
        <w:t>وثّق</w:t>
      </w:r>
      <w:r w:rsidR="00E8128F">
        <w:rPr>
          <w:sz w:val="36"/>
          <w:szCs w:val="36"/>
          <w:rtl/>
        </w:rPr>
        <w:t xml:space="preserve"> </w:t>
      </w:r>
      <w:r w:rsidR="00873FA7" w:rsidRPr="00FD211F">
        <w:rPr>
          <w:sz w:val="36"/>
          <w:szCs w:val="36"/>
          <w:rtl/>
        </w:rPr>
        <w:t>في</w:t>
      </w:r>
      <w:r w:rsidR="00E8128F">
        <w:rPr>
          <w:sz w:val="36"/>
          <w:szCs w:val="36"/>
          <w:rtl/>
        </w:rPr>
        <w:t xml:space="preserve"> </w:t>
      </w:r>
      <w:r w:rsidR="00873FA7" w:rsidRPr="00FD211F">
        <w:rPr>
          <w:sz w:val="36"/>
          <w:szCs w:val="36"/>
          <w:rtl/>
        </w:rPr>
        <w:t>علم</w:t>
      </w:r>
      <w:r w:rsidR="00E8128F">
        <w:rPr>
          <w:sz w:val="36"/>
          <w:szCs w:val="36"/>
          <w:rtl/>
        </w:rPr>
        <w:t xml:space="preserve"> </w:t>
      </w:r>
      <w:r w:rsidR="00873FA7" w:rsidRPr="00FD211F">
        <w:rPr>
          <w:sz w:val="36"/>
          <w:szCs w:val="36"/>
          <w:rtl/>
        </w:rPr>
        <w:t>الرجال</w:t>
      </w:r>
      <w:r w:rsidR="00E8128F">
        <w:rPr>
          <w:sz w:val="36"/>
          <w:szCs w:val="36"/>
          <w:rtl/>
        </w:rPr>
        <w:t xml:space="preserve"> </w:t>
      </w:r>
      <w:r w:rsidR="00873FA7" w:rsidRPr="00FD211F">
        <w:rPr>
          <w:sz w:val="36"/>
          <w:szCs w:val="36"/>
          <w:rtl/>
        </w:rPr>
        <w:t>ولو</w:t>
      </w:r>
      <w:r w:rsidR="00E8128F">
        <w:rPr>
          <w:sz w:val="36"/>
          <w:szCs w:val="36"/>
          <w:rtl/>
        </w:rPr>
        <w:t xml:space="preserve"> </w:t>
      </w:r>
      <w:r w:rsidR="008D7B3D" w:rsidRPr="00FD211F">
        <w:rPr>
          <w:sz w:val="36"/>
          <w:szCs w:val="36"/>
          <w:rtl/>
        </w:rPr>
        <w:t>لم‌</w:t>
      </w:r>
      <w:r w:rsidR="00873FA7" w:rsidRPr="00FD211F">
        <w:rPr>
          <w:sz w:val="36"/>
          <w:szCs w:val="36"/>
          <w:rtl/>
        </w:rPr>
        <w:t>يكن</w:t>
      </w:r>
      <w:r w:rsidR="00E8128F">
        <w:rPr>
          <w:sz w:val="36"/>
          <w:szCs w:val="36"/>
          <w:rtl/>
        </w:rPr>
        <w:t xml:space="preserve"> </w:t>
      </w:r>
      <w:r w:rsidR="00873FA7" w:rsidRPr="00FD211F">
        <w:rPr>
          <w:sz w:val="36"/>
          <w:szCs w:val="36"/>
          <w:rtl/>
        </w:rPr>
        <w:t>ثق</w:t>
      </w:r>
      <w:r w:rsidR="00EC7EDF" w:rsidRPr="00FD211F">
        <w:rPr>
          <w:sz w:val="36"/>
          <w:szCs w:val="36"/>
          <w:rtl/>
        </w:rPr>
        <w:t>ة</w:t>
      </w:r>
      <w:r w:rsidR="00E8128F">
        <w:rPr>
          <w:sz w:val="36"/>
          <w:szCs w:val="36"/>
          <w:rtl/>
        </w:rPr>
        <w:t xml:space="preserve"> </w:t>
      </w:r>
      <w:r w:rsidR="00873FA7" w:rsidRPr="00FD211F">
        <w:rPr>
          <w:sz w:val="36"/>
          <w:szCs w:val="36"/>
          <w:rtl/>
        </w:rPr>
        <w:t>واقعا</w:t>
      </w:r>
      <w:r w:rsidR="00603323" w:rsidRPr="00FD211F">
        <w:rPr>
          <w:sz w:val="36"/>
          <w:szCs w:val="36"/>
          <w:rtl/>
        </w:rPr>
        <w:t>،</w:t>
      </w:r>
      <w:r w:rsidR="00E8128F">
        <w:rPr>
          <w:sz w:val="36"/>
          <w:szCs w:val="36"/>
          <w:rtl/>
        </w:rPr>
        <w:t xml:space="preserve"> </w:t>
      </w:r>
      <w:r w:rsidR="00145DC2" w:rsidRPr="00FD211F">
        <w:rPr>
          <w:sz w:val="36"/>
          <w:szCs w:val="36"/>
          <w:rtl/>
        </w:rPr>
        <w:t>نعم</w:t>
      </w:r>
      <w:r w:rsidR="00E8128F">
        <w:rPr>
          <w:sz w:val="36"/>
          <w:szCs w:val="36"/>
          <w:rtl/>
        </w:rPr>
        <w:t xml:space="preserve"> </w:t>
      </w:r>
      <w:r w:rsidR="00145DC2" w:rsidRPr="00FD211F">
        <w:rPr>
          <w:sz w:val="36"/>
          <w:szCs w:val="36"/>
          <w:rtl/>
        </w:rPr>
        <w:t>لو</w:t>
      </w:r>
      <w:r w:rsidR="00E8128F">
        <w:rPr>
          <w:sz w:val="36"/>
          <w:szCs w:val="36"/>
          <w:rtl/>
        </w:rPr>
        <w:t xml:space="preserve"> </w:t>
      </w:r>
      <w:r w:rsidR="00145DC2" w:rsidRPr="00FD211F">
        <w:rPr>
          <w:sz w:val="36"/>
          <w:szCs w:val="36"/>
          <w:rtl/>
        </w:rPr>
        <w:t>كان</w:t>
      </w:r>
      <w:r w:rsidR="00E8128F">
        <w:rPr>
          <w:sz w:val="36"/>
          <w:szCs w:val="36"/>
          <w:rtl/>
        </w:rPr>
        <w:t xml:space="preserve"> </w:t>
      </w:r>
      <w:r w:rsidR="00145DC2" w:rsidRPr="00FD211F">
        <w:rPr>
          <w:sz w:val="36"/>
          <w:szCs w:val="36"/>
          <w:rtl/>
        </w:rPr>
        <w:t>ال</w:t>
      </w:r>
      <w:r w:rsidR="001A2B65" w:rsidRPr="00FD211F">
        <w:rPr>
          <w:sz w:val="36"/>
          <w:szCs w:val="36"/>
          <w:rtl/>
        </w:rPr>
        <w:t>غرض</w:t>
      </w:r>
      <w:r w:rsidR="00E8128F">
        <w:rPr>
          <w:sz w:val="36"/>
          <w:szCs w:val="36"/>
          <w:rtl/>
        </w:rPr>
        <w:t xml:space="preserve"> </w:t>
      </w:r>
      <w:r w:rsidR="001A2B65" w:rsidRPr="00FD211F">
        <w:rPr>
          <w:sz w:val="36"/>
          <w:szCs w:val="36"/>
          <w:rtl/>
        </w:rPr>
        <w:t>في</w:t>
      </w:r>
      <w:r w:rsidR="00E8128F">
        <w:rPr>
          <w:sz w:val="36"/>
          <w:szCs w:val="36"/>
          <w:rtl/>
        </w:rPr>
        <w:t xml:space="preserve"> </w:t>
      </w:r>
      <w:r w:rsidR="001A2B65" w:rsidRPr="00FD211F">
        <w:rPr>
          <w:sz w:val="36"/>
          <w:szCs w:val="36"/>
          <w:rtl/>
        </w:rPr>
        <w:t>علم</w:t>
      </w:r>
      <w:r w:rsidR="00E8128F">
        <w:rPr>
          <w:sz w:val="36"/>
          <w:szCs w:val="36"/>
          <w:rtl/>
        </w:rPr>
        <w:t xml:space="preserve"> </w:t>
      </w:r>
      <w:r w:rsidR="001A2B65" w:rsidRPr="00FD211F">
        <w:rPr>
          <w:sz w:val="36"/>
          <w:szCs w:val="36"/>
          <w:rtl/>
        </w:rPr>
        <w:t>الرجال</w:t>
      </w:r>
      <w:r w:rsidR="00E8128F">
        <w:rPr>
          <w:sz w:val="36"/>
          <w:szCs w:val="36"/>
          <w:rtl/>
        </w:rPr>
        <w:t xml:space="preserve"> </w:t>
      </w:r>
      <w:r w:rsidR="00145DC2" w:rsidRPr="00FD211F">
        <w:rPr>
          <w:sz w:val="36"/>
          <w:szCs w:val="36"/>
          <w:rtl/>
        </w:rPr>
        <w:t>هو</w:t>
      </w:r>
      <w:r w:rsidR="00E8128F">
        <w:rPr>
          <w:sz w:val="36"/>
          <w:szCs w:val="36"/>
          <w:rtl/>
        </w:rPr>
        <w:t xml:space="preserve"> </w:t>
      </w:r>
      <w:r w:rsidR="00873FA7" w:rsidRPr="00FD211F">
        <w:rPr>
          <w:sz w:val="36"/>
          <w:szCs w:val="36"/>
          <w:rtl/>
        </w:rPr>
        <w:t>معرف</w:t>
      </w:r>
      <w:r w:rsidR="00EC7EDF" w:rsidRPr="00FD211F">
        <w:rPr>
          <w:sz w:val="36"/>
          <w:szCs w:val="36"/>
          <w:rtl/>
        </w:rPr>
        <w:t>ة</w:t>
      </w:r>
      <w:r w:rsidR="00E8128F">
        <w:rPr>
          <w:sz w:val="36"/>
          <w:szCs w:val="36"/>
          <w:rtl/>
        </w:rPr>
        <w:t xml:space="preserve"> </w:t>
      </w:r>
      <w:r w:rsidR="001A2B65" w:rsidRPr="00FD211F">
        <w:rPr>
          <w:sz w:val="36"/>
          <w:szCs w:val="36"/>
          <w:rtl/>
        </w:rPr>
        <w:t>التوثيقات</w:t>
      </w:r>
      <w:r w:rsidR="00E8128F">
        <w:rPr>
          <w:sz w:val="36"/>
          <w:szCs w:val="36"/>
          <w:rtl/>
        </w:rPr>
        <w:t xml:space="preserve"> </w:t>
      </w:r>
      <w:r w:rsidR="001A2B65" w:rsidRPr="00FD211F">
        <w:rPr>
          <w:sz w:val="36"/>
          <w:szCs w:val="36"/>
          <w:rtl/>
        </w:rPr>
        <w:t>الرجالي</w:t>
      </w:r>
      <w:r w:rsidR="00EC7EDF" w:rsidRPr="00FD211F">
        <w:rPr>
          <w:sz w:val="36"/>
          <w:szCs w:val="36"/>
          <w:rtl/>
        </w:rPr>
        <w:t>ة</w:t>
      </w:r>
      <w:r w:rsidR="00E8128F">
        <w:rPr>
          <w:sz w:val="36"/>
          <w:szCs w:val="36"/>
          <w:rtl/>
        </w:rPr>
        <w:t xml:space="preserve"> </w:t>
      </w:r>
      <w:r w:rsidR="00145DC2" w:rsidRPr="00FD211F">
        <w:rPr>
          <w:sz w:val="36"/>
          <w:szCs w:val="36"/>
          <w:rtl/>
        </w:rPr>
        <w:t>من</w:t>
      </w:r>
      <w:r w:rsidR="00E8128F">
        <w:rPr>
          <w:sz w:val="36"/>
          <w:szCs w:val="36"/>
          <w:rtl/>
        </w:rPr>
        <w:t xml:space="preserve"> </w:t>
      </w:r>
      <w:r w:rsidR="00145DC2" w:rsidRPr="00FD211F">
        <w:rPr>
          <w:sz w:val="36"/>
          <w:szCs w:val="36"/>
          <w:rtl/>
        </w:rPr>
        <w:t>غير</w:t>
      </w:r>
      <w:r w:rsidR="00E8128F">
        <w:rPr>
          <w:sz w:val="36"/>
          <w:szCs w:val="36"/>
          <w:rtl/>
        </w:rPr>
        <w:t xml:space="preserve"> </w:t>
      </w:r>
      <w:r w:rsidR="00145DC2" w:rsidRPr="00FD211F">
        <w:rPr>
          <w:sz w:val="36"/>
          <w:szCs w:val="36"/>
          <w:rtl/>
        </w:rPr>
        <w:t>نظر</w:t>
      </w:r>
      <w:r w:rsidR="00E8128F">
        <w:rPr>
          <w:sz w:val="36"/>
          <w:szCs w:val="36"/>
          <w:rtl/>
        </w:rPr>
        <w:t xml:space="preserve"> </w:t>
      </w:r>
      <w:r w:rsidR="00145DC2" w:rsidRPr="00FD211F">
        <w:rPr>
          <w:sz w:val="36"/>
          <w:szCs w:val="36"/>
          <w:rtl/>
        </w:rPr>
        <w:t>الى</w:t>
      </w:r>
      <w:r w:rsidR="00E8128F">
        <w:rPr>
          <w:sz w:val="36"/>
          <w:szCs w:val="36"/>
          <w:rtl/>
        </w:rPr>
        <w:t xml:space="preserve"> </w:t>
      </w:r>
      <w:r w:rsidR="00145DC2" w:rsidRPr="00FD211F">
        <w:rPr>
          <w:sz w:val="36"/>
          <w:szCs w:val="36"/>
          <w:rtl/>
        </w:rPr>
        <w:t>حجي</w:t>
      </w:r>
      <w:r w:rsidR="001A2B65" w:rsidRPr="00FD211F">
        <w:rPr>
          <w:sz w:val="36"/>
          <w:szCs w:val="36"/>
          <w:rtl/>
        </w:rPr>
        <w:t>تها</w:t>
      </w:r>
      <w:r w:rsidR="00603323" w:rsidRPr="00FD211F">
        <w:rPr>
          <w:sz w:val="36"/>
          <w:szCs w:val="36"/>
          <w:rtl/>
        </w:rPr>
        <w:t>،</w:t>
      </w:r>
      <w:r w:rsidR="00E8128F">
        <w:rPr>
          <w:sz w:val="36"/>
          <w:szCs w:val="36"/>
          <w:rtl/>
        </w:rPr>
        <w:t xml:space="preserve"> </w:t>
      </w:r>
      <w:r w:rsidR="004B27C3" w:rsidRPr="00FD211F">
        <w:rPr>
          <w:sz w:val="36"/>
          <w:szCs w:val="36"/>
          <w:rtl/>
        </w:rPr>
        <w:t>فيتم</w:t>
      </w:r>
      <w:r w:rsidR="00E8128F">
        <w:rPr>
          <w:sz w:val="36"/>
          <w:szCs w:val="36"/>
          <w:rtl/>
        </w:rPr>
        <w:t xml:space="preserve"> </w:t>
      </w:r>
      <w:r w:rsidR="004B27C3" w:rsidRPr="00FD211F">
        <w:rPr>
          <w:sz w:val="36"/>
          <w:szCs w:val="36"/>
          <w:rtl/>
        </w:rPr>
        <w:t>ما</w:t>
      </w:r>
      <w:r w:rsidR="00E8128F">
        <w:rPr>
          <w:sz w:val="36"/>
          <w:szCs w:val="36"/>
          <w:rtl/>
        </w:rPr>
        <w:t xml:space="preserve"> </w:t>
      </w:r>
      <w:r w:rsidR="004B27C3" w:rsidRPr="00FD211F">
        <w:rPr>
          <w:sz w:val="36"/>
          <w:szCs w:val="36"/>
          <w:rtl/>
        </w:rPr>
        <w:t>ذكره</w:t>
      </w:r>
      <w:r w:rsidR="00E8128F">
        <w:rPr>
          <w:sz w:val="36"/>
          <w:szCs w:val="36"/>
          <w:rtl/>
        </w:rPr>
        <w:t xml:space="preserve"> </w:t>
      </w:r>
      <w:r w:rsidR="004B27C3" w:rsidRPr="00FD211F">
        <w:rPr>
          <w:sz w:val="36"/>
          <w:szCs w:val="36"/>
          <w:rtl/>
        </w:rPr>
        <w:t>من</w:t>
      </w:r>
      <w:r w:rsidR="00E8128F">
        <w:rPr>
          <w:sz w:val="36"/>
          <w:szCs w:val="36"/>
          <w:rtl/>
        </w:rPr>
        <w:t xml:space="preserve"> </w:t>
      </w:r>
      <w:r w:rsidR="004B27C3" w:rsidRPr="00FD211F">
        <w:rPr>
          <w:sz w:val="36"/>
          <w:szCs w:val="36"/>
          <w:rtl/>
        </w:rPr>
        <w:t>الفرق</w:t>
      </w:r>
      <w:r w:rsidR="00603323" w:rsidRPr="00FD211F">
        <w:rPr>
          <w:sz w:val="36"/>
          <w:szCs w:val="36"/>
          <w:rtl/>
        </w:rPr>
        <w:t>،</w:t>
      </w:r>
      <w:r w:rsidR="00E8128F">
        <w:rPr>
          <w:sz w:val="36"/>
          <w:szCs w:val="36"/>
          <w:rtl/>
        </w:rPr>
        <w:t xml:space="preserve"> </w:t>
      </w:r>
      <w:r w:rsidR="00E55079" w:rsidRPr="00FD211F">
        <w:rPr>
          <w:sz w:val="36"/>
          <w:szCs w:val="36"/>
          <w:rtl/>
        </w:rPr>
        <w:t>وان</w:t>
      </w:r>
      <w:r w:rsidR="00E8128F">
        <w:rPr>
          <w:sz w:val="36"/>
          <w:szCs w:val="36"/>
          <w:rtl/>
        </w:rPr>
        <w:t xml:space="preserve"> </w:t>
      </w:r>
      <w:r w:rsidR="00E55079" w:rsidRPr="00FD211F">
        <w:rPr>
          <w:sz w:val="36"/>
          <w:szCs w:val="36"/>
          <w:rtl/>
        </w:rPr>
        <w:t>شئت</w:t>
      </w:r>
      <w:r w:rsidR="00E8128F">
        <w:rPr>
          <w:sz w:val="36"/>
          <w:szCs w:val="36"/>
          <w:rtl/>
        </w:rPr>
        <w:t xml:space="preserve"> </w:t>
      </w:r>
      <w:r w:rsidR="00E55079" w:rsidRPr="00FD211F">
        <w:rPr>
          <w:sz w:val="36"/>
          <w:szCs w:val="36"/>
          <w:rtl/>
        </w:rPr>
        <w:t>قلت</w:t>
      </w:r>
      <w:r w:rsidR="00E8128F">
        <w:rPr>
          <w:sz w:val="36"/>
          <w:szCs w:val="36"/>
          <w:rtl/>
        </w:rPr>
        <w:t xml:space="preserve"> </w:t>
      </w:r>
      <w:r w:rsidR="00E55079" w:rsidRPr="00FD211F">
        <w:rPr>
          <w:sz w:val="36"/>
          <w:szCs w:val="36"/>
          <w:rtl/>
        </w:rPr>
        <w:t>انه</w:t>
      </w:r>
      <w:r w:rsidR="00E8128F">
        <w:rPr>
          <w:sz w:val="36"/>
          <w:szCs w:val="36"/>
          <w:rtl/>
        </w:rPr>
        <w:t xml:space="preserve"> </w:t>
      </w:r>
      <w:r w:rsidR="00E55079" w:rsidRPr="00FD211F">
        <w:rPr>
          <w:sz w:val="36"/>
          <w:szCs w:val="36"/>
          <w:rtl/>
        </w:rPr>
        <w:t>لايوجد</w:t>
      </w:r>
      <w:r w:rsidR="00E8128F">
        <w:rPr>
          <w:sz w:val="36"/>
          <w:szCs w:val="36"/>
          <w:rtl/>
        </w:rPr>
        <w:t xml:space="preserve"> </w:t>
      </w:r>
      <w:r w:rsidR="00E55079" w:rsidRPr="00FD211F">
        <w:rPr>
          <w:sz w:val="36"/>
          <w:szCs w:val="36"/>
          <w:rtl/>
        </w:rPr>
        <w:t>فرق</w:t>
      </w:r>
      <w:r w:rsidR="00E8128F">
        <w:rPr>
          <w:sz w:val="36"/>
          <w:szCs w:val="36"/>
          <w:rtl/>
        </w:rPr>
        <w:t xml:space="preserve"> </w:t>
      </w:r>
      <w:r w:rsidR="00E55079" w:rsidRPr="00FD211F">
        <w:rPr>
          <w:sz w:val="36"/>
          <w:szCs w:val="36"/>
          <w:rtl/>
        </w:rPr>
        <w:t>بينما</w:t>
      </w:r>
      <w:r w:rsidR="00E8128F">
        <w:rPr>
          <w:sz w:val="36"/>
          <w:szCs w:val="36"/>
          <w:rtl/>
        </w:rPr>
        <w:t xml:space="preserve"> </w:t>
      </w:r>
      <w:r w:rsidR="00E55079" w:rsidRPr="00FD211F">
        <w:rPr>
          <w:sz w:val="36"/>
          <w:szCs w:val="36"/>
          <w:rtl/>
        </w:rPr>
        <w:t>ذكره</w:t>
      </w:r>
      <w:r w:rsidR="00E8128F">
        <w:rPr>
          <w:sz w:val="36"/>
          <w:szCs w:val="36"/>
          <w:rtl/>
        </w:rPr>
        <w:t xml:space="preserve"> </w:t>
      </w:r>
      <w:r w:rsidR="00E55079" w:rsidRPr="00FD211F">
        <w:rPr>
          <w:sz w:val="36"/>
          <w:szCs w:val="36"/>
          <w:rtl/>
        </w:rPr>
        <w:t>بالنسب</w:t>
      </w:r>
      <w:r w:rsidR="00EC7EDF" w:rsidRPr="00FD211F">
        <w:rPr>
          <w:sz w:val="36"/>
          <w:szCs w:val="36"/>
          <w:rtl/>
        </w:rPr>
        <w:t>ة</w:t>
      </w:r>
      <w:r w:rsidR="00E8128F">
        <w:rPr>
          <w:sz w:val="36"/>
          <w:szCs w:val="36"/>
          <w:rtl/>
        </w:rPr>
        <w:t xml:space="preserve"> </w:t>
      </w:r>
      <w:r w:rsidR="00E55079" w:rsidRPr="00FD211F">
        <w:rPr>
          <w:sz w:val="36"/>
          <w:szCs w:val="36"/>
          <w:rtl/>
        </w:rPr>
        <w:t>الى</w:t>
      </w:r>
      <w:r w:rsidR="00E8128F">
        <w:rPr>
          <w:sz w:val="36"/>
          <w:szCs w:val="36"/>
          <w:rtl/>
        </w:rPr>
        <w:t xml:space="preserve"> </w:t>
      </w:r>
      <w:r w:rsidR="00E55079" w:rsidRPr="00FD211F">
        <w:rPr>
          <w:sz w:val="36"/>
          <w:szCs w:val="36"/>
          <w:rtl/>
        </w:rPr>
        <w:t>البحث</w:t>
      </w:r>
      <w:r w:rsidR="00E8128F">
        <w:rPr>
          <w:sz w:val="36"/>
          <w:szCs w:val="36"/>
          <w:rtl/>
        </w:rPr>
        <w:t xml:space="preserve"> </w:t>
      </w:r>
      <w:r w:rsidR="00E55079" w:rsidRPr="00FD211F">
        <w:rPr>
          <w:sz w:val="36"/>
          <w:szCs w:val="36"/>
          <w:rtl/>
        </w:rPr>
        <w:t>عن</w:t>
      </w:r>
      <w:r w:rsidR="00E8128F">
        <w:rPr>
          <w:sz w:val="36"/>
          <w:szCs w:val="36"/>
          <w:rtl/>
        </w:rPr>
        <w:t xml:space="preserve"> </w:t>
      </w:r>
      <w:r w:rsidR="00E55079" w:rsidRPr="00FD211F">
        <w:rPr>
          <w:sz w:val="36"/>
          <w:szCs w:val="36"/>
          <w:rtl/>
        </w:rPr>
        <w:t>ظهور</w:t>
      </w:r>
      <w:r w:rsidR="00E8128F">
        <w:rPr>
          <w:sz w:val="36"/>
          <w:szCs w:val="36"/>
          <w:rtl/>
        </w:rPr>
        <w:t xml:space="preserve"> </w:t>
      </w:r>
      <w:r w:rsidR="00E55079" w:rsidRPr="00FD211F">
        <w:rPr>
          <w:sz w:val="36"/>
          <w:szCs w:val="36"/>
          <w:rtl/>
        </w:rPr>
        <w:t>الصيغ</w:t>
      </w:r>
      <w:r w:rsidR="00EC7EDF" w:rsidRPr="00FD211F">
        <w:rPr>
          <w:sz w:val="36"/>
          <w:szCs w:val="36"/>
          <w:rtl/>
        </w:rPr>
        <w:t>ة</w:t>
      </w:r>
      <w:r w:rsidR="00E8128F">
        <w:rPr>
          <w:sz w:val="36"/>
          <w:szCs w:val="36"/>
          <w:rtl/>
        </w:rPr>
        <w:t xml:space="preserve"> </w:t>
      </w:r>
      <w:r w:rsidR="00E55079" w:rsidRPr="00FD211F">
        <w:rPr>
          <w:sz w:val="36"/>
          <w:szCs w:val="36"/>
          <w:rtl/>
        </w:rPr>
        <w:t>في</w:t>
      </w:r>
      <w:r w:rsidR="00E8128F">
        <w:rPr>
          <w:sz w:val="36"/>
          <w:szCs w:val="36"/>
          <w:rtl/>
        </w:rPr>
        <w:t xml:space="preserve"> </w:t>
      </w:r>
      <w:r w:rsidR="00E55079" w:rsidRPr="00FD211F">
        <w:rPr>
          <w:sz w:val="36"/>
          <w:szCs w:val="36"/>
          <w:rtl/>
        </w:rPr>
        <w:t>الوجوب</w:t>
      </w:r>
      <w:r w:rsidR="00E8128F">
        <w:rPr>
          <w:sz w:val="36"/>
          <w:szCs w:val="36"/>
          <w:rtl/>
        </w:rPr>
        <w:t xml:space="preserve"> </w:t>
      </w:r>
      <w:r w:rsidR="00E55079" w:rsidRPr="00FD211F">
        <w:rPr>
          <w:sz w:val="36"/>
          <w:szCs w:val="36"/>
          <w:rtl/>
        </w:rPr>
        <w:t>من</w:t>
      </w:r>
      <w:r w:rsidR="00E8128F">
        <w:rPr>
          <w:sz w:val="36"/>
          <w:szCs w:val="36"/>
          <w:rtl/>
        </w:rPr>
        <w:t xml:space="preserve"> </w:t>
      </w:r>
      <w:r w:rsidR="00E55079" w:rsidRPr="00FD211F">
        <w:rPr>
          <w:sz w:val="36"/>
          <w:szCs w:val="36"/>
          <w:rtl/>
        </w:rPr>
        <w:t>انه</w:t>
      </w:r>
      <w:r w:rsidR="00E8128F">
        <w:rPr>
          <w:sz w:val="36"/>
          <w:szCs w:val="36"/>
          <w:rtl/>
        </w:rPr>
        <w:t xml:space="preserve"> </w:t>
      </w:r>
      <w:r w:rsidR="00E55079" w:rsidRPr="00FD211F">
        <w:rPr>
          <w:sz w:val="36"/>
          <w:szCs w:val="36"/>
          <w:rtl/>
        </w:rPr>
        <w:t>يشكّل</w:t>
      </w:r>
      <w:r w:rsidR="00E8128F">
        <w:rPr>
          <w:sz w:val="36"/>
          <w:szCs w:val="36"/>
          <w:rtl/>
        </w:rPr>
        <w:t xml:space="preserve"> </w:t>
      </w:r>
      <w:r w:rsidR="00E55079" w:rsidRPr="00FD211F">
        <w:rPr>
          <w:sz w:val="36"/>
          <w:szCs w:val="36"/>
          <w:rtl/>
        </w:rPr>
        <w:t>صغرى</w:t>
      </w:r>
      <w:r w:rsidR="00E8128F">
        <w:rPr>
          <w:sz w:val="36"/>
          <w:szCs w:val="36"/>
          <w:rtl/>
        </w:rPr>
        <w:t xml:space="preserve"> </w:t>
      </w:r>
      <w:r w:rsidR="00E55079" w:rsidRPr="00FD211F">
        <w:rPr>
          <w:sz w:val="36"/>
          <w:szCs w:val="36"/>
          <w:rtl/>
        </w:rPr>
        <w:t>للقياس</w:t>
      </w:r>
      <w:r w:rsidR="00E8128F">
        <w:rPr>
          <w:sz w:val="36"/>
          <w:szCs w:val="36"/>
          <w:rtl/>
        </w:rPr>
        <w:t xml:space="preserve"> </w:t>
      </w:r>
      <w:r w:rsidR="00E55079" w:rsidRPr="00FD211F">
        <w:rPr>
          <w:sz w:val="36"/>
          <w:szCs w:val="36"/>
          <w:rtl/>
        </w:rPr>
        <w:t>الأخير</w:t>
      </w:r>
      <w:r w:rsidR="00E8128F">
        <w:rPr>
          <w:sz w:val="36"/>
          <w:szCs w:val="36"/>
          <w:rtl/>
        </w:rPr>
        <w:t xml:space="preserve"> </w:t>
      </w:r>
      <w:r w:rsidR="00E55079" w:rsidRPr="00FD211F">
        <w:rPr>
          <w:sz w:val="36"/>
          <w:szCs w:val="36"/>
          <w:rtl/>
        </w:rPr>
        <w:t>للاستنباط</w:t>
      </w:r>
      <w:r w:rsidR="00E8128F">
        <w:rPr>
          <w:sz w:val="36"/>
          <w:szCs w:val="36"/>
          <w:rtl/>
        </w:rPr>
        <w:t xml:space="preserve"> </w:t>
      </w:r>
      <w:r w:rsidR="00E55079" w:rsidRPr="00FD211F">
        <w:rPr>
          <w:sz w:val="36"/>
          <w:szCs w:val="36"/>
          <w:rtl/>
        </w:rPr>
        <w:t>حيث</w:t>
      </w:r>
      <w:r w:rsidR="00E8128F">
        <w:rPr>
          <w:sz w:val="36"/>
          <w:szCs w:val="36"/>
          <w:rtl/>
        </w:rPr>
        <w:t xml:space="preserve"> </w:t>
      </w:r>
      <w:r w:rsidR="00E55079" w:rsidRPr="00FD211F">
        <w:rPr>
          <w:sz w:val="36"/>
          <w:szCs w:val="36"/>
          <w:rtl/>
        </w:rPr>
        <w:t>يقال</w:t>
      </w:r>
      <w:r w:rsidR="00E8128F">
        <w:rPr>
          <w:sz w:val="36"/>
          <w:szCs w:val="36"/>
          <w:rtl/>
        </w:rPr>
        <w:t xml:space="preserve"> </w:t>
      </w:r>
      <w:r w:rsidR="00E55079" w:rsidRPr="00FD211F">
        <w:rPr>
          <w:sz w:val="36"/>
          <w:szCs w:val="36"/>
          <w:rtl/>
        </w:rPr>
        <w:t>ان</w:t>
      </w:r>
      <w:r w:rsidR="00E8128F">
        <w:rPr>
          <w:sz w:val="36"/>
          <w:szCs w:val="36"/>
          <w:rtl/>
        </w:rPr>
        <w:t xml:space="preserve"> </w:t>
      </w:r>
      <w:r w:rsidR="001B3112" w:rsidRPr="00FD211F">
        <w:rPr>
          <w:sz w:val="36"/>
          <w:szCs w:val="36"/>
          <w:rtl/>
        </w:rPr>
        <w:t>الأمر</w:t>
      </w:r>
      <w:r w:rsidR="00E8128F">
        <w:rPr>
          <w:sz w:val="36"/>
          <w:szCs w:val="36"/>
          <w:rtl/>
        </w:rPr>
        <w:t xml:space="preserve"> </w:t>
      </w:r>
      <w:r w:rsidR="00E55079" w:rsidRPr="00FD211F">
        <w:rPr>
          <w:sz w:val="36"/>
          <w:szCs w:val="36"/>
          <w:rtl/>
        </w:rPr>
        <w:t>ظاهر</w:t>
      </w:r>
      <w:r w:rsidR="00E8128F">
        <w:rPr>
          <w:sz w:val="36"/>
          <w:szCs w:val="36"/>
          <w:rtl/>
        </w:rPr>
        <w:t xml:space="preserve"> </w:t>
      </w:r>
      <w:r w:rsidR="00E55079" w:rsidRPr="00FD211F">
        <w:rPr>
          <w:sz w:val="36"/>
          <w:szCs w:val="36"/>
          <w:rtl/>
        </w:rPr>
        <w:t>في</w:t>
      </w:r>
      <w:r w:rsidR="00E8128F">
        <w:rPr>
          <w:sz w:val="36"/>
          <w:szCs w:val="36"/>
          <w:rtl/>
        </w:rPr>
        <w:t xml:space="preserve"> </w:t>
      </w:r>
      <w:r w:rsidR="00E55079" w:rsidRPr="00FD211F">
        <w:rPr>
          <w:sz w:val="36"/>
          <w:szCs w:val="36"/>
          <w:rtl/>
        </w:rPr>
        <w:t>الوجوب</w:t>
      </w:r>
      <w:r w:rsidR="00E8128F">
        <w:rPr>
          <w:sz w:val="36"/>
          <w:szCs w:val="36"/>
          <w:rtl/>
        </w:rPr>
        <w:t xml:space="preserve"> </w:t>
      </w:r>
      <w:r w:rsidR="00E55079" w:rsidRPr="00FD211F">
        <w:rPr>
          <w:sz w:val="36"/>
          <w:szCs w:val="36"/>
          <w:rtl/>
        </w:rPr>
        <w:t>والظاهر</w:t>
      </w:r>
      <w:r w:rsidR="00E8128F">
        <w:rPr>
          <w:sz w:val="36"/>
          <w:szCs w:val="36"/>
          <w:rtl/>
        </w:rPr>
        <w:t xml:space="preserve"> </w:t>
      </w:r>
      <w:r w:rsidR="00E55079" w:rsidRPr="00FD211F">
        <w:rPr>
          <w:sz w:val="36"/>
          <w:szCs w:val="36"/>
          <w:rtl/>
        </w:rPr>
        <w:t>منجز</w:t>
      </w:r>
      <w:r w:rsidR="00E8128F">
        <w:rPr>
          <w:sz w:val="36"/>
          <w:szCs w:val="36"/>
          <w:rtl/>
        </w:rPr>
        <w:t xml:space="preserve"> </w:t>
      </w:r>
      <w:r w:rsidR="00E55079" w:rsidRPr="00FD211F">
        <w:rPr>
          <w:sz w:val="36"/>
          <w:szCs w:val="36"/>
          <w:rtl/>
        </w:rPr>
        <w:t>للحكم</w:t>
      </w:r>
      <w:r w:rsidR="00E8128F">
        <w:rPr>
          <w:sz w:val="36"/>
          <w:szCs w:val="36"/>
          <w:rtl/>
        </w:rPr>
        <w:t xml:space="preserve"> </w:t>
      </w:r>
      <w:r w:rsidR="00E55079" w:rsidRPr="00FD211F">
        <w:rPr>
          <w:sz w:val="36"/>
          <w:szCs w:val="36"/>
          <w:rtl/>
        </w:rPr>
        <w:t>ف</w:t>
      </w:r>
      <w:r w:rsidR="001B3112" w:rsidRPr="00FD211F">
        <w:rPr>
          <w:sz w:val="36"/>
          <w:szCs w:val="36"/>
          <w:rtl/>
        </w:rPr>
        <w:t>الأمر</w:t>
      </w:r>
      <w:r w:rsidR="00E8128F">
        <w:rPr>
          <w:sz w:val="36"/>
          <w:szCs w:val="36"/>
          <w:rtl/>
        </w:rPr>
        <w:t xml:space="preserve"> </w:t>
      </w:r>
      <w:r w:rsidR="00E55079" w:rsidRPr="00FD211F">
        <w:rPr>
          <w:sz w:val="36"/>
          <w:szCs w:val="36"/>
          <w:rtl/>
        </w:rPr>
        <w:t>منجز</w:t>
      </w:r>
      <w:r w:rsidR="00E8128F">
        <w:rPr>
          <w:sz w:val="36"/>
          <w:szCs w:val="36"/>
          <w:rtl/>
        </w:rPr>
        <w:t xml:space="preserve"> </w:t>
      </w:r>
      <w:r w:rsidR="00E55079" w:rsidRPr="00FD211F">
        <w:rPr>
          <w:sz w:val="36"/>
          <w:szCs w:val="36"/>
          <w:rtl/>
        </w:rPr>
        <w:lastRenderedPageBreak/>
        <w:t>للوجوب</w:t>
      </w:r>
      <w:r w:rsidR="00603323" w:rsidRPr="00FD211F">
        <w:rPr>
          <w:sz w:val="36"/>
          <w:szCs w:val="36"/>
          <w:rtl/>
        </w:rPr>
        <w:t>،</w:t>
      </w:r>
      <w:r w:rsidR="00E8128F">
        <w:rPr>
          <w:sz w:val="36"/>
          <w:szCs w:val="36"/>
          <w:rtl/>
        </w:rPr>
        <w:t xml:space="preserve"> </w:t>
      </w:r>
      <w:r w:rsidR="00E55079" w:rsidRPr="00FD211F">
        <w:rPr>
          <w:sz w:val="36"/>
          <w:szCs w:val="36"/>
          <w:rtl/>
        </w:rPr>
        <w:t>وبين</w:t>
      </w:r>
      <w:r w:rsidR="00E8128F">
        <w:rPr>
          <w:sz w:val="36"/>
          <w:szCs w:val="36"/>
          <w:rtl/>
        </w:rPr>
        <w:t xml:space="preserve"> </w:t>
      </w:r>
      <w:r w:rsidR="00E55079" w:rsidRPr="00FD211F">
        <w:rPr>
          <w:sz w:val="36"/>
          <w:szCs w:val="36"/>
          <w:rtl/>
        </w:rPr>
        <w:t>ان</w:t>
      </w:r>
      <w:r w:rsidR="00E8128F">
        <w:rPr>
          <w:sz w:val="36"/>
          <w:szCs w:val="36"/>
          <w:rtl/>
        </w:rPr>
        <w:t xml:space="preserve"> </w:t>
      </w:r>
      <w:r w:rsidR="00E55079" w:rsidRPr="00FD211F">
        <w:rPr>
          <w:sz w:val="36"/>
          <w:szCs w:val="36"/>
          <w:rtl/>
        </w:rPr>
        <w:t>يقال</w:t>
      </w:r>
      <w:r w:rsidR="00E8128F">
        <w:rPr>
          <w:sz w:val="36"/>
          <w:szCs w:val="36"/>
          <w:rtl/>
        </w:rPr>
        <w:t xml:space="preserve"> </w:t>
      </w:r>
      <w:r w:rsidR="00E55079" w:rsidRPr="00FD211F">
        <w:rPr>
          <w:sz w:val="36"/>
          <w:szCs w:val="36"/>
          <w:rtl/>
        </w:rPr>
        <w:t>بالنسب</w:t>
      </w:r>
      <w:r w:rsidR="00EC7EDF" w:rsidRPr="00FD211F">
        <w:rPr>
          <w:sz w:val="36"/>
          <w:szCs w:val="36"/>
          <w:rtl/>
        </w:rPr>
        <w:t>ة</w:t>
      </w:r>
      <w:r w:rsidR="00E8128F">
        <w:rPr>
          <w:sz w:val="36"/>
          <w:szCs w:val="36"/>
          <w:rtl/>
        </w:rPr>
        <w:t xml:space="preserve"> </w:t>
      </w:r>
      <w:r w:rsidR="00E55079" w:rsidRPr="00FD211F">
        <w:rPr>
          <w:sz w:val="36"/>
          <w:szCs w:val="36"/>
          <w:rtl/>
        </w:rPr>
        <w:t>الى</w:t>
      </w:r>
      <w:r w:rsidR="00E8128F">
        <w:rPr>
          <w:sz w:val="36"/>
          <w:szCs w:val="36"/>
          <w:rtl/>
        </w:rPr>
        <w:t xml:space="preserve"> </w:t>
      </w:r>
      <w:r w:rsidR="00E55079" w:rsidRPr="00FD211F">
        <w:rPr>
          <w:sz w:val="36"/>
          <w:szCs w:val="36"/>
          <w:rtl/>
        </w:rPr>
        <w:t>المباحث</w:t>
      </w:r>
      <w:r w:rsidR="00E8128F">
        <w:rPr>
          <w:sz w:val="36"/>
          <w:szCs w:val="36"/>
          <w:rtl/>
        </w:rPr>
        <w:t xml:space="preserve"> </w:t>
      </w:r>
      <w:r w:rsidR="00E55079" w:rsidRPr="00FD211F">
        <w:rPr>
          <w:sz w:val="36"/>
          <w:szCs w:val="36"/>
          <w:rtl/>
        </w:rPr>
        <w:t>الرجالي</w:t>
      </w:r>
      <w:r w:rsidR="00EC7EDF" w:rsidRPr="00FD211F">
        <w:rPr>
          <w:sz w:val="36"/>
          <w:szCs w:val="36"/>
          <w:rtl/>
        </w:rPr>
        <w:t>ة</w:t>
      </w:r>
      <w:r w:rsidR="00E8128F">
        <w:rPr>
          <w:sz w:val="36"/>
          <w:szCs w:val="36"/>
          <w:rtl/>
        </w:rPr>
        <w:t xml:space="preserve"> </w:t>
      </w:r>
      <w:r w:rsidR="00E55079" w:rsidRPr="00FD211F">
        <w:rPr>
          <w:sz w:val="36"/>
          <w:szCs w:val="36"/>
          <w:rtl/>
        </w:rPr>
        <w:t>ان</w:t>
      </w:r>
      <w:r w:rsidR="00E8128F">
        <w:rPr>
          <w:sz w:val="36"/>
          <w:szCs w:val="36"/>
          <w:rtl/>
        </w:rPr>
        <w:t xml:space="preserve"> </w:t>
      </w:r>
      <w:r w:rsidR="00E55079" w:rsidRPr="00FD211F">
        <w:rPr>
          <w:sz w:val="36"/>
          <w:szCs w:val="36"/>
          <w:rtl/>
        </w:rPr>
        <w:t>الخبر</w:t>
      </w:r>
      <w:r w:rsidR="00E8128F">
        <w:rPr>
          <w:sz w:val="36"/>
          <w:szCs w:val="36"/>
          <w:rtl/>
        </w:rPr>
        <w:t xml:space="preserve"> </w:t>
      </w:r>
      <w:r w:rsidR="00E55079" w:rsidRPr="00FD211F">
        <w:rPr>
          <w:sz w:val="36"/>
          <w:szCs w:val="36"/>
          <w:rtl/>
        </w:rPr>
        <w:t>الذي</w:t>
      </w:r>
      <w:r w:rsidR="00E8128F">
        <w:rPr>
          <w:sz w:val="36"/>
          <w:szCs w:val="36"/>
          <w:rtl/>
        </w:rPr>
        <w:t xml:space="preserve"> </w:t>
      </w:r>
      <w:r w:rsidR="00E55079" w:rsidRPr="00FD211F">
        <w:rPr>
          <w:sz w:val="36"/>
          <w:szCs w:val="36"/>
          <w:rtl/>
        </w:rPr>
        <w:t>يرويه</w:t>
      </w:r>
      <w:r w:rsidR="00E8128F">
        <w:rPr>
          <w:sz w:val="36"/>
          <w:szCs w:val="36"/>
          <w:rtl/>
        </w:rPr>
        <w:t xml:space="preserve"> </w:t>
      </w:r>
      <w:r w:rsidR="00E55079" w:rsidRPr="00FD211F">
        <w:rPr>
          <w:sz w:val="36"/>
          <w:szCs w:val="36"/>
          <w:rtl/>
        </w:rPr>
        <w:t>صفوان</w:t>
      </w:r>
      <w:r w:rsidR="00E8128F">
        <w:rPr>
          <w:sz w:val="36"/>
          <w:szCs w:val="36"/>
          <w:rtl/>
        </w:rPr>
        <w:t xml:space="preserve"> </w:t>
      </w:r>
      <w:r w:rsidR="00E55079" w:rsidRPr="00FD211F">
        <w:rPr>
          <w:sz w:val="36"/>
          <w:szCs w:val="36"/>
          <w:rtl/>
        </w:rPr>
        <w:t>مثلا</w:t>
      </w:r>
      <w:r w:rsidR="00E8128F">
        <w:rPr>
          <w:sz w:val="36"/>
          <w:szCs w:val="36"/>
          <w:rtl/>
        </w:rPr>
        <w:t xml:space="preserve"> </w:t>
      </w:r>
      <w:r w:rsidR="00E55079" w:rsidRPr="00FD211F">
        <w:rPr>
          <w:sz w:val="36"/>
          <w:szCs w:val="36"/>
          <w:rtl/>
        </w:rPr>
        <w:t>خبر</w:t>
      </w:r>
      <w:r w:rsidR="00E8128F">
        <w:rPr>
          <w:sz w:val="36"/>
          <w:szCs w:val="36"/>
          <w:rtl/>
        </w:rPr>
        <w:t xml:space="preserve"> </w:t>
      </w:r>
      <w:r w:rsidR="00E55079" w:rsidRPr="00FD211F">
        <w:rPr>
          <w:sz w:val="36"/>
          <w:szCs w:val="36"/>
          <w:rtl/>
        </w:rPr>
        <w:t>ثق</w:t>
      </w:r>
      <w:r w:rsidR="00EC7EDF" w:rsidRPr="00FD211F">
        <w:rPr>
          <w:sz w:val="36"/>
          <w:szCs w:val="36"/>
          <w:rtl/>
        </w:rPr>
        <w:t>ة</w:t>
      </w:r>
      <w:r w:rsidR="00E8128F">
        <w:rPr>
          <w:sz w:val="36"/>
          <w:szCs w:val="36"/>
          <w:rtl/>
        </w:rPr>
        <w:t xml:space="preserve"> </w:t>
      </w:r>
      <w:r w:rsidR="00E55079" w:rsidRPr="00FD211F">
        <w:rPr>
          <w:sz w:val="36"/>
          <w:szCs w:val="36"/>
          <w:rtl/>
        </w:rPr>
        <w:t>وخبر</w:t>
      </w:r>
      <w:r w:rsidR="00E8128F">
        <w:rPr>
          <w:sz w:val="36"/>
          <w:szCs w:val="36"/>
          <w:rtl/>
        </w:rPr>
        <w:t xml:space="preserve"> </w:t>
      </w:r>
      <w:r w:rsidR="00E55079" w:rsidRPr="00FD211F">
        <w:rPr>
          <w:sz w:val="36"/>
          <w:szCs w:val="36"/>
          <w:rtl/>
        </w:rPr>
        <w:t>الثق</w:t>
      </w:r>
      <w:r w:rsidR="00EC7EDF" w:rsidRPr="00FD211F">
        <w:rPr>
          <w:sz w:val="36"/>
          <w:szCs w:val="36"/>
          <w:rtl/>
        </w:rPr>
        <w:t>ة</w:t>
      </w:r>
      <w:r w:rsidR="00E8128F">
        <w:rPr>
          <w:sz w:val="36"/>
          <w:szCs w:val="36"/>
          <w:rtl/>
        </w:rPr>
        <w:t xml:space="preserve"> </w:t>
      </w:r>
      <w:r w:rsidR="00E55079" w:rsidRPr="00FD211F">
        <w:rPr>
          <w:sz w:val="36"/>
          <w:szCs w:val="36"/>
          <w:rtl/>
        </w:rPr>
        <w:t>منجز</w:t>
      </w:r>
      <w:r w:rsidR="00E8128F">
        <w:rPr>
          <w:sz w:val="36"/>
          <w:szCs w:val="36"/>
          <w:rtl/>
        </w:rPr>
        <w:t xml:space="preserve"> </w:t>
      </w:r>
      <w:r w:rsidR="00E55079" w:rsidRPr="00FD211F">
        <w:rPr>
          <w:sz w:val="36"/>
          <w:szCs w:val="36"/>
          <w:rtl/>
        </w:rPr>
        <w:t>فالخبر</w:t>
      </w:r>
      <w:r w:rsidR="00E8128F">
        <w:rPr>
          <w:sz w:val="36"/>
          <w:szCs w:val="36"/>
          <w:rtl/>
        </w:rPr>
        <w:t xml:space="preserve"> </w:t>
      </w:r>
      <w:r w:rsidR="00E55079" w:rsidRPr="00FD211F">
        <w:rPr>
          <w:sz w:val="36"/>
          <w:szCs w:val="36"/>
          <w:rtl/>
        </w:rPr>
        <w:t>الذي</w:t>
      </w:r>
      <w:r w:rsidR="00E8128F">
        <w:rPr>
          <w:sz w:val="36"/>
          <w:szCs w:val="36"/>
          <w:rtl/>
        </w:rPr>
        <w:t xml:space="preserve"> </w:t>
      </w:r>
      <w:r w:rsidR="00E55079" w:rsidRPr="00FD211F">
        <w:rPr>
          <w:sz w:val="36"/>
          <w:szCs w:val="36"/>
          <w:rtl/>
        </w:rPr>
        <w:t>يرويه</w:t>
      </w:r>
      <w:r w:rsidR="00E8128F">
        <w:rPr>
          <w:sz w:val="36"/>
          <w:szCs w:val="36"/>
          <w:rtl/>
        </w:rPr>
        <w:t xml:space="preserve"> </w:t>
      </w:r>
      <w:r w:rsidR="00E55079" w:rsidRPr="00FD211F">
        <w:rPr>
          <w:sz w:val="36"/>
          <w:szCs w:val="36"/>
          <w:rtl/>
        </w:rPr>
        <w:t>صفوان</w:t>
      </w:r>
      <w:r w:rsidR="00E8128F">
        <w:rPr>
          <w:sz w:val="36"/>
          <w:szCs w:val="36"/>
          <w:rtl/>
        </w:rPr>
        <w:t xml:space="preserve"> </w:t>
      </w:r>
      <w:r w:rsidR="00E55079" w:rsidRPr="00FD211F">
        <w:rPr>
          <w:sz w:val="36"/>
          <w:szCs w:val="36"/>
          <w:rtl/>
        </w:rPr>
        <w:t>منجز</w:t>
      </w:r>
      <w:r w:rsidR="00603323" w:rsidRPr="00FD211F">
        <w:rPr>
          <w:sz w:val="36"/>
          <w:szCs w:val="36"/>
          <w:rtl/>
        </w:rPr>
        <w:t>،</w:t>
      </w:r>
      <w:r w:rsidR="00E8128F">
        <w:rPr>
          <w:sz w:val="36"/>
          <w:szCs w:val="36"/>
          <w:rtl/>
        </w:rPr>
        <w:t xml:space="preserve"> </w:t>
      </w:r>
      <w:r w:rsidR="00E55079" w:rsidRPr="00FD211F">
        <w:rPr>
          <w:sz w:val="36"/>
          <w:szCs w:val="36"/>
          <w:rtl/>
        </w:rPr>
        <w:t>ولايرد</w:t>
      </w:r>
      <w:r w:rsidR="00E8128F">
        <w:rPr>
          <w:sz w:val="36"/>
          <w:szCs w:val="36"/>
          <w:rtl/>
        </w:rPr>
        <w:t xml:space="preserve"> </w:t>
      </w:r>
      <w:r w:rsidR="00E55079" w:rsidRPr="00FD211F">
        <w:rPr>
          <w:sz w:val="36"/>
          <w:szCs w:val="36"/>
          <w:rtl/>
        </w:rPr>
        <w:t>عليه</w:t>
      </w:r>
      <w:r w:rsidR="00E8128F">
        <w:rPr>
          <w:sz w:val="36"/>
          <w:szCs w:val="36"/>
          <w:rtl/>
        </w:rPr>
        <w:t xml:space="preserve"> </w:t>
      </w:r>
      <w:r w:rsidR="00E55079" w:rsidRPr="00FD211F">
        <w:rPr>
          <w:sz w:val="36"/>
          <w:szCs w:val="36"/>
          <w:rtl/>
        </w:rPr>
        <w:t>ان</w:t>
      </w:r>
      <w:r w:rsidR="00E8128F">
        <w:rPr>
          <w:sz w:val="36"/>
          <w:szCs w:val="36"/>
          <w:rtl/>
        </w:rPr>
        <w:t xml:space="preserve"> </w:t>
      </w:r>
      <w:r w:rsidR="00E55079" w:rsidRPr="00FD211F">
        <w:rPr>
          <w:sz w:val="36"/>
          <w:szCs w:val="36"/>
          <w:rtl/>
        </w:rPr>
        <w:t>صغرى</w:t>
      </w:r>
      <w:r w:rsidR="00E8128F">
        <w:rPr>
          <w:sz w:val="36"/>
          <w:szCs w:val="36"/>
          <w:rtl/>
        </w:rPr>
        <w:t xml:space="preserve"> </w:t>
      </w:r>
      <w:r w:rsidR="00E55079" w:rsidRPr="00FD211F">
        <w:rPr>
          <w:sz w:val="36"/>
          <w:szCs w:val="36"/>
          <w:rtl/>
        </w:rPr>
        <w:t>هذا</w:t>
      </w:r>
      <w:r w:rsidR="00E8128F">
        <w:rPr>
          <w:sz w:val="36"/>
          <w:szCs w:val="36"/>
          <w:rtl/>
        </w:rPr>
        <w:t xml:space="preserve"> </w:t>
      </w:r>
      <w:r w:rsidR="00E55079" w:rsidRPr="00FD211F">
        <w:rPr>
          <w:sz w:val="36"/>
          <w:szCs w:val="36"/>
          <w:rtl/>
        </w:rPr>
        <w:t>القياس</w:t>
      </w:r>
      <w:r w:rsidR="00E8128F">
        <w:rPr>
          <w:sz w:val="36"/>
          <w:szCs w:val="36"/>
          <w:rtl/>
        </w:rPr>
        <w:t xml:space="preserve"> </w:t>
      </w:r>
      <w:r w:rsidR="00E55079" w:rsidRPr="00FD211F">
        <w:rPr>
          <w:sz w:val="36"/>
          <w:szCs w:val="36"/>
          <w:rtl/>
        </w:rPr>
        <w:t>ليست</w:t>
      </w:r>
      <w:r w:rsidR="00E8128F">
        <w:rPr>
          <w:sz w:val="36"/>
          <w:szCs w:val="36"/>
          <w:rtl/>
        </w:rPr>
        <w:t xml:space="preserve"> </w:t>
      </w:r>
      <w:r w:rsidR="00E55079" w:rsidRPr="00FD211F">
        <w:rPr>
          <w:sz w:val="36"/>
          <w:szCs w:val="36"/>
          <w:rtl/>
        </w:rPr>
        <w:t>سيال</w:t>
      </w:r>
      <w:r w:rsidR="00EC7EDF" w:rsidRPr="00FD211F">
        <w:rPr>
          <w:sz w:val="36"/>
          <w:szCs w:val="36"/>
          <w:rtl/>
        </w:rPr>
        <w:t>ة</w:t>
      </w:r>
      <w:r w:rsidR="00E8128F">
        <w:rPr>
          <w:sz w:val="36"/>
          <w:szCs w:val="36"/>
          <w:rtl/>
        </w:rPr>
        <w:t xml:space="preserve"> </w:t>
      </w:r>
      <w:r w:rsidR="00E55079" w:rsidRPr="00FD211F">
        <w:rPr>
          <w:sz w:val="36"/>
          <w:szCs w:val="36"/>
          <w:rtl/>
        </w:rPr>
        <w:t>في</w:t>
      </w:r>
      <w:r w:rsidR="00E8128F">
        <w:rPr>
          <w:sz w:val="36"/>
          <w:szCs w:val="36"/>
          <w:rtl/>
        </w:rPr>
        <w:t xml:space="preserve"> </w:t>
      </w:r>
      <w:r w:rsidR="00E55079" w:rsidRPr="00FD211F">
        <w:rPr>
          <w:sz w:val="36"/>
          <w:szCs w:val="36"/>
          <w:rtl/>
        </w:rPr>
        <w:t>الفقه</w:t>
      </w:r>
      <w:r w:rsidR="00EE4755" w:rsidRPr="00FD211F">
        <w:rPr>
          <w:sz w:val="36"/>
          <w:szCs w:val="36"/>
          <w:rtl/>
        </w:rPr>
        <w:t>.</w:t>
      </w:r>
    </w:p>
    <w:p w14:paraId="5AFC1D09" w14:textId="77777777" w:rsidR="001A2B65" w:rsidRPr="00FD211F" w:rsidRDefault="00F7650D" w:rsidP="009C58C8">
      <w:pPr>
        <w:ind w:left="0" w:firstLine="227"/>
        <w:jc w:val="both"/>
        <w:rPr>
          <w:sz w:val="36"/>
          <w:szCs w:val="36"/>
          <w:rtl/>
        </w:rPr>
      </w:pPr>
      <w:r w:rsidRPr="00FD211F">
        <w:rPr>
          <w:sz w:val="36"/>
          <w:szCs w:val="36"/>
          <w:rtl/>
        </w:rPr>
        <w:t>و</w:t>
      </w:r>
      <w:r w:rsidR="001A2B65" w:rsidRPr="00FD211F">
        <w:rPr>
          <w:sz w:val="36"/>
          <w:szCs w:val="36"/>
          <w:rtl/>
        </w:rPr>
        <w:t>مع</w:t>
      </w:r>
      <w:r w:rsidR="00E8128F">
        <w:rPr>
          <w:sz w:val="36"/>
          <w:szCs w:val="36"/>
          <w:rtl/>
        </w:rPr>
        <w:t xml:space="preserve"> </w:t>
      </w:r>
      <w:r w:rsidR="001A2B65" w:rsidRPr="00FD211F">
        <w:rPr>
          <w:sz w:val="36"/>
          <w:szCs w:val="36"/>
          <w:rtl/>
        </w:rPr>
        <w:t>ذلك</w:t>
      </w:r>
      <w:r w:rsidR="00E8128F">
        <w:rPr>
          <w:sz w:val="36"/>
          <w:szCs w:val="36"/>
          <w:rtl/>
        </w:rPr>
        <w:t xml:space="preserve"> </w:t>
      </w:r>
      <w:r w:rsidR="00EE4755" w:rsidRPr="00FD211F">
        <w:rPr>
          <w:sz w:val="36"/>
          <w:szCs w:val="36"/>
          <w:rtl/>
        </w:rPr>
        <w:t>لايبعد</w:t>
      </w:r>
      <w:r w:rsidR="00E8128F">
        <w:rPr>
          <w:sz w:val="36"/>
          <w:szCs w:val="36"/>
          <w:rtl/>
        </w:rPr>
        <w:t xml:space="preserve"> </w:t>
      </w:r>
      <w:r w:rsidR="00EE4755" w:rsidRPr="00FD211F">
        <w:rPr>
          <w:sz w:val="36"/>
          <w:szCs w:val="36"/>
          <w:rtl/>
        </w:rPr>
        <w:t>تمامي</w:t>
      </w:r>
      <w:r w:rsidR="00EC7EDF" w:rsidRPr="00FD211F">
        <w:rPr>
          <w:sz w:val="36"/>
          <w:szCs w:val="36"/>
          <w:rtl/>
        </w:rPr>
        <w:t>ة</w:t>
      </w:r>
      <w:r w:rsidR="00E8128F">
        <w:rPr>
          <w:sz w:val="36"/>
          <w:szCs w:val="36"/>
          <w:rtl/>
        </w:rPr>
        <w:t xml:space="preserve"> </w:t>
      </w:r>
      <w:r w:rsidR="00873FA7" w:rsidRPr="00FD211F">
        <w:rPr>
          <w:sz w:val="36"/>
          <w:szCs w:val="36"/>
          <w:rtl/>
        </w:rPr>
        <w:t>كلامه</w:t>
      </w:r>
      <w:r w:rsidR="00E8128F">
        <w:rPr>
          <w:sz w:val="36"/>
          <w:szCs w:val="36"/>
          <w:rtl/>
        </w:rPr>
        <w:t xml:space="preserve"> </w:t>
      </w:r>
      <w:r w:rsidR="00A61BAE" w:rsidRPr="00FD211F">
        <w:rPr>
          <w:sz w:val="36"/>
          <w:szCs w:val="36"/>
          <w:rtl/>
        </w:rPr>
        <w:t>"قده"</w:t>
      </w:r>
      <w:r w:rsidR="00E8128F">
        <w:rPr>
          <w:sz w:val="36"/>
          <w:szCs w:val="36"/>
          <w:rtl/>
        </w:rPr>
        <w:t xml:space="preserve"> </w:t>
      </w:r>
      <w:r w:rsidR="00873FA7" w:rsidRPr="00FD211F">
        <w:rPr>
          <w:sz w:val="36"/>
          <w:szCs w:val="36"/>
          <w:rtl/>
        </w:rPr>
        <w:t>اذا</w:t>
      </w:r>
      <w:r w:rsidR="00E8128F">
        <w:rPr>
          <w:sz w:val="36"/>
          <w:szCs w:val="36"/>
          <w:rtl/>
        </w:rPr>
        <w:t xml:space="preserve"> </w:t>
      </w:r>
      <w:r w:rsidR="00873FA7" w:rsidRPr="00FD211F">
        <w:rPr>
          <w:sz w:val="36"/>
          <w:szCs w:val="36"/>
          <w:rtl/>
        </w:rPr>
        <w:t>لوحظ</w:t>
      </w:r>
      <w:r w:rsidR="00E8128F">
        <w:rPr>
          <w:sz w:val="36"/>
          <w:szCs w:val="36"/>
          <w:rtl/>
        </w:rPr>
        <w:t xml:space="preserve"> </w:t>
      </w:r>
      <w:r w:rsidR="00873FA7" w:rsidRPr="00FD211F">
        <w:rPr>
          <w:sz w:val="36"/>
          <w:szCs w:val="36"/>
          <w:rtl/>
        </w:rPr>
        <w:t>بالنظر</w:t>
      </w:r>
      <w:r w:rsidR="00E8128F">
        <w:rPr>
          <w:sz w:val="36"/>
          <w:szCs w:val="36"/>
          <w:rtl/>
        </w:rPr>
        <w:t xml:space="preserve"> </w:t>
      </w:r>
      <w:r w:rsidR="00873FA7" w:rsidRPr="00FD211F">
        <w:rPr>
          <w:sz w:val="36"/>
          <w:szCs w:val="36"/>
          <w:rtl/>
        </w:rPr>
        <w:t>العرفي</w:t>
      </w:r>
      <w:r w:rsidR="00603323" w:rsidRPr="00FD211F">
        <w:rPr>
          <w:sz w:val="36"/>
          <w:szCs w:val="36"/>
          <w:rtl/>
        </w:rPr>
        <w:t>،</w:t>
      </w:r>
      <w:r w:rsidR="00E8128F">
        <w:rPr>
          <w:sz w:val="36"/>
          <w:szCs w:val="36"/>
          <w:rtl/>
        </w:rPr>
        <w:t xml:space="preserve"> </w:t>
      </w:r>
      <w:r w:rsidR="00873FA7" w:rsidRPr="00FD211F">
        <w:rPr>
          <w:sz w:val="36"/>
          <w:szCs w:val="36"/>
          <w:rtl/>
        </w:rPr>
        <w:t>فان</w:t>
      </w:r>
      <w:r w:rsidR="00E8128F">
        <w:rPr>
          <w:sz w:val="36"/>
          <w:szCs w:val="36"/>
          <w:rtl/>
        </w:rPr>
        <w:t xml:space="preserve"> </w:t>
      </w:r>
      <w:r w:rsidR="00873FA7" w:rsidRPr="00FD211F">
        <w:rPr>
          <w:sz w:val="36"/>
          <w:szCs w:val="36"/>
          <w:rtl/>
        </w:rPr>
        <w:t>البحث</w:t>
      </w:r>
      <w:r w:rsidR="00E8128F">
        <w:rPr>
          <w:sz w:val="36"/>
          <w:szCs w:val="36"/>
          <w:rtl/>
        </w:rPr>
        <w:t xml:space="preserve"> </w:t>
      </w:r>
      <w:r w:rsidR="00873FA7" w:rsidRPr="00FD211F">
        <w:rPr>
          <w:sz w:val="36"/>
          <w:szCs w:val="36"/>
          <w:rtl/>
        </w:rPr>
        <w:t>عن</w:t>
      </w:r>
      <w:r w:rsidR="00E8128F">
        <w:rPr>
          <w:sz w:val="36"/>
          <w:szCs w:val="36"/>
          <w:rtl/>
        </w:rPr>
        <w:t xml:space="preserve"> </w:t>
      </w:r>
      <w:r w:rsidR="00873FA7" w:rsidRPr="00FD211F">
        <w:rPr>
          <w:sz w:val="36"/>
          <w:szCs w:val="36"/>
          <w:rtl/>
        </w:rPr>
        <w:t>حجي</w:t>
      </w:r>
      <w:r w:rsidR="00EC7EDF" w:rsidRPr="00FD211F">
        <w:rPr>
          <w:sz w:val="36"/>
          <w:szCs w:val="36"/>
          <w:rtl/>
        </w:rPr>
        <w:t>ة</w:t>
      </w:r>
      <w:r w:rsidR="00E8128F">
        <w:rPr>
          <w:sz w:val="36"/>
          <w:szCs w:val="36"/>
          <w:rtl/>
        </w:rPr>
        <w:t xml:space="preserve"> </w:t>
      </w:r>
      <w:r w:rsidR="00873FA7" w:rsidRPr="00FD211F">
        <w:rPr>
          <w:sz w:val="36"/>
          <w:szCs w:val="36"/>
          <w:rtl/>
        </w:rPr>
        <w:t>خبر</w:t>
      </w:r>
      <w:r w:rsidR="00E8128F">
        <w:rPr>
          <w:sz w:val="36"/>
          <w:szCs w:val="36"/>
          <w:rtl/>
        </w:rPr>
        <w:t xml:space="preserve"> </w:t>
      </w:r>
      <w:r w:rsidR="00873FA7" w:rsidRPr="00FD211F">
        <w:rPr>
          <w:sz w:val="36"/>
          <w:szCs w:val="36"/>
          <w:rtl/>
        </w:rPr>
        <w:t>الثق</w:t>
      </w:r>
      <w:r w:rsidR="00EC7EDF" w:rsidRPr="00FD211F">
        <w:rPr>
          <w:sz w:val="36"/>
          <w:szCs w:val="36"/>
          <w:rtl/>
        </w:rPr>
        <w:t>ة</w:t>
      </w:r>
      <w:r w:rsidR="00603323" w:rsidRPr="00FD211F">
        <w:rPr>
          <w:sz w:val="36"/>
          <w:szCs w:val="36"/>
          <w:rtl/>
        </w:rPr>
        <w:t>،</w:t>
      </w:r>
      <w:r w:rsidR="00E8128F">
        <w:rPr>
          <w:sz w:val="36"/>
          <w:szCs w:val="36"/>
          <w:rtl/>
        </w:rPr>
        <w:t xml:space="preserve"> </w:t>
      </w:r>
      <w:r w:rsidR="00873FA7" w:rsidRPr="00FD211F">
        <w:rPr>
          <w:sz w:val="36"/>
          <w:szCs w:val="36"/>
          <w:rtl/>
        </w:rPr>
        <w:t>وكذا</w:t>
      </w:r>
      <w:r w:rsidR="00E8128F">
        <w:rPr>
          <w:sz w:val="36"/>
          <w:szCs w:val="36"/>
          <w:rtl/>
        </w:rPr>
        <w:t xml:space="preserve"> </w:t>
      </w:r>
      <w:r w:rsidR="00873FA7" w:rsidRPr="00FD211F">
        <w:rPr>
          <w:sz w:val="36"/>
          <w:szCs w:val="36"/>
          <w:rtl/>
        </w:rPr>
        <w:t>البحث</w:t>
      </w:r>
      <w:r w:rsidR="00E8128F">
        <w:rPr>
          <w:sz w:val="36"/>
          <w:szCs w:val="36"/>
          <w:rtl/>
        </w:rPr>
        <w:t xml:space="preserve"> </w:t>
      </w:r>
      <w:r w:rsidR="00873FA7" w:rsidRPr="00FD211F">
        <w:rPr>
          <w:sz w:val="36"/>
          <w:szCs w:val="36"/>
          <w:rtl/>
        </w:rPr>
        <w:t>عن</w:t>
      </w:r>
      <w:r w:rsidR="00E8128F">
        <w:rPr>
          <w:sz w:val="36"/>
          <w:szCs w:val="36"/>
          <w:rtl/>
        </w:rPr>
        <w:t xml:space="preserve"> </w:t>
      </w:r>
      <w:r w:rsidR="00873FA7" w:rsidRPr="00FD211F">
        <w:rPr>
          <w:sz w:val="36"/>
          <w:szCs w:val="36"/>
          <w:rtl/>
        </w:rPr>
        <w:t>مباحث</w:t>
      </w:r>
      <w:r w:rsidR="00E8128F">
        <w:rPr>
          <w:sz w:val="36"/>
          <w:szCs w:val="36"/>
          <w:rtl/>
        </w:rPr>
        <w:t xml:space="preserve"> </w:t>
      </w:r>
      <w:r w:rsidR="00873FA7" w:rsidRPr="00FD211F">
        <w:rPr>
          <w:sz w:val="36"/>
          <w:szCs w:val="36"/>
          <w:rtl/>
        </w:rPr>
        <w:t>الالفاظ</w:t>
      </w:r>
      <w:r w:rsidR="00E8128F">
        <w:rPr>
          <w:sz w:val="36"/>
          <w:szCs w:val="36"/>
          <w:rtl/>
        </w:rPr>
        <w:t xml:space="preserve"> </w:t>
      </w:r>
      <w:r w:rsidR="00873FA7" w:rsidRPr="00FD211F">
        <w:rPr>
          <w:sz w:val="36"/>
          <w:szCs w:val="36"/>
          <w:rtl/>
        </w:rPr>
        <w:t>–باعتبار</w:t>
      </w:r>
      <w:r w:rsidR="00E8128F">
        <w:rPr>
          <w:sz w:val="36"/>
          <w:szCs w:val="36"/>
          <w:rtl/>
        </w:rPr>
        <w:t xml:space="preserve"> </w:t>
      </w:r>
      <w:r w:rsidR="00873FA7" w:rsidRPr="00FD211F">
        <w:rPr>
          <w:sz w:val="36"/>
          <w:szCs w:val="36"/>
          <w:rtl/>
        </w:rPr>
        <w:t>كون</w:t>
      </w:r>
      <w:r w:rsidR="00E8128F">
        <w:rPr>
          <w:sz w:val="36"/>
          <w:szCs w:val="36"/>
          <w:rtl/>
        </w:rPr>
        <w:t xml:space="preserve"> </w:t>
      </w:r>
      <w:r w:rsidR="00873FA7" w:rsidRPr="00FD211F">
        <w:rPr>
          <w:sz w:val="36"/>
          <w:szCs w:val="36"/>
          <w:rtl/>
        </w:rPr>
        <w:t>البحث</w:t>
      </w:r>
      <w:r w:rsidR="00E8128F">
        <w:rPr>
          <w:sz w:val="36"/>
          <w:szCs w:val="36"/>
          <w:rtl/>
        </w:rPr>
        <w:t xml:space="preserve"> </w:t>
      </w:r>
      <w:r w:rsidR="00873FA7" w:rsidRPr="00FD211F">
        <w:rPr>
          <w:sz w:val="36"/>
          <w:szCs w:val="36"/>
          <w:rtl/>
        </w:rPr>
        <w:t>عنها</w:t>
      </w:r>
      <w:r w:rsidR="00E8128F">
        <w:rPr>
          <w:sz w:val="36"/>
          <w:szCs w:val="36"/>
          <w:rtl/>
        </w:rPr>
        <w:t xml:space="preserve"> </w:t>
      </w:r>
      <w:r w:rsidR="00873FA7" w:rsidRPr="00FD211F">
        <w:rPr>
          <w:sz w:val="36"/>
          <w:szCs w:val="36"/>
          <w:rtl/>
        </w:rPr>
        <w:t>منقحا</w:t>
      </w:r>
      <w:r w:rsidR="00E8128F">
        <w:rPr>
          <w:sz w:val="36"/>
          <w:szCs w:val="36"/>
          <w:rtl/>
        </w:rPr>
        <w:t xml:space="preserve"> </w:t>
      </w:r>
      <w:r w:rsidR="00873FA7" w:rsidRPr="00FD211F">
        <w:rPr>
          <w:sz w:val="36"/>
          <w:szCs w:val="36"/>
          <w:rtl/>
        </w:rPr>
        <w:t>لمصاديق</w:t>
      </w:r>
      <w:r w:rsidR="00E8128F">
        <w:rPr>
          <w:sz w:val="36"/>
          <w:szCs w:val="36"/>
          <w:rtl/>
        </w:rPr>
        <w:t xml:space="preserve"> </w:t>
      </w:r>
      <w:r w:rsidR="00873FA7" w:rsidRPr="00FD211F">
        <w:rPr>
          <w:sz w:val="36"/>
          <w:szCs w:val="36"/>
          <w:rtl/>
        </w:rPr>
        <w:t>الظهور-</w:t>
      </w:r>
      <w:r w:rsidR="00E8128F">
        <w:rPr>
          <w:sz w:val="36"/>
          <w:szCs w:val="36"/>
          <w:rtl/>
        </w:rPr>
        <w:t xml:space="preserve"> </w:t>
      </w:r>
      <w:r w:rsidR="00873FA7" w:rsidRPr="00FD211F">
        <w:rPr>
          <w:sz w:val="36"/>
          <w:szCs w:val="36"/>
          <w:rtl/>
        </w:rPr>
        <w:t>يكون</w:t>
      </w:r>
      <w:r w:rsidR="00E8128F">
        <w:rPr>
          <w:sz w:val="36"/>
          <w:szCs w:val="36"/>
          <w:rtl/>
        </w:rPr>
        <w:t xml:space="preserve"> </w:t>
      </w:r>
      <w:r w:rsidR="00EE4755" w:rsidRPr="00FD211F">
        <w:rPr>
          <w:sz w:val="36"/>
          <w:szCs w:val="36"/>
          <w:rtl/>
        </w:rPr>
        <w:t>بحثا</w:t>
      </w:r>
      <w:r w:rsidR="00E8128F">
        <w:rPr>
          <w:sz w:val="36"/>
          <w:szCs w:val="36"/>
          <w:rtl/>
        </w:rPr>
        <w:t xml:space="preserve"> </w:t>
      </w:r>
      <w:r w:rsidR="00EE4755" w:rsidRPr="00FD211F">
        <w:rPr>
          <w:sz w:val="36"/>
          <w:szCs w:val="36"/>
          <w:rtl/>
        </w:rPr>
        <w:t>ع</w:t>
      </w:r>
      <w:r w:rsidR="00873FA7" w:rsidRPr="00FD211F">
        <w:rPr>
          <w:sz w:val="36"/>
          <w:szCs w:val="36"/>
          <w:rtl/>
        </w:rPr>
        <w:t>ن</w:t>
      </w:r>
      <w:r w:rsidR="00E8128F">
        <w:rPr>
          <w:sz w:val="36"/>
          <w:szCs w:val="36"/>
          <w:rtl/>
        </w:rPr>
        <w:t xml:space="preserve"> </w:t>
      </w:r>
      <w:r w:rsidR="00873FA7" w:rsidRPr="00FD211F">
        <w:rPr>
          <w:sz w:val="36"/>
          <w:szCs w:val="36"/>
          <w:rtl/>
        </w:rPr>
        <w:t>الدل</w:t>
      </w:r>
      <w:r w:rsidR="00047397" w:rsidRPr="00FD211F">
        <w:rPr>
          <w:sz w:val="36"/>
          <w:szCs w:val="36"/>
          <w:rtl/>
        </w:rPr>
        <w:t>ي</w:t>
      </w:r>
      <w:r w:rsidR="00873FA7" w:rsidRPr="00FD211F">
        <w:rPr>
          <w:sz w:val="36"/>
          <w:szCs w:val="36"/>
          <w:rtl/>
        </w:rPr>
        <w:t>ل</w:t>
      </w:r>
      <w:r w:rsidR="00E8128F">
        <w:rPr>
          <w:sz w:val="36"/>
          <w:szCs w:val="36"/>
          <w:rtl/>
        </w:rPr>
        <w:t xml:space="preserve"> </w:t>
      </w:r>
      <w:r w:rsidR="00EE4755" w:rsidRPr="00FD211F">
        <w:rPr>
          <w:sz w:val="36"/>
          <w:szCs w:val="36"/>
          <w:rtl/>
        </w:rPr>
        <w:t>على</w:t>
      </w:r>
      <w:r w:rsidR="00E8128F">
        <w:rPr>
          <w:sz w:val="36"/>
          <w:szCs w:val="36"/>
          <w:rtl/>
        </w:rPr>
        <w:t xml:space="preserve"> </w:t>
      </w:r>
      <w:r w:rsidR="00EE4755" w:rsidRPr="00FD211F">
        <w:rPr>
          <w:sz w:val="36"/>
          <w:szCs w:val="36"/>
          <w:rtl/>
        </w:rPr>
        <w:t>الجعل</w:t>
      </w:r>
      <w:r w:rsidR="00E8128F">
        <w:rPr>
          <w:sz w:val="36"/>
          <w:szCs w:val="36"/>
          <w:rtl/>
        </w:rPr>
        <w:t xml:space="preserve"> </w:t>
      </w:r>
      <w:r w:rsidR="00EE4755" w:rsidRPr="00FD211F">
        <w:rPr>
          <w:sz w:val="36"/>
          <w:szCs w:val="36"/>
          <w:rtl/>
        </w:rPr>
        <w:t>الشرعي</w:t>
      </w:r>
      <w:r w:rsidR="00603323" w:rsidRPr="00FD211F">
        <w:rPr>
          <w:sz w:val="36"/>
          <w:szCs w:val="36"/>
          <w:rtl/>
        </w:rPr>
        <w:t>،</w:t>
      </w:r>
      <w:r w:rsidR="00E8128F">
        <w:rPr>
          <w:sz w:val="36"/>
          <w:szCs w:val="36"/>
          <w:rtl/>
        </w:rPr>
        <w:t xml:space="preserve"> </w:t>
      </w:r>
      <w:r w:rsidR="00EE4755" w:rsidRPr="00FD211F">
        <w:rPr>
          <w:sz w:val="36"/>
          <w:szCs w:val="36"/>
          <w:rtl/>
        </w:rPr>
        <w:t>وأما</w:t>
      </w:r>
      <w:r w:rsidR="00E8128F">
        <w:rPr>
          <w:sz w:val="36"/>
          <w:szCs w:val="36"/>
          <w:rtl/>
        </w:rPr>
        <w:t xml:space="preserve"> </w:t>
      </w:r>
      <w:r w:rsidR="00EE4755" w:rsidRPr="00FD211F">
        <w:rPr>
          <w:sz w:val="36"/>
          <w:szCs w:val="36"/>
          <w:rtl/>
        </w:rPr>
        <w:t>القواعد</w:t>
      </w:r>
      <w:r w:rsidR="00E8128F">
        <w:rPr>
          <w:sz w:val="36"/>
          <w:szCs w:val="36"/>
          <w:rtl/>
        </w:rPr>
        <w:t xml:space="preserve"> </w:t>
      </w:r>
      <w:r w:rsidR="00EE4755" w:rsidRPr="00FD211F">
        <w:rPr>
          <w:sz w:val="36"/>
          <w:szCs w:val="36"/>
          <w:rtl/>
        </w:rPr>
        <w:t>الرجالي</w:t>
      </w:r>
      <w:r w:rsidR="00EC7EDF" w:rsidRPr="00FD211F">
        <w:rPr>
          <w:sz w:val="36"/>
          <w:szCs w:val="36"/>
          <w:rtl/>
        </w:rPr>
        <w:t>ة</w:t>
      </w:r>
      <w:r w:rsidR="00E8128F">
        <w:rPr>
          <w:sz w:val="36"/>
          <w:szCs w:val="36"/>
          <w:rtl/>
        </w:rPr>
        <w:t xml:space="preserve"> </w:t>
      </w:r>
      <w:r w:rsidR="00EE4755" w:rsidRPr="00FD211F">
        <w:rPr>
          <w:sz w:val="36"/>
          <w:szCs w:val="36"/>
          <w:rtl/>
        </w:rPr>
        <w:t>فلايستعملها</w:t>
      </w:r>
      <w:r w:rsidR="00E8128F">
        <w:rPr>
          <w:sz w:val="36"/>
          <w:szCs w:val="36"/>
          <w:rtl/>
        </w:rPr>
        <w:t xml:space="preserve"> </w:t>
      </w:r>
      <w:r w:rsidR="00EE4755" w:rsidRPr="00FD211F">
        <w:rPr>
          <w:sz w:val="36"/>
          <w:szCs w:val="36"/>
          <w:rtl/>
        </w:rPr>
        <w:t>الفقيه</w:t>
      </w:r>
      <w:r w:rsidR="00E8128F">
        <w:rPr>
          <w:sz w:val="36"/>
          <w:szCs w:val="36"/>
          <w:rtl/>
        </w:rPr>
        <w:t xml:space="preserve"> </w:t>
      </w:r>
      <w:r w:rsidR="00EE4755" w:rsidRPr="00FD211F">
        <w:rPr>
          <w:sz w:val="36"/>
          <w:szCs w:val="36"/>
          <w:rtl/>
        </w:rPr>
        <w:t>الا</w:t>
      </w:r>
      <w:r w:rsidR="00E8128F">
        <w:rPr>
          <w:sz w:val="36"/>
          <w:szCs w:val="36"/>
          <w:rtl/>
        </w:rPr>
        <w:t xml:space="preserve"> </w:t>
      </w:r>
      <w:r w:rsidR="00EE4755" w:rsidRPr="00FD211F">
        <w:rPr>
          <w:sz w:val="36"/>
          <w:szCs w:val="36"/>
          <w:rtl/>
        </w:rPr>
        <w:t>لتنقيح</w:t>
      </w:r>
      <w:r w:rsidR="00E8128F">
        <w:rPr>
          <w:sz w:val="36"/>
          <w:szCs w:val="36"/>
          <w:rtl/>
        </w:rPr>
        <w:t xml:space="preserve"> </w:t>
      </w:r>
      <w:r w:rsidR="00EE4755" w:rsidRPr="00FD211F">
        <w:rPr>
          <w:sz w:val="36"/>
          <w:szCs w:val="36"/>
          <w:rtl/>
        </w:rPr>
        <w:t>موضوع</w:t>
      </w:r>
      <w:r w:rsidR="00E8128F">
        <w:rPr>
          <w:sz w:val="36"/>
          <w:szCs w:val="36"/>
          <w:rtl/>
        </w:rPr>
        <w:t xml:space="preserve"> </w:t>
      </w:r>
      <w:r w:rsidR="00EE4755" w:rsidRPr="00FD211F">
        <w:rPr>
          <w:sz w:val="36"/>
          <w:szCs w:val="36"/>
          <w:rtl/>
        </w:rPr>
        <w:t>الدليل</w:t>
      </w:r>
      <w:r w:rsidR="00E8128F">
        <w:rPr>
          <w:sz w:val="36"/>
          <w:szCs w:val="36"/>
          <w:rtl/>
        </w:rPr>
        <w:t xml:space="preserve"> </w:t>
      </w:r>
      <w:r w:rsidR="00047397" w:rsidRPr="00FD211F">
        <w:rPr>
          <w:sz w:val="36"/>
          <w:szCs w:val="36"/>
          <w:rtl/>
        </w:rPr>
        <w:t>على</w:t>
      </w:r>
      <w:r w:rsidR="00E8128F">
        <w:rPr>
          <w:sz w:val="36"/>
          <w:szCs w:val="36"/>
          <w:rtl/>
        </w:rPr>
        <w:t xml:space="preserve"> </w:t>
      </w:r>
      <w:r w:rsidR="00047397" w:rsidRPr="00FD211F">
        <w:rPr>
          <w:sz w:val="36"/>
          <w:szCs w:val="36"/>
          <w:rtl/>
        </w:rPr>
        <w:t>الجعل</w:t>
      </w:r>
      <w:r w:rsidR="00E8128F">
        <w:rPr>
          <w:sz w:val="36"/>
          <w:szCs w:val="36"/>
          <w:rtl/>
        </w:rPr>
        <w:t xml:space="preserve"> </w:t>
      </w:r>
      <w:r w:rsidR="00047397" w:rsidRPr="00FD211F">
        <w:rPr>
          <w:sz w:val="36"/>
          <w:szCs w:val="36"/>
          <w:rtl/>
        </w:rPr>
        <w:t>الشرعي</w:t>
      </w:r>
      <w:r w:rsidR="00603323" w:rsidRPr="00FD211F">
        <w:rPr>
          <w:sz w:val="36"/>
          <w:szCs w:val="36"/>
          <w:rtl/>
        </w:rPr>
        <w:t>،</w:t>
      </w:r>
      <w:r w:rsidR="00E8128F">
        <w:rPr>
          <w:sz w:val="36"/>
          <w:szCs w:val="36"/>
          <w:rtl/>
        </w:rPr>
        <w:t xml:space="preserve"> </w:t>
      </w:r>
      <w:r w:rsidR="00047397" w:rsidRPr="00FD211F">
        <w:rPr>
          <w:sz w:val="36"/>
          <w:szCs w:val="36"/>
          <w:rtl/>
        </w:rPr>
        <w:t>حيث</w:t>
      </w:r>
      <w:r w:rsidR="00E8128F">
        <w:rPr>
          <w:sz w:val="36"/>
          <w:szCs w:val="36"/>
          <w:rtl/>
        </w:rPr>
        <w:t xml:space="preserve"> </w:t>
      </w:r>
      <w:r w:rsidR="00047397" w:rsidRPr="00FD211F">
        <w:rPr>
          <w:sz w:val="36"/>
          <w:szCs w:val="36"/>
          <w:rtl/>
        </w:rPr>
        <w:t>انها</w:t>
      </w:r>
      <w:r w:rsidR="00E8128F">
        <w:rPr>
          <w:sz w:val="36"/>
          <w:szCs w:val="36"/>
          <w:rtl/>
        </w:rPr>
        <w:t xml:space="preserve"> </w:t>
      </w:r>
      <w:r w:rsidR="00047397" w:rsidRPr="00FD211F">
        <w:rPr>
          <w:sz w:val="36"/>
          <w:szCs w:val="36"/>
          <w:rtl/>
        </w:rPr>
        <w:t>تنقح</w:t>
      </w:r>
      <w:r w:rsidR="00E8128F">
        <w:rPr>
          <w:sz w:val="36"/>
          <w:szCs w:val="36"/>
          <w:rtl/>
        </w:rPr>
        <w:t xml:space="preserve"> </w:t>
      </w:r>
      <w:r w:rsidR="00047397" w:rsidRPr="00FD211F">
        <w:rPr>
          <w:sz w:val="36"/>
          <w:szCs w:val="36"/>
          <w:rtl/>
        </w:rPr>
        <w:t>وثاق</w:t>
      </w:r>
      <w:r w:rsidR="00EC7EDF" w:rsidRPr="00FD211F">
        <w:rPr>
          <w:sz w:val="36"/>
          <w:szCs w:val="36"/>
          <w:rtl/>
        </w:rPr>
        <w:t>ة</w:t>
      </w:r>
      <w:r w:rsidR="00E8128F">
        <w:rPr>
          <w:sz w:val="36"/>
          <w:szCs w:val="36"/>
          <w:rtl/>
        </w:rPr>
        <w:t xml:space="preserve"> </w:t>
      </w:r>
      <w:r w:rsidR="00047397" w:rsidRPr="00FD211F">
        <w:rPr>
          <w:sz w:val="36"/>
          <w:szCs w:val="36"/>
          <w:rtl/>
        </w:rPr>
        <w:t>راوي</w:t>
      </w:r>
      <w:r w:rsidR="00E8128F">
        <w:rPr>
          <w:sz w:val="36"/>
          <w:szCs w:val="36"/>
          <w:rtl/>
        </w:rPr>
        <w:t xml:space="preserve"> </w:t>
      </w:r>
      <w:r w:rsidR="00047397" w:rsidRPr="00FD211F">
        <w:rPr>
          <w:sz w:val="36"/>
          <w:szCs w:val="36"/>
          <w:rtl/>
        </w:rPr>
        <w:t>الخبر</w:t>
      </w:r>
      <w:r w:rsidR="00E8128F">
        <w:rPr>
          <w:sz w:val="36"/>
          <w:szCs w:val="36"/>
          <w:rtl/>
        </w:rPr>
        <w:t xml:space="preserve"> </w:t>
      </w:r>
      <w:r w:rsidR="00047397" w:rsidRPr="00FD211F">
        <w:rPr>
          <w:sz w:val="36"/>
          <w:szCs w:val="36"/>
          <w:rtl/>
        </w:rPr>
        <w:t>القائم</w:t>
      </w:r>
      <w:r w:rsidR="00E8128F">
        <w:rPr>
          <w:sz w:val="36"/>
          <w:szCs w:val="36"/>
          <w:rtl/>
        </w:rPr>
        <w:t xml:space="preserve"> </w:t>
      </w:r>
      <w:r w:rsidR="00047397" w:rsidRPr="00FD211F">
        <w:rPr>
          <w:sz w:val="36"/>
          <w:szCs w:val="36"/>
          <w:rtl/>
        </w:rPr>
        <w:t>على</w:t>
      </w:r>
      <w:r w:rsidR="00E8128F">
        <w:rPr>
          <w:sz w:val="36"/>
          <w:szCs w:val="36"/>
          <w:rtl/>
        </w:rPr>
        <w:t xml:space="preserve"> </w:t>
      </w:r>
      <w:r w:rsidR="00047397" w:rsidRPr="00FD211F">
        <w:rPr>
          <w:sz w:val="36"/>
          <w:szCs w:val="36"/>
          <w:rtl/>
        </w:rPr>
        <w:t>الجعل</w:t>
      </w:r>
      <w:r w:rsidR="00E8128F">
        <w:rPr>
          <w:sz w:val="36"/>
          <w:szCs w:val="36"/>
          <w:rtl/>
        </w:rPr>
        <w:t xml:space="preserve"> </w:t>
      </w:r>
      <w:r w:rsidR="00047397" w:rsidRPr="00FD211F">
        <w:rPr>
          <w:sz w:val="36"/>
          <w:szCs w:val="36"/>
          <w:rtl/>
        </w:rPr>
        <w:t>الشرعي</w:t>
      </w:r>
      <w:r w:rsidR="00603323" w:rsidRPr="00FD211F">
        <w:rPr>
          <w:sz w:val="36"/>
          <w:szCs w:val="36"/>
          <w:rtl/>
        </w:rPr>
        <w:t>،</w:t>
      </w:r>
      <w:r w:rsidR="00E8128F">
        <w:rPr>
          <w:sz w:val="36"/>
          <w:szCs w:val="36"/>
          <w:rtl/>
        </w:rPr>
        <w:t xml:space="preserve"> </w:t>
      </w:r>
      <w:r w:rsidR="00047397" w:rsidRPr="00FD211F">
        <w:rPr>
          <w:sz w:val="36"/>
          <w:szCs w:val="36"/>
          <w:rtl/>
        </w:rPr>
        <w:t>فيحرز</w:t>
      </w:r>
      <w:r w:rsidR="00E8128F">
        <w:rPr>
          <w:sz w:val="36"/>
          <w:szCs w:val="36"/>
          <w:rtl/>
        </w:rPr>
        <w:t xml:space="preserve"> </w:t>
      </w:r>
      <w:r w:rsidR="00047397" w:rsidRPr="00FD211F">
        <w:rPr>
          <w:sz w:val="36"/>
          <w:szCs w:val="36"/>
          <w:rtl/>
        </w:rPr>
        <w:t>بذلك</w:t>
      </w:r>
      <w:r w:rsidR="00E8128F">
        <w:rPr>
          <w:sz w:val="36"/>
          <w:szCs w:val="36"/>
          <w:rtl/>
        </w:rPr>
        <w:t xml:space="preserve"> </w:t>
      </w:r>
      <w:r w:rsidR="00047397" w:rsidRPr="00FD211F">
        <w:rPr>
          <w:sz w:val="36"/>
          <w:szCs w:val="36"/>
          <w:rtl/>
        </w:rPr>
        <w:t>انطباق</w:t>
      </w:r>
      <w:r w:rsidR="00E8128F">
        <w:rPr>
          <w:sz w:val="36"/>
          <w:szCs w:val="36"/>
          <w:rtl/>
        </w:rPr>
        <w:t xml:space="preserve"> </w:t>
      </w:r>
      <w:r w:rsidR="00047397" w:rsidRPr="00FD211F">
        <w:rPr>
          <w:sz w:val="36"/>
          <w:szCs w:val="36"/>
          <w:rtl/>
        </w:rPr>
        <w:t>عنوان</w:t>
      </w:r>
      <w:r w:rsidR="00E8128F">
        <w:rPr>
          <w:sz w:val="36"/>
          <w:szCs w:val="36"/>
          <w:rtl/>
        </w:rPr>
        <w:t xml:space="preserve"> </w:t>
      </w:r>
      <w:r w:rsidR="00047397" w:rsidRPr="00FD211F">
        <w:rPr>
          <w:sz w:val="36"/>
          <w:szCs w:val="36"/>
          <w:rtl/>
        </w:rPr>
        <w:t>خبر</w:t>
      </w:r>
      <w:r w:rsidR="00E8128F">
        <w:rPr>
          <w:sz w:val="36"/>
          <w:szCs w:val="36"/>
          <w:rtl/>
        </w:rPr>
        <w:t xml:space="preserve"> </w:t>
      </w:r>
      <w:r w:rsidR="00047397" w:rsidRPr="00FD211F">
        <w:rPr>
          <w:sz w:val="36"/>
          <w:szCs w:val="36"/>
          <w:rtl/>
        </w:rPr>
        <w:t>الثق</w:t>
      </w:r>
      <w:r w:rsidR="00EC7EDF" w:rsidRPr="00FD211F">
        <w:rPr>
          <w:sz w:val="36"/>
          <w:szCs w:val="36"/>
          <w:rtl/>
        </w:rPr>
        <w:t>ة</w:t>
      </w:r>
      <w:r w:rsidR="00E8128F">
        <w:rPr>
          <w:sz w:val="36"/>
          <w:szCs w:val="36"/>
          <w:rtl/>
        </w:rPr>
        <w:t xml:space="preserve"> </w:t>
      </w:r>
      <w:r w:rsidR="00047397" w:rsidRPr="00FD211F">
        <w:rPr>
          <w:sz w:val="36"/>
          <w:szCs w:val="36"/>
          <w:rtl/>
        </w:rPr>
        <w:t>عليه</w:t>
      </w:r>
      <w:r w:rsidR="00603323" w:rsidRPr="00FD211F">
        <w:rPr>
          <w:sz w:val="36"/>
          <w:szCs w:val="36"/>
          <w:rtl/>
        </w:rPr>
        <w:t>،</w:t>
      </w:r>
      <w:r w:rsidR="00E8128F">
        <w:rPr>
          <w:sz w:val="36"/>
          <w:szCs w:val="36"/>
          <w:rtl/>
        </w:rPr>
        <w:t xml:space="preserve"> </w:t>
      </w:r>
      <w:r w:rsidR="00047397" w:rsidRPr="00FD211F">
        <w:rPr>
          <w:sz w:val="36"/>
          <w:szCs w:val="36"/>
          <w:rtl/>
        </w:rPr>
        <w:t>وهذا</w:t>
      </w:r>
      <w:r w:rsidR="00E8128F">
        <w:rPr>
          <w:sz w:val="36"/>
          <w:szCs w:val="36"/>
          <w:rtl/>
        </w:rPr>
        <w:t xml:space="preserve"> </w:t>
      </w:r>
      <w:r w:rsidR="00047397" w:rsidRPr="00FD211F">
        <w:rPr>
          <w:sz w:val="36"/>
          <w:szCs w:val="36"/>
          <w:rtl/>
        </w:rPr>
        <w:t>بخلاف</w:t>
      </w:r>
      <w:r w:rsidR="00E8128F">
        <w:rPr>
          <w:sz w:val="36"/>
          <w:szCs w:val="36"/>
          <w:rtl/>
        </w:rPr>
        <w:t xml:space="preserve"> </w:t>
      </w:r>
      <w:r w:rsidR="00047397" w:rsidRPr="00FD211F">
        <w:rPr>
          <w:sz w:val="36"/>
          <w:szCs w:val="36"/>
          <w:rtl/>
        </w:rPr>
        <w:t>البحث</w:t>
      </w:r>
      <w:r w:rsidR="00E8128F">
        <w:rPr>
          <w:sz w:val="36"/>
          <w:szCs w:val="36"/>
          <w:rtl/>
        </w:rPr>
        <w:t xml:space="preserve"> </w:t>
      </w:r>
      <w:r w:rsidR="00047397" w:rsidRPr="00FD211F">
        <w:rPr>
          <w:sz w:val="36"/>
          <w:szCs w:val="36"/>
          <w:rtl/>
        </w:rPr>
        <w:t>عن</w:t>
      </w:r>
      <w:r w:rsidR="00E8128F">
        <w:rPr>
          <w:sz w:val="36"/>
          <w:szCs w:val="36"/>
          <w:rtl/>
        </w:rPr>
        <w:t xml:space="preserve"> </w:t>
      </w:r>
      <w:r w:rsidR="00047397" w:rsidRPr="00FD211F">
        <w:rPr>
          <w:sz w:val="36"/>
          <w:szCs w:val="36"/>
          <w:rtl/>
        </w:rPr>
        <w:t>مثل</w:t>
      </w:r>
      <w:r w:rsidR="00E8128F">
        <w:rPr>
          <w:sz w:val="36"/>
          <w:szCs w:val="36"/>
          <w:rtl/>
        </w:rPr>
        <w:t xml:space="preserve"> </w:t>
      </w:r>
      <w:r w:rsidR="00047397" w:rsidRPr="00FD211F">
        <w:rPr>
          <w:sz w:val="36"/>
          <w:szCs w:val="36"/>
          <w:rtl/>
        </w:rPr>
        <w:t>ظهور</w:t>
      </w:r>
      <w:r w:rsidR="00E8128F">
        <w:rPr>
          <w:sz w:val="36"/>
          <w:szCs w:val="36"/>
          <w:rtl/>
        </w:rPr>
        <w:t xml:space="preserve"> </w:t>
      </w:r>
      <w:r w:rsidR="00047397" w:rsidRPr="00FD211F">
        <w:rPr>
          <w:sz w:val="36"/>
          <w:szCs w:val="36"/>
          <w:rtl/>
        </w:rPr>
        <w:t>صيغ</w:t>
      </w:r>
      <w:r w:rsidR="00EC7EDF" w:rsidRPr="00FD211F">
        <w:rPr>
          <w:sz w:val="36"/>
          <w:szCs w:val="36"/>
          <w:rtl/>
        </w:rPr>
        <w:t>ة</w:t>
      </w:r>
      <w:r w:rsidR="00E8128F">
        <w:rPr>
          <w:sz w:val="36"/>
          <w:szCs w:val="36"/>
          <w:rtl/>
        </w:rPr>
        <w:t xml:space="preserve"> </w:t>
      </w:r>
      <w:r w:rsidR="0090224F" w:rsidRPr="00FD211F">
        <w:rPr>
          <w:sz w:val="36"/>
          <w:szCs w:val="36"/>
          <w:rtl/>
        </w:rPr>
        <w:t>الأمر</w:t>
      </w:r>
      <w:r w:rsidR="00E8128F">
        <w:rPr>
          <w:sz w:val="36"/>
          <w:szCs w:val="36"/>
          <w:rtl/>
        </w:rPr>
        <w:t xml:space="preserve"> </w:t>
      </w:r>
      <w:r w:rsidR="00047397" w:rsidRPr="00FD211F">
        <w:rPr>
          <w:sz w:val="36"/>
          <w:szCs w:val="36"/>
          <w:rtl/>
        </w:rPr>
        <w:t>في</w:t>
      </w:r>
      <w:r w:rsidR="00E8128F">
        <w:rPr>
          <w:sz w:val="36"/>
          <w:szCs w:val="36"/>
          <w:rtl/>
        </w:rPr>
        <w:t xml:space="preserve"> </w:t>
      </w:r>
      <w:r w:rsidR="00047397" w:rsidRPr="00FD211F">
        <w:rPr>
          <w:sz w:val="36"/>
          <w:szCs w:val="36"/>
          <w:rtl/>
        </w:rPr>
        <w:t>الوجوب</w:t>
      </w:r>
      <w:r w:rsidR="00603323" w:rsidRPr="00FD211F">
        <w:rPr>
          <w:sz w:val="36"/>
          <w:szCs w:val="36"/>
          <w:rtl/>
        </w:rPr>
        <w:t>،</w:t>
      </w:r>
      <w:r w:rsidR="00E8128F">
        <w:rPr>
          <w:sz w:val="36"/>
          <w:szCs w:val="36"/>
          <w:rtl/>
        </w:rPr>
        <w:t xml:space="preserve"> </w:t>
      </w:r>
      <w:r w:rsidR="00047397" w:rsidRPr="00FD211F">
        <w:rPr>
          <w:sz w:val="36"/>
          <w:szCs w:val="36"/>
          <w:rtl/>
        </w:rPr>
        <w:t>فانه</w:t>
      </w:r>
      <w:r w:rsidR="00E8128F">
        <w:rPr>
          <w:sz w:val="36"/>
          <w:szCs w:val="36"/>
          <w:rtl/>
        </w:rPr>
        <w:t xml:space="preserve"> </w:t>
      </w:r>
      <w:r w:rsidR="00047397" w:rsidRPr="00FD211F">
        <w:rPr>
          <w:sz w:val="36"/>
          <w:szCs w:val="36"/>
          <w:rtl/>
        </w:rPr>
        <w:t>ينقح</w:t>
      </w:r>
      <w:r w:rsidR="00E8128F">
        <w:rPr>
          <w:sz w:val="36"/>
          <w:szCs w:val="36"/>
          <w:rtl/>
        </w:rPr>
        <w:t xml:space="preserve"> </w:t>
      </w:r>
      <w:r w:rsidR="00047397" w:rsidRPr="00FD211F">
        <w:rPr>
          <w:sz w:val="36"/>
          <w:szCs w:val="36"/>
          <w:rtl/>
        </w:rPr>
        <w:t>نفس</w:t>
      </w:r>
      <w:r w:rsidR="00E8128F">
        <w:rPr>
          <w:sz w:val="36"/>
          <w:szCs w:val="36"/>
          <w:rtl/>
        </w:rPr>
        <w:t xml:space="preserve"> </w:t>
      </w:r>
      <w:r w:rsidR="00047397" w:rsidRPr="00FD211F">
        <w:rPr>
          <w:sz w:val="36"/>
          <w:szCs w:val="36"/>
          <w:rtl/>
        </w:rPr>
        <w:t>دليلي</w:t>
      </w:r>
      <w:r w:rsidR="00EC7EDF" w:rsidRPr="00FD211F">
        <w:rPr>
          <w:sz w:val="36"/>
          <w:szCs w:val="36"/>
          <w:rtl/>
        </w:rPr>
        <w:t>ة</w:t>
      </w:r>
      <w:r w:rsidR="00E8128F">
        <w:rPr>
          <w:sz w:val="36"/>
          <w:szCs w:val="36"/>
          <w:rtl/>
        </w:rPr>
        <w:t xml:space="preserve"> </w:t>
      </w:r>
      <w:r w:rsidR="00047397" w:rsidRPr="00FD211F">
        <w:rPr>
          <w:sz w:val="36"/>
          <w:szCs w:val="36"/>
          <w:rtl/>
        </w:rPr>
        <w:t>الدليل</w:t>
      </w:r>
      <w:r w:rsidR="00E8128F">
        <w:rPr>
          <w:sz w:val="36"/>
          <w:szCs w:val="36"/>
          <w:rtl/>
        </w:rPr>
        <w:t xml:space="preserve"> </w:t>
      </w:r>
      <w:r w:rsidR="00047397" w:rsidRPr="00FD211F">
        <w:rPr>
          <w:sz w:val="36"/>
          <w:szCs w:val="36"/>
          <w:rtl/>
        </w:rPr>
        <w:t>على</w:t>
      </w:r>
      <w:r w:rsidR="00E8128F">
        <w:rPr>
          <w:sz w:val="36"/>
          <w:szCs w:val="36"/>
          <w:rtl/>
        </w:rPr>
        <w:t xml:space="preserve"> </w:t>
      </w:r>
      <w:r w:rsidR="00047397" w:rsidRPr="00FD211F">
        <w:rPr>
          <w:sz w:val="36"/>
          <w:szCs w:val="36"/>
          <w:rtl/>
        </w:rPr>
        <w:t>الجعل</w:t>
      </w:r>
      <w:r w:rsidR="00E8128F">
        <w:rPr>
          <w:sz w:val="36"/>
          <w:szCs w:val="36"/>
          <w:rtl/>
        </w:rPr>
        <w:t xml:space="preserve"> </w:t>
      </w:r>
      <w:r w:rsidR="00047397" w:rsidRPr="00FD211F">
        <w:rPr>
          <w:sz w:val="36"/>
          <w:szCs w:val="36"/>
          <w:rtl/>
        </w:rPr>
        <w:t>الشرعي</w:t>
      </w:r>
      <w:r w:rsidR="001A2B65" w:rsidRPr="00FD211F">
        <w:rPr>
          <w:sz w:val="36"/>
          <w:szCs w:val="36"/>
          <w:rtl/>
        </w:rPr>
        <w:t>.</w:t>
      </w:r>
      <w:r w:rsidR="00E8128F">
        <w:rPr>
          <w:sz w:val="36"/>
          <w:szCs w:val="36"/>
          <w:rtl/>
        </w:rPr>
        <w:t xml:space="preserve"> </w:t>
      </w:r>
    </w:p>
    <w:p w14:paraId="14F2B78A" w14:textId="77777777" w:rsidR="000C5BBA" w:rsidRPr="00FD211F" w:rsidRDefault="00192018" w:rsidP="009C58C8">
      <w:pPr>
        <w:ind w:left="0" w:firstLine="227"/>
        <w:jc w:val="both"/>
        <w:rPr>
          <w:sz w:val="36"/>
          <w:szCs w:val="36"/>
          <w:rtl/>
        </w:rPr>
      </w:pPr>
      <w:r w:rsidRPr="00FD211F">
        <w:rPr>
          <w:sz w:val="36"/>
          <w:szCs w:val="36"/>
          <w:rtl/>
        </w:rPr>
        <w:t>وبناء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فيدخل</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مبحث</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يبحث</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ظهور</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فيمن</w:t>
      </w:r>
      <w:r w:rsidR="00E8128F">
        <w:rPr>
          <w:sz w:val="36"/>
          <w:szCs w:val="36"/>
          <w:rtl/>
        </w:rPr>
        <w:t xml:space="preserve"> </w:t>
      </w:r>
      <w:r w:rsidRPr="00FD211F">
        <w:rPr>
          <w:sz w:val="36"/>
          <w:szCs w:val="36"/>
          <w:rtl/>
        </w:rPr>
        <w:t>انقضى</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في</w:t>
      </w:r>
      <w:r w:rsidR="001A2B65" w:rsidRPr="00FD211F">
        <w:rPr>
          <w:sz w:val="36"/>
          <w:szCs w:val="36"/>
          <w:rtl/>
        </w:rPr>
        <w:t>كون</w:t>
      </w:r>
      <w:r w:rsidR="00E8128F">
        <w:rPr>
          <w:sz w:val="36"/>
          <w:szCs w:val="36"/>
          <w:rtl/>
        </w:rPr>
        <w:t xml:space="preserve"> </w:t>
      </w:r>
      <w:r w:rsidR="001A2B65" w:rsidRPr="00FD211F">
        <w:rPr>
          <w:sz w:val="36"/>
          <w:szCs w:val="36"/>
          <w:rtl/>
        </w:rPr>
        <w:t>على</w:t>
      </w:r>
      <w:r w:rsidR="00E8128F">
        <w:rPr>
          <w:sz w:val="36"/>
          <w:szCs w:val="36"/>
          <w:rtl/>
        </w:rPr>
        <w:t xml:space="preserve"> </w:t>
      </w:r>
      <w:r w:rsidR="001A2B65" w:rsidRPr="00FD211F">
        <w:rPr>
          <w:sz w:val="36"/>
          <w:szCs w:val="36"/>
          <w:rtl/>
        </w:rPr>
        <w:t>وزان</w:t>
      </w:r>
      <w:r w:rsidR="00E8128F">
        <w:rPr>
          <w:sz w:val="36"/>
          <w:szCs w:val="36"/>
          <w:rtl/>
        </w:rPr>
        <w:t xml:space="preserve"> </w:t>
      </w:r>
      <w:r w:rsidR="001A2B65" w:rsidRPr="00FD211F">
        <w:rPr>
          <w:sz w:val="36"/>
          <w:szCs w:val="36"/>
          <w:rtl/>
        </w:rPr>
        <w:t>سائر</w:t>
      </w:r>
      <w:r w:rsidR="00E8128F">
        <w:rPr>
          <w:sz w:val="36"/>
          <w:szCs w:val="36"/>
          <w:rtl/>
        </w:rPr>
        <w:t xml:space="preserve"> </w:t>
      </w:r>
      <w:r w:rsidR="001A2B65" w:rsidRPr="00FD211F">
        <w:rPr>
          <w:sz w:val="36"/>
          <w:szCs w:val="36"/>
          <w:rtl/>
        </w:rPr>
        <w:t>مباحث</w:t>
      </w:r>
      <w:r w:rsidR="00E8128F">
        <w:rPr>
          <w:sz w:val="36"/>
          <w:szCs w:val="36"/>
          <w:rtl/>
        </w:rPr>
        <w:t xml:space="preserve"> </w:t>
      </w:r>
      <w:r w:rsidR="001A2B65" w:rsidRPr="00FD211F">
        <w:rPr>
          <w:sz w:val="36"/>
          <w:szCs w:val="36"/>
          <w:rtl/>
        </w:rPr>
        <w:t>الالفاظ.</w:t>
      </w:r>
    </w:p>
    <w:p w14:paraId="3E77F7BC" w14:textId="77777777" w:rsidR="00B655E7" w:rsidRPr="00FD211F" w:rsidRDefault="00192018" w:rsidP="009C58C8">
      <w:pPr>
        <w:ind w:left="0" w:firstLine="227"/>
        <w:jc w:val="both"/>
        <w:rPr>
          <w:sz w:val="36"/>
          <w:szCs w:val="36"/>
          <w:rtl/>
        </w:rPr>
      </w:pPr>
      <w:r w:rsidRPr="00FD211F">
        <w:rPr>
          <w:sz w:val="36"/>
          <w:szCs w:val="36"/>
          <w:rtl/>
        </w:rPr>
        <w:lastRenderedPageBreak/>
        <w:t>وأما</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الصحيح</w:t>
      </w:r>
      <w:r w:rsidR="00E8128F">
        <w:rPr>
          <w:sz w:val="36"/>
          <w:szCs w:val="36"/>
          <w:rtl/>
        </w:rPr>
        <w:t xml:space="preserve"> </w:t>
      </w:r>
      <w:r w:rsidRPr="00FD211F">
        <w:rPr>
          <w:sz w:val="36"/>
          <w:szCs w:val="36"/>
          <w:rtl/>
        </w:rPr>
        <w:t>والاعم</w:t>
      </w:r>
      <w:r w:rsidR="00E8128F">
        <w:rPr>
          <w:sz w:val="36"/>
          <w:szCs w:val="36"/>
          <w:rtl/>
        </w:rPr>
        <w:t xml:space="preserve"> </w:t>
      </w:r>
      <w:r w:rsidRPr="00FD211F">
        <w:rPr>
          <w:sz w:val="36"/>
          <w:szCs w:val="36"/>
          <w:rtl/>
        </w:rPr>
        <w:t>والحقيق</w:t>
      </w:r>
      <w:r w:rsidR="00EC7EDF" w:rsidRPr="00FD211F">
        <w:rPr>
          <w:sz w:val="36"/>
          <w:szCs w:val="36"/>
          <w:rtl/>
        </w:rPr>
        <w:t>ة</w:t>
      </w:r>
      <w:r w:rsidR="00E8128F">
        <w:rPr>
          <w:sz w:val="36"/>
          <w:szCs w:val="36"/>
          <w:rtl/>
        </w:rPr>
        <w:t xml:space="preserve"> </w:t>
      </w:r>
      <w:r w:rsidRPr="00FD211F">
        <w:rPr>
          <w:sz w:val="36"/>
          <w:szCs w:val="36"/>
          <w:rtl/>
        </w:rPr>
        <w:t>الشرعي</w:t>
      </w:r>
      <w:r w:rsidR="00EC7EDF" w:rsidRPr="00FD211F">
        <w:rPr>
          <w:sz w:val="36"/>
          <w:szCs w:val="36"/>
          <w:rtl/>
        </w:rPr>
        <w:t>ة</w:t>
      </w:r>
      <w:r w:rsidR="00E8128F">
        <w:rPr>
          <w:sz w:val="36"/>
          <w:szCs w:val="36"/>
          <w:rtl/>
        </w:rPr>
        <w:t xml:space="preserve"> </w:t>
      </w:r>
      <w:r w:rsidRPr="00FD211F">
        <w:rPr>
          <w:sz w:val="36"/>
          <w:szCs w:val="36"/>
          <w:rtl/>
        </w:rPr>
        <w:t>ف</w:t>
      </w:r>
      <w:r w:rsidR="00550141" w:rsidRPr="00FD211F">
        <w:rPr>
          <w:sz w:val="36"/>
          <w:szCs w:val="36"/>
          <w:rtl/>
        </w:rPr>
        <w:t>انما</w:t>
      </w:r>
      <w:r w:rsidR="00E8128F">
        <w:rPr>
          <w:sz w:val="36"/>
          <w:szCs w:val="36"/>
          <w:rtl/>
        </w:rPr>
        <w:t xml:space="preserve"> </w:t>
      </w:r>
      <w:r w:rsidRPr="00FD211F">
        <w:rPr>
          <w:sz w:val="36"/>
          <w:szCs w:val="36"/>
          <w:rtl/>
        </w:rPr>
        <w:t>جعله</w:t>
      </w:r>
      <w:r w:rsidR="00E8128F">
        <w:rPr>
          <w:sz w:val="36"/>
          <w:szCs w:val="36"/>
          <w:rtl/>
        </w:rPr>
        <w:t xml:space="preserve"> </w:t>
      </w:r>
      <w:r w:rsidRPr="00FD211F">
        <w:rPr>
          <w:sz w:val="36"/>
          <w:szCs w:val="36"/>
          <w:rtl/>
        </w:rPr>
        <w:t>خارجا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الاصول</w:t>
      </w:r>
      <w:r w:rsidR="00603323" w:rsidRPr="00FD211F">
        <w:rPr>
          <w:sz w:val="36"/>
          <w:szCs w:val="36"/>
          <w:rtl/>
        </w:rPr>
        <w:t>،</w:t>
      </w:r>
      <w:r w:rsidR="00E8128F">
        <w:rPr>
          <w:sz w:val="36"/>
          <w:szCs w:val="36"/>
          <w:rtl/>
        </w:rPr>
        <w:t xml:space="preserve"> </w:t>
      </w:r>
      <w:r w:rsidRPr="00FD211F">
        <w:rPr>
          <w:sz w:val="36"/>
          <w:szCs w:val="36"/>
          <w:rtl/>
        </w:rPr>
        <w:t>بدعوى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فيها</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ظهور</w:t>
      </w:r>
      <w:r w:rsidR="00E8128F">
        <w:rPr>
          <w:sz w:val="36"/>
          <w:szCs w:val="36"/>
          <w:rtl/>
        </w:rPr>
        <w:t xml:space="preserve"> </w:t>
      </w:r>
      <w:r w:rsidR="000F38CC" w:rsidRPr="00FD211F">
        <w:rPr>
          <w:sz w:val="36"/>
          <w:szCs w:val="36"/>
          <w:rtl/>
        </w:rPr>
        <w:t>الفاظ</w:t>
      </w:r>
      <w:r w:rsidR="00E8128F">
        <w:rPr>
          <w:sz w:val="36"/>
          <w:szCs w:val="36"/>
          <w:rtl/>
        </w:rPr>
        <w:t xml:space="preserve"> </w:t>
      </w:r>
      <w:r w:rsidR="000F38CC" w:rsidRPr="00FD211F">
        <w:rPr>
          <w:sz w:val="36"/>
          <w:szCs w:val="36"/>
          <w:rtl/>
        </w:rPr>
        <w:t>معين</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وزان</w:t>
      </w:r>
      <w:r w:rsidR="00E8128F">
        <w:rPr>
          <w:sz w:val="36"/>
          <w:szCs w:val="36"/>
          <w:rtl/>
        </w:rPr>
        <w:t xml:space="preserve"> </w:t>
      </w:r>
      <w:r w:rsidRPr="00FD211F">
        <w:rPr>
          <w:sz w:val="36"/>
          <w:szCs w:val="36"/>
          <w:rtl/>
        </w:rPr>
        <w:t>المباحث</w:t>
      </w:r>
      <w:r w:rsidR="00E8128F">
        <w:rPr>
          <w:sz w:val="36"/>
          <w:szCs w:val="36"/>
          <w:rtl/>
        </w:rPr>
        <w:t xml:space="preserve"> </w:t>
      </w:r>
      <w:r w:rsidRPr="00FD211F">
        <w:rPr>
          <w:sz w:val="36"/>
          <w:szCs w:val="36"/>
          <w:rtl/>
        </w:rPr>
        <w:t>اللغوي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ولكن</w:t>
      </w:r>
      <w:r w:rsidR="00E8128F">
        <w:rPr>
          <w:sz w:val="36"/>
          <w:szCs w:val="36"/>
          <w:rtl/>
        </w:rPr>
        <w:t xml:space="preserve"> </w:t>
      </w:r>
      <w:r w:rsidRPr="00FD211F">
        <w:rPr>
          <w:sz w:val="36"/>
          <w:szCs w:val="36"/>
          <w:rtl/>
        </w:rPr>
        <w:t>لكون</w:t>
      </w:r>
      <w:r w:rsidR="00E8128F">
        <w:rPr>
          <w:sz w:val="36"/>
          <w:szCs w:val="36"/>
          <w:rtl/>
        </w:rPr>
        <w:t xml:space="preserve"> </w:t>
      </w:r>
      <w:r w:rsidRPr="00FD211F">
        <w:rPr>
          <w:sz w:val="36"/>
          <w:szCs w:val="36"/>
          <w:rtl/>
        </w:rPr>
        <w:t>بحثه</w:t>
      </w:r>
      <w:r w:rsidR="00E8128F">
        <w:rPr>
          <w:sz w:val="36"/>
          <w:szCs w:val="36"/>
          <w:rtl/>
        </w:rPr>
        <w:t xml:space="preserve"> </w:t>
      </w:r>
      <w:r w:rsidR="000F38CC" w:rsidRPr="00FD211F">
        <w:rPr>
          <w:sz w:val="36"/>
          <w:szCs w:val="36"/>
          <w:rtl/>
        </w:rPr>
        <w:t>بحثا</w:t>
      </w:r>
      <w:r w:rsidR="00E8128F">
        <w:rPr>
          <w:sz w:val="36"/>
          <w:szCs w:val="36"/>
          <w:rtl/>
        </w:rPr>
        <w:t xml:space="preserve"> </w:t>
      </w:r>
      <w:r w:rsidRPr="00FD211F">
        <w:rPr>
          <w:sz w:val="36"/>
          <w:szCs w:val="36"/>
          <w:rtl/>
        </w:rPr>
        <w:t>شرعيا</w:t>
      </w:r>
      <w:r w:rsidR="00E8128F">
        <w:rPr>
          <w:sz w:val="36"/>
          <w:szCs w:val="36"/>
          <w:rtl/>
        </w:rPr>
        <w:t xml:space="preserve"> </w:t>
      </w:r>
      <w:r w:rsidRPr="00FD211F">
        <w:rPr>
          <w:sz w:val="36"/>
          <w:szCs w:val="36"/>
          <w:rtl/>
        </w:rPr>
        <w:t>ادرج</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مقدم</w:t>
      </w:r>
      <w:r w:rsidR="00EC7EDF" w:rsidRPr="00FD211F">
        <w:rPr>
          <w:sz w:val="36"/>
          <w:szCs w:val="36"/>
          <w:rtl/>
        </w:rPr>
        <w:t>ة</w:t>
      </w:r>
      <w:r w:rsidR="00E8128F">
        <w:rPr>
          <w:sz w:val="36"/>
          <w:szCs w:val="36"/>
          <w:rtl/>
        </w:rPr>
        <w:t xml:space="preserve"> </w:t>
      </w:r>
      <w:r w:rsidR="000F38CC" w:rsidRPr="00FD211F">
        <w:rPr>
          <w:sz w:val="36"/>
          <w:szCs w:val="36"/>
          <w:rtl/>
        </w:rPr>
        <w:t>علم</w:t>
      </w:r>
      <w:r w:rsidR="00E8128F">
        <w:rPr>
          <w:sz w:val="36"/>
          <w:szCs w:val="36"/>
          <w:rtl/>
        </w:rPr>
        <w:t xml:space="preserve"> </w:t>
      </w:r>
      <w:r w:rsidRPr="00FD211F">
        <w:rPr>
          <w:sz w:val="36"/>
          <w:szCs w:val="36"/>
          <w:rtl/>
        </w:rPr>
        <w:t>الاصول</w:t>
      </w:r>
      <w:r w:rsidR="009C58C8" w:rsidRPr="00FD211F">
        <w:rPr>
          <w:rStyle w:val="a6"/>
          <w:sz w:val="36"/>
          <w:szCs w:val="36"/>
          <w:rtl/>
        </w:rPr>
        <w:t>(</w:t>
      </w:r>
      <w:r w:rsidR="009C58C8" w:rsidRPr="00FD211F">
        <w:rPr>
          <w:rStyle w:val="a6"/>
          <w:sz w:val="36"/>
          <w:szCs w:val="36"/>
          <w:rtl/>
        </w:rPr>
        <w:footnoteReference w:id="38"/>
      </w:r>
      <w:r w:rsidR="009C58C8" w:rsidRPr="00FD211F">
        <w:rPr>
          <w:rStyle w:val="a6"/>
          <w:sz w:val="36"/>
          <w:szCs w:val="36"/>
          <w:rtl/>
        </w:rPr>
        <w:t>)</w:t>
      </w:r>
      <w:r w:rsidR="00603323" w:rsidRPr="00FD211F">
        <w:rPr>
          <w:sz w:val="36"/>
          <w:szCs w:val="36"/>
          <w:rtl/>
        </w:rPr>
        <w:t>،</w:t>
      </w:r>
      <w:r w:rsidR="00E8128F">
        <w:rPr>
          <w:sz w:val="36"/>
          <w:szCs w:val="36"/>
          <w:rtl/>
        </w:rPr>
        <w:t xml:space="preserve"> </w:t>
      </w:r>
      <w:r w:rsidRPr="00FD211F">
        <w:rPr>
          <w:sz w:val="36"/>
          <w:szCs w:val="36"/>
          <w:rtl/>
        </w:rPr>
        <w:t>ولكن</w:t>
      </w:r>
      <w:r w:rsidR="00E8128F">
        <w:rPr>
          <w:sz w:val="36"/>
          <w:szCs w:val="36"/>
          <w:rtl/>
        </w:rPr>
        <w:t xml:space="preserve"> </w:t>
      </w:r>
      <w:r w:rsidRPr="00FD211F">
        <w:rPr>
          <w:sz w:val="36"/>
          <w:szCs w:val="36"/>
          <w:rtl/>
        </w:rPr>
        <w:t>الظاهر</w:t>
      </w:r>
      <w:r w:rsidR="00E8128F">
        <w:rPr>
          <w:sz w:val="36"/>
          <w:szCs w:val="36"/>
          <w:rtl/>
        </w:rPr>
        <w:t xml:space="preserve"> </w:t>
      </w:r>
      <w:r w:rsidRPr="00FD211F">
        <w:rPr>
          <w:sz w:val="36"/>
          <w:szCs w:val="36"/>
          <w:rtl/>
        </w:rPr>
        <w:t>دخول</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الابحاث</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ايضا</w:t>
      </w:r>
      <w:r w:rsidR="00E8128F">
        <w:rPr>
          <w:sz w:val="36"/>
          <w:szCs w:val="36"/>
          <w:rtl/>
        </w:rPr>
        <w:t xml:space="preserve"> </w:t>
      </w:r>
      <w:r w:rsidRPr="00FD211F">
        <w:rPr>
          <w:sz w:val="36"/>
          <w:szCs w:val="36"/>
          <w:rtl/>
        </w:rPr>
        <w:t>لك</w:t>
      </w:r>
      <w:r w:rsidR="000F38CC" w:rsidRPr="00FD211F">
        <w:rPr>
          <w:sz w:val="36"/>
          <w:szCs w:val="36"/>
          <w:rtl/>
        </w:rPr>
        <w:t>ونها</w:t>
      </w:r>
      <w:r w:rsidR="00E8128F">
        <w:rPr>
          <w:sz w:val="36"/>
          <w:szCs w:val="36"/>
          <w:rtl/>
        </w:rPr>
        <w:t xml:space="preserve"> </w:t>
      </w:r>
      <w:r w:rsidR="000F38CC" w:rsidRPr="00FD211F">
        <w:rPr>
          <w:sz w:val="36"/>
          <w:szCs w:val="36"/>
          <w:rtl/>
        </w:rPr>
        <w:t>بحثا</w:t>
      </w:r>
      <w:r w:rsidR="00E8128F">
        <w:rPr>
          <w:sz w:val="36"/>
          <w:szCs w:val="36"/>
          <w:rtl/>
        </w:rPr>
        <w:t xml:space="preserve"> </w:t>
      </w:r>
      <w:r w:rsidR="000F38CC" w:rsidRPr="00FD211F">
        <w:rPr>
          <w:sz w:val="36"/>
          <w:szCs w:val="36"/>
          <w:rtl/>
        </w:rPr>
        <w:t>عن</w:t>
      </w:r>
      <w:r w:rsidR="00E8128F">
        <w:rPr>
          <w:sz w:val="36"/>
          <w:szCs w:val="36"/>
          <w:rtl/>
        </w:rPr>
        <w:t xml:space="preserve"> </w:t>
      </w:r>
      <w:r w:rsidR="000F38CC" w:rsidRPr="00FD211F">
        <w:rPr>
          <w:sz w:val="36"/>
          <w:szCs w:val="36"/>
          <w:rtl/>
        </w:rPr>
        <w:t>قواعد</w:t>
      </w:r>
      <w:r w:rsidR="00E8128F">
        <w:rPr>
          <w:sz w:val="36"/>
          <w:szCs w:val="36"/>
          <w:rtl/>
        </w:rPr>
        <w:t xml:space="preserve"> </w:t>
      </w:r>
      <w:r w:rsidR="000F38CC" w:rsidRPr="00FD211F">
        <w:rPr>
          <w:sz w:val="36"/>
          <w:szCs w:val="36"/>
          <w:rtl/>
        </w:rPr>
        <w:t>عام</w:t>
      </w:r>
      <w:r w:rsidR="00EC7EDF" w:rsidRPr="00FD211F">
        <w:rPr>
          <w:sz w:val="36"/>
          <w:szCs w:val="36"/>
          <w:rtl/>
        </w:rPr>
        <w:t>ة</w:t>
      </w:r>
      <w:r w:rsidR="00603323" w:rsidRPr="00FD211F">
        <w:rPr>
          <w:sz w:val="36"/>
          <w:szCs w:val="36"/>
          <w:rtl/>
        </w:rPr>
        <w:t>،</w:t>
      </w:r>
      <w:r w:rsidR="00E8128F">
        <w:rPr>
          <w:sz w:val="36"/>
          <w:szCs w:val="36"/>
          <w:rtl/>
        </w:rPr>
        <w:t xml:space="preserve"> </w:t>
      </w:r>
      <w:r w:rsidR="005F5CE0" w:rsidRPr="00FD211F">
        <w:rPr>
          <w:sz w:val="36"/>
          <w:szCs w:val="36"/>
          <w:rtl/>
        </w:rPr>
        <w:t>لاعن</w:t>
      </w:r>
      <w:r w:rsidR="00E8128F">
        <w:rPr>
          <w:sz w:val="36"/>
          <w:szCs w:val="36"/>
          <w:rtl/>
        </w:rPr>
        <w:t xml:space="preserve"> </w:t>
      </w:r>
      <w:r w:rsidR="005F5CE0" w:rsidRPr="00FD211F">
        <w:rPr>
          <w:sz w:val="36"/>
          <w:szCs w:val="36"/>
          <w:rtl/>
        </w:rPr>
        <w:t>ظ</w:t>
      </w:r>
      <w:r w:rsidR="000F38CC" w:rsidRPr="00FD211F">
        <w:rPr>
          <w:sz w:val="36"/>
          <w:szCs w:val="36"/>
          <w:rtl/>
        </w:rPr>
        <w:t>هور</w:t>
      </w:r>
      <w:r w:rsidR="00E8128F">
        <w:rPr>
          <w:sz w:val="36"/>
          <w:szCs w:val="36"/>
          <w:rtl/>
        </w:rPr>
        <w:t xml:space="preserve"> </w:t>
      </w:r>
      <w:r w:rsidR="000F38CC" w:rsidRPr="00FD211F">
        <w:rPr>
          <w:sz w:val="36"/>
          <w:szCs w:val="36"/>
          <w:rtl/>
        </w:rPr>
        <w:t>الفاظ</w:t>
      </w:r>
      <w:r w:rsidR="00E8128F">
        <w:rPr>
          <w:sz w:val="36"/>
          <w:szCs w:val="36"/>
          <w:rtl/>
        </w:rPr>
        <w:t xml:space="preserve"> </w:t>
      </w:r>
      <w:r w:rsidR="000F38CC" w:rsidRPr="00FD211F">
        <w:rPr>
          <w:sz w:val="36"/>
          <w:szCs w:val="36"/>
          <w:rtl/>
        </w:rPr>
        <w:t>معين</w:t>
      </w:r>
      <w:r w:rsidR="00EC7EDF" w:rsidRPr="00FD211F">
        <w:rPr>
          <w:sz w:val="36"/>
          <w:szCs w:val="36"/>
          <w:rtl/>
        </w:rPr>
        <w:t>ة</w:t>
      </w:r>
      <w:r w:rsidR="00E8128F">
        <w:rPr>
          <w:sz w:val="36"/>
          <w:szCs w:val="36"/>
          <w:rtl/>
        </w:rPr>
        <w:t xml:space="preserve"> </w:t>
      </w:r>
      <w:r w:rsidR="00EC7EDF" w:rsidRPr="00FD211F">
        <w:rPr>
          <w:sz w:val="36"/>
          <w:szCs w:val="36"/>
          <w:rtl/>
        </w:rPr>
        <w:t>و</w:t>
      </w:r>
      <w:r w:rsidR="000F38CC" w:rsidRPr="00FD211F">
        <w:rPr>
          <w:sz w:val="36"/>
          <w:szCs w:val="36"/>
          <w:rtl/>
        </w:rPr>
        <w:t>مصاديق</w:t>
      </w:r>
      <w:r w:rsidR="00E8128F">
        <w:rPr>
          <w:sz w:val="36"/>
          <w:szCs w:val="36"/>
          <w:rtl/>
        </w:rPr>
        <w:t xml:space="preserve"> </w:t>
      </w:r>
      <w:r w:rsidRPr="00FD211F">
        <w:rPr>
          <w:sz w:val="36"/>
          <w:szCs w:val="36"/>
          <w:rtl/>
        </w:rPr>
        <w:t>جزئي</w:t>
      </w:r>
      <w:r w:rsidR="00EC7EDF" w:rsidRPr="00FD211F">
        <w:rPr>
          <w:sz w:val="36"/>
          <w:szCs w:val="36"/>
          <w:rtl/>
        </w:rPr>
        <w:t>ة</w:t>
      </w:r>
      <w:r w:rsidR="00E8128F">
        <w:rPr>
          <w:sz w:val="36"/>
          <w:szCs w:val="36"/>
          <w:rtl/>
        </w:rPr>
        <w:t xml:space="preserve"> </w:t>
      </w:r>
      <w:r w:rsidRPr="00FD211F">
        <w:rPr>
          <w:sz w:val="36"/>
          <w:szCs w:val="36"/>
          <w:rtl/>
        </w:rPr>
        <w:t>كي</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نظير</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المفردات</w:t>
      </w:r>
      <w:r w:rsidR="00E8128F">
        <w:rPr>
          <w:sz w:val="36"/>
          <w:szCs w:val="36"/>
          <w:rtl/>
        </w:rPr>
        <w:t xml:space="preserve"> </w:t>
      </w:r>
      <w:r w:rsidRPr="00FD211F">
        <w:rPr>
          <w:sz w:val="36"/>
          <w:szCs w:val="36"/>
          <w:rtl/>
        </w:rPr>
        <w:t>اللغوي</w:t>
      </w:r>
      <w:r w:rsidR="00EC7EDF" w:rsidRPr="00FD211F">
        <w:rPr>
          <w:sz w:val="36"/>
          <w:szCs w:val="36"/>
          <w:rtl/>
        </w:rPr>
        <w:t>ة</w:t>
      </w:r>
      <w:r w:rsidR="00A61BAE" w:rsidRPr="00FD211F">
        <w:rPr>
          <w:sz w:val="36"/>
          <w:szCs w:val="36"/>
          <w:rtl/>
        </w:rPr>
        <w:t>.</w:t>
      </w:r>
      <w:r w:rsidR="00E8128F">
        <w:rPr>
          <w:sz w:val="36"/>
          <w:szCs w:val="36"/>
          <w:rtl/>
        </w:rPr>
        <w:t xml:space="preserve"> </w:t>
      </w:r>
    </w:p>
    <w:p w14:paraId="1B67AF88" w14:textId="77777777" w:rsidR="00987F57" w:rsidRPr="00FD211F" w:rsidRDefault="00987F57"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إنه</w:t>
      </w:r>
      <w:r w:rsidR="00E8128F">
        <w:rPr>
          <w:sz w:val="36"/>
          <w:szCs w:val="36"/>
          <w:rtl/>
        </w:rPr>
        <w:t xml:space="preserve"> </w:t>
      </w:r>
      <w:r w:rsidRPr="00FD211F">
        <w:rPr>
          <w:sz w:val="36"/>
          <w:szCs w:val="36"/>
          <w:rtl/>
        </w:rPr>
        <w:t>لابد</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يراد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الجعل</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يعمّ</w:t>
      </w:r>
      <w:r w:rsidR="00E8128F">
        <w:rPr>
          <w:sz w:val="36"/>
          <w:szCs w:val="36"/>
          <w:rtl/>
        </w:rPr>
        <w:t xml:space="preserve"> </w:t>
      </w:r>
      <w:r w:rsidR="0090224F" w:rsidRPr="00FD211F">
        <w:rPr>
          <w:sz w:val="36"/>
          <w:szCs w:val="36"/>
          <w:rtl/>
        </w:rPr>
        <w:t>الأمر</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النهي</w:t>
      </w:r>
      <w:r w:rsidR="00E8128F">
        <w:rPr>
          <w:sz w:val="36"/>
          <w:szCs w:val="36"/>
          <w:rtl/>
        </w:rPr>
        <w:t xml:space="preserve"> </w:t>
      </w:r>
      <w:r w:rsidRPr="00FD211F">
        <w:rPr>
          <w:sz w:val="36"/>
          <w:szCs w:val="36"/>
          <w:rtl/>
        </w:rPr>
        <w:t>الغيريين</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قاعد</w:t>
      </w:r>
      <w:r w:rsidR="00EC7EDF" w:rsidRPr="00FD211F">
        <w:rPr>
          <w:sz w:val="36"/>
          <w:szCs w:val="36"/>
          <w:rtl/>
        </w:rPr>
        <w:t>ة</w:t>
      </w:r>
      <w:r w:rsidR="00E8128F">
        <w:rPr>
          <w:sz w:val="36"/>
          <w:szCs w:val="36"/>
          <w:rtl/>
        </w:rPr>
        <w:t xml:space="preserve"> </w:t>
      </w:r>
      <w:r w:rsidRPr="00FD211F">
        <w:rPr>
          <w:sz w:val="36"/>
          <w:szCs w:val="36"/>
          <w:rtl/>
        </w:rPr>
        <w:t>الملازم</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المقدم</w:t>
      </w:r>
      <w:r w:rsidR="00EC7EDF" w:rsidRPr="00FD211F">
        <w:rPr>
          <w:sz w:val="36"/>
          <w:szCs w:val="36"/>
          <w:rtl/>
        </w:rPr>
        <w:t>ة</w:t>
      </w:r>
      <w:r w:rsidR="00E8128F">
        <w:rPr>
          <w:sz w:val="36"/>
          <w:szCs w:val="36"/>
          <w:rtl/>
        </w:rPr>
        <w:t xml:space="preserve"> </w:t>
      </w:r>
      <w:r w:rsidRPr="00FD211F">
        <w:rPr>
          <w:sz w:val="36"/>
          <w:szCs w:val="36"/>
          <w:rtl/>
        </w:rPr>
        <w:t>ووجوب</w:t>
      </w:r>
      <w:r w:rsidR="00E8128F">
        <w:rPr>
          <w:sz w:val="36"/>
          <w:szCs w:val="36"/>
          <w:rtl/>
        </w:rPr>
        <w:t xml:space="preserve"> </w:t>
      </w:r>
      <w:r w:rsidRPr="00FD211F">
        <w:rPr>
          <w:sz w:val="36"/>
          <w:szCs w:val="36"/>
          <w:rtl/>
        </w:rPr>
        <w:t>ذيها</w:t>
      </w:r>
      <w:r w:rsidR="00E8128F">
        <w:rPr>
          <w:sz w:val="36"/>
          <w:szCs w:val="36"/>
          <w:rtl/>
        </w:rPr>
        <w:t xml:space="preserve"> </w:t>
      </w:r>
      <w:r w:rsidRPr="00FD211F">
        <w:rPr>
          <w:sz w:val="36"/>
          <w:szCs w:val="36"/>
          <w:rtl/>
        </w:rPr>
        <w:t>لاتكون</w:t>
      </w:r>
      <w:r w:rsidR="00E8128F">
        <w:rPr>
          <w:sz w:val="36"/>
          <w:szCs w:val="36"/>
          <w:rtl/>
        </w:rPr>
        <w:t xml:space="preserve"> </w:t>
      </w:r>
      <w:r w:rsidRPr="00FD211F">
        <w:rPr>
          <w:sz w:val="36"/>
          <w:szCs w:val="36"/>
          <w:rtl/>
        </w:rPr>
        <w:t>دليلا</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جعل</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المقدم</w:t>
      </w:r>
      <w:r w:rsidR="00EC7EDF" w:rsidRPr="00FD211F">
        <w:rPr>
          <w:sz w:val="36"/>
          <w:szCs w:val="36"/>
          <w:rtl/>
        </w:rPr>
        <w:t>ة</w:t>
      </w:r>
      <w:r w:rsidR="00E8128F">
        <w:rPr>
          <w:sz w:val="36"/>
          <w:szCs w:val="36"/>
          <w:rtl/>
        </w:rPr>
        <w:t xml:space="preserve"> </w:t>
      </w:r>
      <w:r w:rsidRPr="00FD211F">
        <w:rPr>
          <w:sz w:val="36"/>
          <w:szCs w:val="36"/>
          <w:rtl/>
        </w:rPr>
        <w:t>شرعا</w:t>
      </w:r>
      <w:r w:rsidR="00E8128F">
        <w:rPr>
          <w:sz w:val="36"/>
          <w:szCs w:val="36"/>
          <w:rtl/>
        </w:rPr>
        <w:t xml:space="preserve"> </w:t>
      </w:r>
      <w:r w:rsidRPr="00FD211F">
        <w:rPr>
          <w:sz w:val="36"/>
          <w:szCs w:val="36"/>
          <w:rtl/>
        </w:rPr>
        <w:t>وجوبا</w:t>
      </w:r>
      <w:r w:rsidR="00E8128F">
        <w:rPr>
          <w:sz w:val="36"/>
          <w:szCs w:val="36"/>
          <w:rtl/>
        </w:rPr>
        <w:t xml:space="preserve"> </w:t>
      </w:r>
      <w:r w:rsidRPr="00FD211F">
        <w:rPr>
          <w:sz w:val="36"/>
          <w:szCs w:val="36"/>
          <w:rtl/>
        </w:rPr>
        <w:t>غيريا</w:t>
      </w:r>
      <w:r w:rsidR="00603323" w:rsidRPr="00FD211F">
        <w:rPr>
          <w:sz w:val="36"/>
          <w:szCs w:val="36"/>
          <w:rtl/>
        </w:rPr>
        <w:t>،</w:t>
      </w:r>
      <w:r w:rsidR="00E8128F">
        <w:rPr>
          <w:sz w:val="36"/>
          <w:szCs w:val="36"/>
          <w:rtl/>
        </w:rPr>
        <w:t xml:space="preserve"> </w:t>
      </w:r>
      <w:r w:rsidRPr="00FD211F">
        <w:rPr>
          <w:sz w:val="36"/>
          <w:szCs w:val="36"/>
          <w:rtl/>
        </w:rPr>
        <w:t>وأما</w:t>
      </w:r>
      <w:r w:rsidR="00E8128F">
        <w:rPr>
          <w:sz w:val="36"/>
          <w:szCs w:val="36"/>
          <w:rtl/>
        </w:rPr>
        <w:t xml:space="preserve"> </w:t>
      </w:r>
      <w:r w:rsidRPr="00FD211F">
        <w:rPr>
          <w:sz w:val="36"/>
          <w:szCs w:val="36"/>
          <w:rtl/>
        </w:rPr>
        <w:t>وقوعها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استنباط</w:t>
      </w:r>
      <w:r w:rsidR="00E8128F">
        <w:rPr>
          <w:sz w:val="36"/>
          <w:szCs w:val="36"/>
          <w:rtl/>
        </w:rPr>
        <w:t xml:space="preserve"> </w:t>
      </w:r>
      <w:r w:rsidRPr="00FD211F">
        <w:rPr>
          <w:sz w:val="36"/>
          <w:szCs w:val="36"/>
          <w:rtl/>
        </w:rPr>
        <w:t>حكم</w:t>
      </w:r>
      <w:r w:rsidR="00E8128F">
        <w:rPr>
          <w:sz w:val="36"/>
          <w:szCs w:val="36"/>
          <w:rtl/>
        </w:rPr>
        <w:t xml:space="preserve"> </w:t>
      </w:r>
      <w:r w:rsidRPr="00FD211F">
        <w:rPr>
          <w:sz w:val="36"/>
          <w:szCs w:val="36"/>
          <w:rtl/>
        </w:rPr>
        <w:t>نفسي</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مر</w:t>
      </w:r>
      <w:r w:rsidR="00E8128F">
        <w:rPr>
          <w:sz w:val="36"/>
          <w:szCs w:val="36"/>
          <w:rtl/>
        </w:rPr>
        <w:t xml:space="preserve"> </w:t>
      </w:r>
      <w:r w:rsidRPr="00FD211F">
        <w:rPr>
          <w:sz w:val="36"/>
          <w:szCs w:val="36"/>
          <w:rtl/>
        </w:rPr>
        <w:t>بيانه</w:t>
      </w:r>
      <w:r w:rsidR="00E8128F">
        <w:rPr>
          <w:sz w:val="36"/>
          <w:szCs w:val="36"/>
          <w:rtl/>
        </w:rPr>
        <w:t xml:space="preserve"> </w:t>
      </w:r>
      <w:r w:rsidRPr="00FD211F">
        <w:rPr>
          <w:sz w:val="36"/>
          <w:szCs w:val="36"/>
          <w:rtl/>
        </w:rPr>
        <w:t>سابقا</w:t>
      </w:r>
      <w:r w:rsidR="00E8128F">
        <w:rPr>
          <w:sz w:val="36"/>
          <w:szCs w:val="36"/>
          <w:rtl/>
        </w:rPr>
        <w:t xml:space="preserve"> </w:t>
      </w:r>
      <w:r w:rsidRPr="00FD211F">
        <w:rPr>
          <w:sz w:val="36"/>
          <w:szCs w:val="36"/>
          <w:rtl/>
        </w:rPr>
        <w:t>فلايجدي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القاعد</w:t>
      </w:r>
      <w:r w:rsidR="00EC7EDF" w:rsidRPr="00FD211F">
        <w:rPr>
          <w:sz w:val="36"/>
          <w:szCs w:val="36"/>
          <w:rtl/>
        </w:rPr>
        <w:t>ة</w:t>
      </w:r>
      <w:r w:rsidR="00E8128F">
        <w:rPr>
          <w:sz w:val="36"/>
          <w:szCs w:val="36"/>
          <w:rtl/>
        </w:rPr>
        <w:t xml:space="preserve"> </w:t>
      </w:r>
      <w:r w:rsidRPr="00FD211F">
        <w:rPr>
          <w:sz w:val="36"/>
          <w:szCs w:val="36"/>
          <w:rtl/>
        </w:rPr>
        <w:t>أصوليا</w:t>
      </w:r>
      <w:r w:rsidR="00603323" w:rsidRPr="00FD211F">
        <w:rPr>
          <w:sz w:val="36"/>
          <w:szCs w:val="36"/>
          <w:rtl/>
        </w:rPr>
        <w:t>،</w:t>
      </w:r>
      <w:r w:rsidR="00E8128F">
        <w:rPr>
          <w:sz w:val="36"/>
          <w:szCs w:val="36"/>
          <w:rtl/>
        </w:rPr>
        <w:t xml:space="preserve"> </w:t>
      </w:r>
      <w:r w:rsidRPr="00FD211F">
        <w:rPr>
          <w:sz w:val="36"/>
          <w:szCs w:val="36"/>
          <w:rtl/>
        </w:rPr>
        <w:t>اذ</w:t>
      </w:r>
      <w:r w:rsidR="00E8128F">
        <w:rPr>
          <w:sz w:val="36"/>
          <w:szCs w:val="36"/>
          <w:rtl/>
        </w:rPr>
        <w:t xml:space="preserve"> </w:t>
      </w:r>
      <w:r w:rsidRPr="00FD211F">
        <w:rPr>
          <w:sz w:val="36"/>
          <w:szCs w:val="36"/>
          <w:rtl/>
        </w:rPr>
        <w:t>يلزم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القاعد</w:t>
      </w:r>
      <w:r w:rsidR="00EC7EDF" w:rsidRPr="00FD211F">
        <w:rPr>
          <w:sz w:val="36"/>
          <w:szCs w:val="36"/>
          <w:rtl/>
        </w:rPr>
        <w:t>ة</w:t>
      </w:r>
      <w:r w:rsidR="00E8128F">
        <w:rPr>
          <w:sz w:val="36"/>
          <w:szCs w:val="36"/>
          <w:rtl/>
        </w:rPr>
        <w:t xml:space="preserve"> </w:t>
      </w:r>
      <w:r w:rsidRPr="00FD211F">
        <w:rPr>
          <w:sz w:val="36"/>
          <w:szCs w:val="36"/>
          <w:rtl/>
        </w:rPr>
        <w:t>الأصولي</w:t>
      </w:r>
      <w:r w:rsidR="00EC7EDF" w:rsidRPr="00FD211F">
        <w:rPr>
          <w:sz w:val="36"/>
          <w:szCs w:val="36"/>
          <w:rtl/>
        </w:rPr>
        <w:t>ة</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دليلا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الجعل</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مباشر</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والا</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المباحث</w:t>
      </w:r>
      <w:r w:rsidR="00E8128F">
        <w:rPr>
          <w:sz w:val="36"/>
          <w:szCs w:val="36"/>
          <w:rtl/>
        </w:rPr>
        <w:t xml:space="preserve"> </w:t>
      </w:r>
      <w:r w:rsidRPr="00FD211F">
        <w:rPr>
          <w:sz w:val="36"/>
          <w:szCs w:val="36"/>
          <w:rtl/>
        </w:rPr>
        <w:t>الرجالي</w:t>
      </w:r>
      <w:r w:rsidR="00EC7EDF" w:rsidRPr="00FD211F">
        <w:rPr>
          <w:sz w:val="36"/>
          <w:szCs w:val="36"/>
          <w:rtl/>
        </w:rPr>
        <w:t>ة</w:t>
      </w:r>
      <w:r w:rsidR="00E8128F">
        <w:rPr>
          <w:sz w:val="36"/>
          <w:szCs w:val="36"/>
          <w:rtl/>
        </w:rPr>
        <w:t xml:space="preserve"> </w:t>
      </w:r>
      <w:r w:rsidRPr="00FD211F">
        <w:rPr>
          <w:sz w:val="36"/>
          <w:szCs w:val="36"/>
          <w:rtl/>
        </w:rPr>
        <w:t>أيضا</w:t>
      </w:r>
      <w:r w:rsidR="00E8128F">
        <w:rPr>
          <w:sz w:val="36"/>
          <w:szCs w:val="36"/>
          <w:rtl/>
        </w:rPr>
        <w:t xml:space="preserve"> </w:t>
      </w:r>
      <w:r w:rsidRPr="00FD211F">
        <w:rPr>
          <w:sz w:val="36"/>
          <w:szCs w:val="36"/>
          <w:rtl/>
        </w:rPr>
        <w:t>تقع</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استنباط</w:t>
      </w:r>
      <w:r w:rsidR="00E8128F">
        <w:rPr>
          <w:sz w:val="36"/>
          <w:szCs w:val="36"/>
          <w:rtl/>
        </w:rPr>
        <w:t xml:space="preserve"> </w:t>
      </w:r>
      <w:r w:rsidRPr="00FD211F">
        <w:rPr>
          <w:sz w:val="36"/>
          <w:szCs w:val="36"/>
          <w:rtl/>
        </w:rPr>
        <w:t>الاحكام</w:t>
      </w:r>
      <w:r w:rsidR="00E8128F">
        <w:rPr>
          <w:sz w:val="36"/>
          <w:szCs w:val="36"/>
          <w:rtl/>
        </w:rPr>
        <w:t xml:space="preserve"> </w:t>
      </w:r>
      <w:r w:rsidRPr="00FD211F">
        <w:rPr>
          <w:sz w:val="36"/>
          <w:szCs w:val="36"/>
          <w:rtl/>
        </w:rPr>
        <w:t>الشرعي</w:t>
      </w:r>
      <w:r w:rsidR="00EC7EDF" w:rsidRPr="00FD211F">
        <w:rPr>
          <w:sz w:val="36"/>
          <w:szCs w:val="36"/>
          <w:rtl/>
        </w:rPr>
        <w:t>ة</w:t>
      </w:r>
      <w:r w:rsidR="00A61BAE" w:rsidRPr="00FD211F">
        <w:rPr>
          <w:sz w:val="36"/>
          <w:szCs w:val="36"/>
          <w:rtl/>
        </w:rPr>
        <w:t>.</w:t>
      </w:r>
    </w:p>
    <w:p w14:paraId="73C5ABC7" w14:textId="77777777" w:rsidR="00363BC8" w:rsidRPr="00FD211F" w:rsidRDefault="00F7650D" w:rsidP="009C58C8">
      <w:pPr>
        <w:pStyle w:val="3"/>
        <w:ind w:firstLine="227"/>
        <w:jc w:val="both"/>
        <w:rPr>
          <w:rtl/>
        </w:rPr>
      </w:pPr>
      <w:bookmarkStart w:id="30" w:name="_Toc151944582"/>
      <w:bookmarkStart w:id="31" w:name="_Toc154131709"/>
      <w:bookmarkStart w:id="32" w:name="_Toc156401497"/>
      <w:bookmarkStart w:id="33" w:name="_Toc192092843"/>
      <w:bookmarkStart w:id="34" w:name="_Toc223890310"/>
      <w:r w:rsidRPr="00FD211F">
        <w:rPr>
          <w:rtl/>
        </w:rPr>
        <w:lastRenderedPageBreak/>
        <w:t>الايراد</w:t>
      </w:r>
      <w:r w:rsidR="00E8128F">
        <w:rPr>
          <w:rtl/>
        </w:rPr>
        <w:t xml:space="preserve"> </w:t>
      </w:r>
      <w:r w:rsidR="00363BC8" w:rsidRPr="00FD211F">
        <w:rPr>
          <w:rtl/>
        </w:rPr>
        <w:t>الرابع</w:t>
      </w:r>
      <w:bookmarkEnd w:id="30"/>
      <w:r w:rsidR="00E8128F">
        <w:rPr>
          <w:rtl/>
        </w:rPr>
        <w:t xml:space="preserve"> </w:t>
      </w:r>
      <w:r w:rsidR="00BC15B9" w:rsidRPr="00FD211F">
        <w:rPr>
          <w:rtl/>
        </w:rPr>
        <w:t>على</w:t>
      </w:r>
      <w:r w:rsidR="00E8128F">
        <w:rPr>
          <w:rtl/>
        </w:rPr>
        <w:t xml:space="preserve"> </w:t>
      </w:r>
      <w:r w:rsidR="00BC15B9" w:rsidRPr="00FD211F">
        <w:rPr>
          <w:rtl/>
        </w:rPr>
        <w:t>تعريف</w:t>
      </w:r>
      <w:r w:rsidR="00E8128F">
        <w:rPr>
          <w:rtl/>
        </w:rPr>
        <w:t xml:space="preserve"> </w:t>
      </w:r>
      <w:r w:rsidR="00BC15B9" w:rsidRPr="00FD211F">
        <w:rPr>
          <w:rtl/>
        </w:rPr>
        <w:t>المشهور</w:t>
      </w:r>
      <w:bookmarkEnd w:id="31"/>
      <w:bookmarkEnd w:id="32"/>
      <w:bookmarkEnd w:id="33"/>
      <w:bookmarkEnd w:id="34"/>
    </w:p>
    <w:p w14:paraId="015BD40D" w14:textId="77777777" w:rsidR="00363BC8" w:rsidRPr="00FD211F" w:rsidRDefault="00F7650D" w:rsidP="009C58C8">
      <w:pPr>
        <w:ind w:left="0" w:firstLine="227"/>
        <w:jc w:val="both"/>
        <w:rPr>
          <w:sz w:val="36"/>
          <w:szCs w:val="36"/>
          <w:rtl/>
        </w:rPr>
      </w:pPr>
      <w:r w:rsidRPr="00FD211F">
        <w:rPr>
          <w:b/>
          <w:bCs/>
          <w:sz w:val="36"/>
          <w:szCs w:val="36"/>
          <w:rtl/>
        </w:rPr>
        <w:t>الايراد</w:t>
      </w:r>
      <w:r w:rsidR="00E8128F">
        <w:rPr>
          <w:b/>
          <w:bCs/>
          <w:sz w:val="36"/>
          <w:szCs w:val="36"/>
          <w:rtl/>
        </w:rPr>
        <w:t xml:space="preserve"> </w:t>
      </w:r>
      <w:r w:rsidR="00BC15B9" w:rsidRPr="00FD211F">
        <w:rPr>
          <w:b/>
          <w:bCs/>
          <w:sz w:val="36"/>
          <w:szCs w:val="36"/>
          <w:rtl/>
        </w:rPr>
        <w:t>الرابع</w:t>
      </w:r>
      <w:r w:rsidR="00BC15B9" w:rsidRPr="00FD211F">
        <w:rPr>
          <w:sz w:val="36"/>
          <w:szCs w:val="36"/>
          <w:rtl/>
        </w:rPr>
        <w:t>:</w:t>
      </w:r>
      <w:r w:rsidR="00E8128F">
        <w:rPr>
          <w:sz w:val="36"/>
          <w:szCs w:val="36"/>
          <w:rtl/>
        </w:rPr>
        <w:t xml:space="preserve"> </w:t>
      </w:r>
      <w:r w:rsidR="00363BC8" w:rsidRPr="00FD211F">
        <w:rPr>
          <w:sz w:val="36"/>
          <w:szCs w:val="36"/>
          <w:rtl/>
        </w:rPr>
        <w:t>ان</w:t>
      </w:r>
      <w:r w:rsidR="00E8128F">
        <w:rPr>
          <w:sz w:val="36"/>
          <w:szCs w:val="36"/>
          <w:rtl/>
        </w:rPr>
        <w:t xml:space="preserve"> </w:t>
      </w:r>
      <w:r w:rsidR="00363BC8" w:rsidRPr="00FD211F">
        <w:rPr>
          <w:sz w:val="36"/>
          <w:szCs w:val="36"/>
          <w:rtl/>
        </w:rPr>
        <w:t>تعريف</w:t>
      </w:r>
      <w:r w:rsidR="00E8128F">
        <w:rPr>
          <w:sz w:val="36"/>
          <w:szCs w:val="36"/>
          <w:rtl/>
        </w:rPr>
        <w:t xml:space="preserve"> </w:t>
      </w:r>
      <w:r w:rsidR="00363BC8" w:rsidRPr="00FD211F">
        <w:rPr>
          <w:sz w:val="36"/>
          <w:szCs w:val="36"/>
          <w:rtl/>
        </w:rPr>
        <w:t>المشهور</w:t>
      </w:r>
      <w:r w:rsidR="00E8128F">
        <w:rPr>
          <w:sz w:val="36"/>
          <w:szCs w:val="36"/>
          <w:rtl/>
        </w:rPr>
        <w:t xml:space="preserve"> </w:t>
      </w:r>
      <w:r w:rsidR="00363BC8" w:rsidRPr="00FD211F">
        <w:rPr>
          <w:sz w:val="36"/>
          <w:szCs w:val="36"/>
          <w:rtl/>
        </w:rPr>
        <w:t>ينطبق</w:t>
      </w:r>
      <w:r w:rsidR="00E8128F">
        <w:rPr>
          <w:sz w:val="36"/>
          <w:szCs w:val="36"/>
          <w:rtl/>
        </w:rPr>
        <w:t xml:space="preserve"> </w:t>
      </w:r>
      <w:r w:rsidR="00363BC8" w:rsidRPr="00FD211F">
        <w:rPr>
          <w:sz w:val="36"/>
          <w:szCs w:val="36"/>
          <w:rtl/>
        </w:rPr>
        <w:t>على</w:t>
      </w:r>
      <w:r w:rsidR="00E8128F">
        <w:rPr>
          <w:sz w:val="36"/>
          <w:szCs w:val="36"/>
          <w:rtl/>
        </w:rPr>
        <w:t xml:space="preserve"> </w:t>
      </w:r>
      <w:r w:rsidR="00363BC8" w:rsidRPr="00FD211F">
        <w:rPr>
          <w:sz w:val="36"/>
          <w:szCs w:val="36"/>
          <w:rtl/>
        </w:rPr>
        <w:t>القواعد</w:t>
      </w:r>
      <w:r w:rsidR="00E8128F">
        <w:rPr>
          <w:sz w:val="36"/>
          <w:szCs w:val="36"/>
          <w:rtl/>
        </w:rPr>
        <w:t xml:space="preserve"> </w:t>
      </w:r>
      <w:r w:rsidR="00363BC8" w:rsidRPr="00FD211F">
        <w:rPr>
          <w:sz w:val="36"/>
          <w:szCs w:val="36"/>
          <w:rtl/>
        </w:rPr>
        <w:t>الفقهي</w:t>
      </w:r>
      <w:r w:rsidR="00EC7EDF" w:rsidRPr="00FD211F">
        <w:rPr>
          <w:sz w:val="36"/>
          <w:szCs w:val="36"/>
          <w:rtl/>
        </w:rPr>
        <w:t>ة</w:t>
      </w:r>
      <w:r w:rsidR="00E8128F">
        <w:rPr>
          <w:sz w:val="36"/>
          <w:szCs w:val="36"/>
          <w:rtl/>
        </w:rPr>
        <w:t xml:space="preserve"> </w:t>
      </w:r>
      <w:r w:rsidR="00363BC8" w:rsidRPr="00FD211F">
        <w:rPr>
          <w:sz w:val="36"/>
          <w:szCs w:val="36"/>
          <w:rtl/>
        </w:rPr>
        <w:t>ايضا</w:t>
      </w:r>
      <w:r w:rsidR="00E8128F">
        <w:rPr>
          <w:sz w:val="36"/>
          <w:szCs w:val="36"/>
          <w:rtl/>
        </w:rPr>
        <w:t xml:space="preserve"> </w:t>
      </w:r>
      <w:r w:rsidR="00363BC8" w:rsidRPr="00FD211F">
        <w:rPr>
          <w:sz w:val="36"/>
          <w:szCs w:val="36"/>
          <w:rtl/>
        </w:rPr>
        <w:t>كقاعد</w:t>
      </w:r>
      <w:r w:rsidR="00EC7EDF" w:rsidRPr="00FD211F">
        <w:rPr>
          <w:sz w:val="36"/>
          <w:szCs w:val="36"/>
          <w:rtl/>
        </w:rPr>
        <w:t>ة</w:t>
      </w:r>
      <w:r w:rsidR="00E8128F">
        <w:rPr>
          <w:sz w:val="36"/>
          <w:szCs w:val="36"/>
          <w:rtl/>
        </w:rPr>
        <w:t xml:space="preserve"> </w:t>
      </w:r>
      <w:r w:rsidR="00363BC8" w:rsidRPr="00FD211F">
        <w:rPr>
          <w:sz w:val="36"/>
          <w:szCs w:val="36"/>
          <w:rtl/>
        </w:rPr>
        <w:t>ما</w:t>
      </w:r>
      <w:r w:rsidR="00E8128F">
        <w:rPr>
          <w:sz w:val="36"/>
          <w:szCs w:val="36"/>
          <w:rtl/>
        </w:rPr>
        <w:t xml:space="preserve"> </w:t>
      </w:r>
      <w:r w:rsidR="00363BC8" w:rsidRPr="00FD211F">
        <w:rPr>
          <w:sz w:val="36"/>
          <w:szCs w:val="36"/>
          <w:rtl/>
        </w:rPr>
        <w:t>يضمن</w:t>
      </w:r>
      <w:r w:rsidR="00E8128F">
        <w:rPr>
          <w:sz w:val="36"/>
          <w:szCs w:val="36"/>
          <w:rtl/>
        </w:rPr>
        <w:t xml:space="preserve"> </w:t>
      </w:r>
      <w:r w:rsidR="00363BC8" w:rsidRPr="00FD211F">
        <w:rPr>
          <w:sz w:val="36"/>
          <w:szCs w:val="36"/>
          <w:rtl/>
        </w:rPr>
        <w:t>بصحيحه</w:t>
      </w:r>
      <w:r w:rsidR="00E8128F">
        <w:rPr>
          <w:sz w:val="36"/>
          <w:szCs w:val="36"/>
          <w:rtl/>
        </w:rPr>
        <w:t xml:space="preserve"> </w:t>
      </w:r>
      <w:r w:rsidR="00363BC8" w:rsidRPr="00FD211F">
        <w:rPr>
          <w:sz w:val="36"/>
          <w:szCs w:val="36"/>
          <w:rtl/>
        </w:rPr>
        <w:t>يضمن</w:t>
      </w:r>
      <w:r w:rsidR="00E8128F">
        <w:rPr>
          <w:sz w:val="36"/>
          <w:szCs w:val="36"/>
          <w:rtl/>
        </w:rPr>
        <w:t xml:space="preserve"> </w:t>
      </w:r>
      <w:r w:rsidR="00363BC8" w:rsidRPr="00FD211F">
        <w:rPr>
          <w:sz w:val="36"/>
          <w:szCs w:val="36"/>
          <w:rtl/>
        </w:rPr>
        <w:t>بفاسد</w:t>
      </w:r>
      <w:r w:rsidR="00BB4737" w:rsidRPr="00FD211F">
        <w:rPr>
          <w:sz w:val="36"/>
          <w:szCs w:val="36"/>
          <w:rtl/>
        </w:rPr>
        <w:t>ه</w:t>
      </w:r>
      <w:r w:rsidR="00E8128F">
        <w:rPr>
          <w:sz w:val="36"/>
          <w:szCs w:val="36"/>
          <w:rtl/>
        </w:rPr>
        <w:t xml:space="preserve"> </w:t>
      </w:r>
      <w:r w:rsidR="00363BC8" w:rsidRPr="00FD211F">
        <w:rPr>
          <w:sz w:val="36"/>
          <w:szCs w:val="36"/>
          <w:rtl/>
        </w:rPr>
        <w:t>وما</w:t>
      </w:r>
      <w:r w:rsidR="00E8128F">
        <w:rPr>
          <w:sz w:val="36"/>
          <w:szCs w:val="36"/>
          <w:rtl/>
        </w:rPr>
        <w:t xml:space="preserve"> </w:t>
      </w:r>
      <w:r w:rsidR="00363BC8" w:rsidRPr="00FD211F">
        <w:rPr>
          <w:sz w:val="36"/>
          <w:szCs w:val="36"/>
          <w:rtl/>
        </w:rPr>
        <w:t>لايضمن</w:t>
      </w:r>
      <w:r w:rsidR="00E8128F">
        <w:rPr>
          <w:sz w:val="36"/>
          <w:szCs w:val="36"/>
          <w:rtl/>
        </w:rPr>
        <w:t xml:space="preserve"> </w:t>
      </w:r>
      <w:r w:rsidR="00363BC8" w:rsidRPr="00FD211F">
        <w:rPr>
          <w:sz w:val="36"/>
          <w:szCs w:val="36"/>
          <w:rtl/>
        </w:rPr>
        <w:t>بصحيحه</w:t>
      </w:r>
      <w:r w:rsidR="00E8128F">
        <w:rPr>
          <w:sz w:val="36"/>
          <w:szCs w:val="36"/>
          <w:rtl/>
        </w:rPr>
        <w:t xml:space="preserve"> </w:t>
      </w:r>
      <w:r w:rsidR="00363BC8" w:rsidRPr="00FD211F">
        <w:rPr>
          <w:sz w:val="36"/>
          <w:szCs w:val="36"/>
          <w:rtl/>
        </w:rPr>
        <w:t>لايضمن</w:t>
      </w:r>
      <w:r w:rsidR="00E8128F">
        <w:rPr>
          <w:sz w:val="36"/>
          <w:szCs w:val="36"/>
          <w:rtl/>
        </w:rPr>
        <w:t xml:space="preserve"> </w:t>
      </w:r>
      <w:r w:rsidR="00363BC8" w:rsidRPr="00FD211F">
        <w:rPr>
          <w:sz w:val="36"/>
          <w:szCs w:val="36"/>
          <w:rtl/>
        </w:rPr>
        <w:t>بفاسده</w:t>
      </w:r>
      <w:r w:rsidR="00E8128F">
        <w:rPr>
          <w:sz w:val="36"/>
          <w:szCs w:val="36"/>
          <w:rtl/>
        </w:rPr>
        <w:t xml:space="preserve"> </w:t>
      </w:r>
      <w:r w:rsidR="00363BC8" w:rsidRPr="00FD211F">
        <w:rPr>
          <w:sz w:val="36"/>
          <w:szCs w:val="36"/>
          <w:rtl/>
        </w:rPr>
        <w:t>او</w:t>
      </w:r>
      <w:r w:rsidR="00E8128F">
        <w:rPr>
          <w:sz w:val="36"/>
          <w:szCs w:val="36"/>
          <w:rtl/>
        </w:rPr>
        <w:t xml:space="preserve"> </w:t>
      </w:r>
      <w:r w:rsidR="00363BC8" w:rsidRPr="00FD211F">
        <w:rPr>
          <w:sz w:val="36"/>
          <w:szCs w:val="36"/>
          <w:rtl/>
        </w:rPr>
        <w:t>قاعد</w:t>
      </w:r>
      <w:r w:rsidR="00EC7EDF" w:rsidRPr="00FD211F">
        <w:rPr>
          <w:sz w:val="36"/>
          <w:szCs w:val="36"/>
          <w:rtl/>
        </w:rPr>
        <w:t>ة</w:t>
      </w:r>
      <w:r w:rsidR="00E8128F">
        <w:rPr>
          <w:sz w:val="36"/>
          <w:szCs w:val="36"/>
          <w:rtl/>
        </w:rPr>
        <w:t xml:space="preserve"> </w:t>
      </w:r>
      <w:r w:rsidR="00E522E8" w:rsidRPr="00FD211F">
        <w:rPr>
          <w:sz w:val="36"/>
          <w:szCs w:val="36"/>
          <w:rtl/>
        </w:rPr>
        <w:t>لاحرج</w:t>
      </w:r>
      <w:r w:rsidR="00E8128F">
        <w:rPr>
          <w:sz w:val="36"/>
          <w:szCs w:val="36"/>
          <w:rtl/>
        </w:rPr>
        <w:t xml:space="preserve"> </w:t>
      </w:r>
      <w:r w:rsidR="00E522E8" w:rsidRPr="00FD211F">
        <w:rPr>
          <w:sz w:val="36"/>
          <w:szCs w:val="36"/>
          <w:rtl/>
        </w:rPr>
        <w:t>و</w:t>
      </w:r>
      <w:r w:rsidR="00363BC8" w:rsidRPr="00FD211F">
        <w:rPr>
          <w:sz w:val="36"/>
          <w:szCs w:val="36"/>
          <w:rtl/>
        </w:rPr>
        <w:t>لاضرر</w:t>
      </w:r>
      <w:r w:rsidR="00E8128F">
        <w:rPr>
          <w:sz w:val="36"/>
          <w:szCs w:val="36"/>
          <w:rtl/>
        </w:rPr>
        <w:t xml:space="preserve"> </w:t>
      </w:r>
      <w:r w:rsidR="00E522E8" w:rsidRPr="00FD211F">
        <w:rPr>
          <w:sz w:val="36"/>
          <w:szCs w:val="36"/>
          <w:rtl/>
        </w:rPr>
        <w:t>وكذا</w:t>
      </w:r>
      <w:r w:rsidR="00E8128F">
        <w:rPr>
          <w:sz w:val="36"/>
          <w:szCs w:val="36"/>
          <w:rtl/>
        </w:rPr>
        <w:t xml:space="preserve"> </w:t>
      </w:r>
      <w:r w:rsidR="00E522E8" w:rsidRPr="00FD211F">
        <w:rPr>
          <w:sz w:val="36"/>
          <w:szCs w:val="36"/>
          <w:rtl/>
        </w:rPr>
        <w:t>مثل</w:t>
      </w:r>
      <w:r w:rsidR="00E8128F">
        <w:rPr>
          <w:sz w:val="36"/>
          <w:szCs w:val="36"/>
          <w:rtl/>
        </w:rPr>
        <w:t xml:space="preserve"> </w:t>
      </w:r>
      <w:r w:rsidR="00E522E8" w:rsidRPr="00FD211F">
        <w:rPr>
          <w:sz w:val="36"/>
          <w:szCs w:val="36"/>
          <w:rtl/>
        </w:rPr>
        <w:t>قاعد</w:t>
      </w:r>
      <w:r w:rsidR="00EC7EDF" w:rsidRPr="00FD211F">
        <w:rPr>
          <w:sz w:val="36"/>
          <w:szCs w:val="36"/>
          <w:rtl/>
        </w:rPr>
        <w:t>ة</w:t>
      </w:r>
      <w:r w:rsidR="00E8128F">
        <w:rPr>
          <w:sz w:val="36"/>
          <w:szCs w:val="36"/>
          <w:rtl/>
        </w:rPr>
        <w:t xml:space="preserve"> </w:t>
      </w:r>
      <w:r w:rsidR="00E522E8" w:rsidRPr="00FD211F">
        <w:rPr>
          <w:sz w:val="36"/>
          <w:szCs w:val="36"/>
          <w:rtl/>
        </w:rPr>
        <w:t>الفراغ</w:t>
      </w:r>
      <w:r w:rsidR="00E8128F">
        <w:rPr>
          <w:sz w:val="36"/>
          <w:szCs w:val="36"/>
          <w:rtl/>
        </w:rPr>
        <w:t xml:space="preserve"> </w:t>
      </w:r>
      <w:r w:rsidR="00E522E8" w:rsidRPr="00FD211F">
        <w:rPr>
          <w:sz w:val="36"/>
          <w:szCs w:val="36"/>
          <w:rtl/>
        </w:rPr>
        <w:t>والتجاوز</w:t>
      </w:r>
      <w:r w:rsidR="00E8128F">
        <w:rPr>
          <w:sz w:val="36"/>
          <w:szCs w:val="36"/>
          <w:rtl/>
        </w:rPr>
        <w:t xml:space="preserve"> </w:t>
      </w:r>
      <w:r w:rsidR="00E522E8" w:rsidRPr="00FD211F">
        <w:rPr>
          <w:sz w:val="36"/>
          <w:szCs w:val="36"/>
          <w:rtl/>
        </w:rPr>
        <w:t>التي</w:t>
      </w:r>
      <w:r w:rsidR="00E8128F">
        <w:rPr>
          <w:sz w:val="36"/>
          <w:szCs w:val="36"/>
          <w:rtl/>
        </w:rPr>
        <w:t xml:space="preserve"> </w:t>
      </w:r>
      <w:r w:rsidR="00E522E8" w:rsidRPr="00FD211F">
        <w:rPr>
          <w:sz w:val="36"/>
          <w:szCs w:val="36"/>
          <w:rtl/>
        </w:rPr>
        <w:t>تجري</w:t>
      </w:r>
      <w:r w:rsidR="00E8128F">
        <w:rPr>
          <w:sz w:val="36"/>
          <w:szCs w:val="36"/>
          <w:rtl/>
        </w:rPr>
        <w:t xml:space="preserve"> </w:t>
      </w:r>
      <w:r w:rsidR="00E522E8" w:rsidRPr="00FD211F">
        <w:rPr>
          <w:sz w:val="36"/>
          <w:szCs w:val="36"/>
          <w:rtl/>
        </w:rPr>
        <w:t>في</w:t>
      </w:r>
      <w:r w:rsidR="00E8128F">
        <w:rPr>
          <w:sz w:val="36"/>
          <w:szCs w:val="36"/>
          <w:rtl/>
        </w:rPr>
        <w:t xml:space="preserve"> </w:t>
      </w:r>
      <w:r w:rsidR="00E522E8" w:rsidRPr="00FD211F">
        <w:rPr>
          <w:sz w:val="36"/>
          <w:szCs w:val="36"/>
          <w:rtl/>
        </w:rPr>
        <w:t>الشبهات</w:t>
      </w:r>
      <w:r w:rsidR="00E8128F">
        <w:rPr>
          <w:sz w:val="36"/>
          <w:szCs w:val="36"/>
          <w:rtl/>
        </w:rPr>
        <w:t xml:space="preserve"> </w:t>
      </w:r>
      <w:r w:rsidR="00E522E8" w:rsidRPr="00FD211F">
        <w:rPr>
          <w:sz w:val="36"/>
          <w:szCs w:val="36"/>
          <w:rtl/>
        </w:rPr>
        <w:t>الموضوعي</w:t>
      </w:r>
      <w:r w:rsidR="00EC7EDF" w:rsidRPr="00FD211F">
        <w:rPr>
          <w:sz w:val="36"/>
          <w:szCs w:val="36"/>
          <w:rtl/>
        </w:rPr>
        <w:t>ة</w:t>
      </w:r>
      <w:r w:rsidR="00603323" w:rsidRPr="00FD211F">
        <w:rPr>
          <w:sz w:val="36"/>
          <w:szCs w:val="36"/>
          <w:rtl/>
        </w:rPr>
        <w:t>،</w:t>
      </w:r>
      <w:r w:rsidR="00E8128F">
        <w:rPr>
          <w:sz w:val="36"/>
          <w:szCs w:val="36"/>
          <w:rtl/>
        </w:rPr>
        <w:t xml:space="preserve"> </w:t>
      </w:r>
      <w:r w:rsidR="00363BC8" w:rsidRPr="00FD211F">
        <w:rPr>
          <w:sz w:val="36"/>
          <w:szCs w:val="36"/>
          <w:rtl/>
        </w:rPr>
        <w:t>فان</w:t>
      </w:r>
      <w:r w:rsidR="00E522E8" w:rsidRPr="00FD211F">
        <w:rPr>
          <w:sz w:val="36"/>
          <w:szCs w:val="36"/>
          <w:rtl/>
        </w:rPr>
        <w:t>ها</w:t>
      </w:r>
      <w:r w:rsidR="00E8128F">
        <w:rPr>
          <w:sz w:val="36"/>
          <w:szCs w:val="36"/>
          <w:rtl/>
        </w:rPr>
        <w:t xml:space="preserve"> </w:t>
      </w:r>
      <w:r w:rsidR="00363BC8" w:rsidRPr="00FD211F">
        <w:rPr>
          <w:sz w:val="36"/>
          <w:szCs w:val="36"/>
          <w:rtl/>
        </w:rPr>
        <w:t>جميع</w:t>
      </w:r>
      <w:r w:rsidR="00E522E8" w:rsidRPr="00FD211F">
        <w:rPr>
          <w:sz w:val="36"/>
          <w:szCs w:val="36"/>
          <w:rtl/>
        </w:rPr>
        <w:t>ا</w:t>
      </w:r>
      <w:r w:rsidR="00E8128F">
        <w:rPr>
          <w:sz w:val="36"/>
          <w:szCs w:val="36"/>
          <w:rtl/>
        </w:rPr>
        <w:t xml:space="preserve"> </w:t>
      </w:r>
      <w:r w:rsidRPr="00FD211F">
        <w:rPr>
          <w:sz w:val="36"/>
          <w:szCs w:val="36"/>
          <w:rtl/>
        </w:rPr>
        <w:t>يستكشف</w:t>
      </w:r>
      <w:r w:rsidR="00E8128F">
        <w:rPr>
          <w:sz w:val="36"/>
          <w:szCs w:val="36"/>
          <w:rtl/>
        </w:rPr>
        <w:t xml:space="preserve"> </w:t>
      </w:r>
      <w:r w:rsidR="00363BC8" w:rsidRPr="00FD211F">
        <w:rPr>
          <w:sz w:val="36"/>
          <w:szCs w:val="36"/>
          <w:rtl/>
        </w:rPr>
        <w:t>منها</w:t>
      </w:r>
      <w:r w:rsidR="00E8128F">
        <w:rPr>
          <w:sz w:val="36"/>
          <w:szCs w:val="36"/>
          <w:rtl/>
        </w:rPr>
        <w:t xml:space="preserve"> </w:t>
      </w:r>
      <w:r w:rsidR="00363BC8" w:rsidRPr="00FD211F">
        <w:rPr>
          <w:sz w:val="36"/>
          <w:szCs w:val="36"/>
          <w:rtl/>
        </w:rPr>
        <w:t>الحكم</w:t>
      </w:r>
      <w:r w:rsidR="00E8128F">
        <w:rPr>
          <w:sz w:val="36"/>
          <w:szCs w:val="36"/>
          <w:rtl/>
        </w:rPr>
        <w:t xml:space="preserve"> </w:t>
      </w:r>
      <w:r w:rsidR="00363BC8" w:rsidRPr="00FD211F">
        <w:rPr>
          <w:sz w:val="36"/>
          <w:szCs w:val="36"/>
          <w:rtl/>
        </w:rPr>
        <w:t>الشرعي</w:t>
      </w:r>
      <w:r w:rsidR="00E8128F">
        <w:rPr>
          <w:sz w:val="36"/>
          <w:szCs w:val="36"/>
          <w:rtl/>
        </w:rPr>
        <w:t xml:space="preserve"> </w:t>
      </w:r>
      <w:r w:rsidR="00F84C32" w:rsidRPr="00FD211F">
        <w:rPr>
          <w:sz w:val="36"/>
          <w:szCs w:val="36"/>
          <w:rtl/>
        </w:rPr>
        <w:t>ولاريب</w:t>
      </w:r>
      <w:r w:rsidR="00E8128F">
        <w:rPr>
          <w:sz w:val="36"/>
          <w:szCs w:val="36"/>
          <w:rtl/>
        </w:rPr>
        <w:t xml:space="preserve"> </w:t>
      </w:r>
      <w:r w:rsidR="00F84C32" w:rsidRPr="00FD211F">
        <w:rPr>
          <w:sz w:val="36"/>
          <w:szCs w:val="36"/>
          <w:rtl/>
        </w:rPr>
        <w:t>في</w:t>
      </w:r>
      <w:r w:rsidR="00E8128F">
        <w:rPr>
          <w:sz w:val="36"/>
          <w:szCs w:val="36"/>
          <w:rtl/>
        </w:rPr>
        <w:t xml:space="preserve"> </w:t>
      </w:r>
      <w:r w:rsidR="00F84C32" w:rsidRPr="00FD211F">
        <w:rPr>
          <w:sz w:val="36"/>
          <w:szCs w:val="36"/>
          <w:rtl/>
        </w:rPr>
        <w:t>كون</w:t>
      </w:r>
      <w:r w:rsidR="00E8128F">
        <w:rPr>
          <w:sz w:val="36"/>
          <w:szCs w:val="36"/>
          <w:rtl/>
        </w:rPr>
        <w:t xml:space="preserve"> </w:t>
      </w:r>
      <w:commentRangeStart w:id="35"/>
      <w:r w:rsidR="00F84C32" w:rsidRPr="00FD211F">
        <w:rPr>
          <w:sz w:val="36"/>
          <w:szCs w:val="36"/>
          <w:rtl/>
        </w:rPr>
        <w:t>المرتكز</w:t>
      </w:r>
      <w:commentRangeEnd w:id="35"/>
      <w:r w:rsidR="002720AD">
        <w:rPr>
          <w:rStyle w:val="ab"/>
          <w:rtl/>
        </w:rPr>
        <w:commentReference w:id="35"/>
      </w:r>
      <w:r w:rsidR="00E8128F">
        <w:rPr>
          <w:sz w:val="36"/>
          <w:szCs w:val="36"/>
          <w:rtl/>
        </w:rPr>
        <w:t xml:space="preserve"> </w:t>
      </w:r>
      <w:r w:rsidR="00363BC8" w:rsidRPr="00FD211F">
        <w:rPr>
          <w:sz w:val="36"/>
          <w:szCs w:val="36"/>
          <w:rtl/>
        </w:rPr>
        <w:t>خروج</w:t>
      </w:r>
      <w:r w:rsidR="00E8128F">
        <w:rPr>
          <w:sz w:val="36"/>
          <w:szCs w:val="36"/>
          <w:rtl/>
        </w:rPr>
        <w:t xml:space="preserve"> </w:t>
      </w:r>
      <w:r w:rsidR="00363BC8" w:rsidRPr="00FD211F">
        <w:rPr>
          <w:sz w:val="36"/>
          <w:szCs w:val="36"/>
          <w:rtl/>
        </w:rPr>
        <w:t>القواعد</w:t>
      </w:r>
      <w:r w:rsidR="00E8128F">
        <w:rPr>
          <w:sz w:val="36"/>
          <w:szCs w:val="36"/>
          <w:rtl/>
        </w:rPr>
        <w:t xml:space="preserve"> </w:t>
      </w:r>
      <w:r w:rsidR="00363BC8" w:rsidRPr="00FD211F">
        <w:rPr>
          <w:sz w:val="36"/>
          <w:szCs w:val="36"/>
          <w:rtl/>
        </w:rPr>
        <w:t>الفقهي</w:t>
      </w:r>
      <w:r w:rsidR="00EC7EDF" w:rsidRPr="00FD211F">
        <w:rPr>
          <w:sz w:val="36"/>
          <w:szCs w:val="36"/>
          <w:rtl/>
        </w:rPr>
        <w:t>ة</w:t>
      </w:r>
      <w:r w:rsidR="00E8128F">
        <w:rPr>
          <w:sz w:val="36"/>
          <w:szCs w:val="36"/>
          <w:rtl/>
        </w:rPr>
        <w:t xml:space="preserve"> </w:t>
      </w:r>
      <w:r w:rsidR="00363BC8" w:rsidRPr="00FD211F">
        <w:rPr>
          <w:sz w:val="36"/>
          <w:szCs w:val="36"/>
          <w:rtl/>
        </w:rPr>
        <w:t>عن</w:t>
      </w:r>
      <w:r w:rsidR="00E8128F">
        <w:rPr>
          <w:sz w:val="36"/>
          <w:szCs w:val="36"/>
          <w:rtl/>
        </w:rPr>
        <w:t xml:space="preserve"> </w:t>
      </w:r>
      <w:r w:rsidR="00363BC8" w:rsidRPr="00FD211F">
        <w:rPr>
          <w:sz w:val="36"/>
          <w:szCs w:val="36"/>
          <w:rtl/>
        </w:rPr>
        <w:t>علم</w:t>
      </w:r>
      <w:r w:rsidR="00E8128F">
        <w:rPr>
          <w:sz w:val="36"/>
          <w:szCs w:val="36"/>
          <w:rtl/>
        </w:rPr>
        <w:t xml:space="preserve"> </w:t>
      </w:r>
      <w:r w:rsidR="00363BC8" w:rsidRPr="00FD211F">
        <w:rPr>
          <w:sz w:val="36"/>
          <w:szCs w:val="36"/>
          <w:rtl/>
        </w:rPr>
        <w:t>الاصول.</w:t>
      </w:r>
    </w:p>
    <w:p w14:paraId="3AE2B9C9" w14:textId="77777777" w:rsidR="00192018" w:rsidRPr="00FD211F" w:rsidRDefault="00192018" w:rsidP="009C58C8">
      <w:pPr>
        <w:ind w:left="0" w:firstLine="227"/>
        <w:jc w:val="both"/>
        <w:rPr>
          <w:sz w:val="36"/>
          <w:szCs w:val="36"/>
          <w:rtl/>
        </w:rPr>
      </w:pPr>
      <w:r w:rsidRPr="00FD211F">
        <w:rPr>
          <w:sz w:val="36"/>
          <w:szCs w:val="36"/>
          <w:rtl/>
        </w:rPr>
        <w:t>وهنا</w:t>
      </w:r>
      <w:r w:rsidR="00E8128F">
        <w:rPr>
          <w:sz w:val="36"/>
          <w:szCs w:val="36"/>
          <w:rtl/>
        </w:rPr>
        <w:t xml:space="preserve"> </w:t>
      </w:r>
      <w:r w:rsidRPr="00FD211F">
        <w:rPr>
          <w:sz w:val="36"/>
          <w:szCs w:val="36"/>
          <w:rtl/>
        </w:rPr>
        <w:t>عد</w:t>
      </w:r>
      <w:r w:rsidR="00EC7EDF" w:rsidRPr="00FD211F">
        <w:rPr>
          <w:sz w:val="36"/>
          <w:szCs w:val="36"/>
          <w:rtl/>
        </w:rPr>
        <w:t>ة</w:t>
      </w:r>
      <w:r w:rsidR="00E8128F">
        <w:rPr>
          <w:sz w:val="36"/>
          <w:szCs w:val="36"/>
          <w:rtl/>
        </w:rPr>
        <w:t xml:space="preserve"> </w:t>
      </w:r>
      <w:r w:rsidR="007F1830" w:rsidRPr="00FD211F">
        <w:rPr>
          <w:sz w:val="36"/>
          <w:szCs w:val="36"/>
          <w:rtl/>
        </w:rPr>
        <w:t>محاولات</w:t>
      </w:r>
      <w:r w:rsidR="00E8128F">
        <w:rPr>
          <w:sz w:val="36"/>
          <w:szCs w:val="36"/>
          <w:rtl/>
        </w:rPr>
        <w:t xml:space="preserve"> </w:t>
      </w:r>
      <w:r w:rsidR="007F1830" w:rsidRPr="00FD211F">
        <w:rPr>
          <w:sz w:val="36"/>
          <w:szCs w:val="36"/>
          <w:rtl/>
        </w:rPr>
        <w:t>للجواب</w:t>
      </w:r>
      <w:r w:rsidR="00E8128F">
        <w:rPr>
          <w:sz w:val="36"/>
          <w:szCs w:val="36"/>
          <w:rtl/>
        </w:rPr>
        <w:t xml:space="preserve"> </w:t>
      </w:r>
      <w:r w:rsidR="007F1830" w:rsidRPr="00FD211F">
        <w:rPr>
          <w:sz w:val="36"/>
          <w:szCs w:val="36"/>
          <w:rtl/>
        </w:rPr>
        <w:t>عن</w:t>
      </w:r>
      <w:r w:rsidR="00E8128F">
        <w:rPr>
          <w:sz w:val="36"/>
          <w:szCs w:val="36"/>
          <w:rtl/>
        </w:rPr>
        <w:t xml:space="preserve"> </w:t>
      </w:r>
      <w:r w:rsidR="00F84C32" w:rsidRPr="00FD211F">
        <w:rPr>
          <w:sz w:val="36"/>
          <w:szCs w:val="36"/>
          <w:rtl/>
        </w:rPr>
        <w:t>هذا</w:t>
      </w:r>
      <w:r w:rsidR="00E8128F">
        <w:rPr>
          <w:sz w:val="36"/>
          <w:szCs w:val="36"/>
          <w:rtl/>
        </w:rPr>
        <w:t xml:space="preserve"> </w:t>
      </w:r>
      <w:r w:rsidR="00F84C32" w:rsidRPr="00FD211F">
        <w:rPr>
          <w:sz w:val="36"/>
          <w:szCs w:val="36"/>
          <w:rtl/>
        </w:rPr>
        <w:t>الايراد</w:t>
      </w:r>
      <w:r w:rsidR="00E8128F">
        <w:rPr>
          <w:sz w:val="36"/>
          <w:szCs w:val="36"/>
          <w:rtl/>
        </w:rPr>
        <w:t xml:space="preserve"> </w:t>
      </w:r>
      <w:r w:rsidRPr="00FD211F">
        <w:rPr>
          <w:sz w:val="36"/>
          <w:szCs w:val="36"/>
          <w:rtl/>
        </w:rPr>
        <w:t>ايضا</w:t>
      </w:r>
      <w:r w:rsidR="00603323" w:rsidRPr="00FD211F">
        <w:rPr>
          <w:sz w:val="36"/>
          <w:szCs w:val="36"/>
          <w:rtl/>
        </w:rPr>
        <w:t>،</w:t>
      </w:r>
      <w:r w:rsidR="00E8128F">
        <w:rPr>
          <w:sz w:val="36"/>
          <w:szCs w:val="36"/>
          <w:rtl/>
        </w:rPr>
        <w:t xml:space="preserve"> </w:t>
      </w:r>
      <w:r w:rsidRPr="00FD211F">
        <w:rPr>
          <w:sz w:val="36"/>
          <w:szCs w:val="36"/>
          <w:rtl/>
        </w:rPr>
        <w:t>عمدتها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يلي:</w:t>
      </w:r>
    </w:p>
    <w:p w14:paraId="26FE1D4D" w14:textId="77777777" w:rsidR="000C5BBA" w:rsidRPr="00FD211F" w:rsidRDefault="009C21F4" w:rsidP="009C58C8">
      <w:pPr>
        <w:ind w:left="0" w:firstLine="227"/>
        <w:jc w:val="both"/>
        <w:rPr>
          <w:sz w:val="36"/>
          <w:szCs w:val="36"/>
          <w:rtl/>
        </w:rPr>
      </w:pPr>
      <w:r w:rsidRPr="00FD211F">
        <w:rPr>
          <w:b/>
          <w:bCs/>
          <w:sz w:val="36"/>
          <w:szCs w:val="36"/>
          <w:rtl/>
        </w:rPr>
        <w:t>المحاول</w:t>
      </w:r>
      <w:r w:rsidR="00EC7EDF" w:rsidRPr="00FD211F">
        <w:rPr>
          <w:b/>
          <w:bCs/>
          <w:sz w:val="36"/>
          <w:szCs w:val="36"/>
          <w:rtl/>
        </w:rPr>
        <w:t>ة</w:t>
      </w:r>
      <w:r w:rsidR="00E8128F">
        <w:rPr>
          <w:b/>
          <w:bCs/>
          <w:sz w:val="36"/>
          <w:szCs w:val="36"/>
          <w:rtl/>
        </w:rPr>
        <w:t xml:space="preserve"> </w:t>
      </w:r>
      <w:r w:rsidRPr="00FD211F">
        <w:rPr>
          <w:b/>
          <w:bCs/>
          <w:sz w:val="36"/>
          <w:szCs w:val="36"/>
          <w:rtl/>
        </w:rPr>
        <w:t>الأولى</w:t>
      </w:r>
      <w:r w:rsidRPr="00FD211F">
        <w:rPr>
          <w:sz w:val="36"/>
          <w:szCs w:val="36"/>
          <w:rtl/>
        </w:rPr>
        <w:t>:</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حكي</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الاعظم</w:t>
      </w:r>
      <w:r w:rsidR="00E8128F">
        <w:rPr>
          <w:sz w:val="36"/>
          <w:szCs w:val="36"/>
          <w:rtl/>
        </w:rPr>
        <w:t xml:space="preserve"> </w:t>
      </w:r>
      <w:r w:rsidRPr="00FD211F">
        <w:rPr>
          <w:sz w:val="36"/>
          <w:szCs w:val="36"/>
          <w:rtl/>
        </w:rPr>
        <w:t>والمحقق</w:t>
      </w:r>
      <w:r w:rsidR="00E8128F">
        <w:rPr>
          <w:sz w:val="36"/>
          <w:szCs w:val="36"/>
          <w:rtl/>
        </w:rPr>
        <w:t xml:space="preserve"> </w:t>
      </w:r>
      <w:r w:rsidRPr="00FD211F">
        <w:rPr>
          <w:sz w:val="36"/>
          <w:szCs w:val="36"/>
          <w:rtl/>
        </w:rPr>
        <w:t>النائيني</w:t>
      </w:r>
      <w:r w:rsidR="00E8128F">
        <w:rPr>
          <w:sz w:val="36"/>
          <w:szCs w:val="36"/>
          <w:rtl/>
        </w:rPr>
        <w:t xml:space="preserve"> </w:t>
      </w:r>
      <w:r w:rsidRPr="00FD211F">
        <w:rPr>
          <w:sz w:val="36"/>
          <w:szCs w:val="36"/>
          <w:rtl/>
        </w:rPr>
        <w:t>والمحقق</w:t>
      </w:r>
      <w:r w:rsidR="00E8128F">
        <w:rPr>
          <w:sz w:val="36"/>
          <w:szCs w:val="36"/>
          <w:rtl/>
        </w:rPr>
        <w:t xml:space="preserve"> </w:t>
      </w:r>
      <w:r w:rsidRPr="00FD211F">
        <w:rPr>
          <w:sz w:val="36"/>
          <w:szCs w:val="36"/>
          <w:rtl/>
        </w:rPr>
        <w:t>العراقي</w:t>
      </w:r>
      <w:r w:rsidR="00E8128F">
        <w:rPr>
          <w:sz w:val="36"/>
          <w:szCs w:val="36"/>
          <w:rtl/>
        </w:rPr>
        <w:t xml:space="preserve"> </w:t>
      </w:r>
      <w:r w:rsidR="00F84C32" w:rsidRPr="00FD211F">
        <w:rPr>
          <w:sz w:val="36"/>
          <w:szCs w:val="36"/>
          <w:rtl/>
        </w:rPr>
        <w:t>"</w:t>
      </w:r>
      <w:r w:rsidRPr="00FD211F">
        <w:rPr>
          <w:sz w:val="36"/>
          <w:szCs w:val="36"/>
          <w:rtl/>
        </w:rPr>
        <w:t>قدهم</w:t>
      </w:r>
      <w:r w:rsidR="00F84C32"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القاعد</w:t>
      </w:r>
      <w:r w:rsidR="00EC7EDF" w:rsidRPr="00FD211F">
        <w:rPr>
          <w:sz w:val="36"/>
          <w:szCs w:val="36"/>
          <w:rtl/>
        </w:rPr>
        <w:t>ة</w:t>
      </w:r>
      <w:r w:rsidR="00E8128F">
        <w:rPr>
          <w:sz w:val="36"/>
          <w:szCs w:val="36"/>
          <w:rtl/>
        </w:rPr>
        <w:t xml:space="preserve"> </w:t>
      </w:r>
      <w:r w:rsidRPr="00FD211F">
        <w:rPr>
          <w:sz w:val="36"/>
          <w:szCs w:val="36"/>
          <w:rtl/>
        </w:rPr>
        <w:t>الاصولي</w:t>
      </w:r>
      <w:r w:rsidR="00EC7EDF" w:rsidRPr="00FD211F">
        <w:rPr>
          <w:sz w:val="36"/>
          <w:szCs w:val="36"/>
          <w:rtl/>
        </w:rPr>
        <w:t>ة</w:t>
      </w:r>
      <w:r w:rsidR="00E8128F">
        <w:rPr>
          <w:sz w:val="36"/>
          <w:szCs w:val="36"/>
          <w:rtl/>
        </w:rPr>
        <w:t xml:space="preserve"> </w:t>
      </w:r>
      <w:r w:rsidRPr="00FD211F">
        <w:rPr>
          <w:sz w:val="36"/>
          <w:szCs w:val="36"/>
          <w:rtl/>
        </w:rPr>
        <w:t>ينحصر</w:t>
      </w:r>
      <w:r w:rsidR="00E8128F">
        <w:rPr>
          <w:sz w:val="36"/>
          <w:szCs w:val="36"/>
          <w:rtl/>
        </w:rPr>
        <w:t xml:space="preserve"> </w:t>
      </w:r>
      <w:r w:rsidRPr="00FD211F">
        <w:rPr>
          <w:sz w:val="36"/>
          <w:szCs w:val="36"/>
          <w:rtl/>
        </w:rPr>
        <w:t>امر</w:t>
      </w:r>
      <w:r w:rsidR="00E8128F">
        <w:rPr>
          <w:sz w:val="36"/>
          <w:szCs w:val="36"/>
          <w:rtl/>
        </w:rPr>
        <w:t xml:space="preserve"> </w:t>
      </w:r>
      <w:r w:rsidRPr="00FD211F">
        <w:rPr>
          <w:sz w:val="36"/>
          <w:szCs w:val="36"/>
          <w:rtl/>
        </w:rPr>
        <w:t>تطبيقها</w:t>
      </w:r>
      <w:r w:rsidR="00E8128F">
        <w:rPr>
          <w:sz w:val="36"/>
          <w:szCs w:val="36"/>
          <w:rtl/>
        </w:rPr>
        <w:t xml:space="preserve"> </w:t>
      </w:r>
      <w:r w:rsidRPr="00FD211F">
        <w:rPr>
          <w:sz w:val="36"/>
          <w:szCs w:val="36"/>
          <w:rtl/>
        </w:rPr>
        <w:t>بالمجتهد</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القاعد</w:t>
      </w:r>
      <w:r w:rsidR="00EC7EDF" w:rsidRPr="00FD211F">
        <w:rPr>
          <w:sz w:val="36"/>
          <w:szCs w:val="36"/>
          <w:rtl/>
        </w:rPr>
        <w:t>ة</w:t>
      </w:r>
      <w:r w:rsidR="00E8128F">
        <w:rPr>
          <w:sz w:val="36"/>
          <w:szCs w:val="36"/>
          <w:rtl/>
        </w:rPr>
        <w:t xml:space="preserve"> </w:t>
      </w:r>
      <w:r w:rsidRPr="00FD211F">
        <w:rPr>
          <w:sz w:val="36"/>
          <w:szCs w:val="36"/>
          <w:rtl/>
        </w:rPr>
        <w:t>الفقهي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000F38CC" w:rsidRPr="00FD211F">
        <w:rPr>
          <w:sz w:val="36"/>
          <w:szCs w:val="36"/>
          <w:rtl/>
        </w:rPr>
        <w:t>يمكن</w:t>
      </w:r>
      <w:r w:rsidR="00E8128F">
        <w:rPr>
          <w:sz w:val="36"/>
          <w:szCs w:val="36"/>
          <w:rtl/>
        </w:rPr>
        <w:t xml:space="preserve"> </w:t>
      </w:r>
      <w:r w:rsidR="000F38CC" w:rsidRPr="00FD211F">
        <w:rPr>
          <w:sz w:val="36"/>
          <w:szCs w:val="36"/>
          <w:rtl/>
        </w:rPr>
        <w:t>القاءها</w:t>
      </w:r>
      <w:r w:rsidR="00E8128F">
        <w:rPr>
          <w:sz w:val="36"/>
          <w:szCs w:val="36"/>
          <w:rtl/>
        </w:rPr>
        <w:t xml:space="preserve"> </w:t>
      </w:r>
      <w:r w:rsidR="000F38CC" w:rsidRPr="00FD211F">
        <w:rPr>
          <w:sz w:val="36"/>
          <w:szCs w:val="36"/>
          <w:rtl/>
        </w:rPr>
        <w:t>الى</w:t>
      </w:r>
      <w:r w:rsidR="00E8128F">
        <w:rPr>
          <w:sz w:val="36"/>
          <w:szCs w:val="36"/>
          <w:rtl/>
        </w:rPr>
        <w:t xml:space="preserve"> </w:t>
      </w:r>
      <w:r w:rsidR="000F38CC" w:rsidRPr="00FD211F">
        <w:rPr>
          <w:sz w:val="36"/>
          <w:szCs w:val="36"/>
          <w:rtl/>
        </w:rPr>
        <w:t>العامي</w:t>
      </w:r>
      <w:r w:rsidR="00E8128F">
        <w:rPr>
          <w:sz w:val="36"/>
          <w:szCs w:val="36"/>
          <w:rtl/>
        </w:rPr>
        <w:t xml:space="preserve"> </w:t>
      </w:r>
      <w:r w:rsidR="000F38CC" w:rsidRPr="00FD211F">
        <w:rPr>
          <w:sz w:val="36"/>
          <w:szCs w:val="36"/>
          <w:rtl/>
        </w:rPr>
        <w:t>مباشر</w:t>
      </w:r>
      <w:r w:rsidR="00EC7EDF" w:rsidRPr="00FD211F">
        <w:rPr>
          <w:sz w:val="36"/>
          <w:szCs w:val="36"/>
          <w:rtl/>
        </w:rPr>
        <w:t>ة</w:t>
      </w:r>
      <w:r w:rsidR="00A61BAE" w:rsidRPr="00FD211F">
        <w:rPr>
          <w:sz w:val="36"/>
          <w:szCs w:val="36"/>
          <w:rtl/>
        </w:rPr>
        <w:t>.</w:t>
      </w:r>
    </w:p>
    <w:p w14:paraId="7DB6EAA3" w14:textId="77777777" w:rsidR="009C21F4" w:rsidRPr="00FD211F" w:rsidRDefault="009C21F4" w:rsidP="00C05017">
      <w:pPr>
        <w:ind w:left="0" w:firstLine="227"/>
        <w:jc w:val="both"/>
        <w:rPr>
          <w:sz w:val="36"/>
          <w:szCs w:val="36"/>
          <w:rtl/>
        </w:rPr>
      </w:pPr>
      <w:r w:rsidRPr="00FD211F">
        <w:rPr>
          <w:sz w:val="36"/>
          <w:szCs w:val="36"/>
          <w:rtl/>
        </w:rPr>
        <w:t>ويورد</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بالنقض</w:t>
      </w:r>
      <w:r w:rsidR="00E8128F">
        <w:rPr>
          <w:sz w:val="36"/>
          <w:szCs w:val="36"/>
          <w:rtl/>
        </w:rPr>
        <w:t xml:space="preserve"> </w:t>
      </w:r>
      <w:r w:rsidR="00A34A3F" w:rsidRPr="00FD211F">
        <w:rPr>
          <w:sz w:val="36"/>
          <w:szCs w:val="36"/>
          <w:rtl/>
        </w:rPr>
        <w:t>بقاعد</w:t>
      </w:r>
      <w:r w:rsidR="00EC7EDF" w:rsidRPr="00FD211F">
        <w:rPr>
          <w:sz w:val="36"/>
          <w:szCs w:val="36"/>
          <w:rtl/>
        </w:rPr>
        <w:t>ة</w:t>
      </w:r>
      <w:r w:rsidR="00E8128F">
        <w:rPr>
          <w:sz w:val="36"/>
          <w:szCs w:val="36"/>
          <w:rtl/>
        </w:rPr>
        <w:t xml:space="preserve"> </w:t>
      </w:r>
      <w:r w:rsidR="00A34A3F" w:rsidRPr="00FD211F">
        <w:rPr>
          <w:sz w:val="36"/>
          <w:szCs w:val="36"/>
          <w:rtl/>
        </w:rPr>
        <w:t>ما</w:t>
      </w:r>
      <w:r w:rsidR="00E8128F">
        <w:rPr>
          <w:sz w:val="36"/>
          <w:szCs w:val="36"/>
          <w:rtl/>
        </w:rPr>
        <w:t xml:space="preserve"> </w:t>
      </w:r>
      <w:r w:rsidR="00A34A3F" w:rsidRPr="00FD211F">
        <w:rPr>
          <w:sz w:val="36"/>
          <w:szCs w:val="36"/>
          <w:rtl/>
        </w:rPr>
        <w:t>يضمن</w:t>
      </w:r>
      <w:r w:rsidR="00E8128F">
        <w:rPr>
          <w:sz w:val="36"/>
          <w:szCs w:val="36"/>
          <w:rtl/>
        </w:rPr>
        <w:t xml:space="preserve"> </w:t>
      </w:r>
      <w:r w:rsidR="00A34A3F" w:rsidRPr="00FD211F">
        <w:rPr>
          <w:sz w:val="36"/>
          <w:szCs w:val="36"/>
          <w:rtl/>
        </w:rPr>
        <w:t>بصحيحه</w:t>
      </w:r>
      <w:r w:rsidR="00E8128F">
        <w:rPr>
          <w:sz w:val="36"/>
          <w:szCs w:val="36"/>
          <w:rtl/>
        </w:rPr>
        <w:t xml:space="preserve"> </w:t>
      </w:r>
      <w:r w:rsidR="00A34A3F" w:rsidRPr="00FD211F">
        <w:rPr>
          <w:sz w:val="36"/>
          <w:szCs w:val="36"/>
          <w:rtl/>
        </w:rPr>
        <w:t>يضمن</w:t>
      </w:r>
      <w:r w:rsidR="00E8128F">
        <w:rPr>
          <w:sz w:val="36"/>
          <w:szCs w:val="36"/>
          <w:rtl/>
        </w:rPr>
        <w:t xml:space="preserve"> </w:t>
      </w:r>
      <w:r w:rsidR="00A34A3F" w:rsidRPr="00FD211F">
        <w:rPr>
          <w:sz w:val="36"/>
          <w:szCs w:val="36"/>
          <w:rtl/>
        </w:rPr>
        <w:t>بفاسده</w:t>
      </w:r>
      <w:r w:rsidR="00E8128F">
        <w:rPr>
          <w:sz w:val="36"/>
          <w:szCs w:val="36"/>
          <w:rtl/>
        </w:rPr>
        <w:t xml:space="preserve"> </w:t>
      </w:r>
      <w:r w:rsidR="00A34A3F" w:rsidRPr="00FD211F">
        <w:rPr>
          <w:sz w:val="36"/>
          <w:szCs w:val="36"/>
          <w:rtl/>
        </w:rPr>
        <w:t>وما</w:t>
      </w:r>
      <w:r w:rsidR="00E8128F">
        <w:rPr>
          <w:sz w:val="36"/>
          <w:szCs w:val="36"/>
          <w:rtl/>
        </w:rPr>
        <w:t xml:space="preserve"> </w:t>
      </w:r>
      <w:r w:rsidR="00A34A3F" w:rsidRPr="00FD211F">
        <w:rPr>
          <w:sz w:val="36"/>
          <w:szCs w:val="36"/>
          <w:rtl/>
        </w:rPr>
        <w:t>لايضمن</w:t>
      </w:r>
      <w:r w:rsidR="00E8128F">
        <w:rPr>
          <w:sz w:val="36"/>
          <w:szCs w:val="36"/>
          <w:rtl/>
        </w:rPr>
        <w:t xml:space="preserve"> </w:t>
      </w:r>
      <w:r w:rsidR="00550141" w:rsidRPr="00FD211F">
        <w:rPr>
          <w:sz w:val="36"/>
          <w:szCs w:val="36"/>
          <w:rtl/>
        </w:rPr>
        <w:t>بصحيحه</w:t>
      </w:r>
      <w:r w:rsidR="00E8128F">
        <w:rPr>
          <w:sz w:val="36"/>
          <w:szCs w:val="36"/>
          <w:rtl/>
        </w:rPr>
        <w:t xml:space="preserve"> </w:t>
      </w:r>
      <w:r w:rsidR="00A34A3F" w:rsidRPr="00FD211F">
        <w:rPr>
          <w:sz w:val="36"/>
          <w:szCs w:val="36"/>
          <w:rtl/>
        </w:rPr>
        <w:t>لايضمن</w:t>
      </w:r>
      <w:r w:rsidR="00E8128F">
        <w:rPr>
          <w:sz w:val="36"/>
          <w:szCs w:val="36"/>
          <w:rtl/>
        </w:rPr>
        <w:t xml:space="preserve"> </w:t>
      </w:r>
      <w:r w:rsidR="00A34A3F" w:rsidRPr="00FD211F">
        <w:rPr>
          <w:sz w:val="36"/>
          <w:szCs w:val="36"/>
          <w:rtl/>
        </w:rPr>
        <w:t>بفاسده</w:t>
      </w:r>
      <w:r w:rsidR="00603323" w:rsidRPr="00FD211F">
        <w:rPr>
          <w:sz w:val="36"/>
          <w:szCs w:val="36"/>
          <w:rtl/>
        </w:rPr>
        <w:t>،</w:t>
      </w:r>
      <w:r w:rsidR="00E8128F">
        <w:rPr>
          <w:sz w:val="36"/>
          <w:szCs w:val="36"/>
          <w:rtl/>
        </w:rPr>
        <w:t xml:space="preserve"> </w:t>
      </w:r>
      <w:r w:rsidR="00A34A3F" w:rsidRPr="00FD211F">
        <w:rPr>
          <w:sz w:val="36"/>
          <w:szCs w:val="36"/>
          <w:rtl/>
        </w:rPr>
        <w:t>وكذا</w:t>
      </w:r>
      <w:r w:rsidR="00E8128F">
        <w:rPr>
          <w:sz w:val="36"/>
          <w:szCs w:val="36"/>
          <w:rtl/>
        </w:rPr>
        <w:t xml:space="preserve"> </w:t>
      </w:r>
      <w:r w:rsidR="00A34A3F" w:rsidRPr="00FD211F">
        <w:rPr>
          <w:sz w:val="36"/>
          <w:szCs w:val="36"/>
          <w:rtl/>
        </w:rPr>
        <w:t>قاعد</w:t>
      </w:r>
      <w:r w:rsidR="00EC7EDF" w:rsidRPr="00FD211F">
        <w:rPr>
          <w:sz w:val="36"/>
          <w:szCs w:val="36"/>
          <w:rtl/>
        </w:rPr>
        <w:t>ة</w:t>
      </w:r>
      <w:r w:rsidR="00E8128F">
        <w:rPr>
          <w:sz w:val="36"/>
          <w:szCs w:val="36"/>
          <w:rtl/>
        </w:rPr>
        <w:t xml:space="preserve"> </w:t>
      </w:r>
      <w:r w:rsidR="00A34A3F" w:rsidRPr="00FD211F">
        <w:rPr>
          <w:sz w:val="36"/>
          <w:szCs w:val="36"/>
          <w:rtl/>
        </w:rPr>
        <w:t>بطلان</w:t>
      </w:r>
      <w:r w:rsidR="00E8128F">
        <w:rPr>
          <w:sz w:val="36"/>
          <w:szCs w:val="36"/>
          <w:rtl/>
        </w:rPr>
        <w:t xml:space="preserve"> </w:t>
      </w:r>
      <w:r w:rsidR="00A34A3F" w:rsidRPr="00FD211F">
        <w:rPr>
          <w:sz w:val="36"/>
          <w:szCs w:val="36"/>
          <w:rtl/>
        </w:rPr>
        <w:t>الشرط</w:t>
      </w:r>
      <w:r w:rsidR="00E8128F">
        <w:rPr>
          <w:sz w:val="36"/>
          <w:szCs w:val="36"/>
          <w:rtl/>
        </w:rPr>
        <w:t xml:space="preserve"> </w:t>
      </w:r>
      <w:r w:rsidR="00A34A3F" w:rsidRPr="00FD211F">
        <w:rPr>
          <w:sz w:val="36"/>
          <w:szCs w:val="36"/>
          <w:rtl/>
        </w:rPr>
        <w:t>المخالف</w:t>
      </w:r>
      <w:r w:rsidR="00E8128F">
        <w:rPr>
          <w:sz w:val="36"/>
          <w:szCs w:val="36"/>
          <w:rtl/>
        </w:rPr>
        <w:t xml:space="preserve"> </w:t>
      </w:r>
      <w:r w:rsidR="00A34A3F" w:rsidRPr="00FD211F">
        <w:rPr>
          <w:sz w:val="36"/>
          <w:szCs w:val="36"/>
          <w:rtl/>
        </w:rPr>
        <w:t>للكتاب</w:t>
      </w:r>
      <w:r w:rsidR="00E8128F">
        <w:rPr>
          <w:sz w:val="36"/>
          <w:szCs w:val="36"/>
          <w:rtl/>
        </w:rPr>
        <w:t xml:space="preserve"> </w:t>
      </w:r>
      <w:r w:rsidR="00A34A3F" w:rsidRPr="00FD211F">
        <w:rPr>
          <w:sz w:val="36"/>
          <w:szCs w:val="36"/>
          <w:rtl/>
        </w:rPr>
        <w:t>والسن</w:t>
      </w:r>
      <w:r w:rsidR="00EC7EDF" w:rsidRPr="00FD211F">
        <w:rPr>
          <w:sz w:val="36"/>
          <w:szCs w:val="36"/>
          <w:rtl/>
        </w:rPr>
        <w:t>ة</w:t>
      </w:r>
      <w:r w:rsidR="00E8128F">
        <w:rPr>
          <w:sz w:val="36"/>
          <w:szCs w:val="36"/>
          <w:rtl/>
        </w:rPr>
        <w:t xml:space="preserve"> </w:t>
      </w:r>
      <w:r w:rsidR="00A34A3F" w:rsidRPr="00FD211F">
        <w:rPr>
          <w:sz w:val="36"/>
          <w:szCs w:val="36"/>
          <w:rtl/>
        </w:rPr>
        <w:t>او</w:t>
      </w:r>
      <w:r w:rsidR="00E8128F">
        <w:rPr>
          <w:sz w:val="36"/>
          <w:szCs w:val="36"/>
          <w:rtl/>
        </w:rPr>
        <w:t xml:space="preserve"> </w:t>
      </w:r>
      <w:r w:rsidR="00A34A3F" w:rsidRPr="00FD211F">
        <w:rPr>
          <w:sz w:val="36"/>
          <w:szCs w:val="36"/>
          <w:rtl/>
        </w:rPr>
        <w:t>قاعد</w:t>
      </w:r>
      <w:r w:rsidR="00EC7EDF" w:rsidRPr="00FD211F">
        <w:rPr>
          <w:sz w:val="36"/>
          <w:szCs w:val="36"/>
          <w:rtl/>
        </w:rPr>
        <w:t>ة</w:t>
      </w:r>
      <w:r w:rsidR="00E8128F">
        <w:rPr>
          <w:sz w:val="36"/>
          <w:szCs w:val="36"/>
          <w:rtl/>
        </w:rPr>
        <w:t xml:space="preserve"> </w:t>
      </w:r>
      <w:r w:rsidR="00A34A3F" w:rsidRPr="00FD211F">
        <w:rPr>
          <w:sz w:val="36"/>
          <w:szCs w:val="36"/>
          <w:rtl/>
        </w:rPr>
        <w:t>التسامح</w:t>
      </w:r>
      <w:r w:rsidR="00E8128F">
        <w:rPr>
          <w:sz w:val="36"/>
          <w:szCs w:val="36"/>
          <w:rtl/>
        </w:rPr>
        <w:t xml:space="preserve"> </w:t>
      </w:r>
      <w:r w:rsidR="00A34A3F" w:rsidRPr="00FD211F">
        <w:rPr>
          <w:sz w:val="36"/>
          <w:szCs w:val="36"/>
          <w:rtl/>
        </w:rPr>
        <w:t>في</w:t>
      </w:r>
      <w:r w:rsidR="00E8128F">
        <w:rPr>
          <w:sz w:val="36"/>
          <w:szCs w:val="36"/>
          <w:rtl/>
        </w:rPr>
        <w:t xml:space="preserve"> </w:t>
      </w:r>
      <w:r w:rsidR="00A34A3F" w:rsidRPr="00FD211F">
        <w:rPr>
          <w:sz w:val="36"/>
          <w:szCs w:val="36"/>
          <w:rtl/>
        </w:rPr>
        <w:t>ادل</w:t>
      </w:r>
      <w:r w:rsidR="00EC7EDF" w:rsidRPr="00FD211F">
        <w:rPr>
          <w:sz w:val="36"/>
          <w:szCs w:val="36"/>
          <w:rtl/>
        </w:rPr>
        <w:t>ة</w:t>
      </w:r>
      <w:r w:rsidR="00E8128F">
        <w:rPr>
          <w:sz w:val="36"/>
          <w:szCs w:val="36"/>
          <w:rtl/>
        </w:rPr>
        <w:t xml:space="preserve"> </w:t>
      </w:r>
      <w:r w:rsidR="00A34A3F" w:rsidRPr="00FD211F">
        <w:rPr>
          <w:sz w:val="36"/>
          <w:szCs w:val="36"/>
          <w:rtl/>
        </w:rPr>
        <w:lastRenderedPageBreak/>
        <w:t>السنن</w:t>
      </w:r>
      <w:r w:rsidR="00603323" w:rsidRPr="00FD211F">
        <w:rPr>
          <w:sz w:val="36"/>
          <w:szCs w:val="36"/>
          <w:rtl/>
        </w:rPr>
        <w:t>،</w:t>
      </w:r>
      <w:r w:rsidR="00E8128F">
        <w:rPr>
          <w:sz w:val="36"/>
          <w:szCs w:val="36"/>
          <w:rtl/>
        </w:rPr>
        <w:t xml:space="preserve"> </w:t>
      </w:r>
      <w:r w:rsidR="00A34A3F" w:rsidRPr="00FD211F">
        <w:rPr>
          <w:sz w:val="36"/>
          <w:szCs w:val="36"/>
          <w:rtl/>
        </w:rPr>
        <w:t>بناء</w:t>
      </w:r>
      <w:r w:rsidR="00E8128F">
        <w:rPr>
          <w:sz w:val="36"/>
          <w:szCs w:val="36"/>
          <w:rtl/>
        </w:rPr>
        <w:t xml:space="preserve"> </w:t>
      </w:r>
      <w:r w:rsidR="00A34A3F" w:rsidRPr="00FD211F">
        <w:rPr>
          <w:sz w:val="36"/>
          <w:szCs w:val="36"/>
          <w:rtl/>
        </w:rPr>
        <w:t>على</w:t>
      </w:r>
      <w:r w:rsidR="00E8128F">
        <w:rPr>
          <w:sz w:val="36"/>
          <w:szCs w:val="36"/>
          <w:rtl/>
        </w:rPr>
        <w:t xml:space="preserve"> </w:t>
      </w:r>
      <w:r w:rsidR="00A34A3F" w:rsidRPr="00FD211F">
        <w:rPr>
          <w:sz w:val="36"/>
          <w:szCs w:val="36"/>
          <w:rtl/>
        </w:rPr>
        <w:t>كون</w:t>
      </w:r>
      <w:r w:rsidR="00E8128F">
        <w:rPr>
          <w:sz w:val="36"/>
          <w:szCs w:val="36"/>
          <w:rtl/>
        </w:rPr>
        <w:t xml:space="preserve"> </w:t>
      </w:r>
      <w:r w:rsidR="00A34A3F" w:rsidRPr="00FD211F">
        <w:rPr>
          <w:sz w:val="36"/>
          <w:szCs w:val="36"/>
          <w:rtl/>
        </w:rPr>
        <w:t>مفادها</w:t>
      </w:r>
      <w:r w:rsidR="00E8128F">
        <w:rPr>
          <w:sz w:val="36"/>
          <w:szCs w:val="36"/>
          <w:rtl/>
        </w:rPr>
        <w:t xml:space="preserve"> </w:t>
      </w:r>
      <w:r w:rsidR="00A34A3F" w:rsidRPr="00FD211F">
        <w:rPr>
          <w:sz w:val="36"/>
          <w:szCs w:val="36"/>
          <w:rtl/>
        </w:rPr>
        <w:t>استحباب</w:t>
      </w:r>
      <w:r w:rsidR="00E8128F">
        <w:rPr>
          <w:sz w:val="36"/>
          <w:szCs w:val="36"/>
          <w:rtl/>
        </w:rPr>
        <w:t xml:space="preserve"> </w:t>
      </w:r>
      <w:r w:rsidR="00A34A3F" w:rsidRPr="00FD211F">
        <w:rPr>
          <w:sz w:val="36"/>
          <w:szCs w:val="36"/>
          <w:rtl/>
        </w:rPr>
        <w:t>العمل</w:t>
      </w:r>
      <w:r w:rsidR="00E8128F">
        <w:rPr>
          <w:sz w:val="36"/>
          <w:szCs w:val="36"/>
          <w:rtl/>
        </w:rPr>
        <w:t xml:space="preserve"> </w:t>
      </w:r>
      <w:r w:rsidR="00A34A3F" w:rsidRPr="00FD211F">
        <w:rPr>
          <w:sz w:val="36"/>
          <w:szCs w:val="36"/>
          <w:rtl/>
        </w:rPr>
        <w:t>البالغ</w:t>
      </w:r>
      <w:r w:rsidR="00E8128F">
        <w:rPr>
          <w:sz w:val="36"/>
          <w:szCs w:val="36"/>
          <w:rtl/>
        </w:rPr>
        <w:t xml:space="preserve"> </w:t>
      </w:r>
      <w:r w:rsidR="00A34A3F" w:rsidRPr="00FD211F">
        <w:rPr>
          <w:sz w:val="36"/>
          <w:szCs w:val="36"/>
          <w:rtl/>
        </w:rPr>
        <w:t>عليه</w:t>
      </w:r>
      <w:r w:rsidR="00E8128F">
        <w:rPr>
          <w:sz w:val="36"/>
          <w:szCs w:val="36"/>
          <w:rtl/>
        </w:rPr>
        <w:t xml:space="preserve"> </w:t>
      </w:r>
      <w:r w:rsidR="00A34A3F" w:rsidRPr="00FD211F">
        <w:rPr>
          <w:sz w:val="36"/>
          <w:szCs w:val="36"/>
          <w:rtl/>
        </w:rPr>
        <w:t>الثواب</w:t>
      </w:r>
      <w:r w:rsidR="00E8128F">
        <w:rPr>
          <w:sz w:val="36"/>
          <w:szCs w:val="36"/>
          <w:rtl/>
        </w:rPr>
        <w:t xml:space="preserve"> </w:t>
      </w:r>
      <w:r w:rsidR="00A34A3F" w:rsidRPr="00FD211F">
        <w:rPr>
          <w:sz w:val="36"/>
          <w:szCs w:val="36"/>
          <w:rtl/>
        </w:rPr>
        <w:t>بعنوان</w:t>
      </w:r>
      <w:r w:rsidR="00E8128F">
        <w:rPr>
          <w:sz w:val="36"/>
          <w:szCs w:val="36"/>
          <w:rtl/>
        </w:rPr>
        <w:t xml:space="preserve"> </w:t>
      </w:r>
      <w:commentRangeStart w:id="36"/>
      <w:r w:rsidR="00A34A3F" w:rsidRPr="00FD211F">
        <w:rPr>
          <w:sz w:val="36"/>
          <w:szCs w:val="36"/>
          <w:rtl/>
        </w:rPr>
        <w:t>ثانوي</w:t>
      </w:r>
      <w:commentRangeEnd w:id="36"/>
      <w:r w:rsidR="00C05017">
        <w:rPr>
          <w:rStyle w:val="ab"/>
          <w:rtl/>
        </w:rPr>
        <w:commentReference w:id="36"/>
      </w:r>
      <w:r w:rsidR="00603323" w:rsidRPr="00FD211F">
        <w:rPr>
          <w:sz w:val="36"/>
          <w:szCs w:val="36"/>
          <w:rtl/>
        </w:rPr>
        <w:t>،</w:t>
      </w:r>
      <w:r w:rsidR="00E8128F">
        <w:rPr>
          <w:sz w:val="36"/>
          <w:szCs w:val="36"/>
          <w:rtl/>
        </w:rPr>
        <w:t xml:space="preserve"> </w:t>
      </w:r>
      <w:r w:rsidR="00550141" w:rsidRPr="00FD211F">
        <w:rPr>
          <w:sz w:val="36"/>
          <w:szCs w:val="36"/>
          <w:rtl/>
        </w:rPr>
        <w:t>فانه</w:t>
      </w:r>
      <w:r w:rsidR="00E8128F">
        <w:rPr>
          <w:sz w:val="36"/>
          <w:szCs w:val="36"/>
          <w:rtl/>
        </w:rPr>
        <w:t xml:space="preserve"> </w:t>
      </w:r>
      <w:r w:rsidR="00550141" w:rsidRPr="00FD211F">
        <w:rPr>
          <w:sz w:val="36"/>
          <w:szCs w:val="36"/>
          <w:rtl/>
        </w:rPr>
        <w:t>لايتيسر</w:t>
      </w:r>
      <w:r w:rsidR="00E8128F">
        <w:rPr>
          <w:sz w:val="36"/>
          <w:szCs w:val="36"/>
          <w:rtl/>
        </w:rPr>
        <w:t xml:space="preserve"> </w:t>
      </w:r>
      <w:r w:rsidR="00550141" w:rsidRPr="00FD211F">
        <w:rPr>
          <w:sz w:val="36"/>
          <w:szCs w:val="36"/>
          <w:rtl/>
        </w:rPr>
        <w:t>للعامي</w:t>
      </w:r>
      <w:r w:rsidR="00E8128F">
        <w:rPr>
          <w:sz w:val="36"/>
          <w:szCs w:val="36"/>
          <w:rtl/>
        </w:rPr>
        <w:t xml:space="preserve"> </w:t>
      </w:r>
      <w:r w:rsidR="00550141" w:rsidRPr="00FD211F">
        <w:rPr>
          <w:sz w:val="36"/>
          <w:szCs w:val="36"/>
          <w:rtl/>
        </w:rPr>
        <w:t>تطبيق</w:t>
      </w:r>
      <w:r w:rsidR="00E8128F">
        <w:rPr>
          <w:sz w:val="36"/>
          <w:szCs w:val="36"/>
          <w:rtl/>
        </w:rPr>
        <w:t xml:space="preserve"> </w:t>
      </w:r>
      <w:r w:rsidR="00550141" w:rsidRPr="00FD211F">
        <w:rPr>
          <w:sz w:val="36"/>
          <w:szCs w:val="36"/>
          <w:rtl/>
        </w:rPr>
        <w:t>هذه</w:t>
      </w:r>
      <w:r w:rsidR="00E8128F">
        <w:rPr>
          <w:sz w:val="36"/>
          <w:szCs w:val="36"/>
          <w:rtl/>
        </w:rPr>
        <w:t xml:space="preserve"> </w:t>
      </w:r>
      <w:r w:rsidR="00550141" w:rsidRPr="00FD211F">
        <w:rPr>
          <w:sz w:val="36"/>
          <w:szCs w:val="36"/>
          <w:rtl/>
        </w:rPr>
        <w:t>القواعد</w:t>
      </w:r>
      <w:r w:rsidR="00E8128F">
        <w:rPr>
          <w:sz w:val="36"/>
          <w:szCs w:val="36"/>
          <w:rtl/>
        </w:rPr>
        <w:t xml:space="preserve"> </w:t>
      </w:r>
      <w:r w:rsidR="00550141" w:rsidRPr="00FD211F">
        <w:rPr>
          <w:sz w:val="36"/>
          <w:szCs w:val="36"/>
          <w:rtl/>
        </w:rPr>
        <w:t>على</w:t>
      </w:r>
      <w:r w:rsidR="00E8128F">
        <w:rPr>
          <w:sz w:val="36"/>
          <w:szCs w:val="36"/>
          <w:rtl/>
        </w:rPr>
        <w:t xml:space="preserve"> </w:t>
      </w:r>
      <w:r w:rsidR="00550141" w:rsidRPr="00FD211F">
        <w:rPr>
          <w:sz w:val="36"/>
          <w:szCs w:val="36"/>
          <w:rtl/>
        </w:rPr>
        <w:t>صغرياتها.</w:t>
      </w:r>
    </w:p>
    <w:p w14:paraId="6D545CFB" w14:textId="77777777" w:rsidR="00861DF8" w:rsidRPr="00FD211F" w:rsidRDefault="00AA7E61" w:rsidP="009C58C8">
      <w:pPr>
        <w:ind w:left="0" w:firstLine="227"/>
        <w:jc w:val="both"/>
        <w:rPr>
          <w:sz w:val="36"/>
          <w:szCs w:val="36"/>
          <w:rtl/>
        </w:rPr>
      </w:pPr>
      <w:r w:rsidRPr="00FD211F">
        <w:rPr>
          <w:b/>
          <w:bCs/>
          <w:sz w:val="36"/>
          <w:szCs w:val="36"/>
          <w:rtl/>
        </w:rPr>
        <w:t>المحاول</w:t>
      </w:r>
      <w:r w:rsidR="00EC7EDF" w:rsidRPr="00FD211F">
        <w:rPr>
          <w:b/>
          <w:bCs/>
          <w:sz w:val="36"/>
          <w:szCs w:val="36"/>
          <w:rtl/>
        </w:rPr>
        <w:t>ة</w:t>
      </w:r>
      <w:r w:rsidR="00E8128F">
        <w:rPr>
          <w:b/>
          <w:bCs/>
          <w:sz w:val="36"/>
          <w:szCs w:val="36"/>
          <w:rtl/>
        </w:rPr>
        <w:t xml:space="preserve"> </w:t>
      </w: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حكي</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النائيني</w:t>
      </w:r>
      <w:r w:rsidR="00E8128F">
        <w:rPr>
          <w:sz w:val="36"/>
          <w:szCs w:val="36"/>
          <w:rtl/>
        </w:rPr>
        <w:t xml:space="preserve"> </w:t>
      </w:r>
      <w:r w:rsidR="00F84C32" w:rsidRPr="00FD211F">
        <w:rPr>
          <w:sz w:val="36"/>
          <w:szCs w:val="36"/>
          <w:rtl/>
        </w:rPr>
        <w:t>"</w:t>
      </w:r>
      <w:r w:rsidRPr="00FD211F">
        <w:rPr>
          <w:sz w:val="36"/>
          <w:szCs w:val="36"/>
          <w:rtl/>
        </w:rPr>
        <w:t>قده</w:t>
      </w:r>
      <w:r w:rsidR="00F84C32"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القاعد</w:t>
      </w:r>
      <w:r w:rsidR="00EC7EDF" w:rsidRPr="00FD211F">
        <w:rPr>
          <w:sz w:val="36"/>
          <w:szCs w:val="36"/>
          <w:rtl/>
        </w:rPr>
        <w:t>ة</w:t>
      </w:r>
      <w:r w:rsidR="00E8128F">
        <w:rPr>
          <w:sz w:val="36"/>
          <w:szCs w:val="36"/>
          <w:rtl/>
        </w:rPr>
        <w:t xml:space="preserve"> </w:t>
      </w:r>
      <w:r w:rsidRPr="00FD211F">
        <w:rPr>
          <w:sz w:val="36"/>
          <w:szCs w:val="36"/>
          <w:rtl/>
        </w:rPr>
        <w:t>الاصولي</w:t>
      </w:r>
      <w:r w:rsidR="00EC7EDF" w:rsidRPr="00FD211F">
        <w:rPr>
          <w:sz w:val="36"/>
          <w:szCs w:val="36"/>
          <w:rtl/>
        </w:rPr>
        <w:t>ة</w:t>
      </w:r>
      <w:r w:rsidR="00E8128F">
        <w:rPr>
          <w:sz w:val="36"/>
          <w:szCs w:val="36"/>
          <w:rtl/>
        </w:rPr>
        <w:t xml:space="preserve"> </w:t>
      </w:r>
      <w:r w:rsidRPr="00FD211F">
        <w:rPr>
          <w:sz w:val="36"/>
          <w:szCs w:val="36"/>
          <w:rtl/>
        </w:rPr>
        <w:t>لاتنتج</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حكما</w:t>
      </w:r>
      <w:r w:rsidR="00E8128F">
        <w:rPr>
          <w:sz w:val="36"/>
          <w:szCs w:val="36"/>
          <w:rtl/>
        </w:rPr>
        <w:t xml:space="preserve"> </w:t>
      </w:r>
      <w:r w:rsidRPr="00FD211F">
        <w:rPr>
          <w:sz w:val="36"/>
          <w:szCs w:val="36"/>
          <w:rtl/>
        </w:rPr>
        <w:t>كليا</w:t>
      </w:r>
      <w:r w:rsidR="00603323" w:rsidRPr="00FD211F">
        <w:rPr>
          <w:sz w:val="36"/>
          <w:szCs w:val="36"/>
          <w:rtl/>
        </w:rPr>
        <w:t>،</w:t>
      </w:r>
      <w:r w:rsidR="00E8128F">
        <w:rPr>
          <w:sz w:val="36"/>
          <w:szCs w:val="36"/>
          <w:rtl/>
        </w:rPr>
        <w:t xml:space="preserve"> </w:t>
      </w:r>
      <w:r w:rsidRPr="00FD211F">
        <w:rPr>
          <w:sz w:val="36"/>
          <w:szCs w:val="36"/>
          <w:rtl/>
        </w:rPr>
        <w:t>بخلاف</w:t>
      </w:r>
      <w:r w:rsidR="00E8128F">
        <w:rPr>
          <w:sz w:val="36"/>
          <w:szCs w:val="36"/>
          <w:rtl/>
        </w:rPr>
        <w:t xml:space="preserve"> </w:t>
      </w:r>
      <w:r w:rsidRPr="00FD211F">
        <w:rPr>
          <w:sz w:val="36"/>
          <w:szCs w:val="36"/>
          <w:rtl/>
        </w:rPr>
        <w:t>القاعد</w:t>
      </w:r>
      <w:r w:rsidR="00EC7EDF" w:rsidRPr="00FD211F">
        <w:rPr>
          <w:sz w:val="36"/>
          <w:szCs w:val="36"/>
          <w:rtl/>
        </w:rPr>
        <w:t>ة</w:t>
      </w:r>
      <w:r w:rsidR="00E8128F">
        <w:rPr>
          <w:sz w:val="36"/>
          <w:szCs w:val="36"/>
          <w:rtl/>
        </w:rPr>
        <w:t xml:space="preserve"> </w:t>
      </w:r>
      <w:r w:rsidRPr="00FD211F">
        <w:rPr>
          <w:sz w:val="36"/>
          <w:szCs w:val="36"/>
          <w:rtl/>
        </w:rPr>
        <w:t>الفقهي</w:t>
      </w:r>
      <w:r w:rsidR="00EC7EDF" w:rsidRPr="00FD211F">
        <w:rPr>
          <w:sz w:val="36"/>
          <w:szCs w:val="36"/>
          <w:rtl/>
        </w:rPr>
        <w:t>ة</w:t>
      </w:r>
      <w:r w:rsidR="00E8128F">
        <w:rPr>
          <w:sz w:val="36"/>
          <w:szCs w:val="36"/>
          <w:rtl/>
        </w:rPr>
        <w:t xml:space="preserve"> </w:t>
      </w:r>
      <w:r w:rsidR="00975935" w:rsidRPr="00FD211F">
        <w:rPr>
          <w:sz w:val="36"/>
          <w:szCs w:val="36"/>
          <w:rtl/>
        </w:rPr>
        <w:t>فانها</w:t>
      </w:r>
      <w:r w:rsidR="00E8128F">
        <w:rPr>
          <w:sz w:val="36"/>
          <w:szCs w:val="36"/>
          <w:rtl/>
        </w:rPr>
        <w:t xml:space="preserve"> </w:t>
      </w:r>
      <w:r w:rsidR="00975935" w:rsidRPr="00FD211F">
        <w:rPr>
          <w:sz w:val="36"/>
          <w:szCs w:val="36"/>
          <w:rtl/>
        </w:rPr>
        <w:t>تصلح</w:t>
      </w:r>
      <w:r w:rsidR="00E8128F">
        <w:rPr>
          <w:sz w:val="36"/>
          <w:szCs w:val="36"/>
          <w:rtl/>
        </w:rPr>
        <w:t xml:space="preserve"> </w:t>
      </w:r>
      <w:r w:rsidR="00975935" w:rsidRPr="00FD211F">
        <w:rPr>
          <w:sz w:val="36"/>
          <w:szCs w:val="36"/>
          <w:rtl/>
        </w:rPr>
        <w:t>لان</w:t>
      </w:r>
      <w:r w:rsidR="00E8128F">
        <w:rPr>
          <w:sz w:val="36"/>
          <w:szCs w:val="36"/>
          <w:rtl/>
        </w:rPr>
        <w:t xml:space="preserve"> </w:t>
      </w:r>
      <w:r w:rsidR="00975935" w:rsidRPr="00FD211F">
        <w:rPr>
          <w:sz w:val="36"/>
          <w:szCs w:val="36"/>
          <w:rtl/>
        </w:rPr>
        <w:t>تنتج</w:t>
      </w:r>
      <w:r w:rsidR="00E8128F">
        <w:rPr>
          <w:sz w:val="36"/>
          <w:szCs w:val="36"/>
          <w:rtl/>
        </w:rPr>
        <w:t xml:space="preserve"> </w:t>
      </w:r>
      <w:r w:rsidR="00975935" w:rsidRPr="00FD211F">
        <w:rPr>
          <w:sz w:val="36"/>
          <w:szCs w:val="36"/>
          <w:rtl/>
        </w:rPr>
        <w:t>حكما</w:t>
      </w:r>
      <w:r w:rsidR="00E8128F">
        <w:rPr>
          <w:sz w:val="36"/>
          <w:szCs w:val="36"/>
          <w:rtl/>
        </w:rPr>
        <w:t xml:space="preserve"> </w:t>
      </w:r>
      <w:r w:rsidR="00975935" w:rsidRPr="00FD211F">
        <w:rPr>
          <w:sz w:val="36"/>
          <w:szCs w:val="36"/>
          <w:rtl/>
        </w:rPr>
        <w:t>جزئيا</w:t>
      </w:r>
      <w:r w:rsidR="00E8128F">
        <w:rPr>
          <w:sz w:val="36"/>
          <w:szCs w:val="36"/>
          <w:rtl/>
        </w:rPr>
        <w:t xml:space="preserve"> </w:t>
      </w:r>
      <w:r w:rsidR="00975935" w:rsidRPr="00FD211F">
        <w:rPr>
          <w:sz w:val="36"/>
          <w:szCs w:val="36"/>
          <w:rtl/>
        </w:rPr>
        <w:t>نظير</w:t>
      </w:r>
      <w:r w:rsidR="00E8128F">
        <w:rPr>
          <w:sz w:val="36"/>
          <w:szCs w:val="36"/>
          <w:rtl/>
        </w:rPr>
        <w:t xml:space="preserve"> </w:t>
      </w:r>
      <w:r w:rsidR="00975935" w:rsidRPr="00FD211F">
        <w:rPr>
          <w:sz w:val="36"/>
          <w:szCs w:val="36"/>
          <w:rtl/>
        </w:rPr>
        <w:t>قاعد</w:t>
      </w:r>
      <w:r w:rsidR="00EC7EDF" w:rsidRPr="00FD211F">
        <w:rPr>
          <w:sz w:val="36"/>
          <w:szCs w:val="36"/>
          <w:rtl/>
        </w:rPr>
        <w:t>ة</w:t>
      </w:r>
      <w:r w:rsidR="00E8128F">
        <w:rPr>
          <w:sz w:val="36"/>
          <w:szCs w:val="36"/>
          <w:rtl/>
        </w:rPr>
        <w:t xml:space="preserve"> </w:t>
      </w:r>
      <w:r w:rsidR="00975935" w:rsidRPr="00FD211F">
        <w:rPr>
          <w:sz w:val="36"/>
          <w:szCs w:val="36"/>
          <w:rtl/>
        </w:rPr>
        <w:t>اليد</w:t>
      </w:r>
      <w:r w:rsidR="00E8128F">
        <w:rPr>
          <w:sz w:val="36"/>
          <w:szCs w:val="36"/>
          <w:rtl/>
        </w:rPr>
        <w:t xml:space="preserve"> </w:t>
      </w:r>
      <w:r w:rsidR="00975935" w:rsidRPr="00FD211F">
        <w:rPr>
          <w:sz w:val="36"/>
          <w:szCs w:val="36"/>
          <w:rtl/>
        </w:rPr>
        <w:t>مثلا</w:t>
      </w:r>
      <w:r w:rsidR="00E8128F">
        <w:rPr>
          <w:sz w:val="36"/>
          <w:szCs w:val="36"/>
          <w:rtl/>
        </w:rPr>
        <w:t xml:space="preserve"> </w:t>
      </w:r>
      <w:r w:rsidR="00975935" w:rsidRPr="00FD211F">
        <w:rPr>
          <w:sz w:val="36"/>
          <w:szCs w:val="36"/>
          <w:rtl/>
        </w:rPr>
        <w:t>فانها</w:t>
      </w:r>
      <w:r w:rsidR="00E8128F">
        <w:rPr>
          <w:sz w:val="36"/>
          <w:szCs w:val="36"/>
          <w:rtl/>
        </w:rPr>
        <w:t xml:space="preserve"> </w:t>
      </w:r>
      <w:r w:rsidR="00975935" w:rsidRPr="00FD211F">
        <w:rPr>
          <w:sz w:val="36"/>
          <w:szCs w:val="36"/>
          <w:rtl/>
        </w:rPr>
        <w:t>تكون</w:t>
      </w:r>
      <w:r w:rsidR="00E8128F">
        <w:rPr>
          <w:sz w:val="36"/>
          <w:szCs w:val="36"/>
          <w:rtl/>
        </w:rPr>
        <w:t xml:space="preserve"> </w:t>
      </w:r>
      <w:r w:rsidR="00975935" w:rsidRPr="00FD211F">
        <w:rPr>
          <w:sz w:val="36"/>
          <w:szCs w:val="36"/>
          <w:rtl/>
        </w:rPr>
        <w:t>حج</w:t>
      </w:r>
      <w:r w:rsidR="00EC7EDF" w:rsidRPr="00FD211F">
        <w:rPr>
          <w:sz w:val="36"/>
          <w:szCs w:val="36"/>
          <w:rtl/>
        </w:rPr>
        <w:t>ة</w:t>
      </w:r>
      <w:r w:rsidR="00E8128F">
        <w:rPr>
          <w:sz w:val="36"/>
          <w:szCs w:val="36"/>
          <w:rtl/>
        </w:rPr>
        <w:t xml:space="preserve"> </w:t>
      </w:r>
      <w:r w:rsidR="00975935" w:rsidRPr="00FD211F">
        <w:rPr>
          <w:sz w:val="36"/>
          <w:szCs w:val="36"/>
          <w:rtl/>
        </w:rPr>
        <w:t>على</w:t>
      </w:r>
      <w:r w:rsidR="00E8128F">
        <w:rPr>
          <w:sz w:val="36"/>
          <w:szCs w:val="36"/>
          <w:rtl/>
        </w:rPr>
        <w:t xml:space="preserve"> </w:t>
      </w:r>
      <w:r w:rsidR="00975935" w:rsidRPr="00FD211F">
        <w:rPr>
          <w:sz w:val="36"/>
          <w:szCs w:val="36"/>
          <w:rtl/>
        </w:rPr>
        <w:t>ملكي</w:t>
      </w:r>
      <w:r w:rsidR="00EC7EDF" w:rsidRPr="00FD211F">
        <w:rPr>
          <w:sz w:val="36"/>
          <w:szCs w:val="36"/>
          <w:rtl/>
        </w:rPr>
        <w:t>ة</w:t>
      </w:r>
      <w:r w:rsidR="00E8128F">
        <w:rPr>
          <w:sz w:val="36"/>
          <w:szCs w:val="36"/>
          <w:rtl/>
        </w:rPr>
        <w:t xml:space="preserve"> </w:t>
      </w:r>
      <w:r w:rsidR="00975935" w:rsidRPr="00FD211F">
        <w:rPr>
          <w:sz w:val="36"/>
          <w:szCs w:val="36"/>
          <w:rtl/>
        </w:rPr>
        <w:t>ذي</w:t>
      </w:r>
      <w:r w:rsidR="00E8128F">
        <w:rPr>
          <w:sz w:val="36"/>
          <w:szCs w:val="36"/>
          <w:rtl/>
        </w:rPr>
        <w:t xml:space="preserve"> </w:t>
      </w:r>
      <w:r w:rsidR="00975935" w:rsidRPr="00FD211F">
        <w:rPr>
          <w:sz w:val="36"/>
          <w:szCs w:val="36"/>
          <w:rtl/>
        </w:rPr>
        <w:t>اليد</w:t>
      </w:r>
      <w:r w:rsidR="00E8128F">
        <w:rPr>
          <w:sz w:val="36"/>
          <w:szCs w:val="36"/>
          <w:rtl/>
        </w:rPr>
        <w:t xml:space="preserve"> </w:t>
      </w:r>
      <w:r w:rsidR="00975935" w:rsidRPr="00FD211F">
        <w:rPr>
          <w:sz w:val="36"/>
          <w:szCs w:val="36"/>
          <w:rtl/>
        </w:rPr>
        <w:t>في</w:t>
      </w:r>
      <w:r w:rsidR="00E8128F">
        <w:rPr>
          <w:sz w:val="36"/>
          <w:szCs w:val="36"/>
          <w:rtl/>
        </w:rPr>
        <w:t xml:space="preserve"> </w:t>
      </w:r>
      <w:r w:rsidR="00975935" w:rsidRPr="00FD211F">
        <w:rPr>
          <w:sz w:val="36"/>
          <w:szCs w:val="36"/>
          <w:rtl/>
        </w:rPr>
        <w:t>الشبه</w:t>
      </w:r>
      <w:r w:rsidR="00EC7EDF" w:rsidRPr="00FD211F">
        <w:rPr>
          <w:sz w:val="36"/>
          <w:szCs w:val="36"/>
          <w:rtl/>
        </w:rPr>
        <w:t>ة</w:t>
      </w:r>
      <w:r w:rsidR="00E8128F">
        <w:rPr>
          <w:sz w:val="36"/>
          <w:szCs w:val="36"/>
          <w:rtl/>
        </w:rPr>
        <w:t xml:space="preserve"> </w:t>
      </w:r>
      <w:r w:rsidR="00975935" w:rsidRPr="00FD211F">
        <w:rPr>
          <w:sz w:val="36"/>
          <w:szCs w:val="36"/>
          <w:rtl/>
        </w:rPr>
        <w:t>الموضوعي</w:t>
      </w:r>
      <w:r w:rsidR="00EC7EDF" w:rsidRPr="00FD211F">
        <w:rPr>
          <w:sz w:val="36"/>
          <w:szCs w:val="36"/>
          <w:rtl/>
        </w:rPr>
        <w:t>ة</w:t>
      </w:r>
      <w:r w:rsidR="00603323" w:rsidRPr="00FD211F">
        <w:rPr>
          <w:sz w:val="36"/>
          <w:szCs w:val="36"/>
          <w:rtl/>
        </w:rPr>
        <w:t>،</w:t>
      </w:r>
      <w:r w:rsidR="00E8128F">
        <w:rPr>
          <w:sz w:val="36"/>
          <w:szCs w:val="36"/>
          <w:rtl/>
        </w:rPr>
        <w:t xml:space="preserve"> </w:t>
      </w:r>
      <w:r w:rsidR="00975935" w:rsidRPr="00FD211F">
        <w:rPr>
          <w:sz w:val="36"/>
          <w:szCs w:val="36"/>
          <w:rtl/>
        </w:rPr>
        <w:t>وملكيته</w:t>
      </w:r>
      <w:r w:rsidR="00E8128F">
        <w:rPr>
          <w:sz w:val="36"/>
          <w:szCs w:val="36"/>
          <w:rtl/>
        </w:rPr>
        <w:t xml:space="preserve"> </w:t>
      </w:r>
      <w:r w:rsidR="00861DF8" w:rsidRPr="00FD211F">
        <w:rPr>
          <w:sz w:val="36"/>
          <w:szCs w:val="36"/>
          <w:rtl/>
        </w:rPr>
        <w:t>فيها</w:t>
      </w:r>
      <w:r w:rsidR="00E8128F">
        <w:rPr>
          <w:sz w:val="36"/>
          <w:szCs w:val="36"/>
          <w:rtl/>
        </w:rPr>
        <w:t xml:space="preserve"> </w:t>
      </w:r>
      <w:r w:rsidR="00861DF8" w:rsidRPr="00FD211F">
        <w:rPr>
          <w:sz w:val="36"/>
          <w:szCs w:val="36"/>
          <w:rtl/>
        </w:rPr>
        <w:t>ليست</w:t>
      </w:r>
      <w:r w:rsidR="00E8128F">
        <w:rPr>
          <w:sz w:val="36"/>
          <w:szCs w:val="36"/>
          <w:rtl/>
        </w:rPr>
        <w:t xml:space="preserve"> </w:t>
      </w:r>
      <w:r w:rsidR="00861DF8" w:rsidRPr="00FD211F">
        <w:rPr>
          <w:sz w:val="36"/>
          <w:szCs w:val="36"/>
          <w:rtl/>
        </w:rPr>
        <w:t>مجعول</w:t>
      </w:r>
      <w:r w:rsidR="00EC7EDF" w:rsidRPr="00FD211F">
        <w:rPr>
          <w:sz w:val="36"/>
          <w:szCs w:val="36"/>
          <w:rtl/>
        </w:rPr>
        <w:t>ة</w:t>
      </w:r>
      <w:r w:rsidR="00E8128F">
        <w:rPr>
          <w:sz w:val="36"/>
          <w:szCs w:val="36"/>
          <w:rtl/>
        </w:rPr>
        <w:t xml:space="preserve"> </w:t>
      </w:r>
      <w:r w:rsidR="00861DF8" w:rsidRPr="00FD211F">
        <w:rPr>
          <w:sz w:val="36"/>
          <w:szCs w:val="36"/>
          <w:rtl/>
        </w:rPr>
        <w:t>بجعل</w:t>
      </w:r>
      <w:r w:rsidR="00E8128F">
        <w:rPr>
          <w:sz w:val="36"/>
          <w:szCs w:val="36"/>
          <w:rtl/>
        </w:rPr>
        <w:t xml:space="preserve"> </w:t>
      </w:r>
      <w:r w:rsidR="00861DF8" w:rsidRPr="00FD211F">
        <w:rPr>
          <w:sz w:val="36"/>
          <w:szCs w:val="36"/>
          <w:rtl/>
        </w:rPr>
        <w:t>شرعي</w:t>
      </w:r>
      <w:r w:rsidR="00E8128F">
        <w:rPr>
          <w:sz w:val="36"/>
          <w:szCs w:val="36"/>
          <w:rtl/>
        </w:rPr>
        <w:t xml:space="preserve"> </w:t>
      </w:r>
      <w:r w:rsidR="00861DF8" w:rsidRPr="00FD211F">
        <w:rPr>
          <w:sz w:val="36"/>
          <w:szCs w:val="36"/>
          <w:rtl/>
        </w:rPr>
        <w:t>كلي.</w:t>
      </w:r>
    </w:p>
    <w:p w14:paraId="58800D6E" w14:textId="77777777" w:rsidR="00AA7E61" w:rsidRPr="00FD211F" w:rsidRDefault="00861DF8" w:rsidP="009C58C8">
      <w:pPr>
        <w:ind w:left="0" w:firstLine="227"/>
        <w:jc w:val="both"/>
        <w:rPr>
          <w:sz w:val="36"/>
          <w:szCs w:val="36"/>
          <w:rtl/>
        </w:rPr>
      </w:pPr>
      <w:r w:rsidRPr="00FD211F">
        <w:rPr>
          <w:sz w:val="36"/>
          <w:szCs w:val="36"/>
          <w:rtl/>
        </w:rPr>
        <w:t>وفيه</w:t>
      </w:r>
      <w:r w:rsidR="00E8128F">
        <w:rPr>
          <w:sz w:val="36"/>
          <w:szCs w:val="36"/>
          <w:rtl/>
        </w:rPr>
        <w:t xml:space="preserve"> </w:t>
      </w:r>
      <w:r w:rsidRPr="00FD211F">
        <w:rPr>
          <w:sz w:val="36"/>
          <w:szCs w:val="36"/>
          <w:rtl/>
        </w:rPr>
        <w:t>ان</w:t>
      </w:r>
      <w:r w:rsidR="00E8128F">
        <w:rPr>
          <w:sz w:val="36"/>
          <w:szCs w:val="36"/>
          <w:rtl/>
        </w:rPr>
        <w:t xml:space="preserve"> </w:t>
      </w:r>
      <w:r w:rsidR="00AA7E61" w:rsidRPr="00FD211F">
        <w:rPr>
          <w:sz w:val="36"/>
          <w:szCs w:val="36"/>
          <w:rtl/>
        </w:rPr>
        <w:t>مثل</w:t>
      </w:r>
      <w:r w:rsidR="00E8128F">
        <w:rPr>
          <w:sz w:val="36"/>
          <w:szCs w:val="36"/>
          <w:rtl/>
        </w:rPr>
        <w:t xml:space="preserve"> </w:t>
      </w:r>
      <w:r w:rsidR="00AA7E61" w:rsidRPr="00FD211F">
        <w:rPr>
          <w:sz w:val="36"/>
          <w:szCs w:val="36"/>
          <w:rtl/>
        </w:rPr>
        <w:t>قاعد</w:t>
      </w:r>
      <w:r w:rsidR="00EC7EDF" w:rsidRPr="00FD211F">
        <w:rPr>
          <w:sz w:val="36"/>
          <w:szCs w:val="36"/>
          <w:rtl/>
        </w:rPr>
        <w:t>ة</w:t>
      </w:r>
      <w:r w:rsidR="00E8128F">
        <w:rPr>
          <w:sz w:val="36"/>
          <w:szCs w:val="36"/>
          <w:rtl/>
        </w:rPr>
        <w:t xml:space="preserve"> </w:t>
      </w:r>
      <w:r w:rsidR="00AA7E61" w:rsidRPr="00FD211F">
        <w:rPr>
          <w:sz w:val="36"/>
          <w:szCs w:val="36"/>
          <w:rtl/>
        </w:rPr>
        <w:t>ما</w:t>
      </w:r>
      <w:r w:rsidR="00E8128F">
        <w:rPr>
          <w:sz w:val="36"/>
          <w:szCs w:val="36"/>
          <w:rtl/>
        </w:rPr>
        <w:t xml:space="preserve"> </w:t>
      </w:r>
      <w:r w:rsidR="00AA7E61" w:rsidRPr="00FD211F">
        <w:rPr>
          <w:sz w:val="36"/>
          <w:szCs w:val="36"/>
          <w:rtl/>
        </w:rPr>
        <w:t>يضمن</w:t>
      </w:r>
      <w:r w:rsidR="00E8128F">
        <w:rPr>
          <w:sz w:val="36"/>
          <w:szCs w:val="36"/>
          <w:rtl/>
        </w:rPr>
        <w:t xml:space="preserve"> </w:t>
      </w:r>
      <w:r w:rsidR="00AA7E61" w:rsidRPr="00FD211F">
        <w:rPr>
          <w:sz w:val="36"/>
          <w:szCs w:val="36"/>
          <w:rtl/>
        </w:rPr>
        <w:t>وما</w:t>
      </w:r>
      <w:r w:rsidR="00E8128F">
        <w:rPr>
          <w:sz w:val="36"/>
          <w:szCs w:val="36"/>
          <w:rtl/>
        </w:rPr>
        <w:t xml:space="preserve"> </w:t>
      </w:r>
      <w:r w:rsidR="00AA7E61" w:rsidRPr="00FD211F">
        <w:rPr>
          <w:sz w:val="36"/>
          <w:szCs w:val="36"/>
          <w:rtl/>
        </w:rPr>
        <w:t>لايضمن</w:t>
      </w:r>
      <w:r w:rsidR="00E8128F">
        <w:rPr>
          <w:sz w:val="36"/>
          <w:szCs w:val="36"/>
          <w:rtl/>
        </w:rPr>
        <w:t xml:space="preserve"> </w:t>
      </w:r>
      <w:r w:rsidR="00AA7E61" w:rsidRPr="00FD211F">
        <w:rPr>
          <w:sz w:val="36"/>
          <w:szCs w:val="36"/>
          <w:rtl/>
        </w:rPr>
        <w:t>او</w:t>
      </w:r>
      <w:r w:rsidR="00E8128F">
        <w:rPr>
          <w:sz w:val="36"/>
          <w:szCs w:val="36"/>
          <w:rtl/>
        </w:rPr>
        <w:t xml:space="preserve"> </w:t>
      </w:r>
      <w:r w:rsidR="00AA7E61" w:rsidRPr="00FD211F">
        <w:rPr>
          <w:sz w:val="36"/>
          <w:szCs w:val="36"/>
          <w:rtl/>
        </w:rPr>
        <w:t>قاعد</w:t>
      </w:r>
      <w:r w:rsidR="00EC7EDF" w:rsidRPr="00FD211F">
        <w:rPr>
          <w:sz w:val="36"/>
          <w:szCs w:val="36"/>
          <w:rtl/>
        </w:rPr>
        <w:t>ة</w:t>
      </w:r>
      <w:r w:rsidR="00E8128F">
        <w:rPr>
          <w:sz w:val="36"/>
          <w:szCs w:val="36"/>
          <w:rtl/>
        </w:rPr>
        <w:t xml:space="preserve"> </w:t>
      </w:r>
      <w:r w:rsidR="00AA7E61" w:rsidRPr="00FD211F">
        <w:rPr>
          <w:sz w:val="36"/>
          <w:szCs w:val="36"/>
          <w:rtl/>
        </w:rPr>
        <w:t>بطلان</w:t>
      </w:r>
      <w:r w:rsidR="00E8128F">
        <w:rPr>
          <w:sz w:val="36"/>
          <w:szCs w:val="36"/>
          <w:rtl/>
        </w:rPr>
        <w:t xml:space="preserve"> </w:t>
      </w:r>
      <w:r w:rsidR="00AA7E61" w:rsidRPr="00FD211F">
        <w:rPr>
          <w:sz w:val="36"/>
          <w:szCs w:val="36"/>
          <w:rtl/>
        </w:rPr>
        <w:t>الشرط</w:t>
      </w:r>
      <w:r w:rsidR="00E8128F">
        <w:rPr>
          <w:sz w:val="36"/>
          <w:szCs w:val="36"/>
          <w:rtl/>
        </w:rPr>
        <w:t xml:space="preserve"> </w:t>
      </w:r>
      <w:r w:rsidR="00AA7E61" w:rsidRPr="00FD211F">
        <w:rPr>
          <w:sz w:val="36"/>
          <w:szCs w:val="36"/>
          <w:rtl/>
        </w:rPr>
        <w:t>المخالف</w:t>
      </w:r>
      <w:r w:rsidR="00E8128F">
        <w:rPr>
          <w:sz w:val="36"/>
          <w:szCs w:val="36"/>
          <w:rtl/>
        </w:rPr>
        <w:t xml:space="preserve"> </w:t>
      </w:r>
      <w:r w:rsidR="00AA7E61" w:rsidRPr="00FD211F">
        <w:rPr>
          <w:sz w:val="36"/>
          <w:szCs w:val="36"/>
          <w:rtl/>
        </w:rPr>
        <w:t>للكتاب</w:t>
      </w:r>
      <w:r w:rsidR="00E8128F">
        <w:rPr>
          <w:sz w:val="36"/>
          <w:szCs w:val="36"/>
          <w:rtl/>
        </w:rPr>
        <w:t xml:space="preserve"> </w:t>
      </w:r>
      <w:r w:rsidR="00AA7E61" w:rsidRPr="00FD211F">
        <w:rPr>
          <w:sz w:val="36"/>
          <w:szCs w:val="36"/>
          <w:rtl/>
        </w:rPr>
        <w:t>والسن</w:t>
      </w:r>
      <w:r w:rsidR="00EC7EDF" w:rsidRPr="00FD211F">
        <w:rPr>
          <w:sz w:val="36"/>
          <w:szCs w:val="36"/>
          <w:rtl/>
        </w:rPr>
        <w:t>ة</w:t>
      </w:r>
      <w:r w:rsidR="00E8128F">
        <w:rPr>
          <w:sz w:val="36"/>
          <w:szCs w:val="36"/>
          <w:rtl/>
        </w:rPr>
        <w:t xml:space="preserve"> </w:t>
      </w:r>
      <w:r w:rsidR="00AA7E61" w:rsidRPr="00FD211F">
        <w:rPr>
          <w:sz w:val="36"/>
          <w:szCs w:val="36"/>
          <w:rtl/>
        </w:rPr>
        <w:t>او</w:t>
      </w:r>
      <w:r w:rsidR="00E8128F">
        <w:rPr>
          <w:sz w:val="36"/>
          <w:szCs w:val="36"/>
          <w:rtl/>
        </w:rPr>
        <w:t xml:space="preserve"> </w:t>
      </w:r>
      <w:r w:rsidR="00AA7E61" w:rsidRPr="00FD211F">
        <w:rPr>
          <w:sz w:val="36"/>
          <w:szCs w:val="36"/>
          <w:rtl/>
        </w:rPr>
        <w:t>قاعد</w:t>
      </w:r>
      <w:r w:rsidR="00EC7EDF" w:rsidRPr="00FD211F">
        <w:rPr>
          <w:sz w:val="36"/>
          <w:szCs w:val="36"/>
          <w:rtl/>
        </w:rPr>
        <w:t>ة</w:t>
      </w:r>
      <w:r w:rsidR="00E8128F">
        <w:rPr>
          <w:sz w:val="36"/>
          <w:szCs w:val="36"/>
          <w:rtl/>
        </w:rPr>
        <w:t xml:space="preserve"> </w:t>
      </w:r>
      <w:r w:rsidR="00AA7E61" w:rsidRPr="00FD211F">
        <w:rPr>
          <w:sz w:val="36"/>
          <w:szCs w:val="36"/>
          <w:rtl/>
        </w:rPr>
        <w:t>التسامح</w:t>
      </w:r>
      <w:r w:rsidR="00E8128F">
        <w:rPr>
          <w:sz w:val="36"/>
          <w:szCs w:val="36"/>
          <w:rtl/>
        </w:rPr>
        <w:t xml:space="preserve"> </w:t>
      </w:r>
      <w:r w:rsidR="00AA7E61" w:rsidRPr="00FD211F">
        <w:rPr>
          <w:sz w:val="36"/>
          <w:szCs w:val="36"/>
          <w:rtl/>
        </w:rPr>
        <w:t>في</w:t>
      </w:r>
      <w:r w:rsidR="00E8128F">
        <w:rPr>
          <w:sz w:val="36"/>
          <w:szCs w:val="36"/>
          <w:rtl/>
        </w:rPr>
        <w:t xml:space="preserve"> </w:t>
      </w:r>
      <w:r w:rsidR="00AA7E61" w:rsidRPr="00FD211F">
        <w:rPr>
          <w:sz w:val="36"/>
          <w:szCs w:val="36"/>
          <w:rtl/>
        </w:rPr>
        <w:t>ادل</w:t>
      </w:r>
      <w:r w:rsidR="00EC7EDF" w:rsidRPr="00FD211F">
        <w:rPr>
          <w:sz w:val="36"/>
          <w:szCs w:val="36"/>
          <w:rtl/>
        </w:rPr>
        <w:t>ة</w:t>
      </w:r>
      <w:r w:rsidR="00E8128F">
        <w:rPr>
          <w:sz w:val="36"/>
          <w:szCs w:val="36"/>
          <w:rtl/>
        </w:rPr>
        <w:t xml:space="preserve"> </w:t>
      </w:r>
      <w:r w:rsidR="00AA7E61" w:rsidRPr="00FD211F">
        <w:rPr>
          <w:sz w:val="36"/>
          <w:szCs w:val="36"/>
          <w:rtl/>
        </w:rPr>
        <w:t>السنن</w:t>
      </w:r>
      <w:r w:rsidR="00E8128F">
        <w:rPr>
          <w:sz w:val="36"/>
          <w:szCs w:val="36"/>
          <w:rtl/>
        </w:rPr>
        <w:t xml:space="preserve"> </w:t>
      </w:r>
      <w:r w:rsidR="003C1136" w:rsidRPr="00FD211F">
        <w:rPr>
          <w:sz w:val="36"/>
          <w:szCs w:val="36"/>
          <w:rtl/>
        </w:rPr>
        <w:t>تنتج</w:t>
      </w:r>
      <w:r w:rsidR="00E8128F">
        <w:rPr>
          <w:sz w:val="36"/>
          <w:szCs w:val="36"/>
          <w:rtl/>
        </w:rPr>
        <w:t xml:space="preserve"> </w:t>
      </w:r>
      <w:r w:rsidR="003C1136" w:rsidRPr="00FD211F">
        <w:rPr>
          <w:sz w:val="36"/>
          <w:szCs w:val="36"/>
          <w:rtl/>
        </w:rPr>
        <w:t>حكما</w:t>
      </w:r>
      <w:r w:rsidR="00E8128F">
        <w:rPr>
          <w:sz w:val="36"/>
          <w:szCs w:val="36"/>
          <w:rtl/>
        </w:rPr>
        <w:t xml:space="preserve"> </w:t>
      </w:r>
      <w:r w:rsidR="003C1136" w:rsidRPr="00FD211F">
        <w:rPr>
          <w:sz w:val="36"/>
          <w:szCs w:val="36"/>
          <w:rtl/>
        </w:rPr>
        <w:t>كليا</w:t>
      </w:r>
      <w:r w:rsidR="00E8128F">
        <w:rPr>
          <w:sz w:val="36"/>
          <w:szCs w:val="36"/>
          <w:rtl/>
        </w:rPr>
        <w:t xml:space="preserve"> </w:t>
      </w:r>
      <w:r w:rsidR="003C1136" w:rsidRPr="00FD211F">
        <w:rPr>
          <w:sz w:val="36"/>
          <w:szCs w:val="36"/>
          <w:rtl/>
        </w:rPr>
        <w:t>ولاتصلح</w:t>
      </w:r>
      <w:r w:rsidR="00E8128F">
        <w:rPr>
          <w:sz w:val="36"/>
          <w:szCs w:val="36"/>
          <w:rtl/>
        </w:rPr>
        <w:t xml:space="preserve"> </w:t>
      </w:r>
      <w:r w:rsidR="003C1136" w:rsidRPr="00FD211F">
        <w:rPr>
          <w:sz w:val="36"/>
          <w:szCs w:val="36"/>
          <w:rtl/>
        </w:rPr>
        <w:t>ان</w:t>
      </w:r>
      <w:r w:rsidR="00E8128F">
        <w:rPr>
          <w:sz w:val="36"/>
          <w:szCs w:val="36"/>
          <w:rtl/>
        </w:rPr>
        <w:t xml:space="preserve"> </w:t>
      </w:r>
      <w:r w:rsidR="003C1136" w:rsidRPr="00FD211F">
        <w:rPr>
          <w:sz w:val="36"/>
          <w:szCs w:val="36"/>
          <w:rtl/>
        </w:rPr>
        <w:t>تنتج</w:t>
      </w:r>
      <w:r w:rsidR="00E8128F">
        <w:rPr>
          <w:sz w:val="36"/>
          <w:szCs w:val="36"/>
          <w:rtl/>
        </w:rPr>
        <w:t xml:space="preserve"> </w:t>
      </w:r>
      <w:r w:rsidR="003C1136" w:rsidRPr="00FD211F">
        <w:rPr>
          <w:sz w:val="36"/>
          <w:szCs w:val="36"/>
          <w:rtl/>
        </w:rPr>
        <w:t>حكما</w:t>
      </w:r>
      <w:r w:rsidR="00E8128F">
        <w:rPr>
          <w:sz w:val="36"/>
          <w:szCs w:val="36"/>
          <w:rtl/>
        </w:rPr>
        <w:t xml:space="preserve"> </w:t>
      </w:r>
      <w:r w:rsidR="003C1136" w:rsidRPr="00FD211F">
        <w:rPr>
          <w:sz w:val="36"/>
          <w:szCs w:val="36"/>
          <w:rtl/>
        </w:rPr>
        <w:t>جزئيا</w:t>
      </w:r>
      <w:r w:rsidR="00E8128F">
        <w:rPr>
          <w:sz w:val="36"/>
          <w:szCs w:val="36"/>
          <w:rtl/>
        </w:rPr>
        <w:t xml:space="preserve"> </w:t>
      </w:r>
      <w:r w:rsidR="00F84EA2" w:rsidRPr="00FD211F">
        <w:rPr>
          <w:sz w:val="36"/>
          <w:szCs w:val="36"/>
          <w:rtl/>
        </w:rPr>
        <w:t>مع</w:t>
      </w:r>
      <w:r w:rsidR="00E8128F">
        <w:rPr>
          <w:sz w:val="36"/>
          <w:szCs w:val="36"/>
          <w:rtl/>
        </w:rPr>
        <w:t xml:space="preserve"> </w:t>
      </w:r>
      <w:r w:rsidR="00F84EA2" w:rsidRPr="00FD211F">
        <w:rPr>
          <w:sz w:val="36"/>
          <w:szCs w:val="36"/>
          <w:rtl/>
        </w:rPr>
        <w:t>انها</w:t>
      </w:r>
      <w:r w:rsidR="00E8128F">
        <w:rPr>
          <w:sz w:val="36"/>
          <w:szCs w:val="36"/>
          <w:rtl/>
        </w:rPr>
        <w:t xml:space="preserve"> </w:t>
      </w:r>
      <w:r w:rsidR="00F84EA2" w:rsidRPr="00FD211F">
        <w:rPr>
          <w:sz w:val="36"/>
          <w:szCs w:val="36"/>
          <w:rtl/>
        </w:rPr>
        <w:t>قواعد</w:t>
      </w:r>
      <w:r w:rsidR="00E8128F">
        <w:rPr>
          <w:sz w:val="36"/>
          <w:szCs w:val="36"/>
          <w:rtl/>
        </w:rPr>
        <w:t xml:space="preserve"> </w:t>
      </w:r>
      <w:r w:rsidR="00F84EA2" w:rsidRPr="00FD211F">
        <w:rPr>
          <w:sz w:val="36"/>
          <w:szCs w:val="36"/>
          <w:rtl/>
        </w:rPr>
        <w:t>فقهي</w:t>
      </w:r>
      <w:r w:rsidR="00EC7EDF" w:rsidRPr="00FD211F">
        <w:rPr>
          <w:sz w:val="36"/>
          <w:szCs w:val="36"/>
          <w:rtl/>
        </w:rPr>
        <w:t>ة</w:t>
      </w:r>
      <w:r w:rsidR="00E8128F">
        <w:rPr>
          <w:sz w:val="36"/>
          <w:szCs w:val="36"/>
          <w:rtl/>
        </w:rPr>
        <w:t xml:space="preserve"> </w:t>
      </w:r>
      <w:r w:rsidR="00F84EA2" w:rsidRPr="00FD211F">
        <w:rPr>
          <w:sz w:val="36"/>
          <w:szCs w:val="36"/>
          <w:rtl/>
        </w:rPr>
        <w:t>حتى</w:t>
      </w:r>
      <w:r w:rsidR="00E8128F">
        <w:rPr>
          <w:sz w:val="36"/>
          <w:szCs w:val="36"/>
          <w:rtl/>
        </w:rPr>
        <w:t xml:space="preserve"> </w:t>
      </w:r>
      <w:r w:rsidR="00F84EA2" w:rsidRPr="00FD211F">
        <w:rPr>
          <w:sz w:val="36"/>
          <w:szCs w:val="36"/>
          <w:rtl/>
        </w:rPr>
        <w:t>قاعد</w:t>
      </w:r>
      <w:r w:rsidR="00EC7EDF" w:rsidRPr="00FD211F">
        <w:rPr>
          <w:sz w:val="36"/>
          <w:szCs w:val="36"/>
          <w:rtl/>
        </w:rPr>
        <w:t>ة</w:t>
      </w:r>
      <w:r w:rsidR="00E8128F">
        <w:rPr>
          <w:sz w:val="36"/>
          <w:szCs w:val="36"/>
          <w:rtl/>
        </w:rPr>
        <w:t xml:space="preserve"> </w:t>
      </w:r>
      <w:r w:rsidR="00F84EA2" w:rsidRPr="00FD211F">
        <w:rPr>
          <w:sz w:val="36"/>
          <w:szCs w:val="36"/>
          <w:rtl/>
        </w:rPr>
        <w:t>التسامح</w:t>
      </w:r>
      <w:r w:rsidR="00E8128F">
        <w:rPr>
          <w:sz w:val="36"/>
          <w:szCs w:val="36"/>
          <w:rtl/>
        </w:rPr>
        <w:t xml:space="preserve"> </w:t>
      </w:r>
      <w:r w:rsidR="00F84EA2" w:rsidRPr="00FD211F">
        <w:rPr>
          <w:sz w:val="36"/>
          <w:szCs w:val="36"/>
          <w:rtl/>
        </w:rPr>
        <w:t>في</w:t>
      </w:r>
      <w:r w:rsidR="00E8128F">
        <w:rPr>
          <w:sz w:val="36"/>
          <w:szCs w:val="36"/>
          <w:rtl/>
        </w:rPr>
        <w:t xml:space="preserve"> </w:t>
      </w:r>
      <w:r w:rsidR="00F84EA2" w:rsidRPr="00FD211F">
        <w:rPr>
          <w:sz w:val="36"/>
          <w:szCs w:val="36"/>
          <w:rtl/>
        </w:rPr>
        <w:t>ادل</w:t>
      </w:r>
      <w:r w:rsidR="00EC7EDF" w:rsidRPr="00FD211F">
        <w:rPr>
          <w:sz w:val="36"/>
          <w:szCs w:val="36"/>
          <w:rtl/>
        </w:rPr>
        <w:t>ة</w:t>
      </w:r>
      <w:r w:rsidR="00E8128F">
        <w:rPr>
          <w:sz w:val="36"/>
          <w:szCs w:val="36"/>
          <w:rtl/>
        </w:rPr>
        <w:t xml:space="preserve"> </w:t>
      </w:r>
      <w:r w:rsidR="00F84EA2" w:rsidRPr="00FD211F">
        <w:rPr>
          <w:sz w:val="36"/>
          <w:szCs w:val="36"/>
          <w:rtl/>
        </w:rPr>
        <w:t>السنن</w:t>
      </w:r>
      <w:r w:rsidR="00603323" w:rsidRPr="00FD211F">
        <w:rPr>
          <w:sz w:val="36"/>
          <w:szCs w:val="36"/>
          <w:rtl/>
        </w:rPr>
        <w:t>،</w:t>
      </w:r>
      <w:r w:rsidR="00E8128F">
        <w:rPr>
          <w:sz w:val="36"/>
          <w:szCs w:val="36"/>
          <w:rtl/>
        </w:rPr>
        <w:t xml:space="preserve"> </w:t>
      </w:r>
      <w:r w:rsidR="00F84EA2" w:rsidRPr="00FD211F">
        <w:rPr>
          <w:sz w:val="36"/>
          <w:szCs w:val="36"/>
          <w:rtl/>
        </w:rPr>
        <w:t>بناء</w:t>
      </w:r>
      <w:r w:rsidR="00E8128F">
        <w:rPr>
          <w:sz w:val="36"/>
          <w:szCs w:val="36"/>
          <w:rtl/>
        </w:rPr>
        <w:t xml:space="preserve"> </w:t>
      </w:r>
      <w:r w:rsidR="00AA7E61" w:rsidRPr="00FD211F">
        <w:rPr>
          <w:sz w:val="36"/>
          <w:szCs w:val="36"/>
          <w:rtl/>
        </w:rPr>
        <w:t>على</w:t>
      </w:r>
      <w:r w:rsidR="00E8128F">
        <w:rPr>
          <w:sz w:val="36"/>
          <w:szCs w:val="36"/>
          <w:rtl/>
        </w:rPr>
        <w:t xml:space="preserve"> </w:t>
      </w:r>
      <w:r w:rsidR="00AA7E61" w:rsidRPr="00FD211F">
        <w:rPr>
          <w:sz w:val="36"/>
          <w:szCs w:val="36"/>
          <w:rtl/>
        </w:rPr>
        <w:t>كون</w:t>
      </w:r>
      <w:r w:rsidR="00E8128F">
        <w:rPr>
          <w:sz w:val="36"/>
          <w:szCs w:val="36"/>
          <w:rtl/>
        </w:rPr>
        <w:t xml:space="preserve"> </w:t>
      </w:r>
      <w:r w:rsidR="00AA7E61" w:rsidRPr="00FD211F">
        <w:rPr>
          <w:sz w:val="36"/>
          <w:szCs w:val="36"/>
          <w:rtl/>
        </w:rPr>
        <w:t>مفادها</w:t>
      </w:r>
      <w:r w:rsidR="00E8128F">
        <w:rPr>
          <w:sz w:val="36"/>
          <w:szCs w:val="36"/>
          <w:rtl/>
        </w:rPr>
        <w:t xml:space="preserve"> </w:t>
      </w:r>
      <w:r w:rsidR="00AA7E61" w:rsidRPr="00FD211F">
        <w:rPr>
          <w:sz w:val="36"/>
          <w:szCs w:val="36"/>
          <w:rtl/>
        </w:rPr>
        <w:t>استحباب</w:t>
      </w:r>
      <w:r w:rsidR="00E8128F">
        <w:rPr>
          <w:sz w:val="36"/>
          <w:szCs w:val="36"/>
          <w:rtl/>
        </w:rPr>
        <w:t xml:space="preserve"> </w:t>
      </w:r>
      <w:r w:rsidR="00AA7E61" w:rsidRPr="00FD211F">
        <w:rPr>
          <w:sz w:val="36"/>
          <w:szCs w:val="36"/>
          <w:rtl/>
        </w:rPr>
        <w:t>العمل</w:t>
      </w:r>
      <w:r w:rsidR="00E8128F">
        <w:rPr>
          <w:sz w:val="36"/>
          <w:szCs w:val="36"/>
          <w:rtl/>
        </w:rPr>
        <w:t xml:space="preserve"> </w:t>
      </w:r>
      <w:r w:rsidR="00AA7E61" w:rsidRPr="00FD211F">
        <w:rPr>
          <w:sz w:val="36"/>
          <w:szCs w:val="36"/>
          <w:rtl/>
        </w:rPr>
        <w:t>البالغ</w:t>
      </w:r>
      <w:r w:rsidR="00E8128F">
        <w:rPr>
          <w:sz w:val="36"/>
          <w:szCs w:val="36"/>
          <w:rtl/>
        </w:rPr>
        <w:t xml:space="preserve"> </w:t>
      </w:r>
      <w:r w:rsidR="00AA7E61" w:rsidRPr="00FD211F">
        <w:rPr>
          <w:sz w:val="36"/>
          <w:szCs w:val="36"/>
          <w:rtl/>
        </w:rPr>
        <w:t>عليه</w:t>
      </w:r>
      <w:r w:rsidR="00E8128F">
        <w:rPr>
          <w:sz w:val="36"/>
          <w:szCs w:val="36"/>
          <w:rtl/>
        </w:rPr>
        <w:t xml:space="preserve"> </w:t>
      </w:r>
      <w:r w:rsidR="00AA7E61" w:rsidRPr="00FD211F">
        <w:rPr>
          <w:sz w:val="36"/>
          <w:szCs w:val="36"/>
          <w:rtl/>
        </w:rPr>
        <w:t>الثواب</w:t>
      </w:r>
      <w:r w:rsidR="00603323" w:rsidRPr="00FD211F">
        <w:rPr>
          <w:sz w:val="36"/>
          <w:szCs w:val="36"/>
          <w:rtl/>
        </w:rPr>
        <w:t>،</w:t>
      </w:r>
      <w:r w:rsidR="00E8128F">
        <w:rPr>
          <w:sz w:val="36"/>
          <w:szCs w:val="36"/>
          <w:rtl/>
        </w:rPr>
        <w:t xml:space="preserve"> </w:t>
      </w:r>
      <w:r w:rsidR="00F84EA2" w:rsidRPr="00FD211F">
        <w:rPr>
          <w:sz w:val="36"/>
          <w:szCs w:val="36"/>
          <w:rtl/>
        </w:rPr>
        <w:t>نعم</w:t>
      </w:r>
      <w:r w:rsidR="00E8128F">
        <w:rPr>
          <w:sz w:val="36"/>
          <w:szCs w:val="36"/>
          <w:rtl/>
        </w:rPr>
        <w:t xml:space="preserve"> </w:t>
      </w:r>
      <w:r w:rsidR="00F84EA2" w:rsidRPr="00FD211F">
        <w:rPr>
          <w:sz w:val="36"/>
          <w:szCs w:val="36"/>
          <w:rtl/>
        </w:rPr>
        <w:t>بناء</w:t>
      </w:r>
      <w:r w:rsidR="00E8128F">
        <w:rPr>
          <w:sz w:val="36"/>
          <w:szCs w:val="36"/>
          <w:rtl/>
        </w:rPr>
        <w:t xml:space="preserve"> </w:t>
      </w:r>
      <w:r w:rsidR="00F84EA2" w:rsidRPr="00FD211F">
        <w:rPr>
          <w:sz w:val="36"/>
          <w:szCs w:val="36"/>
          <w:rtl/>
        </w:rPr>
        <w:t>على</w:t>
      </w:r>
      <w:r w:rsidR="00E8128F">
        <w:rPr>
          <w:sz w:val="36"/>
          <w:szCs w:val="36"/>
          <w:rtl/>
        </w:rPr>
        <w:t xml:space="preserve"> </w:t>
      </w:r>
      <w:r w:rsidR="00F84EA2" w:rsidRPr="00FD211F">
        <w:rPr>
          <w:sz w:val="36"/>
          <w:szCs w:val="36"/>
          <w:rtl/>
        </w:rPr>
        <w:t>كون</w:t>
      </w:r>
      <w:r w:rsidR="00E8128F">
        <w:rPr>
          <w:sz w:val="36"/>
          <w:szCs w:val="36"/>
          <w:rtl/>
        </w:rPr>
        <w:t xml:space="preserve"> </w:t>
      </w:r>
      <w:r w:rsidR="00F84EA2" w:rsidRPr="00FD211F">
        <w:rPr>
          <w:sz w:val="36"/>
          <w:szCs w:val="36"/>
          <w:rtl/>
        </w:rPr>
        <w:t>مفادها</w:t>
      </w:r>
      <w:r w:rsidR="00E8128F">
        <w:rPr>
          <w:sz w:val="36"/>
          <w:szCs w:val="36"/>
          <w:rtl/>
        </w:rPr>
        <w:t xml:space="preserve"> </w:t>
      </w:r>
      <w:r w:rsidR="00F84EA2"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w:t>
      </w:r>
      <w:r w:rsidR="00F84EA2" w:rsidRPr="00FD211F">
        <w:rPr>
          <w:sz w:val="36"/>
          <w:szCs w:val="36"/>
          <w:rtl/>
        </w:rPr>
        <w:t>خبر</w:t>
      </w:r>
      <w:r w:rsidR="00E8128F">
        <w:rPr>
          <w:sz w:val="36"/>
          <w:szCs w:val="36"/>
          <w:rtl/>
        </w:rPr>
        <w:t xml:space="preserve"> </w:t>
      </w:r>
      <w:r w:rsidR="00F84EA2" w:rsidRPr="00FD211F">
        <w:rPr>
          <w:sz w:val="36"/>
          <w:szCs w:val="36"/>
          <w:rtl/>
        </w:rPr>
        <w:t>الضعيف</w:t>
      </w:r>
      <w:r w:rsidR="00E8128F">
        <w:rPr>
          <w:sz w:val="36"/>
          <w:szCs w:val="36"/>
          <w:rtl/>
        </w:rPr>
        <w:t xml:space="preserve"> </w:t>
      </w:r>
      <w:r w:rsidR="006C4AAB" w:rsidRPr="00FD211F">
        <w:rPr>
          <w:sz w:val="36"/>
          <w:szCs w:val="36"/>
          <w:rtl/>
        </w:rPr>
        <w:t>ف</w:t>
      </w:r>
      <w:r w:rsidR="00F84EA2" w:rsidRPr="00FD211F">
        <w:rPr>
          <w:sz w:val="36"/>
          <w:szCs w:val="36"/>
          <w:rtl/>
        </w:rPr>
        <w:t>تكون</w:t>
      </w:r>
      <w:r w:rsidR="00E8128F">
        <w:rPr>
          <w:sz w:val="36"/>
          <w:szCs w:val="36"/>
          <w:rtl/>
        </w:rPr>
        <w:t xml:space="preserve"> </w:t>
      </w:r>
      <w:r w:rsidR="00F84EA2" w:rsidRPr="00FD211F">
        <w:rPr>
          <w:sz w:val="36"/>
          <w:szCs w:val="36"/>
          <w:rtl/>
        </w:rPr>
        <w:t>قاعد</w:t>
      </w:r>
      <w:r w:rsidR="00EC7EDF" w:rsidRPr="00FD211F">
        <w:rPr>
          <w:sz w:val="36"/>
          <w:szCs w:val="36"/>
          <w:rtl/>
        </w:rPr>
        <w:t>ة</w:t>
      </w:r>
      <w:r w:rsidR="00E8128F">
        <w:rPr>
          <w:sz w:val="36"/>
          <w:szCs w:val="36"/>
          <w:rtl/>
        </w:rPr>
        <w:t xml:space="preserve"> </w:t>
      </w:r>
      <w:r w:rsidR="00F84EA2" w:rsidRPr="00FD211F">
        <w:rPr>
          <w:sz w:val="36"/>
          <w:szCs w:val="36"/>
          <w:rtl/>
        </w:rPr>
        <w:t>اصولي</w:t>
      </w:r>
      <w:r w:rsidR="00EC7EDF" w:rsidRPr="00FD211F">
        <w:rPr>
          <w:sz w:val="36"/>
          <w:szCs w:val="36"/>
          <w:rtl/>
        </w:rPr>
        <w:t>ة</w:t>
      </w:r>
      <w:r w:rsidR="00A61BAE" w:rsidRPr="00FD211F">
        <w:rPr>
          <w:sz w:val="36"/>
          <w:szCs w:val="36"/>
          <w:rtl/>
        </w:rPr>
        <w:t>.</w:t>
      </w:r>
    </w:p>
    <w:p w14:paraId="439025BA" w14:textId="77777777" w:rsidR="00496E6E" w:rsidRPr="00FD211F" w:rsidRDefault="009331ED" w:rsidP="009C58C8">
      <w:pPr>
        <w:ind w:left="0" w:firstLine="227"/>
        <w:jc w:val="both"/>
        <w:rPr>
          <w:sz w:val="36"/>
          <w:szCs w:val="36"/>
          <w:rtl/>
        </w:rPr>
      </w:pPr>
      <w:bookmarkStart w:id="37" w:name="درس005"/>
      <w:bookmarkEnd w:id="37"/>
      <w:r w:rsidRPr="00FD211F">
        <w:rPr>
          <w:b/>
          <w:bCs/>
          <w:sz w:val="36"/>
          <w:szCs w:val="36"/>
          <w:rtl/>
        </w:rPr>
        <w:t>المحاول</w:t>
      </w:r>
      <w:r w:rsidR="00EC7EDF" w:rsidRPr="00FD211F">
        <w:rPr>
          <w:b/>
          <w:bCs/>
          <w:sz w:val="36"/>
          <w:szCs w:val="36"/>
          <w:rtl/>
        </w:rPr>
        <w:t>ة</w:t>
      </w:r>
      <w:r w:rsidR="00E8128F">
        <w:rPr>
          <w:b/>
          <w:bCs/>
          <w:sz w:val="36"/>
          <w:szCs w:val="36"/>
          <w:rtl/>
        </w:rPr>
        <w:t xml:space="preserve"> </w:t>
      </w:r>
      <w:r w:rsidRPr="00FD211F">
        <w:rPr>
          <w:b/>
          <w:bCs/>
          <w:sz w:val="36"/>
          <w:szCs w:val="36"/>
          <w:rtl/>
        </w:rPr>
        <w:t>ال</w:t>
      </w:r>
      <w:r w:rsidR="009C21F4" w:rsidRPr="00FD211F">
        <w:rPr>
          <w:b/>
          <w:bCs/>
          <w:sz w:val="36"/>
          <w:szCs w:val="36"/>
          <w:rtl/>
        </w:rPr>
        <w:t>ثا</w:t>
      </w:r>
      <w:r w:rsidR="00AA7E61" w:rsidRPr="00FD211F">
        <w:rPr>
          <w:b/>
          <w:bCs/>
          <w:sz w:val="36"/>
          <w:szCs w:val="36"/>
          <w:rtl/>
        </w:rPr>
        <w:t>لث</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00192018" w:rsidRPr="00FD211F">
        <w:rPr>
          <w:sz w:val="36"/>
          <w:szCs w:val="36"/>
          <w:rtl/>
        </w:rPr>
        <w:t>ما</w:t>
      </w:r>
      <w:r w:rsidR="00E8128F">
        <w:rPr>
          <w:sz w:val="36"/>
          <w:szCs w:val="36"/>
          <w:rtl/>
        </w:rPr>
        <w:t xml:space="preserve"> </w:t>
      </w:r>
      <w:r w:rsidR="00192018" w:rsidRPr="00FD211F">
        <w:rPr>
          <w:sz w:val="36"/>
          <w:szCs w:val="36"/>
          <w:rtl/>
        </w:rPr>
        <w:t>ذكره</w:t>
      </w:r>
      <w:r w:rsidR="00E8128F">
        <w:rPr>
          <w:sz w:val="36"/>
          <w:szCs w:val="36"/>
          <w:rtl/>
        </w:rPr>
        <w:t xml:space="preserve"> </w:t>
      </w:r>
      <w:r w:rsidR="00192018" w:rsidRPr="00FD211F">
        <w:rPr>
          <w:sz w:val="36"/>
          <w:szCs w:val="36"/>
          <w:rtl/>
        </w:rPr>
        <w:t>السيد</w:t>
      </w:r>
      <w:r w:rsidR="00E8128F">
        <w:rPr>
          <w:sz w:val="36"/>
          <w:szCs w:val="36"/>
          <w:rtl/>
        </w:rPr>
        <w:t xml:space="preserve"> </w:t>
      </w:r>
      <w:r w:rsidR="00192018" w:rsidRPr="00FD211F">
        <w:rPr>
          <w:sz w:val="36"/>
          <w:szCs w:val="36"/>
          <w:rtl/>
        </w:rPr>
        <w:t>الخوئي</w:t>
      </w:r>
      <w:r w:rsidR="00E8128F">
        <w:rPr>
          <w:sz w:val="36"/>
          <w:szCs w:val="36"/>
          <w:rtl/>
        </w:rPr>
        <w:t xml:space="preserve"> </w:t>
      </w:r>
      <w:r w:rsidR="00F84C32" w:rsidRPr="00FD211F">
        <w:rPr>
          <w:sz w:val="36"/>
          <w:szCs w:val="36"/>
          <w:rtl/>
        </w:rPr>
        <w:t>"</w:t>
      </w:r>
      <w:r w:rsidR="00192018" w:rsidRPr="00FD211F">
        <w:rPr>
          <w:sz w:val="36"/>
          <w:szCs w:val="36"/>
          <w:rtl/>
        </w:rPr>
        <w:t>قده</w:t>
      </w:r>
      <w:r w:rsidR="00F84C32" w:rsidRPr="00FD211F">
        <w:rPr>
          <w:sz w:val="36"/>
          <w:szCs w:val="36"/>
          <w:rtl/>
        </w:rPr>
        <w:t>"</w:t>
      </w:r>
      <w:r w:rsidR="00E8128F">
        <w:rPr>
          <w:sz w:val="36"/>
          <w:szCs w:val="36"/>
          <w:rtl/>
        </w:rPr>
        <w:t xml:space="preserve"> </w:t>
      </w:r>
      <w:r w:rsidR="00496E6E" w:rsidRPr="00FD211F">
        <w:rPr>
          <w:sz w:val="36"/>
          <w:szCs w:val="36"/>
          <w:rtl/>
        </w:rPr>
        <w:t>من</w:t>
      </w:r>
      <w:r w:rsidR="00E8128F">
        <w:rPr>
          <w:sz w:val="36"/>
          <w:szCs w:val="36"/>
          <w:rtl/>
        </w:rPr>
        <w:t xml:space="preserve"> </w:t>
      </w:r>
      <w:r w:rsidR="00496E6E" w:rsidRPr="00FD211F">
        <w:rPr>
          <w:sz w:val="36"/>
          <w:szCs w:val="36"/>
          <w:rtl/>
        </w:rPr>
        <w:t>ان</w:t>
      </w:r>
      <w:r w:rsidR="00E8128F">
        <w:rPr>
          <w:sz w:val="36"/>
          <w:szCs w:val="36"/>
          <w:rtl/>
        </w:rPr>
        <w:t xml:space="preserve"> </w:t>
      </w:r>
      <w:r w:rsidR="00496E6E" w:rsidRPr="00FD211F">
        <w:rPr>
          <w:sz w:val="36"/>
          <w:szCs w:val="36"/>
          <w:rtl/>
        </w:rPr>
        <w:t>الأحكام</w:t>
      </w:r>
      <w:r w:rsidR="00E8128F">
        <w:rPr>
          <w:sz w:val="36"/>
          <w:szCs w:val="36"/>
          <w:rtl/>
        </w:rPr>
        <w:t xml:space="preserve"> </w:t>
      </w:r>
      <w:r w:rsidR="00496E6E" w:rsidRPr="00FD211F">
        <w:rPr>
          <w:sz w:val="36"/>
          <w:szCs w:val="36"/>
          <w:rtl/>
        </w:rPr>
        <w:t>المستفاد</w:t>
      </w:r>
      <w:r w:rsidR="00EC7EDF" w:rsidRPr="00FD211F">
        <w:rPr>
          <w:sz w:val="36"/>
          <w:szCs w:val="36"/>
          <w:rtl/>
        </w:rPr>
        <w:t>ة</w:t>
      </w:r>
      <w:r w:rsidR="00E8128F">
        <w:rPr>
          <w:sz w:val="36"/>
          <w:szCs w:val="36"/>
          <w:rtl/>
        </w:rPr>
        <w:t xml:space="preserve"> </w:t>
      </w:r>
      <w:r w:rsidR="00496E6E" w:rsidRPr="00FD211F">
        <w:rPr>
          <w:sz w:val="36"/>
          <w:szCs w:val="36"/>
          <w:rtl/>
        </w:rPr>
        <w:t>من</w:t>
      </w:r>
      <w:r w:rsidR="00E8128F">
        <w:rPr>
          <w:sz w:val="36"/>
          <w:szCs w:val="36"/>
          <w:rtl/>
        </w:rPr>
        <w:t xml:space="preserve"> </w:t>
      </w:r>
      <w:r w:rsidR="00496E6E" w:rsidRPr="00FD211F">
        <w:rPr>
          <w:sz w:val="36"/>
          <w:szCs w:val="36"/>
          <w:rtl/>
        </w:rPr>
        <w:t>القواعد</w:t>
      </w:r>
      <w:r w:rsidR="00E8128F">
        <w:rPr>
          <w:sz w:val="36"/>
          <w:szCs w:val="36"/>
          <w:rtl/>
        </w:rPr>
        <w:t xml:space="preserve"> </w:t>
      </w:r>
      <w:r w:rsidR="00496E6E" w:rsidRPr="00FD211F">
        <w:rPr>
          <w:sz w:val="36"/>
          <w:szCs w:val="36"/>
          <w:rtl/>
        </w:rPr>
        <w:t>الفقهي</w:t>
      </w:r>
      <w:r w:rsidR="00EC7EDF" w:rsidRPr="00FD211F">
        <w:rPr>
          <w:sz w:val="36"/>
          <w:szCs w:val="36"/>
          <w:rtl/>
        </w:rPr>
        <w:t>ة</w:t>
      </w:r>
      <w:r w:rsidR="00E8128F">
        <w:rPr>
          <w:sz w:val="36"/>
          <w:szCs w:val="36"/>
          <w:rtl/>
        </w:rPr>
        <w:t xml:space="preserve"> </w:t>
      </w:r>
      <w:r w:rsidR="00496E6E" w:rsidRPr="00FD211F">
        <w:rPr>
          <w:sz w:val="36"/>
          <w:szCs w:val="36"/>
          <w:rtl/>
        </w:rPr>
        <w:lastRenderedPageBreak/>
        <w:t>سواء</w:t>
      </w:r>
      <w:r w:rsidR="00E8128F">
        <w:rPr>
          <w:sz w:val="36"/>
          <w:szCs w:val="36"/>
          <w:rtl/>
        </w:rPr>
        <w:t xml:space="preserve"> </w:t>
      </w:r>
      <w:r w:rsidR="00496E6E" w:rsidRPr="00FD211F">
        <w:rPr>
          <w:sz w:val="36"/>
          <w:szCs w:val="36"/>
          <w:rtl/>
        </w:rPr>
        <w:t>كانت</w:t>
      </w:r>
      <w:r w:rsidR="00E8128F">
        <w:rPr>
          <w:sz w:val="36"/>
          <w:szCs w:val="36"/>
          <w:rtl/>
        </w:rPr>
        <w:t xml:space="preserve"> </w:t>
      </w:r>
      <w:r w:rsidR="00496E6E" w:rsidRPr="00FD211F">
        <w:rPr>
          <w:sz w:val="36"/>
          <w:szCs w:val="36"/>
          <w:rtl/>
        </w:rPr>
        <w:t>مختص</w:t>
      </w:r>
      <w:r w:rsidR="00EC7EDF" w:rsidRPr="00FD211F">
        <w:rPr>
          <w:sz w:val="36"/>
          <w:szCs w:val="36"/>
          <w:rtl/>
        </w:rPr>
        <w:t>ة</w:t>
      </w:r>
      <w:r w:rsidR="00E8128F">
        <w:rPr>
          <w:sz w:val="36"/>
          <w:szCs w:val="36"/>
          <w:rtl/>
        </w:rPr>
        <w:t xml:space="preserve"> </w:t>
      </w:r>
      <w:r w:rsidR="00496E6E" w:rsidRPr="00FD211F">
        <w:rPr>
          <w:sz w:val="36"/>
          <w:szCs w:val="36"/>
          <w:rtl/>
        </w:rPr>
        <w:t>بالشبهات</w:t>
      </w:r>
      <w:r w:rsidR="00E8128F">
        <w:rPr>
          <w:sz w:val="36"/>
          <w:szCs w:val="36"/>
          <w:rtl/>
        </w:rPr>
        <w:t xml:space="preserve"> </w:t>
      </w:r>
      <w:r w:rsidR="00496E6E" w:rsidRPr="00FD211F">
        <w:rPr>
          <w:sz w:val="36"/>
          <w:szCs w:val="36"/>
          <w:rtl/>
        </w:rPr>
        <w:t>الموضوعي</w:t>
      </w:r>
      <w:r w:rsidR="00EC7EDF" w:rsidRPr="00FD211F">
        <w:rPr>
          <w:sz w:val="36"/>
          <w:szCs w:val="36"/>
          <w:rtl/>
        </w:rPr>
        <w:t>ة</w:t>
      </w:r>
      <w:r w:rsidR="00E8128F">
        <w:rPr>
          <w:sz w:val="36"/>
          <w:szCs w:val="36"/>
          <w:rtl/>
        </w:rPr>
        <w:t xml:space="preserve"> </w:t>
      </w:r>
      <w:r w:rsidR="00496E6E" w:rsidRPr="00FD211F">
        <w:rPr>
          <w:sz w:val="36"/>
          <w:szCs w:val="36"/>
          <w:rtl/>
        </w:rPr>
        <w:t>كقاعد</w:t>
      </w:r>
      <w:r w:rsidR="00EC7EDF" w:rsidRPr="00FD211F">
        <w:rPr>
          <w:sz w:val="36"/>
          <w:szCs w:val="36"/>
          <w:rtl/>
        </w:rPr>
        <w:t>ة</w:t>
      </w:r>
      <w:r w:rsidR="00E8128F">
        <w:rPr>
          <w:sz w:val="36"/>
          <w:szCs w:val="36"/>
          <w:rtl/>
        </w:rPr>
        <w:t xml:space="preserve"> </w:t>
      </w:r>
      <w:r w:rsidR="00496E6E" w:rsidRPr="00FD211F">
        <w:rPr>
          <w:sz w:val="36"/>
          <w:szCs w:val="36"/>
          <w:rtl/>
        </w:rPr>
        <w:t>الفراغ</w:t>
      </w:r>
      <w:r w:rsidR="00E8128F">
        <w:rPr>
          <w:sz w:val="36"/>
          <w:szCs w:val="36"/>
          <w:rtl/>
        </w:rPr>
        <w:t xml:space="preserve"> </w:t>
      </w:r>
      <w:r w:rsidR="00496E6E" w:rsidRPr="00FD211F">
        <w:rPr>
          <w:sz w:val="36"/>
          <w:szCs w:val="36"/>
          <w:rtl/>
        </w:rPr>
        <w:t>واليد</w:t>
      </w:r>
      <w:r w:rsidR="00E8128F">
        <w:rPr>
          <w:sz w:val="36"/>
          <w:szCs w:val="36"/>
          <w:rtl/>
        </w:rPr>
        <w:t xml:space="preserve"> </w:t>
      </w:r>
      <w:r w:rsidR="00496E6E" w:rsidRPr="00FD211F">
        <w:rPr>
          <w:sz w:val="36"/>
          <w:szCs w:val="36"/>
          <w:rtl/>
        </w:rPr>
        <w:t>ام</w:t>
      </w:r>
      <w:r w:rsidR="00E8128F">
        <w:rPr>
          <w:sz w:val="36"/>
          <w:szCs w:val="36"/>
          <w:rtl/>
        </w:rPr>
        <w:t xml:space="preserve"> </w:t>
      </w:r>
      <w:r w:rsidR="00496E6E" w:rsidRPr="00FD211F">
        <w:rPr>
          <w:sz w:val="36"/>
          <w:szCs w:val="36"/>
          <w:rtl/>
        </w:rPr>
        <w:t>كانت</w:t>
      </w:r>
      <w:r w:rsidR="00E8128F">
        <w:rPr>
          <w:sz w:val="36"/>
          <w:szCs w:val="36"/>
          <w:rtl/>
        </w:rPr>
        <w:t xml:space="preserve"> </w:t>
      </w:r>
      <w:r w:rsidR="00496E6E" w:rsidRPr="00FD211F">
        <w:rPr>
          <w:sz w:val="36"/>
          <w:szCs w:val="36"/>
          <w:rtl/>
        </w:rPr>
        <w:t>تعم</w:t>
      </w:r>
      <w:r w:rsidR="00E8128F">
        <w:rPr>
          <w:sz w:val="36"/>
          <w:szCs w:val="36"/>
          <w:rtl/>
        </w:rPr>
        <w:t xml:space="preserve"> </w:t>
      </w:r>
      <w:r w:rsidR="00496E6E" w:rsidRPr="00FD211F">
        <w:rPr>
          <w:sz w:val="36"/>
          <w:szCs w:val="36"/>
          <w:rtl/>
        </w:rPr>
        <w:t>الشبهات</w:t>
      </w:r>
      <w:r w:rsidR="00E8128F">
        <w:rPr>
          <w:sz w:val="36"/>
          <w:szCs w:val="36"/>
          <w:rtl/>
        </w:rPr>
        <w:t xml:space="preserve"> </w:t>
      </w:r>
      <w:r w:rsidR="00496E6E" w:rsidRPr="00FD211F">
        <w:rPr>
          <w:sz w:val="36"/>
          <w:szCs w:val="36"/>
          <w:rtl/>
        </w:rPr>
        <w:t>الحكمي</w:t>
      </w:r>
      <w:r w:rsidR="00EC7EDF" w:rsidRPr="00FD211F">
        <w:rPr>
          <w:sz w:val="36"/>
          <w:szCs w:val="36"/>
          <w:rtl/>
        </w:rPr>
        <w:t>ة</w:t>
      </w:r>
      <w:r w:rsidR="00E8128F">
        <w:rPr>
          <w:sz w:val="36"/>
          <w:szCs w:val="36"/>
          <w:rtl/>
        </w:rPr>
        <w:t xml:space="preserve"> </w:t>
      </w:r>
      <w:r w:rsidR="00496E6E" w:rsidRPr="00FD211F">
        <w:rPr>
          <w:sz w:val="36"/>
          <w:szCs w:val="36"/>
          <w:rtl/>
        </w:rPr>
        <w:t>أيضا</w:t>
      </w:r>
      <w:r w:rsidR="00E8128F">
        <w:rPr>
          <w:sz w:val="36"/>
          <w:szCs w:val="36"/>
          <w:rtl/>
        </w:rPr>
        <w:t xml:space="preserve"> </w:t>
      </w:r>
      <w:r w:rsidR="00496E6E" w:rsidRPr="00FD211F">
        <w:rPr>
          <w:sz w:val="36"/>
          <w:szCs w:val="36"/>
          <w:rtl/>
        </w:rPr>
        <w:t>كقاعدتي</w:t>
      </w:r>
      <w:r w:rsidR="00E8128F">
        <w:rPr>
          <w:sz w:val="36"/>
          <w:szCs w:val="36"/>
          <w:rtl/>
        </w:rPr>
        <w:t xml:space="preserve"> </w:t>
      </w:r>
      <w:r w:rsidR="00496E6E" w:rsidRPr="00FD211F">
        <w:rPr>
          <w:sz w:val="36"/>
          <w:szCs w:val="36"/>
          <w:rtl/>
        </w:rPr>
        <w:t>لاضرر</w:t>
      </w:r>
      <w:r w:rsidR="00E8128F">
        <w:rPr>
          <w:sz w:val="36"/>
          <w:szCs w:val="36"/>
          <w:rtl/>
        </w:rPr>
        <w:t xml:space="preserve"> </w:t>
      </w:r>
      <w:r w:rsidR="00496E6E" w:rsidRPr="00FD211F">
        <w:rPr>
          <w:sz w:val="36"/>
          <w:szCs w:val="36"/>
          <w:rtl/>
        </w:rPr>
        <w:t>ولاحرج</w:t>
      </w:r>
      <w:r w:rsidR="00E8128F">
        <w:rPr>
          <w:sz w:val="36"/>
          <w:szCs w:val="36"/>
          <w:rtl/>
        </w:rPr>
        <w:t xml:space="preserve"> </w:t>
      </w:r>
      <w:r w:rsidR="00496E6E" w:rsidRPr="00FD211F">
        <w:rPr>
          <w:sz w:val="36"/>
          <w:szCs w:val="36"/>
          <w:rtl/>
        </w:rPr>
        <w:t>بناء</w:t>
      </w:r>
      <w:r w:rsidR="00E8128F">
        <w:rPr>
          <w:sz w:val="36"/>
          <w:szCs w:val="36"/>
          <w:rtl/>
        </w:rPr>
        <w:t xml:space="preserve"> </w:t>
      </w:r>
      <w:r w:rsidR="00496E6E" w:rsidRPr="00FD211F">
        <w:rPr>
          <w:sz w:val="36"/>
          <w:szCs w:val="36"/>
          <w:rtl/>
        </w:rPr>
        <w:t>على</w:t>
      </w:r>
      <w:r w:rsidR="00E8128F">
        <w:rPr>
          <w:sz w:val="36"/>
          <w:szCs w:val="36"/>
          <w:rtl/>
        </w:rPr>
        <w:t xml:space="preserve"> </w:t>
      </w:r>
      <w:r w:rsidR="00496E6E" w:rsidRPr="00FD211F">
        <w:rPr>
          <w:sz w:val="36"/>
          <w:szCs w:val="36"/>
          <w:rtl/>
        </w:rPr>
        <w:t>جريانهما</w:t>
      </w:r>
      <w:r w:rsidR="00E8128F">
        <w:rPr>
          <w:sz w:val="36"/>
          <w:szCs w:val="36"/>
          <w:rtl/>
        </w:rPr>
        <w:t xml:space="preserve"> </w:t>
      </w:r>
      <w:r w:rsidR="00496E6E" w:rsidRPr="00FD211F">
        <w:rPr>
          <w:sz w:val="36"/>
          <w:szCs w:val="36"/>
          <w:rtl/>
        </w:rPr>
        <w:t>في</w:t>
      </w:r>
      <w:r w:rsidR="00E8128F">
        <w:rPr>
          <w:sz w:val="36"/>
          <w:szCs w:val="36"/>
          <w:rtl/>
        </w:rPr>
        <w:t xml:space="preserve"> </w:t>
      </w:r>
      <w:r w:rsidR="00496E6E" w:rsidRPr="00FD211F">
        <w:rPr>
          <w:sz w:val="36"/>
          <w:szCs w:val="36"/>
          <w:rtl/>
        </w:rPr>
        <w:t>موارد</w:t>
      </w:r>
      <w:r w:rsidR="00E8128F">
        <w:rPr>
          <w:sz w:val="36"/>
          <w:szCs w:val="36"/>
          <w:rtl/>
        </w:rPr>
        <w:t xml:space="preserve"> </w:t>
      </w:r>
      <w:r w:rsidR="00496E6E" w:rsidRPr="00FD211F">
        <w:rPr>
          <w:sz w:val="36"/>
          <w:szCs w:val="36"/>
          <w:rtl/>
        </w:rPr>
        <w:t>الضرر</w:t>
      </w:r>
      <w:r w:rsidR="00E8128F">
        <w:rPr>
          <w:sz w:val="36"/>
          <w:szCs w:val="36"/>
          <w:rtl/>
        </w:rPr>
        <w:t xml:space="preserve"> </w:t>
      </w:r>
      <w:r w:rsidR="00496E6E" w:rsidRPr="00FD211F">
        <w:rPr>
          <w:sz w:val="36"/>
          <w:szCs w:val="36"/>
          <w:rtl/>
        </w:rPr>
        <w:t>والحرج</w:t>
      </w:r>
      <w:r w:rsidR="00E8128F">
        <w:rPr>
          <w:sz w:val="36"/>
          <w:szCs w:val="36"/>
          <w:rtl/>
        </w:rPr>
        <w:t xml:space="preserve"> </w:t>
      </w:r>
      <w:r w:rsidR="00496E6E" w:rsidRPr="00FD211F">
        <w:rPr>
          <w:sz w:val="36"/>
          <w:szCs w:val="36"/>
          <w:rtl/>
        </w:rPr>
        <w:t>النوعيين</w:t>
      </w:r>
      <w:r w:rsidR="00E8128F">
        <w:rPr>
          <w:sz w:val="36"/>
          <w:szCs w:val="36"/>
          <w:rtl/>
        </w:rPr>
        <w:t xml:space="preserve"> </w:t>
      </w:r>
      <w:r w:rsidR="00496E6E" w:rsidRPr="00FD211F">
        <w:rPr>
          <w:sz w:val="36"/>
          <w:szCs w:val="36"/>
          <w:rtl/>
        </w:rPr>
        <w:t>وقاعدتي</w:t>
      </w:r>
      <w:r w:rsidR="00E8128F">
        <w:rPr>
          <w:sz w:val="36"/>
          <w:szCs w:val="36"/>
          <w:rtl/>
        </w:rPr>
        <w:t xml:space="preserve"> </w:t>
      </w:r>
      <w:r w:rsidR="00496E6E" w:rsidRPr="00FD211F">
        <w:rPr>
          <w:sz w:val="36"/>
          <w:szCs w:val="36"/>
          <w:rtl/>
        </w:rPr>
        <w:t>مايضمن</w:t>
      </w:r>
      <w:r w:rsidR="00E8128F">
        <w:rPr>
          <w:sz w:val="36"/>
          <w:szCs w:val="36"/>
          <w:rtl/>
        </w:rPr>
        <w:t xml:space="preserve"> </w:t>
      </w:r>
      <w:r w:rsidR="00496E6E" w:rsidRPr="00FD211F">
        <w:rPr>
          <w:sz w:val="36"/>
          <w:szCs w:val="36"/>
          <w:rtl/>
        </w:rPr>
        <w:t>ومالايضمن</w:t>
      </w:r>
      <w:r w:rsidR="00E8128F">
        <w:rPr>
          <w:sz w:val="36"/>
          <w:szCs w:val="36"/>
          <w:rtl/>
        </w:rPr>
        <w:t xml:space="preserve"> </w:t>
      </w:r>
      <w:r w:rsidR="00496E6E" w:rsidRPr="00FD211F">
        <w:rPr>
          <w:sz w:val="36"/>
          <w:szCs w:val="36"/>
          <w:rtl/>
        </w:rPr>
        <w:t>وغيرها</w:t>
      </w:r>
      <w:r w:rsidR="00E8128F">
        <w:rPr>
          <w:sz w:val="36"/>
          <w:szCs w:val="36"/>
          <w:rtl/>
        </w:rPr>
        <w:t xml:space="preserve"> </w:t>
      </w:r>
      <w:r w:rsidR="00496E6E" w:rsidRPr="00FD211F">
        <w:rPr>
          <w:sz w:val="36"/>
          <w:szCs w:val="36"/>
          <w:rtl/>
        </w:rPr>
        <w:t>انما</w:t>
      </w:r>
      <w:r w:rsidR="00E8128F">
        <w:rPr>
          <w:sz w:val="36"/>
          <w:szCs w:val="36"/>
          <w:rtl/>
        </w:rPr>
        <w:t xml:space="preserve"> </w:t>
      </w:r>
      <w:r w:rsidR="00496E6E" w:rsidRPr="00FD211F">
        <w:rPr>
          <w:sz w:val="36"/>
          <w:szCs w:val="36"/>
          <w:rtl/>
        </w:rPr>
        <w:t>هي</w:t>
      </w:r>
      <w:r w:rsidR="00E8128F">
        <w:rPr>
          <w:sz w:val="36"/>
          <w:szCs w:val="36"/>
          <w:rtl/>
        </w:rPr>
        <w:t xml:space="preserve"> </w:t>
      </w:r>
      <w:r w:rsidR="00496E6E" w:rsidRPr="00FD211F">
        <w:rPr>
          <w:sz w:val="36"/>
          <w:szCs w:val="36"/>
          <w:rtl/>
        </w:rPr>
        <w:t>من</w:t>
      </w:r>
      <w:r w:rsidR="00E8128F">
        <w:rPr>
          <w:sz w:val="36"/>
          <w:szCs w:val="36"/>
          <w:rtl/>
        </w:rPr>
        <w:t xml:space="preserve"> </w:t>
      </w:r>
      <w:r w:rsidR="00496E6E" w:rsidRPr="00FD211F">
        <w:rPr>
          <w:sz w:val="36"/>
          <w:szCs w:val="36"/>
          <w:rtl/>
        </w:rPr>
        <w:t>باب</w:t>
      </w:r>
      <w:r w:rsidR="00E8128F">
        <w:rPr>
          <w:sz w:val="36"/>
          <w:szCs w:val="36"/>
          <w:rtl/>
        </w:rPr>
        <w:t xml:space="preserve"> </w:t>
      </w:r>
      <w:r w:rsidR="00496E6E" w:rsidRPr="00FD211F">
        <w:rPr>
          <w:sz w:val="36"/>
          <w:szCs w:val="36"/>
          <w:rtl/>
        </w:rPr>
        <w:t>تطبيق</w:t>
      </w:r>
      <w:r w:rsidR="00E8128F">
        <w:rPr>
          <w:sz w:val="36"/>
          <w:szCs w:val="36"/>
          <w:rtl/>
        </w:rPr>
        <w:t xml:space="preserve"> </w:t>
      </w:r>
      <w:r w:rsidR="00496E6E" w:rsidRPr="00FD211F">
        <w:rPr>
          <w:sz w:val="36"/>
          <w:szCs w:val="36"/>
          <w:rtl/>
        </w:rPr>
        <w:t>مضامينها</w:t>
      </w:r>
      <w:r w:rsidR="00E8128F">
        <w:rPr>
          <w:sz w:val="36"/>
          <w:szCs w:val="36"/>
          <w:rtl/>
        </w:rPr>
        <w:t xml:space="preserve"> </w:t>
      </w:r>
      <w:r w:rsidR="00496E6E" w:rsidRPr="00FD211F">
        <w:rPr>
          <w:sz w:val="36"/>
          <w:szCs w:val="36"/>
          <w:rtl/>
        </w:rPr>
        <w:t>بانفسها</w:t>
      </w:r>
      <w:r w:rsidR="00E8128F">
        <w:rPr>
          <w:sz w:val="36"/>
          <w:szCs w:val="36"/>
          <w:rtl/>
        </w:rPr>
        <w:t xml:space="preserve"> </w:t>
      </w:r>
      <w:r w:rsidR="00496E6E" w:rsidRPr="00FD211F">
        <w:rPr>
          <w:sz w:val="36"/>
          <w:szCs w:val="36"/>
          <w:rtl/>
        </w:rPr>
        <w:t>على</w:t>
      </w:r>
      <w:r w:rsidR="00E8128F">
        <w:rPr>
          <w:sz w:val="36"/>
          <w:szCs w:val="36"/>
          <w:rtl/>
        </w:rPr>
        <w:t xml:space="preserve"> </w:t>
      </w:r>
      <w:r w:rsidR="00496E6E" w:rsidRPr="00FD211F">
        <w:rPr>
          <w:sz w:val="36"/>
          <w:szCs w:val="36"/>
          <w:rtl/>
        </w:rPr>
        <w:t>مصاديقها</w:t>
      </w:r>
      <w:r w:rsidR="00E8128F">
        <w:rPr>
          <w:sz w:val="36"/>
          <w:szCs w:val="36"/>
          <w:rtl/>
        </w:rPr>
        <w:t xml:space="preserve"> </w:t>
      </w:r>
      <w:r w:rsidR="00496E6E" w:rsidRPr="00FD211F">
        <w:rPr>
          <w:sz w:val="36"/>
          <w:szCs w:val="36"/>
          <w:rtl/>
        </w:rPr>
        <w:t>لا</w:t>
      </w:r>
      <w:r w:rsidR="00E8128F">
        <w:rPr>
          <w:sz w:val="36"/>
          <w:szCs w:val="36"/>
          <w:rtl/>
        </w:rPr>
        <w:t xml:space="preserve"> </w:t>
      </w:r>
      <w:r w:rsidR="00496E6E" w:rsidRPr="00FD211F">
        <w:rPr>
          <w:sz w:val="36"/>
          <w:szCs w:val="36"/>
          <w:rtl/>
        </w:rPr>
        <w:t>من</w:t>
      </w:r>
      <w:r w:rsidR="00E8128F">
        <w:rPr>
          <w:sz w:val="36"/>
          <w:szCs w:val="36"/>
          <w:rtl/>
        </w:rPr>
        <w:t xml:space="preserve"> </w:t>
      </w:r>
      <w:r w:rsidR="00496E6E" w:rsidRPr="00FD211F">
        <w:rPr>
          <w:sz w:val="36"/>
          <w:szCs w:val="36"/>
          <w:rtl/>
        </w:rPr>
        <w:t>باب</w:t>
      </w:r>
      <w:r w:rsidR="00E8128F">
        <w:rPr>
          <w:sz w:val="36"/>
          <w:szCs w:val="36"/>
          <w:rtl/>
        </w:rPr>
        <w:t xml:space="preserve"> </w:t>
      </w:r>
      <w:r w:rsidR="00496E6E" w:rsidRPr="00FD211F">
        <w:rPr>
          <w:sz w:val="36"/>
          <w:szCs w:val="36"/>
          <w:rtl/>
        </w:rPr>
        <w:t>التوسيط</w:t>
      </w:r>
      <w:r w:rsidR="00E8128F">
        <w:rPr>
          <w:sz w:val="36"/>
          <w:szCs w:val="36"/>
          <w:rtl/>
        </w:rPr>
        <w:t xml:space="preserve"> </w:t>
      </w:r>
      <w:r w:rsidR="00496E6E" w:rsidRPr="00FD211F">
        <w:rPr>
          <w:sz w:val="36"/>
          <w:szCs w:val="36"/>
          <w:rtl/>
        </w:rPr>
        <w:t>والاستنباط</w:t>
      </w:r>
      <w:r w:rsidR="009C58C8" w:rsidRPr="00FD211F">
        <w:rPr>
          <w:rStyle w:val="a6"/>
          <w:sz w:val="36"/>
          <w:szCs w:val="36"/>
          <w:rtl/>
        </w:rPr>
        <w:t>(</w:t>
      </w:r>
      <w:r w:rsidR="009C58C8" w:rsidRPr="00FD211F">
        <w:rPr>
          <w:rStyle w:val="a6"/>
          <w:sz w:val="36"/>
          <w:szCs w:val="36"/>
          <w:rtl/>
        </w:rPr>
        <w:footnoteReference w:id="39"/>
      </w:r>
      <w:r w:rsidR="009C58C8" w:rsidRPr="00FD211F">
        <w:rPr>
          <w:rStyle w:val="a6"/>
          <w:sz w:val="36"/>
          <w:szCs w:val="36"/>
          <w:rtl/>
        </w:rPr>
        <w:t>)</w:t>
      </w:r>
      <w:r w:rsidR="00496E6E" w:rsidRPr="00FD211F">
        <w:rPr>
          <w:sz w:val="36"/>
          <w:szCs w:val="36"/>
          <w:rtl/>
        </w:rPr>
        <w:t>.</w:t>
      </w:r>
    </w:p>
    <w:p w14:paraId="0C043893" w14:textId="77777777" w:rsidR="00045DE3" w:rsidRPr="00FD211F" w:rsidRDefault="00045DE3" w:rsidP="009C58C8">
      <w:pPr>
        <w:ind w:left="0" w:firstLine="227"/>
        <w:jc w:val="both"/>
        <w:rPr>
          <w:sz w:val="36"/>
          <w:szCs w:val="36"/>
          <w:rtl/>
        </w:rPr>
      </w:pPr>
      <w:r w:rsidRPr="00FD211F">
        <w:rPr>
          <w:sz w:val="36"/>
          <w:szCs w:val="36"/>
          <w:rtl/>
        </w:rPr>
        <w:t>توضيح</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افاده</w:t>
      </w:r>
      <w:r w:rsidR="00E8128F">
        <w:rPr>
          <w:sz w:val="36"/>
          <w:szCs w:val="36"/>
          <w:rtl/>
        </w:rPr>
        <w:t xml:space="preserve"> </w:t>
      </w:r>
      <w:r w:rsidR="00550141" w:rsidRPr="00FD211F">
        <w:rPr>
          <w:sz w:val="36"/>
          <w:szCs w:val="36"/>
          <w:rtl/>
        </w:rPr>
        <w:t>ان</w:t>
      </w:r>
      <w:r w:rsidR="00E8128F">
        <w:rPr>
          <w:sz w:val="36"/>
          <w:szCs w:val="36"/>
          <w:rtl/>
        </w:rPr>
        <w:t xml:space="preserve"> </w:t>
      </w:r>
      <w:r w:rsidRPr="00FD211F">
        <w:rPr>
          <w:sz w:val="36"/>
          <w:szCs w:val="36"/>
          <w:rtl/>
        </w:rPr>
        <w:t>نتيج</w:t>
      </w:r>
      <w:r w:rsidR="00EC7EDF" w:rsidRPr="00FD211F">
        <w:rPr>
          <w:sz w:val="36"/>
          <w:szCs w:val="36"/>
          <w:rtl/>
        </w:rPr>
        <w:t>ة</w:t>
      </w:r>
      <w:r w:rsidR="00E8128F">
        <w:rPr>
          <w:sz w:val="36"/>
          <w:szCs w:val="36"/>
          <w:rtl/>
        </w:rPr>
        <w:t xml:space="preserve"> </w:t>
      </w:r>
      <w:r w:rsidRPr="00FD211F">
        <w:rPr>
          <w:sz w:val="36"/>
          <w:szCs w:val="36"/>
          <w:rtl/>
        </w:rPr>
        <w:t>المسأل</w:t>
      </w:r>
      <w:r w:rsidR="00EC7EDF" w:rsidRPr="00FD211F">
        <w:rPr>
          <w:sz w:val="36"/>
          <w:szCs w:val="36"/>
          <w:rtl/>
        </w:rPr>
        <w:t>ة</w:t>
      </w:r>
      <w:r w:rsidR="00E8128F">
        <w:rPr>
          <w:sz w:val="36"/>
          <w:szCs w:val="36"/>
          <w:rtl/>
        </w:rPr>
        <w:t xml:space="preserve"> </w:t>
      </w:r>
      <w:r w:rsidRPr="00FD211F">
        <w:rPr>
          <w:sz w:val="36"/>
          <w:szCs w:val="36"/>
          <w:rtl/>
        </w:rPr>
        <w:t>الأصولي</w:t>
      </w:r>
      <w:r w:rsidR="00EC7EDF" w:rsidRPr="00FD211F">
        <w:rPr>
          <w:sz w:val="36"/>
          <w:szCs w:val="36"/>
          <w:rtl/>
        </w:rPr>
        <w:t>ة</w:t>
      </w:r>
      <w:r w:rsidR="00E8128F">
        <w:rPr>
          <w:sz w:val="36"/>
          <w:szCs w:val="36"/>
          <w:rtl/>
        </w:rPr>
        <w:t xml:space="preserve"> </w:t>
      </w:r>
      <w:r w:rsidRPr="00FD211F">
        <w:rPr>
          <w:sz w:val="36"/>
          <w:szCs w:val="36"/>
          <w:rtl/>
        </w:rPr>
        <w:t>تغاير</w:t>
      </w:r>
      <w:r w:rsidR="00E8128F">
        <w:rPr>
          <w:sz w:val="36"/>
          <w:szCs w:val="36"/>
          <w:rtl/>
        </w:rPr>
        <w:t xml:space="preserve"> </w:t>
      </w:r>
      <w:r w:rsidRPr="00FD211F">
        <w:rPr>
          <w:sz w:val="36"/>
          <w:szCs w:val="36"/>
          <w:rtl/>
        </w:rPr>
        <w:t>دائما</w:t>
      </w:r>
      <w:r w:rsidR="00E8128F">
        <w:rPr>
          <w:sz w:val="36"/>
          <w:szCs w:val="36"/>
          <w:rtl/>
        </w:rPr>
        <w:t xml:space="preserve"> </w:t>
      </w:r>
      <w:r w:rsidRPr="00FD211F">
        <w:rPr>
          <w:sz w:val="36"/>
          <w:szCs w:val="36"/>
          <w:rtl/>
        </w:rPr>
        <w:t>الحكم</w:t>
      </w:r>
      <w:r w:rsidR="00E8128F">
        <w:rPr>
          <w:sz w:val="36"/>
          <w:szCs w:val="36"/>
          <w:rtl/>
        </w:rPr>
        <w:t xml:space="preserve"> </w:t>
      </w:r>
      <w:commentRangeStart w:id="38"/>
      <w:r w:rsidRPr="00FD211F">
        <w:rPr>
          <w:sz w:val="36"/>
          <w:szCs w:val="36"/>
          <w:rtl/>
        </w:rPr>
        <w:t>الشرعي</w:t>
      </w:r>
      <w:commentRangeEnd w:id="38"/>
      <w:r w:rsidR="007F0FA7">
        <w:rPr>
          <w:rStyle w:val="ab"/>
          <w:rtl/>
        </w:rPr>
        <w:commentReference w:id="38"/>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يك</w:t>
      </w:r>
      <w:r w:rsidR="009E446A" w:rsidRPr="00FD211F">
        <w:rPr>
          <w:sz w:val="36"/>
          <w:szCs w:val="36"/>
          <w:rtl/>
        </w:rPr>
        <w:t>ون</w:t>
      </w:r>
      <w:r w:rsidR="00E8128F">
        <w:rPr>
          <w:sz w:val="36"/>
          <w:szCs w:val="36"/>
          <w:rtl/>
        </w:rPr>
        <w:t xml:space="preserve"> </w:t>
      </w:r>
      <w:r w:rsidR="009E446A" w:rsidRPr="00FD211F">
        <w:rPr>
          <w:sz w:val="36"/>
          <w:szCs w:val="36"/>
          <w:rtl/>
        </w:rPr>
        <w:t>الفقيه</w:t>
      </w:r>
      <w:r w:rsidR="00E8128F">
        <w:rPr>
          <w:sz w:val="36"/>
          <w:szCs w:val="36"/>
          <w:rtl/>
        </w:rPr>
        <w:t xml:space="preserve"> </w:t>
      </w:r>
      <w:r w:rsidR="009E446A" w:rsidRPr="00FD211F">
        <w:rPr>
          <w:sz w:val="36"/>
          <w:szCs w:val="36"/>
          <w:rtl/>
        </w:rPr>
        <w:t>بصدد</w:t>
      </w:r>
      <w:r w:rsidR="00E8128F">
        <w:rPr>
          <w:sz w:val="36"/>
          <w:szCs w:val="36"/>
          <w:rtl/>
        </w:rPr>
        <w:t xml:space="preserve"> </w:t>
      </w:r>
      <w:r w:rsidR="009E446A" w:rsidRPr="00FD211F">
        <w:rPr>
          <w:sz w:val="36"/>
          <w:szCs w:val="36"/>
          <w:rtl/>
        </w:rPr>
        <w:t>است</w:t>
      </w:r>
      <w:r w:rsidR="00DB70DC" w:rsidRPr="00FD211F">
        <w:rPr>
          <w:sz w:val="36"/>
          <w:szCs w:val="36"/>
          <w:rtl/>
        </w:rPr>
        <w:t>نب</w:t>
      </w:r>
      <w:r w:rsidR="009E446A" w:rsidRPr="00FD211F">
        <w:rPr>
          <w:sz w:val="36"/>
          <w:szCs w:val="36"/>
          <w:rtl/>
        </w:rPr>
        <w:t>اطه</w:t>
      </w:r>
      <w:r w:rsidR="00E8128F">
        <w:rPr>
          <w:sz w:val="36"/>
          <w:szCs w:val="36"/>
          <w:rtl/>
        </w:rPr>
        <w:t xml:space="preserve"> </w:t>
      </w:r>
      <w:r w:rsidR="009E446A" w:rsidRPr="00FD211F">
        <w:rPr>
          <w:sz w:val="36"/>
          <w:szCs w:val="36"/>
          <w:rtl/>
        </w:rPr>
        <w:t>واستخراجه</w:t>
      </w:r>
      <w:r w:rsidR="00603323" w:rsidRPr="00FD211F">
        <w:rPr>
          <w:sz w:val="36"/>
          <w:szCs w:val="36"/>
          <w:rtl/>
        </w:rPr>
        <w:t>،</w:t>
      </w:r>
      <w:r w:rsidR="00E8128F">
        <w:rPr>
          <w:sz w:val="36"/>
          <w:szCs w:val="36"/>
          <w:rtl/>
        </w:rPr>
        <w:t xml:space="preserve"> </w:t>
      </w:r>
      <w:r w:rsidR="009E446A" w:rsidRPr="00FD211F">
        <w:rPr>
          <w:sz w:val="36"/>
          <w:szCs w:val="36"/>
          <w:rtl/>
        </w:rPr>
        <w:t>مثال</w:t>
      </w:r>
      <w:r w:rsidR="00E8128F">
        <w:rPr>
          <w:sz w:val="36"/>
          <w:szCs w:val="36"/>
          <w:rtl/>
        </w:rPr>
        <w:t xml:space="preserve"> </w:t>
      </w:r>
      <w:r w:rsidR="009E446A" w:rsidRPr="00FD211F">
        <w:rPr>
          <w:sz w:val="36"/>
          <w:szCs w:val="36"/>
          <w:rtl/>
        </w:rPr>
        <w:t>ذلك</w:t>
      </w:r>
      <w:r w:rsidR="00E8128F">
        <w:rPr>
          <w:sz w:val="36"/>
          <w:szCs w:val="36"/>
          <w:rtl/>
        </w:rPr>
        <w:t xml:space="preserve"> </w:t>
      </w:r>
      <w:r w:rsidR="009E446A" w:rsidRPr="00FD211F">
        <w:rPr>
          <w:sz w:val="36"/>
          <w:szCs w:val="36"/>
          <w:rtl/>
        </w:rPr>
        <w:t>ان</w:t>
      </w:r>
      <w:r w:rsidR="00E8128F">
        <w:rPr>
          <w:sz w:val="36"/>
          <w:szCs w:val="36"/>
          <w:rtl/>
        </w:rPr>
        <w:t xml:space="preserve"> </w:t>
      </w:r>
      <w:r w:rsidR="00DB70DC" w:rsidRPr="00FD211F">
        <w:rPr>
          <w:sz w:val="36"/>
          <w:szCs w:val="36"/>
          <w:rtl/>
        </w:rPr>
        <w:t>نتيج</w:t>
      </w:r>
      <w:r w:rsidR="00EC7EDF" w:rsidRPr="00FD211F">
        <w:rPr>
          <w:sz w:val="36"/>
          <w:szCs w:val="36"/>
          <w:rtl/>
        </w:rPr>
        <w:t>ة</w:t>
      </w:r>
      <w:r w:rsidR="00E8128F">
        <w:rPr>
          <w:sz w:val="36"/>
          <w:szCs w:val="36"/>
          <w:rtl/>
        </w:rPr>
        <w:t xml:space="preserve"> </w:t>
      </w:r>
      <w:r w:rsidR="009E446A" w:rsidRPr="00FD211F">
        <w:rPr>
          <w:sz w:val="36"/>
          <w:szCs w:val="36"/>
          <w:rtl/>
        </w:rPr>
        <w:t>حجي</w:t>
      </w:r>
      <w:r w:rsidR="00EC7EDF" w:rsidRPr="00FD211F">
        <w:rPr>
          <w:sz w:val="36"/>
          <w:szCs w:val="36"/>
          <w:rtl/>
        </w:rPr>
        <w:t>ة</w:t>
      </w:r>
      <w:r w:rsidR="00E8128F">
        <w:rPr>
          <w:sz w:val="36"/>
          <w:szCs w:val="36"/>
          <w:rtl/>
        </w:rPr>
        <w:t xml:space="preserve"> </w:t>
      </w:r>
      <w:r w:rsidR="009E446A" w:rsidRPr="00FD211F">
        <w:rPr>
          <w:sz w:val="36"/>
          <w:szCs w:val="36"/>
          <w:rtl/>
        </w:rPr>
        <w:t>خبر</w:t>
      </w:r>
      <w:r w:rsidR="00E8128F">
        <w:rPr>
          <w:sz w:val="36"/>
          <w:szCs w:val="36"/>
          <w:rtl/>
        </w:rPr>
        <w:t xml:space="preserve"> </w:t>
      </w:r>
      <w:r w:rsidR="009E446A" w:rsidRPr="00FD211F">
        <w:rPr>
          <w:sz w:val="36"/>
          <w:szCs w:val="36"/>
          <w:rtl/>
        </w:rPr>
        <w:t>الثق</w:t>
      </w:r>
      <w:r w:rsidR="00EC7EDF" w:rsidRPr="00FD211F">
        <w:rPr>
          <w:sz w:val="36"/>
          <w:szCs w:val="36"/>
          <w:rtl/>
        </w:rPr>
        <w:t>ة</w:t>
      </w:r>
      <w:r w:rsidR="00E8128F">
        <w:rPr>
          <w:sz w:val="36"/>
          <w:szCs w:val="36"/>
          <w:rtl/>
        </w:rPr>
        <w:t xml:space="preserve"> </w:t>
      </w:r>
      <w:r w:rsidR="00DB70DC" w:rsidRPr="00FD211F">
        <w:rPr>
          <w:sz w:val="36"/>
          <w:szCs w:val="36"/>
          <w:rtl/>
        </w:rPr>
        <w:t>هي</w:t>
      </w:r>
      <w:r w:rsidR="00E8128F">
        <w:rPr>
          <w:sz w:val="36"/>
          <w:szCs w:val="36"/>
          <w:rtl/>
        </w:rPr>
        <w:t xml:space="preserve"> </w:t>
      </w:r>
      <w:r w:rsidR="009E446A" w:rsidRPr="00FD211F">
        <w:rPr>
          <w:sz w:val="36"/>
          <w:szCs w:val="36"/>
          <w:rtl/>
        </w:rPr>
        <w:t>حجي</w:t>
      </w:r>
      <w:r w:rsidR="00EC7EDF" w:rsidRPr="00FD211F">
        <w:rPr>
          <w:sz w:val="36"/>
          <w:szCs w:val="36"/>
          <w:rtl/>
        </w:rPr>
        <w:t>ة</w:t>
      </w:r>
      <w:r w:rsidR="00E8128F">
        <w:rPr>
          <w:sz w:val="36"/>
          <w:szCs w:val="36"/>
          <w:rtl/>
        </w:rPr>
        <w:t xml:space="preserve"> </w:t>
      </w:r>
      <w:r w:rsidR="009E446A" w:rsidRPr="00FD211F">
        <w:rPr>
          <w:sz w:val="36"/>
          <w:szCs w:val="36"/>
          <w:rtl/>
        </w:rPr>
        <w:t>خبر</w:t>
      </w:r>
      <w:r w:rsidR="00E8128F">
        <w:rPr>
          <w:sz w:val="36"/>
          <w:szCs w:val="36"/>
          <w:rtl/>
        </w:rPr>
        <w:t xml:space="preserve"> </w:t>
      </w:r>
      <w:r w:rsidR="009E446A" w:rsidRPr="00FD211F">
        <w:rPr>
          <w:sz w:val="36"/>
          <w:szCs w:val="36"/>
          <w:rtl/>
        </w:rPr>
        <w:t>الثق</w:t>
      </w:r>
      <w:r w:rsidR="00EC7EDF" w:rsidRPr="00FD211F">
        <w:rPr>
          <w:sz w:val="36"/>
          <w:szCs w:val="36"/>
          <w:rtl/>
        </w:rPr>
        <w:t>ة</w:t>
      </w:r>
      <w:r w:rsidR="00E8128F">
        <w:rPr>
          <w:sz w:val="36"/>
          <w:szCs w:val="36"/>
          <w:rtl/>
        </w:rPr>
        <w:t xml:space="preserve"> </w:t>
      </w:r>
      <w:r w:rsidR="009E446A" w:rsidRPr="00FD211F">
        <w:rPr>
          <w:sz w:val="36"/>
          <w:szCs w:val="36"/>
          <w:rtl/>
        </w:rPr>
        <w:t>الدال</w:t>
      </w:r>
      <w:r w:rsidR="00E8128F">
        <w:rPr>
          <w:sz w:val="36"/>
          <w:szCs w:val="36"/>
          <w:rtl/>
        </w:rPr>
        <w:t xml:space="preserve"> </w:t>
      </w:r>
      <w:r w:rsidR="009E446A" w:rsidRPr="00FD211F">
        <w:rPr>
          <w:sz w:val="36"/>
          <w:szCs w:val="36"/>
          <w:rtl/>
        </w:rPr>
        <w:t>على</w:t>
      </w:r>
      <w:r w:rsidR="00E8128F">
        <w:rPr>
          <w:sz w:val="36"/>
          <w:szCs w:val="36"/>
          <w:rtl/>
        </w:rPr>
        <w:t xml:space="preserve"> </w:t>
      </w:r>
      <w:r w:rsidR="009E446A" w:rsidRPr="00FD211F">
        <w:rPr>
          <w:sz w:val="36"/>
          <w:szCs w:val="36"/>
          <w:rtl/>
        </w:rPr>
        <w:t>وجوب</w:t>
      </w:r>
      <w:r w:rsidR="00E8128F">
        <w:rPr>
          <w:sz w:val="36"/>
          <w:szCs w:val="36"/>
          <w:rtl/>
        </w:rPr>
        <w:t xml:space="preserve"> </w:t>
      </w:r>
      <w:r w:rsidR="009E446A" w:rsidRPr="00FD211F">
        <w:rPr>
          <w:sz w:val="36"/>
          <w:szCs w:val="36"/>
          <w:rtl/>
        </w:rPr>
        <w:t>صلا</w:t>
      </w:r>
      <w:r w:rsidR="00EC7EDF" w:rsidRPr="00FD211F">
        <w:rPr>
          <w:sz w:val="36"/>
          <w:szCs w:val="36"/>
          <w:rtl/>
        </w:rPr>
        <w:t>ة</w:t>
      </w:r>
      <w:r w:rsidR="00E8128F">
        <w:rPr>
          <w:sz w:val="36"/>
          <w:szCs w:val="36"/>
          <w:rtl/>
        </w:rPr>
        <w:t xml:space="preserve"> </w:t>
      </w:r>
      <w:r w:rsidR="009E446A" w:rsidRPr="00FD211F">
        <w:rPr>
          <w:sz w:val="36"/>
          <w:szCs w:val="36"/>
          <w:rtl/>
        </w:rPr>
        <w:t>الجمع</w:t>
      </w:r>
      <w:r w:rsidR="00EC7EDF" w:rsidRPr="00FD211F">
        <w:rPr>
          <w:sz w:val="36"/>
          <w:szCs w:val="36"/>
          <w:rtl/>
        </w:rPr>
        <w:t>ة</w:t>
      </w:r>
      <w:r w:rsidR="00E8128F">
        <w:rPr>
          <w:sz w:val="36"/>
          <w:szCs w:val="36"/>
          <w:rtl/>
        </w:rPr>
        <w:t xml:space="preserve"> </w:t>
      </w:r>
      <w:r w:rsidR="009E446A" w:rsidRPr="00FD211F">
        <w:rPr>
          <w:sz w:val="36"/>
          <w:szCs w:val="36"/>
          <w:rtl/>
        </w:rPr>
        <w:t>مثلا</w:t>
      </w:r>
      <w:r w:rsidR="00603323" w:rsidRPr="00FD211F">
        <w:rPr>
          <w:sz w:val="36"/>
          <w:szCs w:val="36"/>
          <w:rtl/>
        </w:rPr>
        <w:t>،</w:t>
      </w:r>
      <w:r w:rsidR="00E8128F">
        <w:rPr>
          <w:sz w:val="36"/>
          <w:szCs w:val="36"/>
          <w:rtl/>
        </w:rPr>
        <w:t xml:space="preserve"> </w:t>
      </w:r>
      <w:r w:rsidR="00693C5E" w:rsidRPr="00FD211F">
        <w:rPr>
          <w:sz w:val="36"/>
          <w:szCs w:val="36"/>
          <w:rtl/>
        </w:rPr>
        <w:t>و</w:t>
      </w:r>
      <w:r w:rsidR="009E446A" w:rsidRPr="00FD211F">
        <w:rPr>
          <w:sz w:val="36"/>
          <w:szCs w:val="36"/>
          <w:rtl/>
        </w:rPr>
        <w:t>حجيته</w:t>
      </w:r>
      <w:r w:rsidR="00E8128F">
        <w:rPr>
          <w:sz w:val="36"/>
          <w:szCs w:val="36"/>
          <w:rtl/>
        </w:rPr>
        <w:t xml:space="preserve"> </w:t>
      </w:r>
      <w:r w:rsidR="009E446A" w:rsidRPr="00FD211F">
        <w:rPr>
          <w:sz w:val="36"/>
          <w:szCs w:val="36"/>
          <w:rtl/>
        </w:rPr>
        <w:t>مغاير</w:t>
      </w:r>
      <w:r w:rsidR="00EC7EDF" w:rsidRPr="00FD211F">
        <w:rPr>
          <w:sz w:val="36"/>
          <w:szCs w:val="36"/>
          <w:rtl/>
        </w:rPr>
        <w:t>ة</w:t>
      </w:r>
      <w:r w:rsidR="00E8128F">
        <w:rPr>
          <w:sz w:val="36"/>
          <w:szCs w:val="36"/>
          <w:rtl/>
        </w:rPr>
        <w:t xml:space="preserve"> </w:t>
      </w:r>
      <w:r w:rsidR="009E53D7" w:rsidRPr="00FD211F">
        <w:rPr>
          <w:sz w:val="36"/>
          <w:szCs w:val="36"/>
          <w:rtl/>
        </w:rPr>
        <w:t>مع</w:t>
      </w:r>
      <w:r w:rsidR="00E8128F">
        <w:rPr>
          <w:sz w:val="36"/>
          <w:szCs w:val="36"/>
          <w:rtl/>
        </w:rPr>
        <w:t xml:space="preserve"> </w:t>
      </w:r>
      <w:r w:rsidR="009E53D7" w:rsidRPr="00FD211F">
        <w:rPr>
          <w:sz w:val="36"/>
          <w:szCs w:val="36"/>
          <w:rtl/>
        </w:rPr>
        <w:t>نفس</w:t>
      </w:r>
      <w:r w:rsidR="00E8128F">
        <w:rPr>
          <w:sz w:val="36"/>
          <w:szCs w:val="36"/>
          <w:rtl/>
        </w:rPr>
        <w:t xml:space="preserve"> </w:t>
      </w:r>
      <w:r w:rsidR="009E446A" w:rsidRPr="00FD211F">
        <w:rPr>
          <w:sz w:val="36"/>
          <w:szCs w:val="36"/>
          <w:rtl/>
        </w:rPr>
        <w:t>وجوب</w:t>
      </w:r>
      <w:r w:rsidR="00E8128F">
        <w:rPr>
          <w:sz w:val="36"/>
          <w:szCs w:val="36"/>
          <w:rtl/>
        </w:rPr>
        <w:t xml:space="preserve"> </w:t>
      </w:r>
      <w:r w:rsidR="009E446A" w:rsidRPr="00FD211F">
        <w:rPr>
          <w:sz w:val="36"/>
          <w:szCs w:val="36"/>
          <w:rtl/>
        </w:rPr>
        <w:t>صلا</w:t>
      </w:r>
      <w:r w:rsidR="00EC7EDF" w:rsidRPr="00FD211F">
        <w:rPr>
          <w:sz w:val="36"/>
          <w:szCs w:val="36"/>
          <w:rtl/>
        </w:rPr>
        <w:t>ة</w:t>
      </w:r>
      <w:r w:rsidR="00E8128F">
        <w:rPr>
          <w:sz w:val="36"/>
          <w:szCs w:val="36"/>
          <w:rtl/>
        </w:rPr>
        <w:t xml:space="preserve"> </w:t>
      </w:r>
      <w:r w:rsidR="009E446A" w:rsidRPr="00FD211F">
        <w:rPr>
          <w:sz w:val="36"/>
          <w:szCs w:val="36"/>
          <w:rtl/>
        </w:rPr>
        <w:t>الجمع</w:t>
      </w:r>
      <w:r w:rsidR="00EC7EDF" w:rsidRPr="00FD211F">
        <w:rPr>
          <w:sz w:val="36"/>
          <w:szCs w:val="36"/>
          <w:rtl/>
        </w:rPr>
        <w:t>ة</w:t>
      </w:r>
      <w:r w:rsidR="00E8128F">
        <w:rPr>
          <w:sz w:val="36"/>
          <w:szCs w:val="36"/>
          <w:rtl/>
        </w:rPr>
        <w:t xml:space="preserve"> </w:t>
      </w:r>
      <w:r w:rsidR="009E446A" w:rsidRPr="00FD211F">
        <w:rPr>
          <w:sz w:val="36"/>
          <w:szCs w:val="36"/>
          <w:rtl/>
        </w:rPr>
        <w:t>الذي</w:t>
      </w:r>
      <w:r w:rsidR="00E8128F">
        <w:rPr>
          <w:sz w:val="36"/>
          <w:szCs w:val="36"/>
          <w:rtl/>
        </w:rPr>
        <w:t xml:space="preserve"> </w:t>
      </w:r>
      <w:r w:rsidR="009E446A" w:rsidRPr="00FD211F">
        <w:rPr>
          <w:sz w:val="36"/>
          <w:szCs w:val="36"/>
          <w:rtl/>
        </w:rPr>
        <w:t>يكون</w:t>
      </w:r>
      <w:r w:rsidR="00E8128F">
        <w:rPr>
          <w:sz w:val="36"/>
          <w:szCs w:val="36"/>
          <w:rtl/>
        </w:rPr>
        <w:t xml:space="preserve"> </w:t>
      </w:r>
      <w:r w:rsidR="009E446A" w:rsidRPr="00FD211F">
        <w:rPr>
          <w:sz w:val="36"/>
          <w:szCs w:val="36"/>
          <w:rtl/>
        </w:rPr>
        <w:t>الفقيه</w:t>
      </w:r>
      <w:r w:rsidR="00E8128F">
        <w:rPr>
          <w:sz w:val="36"/>
          <w:szCs w:val="36"/>
          <w:rtl/>
        </w:rPr>
        <w:t xml:space="preserve"> </w:t>
      </w:r>
      <w:r w:rsidR="009E446A" w:rsidRPr="00FD211F">
        <w:rPr>
          <w:sz w:val="36"/>
          <w:szCs w:val="36"/>
          <w:rtl/>
        </w:rPr>
        <w:t>بصدد</w:t>
      </w:r>
      <w:r w:rsidR="00E8128F">
        <w:rPr>
          <w:sz w:val="36"/>
          <w:szCs w:val="36"/>
          <w:rtl/>
        </w:rPr>
        <w:t xml:space="preserve"> </w:t>
      </w:r>
      <w:commentRangeStart w:id="39"/>
      <w:r w:rsidR="009E446A" w:rsidRPr="00FD211F">
        <w:rPr>
          <w:sz w:val="36"/>
          <w:szCs w:val="36"/>
          <w:rtl/>
        </w:rPr>
        <w:t>استنباطه</w:t>
      </w:r>
      <w:commentRangeEnd w:id="39"/>
      <w:r w:rsidR="00804923">
        <w:rPr>
          <w:rStyle w:val="ab"/>
          <w:rtl/>
        </w:rPr>
        <w:commentReference w:id="39"/>
      </w:r>
      <w:r w:rsidR="00603323" w:rsidRPr="00FD211F">
        <w:rPr>
          <w:sz w:val="36"/>
          <w:szCs w:val="36"/>
          <w:rtl/>
        </w:rPr>
        <w:t>،</w:t>
      </w:r>
      <w:r w:rsidR="00E8128F">
        <w:rPr>
          <w:sz w:val="36"/>
          <w:szCs w:val="36"/>
          <w:rtl/>
        </w:rPr>
        <w:t xml:space="preserve"> </w:t>
      </w:r>
      <w:r w:rsidR="009E446A" w:rsidRPr="00FD211F">
        <w:rPr>
          <w:sz w:val="36"/>
          <w:szCs w:val="36"/>
          <w:rtl/>
        </w:rPr>
        <w:t>سواء</w:t>
      </w:r>
      <w:r w:rsidR="00E8128F">
        <w:rPr>
          <w:sz w:val="36"/>
          <w:szCs w:val="36"/>
          <w:rtl/>
        </w:rPr>
        <w:t xml:space="preserve"> </w:t>
      </w:r>
      <w:r w:rsidR="009E446A" w:rsidRPr="00FD211F">
        <w:rPr>
          <w:sz w:val="36"/>
          <w:szCs w:val="36"/>
          <w:rtl/>
        </w:rPr>
        <w:t>اريد</w:t>
      </w:r>
      <w:r w:rsidR="00E8128F">
        <w:rPr>
          <w:sz w:val="36"/>
          <w:szCs w:val="36"/>
          <w:rtl/>
        </w:rPr>
        <w:t xml:space="preserve"> </w:t>
      </w:r>
      <w:r w:rsidR="009E446A" w:rsidRPr="00FD211F">
        <w:rPr>
          <w:sz w:val="36"/>
          <w:szCs w:val="36"/>
          <w:rtl/>
        </w:rPr>
        <w:t>من</w:t>
      </w:r>
      <w:r w:rsidR="00E8128F">
        <w:rPr>
          <w:sz w:val="36"/>
          <w:szCs w:val="36"/>
          <w:rtl/>
        </w:rPr>
        <w:t xml:space="preserve"> </w:t>
      </w:r>
      <w:r w:rsidR="009E446A" w:rsidRPr="00FD211F">
        <w:rPr>
          <w:sz w:val="36"/>
          <w:szCs w:val="36"/>
          <w:rtl/>
        </w:rPr>
        <w:t>حجي</w:t>
      </w:r>
      <w:r w:rsidR="00EC7EDF" w:rsidRPr="00FD211F">
        <w:rPr>
          <w:sz w:val="36"/>
          <w:szCs w:val="36"/>
          <w:rtl/>
        </w:rPr>
        <w:t>ة</w:t>
      </w:r>
      <w:r w:rsidR="00E8128F">
        <w:rPr>
          <w:sz w:val="36"/>
          <w:szCs w:val="36"/>
          <w:rtl/>
        </w:rPr>
        <w:t xml:space="preserve"> </w:t>
      </w:r>
      <w:r w:rsidR="009E446A" w:rsidRPr="00FD211F">
        <w:rPr>
          <w:sz w:val="36"/>
          <w:szCs w:val="36"/>
          <w:rtl/>
        </w:rPr>
        <w:t>خبر</w:t>
      </w:r>
      <w:r w:rsidR="00E8128F">
        <w:rPr>
          <w:sz w:val="36"/>
          <w:szCs w:val="36"/>
          <w:rtl/>
        </w:rPr>
        <w:t xml:space="preserve"> </w:t>
      </w:r>
      <w:r w:rsidR="009E446A" w:rsidRPr="00FD211F">
        <w:rPr>
          <w:sz w:val="36"/>
          <w:szCs w:val="36"/>
          <w:rtl/>
        </w:rPr>
        <w:t>الثق</w:t>
      </w:r>
      <w:r w:rsidR="00EC7EDF" w:rsidRPr="00FD211F">
        <w:rPr>
          <w:sz w:val="36"/>
          <w:szCs w:val="36"/>
          <w:rtl/>
        </w:rPr>
        <w:t>ة</w:t>
      </w:r>
      <w:r w:rsidR="00E8128F">
        <w:rPr>
          <w:sz w:val="36"/>
          <w:szCs w:val="36"/>
          <w:rtl/>
        </w:rPr>
        <w:t xml:space="preserve"> </w:t>
      </w:r>
      <w:r w:rsidR="009E446A" w:rsidRPr="00FD211F">
        <w:rPr>
          <w:sz w:val="36"/>
          <w:szCs w:val="36"/>
          <w:rtl/>
        </w:rPr>
        <w:t>جعل</w:t>
      </w:r>
      <w:r w:rsidR="00E8128F">
        <w:rPr>
          <w:sz w:val="36"/>
          <w:szCs w:val="36"/>
          <w:rtl/>
        </w:rPr>
        <w:t xml:space="preserve"> </w:t>
      </w:r>
      <w:r w:rsidR="009E446A" w:rsidRPr="00FD211F">
        <w:rPr>
          <w:sz w:val="36"/>
          <w:szCs w:val="36"/>
          <w:rtl/>
        </w:rPr>
        <w:t>الحكم</w:t>
      </w:r>
      <w:r w:rsidR="00E8128F">
        <w:rPr>
          <w:sz w:val="36"/>
          <w:szCs w:val="36"/>
          <w:rtl/>
        </w:rPr>
        <w:t xml:space="preserve"> </w:t>
      </w:r>
      <w:r w:rsidR="009E446A" w:rsidRPr="00FD211F">
        <w:rPr>
          <w:sz w:val="36"/>
          <w:szCs w:val="36"/>
          <w:rtl/>
        </w:rPr>
        <w:t>المماثل</w:t>
      </w:r>
      <w:r w:rsidR="00E8128F">
        <w:rPr>
          <w:sz w:val="36"/>
          <w:szCs w:val="36"/>
          <w:rtl/>
        </w:rPr>
        <w:t xml:space="preserve"> </w:t>
      </w:r>
      <w:r w:rsidR="009E446A" w:rsidRPr="00FD211F">
        <w:rPr>
          <w:sz w:val="36"/>
          <w:szCs w:val="36"/>
          <w:rtl/>
        </w:rPr>
        <w:t>او</w:t>
      </w:r>
      <w:r w:rsidR="00E8128F">
        <w:rPr>
          <w:sz w:val="36"/>
          <w:szCs w:val="36"/>
          <w:rtl/>
        </w:rPr>
        <w:t xml:space="preserve"> </w:t>
      </w:r>
      <w:r w:rsidR="009E446A" w:rsidRPr="00FD211F">
        <w:rPr>
          <w:sz w:val="36"/>
          <w:szCs w:val="36"/>
          <w:rtl/>
        </w:rPr>
        <w:t>كون</w:t>
      </w:r>
      <w:r w:rsidR="00E8128F">
        <w:rPr>
          <w:sz w:val="36"/>
          <w:szCs w:val="36"/>
          <w:rtl/>
        </w:rPr>
        <w:t xml:space="preserve"> </w:t>
      </w:r>
      <w:r w:rsidR="009E446A" w:rsidRPr="00FD211F">
        <w:rPr>
          <w:sz w:val="36"/>
          <w:szCs w:val="36"/>
          <w:rtl/>
        </w:rPr>
        <w:t>الخبر</w:t>
      </w:r>
      <w:r w:rsidR="00E8128F">
        <w:rPr>
          <w:sz w:val="36"/>
          <w:szCs w:val="36"/>
          <w:rtl/>
        </w:rPr>
        <w:t xml:space="preserve"> </w:t>
      </w:r>
      <w:r w:rsidR="009E446A" w:rsidRPr="00FD211F">
        <w:rPr>
          <w:sz w:val="36"/>
          <w:szCs w:val="36"/>
          <w:rtl/>
        </w:rPr>
        <w:t>علما</w:t>
      </w:r>
      <w:r w:rsidR="00E8128F">
        <w:rPr>
          <w:sz w:val="36"/>
          <w:szCs w:val="36"/>
          <w:rtl/>
        </w:rPr>
        <w:t xml:space="preserve"> </w:t>
      </w:r>
      <w:r w:rsidR="009E446A" w:rsidRPr="00FD211F">
        <w:rPr>
          <w:sz w:val="36"/>
          <w:szCs w:val="36"/>
          <w:rtl/>
        </w:rPr>
        <w:t>تعبديا</w:t>
      </w:r>
      <w:r w:rsidR="00E8128F">
        <w:rPr>
          <w:sz w:val="36"/>
          <w:szCs w:val="36"/>
          <w:rtl/>
        </w:rPr>
        <w:t xml:space="preserve"> </w:t>
      </w:r>
      <w:r w:rsidR="009E446A" w:rsidRPr="00FD211F">
        <w:rPr>
          <w:sz w:val="36"/>
          <w:szCs w:val="36"/>
          <w:rtl/>
        </w:rPr>
        <w:t>بالواقع</w:t>
      </w:r>
      <w:r w:rsidR="00E8128F">
        <w:rPr>
          <w:sz w:val="36"/>
          <w:szCs w:val="36"/>
          <w:rtl/>
        </w:rPr>
        <w:t xml:space="preserve"> </w:t>
      </w:r>
      <w:r w:rsidR="009E446A" w:rsidRPr="00FD211F">
        <w:rPr>
          <w:sz w:val="36"/>
          <w:szCs w:val="36"/>
          <w:rtl/>
        </w:rPr>
        <w:t>ا</w:t>
      </w:r>
      <w:r w:rsidR="009E53D7" w:rsidRPr="00FD211F">
        <w:rPr>
          <w:sz w:val="36"/>
          <w:szCs w:val="36"/>
          <w:rtl/>
        </w:rPr>
        <w:t>و</w:t>
      </w:r>
      <w:r w:rsidR="00E8128F">
        <w:rPr>
          <w:sz w:val="36"/>
          <w:szCs w:val="36"/>
          <w:rtl/>
        </w:rPr>
        <w:t xml:space="preserve"> </w:t>
      </w:r>
      <w:r w:rsidR="009E53D7" w:rsidRPr="00FD211F">
        <w:rPr>
          <w:sz w:val="36"/>
          <w:szCs w:val="36"/>
          <w:rtl/>
        </w:rPr>
        <w:t>كونه</w:t>
      </w:r>
      <w:r w:rsidR="00E8128F">
        <w:rPr>
          <w:sz w:val="36"/>
          <w:szCs w:val="36"/>
          <w:rtl/>
        </w:rPr>
        <w:t xml:space="preserve"> </w:t>
      </w:r>
      <w:r w:rsidR="009E53D7" w:rsidRPr="00FD211F">
        <w:rPr>
          <w:sz w:val="36"/>
          <w:szCs w:val="36"/>
          <w:rtl/>
        </w:rPr>
        <w:t>منجزا</w:t>
      </w:r>
      <w:r w:rsidR="00E8128F">
        <w:rPr>
          <w:sz w:val="36"/>
          <w:szCs w:val="36"/>
          <w:rtl/>
        </w:rPr>
        <w:t xml:space="preserve"> </w:t>
      </w:r>
      <w:r w:rsidR="009E53D7" w:rsidRPr="00FD211F">
        <w:rPr>
          <w:sz w:val="36"/>
          <w:szCs w:val="36"/>
          <w:rtl/>
        </w:rPr>
        <w:t>ومعذرا</w:t>
      </w:r>
      <w:r w:rsidR="00E8128F">
        <w:rPr>
          <w:sz w:val="36"/>
          <w:szCs w:val="36"/>
          <w:rtl/>
        </w:rPr>
        <w:t xml:space="preserve"> </w:t>
      </w:r>
      <w:r w:rsidR="009E53D7" w:rsidRPr="00FD211F">
        <w:rPr>
          <w:sz w:val="36"/>
          <w:szCs w:val="36"/>
          <w:rtl/>
        </w:rPr>
        <w:t>بالنسب</w:t>
      </w:r>
      <w:r w:rsidR="00EC7EDF" w:rsidRPr="00FD211F">
        <w:rPr>
          <w:sz w:val="36"/>
          <w:szCs w:val="36"/>
          <w:rtl/>
        </w:rPr>
        <w:t>ة</w:t>
      </w:r>
      <w:r w:rsidR="00E8128F">
        <w:rPr>
          <w:sz w:val="36"/>
          <w:szCs w:val="36"/>
          <w:rtl/>
        </w:rPr>
        <w:t xml:space="preserve"> </w:t>
      </w:r>
      <w:r w:rsidR="009E53D7" w:rsidRPr="00FD211F">
        <w:rPr>
          <w:sz w:val="36"/>
          <w:szCs w:val="36"/>
          <w:rtl/>
        </w:rPr>
        <w:t>الى</w:t>
      </w:r>
      <w:r w:rsidR="00E8128F">
        <w:rPr>
          <w:sz w:val="36"/>
          <w:szCs w:val="36"/>
          <w:rtl/>
        </w:rPr>
        <w:t xml:space="preserve"> </w:t>
      </w:r>
      <w:r w:rsidR="009E53D7" w:rsidRPr="00FD211F">
        <w:rPr>
          <w:sz w:val="36"/>
          <w:szCs w:val="36"/>
          <w:rtl/>
        </w:rPr>
        <w:t>الواقع</w:t>
      </w:r>
      <w:r w:rsidR="00603323" w:rsidRPr="00FD211F">
        <w:rPr>
          <w:sz w:val="36"/>
          <w:szCs w:val="36"/>
          <w:rtl/>
        </w:rPr>
        <w:t>،</w:t>
      </w:r>
      <w:r w:rsidR="00E8128F">
        <w:rPr>
          <w:sz w:val="36"/>
          <w:szCs w:val="36"/>
          <w:rtl/>
        </w:rPr>
        <w:t xml:space="preserve"> </w:t>
      </w:r>
      <w:r w:rsidR="009E446A" w:rsidRPr="00FD211F">
        <w:rPr>
          <w:sz w:val="36"/>
          <w:szCs w:val="36"/>
          <w:rtl/>
        </w:rPr>
        <w:t>وهكذا</w:t>
      </w:r>
      <w:r w:rsidR="00E8128F">
        <w:rPr>
          <w:sz w:val="36"/>
          <w:szCs w:val="36"/>
          <w:rtl/>
        </w:rPr>
        <w:t xml:space="preserve"> </w:t>
      </w:r>
      <w:r w:rsidR="009E446A" w:rsidRPr="00FD211F">
        <w:rPr>
          <w:sz w:val="36"/>
          <w:szCs w:val="36"/>
          <w:rtl/>
        </w:rPr>
        <w:t>حينما</w:t>
      </w:r>
      <w:r w:rsidR="00E8128F">
        <w:rPr>
          <w:sz w:val="36"/>
          <w:szCs w:val="36"/>
          <w:rtl/>
        </w:rPr>
        <w:t xml:space="preserve"> </w:t>
      </w:r>
      <w:r w:rsidR="009E446A" w:rsidRPr="00FD211F">
        <w:rPr>
          <w:sz w:val="36"/>
          <w:szCs w:val="36"/>
          <w:rtl/>
        </w:rPr>
        <w:t>يطبق</w:t>
      </w:r>
      <w:r w:rsidR="00E8128F">
        <w:rPr>
          <w:sz w:val="36"/>
          <w:szCs w:val="36"/>
          <w:rtl/>
        </w:rPr>
        <w:t xml:space="preserve"> </w:t>
      </w:r>
      <w:r w:rsidR="009E446A" w:rsidRPr="00FD211F">
        <w:rPr>
          <w:sz w:val="36"/>
          <w:szCs w:val="36"/>
          <w:rtl/>
        </w:rPr>
        <w:t>الفقيه</w:t>
      </w:r>
      <w:r w:rsidR="00E8128F">
        <w:rPr>
          <w:sz w:val="36"/>
          <w:szCs w:val="36"/>
          <w:rtl/>
        </w:rPr>
        <w:t xml:space="preserve"> </w:t>
      </w:r>
      <w:r w:rsidR="009E446A" w:rsidRPr="00FD211F">
        <w:rPr>
          <w:sz w:val="36"/>
          <w:szCs w:val="36"/>
          <w:rtl/>
        </w:rPr>
        <w:t>البراء</w:t>
      </w:r>
      <w:r w:rsidR="00EC7EDF" w:rsidRPr="00FD211F">
        <w:rPr>
          <w:sz w:val="36"/>
          <w:szCs w:val="36"/>
          <w:rtl/>
        </w:rPr>
        <w:t>ة</w:t>
      </w:r>
      <w:r w:rsidR="00E8128F">
        <w:rPr>
          <w:sz w:val="36"/>
          <w:szCs w:val="36"/>
          <w:rtl/>
        </w:rPr>
        <w:t xml:space="preserve"> </w:t>
      </w:r>
      <w:r w:rsidR="009E446A" w:rsidRPr="00FD211F">
        <w:rPr>
          <w:sz w:val="36"/>
          <w:szCs w:val="36"/>
          <w:rtl/>
        </w:rPr>
        <w:t>في</w:t>
      </w:r>
      <w:r w:rsidR="00E8128F">
        <w:rPr>
          <w:sz w:val="36"/>
          <w:szCs w:val="36"/>
          <w:rtl/>
        </w:rPr>
        <w:t xml:space="preserve"> </w:t>
      </w:r>
      <w:r w:rsidR="009E446A" w:rsidRPr="00FD211F">
        <w:rPr>
          <w:sz w:val="36"/>
          <w:szCs w:val="36"/>
          <w:rtl/>
        </w:rPr>
        <w:t>الشبه</w:t>
      </w:r>
      <w:r w:rsidR="00EC7EDF" w:rsidRPr="00FD211F">
        <w:rPr>
          <w:sz w:val="36"/>
          <w:szCs w:val="36"/>
          <w:rtl/>
        </w:rPr>
        <w:t>ة</w:t>
      </w:r>
      <w:r w:rsidR="00E8128F">
        <w:rPr>
          <w:sz w:val="36"/>
          <w:szCs w:val="36"/>
          <w:rtl/>
        </w:rPr>
        <w:t xml:space="preserve"> </w:t>
      </w:r>
      <w:r w:rsidR="009E446A" w:rsidRPr="00FD211F">
        <w:rPr>
          <w:sz w:val="36"/>
          <w:szCs w:val="36"/>
          <w:rtl/>
        </w:rPr>
        <w:t>البدوي</w:t>
      </w:r>
      <w:r w:rsidR="00EC7EDF" w:rsidRPr="00FD211F">
        <w:rPr>
          <w:sz w:val="36"/>
          <w:szCs w:val="36"/>
          <w:rtl/>
        </w:rPr>
        <w:t>ة</w:t>
      </w:r>
      <w:r w:rsidR="00E8128F">
        <w:rPr>
          <w:sz w:val="36"/>
          <w:szCs w:val="36"/>
          <w:rtl/>
        </w:rPr>
        <w:t xml:space="preserve"> </w:t>
      </w:r>
      <w:r w:rsidR="009E446A" w:rsidRPr="00FD211F">
        <w:rPr>
          <w:sz w:val="36"/>
          <w:szCs w:val="36"/>
          <w:rtl/>
        </w:rPr>
        <w:t>الحكمي</w:t>
      </w:r>
      <w:r w:rsidR="00EC7EDF" w:rsidRPr="00FD211F">
        <w:rPr>
          <w:sz w:val="36"/>
          <w:szCs w:val="36"/>
          <w:rtl/>
        </w:rPr>
        <w:t>ة</w:t>
      </w:r>
      <w:r w:rsidR="00E8128F">
        <w:rPr>
          <w:sz w:val="36"/>
          <w:szCs w:val="36"/>
          <w:rtl/>
        </w:rPr>
        <w:t xml:space="preserve"> </w:t>
      </w:r>
      <w:r w:rsidR="009E446A" w:rsidRPr="00FD211F">
        <w:rPr>
          <w:sz w:val="36"/>
          <w:szCs w:val="36"/>
          <w:rtl/>
        </w:rPr>
        <w:t>على</w:t>
      </w:r>
      <w:r w:rsidR="00E8128F">
        <w:rPr>
          <w:sz w:val="36"/>
          <w:szCs w:val="36"/>
          <w:rtl/>
        </w:rPr>
        <w:t xml:space="preserve"> </w:t>
      </w:r>
      <w:r w:rsidR="009E446A" w:rsidRPr="00FD211F">
        <w:rPr>
          <w:sz w:val="36"/>
          <w:szCs w:val="36"/>
          <w:rtl/>
        </w:rPr>
        <w:t>حرم</w:t>
      </w:r>
      <w:r w:rsidR="00EC7EDF" w:rsidRPr="00FD211F">
        <w:rPr>
          <w:sz w:val="36"/>
          <w:szCs w:val="36"/>
          <w:rtl/>
        </w:rPr>
        <w:t>ة</w:t>
      </w:r>
      <w:r w:rsidR="00E8128F">
        <w:rPr>
          <w:sz w:val="36"/>
          <w:szCs w:val="36"/>
          <w:rtl/>
        </w:rPr>
        <w:t xml:space="preserve"> </w:t>
      </w:r>
      <w:r w:rsidR="009E446A" w:rsidRPr="00FD211F">
        <w:rPr>
          <w:sz w:val="36"/>
          <w:szCs w:val="36"/>
          <w:rtl/>
        </w:rPr>
        <w:t>شرب</w:t>
      </w:r>
      <w:r w:rsidR="00E8128F">
        <w:rPr>
          <w:sz w:val="36"/>
          <w:szCs w:val="36"/>
          <w:rtl/>
        </w:rPr>
        <w:t xml:space="preserve"> </w:t>
      </w:r>
      <w:r w:rsidR="009E446A" w:rsidRPr="00FD211F">
        <w:rPr>
          <w:sz w:val="36"/>
          <w:szCs w:val="36"/>
          <w:rtl/>
        </w:rPr>
        <w:t>التتن</w:t>
      </w:r>
      <w:r w:rsidR="00E8128F">
        <w:rPr>
          <w:sz w:val="36"/>
          <w:szCs w:val="36"/>
          <w:rtl/>
        </w:rPr>
        <w:t xml:space="preserve"> </w:t>
      </w:r>
      <w:r w:rsidR="009E446A" w:rsidRPr="00FD211F">
        <w:rPr>
          <w:sz w:val="36"/>
          <w:szCs w:val="36"/>
          <w:rtl/>
        </w:rPr>
        <w:t>فالبراء</w:t>
      </w:r>
      <w:r w:rsidR="00EC7EDF" w:rsidRPr="00FD211F">
        <w:rPr>
          <w:sz w:val="36"/>
          <w:szCs w:val="36"/>
          <w:rtl/>
        </w:rPr>
        <w:t>ة</w:t>
      </w:r>
      <w:r w:rsidR="00E8128F">
        <w:rPr>
          <w:sz w:val="36"/>
          <w:szCs w:val="36"/>
          <w:rtl/>
        </w:rPr>
        <w:t xml:space="preserve"> </w:t>
      </w:r>
      <w:r w:rsidR="009E446A" w:rsidRPr="00FD211F">
        <w:rPr>
          <w:sz w:val="36"/>
          <w:szCs w:val="36"/>
          <w:rtl/>
        </w:rPr>
        <w:t>عن</w:t>
      </w:r>
      <w:r w:rsidR="00E8128F">
        <w:rPr>
          <w:sz w:val="36"/>
          <w:szCs w:val="36"/>
          <w:rtl/>
        </w:rPr>
        <w:t xml:space="preserve"> </w:t>
      </w:r>
      <w:r w:rsidR="009E446A" w:rsidRPr="00FD211F">
        <w:rPr>
          <w:sz w:val="36"/>
          <w:szCs w:val="36"/>
          <w:rtl/>
        </w:rPr>
        <w:t>شرب</w:t>
      </w:r>
      <w:r w:rsidR="00E8128F">
        <w:rPr>
          <w:sz w:val="36"/>
          <w:szCs w:val="36"/>
          <w:rtl/>
        </w:rPr>
        <w:t xml:space="preserve"> </w:t>
      </w:r>
      <w:r w:rsidR="009E446A" w:rsidRPr="00FD211F">
        <w:rPr>
          <w:sz w:val="36"/>
          <w:szCs w:val="36"/>
          <w:rtl/>
        </w:rPr>
        <w:t>التتن</w:t>
      </w:r>
      <w:r w:rsidR="00E8128F">
        <w:rPr>
          <w:sz w:val="36"/>
          <w:szCs w:val="36"/>
          <w:rtl/>
        </w:rPr>
        <w:t xml:space="preserve"> </w:t>
      </w:r>
      <w:r w:rsidR="009E446A" w:rsidRPr="00FD211F">
        <w:rPr>
          <w:sz w:val="36"/>
          <w:szCs w:val="36"/>
          <w:rtl/>
        </w:rPr>
        <w:t>تغاير</w:t>
      </w:r>
      <w:r w:rsidR="00E8128F">
        <w:rPr>
          <w:sz w:val="36"/>
          <w:szCs w:val="36"/>
          <w:rtl/>
        </w:rPr>
        <w:t xml:space="preserve"> </w:t>
      </w:r>
      <w:r w:rsidR="009E446A" w:rsidRPr="00FD211F">
        <w:rPr>
          <w:sz w:val="36"/>
          <w:szCs w:val="36"/>
          <w:rtl/>
        </w:rPr>
        <w:t>نفس</w:t>
      </w:r>
      <w:r w:rsidR="00E8128F">
        <w:rPr>
          <w:sz w:val="36"/>
          <w:szCs w:val="36"/>
          <w:rtl/>
        </w:rPr>
        <w:t xml:space="preserve"> </w:t>
      </w:r>
      <w:r w:rsidR="009E446A" w:rsidRPr="00FD211F">
        <w:rPr>
          <w:sz w:val="36"/>
          <w:szCs w:val="36"/>
          <w:rtl/>
        </w:rPr>
        <w:t>شرب</w:t>
      </w:r>
      <w:r w:rsidR="00E8128F">
        <w:rPr>
          <w:sz w:val="36"/>
          <w:szCs w:val="36"/>
          <w:rtl/>
        </w:rPr>
        <w:t xml:space="preserve"> </w:t>
      </w:r>
      <w:r w:rsidR="009E446A" w:rsidRPr="00FD211F">
        <w:rPr>
          <w:sz w:val="36"/>
          <w:szCs w:val="36"/>
          <w:rtl/>
        </w:rPr>
        <w:t>التتن</w:t>
      </w:r>
      <w:r w:rsidR="00603323" w:rsidRPr="00FD211F">
        <w:rPr>
          <w:sz w:val="36"/>
          <w:szCs w:val="36"/>
          <w:rtl/>
        </w:rPr>
        <w:t>،</w:t>
      </w:r>
      <w:r w:rsidR="00E8128F">
        <w:rPr>
          <w:sz w:val="36"/>
          <w:szCs w:val="36"/>
          <w:rtl/>
        </w:rPr>
        <w:t xml:space="preserve"> </w:t>
      </w:r>
      <w:r w:rsidR="00693C5E" w:rsidRPr="00FD211F">
        <w:rPr>
          <w:sz w:val="36"/>
          <w:szCs w:val="36"/>
          <w:rtl/>
        </w:rPr>
        <w:t>فان</w:t>
      </w:r>
      <w:r w:rsidR="00E8128F">
        <w:rPr>
          <w:sz w:val="36"/>
          <w:szCs w:val="36"/>
          <w:rtl/>
        </w:rPr>
        <w:t xml:space="preserve"> </w:t>
      </w:r>
      <w:r w:rsidR="00693C5E" w:rsidRPr="00FD211F">
        <w:rPr>
          <w:sz w:val="36"/>
          <w:szCs w:val="36"/>
          <w:rtl/>
        </w:rPr>
        <w:t>الحكم</w:t>
      </w:r>
      <w:r w:rsidR="00E8128F">
        <w:rPr>
          <w:sz w:val="36"/>
          <w:szCs w:val="36"/>
          <w:rtl/>
        </w:rPr>
        <w:t xml:space="preserve"> </w:t>
      </w:r>
      <w:r w:rsidR="00693C5E" w:rsidRPr="00FD211F">
        <w:rPr>
          <w:sz w:val="36"/>
          <w:szCs w:val="36"/>
          <w:rtl/>
        </w:rPr>
        <w:lastRenderedPageBreak/>
        <w:t>الشرعي</w:t>
      </w:r>
      <w:r w:rsidR="00E8128F">
        <w:rPr>
          <w:sz w:val="36"/>
          <w:szCs w:val="36"/>
          <w:rtl/>
        </w:rPr>
        <w:t xml:space="preserve"> </w:t>
      </w:r>
      <w:r w:rsidR="00693C5E" w:rsidRPr="00FD211F">
        <w:rPr>
          <w:sz w:val="36"/>
          <w:szCs w:val="36"/>
          <w:rtl/>
        </w:rPr>
        <w:t>الواقعي</w:t>
      </w:r>
      <w:r w:rsidR="00E8128F">
        <w:rPr>
          <w:sz w:val="36"/>
          <w:szCs w:val="36"/>
          <w:rtl/>
        </w:rPr>
        <w:t xml:space="preserve"> </w:t>
      </w:r>
      <w:r w:rsidR="00693C5E" w:rsidRPr="00FD211F">
        <w:rPr>
          <w:sz w:val="36"/>
          <w:szCs w:val="36"/>
          <w:rtl/>
        </w:rPr>
        <w:t>الذي</w:t>
      </w:r>
      <w:r w:rsidR="00E8128F">
        <w:rPr>
          <w:sz w:val="36"/>
          <w:szCs w:val="36"/>
          <w:rtl/>
        </w:rPr>
        <w:t xml:space="preserve"> </w:t>
      </w:r>
      <w:r w:rsidR="009E446A" w:rsidRPr="00FD211F">
        <w:rPr>
          <w:sz w:val="36"/>
          <w:szCs w:val="36"/>
          <w:rtl/>
        </w:rPr>
        <w:t>يراد</w:t>
      </w:r>
      <w:r w:rsidR="00E8128F">
        <w:rPr>
          <w:sz w:val="36"/>
          <w:szCs w:val="36"/>
          <w:rtl/>
        </w:rPr>
        <w:t xml:space="preserve"> </w:t>
      </w:r>
      <w:r w:rsidR="009E446A" w:rsidRPr="00FD211F">
        <w:rPr>
          <w:sz w:val="36"/>
          <w:szCs w:val="36"/>
          <w:rtl/>
        </w:rPr>
        <w:t>استكشاف</w:t>
      </w:r>
      <w:r w:rsidR="00E8128F">
        <w:rPr>
          <w:sz w:val="36"/>
          <w:szCs w:val="36"/>
          <w:rtl/>
        </w:rPr>
        <w:t xml:space="preserve"> </w:t>
      </w:r>
      <w:r w:rsidR="009E446A" w:rsidRPr="00FD211F">
        <w:rPr>
          <w:sz w:val="36"/>
          <w:szCs w:val="36"/>
          <w:rtl/>
        </w:rPr>
        <w:t>حاله</w:t>
      </w:r>
      <w:r w:rsidR="00E8128F">
        <w:rPr>
          <w:sz w:val="36"/>
          <w:szCs w:val="36"/>
          <w:rtl/>
        </w:rPr>
        <w:t xml:space="preserve"> </w:t>
      </w:r>
      <w:r w:rsidR="00693C5E" w:rsidRPr="00FD211F">
        <w:rPr>
          <w:sz w:val="36"/>
          <w:szCs w:val="36"/>
          <w:rtl/>
        </w:rPr>
        <w:t>من</w:t>
      </w:r>
      <w:r w:rsidR="00E8128F">
        <w:rPr>
          <w:sz w:val="36"/>
          <w:szCs w:val="36"/>
          <w:rtl/>
        </w:rPr>
        <w:t xml:space="preserve"> </w:t>
      </w:r>
      <w:r w:rsidR="00693C5E" w:rsidRPr="00FD211F">
        <w:rPr>
          <w:sz w:val="36"/>
          <w:szCs w:val="36"/>
          <w:rtl/>
        </w:rPr>
        <w:t>حيث</w:t>
      </w:r>
      <w:r w:rsidR="00E8128F">
        <w:rPr>
          <w:sz w:val="36"/>
          <w:szCs w:val="36"/>
          <w:rtl/>
        </w:rPr>
        <w:t xml:space="preserve"> </w:t>
      </w:r>
      <w:r w:rsidR="009E446A" w:rsidRPr="00FD211F">
        <w:rPr>
          <w:sz w:val="36"/>
          <w:szCs w:val="36"/>
          <w:rtl/>
        </w:rPr>
        <w:t>التنجز</w:t>
      </w:r>
      <w:r w:rsidR="00E8128F">
        <w:rPr>
          <w:sz w:val="36"/>
          <w:szCs w:val="36"/>
          <w:rtl/>
        </w:rPr>
        <w:t xml:space="preserve"> </w:t>
      </w:r>
      <w:r w:rsidR="009E446A" w:rsidRPr="00FD211F">
        <w:rPr>
          <w:sz w:val="36"/>
          <w:szCs w:val="36"/>
          <w:rtl/>
        </w:rPr>
        <w:t>والتعذر</w:t>
      </w:r>
      <w:r w:rsidR="00E8128F">
        <w:rPr>
          <w:sz w:val="36"/>
          <w:szCs w:val="36"/>
          <w:rtl/>
        </w:rPr>
        <w:t xml:space="preserve"> </w:t>
      </w:r>
      <w:r w:rsidR="009E446A" w:rsidRPr="00FD211F">
        <w:rPr>
          <w:sz w:val="36"/>
          <w:szCs w:val="36"/>
          <w:rtl/>
        </w:rPr>
        <w:t>يغاير</w:t>
      </w:r>
      <w:r w:rsidR="00E8128F">
        <w:rPr>
          <w:sz w:val="36"/>
          <w:szCs w:val="36"/>
          <w:rtl/>
        </w:rPr>
        <w:t xml:space="preserve"> </w:t>
      </w:r>
      <w:r w:rsidR="009E446A" w:rsidRPr="00FD211F">
        <w:rPr>
          <w:sz w:val="36"/>
          <w:szCs w:val="36"/>
          <w:rtl/>
        </w:rPr>
        <w:t>نفس</w:t>
      </w:r>
      <w:r w:rsidR="00E8128F">
        <w:rPr>
          <w:sz w:val="36"/>
          <w:szCs w:val="36"/>
          <w:rtl/>
        </w:rPr>
        <w:t xml:space="preserve"> </w:t>
      </w:r>
      <w:r w:rsidR="009E446A" w:rsidRPr="00FD211F">
        <w:rPr>
          <w:sz w:val="36"/>
          <w:szCs w:val="36"/>
          <w:rtl/>
        </w:rPr>
        <w:t>الكاشف</w:t>
      </w:r>
      <w:r w:rsidR="00E8128F">
        <w:rPr>
          <w:sz w:val="36"/>
          <w:szCs w:val="36"/>
          <w:rtl/>
        </w:rPr>
        <w:t xml:space="preserve"> </w:t>
      </w:r>
      <w:r w:rsidR="009E446A" w:rsidRPr="00FD211F">
        <w:rPr>
          <w:sz w:val="36"/>
          <w:szCs w:val="36"/>
          <w:rtl/>
        </w:rPr>
        <w:t>عن</w:t>
      </w:r>
      <w:r w:rsidR="00E8128F">
        <w:rPr>
          <w:sz w:val="36"/>
          <w:szCs w:val="36"/>
          <w:rtl/>
        </w:rPr>
        <w:t xml:space="preserve"> </w:t>
      </w:r>
      <w:r w:rsidR="009E446A" w:rsidRPr="00FD211F">
        <w:rPr>
          <w:sz w:val="36"/>
          <w:szCs w:val="36"/>
          <w:rtl/>
        </w:rPr>
        <w:t>حاله</w:t>
      </w:r>
      <w:r w:rsidR="00E8128F">
        <w:rPr>
          <w:sz w:val="36"/>
          <w:szCs w:val="36"/>
          <w:rtl/>
        </w:rPr>
        <w:t xml:space="preserve"> </w:t>
      </w:r>
      <w:r w:rsidR="009E446A" w:rsidRPr="00FD211F">
        <w:rPr>
          <w:sz w:val="36"/>
          <w:szCs w:val="36"/>
          <w:rtl/>
        </w:rPr>
        <w:t>والمنجز</w:t>
      </w:r>
      <w:r w:rsidR="00E8128F">
        <w:rPr>
          <w:sz w:val="36"/>
          <w:szCs w:val="36"/>
          <w:rtl/>
        </w:rPr>
        <w:t xml:space="preserve"> </w:t>
      </w:r>
      <w:r w:rsidR="009E446A" w:rsidRPr="00FD211F">
        <w:rPr>
          <w:sz w:val="36"/>
          <w:szCs w:val="36"/>
          <w:rtl/>
        </w:rPr>
        <w:t>والمعذر</w:t>
      </w:r>
      <w:r w:rsidR="00E8128F">
        <w:rPr>
          <w:sz w:val="36"/>
          <w:szCs w:val="36"/>
          <w:rtl/>
        </w:rPr>
        <w:t xml:space="preserve"> </w:t>
      </w:r>
      <w:r w:rsidR="009E446A" w:rsidRPr="00FD211F">
        <w:rPr>
          <w:sz w:val="36"/>
          <w:szCs w:val="36"/>
          <w:rtl/>
        </w:rPr>
        <w:t>له</w:t>
      </w:r>
      <w:r w:rsidR="00603323" w:rsidRPr="00FD211F">
        <w:rPr>
          <w:sz w:val="36"/>
          <w:szCs w:val="36"/>
          <w:rtl/>
        </w:rPr>
        <w:t>،</w:t>
      </w:r>
      <w:r w:rsidR="00E8128F">
        <w:rPr>
          <w:sz w:val="36"/>
          <w:szCs w:val="36"/>
          <w:rtl/>
        </w:rPr>
        <w:t xml:space="preserve"> </w:t>
      </w:r>
      <w:r w:rsidR="009E446A" w:rsidRPr="00FD211F">
        <w:rPr>
          <w:sz w:val="36"/>
          <w:szCs w:val="36"/>
          <w:rtl/>
        </w:rPr>
        <w:t>وهذا</w:t>
      </w:r>
      <w:r w:rsidR="00E8128F">
        <w:rPr>
          <w:sz w:val="36"/>
          <w:szCs w:val="36"/>
          <w:rtl/>
        </w:rPr>
        <w:t xml:space="preserve"> </w:t>
      </w:r>
      <w:r w:rsidR="009E446A" w:rsidRPr="00FD211F">
        <w:rPr>
          <w:sz w:val="36"/>
          <w:szCs w:val="36"/>
          <w:rtl/>
        </w:rPr>
        <w:t>هو</w:t>
      </w:r>
      <w:r w:rsidR="00E8128F">
        <w:rPr>
          <w:sz w:val="36"/>
          <w:szCs w:val="36"/>
          <w:rtl/>
        </w:rPr>
        <w:t xml:space="preserve"> </w:t>
      </w:r>
      <w:r w:rsidR="009E446A" w:rsidRPr="00FD211F">
        <w:rPr>
          <w:sz w:val="36"/>
          <w:szCs w:val="36"/>
          <w:rtl/>
        </w:rPr>
        <w:t>التوسيط</w:t>
      </w:r>
      <w:r w:rsidR="00603323" w:rsidRPr="00FD211F">
        <w:rPr>
          <w:sz w:val="36"/>
          <w:szCs w:val="36"/>
          <w:rtl/>
        </w:rPr>
        <w:t>،</w:t>
      </w:r>
      <w:r w:rsidR="00E8128F">
        <w:rPr>
          <w:sz w:val="36"/>
          <w:szCs w:val="36"/>
          <w:rtl/>
        </w:rPr>
        <w:t xml:space="preserve"> </w:t>
      </w:r>
      <w:r w:rsidR="009E446A" w:rsidRPr="00FD211F">
        <w:rPr>
          <w:sz w:val="36"/>
          <w:szCs w:val="36"/>
          <w:rtl/>
        </w:rPr>
        <w:t>واما</w:t>
      </w:r>
      <w:r w:rsidR="00E8128F">
        <w:rPr>
          <w:sz w:val="36"/>
          <w:szCs w:val="36"/>
          <w:rtl/>
        </w:rPr>
        <w:t xml:space="preserve"> </w:t>
      </w:r>
      <w:r w:rsidR="009E446A" w:rsidRPr="00FD211F">
        <w:rPr>
          <w:sz w:val="36"/>
          <w:szCs w:val="36"/>
          <w:rtl/>
        </w:rPr>
        <w:t>في</w:t>
      </w:r>
      <w:r w:rsidR="00E8128F">
        <w:rPr>
          <w:sz w:val="36"/>
          <w:szCs w:val="36"/>
          <w:rtl/>
        </w:rPr>
        <w:t xml:space="preserve"> </w:t>
      </w:r>
      <w:r w:rsidR="009E446A" w:rsidRPr="00FD211F">
        <w:rPr>
          <w:sz w:val="36"/>
          <w:szCs w:val="36"/>
          <w:rtl/>
        </w:rPr>
        <w:t>التطبيق</w:t>
      </w:r>
      <w:r w:rsidR="00E8128F">
        <w:rPr>
          <w:sz w:val="36"/>
          <w:szCs w:val="36"/>
          <w:rtl/>
        </w:rPr>
        <w:t xml:space="preserve"> </w:t>
      </w:r>
      <w:r w:rsidR="009E446A" w:rsidRPr="00FD211F">
        <w:rPr>
          <w:sz w:val="36"/>
          <w:szCs w:val="36"/>
          <w:rtl/>
        </w:rPr>
        <w:t>فلايكون</w:t>
      </w:r>
      <w:r w:rsidR="00E8128F">
        <w:rPr>
          <w:sz w:val="36"/>
          <w:szCs w:val="36"/>
          <w:rtl/>
        </w:rPr>
        <w:t xml:space="preserve"> </w:t>
      </w:r>
      <w:r w:rsidR="009E446A" w:rsidRPr="00FD211F">
        <w:rPr>
          <w:sz w:val="36"/>
          <w:szCs w:val="36"/>
          <w:rtl/>
        </w:rPr>
        <w:t>الحكم</w:t>
      </w:r>
      <w:r w:rsidR="00E8128F">
        <w:rPr>
          <w:sz w:val="36"/>
          <w:szCs w:val="36"/>
          <w:rtl/>
        </w:rPr>
        <w:t xml:space="preserve"> </w:t>
      </w:r>
      <w:r w:rsidR="009E446A" w:rsidRPr="00FD211F">
        <w:rPr>
          <w:sz w:val="36"/>
          <w:szCs w:val="36"/>
          <w:rtl/>
        </w:rPr>
        <w:t>الشرعي</w:t>
      </w:r>
      <w:r w:rsidR="00E8128F">
        <w:rPr>
          <w:sz w:val="36"/>
          <w:szCs w:val="36"/>
          <w:rtl/>
        </w:rPr>
        <w:t xml:space="preserve"> </w:t>
      </w:r>
      <w:r w:rsidR="009E446A" w:rsidRPr="00FD211F">
        <w:rPr>
          <w:sz w:val="36"/>
          <w:szCs w:val="36"/>
          <w:rtl/>
        </w:rPr>
        <w:t>الذي</w:t>
      </w:r>
      <w:r w:rsidR="00E8128F">
        <w:rPr>
          <w:sz w:val="36"/>
          <w:szCs w:val="36"/>
          <w:rtl/>
        </w:rPr>
        <w:t xml:space="preserve"> </w:t>
      </w:r>
      <w:r w:rsidR="009E446A" w:rsidRPr="00FD211F">
        <w:rPr>
          <w:sz w:val="36"/>
          <w:szCs w:val="36"/>
          <w:rtl/>
        </w:rPr>
        <w:t>يكون</w:t>
      </w:r>
      <w:r w:rsidR="00E8128F">
        <w:rPr>
          <w:sz w:val="36"/>
          <w:szCs w:val="36"/>
          <w:rtl/>
        </w:rPr>
        <w:t xml:space="preserve"> </w:t>
      </w:r>
      <w:r w:rsidR="009E446A" w:rsidRPr="00FD211F">
        <w:rPr>
          <w:sz w:val="36"/>
          <w:szCs w:val="36"/>
          <w:rtl/>
        </w:rPr>
        <w:t>الفقيه</w:t>
      </w:r>
      <w:r w:rsidR="00E8128F">
        <w:rPr>
          <w:sz w:val="36"/>
          <w:szCs w:val="36"/>
          <w:rtl/>
        </w:rPr>
        <w:t xml:space="preserve"> </w:t>
      </w:r>
      <w:r w:rsidR="009E446A" w:rsidRPr="00FD211F">
        <w:rPr>
          <w:sz w:val="36"/>
          <w:szCs w:val="36"/>
          <w:rtl/>
        </w:rPr>
        <w:t>بصدد</w:t>
      </w:r>
      <w:r w:rsidR="00E8128F">
        <w:rPr>
          <w:sz w:val="36"/>
          <w:szCs w:val="36"/>
          <w:rtl/>
        </w:rPr>
        <w:t xml:space="preserve"> </w:t>
      </w:r>
      <w:r w:rsidR="009E446A" w:rsidRPr="00FD211F">
        <w:rPr>
          <w:sz w:val="36"/>
          <w:szCs w:val="36"/>
          <w:rtl/>
        </w:rPr>
        <w:t>استنباطه</w:t>
      </w:r>
      <w:r w:rsidR="00E8128F">
        <w:rPr>
          <w:sz w:val="36"/>
          <w:szCs w:val="36"/>
          <w:rtl/>
        </w:rPr>
        <w:t xml:space="preserve"> </w:t>
      </w:r>
      <w:r w:rsidR="009E446A" w:rsidRPr="00FD211F">
        <w:rPr>
          <w:sz w:val="36"/>
          <w:szCs w:val="36"/>
          <w:rtl/>
        </w:rPr>
        <w:t>واستخراجه</w:t>
      </w:r>
      <w:r w:rsidR="00E8128F">
        <w:rPr>
          <w:sz w:val="36"/>
          <w:szCs w:val="36"/>
          <w:rtl/>
        </w:rPr>
        <w:t xml:space="preserve"> </w:t>
      </w:r>
      <w:r w:rsidR="009E446A" w:rsidRPr="00FD211F">
        <w:rPr>
          <w:sz w:val="36"/>
          <w:szCs w:val="36"/>
          <w:rtl/>
        </w:rPr>
        <w:t>الا</w:t>
      </w:r>
      <w:r w:rsidR="00E8128F">
        <w:rPr>
          <w:sz w:val="36"/>
          <w:szCs w:val="36"/>
          <w:rtl/>
        </w:rPr>
        <w:t xml:space="preserve"> </w:t>
      </w:r>
      <w:r w:rsidR="009E446A" w:rsidRPr="00FD211F">
        <w:rPr>
          <w:sz w:val="36"/>
          <w:szCs w:val="36"/>
          <w:rtl/>
        </w:rPr>
        <w:t>صغري</w:t>
      </w:r>
      <w:r w:rsidR="00E8128F">
        <w:rPr>
          <w:sz w:val="36"/>
          <w:szCs w:val="36"/>
          <w:rtl/>
        </w:rPr>
        <w:t xml:space="preserve"> </w:t>
      </w:r>
      <w:r w:rsidR="009E446A" w:rsidRPr="00FD211F">
        <w:rPr>
          <w:sz w:val="36"/>
          <w:szCs w:val="36"/>
          <w:rtl/>
        </w:rPr>
        <w:t>من</w:t>
      </w:r>
      <w:r w:rsidR="00E8128F">
        <w:rPr>
          <w:sz w:val="36"/>
          <w:szCs w:val="36"/>
          <w:rtl/>
        </w:rPr>
        <w:t xml:space="preserve"> </w:t>
      </w:r>
      <w:r w:rsidR="009E446A" w:rsidRPr="00FD211F">
        <w:rPr>
          <w:sz w:val="36"/>
          <w:szCs w:val="36"/>
          <w:rtl/>
        </w:rPr>
        <w:t>صغريات</w:t>
      </w:r>
      <w:r w:rsidR="00E8128F">
        <w:rPr>
          <w:sz w:val="36"/>
          <w:szCs w:val="36"/>
          <w:rtl/>
        </w:rPr>
        <w:t xml:space="preserve"> </w:t>
      </w:r>
      <w:commentRangeStart w:id="40"/>
      <w:r w:rsidR="009E446A" w:rsidRPr="00FD211F">
        <w:rPr>
          <w:sz w:val="36"/>
          <w:szCs w:val="36"/>
          <w:rtl/>
        </w:rPr>
        <w:t>القاعد</w:t>
      </w:r>
      <w:r w:rsidR="00EC7EDF" w:rsidRPr="00FD211F">
        <w:rPr>
          <w:sz w:val="36"/>
          <w:szCs w:val="36"/>
          <w:rtl/>
        </w:rPr>
        <w:t>ة</w:t>
      </w:r>
      <w:commentRangeEnd w:id="40"/>
      <w:r w:rsidR="00804923">
        <w:rPr>
          <w:rStyle w:val="ab"/>
          <w:rtl/>
        </w:rPr>
        <w:commentReference w:id="40"/>
      </w:r>
      <w:r w:rsidR="00A61BAE" w:rsidRPr="00FD211F">
        <w:rPr>
          <w:sz w:val="36"/>
          <w:szCs w:val="36"/>
          <w:rtl/>
        </w:rPr>
        <w:t>.</w:t>
      </w:r>
    </w:p>
    <w:p w14:paraId="18FB1760" w14:textId="77777777" w:rsidR="006A2240" w:rsidRPr="00FD211F" w:rsidRDefault="009E446A"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w:t>
      </w:r>
      <w:r w:rsidR="00F84C32" w:rsidRPr="00FD211F">
        <w:rPr>
          <w:sz w:val="36"/>
          <w:szCs w:val="36"/>
          <w:rtl/>
        </w:rPr>
        <w:t>قداشكل</w:t>
      </w:r>
      <w:r w:rsidR="00E8128F">
        <w:rPr>
          <w:sz w:val="36"/>
          <w:szCs w:val="36"/>
          <w:rtl/>
        </w:rPr>
        <w:t xml:space="preserve"> </w:t>
      </w:r>
      <w:r w:rsidR="00F84C32" w:rsidRPr="00FD211F">
        <w:rPr>
          <w:sz w:val="36"/>
          <w:szCs w:val="36"/>
          <w:rtl/>
        </w:rPr>
        <w:t>عليه</w:t>
      </w:r>
      <w:r w:rsidR="00E8128F">
        <w:rPr>
          <w:sz w:val="36"/>
          <w:szCs w:val="36"/>
          <w:rtl/>
        </w:rPr>
        <w:t xml:space="preserve"> </w:t>
      </w:r>
      <w:r w:rsidR="00F84C32" w:rsidRPr="00FD211F">
        <w:rPr>
          <w:sz w:val="36"/>
          <w:szCs w:val="36"/>
          <w:rtl/>
        </w:rPr>
        <w:t>بعد</w:t>
      </w:r>
      <w:r w:rsidR="00EC7EDF" w:rsidRPr="00FD211F">
        <w:rPr>
          <w:sz w:val="36"/>
          <w:szCs w:val="36"/>
          <w:rtl/>
        </w:rPr>
        <w:t>ة</w:t>
      </w:r>
      <w:r w:rsidR="00E8128F">
        <w:rPr>
          <w:sz w:val="36"/>
          <w:szCs w:val="36"/>
          <w:rtl/>
        </w:rPr>
        <w:t xml:space="preserve"> </w:t>
      </w:r>
      <w:r w:rsidR="00F84C32" w:rsidRPr="00FD211F">
        <w:rPr>
          <w:sz w:val="36"/>
          <w:szCs w:val="36"/>
          <w:rtl/>
        </w:rPr>
        <w:t>اشكالات</w:t>
      </w:r>
      <w:r w:rsidR="006A2240" w:rsidRPr="00FD211F">
        <w:rPr>
          <w:sz w:val="36"/>
          <w:szCs w:val="36"/>
          <w:rtl/>
        </w:rPr>
        <w:t>:</w:t>
      </w:r>
    </w:p>
    <w:p w14:paraId="73BC8BA6" w14:textId="77777777" w:rsidR="0013768B" w:rsidRPr="00FD211F" w:rsidRDefault="006A2240" w:rsidP="009C58C8">
      <w:pPr>
        <w:ind w:left="0" w:firstLine="227"/>
        <w:jc w:val="both"/>
        <w:rPr>
          <w:sz w:val="36"/>
          <w:szCs w:val="36"/>
          <w:rtl/>
        </w:rPr>
      </w:pPr>
      <w:r w:rsidRPr="00FD211F">
        <w:rPr>
          <w:sz w:val="36"/>
          <w:szCs w:val="36"/>
          <w:rtl/>
        </w:rPr>
        <w:t>1-</w:t>
      </w:r>
      <w:r w:rsidR="00E8128F">
        <w:rPr>
          <w:sz w:val="36"/>
          <w:szCs w:val="36"/>
          <w:rtl/>
        </w:rPr>
        <w:t xml:space="preserve"> </w:t>
      </w:r>
      <w:r w:rsidR="009E446A" w:rsidRPr="00FD211F">
        <w:rPr>
          <w:sz w:val="36"/>
          <w:szCs w:val="36"/>
          <w:rtl/>
        </w:rPr>
        <w:t>أنه</w:t>
      </w:r>
      <w:r w:rsidR="00E8128F">
        <w:rPr>
          <w:sz w:val="36"/>
          <w:szCs w:val="36"/>
          <w:rtl/>
        </w:rPr>
        <w:t xml:space="preserve"> </w:t>
      </w:r>
      <w:r w:rsidR="009E446A" w:rsidRPr="00FD211F">
        <w:rPr>
          <w:sz w:val="36"/>
          <w:szCs w:val="36"/>
          <w:rtl/>
        </w:rPr>
        <w:t>قد</w:t>
      </w:r>
      <w:r w:rsidR="00E8128F">
        <w:rPr>
          <w:sz w:val="36"/>
          <w:szCs w:val="36"/>
          <w:rtl/>
        </w:rPr>
        <w:t xml:space="preserve"> </w:t>
      </w:r>
      <w:r w:rsidR="009E446A" w:rsidRPr="00FD211F">
        <w:rPr>
          <w:sz w:val="36"/>
          <w:szCs w:val="36"/>
          <w:rtl/>
        </w:rPr>
        <w:t>تكون</w:t>
      </w:r>
      <w:r w:rsidR="00E8128F">
        <w:rPr>
          <w:sz w:val="36"/>
          <w:szCs w:val="36"/>
          <w:rtl/>
        </w:rPr>
        <w:t xml:space="preserve"> </w:t>
      </w:r>
      <w:r w:rsidR="009E446A" w:rsidRPr="00FD211F">
        <w:rPr>
          <w:sz w:val="36"/>
          <w:szCs w:val="36"/>
          <w:rtl/>
        </w:rPr>
        <w:t>نسب</w:t>
      </w:r>
      <w:r w:rsidR="00EC7EDF" w:rsidRPr="00FD211F">
        <w:rPr>
          <w:sz w:val="36"/>
          <w:szCs w:val="36"/>
          <w:rtl/>
        </w:rPr>
        <w:t>ة</w:t>
      </w:r>
      <w:r w:rsidR="00E8128F">
        <w:rPr>
          <w:sz w:val="36"/>
          <w:szCs w:val="36"/>
          <w:rtl/>
        </w:rPr>
        <w:t xml:space="preserve"> </w:t>
      </w:r>
      <w:r w:rsidR="009E446A" w:rsidRPr="00FD211F">
        <w:rPr>
          <w:sz w:val="36"/>
          <w:szCs w:val="36"/>
          <w:rtl/>
        </w:rPr>
        <w:t>القاعد</w:t>
      </w:r>
      <w:r w:rsidR="00EC7EDF" w:rsidRPr="00FD211F">
        <w:rPr>
          <w:sz w:val="36"/>
          <w:szCs w:val="36"/>
          <w:rtl/>
        </w:rPr>
        <w:t>ة</w:t>
      </w:r>
      <w:r w:rsidR="00E8128F">
        <w:rPr>
          <w:sz w:val="36"/>
          <w:szCs w:val="36"/>
          <w:rtl/>
        </w:rPr>
        <w:t xml:space="preserve"> </w:t>
      </w:r>
      <w:r w:rsidR="009E446A" w:rsidRPr="00FD211F">
        <w:rPr>
          <w:sz w:val="36"/>
          <w:szCs w:val="36"/>
          <w:rtl/>
        </w:rPr>
        <w:t>الفقهي</w:t>
      </w:r>
      <w:r w:rsidR="00EC7EDF" w:rsidRPr="00FD211F">
        <w:rPr>
          <w:sz w:val="36"/>
          <w:szCs w:val="36"/>
          <w:rtl/>
        </w:rPr>
        <w:t>ة</w:t>
      </w:r>
      <w:r w:rsidR="00E8128F">
        <w:rPr>
          <w:sz w:val="36"/>
          <w:szCs w:val="36"/>
          <w:rtl/>
        </w:rPr>
        <w:t xml:space="preserve"> </w:t>
      </w:r>
      <w:r w:rsidR="009E446A" w:rsidRPr="00FD211F">
        <w:rPr>
          <w:sz w:val="36"/>
          <w:szCs w:val="36"/>
          <w:rtl/>
        </w:rPr>
        <w:t>الى</w:t>
      </w:r>
      <w:r w:rsidR="00E8128F">
        <w:rPr>
          <w:sz w:val="36"/>
          <w:szCs w:val="36"/>
          <w:rtl/>
        </w:rPr>
        <w:t xml:space="preserve"> </w:t>
      </w:r>
      <w:r w:rsidR="009E446A" w:rsidRPr="00FD211F">
        <w:rPr>
          <w:sz w:val="36"/>
          <w:szCs w:val="36"/>
          <w:rtl/>
        </w:rPr>
        <w:t>الحكم</w:t>
      </w:r>
      <w:r w:rsidR="00E8128F">
        <w:rPr>
          <w:sz w:val="36"/>
          <w:szCs w:val="36"/>
          <w:rtl/>
        </w:rPr>
        <w:t xml:space="preserve"> </w:t>
      </w:r>
      <w:r w:rsidR="009E446A" w:rsidRPr="00FD211F">
        <w:rPr>
          <w:sz w:val="36"/>
          <w:szCs w:val="36"/>
          <w:rtl/>
        </w:rPr>
        <w:t>الشرعي</w:t>
      </w:r>
      <w:r w:rsidR="00E8128F">
        <w:rPr>
          <w:sz w:val="36"/>
          <w:szCs w:val="36"/>
          <w:rtl/>
        </w:rPr>
        <w:t xml:space="preserve"> </w:t>
      </w:r>
      <w:r w:rsidR="009E446A" w:rsidRPr="00FD211F">
        <w:rPr>
          <w:sz w:val="36"/>
          <w:szCs w:val="36"/>
          <w:rtl/>
        </w:rPr>
        <w:t>الذي</w:t>
      </w:r>
      <w:r w:rsidR="00E8128F">
        <w:rPr>
          <w:sz w:val="36"/>
          <w:szCs w:val="36"/>
          <w:rtl/>
        </w:rPr>
        <w:t xml:space="preserve"> </w:t>
      </w:r>
      <w:r w:rsidR="009E446A" w:rsidRPr="00FD211F">
        <w:rPr>
          <w:sz w:val="36"/>
          <w:szCs w:val="36"/>
          <w:rtl/>
        </w:rPr>
        <w:t>يكون</w:t>
      </w:r>
      <w:r w:rsidR="00E8128F">
        <w:rPr>
          <w:sz w:val="36"/>
          <w:szCs w:val="36"/>
          <w:rtl/>
        </w:rPr>
        <w:t xml:space="preserve"> </w:t>
      </w:r>
      <w:r w:rsidR="009E446A" w:rsidRPr="00FD211F">
        <w:rPr>
          <w:sz w:val="36"/>
          <w:szCs w:val="36"/>
          <w:rtl/>
        </w:rPr>
        <w:t>الفقيه</w:t>
      </w:r>
      <w:r w:rsidR="00E8128F">
        <w:rPr>
          <w:sz w:val="36"/>
          <w:szCs w:val="36"/>
          <w:rtl/>
        </w:rPr>
        <w:t xml:space="preserve"> </w:t>
      </w:r>
      <w:r w:rsidR="009E446A" w:rsidRPr="00FD211F">
        <w:rPr>
          <w:sz w:val="36"/>
          <w:szCs w:val="36"/>
          <w:rtl/>
        </w:rPr>
        <w:t>بصدد</w:t>
      </w:r>
      <w:r w:rsidR="00E8128F">
        <w:rPr>
          <w:sz w:val="36"/>
          <w:szCs w:val="36"/>
          <w:rtl/>
        </w:rPr>
        <w:t xml:space="preserve"> </w:t>
      </w:r>
      <w:r w:rsidR="009E446A" w:rsidRPr="00FD211F">
        <w:rPr>
          <w:sz w:val="36"/>
          <w:szCs w:val="36"/>
          <w:rtl/>
        </w:rPr>
        <w:t>استنباطه</w:t>
      </w:r>
      <w:r w:rsidR="00E8128F">
        <w:rPr>
          <w:sz w:val="36"/>
          <w:szCs w:val="36"/>
          <w:rtl/>
        </w:rPr>
        <w:t xml:space="preserve"> </w:t>
      </w:r>
      <w:r w:rsidR="009E446A" w:rsidRPr="00FD211F">
        <w:rPr>
          <w:sz w:val="36"/>
          <w:szCs w:val="36"/>
          <w:rtl/>
        </w:rPr>
        <w:t>نسب</w:t>
      </w:r>
      <w:r w:rsidR="00EC7EDF" w:rsidRPr="00FD211F">
        <w:rPr>
          <w:sz w:val="36"/>
          <w:szCs w:val="36"/>
          <w:rtl/>
        </w:rPr>
        <w:t>ة</w:t>
      </w:r>
      <w:r w:rsidR="00E8128F">
        <w:rPr>
          <w:sz w:val="36"/>
          <w:szCs w:val="36"/>
          <w:rtl/>
        </w:rPr>
        <w:t xml:space="preserve"> </w:t>
      </w:r>
      <w:r w:rsidR="009E446A" w:rsidRPr="00FD211F">
        <w:rPr>
          <w:sz w:val="36"/>
          <w:szCs w:val="36"/>
          <w:rtl/>
        </w:rPr>
        <w:t>التوسيط</w:t>
      </w:r>
      <w:r w:rsidR="00E8128F">
        <w:rPr>
          <w:sz w:val="36"/>
          <w:szCs w:val="36"/>
          <w:rtl/>
        </w:rPr>
        <w:t xml:space="preserve"> </w:t>
      </w:r>
      <w:r w:rsidR="00693C5E" w:rsidRPr="00FD211F">
        <w:rPr>
          <w:sz w:val="36"/>
          <w:szCs w:val="36"/>
          <w:rtl/>
        </w:rPr>
        <w:t>أيضا</w:t>
      </w:r>
      <w:r w:rsidR="00603323" w:rsidRPr="00FD211F">
        <w:rPr>
          <w:sz w:val="36"/>
          <w:szCs w:val="36"/>
          <w:rtl/>
        </w:rPr>
        <w:t>،</w:t>
      </w:r>
      <w:r w:rsidR="00E8128F">
        <w:rPr>
          <w:sz w:val="36"/>
          <w:szCs w:val="36"/>
          <w:rtl/>
        </w:rPr>
        <w:t xml:space="preserve"> </w:t>
      </w:r>
      <w:r w:rsidR="009E446A" w:rsidRPr="00FD211F">
        <w:rPr>
          <w:sz w:val="36"/>
          <w:szCs w:val="36"/>
          <w:rtl/>
        </w:rPr>
        <w:t>كالبحث</w:t>
      </w:r>
      <w:r w:rsidR="00E8128F">
        <w:rPr>
          <w:sz w:val="36"/>
          <w:szCs w:val="36"/>
          <w:rtl/>
        </w:rPr>
        <w:t xml:space="preserve"> </w:t>
      </w:r>
      <w:r w:rsidR="009E446A" w:rsidRPr="00FD211F">
        <w:rPr>
          <w:sz w:val="36"/>
          <w:szCs w:val="36"/>
          <w:rtl/>
        </w:rPr>
        <w:t>عن</w:t>
      </w:r>
      <w:r w:rsidR="00E8128F">
        <w:rPr>
          <w:sz w:val="36"/>
          <w:szCs w:val="36"/>
          <w:rtl/>
        </w:rPr>
        <w:t xml:space="preserve"> </w:t>
      </w:r>
      <w:r w:rsidR="009E446A" w:rsidRPr="00FD211F">
        <w:rPr>
          <w:sz w:val="36"/>
          <w:szCs w:val="36"/>
          <w:rtl/>
        </w:rPr>
        <w:t>الملازم</w:t>
      </w:r>
      <w:r w:rsidR="00EC7EDF" w:rsidRPr="00FD211F">
        <w:rPr>
          <w:sz w:val="36"/>
          <w:szCs w:val="36"/>
          <w:rtl/>
        </w:rPr>
        <w:t>ة</w:t>
      </w:r>
      <w:r w:rsidR="00E8128F">
        <w:rPr>
          <w:sz w:val="36"/>
          <w:szCs w:val="36"/>
          <w:rtl/>
        </w:rPr>
        <w:t xml:space="preserve"> </w:t>
      </w:r>
      <w:r w:rsidR="009E446A" w:rsidRPr="00FD211F">
        <w:rPr>
          <w:sz w:val="36"/>
          <w:szCs w:val="36"/>
          <w:rtl/>
        </w:rPr>
        <w:t>بين</w:t>
      </w:r>
      <w:r w:rsidR="00E8128F">
        <w:rPr>
          <w:sz w:val="36"/>
          <w:szCs w:val="36"/>
          <w:rtl/>
        </w:rPr>
        <w:t xml:space="preserve"> </w:t>
      </w:r>
      <w:r w:rsidR="009E446A" w:rsidRPr="00FD211F">
        <w:rPr>
          <w:sz w:val="36"/>
          <w:szCs w:val="36"/>
          <w:rtl/>
        </w:rPr>
        <w:t>الضمان</w:t>
      </w:r>
      <w:r w:rsidR="00E8128F">
        <w:rPr>
          <w:sz w:val="36"/>
          <w:szCs w:val="36"/>
          <w:rtl/>
        </w:rPr>
        <w:t xml:space="preserve"> </w:t>
      </w:r>
      <w:r w:rsidR="009E446A" w:rsidRPr="00FD211F">
        <w:rPr>
          <w:sz w:val="36"/>
          <w:szCs w:val="36"/>
          <w:rtl/>
        </w:rPr>
        <w:t>بالعقد</w:t>
      </w:r>
      <w:r w:rsidR="00E8128F">
        <w:rPr>
          <w:sz w:val="36"/>
          <w:szCs w:val="36"/>
          <w:rtl/>
        </w:rPr>
        <w:t xml:space="preserve"> </w:t>
      </w:r>
      <w:r w:rsidR="009E446A" w:rsidRPr="00FD211F">
        <w:rPr>
          <w:sz w:val="36"/>
          <w:szCs w:val="36"/>
          <w:rtl/>
        </w:rPr>
        <w:t>الصحيح</w:t>
      </w:r>
      <w:r w:rsidR="00E8128F">
        <w:rPr>
          <w:sz w:val="36"/>
          <w:szCs w:val="36"/>
          <w:rtl/>
        </w:rPr>
        <w:t xml:space="preserve"> </w:t>
      </w:r>
      <w:r w:rsidR="009E446A" w:rsidRPr="00FD211F">
        <w:rPr>
          <w:sz w:val="36"/>
          <w:szCs w:val="36"/>
          <w:rtl/>
        </w:rPr>
        <w:t>والضمان</w:t>
      </w:r>
      <w:r w:rsidR="00E8128F">
        <w:rPr>
          <w:sz w:val="36"/>
          <w:szCs w:val="36"/>
          <w:rtl/>
        </w:rPr>
        <w:t xml:space="preserve"> </w:t>
      </w:r>
      <w:r w:rsidR="009E446A" w:rsidRPr="00FD211F">
        <w:rPr>
          <w:sz w:val="36"/>
          <w:szCs w:val="36"/>
          <w:rtl/>
        </w:rPr>
        <w:t>بالعقد</w:t>
      </w:r>
      <w:r w:rsidR="00E8128F">
        <w:rPr>
          <w:sz w:val="36"/>
          <w:szCs w:val="36"/>
          <w:rtl/>
        </w:rPr>
        <w:t xml:space="preserve"> </w:t>
      </w:r>
      <w:r w:rsidR="009E446A" w:rsidRPr="00FD211F">
        <w:rPr>
          <w:sz w:val="36"/>
          <w:szCs w:val="36"/>
          <w:rtl/>
        </w:rPr>
        <w:t>الفاسد</w:t>
      </w:r>
      <w:r w:rsidR="00603323" w:rsidRPr="00FD211F">
        <w:rPr>
          <w:sz w:val="36"/>
          <w:szCs w:val="36"/>
          <w:rtl/>
        </w:rPr>
        <w:t>،</w:t>
      </w:r>
      <w:r w:rsidR="00E8128F">
        <w:rPr>
          <w:sz w:val="36"/>
          <w:szCs w:val="36"/>
          <w:rtl/>
        </w:rPr>
        <w:t xml:space="preserve"> </w:t>
      </w:r>
      <w:r w:rsidR="00693C5E" w:rsidRPr="00FD211F">
        <w:rPr>
          <w:sz w:val="36"/>
          <w:szCs w:val="36"/>
          <w:rtl/>
        </w:rPr>
        <w:t>فان</w:t>
      </w:r>
      <w:r w:rsidR="00E8128F">
        <w:rPr>
          <w:sz w:val="36"/>
          <w:szCs w:val="36"/>
          <w:rtl/>
        </w:rPr>
        <w:t xml:space="preserve"> </w:t>
      </w:r>
      <w:r w:rsidR="00123B5B" w:rsidRPr="00FD211F">
        <w:rPr>
          <w:sz w:val="36"/>
          <w:szCs w:val="36"/>
          <w:rtl/>
        </w:rPr>
        <w:t>هذه</w:t>
      </w:r>
      <w:r w:rsidR="00E8128F">
        <w:rPr>
          <w:sz w:val="36"/>
          <w:szCs w:val="36"/>
          <w:rtl/>
        </w:rPr>
        <w:t xml:space="preserve"> </w:t>
      </w:r>
      <w:r w:rsidR="00123B5B" w:rsidRPr="00FD211F">
        <w:rPr>
          <w:sz w:val="36"/>
          <w:szCs w:val="36"/>
          <w:rtl/>
        </w:rPr>
        <w:t>الملازم</w:t>
      </w:r>
      <w:r w:rsidR="00EC7EDF" w:rsidRPr="00FD211F">
        <w:rPr>
          <w:sz w:val="36"/>
          <w:szCs w:val="36"/>
          <w:rtl/>
        </w:rPr>
        <w:t>ة</w:t>
      </w:r>
      <w:r w:rsidR="00E8128F">
        <w:rPr>
          <w:sz w:val="36"/>
          <w:szCs w:val="36"/>
          <w:rtl/>
        </w:rPr>
        <w:t xml:space="preserve"> </w:t>
      </w:r>
      <w:r w:rsidR="00123B5B" w:rsidRPr="00FD211F">
        <w:rPr>
          <w:sz w:val="36"/>
          <w:szCs w:val="36"/>
          <w:rtl/>
        </w:rPr>
        <w:t>تغاير</w:t>
      </w:r>
      <w:r w:rsidR="00E8128F">
        <w:rPr>
          <w:sz w:val="36"/>
          <w:szCs w:val="36"/>
          <w:rtl/>
        </w:rPr>
        <w:t xml:space="preserve"> </w:t>
      </w:r>
      <w:r w:rsidR="00123B5B" w:rsidRPr="00FD211F">
        <w:rPr>
          <w:sz w:val="36"/>
          <w:szCs w:val="36"/>
          <w:rtl/>
        </w:rPr>
        <w:t>الحكم</w:t>
      </w:r>
      <w:r w:rsidR="00E8128F">
        <w:rPr>
          <w:sz w:val="36"/>
          <w:szCs w:val="36"/>
          <w:rtl/>
        </w:rPr>
        <w:t xml:space="preserve"> </w:t>
      </w:r>
      <w:r w:rsidR="00123B5B" w:rsidRPr="00FD211F">
        <w:rPr>
          <w:sz w:val="36"/>
          <w:szCs w:val="36"/>
          <w:rtl/>
        </w:rPr>
        <w:t>الشرعي</w:t>
      </w:r>
      <w:r w:rsidR="00E8128F">
        <w:rPr>
          <w:sz w:val="36"/>
          <w:szCs w:val="36"/>
          <w:rtl/>
        </w:rPr>
        <w:t xml:space="preserve"> </w:t>
      </w:r>
      <w:r w:rsidR="004804A8" w:rsidRPr="00FD211F">
        <w:rPr>
          <w:sz w:val="36"/>
          <w:szCs w:val="36"/>
          <w:rtl/>
        </w:rPr>
        <w:t>بالضمان</w:t>
      </w:r>
      <w:r w:rsidR="00E8128F">
        <w:rPr>
          <w:sz w:val="36"/>
          <w:szCs w:val="36"/>
          <w:rtl/>
        </w:rPr>
        <w:t xml:space="preserve"> </w:t>
      </w:r>
      <w:r w:rsidR="004804A8" w:rsidRPr="00FD211F">
        <w:rPr>
          <w:sz w:val="36"/>
          <w:szCs w:val="36"/>
          <w:rtl/>
        </w:rPr>
        <w:t>بالبيع</w:t>
      </w:r>
      <w:r w:rsidR="00E8128F">
        <w:rPr>
          <w:sz w:val="36"/>
          <w:szCs w:val="36"/>
          <w:rtl/>
        </w:rPr>
        <w:t xml:space="preserve"> </w:t>
      </w:r>
      <w:r w:rsidR="004804A8" w:rsidRPr="00FD211F">
        <w:rPr>
          <w:sz w:val="36"/>
          <w:szCs w:val="36"/>
          <w:rtl/>
        </w:rPr>
        <w:t>الفاسد</w:t>
      </w:r>
      <w:r w:rsidR="00E8128F">
        <w:rPr>
          <w:sz w:val="36"/>
          <w:szCs w:val="36"/>
          <w:rtl/>
        </w:rPr>
        <w:t xml:space="preserve"> </w:t>
      </w:r>
      <w:r w:rsidR="004804A8" w:rsidRPr="00FD211F">
        <w:rPr>
          <w:sz w:val="36"/>
          <w:szCs w:val="36"/>
          <w:rtl/>
        </w:rPr>
        <w:t>مثلا</w:t>
      </w:r>
      <w:r w:rsidR="009C58C8" w:rsidRPr="00FD211F">
        <w:rPr>
          <w:rStyle w:val="a6"/>
          <w:sz w:val="36"/>
          <w:szCs w:val="36"/>
          <w:rtl/>
        </w:rPr>
        <w:t>(</w:t>
      </w:r>
      <w:r w:rsidR="009C58C8" w:rsidRPr="00FD211F">
        <w:rPr>
          <w:rStyle w:val="a6"/>
          <w:sz w:val="36"/>
          <w:szCs w:val="36"/>
          <w:rtl/>
        </w:rPr>
        <w:footnoteReference w:id="40"/>
      </w:r>
      <w:r w:rsidR="009C58C8" w:rsidRPr="00FD211F">
        <w:rPr>
          <w:rStyle w:val="a6"/>
          <w:sz w:val="36"/>
          <w:szCs w:val="36"/>
          <w:rtl/>
        </w:rPr>
        <w:t>)</w:t>
      </w:r>
      <w:r w:rsidR="0013768B" w:rsidRPr="00FD211F">
        <w:rPr>
          <w:sz w:val="36"/>
          <w:szCs w:val="36"/>
          <w:rtl/>
        </w:rPr>
        <w:t>.</w:t>
      </w:r>
    </w:p>
    <w:p w14:paraId="23464DFA" w14:textId="77777777" w:rsidR="009E446A" w:rsidRPr="00FD211F" w:rsidRDefault="002A2C9F" w:rsidP="009C58C8">
      <w:pPr>
        <w:ind w:left="0" w:firstLine="227"/>
        <w:jc w:val="both"/>
        <w:rPr>
          <w:sz w:val="36"/>
          <w:szCs w:val="36"/>
          <w:rtl/>
        </w:rPr>
      </w:pPr>
      <w:r w:rsidRPr="00FD211F">
        <w:rPr>
          <w:sz w:val="36"/>
          <w:szCs w:val="36"/>
          <w:rtl/>
        </w:rPr>
        <w:t>ويمكن</w:t>
      </w:r>
      <w:r w:rsidR="00E8128F">
        <w:rPr>
          <w:sz w:val="36"/>
          <w:szCs w:val="36"/>
          <w:rtl/>
        </w:rPr>
        <w:t xml:space="preserve"> </w:t>
      </w:r>
      <w:r w:rsidRPr="00FD211F">
        <w:rPr>
          <w:sz w:val="36"/>
          <w:szCs w:val="36"/>
          <w:rtl/>
        </w:rPr>
        <w:t>الجواب</w:t>
      </w:r>
      <w:r w:rsidR="00E8128F">
        <w:rPr>
          <w:sz w:val="36"/>
          <w:szCs w:val="36"/>
          <w:rtl/>
        </w:rPr>
        <w:t xml:space="preserve"> </w:t>
      </w:r>
      <w:commentRangeStart w:id="41"/>
      <w:r w:rsidRPr="00FD211F">
        <w:rPr>
          <w:sz w:val="36"/>
          <w:szCs w:val="36"/>
          <w:rtl/>
        </w:rPr>
        <w:t>عنه</w:t>
      </w:r>
      <w:commentRangeEnd w:id="41"/>
      <w:r w:rsidR="007F0FA7">
        <w:rPr>
          <w:rStyle w:val="ab"/>
          <w:rtl/>
        </w:rPr>
        <w:commentReference w:id="41"/>
      </w:r>
      <w:r w:rsidR="00E8128F">
        <w:rPr>
          <w:sz w:val="36"/>
          <w:szCs w:val="36"/>
          <w:rtl/>
        </w:rPr>
        <w:t xml:space="preserve"> </w:t>
      </w:r>
      <w:r w:rsidRPr="00FD211F">
        <w:rPr>
          <w:sz w:val="36"/>
          <w:szCs w:val="36"/>
          <w:rtl/>
        </w:rPr>
        <w:t>بانه</w:t>
      </w:r>
      <w:r w:rsidR="00E8128F">
        <w:rPr>
          <w:sz w:val="36"/>
          <w:szCs w:val="36"/>
          <w:rtl/>
        </w:rPr>
        <w:t xml:space="preserve"> </w:t>
      </w:r>
      <w:r w:rsidR="008D7B3D" w:rsidRPr="00FD211F">
        <w:rPr>
          <w:sz w:val="36"/>
          <w:szCs w:val="36"/>
          <w:rtl/>
        </w:rPr>
        <w:t>لم‌</w:t>
      </w:r>
      <w:r w:rsidRPr="00FD211F">
        <w:rPr>
          <w:sz w:val="36"/>
          <w:szCs w:val="36"/>
          <w:rtl/>
        </w:rPr>
        <w:t>يدل</w:t>
      </w:r>
      <w:r w:rsidR="00E8128F">
        <w:rPr>
          <w:sz w:val="36"/>
          <w:szCs w:val="36"/>
          <w:rtl/>
        </w:rPr>
        <w:t xml:space="preserve"> </w:t>
      </w:r>
      <w:r w:rsidRPr="00FD211F">
        <w:rPr>
          <w:sz w:val="36"/>
          <w:szCs w:val="36"/>
          <w:rtl/>
        </w:rPr>
        <w:t>دليل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ثبوت</w:t>
      </w:r>
      <w:r w:rsidR="00E8128F">
        <w:rPr>
          <w:sz w:val="36"/>
          <w:szCs w:val="36"/>
          <w:rtl/>
        </w:rPr>
        <w:t xml:space="preserve"> </w:t>
      </w:r>
      <w:r w:rsidRPr="00FD211F">
        <w:rPr>
          <w:sz w:val="36"/>
          <w:szCs w:val="36"/>
          <w:rtl/>
        </w:rPr>
        <w:t>الملازم</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الضمان</w:t>
      </w:r>
      <w:r w:rsidR="00E8128F">
        <w:rPr>
          <w:sz w:val="36"/>
          <w:szCs w:val="36"/>
          <w:rtl/>
        </w:rPr>
        <w:t xml:space="preserve"> </w:t>
      </w:r>
      <w:r w:rsidRPr="00FD211F">
        <w:rPr>
          <w:sz w:val="36"/>
          <w:szCs w:val="36"/>
          <w:rtl/>
        </w:rPr>
        <w:t>بالعقد</w:t>
      </w:r>
      <w:r w:rsidR="00E8128F">
        <w:rPr>
          <w:sz w:val="36"/>
          <w:szCs w:val="36"/>
          <w:rtl/>
        </w:rPr>
        <w:t xml:space="preserve"> </w:t>
      </w:r>
      <w:r w:rsidRPr="00FD211F">
        <w:rPr>
          <w:sz w:val="36"/>
          <w:szCs w:val="36"/>
          <w:rtl/>
        </w:rPr>
        <w:t>الصحيح</w:t>
      </w:r>
      <w:r w:rsidR="00E8128F">
        <w:rPr>
          <w:sz w:val="36"/>
          <w:szCs w:val="36"/>
          <w:rtl/>
        </w:rPr>
        <w:t xml:space="preserve"> </w:t>
      </w:r>
      <w:r w:rsidRPr="00FD211F">
        <w:rPr>
          <w:sz w:val="36"/>
          <w:szCs w:val="36"/>
          <w:rtl/>
        </w:rPr>
        <w:t>والعقد</w:t>
      </w:r>
      <w:r w:rsidR="00E8128F">
        <w:rPr>
          <w:sz w:val="36"/>
          <w:szCs w:val="36"/>
          <w:rtl/>
        </w:rPr>
        <w:t xml:space="preserve"> </w:t>
      </w:r>
      <w:r w:rsidRPr="00FD211F">
        <w:rPr>
          <w:sz w:val="36"/>
          <w:szCs w:val="36"/>
          <w:rtl/>
        </w:rPr>
        <w:t>الفاسد</w:t>
      </w:r>
      <w:r w:rsidR="00603323" w:rsidRPr="00FD211F">
        <w:rPr>
          <w:sz w:val="36"/>
          <w:szCs w:val="36"/>
          <w:rtl/>
        </w:rPr>
        <w:t>،</w:t>
      </w:r>
      <w:r w:rsidR="00E8128F">
        <w:rPr>
          <w:sz w:val="36"/>
          <w:szCs w:val="36"/>
          <w:rtl/>
        </w:rPr>
        <w:t xml:space="preserve"> </w:t>
      </w:r>
      <w:r w:rsidRPr="00FD211F">
        <w:rPr>
          <w:sz w:val="36"/>
          <w:szCs w:val="36"/>
          <w:rtl/>
        </w:rPr>
        <w:t>وانما</w:t>
      </w:r>
      <w:r w:rsidR="00E8128F">
        <w:rPr>
          <w:sz w:val="36"/>
          <w:szCs w:val="36"/>
          <w:rtl/>
        </w:rPr>
        <w:t xml:space="preserve"> </w:t>
      </w:r>
      <w:r w:rsidRPr="00FD211F">
        <w:rPr>
          <w:sz w:val="36"/>
          <w:szCs w:val="36"/>
          <w:rtl/>
        </w:rPr>
        <w:t>تنتزع</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الملازم</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بثبوت</w:t>
      </w:r>
      <w:r w:rsidR="00E8128F">
        <w:rPr>
          <w:sz w:val="36"/>
          <w:szCs w:val="36"/>
          <w:rtl/>
        </w:rPr>
        <w:t xml:space="preserve"> </w:t>
      </w:r>
      <w:r w:rsidRPr="00FD211F">
        <w:rPr>
          <w:sz w:val="36"/>
          <w:szCs w:val="36"/>
          <w:rtl/>
        </w:rPr>
        <w:t>الضمان</w:t>
      </w:r>
      <w:r w:rsidR="00E8128F">
        <w:rPr>
          <w:sz w:val="36"/>
          <w:szCs w:val="36"/>
          <w:rtl/>
        </w:rPr>
        <w:t xml:space="preserve"> </w:t>
      </w:r>
      <w:r w:rsidRPr="00FD211F">
        <w:rPr>
          <w:sz w:val="36"/>
          <w:szCs w:val="36"/>
          <w:rtl/>
        </w:rPr>
        <w:t>بالاستيلاء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مال</w:t>
      </w:r>
      <w:r w:rsidR="00E8128F">
        <w:rPr>
          <w:sz w:val="36"/>
          <w:szCs w:val="36"/>
          <w:rtl/>
        </w:rPr>
        <w:t xml:space="preserve"> </w:t>
      </w:r>
      <w:r w:rsidRPr="00FD211F">
        <w:rPr>
          <w:sz w:val="36"/>
          <w:szCs w:val="36"/>
          <w:rtl/>
        </w:rPr>
        <w:t>الغير</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الغاء</w:t>
      </w:r>
      <w:r w:rsidR="00E8128F">
        <w:rPr>
          <w:sz w:val="36"/>
          <w:szCs w:val="36"/>
          <w:rtl/>
        </w:rPr>
        <w:t xml:space="preserve"> </w:t>
      </w:r>
      <w:r w:rsidRPr="00FD211F">
        <w:rPr>
          <w:sz w:val="36"/>
          <w:szCs w:val="36"/>
          <w:rtl/>
        </w:rPr>
        <w:t>المالك</w:t>
      </w:r>
      <w:r w:rsidR="00E8128F">
        <w:rPr>
          <w:sz w:val="36"/>
          <w:szCs w:val="36"/>
          <w:rtl/>
        </w:rPr>
        <w:t xml:space="preserve"> </w:t>
      </w:r>
      <w:r w:rsidRPr="00FD211F">
        <w:rPr>
          <w:sz w:val="36"/>
          <w:szCs w:val="36"/>
          <w:rtl/>
        </w:rPr>
        <w:t>احترام</w:t>
      </w:r>
      <w:r w:rsidR="00E8128F">
        <w:rPr>
          <w:sz w:val="36"/>
          <w:szCs w:val="36"/>
          <w:rtl/>
        </w:rPr>
        <w:t xml:space="preserve"> </w:t>
      </w:r>
      <w:r w:rsidRPr="00FD211F">
        <w:rPr>
          <w:sz w:val="36"/>
          <w:szCs w:val="36"/>
          <w:rtl/>
        </w:rPr>
        <w:t>ماله</w:t>
      </w:r>
      <w:r w:rsidR="00E8128F">
        <w:rPr>
          <w:sz w:val="36"/>
          <w:szCs w:val="36"/>
          <w:rtl/>
        </w:rPr>
        <w:t xml:space="preserve"> </w:t>
      </w:r>
      <w:r w:rsidR="002C734E" w:rsidRPr="00FD211F">
        <w:rPr>
          <w:sz w:val="36"/>
          <w:szCs w:val="36"/>
          <w:rtl/>
        </w:rPr>
        <w:t>حيث</w:t>
      </w:r>
      <w:r w:rsidR="00E8128F">
        <w:rPr>
          <w:sz w:val="36"/>
          <w:szCs w:val="36"/>
          <w:rtl/>
        </w:rPr>
        <w:t xml:space="preserve"> </w:t>
      </w:r>
      <w:r w:rsidR="008D7B3D" w:rsidRPr="00FD211F">
        <w:rPr>
          <w:sz w:val="36"/>
          <w:szCs w:val="36"/>
          <w:rtl/>
        </w:rPr>
        <w:t>لم‌</w:t>
      </w:r>
      <w:r w:rsidR="002C734E" w:rsidRPr="00FD211F">
        <w:rPr>
          <w:sz w:val="36"/>
          <w:szCs w:val="36"/>
          <w:rtl/>
        </w:rPr>
        <w:t>يسلط</w:t>
      </w:r>
      <w:r w:rsidR="00E8128F">
        <w:rPr>
          <w:sz w:val="36"/>
          <w:szCs w:val="36"/>
          <w:rtl/>
        </w:rPr>
        <w:t xml:space="preserve"> </w:t>
      </w:r>
      <w:r w:rsidR="002C734E" w:rsidRPr="00FD211F">
        <w:rPr>
          <w:sz w:val="36"/>
          <w:szCs w:val="36"/>
          <w:rtl/>
        </w:rPr>
        <w:t>الغير</w:t>
      </w:r>
      <w:r w:rsidR="00E8128F">
        <w:rPr>
          <w:sz w:val="36"/>
          <w:szCs w:val="36"/>
          <w:rtl/>
        </w:rPr>
        <w:t xml:space="preserve"> </w:t>
      </w:r>
      <w:r w:rsidR="002C734E" w:rsidRPr="00FD211F">
        <w:rPr>
          <w:sz w:val="36"/>
          <w:szCs w:val="36"/>
          <w:rtl/>
        </w:rPr>
        <w:t>عليه</w:t>
      </w:r>
      <w:r w:rsidR="00E8128F">
        <w:rPr>
          <w:sz w:val="36"/>
          <w:szCs w:val="36"/>
          <w:rtl/>
        </w:rPr>
        <w:t xml:space="preserve"> </w:t>
      </w:r>
      <w:r w:rsidR="002C734E" w:rsidRPr="00FD211F">
        <w:rPr>
          <w:sz w:val="36"/>
          <w:szCs w:val="36"/>
          <w:rtl/>
        </w:rPr>
        <w:t>مجانا</w:t>
      </w:r>
      <w:r w:rsidR="00E8128F">
        <w:rPr>
          <w:sz w:val="36"/>
          <w:szCs w:val="36"/>
          <w:rtl/>
        </w:rPr>
        <w:t xml:space="preserve"> </w:t>
      </w:r>
      <w:r w:rsidR="00693C5E" w:rsidRPr="00FD211F">
        <w:rPr>
          <w:sz w:val="36"/>
          <w:szCs w:val="36"/>
          <w:rtl/>
        </w:rPr>
        <w:t>كما</w:t>
      </w:r>
      <w:r w:rsidR="00E8128F">
        <w:rPr>
          <w:sz w:val="36"/>
          <w:szCs w:val="36"/>
          <w:rtl/>
        </w:rPr>
        <w:t xml:space="preserve"> </w:t>
      </w:r>
      <w:r w:rsidR="00693C5E" w:rsidRPr="00FD211F">
        <w:rPr>
          <w:sz w:val="36"/>
          <w:szCs w:val="36"/>
          <w:rtl/>
        </w:rPr>
        <w:t>في</w:t>
      </w:r>
      <w:r w:rsidR="00E8128F">
        <w:rPr>
          <w:sz w:val="36"/>
          <w:szCs w:val="36"/>
          <w:rtl/>
        </w:rPr>
        <w:t xml:space="preserve"> </w:t>
      </w:r>
      <w:r w:rsidR="00693C5E" w:rsidRPr="00FD211F">
        <w:rPr>
          <w:sz w:val="36"/>
          <w:szCs w:val="36"/>
          <w:rtl/>
        </w:rPr>
        <w:t>البيع</w:t>
      </w:r>
      <w:r w:rsidR="00E8128F">
        <w:rPr>
          <w:sz w:val="36"/>
          <w:szCs w:val="36"/>
          <w:rtl/>
        </w:rPr>
        <w:t xml:space="preserve"> </w:t>
      </w:r>
      <w:r w:rsidR="00693C5E" w:rsidRPr="00FD211F">
        <w:rPr>
          <w:sz w:val="36"/>
          <w:szCs w:val="36"/>
          <w:rtl/>
        </w:rPr>
        <w:t>الفاسد</w:t>
      </w:r>
      <w:r w:rsidR="00603323" w:rsidRPr="00FD211F">
        <w:rPr>
          <w:sz w:val="36"/>
          <w:szCs w:val="36"/>
          <w:rtl/>
        </w:rPr>
        <w:t>،</w:t>
      </w:r>
      <w:r w:rsidR="00E8128F">
        <w:rPr>
          <w:sz w:val="36"/>
          <w:szCs w:val="36"/>
          <w:rtl/>
        </w:rPr>
        <w:t xml:space="preserve"> </w:t>
      </w:r>
      <w:r w:rsidRPr="00FD211F">
        <w:rPr>
          <w:sz w:val="36"/>
          <w:szCs w:val="36"/>
          <w:rtl/>
        </w:rPr>
        <w:lastRenderedPageBreak/>
        <w:t>والحكم</w:t>
      </w:r>
      <w:r w:rsidR="00E8128F">
        <w:rPr>
          <w:sz w:val="36"/>
          <w:szCs w:val="36"/>
          <w:rtl/>
        </w:rPr>
        <w:t xml:space="preserve"> </w:t>
      </w:r>
      <w:r w:rsidR="00693C5E" w:rsidRPr="00FD211F">
        <w:rPr>
          <w:sz w:val="36"/>
          <w:szCs w:val="36"/>
          <w:rtl/>
        </w:rPr>
        <w:t>ب</w:t>
      </w:r>
      <w:r w:rsidRPr="00FD211F">
        <w:rPr>
          <w:sz w:val="36"/>
          <w:szCs w:val="36"/>
          <w:rtl/>
        </w:rPr>
        <w:t>عدم</w:t>
      </w:r>
      <w:r w:rsidR="00E8128F">
        <w:rPr>
          <w:sz w:val="36"/>
          <w:szCs w:val="36"/>
          <w:rtl/>
        </w:rPr>
        <w:t xml:space="preserve"> </w:t>
      </w:r>
      <w:r w:rsidRPr="00FD211F">
        <w:rPr>
          <w:sz w:val="36"/>
          <w:szCs w:val="36"/>
          <w:rtl/>
        </w:rPr>
        <w:t>الضمان</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الغاء</w:t>
      </w:r>
      <w:r w:rsidR="00E8128F">
        <w:rPr>
          <w:sz w:val="36"/>
          <w:szCs w:val="36"/>
          <w:rtl/>
        </w:rPr>
        <w:t xml:space="preserve"> </w:t>
      </w:r>
      <w:r w:rsidRPr="00FD211F">
        <w:rPr>
          <w:sz w:val="36"/>
          <w:szCs w:val="36"/>
          <w:rtl/>
        </w:rPr>
        <w:t>المالك</w:t>
      </w:r>
      <w:r w:rsidR="00E8128F">
        <w:rPr>
          <w:sz w:val="36"/>
          <w:szCs w:val="36"/>
          <w:rtl/>
        </w:rPr>
        <w:t xml:space="preserve"> </w:t>
      </w:r>
      <w:r w:rsidRPr="00FD211F">
        <w:rPr>
          <w:sz w:val="36"/>
          <w:szCs w:val="36"/>
          <w:rtl/>
        </w:rPr>
        <w:t>احترام</w:t>
      </w:r>
      <w:r w:rsidR="00E8128F">
        <w:rPr>
          <w:sz w:val="36"/>
          <w:szCs w:val="36"/>
          <w:rtl/>
        </w:rPr>
        <w:t xml:space="preserve"> </w:t>
      </w:r>
      <w:r w:rsidRPr="00FD211F">
        <w:rPr>
          <w:sz w:val="36"/>
          <w:szCs w:val="36"/>
          <w:rtl/>
        </w:rPr>
        <w:t>ماله</w:t>
      </w:r>
      <w:r w:rsidR="00E8128F">
        <w:rPr>
          <w:sz w:val="36"/>
          <w:szCs w:val="36"/>
          <w:rtl/>
        </w:rPr>
        <w:t xml:space="preserve"> </w:t>
      </w:r>
      <w:r w:rsidR="002C734E" w:rsidRPr="00FD211F">
        <w:rPr>
          <w:sz w:val="36"/>
          <w:szCs w:val="36"/>
          <w:rtl/>
        </w:rPr>
        <w:t>بتسليط</w:t>
      </w:r>
      <w:r w:rsidR="00E8128F">
        <w:rPr>
          <w:sz w:val="36"/>
          <w:szCs w:val="36"/>
          <w:rtl/>
        </w:rPr>
        <w:t xml:space="preserve"> </w:t>
      </w:r>
      <w:r w:rsidR="002C734E" w:rsidRPr="00FD211F">
        <w:rPr>
          <w:sz w:val="36"/>
          <w:szCs w:val="36"/>
          <w:rtl/>
        </w:rPr>
        <w:t>الغير</w:t>
      </w:r>
      <w:r w:rsidR="00E8128F">
        <w:rPr>
          <w:sz w:val="36"/>
          <w:szCs w:val="36"/>
          <w:rtl/>
        </w:rPr>
        <w:t xml:space="preserve"> </w:t>
      </w:r>
      <w:r w:rsidR="002C734E" w:rsidRPr="00FD211F">
        <w:rPr>
          <w:sz w:val="36"/>
          <w:szCs w:val="36"/>
          <w:rtl/>
        </w:rPr>
        <w:t>عليه</w:t>
      </w:r>
      <w:r w:rsidR="00E8128F">
        <w:rPr>
          <w:sz w:val="36"/>
          <w:szCs w:val="36"/>
          <w:rtl/>
        </w:rPr>
        <w:t xml:space="preserve"> </w:t>
      </w:r>
      <w:r w:rsidR="002C734E" w:rsidRPr="00FD211F">
        <w:rPr>
          <w:sz w:val="36"/>
          <w:szCs w:val="36"/>
          <w:rtl/>
        </w:rPr>
        <w:t>مجانا</w:t>
      </w:r>
      <w:r w:rsidR="00E8128F">
        <w:rPr>
          <w:sz w:val="36"/>
          <w:szCs w:val="36"/>
          <w:rtl/>
        </w:rPr>
        <w:t xml:space="preserve"> </w:t>
      </w:r>
      <w:r w:rsidR="00693C5E" w:rsidRPr="00FD211F">
        <w:rPr>
          <w:sz w:val="36"/>
          <w:szCs w:val="36"/>
          <w:rtl/>
        </w:rPr>
        <w:t>كما</w:t>
      </w:r>
      <w:r w:rsidR="00E8128F">
        <w:rPr>
          <w:sz w:val="36"/>
          <w:szCs w:val="36"/>
          <w:rtl/>
        </w:rPr>
        <w:t xml:space="preserve"> </w:t>
      </w:r>
      <w:r w:rsidR="00693C5E" w:rsidRPr="00FD211F">
        <w:rPr>
          <w:sz w:val="36"/>
          <w:szCs w:val="36"/>
          <w:rtl/>
        </w:rPr>
        <w:t>في</w:t>
      </w:r>
      <w:r w:rsidR="00E8128F">
        <w:rPr>
          <w:sz w:val="36"/>
          <w:szCs w:val="36"/>
          <w:rtl/>
        </w:rPr>
        <w:t xml:space="preserve"> </w:t>
      </w:r>
      <w:r w:rsidR="00693C5E" w:rsidRPr="00FD211F">
        <w:rPr>
          <w:sz w:val="36"/>
          <w:szCs w:val="36"/>
          <w:rtl/>
        </w:rPr>
        <w:t>الهب</w:t>
      </w:r>
      <w:r w:rsidR="00EC7EDF" w:rsidRPr="00FD211F">
        <w:rPr>
          <w:sz w:val="36"/>
          <w:szCs w:val="36"/>
          <w:rtl/>
        </w:rPr>
        <w:t>ة</w:t>
      </w:r>
      <w:r w:rsidR="00E8128F">
        <w:rPr>
          <w:sz w:val="36"/>
          <w:szCs w:val="36"/>
          <w:rtl/>
        </w:rPr>
        <w:t xml:space="preserve"> </w:t>
      </w:r>
      <w:commentRangeStart w:id="42"/>
      <w:r w:rsidR="00693C5E" w:rsidRPr="00FD211F">
        <w:rPr>
          <w:sz w:val="36"/>
          <w:szCs w:val="36"/>
          <w:rtl/>
        </w:rPr>
        <w:t>الفاسد</w:t>
      </w:r>
      <w:r w:rsidR="00EC7EDF" w:rsidRPr="00FD211F">
        <w:rPr>
          <w:sz w:val="36"/>
          <w:szCs w:val="36"/>
          <w:rtl/>
        </w:rPr>
        <w:t>ة</w:t>
      </w:r>
      <w:commentRangeEnd w:id="42"/>
      <w:r w:rsidR="00654EA3">
        <w:rPr>
          <w:rStyle w:val="ab"/>
          <w:rtl/>
        </w:rPr>
        <w:commentReference w:id="42"/>
      </w:r>
      <w:r w:rsidR="00603323" w:rsidRPr="00FD211F">
        <w:rPr>
          <w:sz w:val="36"/>
          <w:szCs w:val="36"/>
          <w:rtl/>
        </w:rPr>
        <w:t>،</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فرض</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الخطاب</w:t>
      </w:r>
      <w:r w:rsidR="00E8128F">
        <w:rPr>
          <w:sz w:val="36"/>
          <w:szCs w:val="36"/>
          <w:rtl/>
        </w:rPr>
        <w:t xml:space="preserve"> </w:t>
      </w:r>
      <w:r w:rsidRPr="00FD211F">
        <w:rPr>
          <w:sz w:val="36"/>
          <w:szCs w:val="36"/>
          <w:rtl/>
        </w:rPr>
        <w:t>بلسان</w:t>
      </w:r>
      <w:r w:rsidR="00E8128F">
        <w:rPr>
          <w:sz w:val="36"/>
          <w:szCs w:val="36"/>
          <w:rtl/>
        </w:rPr>
        <w:t xml:space="preserve"> </w:t>
      </w:r>
      <w:r w:rsidRPr="00FD211F">
        <w:rPr>
          <w:sz w:val="36"/>
          <w:szCs w:val="36"/>
          <w:rtl/>
        </w:rPr>
        <w:t>ال</w:t>
      </w:r>
      <w:r w:rsidR="007F193F" w:rsidRPr="00FD211F">
        <w:rPr>
          <w:sz w:val="36"/>
          <w:szCs w:val="36"/>
          <w:rtl/>
        </w:rPr>
        <w:t>ملازم</w:t>
      </w:r>
      <w:r w:rsidR="00EC7EDF" w:rsidRPr="00FD211F">
        <w:rPr>
          <w:sz w:val="36"/>
          <w:szCs w:val="36"/>
          <w:rtl/>
        </w:rPr>
        <w:t>ة</w:t>
      </w:r>
      <w:r w:rsidR="00E8128F">
        <w:rPr>
          <w:sz w:val="36"/>
          <w:szCs w:val="36"/>
          <w:rtl/>
        </w:rPr>
        <w:t xml:space="preserve"> </w:t>
      </w:r>
      <w:r w:rsidR="007F193F" w:rsidRPr="00FD211F">
        <w:rPr>
          <w:sz w:val="36"/>
          <w:szCs w:val="36"/>
          <w:rtl/>
        </w:rPr>
        <w:t>كما</w:t>
      </w:r>
      <w:r w:rsidR="00E8128F">
        <w:rPr>
          <w:sz w:val="36"/>
          <w:szCs w:val="36"/>
          <w:rtl/>
        </w:rPr>
        <w:t xml:space="preserve"> </w:t>
      </w:r>
      <w:r w:rsidR="007F193F" w:rsidRPr="00FD211F">
        <w:rPr>
          <w:sz w:val="36"/>
          <w:szCs w:val="36"/>
          <w:rtl/>
        </w:rPr>
        <w:t>في</w:t>
      </w:r>
      <w:r w:rsidR="00E8128F">
        <w:rPr>
          <w:sz w:val="36"/>
          <w:szCs w:val="36"/>
          <w:rtl/>
        </w:rPr>
        <w:t xml:space="preserve"> </w:t>
      </w:r>
      <w:r w:rsidR="007F193F" w:rsidRPr="00FD211F">
        <w:rPr>
          <w:sz w:val="36"/>
          <w:szCs w:val="36"/>
          <w:rtl/>
        </w:rPr>
        <w:t>صحيح</w:t>
      </w:r>
      <w:r w:rsidR="00EC7EDF" w:rsidRPr="00FD211F">
        <w:rPr>
          <w:sz w:val="36"/>
          <w:szCs w:val="36"/>
          <w:rtl/>
        </w:rPr>
        <w:t>ة</w:t>
      </w:r>
      <w:r w:rsidR="00E8128F">
        <w:rPr>
          <w:sz w:val="36"/>
          <w:szCs w:val="36"/>
          <w:rtl/>
        </w:rPr>
        <w:t xml:space="preserve"> </w:t>
      </w:r>
      <w:r w:rsidR="007F193F" w:rsidRPr="00FD211F">
        <w:rPr>
          <w:sz w:val="36"/>
          <w:szCs w:val="36"/>
          <w:rtl/>
        </w:rPr>
        <w:t>معاوي</w:t>
      </w:r>
      <w:r w:rsidR="00EC7EDF" w:rsidRPr="00FD211F">
        <w:rPr>
          <w:sz w:val="36"/>
          <w:szCs w:val="36"/>
          <w:rtl/>
        </w:rPr>
        <w:t>ة</w:t>
      </w:r>
      <w:r w:rsidR="00E8128F">
        <w:rPr>
          <w:sz w:val="36"/>
          <w:szCs w:val="36"/>
          <w:rtl/>
        </w:rPr>
        <w:t xml:space="preserve"> </w:t>
      </w:r>
      <w:r w:rsidR="007F193F" w:rsidRPr="00FD211F">
        <w:rPr>
          <w:sz w:val="36"/>
          <w:szCs w:val="36"/>
          <w:rtl/>
        </w:rPr>
        <w:t>بن</w:t>
      </w:r>
      <w:r w:rsidR="00E8128F">
        <w:rPr>
          <w:sz w:val="36"/>
          <w:szCs w:val="36"/>
          <w:rtl/>
        </w:rPr>
        <w:t xml:space="preserve"> </w:t>
      </w:r>
      <w:r w:rsidR="007F193F" w:rsidRPr="00FD211F">
        <w:rPr>
          <w:sz w:val="36"/>
          <w:szCs w:val="36"/>
          <w:rtl/>
        </w:rPr>
        <w:t>وهب</w:t>
      </w:r>
      <w:r w:rsidR="00E8128F">
        <w:rPr>
          <w:sz w:val="36"/>
          <w:szCs w:val="36"/>
          <w:rtl/>
        </w:rPr>
        <w:t xml:space="preserve"> </w:t>
      </w:r>
      <w:r w:rsidR="007F193F" w:rsidRPr="00FD211F">
        <w:rPr>
          <w:sz w:val="36"/>
          <w:szCs w:val="36"/>
          <w:rtl/>
        </w:rPr>
        <w:t>عن</w:t>
      </w:r>
      <w:r w:rsidR="00E8128F">
        <w:rPr>
          <w:sz w:val="36"/>
          <w:szCs w:val="36"/>
          <w:rtl/>
        </w:rPr>
        <w:t xml:space="preserve"> </w:t>
      </w:r>
      <w:r w:rsidR="007F193F" w:rsidRPr="00FD211F">
        <w:rPr>
          <w:sz w:val="36"/>
          <w:szCs w:val="36"/>
          <w:rtl/>
        </w:rPr>
        <w:t>ابي</w:t>
      </w:r>
      <w:r w:rsidR="00E8128F">
        <w:rPr>
          <w:sz w:val="36"/>
          <w:szCs w:val="36"/>
          <w:rtl/>
        </w:rPr>
        <w:t xml:space="preserve"> </w:t>
      </w:r>
      <w:r w:rsidR="007F193F" w:rsidRPr="00FD211F">
        <w:rPr>
          <w:sz w:val="36"/>
          <w:szCs w:val="36"/>
          <w:rtl/>
        </w:rPr>
        <w:t>عبدالله</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664F43" w:rsidRPr="00FD211F">
        <w:rPr>
          <w:sz w:val="36"/>
          <w:szCs w:val="36"/>
          <w:rtl/>
        </w:rPr>
        <w:t>"</w:t>
      </w:r>
      <w:r w:rsidR="004D76C0" w:rsidRPr="00FD211F">
        <w:rPr>
          <w:sz w:val="36"/>
          <w:szCs w:val="36"/>
          <w:rtl/>
        </w:rPr>
        <w:t>هذا</w:t>
      </w:r>
      <w:r w:rsidR="00E8128F">
        <w:rPr>
          <w:sz w:val="36"/>
          <w:szCs w:val="36"/>
          <w:rtl/>
        </w:rPr>
        <w:t xml:space="preserve"> </w:t>
      </w:r>
      <w:r w:rsidR="004D76C0" w:rsidRPr="00FD211F">
        <w:rPr>
          <w:sz w:val="36"/>
          <w:szCs w:val="36"/>
          <w:rtl/>
        </w:rPr>
        <w:t>واحد</w:t>
      </w:r>
      <w:r w:rsidR="00E8128F">
        <w:rPr>
          <w:sz w:val="36"/>
          <w:szCs w:val="36"/>
          <w:rtl/>
        </w:rPr>
        <w:t xml:space="preserve"> </w:t>
      </w:r>
      <w:r w:rsidR="007F193F" w:rsidRPr="00FD211F">
        <w:rPr>
          <w:sz w:val="36"/>
          <w:szCs w:val="36"/>
          <w:rtl/>
        </w:rPr>
        <w:t>اذا</w:t>
      </w:r>
      <w:r w:rsidR="00E8128F">
        <w:rPr>
          <w:sz w:val="36"/>
          <w:szCs w:val="36"/>
          <w:rtl/>
        </w:rPr>
        <w:t xml:space="preserve"> </w:t>
      </w:r>
      <w:r w:rsidR="004D76C0" w:rsidRPr="00FD211F">
        <w:rPr>
          <w:sz w:val="36"/>
          <w:szCs w:val="36"/>
          <w:rtl/>
        </w:rPr>
        <w:t>قصرت</w:t>
      </w:r>
      <w:r w:rsidR="00E8128F">
        <w:rPr>
          <w:sz w:val="36"/>
          <w:szCs w:val="36"/>
          <w:rtl/>
        </w:rPr>
        <w:t xml:space="preserve"> </w:t>
      </w:r>
      <w:r w:rsidR="004D76C0" w:rsidRPr="00FD211F">
        <w:rPr>
          <w:sz w:val="36"/>
          <w:szCs w:val="36"/>
          <w:rtl/>
        </w:rPr>
        <w:t>افطرت</w:t>
      </w:r>
      <w:r w:rsidR="00E8128F">
        <w:rPr>
          <w:sz w:val="36"/>
          <w:szCs w:val="36"/>
          <w:rtl/>
        </w:rPr>
        <w:t xml:space="preserve"> </w:t>
      </w:r>
      <w:r w:rsidR="004D76C0" w:rsidRPr="00FD211F">
        <w:rPr>
          <w:sz w:val="36"/>
          <w:szCs w:val="36"/>
          <w:rtl/>
        </w:rPr>
        <w:t>واذا</w:t>
      </w:r>
      <w:r w:rsidR="00E8128F">
        <w:rPr>
          <w:sz w:val="36"/>
          <w:szCs w:val="36"/>
          <w:rtl/>
        </w:rPr>
        <w:t xml:space="preserve"> </w:t>
      </w:r>
      <w:r w:rsidRPr="00FD211F">
        <w:rPr>
          <w:sz w:val="36"/>
          <w:szCs w:val="36"/>
          <w:rtl/>
        </w:rPr>
        <w:t>افطرت</w:t>
      </w:r>
      <w:r w:rsidR="00E8128F">
        <w:rPr>
          <w:sz w:val="36"/>
          <w:szCs w:val="36"/>
          <w:rtl/>
        </w:rPr>
        <w:t xml:space="preserve"> </w:t>
      </w:r>
      <w:r w:rsidRPr="00FD211F">
        <w:rPr>
          <w:sz w:val="36"/>
          <w:szCs w:val="36"/>
          <w:rtl/>
        </w:rPr>
        <w:t>قصرت</w:t>
      </w:r>
      <w:r w:rsidR="00664F43" w:rsidRPr="00FD211F">
        <w:rPr>
          <w:sz w:val="36"/>
          <w:szCs w:val="36"/>
          <w:rtl/>
        </w:rPr>
        <w:t>"</w:t>
      </w:r>
      <w:r w:rsidR="009C58C8" w:rsidRPr="00FD211F">
        <w:rPr>
          <w:rStyle w:val="a6"/>
          <w:sz w:val="36"/>
          <w:szCs w:val="36"/>
          <w:rtl/>
        </w:rPr>
        <w:t>(</w:t>
      </w:r>
      <w:r w:rsidR="009C58C8" w:rsidRPr="00FD211F">
        <w:rPr>
          <w:rStyle w:val="a6"/>
          <w:sz w:val="36"/>
          <w:szCs w:val="36"/>
          <w:rtl/>
        </w:rPr>
        <w:footnoteReference w:id="41"/>
      </w:r>
      <w:r w:rsidR="009C58C8" w:rsidRPr="00FD211F">
        <w:rPr>
          <w:rStyle w:val="a6"/>
          <w:sz w:val="36"/>
          <w:szCs w:val="36"/>
          <w:rtl/>
        </w:rPr>
        <w:t>)</w:t>
      </w:r>
      <w:r w:rsidR="00E8128F">
        <w:rPr>
          <w:sz w:val="36"/>
          <w:szCs w:val="36"/>
          <w:rtl/>
        </w:rPr>
        <w:t xml:space="preserve"> </w:t>
      </w:r>
      <w:r w:rsidRPr="00FD211F">
        <w:rPr>
          <w:sz w:val="36"/>
          <w:szCs w:val="36"/>
          <w:rtl/>
        </w:rPr>
        <w:t>فحيث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الملازم</w:t>
      </w:r>
      <w:r w:rsidR="00EC7EDF" w:rsidRPr="00FD211F">
        <w:rPr>
          <w:sz w:val="36"/>
          <w:szCs w:val="36"/>
          <w:rtl/>
        </w:rPr>
        <w:t>ة</w:t>
      </w:r>
      <w:r w:rsidR="00E8128F">
        <w:rPr>
          <w:sz w:val="36"/>
          <w:szCs w:val="36"/>
          <w:rtl/>
        </w:rPr>
        <w:t xml:space="preserve"> </w:t>
      </w:r>
      <w:r w:rsidRPr="00FD211F">
        <w:rPr>
          <w:sz w:val="36"/>
          <w:szCs w:val="36"/>
          <w:rtl/>
        </w:rPr>
        <w:t>شرعي</w:t>
      </w:r>
      <w:r w:rsidR="00EC7EDF" w:rsidRPr="00FD211F">
        <w:rPr>
          <w:sz w:val="36"/>
          <w:szCs w:val="36"/>
          <w:rtl/>
        </w:rPr>
        <w:t>ة</w:t>
      </w:r>
      <w:r w:rsidR="00E8128F">
        <w:rPr>
          <w:sz w:val="36"/>
          <w:szCs w:val="36"/>
          <w:rtl/>
        </w:rPr>
        <w:t xml:space="preserve"> </w:t>
      </w:r>
      <w:r w:rsidRPr="00FD211F">
        <w:rPr>
          <w:sz w:val="36"/>
          <w:szCs w:val="36"/>
          <w:rtl/>
        </w:rPr>
        <w:t>فتنتزع</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الملازم</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جعل</w:t>
      </w:r>
      <w:r w:rsidR="00E8128F">
        <w:rPr>
          <w:sz w:val="36"/>
          <w:szCs w:val="36"/>
          <w:rtl/>
        </w:rPr>
        <w:t xml:space="preserve"> </w:t>
      </w:r>
      <w:r w:rsidRPr="00FD211F">
        <w:rPr>
          <w:sz w:val="36"/>
          <w:szCs w:val="36"/>
          <w:rtl/>
        </w:rPr>
        <w:t>اللازم</w:t>
      </w:r>
      <w:r w:rsidR="00E8128F">
        <w:rPr>
          <w:sz w:val="36"/>
          <w:szCs w:val="36"/>
          <w:rtl/>
        </w:rPr>
        <w:t xml:space="preserve"> </w:t>
      </w:r>
      <w:r w:rsidR="00693C5E" w:rsidRPr="00FD211F">
        <w:rPr>
          <w:sz w:val="36"/>
          <w:szCs w:val="36"/>
          <w:rtl/>
        </w:rPr>
        <w:t>عند</w:t>
      </w:r>
      <w:r w:rsidR="00E8128F">
        <w:rPr>
          <w:sz w:val="36"/>
          <w:szCs w:val="36"/>
          <w:rtl/>
        </w:rPr>
        <w:t xml:space="preserve"> </w:t>
      </w:r>
      <w:r w:rsidRPr="00FD211F">
        <w:rPr>
          <w:sz w:val="36"/>
          <w:szCs w:val="36"/>
          <w:rtl/>
        </w:rPr>
        <w:t>وجود</w:t>
      </w:r>
      <w:r w:rsidR="00E8128F">
        <w:rPr>
          <w:sz w:val="36"/>
          <w:szCs w:val="36"/>
          <w:rtl/>
        </w:rPr>
        <w:t xml:space="preserve"> </w:t>
      </w:r>
      <w:commentRangeStart w:id="43"/>
      <w:r w:rsidRPr="00FD211F">
        <w:rPr>
          <w:sz w:val="36"/>
          <w:szCs w:val="36"/>
          <w:rtl/>
        </w:rPr>
        <w:t>الملزوم</w:t>
      </w:r>
      <w:commentRangeEnd w:id="43"/>
      <w:r w:rsidR="00A1784C">
        <w:rPr>
          <w:rStyle w:val="ab"/>
          <w:rtl/>
        </w:rPr>
        <w:commentReference w:id="43"/>
      </w:r>
      <w:r w:rsidR="00603323" w:rsidRPr="00FD211F">
        <w:rPr>
          <w:sz w:val="36"/>
          <w:szCs w:val="36"/>
          <w:rtl/>
        </w:rPr>
        <w:t>،</w:t>
      </w:r>
      <w:r w:rsidR="00E8128F">
        <w:rPr>
          <w:sz w:val="36"/>
          <w:szCs w:val="36"/>
          <w:rtl/>
        </w:rPr>
        <w:t xml:space="preserve"> </w:t>
      </w:r>
      <w:r w:rsidRPr="00FD211F">
        <w:rPr>
          <w:sz w:val="36"/>
          <w:szCs w:val="36"/>
          <w:rtl/>
        </w:rPr>
        <w:t>وهذا</w:t>
      </w:r>
      <w:r w:rsidR="00E8128F">
        <w:rPr>
          <w:sz w:val="36"/>
          <w:szCs w:val="36"/>
          <w:rtl/>
        </w:rPr>
        <w:t xml:space="preserve"> </w:t>
      </w:r>
      <w:r w:rsidRPr="00FD211F">
        <w:rPr>
          <w:sz w:val="36"/>
          <w:szCs w:val="36"/>
          <w:rtl/>
        </w:rPr>
        <w:t>بخلاف</w:t>
      </w:r>
      <w:r w:rsidR="00E8128F">
        <w:rPr>
          <w:sz w:val="36"/>
          <w:szCs w:val="36"/>
          <w:rtl/>
        </w:rPr>
        <w:t xml:space="preserve"> </w:t>
      </w:r>
      <w:r w:rsidRPr="00FD211F">
        <w:rPr>
          <w:sz w:val="36"/>
          <w:szCs w:val="36"/>
          <w:rtl/>
        </w:rPr>
        <w:t>الملازم</w:t>
      </w:r>
      <w:r w:rsidR="00EC7EDF" w:rsidRPr="00FD211F">
        <w:rPr>
          <w:sz w:val="36"/>
          <w:szCs w:val="36"/>
          <w:rtl/>
        </w:rPr>
        <w:t>ة</w:t>
      </w:r>
      <w:r w:rsidR="00E8128F">
        <w:rPr>
          <w:sz w:val="36"/>
          <w:szCs w:val="36"/>
          <w:rtl/>
        </w:rPr>
        <w:t xml:space="preserve"> </w:t>
      </w:r>
      <w:r w:rsidR="00693C5E" w:rsidRPr="00FD211F">
        <w:rPr>
          <w:sz w:val="36"/>
          <w:szCs w:val="36"/>
          <w:rtl/>
        </w:rPr>
        <w:t>العقلي</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ووجوب</w:t>
      </w:r>
      <w:r w:rsidR="00E8128F">
        <w:rPr>
          <w:sz w:val="36"/>
          <w:szCs w:val="36"/>
          <w:rtl/>
        </w:rPr>
        <w:t xml:space="preserve"> </w:t>
      </w:r>
      <w:r w:rsidRPr="00FD211F">
        <w:rPr>
          <w:sz w:val="36"/>
          <w:szCs w:val="36"/>
          <w:rtl/>
        </w:rPr>
        <w:t>مقدمته</w:t>
      </w:r>
      <w:r w:rsidR="00603323" w:rsidRPr="00FD211F">
        <w:rPr>
          <w:sz w:val="36"/>
          <w:szCs w:val="36"/>
          <w:rtl/>
        </w:rPr>
        <w:t>،</w:t>
      </w:r>
      <w:r w:rsidR="00E8128F">
        <w:rPr>
          <w:sz w:val="36"/>
          <w:szCs w:val="36"/>
          <w:rtl/>
        </w:rPr>
        <w:t xml:space="preserve"> </w:t>
      </w:r>
      <w:r w:rsidRPr="00FD211F">
        <w:rPr>
          <w:sz w:val="36"/>
          <w:szCs w:val="36"/>
          <w:rtl/>
        </w:rPr>
        <w:t>فانها</w:t>
      </w:r>
      <w:r w:rsidR="00E8128F">
        <w:rPr>
          <w:sz w:val="36"/>
          <w:szCs w:val="36"/>
          <w:rtl/>
        </w:rPr>
        <w:t xml:space="preserve"> </w:t>
      </w:r>
      <w:r w:rsidRPr="00FD211F">
        <w:rPr>
          <w:sz w:val="36"/>
          <w:szCs w:val="36"/>
          <w:rtl/>
        </w:rPr>
        <w:t>تختلف</w:t>
      </w:r>
      <w:r w:rsidR="00E8128F">
        <w:rPr>
          <w:sz w:val="36"/>
          <w:szCs w:val="36"/>
          <w:rtl/>
        </w:rPr>
        <w:t xml:space="preserve"> </w:t>
      </w:r>
      <w:r w:rsidR="00693C5E" w:rsidRPr="00FD211F">
        <w:rPr>
          <w:sz w:val="36"/>
          <w:szCs w:val="36"/>
          <w:rtl/>
        </w:rPr>
        <w:t>وجودا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المقدم</w:t>
      </w:r>
      <w:r w:rsidR="00EC7EDF" w:rsidRPr="00FD211F">
        <w:rPr>
          <w:sz w:val="36"/>
          <w:szCs w:val="36"/>
          <w:rtl/>
        </w:rPr>
        <w:t>ة</w:t>
      </w:r>
      <w:r w:rsidR="00E8128F">
        <w:rPr>
          <w:sz w:val="36"/>
          <w:szCs w:val="36"/>
          <w:rtl/>
        </w:rPr>
        <w:t xml:space="preserve"> </w:t>
      </w:r>
      <w:r w:rsidR="00693C5E" w:rsidRPr="00FD211F">
        <w:rPr>
          <w:sz w:val="36"/>
          <w:szCs w:val="36"/>
          <w:rtl/>
        </w:rPr>
        <w:t>عند</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ذيها.</w:t>
      </w:r>
    </w:p>
    <w:p w14:paraId="5B2A2E3C" w14:textId="77777777" w:rsidR="006C4AAB" w:rsidRPr="00FD211F" w:rsidRDefault="006A2240" w:rsidP="009C58C8">
      <w:pPr>
        <w:ind w:left="0" w:firstLine="227"/>
        <w:jc w:val="both"/>
        <w:rPr>
          <w:sz w:val="36"/>
          <w:szCs w:val="36"/>
          <w:rtl/>
        </w:rPr>
      </w:pPr>
      <w:r w:rsidRPr="00FD211F">
        <w:rPr>
          <w:sz w:val="36"/>
          <w:szCs w:val="36"/>
          <w:rtl/>
        </w:rPr>
        <w:t>2-</w:t>
      </w:r>
      <w:r w:rsidR="00E8128F">
        <w:rPr>
          <w:sz w:val="36"/>
          <w:szCs w:val="36"/>
          <w:rtl/>
        </w:rPr>
        <w:t xml:space="preserve"> </w:t>
      </w:r>
      <w:r w:rsidR="00975935" w:rsidRPr="00FD211F">
        <w:rPr>
          <w:sz w:val="36"/>
          <w:szCs w:val="36"/>
          <w:rtl/>
        </w:rPr>
        <w:t>ما</w:t>
      </w:r>
      <w:r w:rsidR="00E8128F">
        <w:rPr>
          <w:sz w:val="36"/>
          <w:szCs w:val="36"/>
          <w:rtl/>
        </w:rPr>
        <w:t xml:space="preserve"> </w:t>
      </w:r>
      <w:r w:rsidR="00975935" w:rsidRPr="00FD211F">
        <w:rPr>
          <w:sz w:val="36"/>
          <w:szCs w:val="36"/>
          <w:rtl/>
        </w:rPr>
        <w:t>ذكره</w:t>
      </w:r>
      <w:r w:rsidR="00E8128F">
        <w:rPr>
          <w:sz w:val="36"/>
          <w:szCs w:val="36"/>
          <w:rtl/>
        </w:rPr>
        <w:t xml:space="preserve"> </w:t>
      </w:r>
      <w:r w:rsidR="00975935" w:rsidRPr="00FD211F">
        <w:rPr>
          <w:sz w:val="36"/>
          <w:szCs w:val="36"/>
          <w:rtl/>
        </w:rPr>
        <w:t>في</w:t>
      </w:r>
      <w:r w:rsidR="00E8128F">
        <w:rPr>
          <w:sz w:val="36"/>
          <w:szCs w:val="36"/>
          <w:rtl/>
        </w:rPr>
        <w:t xml:space="preserve"> </w:t>
      </w:r>
      <w:r w:rsidR="00975935" w:rsidRPr="00FD211F">
        <w:rPr>
          <w:sz w:val="36"/>
          <w:szCs w:val="36"/>
          <w:rtl/>
        </w:rPr>
        <w:t>البحوث</w:t>
      </w:r>
      <w:r w:rsidR="00E8128F">
        <w:rPr>
          <w:sz w:val="36"/>
          <w:szCs w:val="36"/>
          <w:rtl/>
        </w:rPr>
        <w:t xml:space="preserve"> </w:t>
      </w:r>
      <w:r w:rsidR="00975935" w:rsidRPr="00FD211F">
        <w:rPr>
          <w:sz w:val="36"/>
          <w:szCs w:val="36"/>
          <w:rtl/>
        </w:rPr>
        <w:t>من</w:t>
      </w:r>
      <w:r w:rsidR="00E8128F">
        <w:rPr>
          <w:sz w:val="36"/>
          <w:szCs w:val="36"/>
          <w:rtl/>
        </w:rPr>
        <w:t xml:space="preserve"> </w:t>
      </w:r>
      <w:r w:rsidR="00E563F1" w:rsidRPr="00FD211F">
        <w:rPr>
          <w:sz w:val="36"/>
          <w:szCs w:val="36"/>
          <w:rtl/>
        </w:rPr>
        <w:t>ان</w:t>
      </w:r>
      <w:r w:rsidR="00E8128F">
        <w:rPr>
          <w:sz w:val="36"/>
          <w:szCs w:val="36"/>
          <w:rtl/>
        </w:rPr>
        <w:t xml:space="preserve"> </w:t>
      </w:r>
      <w:r w:rsidR="00E563F1" w:rsidRPr="00FD211F">
        <w:rPr>
          <w:sz w:val="36"/>
          <w:szCs w:val="36"/>
          <w:rtl/>
        </w:rPr>
        <w:t>التمييز</w:t>
      </w:r>
      <w:r w:rsidR="00E8128F">
        <w:rPr>
          <w:sz w:val="36"/>
          <w:szCs w:val="36"/>
          <w:rtl/>
        </w:rPr>
        <w:t xml:space="preserve"> </w:t>
      </w:r>
      <w:r w:rsidR="00E563F1" w:rsidRPr="00FD211F">
        <w:rPr>
          <w:sz w:val="36"/>
          <w:szCs w:val="36"/>
          <w:rtl/>
        </w:rPr>
        <w:t>بين</w:t>
      </w:r>
      <w:r w:rsidR="00E8128F">
        <w:rPr>
          <w:sz w:val="36"/>
          <w:szCs w:val="36"/>
          <w:rtl/>
        </w:rPr>
        <w:t xml:space="preserve"> </w:t>
      </w:r>
      <w:r w:rsidR="00E563F1" w:rsidRPr="00FD211F">
        <w:rPr>
          <w:sz w:val="36"/>
          <w:szCs w:val="36"/>
          <w:rtl/>
        </w:rPr>
        <w:t>ال</w:t>
      </w:r>
      <w:r w:rsidR="00D26CFF" w:rsidRPr="00FD211F">
        <w:rPr>
          <w:sz w:val="36"/>
          <w:szCs w:val="36"/>
          <w:rtl/>
        </w:rPr>
        <w:t>قاعد</w:t>
      </w:r>
      <w:r w:rsidR="00EC7EDF" w:rsidRPr="00FD211F">
        <w:rPr>
          <w:sz w:val="36"/>
          <w:szCs w:val="36"/>
          <w:rtl/>
        </w:rPr>
        <w:t>ة</w:t>
      </w:r>
      <w:r w:rsidR="00E8128F">
        <w:rPr>
          <w:sz w:val="36"/>
          <w:szCs w:val="36"/>
          <w:rtl/>
        </w:rPr>
        <w:t xml:space="preserve"> </w:t>
      </w:r>
      <w:r w:rsidR="00E563F1" w:rsidRPr="00FD211F">
        <w:rPr>
          <w:sz w:val="36"/>
          <w:szCs w:val="36"/>
          <w:rtl/>
        </w:rPr>
        <w:t>الاصولي</w:t>
      </w:r>
      <w:r w:rsidR="00EC7EDF" w:rsidRPr="00FD211F">
        <w:rPr>
          <w:sz w:val="36"/>
          <w:szCs w:val="36"/>
          <w:rtl/>
        </w:rPr>
        <w:t>ة</w:t>
      </w:r>
      <w:r w:rsidR="00E8128F">
        <w:rPr>
          <w:sz w:val="36"/>
          <w:szCs w:val="36"/>
          <w:rtl/>
        </w:rPr>
        <w:t xml:space="preserve"> </w:t>
      </w:r>
      <w:r w:rsidR="00E563F1" w:rsidRPr="00FD211F">
        <w:rPr>
          <w:sz w:val="36"/>
          <w:szCs w:val="36"/>
          <w:rtl/>
        </w:rPr>
        <w:t>والقاعد</w:t>
      </w:r>
      <w:r w:rsidR="00EC7EDF" w:rsidRPr="00FD211F">
        <w:rPr>
          <w:sz w:val="36"/>
          <w:szCs w:val="36"/>
          <w:rtl/>
        </w:rPr>
        <w:t>ة</w:t>
      </w:r>
      <w:r w:rsidR="00E8128F">
        <w:rPr>
          <w:sz w:val="36"/>
          <w:szCs w:val="36"/>
          <w:rtl/>
        </w:rPr>
        <w:t xml:space="preserve"> </w:t>
      </w:r>
      <w:r w:rsidR="00E563F1" w:rsidRPr="00FD211F">
        <w:rPr>
          <w:sz w:val="36"/>
          <w:szCs w:val="36"/>
          <w:rtl/>
        </w:rPr>
        <w:t>الفقهي</w:t>
      </w:r>
      <w:r w:rsidR="00EC7EDF" w:rsidRPr="00FD211F">
        <w:rPr>
          <w:sz w:val="36"/>
          <w:szCs w:val="36"/>
          <w:rtl/>
        </w:rPr>
        <w:t>ة</w:t>
      </w:r>
      <w:r w:rsidR="00E8128F">
        <w:rPr>
          <w:sz w:val="36"/>
          <w:szCs w:val="36"/>
          <w:rtl/>
        </w:rPr>
        <w:t xml:space="preserve"> </w:t>
      </w:r>
      <w:r w:rsidR="00E563F1" w:rsidRPr="00FD211F">
        <w:rPr>
          <w:sz w:val="36"/>
          <w:szCs w:val="36"/>
          <w:rtl/>
        </w:rPr>
        <w:t>بما</w:t>
      </w:r>
      <w:r w:rsidR="00E8128F">
        <w:rPr>
          <w:sz w:val="36"/>
          <w:szCs w:val="36"/>
          <w:rtl/>
        </w:rPr>
        <w:t xml:space="preserve"> </w:t>
      </w:r>
      <w:r w:rsidR="00E563F1" w:rsidRPr="00FD211F">
        <w:rPr>
          <w:sz w:val="36"/>
          <w:szCs w:val="36"/>
          <w:rtl/>
        </w:rPr>
        <w:t>ذكره</w:t>
      </w:r>
      <w:r w:rsidR="00E8128F">
        <w:rPr>
          <w:sz w:val="36"/>
          <w:szCs w:val="36"/>
          <w:rtl/>
        </w:rPr>
        <w:t xml:space="preserve"> </w:t>
      </w:r>
      <w:r w:rsidR="00E563F1" w:rsidRPr="00FD211F">
        <w:rPr>
          <w:sz w:val="36"/>
          <w:szCs w:val="36"/>
          <w:rtl/>
        </w:rPr>
        <w:t>من</w:t>
      </w:r>
      <w:r w:rsidR="00E8128F">
        <w:rPr>
          <w:sz w:val="36"/>
          <w:szCs w:val="36"/>
          <w:rtl/>
        </w:rPr>
        <w:t xml:space="preserve"> </w:t>
      </w:r>
      <w:r w:rsidR="00E563F1" w:rsidRPr="00FD211F">
        <w:rPr>
          <w:sz w:val="36"/>
          <w:szCs w:val="36"/>
          <w:rtl/>
        </w:rPr>
        <w:t>الفرق</w:t>
      </w:r>
      <w:r w:rsidR="00E8128F">
        <w:rPr>
          <w:sz w:val="36"/>
          <w:szCs w:val="36"/>
          <w:rtl/>
        </w:rPr>
        <w:t xml:space="preserve"> </w:t>
      </w:r>
      <w:r w:rsidR="00E563F1" w:rsidRPr="00FD211F">
        <w:rPr>
          <w:sz w:val="36"/>
          <w:szCs w:val="36"/>
          <w:rtl/>
        </w:rPr>
        <w:t>بين</w:t>
      </w:r>
      <w:r w:rsidR="00E8128F">
        <w:rPr>
          <w:sz w:val="36"/>
          <w:szCs w:val="36"/>
          <w:rtl/>
        </w:rPr>
        <w:t xml:space="preserve"> </w:t>
      </w:r>
      <w:r w:rsidR="00E563F1" w:rsidRPr="00FD211F">
        <w:rPr>
          <w:sz w:val="36"/>
          <w:szCs w:val="36"/>
          <w:rtl/>
        </w:rPr>
        <w:t>التطبيق</w:t>
      </w:r>
      <w:r w:rsidR="00E8128F">
        <w:rPr>
          <w:sz w:val="36"/>
          <w:szCs w:val="36"/>
          <w:rtl/>
        </w:rPr>
        <w:t xml:space="preserve"> </w:t>
      </w:r>
      <w:r w:rsidR="00E563F1" w:rsidRPr="00FD211F">
        <w:rPr>
          <w:sz w:val="36"/>
          <w:szCs w:val="36"/>
          <w:rtl/>
        </w:rPr>
        <w:t>والاستنباط</w:t>
      </w:r>
      <w:r w:rsidR="00603323" w:rsidRPr="00FD211F">
        <w:rPr>
          <w:sz w:val="36"/>
          <w:szCs w:val="36"/>
          <w:rtl/>
        </w:rPr>
        <w:t>،</w:t>
      </w:r>
      <w:r w:rsidR="00E8128F">
        <w:rPr>
          <w:sz w:val="36"/>
          <w:szCs w:val="36"/>
          <w:rtl/>
        </w:rPr>
        <w:t xml:space="preserve"> </w:t>
      </w:r>
      <w:r w:rsidR="00E563F1" w:rsidRPr="00FD211F">
        <w:rPr>
          <w:sz w:val="36"/>
          <w:szCs w:val="36"/>
          <w:rtl/>
        </w:rPr>
        <w:t>يؤدي</w:t>
      </w:r>
      <w:r w:rsidR="00E8128F">
        <w:rPr>
          <w:sz w:val="36"/>
          <w:szCs w:val="36"/>
          <w:rtl/>
        </w:rPr>
        <w:t xml:space="preserve"> </w:t>
      </w:r>
      <w:r w:rsidR="00E563F1" w:rsidRPr="00FD211F">
        <w:rPr>
          <w:sz w:val="36"/>
          <w:szCs w:val="36"/>
          <w:rtl/>
        </w:rPr>
        <w:t>احيانا</w:t>
      </w:r>
      <w:r w:rsidR="00E8128F">
        <w:rPr>
          <w:sz w:val="36"/>
          <w:szCs w:val="36"/>
          <w:rtl/>
        </w:rPr>
        <w:t xml:space="preserve"> </w:t>
      </w:r>
      <w:r w:rsidR="00E563F1" w:rsidRPr="00FD211F">
        <w:rPr>
          <w:sz w:val="36"/>
          <w:szCs w:val="36"/>
          <w:rtl/>
        </w:rPr>
        <w:t>الى</w:t>
      </w:r>
      <w:r w:rsidR="00E8128F">
        <w:rPr>
          <w:sz w:val="36"/>
          <w:szCs w:val="36"/>
          <w:rtl/>
        </w:rPr>
        <w:t xml:space="preserve"> </w:t>
      </w:r>
      <w:r w:rsidR="00E563F1" w:rsidRPr="00FD211F">
        <w:rPr>
          <w:sz w:val="36"/>
          <w:szCs w:val="36"/>
          <w:rtl/>
        </w:rPr>
        <w:t>نتيج</w:t>
      </w:r>
      <w:r w:rsidR="00EC7EDF" w:rsidRPr="00FD211F">
        <w:rPr>
          <w:sz w:val="36"/>
          <w:szCs w:val="36"/>
          <w:rtl/>
        </w:rPr>
        <w:t>ة</w:t>
      </w:r>
      <w:r w:rsidR="00E8128F">
        <w:rPr>
          <w:sz w:val="36"/>
          <w:szCs w:val="36"/>
          <w:rtl/>
        </w:rPr>
        <w:t xml:space="preserve"> </w:t>
      </w:r>
      <w:r w:rsidR="00E563F1" w:rsidRPr="00FD211F">
        <w:rPr>
          <w:sz w:val="36"/>
          <w:szCs w:val="36"/>
          <w:rtl/>
        </w:rPr>
        <w:t>غريب</w:t>
      </w:r>
      <w:r w:rsidR="00EC7EDF" w:rsidRPr="00FD211F">
        <w:rPr>
          <w:sz w:val="36"/>
          <w:szCs w:val="36"/>
          <w:rtl/>
        </w:rPr>
        <w:t>ة</w:t>
      </w:r>
      <w:r w:rsidR="00E8128F">
        <w:rPr>
          <w:sz w:val="36"/>
          <w:szCs w:val="36"/>
          <w:rtl/>
        </w:rPr>
        <w:t xml:space="preserve"> </w:t>
      </w:r>
      <w:r w:rsidR="00E563F1" w:rsidRPr="00FD211F">
        <w:rPr>
          <w:sz w:val="36"/>
          <w:szCs w:val="36"/>
          <w:rtl/>
        </w:rPr>
        <w:t>وهي</w:t>
      </w:r>
      <w:r w:rsidR="00E8128F">
        <w:rPr>
          <w:sz w:val="36"/>
          <w:szCs w:val="36"/>
          <w:rtl/>
        </w:rPr>
        <w:t xml:space="preserve"> </w:t>
      </w:r>
      <w:r w:rsidR="00E563F1" w:rsidRPr="00FD211F">
        <w:rPr>
          <w:sz w:val="36"/>
          <w:szCs w:val="36"/>
          <w:rtl/>
        </w:rPr>
        <w:t>ارتباط</w:t>
      </w:r>
      <w:r w:rsidR="00E8128F">
        <w:rPr>
          <w:sz w:val="36"/>
          <w:szCs w:val="36"/>
          <w:rtl/>
        </w:rPr>
        <w:t xml:space="preserve"> </w:t>
      </w:r>
      <w:r w:rsidR="00E563F1" w:rsidRPr="00FD211F">
        <w:rPr>
          <w:sz w:val="36"/>
          <w:szCs w:val="36"/>
          <w:rtl/>
        </w:rPr>
        <w:t>كون</w:t>
      </w:r>
      <w:r w:rsidR="00E8128F">
        <w:rPr>
          <w:sz w:val="36"/>
          <w:szCs w:val="36"/>
          <w:rtl/>
        </w:rPr>
        <w:t xml:space="preserve"> </w:t>
      </w:r>
      <w:r w:rsidR="00E563F1" w:rsidRPr="00FD211F">
        <w:rPr>
          <w:sz w:val="36"/>
          <w:szCs w:val="36"/>
          <w:rtl/>
        </w:rPr>
        <w:t>المسأل</w:t>
      </w:r>
      <w:r w:rsidR="00EC7EDF" w:rsidRPr="00FD211F">
        <w:rPr>
          <w:sz w:val="36"/>
          <w:szCs w:val="36"/>
          <w:rtl/>
        </w:rPr>
        <w:t>ة</w:t>
      </w:r>
      <w:r w:rsidR="00E8128F">
        <w:rPr>
          <w:sz w:val="36"/>
          <w:szCs w:val="36"/>
          <w:rtl/>
        </w:rPr>
        <w:t xml:space="preserve"> </w:t>
      </w:r>
      <w:r w:rsidR="00E563F1" w:rsidRPr="00FD211F">
        <w:rPr>
          <w:sz w:val="36"/>
          <w:szCs w:val="36"/>
          <w:rtl/>
        </w:rPr>
        <w:t>اصولي</w:t>
      </w:r>
      <w:r w:rsidR="00EC7EDF" w:rsidRPr="00FD211F">
        <w:rPr>
          <w:sz w:val="36"/>
          <w:szCs w:val="36"/>
          <w:rtl/>
        </w:rPr>
        <w:t>ة</w:t>
      </w:r>
      <w:r w:rsidR="00E8128F">
        <w:rPr>
          <w:sz w:val="36"/>
          <w:szCs w:val="36"/>
          <w:rtl/>
        </w:rPr>
        <w:t xml:space="preserve"> </w:t>
      </w:r>
      <w:r w:rsidR="00E563F1" w:rsidRPr="00FD211F">
        <w:rPr>
          <w:sz w:val="36"/>
          <w:szCs w:val="36"/>
          <w:rtl/>
        </w:rPr>
        <w:t>او</w:t>
      </w:r>
      <w:r w:rsidR="00E8128F">
        <w:rPr>
          <w:sz w:val="36"/>
          <w:szCs w:val="36"/>
          <w:rtl/>
        </w:rPr>
        <w:t xml:space="preserve"> </w:t>
      </w:r>
      <w:r w:rsidR="00E563F1" w:rsidRPr="00FD211F">
        <w:rPr>
          <w:sz w:val="36"/>
          <w:szCs w:val="36"/>
          <w:rtl/>
        </w:rPr>
        <w:t>فقهي</w:t>
      </w:r>
      <w:r w:rsidR="00EC7EDF" w:rsidRPr="00FD211F">
        <w:rPr>
          <w:sz w:val="36"/>
          <w:szCs w:val="36"/>
          <w:rtl/>
        </w:rPr>
        <w:t>ة</w:t>
      </w:r>
      <w:r w:rsidR="00E8128F">
        <w:rPr>
          <w:sz w:val="36"/>
          <w:szCs w:val="36"/>
          <w:rtl/>
        </w:rPr>
        <w:t xml:space="preserve"> </w:t>
      </w:r>
      <w:r w:rsidR="00E563F1" w:rsidRPr="00FD211F">
        <w:rPr>
          <w:sz w:val="36"/>
          <w:szCs w:val="36"/>
          <w:rtl/>
        </w:rPr>
        <w:t>الى</w:t>
      </w:r>
      <w:r w:rsidR="00E8128F">
        <w:rPr>
          <w:sz w:val="36"/>
          <w:szCs w:val="36"/>
          <w:rtl/>
        </w:rPr>
        <w:t xml:space="preserve"> </w:t>
      </w:r>
      <w:r w:rsidR="00E563F1" w:rsidRPr="00FD211F">
        <w:rPr>
          <w:sz w:val="36"/>
          <w:szCs w:val="36"/>
          <w:rtl/>
        </w:rPr>
        <w:t>كيفي</w:t>
      </w:r>
      <w:r w:rsidR="00EC7EDF" w:rsidRPr="00FD211F">
        <w:rPr>
          <w:sz w:val="36"/>
          <w:szCs w:val="36"/>
          <w:rtl/>
        </w:rPr>
        <w:t>ة</w:t>
      </w:r>
      <w:r w:rsidR="00E8128F">
        <w:rPr>
          <w:sz w:val="36"/>
          <w:szCs w:val="36"/>
          <w:rtl/>
        </w:rPr>
        <w:t xml:space="preserve"> </w:t>
      </w:r>
      <w:r w:rsidR="00E563F1" w:rsidRPr="00FD211F">
        <w:rPr>
          <w:sz w:val="36"/>
          <w:szCs w:val="36"/>
          <w:rtl/>
        </w:rPr>
        <w:t>التعبير</w:t>
      </w:r>
      <w:r w:rsidR="00E8128F">
        <w:rPr>
          <w:sz w:val="36"/>
          <w:szCs w:val="36"/>
          <w:rtl/>
        </w:rPr>
        <w:t xml:space="preserve"> </w:t>
      </w:r>
      <w:r w:rsidR="00E563F1" w:rsidRPr="00FD211F">
        <w:rPr>
          <w:sz w:val="36"/>
          <w:szCs w:val="36"/>
          <w:rtl/>
        </w:rPr>
        <w:t>عنها</w:t>
      </w:r>
      <w:r w:rsidR="00603323" w:rsidRPr="00FD211F">
        <w:rPr>
          <w:sz w:val="36"/>
          <w:szCs w:val="36"/>
          <w:rtl/>
        </w:rPr>
        <w:t>،</w:t>
      </w:r>
      <w:r w:rsidR="00E8128F">
        <w:rPr>
          <w:sz w:val="36"/>
          <w:szCs w:val="36"/>
          <w:rtl/>
        </w:rPr>
        <w:t xml:space="preserve"> </w:t>
      </w:r>
      <w:r w:rsidR="00E563F1" w:rsidRPr="00FD211F">
        <w:rPr>
          <w:sz w:val="36"/>
          <w:szCs w:val="36"/>
          <w:rtl/>
        </w:rPr>
        <w:t>كمسأل</w:t>
      </w:r>
      <w:r w:rsidR="00EC7EDF" w:rsidRPr="00FD211F">
        <w:rPr>
          <w:sz w:val="36"/>
          <w:szCs w:val="36"/>
          <w:rtl/>
        </w:rPr>
        <w:t>ة</w:t>
      </w:r>
      <w:r w:rsidR="00E8128F">
        <w:rPr>
          <w:sz w:val="36"/>
          <w:szCs w:val="36"/>
          <w:rtl/>
        </w:rPr>
        <w:t xml:space="preserve"> </w:t>
      </w:r>
      <w:r w:rsidR="00E563F1" w:rsidRPr="00FD211F">
        <w:rPr>
          <w:sz w:val="36"/>
          <w:szCs w:val="36"/>
          <w:rtl/>
        </w:rPr>
        <w:t>اقتضاء</w:t>
      </w:r>
      <w:r w:rsidR="00E8128F">
        <w:rPr>
          <w:sz w:val="36"/>
          <w:szCs w:val="36"/>
          <w:rtl/>
        </w:rPr>
        <w:t xml:space="preserve"> </w:t>
      </w:r>
      <w:r w:rsidR="00E563F1" w:rsidRPr="00FD211F">
        <w:rPr>
          <w:sz w:val="36"/>
          <w:szCs w:val="36"/>
          <w:rtl/>
        </w:rPr>
        <w:t>النهي</w:t>
      </w:r>
      <w:r w:rsidR="00E8128F">
        <w:rPr>
          <w:sz w:val="36"/>
          <w:szCs w:val="36"/>
          <w:rtl/>
        </w:rPr>
        <w:t xml:space="preserve"> </w:t>
      </w:r>
      <w:r w:rsidR="00E563F1" w:rsidRPr="00FD211F">
        <w:rPr>
          <w:sz w:val="36"/>
          <w:szCs w:val="36"/>
          <w:rtl/>
        </w:rPr>
        <w:t>عن</w:t>
      </w:r>
      <w:r w:rsidR="00E8128F">
        <w:rPr>
          <w:sz w:val="36"/>
          <w:szCs w:val="36"/>
          <w:rtl/>
        </w:rPr>
        <w:t xml:space="preserve"> </w:t>
      </w:r>
      <w:r w:rsidR="00E563F1" w:rsidRPr="00FD211F">
        <w:rPr>
          <w:sz w:val="36"/>
          <w:szCs w:val="36"/>
          <w:rtl/>
        </w:rPr>
        <w:t>العباد</w:t>
      </w:r>
      <w:r w:rsidR="00EC7EDF" w:rsidRPr="00FD211F">
        <w:rPr>
          <w:sz w:val="36"/>
          <w:szCs w:val="36"/>
          <w:rtl/>
        </w:rPr>
        <w:t>ة</w:t>
      </w:r>
      <w:r w:rsidR="00E8128F">
        <w:rPr>
          <w:sz w:val="36"/>
          <w:szCs w:val="36"/>
          <w:rtl/>
        </w:rPr>
        <w:t xml:space="preserve"> </w:t>
      </w:r>
      <w:r w:rsidR="00E563F1" w:rsidRPr="00FD211F">
        <w:rPr>
          <w:sz w:val="36"/>
          <w:szCs w:val="36"/>
          <w:rtl/>
        </w:rPr>
        <w:t>لفسادها</w:t>
      </w:r>
      <w:r w:rsidR="00E8128F">
        <w:rPr>
          <w:sz w:val="36"/>
          <w:szCs w:val="36"/>
          <w:rtl/>
        </w:rPr>
        <w:t xml:space="preserve"> </w:t>
      </w:r>
      <w:r w:rsidR="00E563F1" w:rsidRPr="00FD211F">
        <w:rPr>
          <w:sz w:val="36"/>
          <w:szCs w:val="36"/>
          <w:rtl/>
        </w:rPr>
        <w:t>اذا</w:t>
      </w:r>
      <w:r w:rsidR="00E8128F">
        <w:rPr>
          <w:sz w:val="36"/>
          <w:szCs w:val="36"/>
          <w:rtl/>
        </w:rPr>
        <w:t xml:space="preserve"> </w:t>
      </w:r>
      <w:r w:rsidR="00E563F1" w:rsidRPr="00FD211F">
        <w:rPr>
          <w:sz w:val="36"/>
          <w:szCs w:val="36"/>
          <w:rtl/>
        </w:rPr>
        <w:t>طرحت</w:t>
      </w:r>
      <w:r w:rsidR="00E8128F">
        <w:rPr>
          <w:sz w:val="36"/>
          <w:szCs w:val="36"/>
          <w:rtl/>
        </w:rPr>
        <w:t xml:space="preserve"> </w:t>
      </w:r>
      <w:r w:rsidR="00E563F1" w:rsidRPr="00FD211F">
        <w:rPr>
          <w:sz w:val="36"/>
          <w:szCs w:val="36"/>
          <w:rtl/>
        </w:rPr>
        <w:t>بعنوان</w:t>
      </w:r>
      <w:r w:rsidR="00E8128F">
        <w:rPr>
          <w:sz w:val="36"/>
          <w:szCs w:val="36"/>
          <w:rtl/>
        </w:rPr>
        <w:t xml:space="preserve"> </w:t>
      </w:r>
      <w:r w:rsidR="00E563F1" w:rsidRPr="00FD211F">
        <w:rPr>
          <w:sz w:val="36"/>
          <w:szCs w:val="36"/>
          <w:rtl/>
        </w:rPr>
        <w:t>البحث</w:t>
      </w:r>
      <w:r w:rsidR="00E8128F">
        <w:rPr>
          <w:sz w:val="36"/>
          <w:szCs w:val="36"/>
          <w:rtl/>
        </w:rPr>
        <w:t xml:space="preserve"> </w:t>
      </w:r>
      <w:r w:rsidR="00E563F1" w:rsidRPr="00FD211F">
        <w:rPr>
          <w:sz w:val="36"/>
          <w:szCs w:val="36"/>
          <w:rtl/>
        </w:rPr>
        <w:t>عن</w:t>
      </w:r>
      <w:r w:rsidR="00E8128F">
        <w:rPr>
          <w:sz w:val="36"/>
          <w:szCs w:val="36"/>
          <w:rtl/>
        </w:rPr>
        <w:t xml:space="preserve"> </w:t>
      </w:r>
      <w:r w:rsidR="00E563F1" w:rsidRPr="00FD211F">
        <w:rPr>
          <w:sz w:val="36"/>
          <w:szCs w:val="36"/>
          <w:rtl/>
        </w:rPr>
        <w:t>الاقتضاء</w:t>
      </w:r>
      <w:r w:rsidR="00E8128F">
        <w:rPr>
          <w:sz w:val="36"/>
          <w:szCs w:val="36"/>
          <w:rtl/>
        </w:rPr>
        <w:t xml:space="preserve"> </w:t>
      </w:r>
      <w:r w:rsidR="00E563F1" w:rsidRPr="00FD211F">
        <w:rPr>
          <w:sz w:val="36"/>
          <w:szCs w:val="36"/>
          <w:rtl/>
        </w:rPr>
        <w:t>كانت</w:t>
      </w:r>
      <w:r w:rsidR="00E8128F">
        <w:rPr>
          <w:sz w:val="36"/>
          <w:szCs w:val="36"/>
          <w:rtl/>
        </w:rPr>
        <w:t xml:space="preserve"> </w:t>
      </w:r>
      <w:r w:rsidR="00E563F1" w:rsidRPr="00FD211F">
        <w:rPr>
          <w:sz w:val="36"/>
          <w:szCs w:val="36"/>
          <w:rtl/>
        </w:rPr>
        <w:t>اصولي</w:t>
      </w:r>
      <w:r w:rsidR="00EC7EDF" w:rsidRPr="00FD211F">
        <w:rPr>
          <w:sz w:val="36"/>
          <w:szCs w:val="36"/>
          <w:rtl/>
        </w:rPr>
        <w:t>ة</w:t>
      </w:r>
      <w:r w:rsidR="00E8128F">
        <w:rPr>
          <w:sz w:val="36"/>
          <w:szCs w:val="36"/>
          <w:rtl/>
        </w:rPr>
        <w:t xml:space="preserve"> </w:t>
      </w:r>
      <w:r w:rsidR="00E563F1" w:rsidRPr="00FD211F">
        <w:rPr>
          <w:sz w:val="36"/>
          <w:szCs w:val="36"/>
          <w:rtl/>
        </w:rPr>
        <w:t>لان</w:t>
      </w:r>
      <w:r w:rsidR="00E8128F">
        <w:rPr>
          <w:sz w:val="36"/>
          <w:szCs w:val="36"/>
          <w:rtl/>
        </w:rPr>
        <w:t xml:space="preserve"> </w:t>
      </w:r>
      <w:r w:rsidR="00E563F1" w:rsidRPr="00FD211F">
        <w:rPr>
          <w:sz w:val="36"/>
          <w:szCs w:val="36"/>
          <w:rtl/>
        </w:rPr>
        <w:t>البطلان</w:t>
      </w:r>
      <w:r w:rsidR="00E8128F">
        <w:rPr>
          <w:sz w:val="36"/>
          <w:szCs w:val="36"/>
          <w:rtl/>
        </w:rPr>
        <w:t xml:space="preserve"> </w:t>
      </w:r>
      <w:r w:rsidR="00E563F1" w:rsidRPr="00FD211F">
        <w:rPr>
          <w:sz w:val="36"/>
          <w:szCs w:val="36"/>
          <w:rtl/>
        </w:rPr>
        <w:t>حينئذ</w:t>
      </w:r>
      <w:r w:rsidR="00E8128F">
        <w:rPr>
          <w:sz w:val="36"/>
          <w:szCs w:val="36"/>
          <w:rtl/>
        </w:rPr>
        <w:t xml:space="preserve"> </w:t>
      </w:r>
      <w:r w:rsidR="00E563F1" w:rsidRPr="00FD211F">
        <w:rPr>
          <w:sz w:val="36"/>
          <w:szCs w:val="36"/>
          <w:rtl/>
        </w:rPr>
        <w:t>مستنبط</w:t>
      </w:r>
      <w:r w:rsidR="00E8128F">
        <w:rPr>
          <w:sz w:val="36"/>
          <w:szCs w:val="36"/>
          <w:rtl/>
        </w:rPr>
        <w:t xml:space="preserve"> </w:t>
      </w:r>
      <w:r w:rsidR="00E563F1" w:rsidRPr="00FD211F">
        <w:rPr>
          <w:sz w:val="36"/>
          <w:szCs w:val="36"/>
          <w:rtl/>
        </w:rPr>
        <w:t>عن</w:t>
      </w:r>
      <w:r w:rsidR="00E8128F">
        <w:rPr>
          <w:sz w:val="36"/>
          <w:szCs w:val="36"/>
          <w:rtl/>
        </w:rPr>
        <w:t xml:space="preserve"> </w:t>
      </w:r>
      <w:r w:rsidR="00E563F1" w:rsidRPr="00FD211F">
        <w:rPr>
          <w:sz w:val="36"/>
          <w:szCs w:val="36"/>
          <w:rtl/>
        </w:rPr>
        <w:t>الاقتضاء</w:t>
      </w:r>
      <w:r w:rsidR="00E8128F">
        <w:rPr>
          <w:sz w:val="36"/>
          <w:szCs w:val="36"/>
          <w:rtl/>
        </w:rPr>
        <w:t xml:space="preserve"> </w:t>
      </w:r>
      <w:r w:rsidR="00E563F1" w:rsidRPr="00FD211F">
        <w:rPr>
          <w:sz w:val="36"/>
          <w:szCs w:val="36"/>
          <w:rtl/>
        </w:rPr>
        <w:t>وليس</w:t>
      </w:r>
      <w:r w:rsidR="00E8128F">
        <w:rPr>
          <w:sz w:val="36"/>
          <w:szCs w:val="36"/>
          <w:rtl/>
        </w:rPr>
        <w:t xml:space="preserve"> </w:t>
      </w:r>
      <w:r w:rsidR="00E563F1" w:rsidRPr="00FD211F">
        <w:rPr>
          <w:sz w:val="36"/>
          <w:szCs w:val="36"/>
          <w:rtl/>
        </w:rPr>
        <w:t>تطبيقا</w:t>
      </w:r>
      <w:r w:rsidR="00603323" w:rsidRPr="00FD211F">
        <w:rPr>
          <w:sz w:val="36"/>
          <w:szCs w:val="36"/>
          <w:rtl/>
        </w:rPr>
        <w:t>،</w:t>
      </w:r>
      <w:r w:rsidR="00E8128F">
        <w:rPr>
          <w:sz w:val="36"/>
          <w:szCs w:val="36"/>
          <w:rtl/>
        </w:rPr>
        <w:t xml:space="preserve"> </w:t>
      </w:r>
      <w:r w:rsidR="00E563F1" w:rsidRPr="00FD211F">
        <w:rPr>
          <w:sz w:val="36"/>
          <w:szCs w:val="36"/>
          <w:rtl/>
        </w:rPr>
        <w:t>بينما</w:t>
      </w:r>
      <w:r w:rsidR="00E8128F">
        <w:rPr>
          <w:sz w:val="36"/>
          <w:szCs w:val="36"/>
          <w:rtl/>
        </w:rPr>
        <w:t xml:space="preserve"> </w:t>
      </w:r>
      <w:r w:rsidR="00E563F1" w:rsidRPr="00FD211F">
        <w:rPr>
          <w:sz w:val="36"/>
          <w:szCs w:val="36"/>
          <w:rtl/>
        </w:rPr>
        <w:t>انها</w:t>
      </w:r>
      <w:r w:rsidR="00E8128F">
        <w:rPr>
          <w:sz w:val="36"/>
          <w:szCs w:val="36"/>
          <w:rtl/>
        </w:rPr>
        <w:t xml:space="preserve"> </w:t>
      </w:r>
      <w:r w:rsidR="00E563F1" w:rsidRPr="00FD211F">
        <w:rPr>
          <w:sz w:val="36"/>
          <w:szCs w:val="36"/>
          <w:rtl/>
        </w:rPr>
        <w:t>اذا</w:t>
      </w:r>
      <w:r w:rsidR="00E8128F">
        <w:rPr>
          <w:sz w:val="36"/>
          <w:szCs w:val="36"/>
          <w:rtl/>
        </w:rPr>
        <w:t xml:space="preserve"> </w:t>
      </w:r>
      <w:r w:rsidR="00E563F1" w:rsidRPr="00FD211F">
        <w:rPr>
          <w:sz w:val="36"/>
          <w:szCs w:val="36"/>
          <w:rtl/>
        </w:rPr>
        <w:t>طرحت</w:t>
      </w:r>
      <w:r w:rsidR="00E8128F">
        <w:rPr>
          <w:sz w:val="36"/>
          <w:szCs w:val="36"/>
          <w:rtl/>
        </w:rPr>
        <w:t xml:space="preserve"> </w:t>
      </w:r>
      <w:r w:rsidR="00E563F1" w:rsidRPr="00FD211F">
        <w:rPr>
          <w:sz w:val="36"/>
          <w:szCs w:val="36"/>
          <w:rtl/>
        </w:rPr>
        <w:t>بعنوان</w:t>
      </w:r>
      <w:r w:rsidR="00E8128F">
        <w:rPr>
          <w:sz w:val="36"/>
          <w:szCs w:val="36"/>
          <w:rtl/>
        </w:rPr>
        <w:t xml:space="preserve"> </w:t>
      </w:r>
      <w:r w:rsidR="00E563F1" w:rsidRPr="00FD211F">
        <w:rPr>
          <w:sz w:val="36"/>
          <w:szCs w:val="36"/>
          <w:rtl/>
        </w:rPr>
        <w:t>ان</w:t>
      </w:r>
      <w:r w:rsidR="00E8128F">
        <w:rPr>
          <w:sz w:val="36"/>
          <w:szCs w:val="36"/>
          <w:rtl/>
        </w:rPr>
        <w:t xml:space="preserve"> </w:t>
      </w:r>
      <w:r w:rsidR="00E563F1" w:rsidRPr="00FD211F">
        <w:rPr>
          <w:sz w:val="36"/>
          <w:szCs w:val="36"/>
          <w:rtl/>
        </w:rPr>
        <w:t>العباد</w:t>
      </w:r>
      <w:r w:rsidR="00EC7EDF" w:rsidRPr="00FD211F">
        <w:rPr>
          <w:sz w:val="36"/>
          <w:szCs w:val="36"/>
          <w:rtl/>
        </w:rPr>
        <w:t>ة</w:t>
      </w:r>
      <w:r w:rsidR="00E8128F">
        <w:rPr>
          <w:sz w:val="36"/>
          <w:szCs w:val="36"/>
          <w:rtl/>
        </w:rPr>
        <w:t xml:space="preserve"> </w:t>
      </w:r>
      <w:r w:rsidR="00E563F1" w:rsidRPr="00FD211F">
        <w:rPr>
          <w:sz w:val="36"/>
          <w:szCs w:val="36"/>
          <w:rtl/>
        </w:rPr>
        <w:t>المنهي</w:t>
      </w:r>
      <w:r w:rsidR="00E8128F">
        <w:rPr>
          <w:sz w:val="36"/>
          <w:szCs w:val="36"/>
          <w:rtl/>
        </w:rPr>
        <w:t xml:space="preserve"> </w:t>
      </w:r>
      <w:r w:rsidR="00E563F1" w:rsidRPr="00FD211F">
        <w:rPr>
          <w:sz w:val="36"/>
          <w:szCs w:val="36"/>
          <w:rtl/>
        </w:rPr>
        <w:t>عنها</w:t>
      </w:r>
      <w:r w:rsidR="00E8128F">
        <w:rPr>
          <w:sz w:val="36"/>
          <w:szCs w:val="36"/>
          <w:rtl/>
        </w:rPr>
        <w:t xml:space="preserve"> </w:t>
      </w:r>
      <w:r w:rsidR="00E563F1" w:rsidRPr="00FD211F">
        <w:rPr>
          <w:sz w:val="36"/>
          <w:szCs w:val="36"/>
          <w:rtl/>
        </w:rPr>
        <w:lastRenderedPageBreak/>
        <w:t>باطل</w:t>
      </w:r>
      <w:r w:rsidR="00EC7EDF" w:rsidRPr="00FD211F">
        <w:rPr>
          <w:sz w:val="36"/>
          <w:szCs w:val="36"/>
          <w:rtl/>
        </w:rPr>
        <w:t>ة</w:t>
      </w:r>
      <w:r w:rsidR="00E8128F">
        <w:rPr>
          <w:sz w:val="36"/>
          <w:szCs w:val="36"/>
          <w:rtl/>
        </w:rPr>
        <w:t xml:space="preserve"> </w:t>
      </w:r>
      <w:r w:rsidR="00E563F1" w:rsidRPr="00FD211F">
        <w:rPr>
          <w:sz w:val="36"/>
          <w:szCs w:val="36"/>
          <w:rtl/>
        </w:rPr>
        <w:t>ام</w:t>
      </w:r>
      <w:r w:rsidR="00E8128F">
        <w:rPr>
          <w:sz w:val="36"/>
          <w:szCs w:val="36"/>
          <w:rtl/>
        </w:rPr>
        <w:t xml:space="preserve"> </w:t>
      </w:r>
      <w:r w:rsidR="00E563F1" w:rsidRPr="00FD211F">
        <w:rPr>
          <w:sz w:val="36"/>
          <w:szCs w:val="36"/>
          <w:rtl/>
        </w:rPr>
        <w:t>لا</w:t>
      </w:r>
      <w:r w:rsidR="00E8128F">
        <w:rPr>
          <w:sz w:val="36"/>
          <w:szCs w:val="36"/>
          <w:rtl/>
        </w:rPr>
        <w:t xml:space="preserve"> </w:t>
      </w:r>
      <w:r w:rsidR="00E563F1" w:rsidRPr="00FD211F">
        <w:rPr>
          <w:sz w:val="36"/>
          <w:szCs w:val="36"/>
          <w:rtl/>
        </w:rPr>
        <w:t>فتكون</w:t>
      </w:r>
      <w:r w:rsidR="00E8128F">
        <w:rPr>
          <w:sz w:val="36"/>
          <w:szCs w:val="36"/>
          <w:rtl/>
        </w:rPr>
        <w:t xml:space="preserve"> </w:t>
      </w:r>
      <w:r w:rsidR="00E563F1" w:rsidRPr="00FD211F">
        <w:rPr>
          <w:sz w:val="36"/>
          <w:szCs w:val="36"/>
          <w:rtl/>
        </w:rPr>
        <w:t>فقهي</w:t>
      </w:r>
      <w:r w:rsidR="00EC7EDF" w:rsidRPr="00FD211F">
        <w:rPr>
          <w:sz w:val="36"/>
          <w:szCs w:val="36"/>
          <w:rtl/>
        </w:rPr>
        <w:t>ة</w:t>
      </w:r>
      <w:r w:rsidR="00603323" w:rsidRPr="00FD211F">
        <w:rPr>
          <w:sz w:val="36"/>
          <w:szCs w:val="36"/>
          <w:rtl/>
        </w:rPr>
        <w:t>،</w:t>
      </w:r>
      <w:r w:rsidR="00E8128F">
        <w:rPr>
          <w:sz w:val="36"/>
          <w:szCs w:val="36"/>
          <w:rtl/>
        </w:rPr>
        <w:t xml:space="preserve"> </w:t>
      </w:r>
      <w:r w:rsidR="00E563F1" w:rsidRPr="00FD211F">
        <w:rPr>
          <w:sz w:val="36"/>
          <w:szCs w:val="36"/>
          <w:rtl/>
        </w:rPr>
        <w:t>لان</w:t>
      </w:r>
      <w:r w:rsidR="00E8128F">
        <w:rPr>
          <w:sz w:val="36"/>
          <w:szCs w:val="36"/>
          <w:rtl/>
        </w:rPr>
        <w:t xml:space="preserve"> </w:t>
      </w:r>
      <w:r w:rsidR="00E563F1" w:rsidRPr="00FD211F">
        <w:rPr>
          <w:sz w:val="36"/>
          <w:szCs w:val="36"/>
          <w:rtl/>
        </w:rPr>
        <w:t>اثبات</w:t>
      </w:r>
      <w:r w:rsidR="00E8128F">
        <w:rPr>
          <w:sz w:val="36"/>
          <w:szCs w:val="36"/>
          <w:rtl/>
        </w:rPr>
        <w:t xml:space="preserve"> </w:t>
      </w:r>
      <w:r w:rsidR="00E563F1" w:rsidRPr="00FD211F">
        <w:rPr>
          <w:sz w:val="36"/>
          <w:szCs w:val="36"/>
          <w:rtl/>
        </w:rPr>
        <w:t>بطلان</w:t>
      </w:r>
      <w:r w:rsidR="00E8128F">
        <w:rPr>
          <w:sz w:val="36"/>
          <w:szCs w:val="36"/>
          <w:rtl/>
        </w:rPr>
        <w:t xml:space="preserve"> </w:t>
      </w:r>
      <w:r w:rsidR="00E563F1" w:rsidRPr="00FD211F">
        <w:rPr>
          <w:sz w:val="36"/>
          <w:szCs w:val="36"/>
          <w:rtl/>
        </w:rPr>
        <w:t>كل</w:t>
      </w:r>
      <w:r w:rsidR="00E8128F">
        <w:rPr>
          <w:sz w:val="36"/>
          <w:szCs w:val="36"/>
          <w:rtl/>
        </w:rPr>
        <w:t xml:space="preserve"> </w:t>
      </w:r>
      <w:r w:rsidR="00E563F1" w:rsidRPr="00FD211F">
        <w:rPr>
          <w:sz w:val="36"/>
          <w:szCs w:val="36"/>
          <w:rtl/>
        </w:rPr>
        <w:t>عباد</w:t>
      </w:r>
      <w:r w:rsidR="00EC7EDF" w:rsidRPr="00FD211F">
        <w:rPr>
          <w:sz w:val="36"/>
          <w:szCs w:val="36"/>
          <w:rtl/>
        </w:rPr>
        <w:t>ة</w:t>
      </w:r>
      <w:r w:rsidR="00E8128F">
        <w:rPr>
          <w:sz w:val="36"/>
          <w:szCs w:val="36"/>
          <w:rtl/>
        </w:rPr>
        <w:t xml:space="preserve"> </w:t>
      </w:r>
      <w:r w:rsidR="00E563F1" w:rsidRPr="00FD211F">
        <w:rPr>
          <w:sz w:val="36"/>
          <w:szCs w:val="36"/>
          <w:rtl/>
        </w:rPr>
        <w:t>منهي</w:t>
      </w:r>
      <w:r w:rsidR="00E8128F">
        <w:rPr>
          <w:sz w:val="36"/>
          <w:szCs w:val="36"/>
          <w:rtl/>
        </w:rPr>
        <w:t xml:space="preserve"> </w:t>
      </w:r>
      <w:r w:rsidR="00E563F1" w:rsidRPr="00FD211F">
        <w:rPr>
          <w:sz w:val="36"/>
          <w:szCs w:val="36"/>
          <w:rtl/>
        </w:rPr>
        <w:t>عنها</w:t>
      </w:r>
      <w:r w:rsidR="00E8128F">
        <w:rPr>
          <w:sz w:val="36"/>
          <w:szCs w:val="36"/>
          <w:rtl/>
        </w:rPr>
        <w:t xml:space="preserve"> </w:t>
      </w:r>
      <w:r w:rsidR="00E563F1" w:rsidRPr="00FD211F">
        <w:rPr>
          <w:sz w:val="36"/>
          <w:szCs w:val="36"/>
          <w:rtl/>
        </w:rPr>
        <w:t>بذلك</w:t>
      </w:r>
      <w:r w:rsidR="00E8128F">
        <w:rPr>
          <w:sz w:val="36"/>
          <w:szCs w:val="36"/>
          <w:rtl/>
        </w:rPr>
        <w:t xml:space="preserve"> </w:t>
      </w:r>
      <w:r w:rsidR="00E563F1" w:rsidRPr="00FD211F">
        <w:rPr>
          <w:sz w:val="36"/>
          <w:szCs w:val="36"/>
          <w:rtl/>
        </w:rPr>
        <w:t>يكون</w:t>
      </w:r>
      <w:r w:rsidR="00E8128F">
        <w:rPr>
          <w:sz w:val="36"/>
          <w:szCs w:val="36"/>
          <w:rtl/>
        </w:rPr>
        <w:t xml:space="preserve"> </w:t>
      </w:r>
      <w:r w:rsidR="00E563F1" w:rsidRPr="00FD211F">
        <w:rPr>
          <w:sz w:val="36"/>
          <w:szCs w:val="36"/>
          <w:rtl/>
        </w:rPr>
        <w:t>بنحو</w:t>
      </w:r>
      <w:r w:rsidR="00E8128F">
        <w:rPr>
          <w:sz w:val="36"/>
          <w:szCs w:val="36"/>
          <w:rtl/>
        </w:rPr>
        <w:t xml:space="preserve"> </w:t>
      </w:r>
      <w:r w:rsidR="00E563F1" w:rsidRPr="00FD211F">
        <w:rPr>
          <w:sz w:val="36"/>
          <w:szCs w:val="36"/>
          <w:rtl/>
        </w:rPr>
        <w:t>التطبيق</w:t>
      </w:r>
      <w:r w:rsidR="00603323" w:rsidRPr="00FD211F">
        <w:rPr>
          <w:sz w:val="36"/>
          <w:szCs w:val="36"/>
          <w:rtl/>
        </w:rPr>
        <w:t>،</w:t>
      </w:r>
      <w:r w:rsidR="00E8128F">
        <w:rPr>
          <w:sz w:val="36"/>
          <w:szCs w:val="36"/>
          <w:rtl/>
        </w:rPr>
        <w:t xml:space="preserve"> </w:t>
      </w:r>
      <w:r w:rsidR="00E563F1" w:rsidRPr="00FD211F">
        <w:rPr>
          <w:sz w:val="36"/>
          <w:szCs w:val="36"/>
          <w:rtl/>
        </w:rPr>
        <w:t>مع</w:t>
      </w:r>
      <w:r w:rsidR="00E8128F">
        <w:rPr>
          <w:sz w:val="36"/>
          <w:szCs w:val="36"/>
          <w:rtl/>
        </w:rPr>
        <w:t xml:space="preserve"> </w:t>
      </w:r>
      <w:r w:rsidR="00E563F1" w:rsidRPr="00FD211F">
        <w:rPr>
          <w:sz w:val="36"/>
          <w:szCs w:val="36"/>
          <w:rtl/>
        </w:rPr>
        <w:t>ان</w:t>
      </w:r>
      <w:r w:rsidR="00E8128F">
        <w:rPr>
          <w:sz w:val="36"/>
          <w:szCs w:val="36"/>
          <w:rtl/>
        </w:rPr>
        <w:t xml:space="preserve"> </w:t>
      </w:r>
      <w:r w:rsidR="00E563F1" w:rsidRPr="00FD211F">
        <w:rPr>
          <w:sz w:val="36"/>
          <w:szCs w:val="36"/>
          <w:rtl/>
        </w:rPr>
        <w:t>روح</w:t>
      </w:r>
      <w:r w:rsidR="00E8128F">
        <w:rPr>
          <w:sz w:val="36"/>
          <w:szCs w:val="36"/>
          <w:rtl/>
        </w:rPr>
        <w:t xml:space="preserve"> </w:t>
      </w:r>
      <w:r w:rsidR="00E563F1" w:rsidRPr="00FD211F">
        <w:rPr>
          <w:sz w:val="36"/>
          <w:szCs w:val="36"/>
          <w:rtl/>
        </w:rPr>
        <w:t>المسأل</w:t>
      </w:r>
      <w:r w:rsidR="00EC7EDF" w:rsidRPr="00FD211F">
        <w:rPr>
          <w:sz w:val="36"/>
          <w:szCs w:val="36"/>
          <w:rtl/>
        </w:rPr>
        <w:t>ة</w:t>
      </w:r>
      <w:r w:rsidR="00E8128F">
        <w:rPr>
          <w:sz w:val="36"/>
          <w:szCs w:val="36"/>
          <w:rtl/>
        </w:rPr>
        <w:t xml:space="preserve"> </w:t>
      </w:r>
      <w:r w:rsidR="00E563F1" w:rsidRPr="00FD211F">
        <w:rPr>
          <w:sz w:val="36"/>
          <w:szCs w:val="36"/>
          <w:rtl/>
        </w:rPr>
        <w:t>واحد</w:t>
      </w:r>
      <w:r w:rsidR="00EC7EDF" w:rsidRPr="00FD211F">
        <w:rPr>
          <w:sz w:val="36"/>
          <w:szCs w:val="36"/>
          <w:rtl/>
        </w:rPr>
        <w:t>ة</w:t>
      </w:r>
      <w:r w:rsidR="00E8128F">
        <w:rPr>
          <w:sz w:val="36"/>
          <w:szCs w:val="36"/>
          <w:rtl/>
        </w:rPr>
        <w:t xml:space="preserve"> </w:t>
      </w:r>
      <w:r w:rsidR="00E563F1" w:rsidRPr="00FD211F">
        <w:rPr>
          <w:sz w:val="36"/>
          <w:szCs w:val="36"/>
          <w:rtl/>
        </w:rPr>
        <w:t>في</w:t>
      </w:r>
      <w:r w:rsidR="00E8128F">
        <w:rPr>
          <w:sz w:val="36"/>
          <w:szCs w:val="36"/>
          <w:rtl/>
        </w:rPr>
        <w:t xml:space="preserve"> </w:t>
      </w:r>
      <w:r w:rsidR="00E563F1" w:rsidRPr="00FD211F">
        <w:rPr>
          <w:sz w:val="36"/>
          <w:szCs w:val="36"/>
          <w:rtl/>
        </w:rPr>
        <w:t>كلتا</w:t>
      </w:r>
      <w:r w:rsidR="00E8128F">
        <w:rPr>
          <w:sz w:val="36"/>
          <w:szCs w:val="36"/>
          <w:rtl/>
        </w:rPr>
        <w:t xml:space="preserve"> </w:t>
      </w:r>
      <w:r w:rsidR="00E563F1" w:rsidRPr="00FD211F">
        <w:rPr>
          <w:sz w:val="36"/>
          <w:szCs w:val="36"/>
          <w:rtl/>
        </w:rPr>
        <w:t>ا</w:t>
      </w:r>
      <w:r w:rsidR="00BB4737" w:rsidRPr="00FD211F">
        <w:rPr>
          <w:sz w:val="36"/>
          <w:szCs w:val="36"/>
          <w:rtl/>
        </w:rPr>
        <w:t>لصياغتين</w:t>
      </w:r>
      <w:r w:rsidR="00603323" w:rsidRPr="00FD211F">
        <w:rPr>
          <w:sz w:val="36"/>
          <w:szCs w:val="36"/>
          <w:rtl/>
        </w:rPr>
        <w:t>،</w:t>
      </w:r>
      <w:r w:rsidR="00E8128F">
        <w:rPr>
          <w:sz w:val="36"/>
          <w:szCs w:val="36"/>
          <w:rtl/>
        </w:rPr>
        <w:t xml:space="preserve"> </w:t>
      </w:r>
      <w:r w:rsidR="00BB4737" w:rsidRPr="00FD211F">
        <w:rPr>
          <w:sz w:val="36"/>
          <w:szCs w:val="36"/>
          <w:rtl/>
        </w:rPr>
        <w:t>وهذا</w:t>
      </w:r>
      <w:r w:rsidR="00E8128F">
        <w:rPr>
          <w:sz w:val="36"/>
          <w:szCs w:val="36"/>
          <w:rtl/>
        </w:rPr>
        <w:t xml:space="preserve"> </w:t>
      </w:r>
      <w:r w:rsidR="00BB4737" w:rsidRPr="00FD211F">
        <w:rPr>
          <w:sz w:val="36"/>
          <w:szCs w:val="36"/>
          <w:rtl/>
        </w:rPr>
        <w:t>يكشف</w:t>
      </w:r>
      <w:r w:rsidR="00E8128F">
        <w:rPr>
          <w:sz w:val="36"/>
          <w:szCs w:val="36"/>
          <w:rtl/>
        </w:rPr>
        <w:t xml:space="preserve"> </w:t>
      </w:r>
      <w:r w:rsidR="00BB4737" w:rsidRPr="00FD211F">
        <w:rPr>
          <w:sz w:val="36"/>
          <w:szCs w:val="36"/>
          <w:rtl/>
        </w:rPr>
        <w:t>عن</w:t>
      </w:r>
      <w:r w:rsidR="00E8128F">
        <w:rPr>
          <w:sz w:val="36"/>
          <w:szCs w:val="36"/>
          <w:rtl/>
        </w:rPr>
        <w:t xml:space="preserve"> </w:t>
      </w:r>
      <w:r w:rsidR="00BB4737" w:rsidRPr="00FD211F">
        <w:rPr>
          <w:sz w:val="36"/>
          <w:szCs w:val="36"/>
          <w:rtl/>
        </w:rPr>
        <w:t>ان</w:t>
      </w:r>
      <w:r w:rsidR="00E8128F">
        <w:rPr>
          <w:sz w:val="36"/>
          <w:szCs w:val="36"/>
          <w:rtl/>
        </w:rPr>
        <w:t xml:space="preserve"> </w:t>
      </w:r>
      <w:r w:rsidR="00BB4737" w:rsidRPr="00FD211F">
        <w:rPr>
          <w:sz w:val="36"/>
          <w:szCs w:val="36"/>
          <w:rtl/>
        </w:rPr>
        <w:t>المائز</w:t>
      </w:r>
      <w:r w:rsidR="00E8128F">
        <w:rPr>
          <w:sz w:val="36"/>
          <w:szCs w:val="36"/>
          <w:rtl/>
        </w:rPr>
        <w:t xml:space="preserve"> </w:t>
      </w:r>
      <w:r w:rsidR="00E563F1" w:rsidRPr="00FD211F">
        <w:rPr>
          <w:sz w:val="36"/>
          <w:szCs w:val="36"/>
          <w:rtl/>
        </w:rPr>
        <w:t>الحقيقي</w:t>
      </w:r>
      <w:r w:rsidR="00E8128F">
        <w:rPr>
          <w:sz w:val="36"/>
          <w:szCs w:val="36"/>
          <w:rtl/>
        </w:rPr>
        <w:t xml:space="preserve"> </w:t>
      </w:r>
      <w:r w:rsidR="00E563F1" w:rsidRPr="00FD211F">
        <w:rPr>
          <w:sz w:val="36"/>
          <w:szCs w:val="36"/>
          <w:rtl/>
        </w:rPr>
        <w:t>للمسأل</w:t>
      </w:r>
      <w:r w:rsidR="00EC7EDF" w:rsidRPr="00FD211F">
        <w:rPr>
          <w:sz w:val="36"/>
          <w:szCs w:val="36"/>
          <w:rtl/>
        </w:rPr>
        <w:t>ة</w:t>
      </w:r>
      <w:r w:rsidR="00E8128F">
        <w:rPr>
          <w:sz w:val="36"/>
          <w:szCs w:val="36"/>
          <w:rtl/>
        </w:rPr>
        <w:t xml:space="preserve"> </w:t>
      </w:r>
      <w:r w:rsidR="00E563F1" w:rsidRPr="00FD211F">
        <w:rPr>
          <w:sz w:val="36"/>
          <w:szCs w:val="36"/>
          <w:rtl/>
        </w:rPr>
        <w:t>الأصولي</w:t>
      </w:r>
      <w:r w:rsidR="00EC7EDF" w:rsidRPr="00FD211F">
        <w:rPr>
          <w:sz w:val="36"/>
          <w:szCs w:val="36"/>
          <w:rtl/>
        </w:rPr>
        <w:t>ة</w:t>
      </w:r>
      <w:r w:rsidR="00E8128F">
        <w:rPr>
          <w:sz w:val="36"/>
          <w:szCs w:val="36"/>
          <w:rtl/>
        </w:rPr>
        <w:t xml:space="preserve"> </w:t>
      </w:r>
      <w:r w:rsidR="00E563F1" w:rsidRPr="00FD211F">
        <w:rPr>
          <w:sz w:val="36"/>
          <w:szCs w:val="36"/>
          <w:rtl/>
        </w:rPr>
        <w:t>عن</w:t>
      </w:r>
      <w:r w:rsidR="00E8128F">
        <w:rPr>
          <w:sz w:val="36"/>
          <w:szCs w:val="36"/>
          <w:rtl/>
        </w:rPr>
        <w:t xml:space="preserve"> </w:t>
      </w:r>
      <w:r w:rsidR="00E563F1" w:rsidRPr="00FD211F">
        <w:rPr>
          <w:sz w:val="36"/>
          <w:szCs w:val="36"/>
          <w:rtl/>
        </w:rPr>
        <w:t>القاعد</w:t>
      </w:r>
      <w:r w:rsidR="00EC7EDF" w:rsidRPr="00FD211F">
        <w:rPr>
          <w:sz w:val="36"/>
          <w:szCs w:val="36"/>
          <w:rtl/>
        </w:rPr>
        <w:t>ة</w:t>
      </w:r>
      <w:r w:rsidR="00E8128F">
        <w:rPr>
          <w:sz w:val="36"/>
          <w:szCs w:val="36"/>
          <w:rtl/>
        </w:rPr>
        <w:t xml:space="preserve"> </w:t>
      </w:r>
      <w:r w:rsidR="00E563F1" w:rsidRPr="00FD211F">
        <w:rPr>
          <w:sz w:val="36"/>
          <w:szCs w:val="36"/>
          <w:rtl/>
        </w:rPr>
        <w:t>الفقهي</w:t>
      </w:r>
      <w:r w:rsidR="00EC7EDF" w:rsidRPr="00FD211F">
        <w:rPr>
          <w:sz w:val="36"/>
          <w:szCs w:val="36"/>
          <w:rtl/>
        </w:rPr>
        <w:t>ة</w:t>
      </w:r>
      <w:r w:rsidR="00E8128F">
        <w:rPr>
          <w:sz w:val="36"/>
          <w:szCs w:val="36"/>
          <w:rtl/>
        </w:rPr>
        <w:t xml:space="preserve"> </w:t>
      </w:r>
      <w:r w:rsidR="00E563F1" w:rsidRPr="00FD211F">
        <w:rPr>
          <w:sz w:val="36"/>
          <w:szCs w:val="36"/>
          <w:rtl/>
        </w:rPr>
        <w:t>ليس</w:t>
      </w:r>
      <w:r w:rsidR="00E8128F">
        <w:rPr>
          <w:sz w:val="36"/>
          <w:szCs w:val="36"/>
          <w:rtl/>
        </w:rPr>
        <w:t xml:space="preserve"> </w:t>
      </w:r>
      <w:r w:rsidR="00E563F1" w:rsidRPr="00FD211F">
        <w:rPr>
          <w:sz w:val="36"/>
          <w:szCs w:val="36"/>
          <w:rtl/>
        </w:rPr>
        <w:t>مجرد</w:t>
      </w:r>
      <w:r w:rsidR="00E8128F">
        <w:rPr>
          <w:sz w:val="36"/>
          <w:szCs w:val="36"/>
          <w:rtl/>
        </w:rPr>
        <w:t xml:space="preserve"> </w:t>
      </w:r>
      <w:r w:rsidR="00E563F1" w:rsidRPr="00FD211F">
        <w:rPr>
          <w:sz w:val="36"/>
          <w:szCs w:val="36"/>
          <w:rtl/>
        </w:rPr>
        <w:t>عدم</w:t>
      </w:r>
      <w:r w:rsidR="00E8128F">
        <w:rPr>
          <w:sz w:val="36"/>
          <w:szCs w:val="36"/>
          <w:rtl/>
        </w:rPr>
        <w:t xml:space="preserve"> </w:t>
      </w:r>
      <w:r w:rsidR="00E563F1" w:rsidRPr="00FD211F">
        <w:rPr>
          <w:sz w:val="36"/>
          <w:szCs w:val="36"/>
          <w:rtl/>
        </w:rPr>
        <w:t>انطباق</w:t>
      </w:r>
      <w:r w:rsidR="00E8128F">
        <w:rPr>
          <w:sz w:val="36"/>
          <w:szCs w:val="36"/>
          <w:rtl/>
        </w:rPr>
        <w:t xml:space="preserve"> </w:t>
      </w:r>
      <w:r w:rsidR="00E563F1" w:rsidRPr="00FD211F">
        <w:rPr>
          <w:sz w:val="36"/>
          <w:szCs w:val="36"/>
          <w:rtl/>
        </w:rPr>
        <w:t>المسأل</w:t>
      </w:r>
      <w:r w:rsidR="00EC7EDF" w:rsidRPr="00FD211F">
        <w:rPr>
          <w:sz w:val="36"/>
          <w:szCs w:val="36"/>
          <w:rtl/>
        </w:rPr>
        <w:t>ة</w:t>
      </w:r>
      <w:r w:rsidR="00E8128F">
        <w:rPr>
          <w:sz w:val="36"/>
          <w:szCs w:val="36"/>
          <w:rtl/>
        </w:rPr>
        <w:t xml:space="preserve"> </w:t>
      </w:r>
      <w:r w:rsidR="00E563F1" w:rsidRPr="00FD211F">
        <w:rPr>
          <w:sz w:val="36"/>
          <w:szCs w:val="36"/>
          <w:rtl/>
        </w:rPr>
        <w:t>الاصولي</w:t>
      </w:r>
      <w:r w:rsidR="00EC7EDF" w:rsidRPr="00FD211F">
        <w:rPr>
          <w:sz w:val="36"/>
          <w:szCs w:val="36"/>
          <w:rtl/>
        </w:rPr>
        <w:t>ة</w:t>
      </w:r>
      <w:r w:rsidR="00E8128F">
        <w:rPr>
          <w:sz w:val="36"/>
          <w:szCs w:val="36"/>
          <w:rtl/>
        </w:rPr>
        <w:t xml:space="preserve"> </w:t>
      </w:r>
      <w:r w:rsidR="00E563F1" w:rsidRPr="00FD211F">
        <w:rPr>
          <w:sz w:val="36"/>
          <w:szCs w:val="36"/>
          <w:rtl/>
        </w:rPr>
        <w:t>على</w:t>
      </w:r>
      <w:r w:rsidR="00E8128F">
        <w:rPr>
          <w:sz w:val="36"/>
          <w:szCs w:val="36"/>
          <w:rtl/>
        </w:rPr>
        <w:t xml:space="preserve"> </w:t>
      </w:r>
      <w:r w:rsidR="00E563F1" w:rsidRPr="00FD211F">
        <w:rPr>
          <w:sz w:val="36"/>
          <w:szCs w:val="36"/>
          <w:rtl/>
        </w:rPr>
        <w:t>الحكم</w:t>
      </w:r>
      <w:r w:rsidR="00E8128F">
        <w:rPr>
          <w:sz w:val="36"/>
          <w:szCs w:val="36"/>
          <w:rtl/>
        </w:rPr>
        <w:t xml:space="preserve"> </w:t>
      </w:r>
      <w:r w:rsidR="00E563F1" w:rsidRPr="00FD211F">
        <w:rPr>
          <w:sz w:val="36"/>
          <w:szCs w:val="36"/>
          <w:rtl/>
        </w:rPr>
        <w:t>المستخرج</w:t>
      </w:r>
      <w:r w:rsidR="00E8128F">
        <w:rPr>
          <w:sz w:val="36"/>
          <w:szCs w:val="36"/>
          <w:rtl/>
        </w:rPr>
        <w:t xml:space="preserve"> </w:t>
      </w:r>
      <w:r w:rsidR="00E563F1" w:rsidRPr="00FD211F">
        <w:rPr>
          <w:sz w:val="36"/>
          <w:szCs w:val="36"/>
          <w:rtl/>
        </w:rPr>
        <w:t>بخلاف</w:t>
      </w:r>
      <w:r w:rsidR="00E8128F">
        <w:rPr>
          <w:sz w:val="36"/>
          <w:szCs w:val="36"/>
          <w:rtl/>
        </w:rPr>
        <w:t xml:space="preserve"> </w:t>
      </w:r>
      <w:r w:rsidR="00E563F1" w:rsidRPr="00FD211F">
        <w:rPr>
          <w:sz w:val="36"/>
          <w:szCs w:val="36"/>
          <w:rtl/>
        </w:rPr>
        <w:t>القاعد</w:t>
      </w:r>
      <w:r w:rsidR="00EC7EDF" w:rsidRPr="00FD211F">
        <w:rPr>
          <w:sz w:val="36"/>
          <w:szCs w:val="36"/>
          <w:rtl/>
        </w:rPr>
        <w:t>ة</w:t>
      </w:r>
      <w:r w:rsidR="00E8128F">
        <w:rPr>
          <w:sz w:val="36"/>
          <w:szCs w:val="36"/>
          <w:rtl/>
        </w:rPr>
        <w:t xml:space="preserve"> </w:t>
      </w:r>
      <w:r w:rsidR="00E563F1" w:rsidRPr="00FD211F">
        <w:rPr>
          <w:sz w:val="36"/>
          <w:szCs w:val="36"/>
          <w:rtl/>
        </w:rPr>
        <w:t>الفقهي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2"/>
      </w:r>
      <w:r w:rsidR="009C58C8" w:rsidRPr="00FD211F">
        <w:rPr>
          <w:rStyle w:val="a6"/>
          <w:sz w:val="36"/>
          <w:szCs w:val="36"/>
          <w:rtl/>
        </w:rPr>
        <w:t>)</w:t>
      </w:r>
      <w:r w:rsidR="00603323" w:rsidRPr="00FD211F">
        <w:rPr>
          <w:sz w:val="36"/>
          <w:szCs w:val="36"/>
          <w:rtl/>
        </w:rPr>
        <w:t>،</w:t>
      </w:r>
      <w:r w:rsidR="00E8128F">
        <w:rPr>
          <w:sz w:val="36"/>
          <w:szCs w:val="36"/>
          <w:rtl/>
        </w:rPr>
        <w:t xml:space="preserve"> </w:t>
      </w:r>
      <w:r w:rsidR="00C26EFF" w:rsidRPr="00FD211F">
        <w:rPr>
          <w:sz w:val="36"/>
          <w:szCs w:val="36"/>
          <w:rtl/>
        </w:rPr>
        <w:t>وما</w:t>
      </w:r>
      <w:r w:rsidR="00E8128F">
        <w:rPr>
          <w:sz w:val="36"/>
          <w:szCs w:val="36"/>
          <w:rtl/>
        </w:rPr>
        <w:t xml:space="preserve"> </w:t>
      </w:r>
      <w:r w:rsidR="00C26EFF" w:rsidRPr="00FD211F">
        <w:rPr>
          <w:sz w:val="36"/>
          <w:szCs w:val="36"/>
          <w:rtl/>
        </w:rPr>
        <w:t>افاده</w:t>
      </w:r>
      <w:r w:rsidR="00E8128F">
        <w:rPr>
          <w:sz w:val="36"/>
          <w:szCs w:val="36"/>
          <w:rtl/>
        </w:rPr>
        <w:t xml:space="preserve"> </w:t>
      </w:r>
      <w:r w:rsidR="00C26EFF" w:rsidRPr="00FD211F">
        <w:rPr>
          <w:sz w:val="36"/>
          <w:szCs w:val="36"/>
          <w:rtl/>
        </w:rPr>
        <w:t>تام</w:t>
      </w:r>
      <w:r w:rsidR="00E8128F">
        <w:rPr>
          <w:sz w:val="36"/>
          <w:szCs w:val="36"/>
          <w:rtl/>
        </w:rPr>
        <w:t xml:space="preserve"> </w:t>
      </w:r>
      <w:r w:rsidR="00C26EFF" w:rsidRPr="00FD211F">
        <w:rPr>
          <w:sz w:val="36"/>
          <w:szCs w:val="36"/>
          <w:rtl/>
        </w:rPr>
        <w:t>جد</w:t>
      </w:r>
      <w:r w:rsidR="00E6002B" w:rsidRPr="00FD211F">
        <w:rPr>
          <w:sz w:val="36"/>
          <w:szCs w:val="36"/>
          <w:rtl/>
        </w:rPr>
        <w:t>ّ</w:t>
      </w:r>
      <w:r w:rsidR="00C26EFF" w:rsidRPr="00FD211F">
        <w:rPr>
          <w:sz w:val="36"/>
          <w:szCs w:val="36"/>
          <w:rtl/>
        </w:rPr>
        <w:t>ا</w:t>
      </w:r>
      <w:r w:rsidR="006C4AAB" w:rsidRPr="00FD211F">
        <w:rPr>
          <w:sz w:val="36"/>
          <w:szCs w:val="36"/>
          <w:rtl/>
        </w:rPr>
        <w:t>.</w:t>
      </w:r>
    </w:p>
    <w:p w14:paraId="7C3C9965" w14:textId="77777777" w:rsidR="006C4AAB" w:rsidRPr="00FD211F" w:rsidRDefault="00C26EFF" w:rsidP="009C58C8">
      <w:pPr>
        <w:ind w:left="0" w:firstLine="227"/>
        <w:jc w:val="both"/>
        <w:rPr>
          <w:sz w:val="36"/>
          <w:szCs w:val="36"/>
          <w:rtl/>
        </w:rPr>
      </w:pPr>
      <w:r w:rsidRPr="00FD211F">
        <w:rPr>
          <w:sz w:val="36"/>
          <w:szCs w:val="36"/>
          <w:rtl/>
        </w:rPr>
        <w:t>وما</w:t>
      </w:r>
      <w:r w:rsidR="00E8128F">
        <w:rPr>
          <w:sz w:val="36"/>
          <w:szCs w:val="36"/>
          <w:rtl/>
        </w:rPr>
        <w:t xml:space="preserve"> </w:t>
      </w:r>
      <w:r w:rsidR="00184411" w:rsidRPr="00FD211F">
        <w:rPr>
          <w:sz w:val="36"/>
          <w:szCs w:val="36"/>
          <w:rtl/>
        </w:rPr>
        <w:t>ذكره</w:t>
      </w:r>
      <w:r w:rsidR="00E8128F">
        <w:rPr>
          <w:sz w:val="36"/>
          <w:szCs w:val="36"/>
          <w:rtl/>
        </w:rPr>
        <w:t xml:space="preserve"> </w:t>
      </w:r>
      <w:r w:rsidR="00184411" w:rsidRPr="00FD211F">
        <w:rPr>
          <w:sz w:val="36"/>
          <w:szCs w:val="36"/>
          <w:rtl/>
        </w:rPr>
        <w:t>بعض</w:t>
      </w:r>
      <w:r w:rsidR="00E8128F">
        <w:rPr>
          <w:sz w:val="36"/>
          <w:szCs w:val="36"/>
          <w:rtl/>
        </w:rPr>
        <w:t xml:space="preserve"> </w:t>
      </w:r>
      <w:r w:rsidR="00184411" w:rsidRPr="00FD211F">
        <w:rPr>
          <w:sz w:val="36"/>
          <w:szCs w:val="36"/>
          <w:rtl/>
        </w:rPr>
        <w:t>الاعلام</w:t>
      </w:r>
      <w:r w:rsidR="00E8128F">
        <w:rPr>
          <w:sz w:val="36"/>
          <w:szCs w:val="36"/>
          <w:rtl/>
        </w:rPr>
        <w:t xml:space="preserve"> </w:t>
      </w:r>
      <w:r w:rsidRPr="00FD211F">
        <w:rPr>
          <w:sz w:val="36"/>
          <w:szCs w:val="36"/>
          <w:rtl/>
        </w:rPr>
        <w:t>من</w:t>
      </w:r>
      <w:r w:rsidR="00E8128F">
        <w:rPr>
          <w:sz w:val="36"/>
          <w:szCs w:val="36"/>
          <w:rtl/>
        </w:rPr>
        <w:t xml:space="preserve"> </w:t>
      </w:r>
      <w:r w:rsidR="00693C5E" w:rsidRPr="00FD211F">
        <w:rPr>
          <w:sz w:val="36"/>
          <w:szCs w:val="36"/>
          <w:rtl/>
        </w:rPr>
        <w:t>ان</w:t>
      </w:r>
      <w:r w:rsidR="00E8128F">
        <w:rPr>
          <w:sz w:val="36"/>
          <w:szCs w:val="36"/>
          <w:rtl/>
        </w:rPr>
        <w:t xml:space="preserve"> </w:t>
      </w:r>
      <w:r w:rsidR="00E563F1" w:rsidRPr="00FD211F">
        <w:rPr>
          <w:sz w:val="36"/>
          <w:szCs w:val="36"/>
          <w:rtl/>
        </w:rPr>
        <w:t>المهم</w:t>
      </w:r>
      <w:r w:rsidR="00E8128F">
        <w:rPr>
          <w:sz w:val="36"/>
          <w:szCs w:val="36"/>
          <w:rtl/>
        </w:rPr>
        <w:t xml:space="preserve"> </w:t>
      </w:r>
      <w:r w:rsidR="00D26CFF" w:rsidRPr="00FD211F">
        <w:rPr>
          <w:sz w:val="36"/>
          <w:szCs w:val="36"/>
          <w:rtl/>
        </w:rPr>
        <w:t>في</w:t>
      </w:r>
      <w:r w:rsidR="00E8128F">
        <w:rPr>
          <w:sz w:val="36"/>
          <w:szCs w:val="36"/>
          <w:rtl/>
        </w:rPr>
        <w:t xml:space="preserve"> </w:t>
      </w:r>
      <w:r w:rsidR="00D26CFF" w:rsidRPr="00FD211F">
        <w:rPr>
          <w:sz w:val="36"/>
          <w:szCs w:val="36"/>
          <w:rtl/>
        </w:rPr>
        <w:t>التمييز</w:t>
      </w:r>
      <w:r w:rsidR="00E8128F">
        <w:rPr>
          <w:sz w:val="36"/>
          <w:szCs w:val="36"/>
          <w:rtl/>
        </w:rPr>
        <w:t xml:space="preserve"> </w:t>
      </w:r>
      <w:r w:rsidR="00D26CFF" w:rsidRPr="00FD211F">
        <w:rPr>
          <w:sz w:val="36"/>
          <w:szCs w:val="36"/>
          <w:rtl/>
        </w:rPr>
        <w:t>بين</w:t>
      </w:r>
      <w:r w:rsidR="00E8128F">
        <w:rPr>
          <w:sz w:val="36"/>
          <w:szCs w:val="36"/>
          <w:rtl/>
        </w:rPr>
        <w:t xml:space="preserve"> </w:t>
      </w:r>
      <w:r w:rsidR="00D26CFF" w:rsidRPr="00FD211F">
        <w:rPr>
          <w:sz w:val="36"/>
          <w:szCs w:val="36"/>
          <w:rtl/>
        </w:rPr>
        <w:t>القاعد</w:t>
      </w:r>
      <w:r w:rsidR="00EC7EDF" w:rsidRPr="00FD211F">
        <w:rPr>
          <w:sz w:val="36"/>
          <w:szCs w:val="36"/>
          <w:rtl/>
        </w:rPr>
        <w:t>ة</w:t>
      </w:r>
      <w:r w:rsidR="00E8128F">
        <w:rPr>
          <w:sz w:val="36"/>
          <w:szCs w:val="36"/>
          <w:rtl/>
        </w:rPr>
        <w:t xml:space="preserve"> </w:t>
      </w:r>
      <w:r w:rsidR="00D26CFF" w:rsidRPr="00FD211F">
        <w:rPr>
          <w:sz w:val="36"/>
          <w:szCs w:val="36"/>
          <w:rtl/>
        </w:rPr>
        <w:t>الاصولي</w:t>
      </w:r>
      <w:r w:rsidR="00EC7EDF" w:rsidRPr="00FD211F">
        <w:rPr>
          <w:sz w:val="36"/>
          <w:szCs w:val="36"/>
          <w:rtl/>
        </w:rPr>
        <w:t>ة</w:t>
      </w:r>
      <w:r w:rsidR="00E8128F">
        <w:rPr>
          <w:sz w:val="36"/>
          <w:szCs w:val="36"/>
          <w:rtl/>
        </w:rPr>
        <w:t xml:space="preserve"> </w:t>
      </w:r>
      <w:r w:rsidR="00D26CFF" w:rsidRPr="00FD211F">
        <w:rPr>
          <w:sz w:val="36"/>
          <w:szCs w:val="36"/>
          <w:rtl/>
        </w:rPr>
        <w:t>والقاعد</w:t>
      </w:r>
      <w:r w:rsidR="00EC7EDF" w:rsidRPr="00FD211F">
        <w:rPr>
          <w:sz w:val="36"/>
          <w:szCs w:val="36"/>
          <w:rtl/>
        </w:rPr>
        <w:t>ة</w:t>
      </w:r>
      <w:r w:rsidR="00E8128F">
        <w:rPr>
          <w:sz w:val="36"/>
          <w:szCs w:val="36"/>
          <w:rtl/>
        </w:rPr>
        <w:t xml:space="preserve"> </w:t>
      </w:r>
      <w:r w:rsidR="00D26CFF" w:rsidRPr="00FD211F">
        <w:rPr>
          <w:sz w:val="36"/>
          <w:szCs w:val="36"/>
          <w:rtl/>
        </w:rPr>
        <w:t>الفقهي</w:t>
      </w:r>
      <w:r w:rsidR="00EC7EDF" w:rsidRPr="00FD211F">
        <w:rPr>
          <w:sz w:val="36"/>
          <w:szCs w:val="36"/>
          <w:rtl/>
        </w:rPr>
        <w:t>ة</w:t>
      </w:r>
      <w:r w:rsidR="00E8128F">
        <w:rPr>
          <w:sz w:val="36"/>
          <w:szCs w:val="36"/>
          <w:rtl/>
        </w:rPr>
        <w:t xml:space="preserve"> </w:t>
      </w:r>
      <w:r w:rsidR="00D26CFF" w:rsidRPr="00FD211F">
        <w:rPr>
          <w:sz w:val="36"/>
          <w:szCs w:val="36"/>
          <w:rtl/>
        </w:rPr>
        <w:t>هو</w:t>
      </w:r>
      <w:r w:rsidR="00E8128F">
        <w:rPr>
          <w:sz w:val="36"/>
          <w:szCs w:val="36"/>
          <w:rtl/>
        </w:rPr>
        <w:t xml:space="preserve"> </w:t>
      </w:r>
      <w:r w:rsidR="00D26CFF" w:rsidRPr="00FD211F">
        <w:rPr>
          <w:sz w:val="36"/>
          <w:szCs w:val="36"/>
          <w:rtl/>
        </w:rPr>
        <w:t>النظر</w:t>
      </w:r>
      <w:r w:rsidR="00E8128F">
        <w:rPr>
          <w:sz w:val="36"/>
          <w:szCs w:val="36"/>
          <w:rtl/>
        </w:rPr>
        <w:t xml:space="preserve"> </w:t>
      </w:r>
      <w:r w:rsidR="00D26CFF" w:rsidRPr="00FD211F">
        <w:rPr>
          <w:sz w:val="36"/>
          <w:szCs w:val="36"/>
          <w:rtl/>
        </w:rPr>
        <w:t>الى</w:t>
      </w:r>
      <w:r w:rsidR="00E8128F">
        <w:rPr>
          <w:sz w:val="36"/>
          <w:szCs w:val="36"/>
          <w:rtl/>
        </w:rPr>
        <w:t xml:space="preserve"> </w:t>
      </w:r>
      <w:r w:rsidR="00D26CFF" w:rsidRPr="00FD211F">
        <w:rPr>
          <w:sz w:val="36"/>
          <w:szCs w:val="36"/>
          <w:rtl/>
        </w:rPr>
        <w:t>مضم</w:t>
      </w:r>
      <w:r w:rsidR="00D73FFD" w:rsidRPr="00FD211F">
        <w:rPr>
          <w:sz w:val="36"/>
          <w:szCs w:val="36"/>
          <w:rtl/>
        </w:rPr>
        <w:t>ون</w:t>
      </w:r>
      <w:r w:rsidR="00E8128F">
        <w:rPr>
          <w:sz w:val="36"/>
          <w:szCs w:val="36"/>
          <w:rtl/>
        </w:rPr>
        <w:t xml:space="preserve"> </w:t>
      </w:r>
      <w:r w:rsidR="00D73FFD" w:rsidRPr="00FD211F">
        <w:rPr>
          <w:sz w:val="36"/>
          <w:szCs w:val="36"/>
          <w:rtl/>
        </w:rPr>
        <w:t>القاعد</w:t>
      </w:r>
      <w:r w:rsidR="00EC7EDF" w:rsidRPr="00FD211F">
        <w:rPr>
          <w:sz w:val="36"/>
          <w:szCs w:val="36"/>
          <w:rtl/>
        </w:rPr>
        <w:t>ة</w:t>
      </w:r>
      <w:r w:rsidR="00E8128F">
        <w:rPr>
          <w:sz w:val="36"/>
          <w:szCs w:val="36"/>
          <w:rtl/>
        </w:rPr>
        <w:t xml:space="preserve"> </w:t>
      </w:r>
      <w:r w:rsidR="00D73FFD" w:rsidRPr="00FD211F">
        <w:rPr>
          <w:sz w:val="36"/>
          <w:szCs w:val="36"/>
          <w:rtl/>
        </w:rPr>
        <w:t>وروحها</w:t>
      </w:r>
      <w:r w:rsidR="00603323" w:rsidRPr="00FD211F">
        <w:rPr>
          <w:sz w:val="36"/>
          <w:szCs w:val="36"/>
          <w:rtl/>
        </w:rPr>
        <w:t>،</w:t>
      </w:r>
      <w:r w:rsidR="00E8128F">
        <w:rPr>
          <w:sz w:val="36"/>
          <w:szCs w:val="36"/>
          <w:rtl/>
        </w:rPr>
        <w:t xml:space="preserve"> </w:t>
      </w:r>
      <w:r w:rsidR="00D73FFD" w:rsidRPr="00FD211F">
        <w:rPr>
          <w:sz w:val="36"/>
          <w:szCs w:val="36"/>
          <w:rtl/>
        </w:rPr>
        <w:t>فان</w:t>
      </w:r>
      <w:r w:rsidR="00E8128F">
        <w:rPr>
          <w:sz w:val="36"/>
          <w:szCs w:val="36"/>
          <w:rtl/>
        </w:rPr>
        <w:t xml:space="preserve"> </w:t>
      </w:r>
      <w:r w:rsidR="00D73FFD" w:rsidRPr="00FD211F">
        <w:rPr>
          <w:sz w:val="36"/>
          <w:szCs w:val="36"/>
          <w:rtl/>
        </w:rPr>
        <w:t>كانت</w:t>
      </w:r>
      <w:r w:rsidR="00E8128F">
        <w:rPr>
          <w:sz w:val="36"/>
          <w:szCs w:val="36"/>
          <w:rtl/>
        </w:rPr>
        <w:t xml:space="preserve"> </w:t>
      </w:r>
      <w:r w:rsidR="00D73FFD" w:rsidRPr="00FD211F">
        <w:rPr>
          <w:sz w:val="36"/>
          <w:szCs w:val="36"/>
          <w:rtl/>
        </w:rPr>
        <w:t>نسب</w:t>
      </w:r>
      <w:r w:rsidR="00EC7EDF" w:rsidRPr="00FD211F">
        <w:rPr>
          <w:sz w:val="36"/>
          <w:szCs w:val="36"/>
          <w:rtl/>
        </w:rPr>
        <w:t>ة</w:t>
      </w:r>
      <w:r w:rsidR="00E8128F">
        <w:rPr>
          <w:sz w:val="36"/>
          <w:szCs w:val="36"/>
          <w:rtl/>
        </w:rPr>
        <w:t xml:space="preserve"> </w:t>
      </w:r>
      <w:r w:rsidR="00D73FFD" w:rsidRPr="00FD211F">
        <w:rPr>
          <w:sz w:val="36"/>
          <w:szCs w:val="36"/>
          <w:rtl/>
        </w:rPr>
        <w:t>روح</w:t>
      </w:r>
      <w:r w:rsidR="00E8128F">
        <w:rPr>
          <w:sz w:val="36"/>
          <w:szCs w:val="36"/>
          <w:rtl/>
        </w:rPr>
        <w:t xml:space="preserve"> </w:t>
      </w:r>
      <w:r w:rsidR="00D73FFD" w:rsidRPr="00FD211F">
        <w:rPr>
          <w:sz w:val="36"/>
          <w:szCs w:val="36"/>
          <w:rtl/>
        </w:rPr>
        <w:t>القاعد</w:t>
      </w:r>
      <w:r w:rsidR="00EC7EDF" w:rsidRPr="00FD211F">
        <w:rPr>
          <w:sz w:val="36"/>
          <w:szCs w:val="36"/>
          <w:rtl/>
        </w:rPr>
        <w:t>ة</w:t>
      </w:r>
      <w:r w:rsidR="00E8128F">
        <w:rPr>
          <w:sz w:val="36"/>
          <w:szCs w:val="36"/>
          <w:rtl/>
        </w:rPr>
        <w:t xml:space="preserve"> </w:t>
      </w:r>
      <w:r w:rsidR="00D26CFF" w:rsidRPr="00FD211F">
        <w:rPr>
          <w:sz w:val="36"/>
          <w:szCs w:val="36"/>
          <w:rtl/>
        </w:rPr>
        <w:t>الى</w:t>
      </w:r>
      <w:r w:rsidR="00E8128F">
        <w:rPr>
          <w:sz w:val="36"/>
          <w:szCs w:val="36"/>
          <w:rtl/>
        </w:rPr>
        <w:t xml:space="preserve"> </w:t>
      </w:r>
      <w:r w:rsidR="00D26CFF" w:rsidRPr="00FD211F">
        <w:rPr>
          <w:sz w:val="36"/>
          <w:szCs w:val="36"/>
          <w:rtl/>
        </w:rPr>
        <w:t>الحكم</w:t>
      </w:r>
      <w:r w:rsidR="00E8128F">
        <w:rPr>
          <w:sz w:val="36"/>
          <w:szCs w:val="36"/>
          <w:rtl/>
        </w:rPr>
        <w:t xml:space="preserve"> </w:t>
      </w:r>
      <w:r w:rsidR="00D26CFF" w:rsidRPr="00FD211F">
        <w:rPr>
          <w:sz w:val="36"/>
          <w:szCs w:val="36"/>
          <w:rtl/>
        </w:rPr>
        <w:t>الشرعي</w:t>
      </w:r>
      <w:r w:rsidR="00E8128F">
        <w:rPr>
          <w:sz w:val="36"/>
          <w:szCs w:val="36"/>
          <w:rtl/>
        </w:rPr>
        <w:t xml:space="preserve"> </w:t>
      </w:r>
      <w:r w:rsidR="00D26CFF" w:rsidRPr="00FD211F">
        <w:rPr>
          <w:sz w:val="36"/>
          <w:szCs w:val="36"/>
          <w:rtl/>
        </w:rPr>
        <w:t>الذي</w:t>
      </w:r>
      <w:r w:rsidR="00E8128F">
        <w:rPr>
          <w:sz w:val="36"/>
          <w:szCs w:val="36"/>
          <w:rtl/>
        </w:rPr>
        <w:t xml:space="preserve"> </w:t>
      </w:r>
      <w:r w:rsidR="00D26CFF" w:rsidRPr="00FD211F">
        <w:rPr>
          <w:sz w:val="36"/>
          <w:szCs w:val="36"/>
          <w:rtl/>
        </w:rPr>
        <w:t>يكون</w:t>
      </w:r>
      <w:r w:rsidR="00E8128F">
        <w:rPr>
          <w:sz w:val="36"/>
          <w:szCs w:val="36"/>
          <w:rtl/>
        </w:rPr>
        <w:t xml:space="preserve"> </w:t>
      </w:r>
      <w:r w:rsidR="00D26CFF" w:rsidRPr="00FD211F">
        <w:rPr>
          <w:sz w:val="36"/>
          <w:szCs w:val="36"/>
          <w:rtl/>
        </w:rPr>
        <w:t>الفقيه</w:t>
      </w:r>
      <w:r w:rsidR="00E8128F">
        <w:rPr>
          <w:sz w:val="36"/>
          <w:szCs w:val="36"/>
          <w:rtl/>
        </w:rPr>
        <w:t xml:space="preserve"> </w:t>
      </w:r>
      <w:r w:rsidR="00D26CFF" w:rsidRPr="00FD211F">
        <w:rPr>
          <w:sz w:val="36"/>
          <w:szCs w:val="36"/>
          <w:rtl/>
        </w:rPr>
        <w:t>بصدد</w:t>
      </w:r>
      <w:r w:rsidR="00E8128F">
        <w:rPr>
          <w:sz w:val="36"/>
          <w:szCs w:val="36"/>
          <w:rtl/>
        </w:rPr>
        <w:t xml:space="preserve"> </w:t>
      </w:r>
      <w:r w:rsidR="00D26CFF" w:rsidRPr="00FD211F">
        <w:rPr>
          <w:sz w:val="36"/>
          <w:szCs w:val="36"/>
          <w:rtl/>
        </w:rPr>
        <w:t>استنباطه</w:t>
      </w:r>
      <w:r w:rsidR="00E8128F">
        <w:rPr>
          <w:sz w:val="36"/>
          <w:szCs w:val="36"/>
          <w:rtl/>
        </w:rPr>
        <w:t xml:space="preserve"> </w:t>
      </w:r>
      <w:r w:rsidR="00D26CFF" w:rsidRPr="00FD211F">
        <w:rPr>
          <w:sz w:val="36"/>
          <w:szCs w:val="36"/>
          <w:rtl/>
        </w:rPr>
        <w:t>نسب</w:t>
      </w:r>
      <w:r w:rsidR="00EC7EDF" w:rsidRPr="00FD211F">
        <w:rPr>
          <w:sz w:val="36"/>
          <w:szCs w:val="36"/>
          <w:rtl/>
        </w:rPr>
        <w:t>ة</w:t>
      </w:r>
      <w:r w:rsidR="00E8128F">
        <w:rPr>
          <w:sz w:val="36"/>
          <w:szCs w:val="36"/>
          <w:rtl/>
        </w:rPr>
        <w:t xml:space="preserve"> </w:t>
      </w:r>
      <w:r w:rsidR="00D26CFF" w:rsidRPr="00FD211F">
        <w:rPr>
          <w:sz w:val="36"/>
          <w:szCs w:val="36"/>
          <w:rtl/>
        </w:rPr>
        <w:t>التوسيط</w:t>
      </w:r>
      <w:r w:rsidR="00E8128F">
        <w:rPr>
          <w:sz w:val="36"/>
          <w:szCs w:val="36"/>
          <w:rtl/>
        </w:rPr>
        <w:t xml:space="preserve"> </w:t>
      </w:r>
      <w:r w:rsidR="00D26CFF" w:rsidRPr="00FD211F">
        <w:rPr>
          <w:sz w:val="36"/>
          <w:szCs w:val="36"/>
          <w:rtl/>
        </w:rPr>
        <w:t>فتكون</w:t>
      </w:r>
      <w:r w:rsidR="00E8128F">
        <w:rPr>
          <w:sz w:val="36"/>
          <w:szCs w:val="36"/>
          <w:rtl/>
        </w:rPr>
        <w:t xml:space="preserve"> </w:t>
      </w:r>
      <w:r w:rsidR="00D26CFF" w:rsidRPr="00FD211F">
        <w:rPr>
          <w:sz w:val="36"/>
          <w:szCs w:val="36"/>
          <w:rtl/>
        </w:rPr>
        <w:t>قاعد</w:t>
      </w:r>
      <w:r w:rsidR="00EC7EDF" w:rsidRPr="00FD211F">
        <w:rPr>
          <w:sz w:val="36"/>
          <w:szCs w:val="36"/>
          <w:rtl/>
        </w:rPr>
        <w:t>ة</w:t>
      </w:r>
      <w:r w:rsidR="00E8128F">
        <w:rPr>
          <w:sz w:val="36"/>
          <w:szCs w:val="36"/>
          <w:rtl/>
        </w:rPr>
        <w:t xml:space="preserve"> </w:t>
      </w:r>
      <w:r w:rsidR="00D26CFF" w:rsidRPr="00FD211F">
        <w:rPr>
          <w:sz w:val="36"/>
          <w:szCs w:val="36"/>
          <w:rtl/>
        </w:rPr>
        <w:t>اصولي</w:t>
      </w:r>
      <w:r w:rsidR="00EC7EDF" w:rsidRPr="00FD211F">
        <w:rPr>
          <w:sz w:val="36"/>
          <w:szCs w:val="36"/>
          <w:rtl/>
        </w:rPr>
        <w:t>ة</w:t>
      </w:r>
      <w:r w:rsidR="00603323" w:rsidRPr="00FD211F">
        <w:rPr>
          <w:sz w:val="36"/>
          <w:szCs w:val="36"/>
          <w:rtl/>
        </w:rPr>
        <w:t>،</w:t>
      </w:r>
      <w:r w:rsidR="00E8128F">
        <w:rPr>
          <w:sz w:val="36"/>
          <w:szCs w:val="36"/>
          <w:rtl/>
        </w:rPr>
        <w:t xml:space="preserve"> </w:t>
      </w:r>
      <w:r w:rsidR="00D26CFF" w:rsidRPr="00FD211F">
        <w:rPr>
          <w:sz w:val="36"/>
          <w:szCs w:val="36"/>
          <w:rtl/>
        </w:rPr>
        <w:t>والا</w:t>
      </w:r>
      <w:r w:rsidR="00E8128F">
        <w:rPr>
          <w:sz w:val="36"/>
          <w:szCs w:val="36"/>
          <w:rtl/>
        </w:rPr>
        <w:t xml:space="preserve"> </w:t>
      </w:r>
      <w:r w:rsidR="00D26CFF" w:rsidRPr="00FD211F">
        <w:rPr>
          <w:sz w:val="36"/>
          <w:szCs w:val="36"/>
          <w:rtl/>
        </w:rPr>
        <w:t>فهي</w:t>
      </w:r>
      <w:r w:rsidR="00E8128F">
        <w:rPr>
          <w:sz w:val="36"/>
          <w:szCs w:val="36"/>
          <w:rtl/>
        </w:rPr>
        <w:t xml:space="preserve"> </w:t>
      </w:r>
      <w:r w:rsidR="00D26CFF" w:rsidRPr="00FD211F">
        <w:rPr>
          <w:sz w:val="36"/>
          <w:szCs w:val="36"/>
          <w:rtl/>
        </w:rPr>
        <w:t>قاعد</w:t>
      </w:r>
      <w:r w:rsidR="00EC7EDF" w:rsidRPr="00FD211F">
        <w:rPr>
          <w:sz w:val="36"/>
          <w:szCs w:val="36"/>
          <w:rtl/>
        </w:rPr>
        <w:t>ة</w:t>
      </w:r>
      <w:r w:rsidR="00E8128F">
        <w:rPr>
          <w:sz w:val="36"/>
          <w:szCs w:val="36"/>
          <w:rtl/>
        </w:rPr>
        <w:t xml:space="preserve"> </w:t>
      </w:r>
      <w:r w:rsidR="00D26CFF" w:rsidRPr="00FD211F">
        <w:rPr>
          <w:sz w:val="36"/>
          <w:szCs w:val="36"/>
          <w:rtl/>
        </w:rPr>
        <w:t>فقهي</w:t>
      </w:r>
      <w:r w:rsidR="00EC7EDF" w:rsidRPr="00FD211F">
        <w:rPr>
          <w:sz w:val="36"/>
          <w:szCs w:val="36"/>
          <w:rtl/>
        </w:rPr>
        <w:t>ة</w:t>
      </w:r>
      <w:r w:rsidR="00603323" w:rsidRPr="00FD211F">
        <w:rPr>
          <w:sz w:val="36"/>
          <w:szCs w:val="36"/>
          <w:rtl/>
        </w:rPr>
        <w:t>،</w:t>
      </w:r>
      <w:r w:rsidR="00E8128F">
        <w:rPr>
          <w:sz w:val="36"/>
          <w:szCs w:val="36"/>
          <w:rtl/>
        </w:rPr>
        <w:t xml:space="preserve"> </w:t>
      </w:r>
      <w:r w:rsidR="00D26CFF" w:rsidRPr="00FD211F">
        <w:rPr>
          <w:sz w:val="36"/>
          <w:szCs w:val="36"/>
          <w:rtl/>
        </w:rPr>
        <w:t>و</w:t>
      </w:r>
      <w:r w:rsidR="0031168E" w:rsidRPr="00FD211F">
        <w:rPr>
          <w:sz w:val="36"/>
          <w:szCs w:val="36"/>
          <w:rtl/>
        </w:rPr>
        <w:t>حيث</w:t>
      </w:r>
      <w:r w:rsidR="00E8128F">
        <w:rPr>
          <w:sz w:val="36"/>
          <w:szCs w:val="36"/>
          <w:rtl/>
        </w:rPr>
        <w:t xml:space="preserve"> </w:t>
      </w:r>
      <w:r w:rsidR="0031168E" w:rsidRPr="00FD211F">
        <w:rPr>
          <w:sz w:val="36"/>
          <w:szCs w:val="36"/>
          <w:rtl/>
        </w:rPr>
        <w:t>أن</w:t>
      </w:r>
      <w:r w:rsidR="00E8128F">
        <w:rPr>
          <w:sz w:val="36"/>
          <w:szCs w:val="36"/>
          <w:rtl/>
        </w:rPr>
        <w:t xml:space="preserve"> </w:t>
      </w:r>
      <w:r w:rsidR="00D26CFF" w:rsidRPr="00FD211F">
        <w:rPr>
          <w:sz w:val="36"/>
          <w:szCs w:val="36"/>
          <w:rtl/>
        </w:rPr>
        <w:t>مسأل</w:t>
      </w:r>
      <w:r w:rsidR="00EC7EDF" w:rsidRPr="00FD211F">
        <w:rPr>
          <w:sz w:val="36"/>
          <w:szCs w:val="36"/>
          <w:rtl/>
        </w:rPr>
        <w:t>ة</w:t>
      </w:r>
      <w:r w:rsidR="00E8128F">
        <w:rPr>
          <w:sz w:val="36"/>
          <w:szCs w:val="36"/>
          <w:rtl/>
        </w:rPr>
        <w:t xml:space="preserve"> </w:t>
      </w:r>
      <w:r w:rsidR="00D26CFF" w:rsidRPr="00FD211F">
        <w:rPr>
          <w:sz w:val="36"/>
          <w:szCs w:val="36"/>
          <w:rtl/>
        </w:rPr>
        <w:t>النهي</w:t>
      </w:r>
      <w:r w:rsidR="00E8128F">
        <w:rPr>
          <w:sz w:val="36"/>
          <w:szCs w:val="36"/>
          <w:rtl/>
        </w:rPr>
        <w:t xml:space="preserve"> </w:t>
      </w:r>
      <w:r w:rsidR="00D26CFF" w:rsidRPr="00FD211F">
        <w:rPr>
          <w:sz w:val="36"/>
          <w:szCs w:val="36"/>
          <w:rtl/>
        </w:rPr>
        <w:t>عن</w:t>
      </w:r>
      <w:r w:rsidR="00E8128F">
        <w:rPr>
          <w:sz w:val="36"/>
          <w:szCs w:val="36"/>
          <w:rtl/>
        </w:rPr>
        <w:t xml:space="preserve"> </w:t>
      </w:r>
      <w:r w:rsidR="00D26CFF" w:rsidRPr="00FD211F">
        <w:rPr>
          <w:sz w:val="36"/>
          <w:szCs w:val="36"/>
          <w:rtl/>
        </w:rPr>
        <w:t>العباد</w:t>
      </w:r>
      <w:r w:rsidR="00EC7EDF" w:rsidRPr="00FD211F">
        <w:rPr>
          <w:sz w:val="36"/>
          <w:szCs w:val="36"/>
          <w:rtl/>
        </w:rPr>
        <w:t>ة</w:t>
      </w:r>
      <w:r w:rsidR="00E8128F">
        <w:rPr>
          <w:sz w:val="36"/>
          <w:szCs w:val="36"/>
          <w:rtl/>
        </w:rPr>
        <w:t xml:space="preserve"> </w:t>
      </w:r>
      <w:r w:rsidR="0031168E" w:rsidRPr="00FD211F">
        <w:rPr>
          <w:sz w:val="36"/>
          <w:szCs w:val="36"/>
          <w:rtl/>
        </w:rPr>
        <w:t>ترجع</w:t>
      </w:r>
      <w:r w:rsidR="00E8128F">
        <w:rPr>
          <w:sz w:val="36"/>
          <w:szCs w:val="36"/>
          <w:rtl/>
        </w:rPr>
        <w:t xml:space="preserve"> </w:t>
      </w:r>
      <w:r w:rsidR="0031168E" w:rsidRPr="00FD211F">
        <w:rPr>
          <w:sz w:val="36"/>
          <w:szCs w:val="36"/>
          <w:rtl/>
        </w:rPr>
        <w:t>بحسب</w:t>
      </w:r>
      <w:r w:rsidR="00E8128F">
        <w:rPr>
          <w:sz w:val="36"/>
          <w:szCs w:val="36"/>
          <w:rtl/>
        </w:rPr>
        <w:t xml:space="preserve"> </w:t>
      </w:r>
      <w:r w:rsidR="0031168E" w:rsidRPr="00FD211F">
        <w:rPr>
          <w:sz w:val="36"/>
          <w:szCs w:val="36"/>
          <w:rtl/>
        </w:rPr>
        <w:t>روحها</w:t>
      </w:r>
      <w:r w:rsidR="00E8128F">
        <w:rPr>
          <w:sz w:val="36"/>
          <w:szCs w:val="36"/>
          <w:rtl/>
        </w:rPr>
        <w:t xml:space="preserve"> </w:t>
      </w:r>
      <w:r w:rsidR="0031168E" w:rsidRPr="00FD211F">
        <w:rPr>
          <w:sz w:val="36"/>
          <w:szCs w:val="36"/>
          <w:rtl/>
        </w:rPr>
        <w:t>ومضمونها</w:t>
      </w:r>
      <w:r w:rsidR="00E8128F">
        <w:rPr>
          <w:sz w:val="36"/>
          <w:szCs w:val="36"/>
          <w:rtl/>
        </w:rPr>
        <w:t xml:space="preserve"> </w:t>
      </w:r>
      <w:r w:rsidR="0031168E" w:rsidRPr="00FD211F">
        <w:rPr>
          <w:sz w:val="36"/>
          <w:szCs w:val="36"/>
          <w:rtl/>
        </w:rPr>
        <w:t>الى</w:t>
      </w:r>
      <w:r w:rsidR="00E8128F">
        <w:rPr>
          <w:sz w:val="36"/>
          <w:szCs w:val="36"/>
          <w:rtl/>
        </w:rPr>
        <w:t xml:space="preserve"> </w:t>
      </w:r>
      <w:r w:rsidR="0031168E" w:rsidRPr="00FD211F">
        <w:rPr>
          <w:sz w:val="36"/>
          <w:szCs w:val="36"/>
          <w:rtl/>
        </w:rPr>
        <w:t>البحث</w:t>
      </w:r>
      <w:r w:rsidR="00E8128F">
        <w:rPr>
          <w:sz w:val="36"/>
          <w:szCs w:val="36"/>
          <w:rtl/>
        </w:rPr>
        <w:t xml:space="preserve"> </w:t>
      </w:r>
      <w:r w:rsidR="0031168E" w:rsidRPr="00FD211F">
        <w:rPr>
          <w:sz w:val="36"/>
          <w:szCs w:val="36"/>
          <w:rtl/>
        </w:rPr>
        <w:t>عن</w:t>
      </w:r>
      <w:r w:rsidR="00E8128F">
        <w:rPr>
          <w:sz w:val="36"/>
          <w:szCs w:val="36"/>
          <w:rtl/>
        </w:rPr>
        <w:t xml:space="preserve"> </w:t>
      </w:r>
      <w:r w:rsidR="0031168E" w:rsidRPr="00FD211F">
        <w:rPr>
          <w:sz w:val="36"/>
          <w:szCs w:val="36"/>
          <w:rtl/>
        </w:rPr>
        <w:t>اقتضاء</w:t>
      </w:r>
      <w:r w:rsidR="00E8128F">
        <w:rPr>
          <w:sz w:val="36"/>
          <w:szCs w:val="36"/>
          <w:rtl/>
        </w:rPr>
        <w:t xml:space="preserve"> </w:t>
      </w:r>
      <w:r w:rsidR="0031168E" w:rsidRPr="00FD211F">
        <w:rPr>
          <w:sz w:val="36"/>
          <w:szCs w:val="36"/>
          <w:rtl/>
        </w:rPr>
        <w:t>النهي</w:t>
      </w:r>
      <w:r w:rsidR="00E8128F">
        <w:rPr>
          <w:sz w:val="36"/>
          <w:szCs w:val="36"/>
          <w:rtl/>
        </w:rPr>
        <w:t xml:space="preserve"> </w:t>
      </w:r>
      <w:r w:rsidR="0031168E" w:rsidRPr="00FD211F">
        <w:rPr>
          <w:sz w:val="36"/>
          <w:szCs w:val="36"/>
          <w:rtl/>
        </w:rPr>
        <w:t>عن</w:t>
      </w:r>
      <w:r w:rsidR="00E8128F">
        <w:rPr>
          <w:sz w:val="36"/>
          <w:szCs w:val="36"/>
          <w:rtl/>
        </w:rPr>
        <w:t xml:space="preserve"> </w:t>
      </w:r>
      <w:r w:rsidR="0031168E" w:rsidRPr="00FD211F">
        <w:rPr>
          <w:sz w:val="36"/>
          <w:szCs w:val="36"/>
          <w:rtl/>
        </w:rPr>
        <w:t>العباد</w:t>
      </w:r>
      <w:r w:rsidR="00EC7EDF" w:rsidRPr="00FD211F">
        <w:rPr>
          <w:sz w:val="36"/>
          <w:szCs w:val="36"/>
          <w:rtl/>
        </w:rPr>
        <w:t>ة</w:t>
      </w:r>
      <w:r w:rsidR="00E8128F">
        <w:rPr>
          <w:sz w:val="36"/>
          <w:szCs w:val="36"/>
          <w:rtl/>
        </w:rPr>
        <w:t xml:space="preserve"> </w:t>
      </w:r>
      <w:r w:rsidR="0031168E" w:rsidRPr="00FD211F">
        <w:rPr>
          <w:sz w:val="36"/>
          <w:szCs w:val="36"/>
          <w:rtl/>
        </w:rPr>
        <w:t>للفساد</w:t>
      </w:r>
      <w:r w:rsidR="00603323" w:rsidRPr="00FD211F">
        <w:rPr>
          <w:sz w:val="36"/>
          <w:szCs w:val="36"/>
          <w:rtl/>
        </w:rPr>
        <w:t>،</w:t>
      </w:r>
      <w:r w:rsidR="00E8128F">
        <w:rPr>
          <w:sz w:val="36"/>
          <w:szCs w:val="36"/>
          <w:rtl/>
        </w:rPr>
        <w:t xml:space="preserve"> </w:t>
      </w:r>
      <w:r w:rsidR="0031168E" w:rsidRPr="00FD211F">
        <w:rPr>
          <w:sz w:val="36"/>
          <w:szCs w:val="36"/>
          <w:rtl/>
        </w:rPr>
        <w:t>فتكون</w:t>
      </w:r>
      <w:r w:rsidR="00E8128F">
        <w:rPr>
          <w:sz w:val="36"/>
          <w:szCs w:val="36"/>
          <w:rtl/>
        </w:rPr>
        <w:t xml:space="preserve"> </w:t>
      </w:r>
      <w:r w:rsidR="0031168E" w:rsidRPr="00FD211F">
        <w:rPr>
          <w:sz w:val="36"/>
          <w:szCs w:val="36"/>
          <w:rtl/>
        </w:rPr>
        <w:t>قاعد</w:t>
      </w:r>
      <w:r w:rsidR="00EC7EDF" w:rsidRPr="00FD211F">
        <w:rPr>
          <w:sz w:val="36"/>
          <w:szCs w:val="36"/>
          <w:rtl/>
        </w:rPr>
        <w:t>ة</w:t>
      </w:r>
      <w:r w:rsidR="00E8128F">
        <w:rPr>
          <w:sz w:val="36"/>
          <w:szCs w:val="36"/>
          <w:rtl/>
        </w:rPr>
        <w:t xml:space="preserve"> </w:t>
      </w:r>
      <w:r w:rsidR="0031168E" w:rsidRPr="00FD211F">
        <w:rPr>
          <w:sz w:val="36"/>
          <w:szCs w:val="36"/>
          <w:rtl/>
        </w:rPr>
        <w:t>اصولي</w:t>
      </w:r>
      <w:r w:rsidR="00EC7EDF" w:rsidRPr="00FD211F">
        <w:rPr>
          <w:sz w:val="36"/>
          <w:szCs w:val="36"/>
          <w:rtl/>
        </w:rPr>
        <w:t>ة</w:t>
      </w:r>
      <w:r w:rsidR="00E8128F">
        <w:rPr>
          <w:sz w:val="36"/>
          <w:szCs w:val="36"/>
          <w:rtl/>
        </w:rPr>
        <w:t xml:space="preserve"> </w:t>
      </w:r>
      <w:r w:rsidR="0031168E" w:rsidRPr="00FD211F">
        <w:rPr>
          <w:sz w:val="36"/>
          <w:szCs w:val="36"/>
          <w:rtl/>
        </w:rPr>
        <w:t>ولو</w:t>
      </w:r>
      <w:r w:rsidR="00E8128F">
        <w:rPr>
          <w:sz w:val="36"/>
          <w:szCs w:val="36"/>
          <w:rtl/>
        </w:rPr>
        <w:t xml:space="preserve"> </w:t>
      </w:r>
      <w:r w:rsidR="0031168E" w:rsidRPr="00FD211F">
        <w:rPr>
          <w:sz w:val="36"/>
          <w:szCs w:val="36"/>
          <w:rtl/>
        </w:rPr>
        <w:t>كانت</w:t>
      </w:r>
      <w:r w:rsidR="00E8128F">
        <w:rPr>
          <w:sz w:val="36"/>
          <w:szCs w:val="36"/>
          <w:rtl/>
        </w:rPr>
        <w:t xml:space="preserve"> </w:t>
      </w:r>
      <w:r w:rsidR="0031168E" w:rsidRPr="00FD211F">
        <w:rPr>
          <w:sz w:val="36"/>
          <w:szCs w:val="36"/>
          <w:rtl/>
        </w:rPr>
        <w:t>مطروح</w:t>
      </w:r>
      <w:r w:rsidR="00EC7EDF" w:rsidRPr="00FD211F">
        <w:rPr>
          <w:sz w:val="36"/>
          <w:szCs w:val="36"/>
          <w:rtl/>
        </w:rPr>
        <w:t>ة</w:t>
      </w:r>
      <w:r w:rsidR="00E8128F">
        <w:rPr>
          <w:sz w:val="36"/>
          <w:szCs w:val="36"/>
          <w:rtl/>
        </w:rPr>
        <w:t xml:space="preserve"> </w:t>
      </w:r>
      <w:r w:rsidR="0031168E" w:rsidRPr="00FD211F">
        <w:rPr>
          <w:sz w:val="36"/>
          <w:szCs w:val="36"/>
          <w:rtl/>
        </w:rPr>
        <w:t>بصيغ</w:t>
      </w:r>
      <w:r w:rsidR="00EC7EDF" w:rsidRPr="00FD211F">
        <w:rPr>
          <w:sz w:val="36"/>
          <w:szCs w:val="36"/>
          <w:rtl/>
        </w:rPr>
        <w:t>ة</w:t>
      </w:r>
      <w:r w:rsidR="00E8128F">
        <w:rPr>
          <w:sz w:val="36"/>
          <w:szCs w:val="36"/>
          <w:rtl/>
        </w:rPr>
        <w:t xml:space="preserve"> </w:t>
      </w:r>
      <w:r w:rsidR="0031168E" w:rsidRPr="00FD211F">
        <w:rPr>
          <w:sz w:val="36"/>
          <w:szCs w:val="36"/>
          <w:rtl/>
        </w:rPr>
        <w:t>البحث</w:t>
      </w:r>
      <w:r w:rsidR="00E8128F">
        <w:rPr>
          <w:sz w:val="36"/>
          <w:szCs w:val="36"/>
          <w:rtl/>
        </w:rPr>
        <w:t xml:space="preserve"> </w:t>
      </w:r>
      <w:r w:rsidR="0031168E" w:rsidRPr="00FD211F">
        <w:rPr>
          <w:sz w:val="36"/>
          <w:szCs w:val="36"/>
          <w:rtl/>
        </w:rPr>
        <w:t>عن</w:t>
      </w:r>
      <w:r w:rsidR="00E8128F">
        <w:rPr>
          <w:sz w:val="36"/>
          <w:szCs w:val="36"/>
          <w:rtl/>
        </w:rPr>
        <w:t xml:space="preserve"> </w:t>
      </w:r>
      <w:r w:rsidR="0031168E" w:rsidRPr="00FD211F">
        <w:rPr>
          <w:sz w:val="36"/>
          <w:szCs w:val="36"/>
          <w:rtl/>
        </w:rPr>
        <w:t>ان</w:t>
      </w:r>
      <w:r w:rsidR="00E8128F">
        <w:rPr>
          <w:sz w:val="36"/>
          <w:szCs w:val="36"/>
          <w:rtl/>
        </w:rPr>
        <w:t xml:space="preserve"> </w:t>
      </w:r>
      <w:r w:rsidR="0031168E" w:rsidRPr="00FD211F">
        <w:rPr>
          <w:sz w:val="36"/>
          <w:szCs w:val="36"/>
          <w:rtl/>
        </w:rPr>
        <w:t>العباد</w:t>
      </w:r>
      <w:r w:rsidR="00EC7EDF" w:rsidRPr="00FD211F">
        <w:rPr>
          <w:sz w:val="36"/>
          <w:szCs w:val="36"/>
          <w:rtl/>
        </w:rPr>
        <w:t>ة</w:t>
      </w:r>
      <w:r w:rsidR="00E8128F">
        <w:rPr>
          <w:sz w:val="36"/>
          <w:szCs w:val="36"/>
          <w:rtl/>
        </w:rPr>
        <w:t xml:space="preserve"> </w:t>
      </w:r>
      <w:r w:rsidR="0031168E" w:rsidRPr="00FD211F">
        <w:rPr>
          <w:sz w:val="36"/>
          <w:szCs w:val="36"/>
          <w:rtl/>
        </w:rPr>
        <w:t>المنهي</w:t>
      </w:r>
      <w:r w:rsidR="00E8128F">
        <w:rPr>
          <w:sz w:val="36"/>
          <w:szCs w:val="36"/>
          <w:rtl/>
        </w:rPr>
        <w:t xml:space="preserve"> </w:t>
      </w:r>
      <w:r w:rsidR="0031168E" w:rsidRPr="00FD211F">
        <w:rPr>
          <w:sz w:val="36"/>
          <w:szCs w:val="36"/>
          <w:rtl/>
        </w:rPr>
        <w:t>عنها</w:t>
      </w:r>
      <w:r w:rsidR="00E8128F">
        <w:rPr>
          <w:sz w:val="36"/>
          <w:szCs w:val="36"/>
          <w:rtl/>
        </w:rPr>
        <w:t xml:space="preserve"> </w:t>
      </w:r>
      <w:r w:rsidR="0031168E" w:rsidRPr="00FD211F">
        <w:rPr>
          <w:sz w:val="36"/>
          <w:szCs w:val="36"/>
          <w:rtl/>
        </w:rPr>
        <w:t>باطل</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3"/>
      </w:r>
      <w:r w:rsidR="009C58C8" w:rsidRPr="00FD211F">
        <w:rPr>
          <w:rStyle w:val="a6"/>
          <w:sz w:val="36"/>
          <w:szCs w:val="36"/>
          <w:rtl/>
        </w:rPr>
        <w:t>)</w:t>
      </w:r>
      <w:r w:rsidR="006C4AAB" w:rsidRPr="00FD211F">
        <w:rPr>
          <w:sz w:val="36"/>
          <w:szCs w:val="36"/>
          <w:rtl/>
        </w:rPr>
        <w:t>.</w:t>
      </w:r>
    </w:p>
    <w:p w14:paraId="3BD5C395" w14:textId="77777777" w:rsidR="00E563F1" w:rsidRPr="00FD211F" w:rsidRDefault="00987F57" w:rsidP="009C58C8">
      <w:pPr>
        <w:ind w:left="0" w:firstLine="227"/>
        <w:jc w:val="both"/>
        <w:rPr>
          <w:sz w:val="36"/>
          <w:szCs w:val="36"/>
          <w:rtl/>
        </w:rPr>
      </w:pPr>
      <w:r w:rsidRPr="00FD211F">
        <w:rPr>
          <w:sz w:val="36"/>
          <w:szCs w:val="36"/>
          <w:rtl/>
        </w:rPr>
        <w:lastRenderedPageBreak/>
        <w:t>ف</w:t>
      </w:r>
      <w:r w:rsidR="00C26EFF" w:rsidRPr="00FD211F">
        <w:rPr>
          <w:sz w:val="36"/>
          <w:szCs w:val="36"/>
          <w:rtl/>
        </w:rPr>
        <w:t>يلاحظ</w:t>
      </w:r>
      <w:r w:rsidR="00E8128F">
        <w:rPr>
          <w:sz w:val="36"/>
          <w:szCs w:val="36"/>
          <w:rtl/>
        </w:rPr>
        <w:t xml:space="preserve"> </w:t>
      </w:r>
      <w:r w:rsidR="00C26EFF" w:rsidRPr="00FD211F">
        <w:rPr>
          <w:sz w:val="36"/>
          <w:szCs w:val="36"/>
          <w:rtl/>
        </w:rPr>
        <w:t>عليه</w:t>
      </w:r>
      <w:r w:rsidR="00992865" w:rsidRPr="00FD211F">
        <w:rPr>
          <w:sz w:val="36"/>
          <w:szCs w:val="36"/>
          <w:rtl/>
        </w:rPr>
        <w:t>:</w:t>
      </w:r>
      <w:r w:rsidR="00E8128F">
        <w:rPr>
          <w:sz w:val="36"/>
          <w:szCs w:val="36"/>
          <w:rtl/>
        </w:rPr>
        <w:t xml:space="preserve"> </w:t>
      </w:r>
      <w:r w:rsidR="00C26EFF" w:rsidRPr="00FD211F">
        <w:rPr>
          <w:sz w:val="36"/>
          <w:szCs w:val="36"/>
          <w:rtl/>
        </w:rPr>
        <w:t>انه</w:t>
      </w:r>
      <w:r w:rsidR="00E8128F">
        <w:rPr>
          <w:sz w:val="36"/>
          <w:szCs w:val="36"/>
          <w:rtl/>
        </w:rPr>
        <w:t xml:space="preserve"> </w:t>
      </w:r>
      <w:r w:rsidR="00C26EFF" w:rsidRPr="00FD211F">
        <w:rPr>
          <w:sz w:val="36"/>
          <w:szCs w:val="36"/>
          <w:rtl/>
        </w:rPr>
        <w:t>لو</w:t>
      </w:r>
      <w:r w:rsidR="00E8128F">
        <w:rPr>
          <w:sz w:val="36"/>
          <w:szCs w:val="36"/>
          <w:rtl/>
        </w:rPr>
        <w:t xml:space="preserve"> </w:t>
      </w:r>
      <w:r w:rsidR="00C26EFF" w:rsidRPr="00FD211F">
        <w:rPr>
          <w:sz w:val="36"/>
          <w:szCs w:val="36"/>
          <w:rtl/>
        </w:rPr>
        <w:t>فرض</w:t>
      </w:r>
      <w:r w:rsidR="00E8128F">
        <w:rPr>
          <w:sz w:val="36"/>
          <w:szCs w:val="36"/>
          <w:rtl/>
        </w:rPr>
        <w:t xml:space="preserve"> </w:t>
      </w:r>
      <w:r w:rsidR="00C26EFF" w:rsidRPr="00FD211F">
        <w:rPr>
          <w:sz w:val="36"/>
          <w:szCs w:val="36"/>
          <w:rtl/>
        </w:rPr>
        <w:t>كون</w:t>
      </w:r>
      <w:r w:rsidR="00E8128F">
        <w:rPr>
          <w:sz w:val="36"/>
          <w:szCs w:val="36"/>
          <w:rtl/>
        </w:rPr>
        <w:t xml:space="preserve"> </w:t>
      </w:r>
      <w:r w:rsidR="00C26EFF" w:rsidRPr="00FD211F">
        <w:rPr>
          <w:sz w:val="36"/>
          <w:szCs w:val="36"/>
          <w:rtl/>
        </w:rPr>
        <w:t>عنوان</w:t>
      </w:r>
      <w:r w:rsidR="00E8128F">
        <w:rPr>
          <w:sz w:val="36"/>
          <w:szCs w:val="36"/>
          <w:rtl/>
        </w:rPr>
        <w:t xml:space="preserve"> </w:t>
      </w:r>
      <w:r w:rsidR="00C26EFF" w:rsidRPr="00FD211F">
        <w:rPr>
          <w:sz w:val="36"/>
          <w:szCs w:val="36"/>
          <w:rtl/>
        </w:rPr>
        <w:t>البحث</w:t>
      </w:r>
      <w:r w:rsidR="00E8128F">
        <w:rPr>
          <w:sz w:val="36"/>
          <w:szCs w:val="36"/>
          <w:rtl/>
        </w:rPr>
        <w:t xml:space="preserve"> </w:t>
      </w:r>
      <w:r w:rsidR="00C26EFF" w:rsidRPr="00FD211F">
        <w:rPr>
          <w:sz w:val="36"/>
          <w:szCs w:val="36"/>
          <w:rtl/>
        </w:rPr>
        <w:t>ان</w:t>
      </w:r>
      <w:r w:rsidR="00E8128F">
        <w:rPr>
          <w:sz w:val="36"/>
          <w:szCs w:val="36"/>
          <w:rtl/>
        </w:rPr>
        <w:t xml:space="preserve"> </w:t>
      </w:r>
      <w:r w:rsidR="00C26EFF" w:rsidRPr="00FD211F">
        <w:rPr>
          <w:sz w:val="36"/>
          <w:szCs w:val="36"/>
          <w:rtl/>
        </w:rPr>
        <w:t>العباد</w:t>
      </w:r>
      <w:r w:rsidR="00EC7EDF" w:rsidRPr="00FD211F">
        <w:rPr>
          <w:sz w:val="36"/>
          <w:szCs w:val="36"/>
          <w:rtl/>
        </w:rPr>
        <w:t>ة</w:t>
      </w:r>
      <w:r w:rsidR="00E8128F">
        <w:rPr>
          <w:sz w:val="36"/>
          <w:szCs w:val="36"/>
          <w:rtl/>
        </w:rPr>
        <w:t xml:space="preserve"> </w:t>
      </w:r>
      <w:r w:rsidR="00C26EFF" w:rsidRPr="00FD211F">
        <w:rPr>
          <w:sz w:val="36"/>
          <w:szCs w:val="36"/>
          <w:rtl/>
        </w:rPr>
        <w:t>المنهي</w:t>
      </w:r>
      <w:r w:rsidR="00E8128F">
        <w:rPr>
          <w:sz w:val="36"/>
          <w:szCs w:val="36"/>
          <w:rtl/>
        </w:rPr>
        <w:t xml:space="preserve"> </w:t>
      </w:r>
      <w:r w:rsidR="00C26EFF" w:rsidRPr="00FD211F">
        <w:rPr>
          <w:sz w:val="36"/>
          <w:szCs w:val="36"/>
          <w:rtl/>
        </w:rPr>
        <w:t>عنها</w:t>
      </w:r>
      <w:r w:rsidR="00E8128F">
        <w:rPr>
          <w:sz w:val="36"/>
          <w:szCs w:val="36"/>
          <w:rtl/>
        </w:rPr>
        <w:t xml:space="preserve"> </w:t>
      </w:r>
      <w:r w:rsidR="00C26EFF" w:rsidRPr="00FD211F">
        <w:rPr>
          <w:sz w:val="36"/>
          <w:szCs w:val="36"/>
          <w:rtl/>
        </w:rPr>
        <w:t>باطل</w:t>
      </w:r>
      <w:r w:rsidR="00EC7EDF" w:rsidRPr="00FD211F">
        <w:rPr>
          <w:sz w:val="36"/>
          <w:szCs w:val="36"/>
          <w:rtl/>
        </w:rPr>
        <w:t>ة</w:t>
      </w:r>
      <w:r w:rsidR="00E8128F">
        <w:rPr>
          <w:sz w:val="36"/>
          <w:szCs w:val="36"/>
          <w:rtl/>
        </w:rPr>
        <w:t xml:space="preserve"> </w:t>
      </w:r>
      <w:r w:rsidR="00992865" w:rsidRPr="00FD211F">
        <w:rPr>
          <w:sz w:val="36"/>
          <w:szCs w:val="36"/>
          <w:rtl/>
        </w:rPr>
        <w:t>فلاوجه</w:t>
      </w:r>
      <w:r w:rsidR="00E8128F">
        <w:rPr>
          <w:sz w:val="36"/>
          <w:szCs w:val="36"/>
          <w:rtl/>
        </w:rPr>
        <w:t xml:space="preserve"> </w:t>
      </w:r>
      <w:r w:rsidR="00992865" w:rsidRPr="00FD211F">
        <w:rPr>
          <w:sz w:val="36"/>
          <w:szCs w:val="36"/>
          <w:rtl/>
        </w:rPr>
        <w:t>لان</w:t>
      </w:r>
      <w:r w:rsidR="00E8128F">
        <w:rPr>
          <w:sz w:val="36"/>
          <w:szCs w:val="36"/>
          <w:rtl/>
        </w:rPr>
        <w:t xml:space="preserve"> </w:t>
      </w:r>
      <w:r w:rsidR="00992865" w:rsidRPr="00FD211F">
        <w:rPr>
          <w:sz w:val="36"/>
          <w:szCs w:val="36"/>
          <w:rtl/>
        </w:rPr>
        <w:t>يقال</w:t>
      </w:r>
      <w:r w:rsidR="00E8128F">
        <w:rPr>
          <w:sz w:val="36"/>
          <w:szCs w:val="36"/>
          <w:rtl/>
        </w:rPr>
        <w:t xml:space="preserve"> </w:t>
      </w:r>
      <w:r w:rsidR="00992865" w:rsidRPr="00FD211F">
        <w:rPr>
          <w:sz w:val="36"/>
          <w:szCs w:val="36"/>
          <w:rtl/>
        </w:rPr>
        <w:t>ان</w:t>
      </w:r>
      <w:r w:rsidR="00E8128F">
        <w:rPr>
          <w:sz w:val="36"/>
          <w:szCs w:val="36"/>
          <w:rtl/>
        </w:rPr>
        <w:t xml:space="preserve"> </w:t>
      </w:r>
      <w:r w:rsidR="00992865" w:rsidRPr="00FD211F">
        <w:rPr>
          <w:sz w:val="36"/>
          <w:szCs w:val="36"/>
          <w:rtl/>
        </w:rPr>
        <w:t>روح</w:t>
      </w:r>
      <w:r w:rsidR="00E8128F">
        <w:rPr>
          <w:sz w:val="36"/>
          <w:szCs w:val="36"/>
          <w:rtl/>
        </w:rPr>
        <w:t xml:space="preserve"> </w:t>
      </w:r>
      <w:r w:rsidR="00992865" w:rsidRPr="00FD211F">
        <w:rPr>
          <w:sz w:val="36"/>
          <w:szCs w:val="36"/>
          <w:rtl/>
        </w:rPr>
        <w:t>هذا</w:t>
      </w:r>
      <w:r w:rsidR="00E8128F">
        <w:rPr>
          <w:sz w:val="36"/>
          <w:szCs w:val="36"/>
          <w:rtl/>
        </w:rPr>
        <w:t xml:space="preserve"> </w:t>
      </w:r>
      <w:r w:rsidR="00992865" w:rsidRPr="00FD211F">
        <w:rPr>
          <w:sz w:val="36"/>
          <w:szCs w:val="36"/>
          <w:rtl/>
        </w:rPr>
        <w:t>البحث</w:t>
      </w:r>
      <w:r w:rsidR="00E8128F">
        <w:rPr>
          <w:sz w:val="36"/>
          <w:szCs w:val="36"/>
          <w:rtl/>
        </w:rPr>
        <w:t xml:space="preserve"> </w:t>
      </w:r>
      <w:r w:rsidR="00992865" w:rsidRPr="00FD211F">
        <w:rPr>
          <w:sz w:val="36"/>
          <w:szCs w:val="36"/>
          <w:rtl/>
        </w:rPr>
        <w:t>هو</w:t>
      </w:r>
      <w:r w:rsidR="00E8128F">
        <w:rPr>
          <w:sz w:val="36"/>
          <w:szCs w:val="36"/>
          <w:rtl/>
        </w:rPr>
        <w:t xml:space="preserve"> </w:t>
      </w:r>
      <w:r w:rsidR="00992865" w:rsidRPr="00FD211F">
        <w:rPr>
          <w:sz w:val="36"/>
          <w:szCs w:val="36"/>
          <w:rtl/>
        </w:rPr>
        <w:t>اقتضاء</w:t>
      </w:r>
      <w:r w:rsidR="00E8128F">
        <w:rPr>
          <w:sz w:val="36"/>
          <w:szCs w:val="36"/>
          <w:rtl/>
        </w:rPr>
        <w:t xml:space="preserve"> </w:t>
      </w:r>
      <w:r w:rsidR="00992865" w:rsidRPr="00FD211F">
        <w:rPr>
          <w:sz w:val="36"/>
          <w:szCs w:val="36"/>
          <w:rtl/>
        </w:rPr>
        <w:t>النهي</w:t>
      </w:r>
      <w:r w:rsidR="00E8128F">
        <w:rPr>
          <w:sz w:val="36"/>
          <w:szCs w:val="36"/>
          <w:rtl/>
        </w:rPr>
        <w:t xml:space="preserve"> </w:t>
      </w:r>
      <w:r w:rsidR="00992865" w:rsidRPr="00FD211F">
        <w:rPr>
          <w:sz w:val="36"/>
          <w:szCs w:val="36"/>
          <w:rtl/>
        </w:rPr>
        <w:t>عن</w:t>
      </w:r>
      <w:r w:rsidR="00E8128F">
        <w:rPr>
          <w:sz w:val="36"/>
          <w:szCs w:val="36"/>
          <w:rtl/>
        </w:rPr>
        <w:t xml:space="preserve"> </w:t>
      </w:r>
      <w:r w:rsidR="00992865" w:rsidRPr="00FD211F">
        <w:rPr>
          <w:sz w:val="36"/>
          <w:szCs w:val="36"/>
          <w:rtl/>
        </w:rPr>
        <w:t>العباد</w:t>
      </w:r>
      <w:r w:rsidR="00EC7EDF" w:rsidRPr="00FD211F">
        <w:rPr>
          <w:sz w:val="36"/>
          <w:szCs w:val="36"/>
          <w:rtl/>
        </w:rPr>
        <w:t>ة</w:t>
      </w:r>
      <w:r w:rsidR="00E8128F">
        <w:rPr>
          <w:sz w:val="36"/>
          <w:szCs w:val="36"/>
          <w:rtl/>
        </w:rPr>
        <w:t xml:space="preserve"> </w:t>
      </w:r>
      <w:r w:rsidR="00992865" w:rsidRPr="00FD211F">
        <w:rPr>
          <w:sz w:val="36"/>
          <w:szCs w:val="36"/>
          <w:rtl/>
        </w:rPr>
        <w:t>للفساد</w:t>
      </w:r>
      <w:r w:rsidR="00603323" w:rsidRPr="00FD211F">
        <w:rPr>
          <w:sz w:val="36"/>
          <w:szCs w:val="36"/>
          <w:rtl/>
        </w:rPr>
        <w:t>،</w:t>
      </w:r>
      <w:r w:rsidR="00E8128F">
        <w:rPr>
          <w:sz w:val="36"/>
          <w:szCs w:val="36"/>
          <w:rtl/>
        </w:rPr>
        <w:t xml:space="preserve"> </w:t>
      </w:r>
      <w:r w:rsidR="00992865" w:rsidRPr="00FD211F">
        <w:rPr>
          <w:sz w:val="36"/>
          <w:szCs w:val="36"/>
          <w:rtl/>
        </w:rPr>
        <w:t>بل</w:t>
      </w:r>
      <w:r w:rsidR="00E8128F">
        <w:rPr>
          <w:sz w:val="36"/>
          <w:szCs w:val="36"/>
          <w:rtl/>
        </w:rPr>
        <w:t xml:space="preserve"> </w:t>
      </w:r>
      <w:r w:rsidR="00992865" w:rsidRPr="00FD211F">
        <w:rPr>
          <w:sz w:val="36"/>
          <w:szCs w:val="36"/>
          <w:rtl/>
        </w:rPr>
        <w:t>يتلائم</w:t>
      </w:r>
      <w:r w:rsidR="00E8128F">
        <w:rPr>
          <w:sz w:val="36"/>
          <w:szCs w:val="36"/>
          <w:rtl/>
        </w:rPr>
        <w:t xml:space="preserve"> </w:t>
      </w:r>
      <w:r w:rsidR="00992865" w:rsidRPr="00FD211F">
        <w:rPr>
          <w:sz w:val="36"/>
          <w:szCs w:val="36"/>
          <w:rtl/>
        </w:rPr>
        <w:t>مع</w:t>
      </w:r>
      <w:r w:rsidR="00E8128F">
        <w:rPr>
          <w:sz w:val="36"/>
          <w:szCs w:val="36"/>
          <w:rtl/>
        </w:rPr>
        <w:t xml:space="preserve"> </w:t>
      </w:r>
      <w:r w:rsidR="00992865" w:rsidRPr="00FD211F">
        <w:rPr>
          <w:sz w:val="36"/>
          <w:szCs w:val="36"/>
          <w:rtl/>
        </w:rPr>
        <w:t>ان</w:t>
      </w:r>
      <w:r w:rsidR="00E8128F">
        <w:rPr>
          <w:sz w:val="36"/>
          <w:szCs w:val="36"/>
          <w:rtl/>
        </w:rPr>
        <w:t xml:space="preserve"> </w:t>
      </w:r>
      <w:r w:rsidR="00992865" w:rsidRPr="00FD211F">
        <w:rPr>
          <w:sz w:val="36"/>
          <w:szCs w:val="36"/>
          <w:rtl/>
        </w:rPr>
        <w:t>تكون</w:t>
      </w:r>
      <w:r w:rsidR="00E8128F">
        <w:rPr>
          <w:sz w:val="36"/>
          <w:szCs w:val="36"/>
          <w:rtl/>
        </w:rPr>
        <w:t xml:space="preserve"> </w:t>
      </w:r>
      <w:r w:rsidR="00992865" w:rsidRPr="00FD211F">
        <w:rPr>
          <w:sz w:val="36"/>
          <w:szCs w:val="36"/>
          <w:rtl/>
        </w:rPr>
        <w:t>روح</w:t>
      </w:r>
      <w:r w:rsidR="00E8128F">
        <w:rPr>
          <w:sz w:val="36"/>
          <w:szCs w:val="36"/>
          <w:rtl/>
        </w:rPr>
        <w:t xml:space="preserve"> </w:t>
      </w:r>
      <w:r w:rsidR="00992865" w:rsidRPr="00FD211F">
        <w:rPr>
          <w:sz w:val="36"/>
          <w:szCs w:val="36"/>
          <w:rtl/>
        </w:rPr>
        <w:t>البحث</w:t>
      </w:r>
      <w:r w:rsidR="00E8128F">
        <w:rPr>
          <w:sz w:val="36"/>
          <w:szCs w:val="36"/>
          <w:rtl/>
        </w:rPr>
        <w:t xml:space="preserve"> </w:t>
      </w:r>
      <w:r w:rsidR="00992865" w:rsidRPr="00FD211F">
        <w:rPr>
          <w:sz w:val="36"/>
          <w:szCs w:val="36"/>
          <w:rtl/>
        </w:rPr>
        <w:t>هو</w:t>
      </w:r>
      <w:r w:rsidR="00E8128F">
        <w:rPr>
          <w:sz w:val="36"/>
          <w:szCs w:val="36"/>
          <w:rtl/>
        </w:rPr>
        <w:t xml:space="preserve"> </w:t>
      </w:r>
      <w:r w:rsidR="00C26EFF" w:rsidRPr="00FD211F">
        <w:rPr>
          <w:sz w:val="36"/>
          <w:szCs w:val="36"/>
          <w:rtl/>
        </w:rPr>
        <w:t>البحث</w:t>
      </w:r>
      <w:r w:rsidR="00E8128F">
        <w:rPr>
          <w:sz w:val="36"/>
          <w:szCs w:val="36"/>
          <w:rtl/>
        </w:rPr>
        <w:t xml:space="preserve"> </w:t>
      </w:r>
      <w:r w:rsidR="00C26EFF" w:rsidRPr="00FD211F">
        <w:rPr>
          <w:sz w:val="36"/>
          <w:szCs w:val="36"/>
          <w:rtl/>
        </w:rPr>
        <w:t>عن</w:t>
      </w:r>
      <w:r w:rsidR="00E8128F">
        <w:rPr>
          <w:sz w:val="36"/>
          <w:szCs w:val="36"/>
          <w:rtl/>
        </w:rPr>
        <w:t xml:space="preserve"> </w:t>
      </w:r>
      <w:r w:rsidR="00C26EFF" w:rsidRPr="00FD211F">
        <w:rPr>
          <w:sz w:val="36"/>
          <w:szCs w:val="36"/>
          <w:rtl/>
        </w:rPr>
        <w:t>بطلان</w:t>
      </w:r>
      <w:r w:rsidR="00E8128F">
        <w:rPr>
          <w:sz w:val="36"/>
          <w:szCs w:val="36"/>
          <w:rtl/>
        </w:rPr>
        <w:t xml:space="preserve"> </w:t>
      </w:r>
      <w:r w:rsidR="00C26EFF" w:rsidRPr="00FD211F">
        <w:rPr>
          <w:sz w:val="36"/>
          <w:szCs w:val="36"/>
          <w:rtl/>
        </w:rPr>
        <w:t>العباد</w:t>
      </w:r>
      <w:r w:rsidR="00EC7EDF" w:rsidRPr="00FD211F">
        <w:rPr>
          <w:sz w:val="36"/>
          <w:szCs w:val="36"/>
          <w:rtl/>
        </w:rPr>
        <w:t>ة</w:t>
      </w:r>
      <w:r w:rsidR="00E8128F">
        <w:rPr>
          <w:sz w:val="36"/>
          <w:szCs w:val="36"/>
          <w:rtl/>
        </w:rPr>
        <w:t xml:space="preserve"> </w:t>
      </w:r>
      <w:r w:rsidR="00C26EFF" w:rsidRPr="00FD211F">
        <w:rPr>
          <w:sz w:val="36"/>
          <w:szCs w:val="36"/>
          <w:rtl/>
        </w:rPr>
        <w:t>المنهي</w:t>
      </w:r>
      <w:r w:rsidR="00E8128F">
        <w:rPr>
          <w:sz w:val="36"/>
          <w:szCs w:val="36"/>
          <w:rtl/>
        </w:rPr>
        <w:t xml:space="preserve"> </w:t>
      </w:r>
      <w:r w:rsidR="00C26EFF" w:rsidRPr="00FD211F">
        <w:rPr>
          <w:sz w:val="36"/>
          <w:szCs w:val="36"/>
          <w:rtl/>
        </w:rPr>
        <w:t>عنها</w:t>
      </w:r>
      <w:r w:rsidR="00603323" w:rsidRPr="00FD211F">
        <w:rPr>
          <w:sz w:val="36"/>
          <w:szCs w:val="36"/>
          <w:rtl/>
        </w:rPr>
        <w:t>،</w:t>
      </w:r>
      <w:r w:rsidR="00E8128F">
        <w:rPr>
          <w:sz w:val="36"/>
          <w:szCs w:val="36"/>
          <w:rtl/>
        </w:rPr>
        <w:t xml:space="preserve"> </w:t>
      </w:r>
      <w:r w:rsidR="00C26EFF" w:rsidRPr="00FD211F">
        <w:rPr>
          <w:sz w:val="36"/>
          <w:szCs w:val="36"/>
          <w:rtl/>
        </w:rPr>
        <w:t>ويجعل</w:t>
      </w:r>
      <w:r w:rsidR="00E8128F">
        <w:rPr>
          <w:sz w:val="36"/>
          <w:szCs w:val="36"/>
          <w:rtl/>
        </w:rPr>
        <w:t xml:space="preserve"> </w:t>
      </w:r>
      <w:r w:rsidR="00C26EFF" w:rsidRPr="00FD211F">
        <w:rPr>
          <w:sz w:val="36"/>
          <w:szCs w:val="36"/>
          <w:rtl/>
        </w:rPr>
        <w:t>اقتضاء</w:t>
      </w:r>
      <w:r w:rsidR="00E8128F">
        <w:rPr>
          <w:sz w:val="36"/>
          <w:szCs w:val="36"/>
          <w:rtl/>
        </w:rPr>
        <w:t xml:space="preserve"> </w:t>
      </w:r>
      <w:r w:rsidR="00C26EFF" w:rsidRPr="00FD211F">
        <w:rPr>
          <w:sz w:val="36"/>
          <w:szCs w:val="36"/>
          <w:rtl/>
        </w:rPr>
        <w:t>النهي</w:t>
      </w:r>
      <w:r w:rsidR="00E8128F">
        <w:rPr>
          <w:sz w:val="36"/>
          <w:szCs w:val="36"/>
          <w:rtl/>
        </w:rPr>
        <w:t xml:space="preserve"> </w:t>
      </w:r>
      <w:r w:rsidR="00C26EFF" w:rsidRPr="00FD211F">
        <w:rPr>
          <w:sz w:val="36"/>
          <w:szCs w:val="36"/>
          <w:rtl/>
        </w:rPr>
        <w:t>عن</w:t>
      </w:r>
      <w:r w:rsidR="00E8128F">
        <w:rPr>
          <w:sz w:val="36"/>
          <w:szCs w:val="36"/>
          <w:rtl/>
        </w:rPr>
        <w:t xml:space="preserve"> </w:t>
      </w:r>
      <w:r w:rsidR="00C26EFF" w:rsidRPr="00FD211F">
        <w:rPr>
          <w:sz w:val="36"/>
          <w:szCs w:val="36"/>
          <w:rtl/>
        </w:rPr>
        <w:t>العباد</w:t>
      </w:r>
      <w:r w:rsidR="00EC7EDF" w:rsidRPr="00FD211F">
        <w:rPr>
          <w:sz w:val="36"/>
          <w:szCs w:val="36"/>
          <w:rtl/>
        </w:rPr>
        <w:t>ة</w:t>
      </w:r>
      <w:r w:rsidR="00E8128F">
        <w:rPr>
          <w:sz w:val="36"/>
          <w:szCs w:val="36"/>
          <w:rtl/>
        </w:rPr>
        <w:t xml:space="preserve"> </w:t>
      </w:r>
      <w:r w:rsidR="00C26EFF" w:rsidRPr="00FD211F">
        <w:rPr>
          <w:sz w:val="36"/>
          <w:szCs w:val="36"/>
          <w:rtl/>
        </w:rPr>
        <w:t>لفسادها</w:t>
      </w:r>
      <w:r w:rsidR="00E8128F">
        <w:rPr>
          <w:sz w:val="36"/>
          <w:szCs w:val="36"/>
          <w:rtl/>
        </w:rPr>
        <w:t xml:space="preserve"> </w:t>
      </w:r>
      <w:r w:rsidR="00C26EFF" w:rsidRPr="00FD211F">
        <w:rPr>
          <w:sz w:val="36"/>
          <w:szCs w:val="36"/>
          <w:rtl/>
        </w:rPr>
        <w:t>دليلا</w:t>
      </w:r>
      <w:r w:rsidR="00E8128F">
        <w:rPr>
          <w:sz w:val="36"/>
          <w:szCs w:val="36"/>
          <w:rtl/>
        </w:rPr>
        <w:t xml:space="preserve"> </w:t>
      </w:r>
      <w:r w:rsidR="00C26EFF" w:rsidRPr="00FD211F">
        <w:rPr>
          <w:sz w:val="36"/>
          <w:szCs w:val="36"/>
          <w:rtl/>
        </w:rPr>
        <w:t>عليه</w:t>
      </w:r>
      <w:r w:rsidR="00603323" w:rsidRPr="00FD211F">
        <w:rPr>
          <w:sz w:val="36"/>
          <w:szCs w:val="36"/>
          <w:rtl/>
        </w:rPr>
        <w:t>،</w:t>
      </w:r>
      <w:r w:rsidR="00E8128F">
        <w:rPr>
          <w:sz w:val="36"/>
          <w:szCs w:val="36"/>
          <w:rtl/>
        </w:rPr>
        <w:t xml:space="preserve"> </w:t>
      </w:r>
      <w:r w:rsidR="00C26EFF" w:rsidRPr="00FD211F">
        <w:rPr>
          <w:sz w:val="36"/>
          <w:szCs w:val="36"/>
          <w:rtl/>
        </w:rPr>
        <w:t>وهكذا</w:t>
      </w:r>
      <w:r w:rsidR="00E8128F">
        <w:rPr>
          <w:sz w:val="36"/>
          <w:szCs w:val="36"/>
          <w:rtl/>
        </w:rPr>
        <w:t xml:space="preserve"> </w:t>
      </w:r>
      <w:r w:rsidR="00C26EFF" w:rsidRPr="00FD211F">
        <w:rPr>
          <w:sz w:val="36"/>
          <w:szCs w:val="36"/>
          <w:rtl/>
        </w:rPr>
        <w:t>لو</w:t>
      </w:r>
      <w:r w:rsidR="00E8128F">
        <w:rPr>
          <w:sz w:val="36"/>
          <w:szCs w:val="36"/>
          <w:rtl/>
        </w:rPr>
        <w:t xml:space="preserve"> </w:t>
      </w:r>
      <w:r w:rsidR="00C26EFF" w:rsidRPr="00FD211F">
        <w:rPr>
          <w:sz w:val="36"/>
          <w:szCs w:val="36"/>
          <w:rtl/>
        </w:rPr>
        <w:t>كان</w:t>
      </w:r>
      <w:r w:rsidR="00E8128F">
        <w:rPr>
          <w:sz w:val="36"/>
          <w:szCs w:val="36"/>
          <w:rtl/>
        </w:rPr>
        <w:t xml:space="preserve"> </w:t>
      </w:r>
      <w:r w:rsidR="00C26EFF" w:rsidRPr="00FD211F">
        <w:rPr>
          <w:sz w:val="36"/>
          <w:szCs w:val="36"/>
          <w:rtl/>
        </w:rPr>
        <w:t>عنوان</w:t>
      </w:r>
      <w:r w:rsidR="00E8128F">
        <w:rPr>
          <w:sz w:val="36"/>
          <w:szCs w:val="36"/>
          <w:rtl/>
        </w:rPr>
        <w:t xml:space="preserve"> </w:t>
      </w:r>
      <w:r w:rsidR="00C26EFF" w:rsidRPr="00FD211F">
        <w:rPr>
          <w:sz w:val="36"/>
          <w:szCs w:val="36"/>
          <w:rtl/>
        </w:rPr>
        <w:t>البحث</w:t>
      </w:r>
      <w:r w:rsidR="00E8128F">
        <w:rPr>
          <w:sz w:val="36"/>
          <w:szCs w:val="36"/>
          <w:rtl/>
        </w:rPr>
        <w:t xml:space="preserve"> </w:t>
      </w:r>
      <w:r w:rsidR="00C26EFF" w:rsidRPr="00FD211F">
        <w:rPr>
          <w:sz w:val="36"/>
          <w:szCs w:val="36"/>
          <w:rtl/>
        </w:rPr>
        <w:t>في</w:t>
      </w:r>
      <w:r w:rsidR="00E8128F">
        <w:rPr>
          <w:sz w:val="36"/>
          <w:szCs w:val="36"/>
          <w:rtl/>
        </w:rPr>
        <w:t xml:space="preserve"> </w:t>
      </w:r>
      <w:r w:rsidR="00C26EFF" w:rsidRPr="00FD211F">
        <w:rPr>
          <w:sz w:val="36"/>
          <w:szCs w:val="36"/>
          <w:rtl/>
        </w:rPr>
        <w:t>مقدم</w:t>
      </w:r>
      <w:r w:rsidR="00EC7EDF" w:rsidRPr="00FD211F">
        <w:rPr>
          <w:sz w:val="36"/>
          <w:szCs w:val="36"/>
          <w:rtl/>
        </w:rPr>
        <w:t>ة</w:t>
      </w:r>
      <w:r w:rsidR="00E8128F">
        <w:rPr>
          <w:sz w:val="36"/>
          <w:szCs w:val="36"/>
          <w:rtl/>
        </w:rPr>
        <w:t xml:space="preserve"> </w:t>
      </w:r>
      <w:r w:rsidR="00C26EFF" w:rsidRPr="00FD211F">
        <w:rPr>
          <w:sz w:val="36"/>
          <w:szCs w:val="36"/>
          <w:rtl/>
        </w:rPr>
        <w:t>الواجب</w:t>
      </w:r>
      <w:r w:rsidR="00E8128F">
        <w:rPr>
          <w:sz w:val="36"/>
          <w:szCs w:val="36"/>
          <w:rtl/>
        </w:rPr>
        <w:t xml:space="preserve"> </w:t>
      </w:r>
      <w:r w:rsidR="00C26EFF" w:rsidRPr="00FD211F">
        <w:rPr>
          <w:sz w:val="36"/>
          <w:szCs w:val="36"/>
          <w:rtl/>
        </w:rPr>
        <w:t>هو</w:t>
      </w:r>
      <w:r w:rsidR="00E8128F">
        <w:rPr>
          <w:sz w:val="36"/>
          <w:szCs w:val="36"/>
          <w:rtl/>
        </w:rPr>
        <w:t xml:space="preserve"> </w:t>
      </w:r>
      <w:r w:rsidR="00C26EFF" w:rsidRPr="00FD211F">
        <w:rPr>
          <w:sz w:val="36"/>
          <w:szCs w:val="36"/>
          <w:rtl/>
        </w:rPr>
        <w:t>ان</w:t>
      </w:r>
      <w:r w:rsidR="00E8128F">
        <w:rPr>
          <w:sz w:val="36"/>
          <w:szCs w:val="36"/>
          <w:rtl/>
        </w:rPr>
        <w:t xml:space="preserve"> </w:t>
      </w:r>
      <w:r w:rsidR="00C26EFF" w:rsidRPr="00FD211F">
        <w:rPr>
          <w:sz w:val="36"/>
          <w:szCs w:val="36"/>
          <w:rtl/>
        </w:rPr>
        <w:t>مقدم</w:t>
      </w:r>
      <w:r w:rsidR="00EC7EDF" w:rsidRPr="00FD211F">
        <w:rPr>
          <w:sz w:val="36"/>
          <w:szCs w:val="36"/>
          <w:rtl/>
        </w:rPr>
        <w:t>ة</w:t>
      </w:r>
      <w:r w:rsidR="00E8128F">
        <w:rPr>
          <w:sz w:val="36"/>
          <w:szCs w:val="36"/>
          <w:rtl/>
        </w:rPr>
        <w:t xml:space="preserve"> </w:t>
      </w:r>
      <w:r w:rsidR="00C26EFF" w:rsidRPr="00FD211F">
        <w:rPr>
          <w:sz w:val="36"/>
          <w:szCs w:val="36"/>
          <w:rtl/>
        </w:rPr>
        <w:t>الواجب</w:t>
      </w:r>
      <w:r w:rsidR="00E8128F">
        <w:rPr>
          <w:sz w:val="36"/>
          <w:szCs w:val="36"/>
          <w:rtl/>
        </w:rPr>
        <w:t xml:space="preserve"> </w:t>
      </w:r>
      <w:r w:rsidR="00C26EFF" w:rsidRPr="00FD211F">
        <w:rPr>
          <w:sz w:val="36"/>
          <w:szCs w:val="36"/>
          <w:rtl/>
        </w:rPr>
        <w:t>واجب</w:t>
      </w:r>
      <w:r w:rsidR="00EC7EDF" w:rsidRPr="00FD211F">
        <w:rPr>
          <w:sz w:val="36"/>
          <w:szCs w:val="36"/>
          <w:rtl/>
        </w:rPr>
        <w:t>ة</w:t>
      </w:r>
      <w:r w:rsidR="00603323" w:rsidRPr="00FD211F">
        <w:rPr>
          <w:sz w:val="36"/>
          <w:szCs w:val="36"/>
          <w:rtl/>
        </w:rPr>
        <w:t>،</w:t>
      </w:r>
      <w:r w:rsidR="00E8128F">
        <w:rPr>
          <w:sz w:val="36"/>
          <w:szCs w:val="36"/>
          <w:rtl/>
        </w:rPr>
        <w:t xml:space="preserve"> </w:t>
      </w:r>
      <w:r w:rsidR="00992865" w:rsidRPr="00FD211F">
        <w:rPr>
          <w:sz w:val="36"/>
          <w:szCs w:val="36"/>
          <w:rtl/>
        </w:rPr>
        <w:t>فيتلائم</w:t>
      </w:r>
      <w:r w:rsidR="00E8128F">
        <w:rPr>
          <w:sz w:val="36"/>
          <w:szCs w:val="36"/>
          <w:rtl/>
        </w:rPr>
        <w:t xml:space="preserve"> </w:t>
      </w:r>
      <w:r w:rsidR="00992865" w:rsidRPr="00FD211F">
        <w:rPr>
          <w:sz w:val="36"/>
          <w:szCs w:val="36"/>
          <w:rtl/>
        </w:rPr>
        <w:t>مع</w:t>
      </w:r>
      <w:r w:rsidR="00E8128F">
        <w:rPr>
          <w:sz w:val="36"/>
          <w:szCs w:val="36"/>
          <w:rtl/>
        </w:rPr>
        <w:t xml:space="preserve"> </w:t>
      </w:r>
      <w:r w:rsidR="00992865" w:rsidRPr="00FD211F">
        <w:rPr>
          <w:sz w:val="36"/>
          <w:szCs w:val="36"/>
          <w:rtl/>
        </w:rPr>
        <w:t>كون</w:t>
      </w:r>
      <w:r w:rsidR="00E8128F">
        <w:rPr>
          <w:sz w:val="36"/>
          <w:szCs w:val="36"/>
          <w:rtl/>
        </w:rPr>
        <w:t xml:space="preserve"> </w:t>
      </w:r>
      <w:r w:rsidR="00E36D01" w:rsidRPr="00FD211F">
        <w:rPr>
          <w:sz w:val="36"/>
          <w:szCs w:val="36"/>
          <w:rtl/>
        </w:rPr>
        <w:t>روح</w:t>
      </w:r>
      <w:r w:rsidR="00E8128F">
        <w:rPr>
          <w:sz w:val="36"/>
          <w:szCs w:val="36"/>
          <w:rtl/>
        </w:rPr>
        <w:t xml:space="preserve"> </w:t>
      </w:r>
      <w:r w:rsidR="00E36D01" w:rsidRPr="00FD211F">
        <w:rPr>
          <w:sz w:val="36"/>
          <w:szCs w:val="36"/>
          <w:rtl/>
        </w:rPr>
        <w:t>البحث</w:t>
      </w:r>
      <w:r w:rsidR="00E8128F">
        <w:rPr>
          <w:sz w:val="36"/>
          <w:szCs w:val="36"/>
          <w:rtl/>
        </w:rPr>
        <w:t xml:space="preserve"> </w:t>
      </w:r>
      <w:r w:rsidR="00E36D01" w:rsidRPr="00FD211F">
        <w:rPr>
          <w:sz w:val="36"/>
          <w:szCs w:val="36"/>
          <w:rtl/>
        </w:rPr>
        <w:t>هو</w:t>
      </w:r>
      <w:r w:rsidR="00E8128F">
        <w:rPr>
          <w:sz w:val="36"/>
          <w:szCs w:val="36"/>
          <w:rtl/>
        </w:rPr>
        <w:t xml:space="preserve"> </w:t>
      </w:r>
      <w:r w:rsidR="00E36D01" w:rsidRPr="00FD211F">
        <w:rPr>
          <w:sz w:val="36"/>
          <w:szCs w:val="36"/>
          <w:rtl/>
        </w:rPr>
        <w:t>البحث</w:t>
      </w:r>
      <w:r w:rsidR="00E8128F">
        <w:rPr>
          <w:sz w:val="36"/>
          <w:szCs w:val="36"/>
          <w:rtl/>
        </w:rPr>
        <w:t xml:space="preserve"> </w:t>
      </w:r>
      <w:r w:rsidR="00E36D01" w:rsidRPr="00FD211F">
        <w:rPr>
          <w:sz w:val="36"/>
          <w:szCs w:val="36"/>
          <w:rtl/>
        </w:rPr>
        <w:t>عن</w:t>
      </w:r>
      <w:r w:rsidR="00E8128F">
        <w:rPr>
          <w:sz w:val="36"/>
          <w:szCs w:val="36"/>
          <w:rtl/>
        </w:rPr>
        <w:t xml:space="preserve"> </w:t>
      </w:r>
      <w:r w:rsidR="00E36D01" w:rsidRPr="00FD211F">
        <w:rPr>
          <w:sz w:val="36"/>
          <w:szCs w:val="36"/>
          <w:rtl/>
        </w:rPr>
        <w:t>وجوب</w:t>
      </w:r>
      <w:r w:rsidR="00E8128F">
        <w:rPr>
          <w:sz w:val="36"/>
          <w:szCs w:val="36"/>
          <w:rtl/>
        </w:rPr>
        <w:t xml:space="preserve"> </w:t>
      </w:r>
      <w:r w:rsidR="00E36D01" w:rsidRPr="00FD211F">
        <w:rPr>
          <w:sz w:val="36"/>
          <w:szCs w:val="36"/>
          <w:rtl/>
        </w:rPr>
        <w:t>المقدم</w:t>
      </w:r>
      <w:r w:rsidR="00EC7EDF" w:rsidRPr="00FD211F">
        <w:rPr>
          <w:sz w:val="36"/>
          <w:szCs w:val="36"/>
          <w:rtl/>
        </w:rPr>
        <w:t>ة</w:t>
      </w:r>
      <w:r w:rsidR="00E8128F">
        <w:rPr>
          <w:sz w:val="36"/>
          <w:szCs w:val="36"/>
          <w:rtl/>
        </w:rPr>
        <w:t xml:space="preserve"> </w:t>
      </w:r>
      <w:r w:rsidR="00E36D01" w:rsidRPr="00FD211F">
        <w:rPr>
          <w:sz w:val="36"/>
          <w:szCs w:val="36"/>
          <w:rtl/>
        </w:rPr>
        <w:t>شرعا</w:t>
      </w:r>
      <w:r w:rsidR="00603323" w:rsidRPr="00FD211F">
        <w:rPr>
          <w:sz w:val="36"/>
          <w:szCs w:val="36"/>
          <w:rtl/>
        </w:rPr>
        <w:t>،</w:t>
      </w:r>
      <w:r w:rsidR="00E8128F">
        <w:rPr>
          <w:sz w:val="36"/>
          <w:szCs w:val="36"/>
          <w:rtl/>
        </w:rPr>
        <w:t xml:space="preserve"> </w:t>
      </w:r>
      <w:r w:rsidR="00E36D01" w:rsidRPr="00FD211F">
        <w:rPr>
          <w:sz w:val="36"/>
          <w:szCs w:val="36"/>
          <w:rtl/>
        </w:rPr>
        <w:t>وانما</w:t>
      </w:r>
      <w:r w:rsidR="00E8128F">
        <w:rPr>
          <w:sz w:val="36"/>
          <w:szCs w:val="36"/>
          <w:rtl/>
        </w:rPr>
        <w:t xml:space="preserve"> </w:t>
      </w:r>
      <w:r w:rsidR="00E36D01" w:rsidRPr="00FD211F">
        <w:rPr>
          <w:sz w:val="36"/>
          <w:szCs w:val="36"/>
          <w:rtl/>
        </w:rPr>
        <w:t>يجعل</w:t>
      </w:r>
      <w:r w:rsidR="00E8128F">
        <w:rPr>
          <w:sz w:val="36"/>
          <w:szCs w:val="36"/>
          <w:rtl/>
        </w:rPr>
        <w:t xml:space="preserve"> </w:t>
      </w:r>
      <w:r w:rsidR="00E36D01" w:rsidRPr="00FD211F">
        <w:rPr>
          <w:sz w:val="36"/>
          <w:szCs w:val="36"/>
          <w:rtl/>
        </w:rPr>
        <w:t>حكم</w:t>
      </w:r>
      <w:r w:rsidR="00E8128F">
        <w:rPr>
          <w:sz w:val="36"/>
          <w:szCs w:val="36"/>
          <w:rtl/>
        </w:rPr>
        <w:t xml:space="preserve"> </w:t>
      </w:r>
      <w:r w:rsidR="00E36D01" w:rsidRPr="00FD211F">
        <w:rPr>
          <w:sz w:val="36"/>
          <w:szCs w:val="36"/>
          <w:rtl/>
        </w:rPr>
        <w:t>العقل</w:t>
      </w:r>
      <w:r w:rsidR="00E8128F">
        <w:rPr>
          <w:sz w:val="36"/>
          <w:szCs w:val="36"/>
          <w:rtl/>
        </w:rPr>
        <w:t xml:space="preserve"> </w:t>
      </w:r>
      <w:r w:rsidR="00E36D01" w:rsidRPr="00FD211F">
        <w:rPr>
          <w:sz w:val="36"/>
          <w:szCs w:val="36"/>
          <w:rtl/>
        </w:rPr>
        <w:t>بالملازم</w:t>
      </w:r>
      <w:r w:rsidR="00EC7EDF" w:rsidRPr="00FD211F">
        <w:rPr>
          <w:sz w:val="36"/>
          <w:szCs w:val="36"/>
          <w:rtl/>
        </w:rPr>
        <w:t>ة</w:t>
      </w:r>
      <w:r w:rsidR="00E8128F">
        <w:rPr>
          <w:sz w:val="36"/>
          <w:szCs w:val="36"/>
          <w:rtl/>
        </w:rPr>
        <w:t xml:space="preserve"> </w:t>
      </w:r>
      <w:r w:rsidR="00E36D01" w:rsidRPr="00FD211F">
        <w:rPr>
          <w:sz w:val="36"/>
          <w:szCs w:val="36"/>
          <w:rtl/>
        </w:rPr>
        <w:t>بين</w:t>
      </w:r>
      <w:r w:rsidR="00E8128F">
        <w:rPr>
          <w:sz w:val="36"/>
          <w:szCs w:val="36"/>
          <w:rtl/>
        </w:rPr>
        <w:t xml:space="preserve"> </w:t>
      </w:r>
      <w:r w:rsidR="00E36D01" w:rsidRPr="00FD211F">
        <w:rPr>
          <w:sz w:val="36"/>
          <w:szCs w:val="36"/>
          <w:rtl/>
        </w:rPr>
        <w:t>وجوب</w:t>
      </w:r>
      <w:r w:rsidR="00E8128F">
        <w:rPr>
          <w:sz w:val="36"/>
          <w:szCs w:val="36"/>
          <w:rtl/>
        </w:rPr>
        <w:t xml:space="preserve"> </w:t>
      </w:r>
      <w:r w:rsidR="00E36D01" w:rsidRPr="00FD211F">
        <w:rPr>
          <w:sz w:val="36"/>
          <w:szCs w:val="36"/>
          <w:rtl/>
        </w:rPr>
        <w:t>ذي</w:t>
      </w:r>
      <w:r w:rsidR="00E8128F">
        <w:rPr>
          <w:sz w:val="36"/>
          <w:szCs w:val="36"/>
          <w:rtl/>
        </w:rPr>
        <w:t xml:space="preserve"> </w:t>
      </w:r>
      <w:r w:rsidR="00E36D01" w:rsidRPr="00FD211F">
        <w:rPr>
          <w:sz w:val="36"/>
          <w:szCs w:val="36"/>
          <w:rtl/>
        </w:rPr>
        <w:t>المقدم</w:t>
      </w:r>
      <w:r w:rsidR="00EC7EDF" w:rsidRPr="00FD211F">
        <w:rPr>
          <w:sz w:val="36"/>
          <w:szCs w:val="36"/>
          <w:rtl/>
        </w:rPr>
        <w:t>ة</w:t>
      </w:r>
      <w:r w:rsidR="00E8128F">
        <w:rPr>
          <w:sz w:val="36"/>
          <w:szCs w:val="36"/>
          <w:rtl/>
        </w:rPr>
        <w:t xml:space="preserve"> </w:t>
      </w:r>
      <w:r w:rsidR="00E36D01" w:rsidRPr="00FD211F">
        <w:rPr>
          <w:sz w:val="36"/>
          <w:szCs w:val="36"/>
          <w:rtl/>
        </w:rPr>
        <w:t>ووجوب</w:t>
      </w:r>
      <w:r w:rsidR="00E8128F">
        <w:rPr>
          <w:sz w:val="36"/>
          <w:szCs w:val="36"/>
          <w:rtl/>
        </w:rPr>
        <w:t xml:space="preserve"> </w:t>
      </w:r>
      <w:r w:rsidR="00E36D01" w:rsidRPr="00FD211F">
        <w:rPr>
          <w:sz w:val="36"/>
          <w:szCs w:val="36"/>
          <w:rtl/>
        </w:rPr>
        <w:t>مقدمته</w:t>
      </w:r>
      <w:r w:rsidR="00E8128F">
        <w:rPr>
          <w:sz w:val="36"/>
          <w:szCs w:val="36"/>
          <w:rtl/>
        </w:rPr>
        <w:t xml:space="preserve"> </w:t>
      </w:r>
      <w:r w:rsidR="00E36D01" w:rsidRPr="00FD211F">
        <w:rPr>
          <w:sz w:val="36"/>
          <w:szCs w:val="36"/>
          <w:rtl/>
        </w:rPr>
        <w:t>دليلا</w:t>
      </w:r>
      <w:r w:rsidR="00E8128F">
        <w:rPr>
          <w:sz w:val="36"/>
          <w:szCs w:val="36"/>
          <w:rtl/>
        </w:rPr>
        <w:t xml:space="preserve"> </w:t>
      </w:r>
      <w:r w:rsidR="00E36D01" w:rsidRPr="00FD211F">
        <w:rPr>
          <w:sz w:val="36"/>
          <w:szCs w:val="36"/>
          <w:rtl/>
        </w:rPr>
        <w:t>عليه</w:t>
      </w:r>
      <w:r w:rsidR="00603323" w:rsidRPr="00FD211F">
        <w:rPr>
          <w:sz w:val="36"/>
          <w:szCs w:val="36"/>
          <w:rtl/>
        </w:rPr>
        <w:t>،</w:t>
      </w:r>
      <w:r w:rsidR="00E8128F">
        <w:rPr>
          <w:sz w:val="36"/>
          <w:szCs w:val="36"/>
          <w:rtl/>
        </w:rPr>
        <w:t xml:space="preserve"> </w:t>
      </w:r>
      <w:r w:rsidR="00E36D01" w:rsidRPr="00FD211F">
        <w:rPr>
          <w:sz w:val="36"/>
          <w:szCs w:val="36"/>
          <w:rtl/>
        </w:rPr>
        <w:t>وهكذا</w:t>
      </w:r>
      <w:r w:rsidR="00E8128F">
        <w:rPr>
          <w:sz w:val="36"/>
          <w:szCs w:val="36"/>
          <w:rtl/>
        </w:rPr>
        <w:t xml:space="preserve"> </w:t>
      </w:r>
      <w:r w:rsidR="00E36D01" w:rsidRPr="00FD211F">
        <w:rPr>
          <w:sz w:val="36"/>
          <w:szCs w:val="36"/>
          <w:rtl/>
        </w:rPr>
        <w:t>لو</w:t>
      </w:r>
      <w:r w:rsidR="00E8128F">
        <w:rPr>
          <w:sz w:val="36"/>
          <w:szCs w:val="36"/>
          <w:rtl/>
        </w:rPr>
        <w:t xml:space="preserve"> </w:t>
      </w:r>
      <w:r w:rsidR="00E36D01" w:rsidRPr="00FD211F">
        <w:rPr>
          <w:sz w:val="36"/>
          <w:szCs w:val="36"/>
          <w:rtl/>
        </w:rPr>
        <w:t>كان</w:t>
      </w:r>
      <w:r w:rsidR="00E8128F">
        <w:rPr>
          <w:sz w:val="36"/>
          <w:szCs w:val="36"/>
          <w:rtl/>
        </w:rPr>
        <w:t xml:space="preserve"> </w:t>
      </w:r>
      <w:r w:rsidR="00E36D01" w:rsidRPr="00FD211F">
        <w:rPr>
          <w:sz w:val="36"/>
          <w:szCs w:val="36"/>
          <w:rtl/>
        </w:rPr>
        <w:t>عنوان</w:t>
      </w:r>
      <w:r w:rsidR="00E8128F">
        <w:rPr>
          <w:sz w:val="36"/>
          <w:szCs w:val="36"/>
          <w:rtl/>
        </w:rPr>
        <w:t xml:space="preserve"> </w:t>
      </w:r>
      <w:r w:rsidR="00E36D01" w:rsidRPr="00FD211F">
        <w:rPr>
          <w:sz w:val="36"/>
          <w:szCs w:val="36"/>
          <w:rtl/>
        </w:rPr>
        <w:t>البحث</w:t>
      </w:r>
      <w:r w:rsidR="00E8128F">
        <w:rPr>
          <w:sz w:val="36"/>
          <w:szCs w:val="36"/>
          <w:rtl/>
        </w:rPr>
        <w:t xml:space="preserve"> </w:t>
      </w:r>
      <w:r w:rsidR="00E36D01" w:rsidRPr="00FD211F">
        <w:rPr>
          <w:sz w:val="36"/>
          <w:szCs w:val="36"/>
          <w:rtl/>
        </w:rPr>
        <w:t>هو</w:t>
      </w:r>
      <w:r w:rsidR="00E8128F">
        <w:rPr>
          <w:sz w:val="36"/>
          <w:szCs w:val="36"/>
          <w:rtl/>
        </w:rPr>
        <w:t xml:space="preserve"> </w:t>
      </w:r>
      <w:r w:rsidR="00E36D01" w:rsidRPr="00FD211F">
        <w:rPr>
          <w:sz w:val="36"/>
          <w:szCs w:val="36"/>
          <w:rtl/>
        </w:rPr>
        <w:t>حرم</w:t>
      </w:r>
      <w:r w:rsidR="00EC7EDF" w:rsidRPr="00FD211F">
        <w:rPr>
          <w:sz w:val="36"/>
          <w:szCs w:val="36"/>
          <w:rtl/>
        </w:rPr>
        <w:t>ة</w:t>
      </w:r>
      <w:r w:rsidR="00E8128F">
        <w:rPr>
          <w:sz w:val="36"/>
          <w:szCs w:val="36"/>
          <w:rtl/>
        </w:rPr>
        <w:t xml:space="preserve"> </w:t>
      </w:r>
      <w:r w:rsidR="00E36D01" w:rsidRPr="00FD211F">
        <w:rPr>
          <w:sz w:val="36"/>
          <w:szCs w:val="36"/>
          <w:rtl/>
        </w:rPr>
        <w:t>ما</w:t>
      </w:r>
      <w:r w:rsidR="00E8128F">
        <w:rPr>
          <w:sz w:val="36"/>
          <w:szCs w:val="36"/>
          <w:rtl/>
        </w:rPr>
        <w:t xml:space="preserve"> </w:t>
      </w:r>
      <w:r w:rsidR="00E36D01" w:rsidRPr="00FD211F">
        <w:rPr>
          <w:sz w:val="36"/>
          <w:szCs w:val="36"/>
          <w:rtl/>
        </w:rPr>
        <w:t>حكم</w:t>
      </w:r>
      <w:r w:rsidR="00E8128F">
        <w:rPr>
          <w:sz w:val="36"/>
          <w:szCs w:val="36"/>
          <w:rtl/>
        </w:rPr>
        <w:t xml:space="preserve"> </w:t>
      </w:r>
      <w:r w:rsidR="00E36D01" w:rsidRPr="00FD211F">
        <w:rPr>
          <w:sz w:val="36"/>
          <w:szCs w:val="36"/>
          <w:rtl/>
        </w:rPr>
        <w:t>العقل</w:t>
      </w:r>
      <w:r w:rsidR="00E8128F">
        <w:rPr>
          <w:sz w:val="36"/>
          <w:szCs w:val="36"/>
          <w:rtl/>
        </w:rPr>
        <w:t xml:space="preserve"> </w:t>
      </w:r>
      <w:r w:rsidR="00E36D01" w:rsidRPr="00FD211F">
        <w:rPr>
          <w:sz w:val="36"/>
          <w:szCs w:val="36"/>
          <w:rtl/>
        </w:rPr>
        <w:t>بقبحه</w:t>
      </w:r>
      <w:r w:rsidR="00E8128F">
        <w:rPr>
          <w:sz w:val="36"/>
          <w:szCs w:val="36"/>
          <w:rtl/>
        </w:rPr>
        <w:t xml:space="preserve"> </w:t>
      </w:r>
      <w:r w:rsidR="00E36D01" w:rsidRPr="00FD211F">
        <w:rPr>
          <w:sz w:val="36"/>
          <w:szCs w:val="36"/>
          <w:rtl/>
        </w:rPr>
        <w:t>فيكون</w:t>
      </w:r>
      <w:r w:rsidR="00E8128F">
        <w:rPr>
          <w:sz w:val="36"/>
          <w:szCs w:val="36"/>
          <w:rtl/>
        </w:rPr>
        <w:t xml:space="preserve"> </w:t>
      </w:r>
      <w:r w:rsidR="00E36D01" w:rsidRPr="00FD211F">
        <w:rPr>
          <w:sz w:val="36"/>
          <w:szCs w:val="36"/>
          <w:rtl/>
        </w:rPr>
        <w:t>هذا</w:t>
      </w:r>
      <w:r w:rsidR="00E8128F">
        <w:rPr>
          <w:sz w:val="36"/>
          <w:szCs w:val="36"/>
          <w:rtl/>
        </w:rPr>
        <w:t xml:space="preserve"> </w:t>
      </w:r>
      <w:r w:rsidR="00E36D01" w:rsidRPr="00FD211F">
        <w:rPr>
          <w:sz w:val="36"/>
          <w:szCs w:val="36"/>
          <w:rtl/>
        </w:rPr>
        <w:t>هو</w:t>
      </w:r>
      <w:r w:rsidR="00E8128F">
        <w:rPr>
          <w:sz w:val="36"/>
          <w:szCs w:val="36"/>
          <w:rtl/>
        </w:rPr>
        <w:t xml:space="preserve"> </w:t>
      </w:r>
      <w:r w:rsidR="00E36D01" w:rsidRPr="00FD211F">
        <w:rPr>
          <w:sz w:val="36"/>
          <w:szCs w:val="36"/>
          <w:rtl/>
        </w:rPr>
        <w:t>روح</w:t>
      </w:r>
      <w:r w:rsidR="00E8128F">
        <w:rPr>
          <w:sz w:val="36"/>
          <w:szCs w:val="36"/>
          <w:rtl/>
        </w:rPr>
        <w:t xml:space="preserve"> </w:t>
      </w:r>
      <w:r w:rsidR="00E36D01" w:rsidRPr="00FD211F">
        <w:rPr>
          <w:sz w:val="36"/>
          <w:szCs w:val="36"/>
          <w:rtl/>
        </w:rPr>
        <w:t>البحث</w:t>
      </w:r>
      <w:r w:rsidR="00603323" w:rsidRPr="00FD211F">
        <w:rPr>
          <w:sz w:val="36"/>
          <w:szCs w:val="36"/>
          <w:rtl/>
        </w:rPr>
        <w:t>،</w:t>
      </w:r>
      <w:r w:rsidR="00E8128F">
        <w:rPr>
          <w:sz w:val="36"/>
          <w:szCs w:val="36"/>
          <w:rtl/>
        </w:rPr>
        <w:t xml:space="preserve"> </w:t>
      </w:r>
      <w:r w:rsidR="00E36D01" w:rsidRPr="00FD211F">
        <w:rPr>
          <w:sz w:val="36"/>
          <w:szCs w:val="36"/>
          <w:rtl/>
        </w:rPr>
        <w:t>ولكن</w:t>
      </w:r>
      <w:r w:rsidR="00E8128F">
        <w:rPr>
          <w:sz w:val="36"/>
          <w:szCs w:val="36"/>
          <w:rtl/>
        </w:rPr>
        <w:t xml:space="preserve"> </w:t>
      </w:r>
      <w:r w:rsidR="00E36D01" w:rsidRPr="00FD211F">
        <w:rPr>
          <w:sz w:val="36"/>
          <w:szCs w:val="36"/>
          <w:rtl/>
        </w:rPr>
        <w:t>يجعل</w:t>
      </w:r>
      <w:r w:rsidR="00E8128F">
        <w:rPr>
          <w:sz w:val="36"/>
          <w:szCs w:val="36"/>
          <w:rtl/>
        </w:rPr>
        <w:t xml:space="preserve"> </w:t>
      </w:r>
      <w:r w:rsidR="00E36D01" w:rsidRPr="00FD211F">
        <w:rPr>
          <w:sz w:val="36"/>
          <w:szCs w:val="36"/>
          <w:rtl/>
        </w:rPr>
        <w:t>الملازم</w:t>
      </w:r>
      <w:r w:rsidR="00EC7EDF" w:rsidRPr="00FD211F">
        <w:rPr>
          <w:sz w:val="36"/>
          <w:szCs w:val="36"/>
          <w:rtl/>
        </w:rPr>
        <w:t>ة</w:t>
      </w:r>
      <w:r w:rsidR="00E8128F">
        <w:rPr>
          <w:sz w:val="36"/>
          <w:szCs w:val="36"/>
          <w:rtl/>
        </w:rPr>
        <w:t xml:space="preserve"> </w:t>
      </w:r>
      <w:r w:rsidR="00E36D01" w:rsidRPr="00FD211F">
        <w:rPr>
          <w:sz w:val="36"/>
          <w:szCs w:val="36"/>
          <w:rtl/>
        </w:rPr>
        <w:t>بين</w:t>
      </w:r>
      <w:r w:rsidR="00E8128F">
        <w:rPr>
          <w:sz w:val="36"/>
          <w:szCs w:val="36"/>
          <w:rtl/>
        </w:rPr>
        <w:t xml:space="preserve"> </w:t>
      </w:r>
      <w:r w:rsidR="00992865" w:rsidRPr="00FD211F">
        <w:rPr>
          <w:sz w:val="36"/>
          <w:szCs w:val="36"/>
          <w:rtl/>
        </w:rPr>
        <w:t>حكم</w:t>
      </w:r>
      <w:r w:rsidR="00E8128F">
        <w:rPr>
          <w:sz w:val="36"/>
          <w:szCs w:val="36"/>
          <w:rtl/>
        </w:rPr>
        <w:t xml:space="preserve"> </w:t>
      </w:r>
      <w:r w:rsidR="00992865" w:rsidRPr="00FD211F">
        <w:rPr>
          <w:sz w:val="36"/>
          <w:szCs w:val="36"/>
          <w:rtl/>
        </w:rPr>
        <w:t>العقل</w:t>
      </w:r>
      <w:r w:rsidR="00E8128F">
        <w:rPr>
          <w:sz w:val="36"/>
          <w:szCs w:val="36"/>
          <w:rtl/>
        </w:rPr>
        <w:t xml:space="preserve"> </w:t>
      </w:r>
      <w:r w:rsidR="00992865" w:rsidRPr="00FD211F">
        <w:rPr>
          <w:sz w:val="36"/>
          <w:szCs w:val="36"/>
          <w:rtl/>
        </w:rPr>
        <w:t>وحكم</w:t>
      </w:r>
      <w:r w:rsidR="00E8128F">
        <w:rPr>
          <w:sz w:val="36"/>
          <w:szCs w:val="36"/>
          <w:rtl/>
        </w:rPr>
        <w:t xml:space="preserve"> </w:t>
      </w:r>
      <w:r w:rsidR="00992865" w:rsidRPr="00FD211F">
        <w:rPr>
          <w:sz w:val="36"/>
          <w:szCs w:val="36"/>
          <w:rtl/>
        </w:rPr>
        <w:t>الشرع</w:t>
      </w:r>
      <w:r w:rsidR="00E8128F">
        <w:rPr>
          <w:sz w:val="36"/>
          <w:szCs w:val="36"/>
          <w:rtl/>
        </w:rPr>
        <w:t xml:space="preserve"> </w:t>
      </w:r>
      <w:r w:rsidR="00992865" w:rsidRPr="00FD211F">
        <w:rPr>
          <w:sz w:val="36"/>
          <w:szCs w:val="36"/>
          <w:rtl/>
        </w:rPr>
        <w:t>دليلا</w:t>
      </w:r>
      <w:r w:rsidR="00E8128F">
        <w:rPr>
          <w:sz w:val="36"/>
          <w:szCs w:val="36"/>
          <w:rtl/>
        </w:rPr>
        <w:t xml:space="preserve"> </w:t>
      </w:r>
      <w:r w:rsidR="00992865" w:rsidRPr="00FD211F">
        <w:rPr>
          <w:sz w:val="36"/>
          <w:szCs w:val="36"/>
          <w:rtl/>
        </w:rPr>
        <w:t>عليه</w:t>
      </w:r>
      <w:r w:rsidR="00603323" w:rsidRPr="00FD211F">
        <w:rPr>
          <w:sz w:val="36"/>
          <w:szCs w:val="36"/>
          <w:rtl/>
        </w:rPr>
        <w:t>،</w:t>
      </w:r>
      <w:r w:rsidR="00E8128F">
        <w:rPr>
          <w:sz w:val="36"/>
          <w:szCs w:val="36"/>
          <w:rtl/>
        </w:rPr>
        <w:t xml:space="preserve"> </w:t>
      </w:r>
      <w:r w:rsidR="00992865" w:rsidRPr="00FD211F">
        <w:rPr>
          <w:sz w:val="36"/>
          <w:szCs w:val="36"/>
          <w:rtl/>
        </w:rPr>
        <w:t>والمتحصل</w:t>
      </w:r>
      <w:r w:rsidR="00E8128F">
        <w:rPr>
          <w:sz w:val="36"/>
          <w:szCs w:val="36"/>
          <w:rtl/>
        </w:rPr>
        <w:t xml:space="preserve"> </w:t>
      </w:r>
      <w:r w:rsidR="00992865" w:rsidRPr="00FD211F">
        <w:rPr>
          <w:sz w:val="36"/>
          <w:szCs w:val="36"/>
          <w:rtl/>
        </w:rPr>
        <w:t>ان</w:t>
      </w:r>
      <w:r w:rsidR="00E8128F">
        <w:rPr>
          <w:sz w:val="36"/>
          <w:szCs w:val="36"/>
          <w:rtl/>
        </w:rPr>
        <w:t xml:space="preserve"> </w:t>
      </w:r>
      <w:r w:rsidR="00992865" w:rsidRPr="00FD211F">
        <w:rPr>
          <w:sz w:val="36"/>
          <w:szCs w:val="36"/>
          <w:rtl/>
        </w:rPr>
        <w:t>روح</w:t>
      </w:r>
      <w:r w:rsidR="00E8128F">
        <w:rPr>
          <w:sz w:val="36"/>
          <w:szCs w:val="36"/>
          <w:rtl/>
        </w:rPr>
        <w:t xml:space="preserve"> </w:t>
      </w:r>
      <w:r w:rsidR="00992865" w:rsidRPr="00FD211F">
        <w:rPr>
          <w:sz w:val="36"/>
          <w:szCs w:val="36"/>
          <w:rtl/>
        </w:rPr>
        <w:t>البحث</w:t>
      </w:r>
      <w:r w:rsidR="00E8128F">
        <w:rPr>
          <w:sz w:val="36"/>
          <w:szCs w:val="36"/>
          <w:rtl/>
        </w:rPr>
        <w:t xml:space="preserve"> </w:t>
      </w:r>
      <w:r w:rsidR="00992865" w:rsidRPr="00FD211F">
        <w:rPr>
          <w:sz w:val="36"/>
          <w:szCs w:val="36"/>
          <w:rtl/>
        </w:rPr>
        <w:t>في</w:t>
      </w:r>
      <w:r w:rsidR="00E8128F">
        <w:rPr>
          <w:sz w:val="36"/>
          <w:szCs w:val="36"/>
          <w:rtl/>
        </w:rPr>
        <w:t xml:space="preserve"> </w:t>
      </w:r>
      <w:r w:rsidR="00992865" w:rsidRPr="00FD211F">
        <w:rPr>
          <w:sz w:val="36"/>
          <w:szCs w:val="36"/>
          <w:rtl/>
        </w:rPr>
        <w:t>هذه</w:t>
      </w:r>
      <w:r w:rsidR="00E8128F">
        <w:rPr>
          <w:sz w:val="36"/>
          <w:szCs w:val="36"/>
          <w:rtl/>
        </w:rPr>
        <w:t xml:space="preserve"> </w:t>
      </w:r>
      <w:r w:rsidR="00992865" w:rsidRPr="00FD211F">
        <w:rPr>
          <w:sz w:val="36"/>
          <w:szCs w:val="36"/>
          <w:rtl/>
        </w:rPr>
        <w:t>الموارد</w:t>
      </w:r>
      <w:r w:rsidR="00E8128F">
        <w:rPr>
          <w:sz w:val="36"/>
          <w:szCs w:val="36"/>
          <w:rtl/>
        </w:rPr>
        <w:t xml:space="preserve"> </w:t>
      </w:r>
      <w:r w:rsidR="00992865" w:rsidRPr="00FD211F">
        <w:rPr>
          <w:sz w:val="36"/>
          <w:szCs w:val="36"/>
          <w:rtl/>
        </w:rPr>
        <w:t>تتلائم</w:t>
      </w:r>
      <w:r w:rsidR="00E8128F">
        <w:rPr>
          <w:sz w:val="36"/>
          <w:szCs w:val="36"/>
          <w:rtl/>
        </w:rPr>
        <w:t xml:space="preserve"> </w:t>
      </w:r>
      <w:r w:rsidR="00992865" w:rsidRPr="00FD211F">
        <w:rPr>
          <w:sz w:val="36"/>
          <w:szCs w:val="36"/>
          <w:rtl/>
        </w:rPr>
        <w:t>مع</w:t>
      </w:r>
      <w:r w:rsidR="00E8128F">
        <w:rPr>
          <w:sz w:val="36"/>
          <w:szCs w:val="36"/>
          <w:rtl/>
        </w:rPr>
        <w:t xml:space="preserve"> </w:t>
      </w:r>
      <w:r w:rsidR="00992865" w:rsidRPr="00FD211F">
        <w:rPr>
          <w:sz w:val="36"/>
          <w:szCs w:val="36"/>
          <w:rtl/>
        </w:rPr>
        <w:t>كلا</w:t>
      </w:r>
      <w:r w:rsidR="00E8128F">
        <w:rPr>
          <w:sz w:val="36"/>
          <w:szCs w:val="36"/>
          <w:rtl/>
        </w:rPr>
        <w:t xml:space="preserve"> </w:t>
      </w:r>
      <w:r w:rsidR="00992865" w:rsidRPr="00FD211F">
        <w:rPr>
          <w:sz w:val="36"/>
          <w:szCs w:val="36"/>
          <w:rtl/>
        </w:rPr>
        <w:t>العنوانين</w:t>
      </w:r>
      <w:r w:rsidR="00603323" w:rsidRPr="00FD211F">
        <w:rPr>
          <w:sz w:val="36"/>
          <w:szCs w:val="36"/>
          <w:rtl/>
        </w:rPr>
        <w:t>،</w:t>
      </w:r>
      <w:r w:rsidR="00E8128F">
        <w:rPr>
          <w:sz w:val="36"/>
          <w:szCs w:val="36"/>
          <w:rtl/>
        </w:rPr>
        <w:t xml:space="preserve"> </w:t>
      </w:r>
      <w:r w:rsidR="00992865" w:rsidRPr="00FD211F">
        <w:rPr>
          <w:sz w:val="36"/>
          <w:szCs w:val="36"/>
          <w:rtl/>
        </w:rPr>
        <w:t>فلاوجه</w:t>
      </w:r>
      <w:r w:rsidR="00E8128F">
        <w:rPr>
          <w:sz w:val="36"/>
          <w:szCs w:val="36"/>
          <w:rtl/>
        </w:rPr>
        <w:t xml:space="preserve"> </w:t>
      </w:r>
      <w:r w:rsidR="00992865" w:rsidRPr="00FD211F">
        <w:rPr>
          <w:sz w:val="36"/>
          <w:szCs w:val="36"/>
          <w:rtl/>
        </w:rPr>
        <w:t>لجعل</w:t>
      </w:r>
      <w:r w:rsidR="00E8128F">
        <w:rPr>
          <w:sz w:val="36"/>
          <w:szCs w:val="36"/>
          <w:rtl/>
        </w:rPr>
        <w:t xml:space="preserve"> </w:t>
      </w:r>
      <w:r w:rsidR="00992865" w:rsidRPr="00FD211F">
        <w:rPr>
          <w:sz w:val="36"/>
          <w:szCs w:val="36"/>
          <w:rtl/>
        </w:rPr>
        <w:t>روح</w:t>
      </w:r>
      <w:r w:rsidR="00E8128F">
        <w:rPr>
          <w:sz w:val="36"/>
          <w:szCs w:val="36"/>
          <w:rtl/>
        </w:rPr>
        <w:t xml:space="preserve"> </w:t>
      </w:r>
      <w:r w:rsidR="00992865" w:rsidRPr="00FD211F">
        <w:rPr>
          <w:sz w:val="36"/>
          <w:szCs w:val="36"/>
          <w:rtl/>
        </w:rPr>
        <w:t>البحث</w:t>
      </w:r>
      <w:r w:rsidR="00E8128F">
        <w:rPr>
          <w:sz w:val="36"/>
          <w:szCs w:val="36"/>
          <w:rtl/>
        </w:rPr>
        <w:t xml:space="preserve"> </w:t>
      </w:r>
      <w:r w:rsidR="00992865" w:rsidRPr="00FD211F">
        <w:rPr>
          <w:sz w:val="36"/>
          <w:szCs w:val="36"/>
          <w:rtl/>
        </w:rPr>
        <w:t>ومضمونه</w:t>
      </w:r>
      <w:r w:rsidR="00E8128F">
        <w:rPr>
          <w:sz w:val="36"/>
          <w:szCs w:val="36"/>
          <w:rtl/>
        </w:rPr>
        <w:t xml:space="preserve"> </w:t>
      </w:r>
      <w:r w:rsidR="00992865" w:rsidRPr="00FD211F">
        <w:rPr>
          <w:sz w:val="36"/>
          <w:szCs w:val="36"/>
          <w:rtl/>
        </w:rPr>
        <w:t>هو</w:t>
      </w:r>
      <w:r w:rsidR="00E8128F">
        <w:rPr>
          <w:sz w:val="36"/>
          <w:szCs w:val="36"/>
          <w:rtl/>
        </w:rPr>
        <w:t xml:space="preserve"> </w:t>
      </w:r>
      <w:r w:rsidR="00992865" w:rsidRPr="00FD211F">
        <w:rPr>
          <w:sz w:val="36"/>
          <w:szCs w:val="36"/>
          <w:rtl/>
        </w:rPr>
        <w:t>البحث</w:t>
      </w:r>
      <w:r w:rsidR="00E8128F">
        <w:rPr>
          <w:sz w:val="36"/>
          <w:szCs w:val="36"/>
          <w:rtl/>
        </w:rPr>
        <w:t xml:space="preserve"> </w:t>
      </w:r>
      <w:r w:rsidR="00992865" w:rsidRPr="00FD211F">
        <w:rPr>
          <w:sz w:val="36"/>
          <w:szCs w:val="36"/>
          <w:rtl/>
        </w:rPr>
        <w:t>عن</w:t>
      </w:r>
      <w:r w:rsidR="00E8128F">
        <w:rPr>
          <w:sz w:val="36"/>
          <w:szCs w:val="36"/>
          <w:rtl/>
        </w:rPr>
        <w:t xml:space="preserve"> </w:t>
      </w:r>
      <w:r w:rsidR="00992865" w:rsidRPr="00FD211F">
        <w:rPr>
          <w:sz w:val="36"/>
          <w:szCs w:val="36"/>
          <w:rtl/>
        </w:rPr>
        <w:t>اقتضاء</w:t>
      </w:r>
      <w:r w:rsidR="00E8128F">
        <w:rPr>
          <w:sz w:val="36"/>
          <w:szCs w:val="36"/>
          <w:rtl/>
        </w:rPr>
        <w:t xml:space="preserve"> </w:t>
      </w:r>
      <w:r w:rsidR="00992865" w:rsidRPr="00FD211F">
        <w:rPr>
          <w:sz w:val="36"/>
          <w:szCs w:val="36"/>
          <w:rtl/>
        </w:rPr>
        <w:t>النهي</w:t>
      </w:r>
      <w:r w:rsidR="00E8128F">
        <w:rPr>
          <w:sz w:val="36"/>
          <w:szCs w:val="36"/>
          <w:rtl/>
        </w:rPr>
        <w:t xml:space="preserve"> </w:t>
      </w:r>
      <w:r w:rsidR="00992865" w:rsidRPr="00FD211F">
        <w:rPr>
          <w:sz w:val="36"/>
          <w:szCs w:val="36"/>
          <w:rtl/>
        </w:rPr>
        <w:t>عن</w:t>
      </w:r>
      <w:r w:rsidR="00E8128F">
        <w:rPr>
          <w:sz w:val="36"/>
          <w:szCs w:val="36"/>
          <w:rtl/>
        </w:rPr>
        <w:t xml:space="preserve"> </w:t>
      </w:r>
      <w:r w:rsidR="00992865" w:rsidRPr="00FD211F">
        <w:rPr>
          <w:sz w:val="36"/>
          <w:szCs w:val="36"/>
          <w:rtl/>
        </w:rPr>
        <w:t>العباد</w:t>
      </w:r>
      <w:r w:rsidR="00EC7EDF" w:rsidRPr="00FD211F">
        <w:rPr>
          <w:sz w:val="36"/>
          <w:szCs w:val="36"/>
          <w:rtl/>
        </w:rPr>
        <w:t>ة</w:t>
      </w:r>
      <w:r w:rsidR="00E8128F">
        <w:rPr>
          <w:sz w:val="36"/>
          <w:szCs w:val="36"/>
          <w:rtl/>
        </w:rPr>
        <w:t xml:space="preserve"> </w:t>
      </w:r>
      <w:r w:rsidR="00992865" w:rsidRPr="00FD211F">
        <w:rPr>
          <w:sz w:val="36"/>
          <w:szCs w:val="36"/>
          <w:rtl/>
        </w:rPr>
        <w:t>لفسادها</w:t>
      </w:r>
      <w:r w:rsidR="00E8128F">
        <w:rPr>
          <w:sz w:val="36"/>
          <w:szCs w:val="36"/>
          <w:rtl/>
        </w:rPr>
        <w:t xml:space="preserve"> </w:t>
      </w:r>
      <w:r w:rsidR="00992865" w:rsidRPr="00FD211F">
        <w:rPr>
          <w:sz w:val="36"/>
          <w:szCs w:val="36"/>
          <w:rtl/>
        </w:rPr>
        <w:t>او</w:t>
      </w:r>
      <w:r w:rsidR="00E8128F">
        <w:rPr>
          <w:sz w:val="36"/>
          <w:szCs w:val="36"/>
          <w:rtl/>
        </w:rPr>
        <w:t xml:space="preserve"> </w:t>
      </w:r>
      <w:r w:rsidR="00992865" w:rsidRPr="00FD211F">
        <w:rPr>
          <w:sz w:val="36"/>
          <w:szCs w:val="36"/>
          <w:rtl/>
        </w:rPr>
        <w:t>الملازم</w:t>
      </w:r>
      <w:r w:rsidR="00EC7EDF" w:rsidRPr="00FD211F">
        <w:rPr>
          <w:sz w:val="36"/>
          <w:szCs w:val="36"/>
          <w:rtl/>
        </w:rPr>
        <w:t>ة</w:t>
      </w:r>
      <w:r w:rsidR="00E8128F">
        <w:rPr>
          <w:sz w:val="36"/>
          <w:szCs w:val="36"/>
          <w:rtl/>
        </w:rPr>
        <w:t xml:space="preserve"> </w:t>
      </w:r>
      <w:r w:rsidR="00992865" w:rsidRPr="00FD211F">
        <w:rPr>
          <w:sz w:val="36"/>
          <w:szCs w:val="36"/>
          <w:rtl/>
        </w:rPr>
        <w:t>بين</w:t>
      </w:r>
      <w:r w:rsidR="00E8128F">
        <w:rPr>
          <w:sz w:val="36"/>
          <w:szCs w:val="36"/>
          <w:rtl/>
        </w:rPr>
        <w:t xml:space="preserve"> </w:t>
      </w:r>
      <w:r w:rsidR="00992865" w:rsidRPr="00FD211F">
        <w:rPr>
          <w:sz w:val="36"/>
          <w:szCs w:val="36"/>
          <w:rtl/>
        </w:rPr>
        <w:t>وجوب</w:t>
      </w:r>
      <w:r w:rsidR="00E8128F">
        <w:rPr>
          <w:sz w:val="36"/>
          <w:szCs w:val="36"/>
          <w:rtl/>
        </w:rPr>
        <w:t xml:space="preserve"> </w:t>
      </w:r>
      <w:r w:rsidR="00992865" w:rsidRPr="00FD211F">
        <w:rPr>
          <w:sz w:val="36"/>
          <w:szCs w:val="36"/>
          <w:rtl/>
        </w:rPr>
        <w:t>ال</w:t>
      </w:r>
      <w:r w:rsidR="008D7B3D" w:rsidRPr="00FD211F">
        <w:rPr>
          <w:sz w:val="36"/>
          <w:szCs w:val="36"/>
          <w:rtl/>
        </w:rPr>
        <w:t>شيء</w:t>
      </w:r>
      <w:r w:rsidR="00E8128F">
        <w:rPr>
          <w:sz w:val="36"/>
          <w:szCs w:val="36"/>
          <w:rtl/>
        </w:rPr>
        <w:t xml:space="preserve"> </w:t>
      </w:r>
      <w:r w:rsidR="00992865" w:rsidRPr="00FD211F">
        <w:rPr>
          <w:sz w:val="36"/>
          <w:szCs w:val="36"/>
          <w:rtl/>
        </w:rPr>
        <w:t>ووجوب</w:t>
      </w:r>
      <w:r w:rsidR="00E8128F">
        <w:rPr>
          <w:sz w:val="36"/>
          <w:szCs w:val="36"/>
          <w:rtl/>
        </w:rPr>
        <w:t xml:space="preserve"> </w:t>
      </w:r>
      <w:r w:rsidR="00992865" w:rsidRPr="00FD211F">
        <w:rPr>
          <w:sz w:val="36"/>
          <w:szCs w:val="36"/>
          <w:rtl/>
        </w:rPr>
        <w:t>مقدمته</w:t>
      </w:r>
      <w:r w:rsidR="00E8128F">
        <w:rPr>
          <w:sz w:val="36"/>
          <w:szCs w:val="36"/>
          <w:rtl/>
        </w:rPr>
        <w:t xml:space="preserve"> </w:t>
      </w:r>
      <w:r w:rsidR="00992865" w:rsidRPr="00FD211F">
        <w:rPr>
          <w:sz w:val="36"/>
          <w:szCs w:val="36"/>
          <w:rtl/>
        </w:rPr>
        <w:t>او</w:t>
      </w:r>
      <w:r w:rsidR="00E8128F">
        <w:rPr>
          <w:sz w:val="36"/>
          <w:szCs w:val="36"/>
          <w:rtl/>
        </w:rPr>
        <w:t xml:space="preserve"> </w:t>
      </w:r>
      <w:r w:rsidR="00992865" w:rsidRPr="00FD211F">
        <w:rPr>
          <w:sz w:val="36"/>
          <w:szCs w:val="36"/>
          <w:rtl/>
        </w:rPr>
        <w:t>الملازم</w:t>
      </w:r>
      <w:r w:rsidR="00EC7EDF" w:rsidRPr="00FD211F">
        <w:rPr>
          <w:sz w:val="36"/>
          <w:szCs w:val="36"/>
          <w:rtl/>
        </w:rPr>
        <w:t>ة</w:t>
      </w:r>
      <w:r w:rsidR="00E8128F">
        <w:rPr>
          <w:sz w:val="36"/>
          <w:szCs w:val="36"/>
          <w:rtl/>
        </w:rPr>
        <w:t xml:space="preserve"> </w:t>
      </w:r>
      <w:r w:rsidR="00992865" w:rsidRPr="00FD211F">
        <w:rPr>
          <w:sz w:val="36"/>
          <w:szCs w:val="36"/>
          <w:rtl/>
        </w:rPr>
        <w:t>بين</w:t>
      </w:r>
      <w:r w:rsidR="00E8128F">
        <w:rPr>
          <w:sz w:val="36"/>
          <w:szCs w:val="36"/>
          <w:rtl/>
        </w:rPr>
        <w:t xml:space="preserve"> </w:t>
      </w:r>
      <w:r w:rsidR="00992865" w:rsidRPr="00FD211F">
        <w:rPr>
          <w:sz w:val="36"/>
          <w:szCs w:val="36"/>
          <w:rtl/>
        </w:rPr>
        <w:t>حكم</w:t>
      </w:r>
      <w:r w:rsidR="00E8128F">
        <w:rPr>
          <w:sz w:val="36"/>
          <w:szCs w:val="36"/>
          <w:rtl/>
        </w:rPr>
        <w:t xml:space="preserve"> </w:t>
      </w:r>
      <w:r w:rsidR="00992865" w:rsidRPr="00FD211F">
        <w:rPr>
          <w:sz w:val="36"/>
          <w:szCs w:val="36"/>
          <w:rtl/>
        </w:rPr>
        <w:t>العقل</w:t>
      </w:r>
      <w:r w:rsidR="00E8128F">
        <w:rPr>
          <w:sz w:val="36"/>
          <w:szCs w:val="36"/>
          <w:rtl/>
        </w:rPr>
        <w:t xml:space="preserve"> </w:t>
      </w:r>
      <w:r w:rsidR="00992865" w:rsidRPr="00FD211F">
        <w:rPr>
          <w:sz w:val="36"/>
          <w:szCs w:val="36"/>
          <w:rtl/>
        </w:rPr>
        <w:t>وحكم</w:t>
      </w:r>
      <w:r w:rsidR="00E8128F">
        <w:rPr>
          <w:sz w:val="36"/>
          <w:szCs w:val="36"/>
          <w:rtl/>
        </w:rPr>
        <w:t xml:space="preserve"> </w:t>
      </w:r>
      <w:r w:rsidR="00992865" w:rsidRPr="00FD211F">
        <w:rPr>
          <w:sz w:val="36"/>
          <w:szCs w:val="36"/>
          <w:rtl/>
        </w:rPr>
        <w:t>الشرع.</w:t>
      </w:r>
    </w:p>
    <w:p w14:paraId="12BD09C4" w14:textId="77777777" w:rsidR="00496E6E" w:rsidRPr="00FD211F" w:rsidRDefault="006A2240" w:rsidP="009C58C8">
      <w:pPr>
        <w:ind w:left="0" w:firstLine="227"/>
        <w:jc w:val="both"/>
        <w:rPr>
          <w:sz w:val="36"/>
          <w:szCs w:val="36"/>
          <w:rtl/>
        </w:rPr>
      </w:pPr>
      <w:r w:rsidRPr="00FD211F">
        <w:rPr>
          <w:sz w:val="36"/>
          <w:szCs w:val="36"/>
          <w:rtl/>
        </w:rPr>
        <w:t>3-</w:t>
      </w:r>
      <w:r w:rsidR="00E8128F">
        <w:rPr>
          <w:sz w:val="36"/>
          <w:szCs w:val="36"/>
          <w:rtl/>
        </w:rPr>
        <w:t xml:space="preserve"> </w:t>
      </w:r>
      <w:r w:rsidR="00496E6E" w:rsidRPr="00FD211F">
        <w:rPr>
          <w:sz w:val="36"/>
          <w:szCs w:val="36"/>
          <w:rtl/>
        </w:rPr>
        <w:t>ان</w:t>
      </w:r>
      <w:r w:rsidR="00E8128F">
        <w:rPr>
          <w:sz w:val="36"/>
          <w:szCs w:val="36"/>
          <w:rtl/>
        </w:rPr>
        <w:t xml:space="preserve"> </w:t>
      </w:r>
      <w:r w:rsidR="00496E6E" w:rsidRPr="00FD211F">
        <w:rPr>
          <w:sz w:val="36"/>
          <w:szCs w:val="36"/>
          <w:rtl/>
        </w:rPr>
        <w:t>الامارات</w:t>
      </w:r>
      <w:r w:rsidR="00E8128F">
        <w:rPr>
          <w:sz w:val="36"/>
          <w:szCs w:val="36"/>
          <w:rtl/>
        </w:rPr>
        <w:t xml:space="preserve"> </w:t>
      </w:r>
      <w:r w:rsidR="00496E6E" w:rsidRPr="00FD211F">
        <w:rPr>
          <w:sz w:val="36"/>
          <w:szCs w:val="36"/>
          <w:rtl/>
        </w:rPr>
        <w:t>والاصول</w:t>
      </w:r>
      <w:r w:rsidR="00E8128F">
        <w:rPr>
          <w:sz w:val="36"/>
          <w:szCs w:val="36"/>
          <w:rtl/>
        </w:rPr>
        <w:t xml:space="preserve"> </w:t>
      </w:r>
      <w:r w:rsidR="00496E6E" w:rsidRPr="00FD211F">
        <w:rPr>
          <w:sz w:val="36"/>
          <w:szCs w:val="36"/>
          <w:rtl/>
        </w:rPr>
        <w:t>الجاري</w:t>
      </w:r>
      <w:r w:rsidR="00EC7EDF" w:rsidRPr="00FD211F">
        <w:rPr>
          <w:sz w:val="36"/>
          <w:szCs w:val="36"/>
          <w:rtl/>
        </w:rPr>
        <w:t>ة</w:t>
      </w:r>
      <w:r w:rsidR="00E8128F">
        <w:rPr>
          <w:sz w:val="36"/>
          <w:szCs w:val="36"/>
          <w:rtl/>
        </w:rPr>
        <w:t xml:space="preserve"> </w:t>
      </w:r>
      <w:r w:rsidR="00496E6E" w:rsidRPr="00FD211F">
        <w:rPr>
          <w:sz w:val="36"/>
          <w:szCs w:val="36"/>
          <w:rtl/>
        </w:rPr>
        <w:lastRenderedPageBreak/>
        <w:t>في</w:t>
      </w:r>
      <w:r w:rsidR="00E8128F">
        <w:rPr>
          <w:sz w:val="36"/>
          <w:szCs w:val="36"/>
          <w:rtl/>
        </w:rPr>
        <w:t xml:space="preserve"> </w:t>
      </w:r>
      <w:r w:rsidR="00496E6E" w:rsidRPr="00FD211F">
        <w:rPr>
          <w:sz w:val="36"/>
          <w:szCs w:val="36"/>
          <w:rtl/>
        </w:rPr>
        <w:t>الشبهات</w:t>
      </w:r>
      <w:r w:rsidR="00E8128F">
        <w:rPr>
          <w:sz w:val="36"/>
          <w:szCs w:val="36"/>
          <w:rtl/>
        </w:rPr>
        <w:t xml:space="preserve"> </w:t>
      </w:r>
      <w:r w:rsidR="00496E6E" w:rsidRPr="00FD211F">
        <w:rPr>
          <w:sz w:val="36"/>
          <w:szCs w:val="36"/>
          <w:rtl/>
        </w:rPr>
        <w:t>الموضوعي</w:t>
      </w:r>
      <w:r w:rsidR="00EC7EDF" w:rsidRPr="00FD211F">
        <w:rPr>
          <w:sz w:val="36"/>
          <w:szCs w:val="36"/>
          <w:rtl/>
        </w:rPr>
        <w:t>ة</w:t>
      </w:r>
      <w:r w:rsidR="00E8128F">
        <w:rPr>
          <w:sz w:val="36"/>
          <w:szCs w:val="36"/>
          <w:rtl/>
        </w:rPr>
        <w:t xml:space="preserve"> </w:t>
      </w:r>
      <w:r w:rsidR="00496E6E" w:rsidRPr="00FD211F">
        <w:rPr>
          <w:sz w:val="36"/>
          <w:szCs w:val="36"/>
          <w:rtl/>
        </w:rPr>
        <w:t>لاتختلف</w:t>
      </w:r>
      <w:r w:rsidR="00E8128F">
        <w:rPr>
          <w:sz w:val="36"/>
          <w:szCs w:val="36"/>
          <w:rtl/>
        </w:rPr>
        <w:t xml:space="preserve"> </w:t>
      </w:r>
      <w:r w:rsidR="00496E6E" w:rsidRPr="00FD211F">
        <w:rPr>
          <w:sz w:val="36"/>
          <w:szCs w:val="36"/>
          <w:rtl/>
        </w:rPr>
        <w:t>عن</w:t>
      </w:r>
      <w:r w:rsidR="00E8128F">
        <w:rPr>
          <w:sz w:val="36"/>
          <w:szCs w:val="36"/>
          <w:rtl/>
        </w:rPr>
        <w:t xml:space="preserve"> </w:t>
      </w:r>
      <w:r w:rsidR="007C3480" w:rsidRPr="00FD211F">
        <w:rPr>
          <w:sz w:val="36"/>
          <w:szCs w:val="36"/>
          <w:rtl/>
        </w:rPr>
        <w:t>الامارات</w:t>
      </w:r>
      <w:r w:rsidR="00E8128F">
        <w:rPr>
          <w:sz w:val="36"/>
          <w:szCs w:val="36"/>
          <w:rtl/>
        </w:rPr>
        <w:t xml:space="preserve"> </w:t>
      </w:r>
      <w:r w:rsidR="007C3480" w:rsidRPr="00FD211F">
        <w:rPr>
          <w:sz w:val="36"/>
          <w:szCs w:val="36"/>
          <w:rtl/>
        </w:rPr>
        <w:t>والاصول</w:t>
      </w:r>
      <w:r w:rsidR="00E8128F">
        <w:rPr>
          <w:sz w:val="36"/>
          <w:szCs w:val="36"/>
          <w:rtl/>
        </w:rPr>
        <w:t xml:space="preserve"> </w:t>
      </w:r>
      <w:r w:rsidR="00496E6E" w:rsidRPr="00FD211F">
        <w:rPr>
          <w:sz w:val="36"/>
          <w:szCs w:val="36"/>
          <w:rtl/>
        </w:rPr>
        <w:t>الجاري</w:t>
      </w:r>
      <w:r w:rsidR="00EC7EDF" w:rsidRPr="00FD211F">
        <w:rPr>
          <w:sz w:val="36"/>
          <w:szCs w:val="36"/>
          <w:rtl/>
        </w:rPr>
        <w:t>ة</w:t>
      </w:r>
      <w:r w:rsidR="00E8128F">
        <w:rPr>
          <w:sz w:val="36"/>
          <w:szCs w:val="36"/>
          <w:rtl/>
        </w:rPr>
        <w:t xml:space="preserve"> </w:t>
      </w:r>
      <w:r w:rsidR="00496E6E" w:rsidRPr="00FD211F">
        <w:rPr>
          <w:sz w:val="36"/>
          <w:szCs w:val="36"/>
          <w:rtl/>
        </w:rPr>
        <w:t>في</w:t>
      </w:r>
      <w:r w:rsidR="00E8128F">
        <w:rPr>
          <w:sz w:val="36"/>
          <w:szCs w:val="36"/>
          <w:rtl/>
        </w:rPr>
        <w:t xml:space="preserve"> </w:t>
      </w:r>
      <w:r w:rsidR="00496E6E" w:rsidRPr="00FD211F">
        <w:rPr>
          <w:sz w:val="36"/>
          <w:szCs w:val="36"/>
          <w:rtl/>
        </w:rPr>
        <w:t>الشبهات</w:t>
      </w:r>
      <w:r w:rsidR="00E8128F">
        <w:rPr>
          <w:sz w:val="36"/>
          <w:szCs w:val="36"/>
          <w:rtl/>
        </w:rPr>
        <w:t xml:space="preserve"> </w:t>
      </w:r>
      <w:r w:rsidR="00496E6E" w:rsidRPr="00FD211F">
        <w:rPr>
          <w:sz w:val="36"/>
          <w:szCs w:val="36"/>
          <w:rtl/>
        </w:rPr>
        <w:t>الحكمي</w:t>
      </w:r>
      <w:r w:rsidR="00EC7EDF" w:rsidRPr="00FD211F">
        <w:rPr>
          <w:sz w:val="36"/>
          <w:szCs w:val="36"/>
          <w:rtl/>
        </w:rPr>
        <w:t>ة</w:t>
      </w:r>
      <w:r w:rsidR="00603323" w:rsidRPr="00FD211F">
        <w:rPr>
          <w:sz w:val="36"/>
          <w:szCs w:val="36"/>
          <w:rtl/>
        </w:rPr>
        <w:t>،</w:t>
      </w:r>
      <w:r w:rsidR="00E8128F">
        <w:rPr>
          <w:sz w:val="36"/>
          <w:szCs w:val="36"/>
          <w:rtl/>
        </w:rPr>
        <w:t xml:space="preserve"> </w:t>
      </w:r>
      <w:r w:rsidR="00496E6E" w:rsidRPr="00FD211F">
        <w:rPr>
          <w:sz w:val="36"/>
          <w:szCs w:val="36"/>
          <w:rtl/>
        </w:rPr>
        <w:t>في</w:t>
      </w:r>
      <w:r w:rsidR="00E8128F">
        <w:rPr>
          <w:sz w:val="36"/>
          <w:szCs w:val="36"/>
          <w:rtl/>
        </w:rPr>
        <w:t xml:space="preserve"> </w:t>
      </w:r>
      <w:r w:rsidR="00496E6E" w:rsidRPr="00FD211F">
        <w:rPr>
          <w:sz w:val="36"/>
          <w:szCs w:val="36"/>
          <w:rtl/>
        </w:rPr>
        <w:t>ان</w:t>
      </w:r>
      <w:r w:rsidR="00E8128F">
        <w:rPr>
          <w:sz w:val="36"/>
          <w:szCs w:val="36"/>
          <w:rtl/>
        </w:rPr>
        <w:t xml:space="preserve"> </w:t>
      </w:r>
      <w:r w:rsidR="007C3480" w:rsidRPr="00FD211F">
        <w:rPr>
          <w:sz w:val="36"/>
          <w:szCs w:val="36"/>
          <w:rtl/>
        </w:rPr>
        <w:t>جريانها</w:t>
      </w:r>
      <w:r w:rsidR="00E8128F">
        <w:rPr>
          <w:sz w:val="36"/>
          <w:szCs w:val="36"/>
          <w:rtl/>
        </w:rPr>
        <w:t xml:space="preserve"> </w:t>
      </w:r>
      <w:r w:rsidR="007C3480" w:rsidRPr="00FD211F">
        <w:rPr>
          <w:sz w:val="36"/>
          <w:szCs w:val="36"/>
          <w:rtl/>
        </w:rPr>
        <w:t>ليس</w:t>
      </w:r>
      <w:r w:rsidR="00E8128F">
        <w:rPr>
          <w:sz w:val="36"/>
          <w:szCs w:val="36"/>
          <w:rtl/>
        </w:rPr>
        <w:t xml:space="preserve"> </w:t>
      </w:r>
      <w:r w:rsidR="007C3480" w:rsidRPr="00FD211F">
        <w:rPr>
          <w:sz w:val="36"/>
          <w:szCs w:val="36"/>
          <w:rtl/>
        </w:rPr>
        <w:t>على</w:t>
      </w:r>
      <w:r w:rsidR="00E8128F">
        <w:rPr>
          <w:sz w:val="36"/>
          <w:szCs w:val="36"/>
          <w:rtl/>
        </w:rPr>
        <w:t xml:space="preserve"> </w:t>
      </w:r>
      <w:r w:rsidR="007C3480" w:rsidRPr="00FD211F">
        <w:rPr>
          <w:sz w:val="36"/>
          <w:szCs w:val="36"/>
          <w:rtl/>
        </w:rPr>
        <w:t>نحو</w:t>
      </w:r>
      <w:r w:rsidR="00E8128F">
        <w:rPr>
          <w:sz w:val="36"/>
          <w:szCs w:val="36"/>
          <w:rtl/>
        </w:rPr>
        <w:t xml:space="preserve"> </w:t>
      </w:r>
      <w:r w:rsidR="007C3480" w:rsidRPr="00FD211F">
        <w:rPr>
          <w:sz w:val="36"/>
          <w:szCs w:val="36"/>
          <w:rtl/>
        </w:rPr>
        <w:t>التطبيق</w:t>
      </w:r>
      <w:r w:rsidR="00E8128F">
        <w:rPr>
          <w:sz w:val="36"/>
          <w:szCs w:val="36"/>
          <w:rtl/>
        </w:rPr>
        <w:t xml:space="preserve"> </w:t>
      </w:r>
      <w:r w:rsidR="007C3480" w:rsidRPr="00FD211F">
        <w:rPr>
          <w:sz w:val="36"/>
          <w:szCs w:val="36"/>
          <w:rtl/>
        </w:rPr>
        <w:t>وانما</w:t>
      </w:r>
      <w:r w:rsidR="00E8128F">
        <w:rPr>
          <w:sz w:val="36"/>
          <w:szCs w:val="36"/>
          <w:rtl/>
        </w:rPr>
        <w:t xml:space="preserve"> </w:t>
      </w:r>
      <w:r w:rsidR="007C3480" w:rsidRPr="00FD211F">
        <w:rPr>
          <w:sz w:val="36"/>
          <w:szCs w:val="36"/>
          <w:rtl/>
        </w:rPr>
        <w:t>يكون</w:t>
      </w:r>
      <w:r w:rsidR="00E8128F">
        <w:rPr>
          <w:sz w:val="36"/>
          <w:szCs w:val="36"/>
          <w:rtl/>
        </w:rPr>
        <w:t xml:space="preserve"> </w:t>
      </w:r>
      <w:r w:rsidR="007C3480" w:rsidRPr="00FD211F">
        <w:rPr>
          <w:sz w:val="36"/>
          <w:szCs w:val="36"/>
          <w:rtl/>
        </w:rPr>
        <w:t>على</w:t>
      </w:r>
      <w:r w:rsidR="00E8128F">
        <w:rPr>
          <w:sz w:val="36"/>
          <w:szCs w:val="36"/>
          <w:rtl/>
        </w:rPr>
        <w:t xml:space="preserve"> </w:t>
      </w:r>
      <w:r w:rsidR="007C3480" w:rsidRPr="00FD211F">
        <w:rPr>
          <w:sz w:val="36"/>
          <w:szCs w:val="36"/>
          <w:rtl/>
        </w:rPr>
        <w:t>نحو</w:t>
      </w:r>
      <w:r w:rsidR="00E8128F">
        <w:rPr>
          <w:sz w:val="36"/>
          <w:szCs w:val="36"/>
          <w:rtl/>
        </w:rPr>
        <w:t xml:space="preserve"> </w:t>
      </w:r>
      <w:r w:rsidR="007C3480" w:rsidRPr="00FD211F">
        <w:rPr>
          <w:sz w:val="36"/>
          <w:szCs w:val="36"/>
          <w:rtl/>
        </w:rPr>
        <w:t>التوسيط</w:t>
      </w:r>
      <w:r w:rsidR="00603323" w:rsidRPr="00FD211F">
        <w:rPr>
          <w:sz w:val="36"/>
          <w:szCs w:val="36"/>
          <w:rtl/>
        </w:rPr>
        <w:t>،</w:t>
      </w:r>
      <w:r w:rsidR="00E8128F">
        <w:rPr>
          <w:sz w:val="36"/>
          <w:szCs w:val="36"/>
          <w:rtl/>
        </w:rPr>
        <w:t xml:space="preserve"> </w:t>
      </w:r>
      <w:r w:rsidR="007C3480" w:rsidRPr="00FD211F">
        <w:rPr>
          <w:sz w:val="36"/>
          <w:szCs w:val="36"/>
          <w:rtl/>
        </w:rPr>
        <w:t>حيث</w:t>
      </w:r>
      <w:r w:rsidR="00E8128F">
        <w:rPr>
          <w:sz w:val="36"/>
          <w:szCs w:val="36"/>
          <w:rtl/>
        </w:rPr>
        <w:t xml:space="preserve"> </w:t>
      </w:r>
      <w:r w:rsidR="007C3480" w:rsidRPr="00FD211F">
        <w:rPr>
          <w:sz w:val="36"/>
          <w:szCs w:val="36"/>
          <w:rtl/>
        </w:rPr>
        <w:t>ان</w:t>
      </w:r>
      <w:r w:rsidR="00E8128F">
        <w:rPr>
          <w:sz w:val="36"/>
          <w:szCs w:val="36"/>
          <w:rtl/>
        </w:rPr>
        <w:t xml:space="preserve"> </w:t>
      </w:r>
      <w:r w:rsidR="00496E6E" w:rsidRPr="00FD211F">
        <w:rPr>
          <w:sz w:val="36"/>
          <w:szCs w:val="36"/>
          <w:rtl/>
        </w:rPr>
        <w:t>مفادها</w:t>
      </w:r>
      <w:r w:rsidR="00E8128F">
        <w:rPr>
          <w:sz w:val="36"/>
          <w:szCs w:val="36"/>
          <w:rtl/>
        </w:rPr>
        <w:t xml:space="preserve"> </w:t>
      </w:r>
      <w:r w:rsidR="00496E6E" w:rsidRPr="00FD211F">
        <w:rPr>
          <w:sz w:val="36"/>
          <w:szCs w:val="36"/>
          <w:rtl/>
        </w:rPr>
        <w:t>ليس</w:t>
      </w:r>
      <w:r w:rsidR="00E8128F">
        <w:rPr>
          <w:sz w:val="36"/>
          <w:szCs w:val="36"/>
          <w:rtl/>
        </w:rPr>
        <w:t xml:space="preserve"> </w:t>
      </w:r>
      <w:r w:rsidR="00496E6E" w:rsidRPr="00FD211F">
        <w:rPr>
          <w:sz w:val="36"/>
          <w:szCs w:val="36"/>
          <w:rtl/>
        </w:rPr>
        <w:t>حكما</w:t>
      </w:r>
      <w:r w:rsidR="00E8128F">
        <w:rPr>
          <w:sz w:val="36"/>
          <w:szCs w:val="36"/>
          <w:rtl/>
        </w:rPr>
        <w:t xml:space="preserve"> </w:t>
      </w:r>
      <w:r w:rsidR="00496E6E" w:rsidRPr="00FD211F">
        <w:rPr>
          <w:sz w:val="36"/>
          <w:szCs w:val="36"/>
          <w:rtl/>
        </w:rPr>
        <w:t>شرعيا</w:t>
      </w:r>
      <w:r w:rsidR="00E8128F">
        <w:rPr>
          <w:sz w:val="36"/>
          <w:szCs w:val="36"/>
          <w:rtl/>
        </w:rPr>
        <w:t xml:space="preserve"> </w:t>
      </w:r>
      <w:r w:rsidR="00496E6E" w:rsidRPr="00FD211F">
        <w:rPr>
          <w:sz w:val="36"/>
          <w:szCs w:val="36"/>
          <w:rtl/>
        </w:rPr>
        <w:t>واقعيا</w:t>
      </w:r>
      <w:r w:rsidR="00E8128F">
        <w:rPr>
          <w:sz w:val="36"/>
          <w:szCs w:val="36"/>
          <w:rtl/>
        </w:rPr>
        <w:t xml:space="preserve"> </w:t>
      </w:r>
      <w:r w:rsidR="00496E6E" w:rsidRPr="00FD211F">
        <w:rPr>
          <w:sz w:val="36"/>
          <w:szCs w:val="36"/>
          <w:rtl/>
        </w:rPr>
        <w:t>بل</w:t>
      </w:r>
      <w:r w:rsidR="00E8128F">
        <w:rPr>
          <w:sz w:val="36"/>
          <w:szCs w:val="36"/>
          <w:rtl/>
        </w:rPr>
        <w:t xml:space="preserve"> </w:t>
      </w:r>
      <w:r w:rsidR="00496E6E" w:rsidRPr="00FD211F">
        <w:rPr>
          <w:sz w:val="36"/>
          <w:szCs w:val="36"/>
          <w:rtl/>
        </w:rPr>
        <w:t>هي</w:t>
      </w:r>
      <w:r w:rsidR="00E8128F">
        <w:rPr>
          <w:sz w:val="36"/>
          <w:szCs w:val="36"/>
          <w:rtl/>
        </w:rPr>
        <w:t xml:space="preserve"> </w:t>
      </w:r>
      <w:r w:rsidR="00496E6E" w:rsidRPr="00FD211F">
        <w:rPr>
          <w:sz w:val="36"/>
          <w:szCs w:val="36"/>
          <w:rtl/>
        </w:rPr>
        <w:t>ناظر</w:t>
      </w:r>
      <w:r w:rsidR="00EC7EDF" w:rsidRPr="00FD211F">
        <w:rPr>
          <w:sz w:val="36"/>
          <w:szCs w:val="36"/>
          <w:rtl/>
        </w:rPr>
        <w:t>ة</w:t>
      </w:r>
      <w:r w:rsidR="00E8128F">
        <w:rPr>
          <w:sz w:val="36"/>
          <w:szCs w:val="36"/>
          <w:rtl/>
        </w:rPr>
        <w:t xml:space="preserve"> </w:t>
      </w:r>
      <w:r w:rsidR="00496E6E" w:rsidRPr="00FD211F">
        <w:rPr>
          <w:sz w:val="36"/>
          <w:szCs w:val="36"/>
          <w:rtl/>
        </w:rPr>
        <w:t>الى</w:t>
      </w:r>
      <w:r w:rsidR="00E8128F">
        <w:rPr>
          <w:sz w:val="36"/>
          <w:szCs w:val="36"/>
          <w:rtl/>
        </w:rPr>
        <w:t xml:space="preserve"> </w:t>
      </w:r>
      <w:r w:rsidR="00496E6E" w:rsidRPr="00FD211F">
        <w:rPr>
          <w:sz w:val="36"/>
          <w:szCs w:val="36"/>
          <w:rtl/>
        </w:rPr>
        <w:t>إثبات</w:t>
      </w:r>
      <w:r w:rsidR="00E8128F">
        <w:rPr>
          <w:sz w:val="36"/>
          <w:szCs w:val="36"/>
          <w:rtl/>
        </w:rPr>
        <w:t xml:space="preserve"> </w:t>
      </w:r>
      <w:r w:rsidR="00496E6E" w:rsidRPr="00FD211F">
        <w:rPr>
          <w:sz w:val="36"/>
          <w:szCs w:val="36"/>
          <w:rtl/>
        </w:rPr>
        <w:t>حال</w:t>
      </w:r>
      <w:r w:rsidR="00E8128F">
        <w:rPr>
          <w:sz w:val="36"/>
          <w:szCs w:val="36"/>
          <w:rtl/>
        </w:rPr>
        <w:t xml:space="preserve"> </w:t>
      </w:r>
      <w:r w:rsidR="007C3480" w:rsidRPr="00FD211F">
        <w:rPr>
          <w:sz w:val="36"/>
          <w:szCs w:val="36"/>
          <w:rtl/>
        </w:rPr>
        <w:t>الحكم</w:t>
      </w:r>
      <w:r w:rsidR="00E8128F">
        <w:rPr>
          <w:sz w:val="36"/>
          <w:szCs w:val="36"/>
          <w:rtl/>
        </w:rPr>
        <w:t xml:space="preserve"> </w:t>
      </w:r>
      <w:r w:rsidR="007C3480" w:rsidRPr="00FD211F">
        <w:rPr>
          <w:sz w:val="36"/>
          <w:szCs w:val="36"/>
          <w:rtl/>
        </w:rPr>
        <w:t>الشرعي</w:t>
      </w:r>
      <w:r w:rsidR="00E8128F">
        <w:rPr>
          <w:sz w:val="36"/>
          <w:szCs w:val="36"/>
          <w:rtl/>
        </w:rPr>
        <w:t xml:space="preserve"> </w:t>
      </w:r>
      <w:r w:rsidR="007C3480" w:rsidRPr="00FD211F">
        <w:rPr>
          <w:sz w:val="36"/>
          <w:szCs w:val="36"/>
          <w:rtl/>
        </w:rPr>
        <w:t>الواقعي</w:t>
      </w:r>
      <w:r w:rsidR="00E8128F">
        <w:rPr>
          <w:sz w:val="36"/>
          <w:szCs w:val="36"/>
          <w:rtl/>
        </w:rPr>
        <w:t xml:space="preserve"> </w:t>
      </w:r>
      <w:r w:rsidR="00496E6E" w:rsidRPr="00FD211F">
        <w:rPr>
          <w:sz w:val="36"/>
          <w:szCs w:val="36"/>
          <w:rtl/>
        </w:rPr>
        <w:t>ولو</w:t>
      </w:r>
      <w:r w:rsidR="00E8128F">
        <w:rPr>
          <w:sz w:val="36"/>
          <w:szCs w:val="36"/>
          <w:rtl/>
        </w:rPr>
        <w:t xml:space="preserve"> </w:t>
      </w:r>
      <w:r w:rsidR="00496E6E" w:rsidRPr="00FD211F">
        <w:rPr>
          <w:sz w:val="36"/>
          <w:szCs w:val="36"/>
          <w:rtl/>
        </w:rPr>
        <w:t>تنجيزا</w:t>
      </w:r>
      <w:r w:rsidR="00E8128F">
        <w:rPr>
          <w:sz w:val="36"/>
          <w:szCs w:val="36"/>
          <w:rtl/>
        </w:rPr>
        <w:t xml:space="preserve"> </w:t>
      </w:r>
      <w:r w:rsidR="00496E6E" w:rsidRPr="00FD211F">
        <w:rPr>
          <w:sz w:val="36"/>
          <w:szCs w:val="36"/>
          <w:rtl/>
        </w:rPr>
        <w:t>او</w:t>
      </w:r>
      <w:r w:rsidR="00E8128F">
        <w:rPr>
          <w:sz w:val="36"/>
          <w:szCs w:val="36"/>
          <w:rtl/>
        </w:rPr>
        <w:t xml:space="preserve"> </w:t>
      </w:r>
      <w:r w:rsidR="00496E6E" w:rsidRPr="00FD211F">
        <w:rPr>
          <w:sz w:val="36"/>
          <w:szCs w:val="36"/>
          <w:rtl/>
        </w:rPr>
        <w:t>تعذيرا</w:t>
      </w:r>
      <w:r w:rsidR="00E8128F">
        <w:rPr>
          <w:sz w:val="36"/>
          <w:szCs w:val="36"/>
          <w:rtl/>
        </w:rPr>
        <w:t xml:space="preserve"> </w:t>
      </w:r>
      <w:r w:rsidR="007C3480" w:rsidRPr="00FD211F">
        <w:rPr>
          <w:sz w:val="36"/>
          <w:szCs w:val="36"/>
          <w:rtl/>
        </w:rPr>
        <w:t>على</w:t>
      </w:r>
      <w:r w:rsidR="00E8128F">
        <w:rPr>
          <w:sz w:val="36"/>
          <w:szCs w:val="36"/>
          <w:rtl/>
        </w:rPr>
        <w:t xml:space="preserve"> </w:t>
      </w:r>
      <w:r w:rsidR="007C3480" w:rsidRPr="00FD211F">
        <w:rPr>
          <w:sz w:val="36"/>
          <w:szCs w:val="36"/>
          <w:rtl/>
        </w:rPr>
        <w:t>وزان</w:t>
      </w:r>
      <w:r w:rsidR="00E8128F">
        <w:rPr>
          <w:sz w:val="36"/>
          <w:szCs w:val="36"/>
          <w:rtl/>
        </w:rPr>
        <w:t xml:space="preserve"> </w:t>
      </w:r>
      <w:r w:rsidR="007C3480" w:rsidRPr="00FD211F">
        <w:rPr>
          <w:sz w:val="36"/>
          <w:szCs w:val="36"/>
          <w:rtl/>
        </w:rPr>
        <w:t>جريانها</w:t>
      </w:r>
      <w:r w:rsidR="00E8128F">
        <w:rPr>
          <w:sz w:val="36"/>
          <w:szCs w:val="36"/>
          <w:rtl/>
        </w:rPr>
        <w:t xml:space="preserve"> </w:t>
      </w:r>
      <w:r w:rsidR="007C3480" w:rsidRPr="00FD211F">
        <w:rPr>
          <w:sz w:val="36"/>
          <w:szCs w:val="36"/>
          <w:rtl/>
        </w:rPr>
        <w:t>في</w:t>
      </w:r>
      <w:r w:rsidR="00E8128F">
        <w:rPr>
          <w:sz w:val="36"/>
          <w:szCs w:val="36"/>
          <w:rtl/>
        </w:rPr>
        <w:t xml:space="preserve"> </w:t>
      </w:r>
      <w:r w:rsidR="007C3480" w:rsidRPr="00FD211F">
        <w:rPr>
          <w:sz w:val="36"/>
          <w:szCs w:val="36"/>
          <w:rtl/>
        </w:rPr>
        <w:t>الشبهات</w:t>
      </w:r>
      <w:r w:rsidR="00E8128F">
        <w:rPr>
          <w:sz w:val="36"/>
          <w:szCs w:val="36"/>
          <w:rtl/>
        </w:rPr>
        <w:t xml:space="preserve"> </w:t>
      </w:r>
      <w:r w:rsidR="007C3480" w:rsidRPr="00FD211F">
        <w:rPr>
          <w:sz w:val="36"/>
          <w:szCs w:val="36"/>
          <w:rtl/>
        </w:rPr>
        <w:t>الحكمي</w:t>
      </w:r>
      <w:r w:rsidR="00EC7EDF" w:rsidRPr="00FD211F">
        <w:rPr>
          <w:sz w:val="36"/>
          <w:szCs w:val="36"/>
          <w:rtl/>
        </w:rPr>
        <w:t>ة</w:t>
      </w:r>
      <w:r w:rsidR="00603323" w:rsidRPr="00FD211F">
        <w:rPr>
          <w:sz w:val="36"/>
          <w:szCs w:val="36"/>
          <w:rtl/>
        </w:rPr>
        <w:t>،</w:t>
      </w:r>
      <w:r w:rsidR="00E8128F">
        <w:rPr>
          <w:sz w:val="36"/>
          <w:szCs w:val="36"/>
          <w:rtl/>
        </w:rPr>
        <w:t xml:space="preserve"> </w:t>
      </w:r>
      <w:r w:rsidR="007C3480" w:rsidRPr="00FD211F">
        <w:rPr>
          <w:sz w:val="36"/>
          <w:szCs w:val="36"/>
          <w:rtl/>
        </w:rPr>
        <w:t>غايته</w:t>
      </w:r>
      <w:r w:rsidR="00E8128F">
        <w:rPr>
          <w:sz w:val="36"/>
          <w:szCs w:val="36"/>
          <w:rtl/>
        </w:rPr>
        <w:t xml:space="preserve"> </w:t>
      </w:r>
      <w:r w:rsidR="007C3480" w:rsidRPr="00FD211F">
        <w:rPr>
          <w:sz w:val="36"/>
          <w:szCs w:val="36"/>
          <w:rtl/>
        </w:rPr>
        <w:t>ان</w:t>
      </w:r>
      <w:r w:rsidR="00E8128F">
        <w:rPr>
          <w:sz w:val="36"/>
          <w:szCs w:val="36"/>
          <w:rtl/>
        </w:rPr>
        <w:t xml:space="preserve"> </w:t>
      </w:r>
      <w:r w:rsidR="007C3480" w:rsidRPr="00FD211F">
        <w:rPr>
          <w:sz w:val="36"/>
          <w:szCs w:val="36"/>
          <w:rtl/>
        </w:rPr>
        <w:t>مفادها</w:t>
      </w:r>
      <w:r w:rsidR="00E8128F">
        <w:rPr>
          <w:sz w:val="36"/>
          <w:szCs w:val="36"/>
          <w:rtl/>
        </w:rPr>
        <w:t xml:space="preserve"> </w:t>
      </w:r>
      <w:r w:rsidR="007C3480" w:rsidRPr="00FD211F">
        <w:rPr>
          <w:sz w:val="36"/>
          <w:szCs w:val="36"/>
          <w:rtl/>
        </w:rPr>
        <w:t>يكون</w:t>
      </w:r>
      <w:r w:rsidR="00E8128F">
        <w:rPr>
          <w:sz w:val="36"/>
          <w:szCs w:val="36"/>
          <w:rtl/>
        </w:rPr>
        <w:t xml:space="preserve"> </w:t>
      </w:r>
      <w:r w:rsidR="007C3480" w:rsidRPr="00FD211F">
        <w:rPr>
          <w:sz w:val="36"/>
          <w:szCs w:val="36"/>
          <w:rtl/>
        </w:rPr>
        <w:t>تنقيح</w:t>
      </w:r>
      <w:r w:rsidR="00E8128F">
        <w:rPr>
          <w:sz w:val="36"/>
          <w:szCs w:val="36"/>
          <w:rtl/>
        </w:rPr>
        <w:t xml:space="preserve"> </w:t>
      </w:r>
      <w:r w:rsidR="007C3480" w:rsidRPr="00FD211F">
        <w:rPr>
          <w:sz w:val="36"/>
          <w:szCs w:val="36"/>
          <w:rtl/>
        </w:rPr>
        <w:t>حال</w:t>
      </w:r>
      <w:r w:rsidR="00E8128F">
        <w:rPr>
          <w:sz w:val="36"/>
          <w:szCs w:val="36"/>
          <w:rtl/>
        </w:rPr>
        <w:t xml:space="preserve"> </w:t>
      </w:r>
      <w:r w:rsidR="007C3480" w:rsidRPr="00FD211F">
        <w:rPr>
          <w:sz w:val="36"/>
          <w:szCs w:val="36"/>
          <w:rtl/>
        </w:rPr>
        <w:t>الحكم</w:t>
      </w:r>
      <w:r w:rsidR="00E8128F">
        <w:rPr>
          <w:sz w:val="36"/>
          <w:szCs w:val="36"/>
          <w:rtl/>
        </w:rPr>
        <w:t xml:space="preserve"> </w:t>
      </w:r>
      <w:r w:rsidR="007C3480" w:rsidRPr="00FD211F">
        <w:rPr>
          <w:sz w:val="36"/>
          <w:szCs w:val="36"/>
          <w:rtl/>
        </w:rPr>
        <w:t>الجزئي</w:t>
      </w:r>
      <w:r w:rsidR="00E8128F">
        <w:rPr>
          <w:sz w:val="36"/>
          <w:szCs w:val="36"/>
          <w:rtl/>
        </w:rPr>
        <w:t xml:space="preserve"> </w:t>
      </w:r>
      <w:r w:rsidR="007C3480" w:rsidRPr="00FD211F">
        <w:rPr>
          <w:sz w:val="36"/>
          <w:szCs w:val="36"/>
          <w:rtl/>
        </w:rPr>
        <w:t>بخلاف</w:t>
      </w:r>
      <w:r w:rsidR="00E8128F">
        <w:rPr>
          <w:sz w:val="36"/>
          <w:szCs w:val="36"/>
          <w:rtl/>
        </w:rPr>
        <w:t xml:space="preserve"> </w:t>
      </w:r>
      <w:r w:rsidR="007C3480" w:rsidRPr="00FD211F">
        <w:rPr>
          <w:sz w:val="36"/>
          <w:szCs w:val="36"/>
          <w:rtl/>
        </w:rPr>
        <w:t>الامارات</w:t>
      </w:r>
      <w:r w:rsidR="00E8128F">
        <w:rPr>
          <w:sz w:val="36"/>
          <w:szCs w:val="36"/>
          <w:rtl/>
        </w:rPr>
        <w:t xml:space="preserve"> </w:t>
      </w:r>
      <w:r w:rsidR="007C3480" w:rsidRPr="00FD211F">
        <w:rPr>
          <w:sz w:val="36"/>
          <w:szCs w:val="36"/>
          <w:rtl/>
        </w:rPr>
        <w:t>والاصول</w:t>
      </w:r>
      <w:r w:rsidR="00E8128F">
        <w:rPr>
          <w:sz w:val="36"/>
          <w:szCs w:val="36"/>
          <w:rtl/>
        </w:rPr>
        <w:t xml:space="preserve"> </w:t>
      </w:r>
      <w:r w:rsidR="007C3480" w:rsidRPr="00FD211F">
        <w:rPr>
          <w:sz w:val="36"/>
          <w:szCs w:val="36"/>
          <w:rtl/>
        </w:rPr>
        <w:t>الجاري</w:t>
      </w:r>
      <w:r w:rsidR="00EC7EDF" w:rsidRPr="00FD211F">
        <w:rPr>
          <w:sz w:val="36"/>
          <w:szCs w:val="36"/>
          <w:rtl/>
        </w:rPr>
        <w:t>ة</w:t>
      </w:r>
      <w:r w:rsidR="00E8128F">
        <w:rPr>
          <w:sz w:val="36"/>
          <w:szCs w:val="36"/>
          <w:rtl/>
        </w:rPr>
        <w:t xml:space="preserve"> </w:t>
      </w:r>
      <w:r w:rsidR="007C3480" w:rsidRPr="00FD211F">
        <w:rPr>
          <w:sz w:val="36"/>
          <w:szCs w:val="36"/>
          <w:rtl/>
        </w:rPr>
        <w:t>في</w:t>
      </w:r>
      <w:r w:rsidR="00E8128F">
        <w:rPr>
          <w:sz w:val="36"/>
          <w:szCs w:val="36"/>
          <w:rtl/>
        </w:rPr>
        <w:t xml:space="preserve"> </w:t>
      </w:r>
      <w:r w:rsidR="007C3480" w:rsidRPr="00FD211F">
        <w:rPr>
          <w:sz w:val="36"/>
          <w:szCs w:val="36"/>
          <w:rtl/>
        </w:rPr>
        <w:t>الشبهات</w:t>
      </w:r>
      <w:r w:rsidR="00E8128F">
        <w:rPr>
          <w:sz w:val="36"/>
          <w:szCs w:val="36"/>
          <w:rtl/>
        </w:rPr>
        <w:t xml:space="preserve"> </w:t>
      </w:r>
      <w:r w:rsidR="007C3480" w:rsidRPr="00FD211F">
        <w:rPr>
          <w:sz w:val="36"/>
          <w:szCs w:val="36"/>
          <w:rtl/>
        </w:rPr>
        <w:t>الحكمي</w:t>
      </w:r>
      <w:r w:rsidR="00EC7EDF" w:rsidRPr="00FD211F">
        <w:rPr>
          <w:sz w:val="36"/>
          <w:szCs w:val="36"/>
          <w:rtl/>
        </w:rPr>
        <w:t>ة</w:t>
      </w:r>
      <w:r w:rsidR="00A61BAE" w:rsidRPr="00FD211F">
        <w:rPr>
          <w:sz w:val="36"/>
          <w:szCs w:val="36"/>
          <w:rtl/>
        </w:rPr>
        <w:t>.</w:t>
      </w:r>
    </w:p>
    <w:p w14:paraId="792C677C" w14:textId="77777777" w:rsidR="009331ED" w:rsidRPr="00FD211F" w:rsidRDefault="006A2240" w:rsidP="009C58C8">
      <w:pPr>
        <w:ind w:left="0" w:firstLine="227"/>
        <w:jc w:val="both"/>
        <w:rPr>
          <w:sz w:val="36"/>
          <w:szCs w:val="36"/>
          <w:rtl/>
        </w:rPr>
      </w:pPr>
      <w:r w:rsidRPr="00FD211F">
        <w:rPr>
          <w:sz w:val="36"/>
          <w:szCs w:val="36"/>
          <w:rtl/>
        </w:rPr>
        <w:t>4-</w:t>
      </w:r>
      <w:r w:rsidR="00E8128F">
        <w:rPr>
          <w:sz w:val="36"/>
          <w:szCs w:val="36"/>
          <w:rtl/>
        </w:rPr>
        <w:t xml:space="preserve"> </w:t>
      </w:r>
      <w:r w:rsidRPr="00FD211F">
        <w:rPr>
          <w:sz w:val="36"/>
          <w:szCs w:val="36"/>
          <w:rtl/>
        </w:rPr>
        <w:t>ان</w:t>
      </w:r>
      <w:r w:rsidR="00E8128F">
        <w:rPr>
          <w:sz w:val="36"/>
          <w:szCs w:val="36"/>
          <w:rtl/>
        </w:rPr>
        <w:t xml:space="preserve"> </w:t>
      </w:r>
      <w:r w:rsidR="009331ED" w:rsidRPr="00FD211F">
        <w:rPr>
          <w:sz w:val="36"/>
          <w:szCs w:val="36"/>
          <w:rtl/>
        </w:rPr>
        <w:t>استظهار</w:t>
      </w:r>
      <w:r w:rsidR="00E8128F">
        <w:rPr>
          <w:sz w:val="36"/>
          <w:szCs w:val="36"/>
          <w:rtl/>
        </w:rPr>
        <w:t xml:space="preserve"> </w:t>
      </w:r>
      <w:r w:rsidR="009331ED" w:rsidRPr="00FD211F">
        <w:rPr>
          <w:sz w:val="36"/>
          <w:szCs w:val="36"/>
          <w:rtl/>
        </w:rPr>
        <w:t>التوسيط</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قبال</w:t>
      </w:r>
      <w:r w:rsidR="00E8128F">
        <w:rPr>
          <w:sz w:val="36"/>
          <w:szCs w:val="36"/>
          <w:rtl/>
        </w:rPr>
        <w:t xml:space="preserve"> </w:t>
      </w:r>
      <w:r w:rsidRPr="00FD211F">
        <w:rPr>
          <w:sz w:val="36"/>
          <w:szCs w:val="36"/>
          <w:rtl/>
        </w:rPr>
        <w:t>التطبيق</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كلم</w:t>
      </w:r>
      <w:r w:rsidR="00EC7EDF" w:rsidRPr="00FD211F">
        <w:rPr>
          <w:sz w:val="36"/>
          <w:szCs w:val="36"/>
          <w:rtl/>
        </w:rPr>
        <w:t>ة</w:t>
      </w:r>
      <w:r w:rsidR="00E8128F">
        <w:rPr>
          <w:sz w:val="36"/>
          <w:szCs w:val="36"/>
          <w:rtl/>
        </w:rPr>
        <w:t xml:space="preserve"> </w:t>
      </w:r>
      <w:r w:rsidRPr="00FD211F">
        <w:rPr>
          <w:sz w:val="36"/>
          <w:szCs w:val="36"/>
          <w:rtl/>
        </w:rPr>
        <w:t>الاستنباط</w:t>
      </w:r>
      <w:r w:rsidR="00E8128F">
        <w:rPr>
          <w:sz w:val="36"/>
          <w:szCs w:val="36"/>
          <w:rtl/>
        </w:rPr>
        <w:t xml:space="preserve"> </w:t>
      </w:r>
      <w:r w:rsidR="009331ED" w:rsidRPr="00FD211F">
        <w:rPr>
          <w:sz w:val="36"/>
          <w:szCs w:val="36"/>
          <w:rtl/>
        </w:rPr>
        <w:t>مما</w:t>
      </w:r>
      <w:r w:rsidR="00E8128F">
        <w:rPr>
          <w:sz w:val="36"/>
          <w:szCs w:val="36"/>
          <w:rtl/>
        </w:rPr>
        <w:t xml:space="preserve"> </w:t>
      </w:r>
      <w:r w:rsidR="009331ED" w:rsidRPr="00FD211F">
        <w:rPr>
          <w:sz w:val="36"/>
          <w:szCs w:val="36"/>
          <w:rtl/>
        </w:rPr>
        <w:t>لايساعد</w:t>
      </w:r>
      <w:r w:rsidR="00E8128F">
        <w:rPr>
          <w:sz w:val="36"/>
          <w:szCs w:val="36"/>
          <w:rtl/>
        </w:rPr>
        <w:t xml:space="preserve"> </w:t>
      </w:r>
      <w:r w:rsidR="009331ED" w:rsidRPr="00FD211F">
        <w:rPr>
          <w:sz w:val="36"/>
          <w:szCs w:val="36"/>
          <w:rtl/>
        </w:rPr>
        <w:t>عليه</w:t>
      </w:r>
      <w:r w:rsidR="00E8128F">
        <w:rPr>
          <w:sz w:val="36"/>
          <w:szCs w:val="36"/>
          <w:rtl/>
        </w:rPr>
        <w:t xml:space="preserve"> </w:t>
      </w:r>
      <w:r w:rsidR="009331ED" w:rsidRPr="00FD211F">
        <w:rPr>
          <w:sz w:val="36"/>
          <w:szCs w:val="36"/>
          <w:rtl/>
        </w:rPr>
        <w:t>العرف</w:t>
      </w:r>
      <w:r w:rsidR="00E8128F">
        <w:rPr>
          <w:sz w:val="36"/>
          <w:szCs w:val="36"/>
          <w:rtl/>
        </w:rPr>
        <w:t xml:space="preserve"> </w:t>
      </w:r>
      <w:r w:rsidR="009331ED" w:rsidRPr="00FD211F">
        <w:rPr>
          <w:sz w:val="36"/>
          <w:szCs w:val="36"/>
          <w:rtl/>
        </w:rPr>
        <w:t>بوجه</w:t>
      </w:r>
      <w:r w:rsidR="00603323" w:rsidRPr="00FD211F">
        <w:rPr>
          <w:sz w:val="36"/>
          <w:szCs w:val="36"/>
          <w:rtl/>
        </w:rPr>
        <w:t>،</w:t>
      </w:r>
      <w:r w:rsidR="00E8128F">
        <w:rPr>
          <w:sz w:val="36"/>
          <w:szCs w:val="36"/>
          <w:rtl/>
        </w:rPr>
        <w:t xml:space="preserve"> </w:t>
      </w:r>
      <w:r w:rsidR="009331ED" w:rsidRPr="00FD211F">
        <w:rPr>
          <w:sz w:val="36"/>
          <w:szCs w:val="36"/>
          <w:rtl/>
        </w:rPr>
        <w:t>كما</w:t>
      </w:r>
      <w:r w:rsidR="00E8128F">
        <w:rPr>
          <w:sz w:val="36"/>
          <w:szCs w:val="36"/>
          <w:rtl/>
        </w:rPr>
        <w:t xml:space="preserve"> </w:t>
      </w:r>
      <w:r w:rsidR="009331ED" w:rsidRPr="00FD211F">
        <w:rPr>
          <w:sz w:val="36"/>
          <w:szCs w:val="36"/>
          <w:rtl/>
        </w:rPr>
        <w:t>ذكره</w:t>
      </w:r>
      <w:r w:rsidR="00E8128F">
        <w:rPr>
          <w:sz w:val="36"/>
          <w:szCs w:val="36"/>
          <w:rtl/>
        </w:rPr>
        <w:t xml:space="preserve"> </w:t>
      </w:r>
      <w:r w:rsidR="009331ED" w:rsidRPr="00FD211F">
        <w:rPr>
          <w:sz w:val="36"/>
          <w:szCs w:val="36"/>
          <w:rtl/>
        </w:rPr>
        <w:t>بعض</w:t>
      </w:r>
      <w:r w:rsidR="00E8128F">
        <w:rPr>
          <w:sz w:val="36"/>
          <w:szCs w:val="36"/>
          <w:rtl/>
        </w:rPr>
        <w:t xml:space="preserve"> </w:t>
      </w:r>
      <w:r w:rsidR="009331ED" w:rsidRPr="00FD211F">
        <w:rPr>
          <w:sz w:val="36"/>
          <w:szCs w:val="36"/>
          <w:rtl/>
        </w:rPr>
        <w:t>الاعاظم</w:t>
      </w:r>
      <w:r w:rsidR="00E8128F">
        <w:rPr>
          <w:sz w:val="36"/>
          <w:szCs w:val="36"/>
          <w:rtl/>
        </w:rPr>
        <w:t xml:space="preserve"> </w:t>
      </w:r>
      <w:r w:rsidR="008F14E7" w:rsidRPr="00FD211F">
        <w:rPr>
          <w:sz w:val="36"/>
          <w:szCs w:val="36"/>
          <w:rtl/>
        </w:rPr>
        <w:t>"قده"</w:t>
      </w:r>
      <w:r w:rsidR="009C58C8" w:rsidRPr="00FD211F">
        <w:rPr>
          <w:rStyle w:val="a6"/>
          <w:sz w:val="36"/>
          <w:szCs w:val="36"/>
          <w:rtl/>
        </w:rPr>
        <w:t>(</w:t>
      </w:r>
      <w:r w:rsidR="009C58C8" w:rsidRPr="00FD211F">
        <w:rPr>
          <w:rStyle w:val="a6"/>
          <w:sz w:val="36"/>
          <w:szCs w:val="36"/>
          <w:rtl/>
        </w:rPr>
        <w:footnoteReference w:id="44"/>
      </w:r>
      <w:r w:rsidR="009C58C8" w:rsidRPr="00FD211F">
        <w:rPr>
          <w:rStyle w:val="a6"/>
          <w:sz w:val="36"/>
          <w:szCs w:val="36"/>
          <w:rtl/>
        </w:rPr>
        <w:t>)</w:t>
      </w:r>
      <w:r w:rsidR="00603323" w:rsidRPr="00FD211F">
        <w:rPr>
          <w:sz w:val="36"/>
          <w:szCs w:val="36"/>
          <w:rtl/>
        </w:rPr>
        <w:t>،</w:t>
      </w:r>
      <w:r w:rsidR="00E8128F">
        <w:rPr>
          <w:sz w:val="36"/>
          <w:szCs w:val="36"/>
          <w:rtl/>
        </w:rPr>
        <w:t xml:space="preserve"> </w:t>
      </w:r>
      <w:r w:rsidR="007F2BFB" w:rsidRPr="00FD211F">
        <w:rPr>
          <w:sz w:val="36"/>
          <w:szCs w:val="36"/>
          <w:rtl/>
        </w:rPr>
        <w:t>وهكذا</w:t>
      </w:r>
      <w:r w:rsidR="00E8128F">
        <w:rPr>
          <w:sz w:val="36"/>
          <w:szCs w:val="36"/>
          <w:rtl/>
        </w:rPr>
        <w:t xml:space="preserve"> </w:t>
      </w:r>
      <w:r w:rsidR="007F2BFB" w:rsidRPr="00FD211F">
        <w:rPr>
          <w:sz w:val="36"/>
          <w:szCs w:val="36"/>
          <w:rtl/>
        </w:rPr>
        <w:t>ذكر</w:t>
      </w:r>
      <w:r w:rsidR="00E8128F">
        <w:rPr>
          <w:sz w:val="36"/>
          <w:szCs w:val="36"/>
          <w:rtl/>
        </w:rPr>
        <w:t xml:space="preserve"> </w:t>
      </w:r>
      <w:r w:rsidR="007F2BFB" w:rsidRPr="00FD211F">
        <w:rPr>
          <w:sz w:val="36"/>
          <w:szCs w:val="36"/>
          <w:rtl/>
        </w:rPr>
        <w:t>في</w:t>
      </w:r>
      <w:r w:rsidR="00E8128F">
        <w:rPr>
          <w:sz w:val="36"/>
          <w:szCs w:val="36"/>
          <w:rtl/>
        </w:rPr>
        <w:t xml:space="preserve"> </w:t>
      </w:r>
      <w:r w:rsidR="007F2BFB" w:rsidRPr="00FD211F">
        <w:rPr>
          <w:sz w:val="36"/>
          <w:szCs w:val="36"/>
          <w:rtl/>
        </w:rPr>
        <w:t>البحوث</w:t>
      </w:r>
      <w:r w:rsidR="009C58C8" w:rsidRPr="00FD211F">
        <w:rPr>
          <w:rStyle w:val="a6"/>
          <w:sz w:val="36"/>
          <w:szCs w:val="36"/>
          <w:rtl/>
        </w:rPr>
        <w:t>(</w:t>
      </w:r>
      <w:r w:rsidR="009C58C8" w:rsidRPr="00FD211F">
        <w:rPr>
          <w:rStyle w:val="a6"/>
          <w:sz w:val="36"/>
          <w:szCs w:val="36"/>
          <w:rtl/>
        </w:rPr>
        <w:footnoteReference w:id="45"/>
      </w:r>
      <w:r w:rsidR="009C58C8" w:rsidRPr="00FD211F">
        <w:rPr>
          <w:rStyle w:val="a6"/>
          <w:sz w:val="36"/>
          <w:szCs w:val="36"/>
          <w:rtl/>
        </w:rPr>
        <w:t>)</w:t>
      </w:r>
      <w:r w:rsidR="00603323" w:rsidRPr="00FD211F">
        <w:rPr>
          <w:sz w:val="36"/>
          <w:szCs w:val="36"/>
          <w:rtl/>
        </w:rPr>
        <w:t>،</w:t>
      </w:r>
      <w:r w:rsidR="00E8128F">
        <w:rPr>
          <w:sz w:val="36"/>
          <w:szCs w:val="36"/>
          <w:rtl/>
        </w:rPr>
        <w:t xml:space="preserve"> </w:t>
      </w:r>
      <w:r w:rsidR="004C39FF" w:rsidRPr="00FD211F">
        <w:rPr>
          <w:sz w:val="36"/>
          <w:szCs w:val="36"/>
          <w:rtl/>
        </w:rPr>
        <w:t>فان</w:t>
      </w:r>
      <w:r w:rsidR="00E8128F">
        <w:rPr>
          <w:sz w:val="36"/>
          <w:szCs w:val="36"/>
          <w:rtl/>
        </w:rPr>
        <w:t xml:space="preserve"> </w:t>
      </w:r>
      <w:r w:rsidR="004C39FF" w:rsidRPr="00FD211F">
        <w:rPr>
          <w:sz w:val="36"/>
          <w:szCs w:val="36"/>
          <w:rtl/>
        </w:rPr>
        <w:t>غاي</w:t>
      </w:r>
      <w:r w:rsidR="00EC7EDF" w:rsidRPr="00FD211F">
        <w:rPr>
          <w:sz w:val="36"/>
          <w:szCs w:val="36"/>
          <w:rtl/>
        </w:rPr>
        <w:t>ة</w:t>
      </w:r>
      <w:r w:rsidR="00E8128F">
        <w:rPr>
          <w:sz w:val="36"/>
          <w:szCs w:val="36"/>
          <w:rtl/>
        </w:rPr>
        <w:t xml:space="preserve"> </w:t>
      </w:r>
      <w:r w:rsidR="004C39FF" w:rsidRPr="00FD211F">
        <w:rPr>
          <w:sz w:val="36"/>
          <w:szCs w:val="36"/>
          <w:rtl/>
        </w:rPr>
        <w:t>ما</w:t>
      </w:r>
      <w:r w:rsidR="00E8128F">
        <w:rPr>
          <w:sz w:val="36"/>
          <w:szCs w:val="36"/>
          <w:rtl/>
        </w:rPr>
        <w:t xml:space="preserve"> </w:t>
      </w:r>
      <w:r w:rsidR="004C39FF" w:rsidRPr="00FD211F">
        <w:rPr>
          <w:sz w:val="36"/>
          <w:szCs w:val="36"/>
          <w:rtl/>
        </w:rPr>
        <w:t>يظهر</w:t>
      </w:r>
      <w:r w:rsidR="00E8128F">
        <w:rPr>
          <w:sz w:val="36"/>
          <w:szCs w:val="36"/>
          <w:rtl/>
        </w:rPr>
        <w:t xml:space="preserve"> </w:t>
      </w:r>
      <w:r w:rsidR="004C39FF" w:rsidRPr="00FD211F">
        <w:rPr>
          <w:sz w:val="36"/>
          <w:szCs w:val="36"/>
          <w:rtl/>
        </w:rPr>
        <w:t>من</w:t>
      </w:r>
      <w:r w:rsidR="00E8128F">
        <w:rPr>
          <w:sz w:val="36"/>
          <w:szCs w:val="36"/>
          <w:rtl/>
        </w:rPr>
        <w:t xml:space="preserve"> </w:t>
      </w:r>
      <w:r w:rsidR="004C39FF" w:rsidRPr="00FD211F">
        <w:rPr>
          <w:sz w:val="36"/>
          <w:szCs w:val="36"/>
          <w:rtl/>
        </w:rPr>
        <w:t>كلم</w:t>
      </w:r>
      <w:r w:rsidR="00EC7EDF" w:rsidRPr="00FD211F">
        <w:rPr>
          <w:sz w:val="36"/>
          <w:szCs w:val="36"/>
          <w:rtl/>
        </w:rPr>
        <w:t>ة</w:t>
      </w:r>
      <w:r w:rsidR="00E8128F">
        <w:rPr>
          <w:sz w:val="36"/>
          <w:szCs w:val="36"/>
          <w:rtl/>
        </w:rPr>
        <w:t xml:space="preserve"> </w:t>
      </w:r>
      <w:r w:rsidR="004C39FF" w:rsidRPr="00FD211F">
        <w:rPr>
          <w:sz w:val="36"/>
          <w:szCs w:val="36"/>
          <w:rtl/>
        </w:rPr>
        <w:t>الاستنباط</w:t>
      </w:r>
      <w:r w:rsidR="00E8128F">
        <w:rPr>
          <w:sz w:val="36"/>
          <w:szCs w:val="36"/>
          <w:rtl/>
        </w:rPr>
        <w:t xml:space="preserve"> </w:t>
      </w:r>
      <w:r w:rsidR="004C39FF" w:rsidRPr="00FD211F">
        <w:rPr>
          <w:sz w:val="36"/>
          <w:szCs w:val="36"/>
          <w:rtl/>
        </w:rPr>
        <w:t>اشتمالها</w:t>
      </w:r>
      <w:r w:rsidR="00E8128F">
        <w:rPr>
          <w:sz w:val="36"/>
          <w:szCs w:val="36"/>
          <w:rtl/>
        </w:rPr>
        <w:t xml:space="preserve"> </w:t>
      </w:r>
      <w:r w:rsidR="004C39FF" w:rsidRPr="00FD211F">
        <w:rPr>
          <w:sz w:val="36"/>
          <w:szCs w:val="36"/>
          <w:rtl/>
        </w:rPr>
        <w:t>على</w:t>
      </w:r>
      <w:r w:rsidR="00E8128F">
        <w:rPr>
          <w:sz w:val="36"/>
          <w:szCs w:val="36"/>
          <w:rtl/>
        </w:rPr>
        <w:t xml:space="preserve"> </w:t>
      </w:r>
      <w:r w:rsidR="004C39FF" w:rsidRPr="00FD211F">
        <w:rPr>
          <w:sz w:val="36"/>
          <w:szCs w:val="36"/>
          <w:rtl/>
        </w:rPr>
        <w:t>المشق</w:t>
      </w:r>
      <w:r w:rsidR="00EC7EDF" w:rsidRPr="00FD211F">
        <w:rPr>
          <w:sz w:val="36"/>
          <w:szCs w:val="36"/>
          <w:rtl/>
        </w:rPr>
        <w:t>ة</w:t>
      </w:r>
      <w:r w:rsidR="00E8128F">
        <w:rPr>
          <w:sz w:val="36"/>
          <w:szCs w:val="36"/>
          <w:rtl/>
        </w:rPr>
        <w:t xml:space="preserve"> </w:t>
      </w:r>
      <w:r w:rsidR="004C39FF" w:rsidRPr="00FD211F">
        <w:rPr>
          <w:sz w:val="36"/>
          <w:szCs w:val="36"/>
          <w:rtl/>
        </w:rPr>
        <w:t>حيث</w:t>
      </w:r>
      <w:r w:rsidR="00E8128F">
        <w:rPr>
          <w:sz w:val="36"/>
          <w:szCs w:val="36"/>
          <w:rtl/>
        </w:rPr>
        <w:t xml:space="preserve"> </w:t>
      </w:r>
      <w:r w:rsidR="004C39FF" w:rsidRPr="00FD211F">
        <w:rPr>
          <w:sz w:val="36"/>
          <w:szCs w:val="36"/>
          <w:rtl/>
        </w:rPr>
        <w:t>أنها</w:t>
      </w:r>
      <w:r w:rsidR="00E8128F">
        <w:rPr>
          <w:sz w:val="36"/>
          <w:szCs w:val="36"/>
          <w:rtl/>
        </w:rPr>
        <w:t xml:space="preserve"> </w:t>
      </w:r>
      <w:r w:rsidR="004C39FF" w:rsidRPr="00FD211F">
        <w:rPr>
          <w:sz w:val="36"/>
          <w:szCs w:val="36"/>
          <w:rtl/>
        </w:rPr>
        <w:t>مأخوذ</w:t>
      </w:r>
      <w:r w:rsidR="00EC7EDF" w:rsidRPr="00FD211F">
        <w:rPr>
          <w:sz w:val="36"/>
          <w:szCs w:val="36"/>
          <w:rtl/>
        </w:rPr>
        <w:t>ة</w:t>
      </w:r>
      <w:r w:rsidR="00E8128F">
        <w:rPr>
          <w:sz w:val="36"/>
          <w:szCs w:val="36"/>
          <w:rtl/>
        </w:rPr>
        <w:t xml:space="preserve"> </w:t>
      </w:r>
      <w:r w:rsidR="004C39FF" w:rsidRPr="00FD211F">
        <w:rPr>
          <w:sz w:val="36"/>
          <w:szCs w:val="36"/>
          <w:rtl/>
        </w:rPr>
        <w:t>من</w:t>
      </w:r>
      <w:r w:rsidR="00E8128F">
        <w:rPr>
          <w:sz w:val="36"/>
          <w:szCs w:val="36"/>
          <w:rtl/>
        </w:rPr>
        <w:t xml:space="preserve"> </w:t>
      </w:r>
      <w:r w:rsidR="004C39FF" w:rsidRPr="00FD211F">
        <w:rPr>
          <w:sz w:val="36"/>
          <w:szCs w:val="36"/>
          <w:rtl/>
        </w:rPr>
        <w:t>النبط</w:t>
      </w:r>
      <w:r w:rsidR="00603323" w:rsidRPr="00FD211F">
        <w:rPr>
          <w:sz w:val="36"/>
          <w:szCs w:val="36"/>
          <w:rtl/>
        </w:rPr>
        <w:t>،</w:t>
      </w:r>
      <w:r w:rsidR="00E8128F">
        <w:rPr>
          <w:sz w:val="36"/>
          <w:szCs w:val="36"/>
          <w:rtl/>
        </w:rPr>
        <w:t xml:space="preserve"> </w:t>
      </w:r>
      <w:r w:rsidR="004C39FF" w:rsidRPr="00FD211F">
        <w:rPr>
          <w:sz w:val="36"/>
          <w:szCs w:val="36"/>
          <w:rtl/>
        </w:rPr>
        <w:t>وهو</w:t>
      </w:r>
      <w:r w:rsidR="00E8128F">
        <w:rPr>
          <w:sz w:val="36"/>
          <w:szCs w:val="36"/>
          <w:rtl/>
        </w:rPr>
        <w:t xml:space="preserve"> </w:t>
      </w:r>
      <w:r w:rsidR="004C39FF" w:rsidRPr="00FD211F">
        <w:rPr>
          <w:sz w:val="36"/>
          <w:szCs w:val="36"/>
          <w:rtl/>
        </w:rPr>
        <w:t>استخراج</w:t>
      </w:r>
      <w:r w:rsidR="00E8128F">
        <w:rPr>
          <w:sz w:val="36"/>
          <w:szCs w:val="36"/>
          <w:rtl/>
        </w:rPr>
        <w:t xml:space="preserve"> </w:t>
      </w:r>
      <w:r w:rsidR="004C39FF" w:rsidRPr="00FD211F">
        <w:rPr>
          <w:sz w:val="36"/>
          <w:szCs w:val="36"/>
          <w:rtl/>
        </w:rPr>
        <w:t>ما</w:t>
      </w:r>
      <w:r w:rsidR="00E8128F">
        <w:rPr>
          <w:sz w:val="36"/>
          <w:szCs w:val="36"/>
          <w:rtl/>
        </w:rPr>
        <w:t xml:space="preserve"> </w:t>
      </w:r>
      <w:r w:rsidR="004C39FF" w:rsidRPr="00FD211F">
        <w:rPr>
          <w:sz w:val="36"/>
          <w:szCs w:val="36"/>
          <w:rtl/>
        </w:rPr>
        <w:t>كان</w:t>
      </w:r>
      <w:r w:rsidR="00E8128F">
        <w:rPr>
          <w:sz w:val="36"/>
          <w:szCs w:val="36"/>
          <w:rtl/>
        </w:rPr>
        <w:t xml:space="preserve"> </w:t>
      </w:r>
      <w:r w:rsidR="004C39FF" w:rsidRPr="00FD211F">
        <w:rPr>
          <w:sz w:val="36"/>
          <w:szCs w:val="36"/>
          <w:rtl/>
        </w:rPr>
        <w:t>مخبو</w:t>
      </w:r>
      <w:r w:rsidR="00184411" w:rsidRPr="00FD211F">
        <w:rPr>
          <w:sz w:val="36"/>
          <w:szCs w:val="36"/>
          <w:rtl/>
        </w:rPr>
        <w:t>ّ</w:t>
      </w:r>
      <w:r w:rsidR="004C39FF" w:rsidRPr="00FD211F">
        <w:rPr>
          <w:sz w:val="36"/>
          <w:szCs w:val="36"/>
          <w:rtl/>
        </w:rPr>
        <w:t>ا</w:t>
      </w:r>
      <w:r w:rsidR="00E8128F">
        <w:rPr>
          <w:sz w:val="36"/>
          <w:szCs w:val="36"/>
          <w:rtl/>
        </w:rPr>
        <w:t xml:space="preserve"> </w:t>
      </w:r>
      <w:r w:rsidR="004C39FF" w:rsidRPr="00FD211F">
        <w:rPr>
          <w:sz w:val="36"/>
          <w:szCs w:val="36"/>
          <w:rtl/>
        </w:rPr>
        <w:t>في</w:t>
      </w:r>
      <w:r w:rsidR="00E8128F">
        <w:rPr>
          <w:sz w:val="36"/>
          <w:szCs w:val="36"/>
          <w:rtl/>
        </w:rPr>
        <w:t xml:space="preserve"> </w:t>
      </w:r>
      <w:r w:rsidR="004C39FF" w:rsidRPr="00FD211F">
        <w:rPr>
          <w:sz w:val="36"/>
          <w:szCs w:val="36"/>
          <w:rtl/>
        </w:rPr>
        <w:t>مكان</w:t>
      </w:r>
      <w:r w:rsidR="00603323" w:rsidRPr="00FD211F">
        <w:rPr>
          <w:sz w:val="36"/>
          <w:szCs w:val="36"/>
          <w:rtl/>
        </w:rPr>
        <w:t>،</w:t>
      </w:r>
      <w:r w:rsidR="00E8128F">
        <w:rPr>
          <w:sz w:val="36"/>
          <w:szCs w:val="36"/>
          <w:rtl/>
        </w:rPr>
        <w:t xml:space="preserve"> </w:t>
      </w:r>
      <w:r w:rsidR="004C39FF" w:rsidRPr="00FD211F">
        <w:rPr>
          <w:sz w:val="36"/>
          <w:szCs w:val="36"/>
          <w:rtl/>
        </w:rPr>
        <w:t>الا</w:t>
      </w:r>
      <w:r w:rsidR="00E8128F">
        <w:rPr>
          <w:sz w:val="36"/>
          <w:szCs w:val="36"/>
          <w:rtl/>
        </w:rPr>
        <w:t xml:space="preserve"> </w:t>
      </w:r>
      <w:r w:rsidR="004C39FF" w:rsidRPr="00FD211F">
        <w:rPr>
          <w:sz w:val="36"/>
          <w:szCs w:val="36"/>
          <w:rtl/>
        </w:rPr>
        <w:t>ان</w:t>
      </w:r>
      <w:r w:rsidR="00E8128F">
        <w:rPr>
          <w:sz w:val="36"/>
          <w:szCs w:val="36"/>
          <w:rtl/>
        </w:rPr>
        <w:t xml:space="preserve"> </w:t>
      </w:r>
      <w:r w:rsidR="004C39FF" w:rsidRPr="00FD211F">
        <w:rPr>
          <w:sz w:val="36"/>
          <w:szCs w:val="36"/>
          <w:rtl/>
        </w:rPr>
        <w:t>تطبيق</w:t>
      </w:r>
      <w:r w:rsidR="00E8128F">
        <w:rPr>
          <w:sz w:val="36"/>
          <w:szCs w:val="36"/>
          <w:rtl/>
        </w:rPr>
        <w:t xml:space="preserve"> </w:t>
      </w:r>
      <w:r w:rsidR="004C39FF" w:rsidRPr="00FD211F">
        <w:rPr>
          <w:sz w:val="36"/>
          <w:szCs w:val="36"/>
          <w:rtl/>
        </w:rPr>
        <w:t>القواعد</w:t>
      </w:r>
      <w:r w:rsidR="00E8128F">
        <w:rPr>
          <w:sz w:val="36"/>
          <w:szCs w:val="36"/>
          <w:rtl/>
        </w:rPr>
        <w:t xml:space="preserve"> </w:t>
      </w:r>
      <w:r w:rsidR="004C39FF" w:rsidRPr="00FD211F">
        <w:rPr>
          <w:sz w:val="36"/>
          <w:szCs w:val="36"/>
          <w:rtl/>
        </w:rPr>
        <w:t>الفقهي</w:t>
      </w:r>
      <w:r w:rsidR="00EC7EDF" w:rsidRPr="00FD211F">
        <w:rPr>
          <w:sz w:val="36"/>
          <w:szCs w:val="36"/>
          <w:rtl/>
        </w:rPr>
        <w:t>ة</w:t>
      </w:r>
      <w:r w:rsidR="00E8128F">
        <w:rPr>
          <w:sz w:val="36"/>
          <w:szCs w:val="36"/>
          <w:rtl/>
        </w:rPr>
        <w:t xml:space="preserve"> </w:t>
      </w:r>
      <w:r w:rsidR="004C39FF" w:rsidRPr="00FD211F">
        <w:rPr>
          <w:sz w:val="36"/>
          <w:szCs w:val="36"/>
          <w:rtl/>
        </w:rPr>
        <w:t>ايضا</w:t>
      </w:r>
      <w:r w:rsidR="00E8128F">
        <w:rPr>
          <w:sz w:val="36"/>
          <w:szCs w:val="36"/>
          <w:rtl/>
        </w:rPr>
        <w:t xml:space="preserve"> </w:t>
      </w:r>
      <w:r w:rsidR="004C39FF" w:rsidRPr="00FD211F">
        <w:rPr>
          <w:sz w:val="36"/>
          <w:szCs w:val="36"/>
          <w:rtl/>
        </w:rPr>
        <w:t>قد</w:t>
      </w:r>
      <w:r w:rsidR="00E8128F">
        <w:rPr>
          <w:sz w:val="36"/>
          <w:szCs w:val="36"/>
          <w:rtl/>
        </w:rPr>
        <w:t xml:space="preserve"> </w:t>
      </w:r>
      <w:r w:rsidR="004C39FF" w:rsidRPr="00FD211F">
        <w:rPr>
          <w:sz w:val="36"/>
          <w:szCs w:val="36"/>
          <w:rtl/>
        </w:rPr>
        <w:t>يحتاج</w:t>
      </w:r>
      <w:r w:rsidR="00E8128F">
        <w:rPr>
          <w:sz w:val="36"/>
          <w:szCs w:val="36"/>
          <w:rtl/>
        </w:rPr>
        <w:t xml:space="preserve"> </w:t>
      </w:r>
      <w:r w:rsidR="004C39FF" w:rsidRPr="00FD211F">
        <w:rPr>
          <w:sz w:val="36"/>
          <w:szCs w:val="36"/>
          <w:rtl/>
        </w:rPr>
        <w:t>الى</w:t>
      </w:r>
      <w:r w:rsidR="00E8128F">
        <w:rPr>
          <w:sz w:val="36"/>
          <w:szCs w:val="36"/>
          <w:rtl/>
        </w:rPr>
        <w:t xml:space="preserve"> </w:t>
      </w:r>
      <w:r w:rsidR="004C39FF" w:rsidRPr="00FD211F">
        <w:rPr>
          <w:sz w:val="36"/>
          <w:szCs w:val="36"/>
          <w:rtl/>
        </w:rPr>
        <w:t>تأمل</w:t>
      </w:r>
      <w:r w:rsidR="00E8128F">
        <w:rPr>
          <w:sz w:val="36"/>
          <w:szCs w:val="36"/>
          <w:rtl/>
        </w:rPr>
        <w:t xml:space="preserve"> </w:t>
      </w:r>
      <w:r w:rsidR="004C39FF" w:rsidRPr="00FD211F">
        <w:rPr>
          <w:sz w:val="36"/>
          <w:szCs w:val="36"/>
          <w:rtl/>
        </w:rPr>
        <w:t>ودق</w:t>
      </w:r>
      <w:r w:rsidR="00EC7EDF" w:rsidRPr="00FD211F">
        <w:rPr>
          <w:sz w:val="36"/>
          <w:szCs w:val="36"/>
          <w:rtl/>
        </w:rPr>
        <w:t>ة</w:t>
      </w:r>
      <w:r w:rsidR="00E8128F">
        <w:rPr>
          <w:sz w:val="36"/>
          <w:szCs w:val="36"/>
          <w:rtl/>
        </w:rPr>
        <w:t xml:space="preserve"> </w:t>
      </w:r>
      <w:r w:rsidR="004C39FF" w:rsidRPr="00FD211F">
        <w:rPr>
          <w:sz w:val="36"/>
          <w:szCs w:val="36"/>
          <w:rtl/>
        </w:rPr>
        <w:t>وتحمل</w:t>
      </w:r>
      <w:r w:rsidR="00E8128F">
        <w:rPr>
          <w:sz w:val="36"/>
          <w:szCs w:val="36"/>
          <w:rtl/>
        </w:rPr>
        <w:t xml:space="preserve"> </w:t>
      </w:r>
      <w:r w:rsidR="004C39FF" w:rsidRPr="00FD211F">
        <w:rPr>
          <w:sz w:val="36"/>
          <w:szCs w:val="36"/>
          <w:rtl/>
        </w:rPr>
        <w:t>مشق</w:t>
      </w:r>
      <w:r w:rsidR="00EC7EDF" w:rsidRPr="00FD211F">
        <w:rPr>
          <w:sz w:val="36"/>
          <w:szCs w:val="36"/>
          <w:rtl/>
        </w:rPr>
        <w:t>ة</w:t>
      </w:r>
      <w:r w:rsidR="00E8128F">
        <w:rPr>
          <w:sz w:val="36"/>
          <w:szCs w:val="36"/>
          <w:rtl/>
        </w:rPr>
        <w:t xml:space="preserve"> </w:t>
      </w:r>
      <w:r w:rsidR="004C39FF" w:rsidRPr="00FD211F">
        <w:rPr>
          <w:sz w:val="36"/>
          <w:szCs w:val="36"/>
          <w:rtl/>
        </w:rPr>
        <w:t>كما</w:t>
      </w:r>
      <w:r w:rsidR="00E8128F">
        <w:rPr>
          <w:sz w:val="36"/>
          <w:szCs w:val="36"/>
          <w:rtl/>
        </w:rPr>
        <w:t xml:space="preserve"> </w:t>
      </w:r>
      <w:r w:rsidR="004C39FF" w:rsidRPr="00FD211F">
        <w:rPr>
          <w:sz w:val="36"/>
          <w:szCs w:val="36"/>
          <w:rtl/>
        </w:rPr>
        <w:t>في</w:t>
      </w:r>
      <w:r w:rsidR="00E8128F">
        <w:rPr>
          <w:sz w:val="36"/>
          <w:szCs w:val="36"/>
          <w:rtl/>
        </w:rPr>
        <w:t xml:space="preserve"> </w:t>
      </w:r>
      <w:r w:rsidR="004C39FF" w:rsidRPr="00FD211F">
        <w:rPr>
          <w:sz w:val="36"/>
          <w:szCs w:val="36"/>
          <w:rtl/>
        </w:rPr>
        <w:t>تطبيق</w:t>
      </w:r>
      <w:r w:rsidR="00E8128F">
        <w:rPr>
          <w:sz w:val="36"/>
          <w:szCs w:val="36"/>
          <w:rtl/>
        </w:rPr>
        <w:t xml:space="preserve"> </w:t>
      </w:r>
      <w:r w:rsidR="004C39FF" w:rsidRPr="00FD211F">
        <w:rPr>
          <w:sz w:val="36"/>
          <w:szCs w:val="36"/>
          <w:rtl/>
        </w:rPr>
        <w:t>قاعد</w:t>
      </w:r>
      <w:r w:rsidR="00EC7EDF" w:rsidRPr="00FD211F">
        <w:rPr>
          <w:sz w:val="36"/>
          <w:szCs w:val="36"/>
          <w:rtl/>
        </w:rPr>
        <w:t>ة</w:t>
      </w:r>
      <w:r w:rsidR="00E8128F">
        <w:rPr>
          <w:sz w:val="36"/>
          <w:szCs w:val="36"/>
          <w:rtl/>
        </w:rPr>
        <w:t xml:space="preserve"> </w:t>
      </w:r>
      <w:r w:rsidR="004C39FF" w:rsidRPr="00FD211F">
        <w:rPr>
          <w:sz w:val="36"/>
          <w:szCs w:val="36"/>
          <w:rtl/>
        </w:rPr>
        <w:t>ما</w:t>
      </w:r>
      <w:r w:rsidR="00E8128F">
        <w:rPr>
          <w:sz w:val="36"/>
          <w:szCs w:val="36"/>
          <w:rtl/>
        </w:rPr>
        <w:t xml:space="preserve"> </w:t>
      </w:r>
      <w:r w:rsidR="004C39FF" w:rsidRPr="00FD211F">
        <w:rPr>
          <w:sz w:val="36"/>
          <w:szCs w:val="36"/>
          <w:rtl/>
        </w:rPr>
        <w:t>يضمن</w:t>
      </w:r>
      <w:r w:rsidR="00E8128F">
        <w:rPr>
          <w:sz w:val="36"/>
          <w:szCs w:val="36"/>
          <w:rtl/>
        </w:rPr>
        <w:t xml:space="preserve"> </w:t>
      </w:r>
      <w:r w:rsidR="004C39FF" w:rsidRPr="00FD211F">
        <w:rPr>
          <w:sz w:val="36"/>
          <w:szCs w:val="36"/>
          <w:rtl/>
        </w:rPr>
        <w:t>وما</w:t>
      </w:r>
      <w:r w:rsidR="00E8128F">
        <w:rPr>
          <w:sz w:val="36"/>
          <w:szCs w:val="36"/>
          <w:rtl/>
        </w:rPr>
        <w:t xml:space="preserve"> </w:t>
      </w:r>
      <w:r w:rsidR="004C39FF" w:rsidRPr="00FD211F">
        <w:rPr>
          <w:sz w:val="36"/>
          <w:szCs w:val="36"/>
          <w:rtl/>
        </w:rPr>
        <w:t>لايضمن</w:t>
      </w:r>
      <w:r w:rsidR="00603323" w:rsidRPr="00FD211F">
        <w:rPr>
          <w:sz w:val="36"/>
          <w:szCs w:val="36"/>
          <w:rtl/>
        </w:rPr>
        <w:t>،</w:t>
      </w:r>
      <w:r w:rsidR="00E8128F">
        <w:rPr>
          <w:sz w:val="36"/>
          <w:szCs w:val="36"/>
          <w:rtl/>
        </w:rPr>
        <w:t xml:space="preserve"> </w:t>
      </w:r>
      <w:r w:rsidR="009331ED" w:rsidRPr="00FD211F">
        <w:rPr>
          <w:sz w:val="36"/>
          <w:szCs w:val="36"/>
          <w:rtl/>
        </w:rPr>
        <w:t>ولعله</w:t>
      </w:r>
      <w:r w:rsidR="00E8128F">
        <w:rPr>
          <w:sz w:val="36"/>
          <w:szCs w:val="36"/>
          <w:rtl/>
        </w:rPr>
        <w:t xml:space="preserve"> </w:t>
      </w:r>
      <w:r w:rsidR="009331ED" w:rsidRPr="00FD211F">
        <w:rPr>
          <w:sz w:val="36"/>
          <w:szCs w:val="36"/>
          <w:rtl/>
        </w:rPr>
        <w:t>لأجل</w:t>
      </w:r>
      <w:r w:rsidR="00E8128F">
        <w:rPr>
          <w:sz w:val="36"/>
          <w:szCs w:val="36"/>
          <w:rtl/>
        </w:rPr>
        <w:t xml:space="preserve"> </w:t>
      </w:r>
      <w:r w:rsidR="009331ED" w:rsidRPr="00FD211F">
        <w:rPr>
          <w:sz w:val="36"/>
          <w:szCs w:val="36"/>
          <w:rtl/>
        </w:rPr>
        <w:t>ذلك</w:t>
      </w:r>
      <w:r w:rsidR="00E8128F">
        <w:rPr>
          <w:sz w:val="36"/>
          <w:szCs w:val="36"/>
          <w:rtl/>
        </w:rPr>
        <w:t xml:space="preserve"> </w:t>
      </w:r>
      <w:r w:rsidR="009331ED" w:rsidRPr="00FD211F">
        <w:rPr>
          <w:sz w:val="36"/>
          <w:szCs w:val="36"/>
          <w:rtl/>
        </w:rPr>
        <w:t>عدل</w:t>
      </w:r>
      <w:r w:rsidR="00E8128F">
        <w:rPr>
          <w:sz w:val="36"/>
          <w:szCs w:val="36"/>
          <w:rtl/>
        </w:rPr>
        <w:t xml:space="preserve"> </w:t>
      </w:r>
      <w:r w:rsidR="009331ED" w:rsidRPr="00FD211F">
        <w:rPr>
          <w:sz w:val="36"/>
          <w:szCs w:val="36"/>
          <w:rtl/>
        </w:rPr>
        <w:t>السيد</w:t>
      </w:r>
      <w:r w:rsidR="00E8128F">
        <w:rPr>
          <w:sz w:val="36"/>
          <w:szCs w:val="36"/>
          <w:rtl/>
        </w:rPr>
        <w:t xml:space="preserve"> </w:t>
      </w:r>
      <w:r w:rsidR="009331ED" w:rsidRPr="00FD211F">
        <w:rPr>
          <w:sz w:val="36"/>
          <w:szCs w:val="36"/>
          <w:rtl/>
        </w:rPr>
        <w:t>الإمام</w:t>
      </w:r>
      <w:r w:rsidR="00E8128F">
        <w:rPr>
          <w:sz w:val="36"/>
          <w:szCs w:val="36"/>
          <w:rtl/>
        </w:rPr>
        <w:t xml:space="preserve"> </w:t>
      </w:r>
      <w:r w:rsidR="00A61BAE" w:rsidRPr="00FD211F">
        <w:rPr>
          <w:sz w:val="36"/>
          <w:szCs w:val="36"/>
          <w:rtl/>
        </w:rPr>
        <w:t>"قده"</w:t>
      </w:r>
      <w:r w:rsidR="00E8128F">
        <w:rPr>
          <w:sz w:val="36"/>
          <w:szCs w:val="36"/>
          <w:rtl/>
        </w:rPr>
        <w:t xml:space="preserve"> </w:t>
      </w:r>
      <w:r w:rsidR="009331ED" w:rsidRPr="00FD211F">
        <w:rPr>
          <w:sz w:val="36"/>
          <w:szCs w:val="36"/>
          <w:rtl/>
        </w:rPr>
        <w:lastRenderedPageBreak/>
        <w:t>الى</w:t>
      </w:r>
      <w:r w:rsidR="00E8128F">
        <w:rPr>
          <w:sz w:val="36"/>
          <w:szCs w:val="36"/>
          <w:rtl/>
        </w:rPr>
        <w:t xml:space="preserve"> </w:t>
      </w:r>
      <w:r w:rsidR="009331ED" w:rsidRPr="00FD211F">
        <w:rPr>
          <w:sz w:val="36"/>
          <w:szCs w:val="36"/>
          <w:rtl/>
        </w:rPr>
        <w:t>تعريف</w:t>
      </w:r>
      <w:r w:rsidR="00E8128F">
        <w:rPr>
          <w:sz w:val="36"/>
          <w:szCs w:val="36"/>
          <w:rtl/>
        </w:rPr>
        <w:t xml:space="preserve"> </w:t>
      </w:r>
      <w:r w:rsidR="009331ED" w:rsidRPr="00FD211F">
        <w:rPr>
          <w:sz w:val="36"/>
          <w:szCs w:val="36"/>
          <w:rtl/>
        </w:rPr>
        <w:t>علم</w:t>
      </w:r>
      <w:r w:rsidR="00E8128F">
        <w:rPr>
          <w:sz w:val="36"/>
          <w:szCs w:val="36"/>
          <w:rtl/>
        </w:rPr>
        <w:t xml:space="preserve"> </w:t>
      </w:r>
      <w:r w:rsidR="009331ED" w:rsidRPr="00FD211F">
        <w:rPr>
          <w:sz w:val="36"/>
          <w:szCs w:val="36"/>
          <w:rtl/>
        </w:rPr>
        <w:t>الاصول</w:t>
      </w:r>
      <w:r w:rsidR="00E8128F">
        <w:rPr>
          <w:sz w:val="36"/>
          <w:szCs w:val="36"/>
          <w:rtl/>
        </w:rPr>
        <w:t xml:space="preserve"> </w:t>
      </w:r>
      <w:r w:rsidR="009331ED" w:rsidRPr="00FD211F">
        <w:rPr>
          <w:sz w:val="36"/>
          <w:szCs w:val="36"/>
          <w:rtl/>
        </w:rPr>
        <w:t>بانه</w:t>
      </w:r>
      <w:r w:rsidR="00E8128F">
        <w:rPr>
          <w:sz w:val="36"/>
          <w:szCs w:val="36"/>
          <w:rtl/>
        </w:rPr>
        <w:t xml:space="preserve"> </w:t>
      </w:r>
      <w:r w:rsidR="009331ED" w:rsidRPr="00FD211F">
        <w:rPr>
          <w:sz w:val="36"/>
          <w:szCs w:val="36"/>
          <w:rtl/>
        </w:rPr>
        <w:t>هو</w:t>
      </w:r>
      <w:r w:rsidR="00E8128F">
        <w:rPr>
          <w:sz w:val="36"/>
          <w:szCs w:val="36"/>
          <w:rtl/>
        </w:rPr>
        <w:t xml:space="preserve"> </w:t>
      </w:r>
      <w:r w:rsidR="009331ED" w:rsidRPr="00FD211F">
        <w:rPr>
          <w:sz w:val="36"/>
          <w:szCs w:val="36"/>
          <w:rtl/>
        </w:rPr>
        <w:t>القواعد</w:t>
      </w:r>
      <w:r w:rsidR="00E8128F">
        <w:rPr>
          <w:sz w:val="36"/>
          <w:szCs w:val="36"/>
          <w:rtl/>
        </w:rPr>
        <w:t xml:space="preserve"> </w:t>
      </w:r>
      <w:r w:rsidR="009331ED" w:rsidRPr="00FD211F">
        <w:rPr>
          <w:sz w:val="36"/>
          <w:szCs w:val="36"/>
          <w:rtl/>
        </w:rPr>
        <w:t>ال</w:t>
      </w:r>
      <w:r w:rsidR="0033038E" w:rsidRPr="00FD211F">
        <w:rPr>
          <w:sz w:val="36"/>
          <w:szCs w:val="36"/>
          <w:rtl/>
        </w:rPr>
        <w:t>آ</w:t>
      </w:r>
      <w:r w:rsidR="009331ED" w:rsidRPr="00FD211F">
        <w:rPr>
          <w:sz w:val="36"/>
          <w:szCs w:val="36"/>
          <w:rtl/>
        </w:rPr>
        <w:t>لي</w:t>
      </w:r>
      <w:r w:rsidR="00EC7EDF" w:rsidRPr="00FD211F">
        <w:rPr>
          <w:sz w:val="36"/>
          <w:szCs w:val="36"/>
          <w:rtl/>
        </w:rPr>
        <w:t>ة</w:t>
      </w:r>
      <w:r w:rsidR="00E8128F">
        <w:rPr>
          <w:sz w:val="36"/>
          <w:szCs w:val="36"/>
          <w:rtl/>
        </w:rPr>
        <w:t xml:space="preserve"> </w:t>
      </w:r>
      <w:r w:rsidR="009331ED" w:rsidRPr="00FD211F">
        <w:rPr>
          <w:sz w:val="36"/>
          <w:szCs w:val="36"/>
          <w:rtl/>
        </w:rPr>
        <w:t>التي</w:t>
      </w:r>
      <w:r w:rsidR="00E8128F">
        <w:rPr>
          <w:sz w:val="36"/>
          <w:szCs w:val="36"/>
          <w:rtl/>
        </w:rPr>
        <w:t xml:space="preserve"> </w:t>
      </w:r>
      <w:r w:rsidR="009331ED" w:rsidRPr="00FD211F">
        <w:rPr>
          <w:sz w:val="36"/>
          <w:szCs w:val="36"/>
          <w:rtl/>
        </w:rPr>
        <w:t>يمكن</w:t>
      </w:r>
      <w:r w:rsidR="00E8128F">
        <w:rPr>
          <w:sz w:val="36"/>
          <w:szCs w:val="36"/>
          <w:rtl/>
        </w:rPr>
        <w:t xml:space="preserve"> </w:t>
      </w:r>
      <w:r w:rsidR="009331ED" w:rsidRPr="00FD211F">
        <w:rPr>
          <w:sz w:val="36"/>
          <w:szCs w:val="36"/>
          <w:rtl/>
        </w:rPr>
        <w:t>ان</w:t>
      </w:r>
      <w:r w:rsidR="00E8128F">
        <w:rPr>
          <w:sz w:val="36"/>
          <w:szCs w:val="36"/>
          <w:rtl/>
        </w:rPr>
        <w:t xml:space="preserve"> </w:t>
      </w:r>
      <w:r w:rsidR="009331ED" w:rsidRPr="00FD211F">
        <w:rPr>
          <w:sz w:val="36"/>
          <w:szCs w:val="36"/>
          <w:rtl/>
        </w:rPr>
        <w:t>تقع</w:t>
      </w:r>
      <w:r w:rsidR="00E8128F">
        <w:rPr>
          <w:sz w:val="36"/>
          <w:szCs w:val="36"/>
          <w:rtl/>
        </w:rPr>
        <w:t xml:space="preserve"> </w:t>
      </w:r>
      <w:r w:rsidR="009331ED" w:rsidRPr="00FD211F">
        <w:rPr>
          <w:sz w:val="36"/>
          <w:szCs w:val="36"/>
          <w:rtl/>
        </w:rPr>
        <w:t>في</w:t>
      </w:r>
      <w:r w:rsidR="00E8128F">
        <w:rPr>
          <w:sz w:val="36"/>
          <w:szCs w:val="36"/>
          <w:rtl/>
        </w:rPr>
        <w:t xml:space="preserve"> </w:t>
      </w:r>
      <w:r w:rsidR="009331ED" w:rsidRPr="00FD211F">
        <w:rPr>
          <w:sz w:val="36"/>
          <w:szCs w:val="36"/>
          <w:rtl/>
        </w:rPr>
        <w:t>كبرى</w:t>
      </w:r>
      <w:r w:rsidR="00E8128F">
        <w:rPr>
          <w:sz w:val="36"/>
          <w:szCs w:val="36"/>
          <w:rtl/>
        </w:rPr>
        <w:t xml:space="preserve"> </w:t>
      </w:r>
      <w:r w:rsidR="009331ED" w:rsidRPr="00FD211F">
        <w:rPr>
          <w:sz w:val="36"/>
          <w:szCs w:val="36"/>
          <w:rtl/>
        </w:rPr>
        <w:t>استنتاج</w:t>
      </w:r>
      <w:r w:rsidR="00E8128F">
        <w:rPr>
          <w:sz w:val="36"/>
          <w:szCs w:val="36"/>
          <w:rtl/>
        </w:rPr>
        <w:t xml:space="preserve"> </w:t>
      </w:r>
      <w:r w:rsidR="009331ED" w:rsidRPr="00FD211F">
        <w:rPr>
          <w:sz w:val="36"/>
          <w:szCs w:val="36"/>
          <w:rtl/>
        </w:rPr>
        <w:t>الاحكام</w:t>
      </w:r>
      <w:r w:rsidR="00E8128F">
        <w:rPr>
          <w:sz w:val="36"/>
          <w:szCs w:val="36"/>
          <w:rtl/>
        </w:rPr>
        <w:t xml:space="preserve"> </w:t>
      </w:r>
      <w:r w:rsidR="009331ED" w:rsidRPr="00FD211F">
        <w:rPr>
          <w:sz w:val="36"/>
          <w:szCs w:val="36"/>
          <w:rtl/>
        </w:rPr>
        <w:t>الكلي</w:t>
      </w:r>
      <w:r w:rsidR="00EC7EDF" w:rsidRPr="00FD211F">
        <w:rPr>
          <w:sz w:val="36"/>
          <w:szCs w:val="36"/>
          <w:rtl/>
        </w:rPr>
        <w:t>ة</w:t>
      </w:r>
      <w:r w:rsidR="00E8128F">
        <w:rPr>
          <w:sz w:val="36"/>
          <w:szCs w:val="36"/>
          <w:rtl/>
        </w:rPr>
        <w:t xml:space="preserve"> </w:t>
      </w:r>
      <w:r w:rsidR="009331ED" w:rsidRPr="00FD211F">
        <w:rPr>
          <w:sz w:val="36"/>
          <w:szCs w:val="36"/>
          <w:rtl/>
        </w:rPr>
        <w:t>الفر</w:t>
      </w:r>
      <w:r w:rsidR="001163DE" w:rsidRPr="00FD211F">
        <w:rPr>
          <w:sz w:val="36"/>
          <w:szCs w:val="36"/>
          <w:rtl/>
        </w:rPr>
        <w:t>عي</w:t>
      </w:r>
      <w:r w:rsidR="00EC7EDF" w:rsidRPr="00FD211F">
        <w:rPr>
          <w:sz w:val="36"/>
          <w:szCs w:val="36"/>
          <w:rtl/>
        </w:rPr>
        <w:t>ة</w:t>
      </w:r>
      <w:r w:rsidR="00E8128F">
        <w:rPr>
          <w:sz w:val="36"/>
          <w:szCs w:val="36"/>
          <w:rtl/>
        </w:rPr>
        <w:t xml:space="preserve"> </w:t>
      </w:r>
      <w:r w:rsidR="001163DE" w:rsidRPr="00FD211F">
        <w:rPr>
          <w:sz w:val="36"/>
          <w:szCs w:val="36"/>
          <w:rtl/>
        </w:rPr>
        <w:t>الإلهي</w:t>
      </w:r>
      <w:r w:rsidR="00EC7EDF" w:rsidRPr="00FD211F">
        <w:rPr>
          <w:sz w:val="36"/>
          <w:szCs w:val="36"/>
          <w:rtl/>
        </w:rPr>
        <w:t>ة</w:t>
      </w:r>
      <w:r w:rsidR="00E8128F">
        <w:rPr>
          <w:sz w:val="36"/>
          <w:szCs w:val="36"/>
          <w:rtl/>
        </w:rPr>
        <w:t xml:space="preserve"> </w:t>
      </w:r>
      <w:r w:rsidR="001163DE" w:rsidRPr="00FD211F">
        <w:rPr>
          <w:sz w:val="36"/>
          <w:szCs w:val="36"/>
          <w:rtl/>
        </w:rPr>
        <w:t>أو</w:t>
      </w:r>
      <w:r w:rsidR="00E8128F">
        <w:rPr>
          <w:sz w:val="36"/>
          <w:szCs w:val="36"/>
          <w:rtl/>
        </w:rPr>
        <w:t xml:space="preserve"> </w:t>
      </w:r>
      <w:r w:rsidR="001163DE" w:rsidRPr="00FD211F">
        <w:rPr>
          <w:sz w:val="36"/>
          <w:szCs w:val="36"/>
          <w:rtl/>
        </w:rPr>
        <w:t>الوظيف</w:t>
      </w:r>
      <w:r w:rsidR="00EC7EDF" w:rsidRPr="00FD211F">
        <w:rPr>
          <w:sz w:val="36"/>
          <w:szCs w:val="36"/>
          <w:rtl/>
        </w:rPr>
        <w:t>ة</w:t>
      </w:r>
      <w:r w:rsidR="00E8128F">
        <w:rPr>
          <w:sz w:val="36"/>
          <w:szCs w:val="36"/>
          <w:rtl/>
        </w:rPr>
        <w:t xml:space="preserve"> </w:t>
      </w:r>
      <w:r w:rsidR="001163DE" w:rsidRPr="00FD211F">
        <w:rPr>
          <w:sz w:val="36"/>
          <w:szCs w:val="36"/>
          <w:rtl/>
        </w:rPr>
        <w:t>العملي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6"/>
      </w:r>
      <w:r w:rsidR="009C58C8" w:rsidRPr="00FD211F">
        <w:rPr>
          <w:rStyle w:val="a6"/>
          <w:sz w:val="36"/>
          <w:szCs w:val="36"/>
          <w:rtl/>
        </w:rPr>
        <w:t>)</w:t>
      </w:r>
      <w:r w:rsidR="00603323" w:rsidRPr="00FD211F">
        <w:rPr>
          <w:sz w:val="36"/>
          <w:szCs w:val="36"/>
          <w:rtl/>
        </w:rPr>
        <w:t>،</w:t>
      </w:r>
      <w:r w:rsidR="00E8128F">
        <w:rPr>
          <w:sz w:val="36"/>
          <w:szCs w:val="36"/>
          <w:rtl/>
        </w:rPr>
        <w:t xml:space="preserve"> </w:t>
      </w:r>
      <w:r w:rsidR="009331ED" w:rsidRPr="00FD211F">
        <w:rPr>
          <w:sz w:val="36"/>
          <w:szCs w:val="36"/>
          <w:rtl/>
        </w:rPr>
        <w:t>فبقيد</w:t>
      </w:r>
      <w:r w:rsidR="00E8128F">
        <w:rPr>
          <w:sz w:val="36"/>
          <w:szCs w:val="36"/>
          <w:rtl/>
        </w:rPr>
        <w:t xml:space="preserve"> </w:t>
      </w:r>
      <w:r w:rsidR="009331ED" w:rsidRPr="00FD211F">
        <w:rPr>
          <w:sz w:val="36"/>
          <w:szCs w:val="36"/>
          <w:rtl/>
        </w:rPr>
        <w:t>الآلي</w:t>
      </w:r>
      <w:r w:rsidR="00EC7EDF" w:rsidRPr="00FD211F">
        <w:rPr>
          <w:sz w:val="36"/>
          <w:szCs w:val="36"/>
          <w:rtl/>
        </w:rPr>
        <w:t>ة</w:t>
      </w:r>
      <w:r w:rsidR="00E8128F">
        <w:rPr>
          <w:sz w:val="36"/>
          <w:szCs w:val="36"/>
          <w:rtl/>
        </w:rPr>
        <w:t xml:space="preserve"> </w:t>
      </w:r>
      <w:r w:rsidR="009331ED" w:rsidRPr="00FD211F">
        <w:rPr>
          <w:sz w:val="36"/>
          <w:szCs w:val="36"/>
          <w:rtl/>
        </w:rPr>
        <w:t>يخرج</w:t>
      </w:r>
      <w:r w:rsidR="00E8128F">
        <w:rPr>
          <w:sz w:val="36"/>
          <w:szCs w:val="36"/>
          <w:rtl/>
        </w:rPr>
        <w:t xml:space="preserve"> </w:t>
      </w:r>
      <w:r w:rsidR="009331ED" w:rsidRPr="00FD211F">
        <w:rPr>
          <w:sz w:val="36"/>
          <w:szCs w:val="36"/>
          <w:rtl/>
        </w:rPr>
        <w:t>قواعد</w:t>
      </w:r>
      <w:r w:rsidR="00E8128F">
        <w:rPr>
          <w:sz w:val="36"/>
          <w:szCs w:val="36"/>
          <w:rtl/>
        </w:rPr>
        <w:t xml:space="preserve"> </w:t>
      </w:r>
      <w:r w:rsidR="009331ED" w:rsidRPr="00FD211F">
        <w:rPr>
          <w:sz w:val="36"/>
          <w:szCs w:val="36"/>
          <w:rtl/>
        </w:rPr>
        <w:t>ال</w:t>
      </w:r>
      <w:r w:rsidR="00184411" w:rsidRPr="00FD211F">
        <w:rPr>
          <w:sz w:val="36"/>
          <w:szCs w:val="36"/>
          <w:rtl/>
        </w:rPr>
        <w:t>فقه</w:t>
      </w:r>
      <w:r w:rsidR="00E8128F">
        <w:rPr>
          <w:sz w:val="36"/>
          <w:szCs w:val="36"/>
          <w:rtl/>
        </w:rPr>
        <w:t xml:space="preserve"> </w:t>
      </w:r>
      <w:r w:rsidR="00184411" w:rsidRPr="00FD211F">
        <w:rPr>
          <w:sz w:val="36"/>
          <w:szCs w:val="36"/>
          <w:rtl/>
        </w:rPr>
        <w:t>اذ</w:t>
      </w:r>
      <w:r w:rsidR="00E8128F">
        <w:rPr>
          <w:sz w:val="36"/>
          <w:szCs w:val="36"/>
          <w:rtl/>
        </w:rPr>
        <w:t xml:space="preserve"> </w:t>
      </w:r>
      <w:r w:rsidR="00184411" w:rsidRPr="00FD211F">
        <w:rPr>
          <w:sz w:val="36"/>
          <w:szCs w:val="36"/>
          <w:rtl/>
        </w:rPr>
        <w:t>هي</w:t>
      </w:r>
      <w:r w:rsidR="00E8128F">
        <w:rPr>
          <w:sz w:val="36"/>
          <w:szCs w:val="36"/>
          <w:rtl/>
        </w:rPr>
        <w:t xml:space="preserve"> </w:t>
      </w:r>
      <w:r w:rsidR="00184411" w:rsidRPr="00FD211F">
        <w:rPr>
          <w:sz w:val="36"/>
          <w:szCs w:val="36"/>
          <w:rtl/>
        </w:rPr>
        <w:t>ما</w:t>
      </w:r>
      <w:r w:rsidR="00E8128F">
        <w:rPr>
          <w:sz w:val="36"/>
          <w:szCs w:val="36"/>
          <w:rtl/>
        </w:rPr>
        <w:t xml:space="preserve"> </w:t>
      </w:r>
      <w:r w:rsidR="00184411" w:rsidRPr="00FD211F">
        <w:rPr>
          <w:sz w:val="36"/>
          <w:szCs w:val="36"/>
          <w:rtl/>
        </w:rPr>
        <w:t>اليه</w:t>
      </w:r>
      <w:r w:rsidR="00E8128F">
        <w:rPr>
          <w:sz w:val="36"/>
          <w:szCs w:val="36"/>
          <w:rtl/>
        </w:rPr>
        <w:t xml:space="preserve"> </w:t>
      </w:r>
      <w:r w:rsidR="00184411" w:rsidRPr="00FD211F">
        <w:rPr>
          <w:sz w:val="36"/>
          <w:szCs w:val="36"/>
          <w:rtl/>
        </w:rPr>
        <w:t>ينظر</w:t>
      </w:r>
      <w:r w:rsidR="00E8128F">
        <w:rPr>
          <w:sz w:val="36"/>
          <w:szCs w:val="36"/>
          <w:rtl/>
        </w:rPr>
        <w:t xml:space="preserve"> </w:t>
      </w:r>
      <w:r w:rsidR="00184411" w:rsidRPr="00FD211F">
        <w:rPr>
          <w:sz w:val="36"/>
          <w:szCs w:val="36"/>
          <w:rtl/>
        </w:rPr>
        <w:t>لا</w:t>
      </w:r>
      <w:r w:rsidR="00E8128F">
        <w:rPr>
          <w:sz w:val="36"/>
          <w:szCs w:val="36"/>
          <w:rtl/>
        </w:rPr>
        <w:t xml:space="preserve"> </w:t>
      </w:r>
      <w:r w:rsidR="00184411" w:rsidRPr="00FD211F">
        <w:rPr>
          <w:sz w:val="36"/>
          <w:szCs w:val="36"/>
          <w:rtl/>
        </w:rPr>
        <w:t>ما</w:t>
      </w:r>
      <w:r w:rsidR="00E8128F">
        <w:rPr>
          <w:sz w:val="36"/>
          <w:szCs w:val="36"/>
          <w:rtl/>
        </w:rPr>
        <w:t xml:space="preserve"> </w:t>
      </w:r>
      <w:r w:rsidR="00184411" w:rsidRPr="00FD211F">
        <w:rPr>
          <w:sz w:val="36"/>
          <w:szCs w:val="36"/>
          <w:rtl/>
        </w:rPr>
        <w:t>به</w:t>
      </w:r>
      <w:r w:rsidR="00E8128F">
        <w:rPr>
          <w:sz w:val="36"/>
          <w:szCs w:val="36"/>
          <w:rtl/>
        </w:rPr>
        <w:t xml:space="preserve"> </w:t>
      </w:r>
      <w:r w:rsidR="00184411" w:rsidRPr="00FD211F">
        <w:rPr>
          <w:sz w:val="36"/>
          <w:szCs w:val="36"/>
          <w:rtl/>
        </w:rPr>
        <w:t>ي</w:t>
      </w:r>
      <w:r w:rsidR="009331ED" w:rsidRPr="00FD211F">
        <w:rPr>
          <w:sz w:val="36"/>
          <w:szCs w:val="36"/>
          <w:rtl/>
        </w:rPr>
        <w:t>نظر</w:t>
      </w:r>
      <w:r w:rsidR="00603323" w:rsidRPr="00FD211F">
        <w:rPr>
          <w:sz w:val="36"/>
          <w:szCs w:val="36"/>
          <w:rtl/>
        </w:rPr>
        <w:t>،</w:t>
      </w:r>
      <w:r w:rsidR="00E8128F">
        <w:rPr>
          <w:sz w:val="36"/>
          <w:szCs w:val="36"/>
          <w:rtl/>
        </w:rPr>
        <w:t xml:space="preserve"> </w:t>
      </w:r>
      <w:r w:rsidR="009331ED" w:rsidRPr="00FD211F">
        <w:rPr>
          <w:sz w:val="36"/>
          <w:szCs w:val="36"/>
          <w:rtl/>
        </w:rPr>
        <w:t>و</w:t>
      </w:r>
      <w:r w:rsidR="003C5412" w:rsidRPr="00FD211F">
        <w:rPr>
          <w:sz w:val="36"/>
          <w:szCs w:val="36"/>
          <w:rtl/>
        </w:rPr>
        <w:t>قد</w:t>
      </w:r>
      <w:r w:rsidR="00E8128F">
        <w:rPr>
          <w:sz w:val="36"/>
          <w:szCs w:val="36"/>
          <w:rtl/>
        </w:rPr>
        <w:t xml:space="preserve"> </w:t>
      </w:r>
      <w:r w:rsidR="003C5412" w:rsidRPr="00FD211F">
        <w:rPr>
          <w:sz w:val="36"/>
          <w:szCs w:val="36"/>
          <w:rtl/>
        </w:rPr>
        <w:t>يشير</w:t>
      </w:r>
      <w:r w:rsidR="00E8128F">
        <w:rPr>
          <w:sz w:val="36"/>
          <w:szCs w:val="36"/>
          <w:rtl/>
        </w:rPr>
        <w:t xml:space="preserve"> </w:t>
      </w:r>
      <w:r w:rsidR="003C5412" w:rsidRPr="00FD211F">
        <w:rPr>
          <w:sz w:val="36"/>
          <w:szCs w:val="36"/>
          <w:rtl/>
        </w:rPr>
        <w:t>اليه</w:t>
      </w:r>
      <w:r w:rsidR="00E8128F">
        <w:rPr>
          <w:sz w:val="36"/>
          <w:szCs w:val="36"/>
          <w:rtl/>
        </w:rPr>
        <w:t xml:space="preserve"> </w:t>
      </w:r>
      <w:r w:rsidR="009331ED" w:rsidRPr="00FD211F">
        <w:rPr>
          <w:sz w:val="36"/>
          <w:szCs w:val="36"/>
          <w:rtl/>
        </w:rPr>
        <w:t>التعبير</w:t>
      </w:r>
      <w:r w:rsidR="00E8128F">
        <w:rPr>
          <w:sz w:val="36"/>
          <w:szCs w:val="36"/>
          <w:rtl/>
        </w:rPr>
        <w:t xml:space="preserve"> </w:t>
      </w:r>
      <w:r w:rsidR="009331ED" w:rsidRPr="00FD211F">
        <w:rPr>
          <w:sz w:val="36"/>
          <w:szCs w:val="36"/>
          <w:rtl/>
        </w:rPr>
        <w:t>في</w:t>
      </w:r>
      <w:r w:rsidR="00E8128F">
        <w:rPr>
          <w:sz w:val="36"/>
          <w:szCs w:val="36"/>
          <w:rtl/>
        </w:rPr>
        <w:t xml:space="preserve"> </w:t>
      </w:r>
      <w:r w:rsidR="009331ED" w:rsidRPr="00FD211F">
        <w:rPr>
          <w:sz w:val="36"/>
          <w:szCs w:val="36"/>
          <w:rtl/>
        </w:rPr>
        <w:t>الكفاي</w:t>
      </w:r>
      <w:r w:rsidR="00EC7EDF" w:rsidRPr="00FD211F">
        <w:rPr>
          <w:sz w:val="36"/>
          <w:szCs w:val="36"/>
          <w:rtl/>
        </w:rPr>
        <w:t>ة</w:t>
      </w:r>
      <w:r w:rsidR="00E8128F">
        <w:rPr>
          <w:sz w:val="36"/>
          <w:szCs w:val="36"/>
          <w:rtl/>
        </w:rPr>
        <w:t xml:space="preserve"> </w:t>
      </w:r>
      <w:r w:rsidR="009331ED" w:rsidRPr="00FD211F">
        <w:rPr>
          <w:sz w:val="36"/>
          <w:szCs w:val="36"/>
          <w:rtl/>
        </w:rPr>
        <w:t>ب</w:t>
      </w:r>
      <w:r w:rsidR="001163DE" w:rsidRPr="00FD211F">
        <w:rPr>
          <w:sz w:val="36"/>
          <w:szCs w:val="36"/>
          <w:rtl/>
        </w:rPr>
        <w:t>ان</w:t>
      </w:r>
      <w:r w:rsidR="00E8128F">
        <w:rPr>
          <w:sz w:val="36"/>
          <w:szCs w:val="36"/>
          <w:rtl/>
        </w:rPr>
        <w:t xml:space="preserve"> </w:t>
      </w:r>
      <w:r w:rsidR="001163DE" w:rsidRPr="00FD211F">
        <w:rPr>
          <w:sz w:val="36"/>
          <w:szCs w:val="36"/>
          <w:rtl/>
        </w:rPr>
        <w:t>علم</w:t>
      </w:r>
      <w:r w:rsidR="00E8128F">
        <w:rPr>
          <w:sz w:val="36"/>
          <w:szCs w:val="36"/>
          <w:rtl/>
        </w:rPr>
        <w:t xml:space="preserve"> </w:t>
      </w:r>
      <w:r w:rsidR="001163DE" w:rsidRPr="00FD211F">
        <w:rPr>
          <w:sz w:val="36"/>
          <w:szCs w:val="36"/>
          <w:rtl/>
        </w:rPr>
        <w:t>الاصول</w:t>
      </w:r>
      <w:r w:rsidR="00E8128F">
        <w:rPr>
          <w:sz w:val="36"/>
          <w:szCs w:val="36"/>
          <w:rtl/>
        </w:rPr>
        <w:t xml:space="preserve"> </w:t>
      </w:r>
      <w:r w:rsidR="001163DE" w:rsidRPr="00FD211F">
        <w:rPr>
          <w:sz w:val="36"/>
          <w:szCs w:val="36"/>
          <w:rtl/>
        </w:rPr>
        <w:t>صناع</w:t>
      </w:r>
      <w:r w:rsidR="00EC7EDF" w:rsidRPr="00FD211F">
        <w:rPr>
          <w:sz w:val="36"/>
          <w:szCs w:val="36"/>
          <w:rtl/>
        </w:rPr>
        <w:t>ة</w:t>
      </w:r>
      <w:r w:rsidR="00603323" w:rsidRPr="00FD211F">
        <w:rPr>
          <w:sz w:val="36"/>
          <w:szCs w:val="36"/>
          <w:rtl/>
        </w:rPr>
        <w:t>،</w:t>
      </w:r>
      <w:r w:rsidR="00E8128F">
        <w:rPr>
          <w:sz w:val="36"/>
          <w:szCs w:val="36"/>
          <w:rtl/>
        </w:rPr>
        <w:t xml:space="preserve"> </w:t>
      </w:r>
      <w:r w:rsidR="009331ED" w:rsidRPr="00FD211F">
        <w:rPr>
          <w:sz w:val="36"/>
          <w:szCs w:val="36"/>
          <w:rtl/>
        </w:rPr>
        <w:t>فان</w:t>
      </w:r>
      <w:r w:rsidR="00E8128F">
        <w:rPr>
          <w:sz w:val="36"/>
          <w:szCs w:val="36"/>
          <w:rtl/>
        </w:rPr>
        <w:t xml:space="preserve"> </w:t>
      </w:r>
      <w:r w:rsidR="003C5412" w:rsidRPr="00FD211F">
        <w:rPr>
          <w:sz w:val="36"/>
          <w:szCs w:val="36"/>
          <w:rtl/>
        </w:rPr>
        <w:t>الصناع</w:t>
      </w:r>
      <w:r w:rsidR="00EC7EDF" w:rsidRPr="00FD211F">
        <w:rPr>
          <w:sz w:val="36"/>
          <w:szCs w:val="36"/>
          <w:rtl/>
        </w:rPr>
        <w:t>ة</w:t>
      </w:r>
      <w:r w:rsidR="00E8128F">
        <w:rPr>
          <w:sz w:val="36"/>
          <w:szCs w:val="36"/>
          <w:rtl/>
        </w:rPr>
        <w:t xml:space="preserve"> </w:t>
      </w:r>
      <w:r w:rsidR="003C5412" w:rsidRPr="00FD211F">
        <w:rPr>
          <w:sz w:val="36"/>
          <w:szCs w:val="36"/>
          <w:rtl/>
        </w:rPr>
        <w:t>حسب</w:t>
      </w:r>
      <w:r w:rsidR="00E8128F">
        <w:rPr>
          <w:sz w:val="36"/>
          <w:szCs w:val="36"/>
          <w:rtl/>
        </w:rPr>
        <w:t xml:space="preserve"> </w:t>
      </w:r>
      <w:r w:rsidR="003C5412" w:rsidRPr="00FD211F">
        <w:rPr>
          <w:sz w:val="36"/>
          <w:szCs w:val="36"/>
          <w:rtl/>
        </w:rPr>
        <w:t>المصطلح</w:t>
      </w:r>
      <w:r w:rsidR="00E8128F">
        <w:rPr>
          <w:sz w:val="36"/>
          <w:szCs w:val="36"/>
          <w:rtl/>
        </w:rPr>
        <w:t xml:space="preserve"> </w:t>
      </w:r>
      <w:r w:rsidR="003C5412" w:rsidRPr="00FD211F">
        <w:rPr>
          <w:sz w:val="36"/>
          <w:szCs w:val="36"/>
          <w:rtl/>
        </w:rPr>
        <w:t>تكون</w:t>
      </w:r>
      <w:r w:rsidR="00E8128F">
        <w:rPr>
          <w:sz w:val="36"/>
          <w:szCs w:val="36"/>
          <w:rtl/>
        </w:rPr>
        <w:t xml:space="preserve"> </w:t>
      </w:r>
      <w:r w:rsidR="003C5412" w:rsidRPr="00FD211F">
        <w:rPr>
          <w:sz w:val="36"/>
          <w:szCs w:val="36"/>
          <w:rtl/>
        </w:rPr>
        <w:t>في</w:t>
      </w:r>
      <w:r w:rsidR="00E8128F">
        <w:rPr>
          <w:sz w:val="36"/>
          <w:szCs w:val="36"/>
          <w:rtl/>
        </w:rPr>
        <w:t xml:space="preserve"> </w:t>
      </w:r>
      <w:r w:rsidR="003C5412" w:rsidRPr="00FD211F">
        <w:rPr>
          <w:sz w:val="36"/>
          <w:szCs w:val="36"/>
          <w:rtl/>
        </w:rPr>
        <w:t>فرض</w:t>
      </w:r>
      <w:r w:rsidR="00E8128F">
        <w:rPr>
          <w:sz w:val="36"/>
          <w:szCs w:val="36"/>
          <w:rtl/>
        </w:rPr>
        <w:t xml:space="preserve"> </w:t>
      </w:r>
      <w:r w:rsidR="009331ED" w:rsidRPr="00FD211F">
        <w:rPr>
          <w:sz w:val="36"/>
          <w:szCs w:val="36"/>
          <w:rtl/>
        </w:rPr>
        <w:t>كون</w:t>
      </w:r>
      <w:r w:rsidR="00E8128F">
        <w:rPr>
          <w:sz w:val="36"/>
          <w:szCs w:val="36"/>
          <w:rtl/>
        </w:rPr>
        <w:t xml:space="preserve"> </w:t>
      </w:r>
      <w:r w:rsidR="009331ED" w:rsidRPr="00FD211F">
        <w:rPr>
          <w:sz w:val="36"/>
          <w:szCs w:val="36"/>
          <w:rtl/>
        </w:rPr>
        <w:t>العلم</w:t>
      </w:r>
      <w:r w:rsidR="00E8128F">
        <w:rPr>
          <w:sz w:val="36"/>
          <w:szCs w:val="36"/>
          <w:rtl/>
        </w:rPr>
        <w:t xml:space="preserve"> </w:t>
      </w:r>
      <w:r w:rsidR="009331ED" w:rsidRPr="00FD211F">
        <w:rPr>
          <w:sz w:val="36"/>
          <w:szCs w:val="36"/>
          <w:rtl/>
        </w:rPr>
        <w:t>آليا</w:t>
      </w:r>
      <w:r w:rsidR="00E8128F">
        <w:rPr>
          <w:sz w:val="36"/>
          <w:szCs w:val="36"/>
          <w:rtl/>
        </w:rPr>
        <w:t xml:space="preserve"> </w:t>
      </w:r>
      <w:r w:rsidR="009331ED" w:rsidRPr="00FD211F">
        <w:rPr>
          <w:sz w:val="36"/>
          <w:szCs w:val="36"/>
          <w:rtl/>
        </w:rPr>
        <w:t>كما</w:t>
      </w:r>
      <w:r w:rsidR="00E8128F">
        <w:rPr>
          <w:sz w:val="36"/>
          <w:szCs w:val="36"/>
          <w:rtl/>
        </w:rPr>
        <w:t xml:space="preserve"> </w:t>
      </w:r>
      <w:r w:rsidR="009331ED" w:rsidRPr="00FD211F">
        <w:rPr>
          <w:sz w:val="36"/>
          <w:szCs w:val="36"/>
          <w:rtl/>
        </w:rPr>
        <w:t>في</w:t>
      </w:r>
      <w:r w:rsidR="00E8128F">
        <w:rPr>
          <w:sz w:val="36"/>
          <w:szCs w:val="36"/>
          <w:rtl/>
        </w:rPr>
        <w:t xml:space="preserve"> </w:t>
      </w:r>
      <w:r w:rsidR="009331ED" w:rsidRPr="00FD211F">
        <w:rPr>
          <w:sz w:val="36"/>
          <w:szCs w:val="36"/>
          <w:rtl/>
        </w:rPr>
        <w:t>المنطق</w:t>
      </w:r>
      <w:r w:rsidR="00E8128F">
        <w:rPr>
          <w:sz w:val="36"/>
          <w:szCs w:val="36"/>
          <w:rtl/>
        </w:rPr>
        <w:t xml:space="preserve"> </w:t>
      </w:r>
      <w:r w:rsidR="009331ED" w:rsidRPr="00FD211F">
        <w:rPr>
          <w:sz w:val="36"/>
          <w:szCs w:val="36"/>
          <w:rtl/>
        </w:rPr>
        <w:t>بالنسب</w:t>
      </w:r>
      <w:r w:rsidR="00EC7EDF" w:rsidRPr="00FD211F">
        <w:rPr>
          <w:sz w:val="36"/>
          <w:szCs w:val="36"/>
          <w:rtl/>
        </w:rPr>
        <w:t>ة</w:t>
      </w:r>
      <w:r w:rsidR="00E8128F">
        <w:rPr>
          <w:sz w:val="36"/>
          <w:szCs w:val="36"/>
          <w:rtl/>
        </w:rPr>
        <w:t xml:space="preserve"> </w:t>
      </w:r>
      <w:r w:rsidR="009331ED" w:rsidRPr="00FD211F">
        <w:rPr>
          <w:sz w:val="36"/>
          <w:szCs w:val="36"/>
          <w:rtl/>
        </w:rPr>
        <w:t>الى</w:t>
      </w:r>
      <w:r w:rsidR="00E8128F">
        <w:rPr>
          <w:sz w:val="36"/>
          <w:szCs w:val="36"/>
          <w:rtl/>
        </w:rPr>
        <w:t xml:space="preserve"> </w:t>
      </w:r>
      <w:r w:rsidR="009331ED" w:rsidRPr="00FD211F">
        <w:rPr>
          <w:sz w:val="36"/>
          <w:szCs w:val="36"/>
          <w:rtl/>
        </w:rPr>
        <w:t>الفلسف</w:t>
      </w:r>
      <w:r w:rsidR="00EC7EDF" w:rsidRPr="00FD211F">
        <w:rPr>
          <w:sz w:val="36"/>
          <w:szCs w:val="36"/>
          <w:rtl/>
        </w:rPr>
        <w:t>ة</w:t>
      </w:r>
      <w:r w:rsidR="00A61BAE" w:rsidRPr="00FD211F">
        <w:rPr>
          <w:sz w:val="36"/>
          <w:szCs w:val="36"/>
          <w:rtl/>
        </w:rPr>
        <w:t>.</w:t>
      </w:r>
    </w:p>
    <w:p w14:paraId="378B0499" w14:textId="77777777" w:rsidR="00045DE3" w:rsidRPr="00FD211F" w:rsidRDefault="00045DE3" w:rsidP="009C58C8">
      <w:pPr>
        <w:ind w:left="0" w:firstLine="227"/>
        <w:jc w:val="both"/>
        <w:rPr>
          <w:sz w:val="36"/>
          <w:szCs w:val="36"/>
          <w:rtl/>
        </w:rPr>
      </w:pPr>
      <w:r w:rsidRPr="00FD211F">
        <w:rPr>
          <w:b/>
          <w:bCs/>
          <w:sz w:val="36"/>
          <w:szCs w:val="36"/>
          <w:rtl/>
        </w:rPr>
        <w:t>المحاول</w:t>
      </w:r>
      <w:r w:rsidR="00EC7EDF" w:rsidRPr="00FD211F">
        <w:rPr>
          <w:b/>
          <w:bCs/>
          <w:sz w:val="36"/>
          <w:szCs w:val="36"/>
          <w:rtl/>
        </w:rPr>
        <w:t>ة</w:t>
      </w:r>
      <w:r w:rsidR="00E8128F">
        <w:rPr>
          <w:b/>
          <w:bCs/>
          <w:sz w:val="36"/>
          <w:szCs w:val="36"/>
          <w:rtl/>
        </w:rPr>
        <w:t xml:space="preserve"> </w:t>
      </w:r>
      <w:r w:rsidRPr="00FD211F">
        <w:rPr>
          <w:b/>
          <w:bCs/>
          <w:sz w:val="36"/>
          <w:szCs w:val="36"/>
          <w:rtl/>
        </w:rPr>
        <w:t>ا</w:t>
      </w:r>
      <w:r w:rsidR="002E0F9E" w:rsidRPr="00FD211F">
        <w:rPr>
          <w:b/>
          <w:bCs/>
          <w:sz w:val="36"/>
          <w:szCs w:val="36"/>
          <w:rtl/>
        </w:rPr>
        <w:t>لرابع</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00A61BAE" w:rsidRPr="00FD211F">
        <w:rPr>
          <w:sz w:val="36"/>
          <w:szCs w:val="36"/>
          <w:rtl/>
        </w:rPr>
        <w:t>"قده"</w:t>
      </w:r>
      <w:r w:rsidR="00E8128F">
        <w:rPr>
          <w:sz w:val="36"/>
          <w:szCs w:val="36"/>
          <w:rtl/>
        </w:rPr>
        <w:t xml:space="preserve"> </w:t>
      </w:r>
      <w:r w:rsidRPr="00FD211F">
        <w:rPr>
          <w:sz w:val="36"/>
          <w:szCs w:val="36"/>
          <w:rtl/>
        </w:rPr>
        <w:t>ايضا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الصحيح</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w:t>
      </w:r>
      <w:r w:rsidR="008D7B3D" w:rsidRPr="00FD211F">
        <w:rPr>
          <w:sz w:val="36"/>
          <w:szCs w:val="36"/>
          <w:rtl/>
        </w:rPr>
        <w:t>شيء</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القواعد</w:t>
      </w:r>
      <w:r w:rsidR="00E8128F">
        <w:rPr>
          <w:sz w:val="36"/>
          <w:szCs w:val="36"/>
          <w:rtl/>
        </w:rPr>
        <w:t xml:space="preserve"> </w:t>
      </w:r>
      <w:r w:rsidRPr="00FD211F">
        <w:rPr>
          <w:sz w:val="36"/>
          <w:szCs w:val="36"/>
          <w:rtl/>
        </w:rPr>
        <w:t>الفقهي</w:t>
      </w:r>
      <w:r w:rsidR="00EC7EDF" w:rsidRPr="00FD211F">
        <w:rPr>
          <w:sz w:val="36"/>
          <w:szCs w:val="36"/>
          <w:rtl/>
        </w:rPr>
        <w:t>ة</w:t>
      </w:r>
      <w:r w:rsidR="00E8128F">
        <w:rPr>
          <w:sz w:val="36"/>
          <w:szCs w:val="36"/>
          <w:rtl/>
        </w:rPr>
        <w:t xml:space="preserve"> </w:t>
      </w:r>
      <w:r w:rsidRPr="00FD211F">
        <w:rPr>
          <w:sz w:val="36"/>
          <w:szCs w:val="36"/>
          <w:rtl/>
        </w:rPr>
        <w:t>تجري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الشبهات</w:t>
      </w:r>
      <w:r w:rsidR="00E8128F">
        <w:rPr>
          <w:sz w:val="36"/>
          <w:szCs w:val="36"/>
          <w:rtl/>
        </w:rPr>
        <w:t xml:space="preserve"> </w:t>
      </w:r>
      <w:r w:rsidRPr="00FD211F">
        <w:rPr>
          <w:sz w:val="36"/>
          <w:szCs w:val="36"/>
          <w:rtl/>
        </w:rPr>
        <w:t>الحكمي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قاعدتي</w:t>
      </w:r>
      <w:r w:rsidR="00E8128F">
        <w:rPr>
          <w:sz w:val="36"/>
          <w:szCs w:val="36"/>
          <w:rtl/>
        </w:rPr>
        <w:t xml:space="preserve"> </w:t>
      </w:r>
      <w:r w:rsidRPr="00FD211F">
        <w:rPr>
          <w:sz w:val="36"/>
          <w:szCs w:val="36"/>
          <w:rtl/>
        </w:rPr>
        <w:t>نفي</w:t>
      </w:r>
      <w:r w:rsidR="00E8128F">
        <w:rPr>
          <w:sz w:val="36"/>
          <w:szCs w:val="36"/>
          <w:rtl/>
        </w:rPr>
        <w:t xml:space="preserve"> </w:t>
      </w:r>
      <w:r w:rsidRPr="00FD211F">
        <w:rPr>
          <w:sz w:val="36"/>
          <w:szCs w:val="36"/>
          <w:rtl/>
        </w:rPr>
        <w:t>الضرر</w:t>
      </w:r>
      <w:r w:rsidR="00E8128F">
        <w:rPr>
          <w:sz w:val="36"/>
          <w:szCs w:val="36"/>
          <w:rtl/>
        </w:rPr>
        <w:t xml:space="preserve"> </w:t>
      </w:r>
      <w:r w:rsidRPr="00FD211F">
        <w:rPr>
          <w:sz w:val="36"/>
          <w:szCs w:val="36"/>
          <w:rtl/>
        </w:rPr>
        <w:t>والحرج</w:t>
      </w:r>
      <w:r w:rsidR="00E8128F">
        <w:rPr>
          <w:sz w:val="36"/>
          <w:szCs w:val="36"/>
          <w:rtl/>
        </w:rPr>
        <w:t xml:space="preserve"> </w:t>
      </w:r>
      <w:r w:rsidRPr="00FD211F">
        <w:rPr>
          <w:sz w:val="36"/>
          <w:szCs w:val="36"/>
          <w:rtl/>
        </w:rPr>
        <w:t>لاتجريان</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موارد</w:t>
      </w:r>
      <w:r w:rsidR="00E8128F">
        <w:rPr>
          <w:sz w:val="36"/>
          <w:szCs w:val="36"/>
          <w:rtl/>
        </w:rPr>
        <w:t xml:space="preserve"> </w:t>
      </w:r>
      <w:r w:rsidRPr="00FD211F">
        <w:rPr>
          <w:sz w:val="36"/>
          <w:szCs w:val="36"/>
          <w:rtl/>
        </w:rPr>
        <w:t>الضرر</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الحرج</w:t>
      </w:r>
      <w:r w:rsidR="00E8128F">
        <w:rPr>
          <w:sz w:val="36"/>
          <w:szCs w:val="36"/>
          <w:rtl/>
        </w:rPr>
        <w:t xml:space="preserve"> </w:t>
      </w:r>
      <w:r w:rsidRPr="00FD211F">
        <w:rPr>
          <w:sz w:val="36"/>
          <w:szCs w:val="36"/>
          <w:rtl/>
        </w:rPr>
        <w:t>النوعي</w:t>
      </w:r>
      <w:r w:rsidR="00603323" w:rsidRPr="00FD211F">
        <w:rPr>
          <w:sz w:val="36"/>
          <w:szCs w:val="36"/>
          <w:rtl/>
        </w:rPr>
        <w:t>،</w:t>
      </w:r>
      <w:r w:rsidR="00E8128F">
        <w:rPr>
          <w:sz w:val="36"/>
          <w:szCs w:val="36"/>
          <w:rtl/>
        </w:rPr>
        <w:t xml:space="preserve"> </w:t>
      </w:r>
      <w:r w:rsidRPr="00FD211F">
        <w:rPr>
          <w:sz w:val="36"/>
          <w:szCs w:val="36"/>
          <w:rtl/>
        </w:rPr>
        <w:t>وقاعد</w:t>
      </w:r>
      <w:r w:rsidR="00EC7EDF" w:rsidRPr="00FD211F">
        <w:rPr>
          <w:sz w:val="36"/>
          <w:szCs w:val="36"/>
          <w:rtl/>
        </w:rPr>
        <w:t>ة</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يضمن</w:t>
      </w:r>
      <w:r w:rsidR="00E8128F">
        <w:rPr>
          <w:sz w:val="36"/>
          <w:szCs w:val="36"/>
          <w:rtl/>
        </w:rPr>
        <w:t xml:space="preserve"> </w:t>
      </w:r>
      <w:r w:rsidRPr="00FD211F">
        <w:rPr>
          <w:sz w:val="36"/>
          <w:szCs w:val="36"/>
          <w:rtl/>
        </w:rPr>
        <w:t>اساسها</w:t>
      </w:r>
      <w:r w:rsidR="00E8128F">
        <w:rPr>
          <w:sz w:val="36"/>
          <w:szCs w:val="36"/>
          <w:rtl/>
        </w:rPr>
        <w:t xml:space="preserve"> </w:t>
      </w:r>
      <w:r w:rsidRPr="00FD211F">
        <w:rPr>
          <w:sz w:val="36"/>
          <w:szCs w:val="36"/>
          <w:rtl/>
        </w:rPr>
        <w:t>ثبوت</w:t>
      </w:r>
      <w:r w:rsidR="00E8128F">
        <w:rPr>
          <w:sz w:val="36"/>
          <w:szCs w:val="36"/>
          <w:rtl/>
        </w:rPr>
        <w:t xml:space="preserve"> </w:t>
      </w:r>
      <w:r w:rsidRPr="00FD211F">
        <w:rPr>
          <w:sz w:val="36"/>
          <w:szCs w:val="36"/>
          <w:rtl/>
        </w:rPr>
        <w:t>الضمان</w:t>
      </w:r>
      <w:r w:rsidR="00E8128F">
        <w:rPr>
          <w:sz w:val="36"/>
          <w:szCs w:val="36"/>
          <w:rtl/>
        </w:rPr>
        <w:t xml:space="preserve"> </w:t>
      </w:r>
      <w:r w:rsidRPr="00FD211F">
        <w:rPr>
          <w:sz w:val="36"/>
          <w:szCs w:val="36"/>
          <w:rtl/>
        </w:rPr>
        <w:t>باليد</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الغاء</w:t>
      </w:r>
      <w:r w:rsidR="00E8128F">
        <w:rPr>
          <w:sz w:val="36"/>
          <w:szCs w:val="36"/>
          <w:rtl/>
        </w:rPr>
        <w:t xml:space="preserve"> </w:t>
      </w:r>
      <w:r w:rsidR="007F2BFB" w:rsidRPr="00FD211F">
        <w:rPr>
          <w:sz w:val="36"/>
          <w:szCs w:val="36"/>
          <w:rtl/>
        </w:rPr>
        <w:t>المالك</w:t>
      </w:r>
      <w:r w:rsidR="00E8128F">
        <w:rPr>
          <w:sz w:val="36"/>
          <w:szCs w:val="36"/>
          <w:rtl/>
        </w:rPr>
        <w:t xml:space="preserve"> </w:t>
      </w:r>
      <w:r w:rsidR="007F2BFB" w:rsidRPr="00FD211F">
        <w:rPr>
          <w:sz w:val="36"/>
          <w:szCs w:val="36"/>
          <w:rtl/>
        </w:rPr>
        <w:t>لاحترام</w:t>
      </w:r>
      <w:r w:rsidR="00E8128F">
        <w:rPr>
          <w:sz w:val="36"/>
          <w:szCs w:val="36"/>
          <w:rtl/>
        </w:rPr>
        <w:t xml:space="preserve"> </w:t>
      </w:r>
      <w:r w:rsidR="007F2BFB" w:rsidRPr="00FD211F">
        <w:rPr>
          <w:sz w:val="36"/>
          <w:szCs w:val="36"/>
          <w:rtl/>
        </w:rPr>
        <w:t>ماله</w:t>
      </w:r>
      <w:r w:rsidR="00E8128F">
        <w:rPr>
          <w:sz w:val="36"/>
          <w:szCs w:val="36"/>
          <w:rtl/>
        </w:rPr>
        <w:t xml:space="preserve"> </w:t>
      </w:r>
      <w:r w:rsidR="007F2BFB" w:rsidRPr="00FD211F">
        <w:rPr>
          <w:sz w:val="36"/>
          <w:szCs w:val="36"/>
          <w:rtl/>
        </w:rPr>
        <w:t>(</w:t>
      </w:r>
      <w:r w:rsidR="004F3D77" w:rsidRPr="00FD211F">
        <w:rPr>
          <w:sz w:val="36"/>
          <w:szCs w:val="36"/>
          <w:rtl/>
        </w:rPr>
        <w:t>فليست</w:t>
      </w:r>
      <w:r w:rsidR="00E8128F">
        <w:rPr>
          <w:sz w:val="36"/>
          <w:szCs w:val="36"/>
          <w:rtl/>
        </w:rPr>
        <w:t xml:space="preserve"> </w:t>
      </w:r>
      <w:r w:rsidR="004F3D77" w:rsidRPr="00FD211F">
        <w:rPr>
          <w:sz w:val="36"/>
          <w:szCs w:val="36"/>
          <w:rtl/>
        </w:rPr>
        <w:t>هذه</w:t>
      </w:r>
      <w:r w:rsidR="00E8128F">
        <w:rPr>
          <w:sz w:val="36"/>
          <w:szCs w:val="36"/>
          <w:rtl/>
        </w:rPr>
        <w:t xml:space="preserve"> </w:t>
      </w:r>
      <w:r w:rsidR="004F3D77" w:rsidRPr="00FD211F">
        <w:rPr>
          <w:sz w:val="36"/>
          <w:szCs w:val="36"/>
          <w:rtl/>
        </w:rPr>
        <w:t>القاعد</w:t>
      </w:r>
      <w:r w:rsidR="00EC7EDF" w:rsidRPr="00FD211F">
        <w:rPr>
          <w:sz w:val="36"/>
          <w:szCs w:val="36"/>
          <w:rtl/>
        </w:rPr>
        <w:t>ة</w:t>
      </w:r>
      <w:r w:rsidR="00E8128F">
        <w:rPr>
          <w:sz w:val="36"/>
          <w:szCs w:val="36"/>
          <w:rtl/>
        </w:rPr>
        <w:t xml:space="preserve"> </w:t>
      </w:r>
      <w:r w:rsidR="007F2BFB" w:rsidRPr="00FD211F">
        <w:rPr>
          <w:sz w:val="36"/>
          <w:szCs w:val="36"/>
          <w:rtl/>
        </w:rPr>
        <w:t>الا</w:t>
      </w:r>
      <w:r w:rsidR="00E8128F">
        <w:rPr>
          <w:sz w:val="36"/>
          <w:szCs w:val="36"/>
          <w:rtl/>
        </w:rPr>
        <w:t xml:space="preserve"> </w:t>
      </w:r>
      <w:r w:rsidRPr="00FD211F">
        <w:rPr>
          <w:sz w:val="36"/>
          <w:szCs w:val="36"/>
          <w:rtl/>
        </w:rPr>
        <w:t>جعل</w:t>
      </w:r>
      <w:r w:rsidR="004F3D77" w:rsidRPr="00FD211F">
        <w:rPr>
          <w:sz w:val="36"/>
          <w:szCs w:val="36"/>
          <w:rtl/>
        </w:rPr>
        <w:t>ا</w:t>
      </w:r>
      <w:r w:rsidR="00E8128F">
        <w:rPr>
          <w:sz w:val="36"/>
          <w:szCs w:val="36"/>
          <w:rtl/>
        </w:rPr>
        <w:t xml:space="preserve"> </w:t>
      </w:r>
      <w:r w:rsidRPr="00FD211F">
        <w:rPr>
          <w:sz w:val="36"/>
          <w:szCs w:val="36"/>
          <w:rtl/>
        </w:rPr>
        <w:t>واحد</w:t>
      </w:r>
      <w:r w:rsidR="004F3D77" w:rsidRPr="00FD211F">
        <w:rPr>
          <w:sz w:val="36"/>
          <w:szCs w:val="36"/>
          <w:rtl/>
        </w:rPr>
        <w:t>ا</w:t>
      </w:r>
      <w:r w:rsidR="00E8128F">
        <w:rPr>
          <w:sz w:val="36"/>
          <w:szCs w:val="36"/>
          <w:rtl/>
        </w:rPr>
        <w:t xml:space="preserve"> </w:t>
      </w:r>
      <w:r w:rsidRPr="00FD211F">
        <w:rPr>
          <w:sz w:val="36"/>
          <w:szCs w:val="36"/>
          <w:rtl/>
        </w:rPr>
        <w:t>كلي</w:t>
      </w:r>
      <w:r w:rsidR="004F3D77" w:rsidRPr="00FD211F">
        <w:rPr>
          <w:sz w:val="36"/>
          <w:szCs w:val="36"/>
          <w:rtl/>
        </w:rPr>
        <w:t>ا</w:t>
      </w:r>
      <w:r w:rsidR="00E8128F">
        <w:rPr>
          <w:sz w:val="36"/>
          <w:szCs w:val="36"/>
          <w:rtl/>
        </w:rPr>
        <w:t xml:space="preserve"> </w:t>
      </w:r>
      <w:r w:rsidR="004F3D77" w:rsidRPr="00FD211F">
        <w:rPr>
          <w:sz w:val="36"/>
          <w:szCs w:val="36"/>
          <w:rtl/>
        </w:rPr>
        <w:t>لاانه</w:t>
      </w:r>
      <w:r w:rsidR="00E8128F">
        <w:rPr>
          <w:sz w:val="36"/>
          <w:szCs w:val="36"/>
          <w:rtl/>
        </w:rPr>
        <w:t xml:space="preserve"> </w:t>
      </w:r>
      <w:r w:rsidR="004F3D77" w:rsidRPr="00FD211F">
        <w:rPr>
          <w:sz w:val="36"/>
          <w:szCs w:val="36"/>
          <w:rtl/>
        </w:rPr>
        <w:t>يستكشف</w:t>
      </w:r>
      <w:r w:rsidR="00E8128F">
        <w:rPr>
          <w:sz w:val="36"/>
          <w:szCs w:val="36"/>
          <w:rtl/>
        </w:rPr>
        <w:t xml:space="preserve"> </w:t>
      </w:r>
      <w:r w:rsidR="004F3D77" w:rsidRPr="00FD211F">
        <w:rPr>
          <w:sz w:val="36"/>
          <w:szCs w:val="36"/>
          <w:rtl/>
        </w:rPr>
        <w:t>منها</w:t>
      </w:r>
      <w:r w:rsidR="00E8128F">
        <w:rPr>
          <w:sz w:val="36"/>
          <w:szCs w:val="36"/>
          <w:rtl/>
        </w:rPr>
        <w:t xml:space="preserve"> </w:t>
      </w:r>
      <w:r w:rsidR="004F3D77" w:rsidRPr="00FD211F">
        <w:rPr>
          <w:sz w:val="36"/>
          <w:szCs w:val="36"/>
          <w:rtl/>
        </w:rPr>
        <w:t>جعول</w:t>
      </w:r>
      <w:r w:rsidR="00E8128F">
        <w:rPr>
          <w:sz w:val="36"/>
          <w:szCs w:val="36"/>
          <w:rtl/>
        </w:rPr>
        <w:t xml:space="preserve"> </w:t>
      </w:r>
      <w:r w:rsidR="004F3D77" w:rsidRPr="00FD211F">
        <w:rPr>
          <w:sz w:val="36"/>
          <w:szCs w:val="36"/>
          <w:rtl/>
        </w:rPr>
        <w:t>شرعي</w:t>
      </w:r>
      <w:r w:rsidR="00EC7EDF" w:rsidRPr="00FD211F">
        <w:rPr>
          <w:sz w:val="36"/>
          <w:szCs w:val="36"/>
          <w:rtl/>
        </w:rPr>
        <w:t>ة</w:t>
      </w:r>
      <w:r w:rsidRPr="00FD211F">
        <w:rPr>
          <w:sz w:val="36"/>
          <w:szCs w:val="36"/>
          <w:rtl/>
        </w:rPr>
        <w:t>)</w:t>
      </w:r>
      <w:r w:rsidR="00E8128F">
        <w:rPr>
          <w:sz w:val="36"/>
          <w:szCs w:val="36"/>
          <w:rtl/>
        </w:rPr>
        <w:t xml:space="preserve"> </w:t>
      </w:r>
      <w:r w:rsidRPr="00FD211F">
        <w:rPr>
          <w:sz w:val="36"/>
          <w:szCs w:val="36"/>
          <w:rtl/>
        </w:rPr>
        <w:t>فالقواعد</w:t>
      </w:r>
      <w:r w:rsidR="00E8128F">
        <w:rPr>
          <w:sz w:val="36"/>
          <w:szCs w:val="36"/>
          <w:rtl/>
        </w:rPr>
        <w:t xml:space="preserve"> </w:t>
      </w:r>
      <w:r w:rsidRPr="00FD211F">
        <w:rPr>
          <w:sz w:val="36"/>
          <w:szCs w:val="36"/>
          <w:rtl/>
        </w:rPr>
        <w:t>الفقهي</w:t>
      </w:r>
      <w:r w:rsidR="00EC7EDF" w:rsidRPr="00FD211F">
        <w:rPr>
          <w:sz w:val="36"/>
          <w:szCs w:val="36"/>
          <w:rtl/>
        </w:rPr>
        <w:t>ة</w:t>
      </w:r>
      <w:r w:rsidR="00E8128F">
        <w:rPr>
          <w:sz w:val="36"/>
          <w:szCs w:val="36"/>
          <w:rtl/>
        </w:rPr>
        <w:t xml:space="preserve"> </w:t>
      </w:r>
      <w:r w:rsidRPr="00FD211F">
        <w:rPr>
          <w:sz w:val="36"/>
          <w:szCs w:val="36"/>
          <w:rtl/>
        </w:rPr>
        <w:t>نتائجها</w:t>
      </w:r>
      <w:r w:rsidR="00E8128F">
        <w:rPr>
          <w:sz w:val="36"/>
          <w:szCs w:val="36"/>
          <w:rtl/>
        </w:rPr>
        <w:t xml:space="preserve"> </w:t>
      </w:r>
      <w:r w:rsidRPr="00FD211F">
        <w:rPr>
          <w:sz w:val="36"/>
          <w:szCs w:val="36"/>
          <w:rtl/>
        </w:rPr>
        <w:t>احكام</w:t>
      </w:r>
      <w:r w:rsidR="00E8128F">
        <w:rPr>
          <w:sz w:val="36"/>
          <w:szCs w:val="36"/>
          <w:rtl/>
        </w:rPr>
        <w:t xml:space="preserve"> </w:t>
      </w:r>
      <w:r w:rsidRPr="00FD211F">
        <w:rPr>
          <w:sz w:val="36"/>
          <w:szCs w:val="36"/>
          <w:rtl/>
        </w:rPr>
        <w:t>شخصي</w:t>
      </w:r>
      <w:r w:rsidR="00EC7EDF" w:rsidRPr="00FD211F">
        <w:rPr>
          <w:sz w:val="36"/>
          <w:szCs w:val="36"/>
          <w:rtl/>
        </w:rPr>
        <w:t>ة</w:t>
      </w:r>
      <w:r w:rsidR="00E8128F">
        <w:rPr>
          <w:sz w:val="36"/>
          <w:szCs w:val="36"/>
          <w:rtl/>
        </w:rPr>
        <w:t xml:space="preserve"> </w:t>
      </w:r>
      <w:r w:rsidR="00DB7C2C" w:rsidRPr="00FD211F">
        <w:rPr>
          <w:sz w:val="36"/>
          <w:szCs w:val="36"/>
          <w:rtl/>
        </w:rPr>
        <w:t>دائما</w:t>
      </w:r>
      <w:r w:rsidR="009C58C8" w:rsidRPr="00FD211F">
        <w:rPr>
          <w:rStyle w:val="a6"/>
          <w:sz w:val="36"/>
          <w:szCs w:val="36"/>
          <w:rtl/>
        </w:rPr>
        <w:t>(</w:t>
      </w:r>
      <w:r w:rsidR="009C58C8" w:rsidRPr="00FD211F">
        <w:rPr>
          <w:rStyle w:val="a6"/>
          <w:sz w:val="36"/>
          <w:szCs w:val="36"/>
          <w:rtl/>
        </w:rPr>
        <w:footnoteReference w:id="47"/>
      </w:r>
      <w:r w:rsidR="009C58C8" w:rsidRPr="00FD211F">
        <w:rPr>
          <w:rStyle w:val="a6"/>
          <w:sz w:val="36"/>
          <w:szCs w:val="36"/>
          <w:rtl/>
        </w:rPr>
        <w:t>)</w:t>
      </w:r>
      <w:r w:rsidRPr="00FD211F">
        <w:rPr>
          <w:sz w:val="36"/>
          <w:szCs w:val="36"/>
          <w:rtl/>
        </w:rPr>
        <w:t>.</w:t>
      </w:r>
    </w:p>
    <w:p w14:paraId="6B3C217E" w14:textId="77777777" w:rsidR="00045DE3" w:rsidRPr="00FD211F" w:rsidRDefault="00045DE3" w:rsidP="009C58C8">
      <w:pPr>
        <w:ind w:left="0" w:firstLine="227"/>
        <w:jc w:val="both"/>
        <w:rPr>
          <w:sz w:val="36"/>
          <w:szCs w:val="36"/>
          <w:rtl/>
        </w:rPr>
      </w:pPr>
      <w:r w:rsidRPr="00FD211F">
        <w:rPr>
          <w:sz w:val="36"/>
          <w:szCs w:val="36"/>
          <w:rtl/>
        </w:rPr>
        <w:t>وفيه: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افاده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الفرق</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lastRenderedPageBreak/>
        <w:t>الالتزام</w:t>
      </w:r>
      <w:r w:rsidR="00E8128F">
        <w:rPr>
          <w:sz w:val="36"/>
          <w:szCs w:val="36"/>
          <w:rtl/>
        </w:rPr>
        <w:t xml:space="preserve"> </w:t>
      </w:r>
      <w:r w:rsidR="0024755D" w:rsidRPr="00FD211F">
        <w:rPr>
          <w:sz w:val="36"/>
          <w:szCs w:val="36"/>
          <w:rtl/>
        </w:rPr>
        <w:t>ب</w:t>
      </w:r>
      <w:r w:rsidRPr="00FD211F">
        <w:rPr>
          <w:sz w:val="36"/>
          <w:szCs w:val="36"/>
          <w:rtl/>
        </w:rPr>
        <w:t>نفي</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ينشأ</w:t>
      </w:r>
      <w:r w:rsidR="00E8128F">
        <w:rPr>
          <w:sz w:val="36"/>
          <w:szCs w:val="36"/>
          <w:rtl/>
        </w:rPr>
        <w:t xml:space="preserve"> </w:t>
      </w:r>
      <w:r w:rsidRPr="00FD211F">
        <w:rPr>
          <w:sz w:val="36"/>
          <w:szCs w:val="36"/>
          <w:rtl/>
        </w:rPr>
        <w:t>منه</w:t>
      </w:r>
      <w:r w:rsidR="00E8128F">
        <w:rPr>
          <w:sz w:val="36"/>
          <w:szCs w:val="36"/>
          <w:rtl/>
        </w:rPr>
        <w:t xml:space="preserve"> </w:t>
      </w:r>
      <w:r w:rsidRPr="00FD211F">
        <w:rPr>
          <w:sz w:val="36"/>
          <w:szCs w:val="36"/>
          <w:rtl/>
        </w:rPr>
        <w:t>الضرر</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الحرج</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نوع</w:t>
      </w:r>
      <w:r w:rsidR="00E8128F">
        <w:rPr>
          <w:sz w:val="36"/>
          <w:szCs w:val="36"/>
          <w:rtl/>
        </w:rPr>
        <w:t xml:space="preserve"> </w:t>
      </w:r>
      <w:r w:rsidRPr="00FD211F">
        <w:rPr>
          <w:sz w:val="36"/>
          <w:szCs w:val="36"/>
          <w:rtl/>
        </w:rPr>
        <w:t>المكلفين</w:t>
      </w:r>
      <w:r w:rsidR="00E8128F">
        <w:rPr>
          <w:sz w:val="36"/>
          <w:szCs w:val="36"/>
          <w:rtl/>
        </w:rPr>
        <w:t xml:space="preserve"> </w:t>
      </w:r>
      <w:r w:rsidRPr="00FD211F">
        <w:rPr>
          <w:sz w:val="36"/>
          <w:szCs w:val="36"/>
          <w:rtl/>
        </w:rPr>
        <w:t>والالتزام</w:t>
      </w:r>
      <w:r w:rsidR="00E8128F">
        <w:rPr>
          <w:sz w:val="36"/>
          <w:szCs w:val="36"/>
          <w:rtl/>
        </w:rPr>
        <w:t xml:space="preserve"> </w:t>
      </w:r>
      <w:commentRangeStart w:id="44"/>
      <w:r w:rsidRPr="00FD211F">
        <w:rPr>
          <w:sz w:val="36"/>
          <w:szCs w:val="36"/>
          <w:rtl/>
        </w:rPr>
        <w:t>بعدمه</w:t>
      </w:r>
      <w:commentRangeEnd w:id="44"/>
      <w:r w:rsidR="00265400">
        <w:rPr>
          <w:rStyle w:val="ab"/>
          <w:rtl/>
        </w:rPr>
        <w:commentReference w:id="44"/>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متجه</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مراده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الشبه</w:t>
      </w:r>
      <w:r w:rsidR="00EC7EDF" w:rsidRPr="00FD211F">
        <w:rPr>
          <w:sz w:val="36"/>
          <w:szCs w:val="36"/>
          <w:rtl/>
        </w:rPr>
        <w:t>ة</w:t>
      </w:r>
      <w:r w:rsidR="00E8128F">
        <w:rPr>
          <w:sz w:val="36"/>
          <w:szCs w:val="36"/>
          <w:rtl/>
        </w:rPr>
        <w:t xml:space="preserve"> </w:t>
      </w:r>
      <w:r w:rsidRPr="00FD211F">
        <w:rPr>
          <w:sz w:val="36"/>
          <w:szCs w:val="36"/>
          <w:rtl/>
        </w:rPr>
        <w:t>الحكمي</w:t>
      </w:r>
      <w:r w:rsidR="00EC7EDF" w:rsidRPr="00FD211F">
        <w:rPr>
          <w:sz w:val="36"/>
          <w:szCs w:val="36"/>
          <w:rtl/>
        </w:rPr>
        <w:t>ة</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ظاهر</w:t>
      </w:r>
      <w:r w:rsidR="00E8128F">
        <w:rPr>
          <w:sz w:val="36"/>
          <w:szCs w:val="36"/>
          <w:rtl/>
        </w:rPr>
        <w:t xml:space="preserve"> </w:t>
      </w:r>
      <w:r w:rsidRPr="00FD211F">
        <w:rPr>
          <w:sz w:val="36"/>
          <w:szCs w:val="36"/>
          <w:rtl/>
        </w:rPr>
        <w:t>كلامه</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بمعناه</w:t>
      </w:r>
      <w:r w:rsidR="00E8128F">
        <w:rPr>
          <w:sz w:val="36"/>
          <w:szCs w:val="36"/>
          <w:rtl/>
        </w:rPr>
        <w:t xml:space="preserve"> </w:t>
      </w:r>
      <w:r w:rsidRPr="00FD211F">
        <w:rPr>
          <w:sz w:val="36"/>
          <w:szCs w:val="36"/>
          <w:rtl/>
        </w:rPr>
        <w:t>المصطلح</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كانت</w:t>
      </w:r>
      <w:r w:rsidR="00E8128F">
        <w:rPr>
          <w:sz w:val="36"/>
          <w:szCs w:val="36"/>
          <w:rtl/>
        </w:rPr>
        <w:t xml:space="preserve"> </w:t>
      </w:r>
      <w:r w:rsidRPr="00FD211F">
        <w:rPr>
          <w:sz w:val="36"/>
          <w:szCs w:val="36"/>
          <w:rtl/>
        </w:rPr>
        <w:t>نتيج</w:t>
      </w:r>
      <w:r w:rsidR="00EC7EDF" w:rsidRPr="00FD211F">
        <w:rPr>
          <w:sz w:val="36"/>
          <w:szCs w:val="36"/>
          <w:rtl/>
        </w:rPr>
        <w:t>ة</w:t>
      </w:r>
      <w:r w:rsidR="00E8128F">
        <w:rPr>
          <w:sz w:val="36"/>
          <w:szCs w:val="36"/>
          <w:rtl/>
        </w:rPr>
        <w:t xml:space="preserve"> </w:t>
      </w:r>
      <w:r w:rsidRPr="00FD211F">
        <w:rPr>
          <w:sz w:val="36"/>
          <w:szCs w:val="36"/>
          <w:rtl/>
        </w:rPr>
        <w:t>تطبيق</w:t>
      </w:r>
      <w:r w:rsidR="00E8128F">
        <w:rPr>
          <w:sz w:val="36"/>
          <w:szCs w:val="36"/>
          <w:rtl/>
        </w:rPr>
        <w:t xml:space="preserve"> </w:t>
      </w:r>
      <w:r w:rsidRPr="00FD211F">
        <w:rPr>
          <w:sz w:val="36"/>
          <w:szCs w:val="36"/>
          <w:rtl/>
        </w:rPr>
        <w:t>القاعد</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الفقه</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استكشاف</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الكلي</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يعم</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احد</w:t>
      </w:r>
      <w:r w:rsidR="00603323" w:rsidRPr="00FD211F">
        <w:rPr>
          <w:sz w:val="36"/>
          <w:szCs w:val="36"/>
          <w:rtl/>
        </w:rPr>
        <w:t>،</w:t>
      </w:r>
      <w:r w:rsidR="00E8128F">
        <w:rPr>
          <w:sz w:val="36"/>
          <w:szCs w:val="36"/>
          <w:rtl/>
        </w:rPr>
        <w:t xml:space="preserve"> </w:t>
      </w:r>
      <w:r w:rsidRPr="00FD211F">
        <w:rPr>
          <w:sz w:val="36"/>
          <w:szCs w:val="36"/>
          <w:rtl/>
        </w:rPr>
        <w:t>ونفي</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الوضوء</w:t>
      </w:r>
      <w:r w:rsidR="00E8128F">
        <w:rPr>
          <w:sz w:val="36"/>
          <w:szCs w:val="36"/>
          <w:rtl/>
        </w:rPr>
        <w:t xml:space="preserve"> </w:t>
      </w:r>
      <w:r w:rsidRPr="00FD211F">
        <w:rPr>
          <w:sz w:val="36"/>
          <w:szCs w:val="36"/>
          <w:rtl/>
        </w:rPr>
        <w:t>الضرري</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وظيف</w:t>
      </w:r>
      <w:r w:rsidR="00EC7EDF" w:rsidRPr="00FD211F">
        <w:rPr>
          <w:sz w:val="36"/>
          <w:szCs w:val="36"/>
          <w:rtl/>
        </w:rPr>
        <w:t>ة</w:t>
      </w:r>
      <w:r w:rsidR="00E8128F">
        <w:rPr>
          <w:sz w:val="36"/>
          <w:szCs w:val="36"/>
          <w:rtl/>
        </w:rPr>
        <w:t xml:space="preserve"> </w:t>
      </w:r>
      <w:r w:rsidRPr="00FD211F">
        <w:rPr>
          <w:sz w:val="36"/>
          <w:szCs w:val="36"/>
          <w:rtl/>
        </w:rPr>
        <w:t>الشارع</w:t>
      </w:r>
      <w:r w:rsidR="00E8128F">
        <w:rPr>
          <w:sz w:val="36"/>
          <w:szCs w:val="36"/>
          <w:rtl/>
        </w:rPr>
        <w:t xml:space="preserve"> </w:t>
      </w:r>
      <w:r w:rsidRPr="00FD211F">
        <w:rPr>
          <w:sz w:val="36"/>
          <w:szCs w:val="36"/>
          <w:rtl/>
        </w:rPr>
        <w:t>بيانه</w:t>
      </w:r>
      <w:r w:rsidR="00E8128F">
        <w:rPr>
          <w:sz w:val="36"/>
          <w:szCs w:val="36"/>
          <w:rtl/>
        </w:rPr>
        <w:t xml:space="preserve"> </w:t>
      </w:r>
      <w:r w:rsidRPr="00FD211F">
        <w:rPr>
          <w:sz w:val="36"/>
          <w:szCs w:val="36"/>
          <w:rtl/>
        </w:rPr>
        <w:t>ولكن</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يعم</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احد</w:t>
      </w:r>
      <w:r w:rsidR="00E8128F">
        <w:rPr>
          <w:sz w:val="36"/>
          <w:szCs w:val="36"/>
          <w:rtl/>
        </w:rPr>
        <w:t xml:space="preserve"> </w:t>
      </w:r>
      <w:r w:rsidRPr="00FD211F">
        <w:rPr>
          <w:sz w:val="36"/>
          <w:szCs w:val="36"/>
          <w:rtl/>
        </w:rPr>
        <w:t>بل</w:t>
      </w:r>
      <w:r w:rsidR="00E8128F">
        <w:rPr>
          <w:sz w:val="36"/>
          <w:szCs w:val="36"/>
          <w:rtl/>
        </w:rPr>
        <w:t xml:space="preserve"> </w:t>
      </w:r>
      <w:r w:rsidR="00DB7C2C" w:rsidRPr="00FD211F">
        <w:rPr>
          <w:sz w:val="36"/>
          <w:szCs w:val="36"/>
          <w:rtl/>
        </w:rPr>
        <w:t>يختص</w:t>
      </w:r>
      <w:r w:rsidR="00E8128F">
        <w:rPr>
          <w:sz w:val="36"/>
          <w:szCs w:val="36"/>
          <w:rtl/>
        </w:rPr>
        <w:t xml:space="preserve"> </w:t>
      </w:r>
      <w:r w:rsidR="00DB7C2C" w:rsidRPr="00FD211F">
        <w:rPr>
          <w:sz w:val="36"/>
          <w:szCs w:val="36"/>
          <w:rtl/>
        </w:rPr>
        <w:t>ب</w:t>
      </w:r>
      <w:r w:rsidRPr="00FD211F">
        <w:rPr>
          <w:sz w:val="36"/>
          <w:szCs w:val="36"/>
          <w:rtl/>
        </w:rPr>
        <w:t>من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الوضوء</w:t>
      </w:r>
      <w:r w:rsidR="00E8128F">
        <w:rPr>
          <w:sz w:val="36"/>
          <w:szCs w:val="36"/>
          <w:rtl/>
        </w:rPr>
        <w:t xml:space="preserve"> </w:t>
      </w:r>
      <w:r w:rsidRPr="00FD211F">
        <w:rPr>
          <w:sz w:val="36"/>
          <w:szCs w:val="36"/>
          <w:rtl/>
        </w:rPr>
        <w:t>ض</w:t>
      </w:r>
      <w:r w:rsidR="00DB7C2C" w:rsidRPr="00FD211F">
        <w:rPr>
          <w:sz w:val="36"/>
          <w:szCs w:val="36"/>
          <w:rtl/>
        </w:rPr>
        <w:t>رريا</w:t>
      </w:r>
      <w:r w:rsidR="00E8128F">
        <w:rPr>
          <w:sz w:val="36"/>
          <w:szCs w:val="36"/>
          <w:rtl/>
        </w:rPr>
        <w:t xml:space="preserve"> </w:t>
      </w:r>
      <w:r w:rsidR="00DB7C2C" w:rsidRPr="00FD211F">
        <w:rPr>
          <w:sz w:val="36"/>
          <w:szCs w:val="36"/>
          <w:rtl/>
        </w:rPr>
        <w:t>في</w:t>
      </w:r>
      <w:r w:rsidR="00E8128F">
        <w:rPr>
          <w:sz w:val="36"/>
          <w:szCs w:val="36"/>
          <w:rtl/>
        </w:rPr>
        <w:t xml:space="preserve"> </w:t>
      </w:r>
      <w:r w:rsidR="00DB7C2C" w:rsidRPr="00FD211F">
        <w:rPr>
          <w:sz w:val="36"/>
          <w:szCs w:val="36"/>
          <w:rtl/>
        </w:rPr>
        <w:t>حقه</w:t>
      </w:r>
      <w:r w:rsidR="00603323" w:rsidRPr="00FD211F">
        <w:rPr>
          <w:sz w:val="36"/>
          <w:szCs w:val="36"/>
          <w:rtl/>
        </w:rPr>
        <w:t>،</w:t>
      </w:r>
      <w:r w:rsidR="00E8128F">
        <w:rPr>
          <w:sz w:val="36"/>
          <w:szCs w:val="36"/>
          <w:rtl/>
        </w:rPr>
        <w:t xml:space="preserve"> </w:t>
      </w:r>
      <w:r w:rsidR="00DB7C2C" w:rsidRPr="00FD211F">
        <w:rPr>
          <w:sz w:val="36"/>
          <w:szCs w:val="36"/>
          <w:rtl/>
        </w:rPr>
        <w:t>ولكن</w:t>
      </w:r>
      <w:r w:rsidR="00E8128F">
        <w:rPr>
          <w:sz w:val="36"/>
          <w:szCs w:val="36"/>
          <w:rtl/>
        </w:rPr>
        <w:t xml:space="preserve"> </w:t>
      </w:r>
      <w:r w:rsidR="00DB7C2C" w:rsidRPr="00FD211F">
        <w:rPr>
          <w:sz w:val="36"/>
          <w:szCs w:val="36"/>
          <w:rtl/>
        </w:rPr>
        <w:t>لاوجه</w:t>
      </w:r>
      <w:r w:rsidR="00E8128F">
        <w:rPr>
          <w:sz w:val="36"/>
          <w:szCs w:val="36"/>
          <w:rtl/>
        </w:rPr>
        <w:t xml:space="preserve"> </w:t>
      </w:r>
      <w:r w:rsidR="00DB7C2C" w:rsidRPr="00FD211F">
        <w:rPr>
          <w:sz w:val="36"/>
          <w:szCs w:val="36"/>
          <w:rtl/>
        </w:rPr>
        <w:t>لهذا</w:t>
      </w:r>
      <w:r w:rsidR="00E8128F">
        <w:rPr>
          <w:sz w:val="36"/>
          <w:szCs w:val="36"/>
          <w:rtl/>
        </w:rPr>
        <w:t xml:space="preserve"> </w:t>
      </w:r>
      <w:r w:rsidR="00DB7C2C" w:rsidRPr="00FD211F">
        <w:rPr>
          <w:sz w:val="36"/>
          <w:szCs w:val="36"/>
          <w:rtl/>
        </w:rPr>
        <w:t>التصوير</w:t>
      </w:r>
      <w:r w:rsidR="00E8128F">
        <w:rPr>
          <w:sz w:val="36"/>
          <w:szCs w:val="36"/>
          <w:rtl/>
        </w:rPr>
        <w:t xml:space="preserve"> </w:t>
      </w:r>
      <w:r w:rsidR="00DB7C2C" w:rsidRPr="00FD211F">
        <w:rPr>
          <w:sz w:val="36"/>
          <w:szCs w:val="36"/>
          <w:rtl/>
        </w:rPr>
        <w:t>فان</w:t>
      </w:r>
      <w:r w:rsidR="00E8128F">
        <w:rPr>
          <w:sz w:val="36"/>
          <w:szCs w:val="36"/>
          <w:rtl/>
        </w:rPr>
        <w:t xml:space="preserve"> </w:t>
      </w:r>
      <w:r w:rsidR="00DB7C2C" w:rsidRPr="00FD211F">
        <w:rPr>
          <w:sz w:val="36"/>
          <w:szCs w:val="36"/>
          <w:rtl/>
        </w:rPr>
        <w:t>الشبه</w:t>
      </w:r>
      <w:r w:rsidR="00EC7EDF" w:rsidRPr="00FD211F">
        <w:rPr>
          <w:sz w:val="36"/>
          <w:szCs w:val="36"/>
          <w:rtl/>
        </w:rPr>
        <w:t>ة</w:t>
      </w:r>
      <w:r w:rsidR="00E8128F">
        <w:rPr>
          <w:sz w:val="36"/>
          <w:szCs w:val="36"/>
          <w:rtl/>
        </w:rPr>
        <w:t xml:space="preserve"> </w:t>
      </w:r>
      <w:r w:rsidR="00DB7C2C" w:rsidRPr="00FD211F">
        <w:rPr>
          <w:sz w:val="36"/>
          <w:szCs w:val="36"/>
          <w:rtl/>
        </w:rPr>
        <w:t>الحكمي</w:t>
      </w:r>
      <w:r w:rsidR="00EC7EDF" w:rsidRPr="00FD211F">
        <w:rPr>
          <w:sz w:val="36"/>
          <w:szCs w:val="36"/>
          <w:rtl/>
        </w:rPr>
        <w:t>ة</w:t>
      </w:r>
      <w:r w:rsidR="00E8128F">
        <w:rPr>
          <w:sz w:val="36"/>
          <w:szCs w:val="36"/>
          <w:rtl/>
        </w:rPr>
        <w:t xml:space="preserve"> </w:t>
      </w:r>
      <w:r w:rsidR="00DB7C2C" w:rsidRPr="00FD211F">
        <w:rPr>
          <w:sz w:val="36"/>
          <w:szCs w:val="36"/>
          <w:rtl/>
        </w:rPr>
        <w:t>مطلق</w:t>
      </w:r>
      <w:r w:rsidR="00E8128F">
        <w:rPr>
          <w:sz w:val="36"/>
          <w:szCs w:val="36"/>
          <w:rtl/>
        </w:rPr>
        <w:t xml:space="preserve"> </w:t>
      </w:r>
      <w:r w:rsidR="00DB7C2C" w:rsidRPr="00FD211F">
        <w:rPr>
          <w:sz w:val="36"/>
          <w:szCs w:val="36"/>
          <w:rtl/>
        </w:rPr>
        <w:t>ما</w:t>
      </w:r>
      <w:r w:rsidR="00E8128F">
        <w:rPr>
          <w:sz w:val="36"/>
          <w:szCs w:val="36"/>
          <w:rtl/>
        </w:rPr>
        <w:t xml:space="preserve"> </w:t>
      </w:r>
      <w:r w:rsidR="00DB7C2C" w:rsidRPr="00FD211F">
        <w:rPr>
          <w:sz w:val="36"/>
          <w:szCs w:val="36"/>
          <w:rtl/>
        </w:rPr>
        <w:t>كان</w:t>
      </w:r>
      <w:r w:rsidR="00E8128F">
        <w:rPr>
          <w:sz w:val="36"/>
          <w:szCs w:val="36"/>
          <w:rtl/>
        </w:rPr>
        <w:t xml:space="preserve"> </w:t>
      </w:r>
      <w:r w:rsidR="00DB7C2C" w:rsidRPr="00FD211F">
        <w:rPr>
          <w:sz w:val="36"/>
          <w:szCs w:val="36"/>
          <w:rtl/>
        </w:rPr>
        <w:t>رفعها</w:t>
      </w:r>
      <w:r w:rsidR="00E8128F">
        <w:rPr>
          <w:sz w:val="36"/>
          <w:szCs w:val="36"/>
          <w:rtl/>
        </w:rPr>
        <w:t xml:space="preserve"> </w:t>
      </w:r>
      <w:r w:rsidR="00DB7C2C" w:rsidRPr="00FD211F">
        <w:rPr>
          <w:sz w:val="36"/>
          <w:szCs w:val="36"/>
          <w:rtl/>
        </w:rPr>
        <w:t>بيد</w:t>
      </w:r>
      <w:r w:rsidR="00E8128F">
        <w:rPr>
          <w:sz w:val="36"/>
          <w:szCs w:val="36"/>
          <w:rtl/>
        </w:rPr>
        <w:t xml:space="preserve"> </w:t>
      </w:r>
      <w:r w:rsidR="00DB7C2C" w:rsidRPr="00FD211F">
        <w:rPr>
          <w:sz w:val="36"/>
          <w:szCs w:val="36"/>
          <w:rtl/>
        </w:rPr>
        <w:t>الشارع.</w:t>
      </w:r>
    </w:p>
    <w:p w14:paraId="7CDDDCA6" w14:textId="77777777" w:rsidR="00382DA2" w:rsidRPr="00FD211F" w:rsidRDefault="00382DA2" w:rsidP="009C58C8">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مضافا</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قلنا</w:t>
      </w:r>
      <w:r w:rsidR="00E8128F">
        <w:rPr>
          <w:sz w:val="36"/>
          <w:szCs w:val="36"/>
          <w:rtl/>
        </w:rPr>
        <w:t xml:space="preserve"> </w:t>
      </w:r>
      <w:r w:rsidRPr="00FD211F">
        <w:rPr>
          <w:sz w:val="36"/>
          <w:szCs w:val="36"/>
          <w:rtl/>
        </w:rPr>
        <w:t>بما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الظاهر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لامانع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التمسك</w:t>
      </w:r>
      <w:r w:rsidR="00E8128F">
        <w:rPr>
          <w:sz w:val="36"/>
          <w:szCs w:val="36"/>
          <w:rtl/>
        </w:rPr>
        <w:t xml:space="preserve"> </w:t>
      </w:r>
      <w:r w:rsidRPr="00FD211F">
        <w:rPr>
          <w:sz w:val="36"/>
          <w:szCs w:val="36"/>
          <w:rtl/>
        </w:rPr>
        <w:t>باطلاق</w:t>
      </w:r>
      <w:r w:rsidR="00E8128F">
        <w:rPr>
          <w:sz w:val="36"/>
          <w:szCs w:val="36"/>
          <w:rtl/>
        </w:rPr>
        <w:t xml:space="preserve"> </w:t>
      </w:r>
      <w:r w:rsidRPr="00FD211F">
        <w:rPr>
          <w:sz w:val="36"/>
          <w:szCs w:val="36"/>
          <w:rtl/>
        </w:rPr>
        <w:t>الأدل</w:t>
      </w:r>
      <w:r w:rsidR="00EC7EDF" w:rsidRPr="00FD211F">
        <w:rPr>
          <w:sz w:val="36"/>
          <w:szCs w:val="36"/>
          <w:rtl/>
        </w:rPr>
        <w:t>ة</w:t>
      </w:r>
      <w:r w:rsidR="00E8128F">
        <w:rPr>
          <w:sz w:val="36"/>
          <w:szCs w:val="36"/>
          <w:rtl/>
        </w:rPr>
        <w:t xml:space="preserve"> </w:t>
      </w:r>
      <w:r w:rsidRPr="00FD211F">
        <w:rPr>
          <w:sz w:val="36"/>
          <w:szCs w:val="36"/>
          <w:rtl/>
        </w:rPr>
        <w:t>النافي</w:t>
      </w:r>
      <w:r w:rsidR="00EC7EDF" w:rsidRPr="00FD211F">
        <w:rPr>
          <w:sz w:val="36"/>
          <w:szCs w:val="36"/>
          <w:rtl/>
        </w:rPr>
        <w:t>ة</w:t>
      </w:r>
      <w:r w:rsidR="00E8128F">
        <w:rPr>
          <w:sz w:val="36"/>
          <w:szCs w:val="36"/>
          <w:rtl/>
        </w:rPr>
        <w:t xml:space="preserve"> </w:t>
      </w:r>
      <w:r w:rsidRPr="00FD211F">
        <w:rPr>
          <w:sz w:val="36"/>
          <w:szCs w:val="36"/>
          <w:rtl/>
        </w:rPr>
        <w:t>للضرر</w:t>
      </w:r>
      <w:r w:rsidR="00E8128F">
        <w:rPr>
          <w:sz w:val="36"/>
          <w:szCs w:val="36"/>
          <w:rtl/>
        </w:rPr>
        <w:t xml:space="preserve"> </w:t>
      </w:r>
      <w:r w:rsidRPr="00FD211F">
        <w:rPr>
          <w:sz w:val="36"/>
          <w:szCs w:val="36"/>
          <w:rtl/>
        </w:rPr>
        <w:t>والحرج</w:t>
      </w:r>
      <w:r w:rsidR="00E8128F">
        <w:rPr>
          <w:sz w:val="36"/>
          <w:szCs w:val="36"/>
          <w:rtl/>
        </w:rPr>
        <w:t xml:space="preserve"> </w:t>
      </w:r>
      <w:r w:rsidRPr="00FD211F">
        <w:rPr>
          <w:sz w:val="36"/>
          <w:szCs w:val="36"/>
          <w:rtl/>
        </w:rPr>
        <w:t>ونحوهما</w:t>
      </w:r>
      <w:r w:rsidR="00E8128F">
        <w:rPr>
          <w:sz w:val="36"/>
          <w:szCs w:val="36"/>
          <w:rtl/>
        </w:rPr>
        <w:t xml:space="preserve"> </w:t>
      </w:r>
      <w:r w:rsidRPr="00FD211F">
        <w:rPr>
          <w:sz w:val="36"/>
          <w:szCs w:val="36"/>
          <w:rtl/>
        </w:rPr>
        <w:t>لنفي</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المشكوك</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باصله</w:t>
      </w:r>
      <w:r w:rsidR="00E8128F">
        <w:rPr>
          <w:sz w:val="36"/>
          <w:szCs w:val="36"/>
          <w:rtl/>
        </w:rPr>
        <w:t xml:space="preserve"> </w:t>
      </w:r>
      <w:r w:rsidRPr="00FD211F">
        <w:rPr>
          <w:sz w:val="36"/>
          <w:szCs w:val="36"/>
          <w:rtl/>
        </w:rPr>
        <w:t>ضرريا</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حرجيا</w:t>
      </w:r>
      <w:r w:rsidR="00E8128F">
        <w:rPr>
          <w:sz w:val="36"/>
          <w:szCs w:val="36"/>
          <w:rtl/>
        </w:rPr>
        <w:t xml:space="preserve"> </w:t>
      </w:r>
      <w:r w:rsidRPr="00FD211F">
        <w:rPr>
          <w:sz w:val="36"/>
          <w:szCs w:val="36"/>
          <w:rtl/>
        </w:rPr>
        <w:t>فيمكن</w:t>
      </w:r>
      <w:r w:rsidR="00E8128F">
        <w:rPr>
          <w:sz w:val="36"/>
          <w:szCs w:val="36"/>
          <w:rtl/>
        </w:rPr>
        <w:t xml:space="preserve"> </w:t>
      </w:r>
      <w:r w:rsidRPr="00FD211F">
        <w:rPr>
          <w:sz w:val="36"/>
          <w:szCs w:val="36"/>
          <w:rtl/>
        </w:rPr>
        <w:t>استكشاف</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الكلي</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يعم</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احد</w:t>
      </w:r>
      <w:r w:rsidR="00E8128F">
        <w:rPr>
          <w:sz w:val="36"/>
          <w:szCs w:val="36"/>
          <w:rtl/>
        </w:rPr>
        <w:t xml:space="preserve"> </w:t>
      </w:r>
      <w:r w:rsidRPr="00FD211F">
        <w:rPr>
          <w:sz w:val="36"/>
          <w:szCs w:val="36"/>
          <w:rtl/>
        </w:rPr>
        <w:t>منها.</w:t>
      </w:r>
    </w:p>
    <w:p w14:paraId="6666D280" w14:textId="77777777" w:rsidR="001163DE" w:rsidRPr="00FD211F" w:rsidRDefault="001163DE" w:rsidP="009C58C8">
      <w:pPr>
        <w:ind w:left="0" w:firstLine="227"/>
        <w:jc w:val="both"/>
        <w:rPr>
          <w:sz w:val="36"/>
          <w:szCs w:val="36"/>
          <w:rtl/>
        </w:rPr>
      </w:pPr>
      <w:r w:rsidRPr="00FD211F">
        <w:rPr>
          <w:b/>
          <w:bCs/>
          <w:sz w:val="36"/>
          <w:szCs w:val="36"/>
          <w:rtl/>
        </w:rPr>
        <w:t>المحاول</w:t>
      </w:r>
      <w:r w:rsidR="00EC7EDF" w:rsidRPr="00FD211F">
        <w:rPr>
          <w:b/>
          <w:bCs/>
          <w:sz w:val="36"/>
          <w:szCs w:val="36"/>
          <w:rtl/>
        </w:rPr>
        <w:t>ة</w:t>
      </w:r>
      <w:r w:rsidR="00E8128F">
        <w:rPr>
          <w:b/>
          <w:bCs/>
          <w:sz w:val="36"/>
          <w:szCs w:val="36"/>
          <w:rtl/>
        </w:rPr>
        <w:t xml:space="preserve"> </w:t>
      </w:r>
      <w:r w:rsidRPr="00FD211F">
        <w:rPr>
          <w:b/>
          <w:bCs/>
          <w:sz w:val="36"/>
          <w:szCs w:val="36"/>
          <w:rtl/>
        </w:rPr>
        <w:t>ا</w:t>
      </w:r>
      <w:r w:rsidR="002E0F9E" w:rsidRPr="00FD211F">
        <w:rPr>
          <w:b/>
          <w:bCs/>
          <w:sz w:val="36"/>
          <w:szCs w:val="36"/>
          <w:rtl/>
        </w:rPr>
        <w:t>لخامس</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بعض</w:t>
      </w:r>
      <w:r w:rsidR="00E8128F">
        <w:rPr>
          <w:sz w:val="36"/>
          <w:szCs w:val="36"/>
          <w:rtl/>
        </w:rPr>
        <w:t xml:space="preserve"> </w:t>
      </w:r>
      <w:r w:rsidRPr="00FD211F">
        <w:rPr>
          <w:sz w:val="36"/>
          <w:szCs w:val="36"/>
          <w:rtl/>
        </w:rPr>
        <w:t>الاعلام</w:t>
      </w:r>
      <w:r w:rsidR="00E8128F">
        <w:rPr>
          <w:sz w:val="36"/>
          <w:szCs w:val="36"/>
          <w:rtl/>
        </w:rPr>
        <w:t xml:space="preserve"> </w:t>
      </w:r>
      <w:r w:rsidR="00AB1B12" w:rsidRPr="00FD211F">
        <w:rPr>
          <w:sz w:val="36"/>
          <w:szCs w:val="36"/>
          <w:rtl/>
        </w:rPr>
        <w:t>"</w:t>
      </w:r>
      <w:r w:rsidRPr="00FD211F">
        <w:rPr>
          <w:sz w:val="36"/>
          <w:szCs w:val="36"/>
          <w:rtl/>
        </w:rPr>
        <w:t>قده</w:t>
      </w:r>
      <w:r w:rsidR="00AB1B12"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الأصول</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القواعد</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يرتفع</w:t>
      </w:r>
      <w:r w:rsidR="00E8128F">
        <w:rPr>
          <w:sz w:val="36"/>
          <w:szCs w:val="36"/>
          <w:rtl/>
        </w:rPr>
        <w:t xml:space="preserve"> </w:t>
      </w:r>
      <w:r w:rsidRPr="00FD211F">
        <w:rPr>
          <w:sz w:val="36"/>
          <w:szCs w:val="36"/>
          <w:rtl/>
        </w:rPr>
        <w:t>بها</w:t>
      </w:r>
      <w:r w:rsidR="00E8128F">
        <w:rPr>
          <w:sz w:val="36"/>
          <w:szCs w:val="36"/>
          <w:rtl/>
        </w:rPr>
        <w:t xml:space="preserve"> </w:t>
      </w:r>
      <w:r w:rsidRPr="00FD211F">
        <w:rPr>
          <w:sz w:val="36"/>
          <w:szCs w:val="36"/>
          <w:rtl/>
        </w:rPr>
        <w:t>بلاواسط</w:t>
      </w:r>
      <w:r w:rsidR="00EC7EDF" w:rsidRPr="00FD211F">
        <w:rPr>
          <w:sz w:val="36"/>
          <w:szCs w:val="36"/>
          <w:rtl/>
        </w:rPr>
        <w:t>ة</w:t>
      </w:r>
      <w:r w:rsidR="00E8128F">
        <w:rPr>
          <w:sz w:val="36"/>
          <w:szCs w:val="36"/>
          <w:rtl/>
        </w:rPr>
        <w:t xml:space="preserve"> </w:t>
      </w:r>
      <w:r w:rsidRPr="00FD211F">
        <w:rPr>
          <w:sz w:val="36"/>
          <w:szCs w:val="36"/>
          <w:rtl/>
        </w:rPr>
        <w:t>التحير</w:t>
      </w:r>
      <w:r w:rsidR="00E8128F">
        <w:rPr>
          <w:sz w:val="36"/>
          <w:szCs w:val="36"/>
          <w:rtl/>
        </w:rPr>
        <w:t xml:space="preserve"> </w:t>
      </w:r>
      <w:r w:rsidRPr="00FD211F">
        <w:rPr>
          <w:sz w:val="36"/>
          <w:szCs w:val="36"/>
          <w:rtl/>
        </w:rPr>
        <w:t>الحاصل</w:t>
      </w:r>
      <w:r w:rsidR="00E8128F">
        <w:rPr>
          <w:sz w:val="36"/>
          <w:szCs w:val="36"/>
          <w:rtl/>
        </w:rPr>
        <w:t xml:space="preserve"> </w:t>
      </w:r>
      <w:r w:rsidRPr="00FD211F">
        <w:rPr>
          <w:sz w:val="36"/>
          <w:szCs w:val="36"/>
          <w:rtl/>
        </w:rPr>
        <w:t>للمكلف</w:t>
      </w:r>
      <w:r w:rsidR="00E8128F">
        <w:rPr>
          <w:sz w:val="36"/>
          <w:szCs w:val="36"/>
          <w:rtl/>
        </w:rPr>
        <w:t xml:space="preserve"> </w:t>
      </w:r>
      <w:r w:rsidRPr="00FD211F">
        <w:rPr>
          <w:sz w:val="36"/>
          <w:szCs w:val="36"/>
          <w:rtl/>
        </w:rPr>
        <w:t>من</w:t>
      </w:r>
      <w:r w:rsidR="00E8128F">
        <w:rPr>
          <w:sz w:val="36"/>
          <w:szCs w:val="36"/>
          <w:rtl/>
        </w:rPr>
        <w:t xml:space="preserve"> </w:t>
      </w:r>
      <w:r w:rsidR="00514D3E" w:rsidRPr="00FD211F">
        <w:rPr>
          <w:sz w:val="36"/>
          <w:szCs w:val="36"/>
          <w:rtl/>
        </w:rPr>
        <w:t>الجهل</w:t>
      </w:r>
      <w:r w:rsidR="00E8128F">
        <w:rPr>
          <w:sz w:val="36"/>
          <w:szCs w:val="36"/>
          <w:rtl/>
        </w:rPr>
        <w:t xml:space="preserve"> </w:t>
      </w:r>
      <w:r w:rsidR="00514D3E" w:rsidRPr="00FD211F">
        <w:rPr>
          <w:sz w:val="36"/>
          <w:szCs w:val="36"/>
          <w:rtl/>
        </w:rPr>
        <w:t>ب</w:t>
      </w:r>
      <w:r w:rsidRPr="00FD211F">
        <w:rPr>
          <w:sz w:val="36"/>
          <w:szCs w:val="36"/>
          <w:rtl/>
        </w:rPr>
        <w:t>الحكم</w:t>
      </w:r>
      <w:r w:rsidR="00E8128F">
        <w:rPr>
          <w:sz w:val="36"/>
          <w:szCs w:val="36"/>
          <w:rtl/>
        </w:rPr>
        <w:t xml:space="preserve"> </w:t>
      </w:r>
      <w:r w:rsidRPr="00FD211F">
        <w:rPr>
          <w:sz w:val="36"/>
          <w:szCs w:val="36"/>
          <w:rtl/>
        </w:rPr>
        <w:t>الشرعي</w:t>
      </w:r>
      <w:r w:rsidR="00603323" w:rsidRPr="00FD211F">
        <w:rPr>
          <w:sz w:val="36"/>
          <w:szCs w:val="36"/>
          <w:rtl/>
        </w:rPr>
        <w:t>،</w:t>
      </w:r>
      <w:r w:rsidR="00E8128F">
        <w:rPr>
          <w:sz w:val="36"/>
          <w:szCs w:val="36"/>
          <w:rtl/>
        </w:rPr>
        <w:t xml:space="preserve"> </w:t>
      </w:r>
      <w:r w:rsidRPr="00FD211F">
        <w:rPr>
          <w:sz w:val="36"/>
          <w:szCs w:val="36"/>
          <w:rtl/>
        </w:rPr>
        <w:t>سواء</w:t>
      </w:r>
      <w:r w:rsidR="00E8128F">
        <w:rPr>
          <w:sz w:val="36"/>
          <w:szCs w:val="36"/>
          <w:rtl/>
        </w:rPr>
        <w:t xml:space="preserve"> </w:t>
      </w:r>
      <w:r w:rsidRPr="00FD211F">
        <w:rPr>
          <w:sz w:val="36"/>
          <w:szCs w:val="36"/>
          <w:rtl/>
        </w:rPr>
        <w:t>كانت</w:t>
      </w:r>
      <w:r w:rsidR="00E8128F">
        <w:rPr>
          <w:sz w:val="36"/>
          <w:szCs w:val="36"/>
          <w:rtl/>
        </w:rPr>
        <w:t xml:space="preserve"> </w:t>
      </w:r>
      <w:r w:rsidRPr="00FD211F">
        <w:rPr>
          <w:sz w:val="36"/>
          <w:szCs w:val="36"/>
          <w:rtl/>
        </w:rPr>
        <w:t>نتيجتها</w:t>
      </w:r>
      <w:r w:rsidR="00E8128F">
        <w:rPr>
          <w:sz w:val="36"/>
          <w:szCs w:val="36"/>
          <w:rtl/>
        </w:rPr>
        <w:t xml:space="preserve"> </w:t>
      </w:r>
      <w:r w:rsidRPr="00FD211F">
        <w:rPr>
          <w:sz w:val="36"/>
          <w:szCs w:val="36"/>
          <w:rtl/>
        </w:rPr>
        <w:t>الاستنباط</w:t>
      </w:r>
      <w:r w:rsidR="00E8128F">
        <w:rPr>
          <w:sz w:val="36"/>
          <w:szCs w:val="36"/>
          <w:rtl/>
        </w:rPr>
        <w:t xml:space="preserve"> </w:t>
      </w:r>
      <w:r w:rsidRPr="00FD211F">
        <w:rPr>
          <w:sz w:val="36"/>
          <w:szCs w:val="36"/>
          <w:rtl/>
        </w:rPr>
        <w:t>ام</w:t>
      </w:r>
      <w:r w:rsidR="00E8128F">
        <w:rPr>
          <w:sz w:val="36"/>
          <w:szCs w:val="36"/>
          <w:rtl/>
        </w:rPr>
        <w:t xml:space="preserve"> </w:t>
      </w:r>
      <w:r w:rsidRPr="00FD211F">
        <w:rPr>
          <w:sz w:val="36"/>
          <w:szCs w:val="36"/>
          <w:rtl/>
        </w:rPr>
        <w:t>لا</w:t>
      </w:r>
      <w:r w:rsidR="00603323" w:rsidRPr="00FD211F">
        <w:rPr>
          <w:sz w:val="36"/>
          <w:szCs w:val="36"/>
          <w:rtl/>
        </w:rPr>
        <w:t>،</w:t>
      </w:r>
      <w:r w:rsidR="00E8128F">
        <w:rPr>
          <w:sz w:val="36"/>
          <w:szCs w:val="36"/>
          <w:rtl/>
        </w:rPr>
        <w:t xml:space="preserve"> </w:t>
      </w:r>
      <w:r w:rsidRPr="00FD211F">
        <w:rPr>
          <w:sz w:val="36"/>
          <w:szCs w:val="36"/>
          <w:rtl/>
        </w:rPr>
        <w:t>وبذلك</w:t>
      </w:r>
      <w:r w:rsidR="00E8128F">
        <w:rPr>
          <w:sz w:val="36"/>
          <w:szCs w:val="36"/>
          <w:rtl/>
        </w:rPr>
        <w:t xml:space="preserve"> </w:t>
      </w:r>
      <w:r w:rsidRPr="00FD211F">
        <w:rPr>
          <w:sz w:val="36"/>
          <w:szCs w:val="36"/>
          <w:rtl/>
        </w:rPr>
        <w:t>يخرج</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lastRenderedPageBreak/>
        <w:t>يكون</w:t>
      </w:r>
      <w:r w:rsidR="00E8128F">
        <w:rPr>
          <w:sz w:val="36"/>
          <w:szCs w:val="36"/>
          <w:rtl/>
        </w:rPr>
        <w:t xml:space="preserve"> </w:t>
      </w:r>
      <w:r w:rsidRPr="00FD211F">
        <w:rPr>
          <w:sz w:val="36"/>
          <w:szCs w:val="36"/>
          <w:rtl/>
        </w:rPr>
        <w:t>بمفاده</w:t>
      </w:r>
      <w:r w:rsidR="00E8128F">
        <w:rPr>
          <w:sz w:val="36"/>
          <w:szCs w:val="36"/>
          <w:rtl/>
        </w:rPr>
        <w:t xml:space="preserve"> </w:t>
      </w:r>
      <w:r w:rsidRPr="00FD211F">
        <w:rPr>
          <w:sz w:val="36"/>
          <w:szCs w:val="36"/>
          <w:rtl/>
        </w:rPr>
        <w:t>ناظرا</w:t>
      </w:r>
      <w:r w:rsidR="00E8128F">
        <w:rPr>
          <w:sz w:val="36"/>
          <w:szCs w:val="36"/>
          <w:rtl/>
        </w:rPr>
        <w:t xml:space="preserve"> </w:t>
      </w:r>
      <w:r w:rsidRPr="00FD211F">
        <w:rPr>
          <w:sz w:val="36"/>
          <w:szCs w:val="36"/>
          <w:rtl/>
        </w:rPr>
        <w:t>الى</w:t>
      </w:r>
      <w:r w:rsidR="00E8128F">
        <w:rPr>
          <w:sz w:val="36"/>
          <w:szCs w:val="36"/>
          <w:rtl/>
        </w:rPr>
        <w:t xml:space="preserve"> </w:t>
      </w:r>
      <w:r w:rsidR="00514D3E" w:rsidRPr="00FD211F">
        <w:rPr>
          <w:sz w:val="36"/>
          <w:szCs w:val="36"/>
          <w:rtl/>
        </w:rPr>
        <w:t>بيان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الم</w:t>
      </w:r>
      <w:r w:rsidR="00514D3E" w:rsidRPr="00FD211F">
        <w:rPr>
          <w:sz w:val="36"/>
          <w:szCs w:val="36"/>
          <w:rtl/>
        </w:rPr>
        <w:t>جهول</w:t>
      </w:r>
      <w:r w:rsidR="00E8128F">
        <w:rPr>
          <w:sz w:val="36"/>
          <w:szCs w:val="36"/>
          <w:rtl/>
        </w:rPr>
        <w:t xml:space="preserve"> </w:t>
      </w:r>
      <w:r w:rsidRPr="00FD211F">
        <w:rPr>
          <w:sz w:val="36"/>
          <w:szCs w:val="36"/>
          <w:rtl/>
        </w:rPr>
        <w:t>كالمسائل</w:t>
      </w:r>
      <w:r w:rsidR="00E8128F">
        <w:rPr>
          <w:sz w:val="36"/>
          <w:szCs w:val="36"/>
          <w:rtl/>
        </w:rPr>
        <w:t xml:space="preserve"> </w:t>
      </w:r>
      <w:r w:rsidRPr="00FD211F">
        <w:rPr>
          <w:sz w:val="36"/>
          <w:szCs w:val="36"/>
          <w:rtl/>
        </w:rPr>
        <w:t>الفقهي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فانها</w:t>
      </w:r>
      <w:r w:rsidR="00E8128F">
        <w:rPr>
          <w:sz w:val="36"/>
          <w:szCs w:val="36"/>
          <w:rtl/>
        </w:rPr>
        <w:t xml:space="preserve"> </w:t>
      </w:r>
      <w:r w:rsidRPr="00FD211F">
        <w:rPr>
          <w:sz w:val="36"/>
          <w:szCs w:val="36"/>
          <w:rtl/>
        </w:rPr>
        <w:t>ناظر</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الحكم</w:t>
      </w:r>
      <w:r w:rsidR="00E8128F">
        <w:rPr>
          <w:sz w:val="36"/>
          <w:szCs w:val="36"/>
          <w:rtl/>
        </w:rPr>
        <w:t xml:space="preserve"> </w:t>
      </w:r>
      <w:r w:rsidR="00514D3E" w:rsidRPr="00FD211F">
        <w:rPr>
          <w:sz w:val="36"/>
          <w:szCs w:val="36"/>
          <w:rtl/>
        </w:rPr>
        <w:t>المجهول</w:t>
      </w:r>
      <w:r w:rsidR="00E8128F">
        <w:rPr>
          <w:sz w:val="36"/>
          <w:szCs w:val="36"/>
          <w:rtl/>
        </w:rPr>
        <w:t xml:space="preserve"> </w:t>
      </w:r>
      <w:r w:rsidRPr="00FD211F">
        <w:rPr>
          <w:sz w:val="36"/>
          <w:szCs w:val="36"/>
          <w:rtl/>
        </w:rPr>
        <w:t>ومبين</w:t>
      </w:r>
      <w:r w:rsidR="00EC7EDF" w:rsidRPr="00FD211F">
        <w:rPr>
          <w:sz w:val="36"/>
          <w:szCs w:val="36"/>
          <w:rtl/>
        </w:rPr>
        <w:t>ة</w:t>
      </w:r>
      <w:r w:rsidR="00E8128F">
        <w:rPr>
          <w:sz w:val="36"/>
          <w:szCs w:val="36"/>
          <w:rtl/>
        </w:rPr>
        <w:t xml:space="preserve"> </w:t>
      </w:r>
      <w:r w:rsidRPr="00FD211F">
        <w:rPr>
          <w:sz w:val="36"/>
          <w:szCs w:val="36"/>
          <w:rtl/>
        </w:rPr>
        <w:t>له</w:t>
      </w:r>
      <w:r w:rsidR="00603323" w:rsidRPr="00FD211F">
        <w:rPr>
          <w:sz w:val="36"/>
          <w:szCs w:val="36"/>
          <w:rtl/>
        </w:rPr>
        <w:t>،</w:t>
      </w:r>
      <w:r w:rsidR="00E8128F">
        <w:rPr>
          <w:sz w:val="36"/>
          <w:szCs w:val="36"/>
          <w:rtl/>
        </w:rPr>
        <w:t xml:space="preserve"> </w:t>
      </w:r>
      <w:r w:rsidRPr="00FD211F">
        <w:rPr>
          <w:sz w:val="36"/>
          <w:szCs w:val="36"/>
          <w:rtl/>
        </w:rPr>
        <w:t>ونفس</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لايرتفع</w:t>
      </w:r>
      <w:r w:rsidR="00E8128F">
        <w:rPr>
          <w:sz w:val="36"/>
          <w:szCs w:val="36"/>
          <w:rtl/>
        </w:rPr>
        <w:t xml:space="preserve"> </w:t>
      </w:r>
      <w:r w:rsidRPr="00FD211F">
        <w:rPr>
          <w:sz w:val="36"/>
          <w:szCs w:val="36"/>
          <w:rtl/>
        </w:rPr>
        <w:t>التردد</w:t>
      </w:r>
      <w:r w:rsidR="00E8128F">
        <w:rPr>
          <w:sz w:val="36"/>
          <w:szCs w:val="36"/>
          <w:rtl/>
        </w:rPr>
        <w:t xml:space="preserve"> </w:t>
      </w:r>
      <w:r w:rsidRPr="00FD211F">
        <w:rPr>
          <w:sz w:val="36"/>
          <w:szCs w:val="36"/>
          <w:rtl/>
        </w:rPr>
        <w:t>والذي</w:t>
      </w:r>
      <w:r w:rsidR="00E8128F">
        <w:rPr>
          <w:sz w:val="36"/>
          <w:szCs w:val="36"/>
          <w:rtl/>
        </w:rPr>
        <w:t xml:space="preserve"> </w:t>
      </w:r>
      <w:r w:rsidRPr="00FD211F">
        <w:rPr>
          <w:sz w:val="36"/>
          <w:szCs w:val="36"/>
          <w:rtl/>
        </w:rPr>
        <w:t>يرفع</w:t>
      </w:r>
      <w:r w:rsidR="00E8128F">
        <w:rPr>
          <w:sz w:val="36"/>
          <w:szCs w:val="36"/>
          <w:rtl/>
        </w:rPr>
        <w:t xml:space="preserve"> </w:t>
      </w:r>
      <w:r w:rsidRPr="00FD211F">
        <w:rPr>
          <w:sz w:val="36"/>
          <w:szCs w:val="36"/>
          <w:rtl/>
        </w:rPr>
        <w:t>التردد</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دليله</w:t>
      </w:r>
      <w:r w:rsidR="00603323" w:rsidRPr="00FD211F">
        <w:rPr>
          <w:sz w:val="36"/>
          <w:szCs w:val="36"/>
          <w:rtl/>
        </w:rPr>
        <w:t>،</w:t>
      </w:r>
      <w:r w:rsidR="00E8128F">
        <w:rPr>
          <w:sz w:val="36"/>
          <w:szCs w:val="36"/>
          <w:rtl/>
        </w:rPr>
        <w:t xml:space="preserve"> </w:t>
      </w:r>
      <w:r w:rsidRPr="00FD211F">
        <w:rPr>
          <w:sz w:val="36"/>
          <w:szCs w:val="36"/>
          <w:rtl/>
        </w:rPr>
        <w:t>نعم</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التعريف</w:t>
      </w:r>
      <w:r w:rsidR="00E8128F">
        <w:rPr>
          <w:sz w:val="36"/>
          <w:szCs w:val="36"/>
          <w:rtl/>
        </w:rPr>
        <w:t xml:space="preserve"> </w:t>
      </w:r>
      <w:r w:rsidRPr="00FD211F">
        <w:rPr>
          <w:sz w:val="36"/>
          <w:szCs w:val="36"/>
          <w:rtl/>
        </w:rPr>
        <w:t>يدخل</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العملي</w:t>
      </w:r>
      <w:r w:rsidR="00EC7EDF" w:rsidRPr="00FD211F">
        <w:rPr>
          <w:sz w:val="36"/>
          <w:szCs w:val="36"/>
          <w:rtl/>
        </w:rPr>
        <w:t>ة</w:t>
      </w:r>
      <w:r w:rsidR="00E8128F">
        <w:rPr>
          <w:sz w:val="36"/>
          <w:szCs w:val="36"/>
          <w:rtl/>
        </w:rPr>
        <w:t xml:space="preserve"> </w:t>
      </w:r>
      <w:r w:rsidRPr="00FD211F">
        <w:rPr>
          <w:sz w:val="36"/>
          <w:szCs w:val="36"/>
          <w:rtl/>
        </w:rPr>
        <w:t>الجاري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الشبهات</w:t>
      </w:r>
      <w:r w:rsidR="00E8128F">
        <w:rPr>
          <w:sz w:val="36"/>
          <w:szCs w:val="36"/>
          <w:rtl/>
        </w:rPr>
        <w:t xml:space="preserve"> </w:t>
      </w:r>
      <w:r w:rsidRPr="00FD211F">
        <w:rPr>
          <w:sz w:val="36"/>
          <w:szCs w:val="36"/>
          <w:rtl/>
        </w:rPr>
        <w:t>الموضوعي</w:t>
      </w:r>
      <w:r w:rsidR="00EC7EDF" w:rsidRPr="00FD211F">
        <w:rPr>
          <w:sz w:val="36"/>
          <w:szCs w:val="36"/>
          <w:rtl/>
        </w:rPr>
        <w:t>ة</w:t>
      </w:r>
      <w:r w:rsidR="00E8128F">
        <w:rPr>
          <w:sz w:val="36"/>
          <w:szCs w:val="36"/>
          <w:rtl/>
        </w:rPr>
        <w:t xml:space="preserve"> </w:t>
      </w:r>
      <w:r w:rsidRPr="00FD211F">
        <w:rPr>
          <w:sz w:val="36"/>
          <w:szCs w:val="36"/>
          <w:rtl/>
        </w:rPr>
        <w:t>كقاعد</w:t>
      </w:r>
      <w:r w:rsidR="00EC7EDF" w:rsidRPr="00FD211F">
        <w:rPr>
          <w:sz w:val="36"/>
          <w:szCs w:val="36"/>
          <w:rtl/>
        </w:rPr>
        <w:t>ة</w:t>
      </w:r>
      <w:r w:rsidR="00E8128F">
        <w:rPr>
          <w:sz w:val="36"/>
          <w:szCs w:val="36"/>
          <w:rtl/>
        </w:rPr>
        <w:t xml:space="preserve"> </w:t>
      </w:r>
      <w:r w:rsidRPr="00FD211F">
        <w:rPr>
          <w:sz w:val="36"/>
          <w:szCs w:val="36"/>
          <w:rtl/>
        </w:rPr>
        <w:t>الفراغ</w:t>
      </w:r>
      <w:r w:rsidR="00E8128F">
        <w:rPr>
          <w:sz w:val="36"/>
          <w:szCs w:val="36"/>
          <w:rtl/>
        </w:rPr>
        <w:t xml:space="preserve"> </w:t>
      </w:r>
      <w:r w:rsidRPr="00FD211F">
        <w:rPr>
          <w:sz w:val="36"/>
          <w:szCs w:val="36"/>
          <w:rtl/>
        </w:rPr>
        <w:t>ونحوها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مسائل</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أنها</w:t>
      </w:r>
      <w:r w:rsidR="00E8128F">
        <w:rPr>
          <w:sz w:val="36"/>
          <w:szCs w:val="36"/>
          <w:rtl/>
        </w:rPr>
        <w:t xml:space="preserve"> </w:t>
      </w:r>
      <w:r w:rsidRPr="00FD211F">
        <w:rPr>
          <w:sz w:val="36"/>
          <w:szCs w:val="36"/>
          <w:rtl/>
        </w:rPr>
        <w:t>رافع</w:t>
      </w:r>
      <w:r w:rsidR="00EC7EDF" w:rsidRPr="00FD211F">
        <w:rPr>
          <w:sz w:val="36"/>
          <w:szCs w:val="36"/>
          <w:rtl/>
        </w:rPr>
        <w:t>ة</w:t>
      </w:r>
      <w:r w:rsidR="00E8128F">
        <w:rPr>
          <w:sz w:val="36"/>
          <w:szCs w:val="36"/>
          <w:rtl/>
        </w:rPr>
        <w:t xml:space="preserve"> </w:t>
      </w:r>
      <w:r w:rsidRPr="00FD211F">
        <w:rPr>
          <w:sz w:val="36"/>
          <w:szCs w:val="36"/>
          <w:rtl/>
        </w:rPr>
        <w:t>للتحير</w:t>
      </w:r>
      <w:r w:rsidR="00E8128F">
        <w:rPr>
          <w:sz w:val="36"/>
          <w:szCs w:val="36"/>
          <w:rtl/>
        </w:rPr>
        <w:t xml:space="preserve"> </w:t>
      </w:r>
      <w:r w:rsidRPr="00FD211F">
        <w:rPr>
          <w:sz w:val="36"/>
          <w:szCs w:val="36"/>
          <w:rtl/>
        </w:rPr>
        <w:t>الحاصل</w:t>
      </w:r>
      <w:r w:rsidR="00E8128F">
        <w:rPr>
          <w:sz w:val="36"/>
          <w:szCs w:val="36"/>
          <w:rtl/>
        </w:rPr>
        <w:t xml:space="preserve"> </w:t>
      </w:r>
      <w:r w:rsidRPr="00FD211F">
        <w:rPr>
          <w:sz w:val="36"/>
          <w:szCs w:val="36"/>
          <w:rtl/>
        </w:rPr>
        <w:t>للمكلف</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603323" w:rsidRPr="00FD211F">
        <w:rPr>
          <w:sz w:val="36"/>
          <w:szCs w:val="36"/>
          <w:rtl/>
        </w:rPr>
        <w:t>،</w:t>
      </w:r>
      <w:r w:rsidR="00E8128F">
        <w:rPr>
          <w:sz w:val="36"/>
          <w:szCs w:val="36"/>
          <w:rtl/>
        </w:rPr>
        <w:t xml:space="preserve"> </w:t>
      </w:r>
      <w:r w:rsidRPr="00FD211F">
        <w:rPr>
          <w:sz w:val="36"/>
          <w:szCs w:val="36"/>
          <w:rtl/>
        </w:rPr>
        <w:t>ولامحذور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الالتزام</w:t>
      </w:r>
      <w:r w:rsidR="00E8128F">
        <w:rPr>
          <w:sz w:val="36"/>
          <w:szCs w:val="36"/>
          <w:rtl/>
        </w:rPr>
        <w:t xml:space="preserve"> </w:t>
      </w:r>
      <w:r w:rsidRPr="00FD211F">
        <w:rPr>
          <w:sz w:val="36"/>
          <w:szCs w:val="36"/>
          <w:rtl/>
        </w:rPr>
        <w:t>بذلك</w:t>
      </w:r>
      <w:r w:rsidR="00603323" w:rsidRPr="00FD211F">
        <w:rPr>
          <w:sz w:val="36"/>
          <w:szCs w:val="36"/>
          <w:rtl/>
        </w:rPr>
        <w:t>،</w:t>
      </w:r>
      <w:r w:rsidR="00E8128F">
        <w:rPr>
          <w:sz w:val="36"/>
          <w:szCs w:val="36"/>
          <w:rtl/>
        </w:rPr>
        <w:t xml:space="preserve"> </w:t>
      </w:r>
      <w:r w:rsidRPr="00FD211F">
        <w:rPr>
          <w:sz w:val="36"/>
          <w:szCs w:val="36"/>
          <w:rtl/>
        </w:rPr>
        <w:t>وقد</w:t>
      </w:r>
      <w:r w:rsidR="00E8128F">
        <w:rPr>
          <w:sz w:val="36"/>
          <w:szCs w:val="36"/>
          <w:rtl/>
        </w:rPr>
        <w:t xml:space="preserve"> </w:t>
      </w:r>
      <w:r w:rsidRPr="00FD211F">
        <w:rPr>
          <w:sz w:val="36"/>
          <w:szCs w:val="36"/>
          <w:rtl/>
        </w:rPr>
        <w:t>خرج</w:t>
      </w:r>
      <w:r w:rsidR="00E8128F">
        <w:rPr>
          <w:sz w:val="36"/>
          <w:szCs w:val="36"/>
          <w:rtl/>
        </w:rPr>
        <w:t xml:space="preserve"> </w:t>
      </w:r>
      <w:r w:rsidRPr="00FD211F">
        <w:rPr>
          <w:sz w:val="36"/>
          <w:szCs w:val="36"/>
          <w:rtl/>
        </w:rPr>
        <w:t>بالتقييد</w:t>
      </w:r>
      <w:r w:rsidR="00E8128F">
        <w:rPr>
          <w:sz w:val="36"/>
          <w:szCs w:val="36"/>
          <w:rtl/>
        </w:rPr>
        <w:t xml:space="preserve"> </w:t>
      </w:r>
      <w:r w:rsidRPr="00FD211F">
        <w:rPr>
          <w:sz w:val="36"/>
          <w:szCs w:val="36"/>
          <w:rtl/>
        </w:rPr>
        <w:t>بارتفاع</w:t>
      </w:r>
      <w:r w:rsidR="00E8128F">
        <w:rPr>
          <w:sz w:val="36"/>
          <w:szCs w:val="36"/>
          <w:rtl/>
        </w:rPr>
        <w:t xml:space="preserve"> </w:t>
      </w:r>
      <w:r w:rsidRPr="00FD211F">
        <w:rPr>
          <w:sz w:val="36"/>
          <w:szCs w:val="36"/>
          <w:rtl/>
        </w:rPr>
        <w:t>التحير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المسأل</w:t>
      </w:r>
      <w:r w:rsidR="00EC7EDF" w:rsidRPr="00FD211F">
        <w:rPr>
          <w:sz w:val="36"/>
          <w:szCs w:val="36"/>
          <w:rtl/>
        </w:rPr>
        <w:t>ة</w:t>
      </w:r>
      <w:r w:rsidR="00E8128F">
        <w:rPr>
          <w:sz w:val="36"/>
          <w:szCs w:val="36"/>
          <w:rtl/>
        </w:rPr>
        <w:t xml:space="preserve"> </w:t>
      </w:r>
      <w:r w:rsidRPr="00FD211F">
        <w:rPr>
          <w:sz w:val="36"/>
          <w:szCs w:val="36"/>
          <w:rtl/>
        </w:rPr>
        <w:t>الاصولي</w:t>
      </w:r>
      <w:r w:rsidR="00EC7EDF" w:rsidRPr="00FD211F">
        <w:rPr>
          <w:sz w:val="36"/>
          <w:szCs w:val="36"/>
          <w:rtl/>
        </w:rPr>
        <w:t>ة</w:t>
      </w:r>
      <w:r w:rsidR="00E8128F">
        <w:rPr>
          <w:sz w:val="36"/>
          <w:szCs w:val="36"/>
          <w:rtl/>
        </w:rPr>
        <w:t xml:space="preserve"> </w:t>
      </w:r>
      <w:r w:rsidRPr="00FD211F">
        <w:rPr>
          <w:sz w:val="36"/>
          <w:szCs w:val="36"/>
          <w:rtl/>
        </w:rPr>
        <w:t>بلاواسط</w:t>
      </w:r>
      <w:r w:rsidR="00EC7EDF" w:rsidRPr="00FD211F">
        <w:rPr>
          <w:sz w:val="36"/>
          <w:szCs w:val="36"/>
          <w:rtl/>
        </w:rPr>
        <w:t>ة</w:t>
      </w:r>
      <w:r w:rsidR="00E8128F">
        <w:rPr>
          <w:sz w:val="36"/>
          <w:szCs w:val="36"/>
          <w:rtl/>
        </w:rPr>
        <w:t xml:space="preserve"> </w:t>
      </w:r>
      <w:r w:rsidRPr="00FD211F">
        <w:rPr>
          <w:sz w:val="36"/>
          <w:szCs w:val="36"/>
          <w:rtl/>
        </w:rPr>
        <w:t>المسائل</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يرتفع</w:t>
      </w:r>
      <w:r w:rsidR="00E8128F">
        <w:rPr>
          <w:sz w:val="36"/>
          <w:szCs w:val="36"/>
          <w:rtl/>
        </w:rPr>
        <w:t xml:space="preserve"> </w:t>
      </w:r>
      <w:r w:rsidRPr="00FD211F">
        <w:rPr>
          <w:sz w:val="36"/>
          <w:szCs w:val="36"/>
          <w:rtl/>
        </w:rPr>
        <w:t>بها</w:t>
      </w:r>
      <w:r w:rsidR="00E8128F">
        <w:rPr>
          <w:sz w:val="36"/>
          <w:szCs w:val="36"/>
          <w:rtl/>
        </w:rPr>
        <w:t xml:space="preserve"> </w:t>
      </w:r>
      <w:r w:rsidRPr="00FD211F">
        <w:rPr>
          <w:sz w:val="36"/>
          <w:szCs w:val="36"/>
          <w:rtl/>
        </w:rPr>
        <w:t>التحير</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الواسط</w:t>
      </w:r>
      <w:r w:rsidR="00EC7EDF" w:rsidRPr="00FD211F">
        <w:rPr>
          <w:sz w:val="36"/>
          <w:szCs w:val="36"/>
          <w:rtl/>
        </w:rPr>
        <w:t>ة</w:t>
      </w:r>
      <w:r w:rsidR="00E8128F">
        <w:rPr>
          <w:sz w:val="36"/>
          <w:szCs w:val="36"/>
          <w:rtl/>
        </w:rPr>
        <w:t xml:space="preserve"> </w:t>
      </w:r>
      <w:r w:rsidRPr="00FD211F">
        <w:rPr>
          <w:sz w:val="36"/>
          <w:szCs w:val="36"/>
          <w:rtl/>
        </w:rPr>
        <w:t>كالبحث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الصحيح</w:t>
      </w:r>
      <w:r w:rsidR="00E8128F">
        <w:rPr>
          <w:sz w:val="36"/>
          <w:szCs w:val="36"/>
          <w:rtl/>
        </w:rPr>
        <w:t xml:space="preserve"> </w:t>
      </w:r>
      <w:r w:rsidRPr="00FD211F">
        <w:rPr>
          <w:sz w:val="36"/>
          <w:szCs w:val="36"/>
          <w:rtl/>
        </w:rPr>
        <w:t>والأعم</w:t>
      </w:r>
      <w:r w:rsidR="00E8128F">
        <w:rPr>
          <w:sz w:val="36"/>
          <w:szCs w:val="36"/>
          <w:rtl/>
        </w:rPr>
        <w:t xml:space="preserve"> </w:t>
      </w:r>
      <w:r w:rsidR="00C87ACD" w:rsidRPr="00FD211F">
        <w:rPr>
          <w:sz w:val="36"/>
          <w:szCs w:val="36"/>
          <w:rtl/>
        </w:rPr>
        <w:t>ا</w:t>
      </w:r>
      <w:r w:rsidRPr="00FD211F">
        <w:rPr>
          <w:sz w:val="36"/>
          <w:szCs w:val="36"/>
          <w:rtl/>
        </w:rPr>
        <w:t>والمشتق</w:t>
      </w:r>
      <w:r w:rsidR="00603323" w:rsidRPr="00FD211F">
        <w:rPr>
          <w:sz w:val="36"/>
          <w:szCs w:val="36"/>
          <w:rtl/>
        </w:rPr>
        <w:t>،</w:t>
      </w:r>
      <w:r w:rsidR="00E8128F">
        <w:rPr>
          <w:sz w:val="36"/>
          <w:szCs w:val="36"/>
          <w:rtl/>
        </w:rPr>
        <w:t xml:space="preserve"> </w:t>
      </w:r>
      <w:r w:rsidRPr="00FD211F">
        <w:rPr>
          <w:sz w:val="36"/>
          <w:szCs w:val="36"/>
          <w:rtl/>
        </w:rPr>
        <w:t>وأما</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الالفاظ</w:t>
      </w:r>
      <w:r w:rsidR="00E8128F">
        <w:rPr>
          <w:sz w:val="36"/>
          <w:szCs w:val="36"/>
          <w:rtl/>
        </w:rPr>
        <w:t xml:space="preserve"> </w:t>
      </w:r>
      <w:r w:rsidRPr="00FD211F">
        <w:rPr>
          <w:sz w:val="36"/>
          <w:szCs w:val="36"/>
          <w:rtl/>
        </w:rPr>
        <w:t>فحيث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ارتفاع</w:t>
      </w:r>
      <w:r w:rsidR="00E8128F">
        <w:rPr>
          <w:sz w:val="36"/>
          <w:szCs w:val="36"/>
          <w:rtl/>
        </w:rPr>
        <w:t xml:space="preserve"> </w:t>
      </w:r>
      <w:r w:rsidRPr="00FD211F">
        <w:rPr>
          <w:sz w:val="36"/>
          <w:szCs w:val="36"/>
          <w:rtl/>
        </w:rPr>
        <w:t>التحير</w:t>
      </w:r>
      <w:r w:rsidR="00E8128F">
        <w:rPr>
          <w:sz w:val="36"/>
          <w:szCs w:val="36"/>
          <w:rtl/>
        </w:rPr>
        <w:t xml:space="preserve"> </w:t>
      </w:r>
      <w:r w:rsidRPr="00FD211F">
        <w:rPr>
          <w:sz w:val="36"/>
          <w:szCs w:val="36"/>
          <w:rtl/>
        </w:rPr>
        <w:t>بها</w:t>
      </w:r>
      <w:r w:rsidR="00E8128F">
        <w:rPr>
          <w:sz w:val="36"/>
          <w:szCs w:val="36"/>
          <w:rtl/>
        </w:rPr>
        <w:t xml:space="preserve"> </w:t>
      </w:r>
      <w:r w:rsidRPr="00FD211F">
        <w:rPr>
          <w:sz w:val="36"/>
          <w:szCs w:val="36"/>
          <w:rtl/>
        </w:rPr>
        <w:t>يحتاج</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كبرى</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الظهور</w:t>
      </w:r>
      <w:r w:rsidR="00E8128F">
        <w:rPr>
          <w:sz w:val="36"/>
          <w:szCs w:val="36"/>
          <w:rtl/>
        </w:rPr>
        <w:t xml:space="preserve"> </w:t>
      </w:r>
      <w:r w:rsidRPr="00FD211F">
        <w:rPr>
          <w:sz w:val="36"/>
          <w:szCs w:val="36"/>
          <w:rtl/>
        </w:rPr>
        <w:t>فقط</w:t>
      </w:r>
      <w:r w:rsidR="00603323" w:rsidRPr="00FD211F">
        <w:rPr>
          <w:sz w:val="36"/>
          <w:szCs w:val="36"/>
          <w:rtl/>
        </w:rPr>
        <w:t>،</w:t>
      </w:r>
      <w:r w:rsidR="00E8128F">
        <w:rPr>
          <w:sz w:val="36"/>
          <w:szCs w:val="36"/>
          <w:rtl/>
        </w:rPr>
        <w:t xml:space="preserve"> </w:t>
      </w:r>
      <w:r w:rsidRPr="00FD211F">
        <w:rPr>
          <w:sz w:val="36"/>
          <w:szCs w:val="36"/>
          <w:rtl/>
        </w:rPr>
        <w:t>وهي</w:t>
      </w:r>
      <w:r w:rsidR="00E8128F">
        <w:rPr>
          <w:sz w:val="36"/>
          <w:szCs w:val="36"/>
          <w:rtl/>
        </w:rPr>
        <w:t xml:space="preserve"> </w:t>
      </w:r>
      <w:r w:rsidRPr="00FD211F">
        <w:rPr>
          <w:sz w:val="36"/>
          <w:szCs w:val="36"/>
          <w:rtl/>
        </w:rPr>
        <w:t>بديهي</w:t>
      </w:r>
      <w:r w:rsidR="00EC7EDF" w:rsidRPr="00FD211F">
        <w:rPr>
          <w:sz w:val="36"/>
          <w:szCs w:val="36"/>
          <w:rtl/>
        </w:rPr>
        <w:t>ة</w:t>
      </w:r>
      <w:r w:rsidR="00E8128F">
        <w:rPr>
          <w:sz w:val="36"/>
          <w:szCs w:val="36"/>
          <w:rtl/>
        </w:rPr>
        <w:t xml:space="preserve"> </w:t>
      </w:r>
      <w:r w:rsidRPr="00FD211F">
        <w:rPr>
          <w:sz w:val="36"/>
          <w:szCs w:val="36"/>
          <w:rtl/>
        </w:rPr>
        <w:t>فلاتخل</w:t>
      </w:r>
      <w:r w:rsidR="00057D64" w:rsidRPr="00FD211F">
        <w:rPr>
          <w:sz w:val="36"/>
          <w:szCs w:val="36"/>
          <w:rtl/>
        </w:rPr>
        <w:t>ّ</w:t>
      </w:r>
      <w:r w:rsidR="00E8128F">
        <w:rPr>
          <w:sz w:val="36"/>
          <w:szCs w:val="36"/>
          <w:rtl/>
        </w:rPr>
        <w:t xml:space="preserve"> </w:t>
      </w:r>
      <w:r w:rsidRPr="00FD211F">
        <w:rPr>
          <w:sz w:val="36"/>
          <w:szCs w:val="36"/>
          <w:rtl/>
        </w:rPr>
        <w:t>وساطتها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اصولي</w:t>
      </w:r>
      <w:r w:rsidR="00EC7EDF" w:rsidRPr="00FD211F">
        <w:rPr>
          <w:sz w:val="36"/>
          <w:szCs w:val="36"/>
          <w:rtl/>
        </w:rPr>
        <w:t>ة</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المباحث</w:t>
      </w:r>
      <w:r w:rsidR="009C58C8" w:rsidRPr="00FD211F">
        <w:rPr>
          <w:rStyle w:val="a6"/>
          <w:sz w:val="36"/>
          <w:szCs w:val="36"/>
          <w:rtl/>
        </w:rPr>
        <w:t>(</w:t>
      </w:r>
      <w:r w:rsidR="009C58C8" w:rsidRPr="00FD211F">
        <w:rPr>
          <w:rStyle w:val="a6"/>
          <w:sz w:val="36"/>
          <w:szCs w:val="36"/>
          <w:rtl/>
        </w:rPr>
        <w:footnoteReference w:id="48"/>
      </w:r>
      <w:r w:rsidR="009C58C8" w:rsidRPr="00FD211F">
        <w:rPr>
          <w:rStyle w:val="a6"/>
          <w:sz w:val="36"/>
          <w:szCs w:val="36"/>
          <w:rtl/>
        </w:rPr>
        <w:t>)</w:t>
      </w:r>
      <w:r w:rsidRPr="00FD211F">
        <w:rPr>
          <w:sz w:val="36"/>
          <w:szCs w:val="36"/>
          <w:rtl/>
        </w:rPr>
        <w:t>.</w:t>
      </w:r>
    </w:p>
    <w:p w14:paraId="11A65EA1" w14:textId="77777777" w:rsidR="00514D3E" w:rsidRPr="00FD211F" w:rsidRDefault="00514D3E" w:rsidP="009C58C8">
      <w:pPr>
        <w:ind w:left="0" w:firstLine="227"/>
        <w:jc w:val="both"/>
        <w:rPr>
          <w:sz w:val="36"/>
          <w:szCs w:val="36"/>
          <w:rtl/>
        </w:rPr>
      </w:pPr>
      <w:r w:rsidRPr="00FD211F">
        <w:rPr>
          <w:sz w:val="36"/>
          <w:szCs w:val="36"/>
          <w:rtl/>
        </w:rPr>
        <w:t>والظاهر</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مقصوده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القاعد</w:t>
      </w:r>
      <w:r w:rsidR="00EC7EDF" w:rsidRPr="00FD211F">
        <w:rPr>
          <w:sz w:val="36"/>
          <w:szCs w:val="36"/>
          <w:rtl/>
        </w:rPr>
        <w:t>ة</w:t>
      </w:r>
      <w:r w:rsidR="00E8128F">
        <w:rPr>
          <w:sz w:val="36"/>
          <w:szCs w:val="36"/>
          <w:rtl/>
        </w:rPr>
        <w:t xml:space="preserve"> </w:t>
      </w:r>
      <w:r w:rsidRPr="00FD211F">
        <w:rPr>
          <w:sz w:val="36"/>
          <w:szCs w:val="36"/>
          <w:rtl/>
        </w:rPr>
        <w:t>الأصولي</w:t>
      </w:r>
      <w:r w:rsidR="00EC7EDF" w:rsidRPr="00FD211F">
        <w:rPr>
          <w:sz w:val="36"/>
          <w:szCs w:val="36"/>
          <w:rtl/>
        </w:rPr>
        <w:t>ة</w:t>
      </w:r>
      <w:r w:rsidR="00E8128F">
        <w:rPr>
          <w:sz w:val="36"/>
          <w:szCs w:val="36"/>
          <w:rtl/>
        </w:rPr>
        <w:t xml:space="preserve"> </w:t>
      </w:r>
      <w:r w:rsidRPr="00FD211F">
        <w:rPr>
          <w:sz w:val="36"/>
          <w:szCs w:val="36"/>
          <w:rtl/>
        </w:rPr>
        <w:t>رافع</w:t>
      </w:r>
      <w:r w:rsidR="00EC7EDF" w:rsidRPr="00FD211F">
        <w:rPr>
          <w:sz w:val="36"/>
          <w:szCs w:val="36"/>
          <w:rtl/>
        </w:rPr>
        <w:t>ة</w:t>
      </w:r>
      <w:r w:rsidR="00E8128F">
        <w:rPr>
          <w:sz w:val="36"/>
          <w:szCs w:val="36"/>
          <w:rtl/>
        </w:rPr>
        <w:t xml:space="preserve"> </w:t>
      </w:r>
      <w:r w:rsidRPr="00FD211F">
        <w:rPr>
          <w:sz w:val="36"/>
          <w:szCs w:val="36"/>
          <w:rtl/>
        </w:rPr>
        <w:t>للتحير</w:t>
      </w:r>
      <w:r w:rsidR="00E8128F">
        <w:rPr>
          <w:sz w:val="36"/>
          <w:szCs w:val="36"/>
          <w:rtl/>
        </w:rPr>
        <w:t xml:space="preserve"> </w:t>
      </w:r>
      <w:r w:rsidRPr="00FD211F">
        <w:rPr>
          <w:sz w:val="36"/>
          <w:szCs w:val="36"/>
          <w:rtl/>
        </w:rPr>
        <w:t>الحاصل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الجهل</w:t>
      </w:r>
      <w:r w:rsidR="00E8128F">
        <w:rPr>
          <w:sz w:val="36"/>
          <w:szCs w:val="36"/>
          <w:rtl/>
        </w:rPr>
        <w:t xml:space="preserve"> </w:t>
      </w:r>
      <w:r w:rsidRPr="00FD211F">
        <w:rPr>
          <w:sz w:val="36"/>
          <w:szCs w:val="36"/>
          <w:rtl/>
        </w:rPr>
        <w:t>بالحكم</w:t>
      </w:r>
      <w:r w:rsidR="00E8128F">
        <w:rPr>
          <w:sz w:val="36"/>
          <w:szCs w:val="36"/>
          <w:rtl/>
        </w:rPr>
        <w:t xml:space="preserve"> </w:t>
      </w:r>
      <w:r w:rsidRPr="00FD211F">
        <w:rPr>
          <w:sz w:val="36"/>
          <w:szCs w:val="36"/>
          <w:rtl/>
        </w:rPr>
        <w:t>الشرعي</w:t>
      </w:r>
      <w:r w:rsidR="00603323" w:rsidRPr="00FD211F">
        <w:rPr>
          <w:sz w:val="36"/>
          <w:szCs w:val="36"/>
          <w:rtl/>
        </w:rPr>
        <w:t>،</w:t>
      </w:r>
      <w:r w:rsidR="00E8128F">
        <w:rPr>
          <w:sz w:val="36"/>
          <w:szCs w:val="36"/>
          <w:rtl/>
        </w:rPr>
        <w:t xml:space="preserve"> </w:t>
      </w:r>
      <w:r w:rsidRPr="00FD211F">
        <w:rPr>
          <w:sz w:val="36"/>
          <w:szCs w:val="36"/>
          <w:rtl/>
        </w:rPr>
        <w:t>بخلاف</w:t>
      </w:r>
      <w:r w:rsidR="00E8128F">
        <w:rPr>
          <w:sz w:val="36"/>
          <w:szCs w:val="36"/>
          <w:rtl/>
        </w:rPr>
        <w:t xml:space="preserve"> </w:t>
      </w:r>
      <w:r w:rsidRPr="00FD211F">
        <w:rPr>
          <w:sz w:val="36"/>
          <w:szCs w:val="36"/>
          <w:rtl/>
        </w:rPr>
        <w:t>القاعد</w:t>
      </w:r>
      <w:r w:rsidR="00EC7EDF" w:rsidRPr="00FD211F">
        <w:rPr>
          <w:sz w:val="36"/>
          <w:szCs w:val="36"/>
          <w:rtl/>
        </w:rPr>
        <w:t>ة</w:t>
      </w:r>
      <w:r w:rsidR="00E8128F">
        <w:rPr>
          <w:sz w:val="36"/>
          <w:szCs w:val="36"/>
          <w:rtl/>
        </w:rPr>
        <w:t xml:space="preserve"> </w:t>
      </w:r>
      <w:r w:rsidRPr="00FD211F">
        <w:rPr>
          <w:sz w:val="36"/>
          <w:szCs w:val="36"/>
          <w:rtl/>
        </w:rPr>
        <w:t>الفقهي</w:t>
      </w:r>
      <w:r w:rsidR="00EC7EDF" w:rsidRPr="00FD211F">
        <w:rPr>
          <w:sz w:val="36"/>
          <w:szCs w:val="36"/>
          <w:rtl/>
        </w:rPr>
        <w:t>ة</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أنها</w:t>
      </w:r>
      <w:r w:rsidR="00E8128F">
        <w:rPr>
          <w:sz w:val="36"/>
          <w:szCs w:val="36"/>
          <w:rtl/>
        </w:rPr>
        <w:t xml:space="preserve"> </w:t>
      </w:r>
      <w:r w:rsidRPr="00FD211F">
        <w:rPr>
          <w:sz w:val="36"/>
          <w:szCs w:val="36"/>
          <w:rtl/>
        </w:rPr>
        <w:t>ناظر</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تبيين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المجهول</w:t>
      </w:r>
      <w:r w:rsidR="00603323" w:rsidRPr="00FD211F">
        <w:rPr>
          <w:sz w:val="36"/>
          <w:szCs w:val="36"/>
          <w:rtl/>
        </w:rPr>
        <w:t>،</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مفاد</w:t>
      </w:r>
      <w:r w:rsidR="00E8128F">
        <w:rPr>
          <w:sz w:val="36"/>
          <w:szCs w:val="36"/>
          <w:rtl/>
        </w:rPr>
        <w:t xml:space="preserve"> </w:t>
      </w:r>
      <w:r w:rsidRPr="00FD211F">
        <w:rPr>
          <w:sz w:val="36"/>
          <w:szCs w:val="36"/>
          <w:rtl/>
        </w:rPr>
        <w:t>القاعد</w:t>
      </w:r>
      <w:r w:rsidR="00EC7EDF" w:rsidRPr="00FD211F">
        <w:rPr>
          <w:sz w:val="36"/>
          <w:szCs w:val="36"/>
          <w:rtl/>
        </w:rPr>
        <w:t>ة</w:t>
      </w:r>
      <w:r w:rsidR="00E8128F">
        <w:rPr>
          <w:sz w:val="36"/>
          <w:szCs w:val="36"/>
          <w:rtl/>
        </w:rPr>
        <w:t xml:space="preserve"> </w:t>
      </w:r>
      <w:r w:rsidRPr="00FD211F">
        <w:rPr>
          <w:sz w:val="36"/>
          <w:szCs w:val="36"/>
          <w:rtl/>
        </w:rPr>
        <w:t>الفقهي</w:t>
      </w:r>
      <w:r w:rsidR="00EC7EDF" w:rsidRPr="00FD211F">
        <w:rPr>
          <w:sz w:val="36"/>
          <w:szCs w:val="36"/>
          <w:rtl/>
        </w:rPr>
        <w:t>ة</w:t>
      </w:r>
      <w:r w:rsidR="00E8128F">
        <w:rPr>
          <w:sz w:val="36"/>
          <w:szCs w:val="36"/>
          <w:rtl/>
        </w:rPr>
        <w:t xml:space="preserve"> </w:t>
      </w:r>
      <w:r w:rsidRPr="00FD211F">
        <w:rPr>
          <w:sz w:val="36"/>
          <w:szCs w:val="36"/>
          <w:rtl/>
        </w:rPr>
        <w:t>نفس</w:t>
      </w:r>
      <w:r w:rsidR="00E8128F">
        <w:rPr>
          <w:sz w:val="36"/>
          <w:szCs w:val="36"/>
          <w:rtl/>
        </w:rPr>
        <w:t xml:space="preserve"> </w:t>
      </w:r>
      <w:r w:rsidRPr="00FD211F">
        <w:rPr>
          <w:sz w:val="36"/>
          <w:szCs w:val="36"/>
          <w:rtl/>
        </w:rPr>
        <w:lastRenderedPageBreak/>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الواقعي</w:t>
      </w:r>
      <w:r w:rsidR="00603323" w:rsidRPr="00FD211F">
        <w:rPr>
          <w:sz w:val="36"/>
          <w:szCs w:val="36"/>
          <w:rtl/>
        </w:rPr>
        <w:t>،</w:t>
      </w:r>
      <w:r w:rsidR="00E8128F">
        <w:rPr>
          <w:sz w:val="36"/>
          <w:szCs w:val="36"/>
          <w:rtl/>
        </w:rPr>
        <w:t xml:space="preserve"> </w:t>
      </w:r>
      <w:r w:rsidRPr="00FD211F">
        <w:rPr>
          <w:sz w:val="36"/>
          <w:szCs w:val="36"/>
          <w:rtl/>
        </w:rPr>
        <w:t>وأما</w:t>
      </w:r>
      <w:r w:rsidR="00E8128F">
        <w:rPr>
          <w:sz w:val="36"/>
          <w:szCs w:val="36"/>
          <w:rtl/>
        </w:rPr>
        <w:t xml:space="preserve"> </w:t>
      </w:r>
      <w:r w:rsidRPr="00FD211F">
        <w:rPr>
          <w:sz w:val="36"/>
          <w:szCs w:val="36"/>
          <w:rtl/>
        </w:rPr>
        <w:t>القاعد</w:t>
      </w:r>
      <w:r w:rsidR="00EC7EDF" w:rsidRPr="00FD211F">
        <w:rPr>
          <w:sz w:val="36"/>
          <w:szCs w:val="36"/>
          <w:rtl/>
        </w:rPr>
        <w:t>ة</w:t>
      </w:r>
      <w:r w:rsidR="00E8128F">
        <w:rPr>
          <w:sz w:val="36"/>
          <w:szCs w:val="36"/>
          <w:rtl/>
        </w:rPr>
        <w:t xml:space="preserve"> </w:t>
      </w:r>
      <w:r w:rsidRPr="00FD211F">
        <w:rPr>
          <w:sz w:val="36"/>
          <w:szCs w:val="36"/>
          <w:rtl/>
        </w:rPr>
        <w:t>الأصولي</w:t>
      </w:r>
      <w:r w:rsidR="00EC7EDF" w:rsidRPr="00FD211F">
        <w:rPr>
          <w:sz w:val="36"/>
          <w:szCs w:val="36"/>
          <w:rtl/>
        </w:rPr>
        <w:t>ة</w:t>
      </w:r>
      <w:r w:rsidR="00E8128F">
        <w:rPr>
          <w:sz w:val="36"/>
          <w:szCs w:val="36"/>
          <w:rtl/>
        </w:rPr>
        <w:t xml:space="preserve"> </w:t>
      </w:r>
      <w:r w:rsidRPr="00FD211F">
        <w:rPr>
          <w:sz w:val="36"/>
          <w:szCs w:val="36"/>
          <w:rtl/>
        </w:rPr>
        <w:t>فهي</w:t>
      </w:r>
      <w:r w:rsidR="00E8128F">
        <w:rPr>
          <w:sz w:val="36"/>
          <w:szCs w:val="36"/>
          <w:rtl/>
        </w:rPr>
        <w:t xml:space="preserve"> </w:t>
      </w:r>
      <w:r w:rsidRPr="00FD211F">
        <w:rPr>
          <w:sz w:val="36"/>
          <w:szCs w:val="36"/>
          <w:rtl/>
        </w:rPr>
        <w:t>دليل</w:t>
      </w:r>
      <w:r w:rsidR="00E8128F">
        <w:rPr>
          <w:sz w:val="36"/>
          <w:szCs w:val="36"/>
          <w:rtl/>
        </w:rPr>
        <w:t xml:space="preserve"> </w:t>
      </w:r>
      <w:commentRangeStart w:id="45"/>
      <w:r w:rsidRPr="00FD211F">
        <w:rPr>
          <w:sz w:val="36"/>
          <w:szCs w:val="36"/>
          <w:rtl/>
        </w:rPr>
        <w:t>عليه</w:t>
      </w:r>
      <w:commentRangeEnd w:id="45"/>
      <w:r w:rsidR="00265400">
        <w:rPr>
          <w:rStyle w:val="ab"/>
          <w:rtl/>
        </w:rPr>
        <w:commentReference w:id="45"/>
      </w:r>
      <w:r w:rsidR="00603323" w:rsidRPr="00FD211F">
        <w:rPr>
          <w:sz w:val="36"/>
          <w:szCs w:val="36"/>
          <w:rtl/>
        </w:rPr>
        <w:t>،</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قاعد</w:t>
      </w:r>
      <w:r w:rsidR="00EC7EDF" w:rsidRPr="00FD211F">
        <w:rPr>
          <w:sz w:val="36"/>
          <w:szCs w:val="36"/>
          <w:rtl/>
        </w:rPr>
        <w:t>ة</w:t>
      </w:r>
      <w:r w:rsidR="00E8128F">
        <w:rPr>
          <w:sz w:val="36"/>
          <w:szCs w:val="36"/>
          <w:rtl/>
        </w:rPr>
        <w:t xml:space="preserve"> </w:t>
      </w:r>
      <w:r w:rsidRPr="00FD211F">
        <w:rPr>
          <w:sz w:val="36"/>
          <w:szCs w:val="36"/>
          <w:rtl/>
        </w:rPr>
        <w:t>الملازم</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المقدم</w:t>
      </w:r>
      <w:r w:rsidR="00EC7EDF" w:rsidRPr="00FD211F">
        <w:rPr>
          <w:sz w:val="36"/>
          <w:szCs w:val="36"/>
          <w:rtl/>
        </w:rPr>
        <w:t>ة</w:t>
      </w:r>
      <w:r w:rsidR="00E8128F">
        <w:rPr>
          <w:sz w:val="36"/>
          <w:szCs w:val="36"/>
          <w:rtl/>
        </w:rPr>
        <w:t xml:space="preserve"> </w:t>
      </w:r>
      <w:r w:rsidRPr="00FD211F">
        <w:rPr>
          <w:sz w:val="36"/>
          <w:szCs w:val="36"/>
          <w:rtl/>
        </w:rPr>
        <w:t>ووجوب</w:t>
      </w:r>
      <w:r w:rsidR="00E8128F">
        <w:rPr>
          <w:sz w:val="36"/>
          <w:szCs w:val="36"/>
          <w:rtl/>
        </w:rPr>
        <w:t xml:space="preserve"> </w:t>
      </w:r>
      <w:r w:rsidRPr="00FD211F">
        <w:rPr>
          <w:sz w:val="36"/>
          <w:szCs w:val="36"/>
          <w:rtl/>
        </w:rPr>
        <w:t>ذيها</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انها</w:t>
      </w:r>
      <w:r w:rsidR="00E8128F">
        <w:rPr>
          <w:sz w:val="36"/>
          <w:szCs w:val="36"/>
          <w:rtl/>
        </w:rPr>
        <w:t xml:space="preserve"> </w:t>
      </w:r>
      <w:r w:rsidRPr="00FD211F">
        <w:rPr>
          <w:sz w:val="36"/>
          <w:szCs w:val="36"/>
          <w:rtl/>
        </w:rPr>
        <w:t>دليل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المقدم</w:t>
      </w:r>
      <w:r w:rsidR="00EC7EDF" w:rsidRPr="00FD211F">
        <w:rPr>
          <w:sz w:val="36"/>
          <w:szCs w:val="36"/>
          <w:rtl/>
        </w:rPr>
        <w:t>ة</w:t>
      </w:r>
      <w:r w:rsidR="00E8128F">
        <w:rPr>
          <w:sz w:val="36"/>
          <w:szCs w:val="36"/>
          <w:rtl/>
        </w:rPr>
        <w:t xml:space="preserve"> </w:t>
      </w:r>
      <w:r w:rsidRPr="00FD211F">
        <w:rPr>
          <w:sz w:val="36"/>
          <w:szCs w:val="36"/>
          <w:rtl/>
        </w:rPr>
        <w:t>شرعا.</w:t>
      </w:r>
    </w:p>
    <w:p w14:paraId="36891012" w14:textId="77777777" w:rsidR="000C5BBA" w:rsidRPr="00FD211F" w:rsidRDefault="00514D3E"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w:t>
      </w:r>
      <w:r w:rsidR="001163DE" w:rsidRPr="00FD211F">
        <w:rPr>
          <w:sz w:val="36"/>
          <w:szCs w:val="36"/>
          <w:rtl/>
        </w:rPr>
        <w:t>يلاحظ</w:t>
      </w:r>
      <w:r w:rsidR="00E8128F">
        <w:rPr>
          <w:sz w:val="36"/>
          <w:szCs w:val="36"/>
          <w:rtl/>
        </w:rPr>
        <w:t xml:space="preserve"> </w:t>
      </w:r>
      <w:r w:rsidR="001163DE" w:rsidRPr="00FD211F">
        <w:rPr>
          <w:sz w:val="36"/>
          <w:szCs w:val="36"/>
          <w:rtl/>
        </w:rPr>
        <w:t>عليه</w:t>
      </w:r>
      <w:r w:rsidR="00E8128F">
        <w:rPr>
          <w:sz w:val="36"/>
          <w:szCs w:val="36"/>
          <w:rtl/>
        </w:rPr>
        <w:t xml:space="preserve"> </w:t>
      </w:r>
      <w:r w:rsidRPr="00FD211F">
        <w:rPr>
          <w:b/>
          <w:bCs/>
          <w:sz w:val="36"/>
          <w:szCs w:val="36"/>
          <w:rtl/>
        </w:rPr>
        <w:t>اولا</w:t>
      </w:r>
      <w:r w:rsidR="001163DE" w:rsidRPr="00FD211F">
        <w:rPr>
          <w:sz w:val="36"/>
          <w:szCs w:val="36"/>
          <w:rtl/>
        </w:rPr>
        <w:t>:</w:t>
      </w:r>
      <w:r w:rsidR="00E8128F">
        <w:rPr>
          <w:sz w:val="36"/>
          <w:szCs w:val="36"/>
          <w:rtl/>
        </w:rPr>
        <w:t xml:space="preserve"> </w:t>
      </w:r>
      <w:r w:rsidRPr="00FD211F">
        <w:rPr>
          <w:sz w:val="36"/>
          <w:szCs w:val="36"/>
          <w:rtl/>
        </w:rPr>
        <w:t>انه</w:t>
      </w:r>
      <w:r w:rsidR="00E8128F">
        <w:rPr>
          <w:sz w:val="36"/>
          <w:szCs w:val="36"/>
          <w:rtl/>
        </w:rPr>
        <w:t xml:space="preserve"> </w:t>
      </w:r>
      <w:r w:rsidR="008D7B3D" w:rsidRPr="00FD211F">
        <w:rPr>
          <w:sz w:val="36"/>
          <w:szCs w:val="36"/>
          <w:rtl/>
        </w:rPr>
        <w:t>لم‌</w:t>
      </w:r>
      <w:r w:rsidRPr="00FD211F">
        <w:rPr>
          <w:sz w:val="36"/>
          <w:szCs w:val="36"/>
          <w:rtl/>
        </w:rPr>
        <w:t>يفهم</w:t>
      </w:r>
      <w:r w:rsidR="00E8128F">
        <w:rPr>
          <w:sz w:val="36"/>
          <w:szCs w:val="36"/>
          <w:rtl/>
        </w:rPr>
        <w:t xml:space="preserve"> </w:t>
      </w:r>
      <w:r w:rsidRPr="00FD211F">
        <w:rPr>
          <w:sz w:val="36"/>
          <w:szCs w:val="36"/>
          <w:rtl/>
        </w:rPr>
        <w:t>وجه</w:t>
      </w:r>
      <w:r w:rsidR="00E8128F">
        <w:rPr>
          <w:sz w:val="36"/>
          <w:szCs w:val="36"/>
          <w:rtl/>
        </w:rPr>
        <w:t xml:space="preserve"> </w:t>
      </w:r>
      <w:r w:rsidRPr="00FD211F">
        <w:rPr>
          <w:sz w:val="36"/>
          <w:szCs w:val="36"/>
          <w:rtl/>
        </w:rPr>
        <w:t>الفرق</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مباحث</w:t>
      </w:r>
      <w:r w:rsidR="00E8128F">
        <w:rPr>
          <w:sz w:val="36"/>
          <w:szCs w:val="36"/>
          <w:rtl/>
        </w:rPr>
        <w:t xml:space="preserve"> </w:t>
      </w:r>
      <w:r w:rsidRPr="00FD211F">
        <w:rPr>
          <w:sz w:val="36"/>
          <w:szCs w:val="36"/>
          <w:rtl/>
        </w:rPr>
        <w:t>الالفاظ</w:t>
      </w:r>
      <w:r w:rsidR="00E8128F">
        <w:rPr>
          <w:sz w:val="36"/>
          <w:szCs w:val="36"/>
          <w:rtl/>
        </w:rPr>
        <w:t xml:space="preserve"> </w:t>
      </w:r>
      <w:r w:rsidRPr="00FD211F">
        <w:rPr>
          <w:sz w:val="36"/>
          <w:szCs w:val="36"/>
          <w:rtl/>
        </w:rPr>
        <w:t>وبين</w:t>
      </w:r>
      <w:r w:rsidR="00E8128F">
        <w:rPr>
          <w:sz w:val="36"/>
          <w:szCs w:val="36"/>
          <w:rtl/>
        </w:rPr>
        <w:t xml:space="preserve"> </w:t>
      </w:r>
      <w:r w:rsidRPr="00FD211F">
        <w:rPr>
          <w:sz w:val="36"/>
          <w:szCs w:val="36"/>
          <w:rtl/>
        </w:rPr>
        <w:t>بحث</w:t>
      </w:r>
      <w:r w:rsidR="00E8128F">
        <w:rPr>
          <w:sz w:val="36"/>
          <w:szCs w:val="36"/>
          <w:rtl/>
        </w:rPr>
        <w:t xml:space="preserve"> </w:t>
      </w:r>
      <w:r w:rsidRPr="00FD211F">
        <w:rPr>
          <w:sz w:val="36"/>
          <w:szCs w:val="36"/>
          <w:rtl/>
        </w:rPr>
        <w:t>الصحيح</w:t>
      </w:r>
      <w:r w:rsidR="00E8128F">
        <w:rPr>
          <w:sz w:val="36"/>
          <w:szCs w:val="36"/>
          <w:rtl/>
        </w:rPr>
        <w:t xml:space="preserve"> </w:t>
      </w:r>
      <w:r w:rsidRPr="00FD211F">
        <w:rPr>
          <w:sz w:val="36"/>
          <w:szCs w:val="36"/>
          <w:rtl/>
        </w:rPr>
        <w:t>والاعم</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المشتق</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جميعها</w:t>
      </w:r>
      <w:r w:rsidR="00E8128F">
        <w:rPr>
          <w:sz w:val="36"/>
          <w:szCs w:val="36"/>
          <w:rtl/>
        </w:rPr>
        <w:t xml:space="preserve"> </w:t>
      </w:r>
      <w:r w:rsidRPr="00FD211F">
        <w:rPr>
          <w:sz w:val="36"/>
          <w:szCs w:val="36"/>
          <w:rtl/>
        </w:rPr>
        <w:t>منقح</w:t>
      </w:r>
      <w:r w:rsidR="00EC7EDF" w:rsidRPr="00FD211F">
        <w:rPr>
          <w:sz w:val="36"/>
          <w:szCs w:val="36"/>
          <w:rtl/>
        </w:rPr>
        <w:t>ة</w:t>
      </w:r>
      <w:r w:rsidR="00E8128F">
        <w:rPr>
          <w:sz w:val="36"/>
          <w:szCs w:val="36"/>
          <w:rtl/>
        </w:rPr>
        <w:t xml:space="preserve"> </w:t>
      </w:r>
      <w:r w:rsidRPr="00FD211F">
        <w:rPr>
          <w:sz w:val="36"/>
          <w:szCs w:val="36"/>
          <w:rtl/>
        </w:rPr>
        <w:t>لصغريات</w:t>
      </w:r>
      <w:r w:rsidR="00E8128F">
        <w:rPr>
          <w:sz w:val="36"/>
          <w:szCs w:val="36"/>
          <w:rtl/>
        </w:rPr>
        <w:t xml:space="preserve"> </w:t>
      </w:r>
      <w:r w:rsidRPr="00FD211F">
        <w:rPr>
          <w:sz w:val="36"/>
          <w:szCs w:val="36"/>
          <w:rtl/>
        </w:rPr>
        <w:t>الظهور</w:t>
      </w:r>
      <w:r w:rsidR="00184411" w:rsidRPr="00FD211F">
        <w:rPr>
          <w:sz w:val="36"/>
          <w:szCs w:val="36"/>
          <w:rtl/>
        </w:rPr>
        <w:t>.</w:t>
      </w:r>
    </w:p>
    <w:p w14:paraId="433A4440" w14:textId="77777777" w:rsidR="001163DE" w:rsidRPr="00FD211F" w:rsidRDefault="00514D3E" w:rsidP="009C58C8">
      <w:pPr>
        <w:ind w:left="0" w:firstLine="227"/>
        <w:jc w:val="both"/>
        <w:rPr>
          <w:sz w:val="36"/>
          <w:szCs w:val="36"/>
          <w:rtl/>
        </w:rPr>
      </w:pPr>
      <w:r w:rsidRPr="00FD211F">
        <w:rPr>
          <w:b/>
          <w:bCs/>
          <w:sz w:val="36"/>
          <w:szCs w:val="36"/>
          <w:rtl/>
        </w:rPr>
        <w:t>وثانيا</w:t>
      </w:r>
      <w:r w:rsidRPr="00FD211F">
        <w:rPr>
          <w:sz w:val="36"/>
          <w:szCs w:val="36"/>
          <w:rtl/>
        </w:rPr>
        <w:t>:</w:t>
      </w:r>
      <w:r w:rsidR="00E8128F">
        <w:rPr>
          <w:sz w:val="36"/>
          <w:szCs w:val="36"/>
          <w:rtl/>
        </w:rPr>
        <w:t xml:space="preserve"> </w:t>
      </w:r>
      <w:r w:rsidR="001163DE" w:rsidRPr="00FD211F">
        <w:rPr>
          <w:sz w:val="36"/>
          <w:szCs w:val="36"/>
          <w:rtl/>
        </w:rPr>
        <w:t>ان</w:t>
      </w:r>
      <w:r w:rsidR="00E8128F">
        <w:rPr>
          <w:sz w:val="36"/>
          <w:szCs w:val="36"/>
          <w:rtl/>
        </w:rPr>
        <w:t xml:space="preserve"> </w:t>
      </w:r>
      <w:r w:rsidR="001163DE" w:rsidRPr="00FD211F">
        <w:rPr>
          <w:sz w:val="36"/>
          <w:szCs w:val="36"/>
          <w:rtl/>
        </w:rPr>
        <w:t>الالتزام</w:t>
      </w:r>
      <w:r w:rsidR="00E8128F">
        <w:rPr>
          <w:sz w:val="36"/>
          <w:szCs w:val="36"/>
          <w:rtl/>
        </w:rPr>
        <w:t xml:space="preserve"> </w:t>
      </w:r>
      <w:r w:rsidR="001163DE" w:rsidRPr="00FD211F">
        <w:rPr>
          <w:sz w:val="36"/>
          <w:szCs w:val="36"/>
          <w:rtl/>
        </w:rPr>
        <w:t>بدخول</w:t>
      </w:r>
      <w:r w:rsidR="00E8128F">
        <w:rPr>
          <w:sz w:val="36"/>
          <w:szCs w:val="36"/>
          <w:rtl/>
        </w:rPr>
        <w:t xml:space="preserve"> </w:t>
      </w:r>
      <w:r w:rsidR="001163DE" w:rsidRPr="00FD211F">
        <w:rPr>
          <w:sz w:val="36"/>
          <w:szCs w:val="36"/>
          <w:rtl/>
        </w:rPr>
        <w:t>الاصول</w:t>
      </w:r>
      <w:r w:rsidR="00E8128F">
        <w:rPr>
          <w:sz w:val="36"/>
          <w:szCs w:val="36"/>
          <w:rtl/>
        </w:rPr>
        <w:t xml:space="preserve"> </w:t>
      </w:r>
      <w:r w:rsidR="001163DE" w:rsidRPr="00FD211F">
        <w:rPr>
          <w:sz w:val="36"/>
          <w:szCs w:val="36"/>
          <w:rtl/>
        </w:rPr>
        <w:t>العملي</w:t>
      </w:r>
      <w:r w:rsidR="00EC7EDF" w:rsidRPr="00FD211F">
        <w:rPr>
          <w:sz w:val="36"/>
          <w:szCs w:val="36"/>
          <w:rtl/>
        </w:rPr>
        <w:t>ة</w:t>
      </w:r>
      <w:r w:rsidR="00E8128F">
        <w:rPr>
          <w:sz w:val="36"/>
          <w:szCs w:val="36"/>
          <w:rtl/>
        </w:rPr>
        <w:t xml:space="preserve"> </w:t>
      </w:r>
      <w:r w:rsidR="001163DE" w:rsidRPr="00FD211F">
        <w:rPr>
          <w:sz w:val="36"/>
          <w:szCs w:val="36"/>
          <w:rtl/>
        </w:rPr>
        <w:t>الجاري</w:t>
      </w:r>
      <w:r w:rsidR="00EC7EDF" w:rsidRPr="00FD211F">
        <w:rPr>
          <w:sz w:val="36"/>
          <w:szCs w:val="36"/>
          <w:rtl/>
        </w:rPr>
        <w:t>ة</w:t>
      </w:r>
      <w:r w:rsidR="00E8128F">
        <w:rPr>
          <w:sz w:val="36"/>
          <w:szCs w:val="36"/>
          <w:rtl/>
        </w:rPr>
        <w:t xml:space="preserve"> </w:t>
      </w:r>
      <w:r w:rsidR="001163DE" w:rsidRPr="00FD211F">
        <w:rPr>
          <w:sz w:val="36"/>
          <w:szCs w:val="36"/>
          <w:rtl/>
        </w:rPr>
        <w:t>في</w:t>
      </w:r>
      <w:r w:rsidR="00E8128F">
        <w:rPr>
          <w:sz w:val="36"/>
          <w:szCs w:val="36"/>
          <w:rtl/>
        </w:rPr>
        <w:t xml:space="preserve"> </w:t>
      </w:r>
      <w:r w:rsidR="001163DE" w:rsidRPr="00FD211F">
        <w:rPr>
          <w:sz w:val="36"/>
          <w:szCs w:val="36"/>
          <w:rtl/>
        </w:rPr>
        <w:t>الشبهات</w:t>
      </w:r>
      <w:r w:rsidR="00E8128F">
        <w:rPr>
          <w:sz w:val="36"/>
          <w:szCs w:val="36"/>
          <w:rtl/>
        </w:rPr>
        <w:t xml:space="preserve"> </w:t>
      </w:r>
      <w:r w:rsidR="001163DE" w:rsidRPr="00FD211F">
        <w:rPr>
          <w:sz w:val="36"/>
          <w:szCs w:val="36"/>
          <w:rtl/>
        </w:rPr>
        <w:t>الموضوعي</w:t>
      </w:r>
      <w:r w:rsidR="00EC7EDF" w:rsidRPr="00FD211F">
        <w:rPr>
          <w:sz w:val="36"/>
          <w:szCs w:val="36"/>
          <w:rtl/>
        </w:rPr>
        <w:t>ة</w:t>
      </w:r>
      <w:r w:rsidR="00E8128F">
        <w:rPr>
          <w:sz w:val="36"/>
          <w:szCs w:val="36"/>
          <w:rtl/>
        </w:rPr>
        <w:t xml:space="preserve"> </w:t>
      </w:r>
      <w:r w:rsidR="001163DE" w:rsidRPr="00FD211F">
        <w:rPr>
          <w:sz w:val="36"/>
          <w:szCs w:val="36"/>
          <w:rtl/>
        </w:rPr>
        <w:t>في</w:t>
      </w:r>
      <w:r w:rsidR="00E8128F">
        <w:rPr>
          <w:sz w:val="36"/>
          <w:szCs w:val="36"/>
          <w:rtl/>
        </w:rPr>
        <w:t xml:space="preserve"> </w:t>
      </w:r>
      <w:r w:rsidR="001163DE" w:rsidRPr="00FD211F">
        <w:rPr>
          <w:sz w:val="36"/>
          <w:szCs w:val="36"/>
          <w:rtl/>
        </w:rPr>
        <w:t>علم</w:t>
      </w:r>
      <w:r w:rsidR="00E8128F">
        <w:rPr>
          <w:sz w:val="36"/>
          <w:szCs w:val="36"/>
          <w:rtl/>
        </w:rPr>
        <w:t xml:space="preserve"> </w:t>
      </w:r>
      <w:r w:rsidR="001163DE" w:rsidRPr="00FD211F">
        <w:rPr>
          <w:sz w:val="36"/>
          <w:szCs w:val="36"/>
          <w:rtl/>
        </w:rPr>
        <w:t>الاصول</w:t>
      </w:r>
      <w:r w:rsidR="00E8128F">
        <w:rPr>
          <w:sz w:val="36"/>
          <w:szCs w:val="36"/>
          <w:rtl/>
        </w:rPr>
        <w:t xml:space="preserve"> </w:t>
      </w:r>
      <w:r w:rsidR="001163DE" w:rsidRPr="00FD211F">
        <w:rPr>
          <w:sz w:val="36"/>
          <w:szCs w:val="36"/>
          <w:rtl/>
        </w:rPr>
        <w:t>خلاف</w:t>
      </w:r>
      <w:r w:rsidR="00E8128F">
        <w:rPr>
          <w:sz w:val="36"/>
          <w:szCs w:val="36"/>
          <w:rtl/>
        </w:rPr>
        <w:t xml:space="preserve"> </w:t>
      </w:r>
      <w:r w:rsidR="001163DE" w:rsidRPr="00FD211F">
        <w:rPr>
          <w:sz w:val="36"/>
          <w:szCs w:val="36"/>
          <w:rtl/>
        </w:rPr>
        <w:t>المرتكز</w:t>
      </w:r>
      <w:r w:rsidR="00E8128F">
        <w:rPr>
          <w:sz w:val="36"/>
          <w:szCs w:val="36"/>
          <w:rtl/>
        </w:rPr>
        <w:t xml:space="preserve"> </w:t>
      </w:r>
      <w:r w:rsidR="001163DE" w:rsidRPr="00FD211F">
        <w:rPr>
          <w:sz w:val="36"/>
          <w:szCs w:val="36"/>
          <w:rtl/>
        </w:rPr>
        <w:t>جدا</w:t>
      </w:r>
      <w:r w:rsidR="00603323" w:rsidRPr="00FD211F">
        <w:rPr>
          <w:sz w:val="36"/>
          <w:szCs w:val="36"/>
          <w:rtl/>
        </w:rPr>
        <w:t>،</w:t>
      </w:r>
      <w:r w:rsidR="00E8128F">
        <w:rPr>
          <w:sz w:val="36"/>
          <w:szCs w:val="36"/>
          <w:rtl/>
        </w:rPr>
        <w:t xml:space="preserve"> </w:t>
      </w:r>
      <w:r w:rsidR="001163DE" w:rsidRPr="00FD211F">
        <w:rPr>
          <w:sz w:val="36"/>
          <w:szCs w:val="36"/>
          <w:rtl/>
        </w:rPr>
        <w:t>فان</w:t>
      </w:r>
      <w:r w:rsidR="00E8128F">
        <w:rPr>
          <w:sz w:val="36"/>
          <w:szCs w:val="36"/>
          <w:rtl/>
        </w:rPr>
        <w:t xml:space="preserve"> </w:t>
      </w:r>
      <w:r w:rsidR="001163DE" w:rsidRPr="00FD211F">
        <w:rPr>
          <w:sz w:val="36"/>
          <w:szCs w:val="36"/>
          <w:rtl/>
        </w:rPr>
        <w:t>علم</w:t>
      </w:r>
      <w:r w:rsidR="00E8128F">
        <w:rPr>
          <w:sz w:val="36"/>
          <w:szCs w:val="36"/>
          <w:rtl/>
        </w:rPr>
        <w:t xml:space="preserve"> </w:t>
      </w:r>
      <w:r w:rsidR="001163DE" w:rsidRPr="00FD211F">
        <w:rPr>
          <w:sz w:val="36"/>
          <w:szCs w:val="36"/>
          <w:rtl/>
        </w:rPr>
        <w:t>الاصول</w:t>
      </w:r>
      <w:r w:rsidR="00E8128F">
        <w:rPr>
          <w:sz w:val="36"/>
          <w:szCs w:val="36"/>
          <w:rtl/>
        </w:rPr>
        <w:t xml:space="preserve"> </w:t>
      </w:r>
      <w:r w:rsidR="001163DE" w:rsidRPr="00FD211F">
        <w:rPr>
          <w:sz w:val="36"/>
          <w:szCs w:val="36"/>
          <w:rtl/>
        </w:rPr>
        <w:t>يبحث</w:t>
      </w:r>
      <w:r w:rsidR="00E8128F">
        <w:rPr>
          <w:sz w:val="36"/>
          <w:szCs w:val="36"/>
          <w:rtl/>
        </w:rPr>
        <w:t xml:space="preserve"> </w:t>
      </w:r>
      <w:r w:rsidR="001163DE" w:rsidRPr="00FD211F">
        <w:rPr>
          <w:sz w:val="36"/>
          <w:szCs w:val="36"/>
          <w:rtl/>
        </w:rPr>
        <w:t>عن</w:t>
      </w:r>
      <w:r w:rsidR="00E8128F">
        <w:rPr>
          <w:sz w:val="36"/>
          <w:szCs w:val="36"/>
          <w:rtl/>
        </w:rPr>
        <w:t xml:space="preserve"> </w:t>
      </w:r>
      <w:r w:rsidR="001163DE" w:rsidRPr="00FD211F">
        <w:rPr>
          <w:sz w:val="36"/>
          <w:szCs w:val="36"/>
          <w:rtl/>
        </w:rPr>
        <w:t>مسائل</w:t>
      </w:r>
      <w:r w:rsidR="00E8128F">
        <w:rPr>
          <w:sz w:val="36"/>
          <w:szCs w:val="36"/>
          <w:rtl/>
        </w:rPr>
        <w:t xml:space="preserve"> </w:t>
      </w:r>
      <w:r w:rsidR="001163DE" w:rsidRPr="00FD211F">
        <w:rPr>
          <w:sz w:val="36"/>
          <w:szCs w:val="36"/>
          <w:rtl/>
        </w:rPr>
        <w:t>تقع</w:t>
      </w:r>
      <w:r w:rsidR="00E8128F">
        <w:rPr>
          <w:sz w:val="36"/>
          <w:szCs w:val="36"/>
          <w:rtl/>
        </w:rPr>
        <w:t xml:space="preserve"> </w:t>
      </w:r>
      <w:r w:rsidR="001163DE" w:rsidRPr="00FD211F">
        <w:rPr>
          <w:sz w:val="36"/>
          <w:szCs w:val="36"/>
          <w:rtl/>
        </w:rPr>
        <w:t>في</w:t>
      </w:r>
      <w:r w:rsidR="00E8128F">
        <w:rPr>
          <w:sz w:val="36"/>
          <w:szCs w:val="36"/>
          <w:rtl/>
        </w:rPr>
        <w:t xml:space="preserve"> </w:t>
      </w:r>
      <w:r w:rsidR="001163DE" w:rsidRPr="00FD211F">
        <w:rPr>
          <w:sz w:val="36"/>
          <w:szCs w:val="36"/>
          <w:rtl/>
        </w:rPr>
        <w:t>طريق</w:t>
      </w:r>
      <w:r w:rsidR="00E8128F">
        <w:rPr>
          <w:sz w:val="36"/>
          <w:szCs w:val="36"/>
          <w:rtl/>
        </w:rPr>
        <w:t xml:space="preserve"> </w:t>
      </w:r>
      <w:r w:rsidR="001163DE" w:rsidRPr="00FD211F">
        <w:rPr>
          <w:sz w:val="36"/>
          <w:szCs w:val="36"/>
          <w:rtl/>
        </w:rPr>
        <w:t>الاستدلال</w:t>
      </w:r>
      <w:r w:rsidR="00E8128F">
        <w:rPr>
          <w:sz w:val="36"/>
          <w:szCs w:val="36"/>
          <w:rtl/>
        </w:rPr>
        <w:t xml:space="preserve"> </w:t>
      </w:r>
      <w:r w:rsidR="001163DE" w:rsidRPr="00FD211F">
        <w:rPr>
          <w:sz w:val="36"/>
          <w:szCs w:val="36"/>
          <w:rtl/>
        </w:rPr>
        <w:t>الفقهي</w:t>
      </w:r>
      <w:r w:rsidR="00603323" w:rsidRPr="00FD211F">
        <w:rPr>
          <w:sz w:val="36"/>
          <w:szCs w:val="36"/>
          <w:rtl/>
        </w:rPr>
        <w:t>،</w:t>
      </w:r>
      <w:r w:rsidR="00E8128F">
        <w:rPr>
          <w:sz w:val="36"/>
          <w:szCs w:val="36"/>
          <w:rtl/>
        </w:rPr>
        <w:t xml:space="preserve"> </w:t>
      </w:r>
      <w:r w:rsidR="001163DE" w:rsidRPr="00FD211F">
        <w:rPr>
          <w:sz w:val="36"/>
          <w:szCs w:val="36"/>
          <w:rtl/>
        </w:rPr>
        <w:t>وهذا</w:t>
      </w:r>
      <w:r w:rsidR="00E8128F">
        <w:rPr>
          <w:sz w:val="36"/>
          <w:szCs w:val="36"/>
          <w:rtl/>
        </w:rPr>
        <w:t xml:space="preserve"> </w:t>
      </w:r>
      <w:r w:rsidR="001163DE" w:rsidRPr="00FD211F">
        <w:rPr>
          <w:sz w:val="36"/>
          <w:szCs w:val="36"/>
          <w:rtl/>
        </w:rPr>
        <w:t>كان</w:t>
      </w:r>
      <w:r w:rsidR="00E8128F">
        <w:rPr>
          <w:sz w:val="36"/>
          <w:szCs w:val="36"/>
          <w:rtl/>
        </w:rPr>
        <w:t xml:space="preserve"> </w:t>
      </w:r>
      <w:r w:rsidR="001163DE" w:rsidRPr="00FD211F">
        <w:rPr>
          <w:sz w:val="36"/>
          <w:szCs w:val="36"/>
          <w:rtl/>
        </w:rPr>
        <w:t>غرض</w:t>
      </w:r>
      <w:r w:rsidR="00E8128F">
        <w:rPr>
          <w:sz w:val="36"/>
          <w:szCs w:val="36"/>
          <w:rtl/>
        </w:rPr>
        <w:t xml:space="preserve"> </w:t>
      </w:r>
      <w:r w:rsidR="001163DE" w:rsidRPr="00FD211F">
        <w:rPr>
          <w:sz w:val="36"/>
          <w:szCs w:val="36"/>
          <w:rtl/>
        </w:rPr>
        <w:t>التدوين</w:t>
      </w:r>
      <w:r w:rsidR="00E8128F">
        <w:rPr>
          <w:sz w:val="36"/>
          <w:szCs w:val="36"/>
          <w:rtl/>
        </w:rPr>
        <w:t xml:space="preserve"> </w:t>
      </w:r>
      <w:r w:rsidR="001163DE" w:rsidRPr="00FD211F">
        <w:rPr>
          <w:sz w:val="36"/>
          <w:szCs w:val="36"/>
          <w:rtl/>
        </w:rPr>
        <w:t>من</w:t>
      </w:r>
      <w:r w:rsidR="00E8128F">
        <w:rPr>
          <w:sz w:val="36"/>
          <w:szCs w:val="36"/>
          <w:rtl/>
        </w:rPr>
        <w:t xml:space="preserve"> </w:t>
      </w:r>
      <w:r w:rsidR="001163DE" w:rsidRPr="00FD211F">
        <w:rPr>
          <w:sz w:val="36"/>
          <w:szCs w:val="36"/>
          <w:rtl/>
        </w:rPr>
        <w:t>علم</w:t>
      </w:r>
      <w:r w:rsidR="00E8128F">
        <w:rPr>
          <w:sz w:val="36"/>
          <w:szCs w:val="36"/>
          <w:rtl/>
        </w:rPr>
        <w:t xml:space="preserve"> </w:t>
      </w:r>
      <w:r w:rsidR="001163DE" w:rsidRPr="00FD211F">
        <w:rPr>
          <w:sz w:val="36"/>
          <w:szCs w:val="36"/>
          <w:rtl/>
        </w:rPr>
        <w:t>الاصول</w:t>
      </w:r>
      <w:r w:rsidR="00603323" w:rsidRPr="00FD211F">
        <w:rPr>
          <w:sz w:val="36"/>
          <w:szCs w:val="36"/>
          <w:rtl/>
        </w:rPr>
        <w:t>،</w:t>
      </w:r>
      <w:r w:rsidR="00E8128F">
        <w:rPr>
          <w:sz w:val="36"/>
          <w:szCs w:val="36"/>
          <w:rtl/>
        </w:rPr>
        <w:t xml:space="preserve"> </w:t>
      </w:r>
      <w:r w:rsidR="001163DE" w:rsidRPr="00FD211F">
        <w:rPr>
          <w:sz w:val="36"/>
          <w:szCs w:val="36"/>
          <w:rtl/>
        </w:rPr>
        <w:t>فذكر</w:t>
      </w:r>
      <w:r w:rsidR="00E8128F">
        <w:rPr>
          <w:sz w:val="36"/>
          <w:szCs w:val="36"/>
          <w:rtl/>
        </w:rPr>
        <w:t xml:space="preserve"> </w:t>
      </w:r>
      <w:r w:rsidR="001163DE" w:rsidRPr="00FD211F">
        <w:rPr>
          <w:sz w:val="36"/>
          <w:szCs w:val="36"/>
          <w:rtl/>
        </w:rPr>
        <w:t>السيد</w:t>
      </w:r>
      <w:r w:rsidR="00E8128F">
        <w:rPr>
          <w:sz w:val="36"/>
          <w:szCs w:val="36"/>
          <w:rtl/>
        </w:rPr>
        <w:t xml:space="preserve"> </w:t>
      </w:r>
      <w:r w:rsidR="001163DE" w:rsidRPr="00FD211F">
        <w:rPr>
          <w:sz w:val="36"/>
          <w:szCs w:val="36"/>
          <w:rtl/>
        </w:rPr>
        <w:t>المرتضى</w:t>
      </w:r>
      <w:r w:rsidR="00E8128F">
        <w:rPr>
          <w:sz w:val="36"/>
          <w:szCs w:val="36"/>
          <w:rtl/>
        </w:rPr>
        <w:t xml:space="preserve"> </w:t>
      </w:r>
      <w:r w:rsidR="001163DE" w:rsidRPr="00FD211F">
        <w:rPr>
          <w:sz w:val="36"/>
          <w:szCs w:val="36"/>
          <w:rtl/>
        </w:rPr>
        <w:t>والشيخ</w:t>
      </w:r>
      <w:r w:rsidR="00E8128F">
        <w:rPr>
          <w:sz w:val="36"/>
          <w:szCs w:val="36"/>
          <w:rtl/>
        </w:rPr>
        <w:t xml:space="preserve"> </w:t>
      </w:r>
      <w:r w:rsidR="001163DE" w:rsidRPr="00FD211F">
        <w:rPr>
          <w:sz w:val="36"/>
          <w:szCs w:val="36"/>
          <w:rtl/>
        </w:rPr>
        <w:t>الطوسي</w:t>
      </w:r>
      <w:r w:rsidR="00E8128F">
        <w:rPr>
          <w:sz w:val="36"/>
          <w:szCs w:val="36"/>
          <w:rtl/>
        </w:rPr>
        <w:t xml:space="preserve"> </w:t>
      </w:r>
      <w:r w:rsidR="001F1BE3" w:rsidRPr="00FD211F">
        <w:rPr>
          <w:sz w:val="36"/>
          <w:szCs w:val="36"/>
          <w:rtl/>
        </w:rPr>
        <w:t>"ر</w:t>
      </w:r>
      <w:r w:rsidR="001163DE" w:rsidRPr="00FD211F">
        <w:rPr>
          <w:sz w:val="36"/>
          <w:szCs w:val="36"/>
          <w:rtl/>
        </w:rPr>
        <w:t>ه</w:t>
      </w:r>
      <w:r w:rsidR="00184411" w:rsidRPr="00FD211F">
        <w:rPr>
          <w:sz w:val="36"/>
          <w:szCs w:val="36"/>
          <w:rtl/>
        </w:rPr>
        <w:t>"</w:t>
      </w:r>
      <w:r w:rsidR="00E8128F">
        <w:rPr>
          <w:sz w:val="36"/>
          <w:szCs w:val="36"/>
          <w:rtl/>
        </w:rPr>
        <w:t xml:space="preserve"> </w:t>
      </w:r>
      <w:r w:rsidR="001163DE" w:rsidRPr="00FD211F">
        <w:rPr>
          <w:sz w:val="36"/>
          <w:szCs w:val="36"/>
          <w:rtl/>
        </w:rPr>
        <w:t>ان</w:t>
      </w:r>
      <w:r w:rsidR="00E8128F">
        <w:rPr>
          <w:sz w:val="36"/>
          <w:szCs w:val="36"/>
          <w:rtl/>
        </w:rPr>
        <w:t xml:space="preserve"> </w:t>
      </w:r>
      <w:r w:rsidR="001163DE" w:rsidRPr="00FD211F">
        <w:rPr>
          <w:sz w:val="36"/>
          <w:szCs w:val="36"/>
          <w:rtl/>
        </w:rPr>
        <w:t>موضوع</w:t>
      </w:r>
      <w:r w:rsidR="00E8128F">
        <w:rPr>
          <w:sz w:val="36"/>
          <w:szCs w:val="36"/>
          <w:rtl/>
        </w:rPr>
        <w:t xml:space="preserve"> </w:t>
      </w:r>
      <w:r w:rsidR="0044452A" w:rsidRPr="00FD211F">
        <w:rPr>
          <w:sz w:val="36"/>
          <w:szCs w:val="36"/>
          <w:rtl/>
        </w:rPr>
        <w:t>علم</w:t>
      </w:r>
      <w:r w:rsidR="00E8128F">
        <w:rPr>
          <w:sz w:val="36"/>
          <w:szCs w:val="36"/>
          <w:rtl/>
        </w:rPr>
        <w:t xml:space="preserve"> </w:t>
      </w:r>
      <w:r w:rsidR="001163DE" w:rsidRPr="00FD211F">
        <w:rPr>
          <w:sz w:val="36"/>
          <w:szCs w:val="36"/>
          <w:rtl/>
        </w:rPr>
        <w:t>الاصول</w:t>
      </w:r>
      <w:r w:rsidR="00E8128F">
        <w:rPr>
          <w:sz w:val="36"/>
          <w:szCs w:val="36"/>
          <w:rtl/>
        </w:rPr>
        <w:t xml:space="preserve"> </w:t>
      </w:r>
      <w:r w:rsidR="001163DE" w:rsidRPr="00FD211F">
        <w:rPr>
          <w:sz w:val="36"/>
          <w:szCs w:val="36"/>
          <w:rtl/>
        </w:rPr>
        <w:t>هو</w:t>
      </w:r>
      <w:r w:rsidR="00E8128F">
        <w:rPr>
          <w:sz w:val="36"/>
          <w:szCs w:val="36"/>
          <w:rtl/>
        </w:rPr>
        <w:t xml:space="preserve"> </w:t>
      </w:r>
      <w:r w:rsidR="001163DE" w:rsidRPr="00FD211F">
        <w:rPr>
          <w:sz w:val="36"/>
          <w:szCs w:val="36"/>
          <w:rtl/>
        </w:rPr>
        <w:t>الأدل</w:t>
      </w:r>
      <w:r w:rsidR="00EC7EDF" w:rsidRPr="00FD211F">
        <w:rPr>
          <w:sz w:val="36"/>
          <w:szCs w:val="36"/>
          <w:rtl/>
        </w:rPr>
        <w:t>ة</w:t>
      </w:r>
      <w:r w:rsidR="00E8128F">
        <w:rPr>
          <w:sz w:val="36"/>
          <w:szCs w:val="36"/>
          <w:rtl/>
        </w:rPr>
        <w:t xml:space="preserve"> </w:t>
      </w:r>
      <w:r w:rsidR="001163DE" w:rsidRPr="00FD211F">
        <w:rPr>
          <w:sz w:val="36"/>
          <w:szCs w:val="36"/>
          <w:rtl/>
        </w:rPr>
        <w:t>في</w:t>
      </w:r>
      <w:r w:rsidR="00E8128F">
        <w:rPr>
          <w:sz w:val="36"/>
          <w:szCs w:val="36"/>
          <w:rtl/>
        </w:rPr>
        <w:t xml:space="preserve"> </w:t>
      </w:r>
      <w:r w:rsidR="001163DE" w:rsidRPr="00FD211F">
        <w:rPr>
          <w:sz w:val="36"/>
          <w:szCs w:val="36"/>
          <w:rtl/>
        </w:rPr>
        <w:t>الفقه</w:t>
      </w:r>
      <w:r w:rsidR="00E8128F">
        <w:rPr>
          <w:sz w:val="36"/>
          <w:szCs w:val="36"/>
          <w:rtl/>
        </w:rPr>
        <w:t xml:space="preserve"> </w:t>
      </w:r>
      <w:r w:rsidR="001163DE" w:rsidRPr="00FD211F">
        <w:rPr>
          <w:sz w:val="36"/>
          <w:szCs w:val="36"/>
          <w:rtl/>
        </w:rPr>
        <w:t>باجمالها</w:t>
      </w:r>
      <w:r w:rsidR="009C58C8" w:rsidRPr="00FD211F">
        <w:rPr>
          <w:rStyle w:val="a6"/>
          <w:sz w:val="36"/>
          <w:szCs w:val="36"/>
          <w:rtl/>
        </w:rPr>
        <w:t>(</w:t>
      </w:r>
      <w:r w:rsidR="009C58C8" w:rsidRPr="00FD211F">
        <w:rPr>
          <w:rStyle w:val="a6"/>
          <w:sz w:val="36"/>
          <w:szCs w:val="36"/>
          <w:rtl/>
        </w:rPr>
        <w:footnoteReference w:id="49"/>
      </w:r>
      <w:r w:rsidR="009C58C8" w:rsidRPr="00FD211F">
        <w:rPr>
          <w:rStyle w:val="a6"/>
          <w:sz w:val="36"/>
          <w:szCs w:val="36"/>
          <w:rtl/>
        </w:rPr>
        <w:t>)</w:t>
      </w:r>
      <w:r w:rsidR="00603323" w:rsidRPr="00FD211F">
        <w:rPr>
          <w:sz w:val="36"/>
          <w:szCs w:val="36"/>
          <w:rtl/>
        </w:rPr>
        <w:t>،</w:t>
      </w:r>
      <w:r w:rsidR="00E8128F">
        <w:rPr>
          <w:sz w:val="36"/>
          <w:szCs w:val="36"/>
          <w:rtl/>
        </w:rPr>
        <w:t xml:space="preserve"> </w:t>
      </w:r>
      <w:r w:rsidR="001163DE" w:rsidRPr="00FD211F">
        <w:rPr>
          <w:sz w:val="36"/>
          <w:szCs w:val="36"/>
          <w:rtl/>
        </w:rPr>
        <w:t>فكان</w:t>
      </w:r>
      <w:r w:rsidR="00E8128F">
        <w:rPr>
          <w:sz w:val="36"/>
          <w:szCs w:val="36"/>
          <w:rtl/>
        </w:rPr>
        <w:t xml:space="preserve"> </w:t>
      </w:r>
      <w:r w:rsidR="001163DE" w:rsidRPr="00FD211F">
        <w:rPr>
          <w:sz w:val="36"/>
          <w:szCs w:val="36"/>
          <w:rtl/>
        </w:rPr>
        <w:t>الغرض</w:t>
      </w:r>
      <w:r w:rsidR="00E8128F">
        <w:rPr>
          <w:sz w:val="36"/>
          <w:szCs w:val="36"/>
          <w:rtl/>
        </w:rPr>
        <w:t xml:space="preserve"> </w:t>
      </w:r>
      <w:r w:rsidR="001163DE" w:rsidRPr="00FD211F">
        <w:rPr>
          <w:sz w:val="36"/>
          <w:szCs w:val="36"/>
          <w:rtl/>
        </w:rPr>
        <w:t>من</w:t>
      </w:r>
      <w:r w:rsidR="00E8128F">
        <w:rPr>
          <w:sz w:val="36"/>
          <w:szCs w:val="36"/>
          <w:rtl/>
        </w:rPr>
        <w:t xml:space="preserve"> </w:t>
      </w:r>
      <w:r w:rsidR="001163DE" w:rsidRPr="00FD211F">
        <w:rPr>
          <w:sz w:val="36"/>
          <w:szCs w:val="36"/>
          <w:rtl/>
        </w:rPr>
        <w:t>علم</w:t>
      </w:r>
      <w:r w:rsidR="00E8128F">
        <w:rPr>
          <w:sz w:val="36"/>
          <w:szCs w:val="36"/>
          <w:rtl/>
        </w:rPr>
        <w:t xml:space="preserve"> </w:t>
      </w:r>
      <w:r w:rsidR="001163DE" w:rsidRPr="00FD211F">
        <w:rPr>
          <w:sz w:val="36"/>
          <w:szCs w:val="36"/>
          <w:rtl/>
        </w:rPr>
        <w:t>الاصول</w:t>
      </w:r>
      <w:r w:rsidR="00E8128F">
        <w:rPr>
          <w:sz w:val="36"/>
          <w:szCs w:val="36"/>
          <w:rtl/>
        </w:rPr>
        <w:t xml:space="preserve"> </w:t>
      </w:r>
      <w:r w:rsidR="001163DE" w:rsidRPr="00FD211F">
        <w:rPr>
          <w:sz w:val="36"/>
          <w:szCs w:val="36"/>
          <w:rtl/>
        </w:rPr>
        <w:t>هو</w:t>
      </w:r>
      <w:r w:rsidR="00E8128F">
        <w:rPr>
          <w:sz w:val="36"/>
          <w:szCs w:val="36"/>
          <w:rtl/>
        </w:rPr>
        <w:t xml:space="preserve"> </w:t>
      </w:r>
      <w:r w:rsidR="001163DE" w:rsidRPr="00FD211F">
        <w:rPr>
          <w:sz w:val="36"/>
          <w:szCs w:val="36"/>
          <w:rtl/>
        </w:rPr>
        <w:t>تنقيح</w:t>
      </w:r>
      <w:r w:rsidR="00E8128F">
        <w:rPr>
          <w:sz w:val="36"/>
          <w:szCs w:val="36"/>
          <w:rtl/>
        </w:rPr>
        <w:t xml:space="preserve"> </w:t>
      </w:r>
      <w:r w:rsidR="001163DE" w:rsidRPr="00FD211F">
        <w:rPr>
          <w:sz w:val="36"/>
          <w:szCs w:val="36"/>
          <w:rtl/>
        </w:rPr>
        <w:t>مباني</w:t>
      </w:r>
      <w:r w:rsidR="00E8128F">
        <w:rPr>
          <w:sz w:val="36"/>
          <w:szCs w:val="36"/>
          <w:rtl/>
        </w:rPr>
        <w:t xml:space="preserve"> </w:t>
      </w:r>
      <w:r w:rsidR="001163DE" w:rsidRPr="00FD211F">
        <w:rPr>
          <w:sz w:val="36"/>
          <w:szCs w:val="36"/>
          <w:rtl/>
        </w:rPr>
        <w:t>الاستدلال</w:t>
      </w:r>
      <w:r w:rsidR="00E8128F">
        <w:rPr>
          <w:sz w:val="36"/>
          <w:szCs w:val="36"/>
          <w:rtl/>
        </w:rPr>
        <w:t xml:space="preserve"> </w:t>
      </w:r>
      <w:r w:rsidR="001163DE" w:rsidRPr="00FD211F">
        <w:rPr>
          <w:sz w:val="36"/>
          <w:szCs w:val="36"/>
          <w:rtl/>
        </w:rPr>
        <w:t>على</w:t>
      </w:r>
      <w:r w:rsidR="00E8128F">
        <w:rPr>
          <w:sz w:val="36"/>
          <w:szCs w:val="36"/>
          <w:rtl/>
        </w:rPr>
        <w:t xml:space="preserve"> </w:t>
      </w:r>
      <w:r w:rsidR="001163DE" w:rsidRPr="00FD211F">
        <w:rPr>
          <w:sz w:val="36"/>
          <w:szCs w:val="36"/>
          <w:rtl/>
        </w:rPr>
        <w:t>الحكم</w:t>
      </w:r>
      <w:r w:rsidR="00E8128F">
        <w:rPr>
          <w:sz w:val="36"/>
          <w:szCs w:val="36"/>
          <w:rtl/>
        </w:rPr>
        <w:t xml:space="preserve"> </w:t>
      </w:r>
      <w:r w:rsidR="001163DE" w:rsidRPr="00FD211F">
        <w:rPr>
          <w:sz w:val="36"/>
          <w:szCs w:val="36"/>
          <w:rtl/>
        </w:rPr>
        <w:t>الشرعي</w:t>
      </w:r>
      <w:r w:rsidR="00E8128F">
        <w:rPr>
          <w:sz w:val="36"/>
          <w:szCs w:val="36"/>
          <w:rtl/>
        </w:rPr>
        <w:t xml:space="preserve"> </w:t>
      </w:r>
      <w:r w:rsidR="001163DE" w:rsidRPr="00FD211F">
        <w:rPr>
          <w:sz w:val="36"/>
          <w:szCs w:val="36"/>
          <w:rtl/>
        </w:rPr>
        <w:t>الكلي</w:t>
      </w:r>
      <w:r w:rsidR="00603323" w:rsidRPr="00FD211F">
        <w:rPr>
          <w:sz w:val="36"/>
          <w:szCs w:val="36"/>
          <w:rtl/>
        </w:rPr>
        <w:t>،</w:t>
      </w:r>
      <w:r w:rsidR="00E8128F">
        <w:rPr>
          <w:sz w:val="36"/>
          <w:szCs w:val="36"/>
          <w:rtl/>
        </w:rPr>
        <w:t xml:space="preserve"> </w:t>
      </w:r>
      <w:r w:rsidR="001163DE" w:rsidRPr="00FD211F">
        <w:rPr>
          <w:sz w:val="36"/>
          <w:szCs w:val="36"/>
          <w:rtl/>
        </w:rPr>
        <w:t>ومن</w:t>
      </w:r>
      <w:r w:rsidR="00E8128F">
        <w:rPr>
          <w:sz w:val="36"/>
          <w:szCs w:val="36"/>
          <w:rtl/>
        </w:rPr>
        <w:t xml:space="preserve"> </w:t>
      </w:r>
      <w:r w:rsidR="001163DE" w:rsidRPr="00FD211F">
        <w:rPr>
          <w:sz w:val="36"/>
          <w:szCs w:val="36"/>
          <w:rtl/>
        </w:rPr>
        <w:t>ثم</w:t>
      </w:r>
      <w:r w:rsidR="00E8128F">
        <w:rPr>
          <w:sz w:val="36"/>
          <w:szCs w:val="36"/>
          <w:rtl/>
        </w:rPr>
        <w:t xml:space="preserve"> </w:t>
      </w:r>
      <w:r w:rsidR="001163DE" w:rsidRPr="00FD211F">
        <w:rPr>
          <w:sz w:val="36"/>
          <w:szCs w:val="36"/>
          <w:rtl/>
        </w:rPr>
        <w:t>نلتزم</w:t>
      </w:r>
      <w:r w:rsidR="00E8128F">
        <w:rPr>
          <w:sz w:val="36"/>
          <w:szCs w:val="36"/>
          <w:rtl/>
        </w:rPr>
        <w:t xml:space="preserve"> </w:t>
      </w:r>
      <w:r w:rsidR="001163DE" w:rsidRPr="00FD211F">
        <w:rPr>
          <w:sz w:val="36"/>
          <w:szCs w:val="36"/>
          <w:rtl/>
        </w:rPr>
        <w:t>بخروج</w:t>
      </w:r>
      <w:r w:rsidR="00E8128F">
        <w:rPr>
          <w:sz w:val="36"/>
          <w:szCs w:val="36"/>
          <w:rtl/>
        </w:rPr>
        <w:t xml:space="preserve"> </w:t>
      </w:r>
      <w:r w:rsidR="001163DE" w:rsidRPr="00FD211F">
        <w:rPr>
          <w:sz w:val="36"/>
          <w:szCs w:val="36"/>
          <w:rtl/>
        </w:rPr>
        <w:t>مباحث</w:t>
      </w:r>
      <w:r w:rsidR="00E8128F">
        <w:rPr>
          <w:sz w:val="36"/>
          <w:szCs w:val="36"/>
          <w:rtl/>
        </w:rPr>
        <w:t xml:space="preserve"> </w:t>
      </w:r>
      <w:r w:rsidR="001163DE" w:rsidRPr="00FD211F">
        <w:rPr>
          <w:sz w:val="36"/>
          <w:szCs w:val="36"/>
          <w:rtl/>
        </w:rPr>
        <w:t>الاجتهاد</w:t>
      </w:r>
      <w:r w:rsidR="00E8128F">
        <w:rPr>
          <w:sz w:val="36"/>
          <w:szCs w:val="36"/>
          <w:rtl/>
        </w:rPr>
        <w:t xml:space="preserve"> </w:t>
      </w:r>
      <w:r w:rsidR="001163DE" w:rsidRPr="00FD211F">
        <w:rPr>
          <w:sz w:val="36"/>
          <w:szCs w:val="36"/>
          <w:rtl/>
        </w:rPr>
        <w:t>والتقليد</w:t>
      </w:r>
      <w:r w:rsidR="00E8128F">
        <w:rPr>
          <w:sz w:val="36"/>
          <w:szCs w:val="36"/>
          <w:rtl/>
        </w:rPr>
        <w:t xml:space="preserve"> </w:t>
      </w:r>
      <w:r w:rsidR="001163DE" w:rsidRPr="00FD211F">
        <w:rPr>
          <w:sz w:val="36"/>
          <w:szCs w:val="36"/>
          <w:rtl/>
        </w:rPr>
        <w:t>عن</w:t>
      </w:r>
      <w:r w:rsidR="00E8128F">
        <w:rPr>
          <w:sz w:val="36"/>
          <w:szCs w:val="36"/>
          <w:rtl/>
        </w:rPr>
        <w:t xml:space="preserve"> </w:t>
      </w:r>
      <w:r w:rsidR="001163DE" w:rsidRPr="00FD211F">
        <w:rPr>
          <w:sz w:val="36"/>
          <w:szCs w:val="36"/>
          <w:rtl/>
        </w:rPr>
        <w:t>علم</w:t>
      </w:r>
      <w:r w:rsidR="00E8128F">
        <w:rPr>
          <w:sz w:val="36"/>
          <w:szCs w:val="36"/>
          <w:rtl/>
        </w:rPr>
        <w:t xml:space="preserve"> </w:t>
      </w:r>
      <w:r w:rsidR="001163DE" w:rsidRPr="00FD211F">
        <w:rPr>
          <w:sz w:val="36"/>
          <w:szCs w:val="36"/>
          <w:rtl/>
        </w:rPr>
        <w:t>الاصول</w:t>
      </w:r>
      <w:r w:rsidR="00603323" w:rsidRPr="00FD211F">
        <w:rPr>
          <w:sz w:val="36"/>
          <w:szCs w:val="36"/>
          <w:rtl/>
        </w:rPr>
        <w:t>،</w:t>
      </w:r>
      <w:r w:rsidR="00E8128F">
        <w:rPr>
          <w:sz w:val="36"/>
          <w:szCs w:val="36"/>
          <w:rtl/>
        </w:rPr>
        <w:t xml:space="preserve"> </w:t>
      </w:r>
      <w:r w:rsidR="001163DE" w:rsidRPr="00FD211F">
        <w:rPr>
          <w:sz w:val="36"/>
          <w:szCs w:val="36"/>
          <w:rtl/>
        </w:rPr>
        <w:t>لان</w:t>
      </w:r>
      <w:r w:rsidR="00E8128F">
        <w:rPr>
          <w:sz w:val="36"/>
          <w:szCs w:val="36"/>
          <w:rtl/>
        </w:rPr>
        <w:t xml:space="preserve"> </w:t>
      </w:r>
      <w:r w:rsidR="001163DE" w:rsidRPr="00FD211F">
        <w:rPr>
          <w:sz w:val="36"/>
          <w:szCs w:val="36"/>
          <w:rtl/>
        </w:rPr>
        <w:t>الغرض</w:t>
      </w:r>
      <w:r w:rsidR="00E8128F">
        <w:rPr>
          <w:sz w:val="36"/>
          <w:szCs w:val="36"/>
          <w:rtl/>
        </w:rPr>
        <w:t xml:space="preserve"> </w:t>
      </w:r>
      <w:r w:rsidR="001163DE" w:rsidRPr="00FD211F">
        <w:rPr>
          <w:sz w:val="36"/>
          <w:szCs w:val="36"/>
          <w:rtl/>
        </w:rPr>
        <w:t>من</w:t>
      </w:r>
      <w:r w:rsidR="00E8128F">
        <w:rPr>
          <w:sz w:val="36"/>
          <w:szCs w:val="36"/>
          <w:rtl/>
        </w:rPr>
        <w:t xml:space="preserve"> </w:t>
      </w:r>
      <w:r w:rsidR="001163DE" w:rsidRPr="00FD211F">
        <w:rPr>
          <w:sz w:val="36"/>
          <w:szCs w:val="36"/>
          <w:rtl/>
        </w:rPr>
        <w:t>علم</w:t>
      </w:r>
      <w:r w:rsidR="00E8128F">
        <w:rPr>
          <w:sz w:val="36"/>
          <w:szCs w:val="36"/>
          <w:rtl/>
        </w:rPr>
        <w:t xml:space="preserve"> </w:t>
      </w:r>
      <w:r w:rsidR="001163DE" w:rsidRPr="00FD211F">
        <w:rPr>
          <w:sz w:val="36"/>
          <w:szCs w:val="36"/>
          <w:rtl/>
        </w:rPr>
        <w:t>الاصول</w:t>
      </w:r>
      <w:r w:rsidR="00E8128F">
        <w:rPr>
          <w:sz w:val="36"/>
          <w:szCs w:val="36"/>
          <w:rtl/>
        </w:rPr>
        <w:t xml:space="preserve"> </w:t>
      </w:r>
      <w:r w:rsidR="001163DE" w:rsidRPr="00FD211F">
        <w:rPr>
          <w:sz w:val="36"/>
          <w:szCs w:val="36"/>
          <w:rtl/>
        </w:rPr>
        <w:t>ليس</w:t>
      </w:r>
      <w:r w:rsidR="00E8128F">
        <w:rPr>
          <w:sz w:val="36"/>
          <w:szCs w:val="36"/>
          <w:rtl/>
        </w:rPr>
        <w:t xml:space="preserve"> </w:t>
      </w:r>
      <w:r w:rsidR="001163DE" w:rsidRPr="00FD211F">
        <w:rPr>
          <w:sz w:val="36"/>
          <w:szCs w:val="36"/>
          <w:rtl/>
        </w:rPr>
        <w:t>مطلق</w:t>
      </w:r>
      <w:r w:rsidR="00E8128F">
        <w:rPr>
          <w:sz w:val="36"/>
          <w:szCs w:val="36"/>
          <w:rtl/>
        </w:rPr>
        <w:t xml:space="preserve"> </w:t>
      </w:r>
      <w:r w:rsidR="001163DE" w:rsidRPr="00FD211F">
        <w:rPr>
          <w:sz w:val="36"/>
          <w:szCs w:val="36"/>
          <w:rtl/>
        </w:rPr>
        <w:t>ما</w:t>
      </w:r>
      <w:r w:rsidR="00E8128F">
        <w:rPr>
          <w:sz w:val="36"/>
          <w:szCs w:val="36"/>
          <w:rtl/>
        </w:rPr>
        <w:t xml:space="preserve"> </w:t>
      </w:r>
      <w:r w:rsidR="001163DE" w:rsidRPr="00FD211F">
        <w:rPr>
          <w:sz w:val="36"/>
          <w:szCs w:val="36"/>
          <w:rtl/>
        </w:rPr>
        <w:t>يستكشف</w:t>
      </w:r>
      <w:r w:rsidR="00E8128F">
        <w:rPr>
          <w:sz w:val="36"/>
          <w:szCs w:val="36"/>
          <w:rtl/>
        </w:rPr>
        <w:t xml:space="preserve"> </w:t>
      </w:r>
      <w:r w:rsidR="001163DE" w:rsidRPr="00FD211F">
        <w:rPr>
          <w:sz w:val="36"/>
          <w:szCs w:val="36"/>
          <w:rtl/>
        </w:rPr>
        <w:t>به</w:t>
      </w:r>
      <w:r w:rsidR="00E8128F">
        <w:rPr>
          <w:sz w:val="36"/>
          <w:szCs w:val="36"/>
          <w:rtl/>
        </w:rPr>
        <w:t xml:space="preserve"> </w:t>
      </w:r>
      <w:r w:rsidR="001163DE" w:rsidRPr="00FD211F">
        <w:rPr>
          <w:sz w:val="36"/>
          <w:szCs w:val="36"/>
          <w:rtl/>
        </w:rPr>
        <w:t>حال</w:t>
      </w:r>
      <w:r w:rsidR="00E8128F">
        <w:rPr>
          <w:sz w:val="36"/>
          <w:szCs w:val="36"/>
          <w:rtl/>
        </w:rPr>
        <w:t xml:space="preserve"> </w:t>
      </w:r>
      <w:r w:rsidR="001163DE" w:rsidRPr="00FD211F">
        <w:rPr>
          <w:sz w:val="36"/>
          <w:szCs w:val="36"/>
          <w:rtl/>
        </w:rPr>
        <w:t>الحكم</w:t>
      </w:r>
      <w:r w:rsidR="00E8128F">
        <w:rPr>
          <w:sz w:val="36"/>
          <w:szCs w:val="36"/>
          <w:rtl/>
        </w:rPr>
        <w:t xml:space="preserve"> </w:t>
      </w:r>
      <w:r w:rsidR="001163DE" w:rsidRPr="00FD211F">
        <w:rPr>
          <w:sz w:val="36"/>
          <w:szCs w:val="36"/>
          <w:rtl/>
        </w:rPr>
        <w:t>الشرعي</w:t>
      </w:r>
      <w:r w:rsidR="00E8128F">
        <w:rPr>
          <w:sz w:val="36"/>
          <w:szCs w:val="36"/>
          <w:rtl/>
        </w:rPr>
        <w:t xml:space="preserve"> </w:t>
      </w:r>
      <w:r w:rsidR="001163DE" w:rsidRPr="00FD211F">
        <w:rPr>
          <w:sz w:val="36"/>
          <w:szCs w:val="36"/>
          <w:rtl/>
        </w:rPr>
        <w:t>الكلي</w:t>
      </w:r>
      <w:r w:rsidR="00E8128F">
        <w:rPr>
          <w:sz w:val="36"/>
          <w:szCs w:val="36"/>
          <w:rtl/>
        </w:rPr>
        <w:t xml:space="preserve"> </w:t>
      </w:r>
      <w:r w:rsidR="001163DE" w:rsidRPr="00FD211F">
        <w:rPr>
          <w:sz w:val="36"/>
          <w:szCs w:val="36"/>
          <w:rtl/>
        </w:rPr>
        <w:t>ايضا</w:t>
      </w:r>
      <w:r w:rsidR="00603323" w:rsidRPr="00FD211F">
        <w:rPr>
          <w:sz w:val="36"/>
          <w:szCs w:val="36"/>
          <w:rtl/>
        </w:rPr>
        <w:t>،</w:t>
      </w:r>
      <w:r w:rsidR="00E8128F">
        <w:rPr>
          <w:sz w:val="36"/>
          <w:szCs w:val="36"/>
          <w:rtl/>
        </w:rPr>
        <w:t xml:space="preserve"> </w:t>
      </w:r>
      <w:r w:rsidR="001163DE" w:rsidRPr="00FD211F">
        <w:rPr>
          <w:sz w:val="36"/>
          <w:szCs w:val="36"/>
          <w:rtl/>
        </w:rPr>
        <w:t>بل</w:t>
      </w:r>
      <w:r w:rsidR="00E8128F">
        <w:rPr>
          <w:sz w:val="36"/>
          <w:szCs w:val="36"/>
          <w:rtl/>
        </w:rPr>
        <w:t xml:space="preserve"> </w:t>
      </w:r>
      <w:r w:rsidR="001163DE" w:rsidRPr="00FD211F">
        <w:rPr>
          <w:sz w:val="36"/>
          <w:szCs w:val="36"/>
          <w:rtl/>
        </w:rPr>
        <w:t>ما</w:t>
      </w:r>
      <w:r w:rsidR="00E8128F">
        <w:rPr>
          <w:sz w:val="36"/>
          <w:szCs w:val="36"/>
          <w:rtl/>
        </w:rPr>
        <w:t xml:space="preserve"> </w:t>
      </w:r>
      <w:r w:rsidR="001163DE" w:rsidRPr="00FD211F">
        <w:rPr>
          <w:sz w:val="36"/>
          <w:szCs w:val="36"/>
          <w:rtl/>
        </w:rPr>
        <w:t>يقع</w:t>
      </w:r>
      <w:r w:rsidR="00E8128F">
        <w:rPr>
          <w:sz w:val="36"/>
          <w:szCs w:val="36"/>
          <w:rtl/>
        </w:rPr>
        <w:t xml:space="preserve"> </w:t>
      </w:r>
      <w:r w:rsidR="001163DE" w:rsidRPr="00FD211F">
        <w:rPr>
          <w:sz w:val="36"/>
          <w:szCs w:val="36"/>
          <w:rtl/>
        </w:rPr>
        <w:t>في</w:t>
      </w:r>
      <w:r w:rsidR="00E8128F">
        <w:rPr>
          <w:sz w:val="36"/>
          <w:szCs w:val="36"/>
          <w:rtl/>
        </w:rPr>
        <w:t xml:space="preserve"> </w:t>
      </w:r>
      <w:r w:rsidR="001163DE" w:rsidRPr="00FD211F">
        <w:rPr>
          <w:sz w:val="36"/>
          <w:szCs w:val="36"/>
          <w:rtl/>
        </w:rPr>
        <w:lastRenderedPageBreak/>
        <w:t>طريق</w:t>
      </w:r>
      <w:r w:rsidR="00E8128F">
        <w:rPr>
          <w:sz w:val="36"/>
          <w:szCs w:val="36"/>
          <w:rtl/>
        </w:rPr>
        <w:t xml:space="preserve"> </w:t>
      </w:r>
      <w:r w:rsidR="001163DE" w:rsidRPr="00FD211F">
        <w:rPr>
          <w:sz w:val="36"/>
          <w:szCs w:val="36"/>
          <w:rtl/>
        </w:rPr>
        <w:t>استدلال</w:t>
      </w:r>
      <w:r w:rsidR="00E8128F">
        <w:rPr>
          <w:sz w:val="36"/>
          <w:szCs w:val="36"/>
          <w:rtl/>
        </w:rPr>
        <w:t xml:space="preserve"> </w:t>
      </w:r>
      <w:r w:rsidR="001163DE" w:rsidRPr="00FD211F">
        <w:rPr>
          <w:sz w:val="36"/>
          <w:szCs w:val="36"/>
          <w:rtl/>
        </w:rPr>
        <w:t>الفقيه</w:t>
      </w:r>
      <w:r w:rsidR="00E8128F">
        <w:rPr>
          <w:sz w:val="36"/>
          <w:szCs w:val="36"/>
          <w:rtl/>
        </w:rPr>
        <w:t xml:space="preserve"> </w:t>
      </w:r>
      <w:r w:rsidR="001163DE" w:rsidRPr="00FD211F">
        <w:rPr>
          <w:sz w:val="36"/>
          <w:szCs w:val="36"/>
          <w:rtl/>
        </w:rPr>
        <w:t>واستنباطه.</w:t>
      </w:r>
    </w:p>
    <w:p w14:paraId="2D59308E" w14:textId="77777777" w:rsidR="00B96257" w:rsidRPr="00FD211F" w:rsidRDefault="002E0F9E" w:rsidP="009C58C8">
      <w:pPr>
        <w:ind w:left="0" w:firstLine="227"/>
        <w:jc w:val="both"/>
        <w:rPr>
          <w:sz w:val="36"/>
          <w:szCs w:val="36"/>
          <w:rtl/>
        </w:rPr>
      </w:pPr>
      <w:r w:rsidRPr="00FD211F">
        <w:rPr>
          <w:b/>
          <w:bCs/>
          <w:sz w:val="36"/>
          <w:szCs w:val="36"/>
          <w:rtl/>
        </w:rPr>
        <w:t>المحاول</w:t>
      </w:r>
      <w:r w:rsidR="00EC7EDF" w:rsidRPr="00FD211F">
        <w:rPr>
          <w:b/>
          <w:bCs/>
          <w:sz w:val="36"/>
          <w:szCs w:val="36"/>
          <w:rtl/>
        </w:rPr>
        <w:t>ة</w:t>
      </w:r>
      <w:r w:rsidR="00E8128F">
        <w:rPr>
          <w:b/>
          <w:bCs/>
          <w:sz w:val="36"/>
          <w:szCs w:val="36"/>
          <w:rtl/>
        </w:rPr>
        <w:t xml:space="preserve"> </w:t>
      </w:r>
      <w:r w:rsidRPr="00FD211F">
        <w:rPr>
          <w:b/>
          <w:bCs/>
          <w:sz w:val="36"/>
          <w:szCs w:val="36"/>
          <w:rtl/>
        </w:rPr>
        <w:t>السادس</w:t>
      </w:r>
      <w:r w:rsidR="00EC7EDF" w:rsidRPr="00FD211F">
        <w:rPr>
          <w:b/>
          <w:bCs/>
          <w:sz w:val="36"/>
          <w:szCs w:val="36"/>
          <w:rtl/>
        </w:rPr>
        <w:t>ة</w:t>
      </w:r>
      <w:r w:rsidR="00057D31" w:rsidRPr="00FD211F">
        <w:rPr>
          <w:b/>
          <w:bCs/>
          <w:sz w:val="36"/>
          <w:szCs w:val="36"/>
          <w:rtl/>
        </w:rPr>
        <w:t>:</w:t>
      </w:r>
      <w:r w:rsidR="00E8128F">
        <w:rPr>
          <w:b/>
          <w:bCs/>
          <w:sz w:val="36"/>
          <w:szCs w:val="36"/>
          <w:rtl/>
        </w:rPr>
        <w:t xml:space="preserve"> </w:t>
      </w:r>
      <w:r w:rsidR="001163DE" w:rsidRPr="00FD211F">
        <w:rPr>
          <w:sz w:val="36"/>
          <w:szCs w:val="36"/>
          <w:rtl/>
        </w:rPr>
        <w:t>م</w:t>
      </w:r>
      <w:r w:rsidR="00184411" w:rsidRPr="00FD211F">
        <w:rPr>
          <w:sz w:val="36"/>
          <w:szCs w:val="36"/>
          <w:rtl/>
        </w:rPr>
        <w:t>ا</w:t>
      </w:r>
      <w:r w:rsidR="00E8128F">
        <w:rPr>
          <w:sz w:val="36"/>
          <w:szCs w:val="36"/>
          <w:rtl/>
        </w:rPr>
        <w:t xml:space="preserve"> </w:t>
      </w:r>
      <w:r w:rsidR="00184411" w:rsidRPr="00FD211F">
        <w:rPr>
          <w:sz w:val="36"/>
          <w:szCs w:val="36"/>
          <w:rtl/>
        </w:rPr>
        <w:t>ذكره</w:t>
      </w:r>
      <w:r w:rsidR="00E8128F">
        <w:rPr>
          <w:sz w:val="36"/>
          <w:szCs w:val="36"/>
          <w:rtl/>
        </w:rPr>
        <w:t xml:space="preserve"> </w:t>
      </w:r>
      <w:r w:rsidR="00184411" w:rsidRPr="00FD211F">
        <w:rPr>
          <w:sz w:val="36"/>
          <w:szCs w:val="36"/>
          <w:rtl/>
        </w:rPr>
        <w:t>في</w:t>
      </w:r>
      <w:r w:rsidR="00E8128F">
        <w:rPr>
          <w:sz w:val="36"/>
          <w:szCs w:val="36"/>
          <w:rtl/>
        </w:rPr>
        <w:t xml:space="preserve"> </w:t>
      </w:r>
      <w:r w:rsidR="00184411" w:rsidRPr="00FD211F">
        <w:rPr>
          <w:sz w:val="36"/>
          <w:szCs w:val="36"/>
          <w:rtl/>
        </w:rPr>
        <w:t>البحوث</w:t>
      </w:r>
      <w:r w:rsidR="00E8128F">
        <w:rPr>
          <w:sz w:val="36"/>
          <w:szCs w:val="36"/>
          <w:rtl/>
        </w:rPr>
        <w:t xml:space="preserve"> </w:t>
      </w:r>
      <w:r w:rsidR="001163DE" w:rsidRPr="00FD211F">
        <w:rPr>
          <w:sz w:val="36"/>
          <w:szCs w:val="36"/>
          <w:rtl/>
        </w:rPr>
        <w:t>من</w:t>
      </w:r>
      <w:r w:rsidR="00E8128F">
        <w:rPr>
          <w:sz w:val="36"/>
          <w:szCs w:val="36"/>
          <w:rtl/>
        </w:rPr>
        <w:t xml:space="preserve"> </w:t>
      </w:r>
      <w:r w:rsidR="001163DE" w:rsidRPr="00FD211F">
        <w:rPr>
          <w:sz w:val="36"/>
          <w:szCs w:val="36"/>
          <w:rtl/>
        </w:rPr>
        <w:t>ان</w:t>
      </w:r>
      <w:r w:rsidR="00B96257" w:rsidRPr="00FD211F">
        <w:rPr>
          <w:sz w:val="36"/>
          <w:szCs w:val="36"/>
          <w:rtl/>
        </w:rPr>
        <w:t>ه</w:t>
      </w:r>
      <w:r w:rsidR="00E8128F">
        <w:rPr>
          <w:sz w:val="36"/>
          <w:szCs w:val="36"/>
          <w:rtl/>
        </w:rPr>
        <w:t xml:space="preserve"> </w:t>
      </w:r>
      <w:r w:rsidR="00B96257" w:rsidRPr="00FD211F">
        <w:rPr>
          <w:sz w:val="36"/>
          <w:szCs w:val="36"/>
          <w:rtl/>
        </w:rPr>
        <w:t>يلزم</w:t>
      </w:r>
      <w:r w:rsidR="00E8128F">
        <w:rPr>
          <w:sz w:val="36"/>
          <w:szCs w:val="36"/>
          <w:rtl/>
        </w:rPr>
        <w:t xml:space="preserve"> </w:t>
      </w:r>
      <w:r w:rsidR="00B96257" w:rsidRPr="00FD211F">
        <w:rPr>
          <w:sz w:val="36"/>
          <w:szCs w:val="36"/>
          <w:rtl/>
        </w:rPr>
        <w:t>ان</w:t>
      </w:r>
      <w:r w:rsidR="00E8128F">
        <w:rPr>
          <w:sz w:val="36"/>
          <w:szCs w:val="36"/>
          <w:rtl/>
        </w:rPr>
        <w:t xml:space="preserve"> </w:t>
      </w:r>
      <w:r w:rsidR="00B96257" w:rsidRPr="00FD211F">
        <w:rPr>
          <w:sz w:val="36"/>
          <w:szCs w:val="36"/>
          <w:rtl/>
        </w:rPr>
        <w:t>تكون</w:t>
      </w:r>
      <w:r w:rsidR="00E8128F">
        <w:rPr>
          <w:sz w:val="36"/>
          <w:szCs w:val="36"/>
          <w:rtl/>
        </w:rPr>
        <w:t xml:space="preserve"> </w:t>
      </w:r>
      <w:r w:rsidR="00B96257" w:rsidRPr="00FD211F">
        <w:rPr>
          <w:sz w:val="36"/>
          <w:szCs w:val="36"/>
          <w:rtl/>
        </w:rPr>
        <w:t>للقاعد</w:t>
      </w:r>
      <w:r w:rsidR="00EC7EDF" w:rsidRPr="00FD211F">
        <w:rPr>
          <w:sz w:val="36"/>
          <w:szCs w:val="36"/>
          <w:rtl/>
        </w:rPr>
        <w:t>ة</w:t>
      </w:r>
      <w:r w:rsidR="00E8128F">
        <w:rPr>
          <w:sz w:val="36"/>
          <w:szCs w:val="36"/>
          <w:rtl/>
        </w:rPr>
        <w:t xml:space="preserve"> </w:t>
      </w:r>
      <w:r w:rsidR="004F3632" w:rsidRPr="00FD211F">
        <w:rPr>
          <w:sz w:val="36"/>
          <w:szCs w:val="36"/>
          <w:rtl/>
        </w:rPr>
        <w:t>خمس</w:t>
      </w:r>
      <w:r w:rsidR="00E8128F">
        <w:rPr>
          <w:sz w:val="36"/>
          <w:szCs w:val="36"/>
          <w:rtl/>
        </w:rPr>
        <w:t xml:space="preserve"> </w:t>
      </w:r>
      <w:r w:rsidR="00B96257" w:rsidRPr="00FD211F">
        <w:rPr>
          <w:sz w:val="36"/>
          <w:szCs w:val="36"/>
          <w:rtl/>
        </w:rPr>
        <w:t>خصوصيات</w:t>
      </w:r>
      <w:r w:rsidR="00E8128F">
        <w:rPr>
          <w:sz w:val="36"/>
          <w:szCs w:val="36"/>
          <w:rtl/>
        </w:rPr>
        <w:t xml:space="preserve"> </w:t>
      </w:r>
      <w:r w:rsidR="00B96257" w:rsidRPr="00FD211F">
        <w:rPr>
          <w:sz w:val="36"/>
          <w:szCs w:val="36"/>
          <w:rtl/>
        </w:rPr>
        <w:t>كي</w:t>
      </w:r>
      <w:r w:rsidR="00E8128F">
        <w:rPr>
          <w:sz w:val="36"/>
          <w:szCs w:val="36"/>
          <w:rtl/>
        </w:rPr>
        <w:t xml:space="preserve"> </w:t>
      </w:r>
      <w:r w:rsidR="00B96257" w:rsidRPr="00FD211F">
        <w:rPr>
          <w:sz w:val="36"/>
          <w:szCs w:val="36"/>
          <w:rtl/>
        </w:rPr>
        <w:t>تصير</w:t>
      </w:r>
      <w:r w:rsidR="00E8128F">
        <w:rPr>
          <w:sz w:val="36"/>
          <w:szCs w:val="36"/>
          <w:rtl/>
        </w:rPr>
        <w:t xml:space="preserve"> </w:t>
      </w:r>
      <w:r w:rsidR="00B96257" w:rsidRPr="00FD211F">
        <w:rPr>
          <w:sz w:val="36"/>
          <w:szCs w:val="36"/>
          <w:rtl/>
        </w:rPr>
        <w:t>بذلك</w:t>
      </w:r>
      <w:r w:rsidR="00E8128F">
        <w:rPr>
          <w:sz w:val="36"/>
          <w:szCs w:val="36"/>
          <w:rtl/>
        </w:rPr>
        <w:t xml:space="preserve"> </w:t>
      </w:r>
      <w:r w:rsidR="00B96257" w:rsidRPr="00FD211F">
        <w:rPr>
          <w:sz w:val="36"/>
          <w:szCs w:val="36"/>
          <w:rtl/>
        </w:rPr>
        <w:t>قاعد</w:t>
      </w:r>
      <w:r w:rsidR="00EC7EDF" w:rsidRPr="00FD211F">
        <w:rPr>
          <w:sz w:val="36"/>
          <w:szCs w:val="36"/>
          <w:rtl/>
        </w:rPr>
        <w:t>ة</w:t>
      </w:r>
      <w:r w:rsidR="00E8128F">
        <w:rPr>
          <w:sz w:val="36"/>
          <w:szCs w:val="36"/>
          <w:rtl/>
        </w:rPr>
        <w:t xml:space="preserve"> </w:t>
      </w:r>
      <w:r w:rsidR="00B96257" w:rsidRPr="00FD211F">
        <w:rPr>
          <w:sz w:val="36"/>
          <w:szCs w:val="36"/>
          <w:rtl/>
        </w:rPr>
        <w:t>اصولي</w:t>
      </w:r>
      <w:r w:rsidR="00EC7EDF" w:rsidRPr="00FD211F">
        <w:rPr>
          <w:sz w:val="36"/>
          <w:szCs w:val="36"/>
          <w:rtl/>
        </w:rPr>
        <w:t>ة</w:t>
      </w:r>
      <w:r w:rsidR="00E8128F">
        <w:rPr>
          <w:sz w:val="36"/>
          <w:szCs w:val="36"/>
          <w:rtl/>
        </w:rPr>
        <w:t xml:space="preserve"> </w:t>
      </w:r>
      <w:r w:rsidR="00B96257" w:rsidRPr="00FD211F">
        <w:rPr>
          <w:sz w:val="36"/>
          <w:szCs w:val="36"/>
          <w:rtl/>
        </w:rPr>
        <w:t>وتتميز</w:t>
      </w:r>
      <w:r w:rsidR="00E8128F">
        <w:rPr>
          <w:sz w:val="36"/>
          <w:szCs w:val="36"/>
          <w:rtl/>
        </w:rPr>
        <w:t xml:space="preserve"> </w:t>
      </w:r>
      <w:r w:rsidR="00B96257" w:rsidRPr="00FD211F">
        <w:rPr>
          <w:sz w:val="36"/>
          <w:szCs w:val="36"/>
          <w:rtl/>
        </w:rPr>
        <w:t>عن</w:t>
      </w:r>
      <w:r w:rsidR="00E8128F">
        <w:rPr>
          <w:sz w:val="36"/>
          <w:szCs w:val="36"/>
          <w:rtl/>
        </w:rPr>
        <w:t xml:space="preserve"> </w:t>
      </w:r>
      <w:r w:rsidR="00B96257" w:rsidRPr="00FD211F">
        <w:rPr>
          <w:sz w:val="36"/>
          <w:szCs w:val="36"/>
          <w:rtl/>
        </w:rPr>
        <w:t>القاعد</w:t>
      </w:r>
      <w:r w:rsidR="00EC7EDF" w:rsidRPr="00FD211F">
        <w:rPr>
          <w:sz w:val="36"/>
          <w:szCs w:val="36"/>
          <w:rtl/>
        </w:rPr>
        <w:t>ة</w:t>
      </w:r>
      <w:r w:rsidR="00E8128F">
        <w:rPr>
          <w:sz w:val="36"/>
          <w:szCs w:val="36"/>
          <w:rtl/>
        </w:rPr>
        <w:t xml:space="preserve"> </w:t>
      </w:r>
      <w:r w:rsidR="00B96257" w:rsidRPr="00FD211F">
        <w:rPr>
          <w:sz w:val="36"/>
          <w:szCs w:val="36"/>
          <w:rtl/>
        </w:rPr>
        <w:t>الفقهي</w:t>
      </w:r>
      <w:r w:rsidR="00EC7EDF" w:rsidRPr="00FD211F">
        <w:rPr>
          <w:sz w:val="36"/>
          <w:szCs w:val="36"/>
          <w:rtl/>
        </w:rPr>
        <w:t>ة</w:t>
      </w:r>
      <w:r w:rsidR="00057D31" w:rsidRPr="00FD211F">
        <w:rPr>
          <w:sz w:val="36"/>
          <w:szCs w:val="36"/>
          <w:rtl/>
        </w:rPr>
        <w:t>:</w:t>
      </w:r>
    </w:p>
    <w:p w14:paraId="51A8813D" w14:textId="77777777" w:rsidR="004F3632" w:rsidRPr="00FD211F" w:rsidRDefault="004F3632" w:rsidP="009C58C8">
      <w:pPr>
        <w:ind w:left="0" w:firstLine="227"/>
        <w:jc w:val="both"/>
        <w:rPr>
          <w:sz w:val="36"/>
          <w:szCs w:val="36"/>
          <w:rtl/>
        </w:rPr>
      </w:pPr>
      <w:r w:rsidRPr="00FD211F">
        <w:rPr>
          <w:sz w:val="36"/>
          <w:szCs w:val="36"/>
          <w:rtl/>
        </w:rPr>
        <w:t>1-</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مر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لزوم</w:t>
      </w:r>
      <w:r w:rsidR="00E8128F">
        <w:rPr>
          <w:sz w:val="36"/>
          <w:szCs w:val="36"/>
          <w:rtl/>
        </w:rPr>
        <w:t xml:space="preserve"> </w:t>
      </w:r>
      <w:r w:rsidRPr="00FD211F">
        <w:rPr>
          <w:sz w:val="36"/>
          <w:szCs w:val="36"/>
          <w:rtl/>
        </w:rPr>
        <w:t>كونها</w:t>
      </w:r>
      <w:r w:rsidR="00E8128F">
        <w:rPr>
          <w:sz w:val="36"/>
          <w:szCs w:val="36"/>
          <w:rtl/>
        </w:rPr>
        <w:t xml:space="preserve"> </w:t>
      </w:r>
      <w:r w:rsidRPr="00FD211F">
        <w:rPr>
          <w:sz w:val="36"/>
          <w:szCs w:val="36"/>
          <w:rtl/>
        </w:rPr>
        <w:t>خاص</w:t>
      </w:r>
      <w:r w:rsidR="00EC7EDF" w:rsidRPr="00FD211F">
        <w:rPr>
          <w:sz w:val="36"/>
          <w:szCs w:val="36"/>
          <w:rtl/>
        </w:rPr>
        <w:t>ة</w:t>
      </w:r>
      <w:r w:rsidR="00E8128F">
        <w:rPr>
          <w:sz w:val="36"/>
          <w:szCs w:val="36"/>
          <w:rtl/>
        </w:rPr>
        <w:t xml:space="preserve"> </w:t>
      </w:r>
      <w:r w:rsidRPr="00FD211F">
        <w:rPr>
          <w:sz w:val="36"/>
          <w:szCs w:val="36"/>
          <w:rtl/>
        </w:rPr>
        <w:t>بالاستدلال</w:t>
      </w:r>
      <w:r w:rsidR="00E8128F">
        <w:rPr>
          <w:sz w:val="36"/>
          <w:szCs w:val="36"/>
          <w:rtl/>
        </w:rPr>
        <w:t xml:space="preserve"> </w:t>
      </w:r>
      <w:r w:rsidRPr="00FD211F">
        <w:rPr>
          <w:sz w:val="36"/>
          <w:szCs w:val="36"/>
          <w:rtl/>
        </w:rPr>
        <w:t>الفقهي</w:t>
      </w:r>
      <w:r w:rsidR="00603323" w:rsidRPr="00FD211F">
        <w:rPr>
          <w:sz w:val="36"/>
          <w:szCs w:val="36"/>
          <w:rtl/>
        </w:rPr>
        <w:t>،</w:t>
      </w:r>
      <w:r w:rsidR="00E8128F">
        <w:rPr>
          <w:sz w:val="36"/>
          <w:szCs w:val="36"/>
          <w:rtl/>
        </w:rPr>
        <w:t xml:space="preserve"> </w:t>
      </w:r>
      <w:r w:rsidRPr="00FD211F">
        <w:rPr>
          <w:sz w:val="36"/>
          <w:szCs w:val="36"/>
          <w:rtl/>
        </w:rPr>
        <w:t>فمسائل</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المنطق</w:t>
      </w:r>
      <w:r w:rsidR="00E8128F">
        <w:rPr>
          <w:sz w:val="36"/>
          <w:szCs w:val="36"/>
          <w:rtl/>
        </w:rPr>
        <w:t xml:space="preserve"> </w:t>
      </w:r>
      <w:r w:rsidRPr="00FD211F">
        <w:rPr>
          <w:sz w:val="36"/>
          <w:szCs w:val="36"/>
          <w:rtl/>
        </w:rPr>
        <w:t>ليست</w:t>
      </w:r>
      <w:r w:rsidR="00E8128F">
        <w:rPr>
          <w:sz w:val="36"/>
          <w:szCs w:val="36"/>
          <w:rtl/>
        </w:rPr>
        <w:t xml:space="preserve"> </w:t>
      </w:r>
      <w:r w:rsidRPr="00FD211F">
        <w:rPr>
          <w:sz w:val="36"/>
          <w:szCs w:val="36"/>
          <w:rtl/>
        </w:rPr>
        <w:t>قاعد</w:t>
      </w:r>
      <w:r w:rsidR="00EC7EDF" w:rsidRPr="00FD211F">
        <w:rPr>
          <w:sz w:val="36"/>
          <w:szCs w:val="36"/>
          <w:rtl/>
        </w:rPr>
        <w:t>ة</w:t>
      </w:r>
      <w:r w:rsidR="00E8128F">
        <w:rPr>
          <w:sz w:val="36"/>
          <w:szCs w:val="36"/>
          <w:rtl/>
        </w:rPr>
        <w:t xml:space="preserve"> </w:t>
      </w:r>
      <w:r w:rsidRPr="00FD211F">
        <w:rPr>
          <w:sz w:val="36"/>
          <w:szCs w:val="36"/>
          <w:rtl/>
        </w:rPr>
        <w:t>اصولي</w:t>
      </w:r>
      <w:r w:rsidR="00EC7EDF" w:rsidRPr="00FD211F">
        <w:rPr>
          <w:sz w:val="36"/>
          <w:szCs w:val="36"/>
          <w:rtl/>
        </w:rPr>
        <w:t>ة</w:t>
      </w:r>
      <w:r w:rsidR="00E8128F">
        <w:rPr>
          <w:sz w:val="36"/>
          <w:szCs w:val="36"/>
          <w:rtl/>
        </w:rPr>
        <w:t xml:space="preserve"> </w:t>
      </w:r>
      <w:r w:rsidRPr="00FD211F">
        <w:rPr>
          <w:sz w:val="36"/>
          <w:szCs w:val="36"/>
          <w:rtl/>
        </w:rPr>
        <w:t>لكونها</w:t>
      </w:r>
      <w:r w:rsidR="00E8128F">
        <w:rPr>
          <w:sz w:val="36"/>
          <w:szCs w:val="36"/>
          <w:rtl/>
        </w:rPr>
        <w:t xml:space="preserve"> </w:t>
      </w:r>
      <w:r w:rsidRPr="00FD211F">
        <w:rPr>
          <w:sz w:val="36"/>
          <w:szCs w:val="36"/>
          <w:rtl/>
        </w:rPr>
        <w:t>قواعد</w:t>
      </w:r>
      <w:r w:rsidR="00E8128F">
        <w:rPr>
          <w:sz w:val="36"/>
          <w:szCs w:val="36"/>
          <w:rtl/>
        </w:rPr>
        <w:t xml:space="preserve"> </w:t>
      </w:r>
      <w:r w:rsidRPr="00FD211F">
        <w:rPr>
          <w:sz w:val="36"/>
          <w:szCs w:val="36"/>
          <w:rtl/>
        </w:rPr>
        <w:t>الاستدلال</w:t>
      </w:r>
      <w:r w:rsidR="00E8128F">
        <w:rPr>
          <w:sz w:val="36"/>
          <w:szCs w:val="36"/>
          <w:rtl/>
        </w:rPr>
        <w:t xml:space="preserve"> </w:t>
      </w:r>
      <w:r w:rsidRPr="00FD211F">
        <w:rPr>
          <w:sz w:val="36"/>
          <w:szCs w:val="36"/>
          <w:rtl/>
        </w:rPr>
        <w:t>بشكل</w:t>
      </w:r>
      <w:r w:rsidR="00E8128F">
        <w:rPr>
          <w:sz w:val="36"/>
          <w:szCs w:val="36"/>
          <w:rtl/>
        </w:rPr>
        <w:t xml:space="preserve"> </w:t>
      </w:r>
      <w:r w:rsidRPr="00FD211F">
        <w:rPr>
          <w:sz w:val="36"/>
          <w:szCs w:val="36"/>
          <w:rtl/>
        </w:rPr>
        <w:t>عام</w:t>
      </w:r>
      <w:r w:rsidR="00603323" w:rsidRPr="00FD211F">
        <w:rPr>
          <w:sz w:val="36"/>
          <w:szCs w:val="36"/>
          <w:rtl/>
        </w:rPr>
        <w:t>،</w:t>
      </w:r>
      <w:r w:rsidR="00E8128F">
        <w:rPr>
          <w:sz w:val="36"/>
          <w:szCs w:val="36"/>
          <w:rtl/>
        </w:rPr>
        <w:t xml:space="preserve"> </w:t>
      </w:r>
      <w:r w:rsidRPr="00FD211F">
        <w:rPr>
          <w:sz w:val="36"/>
          <w:szCs w:val="36"/>
          <w:rtl/>
        </w:rPr>
        <w:t>ولاتختص</w:t>
      </w:r>
      <w:r w:rsidR="00E8128F">
        <w:rPr>
          <w:sz w:val="36"/>
          <w:szCs w:val="36"/>
          <w:rtl/>
        </w:rPr>
        <w:t xml:space="preserve"> </w:t>
      </w:r>
      <w:r w:rsidRPr="00FD211F">
        <w:rPr>
          <w:sz w:val="36"/>
          <w:szCs w:val="36"/>
          <w:rtl/>
        </w:rPr>
        <w:t>بالاستدلال</w:t>
      </w:r>
      <w:r w:rsidR="00E8128F">
        <w:rPr>
          <w:sz w:val="36"/>
          <w:szCs w:val="36"/>
          <w:rtl/>
        </w:rPr>
        <w:t xml:space="preserve"> </w:t>
      </w:r>
      <w:r w:rsidRPr="00FD211F">
        <w:rPr>
          <w:sz w:val="36"/>
          <w:szCs w:val="36"/>
          <w:rtl/>
        </w:rPr>
        <w:t>الفقهي.</w:t>
      </w:r>
    </w:p>
    <w:p w14:paraId="4872F034" w14:textId="77777777" w:rsidR="00B96257" w:rsidRPr="00FD211F" w:rsidRDefault="004F3632" w:rsidP="009C58C8">
      <w:pPr>
        <w:ind w:left="0" w:firstLine="227"/>
        <w:jc w:val="both"/>
        <w:rPr>
          <w:sz w:val="36"/>
          <w:szCs w:val="36"/>
          <w:rtl/>
        </w:rPr>
      </w:pPr>
      <w:r w:rsidRPr="00FD211F">
        <w:rPr>
          <w:sz w:val="36"/>
          <w:szCs w:val="36"/>
          <w:rtl/>
        </w:rPr>
        <w:t>2-</w:t>
      </w:r>
      <w:r w:rsidR="00E8128F">
        <w:rPr>
          <w:sz w:val="36"/>
          <w:szCs w:val="36"/>
          <w:rtl/>
        </w:rPr>
        <w:t xml:space="preserve"> </w:t>
      </w:r>
      <w:r w:rsidR="00B96257" w:rsidRPr="00FD211F">
        <w:rPr>
          <w:sz w:val="36"/>
          <w:szCs w:val="36"/>
          <w:rtl/>
        </w:rPr>
        <w:t>ان</w:t>
      </w:r>
      <w:r w:rsidR="00E8128F">
        <w:rPr>
          <w:sz w:val="36"/>
          <w:szCs w:val="36"/>
          <w:rtl/>
        </w:rPr>
        <w:t xml:space="preserve"> </w:t>
      </w:r>
      <w:r w:rsidR="00B96257" w:rsidRPr="00FD211F">
        <w:rPr>
          <w:sz w:val="36"/>
          <w:szCs w:val="36"/>
          <w:rtl/>
        </w:rPr>
        <w:t>تكون</w:t>
      </w:r>
      <w:r w:rsidR="00E8128F">
        <w:rPr>
          <w:sz w:val="36"/>
          <w:szCs w:val="36"/>
          <w:rtl/>
        </w:rPr>
        <w:t xml:space="preserve"> </w:t>
      </w:r>
      <w:r w:rsidR="00B96257" w:rsidRPr="00FD211F">
        <w:rPr>
          <w:sz w:val="36"/>
          <w:szCs w:val="36"/>
          <w:rtl/>
        </w:rPr>
        <w:t>امرا</w:t>
      </w:r>
      <w:r w:rsidR="00E8128F">
        <w:rPr>
          <w:sz w:val="36"/>
          <w:szCs w:val="36"/>
          <w:rtl/>
        </w:rPr>
        <w:t xml:space="preserve"> </w:t>
      </w:r>
      <w:r w:rsidR="00B96257" w:rsidRPr="00FD211F">
        <w:rPr>
          <w:sz w:val="36"/>
          <w:szCs w:val="36"/>
          <w:rtl/>
        </w:rPr>
        <w:t>كليا</w:t>
      </w:r>
      <w:r w:rsidR="00E8128F">
        <w:rPr>
          <w:sz w:val="36"/>
          <w:szCs w:val="36"/>
          <w:rtl/>
        </w:rPr>
        <w:t xml:space="preserve"> </w:t>
      </w:r>
      <w:r w:rsidR="00B96257" w:rsidRPr="00FD211F">
        <w:rPr>
          <w:sz w:val="36"/>
          <w:szCs w:val="36"/>
          <w:rtl/>
        </w:rPr>
        <w:t>ذات</w:t>
      </w:r>
      <w:r w:rsidR="00E8128F">
        <w:rPr>
          <w:sz w:val="36"/>
          <w:szCs w:val="36"/>
          <w:rtl/>
        </w:rPr>
        <w:t xml:space="preserve"> </w:t>
      </w:r>
      <w:r w:rsidR="00B96257" w:rsidRPr="00FD211F">
        <w:rPr>
          <w:sz w:val="36"/>
          <w:szCs w:val="36"/>
          <w:rtl/>
        </w:rPr>
        <w:t>حقيق</w:t>
      </w:r>
      <w:r w:rsidR="00EC7EDF" w:rsidRPr="00FD211F">
        <w:rPr>
          <w:sz w:val="36"/>
          <w:szCs w:val="36"/>
          <w:rtl/>
        </w:rPr>
        <w:t>ة</w:t>
      </w:r>
      <w:r w:rsidR="00E8128F">
        <w:rPr>
          <w:sz w:val="36"/>
          <w:szCs w:val="36"/>
          <w:rtl/>
        </w:rPr>
        <w:t xml:space="preserve"> </w:t>
      </w:r>
      <w:r w:rsidR="00B96257" w:rsidRPr="00FD211F">
        <w:rPr>
          <w:sz w:val="36"/>
          <w:szCs w:val="36"/>
          <w:rtl/>
        </w:rPr>
        <w:t>واحد</w:t>
      </w:r>
      <w:r w:rsidR="00EC7EDF" w:rsidRPr="00FD211F">
        <w:rPr>
          <w:sz w:val="36"/>
          <w:szCs w:val="36"/>
          <w:rtl/>
        </w:rPr>
        <w:t>ة</w:t>
      </w:r>
      <w:r w:rsidR="00603323" w:rsidRPr="00FD211F">
        <w:rPr>
          <w:sz w:val="36"/>
          <w:szCs w:val="36"/>
          <w:rtl/>
        </w:rPr>
        <w:t>،</w:t>
      </w:r>
      <w:r w:rsidR="00E8128F">
        <w:rPr>
          <w:sz w:val="36"/>
          <w:szCs w:val="36"/>
          <w:rtl/>
        </w:rPr>
        <w:t xml:space="preserve"> </w:t>
      </w:r>
      <w:r w:rsidR="00B96257" w:rsidRPr="00FD211F">
        <w:rPr>
          <w:sz w:val="36"/>
          <w:szCs w:val="36"/>
          <w:rtl/>
        </w:rPr>
        <w:t>والا</w:t>
      </w:r>
      <w:r w:rsidR="00E8128F">
        <w:rPr>
          <w:sz w:val="36"/>
          <w:szCs w:val="36"/>
          <w:rtl/>
        </w:rPr>
        <w:t xml:space="preserve"> </w:t>
      </w:r>
      <w:r w:rsidR="008D7B3D" w:rsidRPr="00FD211F">
        <w:rPr>
          <w:sz w:val="36"/>
          <w:szCs w:val="36"/>
          <w:rtl/>
        </w:rPr>
        <w:t>لم‌</w:t>
      </w:r>
      <w:r w:rsidR="00B96257" w:rsidRPr="00FD211F">
        <w:rPr>
          <w:sz w:val="36"/>
          <w:szCs w:val="36"/>
          <w:rtl/>
        </w:rPr>
        <w:t>تكن</w:t>
      </w:r>
      <w:r w:rsidR="00E8128F">
        <w:rPr>
          <w:sz w:val="36"/>
          <w:szCs w:val="36"/>
          <w:rtl/>
        </w:rPr>
        <w:t xml:space="preserve"> </w:t>
      </w:r>
      <w:r w:rsidR="00B96257" w:rsidRPr="00FD211F">
        <w:rPr>
          <w:sz w:val="36"/>
          <w:szCs w:val="36"/>
          <w:rtl/>
        </w:rPr>
        <w:t>قاعد</w:t>
      </w:r>
      <w:r w:rsidR="00EC7EDF" w:rsidRPr="00FD211F">
        <w:rPr>
          <w:sz w:val="36"/>
          <w:szCs w:val="36"/>
          <w:rtl/>
        </w:rPr>
        <w:t>ة</w:t>
      </w:r>
      <w:r w:rsidR="00E8128F">
        <w:rPr>
          <w:sz w:val="36"/>
          <w:szCs w:val="36"/>
          <w:rtl/>
        </w:rPr>
        <w:t xml:space="preserve"> </w:t>
      </w:r>
      <w:r w:rsidR="00B96257" w:rsidRPr="00FD211F">
        <w:rPr>
          <w:sz w:val="36"/>
          <w:szCs w:val="36"/>
          <w:rtl/>
        </w:rPr>
        <w:t>بمعناها</w:t>
      </w:r>
      <w:r w:rsidR="00E8128F">
        <w:rPr>
          <w:sz w:val="36"/>
          <w:szCs w:val="36"/>
          <w:rtl/>
        </w:rPr>
        <w:t xml:space="preserve"> </w:t>
      </w:r>
      <w:r w:rsidR="00B96257" w:rsidRPr="00FD211F">
        <w:rPr>
          <w:sz w:val="36"/>
          <w:szCs w:val="36"/>
          <w:rtl/>
        </w:rPr>
        <w:t>الفني</w:t>
      </w:r>
      <w:r w:rsidR="00603323" w:rsidRPr="00FD211F">
        <w:rPr>
          <w:sz w:val="36"/>
          <w:szCs w:val="36"/>
          <w:rtl/>
        </w:rPr>
        <w:t>،</w:t>
      </w:r>
      <w:r w:rsidR="00E8128F">
        <w:rPr>
          <w:sz w:val="36"/>
          <w:szCs w:val="36"/>
          <w:rtl/>
        </w:rPr>
        <w:t xml:space="preserve"> </w:t>
      </w:r>
      <w:r w:rsidR="001163DE" w:rsidRPr="00FD211F">
        <w:rPr>
          <w:sz w:val="36"/>
          <w:szCs w:val="36"/>
          <w:rtl/>
        </w:rPr>
        <w:t>فان</w:t>
      </w:r>
      <w:r w:rsidR="00E8128F">
        <w:rPr>
          <w:sz w:val="36"/>
          <w:szCs w:val="36"/>
          <w:rtl/>
        </w:rPr>
        <w:t xml:space="preserve"> </w:t>
      </w:r>
      <w:r w:rsidR="001163DE" w:rsidRPr="00FD211F">
        <w:rPr>
          <w:sz w:val="36"/>
          <w:szCs w:val="36"/>
          <w:rtl/>
        </w:rPr>
        <w:t>كانت</w:t>
      </w:r>
      <w:r w:rsidR="00E8128F">
        <w:rPr>
          <w:sz w:val="36"/>
          <w:szCs w:val="36"/>
          <w:rtl/>
        </w:rPr>
        <w:t xml:space="preserve"> </w:t>
      </w:r>
      <w:r w:rsidR="001163DE" w:rsidRPr="00FD211F">
        <w:rPr>
          <w:sz w:val="36"/>
          <w:szCs w:val="36"/>
          <w:rtl/>
        </w:rPr>
        <w:t>من</w:t>
      </w:r>
      <w:r w:rsidR="00E8128F">
        <w:rPr>
          <w:sz w:val="36"/>
          <w:szCs w:val="36"/>
          <w:rtl/>
        </w:rPr>
        <w:t xml:space="preserve"> </w:t>
      </w:r>
      <w:r w:rsidR="00B65094" w:rsidRPr="00FD211F">
        <w:rPr>
          <w:sz w:val="36"/>
          <w:szCs w:val="36"/>
          <w:rtl/>
        </w:rPr>
        <w:t>المجعولات</w:t>
      </w:r>
      <w:r w:rsidR="00E8128F">
        <w:rPr>
          <w:sz w:val="36"/>
          <w:szCs w:val="36"/>
          <w:rtl/>
        </w:rPr>
        <w:t xml:space="preserve"> </w:t>
      </w:r>
      <w:r w:rsidR="00B65094" w:rsidRPr="00FD211F">
        <w:rPr>
          <w:sz w:val="36"/>
          <w:szCs w:val="36"/>
          <w:rtl/>
        </w:rPr>
        <w:t>التشريعي</w:t>
      </w:r>
      <w:r w:rsidR="00EC7EDF" w:rsidRPr="00FD211F">
        <w:rPr>
          <w:sz w:val="36"/>
          <w:szCs w:val="36"/>
          <w:rtl/>
        </w:rPr>
        <w:t>ة</w:t>
      </w:r>
      <w:r w:rsidR="00E8128F">
        <w:rPr>
          <w:sz w:val="36"/>
          <w:szCs w:val="36"/>
          <w:rtl/>
        </w:rPr>
        <w:t xml:space="preserve"> </w:t>
      </w:r>
      <w:r w:rsidR="00B65094" w:rsidRPr="00FD211F">
        <w:rPr>
          <w:sz w:val="36"/>
          <w:szCs w:val="36"/>
          <w:rtl/>
        </w:rPr>
        <w:t>كحجي</w:t>
      </w:r>
      <w:r w:rsidR="00EC7EDF" w:rsidRPr="00FD211F">
        <w:rPr>
          <w:sz w:val="36"/>
          <w:szCs w:val="36"/>
          <w:rtl/>
        </w:rPr>
        <w:t>ة</w:t>
      </w:r>
      <w:r w:rsidR="00E8128F">
        <w:rPr>
          <w:sz w:val="36"/>
          <w:szCs w:val="36"/>
          <w:rtl/>
        </w:rPr>
        <w:t xml:space="preserve"> </w:t>
      </w:r>
      <w:r w:rsidR="00B65094" w:rsidRPr="00FD211F">
        <w:rPr>
          <w:sz w:val="36"/>
          <w:szCs w:val="36"/>
          <w:rtl/>
        </w:rPr>
        <w:t>خبر</w:t>
      </w:r>
      <w:r w:rsidR="00E8128F">
        <w:rPr>
          <w:sz w:val="36"/>
          <w:szCs w:val="36"/>
          <w:rtl/>
        </w:rPr>
        <w:t xml:space="preserve"> </w:t>
      </w:r>
      <w:r w:rsidR="00B65094" w:rsidRPr="00FD211F">
        <w:rPr>
          <w:sz w:val="36"/>
          <w:szCs w:val="36"/>
          <w:rtl/>
        </w:rPr>
        <w:t>الثق</w:t>
      </w:r>
      <w:r w:rsidR="00EC7EDF" w:rsidRPr="00FD211F">
        <w:rPr>
          <w:sz w:val="36"/>
          <w:szCs w:val="36"/>
          <w:rtl/>
        </w:rPr>
        <w:t>ة</w:t>
      </w:r>
      <w:r w:rsidR="00E8128F">
        <w:rPr>
          <w:sz w:val="36"/>
          <w:szCs w:val="36"/>
          <w:rtl/>
        </w:rPr>
        <w:t xml:space="preserve"> </w:t>
      </w:r>
      <w:r w:rsidR="001163DE" w:rsidRPr="00FD211F">
        <w:rPr>
          <w:sz w:val="36"/>
          <w:szCs w:val="36"/>
          <w:rtl/>
        </w:rPr>
        <w:t>فوحدتها</w:t>
      </w:r>
      <w:r w:rsidR="00E8128F">
        <w:rPr>
          <w:sz w:val="36"/>
          <w:szCs w:val="36"/>
          <w:rtl/>
        </w:rPr>
        <w:t xml:space="preserve"> </w:t>
      </w:r>
      <w:r w:rsidR="001163DE" w:rsidRPr="00FD211F">
        <w:rPr>
          <w:sz w:val="36"/>
          <w:szCs w:val="36"/>
          <w:rtl/>
        </w:rPr>
        <w:t>بوحد</w:t>
      </w:r>
      <w:r w:rsidR="00EC7EDF" w:rsidRPr="00FD211F">
        <w:rPr>
          <w:sz w:val="36"/>
          <w:szCs w:val="36"/>
          <w:rtl/>
        </w:rPr>
        <w:t>ة</w:t>
      </w:r>
      <w:r w:rsidR="00E8128F">
        <w:rPr>
          <w:sz w:val="36"/>
          <w:szCs w:val="36"/>
          <w:rtl/>
        </w:rPr>
        <w:t xml:space="preserve"> </w:t>
      </w:r>
      <w:r w:rsidR="001163DE" w:rsidRPr="00FD211F">
        <w:rPr>
          <w:sz w:val="36"/>
          <w:szCs w:val="36"/>
          <w:rtl/>
        </w:rPr>
        <w:t>الجعل</w:t>
      </w:r>
      <w:r w:rsidR="00E8128F">
        <w:rPr>
          <w:sz w:val="36"/>
          <w:szCs w:val="36"/>
          <w:rtl/>
        </w:rPr>
        <w:t xml:space="preserve"> </w:t>
      </w:r>
      <w:r w:rsidR="00B65094" w:rsidRPr="00FD211F">
        <w:rPr>
          <w:sz w:val="36"/>
          <w:szCs w:val="36"/>
          <w:rtl/>
        </w:rPr>
        <w:t>الموجد</w:t>
      </w:r>
      <w:r w:rsidR="00E8128F">
        <w:rPr>
          <w:sz w:val="36"/>
          <w:szCs w:val="36"/>
          <w:rtl/>
        </w:rPr>
        <w:t xml:space="preserve"> </w:t>
      </w:r>
      <w:r w:rsidR="00B65094" w:rsidRPr="00FD211F">
        <w:rPr>
          <w:sz w:val="36"/>
          <w:szCs w:val="36"/>
          <w:rtl/>
        </w:rPr>
        <w:t>لها</w:t>
      </w:r>
      <w:r w:rsidR="00E8128F">
        <w:rPr>
          <w:sz w:val="36"/>
          <w:szCs w:val="36"/>
          <w:rtl/>
        </w:rPr>
        <w:t xml:space="preserve"> </w:t>
      </w:r>
      <w:r w:rsidR="00B65094" w:rsidRPr="00FD211F">
        <w:rPr>
          <w:sz w:val="36"/>
          <w:szCs w:val="36"/>
          <w:rtl/>
        </w:rPr>
        <w:t>تشريعا</w:t>
      </w:r>
      <w:r w:rsidR="00603323" w:rsidRPr="00FD211F">
        <w:rPr>
          <w:sz w:val="36"/>
          <w:szCs w:val="36"/>
          <w:rtl/>
        </w:rPr>
        <w:t>،</w:t>
      </w:r>
      <w:r w:rsidR="00E8128F">
        <w:rPr>
          <w:sz w:val="36"/>
          <w:szCs w:val="36"/>
          <w:rtl/>
        </w:rPr>
        <w:t xml:space="preserve"> </w:t>
      </w:r>
      <w:r w:rsidR="00B65094" w:rsidRPr="00FD211F">
        <w:rPr>
          <w:sz w:val="36"/>
          <w:szCs w:val="36"/>
          <w:rtl/>
        </w:rPr>
        <w:t>وان</w:t>
      </w:r>
      <w:r w:rsidR="00E8128F">
        <w:rPr>
          <w:sz w:val="36"/>
          <w:szCs w:val="36"/>
          <w:rtl/>
        </w:rPr>
        <w:t xml:space="preserve"> </w:t>
      </w:r>
      <w:r w:rsidR="00B65094" w:rsidRPr="00FD211F">
        <w:rPr>
          <w:sz w:val="36"/>
          <w:szCs w:val="36"/>
          <w:rtl/>
        </w:rPr>
        <w:t>كانت</w:t>
      </w:r>
      <w:r w:rsidR="00E8128F">
        <w:rPr>
          <w:sz w:val="36"/>
          <w:szCs w:val="36"/>
          <w:rtl/>
        </w:rPr>
        <w:t xml:space="preserve"> </w:t>
      </w:r>
      <w:r w:rsidR="00B65094" w:rsidRPr="00FD211F">
        <w:rPr>
          <w:sz w:val="36"/>
          <w:szCs w:val="36"/>
          <w:rtl/>
        </w:rPr>
        <w:t>من</w:t>
      </w:r>
      <w:r w:rsidR="00E8128F">
        <w:rPr>
          <w:sz w:val="36"/>
          <w:szCs w:val="36"/>
          <w:rtl/>
        </w:rPr>
        <w:t xml:space="preserve"> </w:t>
      </w:r>
      <w:r w:rsidR="00B65094" w:rsidRPr="00FD211F">
        <w:rPr>
          <w:sz w:val="36"/>
          <w:szCs w:val="36"/>
          <w:rtl/>
        </w:rPr>
        <w:t>غير</w:t>
      </w:r>
      <w:r w:rsidR="00E8128F">
        <w:rPr>
          <w:sz w:val="36"/>
          <w:szCs w:val="36"/>
          <w:rtl/>
        </w:rPr>
        <w:t xml:space="preserve"> </w:t>
      </w:r>
      <w:r w:rsidR="00B65094" w:rsidRPr="00FD211F">
        <w:rPr>
          <w:sz w:val="36"/>
          <w:szCs w:val="36"/>
          <w:rtl/>
        </w:rPr>
        <w:t>المجعولات</w:t>
      </w:r>
      <w:r w:rsidR="00E8128F">
        <w:rPr>
          <w:sz w:val="36"/>
          <w:szCs w:val="36"/>
          <w:rtl/>
        </w:rPr>
        <w:t xml:space="preserve"> </w:t>
      </w:r>
      <w:r w:rsidR="00B65094" w:rsidRPr="00FD211F">
        <w:rPr>
          <w:sz w:val="36"/>
          <w:szCs w:val="36"/>
          <w:rtl/>
        </w:rPr>
        <w:t>كقاعد</w:t>
      </w:r>
      <w:r w:rsidR="00EC7EDF" w:rsidRPr="00FD211F">
        <w:rPr>
          <w:sz w:val="36"/>
          <w:szCs w:val="36"/>
          <w:rtl/>
        </w:rPr>
        <w:t>ة</w:t>
      </w:r>
      <w:r w:rsidR="00E8128F">
        <w:rPr>
          <w:sz w:val="36"/>
          <w:szCs w:val="36"/>
          <w:rtl/>
        </w:rPr>
        <w:t xml:space="preserve"> </w:t>
      </w:r>
      <w:r w:rsidR="00B65094" w:rsidRPr="00FD211F">
        <w:rPr>
          <w:sz w:val="36"/>
          <w:szCs w:val="36"/>
          <w:rtl/>
        </w:rPr>
        <w:t>الملازم</w:t>
      </w:r>
      <w:r w:rsidR="00EC7EDF" w:rsidRPr="00FD211F">
        <w:rPr>
          <w:sz w:val="36"/>
          <w:szCs w:val="36"/>
          <w:rtl/>
        </w:rPr>
        <w:t>ة</w:t>
      </w:r>
      <w:r w:rsidR="00E8128F">
        <w:rPr>
          <w:sz w:val="36"/>
          <w:szCs w:val="36"/>
          <w:rtl/>
        </w:rPr>
        <w:t xml:space="preserve"> </w:t>
      </w:r>
      <w:r w:rsidR="00B65094" w:rsidRPr="00FD211F">
        <w:rPr>
          <w:sz w:val="36"/>
          <w:szCs w:val="36"/>
          <w:rtl/>
        </w:rPr>
        <w:t>بين</w:t>
      </w:r>
      <w:r w:rsidR="00E8128F">
        <w:rPr>
          <w:sz w:val="36"/>
          <w:szCs w:val="36"/>
          <w:rtl/>
        </w:rPr>
        <w:t xml:space="preserve"> </w:t>
      </w:r>
      <w:r w:rsidR="00B65094" w:rsidRPr="00FD211F">
        <w:rPr>
          <w:sz w:val="36"/>
          <w:szCs w:val="36"/>
          <w:rtl/>
        </w:rPr>
        <w:t>وجوب</w:t>
      </w:r>
      <w:r w:rsidR="00E8128F">
        <w:rPr>
          <w:sz w:val="36"/>
          <w:szCs w:val="36"/>
          <w:rtl/>
        </w:rPr>
        <w:t xml:space="preserve"> </w:t>
      </w:r>
      <w:r w:rsidR="00B65094" w:rsidRPr="00FD211F">
        <w:rPr>
          <w:sz w:val="36"/>
          <w:szCs w:val="36"/>
          <w:rtl/>
        </w:rPr>
        <w:t>ال</w:t>
      </w:r>
      <w:r w:rsidR="008D7B3D" w:rsidRPr="00FD211F">
        <w:rPr>
          <w:sz w:val="36"/>
          <w:szCs w:val="36"/>
          <w:rtl/>
        </w:rPr>
        <w:t>شيء</w:t>
      </w:r>
      <w:r w:rsidR="00E8128F">
        <w:rPr>
          <w:sz w:val="36"/>
          <w:szCs w:val="36"/>
          <w:rtl/>
        </w:rPr>
        <w:t xml:space="preserve"> </w:t>
      </w:r>
      <w:r w:rsidR="00B65094" w:rsidRPr="00FD211F">
        <w:rPr>
          <w:sz w:val="36"/>
          <w:szCs w:val="36"/>
          <w:rtl/>
        </w:rPr>
        <w:t>ووجوب</w:t>
      </w:r>
      <w:r w:rsidR="00E8128F">
        <w:rPr>
          <w:sz w:val="36"/>
          <w:szCs w:val="36"/>
          <w:rtl/>
        </w:rPr>
        <w:t xml:space="preserve"> </w:t>
      </w:r>
      <w:r w:rsidR="00B65094" w:rsidRPr="00FD211F">
        <w:rPr>
          <w:sz w:val="36"/>
          <w:szCs w:val="36"/>
          <w:rtl/>
        </w:rPr>
        <w:t>مقدمته</w:t>
      </w:r>
      <w:r w:rsidR="00E8128F">
        <w:rPr>
          <w:sz w:val="36"/>
          <w:szCs w:val="36"/>
          <w:rtl/>
        </w:rPr>
        <w:t xml:space="preserve"> </w:t>
      </w:r>
      <w:r w:rsidR="00B65094" w:rsidRPr="00FD211F">
        <w:rPr>
          <w:sz w:val="36"/>
          <w:szCs w:val="36"/>
          <w:rtl/>
        </w:rPr>
        <w:t>فوحدتها</w:t>
      </w:r>
      <w:r w:rsidR="00E8128F">
        <w:rPr>
          <w:sz w:val="36"/>
          <w:szCs w:val="36"/>
          <w:rtl/>
        </w:rPr>
        <w:t xml:space="preserve"> </w:t>
      </w:r>
      <w:r w:rsidR="00B65094" w:rsidRPr="00FD211F">
        <w:rPr>
          <w:sz w:val="36"/>
          <w:szCs w:val="36"/>
          <w:rtl/>
        </w:rPr>
        <w:t>بوحد</w:t>
      </w:r>
      <w:r w:rsidR="00EC7EDF" w:rsidRPr="00FD211F">
        <w:rPr>
          <w:sz w:val="36"/>
          <w:szCs w:val="36"/>
          <w:rtl/>
        </w:rPr>
        <w:t>ة</w:t>
      </w:r>
      <w:r w:rsidR="00E8128F">
        <w:rPr>
          <w:sz w:val="36"/>
          <w:szCs w:val="36"/>
          <w:rtl/>
        </w:rPr>
        <w:t xml:space="preserve"> </w:t>
      </w:r>
      <w:r w:rsidR="00B65094" w:rsidRPr="00FD211F">
        <w:rPr>
          <w:sz w:val="36"/>
          <w:szCs w:val="36"/>
          <w:rtl/>
        </w:rPr>
        <w:t>تقررها</w:t>
      </w:r>
      <w:r w:rsidR="00E8128F">
        <w:rPr>
          <w:sz w:val="36"/>
          <w:szCs w:val="36"/>
          <w:rtl/>
        </w:rPr>
        <w:t xml:space="preserve"> </w:t>
      </w:r>
      <w:r w:rsidR="00B65094" w:rsidRPr="00FD211F">
        <w:rPr>
          <w:sz w:val="36"/>
          <w:szCs w:val="36"/>
          <w:rtl/>
        </w:rPr>
        <w:t>الثبوتي</w:t>
      </w:r>
      <w:r w:rsidR="00E8128F">
        <w:rPr>
          <w:sz w:val="36"/>
          <w:szCs w:val="36"/>
          <w:rtl/>
        </w:rPr>
        <w:t xml:space="preserve"> </w:t>
      </w:r>
      <w:r w:rsidR="00B65094" w:rsidRPr="00FD211F">
        <w:rPr>
          <w:sz w:val="36"/>
          <w:szCs w:val="36"/>
          <w:rtl/>
        </w:rPr>
        <w:t>بوصفها</w:t>
      </w:r>
      <w:r w:rsidR="00E8128F">
        <w:rPr>
          <w:sz w:val="36"/>
          <w:szCs w:val="36"/>
          <w:rtl/>
        </w:rPr>
        <w:t xml:space="preserve"> </w:t>
      </w:r>
      <w:r w:rsidR="00B96257" w:rsidRPr="00FD211F">
        <w:rPr>
          <w:sz w:val="36"/>
          <w:szCs w:val="36"/>
          <w:rtl/>
        </w:rPr>
        <w:t>حقيق</w:t>
      </w:r>
      <w:r w:rsidR="00EC7EDF" w:rsidRPr="00FD211F">
        <w:rPr>
          <w:sz w:val="36"/>
          <w:szCs w:val="36"/>
          <w:rtl/>
        </w:rPr>
        <w:t>ة</w:t>
      </w:r>
      <w:r w:rsidR="00E8128F">
        <w:rPr>
          <w:sz w:val="36"/>
          <w:szCs w:val="36"/>
          <w:rtl/>
        </w:rPr>
        <w:t xml:space="preserve"> </w:t>
      </w:r>
      <w:r w:rsidR="00B96257" w:rsidRPr="00FD211F">
        <w:rPr>
          <w:sz w:val="36"/>
          <w:szCs w:val="36"/>
          <w:rtl/>
        </w:rPr>
        <w:t>واحد</w:t>
      </w:r>
      <w:r w:rsidR="00EC7EDF" w:rsidRPr="00FD211F">
        <w:rPr>
          <w:sz w:val="36"/>
          <w:szCs w:val="36"/>
          <w:rtl/>
        </w:rPr>
        <w:t>ة</w:t>
      </w:r>
      <w:r w:rsidR="00E8128F">
        <w:rPr>
          <w:sz w:val="36"/>
          <w:szCs w:val="36"/>
          <w:rtl/>
        </w:rPr>
        <w:t xml:space="preserve"> </w:t>
      </w:r>
      <w:r w:rsidR="00B96257" w:rsidRPr="00FD211F">
        <w:rPr>
          <w:sz w:val="36"/>
          <w:szCs w:val="36"/>
          <w:rtl/>
        </w:rPr>
        <w:t>ثابت</w:t>
      </w:r>
      <w:r w:rsidR="00EC7EDF" w:rsidRPr="00FD211F">
        <w:rPr>
          <w:sz w:val="36"/>
          <w:szCs w:val="36"/>
          <w:rtl/>
        </w:rPr>
        <w:t>ة</w:t>
      </w:r>
      <w:r w:rsidR="00E8128F">
        <w:rPr>
          <w:sz w:val="36"/>
          <w:szCs w:val="36"/>
          <w:rtl/>
        </w:rPr>
        <w:t xml:space="preserve"> </w:t>
      </w:r>
      <w:r w:rsidR="00B96257" w:rsidRPr="00FD211F">
        <w:rPr>
          <w:sz w:val="36"/>
          <w:szCs w:val="36"/>
          <w:rtl/>
        </w:rPr>
        <w:t>في</w:t>
      </w:r>
      <w:r w:rsidR="00E8128F">
        <w:rPr>
          <w:sz w:val="36"/>
          <w:szCs w:val="36"/>
          <w:rtl/>
        </w:rPr>
        <w:t xml:space="preserve"> </w:t>
      </w:r>
      <w:r w:rsidR="00B96257" w:rsidRPr="00FD211F">
        <w:rPr>
          <w:sz w:val="36"/>
          <w:szCs w:val="36"/>
          <w:rtl/>
        </w:rPr>
        <w:t>نفس</w:t>
      </w:r>
      <w:r w:rsidR="00E8128F">
        <w:rPr>
          <w:sz w:val="36"/>
          <w:szCs w:val="36"/>
          <w:rtl/>
        </w:rPr>
        <w:t xml:space="preserve"> </w:t>
      </w:r>
      <w:r w:rsidR="00B96257" w:rsidRPr="00FD211F">
        <w:rPr>
          <w:sz w:val="36"/>
          <w:szCs w:val="36"/>
          <w:rtl/>
        </w:rPr>
        <w:t>الأمر.</w:t>
      </w:r>
    </w:p>
    <w:p w14:paraId="7C75DC12" w14:textId="77777777" w:rsidR="001163DE" w:rsidRPr="00FD211F" w:rsidRDefault="001F1BE3" w:rsidP="009C58C8">
      <w:pPr>
        <w:ind w:left="0" w:firstLine="227"/>
        <w:jc w:val="both"/>
        <w:rPr>
          <w:sz w:val="36"/>
          <w:szCs w:val="36"/>
          <w:rtl/>
        </w:rPr>
      </w:pPr>
      <w:r w:rsidRPr="00FD211F">
        <w:rPr>
          <w:sz w:val="36"/>
          <w:szCs w:val="36"/>
          <w:rtl/>
        </w:rPr>
        <w:t>وبهذا</w:t>
      </w:r>
      <w:r w:rsidR="00E8128F">
        <w:rPr>
          <w:sz w:val="36"/>
          <w:szCs w:val="36"/>
          <w:rtl/>
        </w:rPr>
        <w:t xml:space="preserve"> </w:t>
      </w:r>
      <w:r w:rsidRPr="00FD211F">
        <w:rPr>
          <w:sz w:val="36"/>
          <w:szCs w:val="36"/>
          <w:rtl/>
        </w:rPr>
        <w:t>القيد</w:t>
      </w:r>
      <w:r w:rsidR="00E8128F">
        <w:rPr>
          <w:sz w:val="36"/>
          <w:szCs w:val="36"/>
          <w:rtl/>
        </w:rPr>
        <w:t xml:space="preserve"> </w:t>
      </w:r>
      <w:r w:rsidRPr="00FD211F">
        <w:rPr>
          <w:sz w:val="36"/>
          <w:szCs w:val="36"/>
          <w:rtl/>
        </w:rPr>
        <w:t>خرجت</w:t>
      </w:r>
      <w:r w:rsidR="00E8128F">
        <w:rPr>
          <w:sz w:val="36"/>
          <w:szCs w:val="36"/>
          <w:rtl/>
        </w:rPr>
        <w:t xml:space="preserve"> </w:t>
      </w:r>
      <w:r w:rsidR="00B96257" w:rsidRPr="00FD211F">
        <w:rPr>
          <w:sz w:val="36"/>
          <w:szCs w:val="36"/>
          <w:rtl/>
        </w:rPr>
        <w:t>قاعد</w:t>
      </w:r>
      <w:r w:rsidR="00EC7EDF" w:rsidRPr="00FD211F">
        <w:rPr>
          <w:sz w:val="36"/>
          <w:szCs w:val="36"/>
          <w:rtl/>
        </w:rPr>
        <w:t>ة</w:t>
      </w:r>
      <w:r w:rsidR="00E8128F">
        <w:rPr>
          <w:sz w:val="36"/>
          <w:szCs w:val="36"/>
          <w:rtl/>
        </w:rPr>
        <w:t xml:space="preserve"> </w:t>
      </w:r>
      <w:r w:rsidR="00B96257" w:rsidRPr="00FD211F">
        <w:rPr>
          <w:sz w:val="36"/>
          <w:szCs w:val="36"/>
          <w:rtl/>
        </w:rPr>
        <w:t>لاضرر</w:t>
      </w:r>
      <w:r w:rsidR="00E8128F">
        <w:rPr>
          <w:sz w:val="36"/>
          <w:szCs w:val="36"/>
          <w:rtl/>
        </w:rPr>
        <w:t xml:space="preserve"> </w:t>
      </w:r>
      <w:r w:rsidR="00B96257" w:rsidRPr="00FD211F">
        <w:rPr>
          <w:sz w:val="36"/>
          <w:szCs w:val="36"/>
          <w:rtl/>
        </w:rPr>
        <w:t>عن</w:t>
      </w:r>
      <w:r w:rsidR="00E8128F">
        <w:rPr>
          <w:sz w:val="36"/>
          <w:szCs w:val="36"/>
          <w:rtl/>
        </w:rPr>
        <w:t xml:space="preserve"> </w:t>
      </w:r>
      <w:r w:rsidR="00B96257" w:rsidRPr="00FD211F">
        <w:rPr>
          <w:sz w:val="36"/>
          <w:szCs w:val="36"/>
          <w:rtl/>
        </w:rPr>
        <w:t>كونها</w:t>
      </w:r>
      <w:r w:rsidR="00E8128F">
        <w:rPr>
          <w:sz w:val="36"/>
          <w:szCs w:val="36"/>
          <w:rtl/>
        </w:rPr>
        <w:t xml:space="preserve"> </w:t>
      </w:r>
      <w:r w:rsidR="00B96257" w:rsidRPr="00FD211F">
        <w:rPr>
          <w:sz w:val="36"/>
          <w:szCs w:val="36"/>
          <w:rtl/>
        </w:rPr>
        <w:t>قاعد</w:t>
      </w:r>
      <w:r w:rsidR="00EC7EDF" w:rsidRPr="00FD211F">
        <w:rPr>
          <w:sz w:val="36"/>
          <w:szCs w:val="36"/>
          <w:rtl/>
        </w:rPr>
        <w:t>ة</w:t>
      </w:r>
      <w:r w:rsidR="00E8128F">
        <w:rPr>
          <w:sz w:val="36"/>
          <w:szCs w:val="36"/>
          <w:rtl/>
        </w:rPr>
        <w:t xml:space="preserve"> </w:t>
      </w:r>
      <w:r w:rsidR="00B96257" w:rsidRPr="00FD211F">
        <w:rPr>
          <w:sz w:val="36"/>
          <w:szCs w:val="36"/>
          <w:rtl/>
        </w:rPr>
        <w:t>اصولي</w:t>
      </w:r>
      <w:r w:rsidR="00EC7EDF" w:rsidRPr="00FD211F">
        <w:rPr>
          <w:sz w:val="36"/>
          <w:szCs w:val="36"/>
          <w:rtl/>
        </w:rPr>
        <w:t>ة</w:t>
      </w:r>
      <w:r w:rsidR="00603323" w:rsidRPr="00FD211F">
        <w:rPr>
          <w:sz w:val="36"/>
          <w:szCs w:val="36"/>
          <w:rtl/>
        </w:rPr>
        <w:t>،</w:t>
      </w:r>
      <w:r w:rsidR="00E8128F">
        <w:rPr>
          <w:sz w:val="36"/>
          <w:szCs w:val="36"/>
          <w:rtl/>
        </w:rPr>
        <w:t xml:space="preserve"> </w:t>
      </w:r>
      <w:r w:rsidR="00B96257" w:rsidRPr="00FD211F">
        <w:rPr>
          <w:sz w:val="36"/>
          <w:szCs w:val="36"/>
          <w:rtl/>
        </w:rPr>
        <w:t>لان</w:t>
      </w:r>
      <w:r w:rsidR="00E8128F">
        <w:rPr>
          <w:sz w:val="36"/>
          <w:szCs w:val="36"/>
          <w:rtl/>
        </w:rPr>
        <w:t xml:space="preserve"> </w:t>
      </w:r>
      <w:r w:rsidR="00B96257" w:rsidRPr="00FD211F">
        <w:rPr>
          <w:sz w:val="36"/>
          <w:szCs w:val="36"/>
          <w:rtl/>
        </w:rPr>
        <w:t>مفادها</w:t>
      </w:r>
      <w:r w:rsidR="00E8128F">
        <w:rPr>
          <w:sz w:val="36"/>
          <w:szCs w:val="36"/>
          <w:rtl/>
        </w:rPr>
        <w:t xml:space="preserve"> </w:t>
      </w:r>
      <w:r w:rsidR="00B65094" w:rsidRPr="00FD211F">
        <w:rPr>
          <w:sz w:val="36"/>
          <w:szCs w:val="36"/>
          <w:rtl/>
        </w:rPr>
        <w:t>ليس</w:t>
      </w:r>
      <w:r w:rsidR="00E8128F">
        <w:rPr>
          <w:sz w:val="36"/>
          <w:szCs w:val="36"/>
          <w:rtl/>
        </w:rPr>
        <w:t xml:space="preserve"> </w:t>
      </w:r>
      <w:r w:rsidR="00B65094" w:rsidRPr="00FD211F">
        <w:rPr>
          <w:sz w:val="36"/>
          <w:szCs w:val="36"/>
          <w:rtl/>
        </w:rPr>
        <w:t>الا</w:t>
      </w:r>
      <w:r w:rsidR="00E8128F">
        <w:rPr>
          <w:sz w:val="36"/>
          <w:szCs w:val="36"/>
          <w:rtl/>
        </w:rPr>
        <w:t xml:space="preserve"> </w:t>
      </w:r>
      <w:r w:rsidR="00B65094" w:rsidRPr="00FD211F">
        <w:rPr>
          <w:sz w:val="36"/>
          <w:szCs w:val="36"/>
          <w:rtl/>
        </w:rPr>
        <w:t>مجموع</w:t>
      </w:r>
      <w:r w:rsidR="00EC7EDF" w:rsidRPr="00FD211F">
        <w:rPr>
          <w:sz w:val="36"/>
          <w:szCs w:val="36"/>
          <w:rtl/>
        </w:rPr>
        <w:t>ة</w:t>
      </w:r>
      <w:r w:rsidR="00E8128F">
        <w:rPr>
          <w:sz w:val="36"/>
          <w:szCs w:val="36"/>
          <w:rtl/>
        </w:rPr>
        <w:t xml:space="preserve"> </w:t>
      </w:r>
      <w:r w:rsidR="00B65094" w:rsidRPr="00FD211F">
        <w:rPr>
          <w:sz w:val="36"/>
          <w:szCs w:val="36"/>
          <w:rtl/>
        </w:rPr>
        <w:t>من</w:t>
      </w:r>
      <w:r w:rsidR="00E8128F">
        <w:rPr>
          <w:sz w:val="36"/>
          <w:szCs w:val="36"/>
          <w:rtl/>
        </w:rPr>
        <w:t xml:space="preserve"> </w:t>
      </w:r>
      <w:r w:rsidR="00B65094" w:rsidRPr="00FD211F">
        <w:rPr>
          <w:sz w:val="36"/>
          <w:szCs w:val="36"/>
          <w:rtl/>
        </w:rPr>
        <w:t>التشريعات</w:t>
      </w:r>
      <w:r w:rsidR="00E8128F">
        <w:rPr>
          <w:sz w:val="36"/>
          <w:szCs w:val="36"/>
          <w:rtl/>
        </w:rPr>
        <w:t xml:space="preserve"> </w:t>
      </w:r>
      <w:r w:rsidR="00B65094" w:rsidRPr="00FD211F">
        <w:rPr>
          <w:sz w:val="36"/>
          <w:szCs w:val="36"/>
          <w:rtl/>
        </w:rPr>
        <w:t>جمعت</w:t>
      </w:r>
      <w:r w:rsidR="00E8128F">
        <w:rPr>
          <w:sz w:val="36"/>
          <w:szCs w:val="36"/>
          <w:rtl/>
        </w:rPr>
        <w:t xml:space="preserve"> </w:t>
      </w:r>
      <w:r w:rsidR="00B65094" w:rsidRPr="00FD211F">
        <w:rPr>
          <w:sz w:val="36"/>
          <w:szCs w:val="36"/>
          <w:rtl/>
        </w:rPr>
        <w:t>في</w:t>
      </w:r>
      <w:r w:rsidR="00E8128F">
        <w:rPr>
          <w:sz w:val="36"/>
          <w:szCs w:val="36"/>
          <w:rtl/>
        </w:rPr>
        <w:t xml:space="preserve"> </w:t>
      </w:r>
      <w:r w:rsidR="00B65094" w:rsidRPr="00FD211F">
        <w:rPr>
          <w:sz w:val="36"/>
          <w:szCs w:val="36"/>
          <w:rtl/>
        </w:rPr>
        <w:t>عبار</w:t>
      </w:r>
      <w:r w:rsidR="00EC7EDF" w:rsidRPr="00FD211F">
        <w:rPr>
          <w:sz w:val="36"/>
          <w:szCs w:val="36"/>
          <w:rtl/>
        </w:rPr>
        <w:t>ة</w:t>
      </w:r>
      <w:r w:rsidR="00E8128F">
        <w:rPr>
          <w:sz w:val="36"/>
          <w:szCs w:val="36"/>
          <w:rtl/>
        </w:rPr>
        <w:t xml:space="preserve"> </w:t>
      </w:r>
      <w:r w:rsidR="00B65094" w:rsidRPr="00FD211F">
        <w:rPr>
          <w:sz w:val="36"/>
          <w:szCs w:val="36"/>
          <w:rtl/>
        </w:rPr>
        <w:t>واحد</w:t>
      </w:r>
      <w:r w:rsidR="00EC7EDF" w:rsidRPr="00FD211F">
        <w:rPr>
          <w:sz w:val="36"/>
          <w:szCs w:val="36"/>
          <w:rtl/>
        </w:rPr>
        <w:t>ة</w:t>
      </w:r>
      <w:r w:rsidR="00603323" w:rsidRPr="00FD211F">
        <w:rPr>
          <w:sz w:val="36"/>
          <w:szCs w:val="36"/>
          <w:rtl/>
        </w:rPr>
        <w:t>،</w:t>
      </w:r>
      <w:r w:rsidR="00E8128F">
        <w:rPr>
          <w:sz w:val="36"/>
          <w:szCs w:val="36"/>
          <w:rtl/>
        </w:rPr>
        <w:t xml:space="preserve"> </w:t>
      </w:r>
      <w:r w:rsidR="00B65094" w:rsidRPr="00FD211F">
        <w:rPr>
          <w:sz w:val="36"/>
          <w:szCs w:val="36"/>
          <w:rtl/>
        </w:rPr>
        <w:t>ف</w:t>
      </w:r>
      <w:r w:rsidR="004605DE" w:rsidRPr="00FD211F">
        <w:rPr>
          <w:sz w:val="36"/>
          <w:szCs w:val="36"/>
          <w:rtl/>
        </w:rPr>
        <w:t>ان</w:t>
      </w:r>
      <w:r w:rsidR="00E8128F">
        <w:rPr>
          <w:sz w:val="36"/>
          <w:szCs w:val="36"/>
          <w:rtl/>
        </w:rPr>
        <w:t xml:space="preserve"> </w:t>
      </w:r>
      <w:r w:rsidR="00B65094" w:rsidRPr="00FD211F">
        <w:rPr>
          <w:sz w:val="36"/>
          <w:szCs w:val="36"/>
          <w:rtl/>
        </w:rPr>
        <w:t>وجوب</w:t>
      </w:r>
      <w:r w:rsidR="00E8128F">
        <w:rPr>
          <w:sz w:val="36"/>
          <w:szCs w:val="36"/>
          <w:rtl/>
        </w:rPr>
        <w:t xml:space="preserve"> </w:t>
      </w:r>
      <w:r w:rsidR="00B65094" w:rsidRPr="00FD211F">
        <w:rPr>
          <w:sz w:val="36"/>
          <w:szCs w:val="36"/>
          <w:rtl/>
        </w:rPr>
        <w:t>الوضوء</w:t>
      </w:r>
      <w:r w:rsidR="00E8128F">
        <w:rPr>
          <w:sz w:val="36"/>
          <w:szCs w:val="36"/>
          <w:rtl/>
        </w:rPr>
        <w:t xml:space="preserve"> </w:t>
      </w:r>
      <w:r w:rsidR="004605DE" w:rsidRPr="00FD211F">
        <w:rPr>
          <w:sz w:val="36"/>
          <w:szCs w:val="36"/>
          <w:rtl/>
        </w:rPr>
        <w:t>مقيدا</w:t>
      </w:r>
      <w:r w:rsidR="00E8128F">
        <w:rPr>
          <w:sz w:val="36"/>
          <w:szCs w:val="36"/>
          <w:rtl/>
        </w:rPr>
        <w:t xml:space="preserve"> </w:t>
      </w:r>
      <w:r w:rsidR="00B65094" w:rsidRPr="00FD211F">
        <w:rPr>
          <w:sz w:val="36"/>
          <w:szCs w:val="36"/>
          <w:rtl/>
        </w:rPr>
        <w:t>بفرض</w:t>
      </w:r>
      <w:r w:rsidR="00E8128F">
        <w:rPr>
          <w:sz w:val="36"/>
          <w:szCs w:val="36"/>
          <w:rtl/>
        </w:rPr>
        <w:t xml:space="preserve"> </w:t>
      </w:r>
      <w:r w:rsidR="00B65094" w:rsidRPr="00FD211F">
        <w:rPr>
          <w:sz w:val="36"/>
          <w:szCs w:val="36"/>
          <w:rtl/>
        </w:rPr>
        <w:t>عدم</w:t>
      </w:r>
      <w:r w:rsidR="00E8128F">
        <w:rPr>
          <w:sz w:val="36"/>
          <w:szCs w:val="36"/>
          <w:rtl/>
        </w:rPr>
        <w:t xml:space="preserve"> </w:t>
      </w:r>
      <w:r w:rsidR="00B65094" w:rsidRPr="00FD211F">
        <w:rPr>
          <w:sz w:val="36"/>
          <w:szCs w:val="36"/>
          <w:rtl/>
        </w:rPr>
        <w:t>الضرر</w:t>
      </w:r>
      <w:r w:rsidR="00E8128F">
        <w:rPr>
          <w:sz w:val="36"/>
          <w:szCs w:val="36"/>
          <w:rtl/>
        </w:rPr>
        <w:t xml:space="preserve"> </w:t>
      </w:r>
      <w:r w:rsidR="004605DE" w:rsidRPr="00FD211F">
        <w:rPr>
          <w:sz w:val="36"/>
          <w:szCs w:val="36"/>
          <w:rtl/>
        </w:rPr>
        <w:t>و</w:t>
      </w:r>
      <w:r w:rsidR="00B65094" w:rsidRPr="00FD211F">
        <w:rPr>
          <w:sz w:val="36"/>
          <w:szCs w:val="36"/>
          <w:rtl/>
        </w:rPr>
        <w:t>وجوب</w:t>
      </w:r>
      <w:r w:rsidR="00E8128F">
        <w:rPr>
          <w:sz w:val="36"/>
          <w:szCs w:val="36"/>
          <w:rtl/>
        </w:rPr>
        <w:t xml:space="preserve"> </w:t>
      </w:r>
      <w:r w:rsidR="00B65094" w:rsidRPr="00FD211F">
        <w:rPr>
          <w:sz w:val="36"/>
          <w:szCs w:val="36"/>
          <w:rtl/>
        </w:rPr>
        <w:t>الصوم</w:t>
      </w:r>
      <w:r w:rsidR="00E8128F">
        <w:rPr>
          <w:sz w:val="36"/>
          <w:szCs w:val="36"/>
          <w:rtl/>
        </w:rPr>
        <w:t xml:space="preserve"> </w:t>
      </w:r>
      <w:r w:rsidR="004605DE" w:rsidRPr="00FD211F">
        <w:rPr>
          <w:sz w:val="36"/>
          <w:szCs w:val="36"/>
          <w:rtl/>
        </w:rPr>
        <w:t>مقيدا</w:t>
      </w:r>
      <w:r w:rsidR="00E8128F">
        <w:rPr>
          <w:sz w:val="36"/>
          <w:szCs w:val="36"/>
          <w:rtl/>
        </w:rPr>
        <w:t xml:space="preserve"> </w:t>
      </w:r>
      <w:r w:rsidR="00B65094" w:rsidRPr="00FD211F">
        <w:rPr>
          <w:sz w:val="36"/>
          <w:szCs w:val="36"/>
          <w:rtl/>
        </w:rPr>
        <w:t>بفرض</w:t>
      </w:r>
      <w:r w:rsidR="00E8128F">
        <w:rPr>
          <w:sz w:val="36"/>
          <w:szCs w:val="36"/>
          <w:rtl/>
        </w:rPr>
        <w:t xml:space="preserve"> </w:t>
      </w:r>
      <w:r w:rsidR="00B65094" w:rsidRPr="00FD211F">
        <w:rPr>
          <w:sz w:val="36"/>
          <w:szCs w:val="36"/>
          <w:rtl/>
        </w:rPr>
        <w:t>عدم</w:t>
      </w:r>
      <w:r w:rsidR="00E8128F">
        <w:rPr>
          <w:sz w:val="36"/>
          <w:szCs w:val="36"/>
          <w:rtl/>
        </w:rPr>
        <w:t xml:space="preserve"> </w:t>
      </w:r>
      <w:r w:rsidR="00B65094" w:rsidRPr="00FD211F">
        <w:rPr>
          <w:sz w:val="36"/>
          <w:szCs w:val="36"/>
          <w:rtl/>
        </w:rPr>
        <w:t>الضرر</w:t>
      </w:r>
      <w:r w:rsidR="00E8128F">
        <w:rPr>
          <w:sz w:val="36"/>
          <w:szCs w:val="36"/>
          <w:rtl/>
        </w:rPr>
        <w:t xml:space="preserve"> </w:t>
      </w:r>
      <w:r w:rsidR="004605DE" w:rsidRPr="00FD211F">
        <w:rPr>
          <w:sz w:val="36"/>
          <w:szCs w:val="36"/>
          <w:rtl/>
        </w:rPr>
        <w:t>مثلا</w:t>
      </w:r>
      <w:r w:rsidR="00E8128F">
        <w:rPr>
          <w:sz w:val="36"/>
          <w:szCs w:val="36"/>
          <w:rtl/>
        </w:rPr>
        <w:t xml:space="preserve"> </w:t>
      </w:r>
      <w:r w:rsidR="00B65094" w:rsidRPr="00FD211F">
        <w:rPr>
          <w:sz w:val="36"/>
          <w:szCs w:val="36"/>
          <w:rtl/>
        </w:rPr>
        <w:t>ليسا</w:t>
      </w:r>
      <w:r w:rsidR="00E8128F">
        <w:rPr>
          <w:sz w:val="36"/>
          <w:szCs w:val="36"/>
          <w:rtl/>
        </w:rPr>
        <w:t xml:space="preserve"> </w:t>
      </w:r>
      <w:r w:rsidR="00B65094" w:rsidRPr="00FD211F">
        <w:rPr>
          <w:sz w:val="36"/>
          <w:szCs w:val="36"/>
          <w:rtl/>
        </w:rPr>
        <w:lastRenderedPageBreak/>
        <w:t>مجعولين</w:t>
      </w:r>
      <w:r w:rsidR="00E8128F">
        <w:rPr>
          <w:sz w:val="36"/>
          <w:szCs w:val="36"/>
          <w:rtl/>
        </w:rPr>
        <w:t xml:space="preserve"> </w:t>
      </w:r>
      <w:r w:rsidR="00B65094" w:rsidRPr="00FD211F">
        <w:rPr>
          <w:sz w:val="36"/>
          <w:szCs w:val="36"/>
          <w:rtl/>
        </w:rPr>
        <w:t>بجعل</w:t>
      </w:r>
      <w:r w:rsidR="00E8128F">
        <w:rPr>
          <w:sz w:val="36"/>
          <w:szCs w:val="36"/>
          <w:rtl/>
        </w:rPr>
        <w:t xml:space="preserve"> </w:t>
      </w:r>
      <w:r w:rsidR="00B65094" w:rsidRPr="00FD211F">
        <w:rPr>
          <w:sz w:val="36"/>
          <w:szCs w:val="36"/>
          <w:rtl/>
        </w:rPr>
        <w:t>واحد</w:t>
      </w:r>
      <w:r w:rsidR="00603323" w:rsidRPr="00FD211F">
        <w:rPr>
          <w:sz w:val="36"/>
          <w:szCs w:val="36"/>
          <w:rtl/>
        </w:rPr>
        <w:t>،</w:t>
      </w:r>
      <w:r w:rsidR="00E8128F">
        <w:rPr>
          <w:sz w:val="36"/>
          <w:szCs w:val="36"/>
          <w:rtl/>
        </w:rPr>
        <w:t xml:space="preserve"> </w:t>
      </w:r>
      <w:r w:rsidR="00B65094" w:rsidRPr="00FD211F">
        <w:rPr>
          <w:sz w:val="36"/>
          <w:szCs w:val="36"/>
          <w:rtl/>
        </w:rPr>
        <w:t>غاي</w:t>
      </w:r>
      <w:r w:rsidR="00EC7EDF" w:rsidRPr="00FD211F">
        <w:rPr>
          <w:sz w:val="36"/>
          <w:szCs w:val="36"/>
          <w:rtl/>
        </w:rPr>
        <w:t>ة</w:t>
      </w:r>
      <w:r w:rsidR="00E8128F">
        <w:rPr>
          <w:sz w:val="36"/>
          <w:szCs w:val="36"/>
          <w:rtl/>
        </w:rPr>
        <w:t xml:space="preserve"> </w:t>
      </w:r>
      <w:r w:rsidR="0090224F" w:rsidRPr="00FD211F">
        <w:rPr>
          <w:sz w:val="36"/>
          <w:szCs w:val="36"/>
          <w:rtl/>
        </w:rPr>
        <w:t>الأمر</w:t>
      </w:r>
      <w:r w:rsidR="00E8128F">
        <w:rPr>
          <w:sz w:val="36"/>
          <w:szCs w:val="36"/>
          <w:rtl/>
        </w:rPr>
        <w:t xml:space="preserve"> </w:t>
      </w:r>
      <w:r w:rsidR="00B65094" w:rsidRPr="00FD211F">
        <w:rPr>
          <w:sz w:val="36"/>
          <w:szCs w:val="36"/>
          <w:rtl/>
        </w:rPr>
        <w:t>ان</w:t>
      </w:r>
      <w:r w:rsidR="00E8128F">
        <w:rPr>
          <w:sz w:val="36"/>
          <w:szCs w:val="36"/>
          <w:rtl/>
        </w:rPr>
        <w:t xml:space="preserve"> </w:t>
      </w:r>
      <w:r w:rsidR="00B65094" w:rsidRPr="00FD211F">
        <w:rPr>
          <w:sz w:val="36"/>
          <w:szCs w:val="36"/>
          <w:rtl/>
        </w:rPr>
        <w:t>الشارع</w:t>
      </w:r>
      <w:r w:rsidR="00E8128F">
        <w:rPr>
          <w:sz w:val="36"/>
          <w:szCs w:val="36"/>
          <w:rtl/>
        </w:rPr>
        <w:t xml:space="preserve"> </w:t>
      </w:r>
      <w:r w:rsidR="00B65094" w:rsidRPr="00FD211F">
        <w:rPr>
          <w:sz w:val="36"/>
          <w:szCs w:val="36"/>
          <w:rtl/>
        </w:rPr>
        <w:t>جمع</w:t>
      </w:r>
      <w:r w:rsidR="00E8128F">
        <w:rPr>
          <w:sz w:val="36"/>
          <w:szCs w:val="36"/>
          <w:rtl/>
        </w:rPr>
        <w:t xml:space="preserve"> </w:t>
      </w:r>
      <w:r w:rsidR="00B65094" w:rsidRPr="00FD211F">
        <w:rPr>
          <w:sz w:val="36"/>
          <w:szCs w:val="36"/>
          <w:rtl/>
        </w:rPr>
        <w:t>بين</w:t>
      </w:r>
      <w:r w:rsidR="00E8128F">
        <w:rPr>
          <w:sz w:val="36"/>
          <w:szCs w:val="36"/>
          <w:rtl/>
        </w:rPr>
        <w:t xml:space="preserve"> </w:t>
      </w:r>
      <w:r w:rsidR="00B65094" w:rsidRPr="00FD211F">
        <w:rPr>
          <w:sz w:val="36"/>
          <w:szCs w:val="36"/>
          <w:rtl/>
        </w:rPr>
        <w:t>هذه</w:t>
      </w:r>
      <w:r w:rsidR="00E8128F">
        <w:rPr>
          <w:sz w:val="36"/>
          <w:szCs w:val="36"/>
          <w:rtl/>
        </w:rPr>
        <w:t xml:space="preserve"> </w:t>
      </w:r>
      <w:r w:rsidR="00B65094" w:rsidRPr="00FD211F">
        <w:rPr>
          <w:sz w:val="36"/>
          <w:szCs w:val="36"/>
          <w:rtl/>
        </w:rPr>
        <w:t>التشريعات</w:t>
      </w:r>
      <w:r w:rsidR="00E8128F">
        <w:rPr>
          <w:sz w:val="36"/>
          <w:szCs w:val="36"/>
          <w:rtl/>
        </w:rPr>
        <w:t xml:space="preserve"> </w:t>
      </w:r>
      <w:r w:rsidR="00B65094" w:rsidRPr="00FD211F">
        <w:rPr>
          <w:sz w:val="36"/>
          <w:szCs w:val="36"/>
          <w:rtl/>
        </w:rPr>
        <w:t>المتعدد</w:t>
      </w:r>
      <w:r w:rsidR="00EC7EDF" w:rsidRPr="00FD211F">
        <w:rPr>
          <w:sz w:val="36"/>
          <w:szCs w:val="36"/>
          <w:rtl/>
        </w:rPr>
        <w:t>ة</w:t>
      </w:r>
      <w:r w:rsidR="00E8128F">
        <w:rPr>
          <w:sz w:val="36"/>
          <w:szCs w:val="36"/>
          <w:rtl/>
        </w:rPr>
        <w:t xml:space="preserve"> </w:t>
      </w:r>
      <w:r w:rsidR="00B65094" w:rsidRPr="00FD211F">
        <w:rPr>
          <w:sz w:val="36"/>
          <w:szCs w:val="36"/>
          <w:rtl/>
        </w:rPr>
        <w:t>في</w:t>
      </w:r>
      <w:r w:rsidR="00E8128F">
        <w:rPr>
          <w:sz w:val="36"/>
          <w:szCs w:val="36"/>
          <w:rtl/>
        </w:rPr>
        <w:t xml:space="preserve"> </w:t>
      </w:r>
      <w:r w:rsidR="00B65094" w:rsidRPr="00FD211F">
        <w:rPr>
          <w:sz w:val="36"/>
          <w:szCs w:val="36"/>
          <w:rtl/>
        </w:rPr>
        <w:t>مبرز</w:t>
      </w:r>
      <w:r w:rsidR="00E8128F">
        <w:rPr>
          <w:sz w:val="36"/>
          <w:szCs w:val="36"/>
          <w:rtl/>
        </w:rPr>
        <w:t xml:space="preserve"> </w:t>
      </w:r>
      <w:r w:rsidR="00B65094" w:rsidRPr="00FD211F">
        <w:rPr>
          <w:sz w:val="36"/>
          <w:szCs w:val="36"/>
          <w:rtl/>
        </w:rPr>
        <w:t>واحد</w:t>
      </w:r>
      <w:r w:rsidR="00603323" w:rsidRPr="00FD211F">
        <w:rPr>
          <w:sz w:val="36"/>
          <w:szCs w:val="36"/>
          <w:rtl/>
        </w:rPr>
        <w:t>،</w:t>
      </w:r>
      <w:r w:rsidR="00E8128F">
        <w:rPr>
          <w:sz w:val="36"/>
          <w:szCs w:val="36"/>
          <w:rtl/>
        </w:rPr>
        <w:t xml:space="preserve"> </w:t>
      </w:r>
      <w:r w:rsidR="00B65094" w:rsidRPr="00FD211F">
        <w:rPr>
          <w:sz w:val="36"/>
          <w:szCs w:val="36"/>
          <w:rtl/>
        </w:rPr>
        <w:t>فهذا</w:t>
      </w:r>
      <w:r w:rsidR="00E8128F">
        <w:rPr>
          <w:sz w:val="36"/>
          <w:szCs w:val="36"/>
          <w:rtl/>
        </w:rPr>
        <w:t xml:space="preserve"> </w:t>
      </w:r>
      <w:r w:rsidR="00B65094" w:rsidRPr="00FD211F">
        <w:rPr>
          <w:sz w:val="36"/>
          <w:szCs w:val="36"/>
          <w:rtl/>
        </w:rPr>
        <w:t>من</w:t>
      </w:r>
      <w:r w:rsidR="00E8128F">
        <w:rPr>
          <w:sz w:val="36"/>
          <w:szCs w:val="36"/>
          <w:rtl/>
        </w:rPr>
        <w:t xml:space="preserve"> </w:t>
      </w:r>
      <w:r w:rsidR="00B65094" w:rsidRPr="00FD211F">
        <w:rPr>
          <w:sz w:val="36"/>
          <w:szCs w:val="36"/>
          <w:rtl/>
        </w:rPr>
        <w:t>قبيل</w:t>
      </w:r>
      <w:r w:rsidR="00E8128F">
        <w:rPr>
          <w:sz w:val="36"/>
          <w:szCs w:val="36"/>
          <w:rtl/>
        </w:rPr>
        <w:t xml:space="preserve"> </w:t>
      </w:r>
      <w:r w:rsidR="00B65094" w:rsidRPr="00FD211F">
        <w:rPr>
          <w:sz w:val="36"/>
          <w:szCs w:val="36"/>
          <w:rtl/>
        </w:rPr>
        <w:t>ان</w:t>
      </w:r>
      <w:r w:rsidR="00E8128F">
        <w:rPr>
          <w:sz w:val="36"/>
          <w:szCs w:val="36"/>
          <w:rtl/>
        </w:rPr>
        <w:t xml:space="preserve"> </w:t>
      </w:r>
      <w:r w:rsidR="00B65094" w:rsidRPr="00FD211F">
        <w:rPr>
          <w:sz w:val="36"/>
          <w:szCs w:val="36"/>
          <w:rtl/>
        </w:rPr>
        <w:t>يقال</w:t>
      </w:r>
      <w:r w:rsidR="00E8128F">
        <w:rPr>
          <w:sz w:val="36"/>
          <w:szCs w:val="36"/>
          <w:rtl/>
        </w:rPr>
        <w:t xml:space="preserve"> </w:t>
      </w:r>
      <w:r w:rsidR="00B65094" w:rsidRPr="00FD211F">
        <w:rPr>
          <w:sz w:val="36"/>
          <w:szCs w:val="36"/>
          <w:rtl/>
        </w:rPr>
        <w:t>كل</w:t>
      </w:r>
      <w:r w:rsidR="00E8128F">
        <w:rPr>
          <w:sz w:val="36"/>
          <w:szCs w:val="36"/>
          <w:rtl/>
        </w:rPr>
        <w:t xml:space="preserve"> </w:t>
      </w:r>
      <w:r w:rsidR="00B65094" w:rsidRPr="00FD211F">
        <w:rPr>
          <w:sz w:val="36"/>
          <w:szCs w:val="36"/>
          <w:rtl/>
        </w:rPr>
        <w:t>حكم</w:t>
      </w:r>
      <w:r w:rsidR="00E8128F">
        <w:rPr>
          <w:sz w:val="36"/>
          <w:szCs w:val="36"/>
          <w:rtl/>
        </w:rPr>
        <w:t xml:space="preserve"> </w:t>
      </w:r>
      <w:r w:rsidR="00B65094" w:rsidRPr="00FD211F">
        <w:rPr>
          <w:sz w:val="36"/>
          <w:szCs w:val="36"/>
          <w:rtl/>
        </w:rPr>
        <w:t>يثبت</w:t>
      </w:r>
      <w:r w:rsidR="00E8128F">
        <w:rPr>
          <w:sz w:val="36"/>
          <w:szCs w:val="36"/>
          <w:rtl/>
        </w:rPr>
        <w:t xml:space="preserve"> </w:t>
      </w:r>
      <w:r w:rsidR="00B65094" w:rsidRPr="00FD211F">
        <w:rPr>
          <w:sz w:val="36"/>
          <w:szCs w:val="36"/>
          <w:rtl/>
        </w:rPr>
        <w:t>للرجل</w:t>
      </w:r>
      <w:r w:rsidR="00E8128F">
        <w:rPr>
          <w:sz w:val="36"/>
          <w:szCs w:val="36"/>
          <w:rtl/>
        </w:rPr>
        <w:t xml:space="preserve"> </w:t>
      </w:r>
      <w:r w:rsidR="00B65094" w:rsidRPr="00FD211F">
        <w:rPr>
          <w:sz w:val="36"/>
          <w:szCs w:val="36"/>
          <w:rtl/>
        </w:rPr>
        <w:t>في</w:t>
      </w:r>
      <w:r w:rsidR="00E8128F">
        <w:rPr>
          <w:sz w:val="36"/>
          <w:szCs w:val="36"/>
          <w:rtl/>
        </w:rPr>
        <w:t xml:space="preserve"> </w:t>
      </w:r>
      <w:r w:rsidR="00B65094" w:rsidRPr="00FD211F">
        <w:rPr>
          <w:sz w:val="36"/>
          <w:szCs w:val="36"/>
          <w:rtl/>
        </w:rPr>
        <w:t>المعاملات</w:t>
      </w:r>
      <w:r w:rsidR="00E8128F">
        <w:rPr>
          <w:sz w:val="36"/>
          <w:szCs w:val="36"/>
          <w:rtl/>
        </w:rPr>
        <w:t xml:space="preserve"> </w:t>
      </w:r>
      <w:r w:rsidR="00B65094" w:rsidRPr="00FD211F">
        <w:rPr>
          <w:sz w:val="36"/>
          <w:szCs w:val="36"/>
          <w:rtl/>
        </w:rPr>
        <w:t>فهو</w:t>
      </w:r>
      <w:r w:rsidR="00E8128F">
        <w:rPr>
          <w:sz w:val="36"/>
          <w:szCs w:val="36"/>
          <w:rtl/>
        </w:rPr>
        <w:t xml:space="preserve"> </w:t>
      </w:r>
      <w:r w:rsidR="00B65094" w:rsidRPr="00FD211F">
        <w:rPr>
          <w:sz w:val="36"/>
          <w:szCs w:val="36"/>
          <w:rtl/>
        </w:rPr>
        <w:t>ثابت</w:t>
      </w:r>
      <w:r w:rsidR="00E8128F">
        <w:rPr>
          <w:sz w:val="36"/>
          <w:szCs w:val="36"/>
          <w:rtl/>
        </w:rPr>
        <w:t xml:space="preserve"> </w:t>
      </w:r>
      <w:r w:rsidR="00B65094" w:rsidRPr="00FD211F">
        <w:rPr>
          <w:sz w:val="36"/>
          <w:szCs w:val="36"/>
          <w:rtl/>
        </w:rPr>
        <w:t>للمرأ</w:t>
      </w:r>
      <w:r w:rsidR="00EC7EDF" w:rsidRPr="00FD211F">
        <w:rPr>
          <w:sz w:val="36"/>
          <w:szCs w:val="36"/>
          <w:rtl/>
        </w:rPr>
        <w:t>ة</w:t>
      </w:r>
      <w:r w:rsidR="00603323" w:rsidRPr="00FD211F">
        <w:rPr>
          <w:sz w:val="36"/>
          <w:szCs w:val="36"/>
          <w:rtl/>
        </w:rPr>
        <w:t>،</w:t>
      </w:r>
      <w:r w:rsidR="00E8128F">
        <w:rPr>
          <w:sz w:val="36"/>
          <w:szCs w:val="36"/>
          <w:rtl/>
        </w:rPr>
        <w:t xml:space="preserve"> </w:t>
      </w:r>
      <w:r w:rsidR="00B65094" w:rsidRPr="00FD211F">
        <w:rPr>
          <w:sz w:val="36"/>
          <w:szCs w:val="36"/>
          <w:rtl/>
        </w:rPr>
        <w:t>فان</w:t>
      </w:r>
      <w:r w:rsidR="004605DE" w:rsidRPr="00FD211F">
        <w:rPr>
          <w:sz w:val="36"/>
          <w:szCs w:val="36"/>
          <w:rtl/>
        </w:rPr>
        <w:t>ه</w:t>
      </w:r>
      <w:r w:rsidR="00E8128F">
        <w:rPr>
          <w:sz w:val="36"/>
          <w:szCs w:val="36"/>
          <w:rtl/>
        </w:rPr>
        <w:t xml:space="preserve"> </w:t>
      </w:r>
      <w:r w:rsidR="00B65094" w:rsidRPr="00FD211F">
        <w:rPr>
          <w:sz w:val="36"/>
          <w:szCs w:val="36"/>
          <w:rtl/>
        </w:rPr>
        <w:t>ليس</w:t>
      </w:r>
      <w:r w:rsidR="00E8128F">
        <w:rPr>
          <w:sz w:val="36"/>
          <w:szCs w:val="36"/>
          <w:rtl/>
        </w:rPr>
        <w:t xml:space="preserve"> </w:t>
      </w:r>
      <w:r w:rsidR="00B65094" w:rsidRPr="00FD211F">
        <w:rPr>
          <w:sz w:val="36"/>
          <w:szCs w:val="36"/>
          <w:rtl/>
        </w:rPr>
        <w:t>قاعد</w:t>
      </w:r>
      <w:r w:rsidR="00EC7EDF" w:rsidRPr="00FD211F">
        <w:rPr>
          <w:sz w:val="36"/>
          <w:szCs w:val="36"/>
          <w:rtl/>
        </w:rPr>
        <w:t>ة</w:t>
      </w:r>
      <w:r w:rsidR="00E8128F">
        <w:rPr>
          <w:sz w:val="36"/>
          <w:szCs w:val="36"/>
          <w:rtl/>
        </w:rPr>
        <w:t xml:space="preserve"> </w:t>
      </w:r>
      <w:r w:rsidR="00B65094" w:rsidRPr="00FD211F">
        <w:rPr>
          <w:sz w:val="36"/>
          <w:szCs w:val="36"/>
          <w:rtl/>
        </w:rPr>
        <w:t>بل</w:t>
      </w:r>
      <w:r w:rsidR="00E8128F">
        <w:rPr>
          <w:sz w:val="36"/>
          <w:szCs w:val="36"/>
          <w:rtl/>
        </w:rPr>
        <w:t xml:space="preserve"> </w:t>
      </w:r>
      <w:r w:rsidR="00B65094" w:rsidRPr="00FD211F">
        <w:rPr>
          <w:sz w:val="36"/>
          <w:szCs w:val="36"/>
          <w:rtl/>
        </w:rPr>
        <w:t>تجميع</w:t>
      </w:r>
      <w:r w:rsidR="00E8128F">
        <w:rPr>
          <w:sz w:val="36"/>
          <w:szCs w:val="36"/>
          <w:rtl/>
        </w:rPr>
        <w:t xml:space="preserve"> </w:t>
      </w:r>
      <w:r w:rsidR="00B65094" w:rsidRPr="00FD211F">
        <w:rPr>
          <w:sz w:val="36"/>
          <w:szCs w:val="36"/>
          <w:rtl/>
        </w:rPr>
        <w:t>لجعول</w:t>
      </w:r>
      <w:r w:rsidR="00E8128F">
        <w:rPr>
          <w:sz w:val="36"/>
          <w:szCs w:val="36"/>
          <w:rtl/>
        </w:rPr>
        <w:t xml:space="preserve"> </w:t>
      </w:r>
      <w:r w:rsidR="00B65094" w:rsidRPr="00FD211F">
        <w:rPr>
          <w:sz w:val="36"/>
          <w:szCs w:val="36"/>
          <w:rtl/>
        </w:rPr>
        <w:t>واحكام</w:t>
      </w:r>
      <w:r w:rsidR="00E8128F">
        <w:rPr>
          <w:sz w:val="36"/>
          <w:szCs w:val="36"/>
          <w:rtl/>
        </w:rPr>
        <w:t xml:space="preserve"> </w:t>
      </w:r>
      <w:r w:rsidR="00B65094" w:rsidRPr="00FD211F">
        <w:rPr>
          <w:sz w:val="36"/>
          <w:szCs w:val="36"/>
          <w:rtl/>
        </w:rPr>
        <w:t>متعدد</w:t>
      </w:r>
      <w:r w:rsidR="00EC7EDF" w:rsidRPr="00FD211F">
        <w:rPr>
          <w:sz w:val="36"/>
          <w:szCs w:val="36"/>
          <w:rtl/>
        </w:rPr>
        <w:t>ة</w:t>
      </w:r>
      <w:r w:rsidR="00A61BAE" w:rsidRPr="00FD211F">
        <w:rPr>
          <w:sz w:val="36"/>
          <w:szCs w:val="36"/>
          <w:rtl/>
        </w:rPr>
        <w:t>.</w:t>
      </w:r>
    </w:p>
    <w:p w14:paraId="50888EEE" w14:textId="77777777" w:rsidR="00B65094" w:rsidRPr="00FD211F" w:rsidRDefault="00B65094" w:rsidP="009C58C8">
      <w:pPr>
        <w:ind w:left="0" w:firstLine="227"/>
        <w:jc w:val="both"/>
        <w:rPr>
          <w:sz w:val="36"/>
          <w:szCs w:val="36"/>
          <w:rtl/>
        </w:rPr>
      </w:pPr>
      <w:r w:rsidRPr="00FD211F">
        <w:rPr>
          <w:sz w:val="36"/>
          <w:szCs w:val="36"/>
          <w:rtl/>
        </w:rPr>
        <w:t>وعلى</w:t>
      </w:r>
      <w:r w:rsidR="00E8128F">
        <w:rPr>
          <w:sz w:val="36"/>
          <w:szCs w:val="36"/>
          <w:rtl/>
        </w:rPr>
        <w:t xml:space="preserve"> </w:t>
      </w:r>
      <w:r w:rsidRPr="00FD211F">
        <w:rPr>
          <w:sz w:val="36"/>
          <w:szCs w:val="36"/>
          <w:rtl/>
        </w:rPr>
        <w:t>ضوء</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ذكرناه</w:t>
      </w:r>
      <w:r w:rsidR="00E8128F">
        <w:rPr>
          <w:sz w:val="36"/>
          <w:szCs w:val="36"/>
          <w:rtl/>
        </w:rPr>
        <w:t xml:space="preserve"> </w:t>
      </w:r>
      <w:r w:rsidRPr="00FD211F">
        <w:rPr>
          <w:sz w:val="36"/>
          <w:szCs w:val="36"/>
          <w:rtl/>
        </w:rPr>
        <w:t>يتضح</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القاعد</w:t>
      </w:r>
      <w:r w:rsidR="00EC7EDF" w:rsidRPr="00FD211F">
        <w:rPr>
          <w:sz w:val="36"/>
          <w:szCs w:val="36"/>
          <w:rtl/>
        </w:rPr>
        <w:t>ة</w:t>
      </w:r>
      <w:r w:rsidR="00E8128F">
        <w:rPr>
          <w:sz w:val="36"/>
          <w:szCs w:val="36"/>
          <w:rtl/>
        </w:rPr>
        <w:t xml:space="preserve"> </w:t>
      </w:r>
      <w:r w:rsidRPr="00FD211F">
        <w:rPr>
          <w:sz w:val="36"/>
          <w:szCs w:val="36"/>
          <w:rtl/>
        </w:rPr>
        <w:t>الأصولي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بحث</w:t>
      </w:r>
      <w:r w:rsidR="00E8128F">
        <w:rPr>
          <w:sz w:val="36"/>
          <w:szCs w:val="36"/>
          <w:rtl/>
        </w:rPr>
        <w:t xml:space="preserve"> </w:t>
      </w:r>
      <w:r w:rsidRPr="00FD211F">
        <w:rPr>
          <w:sz w:val="36"/>
          <w:szCs w:val="36"/>
          <w:rtl/>
        </w:rPr>
        <w:t>مقدم</w:t>
      </w:r>
      <w:r w:rsidR="00EC7EDF" w:rsidRPr="00FD211F">
        <w:rPr>
          <w:sz w:val="36"/>
          <w:szCs w:val="36"/>
          <w:rtl/>
        </w:rPr>
        <w:t>ة</w:t>
      </w:r>
      <w:r w:rsidR="00E8128F">
        <w:rPr>
          <w:sz w:val="36"/>
          <w:szCs w:val="36"/>
          <w:rtl/>
        </w:rPr>
        <w:t xml:space="preserve"> </w:t>
      </w:r>
      <w:r w:rsidRPr="00FD211F">
        <w:rPr>
          <w:sz w:val="36"/>
          <w:szCs w:val="36"/>
          <w:rtl/>
        </w:rPr>
        <w:t>الواجب</w:t>
      </w:r>
      <w:r w:rsidR="00E8128F">
        <w:rPr>
          <w:sz w:val="36"/>
          <w:szCs w:val="36"/>
          <w:rtl/>
        </w:rPr>
        <w:t xml:space="preserve"> </w:t>
      </w:r>
      <w:r w:rsidRPr="00FD211F">
        <w:rPr>
          <w:sz w:val="36"/>
          <w:szCs w:val="36"/>
          <w:rtl/>
        </w:rPr>
        <w:t>ليست</w:t>
      </w:r>
      <w:r w:rsidR="00E8128F">
        <w:rPr>
          <w:sz w:val="36"/>
          <w:szCs w:val="36"/>
          <w:rtl/>
        </w:rPr>
        <w:t xml:space="preserve"> </w:t>
      </w:r>
      <w:r w:rsidRPr="00FD211F">
        <w:rPr>
          <w:sz w:val="36"/>
          <w:szCs w:val="36"/>
          <w:rtl/>
        </w:rPr>
        <w:t>هي</w:t>
      </w:r>
      <w:r w:rsidR="00E8128F">
        <w:rPr>
          <w:sz w:val="36"/>
          <w:szCs w:val="36"/>
          <w:rtl/>
        </w:rPr>
        <w:t xml:space="preserve"> </w:t>
      </w:r>
      <w:r w:rsidR="004605DE" w:rsidRPr="00FD211F">
        <w:rPr>
          <w:sz w:val="36"/>
          <w:szCs w:val="36"/>
          <w:rtl/>
        </w:rPr>
        <w:t>وجوب</w:t>
      </w:r>
      <w:r w:rsidR="00E8128F">
        <w:rPr>
          <w:sz w:val="36"/>
          <w:szCs w:val="36"/>
          <w:rtl/>
        </w:rPr>
        <w:t xml:space="preserve"> </w:t>
      </w:r>
      <w:r w:rsidR="004605DE" w:rsidRPr="00FD211F">
        <w:rPr>
          <w:sz w:val="36"/>
          <w:szCs w:val="36"/>
          <w:rtl/>
        </w:rPr>
        <w:t>مقدم</w:t>
      </w:r>
      <w:r w:rsidR="00EC7EDF" w:rsidRPr="00FD211F">
        <w:rPr>
          <w:sz w:val="36"/>
          <w:szCs w:val="36"/>
          <w:rtl/>
        </w:rPr>
        <w:t>ة</w:t>
      </w:r>
      <w:r w:rsidR="00E8128F">
        <w:rPr>
          <w:sz w:val="36"/>
          <w:szCs w:val="36"/>
          <w:rtl/>
        </w:rPr>
        <w:t xml:space="preserve"> </w:t>
      </w:r>
      <w:r w:rsidR="004605DE" w:rsidRPr="00FD211F">
        <w:rPr>
          <w:sz w:val="36"/>
          <w:szCs w:val="36"/>
          <w:rtl/>
        </w:rPr>
        <w:t>الواجب</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004605DE" w:rsidRPr="00FD211F">
        <w:rPr>
          <w:sz w:val="36"/>
          <w:szCs w:val="36"/>
          <w:rtl/>
        </w:rPr>
        <w:t>هي</w:t>
      </w:r>
      <w:r w:rsidR="00E8128F">
        <w:rPr>
          <w:sz w:val="36"/>
          <w:szCs w:val="36"/>
          <w:rtl/>
        </w:rPr>
        <w:t xml:space="preserve"> </w:t>
      </w:r>
      <w:r w:rsidRPr="00FD211F">
        <w:rPr>
          <w:sz w:val="36"/>
          <w:szCs w:val="36"/>
          <w:rtl/>
        </w:rPr>
        <w:t>الملازم</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المقدم</w:t>
      </w:r>
      <w:r w:rsidR="00EC7EDF" w:rsidRPr="00FD211F">
        <w:rPr>
          <w:sz w:val="36"/>
          <w:szCs w:val="36"/>
          <w:rtl/>
        </w:rPr>
        <w:t>ة</w:t>
      </w:r>
      <w:r w:rsidR="00E8128F">
        <w:rPr>
          <w:sz w:val="36"/>
          <w:szCs w:val="36"/>
          <w:rtl/>
        </w:rPr>
        <w:t xml:space="preserve"> </w:t>
      </w:r>
      <w:r w:rsidR="004605DE" w:rsidRPr="00FD211F">
        <w:rPr>
          <w:sz w:val="36"/>
          <w:szCs w:val="36"/>
          <w:rtl/>
        </w:rPr>
        <w:t>و</w:t>
      </w:r>
      <w:r w:rsidRPr="00FD211F">
        <w:rPr>
          <w:sz w:val="36"/>
          <w:szCs w:val="36"/>
          <w:rtl/>
        </w:rPr>
        <w:t>وجوب</w:t>
      </w:r>
      <w:r w:rsidR="00E8128F">
        <w:rPr>
          <w:sz w:val="36"/>
          <w:szCs w:val="36"/>
          <w:rtl/>
        </w:rPr>
        <w:t xml:space="preserve"> </w:t>
      </w:r>
      <w:r w:rsidRPr="00FD211F">
        <w:rPr>
          <w:sz w:val="36"/>
          <w:szCs w:val="36"/>
          <w:rtl/>
        </w:rPr>
        <w:t>ذي</w:t>
      </w:r>
      <w:r w:rsidR="00E8128F">
        <w:rPr>
          <w:sz w:val="36"/>
          <w:szCs w:val="36"/>
          <w:rtl/>
        </w:rPr>
        <w:t xml:space="preserve"> </w:t>
      </w:r>
      <w:r w:rsidRPr="00FD211F">
        <w:rPr>
          <w:sz w:val="36"/>
          <w:szCs w:val="36"/>
          <w:rtl/>
        </w:rPr>
        <w:t>المقدم</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وحد</w:t>
      </w:r>
      <w:r w:rsidR="00EC7EDF" w:rsidRPr="00FD211F">
        <w:rPr>
          <w:sz w:val="36"/>
          <w:szCs w:val="36"/>
          <w:rtl/>
        </w:rPr>
        <w:t>ة</w:t>
      </w:r>
      <w:r w:rsidR="00E8128F">
        <w:rPr>
          <w:sz w:val="36"/>
          <w:szCs w:val="36"/>
          <w:rtl/>
        </w:rPr>
        <w:t xml:space="preserve"> </w:t>
      </w:r>
      <w:r w:rsidRPr="00FD211F">
        <w:rPr>
          <w:sz w:val="36"/>
          <w:szCs w:val="36"/>
          <w:rtl/>
        </w:rPr>
        <w:t>ثبوتي</w:t>
      </w:r>
      <w:r w:rsidR="00EC7EDF" w:rsidRPr="00FD211F">
        <w:rPr>
          <w:sz w:val="36"/>
          <w:szCs w:val="36"/>
          <w:rtl/>
        </w:rPr>
        <w:t>ة</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نفس</w:t>
      </w:r>
      <w:r w:rsidR="00E8128F">
        <w:rPr>
          <w:sz w:val="36"/>
          <w:szCs w:val="36"/>
          <w:rtl/>
        </w:rPr>
        <w:t xml:space="preserve"> </w:t>
      </w:r>
      <w:r w:rsidRPr="00FD211F">
        <w:rPr>
          <w:sz w:val="36"/>
          <w:szCs w:val="36"/>
          <w:rtl/>
        </w:rPr>
        <w:t>الملازم</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واما</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المقدم</w:t>
      </w:r>
      <w:r w:rsidR="00EC7EDF" w:rsidRPr="00FD211F">
        <w:rPr>
          <w:sz w:val="36"/>
          <w:szCs w:val="36"/>
          <w:rtl/>
        </w:rPr>
        <w:t>ة</w:t>
      </w:r>
      <w:r w:rsidR="00E8128F">
        <w:rPr>
          <w:sz w:val="36"/>
          <w:szCs w:val="36"/>
          <w:rtl/>
        </w:rPr>
        <w:t xml:space="preserve"> </w:t>
      </w:r>
      <w:r w:rsidRPr="00FD211F">
        <w:rPr>
          <w:sz w:val="36"/>
          <w:szCs w:val="36"/>
          <w:rtl/>
        </w:rPr>
        <w:t>فليست</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وحد</w:t>
      </w:r>
      <w:r w:rsidR="00EC7EDF" w:rsidRPr="00FD211F">
        <w:rPr>
          <w:sz w:val="36"/>
          <w:szCs w:val="36"/>
          <w:rtl/>
        </w:rPr>
        <w:t>ة</w:t>
      </w:r>
      <w:r w:rsidR="00E8128F">
        <w:rPr>
          <w:sz w:val="36"/>
          <w:szCs w:val="36"/>
          <w:rtl/>
        </w:rPr>
        <w:t xml:space="preserve"> </w:t>
      </w:r>
      <w:r w:rsidRPr="00FD211F">
        <w:rPr>
          <w:sz w:val="36"/>
          <w:szCs w:val="36"/>
          <w:rtl/>
        </w:rPr>
        <w:t>ثبوتي</w:t>
      </w:r>
      <w:r w:rsidR="00EC7EDF" w:rsidRPr="00FD211F">
        <w:rPr>
          <w:sz w:val="36"/>
          <w:szCs w:val="36"/>
          <w:rtl/>
        </w:rPr>
        <w:t>ة</w:t>
      </w:r>
      <w:r w:rsidR="00E8128F">
        <w:rPr>
          <w:sz w:val="36"/>
          <w:szCs w:val="36"/>
          <w:rtl/>
        </w:rPr>
        <w:t xml:space="preserve"> </w:t>
      </w:r>
      <w:r w:rsidRPr="00FD211F">
        <w:rPr>
          <w:sz w:val="36"/>
          <w:szCs w:val="36"/>
          <w:rtl/>
        </w:rPr>
        <w:t>اذ</w:t>
      </w:r>
      <w:r w:rsidR="00E8128F">
        <w:rPr>
          <w:sz w:val="36"/>
          <w:szCs w:val="36"/>
          <w:rtl/>
        </w:rPr>
        <w:t xml:space="preserve"> </w:t>
      </w:r>
      <w:r w:rsidR="008D7B3D" w:rsidRPr="00FD211F">
        <w:rPr>
          <w:sz w:val="36"/>
          <w:szCs w:val="36"/>
          <w:rtl/>
        </w:rPr>
        <w:t>لم‌</w:t>
      </w:r>
      <w:r w:rsidRPr="00FD211F">
        <w:rPr>
          <w:sz w:val="36"/>
          <w:szCs w:val="36"/>
          <w:rtl/>
        </w:rPr>
        <w:t>يتعلق</w:t>
      </w:r>
      <w:r w:rsidR="00E8128F">
        <w:rPr>
          <w:sz w:val="36"/>
          <w:szCs w:val="36"/>
          <w:rtl/>
        </w:rPr>
        <w:t xml:space="preserve"> </w:t>
      </w:r>
      <w:r w:rsidRPr="00FD211F">
        <w:rPr>
          <w:sz w:val="36"/>
          <w:szCs w:val="36"/>
          <w:rtl/>
        </w:rPr>
        <w:t>جعل</w:t>
      </w:r>
      <w:r w:rsidR="00E8128F">
        <w:rPr>
          <w:sz w:val="36"/>
          <w:szCs w:val="36"/>
          <w:rtl/>
        </w:rPr>
        <w:t xml:space="preserve"> </w:t>
      </w:r>
      <w:r w:rsidRPr="00FD211F">
        <w:rPr>
          <w:sz w:val="36"/>
          <w:szCs w:val="36"/>
          <w:rtl/>
        </w:rPr>
        <w:t>كلي</w:t>
      </w:r>
      <w:r w:rsidR="00E8128F">
        <w:rPr>
          <w:sz w:val="36"/>
          <w:szCs w:val="36"/>
          <w:rtl/>
        </w:rPr>
        <w:t xml:space="preserve"> </w:t>
      </w:r>
      <w:r w:rsidRPr="00FD211F">
        <w:rPr>
          <w:sz w:val="36"/>
          <w:szCs w:val="36"/>
          <w:rtl/>
        </w:rPr>
        <w:t>لوجوب</w:t>
      </w:r>
      <w:r w:rsidR="00E8128F">
        <w:rPr>
          <w:sz w:val="36"/>
          <w:szCs w:val="36"/>
          <w:rtl/>
        </w:rPr>
        <w:t xml:space="preserve"> </w:t>
      </w:r>
      <w:r w:rsidRPr="00FD211F">
        <w:rPr>
          <w:sz w:val="36"/>
          <w:szCs w:val="36"/>
          <w:rtl/>
        </w:rPr>
        <w:t>المقدم</w:t>
      </w:r>
      <w:r w:rsidR="00EC7EDF" w:rsidRPr="00FD211F">
        <w:rPr>
          <w:sz w:val="36"/>
          <w:szCs w:val="36"/>
          <w:rtl/>
        </w:rPr>
        <w:t>ة</w:t>
      </w:r>
      <w:r w:rsidR="00603323" w:rsidRPr="00FD211F">
        <w:rPr>
          <w:sz w:val="36"/>
          <w:szCs w:val="36"/>
          <w:rtl/>
        </w:rPr>
        <w:t>،</w:t>
      </w:r>
      <w:r w:rsidR="00E8128F">
        <w:rPr>
          <w:sz w:val="36"/>
          <w:szCs w:val="36"/>
          <w:rtl/>
        </w:rPr>
        <w:t xml:space="preserve"> </w:t>
      </w:r>
      <w:r w:rsidR="00763D33" w:rsidRPr="00FD211F">
        <w:rPr>
          <w:sz w:val="36"/>
          <w:szCs w:val="36"/>
          <w:rtl/>
        </w:rPr>
        <w:t>بل</w:t>
      </w:r>
      <w:r w:rsidR="00E8128F">
        <w:rPr>
          <w:sz w:val="36"/>
          <w:szCs w:val="36"/>
          <w:rtl/>
        </w:rPr>
        <w:t xml:space="preserve"> </w:t>
      </w:r>
      <w:r w:rsidR="00763D33" w:rsidRPr="00FD211F">
        <w:rPr>
          <w:sz w:val="36"/>
          <w:szCs w:val="36"/>
          <w:rtl/>
        </w:rPr>
        <w:t>وجوب</w:t>
      </w:r>
      <w:r w:rsidR="00E8128F">
        <w:rPr>
          <w:sz w:val="36"/>
          <w:szCs w:val="36"/>
          <w:rtl/>
        </w:rPr>
        <w:t xml:space="preserve"> </w:t>
      </w:r>
      <w:r w:rsidRPr="00FD211F">
        <w:rPr>
          <w:sz w:val="36"/>
          <w:szCs w:val="36"/>
          <w:rtl/>
        </w:rPr>
        <w:t>مقدم</w:t>
      </w:r>
      <w:r w:rsidR="00EC7EDF" w:rsidRPr="00FD211F">
        <w:rPr>
          <w:sz w:val="36"/>
          <w:szCs w:val="36"/>
          <w:rtl/>
        </w:rPr>
        <w:t>ة</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واجب</w:t>
      </w:r>
      <w:r w:rsidR="00763D33" w:rsidRPr="00FD211F">
        <w:rPr>
          <w:sz w:val="36"/>
          <w:szCs w:val="36"/>
          <w:rtl/>
        </w:rPr>
        <w:t>ٍ</w:t>
      </w:r>
      <w:r w:rsidR="00E8128F">
        <w:rPr>
          <w:sz w:val="36"/>
          <w:szCs w:val="36"/>
          <w:rtl/>
        </w:rPr>
        <w:t xml:space="preserve"> </w:t>
      </w:r>
      <w:r w:rsidRPr="00FD211F">
        <w:rPr>
          <w:sz w:val="36"/>
          <w:szCs w:val="36"/>
          <w:rtl/>
        </w:rPr>
        <w:t>مجعول</w:t>
      </w:r>
      <w:r w:rsidR="00E8128F">
        <w:rPr>
          <w:sz w:val="36"/>
          <w:szCs w:val="36"/>
          <w:rtl/>
        </w:rPr>
        <w:t xml:space="preserve"> </w:t>
      </w:r>
      <w:r w:rsidRPr="00FD211F">
        <w:rPr>
          <w:sz w:val="36"/>
          <w:szCs w:val="36"/>
          <w:rtl/>
        </w:rPr>
        <w:t>بتبع</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ذيها.</w:t>
      </w:r>
    </w:p>
    <w:p w14:paraId="21E02BFC" w14:textId="77777777" w:rsidR="00EE0B68" w:rsidRPr="00FD211F" w:rsidRDefault="004F3632" w:rsidP="009C58C8">
      <w:pPr>
        <w:ind w:left="0" w:firstLine="227"/>
        <w:jc w:val="both"/>
        <w:rPr>
          <w:sz w:val="36"/>
          <w:szCs w:val="36"/>
          <w:rtl/>
        </w:rPr>
      </w:pPr>
      <w:r w:rsidRPr="00FD211F">
        <w:rPr>
          <w:sz w:val="36"/>
          <w:szCs w:val="36"/>
          <w:rtl/>
        </w:rPr>
        <w:t>3</w:t>
      </w:r>
      <w:r w:rsidR="00B96257" w:rsidRPr="00FD211F">
        <w:rPr>
          <w:sz w:val="36"/>
          <w:szCs w:val="36"/>
          <w:rtl/>
        </w:rPr>
        <w:t>-</w:t>
      </w:r>
      <w:r w:rsidR="00E8128F">
        <w:rPr>
          <w:sz w:val="36"/>
          <w:szCs w:val="36"/>
          <w:rtl/>
        </w:rPr>
        <w:t xml:space="preserve"> </w:t>
      </w:r>
      <w:r w:rsidR="00B96257" w:rsidRPr="00FD211F">
        <w:rPr>
          <w:sz w:val="36"/>
          <w:szCs w:val="36"/>
          <w:rtl/>
        </w:rPr>
        <w:t>ان</w:t>
      </w:r>
      <w:r w:rsidR="00E8128F">
        <w:rPr>
          <w:sz w:val="36"/>
          <w:szCs w:val="36"/>
          <w:rtl/>
        </w:rPr>
        <w:t xml:space="preserve"> </w:t>
      </w:r>
      <w:r w:rsidR="00B96257" w:rsidRPr="00FD211F">
        <w:rPr>
          <w:sz w:val="36"/>
          <w:szCs w:val="36"/>
          <w:rtl/>
        </w:rPr>
        <w:t>يكون</w:t>
      </w:r>
      <w:r w:rsidR="00E8128F">
        <w:rPr>
          <w:sz w:val="36"/>
          <w:szCs w:val="36"/>
          <w:rtl/>
        </w:rPr>
        <w:t xml:space="preserve"> </w:t>
      </w:r>
      <w:r w:rsidR="00B96257" w:rsidRPr="00FD211F">
        <w:rPr>
          <w:sz w:val="36"/>
          <w:szCs w:val="36"/>
          <w:rtl/>
        </w:rPr>
        <w:t>المستنبط</w:t>
      </w:r>
      <w:r w:rsidR="00E8128F">
        <w:rPr>
          <w:sz w:val="36"/>
          <w:szCs w:val="36"/>
          <w:rtl/>
        </w:rPr>
        <w:t xml:space="preserve"> </w:t>
      </w:r>
      <w:r w:rsidR="00B96257" w:rsidRPr="00FD211F">
        <w:rPr>
          <w:sz w:val="36"/>
          <w:szCs w:val="36"/>
          <w:rtl/>
        </w:rPr>
        <w:t>من</w:t>
      </w:r>
      <w:r w:rsidR="00E8128F">
        <w:rPr>
          <w:sz w:val="36"/>
          <w:szCs w:val="36"/>
          <w:rtl/>
        </w:rPr>
        <w:t xml:space="preserve"> </w:t>
      </w:r>
      <w:r w:rsidR="00B96257" w:rsidRPr="00FD211F">
        <w:rPr>
          <w:sz w:val="36"/>
          <w:szCs w:val="36"/>
          <w:rtl/>
        </w:rPr>
        <w:t>تلك</w:t>
      </w:r>
      <w:r w:rsidR="00E8128F">
        <w:rPr>
          <w:sz w:val="36"/>
          <w:szCs w:val="36"/>
          <w:rtl/>
        </w:rPr>
        <w:t xml:space="preserve"> </w:t>
      </w:r>
      <w:r w:rsidR="00B96257" w:rsidRPr="00FD211F">
        <w:rPr>
          <w:sz w:val="36"/>
          <w:szCs w:val="36"/>
          <w:rtl/>
        </w:rPr>
        <w:t>القاعد</w:t>
      </w:r>
      <w:r w:rsidR="00EC7EDF" w:rsidRPr="00FD211F">
        <w:rPr>
          <w:sz w:val="36"/>
          <w:szCs w:val="36"/>
          <w:rtl/>
        </w:rPr>
        <w:t>ة</w:t>
      </w:r>
      <w:r w:rsidR="00E8128F">
        <w:rPr>
          <w:sz w:val="36"/>
          <w:szCs w:val="36"/>
          <w:rtl/>
        </w:rPr>
        <w:t xml:space="preserve"> </w:t>
      </w:r>
      <w:r w:rsidR="00B96257" w:rsidRPr="00FD211F">
        <w:rPr>
          <w:sz w:val="36"/>
          <w:szCs w:val="36"/>
          <w:rtl/>
        </w:rPr>
        <w:t>الجعل</w:t>
      </w:r>
      <w:r w:rsidR="00E8128F">
        <w:rPr>
          <w:sz w:val="36"/>
          <w:szCs w:val="36"/>
          <w:rtl/>
        </w:rPr>
        <w:t xml:space="preserve"> </w:t>
      </w:r>
      <w:r w:rsidR="00B96257" w:rsidRPr="00FD211F">
        <w:rPr>
          <w:sz w:val="36"/>
          <w:szCs w:val="36"/>
          <w:rtl/>
        </w:rPr>
        <w:t>الشرعي</w:t>
      </w:r>
      <w:r w:rsidR="00E8128F">
        <w:rPr>
          <w:sz w:val="36"/>
          <w:szCs w:val="36"/>
          <w:rtl/>
        </w:rPr>
        <w:t xml:space="preserve"> </w:t>
      </w:r>
      <w:r w:rsidR="00B96257" w:rsidRPr="00FD211F">
        <w:rPr>
          <w:sz w:val="36"/>
          <w:szCs w:val="36"/>
          <w:rtl/>
        </w:rPr>
        <w:t>الكلي</w:t>
      </w:r>
      <w:r w:rsidR="00603323" w:rsidRPr="00FD211F">
        <w:rPr>
          <w:sz w:val="36"/>
          <w:szCs w:val="36"/>
          <w:rtl/>
        </w:rPr>
        <w:t>،</w:t>
      </w:r>
      <w:r w:rsidR="00E8128F">
        <w:rPr>
          <w:sz w:val="36"/>
          <w:szCs w:val="36"/>
          <w:rtl/>
        </w:rPr>
        <w:t xml:space="preserve"> </w:t>
      </w:r>
      <w:r w:rsidR="00B96257" w:rsidRPr="00FD211F">
        <w:rPr>
          <w:sz w:val="36"/>
          <w:szCs w:val="36"/>
          <w:rtl/>
        </w:rPr>
        <w:t>مثل</w:t>
      </w:r>
      <w:r w:rsidR="00E8128F">
        <w:rPr>
          <w:sz w:val="36"/>
          <w:szCs w:val="36"/>
          <w:rtl/>
        </w:rPr>
        <w:t xml:space="preserve"> </w:t>
      </w:r>
      <w:r w:rsidR="00B96257" w:rsidRPr="00FD211F">
        <w:rPr>
          <w:sz w:val="36"/>
          <w:szCs w:val="36"/>
          <w:rtl/>
        </w:rPr>
        <w:t>انه</w:t>
      </w:r>
      <w:r w:rsidR="00E8128F">
        <w:rPr>
          <w:sz w:val="36"/>
          <w:szCs w:val="36"/>
          <w:rtl/>
        </w:rPr>
        <w:t xml:space="preserve"> </w:t>
      </w:r>
      <w:r w:rsidR="00B96257" w:rsidRPr="00FD211F">
        <w:rPr>
          <w:sz w:val="36"/>
          <w:szCs w:val="36"/>
          <w:rtl/>
        </w:rPr>
        <w:t>يستكشف</w:t>
      </w:r>
      <w:r w:rsidR="00E8128F">
        <w:rPr>
          <w:sz w:val="36"/>
          <w:szCs w:val="36"/>
          <w:rtl/>
        </w:rPr>
        <w:t xml:space="preserve"> </w:t>
      </w:r>
      <w:r w:rsidR="00B96257" w:rsidRPr="00FD211F">
        <w:rPr>
          <w:sz w:val="36"/>
          <w:szCs w:val="36"/>
          <w:rtl/>
        </w:rPr>
        <w:t>من</w:t>
      </w:r>
      <w:r w:rsidR="00E8128F">
        <w:rPr>
          <w:sz w:val="36"/>
          <w:szCs w:val="36"/>
          <w:rtl/>
        </w:rPr>
        <w:t xml:space="preserve"> </w:t>
      </w:r>
      <w:r w:rsidR="00B96257" w:rsidRPr="00FD211F">
        <w:rPr>
          <w:sz w:val="36"/>
          <w:szCs w:val="36"/>
          <w:rtl/>
        </w:rPr>
        <w:t>قاعد</w:t>
      </w:r>
      <w:r w:rsidR="00EC7EDF" w:rsidRPr="00FD211F">
        <w:rPr>
          <w:sz w:val="36"/>
          <w:szCs w:val="36"/>
          <w:rtl/>
        </w:rPr>
        <w:t>ة</w:t>
      </w:r>
      <w:r w:rsidR="00E8128F">
        <w:rPr>
          <w:sz w:val="36"/>
          <w:szCs w:val="36"/>
          <w:rtl/>
        </w:rPr>
        <w:t xml:space="preserve"> </w:t>
      </w:r>
      <w:r w:rsidR="00B96257" w:rsidRPr="00FD211F">
        <w:rPr>
          <w:sz w:val="36"/>
          <w:szCs w:val="36"/>
          <w:rtl/>
        </w:rPr>
        <w:t>الملازم</w:t>
      </w:r>
      <w:r w:rsidR="00EC7EDF" w:rsidRPr="00FD211F">
        <w:rPr>
          <w:sz w:val="36"/>
          <w:szCs w:val="36"/>
          <w:rtl/>
        </w:rPr>
        <w:t>ة</w:t>
      </w:r>
      <w:r w:rsidR="00E8128F">
        <w:rPr>
          <w:sz w:val="36"/>
          <w:szCs w:val="36"/>
          <w:rtl/>
        </w:rPr>
        <w:t xml:space="preserve"> </w:t>
      </w:r>
      <w:r w:rsidR="00B96257" w:rsidRPr="00FD211F">
        <w:rPr>
          <w:sz w:val="36"/>
          <w:szCs w:val="36"/>
          <w:rtl/>
        </w:rPr>
        <w:t>بين</w:t>
      </w:r>
      <w:r w:rsidR="00E8128F">
        <w:rPr>
          <w:sz w:val="36"/>
          <w:szCs w:val="36"/>
          <w:rtl/>
        </w:rPr>
        <w:t xml:space="preserve"> </w:t>
      </w:r>
      <w:r w:rsidR="00B96257" w:rsidRPr="00FD211F">
        <w:rPr>
          <w:sz w:val="36"/>
          <w:szCs w:val="36"/>
          <w:rtl/>
        </w:rPr>
        <w:t>وجوب</w:t>
      </w:r>
      <w:r w:rsidR="00E8128F">
        <w:rPr>
          <w:sz w:val="36"/>
          <w:szCs w:val="36"/>
          <w:rtl/>
        </w:rPr>
        <w:t xml:space="preserve"> </w:t>
      </w:r>
      <w:r w:rsidR="00B96257" w:rsidRPr="00FD211F">
        <w:rPr>
          <w:sz w:val="36"/>
          <w:szCs w:val="36"/>
          <w:rtl/>
        </w:rPr>
        <w:t>المقدم</w:t>
      </w:r>
      <w:r w:rsidR="00EC7EDF" w:rsidRPr="00FD211F">
        <w:rPr>
          <w:sz w:val="36"/>
          <w:szCs w:val="36"/>
          <w:rtl/>
        </w:rPr>
        <w:t>ة</w:t>
      </w:r>
      <w:r w:rsidR="00E8128F">
        <w:rPr>
          <w:sz w:val="36"/>
          <w:szCs w:val="36"/>
          <w:rtl/>
        </w:rPr>
        <w:t xml:space="preserve"> </w:t>
      </w:r>
      <w:r w:rsidR="00B96257" w:rsidRPr="00FD211F">
        <w:rPr>
          <w:sz w:val="36"/>
          <w:szCs w:val="36"/>
          <w:rtl/>
        </w:rPr>
        <w:t>ووجوب</w:t>
      </w:r>
      <w:r w:rsidR="00E8128F">
        <w:rPr>
          <w:sz w:val="36"/>
          <w:szCs w:val="36"/>
          <w:rtl/>
        </w:rPr>
        <w:t xml:space="preserve"> </w:t>
      </w:r>
      <w:r w:rsidR="00B96257" w:rsidRPr="00FD211F">
        <w:rPr>
          <w:sz w:val="36"/>
          <w:szCs w:val="36"/>
          <w:rtl/>
        </w:rPr>
        <w:t>ذيها</w:t>
      </w:r>
      <w:r w:rsidR="00E8128F">
        <w:rPr>
          <w:sz w:val="36"/>
          <w:szCs w:val="36"/>
          <w:rtl/>
        </w:rPr>
        <w:t xml:space="preserve"> </w:t>
      </w:r>
      <w:r w:rsidR="00B96257" w:rsidRPr="00FD211F">
        <w:rPr>
          <w:sz w:val="36"/>
          <w:szCs w:val="36"/>
          <w:rtl/>
        </w:rPr>
        <w:t>وجوب</w:t>
      </w:r>
      <w:r w:rsidR="00E8128F">
        <w:rPr>
          <w:sz w:val="36"/>
          <w:szCs w:val="36"/>
          <w:rtl/>
        </w:rPr>
        <w:t xml:space="preserve"> </w:t>
      </w:r>
      <w:r w:rsidR="00B96257" w:rsidRPr="00FD211F">
        <w:rPr>
          <w:sz w:val="36"/>
          <w:szCs w:val="36"/>
          <w:rtl/>
        </w:rPr>
        <w:t>الوضوء</w:t>
      </w:r>
      <w:r w:rsidR="00E8128F">
        <w:rPr>
          <w:sz w:val="36"/>
          <w:szCs w:val="36"/>
          <w:rtl/>
        </w:rPr>
        <w:t xml:space="preserve"> </w:t>
      </w:r>
      <w:r w:rsidR="00FA52A0" w:rsidRPr="00FD211F">
        <w:rPr>
          <w:sz w:val="36"/>
          <w:szCs w:val="36"/>
          <w:rtl/>
        </w:rPr>
        <w:t>عند</w:t>
      </w:r>
      <w:r w:rsidR="00E8128F">
        <w:rPr>
          <w:sz w:val="36"/>
          <w:szCs w:val="36"/>
          <w:rtl/>
        </w:rPr>
        <w:t xml:space="preserve"> </w:t>
      </w:r>
      <w:r w:rsidR="00FA52A0" w:rsidRPr="00FD211F">
        <w:rPr>
          <w:sz w:val="36"/>
          <w:szCs w:val="36"/>
          <w:rtl/>
        </w:rPr>
        <w:t>وجوب</w:t>
      </w:r>
      <w:r w:rsidR="00E8128F">
        <w:rPr>
          <w:sz w:val="36"/>
          <w:szCs w:val="36"/>
          <w:rtl/>
        </w:rPr>
        <w:t xml:space="preserve"> </w:t>
      </w:r>
      <w:r w:rsidR="00FA52A0" w:rsidRPr="00FD211F">
        <w:rPr>
          <w:sz w:val="36"/>
          <w:szCs w:val="36"/>
          <w:rtl/>
        </w:rPr>
        <w:t>الصلا</w:t>
      </w:r>
      <w:r w:rsidR="00EC7EDF" w:rsidRPr="00FD211F">
        <w:rPr>
          <w:sz w:val="36"/>
          <w:szCs w:val="36"/>
          <w:rtl/>
        </w:rPr>
        <w:t>ة</w:t>
      </w:r>
      <w:r w:rsidR="00603323" w:rsidRPr="00FD211F">
        <w:rPr>
          <w:sz w:val="36"/>
          <w:szCs w:val="36"/>
          <w:rtl/>
        </w:rPr>
        <w:t>،</w:t>
      </w:r>
      <w:r w:rsidR="00E8128F">
        <w:rPr>
          <w:sz w:val="36"/>
          <w:szCs w:val="36"/>
          <w:rtl/>
        </w:rPr>
        <w:t xml:space="preserve"> </w:t>
      </w:r>
      <w:r w:rsidR="00FA52A0" w:rsidRPr="00FD211F">
        <w:rPr>
          <w:sz w:val="36"/>
          <w:szCs w:val="36"/>
          <w:rtl/>
        </w:rPr>
        <w:t>ووجوب</w:t>
      </w:r>
      <w:r w:rsidR="00E8128F">
        <w:rPr>
          <w:sz w:val="36"/>
          <w:szCs w:val="36"/>
          <w:rtl/>
        </w:rPr>
        <w:t xml:space="preserve"> </w:t>
      </w:r>
      <w:r w:rsidR="00FA52A0" w:rsidRPr="00FD211F">
        <w:rPr>
          <w:sz w:val="36"/>
          <w:szCs w:val="36"/>
          <w:rtl/>
        </w:rPr>
        <w:t>الوضوء</w:t>
      </w:r>
      <w:r w:rsidR="00E8128F">
        <w:rPr>
          <w:sz w:val="36"/>
          <w:szCs w:val="36"/>
          <w:rtl/>
        </w:rPr>
        <w:t xml:space="preserve"> </w:t>
      </w:r>
      <w:r w:rsidR="00FA52A0" w:rsidRPr="00FD211F">
        <w:rPr>
          <w:sz w:val="36"/>
          <w:szCs w:val="36"/>
          <w:rtl/>
        </w:rPr>
        <w:t>جعل</w:t>
      </w:r>
      <w:r w:rsidR="00E8128F">
        <w:rPr>
          <w:sz w:val="36"/>
          <w:szCs w:val="36"/>
          <w:rtl/>
        </w:rPr>
        <w:t xml:space="preserve"> </w:t>
      </w:r>
      <w:r w:rsidR="00FA52A0" w:rsidRPr="00FD211F">
        <w:rPr>
          <w:sz w:val="36"/>
          <w:szCs w:val="36"/>
          <w:rtl/>
        </w:rPr>
        <w:t>شرعي</w:t>
      </w:r>
      <w:r w:rsidR="00E8128F">
        <w:rPr>
          <w:sz w:val="36"/>
          <w:szCs w:val="36"/>
          <w:rtl/>
        </w:rPr>
        <w:t xml:space="preserve"> </w:t>
      </w:r>
      <w:r w:rsidR="00FA52A0" w:rsidRPr="00FD211F">
        <w:rPr>
          <w:sz w:val="36"/>
          <w:szCs w:val="36"/>
          <w:rtl/>
        </w:rPr>
        <w:t>كلي</w:t>
      </w:r>
      <w:r w:rsidR="00603323" w:rsidRPr="00FD211F">
        <w:rPr>
          <w:sz w:val="36"/>
          <w:szCs w:val="36"/>
          <w:rtl/>
        </w:rPr>
        <w:t>،</w:t>
      </w:r>
      <w:r w:rsidR="00E8128F">
        <w:rPr>
          <w:sz w:val="36"/>
          <w:szCs w:val="36"/>
          <w:rtl/>
        </w:rPr>
        <w:t xml:space="preserve"> </w:t>
      </w:r>
      <w:r w:rsidR="00FA52A0" w:rsidRPr="00FD211F">
        <w:rPr>
          <w:sz w:val="36"/>
          <w:szCs w:val="36"/>
          <w:rtl/>
        </w:rPr>
        <w:t>وهذا</w:t>
      </w:r>
      <w:r w:rsidR="00E8128F">
        <w:rPr>
          <w:sz w:val="36"/>
          <w:szCs w:val="36"/>
          <w:rtl/>
        </w:rPr>
        <w:t xml:space="preserve"> </w:t>
      </w:r>
      <w:r w:rsidR="00FA52A0" w:rsidRPr="00FD211F">
        <w:rPr>
          <w:sz w:val="36"/>
          <w:szCs w:val="36"/>
          <w:rtl/>
        </w:rPr>
        <w:t>بخلاف</w:t>
      </w:r>
      <w:r w:rsidR="00E8128F">
        <w:rPr>
          <w:sz w:val="36"/>
          <w:szCs w:val="36"/>
          <w:rtl/>
        </w:rPr>
        <w:t xml:space="preserve"> </w:t>
      </w:r>
      <w:r w:rsidR="00FA52A0" w:rsidRPr="00FD211F">
        <w:rPr>
          <w:sz w:val="36"/>
          <w:szCs w:val="36"/>
          <w:rtl/>
        </w:rPr>
        <w:t>مثل</w:t>
      </w:r>
      <w:r w:rsidR="00E8128F">
        <w:rPr>
          <w:sz w:val="36"/>
          <w:szCs w:val="36"/>
          <w:rtl/>
        </w:rPr>
        <w:t xml:space="preserve"> </w:t>
      </w:r>
      <w:r w:rsidR="00FA52A0" w:rsidRPr="00FD211F">
        <w:rPr>
          <w:sz w:val="36"/>
          <w:szCs w:val="36"/>
          <w:rtl/>
        </w:rPr>
        <w:t>قاعد</w:t>
      </w:r>
      <w:r w:rsidR="00EC7EDF" w:rsidRPr="00FD211F">
        <w:rPr>
          <w:sz w:val="36"/>
          <w:szCs w:val="36"/>
          <w:rtl/>
        </w:rPr>
        <w:t>ة</w:t>
      </w:r>
      <w:r w:rsidR="00E8128F">
        <w:rPr>
          <w:sz w:val="36"/>
          <w:szCs w:val="36"/>
          <w:rtl/>
        </w:rPr>
        <w:t xml:space="preserve"> </w:t>
      </w:r>
      <w:r w:rsidR="00A05DF5" w:rsidRPr="00FD211F">
        <w:rPr>
          <w:sz w:val="36"/>
          <w:szCs w:val="36"/>
          <w:rtl/>
        </w:rPr>
        <w:t>ما</w:t>
      </w:r>
      <w:r w:rsidR="00E8128F">
        <w:rPr>
          <w:sz w:val="36"/>
          <w:szCs w:val="36"/>
          <w:rtl/>
        </w:rPr>
        <w:t xml:space="preserve"> </w:t>
      </w:r>
      <w:r w:rsidR="00A05DF5" w:rsidRPr="00FD211F">
        <w:rPr>
          <w:sz w:val="36"/>
          <w:szCs w:val="36"/>
          <w:rtl/>
        </w:rPr>
        <w:t>يضمن</w:t>
      </w:r>
      <w:r w:rsidR="00E8128F">
        <w:rPr>
          <w:sz w:val="36"/>
          <w:szCs w:val="36"/>
          <w:rtl/>
        </w:rPr>
        <w:t xml:space="preserve"> </w:t>
      </w:r>
      <w:r w:rsidR="00A05DF5" w:rsidRPr="00FD211F">
        <w:rPr>
          <w:sz w:val="36"/>
          <w:szCs w:val="36"/>
          <w:rtl/>
        </w:rPr>
        <w:t>بصحيحه</w:t>
      </w:r>
      <w:r w:rsidR="00E8128F">
        <w:rPr>
          <w:sz w:val="36"/>
          <w:szCs w:val="36"/>
          <w:rtl/>
        </w:rPr>
        <w:t xml:space="preserve"> </w:t>
      </w:r>
      <w:r w:rsidR="00A05DF5" w:rsidRPr="00FD211F">
        <w:rPr>
          <w:sz w:val="36"/>
          <w:szCs w:val="36"/>
          <w:rtl/>
        </w:rPr>
        <w:t>يضمن</w:t>
      </w:r>
      <w:r w:rsidR="00E8128F">
        <w:rPr>
          <w:sz w:val="36"/>
          <w:szCs w:val="36"/>
          <w:rtl/>
        </w:rPr>
        <w:t xml:space="preserve"> </w:t>
      </w:r>
      <w:r w:rsidR="00A05DF5" w:rsidRPr="00FD211F">
        <w:rPr>
          <w:sz w:val="36"/>
          <w:szCs w:val="36"/>
          <w:rtl/>
        </w:rPr>
        <w:t>بفاسده</w:t>
      </w:r>
      <w:r w:rsidR="00603323" w:rsidRPr="00FD211F">
        <w:rPr>
          <w:sz w:val="36"/>
          <w:szCs w:val="36"/>
          <w:rtl/>
        </w:rPr>
        <w:t>،</w:t>
      </w:r>
      <w:r w:rsidR="00E8128F">
        <w:rPr>
          <w:sz w:val="36"/>
          <w:szCs w:val="36"/>
          <w:rtl/>
        </w:rPr>
        <w:t xml:space="preserve"> </w:t>
      </w:r>
      <w:r w:rsidR="00FA52A0" w:rsidRPr="00FD211F">
        <w:rPr>
          <w:sz w:val="36"/>
          <w:szCs w:val="36"/>
          <w:rtl/>
        </w:rPr>
        <w:t>فانها</w:t>
      </w:r>
      <w:r w:rsidR="00E8128F">
        <w:rPr>
          <w:sz w:val="36"/>
          <w:szCs w:val="36"/>
          <w:rtl/>
        </w:rPr>
        <w:t xml:space="preserve"> </w:t>
      </w:r>
      <w:r w:rsidR="00FA52A0" w:rsidRPr="00FD211F">
        <w:rPr>
          <w:sz w:val="36"/>
          <w:szCs w:val="36"/>
          <w:rtl/>
        </w:rPr>
        <w:t>وان</w:t>
      </w:r>
      <w:r w:rsidR="00E8128F">
        <w:rPr>
          <w:sz w:val="36"/>
          <w:szCs w:val="36"/>
          <w:rtl/>
        </w:rPr>
        <w:t xml:space="preserve"> </w:t>
      </w:r>
      <w:r w:rsidR="00FA52A0" w:rsidRPr="00FD211F">
        <w:rPr>
          <w:sz w:val="36"/>
          <w:szCs w:val="36"/>
          <w:rtl/>
        </w:rPr>
        <w:t>كانت</w:t>
      </w:r>
      <w:r w:rsidR="00E8128F">
        <w:rPr>
          <w:sz w:val="36"/>
          <w:szCs w:val="36"/>
          <w:rtl/>
        </w:rPr>
        <w:t xml:space="preserve"> </w:t>
      </w:r>
      <w:r w:rsidR="00FA52A0" w:rsidRPr="00FD211F">
        <w:rPr>
          <w:sz w:val="36"/>
          <w:szCs w:val="36"/>
          <w:rtl/>
        </w:rPr>
        <w:t>قاعد</w:t>
      </w:r>
      <w:r w:rsidR="00EC7EDF" w:rsidRPr="00FD211F">
        <w:rPr>
          <w:sz w:val="36"/>
          <w:szCs w:val="36"/>
          <w:rtl/>
        </w:rPr>
        <w:t>ة</w:t>
      </w:r>
      <w:r w:rsidR="00E8128F">
        <w:rPr>
          <w:sz w:val="36"/>
          <w:szCs w:val="36"/>
          <w:rtl/>
        </w:rPr>
        <w:t xml:space="preserve"> </w:t>
      </w:r>
      <w:r w:rsidR="00FA52A0" w:rsidRPr="00FD211F">
        <w:rPr>
          <w:sz w:val="36"/>
          <w:szCs w:val="36"/>
          <w:rtl/>
        </w:rPr>
        <w:t>بمعناها</w:t>
      </w:r>
      <w:r w:rsidR="00E8128F">
        <w:rPr>
          <w:sz w:val="36"/>
          <w:szCs w:val="36"/>
          <w:rtl/>
        </w:rPr>
        <w:t xml:space="preserve"> </w:t>
      </w:r>
      <w:r w:rsidR="00FA52A0" w:rsidRPr="00FD211F">
        <w:rPr>
          <w:sz w:val="36"/>
          <w:szCs w:val="36"/>
          <w:rtl/>
        </w:rPr>
        <w:t>الفني</w:t>
      </w:r>
      <w:r w:rsidR="00E8128F">
        <w:rPr>
          <w:sz w:val="36"/>
          <w:szCs w:val="36"/>
          <w:rtl/>
        </w:rPr>
        <w:t xml:space="preserve"> </w:t>
      </w:r>
      <w:r w:rsidR="00FA52A0" w:rsidRPr="00FD211F">
        <w:rPr>
          <w:sz w:val="36"/>
          <w:szCs w:val="36"/>
          <w:rtl/>
        </w:rPr>
        <w:t>لوحدتها</w:t>
      </w:r>
      <w:r w:rsidR="00E8128F">
        <w:rPr>
          <w:sz w:val="36"/>
          <w:szCs w:val="36"/>
          <w:rtl/>
        </w:rPr>
        <w:t xml:space="preserve"> </w:t>
      </w:r>
      <w:r w:rsidR="00FA52A0" w:rsidRPr="00FD211F">
        <w:rPr>
          <w:sz w:val="36"/>
          <w:szCs w:val="36"/>
          <w:rtl/>
        </w:rPr>
        <w:t>الثبوتي</w:t>
      </w:r>
      <w:r w:rsidR="00EC7EDF" w:rsidRPr="00FD211F">
        <w:rPr>
          <w:sz w:val="36"/>
          <w:szCs w:val="36"/>
          <w:rtl/>
        </w:rPr>
        <w:t>ة</w:t>
      </w:r>
      <w:r w:rsidR="00E8128F">
        <w:rPr>
          <w:sz w:val="36"/>
          <w:szCs w:val="36"/>
          <w:rtl/>
        </w:rPr>
        <w:t xml:space="preserve"> </w:t>
      </w:r>
      <w:r w:rsidR="00FA52A0" w:rsidRPr="00FD211F">
        <w:rPr>
          <w:sz w:val="36"/>
          <w:szCs w:val="36"/>
          <w:rtl/>
        </w:rPr>
        <w:t>حيث</w:t>
      </w:r>
      <w:r w:rsidR="00E8128F">
        <w:rPr>
          <w:sz w:val="36"/>
          <w:szCs w:val="36"/>
          <w:rtl/>
        </w:rPr>
        <w:t xml:space="preserve"> </w:t>
      </w:r>
      <w:r w:rsidR="00FA52A0" w:rsidRPr="00FD211F">
        <w:rPr>
          <w:sz w:val="36"/>
          <w:szCs w:val="36"/>
          <w:rtl/>
        </w:rPr>
        <w:t>ترجع</w:t>
      </w:r>
      <w:r w:rsidR="00E8128F">
        <w:rPr>
          <w:sz w:val="36"/>
          <w:szCs w:val="36"/>
          <w:rtl/>
        </w:rPr>
        <w:t xml:space="preserve"> </w:t>
      </w:r>
      <w:r w:rsidR="00FA52A0" w:rsidRPr="00FD211F">
        <w:rPr>
          <w:sz w:val="36"/>
          <w:szCs w:val="36"/>
          <w:rtl/>
        </w:rPr>
        <w:t>الى</w:t>
      </w:r>
      <w:r w:rsidR="00E8128F">
        <w:rPr>
          <w:sz w:val="36"/>
          <w:szCs w:val="36"/>
          <w:rtl/>
        </w:rPr>
        <w:t xml:space="preserve"> </w:t>
      </w:r>
      <w:r w:rsidR="00FA52A0" w:rsidRPr="00FD211F">
        <w:rPr>
          <w:sz w:val="36"/>
          <w:szCs w:val="36"/>
          <w:rtl/>
        </w:rPr>
        <w:t>جعل</w:t>
      </w:r>
      <w:r w:rsidR="00E8128F">
        <w:rPr>
          <w:sz w:val="36"/>
          <w:szCs w:val="36"/>
          <w:rtl/>
        </w:rPr>
        <w:t xml:space="preserve"> </w:t>
      </w:r>
      <w:r w:rsidR="00FA52A0" w:rsidRPr="00FD211F">
        <w:rPr>
          <w:sz w:val="36"/>
          <w:szCs w:val="36"/>
          <w:rtl/>
        </w:rPr>
        <w:t>الشارع</w:t>
      </w:r>
      <w:r w:rsidR="00E8128F">
        <w:rPr>
          <w:sz w:val="36"/>
          <w:szCs w:val="36"/>
          <w:rtl/>
        </w:rPr>
        <w:t xml:space="preserve"> </w:t>
      </w:r>
      <w:r w:rsidR="00FA52A0" w:rsidRPr="00FD211F">
        <w:rPr>
          <w:sz w:val="36"/>
          <w:szCs w:val="36"/>
          <w:rtl/>
        </w:rPr>
        <w:t>الضمان</w:t>
      </w:r>
      <w:r w:rsidR="00E8128F">
        <w:rPr>
          <w:sz w:val="36"/>
          <w:szCs w:val="36"/>
          <w:rtl/>
        </w:rPr>
        <w:t xml:space="preserve"> </w:t>
      </w:r>
      <w:r w:rsidR="00763D33" w:rsidRPr="00FD211F">
        <w:rPr>
          <w:sz w:val="36"/>
          <w:szCs w:val="36"/>
          <w:rtl/>
        </w:rPr>
        <w:lastRenderedPageBreak/>
        <w:t>بسبب</w:t>
      </w:r>
      <w:r w:rsidR="00E8128F">
        <w:rPr>
          <w:sz w:val="36"/>
          <w:szCs w:val="36"/>
          <w:rtl/>
        </w:rPr>
        <w:t xml:space="preserve"> </w:t>
      </w:r>
      <w:r w:rsidR="00763D33" w:rsidRPr="00FD211F">
        <w:rPr>
          <w:sz w:val="36"/>
          <w:szCs w:val="36"/>
          <w:rtl/>
        </w:rPr>
        <w:t>الاستيلاء</w:t>
      </w:r>
      <w:r w:rsidR="00E8128F">
        <w:rPr>
          <w:sz w:val="36"/>
          <w:szCs w:val="36"/>
          <w:rtl/>
        </w:rPr>
        <w:t xml:space="preserve"> </w:t>
      </w:r>
      <w:r w:rsidR="00763D33" w:rsidRPr="00FD211F">
        <w:rPr>
          <w:sz w:val="36"/>
          <w:szCs w:val="36"/>
          <w:rtl/>
        </w:rPr>
        <w:t>على</w:t>
      </w:r>
      <w:r w:rsidR="00E8128F">
        <w:rPr>
          <w:sz w:val="36"/>
          <w:szCs w:val="36"/>
          <w:rtl/>
        </w:rPr>
        <w:t xml:space="preserve"> </w:t>
      </w:r>
      <w:r w:rsidR="00763D33" w:rsidRPr="00FD211F">
        <w:rPr>
          <w:sz w:val="36"/>
          <w:szCs w:val="36"/>
          <w:rtl/>
        </w:rPr>
        <w:t>مال</w:t>
      </w:r>
      <w:r w:rsidR="00E8128F">
        <w:rPr>
          <w:sz w:val="36"/>
          <w:szCs w:val="36"/>
          <w:rtl/>
        </w:rPr>
        <w:t xml:space="preserve"> </w:t>
      </w:r>
      <w:r w:rsidR="00763D33" w:rsidRPr="00FD211F">
        <w:rPr>
          <w:sz w:val="36"/>
          <w:szCs w:val="36"/>
          <w:rtl/>
        </w:rPr>
        <w:t>الآخرين</w:t>
      </w:r>
      <w:r w:rsidR="00E8128F">
        <w:rPr>
          <w:sz w:val="36"/>
          <w:szCs w:val="36"/>
          <w:rtl/>
        </w:rPr>
        <w:t xml:space="preserve"> </w:t>
      </w:r>
      <w:r w:rsidR="00763D33" w:rsidRPr="00FD211F">
        <w:rPr>
          <w:sz w:val="36"/>
          <w:szCs w:val="36"/>
          <w:rtl/>
        </w:rPr>
        <w:t>مع</w:t>
      </w:r>
      <w:r w:rsidR="00E8128F">
        <w:rPr>
          <w:sz w:val="36"/>
          <w:szCs w:val="36"/>
          <w:rtl/>
        </w:rPr>
        <w:t xml:space="preserve"> </w:t>
      </w:r>
      <w:r w:rsidR="00763D33" w:rsidRPr="00FD211F">
        <w:rPr>
          <w:sz w:val="36"/>
          <w:szCs w:val="36"/>
          <w:rtl/>
        </w:rPr>
        <w:t>عدم</w:t>
      </w:r>
      <w:r w:rsidR="00E8128F">
        <w:rPr>
          <w:sz w:val="36"/>
          <w:szCs w:val="36"/>
          <w:rtl/>
        </w:rPr>
        <w:t xml:space="preserve"> </w:t>
      </w:r>
      <w:r w:rsidR="00763D33" w:rsidRPr="00FD211F">
        <w:rPr>
          <w:sz w:val="36"/>
          <w:szCs w:val="36"/>
          <w:rtl/>
        </w:rPr>
        <w:t>تسليطهم</w:t>
      </w:r>
      <w:r w:rsidR="00E8128F">
        <w:rPr>
          <w:sz w:val="36"/>
          <w:szCs w:val="36"/>
          <w:rtl/>
        </w:rPr>
        <w:t xml:space="preserve"> </w:t>
      </w:r>
      <w:r w:rsidR="00763D33" w:rsidRPr="00FD211F">
        <w:rPr>
          <w:sz w:val="36"/>
          <w:szCs w:val="36"/>
          <w:rtl/>
        </w:rPr>
        <w:t>له</w:t>
      </w:r>
      <w:r w:rsidR="00E8128F">
        <w:rPr>
          <w:sz w:val="36"/>
          <w:szCs w:val="36"/>
          <w:rtl/>
        </w:rPr>
        <w:t xml:space="preserve"> </w:t>
      </w:r>
      <w:r w:rsidR="00763D33" w:rsidRPr="00FD211F">
        <w:rPr>
          <w:sz w:val="36"/>
          <w:szCs w:val="36"/>
          <w:rtl/>
        </w:rPr>
        <w:t>عليه</w:t>
      </w:r>
      <w:r w:rsidR="00E8128F">
        <w:rPr>
          <w:sz w:val="36"/>
          <w:szCs w:val="36"/>
          <w:rtl/>
        </w:rPr>
        <w:t xml:space="preserve"> </w:t>
      </w:r>
      <w:r w:rsidR="00763D33" w:rsidRPr="00FD211F">
        <w:rPr>
          <w:sz w:val="36"/>
          <w:szCs w:val="36"/>
          <w:rtl/>
        </w:rPr>
        <w:t>مجانا</w:t>
      </w:r>
      <w:r w:rsidR="00603323" w:rsidRPr="00FD211F">
        <w:rPr>
          <w:sz w:val="36"/>
          <w:szCs w:val="36"/>
          <w:rtl/>
        </w:rPr>
        <w:t>،</w:t>
      </w:r>
      <w:r w:rsidR="00E8128F">
        <w:rPr>
          <w:sz w:val="36"/>
          <w:szCs w:val="36"/>
          <w:rtl/>
        </w:rPr>
        <w:t xml:space="preserve"> </w:t>
      </w:r>
      <w:r w:rsidR="00A05DF5" w:rsidRPr="00FD211F">
        <w:rPr>
          <w:sz w:val="36"/>
          <w:szCs w:val="36"/>
          <w:rtl/>
        </w:rPr>
        <w:t>غير</w:t>
      </w:r>
      <w:r w:rsidR="00E8128F">
        <w:rPr>
          <w:sz w:val="36"/>
          <w:szCs w:val="36"/>
          <w:rtl/>
        </w:rPr>
        <w:t xml:space="preserve"> </w:t>
      </w:r>
      <w:r w:rsidR="00A05DF5" w:rsidRPr="00FD211F">
        <w:rPr>
          <w:sz w:val="36"/>
          <w:szCs w:val="36"/>
          <w:rtl/>
        </w:rPr>
        <w:t>انه</w:t>
      </w:r>
      <w:r w:rsidR="00E8128F">
        <w:rPr>
          <w:sz w:val="36"/>
          <w:szCs w:val="36"/>
          <w:rtl/>
        </w:rPr>
        <w:t xml:space="preserve"> </w:t>
      </w:r>
      <w:r w:rsidR="00A05DF5" w:rsidRPr="00FD211F">
        <w:rPr>
          <w:sz w:val="36"/>
          <w:szCs w:val="36"/>
          <w:rtl/>
        </w:rPr>
        <w:t>لايمكن</w:t>
      </w:r>
      <w:r w:rsidR="00E8128F">
        <w:rPr>
          <w:sz w:val="36"/>
          <w:szCs w:val="36"/>
          <w:rtl/>
        </w:rPr>
        <w:t xml:space="preserve"> </w:t>
      </w:r>
      <w:r w:rsidR="00A05DF5" w:rsidRPr="00FD211F">
        <w:rPr>
          <w:sz w:val="36"/>
          <w:szCs w:val="36"/>
          <w:rtl/>
        </w:rPr>
        <w:t>ان</w:t>
      </w:r>
      <w:r w:rsidR="00E8128F">
        <w:rPr>
          <w:sz w:val="36"/>
          <w:szCs w:val="36"/>
          <w:rtl/>
        </w:rPr>
        <w:t xml:space="preserve"> </w:t>
      </w:r>
      <w:r w:rsidR="00FA52A0" w:rsidRPr="00FD211F">
        <w:rPr>
          <w:sz w:val="36"/>
          <w:szCs w:val="36"/>
          <w:rtl/>
        </w:rPr>
        <w:t>ت</w:t>
      </w:r>
      <w:r w:rsidR="00A05DF5" w:rsidRPr="00FD211F">
        <w:rPr>
          <w:sz w:val="36"/>
          <w:szCs w:val="36"/>
          <w:rtl/>
        </w:rPr>
        <w:t>قع</w:t>
      </w:r>
      <w:r w:rsidR="00E8128F">
        <w:rPr>
          <w:sz w:val="36"/>
          <w:szCs w:val="36"/>
          <w:rtl/>
        </w:rPr>
        <w:t xml:space="preserve"> </w:t>
      </w:r>
      <w:r w:rsidR="00A05DF5" w:rsidRPr="00FD211F">
        <w:rPr>
          <w:sz w:val="36"/>
          <w:szCs w:val="36"/>
          <w:rtl/>
        </w:rPr>
        <w:t>في</w:t>
      </w:r>
      <w:r w:rsidR="00E8128F">
        <w:rPr>
          <w:sz w:val="36"/>
          <w:szCs w:val="36"/>
          <w:rtl/>
        </w:rPr>
        <w:t xml:space="preserve"> </w:t>
      </w:r>
      <w:r w:rsidR="00A05DF5" w:rsidRPr="00FD211F">
        <w:rPr>
          <w:sz w:val="36"/>
          <w:szCs w:val="36"/>
          <w:rtl/>
        </w:rPr>
        <w:t>طريق</w:t>
      </w:r>
      <w:r w:rsidR="00E8128F">
        <w:rPr>
          <w:sz w:val="36"/>
          <w:szCs w:val="36"/>
          <w:rtl/>
        </w:rPr>
        <w:t xml:space="preserve"> </w:t>
      </w:r>
      <w:r w:rsidR="00A05DF5" w:rsidRPr="00FD211F">
        <w:rPr>
          <w:sz w:val="36"/>
          <w:szCs w:val="36"/>
          <w:rtl/>
        </w:rPr>
        <w:t>اثبات</w:t>
      </w:r>
      <w:r w:rsidR="00E8128F">
        <w:rPr>
          <w:sz w:val="36"/>
          <w:szCs w:val="36"/>
          <w:rtl/>
        </w:rPr>
        <w:t xml:space="preserve"> </w:t>
      </w:r>
      <w:r w:rsidR="00A05DF5" w:rsidRPr="00FD211F">
        <w:rPr>
          <w:sz w:val="36"/>
          <w:szCs w:val="36"/>
          <w:rtl/>
        </w:rPr>
        <w:t>جعل</w:t>
      </w:r>
      <w:r w:rsidR="00E8128F">
        <w:rPr>
          <w:sz w:val="36"/>
          <w:szCs w:val="36"/>
          <w:rtl/>
        </w:rPr>
        <w:t xml:space="preserve"> </w:t>
      </w:r>
      <w:r w:rsidR="00A05DF5" w:rsidRPr="00FD211F">
        <w:rPr>
          <w:sz w:val="36"/>
          <w:szCs w:val="36"/>
          <w:rtl/>
        </w:rPr>
        <w:t>شرعي</w:t>
      </w:r>
      <w:r w:rsidR="00603323" w:rsidRPr="00FD211F">
        <w:rPr>
          <w:sz w:val="36"/>
          <w:szCs w:val="36"/>
          <w:rtl/>
        </w:rPr>
        <w:t>،</w:t>
      </w:r>
      <w:r w:rsidR="00E8128F">
        <w:rPr>
          <w:sz w:val="36"/>
          <w:szCs w:val="36"/>
          <w:rtl/>
        </w:rPr>
        <w:t xml:space="preserve"> </w:t>
      </w:r>
      <w:r w:rsidR="00A05DF5" w:rsidRPr="00FD211F">
        <w:rPr>
          <w:sz w:val="36"/>
          <w:szCs w:val="36"/>
          <w:rtl/>
        </w:rPr>
        <w:t>لانه</w:t>
      </w:r>
      <w:r w:rsidR="00FA52A0" w:rsidRPr="00FD211F">
        <w:rPr>
          <w:sz w:val="36"/>
          <w:szCs w:val="36"/>
          <w:rtl/>
        </w:rPr>
        <w:t>ا</w:t>
      </w:r>
      <w:r w:rsidR="00E8128F">
        <w:rPr>
          <w:sz w:val="36"/>
          <w:szCs w:val="36"/>
          <w:rtl/>
        </w:rPr>
        <w:t xml:space="preserve"> </w:t>
      </w:r>
      <w:r w:rsidR="00A05DF5" w:rsidRPr="00FD211F">
        <w:rPr>
          <w:sz w:val="36"/>
          <w:szCs w:val="36"/>
          <w:rtl/>
        </w:rPr>
        <w:t>بنفسه</w:t>
      </w:r>
      <w:r w:rsidR="00FA52A0" w:rsidRPr="00FD211F">
        <w:rPr>
          <w:sz w:val="36"/>
          <w:szCs w:val="36"/>
          <w:rtl/>
        </w:rPr>
        <w:t>ا</w:t>
      </w:r>
      <w:r w:rsidR="00E8128F">
        <w:rPr>
          <w:sz w:val="36"/>
          <w:szCs w:val="36"/>
          <w:rtl/>
        </w:rPr>
        <w:t xml:space="preserve"> </w:t>
      </w:r>
      <w:r w:rsidR="00A05DF5" w:rsidRPr="00FD211F">
        <w:rPr>
          <w:sz w:val="36"/>
          <w:szCs w:val="36"/>
          <w:rtl/>
        </w:rPr>
        <w:t>ه</w:t>
      </w:r>
      <w:r w:rsidR="00FA52A0" w:rsidRPr="00FD211F">
        <w:rPr>
          <w:sz w:val="36"/>
          <w:szCs w:val="36"/>
          <w:rtl/>
        </w:rPr>
        <w:t>ي</w:t>
      </w:r>
      <w:r w:rsidR="00E8128F">
        <w:rPr>
          <w:sz w:val="36"/>
          <w:szCs w:val="36"/>
          <w:rtl/>
        </w:rPr>
        <w:t xml:space="preserve"> </w:t>
      </w:r>
      <w:r w:rsidR="00A05DF5" w:rsidRPr="00FD211F">
        <w:rPr>
          <w:sz w:val="36"/>
          <w:szCs w:val="36"/>
          <w:rtl/>
        </w:rPr>
        <w:t>الجعل</w:t>
      </w:r>
      <w:r w:rsidR="00E8128F">
        <w:rPr>
          <w:sz w:val="36"/>
          <w:szCs w:val="36"/>
          <w:rtl/>
        </w:rPr>
        <w:t xml:space="preserve"> </w:t>
      </w:r>
      <w:r w:rsidR="00A05DF5" w:rsidRPr="00FD211F">
        <w:rPr>
          <w:sz w:val="36"/>
          <w:szCs w:val="36"/>
          <w:rtl/>
        </w:rPr>
        <w:t>الصادر</w:t>
      </w:r>
      <w:r w:rsidR="00E8128F">
        <w:rPr>
          <w:sz w:val="36"/>
          <w:szCs w:val="36"/>
          <w:rtl/>
        </w:rPr>
        <w:t xml:space="preserve"> </w:t>
      </w:r>
      <w:r w:rsidR="00A05DF5" w:rsidRPr="00FD211F">
        <w:rPr>
          <w:sz w:val="36"/>
          <w:szCs w:val="36"/>
          <w:rtl/>
        </w:rPr>
        <w:t>من</w:t>
      </w:r>
      <w:r w:rsidR="00E8128F">
        <w:rPr>
          <w:sz w:val="36"/>
          <w:szCs w:val="36"/>
          <w:rtl/>
        </w:rPr>
        <w:t xml:space="preserve"> </w:t>
      </w:r>
      <w:r w:rsidR="00A05DF5" w:rsidRPr="00FD211F">
        <w:rPr>
          <w:sz w:val="36"/>
          <w:szCs w:val="36"/>
          <w:rtl/>
        </w:rPr>
        <w:t>الشارع</w:t>
      </w:r>
      <w:r w:rsidR="00E8128F">
        <w:rPr>
          <w:sz w:val="36"/>
          <w:szCs w:val="36"/>
          <w:rtl/>
        </w:rPr>
        <w:t xml:space="preserve"> </w:t>
      </w:r>
      <w:r w:rsidR="00A05DF5" w:rsidRPr="00FD211F">
        <w:rPr>
          <w:sz w:val="36"/>
          <w:szCs w:val="36"/>
          <w:rtl/>
        </w:rPr>
        <w:t>وانما</w:t>
      </w:r>
      <w:r w:rsidR="00E8128F">
        <w:rPr>
          <w:sz w:val="36"/>
          <w:szCs w:val="36"/>
          <w:rtl/>
        </w:rPr>
        <w:t xml:space="preserve"> </w:t>
      </w:r>
      <w:r w:rsidR="00BC0C97" w:rsidRPr="00FD211F">
        <w:rPr>
          <w:sz w:val="36"/>
          <w:szCs w:val="36"/>
          <w:rtl/>
        </w:rPr>
        <w:t>ت</w:t>
      </w:r>
      <w:r w:rsidR="00A05DF5" w:rsidRPr="00FD211F">
        <w:rPr>
          <w:sz w:val="36"/>
          <w:szCs w:val="36"/>
          <w:rtl/>
        </w:rPr>
        <w:t>قع</w:t>
      </w:r>
      <w:r w:rsidR="00E8128F">
        <w:rPr>
          <w:sz w:val="36"/>
          <w:szCs w:val="36"/>
          <w:rtl/>
        </w:rPr>
        <w:t xml:space="preserve"> </w:t>
      </w:r>
      <w:r w:rsidR="00A05DF5" w:rsidRPr="00FD211F">
        <w:rPr>
          <w:sz w:val="36"/>
          <w:szCs w:val="36"/>
          <w:rtl/>
        </w:rPr>
        <w:t>في</w:t>
      </w:r>
      <w:r w:rsidR="00E8128F">
        <w:rPr>
          <w:sz w:val="36"/>
          <w:szCs w:val="36"/>
          <w:rtl/>
        </w:rPr>
        <w:t xml:space="preserve"> </w:t>
      </w:r>
      <w:r w:rsidR="00A05DF5" w:rsidRPr="00FD211F">
        <w:rPr>
          <w:sz w:val="36"/>
          <w:szCs w:val="36"/>
          <w:rtl/>
        </w:rPr>
        <w:t>طريق</w:t>
      </w:r>
      <w:r w:rsidR="00E8128F">
        <w:rPr>
          <w:sz w:val="36"/>
          <w:szCs w:val="36"/>
          <w:rtl/>
        </w:rPr>
        <w:t xml:space="preserve"> </w:t>
      </w:r>
      <w:r w:rsidR="00A05DF5" w:rsidRPr="00FD211F">
        <w:rPr>
          <w:sz w:val="36"/>
          <w:szCs w:val="36"/>
          <w:rtl/>
        </w:rPr>
        <w:t>تطبيقات</w:t>
      </w:r>
      <w:r w:rsidR="00E8128F">
        <w:rPr>
          <w:sz w:val="36"/>
          <w:szCs w:val="36"/>
          <w:rtl/>
        </w:rPr>
        <w:t xml:space="preserve"> </w:t>
      </w:r>
      <w:r w:rsidR="00A05DF5" w:rsidRPr="00FD211F">
        <w:rPr>
          <w:sz w:val="36"/>
          <w:szCs w:val="36"/>
          <w:rtl/>
        </w:rPr>
        <w:t>هذا</w:t>
      </w:r>
      <w:r w:rsidR="00E8128F">
        <w:rPr>
          <w:sz w:val="36"/>
          <w:szCs w:val="36"/>
          <w:rtl/>
        </w:rPr>
        <w:t xml:space="preserve"> </w:t>
      </w:r>
      <w:r w:rsidR="00A05DF5" w:rsidRPr="00FD211F">
        <w:rPr>
          <w:sz w:val="36"/>
          <w:szCs w:val="36"/>
          <w:rtl/>
        </w:rPr>
        <w:t>الجعل</w:t>
      </w:r>
      <w:r w:rsidR="00603323" w:rsidRPr="00FD211F">
        <w:rPr>
          <w:sz w:val="36"/>
          <w:szCs w:val="36"/>
          <w:rtl/>
        </w:rPr>
        <w:t>،</w:t>
      </w:r>
      <w:r w:rsidR="00E8128F">
        <w:rPr>
          <w:sz w:val="36"/>
          <w:szCs w:val="36"/>
          <w:rtl/>
        </w:rPr>
        <w:t xml:space="preserve"> </w:t>
      </w:r>
      <w:r w:rsidR="00A05DF5" w:rsidRPr="00FD211F">
        <w:rPr>
          <w:sz w:val="36"/>
          <w:szCs w:val="36"/>
          <w:rtl/>
        </w:rPr>
        <w:t>فضمان</w:t>
      </w:r>
      <w:r w:rsidR="00E8128F">
        <w:rPr>
          <w:sz w:val="36"/>
          <w:szCs w:val="36"/>
          <w:rtl/>
        </w:rPr>
        <w:t xml:space="preserve"> </w:t>
      </w:r>
      <w:r w:rsidR="00A05DF5" w:rsidRPr="00FD211F">
        <w:rPr>
          <w:sz w:val="36"/>
          <w:szCs w:val="36"/>
          <w:rtl/>
        </w:rPr>
        <w:t>المشتري</w:t>
      </w:r>
      <w:r w:rsidR="00E8128F">
        <w:rPr>
          <w:sz w:val="36"/>
          <w:szCs w:val="36"/>
          <w:rtl/>
        </w:rPr>
        <w:t xml:space="preserve"> </w:t>
      </w:r>
      <w:r w:rsidR="00A05DF5" w:rsidRPr="00FD211F">
        <w:rPr>
          <w:sz w:val="36"/>
          <w:szCs w:val="36"/>
          <w:rtl/>
        </w:rPr>
        <w:t>للمبيع</w:t>
      </w:r>
      <w:r w:rsidR="00E8128F">
        <w:rPr>
          <w:sz w:val="36"/>
          <w:szCs w:val="36"/>
          <w:rtl/>
        </w:rPr>
        <w:t xml:space="preserve"> </w:t>
      </w:r>
      <w:r w:rsidR="00A05DF5" w:rsidRPr="00FD211F">
        <w:rPr>
          <w:sz w:val="36"/>
          <w:szCs w:val="36"/>
          <w:rtl/>
        </w:rPr>
        <w:t>في</w:t>
      </w:r>
      <w:r w:rsidR="00E8128F">
        <w:rPr>
          <w:sz w:val="36"/>
          <w:szCs w:val="36"/>
          <w:rtl/>
        </w:rPr>
        <w:t xml:space="preserve"> </w:t>
      </w:r>
      <w:r w:rsidR="00A05DF5" w:rsidRPr="00FD211F">
        <w:rPr>
          <w:sz w:val="36"/>
          <w:szCs w:val="36"/>
          <w:rtl/>
        </w:rPr>
        <w:t>البيع</w:t>
      </w:r>
      <w:r w:rsidR="00E8128F">
        <w:rPr>
          <w:sz w:val="36"/>
          <w:szCs w:val="36"/>
          <w:rtl/>
        </w:rPr>
        <w:t xml:space="preserve"> </w:t>
      </w:r>
      <w:r w:rsidR="00A05DF5" w:rsidRPr="00FD211F">
        <w:rPr>
          <w:sz w:val="36"/>
          <w:szCs w:val="36"/>
          <w:rtl/>
        </w:rPr>
        <w:t>الفاسد</w:t>
      </w:r>
      <w:r w:rsidR="00E8128F">
        <w:rPr>
          <w:sz w:val="36"/>
          <w:szCs w:val="36"/>
          <w:rtl/>
        </w:rPr>
        <w:t xml:space="preserve"> </w:t>
      </w:r>
      <w:r w:rsidR="00A05DF5" w:rsidRPr="00FD211F">
        <w:rPr>
          <w:sz w:val="36"/>
          <w:szCs w:val="36"/>
          <w:rtl/>
        </w:rPr>
        <w:t>ليس</w:t>
      </w:r>
      <w:r w:rsidR="00E8128F">
        <w:rPr>
          <w:sz w:val="36"/>
          <w:szCs w:val="36"/>
          <w:rtl/>
        </w:rPr>
        <w:t xml:space="preserve"> </w:t>
      </w:r>
      <w:r w:rsidR="00A05DF5" w:rsidRPr="00FD211F">
        <w:rPr>
          <w:sz w:val="36"/>
          <w:szCs w:val="36"/>
          <w:rtl/>
        </w:rPr>
        <w:t>مجعولا</w:t>
      </w:r>
      <w:r w:rsidR="00E8128F">
        <w:rPr>
          <w:sz w:val="36"/>
          <w:szCs w:val="36"/>
          <w:rtl/>
        </w:rPr>
        <w:t xml:space="preserve"> </w:t>
      </w:r>
      <w:r w:rsidR="00A05DF5" w:rsidRPr="00FD211F">
        <w:rPr>
          <w:sz w:val="36"/>
          <w:szCs w:val="36"/>
          <w:rtl/>
        </w:rPr>
        <w:t>برأسه</w:t>
      </w:r>
      <w:r w:rsidR="00E8128F">
        <w:rPr>
          <w:sz w:val="36"/>
          <w:szCs w:val="36"/>
          <w:rtl/>
        </w:rPr>
        <w:t xml:space="preserve"> </w:t>
      </w:r>
      <w:r w:rsidR="00A05DF5" w:rsidRPr="00FD211F">
        <w:rPr>
          <w:sz w:val="36"/>
          <w:szCs w:val="36"/>
          <w:rtl/>
        </w:rPr>
        <w:t>بل</w:t>
      </w:r>
      <w:r w:rsidR="00E8128F">
        <w:rPr>
          <w:sz w:val="36"/>
          <w:szCs w:val="36"/>
          <w:rtl/>
        </w:rPr>
        <w:t xml:space="preserve"> </w:t>
      </w:r>
      <w:r w:rsidR="00A05DF5" w:rsidRPr="00FD211F">
        <w:rPr>
          <w:sz w:val="36"/>
          <w:szCs w:val="36"/>
          <w:rtl/>
        </w:rPr>
        <w:t>هو</w:t>
      </w:r>
      <w:r w:rsidR="00E8128F">
        <w:rPr>
          <w:sz w:val="36"/>
          <w:szCs w:val="36"/>
          <w:rtl/>
        </w:rPr>
        <w:t xml:space="preserve"> </w:t>
      </w:r>
      <w:r w:rsidR="00A05DF5" w:rsidRPr="00FD211F">
        <w:rPr>
          <w:sz w:val="36"/>
          <w:szCs w:val="36"/>
          <w:rtl/>
        </w:rPr>
        <w:t>تطبيق</w:t>
      </w:r>
      <w:r w:rsidR="00E8128F">
        <w:rPr>
          <w:sz w:val="36"/>
          <w:szCs w:val="36"/>
          <w:rtl/>
        </w:rPr>
        <w:t xml:space="preserve"> </w:t>
      </w:r>
      <w:r w:rsidR="00A05DF5" w:rsidRPr="00FD211F">
        <w:rPr>
          <w:sz w:val="36"/>
          <w:szCs w:val="36"/>
          <w:rtl/>
        </w:rPr>
        <w:t>من</w:t>
      </w:r>
      <w:r w:rsidR="00E8128F">
        <w:rPr>
          <w:sz w:val="36"/>
          <w:szCs w:val="36"/>
          <w:rtl/>
        </w:rPr>
        <w:t xml:space="preserve"> </w:t>
      </w:r>
      <w:r w:rsidR="00A05DF5" w:rsidRPr="00FD211F">
        <w:rPr>
          <w:sz w:val="36"/>
          <w:szCs w:val="36"/>
          <w:rtl/>
        </w:rPr>
        <w:t>تطبيقات</w:t>
      </w:r>
      <w:r w:rsidR="00E8128F">
        <w:rPr>
          <w:sz w:val="36"/>
          <w:szCs w:val="36"/>
          <w:rtl/>
        </w:rPr>
        <w:t xml:space="preserve"> </w:t>
      </w:r>
      <w:r w:rsidR="00A05DF5" w:rsidRPr="00FD211F">
        <w:rPr>
          <w:sz w:val="36"/>
          <w:szCs w:val="36"/>
          <w:rtl/>
        </w:rPr>
        <w:t>جعل</w:t>
      </w:r>
      <w:r w:rsidR="00E8128F">
        <w:rPr>
          <w:sz w:val="36"/>
          <w:szCs w:val="36"/>
          <w:rtl/>
        </w:rPr>
        <w:t xml:space="preserve"> </w:t>
      </w:r>
      <w:r w:rsidR="00A05DF5" w:rsidRPr="00FD211F">
        <w:rPr>
          <w:sz w:val="36"/>
          <w:szCs w:val="36"/>
          <w:rtl/>
        </w:rPr>
        <w:t>كلي</w:t>
      </w:r>
      <w:r w:rsidR="00E8128F">
        <w:rPr>
          <w:sz w:val="36"/>
          <w:szCs w:val="36"/>
          <w:rtl/>
        </w:rPr>
        <w:t xml:space="preserve"> </w:t>
      </w:r>
      <w:r w:rsidR="00A05DF5" w:rsidRPr="00FD211F">
        <w:rPr>
          <w:sz w:val="36"/>
          <w:szCs w:val="36"/>
          <w:rtl/>
        </w:rPr>
        <w:t>للضمان</w:t>
      </w:r>
      <w:r w:rsidR="00E8128F">
        <w:rPr>
          <w:sz w:val="36"/>
          <w:szCs w:val="36"/>
          <w:rtl/>
        </w:rPr>
        <w:t xml:space="preserve"> </w:t>
      </w:r>
      <w:r w:rsidR="00A05DF5" w:rsidRPr="00FD211F">
        <w:rPr>
          <w:sz w:val="36"/>
          <w:szCs w:val="36"/>
          <w:rtl/>
        </w:rPr>
        <w:t>باليد</w:t>
      </w:r>
      <w:r w:rsidR="00603323" w:rsidRPr="00FD211F">
        <w:rPr>
          <w:sz w:val="36"/>
          <w:szCs w:val="36"/>
          <w:rtl/>
        </w:rPr>
        <w:t>،</w:t>
      </w:r>
      <w:r w:rsidR="00E8128F">
        <w:rPr>
          <w:sz w:val="36"/>
          <w:szCs w:val="36"/>
          <w:rtl/>
        </w:rPr>
        <w:t xml:space="preserve"> </w:t>
      </w:r>
      <w:r w:rsidR="00A05DF5" w:rsidRPr="00FD211F">
        <w:rPr>
          <w:sz w:val="36"/>
          <w:szCs w:val="36"/>
          <w:rtl/>
        </w:rPr>
        <w:t>فالقاعد</w:t>
      </w:r>
      <w:r w:rsidR="00EC7EDF" w:rsidRPr="00FD211F">
        <w:rPr>
          <w:sz w:val="36"/>
          <w:szCs w:val="36"/>
          <w:rtl/>
        </w:rPr>
        <w:t>ة</w:t>
      </w:r>
      <w:r w:rsidR="00E8128F">
        <w:rPr>
          <w:sz w:val="36"/>
          <w:szCs w:val="36"/>
          <w:rtl/>
        </w:rPr>
        <w:t xml:space="preserve"> </w:t>
      </w:r>
      <w:r w:rsidR="00A05DF5" w:rsidRPr="00FD211F">
        <w:rPr>
          <w:sz w:val="36"/>
          <w:szCs w:val="36"/>
          <w:rtl/>
        </w:rPr>
        <w:t>الأصولي</w:t>
      </w:r>
      <w:r w:rsidR="00EC7EDF" w:rsidRPr="00FD211F">
        <w:rPr>
          <w:sz w:val="36"/>
          <w:szCs w:val="36"/>
          <w:rtl/>
        </w:rPr>
        <w:t>ة</w:t>
      </w:r>
      <w:r w:rsidR="00E8128F">
        <w:rPr>
          <w:sz w:val="36"/>
          <w:szCs w:val="36"/>
          <w:rtl/>
        </w:rPr>
        <w:t xml:space="preserve"> </w:t>
      </w:r>
      <w:r w:rsidR="00A05DF5" w:rsidRPr="00FD211F">
        <w:rPr>
          <w:sz w:val="36"/>
          <w:szCs w:val="36"/>
          <w:rtl/>
        </w:rPr>
        <w:t>لابد</w:t>
      </w:r>
      <w:r w:rsidR="00E8128F">
        <w:rPr>
          <w:sz w:val="36"/>
          <w:szCs w:val="36"/>
          <w:rtl/>
        </w:rPr>
        <w:t xml:space="preserve"> </w:t>
      </w:r>
      <w:r w:rsidR="00A05DF5" w:rsidRPr="00FD211F">
        <w:rPr>
          <w:sz w:val="36"/>
          <w:szCs w:val="36"/>
          <w:rtl/>
        </w:rPr>
        <w:t>ان</w:t>
      </w:r>
      <w:r w:rsidR="00E8128F">
        <w:rPr>
          <w:sz w:val="36"/>
          <w:szCs w:val="36"/>
          <w:rtl/>
        </w:rPr>
        <w:t xml:space="preserve"> </w:t>
      </w:r>
      <w:r w:rsidR="00A05DF5" w:rsidRPr="00FD211F">
        <w:rPr>
          <w:sz w:val="36"/>
          <w:szCs w:val="36"/>
          <w:rtl/>
        </w:rPr>
        <w:t>تقع</w:t>
      </w:r>
      <w:r w:rsidR="00E8128F">
        <w:rPr>
          <w:sz w:val="36"/>
          <w:szCs w:val="36"/>
          <w:rtl/>
        </w:rPr>
        <w:t xml:space="preserve"> </w:t>
      </w:r>
      <w:r w:rsidR="00A05DF5" w:rsidRPr="00FD211F">
        <w:rPr>
          <w:sz w:val="36"/>
          <w:szCs w:val="36"/>
          <w:rtl/>
        </w:rPr>
        <w:t>في</w:t>
      </w:r>
      <w:r w:rsidR="00E8128F">
        <w:rPr>
          <w:sz w:val="36"/>
          <w:szCs w:val="36"/>
          <w:rtl/>
        </w:rPr>
        <w:t xml:space="preserve"> </w:t>
      </w:r>
      <w:r w:rsidR="00A05DF5" w:rsidRPr="00FD211F">
        <w:rPr>
          <w:sz w:val="36"/>
          <w:szCs w:val="36"/>
          <w:rtl/>
        </w:rPr>
        <w:t>طريق</w:t>
      </w:r>
      <w:r w:rsidR="00E8128F">
        <w:rPr>
          <w:sz w:val="36"/>
          <w:szCs w:val="36"/>
          <w:rtl/>
        </w:rPr>
        <w:t xml:space="preserve"> </w:t>
      </w:r>
      <w:r w:rsidR="00A05DF5" w:rsidRPr="00FD211F">
        <w:rPr>
          <w:sz w:val="36"/>
          <w:szCs w:val="36"/>
          <w:rtl/>
        </w:rPr>
        <w:t>اثبات</w:t>
      </w:r>
      <w:r w:rsidR="00E8128F">
        <w:rPr>
          <w:sz w:val="36"/>
          <w:szCs w:val="36"/>
          <w:rtl/>
        </w:rPr>
        <w:t xml:space="preserve"> </w:t>
      </w:r>
      <w:r w:rsidR="00A05DF5" w:rsidRPr="00FD211F">
        <w:rPr>
          <w:sz w:val="36"/>
          <w:szCs w:val="36"/>
          <w:rtl/>
        </w:rPr>
        <w:t>جعل</w:t>
      </w:r>
      <w:r w:rsidR="00E8128F">
        <w:rPr>
          <w:sz w:val="36"/>
          <w:szCs w:val="36"/>
          <w:rtl/>
        </w:rPr>
        <w:t xml:space="preserve"> </w:t>
      </w:r>
      <w:r w:rsidR="00A05DF5" w:rsidRPr="00FD211F">
        <w:rPr>
          <w:sz w:val="36"/>
          <w:szCs w:val="36"/>
          <w:rtl/>
        </w:rPr>
        <w:t>شرعي</w:t>
      </w:r>
      <w:r w:rsidR="00EE0B68" w:rsidRPr="00FD211F">
        <w:rPr>
          <w:sz w:val="36"/>
          <w:szCs w:val="36"/>
          <w:rtl/>
        </w:rPr>
        <w:t>.</w:t>
      </w:r>
    </w:p>
    <w:p w14:paraId="30042F20" w14:textId="77777777" w:rsidR="00B65094" w:rsidRPr="00FD211F" w:rsidRDefault="00A05DF5" w:rsidP="009C58C8">
      <w:pPr>
        <w:ind w:left="0" w:firstLine="227"/>
        <w:jc w:val="both"/>
        <w:rPr>
          <w:sz w:val="36"/>
          <w:szCs w:val="36"/>
          <w:rtl/>
        </w:rPr>
      </w:pPr>
      <w:r w:rsidRPr="00FD211F">
        <w:rPr>
          <w:sz w:val="36"/>
          <w:szCs w:val="36"/>
          <w:rtl/>
        </w:rPr>
        <w:t>وهذا</w:t>
      </w:r>
      <w:r w:rsidR="00E8128F">
        <w:rPr>
          <w:sz w:val="36"/>
          <w:szCs w:val="36"/>
          <w:rtl/>
        </w:rPr>
        <w:t xml:space="preserve"> </w:t>
      </w:r>
      <w:r w:rsidRPr="00FD211F">
        <w:rPr>
          <w:sz w:val="36"/>
          <w:szCs w:val="36"/>
          <w:rtl/>
        </w:rPr>
        <w:t>هو</w:t>
      </w:r>
      <w:r w:rsidR="00E8128F">
        <w:rPr>
          <w:sz w:val="36"/>
          <w:szCs w:val="36"/>
          <w:rtl/>
        </w:rPr>
        <w:t xml:space="preserve"> </w:t>
      </w:r>
      <w:r w:rsidR="00EE0B68" w:rsidRPr="00FD211F">
        <w:rPr>
          <w:sz w:val="36"/>
          <w:szCs w:val="36"/>
          <w:rtl/>
        </w:rPr>
        <w:t>السر</w:t>
      </w:r>
      <w:r w:rsidR="00E8128F">
        <w:rPr>
          <w:sz w:val="36"/>
          <w:szCs w:val="36"/>
          <w:rtl/>
        </w:rPr>
        <w:t xml:space="preserve"> </w:t>
      </w:r>
      <w:r w:rsidR="00EE0B68" w:rsidRPr="00FD211F">
        <w:rPr>
          <w:sz w:val="36"/>
          <w:szCs w:val="36"/>
          <w:rtl/>
        </w:rPr>
        <w:t>في</w:t>
      </w:r>
      <w:r w:rsidR="00E8128F">
        <w:rPr>
          <w:sz w:val="36"/>
          <w:szCs w:val="36"/>
          <w:rtl/>
        </w:rPr>
        <w:t xml:space="preserve"> </w:t>
      </w:r>
      <w:r w:rsidR="00EE0B68" w:rsidRPr="00FD211F">
        <w:rPr>
          <w:sz w:val="36"/>
          <w:szCs w:val="36"/>
          <w:rtl/>
        </w:rPr>
        <w:t>كون</w:t>
      </w:r>
      <w:r w:rsidR="00E8128F">
        <w:rPr>
          <w:sz w:val="36"/>
          <w:szCs w:val="36"/>
          <w:rtl/>
        </w:rPr>
        <w:t xml:space="preserve"> </w:t>
      </w:r>
      <w:r w:rsidR="00EE0B68" w:rsidRPr="00FD211F">
        <w:rPr>
          <w:sz w:val="36"/>
          <w:szCs w:val="36"/>
          <w:rtl/>
        </w:rPr>
        <w:t>نسب</w:t>
      </w:r>
      <w:r w:rsidR="00EC7EDF" w:rsidRPr="00FD211F">
        <w:rPr>
          <w:sz w:val="36"/>
          <w:szCs w:val="36"/>
          <w:rtl/>
        </w:rPr>
        <w:t>ة</w:t>
      </w:r>
      <w:r w:rsidR="00E8128F">
        <w:rPr>
          <w:sz w:val="36"/>
          <w:szCs w:val="36"/>
          <w:rtl/>
        </w:rPr>
        <w:t xml:space="preserve"> </w:t>
      </w:r>
      <w:r w:rsidR="00EE0B68" w:rsidRPr="00FD211F">
        <w:rPr>
          <w:sz w:val="36"/>
          <w:szCs w:val="36"/>
          <w:rtl/>
        </w:rPr>
        <w:t>الحكم</w:t>
      </w:r>
      <w:r w:rsidR="00E8128F">
        <w:rPr>
          <w:sz w:val="36"/>
          <w:szCs w:val="36"/>
          <w:rtl/>
        </w:rPr>
        <w:t xml:space="preserve"> </w:t>
      </w:r>
      <w:r w:rsidR="00EE0B68" w:rsidRPr="00FD211F">
        <w:rPr>
          <w:sz w:val="36"/>
          <w:szCs w:val="36"/>
          <w:rtl/>
        </w:rPr>
        <w:t>الشرعي</w:t>
      </w:r>
      <w:r w:rsidR="00E8128F">
        <w:rPr>
          <w:sz w:val="36"/>
          <w:szCs w:val="36"/>
          <w:rtl/>
        </w:rPr>
        <w:t xml:space="preserve"> </w:t>
      </w:r>
      <w:r w:rsidR="00EE0B68" w:rsidRPr="00FD211F">
        <w:rPr>
          <w:sz w:val="36"/>
          <w:szCs w:val="36"/>
          <w:rtl/>
        </w:rPr>
        <w:t>اي</w:t>
      </w:r>
      <w:r w:rsidR="00E8128F">
        <w:rPr>
          <w:sz w:val="36"/>
          <w:szCs w:val="36"/>
          <w:rtl/>
        </w:rPr>
        <w:t xml:space="preserve"> </w:t>
      </w:r>
      <w:r w:rsidR="00EE0B68" w:rsidRPr="00FD211F">
        <w:rPr>
          <w:sz w:val="36"/>
          <w:szCs w:val="36"/>
          <w:rtl/>
        </w:rPr>
        <w:t>الجعل</w:t>
      </w:r>
      <w:r w:rsidR="00E8128F">
        <w:rPr>
          <w:sz w:val="36"/>
          <w:szCs w:val="36"/>
          <w:rtl/>
        </w:rPr>
        <w:t xml:space="preserve"> </w:t>
      </w:r>
      <w:r w:rsidR="00EE0B68" w:rsidRPr="00FD211F">
        <w:rPr>
          <w:sz w:val="36"/>
          <w:szCs w:val="36"/>
          <w:rtl/>
        </w:rPr>
        <w:t>الشرعي</w:t>
      </w:r>
      <w:r w:rsidR="00E8128F">
        <w:rPr>
          <w:sz w:val="36"/>
          <w:szCs w:val="36"/>
          <w:rtl/>
        </w:rPr>
        <w:t xml:space="preserve"> </w:t>
      </w:r>
      <w:r w:rsidR="00EE0B68" w:rsidRPr="00FD211F">
        <w:rPr>
          <w:sz w:val="36"/>
          <w:szCs w:val="36"/>
          <w:rtl/>
        </w:rPr>
        <w:t>الذي</w:t>
      </w:r>
      <w:r w:rsidR="00E8128F">
        <w:rPr>
          <w:sz w:val="36"/>
          <w:szCs w:val="36"/>
          <w:rtl/>
        </w:rPr>
        <w:t xml:space="preserve"> </w:t>
      </w:r>
      <w:r w:rsidR="00EE0B68" w:rsidRPr="00FD211F">
        <w:rPr>
          <w:sz w:val="36"/>
          <w:szCs w:val="36"/>
          <w:rtl/>
        </w:rPr>
        <w:t>يراد</w:t>
      </w:r>
      <w:r w:rsidR="00E8128F">
        <w:rPr>
          <w:sz w:val="36"/>
          <w:szCs w:val="36"/>
          <w:rtl/>
        </w:rPr>
        <w:t xml:space="preserve"> </w:t>
      </w:r>
      <w:r w:rsidR="00EE0B68" w:rsidRPr="00FD211F">
        <w:rPr>
          <w:sz w:val="36"/>
          <w:szCs w:val="36"/>
          <w:rtl/>
        </w:rPr>
        <w:t>استنباطه</w:t>
      </w:r>
      <w:r w:rsidR="00E8128F">
        <w:rPr>
          <w:sz w:val="36"/>
          <w:szCs w:val="36"/>
          <w:rtl/>
        </w:rPr>
        <w:t xml:space="preserve"> </w:t>
      </w:r>
      <w:r w:rsidR="00EE0B68" w:rsidRPr="00FD211F">
        <w:rPr>
          <w:sz w:val="36"/>
          <w:szCs w:val="36"/>
          <w:rtl/>
        </w:rPr>
        <w:t>الى</w:t>
      </w:r>
      <w:r w:rsidR="00E8128F">
        <w:rPr>
          <w:sz w:val="36"/>
          <w:szCs w:val="36"/>
          <w:rtl/>
        </w:rPr>
        <w:t xml:space="preserve"> </w:t>
      </w:r>
      <w:r w:rsidR="00EE0B68" w:rsidRPr="00FD211F">
        <w:rPr>
          <w:sz w:val="36"/>
          <w:szCs w:val="36"/>
          <w:rtl/>
        </w:rPr>
        <w:t>القاعد</w:t>
      </w:r>
      <w:r w:rsidR="00EC7EDF" w:rsidRPr="00FD211F">
        <w:rPr>
          <w:sz w:val="36"/>
          <w:szCs w:val="36"/>
          <w:rtl/>
        </w:rPr>
        <w:t>ة</w:t>
      </w:r>
      <w:r w:rsidR="00E8128F">
        <w:rPr>
          <w:sz w:val="36"/>
          <w:szCs w:val="36"/>
          <w:rtl/>
        </w:rPr>
        <w:t xml:space="preserve"> </w:t>
      </w:r>
      <w:r w:rsidR="00EE0B68" w:rsidRPr="00FD211F">
        <w:rPr>
          <w:sz w:val="36"/>
          <w:szCs w:val="36"/>
          <w:rtl/>
        </w:rPr>
        <w:t>الأصولي</w:t>
      </w:r>
      <w:r w:rsidR="00EC7EDF" w:rsidRPr="00FD211F">
        <w:rPr>
          <w:sz w:val="36"/>
          <w:szCs w:val="36"/>
          <w:rtl/>
        </w:rPr>
        <w:t>ة</w:t>
      </w:r>
      <w:r w:rsidR="00E8128F">
        <w:rPr>
          <w:sz w:val="36"/>
          <w:szCs w:val="36"/>
          <w:rtl/>
        </w:rPr>
        <w:t xml:space="preserve"> </w:t>
      </w:r>
      <w:r w:rsidR="00EE0B68" w:rsidRPr="00FD211F">
        <w:rPr>
          <w:sz w:val="36"/>
          <w:szCs w:val="36"/>
          <w:rtl/>
        </w:rPr>
        <w:t>نسب</w:t>
      </w:r>
      <w:r w:rsidR="00EC7EDF" w:rsidRPr="00FD211F">
        <w:rPr>
          <w:sz w:val="36"/>
          <w:szCs w:val="36"/>
          <w:rtl/>
        </w:rPr>
        <w:t>ة</w:t>
      </w:r>
      <w:r w:rsidR="00E8128F">
        <w:rPr>
          <w:sz w:val="36"/>
          <w:szCs w:val="36"/>
          <w:rtl/>
        </w:rPr>
        <w:t xml:space="preserve"> </w:t>
      </w:r>
      <w:r w:rsidR="00EE0B68" w:rsidRPr="00FD211F">
        <w:rPr>
          <w:sz w:val="36"/>
          <w:szCs w:val="36"/>
          <w:rtl/>
        </w:rPr>
        <w:t>التوسيط</w:t>
      </w:r>
      <w:r w:rsidR="00E8128F">
        <w:rPr>
          <w:sz w:val="36"/>
          <w:szCs w:val="36"/>
          <w:rtl/>
        </w:rPr>
        <w:t xml:space="preserve"> </w:t>
      </w:r>
      <w:r w:rsidR="00EE0B68" w:rsidRPr="00FD211F">
        <w:rPr>
          <w:sz w:val="36"/>
          <w:szCs w:val="36"/>
          <w:rtl/>
        </w:rPr>
        <w:t>دون</w:t>
      </w:r>
      <w:r w:rsidR="00E8128F">
        <w:rPr>
          <w:sz w:val="36"/>
          <w:szCs w:val="36"/>
          <w:rtl/>
        </w:rPr>
        <w:t xml:space="preserve"> </w:t>
      </w:r>
      <w:r w:rsidR="00EE0B68" w:rsidRPr="00FD211F">
        <w:rPr>
          <w:sz w:val="36"/>
          <w:szCs w:val="36"/>
          <w:rtl/>
        </w:rPr>
        <w:t>التطبيق</w:t>
      </w:r>
      <w:r w:rsidR="00603323" w:rsidRPr="00FD211F">
        <w:rPr>
          <w:sz w:val="36"/>
          <w:szCs w:val="36"/>
          <w:rtl/>
        </w:rPr>
        <w:t>،</w:t>
      </w:r>
      <w:r w:rsidR="00E8128F">
        <w:rPr>
          <w:sz w:val="36"/>
          <w:szCs w:val="36"/>
          <w:rtl/>
        </w:rPr>
        <w:t xml:space="preserve"> </w:t>
      </w:r>
      <w:r w:rsidR="00EE0B68" w:rsidRPr="00FD211F">
        <w:rPr>
          <w:sz w:val="36"/>
          <w:szCs w:val="36"/>
          <w:rtl/>
        </w:rPr>
        <w:t>لان</w:t>
      </w:r>
      <w:r w:rsidR="00E8128F">
        <w:rPr>
          <w:sz w:val="36"/>
          <w:szCs w:val="36"/>
          <w:rtl/>
        </w:rPr>
        <w:t xml:space="preserve"> </w:t>
      </w:r>
      <w:r w:rsidR="00EE0B68" w:rsidRPr="00FD211F">
        <w:rPr>
          <w:sz w:val="36"/>
          <w:szCs w:val="36"/>
          <w:rtl/>
        </w:rPr>
        <w:t>القاعد</w:t>
      </w:r>
      <w:r w:rsidR="00EC7EDF" w:rsidRPr="00FD211F">
        <w:rPr>
          <w:sz w:val="36"/>
          <w:szCs w:val="36"/>
          <w:rtl/>
        </w:rPr>
        <w:t>ة</w:t>
      </w:r>
      <w:r w:rsidR="00E8128F">
        <w:rPr>
          <w:sz w:val="36"/>
          <w:szCs w:val="36"/>
          <w:rtl/>
        </w:rPr>
        <w:t xml:space="preserve"> </w:t>
      </w:r>
      <w:r w:rsidR="00EE0B68" w:rsidRPr="00FD211F">
        <w:rPr>
          <w:sz w:val="36"/>
          <w:szCs w:val="36"/>
          <w:rtl/>
        </w:rPr>
        <w:t>الأصولي</w:t>
      </w:r>
      <w:r w:rsidR="00EC7EDF" w:rsidRPr="00FD211F">
        <w:rPr>
          <w:sz w:val="36"/>
          <w:szCs w:val="36"/>
          <w:rtl/>
        </w:rPr>
        <w:t>ة</w:t>
      </w:r>
      <w:r w:rsidR="00E8128F">
        <w:rPr>
          <w:sz w:val="36"/>
          <w:szCs w:val="36"/>
          <w:rtl/>
        </w:rPr>
        <w:t xml:space="preserve"> </w:t>
      </w:r>
      <w:r w:rsidR="00EE0B68" w:rsidRPr="00FD211F">
        <w:rPr>
          <w:sz w:val="36"/>
          <w:szCs w:val="36"/>
          <w:rtl/>
        </w:rPr>
        <w:t>ان</w:t>
      </w:r>
      <w:r w:rsidR="00E8128F">
        <w:rPr>
          <w:sz w:val="36"/>
          <w:szCs w:val="36"/>
          <w:rtl/>
        </w:rPr>
        <w:t xml:space="preserve"> </w:t>
      </w:r>
      <w:r w:rsidR="008D7B3D" w:rsidRPr="00FD211F">
        <w:rPr>
          <w:sz w:val="36"/>
          <w:szCs w:val="36"/>
          <w:rtl/>
        </w:rPr>
        <w:t>لم‌</w:t>
      </w:r>
      <w:r w:rsidR="00EE0B68" w:rsidRPr="00FD211F">
        <w:rPr>
          <w:sz w:val="36"/>
          <w:szCs w:val="36"/>
          <w:rtl/>
        </w:rPr>
        <w:t>تكن</w:t>
      </w:r>
      <w:r w:rsidR="00E8128F">
        <w:rPr>
          <w:sz w:val="36"/>
          <w:szCs w:val="36"/>
          <w:rtl/>
        </w:rPr>
        <w:t xml:space="preserve"> </w:t>
      </w:r>
      <w:r w:rsidR="00EE0B68" w:rsidRPr="00FD211F">
        <w:rPr>
          <w:sz w:val="36"/>
          <w:szCs w:val="36"/>
          <w:rtl/>
        </w:rPr>
        <w:t>مجعول</w:t>
      </w:r>
      <w:r w:rsidR="00EC7EDF" w:rsidRPr="00FD211F">
        <w:rPr>
          <w:sz w:val="36"/>
          <w:szCs w:val="36"/>
          <w:rtl/>
        </w:rPr>
        <w:t>ة</w:t>
      </w:r>
      <w:r w:rsidR="00E8128F">
        <w:rPr>
          <w:sz w:val="36"/>
          <w:szCs w:val="36"/>
          <w:rtl/>
        </w:rPr>
        <w:t xml:space="preserve"> </w:t>
      </w:r>
      <w:r w:rsidR="00EE0B68" w:rsidRPr="00FD211F">
        <w:rPr>
          <w:sz w:val="36"/>
          <w:szCs w:val="36"/>
          <w:rtl/>
        </w:rPr>
        <w:t>بجعل</w:t>
      </w:r>
      <w:r w:rsidR="00E8128F">
        <w:rPr>
          <w:sz w:val="36"/>
          <w:szCs w:val="36"/>
          <w:rtl/>
        </w:rPr>
        <w:t xml:space="preserve"> </w:t>
      </w:r>
      <w:r w:rsidR="00EE0B68" w:rsidRPr="00FD211F">
        <w:rPr>
          <w:sz w:val="36"/>
          <w:szCs w:val="36"/>
          <w:rtl/>
        </w:rPr>
        <w:t>شرعي</w:t>
      </w:r>
      <w:r w:rsidR="00E8128F">
        <w:rPr>
          <w:sz w:val="36"/>
          <w:szCs w:val="36"/>
          <w:rtl/>
        </w:rPr>
        <w:t xml:space="preserve"> </w:t>
      </w:r>
      <w:r w:rsidR="00D3206E" w:rsidRPr="00FD211F">
        <w:rPr>
          <w:sz w:val="36"/>
          <w:szCs w:val="36"/>
          <w:rtl/>
        </w:rPr>
        <w:t>فمن</w:t>
      </w:r>
      <w:r w:rsidR="00E8128F">
        <w:rPr>
          <w:sz w:val="36"/>
          <w:szCs w:val="36"/>
          <w:rtl/>
        </w:rPr>
        <w:t xml:space="preserve"> </w:t>
      </w:r>
      <w:r w:rsidR="00D3206E" w:rsidRPr="00FD211F">
        <w:rPr>
          <w:sz w:val="36"/>
          <w:szCs w:val="36"/>
          <w:rtl/>
        </w:rPr>
        <w:t>الواضح</w:t>
      </w:r>
      <w:r w:rsidR="00E8128F">
        <w:rPr>
          <w:sz w:val="36"/>
          <w:szCs w:val="36"/>
          <w:rtl/>
        </w:rPr>
        <w:t xml:space="preserve"> </w:t>
      </w:r>
      <w:r w:rsidR="00D3206E" w:rsidRPr="00FD211F">
        <w:rPr>
          <w:sz w:val="36"/>
          <w:szCs w:val="36"/>
          <w:rtl/>
        </w:rPr>
        <w:t>انه</w:t>
      </w:r>
      <w:r w:rsidR="00E8128F">
        <w:rPr>
          <w:sz w:val="36"/>
          <w:szCs w:val="36"/>
          <w:rtl/>
        </w:rPr>
        <w:t xml:space="preserve"> </w:t>
      </w:r>
      <w:r w:rsidR="00EE0B68" w:rsidRPr="00FD211F">
        <w:rPr>
          <w:sz w:val="36"/>
          <w:szCs w:val="36"/>
          <w:rtl/>
        </w:rPr>
        <w:t>لايمكن</w:t>
      </w:r>
      <w:r w:rsidR="00E8128F">
        <w:rPr>
          <w:sz w:val="36"/>
          <w:szCs w:val="36"/>
          <w:rtl/>
        </w:rPr>
        <w:t xml:space="preserve"> </w:t>
      </w:r>
      <w:r w:rsidR="00EE0B68" w:rsidRPr="00FD211F">
        <w:rPr>
          <w:sz w:val="36"/>
          <w:szCs w:val="36"/>
          <w:rtl/>
        </w:rPr>
        <w:t>ان</w:t>
      </w:r>
      <w:r w:rsidR="00E8128F">
        <w:rPr>
          <w:sz w:val="36"/>
          <w:szCs w:val="36"/>
          <w:rtl/>
        </w:rPr>
        <w:t xml:space="preserve"> </w:t>
      </w:r>
      <w:r w:rsidR="00EE0B68" w:rsidRPr="00FD211F">
        <w:rPr>
          <w:sz w:val="36"/>
          <w:szCs w:val="36"/>
          <w:rtl/>
        </w:rPr>
        <w:t>ينطبق</w:t>
      </w:r>
      <w:r w:rsidR="00E8128F">
        <w:rPr>
          <w:sz w:val="36"/>
          <w:szCs w:val="36"/>
          <w:rtl/>
        </w:rPr>
        <w:t xml:space="preserve"> </w:t>
      </w:r>
      <w:r w:rsidR="00EE0B68" w:rsidRPr="00FD211F">
        <w:rPr>
          <w:sz w:val="36"/>
          <w:szCs w:val="36"/>
          <w:rtl/>
        </w:rPr>
        <w:t>على</w:t>
      </w:r>
      <w:r w:rsidR="00E8128F">
        <w:rPr>
          <w:sz w:val="36"/>
          <w:szCs w:val="36"/>
          <w:rtl/>
        </w:rPr>
        <w:t xml:space="preserve"> </w:t>
      </w:r>
      <w:r w:rsidR="00EE0B68" w:rsidRPr="00FD211F">
        <w:rPr>
          <w:sz w:val="36"/>
          <w:szCs w:val="36"/>
          <w:rtl/>
        </w:rPr>
        <w:t>الجعل</w:t>
      </w:r>
      <w:r w:rsidR="00E8128F">
        <w:rPr>
          <w:sz w:val="36"/>
          <w:szCs w:val="36"/>
          <w:rtl/>
        </w:rPr>
        <w:t xml:space="preserve"> </w:t>
      </w:r>
      <w:r w:rsidR="00EE0B68" w:rsidRPr="00FD211F">
        <w:rPr>
          <w:sz w:val="36"/>
          <w:szCs w:val="36"/>
          <w:rtl/>
        </w:rPr>
        <w:t>الشرعي</w:t>
      </w:r>
      <w:r w:rsidR="00E8128F">
        <w:rPr>
          <w:sz w:val="36"/>
          <w:szCs w:val="36"/>
          <w:rtl/>
        </w:rPr>
        <w:t xml:space="preserve"> </w:t>
      </w:r>
      <w:r w:rsidR="00EE0B68" w:rsidRPr="00FD211F">
        <w:rPr>
          <w:sz w:val="36"/>
          <w:szCs w:val="36"/>
          <w:rtl/>
        </w:rPr>
        <w:t>الذي</w:t>
      </w:r>
      <w:r w:rsidR="00E8128F">
        <w:rPr>
          <w:sz w:val="36"/>
          <w:szCs w:val="36"/>
          <w:rtl/>
        </w:rPr>
        <w:t xml:space="preserve"> </w:t>
      </w:r>
      <w:r w:rsidR="00EE0B68" w:rsidRPr="00FD211F">
        <w:rPr>
          <w:sz w:val="36"/>
          <w:szCs w:val="36"/>
          <w:rtl/>
        </w:rPr>
        <w:t>يراد</w:t>
      </w:r>
      <w:r w:rsidR="00E8128F">
        <w:rPr>
          <w:sz w:val="36"/>
          <w:szCs w:val="36"/>
          <w:rtl/>
        </w:rPr>
        <w:t xml:space="preserve"> </w:t>
      </w:r>
      <w:r w:rsidR="00EE0B68" w:rsidRPr="00FD211F">
        <w:rPr>
          <w:sz w:val="36"/>
          <w:szCs w:val="36"/>
          <w:rtl/>
        </w:rPr>
        <w:t>استنباطه</w:t>
      </w:r>
      <w:r w:rsidR="00603323" w:rsidRPr="00FD211F">
        <w:rPr>
          <w:sz w:val="36"/>
          <w:szCs w:val="36"/>
          <w:rtl/>
        </w:rPr>
        <w:t>،</w:t>
      </w:r>
      <w:r w:rsidR="00E8128F">
        <w:rPr>
          <w:sz w:val="36"/>
          <w:szCs w:val="36"/>
          <w:rtl/>
        </w:rPr>
        <w:t xml:space="preserve"> </w:t>
      </w:r>
      <w:r w:rsidR="00EE0B68" w:rsidRPr="00FD211F">
        <w:rPr>
          <w:sz w:val="36"/>
          <w:szCs w:val="36"/>
          <w:rtl/>
        </w:rPr>
        <w:t>واذا</w:t>
      </w:r>
      <w:r w:rsidR="00E8128F">
        <w:rPr>
          <w:sz w:val="36"/>
          <w:szCs w:val="36"/>
          <w:rtl/>
        </w:rPr>
        <w:t xml:space="preserve"> </w:t>
      </w:r>
      <w:r w:rsidR="00EE0B68" w:rsidRPr="00FD211F">
        <w:rPr>
          <w:sz w:val="36"/>
          <w:szCs w:val="36"/>
          <w:rtl/>
        </w:rPr>
        <w:t>كانت</w:t>
      </w:r>
      <w:r w:rsidR="00E8128F">
        <w:rPr>
          <w:sz w:val="36"/>
          <w:szCs w:val="36"/>
          <w:rtl/>
        </w:rPr>
        <w:t xml:space="preserve"> </w:t>
      </w:r>
      <w:r w:rsidR="00EE0B68" w:rsidRPr="00FD211F">
        <w:rPr>
          <w:sz w:val="36"/>
          <w:szCs w:val="36"/>
          <w:rtl/>
        </w:rPr>
        <w:t>مجعول</w:t>
      </w:r>
      <w:r w:rsidR="00EC7EDF" w:rsidRPr="00FD211F">
        <w:rPr>
          <w:sz w:val="36"/>
          <w:szCs w:val="36"/>
          <w:rtl/>
        </w:rPr>
        <w:t>ة</w:t>
      </w:r>
      <w:r w:rsidR="00E8128F">
        <w:rPr>
          <w:sz w:val="36"/>
          <w:szCs w:val="36"/>
          <w:rtl/>
        </w:rPr>
        <w:t xml:space="preserve"> </w:t>
      </w:r>
      <w:r w:rsidR="00EE0B68" w:rsidRPr="00FD211F">
        <w:rPr>
          <w:sz w:val="36"/>
          <w:szCs w:val="36"/>
          <w:rtl/>
        </w:rPr>
        <w:t>بجعل</w:t>
      </w:r>
      <w:r w:rsidR="00E8128F">
        <w:rPr>
          <w:sz w:val="36"/>
          <w:szCs w:val="36"/>
          <w:rtl/>
        </w:rPr>
        <w:t xml:space="preserve"> </w:t>
      </w:r>
      <w:r w:rsidR="00EE0B68" w:rsidRPr="00FD211F">
        <w:rPr>
          <w:sz w:val="36"/>
          <w:szCs w:val="36"/>
          <w:rtl/>
        </w:rPr>
        <w:t>شرعي</w:t>
      </w:r>
      <w:r w:rsidR="00E8128F">
        <w:rPr>
          <w:sz w:val="36"/>
          <w:szCs w:val="36"/>
          <w:rtl/>
        </w:rPr>
        <w:t xml:space="preserve"> </w:t>
      </w:r>
      <w:r w:rsidR="00EE0B68" w:rsidRPr="00FD211F">
        <w:rPr>
          <w:sz w:val="36"/>
          <w:szCs w:val="36"/>
          <w:rtl/>
        </w:rPr>
        <w:t>فلايمكن</w:t>
      </w:r>
      <w:r w:rsidR="00E8128F">
        <w:rPr>
          <w:sz w:val="36"/>
          <w:szCs w:val="36"/>
          <w:rtl/>
        </w:rPr>
        <w:t xml:space="preserve"> </w:t>
      </w:r>
      <w:r w:rsidR="00EE0B68" w:rsidRPr="00FD211F">
        <w:rPr>
          <w:sz w:val="36"/>
          <w:szCs w:val="36"/>
          <w:rtl/>
        </w:rPr>
        <w:t>ايضا</w:t>
      </w:r>
      <w:r w:rsidR="00E8128F">
        <w:rPr>
          <w:sz w:val="36"/>
          <w:szCs w:val="36"/>
          <w:rtl/>
        </w:rPr>
        <w:t xml:space="preserve"> </w:t>
      </w:r>
      <w:r w:rsidR="00EE0B68" w:rsidRPr="00FD211F">
        <w:rPr>
          <w:sz w:val="36"/>
          <w:szCs w:val="36"/>
          <w:rtl/>
        </w:rPr>
        <w:t>ان</w:t>
      </w:r>
      <w:r w:rsidR="00E8128F">
        <w:rPr>
          <w:sz w:val="36"/>
          <w:szCs w:val="36"/>
          <w:rtl/>
        </w:rPr>
        <w:t xml:space="preserve"> </w:t>
      </w:r>
      <w:r w:rsidR="00EE0B68" w:rsidRPr="00FD211F">
        <w:rPr>
          <w:sz w:val="36"/>
          <w:szCs w:val="36"/>
          <w:rtl/>
        </w:rPr>
        <w:t>تنطبق</w:t>
      </w:r>
      <w:r w:rsidR="00E8128F">
        <w:rPr>
          <w:sz w:val="36"/>
          <w:szCs w:val="36"/>
          <w:rtl/>
        </w:rPr>
        <w:t xml:space="preserve"> </w:t>
      </w:r>
      <w:r w:rsidR="00EE0B68" w:rsidRPr="00FD211F">
        <w:rPr>
          <w:sz w:val="36"/>
          <w:szCs w:val="36"/>
          <w:rtl/>
        </w:rPr>
        <w:t>على</w:t>
      </w:r>
      <w:r w:rsidR="00E8128F">
        <w:rPr>
          <w:sz w:val="36"/>
          <w:szCs w:val="36"/>
          <w:rtl/>
        </w:rPr>
        <w:t xml:space="preserve"> </w:t>
      </w:r>
      <w:r w:rsidR="00EE0B68" w:rsidRPr="00FD211F">
        <w:rPr>
          <w:sz w:val="36"/>
          <w:szCs w:val="36"/>
          <w:rtl/>
        </w:rPr>
        <w:t>جعل</w:t>
      </w:r>
      <w:r w:rsidR="00E8128F">
        <w:rPr>
          <w:sz w:val="36"/>
          <w:szCs w:val="36"/>
          <w:rtl/>
        </w:rPr>
        <w:t xml:space="preserve"> </w:t>
      </w:r>
      <w:r w:rsidR="00EE0B68" w:rsidRPr="00FD211F">
        <w:rPr>
          <w:sz w:val="36"/>
          <w:szCs w:val="36"/>
          <w:rtl/>
        </w:rPr>
        <w:t>شرعي</w:t>
      </w:r>
      <w:r w:rsidR="00E8128F">
        <w:rPr>
          <w:sz w:val="36"/>
          <w:szCs w:val="36"/>
          <w:rtl/>
        </w:rPr>
        <w:t xml:space="preserve"> </w:t>
      </w:r>
      <w:r w:rsidR="00EE0B68" w:rsidRPr="00FD211F">
        <w:rPr>
          <w:sz w:val="36"/>
          <w:szCs w:val="36"/>
          <w:rtl/>
        </w:rPr>
        <w:t>آخر</w:t>
      </w:r>
      <w:r w:rsidR="00603323" w:rsidRPr="00FD211F">
        <w:rPr>
          <w:sz w:val="36"/>
          <w:szCs w:val="36"/>
          <w:rtl/>
        </w:rPr>
        <w:t>،</w:t>
      </w:r>
      <w:r w:rsidR="00E8128F">
        <w:rPr>
          <w:sz w:val="36"/>
          <w:szCs w:val="36"/>
          <w:rtl/>
        </w:rPr>
        <w:t xml:space="preserve"> </w:t>
      </w:r>
      <w:r w:rsidR="00EE0B68" w:rsidRPr="00FD211F">
        <w:rPr>
          <w:sz w:val="36"/>
          <w:szCs w:val="36"/>
          <w:rtl/>
        </w:rPr>
        <w:t>لان</w:t>
      </w:r>
      <w:r w:rsidR="00E8128F">
        <w:rPr>
          <w:sz w:val="36"/>
          <w:szCs w:val="36"/>
          <w:rtl/>
        </w:rPr>
        <w:t xml:space="preserve"> </w:t>
      </w:r>
      <w:r w:rsidR="00EE0B68" w:rsidRPr="00FD211F">
        <w:rPr>
          <w:sz w:val="36"/>
          <w:szCs w:val="36"/>
          <w:rtl/>
        </w:rPr>
        <w:t>التطبيق</w:t>
      </w:r>
      <w:r w:rsidR="00E8128F">
        <w:rPr>
          <w:sz w:val="36"/>
          <w:szCs w:val="36"/>
          <w:rtl/>
        </w:rPr>
        <w:t xml:space="preserve"> </w:t>
      </w:r>
      <w:r w:rsidR="00EE0B68" w:rsidRPr="00FD211F">
        <w:rPr>
          <w:sz w:val="36"/>
          <w:szCs w:val="36"/>
          <w:rtl/>
        </w:rPr>
        <w:t>معناه</w:t>
      </w:r>
      <w:r w:rsidR="00E8128F">
        <w:rPr>
          <w:sz w:val="36"/>
          <w:szCs w:val="36"/>
          <w:rtl/>
        </w:rPr>
        <w:t xml:space="preserve"> </w:t>
      </w:r>
      <w:r w:rsidR="00EE0B68" w:rsidRPr="00FD211F">
        <w:rPr>
          <w:sz w:val="36"/>
          <w:szCs w:val="36"/>
          <w:rtl/>
        </w:rPr>
        <w:t>حينئذ</w:t>
      </w:r>
      <w:r w:rsidR="00E8128F">
        <w:rPr>
          <w:sz w:val="36"/>
          <w:szCs w:val="36"/>
          <w:rtl/>
        </w:rPr>
        <w:t xml:space="preserve"> </w:t>
      </w:r>
      <w:r w:rsidR="00EE0B68" w:rsidRPr="00FD211F">
        <w:rPr>
          <w:sz w:val="36"/>
          <w:szCs w:val="36"/>
          <w:rtl/>
        </w:rPr>
        <w:t>كون</w:t>
      </w:r>
      <w:r w:rsidR="00E8128F">
        <w:rPr>
          <w:sz w:val="36"/>
          <w:szCs w:val="36"/>
          <w:rtl/>
        </w:rPr>
        <w:t xml:space="preserve"> </w:t>
      </w:r>
      <w:r w:rsidR="00EE0B68" w:rsidRPr="00FD211F">
        <w:rPr>
          <w:sz w:val="36"/>
          <w:szCs w:val="36"/>
          <w:rtl/>
        </w:rPr>
        <w:t>ذلك</w:t>
      </w:r>
      <w:r w:rsidR="00E8128F">
        <w:rPr>
          <w:sz w:val="36"/>
          <w:szCs w:val="36"/>
          <w:rtl/>
        </w:rPr>
        <w:t xml:space="preserve"> </w:t>
      </w:r>
      <w:r w:rsidR="00D3206E" w:rsidRPr="00FD211F">
        <w:rPr>
          <w:sz w:val="36"/>
          <w:szCs w:val="36"/>
          <w:rtl/>
        </w:rPr>
        <w:t>الجعل</w:t>
      </w:r>
      <w:r w:rsidR="00E8128F">
        <w:rPr>
          <w:sz w:val="36"/>
          <w:szCs w:val="36"/>
          <w:rtl/>
        </w:rPr>
        <w:t xml:space="preserve"> </w:t>
      </w:r>
      <w:r w:rsidR="00EE0B68" w:rsidRPr="00FD211F">
        <w:rPr>
          <w:sz w:val="36"/>
          <w:szCs w:val="36"/>
          <w:rtl/>
        </w:rPr>
        <w:t>الشرعي</w:t>
      </w:r>
      <w:r w:rsidR="00E8128F">
        <w:rPr>
          <w:sz w:val="36"/>
          <w:szCs w:val="36"/>
          <w:rtl/>
        </w:rPr>
        <w:t xml:space="preserve"> </w:t>
      </w:r>
      <w:r w:rsidR="00EE0B68" w:rsidRPr="00FD211F">
        <w:rPr>
          <w:sz w:val="36"/>
          <w:szCs w:val="36"/>
          <w:rtl/>
        </w:rPr>
        <w:t>من</w:t>
      </w:r>
      <w:r w:rsidR="00E8128F">
        <w:rPr>
          <w:sz w:val="36"/>
          <w:szCs w:val="36"/>
          <w:rtl/>
        </w:rPr>
        <w:t xml:space="preserve"> </w:t>
      </w:r>
      <w:r w:rsidR="00EE0B68" w:rsidRPr="00FD211F">
        <w:rPr>
          <w:sz w:val="36"/>
          <w:szCs w:val="36"/>
          <w:rtl/>
        </w:rPr>
        <w:t>صغريات</w:t>
      </w:r>
      <w:r w:rsidR="00E8128F">
        <w:rPr>
          <w:sz w:val="36"/>
          <w:szCs w:val="36"/>
          <w:rtl/>
        </w:rPr>
        <w:t xml:space="preserve"> </w:t>
      </w:r>
      <w:r w:rsidR="00EE0B68" w:rsidRPr="00FD211F">
        <w:rPr>
          <w:sz w:val="36"/>
          <w:szCs w:val="36"/>
          <w:rtl/>
        </w:rPr>
        <w:t>هذه</w:t>
      </w:r>
      <w:r w:rsidR="00E8128F">
        <w:rPr>
          <w:sz w:val="36"/>
          <w:szCs w:val="36"/>
          <w:rtl/>
        </w:rPr>
        <w:t xml:space="preserve"> </w:t>
      </w:r>
      <w:r w:rsidR="00EE0B68" w:rsidRPr="00FD211F">
        <w:rPr>
          <w:sz w:val="36"/>
          <w:szCs w:val="36"/>
          <w:rtl/>
        </w:rPr>
        <w:t>القاعد</w:t>
      </w:r>
      <w:r w:rsidR="00EC7EDF" w:rsidRPr="00FD211F">
        <w:rPr>
          <w:sz w:val="36"/>
          <w:szCs w:val="36"/>
          <w:rtl/>
        </w:rPr>
        <w:t>ة</w:t>
      </w:r>
      <w:r w:rsidR="00E8128F">
        <w:rPr>
          <w:sz w:val="36"/>
          <w:szCs w:val="36"/>
          <w:rtl/>
        </w:rPr>
        <w:t xml:space="preserve"> </w:t>
      </w:r>
      <w:r w:rsidR="00EE0B68" w:rsidRPr="00FD211F">
        <w:rPr>
          <w:sz w:val="36"/>
          <w:szCs w:val="36"/>
          <w:rtl/>
        </w:rPr>
        <w:t>الاصولي</w:t>
      </w:r>
      <w:r w:rsidR="00EC7EDF" w:rsidRPr="00FD211F">
        <w:rPr>
          <w:sz w:val="36"/>
          <w:szCs w:val="36"/>
          <w:rtl/>
        </w:rPr>
        <w:t>ة</w:t>
      </w:r>
      <w:r w:rsidR="00603323" w:rsidRPr="00FD211F">
        <w:rPr>
          <w:sz w:val="36"/>
          <w:szCs w:val="36"/>
          <w:rtl/>
        </w:rPr>
        <w:t>،</w:t>
      </w:r>
      <w:r w:rsidR="00E8128F">
        <w:rPr>
          <w:sz w:val="36"/>
          <w:szCs w:val="36"/>
          <w:rtl/>
        </w:rPr>
        <w:t xml:space="preserve"> </w:t>
      </w:r>
      <w:r w:rsidR="00EE0B68" w:rsidRPr="00FD211F">
        <w:rPr>
          <w:sz w:val="36"/>
          <w:szCs w:val="36"/>
          <w:rtl/>
        </w:rPr>
        <w:t>وهذا</w:t>
      </w:r>
      <w:r w:rsidR="00E8128F">
        <w:rPr>
          <w:sz w:val="36"/>
          <w:szCs w:val="36"/>
          <w:rtl/>
        </w:rPr>
        <w:t xml:space="preserve"> </w:t>
      </w:r>
      <w:r w:rsidR="00D3206E" w:rsidRPr="00FD211F">
        <w:rPr>
          <w:sz w:val="36"/>
          <w:szCs w:val="36"/>
          <w:rtl/>
        </w:rPr>
        <w:t>غير</w:t>
      </w:r>
      <w:r w:rsidR="00E8128F">
        <w:rPr>
          <w:sz w:val="36"/>
          <w:szCs w:val="36"/>
          <w:rtl/>
        </w:rPr>
        <w:t xml:space="preserve"> </w:t>
      </w:r>
      <w:r w:rsidR="00D3206E" w:rsidRPr="00FD211F">
        <w:rPr>
          <w:sz w:val="36"/>
          <w:szCs w:val="36"/>
          <w:rtl/>
        </w:rPr>
        <w:t>ممكن</w:t>
      </w:r>
      <w:r w:rsidR="00603323" w:rsidRPr="00FD211F">
        <w:rPr>
          <w:sz w:val="36"/>
          <w:szCs w:val="36"/>
          <w:rtl/>
        </w:rPr>
        <w:t>،</w:t>
      </w:r>
      <w:r w:rsidR="00E8128F">
        <w:rPr>
          <w:sz w:val="36"/>
          <w:szCs w:val="36"/>
          <w:rtl/>
        </w:rPr>
        <w:t xml:space="preserve"> </w:t>
      </w:r>
      <w:r w:rsidR="00D3206E" w:rsidRPr="00FD211F">
        <w:rPr>
          <w:sz w:val="36"/>
          <w:szCs w:val="36"/>
          <w:rtl/>
        </w:rPr>
        <w:t>لان</w:t>
      </w:r>
      <w:r w:rsidR="00E8128F">
        <w:rPr>
          <w:sz w:val="36"/>
          <w:szCs w:val="36"/>
          <w:rtl/>
        </w:rPr>
        <w:t xml:space="preserve"> </w:t>
      </w:r>
      <w:r w:rsidR="00D3206E" w:rsidRPr="00FD211F">
        <w:rPr>
          <w:sz w:val="36"/>
          <w:szCs w:val="36"/>
          <w:rtl/>
        </w:rPr>
        <w:t>الجعل</w:t>
      </w:r>
      <w:r w:rsidR="00E8128F">
        <w:rPr>
          <w:sz w:val="36"/>
          <w:szCs w:val="36"/>
          <w:rtl/>
        </w:rPr>
        <w:t xml:space="preserve"> </w:t>
      </w:r>
      <w:r w:rsidR="00D3206E" w:rsidRPr="00FD211F">
        <w:rPr>
          <w:sz w:val="36"/>
          <w:szCs w:val="36"/>
          <w:rtl/>
        </w:rPr>
        <w:t>الشرعي</w:t>
      </w:r>
      <w:r w:rsidR="00E8128F">
        <w:rPr>
          <w:sz w:val="36"/>
          <w:szCs w:val="36"/>
          <w:rtl/>
        </w:rPr>
        <w:t xml:space="preserve"> </w:t>
      </w:r>
      <w:r w:rsidR="00D3206E" w:rsidRPr="00FD211F">
        <w:rPr>
          <w:sz w:val="36"/>
          <w:szCs w:val="36"/>
          <w:rtl/>
        </w:rPr>
        <w:t>لايمكن</w:t>
      </w:r>
      <w:r w:rsidR="00E8128F">
        <w:rPr>
          <w:sz w:val="36"/>
          <w:szCs w:val="36"/>
          <w:rtl/>
        </w:rPr>
        <w:t xml:space="preserve"> </w:t>
      </w:r>
      <w:r w:rsidR="00D3206E" w:rsidRPr="00FD211F">
        <w:rPr>
          <w:sz w:val="36"/>
          <w:szCs w:val="36"/>
          <w:rtl/>
        </w:rPr>
        <w:t>ان</w:t>
      </w:r>
      <w:r w:rsidR="00E8128F">
        <w:rPr>
          <w:sz w:val="36"/>
          <w:szCs w:val="36"/>
          <w:rtl/>
        </w:rPr>
        <w:t xml:space="preserve"> </w:t>
      </w:r>
      <w:r w:rsidR="00D3206E" w:rsidRPr="00FD211F">
        <w:rPr>
          <w:sz w:val="36"/>
          <w:szCs w:val="36"/>
          <w:rtl/>
        </w:rPr>
        <w:t>يكون</w:t>
      </w:r>
      <w:r w:rsidR="00E8128F">
        <w:rPr>
          <w:sz w:val="36"/>
          <w:szCs w:val="36"/>
          <w:rtl/>
        </w:rPr>
        <w:t xml:space="preserve"> </w:t>
      </w:r>
      <w:r w:rsidR="00D3206E" w:rsidRPr="00FD211F">
        <w:rPr>
          <w:sz w:val="36"/>
          <w:szCs w:val="36"/>
          <w:rtl/>
        </w:rPr>
        <w:t>من</w:t>
      </w:r>
      <w:r w:rsidR="00E8128F">
        <w:rPr>
          <w:sz w:val="36"/>
          <w:szCs w:val="36"/>
          <w:rtl/>
        </w:rPr>
        <w:t xml:space="preserve"> </w:t>
      </w:r>
      <w:r w:rsidR="00D3206E" w:rsidRPr="00FD211F">
        <w:rPr>
          <w:sz w:val="36"/>
          <w:szCs w:val="36"/>
          <w:rtl/>
        </w:rPr>
        <w:t>صغريات</w:t>
      </w:r>
      <w:r w:rsidR="00E8128F">
        <w:rPr>
          <w:sz w:val="36"/>
          <w:szCs w:val="36"/>
          <w:rtl/>
        </w:rPr>
        <w:t xml:space="preserve"> </w:t>
      </w:r>
      <w:r w:rsidR="00D3206E" w:rsidRPr="00FD211F">
        <w:rPr>
          <w:sz w:val="36"/>
          <w:szCs w:val="36"/>
          <w:rtl/>
        </w:rPr>
        <w:t>جعل</w:t>
      </w:r>
      <w:r w:rsidR="00E8128F">
        <w:rPr>
          <w:sz w:val="36"/>
          <w:szCs w:val="36"/>
          <w:rtl/>
        </w:rPr>
        <w:t xml:space="preserve"> </w:t>
      </w:r>
      <w:r w:rsidR="00D3206E" w:rsidRPr="00FD211F">
        <w:rPr>
          <w:sz w:val="36"/>
          <w:szCs w:val="36"/>
          <w:rtl/>
        </w:rPr>
        <w:t>شرعي</w:t>
      </w:r>
      <w:r w:rsidR="00E8128F">
        <w:rPr>
          <w:sz w:val="36"/>
          <w:szCs w:val="36"/>
          <w:rtl/>
        </w:rPr>
        <w:t xml:space="preserve"> </w:t>
      </w:r>
      <w:r w:rsidR="00D3206E" w:rsidRPr="00FD211F">
        <w:rPr>
          <w:sz w:val="36"/>
          <w:szCs w:val="36"/>
          <w:rtl/>
        </w:rPr>
        <w:t>آخر</w:t>
      </w:r>
      <w:r w:rsidR="00603323" w:rsidRPr="00FD211F">
        <w:rPr>
          <w:sz w:val="36"/>
          <w:szCs w:val="36"/>
          <w:rtl/>
        </w:rPr>
        <w:t>،</w:t>
      </w:r>
      <w:r w:rsidR="00E8128F">
        <w:rPr>
          <w:sz w:val="36"/>
          <w:szCs w:val="36"/>
          <w:rtl/>
        </w:rPr>
        <w:t xml:space="preserve"> </w:t>
      </w:r>
      <w:r w:rsidR="00D3206E" w:rsidRPr="00FD211F">
        <w:rPr>
          <w:sz w:val="36"/>
          <w:szCs w:val="36"/>
          <w:rtl/>
        </w:rPr>
        <w:t>اذ</w:t>
      </w:r>
      <w:r w:rsidR="00E8128F">
        <w:rPr>
          <w:sz w:val="36"/>
          <w:szCs w:val="36"/>
          <w:rtl/>
        </w:rPr>
        <w:t xml:space="preserve"> </w:t>
      </w:r>
      <w:r w:rsidR="00D3206E" w:rsidRPr="00FD211F">
        <w:rPr>
          <w:sz w:val="36"/>
          <w:szCs w:val="36"/>
          <w:rtl/>
        </w:rPr>
        <w:t>لو</w:t>
      </w:r>
      <w:r w:rsidR="00E8128F">
        <w:rPr>
          <w:sz w:val="36"/>
          <w:szCs w:val="36"/>
          <w:rtl/>
        </w:rPr>
        <w:t xml:space="preserve"> </w:t>
      </w:r>
      <w:r w:rsidR="00D3206E" w:rsidRPr="00FD211F">
        <w:rPr>
          <w:sz w:val="36"/>
          <w:szCs w:val="36"/>
          <w:rtl/>
        </w:rPr>
        <w:t>فرض</w:t>
      </w:r>
      <w:r w:rsidR="00E8128F">
        <w:rPr>
          <w:sz w:val="36"/>
          <w:szCs w:val="36"/>
          <w:rtl/>
        </w:rPr>
        <w:t xml:space="preserve"> </w:t>
      </w:r>
      <w:r w:rsidR="00D3206E" w:rsidRPr="00FD211F">
        <w:rPr>
          <w:sz w:val="36"/>
          <w:szCs w:val="36"/>
          <w:rtl/>
        </w:rPr>
        <w:t>جعل</w:t>
      </w:r>
      <w:r w:rsidR="00E8128F">
        <w:rPr>
          <w:sz w:val="36"/>
          <w:szCs w:val="36"/>
          <w:rtl/>
        </w:rPr>
        <w:t xml:space="preserve"> </w:t>
      </w:r>
      <w:r w:rsidR="00D3206E" w:rsidRPr="00FD211F">
        <w:rPr>
          <w:sz w:val="36"/>
          <w:szCs w:val="36"/>
          <w:rtl/>
        </w:rPr>
        <w:t>الكبرى</w:t>
      </w:r>
      <w:r w:rsidR="00E8128F">
        <w:rPr>
          <w:sz w:val="36"/>
          <w:szCs w:val="36"/>
          <w:rtl/>
        </w:rPr>
        <w:t xml:space="preserve"> </w:t>
      </w:r>
      <w:r w:rsidR="00D3206E" w:rsidRPr="00FD211F">
        <w:rPr>
          <w:sz w:val="36"/>
          <w:szCs w:val="36"/>
          <w:rtl/>
        </w:rPr>
        <w:t>فجعل</w:t>
      </w:r>
      <w:r w:rsidR="00E8128F">
        <w:rPr>
          <w:sz w:val="36"/>
          <w:szCs w:val="36"/>
          <w:rtl/>
        </w:rPr>
        <w:t xml:space="preserve"> </w:t>
      </w:r>
      <w:r w:rsidR="00D3206E" w:rsidRPr="00FD211F">
        <w:rPr>
          <w:sz w:val="36"/>
          <w:szCs w:val="36"/>
          <w:rtl/>
        </w:rPr>
        <w:t>صغرياته</w:t>
      </w:r>
      <w:r w:rsidR="00E8128F">
        <w:rPr>
          <w:sz w:val="36"/>
          <w:szCs w:val="36"/>
          <w:rtl/>
        </w:rPr>
        <w:t xml:space="preserve"> </w:t>
      </w:r>
      <w:r w:rsidR="00D3206E" w:rsidRPr="00FD211F">
        <w:rPr>
          <w:sz w:val="36"/>
          <w:szCs w:val="36"/>
          <w:rtl/>
        </w:rPr>
        <w:t>بجعل</w:t>
      </w:r>
      <w:r w:rsidR="00E8128F">
        <w:rPr>
          <w:sz w:val="36"/>
          <w:szCs w:val="36"/>
          <w:rtl/>
        </w:rPr>
        <w:t xml:space="preserve"> </w:t>
      </w:r>
      <w:r w:rsidR="00D3206E" w:rsidRPr="00FD211F">
        <w:rPr>
          <w:sz w:val="36"/>
          <w:szCs w:val="36"/>
          <w:rtl/>
        </w:rPr>
        <w:t>مستقل</w:t>
      </w:r>
      <w:r w:rsidR="00E8128F">
        <w:rPr>
          <w:sz w:val="36"/>
          <w:szCs w:val="36"/>
          <w:rtl/>
        </w:rPr>
        <w:t xml:space="preserve"> </w:t>
      </w:r>
      <w:r w:rsidR="00D3206E" w:rsidRPr="00FD211F">
        <w:rPr>
          <w:sz w:val="36"/>
          <w:szCs w:val="36"/>
          <w:rtl/>
        </w:rPr>
        <w:t>برأسه</w:t>
      </w:r>
      <w:r w:rsidR="00E8128F">
        <w:rPr>
          <w:sz w:val="36"/>
          <w:szCs w:val="36"/>
          <w:rtl/>
        </w:rPr>
        <w:t xml:space="preserve"> </w:t>
      </w:r>
      <w:r w:rsidR="00D3206E" w:rsidRPr="00FD211F">
        <w:rPr>
          <w:sz w:val="36"/>
          <w:szCs w:val="36"/>
          <w:rtl/>
        </w:rPr>
        <w:t>لغو</w:t>
      </w:r>
      <w:r w:rsidR="00E8128F">
        <w:rPr>
          <w:sz w:val="36"/>
          <w:szCs w:val="36"/>
          <w:rtl/>
        </w:rPr>
        <w:t xml:space="preserve"> </w:t>
      </w:r>
      <w:r w:rsidR="00D3206E" w:rsidRPr="00FD211F">
        <w:rPr>
          <w:sz w:val="36"/>
          <w:szCs w:val="36"/>
          <w:rtl/>
        </w:rPr>
        <w:lastRenderedPageBreak/>
        <w:t>محض</w:t>
      </w:r>
      <w:r w:rsidR="00603323" w:rsidRPr="00FD211F">
        <w:rPr>
          <w:sz w:val="36"/>
          <w:szCs w:val="36"/>
          <w:rtl/>
        </w:rPr>
        <w:t>،</w:t>
      </w:r>
      <w:r w:rsidR="00E8128F">
        <w:rPr>
          <w:sz w:val="36"/>
          <w:szCs w:val="36"/>
          <w:rtl/>
        </w:rPr>
        <w:t xml:space="preserve"> </w:t>
      </w:r>
      <w:r w:rsidR="00D3206E" w:rsidRPr="00FD211F">
        <w:rPr>
          <w:sz w:val="36"/>
          <w:szCs w:val="36"/>
          <w:rtl/>
        </w:rPr>
        <w:t>نعم</w:t>
      </w:r>
      <w:r w:rsidR="00E8128F">
        <w:rPr>
          <w:sz w:val="36"/>
          <w:szCs w:val="36"/>
          <w:rtl/>
        </w:rPr>
        <w:t xml:space="preserve"> </w:t>
      </w:r>
      <w:r w:rsidR="00D3206E" w:rsidRPr="00FD211F">
        <w:rPr>
          <w:sz w:val="36"/>
          <w:szCs w:val="36"/>
          <w:rtl/>
        </w:rPr>
        <w:t>يمكن</w:t>
      </w:r>
      <w:r w:rsidR="00E8128F">
        <w:rPr>
          <w:sz w:val="36"/>
          <w:szCs w:val="36"/>
          <w:rtl/>
        </w:rPr>
        <w:t xml:space="preserve"> </w:t>
      </w:r>
      <w:r w:rsidR="00EE0B68" w:rsidRPr="00FD211F">
        <w:rPr>
          <w:sz w:val="36"/>
          <w:szCs w:val="36"/>
          <w:rtl/>
        </w:rPr>
        <w:t>كون</w:t>
      </w:r>
      <w:r w:rsidR="00E8128F">
        <w:rPr>
          <w:sz w:val="36"/>
          <w:szCs w:val="36"/>
          <w:rtl/>
        </w:rPr>
        <w:t xml:space="preserve"> </w:t>
      </w:r>
      <w:r w:rsidR="00EE0B68" w:rsidRPr="00FD211F">
        <w:rPr>
          <w:sz w:val="36"/>
          <w:szCs w:val="36"/>
          <w:rtl/>
        </w:rPr>
        <w:t>القاعد</w:t>
      </w:r>
      <w:r w:rsidR="00EC7EDF" w:rsidRPr="00FD211F">
        <w:rPr>
          <w:sz w:val="36"/>
          <w:szCs w:val="36"/>
          <w:rtl/>
        </w:rPr>
        <w:t>ة</w:t>
      </w:r>
      <w:r w:rsidR="00E8128F">
        <w:rPr>
          <w:sz w:val="36"/>
          <w:szCs w:val="36"/>
          <w:rtl/>
        </w:rPr>
        <w:t xml:space="preserve"> </w:t>
      </w:r>
      <w:r w:rsidR="00D3206E" w:rsidRPr="00FD211F">
        <w:rPr>
          <w:sz w:val="36"/>
          <w:szCs w:val="36"/>
          <w:rtl/>
        </w:rPr>
        <w:t>انتزاعا</w:t>
      </w:r>
      <w:r w:rsidR="00E8128F">
        <w:rPr>
          <w:sz w:val="36"/>
          <w:szCs w:val="36"/>
          <w:rtl/>
        </w:rPr>
        <w:t xml:space="preserve"> </w:t>
      </w:r>
      <w:r w:rsidR="00D3206E" w:rsidRPr="00FD211F">
        <w:rPr>
          <w:sz w:val="36"/>
          <w:szCs w:val="36"/>
          <w:rtl/>
        </w:rPr>
        <w:t>وابرازا</w:t>
      </w:r>
      <w:r w:rsidR="00E8128F">
        <w:rPr>
          <w:sz w:val="36"/>
          <w:szCs w:val="36"/>
          <w:rtl/>
        </w:rPr>
        <w:t xml:space="preserve"> </w:t>
      </w:r>
      <w:r w:rsidR="00D3206E" w:rsidRPr="00FD211F">
        <w:rPr>
          <w:sz w:val="36"/>
          <w:szCs w:val="36"/>
          <w:rtl/>
        </w:rPr>
        <w:t>لجع</w:t>
      </w:r>
      <w:r w:rsidR="00EE0B68" w:rsidRPr="00FD211F">
        <w:rPr>
          <w:sz w:val="36"/>
          <w:szCs w:val="36"/>
          <w:rtl/>
        </w:rPr>
        <w:t>ول</w:t>
      </w:r>
      <w:r w:rsidR="00E8128F">
        <w:rPr>
          <w:sz w:val="36"/>
          <w:szCs w:val="36"/>
          <w:rtl/>
        </w:rPr>
        <w:t xml:space="preserve"> </w:t>
      </w:r>
      <w:r w:rsidR="00EE0B68" w:rsidRPr="00FD211F">
        <w:rPr>
          <w:sz w:val="36"/>
          <w:szCs w:val="36"/>
          <w:rtl/>
        </w:rPr>
        <w:t>متعدد</w:t>
      </w:r>
      <w:r w:rsidR="00EC7EDF" w:rsidRPr="00FD211F">
        <w:rPr>
          <w:sz w:val="36"/>
          <w:szCs w:val="36"/>
          <w:rtl/>
        </w:rPr>
        <w:t>ة</w:t>
      </w:r>
      <w:r w:rsidR="00E8128F">
        <w:rPr>
          <w:sz w:val="36"/>
          <w:szCs w:val="36"/>
          <w:rtl/>
        </w:rPr>
        <w:t xml:space="preserve"> </w:t>
      </w:r>
      <w:r w:rsidR="00D3206E" w:rsidRPr="00FD211F">
        <w:rPr>
          <w:sz w:val="36"/>
          <w:szCs w:val="36"/>
          <w:rtl/>
        </w:rPr>
        <w:t>متعلق</w:t>
      </w:r>
      <w:r w:rsidR="00EC7EDF" w:rsidRPr="00FD211F">
        <w:rPr>
          <w:sz w:val="36"/>
          <w:szCs w:val="36"/>
          <w:rtl/>
        </w:rPr>
        <w:t>ة</w:t>
      </w:r>
      <w:r w:rsidR="00E8128F">
        <w:rPr>
          <w:sz w:val="36"/>
          <w:szCs w:val="36"/>
          <w:rtl/>
        </w:rPr>
        <w:t xml:space="preserve"> </w:t>
      </w:r>
      <w:r w:rsidR="00022453" w:rsidRPr="00FD211F">
        <w:rPr>
          <w:sz w:val="36"/>
          <w:szCs w:val="36"/>
          <w:rtl/>
        </w:rPr>
        <w:t>بصغرياتها</w:t>
      </w:r>
      <w:r w:rsidR="00E8128F">
        <w:rPr>
          <w:sz w:val="36"/>
          <w:szCs w:val="36"/>
          <w:rtl/>
        </w:rPr>
        <w:t xml:space="preserve"> </w:t>
      </w:r>
      <w:r w:rsidR="00EE0B68" w:rsidRPr="00FD211F">
        <w:rPr>
          <w:sz w:val="36"/>
          <w:szCs w:val="36"/>
          <w:rtl/>
        </w:rPr>
        <w:t>كقاعد</w:t>
      </w:r>
      <w:r w:rsidR="00EC7EDF" w:rsidRPr="00FD211F">
        <w:rPr>
          <w:sz w:val="36"/>
          <w:szCs w:val="36"/>
          <w:rtl/>
        </w:rPr>
        <w:t>ة</w:t>
      </w:r>
      <w:r w:rsidR="00E8128F">
        <w:rPr>
          <w:sz w:val="36"/>
          <w:szCs w:val="36"/>
          <w:rtl/>
        </w:rPr>
        <w:t xml:space="preserve"> </w:t>
      </w:r>
      <w:r w:rsidR="00EE0B68" w:rsidRPr="00FD211F">
        <w:rPr>
          <w:sz w:val="36"/>
          <w:szCs w:val="36"/>
          <w:rtl/>
        </w:rPr>
        <w:t>لاضرر</w:t>
      </w:r>
      <w:r w:rsidR="00E8128F">
        <w:rPr>
          <w:sz w:val="36"/>
          <w:szCs w:val="36"/>
          <w:rtl/>
        </w:rPr>
        <w:t xml:space="preserve"> </w:t>
      </w:r>
      <w:r w:rsidR="00D3206E" w:rsidRPr="00FD211F">
        <w:rPr>
          <w:sz w:val="36"/>
          <w:szCs w:val="36"/>
          <w:rtl/>
        </w:rPr>
        <w:t>على</w:t>
      </w:r>
      <w:r w:rsidR="00E8128F">
        <w:rPr>
          <w:sz w:val="36"/>
          <w:szCs w:val="36"/>
          <w:rtl/>
        </w:rPr>
        <w:t xml:space="preserve"> </w:t>
      </w:r>
      <w:r w:rsidR="00D3206E" w:rsidRPr="00FD211F">
        <w:rPr>
          <w:sz w:val="36"/>
          <w:szCs w:val="36"/>
          <w:rtl/>
        </w:rPr>
        <w:t>ما</w:t>
      </w:r>
      <w:r w:rsidR="00E8128F">
        <w:rPr>
          <w:sz w:val="36"/>
          <w:szCs w:val="36"/>
          <w:rtl/>
        </w:rPr>
        <w:t xml:space="preserve"> </w:t>
      </w:r>
      <w:r w:rsidR="00D3206E" w:rsidRPr="00FD211F">
        <w:rPr>
          <w:sz w:val="36"/>
          <w:szCs w:val="36"/>
          <w:rtl/>
        </w:rPr>
        <w:t>مر</w:t>
      </w:r>
      <w:r w:rsidR="00E8128F">
        <w:rPr>
          <w:sz w:val="36"/>
          <w:szCs w:val="36"/>
          <w:rtl/>
        </w:rPr>
        <w:t xml:space="preserve"> </w:t>
      </w:r>
      <w:r w:rsidR="00D3206E" w:rsidRPr="00FD211F">
        <w:rPr>
          <w:sz w:val="36"/>
          <w:szCs w:val="36"/>
          <w:rtl/>
        </w:rPr>
        <w:t>آنفا</w:t>
      </w:r>
      <w:r w:rsidR="00603323" w:rsidRPr="00FD211F">
        <w:rPr>
          <w:sz w:val="36"/>
          <w:szCs w:val="36"/>
          <w:rtl/>
        </w:rPr>
        <w:t>،</w:t>
      </w:r>
      <w:r w:rsidR="00E8128F">
        <w:rPr>
          <w:sz w:val="36"/>
          <w:szCs w:val="36"/>
          <w:rtl/>
        </w:rPr>
        <w:t xml:space="preserve"> </w:t>
      </w:r>
      <w:r w:rsidR="00EE0B68" w:rsidRPr="00FD211F">
        <w:rPr>
          <w:sz w:val="36"/>
          <w:szCs w:val="36"/>
          <w:rtl/>
        </w:rPr>
        <w:t>فحينئذ</w:t>
      </w:r>
      <w:r w:rsidR="00E8128F">
        <w:rPr>
          <w:sz w:val="36"/>
          <w:szCs w:val="36"/>
          <w:rtl/>
        </w:rPr>
        <w:t xml:space="preserve"> </w:t>
      </w:r>
      <w:r w:rsidR="00D3206E" w:rsidRPr="00FD211F">
        <w:rPr>
          <w:sz w:val="36"/>
          <w:szCs w:val="36"/>
          <w:rtl/>
        </w:rPr>
        <w:t>تنطبق</w:t>
      </w:r>
      <w:r w:rsidR="00E8128F">
        <w:rPr>
          <w:sz w:val="36"/>
          <w:szCs w:val="36"/>
          <w:rtl/>
        </w:rPr>
        <w:t xml:space="preserve"> </w:t>
      </w:r>
      <w:r w:rsidR="00D3206E" w:rsidRPr="00FD211F">
        <w:rPr>
          <w:sz w:val="36"/>
          <w:szCs w:val="36"/>
          <w:rtl/>
        </w:rPr>
        <w:t>على</w:t>
      </w:r>
      <w:r w:rsidR="00E8128F">
        <w:rPr>
          <w:sz w:val="36"/>
          <w:szCs w:val="36"/>
          <w:rtl/>
        </w:rPr>
        <w:t xml:space="preserve"> </w:t>
      </w:r>
      <w:r w:rsidR="00D3206E" w:rsidRPr="00FD211F">
        <w:rPr>
          <w:sz w:val="36"/>
          <w:szCs w:val="36"/>
          <w:rtl/>
        </w:rPr>
        <w:t>الجعل</w:t>
      </w:r>
      <w:r w:rsidR="00E8128F">
        <w:rPr>
          <w:sz w:val="36"/>
          <w:szCs w:val="36"/>
          <w:rtl/>
        </w:rPr>
        <w:t xml:space="preserve"> </w:t>
      </w:r>
      <w:r w:rsidR="00D3206E" w:rsidRPr="00FD211F">
        <w:rPr>
          <w:sz w:val="36"/>
          <w:szCs w:val="36"/>
          <w:rtl/>
        </w:rPr>
        <w:t>الشرعي</w:t>
      </w:r>
      <w:r w:rsidR="00603323" w:rsidRPr="00FD211F">
        <w:rPr>
          <w:sz w:val="36"/>
          <w:szCs w:val="36"/>
          <w:rtl/>
        </w:rPr>
        <w:t>،</w:t>
      </w:r>
      <w:r w:rsidR="00E8128F">
        <w:rPr>
          <w:sz w:val="36"/>
          <w:szCs w:val="36"/>
          <w:rtl/>
        </w:rPr>
        <w:t xml:space="preserve"> </w:t>
      </w:r>
      <w:r w:rsidR="00D3206E" w:rsidRPr="00FD211F">
        <w:rPr>
          <w:sz w:val="36"/>
          <w:szCs w:val="36"/>
          <w:rtl/>
        </w:rPr>
        <w:t>ولكن</w:t>
      </w:r>
      <w:r w:rsidR="00E8128F">
        <w:rPr>
          <w:sz w:val="36"/>
          <w:szCs w:val="36"/>
          <w:rtl/>
        </w:rPr>
        <w:t xml:space="preserve"> </w:t>
      </w:r>
      <w:r w:rsidR="00EE0B68" w:rsidRPr="00FD211F">
        <w:rPr>
          <w:sz w:val="36"/>
          <w:szCs w:val="36"/>
          <w:rtl/>
        </w:rPr>
        <w:t>تفقد</w:t>
      </w:r>
      <w:r w:rsidR="00E8128F">
        <w:rPr>
          <w:sz w:val="36"/>
          <w:szCs w:val="36"/>
          <w:rtl/>
        </w:rPr>
        <w:t xml:space="preserve"> </w:t>
      </w:r>
      <w:r w:rsidR="00D3206E" w:rsidRPr="00FD211F">
        <w:rPr>
          <w:sz w:val="36"/>
          <w:szCs w:val="36"/>
          <w:rtl/>
        </w:rPr>
        <w:t>حينئذ</w:t>
      </w:r>
      <w:r w:rsidR="00E8128F">
        <w:rPr>
          <w:sz w:val="36"/>
          <w:szCs w:val="36"/>
          <w:rtl/>
        </w:rPr>
        <w:t xml:space="preserve"> </w:t>
      </w:r>
      <w:r w:rsidR="00D3206E" w:rsidRPr="00FD211F">
        <w:rPr>
          <w:sz w:val="36"/>
          <w:szCs w:val="36"/>
          <w:rtl/>
        </w:rPr>
        <w:t>الخصوصي</w:t>
      </w:r>
      <w:r w:rsidR="00EC7EDF" w:rsidRPr="00FD211F">
        <w:rPr>
          <w:sz w:val="36"/>
          <w:szCs w:val="36"/>
          <w:rtl/>
        </w:rPr>
        <w:t>ة</w:t>
      </w:r>
      <w:r w:rsidR="00E8128F">
        <w:rPr>
          <w:sz w:val="36"/>
          <w:szCs w:val="36"/>
          <w:rtl/>
        </w:rPr>
        <w:t xml:space="preserve"> </w:t>
      </w:r>
      <w:r w:rsidR="00D3206E" w:rsidRPr="00FD211F">
        <w:rPr>
          <w:sz w:val="36"/>
          <w:szCs w:val="36"/>
          <w:rtl/>
        </w:rPr>
        <w:t>الثاني</w:t>
      </w:r>
      <w:r w:rsidR="00EC7EDF" w:rsidRPr="00FD211F">
        <w:rPr>
          <w:sz w:val="36"/>
          <w:szCs w:val="36"/>
          <w:rtl/>
        </w:rPr>
        <w:t>ة</w:t>
      </w:r>
      <w:r w:rsidR="00E8128F">
        <w:rPr>
          <w:sz w:val="36"/>
          <w:szCs w:val="36"/>
          <w:rtl/>
        </w:rPr>
        <w:t xml:space="preserve"> </w:t>
      </w:r>
      <w:r w:rsidR="00D3206E" w:rsidRPr="00FD211F">
        <w:rPr>
          <w:sz w:val="36"/>
          <w:szCs w:val="36"/>
          <w:rtl/>
        </w:rPr>
        <w:t>من</w:t>
      </w:r>
      <w:r w:rsidR="00E8128F">
        <w:rPr>
          <w:sz w:val="36"/>
          <w:szCs w:val="36"/>
          <w:rtl/>
        </w:rPr>
        <w:t xml:space="preserve"> </w:t>
      </w:r>
      <w:r w:rsidR="00D3206E" w:rsidRPr="00FD211F">
        <w:rPr>
          <w:sz w:val="36"/>
          <w:szCs w:val="36"/>
          <w:rtl/>
        </w:rPr>
        <w:t>القاعد</w:t>
      </w:r>
      <w:r w:rsidR="00EC7EDF" w:rsidRPr="00FD211F">
        <w:rPr>
          <w:sz w:val="36"/>
          <w:szCs w:val="36"/>
          <w:rtl/>
        </w:rPr>
        <w:t>ة</w:t>
      </w:r>
      <w:r w:rsidR="00E8128F">
        <w:rPr>
          <w:sz w:val="36"/>
          <w:szCs w:val="36"/>
          <w:rtl/>
        </w:rPr>
        <w:t xml:space="preserve"> </w:t>
      </w:r>
      <w:r w:rsidR="00D3206E" w:rsidRPr="00FD211F">
        <w:rPr>
          <w:sz w:val="36"/>
          <w:szCs w:val="36"/>
          <w:rtl/>
        </w:rPr>
        <w:t>الاصولي</w:t>
      </w:r>
      <w:r w:rsidR="00EC7EDF" w:rsidRPr="00FD211F">
        <w:rPr>
          <w:sz w:val="36"/>
          <w:szCs w:val="36"/>
          <w:rtl/>
        </w:rPr>
        <w:t>ة</w:t>
      </w:r>
      <w:r w:rsidR="00A61BAE" w:rsidRPr="00FD211F">
        <w:rPr>
          <w:sz w:val="36"/>
          <w:szCs w:val="36"/>
          <w:rtl/>
        </w:rPr>
        <w:t>.</w:t>
      </w:r>
    </w:p>
    <w:p w14:paraId="2B90AA87" w14:textId="77777777" w:rsidR="00A05DF5" w:rsidRPr="00FD211F" w:rsidRDefault="004F3632" w:rsidP="009C58C8">
      <w:pPr>
        <w:ind w:left="0" w:firstLine="227"/>
        <w:jc w:val="both"/>
        <w:rPr>
          <w:sz w:val="36"/>
          <w:szCs w:val="36"/>
          <w:rtl/>
        </w:rPr>
      </w:pPr>
      <w:r w:rsidRPr="00FD211F">
        <w:rPr>
          <w:sz w:val="36"/>
          <w:szCs w:val="36"/>
          <w:rtl/>
        </w:rPr>
        <w:t>4</w:t>
      </w:r>
      <w:r w:rsidR="00EE0B68" w:rsidRPr="00FD211F">
        <w:rPr>
          <w:sz w:val="36"/>
          <w:szCs w:val="36"/>
          <w:rtl/>
        </w:rPr>
        <w:t>-</w:t>
      </w:r>
      <w:r w:rsidR="00E8128F">
        <w:rPr>
          <w:sz w:val="36"/>
          <w:szCs w:val="36"/>
          <w:rtl/>
        </w:rPr>
        <w:t xml:space="preserve"> </w:t>
      </w:r>
      <w:r w:rsidR="003501D5" w:rsidRPr="00FD211F">
        <w:rPr>
          <w:sz w:val="36"/>
          <w:szCs w:val="36"/>
          <w:rtl/>
        </w:rPr>
        <w:t>ان</w:t>
      </w:r>
      <w:r w:rsidR="00E8128F">
        <w:rPr>
          <w:sz w:val="36"/>
          <w:szCs w:val="36"/>
          <w:rtl/>
        </w:rPr>
        <w:t xml:space="preserve"> </w:t>
      </w:r>
      <w:r w:rsidR="003501D5" w:rsidRPr="00FD211F">
        <w:rPr>
          <w:sz w:val="36"/>
          <w:szCs w:val="36"/>
          <w:rtl/>
        </w:rPr>
        <w:t>يكون</w:t>
      </w:r>
      <w:r w:rsidR="00E8128F">
        <w:rPr>
          <w:sz w:val="36"/>
          <w:szCs w:val="36"/>
          <w:rtl/>
        </w:rPr>
        <w:t xml:space="preserve"> </w:t>
      </w:r>
      <w:r w:rsidR="003501D5" w:rsidRPr="00FD211F">
        <w:rPr>
          <w:sz w:val="36"/>
          <w:szCs w:val="36"/>
          <w:rtl/>
        </w:rPr>
        <w:t>الحكم</w:t>
      </w:r>
      <w:r w:rsidR="00E8128F">
        <w:rPr>
          <w:sz w:val="36"/>
          <w:szCs w:val="36"/>
          <w:rtl/>
        </w:rPr>
        <w:t xml:space="preserve"> </w:t>
      </w:r>
      <w:r w:rsidR="003501D5" w:rsidRPr="00FD211F">
        <w:rPr>
          <w:sz w:val="36"/>
          <w:szCs w:val="36"/>
          <w:rtl/>
        </w:rPr>
        <w:t>الشرعي</w:t>
      </w:r>
      <w:r w:rsidR="00E8128F">
        <w:rPr>
          <w:sz w:val="36"/>
          <w:szCs w:val="36"/>
          <w:rtl/>
        </w:rPr>
        <w:t xml:space="preserve"> </w:t>
      </w:r>
      <w:r w:rsidR="003501D5" w:rsidRPr="00FD211F">
        <w:rPr>
          <w:sz w:val="36"/>
          <w:szCs w:val="36"/>
          <w:rtl/>
        </w:rPr>
        <w:t>الذي</w:t>
      </w:r>
      <w:r w:rsidR="00E8128F">
        <w:rPr>
          <w:sz w:val="36"/>
          <w:szCs w:val="36"/>
          <w:rtl/>
        </w:rPr>
        <w:t xml:space="preserve"> </w:t>
      </w:r>
      <w:r w:rsidR="003501D5" w:rsidRPr="00FD211F">
        <w:rPr>
          <w:sz w:val="36"/>
          <w:szCs w:val="36"/>
          <w:rtl/>
        </w:rPr>
        <w:t>يراد</w:t>
      </w:r>
      <w:r w:rsidR="00E8128F">
        <w:rPr>
          <w:sz w:val="36"/>
          <w:szCs w:val="36"/>
          <w:rtl/>
        </w:rPr>
        <w:t xml:space="preserve"> </w:t>
      </w:r>
      <w:r w:rsidR="003501D5" w:rsidRPr="00FD211F">
        <w:rPr>
          <w:sz w:val="36"/>
          <w:szCs w:val="36"/>
          <w:rtl/>
        </w:rPr>
        <w:t>استنباطه</w:t>
      </w:r>
      <w:r w:rsidR="00E8128F">
        <w:rPr>
          <w:sz w:val="36"/>
          <w:szCs w:val="36"/>
          <w:rtl/>
        </w:rPr>
        <w:t xml:space="preserve"> </w:t>
      </w:r>
      <w:r w:rsidR="003501D5" w:rsidRPr="00FD211F">
        <w:rPr>
          <w:sz w:val="36"/>
          <w:szCs w:val="36"/>
          <w:rtl/>
        </w:rPr>
        <w:t>من</w:t>
      </w:r>
      <w:r w:rsidR="00E8128F">
        <w:rPr>
          <w:sz w:val="36"/>
          <w:szCs w:val="36"/>
          <w:rtl/>
        </w:rPr>
        <w:t xml:space="preserve"> </w:t>
      </w:r>
      <w:r w:rsidR="003501D5" w:rsidRPr="00FD211F">
        <w:rPr>
          <w:sz w:val="36"/>
          <w:szCs w:val="36"/>
          <w:rtl/>
        </w:rPr>
        <w:t>القاعد</w:t>
      </w:r>
      <w:r w:rsidR="00EC7EDF" w:rsidRPr="00FD211F">
        <w:rPr>
          <w:sz w:val="36"/>
          <w:szCs w:val="36"/>
          <w:rtl/>
        </w:rPr>
        <w:t>ة</w:t>
      </w:r>
      <w:r w:rsidR="00E8128F">
        <w:rPr>
          <w:sz w:val="36"/>
          <w:szCs w:val="36"/>
          <w:rtl/>
        </w:rPr>
        <w:t xml:space="preserve"> </w:t>
      </w:r>
      <w:r w:rsidR="003501D5" w:rsidRPr="00FD211F">
        <w:rPr>
          <w:sz w:val="36"/>
          <w:szCs w:val="36"/>
          <w:rtl/>
        </w:rPr>
        <w:t>جعلا</w:t>
      </w:r>
      <w:r w:rsidR="00E8128F">
        <w:rPr>
          <w:sz w:val="36"/>
          <w:szCs w:val="36"/>
          <w:rtl/>
        </w:rPr>
        <w:t xml:space="preserve"> </w:t>
      </w:r>
      <w:r w:rsidR="003501D5" w:rsidRPr="00FD211F">
        <w:rPr>
          <w:sz w:val="36"/>
          <w:szCs w:val="36"/>
          <w:rtl/>
        </w:rPr>
        <w:t>شرعيا</w:t>
      </w:r>
      <w:r w:rsidR="00E8128F">
        <w:rPr>
          <w:sz w:val="36"/>
          <w:szCs w:val="36"/>
          <w:rtl/>
        </w:rPr>
        <w:t xml:space="preserve"> </w:t>
      </w:r>
      <w:r w:rsidR="003501D5" w:rsidRPr="00FD211F">
        <w:rPr>
          <w:sz w:val="36"/>
          <w:szCs w:val="36"/>
          <w:rtl/>
        </w:rPr>
        <w:t>كليا</w:t>
      </w:r>
      <w:r w:rsidR="00603323" w:rsidRPr="00FD211F">
        <w:rPr>
          <w:sz w:val="36"/>
          <w:szCs w:val="36"/>
          <w:rtl/>
        </w:rPr>
        <w:t>،</w:t>
      </w:r>
      <w:r w:rsidR="00E8128F">
        <w:rPr>
          <w:sz w:val="36"/>
          <w:szCs w:val="36"/>
          <w:rtl/>
        </w:rPr>
        <w:t xml:space="preserve"> </w:t>
      </w:r>
      <w:r w:rsidR="003501D5" w:rsidRPr="00FD211F">
        <w:rPr>
          <w:sz w:val="36"/>
          <w:szCs w:val="36"/>
          <w:rtl/>
        </w:rPr>
        <w:t>فيخرج</w:t>
      </w:r>
      <w:r w:rsidR="00E8128F">
        <w:rPr>
          <w:sz w:val="36"/>
          <w:szCs w:val="36"/>
          <w:rtl/>
        </w:rPr>
        <w:t xml:space="preserve"> </w:t>
      </w:r>
      <w:r w:rsidR="003501D5" w:rsidRPr="00FD211F">
        <w:rPr>
          <w:sz w:val="36"/>
          <w:szCs w:val="36"/>
          <w:rtl/>
        </w:rPr>
        <w:t>بذلك</w:t>
      </w:r>
      <w:r w:rsidR="00E8128F">
        <w:rPr>
          <w:sz w:val="36"/>
          <w:szCs w:val="36"/>
          <w:rtl/>
        </w:rPr>
        <w:t xml:space="preserve"> </w:t>
      </w:r>
      <w:r w:rsidR="003501D5" w:rsidRPr="00FD211F">
        <w:rPr>
          <w:sz w:val="36"/>
          <w:szCs w:val="36"/>
          <w:rtl/>
        </w:rPr>
        <w:t>الأمارات</w:t>
      </w:r>
      <w:r w:rsidR="00E8128F">
        <w:rPr>
          <w:sz w:val="36"/>
          <w:szCs w:val="36"/>
          <w:rtl/>
        </w:rPr>
        <w:t xml:space="preserve"> </w:t>
      </w:r>
      <w:r w:rsidR="003501D5" w:rsidRPr="00FD211F">
        <w:rPr>
          <w:sz w:val="36"/>
          <w:szCs w:val="36"/>
          <w:rtl/>
        </w:rPr>
        <w:t>والأصول</w:t>
      </w:r>
      <w:r w:rsidR="00E8128F">
        <w:rPr>
          <w:sz w:val="36"/>
          <w:szCs w:val="36"/>
          <w:rtl/>
        </w:rPr>
        <w:t xml:space="preserve"> </w:t>
      </w:r>
      <w:r w:rsidR="003501D5" w:rsidRPr="00FD211F">
        <w:rPr>
          <w:sz w:val="36"/>
          <w:szCs w:val="36"/>
          <w:rtl/>
        </w:rPr>
        <w:t>العملي</w:t>
      </w:r>
      <w:r w:rsidR="00EC7EDF" w:rsidRPr="00FD211F">
        <w:rPr>
          <w:sz w:val="36"/>
          <w:szCs w:val="36"/>
          <w:rtl/>
        </w:rPr>
        <w:t>ة</w:t>
      </w:r>
      <w:r w:rsidR="00E8128F">
        <w:rPr>
          <w:sz w:val="36"/>
          <w:szCs w:val="36"/>
          <w:rtl/>
        </w:rPr>
        <w:t xml:space="preserve"> </w:t>
      </w:r>
      <w:r w:rsidR="003501D5" w:rsidRPr="00FD211F">
        <w:rPr>
          <w:sz w:val="36"/>
          <w:szCs w:val="36"/>
          <w:rtl/>
        </w:rPr>
        <w:t>الجاري</w:t>
      </w:r>
      <w:r w:rsidR="00EC7EDF" w:rsidRPr="00FD211F">
        <w:rPr>
          <w:sz w:val="36"/>
          <w:szCs w:val="36"/>
          <w:rtl/>
        </w:rPr>
        <w:t>ة</w:t>
      </w:r>
      <w:r w:rsidR="00E8128F">
        <w:rPr>
          <w:sz w:val="36"/>
          <w:szCs w:val="36"/>
          <w:rtl/>
        </w:rPr>
        <w:t xml:space="preserve"> </w:t>
      </w:r>
      <w:r w:rsidR="003501D5" w:rsidRPr="00FD211F">
        <w:rPr>
          <w:sz w:val="36"/>
          <w:szCs w:val="36"/>
          <w:rtl/>
        </w:rPr>
        <w:t>في</w:t>
      </w:r>
      <w:r w:rsidR="00E8128F">
        <w:rPr>
          <w:sz w:val="36"/>
          <w:szCs w:val="36"/>
          <w:rtl/>
        </w:rPr>
        <w:t xml:space="preserve"> </w:t>
      </w:r>
      <w:r w:rsidR="003501D5" w:rsidRPr="00FD211F">
        <w:rPr>
          <w:sz w:val="36"/>
          <w:szCs w:val="36"/>
          <w:rtl/>
        </w:rPr>
        <w:t>الشبهات</w:t>
      </w:r>
      <w:r w:rsidR="00E8128F">
        <w:rPr>
          <w:sz w:val="36"/>
          <w:szCs w:val="36"/>
          <w:rtl/>
        </w:rPr>
        <w:t xml:space="preserve"> </w:t>
      </w:r>
      <w:r w:rsidR="003501D5" w:rsidRPr="00FD211F">
        <w:rPr>
          <w:sz w:val="36"/>
          <w:szCs w:val="36"/>
          <w:rtl/>
        </w:rPr>
        <w:t>الموضوعي</w:t>
      </w:r>
      <w:r w:rsidR="00EC7EDF" w:rsidRPr="00FD211F">
        <w:rPr>
          <w:sz w:val="36"/>
          <w:szCs w:val="36"/>
          <w:rtl/>
        </w:rPr>
        <w:t>ة</w:t>
      </w:r>
      <w:r w:rsidR="00603323" w:rsidRPr="00FD211F">
        <w:rPr>
          <w:sz w:val="36"/>
          <w:szCs w:val="36"/>
          <w:rtl/>
        </w:rPr>
        <w:t>،</w:t>
      </w:r>
      <w:r w:rsidR="00E8128F">
        <w:rPr>
          <w:sz w:val="36"/>
          <w:szCs w:val="36"/>
          <w:rtl/>
        </w:rPr>
        <w:t xml:space="preserve"> </w:t>
      </w:r>
      <w:r w:rsidR="003501D5" w:rsidRPr="00FD211F">
        <w:rPr>
          <w:sz w:val="36"/>
          <w:szCs w:val="36"/>
          <w:rtl/>
        </w:rPr>
        <w:t>لانها</w:t>
      </w:r>
      <w:r w:rsidR="00E8128F">
        <w:rPr>
          <w:sz w:val="36"/>
          <w:szCs w:val="36"/>
          <w:rtl/>
        </w:rPr>
        <w:t xml:space="preserve"> </w:t>
      </w:r>
      <w:r w:rsidR="003501D5" w:rsidRPr="00FD211F">
        <w:rPr>
          <w:sz w:val="36"/>
          <w:szCs w:val="36"/>
          <w:rtl/>
        </w:rPr>
        <w:t>لاتقع</w:t>
      </w:r>
      <w:r w:rsidR="00E8128F">
        <w:rPr>
          <w:sz w:val="36"/>
          <w:szCs w:val="36"/>
          <w:rtl/>
        </w:rPr>
        <w:t xml:space="preserve"> </w:t>
      </w:r>
      <w:r w:rsidR="003501D5" w:rsidRPr="00FD211F">
        <w:rPr>
          <w:sz w:val="36"/>
          <w:szCs w:val="36"/>
          <w:rtl/>
        </w:rPr>
        <w:t>في</w:t>
      </w:r>
      <w:r w:rsidR="00E8128F">
        <w:rPr>
          <w:sz w:val="36"/>
          <w:szCs w:val="36"/>
          <w:rtl/>
        </w:rPr>
        <w:t xml:space="preserve"> </w:t>
      </w:r>
      <w:r w:rsidR="003501D5" w:rsidRPr="00FD211F">
        <w:rPr>
          <w:sz w:val="36"/>
          <w:szCs w:val="36"/>
          <w:rtl/>
        </w:rPr>
        <w:t>طرق</w:t>
      </w:r>
      <w:r w:rsidR="00E8128F">
        <w:rPr>
          <w:sz w:val="36"/>
          <w:szCs w:val="36"/>
          <w:rtl/>
        </w:rPr>
        <w:t xml:space="preserve"> </w:t>
      </w:r>
      <w:r w:rsidR="003501D5" w:rsidRPr="00FD211F">
        <w:rPr>
          <w:sz w:val="36"/>
          <w:szCs w:val="36"/>
          <w:rtl/>
        </w:rPr>
        <w:t>اثبات</w:t>
      </w:r>
      <w:r w:rsidR="00E8128F">
        <w:rPr>
          <w:sz w:val="36"/>
          <w:szCs w:val="36"/>
          <w:rtl/>
        </w:rPr>
        <w:t xml:space="preserve"> </w:t>
      </w:r>
      <w:r w:rsidR="003501D5" w:rsidRPr="00FD211F">
        <w:rPr>
          <w:sz w:val="36"/>
          <w:szCs w:val="36"/>
          <w:rtl/>
        </w:rPr>
        <w:t>جعل</w:t>
      </w:r>
      <w:r w:rsidR="00E8128F">
        <w:rPr>
          <w:sz w:val="36"/>
          <w:szCs w:val="36"/>
          <w:rtl/>
        </w:rPr>
        <w:t xml:space="preserve"> </w:t>
      </w:r>
      <w:r w:rsidR="003501D5" w:rsidRPr="00FD211F">
        <w:rPr>
          <w:sz w:val="36"/>
          <w:szCs w:val="36"/>
          <w:rtl/>
        </w:rPr>
        <w:t>شرعي</w:t>
      </w:r>
      <w:r w:rsidR="00E8128F">
        <w:rPr>
          <w:sz w:val="36"/>
          <w:szCs w:val="36"/>
          <w:rtl/>
        </w:rPr>
        <w:t xml:space="preserve"> </w:t>
      </w:r>
      <w:r w:rsidR="003501D5" w:rsidRPr="00FD211F">
        <w:rPr>
          <w:sz w:val="36"/>
          <w:szCs w:val="36"/>
          <w:rtl/>
        </w:rPr>
        <w:t>كلي</w:t>
      </w:r>
      <w:r w:rsidR="00603323" w:rsidRPr="00FD211F">
        <w:rPr>
          <w:sz w:val="36"/>
          <w:szCs w:val="36"/>
          <w:rtl/>
        </w:rPr>
        <w:t>،</w:t>
      </w:r>
      <w:r w:rsidR="00E8128F">
        <w:rPr>
          <w:sz w:val="36"/>
          <w:szCs w:val="36"/>
          <w:rtl/>
        </w:rPr>
        <w:t xml:space="preserve"> </w:t>
      </w:r>
      <w:r w:rsidR="00A05DF5" w:rsidRPr="00FD211F">
        <w:rPr>
          <w:sz w:val="36"/>
          <w:szCs w:val="36"/>
          <w:rtl/>
        </w:rPr>
        <w:t>بل</w:t>
      </w:r>
      <w:r w:rsidR="00E8128F">
        <w:rPr>
          <w:sz w:val="36"/>
          <w:szCs w:val="36"/>
          <w:rtl/>
        </w:rPr>
        <w:t xml:space="preserve"> </w:t>
      </w:r>
      <w:r w:rsidR="00A05DF5" w:rsidRPr="00FD211F">
        <w:rPr>
          <w:sz w:val="36"/>
          <w:szCs w:val="36"/>
          <w:rtl/>
        </w:rPr>
        <w:t>يقع</w:t>
      </w:r>
      <w:r w:rsidR="00E8128F">
        <w:rPr>
          <w:sz w:val="36"/>
          <w:szCs w:val="36"/>
          <w:rtl/>
        </w:rPr>
        <w:t xml:space="preserve"> </w:t>
      </w:r>
      <w:r w:rsidR="00A05DF5" w:rsidRPr="00FD211F">
        <w:rPr>
          <w:sz w:val="36"/>
          <w:szCs w:val="36"/>
          <w:rtl/>
        </w:rPr>
        <w:t>في</w:t>
      </w:r>
      <w:r w:rsidR="00E8128F">
        <w:rPr>
          <w:sz w:val="36"/>
          <w:szCs w:val="36"/>
          <w:rtl/>
        </w:rPr>
        <w:t xml:space="preserve"> </w:t>
      </w:r>
      <w:r w:rsidR="00A05DF5" w:rsidRPr="00FD211F">
        <w:rPr>
          <w:sz w:val="36"/>
          <w:szCs w:val="36"/>
          <w:rtl/>
        </w:rPr>
        <w:t>طريق</w:t>
      </w:r>
      <w:r w:rsidR="00E8128F">
        <w:rPr>
          <w:sz w:val="36"/>
          <w:szCs w:val="36"/>
          <w:rtl/>
        </w:rPr>
        <w:t xml:space="preserve"> </w:t>
      </w:r>
      <w:r w:rsidR="00A05DF5" w:rsidRPr="00FD211F">
        <w:rPr>
          <w:sz w:val="36"/>
          <w:szCs w:val="36"/>
          <w:rtl/>
        </w:rPr>
        <w:t>اثبات</w:t>
      </w:r>
      <w:r w:rsidR="00E8128F">
        <w:rPr>
          <w:sz w:val="36"/>
          <w:szCs w:val="36"/>
          <w:rtl/>
        </w:rPr>
        <w:t xml:space="preserve"> </w:t>
      </w:r>
      <w:r w:rsidR="00A05DF5" w:rsidRPr="00FD211F">
        <w:rPr>
          <w:sz w:val="36"/>
          <w:szCs w:val="36"/>
          <w:rtl/>
        </w:rPr>
        <w:t>مص</w:t>
      </w:r>
      <w:r w:rsidR="003501D5" w:rsidRPr="00FD211F">
        <w:rPr>
          <w:sz w:val="36"/>
          <w:szCs w:val="36"/>
          <w:rtl/>
        </w:rPr>
        <w:t>داق</w:t>
      </w:r>
      <w:r w:rsidR="00E8128F">
        <w:rPr>
          <w:sz w:val="36"/>
          <w:szCs w:val="36"/>
          <w:rtl/>
        </w:rPr>
        <w:t xml:space="preserve"> </w:t>
      </w:r>
      <w:r w:rsidR="003501D5" w:rsidRPr="00FD211F">
        <w:rPr>
          <w:sz w:val="36"/>
          <w:szCs w:val="36"/>
          <w:rtl/>
        </w:rPr>
        <w:t>لمتعلق</w:t>
      </w:r>
      <w:r w:rsidR="00E8128F">
        <w:rPr>
          <w:sz w:val="36"/>
          <w:szCs w:val="36"/>
          <w:rtl/>
        </w:rPr>
        <w:t xml:space="preserve"> </w:t>
      </w:r>
      <w:r w:rsidR="003501D5" w:rsidRPr="00FD211F">
        <w:rPr>
          <w:sz w:val="36"/>
          <w:szCs w:val="36"/>
          <w:rtl/>
        </w:rPr>
        <w:t>جعل</w:t>
      </w:r>
      <w:r w:rsidR="00E8128F">
        <w:rPr>
          <w:sz w:val="36"/>
          <w:szCs w:val="36"/>
          <w:rtl/>
        </w:rPr>
        <w:t xml:space="preserve"> </w:t>
      </w:r>
      <w:r w:rsidR="003501D5" w:rsidRPr="00FD211F">
        <w:rPr>
          <w:sz w:val="36"/>
          <w:szCs w:val="36"/>
          <w:rtl/>
        </w:rPr>
        <w:t>او</w:t>
      </w:r>
      <w:r w:rsidR="00E8128F">
        <w:rPr>
          <w:sz w:val="36"/>
          <w:szCs w:val="36"/>
          <w:rtl/>
        </w:rPr>
        <w:t xml:space="preserve"> </w:t>
      </w:r>
      <w:r w:rsidR="003501D5" w:rsidRPr="00FD211F">
        <w:rPr>
          <w:sz w:val="36"/>
          <w:szCs w:val="36"/>
          <w:rtl/>
        </w:rPr>
        <w:t>موضوعه</w:t>
      </w:r>
      <w:r w:rsidR="00E8128F">
        <w:rPr>
          <w:sz w:val="36"/>
          <w:szCs w:val="36"/>
          <w:rtl/>
        </w:rPr>
        <w:t xml:space="preserve"> </w:t>
      </w:r>
      <w:r w:rsidR="003501D5" w:rsidRPr="00FD211F">
        <w:rPr>
          <w:sz w:val="36"/>
          <w:szCs w:val="36"/>
          <w:rtl/>
        </w:rPr>
        <w:t>(او</w:t>
      </w:r>
      <w:r w:rsidR="00E8128F">
        <w:rPr>
          <w:sz w:val="36"/>
          <w:szCs w:val="36"/>
          <w:rtl/>
        </w:rPr>
        <w:t xml:space="preserve"> </w:t>
      </w:r>
      <w:r w:rsidR="003501D5" w:rsidRPr="00FD211F">
        <w:rPr>
          <w:sz w:val="36"/>
          <w:szCs w:val="36"/>
          <w:rtl/>
        </w:rPr>
        <w:t>لنفي</w:t>
      </w:r>
      <w:r w:rsidR="00E8128F">
        <w:rPr>
          <w:sz w:val="36"/>
          <w:szCs w:val="36"/>
          <w:rtl/>
        </w:rPr>
        <w:t xml:space="preserve"> </w:t>
      </w:r>
      <w:r w:rsidR="003501D5" w:rsidRPr="00FD211F">
        <w:rPr>
          <w:sz w:val="36"/>
          <w:szCs w:val="36"/>
          <w:rtl/>
        </w:rPr>
        <w:t>حكم</w:t>
      </w:r>
      <w:r w:rsidR="00E8128F">
        <w:rPr>
          <w:sz w:val="36"/>
          <w:szCs w:val="36"/>
          <w:rtl/>
        </w:rPr>
        <w:t xml:space="preserve"> </w:t>
      </w:r>
      <w:r w:rsidR="003501D5" w:rsidRPr="00FD211F">
        <w:rPr>
          <w:sz w:val="36"/>
          <w:szCs w:val="36"/>
          <w:rtl/>
        </w:rPr>
        <w:t>جزئي</w:t>
      </w:r>
      <w:r w:rsidR="00E8128F">
        <w:rPr>
          <w:sz w:val="36"/>
          <w:szCs w:val="36"/>
          <w:rtl/>
        </w:rPr>
        <w:t xml:space="preserve"> </w:t>
      </w:r>
      <w:r w:rsidR="003501D5" w:rsidRPr="00FD211F">
        <w:rPr>
          <w:sz w:val="36"/>
          <w:szCs w:val="36"/>
          <w:rtl/>
        </w:rPr>
        <w:t>كالب</w:t>
      </w:r>
      <w:r w:rsidR="008D7B3D" w:rsidRPr="00FD211F">
        <w:rPr>
          <w:sz w:val="36"/>
          <w:szCs w:val="36"/>
          <w:rtl/>
        </w:rPr>
        <w:t>راءة</w:t>
      </w:r>
      <w:r w:rsidR="00E8128F">
        <w:rPr>
          <w:sz w:val="36"/>
          <w:szCs w:val="36"/>
          <w:rtl/>
        </w:rPr>
        <w:t xml:space="preserve"> </w:t>
      </w:r>
      <w:r w:rsidR="003501D5" w:rsidRPr="00FD211F">
        <w:rPr>
          <w:sz w:val="36"/>
          <w:szCs w:val="36"/>
          <w:rtl/>
        </w:rPr>
        <w:t>عن</w:t>
      </w:r>
      <w:r w:rsidR="00E8128F">
        <w:rPr>
          <w:sz w:val="36"/>
          <w:szCs w:val="36"/>
          <w:rtl/>
        </w:rPr>
        <w:t xml:space="preserve"> </w:t>
      </w:r>
      <w:r w:rsidR="003501D5" w:rsidRPr="00FD211F">
        <w:rPr>
          <w:sz w:val="36"/>
          <w:szCs w:val="36"/>
          <w:rtl/>
        </w:rPr>
        <w:t>الحكم</w:t>
      </w:r>
      <w:r w:rsidR="00E8128F">
        <w:rPr>
          <w:sz w:val="36"/>
          <w:szCs w:val="36"/>
          <w:rtl/>
        </w:rPr>
        <w:t xml:space="preserve"> </w:t>
      </w:r>
      <w:r w:rsidR="003501D5" w:rsidRPr="00FD211F">
        <w:rPr>
          <w:sz w:val="36"/>
          <w:szCs w:val="36"/>
          <w:rtl/>
        </w:rPr>
        <w:t>الجزئي</w:t>
      </w:r>
      <w:r w:rsidR="00E8128F">
        <w:rPr>
          <w:sz w:val="36"/>
          <w:szCs w:val="36"/>
          <w:rtl/>
        </w:rPr>
        <w:t xml:space="preserve"> </w:t>
      </w:r>
      <w:r w:rsidR="003501D5" w:rsidRPr="00FD211F">
        <w:rPr>
          <w:sz w:val="36"/>
          <w:szCs w:val="36"/>
          <w:rtl/>
        </w:rPr>
        <w:t>المشكوك).</w:t>
      </w:r>
    </w:p>
    <w:p w14:paraId="67EAD6F4" w14:textId="77777777" w:rsidR="00EA4DFD" w:rsidRPr="00FD211F" w:rsidRDefault="004F3632" w:rsidP="009C58C8">
      <w:pPr>
        <w:ind w:left="0" w:firstLine="227"/>
        <w:jc w:val="both"/>
        <w:rPr>
          <w:sz w:val="36"/>
          <w:szCs w:val="36"/>
          <w:rtl/>
        </w:rPr>
      </w:pPr>
      <w:r w:rsidRPr="00FD211F">
        <w:rPr>
          <w:sz w:val="36"/>
          <w:szCs w:val="36"/>
          <w:rtl/>
        </w:rPr>
        <w:t>5</w:t>
      </w:r>
      <w:r w:rsidR="003501D5" w:rsidRPr="00FD211F">
        <w:rPr>
          <w:sz w:val="36"/>
          <w:szCs w:val="36"/>
          <w:rtl/>
        </w:rPr>
        <w:t>-</w:t>
      </w:r>
      <w:r w:rsidR="00E8128F">
        <w:rPr>
          <w:sz w:val="36"/>
          <w:szCs w:val="36"/>
          <w:rtl/>
        </w:rPr>
        <w:t xml:space="preserve"> </w:t>
      </w:r>
      <w:r w:rsidR="003501D5" w:rsidRPr="00FD211F">
        <w:rPr>
          <w:sz w:val="36"/>
          <w:szCs w:val="36"/>
          <w:rtl/>
        </w:rPr>
        <w:t>ان</w:t>
      </w:r>
      <w:r w:rsidR="00E8128F">
        <w:rPr>
          <w:sz w:val="36"/>
          <w:szCs w:val="36"/>
          <w:rtl/>
        </w:rPr>
        <w:t xml:space="preserve"> </w:t>
      </w:r>
      <w:r w:rsidR="003501D5" w:rsidRPr="00FD211F">
        <w:rPr>
          <w:sz w:val="36"/>
          <w:szCs w:val="36"/>
          <w:rtl/>
        </w:rPr>
        <w:t>لاتختص</w:t>
      </w:r>
      <w:r w:rsidR="00E8128F">
        <w:rPr>
          <w:sz w:val="36"/>
          <w:szCs w:val="36"/>
          <w:rtl/>
        </w:rPr>
        <w:t xml:space="preserve"> </w:t>
      </w:r>
      <w:r w:rsidR="003501D5" w:rsidRPr="00FD211F">
        <w:rPr>
          <w:sz w:val="36"/>
          <w:szCs w:val="36"/>
          <w:rtl/>
        </w:rPr>
        <w:t>هذه</w:t>
      </w:r>
      <w:r w:rsidR="00E8128F">
        <w:rPr>
          <w:sz w:val="36"/>
          <w:szCs w:val="36"/>
          <w:rtl/>
        </w:rPr>
        <w:t xml:space="preserve"> </w:t>
      </w:r>
      <w:r w:rsidR="003501D5" w:rsidRPr="00FD211F">
        <w:rPr>
          <w:sz w:val="36"/>
          <w:szCs w:val="36"/>
          <w:rtl/>
        </w:rPr>
        <w:t>القاعد</w:t>
      </w:r>
      <w:r w:rsidR="00EC7EDF" w:rsidRPr="00FD211F">
        <w:rPr>
          <w:sz w:val="36"/>
          <w:szCs w:val="36"/>
          <w:rtl/>
        </w:rPr>
        <w:t>ة</w:t>
      </w:r>
      <w:r w:rsidR="00E8128F">
        <w:rPr>
          <w:sz w:val="36"/>
          <w:szCs w:val="36"/>
          <w:rtl/>
        </w:rPr>
        <w:t xml:space="preserve"> </w:t>
      </w:r>
      <w:r w:rsidR="001279FC" w:rsidRPr="00FD211F">
        <w:rPr>
          <w:sz w:val="36"/>
          <w:szCs w:val="36"/>
          <w:rtl/>
        </w:rPr>
        <w:t>ب</w:t>
      </w:r>
      <w:r w:rsidR="003501D5" w:rsidRPr="00FD211F">
        <w:rPr>
          <w:sz w:val="36"/>
          <w:szCs w:val="36"/>
          <w:rtl/>
        </w:rPr>
        <w:t>باب</w:t>
      </w:r>
      <w:r w:rsidR="00E8128F">
        <w:rPr>
          <w:sz w:val="36"/>
          <w:szCs w:val="36"/>
          <w:rtl/>
        </w:rPr>
        <w:t xml:space="preserve"> </w:t>
      </w:r>
      <w:r w:rsidR="003501D5" w:rsidRPr="00FD211F">
        <w:rPr>
          <w:sz w:val="36"/>
          <w:szCs w:val="36"/>
          <w:rtl/>
        </w:rPr>
        <w:t>فقهي</w:t>
      </w:r>
      <w:r w:rsidR="00E8128F">
        <w:rPr>
          <w:sz w:val="36"/>
          <w:szCs w:val="36"/>
          <w:rtl/>
        </w:rPr>
        <w:t xml:space="preserve"> </w:t>
      </w:r>
      <w:r w:rsidR="003501D5" w:rsidRPr="00FD211F">
        <w:rPr>
          <w:sz w:val="36"/>
          <w:szCs w:val="36"/>
          <w:rtl/>
        </w:rPr>
        <w:t>معين</w:t>
      </w:r>
      <w:r w:rsidR="00603323" w:rsidRPr="00FD211F">
        <w:rPr>
          <w:sz w:val="36"/>
          <w:szCs w:val="36"/>
          <w:rtl/>
        </w:rPr>
        <w:t>،</w:t>
      </w:r>
      <w:r w:rsidR="00E8128F">
        <w:rPr>
          <w:sz w:val="36"/>
          <w:szCs w:val="36"/>
          <w:rtl/>
        </w:rPr>
        <w:t xml:space="preserve"> </w:t>
      </w:r>
      <w:r w:rsidR="001A705E" w:rsidRPr="00FD211F">
        <w:rPr>
          <w:sz w:val="36"/>
          <w:szCs w:val="36"/>
          <w:rtl/>
        </w:rPr>
        <w:t>بل</w:t>
      </w:r>
      <w:r w:rsidR="00E8128F">
        <w:rPr>
          <w:sz w:val="36"/>
          <w:szCs w:val="36"/>
          <w:rtl/>
        </w:rPr>
        <w:t xml:space="preserve"> </w:t>
      </w:r>
      <w:r w:rsidR="001A705E" w:rsidRPr="00FD211F">
        <w:rPr>
          <w:sz w:val="36"/>
          <w:szCs w:val="36"/>
          <w:rtl/>
        </w:rPr>
        <w:t>تكون</w:t>
      </w:r>
      <w:r w:rsidR="00E8128F">
        <w:rPr>
          <w:sz w:val="36"/>
          <w:szCs w:val="36"/>
          <w:rtl/>
        </w:rPr>
        <w:t xml:space="preserve"> </w:t>
      </w:r>
      <w:r w:rsidR="001A705E" w:rsidRPr="00FD211F">
        <w:rPr>
          <w:sz w:val="36"/>
          <w:szCs w:val="36"/>
          <w:rtl/>
        </w:rPr>
        <w:t>مشترك</w:t>
      </w:r>
      <w:r w:rsidR="00EC7EDF" w:rsidRPr="00FD211F">
        <w:rPr>
          <w:sz w:val="36"/>
          <w:szCs w:val="36"/>
          <w:rtl/>
        </w:rPr>
        <w:t>ة</w:t>
      </w:r>
      <w:r w:rsidR="00E8128F">
        <w:rPr>
          <w:sz w:val="36"/>
          <w:szCs w:val="36"/>
          <w:rtl/>
        </w:rPr>
        <w:t xml:space="preserve"> </w:t>
      </w:r>
      <w:r w:rsidR="001A705E" w:rsidRPr="00FD211F">
        <w:rPr>
          <w:sz w:val="36"/>
          <w:szCs w:val="36"/>
          <w:rtl/>
        </w:rPr>
        <w:t>يستدل</w:t>
      </w:r>
      <w:r w:rsidR="00E8128F">
        <w:rPr>
          <w:sz w:val="36"/>
          <w:szCs w:val="36"/>
          <w:rtl/>
        </w:rPr>
        <w:t xml:space="preserve"> </w:t>
      </w:r>
      <w:r w:rsidR="001A705E" w:rsidRPr="00FD211F">
        <w:rPr>
          <w:sz w:val="36"/>
          <w:szCs w:val="36"/>
          <w:rtl/>
        </w:rPr>
        <w:t>بها</w:t>
      </w:r>
      <w:r w:rsidR="00E8128F">
        <w:rPr>
          <w:sz w:val="36"/>
          <w:szCs w:val="36"/>
          <w:rtl/>
        </w:rPr>
        <w:t xml:space="preserve"> </w:t>
      </w:r>
      <w:r w:rsidR="001A705E" w:rsidRPr="00FD211F">
        <w:rPr>
          <w:sz w:val="36"/>
          <w:szCs w:val="36"/>
          <w:rtl/>
        </w:rPr>
        <w:t>في</w:t>
      </w:r>
      <w:r w:rsidR="00E8128F">
        <w:rPr>
          <w:sz w:val="36"/>
          <w:szCs w:val="36"/>
          <w:rtl/>
        </w:rPr>
        <w:t xml:space="preserve"> </w:t>
      </w:r>
      <w:r w:rsidR="001A705E" w:rsidRPr="00FD211F">
        <w:rPr>
          <w:sz w:val="36"/>
          <w:szCs w:val="36"/>
          <w:rtl/>
        </w:rPr>
        <w:t>ابواب</w:t>
      </w:r>
      <w:r w:rsidR="00E8128F">
        <w:rPr>
          <w:sz w:val="36"/>
          <w:szCs w:val="36"/>
          <w:rtl/>
        </w:rPr>
        <w:t xml:space="preserve"> </w:t>
      </w:r>
      <w:r w:rsidR="001A705E" w:rsidRPr="00FD211F">
        <w:rPr>
          <w:sz w:val="36"/>
          <w:szCs w:val="36"/>
          <w:rtl/>
        </w:rPr>
        <w:t>فقهي</w:t>
      </w:r>
      <w:r w:rsidR="00EC7EDF" w:rsidRPr="00FD211F">
        <w:rPr>
          <w:sz w:val="36"/>
          <w:szCs w:val="36"/>
          <w:rtl/>
        </w:rPr>
        <w:t>ة</w:t>
      </w:r>
      <w:r w:rsidR="00E8128F">
        <w:rPr>
          <w:sz w:val="36"/>
          <w:szCs w:val="36"/>
          <w:rtl/>
        </w:rPr>
        <w:t xml:space="preserve"> </w:t>
      </w:r>
      <w:r w:rsidR="001A705E" w:rsidRPr="00FD211F">
        <w:rPr>
          <w:sz w:val="36"/>
          <w:szCs w:val="36"/>
          <w:rtl/>
        </w:rPr>
        <w:t>متنوع</w:t>
      </w:r>
      <w:r w:rsidR="00EC7EDF" w:rsidRPr="00FD211F">
        <w:rPr>
          <w:sz w:val="36"/>
          <w:szCs w:val="36"/>
          <w:rtl/>
        </w:rPr>
        <w:t>ة</w:t>
      </w:r>
      <w:r w:rsidR="00603323" w:rsidRPr="00FD211F">
        <w:rPr>
          <w:sz w:val="36"/>
          <w:szCs w:val="36"/>
          <w:rtl/>
        </w:rPr>
        <w:t>،</w:t>
      </w:r>
      <w:r w:rsidR="00E8128F">
        <w:rPr>
          <w:sz w:val="36"/>
          <w:szCs w:val="36"/>
          <w:rtl/>
        </w:rPr>
        <w:t xml:space="preserve"> </w:t>
      </w:r>
      <w:r w:rsidR="003501D5" w:rsidRPr="00FD211F">
        <w:rPr>
          <w:sz w:val="36"/>
          <w:szCs w:val="36"/>
          <w:rtl/>
        </w:rPr>
        <w:t>وبذلك</w:t>
      </w:r>
      <w:r w:rsidR="00E8128F">
        <w:rPr>
          <w:sz w:val="36"/>
          <w:szCs w:val="36"/>
          <w:rtl/>
        </w:rPr>
        <w:t xml:space="preserve"> </w:t>
      </w:r>
      <w:r w:rsidR="003501D5" w:rsidRPr="00FD211F">
        <w:rPr>
          <w:sz w:val="36"/>
          <w:szCs w:val="36"/>
          <w:rtl/>
        </w:rPr>
        <w:t>يخرج</w:t>
      </w:r>
      <w:r w:rsidR="00E8128F">
        <w:rPr>
          <w:sz w:val="36"/>
          <w:szCs w:val="36"/>
          <w:rtl/>
        </w:rPr>
        <w:t xml:space="preserve"> </w:t>
      </w:r>
      <w:r w:rsidR="003501D5" w:rsidRPr="00FD211F">
        <w:rPr>
          <w:sz w:val="36"/>
          <w:szCs w:val="36"/>
          <w:rtl/>
        </w:rPr>
        <w:t>مثل</w:t>
      </w:r>
      <w:r w:rsidR="00E8128F">
        <w:rPr>
          <w:sz w:val="36"/>
          <w:szCs w:val="36"/>
          <w:rtl/>
        </w:rPr>
        <w:t xml:space="preserve"> </w:t>
      </w:r>
      <w:r w:rsidR="003501D5" w:rsidRPr="00FD211F">
        <w:rPr>
          <w:sz w:val="36"/>
          <w:szCs w:val="36"/>
          <w:rtl/>
        </w:rPr>
        <w:t>قاعد</w:t>
      </w:r>
      <w:r w:rsidR="00EC7EDF" w:rsidRPr="00FD211F">
        <w:rPr>
          <w:sz w:val="36"/>
          <w:szCs w:val="36"/>
          <w:rtl/>
        </w:rPr>
        <w:t>ة</w:t>
      </w:r>
      <w:r w:rsidR="00E8128F">
        <w:rPr>
          <w:sz w:val="36"/>
          <w:szCs w:val="36"/>
          <w:rtl/>
        </w:rPr>
        <w:t xml:space="preserve"> </w:t>
      </w:r>
      <w:r w:rsidR="003501D5" w:rsidRPr="00FD211F">
        <w:rPr>
          <w:sz w:val="36"/>
          <w:szCs w:val="36"/>
          <w:rtl/>
        </w:rPr>
        <w:t>الطهار</w:t>
      </w:r>
      <w:r w:rsidR="00EC7EDF" w:rsidRPr="00FD211F">
        <w:rPr>
          <w:sz w:val="36"/>
          <w:szCs w:val="36"/>
          <w:rtl/>
        </w:rPr>
        <w:t>ة</w:t>
      </w:r>
      <w:r w:rsidR="00E8128F">
        <w:rPr>
          <w:sz w:val="36"/>
          <w:szCs w:val="36"/>
          <w:rtl/>
        </w:rPr>
        <w:t xml:space="preserve"> </w:t>
      </w:r>
      <w:r w:rsidR="00C574E9" w:rsidRPr="00FD211F">
        <w:rPr>
          <w:sz w:val="36"/>
          <w:szCs w:val="36"/>
          <w:rtl/>
        </w:rPr>
        <w:t>الجاري</w:t>
      </w:r>
      <w:r w:rsidR="00EC7EDF" w:rsidRPr="00FD211F">
        <w:rPr>
          <w:sz w:val="36"/>
          <w:szCs w:val="36"/>
          <w:rtl/>
        </w:rPr>
        <w:t>ة</w:t>
      </w:r>
      <w:r w:rsidR="00E8128F">
        <w:rPr>
          <w:sz w:val="36"/>
          <w:szCs w:val="36"/>
          <w:rtl/>
        </w:rPr>
        <w:t xml:space="preserve"> </w:t>
      </w:r>
      <w:r w:rsidR="00C574E9" w:rsidRPr="00FD211F">
        <w:rPr>
          <w:sz w:val="36"/>
          <w:szCs w:val="36"/>
          <w:rtl/>
        </w:rPr>
        <w:t>في</w:t>
      </w:r>
      <w:r w:rsidR="00E8128F">
        <w:rPr>
          <w:sz w:val="36"/>
          <w:szCs w:val="36"/>
          <w:rtl/>
        </w:rPr>
        <w:t xml:space="preserve"> </w:t>
      </w:r>
      <w:r w:rsidR="00C574E9" w:rsidRPr="00FD211F">
        <w:rPr>
          <w:sz w:val="36"/>
          <w:szCs w:val="36"/>
          <w:rtl/>
        </w:rPr>
        <w:t>الشبهات</w:t>
      </w:r>
      <w:r w:rsidR="00E8128F">
        <w:rPr>
          <w:sz w:val="36"/>
          <w:szCs w:val="36"/>
          <w:rtl/>
        </w:rPr>
        <w:t xml:space="preserve"> </w:t>
      </w:r>
      <w:r w:rsidR="00C574E9" w:rsidRPr="00FD211F">
        <w:rPr>
          <w:sz w:val="36"/>
          <w:szCs w:val="36"/>
          <w:rtl/>
        </w:rPr>
        <w:t>الحكمي</w:t>
      </w:r>
      <w:r w:rsidR="00EC7EDF" w:rsidRPr="00FD211F">
        <w:rPr>
          <w:sz w:val="36"/>
          <w:szCs w:val="36"/>
          <w:rtl/>
        </w:rPr>
        <w:t>ة</w:t>
      </w:r>
      <w:r w:rsidR="00E8128F">
        <w:rPr>
          <w:sz w:val="36"/>
          <w:szCs w:val="36"/>
          <w:rtl/>
        </w:rPr>
        <w:t xml:space="preserve"> </w:t>
      </w:r>
      <w:r w:rsidR="00C574E9" w:rsidRPr="00FD211F">
        <w:rPr>
          <w:sz w:val="36"/>
          <w:szCs w:val="36"/>
          <w:rtl/>
        </w:rPr>
        <w:t>ايضا</w:t>
      </w:r>
      <w:r w:rsidR="00E8128F">
        <w:rPr>
          <w:sz w:val="36"/>
          <w:szCs w:val="36"/>
          <w:rtl/>
        </w:rPr>
        <w:t xml:space="preserve"> </w:t>
      </w:r>
      <w:r w:rsidR="00CC17B8" w:rsidRPr="00FD211F">
        <w:rPr>
          <w:sz w:val="36"/>
          <w:szCs w:val="36"/>
          <w:rtl/>
        </w:rPr>
        <w:t>او</w:t>
      </w:r>
      <w:r w:rsidR="00E8128F">
        <w:rPr>
          <w:sz w:val="36"/>
          <w:szCs w:val="36"/>
          <w:rtl/>
        </w:rPr>
        <w:t xml:space="preserve"> </w:t>
      </w:r>
      <w:r w:rsidR="00CC17B8" w:rsidRPr="00FD211F">
        <w:rPr>
          <w:sz w:val="36"/>
          <w:szCs w:val="36"/>
          <w:rtl/>
        </w:rPr>
        <w:t>قاعد</w:t>
      </w:r>
      <w:r w:rsidR="00EC7EDF" w:rsidRPr="00FD211F">
        <w:rPr>
          <w:sz w:val="36"/>
          <w:szCs w:val="36"/>
          <w:rtl/>
        </w:rPr>
        <w:t>ة</w:t>
      </w:r>
      <w:r w:rsidR="00E8128F">
        <w:rPr>
          <w:sz w:val="36"/>
          <w:szCs w:val="36"/>
          <w:rtl/>
        </w:rPr>
        <w:t xml:space="preserve"> </w:t>
      </w:r>
      <w:r w:rsidR="00CC17B8" w:rsidRPr="00FD211F">
        <w:rPr>
          <w:sz w:val="36"/>
          <w:szCs w:val="36"/>
          <w:rtl/>
        </w:rPr>
        <w:t>ظهور</w:t>
      </w:r>
      <w:r w:rsidR="00E8128F">
        <w:rPr>
          <w:sz w:val="36"/>
          <w:szCs w:val="36"/>
          <w:rtl/>
        </w:rPr>
        <w:t xml:space="preserve"> </w:t>
      </w:r>
      <w:r w:rsidR="00CC17B8" w:rsidRPr="00FD211F">
        <w:rPr>
          <w:sz w:val="36"/>
          <w:szCs w:val="36"/>
          <w:rtl/>
        </w:rPr>
        <w:t>الأمر</w:t>
      </w:r>
      <w:r w:rsidR="00E8128F">
        <w:rPr>
          <w:sz w:val="36"/>
          <w:szCs w:val="36"/>
          <w:rtl/>
        </w:rPr>
        <w:t xml:space="preserve"> </w:t>
      </w:r>
      <w:r w:rsidR="00CC17B8" w:rsidRPr="00FD211F">
        <w:rPr>
          <w:sz w:val="36"/>
          <w:szCs w:val="36"/>
          <w:rtl/>
        </w:rPr>
        <w:t>بالغسل</w:t>
      </w:r>
      <w:r w:rsidR="00E8128F">
        <w:rPr>
          <w:sz w:val="36"/>
          <w:szCs w:val="36"/>
          <w:rtl/>
        </w:rPr>
        <w:t xml:space="preserve"> </w:t>
      </w:r>
      <w:r w:rsidR="00CC17B8" w:rsidRPr="00FD211F">
        <w:rPr>
          <w:sz w:val="36"/>
          <w:szCs w:val="36"/>
          <w:rtl/>
        </w:rPr>
        <w:t>في</w:t>
      </w:r>
      <w:r w:rsidR="00E8128F">
        <w:rPr>
          <w:sz w:val="36"/>
          <w:szCs w:val="36"/>
          <w:rtl/>
        </w:rPr>
        <w:t xml:space="preserve"> </w:t>
      </w:r>
      <w:r w:rsidR="00CC17B8" w:rsidRPr="00FD211F">
        <w:rPr>
          <w:sz w:val="36"/>
          <w:szCs w:val="36"/>
          <w:rtl/>
        </w:rPr>
        <w:t>الارشاد</w:t>
      </w:r>
      <w:r w:rsidR="00E8128F">
        <w:rPr>
          <w:sz w:val="36"/>
          <w:szCs w:val="36"/>
          <w:rtl/>
        </w:rPr>
        <w:t xml:space="preserve"> </w:t>
      </w:r>
      <w:r w:rsidR="00CC17B8" w:rsidRPr="00FD211F">
        <w:rPr>
          <w:sz w:val="36"/>
          <w:szCs w:val="36"/>
          <w:rtl/>
        </w:rPr>
        <w:t>الى</w:t>
      </w:r>
      <w:r w:rsidR="00E8128F">
        <w:rPr>
          <w:sz w:val="36"/>
          <w:szCs w:val="36"/>
          <w:rtl/>
        </w:rPr>
        <w:t xml:space="preserve"> </w:t>
      </w:r>
      <w:r w:rsidR="00CC17B8" w:rsidRPr="00FD211F">
        <w:rPr>
          <w:sz w:val="36"/>
          <w:szCs w:val="36"/>
          <w:rtl/>
        </w:rPr>
        <w:t>النجاس</w:t>
      </w:r>
      <w:r w:rsidR="00EC7EDF" w:rsidRPr="00FD211F">
        <w:rPr>
          <w:sz w:val="36"/>
          <w:szCs w:val="36"/>
          <w:rtl/>
        </w:rPr>
        <w:t>ة</w:t>
      </w:r>
      <w:r w:rsidR="00E8128F">
        <w:rPr>
          <w:sz w:val="36"/>
          <w:szCs w:val="36"/>
          <w:rtl/>
        </w:rPr>
        <w:t xml:space="preserve"> </w:t>
      </w:r>
      <w:r w:rsidR="00CC17B8" w:rsidRPr="00FD211F">
        <w:rPr>
          <w:sz w:val="36"/>
          <w:szCs w:val="36"/>
          <w:rtl/>
        </w:rPr>
        <w:t>فانها</w:t>
      </w:r>
      <w:r w:rsidR="00E8128F">
        <w:rPr>
          <w:sz w:val="36"/>
          <w:szCs w:val="36"/>
          <w:rtl/>
        </w:rPr>
        <w:t xml:space="preserve"> </w:t>
      </w:r>
      <w:r w:rsidR="00CC17B8" w:rsidRPr="00FD211F">
        <w:rPr>
          <w:sz w:val="36"/>
          <w:szCs w:val="36"/>
          <w:rtl/>
        </w:rPr>
        <w:t>تختص</w:t>
      </w:r>
      <w:r w:rsidR="00E8128F">
        <w:rPr>
          <w:sz w:val="36"/>
          <w:szCs w:val="36"/>
          <w:rtl/>
        </w:rPr>
        <w:t xml:space="preserve"> </w:t>
      </w:r>
      <w:r w:rsidR="00CC17B8" w:rsidRPr="00FD211F">
        <w:rPr>
          <w:sz w:val="36"/>
          <w:szCs w:val="36"/>
          <w:rtl/>
        </w:rPr>
        <w:t>بباب</w:t>
      </w:r>
      <w:r w:rsidR="00E8128F">
        <w:rPr>
          <w:sz w:val="36"/>
          <w:szCs w:val="36"/>
          <w:rtl/>
        </w:rPr>
        <w:t xml:space="preserve"> </w:t>
      </w:r>
      <w:r w:rsidR="00CC17B8" w:rsidRPr="00FD211F">
        <w:rPr>
          <w:sz w:val="36"/>
          <w:szCs w:val="36"/>
          <w:rtl/>
        </w:rPr>
        <w:t>فقهي</w:t>
      </w:r>
      <w:r w:rsidR="00E8128F">
        <w:rPr>
          <w:sz w:val="36"/>
          <w:szCs w:val="36"/>
          <w:rtl/>
        </w:rPr>
        <w:t xml:space="preserve"> </w:t>
      </w:r>
      <w:r w:rsidR="00CC17B8" w:rsidRPr="00FD211F">
        <w:rPr>
          <w:sz w:val="36"/>
          <w:szCs w:val="36"/>
          <w:rtl/>
        </w:rPr>
        <w:t>معين.</w:t>
      </w:r>
    </w:p>
    <w:p w14:paraId="37454DA5" w14:textId="77777777" w:rsidR="001A705E" w:rsidRPr="00FD211F" w:rsidRDefault="00EA4DFD" w:rsidP="009C58C8">
      <w:pPr>
        <w:ind w:left="0" w:firstLine="227"/>
        <w:jc w:val="both"/>
        <w:rPr>
          <w:sz w:val="36"/>
          <w:szCs w:val="36"/>
          <w:rtl/>
        </w:rPr>
      </w:pPr>
      <w:r w:rsidRPr="00FD211F">
        <w:rPr>
          <w:sz w:val="36"/>
          <w:szCs w:val="36"/>
          <w:rtl/>
        </w:rPr>
        <w:t>فالصحيح</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تعريف</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تعالج</w:t>
      </w:r>
      <w:r w:rsidR="00E8128F">
        <w:rPr>
          <w:sz w:val="36"/>
          <w:szCs w:val="36"/>
          <w:rtl/>
        </w:rPr>
        <w:t xml:space="preserve"> </w:t>
      </w:r>
      <w:r w:rsidR="001A705E" w:rsidRPr="00FD211F">
        <w:rPr>
          <w:sz w:val="36"/>
          <w:szCs w:val="36"/>
          <w:rtl/>
        </w:rPr>
        <w:t>جميع</w:t>
      </w:r>
      <w:r w:rsidR="00E8128F">
        <w:rPr>
          <w:sz w:val="36"/>
          <w:szCs w:val="36"/>
          <w:rtl/>
        </w:rPr>
        <w:t xml:space="preserve"> </w:t>
      </w:r>
      <w:r w:rsidR="001A705E" w:rsidRPr="00FD211F">
        <w:rPr>
          <w:sz w:val="36"/>
          <w:szCs w:val="36"/>
          <w:rtl/>
        </w:rPr>
        <w:t>المشاكل</w:t>
      </w:r>
      <w:r w:rsidR="00E8128F">
        <w:rPr>
          <w:sz w:val="36"/>
          <w:szCs w:val="36"/>
          <w:rtl/>
        </w:rPr>
        <w:t xml:space="preserve"> </w:t>
      </w:r>
      <w:r w:rsidR="001A705E" w:rsidRPr="00FD211F">
        <w:rPr>
          <w:sz w:val="36"/>
          <w:szCs w:val="36"/>
          <w:rtl/>
        </w:rPr>
        <w:t>ان</w:t>
      </w:r>
      <w:r w:rsidR="00E8128F">
        <w:rPr>
          <w:sz w:val="36"/>
          <w:szCs w:val="36"/>
          <w:rtl/>
        </w:rPr>
        <w:t xml:space="preserve"> </w:t>
      </w:r>
      <w:r w:rsidR="001A705E" w:rsidRPr="00FD211F">
        <w:rPr>
          <w:sz w:val="36"/>
          <w:szCs w:val="36"/>
          <w:rtl/>
        </w:rPr>
        <w:t>يقال</w:t>
      </w:r>
      <w:r w:rsidR="001F1BE3" w:rsidRPr="00FD211F">
        <w:rPr>
          <w:sz w:val="36"/>
          <w:szCs w:val="36"/>
          <w:rtl/>
        </w:rPr>
        <w:t>:</w:t>
      </w:r>
      <w:r w:rsidR="00E8128F">
        <w:rPr>
          <w:sz w:val="36"/>
          <w:szCs w:val="36"/>
          <w:rtl/>
        </w:rPr>
        <w:t xml:space="preserve"> </w:t>
      </w:r>
      <w:r w:rsidR="001A705E" w:rsidRPr="00FD211F">
        <w:rPr>
          <w:sz w:val="36"/>
          <w:szCs w:val="36"/>
          <w:rtl/>
        </w:rPr>
        <w:lastRenderedPageBreak/>
        <w:t>ان</w:t>
      </w:r>
      <w:r w:rsidR="00E8128F">
        <w:rPr>
          <w:sz w:val="36"/>
          <w:szCs w:val="36"/>
          <w:rtl/>
        </w:rPr>
        <w:t xml:space="preserve"> </w:t>
      </w:r>
      <w:r w:rsidR="001A705E" w:rsidRPr="00FD211F">
        <w:rPr>
          <w:sz w:val="36"/>
          <w:szCs w:val="36"/>
          <w:rtl/>
        </w:rPr>
        <w:t>علم</w:t>
      </w:r>
      <w:r w:rsidR="00E8128F">
        <w:rPr>
          <w:sz w:val="36"/>
          <w:szCs w:val="36"/>
          <w:rtl/>
        </w:rPr>
        <w:t xml:space="preserve"> </w:t>
      </w:r>
      <w:r w:rsidR="001A705E" w:rsidRPr="00FD211F">
        <w:rPr>
          <w:sz w:val="36"/>
          <w:szCs w:val="36"/>
          <w:rtl/>
        </w:rPr>
        <w:t>الاصول</w:t>
      </w:r>
      <w:r w:rsidR="00E8128F">
        <w:rPr>
          <w:sz w:val="36"/>
          <w:szCs w:val="36"/>
          <w:rtl/>
        </w:rPr>
        <w:t xml:space="preserve"> </w:t>
      </w:r>
      <w:r w:rsidR="001A705E" w:rsidRPr="00FD211F">
        <w:rPr>
          <w:sz w:val="36"/>
          <w:szCs w:val="36"/>
          <w:rtl/>
        </w:rPr>
        <w:t>هو</w:t>
      </w:r>
      <w:r w:rsidR="00E8128F">
        <w:rPr>
          <w:sz w:val="36"/>
          <w:szCs w:val="36"/>
          <w:rtl/>
        </w:rPr>
        <w:t xml:space="preserve"> </w:t>
      </w:r>
      <w:r w:rsidR="001A705E" w:rsidRPr="00FD211F">
        <w:rPr>
          <w:sz w:val="36"/>
          <w:szCs w:val="36"/>
          <w:rtl/>
        </w:rPr>
        <w:t>العلم</w:t>
      </w:r>
      <w:r w:rsidR="00E8128F">
        <w:rPr>
          <w:sz w:val="36"/>
          <w:szCs w:val="36"/>
          <w:rtl/>
        </w:rPr>
        <w:t xml:space="preserve"> </w:t>
      </w:r>
      <w:r w:rsidR="001A705E" w:rsidRPr="00FD211F">
        <w:rPr>
          <w:sz w:val="36"/>
          <w:szCs w:val="36"/>
          <w:rtl/>
        </w:rPr>
        <w:t>بالعناصر</w:t>
      </w:r>
      <w:r w:rsidR="00E8128F">
        <w:rPr>
          <w:sz w:val="36"/>
          <w:szCs w:val="36"/>
          <w:rtl/>
        </w:rPr>
        <w:t xml:space="preserve"> </w:t>
      </w:r>
      <w:r w:rsidR="001A705E" w:rsidRPr="00FD211F">
        <w:rPr>
          <w:sz w:val="36"/>
          <w:szCs w:val="36"/>
          <w:rtl/>
        </w:rPr>
        <w:t>المشترك</w:t>
      </w:r>
      <w:r w:rsidR="00EC7EDF" w:rsidRPr="00FD211F">
        <w:rPr>
          <w:sz w:val="36"/>
          <w:szCs w:val="36"/>
          <w:rtl/>
        </w:rPr>
        <w:t>ة</w:t>
      </w:r>
      <w:r w:rsidR="00E8128F">
        <w:rPr>
          <w:sz w:val="36"/>
          <w:szCs w:val="36"/>
          <w:rtl/>
        </w:rPr>
        <w:t xml:space="preserve"> </w:t>
      </w:r>
      <w:r w:rsidR="001A705E" w:rsidRPr="00FD211F">
        <w:rPr>
          <w:sz w:val="36"/>
          <w:szCs w:val="36"/>
          <w:rtl/>
        </w:rPr>
        <w:t>في</w:t>
      </w:r>
      <w:r w:rsidR="00E8128F">
        <w:rPr>
          <w:sz w:val="36"/>
          <w:szCs w:val="36"/>
          <w:rtl/>
        </w:rPr>
        <w:t xml:space="preserve"> </w:t>
      </w:r>
      <w:r w:rsidR="001A705E" w:rsidRPr="00FD211F">
        <w:rPr>
          <w:sz w:val="36"/>
          <w:szCs w:val="36"/>
          <w:rtl/>
        </w:rPr>
        <w:t>الاستدلال</w:t>
      </w:r>
      <w:r w:rsidR="00E8128F">
        <w:rPr>
          <w:sz w:val="36"/>
          <w:szCs w:val="36"/>
          <w:rtl/>
        </w:rPr>
        <w:t xml:space="preserve"> </w:t>
      </w:r>
      <w:r w:rsidR="001A705E" w:rsidRPr="00FD211F">
        <w:rPr>
          <w:sz w:val="36"/>
          <w:szCs w:val="36"/>
          <w:rtl/>
        </w:rPr>
        <w:t>الفقهي</w:t>
      </w:r>
      <w:r w:rsidR="00E8128F">
        <w:rPr>
          <w:sz w:val="36"/>
          <w:szCs w:val="36"/>
          <w:rtl/>
        </w:rPr>
        <w:t xml:space="preserve"> </w:t>
      </w:r>
      <w:r w:rsidR="001A705E" w:rsidRPr="00FD211F">
        <w:rPr>
          <w:sz w:val="36"/>
          <w:szCs w:val="36"/>
          <w:rtl/>
        </w:rPr>
        <w:t>خاص</w:t>
      </w:r>
      <w:r w:rsidR="00EC7EDF" w:rsidRPr="00FD211F">
        <w:rPr>
          <w:sz w:val="36"/>
          <w:szCs w:val="36"/>
          <w:rtl/>
        </w:rPr>
        <w:t>ة</w:t>
      </w:r>
      <w:r w:rsidR="00E8128F">
        <w:rPr>
          <w:sz w:val="36"/>
          <w:szCs w:val="36"/>
          <w:rtl/>
        </w:rPr>
        <w:t xml:space="preserve"> </w:t>
      </w:r>
      <w:r w:rsidR="001A705E" w:rsidRPr="00FD211F">
        <w:rPr>
          <w:sz w:val="36"/>
          <w:szCs w:val="36"/>
          <w:rtl/>
        </w:rPr>
        <w:t>التي</w:t>
      </w:r>
      <w:r w:rsidR="00E8128F">
        <w:rPr>
          <w:sz w:val="36"/>
          <w:szCs w:val="36"/>
          <w:rtl/>
        </w:rPr>
        <w:t xml:space="preserve"> </w:t>
      </w:r>
      <w:r w:rsidR="001A705E" w:rsidRPr="00FD211F">
        <w:rPr>
          <w:sz w:val="36"/>
          <w:szCs w:val="36"/>
          <w:rtl/>
        </w:rPr>
        <w:t>يستعملها</w:t>
      </w:r>
      <w:r w:rsidR="00E8128F">
        <w:rPr>
          <w:sz w:val="36"/>
          <w:szCs w:val="36"/>
          <w:rtl/>
        </w:rPr>
        <w:t xml:space="preserve"> </w:t>
      </w:r>
      <w:r w:rsidR="001A705E" w:rsidRPr="00FD211F">
        <w:rPr>
          <w:sz w:val="36"/>
          <w:szCs w:val="36"/>
          <w:rtl/>
        </w:rPr>
        <w:t>الفقيه</w:t>
      </w:r>
      <w:r w:rsidR="00E8128F">
        <w:rPr>
          <w:sz w:val="36"/>
          <w:szCs w:val="36"/>
          <w:rtl/>
        </w:rPr>
        <w:t xml:space="preserve"> </w:t>
      </w:r>
      <w:r w:rsidR="001A705E" w:rsidRPr="00FD211F">
        <w:rPr>
          <w:sz w:val="36"/>
          <w:szCs w:val="36"/>
          <w:rtl/>
        </w:rPr>
        <w:t>كدليل</w:t>
      </w:r>
      <w:r w:rsidR="00E8128F">
        <w:rPr>
          <w:sz w:val="36"/>
          <w:szCs w:val="36"/>
          <w:rtl/>
        </w:rPr>
        <w:t xml:space="preserve"> </w:t>
      </w:r>
      <w:r w:rsidR="001A705E" w:rsidRPr="00FD211F">
        <w:rPr>
          <w:sz w:val="36"/>
          <w:szCs w:val="36"/>
          <w:rtl/>
        </w:rPr>
        <w:t>على</w:t>
      </w:r>
      <w:r w:rsidR="00E8128F">
        <w:rPr>
          <w:sz w:val="36"/>
          <w:szCs w:val="36"/>
          <w:rtl/>
        </w:rPr>
        <w:t xml:space="preserve"> </w:t>
      </w:r>
      <w:r w:rsidR="001A705E" w:rsidRPr="00FD211F">
        <w:rPr>
          <w:sz w:val="36"/>
          <w:szCs w:val="36"/>
          <w:rtl/>
        </w:rPr>
        <w:t>الجعل</w:t>
      </w:r>
      <w:r w:rsidR="00E8128F">
        <w:rPr>
          <w:sz w:val="36"/>
          <w:szCs w:val="36"/>
          <w:rtl/>
        </w:rPr>
        <w:t xml:space="preserve"> </w:t>
      </w:r>
      <w:r w:rsidR="001A705E" w:rsidRPr="00FD211F">
        <w:rPr>
          <w:sz w:val="36"/>
          <w:szCs w:val="36"/>
          <w:rtl/>
        </w:rPr>
        <w:t>الشرعي</w:t>
      </w:r>
      <w:r w:rsidR="00E8128F">
        <w:rPr>
          <w:sz w:val="36"/>
          <w:szCs w:val="36"/>
          <w:rtl/>
        </w:rPr>
        <w:t xml:space="preserve"> </w:t>
      </w:r>
      <w:r w:rsidR="001A705E" w:rsidRPr="00FD211F">
        <w:rPr>
          <w:sz w:val="36"/>
          <w:szCs w:val="36"/>
          <w:rtl/>
        </w:rPr>
        <w:t>الكلي</w:t>
      </w:r>
      <w:r w:rsidR="009C58C8" w:rsidRPr="00FD211F">
        <w:rPr>
          <w:rStyle w:val="a6"/>
          <w:sz w:val="36"/>
          <w:szCs w:val="36"/>
          <w:rtl/>
        </w:rPr>
        <w:t>(</w:t>
      </w:r>
      <w:r w:rsidR="009C58C8" w:rsidRPr="00FD211F">
        <w:rPr>
          <w:rStyle w:val="a6"/>
          <w:sz w:val="36"/>
          <w:szCs w:val="36"/>
          <w:rtl/>
        </w:rPr>
        <w:footnoteReference w:id="50"/>
      </w:r>
      <w:r w:rsidR="009C58C8" w:rsidRPr="00FD211F">
        <w:rPr>
          <w:rStyle w:val="a6"/>
          <w:sz w:val="36"/>
          <w:szCs w:val="36"/>
          <w:rtl/>
        </w:rPr>
        <w:t>)</w:t>
      </w:r>
      <w:r w:rsidR="001A705E" w:rsidRPr="00FD211F">
        <w:rPr>
          <w:sz w:val="36"/>
          <w:szCs w:val="36"/>
          <w:rtl/>
        </w:rPr>
        <w:t>.</w:t>
      </w:r>
    </w:p>
    <w:p w14:paraId="78C08835" w14:textId="77777777" w:rsidR="00E6002B" w:rsidRPr="00FD211F" w:rsidRDefault="00347A8C" w:rsidP="009C58C8">
      <w:pPr>
        <w:ind w:left="0" w:firstLine="227"/>
        <w:jc w:val="both"/>
        <w:rPr>
          <w:sz w:val="36"/>
          <w:szCs w:val="36"/>
          <w:rtl/>
        </w:rPr>
      </w:pPr>
      <w:r w:rsidRPr="00FD211F">
        <w:rPr>
          <w:sz w:val="36"/>
          <w:szCs w:val="36"/>
          <w:rtl/>
        </w:rPr>
        <w:t>اقول:</w:t>
      </w:r>
      <w:r w:rsidR="00E8128F">
        <w:rPr>
          <w:sz w:val="36"/>
          <w:szCs w:val="36"/>
          <w:rtl/>
        </w:rPr>
        <w:t xml:space="preserve"> </w:t>
      </w:r>
      <w:r w:rsidR="001A705E" w:rsidRPr="00FD211F">
        <w:rPr>
          <w:sz w:val="36"/>
          <w:szCs w:val="36"/>
          <w:rtl/>
        </w:rPr>
        <w:t>الظاهر</w:t>
      </w:r>
      <w:r w:rsidR="00E8128F">
        <w:rPr>
          <w:sz w:val="36"/>
          <w:szCs w:val="36"/>
          <w:rtl/>
        </w:rPr>
        <w:t xml:space="preserve"> </w:t>
      </w:r>
      <w:r w:rsidR="001A705E" w:rsidRPr="00FD211F">
        <w:rPr>
          <w:sz w:val="36"/>
          <w:szCs w:val="36"/>
          <w:rtl/>
        </w:rPr>
        <w:t>انه</w:t>
      </w:r>
      <w:r w:rsidR="00E8128F">
        <w:rPr>
          <w:sz w:val="36"/>
          <w:szCs w:val="36"/>
          <w:rtl/>
        </w:rPr>
        <w:t xml:space="preserve"> </w:t>
      </w:r>
      <w:r w:rsidR="001A705E" w:rsidRPr="00FD211F">
        <w:rPr>
          <w:sz w:val="36"/>
          <w:szCs w:val="36"/>
          <w:rtl/>
        </w:rPr>
        <w:t>لاوجه</w:t>
      </w:r>
      <w:r w:rsidR="00E8128F">
        <w:rPr>
          <w:sz w:val="36"/>
          <w:szCs w:val="36"/>
          <w:rtl/>
        </w:rPr>
        <w:t xml:space="preserve"> </w:t>
      </w:r>
      <w:r w:rsidR="001A705E" w:rsidRPr="00FD211F">
        <w:rPr>
          <w:sz w:val="36"/>
          <w:szCs w:val="36"/>
          <w:rtl/>
        </w:rPr>
        <w:t>لحصر</w:t>
      </w:r>
      <w:r w:rsidR="00E8128F">
        <w:rPr>
          <w:sz w:val="36"/>
          <w:szCs w:val="36"/>
          <w:rtl/>
        </w:rPr>
        <w:t xml:space="preserve"> </w:t>
      </w:r>
      <w:r w:rsidR="001A705E" w:rsidRPr="00FD211F">
        <w:rPr>
          <w:sz w:val="36"/>
          <w:szCs w:val="36"/>
          <w:rtl/>
        </w:rPr>
        <w:t>القاعد</w:t>
      </w:r>
      <w:r w:rsidR="00EC7EDF" w:rsidRPr="00FD211F">
        <w:rPr>
          <w:sz w:val="36"/>
          <w:szCs w:val="36"/>
          <w:rtl/>
        </w:rPr>
        <w:t>ة</w:t>
      </w:r>
      <w:r w:rsidR="00E8128F">
        <w:rPr>
          <w:sz w:val="36"/>
          <w:szCs w:val="36"/>
          <w:rtl/>
        </w:rPr>
        <w:t xml:space="preserve"> </w:t>
      </w:r>
      <w:r w:rsidR="001A705E" w:rsidRPr="00FD211F">
        <w:rPr>
          <w:sz w:val="36"/>
          <w:szCs w:val="36"/>
          <w:rtl/>
        </w:rPr>
        <w:t>الاصولي</w:t>
      </w:r>
      <w:r w:rsidR="00EC7EDF" w:rsidRPr="00FD211F">
        <w:rPr>
          <w:sz w:val="36"/>
          <w:szCs w:val="36"/>
          <w:rtl/>
        </w:rPr>
        <w:t>ة</w:t>
      </w:r>
      <w:r w:rsidR="00E8128F">
        <w:rPr>
          <w:sz w:val="36"/>
          <w:szCs w:val="36"/>
          <w:rtl/>
        </w:rPr>
        <w:t xml:space="preserve"> </w:t>
      </w:r>
      <w:r w:rsidR="001A705E" w:rsidRPr="00FD211F">
        <w:rPr>
          <w:sz w:val="36"/>
          <w:szCs w:val="36"/>
          <w:rtl/>
        </w:rPr>
        <w:t>بما</w:t>
      </w:r>
      <w:r w:rsidR="00E8128F">
        <w:rPr>
          <w:sz w:val="36"/>
          <w:szCs w:val="36"/>
          <w:rtl/>
        </w:rPr>
        <w:t xml:space="preserve"> </w:t>
      </w:r>
      <w:r w:rsidR="001A705E" w:rsidRPr="00FD211F">
        <w:rPr>
          <w:sz w:val="36"/>
          <w:szCs w:val="36"/>
          <w:rtl/>
        </w:rPr>
        <w:t>يكون</w:t>
      </w:r>
      <w:r w:rsidR="00E8128F">
        <w:rPr>
          <w:sz w:val="36"/>
          <w:szCs w:val="36"/>
          <w:rtl/>
        </w:rPr>
        <w:t xml:space="preserve"> </w:t>
      </w:r>
      <w:r w:rsidR="001A705E" w:rsidRPr="00FD211F">
        <w:rPr>
          <w:sz w:val="36"/>
          <w:szCs w:val="36"/>
          <w:rtl/>
        </w:rPr>
        <w:t>له</w:t>
      </w:r>
      <w:r w:rsidR="004C39FF" w:rsidRPr="00FD211F">
        <w:rPr>
          <w:sz w:val="36"/>
          <w:szCs w:val="36"/>
          <w:rtl/>
        </w:rPr>
        <w:t>ا</w:t>
      </w:r>
      <w:r w:rsidR="00E8128F">
        <w:rPr>
          <w:sz w:val="36"/>
          <w:szCs w:val="36"/>
          <w:rtl/>
        </w:rPr>
        <w:t xml:space="preserve"> </w:t>
      </w:r>
      <w:r w:rsidR="001A705E" w:rsidRPr="00FD211F">
        <w:rPr>
          <w:sz w:val="36"/>
          <w:szCs w:val="36"/>
          <w:rtl/>
        </w:rPr>
        <w:t>وحد</w:t>
      </w:r>
      <w:r w:rsidR="00EC7EDF" w:rsidRPr="00FD211F">
        <w:rPr>
          <w:sz w:val="36"/>
          <w:szCs w:val="36"/>
          <w:rtl/>
        </w:rPr>
        <w:t>ة</w:t>
      </w:r>
      <w:r w:rsidR="00E8128F">
        <w:rPr>
          <w:sz w:val="36"/>
          <w:szCs w:val="36"/>
          <w:rtl/>
        </w:rPr>
        <w:t xml:space="preserve"> </w:t>
      </w:r>
      <w:r w:rsidR="001A705E" w:rsidRPr="00FD211F">
        <w:rPr>
          <w:sz w:val="36"/>
          <w:szCs w:val="36"/>
          <w:rtl/>
        </w:rPr>
        <w:t>ثبوتي</w:t>
      </w:r>
      <w:r w:rsidR="00EC7EDF" w:rsidRPr="00FD211F">
        <w:rPr>
          <w:sz w:val="36"/>
          <w:szCs w:val="36"/>
          <w:rtl/>
        </w:rPr>
        <w:t>ة</w:t>
      </w:r>
      <w:r w:rsidR="00E8128F">
        <w:rPr>
          <w:sz w:val="36"/>
          <w:szCs w:val="36"/>
          <w:rtl/>
        </w:rPr>
        <w:t xml:space="preserve"> </w:t>
      </w:r>
      <w:r w:rsidR="001A705E" w:rsidRPr="00FD211F">
        <w:rPr>
          <w:sz w:val="36"/>
          <w:szCs w:val="36"/>
          <w:rtl/>
        </w:rPr>
        <w:t>بل</w:t>
      </w:r>
      <w:r w:rsidR="00E8128F">
        <w:rPr>
          <w:sz w:val="36"/>
          <w:szCs w:val="36"/>
          <w:rtl/>
        </w:rPr>
        <w:t xml:space="preserve"> </w:t>
      </w:r>
      <w:r w:rsidR="001A705E" w:rsidRPr="00FD211F">
        <w:rPr>
          <w:sz w:val="36"/>
          <w:szCs w:val="36"/>
          <w:rtl/>
        </w:rPr>
        <w:t>يكفي</w:t>
      </w:r>
      <w:r w:rsidR="00E8128F">
        <w:rPr>
          <w:sz w:val="36"/>
          <w:szCs w:val="36"/>
          <w:rtl/>
        </w:rPr>
        <w:t xml:space="preserve"> </w:t>
      </w:r>
      <w:r w:rsidR="001A705E" w:rsidRPr="00FD211F">
        <w:rPr>
          <w:sz w:val="36"/>
          <w:szCs w:val="36"/>
          <w:rtl/>
        </w:rPr>
        <w:t>ان</w:t>
      </w:r>
      <w:r w:rsidR="00E8128F">
        <w:rPr>
          <w:sz w:val="36"/>
          <w:szCs w:val="36"/>
          <w:rtl/>
        </w:rPr>
        <w:t xml:space="preserve"> </w:t>
      </w:r>
      <w:r w:rsidR="001A705E" w:rsidRPr="00FD211F">
        <w:rPr>
          <w:sz w:val="36"/>
          <w:szCs w:val="36"/>
          <w:rtl/>
        </w:rPr>
        <w:t>تكون</w:t>
      </w:r>
      <w:r w:rsidR="00E8128F">
        <w:rPr>
          <w:sz w:val="36"/>
          <w:szCs w:val="36"/>
          <w:rtl/>
        </w:rPr>
        <w:t xml:space="preserve"> </w:t>
      </w:r>
      <w:r w:rsidR="001A705E" w:rsidRPr="00FD211F">
        <w:rPr>
          <w:sz w:val="36"/>
          <w:szCs w:val="36"/>
          <w:rtl/>
        </w:rPr>
        <w:t>لها</w:t>
      </w:r>
      <w:r w:rsidR="00E8128F">
        <w:rPr>
          <w:sz w:val="36"/>
          <w:szCs w:val="36"/>
          <w:rtl/>
        </w:rPr>
        <w:t xml:space="preserve"> </w:t>
      </w:r>
      <w:r w:rsidR="001A705E" w:rsidRPr="00FD211F">
        <w:rPr>
          <w:sz w:val="36"/>
          <w:szCs w:val="36"/>
          <w:rtl/>
        </w:rPr>
        <w:t>وحد</w:t>
      </w:r>
      <w:r w:rsidR="00EC7EDF" w:rsidRPr="00FD211F">
        <w:rPr>
          <w:sz w:val="36"/>
          <w:szCs w:val="36"/>
          <w:rtl/>
        </w:rPr>
        <w:t>ة</w:t>
      </w:r>
      <w:r w:rsidR="00E8128F">
        <w:rPr>
          <w:sz w:val="36"/>
          <w:szCs w:val="36"/>
          <w:rtl/>
        </w:rPr>
        <w:t xml:space="preserve"> </w:t>
      </w:r>
      <w:r w:rsidR="001A705E" w:rsidRPr="00FD211F">
        <w:rPr>
          <w:sz w:val="36"/>
          <w:szCs w:val="36"/>
          <w:rtl/>
        </w:rPr>
        <w:t>اثباتي</w:t>
      </w:r>
      <w:r w:rsidR="00EC7EDF" w:rsidRPr="00FD211F">
        <w:rPr>
          <w:sz w:val="36"/>
          <w:szCs w:val="36"/>
          <w:rtl/>
        </w:rPr>
        <w:t>ة</w:t>
      </w:r>
      <w:r w:rsidR="00E8128F">
        <w:rPr>
          <w:sz w:val="36"/>
          <w:szCs w:val="36"/>
          <w:rtl/>
        </w:rPr>
        <w:t xml:space="preserve"> </w:t>
      </w:r>
      <w:r w:rsidR="001A705E" w:rsidRPr="00FD211F">
        <w:rPr>
          <w:sz w:val="36"/>
          <w:szCs w:val="36"/>
          <w:rtl/>
        </w:rPr>
        <w:t>كقاعد</w:t>
      </w:r>
      <w:r w:rsidR="00EC7EDF" w:rsidRPr="00FD211F">
        <w:rPr>
          <w:sz w:val="36"/>
          <w:szCs w:val="36"/>
          <w:rtl/>
        </w:rPr>
        <w:t>ة</w:t>
      </w:r>
      <w:r w:rsidR="00E8128F">
        <w:rPr>
          <w:sz w:val="36"/>
          <w:szCs w:val="36"/>
          <w:rtl/>
        </w:rPr>
        <w:t xml:space="preserve"> </w:t>
      </w:r>
      <w:r w:rsidR="001A705E" w:rsidRPr="00FD211F">
        <w:rPr>
          <w:sz w:val="36"/>
          <w:szCs w:val="36"/>
          <w:rtl/>
        </w:rPr>
        <w:t>لاضرر</w:t>
      </w:r>
      <w:r w:rsidR="00603323" w:rsidRPr="00FD211F">
        <w:rPr>
          <w:sz w:val="36"/>
          <w:szCs w:val="36"/>
          <w:rtl/>
        </w:rPr>
        <w:t>،</w:t>
      </w:r>
      <w:r w:rsidR="00E8128F">
        <w:rPr>
          <w:sz w:val="36"/>
          <w:szCs w:val="36"/>
          <w:rtl/>
        </w:rPr>
        <w:t xml:space="preserve"> </w:t>
      </w:r>
      <w:r w:rsidR="001A705E" w:rsidRPr="00FD211F">
        <w:rPr>
          <w:sz w:val="36"/>
          <w:szCs w:val="36"/>
          <w:rtl/>
        </w:rPr>
        <w:t>فانها</w:t>
      </w:r>
      <w:r w:rsidR="00E8128F">
        <w:rPr>
          <w:sz w:val="36"/>
          <w:szCs w:val="36"/>
          <w:rtl/>
        </w:rPr>
        <w:t xml:space="preserve"> </w:t>
      </w:r>
      <w:r w:rsidR="001A705E" w:rsidRPr="00FD211F">
        <w:rPr>
          <w:sz w:val="36"/>
          <w:szCs w:val="36"/>
          <w:rtl/>
        </w:rPr>
        <w:t>باعتبار</w:t>
      </w:r>
      <w:r w:rsidR="00E8128F">
        <w:rPr>
          <w:sz w:val="36"/>
          <w:szCs w:val="36"/>
          <w:rtl/>
        </w:rPr>
        <w:t xml:space="preserve"> </w:t>
      </w:r>
      <w:r w:rsidR="001A705E" w:rsidRPr="00FD211F">
        <w:rPr>
          <w:sz w:val="36"/>
          <w:szCs w:val="36"/>
          <w:rtl/>
        </w:rPr>
        <w:t>اشتمال</w:t>
      </w:r>
      <w:r w:rsidR="00E8128F">
        <w:rPr>
          <w:sz w:val="36"/>
          <w:szCs w:val="36"/>
          <w:rtl/>
        </w:rPr>
        <w:t xml:space="preserve"> </w:t>
      </w:r>
      <w:r w:rsidR="001A705E" w:rsidRPr="00FD211F">
        <w:rPr>
          <w:sz w:val="36"/>
          <w:szCs w:val="36"/>
          <w:rtl/>
        </w:rPr>
        <w:t>خطاب</w:t>
      </w:r>
      <w:r w:rsidR="00E8128F">
        <w:rPr>
          <w:sz w:val="36"/>
          <w:szCs w:val="36"/>
          <w:rtl/>
        </w:rPr>
        <w:t xml:space="preserve"> </w:t>
      </w:r>
      <w:r w:rsidR="001A705E" w:rsidRPr="00FD211F">
        <w:rPr>
          <w:sz w:val="36"/>
          <w:szCs w:val="36"/>
          <w:rtl/>
        </w:rPr>
        <w:t>واحد</w:t>
      </w:r>
      <w:r w:rsidR="00E8128F">
        <w:rPr>
          <w:sz w:val="36"/>
          <w:szCs w:val="36"/>
          <w:rtl/>
        </w:rPr>
        <w:t xml:space="preserve"> </w:t>
      </w:r>
      <w:r w:rsidR="001A705E" w:rsidRPr="00FD211F">
        <w:rPr>
          <w:sz w:val="36"/>
          <w:szCs w:val="36"/>
          <w:rtl/>
        </w:rPr>
        <w:t>شرعي</w:t>
      </w:r>
      <w:r w:rsidR="00E8128F">
        <w:rPr>
          <w:sz w:val="36"/>
          <w:szCs w:val="36"/>
          <w:rtl/>
        </w:rPr>
        <w:t xml:space="preserve"> </w:t>
      </w:r>
      <w:r w:rsidR="001A705E" w:rsidRPr="00FD211F">
        <w:rPr>
          <w:sz w:val="36"/>
          <w:szCs w:val="36"/>
          <w:rtl/>
        </w:rPr>
        <w:t>عليها</w:t>
      </w:r>
      <w:r w:rsidR="00E8128F">
        <w:rPr>
          <w:sz w:val="36"/>
          <w:szCs w:val="36"/>
          <w:rtl/>
        </w:rPr>
        <w:t xml:space="preserve"> </w:t>
      </w:r>
      <w:r w:rsidR="001A705E" w:rsidRPr="00FD211F">
        <w:rPr>
          <w:sz w:val="36"/>
          <w:szCs w:val="36"/>
          <w:rtl/>
        </w:rPr>
        <w:t>تكون</w:t>
      </w:r>
      <w:r w:rsidR="00E8128F">
        <w:rPr>
          <w:sz w:val="36"/>
          <w:szCs w:val="36"/>
          <w:rtl/>
        </w:rPr>
        <w:t xml:space="preserve"> </w:t>
      </w:r>
      <w:r w:rsidR="001A705E" w:rsidRPr="00FD211F">
        <w:rPr>
          <w:sz w:val="36"/>
          <w:szCs w:val="36"/>
          <w:rtl/>
        </w:rPr>
        <w:t>قاعد</w:t>
      </w:r>
      <w:r w:rsidR="00EC7EDF" w:rsidRPr="00FD211F">
        <w:rPr>
          <w:sz w:val="36"/>
          <w:szCs w:val="36"/>
          <w:rtl/>
        </w:rPr>
        <w:t>ة</w:t>
      </w:r>
      <w:r w:rsidR="00E8128F">
        <w:rPr>
          <w:sz w:val="36"/>
          <w:szCs w:val="36"/>
          <w:rtl/>
        </w:rPr>
        <w:t xml:space="preserve"> </w:t>
      </w:r>
      <w:r w:rsidR="00114397" w:rsidRPr="00FD211F">
        <w:rPr>
          <w:sz w:val="36"/>
          <w:szCs w:val="36"/>
          <w:rtl/>
        </w:rPr>
        <w:t>يستدل</w:t>
      </w:r>
      <w:r w:rsidR="00E8128F">
        <w:rPr>
          <w:sz w:val="36"/>
          <w:szCs w:val="36"/>
          <w:rtl/>
        </w:rPr>
        <w:t xml:space="preserve"> </w:t>
      </w:r>
      <w:r w:rsidR="00114397" w:rsidRPr="00FD211F">
        <w:rPr>
          <w:sz w:val="36"/>
          <w:szCs w:val="36"/>
          <w:rtl/>
        </w:rPr>
        <w:t>بها</w:t>
      </w:r>
      <w:r w:rsidR="00E8128F">
        <w:rPr>
          <w:sz w:val="36"/>
          <w:szCs w:val="36"/>
          <w:rtl/>
        </w:rPr>
        <w:t xml:space="preserve"> </w:t>
      </w:r>
      <w:r w:rsidR="00114397" w:rsidRPr="00FD211F">
        <w:rPr>
          <w:sz w:val="36"/>
          <w:szCs w:val="36"/>
          <w:rtl/>
        </w:rPr>
        <w:t>على</w:t>
      </w:r>
      <w:r w:rsidR="00E8128F">
        <w:rPr>
          <w:sz w:val="36"/>
          <w:szCs w:val="36"/>
          <w:rtl/>
        </w:rPr>
        <w:t xml:space="preserve"> </w:t>
      </w:r>
      <w:r w:rsidR="00114397" w:rsidRPr="00FD211F">
        <w:rPr>
          <w:sz w:val="36"/>
          <w:szCs w:val="36"/>
          <w:rtl/>
        </w:rPr>
        <w:t>انتفاء</w:t>
      </w:r>
      <w:r w:rsidR="00E8128F">
        <w:rPr>
          <w:sz w:val="36"/>
          <w:szCs w:val="36"/>
          <w:rtl/>
        </w:rPr>
        <w:t xml:space="preserve"> </w:t>
      </w:r>
      <w:r w:rsidR="00114397" w:rsidRPr="00FD211F">
        <w:rPr>
          <w:sz w:val="36"/>
          <w:szCs w:val="36"/>
          <w:rtl/>
        </w:rPr>
        <w:t>الاحكام</w:t>
      </w:r>
      <w:r w:rsidR="00E8128F">
        <w:rPr>
          <w:sz w:val="36"/>
          <w:szCs w:val="36"/>
          <w:rtl/>
        </w:rPr>
        <w:t xml:space="preserve"> </w:t>
      </w:r>
      <w:r w:rsidR="00114397" w:rsidRPr="00FD211F">
        <w:rPr>
          <w:sz w:val="36"/>
          <w:szCs w:val="36"/>
          <w:rtl/>
        </w:rPr>
        <w:t>الضرري</w:t>
      </w:r>
      <w:r w:rsidR="00EC7EDF" w:rsidRPr="00FD211F">
        <w:rPr>
          <w:sz w:val="36"/>
          <w:szCs w:val="36"/>
          <w:rtl/>
        </w:rPr>
        <w:t>ة</w:t>
      </w:r>
      <w:r w:rsidR="00E8128F">
        <w:rPr>
          <w:sz w:val="36"/>
          <w:szCs w:val="36"/>
          <w:rtl/>
        </w:rPr>
        <w:t xml:space="preserve"> </w:t>
      </w:r>
      <w:r w:rsidR="00114397" w:rsidRPr="00FD211F">
        <w:rPr>
          <w:sz w:val="36"/>
          <w:szCs w:val="36"/>
          <w:rtl/>
        </w:rPr>
        <w:t>في</w:t>
      </w:r>
      <w:r w:rsidR="00E8128F">
        <w:rPr>
          <w:sz w:val="36"/>
          <w:szCs w:val="36"/>
          <w:rtl/>
        </w:rPr>
        <w:t xml:space="preserve"> </w:t>
      </w:r>
      <w:r w:rsidR="00114397" w:rsidRPr="00FD211F">
        <w:rPr>
          <w:sz w:val="36"/>
          <w:szCs w:val="36"/>
          <w:rtl/>
        </w:rPr>
        <w:t>الفقه</w:t>
      </w:r>
      <w:r w:rsidR="00603323" w:rsidRPr="00FD211F">
        <w:rPr>
          <w:sz w:val="36"/>
          <w:szCs w:val="36"/>
          <w:rtl/>
        </w:rPr>
        <w:t>،</w:t>
      </w:r>
      <w:r w:rsidR="00E8128F">
        <w:rPr>
          <w:sz w:val="36"/>
          <w:szCs w:val="36"/>
          <w:rtl/>
        </w:rPr>
        <w:t xml:space="preserve"> </w:t>
      </w:r>
      <w:r w:rsidR="00F7229D" w:rsidRPr="00FD211F">
        <w:rPr>
          <w:sz w:val="36"/>
          <w:szCs w:val="36"/>
          <w:rtl/>
        </w:rPr>
        <w:t>وكذا</w:t>
      </w:r>
      <w:r w:rsidR="00E8128F">
        <w:rPr>
          <w:sz w:val="36"/>
          <w:szCs w:val="36"/>
          <w:rtl/>
        </w:rPr>
        <w:t xml:space="preserve"> </w:t>
      </w:r>
      <w:r w:rsidR="00F7229D" w:rsidRPr="00FD211F">
        <w:rPr>
          <w:sz w:val="36"/>
          <w:szCs w:val="36"/>
          <w:rtl/>
        </w:rPr>
        <w:t>قاعد</w:t>
      </w:r>
      <w:r w:rsidR="00EC7EDF" w:rsidRPr="00FD211F">
        <w:rPr>
          <w:sz w:val="36"/>
          <w:szCs w:val="36"/>
          <w:rtl/>
        </w:rPr>
        <w:t>ة</w:t>
      </w:r>
      <w:r w:rsidR="00E8128F">
        <w:rPr>
          <w:sz w:val="36"/>
          <w:szCs w:val="36"/>
          <w:rtl/>
        </w:rPr>
        <w:t xml:space="preserve"> </w:t>
      </w:r>
      <w:r w:rsidR="00F7229D" w:rsidRPr="00FD211F">
        <w:rPr>
          <w:sz w:val="36"/>
          <w:szCs w:val="36"/>
          <w:rtl/>
        </w:rPr>
        <w:t>لاحرج</w:t>
      </w:r>
      <w:r w:rsidR="00603323" w:rsidRPr="00FD211F">
        <w:rPr>
          <w:sz w:val="36"/>
          <w:szCs w:val="36"/>
          <w:rtl/>
        </w:rPr>
        <w:t>،</w:t>
      </w:r>
      <w:r w:rsidR="00E8128F">
        <w:rPr>
          <w:sz w:val="36"/>
          <w:szCs w:val="36"/>
          <w:rtl/>
        </w:rPr>
        <w:t xml:space="preserve"> </w:t>
      </w:r>
      <w:r w:rsidR="00114397" w:rsidRPr="00FD211F">
        <w:rPr>
          <w:sz w:val="36"/>
          <w:szCs w:val="36"/>
          <w:rtl/>
        </w:rPr>
        <w:t>واي</w:t>
      </w:r>
      <w:r w:rsidR="00E8128F">
        <w:rPr>
          <w:sz w:val="36"/>
          <w:szCs w:val="36"/>
          <w:rtl/>
        </w:rPr>
        <w:t xml:space="preserve"> </w:t>
      </w:r>
      <w:r w:rsidR="00114397" w:rsidRPr="00FD211F">
        <w:rPr>
          <w:sz w:val="36"/>
          <w:szCs w:val="36"/>
          <w:rtl/>
        </w:rPr>
        <w:t>مانع</w:t>
      </w:r>
      <w:r w:rsidR="00E8128F">
        <w:rPr>
          <w:sz w:val="36"/>
          <w:szCs w:val="36"/>
          <w:rtl/>
        </w:rPr>
        <w:t xml:space="preserve"> </w:t>
      </w:r>
      <w:r w:rsidR="00114397" w:rsidRPr="00FD211F">
        <w:rPr>
          <w:sz w:val="36"/>
          <w:szCs w:val="36"/>
          <w:rtl/>
        </w:rPr>
        <w:t>من</w:t>
      </w:r>
      <w:r w:rsidR="00E8128F">
        <w:rPr>
          <w:sz w:val="36"/>
          <w:szCs w:val="36"/>
          <w:rtl/>
        </w:rPr>
        <w:t xml:space="preserve"> </w:t>
      </w:r>
      <w:r w:rsidR="00114397" w:rsidRPr="00FD211F">
        <w:rPr>
          <w:sz w:val="36"/>
          <w:szCs w:val="36"/>
          <w:rtl/>
        </w:rPr>
        <w:t>ان</w:t>
      </w:r>
      <w:r w:rsidR="00E8128F">
        <w:rPr>
          <w:sz w:val="36"/>
          <w:szCs w:val="36"/>
          <w:rtl/>
        </w:rPr>
        <w:t xml:space="preserve"> </w:t>
      </w:r>
      <w:r w:rsidR="00114397" w:rsidRPr="00FD211F">
        <w:rPr>
          <w:sz w:val="36"/>
          <w:szCs w:val="36"/>
          <w:rtl/>
        </w:rPr>
        <w:t>تكون</w:t>
      </w:r>
      <w:r w:rsidR="00E8128F">
        <w:rPr>
          <w:sz w:val="36"/>
          <w:szCs w:val="36"/>
          <w:rtl/>
        </w:rPr>
        <w:t xml:space="preserve"> </w:t>
      </w:r>
      <w:r w:rsidR="00114397" w:rsidRPr="00FD211F">
        <w:rPr>
          <w:sz w:val="36"/>
          <w:szCs w:val="36"/>
          <w:rtl/>
        </w:rPr>
        <w:t>قاعد</w:t>
      </w:r>
      <w:r w:rsidR="00EC7EDF" w:rsidRPr="00FD211F">
        <w:rPr>
          <w:sz w:val="36"/>
          <w:szCs w:val="36"/>
          <w:rtl/>
        </w:rPr>
        <w:t>ة</w:t>
      </w:r>
      <w:r w:rsidR="00E8128F">
        <w:rPr>
          <w:sz w:val="36"/>
          <w:szCs w:val="36"/>
          <w:rtl/>
        </w:rPr>
        <w:t xml:space="preserve"> </w:t>
      </w:r>
      <w:r w:rsidR="00F7229D" w:rsidRPr="00FD211F">
        <w:rPr>
          <w:sz w:val="36"/>
          <w:szCs w:val="36"/>
          <w:rtl/>
        </w:rPr>
        <w:t>لاضرر</w:t>
      </w:r>
      <w:r w:rsidR="00E8128F">
        <w:rPr>
          <w:sz w:val="36"/>
          <w:szCs w:val="36"/>
          <w:rtl/>
        </w:rPr>
        <w:t xml:space="preserve"> </w:t>
      </w:r>
      <w:r w:rsidR="00114397" w:rsidRPr="00FD211F">
        <w:rPr>
          <w:sz w:val="36"/>
          <w:szCs w:val="36"/>
          <w:rtl/>
        </w:rPr>
        <w:t>او</w:t>
      </w:r>
      <w:r w:rsidR="00E8128F">
        <w:rPr>
          <w:sz w:val="36"/>
          <w:szCs w:val="36"/>
          <w:rtl/>
        </w:rPr>
        <w:t xml:space="preserve"> </w:t>
      </w:r>
      <w:r w:rsidR="00114397" w:rsidRPr="00FD211F">
        <w:rPr>
          <w:sz w:val="36"/>
          <w:szCs w:val="36"/>
          <w:rtl/>
        </w:rPr>
        <w:t>قاعد</w:t>
      </w:r>
      <w:r w:rsidR="00EC7EDF" w:rsidRPr="00FD211F">
        <w:rPr>
          <w:sz w:val="36"/>
          <w:szCs w:val="36"/>
          <w:rtl/>
        </w:rPr>
        <w:t>ة</w:t>
      </w:r>
      <w:r w:rsidR="00E8128F">
        <w:rPr>
          <w:sz w:val="36"/>
          <w:szCs w:val="36"/>
          <w:rtl/>
        </w:rPr>
        <w:t xml:space="preserve"> </w:t>
      </w:r>
      <w:r w:rsidR="00114397" w:rsidRPr="00FD211F">
        <w:rPr>
          <w:sz w:val="36"/>
          <w:szCs w:val="36"/>
          <w:rtl/>
        </w:rPr>
        <w:t>لاحرج</w:t>
      </w:r>
      <w:r w:rsidR="00E8128F">
        <w:rPr>
          <w:sz w:val="36"/>
          <w:szCs w:val="36"/>
          <w:rtl/>
        </w:rPr>
        <w:t xml:space="preserve"> </w:t>
      </w:r>
      <w:r w:rsidR="00114397" w:rsidRPr="00FD211F">
        <w:rPr>
          <w:sz w:val="36"/>
          <w:szCs w:val="36"/>
          <w:rtl/>
        </w:rPr>
        <w:t>من</w:t>
      </w:r>
      <w:r w:rsidR="00E8128F">
        <w:rPr>
          <w:sz w:val="36"/>
          <w:szCs w:val="36"/>
          <w:rtl/>
        </w:rPr>
        <w:t xml:space="preserve"> </w:t>
      </w:r>
      <w:r w:rsidR="00114397" w:rsidRPr="00FD211F">
        <w:rPr>
          <w:sz w:val="36"/>
          <w:szCs w:val="36"/>
          <w:rtl/>
        </w:rPr>
        <w:t>القواعد</w:t>
      </w:r>
      <w:r w:rsidR="00E8128F">
        <w:rPr>
          <w:sz w:val="36"/>
          <w:szCs w:val="36"/>
          <w:rtl/>
        </w:rPr>
        <w:t xml:space="preserve"> </w:t>
      </w:r>
      <w:r w:rsidR="00114397" w:rsidRPr="00FD211F">
        <w:rPr>
          <w:sz w:val="36"/>
          <w:szCs w:val="36"/>
          <w:rtl/>
        </w:rPr>
        <w:t>الاصولي</w:t>
      </w:r>
      <w:r w:rsidR="00EC7EDF" w:rsidRPr="00FD211F">
        <w:rPr>
          <w:sz w:val="36"/>
          <w:szCs w:val="36"/>
          <w:rtl/>
        </w:rPr>
        <w:t>ة</w:t>
      </w:r>
      <w:r w:rsidR="00603323" w:rsidRPr="00FD211F">
        <w:rPr>
          <w:sz w:val="36"/>
          <w:szCs w:val="36"/>
          <w:rtl/>
        </w:rPr>
        <w:t>،</w:t>
      </w:r>
      <w:r w:rsidR="00E8128F">
        <w:rPr>
          <w:sz w:val="36"/>
          <w:szCs w:val="36"/>
          <w:rtl/>
        </w:rPr>
        <w:t xml:space="preserve"> </w:t>
      </w:r>
      <w:r w:rsidR="00114397" w:rsidRPr="00FD211F">
        <w:rPr>
          <w:sz w:val="36"/>
          <w:szCs w:val="36"/>
          <w:rtl/>
        </w:rPr>
        <w:t>حيث</w:t>
      </w:r>
      <w:r w:rsidR="00E8128F">
        <w:rPr>
          <w:sz w:val="36"/>
          <w:szCs w:val="36"/>
          <w:rtl/>
        </w:rPr>
        <w:t xml:space="preserve"> </w:t>
      </w:r>
      <w:r w:rsidR="00114397" w:rsidRPr="00FD211F">
        <w:rPr>
          <w:sz w:val="36"/>
          <w:szCs w:val="36"/>
          <w:rtl/>
        </w:rPr>
        <w:t>يستدل</w:t>
      </w:r>
      <w:r w:rsidR="00E8128F">
        <w:rPr>
          <w:sz w:val="36"/>
          <w:szCs w:val="36"/>
          <w:rtl/>
        </w:rPr>
        <w:t xml:space="preserve"> </w:t>
      </w:r>
      <w:r w:rsidR="00114397" w:rsidRPr="00FD211F">
        <w:rPr>
          <w:sz w:val="36"/>
          <w:szCs w:val="36"/>
          <w:rtl/>
        </w:rPr>
        <w:t>به</w:t>
      </w:r>
      <w:r w:rsidR="00F7229D" w:rsidRPr="00FD211F">
        <w:rPr>
          <w:sz w:val="36"/>
          <w:szCs w:val="36"/>
          <w:rtl/>
        </w:rPr>
        <w:t>م</w:t>
      </w:r>
      <w:r w:rsidR="00114397" w:rsidRPr="00FD211F">
        <w:rPr>
          <w:sz w:val="36"/>
          <w:szCs w:val="36"/>
          <w:rtl/>
        </w:rPr>
        <w:t>ا</w:t>
      </w:r>
      <w:r w:rsidR="00E8128F">
        <w:rPr>
          <w:sz w:val="36"/>
          <w:szCs w:val="36"/>
          <w:rtl/>
        </w:rPr>
        <w:t xml:space="preserve"> </w:t>
      </w:r>
      <w:r w:rsidR="00114397" w:rsidRPr="00FD211F">
        <w:rPr>
          <w:sz w:val="36"/>
          <w:szCs w:val="36"/>
          <w:rtl/>
        </w:rPr>
        <w:t>في</w:t>
      </w:r>
      <w:r w:rsidR="00E8128F">
        <w:rPr>
          <w:sz w:val="36"/>
          <w:szCs w:val="36"/>
          <w:rtl/>
        </w:rPr>
        <w:t xml:space="preserve"> </w:t>
      </w:r>
      <w:r w:rsidR="00114397" w:rsidRPr="00FD211F">
        <w:rPr>
          <w:sz w:val="36"/>
          <w:szCs w:val="36"/>
          <w:rtl/>
        </w:rPr>
        <w:t>مقام</w:t>
      </w:r>
      <w:r w:rsidR="00E8128F">
        <w:rPr>
          <w:sz w:val="36"/>
          <w:szCs w:val="36"/>
          <w:rtl/>
        </w:rPr>
        <w:t xml:space="preserve"> </w:t>
      </w:r>
      <w:r w:rsidR="00114397" w:rsidRPr="00FD211F">
        <w:rPr>
          <w:sz w:val="36"/>
          <w:szCs w:val="36"/>
          <w:rtl/>
        </w:rPr>
        <w:t>استنباط</w:t>
      </w:r>
      <w:r w:rsidR="00E8128F">
        <w:rPr>
          <w:sz w:val="36"/>
          <w:szCs w:val="36"/>
          <w:rtl/>
        </w:rPr>
        <w:t xml:space="preserve"> </w:t>
      </w:r>
      <w:r w:rsidR="00114397" w:rsidRPr="00FD211F">
        <w:rPr>
          <w:sz w:val="36"/>
          <w:szCs w:val="36"/>
          <w:rtl/>
        </w:rPr>
        <w:t>الجعل</w:t>
      </w:r>
      <w:r w:rsidR="00E8128F">
        <w:rPr>
          <w:sz w:val="36"/>
          <w:szCs w:val="36"/>
          <w:rtl/>
        </w:rPr>
        <w:t xml:space="preserve"> </w:t>
      </w:r>
      <w:r w:rsidR="00114397" w:rsidRPr="00FD211F">
        <w:rPr>
          <w:sz w:val="36"/>
          <w:szCs w:val="36"/>
          <w:rtl/>
        </w:rPr>
        <w:t>الشرعي</w:t>
      </w:r>
      <w:r w:rsidR="00E8128F">
        <w:rPr>
          <w:sz w:val="36"/>
          <w:szCs w:val="36"/>
          <w:rtl/>
        </w:rPr>
        <w:t xml:space="preserve"> </w:t>
      </w:r>
      <w:r w:rsidR="00114397" w:rsidRPr="00FD211F">
        <w:rPr>
          <w:sz w:val="36"/>
          <w:szCs w:val="36"/>
          <w:rtl/>
        </w:rPr>
        <w:t>الكلي</w:t>
      </w:r>
      <w:r w:rsidR="00E8128F">
        <w:rPr>
          <w:sz w:val="36"/>
          <w:szCs w:val="36"/>
          <w:rtl/>
        </w:rPr>
        <w:t xml:space="preserve"> </w:t>
      </w:r>
      <w:r w:rsidR="00114397" w:rsidRPr="00FD211F">
        <w:rPr>
          <w:sz w:val="36"/>
          <w:szCs w:val="36"/>
          <w:rtl/>
        </w:rPr>
        <w:t>كانتفاء</w:t>
      </w:r>
      <w:r w:rsidR="00E8128F">
        <w:rPr>
          <w:sz w:val="36"/>
          <w:szCs w:val="36"/>
          <w:rtl/>
        </w:rPr>
        <w:t xml:space="preserve"> </w:t>
      </w:r>
      <w:r w:rsidR="00114397" w:rsidRPr="00FD211F">
        <w:rPr>
          <w:sz w:val="36"/>
          <w:szCs w:val="36"/>
          <w:rtl/>
        </w:rPr>
        <w:t>وجوب</w:t>
      </w:r>
      <w:r w:rsidR="00E8128F">
        <w:rPr>
          <w:sz w:val="36"/>
          <w:szCs w:val="36"/>
          <w:rtl/>
        </w:rPr>
        <w:t xml:space="preserve"> </w:t>
      </w:r>
      <w:r w:rsidR="00114397" w:rsidRPr="00FD211F">
        <w:rPr>
          <w:sz w:val="36"/>
          <w:szCs w:val="36"/>
          <w:rtl/>
        </w:rPr>
        <w:t>الوضوء</w:t>
      </w:r>
      <w:r w:rsidR="00E8128F">
        <w:rPr>
          <w:sz w:val="36"/>
          <w:szCs w:val="36"/>
          <w:rtl/>
        </w:rPr>
        <w:t xml:space="preserve"> </w:t>
      </w:r>
      <w:r w:rsidR="00114397" w:rsidRPr="00FD211F">
        <w:rPr>
          <w:sz w:val="36"/>
          <w:szCs w:val="36"/>
          <w:rtl/>
        </w:rPr>
        <w:t>في</w:t>
      </w:r>
      <w:r w:rsidR="00E8128F">
        <w:rPr>
          <w:sz w:val="36"/>
          <w:szCs w:val="36"/>
          <w:rtl/>
        </w:rPr>
        <w:t xml:space="preserve"> </w:t>
      </w:r>
      <w:r w:rsidR="00114397" w:rsidRPr="00FD211F">
        <w:rPr>
          <w:sz w:val="36"/>
          <w:szCs w:val="36"/>
          <w:rtl/>
        </w:rPr>
        <w:t>موارد</w:t>
      </w:r>
      <w:r w:rsidR="00E8128F">
        <w:rPr>
          <w:sz w:val="36"/>
          <w:szCs w:val="36"/>
          <w:rtl/>
        </w:rPr>
        <w:t xml:space="preserve"> </w:t>
      </w:r>
      <w:r w:rsidR="00114397" w:rsidRPr="00FD211F">
        <w:rPr>
          <w:sz w:val="36"/>
          <w:szCs w:val="36"/>
          <w:rtl/>
        </w:rPr>
        <w:t>الضرر</w:t>
      </w:r>
      <w:r w:rsidR="00E8128F">
        <w:rPr>
          <w:sz w:val="36"/>
          <w:szCs w:val="36"/>
          <w:rtl/>
        </w:rPr>
        <w:t xml:space="preserve"> </w:t>
      </w:r>
      <w:r w:rsidR="00114397" w:rsidRPr="00FD211F">
        <w:rPr>
          <w:sz w:val="36"/>
          <w:szCs w:val="36"/>
          <w:rtl/>
        </w:rPr>
        <w:t>والحرج</w:t>
      </w:r>
      <w:r w:rsidR="00603323" w:rsidRPr="00FD211F">
        <w:rPr>
          <w:sz w:val="36"/>
          <w:szCs w:val="36"/>
          <w:rtl/>
        </w:rPr>
        <w:t>،</w:t>
      </w:r>
      <w:r w:rsidR="00E8128F">
        <w:rPr>
          <w:sz w:val="36"/>
          <w:szCs w:val="36"/>
          <w:rtl/>
        </w:rPr>
        <w:t xml:space="preserve"> </w:t>
      </w:r>
      <w:r w:rsidR="00114397" w:rsidRPr="00FD211F">
        <w:rPr>
          <w:sz w:val="36"/>
          <w:szCs w:val="36"/>
          <w:rtl/>
        </w:rPr>
        <w:t>ولايقدح</w:t>
      </w:r>
      <w:r w:rsidR="00E8128F">
        <w:rPr>
          <w:sz w:val="36"/>
          <w:szCs w:val="36"/>
          <w:rtl/>
        </w:rPr>
        <w:t xml:space="preserve"> </w:t>
      </w:r>
      <w:r w:rsidR="00114397" w:rsidRPr="00FD211F">
        <w:rPr>
          <w:sz w:val="36"/>
          <w:szCs w:val="36"/>
          <w:rtl/>
        </w:rPr>
        <w:t>في</w:t>
      </w:r>
      <w:r w:rsidR="00E8128F">
        <w:rPr>
          <w:sz w:val="36"/>
          <w:szCs w:val="36"/>
          <w:rtl/>
        </w:rPr>
        <w:t xml:space="preserve"> </w:t>
      </w:r>
      <w:r w:rsidR="00114397" w:rsidRPr="00FD211F">
        <w:rPr>
          <w:sz w:val="36"/>
          <w:szCs w:val="36"/>
          <w:rtl/>
        </w:rPr>
        <w:t>ذلك</w:t>
      </w:r>
      <w:r w:rsidR="00E8128F">
        <w:rPr>
          <w:sz w:val="36"/>
          <w:szCs w:val="36"/>
          <w:rtl/>
        </w:rPr>
        <w:t xml:space="preserve"> </w:t>
      </w:r>
      <w:r w:rsidR="00114397" w:rsidRPr="00FD211F">
        <w:rPr>
          <w:sz w:val="36"/>
          <w:szCs w:val="36"/>
          <w:rtl/>
        </w:rPr>
        <w:t>كون</w:t>
      </w:r>
      <w:r w:rsidR="00E8128F">
        <w:rPr>
          <w:sz w:val="36"/>
          <w:szCs w:val="36"/>
          <w:rtl/>
        </w:rPr>
        <w:t xml:space="preserve"> </w:t>
      </w:r>
      <w:r w:rsidR="00114397" w:rsidRPr="00FD211F">
        <w:rPr>
          <w:sz w:val="36"/>
          <w:szCs w:val="36"/>
          <w:rtl/>
        </w:rPr>
        <w:t>نسب</w:t>
      </w:r>
      <w:r w:rsidR="00F7229D" w:rsidRPr="00FD211F">
        <w:rPr>
          <w:sz w:val="36"/>
          <w:szCs w:val="36"/>
          <w:rtl/>
        </w:rPr>
        <w:t>تهما</w:t>
      </w:r>
      <w:r w:rsidR="00E8128F">
        <w:rPr>
          <w:sz w:val="36"/>
          <w:szCs w:val="36"/>
          <w:rtl/>
        </w:rPr>
        <w:t xml:space="preserve"> </w:t>
      </w:r>
      <w:r w:rsidR="00114397" w:rsidRPr="00FD211F">
        <w:rPr>
          <w:sz w:val="36"/>
          <w:szCs w:val="36"/>
          <w:rtl/>
        </w:rPr>
        <w:t>الى</w:t>
      </w:r>
      <w:r w:rsidR="00E8128F">
        <w:rPr>
          <w:sz w:val="36"/>
          <w:szCs w:val="36"/>
          <w:rtl/>
        </w:rPr>
        <w:t xml:space="preserve"> </w:t>
      </w:r>
      <w:r w:rsidR="00114397" w:rsidRPr="00FD211F">
        <w:rPr>
          <w:sz w:val="36"/>
          <w:szCs w:val="36"/>
          <w:rtl/>
        </w:rPr>
        <w:t>ذلك</w:t>
      </w:r>
      <w:r w:rsidR="00E8128F">
        <w:rPr>
          <w:sz w:val="36"/>
          <w:szCs w:val="36"/>
          <w:rtl/>
        </w:rPr>
        <w:t xml:space="preserve"> </w:t>
      </w:r>
      <w:r w:rsidR="00114397" w:rsidRPr="00FD211F">
        <w:rPr>
          <w:sz w:val="36"/>
          <w:szCs w:val="36"/>
          <w:rtl/>
        </w:rPr>
        <w:t>الجعل</w:t>
      </w:r>
      <w:r w:rsidR="00E8128F">
        <w:rPr>
          <w:sz w:val="36"/>
          <w:szCs w:val="36"/>
          <w:rtl/>
        </w:rPr>
        <w:t xml:space="preserve"> </w:t>
      </w:r>
      <w:r w:rsidR="00114397" w:rsidRPr="00FD211F">
        <w:rPr>
          <w:sz w:val="36"/>
          <w:szCs w:val="36"/>
          <w:rtl/>
        </w:rPr>
        <w:t>الشرعي</w:t>
      </w:r>
      <w:r w:rsidR="00E8128F">
        <w:rPr>
          <w:sz w:val="36"/>
          <w:szCs w:val="36"/>
          <w:rtl/>
        </w:rPr>
        <w:t xml:space="preserve"> </w:t>
      </w:r>
      <w:r w:rsidR="00114397" w:rsidRPr="00FD211F">
        <w:rPr>
          <w:sz w:val="36"/>
          <w:szCs w:val="36"/>
          <w:rtl/>
        </w:rPr>
        <w:t>الذي</w:t>
      </w:r>
      <w:r w:rsidR="00E8128F">
        <w:rPr>
          <w:sz w:val="36"/>
          <w:szCs w:val="36"/>
          <w:rtl/>
        </w:rPr>
        <w:t xml:space="preserve"> </w:t>
      </w:r>
      <w:r w:rsidR="00114397" w:rsidRPr="00FD211F">
        <w:rPr>
          <w:sz w:val="36"/>
          <w:szCs w:val="36"/>
          <w:rtl/>
        </w:rPr>
        <w:t>يكون</w:t>
      </w:r>
      <w:r w:rsidR="00E8128F">
        <w:rPr>
          <w:sz w:val="36"/>
          <w:szCs w:val="36"/>
          <w:rtl/>
        </w:rPr>
        <w:t xml:space="preserve"> </w:t>
      </w:r>
      <w:r w:rsidR="00114397" w:rsidRPr="00FD211F">
        <w:rPr>
          <w:sz w:val="36"/>
          <w:szCs w:val="36"/>
          <w:rtl/>
        </w:rPr>
        <w:t>الفقيه</w:t>
      </w:r>
      <w:r w:rsidR="00E8128F">
        <w:rPr>
          <w:sz w:val="36"/>
          <w:szCs w:val="36"/>
          <w:rtl/>
        </w:rPr>
        <w:t xml:space="preserve"> </w:t>
      </w:r>
      <w:r w:rsidR="00114397" w:rsidRPr="00FD211F">
        <w:rPr>
          <w:sz w:val="36"/>
          <w:szCs w:val="36"/>
          <w:rtl/>
        </w:rPr>
        <w:t>بصدد</w:t>
      </w:r>
      <w:r w:rsidR="00E8128F">
        <w:rPr>
          <w:sz w:val="36"/>
          <w:szCs w:val="36"/>
          <w:rtl/>
        </w:rPr>
        <w:t xml:space="preserve"> </w:t>
      </w:r>
      <w:r w:rsidR="00114397" w:rsidRPr="00FD211F">
        <w:rPr>
          <w:sz w:val="36"/>
          <w:szCs w:val="36"/>
          <w:rtl/>
        </w:rPr>
        <w:t>استنباطه</w:t>
      </w:r>
      <w:r w:rsidR="00E8128F">
        <w:rPr>
          <w:sz w:val="36"/>
          <w:szCs w:val="36"/>
          <w:rtl/>
        </w:rPr>
        <w:t xml:space="preserve"> </w:t>
      </w:r>
      <w:r w:rsidR="00114397" w:rsidRPr="00FD211F">
        <w:rPr>
          <w:sz w:val="36"/>
          <w:szCs w:val="36"/>
          <w:rtl/>
        </w:rPr>
        <w:t>نسب</w:t>
      </w:r>
      <w:r w:rsidR="00EC7EDF" w:rsidRPr="00FD211F">
        <w:rPr>
          <w:sz w:val="36"/>
          <w:szCs w:val="36"/>
          <w:rtl/>
        </w:rPr>
        <w:t>ة</w:t>
      </w:r>
      <w:r w:rsidR="00E8128F">
        <w:rPr>
          <w:sz w:val="36"/>
          <w:szCs w:val="36"/>
          <w:rtl/>
        </w:rPr>
        <w:t xml:space="preserve"> </w:t>
      </w:r>
      <w:r w:rsidR="00114397" w:rsidRPr="00FD211F">
        <w:rPr>
          <w:sz w:val="36"/>
          <w:szCs w:val="36"/>
          <w:rtl/>
        </w:rPr>
        <w:t>التطبيق</w:t>
      </w:r>
      <w:r w:rsidR="00E8128F">
        <w:rPr>
          <w:sz w:val="36"/>
          <w:szCs w:val="36"/>
          <w:rtl/>
        </w:rPr>
        <w:t xml:space="preserve"> </w:t>
      </w:r>
      <w:r w:rsidR="00114397" w:rsidRPr="00FD211F">
        <w:rPr>
          <w:sz w:val="36"/>
          <w:szCs w:val="36"/>
          <w:rtl/>
        </w:rPr>
        <w:t>او</w:t>
      </w:r>
      <w:r w:rsidR="00E8128F">
        <w:rPr>
          <w:sz w:val="36"/>
          <w:szCs w:val="36"/>
          <w:rtl/>
        </w:rPr>
        <w:t xml:space="preserve"> </w:t>
      </w:r>
      <w:r w:rsidR="00114397" w:rsidRPr="00FD211F">
        <w:rPr>
          <w:sz w:val="36"/>
          <w:szCs w:val="36"/>
          <w:rtl/>
        </w:rPr>
        <w:t>فقل</w:t>
      </w:r>
      <w:r w:rsidR="00E8128F">
        <w:rPr>
          <w:sz w:val="36"/>
          <w:szCs w:val="36"/>
          <w:rtl/>
        </w:rPr>
        <w:t xml:space="preserve"> </w:t>
      </w:r>
      <w:r w:rsidR="00114397" w:rsidRPr="00FD211F">
        <w:rPr>
          <w:sz w:val="36"/>
          <w:szCs w:val="36"/>
          <w:rtl/>
        </w:rPr>
        <w:t>نسب</w:t>
      </w:r>
      <w:r w:rsidR="00EC7EDF" w:rsidRPr="00FD211F">
        <w:rPr>
          <w:sz w:val="36"/>
          <w:szCs w:val="36"/>
          <w:rtl/>
        </w:rPr>
        <w:t>ة</w:t>
      </w:r>
      <w:r w:rsidR="00E8128F">
        <w:rPr>
          <w:sz w:val="36"/>
          <w:szCs w:val="36"/>
          <w:rtl/>
        </w:rPr>
        <w:t xml:space="preserve"> </w:t>
      </w:r>
      <w:r w:rsidR="00114397" w:rsidRPr="00FD211F">
        <w:rPr>
          <w:sz w:val="36"/>
          <w:szCs w:val="36"/>
          <w:rtl/>
        </w:rPr>
        <w:t>الكلي</w:t>
      </w:r>
      <w:r w:rsidR="00E8128F">
        <w:rPr>
          <w:sz w:val="36"/>
          <w:szCs w:val="36"/>
          <w:rtl/>
        </w:rPr>
        <w:t xml:space="preserve"> </w:t>
      </w:r>
      <w:r w:rsidR="00114397" w:rsidRPr="00FD211F">
        <w:rPr>
          <w:sz w:val="36"/>
          <w:szCs w:val="36"/>
          <w:rtl/>
        </w:rPr>
        <w:t>الى</w:t>
      </w:r>
      <w:r w:rsidR="00E8128F">
        <w:rPr>
          <w:sz w:val="36"/>
          <w:szCs w:val="36"/>
          <w:rtl/>
        </w:rPr>
        <w:t xml:space="preserve"> </w:t>
      </w:r>
      <w:commentRangeStart w:id="46"/>
      <w:r w:rsidR="00114397" w:rsidRPr="00FD211F">
        <w:rPr>
          <w:sz w:val="36"/>
          <w:szCs w:val="36"/>
          <w:rtl/>
        </w:rPr>
        <w:t>فرده</w:t>
      </w:r>
      <w:commentRangeEnd w:id="46"/>
      <w:r w:rsidR="00A50CA4">
        <w:rPr>
          <w:rStyle w:val="ab"/>
          <w:rtl/>
        </w:rPr>
        <w:commentReference w:id="46"/>
      </w:r>
      <w:r w:rsidR="00E6002B" w:rsidRPr="00FD211F">
        <w:rPr>
          <w:sz w:val="36"/>
          <w:szCs w:val="36"/>
          <w:rtl/>
        </w:rPr>
        <w:t>.</w:t>
      </w:r>
    </w:p>
    <w:p w14:paraId="0D364E38" w14:textId="77777777" w:rsidR="0008424F" w:rsidRPr="00FD211F" w:rsidRDefault="00114397" w:rsidP="009C58C8">
      <w:pPr>
        <w:ind w:left="0" w:firstLine="227"/>
        <w:jc w:val="both"/>
        <w:rPr>
          <w:sz w:val="36"/>
          <w:szCs w:val="36"/>
          <w:rtl/>
        </w:rPr>
      </w:pPr>
      <w:r w:rsidRPr="00FD211F">
        <w:rPr>
          <w:sz w:val="36"/>
          <w:szCs w:val="36"/>
          <w:rtl/>
        </w:rPr>
        <w:t>وبذلك</w:t>
      </w:r>
      <w:r w:rsidR="00E8128F">
        <w:rPr>
          <w:sz w:val="36"/>
          <w:szCs w:val="36"/>
          <w:rtl/>
        </w:rPr>
        <w:t xml:space="preserve"> </w:t>
      </w:r>
      <w:r w:rsidRPr="00FD211F">
        <w:rPr>
          <w:sz w:val="36"/>
          <w:szCs w:val="36"/>
          <w:rtl/>
        </w:rPr>
        <w:t>يتبين</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مسأل</w:t>
      </w:r>
      <w:r w:rsidR="00EC7EDF" w:rsidRPr="00FD211F">
        <w:rPr>
          <w:sz w:val="36"/>
          <w:szCs w:val="36"/>
          <w:rtl/>
        </w:rPr>
        <w:t>ة</w:t>
      </w:r>
      <w:r w:rsidR="00E8128F">
        <w:rPr>
          <w:sz w:val="36"/>
          <w:szCs w:val="36"/>
          <w:rtl/>
        </w:rPr>
        <w:t xml:space="preserve"> </w:t>
      </w:r>
      <w:r w:rsidRPr="00FD211F">
        <w:rPr>
          <w:sz w:val="36"/>
          <w:szCs w:val="36"/>
          <w:rtl/>
        </w:rPr>
        <w:t>اقتضاء</w:t>
      </w:r>
      <w:r w:rsidR="00E8128F">
        <w:rPr>
          <w:sz w:val="36"/>
          <w:szCs w:val="36"/>
          <w:rtl/>
        </w:rPr>
        <w:t xml:space="preserve"> </w:t>
      </w:r>
      <w:r w:rsidRPr="00FD211F">
        <w:rPr>
          <w:sz w:val="36"/>
          <w:szCs w:val="36"/>
          <w:rtl/>
        </w:rPr>
        <w:t>النهي</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العباد</w:t>
      </w:r>
      <w:r w:rsidR="00EC7EDF" w:rsidRPr="00FD211F">
        <w:rPr>
          <w:sz w:val="36"/>
          <w:szCs w:val="36"/>
          <w:rtl/>
        </w:rPr>
        <w:t>ة</w:t>
      </w:r>
      <w:r w:rsidR="00E8128F">
        <w:rPr>
          <w:sz w:val="36"/>
          <w:szCs w:val="36"/>
          <w:rtl/>
        </w:rPr>
        <w:t xml:space="preserve"> </w:t>
      </w:r>
      <w:r w:rsidRPr="00FD211F">
        <w:rPr>
          <w:sz w:val="36"/>
          <w:szCs w:val="36"/>
          <w:rtl/>
        </w:rPr>
        <w:t>للفساد</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الملازم</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وجوب</w:t>
      </w:r>
      <w:r w:rsidR="00E8128F">
        <w:rPr>
          <w:sz w:val="36"/>
          <w:szCs w:val="36"/>
          <w:rtl/>
        </w:rPr>
        <w:t xml:space="preserve"> </w:t>
      </w:r>
      <w:r w:rsidR="008D7B3D" w:rsidRPr="00FD211F">
        <w:rPr>
          <w:sz w:val="36"/>
          <w:szCs w:val="36"/>
          <w:rtl/>
        </w:rPr>
        <w:t>شيء</w:t>
      </w:r>
      <w:r w:rsidR="00E8128F">
        <w:rPr>
          <w:sz w:val="36"/>
          <w:szCs w:val="36"/>
          <w:rtl/>
        </w:rPr>
        <w:t xml:space="preserve"> </w:t>
      </w:r>
      <w:r w:rsidRPr="00FD211F">
        <w:rPr>
          <w:sz w:val="36"/>
          <w:szCs w:val="36"/>
          <w:rtl/>
        </w:rPr>
        <w:t>ووجوب</w:t>
      </w:r>
      <w:r w:rsidR="00E8128F">
        <w:rPr>
          <w:sz w:val="36"/>
          <w:szCs w:val="36"/>
          <w:rtl/>
        </w:rPr>
        <w:t xml:space="preserve"> </w:t>
      </w:r>
      <w:r w:rsidRPr="00FD211F">
        <w:rPr>
          <w:sz w:val="36"/>
          <w:szCs w:val="36"/>
          <w:rtl/>
        </w:rPr>
        <w:t>مقدمته</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الملازم</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حكم</w:t>
      </w:r>
      <w:r w:rsidR="00E8128F">
        <w:rPr>
          <w:sz w:val="36"/>
          <w:szCs w:val="36"/>
          <w:rtl/>
        </w:rPr>
        <w:t xml:space="preserve"> </w:t>
      </w:r>
      <w:r w:rsidRPr="00FD211F">
        <w:rPr>
          <w:sz w:val="36"/>
          <w:szCs w:val="36"/>
          <w:rtl/>
        </w:rPr>
        <w:t>الشرع</w:t>
      </w:r>
      <w:r w:rsidR="00E8128F">
        <w:rPr>
          <w:sz w:val="36"/>
          <w:szCs w:val="36"/>
          <w:rtl/>
        </w:rPr>
        <w:t xml:space="preserve"> </w:t>
      </w:r>
      <w:r w:rsidRPr="00FD211F">
        <w:rPr>
          <w:sz w:val="36"/>
          <w:szCs w:val="36"/>
          <w:rtl/>
        </w:rPr>
        <w:t>وحكم</w:t>
      </w:r>
      <w:r w:rsidR="00E8128F">
        <w:rPr>
          <w:sz w:val="36"/>
          <w:szCs w:val="36"/>
          <w:rtl/>
        </w:rPr>
        <w:t xml:space="preserve"> </w:t>
      </w:r>
      <w:r w:rsidRPr="00FD211F">
        <w:rPr>
          <w:sz w:val="36"/>
          <w:szCs w:val="36"/>
          <w:rtl/>
        </w:rPr>
        <w:t>العقل</w:t>
      </w:r>
      <w:r w:rsidR="00E8128F">
        <w:rPr>
          <w:sz w:val="36"/>
          <w:szCs w:val="36"/>
          <w:rtl/>
        </w:rPr>
        <w:t xml:space="preserve"> </w:t>
      </w:r>
      <w:r w:rsidRPr="00FD211F">
        <w:rPr>
          <w:sz w:val="36"/>
          <w:szCs w:val="36"/>
          <w:rtl/>
        </w:rPr>
        <w:t>لو</w:t>
      </w:r>
      <w:r w:rsidR="00E8128F">
        <w:rPr>
          <w:sz w:val="36"/>
          <w:szCs w:val="36"/>
          <w:rtl/>
        </w:rPr>
        <w:t xml:space="preserve"> </w:t>
      </w:r>
      <w:r w:rsidR="00022453" w:rsidRPr="00FD211F">
        <w:rPr>
          <w:sz w:val="36"/>
          <w:szCs w:val="36"/>
          <w:rtl/>
        </w:rPr>
        <w:t>فرض</w:t>
      </w:r>
      <w:r w:rsidR="00E8128F">
        <w:rPr>
          <w:sz w:val="36"/>
          <w:szCs w:val="36"/>
          <w:rtl/>
        </w:rPr>
        <w:t xml:space="preserve"> </w:t>
      </w:r>
      <w:r w:rsidR="00022453" w:rsidRPr="00FD211F">
        <w:rPr>
          <w:sz w:val="36"/>
          <w:szCs w:val="36"/>
          <w:rtl/>
        </w:rPr>
        <w:t>طرح</w:t>
      </w:r>
      <w:r w:rsidR="00E8128F">
        <w:rPr>
          <w:sz w:val="36"/>
          <w:szCs w:val="36"/>
          <w:rtl/>
        </w:rPr>
        <w:t xml:space="preserve"> </w:t>
      </w:r>
      <w:r w:rsidR="00B07813" w:rsidRPr="00FD211F">
        <w:rPr>
          <w:sz w:val="36"/>
          <w:szCs w:val="36"/>
          <w:rtl/>
        </w:rPr>
        <w:t>عنوان</w:t>
      </w:r>
      <w:r w:rsidR="00E8128F">
        <w:rPr>
          <w:sz w:val="36"/>
          <w:szCs w:val="36"/>
          <w:rtl/>
        </w:rPr>
        <w:t xml:space="preserve"> </w:t>
      </w:r>
      <w:r w:rsidR="00B07813" w:rsidRPr="00FD211F">
        <w:rPr>
          <w:sz w:val="36"/>
          <w:szCs w:val="36"/>
          <w:rtl/>
        </w:rPr>
        <w:lastRenderedPageBreak/>
        <w:t>البحث</w:t>
      </w:r>
      <w:r w:rsidR="00E8128F">
        <w:rPr>
          <w:sz w:val="36"/>
          <w:szCs w:val="36"/>
          <w:rtl/>
        </w:rPr>
        <w:t xml:space="preserve"> </w:t>
      </w:r>
      <w:r w:rsidR="00B07813" w:rsidRPr="00FD211F">
        <w:rPr>
          <w:sz w:val="36"/>
          <w:szCs w:val="36"/>
          <w:rtl/>
        </w:rPr>
        <w:t>بصيغ</w:t>
      </w:r>
      <w:r w:rsidR="00EC7EDF" w:rsidRPr="00FD211F">
        <w:rPr>
          <w:sz w:val="36"/>
          <w:szCs w:val="36"/>
          <w:rtl/>
        </w:rPr>
        <w:t>ة</w:t>
      </w:r>
      <w:r w:rsidR="00E8128F">
        <w:rPr>
          <w:sz w:val="36"/>
          <w:szCs w:val="36"/>
          <w:rtl/>
        </w:rPr>
        <w:t xml:space="preserve"> </w:t>
      </w:r>
      <w:r w:rsidR="00B07813" w:rsidRPr="00FD211F">
        <w:rPr>
          <w:sz w:val="36"/>
          <w:szCs w:val="36"/>
          <w:rtl/>
        </w:rPr>
        <w:t>ان</w:t>
      </w:r>
      <w:r w:rsidR="00E8128F">
        <w:rPr>
          <w:sz w:val="36"/>
          <w:szCs w:val="36"/>
          <w:rtl/>
        </w:rPr>
        <w:t xml:space="preserve"> </w:t>
      </w:r>
      <w:r w:rsidR="00B07813" w:rsidRPr="00FD211F">
        <w:rPr>
          <w:sz w:val="36"/>
          <w:szCs w:val="36"/>
          <w:rtl/>
        </w:rPr>
        <w:t>العباد</w:t>
      </w:r>
      <w:r w:rsidR="00EC7EDF" w:rsidRPr="00FD211F">
        <w:rPr>
          <w:sz w:val="36"/>
          <w:szCs w:val="36"/>
          <w:rtl/>
        </w:rPr>
        <w:t>ة</w:t>
      </w:r>
      <w:r w:rsidR="00E8128F">
        <w:rPr>
          <w:sz w:val="36"/>
          <w:szCs w:val="36"/>
          <w:rtl/>
        </w:rPr>
        <w:t xml:space="preserve"> </w:t>
      </w:r>
      <w:r w:rsidR="00B07813" w:rsidRPr="00FD211F">
        <w:rPr>
          <w:sz w:val="36"/>
          <w:szCs w:val="36"/>
          <w:rtl/>
        </w:rPr>
        <w:t>المنهي</w:t>
      </w:r>
      <w:r w:rsidR="00E8128F">
        <w:rPr>
          <w:sz w:val="36"/>
          <w:szCs w:val="36"/>
          <w:rtl/>
        </w:rPr>
        <w:t xml:space="preserve"> </w:t>
      </w:r>
      <w:r w:rsidR="00B07813" w:rsidRPr="00FD211F">
        <w:rPr>
          <w:sz w:val="36"/>
          <w:szCs w:val="36"/>
          <w:rtl/>
        </w:rPr>
        <w:t>عنها</w:t>
      </w:r>
      <w:r w:rsidR="00E8128F">
        <w:rPr>
          <w:sz w:val="36"/>
          <w:szCs w:val="36"/>
          <w:rtl/>
        </w:rPr>
        <w:t xml:space="preserve"> </w:t>
      </w:r>
      <w:r w:rsidR="00B07813" w:rsidRPr="00FD211F">
        <w:rPr>
          <w:sz w:val="36"/>
          <w:szCs w:val="36"/>
          <w:rtl/>
        </w:rPr>
        <w:t>باطل</w:t>
      </w:r>
      <w:r w:rsidR="00EC7EDF" w:rsidRPr="00FD211F">
        <w:rPr>
          <w:sz w:val="36"/>
          <w:szCs w:val="36"/>
          <w:rtl/>
        </w:rPr>
        <w:t>ة</w:t>
      </w:r>
      <w:r w:rsidR="00E8128F">
        <w:rPr>
          <w:sz w:val="36"/>
          <w:szCs w:val="36"/>
          <w:rtl/>
        </w:rPr>
        <w:t xml:space="preserve"> </w:t>
      </w:r>
      <w:r w:rsidR="00B07813" w:rsidRPr="00FD211F">
        <w:rPr>
          <w:sz w:val="36"/>
          <w:szCs w:val="36"/>
          <w:rtl/>
        </w:rPr>
        <w:t>او</w:t>
      </w:r>
      <w:r w:rsidR="00E8128F">
        <w:rPr>
          <w:sz w:val="36"/>
          <w:szCs w:val="36"/>
          <w:rtl/>
        </w:rPr>
        <w:t xml:space="preserve"> </w:t>
      </w:r>
      <w:r w:rsidR="00B07813" w:rsidRPr="00FD211F">
        <w:rPr>
          <w:sz w:val="36"/>
          <w:szCs w:val="36"/>
          <w:rtl/>
        </w:rPr>
        <w:t>ان</w:t>
      </w:r>
      <w:r w:rsidR="00E8128F">
        <w:rPr>
          <w:sz w:val="36"/>
          <w:szCs w:val="36"/>
          <w:rtl/>
        </w:rPr>
        <w:t xml:space="preserve"> </w:t>
      </w:r>
      <w:r w:rsidR="00B07813" w:rsidRPr="00FD211F">
        <w:rPr>
          <w:sz w:val="36"/>
          <w:szCs w:val="36"/>
          <w:rtl/>
        </w:rPr>
        <w:t>مقدم</w:t>
      </w:r>
      <w:r w:rsidR="00EC7EDF" w:rsidRPr="00FD211F">
        <w:rPr>
          <w:sz w:val="36"/>
          <w:szCs w:val="36"/>
          <w:rtl/>
        </w:rPr>
        <w:t>ة</w:t>
      </w:r>
      <w:r w:rsidR="00E8128F">
        <w:rPr>
          <w:sz w:val="36"/>
          <w:szCs w:val="36"/>
          <w:rtl/>
        </w:rPr>
        <w:t xml:space="preserve"> </w:t>
      </w:r>
      <w:r w:rsidR="00B07813" w:rsidRPr="00FD211F">
        <w:rPr>
          <w:sz w:val="36"/>
          <w:szCs w:val="36"/>
          <w:rtl/>
        </w:rPr>
        <w:t>الواجب</w:t>
      </w:r>
      <w:r w:rsidR="00E8128F">
        <w:rPr>
          <w:sz w:val="36"/>
          <w:szCs w:val="36"/>
          <w:rtl/>
        </w:rPr>
        <w:t xml:space="preserve"> </w:t>
      </w:r>
      <w:r w:rsidR="00B07813" w:rsidRPr="00FD211F">
        <w:rPr>
          <w:sz w:val="36"/>
          <w:szCs w:val="36"/>
          <w:rtl/>
        </w:rPr>
        <w:t>واجب</w:t>
      </w:r>
      <w:r w:rsidR="00EC7EDF" w:rsidRPr="00FD211F">
        <w:rPr>
          <w:sz w:val="36"/>
          <w:szCs w:val="36"/>
          <w:rtl/>
        </w:rPr>
        <w:t>ة</w:t>
      </w:r>
      <w:r w:rsidR="00E8128F">
        <w:rPr>
          <w:sz w:val="36"/>
          <w:szCs w:val="36"/>
          <w:rtl/>
        </w:rPr>
        <w:t xml:space="preserve"> </w:t>
      </w:r>
      <w:r w:rsidR="00B07813" w:rsidRPr="00FD211F">
        <w:rPr>
          <w:sz w:val="36"/>
          <w:szCs w:val="36"/>
          <w:rtl/>
        </w:rPr>
        <w:t>او</w:t>
      </w:r>
      <w:r w:rsidR="00E8128F">
        <w:rPr>
          <w:sz w:val="36"/>
          <w:szCs w:val="36"/>
          <w:rtl/>
        </w:rPr>
        <w:t xml:space="preserve"> </w:t>
      </w:r>
      <w:r w:rsidR="00B07813" w:rsidRPr="00FD211F">
        <w:rPr>
          <w:sz w:val="36"/>
          <w:szCs w:val="36"/>
          <w:rtl/>
        </w:rPr>
        <w:t>ان</w:t>
      </w:r>
      <w:r w:rsidR="00E8128F">
        <w:rPr>
          <w:sz w:val="36"/>
          <w:szCs w:val="36"/>
          <w:rtl/>
        </w:rPr>
        <w:t xml:space="preserve"> </w:t>
      </w:r>
      <w:r w:rsidR="00B07813" w:rsidRPr="00FD211F">
        <w:rPr>
          <w:sz w:val="36"/>
          <w:szCs w:val="36"/>
          <w:rtl/>
        </w:rPr>
        <w:t>الذي</w:t>
      </w:r>
      <w:r w:rsidR="00E8128F">
        <w:rPr>
          <w:sz w:val="36"/>
          <w:szCs w:val="36"/>
          <w:rtl/>
        </w:rPr>
        <w:t xml:space="preserve"> </w:t>
      </w:r>
      <w:r w:rsidR="00B07813" w:rsidRPr="00FD211F">
        <w:rPr>
          <w:sz w:val="36"/>
          <w:szCs w:val="36"/>
          <w:rtl/>
        </w:rPr>
        <w:t>حكم</w:t>
      </w:r>
      <w:r w:rsidR="00E8128F">
        <w:rPr>
          <w:sz w:val="36"/>
          <w:szCs w:val="36"/>
          <w:rtl/>
        </w:rPr>
        <w:t xml:space="preserve"> </w:t>
      </w:r>
      <w:r w:rsidR="00B07813" w:rsidRPr="00FD211F">
        <w:rPr>
          <w:sz w:val="36"/>
          <w:szCs w:val="36"/>
          <w:rtl/>
        </w:rPr>
        <w:t>العقل</w:t>
      </w:r>
      <w:r w:rsidR="00E8128F">
        <w:rPr>
          <w:sz w:val="36"/>
          <w:szCs w:val="36"/>
          <w:rtl/>
        </w:rPr>
        <w:t xml:space="preserve"> </w:t>
      </w:r>
      <w:r w:rsidR="00B07813" w:rsidRPr="00FD211F">
        <w:rPr>
          <w:sz w:val="36"/>
          <w:szCs w:val="36"/>
          <w:rtl/>
        </w:rPr>
        <w:t>بقبحه</w:t>
      </w:r>
      <w:r w:rsidR="00E8128F">
        <w:rPr>
          <w:sz w:val="36"/>
          <w:szCs w:val="36"/>
          <w:rtl/>
        </w:rPr>
        <w:t xml:space="preserve"> </w:t>
      </w:r>
      <w:r w:rsidR="00B07813" w:rsidRPr="00FD211F">
        <w:rPr>
          <w:sz w:val="36"/>
          <w:szCs w:val="36"/>
          <w:rtl/>
        </w:rPr>
        <w:t>حرام</w:t>
      </w:r>
      <w:r w:rsidR="00E8128F">
        <w:rPr>
          <w:sz w:val="36"/>
          <w:szCs w:val="36"/>
          <w:rtl/>
        </w:rPr>
        <w:t xml:space="preserve"> </w:t>
      </w:r>
      <w:r w:rsidR="008D7B3D" w:rsidRPr="00FD211F">
        <w:rPr>
          <w:sz w:val="36"/>
          <w:szCs w:val="36"/>
          <w:rtl/>
        </w:rPr>
        <w:t>لم‌</w:t>
      </w:r>
      <w:r w:rsidR="00B07813" w:rsidRPr="00FD211F">
        <w:rPr>
          <w:sz w:val="36"/>
          <w:szCs w:val="36"/>
          <w:rtl/>
        </w:rPr>
        <w:t>يخرج</w:t>
      </w:r>
      <w:r w:rsidR="00E8128F">
        <w:rPr>
          <w:sz w:val="36"/>
          <w:szCs w:val="36"/>
          <w:rtl/>
        </w:rPr>
        <w:t xml:space="preserve"> </w:t>
      </w:r>
      <w:r w:rsidR="00B07813" w:rsidRPr="00FD211F">
        <w:rPr>
          <w:sz w:val="36"/>
          <w:szCs w:val="36"/>
          <w:rtl/>
        </w:rPr>
        <w:t>بذلك</w:t>
      </w:r>
      <w:r w:rsidR="00E8128F">
        <w:rPr>
          <w:sz w:val="36"/>
          <w:szCs w:val="36"/>
          <w:rtl/>
        </w:rPr>
        <w:t xml:space="preserve"> </w:t>
      </w:r>
      <w:r w:rsidR="00B07813" w:rsidRPr="00FD211F">
        <w:rPr>
          <w:sz w:val="36"/>
          <w:szCs w:val="36"/>
          <w:rtl/>
        </w:rPr>
        <w:t>عن</w:t>
      </w:r>
      <w:r w:rsidR="00E8128F">
        <w:rPr>
          <w:sz w:val="36"/>
          <w:szCs w:val="36"/>
          <w:rtl/>
        </w:rPr>
        <w:t xml:space="preserve"> </w:t>
      </w:r>
      <w:r w:rsidR="00B07813" w:rsidRPr="00FD211F">
        <w:rPr>
          <w:sz w:val="36"/>
          <w:szCs w:val="36"/>
          <w:rtl/>
        </w:rPr>
        <w:t>كون</w:t>
      </w:r>
      <w:r w:rsidR="00E8128F">
        <w:rPr>
          <w:sz w:val="36"/>
          <w:szCs w:val="36"/>
          <w:rtl/>
        </w:rPr>
        <w:t xml:space="preserve"> </w:t>
      </w:r>
      <w:r w:rsidR="00B07813" w:rsidRPr="00FD211F">
        <w:rPr>
          <w:sz w:val="36"/>
          <w:szCs w:val="36"/>
          <w:rtl/>
        </w:rPr>
        <w:t>البحث</w:t>
      </w:r>
      <w:r w:rsidR="00E8128F">
        <w:rPr>
          <w:sz w:val="36"/>
          <w:szCs w:val="36"/>
          <w:rtl/>
        </w:rPr>
        <w:t xml:space="preserve"> </w:t>
      </w:r>
      <w:r w:rsidR="00B07813" w:rsidRPr="00FD211F">
        <w:rPr>
          <w:sz w:val="36"/>
          <w:szCs w:val="36"/>
          <w:rtl/>
        </w:rPr>
        <w:t>بحثا</w:t>
      </w:r>
      <w:r w:rsidR="00E8128F">
        <w:rPr>
          <w:sz w:val="36"/>
          <w:szCs w:val="36"/>
          <w:rtl/>
        </w:rPr>
        <w:t xml:space="preserve"> </w:t>
      </w:r>
      <w:r w:rsidR="00B07813" w:rsidRPr="00FD211F">
        <w:rPr>
          <w:sz w:val="36"/>
          <w:szCs w:val="36"/>
          <w:rtl/>
        </w:rPr>
        <w:t>اصوليا</w:t>
      </w:r>
      <w:r w:rsidR="00603323" w:rsidRPr="00FD211F">
        <w:rPr>
          <w:sz w:val="36"/>
          <w:szCs w:val="36"/>
          <w:rtl/>
        </w:rPr>
        <w:t>،</w:t>
      </w:r>
      <w:r w:rsidR="00E8128F">
        <w:rPr>
          <w:sz w:val="36"/>
          <w:szCs w:val="36"/>
          <w:rtl/>
        </w:rPr>
        <w:t xml:space="preserve"> </w:t>
      </w:r>
      <w:r w:rsidR="00B07813" w:rsidRPr="00FD211F">
        <w:rPr>
          <w:sz w:val="36"/>
          <w:szCs w:val="36"/>
          <w:rtl/>
        </w:rPr>
        <w:t>حيث</w:t>
      </w:r>
      <w:r w:rsidR="00E8128F">
        <w:rPr>
          <w:sz w:val="36"/>
          <w:szCs w:val="36"/>
          <w:rtl/>
        </w:rPr>
        <w:t xml:space="preserve"> </w:t>
      </w:r>
      <w:r w:rsidR="00B07813" w:rsidRPr="00FD211F">
        <w:rPr>
          <w:sz w:val="36"/>
          <w:szCs w:val="36"/>
          <w:rtl/>
        </w:rPr>
        <w:t>ان</w:t>
      </w:r>
      <w:r w:rsidR="00E8128F">
        <w:rPr>
          <w:sz w:val="36"/>
          <w:szCs w:val="36"/>
          <w:rtl/>
        </w:rPr>
        <w:t xml:space="preserve"> </w:t>
      </w:r>
      <w:r w:rsidR="00B07813" w:rsidRPr="00FD211F">
        <w:rPr>
          <w:sz w:val="36"/>
          <w:szCs w:val="36"/>
          <w:rtl/>
        </w:rPr>
        <w:t>عنوان</w:t>
      </w:r>
      <w:r w:rsidR="00E8128F">
        <w:rPr>
          <w:sz w:val="36"/>
          <w:szCs w:val="36"/>
          <w:rtl/>
        </w:rPr>
        <w:t xml:space="preserve"> </w:t>
      </w:r>
      <w:r w:rsidR="00B07813" w:rsidRPr="00FD211F">
        <w:rPr>
          <w:sz w:val="36"/>
          <w:szCs w:val="36"/>
          <w:rtl/>
        </w:rPr>
        <w:t>ان</w:t>
      </w:r>
      <w:r w:rsidR="00E8128F">
        <w:rPr>
          <w:sz w:val="36"/>
          <w:szCs w:val="36"/>
          <w:rtl/>
        </w:rPr>
        <w:t xml:space="preserve"> </w:t>
      </w:r>
      <w:r w:rsidR="00B07813" w:rsidRPr="00FD211F">
        <w:rPr>
          <w:sz w:val="36"/>
          <w:szCs w:val="36"/>
          <w:rtl/>
        </w:rPr>
        <w:t>العباد</w:t>
      </w:r>
      <w:r w:rsidR="00EC7EDF" w:rsidRPr="00FD211F">
        <w:rPr>
          <w:sz w:val="36"/>
          <w:szCs w:val="36"/>
          <w:rtl/>
        </w:rPr>
        <w:t>ة</w:t>
      </w:r>
      <w:r w:rsidR="00E8128F">
        <w:rPr>
          <w:sz w:val="36"/>
          <w:szCs w:val="36"/>
          <w:rtl/>
        </w:rPr>
        <w:t xml:space="preserve"> </w:t>
      </w:r>
      <w:r w:rsidR="00B07813" w:rsidRPr="00FD211F">
        <w:rPr>
          <w:sz w:val="36"/>
          <w:szCs w:val="36"/>
          <w:rtl/>
        </w:rPr>
        <w:t>المنهي</w:t>
      </w:r>
      <w:r w:rsidR="00E8128F">
        <w:rPr>
          <w:sz w:val="36"/>
          <w:szCs w:val="36"/>
          <w:rtl/>
        </w:rPr>
        <w:t xml:space="preserve"> </w:t>
      </w:r>
      <w:r w:rsidR="00B07813" w:rsidRPr="00FD211F">
        <w:rPr>
          <w:sz w:val="36"/>
          <w:szCs w:val="36"/>
          <w:rtl/>
        </w:rPr>
        <w:t>عنها</w:t>
      </w:r>
      <w:r w:rsidR="00E8128F">
        <w:rPr>
          <w:sz w:val="36"/>
          <w:szCs w:val="36"/>
          <w:rtl/>
        </w:rPr>
        <w:t xml:space="preserve"> </w:t>
      </w:r>
      <w:r w:rsidR="00B07813" w:rsidRPr="00FD211F">
        <w:rPr>
          <w:sz w:val="36"/>
          <w:szCs w:val="36"/>
          <w:rtl/>
        </w:rPr>
        <w:t>باطل</w:t>
      </w:r>
      <w:r w:rsidR="00EC7EDF" w:rsidRPr="00FD211F">
        <w:rPr>
          <w:sz w:val="36"/>
          <w:szCs w:val="36"/>
          <w:rtl/>
        </w:rPr>
        <w:t>ة</w:t>
      </w:r>
      <w:r w:rsidR="00E8128F">
        <w:rPr>
          <w:sz w:val="36"/>
          <w:szCs w:val="36"/>
          <w:rtl/>
        </w:rPr>
        <w:t xml:space="preserve"> </w:t>
      </w:r>
      <w:r w:rsidR="00B07813" w:rsidRPr="00FD211F">
        <w:rPr>
          <w:sz w:val="36"/>
          <w:szCs w:val="36"/>
          <w:rtl/>
        </w:rPr>
        <w:t>ذات</w:t>
      </w:r>
      <w:r w:rsidR="00E8128F">
        <w:rPr>
          <w:sz w:val="36"/>
          <w:szCs w:val="36"/>
          <w:rtl/>
        </w:rPr>
        <w:t xml:space="preserve"> </w:t>
      </w:r>
      <w:r w:rsidR="00B07813" w:rsidRPr="00FD211F">
        <w:rPr>
          <w:sz w:val="36"/>
          <w:szCs w:val="36"/>
          <w:rtl/>
        </w:rPr>
        <w:t>وحد</w:t>
      </w:r>
      <w:r w:rsidR="00EC7EDF" w:rsidRPr="00FD211F">
        <w:rPr>
          <w:sz w:val="36"/>
          <w:szCs w:val="36"/>
          <w:rtl/>
        </w:rPr>
        <w:t>ة</w:t>
      </w:r>
      <w:r w:rsidR="00E8128F">
        <w:rPr>
          <w:sz w:val="36"/>
          <w:szCs w:val="36"/>
          <w:rtl/>
        </w:rPr>
        <w:t xml:space="preserve"> </w:t>
      </w:r>
      <w:r w:rsidR="00B07813" w:rsidRPr="00FD211F">
        <w:rPr>
          <w:sz w:val="36"/>
          <w:szCs w:val="36"/>
          <w:rtl/>
        </w:rPr>
        <w:t>اثباتي</w:t>
      </w:r>
      <w:r w:rsidR="00EC7EDF" w:rsidRPr="00FD211F">
        <w:rPr>
          <w:sz w:val="36"/>
          <w:szCs w:val="36"/>
          <w:rtl/>
        </w:rPr>
        <w:t>ة</w:t>
      </w:r>
      <w:r w:rsidR="00E8128F">
        <w:rPr>
          <w:sz w:val="36"/>
          <w:szCs w:val="36"/>
          <w:rtl/>
        </w:rPr>
        <w:t xml:space="preserve"> </w:t>
      </w:r>
      <w:r w:rsidR="00B07813" w:rsidRPr="00FD211F">
        <w:rPr>
          <w:sz w:val="36"/>
          <w:szCs w:val="36"/>
          <w:rtl/>
        </w:rPr>
        <w:t>ناشئ</w:t>
      </w:r>
      <w:r w:rsidR="00EC7EDF" w:rsidRPr="00FD211F">
        <w:rPr>
          <w:sz w:val="36"/>
          <w:szCs w:val="36"/>
          <w:rtl/>
        </w:rPr>
        <w:t>ة</w:t>
      </w:r>
      <w:r w:rsidR="00E8128F">
        <w:rPr>
          <w:sz w:val="36"/>
          <w:szCs w:val="36"/>
          <w:rtl/>
        </w:rPr>
        <w:t xml:space="preserve"> </w:t>
      </w:r>
      <w:r w:rsidR="00B07813" w:rsidRPr="00FD211F">
        <w:rPr>
          <w:sz w:val="36"/>
          <w:szCs w:val="36"/>
          <w:rtl/>
        </w:rPr>
        <w:t>عن</w:t>
      </w:r>
      <w:r w:rsidR="00E8128F">
        <w:rPr>
          <w:sz w:val="36"/>
          <w:szCs w:val="36"/>
          <w:rtl/>
        </w:rPr>
        <w:t xml:space="preserve"> </w:t>
      </w:r>
      <w:r w:rsidR="00B07813" w:rsidRPr="00FD211F">
        <w:rPr>
          <w:sz w:val="36"/>
          <w:szCs w:val="36"/>
          <w:rtl/>
        </w:rPr>
        <w:t>وحد</w:t>
      </w:r>
      <w:r w:rsidR="00EC7EDF" w:rsidRPr="00FD211F">
        <w:rPr>
          <w:sz w:val="36"/>
          <w:szCs w:val="36"/>
          <w:rtl/>
        </w:rPr>
        <w:t>ة</w:t>
      </w:r>
      <w:r w:rsidR="00E8128F">
        <w:rPr>
          <w:sz w:val="36"/>
          <w:szCs w:val="36"/>
          <w:rtl/>
        </w:rPr>
        <w:t xml:space="preserve"> </w:t>
      </w:r>
      <w:r w:rsidR="00B07813" w:rsidRPr="00FD211F">
        <w:rPr>
          <w:sz w:val="36"/>
          <w:szCs w:val="36"/>
          <w:rtl/>
        </w:rPr>
        <w:t>دليلها</w:t>
      </w:r>
      <w:r w:rsidR="00E8128F">
        <w:rPr>
          <w:sz w:val="36"/>
          <w:szCs w:val="36"/>
          <w:rtl/>
        </w:rPr>
        <w:t xml:space="preserve"> </w:t>
      </w:r>
      <w:r w:rsidR="00B07813" w:rsidRPr="00FD211F">
        <w:rPr>
          <w:sz w:val="36"/>
          <w:szCs w:val="36"/>
          <w:rtl/>
        </w:rPr>
        <w:t>وهو</w:t>
      </w:r>
      <w:r w:rsidR="00E8128F">
        <w:rPr>
          <w:sz w:val="36"/>
          <w:szCs w:val="36"/>
          <w:rtl/>
        </w:rPr>
        <w:t xml:space="preserve"> </w:t>
      </w:r>
      <w:r w:rsidR="00B07813" w:rsidRPr="00FD211F">
        <w:rPr>
          <w:sz w:val="36"/>
          <w:szCs w:val="36"/>
          <w:rtl/>
        </w:rPr>
        <w:t>اقتضاء</w:t>
      </w:r>
      <w:r w:rsidR="00E8128F">
        <w:rPr>
          <w:sz w:val="36"/>
          <w:szCs w:val="36"/>
          <w:rtl/>
        </w:rPr>
        <w:t xml:space="preserve"> </w:t>
      </w:r>
      <w:r w:rsidR="00B07813" w:rsidRPr="00FD211F">
        <w:rPr>
          <w:sz w:val="36"/>
          <w:szCs w:val="36"/>
          <w:rtl/>
        </w:rPr>
        <w:t>النهي</w:t>
      </w:r>
      <w:r w:rsidR="00E8128F">
        <w:rPr>
          <w:sz w:val="36"/>
          <w:szCs w:val="36"/>
          <w:rtl/>
        </w:rPr>
        <w:t xml:space="preserve"> </w:t>
      </w:r>
      <w:r w:rsidR="00B07813" w:rsidRPr="00FD211F">
        <w:rPr>
          <w:sz w:val="36"/>
          <w:szCs w:val="36"/>
          <w:rtl/>
        </w:rPr>
        <w:t>عن</w:t>
      </w:r>
      <w:r w:rsidR="00E8128F">
        <w:rPr>
          <w:sz w:val="36"/>
          <w:szCs w:val="36"/>
          <w:rtl/>
        </w:rPr>
        <w:t xml:space="preserve"> </w:t>
      </w:r>
      <w:r w:rsidR="00B07813" w:rsidRPr="00FD211F">
        <w:rPr>
          <w:sz w:val="36"/>
          <w:szCs w:val="36"/>
          <w:rtl/>
        </w:rPr>
        <w:t>العباد</w:t>
      </w:r>
      <w:r w:rsidR="00EC7EDF" w:rsidRPr="00FD211F">
        <w:rPr>
          <w:sz w:val="36"/>
          <w:szCs w:val="36"/>
          <w:rtl/>
        </w:rPr>
        <w:t>ة</w:t>
      </w:r>
      <w:r w:rsidR="00E8128F">
        <w:rPr>
          <w:sz w:val="36"/>
          <w:szCs w:val="36"/>
          <w:rtl/>
        </w:rPr>
        <w:t xml:space="preserve"> </w:t>
      </w:r>
      <w:r w:rsidR="00B07813" w:rsidRPr="00FD211F">
        <w:rPr>
          <w:sz w:val="36"/>
          <w:szCs w:val="36"/>
          <w:rtl/>
        </w:rPr>
        <w:t>للفساد</w:t>
      </w:r>
      <w:r w:rsidR="00E8128F">
        <w:rPr>
          <w:sz w:val="36"/>
          <w:szCs w:val="36"/>
          <w:rtl/>
        </w:rPr>
        <w:t xml:space="preserve"> </w:t>
      </w:r>
      <w:r w:rsidR="00B07813" w:rsidRPr="00FD211F">
        <w:rPr>
          <w:sz w:val="36"/>
          <w:szCs w:val="36"/>
          <w:rtl/>
        </w:rPr>
        <w:t>وكذلك</w:t>
      </w:r>
      <w:r w:rsidR="00E8128F">
        <w:rPr>
          <w:sz w:val="36"/>
          <w:szCs w:val="36"/>
          <w:rtl/>
        </w:rPr>
        <w:t xml:space="preserve"> </w:t>
      </w:r>
      <w:r w:rsidR="0090224F" w:rsidRPr="00FD211F">
        <w:rPr>
          <w:sz w:val="36"/>
          <w:szCs w:val="36"/>
          <w:rtl/>
        </w:rPr>
        <w:t>الأمر</w:t>
      </w:r>
      <w:r w:rsidR="00E8128F">
        <w:rPr>
          <w:sz w:val="36"/>
          <w:szCs w:val="36"/>
          <w:rtl/>
        </w:rPr>
        <w:t xml:space="preserve"> </w:t>
      </w:r>
      <w:r w:rsidR="00B07813" w:rsidRPr="00FD211F">
        <w:rPr>
          <w:sz w:val="36"/>
          <w:szCs w:val="36"/>
          <w:rtl/>
        </w:rPr>
        <w:t>في</w:t>
      </w:r>
      <w:r w:rsidR="00E8128F">
        <w:rPr>
          <w:sz w:val="36"/>
          <w:szCs w:val="36"/>
          <w:rtl/>
        </w:rPr>
        <w:t xml:space="preserve"> </w:t>
      </w:r>
      <w:r w:rsidR="00B07813" w:rsidRPr="00FD211F">
        <w:rPr>
          <w:sz w:val="36"/>
          <w:szCs w:val="36"/>
          <w:rtl/>
        </w:rPr>
        <w:t>وجوب</w:t>
      </w:r>
      <w:r w:rsidR="00E8128F">
        <w:rPr>
          <w:sz w:val="36"/>
          <w:szCs w:val="36"/>
          <w:rtl/>
        </w:rPr>
        <w:t xml:space="preserve"> </w:t>
      </w:r>
      <w:r w:rsidR="00B07813" w:rsidRPr="00FD211F">
        <w:rPr>
          <w:sz w:val="36"/>
          <w:szCs w:val="36"/>
          <w:rtl/>
        </w:rPr>
        <w:t>المقدم</w:t>
      </w:r>
      <w:r w:rsidR="00EC7EDF" w:rsidRPr="00FD211F">
        <w:rPr>
          <w:sz w:val="36"/>
          <w:szCs w:val="36"/>
          <w:rtl/>
        </w:rPr>
        <w:t>ة</w:t>
      </w:r>
      <w:r w:rsidR="00E8128F">
        <w:rPr>
          <w:sz w:val="36"/>
          <w:szCs w:val="36"/>
          <w:rtl/>
        </w:rPr>
        <w:t xml:space="preserve"> </w:t>
      </w:r>
      <w:r w:rsidR="00B07813" w:rsidRPr="00FD211F">
        <w:rPr>
          <w:sz w:val="36"/>
          <w:szCs w:val="36"/>
          <w:rtl/>
        </w:rPr>
        <w:t>او</w:t>
      </w:r>
      <w:r w:rsidR="00E8128F">
        <w:rPr>
          <w:sz w:val="36"/>
          <w:szCs w:val="36"/>
          <w:rtl/>
        </w:rPr>
        <w:t xml:space="preserve"> </w:t>
      </w:r>
      <w:r w:rsidR="00B07813" w:rsidRPr="00FD211F">
        <w:rPr>
          <w:sz w:val="36"/>
          <w:szCs w:val="36"/>
          <w:rtl/>
        </w:rPr>
        <w:t>حرم</w:t>
      </w:r>
      <w:r w:rsidR="00EC7EDF" w:rsidRPr="00FD211F">
        <w:rPr>
          <w:sz w:val="36"/>
          <w:szCs w:val="36"/>
          <w:rtl/>
        </w:rPr>
        <w:t>ة</w:t>
      </w:r>
      <w:r w:rsidR="00E8128F">
        <w:rPr>
          <w:sz w:val="36"/>
          <w:szCs w:val="36"/>
          <w:rtl/>
        </w:rPr>
        <w:t xml:space="preserve"> </w:t>
      </w:r>
      <w:r w:rsidR="00B07813" w:rsidRPr="00FD211F">
        <w:rPr>
          <w:sz w:val="36"/>
          <w:szCs w:val="36"/>
          <w:rtl/>
        </w:rPr>
        <w:t>ما</w:t>
      </w:r>
      <w:r w:rsidR="00E8128F">
        <w:rPr>
          <w:sz w:val="36"/>
          <w:szCs w:val="36"/>
          <w:rtl/>
        </w:rPr>
        <w:t xml:space="preserve"> </w:t>
      </w:r>
      <w:r w:rsidR="00B07813" w:rsidRPr="00FD211F">
        <w:rPr>
          <w:sz w:val="36"/>
          <w:szCs w:val="36"/>
          <w:rtl/>
        </w:rPr>
        <w:t>حكم</w:t>
      </w:r>
      <w:r w:rsidR="00E8128F">
        <w:rPr>
          <w:sz w:val="36"/>
          <w:szCs w:val="36"/>
          <w:rtl/>
        </w:rPr>
        <w:t xml:space="preserve"> </w:t>
      </w:r>
      <w:r w:rsidR="00B07813" w:rsidRPr="00FD211F">
        <w:rPr>
          <w:sz w:val="36"/>
          <w:szCs w:val="36"/>
          <w:rtl/>
        </w:rPr>
        <w:t>العقل</w:t>
      </w:r>
      <w:r w:rsidR="00E8128F">
        <w:rPr>
          <w:sz w:val="36"/>
          <w:szCs w:val="36"/>
          <w:rtl/>
        </w:rPr>
        <w:t xml:space="preserve"> </w:t>
      </w:r>
      <w:r w:rsidR="00B07813" w:rsidRPr="00FD211F">
        <w:rPr>
          <w:sz w:val="36"/>
          <w:szCs w:val="36"/>
          <w:rtl/>
        </w:rPr>
        <w:t>بقبحه</w:t>
      </w:r>
      <w:r w:rsidR="00603323" w:rsidRPr="00FD211F">
        <w:rPr>
          <w:sz w:val="36"/>
          <w:szCs w:val="36"/>
          <w:rtl/>
        </w:rPr>
        <w:t>،</w:t>
      </w:r>
      <w:r w:rsidR="00E8128F">
        <w:rPr>
          <w:sz w:val="36"/>
          <w:szCs w:val="36"/>
          <w:rtl/>
        </w:rPr>
        <w:t xml:space="preserve"> </w:t>
      </w:r>
      <w:r w:rsidR="00B07813" w:rsidRPr="00FD211F">
        <w:rPr>
          <w:sz w:val="36"/>
          <w:szCs w:val="36"/>
          <w:rtl/>
        </w:rPr>
        <w:t>فيختلف</w:t>
      </w:r>
      <w:r w:rsidR="00E8128F">
        <w:rPr>
          <w:sz w:val="36"/>
          <w:szCs w:val="36"/>
          <w:rtl/>
        </w:rPr>
        <w:t xml:space="preserve"> </w:t>
      </w:r>
      <w:r w:rsidR="00B07813" w:rsidRPr="00FD211F">
        <w:rPr>
          <w:sz w:val="36"/>
          <w:szCs w:val="36"/>
          <w:rtl/>
        </w:rPr>
        <w:t>عن</w:t>
      </w:r>
      <w:r w:rsidR="00E8128F">
        <w:rPr>
          <w:sz w:val="36"/>
          <w:szCs w:val="36"/>
          <w:rtl/>
        </w:rPr>
        <w:t xml:space="preserve"> </w:t>
      </w:r>
      <w:r w:rsidR="00B07813" w:rsidRPr="00FD211F">
        <w:rPr>
          <w:sz w:val="36"/>
          <w:szCs w:val="36"/>
          <w:rtl/>
        </w:rPr>
        <w:t>مثل</w:t>
      </w:r>
      <w:r w:rsidR="00E8128F">
        <w:rPr>
          <w:sz w:val="36"/>
          <w:szCs w:val="36"/>
          <w:rtl/>
        </w:rPr>
        <w:t xml:space="preserve"> </w:t>
      </w:r>
      <w:r w:rsidR="00B07813" w:rsidRPr="00FD211F">
        <w:rPr>
          <w:sz w:val="36"/>
          <w:szCs w:val="36"/>
          <w:rtl/>
        </w:rPr>
        <w:t>التعبير</w:t>
      </w:r>
      <w:r w:rsidR="00E8128F">
        <w:rPr>
          <w:sz w:val="36"/>
          <w:szCs w:val="36"/>
          <w:rtl/>
        </w:rPr>
        <w:t xml:space="preserve"> </w:t>
      </w:r>
      <w:r w:rsidR="00B07813" w:rsidRPr="00FD211F">
        <w:rPr>
          <w:sz w:val="36"/>
          <w:szCs w:val="36"/>
          <w:rtl/>
        </w:rPr>
        <w:t>بان</w:t>
      </w:r>
      <w:r w:rsidR="00E8128F">
        <w:rPr>
          <w:sz w:val="36"/>
          <w:szCs w:val="36"/>
          <w:rtl/>
        </w:rPr>
        <w:t xml:space="preserve"> </w:t>
      </w:r>
      <w:r w:rsidR="00B07813" w:rsidRPr="00FD211F">
        <w:rPr>
          <w:sz w:val="36"/>
          <w:szCs w:val="36"/>
          <w:rtl/>
        </w:rPr>
        <w:t>ما</w:t>
      </w:r>
      <w:r w:rsidR="00E8128F">
        <w:rPr>
          <w:sz w:val="36"/>
          <w:szCs w:val="36"/>
          <w:rtl/>
        </w:rPr>
        <w:t xml:space="preserve"> </w:t>
      </w:r>
      <w:r w:rsidR="00B07813" w:rsidRPr="00FD211F">
        <w:rPr>
          <w:sz w:val="36"/>
          <w:szCs w:val="36"/>
          <w:rtl/>
        </w:rPr>
        <w:t>ثبت</w:t>
      </w:r>
      <w:r w:rsidR="00E8128F">
        <w:rPr>
          <w:sz w:val="36"/>
          <w:szCs w:val="36"/>
          <w:rtl/>
        </w:rPr>
        <w:t xml:space="preserve"> </w:t>
      </w:r>
      <w:r w:rsidR="00B07813" w:rsidRPr="00FD211F">
        <w:rPr>
          <w:sz w:val="36"/>
          <w:szCs w:val="36"/>
          <w:rtl/>
        </w:rPr>
        <w:t>للرجل</w:t>
      </w:r>
      <w:r w:rsidR="00E8128F">
        <w:rPr>
          <w:sz w:val="36"/>
          <w:szCs w:val="36"/>
          <w:rtl/>
        </w:rPr>
        <w:t xml:space="preserve"> </w:t>
      </w:r>
      <w:r w:rsidR="00B07813" w:rsidRPr="00FD211F">
        <w:rPr>
          <w:sz w:val="36"/>
          <w:szCs w:val="36"/>
          <w:rtl/>
        </w:rPr>
        <w:t>في</w:t>
      </w:r>
      <w:r w:rsidR="00E8128F">
        <w:rPr>
          <w:sz w:val="36"/>
          <w:szCs w:val="36"/>
          <w:rtl/>
        </w:rPr>
        <w:t xml:space="preserve"> </w:t>
      </w:r>
      <w:r w:rsidR="00B07813" w:rsidRPr="00FD211F">
        <w:rPr>
          <w:sz w:val="36"/>
          <w:szCs w:val="36"/>
          <w:rtl/>
        </w:rPr>
        <w:t>المعاملات</w:t>
      </w:r>
      <w:r w:rsidR="00E8128F">
        <w:rPr>
          <w:sz w:val="36"/>
          <w:szCs w:val="36"/>
          <w:rtl/>
        </w:rPr>
        <w:t xml:space="preserve"> </w:t>
      </w:r>
      <w:r w:rsidR="00B07813" w:rsidRPr="00FD211F">
        <w:rPr>
          <w:sz w:val="36"/>
          <w:szCs w:val="36"/>
          <w:rtl/>
        </w:rPr>
        <w:t>فهو</w:t>
      </w:r>
      <w:r w:rsidR="00E8128F">
        <w:rPr>
          <w:sz w:val="36"/>
          <w:szCs w:val="36"/>
          <w:rtl/>
        </w:rPr>
        <w:t xml:space="preserve"> </w:t>
      </w:r>
      <w:r w:rsidR="00B07813" w:rsidRPr="00FD211F">
        <w:rPr>
          <w:sz w:val="36"/>
          <w:szCs w:val="36"/>
          <w:rtl/>
        </w:rPr>
        <w:t>ثابت</w:t>
      </w:r>
      <w:r w:rsidR="00E8128F">
        <w:rPr>
          <w:sz w:val="36"/>
          <w:szCs w:val="36"/>
          <w:rtl/>
        </w:rPr>
        <w:t xml:space="preserve"> </w:t>
      </w:r>
      <w:r w:rsidR="00B07813" w:rsidRPr="00FD211F">
        <w:rPr>
          <w:sz w:val="36"/>
          <w:szCs w:val="36"/>
          <w:rtl/>
        </w:rPr>
        <w:t>للمرأ</w:t>
      </w:r>
      <w:r w:rsidR="00EC7EDF" w:rsidRPr="00FD211F">
        <w:rPr>
          <w:sz w:val="36"/>
          <w:szCs w:val="36"/>
          <w:rtl/>
        </w:rPr>
        <w:t>ة</w:t>
      </w:r>
      <w:r w:rsidR="00603323" w:rsidRPr="00FD211F">
        <w:rPr>
          <w:sz w:val="36"/>
          <w:szCs w:val="36"/>
          <w:rtl/>
        </w:rPr>
        <w:t>،</w:t>
      </w:r>
      <w:r w:rsidR="00E8128F">
        <w:rPr>
          <w:sz w:val="36"/>
          <w:szCs w:val="36"/>
          <w:rtl/>
        </w:rPr>
        <w:t xml:space="preserve"> </w:t>
      </w:r>
      <w:r w:rsidR="00B07813" w:rsidRPr="00FD211F">
        <w:rPr>
          <w:sz w:val="36"/>
          <w:szCs w:val="36"/>
          <w:rtl/>
        </w:rPr>
        <w:t>فانه</w:t>
      </w:r>
      <w:r w:rsidR="00E8128F">
        <w:rPr>
          <w:sz w:val="36"/>
          <w:szCs w:val="36"/>
          <w:rtl/>
        </w:rPr>
        <w:t xml:space="preserve"> </w:t>
      </w:r>
      <w:r w:rsidR="008D7B3D" w:rsidRPr="00FD211F">
        <w:rPr>
          <w:sz w:val="36"/>
          <w:szCs w:val="36"/>
          <w:rtl/>
        </w:rPr>
        <w:t>لم‌</w:t>
      </w:r>
      <w:r w:rsidR="00B07813" w:rsidRPr="00FD211F">
        <w:rPr>
          <w:sz w:val="36"/>
          <w:szCs w:val="36"/>
          <w:rtl/>
        </w:rPr>
        <w:t>يرد</w:t>
      </w:r>
      <w:r w:rsidR="00E8128F">
        <w:rPr>
          <w:sz w:val="36"/>
          <w:szCs w:val="36"/>
          <w:rtl/>
        </w:rPr>
        <w:t xml:space="preserve"> </w:t>
      </w:r>
      <w:r w:rsidR="00B07813" w:rsidRPr="00FD211F">
        <w:rPr>
          <w:sz w:val="36"/>
          <w:szCs w:val="36"/>
          <w:rtl/>
        </w:rPr>
        <w:t>ذلك</w:t>
      </w:r>
      <w:r w:rsidR="00E8128F">
        <w:rPr>
          <w:sz w:val="36"/>
          <w:szCs w:val="36"/>
          <w:rtl/>
        </w:rPr>
        <w:t xml:space="preserve"> </w:t>
      </w:r>
      <w:r w:rsidR="00B07813" w:rsidRPr="00FD211F">
        <w:rPr>
          <w:sz w:val="36"/>
          <w:szCs w:val="36"/>
          <w:rtl/>
        </w:rPr>
        <w:t>في</w:t>
      </w:r>
      <w:r w:rsidR="00E8128F">
        <w:rPr>
          <w:sz w:val="36"/>
          <w:szCs w:val="36"/>
          <w:rtl/>
        </w:rPr>
        <w:t xml:space="preserve"> </w:t>
      </w:r>
      <w:r w:rsidR="00B07813" w:rsidRPr="00FD211F">
        <w:rPr>
          <w:sz w:val="36"/>
          <w:szCs w:val="36"/>
          <w:rtl/>
        </w:rPr>
        <w:t>اي</w:t>
      </w:r>
      <w:r w:rsidR="00E8128F">
        <w:rPr>
          <w:sz w:val="36"/>
          <w:szCs w:val="36"/>
          <w:rtl/>
        </w:rPr>
        <w:t xml:space="preserve"> </w:t>
      </w:r>
      <w:r w:rsidR="00B07813" w:rsidRPr="00FD211F">
        <w:rPr>
          <w:sz w:val="36"/>
          <w:szCs w:val="36"/>
          <w:rtl/>
        </w:rPr>
        <w:t>خطاب</w:t>
      </w:r>
      <w:r w:rsidR="00E8128F">
        <w:rPr>
          <w:sz w:val="36"/>
          <w:szCs w:val="36"/>
          <w:rtl/>
        </w:rPr>
        <w:t xml:space="preserve"> </w:t>
      </w:r>
      <w:r w:rsidR="00B07813" w:rsidRPr="00FD211F">
        <w:rPr>
          <w:sz w:val="36"/>
          <w:szCs w:val="36"/>
          <w:rtl/>
        </w:rPr>
        <w:t>شرعي</w:t>
      </w:r>
      <w:r w:rsidR="00603323" w:rsidRPr="00FD211F">
        <w:rPr>
          <w:sz w:val="36"/>
          <w:szCs w:val="36"/>
          <w:rtl/>
        </w:rPr>
        <w:t>،</w:t>
      </w:r>
      <w:r w:rsidR="00E8128F">
        <w:rPr>
          <w:sz w:val="36"/>
          <w:szCs w:val="36"/>
          <w:rtl/>
        </w:rPr>
        <w:t xml:space="preserve"> </w:t>
      </w:r>
      <w:r w:rsidR="00B07813" w:rsidRPr="00FD211F">
        <w:rPr>
          <w:sz w:val="36"/>
          <w:szCs w:val="36"/>
          <w:rtl/>
        </w:rPr>
        <w:t>كما</w:t>
      </w:r>
      <w:r w:rsidR="00E8128F">
        <w:rPr>
          <w:sz w:val="36"/>
          <w:szCs w:val="36"/>
          <w:rtl/>
        </w:rPr>
        <w:t xml:space="preserve"> </w:t>
      </w:r>
      <w:r w:rsidR="00B07813" w:rsidRPr="00FD211F">
        <w:rPr>
          <w:sz w:val="36"/>
          <w:szCs w:val="36"/>
          <w:rtl/>
        </w:rPr>
        <w:t>ان</w:t>
      </w:r>
      <w:r w:rsidR="00E8128F">
        <w:rPr>
          <w:sz w:val="36"/>
          <w:szCs w:val="36"/>
          <w:rtl/>
        </w:rPr>
        <w:t xml:space="preserve"> </w:t>
      </w:r>
      <w:r w:rsidR="00B07813" w:rsidRPr="00FD211F">
        <w:rPr>
          <w:sz w:val="36"/>
          <w:szCs w:val="36"/>
          <w:rtl/>
        </w:rPr>
        <w:t>ما</w:t>
      </w:r>
      <w:r w:rsidR="00E8128F">
        <w:rPr>
          <w:sz w:val="36"/>
          <w:szCs w:val="36"/>
          <w:rtl/>
        </w:rPr>
        <w:t xml:space="preserve"> </w:t>
      </w:r>
      <w:r w:rsidR="00B07813" w:rsidRPr="00FD211F">
        <w:rPr>
          <w:sz w:val="36"/>
          <w:szCs w:val="36"/>
          <w:rtl/>
        </w:rPr>
        <w:t>يدل</w:t>
      </w:r>
      <w:r w:rsidR="00E8128F">
        <w:rPr>
          <w:sz w:val="36"/>
          <w:szCs w:val="36"/>
          <w:rtl/>
        </w:rPr>
        <w:t xml:space="preserve"> </w:t>
      </w:r>
      <w:r w:rsidR="00B07813" w:rsidRPr="00FD211F">
        <w:rPr>
          <w:sz w:val="36"/>
          <w:szCs w:val="36"/>
          <w:rtl/>
        </w:rPr>
        <w:t>عليه</w:t>
      </w:r>
      <w:r w:rsidR="00E8128F">
        <w:rPr>
          <w:sz w:val="36"/>
          <w:szCs w:val="36"/>
          <w:rtl/>
        </w:rPr>
        <w:t xml:space="preserve"> </w:t>
      </w:r>
      <w:r w:rsidR="00B07813" w:rsidRPr="00FD211F">
        <w:rPr>
          <w:sz w:val="36"/>
          <w:szCs w:val="36"/>
          <w:rtl/>
        </w:rPr>
        <w:t>ليس</w:t>
      </w:r>
      <w:r w:rsidR="00E8128F">
        <w:rPr>
          <w:sz w:val="36"/>
          <w:szCs w:val="36"/>
          <w:rtl/>
        </w:rPr>
        <w:t xml:space="preserve"> </w:t>
      </w:r>
      <w:r w:rsidR="00B07813" w:rsidRPr="00FD211F">
        <w:rPr>
          <w:sz w:val="36"/>
          <w:szCs w:val="36"/>
          <w:rtl/>
        </w:rPr>
        <w:t>امرا</w:t>
      </w:r>
      <w:r w:rsidR="00E8128F">
        <w:rPr>
          <w:sz w:val="36"/>
          <w:szCs w:val="36"/>
          <w:rtl/>
        </w:rPr>
        <w:t xml:space="preserve"> </w:t>
      </w:r>
      <w:r w:rsidR="00B07813" w:rsidRPr="00FD211F">
        <w:rPr>
          <w:sz w:val="36"/>
          <w:szCs w:val="36"/>
          <w:rtl/>
        </w:rPr>
        <w:t>واحدا</w:t>
      </w:r>
      <w:r w:rsidR="00603323" w:rsidRPr="00FD211F">
        <w:rPr>
          <w:sz w:val="36"/>
          <w:szCs w:val="36"/>
          <w:rtl/>
        </w:rPr>
        <w:t>،</w:t>
      </w:r>
      <w:r w:rsidR="00E8128F">
        <w:rPr>
          <w:sz w:val="36"/>
          <w:szCs w:val="36"/>
          <w:rtl/>
        </w:rPr>
        <w:t xml:space="preserve"> </w:t>
      </w:r>
      <w:r w:rsidR="00B07813" w:rsidRPr="00FD211F">
        <w:rPr>
          <w:sz w:val="36"/>
          <w:szCs w:val="36"/>
          <w:rtl/>
        </w:rPr>
        <w:t>وانما</w:t>
      </w:r>
      <w:r w:rsidR="00E8128F">
        <w:rPr>
          <w:sz w:val="36"/>
          <w:szCs w:val="36"/>
          <w:rtl/>
        </w:rPr>
        <w:t xml:space="preserve"> </w:t>
      </w:r>
      <w:r w:rsidR="00B07813" w:rsidRPr="00FD211F">
        <w:rPr>
          <w:sz w:val="36"/>
          <w:szCs w:val="36"/>
          <w:rtl/>
        </w:rPr>
        <w:t>هو</w:t>
      </w:r>
      <w:r w:rsidR="00E8128F">
        <w:rPr>
          <w:sz w:val="36"/>
          <w:szCs w:val="36"/>
          <w:rtl/>
        </w:rPr>
        <w:t xml:space="preserve"> </w:t>
      </w:r>
      <w:r w:rsidR="00B07813" w:rsidRPr="00FD211F">
        <w:rPr>
          <w:sz w:val="36"/>
          <w:szCs w:val="36"/>
          <w:rtl/>
        </w:rPr>
        <w:t>انتزاع</w:t>
      </w:r>
      <w:r w:rsidR="00E8128F">
        <w:rPr>
          <w:sz w:val="36"/>
          <w:szCs w:val="36"/>
          <w:rtl/>
        </w:rPr>
        <w:t xml:space="preserve"> </w:t>
      </w:r>
      <w:r w:rsidR="00B07813" w:rsidRPr="00FD211F">
        <w:rPr>
          <w:sz w:val="36"/>
          <w:szCs w:val="36"/>
          <w:rtl/>
        </w:rPr>
        <w:t>محض</w:t>
      </w:r>
      <w:r w:rsidR="00E8128F">
        <w:rPr>
          <w:sz w:val="36"/>
          <w:szCs w:val="36"/>
          <w:rtl/>
        </w:rPr>
        <w:t xml:space="preserve"> </w:t>
      </w:r>
      <w:r w:rsidR="00B07813" w:rsidRPr="00FD211F">
        <w:rPr>
          <w:sz w:val="36"/>
          <w:szCs w:val="36"/>
          <w:rtl/>
        </w:rPr>
        <w:t>عن</w:t>
      </w:r>
      <w:r w:rsidR="00E8128F">
        <w:rPr>
          <w:sz w:val="36"/>
          <w:szCs w:val="36"/>
          <w:rtl/>
        </w:rPr>
        <w:t xml:space="preserve"> </w:t>
      </w:r>
      <w:r w:rsidR="00B07813" w:rsidRPr="00FD211F">
        <w:rPr>
          <w:sz w:val="36"/>
          <w:szCs w:val="36"/>
          <w:rtl/>
        </w:rPr>
        <w:t>اطلاق</w:t>
      </w:r>
      <w:r w:rsidR="00E8128F">
        <w:rPr>
          <w:sz w:val="36"/>
          <w:szCs w:val="36"/>
          <w:rtl/>
        </w:rPr>
        <w:t xml:space="preserve"> </w:t>
      </w:r>
      <w:r w:rsidR="00B07813" w:rsidRPr="00FD211F">
        <w:rPr>
          <w:sz w:val="36"/>
          <w:szCs w:val="36"/>
          <w:rtl/>
        </w:rPr>
        <w:t>خطاب</w:t>
      </w:r>
      <w:r w:rsidR="00E8128F">
        <w:rPr>
          <w:sz w:val="36"/>
          <w:szCs w:val="36"/>
          <w:rtl/>
        </w:rPr>
        <w:t xml:space="preserve"> </w:t>
      </w:r>
      <w:r w:rsidR="00B07813" w:rsidRPr="00FD211F">
        <w:rPr>
          <w:sz w:val="36"/>
          <w:szCs w:val="36"/>
          <w:rtl/>
        </w:rPr>
        <w:t>المعاملات</w:t>
      </w:r>
      <w:r w:rsidR="00E8128F">
        <w:rPr>
          <w:sz w:val="36"/>
          <w:szCs w:val="36"/>
          <w:rtl/>
        </w:rPr>
        <w:t xml:space="preserve"> </w:t>
      </w:r>
      <w:r w:rsidR="00B07813" w:rsidRPr="00FD211F">
        <w:rPr>
          <w:sz w:val="36"/>
          <w:szCs w:val="36"/>
          <w:rtl/>
        </w:rPr>
        <w:t>في</w:t>
      </w:r>
      <w:r w:rsidR="00E8128F">
        <w:rPr>
          <w:sz w:val="36"/>
          <w:szCs w:val="36"/>
          <w:rtl/>
        </w:rPr>
        <w:t xml:space="preserve"> </w:t>
      </w:r>
      <w:r w:rsidR="00B07813" w:rsidRPr="00FD211F">
        <w:rPr>
          <w:sz w:val="36"/>
          <w:szCs w:val="36"/>
          <w:rtl/>
        </w:rPr>
        <w:t>المجالات</w:t>
      </w:r>
      <w:r w:rsidR="00E8128F">
        <w:rPr>
          <w:sz w:val="36"/>
          <w:szCs w:val="36"/>
          <w:rtl/>
        </w:rPr>
        <w:t xml:space="preserve"> </w:t>
      </w:r>
      <w:r w:rsidR="00B07813" w:rsidRPr="00FD211F">
        <w:rPr>
          <w:sz w:val="36"/>
          <w:szCs w:val="36"/>
          <w:rtl/>
        </w:rPr>
        <w:t>المختلف</w:t>
      </w:r>
      <w:r w:rsidR="00EC7EDF" w:rsidRPr="00FD211F">
        <w:rPr>
          <w:sz w:val="36"/>
          <w:szCs w:val="36"/>
          <w:rtl/>
        </w:rPr>
        <w:t>ة</w:t>
      </w:r>
      <w:r w:rsidR="00603323" w:rsidRPr="00FD211F">
        <w:rPr>
          <w:sz w:val="36"/>
          <w:szCs w:val="36"/>
          <w:rtl/>
        </w:rPr>
        <w:t>،</w:t>
      </w:r>
      <w:r w:rsidR="00E8128F">
        <w:rPr>
          <w:sz w:val="36"/>
          <w:szCs w:val="36"/>
          <w:rtl/>
        </w:rPr>
        <w:t xml:space="preserve"> </w:t>
      </w:r>
      <w:r w:rsidR="00B07813" w:rsidRPr="00FD211F">
        <w:rPr>
          <w:sz w:val="36"/>
          <w:szCs w:val="36"/>
          <w:rtl/>
        </w:rPr>
        <w:t>وعليه</w:t>
      </w:r>
      <w:r w:rsidR="00E8128F">
        <w:rPr>
          <w:sz w:val="36"/>
          <w:szCs w:val="36"/>
          <w:rtl/>
        </w:rPr>
        <w:t xml:space="preserve"> </w:t>
      </w:r>
      <w:r w:rsidR="00B07813" w:rsidRPr="00FD211F">
        <w:rPr>
          <w:sz w:val="36"/>
          <w:szCs w:val="36"/>
          <w:rtl/>
        </w:rPr>
        <w:t>فقاعد</w:t>
      </w:r>
      <w:r w:rsidR="00EC7EDF" w:rsidRPr="00FD211F">
        <w:rPr>
          <w:sz w:val="36"/>
          <w:szCs w:val="36"/>
          <w:rtl/>
        </w:rPr>
        <w:t>ة</w:t>
      </w:r>
      <w:r w:rsidR="00E8128F">
        <w:rPr>
          <w:sz w:val="36"/>
          <w:szCs w:val="36"/>
          <w:rtl/>
        </w:rPr>
        <w:t xml:space="preserve"> </w:t>
      </w:r>
      <w:r w:rsidR="00B07813" w:rsidRPr="00FD211F">
        <w:rPr>
          <w:sz w:val="36"/>
          <w:szCs w:val="36"/>
          <w:rtl/>
        </w:rPr>
        <w:t>الاشتراك</w:t>
      </w:r>
      <w:r w:rsidR="00E8128F">
        <w:rPr>
          <w:sz w:val="36"/>
          <w:szCs w:val="36"/>
          <w:rtl/>
        </w:rPr>
        <w:t xml:space="preserve"> </w:t>
      </w:r>
      <w:r w:rsidR="00B07813" w:rsidRPr="00FD211F">
        <w:rPr>
          <w:sz w:val="36"/>
          <w:szCs w:val="36"/>
          <w:rtl/>
        </w:rPr>
        <w:t>بين</w:t>
      </w:r>
      <w:r w:rsidR="00E8128F">
        <w:rPr>
          <w:sz w:val="36"/>
          <w:szCs w:val="36"/>
          <w:rtl/>
        </w:rPr>
        <w:t xml:space="preserve"> </w:t>
      </w:r>
      <w:r w:rsidR="00B07813" w:rsidRPr="00FD211F">
        <w:rPr>
          <w:sz w:val="36"/>
          <w:szCs w:val="36"/>
          <w:rtl/>
        </w:rPr>
        <w:t>العالم</w:t>
      </w:r>
      <w:r w:rsidR="00E8128F">
        <w:rPr>
          <w:sz w:val="36"/>
          <w:szCs w:val="36"/>
          <w:rtl/>
        </w:rPr>
        <w:t xml:space="preserve"> </w:t>
      </w:r>
      <w:r w:rsidR="00B07813" w:rsidRPr="00FD211F">
        <w:rPr>
          <w:sz w:val="36"/>
          <w:szCs w:val="36"/>
          <w:rtl/>
        </w:rPr>
        <w:t>والجاهل</w:t>
      </w:r>
      <w:r w:rsidR="00E8128F">
        <w:rPr>
          <w:sz w:val="36"/>
          <w:szCs w:val="36"/>
          <w:rtl/>
        </w:rPr>
        <w:t xml:space="preserve"> </w:t>
      </w:r>
      <w:r w:rsidR="00B07813" w:rsidRPr="00FD211F">
        <w:rPr>
          <w:sz w:val="36"/>
          <w:szCs w:val="36"/>
          <w:rtl/>
        </w:rPr>
        <w:t>تكون</w:t>
      </w:r>
      <w:r w:rsidR="00E8128F">
        <w:rPr>
          <w:sz w:val="36"/>
          <w:szCs w:val="36"/>
          <w:rtl/>
        </w:rPr>
        <w:t xml:space="preserve"> </w:t>
      </w:r>
      <w:r w:rsidR="00B07813" w:rsidRPr="00FD211F">
        <w:rPr>
          <w:sz w:val="36"/>
          <w:szCs w:val="36"/>
          <w:rtl/>
        </w:rPr>
        <w:t>قاعد</w:t>
      </w:r>
      <w:r w:rsidR="00EC7EDF" w:rsidRPr="00FD211F">
        <w:rPr>
          <w:sz w:val="36"/>
          <w:szCs w:val="36"/>
          <w:rtl/>
        </w:rPr>
        <w:t>ة</w:t>
      </w:r>
      <w:r w:rsidR="00E8128F">
        <w:rPr>
          <w:sz w:val="36"/>
          <w:szCs w:val="36"/>
          <w:rtl/>
        </w:rPr>
        <w:t xml:space="preserve"> </w:t>
      </w:r>
      <w:r w:rsidR="00B07813" w:rsidRPr="00FD211F">
        <w:rPr>
          <w:sz w:val="36"/>
          <w:szCs w:val="36"/>
          <w:rtl/>
        </w:rPr>
        <w:t>اصولي</w:t>
      </w:r>
      <w:r w:rsidR="00EC7EDF" w:rsidRPr="00FD211F">
        <w:rPr>
          <w:sz w:val="36"/>
          <w:szCs w:val="36"/>
          <w:rtl/>
        </w:rPr>
        <w:t>ة</w:t>
      </w:r>
      <w:r w:rsidR="00E8128F">
        <w:rPr>
          <w:sz w:val="36"/>
          <w:szCs w:val="36"/>
          <w:rtl/>
        </w:rPr>
        <w:t xml:space="preserve"> </w:t>
      </w:r>
      <w:r w:rsidR="00B07813" w:rsidRPr="00FD211F">
        <w:rPr>
          <w:sz w:val="36"/>
          <w:szCs w:val="36"/>
          <w:rtl/>
        </w:rPr>
        <w:t>لان</w:t>
      </w:r>
      <w:r w:rsidR="00E8128F">
        <w:rPr>
          <w:sz w:val="36"/>
          <w:szCs w:val="36"/>
          <w:rtl/>
        </w:rPr>
        <w:t xml:space="preserve"> </w:t>
      </w:r>
      <w:r w:rsidR="00B07813" w:rsidRPr="00FD211F">
        <w:rPr>
          <w:sz w:val="36"/>
          <w:szCs w:val="36"/>
          <w:rtl/>
        </w:rPr>
        <w:t>دليلها</w:t>
      </w:r>
      <w:r w:rsidR="00E8128F">
        <w:rPr>
          <w:sz w:val="36"/>
          <w:szCs w:val="36"/>
          <w:rtl/>
        </w:rPr>
        <w:t xml:space="preserve"> </w:t>
      </w:r>
      <w:r w:rsidR="00B07813" w:rsidRPr="00FD211F">
        <w:rPr>
          <w:sz w:val="36"/>
          <w:szCs w:val="36"/>
          <w:rtl/>
        </w:rPr>
        <w:t>واحد</w:t>
      </w:r>
      <w:r w:rsidR="00E8128F">
        <w:rPr>
          <w:sz w:val="36"/>
          <w:szCs w:val="36"/>
          <w:rtl/>
        </w:rPr>
        <w:t xml:space="preserve"> </w:t>
      </w:r>
      <w:r w:rsidR="00B07813" w:rsidRPr="00FD211F">
        <w:rPr>
          <w:sz w:val="36"/>
          <w:szCs w:val="36"/>
          <w:rtl/>
        </w:rPr>
        <w:t>وهو</w:t>
      </w:r>
      <w:r w:rsidR="00E8128F">
        <w:rPr>
          <w:sz w:val="36"/>
          <w:szCs w:val="36"/>
          <w:rtl/>
        </w:rPr>
        <w:t xml:space="preserve"> </w:t>
      </w:r>
      <w:r w:rsidR="00B07813" w:rsidRPr="00FD211F">
        <w:rPr>
          <w:sz w:val="36"/>
          <w:szCs w:val="36"/>
          <w:rtl/>
        </w:rPr>
        <w:t>دليل</w:t>
      </w:r>
      <w:r w:rsidR="00E8128F">
        <w:rPr>
          <w:sz w:val="36"/>
          <w:szCs w:val="36"/>
          <w:rtl/>
        </w:rPr>
        <w:t xml:space="preserve"> </w:t>
      </w:r>
      <w:r w:rsidR="00B07813" w:rsidRPr="00FD211F">
        <w:rPr>
          <w:sz w:val="36"/>
          <w:szCs w:val="36"/>
          <w:rtl/>
        </w:rPr>
        <w:t>وجوب</w:t>
      </w:r>
      <w:r w:rsidR="00E8128F">
        <w:rPr>
          <w:sz w:val="36"/>
          <w:szCs w:val="36"/>
          <w:rtl/>
        </w:rPr>
        <w:t xml:space="preserve"> </w:t>
      </w:r>
      <w:r w:rsidR="00B07813" w:rsidRPr="00FD211F">
        <w:rPr>
          <w:sz w:val="36"/>
          <w:szCs w:val="36"/>
          <w:rtl/>
        </w:rPr>
        <w:t>التعلم</w:t>
      </w:r>
      <w:r w:rsidR="0008424F" w:rsidRPr="00FD211F">
        <w:rPr>
          <w:sz w:val="36"/>
          <w:szCs w:val="36"/>
          <w:rtl/>
        </w:rPr>
        <w:t>.</w:t>
      </w:r>
    </w:p>
    <w:p w14:paraId="776382A6" w14:textId="77777777" w:rsidR="00B07813" w:rsidRPr="00FD211F" w:rsidRDefault="00B07813" w:rsidP="009C58C8">
      <w:pPr>
        <w:ind w:left="0" w:firstLine="227"/>
        <w:jc w:val="both"/>
        <w:rPr>
          <w:sz w:val="36"/>
          <w:szCs w:val="36"/>
          <w:rtl/>
        </w:rPr>
      </w:pPr>
      <w:r w:rsidRPr="00FD211F">
        <w:rPr>
          <w:sz w:val="36"/>
          <w:szCs w:val="36"/>
          <w:rtl/>
        </w:rPr>
        <w:t>فالمتحصل</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لايعتبر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القاعد</w:t>
      </w:r>
      <w:r w:rsidR="00EC7EDF" w:rsidRPr="00FD211F">
        <w:rPr>
          <w:sz w:val="36"/>
          <w:szCs w:val="36"/>
          <w:rtl/>
        </w:rPr>
        <w:t>ة</w:t>
      </w:r>
      <w:r w:rsidR="00E8128F">
        <w:rPr>
          <w:sz w:val="36"/>
          <w:szCs w:val="36"/>
          <w:rtl/>
        </w:rPr>
        <w:t xml:space="preserve"> </w:t>
      </w:r>
      <w:r w:rsidRPr="00FD211F">
        <w:rPr>
          <w:sz w:val="36"/>
          <w:szCs w:val="36"/>
          <w:rtl/>
        </w:rPr>
        <w:t>الاصولي</w:t>
      </w:r>
      <w:r w:rsidR="00EC7EDF" w:rsidRPr="00FD211F">
        <w:rPr>
          <w:sz w:val="36"/>
          <w:szCs w:val="36"/>
          <w:rtl/>
        </w:rPr>
        <w:t>ة</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لها</w:t>
      </w:r>
      <w:r w:rsidR="00E8128F">
        <w:rPr>
          <w:sz w:val="36"/>
          <w:szCs w:val="36"/>
          <w:rtl/>
        </w:rPr>
        <w:t xml:space="preserve"> </w:t>
      </w:r>
      <w:r w:rsidRPr="00FD211F">
        <w:rPr>
          <w:sz w:val="36"/>
          <w:szCs w:val="36"/>
          <w:rtl/>
        </w:rPr>
        <w:t>وحد</w:t>
      </w:r>
      <w:r w:rsidR="00EC7EDF" w:rsidRPr="00FD211F">
        <w:rPr>
          <w:sz w:val="36"/>
          <w:szCs w:val="36"/>
          <w:rtl/>
        </w:rPr>
        <w:t>ة</w:t>
      </w:r>
      <w:r w:rsidR="00E8128F">
        <w:rPr>
          <w:sz w:val="36"/>
          <w:szCs w:val="36"/>
          <w:rtl/>
        </w:rPr>
        <w:t xml:space="preserve"> </w:t>
      </w:r>
      <w:r w:rsidRPr="00FD211F">
        <w:rPr>
          <w:sz w:val="36"/>
          <w:szCs w:val="36"/>
          <w:rtl/>
        </w:rPr>
        <w:t>ثبوتي</w:t>
      </w:r>
      <w:r w:rsidR="00EC7EDF" w:rsidRPr="00FD211F">
        <w:rPr>
          <w:sz w:val="36"/>
          <w:szCs w:val="36"/>
          <w:rtl/>
        </w:rPr>
        <w:t>ة</w:t>
      </w:r>
      <w:r w:rsidR="00E8128F">
        <w:rPr>
          <w:sz w:val="36"/>
          <w:szCs w:val="36"/>
          <w:rtl/>
        </w:rPr>
        <w:t xml:space="preserve"> </w:t>
      </w:r>
      <w:r w:rsidRPr="00FD211F">
        <w:rPr>
          <w:sz w:val="36"/>
          <w:szCs w:val="36"/>
          <w:rtl/>
        </w:rPr>
        <w:t>وانما</w:t>
      </w:r>
      <w:r w:rsidR="00E8128F">
        <w:rPr>
          <w:sz w:val="36"/>
          <w:szCs w:val="36"/>
          <w:rtl/>
        </w:rPr>
        <w:t xml:space="preserve"> </w:t>
      </w:r>
      <w:r w:rsidRPr="00FD211F">
        <w:rPr>
          <w:sz w:val="36"/>
          <w:szCs w:val="36"/>
          <w:rtl/>
        </w:rPr>
        <w:t>يعتبر</w:t>
      </w:r>
      <w:r w:rsidR="00E8128F">
        <w:rPr>
          <w:sz w:val="36"/>
          <w:szCs w:val="36"/>
          <w:rtl/>
        </w:rPr>
        <w:t xml:space="preserve"> </w:t>
      </w:r>
      <w:r w:rsidRPr="00FD211F">
        <w:rPr>
          <w:sz w:val="36"/>
          <w:szCs w:val="36"/>
          <w:rtl/>
        </w:rPr>
        <w:t>فيها</w:t>
      </w:r>
      <w:r w:rsidR="00E8128F">
        <w:rPr>
          <w:sz w:val="36"/>
          <w:szCs w:val="36"/>
          <w:rtl/>
        </w:rPr>
        <w:t xml:space="preserve"> </w:t>
      </w:r>
      <w:r w:rsidRPr="00FD211F">
        <w:rPr>
          <w:sz w:val="36"/>
          <w:szCs w:val="36"/>
          <w:rtl/>
        </w:rPr>
        <w:t>ا</w:t>
      </w:r>
      <w:r w:rsidR="0008424F" w:rsidRPr="00FD211F">
        <w:rPr>
          <w:sz w:val="36"/>
          <w:szCs w:val="36"/>
          <w:rtl/>
        </w:rPr>
        <w:t>لوحد</w:t>
      </w:r>
      <w:r w:rsidR="00EC7EDF" w:rsidRPr="00FD211F">
        <w:rPr>
          <w:sz w:val="36"/>
          <w:szCs w:val="36"/>
          <w:rtl/>
        </w:rPr>
        <w:t>ة</w:t>
      </w:r>
      <w:r w:rsidR="00E8128F">
        <w:rPr>
          <w:sz w:val="36"/>
          <w:szCs w:val="36"/>
          <w:rtl/>
        </w:rPr>
        <w:t xml:space="preserve"> </w:t>
      </w:r>
      <w:r w:rsidR="0008424F" w:rsidRPr="00FD211F">
        <w:rPr>
          <w:sz w:val="36"/>
          <w:szCs w:val="36"/>
          <w:rtl/>
        </w:rPr>
        <w:t>الاثباتي</w:t>
      </w:r>
      <w:r w:rsidR="00EC7EDF" w:rsidRPr="00FD211F">
        <w:rPr>
          <w:sz w:val="36"/>
          <w:szCs w:val="36"/>
          <w:rtl/>
        </w:rPr>
        <w:t>ة</w:t>
      </w:r>
      <w:r w:rsidR="00603323" w:rsidRPr="00FD211F">
        <w:rPr>
          <w:sz w:val="36"/>
          <w:szCs w:val="36"/>
          <w:rtl/>
        </w:rPr>
        <w:t>،</w:t>
      </w:r>
      <w:r w:rsidR="00E8128F">
        <w:rPr>
          <w:sz w:val="36"/>
          <w:szCs w:val="36"/>
          <w:rtl/>
        </w:rPr>
        <w:t xml:space="preserve"> </w:t>
      </w:r>
      <w:r w:rsidR="0008424F" w:rsidRPr="00FD211F">
        <w:rPr>
          <w:sz w:val="36"/>
          <w:szCs w:val="36"/>
          <w:rtl/>
        </w:rPr>
        <w:t>إما</w:t>
      </w:r>
      <w:r w:rsidR="00E8128F">
        <w:rPr>
          <w:sz w:val="36"/>
          <w:szCs w:val="36"/>
          <w:rtl/>
        </w:rPr>
        <w:t xml:space="preserve"> </w:t>
      </w:r>
      <w:r w:rsidR="0008424F" w:rsidRPr="00FD211F">
        <w:rPr>
          <w:sz w:val="36"/>
          <w:szCs w:val="36"/>
          <w:rtl/>
        </w:rPr>
        <w:t>بلحاظ</w:t>
      </w:r>
      <w:r w:rsidR="00E8128F">
        <w:rPr>
          <w:sz w:val="36"/>
          <w:szCs w:val="36"/>
          <w:rtl/>
        </w:rPr>
        <w:t xml:space="preserve"> </w:t>
      </w:r>
      <w:r w:rsidR="0008424F" w:rsidRPr="00FD211F">
        <w:rPr>
          <w:sz w:val="36"/>
          <w:szCs w:val="36"/>
          <w:rtl/>
        </w:rPr>
        <w:t>وحد</w:t>
      </w:r>
      <w:r w:rsidR="00EC7EDF" w:rsidRPr="00FD211F">
        <w:rPr>
          <w:sz w:val="36"/>
          <w:szCs w:val="36"/>
          <w:rtl/>
        </w:rPr>
        <w:t>ة</w:t>
      </w:r>
      <w:r w:rsidR="00E8128F">
        <w:rPr>
          <w:sz w:val="36"/>
          <w:szCs w:val="36"/>
          <w:rtl/>
        </w:rPr>
        <w:t xml:space="preserve"> </w:t>
      </w:r>
      <w:r w:rsidR="0008424F" w:rsidRPr="00FD211F">
        <w:rPr>
          <w:sz w:val="36"/>
          <w:szCs w:val="36"/>
          <w:rtl/>
        </w:rPr>
        <w:t>الخطاب</w:t>
      </w:r>
      <w:r w:rsidR="00E8128F">
        <w:rPr>
          <w:sz w:val="36"/>
          <w:szCs w:val="36"/>
          <w:rtl/>
        </w:rPr>
        <w:t xml:space="preserve"> </w:t>
      </w:r>
      <w:r w:rsidR="00022453" w:rsidRPr="00FD211F">
        <w:rPr>
          <w:sz w:val="36"/>
          <w:szCs w:val="36"/>
          <w:rtl/>
        </w:rPr>
        <w:t>الشرعي</w:t>
      </w:r>
      <w:r w:rsidR="00E8128F">
        <w:rPr>
          <w:sz w:val="36"/>
          <w:szCs w:val="36"/>
          <w:rtl/>
        </w:rPr>
        <w:t xml:space="preserve"> </w:t>
      </w:r>
      <w:r w:rsidR="0008424F" w:rsidRPr="00FD211F">
        <w:rPr>
          <w:sz w:val="36"/>
          <w:szCs w:val="36"/>
          <w:rtl/>
        </w:rPr>
        <w:t>الدال</w:t>
      </w:r>
      <w:r w:rsidR="00E8128F">
        <w:rPr>
          <w:sz w:val="36"/>
          <w:szCs w:val="36"/>
          <w:rtl/>
        </w:rPr>
        <w:t xml:space="preserve"> </w:t>
      </w:r>
      <w:r w:rsidR="0008424F" w:rsidRPr="00FD211F">
        <w:rPr>
          <w:sz w:val="36"/>
          <w:szCs w:val="36"/>
          <w:rtl/>
        </w:rPr>
        <w:t>عليها</w:t>
      </w:r>
      <w:r w:rsidR="00E8128F">
        <w:rPr>
          <w:sz w:val="36"/>
          <w:szCs w:val="36"/>
          <w:rtl/>
        </w:rPr>
        <w:t xml:space="preserve"> </w:t>
      </w:r>
      <w:r w:rsidR="0008424F" w:rsidRPr="00FD211F">
        <w:rPr>
          <w:sz w:val="36"/>
          <w:szCs w:val="36"/>
          <w:rtl/>
        </w:rPr>
        <w:t>او</w:t>
      </w:r>
      <w:r w:rsidR="00E8128F">
        <w:rPr>
          <w:sz w:val="36"/>
          <w:szCs w:val="36"/>
          <w:rtl/>
        </w:rPr>
        <w:t xml:space="preserve"> </w:t>
      </w:r>
      <w:r w:rsidR="0008424F" w:rsidRPr="00FD211F">
        <w:rPr>
          <w:sz w:val="36"/>
          <w:szCs w:val="36"/>
          <w:rtl/>
        </w:rPr>
        <w:t>وحد</w:t>
      </w:r>
      <w:r w:rsidR="00EC7EDF" w:rsidRPr="00FD211F">
        <w:rPr>
          <w:sz w:val="36"/>
          <w:szCs w:val="36"/>
          <w:rtl/>
        </w:rPr>
        <w:t>ة</w:t>
      </w:r>
      <w:r w:rsidR="00E8128F">
        <w:rPr>
          <w:sz w:val="36"/>
          <w:szCs w:val="36"/>
          <w:rtl/>
        </w:rPr>
        <w:t xml:space="preserve"> </w:t>
      </w:r>
      <w:r w:rsidR="0008424F" w:rsidRPr="00FD211F">
        <w:rPr>
          <w:sz w:val="36"/>
          <w:szCs w:val="36"/>
          <w:rtl/>
        </w:rPr>
        <w:t>دليلها</w:t>
      </w:r>
      <w:r w:rsidR="00E8128F">
        <w:rPr>
          <w:sz w:val="36"/>
          <w:szCs w:val="36"/>
          <w:rtl/>
        </w:rPr>
        <w:t xml:space="preserve"> </w:t>
      </w:r>
      <w:r w:rsidR="0008424F" w:rsidRPr="00FD211F">
        <w:rPr>
          <w:sz w:val="36"/>
          <w:szCs w:val="36"/>
          <w:rtl/>
        </w:rPr>
        <w:t>العقلي</w:t>
      </w:r>
      <w:r w:rsidR="00603323" w:rsidRPr="00FD211F">
        <w:rPr>
          <w:sz w:val="36"/>
          <w:szCs w:val="36"/>
          <w:rtl/>
        </w:rPr>
        <w:t>،</w:t>
      </w:r>
      <w:r w:rsidR="00E8128F">
        <w:rPr>
          <w:sz w:val="36"/>
          <w:szCs w:val="36"/>
          <w:rtl/>
        </w:rPr>
        <w:t xml:space="preserve"> </w:t>
      </w:r>
      <w:r w:rsidR="004C39FF" w:rsidRPr="00FD211F">
        <w:rPr>
          <w:sz w:val="36"/>
          <w:szCs w:val="36"/>
          <w:rtl/>
        </w:rPr>
        <w:t>نعم</w:t>
      </w:r>
      <w:r w:rsidR="00E8128F">
        <w:rPr>
          <w:sz w:val="36"/>
          <w:szCs w:val="36"/>
          <w:rtl/>
        </w:rPr>
        <w:t xml:space="preserve"> </w:t>
      </w:r>
      <w:r w:rsidR="004C39FF" w:rsidRPr="00FD211F">
        <w:rPr>
          <w:sz w:val="36"/>
          <w:szCs w:val="36"/>
          <w:rtl/>
        </w:rPr>
        <w:t>يعتبر</w:t>
      </w:r>
      <w:r w:rsidR="00E8128F">
        <w:rPr>
          <w:sz w:val="36"/>
          <w:szCs w:val="36"/>
          <w:rtl/>
        </w:rPr>
        <w:t xml:space="preserve"> </w:t>
      </w:r>
      <w:r w:rsidR="004C39FF" w:rsidRPr="00FD211F">
        <w:rPr>
          <w:sz w:val="36"/>
          <w:szCs w:val="36"/>
          <w:rtl/>
        </w:rPr>
        <w:t>في</w:t>
      </w:r>
      <w:r w:rsidR="00E8128F">
        <w:rPr>
          <w:sz w:val="36"/>
          <w:szCs w:val="36"/>
          <w:rtl/>
        </w:rPr>
        <w:t xml:space="preserve"> </w:t>
      </w:r>
      <w:r w:rsidR="004C39FF" w:rsidRPr="00FD211F">
        <w:rPr>
          <w:sz w:val="36"/>
          <w:szCs w:val="36"/>
          <w:rtl/>
        </w:rPr>
        <w:t>كون</w:t>
      </w:r>
      <w:r w:rsidR="00E8128F">
        <w:rPr>
          <w:sz w:val="36"/>
          <w:szCs w:val="36"/>
          <w:rtl/>
        </w:rPr>
        <w:t xml:space="preserve"> </w:t>
      </w:r>
      <w:r w:rsidR="004C39FF" w:rsidRPr="00FD211F">
        <w:rPr>
          <w:sz w:val="36"/>
          <w:szCs w:val="36"/>
          <w:rtl/>
        </w:rPr>
        <w:lastRenderedPageBreak/>
        <w:t>القاعد</w:t>
      </w:r>
      <w:r w:rsidR="00EC7EDF" w:rsidRPr="00FD211F">
        <w:rPr>
          <w:sz w:val="36"/>
          <w:szCs w:val="36"/>
          <w:rtl/>
        </w:rPr>
        <w:t>ة</w:t>
      </w:r>
      <w:r w:rsidR="00E8128F">
        <w:rPr>
          <w:sz w:val="36"/>
          <w:szCs w:val="36"/>
          <w:rtl/>
        </w:rPr>
        <w:t xml:space="preserve"> </w:t>
      </w:r>
      <w:r w:rsidR="004C39FF" w:rsidRPr="00FD211F">
        <w:rPr>
          <w:sz w:val="36"/>
          <w:szCs w:val="36"/>
          <w:rtl/>
        </w:rPr>
        <w:t>اصولي</w:t>
      </w:r>
      <w:r w:rsidR="00EC7EDF" w:rsidRPr="00FD211F">
        <w:rPr>
          <w:sz w:val="36"/>
          <w:szCs w:val="36"/>
          <w:rtl/>
        </w:rPr>
        <w:t>ة</w:t>
      </w:r>
      <w:r w:rsidR="00E8128F">
        <w:rPr>
          <w:sz w:val="36"/>
          <w:szCs w:val="36"/>
          <w:rtl/>
        </w:rPr>
        <w:t xml:space="preserve"> </w:t>
      </w:r>
      <w:r w:rsidR="0008424F" w:rsidRPr="00FD211F">
        <w:rPr>
          <w:sz w:val="36"/>
          <w:szCs w:val="36"/>
          <w:rtl/>
        </w:rPr>
        <w:t>ان</w:t>
      </w:r>
      <w:r w:rsidR="00E8128F">
        <w:rPr>
          <w:sz w:val="36"/>
          <w:szCs w:val="36"/>
          <w:rtl/>
        </w:rPr>
        <w:t xml:space="preserve"> </w:t>
      </w:r>
      <w:r w:rsidR="0008424F" w:rsidRPr="00FD211F">
        <w:rPr>
          <w:sz w:val="36"/>
          <w:szCs w:val="36"/>
          <w:rtl/>
        </w:rPr>
        <w:t>تقع</w:t>
      </w:r>
      <w:r w:rsidR="00E8128F">
        <w:rPr>
          <w:sz w:val="36"/>
          <w:szCs w:val="36"/>
          <w:rtl/>
        </w:rPr>
        <w:t xml:space="preserve"> </w:t>
      </w:r>
      <w:r w:rsidR="0008424F" w:rsidRPr="00FD211F">
        <w:rPr>
          <w:sz w:val="36"/>
          <w:szCs w:val="36"/>
          <w:rtl/>
        </w:rPr>
        <w:t>في</w:t>
      </w:r>
      <w:r w:rsidR="00E8128F">
        <w:rPr>
          <w:sz w:val="36"/>
          <w:szCs w:val="36"/>
          <w:rtl/>
        </w:rPr>
        <w:t xml:space="preserve"> </w:t>
      </w:r>
      <w:r w:rsidR="0008424F" w:rsidRPr="00FD211F">
        <w:rPr>
          <w:sz w:val="36"/>
          <w:szCs w:val="36"/>
          <w:rtl/>
        </w:rPr>
        <w:t>طريق</w:t>
      </w:r>
      <w:r w:rsidR="00E8128F">
        <w:rPr>
          <w:sz w:val="36"/>
          <w:szCs w:val="36"/>
          <w:rtl/>
        </w:rPr>
        <w:t xml:space="preserve"> </w:t>
      </w:r>
      <w:r w:rsidR="0008424F" w:rsidRPr="00FD211F">
        <w:rPr>
          <w:sz w:val="36"/>
          <w:szCs w:val="36"/>
          <w:rtl/>
        </w:rPr>
        <w:t>استنباط</w:t>
      </w:r>
      <w:r w:rsidR="00E8128F">
        <w:rPr>
          <w:sz w:val="36"/>
          <w:szCs w:val="36"/>
          <w:rtl/>
        </w:rPr>
        <w:t xml:space="preserve"> </w:t>
      </w:r>
      <w:r w:rsidR="0008424F" w:rsidRPr="00FD211F">
        <w:rPr>
          <w:sz w:val="36"/>
          <w:szCs w:val="36"/>
          <w:rtl/>
        </w:rPr>
        <w:t>الجعل</w:t>
      </w:r>
      <w:r w:rsidR="00E8128F">
        <w:rPr>
          <w:sz w:val="36"/>
          <w:szCs w:val="36"/>
          <w:rtl/>
        </w:rPr>
        <w:t xml:space="preserve"> </w:t>
      </w:r>
      <w:r w:rsidR="0008424F" w:rsidRPr="00FD211F">
        <w:rPr>
          <w:sz w:val="36"/>
          <w:szCs w:val="36"/>
          <w:rtl/>
        </w:rPr>
        <w:t>الشرعي</w:t>
      </w:r>
      <w:r w:rsidR="00E8128F">
        <w:rPr>
          <w:sz w:val="36"/>
          <w:szCs w:val="36"/>
          <w:rtl/>
        </w:rPr>
        <w:t xml:space="preserve"> </w:t>
      </w:r>
      <w:r w:rsidR="0008424F" w:rsidRPr="00FD211F">
        <w:rPr>
          <w:sz w:val="36"/>
          <w:szCs w:val="36"/>
          <w:rtl/>
        </w:rPr>
        <w:t>الكلي</w:t>
      </w:r>
      <w:r w:rsidR="00603323" w:rsidRPr="00FD211F">
        <w:rPr>
          <w:sz w:val="36"/>
          <w:szCs w:val="36"/>
          <w:rtl/>
        </w:rPr>
        <w:t>،</w:t>
      </w:r>
      <w:r w:rsidR="00E8128F">
        <w:rPr>
          <w:sz w:val="36"/>
          <w:szCs w:val="36"/>
          <w:rtl/>
        </w:rPr>
        <w:t xml:space="preserve"> </w:t>
      </w:r>
      <w:r w:rsidR="0008424F" w:rsidRPr="00FD211F">
        <w:rPr>
          <w:sz w:val="36"/>
          <w:szCs w:val="36"/>
          <w:rtl/>
        </w:rPr>
        <w:t>فمثل</w:t>
      </w:r>
      <w:r w:rsidR="00E8128F">
        <w:rPr>
          <w:sz w:val="36"/>
          <w:szCs w:val="36"/>
          <w:rtl/>
        </w:rPr>
        <w:t xml:space="preserve"> </w:t>
      </w:r>
      <w:r w:rsidR="0008424F" w:rsidRPr="00FD211F">
        <w:rPr>
          <w:sz w:val="36"/>
          <w:szCs w:val="36"/>
          <w:rtl/>
        </w:rPr>
        <w:t>قاعد</w:t>
      </w:r>
      <w:r w:rsidR="00EC7EDF" w:rsidRPr="00FD211F">
        <w:rPr>
          <w:sz w:val="36"/>
          <w:szCs w:val="36"/>
          <w:rtl/>
        </w:rPr>
        <w:t>ة</w:t>
      </w:r>
      <w:r w:rsidR="00E8128F">
        <w:rPr>
          <w:sz w:val="36"/>
          <w:szCs w:val="36"/>
          <w:rtl/>
        </w:rPr>
        <w:t xml:space="preserve"> </w:t>
      </w:r>
      <w:r w:rsidR="0008424F" w:rsidRPr="00FD211F">
        <w:rPr>
          <w:sz w:val="36"/>
          <w:szCs w:val="36"/>
          <w:rtl/>
        </w:rPr>
        <w:t>ما</w:t>
      </w:r>
      <w:r w:rsidR="00E8128F">
        <w:rPr>
          <w:sz w:val="36"/>
          <w:szCs w:val="36"/>
          <w:rtl/>
        </w:rPr>
        <w:t xml:space="preserve"> </w:t>
      </w:r>
      <w:r w:rsidR="0008424F" w:rsidRPr="00FD211F">
        <w:rPr>
          <w:sz w:val="36"/>
          <w:szCs w:val="36"/>
          <w:rtl/>
        </w:rPr>
        <w:t>يضمن</w:t>
      </w:r>
      <w:r w:rsidR="00E8128F">
        <w:rPr>
          <w:sz w:val="36"/>
          <w:szCs w:val="36"/>
          <w:rtl/>
        </w:rPr>
        <w:t xml:space="preserve"> </w:t>
      </w:r>
      <w:r w:rsidR="0008424F" w:rsidRPr="00FD211F">
        <w:rPr>
          <w:sz w:val="36"/>
          <w:szCs w:val="36"/>
          <w:rtl/>
        </w:rPr>
        <w:t>بصحيحه</w:t>
      </w:r>
      <w:r w:rsidR="00E8128F">
        <w:rPr>
          <w:sz w:val="36"/>
          <w:szCs w:val="36"/>
          <w:rtl/>
        </w:rPr>
        <w:t xml:space="preserve"> </w:t>
      </w:r>
      <w:r w:rsidR="0008424F" w:rsidRPr="00FD211F">
        <w:rPr>
          <w:sz w:val="36"/>
          <w:szCs w:val="36"/>
          <w:rtl/>
        </w:rPr>
        <w:t>يضمن</w:t>
      </w:r>
      <w:r w:rsidR="00E8128F">
        <w:rPr>
          <w:sz w:val="36"/>
          <w:szCs w:val="36"/>
          <w:rtl/>
        </w:rPr>
        <w:t xml:space="preserve"> </w:t>
      </w:r>
      <w:r w:rsidR="0008424F" w:rsidRPr="00FD211F">
        <w:rPr>
          <w:sz w:val="36"/>
          <w:szCs w:val="36"/>
          <w:rtl/>
        </w:rPr>
        <w:t>بفاسده</w:t>
      </w:r>
      <w:r w:rsidR="00E8128F">
        <w:rPr>
          <w:sz w:val="36"/>
          <w:szCs w:val="36"/>
          <w:rtl/>
        </w:rPr>
        <w:t xml:space="preserve"> </w:t>
      </w:r>
      <w:r w:rsidR="0008424F" w:rsidRPr="00FD211F">
        <w:rPr>
          <w:sz w:val="36"/>
          <w:szCs w:val="36"/>
          <w:rtl/>
        </w:rPr>
        <w:t>لاتقع</w:t>
      </w:r>
      <w:r w:rsidR="00E8128F">
        <w:rPr>
          <w:sz w:val="36"/>
          <w:szCs w:val="36"/>
          <w:rtl/>
        </w:rPr>
        <w:t xml:space="preserve"> </w:t>
      </w:r>
      <w:r w:rsidR="0008424F" w:rsidRPr="00FD211F">
        <w:rPr>
          <w:sz w:val="36"/>
          <w:szCs w:val="36"/>
          <w:rtl/>
        </w:rPr>
        <w:t>في</w:t>
      </w:r>
      <w:r w:rsidR="00E8128F">
        <w:rPr>
          <w:sz w:val="36"/>
          <w:szCs w:val="36"/>
          <w:rtl/>
        </w:rPr>
        <w:t xml:space="preserve"> </w:t>
      </w:r>
      <w:r w:rsidR="0008424F" w:rsidRPr="00FD211F">
        <w:rPr>
          <w:sz w:val="36"/>
          <w:szCs w:val="36"/>
          <w:rtl/>
        </w:rPr>
        <w:t>طريق</w:t>
      </w:r>
      <w:r w:rsidR="00E8128F">
        <w:rPr>
          <w:sz w:val="36"/>
          <w:szCs w:val="36"/>
          <w:rtl/>
        </w:rPr>
        <w:t xml:space="preserve"> </w:t>
      </w:r>
      <w:r w:rsidR="0008424F" w:rsidRPr="00FD211F">
        <w:rPr>
          <w:sz w:val="36"/>
          <w:szCs w:val="36"/>
          <w:rtl/>
        </w:rPr>
        <w:t>استنباط</w:t>
      </w:r>
      <w:r w:rsidR="00E8128F">
        <w:rPr>
          <w:sz w:val="36"/>
          <w:szCs w:val="36"/>
          <w:rtl/>
        </w:rPr>
        <w:t xml:space="preserve"> </w:t>
      </w:r>
      <w:r w:rsidR="0008424F" w:rsidRPr="00FD211F">
        <w:rPr>
          <w:sz w:val="36"/>
          <w:szCs w:val="36"/>
          <w:rtl/>
        </w:rPr>
        <w:t>الجعل</w:t>
      </w:r>
      <w:r w:rsidR="00E8128F">
        <w:rPr>
          <w:sz w:val="36"/>
          <w:szCs w:val="36"/>
          <w:rtl/>
        </w:rPr>
        <w:t xml:space="preserve"> </w:t>
      </w:r>
      <w:r w:rsidR="0008424F" w:rsidRPr="00FD211F">
        <w:rPr>
          <w:sz w:val="36"/>
          <w:szCs w:val="36"/>
          <w:rtl/>
        </w:rPr>
        <w:t>الشرعي</w:t>
      </w:r>
      <w:r w:rsidR="00E8128F">
        <w:rPr>
          <w:sz w:val="36"/>
          <w:szCs w:val="36"/>
          <w:rtl/>
        </w:rPr>
        <w:t xml:space="preserve"> </w:t>
      </w:r>
      <w:r w:rsidR="0008424F" w:rsidRPr="00FD211F">
        <w:rPr>
          <w:sz w:val="36"/>
          <w:szCs w:val="36"/>
          <w:rtl/>
        </w:rPr>
        <w:t>الكلي</w:t>
      </w:r>
      <w:r w:rsidR="00603323" w:rsidRPr="00FD211F">
        <w:rPr>
          <w:sz w:val="36"/>
          <w:szCs w:val="36"/>
          <w:rtl/>
        </w:rPr>
        <w:t>،</w:t>
      </w:r>
      <w:r w:rsidR="00E8128F">
        <w:rPr>
          <w:sz w:val="36"/>
          <w:szCs w:val="36"/>
          <w:rtl/>
        </w:rPr>
        <w:t xml:space="preserve"> </w:t>
      </w:r>
      <w:r w:rsidR="0008424F" w:rsidRPr="00FD211F">
        <w:rPr>
          <w:sz w:val="36"/>
          <w:szCs w:val="36"/>
          <w:rtl/>
        </w:rPr>
        <w:t>فان</w:t>
      </w:r>
      <w:r w:rsidR="00E8128F">
        <w:rPr>
          <w:sz w:val="36"/>
          <w:szCs w:val="36"/>
          <w:rtl/>
        </w:rPr>
        <w:t xml:space="preserve"> </w:t>
      </w:r>
      <w:r w:rsidR="0008424F" w:rsidRPr="00FD211F">
        <w:rPr>
          <w:sz w:val="36"/>
          <w:szCs w:val="36"/>
          <w:rtl/>
        </w:rPr>
        <w:t>الجعل</w:t>
      </w:r>
      <w:r w:rsidR="00E8128F">
        <w:rPr>
          <w:sz w:val="36"/>
          <w:szCs w:val="36"/>
          <w:rtl/>
        </w:rPr>
        <w:t xml:space="preserve"> </w:t>
      </w:r>
      <w:r w:rsidR="0008424F" w:rsidRPr="00FD211F">
        <w:rPr>
          <w:sz w:val="36"/>
          <w:szCs w:val="36"/>
          <w:rtl/>
        </w:rPr>
        <w:t>الشرعي</w:t>
      </w:r>
      <w:r w:rsidR="00E8128F">
        <w:rPr>
          <w:sz w:val="36"/>
          <w:szCs w:val="36"/>
          <w:rtl/>
        </w:rPr>
        <w:t xml:space="preserve"> </w:t>
      </w:r>
      <w:r w:rsidR="0008424F" w:rsidRPr="00FD211F">
        <w:rPr>
          <w:sz w:val="36"/>
          <w:szCs w:val="36"/>
          <w:rtl/>
        </w:rPr>
        <w:t>متعلق</w:t>
      </w:r>
      <w:r w:rsidR="00E8128F">
        <w:rPr>
          <w:sz w:val="36"/>
          <w:szCs w:val="36"/>
          <w:rtl/>
        </w:rPr>
        <w:t xml:space="preserve"> </w:t>
      </w:r>
      <w:r w:rsidR="0008424F" w:rsidRPr="00FD211F">
        <w:rPr>
          <w:sz w:val="36"/>
          <w:szCs w:val="36"/>
          <w:rtl/>
        </w:rPr>
        <w:t>بنفس</w:t>
      </w:r>
      <w:r w:rsidR="00E8128F">
        <w:rPr>
          <w:sz w:val="36"/>
          <w:szCs w:val="36"/>
          <w:rtl/>
        </w:rPr>
        <w:t xml:space="preserve"> </w:t>
      </w:r>
      <w:r w:rsidR="0008424F" w:rsidRPr="00FD211F">
        <w:rPr>
          <w:sz w:val="36"/>
          <w:szCs w:val="36"/>
          <w:rtl/>
        </w:rPr>
        <w:t>مضمون</w:t>
      </w:r>
      <w:r w:rsidR="00E8128F">
        <w:rPr>
          <w:sz w:val="36"/>
          <w:szCs w:val="36"/>
          <w:rtl/>
        </w:rPr>
        <w:t xml:space="preserve"> </w:t>
      </w:r>
      <w:r w:rsidR="0008424F" w:rsidRPr="00FD211F">
        <w:rPr>
          <w:sz w:val="36"/>
          <w:szCs w:val="36"/>
          <w:rtl/>
        </w:rPr>
        <w:t>هذه</w:t>
      </w:r>
      <w:r w:rsidR="00E8128F">
        <w:rPr>
          <w:sz w:val="36"/>
          <w:szCs w:val="36"/>
          <w:rtl/>
        </w:rPr>
        <w:t xml:space="preserve"> </w:t>
      </w:r>
      <w:r w:rsidR="0008424F" w:rsidRPr="00FD211F">
        <w:rPr>
          <w:sz w:val="36"/>
          <w:szCs w:val="36"/>
          <w:rtl/>
        </w:rPr>
        <w:t>القاعد</w:t>
      </w:r>
      <w:r w:rsidR="00EC7EDF" w:rsidRPr="00FD211F">
        <w:rPr>
          <w:sz w:val="36"/>
          <w:szCs w:val="36"/>
          <w:rtl/>
        </w:rPr>
        <w:t>ة</w:t>
      </w:r>
      <w:r w:rsidR="00E8128F">
        <w:rPr>
          <w:sz w:val="36"/>
          <w:szCs w:val="36"/>
          <w:rtl/>
        </w:rPr>
        <w:t xml:space="preserve"> </w:t>
      </w:r>
      <w:r w:rsidR="0008424F" w:rsidRPr="00FD211F">
        <w:rPr>
          <w:sz w:val="36"/>
          <w:szCs w:val="36"/>
          <w:rtl/>
        </w:rPr>
        <w:t>التي</w:t>
      </w:r>
      <w:r w:rsidR="00E8128F">
        <w:rPr>
          <w:sz w:val="36"/>
          <w:szCs w:val="36"/>
          <w:rtl/>
        </w:rPr>
        <w:t xml:space="preserve"> </w:t>
      </w:r>
      <w:r w:rsidR="0008424F" w:rsidRPr="00FD211F">
        <w:rPr>
          <w:sz w:val="36"/>
          <w:szCs w:val="36"/>
          <w:rtl/>
        </w:rPr>
        <w:t>مرجعها</w:t>
      </w:r>
      <w:r w:rsidR="00E8128F">
        <w:rPr>
          <w:sz w:val="36"/>
          <w:szCs w:val="36"/>
          <w:rtl/>
        </w:rPr>
        <w:t xml:space="preserve"> </w:t>
      </w:r>
      <w:r w:rsidR="0008424F" w:rsidRPr="00FD211F">
        <w:rPr>
          <w:sz w:val="36"/>
          <w:szCs w:val="36"/>
          <w:rtl/>
        </w:rPr>
        <w:t>الى</w:t>
      </w:r>
      <w:r w:rsidR="00E8128F">
        <w:rPr>
          <w:sz w:val="36"/>
          <w:szCs w:val="36"/>
          <w:rtl/>
        </w:rPr>
        <w:t xml:space="preserve"> </w:t>
      </w:r>
      <w:r w:rsidR="0008424F" w:rsidRPr="00FD211F">
        <w:rPr>
          <w:sz w:val="36"/>
          <w:szCs w:val="36"/>
          <w:rtl/>
        </w:rPr>
        <w:t>جعل</w:t>
      </w:r>
      <w:r w:rsidR="00E8128F">
        <w:rPr>
          <w:sz w:val="36"/>
          <w:szCs w:val="36"/>
          <w:rtl/>
        </w:rPr>
        <w:t xml:space="preserve"> </w:t>
      </w:r>
      <w:r w:rsidR="0008424F" w:rsidRPr="00FD211F">
        <w:rPr>
          <w:sz w:val="36"/>
          <w:szCs w:val="36"/>
          <w:rtl/>
        </w:rPr>
        <w:t>الشارع</w:t>
      </w:r>
      <w:r w:rsidR="00E8128F">
        <w:rPr>
          <w:sz w:val="36"/>
          <w:szCs w:val="36"/>
          <w:rtl/>
        </w:rPr>
        <w:t xml:space="preserve"> </w:t>
      </w:r>
      <w:r w:rsidR="0008424F" w:rsidRPr="00FD211F">
        <w:rPr>
          <w:sz w:val="36"/>
          <w:szCs w:val="36"/>
          <w:rtl/>
        </w:rPr>
        <w:t>الضمان</w:t>
      </w:r>
      <w:r w:rsidR="00E8128F">
        <w:rPr>
          <w:sz w:val="36"/>
          <w:szCs w:val="36"/>
          <w:rtl/>
        </w:rPr>
        <w:t xml:space="preserve"> </w:t>
      </w:r>
      <w:r w:rsidR="0008424F" w:rsidRPr="00FD211F">
        <w:rPr>
          <w:sz w:val="36"/>
          <w:szCs w:val="36"/>
          <w:rtl/>
        </w:rPr>
        <w:t>باليد.</w:t>
      </w:r>
    </w:p>
    <w:p w14:paraId="3F97FF02" w14:textId="77777777" w:rsidR="000C5BBA" w:rsidRPr="00FD211F" w:rsidRDefault="00C136A9"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يمنع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قاعدة</w:t>
      </w:r>
      <w:r w:rsidR="00E8128F">
        <w:rPr>
          <w:sz w:val="36"/>
          <w:szCs w:val="36"/>
          <w:rtl/>
        </w:rPr>
        <w:t xml:space="preserve"> </w:t>
      </w:r>
      <w:r w:rsidRPr="00FD211F">
        <w:rPr>
          <w:sz w:val="36"/>
          <w:szCs w:val="36"/>
          <w:rtl/>
        </w:rPr>
        <w:t>لاحرج</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لاضرر</w:t>
      </w:r>
      <w:r w:rsidR="00E8128F">
        <w:rPr>
          <w:sz w:val="36"/>
          <w:szCs w:val="36"/>
          <w:rtl/>
        </w:rPr>
        <w:t xml:space="preserve"> </w:t>
      </w:r>
      <w:r w:rsidRPr="00FD211F">
        <w:rPr>
          <w:sz w:val="36"/>
          <w:szCs w:val="36"/>
          <w:rtl/>
        </w:rPr>
        <w:t>اصولية</w:t>
      </w:r>
      <w:r w:rsidR="00E8128F">
        <w:rPr>
          <w:sz w:val="36"/>
          <w:szCs w:val="36"/>
          <w:rtl/>
        </w:rPr>
        <w:t xml:space="preserve"> </w:t>
      </w:r>
      <w:r w:rsidRPr="00FD211F">
        <w:rPr>
          <w:sz w:val="36"/>
          <w:szCs w:val="36"/>
          <w:rtl/>
        </w:rPr>
        <w:t>بدعوى</w:t>
      </w:r>
      <w:r w:rsidR="00E8128F">
        <w:rPr>
          <w:sz w:val="36"/>
          <w:szCs w:val="36"/>
          <w:rtl/>
        </w:rPr>
        <w:t xml:space="preserve"> </w:t>
      </w:r>
      <w:r w:rsidRPr="00FD211F">
        <w:rPr>
          <w:sz w:val="36"/>
          <w:szCs w:val="36"/>
          <w:rtl/>
        </w:rPr>
        <w:t>أن</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استلزام</w:t>
      </w:r>
      <w:r w:rsidR="00E8128F">
        <w:rPr>
          <w:sz w:val="36"/>
          <w:szCs w:val="36"/>
          <w:rtl/>
        </w:rPr>
        <w:t xml:space="preserve"> </w:t>
      </w:r>
      <w:r w:rsidRPr="00FD211F">
        <w:rPr>
          <w:sz w:val="36"/>
          <w:szCs w:val="36"/>
          <w:rtl/>
        </w:rPr>
        <w:t>الضرر</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الحرج</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الشرائط</w:t>
      </w:r>
      <w:r w:rsidR="00E8128F">
        <w:rPr>
          <w:sz w:val="36"/>
          <w:szCs w:val="36"/>
          <w:rtl/>
        </w:rPr>
        <w:t xml:space="preserve"> </w:t>
      </w:r>
      <w:r w:rsidRPr="00FD211F">
        <w:rPr>
          <w:sz w:val="36"/>
          <w:szCs w:val="36"/>
          <w:rtl/>
        </w:rPr>
        <w:t>العامة</w:t>
      </w:r>
      <w:r w:rsidR="00E8128F">
        <w:rPr>
          <w:sz w:val="36"/>
          <w:szCs w:val="36"/>
          <w:rtl/>
        </w:rPr>
        <w:t xml:space="preserve"> </w:t>
      </w:r>
      <w:r w:rsidRPr="00FD211F">
        <w:rPr>
          <w:sz w:val="36"/>
          <w:szCs w:val="36"/>
          <w:rtl/>
        </w:rPr>
        <w:t>للتكليف</w:t>
      </w:r>
      <w:r w:rsidR="00E8128F">
        <w:rPr>
          <w:sz w:val="36"/>
          <w:szCs w:val="36"/>
          <w:rtl/>
        </w:rPr>
        <w:t xml:space="preserve"> </w:t>
      </w:r>
      <w:r w:rsidRPr="00FD211F">
        <w:rPr>
          <w:sz w:val="36"/>
          <w:szCs w:val="36"/>
          <w:rtl/>
        </w:rPr>
        <w:t>كالبلوغ</w:t>
      </w:r>
      <w:r w:rsidR="00E8128F">
        <w:rPr>
          <w:sz w:val="36"/>
          <w:szCs w:val="36"/>
          <w:rtl/>
        </w:rPr>
        <w:t xml:space="preserve"> </w:t>
      </w:r>
      <w:r w:rsidRPr="00FD211F">
        <w:rPr>
          <w:sz w:val="36"/>
          <w:szCs w:val="36"/>
          <w:rtl/>
        </w:rPr>
        <w:t>والعقل،</w:t>
      </w:r>
      <w:r w:rsidR="00E8128F">
        <w:rPr>
          <w:sz w:val="36"/>
          <w:szCs w:val="36"/>
          <w:rtl/>
        </w:rPr>
        <w:t xml:space="preserve"> </w:t>
      </w:r>
      <w:r w:rsidRPr="00FD211F">
        <w:rPr>
          <w:sz w:val="36"/>
          <w:szCs w:val="36"/>
          <w:rtl/>
        </w:rPr>
        <w:t>فكما</w:t>
      </w:r>
      <w:r w:rsidR="00E8128F">
        <w:rPr>
          <w:sz w:val="36"/>
          <w:szCs w:val="36"/>
          <w:rtl/>
        </w:rPr>
        <w:t xml:space="preserve"> </w:t>
      </w:r>
      <w:r w:rsidRPr="00FD211F">
        <w:rPr>
          <w:sz w:val="36"/>
          <w:szCs w:val="36"/>
          <w:rtl/>
        </w:rPr>
        <w:t>أن</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w:t>
      </w:r>
      <w:r w:rsidR="00BD2C8A" w:rsidRPr="00FD211F">
        <w:rPr>
          <w:sz w:val="36"/>
          <w:szCs w:val="36"/>
          <w:rtl/>
        </w:rPr>
        <w:t>ن</w:t>
      </w:r>
      <w:r w:rsidR="00E8128F">
        <w:rPr>
          <w:sz w:val="36"/>
          <w:szCs w:val="36"/>
          <w:rtl/>
        </w:rPr>
        <w:t xml:space="preserve"> </w:t>
      </w:r>
      <w:r w:rsidR="00BD2C8A" w:rsidRPr="00FD211F">
        <w:rPr>
          <w:sz w:val="36"/>
          <w:szCs w:val="36"/>
          <w:rtl/>
        </w:rPr>
        <w:t>شرطية</w:t>
      </w:r>
      <w:r w:rsidR="00E8128F">
        <w:rPr>
          <w:sz w:val="36"/>
          <w:szCs w:val="36"/>
          <w:rtl/>
        </w:rPr>
        <w:t xml:space="preserve"> </w:t>
      </w:r>
      <w:r w:rsidR="00BD2C8A" w:rsidRPr="00FD211F">
        <w:rPr>
          <w:sz w:val="36"/>
          <w:szCs w:val="36"/>
          <w:rtl/>
        </w:rPr>
        <w:t>البلوغ</w:t>
      </w:r>
      <w:r w:rsidR="00E8128F">
        <w:rPr>
          <w:sz w:val="36"/>
          <w:szCs w:val="36"/>
          <w:rtl/>
        </w:rPr>
        <w:t xml:space="preserve"> </w:t>
      </w:r>
      <w:r w:rsidR="00BD2C8A" w:rsidRPr="00FD211F">
        <w:rPr>
          <w:sz w:val="36"/>
          <w:szCs w:val="36"/>
          <w:rtl/>
        </w:rPr>
        <w:t>مسألة</w:t>
      </w:r>
      <w:r w:rsidR="00E8128F">
        <w:rPr>
          <w:sz w:val="36"/>
          <w:szCs w:val="36"/>
          <w:rtl/>
        </w:rPr>
        <w:t xml:space="preserve"> </w:t>
      </w:r>
      <w:r w:rsidR="00BD2C8A" w:rsidRPr="00FD211F">
        <w:rPr>
          <w:sz w:val="36"/>
          <w:szCs w:val="36"/>
          <w:rtl/>
        </w:rPr>
        <w:t>فقهية</w:t>
      </w:r>
      <w:r w:rsidR="00E8128F">
        <w:rPr>
          <w:sz w:val="36"/>
          <w:szCs w:val="36"/>
          <w:rtl/>
        </w:rPr>
        <w:t xml:space="preserve"> </w:t>
      </w:r>
      <w:r w:rsidR="00BD2C8A" w:rsidRPr="00FD211F">
        <w:rPr>
          <w:sz w:val="36"/>
          <w:szCs w:val="36"/>
          <w:rtl/>
        </w:rPr>
        <w:t>وليس</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المسائل</w:t>
      </w:r>
      <w:r w:rsidR="00E8128F">
        <w:rPr>
          <w:sz w:val="36"/>
          <w:szCs w:val="36"/>
          <w:rtl/>
        </w:rPr>
        <w:t xml:space="preserve"> </w:t>
      </w:r>
      <w:r w:rsidRPr="00FD211F">
        <w:rPr>
          <w:sz w:val="36"/>
          <w:szCs w:val="36"/>
          <w:rtl/>
        </w:rPr>
        <w:t>الاصولية</w:t>
      </w:r>
      <w:r w:rsidR="00E8128F">
        <w:rPr>
          <w:sz w:val="36"/>
          <w:szCs w:val="36"/>
          <w:rtl/>
        </w:rPr>
        <w:t xml:space="preserve"> </w:t>
      </w:r>
      <w:r w:rsidRPr="00FD211F">
        <w:rPr>
          <w:sz w:val="36"/>
          <w:szCs w:val="36"/>
          <w:rtl/>
        </w:rPr>
        <w:t>فكذلك</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شرطية</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الضرر</w:t>
      </w:r>
      <w:r w:rsidR="00E8128F">
        <w:rPr>
          <w:sz w:val="36"/>
          <w:szCs w:val="36"/>
          <w:rtl/>
        </w:rPr>
        <w:t xml:space="preserve"> </w:t>
      </w:r>
      <w:r w:rsidRPr="00FD211F">
        <w:rPr>
          <w:sz w:val="36"/>
          <w:szCs w:val="36"/>
          <w:rtl/>
        </w:rPr>
        <w:t>والحرج،</w:t>
      </w:r>
      <w:r w:rsidR="00E8128F">
        <w:rPr>
          <w:sz w:val="36"/>
          <w:szCs w:val="36"/>
          <w:rtl/>
        </w:rPr>
        <w:t xml:space="preserve"> </w:t>
      </w:r>
      <w:r w:rsidR="00D46667" w:rsidRPr="00FD211F">
        <w:rPr>
          <w:sz w:val="36"/>
          <w:szCs w:val="36"/>
          <w:rtl/>
        </w:rPr>
        <w:t>ولكن</w:t>
      </w:r>
      <w:r w:rsidR="00E8128F">
        <w:rPr>
          <w:sz w:val="36"/>
          <w:szCs w:val="36"/>
          <w:rtl/>
        </w:rPr>
        <w:t xml:space="preserve"> </w:t>
      </w:r>
      <w:r w:rsidR="00D46667" w:rsidRPr="00FD211F">
        <w:rPr>
          <w:sz w:val="36"/>
          <w:szCs w:val="36"/>
          <w:rtl/>
        </w:rPr>
        <w:t>يمكن</w:t>
      </w:r>
      <w:r w:rsidR="00E8128F">
        <w:rPr>
          <w:sz w:val="36"/>
          <w:szCs w:val="36"/>
          <w:rtl/>
        </w:rPr>
        <w:t xml:space="preserve"> </w:t>
      </w:r>
      <w:r w:rsidR="00D46667" w:rsidRPr="00FD211F">
        <w:rPr>
          <w:sz w:val="36"/>
          <w:szCs w:val="36"/>
          <w:rtl/>
        </w:rPr>
        <w:t>أن</w:t>
      </w:r>
      <w:r w:rsidR="00E8128F">
        <w:rPr>
          <w:sz w:val="36"/>
          <w:szCs w:val="36"/>
          <w:rtl/>
        </w:rPr>
        <w:t xml:space="preserve"> </w:t>
      </w:r>
      <w:r w:rsidR="00D46667" w:rsidRPr="00FD211F">
        <w:rPr>
          <w:sz w:val="36"/>
          <w:szCs w:val="36"/>
          <w:rtl/>
        </w:rPr>
        <w:t>يقال</w:t>
      </w:r>
      <w:r w:rsidR="00E8128F">
        <w:rPr>
          <w:sz w:val="36"/>
          <w:szCs w:val="36"/>
          <w:rtl/>
        </w:rPr>
        <w:t xml:space="preserve"> </w:t>
      </w:r>
      <w:r w:rsidR="00D46667" w:rsidRPr="00FD211F">
        <w:rPr>
          <w:sz w:val="36"/>
          <w:szCs w:val="36"/>
          <w:rtl/>
        </w:rPr>
        <w:t>بأنه</w:t>
      </w:r>
      <w:r w:rsidR="00E8128F">
        <w:rPr>
          <w:sz w:val="36"/>
          <w:szCs w:val="36"/>
          <w:rtl/>
        </w:rPr>
        <w:t xml:space="preserve"> </w:t>
      </w:r>
      <w:r w:rsidR="00D46667" w:rsidRPr="00FD211F">
        <w:rPr>
          <w:sz w:val="36"/>
          <w:szCs w:val="36"/>
          <w:rtl/>
        </w:rPr>
        <w:t>لامحذور</w:t>
      </w:r>
      <w:r w:rsidR="00E8128F">
        <w:rPr>
          <w:sz w:val="36"/>
          <w:szCs w:val="36"/>
          <w:rtl/>
        </w:rPr>
        <w:t xml:space="preserve"> </w:t>
      </w:r>
      <w:r w:rsidR="00D46667" w:rsidRPr="00FD211F">
        <w:rPr>
          <w:sz w:val="36"/>
          <w:szCs w:val="36"/>
          <w:rtl/>
        </w:rPr>
        <w:t>في</w:t>
      </w:r>
      <w:r w:rsidR="00E8128F">
        <w:rPr>
          <w:sz w:val="36"/>
          <w:szCs w:val="36"/>
          <w:rtl/>
        </w:rPr>
        <w:t xml:space="preserve"> </w:t>
      </w:r>
      <w:r w:rsidR="00D46667" w:rsidRPr="00FD211F">
        <w:rPr>
          <w:sz w:val="36"/>
          <w:szCs w:val="36"/>
          <w:rtl/>
        </w:rPr>
        <w:t>الالتزام</w:t>
      </w:r>
      <w:r w:rsidR="00E8128F">
        <w:rPr>
          <w:sz w:val="36"/>
          <w:szCs w:val="36"/>
          <w:rtl/>
        </w:rPr>
        <w:t xml:space="preserve"> </w:t>
      </w:r>
      <w:r w:rsidR="00D46667" w:rsidRPr="00FD211F">
        <w:rPr>
          <w:sz w:val="36"/>
          <w:szCs w:val="36"/>
          <w:rtl/>
        </w:rPr>
        <w:t>ب</w:t>
      </w:r>
      <w:r w:rsidR="00BD2C8A" w:rsidRPr="00FD211F">
        <w:rPr>
          <w:sz w:val="36"/>
          <w:szCs w:val="36"/>
          <w:rtl/>
        </w:rPr>
        <w:t>امكان</w:t>
      </w:r>
      <w:r w:rsidR="00E8128F">
        <w:rPr>
          <w:sz w:val="36"/>
          <w:szCs w:val="36"/>
          <w:rtl/>
        </w:rPr>
        <w:t xml:space="preserve"> </w:t>
      </w:r>
      <w:r w:rsidR="00BD2C8A" w:rsidRPr="00FD211F">
        <w:rPr>
          <w:sz w:val="36"/>
          <w:szCs w:val="36"/>
          <w:rtl/>
        </w:rPr>
        <w:t>ادراج</w:t>
      </w:r>
      <w:r w:rsidR="00E8128F">
        <w:rPr>
          <w:sz w:val="36"/>
          <w:szCs w:val="36"/>
          <w:rtl/>
        </w:rPr>
        <w:t xml:space="preserve"> </w:t>
      </w:r>
      <w:r w:rsidR="00BD2C8A" w:rsidRPr="00FD211F">
        <w:rPr>
          <w:sz w:val="36"/>
          <w:szCs w:val="36"/>
          <w:rtl/>
        </w:rPr>
        <w:t>البحث</w:t>
      </w:r>
      <w:r w:rsidR="00E8128F">
        <w:rPr>
          <w:sz w:val="36"/>
          <w:szCs w:val="36"/>
          <w:rtl/>
        </w:rPr>
        <w:t xml:space="preserve"> </w:t>
      </w:r>
      <w:r w:rsidR="00BD2C8A" w:rsidRPr="00FD211F">
        <w:rPr>
          <w:sz w:val="36"/>
          <w:szCs w:val="36"/>
          <w:rtl/>
        </w:rPr>
        <w:t>عن</w:t>
      </w:r>
      <w:r w:rsidR="00E8128F">
        <w:rPr>
          <w:sz w:val="36"/>
          <w:szCs w:val="36"/>
          <w:rtl/>
        </w:rPr>
        <w:t xml:space="preserve"> </w:t>
      </w:r>
      <w:r w:rsidR="00BD2C8A" w:rsidRPr="00FD211F">
        <w:rPr>
          <w:sz w:val="36"/>
          <w:szCs w:val="36"/>
          <w:rtl/>
        </w:rPr>
        <w:t>الشرائط</w:t>
      </w:r>
      <w:r w:rsidR="00E8128F">
        <w:rPr>
          <w:sz w:val="36"/>
          <w:szCs w:val="36"/>
          <w:rtl/>
        </w:rPr>
        <w:t xml:space="preserve"> </w:t>
      </w:r>
      <w:r w:rsidR="00BD2C8A" w:rsidRPr="00FD211F">
        <w:rPr>
          <w:sz w:val="36"/>
          <w:szCs w:val="36"/>
          <w:rtl/>
        </w:rPr>
        <w:t>العامة</w:t>
      </w:r>
      <w:r w:rsidR="00E8128F">
        <w:rPr>
          <w:sz w:val="36"/>
          <w:szCs w:val="36"/>
          <w:rtl/>
        </w:rPr>
        <w:t xml:space="preserve"> </w:t>
      </w:r>
      <w:r w:rsidR="00BD2C8A" w:rsidRPr="00FD211F">
        <w:rPr>
          <w:sz w:val="36"/>
          <w:szCs w:val="36"/>
          <w:rtl/>
        </w:rPr>
        <w:t>للتكليف</w:t>
      </w:r>
      <w:r w:rsidR="00E8128F">
        <w:rPr>
          <w:sz w:val="36"/>
          <w:szCs w:val="36"/>
          <w:rtl/>
        </w:rPr>
        <w:t xml:space="preserve"> </w:t>
      </w:r>
      <w:r w:rsidR="00BD2C8A" w:rsidRPr="00FD211F">
        <w:rPr>
          <w:sz w:val="36"/>
          <w:szCs w:val="36"/>
          <w:rtl/>
        </w:rPr>
        <w:t>من</w:t>
      </w:r>
      <w:r w:rsidR="00E8128F">
        <w:rPr>
          <w:sz w:val="36"/>
          <w:szCs w:val="36"/>
          <w:rtl/>
        </w:rPr>
        <w:t xml:space="preserve"> </w:t>
      </w:r>
      <w:r w:rsidR="00BD2C8A" w:rsidRPr="00FD211F">
        <w:rPr>
          <w:sz w:val="36"/>
          <w:szCs w:val="36"/>
          <w:rtl/>
        </w:rPr>
        <w:t>المسائل</w:t>
      </w:r>
      <w:r w:rsidR="00E8128F">
        <w:rPr>
          <w:sz w:val="36"/>
          <w:szCs w:val="36"/>
          <w:rtl/>
        </w:rPr>
        <w:t xml:space="preserve"> </w:t>
      </w:r>
      <w:r w:rsidR="00BD2C8A" w:rsidRPr="00FD211F">
        <w:rPr>
          <w:sz w:val="36"/>
          <w:szCs w:val="36"/>
          <w:rtl/>
        </w:rPr>
        <w:t>الاصولية،</w:t>
      </w:r>
      <w:r w:rsidR="00E8128F">
        <w:rPr>
          <w:sz w:val="36"/>
          <w:szCs w:val="36"/>
          <w:rtl/>
        </w:rPr>
        <w:t xml:space="preserve"> </w:t>
      </w:r>
      <w:r w:rsidR="00BD2C8A" w:rsidRPr="00FD211F">
        <w:rPr>
          <w:sz w:val="36"/>
          <w:szCs w:val="36"/>
          <w:rtl/>
        </w:rPr>
        <w:t>بعد</w:t>
      </w:r>
      <w:r w:rsidR="00E8128F">
        <w:rPr>
          <w:sz w:val="36"/>
          <w:szCs w:val="36"/>
          <w:rtl/>
        </w:rPr>
        <w:t xml:space="preserve"> </w:t>
      </w:r>
      <w:r w:rsidR="00BD2C8A" w:rsidRPr="00FD211F">
        <w:rPr>
          <w:sz w:val="36"/>
          <w:szCs w:val="36"/>
          <w:rtl/>
        </w:rPr>
        <w:t>وقوعهما</w:t>
      </w:r>
      <w:r w:rsidR="00E8128F">
        <w:rPr>
          <w:sz w:val="36"/>
          <w:szCs w:val="36"/>
          <w:rtl/>
        </w:rPr>
        <w:t xml:space="preserve"> </w:t>
      </w:r>
      <w:r w:rsidR="00BD2C8A" w:rsidRPr="00FD211F">
        <w:rPr>
          <w:sz w:val="36"/>
          <w:szCs w:val="36"/>
          <w:rtl/>
        </w:rPr>
        <w:t>في</w:t>
      </w:r>
      <w:r w:rsidR="00E8128F">
        <w:rPr>
          <w:sz w:val="36"/>
          <w:szCs w:val="36"/>
          <w:rtl/>
        </w:rPr>
        <w:t xml:space="preserve"> </w:t>
      </w:r>
      <w:r w:rsidR="003C4B9A" w:rsidRPr="00FD211F">
        <w:rPr>
          <w:sz w:val="36"/>
          <w:szCs w:val="36"/>
          <w:rtl/>
        </w:rPr>
        <w:t>طريق</w:t>
      </w:r>
      <w:r w:rsidR="00E8128F">
        <w:rPr>
          <w:sz w:val="36"/>
          <w:szCs w:val="36"/>
          <w:rtl/>
        </w:rPr>
        <w:t xml:space="preserve"> </w:t>
      </w:r>
      <w:r w:rsidR="003C4B9A" w:rsidRPr="00FD211F">
        <w:rPr>
          <w:sz w:val="36"/>
          <w:szCs w:val="36"/>
          <w:rtl/>
        </w:rPr>
        <w:t>اقامة</w:t>
      </w:r>
      <w:r w:rsidR="00E8128F">
        <w:rPr>
          <w:sz w:val="36"/>
          <w:szCs w:val="36"/>
          <w:rtl/>
        </w:rPr>
        <w:t xml:space="preserve"> </w:t>
      </w:r>
      <w:r w:rsidR="003C4B9A" w:rsidRPr="00FD211F">
        <w:rPr>
          <w:sz w:val="36"/>
          <w:szCs w:val="36"/>
          <w:rtl/>
        </w:rPr>
        <w:t>الحجة</w:t>
      </w:r>
      <w:r w:rsidR="00E8128F">
        <w:rPr>
          <w:sz w:val="36"/>
          <w:szCs w:val="36"/>
          <w:rtl/>
        </w:rPr>
        <w:t xml:space="preserve"> </w:t>
      </w:r>
      <w:r w:rsidR="003C4B9A" w:rsidRPr="00FD211F">
        <w:rPr>
          <w:sz w:val="36"/>
          <w:szCs w:val="36"/>
          <w:rtl/>
        </w:rPr>
        <w:t>على</w:t>
      </w:r>
      <w:r w:rsidR="00E8128F">
        <w:rPr>
          <w:sz w:val="36"/>
          <w:szCs w:val="36"/>
          <w:rtl/>
        </w:rPr>
        <w:t xml:space="preserve"> </w:t>
      </w:r>
      <w:r w:rsidR="003C4B9A" w:rsidRPr="00FD211F">
        <w:rPr>
          <w:sz w:val="36"/>
          <w:szCs w:val="36"/>
          <w:rtl/>
        </w:rPr>
        <w:t>الحكم</w:t>
      </w:r>
      <w:r w:rsidR="00E8128F">
        <w:rPr>
          <w:sz w:val="36"/>
          <w:szCs w:val="36"/>
          <w:rtl/>
        </w:rPr>
        <w:t xml:space="preserve"> </w:t>
      </w:r>
      <w:r w:rsidR="003C4B9A" w:rsidRPr="00FD211F">
        <w:rPr>
          <w:sz w:val="36"/>
          <w:szCs w:val="36"/>
          <w:rtl/>
        </w:rPr>
        <w:t>الشرعي.</w:t>
      </w:r>
    </w:p>
    <w:p w14:paraId="451ECE5C" w14:textId="77777777" w:rsidR="008F7B6E" w:rsidRPr="00FD211F" w:rsidRDefault="0008424F" w:rsidP="009C58C8">
      <w:pPr>
        <w:ind w:left="0" w:firstLine="227"/>
        <w:jc w:val="both"/>
        <w:rPr>
          <w:sz w:val="36"/>
          <w:szCs w:val="36"/>
          <w:rtl/>
        </w:rPr>
      </w:pPr>
      <w:r w:rsidRPr="00FD211F">
        <w:rPr>
          <w:sz w:val="36"/>
          <w:szCs w:val="36"/>
          <w:rtl/>
        </w:rPr>
        <w:t>وأما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003C4B9A" w:rsidRPr="00FD211F">
        <w:rPr>
          <w:sz w:val="36"/>
          <w:szCs w:val="36"/>
          <w:rtl/>
        </w:rPr>
        <w:t>السيد</w:t>
      </w:r>
      <w:r w:rsidR="00E8128F">
        <w:rPr>
          <w:sz w:val="36"/>
          <w:szCs w:val="36"/>
          <w:rtl/>
        </w:rPr>
        <w:t xml:space="preserve"> </w:t>
      </w:r>
      <w:r w:rsidR="003C4B9A" w:rsidRPr="00FD211F">
        <w:rPr>
          <w:sz w:val="36"/>
          <w:szCs w:val="36"/>
          <w:rtl/>
        </w:rPr>
        <w:t>الصدر</w:t>
      </w:r>
      <w:r w:rsidR="00E8128F">
        <w:rPr>
          <w:sz w:val="36"/>
          <w:szCs w:val="36"/>
          <w:rtl/>
        </w:rPr>
        <w:t xml:space="preserve"> </w:t>
      </w:r>
      <w:r w:rsidR="0044452A" w:rsidRPr="00FD211F">
        <w:rPr>
          <w:sz w:val="36"/>
          <w:szCs w:val="36"/>
          <w:rtl/>
        </w:rPr>
        <w:t>"</w:t>
      </w:r>
      <w:r w:rsidRPr="00FD211F">
        <w:rPr>
          <w:sz w:val="36"/>
          <w:szCs w:val="36"/>
          <w:rtl/>
        </w:rPr>
        <w:t>قده</w:t>
      </w:r>
      <w:r w:rsidR="0044452A"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00347A8C" w:rsidRPr="00FD211F">
        <w:rPr>
          <w:sz w:val="36"/>
          <w:szCs w:val="36"/>
          <w:rtl/>
        </w:rPr>
        <w:t>لزوم</w:t>
      </w:r>
      <w:r w:rsidR="00E8128F">
        <w:rPr>
          <w:sz w:val="36"/>
          <w:szCs w:val="36"/>
          <w:rtl/>
        </w:rPr>
        <w:t xml:space="preserve"> </w:t>
      </w:r>
      <w:r w:rsidR="00347A8C" w:rsidRPr="00FD211F">
        <w:rPr>
          <w:sz w:val="36"/>
          <w:szCs w:val="36"/>
          <w:rtl/>
        </w:rPr>
        <w:t>اخذ</w:t>
      </w:r>
      <w:r w:rsidR="00E8128F">
        <w:rPr>
          <w:sz w:val="36"/>
          <w:szCs w:val="36"/>
          <w:rtl/>
        </w:rPr>
        <w:t xml:space="preserve"> </w:t>
      </w:r>
      <w:r w:rsidR="00347A8C" w:rsidRPr="00FD211F">
        <w:rPr>
          <w:sz w:val="36"/>
          <w:szCs w:val="36"/>
          <w:rtl/>
        </w:rPr>
        <w:t>قيد</w:t>
      </w:r>
      <w:r w:rsidR="00E8128F">
        <w:rPr>
          <w:sz w:val="36"/>
          <w:szCs w:val="36"/>
          <w:rtl/>
        </w:rPr>
        <w:t xml:space="preserve"> </w:t>
      </w:r>
      <w:r w:rsidR="00347A8C" w:rsidRPr="00FD211F">
        <w:rPr>
          <w:sz w:val="36"/>
          <w:szCs w:val="36"/>
          <w:rtl/>
        </w:rPr>
        <w:t>الاشتراك</w:t>
      </w:r>
      <w:r w:rsidR="00E8128F">
        <w:rPr>
          <w:sz w:val="36"/>
          <w:szCs w:val="36"/>
          <w:rtl/>
        </w:rPr>
        <w:t xml:space="preserve"> </w:t>
      </w:r>
      <w:r w:rsidR="00347A8C" w:rsidRPr="00FD211F">
        <w:rPr>
          <w:sz w:val="36"/>
          <w:szCs w:val="36"/>
          <w:rtl/>
        </w:rPr>
        <w:t>ف</w:t>
      </w:r>
      <w:r w:rsidR="0021345E" w:rsidRPr="00FD211F">
        <w:rPr>
          <w:sz w:val="36"/>
          <w:szCs w:val="36"/>
          <w:rtl/>
        </w:rPr>
        <w:t>هو</w:t>
      </w:r>
      <w:r w:rsidR="00E8128F">
        <w:rPr>
          <w:sz w:val="36"/>
          <w:szCs w:val="36"/>
          <w:rtl/>
        </w:rPr>
        <w:t xml:space="preserve"> </w:t>
      </w:r>
      <w:r w:rsidR="0021345E" w:rsidRPr="00FD211F">
        <w:rPr>
          <w:sz w:val="36"/>
          <w:szCs w:val="36"/>
          <w:rtl/>
        </w:rPr>
        <w:t>متين</w:t>
      </w:r>
      <w:r w:rsidR="00603323" w:rsidRPr="00FD211F">
        <w:rPr>
          <w:sz w:val="36"/>
          <w:szCs w:val="36"/>
          <w:rtl/>
        </w:rPr>
        <w:t>،</w:t>
      </w:r>
      <w:r w:rsidR="00E8128F">
        <w:rPr>
          <w:sz w:val="36"/>
          <w:szCs w:val="36"/>
          <w:rtl/>
        </w:rPr>
        <w:t xml:space="preserve"> </w:t>
      </w:r>
      <w:r w:rsidR="007435FF" w:rsidRPr="00FD211F">
        <w:rPr>
          <w:sz w:val="36"/>
          <w:szCs w:val="36"/>
          <w:rtl/>
        </w:rPr>
        <w:t>فان</w:t>
      </w:r>
      <w:r w:rsidR="00E8128F">
        <w:rPr>
          <w:sz w:val="36"/>
          <w:szCs w:val="36"/>
          <w:rtl/>
        </w:rPr>
        <w:t xml:space="preserve"> </w:t>
      </w:r>
      <w:r w:rsidR="007435FF" w:rsidRPr="00FD211F">
        <w:rPr>
          <w:sz w:val="36"/>
          <w:szCs w:val="36"/>
          <w:rtl/>
        </w:rPr>
        <w:t>المقام</w:t>
      </w:r>
      <w:r w:rsidR="00E8128F">
        <w:rPr>
          <w:sz w:val="36"/>
          <w:szCs w:val="36"/>
          <w:rtl/>
        </w:rPr>
        <w:t xml:space="preserve"> </w:t>
      </w:r>
      <w:r w:rsidR="007435FF" w:rsidRPr="00FD211F">
        <w:rPr>
          <w:sz w:val="36"/>
          <w:szCs w:val="36"/>
          <w:rtl/>
        </w:rPr>
        <w:t>كما</w:t>
      </w:r>
      <w:r w:rsidR="00E8128F">
        <w:rPr>
          <w:sz w:val="36"/>
          <w:szCs w:val="36"/>
          <w:rtl/>
        </w:rPr>
        <w:t xml:space="preserve"> </w:t>
      </w:r>
      <w:r w:rsidR="007435FF" w:rsidRPr="00FD211F">
        <w:rPr>
          <w:sz w:val="36"/>
          <w:szCs w:val="36"/>
          <w:rtl/>
        </w:rPr>
        <w:t>مر</w:t>
      </w:r>
      <w:r w:rsidR="00E8128F">
        <w:rPr>
          <w:sz w:val="36"/>
          <w:szCs w:val="36"/>
          <w:rtl/>
        </w:rPr>
        <w:t xml:space="preserve"> </w:t>
      </w:r>
      <w:r w:rsidR="007435FF" w:rsidRPr="00FD211F">
        <w:rPr>
          <w:sz w:val="36"/>
          <w:szCs w:val="36"/>
          <w:rtl/>
        </w:rPr>
        <w:t>ليس</w:t>
      </w:r>
      <w:r w:rsidR="00E8128F">
        <w:rPr>
          <w:sz w:val="36"/>
          <w:szCs w:val="36"/>
          <w:rtl/>
        </w:rPr>
        <w:t xml:space="preserve"> </w:t>
      </w:r>
      <w:r w:rsidR="007435FF" w:rsidRPr="00FD211F">
        <w:rPr>
          <w:sz w:val="36"/>
          <w:szCs w:val="36"/>
          <w:rtl/>
        </w:rPr>
        <w:t>مقام</w:t>
      </w:r>
      <w:r w:rsidR="00E8128F">
        <w:rPr>
          <w:sz w:val="36"/>
          <w:szCs w:val="36"/>
          <w:rtl/>
        </w:rPr>
        <w:t xml:space="preserve"> </w:t>
      </w:r>
      <w:r w:rsidR="007435FF" w:rsidRPr="00FD211F">
        <w:rPr>
          <w:sz w:val="36"/>
          <w:szCs w:val="36"/>
          <w:rtl/>
        </w:rPr>
        <w:t>برهان</w:t>
      </w:r>
      <w:r w:rsidR="00E8128F">
        <w:rPr>
          <w:sz w:val="36"/>
          <w:szCs w:val="36"/>
          <w:rtl/>
        </w:rPr>
        <w:t xml:space="preserve"> </w:t>
      </w:r>
      <w:r w:rsidR="007435FF" w:rsidRPr="00FD211F">
        <w:rPr>
          <w:sz w:val="36"/>
          <w:szCs w:val="36"/>
          <w:rtl/>
        </w:rPr>
        <w:t>بل</w:t>
      </w:r>
      <w:r w:rsidR="00E8128F">
        <w:rPr>
          <w:sz w:val="36"/>
          <w:szCs w:val="36"/>
          <w:rtl/>
        </w:rPr>
        <w:t xml:space="preserve"> </w:t>
      </w:r>
      <w:r w:rsidR="007435FF" w:rsidRPr="00FD211F">
        <w:rPr>
          <w:sz w:val="36"/>
          <w:szCs w:val="36"/>
          <w:rtl/>
        </w:rPr>
        <w:t>لابد</w:t>
      </w:r>
      <w:r w:rsidR="00E8128F">
        <w:rPr>
          <w:sz w:val="36"/>
          <w:szCs w:val="36"/>
          <w:rtl/>
        </w:rPr>
        <w:t xml:space="preserve"> </w:t>
      </w:r>
      <w:r w:rsidR="007435FF" w:rsidRPr="00FD211F">
        <w:rPr>
          <w:sz w:val="36"/>
          <w:szCs w:val="36"/>
          <w:rtl/>
        </w:rPr>
        <w:t>من</w:t>
      </w:r>
      <w:r w:rsidR="00E8128F">
        <w:rPr>
          <w:sz w:val="36"/>
          <w:szCs w:val="36"/>
          <w:rtl/>
        </w:rPr>
        <w:t xml:space="preserve"> </w:t>
      </w:r>
      <w:r w:rsidR="007435FF" w:rsidRPr="00FD211F">
        <w:rPr>
          <w:sz w:val="36"/>
          <w:szCs w:val="36"/>
          <w:rtl/>
        </w:rPr>
        <w:t>ملاحظ</w:t>
      </w:r>
      <w:r w:rsidR="00EC7EDF" w:rsidRPr="00FD211F">
        <w:rPr>
          <w:sz w:val="36"/>
          <w:szCs w:val="36"/>
          <w:rtl/>
        </w:rPr>
        <w:t>ة</w:t>
      </w:r>
      <w:r w:rsidR="00E8128F">
        <w:rPr>
          <w:sz w:val="36"/>
          <w:szCs w:val="36"/>
          <w:rtl/>
        </w:rPr>
        <w:t xml:space="preserve"> </w:t>
      </w:r>
      <w:r w:rsidR="007435FF" w:rsidRPr="00FD211F">
        <w:rPr>
          <w:sz w:val="36"/>
          <w:szCs w:val="36"/>
          <w:rtl/>
        </w:rPr>
        <w:t>نظر</w:t>
      </w:r>
      <w:r w:rsidR="00E8128F">
        <w:rPr>
          <w:sz w:val="36"/>
          <w:szCs w:val="36"/>
          <w:rtl/>
        </w:rPr>
        <w:t xml:space="preserve"> </w:t>
      </w:r>
      <w:r w:rsidR="007435FF" w:rsidRPr="00FD211F">
        <w:rPr>
          <w:sz w:val="36"/>
          <w:szCs w:val="36"/>
          <w:rtl/>
        </w:rPr>
        <w:t>المدو</w:t>
      </w:r>
      <w:r w:rsidR="001F1BE3" w:rsidRPr="00FD211F">
        <w:rPr>
          <w:sz w:val="36"/>
          <w:szCs w:val="36"/>
          <w:rtl/>
        </w:rPr>
        <w:t>ِّ</w:t>
      </w:r>
      <w:r w:rsidR="007435FF" w:rsidRPr="00FD211F">
        <w:rPr>
          <w:sz w:val="36"/>
          <w:szCs w:val="36"/>
          <w:rtl/>
        </w:rPr>
        <w:t>ن</w:t>
      </w:r>
      <w:r w:rsidR="00E8128F">
        <w:rPr>
          <w:sz w:val="36"/>
          <w:szCs w:val="36"/>
          <w:rtl/>
        </w:rPr>
        <w:t xml:space="preserve"> </w:t>
      </w:r>
      <w:r w:rsidR="007435FF" w:rsidRPr="00FD211F">
        <w:rPr>
          <w:sz w:val="36"/>
          <w:szCs w:val="36"/>
          <w:rtl/>
        </w:rPr>
        <w:t>لعلم</w:t>
      </w:r>
      <w:r w:rsidR="00E8128F">
        <w:rPr>
          <w:sz w:val="36"/>
          <w:szCs w:val="36"/>
          <w:rtl/>
        </w:rPr>
        <w:t xml:space="preserve"> </w:t>
      </w:r>
      <w:r w:rsidR="007435FF" w:rsidRPr="00FD211F">
        <w:rPr>
          <w:sz w:val="36"/>
          <w:szCs w:val="36"/>
          <w:rtl/>
        </w:rPr>
        <w:t>الاصول</w:t>
      </w:r>
      <w:r w:rsidR="00E8128F">
        <w:rPr>
          <w:sz w:val="36"/>
          <w:szCs w:val="36"/>
          <w:rtl/>
        </w:rPr>
        <w:t xml:space="preserve"> </w:t>
      </w:r>
      <w:r w:rsidR="007435FF" w:rsidRPr="00FD211F">
        <w:rPr>
          <w:sz w:val="36"/>
          <w:szCs w:val="36"/>
          <w:rtl/>
        </w:rPr>
        <w:t>وكذا</w:t>
      </w:r>
      <w:r w:rsidR="00E8128F">
        <w:rPr>
          <w:sz w:val="36"/>
          <w:szCs w:val="36"/>
          <w:rtl/>
        </w:rPr>
        <w:t xml:space="preserve"> </w:t>
      </w:r>
      <w:r w:rsidR="001F1BE3" w:rsidRPr="00FD211F">
        <w:rPr>
          <w:sz w:val="36"/>
          <w:szCs w:val="36"/>
          <w:rtl/>
        </w:rPr>
        <w:t>ملاحظ</w:t>
      </w:r>
      <w:r w:rsidR="00EC7EDF" w:rsidRPr="00FD211F">
        <w:rPr>
          <w:sz w:val="36"/>
          <w:szCs w:val="36"/>
          <w:rtl/>
        </w:rPr>
        <w:t>ة</w:t>
      </w:r>
      <w:r w:rsidR="00E8128F">
        <w:rPr>
          <w:sz w:val="36"/>
          <w:szCs w:val="36"/>
          <w:rtl/>
        </w:rPr>
        <w:t xml:space="preserve"> </w:t>
      </w:r>
      <w:r w:rsidR="007435FF" w:rsidRPr="00FD211F">
        <w:rPr>
          <w:sz w:val="36"/>
          <w:szCs w:val="36"/>
          <w:rtl/>
        </w:rPr>
        <w:t>المناسبات</w:t>
      </w:r>
      <w:r w:rsidR="00603323" w:rsidRPr="00FD211F">
        <w:rPr>
          <w:sz w:val="36"/>
          <w:szCs w:val="36"/>
          <w:rtl/>
        </w:rPr>
        <w:t>،</w:t>
      </w:r>
      <w:r w:rsidR="00E8128F">
        <w:rPr>
          <w:sz w:val="36"/>
          <w:szCs w:val="36"/>
          <w:rtl/>
        </w:rPr>
        <w:t xml:space="preserve"> </w:t>
      </w:r>
      <w:r w:rsidR="007435FF" w:rsidRPr="00FD211F">
        <w:rPr>
          <w:sz w:val="36"/>
          <w:szCs w:val="36"/>
          <w:rtl/>
        </w:rPr>
        <w:lastRenderedPageBreak/>
        <w:t>فانه</w:t>
      </w:r>
      <w:r w:rsidR="00E8128F">
        <w:rPr>
          <w:sz w:val="36"/>
          <w:szCs w:val="36"/>
          <w:rtl/>
        </w:rPr>
        <w:t xml:space="preserve"> </w:t>
      </w:r>
      <w:r w:rsidR="007435FF" w:rsidRPr="00FD211F">
        <w:rPr>
          <w:sz w:val="36"/>
          <w:szCs w:val="36"/>
          <w:rtl/>
        </w:rPr>
        <w:t>حيث</w:t>
      </w:r>
      <w:r w:rsidR="00E8128F">
        <w:rPr>
          <w:sz w:val="36"/>
          <w:szCs w:val="36"/>
          <w:rtl/>
        </w:rPr>
        <w:t xml:space="preserve"> </w:t>
      </w:r>
      <w:r w:rsidR="007435FF" w:rsidRPr="00FD211F">
        <w:rPr>
          <w:sz w:val="36"/>
          <w:szCs w:val="36"/>
          <w:rtl/>
        </w:rPr>
        <w:t>لوحظ</w:t>
      </w:r>
      <w:r w:rsidR="00E8128F">
        <w:rPr>
          <w:sz w:val="36"/>
          <w:szCs w:val="36"/>
          <w:rtl/>
        </w:rPr>
        <w:t xml:space="preserve"> </w:t>
      </w:r>
      <w:r w:rsidR="007435FF" w:rsidRPr="00FD211F">
        <w:rPr>
          <w:sz w:val="36"/>
          <w:szCs w:val="36"/>
          <w:rtl/>
        </w:rPr>
        <w:t>ان</w:t>
      </w:r>
      <w:r w:rsidR="00E8128F">
        <w:rPr>
          <w:sz w:val="36"/>
          <w:szCs w:val="36"/>
          <w:rtl/>
        </w:rPr>
        <w:t xml:space="preserve"> </w:t>
      </w:r>
      <w:r w:rsidR="007435FF" w:rsidRPr="00FD211F">
        <w:rPr>
          <w:sz w:val="36"/>
          <w:szCs w:val="36"/>
          <w:rtl/>
        </w:rPr>
        <w:t>في</w:t>
      </w:r>
      <w:r w:rsidR="00E8128F">
        <w:rPr>
          <w:sz w:val="36"/>
          <w:szCs w:val="36"/>
          <w:rtl/>
        </w:rPr>
        <w:t xml:space="preserve"> </w:t>
      </w:r>
      <w:r w:rsidR="007435FF" w:rsidRPr="00FD211F">
        <w:rPr>
          <w:sz w:val="36"/>
          <w:szCs w:val="36"/>
          <w:rtl/>
        </w:rPr>
        <w:t>الاستدلال</w:t>
      </w:r>
      <w:r w:rsidR="00E8128F">
        <w:rPr>
          <w:sz w:val="36"/>
          <w:szCs w:val="36"/>
          <w:rtl/>
        </w:rPr>
        <w:t xml:space="preserve"> </w:t>
      </w:r>
      <w:r w:rsidR="007435FF" w:rsidRPr="00FD211F">
        <w:rPr>
          <w:sz w:val="36"/>
          <w:szCs w:val="36"/>
          <w:rtl/>
        </w:rPr>
        <w:t>الفقهي</w:t>
      </w:r>
      <w:r w:rsidR="00E8128F">
        <w:rPr>
          <w:sz w:val="36"/>
          <w:szCs w:val="36"/>
          <w:rtl/>
        </w:rPr>
        <w:t xml:space="preserve"> </w:t>
      </w:r>
      <w:r w:rsidR="007435FF" w:rsidRPr="00FD211F">
        <w:rPr>
          <w:sz w:val="36"/>
          <w:szCs w:val="36"/>
          <w:rtl/>
        </w:rPr>
        <w:t>مباحث</w:t>
      </w:r>
      <w:r w:rsidR="00E8128F">
        <w:rPr>
          <w:sz w:val="36"/>
          <w:szCs w:val="36"/>
          <w:rtl/>
        </w:rPr>
        <w:t xml:space="preserve"> </w:t>
      </w:r>
      <w:r w:rsidR="007435FF" w:rsidRPr="00FD211F">
        <w:rPr>
          <w:sz w:val="36"/>
          <w:szCs w:val="36"/>
          <w:rtl/>
        </w:rPr>
        <w:t>مشترك</w:t>
      </w:r>
      <w:r w:rsidR="00EC7EDF" w:rsidRPr="00FD211F">
        <w:rPr>
          <w:sz w:val="36"/>
          <w:szCs w:val="36"/>
          <w:rtl/>
        </w:rPr>
        <w:t>ة</w:t>
      </w:r>
      <w:r w:rsidR="00E8128F">
        <w:rPr>
          <w:sz w:val="36"/>
          <w:szCs w:val="36"/>
          <w:rtl/>
        </w:rPr>
        <w:t xml:space="preserve"> </w:t>
      </w:r>
      <w:r w:rsidR="007435FF" w:rsidRPr="00FD211F">
        <w:rPr>
          <w:sz w:val="36"/>
          <w:szCs w:val="36"/>
          <w:rtl/>
        </w:rPr>
        <w:t>سيال</w:t>
      </w:r>
      <w:r w:rsidR="00EC7EDF" w:rsidRPr="00FD211F">
        <w:rPr>
          <w:sz w:val="36"/>
          <w:szCs w:val="36"/>
          <w:rtl/>
        </w:rPr>
        <w:t>ة</w:t>
      </w:r>
      <w:r w:rsidR="00E8128F">
        <w:rPr>
          <w:sz w:val="36"/>
          <w:szCs w:val="36"/>
          <w:rtl/>
        </w:rPr>
        <w:t xml:space="preserve"> </w:t>
      </w:r>
      <w:r w:rsidR="007435FF" w:rsidRPr="00FD211F">
        <w:rPr>
          <w:sz w:val="36"/>
          <w:szCs w:val="36"/>
          <w:rtl/>
        </w:rPr>
        <w:t>لايختص</w:t>
      </w:r>
      <w:r w:rsidR="00E8128F">
        <w:rPr>
          <w:sz w:val="36"/>
          <w:szCs w:val="36"/>
          <w:rtl/>
        </w:rPr>
        <w:t xml:space="preserve"> </w:t>
      </w:r>
      <w:r w:rsidR="007435FF" w:rsidRPr="00FD211F">
        <w:rPr>
          <w:sz w:val="36"/>
          <w:szCs w:val="36"/>
          <w:rtl/>
        </w:rPr>
        <w:t>بباب</w:t>
      </w:r>
      <w:r w:rsidR="00E8128F">
        <w:rPr>
          <w:sz w:val="36"/>
          <w:szCs w:val="36"/>
          <w:rtl/>
        </w:rPr>
        <w:t xml:space="preserve"> </w:t>
      </w:r>
      <w:r w:rsidR="007435FF" w:rsidRPr="00FD211F">
        <w:rPr>
          <w:sz w:val="36"/>
          <w:szCs w:val="36"/>
          <w:rtl/>
        </w:rPr>
        <w:t>دون</w:t>
      </w:r>
      <w:r w:rsidR="00E8128F">
        <w:rPr>
          <w:sz w:val="36"/>
          <w:szCs w:val="36"/>
          <w:rtl/>
        </w:rPr>
        <w:t xml:space="preserve"> </w:t>
      </w:r>
      <w:r w:rsidR="007435FF" w:rsidRPr="00FD211F">
        <w:rPr>
          <w:sz w:val="36"/>
          <w:szCs w:val="36"/>
          <w:rtl/>
        </w:rPr>
        <w:t>باب</w:t>
      </w:r>
      <w:r w:rsidR="00E8128F">
        <w:rPr>
          <w:sz w:val="36"/>
          <w:szCs w:val="36"/>
          <w:rtl/>
        </w:rPr>
        <w:t xml:space="preserve"> </w:t>
      </w:r>
      <w:r w:rsidR="007435FF" w:rsidRPr="00FD211F">
        <w:rPr>
          <w:sz w:val="36"/>
          <w:szCs w:val="36"/>
          <w:rtl/>
        </w:rPr>
        <w:t>ودرجها</w:t>
      </w:r>
      <w:r w:rsidR="00E8128F">
        <w:rPr>
          <w:sz w:val="36"/>
          <w:szCs w:val="36"/>
          <w:rtl/>
        </w:rPr>
        <w:t xml:space="preserve"> </w:t>
      </w:r>
      <w:r w:rsidR="007435FF" w:rsidRPr="00FD211F">
        <w:rPr>
          <w:sz w:val="36"/>
          <w:szCs w:val="36"/>
          <w:rtl/>
        </w:rPr>
        <w:t>في</w:t>
      </w:r>
      <w:r w:rsidR="00E8128F">
        <w:rPr>
          <w:sz w:val="36"/>
          <w:szCs w:val="36"/>
          <w:rtl/>
        </w:rPr>
        <w:t xml:space="preserve"> </w:t>
      </w:r>
      <w:r w:rsidR="007435FF" w:rsidRPr="00FD211F">
        <w:rPr>
          <w:sz w:val="36"/>
          <w:szCs w:val="36"/>
          <w:rtl/>
        </w:rPr>
        <w:t>باب</w:t>
      </w:r>
      <w:r w:rsidR="00E8128F">
        <w:rPr>
          <w:sz w:val="36"/>
          <w:szCs w:val="36"/>
          <w:rtl/>
        </w:rPr>
        <w:t xml:space="preserve"> </w:t>
      </w:r>
      <w:r w:rsidR="007435FF" w:rsidRPr="00FD211F">
        <w:rPr>
          <w:sz w:val="36"/>
          <w:szCs w:val="36"/>
          <w:rtl/>
        </w:rPr>
        <w:t>دون</w:t>
      </w:r>
      <w:r w:rsidR="00E8128F">
        <w:rPr>
          <w:sz w:val="36"/>
          <w:szCs w:val="36"/>
          <w:rtl/>
        </w:rPr>
        <w:t xml:space="preserve"> </w:t>
      </w:r>
      <w:r w:rsidR="007435FF" w:rsidRPr="00FD211F">
        <w:rPr>
          <w:sz w:val="36"/>
          <w:szCs w:val="36"/>
          <w:rtl/>
        </w:rPr>
        <w:t>باب</w:t>
      </w:r>
      <w:r w:rsidR="00E8128F">
        <w:rPr>
          <w:sz w:val="36"/>
          <w:szCs w:val="36"/>
          <w:rtl/>
        </w:rPr>
        <w:t xml:space="preserve"> </w:t>
      </w:r>
      <w:r w:rsidR="007435FF" w:rsidRPr="00FD211F">
        <w:rPr>
          <w:sz w:val="36"/>
          <w:szCs w:val="36"/>
          <w:rtl/>
        </w:rPr>
        <w:t>لاوجه</w:t>
      </w:r>
      <w:r w:rsidR="00E8128F">
        <w:rPr>
          <w:sz w:val="36"/>
          <w:szCs w:val="36"/>
          <w:rtl/>
        </w:rPr>
        <w:t xml:space="preserve"> </w:t>
      </w:r>
      <w:r w:rsidR="007435FF" w:rsidRPr="00FD211F">
        <w:rPr>
          <w:sz w:val="36"/>
          <w:szCs w:val="36"/>
          <w:rtl/>
        </w:rPr>
        <w:t>له</w:t>
      </w:r>
      <w:r w:rsidR="00603323" w:rsidRPr="00FD211F">
        <w:rPr>
          <w:sz w:val="36"/>
          <w:szCs w:val="36"/>
          <w:rtl/>
        </w:rPr>
        <w:t>،</w:t>
      </w:r>
      <w:r w:rsidR="00E8128F">
        <w:rPr>
          <w:sz w:val="36"/>
          <w:szCs w:val="36"/>
          <w:rtl/>
        </w:rPr>
        <w:t xml:space="preserve"> </w:t>
      </w:r>
      <w:r w:rsidR="007435FF" w:rsidRPr="00FD211F">
        <w:rPr>
          <w:sz w:val="36"/>
          <w:szCs w:val="36"/>
          <w:rtl/>
        </w:rPr>
        <w:t>كما</w:t>
      </w:r>
      <w:r w:rsidR="00E8128F">
        <w:rPr>
          <w:sz w:val="36"/>
          <w:szCs w:val="36"/>
          <w:rtl/>
        </w:rPr>
        <w:t xml:space="preserve"> </w:t>
      </w:r>
      <w:r w:rsidR="007435FF" w:rsidRPr="00FD211F">
        <w:rPr>
          <w:sz w:val="36"/>
          <w:szCs w:val="36"/>
          <w:rtl/>
        </w:rPr>
        <w:t>ان</w:t>
      </w:r>
      <w:r w:rsidR="00E8128F">
        <w:rPr>
          <w:sz w:val="36"/>
          <w:szCs w:val="36"/>
          <w:rtl/>
        </w:rPr>
        <w:t xml:space="preserve"> </w:t>
      </w:r>
      <w:r w:rsidR="007435FF" w:rsidRPr="00FD211F">
        <w:rPr>
          <w:sz w:val="36"/>
          <w:szCs w:val="36"/>
          <w:rtl/>
        </w:rPr>
        <w:t>تكرارها</w:t>
      </w:r>
      <w:r w:rsidR="00E8128F">
        <w:rPr>
          <w:sz w:val="36"/>
          <w:szCs w:val="36"/>
          <w:rtl/>
        </w:rPr>
        <w:t xml:space="preserve"> </w:t>
      </w:r>
      <w:r w:rsidR="007435FF" w:rsidRPr="00FD211F">
        <w:rPr>
          <w:sz w:val="36"/>
          <w:szCs w:val="36"/>
          <w:rtl/>
        </w:rPr>
        <w:t>غير</w:t>
      </w:r>
      <w:r w:rsidR="00E8128F">
        <w:rPr>
          <w:sz w:val="36"/>
          <w:szCs w:val="36"/>
          <w:rtl/>
        </w:rPr>
        <w:t xml:space="preserve"> </w:t>
      </w:r>
      <w:r w:rsidR="007435FF" w:rsidRPr="00FD211F">
        <w:rPr>
          <w:sz w:val="36"/>
          <w:szCs w:val="36"/>
          <w:rtl/>
        </w:rPr>
        <w:t>مناسب</w:t>
      </w:r>
      <w:r w:rsidR="00E8128F">
        <w:rPr>
          <w:sz w:val="36"/>
          <w:szCs w:val="36"/>
          <w:rtl/>
        </w:rPr>
        <w:t xml:space="preserve"> </w:t>
      </w:r>
      <w:r w:rsidR="007435FF" w:rsidRPr="00FD211F">
        <w:rPr>
          <w:sz w:val="36"/>
          <w:szCs w:val="36"/>
          <w:rtl/>
        </w:rPr>
        <w:t>فاريد</w:t>
      </w:r>
      <w:r w:rsidR="00E8128F">
        <w:rPr>
          <w:sz w:val="36"/>
          <w:szCs w:val="36"/>
          <w:rtl/>
        </w:rPr>
        <w:t xml:space="preserve"> </w:t>
      </w:r>
      <w:r w:rsidR="007435FF" w:rsidRPr="00FD211F">
        <w:rPr>
          <w:sz w:val="36"/>
          <w:szCs w:val="36"/>
          <w:rtl/>
        </w:rPr>
        <w:t>افرازها</w:t>
      </w:r>
      <w:r w:rsidR="00E8128F">
        <w:rPr>
          <w:sz w:val="36"/>
          <w:szCs w:val="36"/>
          <w:rtl/>
        </w:rPr>
        <w:t xml:space="preserve"> </w:t>
      </w:r>
      <w:r w:rsidR="007435FF" w:rsidRPr="00FD211F">
        <w:rPr>
          <w:sz w:val="36"/>
          <w:szCs w:val="36"/>
          <w:rtl/>
        </w:rPr>
        <w:t>عن</w:t>
      </w:r>
      <w:r w:rsidR="00E8128F">
        <w:rPr>
          <w:sz w:val="36"/>
          <w:szCs w:val="36"/>
          <w:rtl/>
        </w:rPr>
        <w:t xml:space="preserve"> </w:t>
      </w:r>
      <w:r w:rsidR="007435FF" w:rsidRPr="00FD211F">
        <w:rPr>
          <w:sz w:val="36"/>
          <w:szCs w:val="36"/>
          <w:rtl/>
        </w:rPr>
        <w:t>علم</w:t>
      </w:r>
      <w:r w:rsidR="00E8128F">
        <w:rPr>
          <w:sz w:val="36"/>
          <w:szCs w:val="36"/>
          <w:rtl/>
        </w:rPr>
        <w:t xml:space="preserve"> </w:t>
      </w:r>
      <w:r w:rsidR="007435FF" w:rsidRPr="00FD211F">
        <w:rPr>
          <w:sz w:val="36"/>
          <w:szCs w:val="36"/>
          <w:rtl/>
        </w:rPr>
        <w:t>الفقه</w:t>
      </w:r>
      <w:r w:rsidR="00E8128F">
        <w:rPr>
          <w:sz w:val="36"/>
          <w:szCs w:val="36"/>
          <w:rtl/>
        </w:rPr>
        <w:t xml:space="preserve"> </w:t>
      </w:r>
      <w:r w:rsidR="007435FF" w:rsidRPr="00FD211F">
        <w:rPr>
          <w:sz w:val="36"/>
          <w:szCs w:val="36"/>
          <w:rtl/>
        </w:rPr>
        <w:t>وادراجها</w:t>
      </w:r>
      <w:r w:rsidR="00E8128F">
        <w:rPr>
          <w:sz w:val="36"/>
          <w:szCs w:val="36"/>
          <w:rtl/>
        </w:rPr>
        <w:t xml:space="preserve"> </w:t>
      </w:r>
      <w:r w:rsidR="007435FF" w:rsidRPr="00FD211F">
        <w:rPr>
          <w:sz w:val="36"/>
          <w:szCs w:val="36"/>
          <w:rtl/>
        </w:rPr>
        <w:t>في</w:t>
      </w:r>
      <w:r w:rsidR="00E8128F">
        <w:rPr>
          <w:sz w:val="36"/>
          <w:szCs w:val="36"/>
          <w:rtl/>
        </w:rPr>
        <w:t xml:space="preserve"> </w:t>
      </w:r>
      <w:r w:rsidR="007435FF" w:rsidRPr="00FD211F">
        <w:rPr>
          <w:sz w:val="36"/>
          <w:szCs w:val="36"/>
          <w:rtl/>
        </w:rPr>
        <w:t>علم</w:t>
      </w:r>
      <w:r w:rsidR="00E8128F">
        <w:rPr>
          <w:sz w:val="36"/>
          <w:szCs w:val="36"/>
          <w:rtl/>
        </w:rPr>
        <w:t xml:space="preserve"> </w:t>
      </w:r>
      <w:r w:rsidR="007435FF" w:rsidRPr="00FD211F">
        <w:rPr>
          <w:sz w:val="36"/>
          <w:szCs w:val="36"/>
          <w:rtl/>
        </w:rPr>
        <w:t>سمي</w:t>
      </w:r>
      <w:r w:rsidR="00E8128F">
        <w:rPr>
          <w:sz w:val="36"/>
          <w:szCs w:val="36"/>
          <w:rtl/>
        </w:rPr>
        <w:t xml:space="preserve"> </w:t>
      </w:r>
      <w:r w:rsidR="007435FF" w:rsidRPr="00FD211F">
        <w:rPr>
          <w:sz w:val="36"/>
          <w:szCs w:val="36"/>
          <w:rtl/>
        </w:rPr>
        <w:t>باصول</w:t>
      </w:r>
      <w:r w:rsidR="00E8128F">
        <w:rPr>
          <w:sz w:val="36"/>
          <w:szCs w:val="36"/>
          <w:rtl/>
        </w:rPr>
        <w:t xml:space="preserve"> </w:t>
      </w:r>
      <w:r w:rsidR="007435FF" w:rsidRPr="00FD211F">
        <w:rPr>
          <w:sz w:val="36"/>
          <w:szCs w:val="36"/>
          <w:rtl/>
        </w:rPr>
        <w:t>الفقه</w:t>
      </w:r>
      <w:r w:rsidR="00603323" w:rsidRPr="00FD211F">
        <w:rPr>
          <w:sz w:val="36"/>
          <w:szCs w:val="36"/>
          <w:rtl/>
        </w:rPr>
        <w:t>،</w:t>
      </w:r>
      <w:r w:rsidR="00E8128F">
        <w:rPr>
          <w:sz w:val="36"/>
          <w:szCs w:val="36"/>
          <w:rtl/>
        </w:rPr>
        <w:t xml:space="preserve"> </w:t>
      </w:r>
      <w:r w:rsidR="007435FF" w:rsidRPr="00FD211F">
        <w:rPr>
          <w:sz w:val="36"/>
          <w:szCs w:val="36"/>
          <w:rtl/>
        </w:rPr>
        <w:t>والمتناسب</w:t>
      </w:r>
      <w:r w:rsidR="00E8128F">
        <w:rPr>
          <w:sz w:val="36"/>
          <w:szCs w:val="36"/>
          <w:rtl/>
        </w:rPr>
        <w:t xml:space="preserve"> </w:t>
      </w:r>
      <w:r w:rsidR="007435FF" w:rsidRPr="00FD211F">
        <w:rPr>
          <w:sz w:val="36"/>
          <w:szCs w:val="36"/>
          <w:rtl/>
        </w:rPr>
        <w:t>ان</w:t>
      </w:r>
      <w:r w:rsidR="00E8128F">
        <w:rPr>
          <w:sz w:val="36"/>
          <w:szCs w:val="36"/>
          <w:rtl/>
        </w:rPr>
        <w:t xml:space="preserve"> </w:t>
      </w:r>
      <w:r w:rsidR="007435FF" w:rsidRPr="00FD211F">
        <w:rPr>
          <w:sz w:val="36"/>
          <w:szCs w:val="36"/>
          <w:rtl/>
        </w:rPr>
        <w:t>تكون</w:t>
      </w:r>
      <w:r w:rsidR="00E8128F">
        <w:rPr>
          <w:sz w:val="36"/>
          <w:szCs w:val="36"/>
          <w:rtl/>
        </w:rPr>
        <w:t xml:space="preserve"> </w:t>
      </w:r>
      <w:r w:rsidR="007435FF" w:rsidRPr="00FD211F">
        <w:rPr>
          <w:sz w:val="36"/>
          <w:szCs w:val="36"/>
          <w:rtl/>
        </w:rPr>
        <w:t>مسائل</w:t>
      </w:r>
      <w:r w:rsidR="00E8128F">
        <w:rPr>
          <w:sz w:val="36"/>
          <w:szCs w:val="36"/>
          <w:rtl/>
        </w:rPr>
        <w:t xml:space="preserve"> </w:t>
      </w:r>
      <w:r w:rsidR="007435FF" w:rsidRPr="00FD211F">
        <w:rPr>
          <w:sz w:val="36"/>
          <w:szCs w:val="36"/>
          <w:rtl/>
        </w:rPr>
        <w:t>علم</w:t>
      </w:r>
      <w:r w:rsidR="00E8128F">
        <w:rPr>
          <w:sz w:val="36"/>
          <w:szCs w:val="36"/>
          <w:rtl/>
        </w:rPr>
        <w:t xml:space="preserve"> </w:t>
      </w:r>
      <w:r w:rsidR="007435FF" w:rsidRPr="00FD211F">
        <w:rPr>
          <w:sz w:val="36"/>
          <w:szCs w:val="36"/>
          <w:rtl/>
        </w:rPr>
        <w:t>اصول</w:t>
      </w:r>
      <w:r w:rsidR="00E8128F">
        <w:rPr>
          <w:sz w:val="36"/>
          <w:szCs w:val="36"/>
          <w:rtl/>
        </w:rPr>
        <w:t xml:space="preserve"> </w:t>
      </w:r>
      <w:r w:rsidR="007435FF" w:rsidRPr="00FD211F">
        <w:rPr>
          <w:sz w:val="36"/>
          <w:szCs w:val="36"/>
          <w:rtl/>
        </w:rPr>
        <w:t>الفقه</w:t>
      </w:r>
      <w:r w:rsidR="00E8128F">
        <w:rPr>
          <w:sz w:val="36"/>
          <w:szCs w:val="36"/>
          <w:rtl/>
        </w:rPr>
        <w:t xml:space="preserve"> </w:t>
      </w:r>
      <w:r w:rsidR="007435FF" w:rsidRPr="00FD211F">
        <w:rPr>
          <w:sz w:val="36"/>
          <w:szCs w:val="36"/>
          <w:rtl/>
        </w:rPr>
        <w:t>مشترك</w:t>
      </w:r>
      <w:r w:rsidR="00EC7EDF" w:rsidRPr="00FD211F">
        <w:rPr>
          <w:sz w:val="36"/>
          <w:szCs w:val="36"/>
          <w:rtl/>
        </w:rPr>
        <w:t>ة</w:t>
      </w:r>
      <w:r w:rsidR="00E8128F">
        <w:rPr>
          <w:sz w:val="36"/>
          <w:szCs w:val="36"/>
          <w:rtl/>
        </w:rPr>
        <w:t xml:space="preserve"> </w:t>
      </w:r>
      <w:r w:rsidR="007435FF" w:rsidRPr="00FD211F">
        <w:rPr>
          <w:sz w:val="36"/>
          <w:szCs w:val="36"/>
          <w:rtl/>
        </w:rPr>
        <w:t>بين</w:t>
      </w:r>
      <w:r w:rsidR="00E8128F">
        <w:rPr>
          <w:sz w:val="36"/>
          <w:szCs w:val="36"/>
          <w:rtl/>
        </w:rPr>
        <w:t xml:space="preserve"> </w:t>
      </w:r>
      <w:r w:rsidR="007435FF" w:rsidRPr="00FD211F">
        <w:rPr>
          <w:sz w:val="36"/>
          <w:szCs w:val="36"/>
          <w:rtl/>
        </w:rPr>
        <w:t>عد</w:t>
      </w:r>
      <w:r w:rsidR="00EC7EDF" w:rsidRPr="00FD211F">
        <w:rPr>
          <w:sz w:val="36"/>
          <w:szCs w:val="36"/>
          <w:rtl/>
        </w:rPr>
        <w:t>ة</w:t>
      </w:r>
      <w:r w:rsidR="00E8128F">
        <w:rPr>
          <w:sz w:val="36"/>
          <w:szCs w:val="36"/>
          <w:rtl/>
        </w:rPr>
        <w:t xml:space="preserve"> </w:t>
      </w:r>
      <w:r w:rsidR="007435FF" w:rsidRPr="00FD211F">
        <w:rPr>
          <w:sz w:val="36"/>
          <w:szCs w:val="36"/>
          <w:rtl/>
        </w:rPr>
        <w:t>ابواب</w:t>
      </w:r>
      <w:r w:rsidR="00E8128F">
        <w:rPr>
          <w:sz w:val="36"/>
          <w:szCs w:val="36"/>
          <w:rtl/>
        </w:rPr>
        <w:t xml:space="preserve"> </w:t>
      </w:r>
      <w:r w:rsidR="007435FF" w:rsidRPr="00FD211F">
        <w:rPr>
          <w:sz w:val="36"/>
          <w:szCs w:val="36"/>
          <w:rtl/>
        </w:rPr>
        <w:t>فقهي</w:t>
      </w:r>
      <w:r w:rsidR="00EC7EDF" w:rsidRPr="00FD211F">
        <w:rPr>
          <w:sz w:val="36"/>
          <w:szCs w:val="36"/>
          <w:rtl/>
        </w:rPr>
        <w:t>ة</w:t>
      </w:r>
      <w:r w:rsidR="00E8128F">
        <w:rPr>
          <w:sz w:val="36"/>
          <w:szCs w:val="36"/>
          <w:rtl/>
        </w:rPr>
        <w:t xml:space="preserve"> </w:t>
      </w:r>
      <w:r w:rsidR="007435FF" w:rsidRPr="00FD211F">
        <w:rPr>
          <w:sz w:val="36"/>
          <w:szCs w:val="36"/>
          <w:rtl/>
        </w:rPr>
        <w:t>كي</w:t>
      </w:r>
      <w:r w:rsidR="00E8128F">
        <w:rPr>
          <w:sz w:val="36"/>
          <w:szCs w:val="36"/>
          <w:rtl/>
        </w:rPr>
        <w:t xml:space="preserve"> </w:t>
      </w:r>
      <w:r w:rsidR="007435FF" w:rsidRPr="00FD211F">
        <w:rPr>
          <w:sz w:val="36"/>
          <w:szCs w:val="36"/>
          <w:rtl/>
        </w:rPr>
        <w:t>يصدق</w:t>
      </w:r>
      <w:r w:rsidR="00E8128F">
        <w:rPr>
          <w:sz w:val="36"/>
          <w:szCs w:val="36"/>
          <w:rtl/>
        </w:rPr>
        <w:t xml:space="preserve"> </w:t>
      </w:r>
      <w:r w:rsidR="007435FF" w:rsidRPr="00FD211F">
        <w:rPr>
          <w:sz w:val="36"/>
          <w:szCs w:val="36"/>
          <w:rtl/>
        </w:rPr>
        <w:t>عليها</w:t>
      </w:r>
      <w:r w:rsidR="00E8128F">
        <w:rPr>
          <w:sz w:val="36"/>
          <w:szCs w:val="36"/>
          <w:rtl/>
        </w:rPr>
        <w:t xml:space="preserve"> </w:t>
      </w:r>
      <w:r w:rsidR="007435FF" w:rsidRPr="00FD211F">
        <w:rPr>
          <w:sz w:val="36"/>
          <w:szCs w:val="36"/>
          <w:rtl/>
        </w:rPr>
        <w:t>اصول</w:t>
      </w:r>
      <w:r w:rsidR="00E8128F">
        <w:rPr>
          <w:sz w:val="36"/>
          <w:szCs w:val="36"/>
          <w:rtl/>
        </w:rPr>
        <w:t xml:space="preserve"> </w:t>
      </w:r>
      <w:r w:rsidR="007435FF" w:rsidRPr="00FD211F">
        <w:rPr>
          <w:sz w:val="36"/>
          <w:szCs w:val="36"/>
          <w:rtl/>
        </w:rPr>
        <w:t>الفقه</w:t>
      </w:r>
      <w:r w:rsidR="00603323" w:rsidRPr="00FD211F">
        <w:rPr>
          <w:sz w:val="36"/>
          <w:szCs w:val="36"/>
          <w:rtl/>
        </w:rPr>
        <w:t>،</w:t>
      </w:r>
      <w:r w:rsidR="00E8128F">
        <w:rPr>
          <w:sz w:val="36"/>
          <w:szCs w:val="36"/>
          <w:rtl/>
        </w:rPr>
        <w:t xml:space="preserve"> </w:t>
      </w:r>
      <w:r w:rsidR="007435FF" w:rsidRPr="00FD211F">
        <w:rPr>
          <w:sz w:val="36"/>
          <w:szCs w:val="36"/>
          <w:rtl/>
        </w:rPr>
        <w:t>ولاتكون</w:t>
      </w:r>
      <w:r w:rsidR="00E8128F">
        <w:rPr>
          <w:sz w:val="36"/>
          <w:szCs w:val="36"/>
          <w:rtl/>
        </w:rPr>
        <w:t xml:space="preserve"> </w:t>
      </w:r>
      <w:r w:rsidR="007435FF" w:rsidRPr="00FD211F">
        <w:rPr>
          <w:sz w:val="36"/>
          <w:szCs w:val="36"/>
          <w:rtl/>
        </w:rPr>
        <w:t>اصول</w:t>
      </w:r>
      <w:r w:rsidR="00E8128F">
        <w:rPr>
          <w:sz w:val="36"/>
          <w:szCs w:val="36"/>
          <w:rtl/>
        </w:rPr>
        <w:t xml:space="preserve"> </w:t>
      </w:r>
      <w:r w:rsidR="007435FF" w:rsidRPr="00FD211F">
        <w:rPr>
          <w:sz w:val="36"/>
          <w:szCs w:val="36"/>
          <w:rtl/>
        </w:rPr>
        <w:t>باب</w:t>
      </w:r>
      <w:r w:rsidR="00E8128F">
        <w:rPr>
          <w:sz w:val="36"/>
          <w:szCs w:val="36"/>
          <w:rtl/>
        </w:rPr>
        <w:t xml:space="preserve"> </w:t>
      </w:r>
      <w:r w:rsidR="007435FF" w:rsidRPr="00FD211F">
        <w:rPr>
          <w:sz w:val="36"/>
          <w:szCs w:val="36"/>
          <w:rtl/>
        </w:rPr>
        <w:t>الطهار</w:t>
      </w:r>
      <w:r w:rsidR="00EC7EDF" w:rsidRPr="00FD211F">
        <w:rPr>
          <w:sz w:val="36"/>
          <w:szCs w:val="36"/>
          <w:rtl/>
        </w:rPr>
        <w:t>ة</w:t>
      </w:r>
      <w:r w:rsidR="00E8128F">
        <w:rPr>
          <w:sz w:val="36"/>
          <w:szCs w:val="36"/>
          <w:rtl/>
        </w:rPr>
        <w:t xml:space="preserve"> </w:t>
      </w:r>
      <w:r w:rsidR="007435FF" w:rsidRPr="00FD211F">
        <w:rPr>
          <w:sz w:val="36"/>
          <w:szCs w:val="36"/>
          <w:rtl/>
        </w:rPr>
        <w:t>مثلا</w:t>
      </w:r>
      <w:r w:rsidR="00E8128F">
        <w:rPr>
          <w:sz w:val="36"/>
          <w:szCs w:val="36"/>
          <w:rtl/>
        </w:rPr>
        <w:t xml:space="preserve"> </w:t>
      </w:r>
      <w:r w:rsidR="007435FF" w:rsidRPr="00FD211F">
        <w:rPr>
          <w:sz w:val="36"/>
          <w:szCs w:val="36"/>
          <w:rtl/>
        </w:rPr>
        <w:t>كقاعد</w:t>
      </w:r>
      <w:r w:rsidR="00EC7EDF" w:rsidRPr="00FD211F">
        <w:rPr>
          <w:sz w:val="36"/>
          <w:szCs w:val="36"/>
          <w:rtl/>
        </w:rPr>
        <w:t>ة</w:t>
      </w:r>
      <w:r w:rsidR="00E8128F">
        <w:rPr>
          <w:sz w:val="36"/>
          <w:szCs w:val="36"/>
          <w:rtl/>
        </w:rPr>
        <w:t xml:space="preserve"> </w:t>
      </w:r>
      <w:r w:rsidR="007435FF" w:rsidRPr="00FD211F">
        <w:rPr>
          <w:sz w:val="36"/>
          <w:szCs w:val="36"/>
          <w:rtl/>
        </w:rPr>
        <w:t>الطهار</w:t>
      </w:r>
      <w:r w:rsidR="00EC7EDF" w:rsidRPr="00FD211F">
        <w:rPr>
          <w:sz w:val="36"/>
          <w:szCs w:val="36"/>
          <w:rtl/>
        </w:rPr>
        <w:t>ة</w:t>
      </w:r>
      <w:r w:rsidR="00E8128F">
        <w:rPr>
          <w:sz w:val="36"/>
          <w:szCs w:val="36"/>
          <w:rtl/>
        </w:rPr>
        <w:t xml:space="preserve"> </w:t>
      </w:r>
      <w:r w:rsidR="007435FF" w:rsidRPr="00FD211F">
        <w:rPr>
          <w:sz w:val="36"/>
          <w:szCs w:val="36"/>
          <w:rtl/>
        </w:rPr>
        <w:t>في</w:t>
      </w:r>
      <w:r w:rsidR="00E8128F">
        <w:rPr>
          <w:sz w:val="36"/>
          <w:szCs w:val="36"/>
          <w:rtl/>
        </w:rPr>
        <w:t xml:space="preserve"> </w:t>
      </w:r>
      <w:r w:rsidR="007435FF" w:rsidRPr="00FD211F">
        <w:rPr>
          <w:sz w:val="36"/>
          <w:szCs w:val="36"/>
          <w:rtl/>
        </w:rPr>
        <w:t>الشبهات</w:t>
      </w:r>
      <w:r w:rsidR="00E8128F">
        <w:rPr>
          <w:sz w:val="36"/>
          <w:szCs w:val="36"/>
          <w:rtl/>
        </w:rPr>
        <w:t xml:space="preserve"> </w:t>
      </w:r>
      <w:r w:rsidR="007435FF" w:rsidRPr="00FD211F">
        <w:rPr>
          <w:sz w:val="36"/>
          <w:szCs w:val="36"/>
          <w:rtl/>
        </w:rPr>
        <w:t>الحكمي</w:t>
      </w:r>
      <w:r w:rsidR="00EC7EDF" w:rsidRPr="00FD211F">
        <w:rPr>
          <w:sz w:val="36"/>
          <w:szCs w:val="36"/>
          <w:rtl/>
        </w:rPr>
        <w:t>ة</w:t>
      </w:r>
      <w:r w:rsidR="00A61BAE" w:rsidRPr="00FD211F">
        <w:rPr>
          <w:sz w:val="36"/>
          <w:szCs w:val="36"/>
          <w:rtl/>
        </w:rPr>
        <w:t>.</w:t>
      </w:r>
    </w:p>
    <w:p w14:paraId="49DF8912" w14:textId="77777777" w:rsidR="005437CA" w:rsidRPr="00FD211F" w:rsidRDefault="007435FF" w:rsidP="009C58C8">
      <w:pPr>
        <w:ind w:left="0" w:firstLine="227"/>
        <w:jc w:val="both"/>
        <w:rPr>
          <w:sz w:val="36"/>
          <w:szCs w:val="36"/>
          <w:rtl/>
        </w:rPr>
      </w:pPr>
      <w:r w:rsidRPr="00FD211F">
        <w:rPr>
          <w:sz w:val="36"/>
          <w:szCs w:val="36"/>
          <w:rtl/>
        </w:rPr>
        <w:t>وما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0044452A" w:rsidRPr="00FD211F">
        <w:rPr>
          <w:sz w:val="36"/>
          <w:szCs w:val="36"/>
          <w:rtl/>
        </w:rPr>
        <w:t>"</w:t>
      </w:r>
      <w:r w:rsidRPr="00FD211F">
        <w:rPr>
          <w:sz w:val="36"/>
          <w:szCs w:val="36"/>
          <w:rtl/>
        </w:rPr>
        <w:t>قده</w:t>
      </w:r>
      <w:r w:rsidR="0044452A"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لاوجه</w:t>
      </w:r>
      <w:r w:rsidR="00E8128F">
        <w:rPr>
          <w:sz w:val="36"/>
          <w:szCs w:val="36"/>
          <w:rtl/>
        </w:rPr>
        <w:t xml:space="preserve"> </w:t>
      </w:r>
      <w:r w:rsidRPr="00FD211F">
        <w:rPr>
          <w:sz w:val="36"/>
          <w:szCs w:val="36"/>
          <w:rtl/>
        </w:rPr>
        <w:t>لاخذ</w:t>
      </w:r>
      <w:r w:rsidR="00E8128F">
        <w:rPr>
          <w:sz w:val="36"/>
          <w:szCs w:val="36"/>
          <w:rtl/>
        </w:rPr>
        <w:t xml:space="preserve"> </w:t>
      </w:r>
      <w:r w:rsidRPr="00FD211F">
        <w:rPr>
          <w:sz w:val="36"/>
          <w:szCs w:val="36"/>
          <w:rtl/>
        </w:rPr>
        <w:t>قيد</w:t>
      </w:r>
      <w:r w:rsidR="00E8128F">
        <w:rPr>
          <w:sz w:val="36"/>
          <w:szCs w:val="36"/>
          <w:rtl/>
        </w:rPr>
        <w:t xml:space="preserve"> </w:t>
      </w:r>
      <w:r w:rsidRPr="00FD211F">
        <w:rPr>
          <w:sz w:val="36"/>
          <w:szCs w:val="36"/>
          <w:rtl/>
        </w:rPr>
        <w:t>الاشتراك</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اقتضاء</w:t>
      </w:r>
      <w:r w:rsidR="00E8128F">
        <w:rPr>
          <w:sz w:val="36"/>
          <w:szCs w:val="36"/>
          <w:rtl/>
        </w:rPr>
        <w:t xml:space="preserve"> </w:t>
      </w:r>
      <w:r w:rsidRPr="00FD211F">
        <w:rPr>
          <w:sz w:val="36"/>
          <w:szCs w:val="36"/>
          <w:rtl/>
        </w:rPr>
        <w:t>النهي</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العباد</w:t>
      </w:r>
      <w:r w:rsidR="00EC7EDF" w:rsidRPr="00FD211F">
        <w:rPr>
          <w:sz w:val="36"/>
          <w:szCs w:val="36"/>
          <w:rtl/>
        </w:rPr>
        <w:t>ة</w:t>
      </w:r>
      <w:r w:rsidR="00E8128F">
        <w:rPr>
          <w:sz w:val="36"/>
          <w:szCs w:val="36"/>
          <w:rtl/>
        </w:rPr>
        <w:t xml:space="preserve"> </w:t>
      </w:r>
      <w:r w:rsidRPr="00FD211F">
        <w:rPr>
          <w:sz w:val="36"/>
          <w:szCs w:val="36"/>
          <w:rtl/>
        </w:rPr>
        <w:t>للفساد</w:t>
      </w:r>
      <w:r w:rsidR="00E8128F">
        <w:rPr>
          <w:sz w:val="36"/>
          <w:szCs w:val="36"/>
          <w:rtl/>
        </w:rPr>
        <w:t xml:space="preserve"> </w:t>
      </w:r>
      <w:r w:rsidRPr="00FD211F">
        <w:rPr>
          <w:sz w:val="36"/>
          <w:szCs w:val="36"/>
          <w:rtl/>
        </w:rPr>
        <w:t>بحث</w:t>
      </w:r>
      <w:r w:rsidR="00E8128F">
        <w:rPr>
          <w:sz w:val="36"/>
          <w:szCs w:val="36"/>
          <w:rtl/>
        </w:rPr>
        <w:t xml:space="preserve"> </w:t>
      </w:r>
      <w:r w:rsidRPr="00FD211F">
        <w:rPr>
          <w:sz w:val="36"/>
          <w:szCs w:val="36"/>
          <w:rtl/>
        </w:rPr>
        <w:t>اصولي</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اطراده</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العبادات</w:t>
      </w:r>
      <w:r w:rsidR="009C58C8" w:rsidRPr="00FD211F">
        <w:rPr>
          <w:rStyle w:val="a6"/>
          <w:sz w:val="36"/>
          <w:szCs w:val="36"/>
          <w:rtl/>
        </w:rPr>
        <w:t>(</w:t>
      </w:r>
      <w:r w:rsidR="009C58C8" w:rsidRPr="00FD211F">
        <w:rPr>
          <w:rStyle w:val="a6"/>
          <w:sz w:val="36"/>
          <w:szCs w:val="36"/>
          <w:rtl/>
        </w:rPr>
        <w:footnoteReference w:id="51"/>
      </w:r>
      <w:r w:rsidR="009C58C8" w:rsidRPr="00FD211F">
        <w:rPr>
          <w:rStyle w:val="a6"/>
          <w:sz w:val="36"/>
          <w:szCs w:val="36"/>
          <w:rtl/>
        </w:rPr>
        <w:t>)</w:t>
      </w:r>
      <w:r w:rsidR="00E8128F">
        <w:rPr>
          <w:sz w:val="36"/>
          <w:szCs w:val="36"/>
          <w:rtl/>
        </w:rPr>
        <w:t xml:space="preserve"> </w:t>
      </w:r>
      <w:r w:rsidRPr="00FD211F">
        <w:rPr>
          <w:sz w:val="36"/>
          <w:szCs w:val="36"/>
          <w:rtl/>
        </w:rPr>
        <w:t>ففيه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اقتضاء</w:t>
      </w:r>
      <w:r w:rsidR="00E8128F">
        <w:rPr>
          <w:sz w:val="36"/>
          <w:szCs w:val="36"/>
          <w:rtl/>
        </w:rPr>
        <w:t xml:space="preserve"> </w:t>
      </w:r>
      <w:r w:rsidRPr="00FD211F">
        <w:rPr>
          <w:sz w:val="36"/>
          <w:szCs w:val="36"/>
          <w:rtl/>
        </w:rPr>
        <w:t>النهي</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العباد</w:t>
      </w:r>
      <w:r w:rsidR="00EC7EDF" w:rsidRPr="00FD211F">
        <w:rPr>
          <w:sz w:val="36"/>
          <w:szCs w:val="36"/>
          <w:rtl/>
        </w:rPr>
        <w:t>ة</w:t>
      </w:r>
      <w:r w:rsidR="00E8128F">
        <w:rPr>
          <w:sz w:val="36"/>
          <w:szCs w:val="36"/>
          <w:rtl/>
        </w:rPr>
        <w:t xml:space="preserve"> </w:t>
      </w:r>
      <w:r w:rsidRPr="00FD211F">
        <w:rPr>
          <w:sz w:val="36"/>
          <w:szCs w:val="36"/>
          <w:rtl/>
        </w:rPr>
        <w:t>للفساد</w:t>
      </w:r>
      <w:r w:rsidR="00E8128F">
        <w:rPr>
          <w:sz w:val="36"/>
          <w:szCs w:val="36"/>
          <w:rtl/>
        </w:rPr>
        <w:t xml:space="preserve"> </w:t>
      </w:r>
      <w:r w:rsidRPr="00FD211F">
        <w:rPr>
          <w:sz w:val="36"/>
          <w:szCs w:val="36"/>
          <w:rtl/>
        </w:rPr>
        <w:t>مشترك</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عد</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الابواب</w:t>
      </w:r>
      <w:r w:rsidR="00E8128F">
        <w:rPr>
          <w:sz w:val="36"/>
          <w:szCs w:val="36"/>
          <w:rtl/>
        </w:rPr>
        <w:t xml:space="preserve"> </w:t>
      </w:r>
      <w:r w:rsidRPr="00FD211F">
        <w:rPr>
          <w:sz w:val="36"/>
          <w:szCs w:val="36"/>
          <w:rtl/>
        </w:rPr>
        <w:t>الفقهي</w:t>
      </w:r>
      <w:r w:rsidR="00EC7EDF" w:rsidRPr="00FD211F">
        <w:rPr>
          <w:sz w:val="36"/>
          <w:szCs w:val="36"/>
          <w:rtl/>
        </w:rPr>
        <w:t>ة</w:t>
      </w:r>
      <w:r w:rsidR="00E8128F">
        <w:rPr>
          <w:sz w:val="36"/>
          <w:szCs w:val="36"/>
          <w:rtl/>
        </w:rPr>
        <w:t xml:space="preserve"> </w:t>
      </w:r>
      <w:r w:rsidRPr="00FD211F">
        <w:rPr>
          <w:sz w:val="36"/>
          <w:szCs w:val="36"/>
          <w:rtl/>
        </w:rPr>
        <w:t>يبحث</w:t>
      </w:r>
      <w:r w:rsidR="00E8128F">
        <w:rPr>
          <w:sz w:val="36"/>
          <w:szCs w:val="36"/>
          <w:rtl/>
        </w:rPr>
        <w:t xml:space="preserve"> </w:t>
      </w:r>
      <w:r w:rsidRPr="00FD211F">
        <w:rPr>
          <w:sz w:val="36"/>
          <w:szCs w:val="36"/>
          <w:rtl/>
        </w:rPr>
        <w:t>فيها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مختلف</w:t>
      </w:r>
      <w:r w:rsidR="00E8128F">
        <w:rPr>
          <w:sz w:val="36"/>
          <w:szCs w:val="36"/>
          <w:rtl/>
        </w:rPr>
        <w:t xml:space="preserve"> </w:t>
      </w:r>
      <w:r w:rsidRPr="00FD211F">
        <w:rPr>
          <w:sz w:val="36"/>
          <w:szCs w:val="36"/>
          <w:rtl/>
        </w:rPr>
        <w:t>العبادات</w:t>
      </w:r>
      <w:r w:rsidR="00603323" w:rsidRPr="00FD211F">
        <w:rPr>
          <w:sz w:val="36"/>
          <w:szCs w:val="36"/>
          <w:rtl/>
        </w:rPr>
        <w:t>،</w:t>
      </w:r>
      <w:r w:rsidR="00E8128F">
        <w:rPr>
          <w:sz w:val="36"/>
          <w:szCs w:val="36"/>
          <w:rtl/>
        </w:rPr>
        <w:t xml:space="preserve"> </w:t>
      </w:r>
      <w:r w:rsidRPr="00FD211F">
        <w:rPr>
          <w:sz w:val="36"/>
          <w:szCs w:val="36"/>
          <w:rtl/>
        </w:rPr>
        <w:t>كباب</w:t>
      </w:r>
      <w:r w:rsidR="00E8128F">
        <w:rPr>
          <w:sz w:val="36"/>
          <w:szCs w:val="36"/>
          <w:rtl/>
        </w:rPr>
        <w:t xml:space="preserve"> </w:t>
      </w:r>
      <w:r w:rsidRPr="00FD211F">
        <w:rPr>
          <w:sz w:val="36"/>
          <w:szCs w:val="36"/>
          <w:rtl/>
        </w:rPr>
        <w:t>الطهار</w:t>
      </w:r>
      <w:r w:rsidR="00EC7EDF" w:rsidRPr="00FD211F">
        <w:rPr>
          <w:sz w:val="36"/>
          <w:szCs w:val="36"/>
          <w:rtl/>
        </w:rPr>
        <w:t>ة</w:t>
      </w:r>
      <w:r w:rsidR="00E8128F">
        <w:rPr>
          <w:sz w:val="36"/>
          <w:szCs w:val="36"/>
          <w:rtl/>
        </w:rPr>
        <w:t xml:space="preserve"> </w:t>
      </w:r>
      <w:r w:rsidRPr="00FD211F">
        <w:rPr>
          <w:sz w:val="36"/>
          <w:szCs w:val="36"/>
          <w:rtl/>
        </w:rPr>
        <w:t>والصلا</w:t>
      </w:r>
      <w:r w:rsidR="00EC7EDF" w:rsidRPr="00FD211F">
        <w:rPr>
          <w:sz w:val="36"/>
          <w:szCs w:val="36"/>
          <w:rtl/>
        </w:rPr>
        <w:t>ة</w:t>
      </w:r>
      <w:r w:rsidR="00E8128F">
        <w:rPr>
          <w:sz w:val="36"/>
          <w:szCs w:val="36"/>
          <w:rtl/>
        </w:rPr>
        <w:t xml:space="preserve"> </w:t>
      </w:r>
      <w:r w:rsidRPr="00FD211F">
        <w:rPr>
          <w:sz w:val="36"/>
          <w:szCs w:val="36"/>
          <w:rtl/>
        </w:rPr>
        <w:t>والصوم</w:t>
      </w:r>
      <w:r w:rsidR="00E8128F">
        <w:rPr>
          <w:sz w:val="36"/>
          <w:szCs w:val="36"/>
          <w:rtl/>
        </w:rPr>
        <w:t xml:space="preserve"> </w:t>
      </w:r>
      <w:r w:rsidRPr="00FD211F">
        <w:rPr>
          <w:sz w:val="36"/>
          <w:szCs w:val="36"/>
          <w:rtl/>
        </w:rPr>
        <w:t>والاعتكاف</w:t>
      </w:r>
      <w:r w:rsidR="00E8128F">
        <w:rPr>
          <w:sz w:val="36"/>
          <w:szCs w:val="36"/>
          <w:rtl/>
        </w:rPr>
        <w:t xml:space="preserve"> </w:t>
      </w:r>
      <w:r w:rsidRPr="00FD211F">
        <w:rPr>
          <w:sz w:val="36"/>
          <w:szCs w:val="36"/>
          <w:rtl/>
        </w:rPr>
        <w:t>والزكا</w:t>
      </w:r>
      <w:r w:rsidR="00EC7EDF" w:rsidRPr="00FD211F">
        <w:rPr>
          <w:sz w:val="36"/>
          <w:szCs w:val="36"/>
          <w:rtl/>
        </w:rPr>
        <w:t>ة</w:t>
      </w:r>
      <w:r w:rsidR="00E8128F">
        <w:rPr>
          <w:sz w:val="36"/>
          <w:szCs w:val="36"/>
          <w:rtl/>
        </w:rPr>
        <w:t xml:space="preserve"> </w:t>
      </w:r>
      <w:r w:rsidRPr="00FD211F">
        <w:rPr>
          <w:sz w:val="36"/>
          <w:szCs w:val="36"/>
          <w:rtl/>
        </w:rPr>
        <w:t>والخمس</w:t>
      </w:r>
      <w:r w:rsidR="00E8128F">
        <w:rPr>
          <w:sz w:val="36"/>
          <w:szCs w:val="36"/>
          <w:rtl/>
        </w:rPr>
        <w:t xml:space="preserve"> </w:t>
      </w:r>
      <w:r w:rsidRPr="00FD211F">
        <w:rPr>
          <w:sz w:val="36"/>
          <w:szCs w:val="36"/>
          <w:rtl/>
        </w:rPr>
        <w:t>والحج</w:t>
      </w:r>
      <w:r w:rsidR="00603323" w:rsidRPr="00FD211F">
        <w:rPr>
          <w:sz w:val="36"/>
          <w:szCs w:val="36"/>
          <w:rtl/>
        </w:rPr>
        <w:t>،</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يمكن</w:t>
      </w:r>
      <w:r w:rsidR="00E8128F">
        <w:rPr>
          <w:sz w:val="36"/>
          <w:szCs w:val="36"/>
          <w:rtl/>
        </w:rPr>
        <w:t xml:space="preserve"> </w:t>
      </w:r>
      <w:r w:rsidRPr="00FD211F">
        <w:rPr>
          <w:sz w:val="36"/>
          <w:szCs w:val="36"/>
          <w:rtl/>
        </w:rPr>
        <w:t>ان</w:t>
      </w:r>
      <w:r w:rsidR="00E8128F">
        <w:rPr>
          <w:sz w:val="36"/>
          <w:szCs w:val="36"/>
          <w:rtl/>
        </w:rPr>
        <w:t xml:space="preserve"> </w:t>
      </w:r>
      <w:r w:rsidR="00485077" w:rsidRPr="00FD211F">
        <w:rPr>
          <w:sz w:val="36"/>
          <w:szCs w:val="36"/>
          <w:rtl/>
        </w:rPr>
        <w:t>تعتبر</w:t>
      </w:r>
      <w:r w:rsidR="00E8128F">
        <w:rPr>
          <w:sz w:val="36"/>
          <w:szCs w:val="36"/>
          <w:rtl/>
        </w:rPr>
        <w:t xml:space="preserve"> </w:t>
      </w:r>
      <w:r w:rsidR="0090343B" w:rsidRPr="00FD211F">
        <w:rPr>
          <w:sz w:val="36"/>
          <w:szCs w:val="36"/>
          <w:rtl/>
        </w:rPr>
        <w:t>مس</w:t>
      </w:r>
      <w:r w:rsidR="008F7B6E" w:rsidRPr="00FD211F">
        <w:rPr>
          <w:sz w:val="36"/>
          <w:szCs w:val="36"/>
          <w:rtl/>
        </w:rPr>
        <w:t>أ</w:t>
      </w:r>
      <w:r w:rsidR="0090343B" w:rsidRPr="00FD211F">
        <w:rPr>
          <w:sz w:val="36"/>
          <w:szCs w:val="36"/>
          <w:rtl/>
        </w:rPr>
        <w:t>ل</w:t>
      </w:r>
      <w:r w:rsidR="00EC7EDF" w:rsidRPr="00FD211F">
        <w:rPr>
          <w:sz w:val="36"/>
          <w:szCs w:val="36"/>
          <w:rtl/>
        </w:rPr>
        <w:t>ة</w:t>
      </w:r>
      <w:r w:rsidR="00E8128F">
        <w:rPr>
          <w:sz w:val="36"/>
          <w:szCs w:val="36"/>
          <w:rtl/>
        </w:rPr>
        <w:t xml:space="preserve"> </w:t>
      </w:r>
      <w:r w:rsidR="0090343B" w:rsidRPr="00FD211F">
        <w:rPr>
          <w:sz w:val="36"/>
          <w:szCs w:val="36"/>
          <w:rtl/>
        </w:rPr>
        <w:t>اقتضاء</w:t>
      </w:r>
      <w:r w:rsidR="00E8128F">
        <w:rPr>
          <w:sz w:val="36"/>
          <w:szCs w:val="36"/>
          <w:rtl/>
        </w:rPr>
        <w:t xml:space="preserve"> </w:t>
      </w:r>
      <w:r w:rsidR="0090343B" w:rsidRPr="00FD211F">
        <w:rPr>
          <w:sz w:val="36"/>
          <w:szCs w:val="36"/>
          <w:rtl/>
        </w:rPr>
        <w:t>النهي</w:t>
      </w:r>
      <w:r w:rsidR="00E8128F">
        <w:rPr>
          <w:sz w:val="36"/>
          <w:szCs w:val="36"/>
          <w:rtl/>
        </w:rPr>
        <w:t xml:space="preserve"> </w:t>
      </w:r>
      <w:r w:rsidR="0090343B" w:rsidRPr="00FD211F">
        <w:rPr>
          <w:sz w:val="36"/>
          <w:szCs w:val="36"/>
          <w:rtl/>
        </w:rPr>
        <w:t>عن</w:t>
      </w:r>
      <w:r w:rsidR="00E8128F">
        <w:rPr>
          <w:sz w:val="36"/>
          <w:szCs w:val="36"/>
          <w:rtl/>
        </w:rPr>
        <w:t xml:space="preserve"> </w:t>
      </w:r>
      <w:r w:rsidR="0090343B" w:rsidRPr="00FD211F">
        <w:rPr>
          <w:sz w:val="36"/>
          <w:szCs w:val="36"/>
          <w:rtl/>
        </w:rPr>
        <w:t>العباد</w:t>
      </w:r>
      <w:r w:rsidR="00EC7EDF" w:rsidRPr="00FD211F">
        <w:rPr>
          <w:sz w:val="36"/>
          <w:szCs w:val="36"/>
          <w:rtl/>
        </w:rPr>
        <w:t>ة</w:t>
      </w:r>
      <w:r w:rsidR="00E8128F">
        <w:rPr>
          <w:sz w:val="36"/>
          <w:szCs w:val="36"/>
          <w:rtl/>
        </w:rPr>
        <w:t xml:space="preserve"> </w:t>
      </w:r>
      <w:r w:rsidR="0090343B" w:rsidRPr="00FD211F">
        <w:rPr>
          <w:sz w:val="36"/>
          <w:szCs w:val="36"/>
          <w:rtl/>
        </w:rPr>
        <w:t>للفساد</w:t>
      </w:r>
      <w:r w:rsidR="00E8128F">
        <w:rPr>
          <w:sz w:val="36"/>
          <w:szCs w:val="36"/>
          <w:rtl/>
        </w:rPr>
        <w:t xml:space="preserve"> </w:t>
      </w:r>
      <w:r w:rsidR="0090343B" w:rsidRPr="00FD211F">
        <w:rPr>
          <w:sz w:val="36"/>
          <w:szCs w:val="36"/>
          <w:rtl/>
        </w:rPr>
        <w:t>جزءا</w:t>
      </w:r>
      <w:r w:rsidR="00E8128F">
        <w:rPr>
          <w:sz w:val="36"/>
          <w:szCs w:val="36"/>
          <w:rtl/>
        </w:rPr>
        <w:t xml:space="preserve"> </w:t>
      </w:r>
      <w:r w:rsidR="0090343B" w:rsidRPr="00FD211F">
        <w:rPr>
          <w:sz w:val="36"/>
          <w:szCs w:val="36"/>
          <w:rtl/>
        </w:rPr>
        <w:t>من</w:t>
      </w:r>
      <w:r w:rsidR="00E8128F">
        <w:rPr>
          <w:sz w:val="36"/>
          <w:szCs w:val="36"/>
          <w:rtl/>
        </w:rPr>
        <w:t xml:space="preserve"> </w:t>
      </w:r>
      <w:r w:rsidR="0090343B" w:rsidRPr="00FD211F">
        <w:rPr>
          <w:sz w:val="36"/>
          <w:szCs w:val="36"/>
          <w:rtl/>
        </w:rPr>
        <w:t>مسال</w:t>
      </w:r>
      <w:r w:rsidR="00EC7EDF" w:rsidRPr="00FD211F">
        <w:rPr>
          <w:sz w:val="36"/>
          <w:szCs w:val="36"/>
          <w:rtl/>
        </w:rPr>
        <w:t>ة</w:t>
      </w:r>
      <w:r w:rsidR="00E8128F">
        <w:rPr>
          <w:sz w:val="36"/>
          <w:szCs w:val="36"/>
          <w:rtl/>
        </w:rPr>
        <w:t xml:space="preserve"> </w:t>
      </w:r>
      <w:r w:rsidR="0090343B" w:rsidRPr="00FD211F">
        <w:rPr>
          <w:sz w:val="36"/>
          <w:szCs w:val="36"/>
          <w:rtl/>
        </w:rPr>
        <w:t>اقتضاء</w:t>
      </w:r>
      <w:r w:rsidR="00E8128F">
        <w:rPr>
          <w:sz w:val="36"/>
          <w:szCs w:val="36"/>
          <w:rtl/>
        </w:rPr>
        <w:t xml:space="preserve"> </w:t>
      </w:r>
      <w:r w:rsidR="0090343B" w:rsidRPr="00FD211F">
        <w:rPr>
          <w:sz w:val="36"/>
          <w:szCs w:val="36"/>
          <w:rtl/>
        </w:rPr>
        <w:t>النهي</w:t>
      </w:r>
      <w:r w:rsidR="00E8128F">
        <w:rPr>
          <w:sz w:val="36"/>
          <w:szCs w:val="36"/>
          <w:rtl/>
        </w:rPr>
        <w:t xml:space="preserve"> </w:t>
      </w:r>
      <w:r w:rsidR="0090343B" w:rsidRPr="00FD211F">
        <w:rPr>
          <w:sz w:val="36"/>
          <w:szCs w:val="36"/>
          <w:rtl/>
        </w:rPr>
        <w:t>عن</w:t>
      </w:r>
      <w:r w:rsidR="00E8128F">
        <w:rPr>
          <w:sz w:val="36"/>
          <w:szCs w:val="36"/>
          <w:rtl/>
        </w:rPr>
        <w:t xml:space="preserve"> </w:t>
      </w:r>
      <w:r w:rsidR="0090343B" w:rsidRPr="00FD211F">
        <w:rPr>
          <w:sz w:val="36"/>
          <w:szCs w:val="36"/>
          <w:rtl/>
        </w:rPr>
        <w:t>العباد</w:t>
      </w:r>
      <w:r w:rsidR="00EC7EDF" w:rsidRPr="00FD211F">
        <w:rPr>
          <w:sz w:val="36"/>
          <w:szCs w:val="36"/>
          <w:rtl/>
        </w:rPr>
        <w:t>ة</w:t>
      </w:r>
      <w:r w:rsidR="00E8128F">
        <w:rPr>
          <w:sz w:val="36"/>
          <w:szCs w:val="36"/>
          <w:rtl/>
        </w:rPr>
        <w:t xml:space="preserve"> </w:t>
      </w:r>
      <w:r w:rsidR="0090343B" w:rsidRPr="00FD211F">
        <w:rPr>
          <w:sz w:val="36"/>
          <w:szCs w:val="36"/>
          <w:rtl/>
        </w:rPr>
        <w:t>او</w:t>
      </w:r>
      <w:r w:rsidR="00E8128F">
        <w:rPr>
          <w:sz w:val="36"/>
          <w:szCs w:val="36"/>
          <w:rtl/>
        </w:rPr>
        <w:t xml:space="preserve"> </w:t>
      </w:r>
      <w:r w:rsidR="0090343B" w:rsidRPr="00FD211F">
        <w:rPr>
          <w:sz w:val="36"/>
          <w:szCs w:val="36"/>
          <w:rtl/>
        </w:rPr>
        <w:t>المعامل</w:t>
      </w:r>
      <w:r w:rsidR="00EC7EDF" w:rsidRPr="00FD211F">
        <w:rPr>
          <w:sz w:val="36"/>
          <w:szCs w:val="36"/>
          <w:rtl/>
        </w:rPr>
        <w:t>ة</w:t>
      </w:r>
      <w:r w:rsidR="00E8128F">
        <w:rPr>
          <w:sz w:val="36"/>
          <w:szCs w:val="36"/>
          <w:rtl/>
        </w:rPr>
        <w:t xml:space="preserve"> </w:t>
      </w:r>
      <w:r w:rsidR="0090343B" w:rsidRPr="00FD211F">
        <w:rPr>
          <w:sz w:val="36"/>
          <w:szCs w:val="36"/>
          <w:rtl/>
        </w:rPr>
        <w:t>للفساد</w:t>
      </w:r>
      <w:r w:rsidR="00603323" w:rsidRPr="00FD211F">
        <w:rPr>
          <w:sz w:val="36"/>
          <w:szCs w:val="36"/>
          <w:rtl/>
        </w:rPr>
        <w:t>،</w:t>
      </w:r>
      <w:r w:rsidR="00E8128F">
        <w:rPr>
          <w:sz w:val="36"/>
          <w:szCs w:val="36"/>
          <w:rtl/>
        </w:rPr>
        <w:t xml:space="preserve"> </w:t>
      </w:r>
      <w:r w:rsidR="0090343B" w:rsidRPr="00FD211F">
        <w:rPr>
          <w:sz w:val="36"/>
          <w:szCs w:val="36"/>
          <w:rtl/>
        </w:rPr>
        <w:t>فالظاهر</w:t>
      </w:r>
      <w:r w:rsidR="00E8128F">
        <w:rPr>
          <w:sz w:val="36"/>
          <w:szCs w:val="36"/>
          <w:rtl/>
        </w:rPr>
        <w:t xml:space="preserve"> </w:t>
      </w:r>
      <w:r w:rsidR="0090343B" w:rsidRPr="00FD211F">
        <w:rPr>
          <w:sz w:val="36"/>
          <w:szCs w:val="36"/>
          <w:rtl/>
        </w:rPr>
        <w:t>هو</w:t>
      </w:r>
      <w:r w:rsidR="00E8128F">
        <w:rPr>
          <w:sz w:val="36"/>
          <w:szCs w:val="36"/>
          <w:rtl/>
        </w:rPr>
        <w:t xml:space="preserve"> </w:t>
      </w:r>
      <w:r w:rsidR="0090343B" w:rsidRPr="00FD211F">
        <w:rPr>
          <w:sz w:val="36"/>
          <w:szCs w:val="36"/>
          <w:rtl/>
        </w:rPr>
        <w:t>اعتبار</w:t>
      </w:r>
      <w:r w:rsidR="00E8128F">
        <w:rPr>
          <w:sz w:val="36"/>
          <w:szCs w:val="36"/>
          <w:rtl/>
        </w:rPr>
        <w:t xml:space="preserve"> </w:t>
      </w:r>
      <w:r w:rsidR="0090343B" w:rsidRPr="00FD211F">
        <w:rPr>
          <w:sz w:val="36"/>
          <w:szCs w:val="36"/>
          <w:rtl/>
        </w:rPr>
        <w:t>قيد</w:t>
      </w:r>
      <w:r w:rsidR="00E8128F">
        <w:rPr>
          <w:sz w:val="36"/>
          <w:szCs w:val="36"/>
          <w:rtl/>
        </w:rPr>
        <w:t xml:space="preserve"> </w:t>
      </w:r>
      <w:r w:rsidR="0090343B" w:rsidRPr="00FD211F">
        <w:rPr>
          <w:sz w:val="36"/>
          <w:szCs w:val="36"/>
          <w:rtl/>
        </w:rPr>
        <w:t>الاشتراك</w:t>
      </w:r>
      <w:r w:rsidR="00E8128F">
        <w:rPr>
          <w:sz w:val="36"/>
          <w:szCs w:val="36"/>
          <w:rtl/>
        </w:rPr>
        <w:t xml:space="preserve"> </w:t>
      </w:r>
      <w:r w:rsidR="0090343B" w:rsidRPr="00FD211F">
        <w:rPr>
          <w:sz w:val="36"/>
          <w:szCs w:val="36"/>
          <w:rtl/>
        </w:rPr>
        <w:t>بل</w:t>
      </w:r>
      <w:r w:rsidR="00E8128F">
        <w:rPr>
          <w:sz w:val="36"/>
          <w:szCs w:val="36"/>
          <w:rtl/>
        </w:rPr>
        <w:t xml:space="preserve"> </w:t>
      </w:r>
      <w:r w:rsidR="0090343B" w:rsidRPr="00FD211F">
        <w:rPr>
          <w:sz w:val="36"/>
          <w:szCs w:val="36"/>
          <w:rtl/>
        </w:rPr>
        <w:t>يعتبر</w:t>
      </w:r>
      <w:r w:rsidR="00E8128F">
        <w:rPr>
          <w:sz w:val="36"/>
          <w:szCs w:val="36"/>
          <w:rtl/>
        </w:rPr>
        <w:t xml:space="preserve"> </w:t>
      </w:r>
      <w:r w:rsidR="0090343B" w:rsidRPr="00FD211F">
        <w:rPr>
          <w:sz w:val="36"/>
          <w:szCs w:val="36"/>
          <w:rtl/>
        </w:rPr>
        <w:lastRenderedPageBreak/>
        <w:t>مضافا</w:t>
      </w:r>
      <w:r w:rsidR="00E8128F">
        <w:rPr>
          <w:sz w:val="36"/>
          <w:szCs w:val="36"/>
          <w:rtl/>
        </w:rPr>
        <w:t xml:space="preserve"> </w:t>
      </w:r>
      <w:r w:rsidR="0090343B" w:rsidRPr="00FD211F">
        <w:rPr>
          <w:sz w:val="36"/>
          <w:szCs w:val="36"/>
          <w:rtl/>
        </w:rPr>
        <w:t>اليه</w:t>
      </w:r>
      <w:r w:rsidR="00E8128F">
        <w:rPr>
          <w:sz w:val="36"/>
          <w:szCs w:val="36"/>
          <w:rtl/>
        </w:rPr>
        <w:t xml:space="preserve"> </w:t>
      </w:r>
      <w:r w:rsidR="0090343B" w:rsidRPr="00FD211F">
        <w:rPr>
          <w:sz w:val="36"/>
          <w:szCs w:val="36"/>
          <w:rtl/>
        </w:rPr>
        <w:t>ان</w:t>
      </w:r>
      <w:r w:rsidR="00E8128F">
        <w:rPr>
          <w:sz w:val="36"/>
          <w:szCs w:val="36"/>
          <w:rtl/>
        </w:rPr>
        <w:t xml:space="preserve"> </w:t>
      </w:r>
      <w:r w:rsidR="0090343B" w:rsidRPr="00FD211F">
        <w:rPr>
          <w:sz w:val="36"/>
          <w:szCs w:val="36"/>
          <w:rtl/>
        </w:rPr>
        <w:t>تكون</w:t>
      </w:r>
      <w:r w:rsidR="00E8128F">
        <w:rPr>
          <w:sz w:val="36"/>
          <w:szCs w:val="36"/>
          <w:rtl/>
        </w:rPr>
        <w:t xml:space="preserve"> </w:t>
      </w:r>
      <w:r w:rsidR="0090343B" w:rsidRPr="00FD211F">
        <w:rPr>
          <w:sz w:val="36"/>
          <w:szCs w:val="36"/>
          <w:rtl/>
        </w:rPr>
        <w:t>القاعد</w:t>
      </w:r>
      <w:r w:rsidR="00EC7EDF" w:rsidRPr="00FD211F">
        <w:rPr>
          <w:sz w:val="36"/>
          <w:szCs w:val="36"/>
          <w:rtl/>
        </w:rPr>
        <w:t>ة</w:t>
      </w:r>
      <w:r w:rsidR="00E8128F">
        <w:rPr>
          <w:sz w:val="36"/>
          <w:szCs w:val="36"/>
          <w:rtl/>
        </w:rPr>
        <w:t xml:space="preserve"> </w:t>
      </w:r>
      <w:r w:rsidR="0090343B" w:rsidRPr="00FD211F">
        <w:rPr>
          <w:sz w:val="36"/>
          <w:szCs w:val="36"/>
          <w:rtl/>
        </w:rPr>
        <w:t>الاصولي</w:t>
      </w:r>
      <w:r w:rsidR="00EC7EDF" w:rsidRPr="00FD211F">
        <w:rPr>
          <w:sz w:val="36"/>
          <w:szCs w:val="36"/>
          <w:rtl/>
        </w:rPr>
        <w:t>ة</w:t>
      </w:r>
      <w:r w:rsidR="00E8128F">
        <w:rPr>
          <w:sz w:val="36"/>
          <w:szCs w:val="36"/>
          <w:rtl/>
        </w:rPr>
        <w:t xml:space="preserve"> </w:t>
      </w:r>
      <w:r w:rsidR="0090343B" w:rsidRPr="00FD211F">
        <w:rPr>
          <w:sz w:val="36"/>
          <w:szCs w:val="36"/>
          <w:rtl/>
        </w:rPr>
        <w:t>سيال</w:t>
      </w:r>
      <w:r w:rsidR="00EC7EDF" w:rsidRPr="00FD211F">
        <w:rPr>
          <w:sz w:val="36"/>
          <w:szCs w:val="36"/>
          <w:rtl/>
        </w:rPr>
        <w:t>ة</w:t>
      </w:r>
      <w:r w:rsidR="00E8128F">
        <w:rPr>
          <w:sz w:val="36"/>
          <w:szCs w:val="36"/>
          <w:rtl/>
        </w:rPr>
        <w:t xml:space="preserve"> </w:t>
      </w:r>
      <w:r w:rsidR="0090343B" w:rsidRPr="00FD211F">
        <w:rPr>
          <w:sz w:val="36"/>
          <w:szCs w:val="36"/>
          <w:rtl/>
        </w:rPr>
        <w:t>في</w:t>
      </w:r>
      <w:r w:rsidR="00E8128F">
        <w:rPr>
          <w:sz w:val="36"/>
          <w:szCs w:val="36"/>
          <w:rtl/>
        </w:rPr>
        <w:t xml:space="preserve"> </w:t>
      </w:r>
      <w:r w:rsidR="0090343B" w:rsidRPr="00FD211F">
        <w:rPr>
          <w:sz w:val="36"/>
          <w:szCs w:val="36"/>
          <w:rtl/>
        </w:rPr>
        <w:t>الفقه</w:t>
      </w:r>
      <w:r w:rsidR="00E8128F">
        <w:rPr>
          <w:sz w:val="36"/>
          <w:szCs w:val="36"/>
          <w:rtl/>
        </w:rPr>
        <w:t xml:space="preserve"> </w:t>
      </w:r>
      <w:r w:rsidR="00485077" w:rsidRPr="00FD211F">
        <w:rPr>
          <w:sz w:val="36"/>
          <w:szCs w:val="36"/>
          <w:rtl/>
        </w:rPr>
        <w:t>بحدمّا</w:t>
      </w:r>
      <w:r w:rsidR="00603323" w:rsidRPr="00FD211F">
        <w:rPr>
          <w:sz w:val="36"/>
          <w:szCs w:val="36"/>
          <w:rtl/>
        </w:rPr>
        <w:t>،</w:t>
      </w:r>
      <w:r w:rsidR="00E8128F">
        <w:rPr>
          <w:sz w:val="36"/>
          <w:szCs w:val="36"/>
          <w:rtl/>
        </w:rPr>
        <w:t xml:space="preserve"> </w:t>
      </w:r>
      <w:r w:rsidR="00485077" w:rsidRPr="00FD211F">
        <w:rPr>
          <w:sz w:val="36"/>
          <w:szCs w:val="36"/>
          <w:rtl/>
        </w:rPr>
        <w:t>فمثل</w:t>
      </w:r>
      <w:r w:rsidR="00E8128F">
        <w:rPr>
          <w:sz w:val="36"/>
          <w:szCs w:val="36"/>
          <w:rtl/>
        </w:rPr>
        <w:t xml:space="preserve"> </w:t>
      </w:r>
      <w:r w:rsidR="00B017F3" w:rsidRPr="00FD211F">
        <w:rPr>
          <w:sz w:val="36"/>
          <w:szCs w:val="36"/>
          <w:rtl/>
        </w:rPr>
        <w:t>البحث</w:t>
      </w:r>
      <w:r w:rsidR="00E8128F">
        <w:rPr>
          <w:sz w:val="36"/>
          <w:szCs w:val="36"/>
          <w:rtl/>
        </w:rPr>
        <w:t xml:space="preserve"> </w:t>
      </w:r>
      <w:r w:rsidR="00B017F3" w:rsidRPr="00FD211F">
        <w:rPr>
          <w:sz w:val="36"/>
          <w:szCs w:val="36"/>
          <w:rtl/>
        </w:rPr>
        <w:t>عن</w:t>
      </w:r>
      <w:r w:rsidR="00E8128F">
        <w:rPr>
          <w:sz w:val="36"/>
          <w:szCs w:val="36"/>
          <w:rtl/>
        </w:rPr>
        <w:t xml:space="preserve"> </w:t>
      </w:r>
      <w:r w:rsidR="00B017F3" w:rsidRPr="00FD211F">
        <w:rPr>
          <w:sz w:val="36"/>
          <w:szCs w:val="36"/>
          <w:rtl/>
        </w:rPr>
        <w:t>ظهور</w:t>
      </w:r>
      <w:r w:rsidR="00E8128F">
        <w:rPr>
          <w:sz w:val="36"/>
          <w:szCs w:val="36"/>
          <w:rtl/>
        </w:rPr>
        <w:t xml:space="preserve"> </w:t>
      </w:r>
      <w:r w:rsidR="00B017F3" w:rsidRPr="00FD211F">
        <w:rPr>
          <w:sz w:val="36"/>
          <w:szCs w:val="36"/>
          <w:rtl/>
        </w:rPr>
        <w:t>كلم</w:t>
      </w:r>
      <w:r w:rsidR="00EC7EDF" w:rsidRPr="00FD211F">
        <w:rPr>
          <w:sz w:val="36"/>
          <w:szCs w:val="36"/>
          <w:rtl/>
        </w:rPr>
        <w:t>ة</w:t>
      </w:r>
      <w:r w:rsidR="00E8128F">
        <w:rPr>
          <w:sz w:val="36"/>
          <w:szCs w:val="36"/>
          <w:rtl/>
        </w:rPr>
        <w:t xml:space="preserve"> </w:t>
      </w:r>
      <w:r w:rsidR="00B017F3" w:rsidRPr="00FD211F">
        <w:rPr>
          <w:sz w:val="36"/>
          <w:szCs w:val="36"/>
          <w:rtl/>
        </w:rPr>
        <w:t>الامام</w:t>
      </w:r>
      <w:r w:rsidR="00E8128F">
        <w:rPr>
          <w:sz w:val="36"/>
          <w:szCs w:val="36"/>
          <w:rtl/>
        </w:rPr>
        <w:t xml:space="preserve"> </w:t>
      </w:r>
      <w:r w:rsidR="00B017F3" w:rsidRPr="00FD211F">
        <w:rPr>
          <w:sz w:val="36"/>
          <w:szCs w:val="36"/>
          <w:rtl/>
        </w:rPr>
        <w:t>في</w:t>
      </w:r>
      <w:r w:rsidR="00E8128F">
        <w:rPr>
          <w:sz w:val="36"/>
          <w:szCs w:val="36"/>
          <w:rtl/>
        </w:rPr>
        <w:t xml:space="preserve"> </w:t>
      </w:r>
      <w:r w:rsidR="00B017F3" w:rsidRPr="00FD211F">
        <w:rPr>
          <w:sz w:val="36"/>
          <w:szCs w:val="36"/>
          <w:rtl/>
        </w:rPr>
        <w:t>الروايات</w:t>
      </w:r>
      <w:r w:rsidR="00E8128F">
        <w:rPr>
          <w:sz w:val="36"/>
          <w:szCs w:val="36"/>
          <w:rtl/>
        </w:rPr>
        <w:t xml:space="preserve"> </w:t>
      </w:r>
      <w:r w:rsidR="00B017F3" w:rsidRPr="00FD211F">
        <w:rPr>
          <w:sz w:val="36"/>
          <w:szCs w:val="36"/>
          <w:rtl/>
        </w:rPr>
        <w:t>في</w:t>
      </w:r>
      <w:r w:rsidR="00E8128F">
        <w:rPr>
          <w:sz w:val="36"/>
          <w:szCs w:val="36"/>
          <w:rtl/>
        </w:rPr>
        <w:t xml:space="preserve"> </w:t>
      </w:r>
      <w:r w:rsidR="00B017F3" w:rsidRPr="00FD211F">
        <w:rPr>
          <w:sz w:val="36"/>
          <w:szCs w:val="36"/>
          <w:rtl/>
        </w:rPr>
        <w:t>الامام</w:t>
      </w:r>
      <w:r w:rsidR="00E8128F">
        <w:rPr>
          <w:sz w:val="36"/>
          <w:szCs w:val="36"/>
          <w:rtl/>
        </w:rPr>
        <w:t xml:space="preserve"> </w:t>
      </w:r>
      <w:r w:rsidR="00B017F3" w:rsidRPr="00FD211F">
        <w:rPr>
          <w:sz w:val="36"/>
          <w:szCs w:val="36"/>
          <w:rtl/>
        </w:rPr>
        <w:t>المعصوم</w:t>
      </w:r>
      <w:r w:rsidR="00E8128F">
        <w:rPr>
          <w:sz w:val="36"/>
          <w:szCs w:val="36"/>
          <w:rtl/>
        </w:rPr>
        <w:t xml:space="preserve"> </w:t>
      </w:r>
      <w:r w:rsidR="00B017F3" w:rsidRPr="00FD211F">
        <w:rPr>
          <w:sz w:val="36"/>
          <w:szCs w:val="36"/>
          <w:rtl/>
        </w:rPr>
        <w:t>او</w:t>
      </w:r>
      <w:r w:rsidR="00E8128F">
        <w:rPr>
          <w:sz w:val="36"/>
          <w:szCs w:val="36"/>
          <w:rtl/>
        </w:rPr>
        <w:t xml:space="preserve"> </w:t>
      </w:r>
      <w:r w:rsidR="00B017F3" w:rsidRPr="00FD211F">
        <w:rPr>
          <w:sz w:val="36"/>
          <w:szCs w:val="36"/>
          <w:rtl/>
        </w:rPr>
        <w:t>مطلق</w:t>
      </w:r>
      <w:r w:rsidR="00E8128F">
        <w:rPr>
          <w:sz w:val="36"/>
          <w:szCs w:val="36"/>
          <w:rtl/>
        </w:rPr>
        <w:t xml:space="preserve"> </w:t>
      </w:r>
      <w:r w:rsidR="00B017F3" w:rsidRPr="00FD211F">
        <w:rPr>
          <w:sz w:val="36"/>
          <w:szCs w:val="36"/>
          <w:rtl/>
        </w:rPr>
        <w:t>الحاكم</w:t>
      </w:r>
      <w:r w:rsidR="00E8128F">
        <w:rPr>
          <w:sz w:val="36"/>
          <w:szCs w:val="36"/>
          <w:rtl/>
        </w:rPr>
        <w:t xml:space="preserve"> </w:t>
      </w:r>
      <w:r w:rsidR="00B017F3" w:rsidRPr="00FD211F">
        <w:rPr>
          <w:sz w:val="36"/>
          <w:szCs w:val="36"/>
          <w:rtl/>
        </w:rPr>
        <w:t>الشرعي</w:t>
      </w:r>
      <w:r w:rsidR="00E8128F">
        <w:rPr>
          <w:sz w:val="36"/>
          <w:szCs w:val="36"/>
          <w:rtl/>
        </w:rPr>
        <w:t xml:space="preserve"> </w:t>
      </w:r>
      <w:r w:rsidR="0090343B"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مشتركا</w:t>
      </w:r>
      <w:r w:rsidR="00E8128F">
        <w:rPr>
          <w:sz w:val="36"/>
          <w:szCs w:val="36"/>
          <w:rtl/>
        </w:rPr>
        <w:t xml:space="preserve"> </w:t>
      </w:r>
      <w:r w:rsidRPr="00FD211F">
        <w:rPr>
          <w:sz w:val="36"/>
          <w:szCs w:val="36"/>
          <w:rtl/>
        </w:rPr>
        <w:t>في</w:t>
      </w:r>
      <w:r w:rsidR="00E8128F">
        <w:rPr>
          <w:sz w:val="36"/>
          <w:szCs w:val="36"/>
          <w:rtl/>
        </w:rPr>
        <w:t xml:space="preserve"> </w:t>
      </w:r>
      <w:r w:rsidR="00B017F3" w:rsidRPr="00FD211F">
        <w:rPr>
          <w:sz w:val="36"/>
          <w:szCs w:val="36"/>
          <w:rtl/>
        </w:rPr>
        <w:t>ابواب</w:t>
      </w:r>
      <w:r w:rsidR="00E8128F">
        <w:rPr>
          <w:sz w:val="36"/>
          <w:szCs w:val="36"/>
          <w:rtl/>
        </w:rPr>
        <w:t xml:space="preserve"> </w:t>
      </w:r>
      <w:r w:rsidRPr="00FD211F">
        <w:rPr>
          <w:sz w:val="36"/>
          <w:szCs w:val="36"/>
          <w:rtl/>
        </w:rPr>
        <w:t>الفقه</w:t>
      </w:r>
      <w:r w:rsidR="00603323" w:rsidRPr="00FD211F">
        <w:rPr>
          <w:sz w:val="36"/>
          <w:szCs w:val="36"/>
          <w:rtl/>
        </w:rPr>
        <w:t>،</w:t>
      </w:r>
      <w:r w:rsidR="00E8128F">
        <w:rPr>
          <w:sz w:val="36"/>
          <w:szCs w:val="36"/>
          <w:rtl/>
        </w:rPr>
        <w:t xml:space="preserve"> </w:t>
      </w:r>
      <w:r w:rsidRPr="00FD211F">
        <w:rPr>
          <w:sz w:val="36"/>
          <w:szCs w:val="36"/>
          <w:rtl/>
        </w:rPr>
        <w:t>لكن</w:t>
      </w:r>
      <w:r w:rsidR="0090343B" w:rsidRPr="00FD211F">
        <w:rPr>
          <w:sz w:val="36"/>
          <w:szCs w:val="36"/>
          <w:rtl/>
        </w:rPr>
        <w:t>ه</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سيالا</w:t>
      </w:r>
      <w:r w:rsidR="00E8128F">
        <w:rPr>
          <w:sz w:val="36"/>
          <w:szCs w:val="36"/>
          <w:rtl/>
        </w:rPr>
        <w:t xml:space="preserve"> </w:t>
      </w:r>
      <w:r w:rsidR="00B017F3" w:rsidRPr="00FD211F">
        <w:rPr>
          <w:sz w:val="36"/>
          <w:szCs w:val="36"/>
          <w:rtl/>
        </w:rPr>
        <w:t>يبلغ</w:t>
      </w:r>
      <w:r w:rsidR="00E8128F">
        <w:rPr>
          <w:sz w:val="36"/>
          <w:szCs w:val="36"/>
          <w:rtl/>
        </w:rPr>
        <w:t xml:space="preserve"> </w:t>
      </w:r>
      <w:r w:rsidR="00B017F3" w:rsidRPr="00FD211F">
        <w:rPr>
          <w:sz w:val="36"/>
          <w:szCs w:val="36"/>
          <w:rtl/>
        </w:rPr>
        <w:t>درج</w:t>
      </w:r>
      <w:r w:rsidR="00EC7EDF" w:rsidRPr="00FD211F">
        <w:rPr>
          <w:sz w:val="36"/>
          <w:szCs w:val="36"/>
          <w:rtl/>
        </w:rPr>
        <w:t>ة</w:t>
      </w:r>
      <w:r w:rsidR="00E8128F">
        <w:rPr>
          <w:sz w:val="36"/>
          <w:szCs w:val="36"/>
          <w:rtl/>
        </w:rPr>
        <w:t xml:space="preserve"> </w:t>
      </w:r>
      <w:r w:rsidR="00B017F3" w:rsidRPr="00FD211F">
        <w:rPr>
          <w:sz w:val="36"/>
          <w:szCs w:val="36"/>
          <w:rtl/>
        </w:rPr>
        <w:t>من</w:t>
      </w:r>
      <w:r w:rsidR="00E8128F">
        <w:rPr>
          <w:sz w:val="36"/>
          <w:szCs w:val="36"/>
          <w:rtl/>
        </w:rPr>
        <w:t xml:space="preserve"> </w:t>
      </w:r>
      <w:r w:rsidR="00B017F3" w:rsidRPr="00FD211F">
        <w:rPr>
          <w:sz w:val="36"/>
          <w:szCs w:val="36"/>
          <w:rtl/>
        </w:rPr>
        <w:t>العمومي</w:t>
      </w:r>
      <w:r w:rsidR="00EC7EDF" w:rsidRPr="00FD211F">
        <w:rPr>
          <w:sz w:val="36"/>
          <w:szCs w:val="36"/>
          <w:rtl/>
        </w:rPr>
        <w:t>ة</w:t>
      </w:r>
      <w:r w:rsidR="00E8128F">
        <w:rPr>
          <w:sz w:val="36"/>
          <w:szCs w:val="36"/>
          <w:rtl/>
        </w:rPr>
        <w:t xml:space="preserve"> </w:t>
      </w:r>
      <w:r w:rsidR="00B017F3" w:rsidRPr="00FD211F">
        <w:rPr>
          <w:sz w:val="36"/>
          <w:szCs w:val="36"/>
          <w:rtl/>
        </w:rPr>
        <w:t>تجعله</w:t>
      </w:r>
      <w:r w:rsidR="00E8128F">
        <w:rPr>
          <w:sz w:val="36"/>
          <w:szCs w:val="36"/>
          <w:rtl/>
        </w:rPr>
        <w:t xml:space="preserve"> </w:t>
      </w:r>
      <w:r w:rsidR="00B017F3" w:rsidRPr="00FD211F">
        <w:rPr>
          <w:sz w:val="36"/>
          <w:szCs w:val="36"/>
          <w:rtl/>
        </w:rPr>
        <w:t>من</w:t>
      </w:r>
      <w:r w:rsidR="00E8128F">
        <w:rPr>
          <w:sz w:val="36"/>
          <w:szCs w:val="36"/>
          <w:rtl/>
        </w:rPr>
        <w:t xml:space="preserve"> </w:t>
      </w:r>
      <w:r w:rsidR="00B017F3" w:rsidRPr="00FD211F">
        <w:rPr>
          <w:sz w:val="36"/>
          <w:szCs w:val="36"/>
          <w:rtl/>
        </w:rPr>
        <w:t>اصول</w:t>
      </w:r>
      <w:r w:rsidR="00E8128F">
        <w:rPr>
          <w:sz w:val="36"/>
          <w:szCs w:val="36"/>
          <w:rtl/>
        </w:rPr>
        <w:t xml:space="preserve"> </w:t>
      </w:r>
      <w:r w:rsidR="00B017F3" w:rsidRPr="00FD211F">
        <w:rPr>
          <w:sz w:val="36"/>
          <w:szCs w:val="36"/>
          <w:rtl/>
        </w:rPr>
        <w:t>الفقه</w:t>
      </w:r>
      <w:r w:rsidR="00603323" w:rsidRPr="00FD211F">
        <w:rPr>
          <w:sz w:val="36"/>
          <w:szCs w:val="36"/>
          <w:rtl/>
        </w:rPr>
        <w:t>،</w:t>
      </w:r>
      <w:r w:rsidR="00E8128F">
        <w:rPr>
          <w:sz w:val="36"/>
          <w:szCs w:val="36"/>
          <w:rtl/>
        </w:rPr>
        <w:t xml:space="preserve"> </w:t>
      </w:r>
      <w:r w:rsidR="00B017F3" w:rsidRPr="00FD211F">
        <w:rPr>
          <w:sz w:val="36"/>
          <w:szCs w:val="36"/>
          <w:rtl/>
        </w:rPr>
        <w:t>بل</w:t>
      </w:r>
      <w:r w:rsidR="00E8128F">
        <w:rPr>
          <w:sz w:val="36"/>
          <w:szCs w:val="36"/>
          <w:rtl/>
        </w:rPr>
        <w:t xml:space="preserve"> </w:t>
      </w:r>
      <w:r w:rsidR="00B017F3" w:rsidRPr="00FD211F">
        <w:rPr>
          <w:sz w:val="36"/>
          <w:szCs w:val="36"/>
          <w:rtl/>
        </w:rPr>
        <w:t>يكون</w:t>
      </w:r>
      <w:r w:rsidR="00E8128F">
        <w:rPr>
          <w:sz w:val="36"/>
          <w:szCs w:val="36"/>
          <w:rtl/>
        </w:rPr>
        <w:t xml:space="preserve"> </w:t>
      </w:r>
      <w:r w:rsidR="00B017F3" w:rsidRPr="00FD211F">
        <w:rPr>
          <w:sz w:val="36"/>
          <w:szCs w:val="36"/>
          <w:rtl/>
        </w:rPr>
        <w:t>على</w:t>
      </w:r>
      <w:r w:rsidR="00E8128F">
        <w:rPr>
          <w:sz w:val="36"/>
          <w:szCs w:val="36"/>
          <w:rtl/>
        </w:rPr>
        <w:t xml:space="preserve"> </w:t>
      </w:r>
      <w:r w:rsidR="00B017F3" w:rsidRPr="00FD211F">
        <w:rPr>
          <w:sz w:val="36"/>
          <w:szCs w:val="36"/>
          <w:rtl/>
        </w:rPr>
        <w:t>وزان</w:t>
      </w:r>
      <w:r w:rsidR="00E8128F">
        <w:rPr>
          <w:sz w:val="36"/>
          <w:szCs w:val="36"/>
          <w:rtl/>
        </w:rPr>
        <w:t xml:space="preserve"> </w:t>
      </w:r>
      <w:r w:rsidR="00B017F3" w:rsidRPr="00FD211F">
        <w:rPr>
          <w:sz w:val="36"/>
          <w:szCs w:val="36"/>
          <w:rtl/>
        </w:rPr>
        <w:t>البحث</w:t>
      </w:r>
      <w:r w:rsidR="00E8128F">
        <w:rPr>
          <w:sz w:val="36"/>
          <w:szCs w:val="36"/>
          <w:rtl/>
        </w:rPr>
        <w:t xml:space="preserve"> </w:t>
      </w:r>
      <w:r w:rsidR="00B017F3" w:rsidRPr="00FD211F">
        <w:rPr>
          <w:sz w:val="36"/>
          <w:szCs w:val="36"/>
          <w:rtl/>
        </w:rPr>
        <w:t>عن</w:t>
      </w:r>
      <w:r w:rsidR="00E8128F">
        <w:rPr>
          <w:sz w:val="36"/>
          <w:szCs w:val="36"/>
          <w:rtl/>
        </w:rPr>
        <w:t xml:space="preserve"> </w:t>
      </w:r>
      <w:r w:rsidR="00B017F3" w:rsidRPr="00FD211F">
        <w:rPr>
          <w:sz w:val="36"/>
          <w:szCs w:val="36"/>
          <w:rtl/>
        </w:rPr>
        <w:t>سائر</w:t>
      </w:r>
      <w:r w:rsidR="00E8128F">
        <w:rPr>
          <w:sz w:val="36"/>
          <w:szCs w:val="36"/>
          <w:rtl/>
        </w:rPr>
        <w:t xml:space="preserve"> </w:t>
      </w:r>
      <w:r w:rsidR="005437CA" w:rsidRPr="00FD211F">
        <w:rPr>
          <w:sz w:val="36"/>
          <w:szCs w:val="36"/>
          <w:rtl/>
        </w:rPr>
        <w:t>المفردات</w:t>
      </w:r>
      <w:r w:rsidR="00E8128F">
        <w:rPr>
          <w:sz w:val="36"/>
          <w:szCs w:val="36"/>
          <w:rtl/>
        </w:rPr>
        <w:t xml:space="preserve"> </w:t>
      </w:r>
      <w:r w:rsidR="005437CA" w:rsidRPr="00FD211F">
        <w:rPr>
          <w:sz w:val="36"/>
          <w:szCs w:val="36"/>
          <w:rtl/>
        </w:rPr>
        <w:t>اللغوي</w:t>
      </w:r>
      <w:r w:rsidR="00EC7EDF" w:rsidRPr="00FD211F">
        <w:rPr>
          <w:sz w:val="36"/>
          <w:szCs w:val="36"/>
          <w:rtl/>
        </w:rPr>
        <w:t>ة</w:t>
      </w:r>
      <w:r w:rsidR="00E8128F">
        <w:rPr>
          <w:sz w:val="36"/>
          <w:szCs w:val="36"/>
          <w:rtl/>
        </w:rPr>
        <w:t xml:space="preserve"> </w:t>
      </w:r>
      <w:r w:rsidR="005437CA" w:rsidRPr="00FD211F">
        <w:rPr>
          <w:sz w:val="36"/>
          <w:szCs w:val="36"/>
          <w:rtl/>
        </w:rPr>
        <w:t>ككلم</w:t>
      </w:r>
      <w:r w:rsidR="00EC7EDF" w:rsidRPr="00FD211F">
        <w:rPr>
          <w:sz w:val="36"/>
          <w:szCs w:val="36"/>
          <w:rtl/>
        </w:rPr>
        <w:t>ة</w:t>
      </w:r>
      <w:r w:rsidR="00E8128F">
        <w:rPr>
          <w:sz w:val="36"/>
          <w:szCs w:val="36"/>
          <w:rtl/>
        </w:rPr>
        <w:t xml:space="preserve"> </w:t>
      </w:r>
      <w:r w:rsidR="005437CA" w:rsidRPr="00FD211F">
        <w:rPr>
          <w:sz w:val="36"/>
          <w:szCs w:val="36"/>
          <w:rtl/>
        </w:rPr>
        <w:t>الصعيد.</w:t>
      </w:r>
    </w:p>
    <w:p w14:paraId="1F9A55BA" w14:textId="77777777" w:rsidR="0090343B" w:rsidRPr="00FD211F" w:rsidRDefault="00B017F3" w:rsidP="009C58C8">
      <w:pPr>
        <w:ind w:left="0" w:firstLine="227"/>
        <w:jc w:val="both"/>
        <w:rPr>
          <w:sz w:val="36"/>
          <w:szCs w:val="36"/>
          <w:rtl/>
        </w:rPr>
      </w:pPr>
      <w:r w:rsidRPr="00FD211F">
        <w:rPr>
          <w:sz w:val="36"/>
          <w:szCs w:val="36"/>
          <w:rtl/>
        </w:rPr>
        <w:t>نعم</w:t>
      </w:r>
      <w:r w:rsidR="00E8128F">
        <w:rPr>
          <w:sz w:val="36"/>
          <w:szCs w:val="36"/>
          <w:rtl/>
        </w:rPr>
        <w:t xml:space="preserve"> </w:t>
      </w:r>
      <w:r w:rsidRPr="00FD211F">
        <w:rPr>
          <w:sz w:val="36"/>
          <w:szCs w:val="36"/>
          <w:rtl/>
        </w:rPr>
        <w:t>الانصاف</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تحديد</w:t>
      </w:r>
      <w:r w:rsidR="00E8128F">
        <w:rPr>
          <w:sz w:val="36"/>
          <w:szCs w:val="36"/>
          <w:rtl/>
        </w:rPr>
        <w:t xml:space="preserve"> </w:t>
      </w:r>
      <w:r w:rsidR="00B414B0" w:rsidRPr="00FD211F">
        <w:rPr>
          <w:sz w:val="36"/>
          <w:szCs w:val="36"/>
          <w:rtl/>
        </w:rPr>
        <w:t>مرتب</w:t>
      </w:r>
      <w:r w:rsidR="00EC7EDF" w:rsidRPr="00FD211F">
        <w:rPr>
          <w:sz w:val="36"/>
          <w:szCs w:val="36"/>
          <w:rtl/>
        </w:rPr>
        <w:t>ة</w:t>
      </w:r>
      <w:r w:rsidR="00E8128F">
        <w:rPr>
          <w:sz w:val="36"/>
          <w:szCs w:val="36"/>
          <w:rtl/>
        </w:rPr>
        <w:t xml:space="preserve"> </w:t>
      </w:r>
      <w:r w:rsidR="00B414B0" w:rsidRPr="00FD211F">
        <w:rPr>
          <w:sz w:val="36"/>
          <w:szCs w:val="36"/>
          <w:rtl/>
        </w:rPr>
        <w:t>العمومي</w:t>
      </w:r>
      <w:r w:rsidR="00EC7EDF" w:rsidRPr="00FD211F">
        <w:rPr>
          <w:sz w:val="36"/>
          <w:szCs w:val="36"/>
          <w:rtl/>
        </w:rPr>
        <w:t>ة</w:t>
      </w:r>
      <w:r w:rsidR="00E8128F">
        <w:rPr>
          <w:sz w:val="36"/>
          <w:szCs w:val="36"/>
          <w:rtl/>
        </w:rPr>
        <w:t xml:space="preserve"> </w:t>
      </w:r>
      <w:r w:rsidR="00B414B0" w:rsidRPr="00FD211F">
        <w:rPr>
          <w:sz w:val="36"/>
          <w:szCs w:val="36"/>
          <w:rtl/>
        </w:rPr>
        <w:t>التي</w:t>
      </w:r>
      <w:r w:rsidR="00E8128F">
        <w:rPr>
          <w:sz w:val="36"/>
          <w:szCs w:val="36"/>
          <w:rtl/>
        </w:rPr>
        <w:t xml:space="preserve"> </w:t>
      </w:r>
      <w:r w:rsidR="00B414B0" w:rsidRPr="00FD211F">
        <w:rPr>
          <w:sz w:val="36"/>
          <w:szCs w:val="36"/>
          <w:rtl/>
        </w:rPr>
        <w:t>يندرج</w:t>
      </w:r>
      <w:r w:rsidR="00E8128F">
        <w:rPr>
          <w:sz w:val="36"/>
          <w:szCs w:val="36"/>
          <w:rtl/>
        </w:rPr>
        <w:t xml:space="preserve"> </w:t>
      </w:r>
      <w:r w:rsidR="00B414B0" w:rsidRPr="00FD211F">
        <w:rPr>
          <w:sz w:val="36"/>
          <w:szCs w:val="36"/>
          <w:rtl/>
        </w:rPr>
        <w:t>لأجلها</w:t>
      </w:r>
      <w:r w:rsidR="00E8128F">
        <w:rPr>
          <w:sz w:val="36"/>
          <w:szCs w:val="36"/>
          <w:rtl/>
        </w:rPr>
        <w:t xml:space="preserve"> </w:t>
      </w:r>
      <w:r w:rsidR="00B414B0" w:rsidRPr="00FD211F">
        <w:rPr>
          <w:sz w:val="36"/>
          <w:szCs w:val="36"/>
          <w:rtl/>
        </w:rPr>
        <w:t>البحث</w:t>
      </w:r>
      <w:r w:rsidR="00E8128F">
        <w:rPr>
          <w:sz w:val="36"/>
          <w:szCs w:val="36"/>
          <w:rtl/>
        </w:rPr>
        <w:t xml:space="preserve"> </w:t>
      </w:r>
      <w:r w:rsidR="00B414B0" w:rsidRPr="00FD211F">
        <w:rPr>
          <w:sz w:val="36"/>
          <w:szCs w:val="36"/>
          <w:rtl/>
        </w:rPr>
        <w:t>في</w:t>
      </w:r>
      <w:r w:rsidR="00E8128F">
        <w:rPr>
          <w:sz w:val="36"/>
          <w:szCs w:val="36"/>
          <w:rtl/>
        </w:rPr>
        <w:t xml:space="preserve"> </w:t>
      </w:r>
      <w:r w:rsidR="00B414B0" w:rsidRPr="00FD211F">
        <w:rPr>
          <w:sz w:val="36"/>
          <w:szCs w:val="36"/>
          <w:rtl/>
        </w:rPr>
        <w:t>علم</w:t>
      </w:r>
      <w:r w:rsidR="00E8128F">
        <w:rPr>
          <w:sz w:val="36"/>
          <w:szCs w:val="36"/>
          <w:rtl/>
        </w:rPr>
        <w:t xml:space="preserve"> </w:t>
      </w:r>
      <w:r w:rsidR="00B414B0" w:rsidRPr="00FD211F">
        <w:rPr>
          <w:sz w:val="36"/>
          <w:szCs w:val="36"/>
          <w:rtl/>
        </w:rPr>
        <w:t>الاصول</w:t>
      </w:r>
      <w:r w:rsidR="00E8128F">
        <w:rPr>
          <w:sz w:val="36"/>
          <w:szCs w:val="36"/>
          <w:rtl/>
        </w:rPr>
        <w:t xml:space="preserve"> </w:t>
      </w:r>
      <w:r w:rsidR="00B414B0" w:rsidRPr="00FD211F">
        <w:rPr>
          <w:sz w:val="36"/>
          <w:szCs w:val="36"/>
          <w:rtl/>
        </w:rPr>
        <w:t>غير</w:t>
      </w:r>
      <w:r w:rsidR="00E8128F">
        <w:rPr>
          <w:sz w:val="36"/>
          <w:szCs w:val="36"/>
          <w:rtl/>
        </w:rPr>
        <w:t xml:space="preserve"> </w:t>
      </w:r>
      <w:r w:rsidR="00B414B0" w:rsidRPr="00FD211F">
        <w:rPr>
          <w:sz w:val="36"/>
          <w:szCs w:val="36"/>
          <w:rtl/>
        </w:rPr>
        <w:t>متيسر</w:t>
      </w:r>
      <w:r w:rsidR="00E8128F">
        <w:rPr>
          <w:sz w:val="36"/>
          <w:szCs w:val="36"/>
          <w:rtl/>
        </w:rPr>
        <w:t xml:space="preserve"> </w:t>
      </w:r>
      <w:r w:rsidR="00485077" w:rsidRPr="00FD211F">
        <w:rPr>
          <w:sz w:val="36"/>
          <w:szCs w:val="36"/>
          <w:rtl/>
        </w:rPr>
        <w:t>بل</w:t>
      </w:r>
      <w:r w:rsidR="00E8128F">
        <w:rPr>
          <w:sz w:val="36"/>
          <w:szCs w:val="36"/>
          <w:rtl/>
        </w:rPr>
        <w:t xml:space="preserve"> </w:t>
      </w:r>
      <w:r w:rsidR="00485077" w:rsidRPr="00FD211F">
        <w:rPr>
          <w:sz w:val="36"/>
          <w:szCs w:val="36"/>
          <w:rtl/>
        </w:rPr>
        <w:t>يواجه</w:t>
      </w:r>
      <w:r w:rsidR="00E8128F">
        <w:rPr>
          <w:sz w:val="36"/>
          <w:szCs w:val="36"/>
          <w:rtl/>
        </w:rPr>
        <w:t xml:space="preserve"> </w:t>
      </w:r>
      <w:r w:rsidR="00485077" w:rsidRPr="00FD211F">
        <w:rPr>
          <w:sz w:val="36"/>
          <w:szCs w:val="36"/>
          <w:rtl/>
        </w:rPr>
        <w:t>المشكل</w:t>
      </w:r>
      <w:r w:rsidR="00EC7EDF" w:rsidRPr="00FD211F">
        <w:rPr>
          <w:sz w:val="36"/>
          <w:szCs w:val="36"/>
          <w:rtl/>
        </w:rPr>
        <w:t>ة</w:t>
      </w:r>
      <w:r w:rsidR="00603323" w:rsidRPr="00FD211F">
        <w:rPr>
          <w:sz w:val="36"/>
          <w:szCs w:val="36"/>
          <w:rtl/>
        </w:rPr>
        <w:t>،</w:t>
      </w:r>
      <w:r w:rsidR="00E8128F">
        <w:rPr>
          <w:sz w:val="36"/>
          <w:szCs w:val="36"/>
          <w:rtl/>
        </w:rPr>
        <w:t xml:space="preserve"> </w:t>
      </w:r>
      <w:r w:rsidR="00485077" w:rsidRPr="00FD211F">
        <w:rPr>
          <w:sz w:val="36"/>
          <w:szCs w:val="36"/>
          <w:rtl/>
        </w:rPr>
        <w:t>فكيف</w:t>
      </w:r>
      <w:r w:rsidR="00E8128F">
        <w:rPr>
          <w:sz w:val="36"/>
          <w:szCs w:val="36"/>
          <w:rtl/>
        </w:rPr>
        <w:t xml:space="preserve"> </w:t>
      </w:r>
      <w:r w:rsidR="00485077" w:rsidRPr="00FD211F">
        <w:rPr>
          <w:sz w:val="36"/>
          <w:szCs w:val="36"/>
          <w:rtl/>
        </w:rPr>
        <w:t>يجعل</w:t>
      </w:r>
      <w:r w:rsidR="00E8128F">
        <w:rPr>
          <w:sz w:val="36"/>
          <w:szCs w:val="36"/>
          <w:rtl/>
        </w:rPr>
        <w:t xml:space="preserve"> </w:t>
      </w:r>
      <w:r w:rsidR="00485077" w:rsidRPr="00FD211F">
        <w:rPr>
          <w:sz w:val="36"/>
          <w:szCs w:val="36"/>
          <w:rtl/>
        </w:rPr>
        <w:t>البحث</w:t>
      </w:r>
      <w:r w:rsidR="00E8128F">
        <w:rPr>
          <w:sz w:val="36"/>
          <w:szCs w:val="36"/>
          <w:rtl/>
        </w:rPr>
        <w:t xml:space="preserve"> </w:t>
      </w:r>
      <w:r w:rsidR="00485077" w:rsidRPr="00FD211F">
        <w:rPr>
          <w:sz w:val="36"/>
          <w:szCs w:val="36"/>
          <w:rtl/>
        </w:rPr>
        <w:t>عن</w:t>
      </w:r>
      <w:r w:rsidR="00E8128F">
        <w:rPr>
          <w:sz w:val="36"/>
          <w:szCs w:val="36"/>
          <w:rtl/>
        </w:rPr>
        <w:t xml:space="preserve"> </w:t>
      </w:r>
      <w:r w:rsidR="00BD712F" w:rsidRPr="00FD211F">
        <w:rPr>
          <w:sz w:val="36"/>
          <w:szCs w:val="36"/>
          <w:rtl/>
        </w:rPr>
        <w:t>دلال</w:t>
      </w:r>
      <w:r w:rsidR="00EC7EDF" w:rsidRPr="00FD211F">
        <w:rPr>
          <w:sz w:val="36"/>
          <w:szCs w:val="36"/>
          <w:rtl/>
        </w:rPr>
        <w:t>ة</w:t>
      </w:r>
      <w:r w:rsidR="00E8128F">
        <w:rPr>
          <w:sz w:val="36"/>
          <w:szCs w:val="36"/>
          <w:rtl/>
        </w:rPr>
        <w:t xml:space="preserve"> </w:t>
      </w:r>
      <w:r w:rsidR="00BD712F" w:rsidRPr="00FD211F">
        <w:rPr>
          <w:sz w:val="36"/>
          <w:szCs w:val="36"/>
          <w:rtl/>
        </w:rPr>
        <w:t>ماد</w:t>
      </w:r>
      <w:r w:rsidR="00EC7EDF" w:rsidRPr="00FD211F">
        <w:rPr>
          <w:sz w:val="36"/>
          <w:szCs w:val="36"/>
          <w:rtl/>
        </w:rPr>
        <w:t>ة</w:t>
      </w:r>
      <w:r w:rsidR="00E8128F">
        <w:rPr>
          <w:sz w:val="36"/>
          <w:szCs w:val="36"/>
          <w:rtl/>
        </w:rPr>
        <w:t xml:space="preserve"> </w:t>
      </w:r>
      <w:r w:rsidR="001B3112" w:rsidRPr="00FD211F">
        <w:rPr>
          <w:sz w:val="36"/>
          <w:szCs w:val="36"/>
          <w:rtl/>
        </w:rPr>
        <w:t>الأمر</w:t>
      </w:r>
      <w:r w:rsidR="00E8128F">
        <w:rPr>
          <w:sz w:val="36"/>
          <w:szCs w:val="36"/>
          <w:rtl/>
        </w:rPr>
        <w:t xml:space="preserve"> </w:t>
      </w:r>
      <w:r w:rsidR="00BD712F" w:rsidRPr="00FD211F">
        <w:rPr>
          <w:sz w:val="36"/>
          <w:szCs w:val="36"/>
          <w:rtl/>
        </w:rPr>
        <w:t>على</w:t>
      </w:r>
      <w:r w:rsidR="00E8128F">
        <w:rPr>
          <w:sz w:val="36"/>
          <w:szCs w:val="36"/>
          <w:rtl/>
        </w:rPr>
        <w:t xml:space="preserve"> </w:t>
      </w:r>
      <w:r w:rsidR="00BD712F" w:rsidRPr="00FD211F">
        <w:rPr>
          <w:sz w:val="36"/>
          <w:szCs w:val="36"/>
          <w:rtl/>
        </w:rPr>
        <w:t>الوجوب</w:t>
      </w:r>
      <w:r w:rsidR="00E8128F">
        <w:rPr>
          <w:sz w:val="36"/>
          <w:szCs w:val="36"/>
          <w:rtl/>
        </w:rPr>
        <w:t xml:space="preserve"> </w:t>
      </w:r>
      <w:r w:rsidR="00BD712F" w:rsidRPr="00FD211F">
        <w:rPr>
          <w:sz w:val="36"/>
          <w:szCs w:val="36"/>
          <w:rtl/>
        </w:rPr>
        <w:t>من</w:t>
      </w:r>
      <w:r w:rsidR="00E8128F">
        <w:rPr>
          <w:sz w:val="36"/>
          <w:szCs w:val="36"/>
          <w:rtl/>
        </w:rPr>
        <w:t xml:space="preserve"> </w:t>
      </w:r>
      <w:r w:rsidR="00BD712F" w:rsidRPr="00FD211F">
        <w:rPr>
          <w:sz w:val="36"/>
          <w:szCs w:val="36"/>
          <w:rtl/>
        </w:rPr>
        <w:t>مسائل</w:t>
      </w:r>
      <w:r w:rsidR="00E8128F">
        <w:rPr>
          <w:sz w:val="36"/>
          <w:szCs w:val="36"/>
          <w:rtl/>
        </w:rPr>
        <w:t xml:space="preserve"> </w:t>
      </w:r>
      <w:r w:rsidR="00BD712F" w:rsidRPr="00FD211F">
        <w:rPr>
          <w:sz w:val="36"/>
          <w:szCs w:val="36"/>
          <w:rtl/>
        </w:rPr>
        <w:t>علم</w:t>
      </w:r>
      <w:r w:rsidR="00E8128F">
        <w:rPr>
          <w:sz w:val="36"/>
          <w:szCs w:val="36"/>
          <w:rtl/>
        </w:rPr>
        <w:t xml:space="preserve"> </w:t>
      </w:r>
      <w:r w:rsidR="00BD712F" w:rsidRPr="00FD211F">
        <w:rPr>
          <w:sz w:val="36"/>
          <w:szCs w:val="36"/>
          <w:rtl/>
        </w:rPr>
        <w:t>الاصول</w:t>
      </w:r>
      <w:r w:rsidR="00603323" w:rsidRPr="00FD211F">
        <w:rPr>
          <w:sz w:val="36"/>
          <w:szCs w:val="36"/>
          <w:rtl/>
        </w:rPr>
        <w:t>،</w:t>
      </w:r>
      <w:r w:rsidR="00E8128F">
        <w:rPr>
          <w:sz w:val="36"/>
          <w:szCs w:val="36"/>
          <w:rtl/>
        </w:rPr>
        <w:t xml:space="preserve"> </w:t>
      </w:r>
      <w:r w:rsidR="00BD712F" w:rsidRPr="00FD211F">
        <w:rPr>
          <w:sz w:val="36"/>
          <w:szCs w:val="36"/>
          <w:rtl/>
        </w:rPr>
        <w:t>دون</w:t>
      </w:r>
      <w:r w:rsidR="00E8128F">
        <w:rPr>
          <w:sz w:val="36"/>
          <w:szCs w:val="36"/>
          <w:rtl/>
        </w:rPr>
        <w:t xml:space="preserve"> </w:t>
      </w:r>
      <w:r w:rsidR="00BD712F" w:rsidRPr="00FD211F">
        <w:rPr>
          <w:sz w:val="36"/>
          <w:szCs w:val="36"/>
          <w:rtl/>
        </w:rPr>
        <w:t>البحث</w:t>
      </w:r>
      <w:r w:rsidR="00E8128F">
        <w:rPr>
          <w:sz w:val="36"/>
          <w:szCs w:val="36"/>
          <w:rtl/>
        </w:rPr>
        <w:t xml:space="preserve"> </w:t>
      </w:r>
      <w:r w:rsidR="00BD712F" w:rsidRPr="00FD211F">
        <w:rPr>
          <w:sz w:val="36"/>
          <w:szCs w:val="36"/>
          <w:rtl/>
        </w:rPr>
        <w:t>عن</w:t>
      </w:r>
      <w:r w:rsidR="00E8128F">
        <w:rPr>
          <w:sz w:val="36"/>
          <w:szCs w:val="36"/>
          <w:rtl/>
        </w:rPr>
        <w:t xml:space="preserve"> </w:t>
      </w:r>
      <w:r w:rsidR="00BD712F" w:rsidRPr="00FD211F">
        <w:rPr>
          <w:sz w:val="36"/>
          <w:szCs w:val="36"/>
          <w:rtl/>
        </w:rPr>
        <w:t>دلال</w:t>
      </w:r>
      <w:r w:rsidR="00EC7EDF" w:rsidRPr="00FD211F">
        <w:rPr>
          <w:sz w:val="36"/>
          <w:szCs w:val="36"/>
          <w:rtl/>
        </w:rPr>
        <w:t>ة</w:t>
      </w:r>
      <w:r w:rsidR="00E8128F">
        <w:rPr>
          <w:sz w:val="36"/>
          <w:szCs w:val="36"/>
          <w:rtl/>
        </w:rPr>
        <w:t xml:space="preserve"> </w:t>
      </w:r>
      <w:r w:rsidR="00BD712F" w:rsidRPr="00FD211F">
        <w:rPr>
          <w:sz w:val="36"/>
          <w:szCs w:val="36"/>
          <w:rtl/>
        </w:rPr>
        <w:t>كلم</w:t>
      </w:r>
      <w:r w:rsidR="00EC7EDF" w:rsidRPr="00FD211F">
        <w:rPr>
          <w:sz w:val="36"/>
          <w:szCs w:val="36"/>
          <w:rtl/>
        </w:rPr>
        <w:t>ة</w:t>
      </w:r>
      <w:r w:rsidR="00E8128F">
        <w:rPr>
          <w:sz w:val="36"/>
          <w:szCs w:val="36"/>
          <w:rtl/>
        </w:rPr>
        <w:t xml:space="preserve"> </w:t>
      </w:r>
      <w:r w:rsidR="001F1BE3" w:rsidRPr="00FD211F">
        <w:rPr>
          <w:sz w:val="36"/>
          <w:szCs w:val="36"/>
          <w:rtl/>
        </w:rPr>
        <w:t>"</w:t>
      </w:r>
      <w:r w:rsidR="00BD712F" w:rsidRPr="00FD211F">
        <w:rPr>
          <w:sz w:val="36"/>
          <w:szCs w:val="36"/>
          <w:rtl/>
        </w:rPr>
        <w:t>ينبغي</w:t>
      </w:r>
      <w:r w:rsidR="001F1BE3" w:rsidRPr="00FD211F">
        <w:rPr>
          <w:sz w:val="36"/>
          <w:szCs w:val="36"/>
          <w:rtl/>
        </w:rPr>
        <w:t>"</w:t>
      </w:r>
      <w:r w:rsidR="00E8128F">
        <w:rPr>
          <w:sz w:val="36"/>
          <w:szCs w:val="36"/>
          <w:rtl/>
        </w:rPr>
        <w:t xml:space="preserve"> </w:t>
      </w:r>
      <w:r w:rsidR="00BD712F" w:rsidRPr="00FD211F">
        <w:rPr>
          <w:sz w:val="36"/>
          <w:szCs w:val="36"/>
          <w:rtl/>
        </w:rPr>
        <w:t>او</w:t>
      </w:r>
      <w:r w:rsidR="001F1BE3" w:rsidRPr="00FD211F">
        <w:rPr>
          <w:sz w:val="36"/>
          <w:szCs w:val="36"/>
          <w:rtl/>
        </w:rPr>
        <w:t>"</w:t>
      </w:r>
      <w:r w:rsidR="00BD712F" w:rsidRPr="00FD211F">
        <w:rPr>
          <w:sz w:val="36"/>
          <w:szCs w:val="36"/>
          <w:rtl/>
        </w:rPr>
        <w:t>كتب</w:t>
      </w:r>
      <w:r w:rsidR="001F1BE3" w:rsidRPr="00FD211F">
        <w:rPr>
          <w:sz w:val="36"/>
          <w:szCs w:val="36"/>
          <w:rtl/>
        </w:rPr>
        <w:t>"</w:t>
      </w:r>
      <w:r w:rsidR="00E8128F">
        <w:rPr>
          <w:sz w:val="36"/>
          <w:szCs w:val="36"/>
          <w:rtl/>
        </w:rPr>
        <w:t xml:space="preserve"> </w:t>
      </w:r>
      <w:r w:rsidR="00BD712F" w:rsidRPr="00FD211F">
        <w:rPr>
          <w:sz w:val="36"/>
          <w:szCs w:val="36"/>
          <w:rtl/>
        </w:rPr>
        <w:t>على</w:t>
      </w:r>
      <w:r w:rsidR="00E8128F">
        <w:rPr>
          <w:sz w:val="36"/>
          <w:szCs w:val="36"/>
          <w:rtl/>
        </w:rPr>
        <w:t xml:space="preserve"> </w:t>
      </w:r>
      <w:r w:rsidR="00BD712F" w:rsidRPr="00FD211F">
        <w:rPr>
          <w:sz w:val="36"/>
          <w:szCs w:val="36"/>
          <w:rtl/>
        </w:rPr>
        <w:t>الوجوب</w:t>
      </w:r>
      <w:r w:rsidR="00E8128F">
        <w:rPr>
          <w:sz w:val="36"/>
          <w:szCs w:val="36"/>
          <w:rtl/>
        </w:rPr>
        <w:t xml:space="preserve"> </w:t>
      </w:r>
      <w:r w:rsidR="00BD712F" w:rsidRPr="00FD211F">
        <w:rPr>
          <w:sz w:val="36"/>
          <w:szCs w:val="36"/>
          <w:rtl/>
        </w:rPr>
        <w:t>وهكذا</w:t>
      </w:r>
      <w:r w:rsidR="00E8128F">
        <w:rPr>
          <w:sz w:val="36"/>
          <w:szCs w:val="36"/>
          <w:rtl/>
        </w:rPr>
        <w:t xml:space="preserve"> </w:t>
      </w:r>
      <w:r w:rsidR="00BD712F" w:rsidRPr="00FD211F">
        <w:rPr>
          <w:sz w:val="36"/>
          <w:szCs w:val="36"/>
          <w:rtl/>
        </w:rPr>
        <w:t>مادل</w:t>
      </w:r>
      <w:r w:rsidR="00E8128F">
        <w:rPr>
          <w:sz w:val="36"/>
          <w:szCs w:val="36"/>
          <w:rtl/>
        </w:rPr>
        <w:t xml:space="preserve"> </w:t>
      </w:r>
      <w:r w:rsidR="00BD712F" w:rsidRPr="00FD211F">
        <w:rPr>
          <w:sz w:val="36"/>
          <w:szCs w:val="36"/>
          <w:rtl/>
        </w:rPr>
        <w:t>على</w:t>
      </w:r>
      <w:r w:rsidR="00E8128F">
        <w:rPr>
          <w:sz w:val="36"/>
          <w:szCs w:val="36"/>
          <w:rtl/>
        </w:rPr>
        <w:t xml:space="preserve"> </w:t>
      </w:r>
      <w:r w:rsidR="00BD712F" w:rsidRPr="00FD211F">
        <w:rPr>
          <w:sz w:val="36"/>
          <w:szCs w:val="36"/>
          <w:rtl/>
        </w:rPr>
        <w:t>ان</w:t>
      </w:r>
      <w:r w:rsidR="00E8128F">
        <w:rPr>
          <w:sz w:val="36"/>
          <w:szCs w:val="36"/>
          <w:rtl/>
        </w:rPr>
        <w:t xml:space="preserve"> </w:t>
      </w:r>
      <w:r w:rsidR="00BD712F" w:rsidRPr="00FD211F">
        <w:rPr>
          <w:sz w:val="36"/>
          <w:szCs w:val="36"/>
          <w:rtl/>
        </w:rPr>
        <w:t>الفعل</w:t>
      </w:r>
      <w:r w:rsidR="00E8128F">
        <w:rPr>
          <w:sz w:val="36"/>
          <w:szCs w:val="36"/>
          <w:rtl/>
        </w:rPr>
        <w:t xml:space="preserve"> </w:t>
      </w:r>
      <w:r w:rsidR="00BD712F" w:rsidRPr="00FD211F">
        <w:rPr>
          <w:sz w:val="36"/>
          <w:szCs w:val="36"/>
          <w:rtl/>
        </w:rPr>
        <w:t>الفلاني</w:t>
      </w:r>
      <w:r w:rsidR="00E8128F">
        <w:rPr>
          <w:sz w:val="36"/>
          <w:szCs w:val="36"/>
          <w:rtl/>
        </w:rPr>
        <w:t xml:space="preserve"> </w:t>
      </w:r>
      <w:r w:rsidR="00BD712F" w:rsidRPr="00FD211F">
        <w:rPr>
          <w:sz w:val="36"/>
          <w:szCs w:val="36"/>
          <w:rtl/>
        </w:rPr>
        <w:t>حق</w:t>
      </w:r>
      <w:r w:rsidR="00E8128F">
        <w:rPr>
          <w:sz w:val="36"/>
          <w:szCs w:val="36"/>
          <w:rtl/>
        </w:rPr>
        <w:t xml:space="preserve"> </w:t>
      </w:r>
      <w:r w:rsidR="00BD712F" w:rsidRPr="00FD211F">
        <w:rPr>
          <w:sz w:val="36"/>
          <w:szCs w:val="36"/>
          <w:rtl/>
        </w:rPr>
        <w:t>الله</w:t>
      </w:r>
      <w:r w:rsidR="00E8128F">
        <w:rPr>
          <w:sz w:val="36"/>
          <w:szCs w:val="36"/>
          <w:rtl/>
        </w:rPr>
        <w:t xml:space="preserve"> </w:t>
      </w:r>
      <w:r w:rsidR="00BD712F" w:rsidRPr="00FD211F">
        <w:rPr>
          <w:sz w:val="36"/>
          <w:szCs w:val="36"/>
          <w:rtl/>
        </w:rPr>
        <w:t>او</w:t>
      </w:r>
      <w:r w:rsidR="00E8128F">
        <w:rPr>
          <w:sz w:val="36"/>
          <w:szCs w:val="36"/>
          <w:rtl/>
        </w:rPr>
        <w:t xml:space="preserve"> </w:t>
      </w:r>
      <w:r w:rsidR="00BD712F" w:rsidRPr="00FD211F">
        <w:rPr>
          <w:sz w:val="36"/>
          <w:szCs w:val="36"/>
          <w:rtl/>
        </w:rPr>
        <w:t>حق</w:t>
      </w:r>
      <w:r w:rsidR="00E8128F">
        <w:rPr>
          <w:sz w:val="36"/>
          <w:szCs w:val="36"/>
          <w:rtl/>
        </w:rPr>
        <w:t xml:space="preserve"> </w:t>
      </w:r>
      <w:r w:rsidR="00BD712F" w:rsidRPr="00FD211F">
        <w:rPr>
          <w:sz w:val="36"/>
          <w:szCs w:val="36"/>
          <w:rtl/>
        </w:rPr>
        <w:t>المؤمن</w:t>
      </w:r>
      <w:r w:rsidR="00E8128F">
        <w:rPr>
          <w:sz w:val="36"/>
          <w:szCs w:val="36"/>
          <w:rtl/>
        </w:rPr>
        <w:t xml:space="preserve"> </w:t>
      </w:r>
      <w:r w:rsidR="00BD712F" w:rsidRPr="00FD211F">
        <w:rPr>
          <w:sz w:val="36"/>
          <w:szCs w:val="36"/>
          <w:rtl/>
        </w:rPr>
        <w:t>على</w:t>
      </w:r>
      <w:r w:rsidR="00E8128F">
        <w:rPr>
          <w:sz w:val="36"/>
          <w:szCs w:val="36"/>
          <w:rtl/>
        </w:rPr>
        <w:t xml:space="preserve"> </w:t>
      </w:r>
      <w:r w:rsidR="00BD712F" w:rsidRPr="00FD211F">
        <w:rPr>
          <w:sz w:val="36"/>
          <w:szCs w:val="36"/>
          <w:rtl/>
        </w:rPr>
        <w:t>المؤمن</w:t>
      </w:r>
      <w:r w:rsidR="00E8128F">
        <w:rPr>
          <w:sz w:val="36"/>
          <w:szCs w:val="36"/>
          <w:rtl/>
        </w:rPr>
        <w:t xml:space="preserve"> </w:t>
      </w:r>
      <w:r w:rsidR="00BD712F" w:rsidRPr="00FD211F">
        <w:rPr>
          <w:sz w:val="36"/>
          <w:szCs w:val="36"/>
          <w:rtl/>
        </w:rPr>
        <w:t>اودلال</w:t>
      </w:r>
      <w:r w:rsidR="00EC7EDF" w:rsidRPr="00FD211F">
        <w:rPr>
          <w:sz w:val="36"/>
          <w:szCs w:val="36"/>
          <w:rtl/>
        </w:rPr>
        <w:t>ة</w:t>
      </w:r>
      <w:r w:rsidR="00E8128F">
        <w:rPr>
          <w:sz w:val="36"/>
          <w:szCs w:val="36"/>
          <w:rtl/>
        </w:rPr>
        <w:t xml:space="preserve"> </w:t>
      </w:r>
      <w:r w:rsidR="00BD712F" w:rsidRPr="00FD211F">
        <w:rPr>
          <w:sz w:val="36"/>
          <w:szCs w:val="36"/>
          <w:rtl/>
        </w:rPr>
        <w:t>كلم</w:t>
      </w:r>
      <w:r w:rsidR="00EC7EDF" w:rsidRPr="00FD211F">
        <w:rPr>
          <w:sz w:val="36"/>
          <w:szCs w:val="36"/>
          <w:rtl/>
        </w:rPr>
        <w:t>ة</w:t>
      </w:r>
      <w:r w:rsidR="00E8128F">
        <w:rPr>
          <w:sz w:val="36"/>
          <w:szCs w:val="36"/>
          <w:rtl/>
        </w:rPr>
        <w:t xml:space="preserve"> </w:t>
      </w:r>
      <w:r w:rsidR="001F1BE3" w:rsidRPr="00FD211F">
        <w:rPr>
          <w:sz w:val="36"/>
          <w:szCs w:val="36"/>
          <w:rtl/>
        </w:rPr>
        <w:t>"</w:t>
      </w:r>
      <w:r w:rsidR="00BD712F" w:rsidRPr="00FD211F">
        <w:rPr>
          <w:sz w:val="36"/>
          <w:szCs w:val="36"/>
          <w:rtl/>
        </w:rPr>
        <w:t>لاينبغي</w:t>
      </w:r>
      <w:r w:rsidR="001F1BE3" w:rsidRPr="00FD211F">
        <w:rPr>
          <w:sz w:val="36"/>
          <w:szCs w:val="36"/>
          <w:rtl/>
        </w:rPr>
        <w:t>"</w:t>
      </w:r>
      <w:r w:rsidR="00E8128F">
        <w:rPr>
          <w:sz w:val="36"/>
          <w:szCs w:val="36"/>
          <w:rtl/>
        </w:rPr>
        <w:t xml:space="preserve"> </w:t>
      </w:r>
      <w:r w:rsidR="00BD712F" w:rsidRPr="00FD211F">
        <w:rPr>
          <w:sz w:val="36"/>
          <w:szCs w:val="36"/>
          <w:rtl/>
        </w:rPr>
        <w:t>او</w:t>
      </w:r>
      <w:r w:rsidR="00E8128F">
        <w:rPr>
          <w:sz w:val="36"/>
          <w:szCs w:val="36"/>
          <w:rtl/>
        </w:rPr>
        <w:t xml:space="preserve"> </w:t>
      </w:r>
      <w:r w:rsidR="001F1BE3" w:rsidRPr="00FD211F">
        <w:rPr>
          <w:sz w:val="36"/>
          <w:szCs w:val="36"/>
          <w:rtl/>
        </w:rPr>
        <w:t>"</w:t>
      </w:r>
      <w:r w:rsidR="00BD712F" w:rsidRPr="00FD211F">
        <w:rPr>
          <w:sz w:val="36"/>
          <w:szCs w:val="36"/>
          <w:rtl/>
        </w:rPr>
        <w:t>لايصلح</w:t>
      </w:r>
      <w:r w:rsidR="001F1BE3" w:rsidRPr="00FD211F">
        <w:rPr>
          <w:sz w:val="36"/>
          <w:szCs w:val="36"/>
          <w:rtl/>
        </w:rPr>
        <w:t>"</w:t>
      </w:r>
      <w:r w:rsidR="00E8128F">
        <w:rPr>
          <w:sz w:val="36"/>
          <w:szCs w:val="36"/>
          <w:rtl/>
        </w:rPr>
        <w:t xml:space="preserve"> </w:t>
      </w:r>
      <w:r w:rsidR="00BD712F" w:rsidRPr="00FD211F">
        <w:rPr>
          <w:sz w:val="36"/>
          <w:szCs w:val="36"/>
          <w:rtl/>
        </w:rPr>
        <w:t>او</w:t>
      </w:r>
      <w:r w:rsidR="001F1BE3" w:rsidRPr="00FD211F">
        <w:rPr>
          <w:sz w:val="36"/>
          <w:szCs w:val="36"/>
          <w:rtl/>
        </w:rPr>
        <w:t>"</w:t>
      </w:r>
      <w:r w:rsidR="00BD712F" w:rsidRPr="00FD211F">
        <w:rPr>
          <w:sz w:val="36"/>
          <w:szCs w:val="36"/>
          <w:rtl/>
        </w:rPr>
        <w:t>يكره</w:t>
      </w:r>
      <w:r w:rsidR="001F1BE3" w:rsidRPr="00FD211F">
        <w:rPr>
          <w:sz w:val="36"/>
          <w:szCs w:val="36"/>
          <w:rtl/>
        </w:rPr>
        <w:t>"</w:t>
      </w:r>
      <w:r w:rsidR="00E8128F">
        <w:rPr>
          <w:sz w:val="36"/>
          <w:szCs w:val="36"/>
          <w:rtl/>
        </w:rPr>
        <w:t xml:space="preserve"> </w:t>
      </w:r>
      <w:r w:rsidR="00BD712F" w:rsidRPr="00FD211F">
        <w:rPr>
          <w:sz w:val="36"/>
          <w:szCs w:val="36"/>
          <w:rtl/>
        </w:rPr>
        <w:t>على</w:t>
      </w:r>
      <w:r w:rsidR="00E8128F">
        <w:rPr>
          <w:sz w:val="36"/>
          <w:szCs w:val="36"/>
          <w:rtl/>
        </w:rPr>
        <w:t xml:space="preserve"> </w:t>
      </w:r>
      <w:r w:rsidR="00BD712F" w:rsidRPr="00FD211F">
        <w:rPr>
          <w:sz w:val="36"/>
          <w:szCs w:val="36"/>
          <w:rtl/>
        </w:rPr>
        <w:t>الحرم</w:t>
      </w:r>
      <w:r w:rsidR="00EC7EDF" w:rsidRPr="00FD211F">
        <w:rPr>
          <w:sz w:val="36"/>
          <w:szCs w:val="36"/>
          <w:rtl/>
        </w:rPr>
        <w:t>ة</w:t>
      </w:r>
      <w:r w:rsidR="00E8128F">
        <w:rPr>
          <w:sz w:val="36"/>
          <w:szCs w:val="36"/>
          <w:rtl/>
        </w:rPr>
        <w:t xml:space="preserve"> </w:t>
      </w:r>
      <w:r w:rsidR="00BD712F" w:rsidRPr="00FD211F">
        <w:rPr>
          <w:sz w:val="36"/>
          <w:szCs w:val="36"/>
          <w:rtl/>
        </w:rPr>
        <w:t>مع</w:t>
      </w:r>
      <w:r w:rsidR="00E8128F">
        <w:rPr>
          <w:sz w:val="36"/>
          <w:szCs w:val="36"/>
          <w:rtl/>
        </w:rPr>
        <w:t xml:space="preserve"> </w:t>
      </w:r>
      <w:r w:rsidR="00BD712F" w:rsidRPr="00FD211F">
        <w:rPr>
          <w:sz w:val="36"/>
          <w:szCs w:val="36"/>
          <w:rtl/>
        </w:rPr>
        <w:t>أن</w:t>
      </w:r>
      <w:r w:rsidR="00E8128F">
        <w:rPr>
          <w:sz w:val="36"/>
          <w:szCs w:val="36"/>
          <w:rtl/>
        </w:rPr>
        <w:t xml:space="preserve"> </w:t>
      </w:r>
      <w:r w:rsidR="00BD712F" w:rsidRPr="00FD211F">
        <w:rPr>
          <w:sz w:val="36"/>
          <w:szCs w:val="36"/>
          <w:rtl/>
        </w:rPr>
        <w:t>وجود</w:t>
      </w:r>
      <w:r w:rsidR="00E8128F">
        <w:rPr>
          <w:sz w:val="36"/>
          <w:szCs w:val="36"/>
          <w:rtl/>
        </w:rPr>
        <w:t xml:space="preserve"> </w:t>
      </w:r>
      <w:r w:rsidR="00BD712F" w:rsidRPr="00FD211F">
        <w:rPr>
          <w:sz w:val="36"/>
          <w:szCs w:val="36"/>
          <w:rtl/>
        </w:rPr>
        <w:t>بعض</w:t>
      </w:r>
      <w:r w:rsidR="00E8128F">
        <w:rPr>
          <w:sz w:val="36"/>
          <w:szCs w:val="36"/>
          <w:rtl/>
        </w:rPr>
        <w:t xml:space="preserve"> </w:t>
      </w:r>
      <w:r w:rsidR="00BD712F" w:rsidRPr="00FD211F">
        <w:rPr>
          <w:sz w:val="36"/>
          <w:szCs w:val="36"/>
          <w:rtl/>
        </w:rPr>
        <w:t>هذه</w:t>
      </w:r>
      <w:r w:rsidR="00E8128F">
        <w:rPr>
          <w:sz w:val="36"/>
          <w:szCs w:val="36"/>
          <w:rtl/>
        </w:rPr>
        <w:t xml:space="preserve"> </w:t>
      </w:r>
      <w:r w:rsidR="00BD712F" w:rsidRPr="00FD211F">
        <w:rPr>
          <w:sz w:val="36"/>
          <w:szCs w:val="36"/>
          <w:rtl/>
        </w:rPr>
        <w:t>الكلمات</w:t>
      </w:r>
      <w:r w:rsidR="00E8128F">
        <w:rPr>
          <w:sz w:val="36"/>
          <w:szCs w:val="36"/>
          <w:rtl/>
        </w:rPr>
        <w:t xml:space="preserve"> </w:t>
      </w:r>
      <w:r w:rsidR="00247ADE" w:rsidRPr="00FD211F">
        <w:rPr>
          <w:sz w:val="36"/>
          <w:szCs w:val="36"/>
          <w:rtl/>
        </w:rPr>
        <w:t>في</w:t>
      </w:r>
      <w:r w:rsidR="00E8128F">
        <w:rPr>
          <w:sz w:val="36"/>
          <w:szCs w:val="36"/>
          <w:rtl/>
        </w:rPr>
        <w:t xml:space="preserve"> </w:t>
      </w:r>
      <w:r w:rsidR="00247ADE" w:rsidRPr="00FD211F">
        <w:rPr>
          <w:sz w:val="36"/>
          <w:szCs w:val="36"/>
          <w:rtl/>
        </w:rPr>
        <w:t>الروايات</w:t>
      </w:r>
      <w:r w:rsidR="00E8128F">
        <w:rPr>
          <w:sz w:val="36"/>
          <w:szCs w:val="36"/>
          <w:rtl/>
        </w:rPr>
        <w:t xml:space="preserve"> </w:t>
      </w:r>
      <w:r w:rsidR="00247ADE" w:rsidRPr="00FD211F">
        <w:rPr>
          <w:sz w:val="36"/>
          <w:szCs w:val="36"/>
          <w:rtl/>
        </w:rPr>
        <w:t>اكثر</w:t>
      </w:r>
      <w:r w:rsidR="00E8128F">
        <w:rPr>
          <w:sz w:val="36"/>
          <w:szCs w:val="36"/>
          <w:rtl/>
        </w:rPr>
        <w:t xml:space="preserve"> </w:t>
      </w:r>
      <w:r w:rsidR="00247ADE" w:rsidRPr="00FD211F">
        <w:rPr>
          <w:sz w:val="36"/>
          <w:szCs w:val="36"/>
          <w:rtl/>
        </w:rPr>
        <w:t>من</w:t>
      </w:r>
      <w:r w:rsidR="00E8128F">
        <w:rPr>
          <w:sz w:val="36"/>
          <w:szCs w:val="36"/>
          <w:rtl/>
        </w:rPr>
        <w:t xml:space="preserve"> </w:t>
      </w:r>
      <w:r w:rsidR="00247ADE" w:rsidRPr="00FD211F">
        <w:rPr>
          <w:sz w:val="36"/>
          <w:szCs w:val="36"/>
          <w:rtl/>
        </w:rPr>
        <w:t>كل</w:t>
      </w:r>
      <w:r w:rsidR="00C0322A" w:rsidRPr="00FD211F">
        <w:rPr>
          <w:sz w:val="36"/>
          <w:szCs w:val="36"/>
          <w:rtl/>
        </w:rPr>
        <w:t>م</w:t>
      </w:r>
      <w:r w:rsidR="00EC7EDF" w:rsidRPr="00FD211F">
        <w:rPr>
          <w:sz w:val="36"/>
          <w:szCs w:val="36"/>
          <w:rtl/>
        </w:rPr>
        <w:t>ة</w:t>
      </w:r>
      <w:r w:rsidR="00E8128F">
        <w:rPr>
          <w:sz w:val="36"/>
          <w:szCs w:val="36"/>
          <w:rtl/>
        </w:rPr>
        <w:t xml:space="preserve"> </w:t>
      </w:r>
      <w:r w:rsidR="001B3112" w:rsidRPr="00FD211F">
        <w:rPr>
          <w:sz w:val="36"/>
          <w:szCs w:val="36"/>
          <w:rtl/>
        </w:rPr>
        <w:t>الأمر</w:t>
      </w:r>
      <w:r w:rsidR="0090343B" w:rsidRPr="00FD211F">
        <w:rPr>
          <w:sz w:val="36"/>
          <w:szCs w:val="36"/>
          <w:rtl/>
        </w:rPr>
        <w:t>.</w:t>
      </w:r>
    </w:p>
    <w:p w14:paraId="7ED78068" w14:textId="77777777" w:rsidR="007435FF" w:rsidRPr="00FD211F" w:rsidRDefault="0090343B" w:rsidP="009C58C8">
      <w:pPr>
        <w:ind w:left="0" w:firstLine="227"/>
        <w:jc w:val="both"/>
        <w:rPr>
          <w:sz w:val="36"/>
          <w:szCs w:val="36"/>
          <w:rtl/>
        </w:rPr>
      </w:pPr>
      <w:r w:rsidRPr="00FD211F">
        <w:rPr>
          <w:sz w:val="36"/>
          <w:szCs w:val="36"/>
          <w:rtl/>
        </w:rPr>
        <w:t>و</w:t>
      </w:r>
      <w:r w:rsidR="001F1BE3" w:rsidRPr="00FD211F">
        <w:rPr>
          <w:sz w:val="36"/>
          <w:szCs w:val="36"/>
          <w:rtl/>
        </w:rPr>
        <w:t>كيف</w:t>
      </w:r>
      <w:r w:rsidR="00E8128F">
        <w:rPr>
          <w:sz w:val="36"/>
          <w:szCs w:val="36"/>
          <w:rtl/>
        </w:rPr>
        <w:t xml:space="preserve"> </w:t>
      </w:r>
      <w:r w:rsidR="001F1BE3" w:rsidRPr="00FD211F">
        <w:rPr>
          <w:sz w:val="36"/>
          <w:szCs w:val="36"/>
          <w:rtl/>
        </w:rPr>
        <w:t>كان</w:t>
      </w:r>
      <w:r w:rsidR="00E8128F">
        <w:rPr>
          <w:sz w:val="36"/>
          <w:szCs w:val="36"/>
          <w:rtl/>
        </w:rPr>
        <w:t xml:space="preserve"> </w:t>
      </w:r>
      <w:r w:rsidR="001F1BE3" w:rsidRPr="00FD211F">
        <w:rPr>
          <w:sz w:val="36"/>
          <w:szCs w:val="36"/>
          <w:rtl/>
        </w:rPr>
        <w:t>فالانسب</w:t>
      </w:r>
      <w:r w:rsidR="00E8128F">
        <w:rPr>
          <w:sz w:val="36"/>
          <w:szCs w:val="36"/>
          <w:rtl/>
        </w:rPr>
        <w:t xml:space="preserve"> </w:t>
      </w:r>
      <w:r w:rsidRPr="00FD211F">
        <w:rPr>
          <w:sz w:val="36"/>
          <w:szCs w:val="36"/>
          <w:rtl/>
        </w:rPr>
        <w:t>تعريف</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القواعد</w:t>
      </w:r>
      <w:r w:rsidR="00E8128F">
        <w:rPr>
          <w:sz w:val="36"/>
          <w:szCs w:val="36"/>
          <w:rtl/>
        </w:rPr>
        <w:t xml:space="preserve"> </w:t>
      </w:r>
      <w:r w:rsidR="00E57054" w:rsidRPr="00FD211F">
        <w:rPr>
          <w:sz w:val="36"/>
          <w:szCs w:val="36"/>
          <w:rtl/>
        </w:rPr>
        <w:t>السيال</w:t>
      </w:r>
      <w:r w:rsidR="00EC7EDF" w:rsidRPr="00FD211F">
        <w:rPr>
          <w:sz w:val="36"/>
          <w:szCs w:val="36"/>
          <w:rtl/>
        </w:rPr>
        <w:t>ة</w:t>
      </w:r>
      <w:r w:rsidR="00E8128F">
        <w:rPr>
          <w:sz w:val="36"/>
          <w:szCs w:val="36"/>
          <w:rtl/>
        </w:rPr>
        <w:t xml:space="preserve"> </w:t>
      </w:r>
      <w:r w:rsidR="00831B15" w:rsidRPr="00FD211F">
        <w:rPr>
          <w:sz w:val="36"/>
          <w:szCs w:val="36"/>
          <w:rtl/>
        </w:rPr>
        <w:t>في</w:t>
      </w:r>
      <w:r w:rsidR="00E8128F">
        <w:rPr>
          <w:sz w:val="36"/>
          <w:szCs w:val="36"/>
          <w:rtl/>
        </w:rPr>
        <w:t xml:space="preserve"> </w:t>
      </w:r>
      <w:r w:rsidR="00E57054" w:rsidRPr="00FD211F">
        <w:rPr>
          <w:sz w:val="36"/>
          <w:szCs w:val="36"/>
          <w:rtl/>
        </w:rPr>
        <w:t>الاستدلال</w:t>
      </w:r>
      <w:r w:rsidR="00E8128F">
        <w:rPr>
          <w:sz w:val="36"/>
          <w:szCs w:val="36"/>
          <w:rtl/>
        </w:rPr>
        <w:t xml:space="preserve"> </w:t>
      </w:r>
      <w:r w:rsidR="00E57054" w:rsidRPr="00FD211F">
        <w:rPr>
          <w:sz w:val="36"/>
          <w:szCs w:val="36"/>
          <w:rtl/>
        </w:rPr>
        <w:t>الفقهي</w:t>
      </w:r>
      <w:r w:rsidR="00E8128F">
        <w:rPr>
          <w:sz w:val="36"/>
          <w:szCs w:val="36"/>
          <w:rtl/>
        </w:rPr>
        <w:t xml:space="preserve"> </w:t>
      </w:r>
      <w:r w:rsidR="00831B15" w:rsidRPr="00FD211F">
        <w:rPr>
          <w:sz w:val="36"/>
          <w:szCs w:val="36"/>
          <w:rtl/>
        </w:rPr>
        <w:t>خاص</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تقع</w:t>
      </w:r>
      <w:r w:rsidR="00E8128F">
        <w:rPr>
          <w:sz w:val="36"/>
          <w:szCs w:val="36"/>
          <w:rtl/>
        </w:rPr>
        <w:t xml:space="preserve"> </w:t>
      </w:r>
      <w:r w:rsidRPr="00FD211F">
        <w:rPr>
          <w:sz w:val="36"/>
          <w:szCs w:val="36"/>
          <w:rtl/>
        </w:rPr>
        <w:t>نتيجتها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اقام</w:t>
      </w:r>
      <w:r w:rsidR="00EC7EDF" w:rsidRPr="00FD211F">
        <w:rPr>
          <w:sz w:val="36"/>
          <w:szCs w:val="36"/>
          <w:rtl/>
        </w:rPr>
        <w:t>ة</w:t>
      </w:r>
      <w:r w:rsidR="00E8128F">
        <w:rPr>
          <w:sz w:val="36"/>
          <w:szCs w:val="36"/>
          <w:rtl/>
        </w:rPr>
        <w:t xml:space="preserve"> </w:t>
      </w:r>
      <w:r w:rsidRPr="00FD211F">
        <w:rPr>
          <w:sz w:val="36"/>
          <w:szCs w:val="36"/>
          <w:rtl/>
        </w:rPr>
        <w:t>الحج</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lastRenderedPageBreak/>
        <w:t>الجعل</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الكلي.</w:t>
      </w:r>
    </w:p>
    <w:p w14:paraId="2C660CB2" w14:textId="77777777" w:rsidR="00E522E8" w:rsidRPr="00FD211F" w:rsidRDefault="00E522E8"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ينبغي</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نكات:</w:t>
      </w:r>
    </w:p>
    <w:p w14:paraId="6201C654" w14:textId="77777777" w:rsidR="00E522E8" w:rsidRPr="00FD211F" w:rsidRDefault="00E522E8" w:rsidP="009C58C8">
      <w:pPr>
        <w:ind w:left="0" w:firstLine="227"/>
        <w:jc w:val="both"/>
        <w:rPr>
          <w:sz w:val="36"/>
          <w:szCs w:val="36"/>
          <w:rtl/>
        </w:rPr>
      </w:pPr>
      <w:r w:rsidRPr="00FD211F">
        <w:rPr>
          <w:sz w:val="36"/>
          <w:szCs w:val="36"/>
          <w:rtl/>
        </w:rPr>
        <w:t>1-</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الاصفهاني</w:t>
      </w:r>
      <w:r w:rsidR="00E8128F">
        <w:rPr>
          <w:sz w:val="36"/>
          <w:szCs w:val="36"/>
          <w:rtl/>
        </w:rPr>
        <w:t xml:space="preserve"> </w:t>
      </w:r>
      <w:r w:rsidR="00AB1B12" w:rsidRPr="00FD211F">
        <w:rPr>
          <w:sz w:val="36"/>
          <w:szCs w:val="36"/>
          <w:rtl/>
        </w:rPr>
        <w:t>"</w:t>
      </w:r>
      <w:r w:rsidRPr="00FD211F">
        <w:rPr>
          <w:sz w:val="36"/>
          <w:szCs w:val="36"/>
          <w:rtl/>
        </w:rPr>
        <w:t>قده</w:t>
      </w:r>
      <w:r w:rsidR="00AB1B12"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منجزي</w:t>
      </w:r>
      <w:r w:rsidR="00EC7EDF" w:rsidRPr="00FD211F">
        <w:rPr>
          <w:sz w:val="36"/>
          <w:szCs w:val="36"/>
          <w:rtl/>
        </w:rPr>
        <w:t>ة</w:t>
      </w:r>
      <w:r w:rsidR="00E8128F">
        <w:rPr>
          <w:sz w:val="36"/>
          <w:szCs w:val="36"/>
          <w:rtl/>
        </w:rPr>
        <w:t xml:space="preserve"> </w:t>
      </w:r>
      <w:r w:rsidRPr="00FD211F">
        <w:rPr>
          <w:sz w:val="36"/>
          <w:szCs w:val="36"/>
          <w:rtl/>
        </w:rPr>
        <w:t>الاحتمال</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معذري</w:t>
      </w:r>
      <w:r w:rsidR="00EC7EDF" w:rsidRPr="00FD211F">
        <w:rPr>
          <w:sz w:val="36"/>
          <w:szCs w:val="36"/>
          <w:rtl/>
        </w:rPr>
        <w:t>ة</w:t>
      </w:r>
      <w:r w:rsidR="00E8128F">
        <w:rPr>
          <w:sz w:val="36"/>
          <w:szCs w:val="36"/>
          <w:rtl/>
        </w:rPr>
        <w:t xml:space="preserve"> </w:t>
      </w:r>
      <w:r w:rsidRPr="00FD211F">
        <w:rPr>
          <w:sz w:val="36"/>
          <w:szCs w:val="36"/>
          <w:rtl/>
        </w:rPr>
        <w:t>الجهل</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006C1E42" w:rsidRPr="00FD211F">
        <w:rPr>
          <w:sz w:val="36"/>
          <w:szCs w:val="36"/>
          <w:rtl/>
        </w:rPr>
        <w:t>ب</w:t>
      </w:r>
      <w:r w:rsidRPr="00FD211F">
        <w:rPr>
          <w:sz w:val="36"/>
          <w:szCs w:val="36"/>
          <w:rtl/>
        </w:rPr>
        <w:t>حثا</w:t>
      </w:r>
      <w:r w:rsidR="00E8128F">
        <w:rPr>
          <w:sz w:val="36"/>
          <w:szCs w:val="36"/>
          <w:rtl/>
        </w:rPr>
        <w:t xml:space="preserve"> </w:t>
      </w:r>
      <w:r w:rsidRPr="00FD211F">
        <w:rPr>
          <w:sz w:val="36"/>
          <w:szCs w:val="36"/>
          <w:rtl/>
        </w:rPr>
        <w:t>اصوليا</w:t>
      </w:r>
      <w:r w:rsidR="00E8128F">
        <w:rPr>
          <w:sz w:val="36"/>
          <w:szCs w:val="36"/>
          <w:rtl/>
        </w:rPr>
        <w:t xml:space="preserve"> </w:t>
      </w:r>
      <w:r w:rsidRPr="00FD211F">
        <w:rPr>
          <w:sz w:val="36"/>
          <w:szCs w:val="36"/>
          <w:rtl/>
        </w:rPr>
        <w:t>لكن</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قاعد</w:t>
      </w:r>
      <w:r w:rsidR="00EC7EDF" w:rsidRPr="00FD211F">
        <w:rPr>
          <w:sz w:val="36"/>
          <w:szCs w:val="36"/>
          <w:rtl/>
        </w:rPr>
        <w:t>ة</w:t>
      </w:r>
      <w:r w:rsidR="00E8128F">
        <w:rPr>
          <w:sz w:val="36"/>
          <w:szCs w:val="36"/>
          <w:rtl/>
        </w:rPr>
        <w:t xml:space="preserve"> </w:t>
      </w:r>
      <w:r w:rsidRPr="00FD211F">
        <w:rPr>
          <w:sz w:val="36"/>
          <w:szCs w:val="36"/>
          <w:rtl/>
        </w:rPr>
        <w:t>الحل</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الب</w:t>
      </w:r>
      <w:r w:rsidR="008D7B3D" w:rsidRPr="00FD211F">
        <w:rPr>
          <w:sz w:val="36"/>
          <w:szCs w:val="36"/>
          <w:rtl/>
        </w:rPr>
        <w:t>راءة</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الاصولي</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لايكون</w:t>
      </w:r>
      <w:r w:rsidR="00E8128F">
        <w:rPr>
          <w:sz w:val="36"/>
          <w:szCs w:val="36"/>
          <w:rtl/>
        </w:rPr>
        <w:t xml:space="preserve"> </w:t>
      </w:r>
      <w:r w:rsidR="00E265F0" w:rsidRPr="00FD211F">
        <w:rPr>
          <w:sz w:val="36"/>
          <w:szCs w:val="36"/>
          <w:rtl/>
        </w:rPr>
        <w:t>المجعول</w:t>
      </w:r>
      <w:r w:rsidR="00E8128F">
        <w:rPr>
          <w:sz w:val="36"/>
          <w:szCs w:val="36"/>
          <w:rtl/>
        </w:rPr>
        <w:t xml:space="preserve"> </w:t>
      </w:r>
      <w:r w:rsidRPr="00FD211F">
        <w:rPr>
          <w:sz w:val="36"/>
          <w:szCs w:val="36"/>
          <w:rtl/>
        </w:rPr>
        <w:t>فيهما</w:t>
      </w:r>
      <w:r w:rsidR="00E8128F">
        <w:rPr>
          <w:sz w:val="36"/>
          <w:szCs w:val="36"/>
          <w:rtl/>
        </w:rPr>
        <w:t xml:space="preserve"> </w:t>
      </w:r>
      <w:r w:rsidRPr="00FD211F">
        <w:rPr>
          <w:sz w:val="36"/>
          <w:szCs w:val="36"/>
          <w:rtl/>
        </w:rPr>
        <w:t>المعذري</w:t>
      </w:r>
      <w:r w:rsidR="00EC7EDF" w:rsidRPr="00FD211F">
        <w:rPr>
          <w:sz w:val="36"/>
          <w:szCs w:val="36"/>
          <w:rtl/>
        </w:rPr>
        <w:t>ة</w:t>
      </w:r>
      <w:r w:rsidR="00E8128F">
        <w:rPr>
          <w:sz w:val="36"/>
          <w:szCs w:val="36"/>
          <w:rtl/>
        </w:rPr>
        <w:t xml:space="preserve"> </w:t>
      </w:r>
      <w:r w:rsidRPr="00FD211F">
        <w:rPr>
          <w:sz w:val="36"/>
          <w:szCs w:val="36"/>
          <w:rtl/>
        </w:rPr>
        <w:t>بل</w:t>
      </w:r>
      <w:r w:rsidR="00E8128F">
        <w:rPr>
          <w:sz w:val="36"/>
          <w:szCs w:val="36"/>
          <w:rtl/>
        </w:rPr>
        <w:t xml:space="preserve"> </w:t>
      </w:r>
      <w:r w:rsidR="00E265F0" w:rsidRPr="00FD211F">
        <w:rPr>
          <w:sz w:val="36"/>
          <w:szCs w:val="36"/>
          <w:rtl/>
        </w:rPr>
        <w:t>المجعول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قاعد</w:t>
      </w:r>
      <w:r w:rsidR="00EC7EDF" w:rsidRPr="00FD211F">
        <w:rPr>
          <w:sz w:val="36"/>
          <w:szCs w:val="36"/>
          <w:rtl/>
        </w:rPr>
        <w:t>ة</w:t>
      </w:r>
      <w:r w:rsidR="00E8128F">
        <w:rPr>
          <w:sz w:val="36"/>
          <w:szCs w:val="36"/>
          <w:rtl/>
        </w:rPr>
        <w:t xml:space="preserve"> </w:t>
      </w:r>
      <w:r w:rsidRPr="00FD211F">
        <w:rPr>
          <w:sz w:val="36"/>
          <w:szCs w:val="36"/>
          <w:rtl/>
        </w:rPr>
        <w:t>الحل</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الحلي</w:t>
      </w:r>
      <w:r w:rsidR="00EC7EDF" w:rsidRPr="00FD211F">
        <w:rPr>
          <w:sz w:val="36"/>
          <w:szCs w:val="36"/>
          <w:rtl/>
        </w:rPr>
        <w:t>ة</w:t>
      </w:r>
      <w:r w:rsidR="00E8128F">
        <w:rPr>
          <w:sz w:val="36"/>
          <w:szCs w:val="36"/>
          <w:rtl/>
        </w:rPr>
        <w:t xml:space="preserve"> </w:t>
      </w:r>
      <w:r w:rsidRPr="00FD211F">
        <w:rPr>
          <w:sz w:val="36"/>
          <w:szCs w:val="36"/>
          <w:rtl/>
        </w:rPr>
        <w:t>وفي</w:t>
      </w:r>
      <w:r w:rsidR="00E8128F">
        <w:rPr>
          <w:sz w:val="36"/>
          <w:szCs w:val="36"/>
          <w:rtl/>
        </w:rPr>
        <w:t xml:space="preserve"> </w:t>
      </w:r>
      <w:r w:rsidRPr="00FD211F">
        <w:rPr>
          <w:sz w:val="36"/>
          <w:szCs w:val="36"/>
          <w:rtl/>
        </w:rPr>
        <w:t>الب</w:t>
      </w:r>
      <w:r w:rsidR="008D7B3D" w:rsidRPr="00FD211F">
        <w:rPr>
          <w:sz w:val="36"/>
          <w:szCs w:val="36"/>
          <w:rtl/>
        </w:rPr>
        <w:t>راءة</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التكليف</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مرحل</w:t>
      </w:r>
      <w:r w:rsidR="00EC7EDF" w:rsidRPr="00FD211F">
        <w:rPr>
          <w:sz w:val="36"/>
          <w:szCs w:val="36"/>
          <w:rtl/>
        </w:rPr>
        <w:t>ة</w:t>
      </w:r>
      <w:r w:rsidR="00E8128F">
        <w:rPr>
          <w:sz w:val="36"/>
          <w:szCs w:val="36"/>
          <w:rtl/>
        </w:rPr>
        <w:t xml:space="preserve"> </w:t>
      </w:r>
      <w:r w:rsidRPr="00FD211F">
        <w:rPr>
          <w:sz w:val="36"/>
          <w:szCs w:val="36"/>
          <w:rtl/>
        </w:rPr>
        <w:t>الظاهر</w:t>
      </w:r>
      <w:r w:rsidR="00603323" w:rsidRPr="00FD211F">
        <w:rPr>
          <w:sz w:val="36"/>
          <w:szCs w:val="36"/>
          <w:rtl/>
        </w:rPr>
        <w:t>،</w:t>
      </w:r>
      <w:r w:rsidR="00E8128F">
        <w:rPr>
          <w:sz w:val="36"/>
          <w:szCs w:val="36"/>
          <w:rtl/>
        </w:rPr>
        <w:t xml:space="preserve"> </w:t>
      </w:r>
      <w:r w:rsidRPr="00FD211F">
        <w:rPr>
          <w:sz w:val="36"/>
          <w:szCs w:val="36"/>
          <w:rtl/>
        </w:rPr>
        <w:t>فمفادهما</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المتعلق</w:t>
      </w:r>
      <w:r w:rsidR="00E8128F">
        <w:rPr>
          <w:sz w:val="36"/>
          <w:szCs w:val="36"/>
          <w:rtl/>
        </w:rPr>
        <w:t xml:space="preserve"> </w:t>
      </w:r>
      <w:r w:rsidRPr="00FD211F">
        <w:rPr>
          <w:sz w:val="36"/>
          <w:szCs w:val="36"/>
          <w:rtl/>
        </w:rPr>
        <w:t>بعمل</w:t>
      </w:r>
      <w:r w:rsidR="00E8128F">
        <w:rPr>
          <w:sz w:val="36"/>
          <w:szCs w:val="36"/>
          <w:rtl/>
        </w:rPr>
        <w:t xml:space="preserve"> </w:t>
      </w:r>
      <w:r w:rsidRPr="00FD211F">
        <w:rPr>
          <w:sz w:val="36"/>
          <w:szCs w:val="36"/>
          <w:rtl/>
        </w:rPr>
        <w:t>المكلف</w:t>
      </w:r>
      <w:r w:rsidR="00603323" w:rsidRPr="00FD211F">
        <w:rPr>
          <w:sz w:val="36"/>
          <w:szCs w:val="36"/>
          <w:rtl/>
        </w:rPr>
        <w:t>،</w:t>
      </w:r>
      <w:r w:rsidR="00E8128F">
        <w:rPr>
          <w:sz w:val="36"/>
          <w:szCs w:val="36"/>
          <w:rtl/>
        </w:rPr>
        <w:t xml:space="preserve"> </w:t>
      </w:r>
      <w:r w:rsidRPr="00FD211F">
        <w:rPr>
          <w:sz w:val="36"/>
          <w:szCs w:val="36"/>
          <w:rtl/>
        </w:rPr>
        <w:t>فتخرج</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p>
    <w:p w14:paraId="79227129" w14:textId="77777777" w:rsidR="00E522E8" w:rsidRPr="00FD211F" w:rsidRDefault="00E522E8" w:rsidP="009C58C8">
      <w:pPr>
        <w:ind w:left="0" w:firstLine="227"/>
        <w:jc w:val="both"/>
        <w:rPr>
          <w:sz w:val="36"/>
          <w:szCs w:val="36"/>
          <w:rtl/>
        </w:rPr>
      </w:pPr>
      <w:r w:rsidRPr="00FD211F">
        <w:rPr>
          <w:sz w:val="36"/>
          <w:szCs w:val="36"/>
          <w:rtl/>
        </w:rPr>
        <w:t>ان</w:t>
      </w:r>
      <w:r w:rsidR="00E8128F">
        <w:rPr>
          <w:sz w:val="36"/>
          <w:szCs w:val="36"/>
          <w:rtl/>
        </w:rPr>
        <w:t xml:space="preserve"> </w:t>
      </w:r>
      <w:r w:rsidRPr="00FD211F">
        <w:rPr>
          <w:sz w:val="36"/>
          <w:szCs w:val="36"/>
          <w:rtl/>
        </w:rPr>
        <w:t>قلت:</w:t>
      </w:r>
      <w:r w:rsidR="00E8128F">
        <w:rPr>
          <w:sz w:val="36"/>
          <w:szCs w:val="36"/>
          <w:rtl/>
        </w:rPr>
        <w:t xml:space="preserve"> </w:t>
      </w:r>
      <w:r w:rsidRPr="00FD211F">
        <w:rPr>
          <w:sz w:val="36"/>
          <w:szCs w:val="36"/>
          <w:rtl/>
        </w:rPr>
        <w:t>لازم</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خروج</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الامارات</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603323" w:rsidRPr="00FD211F">
        <w:rPr>
          <w:sz w:val="36"/>
          <w:szCs w:val="36"/>
          <w:rtl/>
        </w:rPr>
        <w:t>،</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حجيتها</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جعل</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المماثل</w:t>
      </w:r>
      <w:r w:rsidR="00603323" w:rsidRPr="00FD211F">
        <w:rPr>
          <w:sz w:val="36"/>
          <w:szCs w:val="36"/>
          <w:rtl/>
        </w:rPr>
        <w:t>،</w:t>
      </w:r>
      <w:r w:rsidR="00E8128F">
        <w:rPr>
          <w:sz w:val="36"/>
          <w:szCs w:val="36"/>
          <w:rtl/>
        </w:rPr>
        <w:t xml:space="preserve"> </w:t>
      </w:r>
      <w:r w:rsidRPr="00FD211F">
        <w:rPr>
          <w:sz w:val="36"/>
          <w:szCs w:val="36"/>
          <w:rtl/>
        </w:rPr>
        <w:t>اذ</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متعلقا</w:t>
      </w:r>
      <w:r w:rsidR="00E8128F">
        <w:rPr>
          <w:sz w:val="36"/>
          <w:szCs w:val="36"/>
          <w:rtl/>
        </w:rPr>
        <w:t xml:space="preserve"> </w:t>
      </w:r>
      <w:r w:rsidRPr="00FD211F">
        <w:rPr>
          <w:sz w:val="36"/>
          <w:szCs w:val="36"/>
          <w:rtl/>
        </w:rPr>
        <w:t>بعمل</w:t>
      </w:r>
      <w:r w:rsidR="00E8128F">
        <w:rPr>
          <w:sz w:val="36"/>
          <w:szCs w:val="36"/>
          <w:rtl/>
        </w:rPr>
        <w:t xml:space="preserve"> </w:t>
      </w:r>
      <w:r w:rsidRPr="00FD211F">
        <w:rPr>
          <w:sz w:val="36"/>
          <w:szCs w:val="36"/>
          <w:rtl/>
        </w:rPr>
        <w:t>المكلف</w:t>
      </w:r>
      <w:r w:rsidR="00E8128F">
        <w:rPr>
          <w:sz w:val="36"/>
          <w:szCs w:val="36"/>
          <w:rtl/>
        </w:rPr>
        <w:t xml:space="preserve"> </w:t>
      </w:r>
      <w:r w:rsidRPr="00FD211F">
        <w:rPr>
          <w:sz w:val="36"/>
          <w:szCs w:val="36"/>
          <w:rtl/>
        </w:rPr>
        <w:t>ايضا</w:t>
      </w:r>
      <w:r w:rsidR="00603323" w:rsidRPr="00FD211F">
        <w:rPr>
          <w:sz w:val="36"/>
          <w:szCs w:val="36"/>
          <w:rtl/>
        </w:rPr>
        <w:t>،</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قام</w:t>
      </w:r>
      <w:r w:rsidR="00E8128F">
        <w:rPr>
          <w:sz w:val="36"/>
          <w:szCs w:val="36"/>
          <w:rtl/>
        </w:rPr>
        <w:t xml:space="preserve"> </w:t>
      </w:r>
      <w:r w:rsidRPr="00FD211F">
        <w:rPr>
          <w:sz w:val="36"/>
          <w:szCs w:val="36"/>
          <w:rtl/>
        </w:rPr>
        <w:t>خبر</w:t>
      </w:r>
      <w:r w:rsidR="00E8128F">
        <w:rPr>
          <w:sz w:val="36"/>
          <w:szCs w:val="36"/>
          <w:rtl/>
        </w:rPr>
        <w:t xml:space="preserve"> </w:t>
      </w:r>
      <w:r w:rsidRPr="00FD211F">
        <w:rPr>
          <w:sz w:val="36"/>
          <w:szCs w:val="36"/>
          <w:rtl/>
        </w:rPr>
        <w:t>الثق</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صلا</w:t>
      </w:r>
      <w:r w:rsidR="00EC7EDF" w:rsidRPr="00FD211F">
        <w:rPr>
          <w:sz w:val="36"/>
          <w:szCs w:val="36"/>
          <w:rtl/>
        </w:rPr>
        <w:t>ة</w:t>
      </w:r>
      <w:r w:rsidR="00E8128F">
        <w:rPr>
          <w:sz w:val="36"/>
          <w:szCs w:val="36"/>
          <w:rtl/>
        </w:rPr>
        <w:t xml:space="preserve"> </w:t>
      </w:r>
      <w:r w:rsidRPr="00FD211F">
        <w:rPr>
          <w:sz w:val="36"/>
          <w:szCs w:val="36"/>
          <w:rtl/>
        </w:rPr>
        <w:t>الجمع</w:t>
      </w:r>
      <w:r w:rsidR="00EC7EDF" w:rsidRPr="00FD211F">
        <w:rPr>
          <w:sz w:val="36"/>
          <w:szCs w:val="36"/>
          <w:rtl/>
        </w:rPr>
        <w:t>ة</w:t>
      </w:r>
      <w:r w:rsidR="00E8128F">
        <w:rPr>
          <w:sz w:val="36"/>
          <w:szCs w:val="36"/>
          <w:rtl/>
        </w:rPr>
        <w:t xml:space="preserve"> </w:t>
      </w:r>
      <w:r w:rsidRPr="00FD211F">
        <w:rPr>
          <w:sz w:val="36"/>
          <w:szCs w:val="36"/>
          <w:rtl/>
        </w:rPr>
        <w:t>ف</w:t>
      </w:r>
      <w:r w:rsidR="00CA1517" w:rsidRPr="00FD211F">
        <w:rPr>
          <w:sz w:val="36"/>
          <w:szCs w:val="36"/>
          <w:rtl/>
        </w:rPr>
        <w:t>ت</w:t>
      </w:r>
      <w:r w:rsidRPr="00FD211F">
        <w:rPr>
          <w:sz w:val="36"/>
          <w:szCs w:val="36"/>
          <w:rtl/>
        </w:rPr>
        <w:t>كون</w:t>
      </w:r>
      <w:r w:rsidR="00E8128F">
        <w:rPr>
          <w:sz w:val="36"/>
          <w:szCs w:val="36"/>
          <w:rtl/>
        </w:rPr>
        <w:t xml:space="preserve"> </w:t>
      </w:r>
      <w:r w:rsidRPr="00FD211F">
        <w:rPr>
          <w:sz w:val="36"/>
          <w:szCs w:val="36"/>
          <w:rtl/>
        </w:rPr>
        <w:t>حجيته</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صلا</w:t>
      </w:r>
      <w:r w:rsidR="00EC7EDF" w:rsidRPr="00FD211F">
        <w:rPr>
          <w:sz w:val="36"/>
          <w:szCs w:val="36"/>
          <w:rtl/>
        </w:rPr>
        <w:t>ة</w:t>
      </w:r>
      <w:r w:rsidR="00E8128F">
        <w:rPr>
          <w:sz w:val="36"/>
          <w:szCs w:val="36"/>
          <w:rtl/>
        </w:rPr>
        <w:t xml:space="preserve"> </w:t>
      </w:r>
      <w:r w:rsidRPr="00FD211F">
        <w:rPr>
          <w:sz w:val="36"/>
          <w:szCs w:val="36"/>
          <w:rtl/>
        </w:rPr>
        <w:t>الجمع</w:t>
      </w:r>
      <w:r w:rsidR="00EC7EDF" w:rsidRPr="00FD211F">
        <w:rPr>
          <w:sz w:val="36"/>
          <w:szCs w:val="36"/>
          <w:rtl/>
        </w:rPr>
        <w:t>ة</w:t>
      </w:r>
      <w:r w:rsidR="00E8128F">
        <w:rPr>
          <w:sz w:val="36"/>
          <w:szCs w:val="36"/>
          <w:rtl/>
        </w:rPr>
        <w:t xml:space="preserve"> </w:t>
      </w:r>
      <w:r w:rsidRPr="00FD211F">
        <w:rPr>
          <w:sz w:val="36"/>
          <w:szCs w:val="36"/>
          <w:rtl/>
        </w:rPr>
        <w:t>ظاهرا.</w:t>
      </w:r>
    </w:p>
    <w:p w14:paraId="395C1A45" w14:textId="77777777" w:rsidR="000C5BBA" w:rsidRPr="00FD211F" w:rsidRDefault="00E522E8" w:rsidP="009C58C8">
      <w:pPr>
        <w:ind w:left="0" w:firstLine="227"/>
        <w:jc w:val="both"/>
        <w:rPr>
          <w:sz w:val="36"/>
          <w:szCs w:val="36"/>
          <w:rtl/>
        </w:rPr>
      </w:pPr>
      <w:r w:rsidRPr="00FD211F">
        <w:rPr>
          <w:sz w:val="36"/>
          <w:szCs w:val="36"/>
          <w:rtl/>
        </w:rPr>
        <w:t>قلت:</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المدلول</w:t>
      </w:r>
      <w:r w:rsidR="00E8128F">
        <w:rPr>
          <w:sz w:val="36"/>
          <w:szCs w:val="36"/>
          <w:rtl/>
        </w:rPr>
        <w:t xml:space="preserve"> </w:t>
      </w:r>
      <w:r w:rsidRPr="00FD211F">
        <w:rPr>
          <w:sz w:val="36"/>
          <w:szCs w:val="36"/>
          <w:rtl/>
        </w:rPr>
        <w:t>المطابقي</w:t>
      </w:r>
      <w:r w:rsidR="00E8128F">
        <w:rPr>
          <w:sz w:val="36"/>
          <w:szCs w:val="36"/>
          <w:rtl/>
        </w:rPr>
        <w:t xml:space="preserve"> </w:t>
      </w:r>
      <w:r w:rsidRPr="00FD211F">
        <w:rPr>
          <w:sz w:val="36"/>
          <w:szCs w:val="36"/>
          <w:rtl/>
        </w:rPr>
        <w:t>لدليل</w:t>
      </w:r>
      <w:r w:rsidR="00E8128F">
        <w:rPr>
          <w:sz w:val="36"/>
          <w:szCs w:val="36"/>
          <w:rtl/>
        </w:rPr>
        <w:t xml:space="preserve"> </w:t>
      </w:r>
      <w:r w:rsidRPr="00FD211F">
        <w:rPr>
          <w:sz w:val="36"/>
          <w:szCs w:val="36"/>
          <w:rtl/>
        </w:rPr>
        <w:t>اعتبار</w:t>
      </w:r>
      <w:r w:rsidR="00E8128F">
        <w:rPr>
          <w:sz w:val="36"/>
          <w:szCs w:val="36"/>
          <w:rtl/>
        </w:rPr>
        <w:t xml:space="preserve"> </w:t>
      </w:r>
      <w:r w:rsidR="003A36CC" w:rsidRPr="00FD211F">
        <w:rPr>
          <w:sz w:val="36"/>
          <w:szCs w:val="36"/>
          <w:rtl/>
        </w:rPr>
        <w:t>خبر</w:t>
      </w:r>
      <w:r w:rsidR="00E8128F">
        <w:rPr>
          <w:sz w:val="36"/>
          <w:szCs w:val="36"/>
          <w:rtl/>
        </w:rPr>
        <w:t xml:space="preserve"> </w:t>
      </w:r>
      <w:r w:rsidR="003A36CC" w:rsidRPr="00FD211F">
        <w:rPr>
          <w:sz w:val="36"/>
          <w:szCs w:val="36"/>
          <w:rtl/>
        </w:rPr>
        <w:t>الثق</w:t>
      </w:r>
      <w:r w:rsidR="00EC7EDF" w:rsidRPr="00FD211F">
        <w:rPr>
          <w:sz w:val="36"/>
          <w:szCs w:val="36"/>
          <w:rtl/>
        </w:rPr>
        <w:t>ة</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تصديق</w:t>
      </w:r>
      <w:r w:rsidR="00E8128F">
        <w:rPr>
          <w:sz w:val="36"/>
          <w:szCs w:val="36"/>
          <w:rtl/>
        </w:rPr>
        <w:t xml:space="preserve"> </w:t>
      </w:r>
      <w:r w:rsidR="006C1E42" w:rsidRPr="00FD211F">
        <w:rPr>
          <w:sz w:val="36"/>
          <w:szCs w:val="36"/>
          <w:rtl/>
        </w:rPr>
        <w:t>ا</w:t>
      </w:r>
      <w:r w:rsidRPr="00FD211F">
        <w:rPr>
          <w:sz w:val="36"/>
          <w:szCs w:val="36"/>
          <w:rtl/>
        </w:rPr>
        <w:t>ل</w:t>
      </w:r>
      <w:r w:rsidR="006C1E42" w:rsidRPr="00FD211F">
        <w:rPr>
          <w:sz w:val="36"/>
          <w:szCs w:val="36"/>
          <w:rtl/>
        </w:rPr>
        <w:t>ثق</w:t>
      </w:r>
      <w:r w:rsidR="00EC7EDF" w:rsidRPr="00FD211F">
        <w:rPr>
          <w:sz w:val="36"/>
          <w:szCs w:val="36"/>
          <w:rtl/>
        </w:rPr>
        <w:t>ة</w:t>
      </w:r>
      <w:r w:rsidR="00E8128F">
        <w:rPr>
          <w:sz w:val="36"/>
          <w:szCs w:val="36"/>
          <w:rtl/>
        </w:rPr>
        <w:t xml:space="preserve"> </w:t>
      </w:r>
      <w:r w:rsidR="006C1E42" w:rsidRPr="00FD211F">
        <w:rPr>
          <w:sz w:val="36"/>
          <w:szCs w:val="36"/>
          <w:rtl/>
        </w:rPr>
        <w:t>عملا</w:t>
      </w:r>
      <w:r w:rsidR="00603323" w:rsidRPr="00FD211F">
        <w:rPr>
          <w:sz w:val="36"/>
          <w:szCs w:val="36"/>
          <w:rtl/>
        </w:rPr>
        <w:t>،</w:t>
      </w:r>
      <w:r w:rsidR="00E8128F">
        <w:rPr>
          <w:sz w:val="36"/>
          <w:szCs w:val="36"/>
          <w:rtl/>
        </w:rPr>
        <w:t xml:space="preserve"> </w:t>
      </w:r>
      <w:r w:rsidRPr="00FD211F">
        <w:rPr>
          <w:sz w:val="36"/>
          <w:szCs w:val="36"/>
          <w:rtl/>
        </w:rPr>
        <w:t>وتصديق</w:t>
      </w:r>
      <w:r w:rsidR="006C1E42" w:rsidRPr="00FD211F">
        <w:rPr>
          <w:sz w:val="36"/>
          <w:szCs w:val="36"/>
          <w:rtl/>
        </w:rPr>
        <w:t>ه</w:t>
      </w:r>
      <w:r w:rsidR="00E8128F">
        <w:rPr>
          <w:sz w:val="36"/>
          <w:szCs w:val="36"/>
          <w:rtl/>
        </w:rPr>
        <w:t xml:space="preserve"> </w:t>
      </w:r>
      <w:r w:rsidR="006C1E42" w:rsidRPr="00FD211F">
        <w:rPr>
          <w:sz w:val="36"/>
          <w:szCs w:val="36"/>
          <w:rtl/>
        </w:rPr>
        <w:t>العملي</w:t>
      </w:r>
      <w:r w:rsidR="00E8128F">
        <w:rPr>
          <w:sz w:val="36"/>
          <w:szCs w:val="36"/>
          <w:rtl/>
        </w:rPr>
        <w:t xml:space="preserve"> </w:t>
      </w:r>
      <w:r w:rsidR="003A36CC" w:rsidRPr="00FD211F">
        <w:rPr>
          <w:sz w:val="36"/>
          <w:szCs w:val="36"/>
          <w:rtl/>
        </w:rPr>
        <w:t>من</w:t>
      </w:r>
      <w:r w:rsidR="00E8128F">
        <w:rPr>
          <w:sz w:val="36"/>
          <w:szCs w:val="36"/>
          <w:rtl/>
        </w:rPr>
        <w:t xml:space="preserve"> </w:t>
      </w:r>
      <w:r w:rsidR="003A36CC" w:rsidRPr="00FD211F">
        <w:rPr>
          <w:sz w:val="36"/>
          <w:szCs w:val="36"/>
          <w:rtl/>
        </w:rPr>
        <w:t>لوازم</w:t>
      </w:r>
      <w:r w:rsidR="00E8128F">
        <w:rPr>
          <w:sz w:val="36"/>
          <w:szCs w:val="36"/>
          <w:rtl/>
        </w:rPr>
        <w:t xml:space="preserve"> </w:t>
      </w:r>
      <w:r w:rsidR="006C1E42" w:rsidRPr="00FD211F">
        <w:rPr>
          <w:sz w:val="36"/>
          <w:szCs w:val="36"/>
          <w:rtl/>
        </w:rPr>
        <w:t>ال</w:t>
      </w:r>
      <w:r w:rsidR="003A36CC" w:rsidRPr="00FD211F">
        <w:rPr>
          <w:sz w:val="36"/>
          <w:szCs w:val="36"/>
          <w:rtl/>
        </w:rPr>
        <w:t>عمل</w:t>
      </w:r>
      <w:r w:rsidR="00E8128F">
        <w:rPr>
          <w:sz w:val="36"/>
          <w:szCs w:val="36"/>
          <w:rtl/>
        </w:rPr>
        <w:t xml:space="preserve"> </w:t>
      </w:r>
      <w:r w:rsidR="003A36CC" w:rsidRPr="00FD211F">
        <w:rPr>
          <w:sz w:val="36"/>
          <w:szCs w:val="36"/>
          <w:rtl/>
        </w:rPr>
        <w:t>المكلف</w:t>
      </w:r>
      <w:r w:rsidR="00E8128F">
        <w:rPr>
          <w:sz w:val="36"/>
          <w:szCs w:val="36"/>
          <w:rtl/>
        </w:rPr>
        <w:t xml:space="preserve"> </w:t>
      </w:r>
      <w:r w:rsidR="003A36CC" w:rsidRPr="00FD211F">
        <w:rPr>
          <w:sz w:val="36"/>
          <w:szCs w:val="36"/>
          <w:rtl/>
        </w:rPr>
        <w:t>بمؤدى</w:t>
      </w:r>
      <w:r w:rsidR="00E8128F">
        <w:rPr>
          <w:sz w:val="36"/>
          <w:szCs w:val="36"/>
          <w:rtl/>
        </w:rPr>
        <w:t xml:space="preserve"> </w:t>
      </w:r>
      <w:r w:rsidR="003A36CC" w:rsidRPr="00FD211F">
        <w:rPr>
          <w:sz w:val="36"/>
          <w:szCs w:val="36"/>
          <w:rtl/>
        </w:rPr>
        <w:t>خبره</w:t>
      </w:r>
      <w:r w:rsidR="00603323" w:rsidRPr="00FD211F">
        <w:rPr>
          <w:sz w:val="36"/>
          <w:szCs w:val="36"/>
          <w:rtl/>
        </w:rPr>
        <w:t>،</w:t>
      </w:r>
      <w:r w:rsidR="00E8128F">
        <w:rPr>
          <w:sz w:val="36"/>
          <w:szCs w:val="36"/>
          <w:rtl/>
        </w:rPr>
        <w:t xml:space="preserve"> </w:t>
      </w:r>
      <w:r w:rsidR="003A36CC" w:rsidRPr="00FD211F">
        <w:rPr>
          <w:sz w:val="36"/>
          <w:szCs w:val="36"/>
          <w:rtl/>
        </w:rPr>
        <w:t>اي</w:t>
      </w:r>
      <w:r w:rsidR="00E8128F">
        <w:rPr>
          <w:sz w:val="36"/>
          <w:szCs w:val="36"/>
          <w:rtl/>
        </w:rPr>
        <w:t xml:space="preserve"> </w:t>
      </w:r>
      <w:r w:rsidR="003A36CC" w:rsidRPr="00FD211F">
        <w:rPr>
          <w:sz w:val="36"/>
          <w:szCs w:val="36"/>
          <w:rtl/>
        </w:rPr>
        <w:t>الإتيان</w:t>
      </w:r>
      <w:r w:rsidR="00E8128F">
        <w:rPr>
          <w:sz w:val="36"/>
          <w:szCs w:val="36"/>
          <w:rtl/>
        </w:rPr>
        <w:t xml:space="preserve"> </w:t>
      </w:r>
      <w:r w:rsidR="003A36CC" w:rsidRPr="00FD211F">
        <w:rPr>
          <w:sz w:val="36"/>
          <w:szCs w:val="36"/>
          <w:rtl/>
        </w:rPr>
        <w:t>بصلا</w:t>
      </w:r>
      <w:r w:rsidR="00EC7EDF" w:rsidRPr="00FD211F">
        <w:rPr>
          <w:sz w:val="36"/>
          <w:szCs w:val="36"/>
          <w:rtl/>
        </w:rPr>
        <w:t>ة</w:t>
      </w:r>
      <w:r w:rsidR="00E8128F">
        <w:rPr>
          <w:sz w:val="36"/>
          <w:szCs w:val="36"/>
          <w:rtl/>
        </w:rPr>
        <w:t xml:space="preserve"> </w:t>
      </w:r>
      <w:r w:rsidR="003A36CC" w:rsidRPr="00FD211F">
        <w:rPr>
          <w:sz w:val="36"/>
          <w:szCs w:val="36"/>
          <w:rtl/>
        </w:rPr>
        <w:t>الجمع</w:t>
      </w:r>
      <w:r w:rsidR="00EC7EDF" w:rsidRPr="00FD211F">
        <w:rPr>
          <w:sz w:val="36"/>
          <w:szCs w:val="36"/>
          <w:rtl/>
        </w:rPr>
        <w:t>ة</w:t>
      </w:r>
      <w:r w:rsidR="00E8128F">
        <w:rPr>
          <w:sz w:val="36"/>
          <w:szCs w:val="36"/>
          <w:rtl/>
        </w:rPr>
        <w:t xml:space="preserve"> </w:t>
      </w:r>
      <w:r w:rsidR="003A36CC" w:rsidRPr="00FD211F">
        <w:rPr>
          <w:sz w:val="36"/>
          <w:szCs w:val="36"/>
          <w:rtl/>
        </w:rPr>
        <w:t>مثلا</w:t>
      </w:r>
      <w:r w:rsidR="00E8128F">
        <w:rPr>
          <w:sz w:val="36"/>
          <w:szCs w:val="36"/>
          <w:rtl/>
        </w:rPr>
        <w:t xml:space="preserve"> </w:t>
      </w:r>
      <w:r w:rsidR="003A36CC" w:rsidRPr="00FD211F">
        <w:rPr>
          <w:sz w:val="36"/>
          <w:szCs w:val="36"/>
          <w:rtl/>
        </w:rPr>
        <w:t>فيما</w:t>
      </w:r>
      <w:r w:rsidR="00E8128F">
        <w:rPr>
          <w:sz w:val="36"/>
          <w:szCs w:val="36"/>
          <w:rtl/>
        </w:rPr>
        <w:t xml:space="preserve"> </w:t>
      </w:r>
      <w:r w:rsidR="003A36CC" w:rsidRPr="00FD211F">
        <w:rPr>
          <w:sz w:val="36"/>
          <w:szCs w:val="36"/>
          <w:rtl/>
        </w:rPr>
        <w:t>لو</w:t>
      </w:r>
      <w:r w:rsidR="00E8128F">
        <w:rPr>
          <w:sz w:val="36"/>
          <w:szCs w:val="36"/>
          <w:rtl/>
        </w:rPr>
        <w:t xml:space="preserve"> </w:t>
      </w:r>
      <w:r w:rsidR="003A36CC" w:rsidRPr="00FD211F">
        <w:rPr>
          <w:sz w:val="36"/>
          <w:szCs w:val="36"/>
          <w:rtl/>
        </w:rPr>
        <w:t>اخبر</w:t>
      </w:r>
      <w:r w:rsidR="00E8128F">
        <w:rPr>
          <w:sz w:val="36"/>
          <w:szCs w:val="36"/>
          <w:rtl/>
        </w:rPr>
        <w:t xml:space="preserve"> </w:t>
      </w:r>
      <w:r w:rsidR="003A36CC" w:rsidRPr="00FD211F">
        <w:rPr>
          <w:sz w:val="36"/>
          <w:szCs w:val="36"/>
          <w:rtl/>
        </w:rPr>
        <w:t>بوجوبها</w:t>
      </w:r>
      <w:r w:rsidR="00603323" w:rsidRPr="00FD211F">
        <w:rPr>
          <w:sz w:val="36"/>
          <w:szCs w:val="36"/>
          <w:rtl/>
        </w:rPr>
        <w:t>،</w:t>
      </w:r>
      <w:r w:rsidR="00E8128F">
        <w:rPr>
          <w:sz w:val="36"/>
          <w:szCs w:val="36"/>
          <w:rtl/>
        </w:rPr>
        <w:t xml:space="preserve"> </w:t>
      </w:r>
      <w:r w:rsidRPr="00FD211F">
        <w:rPr>
          <w:sz w:val="36"/>
          <w:szCs w:val="36"/>
          <w:rtl/>
        </w:rPr>
        <w:t>ف</w:t>
      </w:r>
      <w:r w:rsidR="00D25355" w:rsidRPr="00FD211F">
        <w:rPr>
          <w:sz w:val="36"/>
          <w:szCs w:val="36"/>
          <w:rtl/>
        </w:rPr>
        <w:t>ايجاب</w:t>
      </w:r>
      <w:r w:rsidR="00E8128F">
        <w:rPr>
          <w:sz w:val="36"/>
          <w:szCs w:val="36"/>
          <w:rtl/>
        </w:rPr>
        <w:t xml:space="preserve"> </w:t>
      </w:r>
      <w:r w:rsidR="00D25355" w:rsidRPr="00FD211F">
        <w:rPr>
          <w:sz w:val="36"/>
          <w:szCs w:val="36"/>
          <w:rtl/>
        </w:rPr>
        <w:t>تصديق</w:t>
      </w:r>
      <w:r w:rsidR="00E8128F">
        <w:rPr>
          <w:sz w:val="36"/>
          <w:szCs w:val="36"/>
          <w:rtl/>
        </w:rPr>
        <w:t xml:space="preserve"> </w:t>
      </w:r>
      <w:r w:rsidR="00D25355" w:rsidRPr="00FD211F">
        <w:rPr>
          <w:sz w:val="36"/>
          <w:szCs w:val="36"/>
          <w:rtl/>
        </w:rPr>
        <w:t>العادل</w:t>
      </w:r>
      <w:r w:rsidR="00E8128F">
        <w:rPr>
          <w:sz w:val="36"/>
          <w:szCs w:val="36"/>
          <w:rtl/>
        </w:rPr>
        <w:t xml:space="preserve"> </w:t>
      </w:r>
      <w:r w:rsidR="00D25355" w:rsidRPr="00FD211F">
        <w:rPr>
          <w:sz w:val="36"/>
          <w:szCs w:val="36"/>
          <w:rtl/>
        </w:rPr>
        <w:t>كناي</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الإتيان</w:t>
      </w:r>
      <w:r w:rsidR="00E8128F">
        <w:rPr>
          <w:sz w:val="36"/>
          <w:szCs w:val="36"/>
          <w:rtl/>
        </w:rPr>
        <w:t xml:space="preserve"> </w:t>
      </w:r>
      <w:r w:rsidRPr="00FD211F">
        <w:rPr>
          <w:sz w:val="36"/>
          <w:szCs w:val="36"/>
          <w:rtl/>
        </w:rPr>
        <w:t>بصلا</w:t>
      </w:r>
      <w:r w:rsidR="00EC7EDF" w:rsidRPr="00FD211F">
        <w:rPr>
          <w:sz w:val="36"/>
          <w:szCs w:val="36"/>
          <w:rtl/>
        </w:rPr>
        <w:t>ة</w:t>
      </w:r>
      <w:r w:rsidR="00E8128F">
        <w:rPr>
          <w:sz w:val="36"/>
          <w:szCs w:val="36"/>
          <w:rtl/>
        </w:rPr>
        <w:t xml:space="preserve"> </w:t>
      </w:r>
      <w:r w:rsidRPr="00FD211F">
        <w:rPr>
          <w:sz w:val="36"/>
          <w:szCs w:val="36"/>
          <w:rtl/>
        </w:rPr>
        <w:lastRenderedPageBreak/>
        <w:t>الجمع</w:t>
      </w:r>
      <w:r w:rsidR="00EC7EDF" w:rsidRPr="00FD211F">
        <w:rPr>
          <w:sz w:val="36"/>
          <w:szCs w:val="36"/>
          <w:rtl/>
        </w:rPr>
        <w:t>ة</w:t>
      </w:r>
      <w:r w:rsidR="00E8128F">
        <w:rPr>
          <w:sz w:val="36"/>
          <w:szCs w:val="36"/>
          <w:rtl/>
        </w:rPr>
        <w:t xml:space="preserve"> </w:t>
      </w:r>
      <w:r w:rsidRPr="00FD211F">
        <w:rPr>
          <w:sz w:val="36"/>
          <w:szCs w:val="36"/>
          <w:rtl/>
        </w:rPr>
        <w:t>مثلا</w:t>
      </w:r>
      <w:r w:rsidR="00603323" w:rsidRPr="00FD211F">
        <w:rPr>
          <w:sz w:val="36"/>
          <w:szCs w:val="36"/>
          <w:rtl/>
        </w:rPr>
        <w:t>،</w:t>
      </w:r>
      <w:r w:rsidR="00E8128F">
        <w:rPr>
          <w:sz w:val="36"/>
          <w:szCs w:val="36"/>
          <w:rtl/>
        </w:rPr>
        <w:t xml:space="preserve"> </w:t>
      </w:r>
      <w:r w:rsidRPr="00FD211F">
        <w:rPr>
          <w:sz w:val="36"/>
          <w:szCs w:val="36"/>
          <w:rtl/>
        </w:rPr>
        <w:t>وكذا</w:t>
      </w:r>
      <w:r w:rsidR="00E8128F">
        <w:rPr>
          <w:sz w:val="36"/>
          <w:szCs w:val="36"/>
          <w:rtl/>
        </w:rPr>
        <w:t xml:space="preserve"> </w:t>
      </w:r>
      <w:r w:rsidRPr="00FD211F">
        <w:rPr>
          <w:sz w:val="36"/>
          <w:szCs w:val="36"/>
          <w:rtl/>
        </w:rPr>
        <w:t>النهي</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نقض</w:t>
      </w:r>
      <w:r w:rsidR="00E8128F">
        <w:rPr>
          <w:sz w:val="36"/>
          <w:szCs w:val="36"/>
          <w:rtl/>
        </w:rPr>
        <w:t xml:space="preserve"> </w:t>
      </w:r>
      <w:r w:rsidRPr="00FD211F">
        <w:rPr>
          <w:sz w:val="36"/>
          <w:szCs w:val="36"/>
          <w:rtl/>
        </w:rPr>
        <w:t>اليقين</w:t>
      </w:r>
      <w:r w:rsidR="00E8128F">
        <w:rPr>
          <w:sz w:val="36"/>
          <w:szCs w:val="36"/>
          <w:rtl/>
        </w:rPr>
        <w:t xml:space="preserve"> </w:t>
      </w:r>
      <w:r w:rsidRPr="00FD211F">
        <w:rPr>
          <w:sz w:val="36"/>
          <w:szCs w:val="36"/>
          <w:rtl/>
        </w:rPr>
        <w:t>بالشك</w:t>
      </w:r>
      <w:r w:rsidR="00E8128F">
        <w:rPr>
          <w:sz w:val="36"/>
          <w:szCs w:val="36"/>
          <w:rtl/>
        </w:rPr>
        <w:t xml:space="preserve"> </w:t>
      </w:r>
      <w:r w:rsidR="00FB13D5" w:rsidRPr="00FD211F">
        <w:rPr>
          <w:sz w:val="36"/>
          <w:szCs w:val="36"/>
          <w:rtl/>
        </w:rPr>
        <w:t>كناي</w:t>
      </w:r>
      <w:r w:rsidR="00EC7EDF" w:rsidRPr="00FD211F">
        <w:rPr>
          <w:sz w:val="36"/>
          <w:szCs w:val="36"/>
          <w:rtl/>
        </w:rPr>
        <w:t>ة</w:t>
      </w:r>
      <w:r w:rsidR="00E8128F">
        <w:rPr>
          <w:sz w:val="36"/>
          <w:szCs w:val="36"/>
          <w:rtl/>
        </w:rPr>
        <w:t xml:space="preserve"> </w:t>
      </w:r>
      <w:r w:rsidR="00FB13D5" w:rsidRPr="00FD211F">
        <w:rPr>
          <w:sz w:val="36"/>
          <w:szCs w:val="36"/>
          <w:rtl/>
        </w:rPr>
        <w:t>عن</w:t>
      </w:r>
      <w:r w:rsidR="00E8128F">
        <w:rPr>
          <w:sz w:val="36"/>
          <w:szCs w:val="36"/>
          <w:rtl/>
        </w:rPr>
        <w:t xml:space="preserve"> </w:t>
      </w:r>
      <w:r w:rsidR="00FB13D5" w:rsidRPr="00FD211F">
        <w:rPr>
          <w:sz w:val="36"/>
          <w:szCs w:val="36"/>
          <w:rtl/>
        </w:rPr>
        <w:t>وجوب</w:t>
      </w:r>
      <w:r w:rsidR="00E8128F">
        <w:rPr>
          <w:sz w:val="36"/>
          <w:szCs w:val="36"/>
          <w:rtl/>
        </w:rPr>
        <w:t xml:space="preserve"> </w:t>
      </w:r>
      <w:r w:rsidR="00FB13D5" w:rsidRPr="00FD211F">
        <w:rPr>
          <w:sz w:val="36"/>
          <w:szCs w:val="36"/>
          <w:rtl/>
        </w:rPr>
        <w:t>الاتيان</w:t>
      </w:r>
      <w:r w:rsidR="00E8128F">
        <w:rPr>
          <w:sz w:val="36"/>
          <w:szCs w:val="36"/>
          <w:rtl/>
        </w:rPr>
        <w:t xml:space="preserve"> </w:t>
      </w:r>
      <w:r w:rsidR="00FB13D5" w:rsidRPr="00FD211F">
        <w:rPr>
          <w:sz w:val="36"/>
          <w:szCs w:val="36"/>
          <w:rtl/>
        </w:rPr>
        <w:t>بصلا</w:t>
      </w:r>
      <w:r w:rsidR="00EC7EDF" w:rsidRPr="00FD211F">
        <w:rPr>
          <w:sz w:val="36"/>
          <w:szCs w:val="36"/>
          <w:rtl/>
        </w:rPr>
        <w:t>ة</w:t>
      </w:r>
      <w:r w:rsidR="00E8128F">
        <w:rPr>
          <w:sz w:val="36"/>
          <w:szCs w:val="36"/>
          <w:rtl/>
        </w:rPr>
        <w:t xml:space="preserve"> </w:t>
      </w:r>
      <w:r w:rsidR="00FB13D5" w:rsidRPr="00FD211F">
        <w:rPr>
          <w:sz w:val="36"/>
          <w:szCs w:val="36"/>
          <w:rtl/>
        </w:rPr>
        <w:t>الجمع</w:t>
      </w:r>
      <w:r w:rsidR="00EC7EDF" w:rsidRPr="00FD211F">
        <w:rPr>
          <w:sz w:val="36"/>
          <w:szCs w:val="36"/>
          <w:rtl/>
        </w:rPr>
        <w:t>ة</w:t>
      </w:r>
      <w:r w:rsidR="00E8128F">
        <w:rPr>
          <w:sz w:val="36"/>
          <w:szCs w:val="36"/>
          <w:rtl/>
        </w:rPr>
        <w:t xml:space="preserve"> </w:t>
      </w:r>
      <w:r w:rsidR="00FB13D5" w:rsidRPr="00FD211F">
        <w:rPr>
          <w:sz w:val="36"/>
          <w:szCs w:val="36"/>
          <w:rtl/>
        </w:rPr>
        <w:t>مثلا</w:t>
      </w:r>
      <w:r w:rsidR="00E8128F">
        <w:rPr>
          <w:sz w:val="36"/>
          <w:szCs w:val="36"/>
          <w:rtl/>
        </w:rPr>
        <w:t xml:space="preserve"> </w:t>
      </w:r>
      <w:r w:rsidR="00FB13D5" w:rsidRPr="00FD211F">
        <w:rPr>
          <w:sz w:val="36"/>
          <w:szCs w:val="36"/>
          <w:rtl/>
        </w:rPr>
        <w:t>في</w:t>
      </w:r>
      <w:r w:rsidR="00E8128F">
        <w:rPr>
          <w:sz w:val="36"/>
          <w:szCs w:val="36"/>
          <w:rtl/>
        </w:rPr>
        <w:t xml:space="preserve"> </w:t>
      </w:r>
      <w:r w:rsidR="00FB13D5" w:rsidRPr="00FD211F">
        <w:rPr>
          <w:sz w:val="36"/>
          <w:szCs w:val="36"/>
          <w:rtl/>
        </w:rPr>
        <w:t>مورد</w:t>
      </w:r>
      <w:r w:rsidR="00E8128F">
        <w:rPr>
          <w:sz w:val="36"/>
          <w:szCs w:val="36"/>
          <w:rtl/>
        </w:rPr>
        <w:t xml:space="preserve"> </w:t>
      </w:r>
      <w:r w:rsidR="00FB13D5" w:rsidRPr="00FD211F">
        <w:rPr>
          <w:sz w:val="36"/>
          <w:szCs w:val="36"/>
          <w:rtl/>
        </w:rPr>
        <w:t>استصحابه</w:t>
      </w:r>
      <w:r w:rsidR="00603323" w:rsidRPr="00FD211F">
        <w:rPr>
          <w:sz w:val="36"/>
          <w:szCs w:val="36"/>
          <w:rtl/>
        </w:rPr>
        <w:t>،</w:t>
      </w:r>
      <w:r w:rsidR="00E8128F">
        <w:rPr>
          <w:sz w:val="36"/>
          <w:szCs w:val="36"/>
          <w:rtl/>
        </w:rPr>
        <w:t xml:space="preserve"> </w:t>
      </w:r>
      <w:r w:rsidRPr="00FD211F">
        <w:rPr>
          <w:sz w:val="36"/>
          <w:szCs w:val="36"/>
          <w:rtl/>
        </w:rPr>
        <w:t>وليس</w:t>
      </w:r>
      <w:r w:rsidR="00E8128F">
        <w:rPr>
          <w:sz w:val="36"/>
          <w:szCs w:val="36"/>
          <w:rtl/>
        </w:rPr>
        <w:t xml:space="preserve"> </w:t>
      </w:r>
      <w:r w:rsidR="00FB13D5" w:rsidRPr="00FD211F">
        <w:rPr>
          <w:sz w:val="36"/>
          <w:szCs w:val="36"/>
          <w:rtl/>
        </w:rPr>
        <w:t>عنوان</w:t>
      </w:r>
      <w:r w:rsidR="00E8128F">
        <w:rPr>
          <w:sz w:val="36"/>
          <w:szCs w:val="36"/>
          <w:rtl/>
        </w:rPr>
        <w:t xml:space="preserve"> </w:t>
      </w:r>
      <w:r w:rsidR="00FB13D5" w:rsidRPr="00FD211F">
        <w:rPr>
          <w:sz w:val="36"/>
          <w:szCs w:val="36"/>
          <w:rtl/>
        </w:rPr>
        <w:t>تصديق</w:t>
      </w:r>
      <w:r w:rsidR="00E8128F">
        <w:rPr>
          <w:sz w:val="36"/>
          <w:szCs w:val="36"/>
          <w:rtl/>
        </w:rPr>
        <w:t xml:space="preserve"> </w:t>
      </w:r>
      <w:r w:rsidR="00FB13D5" w:rsidRPr="00FD211F">
        <w:rPr>
          <w:sz w:val="36"/>
          <w:szCs w:val="36"/>
          <w:rtl/>
        </w:rPr>
        <w:t>العادل</w:t>
      </w:r>
      <w:r w:rsidR="00E8128F">
        <w:rPr>
          <w:sz w:val="36"/>
          <w:szCs w:val="36"/>
          <w:rtl/>
        </w:rPr>
        <w:t xml:space="preserve"> </w:t>
      </w:r>
      <w:r w:rsidR="00FB13D5" w:rsidRPr="00FD211F">
        <w:rPr>
          <w:sz w:val="36"/>
          <w:szCs w:val="36"/>
          <w:rtl/>
        </w:rPr>
        <w:t>او</w:t>
      </w:r>
      <w:r w:rsidR="00E8128F">
        <w:rPr>
          <w:sz w:val="36"/>
          <w:szCs w:val="36"/>
          <w:rtl/>
        </w:rPr>
        <w:t xml:space="preserve"> </w:t>
      </w:r>
      <w:r w:rsidR="00FB13D5" w:rsidRPr="00FD211F">
        <w:rPr>
          <w:sz w:val="36"/>
          <w:szCs w:val="36"/>
          <w:rtl/>
        </w:rPr>
        <w:t>نقض</w:t>
      </w:r>
      <w:r w:rsidR="00E8128F">
        <w:rPr>
          <w:sz w:val="36"/>
          <w:szCs w:val="36"/>
          <w:rtl/>
        </w:rPr>
        <w:t xml:space="preserve"> </w:t>
      </w:r>
      <w:r w:rsidR="00FB13D5" w:rsidRPr="00FD211F">
        <w:rPr>
          <w:sz w:val="36"/>
          <w:szCs w:val="36"/>
          <w:rtl/>
        </w:rPr>
        <w:t>اليقين</w:t>
      </w:r>
      <w:r w:rsidR="00E8128F">
        <w:rPr>
          <w:sz w:val="36"/>
          <w:szCs w:val="36"/>
          <w:rtl/>
        </w:rPr>
        <w:t xml:space="preserve"> </w:t>
      </w:r>
      <w:r w:rsidR="00FB13D5" w:rsidRPr="00FD211F">
        <w:rPr>
          <w:sz w:val="36"/>
          <w:szCs w:val="36"/>
          <w:rtl/>
        </w:rPr>
        <w:t>بالشك</w:t>
      </w:r>
      <w:r w:rsidR="00E8128F">
        <w:rPr>
          <w:sz w:val="36"/>
          <w:szCs w:val="36"/>
          <w:rtl/>
        </w:rPr>
        <w:t xml:space="preserve"> </w:t>
      </w:r>
      <w:r w:rsidR="00CA1517" w:rsidRPr="00FD211F">
        <w:rPr>
          <w:sz w:val="36"/>
          <w:szCs w:val="36"/>
          <w:rtl/>
        </w:rPr>
        <w:t>منطبقا</w:t>
      </w:r>
      <w:r w:rsidR="00E8128F">
        <w:rPr>
          <w:sz w:val="36"/>
          <w:szCs w:val="36"/>
          <w:rtl/>
        </w:rPr>
        <w:t xml:space="preserve"> </w:t>
      </w:r>
      <w:r w:rsidR="00CA1517" w:rsidRPr="00FD211F">
        <w:rPr>
          <w:sz w:val="36"/>
          <w:szCs w:val="36"/>
          <w:rtl/>
        </w:rPr>
        <w:t>على</w:t>
      </w:r>
      <w:r w:rsidR="00E8128F">
        <w:rPr>
          <w:sz w:val="36"/>
          <w:szCs w:val="36"/>
          <w:rtl/>
        </w:rPr>
        <w:t xml:space="preserve"> </w:t>
      </w:r>
      <w:r w:rsidR="00CA1517" w:rsidRPr="00FD211F">
        <w:rPr>
          <w:sz w:val="36"/>
          <w:szCs w:val="36"/>
          <w:rtl/>
        </w:rPr>
        <w:t>عمل</w:t>
      </w:r>
      <w:r w:rsidR="00E8128F">
        <w:rPr>
          <w:sz w:val="36"/>
          <w:szCs w:val="36"/>
          <w:rtl/>
        </w:rPr>
        <w:t xml:space="preserve"> </w:t>
      </w:r>
      <w:r w:rsidRPr="00FD211F">
        <w:rPr>
          <w:sz w:val="36"/>
          <w:szCs w:val="36"/>
          <w:rtl/>
        </w:rPr>
        <w:t>المكلف</w:t>
      </w:r>
      <w:r w:rsidR="00603323" w:rsidRPr="00FD211F">
        <w:rPr>
          <w:sz w:val="36"/>
          <w:szCs w:val="36"/>
          <w:rtl/>
        </w:rPr>
        <w:t>،</w:t>
      </w:r>
      <w:r w:rsidR="00E8128F">
        <w:rPr>
          <w:sz w:val="36"/>
          <w:szCs w:val="36"/>
          <w:rtl/>
        </w:rPr>
        <w:t xml:space="preserve"> </w:t>
      </w:r>
      <w:r w:rsidRPr="00FD211F">
        <w:rPr>
          <w:sz w:val="36"/>
          <w:szCs w:val="36"/>
          <w:rtl/>
        </w:rPr>
        <w:t>بخلاف</w:t>
      </w:r>
      <w:r w:rsidR="00E8128F">
        <w:rPr>
          <w:sz w:val="36"/>
          <w:szCs w:val="36"/>
          <w:rtl/>
        </w:rPr>
        <w:t xml:space="preserve"> </w:t>
      </w:r>
      <w:r w:rsidRPr="00FD211F">
        <w:rPr>
          <w:sz w:val="36"/>
          <w:szCs w:val="36"/>
          <w:rtl/>
        </w:rPr>
        <w:t>عنوان</w:t>
      </w:r>
      <w:r w:rsidR="00E8128F">
        <w:rPr>
          <w:sz w:val="36"/>
          <w:szCs w:val="36"/>
          <w:rtl/>
        </w:rPr>
        <w:t xml:space="preserve"> </w:t>
      </w:r>
      <w:r w:rsidRPr="00FD211F">
        <w:rPr>
          <w:sz w:val="36"/>
          <w:szCs w:val="36"/>
          <w:rtl/>
        </w:rPr>
        <w:t>الوفاء</w:t>
      </w:r>
      <w:r w:rsidR="00E8128F">
        <w:rPr>
          <w:sz w:val="36"/>
          <w:szCs w:val="36"/>
          <w:rtl/>
        </w:rPr>
        <w:t xml:space="preserve"> </w:t>
      </w:r>
      <w:r w:rsidRPr="00FD211F">
        <w:rPr>
          <w:sz w:val="36"/>
          <w:szCs w:val="36"/>
          <w:rtl/>
        </w:rPr>
        <w:t>بالنذر</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أنه</w:t>
      </w:r>
      <w:r w:rsidR="00E8128F">
        <w:rPr>
          <w:sz w:val="36"/>
          <w:szCs w:val="36"/>
          <w:rtl/>
        </w:rPr>
        <w:t xml:space="preserve"> </w:t>
      </w:r>
      <w:r w:rsidRPr="00FD211F">
        <w:rPr>
          <w:sz w:val="36"/>
          <w:szCs w:val="36"/>
          <w:rtl/>
        </w:rPr>
        <w:t>عنوان</w:t>
      </w:r>
      <w:r w:rsidR="00E8128F">
        <w:rPr>
          <w:sz w:val="36"/>
          <w:szCs w:val="36"/>
          <w:rtl/>
        </w:rPr>
        <w:t xml:space="preserve"> </w:t>
      </w:r>
      <w:r w:rsidRPr="00FD211F">
        <w:rPr>
          <w:sz w:val="36"/>
          <w:szCs w:val="36"/>
          <w:rtl/>
        </w:rPr>
        <w:t>ثانوي</w:t>
      </w:r>
      <w:r w:rsidR="00E8128F">
        <w:rPr>
          <w:sz w:val="36"/>
          <w:szCs w:val="36"/>
          <w:rtl/>
        </w:rPr>
        <w:t xml:space="preserve"> </w:t>
      </w:r>
      <w:r w:rsidR="006C1E42" w:rsidRPr="00FD211F">
        <w:rPr>
          <w:sz w:val="36"/>
          <w:szCs w:val="36"/>
          <w:rtl/>
        </w:rPr>
        <w:t>لعمل</w:t>
      </w:r>
      <w:r w:rsidR="00E8128F">
        <w:rPr>
          <w:sz w:val="36"/>
          <w:szCs w:val="36"/>
          <w:rtl/>
        </w:rPr>
        <w:t xml:space="preserve"> </w:t>
      </w:r>
      <w:r w:rsidR="006C1E42" w:rsidRPr="00FD211F">
        <w:rPr>
          <w:sz w:val="36"/>
          <w:szCs w:val="36"/>
          <w:rtl/>
        </w:rPr>
        <w:t>المكلف.</w:t>
      </w:r>
    </w:p>
    <w:p w14:paraId="1D68A3F5" w14:textId="77777777" w:rsidR="00E522E8" w:rsidRPr="00FD211F" w:rsidRDefault="00E522E8" w:rsidP="009C58C8">
      <w:pPr>
        <w:ind w:left="0" w:firstLine="227"/>
        <w:jc w:val="both"/>
        <w:rPr>
          <w:sz w:val="36"/>
          <w:szCs w:val="36"/>
          <w:rtl/>
        </w:rPr>
      </w:pPr>
      <w:r w:rsidRPr="00FD211F">
        <w:rPr>
          <w:sz w:val="36"/>
          <w:szCs w:val="36"/>
          <w:rtl/>
        </w:rPr>
        <w:t>وحينئذ</w:t>
      </w:r>
      <w:r w:rsidR="00E8128F">
        <w:rPr>
          <w:sz w:val="36"/>
          <w:szCs w:val="36"/>
          <w:rtl/>
        </w:rPr>
        <w:t xml:space="preserve"> </w:t>
      </w:r>
      <w:r w:rsidRPr="00FD211F">
        <w:rPr>
          <w:sz w:val="36"/>
          <w:szCs w:val="36"/>
          <w:rtl/>
        </w:rPr>
        <w:t>فيقال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المبحوث</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الوجوب</w:t>
      </w:r>
      <w:r w:rsidR="00E8128F">
        <w:rPr>
          <w:sz w:val="36"/>
          <w:szCs w:val="36"/>
          <w:rtl/>
        </w:rPr>
        <w:t xml:space="preserve"> </w:t>
      </w:r>
      <w:r w:rsidRPr="00FD211F">
        <w:rPr>
          <w:sz w:val="36"/>
          <w:szCs w:val="36"/>
          <w:rtl/>
        </w:rPr>
        <w:t>الكنائي</w:t>
      </w:r>
      <w:r w:rsidR="00603323" w:rsidRPr="00FD211F">
        <w:rPr>
          <w:sz w:val="36"/>
          <w:szCs w:val="36"/>
          <w:rtl/>
        </w:rPr>
        <w:t>،</w:t>
      </w:r>
      <w:r w:rsidR="00E8128F">
        <w:rPr>
          <w:sz w:val="36"/>
          <w:szCs w:val="36"/>
          <w:rtl/>
        </w:rPr>
        <w:t xml:space="preserve"> </w:t>
      </w:r>
      <w:r w:rsidR="00083881" w:rsidRPr="00FD211F">
        <w:rPr>
          <w:sz w:val="36"/>
          <w:szCs w:val="36"/>
          <w:rtl/>
        </w:rPr>
        <w:t>اي</w:t>
      </w:r>
      <w:r w:rsidR="00E8128F">
        <w:rPr>
          <w:sz w:val="36"/>
          <w:szCs w:val="36"/>
          <w:rtl/>
        </w:rPr>
        <w:t xml:space="preserve"> </w:t>
      </w:r>
      <w:r w:rsidR="00083881" w:rsidRPr="00FD211F">
        <w:rPr>
          <w:sz w:val="36"/>
          <w:szCs w:val="36"/>
          <w:rtl/>
        </w:rPr>
        <w:t>وجوب</w:t>
      </w:r>
      <w:r w:rsidR="00E8128F">
        <w:rPr>
          <w:sz w:val="36"/>
          <w:szCs w:val="36"/>
          <w:rtl/>
        </w:rPr>
        <w:t xml:space="preserve"> </w:t>
      </w:r>
      <w:r w:rsidR="00083881" w:rsidRPr="00FD211F">
        <w:rPr>
          <w:sz w:val="36"/>
          <w:szCs w:val="36"/>
          <w:rtl/>
        </w:rPr>
        <w:t>تصديق</w:t>
      </w:r>
      <w:r w:rsidR="00E8128F">
        <w:rPr>
          <w:sz w:val="36"/>
          <w:szCs w:val="36"/>
          <w:rtl/>
        </w:rPr>
        <w:t xml:space="preserve"> </w:t>
      </w:r>
      <w:r w:rsidR="00083881" w:rsidRPr="00FD211F">
        <w:rPr>
          <w:sz w:val="36"/>
          <w:szCs w:val="36"/>
          <w:rtl/>
        </w:rPr>
        <w:t>العادل</w:t>
      </w:r>
      <w:r w:rsidR="00E8128F">
        <w:rPr>
          <w:sz w:val="36"/>
          <w:szCs w:val="36"/>
          <w:rtl/>
        </w:rPr>
        <w:t xml:space="preserve"> </w:t>
      </w:r>
      <w:r w:rsidR="00083881" w:rsidRPr="00FD211F">
        <w:rPr>
          <w:sz w:val="36"/>
          <w:szCs w:val="36"/>
          <w:rtl/>
        </w:rPr>
        <w:t>عملا</w:t>
      </w:r>
      <w:r w:rsidR="00603323" w:rsidRPr="00FD211F">
        <w:rPr>
          <w:sz w:val="36"/>
          <w:szCs w:val="36"/>
          <w:rtl/>
        </w:rPr>
        <w:t>،</w:t>
      </w:r>
      <w:r w:rsidR="00E8128F">
        <w:rPr>
          <w:sz w:val="36"/>
          <w:szCs w:val="36"/>
          <w:rtl/>
        </w:rPr>
        <w:t xml:space="preserve"> </w:t>
      </w:r>
      <w:r w:rsidRPr="00FD211F">
        <w:rPr>
          <w:sz w:val="36"/>
          <w:szCs w:val="36"/>
          <w:rtl/>
        </w:rPr>
        <w:t>ويستنبط</w:t>
      </w:r>
      <w:r w:rsidR="00E8128F">
        <w:rPr>
          <w:sz w:val="36"/>
          <w:szCs w:val="36"/>
          <w:rtl/>
        </w:rPr>
        <w:t xml:space="preserve"> </w:t>
      </w:r>
      <w:r w:rsidRPr="00FD211F">
        <w:rPr>
          <w:sz w:val="36"/>
          <w:szCs w:val="36"/>
          <w:rtl/>
        </w:rPr>
        <w:t>منه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الفقه</w:t>
      </w:r>
      <w:r w:rsidR="00E8128F">
        <w:rPr>
          <w:sz w:val="36"/>
          <w:szCs w:val="36"/>
          <w:rtl/>
        </w:rPr>
        <w:t xml:space="preserve"> </w:t>
      </w:r>
      <w:r w:rsidRPr="00FD211F">
        <w:rPr>
          <w:sz w:val="36"/>
          <w:szCs w:val="36"/>
          <w:rtl/>
        </w:rPr>
        <w:t>الوجوب</w:t>
      </w:r>
      <w:r w:rsidR="00E8128F">
        <w:rPr>
          <w:sz w:val="36"/>
          <w:szCs w:val="36"/>
          <w:rtl/>
        </w:rPr>
        <w:t xml:space="preserve"> </w:t>
      </w:r>
      <w:r w:rsidRPr="00FD211F">
        <w:rPr>
          <w:sz w:val="36"/>
          <w:szCs w:val="36"/>
          <w:rtl/>
        </w:rPr>
        <w:t>الحقيقي</w:t>
      </w:r>
      <w:r w:rsidR="00E8128F">
        <w:rPr>
          <w:sz w:val="36"/>
          <w:szCs w:val="36"/>
          <w:rtl/>
        </w:rPr>
        <w:t xml:space="preserve"> </w:t>
      </w:r>
      <w:r w:rsidR="00083881" w:rsidRPr="00FD211F">
        <w:rPr>
          <w:sz w:val="36"/>
          <w:szCs w:val="36"/>
          <w:rtl/>
        </w:rPr>
        <w:t>لصلا</w:t>
      </w:r>
      <w:r w:rsidR="00EC7EDF" w:rsidRPr="00FD211F">
        <w:rPr>
          <w:sz w:val="36"/>
          <w:szCs w:val="36"/>
          <w:rtl/>
        </w:rPr>
        <w:t>ة</w:t>
      </w:r>
      <w:r w:rsidR="00E8128F">
        <w:rPr>
          <w:sz w:val="36"/>
          <w:szCs w:val="36"/>
          <w:rtl/>
        </w:rPr>
        <w:t xml:space="preserve"> </w:t>
      </w:r>
      <w:r w:rsidR="00083881" w:rsidRPr="00FD211F">
        <w:rPr>
          <w:sz w:val="36"/>
          <w:szCs w:val="36"/>
          <w:rtl/>
        </w:rPr>
        <w:t>الجمع</w:t>
      </w:r>
      <w:r w:rsidR="00EC7EDF" w:rsidRPr="00FD211F">
        <w:rPr>
          <w:sz w:val="36"/>
          <w:szCs w:val="36"/>
          <w:rtl/>
        </w:rPr>
        <w:t>ة</w:t>
      </w:r>
      <w:r w:rsidR="00E8128F">
        <w:rPr>
          <w:sz w:val="36"/>
          <w:szCs w:val="36"/>
          <w:rtl/>
        </w:rPr>
        <w:t xml:space="preserve"> </w:t>
      </w:r>
      <w:r w:rsidR="00083881" w:rsidRPr="00FD211F">
        <w:rPr>
          <w:sz w:val="36"/>
          <w:szCs w:val="36"/>
          <w:rtl/>
        </w:rPr>
        <w:t>مثلا</w:t>
      </w:r>
      <w:r w:rsidR="009C58C8" w:rsidRPr="00FD211F">
        <w:rPr>
          <w:rStyle w:val="a6"/>
          <w:sz w:val="36"/>
          <w:szCs w:val="36"/>
          <w:rtl/>
        </w:rPr>
        <w:t>(</w:t>
      </w:r>
      <w:r w:rsidR="009C58C8" w:rsidRPr="00FD211F">
        <w:rPr>
          <w:rStyle w:val="a6"/>
          <w:sz w:val="36"/>
          <w:szCs w:val="36"/>
          <w:rtl/>
        </w:rPr>
        <w:footnoteReference w:id="52"/>
      </w:r>
      <w:r w:rsidR="009C58C8" w:rsidRPr="00FD211F">
        <w:rPr>
          <w:rStyle w:val="a6"/>
          <w:sz w:val="36"/>
          <w:szCs w:val="36"/>
          <w:rtl/>
        </w:rPr>
        <w:t>)</w:t>
      </w:r>
      <w:r w:rsidRPr="00FD211F">
        <w:rPr>
          <w:sz w:val="36"/>
          <w:szCs w:val="36"/>
          <w:rtl/>
        </w:rPr>
        <w:t>.</w:t>
      </w:r>
    </w:p>
    <w:p w14:paraId="5266AE24" w14:textId="77777777" w:rsidR="00E40872" w:rsidRPr="00FD211F" w:rsidRDefault="00E40872" w:rsidP="009C58C8">
      <w:pPr>
        <w:ind w:left="0" w:firstLine="227"/>
        <w:jc w:val="both"/>
        <w:rPr>
          <w:sz w:val="36"/>
          <w:szCs w:val="36"/>
          <w:rtl/>
        </w:rPr>
      </w:pPr>
      <w:r w:rsidRPr="00FD211F">
        <w:rPr>
          <w:sz w:val="36"/>
          <w:szCs w:val="36"/>
          <w:rtl/>
        </w:rPr>
        <w:t>ويلاحظ</w:t>
      </w:r>
      <w:r w:rsidR="00E8128F">
        <w:rPr>
          <w:sz w:val="36"/>
          <w:szCs w:val="36"/>
          <w:rtl/>
        </w:rPr>
        <w:t xml:space="preserve"> </w:t>
      </w:r>
      <w:r w:rsidRPr="00FD211F">
        <w:rPr>
          <w:sz w:val="36"/>
          <w:szCs w:val="36"/>
          <w:rtl/>
        </w:rPr>
        <w:t>عليه</w:t>
      </w:r>
      <w:r w:rsidR="00FB13D5"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خروج</w:t>
      </w:r>
      <w:r w:rsidR="00E8128F">
        <w:rPr>
          <w:sz w:val="36"/>
          <w:szCs w:val="36"/>
          <w:rtl/>
        </w:rPr>
        <w:t xml:space="preserve"> </w:t>
      </w:r>
      <w:r w:rsidRPr="00FD211F">
        <w:rPr>
          <w:sz w:val="36"/>
          <w:szCs w:val="36"/>
          <w:rtl/>
        </w:rPr>
        <w:t>قاعد</w:t>
      </w:r>
      <w:r w:rsidR="00EC7EDF" w:rsidRPr="00FD211F">
        <w:rPr>
          <w:sz w:val="36"/>
          <w:szCs w:val="36"/>
          <w:rtl/>
        </w:rPr>
        <w:t>ة</w:t>
      </w:r>
      <w:r w:rsidR="00E8128F">
        <w:rPr>
          <w:sz w:val="36"/>
          <w:szCs w:val="36"/>
          <w:rtl/>
        </w:rPr>
        <w:t xml:space="preserve"> </w:t>
      </w:r>
      <w:r w:rsidRPr="00FD211F">
        <w:rPr>
          <w:sz w:val="36"/>
          <w:szCs w:val="36"/>
          <w:rtl/>
        </w:rPr>
        <w:t>الحل</w:t>
      </w:r>
      <w:r w:rsidR="00E8128F">
        <w:rPr>
          <w:sz w:val="36"/>
          <w:szCs w:val="36"/>
          <w:rtl/>
        </w:rPr>
        <w:t xml:space="preserve"> </w:t>
      </w:r>
      <w:r w:rsidRPr="00FD211F">
        <w:rPr>
          <w:sz w:val="36"/>
          <w:szCs w:val="36"/>
          <w:rtl/>
        </w:rPr>
        <w:t>والب</w:t>
      </w:r>
      <w:r w:rsidR="008D7B3D" w:rsidRPr="00FD211F">
        <w:rPr>
          <w:sz w:val="36"/>
          <w:szCs w:val="36"/>
          <w:rtl/>
        </w:rPr>
        <w:t>راءة</w:t>
      </w:r>
      <w:r w:rsidR="00E8128F">
        <w:rPr>
          <w:sz w:val="36"/>
          <w:szCs w:val="36"/>
          <w:rtl/>
        </w:rPr>
        <w:t xml:space="preserve"> </w:t>
      </w:r>
      <w:r w:rsidRPr="00FD211F">
        <w:rPr>
          <w:sz w:val="36"/>
          <w:szCs w:val="36"/>
          <w:rtl/>
        </w:rPr>
        <w:t>عن</w:t>
      </w:r>
      <w:r w:rsidR="00E8128F">
        <w:rPr>
          <w:sz w:val="36"/>
          <w:szCs w:val="36"/>
          <w:rtl/>
        </w:rPr>
        <w:t xml:space="preserve"> </w:t>
      </w:r>
      <w:r w:rsidR="006C1E42" w:rsidRPr="00FD211F">
        <w:rPr>
          <w:sz w:val="36"/>
          <w:szCs w:val="36"/>
          <w:rtl/>
        </w:rPr>
        <w:t>علم</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ل</w:t>
      </w:r>
      <w:r w:rsidR="006C1E42" w:rsidRPr="00FD211F">
        <w:rPr>
          <w:sz w:val="36"/>
          <w:szCs w:val="36"/>
          <w:rtl/>
        </w:rPr>
        <w:t>أجل</w:t>
      </w:r>
      <w:r w:rsidR="00E8128F">
        <w:rPr>
          <w:sz w:val="36"/>
          <w:szCs w:val="36"/>
          <w:rtl/>
        </w:rPr>
        <w:t xml:space="preserve"> </w:t>
      </w:r>
      <w:r w:rsidRPr="00FD211F">
        <w:rPr>
          <w:sz w:val="36"/>
          <w:szCs w:val="36"/>
          <w:rtl/>
        </w:rPr>
        <w:t>ع</w:t>
      </w:r>
      <w:r w:rsidR="006C1E42" w:rsidRPr="00FD211F">
        <w:rPr>
          <w:sz w:val="36"/>
          <w:szCs w:val="36"/>
          <w:rtl/>
        </w:rPr>
        <w:t>دم</w:t>
      </w:r>
      <w:r w:rsidR="00E8128F">
        <w:rPr>
          <w:sz w:val="36"/>
          <w:szCs w:val="36"/>
          <w:rtl/>
        </w:rPr>
        <w:t xml:space="preserve"> </w:t>
      </w:r>
      <w:r w:rsidR="006C1E42" w:rsidRPr="00FD211F">
        <w:rPr>
          <w:sz w:val="36"/>
          <w:szCs w:val="36"/>
          <w:rtl/>
        </w:rPr>
        <w:t>كونها</w:t>
      </w:r>
      <w:r w:rsidR="00E8128F">
        <w:rPr>
          <w:sz w:val="36"/>
          <w:szCs w:val="36"/>
          <w:rtl/>
        </w:rPr>
        <w:t xml:space="preserve"> </w:t>
      </w:r>
      <w:r w:rsidR="006C1E42" w:rsidRPr="00FD211F">
        <w:rPr>
          <w:sz w:val="36"/>
          <w:szCs w:val="36"/>
          <w:rtl/>
        </w:rPr>
        <w:t>حج</w:t>
      </w:r>
      <w:r w:rsidR="00EC7EDF" w:rsidRPr="00FD211F">
        <w:rPr>
          <w:sz w:val="36"/>
          <w:szCs w:val="36"/>
          <w:rtl/>
        </w:rPr>
        <w:t>ة</w:t>
      </w:r>
      <w:r w:rsidR="00E8128F">
        <w:rPr>
          <w:sz w:val="36"/>
          <w:szCs w:val="36"/>
          <w:rtl/>
        </w:rPr>
        <w:t xml:space="preserve"> </w:t>
      </w:r>
      <w:r w:rsidR="006C1E42" w:rsidRPr="00FD211F">
        <w:rPr>
          <w:sz w:val="36"/>
          <w:szCs w:val="36"/>
          <w:rtl/>
        </w:rPr>
        <w:t>على</w:t>
      </w:r>
      <w:r w:rsidR="00E8128F">
        <w:rPr>
          <w:sz w:val="36"/>
          <w:szCs w:val="36"/>
          <w:rtl/>
        </w:rPr>
        <w:t xml:space="preserve"> </w:t>
      </w:r>
      <w:r w:rsidR="006C1E42" w:rsidRPr="00FD211F">
        <w:rPr>
          <w:sz w:val="36"/>
          <w:szCs w:val="36"/>
          <w:rtl/>
        </w:rPr>
        <w:t>الحكم</w:t>
      </w:r>
      <w:r w:rsidR="00E8128F">
        <w:rPr>
          <w:sz w:val="36"/>
          <w:szCs w:val="36"/>
          <w:rtl/>
        </w:rPr>
        <w:t xml:space="preserve"> </w:t>
      </w:r>
      <w:r w:rsidR="006C1E42" w:rsidRPr="00FD211F">
        <w:rPr>
          <w:sz w:val="36"/>
          <w:szCs w:val="36"/>
          <w:rtl/>
        </w:rPr>
        <w:t>الشرعي</w:t>
      </w:r>
      <w:r w:rsidR="00603323" w:rsidRPr="00FD211F">
        <w:rPr>
          <w:sz w:val="36"/>
          <w:szCs w:val="36"/>
          <w:rtl/>
        </w:rPr>
        <w:t>،</w:t>
      </w:r>
      <w:r w:rsidR="00E8128F">
        <w:rPr>
          <w:sz w:val="36"/>
          <w:szCs w:val="36"/>
          <w:rtl/>
        </w:rPr>
        <w:t xml:space="preserve"> </w:t>
      </w:r>
      <w:r w:rsidR="006C1E42" w:rsidRPr="00FD211F">
        <w:rPr>
          <w:sz w:val="36"/>
          <w:szCs w:val="36"/>
          <w:rtl/>
        </w:rPr>
        <w:t>لايخلومن</w:t>
      </w:r>
      <w:r w:rsidR="00E8128F">
        <w:rPr>
          <w:sz w:val="36"/>
          <w:szCs w:val="36"/>
          <w:rtl/>
        </w:rPr>
        <w:t xml:space="preserve"> </w:t>
      </w:r>
      <w:r w:rsidR="006C1E42" w:rsidRPr="00FD211F">
        <w:rPr>
          <w:sz w:val="36"/>
          <w:szCs w:val="36"/>
          <w:rtl/>
        </w:rPr>
        <w:t>غراب</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اذ</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الحلي</w:t>
      </w:r>
      <w:r w:rsidR="00EC7EDF" w:rsidRPr="00FD211F">
        <w:rPr>
          <w:sz w:val="36"/>
          <w:szCs w:val="36"/>
          <w:rtl/>
        </w:rPr>
        <w:t>ة</w:t>
      </w:r>
      <w:r w:rsidR="00E8128F">
        <w:rPr>
          <w:sz w:val="36"/>
          <w:szCs w:val="36"/>
          <w:rtl/>
        </w:rPr>
        <w:t xml:space="preserve"> </w:t>
      </w:r>
      <w:r w:rsidRPr="00FD211F">
        <w:rPr>
          <w:sz w:val="36"/>
          <w:szCs w:val="36"/>
          <w:rtl/>
        </w:rPr>
        <w:t>الظاهري</w:t>
      </w:r>
      <w:r w:rsidR="00EC7EDF" w:rsidRPr="00FD211F">
        <w:rPr>
          <w:sz w:val="36"/>
          <w:szCs w:val="36"/>
          <w:rtl/>
        </w:rPr>
        <w:t>ة</w:t>
      </w:r>
      <w:r w:rsidR="00E8128F">
        <w:rPr>
          <w:sz w:val="36"/>
          <w:szCs w:val="36"/>
          <w:rtl/>
        </w:rPr>
        <w:t xml:space="preserve"> </w:t>
      </w:r>
      <w:r w:rsidRPr="00FD211F">
        <w:rPr>
          <w:sz w:val="36"/>
          <w:szCs w:val="36"/>
          <w:rtl/>
        </w:rPr>
        <w:t>والب</w:t>
      </w:r>
      <w:r w:rsidR="008D7B3D" w:rsidRPr="00FD211F">
        <w:rPr>
          <w:sz w:val="36"/>
          <w:szCs w:val="36"/>
          <w:rtl/>
        </w:rPr>
        <w:t>راءة</w:t>
      </w:r>
      <w:r w:rsidR="00E8128F">
        <w:rPr>
          <w:sz w:val="36"/>
          <w:szCs w:val="36"/>
          <w:rtl/>
        </w:rPr>
        <w:t xml:space="preserve"> </w:t>
      </w:r>
      <w:r w:rsidRPr="00FD211F">
        <w:rPr>
          <w:sz w:val="36"/>
          <w:szCs w:val="36"/>
          <w:rtl/>
        </w:rPr>
        <w:t>بغرض</w:t>
      </w:r>
      <w:r w:rsidR="00E8128F">
        <w:rPr>
          <w:sz w:val="36"/>
          <w:szCs w:val="36"/>
          <w:rtl/>
        </w:rPr>
        <w:t xml:space="preserve"> </w:t>
      </w:r>
      <w:r w:rsidR="00944C44" w:rsidRPr="00FD211F">
        <w:rPr>
          <w:sz w:val="36"/>
          <w:szCs w:val="36"/>
          <w:rtl/>
        </w:rPr>
        <w:t>التعذير</w:t>
      </w:r>
      <w:r w:rsidR="00E8128F">
        <w:rPr>
          <w:sz w:val="36"/>
          <w:szCs w:val="36"/>
          <w:rtl/>
        </w:rPr>
        <w:t xml:space="preserve"> </w:t>
      </w:r>
      <w:r w:rsidRPr="00FD211F">
        <w:rPr>
          <w:sz w:val="36"/>
          <w:szCs w:val="36"/>
          <w:rtl/>
        </w:rPr>
        <w:t>فيترتب</w:t>
      </w:r>
      <w:r w:rsidR="00E8128F">
        <w:rPr>
          <w:sz w:val="36"/>
          <w:szCs w:val="36"/>
          <w:rtl/>
        </w:rPr>
        <w:t xml:space="preserve"> </w:t>
      </w:r>
      <w:r w:rsidRPr="00FD211F">
        <w:rPr>
          <w:sz w:val="36"/>
          <w:szCs w:val="36"/>
          <w:rtl/>
        </w:rPr>
        <w:t>عليها</w:t>
      </w:r>
      <w:r w:rsidR="00E8128F">
        <w:rPr>
          <w:sz w:val="36"/>
          <w:szCs w:val="36"/>
          <w:rtl/>
        </w:rPr>
        <w:t xml:space="preserve"> </w:t>
      </w:r>
      <w:r w:rsidRPr="00FD211F">
        <w:rPr>
          <w:sz w:val="36"/>
          <w:szCs w:val="36"/>
          <w:rtl/>
        </w:rPr>
        <w:t>العذر</w:t>
      </w:r>
      <w:r w:rsidR="00E8128F">
        <w:rPr>
          <w:sz w:val="36"/>
          <w:szCs w:val="36"/>
          <w:rtl/>
        </w:rPr>
        <w:t xml:space="preserve"> </w:t>
      </w:r>
      <w:r w:rsidRPr="00FD211F">
        <w:rPr>
          <w:sz w:val="36"/>
          <w:szCs w:val="36"/>
          <w:rtl/>
        </w:rPr>
        <w:t>العقلي</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أن</w:t>
      </w:r>
      <w:r w:rsidR="00251CB6" w:rsidRPr="00FD211F">
        <w:rPr>
          <w:sz w:val="36"/>
          <w:szCs w:val="36"/>
          <w:rtl/>
        </w:rPr>
        <w:t>شيء</w:t>
      </w:r>
      <w:r w:rsidR="00E8128F">
        <w:rPr>
          <w:sz w:val="36"/>
          <w:szCs w:val="36"/>
          <w:rtl/>
        </w:rPr>
        <w:t xml:space="preserve"> </w:t>
      </w:r>
      <w:r w:rsidRPr="00FD211F">
        <w:rPr>
          <w:sz w:val="36"/>
          <w:szCs w:val="36"/>
          <w:rtl/>
        </w:rPr>
        <w:t>عنوان</w:t>
      </w:r>
      <w:r w:rsidR="00E8128F">
        <w:rPr>
          <w:sz w:val="36"/>
          <w:szCs w:val="36"/>
          <w:rtl/>
        </w:rPr>
        <w:t xml:space="preserve"> </w:t>
      </w:r>
      <w:r w:rsidRPr="00FD211F">
        <w:rPr>
          <w:sz w:val="36"/>
          <w:szCs w:val="36"/>
          <w:rtl/>
        </w:rPr>
        <w:t>المعذري</w:t>
      </w:r>
      <w:r w:rsidR="00EC7EDF" w:rsidRPr="00FD211F">
        <w:rPr>
          <w:sz w:val="36"/>
          <w:szCs w:val="36"/>
          <w:rtl/>
        </w:rPr>
        <w:t>ة</w:t>
      </w:r>
      <w:r w:rsidR="00E8128F">
        <w:rPr>
          <w:sz w:val="36"/>
          <w:szCs w:val="36"/>
          <w:rtl/>
        </w:rPr>
        <w:t xml:space="preserve"> </w:t>
      </w:r>
      <w:r w:rsidRPr="00FD211F">
        <w:rPr>
          <w:sz w:val="36"/>
          <w:szCs w:val="36"/>
          <w:rtl/>
        </w:rPr>
        <w:t>بلا</w:t>
      </w:r>
      <w:r w:rsidR="00E8128F">
        <w:rPr>
          <w:sz w:val="36"/>
          <w:szCs w:val="36"/>
          <w:rtl/>
        </w:rPr>
        <w:t xml:space="preserve"> </w:t>
      </w:r>
      <w:r w:rsidRPr="00FD211F">
        <w:rPr>
          <w:sz w:val="36"/>
          <w:szCs w:val="36"/>
          <w:rtl/>
        </w:rPr>
        <w:t>أي</w:t>
      </w:r>
      <w:r w:rsidR="00E8128F">
        <w:rPr>
          <w:sz w:val="36"/>
          <w:szCs w:val="36"/>
          <w:rtl/>
        </w:rPr>
        <w:t xml:space="preserve"> </w:t>
      </w:r>
      <w:r w:rsidRPr="00FD211F">
        <w:rPr>
          <w:sz w:val="36"/>
          <w:szCs w:val="36"/>
          <w:rtl/>
        </w:rPr>
        <w:t>فرق</w:t>
      </w:r>
      <w:r w:rsidR="00E8128F">
        <w:rPr>
          <w:sz w:val="36"/>
          <w:szCs w:val="36"/>
          <w:rtl/>
        </w:rPr>
        <w:t xml:space="preserve"> </w:t>
      </w:r>
      <w:r w:rsidRPr="00FD211F">
        <w:rPr>
          <w:sz w:val="36"/>
          <w:szCs w:val="36"/>
          <w:rtl/>
        </w:rPr>
        <w:t>بينهما</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روح</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الظاهري</w:t>
      </w:r>
      <w:r w:rsidR="00E8128F">
        <w:rPr>
          <w:sz w:val="36"/>
          <w:szCs w:val="36"/>
          <w:rtl/>
        </w:rPr>
        <w:t xml:space="preserve"> </w:t>
      </w:r>
      <w:r w:rsidRPr="00FD211F">
        <w:rPr>
          <w:sz w:val="36"/>
          <w:szCs w:val="36"/>
          <w:rtl/>
        </w:rPr>
        <w:t>الترخيصي</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إبراز</w:t>
      </w:r>
      <w:r w:rsidR="00E8128F">
        <w:rPr>
          <w:sz w:val="36"/>
          <w:szCs w:val="36"/>
          <w:rtl/>
        </w:rPr>
        <w:t xml:space="preserve"> </w:t>
      </w:r>
      <w:r w:rsidRPr="00FD211F">
        <w:rPr>
          <w:sz w:val="36"/>
          <w:szCs w:val="36"/>
          <w:rtl/>
        </w:rPr>
        <w:t>عدم</w:t>
      </w:r>
      <w:r w:rsidR="00E8128F">
        <w:rPr>
          <w:sz w:val="36"/>
          <w:szCs w:val="36"/>
          <w:rtl/>
        </w:rPr>
        <w:t xml:space="preserve"> </w:t>
      </w:r>
      <w:r w:rsidR="004E26D3" w:rsidRPr="00FD211F">
        <w:rPr>
          <w:sz w:val="36"/>
          <w:szCs w:val="36"/>
          <w:rtl/>
        </w:rPr>
        <w:t>اهتمام</w:t>
      </w:r>
      <w:r w:rsidR="00E8128F">
        <w:rPr>
          <w:sz w:val="36"/>
          <w:szCs w:val="36"/>
          <w:rtl/>
        </w:rPr>
        <w:t xml:space="preserve"> </w:t>
      </w:r>
      <w:r w:rsidR="004E26D3" w:rsidRPr="00FD211F">
        <w:rPr>
          <w:sz w:val="36"/>
          <w:szCs w:val="36"/>
          <w:rtl/>
        </w:rPr>
        <w:t>المولى</w:t>
      </w:r>
      <w:r w:rsidR="00E8128F">
        <w:rPr>
          <w:sz w:val="36"/>
          <w:szCs w:val="36"/>
          <w:rtl/>
        </w:rPr>
        <w:t xml:space="preserve"> </w:t>
      </w:r>
      <w:r w:rsidR="004E26D3" w:rsidRPr="00FD211F">
        <w:rPr>
          <w:sz w:val="36"/>
          <w:szCs w:val="36"/>
          <w:rtl/>
        </w:rPr>
        <w:t>بالتكليف</w:t>
      </w:r>
      <w:r w:rsidR="00E8128F">
        <w:rPr>
          <w:sz w:val="36"/>
          <w:szCs w:val="36"/>
          <w:rtl/>
        </w:rPr>
        <w:t xml:space="preserve"> </w:t>
      </w:r>
      <w:r w:rsidR="004E26D3" w:rsidRPr="00FD211F">
        <w:rPr>
          <w:sz w:val="36"/>
          <w:szCs w:val="36"/>
          <w:rtl/>
        </w:rPr>
        <w:t>الواقعي</w:t>
      </w:r>
      <w:r w:rsidR="00603323" w:rsidRPr="00FD211F">
        <w:rPr>
          <w:sz w:val="36"/>
          <w:szCs w:val="36"/>
          <w:rtl/>
        </w:rPr>
        <w:t>،</w:t>
      </w:r>
      <w:r w:rsidR="00E8128F">
        <w:rPr>
          <w:sz w:val="36"/>
          <w:szCs w:val="36"/>
          <w:rtl/>
        </w:rPr>
        <w:t xml:space="preserve"> </w:t>
      </w:r>
      <w:r w:rsidR="004E26D3" w:rsidRPr="00FD211F">
        <w:rPr>
          <w:sz w:val="36"/>
          <w:szCs w:val="36"/>
          <w:rtl/>
        </w:rPr>
        <w:t>او</w:t>
      </w:r>
      <w:r w:rsidR="00E8128F">
        <w:rPr>
          <w:sz w:val="36"/>
          <w:szCs w:val="36"/>
          <w:rtl/>
        </w:rPr>
        <w:t xml:space="preserve"> </w:t>
      </w:r>
      <w:r w:rsidR="004E26D3" w:rsidRPr="00FD211F">
        <w:rPr>
          <w:sz w:val="36"/>
          <w:szCs w:val="36"/>
          <w:rtl/>
        </w:rPr>
        <w:t>فقل</w:t>
      </w:r>
      <w:r w:rsidR="00E8128F">
        <w:rPr>
          <w:sz w:val="36"/>
          <w:szCs w:val="36"/>
          <w:rtl/>
        </w:rPr>
        <w:t xml:space="preserve"> </w:t>
      </w:r>
      <w:r w:rsidR="004E26D3" w:rsidRPr="00FD211F">
        <w:rPr>
          <w:sz w:val="36"/>
          <w:szCs w:val="36"/>
          <w:rtl/>
        </w:rPr>
        <w:t>إبراز</w:t>
      </w:r>
      <w:r w:rsidR="00E8128F">
        <w:rPr>
          <w:sz w:val="36"/>
          <w:szCs w:val="36"/>
          <w:rtl/>
        </w:rPr>
        <w:t xml:space="preserve"> </w:t>
      </w:r>
      <w:r w:rsidR="004E26D3" w:rsidRPr="00FD211F">
        <w:rPr>
          <w:sz w:val="36"/>
          <w:szCs w:val="36"/>
          <w:rtl/>
        </w:rPr>
        <w:t>رضاه</w:t>
      </w:r>
      <w:r w:rsidR="00E8128F">
        <w:rPr>
          <w:sz w:val="36"/>
          <w:szCs w:val="36"/>
          <w:rtl/>
        </w:rPr>
        <w:t xml:space="preserve"> </w:t>
      </w:r>
      <w:r w:rsidR="004E26D3" w:rsidRPr="00FD211F">
        <w:rPr>
          <w:sz w:val="36"/>
          <w:szCs w:val="36"/>
          <w:rtl/>
        </w:rPr>
        <w:t>بترك</w:t>
      </w:r>
      <w:r w:rsidR="00E8128F">
        <w:rPr>
          <w:sz w:val="36"/>
          <w:szCs w:val="36"/>
          <w:rtl/>
        </w:rPr>
        <w:t xml:space="preserve"> </w:t>
      </w:r>
      <w:r w:rsidR="004E26D3" w:rsidRPr="00FD211F">
        <w:rPr>
          <w:sz w:val="36"/>
          <w:szCs w:val="36"/>
          <w:rtl/>
        </w:rPr>
        <w:t>الاحتياط</w:t>
      </w:r>
      <w:r w:rsidR="00603323" w:rsidRPr="00FD211F">
        <w:rPr>
          <w:sz w:val="36"/>
          <w:szCs w:val="36"/>
          <w:rtl/>
        </w:rPr>
        <w:t>،</w:t>
      </w:r>
      <w:r w:rsidR="00E8128F">
        <w:rPr>
          <w:sz w:val="36"/>
          <w:szCs w:val="36"/>
          <w:rtl/>
        </w:rPr>
        <w:t xml:space="preserve"> </w:t>
      </w:r>
      <w:r w:rsidRPr="00FD211F">
        <w:rPr>
          <w:sz w:val="36"/>
          <w:szCs w:val="36"/>
          <w:rtl/>
        </w:rPr>
        <w:t>و</w:t>
      </w:r>
      <w:r w:rsidR="00A12CE6" w:rsidRPr="00FD211F">
        <w:rPr>
          <w:sz w:val="36"/>
          <w:szCs w:val="36"/>
          <w:rtl/>
        </w:rPr>
        <w:t>يمكن</w:t>
      </w:r>
      <w:r w:rsidR="00E8128F">
        <w:rPr>
          <w:sz w:val="36"/>
          <w:szCs w:val="36"/>
          <w:rtl/>
        </w:rPr>
        <w:t xml:space="preserve"> </w:t>
      </w:r>
      <w:r w:rsidR="00A12CE6" w:rsidRPr="00FD211F">
        <w:rPr>
          <w:sz w:val="36"/>
          <w:szCs w:val="36"/>
          <w:rtl/>
        </w:rPr>
        <w:t>للمولى</w:t>
      </w:r>
      <w:r w:rsidR="00E8128F">
        <w:rPr>
          <w:sz w:val="36"/>
          <w:szCs w:val="36"/>
          <w:rtl/>
        </w:rPr>
        <w:t xml:space="preserve"> </w:t>
      </w:r>
      <w:r w:rsidR="00A12CE6" w:rsidRPr="00FD211F">
        <w:rPr>
          <w:sz w:val="36"/>
          <w:szCs w:val="36"/>
          <w:rtl/>
        </w:rPr>
        <w:t>ان</w:t>
      </w:r>
      <w:r w:rsidR="00E8128F">
        <w:rPr>
          <w:sz w:val="36"/>
          <w:szCs w:val="36"/>
          <w:rtl/>
        </w:rPr>
        <w:t xml:space="preserve"> </w:t>
      </w:r>
      <w:r w:rsidR="00A12CE6" w:rsidRPr="00FD211F">
        <w:rPr>
          <w:sz w:val="36"/>
          <w:szCs w:val="36"/>
          <w:rtl/>
        </w:rPr>
        <w:t>يكتفي</w:t>
      </w:r>
      <w:r w:rsidR="00E8128F">
        <w:rPr>
          <w:sz w:val="36"/>
          <w:szCs w:val="36"/>
          <w:rtl/>
        </w:rPr>
        <w:t xml:space="preserve"> </w:t>
      </w:r>
      <w:r w:rsidR="00A12CE6" w:rsidRPr="00FD211F">
        <w:rPr>
          <w:sz w:val="36"/>
          <w:szCs w:val="36"/>
          <w:rtl/>
        </w:rPr>
        <w:t>بالإ</w:t>
      </w:r>
      <w:r w:rsidR="00EE1C7A" w:rsidRPr="00FD211F">
        <w:rPr>
          <w:sz w:val="36"/>
          <w:szCs w:val="36"/>
          <w:rtl/>
        </w:rPr>
        <w:t>خبار</w:t>
      </w:r>
      <w:r w:rsidR="00E8128F">
        <w:rPr>
          <w:sz w:val="36"/>
          <w:szCs w:val="36"/>
          <w:rtl/>
        </w:rPr>
        <w:t xml:space="preserve"> </w:t>
      </w:r>
      <w:r w:rsidR="00EE1C7A" w:rsidRPr="00FD211F">
        <w:rPr>
          <w:sz w:val="36"/>
          <w:szCs w:val="36"/>
          <w:rtl/>
        </w:rPr>
        <w:t>بعدم</w:t>
      </w:r>
      <w:r w:rsidR="00E8128F">
        <w:rPr>
          <w:sz w:val="36"/>
          <w:szCs w:val="36"/>
          <w:rtl/>
        </w:rPr>
        <w:t xml:space="preserve"> </w:t>
      </w:r>
      <w:r w:rsidR="00EE1C7A" w:rsidRPr="00FD211F">
        <w:rPr>
          <w:sz w:val="36"/>
          <w:szCs w:val="36"/>
          <w:rtl/>
        </w:rPr>
        <w:t>اهتمامه</w:t>
      </w:r>
      <w:r w:rsidR="00E8128F">
        <w:rPr>
          <w:sz w:val="36"/>
          <w:szCs w:val="36"/>
          <w:rtl/>
        </w:rPr>
        <w:t xml:space="preserve"> </w:t>
      </w:r>
      <w:r w:rsidR="004E26D3" w:rsidRPr="00FD211F">
        <w:rPr>
          <w:sz w:val="36"/>
          <w:szCs w:val="36"/>
          <w:rtl/>
        </w:rPr>
        <w:t>به</w:t>
      </w:r>
      <w:r w:rsidR="00E8128F">
        <w:rPr>
          <w:sz w:val="36"/>
          <w:szCs w:val="36"/>
          <w:rtl/>
        </w:rPr>
        <w:t xml:space="preserve"> </w:t>
      </w:r>
      <w:r w:rsidR="00EE1C7A" w:rsidRPr="00FD211F">
        <w:rPr>
          <w:sz w:val="36"/>
          <w:szCs w:val="36"/>
          <w:rtl/>
        </w:rPr>
        <w:t>ف</w:t>
      </w:r>
      <w:r w:rsidRPr="00FD211F">
        <w:rPr>
          <w:sz w:val="36"/>
          <w:szCs w:val="36"/>
          <w:rtl/>
        </w:rPr>
        <w:t>لاحاج</w:t>
      </w:r>
      <w:r w:rsidR="00EC7EDF" w:rsidRPr="00FD211F">
        <w:rPr>
          <w:sz w:val="36"/>
          <w:szCs w:val="36"/>
          <w:rtl/>
        </w:rPr>
        <w:t>ة</w:t>
      </w:r>
      <w:r w:rsidR="00E8128F">
        <w:rPr>
          <w:sz w:val="36"/>
          <w:szCs w:val="36"/>
          <w:rtl/>
        </w:rPr>
        <w:t xml:space="preserve"> </w:t>
      </w:r>
      <w:r w:rsidRPr="00FD211F">
        <w:rPr>
          <w:sz w:val="36"/>
          <w:szCs w:val="36"/>
          <w:rtl/>
        </w:rPr>
        <w:lastRenderedPageBreak/>
        <w:t>الى</w:t>
      </w:r>
      <w:r w:rsidR="00E8128F">
        <w:rPr>
          <w:sz w:val="36"/>
          <w:szCs w:val="36"/>
          <w:rtl/>
        </w:rPr>
        <w:t xml:space="preserve"> </w:t>
      </w:r>
      <w:r w:rsidRPr="00FD211F">
        <w:rPr>
          <w:sz w:val="36"/>
          <w:szCs w:val="36"/>
          <w:rtl/>
        </w:rPr>
        <w:t>الإنشاء</w:t>
      </w:r>
      <w:r w:rsidR="00E8128F">
        <w:rPr>
          <w:sz w:val="36"/>
          <w:szCs w:val="36"/>
          <w:rtl/>
        </w:rPr>
        <w:t xml:space="preserve"> </w:t>
      </w:r>
      <w:r w:rsidRPr="00FD211F">
        <w:rPr>
          <w:sz w:val="36"/>
          <w:szCs w:val="36"/>
          <w:rtl/>
        </w:rPr>
        <w:t>أصلا</w:t>
      </w:r>
      <w:r w:rsidR="00E8128F">
        <w:rPr>
          <w:sz w:val="36"/>
          <w:szCs w:val="36"/>
          <w:rtl/>
        </w:rPr>
        <w:t xml:space="preserve"> </w:t>
      </w:r>
      <w:r w:rsidRPr="00FD211F">
        <w:rPr>
          <w:sz w:val="36"/>
          <w:szCs w:val="36"/>
          <w:rtl/>
        </w:rPr>
        <w:t>فضلا</w:t>
      </w:r>
      <w:r w:rsidR="00E8128F">
        <w:rPr>
          <w:sz w:val="36"/>
          <w:szCs w:val="36"/>
          <w:rtl/>
        </w:rPr>
        <w:t xml:space="preserve"> </w:t>
      </w:r>
      <w:r w:rsidR="003A36CC" w:rsidRPr="00FD211F">
        <w:rPr>
          <w:sz w:val="36"/>
          <w:szCs w:val="36"/>
          <w:rtl/>
        </w:rPr>
        <w:t>من</w:t>
      </w:r>
      <w:r w:rsidR="00E8128F">
        <w:rPr>
          <w:sz w:val="36"/>
          <w:szCs w:val="36"/>
          <w:rtl/>
        </w:rPr>
        <w:t xml:space="preserve"> </w:t>
      </w:r>
      <w:r w:rsidR="003A36CC" w:rsidRPr="00FD211F">
        <w:rPr>
          <w:sz w:val="36"/>
          <w:szCs w:val="36"/>
          <w:rtl/>
        </w:rPr>
        <w:t>ان</w:t>
      </w:r>
      <w:r w:rsidR="00E8128F">
        <w:rPr>
          <w:sz w:val="36"/>
          <w:szCs w:val="36"/>
          <w:rtl/>
        </w:rPr>
        <w:t xml:space="preserve"> </w:t>
      </w:r>
      <w:r w:rsidR="003A36CC" w:rsidRPr="00FD211F">
        <w:rPr>
          <w:sz w:val="36"/>
          <w:szCs w:val="36"/>
          <w:rtl/>
        </w:rPr>
        <w:t>يؤثر</w:t>
      </w:r>
      <w:r w:rsidR="00E8128F">
        <w:rPr>
          <w:sz w:val="36"/>
          <w:szCs w:val="36"/>
          <w:rtl/>
        </w:rPr>
        <w:t xml:space="preserve"> </w:t>
      </w:r>
      <w:r w:rsidR="003A36CC" w:rsidRPr="00FD211F">
        <w:rPr>
          <w:sz w:val="36"/>
          <w:szCs w:val="36"/>
          <w:rtl/>
        </w:rPr>
        <w:t>اختلاف</w:t>
      </w:r>
      <w:r w:rsidR="00E8128F">
        <w:rPr>
          <w:sz w:val="36"/>
          <w:szCs w:val="36"/>
          <w:rtl/>
        </w:rPr>
        <w:t xml:space="preserve"> </w:t>
      </w:r>
      <w:r w:rsidR="003A36CC" w:rsidRPr="00FD211F">
        <w:rPr>
          <w:sz w:val="36"/>
          <w:szCs w:val="36"/>
          <w:rtl/>
        </w:rPr>
        <w:t>كيفي</w:t>
      </w:r>
      <w:r w:rsidR="00EC7EDF" w:rsidRPr="00FD211F">
        <w:rPr>
          <w:sz w:val="36"/>
          <w:szCs w:val="36"/>
          <w:rtl/>
        </w:rPr>
        <w:t>ة</w:t>
      </w:r>
      <w:r w:rsidR="00E8128F">
        <w:rPr>
          <w:sz w:val="36"/>
          <w:szCs w:val="36"/>
          <w:rtl/>
        </w:rPr>
        <w:t xml:space="preserve"> </w:t>
      </w:r>
      <w:r w:rsidR="003A36CC" w:rsidRPr="00FD211F">
        <w:rPr>
          <w:sz w:val="36"/>
          <w:szCs w:val="36"/>
          <w:rtl/>
        </w:rPr>
        <w:t>إنشاء</w:t>
      </w:r>
      <w:r w:rsidR="00E8128F">
        <w:rPr>
          <w:sz w:val="36"/>
          <w:szCs w:val="36"/>
          <w:rtl/>
        </w:rPr>
        <w:t xml:space="preserve"> </w:t>
      </w:r>
      <w:r w:rsidR="003A36CC" w:rsidRPr="00FD211F">
        <w:rPr>
          <w:sz w:val="36"/>
          <w:szCs w:val="36"/>
          <w:rtl/>
        </w:rPr>
        <w:t>الحكم</w:t>
      </w:r>
      <w:r w:rsidR="00E8128F">
        <w:rPr>
          <w:sz w:val="36"/>
          <w:szCs w:val="36"/>
          <w:rtl/>
        </w:rPr>
        <w:t xml:space="preserve"> </w:t>
      </w:r>
      <w:r w:rsidR="003A36CC" w:rsidRPr="00FD211F">
        <w:rPr>
          <w:sz w:val="36"/>
          <w:szCs w:val="36"/>
          <w:rtl/>
        </w:rPr>
        <w:t>الظاهري</w:t>
      </w:r>
      <w:r w:rsidR="00E8128F">
        <w:rPr>
          <w:sz w:val="36"/>
          <w:szCs w:val="36"/>
          <w:rtl/>
        </w:rPr>
        <w:t xml:space="preserve"> </w:t>
      </w:r>
      <w:r w:rsidR="003A36CC" w:rsidRPr="00FD211F">
        <w:rPr>
          <w:sz w:val="36"/>
          <w:szCs w:val="36"/>
          <w:rtl/>
        </w:rPr>
        <w:t>الترخيصي</w:t>
      </w:r>
      <w:r w:rsidR="00E8128F">
        <w:rPr>
          <w:sz w:val="36"/>
          <w:szCs w:val="36"/>
          <w:rtl/>
        </w:rPr>
        <w:t xml:space="preserve"> </w:t>
      </w:r>
      <w:r w:rsidR="003A36CC" w:rsidRPr="00FD211F">
        <w:rPr>
          <w:sz w:val="36"/>
          <w:szCs w:val="36"/>
          <w:rtl/>
        </w:rPr>
        <w:t>في</w:t>
      </w:r>
      <w:r w:rsidR="00E8128F">
        <w:rPr>
          <w:sz w:val="36"/>
          <w:szCs w:val="36"/>
          <w:rtl/>
        </w:rPr>
        <w:t xml:space="preserve"> </w:t>
      </w:r>
      <w:r w:rsidR="003A36CC" w:rsidRPr="00FD211F">
        <w:rPr>
          <w:sz w:val="36"/>
          <w:szCs w:val="36"/>
          <w:rtl/>
        </w:rPr>
        <w:t>ذلك</w:t>
      </w:r>
      <w:r w:rsidRPr="00FD211F">
        <w:rPr>
          <w:sz w:val="36"/>
          <w:szCs w:val="36"/>
          <w:rtl/>
        </w:rPr>
        <w:t>.</w:t>
      </w:r>
    </w:p>
    <w:p w14:paraId="48338780" w14:textId="77777777" w:rsidR="000C5BBA" w:rsidRPr="00FD211F" w:rsidRDefault="00E40872" w:rsidP="009C58C8">
      <w:pPr>
        <w:ind w:left="0" w:firstLine="227"/>
        <w:jc w:val="both"/>
        <w:rPr>
          <w:sz w:val="36"/>
          <w:szCs w:val="36"/>
          <w:rtl/>
        </w:rPr>
      </w:pPr>
      <w:r w:rsidRPr="00FD211F">
        <w:rPr>
          <w:sz w:val="36"/>
          <w:szCs w:val="36"/>
          <w:rtl/>
        </w:rPr>
        <w:t>و</w:t>
      </w:r>
      <w:r w:rsidR="005D1048" w:rsidRPr="00FD211F">
        <w:rPr>
          <w:sz w:val="36"/>
          <w:szCs w:val="36"/>
          <w:rtl/>
        </w:rPr>
        <w:t>اما</w:t>
      </w:r>
      <w:r w:rsidR="00E8128F">
        <w:rPr>
          <w:sz w:val="36"/>
          <w:szCs w:val="36"/>
          <w:rtl/>
        </w:rPr>
        <w:t xml:space="preserve"> </w:t>
      </w:r>
      <w:r w:rsidR="005D1048" w:rsidRPr="00FD211F">
        <w:rPr>
          <w:sz w:val="36"/>
          <w:szCs w:val="36"/>
          <w:rtl/>
        </w:rPr>
        <w:t>ما</w:t>
      </w:r>
      <w:r w:rsidR="00E8128F">
        <w:rPr>
          <w:sz w:val="36"/>
          <w:szCs w:val="36"/>
          <w:rtl/>
        </w:rPr>
        <w:t xml:space="preserve"> </w:t>
      </w:r>
      <w:r w:rsidR="005D1048" w:rsidRPr="00FD211F">
        <w:rPr>
          <w:sz w:val="36"/>
          <w:szCs w:val="36"/>
          <w:rtl/>
        </w:rPr>
        <w:t>ذكره</w:t>
      </w:r>
      <w:r w:rsidR="00E8128F">
        <w:rPr>
          <w:sz w:val="36"/>
          <w:szCs w:val="36"/>
          <w:rtl/>
        </w:rPr>
        <w:t xml:space="preserve"> </w:t>
      </w:r>
      <w:r w:rsidR="00FB13D5" w:rsidRPr="00FD211F">
        <w:rPr>
          <w:sz w:val="36"/>
          <w:szCs w:val="36"/>
          <w:rtl/>
        </w:rPr>
        <w:t>بالنسب</w:t>
      </w:r>
      <w:r w:rsidR="00EC7EDF" w:rsidRPr="00FD211F">
        <w:rPr>
          <w:sz w:val="36"/>
          <w:szCs w:val="36"/>
          <w:rtl/>
        </w:rPr>
        <w:t>ة</w:t>
      </w:r>
      <w:r w:rsidR="00E8128F">
        <w:rPr>
          <w:sz w:val="36"/>
          <w:szCs w:val="36"/>
          <w:rtl/>
        </w:rPr>
        <w:t xml:space="preserve"> </w:t>
      </w:r>
      <w:r w:rsidR="00FB13D5" w:rsidRPr="00FD211F">
        <w:rPr>
          <w:sz w:val="36"/>
          <w:szCs w:val="36"/>
          <w:rtl/>
        </w:rPr>
        <w:t>الى</w:t>
      </w:r>
      <w:r w:rsidR="00E8128F">
        <w:rPr>
          <w:sz w:val="36"/>
          <w:szCs w:val="36"/>
          <w:rtl/>
        </w:rPr>
        <w:t xml:space="preserve"> </w:t>
      </w:r>
      <w:r w:rsidR="00FB13D5" w:rsidRPr="00FD211F">
        <w:rPr>
          <w:sz w:val="36"/>
          <w:szCs w:val="36"/>
          <w:rtl/>
        </w:rPr>
        <w:t>حجي</w:t>
      </w:r>
      <w:r w:rsidR="00EC7EDF" w:rsidRPr="00FD211F">
        <w:rPr>
          <w:sz w:val="36"/>
          <w:szCs w:val="36"/>
          <w:rtl/>
        </w:rPr>
        <w:t>ة</w:t>
      </w:r>
      <w:r w:rsidR="00E8128F">
        <w:rPr>
          <w:sz w:val="36"/>
          <w:szCs w:val="36"/>
          <w:rtl/>
        </w:rPr>
        <w:t xml:space="preserve"> </w:t>
      </w:r>
      <w:r w:rsidR="00FB13D5" w:rsidRPr="00FD211F">
        <w:rPr>
          <w:sz w:val="36"/>
          <w:szCs w:val="36"/>
          <w:rtl/>
        </w:rPr>
        <w:t>الامارات</w:t>
      </w:r>
      <w:r w:rsidR="00E8128F">
        <w:rPr>
          <w:sz w:val="36"/>
          <w:szCs w:val="36"/>
          <w:rtl/>
        </w:rPr>
        <w:t xml:space="preserve"> </w:t>
      </w:r>
      <w:r w:rsidR="00FB13D5" w:rsidRPr="00FD211F">
        <w:rPr>
          <w:sz w:val="36"/>
          <w:szCs w:val="36"/>
          <w:rtl/>
        </w:rPr>
        <w:t>بناء</w:t>
      </w:r>
      <w:r w:rsidR="00E8128F">
        <w:rPr>
          <w:sz w:val="36"/>
          <w:szCs w:val="36"/>
          <w:rtl/>
        </w:rPr>
        <w:t xml:space="preserve"> </w:t>
      </w:r>
      <w:r w:rsidR="00FB13D5" w:rsidRPr="00FD211F">
        <w:rPr>
          <w:sz w:val="36"/>
          <w:szCs w:val="36"/>
          <w:rtl/>
        </w:rPr>
        <w:t>على</w:t>
      </w:r>
      <w:r w:rsidR="00E8128F">
        <w:rPr>
          <w:sz w:val="36"/>
          <w:szCs w:val="36"/>
          <w:rtl/>
        </w:rPr>
        <w:t xml:space="preserve"> </w:t>
      </w:r>
      <w:r w:rsidR="00FB13D5" w:rsidRPr="00FD211F">
        <w:rPr>
          <w:sz w:val="36"/>
          <w:szCs w:val="36"/>
          <w:rtl/>
        </w:rPr>
        <w:t>مسلك</w:t>
      </w:r>
      <w:r w:rsidR="00E8128F">
        <w:rPr>
          <w:sz w:val="36"/>
          <w:szCs w:val="36"/>
          <w:rtl/>
        </w:rPr>
        <w:t xml:space="preserve"> </w:t>
      </w:r>
      <w:r w:rsidR="00FB13D5" w:rsidRPr="00FD211F">
        <w:rPr>
          <w:sz w:val="36"/>
          <w:szCs w:val="36"/>
          <w:rtl/>
        </w:rPr>
        <w:t>جعل</w:t>
      </w:r>
      <w:r w:rsidR="00E8128F">
        <w:rPr>
          <w:sz w:val="36"/>
          <w:szCs w:val="36"/>
          <w:rtl/>
        </w:rPr>
        <w:t xml:space="preserve"> </w:t>
      </w:r>
      <w:r w:rsidR="00FB13D5" w:rsidRPr="00FD211F">
        <w:rPr>
          <w:sz w:val="36"/>
          <w:szCs w:val="36"/>
          <w:rtl/>
        </w:rPr>
        <w:t>الحكم</w:t>
      </w:r>
      <w:r w:rsidR="00E8128F">
        <w:rPr>
          <w:sz w:val="36"/>
          <w:szCs w:val="36"/>
          <w:rtl/>
        </w:rPr>
        <w:t xml:space="preserve"> </w:t>
      </w:r>
      <w:r w:rsidR="00FB13D5" w:rsidRPr="00FD211F">
        <w:rPr>
          <w:sz w:val="36"/>
          <w:szCs w:val="36"/>
          <w:rtl/>
        </w:rPr>
        <w:t>المماثل</w:t>
      </w:r>
      <w:r w:rsidR="00E8128F">
        <w:rPr>
          <w:sz w:val="36"/>
          <w:szCs w:val="36"/>
          <w:rtl/>
        </w:rPr>
        <w:t xml:space="preserve"> </w:t>
      </w:r>
      <w:r w:rsidR="00FB13D5" w:rsidRPr="00FD211F">
        <w:rPr>
          <w:sz w:val="36"/>
          <w:szCs w:val="36"/>
          <w:rtl/>
        </w:rPr>
        <w:t>من</w:t>
      </w:r>
      <w:r w:rsidR="00E8128F">
        <w:rPr>
          <w:sz w:val="36"/>
          <w:szCs w:val="36"/>
          <w:rtl/>
        </w:rPr>
        <w:t xml:space="preserve"> </w:t>
      </w:r>
      <w:r w:rsidR="00FB13D5" w:rsidRPr="00FD211F">
        <w:rPr>
          <w:sz w:val="36"/>
          <w:szCs w:val="36"/>
          <w:rtl/>
        </w:rPr>
        <w:t>ان</w:t>
      </w:r>
      <w:r w:rsidR="00E8128F">
        <w:rPr>
          <w:sz w:val="36"/>
          <w:szCs w:val="36"/>
          <w:rtl/>
        </w:rPr>
        <w:t xml:space="preserve"> </w:t>
      </w:r>
      <w:r w:rsidR="0090224F" w:rsidRPr="00FD211F">
        <w:rPr>
          <w:sz w:val="36"/>
          <w:szCs w:val="36"/>
          <w:rtl/>
        </w:rPr>
        <w:t>الأمر</w:t>
      </w:r>
      <w:r w:rsidR="00E8128F">
        <w:rPr>
          <w:sz w:val="36"/>
          <w:szCs w:val="36"/>
          <w:rtl/>
        </w:rPr>
        <w:t xml:space="preserve"> </w:t>
      </w:r>
      <w:r w:rsidR="00FB13D5" w:rsidRPr="00FD211F">
        <w:rPr>
          <w:sz w:val="36"/>
          <w:szCs w:val="36"/>
          <w:rtl/>
        </w:rPr>
        <w:t>بتصديق</w:t>
      </w:r>
      <w:r w:rsidR="00E8128F">
        <w:rPr>
          <w:sz w:val="36"/>
          <w:szCs w:val="36"/>
          <w:rtl/>
        </w:rPr>
        <w:t xml:space="preserve"> </w:t>
      </w:r>
      <w:r w:rsidR="00FB13D5" w:rsidRPr="00FD211F">
        <w:rPr>
          <w:sz w:val="36"/>
          <w:szCs w:val="36"/>
          <w:rtl/>
        </w:rPr>
        <w:t>العادل</w:t>
      </w:r>
      <w:r w:rsidR="00E8128F">
        <w:rPr>
          <w:sz w:val="36"/>
          <w:szCs w:val="36"/>
          <w:rtl/>
        </w:rPr>
        <w:t xml:space="preserve"> </w:t>
      </w:r>
      <w:r w:rsidR="00FB13D5" w:rsidRPr="00FD211F">
        <w:rPr>
          <w:sz w:val="36"/>
          <w:szCs w:val="36"/>
          <w:rtl/>
        </w:rPr>
        <w:t>كناي</w:t>
      </w:r>
      <w:r w:rsidR="00EC7EDF" w:rsidRPr="00FD211F">
        <w:rPr>
          <w:sz w:val="36"/>
          <w:szCs w:val="36"/>
          <w:rtl/>
        </w:rPr>
        <w:t>ة</w:t>
      </w:r>
      <w:r w:rsidR="00E8128F">
        <w:rPr>
          <w:sz w:val="36"/>
          <w:szCs w:val="36"/>
          <w:rtl/>
        </w:rPr>
        <w:t xml:space="preserve"> </w:t>
      </w:r>
      <w:r w:rsidR="00FB13D5" w:rsidRPr="00FD211F">
        <w:rPr>
          <w:sz w:val="36"/>
          <w:szCs w:val="36"/>
          <w:rtl/>
        </w:rPr>
        <w:t>عن</w:t>
      </w:r>
      <w:r w:rsidR="00E8128F">
        <w:rPr>
          <w:sz w:val="36"/>
          <w:szCs w:val="36"/>
          <w:rtl/>
        </w:rPr>
        <w:t xml:space="preserve"> </w:t>
      </w:r>
      <w:r w:rsidR="00FB13D5" w:rsidRPr="00FD211F">
        <w:rPr>
          <w:sz w:val="36"/>
          <w:szCs w:val="36"/>
          <w:rtl/>
        </w:rPr>
        <w:t>وجوب</w:t>
      </w:r>
      <w:r w:rsidR="00E8128F">
        <w:rPr>
          <w:sz w:val="36"/>
          <w:szCs w:val="36"/>
          <w:rtl/>
        </w:rPr>
        <w:t xml:space="preserve"> </w:t>
      </w:r>
      <w:r w:rsidR="00FB13D5" w:rsidRPr="00FD211F">
        <w:rPr>
          <w:sz w:val="36"/>
          <w:szCs w:val="36"/>
          <w:rtl/>
        </w:rPr>
        <w:t>الاتيان</w:t>
      </w:r>
      <w:r w:rsidR="00E8128F">
        <w:rPr>
          <w:sz w:val="36"/>
          <w:szCs w:val="36"/>
          <w:rtl/>
        </w:rPr>
        <w:t xml:space="preserve"> </w:t>
      </w:r>
      <w:r w:rsidR="00FB13D5" w:rsidRPr="00FD211F">
        <w:rPr>
          <w:sz w:val="36"/>
          <w:szCs w:val="36"/>
          <w:rtl/>
        </w:rPr>
        <w:t>بصلا</w:t>
      </w:r>
      <w:r w:rsidR="00EC7EDF" w:rsidRPr="00FD211F">
        <w:rPr>
          <w:sz w:val="36"/>
          <w:szCs w:val="36"/>
          <w:rtl/>
        </w:rPr>
        <w:t>ة</w:t>
      </w:r>
      <w:r w:rsidR="00E8128F">
        <w:rPr>
          <w:sz w:val="36"/>
          <w:szCs w:val="36"/>
          <w:rtl/>
        </w:rPr>
        <w:t xml:space="preserve"> </w:t>
      </w:r>
      <w:r w:rsidR="00FB13D5" w:rsidRPr="00FD211F">
        <w:rPr>
          <w:sz w:val="36"/>
          <w:szCs w:val="36"/>
          <w:rtl/>
        </w:rPr>
        <w:t>الجمع</w:t>
      </w:r>
      <w:r w:rsidR="00EC7EDF" w:rsidRPr="00FD211F">
        <w:rPr>
          <w:sz w:val="36"/>
          <w:szCs w:val="36"/>
          <w:rtl/>
        </w:rPr>
        <w:t>ة</w:t>
      </w:r>
      <w:r w:rsidR="00E8128F">
        <w:rPr>
          <w:sz w:val="36"/>
          <w:szCs w:val="36"/>
          <w:rtl/>
        </w:rPr>
        <w:t xml:space="preserve"> </w:t>
      </w:r>
      <w:r w:rsidR="00FB13D5" w:rsidRPr="00FD211F">
        <w:rPr>
          <w:sz w:val="36"/>
          <w:szCs w:val="36"/>
          <w:rtl/>
        </w:rPr>
        <w:t>مثلا</w:t>
      </w:r>
      <w:r w:rsidR="00603323" w:rsidRPr="00FD211F">
        <w:rPr>
          <w:sz w:val="36"/>
          <w:szCs w:val="36"/>
          <w:rtl/>
        </w:rPr>
        <w:t>،</w:t>
      </w:r>
      <w:r w:rsidR="00E8128F">
        <w:rPr>
          <w:sz w:val="36"/>
          <w:szCs w:val="36"/>
          <w:rtl/>
        </w:rPr>
        <w:t xml:space="preserve"> </w:t>
      </w:r>
      <w:r w:rsidR="00FB13D5" w:rsidRPr="00FD211F">
        <w:rPr>
          <w:sz w:val="36"/>
          <w:szCs w:val="36"/>
          <w:rtl/>
        </w:rPr>
        <w:t>وليس</w:t>
      </w:r>
      <w:r w:rsidR="00E8128F">
        <w:rPr>
          <w:sz w:val="36"/>
          <w:szCs w:val="36"/>
          <w:rtl/>
        </w:rPr>
        <w:t xml:space="preserve"> </w:t>
      </w:r>
      <w:r w:rsidR="00FB13D5" w:rsidRPr="00FD211F">
        <w:rPr>
          <w:sz w:val="36"/>
          <w:szCs w:val="36"/>
          <w:rtl/>
        </w:rPr>
        <w:t>تصديق</w:t>
      </w:r>
      <w:r w:rsidR="00E8128F">
        <w:rPr>
          <w:sz w:val="36"/>
          <w:szCs w:val="36"/>
          <w:rtl/>
        </w:rPr>
        <w:t xml:space="preserve"> </w:t>
      </w:r>
      <w:r w:rsidR="00FB13D5" w:rsidRPr="00FD211F">
        <w:rPr>
          <w:sz w:val="36"/>
          <w:szCs w:val="36"/>
          <w:rtl/>
        </w:rPr>
        <w:t>العادل</w:t>
      </w:r>
      <w:r w:rsidR="00E8128F">
        <w:rPr>
          <w:sz w:val="36"/>
          <w:szCs w:val="36"/>
          <w:rtl/>
        </w:rPr>
        <w:t xml:space="preserve"> </w:t>
      </w:r>
      <w:r w:rsidR="00FB13D5" w:rsidRPr="00FD211F">
        <w:rPr>
          <w:sz w:val="36"/>
          <w:szCs w:val="36"/>
          <w:rtl/>
        </w:rPr>
        <w:t>عنوان</w:t>
      </w:r>
      <w:r w:rsidR="00E8128F">
        <w:rPr>
          <w:sz w:val="36"/>
          <w:szCs w:val="36"/>
          <w:rtl/>
        </w:rPr>
        <w:t xml:space="preserve"> </w:t>
      </w:r>
      <w:r w:rsidR="00FB13D5" w:rsidRPr="00FD211F">
        <w:rPr>
          <w:sz w:val="36"/>
          <w:szCs w:val="36"/>
          <w:rtl/>
        </w:rPr>
        <w:t>عمل</w:t>
      </w:r>
      <w:r w:rsidR="00E8128F">
        <w:rPr>
          <w:sz w:val="36"/>
          <w:szCs w:val="36"/>
          <w:rtl/>
        </w:rPr>
        <w:t xml:space="preserve"> </w:t>
      </w:r>
      <w:r w:rsidR="00FB13D5" w:rsidRPr="00FD211F">
        <w:rPr>
          <w:sz w:val="36"/>
          <w:szCs w:val="36"/>
          <w:rtl/>
        </w:rPr>
        <w:t>المكلف</w:t>
      </w:r>
      <w:r w:rsidR="00603323" w:rsidRPr="00FD211F">
        <w:rPr>
          <w:sz w:val="36"/>
          <w:szCs w:val="36"/>
          <w:rtl/>
        </w:rPr>
        <w:t>،</w:t>
      </w:r>
      <w:r w:rsidR="00E8128F">
        <w:rPr>
          <w:sz w:val="36"/>
          <w:szCs w:val="36"/>
          <w:rtl/>
        </w:rPr>
        <w:t xml:space="preserve"> </w:t>
      </w:r>
      <w:r w:rsidR="00FB13D5" w:rsidRPr="00FD211F">
        <w:rPr>
          <w:sz w:val="36"/>
          <w:szCs w:val="36"/>
          <w:rtl/>
        </w:rPr>
        <w:t>ففيه</w:t>
      </w:r>
      <w:r w:rsidR="00E8128F">
        <w:rPr>
          <w:b/>
          <w:bCs/>
          <w:sz w:val="36"/>
          <w:szCs w:val="36"/>
          <w:rtl/>
        </w:rPr>
        <w:t xml:space="preserve"> </w:t>
      </w:r>
      <w:r w:rsidR="00A12CE6" w:rsidRPr="00FD211F">
        <w:rPr>
          <w:b/>
          <w:bCs/>
          <w:sz w:val="36"/>
          <w:szCs w:val="36"/>
          <w:rtl/>
        </w:rPr>
        <w:t>اولا</w:t>
      </w:r>
      <w:r w:rsidR="00A12CE6" w:rsidRPr="00FD211F">
        <w:rPr>
          <w:sz w:val="36"/>
          <w:szCs w:val="36"/>
          <w:rtl/>
        </w:rPr>
        <w:t>:</w:t>
      </w:r>
      <w:r w:rsidR="00E8128F">
        <w:rPr>
          <w:sz w:val="36"/>
          <w:szCs w:val="36"/>
          <w:rtl/>
        </w:rPr>
        <w:t xml:space="preserve"> </w:t>
      </w:r>
      <w:r w:rsidR="00FB13D5" w:rsidRPr="00FD211F">
        <w:rPr>
          <w:sz w:val="36"/>
          <w:szCs w:val="36"/>
          <w:rtl/>
        </w:rPr>
        <w:t>ان</w:t>
      </w:r>
      <w:r w:rsidR="00E8128F">
        <w:rPr>
          <w:sz w:val="36"/>
          <w:szCs w:val="36"/>
          <w:rtl/>
        </w:rPr>
        <w:t xml:space="preserve"> </w:t>
      </w:r>
      <w:r w:rsidR="00FB13D5" w:rsidRPr="00FD211F">
        <w:rPr>
          <w:sz w:val="36"/>
          <w:szCs w:val="36"/>
          <w:rtl/>
        </w:rPr>
        <w:t>التصديق</w:t>
      </w:r>
      <w:r w:rsidR="00E8128F">
        <w:rPr>
          <w:sz w:val="36"/>
          <w:szCs w:val="36"/>
          <w:rtl/>
        </w:rPr>
        <w:t xml:space="preserve"> </w:t>
      </w:r>
      <w:r w:rsidR="00FB13D5" w:rsidRPr="00FD211F">
        <w:rPr>
          <w:sz w:val="36"/>
          <w:szCs w:val="36"/>
          <w:rtl/>
        </w:rPr>
        <w:t>العملي</w:t>
      </w:r>
      <w:r w:rsidR="00E8128F">
        <w:rPr>
          <w:sz w:val="36"/>
          <w:szCs w:val="36"/>
          <w:rtl/>
        </w:rPr>
        <w:t xml:space="preserve"> </w:t>
      </w:r>
      <w:r w:rsidR="00FB13D5" w:rsidRPr="00FD211F">
        <w:rPr>
          <w:sz w:val="36"/>
          <w:szCs w:val="36"/>
          <w:rtl/>
        </w:rPr>
        <w:t>للعادل</w:t>
      </w:r>
      <w:r w:rsidR="00E8128F">
        <w:rPr>
          <w:sz w:val="36"/>
          <w:szCs w:val="36"/>
          <w:rtl/>
        </w:rPr>
        <w:t xml:space="preserve"> </w:t>
      </w:r>
      <w:r w:rsidR="00FB13D5" w:rsidRPr="00FD211F">
        <w:rPr>
          <w:sz w:val="36"/>
          <w:szCs w:val="36"/>
          <w:rtl/>
        </w:rPr>
        <w:t>عنوان</w:t>
      </w:r>
      <w:r w:rsidR="00E8128F">
        <w:rPr>
          <w:sz w:val="36"/>
          <w:szCs w:val="36"/>
          <w:rtl/>
        </w:rPr>
        <w:t xml:space="preserve"> </w:t>
      </w:r>
      <w:r w:rsidR="00FB13D5" w:rsidRPr="00FD211F">
        <w:rPr>
          <w:sz w:val="36"/>
          <w:szCs w:val="36"/>
          <w:rtl/>
        </w:rPr>
        <w:t>ثانوي</w:t>
      </w:r>
      <w:r w:rsidR="00E8128F">
        <w:rPr>
          <w:sz w:val="36"/>
          <w:szCs w:val="36"/>
          <w:rtl/>
        </w:rPr>
        <w:t xml:space="preserve"> </w:t>
      </w:r>
      <w:r w:rsidR="00FB13D5" w:rsidRPr="00FD211F">
        <w:rPr>
          <w:sz w:val="36"/>
          <w:szCs w:val="36"/>
          <w:rtl/>
        </w:rPr>
        <w:t>لنفس</w:t>
      </w:r>
      <w:r w:rsidR="00E8128F">
        <w:rPr>
          <w:sz w:val="36"/>
          <w:szCs w:val="36"/>
          <w:rtl/>
        </w:rPr>
        <w:t xml:space="preserve"> </w:t>
      </w:r>
      <w:r w:rsidR="00FB13D5" w:rsidRPr="00FD211F">
        <w:rPr>
          <w:sz w:val="36"/>
          <w:szCs w:val="36"/>
          <w:rtl/>
        </w:rPr>
        <w:t>عمل</w:t>
      </w:r>
      <w:r w:rsidR="00E8128F">
        <w:rPr>
          <w:sz w:val="36"/>
          <w:szCs w:val="36"/>
          <w:rtl/>
        </w:rPr>
        <w:t xml:space="preserve"> </w:t>
      </w:r>
      <w:r w:rsidR="00FB13D5" w:rsidRPr="00FD211F">
        <w:rPr>
          <w:sz w:val="36"/>
          <w:szCs w:val="36"/>
          <w:rtl/>
        </w:rPr>
        <w:t>المكلف</w:t>
      </w:r>
      <w:r w:rsidR="00E8128F">
        <w:rPr>
          <w:sz w:val="36"/>
          <w:szCs w:val="36"/>
          <w:rtl/>
        </w:rPr>
        <w:t xml:space="preserve"> </w:t>
      </w:r>
      <w:r w:rsidR="00FB13D5" w:rsidRPr="00FD211F">
        <w:rPr>
          <w:sz w:val="36"/>
          <w:szCs w:val="36"/>
          <w:rtl/>
        </w:rPr>
        <w:t>لاانه</w:t>
      </w:r>
      <w:r w:rsidR="00E8128F">
        <w:rPr>
          <w:sz w:val="36"/>
          <w:szCs w:val="36"/>
          <w:rtl/>
        </w:rPr>
        <w:t xml:space="preserve"> </w:t>
      </w:r>
      <w:r w:rsidR="00FB13D5" w:rsidRPr="00FD211F">
        <w:rPr>
          <w:sz w:val="36"/>
          <w:szCs w:val="36"/>
          <w:rtl/>
        </w:rPr>
        <w:t>لازمه</w:t>
      </w:r>
      <w:r w:rsidR="00603323" w:rsidRPr="00FD211F">
        <w:rPr>
          <w:sz w:val="36"/>
          <w:szCs w:val="36"/>
          <w:rtl/>
        </w:rPr>
        <w:t>،</w:t>
      </w:r>
      <w:r w:rsidR="00E8128F">
        <w:rPr>
          <w:sz w:val="36"/>
          <w:szCs w:val="36"/>
          <w:rtl/>
        </w:rPr>
        <w:t xml:space="preserve"> </w:t>
      </w:r>
      <w:r w:rsidR="00FB13D5" w:rsidRPr="00FD211F">
        <w:rPr>
          <w:sz w:val="36"/>
          <w:szCs w:val="36"/>
          <w:rtl/>
        </w:rPr>
        <w:t>فلايختلف</w:t>
      </w:r>
      <w:r w:rsidR="00E8128F">
        <w:rPr>
          <w:sz w:val="36"/>
          <w:szCs w:val="36"/>
          <w:rtl/>
        </w:rPr>
        <w:t xml:space="preserve"> </w:t>
      </w:r>
      <w:r w:rsidR="00FB13D5" w:rsidRPr="00FD211F">
        <w:rPr>
          <w:sz w:val="36"/>
          <w:szCs w:val="36"/>
          <w:rtl/>
        </w:rPr>
        <w:t>عن</w:t>
      </w:r>
      <w:r w:rsidR="00E8128F">
        <w:rPr>
          <w:sz w:val="36"/>
          <w:szCs w:val="36"/>
          <w:rtl/>
        </w:rPr>
        <w:t xml:space="preserve"> </w:t>
      </w:r>
      <w:r w:rsidR="00FB13D5" w:rsidRPr="00FD211F">
        <w:rPr>
          <w:sz w:val="36"/>
          <w:szCs w:val="36"/>
          <w:rtl/>
        </w:rPr>
        <w:t>مثل</w:t>
      </w:r>
      <w:r w:rsidR="00E8128F">
        <w:rPr>
          <w:sz w:val="36"/>
          <w:szCs w:val="36"/>
          <w:rtl/>
        </w:rPr>
        <w:t xml:space="preserve"> </w:t>
      </w:r>
      <w:r w:rsidR="00FB13D5" w:rsidRPr="00FD211F">
        <w:rPr>
          <w:sz w:val="36"/>
          <w:szCs w:val="36"/>
          <w:rtl/>
        </w:rPr>
        <w:t>عنوان</w:t>
      </w:r>
      <w:r w:rsidR="00E8128F">
        <w:rPr>
          <w:sz w:val="36"/>
          <w:szCs w:val="36"/>
          <w:rtl/>
        </w:rPr>
        <w:t xml:space="preserve"> </w:t>
      </w:r>
      <w:r w:rsidR="00FB13D5" w:rsidRPr="00FD211F">
        <w:rPr>
          <w:sz w:val="36"/>
          <w:szCs w:val="36"/>
          <w:rtl/>
        </w:rPr>
        <w:t>الوفاء</w:t>
      </w:r>
      <w:r w:rsidR="00E8128F">
        <w:rPr>
          <w:sz w:val="36"/>
          <w:szCs w:val="36"/>
          <w:rtl/>
        </w:rPr>
        <w:t xml:space="preserve"> </w:t>
      </w:r>
      <w:r w:rsidR="00FB13D5" w:rsidRPr="00FD211F">
        <w:rPr>
          <w:sz w:val="36"/>
          <w:szCs w:val="36"/>
          <w:rtl/>
        </w:rPr>
        <w:t>بالنذر</w:t>
      </w:r>
      <w:r w:rsidR="00A12CE6" w:rsidRPr="00FD211F">
        <w:rPr>
          <w:sz w:val="36"/>
          <w:szCs w:val="36"/>
          <w:rtl/>
        </w:rPr>
        <w:t>.</w:t>
      </w:r>
    </w:p>
    <w:p w14:paraId="7BE20CF7" w14:textId="77777777" w:rsidR="00E40872" w:rsidRPr="00FD211F" w:rsidRDefault="00A12CE6" w:rsidP="009C58C8">
      <w:pPr>
        <w:ind w:left="0" w:firstLine="227"/>
        <w:jc w:val="both"/>
        <w:rPr>
          <w:sz w:val="36"/>
          <w:szCs w:val="36"/>
          <w:rtl/>
        </w:rPr>
      </w:pPr>
      <w:r w:rsidRPr="00FD211F">
        <w:rPr>
          <w:b/>
          <w:bCs/>
          <w:sz w:val="36"/>
          <w:szCs w:val="36"/>
          <w:rtl/>
        </w:rPr>
        <w:t>وثانيا</w:t>
      </w:r>
      <w:r w:rsidRPr="00FD211F">
        <w:rPr>
          <w:sz w:val="36"/>
          <w:szCs w:val="36"/>
          <w:rtl/>
        </w:rPr>
        <w:t>:</w:t>
      </w:r>
      <w:r w:rsidR="00E8128F">
        <w:rPr>
          <w:sz w:val="36"/>
          <w:szCs w:val="36"/>
          <w:rtl/>
        </w:rPr>
        <w:t xml:space="preserve"> </w:t>
      </w:r>
      <w:r w:rsidR="00FB13D5" w:rsidRPr="00FD211F">
        <w:rPr>
          <w:sz w:val="36"/>
          <w:szCs w:val="36"/>
          <w:rtl/>
        </w:rPr>
        <w:t>ان</w:t>
      </w:r>
      <w:r w:rsidR="00083881" w:rsidRPr="00FD211F">
        <w:rPr>
          <w:sz w:val="36"/>
          <w:szCs w:val="36"/>
          <w:rtl/>
        </w:rPr>
        <w:t>ه</w:t>
      </w:r>
      <w:r w:rsidR="00E8128F">
        <w:rPr>
          <w:sz w:val="36"/>
          <w:szCs w:val="36"/>
          <w:rtl/>
        </w:rPr>
        <w:t xml:space="preserve"> </w:t>
      </w:r>
      <w:r w:rsidR="00083881" w:rsidRPr="00FD211F">
        <w:rPr>
          <w:sz w:val="36"/>
          <w:szCs w:val="36"/>
          <w:rtl/>
        </w:rPr>
        <w:t>لاوجه</w:t>
      </w:r>
      <w:r w:rsidR="00E8128F">
        <w:rPr>
          <w:sz w:val="36"/>
          <w:szCs w:val="36"/>
          <w:rtl/>
        </w:rPr>
        <w:t xml:space="preserve"> </w:t>
      </w:r>
      <w:r w:rsidR="00083881" w:rsidRPr="00FD211F">
        <w:rPr>
          <w:sz w:val="36"/>
          <w:szCs w:val="36"/>
          <w:rtl/>
        </w:rPr>
        <w:t>للمنع</w:t>
      </w:r>
      <w:r w:rsidR="00E8128F">
        <w:rPr>
          <w:sz w:val="36"/>
          <w:szCs w:val="36"/>
          <w:rtl/>
        </w:rPr>
        <w:t xml:space="preserve"> </w:t>
      </w:r>
      <w:r w:rsidR="00083881" w:rsidRPr="00FD211F">
        <w:rPr>
          <w:sz w:val="36"/>
          <w:szCs w:val="36"/>
          <w:rtl/>
        </w:rPr>
        <w:t>من</w:t>
      </w:r>
      <w:r w:rsidR="00E8128F">
        <w:rPr>
          <w:sz w:val="36"/>
          <w:szCs w:val="36"/>
          <w:rtl/>
        </w:rPr>
        <w:t xml:space="preserve"> </w:t>
      </w:r>
      <w:r w:rsidR="00083881" w:rsidRPr="00FD211F">
        <w:rPr>
          <w:sz w:val="36"/>
          <w:szCs w:val="36"/>
          <w:rtl/>
        </w:rPr>
        <w:t>كون</w:t>
      </w:r>
      <w:r w:rsidR="00E8128F">
        <w:rPr>
          <w:sz w:val="36"/>
          <w:szCs w:val="36"/>
          <w:rtl/>
        </w:rPr>
        <w:t xml:space="preserve"> </w:t>
      </w:r>
      <w:r w:rsidR="00083881" w:rsidRPr="00FD211F">
        <w:rPr>
          <w:sz w:val="36"/>
          <w:szCs w:val="36"/>
          <w:rtl/>
        </w:rPr>
        <w:t>البحث</w:t>
      </w:r>
      <w:r w:rsidR="00E8128F">
        <w:rPr>
          <w:sz w:val="36"/>
          <w:szCs w:val="36"/>
          <w:rtl/>
        </w:rPr>
        <w:t xml:space="preserve"> </w:t>
      </w:r>
      <w:r w:rsidR="00FB13D5" w:rsidRPr="00FD211F">
        <w:rPr>
          <w:sz w:val="36"/>
          <w:szCs w:val="36"/>
          <w:rtl/>
        </w:rPr>
        <w:t>في</w:t>
      </w:r>
      <w:r w:rsidR="00E8128F">
        <w:rPr>
          <w:sz w:val="36"/>
          <w:szCs w:val="36"/>
          <w:rtl/>
        </w:rPr>
        <w:t xml:space="preserve"> </w:t>
      </w:r>
      <w:r w:rsidR="00FB13D5" w:rsidRPr="00FD211F">
        <w:rPr>
          <w:sz w:val="36"/>
          <w:szCs w:val="36"/>
          <w:rtl/>
        </w:rPr>
        <w:t>علم</w:t>
      </w:r>
      <w:r w:rsidR="00E8128F">
        <w:rPr>
          <w:sz w:val="36"/>
          <w:szCs w:val="36"/>
          <w:rtl/>
        </w:rPr>
        <w:t xml:space="preserve"> </w:t>
      </w:r>
      <w:r w:rsidR="00FB13D5" w:rsidRPr="00FD211F">
        <w:rPr>
          <w:sz w:val="36"/>
          <w:szCs w:val="36"/>
          <w:rtl/>
        </w:rPr>
        <w:t>الاصول</w:t>
      </w:r>
      <w:r w:rsidR="00E8128F">
        <w:rPr>
          <w:sz w:val="36"/>
          <w:szCs w:val="36"/>
          <w:rtl/>
        </w:rPr>
        <w:t xml:space="preserve"> </w:t>
      </w:r>
      <w:r w:rsidR="00FB13D5" w:rsidRPr="00FD211F">
        <w:rPr>
          <w:sz w:val="36"/>
          <w:szCs w:val="36"/>
          <w:rtl/>
        </w:rPr>
        <w:t>عن</w:t>
      </w:r>
      <w:r w:rsidR="00E8128F">
        <w:rPr>
          <w:sz w:val="36"/>
          <w:szCs w:val="36"/>
          <w:rtl/>
        </w:rPr>
        <w:t xml:space="preserve"> </w:t>
      </w:r>
      <w:r w:rsidR="00FB13D5" w:rsidRPr="00FD211F">
        <w:rPr>
          <w:sz w:val="36"/>
          <w:szCs w:val="36"/>
          <w:rtl/>
        </w:rPr>
        <w:t>المعنى</w:t>
      </w:r>
      <w:r w:rsidR="00E8128F">
        <w:rPr>
          <w:sz w:val="36"/>
          <w:szCs w:val="36"/>
          <w:rtl/>
        </w:rPr>
        <w:t xml:space="preserve"> </w:t>
      </w:r>
      <w:r w:rsidR="00FB13D5" w:rsidRPr="00FD211F">
        <w:rPr>
          <w:sz w:val="36"/>
          <w:szCs w:val="36"/>
          <w:rtl/>
        </w:rPr>
        <w:t>المكني</w:t>
      </w:r>
      <w:r w:rsidR="00E8128F">
        <w:rPr>
          <w:sz w:val="36"/>
          <w:szCs w:val="36"/>
          <w:rtl/>
        </w:rPr>
        <w:t xml:space="preserve"> </w:t>
      </w:r>
      <w:r w:rsidR="00FB13D5" w:rsidRPr="00FD211F">
        <w:rPr>
          <w:sz w:val="36"/>
          <w:szCs w:val="36"/>
          <w:rtl/>
        </w:rPr>
        <w:t>به</w:t>
      </w:r>
      <w:r w:rsidR="00E8128F">
        <w:rPr>
          <w:sz w:val="36"/>
          <w:szCs w:val="36"/>
          <w:rtl/>
        </w:rPr>
        <w:t xml:space="preserve"> </w:t>
      </w:r>
      <w:r w:rsidR="00FB13D5" w:rsidRPr="00FD211F">
        <w:rPr>
          <w:sz w:val="36"/>
          <w:szCs w:val="36"/>
          <w:rtl/>
        </w:rPr>
        <w:t>وهو</w:t>
      </w:r>
      <w:r w:rsidR="00E8128F">
        <w:rPr>
          <w:sz w:val="36"/>
          <w:szCs w:val="36"/>
          <w:rtl/>
        </w:rPr>
        <w:t xml:space="preserve"> </w:t>
      </w:r>
      <w:r w:rsidR="00FB13D5" w:rsidRPr="00FD211F">
        <w:rPr>
          <w:sz w:val="36"/>
          <w:szCs w:val="36"/>
          <w:rtl/>
        </w:rPr>
        <w:t>الوجوب</w:t>
      </w:r>
      <w:r w:rsidR="00E8128F">
        <w:rPr>
          <w:sz w:val="36"/>
          <w:szCs w:val="36"/>
          <w:rtl/>
        </w:rPr>
        <w:t xml:space="preserve"> </w:t>
      </w:r>
      <w:r w:rsidR="00FB13D5" w:rsidRPr="00FD211F">
        <w:rPr>
          <w:sz w:val="36"/>
          <w:szCs w:val="36"/>
          <w:rtl/>
        </w:rPr>
        <w:t>الظاهري</w:t>
      </w:r>
      <w:r w:rsidR="00E8128F">
        <w:rPr>
          <w:sz w:val="36"/>
          <w:szCs w:val="36"/>
          <w:rtl/>
        </w:rPr>
        <w:t xml:space="preserve"> </w:t>
      </w:r>
      <w:r w:rsidR="00FB13D5" w:rsidRPr="00FD211F">
        <w:rPr>
          <w:sz w:val="36"/>
          <w:szCs w:val="36"/>
          <w:rtl/>
        </w:rPr>
        <w:t>للاتيان</w:t>
      </w:r>
      <w:r w:rsidR="00E8128F">
        <w:rPr>
          <w:sz w:val="36"/>
          <w:szCs w:val="36"/>
          <w:rtl/>
        </w:rPr>
        <w:t xml:space="preserve"> </w:t>
      </w:r>
      <w:r w:rsidR="00FB13D5" w:rsidRPr="00FD211F">
        <w:rPr>
          <w:sz w:val="36"/>
          <w:szCs w:val="36"/>
          <w:rtl/>
        </w:rPr>
        <w:t>بما</w:t>
      </w:r>
      <w:r w:rsidR="00E8128F">
        <w:rPr>
          <w:sz w:val="36"/>
          <w:szCs w:val="36"/>
          <w:rtl/>
        </w:rPr>
        <w:t xml:space="preserve"> </w:t>
      </w:r>
      <w:r w:rsidR="00FB13D5" w:rsidRPr="00FD211F">
        <w:rPr>
          <w:sz w:val="36"/>
          <w:szCs w:val="36"/>
          <w:rtl/>
        </w:rPr>
        <w:t>قام</w:t>
      </w:r>
      <w:r w:rsidR="00E8128F">
        <w:rPr>
          <w:sz w:val="36"/>
          <w:szCs w:val="36"/>
          <w:rtl/>
        </w:rPr>
        <w:t xml:space="preserve"> </w:t>
      </w:r>
      <w:r w:rsidR="00FB13D5" w:rsidRPr="00FD211F">
        <w:rPr>
          <w:sz w:val="36"/>
          <w:szCs w:val="36"/>
          <w:rtl/>
        </w:rPr>
        <w:t>خبر</w:t>
      </w:r>
      <w:r w:rsidR="00E8128F">
        <w:rPr>
          <w:sz w:val="36"/>
          <w:szCs w:val="36"/>
          <w:rtl/>
        </w:rPr>
        <w:t xml:space="preserve"> </w:t>
      </w:r>
      <w:r w:rsidR="00FB13D5" w:rsidRPr="00FD211F">
        <w:rPr>
          <w:sz w:val="36"/>
          <w:szCs w:val="36"/>
          <w:rtl/>
        </w:rPr>
        <w:t>العادل</w:t>
      </w:r>
      <w:r w:rsidR="00E8128F">
        <w:rPr>
          <w:sz w:val="36"/>
          <w:szCs w:val="36"/>
          <w:rtl/>
        </w:rPr>
        <w:t xml:space="preserve"> </w:t>
      </w:r>
      <w:r w:rsidR="00FB13D5" w:rsidRPr="00FD211F">
        <w:rPr>
          <w:sz w:val="36"/>
          <w:szCs w:val="36"/>
          <w:rtl/>
        </w:rPr>
        <w:t>على</w:t>
      </w:r>
      <w:r w:rsidR="00E8128F">
        <w:rPr>
          <w:sz w:val="36"/>
          <w:szCs w:val="36"/>
          <w:rtl/>
        </w:rPr>
        <w:t xml:space="preserve"> </w:t>
      </w:r>
      <w:r w:rsidR="00FB13D5" w:rsidRPr="00FD211F">
        <w:rPr>
          <w:sz w:val="36"/>
          <w:szCs w:val="36"/>
          <w:rtl/>
        </w:rPr>
        <w:t>وجوبه</w:t>
      </w:r>
      <w:r w:rsidR="00E40872" w:rsidRPr="00FD211F">
        <w:rPr>
          <w:sz w:val="36"/>
          <w:szCs w:val="36"/>
          <w:rtl/>
        </w:rPr>
        <w:t>.</w:t>
      </w:r>
    </w:p>
    <w:p w14:paraId="2A186D46" w14:textId="77777777" w:rsidR="00D2119A" w:rsidRPr="00FD211F" w:rsidRDefault="00E40872" w:rsidP="009C58C8">
      <w:pPr>
        <w:ind w:left="0" w:firstLine="227"/>
        <w:jc w:val="both"/>
        <w:rPr>
          <w:sz w:val="36"/>
          <w:szCs w:val="36"/>
          <w:rtl/>
        </w:rPr>
      </w:pPr>
      <w:r w:rsidRPr="00FD211F">
        <w:rPr>
          <w:sz w:val="36"/>
          <w:szCs w:val="36"/>
          <w:rtl/>
        </w:rPr>
        <w:t>2-</w:t>
      </w:r>
      <w:r w:rsidR="00E8128F">
        <w:rPr>
          <w:sz w:val="36"/>
          <w:szCs w:val="36"/>
          <w:rtl/>
        </w:rPr>
        <w:t xml:space="preserve"> </w:t>
      </w:r>
      <w:r w:rsidR="006D374F" w:rsidRPr="00FD211F">
        <w:rPr>
          <w:sz w:val="36"/>
          <w:szCs w:val="36"/>
          <w:rtl/>
        </w:rPr>
        <w:t>ان</w:t>
      </w:r>
      <w:r w:rsidR="00E8128F">
        <w:rPr>
          <w:sz w:val="36"/>
          <w:szCs w:val="36"/>
          <w:rtl/>
        </w:rPr>
        <w:t xml:space="preserve"> </w:t>
      </w:r>
      <w:r w:rsidR="006D374F" w:rsidRPr="00FD211F">
        <w:rPr>
          <w:sz w:val="36"/>
          <w:szCs w:val="36"/>
          <w:rtl/>
        </w:rPr>
        <w:t>ما</w:t>
      </w:r>
      <w:r w:rsidR="00E8128F">
        <w:rPr>
          <w:sz w:val="36"/>
          <w:szCs w:val="36"/>
          <w:rtl/>
        </w:rPr>
        <w:t xml:space="preserve"> </w:t>
      </w:r>
      <w:r w:rsidR="006D374F" w:rsidRPr="00FD211F">
        <w:rPr>
          <w:sz w:val="36"/>
          <w:szCs w:val="36"/>
          <w:rtl/>
        </w:rPr>
        <w:t>ذكره</w:t>
      </w:r>
      <w:r w:rsidR="00E8128F">
        <w:rPr>
          <w:sz w:val="36"/>
          <w:szCs w:val="36"/>
          <w:rtl/>
        </w:rPr>
        <w:t xml:space="preserve"> </w:t>
      </w:r>
      <w:r w:rsidR="00812E50" w:rsidRPr="00FD211F">
        <w:rPr>
          <w:sz w:val="36"/>
          <w:szCs w:val="36"/>
          <w:rtl/>
        </w:rPr>
        <w:t>المحقق</w:t>
      </w:r>
      <w:r w:rsidR="00E8128F">
        <w:rPr>
          <w:sz w:val="36"/>
          <w:szCs w:val="36"/>
          <w:rtl/>
        </w:rPr>
        <w:t xml:space="preserve"> </w:t>
      </w:r>
      <w:r w:rsidR="00812E50" w:rsidRPr="00FD211F">
        <w:rPr>
          <w:sz w:val="36"/>
          <w:szCs w:val="36"/>
          <w:rtl/>
        </w:rPr>
        <w:t>الاصفهاني</w:t>
      </w:r>
      <w:r w:rsidR="00E8128F">
        <w:rPr>
          <w:sz w:val="36"/>
          <w:szCs w:val="36"/>
          <w:rtl/>
        </w:rPr>
        <w:t xml:space="preserve"> </w:t>
      </w:r>
      <w:r w:rsidR="00A61BAE" w:rsidRPr="00FD211F">
        <w:rPr>
          <w:sz w:val="36"/>
          <w:szCs w:val="36"/>
          <w:rtl/>
        </w:rPr>
        <w:t>"قده"</w:t>
      </w:r>
      <w:r w:rsidR="00E8128F">
        <w:rPr>
          <w:sz w:val="36"/>
          <w:szCs w:val="36"/>
          <w:rtl/>
        </w:rPr>
        <w:t xml:space="preserve"> </w:t>
      </w:r>
      <w:r w:rsidR="0029219F" w:rsidRPr="00FD211F">
        <w:rPr>
          <w:sz w:val="36"/>
          <w:szCs w:val="36"/>
          <w:rtl/>
        </w:rPr>
        <w:t>في</w:t>
      </w:r>
      <w:r w:rsidR="00E8128F">
        <w:rPr>
          <w:sz w:val="36"/>
          <w:szCs w:val="36"/>
          <w:rtl/>
        </w:rPr>
        <w:t xml:space="preserve"> </w:t>
      </w:r>
      <w:r w:rsidR="00812E50" w:rsidRPr="00FD211F">
        <w:rPr>
          <w:sz w:val="36"/>
          <w:szCs w:val="36"/>
          <w:rtl/>
        </w:rPr>
        <w:t>"الاصول</w:t>
      </w:r>
      <w:r w:rsidR="00E8128F">
        <w:rPr>
          <w:sz w:val="36"/>
          <w:szCs w:val="36"/>
          <w:rtl/>
        </w:rPr>
        <w:t xml:space="preserve"> </w:t>
      </w:r>
      <w:r w:rsidR="00812E50" w:rsidRPr="00FD211F">
        <w:rPr>
          <w:sz w:val="36"/>
          <w:szCs w:val="36"/>
          <w:rtl/>
        </w:rPr>
        <w:t>على</w:t>
      </w:r>
      <w:r w:rsidR="00E8128F">
        <w:rPr>
          <w:sz w:val="36"/>
          <w:szCs w:val="36"/>
          <w:rtl/>
        </w:rPr>
        <w:t xml:space="preserve"> </w:t>
      </w:r>
      <w:r w:rsidR="00812E50" w:rsidRPr="00FD211F">
        <w:rPr>
          <w:sz w:val="36"/>
          <w:szCs w:val="36"/>
          <w:rtl/>
        </w:rPr>
        <w:t>النهج</w:t>
      </w:r>
      <w:r w:rsidR="00E8128F">
        <w:rPr>
          <w:sz w:val="36"/>
          <w:szCs w:val="36"/>
          <w:rtl/>
        </w:rPr>
        <w:t xml:space="preserve"> </w:t>
      </w:r>
      <w:r w:rsidR="00812E50" w:rsidRPr="00FD211F">
        <w:rPr>
          <w:sz w:val="36"/>
          <w:szCs w:val="36"/>
          <w:rtl/>
        </w:rPr>
        <w:t>الحديث"</w:t>
      </w:r>
      <w:r w:rsidR="00E8128F">
        <w:rPr>
          <w:sz w:val="36"/>
          <w:szCs w:val="36"/>
          <w:rtl/>
        </w:rPr>
        <w:t xml:space="preserve"> </w:t>
      </w:r>
      <w:r w:rsidR="006D374F" w:rsidRPr="00FD211F">
        <w:rPr>
          <w:sz w:val="36"/>
          <w:szCs w:val="36"/>
          <w:rtl/>
        </w:rPr>
        <w:t>من</w:t>
      </w:r>
      <w:r w:rsidR="00E8128F">
        <w:rPr>
          <w:sz w:val="36"/>
          <w:szCs w:val="36"/>
          <w:rtl/>
        </w:rPr>
        <w:t xml:space="preserve"> </w:t>
      </w:r>
      <w:r w:rsidR="00812E50" w:rsidRPr="00FD211F">
        <w:rPr>
          <w:sz w:val="36"/>
          <w:szCs w:val="36"/>
          <w:rtl/>
        </w:rPr>
        <w:t>ان</w:t>
      </w:r>
      <w:r w:rsidR="00E8128F">
        <w:rPr>
          <w:sz w:val="36"/>
          <w:szCs w:val="36"/>
          <w:rtl/>
        </w:rPr>
        <w:t xml:space="preserve"> </w:t>
      </w:r>
      <w:r w:rsidR="00812E50" w:rsidRPr="00FD211F">
        <w:rPr>
          <w:sz w:val="36"/>
          <w:szCs w:val="36"/>
          <w:rtl/>
        </w:rPr>
        <w:t>مباحث</w:t>
      </w:r>
      <w:r w:rsidR="00E8128F">
        <w:rPr>
          <w:sz w:val="36"/>
          <w:szCs w:val="36"/>
          <w:rtl/>
        </w:rPr>
        <w:t xml:space="preserve"> </w:t>
      </w:r>
      <w:r w:rsidR="00812E50" w:rsidRPr="00FD211F">
        <w:rPr>
          <w:sz w:val="36"/>
          <w:szCs w:val="36"/>
          <w:rtl/>
        </w:rPr>
        <w:t>الاشتغال</w:t>
      </w:r>
      <w:r w:rsidR="00E8128F">
        <w:rPr>
          <w:sz w:val="36"/>
          <w:szCs w:val="36"/>
          <w:rtl/>
        </w:rPr>
        <w:t xml:space="preserve"> </w:t>
      </w:r>
      <w:r w:rsidR="00812E50" w:rsidRPr="00FD211F">
        <w:rPr>
          <w:sz w:val="36"/>
          <w:szCs w:val="36"/>
          <w:rtl/>
        </w:rPr>
        <w:t>خارج</w:t>
      </w:r>
      <w:r w:rsidR="00EC7EDF" w:rsidRPr="00FD211F">
        <w:rPr>
          <w:sz w:val="36"/>
          <w:szCs w:val="36"/>
          <w:rtl/>
        </w:rPr>
        <w:t>ة</w:t>
      </w:r>
      <w:r w:rsidR="00E8128F">
        <w:rPr>
          <w:sz w:val="36"/>
          <w:szCs w:val="36"/>
          <w:rtl/>
        </w:rPr>
        <w:t xml:space="preserve"> </w:t>
      </w:r>
      <w:r w:rsidR="00812E50" w:rsidRPr="00FD211F">
        <w:rPr>
          <w:sz w:val="36"/>
          <w:szCs w:val="36"/>
          <w:rtl/>
        </w:rPr>
        <w:t>عن</w:t>
      </w:r>
      <w:r w:rsidR="00E8128F">
        <w:rPr>
          <w:sz w:val="36"/>
          <w:szCs w:val="36"/>
          <w:rtl/>
        </w:rPr>
        <w:t xml:space="preserve"> </w:t>
      </w:r>
      <w:r w:rsidR="00812E50" w:rsidRPr="00FD211F">
        <w:rPr>
          <w:sz w:val="36"/>
          <w:szCs w:val="36"/>
          <w:rtl/>
        </w:rPr>
        <w:t>علم</w:t>
      </w:r>
      <w:r w:rsidR="00E8128F">
        <w:rPr>
          <w:sz w:val="36"/>
          <w:szCs w:val="36"/>
          <w:rtl/>
        </w:rPr>
        <w:t xml:space="preserve"> </w:t>
      </w:r>
      <w:r w:rsidR="00812E50" w:rsidRPr="00FD211F">
        <w:rPr>
          <w:sz w:val="36"/>
          <w:szCs w:val="36"/>
          <w:rtl/>
        </w:rPr>
        <w:t>الاصول</w:t>
      </w:r>
      <w:r w:rsidR="00C17D0B" w:rsidRPr="00FD211F">
        <w:rPr>
          <w:rStyle w:val="a6"/>
          <w:sz w:val="36"/>
          <w:szCs w:val="36"/>
          <w:rtl/>
        </w:rPr>
        <w:t>(</w:t>
      </w:r>
      <w:r w:rsidR="00C17D0B" w:rsidRPr="00FD211F">
        <w:rPr>
          <w:rStyle w:val="a6"/>
          <w:sz w:val="36"/>
          <w:szCs w:val="36"/>
          <w:rtl/>
        </w:rPr>
        <w:footnoteReference w:id="53"/>
      </w:r>
      <w:r w:rsidR="00C17D0B" w:rsidRPr="00FD211F">
        <w:rPr>
          <w:rStyle w:val="a6"/>
          <w:sz w:val="36"/>
          <w:szCs w:val="36"/>
          <w:rtl/>
        </w:rPr>
        <w:t>)</w:t>
      </w:r>
      <w:r w:rsidR="00D2119A" w:rsidRPr="00FD211F">
        <w:rPr>
          <w:sz w:val="36"/>
          <w:szCs w:val="36"/>
          <w:rtl/>
        </w:rPr>
        <w:t>فوجهه</w:t>
      </w:r>
      <w:r w:rsidR="00E8128F">
        <w:rPr>
          <w:sz w:val="36"/>
          <w:szCs w:val="36"/>
          <w:rtl/>
        </w:rPr>
        <w:t xml:space="preserve"> </w:t>
      </w:r>
      <w:r w:rsidR="00D2119A" w:rsidRPr="00FD211F">
        <w:rPr>
          <w:sz w:val="36"/>
          <w:szCs w:val="36"/>
          <w:rtl/>
        </w:rPr>
        <w:t>أحد</w:t>
      </w:r>
      <w:r w:rsidR="00E8128F">
        <w:rPr>
          <w:sz w:val="36"/>
          <w:szCs w:val="36"/>
          <w:rtl/>
        </w:rPr>
        <w:t xml:space="preserve"> </w:t>
      </w:r>
      <w:r w:rsidR="00D2119A" w:rsidRPr="00FD211F">
        <w:rPr>
          <w:sz w:val="36"/>
          <w:szCs w:val="36"/>
          <w:rtl/>
        </w:rPr>
        <w:t>أمرين</w:t>
      </w:r>
      <w:r w:rsidR="00856647" w:rsidRPr="00FD211F">
        <w:rPr>
          <w:sz w:val="36"/>
          <w:szCs w:val="36"/>
          <w:rtl/>
        </w:rPr>
        <w:t>:</w:t>
      </w:r>
    </w:p>
    <w:p w14:paraId="0624CE8E" w14:textId="77777777" w:rsidR="00D2119A" w:rsidRPr="00FD211F" w:rsidRDefault="00D2119A" w:rsidP="009C58C8">
      <w:pPr>
        <w:ind w:left="0" w:firstLine="227"/>
        <w:jc w:val="both"/>
        <w:rPr>
          <w:sz w:val="36"/>
          <w:szCs w:val="36"/>
          <w:rtl/>
        </w:rPr>
      </w:pPr>
      <w:r w:rsidRPr="00FD211F">
        <w:rPr>
          <w:sz w:val="36"/>
          <w:szCs w:val="36"/>
          <w:rtl/>
        </w:rPr>
        <w:t>فإما</w:t>
      </w:r>
      <w:r w:rsidR="00E8128F">
        <w:rPr>
          <w:sz w:val="36"/>
          <w:szCs w:val="36"/>
          <w:rtl/>
        </w:rPr>
        <w:t xml:space="preserve"> </w:t>
      </w:r>
      <w:r w:rsidR="00812E50" w:rsidRPr="00FD211F">
        <w:rPr>
          <w:sz w:val="36"/>
          <w:szCs w:val="36"/>
          <w:rtl/>
        </w:rPr>
        <w:t>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لأجل</w:t>
      </w:r>
      <w:r w:rsidR="00E8128F">
        <w:rPr>
          <w:sz w:val="36"/>
          <w:szCs w:val="36"/>
          <w:rtl/>
        </w:rPr>
        <w:t xml:space="preserve"> </w:t>
      </w:r>
      <w:r w:rsidRPr="00FD211F">
        <w:rPr>
          <w:sz w:val="36"/>
          <w:szCs w:val="36"/>
          <w:rtl/>
        </w:rPr>
        <w:t>أن</w:t>
      </w:r>
      <w:r w:rsidR="00E8128F">
        <w:rPr>
          <w:sz w:val="36"/>
          <w:szCs w:val="36"/>
          <w:rtl/>
        </w:rPr>
        <w:t xml:space="preserve"> </w:t>
      </w:r>
      <w:r w:rsidR="00812E50" w:rsidRPr="00FD211F">
        <w:rPr>
          <w:sz w:val="36"/>
          <w:szCs w:val="36"/>
          <w:rtl/>
        </w:rPr>
        <w:t>البحث</w:t>
      </w:r>
      <w:r w:rsidR="00E8128F">
        <w:rPr>
          <w:sz w:val="36"/>
          <w:szCs w:val="36"/>
          <w:rtl/>
        </w:rPr>
        <w:t xml:space="preserve"> </w:t>
      </w:r>
      <w:r w:rsidR="00812E50" w:rsidRPr="00FD211F">
        <w:rPr>
          <w:sz w:val="36"/>
          <w:szCs w:val="36"/>
          <w:rtl/>
        </w:rPr>
        <w:t>فيه</w:t>
      </w:r>
      <w:r w:rsidR="00E8128F">
        <w:rPr>
          <w:sz w:val="36"/>
          <w:szCs w:val="36"/>
          <w:rtl/>
        </w:rPr>
        <w:t xml:space="preserve"> </w:t>
      </w:r>
      <w:r w:rsidR="00812E50" w:rsidRPr="00FD211F">
        <w:rPr>
          <w:sz w:val="36"/>
          <w:szCs w:val="36"/>
          <w:rtl/>
        </w:rPr>
        <w:t>عن</w:t>
      </w:r>
      <w:r w:rsidR="00E8128F">
        <w:rPr>
          <w:sz w:val="36"/>
          <w:szCs w:val="36"/>
          <w:rtl/>
        </w:rPr>
        <w:t xml:space="preserve"> </w:t>
      </w:r>
      <w:r w:rsidR="00A8214C" w:rsidRPr="00FD211F">
        <w:rPr>
          <w:sz w:val="36"/>
          <w:szCs w:val="36"/>
          <w:rtl/>
        </w:rPr>
        <w:t>منجزي</w:t>
      </w:r>
      <w:r w:rsidR="00EC7EDF" w:rsidRPr="00FD211F">
        <w:rPr>
          <w:sz w:val="36"/>
          <w:szCs w:val="36"/>
          <w:rtl/>
        </w:rPr>
        <w:t>ة</w:t>
      </w:r>
      <w:r w:rsidR="00E8128F">
        <w:rPr>
          <w:sz w:val="36"/>
          <w:szCs w:val="36"/>
          <w:rtl/>
        </w:rPr>
        <w:t xml:space="preserve"> </w:t>
      </w:r>
      <w:r w:rsidR="00A8214C" w:rsidRPr="00FD211F">
        <w:rPr>
          <w:sz w:val="36"/>
          <w:szCs w:val="36"/>
          <w:rtl/>
        </w:rPr>
        <w:t>العلم</w:t>
      </w:r>
      <w:r w:rsidR="00E8128F">
        <w:rPr>
          <w:sz w:val="36"/>
          <w:szCs w:val="36"/>
          <w:rtl/>
        </w:rPr>
        <w:t xml:space="preserve"> </w:t>
      </w:r>
      <w:r w:rsidR="00A8214C" w:rsidRPr="00FD211F">
        <w:rPr>
          <w:sz w:val="36"/>
          <w:szCs w:val="36"/>
          <w:rtl/>
        </w:rPr>
        <w:t>الاجمالي</w:t>
      </w:r>
      <w:r w:rsidR="00E8128F">
        <w:rPr>
          <w:sz w:val="36"/>
          <w:szCs w:val="36"/>
          <w:rtl/>
        </w:rPr>
        <w:t xml:space="preserve"> </w:t>
      </w:r>
      <w:r w:rsidR="00A8214C" w:rsidRPr="00FD211F">
        <w:rPr>
          <w:sz w:val="36"/>
          <w:szCs w:val="36"/>
          <w:rtl/>
        </w:rPr>
        <w:t>وقد</w:t>
      </w:r>
      <w:r w:rsidR="00E8128F">
        <w:rPr>
          <w:sz w:val="36"/>
          <w:szCs w:val="36"/>
          <w:rtl/>
        </w:rPr>
        <w:t xml:space="preserve"> </w:t>
      </w:r>
      <w:r w:rsidR="00A8214C" w:rsidRPr="00FD211F">
        <w:rPr>
          <w:sz w:val="36"/>
          <w:szCs w:val="36"/>
          <w:rtl/>
        </w:rPr>
        <w:t>ذكر</w:t>
      </w:r>
      <w:r w:rsidR="002B0CF7" w:rsidRPr="00FD211F">
        <w:rPr>
          <w:sz w:val="36"/>
          <w:szCs w:val="36"/>
          <w:rtl/>
        </w:rPr>
        <w:t>في</w:t>
      </w:r>
      <w:r w:rsidR="00E8128F">
        <w:rPr>
          <w:sz w:val="36"/>
          <w:szCs w:val="36"/>
          <w:rtl/>
        </w:rPr>
        <w:t xml:space="preserve"> </w:t>
      </w:r>
      <w:r w:rsidR="002B0CF7" w:rsidRPr="00FD211F">
        <w:rPr>
          <w:sz w:val="36"/>
          <w:szCs w:val="36"/>
          <w:rtl/>
        </w:rPr>
        <w:t>مباحث</w:t>
      </w:r>
      <w:r w:rsidR="00E8128F">
        <w:rPr>
          <w:sz w:val="36"/>
          <w:szCs w:val="36"/>
          <w:rtl/>
        </w:rPr>
        <w:t xml:space="preserve"> </w:t>
      </w:r>
      <w:r w:rsidR="002B0CF7" w:rsidRPr="00FD211F">
        <w:rPr>
          <w:sz w:val="36"/>
          <w:szCs w:val="36"/>
          <w:rtl/>
        </w:rPr>
        <w:t>القطع</w:t>
      </w:r>
      <w:r w:rsidR="00E8128F">
        <w:rPr>
          <w:sz w:val="36"/>
          <w:szCs w:val="36"/>
          <w:rtl/>
        </w:rPr>
        <w:t xml:space="preserve"> </w:t>
      </w:r>
      <w:r w:rsidR="002B0CF7" w:rsidRPr="00FD211F">
        <w:rPr>
          <w:sz w:val="36"/>
          <w:szCs w:val="36"/>
          <w:rtl/>
        </w:rPr>
        <w:t>من</w:t>
      </w:r>
      <w:r w:rsidR="00E8128F">
        <w:rPr>
          <w:sz w:val="36"/>
          <w:szCs w:val="36"/>
          <w:rtl/>
        </w:rPr>
        <w:t xml:space="preserve"> </w:t>
      </w:r>
      <w:r w:rsidR="002B0CF7" w:rsidRPr="00FD211F">
        <w:rPr>
          <w:sz w:val="36"/>
          <w:szCs w:val="36"/>
          <w:rtl/>
        </w:rPr>
        <w:t>حاشيته</w:t>
      </w:r>
      <w:r w:rsidR="00E8128F">
        <w:rPr>
          <w:sz w:val="36"/>
          <w:szCs w:val="36"/>
          <w:rtl/>
        </w:rPr>
        <w:t xml:space="preserve"> </w:t>
      </w:r>
      <w:r w:rsidR="002B0CF7" w:rsidRPr="00FD211F">
        <w:rPr>
          <w:sz w:val="36"/>
          <w:szCs w:val="36"/>
          <w:rtl/>
        </w:rPr>
        <w:t>على</w:t>
      </w:r>
      <w:r w:rsidR="00E8128F">
        <w:rPr>
          <w:sz w:val="36"/>
          <w:szCs w:val="36"/>
          <w:rtl/>
        </w:rPr>
        <w:t xml:space="preserve"> </w:t>
      </w:r>
      <w:r w:rsidR="002B0CF7" w:rsidRPr="00FD211F">
        <w:rPr>
          <w:sz w:val="36"/>
          <w:szCs w:val="36"/>
          <w:rtl/>
        </w:rPr>
        <w:t>الكفاي</w:t>
      </w:r>
      <w:r w:rsidR="00EC7EDF" w:rsidRPr="00FD211F">
        <w:rPr>
          <w:sz w:val="36"/>
          <w:szCs w:val="36"/>
          <w:rtl/>
        </w:rPr>
        <w:t>ة</w:t>
      </w:r>
      <w:r w:rsidR="00E8128F">
        <w:rPr>
          <w:sz w:val="36"/>
          <w:szCs w:val="36"/>
          <w:rtl/>
        </w:rPr>
        <w:t xml:space="preserve"> </w:t>
      </w:r>
      <w:r w:rsidR="00A8214C" w:rsidRPr="00FD211F">
        <w:rPr>
          <w:sz w:val="36"/>
          <w:szCs w:val="36"/>
          <w:rtl/>
        </w:rPr>
        <w:t>ان</w:t>
      </w:r>
      <w:r w:rsidR="00E8128F">
        <w:rPr>
          <w:sz w:val="36"/>
          <w:szCs w:val="36"/>
          <w:rtl/>
        </w:rPr>
        <w:t xml:space="preserve"> </w:t>
      </w:r>
      <w:r w:rsidR="00A8214C" w:rsidRPr="00FD211F">
        <w:rPr>
          <w:sz w:val="36"/>
          <w:szCs w:val="36"/>
          <w:rtl/>
        </w:rPr>
        <w:t>البحث</w:t>
      </w:r>
      <w:r w:rsidR="00E8128F">
        <w:rPr>
          <w:sz w:val="36"/>
          <w:szCs w:val="36"/>
          <w:rtl/>
        </w:rPr>
        <w:t xml:space="preserve"> </w:t>
      </w:r>
      <w:r w:rsidR="00A8214C" w:rsidRPr="00FD211F">
        <w:rPr>
          <w:sz w:val="36"/>
          <w:szCs w:val="36"/>
          <w:rtl/>
        </w:rPr>
        <w:t>عن</w:t>
      </w:r>
      <w:r w:rsidR="00E8128F">
        <w:rPr>
          <w:sz w:val="36"/>
          <w:szCs w:val="36"/>
          <w:rtl/>
        </w:rPr>
        <w:t xml:space="preserve"> </w:t>
      </w:r>
      <w:r w:rsidR="00A8214C" w:rsidRPr="00FD211F">
        <w:rPr>
          <w:sz w:val="36"/>
          <w:szCs w:val="36"/>
          <w:rtl/>
        </w:rPr>
        <w:t>منجزي</w:t>
      </w:r>
      <w:r w:rsidR="00EC7EDF" w:rsidRPr="00FD211F">
        <w:rPr>
          <w:sz w:val="36"/>
          <w:szCs w:val="36"/>
          <w:rtl/>
        </w:rPr>
        <w:t>ة</w:t>
      </w:r>
      <w:r w:rsidR="00E8128F">
        <w:rPr>
          <w:sz w:val="36"/>
          <w:szCs w:val="36"/>
          <w:rtl/>
        </w:rPr>
        <w:t xml:space="preserve"> </w:t>
      </w:r>
      <w:r w:rsidR="00A8214C" w:rsidRPr="00FD211F">
        <w:rPr>
          <w:sz w:val="36"/>
          <w:szCs w:val="36"/>
          <w:rtl/>
        </w:rPr>
        <w:t>العلم</w:t>
      </w:r>
      <w:r w:rsidR="00E8128F">
        <w:rPr>
          <w:sz w:val="36"/>
          <w:szCs w:val="36"/>
          <w:rtl/>
        </w:rPr>
        <w:t xml:space="preserve"> </w:t>
      </w:r>
      <w:r w:rsidR="00A8214C" w:rsidRPr="00FD211F">
        <w:rPr>
          <w:sz w:val="36"/>
          <w:szCs w:val="36"/>
          <w:rtl/>
        </w:rPr>
        <w:lastRenderedPageBreak/>
        <w:t>باقسامه</w:t>
      </w:r>
      <w:r w:rsidR="00E8128F">
        <w:rPr>
          <w:sz w:val="36"/>
          <w:szCs w:val="36"/>
          <w:rtl/>
        </w:rPr>
        <w:t xml:space="preserve"> </w:t>
      </w:r>
      <w:r w:rsidR="00A8214C" w:rsidRPr="00FD211F">
        <w:rPr>
          <w:sz w:val="36"/>
          <w:szCs w:val="36"/>
          <w:rtl/>
        </w:rPr>
        <w:t>خارج</w:t>
      </w:r>
      <w:r w:rsidR="00E8128F">
        <w:rPr>
          <w:sz w:val="36"/>
          <w:szCs w:val="36"/>
          <w:rtl/>
        </w:rPr>
        <w:t xml:space="preserve"> </w:t>
      </w:r>
      <w:r w:rsidR="00A8214C" w:rsidRPr="00FD211F">
        <w:rPr>
          <w:sz w:val="36"/>
          <w:szCs w:val="36"/>
          <w:rtl/>
        </w:rPr>
        <w:t>عن</w:t>
      </w:r>
      <w:r w:rsidR="00E8128F">
        <w:rPr>
          <w:sz w:val="36"/>
          <w:szCs w:val="36"/>
          <w:rtl/>
        </w:rPr>
        <w:t xml:space="preserve"> </w:t>
      </w:r>
      <w:r w:rsidR="00A8214C" w:rsidRPr="00FD211F">
        <w:rPr>
          <w:sz w:val="36"/>
          <w:szCs w:val="36"/>
          <w:rtl/>
        </w:rPr>
        <w:t>علم</w:t>
      </w:r>
      <w:r w:rsidR="00E8128F">
        <w:rPr>
          <w:sz w:val="36"/>
          <w:szCs w:val="36"/>
          <w:rtl/>
        </w:rPr>
        <w:t xml:space="preserve"> </w:t>
      </w:r>
      <w:r w:rsidR="00A8214C" w:rsidRPr="00FD211F">
        <w:rPr>
          <w:sz w:val="36"/>
          <w:szCs w:val="36"/>
          <w:rtl/>
        </w:rPr>
        <w:t>الاصول</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54"/>
      </w:r>
      <w:r w:rsidR="00C17D0B" w:rsidRPr="00FD211F">
        <w:rPr>
          <w:rStyle w:val="a6"/>
          <w:sz w:val="36"/>
          <w:szCs w:val="36"/>
          <w:rtl/>
        </w:rPr>
        <w:t>)</w:t>
      </w:r>
      <w:r w:rsidR="00E8128F">
        <w:rPr>
          <w:sz w:val="36"/>
          <w:szCs w:val="36"/>
          <w:rtl/>
        </w:rPr>
        <w:t xml:space="preserve"> </w:t>
      </w:r>
    </w:p>
    <w:p w14:paraId="4D14D2EF" w14:textId="77777777" w:rsidR="00812E50" w:rsidRPr="00FD211F" w:rsidRDefault="00A8214C" w:rsidP="009C58C8">
      <w:pPr>
        <w:ind w:left="0" w:firstLine="227"/>
        <w:jc w:val="both"/>
        <w:rPr>
          <w:sz w:val="36"/>
          <w:szCs w:val="36"/>
          <w:rtl/>
        </w:rPr>
      </w:pPr>
      <w:r w:rsidRPr="00FD211F">
        <w:rPr>
          <w:sz w:val="36"/>
          <w:szCs w:val="36"/>
          <w:rtl/>
        </w:rPr>
        <w:t>او</w:t>
      </w:r>
      <w:r w:rsidR="00D2119A" w:rsidRPr="00FD211F">
        <w:rPr>
          <w:sz w:val="36"/>
          <w:szCs w:val="36"/>
          <w:rtl/>
        </w:rPr>
        <w:t>يكو</w:t>
      </w:r>
      <w:r w:rsidR="00201ACE" w:rsidRPr="00FD211F">
        <w:rPr>
          <w:sz w:val="36"/>
          <w:szCs w:val="36"/>
          <w:rtl/>
        </w:rPr>
        <w:t>ن</w:t>
      </w:r>
      <w:r w:rsidR="00E8128F">
        <w:rPr>
          <w:sz w:val="36"/>
          <w:szCs w:val="36"/>
          <w:rtl/>
        </w:rPr>
        <w:t xml:space="preserve"> </w:t>
      </w:r>
      <w:r w:rsidRPr="00FD211F">
        <w:rPr>
          <w:sz w:val="36"/>
          <w:szCs w:val="36"/>
          <w:rtl/>
        </w:rPr>
        <w:t>لأجل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عن</w:t>
      </w:r>
      <w:r w:rsidR="00E8128F">
        <w:rPr>
          <w:sz w:val="36"/>
          <w:szCs w:val="36"/>
          <w:rtl/>
        </w:rPr>
        <w:t xml:space="preserve"> </w:t>
      </w:r>
      <w:r w:rsidR="00812E50" w:rsidRPr="00FD211F">
        <w:rPr>
          <w:sz w:val="36"/>
          <w:szCs w:val="36"/>
          <w:rtl/>
        </w:rPr>
        <w:t>جريان</w:t>
      </w:r>
      <w:r w:rsidR="00E8128F">
        <w:rPr>
          <w:sz w:val="36"/>
          <w:szCs w:val="36"/>
          <w:rtl/>
        </w:rPr>
        <w:t xml:space="preserve"> </w:t>
      </w:r>
      <w:r w:rsidR="00812E50" w:rsidRPr="00FD211F">
        <w:rPr>
          <w:sz w:val="36"/>
          <w:szCs w:val="36"/>
          <w:rtl/>
        </w:rPr>
        <w:t>الأصل</w:t>
      </w:r>
      <w:r w:rsidR="00E8128F">
        <w:rPr>
          <w:sz w:val="36"/>
          <w:szCs w:val="36"/>
          <w:rtl/>
        </w:rPr>
        <w:t xml:space="preserve"> </w:t>
      </w:r>
      <w:r w:rsidR="00812E50" w:rsidRPr="00FD211F">
        <w:rPr>
          <w:sz w:val="36"/>
          <w:szCs w:val="36"/>
          <w:rtl/>
        </w:rPr>
        <w:t>الشرعي</w:t>
      </w:r>
      <w:r w:rsidR="00E8128F">
        <w:rPr>
          <w:sz w:val="36"/>
          <w:szCs w:val="36"/>
          <w:rtl/>
        </w:rPr>
        <w:t xml:space="preserve"> </w:t>
      </w:r>
      <w:r w:rsidR="00812E50" w:rsidRPr="00FD211F">
        <w:rPr>
          <w:sz w:val="36"/>
          <w:szCs w:val="36"/>
          <w:rtl/>
        </w:rPr>
        <w:t>المؤمن</w:t>
      </w:r>
      <w:r w:rsidR="00E8128F">
        <w:rPr>
          <w:sz w:val="36"/>
          <w:szCs w:val="36"/>
          <w:rtl/>
        </w:rPr>
        <w:t xml:space="preserve"> </w:t>
      </w:r>
      <w:r w:rsidR="00812E50" w:rsidRPr="00FD211F">
        <w:rPr>
          <w:sz w:val="36"/>
          <w:szCs w:val="36"/>
          <w:rtl/>
        </w:rPr>
        <w:t>في</w:t>
      </w:r>
      <w:r w:rsidR="00E8128F">
        <w:rPr>
          <w:sz w:val="36"/>
          <w:szCs w:val="36"/>
          <w:rtl/>
        </w:rPr>
        <w:t xml:space="preserve"> </w:t>
      </w:r>
      <w:r w:rsidR="00812E50" w:rsidRPr="00FD211F">
        <w:rPr>
          <w:sz w:val="36"/>
          <w:szCs w:val="36"/>
          <w:rtl/>
        </w:rPr>
        <w:t>اطراف</w:t>
      </w:r>
      <w:r w:rsidR="00E8128F">
        <w:rPr>
          <w:sz w:val="36"/>
          <w:szCs w:val="36"/>
          <w:rtl/>
        </w:rPr>
        <w:t xml:space="preserve"> </w:t>
      </w:r>
      <w:r w:rsidR="00812E50" w:rsidRPr="00FD211F">
        <w:rPr>
          <w:sz w:val="36"/>
          <w:szCs w:val="36"/>
          <w:rtl/>
        </w:rPr>
        <w:t>العلم</w:t>
      </w:r>
      <w:r w:rsidR="00E8128F">
        <w:rPr>
          <w:sz w:val="36"/>
          <w:szCs w:val="36"/>
          <w:rtl/>
        </w:rPr>
        <w:t xml:space="preserve"> </w:t>
      </w:r>
      <w:r w:rsidR="00812E50" w:rsidRPr="00FD211F">
        <w:rPr>
          <w:sz w:val="36"/>
          <w:szCs w:val="36"/>
          <w:rtl/>
        </w:rPr>
        <w:t>الاجمالي</w:t>
      </w:r>
      <w:r w:rsidR="00E8128F">
        <w:rPr>
          <w:sz w:val="36"/>
          <w:szCs w:val="36"/>
          <w:rtl/>
        </w:rPr>
        <w:t xml:space="preserve"> </w:t>
      </w:r>
      <w:r w:rsidR="007A3657" w:rsidRPr="00FD211F">
        <w:rPr>
          <w:sz w:val="36"/>
          <w:szCs w:val="36"/>
          <w:rtl/>
        </w:rPr>
        <w:t>-</w:t>
      </w:r>
      <w:r w:rsidR="00812E50" w:rsidRPr="00FD211F">
        <w:rPr>
          <w:sz w:val="36"/>
          <w:szCs w:val="36"/>
          <w:rtl/>
        </w:rPr>
        <w:t>لما</w:t>
      </w:r>
      <w:r w:rsidR="00E8128F">
        <w:rPr>
          <w:sz w:val="36"/>
          <w:szCs w:val="36"/>
          <w:rtl/>
        </w:rPr>
        <w:t xml:space="preserve"> </w:t>
      </w:r>
      <w:r w:rsidR="00812E50" w:rsidRPr="00FD211F">
        <w:rPr>
          <w:sz w:val="36"/>
          <w:szCs w:val="36"/>
          <w:rtl/>
        </w:rPr>
        <w:t>ذكره</w:t>
      </w:r>
      <w:r w:rsidR="00E8128F">
        <w:rPr>
          <w:sz w:val="36"/>
          <w:szCs w:val="36"/>
          <w:rtl/>
        </w:rPr>
        <w:t xml:space="preserve"> </w:t>
      </w:r>
      <w:r w:rsidR="00812E50" w:rsidRPr="00FD211F">
        <w:rPr>
          <w:sz w:val="36"/>
          <w:szCs w:val="36"/>
          <w:rtl/>
        </w:rPr>
        <w:t>تبعا</w:t>
      </w:r>
      <w:r w:rsidR="00E8128F">
        <w:rPr>
          <w:sz w:val="36"/>
          <w:szCs w:val="36"/>
          <w:rtl/>
        </w:rPr>
        <w:t xml:space="preserve"> </w:t>
      </w:r>
      <w:r w:rsidR="00812E50" w:rsidRPr="00FD211F">
        <w:rPr>
          <w:sz w:val="36"/>
          <w:szCs w:val="36"/>
          <w:rtl/>
        </w:rPr>
        <w:t>لاستاذه</w:t>
      </w:r>
      <w:r w:rsidR="00E8128F">
        <w:rPr>
          <w:sz w:val="36"/>
          <w:szCs w:val="36"/>
          <w:rtl/>
        </w:rPr>
        <w:t xml:space="preserve"> </w:t>
      </w:r>
      <w:r w:rsidR="00812E50" w:rsidRPr="00FD211F">
        <w:rPr>
          <w:sz w:val="36"/>
          <w:szCs w:val="36"/>
          <w:rtl/>
        </w:rPr>
        <w:t>صاحب</w:t>
      </w:r>
      <w:r w:rsidR="00E8128F">
        <w:rPr>
          <w:sz w:val="36"/>
          <w:szCs w:val="36"/>
          <w:rtl/>
        </w:rPr>
        <w:t xml:space="preserve"> </w:t>
      </w:r>
      <w:r w:rsidR="00812E50" w:rsidRPr="00FD211F">
        <w:rPr>
          <w:sz w:val="36"/>
          <w:szCs w:val="36"/>
          <w:rtl/>
        </w:rPr>
        <w:t>الكفاي</w:t>
      </w:r>
      <w:r w:rsidR="00EC7EDF" w:rsidRPr="00FD211F">
        <w:rPr>
          <w:sz w:val="36"/>
          <w:szCs w:val="36"/>
          <w:rtl/>
        </w:rPr>
        <w:t>ة</w:t>
      </w:r>
      <w:r w:rsidR="00E8128F">
        <w:rPr>
          <w:sz w:val="36"/>
          <w:szCs w:val="36"/>
          <w:rtl/>
        </w:rPr>
        <w:t xml:space="preserve"> </w:t>
      </w:r>
      <w:r w:rsidR="00812E50" w:rsidRPr="00FD211F">
        <w:rPr>
          <w:sz w:val="36"/>
          <w:szCs w:val="36"/>
          <w:rtl/>
        </w:rPr>
        <w:t>من</w:t>
      </w:r>
      <w:r w:rsidR="00E8128F">
        <w:rPr>
          <w:sz w:val="36"/>
          <w:szCs w:val="36"/>
          <w:rtl/>
        </w:rPr>
        <w:t xml:space="preserve"> </w:t>
      </w:r>
      <w:r w:rsidR="00812E50" w:rsidRPr="00FD211F">
        <w:rPr>
          <w:sz w:val="36"/>
          <w:szCs w:val="36"/>
          <w:rtl/>
        </w:rPr>
        <w:t>ان</w:t>
      </w:r>
      <w:r w:rsidR="00E8128F">
        <w:rPr>
          <w:sz w:val="36"/>
          <w:szCs w:val="36"/>
          <w:rtl/>
        </w:rPr>
        <w:t xml:space="preserve"> </w:t>
      </w:r>
      <w:r w:rsidR="00812E50" w:rsidRPr="00FD211F">
        <w:rPr>
          <w:sz w:val="36"/>
          <w:szCs w:val="36"/>
          <w:rtl/>
        </w:rPr>
        <w:t>المناسب</w:t>
      </w:r>
      <w:r w:rsidR="00E8128F">
        <w:rPr>
          <w:sz w:val="36"/>
          <w:szCs w:val="36"/>
          <w:rtl/>
        </w:rPr>
        <w:t xml:space="preserve"> </w:t>
      </w:r>
      <w:r w:rsidR="00812E50" w:rsidRPr="00FD211F">
        <w:rPr>
          <w:sz w:val="36"/>
          <w:szCs w:val="36"/>
          <w:rtl/>
        </w:rPr>
        <w:t>للبحث</w:t>
      </w:r>
      <w:r w:rsidR="00E8128F">
        <w:rPr>
          <w:sz w:val="36"/>
          <w:szCs w:val="36"/>
          <w:rtl/>
        </w:rPr>
        <w:t xml:space="preserve"> </w:t>
      </w:r>
      <w:r w:rsidR="00812E50" w:rsidRPr="00FD211F">
        <w:rPr>
          <w:sz w:val="36"/>
          <w:szCs w:val="36"/>
          <w:rtl/>
        </w:rPr>
        <w:t>عن</w:t>
      </w:r>
      <w:r w:rsidR="00E8128F">
        <w:rPr>
          <w:sz w:val="36"/>
          <w:szCs w:val="36"/>
          <w:rtl/>
        </w:rPr>
        <w:t xml:space="preserve"> </w:t>
      </w:r>
      <w:r w:rsidR="00812E50" w:rsidRPr="00FD211F">
        <w:rPr>
          <w:sz w:val="36"/>
          <w:szCs w:val="36"/>
          <w:rtl/>
        </w:rPr>
        <w:t>شؤون</w:t>
      </w:r>
      <w:r w:rsidR="00E8128F">
        <w:rPr>
          <w:sz w:val="36"/>
          <w:szCs w:val="36"/>
          <w:rtl/>
        </w:rPr>
        <w:t xml:space="preserve"> </w:t>
      </w:r>
      <w:r w:rsidR="00812E50" w:rsidRPr="00FD211F">
        <w:rPr>
          <w:sz w:val="36"/>
          <w:szCs w:val="36"/>
          <w:rtl/>
        </w:rPr>
        <w:t>القطع</w:t>
      </w:r>
      <w:r w:rsidR="00E8128F">
        <w:rPr>
          <w:sz w:val="36"/>
          <w:szCs w:val="36"/>
          <w:rtl/>
        </w:rPr>
        <w:t xml:space="preserve"> </w:t>
      </w:r>
      <w:r w:rsidR="00812E50" w:rsidRPr="00FD211F">
        <w:rPr>
          <w:sz w:val="36"/>
          <w:szCs w:val="36"/>
          <w:rtl/>
        </w:rPr>
        <w:t>هو</w:t>
      </w:r>
      <w:r w:rsidR="00E8128F">
        <w:rPr>
          <w:sz w:val="36"/>
          <w:szCs w:val="36"/>
          <w:rtl/>
        </w:rPr>
        <w:t xml:space="preserve"> </w:t>
      </w:r>
      <w:r w:rsidR="00812E50" w:rsidRPr="00FD211F">
        <w:rPr>
          <w:sz w:val="36"/>
          <w:szCs w:val="36"/>
          <w:rtl/>
        </w:rPr>
        <w:t>البحث</w:t>
      </w:r>
      <w:r w:rsidR="00E8128F">
        <w:rPr>
          <w:sz w:val="36"/>
          <w:szCs w:val="36"/>
          <w:rtl/>
        </w:rPr>
        <w:t xml:space="preserve"> </w:t>
      </w:r>
      <w:r w:rsidR="00812E50" w:rsidRPr="00FD211F">
        <w:rPr>
          <w:sz w:val="36"/>
          <w:szCs w:val="36"/>
          <w:rtl/>
        </w:rPr>
        <w:t>في</w:t>
      </w:r>
      <w:r w:rsidR="00E8128F">
        <w:rPr>
          <w:sz w:val="36"/>
          <w:szCs w:val="36"/>
          <w:rtl/>
        </w:rPr>
        <w:t xml:space="preserve"> </w:t>
      </w:r>
      <w:r w:rsidR="00812E50" w:rsidRPr="00FD211F">
        <w:rPr>
          <w:sz w:val="36"/>
          <w:szCs w:val="36"/>
          <w:rtl/>
        </w:rPr>
        <w:t>مباحث</w:t>
      </w:r>
      <w:r w:rsidR="00E8128F">
        <w:rPr>
          <w:sz w:val="36"/>
          <w:szCs w:val="36"/>
          <w:rtl/>
        </w:rPr>
        <w:t xml:space="preserve"> </w:t>
      </w:r>
      <w:r w:rsidR="00812E50" w:rsidRPr="00FD211F">
        <w:rPr>
          <w:sz w:val="36"/>
          <w:szCs w:val="36"/>
          <w:rtl/>
        </w:rPr>
        <w:t>القطع</w:t>
      </w:r>
      <w:r w:rsidR="00E8128F">
        <w:rPr>
          <w:sz w:val="36"/>
          <w:szCs w:val="36"/>
          <w:rtl/>
        </w:rPr>
        <w:t xml:space="preserve"> </w:t>
      </w:r>
      <w:r w:rsidR="00812E50" w:rsidRPr="00FD211F">
        <w:rPr>
          <w:sz w:val="36"/>
          <w:szCs w:val="36"/>
          <w:rtl/>
        </w:rPr>
        <w:t>عن</w:t>
      </w:r>
      <w:r w:rsidR="00E8128F">
        <w:rPr>
          <w:sz w:val="36"/>
          <w:szCs w:val="36"/>
          <w:rtl/>
        </w:rPr>
        <w:t xml:space="preserve"> </w:t>
      </w:r>
      <w:r w:rsidR="00812E50" w:rsidRPr="00FD211F">
        <w:rPr>
          <w:sz w:val="36"/>
          <w:szCs w:val="36"/>
          <w:rtl/>
        </w:rPr>
        <w:t>منجزي</w:t>
      </w:r>
      <w:r w:rsidR="00EC7EDF" w:rsidRPr="00FD211F">
        <w:rPr>
          <w:sz w:val="36"/>
          <w:szCs w:val="36"/>
          <w:rtl/>
        </w:rPr>
        <w:t>ة</w:t>
      </w:r>
      <w:r w:rsidR="00E8128F">
        <w:rPr>
          <w:sz w:val="36"/>
          <w:szCs w:val="36"/>
          <w:rtl/>
        </w:rPr>
        <w:t xml:space="preserve"> </w:t>
      </w:r>
      <w:r w:rsidR="00812E50" w:rsidRPr="00FD211F">
        <w:rPr>
          <w:sz w:val="36"/>
          <w:szCs w:val="36"/>
          <w:rtl/>
        </w:rPr>
        <w:t>العلم</w:t>
      </w:r>
      <w:r w:rsidR="00E8128F">
        <w:rPr>
          <w:sz w:val="36"/>
          <w:szCs w:val="36"/>
          <w:rtl/>
        </w:rPr>
        <w:t xml:space="preserve"> </w:t>
      </w:r>
      <w:r w:rsidR="00812E50" w:rsidRPr="00FD211F">
        <w:rPr>
          <w:sz w:val="36"/>
          <w:szCs w:val="36"/>
          <w:rtl/>
        </w:rPr>
        <w:t>الاجمالي</w:t>
      </w:r>
      <w:r w:rsidR="00E8128F">
        <w:rPr>
          <w:sz w:val="36"/>
          <w:szCs w:val="36"/>
          <w:rtl/>
        </w:rPr>
        <w:t xml:space="preserve"> </w:t>
      </w:r>
      <w:r w:rsidR="00812E50" w:rsidRPr="00FD211F">
        <w:rPr>
          <w:sz w:val="36"/>
          <w:szCs w:val="36"/>
          <w:rtl/>
        </w:rPr>
        <w:t>وعن</w:t>
      </w:r>
      <w:r w:rsidR="00E8128F">
        <w:rPr>
          <w:sz w:val="36"/>
          <w:szCs w:val="36"/>
          <w:rtl/>
        </w:rPr>
        <w:t xml:space="preserve"> </w:t>
      </w:r>
      <w:r w:rsidR="00812E50" w:rsidRPr="00FD211F">
        <w:rPr>
          <w:sz w:val="36"/>
          <w:szCs w:val="36"/>
          <w:rtl/>
        </w:rPr>
        <w:t>كونها</w:t>
      </w:r>
      <w:r w:rsidR="00E8128F">
        <w:rPr>
          <w:sz w:val="36"/>
          <w:szCs w:val="36"/>
          <w:rtl/>
        </w:rPr>
        <w:t xml:space="preserve"> </w:t>
      </w:r>
      <w:r w:rsidR="00812E50" w:rsidRPr="00FD211F">
        <w:rPr>
          <w:sz w:val="36"/>
          <w:szCs w:val="36"/>
          <w:rtl/>
        </w:rPr>
        <w:t>بنحو</w:t>
      </w:r>
      <w:r w:rsidR="00E8128F">
        <w:rPr>
          <w:sz w:val="36"/>
          <w:szCs w:val="36"/>
          <w:rtl/>
        </w:rPr>
        <w:t xml:space="preserve"> </w:t>
      </w:r>
      <w:r w:rsidR="00812E50" w:rsidRPr="00FD211F">
        <w:rPr>
          <w:sz w:val="36"/>
          <w:szCs w:val="36"/>
          <w:rtl/>
        </w:rPr>
        <w:t>الاقتضاء</w:t>
      </w:r>
      <w:r w:rsidR="00E8128F">
        <w:rPr>
          <w:sz w:val="36"/>
          <w:szCs w:val="36"/>
          <w:rtl/>
        </w:rPr>
        <w:t xml:space="preserve"> </w:t>
      </w:r>
      <w:r w:rsidR="00812E50" w:rsidRPr="00FD211F">
        <w:rPr>
          <w:sz w:val="36"/>
          <w:szCs w:val="36"/>
          <w:rtl/>
        </w:rPr>
        <w:t>او</w:t>
      </w:r>
      <w:r w:rsidR="00E8128F">
        <w:rPr>
          <w:sz w:val="36"/>
          <w:szCs w:val="36"/>
          <w:rtl/>
        </w:rPr>
        <w:t xml:space="preserve"> </w:t>
      </w:r>
      <w:r w:rsidR="00812E50" w:rsidRPr="00FD211F">
        <w:rPr>
          <w:sz w:val="36"/>
          <w:szCs w:val="36"/>
          <w:rtl/>
        </w:rPr>
        <w:t>العلي</w:t>
      </w:r>
      <w:r w:rsidR="00EC7EDF" w:rsidRPr="00FD211F">
        <w:rPr>
          <w:sz w:val="36"/>
          <w:szCs w:val="36"/>
          <w:rtl/>
        </w:rPr>
        <w:t>ة</w:t>
      </w:r>
      <w:r w:rsidR="00603323" w:rsidRPr="00FD211F">
        <w:rPr>
          <w:sz w:val="36"/>
          <w:szCs w:val="36"/>
          <w:rtl/>
        </w:rPr>
        <w:t>،</w:t>
      </w:r>
      <w:r w:rsidR="00E8128F">
        <w:rPr>
          <w:sz w:val="36"/>
          <w:szCs w:val="36"/>
          <w:rtl/>
        </w:rPr>
        <w:t xml:space="preserve"> </w:t>
      </w:r>
      <w:r w:rsidR="00812E50" w:rsidRPr="00FD211F">
        <w:rPr>
          <w:sz w:val="36"/>
          <w:szCs w:val="36"/>
          <w:rtl/>
        </w:rPr>
        <w:t>فان</w:t>
      </w:r>
      <w:r w:rsidR="00E8128F">
        <w:rPr>
          <w:sz w:val="36"/>
          <w:szCs w:val="36"/>
          <w:rtl/>
        </w:rPr>
        <w:t xml:space="preserve"> </w:t>
      </w:r>
      <w:r w:rsidR="00812E50" w:rsidRPr="00FD211F">
        <w:rPr>
          <w:sz w:val="36"/>
          <w:szCs w:val="36"/>
          <w:rtl/>
        </w:rPr>
        <w:t>ثبت</w:t>
      </w:r>
      <w:r w:rsidR="00E8128F">
        <w:rPr>
          <w:sz w:val="36"/>
          <w:szCs w:val="36"/>
          <w:rtl/>
        </w:rPr>
        <w:t xml:space="preserve"> </w:t>
      </w:r>
      <w:r w:rsidR="00812E50" w:rsidRPr="00FD211F">
        <w:rPr>
          <w:sz w:val="36"/>
          <w:szCs w:val="36"/>
          <w:rtl/>
        </w:rPr>
        <w:t>كونها</w:t>
      </w:r>
      <w:r w:rsidR="00E8128F">
        <w:rPr>
          <w:sz w:val="36"/>
          <w:szCs w:val="36"/>
          <w:rtl/>
        </w:rPr>
        <w:t xml:space="preserve"> </w:t>
      </w:r>
      <w:r w:rsidR="00812E50" w:rsidRPr="00FD211F">
        <w:rPr>
          <w:sz w:val="36"/>
          <w:szCs w:val="36"/>
          <w:rtl/>
        </w:rPr>
        <w:t>بنحو</w:t>
      </w:r>
      <w:r w:rsidR="00E8128F">
        <w:rPr>
          <w:sz w:val="36"/>
          <w:szCs w:val="36"/>
          <w:rtl/>
        </w:rPr>
        <w:t xml:space="preserve"> </w:t>
      </w:r>
      <w:r w:rsidR="00812E50" w:rsidRPr="00FD211F">
        <w:rPr>
          <w:sz w:val="36"/>
          <w:szCs w:val="36"/>
          <w:rtl/>
        </w:rPr>
        <w:t>الاقتضاء</w:t>
      </w:r>
      <w:r w:rsidR="00E8128F">
        <w:rPr>
          <w:sz w:val="36"/>
          <w:szCs w:val="36"/>
          <w:rtl/>
        </w:rPr>
        <w:t xml:space="preserve"> </w:t>
      </w:r>
      <w:r w:rsidR="00812E50" w:rsidRPr="00FD211F">
        <w:rPr>
          <w:sz w:val="36"/>
          <w:szCs w:val="36"/>
          <w:rtl/>
        </w:rPr>
        <w:t>وقع</w:t>
      </w:r>
      <w:r w:rsidR="00E8128F">
        <w:rPr>
          <w:sz w:val="36"/>
          <w:szCs w:val="36"/>
          <w:rtl/>
        </w:rPr>
        <w:t xml:space="preserve"> </w:t>
      </w:r>
      <w:r w:rsidR="00812E50" w:rsidRPr="00FD211F">
        <w:rPr>
          <w:sz w:val="36"/>
          <w:szCs w:val="36"/>
          <w:rtl/>
        </w:rPr>
        <w:t>البحث</w:t>
      </w:r>
      <w:r w:rsidR="00E8128F">
        <w:rPr>
          <w:sz w:val="36"/>
          <w:szCs w:val="36"/>
          <w:rtl/>
        </w:rPr>
        <w:t xml:space="preserve"> </w:t>
      </w:r>
      <w:r w:rsidR="00812E50" w:rsidRPr="00FD211F">
        <w:rPr>
          <w:sz w:val="36"/>
          <w:szCs w:val="36"/>
          <w:rtl/>
        </w:rPr>
        <w:t>في</w:t>
      </w:r>
      <w:r w:rsidR="00E8128F">
        <w:rPr>
          <w:sz w:val="36"/>
          <w:szCs w:val="36"/>
          <w:rtl/>
        </w:rPr>
        <w:t xml:space="preserve"> </w:t>
      </w:r>
      <w:r w:rsidR="00812E50" w:rsidRPr="00FD211F">
        <w:rPr>
          <w:sz w:val="36"/>
          <w:szCs w:val="36"/>
          <w:rtl/>
        </w:rPr>
        <w:t>مباحث</w:t>
      </w:r>
      <w:r w:rsidR="00E8128F">
        <w:rPr>
          <w:sz w:val="36"/>
          <w:szCs w:val="36"/>
          <w:rtl/>
        </w:rPr>
        <w:t xml:space="preserve"> </w:t>
      </w:r>
      <w:r w:rsidR="00812E50" w:rsidRPr="00FD211F">
        <w:rPr>
          <w:sz w:val="36"/>
          <w:szCs w:val="36"/>
          <w:rtl/>
        </w:rPr>
        <w:t>الاشتغال</w:t>
      </w:r>
      <w:r w:rsidR="00E8128F">
        <w:rPr>
          <w:sz w:val="36"/>
          <w:szCs w:val="36"/>
          <w:rtl/>
        </w:rPr>
        <w:t xml:space="preserve"> </w:t>
      </w:r>
      <w:r w:rsidR="00812E50" w:rsidRPr="00FD211F">
        <w:rPr>
          <w:sz w:val="36"/>
          <w:szCs w:val="36"/>
          <w:rtl/>
        </w:rPr>
        <w:t>عن</w:t>
      </w:r>
      <w:r w:rsidR="00E8128F">
        <w:rPr>
          <w:sz w:val="36"/>
          <w:szCs w:val="36"/>
          <w:rtl/>
        </w:rPr>
        <w:t xml:space="preserve"> </w:t>
      </w:r>
      <w:r w:rsidR="00812E50" w:rsidRPr="00FD211F">
        <w:rPr>
          <w:sz w:val="36"/>
          <w:szCs w:val="36"/>
          <w:rtl/>
        </w:rPr>
        <w:t>وجود</w:t>
      </w:r>
      <w:r w:rsidR="00E8128F">
        <w:rPr>
          <w:sz w:val="36"/>
          <w:szCs w:val="36"/>
          <w:rtl/>
        </w:rPr>
        <w:t xml:space="preserve"> </w:t>
      </w:r>
      <w:r w:rsidR="00812E50" w:rsidRPr="00FD211F">
        <w:rPr>
          <w:sz w:val="36"/>
          <w:szCs w:val="36"/>
          <w:rtl/>
        </w:rPr>
        <w:t>المانع</w:t>
      </w:r>
      <w:r w:rsidR="00E8128F">
        <w:rPr>
          <w:sz w:val="36"/>
          <w:szCs w:val="36"/>
          <w:rtl/>
        </w:rPr>
        <w:t xml:space="preserve"> </w:t>
      </w:r>
      <w:r w:rsidR="00812E50" w:rsidRPr="00FD211F">
        <w:rPr>
          <w:sz w:val="36"/>
          <w:szCs w:val="36"/>
          <w:rtl/>
        </w:rPr>
        <w:t>عنه</w:t>
      </w:r>
      <w:r w:rsidR="007A3657" w:rsidRPr="00FD211F">
        <w:rPr>
          <w:sz w:val="36"/>
          <w:szCs w:val="36"/>
          <w:rtl/>
        </w:rPr>
        <w:t>-</w:t>
      </w:r>
      <w:r w:rsidR="00E8128F">
        <w:rPr>
          <w:sz w:val="36"/>
          <w:szCs w:val="36"/>
          <w:rtl/>
        </w:rPr>
        <w:t xml:space="preserve"> </w:t>
      </w:r>
      <w:r w:rsidR="00201ACE" w:rsidRPr="00FD211F">
        <w:rPr>
          <w:sz w:val="36"/>
          <w:szCs w:val="36"/>
          <w:rtl/>
        </w:rPr>
        <w:t>و</w:t>
      </w:r>
      <w:r w:rsidR="00D2119A" w:rsidRPr="00FD211F">
        <w:rPr>
          <w:sz w:val="36"/>
          <w:szCs w:val="36"/>
          <w:rtl/>
        </w:rPr>
        <w:t>الاصل</w:t>
      </w:r>
      <w:r w:rsidR="00E8128F">
        <w:rPr>
          <w:sz w:val="36"/>
          <w:szCs w:val="36"/>
          <w:rtl/>
        </w:rPr>
        <w:t xml:space="preserve"> </w:t>
      </w:r>
      <w:r w:rsidR="00D2119A" w:rsidRPr="00FD211F">
        <w:rPr>
          <w:sz w:val="36"/>
          <w:szCs w:val="36"/>
          <w:rtl/>
        </w:rPr>
        <w:t>المؤمن</w:t>
      </w:r>
      <w:r w:rsidR="00E8128F">
        <w:rPr>
          <w:sz w:val="36"/>
          <w:szCs w:val="36"/>
          <w:rtl/>
        </w:rPr>
        <w:t xml:space="preserve"> </w:t>
      </w:r>
      <w:r w:rsidR="00D2119A" w:rsidRPr="00FD211F">
        <w:rPr>
          <w:sz w:val="36"/>
          <w:szCs w:val="36"/>
          <w:rtl/>
        </w:rPr>
        <w:t>عادة</w:t>
      </w:r>
      <w:r w:rsidR="00E8128F">
        <w:rPr>
          <w:sz w:val="36"/>
          <w:szCs w:val="36"/>
          <w:rtl/>
        </w:rPr>
        <w:t xml:space="preserve"> </w:t>
      </w:r>
      <w:r w:rsidR="00D2119A" w:rsidRPr="00FD211F">
        <w:rPr>
          <w:sz w:val="36"/>
          <w:szCs w:val="36"/>
          <w:rtl/>
        </w:rPr>
        <w:t>إما</w:t>
      </w:r>
      <w:r w:rsidR="00E8128F">
        <w:rPr>
          <w:sz w:val="36"/>
          <w:szCs w:val="36"/>
          <w:rtl/>
        </w:rPr>
        <w:t xml:space="preserve"> </w:t>
      </w:r>
      <w:r w:rsidR="00D2119A" w:rsidRPr="00FD211F">
        <w:rPr>
          <w:sz w:val="36"/>
          <w:szCs w:val="36"/>
          <w:rtl/>
        </w:rPr>
        <w:t>اصل</w:t>
      </w:r>
      <w:r w:rsidR="00E8128F">
        <w:rPr>
          <w:sz w:val="36"/>
          <w:szCs w:val="36"/>
          <w:rtl/>
        </w:rPr>
        <w:t xml:space="preserve"> </w:t>
      </w:r>
      <w:r w:rsidR="00D2119A" w:rsidRPr="00FD211F">
        <w:rPr>
          <w:sz w:val="36"/>
          <w:szCs w:val="36"/>
          <w:rtl/>
        </w:rPr>
        <w:t>البراءة</w:t>
      </w:r>
      <w:r w:rsidR="00E8128F">
        <w:rPr>
          <w:sz w:val="36"/>
          <w:szCs w:val="36"/>
          <w:rtl/>
        </w:rPr>
        <w:t xml:space="preserve"> </w:t>
      </w:r>
      <w:r w:rsidR="00D2119A" w:rsidRPr="00FD211F">
        <w:rPr>
          <w:sz w:val="36"/>
          <w:szCs w:val="36"/>
          <w:rtl/>
        </w:rPr>
        <w:t>او</w:t>
      </w:r>
      <w:r w:rsidR="00E8128F">
        <w:rPr>
          <w:sz w:val="36"/>
          <w:szCs w:val="36"/>
          <w:rtl/>
        </w:rPr>
        <w:t xml:space="preserve"> </w:t>
      </w:r>
      <w:r w:rsidR="00D2119A" w:rsidRPr="00FD211F">
        <w:rPr>
          <w:sz w:val="36"/>
          <w:szCs w:val="36"/>
          <w:rtl/>
        </w:rPr>
        <w:t>قاعدة</w:t>
      </w:r>
      <w:r w:rsidR="00E8128F">
        <w:rPr>
          <w:sz w:val="36"/>
          <w:szCs w:val="36"/>
          <w:rtl/>
        </w:rPr>
        <w:t xml:space="preserve"> </w:t>
      </w:r>
      <w:r w:rsidR="00D2119A" w:rsidRPr="00FD211F">
        <w:rPr>
          <w:sz w:val="36"/>
          <w:szCs w:val="36"/>
          <w:rtl/>
        </w:rPr>
        <w:t>الحل</w:t>
      </w:r>
      <w:r w:rsidR="00E8128F">
        <w:rPr>
          <w:sz w:val="36"/>
          <w:szCs w:val="36"/>
          <w:rtl/>
        </w:rPr>
        <w:t xml:space="preserve"> </w:t>
      </w:r>
      <w:r w:rsidR="00812E50" w:rsidRPr="00FD211F">
        <w:rPr>
          <w:sz w:val="36"/>
          <w:szCs w:val="36"/>
          <w:rtl/>
        </w:rPr>
        <w:t>وقد</w:t>
      </w:r>
      <w:r w:rsidR="00E8128F">
        <w:rPr>
          <w:sz w:val="36"/>
          <w:szCs w:val="36"/>
          <w:rtl/>
        </w:rPr>
        <w:t xml:space="preserve"> </w:t>
      </w:r>
      <w:r w:rsidR="00812E50" w:rsidRPr="00FD211F">
        <w:rPr>
          <w:sz w:val="36"/>
          <w:szCs w:val="36"/>
          <w:rtl/>
        </w:rPr>
        <w:t>مر</w:t>
      </w:r>
      <w:r w:rsidR="00E8128F">
        <w:rPr>
          <w:sz w:val="36"/>
          <w:szCs w:val="36"/>
          <w:rtl/>
        </w:rPr>
        <w:t xml:space="preserve"> </w:t>
      </w:r>
      <w:r w:rsidR="00812E50" w:rsidRPr="00FD211F">
        <w:rPr>
          <w:sz w:val="36"/>
          <w:szCs w:val="36"/>
          <w:rtl/>
        </w:rPr>
        <w:t>منه</w:t>
      </w:r>
      <w:r w:rsidR="00E8128F">
        <w:rPr>
          <w:sz w:val="36"/>
          <w:szCs w:val="36"/>
          <w:rtl/>
        </w:rPr>
        <w:t xml:space="preserve"> </w:t>
      </w:r>
      <w:r w:rsidR="00812E50" w:rsidRPr="00FD211F">
        <w:rPr>
          <w:sz w:val="36"/>
          <w:szCs w:val="36"/>
          <w:rtl/>
        </w:rPr>
        <w:t>ان</w:t>
      </w:r>
      <w:r w:rsidR="00E8128F">
        <w:rPr>
          <w:sz w:val="36"/>
          <w:szCs w:val="36"/>
          <w:rtl/>
        </w:rPr>
        <w:t xml:space="preserve"> </w:t>
      </w:r>
      <w:r w:rsidR="00812E50" w:rsidRPr="00FD211F">
        <w:rPr>
          <w:sz w:val="36"/>
          <w:szCs w:val="36"/>
          <w:rtl/>
        </w:rPr>
        <w:t>البحث</w:t>
      </w:r>
      <w:r w:rsidR="00E8128F">
        <w:rPr>
          <w:sz w:val="36"/>
          <w:szCs w:val="36"/>
          <w:rtl/>
        </w:rPr>
        <w:t xml:space="preserve"> </w:t>
      </w:r>
      <w:r w:rsidR="00812E50" w:rsidRPr="00FD211F">
        <w:rPr>
          <w:sz w:val="36"/>
          <w:szCs w:val="36"/>
          <w:rtl/>
        </w:rPr>
        <w:t>عن</w:t>
      </w:r>
      <w:r w:rsidR="00E8128F">
        <w:rPr>
          <w:sz w:val="36"/>
          <w:szCs w:val="36"/>
          <w:rtl/>
        </w:rPr>
        <w:t xml:space="preserve"> </w:t>
      </w:r>
      <w:r w:rsidR="00812E50" w:rsidRPr="00FD211F">
        <w:rPr>
          <w:sz w:val="36"/>
          <w:szCs w:val="36"/>
          <w:rtl/>
        </w:rPr>
        <w:t>أصل</w:t>
      </w:r>
      <w:r w:rsidR="00E8128F">
        <w:rPr>
          <w:sz w:val="36"/>
          <w:szCs w:val="36"/>
          <w:rtl/>
        </w:rPr>
        <w:t xml:space="preserve"> </w:t>
      </w:r>
      <w:r w:rsidR="00812E50" w:rsidRPr="00FD211F">
        <w:rPr>
          <w:sz w:val="36"/>
          <w:szCs w:val="36"/>
          <w:rtl/>
        </w:rPr>
        <w:t>الب</w:t>
      </w:r>
      <w:r w:rsidR="008D7B3D" w:rsidRPr="00FD211F">
        <w:rPr>
          <w:sz w:val="36"/>
          <w:szCs w:val="36"/>
          <w:rtl/>
        </w:rPr>
        <w:t>راءة</w:t>
      </w:r>
      <w:r w:rsidR="00E8128F">
        <w:rPr>
          <w:sz w:val="36"/>
          <w:szCs w:val="36"/>
          <w:rtl/>
        </w:rPr>
        <w:t xml:space="preserve"> </w:t>
      </w:r>
      <w:r w:rsidR="007A3657" w:rsidRPr="00FD211F">
        <w:rPr>
          <w:sz w:val="36"/>
          <w:szCs w:val="36"/>
          <w:rtl/>
        </w:rPr>
        <w:t>و</w:t>
      </w:r>
      <w:r w:rsidR="004F4B72" w:rsidRPr="00FD211F">
        <w:rPr>
          <w:sz w:val="36"/>
          <w:szCs w:val="36"/>
          <w:rtl/>
        </w:rPr>
        <w:t>الحل</w:t>
      </w:r>
      <w:r w:rsidR="00E8128F">
        <w:rPr>
          <w:sz w:val="36"/>
          <w:szCs w:val="36"/>
          <w:rtl/>
        </w:rPr>
        <w:t xml:space="preserve"> </w:t>
      </w:r>
      <w:r w:rsidR="003A36CC" w:rsidRPr="00FD211F">
        <w:rPr>
          <w:sz w:val="36"/>
          <w:szCs w:val="36"/>
          <w:rtl/>
        </w:rPr>
        <w:t>ليس</w:t>
      </w:r>
      <w:r w:rsidR="00E8128F">
        <w:rPr>
          <w:sz w:val="36"/>
          <w:szCs w:val="36"/>
          <w:rtl/>
        </w:rPr>
        <w:t xml:space="preserve"> </w:t>
      </w:r>
      <w:r w:rsidR="003A36CC" w:rsidRPr="00FD211F">
        <w:rPr>
          <w:sz w:val="36"/>
          <w:szCs w:val="36"/>
          <w:rtl/>
        </w:rPr>
        <w:t>بحثا</w:t>
      </w:r>
      <w:r w:rsidR="00E8128F">
        <w:rPr>
          <w:sz w:val="36"/>
          <w:szCs w:val="36"/>
          <w:rtl/>
        </w:rPr>
        <w:t xml:space="preserve"> </w:t>
      </w:r>
      <w:r w:rsidR="003A36CC" w:rsidRPr="00FD211F">
        <w:rPr>
          <w:sz w:val="36"/>
          <w:szCs w:val="36"/>
          <w:rtl/>
        </w:rPr>
        <w:t>اصوليا</w:t>
      </w:r>
      <w:r w:rsidR="00E8128F">
        <w:rPr>
          <w:sz w:val="36"/>
          <w:szCs w:val="36"/>
          <w:rtl/>
        </w:rPr>
        <w:t xml:space="preserve"> </w:t>
      </w:r>
      <w:r w:rsidR="003A36CC" w:rsidRPr="00FD211F">
        <w:rPr>
          <w:sz w:val="36"/>
          <w:szCs w:val="36"/>
          <w:rtl/>
        </w:rPr>
        <w:t>وانما</w:t>
      </w:r>
      <w:r w:rsidR="00E8128F">
        <w:rPr>
          <w:sz w:val="36"/>
          <w:szCs w:val="36"/>
          <w:rtl/>
        </w:rPr>
        <w:t xml:space="preserve"> </w:t>
      </w:r>
      <w:r w:rsidR="003A36CC" w:rsidRPr="00FD211F">
        <w:rPr>
          <w:sz w:val="36"/>
          <w:szCs w:val="36"/>
          <w:rtl/>
        </w:rPr>
        <w:t>هو</w:t>
      </w:r>
      <w:r w:rsidR="00E8128F">
        <w:rPr>
          <w:sz w:val="36"/>
          <w:szCs w:val="36"/>
          <w:rtl/>
        </w:rPr>
        <w:t xml:space="preserve"> </w:t>
      </w:r>
      <w:r w:rsidR="00812E50" w:rsidRPr="00FD211F">
        <w:rPr>
          <w:sz w:val="36"/>
          <w:szCs w:val="36"/>
          <w:rtl/>
        </w:rPr>
        <w:t>بحث</w:t>
      </w:r>
      <w:r w:rsidR="00E8128F">
        <w:rPr>
          <w:sz w:val="36"/>
          <w:szCs w:val="36"/>
          <w:rtl/>
        </w:rPr>
        <w:t xml:space="preserve"> </w:t>
      </w:r>
      <w:r w:rsidR="00812E50" w:rsidRPr="00FD211F">
        <w:rPr>
          <w:sz w:val="36"/>
          <w:szCs w:val="36"/>
          <w:rtl/>
        </w:rPr>
        <w:t>فقهي</w:t>
      </w:r>
      <w:r w:rsidR="00E8128F">
        <w:rPr>
          <w:sz w:val="36"/>
          <w:szCs w:val="36"/>
          <w:rtl/>
        </w:rPr>
        <w:t xml:space="preserve"> </w:t>
      </w:r>
      <w:r w:rsidR="00201ACE" w:rsidRPr="00FD211F">
        <w:rPr>
          <w:sz w:val="36"/>
          <w:szCs w:val="36"/>
          <w:rtl/>
        </w:rPr>
        <w:t>لأن</w:t>
      </w:r>
      <w:r w:rsidR="00E8128F">
        <w:rPr>
          <w:sz w:val="36"/>
          <w:szCs w:val="36"/>
          <w:rtl/>
        </w:rPr>
        <w:t xml:space="preserve"> </w:t>
      </w:r>
      <w:r w:rsidR="00201ACE" w:rsidRPr="00FD211F">
        <w:rPr>
          <w:sz w:val="36"/>
          <w:szCs w:val="36"/>
          <w:rtl/>
        </w:rPr>
        <w:t>المجعول</w:t>
      </w:r>
      <w:r w:rsidR="00E8128F">
        <w:rPr>
          <w:sz w:val="36"/>
          <w:szCs w:val="36"/>
          <w:rtl/>
        </w:rPr>
        <w:t xml:space="preserve"> </w:t>
      </w:r>
      <w:r w:rsidR="00201ACE" w:rsidRPr="00FD211F">
        <w:rPr>
          <w:sz w:val="36"/>
          <w:szCs w:val="36"/>
          <w:rtl/>
        </w:rPr>
        <w:t>فيه</w:t>
      </w:r>
      <w:r w:rsidR="00E8128F">
        <w:rPr>
          <w:sz w:val="36"/>
          <w:szCs w:val="36"/>
          <w:rtl/>
        </w:rPr>
        <w:t xml:space="preserve"> </w:t>
      </w:r>
      <w:r w:rsidR="00201ACE" w:rsidRPr="00FD211F">
        <w:rPr>
          <w:sz w:val="36"/>
          <w:szCs w:val="36"/>
          <w:rtl/>
        </w:rPr>
        <w:t>نفس</w:t>
      </w:r>
      <w:r w:rsidR="00E8128F">
        <w:rPr>
          <w:sz w:val="36"/>
          <w:szCs w:val="36"/>
          <w:rtl/>
        </w:rPr>
        <w:t xml:space="preserve"> </w:t>
      </w:r>
      <w:r w:rsidR="00201ACE" w:rsidRPr="00FD211F">
        <w:rPr>
          <w:sz w:val="36"/>
          <w:szCs w:val="36"/>
          <w:rtl/>
        </w:rPr>
        <w:t>الحكم</w:t>
      </w:r>
      <w:r w:rsidR="00E8128F">
        <w:rPr>
          <w:sz w:val="36"/>
          <w:szCs w:val="36"/>
          <w:rtl/>
        </w:rPr>
        <w:t xml:space="preserve"> </w:t>
      </w:r>
      <w:r w:rsidR="00201ACE" w:rsidRPr="00FD211F">
        <w:rPr>
          <w:sz w:val="36"/>
          <w:szCs w:val="36"/>
          <w:rtl/>
        </w:rPr>
        <w:t>الشرعي</w:t>
      </w:r>
      <w:r w:rsidR="00E8128F">
        <w:rPr>
          <w:sz w:val="36"/>
          <w:szCs w:val="36"/>
          <w:rtl/>
        </w:rPr>
        <w:t xml:space="preserve"> </w:t>
      </w:r>
      <w:r w:rsidR="00201ACE" w:rsidRPr="00FD211F">
        <w:rPr>
          <w:sz w:val="36"/>
          <w:szCs w:val="36"/>
          <w:rtl/>
        </w:rPr>
        <w:t>المتعلق</w:t>
      </w:r>
      <w:r w:rsidR="00E8128F">
        <w:rPr>
          <w:sz w:val="36"/>
          <w:szCs w:val="36"/>
          <w:rtl/>
        </w:rPr>
        <w:t xml:space="preserve"> </w:t>
      </w:r>
      <w:r w:rsidR="00201ACE" w:rsidRPr="00FD211F">
        <w:rPr>
          <w:sz w:val="36"/>
          <w:szCs w:val="36"/>
          <w:rtl/>
        </w:rPr>
        <w:t>بعمل</w:t>
      </w:r>
      <w:r w:rsidR="00E8128F">
        <w:rPr>
          <w:sz w:val="36"/>
          <w:szCs w:val="36"/>
          <w:rtl/>
        </w:rPr>
        <w:t xml:space="preserve"> </w:t>
      </w:r>
      <w:r w:rsidR="00201ACE" w:rsidRPr="00FD211F">
        <w:rPr>
          <w:sz w:val="36"/>
          <w:szCs w:val="36"/>
          <w:rtl/>
        </w:rPr>
        <w:t>المكلف</w:t>
      </w:r>
      <w:r w:rsidR="00C774D9" w:rsidRPr="00FD211F">
        <w:rPr>
          <w:sz w:val="36"/>
          <w:szCs w:val="36"/>
          <w:rtl/>
        </w:rPr>
        <w:t>.</w:t>
      </w:r>
    </w:p>
    <w:p w14:paraId="32ED0141" w14:textId="77777777" w:rsidR="00201ACE" w:rsidRPr="00FD211F" w:rsidRDefault="00812E50" w:rsidP="009C58C8">
      <w:pPr>
        <w:ind w:left="0" w:firstLine="227"/>
        <w:jc w:val="both"/>
        <w:rPr>
          <w:sz w:val="36"/>
          <w:szCs w:val="36"/>
          <w:rtl/>
        </w:rPr>
      </w:pPr>
      <w:r w:rsidRPr="00FD211F">
        <w:rPr>
          <w:sz w:val="36"/>
          <w:szCs w:val="36"/>
          <w:rtl/>
        </w:rPr>
        <w:t>و</w:t>
      </w:r>
      <w:r w:rsidR="00201ACE" w:rsidRPr="00FD211F">
        <w:rPr>
          <w:sz w:val="36"/>
          <w:szCs w:val="36"/>
          <w:rtl/>
        </w:rPr>
        <w:t>لكن</w:t>
      </w:r>
      <w:r w:rsidR="00E8128F">
        <w:rPr>
          <w:sz w:val="36"/>
          <w:szCs w:val="36"/>
          <w:rtl/>
        </w:rPr>
        <w:t xml:space="preserve"> </w:t>
      </w:r>
      <w:r w:rsidR="00201ACE" w:rsidRPr="00FD211F">
        <w:rPr>
          <w:sz w:val="36"/>
          <w:szCs w:val="36"/>
          <w:rtl/>
        </w:rPr>
        <w:t>في</w:t>
      </w:r>
      <w:r w:rsidR="00E8128F">
        <w:rPr>
          <w:sz w:val="36"/>
          <w:szCs w:val="36"/>
          <w:rtl/>
        </w:rPr>
        <w:t xml:space="preserve"> </w:t>
      </w:r>
      <w:r w:rsidR="00201ACE" w:rsidRPr="00FD211F">
        <w:rPr>
          <w:sz w:val="36"/>
          <w:szCs w:val="36"/>
          <w:rtl/>
        </w:rPr>
        <w:t>كلا</w:t>
      </w:r>
      <w:r w:rsidR="00E8128F">
        <w:rPr>
          <w:sz w:val="36"/>
          <w:szCs w:val="36"/>
          <w:rtl/>
        </w:rPr>
        <w:t xml:space="preserve"> </w:t>
      </w:r>
      <w:r w:rsidR="00201ACE" w:rsidRPr="00FD211F">
        <w:rPr>
          <w:sz w:val="36"/>
          <w:szCs w:val="36"/>
          <w:rtl/>
        </w:rPr>
        <w:t>الوجهين</w:t>
      </w:r>
      <w:r w:rsidR="00E8128F">
        <w:rPr>
          <w:sz w:val="36"/>
          <w:szCs w:val="36"/>
          <w:rtl/>
        </w:rPr>
        <w:t xml:space="preserve"> </w:t>
      </w:r>
      <w:r w:rsidR="00201ACE" w:rsidRPr="00FD211F">
        <w:rPr>
          <w:sz w:val="36"/>
          <w:szCs w:val="36"/>
          <w:rtl/>
        </w:rPr>
        <w:t>إشكال</w:t>
      </w:r>
      <w:r w:rsidR="00C774D9" w:rsidRPr="00FD211F">
        <w:rPr>
          <w:sz w:val="36"/>
          <w:szCs w:val="36"/>
          <w:rtl/>
        </w:rPr>
        <w:t>.</w:t>
      </w:r>
    </w:p>
    <w:p w14:paraId="4955D9B4" w14:textId="77777777" w:rsidR="00424061" w:rsidRPr="00FD211F" w:rsidRDefault="00201ACE" w:rsidP="009C58C8">
      <w:pPr>
        <w:ind w:left="0" w:firstLine="227"/>
        <w:jc w:val="both"/>
        <w:rPr>
          <w:sz w:val="36"/>
          <w:szCs w:val="36"/>
          <w:rtl/>
        </w:rPr>
      </w:pPr>
      <w:r w:rsidRPr="00FD211F">
        <w:rPr>
          <w:sz w:val="36"/>
          <w:szCs w:val="36"/>
          <w:rtl/>
        </w:rPr>
        <w:t>أما</w:t>
      </w:r>
      <w:r w:rsidR="00E8128F">
        <w:rPr>
          <w:sz w:val="36"/>
          <w:szCs w:val="36"/>
          <w:rtl/>
        </w:rPr>
        <w:t xml:space="preserve"> </w:t>
      </w:r>
      <w:r w:rsidRPr="00FD211F">
        <w:rPr>
          <w:sz w:val="36"/>
          <w:szCs w:val="36"/>
          <w:rtl/>
        </w:rPr>
        <w:t>الوجه</w:t>
      </w:r>
      <w:r w:rsidR="00E8128F">
        <w:rPr>
          <w:sz w:val="36"/>
          <w:szCs w:val="36"/>
          <w:rtl/>
        </w:rPr>
        <w:t xml:space="preserve"> </w:t>
      </w:r>
      <w:r w:rsidRPr="00FD211F">
        <w:rPr>
          <w:sz w:val="36"/>
          <w:szCs w:val="36"/>
          <w:rtl/>
        </w:rPr>
        <w:t>الاول</w:t>
      </w:r>
      <w:r w:rsidR="00E8128F">
        <w:rPr>
          <w:sz w:val="36"/>
          <w:szCs w:val="36"/>
          <w:rtl/>
        </w:rPr>
        <w:t xml:space="preserve"> </w:t>
      </w:r>
      <w:r w:rsidR="00812E50" w:rsidRPr="00FD211F">
        <w:rPr>
          <w:sz w:val="36"/>
          <w:szCs w:val="36"/>
          <w:rtl/>
        </w:rPr>
        <w:t>ف</w:t>
      </w:r>
      <w:r w:rsidRPr="00FD211F">
        <w:rPr>
          <w:sz w:val="36"/>
          <w:szCs w:val="36"/>
          <w:rtl/>
        </w:rPr>
        <w:t>لأن</w:t>
      </w:r>
      <w:r w:rsidR="00E8128F">
        <w:rPr>
          <w:sz w:val="36"/>
          <w:szCs w:val="36"/>
          <w:rtl/>
        </w:rPr>
        <w:t xml:space="preserve"> </w:t>
      </w:r>
      <w:r w:rsidR="00424061" w:rsidRPr="00FD211F">
        <w:rPr>
          <w:sz w:val="36"/>
          <w:szCs w:val="36"/>
          <w:rtl/>
        </w:rPr>
        <w:t>البحث</w:t>
      </w:r>
      <w:r w:rsidR="00E8128F">
        <w:rPr>
          <w:sz w:val="36"/>
          <w:szCs w:val="36"/>
          <w:rtl/>
        </w:rPr>
        <w:t xml:space="preserve"> </w:t>
      </w:r>
      <w:r w:rsidR="00424061" w:rsidRPr="00FD211F">
        <w:rPr>
          <w:sz w:val="36"/>
          <w:szCs w:val="36"/>
          <w:rtl/>
        </w:rPr>
        <w:t>عن</w:t>
      </w:r>
      <w:r w:rsidR="00E8128F">
        <w:rPr>
          <w:sz w:val="36"/>
          <w:szCs w:val="36"/>
          <w:rtl/>
        </w:rPr>
        <w:t xml:space="preserve"> </w:t>
      </w:r>
      <w:r w:rsidR="00424061" w:rsidRPr="00FD211F">
        <w:rPr>
          <w:sz w:val="36"/>
          <w:szCs w:val="36"/>
          <w:rtl/>
        </w:rPr>
        <w:t>منجزي</w:t>
      </w:r>
      <w:r w:rsidR="00EC7EDF" w:rsidRPr="00FD211F">
        <w:rPr>
          <w:sz w:val="36"/>
          <w:szCs w:val="36"/>
          <w:rtl/>
        </w:rPr>
        <w:t>ة</w:t>
      </w:r>
      <w:r w:rsidR="00E8128F">
        <w:rPr>
          <w:sz w:val="36"/>
          <w:szCs w:val="36"/>
          <w:rtl/>
        </w:rPr>
        <w:t xml:space="preserve"> </w:t>
      </w:r>
      <w:r w:rsidR="00424061" w:rsidRPr="00FD211F">
        <w:rPr>
          <w:sz w:val="36"/>
          <w:szCs w:val="36"/>
          <w:rtl/>
        </w:rPr>
        <w:t>القطع</w:t>
      </w:r>
      <w:r w:rsidR="00E8128F">
        <w:rPr>
          <w:sz w:val="36"/>
          <w:szCs w:val="36"/>
          <w:rtl/>
        </w:rPr>
        <w:t xml:space="preserve"> </w:t>
      </w:r>
      <w:r w:rsidR="00424061" w:rsidRPr="00FD211F">
        <w:rPr>
          <w:sz w:val="36"/>
          <w:szCs w:val="36"/>
          <w:rtl/>
        </w:rPr>
        <w:t>باقسامه</w:t>
      </w:r>
      <w:r w:rsidR="00E8128F">
        <w:rPr>
          <w:sz w:val="36"/>
          <w:szCs w:val="36"/>
          <w:rtl/>
        </w:rPr>
        <w:t xml:space="preserve"> </w:t>
      </w:r>
      <w:r w:rsidR="00424061" w:rsidRPr="00FD211F">
        <w:rPr>
          <w:sz w:val="36"/>
          <w:szCs w:val="36"/>
          <w:rtl/>
        </w:rPr>
        <w:t>داخل</w:t>
      </w:r>
      <w:r w:rsidR="00E8128F">
        <w:rPr>
          <w:sz w:val="36"/>
          <w:szCs w:val="36"/>
          <w:rtl/>
        </w:rPr>
        <w:t xml:space="preserve"> </w:t>
      </w:r>
      <w:r w:rsidR="00424061" w:rsidRPr="00FD211F">
        <w:rPr>
          <w:sz w:val="36"/>
          <w:szCs w:val="36"/>
          <w:rtl/>
        </w:rPr>
        <w:t>في</w:t>
      </w:r>
      <w:r w:rsidR="00E8128F">
        <w:rPr>
          <w:sz w:val="36"/>
          <w:szCs w:val="36"/>
          <w:rtl/>
        </w:rPr>
        <w:t xml:space="preserve"> </w:t>
      </w:r>
      <w:r w:rsidR="00424061" w:rsidRPr="00FD211F">
        <w:rPr>
          <w:sz w:val="36"/>
          <w:szCs w:val="36"/>
          <w:rtl/>
        </w:rPr>
        <w:t>علم</w:t>
      </w:r>
      <w:r w:rsidR="00E8128F">
        <w:rPr>
          <w:sz w:val="36"/>
          <w:szCs w:val="36"/>
          <w:rtl/>
        </w:rPr>
        <w:t xml:space="preserve"> </w:t>
      </w:r>
      <w:r w:rsidR="00424061" w:rsidRPr="00FD211F">
        <w:rPr>
          <w:sz w:val="36"/>
          <w:szCs w:val="36"/>
          <w:rtl/>
        </w:rPr>
        <w:t>الاصول</w:t>
      </w:r>
      <w:r w:rsidR="00603323" w:rsidRPr="00FD211F">
        <w:rPr>
          <w:sz w:val="36"/>
          <w:szCs w:val="36"/>
          <w:rtl/>
        </w:rPr>
        <w:t>،</w:t>
      </w:r>
      <w:r w:rsidR="00E8128F">
        <w:rPr>
          <w:sz w:val="36"/>
          <w:szCs w:val="36"/>
          <w:rtl/>
        </w:rPr>
        <w:t xml:space="preserve"> </w:t>
      </w:r>
      <w:r w:rsidR="00424061" w:rsidRPr="00FD211F">
        <w:rPr>
          <w:sz w:val="36"/>
          <w:szCs w:val="36"/>
          <w:rtl/>
        </w:rPr>
        <w:t>لان</w:t>
      </w:r>
      <w:r w:rsidR="00E8128F">
        <w:rPr>
          <w:sz w:val="36"/>
          <w:szCs w:val="36"/>
          <w:rtl/>
        </w:rPr>
        <w:t xml:space="preserve"> </w:t>
      </w:r>
      <w:r w:rsidR="00424061" w:rsidRPr="00FD211F">
        <w:rPr>
          <w:sz w:val="36"/>
          <w:szCs w:val="36"/>
          <w:rtl/>
        </w:rPr>
        <w:t>غرض</w:t>
      </w:r>
      <w:r w:rsidR="00E8128F">
        <w:rPr>
          <w:sz w:val="36"/>
          <w:szCs w:val="36"/>
          <w:rtl/>
        </w:rPr>
        <w:t xml:space="preserve"> </w:t>
      </w:r>
      <w:r w:rsidR="00424061" w:rsidRPr="00FD211F">
        <w:rPr>
          <w:sz w:val="36"/>
          <w:szCs w:val="36"/>
          <w:rtl/>
        </w:rPr>
        <w:t>الفقيه</w:t>
      </w:r>
      <w:r w:rsidR="00E8128F">
        <w:rPr>
          <w:sz w:val="36"/>
          <w:szCs w:val="36"/>
          <w:rtl/>
        </w:rPr>
        <w:t xml:space="preserve"> </w:t>
      </w:r>
      <w:r w:rsidR="00812E50" w:rsidRPr="00FD211F">
        <w:rPr>
          <w:sz w:val="36"/>
          <w:szCs w:val="36"/>
          <w:rtl/>
        </w:rPr>
        <w:t>ليس</w:t>
      </w:r>
      <w:r w:rsidR="00E8128F">
        <w:rPr>
          <w:sz w:val="36"/>
          <w:szCs w:val="36"/>
          <w:rtl/>
        </w:rPr>
        <w:t xml:space="preserve"> </w:t>
      </w:r>
      <w:r w:rsidR="00812E50" w:rsidRPr="00FD211F">
        <w:rPr>
          <w:sz w:val="36"/>
          <w:szCs w:val="36"/>
          <w:rtl/>
        </w:rPr>
        <w:t>هو</w:t>
      </w:r>
      <w:r w:rsidR="00E8128F">
        <w:rPr>
          <w:sz w:val="36"/>
          <w:szCs w:val="36"/>
          <w:rtl/>
        </w:rPr>
        <w:t xml:space="preserve"> </w:t>
      </w:r>
      <w:r w:rsidR="00812E50" w:rsidRPr="00FD211F">
        <w:rPr>
          <w:sz w:val="36"/>
          <w:szCs w:val="36"/>
          <w:rtl/>
        </w:rPr>
        <w:t>استكشاف</w:t>
      </w:r>
      <w:r w:rsidR="00E8128F">
        <w:rPr>
          <w:sz w:val="36"/>
          <w:szCs w:val="36"/>
          <w:rtl/>
        </w:rPr>
        <w:t xml:space="preserve"> </w:t>
      </w:r>
      <w:r w:rsidR="00812E50" w:rsidRPr="00FD211F">
        <w:rPr>
          <w:sz w:val="36"/>
          <w:szCs w:val="36"/>
          <w:rtl/>
        </w:rPr>
        <w:t>الحكم</w:t>
      </w:r>
      <w:r w:rsidR="00E8128F">
        <w:rPr>
          <w:sz w:val="36"/>
          <w:szCs w:val="36"/>
          <w:rtl/>
        </w:rPr>
        <w:t xml:space="preserve"> </w:t>
      </w:r>
      <w:r w:rsidR="00812E50" w:rsidRPr="00FD211F">
        <w:rPr>
          <w:sz w:val="36"/>
          <w:szCs w:val="36"/>
          <w:rtl/>
        </w:rPr>
        <w:t>الشرعي</w:t>
      </w:r>
      <w:r w:rsidR="00E8128F">
        <w:rPr>
          <w:sz w:val="36"/>
          <w:szCs w:val="36"/>
          <w:rtl/>
        </w:rPr>
        <w:t xml:space="preserve"> </w:t>
      </w:r>
      <w:r w:rsidR="00812E50" w:rsidRPr="00FD211F">
        <w:rPr>
          <w:sz w:val="36"/>
          <w:szCs w:val="36"/>
          <w:rtl/>
        </w:rPr>
        <w:t>فحسب</w:t>
      </w:r>
      <w:r w:rsidR="00603323" w:rsidRPr="00FD211F">
        <w:rPr>
          <w:sz w:val="36"/>
          <w:szCs w:val="36"/>
          <w:rtl/>
        </w:rPr>
        <w:t>،</w:t>
      </w:r>
      <w:r w:rsidR="00E8128F">
        <w:rPr>
          <w:sz w:val="36"/>
          <w:szCs w:val="36"/>
          <w:rtl/>
        </w:rPr>
        <w:t xml:space="preserve"> </w:t>
      </w:r>
      <w:r w:rsidR="00812E50" w:rsidRPr="00FD211F">
        <w:rPr>
          <w:sz w:val="36"/>
          <w:szCs w:val="36"/>
          <w:rtl/>
        </w:rPr>
        <w:t>بل</w:t>
      </w:r>
      <w:r w:rsidR="00E8128F">
        <w:rPr>
          <w:sz w:val="36"/>
          <w:szCs w:val="36"/>
          <w:rtl/>
        </w:rPr>
        <w:t xml:space="preserve"> </w:t>
      </w:r>
      <w:r w:rsidR="00424061" w:rsidRPr="00FD211F">
        <w:rPr>
          <w:sz w:val="36"/>
          <w:szCs w:val="36"/>
          <w:rtl/>
        </w:rPr>
        <w:t>غرضه</w:t>
      </w:r>
      <w:r w:rsidR="00E8128F">
        <w:rPr>
          <w:sz w:val="36"/>
          <w:szCs w:val="36"/>
          <w:rtl/>
        </w:rPr>
        <w:t xml:space="preserve"> </w:t>
      </w:r>
      <w:r w:rsidR="00812E50" w:rsidRPr="00FD211F">
        <w:rPr>
          <w:sz w:val="36"/>
          <w:szCs w:val="36"/>
          <w:rtl/>
        </w:rPr>
        <w:t>اقام</w:t>
      </w:r>
      <w:r w:rsidR="00EC7EDF" w:rsidRPr="00FD211F">
        <w:rPr>
          <w:sz w:val="36"/>
          <w:szCs w:val="36"/>
          <w:rtl/>
        </w:rPr>
        <w:t>ة</w:t>
      </w:r>
      <w:r w:rsidR="00E8128F">
        <w:rPr>
          <w:sz w:val="36"/>
          <w:szCs w:val="36"/>
          <w:rtl/>
        </w:rPr>
        <w:t xml:space="preserve"> </w:t>
      </w:r>
      <w:r w:rsidR="00812E50" w:rsidRPr="00FD211F">
        <w:rPr>
          <w:sz w:val="36"/>
          <w:szCs w:val="36"/>
          <w:rtl/>
        </w:rPr>
        <w:t>الحج</w:t>
      </w:r>
      <w:r w:rsidR="00EC7EDF" w:rsidRPr="00FD211F">
        <w:rPr>
          <w:sz w:val="36"/>
          <w:szCs w:val="36"/>
          <w:rtl/>
        </w:rPr>
        <w:t>ة</w:t>
      </w:r>
      <w:r w:rsidR="00E8128F">
        <w:rPr>
          <w:sz w:val="36"/>
          <w:szCs w:val="36"/>
          <w:rtl/>
        </w:rPr>
        <w:t xml:space="preserve"> </w:t>
      </w:r>
      <w:r w:rsidR="00812E50" w:rsidRPr="00FD211F">
        <w:rPr>
          <w:sz w:val="36"/>
          <w:szCs w:val="36"/>
          <w:rtl/>
        </w:rPr>
        <w:t>والمنجز</w:t>
      </w:r>
      <w:r w:rsidR="00E8128F">
        <w:rPr>
          <w:sz w:val="36"/>
          <w:szCs w:val="36"/>
          <w:rtl/>
        </w:rPr>
        <w:t xml:space="preserve"> </w:t>
      </w:r>
      <w:r w:rsidR="00812E50" w:rsidRPr="00FD211F">
        <w:rPr>
          <w:sz w:val="36"/>
          <w:szCs w:val="36"/>
          <w:rtl/>
        </w:rPr>
        <w:t>بالنسب</w:t>
      </w:r>
      <w:r w:rsidR="00EC7EDF" w:rsidRPr="00FD211F">
        <w:rPr>
          <w:sz w:val="36"/>
          <w:szCs w:val="36"/>
          <w:rtl/>
        </w:rPr>
        <w:t>ة</w:t>
      </w:r>
      <w:r w:rsidR="00E8128F">
        <w:rPr>
          <w:sz w:val="36"/>
          <w:szCs w:val="36"/>
          <w:rtl/>
        </w:rPr>
        <w:t xml:space="preserve"> </w:t>
      </w:r>
      <w:r w:rsidR="00812E50" w:rsidRPr="00FD211F">
        <w:rPr>
          <w:sz w:val="36"/>
          <w:szCs w:val="36"/>
          <w:rtl/>
        </w:rPr>
        <w:t>اليه</w:t>
      </w:r>
      <w:r w:rsidR="00E8128F">
        <w:rPr>
          <w:sz w:val="36"/>
          <w:szCs w:val="36"/>
          <w:rtl/>
        </w:rPr>
        <w:t xml:space="preserve"> </w:t>
      </w:r>
      <w:r w:rsidR="00424061" w:rsidRPr="00FD211F">
        <w:rPr>
          <w:sz w:val="36"/>
          <w:szCs w:val="36"/>
          <w:rtl/>
        </w:rPr>
        <w:t>او</w:t>
      </w:r>
      <w:r w:rsidR="00E8128F">
        <w:rPr>
          <w:sz w:val="36"/>
          <w:szCs w:val="36"/>
          <w:rtl/>
        </w:rPr>
        <w:t xml:space="preserve"> </w:t>
      </w:r>
      <w:r w:rsidR="00424061" w:rsidRPr="00FD211F">
        <w:rPr>
          <w:sz w:val="36"/>
          <w:szCs w:val="36"/>
          <w:rtl/>
        </w:rPr>
        <w:t>فقل</w:t>
      </w:r>
      <w:r w:rsidR="00E8128F">
        <w:rPr>
          <w:sz w:val="36"/>
          <w:szCs w:val="36"/>
          <w:rtl/>
        </w:rPr>
        <w:t xml:space="preserve"> </w:t>
      </w:r>
      <w:r w:rsidR="00424061" w:rsidRPr="00FD211F">
        <w:rPr>
          <w:sz w:val="36"/>
          <w:szCs w:val="36"/>
          <w:rtl/>
        </w:rPr>
        <w:t>ان</w:t>
      </w:r>
      <w:r w:rsidR="00E8128F">
        <w:rPr>
          <w:sz w:val="36"/>
          <w:szCs w:val="36"/>
          <w:rtl/>
        </w:rPr>
        <w:t xml:space="preserve"> </w:t>
      </w:r>
      <w:r w:rsidR="00424061" w:rsidRPr="00FD211F">
        <w:rPr>
          <w:sz w:val="36"/>
          <w:szCs w:val="36"/>
          <w:rtl/>
        </w:rPr>
        <w:t>غرضه</w:t>
      </w:r>
      <w:r w:rsidR="00E8128F">
        <w:rPr>
          <w:sz w:val="36"/>
          <w:szCs w:val="36"/>
          <w:rtl/>
        </w:rPr>
        <w:t xml:space="preserve"> </w:t>
      </w:r>
      <w:r w:rsidR="00424061" w:rsidRPr="00FD211F">
        <w:rPr>
          <w:sz w:val="36"/>
          <w:szCs w:val="36"/>
          <w:rtl/>
        </w:rPr>
        <w:t>استكشاف</w:t>
      </w:r>
      <w:r w:rsidR="00E8128F">
        <w:rPr>
          <w:sz w:val="36"/>
          <w:szCs w:val="36"/>
          <w:rtl/>
        </w:rPr>
        <w:t xml:space="preserve"> </w:t>
      </w:r>
      <w:r w:rsidR="00424061" w:rsidRPr="00FD211F">
        <w:rPr>
          <w:sz w:val="36"/>
          <w:szCs w:val="36"/>
          <w:rtl/>
        </w:rPr>
        <w:t>الوظيف</w:t>
      </w:r>
      <w:r w:rsidR="00EC7EDF" w:rsidRPr="00FD211F">
        <w:rPr>
          <w:sz w:val="36"/>
          <w:szCs w:val="36"/>
          <w:rtl/>
        </w:rPr>
        <w:t>ة</w:t>
      </w:r>
      <w:r w:rsidR="00E8128F">
        <w:rPr>
          <w:sz w:val="36"/>
          <w:szCs w:val="36"/>
          <w:rtl/>
        </w:rPr>
        <w:t xml:space="preserve"> </w:t>
      </w:r>
      <w:r w:rsidR="00424061" w:rsidRPr="00FD211F">
        <w:rPr>
          <w:sz w:val="36"/>
          <w:szCs w:val="36"/>
          <w:rtl/>
        </w:rPr>
        <w:t>الفعلي</w:t>
      </w:r>
      <w:r w:rsidR="00EC7EDF" w:rsidRPr="00FD211F">
        <w:rPr>
          <w:sz w:val="36"/>
          <w:szCs w:val="36"/>
          <w:rtl/>
        </w:rPr>
        <w:t>ة</w:t>
      </w:r>
      <w:r w:rsidR="00E8128F">
        <w:rPr>
          <w:sz w:val="36"/>
          <w:szCs w:val="36"/>
          <w:rtl/>
        </w:rPr>
        <w:t xml:space="preserve"> </w:t>
      </w:r>
      <w:r w:rsidR="00424061" w:rsidRPr="00FD211F">
        <w:rPr>
          <w:sz w:val="36"/>
          <w:szCs w:val="36"/>
          <w:rtl/>
        </w:rPr>
        <w:t>تجاه</w:t>
      </w:r>
      <w:r w:rsidR="00E8128F">
        <w:rPr>
          <w:sz w:val="36"/>
          <w:szCs w:val="36"/>
          <w:rtl/>
        </w:rPr>
        <w:t xml:space="preserve"> </w:t>
      </w:r>
      <w:r w:rsidR="00424061" w:rsidRPr="00FD211F">
        <w:rPr>
          <w:sz w:val="36"/>
          <w:szCs w:val="36"/>
          <w:rtl/>
        </w:rPr>
        <w:t>الحكم</w:t>
      </w:r>
      <w:r w:rsidR="00E8128F">
        <w:rPr>
          <w:sz w:val="36"/>
          <w:szCs w:val="36"/>
          <w:rtl/>
        </w:rPr>
        <w:t xml:space="preserve"> </w:t>
      </w:r>
      <w:r w:rsidR="00424061" w:rsidRPr="00FD211F">
        <w:rPr>
          <w:sz w:val="36"/>
          <w:szCs w:val="36"/>
          <w:rtl/>
        </w:rPr>
        <w:t>الشرعي</w:t>
      </w:r>
      <w:r w:rsidR="00603323" w:rsidRPr="00FD211F">
        <w:rPr>
          <w:sz w:val="36"/>
          <w:szCs w:val="36"/>
          <w:rtl/>
        </w:rPr>
        <w:t>،</w:t>
      </w:r>
      <w:r w:rsidR="00E8128F">
        <w:rPr>
          <w:sz w:val="36"/>
          <w:szCs w:val="36"/>
          <w:rtl/>
        </w:rPr>
        <w:t xml:space="preserve"> </w:t>
      </w:r>
      <w:r w:rsidR="00812E50" w:rsidRPr="00FD211F">
        <w:rPr>
          <w:sz w:val="36"/>
          <w:szCs w:val="36"/>
          <w:rtl/>
        </w:rPr>
        <w:t>الاترى</w:t>
      </w:r>
      <w:r w:rsidR="00E8128F">
        <w:rPr>
          <w:sz w:val="36"/>
          <w:szCs w:val="36"/>
          <w:rtl/>
        </w:rPr>
        <w:t xml:space="preserve"> </w:t>
      </w:r>
      <w:r w:rsidR="00812E50" w:rsidRPr="00FD211F">
        <w:rPr>
          <w:sz w:val="36"/>
          <w:szCs w:val="36"/>
          <w:rtl/>
        </w:rPr>
        <w:t>انه</w:t>
      </w:r>
      <w:r w:rsidR="00E8128F">
        <w:rPr>
          <w:sz w:val="36"/>
          <w:szCs w:val="36"/>
          <w:rtl/>
        </w:rPr>
        <w:t xml:space="preserve"> </w:t>
      </w:r>
      <w:r w:rsidR="00812E50" w:rsidRPr="00FD211F">
        <w:rPr>
          <w:sz w:val="36"/>
          <w:szCs w:val="36"/>
          <w:rtl/>
        </w:rPr>
        <w:t>افتى</w:t>
      </w:r>
      <w:r w:rsidR="00E8128F">
        <w:rPr>
          <w:sz w:val="36"/>
          <w:szCs w:val="36"/>
          <w:rtl/>
        </w:rPr>
        <w:t xml:space="preserve"> </w:t>
      </w:r>
      <w:r w:rsidR="00812E50" w:rsidRPr="00FD211F">
        <w:rPr>
          <w:sz w:val="36"/>
          <w:szCs w:val="36"/>
          <w:rtl/>
        </w:rPr>
        <w:t>في</w:t>
      </w:r>
      <w:r w:rsidR="00E8128F">
        <w:rPr>
          <w:sz w:val="36"/>
          <w:szCs w:val="36"/>
          <w:rtl/>
        </w:rPr>
        <w:t xml:space="preserve"> </w:t>
      </w:r>
      <w:r w:rsidR="00812E50" w:rsidRPr="00FD211F">
        <w:rPr>
          <w:sz w:val="36"/>
          <w:szCs w:val="36"/>
          <w:rtl/>
        </w:rPr>
        <w:t>العرو</w:t>
      </w:r>
      <w:r w:rsidR="00EC7EDF" w:rsidRPr="00FD211F">
        <w:rPr>
          <w:sz w:val="36"/>
          <w:szCs w:val="36"/>
          <w:rtl/>
        </w:rPr>
        <w:t>ة</w:t>
      </w:r>
      <w:r w:rsidR="00E8128F">
        <w:rPr>
          <w:sz w:val="36"/>
          <w:szCs w:val="36"/>
          <w:rtl/>
        </w:rPr>
        <w:t xml:space="preserve"> </w:t>
      </w:r>
      <w:r w:rsidR="00812E50" w:rsidRPr="00FD211F">
        <w:rPr>
          <w:sz w:val="36"/>
          <w:szCs w:val="36"/>
          <w:rtl/>
        </w:rPr>
        <w:lastRenderedPageBreak/>
        <w:t>بانه</w:t>
      </w:r>
      <w:r w:rsidR="00E8128F">
        <w:rPr>
          <w:sz w:val="36"/>
          <w:szCs w:val="36"/>
          <w:rtl/>
        </w:rPr>
        <w:t xml:space="preserve"> </w:t>
      </w:r>
      <w:r w:rsidR="00812E50" w:rsidRPr="00FD211F">
        <w:rPr>
          <w:sz w:val="36"/>
          <w:szCs w:val="36"/>
          <w:rtl/>
        </w:rPr>
        <w:t>لااعتبار</w:t>
      </w:r>
      <w:r w:rsidR="00E8128F">
        <w:rPr>
          <w:sz w:val="36"/>
          <w:szCs w:val="36"/>
          <w:rtl/>
        </w:rPr>
        <w:t xml:space="preserve"> </w:t>
      </w:r>
      <w:r w:rsidR="00812E50" w:rsidRPr="00FD211F">
        <w:rPr>
          <w:sz w:val="36"/>
          <w:szCs w:val="36"/>
          <w:rtl/>
        </w:rPr>
        <w:t>بعلم</w:t>
      </w:r>
      <w:r w:rsidR="00E8128F">
        <w:rPr>
          <w:sz w:val="36"/>
          <w:szCs w:val="36"/>
          <w:rtl/>
        </w:rPr>
        <w:t xml:space="preserve"> </w:t>
      </w:r>
      <w:r w:rsidR="00812E50" w:rsidRPr="00FD211F">
        <w:rPr>
          <w:sz w:val="36"/>
          <w:szCs w:val="36"/>
          <w:rtl/>
        </w:rPr>
        <w:t>الوسواسي</w:t>
      </w:r>
      <w:r w:rsidR="00E8128F">
        <w:rPr>
          <w:sz w:val="36"/>
          <w:szCs w:val="36"/>
          <w:rtl/>
        </w:rPr>
        <w:t xml:space="preserve"> </w:t>
      </w:r>
      <w:r w:rsidR="00812E50" w:rsidRPr="00FD211F">
        <w:rPr>
          <w:sz w:val="36"/>
          <w:szCs w:val="36"/>
          <w:rtl/>
        </w:rPr>
        <w:t>في</w:t>
      </w:r>
      <w:r w:rsidR="00E8128F">
        <w:rPr>
          <w:sz w:val="36"/>
          <w:szCs w:val="36"/>
          <w:rtl/>
        </w:rPr>
        <w:t xml:space="preserve"> </w:t>
      </w:r>
      <w:r w:rsidR="00812E50" w:rsidRPr="00FD211F">
        <w:rPr>
          <w:sz w:val="36"/>
          <w:szCs w:val="36"/>
          <w:rtl/>
        </w:rPr>
        <w:t>الطهار</w:t>
      </w:r>
      <w:r w:rsidR="00EC7EDF" w:rsidRPr="00FD211F">
        <w:rPr>
          <w:sz w:val="36"/>
          <w:szCs w:val="36"/>
          <w:rtl/>
        </w:rPr>
        <w:t>ة</w:t>
      </w:r>
      <w:r w:rsidR="00E8128F">
        <w:rPr>
          <w:sz w:val="36"/>
          <w:szCs w:val="36"/>
          <w:rtl/>
        </w:rPr>
        <w:t xml:space="preserve"> </w:t>
      </w:r>
      <w:r w:rsidR="00812E50" w:rsidRPr="00FD211F">
        <w:rPr>
          <w:sz w:val="36"/>
          <w:szCs w:val="36"/>
          <w:rtl/>
        </w:rPr>
        <w:t>والنجاس</w:t>
      </w:r>
      <w:r w:rsidR="00EC7EDF" w:rsidRPr="00FD211F">
        <w:rPr>
          <w:sz w:val="36"/>
          <w:szCs w:val="36"/>
          <w:rtl/>
        </w:rPr>
        <w:t>ة</w:t>
      </w:r>
      <w:r w:rsidR="00603323" w:rsidRPr="00FD211F">
        <w:rPr>
          <w:sz w:val="36"/>
          <w:szCs w:val="36"/>
          <w:rtl/>
        </w:rPr>
        <w:t>،</w:t>
      </w:r>
      <w:r w:rsidR="00E8128F">
        <w:rPr>
          <w:sz w:val="36"/>
          <w:szCs w:val="36"/>
          <w:rtl/>
        </w:rPr>
        <w:t xml:space="preserve"> </w:t>
      </w:r>
      <w:r w:rsidR="00812E50" w:rsidRPr="00FD211F">
        <w:rPr>
          <w:sz w:val="36"/>
          <w:szCs w:val="36"/>
          <w:rtl/>
        </w:rPr>
        <w:t>واحد</w:t>
      </w:r>
      <w:r w:rsidR="00E8128F">
        <w:rPr>
          <w:sz w:val="36"/>
          <w:szCs w:val="36"/>
          <w:rtl/>
        </w:rPr>
        <w:t xml:space="preserve"> </w:t>
      </w:r>
      <w:r w:rsidR="00812E50" w:rsidRPr="00FD211F">
        <w:rPr>
          <w:sz w:val="36"/>
          <w:szCs w:val="36"/>
          <w:rtl/>
        </w:rPr>
        <w:t>الوجوه</w:t>
      </w:r>
      <w:r w:rsidR="00E8128F">
        <w:rPr>
          <w:sz w:val="36"/>
          <w:szCs w:val="36"/>
          <w:rtl/>
        </w:rPr>
        <w:t xml:space="preserve"> </w:t>
      </w:r>
      <w:r w:rsidR="00812E50" w:rsidRPr="00FD211F">
        <w:rPr>
          <w:sz w:val="36"/>
          <w:szCs w:val="36"/>
          <w:rtl/>
        </w:rPr>
        <w:t>فيه</w:t>
      </w:r>
      <w:r w:rsidR="00E8128F">
        <w:rPr>
          <w:sz w:val="36"/>
          <w:szCs w:val="36"/>
          <w:rtl/>
        </w:rPr>
        <w:t xml:space="preserve"> </w:t>
      </w:r>
      <w:r w:rsidR="00812E50" w:rsidRPr="00FD211F">
        <w:rPr>
          <w:sz w:val="36"/>
          <w:szCs w:val="36"/>
          <w:rtl/>
        </w:rPr>
        <w:t>امكان</w:t>
      </w:r>
      <w:r w:rsidR="00E8128F">
        <w:rPr>
          <w:sz w:val="36"/>
          <w:szCs w:val="36"/>
          <w:rtl/>
        </w:rPr>
        <w:t xml:space="preserve"> </w:t>
      </w:r>
      <w:r w:rsidR="00812E50" w:rsidRPr="00FD211F">
        <w:rPr>
          <w:sz w:val="36"/>
          <w:szCs w:val="36"/>
          <w:rtl/>
        </w:rPr>
        <w:t>الردع</w:t>
      </w:r>
      <w:r w:rsidR="00E8128F">
        <w:rPr>
          <w:sz w:val="36"/>
          <w:szCs w:val="36"/>
          <w:rtl/>
        </w:rPr>
        <w:t xml:space="preserve"> </w:t>
      </w:r>
      <w:r w:rsidR="00812E50" w:rsidRPr="00FD211F">
        <w:rPr>
          <w:sz w:val="36"/>
          <w:szCs w:val="36"/>
          <w:rtl/>
        </w:rPr>
        <w:t>عن</w:t>
      </w:r>
      <w:r w:rsidR="00E8128F">
        <w:rPr>
          <w:sz w:val="36"/>
          <w:szCs w:val="36"/>
          <w:rtl/>
        </w:rPr>
        <w:t xml:space="preserve"> </w:t>
      </w:r>
      <w:r w:rsidR="00812E50" w:rsidRPr="00FD211F">
        <w:rPr>
          <w:sz w:val="36"/>
          <w:szCs w:val="36"/>
          <w:rtl/>
        </w:rPr>
        <w:t>منجزي</w:t>
      </w:r>
      <w:r w:rsidR="00EC7EDF" w:rsidRPr="00FD211F">
        <w:rPr>
          <w:sz w:val="36"/>
          <w:szCs w:val="36"/>
          <w:rtl/>
        </w:rPr>
        <w:t>ة</w:t>
      </w:r>
      <w:r w:rsidR="00E8128F">
        <w:rPr>
          <w:sz w:val="36"/>
          <w:szCs w:val="36"/>
          <w:rtl/>
        </w:rPr>
        <w:t xml:space="preserve"> </w:t>
      </w:r>
      <w:r w:rsidR="00812E50" w:rsidRPr="00FD211F">
        <w:rPr>
          <w:sz w:val="36"/>
          <w:szCs w:val="36"/>
          <w:rtl/>
        </w:rPr>
        <w:t>القطع</w:t>
      </w:r>
      <w:r w:rsidR="00E8128F">
        <w:rPr>
          <w:sz w:val="36"/>
          <w:szCs w:val="36"/>
          <w:rtl/>
        </w:rPr>
        <w:t xml:space="preserve"> </w:t>
      </w:r>
      <w:r w:rsidR="00812E50" w:rsidRPr="00FD211F">
        <w:rPr>
          <w:sz w:val="36"/>
          <w:szCs w:val="36"/>
          <w:rtl/>
        </w:rPr>
        <w:t>ومعذريته</w:t>
      </w:r>
      <w:r w:rsidR="00424061" w:rsidRPr="00FD211F">
        <w:rPr>
          <w:sz w:val="36"/>
          <w:szCs w:val="36"/>
          <w:rtl/>
        </w:rPr>
        <w:t>.</w:t>
      </w:r>
    </w:p>
    <w:p w14:paraId="7D8DA5FA" w14:textId="77777777" w:rsidR="009C21F4" w:rsidRPr="00FD211F" w:rsidRDefault="009C21F4" w:rsidP="009C58C8">
      <w:pPr>
        <w:ind w:left="0" w:firstLine="227"/>
        <w:jc w:val="both"/>
        <w:rPr>
          <w:sz w:val="36"/>
          <w:szCs w:val="36"/>
          <w:rtl/>
        </w:rPr>
      </w:pPr>
      <w:r w:rsidRPr="00FD211F">
        <w:rPr>
          <w:sz w:val="36"/>
          <w:szCs w:val="36"/>
          <w:rtl/>
        </w:rPr>
        <w:t>وما</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القطع</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واسط</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اثبات</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عين</w:t>
      </w:r>
      <w:r w:rsidR="00E8128F">
        <w:rPr>
          <w:sz w:val="36"/>
          <w:szCs w:val="36"/>
          <w:rtl/>
        </w:rPr>
        <w:t xml:space="preserve"> </w:t>
      </w:r>
      <w:r w:rsidRPr="00FD211F">
        <w:rPr>
          <w:sz w:val="36"/>
          <w:szCs w:val="36"/>
          <w:rtl/>
        </w:rPr>
        <w:t>اثباته</w:t>
      </w:r>
      <w:r w:rsidR="00E8128F">
        <w:rPr>
          <w:sz w:val="36"/>
          <w:szCs w:val="36"/>
          <w:rtl/>
        </w:rPr>
        <w:t xml:space="preserve"> </w:t>
      </w:r>
      <w:r w:rsidR="00D74859" w:rsidRPr="00FD211F">
        <w:rPr>
          <w:sz w:val="36"/>
          <w:szCs w:val="36"/>
          <w:rtl/>
        </w:rPr>
        <w:t>فلايكون</w:t>
      </w:r>
      <w:r w:rsidR="00E8128F">
        <w:rPr>
          <w:sz w:val="36"/>
          <w:szCs w:val="36"/>
          <w:rtl/>
        </w:rPr>
        <w:t xml:space="preserve"> </w:t>
      </w:r>
      <w:r w:rsidR="00D74859" w:rsidRPr="00FD211F">
        <w:rPr>
          <w:sz w:val="36"/>
          <w:szCs w:val="36"/>
          <w:rtl/>
        </w:rPr>
        <w:t>البحث</w:t>
      </w:r>
      <w:r w:rsidR="00E8128F">
        <w:rPr>
          <w:sz w:val="36"/>
          <w:szCs w:val="36"/>
          <w:rtl/>
        </w:rPr>
        <w:t xml:space="preserve"> </w:t>
      </w:r>
      <w:r w:rsidR="00D74859" w:rsidRPr="00FD211F">
        <w:rPr>
          <w:sz w:val="36"/>
          <w:szCs w:val="36"/>
          <w:rtl/>
        </w:rPr>
        <w:t>عن</w:t>
      </w:r>
      <w:r w:rsidR="00E8128F">
        <w:rPr>
          <w:sz w:val="36"/>
          <w:szCs w:val="36"/>
          <w:rtl/>
        </w:rPr>
        <w:t xml:space="preserve"> </w:t>
      </w:r>
      <w:r w:rsidR="00C515C2" w:rsidRPr="00FD211F">
        <w:rPr>
          <w:sz w:val="36"/>
          <w:szCs w:val="36"/>
          <w:rtl/>
        </w:rPr>
        <w:t>حجيته</w:t>
      </w:r>
      <w:r w:rsidR="00E8128F">
        <w:rPr>
          <w:sz w:val="36"/>
          <w:szCs w:val="36"/>
          <w:rtl/>
        </w:rPr>
        <w:t xml:space="preserve"> </w:t>
      </w:r>
      <w:r w:rsidR="00C515C2" w:rsidRPr="00FD211F">
        <w:rPr>
          <w:sz w:val="36"/>
          <w:szCs w:val="36"/>
          <w:rtl/>
        </w:rPr>
        <w:t>لايكون</w:t>
      </w:r>
      <w:r w:rsidR="00E8128F">
        <w:rPr>
          <w:sz w:val="36"/>
          <w:szCs w:val="36"/>
          <w:rtl/>
        </w:rPr>
        <w:t xml:space="preserve"> </w:t>
      </w:r>
      <w:r w:rsidR="00C515C2" w:rsidRPr="00FD211F">
        <w:rPr>
          <w:sz w:val="36"/>
          <w:szCs w:val="36"/>
          <w:rtl/>
        </w:rPr>
        <w:t>دخيلافي</w:t>
      </w:r>
      <w:r w:rsidR="00E8128F">
        <w:rPr>
          <w:sz w:val="36"/>
          <w:szCs w:val="36"/>
          <w:rtl/>
        </w:rPr>
        <w:t xml:space="preserve"> </w:t>
      </w:r>
      <w:r w:rsidR="00C515C2" w:rsidRPr="00FD211F">
        <w:rPr>
          <w:sz w:val="36"/>
          <w:szCs w:val="36"/>
          <w:rtl/>
        </w:rPr>
        <w:t>استنباط</w:t>
      </w:r>
      <w:r w:rsidR="00E8128F">
        <w:rPr>
          <w:sz w:val="36"/>
          <w:szCs w:val="36"/>
          <w:rtl/>
        </w:rPr>
        <w:t xml:space="preserve"> </w:t>
      </w:r>
      <w:r w:rsidR="00C515C2" w:rsidRPr="00FD211F">
        <w:rPr>
          <w:sz w:val="36"/>
          <w:szCs w:val="36"/>
          <w:rtl/>
        </w:rPr>
        <w:t>الحكم</w:t>
      </w:r>
      <w:r w:rsidR="00E8128F">
        <w:rPr>
          <w:sz w:val="36"/>
          <w:szCs w:val="36"/>
          <w:rtl/>
        </w:rPr>
        <w:t xml:space="preserve"> </w:t>
      </w:r>
      <w:r w:rsidR="00C515C2" w:rsidRPr="00FD211F">
        <w:rPr>
          <w:sz w:val="36"/>
          <w:szCs w:val="36"/>
          <w:rtl/>
        </w:rPr>
        <w:t>الشرعي</w:t>
      </w:r>
      <w:r w:rsidR="00603323" w:rsidRPr="00FD211F">
        <w:rPr>
          <w:sz w:val="36"/>
          <w:szCs w:val="36"/>
          <w:rtl/>
        </w:rPr>
        <w:t>،</w:t>
      </w:r>
      <w:r w:rsidR="00E8128F">
        <w:rPr>
          <w:sz w:val="36"/>
          <w:szCs w:val="36"/>
          <w:rtl/>
        </w:rPr>
        <w:t xml:space="preserve"> </w:t>
      </w:r>
      <w:r w:rsidRPr="00FD211F">
        <w:rPr>
          <w:sz w:val="36"/>
          <w:szCs w:val="36"/>
          <w:rtl/>
        </w:rPr>
        <w:t>ف</w:t>
      </w:r>
      <w:r w:rsidR="00C515C2" w:rsidRPr="00FD211F">
        <w:rPr>
          <w:sz w:val="36"/>
          <w:szCs w:val="36"/>
          <w:rtl/>
        </w:rPr>
        <w:t>فيه</w:t>
      </w:r>
      <w:r w:rsidR="00E8128F">
        <w:rPr>
          <w:sz w:val="36"/>
          <w:szCs w:val="36"/>
          <w:rtl/>
        </w:rPr>
        <w:t xml:space="preserve"> </w:t>
      </w:r>
      <w:r w:rsidR="00C515C2" w:rsidRPr="00FD211F">
        <w:rPr>
          <w:sz w:val="36"/>
          <w:szCs w:val="36"/>
          <w:rtl/>
        </w:rPr>
        <w:t>أنه</w:t>
      </w:r>
      <w:r w:rsidR="00E8128F">
        <w:rPr>
          <w:sz w:val="36"/>
          <w:szCs w:val="36"/>
          <w:rtl/>
        </w:rPr>
        <w:t xml:space="preserve"> </w:t>
      </w:r>
      <w:r w:rsidRPr="00FD211F">
        <w:rPr>
          <w:sz w:val="36"/>
          <w:szCs w:val="36"/>
          <w:rtl/>
        </w:rPr>
        <w:t>يبتني</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غرض</w:t>
      </w:r>
      <w:r w:rsidR="00E8128F">
        <w:rPr>
          <w:sz w:val="36"/>
          <w:szCs w:val="36"/>
          <w:rtl/>
        </w:rPr>
        <w:t xml:space="preserve"> </w:t>
      </w:r>
      <w:r w:rsidRPr="00FD211F">
        <w:rPr>
          <w:sz w:val="36"/>
          <w:szCs w:val="36"/>
          <w:rtl/>
        </w:rPr>
        <w:t>الفقيه</w:t>
      </w:r>
      <w:r w:rsidR="00E8128F">
        <w:rPr>
          <w:sz w:val="36"/>
          <w:szCs w:val="36"/>
          <w:rtl/>
        </w:rPr>
        <w:t xml:space="preserve"> </w:t>
      </w:r>
      <w:r w:rsidRPr="00FD211F">
        <w:rPr>
          <w:sz w:val="36"/>
          <w:szCs w:val="36"/>
          <w:rtl/>
        </w:rPr>
        <w:t>مجرد</w:t>
      </w:r>
      <w:r w:rsidR="00E8128F">
        <w:rPr>
          <w:sz w:val="36"/>
          <w:szCs w:val="36"/>
          <w:rtl/>
        </w:rPr>
        <w:t xml:space="preserve"> </w:t>
      </w:r>
      <w:r w:rsidRPr="00FD211F">
        <w:rPr>
          <w:sz w:val="36"/>
          <w:szCs w:val="36"/>
          <w:rtl/>
        </w:rPr>
        <w:t>استكشاف</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كذلك</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غرضه</w:t>
      </w:r>
      <w:r w:rsidR="00E8128F">
        <w:rPr>
          <w:sz w:val="36"/>
          <w:szCs w:val="36"/>
          <w:rtl/>
        </w:rPr>
        <w:t xml:space="preserve"> </w:t>
      </w:r>
      <w:r w:rsidRPr="00FD211F">
        <w:rPr>
          <w:sz w:val="36"/>
          <w:szCs w:val="36"/>
          <w:rtl/>
        </w:rPr>
        <w:t>انكشاف</w:t>
      </w:r>
      <w:r w:rsidR="00E8128F">
        <w:rPr>
          <w:sz w:val="36"/>
          <w:szCs w:val="36"/>
          <w:rtl/>
        </w:rPr>
        <w:t xml:space="preserve"> </w:t>
      </w:r>
      <w:r w:rsidRPr="00FD211F">
        <w:rPr>
          <w:sz w:val="36"/>
          <w:szCs w:val="36"/>
          <w:rtl/>
        </w:rPr>
        <w:t>الوظيف</w:t>
      </w:r>
      <w:r w:rsidR="00EC7EDF" w:rsidRPr="00FD211F">
        <w:rPr>
          <w:sz w:val="36"/>
          <w:szCs w:val="36"/>
          <w:rtl/>
        </w:rPr>
        <w:t>ة</w:t>
      </w:r>
      <w:r w:rsidR="00E8128F">
        <w:rPr>
          <w:sz w:val="36"/>
          <w:szCs w:val="36"/>
          <w:rtl/>
        </w:rPr>
        <w:t xml:space="preserve"> </w:t>
      </w:r>
      <w:r w:rsidRPr="00FD211F">
        <w:rPr>
          <w:sz w:val="36"/>
          <w:szCs w:val="36"/>
          <w:rtl/>
        </w:rPr>
        <w:t>الفعلي</w:t>
      </w:r>
      <w:r w:rsidR="00EC7EDF" w:rsidRPr="00FD211F">
        <w:rPr>
          <w:sz w:val="36"/>
          <w:szCs w:val="36"/>
          <w:rtl/>
        </w:rPr>
        <w:t>ة</w:t>
      </w:r>
      <w:r w:rsidR="00E8128F">
        <w:rPr>
          <w:sz w:val="36"/>
          <w:szCs w:val="36"/>
          <w:rtl/>
        </w:rPr>
        <w:t xml:space="preserve"> </w:t>
      </w:r>
      <w:r w:rsidRPr="00FD211F">
        <w:rPr>
          <w:sz w:val="36"/>
          <w:szCs w:val="36"/>
          <w:rtl/>
        </w:rPr>
        <w:t>تجاه</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603323" w:rsidRPr="00FD211F">
        <w:rPr>
          <w:sz w:val="36"/>
          <w:szCs w:val="36"/>
          <w:rtl/>
        </w:rPr>
        <w:t>،</w:t>
      </w:r>
      <w:r w:rsidR="00E8128F">
        <w:rPr>
          <w:sz w:val="36"/>
          <w:szCs w:val="36"/>
          <w:rtl/>
        </w:rPr>
        <w:t xml:space="preserve"> </w:t>
      </w:r>
      <w:r w:rsidRPr="00FD211F">
        <w:rPr>
          <w:sz w:val="36"/>
          <w:szCs w:val="36"/>
          <w:rtl/>
        </w:rPr>
        <w:t>فيحتاج</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حجي</w:t>
      </w:r>
      <w:r w:rsidR="00EC7EDF" w:rsidRPr="00FD211F">
        <w:rPr>
          <w:sz w:val="36"/>
          <w:szCs w:val="36"/>
          <w:rtl/>
        </w:rPr>
        <w:t>ة</w:t>
      </w:r>
      <w:r w:rsidR="00E8128F">
        <w:rPr>
          <w:sz w:val="36"/>
          <w:szCs w:val="36"/>
          <w:rtl/>
        </w:rPr>
        <w:t xml:space="preserve"> </w:t>
      </w:r>
      <w:r w:rsidRPr="00FD211F">
        <w:rPr>
          <w:sz w:val="36"/>
          <w:szCs w:val="36"/>
          <w:rtl/>
        </w:rPr>
        <w:t>القطع</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منجزيته</w:t>
      </w:r>
      <w:r w:rsidR="00E8128F">
        <w:rPr>
          <w:sz w:val="36"/>
          <w:szCs w:val="36"/>
          <w:rtl/>
        </w:rPr>
        <w:t xml:space="preserve"> </w:t>
      </w:r>
      <w:r w:rsidRPr="00FD211F">
        <w:rPr>
          <w:sz w:val="36"/>
          <w:szCs w:val="36"/>
          <w:rtl/>
        </w:rPr>
        <w:t>ومعذريته.</w:t>
      </w:r>
    </w:p>
    <w:p w14:paraId="3E2574FC" w14:textId="77777777" w:rsidR="009C21F4" w:rsidRPr="00FD211F" w:rsidRDefault="00883267" w:rsidP="009C58C8">
      <w:pPr>
        <w:ind w:left="0" w:firstLine="227"/>
        <w:jc w:val="both"/>
        <w:rPr>
          <w:sz w:val="36"/>
          <w:szCs w:val="36"/>
          <w:rtl/>
        </w:rPr>
      </w:pPr>
      <w:r w:rsidRPr="00FD211F">
        <w:rPr>
          <w:sz w:val="36"/>
          <w:szCs w:val="36"/>
          <w:rtl/>
        </w:rPr>
        <w:t>ولوسلمنا</w:t>
      </w:r>
      <w:r w:rsidR="00E8128F">
        <w:rPr>
          <w:sz w:val="36"/>
          <w:szCs w:val="36"/>
          <w:rtl/>
        </w:rPr>
        <w:t xml:space="preserve"> </w:t>
      </w:r>
      <w:r w:rsidRPr="00FD211F">
        <w:rPr>
          <w:sz w:val="36"/>
          <w:szCs w:val="36"/>
          <w:rtl/>
        </w:rPr>
        <w:t>هذا</w:t>
      </w:r>
      <w:r w:rsidR="00E8128F">
        <w:rPr>
          <w:sz w:val="36"/>
          <w:szCs w:val="36"/>
          <w:rtl/>
        </w:rPr>
        <w:t xml:space="preserve"> </w:t>
      </w:r>
      <w:r w:rsidR="009C21F4" w:rsidRPr="00FD211F">
        <w:rPr>
          <w:sz w:val="36"/>
          <w:szCs w:val="36"/>
          <w:rtl/>
        </w:rPr>
        <w:t>الاشكال</w:t>
      </w:r>
      <w:r w:rsidR="00E8128F">
        <w:rPr>
          <w:sz w:val="36"/>
          <w:szCs w:val="36"/>
          <w:rtl/>
        </w:rPr>
        <w:t xml:space="preserve"> </w:t>
      </w:r>
      <w:r w:rsidR="009C21F4" w:rsidRPr="00FD211F">
        <w:rPr>
          <w:sz w:val="36"/>
          <w:szCs w:val="36"/>
          <w:rtl/>
        </w:rPr>
        <w:t>في</w:t>
      </w:r>
      <w:r w:rsidR="00E8128F">
        <w:rPr>
          <w:sz w:val="36"/>
          <w:szCs w:val="36"/>
          <w:rtl/>
        </w:rPr>
        <w:t xml:space="preserve"> </w:t>
      </w:r>
      <w:r w:rsidR="009C21F4" w:rsidRPr="00FD211F">
        <w:rPr>
          <w:sz w:val="36"/>
          <w:szCs w:val="36"/>
          <w:rtl/>
        </w:rPr>
        <w:t>البحث</w:t>
      </w:r>
      <w:r w:rsidR="00E8128F">
        <w:rPr>
          <w:sz w:val="36"/>
          <w:szCs w:val="36"/>
          <w:rtl/>
        </w:rPr>
        <w:t xml:space="preserve"> </w:t>
      </w:r>
      <w:r w:rsidR="009C21F4" w:rsidRPr="00FD211F">
        <w:rPr>
          <w:sz w:val="36"/>
          <w:szCs w:val="36"/>
          <w:rtl/>
        </w:rPr>
        <w:t>عن</w:t>
      </w:r>
      <w:r w:rsidR="00E8128F">
        <w:rPr>
          <w:sz w:val="36"/>
          <w:szCs w:val="36"/>
          <w:rtl/>
        </w:rPr>
        <w:t xml:space="preserve"> </w:t>
      </w:r>
      <w:r w:rsidR="009C21F4" w:rsidRPr="00FD211F">
        <w:rPr>
          <w:sz w:val="36"/>
          <w:szCs w:val="36"/>
          <w:rtl/>
        </w:rPr>
        <w:t>حجي</w:t>
      </w:r>
      <w:r w:rsidR="00EC7EDF" w:rsidRPr="00FD211F">
        <w:rPr>
          <w:sz w:val="36"/>
          <w:szCs w:val="36"/>
          <w:rtl/>
        </w:rPr>
        <w:t>ة</w:t>
      </w:r>
      <w:r w:rsidR="00E8128F">
        <w:rPr>
          <w:sz w:val="36"/>
          <w:szCs w:val="36"/>
          <w:rtl/>
        </w:rPr>
        <w:t xml:space="preserve"> </w:t>
      </w:r>
      <w:r w:rsidR="009C21F4" w:rsidRPr="00FD211F">
        <w:rPr>
          <w:sz w:val="36"/>
          <w:szCs w:val="36"/>
          <w:rtl/>
        </w:rPr>
        <w:t>العلم</w:t>
      </w:r>
      <w:r w:rsidR="00E8128F">
        <w:rPr>
          <w:sz w:val="36"/>
          <w:szCs w:val="36"/>
          <w:rtl/>
        </w:rPr>
        <w:t xml:space="preserve"> </w:t>
      </w:r>
      <w:r w:rsidR="009C21F4" w:rsidRPr="00FD211F">
        <w:rPr>
          <w:sz w:val="36"/>
          <w:szCs w:val="36"/>
          <w:rtl/>
        </w:rPr>
        <w:t>التفصيلي</w:t>
      </w:r>
      <w:r w:rsidR="00E8128F">
        <w:rPr>
          <w:sz w:val="36"/>
          <w:szCs w:val="36"/>
          <w:rtl/>
        </w:rPr>
        <w:t xml:space="preserve"> </w:t>
      </w:r>
      <w:r w:rsidRPr="00FD211F">
        <w:rPr>
          <w:sz w:val="36"/>
          <w:szCs w:val="36"/>
          <w:rtl/>
        </w:rPr>
        <w:t>وقب</w:t>
      </w:r>
      <w:r w:rsidR="003A36CC" w:rsidRPr="00FD211F">
        <w:rPr>
          <w:sz w:val="36"/>
          <w:szCs w:val="36"/>
          <w:rtl/>
        </w:rPr>
        <w:t>ل</w:t>
      </w:r>
      <w:r w:rsidRPr="00FD211F">
        <w:rPr>
          <w:sz w:val="36"/>
          <w:szCs w:val="36"/>
          <w:rtl/>
        </w:rPr>
        <w:t>نا</w:t>
      </w:r>
      <w:r w:rsidR="00E8128F">
        <w:rPr>
          <w:sz w:val="36"/>
          <w:szCs w:val="36"/>
          <w:rtl/>
        </w:rPr>
        <w:t xml:space="preserve"> </w:t>
      </w:r>
      <w:r w:rsidR="003A36CC" w:rsidRPr="00FD211F">
        <w:rPr>
          <w:sz w:val="36"/>
          <w:szCs w:val="36"/>
          <w:rtl/>
        </w:rPr>
        <w:t>انه</w:t>
      </w:r>
      <w:r w:rsidR="00E8128F">
        <w:rPr>
          <w:sz w:val="36"/>
          <w:szCs w:val="36"/>
          <w:rtl/>
        </w:rPr>
        <w:t xml:space="preserve"> </w:t>
      </w:r>
      <w:r w:rsidR="003A36CC" w:rsidRPr="00FD211F">
        <w:rPr>
          <w:sz w:val="36"/>
          <w:szCs w:val="36"/>
          <w:rtl/>
        </w:rPr>
        <w:t>لما</w:t>
      </w:r>
      <w:r w:rsidR="00E8128F">
        <w:rPr>
          <w:sz w:val="36"/>
          <w:szCs w:val="36"/>
          <w:rtl/>
        </w:rPr>
        <w:t xml:space="preserve"> </w:t>
      </w:r>
      <w:r w:rsidR="003A36CC" w:rsidRPr="00FD211F">
        <w:rPr>
          <w:sz w:val="36"/>
          <w:szCs w:val="36"/>
          <w:rtl/>
        </w:rPr>
        <w:t>كان</w:t>
      </w:r>
      <w:r w:rsidR="00E8128F">
        <w:rPr>
          <w:sz w:val="36"/>
          <w:szCs w:val="36"/>
          <w:rtl/>
        </w:rPr>
        <w:t xml:space="preserve"> </w:t>
      </w:r>
      <w:r w:rsidR="003A36CC" w:rsidRPr="00FD211F">
        <w:rPr>
          <w:sz w:val="36"/>
          <w:szCs w:val="36"/>
          <w:rtl/>
        </w:rPr>
        <w:t>عين</w:t>
      </w:r>
      <w:r w:rsidR="00E8128F">
        <w:rPr>
          <w:sz w:val="36"/>
          <w:szCs w:val="36"/>
          <w:rtl/>
        </w:rPr>
        <w:t xml:space="preserve"> </w:t>
      </w:r>
      <w:r w:rsidR="003A36CC" w:rsidRPr="00FD211F">
        <w:rPr>
          <w:sz w:val="36"/>
          <w:szCs w:val="36"/>
          <w:rtl/>
        </w:rPr>
        <w:t>اثبات</w:t>
      </w:r>
      <w:r w:rsidR="00E8128F">
        <w:rPr>
          <w:sz w:val="36"/>
          <w:szCs w:val="36"/>
          <w:rtl/>
        </w:rPr>
        <w:t xml:space="preserve"> </w:t>
      </w:r>
      <w:r w:rsidR="003A36CC" w:rsidRPr="00FD211F">
        <w:rPr>
          <w:sz w:val="36"/>
          <w:szCs w:val="36"/>
          <w:rtl/>
        </w:rPr>
        <w:t>الواقع</w:t>
      </w:r>
      <w:r w:rsidR="00E8128F">
        <w:rPr>
          <w:sz w:val="36"/>
          <w:szCs w:val="36"/>
          <w:rtl/>
        </w:rPr>
        <w:t xml:space="preserve"> </w:t>
      </w:r>
      <w:r w:rsidR="003A36CC" w:rsidRPr="00FD211F">
        <w:rPr>
          <w:sz w:val="36"/>
          <w:szCs w:val="36"/>
          <w:rtl/>
        </w:rPr>
        <w:t>وليس</w:t>
      </w:r>
      <w:r w:rsidR="00E8128F">
        <w:rPr>
          <w:sz w:val="36"/>
          <w:szCs w:val="36"/>
          <w:rtl/>
        </w:rPr>
        <w:t xml:space="preserve"> </w:t>
      </w:r>
      <w:r w:rsidR="003A36CC" w:rsidRPr="00FD211F">
        <w:rPr>
          <w:sz w:val="36"/>
          <w:szCs w:val="36"/>
          <w:rtl/>
        </w:rPr>
        <w:t>وا</w:t>
      </w:r>
      <w:r w:rsidR="00610BC0" w:rsidRPr="00FD211F">
        <w:rPr>
          <w:sz w:val="36"/>
          <w:szCs w:val="36"/>
          <w:rtl/>
        </w:rPr>
        <w:t>سط</w:t>
      </w:r>
      <w:r w:rsidR="00EC7EDF" w:rsidRPr="00FD211F">
        <w:rPr>
          <w:sz w:val="36"/>
          <w:szCs w:val="36"/>
          <w:rtl/>
        </w:rPr>
        <w:t>ة</w:t>
      </w:r>
      <w:r w:rsidR="00E8128F">
        <w:rPr>
          <w:sz w:val="36"/>
          <w:szCs w:val="36"/>
          <w:rtl/>
        </w:rPr>
        <w:t xml:space="preserve"> </w:t>
      </w:r>
      <w:r w:rsidR="00610BC0" w:rsidRPr="00FD211F">
        <w:rPr>
          <w:sz w:val="36"/>
          <w:szCs w:val="36"/>
          <w:rtl/>
        </w:rPr>
        <w:t>في</w:t>
      </w:r>
      <w:r w:rsidR="00E8128F">
        <w:rPr>
          <w:sz w:val="36"/>
          <w:szCs w:val="36"/>
          <w:rtl/>
        </w:rPr>
        <w:t xml:space="preserve"> </w:t>
      </w:r>
      <w:r w:rsidR="00610BC0" w:rsidRPr="00FD211F">
        <w:rPr>
          <w:sz w:val="36"/>
          <w:szCs w:val="36"/>
          <w:rtl/>
        </w:rPr>
        <w:t>الاثبات</w:t>
      </w:r>
      <w:r w:rsidR="00E8128F">
        <w:rPr>
          <w:sz w:val="36"/>
          <w:szCs w:val="36"/>
          <w:rtl/>
        </w:rPr>
        <w:t xml:space="preserve"> </w:t>
      </w:r>
      <w:r w:rsidR="00610BC0" w:rsidRPr="00FD211F">
        <w:rPr>
          <w:sz w:val="36"/>
          <w:szCs w:val="36"/>
          <w:rtl/>
        </w:rPr>
        <w:t>فلايكون</w:t>
      </w:r>
      <w:r w:rsidR="00E8128F">
        <w:rPr>
          <w:sz w:val="36"/>
          <w:szCs w:val="36"/>
          <w:rtl/>
        </w:rPr>
        <w:t xml:space="preserve"> </w:t>
      </w:r>
      <w:r w:rsidR="00610BC0" w:rsidRPr="00FD211F">
        <w:rPr>
          <w:sz w:val="36"/>
          <w:szCs w:val="36"/>
          <w:rtl/>
        </w:rPr>
        <w:t>البحث</w:t>
      </w:r>
      <w:r w:rsidR="00E8128F">
        <w:rPr>
          <w:sz w:val="36"/>
          <w:szCs w:val="36"/>
          <w:rtl/>
        </w:rPr>
        <w:t xml:space="preserve"> </w:t>
      </w:r>
      <w:r w:rsidR="00610BC0" w:rsidRPr="00FD211F">
        <w:rPr>
          <w:sz w:val="36"/>
          <w:szCs w:val="36"/>
          <w:rtl/>
        </w:rPr>
        <w:t>عن</w:t>
      </w:r>
      <w:r w:rsidR="00E8128F">
        <w:rPr>
          <w:sz w:val="36"/>
          <w:szCs w:val="36"/>
          <w:rtl/>
        </w:rPr>
        <w:t xml:space="preserve"> </w:t>
      </w:r>
      <w:r w:rsidR="00610BC0" w:rsidRPr="00FD211F">
        <w:rPr>
          <w:sz w:val="36"/>
          <w:szCs w:val="36"/>
          <w:rtl/>
        </w:rPr>
        <w:t>حجيته</w:t>
      </w:r>
      <w:r w:rsidR="00E8128F">
        <w:rPr>
          <w:sz w:val="36"/>
          <w:szCs w:val="36"/>
          <w:rtl/>
        </w:rPr>
        <w:t xml:space="preserve"> </w:t>
      </w:r>
      <w:r w:rsidR="003A36CC" w:rsidRPr="00FD211F">
        <w:rPr>
          <w:sz w:val="36"/>
          <w:szCs w:val="36"/>
          <w:rtl/>
        </w:rPr>
        <w:t>بحثا</w:t>
      </w:r>
      <w:r w:rsidR="00E8128F">
        <w:rPr>
          <w:sz w:val="36"/>
          <w:szCs w:val="36"/>
          <w:rtl/>
        </w:rPr>
        <w:t xml:space="preserve"> </w:t>
      </w:r>
      <w:r w:rsidR="003A36CC" w:rsidRPr="00FD211F">
        <w:rPr>
          <w:sz w:val="36"/>
          <w:szCs w:val="36"/>
          <w:rtl/>
        </w:rPr>
        <w:t>اصوليا</w:t>
      </w:r>
      <w:r w:rsidR="00603323" w:rsidRPr="00FD211F">
        <w:rPr>
          <w:sz w:val="36"/>
          <w:szCs w:val="36"/>
          <w:rtl/>
        </w:rPr>
        <w:t>،</w:t>
      </w:r>
      <w:r w:rsidR="00E8128F">
        <w:rPr>
          <w:sz w:val="36"/>
          <w:szCs w:val="36"/>
          <w:rtl/>
        </w:rPr>
        <w:t xml:space="preserve"> </w:t>
      </w:r>
      <w:r w:rsidR="009C21F4" w:rsidRPr="00FD211F">
        <w:rPr>
          <w:sz w:val="36"/>
          <w:szCs w:val="36"/>
          <w:rtl/>
        </w:rPr>
        <w:t>فلانسلم</w:t>
      </w:r>
      <w:r w:rsidR="00E8128F">
        <w:rPr>
          <w:sz w:val="36"/>
          <w:szCs w:val="36"/>
          <w:rtl/>
        </w:rPr>
        <w:t xml:space="preserve"> </w:t>
      </w:r>
      <w:r w:rsidR="003A36CC" w:rsidRPr="00FD211F">
        <w:rPr>
          <w:sz w:val="36"/>
          <w:szCs w:val="36"/>
          <w:rtl/>
        </w:rPr>
        <w:t>ذلك</w:t>
      </w:r>
      <w:r w:rsidR="00E8128F">
        <w:rPr>
          <w:sz w:val="36"/>
          <w:szCs w:val="36"/>
          <w:rtl/>
        </w:rPr>
        <w:t xml:space="preserve"> </w:t>
      </w:r>
      <w:r w:rsidR="009C21F4" w:rsidRPr="00FD211F">
        <w:rPr>
          <w:sz w:val="36"/>
          <w:szCs w:val="36"/>
          <w:rtl/>
        </w:rPr>
        <w:t>في</w:t>
      </w:r>
      <w:r w:rsidR="00E8128F">
        <w:rPr>
          <w:sz w:val="36"/>
          <w:szCs w:val="36"/>
          <w:rtl/>
        </w:rPr>
        <w:t xml:space="preserve"> </w:t>
      </w:r>
      <w:r w:rsidR="009C21F4" w:rsidRPr="00FD211F">
        <w:rPr>
          <w:sz w:val="36"/>
          <w:szCs w:val="36"/>
          <w:rtl/>
        </w:rPr>
        <w:t>مبحث</w:t>
      </w:r>
      <w:r w:rsidR="00E8128F">
        <w:rPr>
          <w:sz w:val="36"/>
          <w:szCs w:val="36"/>
          <w:rtl/>
        </w:rPr>
        <w:t xml:space="preserve"> </w:t>
      </w:r>
      <w:r w:rsidR="009C21F4" w:rsidRPr="00FD211F">
        <w:rPr>
          <w:sz w:val="36"/>
          <w:szCs w:val="36"/>
          <w:rtl/>
        </w:rPr>
        <w:t>حجي</w:t>
      </w:r>
      <w:r w:rsidR="00EC7EDF" w:rsidRPr="00FD211F">
        <w:rPr>
          <w:sz w:val="36"/>
          <w:szCs w:val="36"/>
          <w:rtl/>
        </w:rPr>
        <w:t>ة</w:t>
      </w:r>
      <w:r w:rsidR="00E8128F">
        <w:rPr>
          <w:sz w:val="36"/>
          <w:szCs w:val="36"/>
          <w:rtl/>
        </w:rPr>
        <w:t xml:space="preserve"> </w:t>
      </w:r>
      <w:r w:rsidR="009C21F4" w:rsidRPr="00FD211F">
        <w:rPr>
          <w:sz w:val="36"/>
          <w:szCs w:val="36"/>
          <w:rtl/>
        </w:rPr>
        <w:t>العلم</w:t>
      </w:r>
      <w:r w:rsidR="00E8128F">
        <w:rPr>
          <w:sz w:val="36"/>
          <w:szCs w:val="36"/>
          <w:rtl/>
        </w:rPr>
        <w:t xml:space="preserve"> </w:t>
      </w:r>
      <w:r w:rsidR="009C21F4" w:rsidRPr="00FD211F">
        <w:rPr>
          <w:sz w:val="36"/>
          <w:szCs w:val="36"/>
          <w:rtl/>
        </w:rPr>
        <w:t>الاجمالي</w:t>
      </w:r>
      <w:r w:rsidR="00E8128F">
        <w:rPr>
          <w:sz w:val="36"/>
          <w:szCs w:val="36"/>
          <w:rtl/>
        </w:rPr>
        <w:t xml:space="preserve"> </w:t>
      </w:r>
      <w:r w:rsidR="009C21F4" w:rsidRPr="00FD211F">
        <w:rPr>
          <w:sz w:val="36"/>
          <w:szCs w:val="36"/>
          <w:rtl/>
        </w:rPr>
        <w:t>اذ</w:t>
      </w:r>
      <w:r w:rsidR="00E8128F">
        <w:rPr>
          <w:sz w:val="36"/>
          <w:szCs w:val="36"/>
          <w:rtl/>
        </w:rPr>
        <w:t xml:space="preserve"> </w:t>
      </w:r>
      <w:r w:rsidR="009C21F4" w:rsidRPr="00FD211F">
        <w:rPr>
          <w:sz w:val="36"/>
          <w:szCs w:val="36"/>
          <w:rtl/>
        </w:rPr>
        <w:t>الواقع</w:t>
      </w:r>
      <w:r w:rsidR="00E8128F">
        <w:rPr>
          <w:sz w:val="36"/>
          <w:szCs w:val="36"/>
          <w:rtl/>
        </w:rPr>
        <w:t xml:space="preserve"> </w:t>
      </w:r>
      <w:r w:rsidR="009C21F4" w:rsidRPr="00FD211F">
        <w:rPr>
          <w:sz w:val="36"/>
          <w:szCs w:val="36"/>
          <w:rtl/>
        </w:rPr>
        <w:t>غير</w:t>
      </w:r>
      <w:r w:rsidR="00E8128F">
        <w:rPr>
          <w:sz w:val="36"/>
          <w:szCs w:val="36"/>
          <w:rtl/>
        </w:rPr>
        <w:t xml:space="preserve"> </w:t>
      </w:r>
      <w:r w:rsidR="009C21F4" w:rsidRPr="00FD211F">
        <w:rPr>
          <w:sz w:val="36"/>
          <w:szCs w:val="36"/>
          <w:rtl/>
        </w:rPr>
        <w:t>منكشف</w:t>
      </w:r>
      <w:r w:rsidR="00E8128F">
        <w:rPr>
          <w:sz w:val="36"/>
          <w:szCs w:val="36"/>
          <w:rtl/>
        </w:rPr>
        <w:t xml:space="preserve"> </w:t>
      </w:r>
      <w:r w:rsidR="009C21F4" w:rsidRPr="00FD211F">
        <w:rPr>
          <w:sz w:val="36"/>
          <w:szCs w:val="36"/>
          <w:rtl/>
        </w:rPr>
        <w:t>معه</w:t>
      </w:r>
      <w:r w:rsidR="00E8128F">
        <w:rPr>
          <w:sz w:val="36"/>
          <w:szCs w:val="36"/>
          <w:rtl/>
        </w:rPr>
        <w:t xml:space="preserve"> </w:t>
      </w:r>
      <w:r w:rsidR="009C21F4" w:rsidRPr="00FD211F">
        <w:rPr>
          <w:sz w:val="36"/>
          <w:szCs w:val="36"/>
          <w:rtl/>
        </w:rPr>
        <w:t>تمام</w:t>
      </w:r>
      <w:r w:rsidR="00E8128F">
        <w:rPr>
          <w:sz w:val="36"/>
          <w:szCs w:val="36"/>
          <w:rtl/>
        </w:rPr>
        <w:t xml:space="preserve"> </w:t>
      </w:r>
      <w:r w:rsidR="009C21F4" w:rsidRPr="00FD211F">
        <w:rPr>
          <w:sz w:val="36"/>
          <w:szCs w:val="36"/>
          <w:rtl/>
        </w:rPr>
        <w:t>الانكشاف</w:t>
      </w:r>
      <w:r w:rsidR="00603323" w:rsidRPr="00FD211F">
        <w:rPr>
          <w:sz w:val="36"/>
          <w:szCs w:val="36"/>
          <w:rtl/>
        </w:rPr>
        <w:t>،</w:t>
      </w:r>
      <w:r w:rsidR="00E8128F">
        <w:rPr>
          <w:sz w:val="36"/>
          <w:szCs w:val="36"/>
          <w:rtl/>
        </w:rPr>
        <w:t xml:space="preserve"> </w:t>
      </w:r>
      <w:r w:rsidR="009C21F4" w:rsidRPr="00FD211F">
        <w:rPr>
          <w:sz w:val="36"/>
          <w:szCs w:val="36"/>
          <w:rtl/>
        </w:rPr>
        <w:t>فبالنسب</w:t>
      </w:r>
      <w:r w:rsidR="00EC7EDF" w:rsidRPr="00FD211F">
        <w:rPr>
          <w:sz w:val="36"/>
          <w:szCs w:val="36"/>
          <w:rtl/>
        </w:rPr>
        <w:t>ة</w:t>
      </w:r>
      <w:r w:rsidR="00E8128F">
        <w:rPr>
          <w:sz w:val="36"/>
          <w:szCs w:val="36"/>
          <w:rtl/>
        </w:rPr>
        <w:t xml:space="preserve"> </w:t>
      </w:r>
      <w:r w:rsidR="009C21F4" w:rsidRPr="00FD211F">
        <w:rPr>
          <w:sz w:val="36"/>
          <w:szCs w:val="36"/>
          <w:rtl/>
        </w:rPr>
        <w:t>الى</w:t>
      </w:r>
      <w:r w:rsidR="00E8128F">
        <w:rPr>
          <w:sz w:val="36"/>
          <w:szCs w:val="36"/>
          <w:rtl/>
        </w:rPr>
        <w:t xml:space="preserve"> </w:t>
      </w:r>
      <w:r w:rsidR="009C21F4" w:rsidRPr="00FD211F">
        <w:rPr>
          <w:sz w:val="36"/>
          <w:szCs w:val="36"/>
          <w:rtl/>
        </w:rPr>
        <w:t>ارتكاب</w:t>
      </w:r>
      <w:r w:rsidR="00E8128F">
        <w:rPr>
          <w:sz w:val="36"/>
          <w:szCs w:val="36"/>
          <w:rtl/>
        </w:rPr>
        <w:t xml:space="preserve"> </w:t>
      </w:r>
      <w:r w:rsidR="009C21F4" w:rsidRPr="00FD211F">
        <w:rPr>
          <w:sz w:val="36"/>
          <w:szCs w:val="36"/>
          <w:rtl/>
        </w:rPr>
        <w:t>بعض</w:t>
      </w:r>
      <w:r w:rsidR="00E8128F">
        <w:rPr>
          <w:sz w:val="36"/>
          <w:szCs w:val="36"/>
          <w:rtl/>
        </w:rPr>
        <w:t xml:space="preserve"> </w:t>
      </w:r>
      <w:r w:rsidR="009C21F4" w:rsidRPr="00FD211F">
        <w:rPr>
          <w:sz w:val="36"/>
          <w:szCs w:val="36"/>
          <w:rtl/>
        </w:rPr>
        <w:t>اطراف</w:t>
      </w:r>
      <w:r w:rsidR="00E8128F">
        <w:rPr>
          <w:sz w:val="36"/>
          <w:szCs w:val="36"/>
          <w:rtl/>
        </w:rPr>
        <w:t xml:space="preserve"> </w:t>
      </w:r>
      <w:r w:rsidR="009C21F4" w:rsidRPr="00FD211F">
        <w:rPr>
          <w:sz w:val="36"/>
          <w:szCs w:val="36"/>
          <w:rtl/>
        </w:rPr>
        <w:t>العلم</w:t>
      </w:r>
      <w:r w:rsidR="00E8128F">
        <w:rPr>
          <w:sz w:val="36"/>
          <w:szCs w:val="36"/>
          <w:rtl/>
        </w:rPr>
        <w:t xml:space="preserve"> </w:t>
      </w:r>
      <w:r w:rsidR="009C21F4" w:rsidRPr="00FD211F">
        <w:rPr>
          <w:sz w:val="36"/>
          <w:szCs w:val="36"/>
          <w:rtl/>
        </w:rPr>
        <w:t>الإجمالي</w:t>
      </w:r>
      <w:r w:rsidR="00E8128F">
        <w:rPr>
          <w:sz w:val="36"/>
          <w:szCs w:val="36"/>
          <w:rtl/>
        </w:rPr>
        <w:t xml:space="preserve"> </w:t>
      </w:r>
      <w:r w:rsidR="009C21F4" w:rsidRPr="00FD211F">
        <w:rPr>
          <w:sz w:val="36"/>
          <w:szCs w:val="36"/>
          <w:rtl/>
        </w:rPr>
        <w:t>ل</w:t>
      </w:r>
      <w:r w:rsidR="003A36CC" w:rsidRPr="00FD211F">
        <w:rPr>
          <w:sz w:val="36"/>
          <w:szCs w:val="36"/>
          <w:rtl/>
        </w:rPr>
        <w:t>ايكون</w:t>
      </w:r>
      <w:r w:rsidR="00E8128F">
        <w:rPr>
          <w:sz w:val="36"/>
          <w:szCs w:val="36"/>
          <w:rtl/>
        </w:rPr>
        <w:t xml:space="preserve"> </w:t>
      </w:r>
      <w:r w:rsidR="003A36CC" w:rsidRPr="00FD211F">
        <w:rPr>
          <w:sz w:val="36"/>
          <w:szCs w:val="36"/>
          <w:rtl/>
        </w:rPr>
        <w:t>الحجي</w:t>
      </w:r>
      <w:r w:rsidR="00EC7EDF" w:rsidRPr="00FD211F">
        <w:rPr>
          <w:sz w:val="36"/>
          <w:szCs w:val="36"/>
          <w:rtl/>
        </w:rPr>
        <w:t>ة</w:t>
      </w:r>
      <w:r w:rsidR="00E8128F">
        <w:rPr>
          <w:sz w:val="36"/>
          <w:szCs w:val="36"/>
          <w:rtl/>
        </w:rPr>
        <w:t xml:space="preserve"> </w:t>
      </w:r>
      <w:r w:rsidR="003A36CC" w:rsidRPr="00FD211F">
        <w:rPr>
          <w:sz w:val="36"/>
          <w:szCs w:val="36"/>
          <w:rtl/>
        </w:rPr>
        <w:t>الا</w:t>
      </w:r>
      <w:r w:rsidR="00E8128F">
        <w:rPr>
          <w:sz w:val="36"/>
          <w:szCs w:val="36"/>
          <w:rtl/>
        </w:rPr>
        <w:t xml:space="preserve"> </w:t>
      </w:r>
      <w:r w:rsidR="003A36CC" w:rsidRPr="00FD211F">
        <w:rPr>
          <w:sz w:val="36"/>
          <w:szCs w:val="36"/>
          <w:rtl/>
        </w:rPr>
        <w:t>بمعنى</w:t>
      </w:r>
      <w:r w:rsidR="00E8128F">
        <w:rPr>
          <w:sz w:val="36"/>
          <w:szCs w:val="36"/>
          <w:rtl/>
        </w:rPr>
        <w:t xml:space="preserve"> </w:t>
      </w:r>
      <w:r w:rsidR="003A36CC" w:rsidRPr="00FD211F">
        <w:rPr>
          <w:sz w:val="36"/>
          <w:szCs w:val="36"/>
          <w:rtl/>
        </w:rPr>
        <w:t>المنجزي</w:t>
      </w:r>
      <w:r w:rsidR="00EC7EDF" w:rsidRPr="00FD211F">
        <w:rPr>
          <w:sz w:val="36"/>
          <w:szCs w:val="36"/>
          <w:rtl/>
        </w:rPr>
        <w:t>ة</w:t>
      </w:r>
      <w:r w:rsidR="00603323" w:rsidRPr="00FD211F">
        <w:rPr>
          <w:sz w:val="36"/>
          <w:szCs w:val="36"/>
          <w:rtl/>
        </w:rPr>
        <w:t>،</w:t>
      </w:r>
      <w:r w:rsidR="00E8128F">
        <w:rPr>
          <w:sz w:val="36"/>
          <w:szCs w:val="36"/>
          <w:rtl/>
        </w:rPr>
        <w:t xml:space="preserve"> </w:t>
      </w:r>
      <w:r w:rsidR="003A36CC" w:rsidRPr="00FD211F">
        <w:rPr>
          <w:sz w:val="36"/>
          <w:szCs w:val="36"/>
          <w:rtl/>
        </w:rPr>
        <w:t>فيكون</w:t>
      </w:r>
      <w:r w:rsidR="00E8128F">
        <w:rPr>
          <w:sz w:val="36"/>
          <w:szCs w:val="36"/>
          <w:rtl/>
        </w:rPr>
        <w:t xml:space="preserve"> </w:t>
      </w:r>
      <w:r w:rsidR="003A36CC" w:rsidRPr="00FD211F">
        <w:rPr>
          <w:sz w:val="36"/>
          <w:szCs w:val="36"/>
          <w:rtl/>
        </w:rPr>
        <w:t>البحث</w:t>
      </w:r>
      <w:r w:rsidR="00E8128F">
        <w:rPr>
          <w:sz w:val="36"/>
          <w:szCs w:val="36"/>
          <w:rtl/>
        </w:rPr>
        <w:t xml:space="preserve"> </w:t>
      </w:r>
      <w:r w:rsidR="003A36CC" w:rsidRPr="00FD211F">
        <w:rPr>
          <w:sz w:val="36"/>
          <w:szCs w:val="36"/>
          <w:rtl/>
        </w:rPr>
        <w:t>عن</w:t>
      </w:r>
      <w:r w:rsidR="00E8128F">
        <w:rPr>
          <w:sz w:val="36"/>
          <w:szCs w:val="36"/>
          <w:rtl/>
        </w:rPr>
        <w:t xml:space="preserve"> </w:t>
      </w:r>
      <w:r w:rsidR="003A36CC" w:rsidRPr="00FD211F">
        <w:rPr>
          <w:sz w:val="36"/>
          <w:szCs w:val="36"/>
          <w:rtl/>
        </w:rPr>
        <w:t>منجزي</w:t>
      </w:r>
      <w:r w:rsidR="00EC7EDF" w:rsidRPr="00FD211F">
        <w:rPr>
          <w:sz w:val="36"/>
          <w:szCs w:val="36"/>
          <w:rtl/>
        </w:rPr>
        <w:t>ة</w:t>
      </w:r>
      <w:r w:rsidR="00E8128F">
        <w:rPr>
          <w:sz w:val="36"/>
          <w:szCs w:val="36"/>
          <w:rtl/>
        </w:rPr>
        <w:t xml:space="preserve"> </w:t>
      </w:r>
      <w:r w:rsidR="003A36CC" w:rsidRPr="00FD211F">
        <w:rPr>
          <w:sz w:val="36"/>
          <w:szCs w:val="36"/>
          <w:rtl/>
        </w:rPr>
        <w:t>العلم</w:t>
      </w:r>
      <w:r w:rsidR="00E8128F">
        <w:rPr>
          <w:sz w:val="36"/>
          <w:szCs w:val="36"/>
          <w:rtl/>
        </w:rPr>
        <w:t xml:space="preserve"> </w:t>
      </w:r>
      <w:r w:rsidR="003A36CC" w:rsidRPr="00FD211F">
        <w:rPr>
          <w:sz w:val="36"/>
          <w:szCs w:val="36"/>
          <w:rtl/>
        </w:rPr>
        <w:t>الإجمالي</w:t>
      </w:r>
      <w:r w:rsidR="00E8128F">
        <w:rPr>
          <w:sz w:val="36"/>
          <w:szCs w:val="36"/>
          <w:rtl/>
        </w:rPr>
        <w:t xml:space="preserve"> </w:t>
      </w:r>
      <w:r w:rsidR="003A36CC" w:rsidRPr="00FD211F">
        <w:rPr>
          <w:sz w:val="36"/>
          <w:szCs w:val="36"/>
          <w:rtl/>
        </w:rPr>
        <w:t>من</w:t>
      </w:r>
      <w:r w:rsidR="00E8128F">
        <w:rPr>
          <w:sz w:val="36"/>
          <w:szCs w:val="36"/>
          <w:rtl/>
        </w:rPr>
        <w:t xml:space="preserve"> </w:t>
      </w:r>
      <w:r w:rsidR="003A36CC" w:rsidRPr="00FD211F">
        <w:rPr>
          <w:sz w:val="36"/>
          <w:szCs w:val="36"/>
          <w:rtl/>
        </w:rPr>
        <w:t>مباحث</w:t>
      </w:r>
      <w:r w:rsidR="00E8128F">
        <w:rPr>
          <w:sz w:val="36"/>
          <w:szCs w:val="36"/>
          <w:rtl/>
        </w:rPr>
        <w:t xml:space="preserve"> </w:t>
      </w:r>
      <w:r w:rsidR="003A36CC" w:rsidRPr="00FD211F">
        <w:rPr>
          <w:sz w:val="36"/>
          <w:szCs w:val="36"/>
          <w:rtl/>
        </w:rPr>
        <w:t>علم</w:t>
      </w:r>
      <w:r w:rsidR="00E8128F">
        <w:rPr>
          <w:sz w:val="36"/>
          <w:szCs w:val="36"/>
          <w:rtl/>
        </w:rPr>
        <w:t xml:space="preserve"> </w:t>
      </w:r>
      <w:r w:rsidR="003A36CC" w:rsidRPr="00FD211F">
        <w:rPr>
          <w:sz w:val="36"/>
          <w:szCs w:val="36"/>
          <w:rtl/>
        </w:rPr>
        <w:t>الاصول.</w:t>
      </w:r>
    </w:p>
    <w:p w14:paraId="3E05C97B" w14:textId="77777777" w:rsidR="000C5BBA" w:rsidRPr="00FD211F" w:rsidRDefault="00424061" w:rsidP="009C58C8">
      <w:pPr>
        <w:ind w:left="0" w:firstLine="227"/>
        <w:jc w:val="both"/>
        <w:rPr>
          <w:sz w:val="36"/>
          <w:szCs w:val="36"/>
          <w:rtl/>
        </w:rPr>
      </w:pPr>
      <w:r w:rsidRPr="00FD211F">
        <w:rPr>
          <w:sz w:val="36"/>
          <w:szCs w:val="36"/>
          <w:rtl/>
        </w:rPr>
        <w:lastRenderedPageBreak/>
        <w:t>وأما</w:t>
      </w:r>
      <w:r w:rsidR="00E8128F">
        <w:rPr>
          <w:sz w:val="36"/>
          <w:szCs w:val="36"/>
          <w:rtl/>
        </w:rPr>
        <w:t xml:space="preserve"> </w:t>
      </w:r>
      <w:r w:rsidR="00201ACE" w:rsidRPr="00FD211F">
        <w:rPr>
          <w:sz w:val="36"/>
          <w:szCs w:val="36"/>
          <w:rtl/>
        </w:rPr>
        <w:t>الوجه</w:t>
      </w:r>
      <w:r w:rsidR="00E8128F">
        <w:rPr>
          <w:sz w:val="36"/>
          <w:szCs w:val="36"/>
          <w:rtl/>
        </w:rPr>
        <w:t xml:space="preserve"> </w:t>
      </w:r>
      <w:r w:rsidR="00201ACE" w:rsidRPr="00FD211F">
        <w:rPr>
          <w:sz w:val="36"/>
          <w:szCs w:val="36"/>
          <w:rtl/>
        </w:rPr>
        <w:t>الثاني</w:t>
      </w:r>
      <w:r w:rsidR="00E8128F">
        <w:rPr>
          <w:sz w:val="36"/>
          <w:szCs w:val="36"/>
          <w:rtl/>
        </w:rPr>
        <w:t xml:space="preserve"> </w:t>
      </w:r>
      <w:r w:rsidR="00201ACE" w:rsidRPr="00FD211F">
        <w:rPr>
          <w:sz w:val="36"/>
          <w:szCs w:val="36"/>
          <w:rtl/>
        </w:rPr>
        <w:t>فلأنه</w:t>
      </w:r>
      <w:r w:rsidR="00E8128F">
        <w:rPr>
          <w:sz w:val="36"/>
          <w:szCs w:val="36"/>
          <w:rtl/>
        </w:rPr>
        <w:t xml:space="preserve"> </w:t>
      </w:r>
      <w:r w:rsidR="00201ACE" w:rsidRPr="00FD211F">
        <w:rPr>
          <w:sz w:val="36"/>
          <w:szCs w:val="36"/>
          <w:rtl/>
        </w:rPr>
        <w:t>يردعليه</w:t>
      </w:r>
      <w:r w:rsidR="00E8128F">
        <w:rPr>
          <w:sz w:val="36"/>
          <w:szCs w:val="36"/>
          <w:rtl/>
        </w:rPr>
        <w:t xml:space="preserve"> </w:t>
      </w:r>
      <w:r w:rsidR="002B0CF7" w:rsidRPr="00FD211F">
        <w:rPr>
          <w:b/>
          <w:bCs/>
          <w:sz w:val="36"/>
          <w:szCs w:val="36"/>
          <w:rtl/>
        </w:rPr>
        <w:t>اولا</w:t>
      </w:r>
      <w:r w:rsidR="002B0CF7" w:rsidRPr="00FD211F">
        <w:rPr>
          <w:sz w:val="36"/>
          <w:szCs w:val="36"/>
          <w:rtl/>
        </w:rPr>
        <w:t>:مامر</w:t>
      </w:r>
      <w:r w:rsidR="00E8128F">
        <w:rPr>
          <w:sz w:val="36"/>
          <w:szCs w:val="36"/>
          <w:rtl/>
        </w:rPr>
        <w:t xml:space="preserve"> </w:t>
      </w:r>
      <w:r w:rsidR="002B0CF7" w:rsidRPr="00FD211F">
        <w:rPr>
          <w:sz w:val="36"/>
          <w:szCs w:val="36"/>
          <w:rtl/>
        </w:rPr>
        <w:t>من</w:t>
      </w:r>
      <w:r w:rsidR="00E8128F">
        <w:rPr>
          <w:sz w:val="36"/>
          <w:szCs w:val="36"/>
          <w:rtl/>
        </w:rPr>
        <w:t xml:space="preserve"> </w:t>
      </w:r>
      <w:r w:rsidR="002B0CF7" w:rsidRPr="00FD211F">
        <w:rPr>
          <w:sz w:val="36"/>
          <w:szCs w:val="36"/>
          <w:rtl/>
        </w:rPr>
        <w:t>ان</w:t>
      </w:r>
      <w:r w:rsidR="00E8128F">
        <w:rPr>
          <w:sz w:val="36"/>
          <w:szCs w:val="36"/>
          <w:rtl/>
        </w:rPr>
        <w:t xml:space="preserve"> </w:t>
      </w:r>
      <w:r w:rsidR="002B0CF7" w:rsidRPr="00FD211F">
        <w:rPr>
          <w:sz w:val="36"/>
          <w:szCs w:val="36"/>
          <w:rtl/>
        </w:rPr>
        <w:t>جعل</w:t>
      </w:r>
      <w:r w:rsidR="00E8128F">
        <w:rPr>
          <w:sz w:val="36"/>
          <w:szCs w:val="36"/>
          <w:rtl/>
        </w:rPr>
        <w:t xml:space="preserve"> </w:t>
      </w:r>
      <w:r w:rsidR="002B0CF7" w:rsidRPr="00FD211F">
        <w:rPr>
          <w:sz w:val="36"/>
          <w:szCs w:val="36"/>
          <w:rtl/>
        </w:rPr>
        <w:t>الحلي</w:t>
      </w:r>
      <w:r w:rsidR="00EC7EDF" w:rsidRPr="00FD211F">
        <w:rPr>
          <w:sz w:val="36"/>
          <w:szCs w:val="36"/>
          <w:rtl/>
        </w:rPr>
        <w:t>ة</w:t>
      </w:r>
      <w:r w:rsidR="00E8128F">
        <w:rPr>
          <w:sz w:val="36"/>
          <w:szCs w:val="36"/>
          <w:rtl/>
        </w:rPr>
        <w:t xml:space="preserve"> </w:t>
      </w:r>
      <w:r w:rsidR="002B0CF7" w:rsidRPr="00FD211F">
        <w:rPr>
          <w:sz w:val="36"/>
          <w:szCs w:val="36"/>
          <w:rtl/>
        </w:rPr>
        <w:t>الظاهري</w:t>
      </w:r>
      <w:r w:rsidR="00EC7EDF" w:rsidRPr="00FD211F">
        <w:rPr>
          <w:sz w:val="36"/>
          <w:szCs w:val="36"/>
          <w:rtl/>
        </w:rPr>
        <w:t>ة</w:t>
      </w:r>
      <w:r w:rsidR="00E8128F">
        <w:rPr>
          <w:sz w:val="36"/>
          <w:szCs w:val="36"/>
          <w:rtl/>
        </w:rPr>
        <w:t xml:space="preserve"> </w:t>
      </w:r>
      <w:r w:rsidR="002B0CF7" w:rsidRPr="00FD211F">
        <w:rPr>
          <w:sz w:val="36"/>
          <w:szCs w:val="36"/>
          <w:rtl/>
        </w:rPr>
        <w:t>والب</w:t>
      </w:r>
      <w:r w:rsidR="008D7B3D" w:rsidRPr="00FD211F">
        <w:rPr>
          <w:sz w:val="36"/>
          <w:szCs w:val="36"/>
          <w:rtl/>
        </w:rPr>
        <w:t>راءة</w:t>
      </w:r>
      <w:r w:rsidR="00E8128F">
        <w:rPr>
          <w:sz w:val="36"/>
          <w:szCs w:val="36"/>
          <w:rtl/>
        </w:rPr>
        <w:t xml:space="preserve"> </w:t>
      </w:r>
      <w:r w:rsidR="002B0CF7" w:rsidRPr="00FD211F">
        <w:rPr>
          <w:sz w:val="36"/>
          <w:szCs w:val="36"/>
          <w:rtl/>
        </w:rPr>
        <w:t>يكون</w:t>
      </w:r>
      <w:r w:rsidR="00E8128F">
        <w:rPr>
          <w:sz w:val="36"/>
          <w:szCs w:val="36"/>
          <w:rtl/>
        </w:rPr>
        <w:t xml:space="preserve"> </w:t>
      </w:r>
      <w:r w:rsidR="002B0CF7" w:rsidRPr="00FD211F">
        <w:rPr>
          <w:sz w:val="36"/>
          <w:szCs w:val="36"/>
          <w:rtl/>
        </w:rPr>
        <w:t>بغرض</w:t>
      </w:r>
      <w:r w:rsidR="00E8128F">
        <w:rPr>
          <w:sz w:val="36"/>
          <w:szCs w:val="36"/>
          <w:rtl/>
        </w:rPr>
        <w:t xml:space="preserve"> </w:t>
      </w:r>
      <w:r w:rsidR="002B0CF7" w:rsidRPr="00FD211F">
        <w:rPr>
          <w:sz w:val="36"/>
          <w:szCs w:val="36"/>
          <w:rtl/>
        </w:rPr>
        <w:t>التعذير</w:t>
      </w:r>
      <w:r w:rsidR="00603323" w:rsidRPr="00FD211F">
        <w:rPr>
          <w:sz w:val="36"/>
          <w:szCs w:val="36"/>
          <w:rtl/>
        </w:rPr>
        <w:t>،</w:t>
      </w:r>
      <w:r w:rsidR="00E8128F">
        <w:rPr>
          <w:sz w:val="36"/>
          <w:szCs w:val="36"/>
          <w:rtl/>
        </w:rPr>
        <w:t xml:space="preserve"> </w:t>
      </w:r>
      <w:r w:rsidR="002B0CF7" w:rsidRPr="00FD211F">
        <w:rPr>
          <w:sz w:val="36"/>
          <w:szCs w:val="36"/>
          <w:rtl/>
        </w:rPr>
        <w:t>فيترتب</w:t>
      </w:r>
      <w:r w:rsidR="00E8128F">
        <w:rPr>
          <w:sz w:val="36"/>
          <w:szCs w:val="36"/>
          <w:rtl/>
        </w:rPr>
        <w:t xml:space="preserve"> </w:t>
      </w:r>
      <w:r w:rsidR="002B0CF7" w:rsidRPr="00FD211F">
        <w:rPr>
          <w:sz w:val="36"/>
          <w:szCs w:val="36"/>
          <w:rtl/>
        </w:rPr>
        <w:t>عليها</w:t>
      </w:r>
      <w:r w:rsidR="00E8128F">
        <w:rPr>
          <w:sz w:val="36"/>
          <w:szCs w:val="36"/>
          <w:rtl/>
        </w:rPr>
        <w:t xml:space="preserve"> </w:t>
      </w:r>
      <w:r w:rsidR="002B0CF7" w:rsidRPr="00FD211F">
        <w:rPr>
          <w:sz w:val="36"/>
          <w:szCs w:val="36"/>
          <w:rtl/>
        </w:rPr>
        <w:t>العذر</w:t>
      </w:r>
      <w:r w:rsidR="00E8128F">
        <w:rPr>
          <w:sz w:val="36"/>
          <w:szCs w:val="36"/>
          <w:rtl/>
        </w:rPr>
        <w:t xml:space="preserve"> </w:t>
      </w:r>
      <w:r w:rsidR="002B0CF7" w:rsidRPr="00FD211F">
        <w:rPr>
          <w:sz w:val="36"/>
          <w:szCs w:val="36"/>
          <w:rtl/>
        </w:rPr>
        <w:t>العقلي</w:t>
      </w:r>
      <w:r w:rsidR="00E8128F">
        <w:rPr>
          <w:sz w:val="36"/>
          <w:szCs w:val="36"/>
          <w:rtl/>
        </w:rPr>
        <w:t xml:space="preserve"> </w:t>
      </w:r>
      <w:r w:rsidR="002B0CF7" w:rsidRPr="00FD211F">
        <w:rPr>
          <w:sz w:val="36"/>
          <w:szCs w:val="36"/>
          <w:rtl/>
        </w:rPr>
        <w:t>كما</w:t>
      </w:r>
      <w:r w:rsidR="00E8128F">
        <w:rPr>
          <w:sz w:val="36"/>
          <w:szCs w:val="36"/>
          <w:rtl/>
        </w:rPr>
        <w:t xml:space="preserve"> </w:t>
      </w:r>
      <w:r w:rsidR="002B0CF7" w:rsidRPr="00FD211F">
        <w:rPr>
          <w:sz w:val="36"/>
          <w:szCs w:val="36"/>
          <w:rtl/>
        </w:rPr>
        <w:t>لو</w:t>
      </w:r>
      <w:r w:rsidR="00E8128F">
        <w:rPr>
          <w:sz w:val="36"/>
          <w:szCs w:val="36"/>
          <w:rtl/>
        </w:rPr>
        <w:t xml:space="preserve"> </w:t>
      </w:r>
      <w:r w:rsidR="002B0CF7" w:rsidRPr="00FD211F">
        <w:rPr>
          <w:sz w:val="36"/>
          <w:szCs w:val="36"/>
          <w:rtl/>
        </w:rPr>
        <w:t>أن</w:t>
      </w:r>
      <w:r w:rsidR="00251CB6" w:rsidRPr="00FD211F">
        <w:rPr>
          <w:sz w:val="36"/>
          <w:szCs w:val="36"/>
          <w:rtl/>
        </w:rPr>
        <w:t>شيء</w:t>
      </w:r>
      <w:r w:rsidR="00E8128F">
        <w:rPr>
          <w:sz w:val="36"/>
          <w:szCs w:val="36"/>
          <w:rtl/>
        </w:rPr>
        <w:t xml:space="preserve"> </w:t>
      </w:r>
      <w:r w:rsidR="002B0CF7" w:rsidRPr="00FD211F">
        <w:rPr>
          <w:sz w:val="36"/>
          <w:szCs w:val="36"/>
          <w:rtl/>
        </w:rPr>
        <w:t>عنوان</w:t>
      </w:r>
      <w:r w:rsidR="00E8128F">
        <w:rPr>
          <w:sz w:val="36"/>
          <w:szCs w:val="36"/>
          <w:rtl/>
        </w:rPr>
        <w:t xml:space="preserve"> </w:t>
      </w:r>
      <w:r w:rsidR="002B0CF7" w:rsidRPr="00FD211F">
        <w:rPr>
          <w:sz w:val="36"/>
          <w:szCs w:val="36"/>
          <w:rtl/>
        </w:rPr>
        <w:t>المعذري</w:t>
      </w:r>
      <w:r w:rsidR="00EC7EDF" w:rsidRPr="00FD211F">
        <w:rPr>
          <w:sz w:val="36"/>
          <w:szCs w:val="36"/>
          <w:rtl/>
        </w:rPr>
        <w:t>ة</w:t>
      </w:r>
      <w:r w:rsidR="00E8128F">
        <w:rPr>
          <w:sz w:val="36"/>
          <w:szCs w:val="36"/>
          <w:rtl/>
        </w:rPr>
        <w:t xml:space="preserve"> </w:t>
      </w:r>
      <w:r w:rsidR="00201ACE" w:rsidRPr="00FD211F">
        <w:rPr>
          <w:sz w:val="36"/>
          <w:szCs w:val="36"/>
          <w:rtl/>
        </w:rPr>
        <w:t>بلا</w:t>
      </w:r>
      <w:r w:rsidR="00E8128F">
        <w:rPr>
          <w:sz w:val="36"/>
          <w:szCs w:val="36"/>
          <w:rtl/>
        </w:rPr>
        <w:t xml:space="preserve"> </w:t>
      </w:r>
      <w:r w:rsidR="00201ACE" w:rsidRPr="00FD211F">
        <w:rPr>
          <w:sz w:val="36"/>
          <w:szCs w:val="36"/>
          <w:rtl/>
        </w:rPr>
        <w:t>أي</w:t>
      </w:r>
      <w:r w:rsidR="00E8128F">
        <w:rPr>
          <w:sz w:val="36"/>
          <w:szCs w:val="36"/>
          <w:rtl/>
        </w:rPr>
        <w:t xml:space="preserve"> </w:t>
      </w:r>
      <w:r w:rsidR="00201ACE" w:rsidRPr="00FD211F">
        <w:rPr>
          <w:sz w:val="36"/>
          <w:szCs w:val="36"/>
          <w:rtl/>
        </w:rPr>
        <w:t>فرق</w:t>
      </w:r>
      <w:r w:rsidR="00E8128F">
        <w:rPr>
          <w:sz w:val="36"/>
          <w:szCs w:val="36"/>
          <w:rtl/>
        </w:rPr>
        <w:t xml:space="preserve"> </w:t>
      </w:r>
      <w:r w:rsidR="00201ACE" w:rsidRPr="00FD211F">
        <w:rPr>
          <w:sz w:val="36"/>
          <w:szCs w:val="36"/>
          <w:rtl/>
        </w:rPr>
        <w:t>بينهما.</w:t>
      </w:r>
    </w:p>
    <w:p w14:paraId="7F0F36AA" w14:textId="77777777" w:rsidR="00201ACE" w:rsidRPr="00FD211F" w:rsidRDefault="002B0CF7" w:rsidP="009C58C8">
      <w:pPr>
        <w:ind w:left="0" w:firstLine="227"/>
        <w:jc w:val="both"/>
        <w:rPr>
          <w:sz w:val="36"/>
          <w:szCs w:val="36"/>
          <w:rtl/>
        </w:rPr>
      </w:pPr>
      <w:r w:rsidRPr="00FD211F">
        <w:rPr>
          <w:b/>
          <w:bCs/>
          <w:sz w:val="36"/>
          <w:szCs w:val="36"/>
          <w:rtl/>
        </w:rPr>
        <w:t>وثانيا</w:t>
      </w:r>
      <w:r w:rsidRPr="00FD211F">
        <w:rPr>
          <w:sz w:val="36"/>
          <w:szCs w:val="36"/>
          <w:rtl/>
        </w:rPr>
        <w:t>:انه</w:t>
      </w:r>
      <w:r w:rsidR="00E8128F">
        <w:rPr>
          <w:sz w:val="36"/>
          <w:szCs w:val="36"/>
          <w:rtl/>
        </w:rPr>
        <w:t xml:space="preserve"> </w:t>
      </w:r>
      <w:r w:rsidRPr="00FD211F">
        <w:rPr>
          <w:sz w:val="36"/>
          <w:szCs w:val="36"/>
          <w:rtl/>
        </w:rPr>
        <w:t>ل</w:t>
      </w:r>
      <w:r w:rsidR="00424061" w:rsidRPr="00FD211F">
        <w:rPr>
          <w:sz w:val="36"/>
          <w:szCs w:val="36"/>
          <w:rtl/>
        </w:rPr>
        <w:t>ا</w:t>
      </w:r>
      <w:r w:rsidRPr="00FD211F">
        <w:rPr>
          <w:sz w:val="36"/>
          <w:szCs w:val="36"/>
          <w:rtl/>
        </w:rPr>
        <w:t>يخت</w:t>
      </w:r>
      <w:r w:rsidR="00424061" w:rsidRPr="00FD211F">
        <w:rPr>
          <w:sz w:val="36"/>
          <w:szCs w:val="36"/>
          <w:rtl/>
        </w:rPr>
        <w:t>ص</w:t>
      </w:r>
      <w:r w:rsidR="00E8128F">
        <w:rPr>
          <w:sz w:val="36"/>
          <w:szCs w:val="36"/>
          <w:rtl/>
        </w:rPr>
        <w:t xml:space="preserve"> </w:t>
      </w:r>
      <w:r w:rsidR="003A36CC" w:rsidRPr="00FD211F">
        <w:rPr>
          <w:sz w:val="36"/>
          <w:szCs w:val="36"/>
          <w:rtl/>
        </w:rPr>
        <w:t>الاصل</w:t>
      </w:r>
      <w:r w:rsidR="00E8128F">
        <w:rPr>
          <w:sz w:val="36"/>
          <w:szCs w:val="36"/>
          <w:rtl/>
        </w:rPr>
        <w:t xml:space="preserve"> </w:t>
      </w:r>
      <w:r w:rsidR="00424061" w:rsidRPr="00FD211F">
        <w:rPr>
          <w:sz w:val="36"/>
          <w:szCs w:val="36"/>
          <w:rtl/>
        </w:rPr>
        <w:t>المؤمن</w:t>
      </w:r>
      <w:r w:rsidR="00E8128F">
        <w:rPr>
          <w:sz w:val="36"/>
          <w:szCs w:val="36"/>
          <w:rtl/>
        </w:rPr>
        <w:t xml:space="preserve"> </w:t>
      </w:r>
      <w:r w:rsidR="00424061" w:rsidRPr="00FD211F">
        <w:rPr>
          <w:sz w:val="36"/>
          <w:szCs w:val="36"/>
          <w:rtl/>
        </w:rPr>
        <w:t>بهما</w:t>
      </w:r>
      <w:r w:rsidR="00E8128F">
        <w:rPr>
          <w:sz w:val="36"/>
          <w:szCs w:val="36"/>
          <w:rtl/>
        </w:rPr>
        <w:t xml:space="preserve"> </w:t>
      </w:r>
      <w:r w:rsidR="00424061" w:rsidRPr="00FD211F">
        <w:rPr>
          <w:sz w:val="36"/>
          <w:szCs w:val="36"/>
          <w:rtl/>
        </w:rPr>
        <w:t>بل</w:t>
      </w:r>
      <w:r w:rsidR="00E8128F">
        <w:rPr>
          <w:sz w:val="36"/>
          <w:szCs w:val="36"/>
          <w:rtl/>
        </w:rPr>
        <w:t xml:space="preserve"> </w:t>
      </w:r>
      <w:r w:rsidR="00424061" w:rsidRPr="00FD211F">
        <w:rPr>
          <w:sz w:val="36"/>
          <w:szCs w:val="36"/>
          <w:rtl/>
        </w:rPr>
        <w:t>قد</w:t>
      </w:r>
      <w:r w:rsidR="00E8128F">
        <w:rPr>
          <w:sz w:val="36"/>
          <w:szCs w:val="36"/>
          <w:rtl/>
        </w:rPr>
        <w:t xml:space="preserve"> </w:t>
      </w:r>
      <w:r w:rsidR="00424061" w:rsidRPr="00FD211F">
        <w:rPr>
          <w:sz w:val="36"/>
          <w:szCs w:val="36"/>
          <w:rtl/>
        </w:rPr>
        <w:t>يكون</w:t>
      </w:r>
      <w:r w:rsidR="00E8128F">
        <w:rPr>
          <w:sz w:val="36"/>
          <w:szCs w:val="36"/>
          <w:rtl/>
        </w:rPr>
        <w:t xml:space="preserve"> </w:t>
      </w:r>
      <w:r w:rsidRPr="00FD211F">
        <w:rPr>
          <w:sz w:val="36"/>
          <w:szCs w:val="36"/>
          <w:rtl/>
        </w:rPr>
        <w:t>الاصل</w:t>
      </w:r>
      <w:r w:rsidR="00E8128F">
        <w:rPr>
          <w:sz w:val="36"/>
          <w:szCs w:val="36"/>
          <w:rtl/>
        </w:rPr>
        <w:t xml:space="preserve"> </w:t>
      </w:r>
      <w:r w:rsidRPr="00FD211F">
        <w:rPr>
          <w:sz w:val="36"/>
          <w:szCs w:val="36"/>
          <w:rtl/>
        </w:rPr>
        <w:t>الجاري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اطراف</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الاجمالي</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الاستصحاب</w:t>
      </w:r>
      <w:r w:rsidR="00603323" w:rsidRPr="00FD211F">
        <w:rPr>
          <w:sz w:val="36"/>
          <w:szCs w:val="36"/>
          <w:rtl/>
        </w:rPr>
        <w:t>،</w:t>
      </w:r>
      <w:r w:rsidR="00E8128F">
        <w:rPr>
          <w:sz w:val="36"/>
          <w:szCs w:val="36"/>
          <w:rtl/>
        </w:rPr>
        <w:t xml:space="preserve"> </w:t>
      </w:r>
      <w:r w:rsidRPr="00FD211F">
        <w:rPr>
          <w:sz w:val="36"/>
          <w:szCs w:val="36"/>
          <w:rtl/>
        </w:rPr>
        <w:t>ولااشكال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كونه</w:t>
      </w:r>
      <w:r w:rsidR="00E8128F">
        <w:rPr>
          <w:sz w:val="36"/>
          <w:szCs w:val="36"/>
          <w:rtl/>
        </w:rPr>
        <w:t xml:space="preserve"> </w:t>
      </w:r>
      <w:r w:rsidRPr="00FD211F">
        <w:rPr>
          <w:sz w:val="36"/>
          <w:szCs w:val="36"/>
          <w:rtl/>
        </w:rPr>
        <w:t>قاعد</w:t>
      </w:r>
      <w:r w:rsidR="00EC7EDF" w:rsidRPr="00FD211F">
        <w:rPr>
          <w:sz w:val="36"/>
          <w:szCs w:val="36"/>
          <w:rtl/>
        </w:rPr>
        <w:t>ة</w:t>
      </w:r>
      <w:r w:rsidR="00E8128F">
        <w:rPr>
          <w:sz w:val="36"/>
          <w:szCs w:val="36"/>
          <w:rtl/>
        </w:rPr>
        <w:t xml:space="preserve"> </w:t>
      </w:r>
      <w:r w:rsidRPr="00FD211F">
        <w:rPr>
          <w:sz w:val="36"/>
          <w:szCs w:val="36"/>
          <w:rtl/>
        </w:rPr>
        <w:t>اصولي</w:t>
      </w:r>
      <w:r w:rsidR="00EC7EDF" w:rsidRPr="00FD211F">
        <w:rPr>
          <w:sz w:val="36"/>
          <w:szCs w:val="36"/>
          <w:rtl/>
        </w:rPr>
        <w:t>ة</w:t>
      </w:r>
      <w:r w:rsidR="00201ACE" w:rsidRPr="00FD211F">
        <w:rPr>
          <w:sz w:val="36"/>
          <w:szCs w:val="36"/>
          <w:rtl/>
        </w:rPr>
        <w:t>.</w:t>
      </w:r>
    </w:p>
    <w:p w14:paraId="05B126CD" w14:textId="77777777" w:rsidR="00E40872" w:rsidRPr="00FD211F" w:rsidRDefault="002B0CF7" w:rsidP="009C58C8">
      <w:pPr>
        <w:ind w:left="0" w:firstLine="227"/>
        <w:jc w:val="both"/>
        <w:rPr>
          <w:sz w:val="36"/>
          <w:szCs w:val="36"/>
          <w:rtl/>
          <w:lang w:bidi="fa-IR"/>
        </w:rPr>
      </w:pPr>
      <w:r w:rsidRPr="00FD211F">
        <w:rPr>
          <w:b/>
          <w:bCs/>
          <w:sz w:val="36"/>
          <w:szCs w:val="36"/>
          <w:rtl/>
        </w:rPr>
        <w:t>وثالثا</w:t>
      </w:r>
      <w:r w:rsidRPr="00FD211F">
        <w:rPr>
          <w:sz w:val="36"/>
          <w:szCs w:val="36"/>
          <w:rtl/>
        </w:rPr>
        <w:t>:</w:t>
      </w:r>
      <w:r w:rsidR="00E8128F">
        <w:rPr>
          <w:sz w:val="36"/>
          <w:szCs w:val="36"/>
          <w:rtl/>
        </w:rPr>
        <w:t xml:space="preserve"> </w:t>
      </w:r>
      <w:r w:rsidR="00424061" w:rsidRPr="00FD211F">
        <w:rPr>
          <w:sz w:val="36"/>
          <w:szCs w:val="36"/>
          <w:rtl/>
        </w:rPr>
        <w:t>ان</w:t>
      </w:r>
      <w:r w:rsidR="00E8128F">
        <w:rPr>
          <w:sz w:val="36"/>
          <w:szCs w:val="36"/>
          <w:rtl/>
        </w:rPr>
        <w:t xml:space="preserve"> </w:t>
      </w:r>
      <w:r w:rsidR="00424061" w:rsidRPr="00FD211F">
        <w:rPr>
          <w:sz w:val="36"/>
          <w:szCs w:val="36"/>
          <w:rtl/>
        </w:rPr>
        <w:t>البحث</w:t>
      </w:r>
      <w:r w:rsidR="00E8128F">
        <w:rPr>
          <w:sz w:val="36"/>
          <w:szCs w:val="36"/>
          <w:rtl/>
        </w:rPr>
        <w:t xml:space="preserve"> </w:t>
      </w:r>
      <w:r w:rsidR="00424061" w:rsidRPr="00FD211F">
        <w:rPr>
          <w:sz w:val="36"/>
          <w:szCs w:val="36"/>
          <w:rtl/>
        </w:rPr>
        <w:t>في</w:t>
      </w:r>
      <w:r w:rsidR="00E8128F">
        <w:rPr>
          <w:sz w:val="36"/>
          <w:szCs w:val="36"/>
          <w:rtl/>
        </w:rPr>
        <w:t xml:space="preserve"> </w:t>
      </w:r>
      <w:r w:rsidR="00424061" w:rsidRPr="00FD211F">
        <w:rPr>
          <w:sz w:val="36"/>
          <w:szCs w:val="36"/>
          <w:rtl/>
        </w:rPr>
        <w:t>الاشتغال</w:t>
      </w:r>
      <w:r w:rsidR="00E8128F">
        <w:rPr>
          <w:sz w:val="36"/>
          <w:szCs w:val="36"/>
          <w:rtl/>
        </w:rPr>
        <w:t xml:space="preserve"> </w:t>
      </w:r>
      <w:r w:rsidR="00424061" w:rsidRPr="00FD211F">
        <w:rPr>
          <w:sz w:val="36"/>
          <w:szCs w:val="36"/>
          <w:rtl/>
        </w:rPr>
        <w:t>عن</w:t>
      </w:r>
      <w:r w:rsidR="00E8128F">
        <w:rPr>
          <w:sz w:val="36"/>
          <w:szCs w:val="36"/>
          <w:rtl/>
        </w:rPr>
        <w:t xml:space="preserve"> </w:t>
      </w:r>
      <w:r w:rsidR="00424061" w:rsidRPr="00FD211F">
        <w:rPr>
          <w:sz w:val="36"/>
          <w:szCs w:val="36"/>
          <w:rtl/>
        </w:rPr>
        <w:t>امكان</w:t>
      </w:r>
      <w:r w:rsidR="00E8128F">
        <w:rPr>
          <w:sz w:val="36"/>
          <w:szCs w:val="36"/>
          <w:rtl/>
        </w:rPr>
        <w:t xml:space="preserve"> </w:t>
      </w:r>
      <w:r w:rsidR="00424061" w:rsidRPr="00FD211F">
        <w:rPr>
          <w:sz w:val="36"/>
          <w:szCs w:val="36"/>
          <w:rtl/>
        </w:rPr>
        <w:t>جريان</w:t>
      </w:r>
      <w:r w:rsidR="00E8128F">
        <w:rPr>
          <w:sz w:val="36"/>
          <w:szCs w:val="36"/>
          <w:rtl/>
        </w:rPr>
        <w:t xml:space="preserve"> </w:t>
      </w:r>
      <w:r w:rsidR="00424061" w:rsidRPr="00FD211F">
        <w:rPr>
          <w:sz w:val="36"/>
          <w:szCs w:val="36"/>
          <w:rtl/>
        </w:rPr>
        <w:t>الاصل</w:t>
      </w:r>
      <w:r w:rsidR="00E8128F">
        <w:rPr>
          <w:sz w:val="36"/>
          <w:szCs w:val="36"/>
          <w:rtl/>
        </w:rPr>
        <w:t xml:space="preserve"> </w:t>
      </w:r>
      <w:r w:rsidR="00424061" w:rsidRPr="00FD211F">
        <w:rPr>
          <w:sz w:val="36"/>
          <w:szCs w:val="36"/>
          <w:rtl/>
        </w:rPr>
        <w:t>المؤمن</w:t>
      </w:r>
      <w:r w:rsidR="00E8128F">
        <w:rPr>
          <w:sz w:val="36"/>
          <w:szCs w:val="36"/>
          <w:rtl/>
        </w:rPr>
        <w:t xml:space="preserve"> </w:t>
      </w:r>
      <w:r w:rsidR="00424061" w:rsidRPr="00FD211F">
        <w:rPr>
          <w:sz w:val="36"/>
          <w:szCs w:val="36"/>
          <w:rtl/>
        </w:rPr>
        <w:t>في</w:t>
      </w:r>
      <w:r w:rsidR="00E8128F">
        <w:rPr>
          <w:sz w:val="36"/>
          <w:szCs w:val="36"/>
          <w:rtl/>
        </w:rPr>
        <w:t xml:space="preserve"> </w:t>
      </w:r>
      <w:r w:rsidR="00424061" w:rsidRPr="00FD211F">
        <w:rPr>
          <w:sz w:val="36"/>
          <w:szCs w:val="36"/>
          <w:rtl/>
        </w:rPr>
        <w:t>اطراف</w:t>
      </w:r>
      <w:r w:rsidR="00E8128F">
        <w:rPr>
          <w:sz w:val="36"/>
          <w:szCs w:val="36"/>
          <w:rtl/>
        </w:rPr>
        <w:t xml:space="preserve"> </w:t>
      </w:r>
      <w:r w:rsidR="00424061" w:rsidRPr="00FD211F">
        <w:rPr>
          <w:sz w:val="36"/>
          <w:szCs w:val="36"/>
          <w:rtl/>
        </w:rPr>
        <w:t>العلم</w:t>
      </w:r>
      <w:r w:rsidR="00E8128F">
        <w:rPr>
          <w:sz w:val="36"/>
          <w:szCs w:val="36"/>
          <w:rtl/>
        </w:rPr>
        <w:t xml:space="preserve"> </w:t>
      </w:r>
      <w:r w:rsidR="00424061" w:rsidRPr="00FD211F">
        <w:rPr>
          <w:sz w:val="36"/>
          <w:szCs w:val="36"/>
          <w:rtl/>
        </w:rPr>
        <w:t>الإجمالي</w:t>
      </w:r>
      <w:r w:rsidR="00603323" w:rsidRPr="00FD211F">
        <w:rPr>
          <w:sz w:val="36"/>
          <w:szCs w:val="36"/>
          <w:rtl/>
        </w:rPr>
        <w:t>،</w:t>
      </w:r>
      <w:r w:rsidR="00E8128F">
        <w:rPr>
          <w:sz w:val="36"/>
          <w:szCs w:val="36"/>
          <w:rtl/>
        </w:rPr>
        <w:t xml:space="preserve"> </w:t>
      </w:r>
      <w:r w:rsidR="00424061" w:rsidRPr="00FD211F">
        <w:rPr>
          <w:sz w:val="36"/>
          <w:szCs w:val="36"/>
          <w:rtl/>
        </w:rPr>
        <w:t>والبحث</w:t>
      </w:r>
      <w:r w:rsidR="00E8128F">
        <w:rPr>
          <w:sz w:val="36"/>
          <w:szCs w:val="36"/>
          <w:rtl/>
        </w:rPr>
        <w:t xml:space="preserve"> </w:t>
      </w:r>
      <w:r w:rsidR="00424061" w:rsidRPr="00FD211F">
        <w:rPr>
          <w:sz w:val="36"/>
          <w:szCs w:val="36"/>
          <w:rtl/>
        </w:rPr>
        <w:t>عن</w:t>
      </w:r>
      <w:r w:rsidR="00E8128F">
        <w:rPr>
          <w:sz w:val="36"/>
          <w:szCs w:val="36"/>
          <w:rtl/>
        </w:rPr>
        <w:t xml:space="preserve"> </w:t>
      </w:r>
      <w:r w:rsidR="00424061" w:rsidRPr="00FD211F">
        <w:rPr>
          <w:sz w:val="36"/>
          <w:szCs w:val="36"/>
          <w:rtl/>
        </w:rPr>
        <w:t>امكانه</w:t>
      </w:r>
      <w:r w:rsidR="00E8128F">
        <w:rPr>
          <w:sz w:val="36"/>
          <w:szCs w:val="36"/>
          <w:rtl/>
        </w:rPr>
        <w:t xml:space="preserve"> </w:t>
      </w:r>
      <w:r w:rsidR="003A36CC" w:rsidRPr="00FD211F">
        <w:rPr>
          <w:sz w:val="36"/>
          <w:szCs w:val="36"/>
          <w:rtl/>
        </w:rPr>
        <w:t>بحث</w:t>
      </w:r>
      <w:r w:rsidR="00E8128F">
        <w:rPr>
          <w:sz w:val="36"/>
          <w:szCs w:val="36"/>
          <w:rtl/>
        </w:rPr>
        <w:t xml:space="preserve"> </w:t>
      </w:r>
      <w:r w:rsidR="00424061" w:rsidRPr="00FD211F">
        <w:rPr>
          <w:sz w:val="36"/>
          <w:szCs w:val="36"/>
          <w:rtl/>
        </w:rPr>
        <w:t>اصولي</w:t>
      </w:r>
      <w:r w:rsidR="00E8128F">
        <w:rPr>
          <w:sz w:val="36"/>
          <w:szCs w:val="36"/>
          <w:rtl/>
        </w:rPr>
        <w:t xml:space="preserve"> </w:t>
      </w:r>
      <w:r w:rsidR="00424061" w:rsidRPr="00FD211F">
        <w:rPr>
          <w:sz w:val="36"/>
          <w:szCs w:val="36"/>
          <w:rtl/>
        </w:rPr>
        <w:t>بلااشكال.</w:t>
      </w:r>
    </w:p>
    <w:p w14:paraId="782A3081" w14:textId="77777777" w:rsidR="00E6002B" w:rsidRPr="00FD211F" w:rsidRDefault="00E6002B" w:rsidP="009C58C8">
      <w:pPr>
        <w:pStyle w:val="3"/>
        <w:ind w:firstLine="227"/>
        <w:jc w:val="both"/>
        <w:rPr>
          <w:rtl/>
        </w:rPr>
        <w:sectPr w:rsidR="00E6002B" w:rsidRPr="00FD211F" w:rsidSect="00D24300">
          <w:headerReference w:type="even" r:id="rId10"/>
          <w:headerReference w:type="default" r:id="rId11"/>
          <w:footnotePr>
            <w:numRestart w:val="eachPage"/>
          </w:footnotePr>
          <w:pgSz w:w="10319" w:h="14578" w:code="138"/>
          <w:pgMar w:top="1418" w:right="1701" w:bottom="1418" w:left="1701" w:header="1418" w:footer="964" w:gutter="0"/>
          <w:cols w:space="720"/>
          <w:titlePg/>
          <w:bidi/>
          <w:rtlGutter/>
          <w:docGrid w:linePitch="360"/>
        </w:sectPr>
      </w:pPr>
      <w:bookmarkStart w:id="47" w:name="_Toc151944583"/>
      <w:bookmarkStart w:id="48" w:name="_Toc154131710"/>
      <w:bookmarkStart w:id="49" w:name="_Toc156401498"/>
      <w:bookmarkStart w:id="50" w:name="_Toc192092844"/>
    </w:p>
    <w:p w14:paraId="0593C140" w14:textId="77777777" w:rsidR="003D21A8" w:rsidRPr="00FD211F" w:rsidRDefault="003D21A8" w:rsidP="009C58C8">
      <w:pPr>
        <w:pStyle w:val="3"/>
        <w:ind w:firstLine="227"/>
        <w:jc w:val="both"/>
        <w:rPr>
          <w:rtl/>
        </w:rPr>
      </w:pPr>
      <w:bookmarkStart w:id="51" w:name="_Toc223890311"/>
      <w:r w:rsidRPr="00FD211F">
        <w:rPr>
          <w:rtl/>
        </w:rPr>
        <w:lastRenderedPageBreak/>
        <w:t>اقسام</w:t>
      </w:r>
      <w:r w:rsidR="00E8128F">
        <w:rPr>
          <w:rtl/>
        </w:rPr>
        <w:t xml:space="preserve"> </w:t>
      </w:r>
      <w:r w:rsidRPr="00FD211F">
        <w:rPr>
          <w:rtl/>
        </w:rPr>
        <w:t>الدليل</w:t>
      </w:r>
      <w:r w:rsidR="00E8128F">
        <w:rPr>
          <w:rtl/>
        </w:rPr>
        <w:t xml:space="preserve"> </w:t>
      </w:r>
      <w:r w:rsidRPr="00FD211F">
        <w:rPr>
          <w:rtl/>
        </w:rPr>
        <w:t>على</w:t>
      </w:r>
      <w:r w:rsidR="00E8128F">
        <w:rPr>
          <w:rtl/>
        </w:rPr>
        <w:t xml:space="preserve"> </w:t>
      </w:r>
      <w:r w:rsidRPr="00FD211F">
        <w:rPr>
          <w:rtl/>
        </w:rPr>
        <w:t>الجعل</w:t>
      </w:r>
      <w:r w:rsidR="00E8128F">
        <w:rPr>
          <w:rtl/>
        </w:rPr>
        <w:t xml:space="preserve"> </w:t>
      </w:r>
      <w:r w:rsidRPr="00FD211F">
        <w:rPr>
          <w:rtl/>
        </w:rPr>
        <w:t>الشرعي</w:t>
      </w:r>
      <w:bookmarkEnd w:id="47"/>
      <w:bookmarkEnd w:id="48"/>
      <w:bookmarkEnd w:id="49"/>
      <w:bookmarkEnd w:id="50"/>
      <w:bookmarkEnd w:id="51"/>
    </w:p>
    <w:p w14:paraId="10695572" w14:textId="77777777" w:rsidR="000C5BBA" w:rsidRPr="00FD211F" w:rsidRDefault="00E80FAC" w:rsidP="009C58C8">
      <w:pPr>
        <w:ind w:left="0" w:firstLine="227"/>
        <w:jc w:val="both"/>
        <w:rPr>
          <w:sz w:val="36"/>
          <w:szCs w:val="36"/>
          <w:rtl/>
        </w:rPr>
      </w:pPr>
      <w:r w:rsidRPr="00FD211F">
        <w:rPr>
          <w:sz w:val="36"/>
          <w:szCs w:val="36"/>
          <w:rtl/>
        </w:rPr>
        <w:t>ذكر</w:t>
      </w:r>
      <w:r w:rsidR="003D21A8" w:rsidRPr="00FD211F">
        <w:rPr>
          <w:sz w:val="36"/>
          <w:szCs w:val="36"/>
          <w:rtl/>
        </w:rPr>
        <w:t>في</w:t>
      </w:r>
      <w:r w:rsidR="00E8128F">
        <w:rPr>
          <w:sz w:val="36"/>
          <w:szCs w:val="36"/>
          <w:rtl/>
        </w:rPr>
        <w:t xml:space="preserve"> </w:t>
      </w:r>
      <w:r w:rsidR="003D21A8" w:rsidRPr="00FD211F">
        <w:rPr>
          <w:sz w:val="36"/>
          <w:szCs w:val="36"/>
          <w:rtl/>
        </w:rPr>
        <w:t>البحوث</w:t>
      </w:r>
      <w:r w:rsidR="00E8128F">
        <w:rPr>
          <w:sz w:val="36"/>
          <w:szCs w:val="36"/>
          <w:rtl/>
        </w:rPr>
        <w:t xml:space="preserve"> </w:t>
      </w:r>
      <w:r w:rsidR="009D715E" w:rsidRPr="00FD211F">
        <w:rPr>
          <w:sz w:val="36"/>
          <w:szCs w:val="36"/>
          <w:rtl/>
        </w:rPr>
        <w:t>مامحصله</w:t>
      </w:r>
      <w:r w:rsidR="00E8128F">
        <w:rPr>
          <w:sz w:val="36"/>
          <w:szCs w:val="36"/>
          <w:rtl/>
        </w:rPr>
        <w:t xml:space="preserve"> </w:t>
      </w:r>
      <w:r w:rsidRPr="00FD211F">
        <w:rPr>
          <w:sz w:val="36"/>
          <w:szCs w:val="36"/>
          <w:rtl/>
        </w:rPr>
        <w:t>أن</w:t>
      </w:r>
      <w:r w:rsidR="00E8128F">
        <w:rPr>
          <w:sz w:val="36"/>
          <w:szCs w:val="36"/>
          <w:rtl/>
        </w:rPr>
        <w:t xml:space="preserve"> </w:t>
      </w:r>
      <w:r w:rsidR="003D21A8" w:rsidRPr="00FD211F">
        <w:rPr>
          <w:sz w:val="36"/>
          <w:szCs w:val="36"/>
          <w:rtl/>
        </w:rPr>
        <w:t>الدليل</w:t>
      </w:r>
      <w:r w:rsidR="00E8128F">
        <w:rPr>
          <w:sz w:val="36"/>
          <w:szCs w:val="36"/>
          <w:rtl/>
        </w:rPr>
        <w:t xml:space="preserve"> </w:t>
      </w:r>
      <w:r w:rsidR="003D21A8" w:rsidRPr="00FD211F">
        <w:rPr>
          <w:sz w:val="36"/>
          <w:szCs w:val="36"/>
          <w:rtl/>
        </w:rPr>
        <w:t>على</w:t>
      </w:r>
      <w:r w:rsidR="00E8128F">
        <w:rPr>
          <w:sz w:val="36"/>
          <w:szCs w:val="36"/>
          <w:rtl/>
        </w:rPr>
        <w:t xml:space="preserve"> </w:t>
      </w:r>
      <w:r w:rsidR="003D21A8" w:rsidRPr="00FD211F">
        <w:rPr>
          <w:sz w:val="36"/>
          <w:szCs w:val="36"/>
          <w:rtl/>
        </w:rPr>
        <w:t>الجعل</w:t>
      </w:r>
      <w:r w:rsidR="00E8128F">
        <w:rPr>
          <w:sz w:val="36"/>
          <w:szCs w:val="36"/>
          <w:rtl/>
        </w:rPr>
        <w:t xml:space="preserve"> </w:t>
      </w:r>
      <w:r w:rsidR="003D21A8" w:rsidRPr="00FD211F">
        <w:rPr>
          <w:sz w:val="36"/>
          <w:szCs w:val="36"/>
          <w:rtl/>
        </w:rPr>
        <w:t>الشرعي</w:t>
      </w:r>
      <w:r w:rsidR="00E8128F">
        <w:rPr>
          <w:sz w:val="36"/>
          <w:szCs w:val="36"/>
          <w:rtl/>
        </w:rPr>
        <w:t xml:space="preserve"> </w:t>
      </w:r>
      <w:r w:rsidRPr="00FD211F">
        <w:rPr>
          <w:sz w:val="36"/>
          <w:szCs w:val="36"/>
          <w:rtl/>
        </w:rPr>
        <w:t>ينقسم</w:t>
      </w:r>
      <w:r w:rsidR="00E8128F">
        <w:rPr>
          <w:sz w:val="36"/>
          <w:szCs w:val="36"/>
          <w:rtl/>
        </w:rPr>
        <w:t xml:space="preserve"> </w:t>
      </w:r>
      <w:r w:rsidR="003D21A8" w:rsidRPr="00FD211F">
        <w:rPr>
          <w:sz w:val="36"/>
          <w:szCs w:val="36"/>
          <w:rtl/>
        </w:rPr>
        <w:t>الى</w:t>
      </w:r>
      <w:r w:rsidR="00E8128F">
        <w:rPr>
          <w:sz w:val="36"/>
          <w:szCs w:val="36"/>
          <w:rtl/>
        </w:rPr>
        <w:t xml:space="preserve"> </w:t>
      </w:r>
      <w:r w:rsidRPr="00FD211F">
        <w:rPr>
          <w:sz w:val="36"/>
          <w:szCs w:val="36"/>
          <w:rtl/>
        </w:rPr>
        <w:t>دليل</w:t>
      </w:r>
      <w:r w:rsidR="00E8128F">
        <w:rPr>
          <w:sz w:val="36"/>
          <w:szCs w:val="36"/>
          <w:rtl/>
        </w:rPr>
        <w:t xml:space="preserve"> </w:t>
      </w:r>
      <w:r w:rsidR="003D21A8" w:rsidRPr="00FD211F">
        <w:rPr>
          <w:sz w:val="36"/>
          <w:szCs w:val="36"/>
          <w:rtl/>
        </w:rPr>
        <w:t>لفظي</w:t>
      </w:r>
      <w:r w:rsidR="00E8128F">
        <w:rPr>
          <w:sz w:val="36"/>
          <w:szCs w:val="36"/>
          <w:rtl/>
        </w:rPr>
        <w:t xml:space="preserve"> </w:t>
      </w:r>
      <w:r w:rsidR="002221E2" w:rsidRPr="00FD211F">
        <w:rPr>
          <w:sz w:val="36"/>
          <w:szCs w:val="36"/>
          <w:rtl/>
        </w:rPr>
        <w:t>وعقلي</w:t>
      </w:r>
      <w:r w:rsidR="00E8128F">
        <w:rPr>
          <w:sz w:val="36"/>
          <w:szCs w:val="36"/>
          <w:rtl/>
        </w:rPr>
        <w:t xml:space="preserve"> </w:t>
      </w:r>
      <w:r w:rsidR="002221E2" w:rsidRPr="00FD211F">
        <w:rPr>
          <w:sz w:val="36"/>
          <w:szCs w:val="36"/>
          <w:rtl/>
        </w:rPr>
        <w:t>وشرعي</w:t>
      </w:r>
      <w:r w:rsidR="003A36CC" w:rsidRPr="00FD211F">
        <w:rPr>
          <w:sz w:val="36"/>
          <w:szCs w:val="36"/>
          <w:rtl/>
        </w:rPr>
        <w:t>.</w:t>
      </w:r>
    </w:p>
    <w:p w14:paraId="33FFBBCC" w14:textId="77777777" w:rsidR="003A36CC" w:rsidRPr="00FD211F" w:rsidRDefault="003A36CC" w:rsidP="009C58C8">
      <w:pPr>
        <w:ind w:left="0" w:firstLine="227"/>
        <w:jc w:val="both"/>
        <w:rPr>
          <w:sz w:val="36"/>
          <w:szCs w:val="36"/>
          <w:rtl/>
        </w:rPr>
      </w:pPr>
      <w:r w:rsidRPr="00FD211F">
        <w:rPr>
          <w:b/>
          <w:bCs/>
          <w:sz w:val="36"/>
          <w:szCs w:val="36"/>
          <w:rtl/>
        </w:rPr>
        <w:t>اما</w:t>
      </w:r>
      <w:r w:rsidR="00E8128F">
        <w:rPr>
          <w:b/>
          <w:bCs/>
          <w:sz w:val="36"/>
          <w:szCs w:val="36"/>
          <w:rtl/>
        </w:rPr>
        <w:t xml:space="preserve"> </w:t>
      </w:r>
      <w:r w:rsidRPr="00FD211F">
        <w:rPr>
          <w:b/>
          <w:bCs/>
          <w:sz w:val="36"/>
          <w:szCs w:val="36"/>
          <w:rtl/>
        </w:rPr>
        <w:t>الدليل</w:t>
      </w:r>
      <w:r w:rsidR="00E8128F">
        <w:rPr>
          <w:b/>
          <w:bCs/>
          <w:sz w:val="36"/>
          <w:szCs w:val="36"/>
          <w:rtl/>
        </w:rPr>
        <w:t xml:space="preserve"> </w:t>
      </w:r>
      <w:r w:rsidRPr="00FD211F">
        <w:rPr>
          <w:b/>
          <w:bCs/>
          <w:sz w:val="36"/>
          <w:szCs w:val="36"/>
          <w:rtl/>
        </w:rPr>
        <w:t>اللفظي</w:t>
      </w:r>
      <w:r w:rsidR="00E8128F">
        <w:rPr>
          <w:sz w:val="36"/>
          <w:szCs w:val="36"/>
          <w:rtl/>
        </w:rPr>
        <w:t xml:space="preserve"> </w:t>
      </w:r>
      <w:r w:rsidRPr="00FD211F">
        <w:rPr>
          <w:sz w:val="36"/>
          <w:szCs w:val="36"/>
          <w:rtl/>
        </w:rPr>
        <w:t>فالمراد</w:t>
      </w:r>
      <w:r w:rsidR="00E8128F">
        <w:rPr>
          <w:sz w:val="36"/>
          <w:szCs w:val="36"/>
          <w:rtl/>
        </w:rPr>
        <w:t xml:space="preserve"> </w:t>
      </w:r>
      <w:r w:rsidRPr="00FD211F">
        <w:rPr>
          <w:sz w:val="36"/>
          <w:szCs w:val="36"/>
          <w:rtl/>
        </w:rPr>
        <w:t>منه</w:t>
      </w:r>
      <w:r w:rsidR="00E8128F">
        <w:rPr>
          <w:sz w:val="36"/>
          <w:szCs w:val="36"/>
          <w:rtl/>
        </w:rPr>
        <w:t xml:space="preserve"> </w:t>
      </w:r>
      <w:r w:rsidR="00E80FAC" w:rsidRPr="00FD211F">
        <w:rPr>
          <w:sz w:val="36"/>
          <w:szCs w:val="36"/>
          <w:rtl/>
        </w:rPr>
        <w:t>هنا</w:t>
      </w:r>
      <w:r w:rsidR="00E8128F">
        <w:rPr>
          <w:sz w:val="36"/>
          <w:szCs w:val="36"/>
          <w:rtl/>
        </w:rPr>
        <w:t xml:space="preserve"> </w:t>
      </w:r>
      <w:r w:rsidR="00B15B6A" w:rsidRPr="00FD211F">
        <w:rPr>
          <w:sz w:val="36"/>
          <w:szCs w:val="36"/>
          <w:rtl/>
        </w:rPr>
        <w:t>كل</w:t>
      </w:r>
      <w:r w:rsidR="00E8128F">
        <w:rPr>
          <w:sz w:val="36"/>
          <w:szCs w:val="36"/>
          <w:rtl/>
        </w:rPr>
        <w:t xml:space="preserve"> </w:t>
      </w:r>
      <w:r w:rsidR="00B15B6A" w:rsidRPr="00FD211F">
        <w:rPr>
          <w:sz w:val="36"/>
          <w:szCs w:val="36"/>
          <w:rtl/>
        </w:rPr>
        <w:t>دليل</w:t>
      </w:r>
      <w:r w:rsidR="00E8128F">
        <w:rPr>
          <w:sz w:val="36"/>
          <w:szCs w:val="36"/>
          <w:rtl/>
        </w:rPr>
        <w:t xml:space="preserve"> </w:t>
      </w:r>
      <w:r w:rsidR="00B15B6A" w:rsidRPr="00FD211F">
        <w:rPr>
          <w:sz w:val="36"/>
          <w:szCs w:val="36"/>
          <w:rtl/>
        </w:rPr>
        <w:t>تكون</w:t>
      </w:r>
      <w:r w:rsidR="00E8128F">
        <w:rPr>
          <w:sz w:val="36"/>
          <w:szCs w:val="36"/>
          <w:rtl/>
        </w:rPr>
        <w:t xml:space="preserve"> </w:t>
      </w:r>
      <w:r w:rsidR="00B15B6A" w:rsidRPr="00FD211F">
        <w:rPr>
          <w:sz w:val="36"/>
          <w:szCs w:val="36"/>
          <w:rtl/>
        </w:rPr>
        <w:t>دلالته</w:t>
      </w:r>
      <w:r w:rsidR="00E8128F">
        <w:rPr>
          <w:sz w:val="36"/>
          <w:szCs w:val="36"/>
          <w:rtl/>
        </w:rPr>
        <w:t xml:space="preserve"> </w:t>
      </w:r>
      <w:r w:rsidR="00B15B6A" w:rsidRPr="00FD211F">
        <w:rPr>
          <w:sz w:val="36"/>
          <w:szCs w:val="36"/>
          <w:rtl/>
        </w:rPr>
        <w:t>على</w:t>
      </w:r>
      <w:r w:rsidR="00E8128F">
        <w:rPr>
          <w:sz w:val="36"/>
          <w:szCs w:val="36"/>
          <w:rtl/>
        </w:rPr>
        <w:t xml:space="preserve"> </w:t>
      </w:r>
      <w:r w:rsidR="00B15B6A" w:rsidRPr="00FD211F">
        <w:rPr>
          <w:sz w:val="36"/>
          <w:szCs w:val="36"/>
          <w:rtl/>
        </w:rPr>
        <w:t>اساس</w:t>
      </w:r>
      <w:r w:rsidR="00E8128F">
        <w:rPr>
          <w:sz w:val="36"/>
          <w:szCs w:val="36"/>
          <w:rtl/>
        </w:rPr>
        <w:t xml:space="preserve"> </w:t>
      </w:r>
      <w:r w:rsidR="00B15B6A" w:rsidRPr="00FD211F">
        <w:rPr>
          <w:sz w:val="36"/>
          <w:szCs w:val="36"/>
          <w:rtl/>
        </w:rPr>
        <w:t>الوضع</w:t>
      </w:r>
      <w:r w:rsidR="00E8128F">
        <w:rPr>
          <w:sz w:val="36"/>
          <w:szCs w:val="36"/>
          <w:rtl/>
        </w:rPr>
        <w:t xml:space="preserve"> </w:t>
      </w:r>
      <w:r w:rsidR="00B15B6A" w:rsidRPr="00FD211F">
        <w:rPr>
          <w:sz w:val="36"/>
          <w:szCs w:val="36"/>
          <w:rtl/>
        </w:rPr>
        <w:t>اللغوي</w:t>
      </w:r>
      <w:r w:rsidR="00E8128F">
        <w:rPr>
          <w:sz w:val="36"/>
          <w:szCs w:val="36"/>
          <w:rtl/>
        </w:rPr>
        <w:t xml:space="preserve"> </w:t>
      </w:r>
      <w:r w:rsidR="002221E2" w:rsidRPr="00FD211F">
        <w:rPr>
          <w:sz w:val="36"/>
          <w:szCs w:val="36"/>
          <w:rtl/>
        </w:rPr>
        <w:t>او</w:t>
      </w:r>
      <w:r w:rsidR="00E80FAC" w:rsidRPr="00FD211F">
        <w:rPr>
          <w:sz w:val="36"/>
          <w:szCs w:val="36"/>
          <w:rtl/>
        </w:rPr>
        <w:t>الظهور</w:t>
      </w:r>
      <w:r w:rsidR="00E8128F">
        <w:rPr>
          <w:sz w:val="36"/>
          <w:szCs w:val="36"/>
          <w:rtl/>
        </w:rPr>
        <w:t xml:space="preserve"> </w:t>
      </w:r>
      <w:r w:rsidR="002221E2" w:rsidRPr="00FD211F">
        <w:rPr>
          <w:sz w:val="36"/>
          <w:szCs w:val="36"/>
          <w:rtl/>
        </w:rPr>
        <w:t>العرفي</w:t>
      </w:r>
      <w:r w:rsidR="00E8128F">
        <w:rPr>
          <w:sz w:val="36"/>
          <w:szCs w:val="36"/>
          <w:rtl/>
        </w:rPr>
        <w:t xml:space="preserve"> </w:t>
      </w:r>
      <w:r w:rsidR="002221E2" w:rsidRPr="00FD211F">
        <w:rPr>
          <w:sz w:val="36"/>
          <w:szCs w:val="36"/>
          <w:rtl/>
        </w:rPr>
        <w:t>العام</w:t>
      </w:r>
      <w:r w:rsidR="00E8128F">
        <w:rPr>
          <w:sz w:val="36"/>
          <w:szCs w:val="36"/>
          <w:rtl/>
        </w:rPr>
        <w:t xml:space="preserve"> </w:t>
      </w:r>
      <w:r w:rsidR="002221E2" w:rsidRPr="00FD211F">
        <w:rPr>
          <w:sz w:val="36"/>
          <w:szCs w:val="36"/>
          <w:rtl/>
        </w:rPr>
        <w:t>فيشمل</w:t>
      </w:r>
      <w:r w:rsidR="00E8128F">
        <w:rPr>
          <w:sz w:val="36"/>
          <w:szCs w:val="36"/>
          <w:rtl/>
        </w:rPr>
        <w:t xml:space="preserve"> </w:t>
      </w:r>
      <w:r w:rsidR="00E80FAC" w:rsidRPr="00FD211F">
        <w:rPr>
          <w:sz w:val="36"/>
          <w:szCs w:val="36"/>
          <w:rtl/>
        </w:rPr>
        <w:t>مثل</w:t>
      </w:r>
      <w:r w:rsidR="00E8128F">
        <w:rPr>
          <w:sz w:val="36"/>
          <w:szCs w:val="36"/>
          <w:rtl/>
        </w:rPr>
        <w:t xml:space="preserve"> </w:t>
      </w:r>
      <w:r w:rsidR="002221E2" w:rsidRPr="00FD211F">
        <w:rPr>
          <w:sz w:val="36"/>
          <w:szCs w:val="36"/>
          <w:rtl/>
        </w:rPr>
        <w:t>دلال</w:t>
      </w:r>
      <w:r w:rsidR="00EC7EDF" w:rsidRPr="00FD211F">
        <w:rPr>
          <w:sz w:val="36"/>
          <w:szCs w:val="36"/>
          <w:rtl/>
        </w:rPr>
        <w:t>ة</w:t>
      </w:r>
      <w:r w:rsidR="00E8128F">
        <w:rPr>
          <w:sz w:val="36"/>
          <w:szCs w:val="36"/>
          <w:rtl/>
        </w:rPr>
        <w:t xml:space="preserve"> </w:t>
      </w:r>
      <w:r w:rsidR="002221E2" w:rsidRPr="00FD211F">
        <w:rPr>
          <w:sz w:val="36"/>
          <w:szCs w:val="36"/>
          <w:rtl/>
        </w:rPr>
        <w:t>فعل</w:t>
      </w:r>
      <w:r w:rsidR="00E8128F">
        <w:rPr>
          <w:sz w:val="36"/>
          <w:szCs w:val="36"/>
          <w:rtl/>
        </w:rPr>
        <w:t xml:space="preserve"> </w:t>
      </w:r>
      <w:r w:rsidRPr="00FD211F">
        <w:rPr>
          <w:sz w:val="36"/>
          <w:szCs w:val="36"/>
          <w:rtl/>
        </w:rPr>
        <w:t>الامام</w:t>
      </w:r>
      <w:r w:rsidR="00E8128F">
        <w:rPr>
          <w:sz w:val="36"/>
          <w:szCs w:val="36"/>
          <w:rtl/>
        </w:rPr>
        <w:t xml:space="preserve"> </w:t>
      </w:r>
      <w:r w:rsidRPr="00FD211F">
        <w:rPr>
          <w:sz w:val="36"/>
          <w:szCs w:val="36"/>
          <w:rtl/>
        </w:rPr>
        <w:t>وتقريره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ايضا.</w:t>
      </w:r>
    </w:p>
    <w:p w14:paraId="74D46297" w14:textId="77777777" w:rsidR="000C5BBA" w:rsidRPr="00FD211F" w:rsidRDefault="003A36CC" w:rsidP="009C58C8">
      <w:pPr>
        <w:ind w:left="0" w:firstLine="227"/>
        <w:jc w:val="both"/>
        <w:rPr>
          <w:sz w:val="36"/>
          <w:szCs w:val="36"/>
          <w:rtl/>
        </w:rPr>
      </w:pPr>
      <w:r w:rsidRPr="00FD211F">
        <w:rPr>
          <w:b/>
          <w:bCs/>
          <w:sz w:val="36"/>
          <w:szCs w:val="36"/>
          <w:rtl/>
        </w:rPr>
        <w:t>واما</w:t>
      </w:r>
      <w:r w:rsidR="00E8128F">
        <w:rPr>
          <w:b/>
          <w:bCs/>
          <w:sz w:val="36"/>
          <w:szCs w:val="36"/>
          <w:rtl/>
        </w:rPr>
        <w:t xml:space="preserve"> </w:t>
      </w:r>
      <w:r w:rsidR="002221E2" w:rsidRPr="00FD211F">
        <w:rPr>
          <w:b/>
          <w:bCs/>
          <w:sz w:val="36"/>
          <w:szCs w:val="36"/>
          <w:rtl/>
        </w:rPr>
        <w:t>الدليل</w:t>
      </w:r>
      <w:r w:rsidR="00E8128F">
        <w:rPr>
          <w:b/>
          <w:bCs/>
          <w:sz w:val="36"/>
          <w:szCs w:val="36"/>
          <w:rtl/>
        </w:rPr>
        <w:t xml:space="preserve"> </w:t>
      </w:r>
      <w:r w:rsidR="002221E2" w:rsidRPr="00FD211F">
        <w:rPr>
          <w:b/>
          <w:bCs/>
          <w:sz w:val="36"/>
          <w:szCs w:val="36"/>
          <w:rtl/>
        </w:rPr>
        <w:t>العقلي</w:t>
      </w:r>
      <w:r w:rsidR="00E8128F">
        <w:rPr>
          <w:sz w:val="36"/>
          <w:szCs w:val="36"/>
          <w:rtl/>
        </w:rPr>
        <w:t xml:space="preserve"> </w:t>
      </w:r>
      <w:r w:rsidRPr="00FD211F">
        <w:rPr>
          <w:sz w:val="36"/>
          <w:szCs w:val="36"/>
          <w:rtl/>
        </w:rPr>
        <w:t>ف</w:t>
      </w:r>
      <w:r w:rsidR="002221E2" w:rsidRPr="00FD211F">
        <w:rPr>
          <w:sz w:val="36"/>
          <w:szCs w:val="36"/>
          <w:rtl/>
        </w:rPr>
        <w:t>ي</w:t>
      </w:r>
      <w:r w:rsidR="009D715E" w:rsidRPr="00FD211F">
        <w:rPr>
          <w:sz w:val="36"/>
          <w:szCs w:val="36"/>
          <w:rtl/>
        </w:rPr>
        <w:t>نقسم</w:t>
      </w:r>
      <w:r w:rsidR="00E8128F">
        <w:rPr>
          <w:sz w:val="36"/>
          <w:szCs w:val="36"/>
          <w:rtl/>
        </w:rPr>
        <w:t xml:space="preserve"> </w:t>
      </w:r>
      <w:r w:rsidR="009D715E" w:rsidRPr="00FD211F">
        <w:rPr>
          <w:sz w:val="36"/>
          <w:szCs w:val="36"/>
          <w:rtl/>
        </w:rPr>
        <w:t>الى</w:t>
      </w:r>
      <w:r w:rsidR="00E8128F">
        <w:rPr>
          <w:sz w:val="36"/>
          <w:szCs w:val="36"/>
          <w:rtl/>
        </w:rPr>
        <w:t xml:space="preserve"> </w:t>
      </w:r>
      <w:r w:rsidR="009D715E" w:rsidRPr="00FD211F">
        <w:rPr>
          <w:sz w:val="36"/>
          <w:szCs w:val="36"/>
          <w:rtl/>
        </w:rPr>
        <w:t>برهاني</w:t>
      </w:r>
      <w:r w:rsidR="00E8128F">
        <w:rPr>
          <w:sz w:val="36"/>
          <w:szCs w:val="36"/>
          <w:rtl/>
        </w:rPr>
        <w:t xml:space="preserve"> </w:t>
      </w:r>
      <w:r w:rsidR="009D715E" w:rsidRPr="00FD211F">
        <w:rPr>
          <w:sz w:val="36"/>
          <w:szCs w:val="36"/>
          <w:rtl/>
        </w:rPr>
        <w:t>وعملي</w:t>
      </w:r>
      <w:r w:rsidR="00E8128F">
        <w:rPr>
          <w:sz w:val="36"/>
          <w:szCs w:val="36"/>
          <w:rtl/>
        </w:rPr>
        <w:t xml:space="preserve"> </w:t>
      </w:r>
      <w:r w:rsidR="009D715E" w:rsidRPr="00FD211F">
        <w:rPr>
          <w:sz w:val="36"/>
          <w:szCs w:val="36"/>
          <w:rtl/>
        </w:rPr>
        <w:t>واستقرائي.</w:t>
      </w:r>
    </w:p>
    <w:p w14:paraId="12D720C3" w14:textId="77777777" w:rsidR="00B91C5F" w:rsidRPr="00FD211F" w:rsidRDefault="002221E2" w:rsidP="009C58C8">
      <w:pPr>
        <w:ind w:left="0" w:firstLine="227"/>
        <w:jc w:val="both"/>
        <w:rPr>
          <w:sz w:val="36"/>
          <w:szCs w:val="36"/>
          <w:rtl/>
        </w:rPr>
      </w:pPr>
      <w:r w:rsidRPr="00FD211F">
        <w:rPr>
          <w:b/>
          <w:bCs/>
          <w:sz w:val="36"/>
          <w:szCs w:val="36"/>
          <w:rtl/>
        </w:rPr>
        <w:t>ف</w:t>
      </w:r>
      <w:r w:rsidR="00B91C5F" w:rsidRPr="00FD211F">
        <w:rPr>
          <w:b/>
          <w:bCs/>
          <w:sz w:val="36"/>
          <w:szCs w:val="36"/>
          <w:rtl/>
        </w:rPr>
        <w:t>الدليل</w:t>
      </w:r>
      <w:r w:rsidR="00E8128F">
        <w:rPr>
          <w:b/>
          <w:bCs/>
          <w:sz w:val="36"/>
          <w:szCs w:val="36"/>
          <w:rtl/>
        </w:rPr>
        <w:t xml:space="preserve"> </w:t>
      </w:r>
      <w:r w:rsidR="00B91C5F" w:rsidRPr="00FD211F">
        <w:rPr>
          <w:b/>
          <w:bCs/>
          <w:sz w:val="36"/>
          <w:szCs w:val="36"/>
          <w:rtl/>
        </w:rPr>
        <w:t>العقلي</w:t>
      </w:r>
      <w:r w:rsidR="00E8128F">
        <w:rPr>
          <w:b/>
          <w:bCs/>
          <w:sz w:val="36"/>
          <w:szCs w:val="36"/>
          <w:rtl/>
        </w:rPr>
        <w:t xml:space="preserve"> </w:t>
      </w:r>
      <w:r w:rsidRPr="00FD211F">
        <w:rPr>
          <w:b/>
          <w:bCs/>
          <w:sz w:val="36"/>
          <w:szCs w:val="36"/>
          <w:rtl/>
        </w:rPr>
        <w:t>البرهاني</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الدليل</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دلالته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اساس</w:t>
      </w:r>
      <w:r w:rsidR="00E8128F">
        <w:rPr>
          <w:sz w:val="36"/>
          <w:szCs w:val="36"/>
          <w:rtl/>
        </w:rPr>
        <w:t xml:space="preserve"> </w:t>
      </w:r>
      <w:r w:rsidR="003D5AAE" w:rsidRPr="00FD211F">
        <w:rPr>
          <w:sz w:val="36"/>
          <w:szCs w:val="36"/>
          <w:rtl/>
        </w:rPr>
        <w:t>علاقات</w:t>
      </w:r>
      <w:r w:rsidR="00E8128F">
        <w:rPr>
          <w:sz w:val="36"/>
          <w:szCs w:val="36"/>
          <w:rtl/>
        </w:rPr>
        <w:t xml:space="preserve"> </w:t>
      </w:r>
      <w:r w:rsidR="003D5AAE" w:rsidRPr="00FD211F">
        <w:rPr>
          <w:sz w:val="36"/>
          <w:szCs w:val="36"/>
          <w:rtl/>
        </w:rPr>
        <w:t>و</w:t>
      </w:r>
      <w:r w:rsidRPr="00FD211F">
        <w:rPr>
          <w:sz w:val="36"/>
          <w:szCs w:val="36"/>
          <w:rtl/>
        </w:rPr>
        <w:t>ملازمات</w:t>
      </w:r>
      <w:r w:rsidR="00E8128F">
        <w:rPr>
          <w:sz w:val="36"/>
          <w:szCs w:val="36"/>
          <w:rtl/>
        </w:rPr>
        <w:t xml:space="preserve"> </w:t>
      </w:r>
      <w:r w:rsidRPr="00FD211F">
        <w:rPr>
          <w:sz w:val="36"/>
          <w:szCs w:val="36"/>
          <w:rtl/>
        </w:rPr>
        <w:t>واقعي</w:t>
      </w:r>
      <w:r w:rsidR="00EC7EDF" w:rsidRPr="00FD211F">
        <w:rPr>
          <w:sz w:val="36"/>
          <w:szCs w:val="36"/>
          <w:rtl/>
        </w:rPr>
        <w:t>ة</w:t>
      </w:r>
      <w:r w:rsidR="00E8128F">
        <w:rPr>
          <w:sz w:val="36"/>
          <w:szCs w:val="36"/>
          <w:rtl/>
        </w:rPr>
        <w:t xml:space="preserve"> </w:t>
      </w:r>
      <w:r w:rsidRPr="00FD211F">
        <w:rPr>
          <w:sz w:val="36"/>
          <w:szCs w:val="36"/>
          <w:rtl/>
        </w:rPr>
        <w:t>ثابت</w:t>
      </w:r>
      <w:r w:rsidR="00EC7EDF" w:rsidRPr="00FD211F">
        <w:rPr>
          <w:sz w:val="36"/>
          <w:szCs w:val="36"/>
          <w:rtl/>
        </w:rPr>
        <w:t>ة</w:t>
      </w:r>
      <w:r w:rsidR="00E8128F">
        <w:rPr>
          <w:sz w:val="36"/>
          <w:szCs w:val="36"/>
          <w:rtl/>
        </w:rPr>
        <w:t xml:space="preserve"> </w:t>
      </w:r>
      <w:r w:rsidRPr="00FD211F">
        <w:rPr>
          <w:sz w:val="36"/>
          <w:szCs w:val="36"/>
          <w:rtl/>
        </w:rPr>
        <w:t>بحكم</w:t>
      </w:r>
      <w:r w:rsidR="00E8128F">
        <w:rPr>
          <w:sz w:val="36"/>
          <w:szCs w:val="36"/>
          <w:rtl/>
        </w:rPr>
        <w:t xml:space="preserve"> </w:t>
      </w:r>
      <w:r w:rsidRPr="00FD211F">
        <w:rPr>
          <w:sz w:val="36"/>
          <w:szCs w:val="36"/>
          <w:rtl/>
        </w:rPr>
        <w:t>العقل</w:t>
      </w:r>
      <w:r w:rsidR="00E8128F">
        <w:rPr>
          <w:sz w:val="36"/>
          <w:szCs w:val="36"/>
          <w:rtl/>
        </w:rPr>
        <w:t xml:space="preserve"> </w:t>
      </w:r>
      <w:r w:rsidRPr="00FD211F">
        <w:rPr>
          <w:sz w:val="36"/>
          <w:szCs w:val="36"/>
          <w:rtl/>
        </w:rPr>
        <w:t>البديهي</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بتوسط</w:t>
      </w:r>
      <w:r w:rsidR="00E8128F">
        <w:rPr>
          <w:sz w:val="36"/>
          <w:szCs w:val="36"/>
          <w:rtl/>
        </w:rPr>
        <w:t xml:space="preserve"> </w:t>
      </w:r>
      <w:r w:rsidRPr="00FD211F">
        <w:rPr>
          <w:sz w:val="36"/>
          <w:szCs w:val="36"/>
          <w:rtl/>
        </w:rPr>
        <w:t>البرهان</w:t>
      </w:r>
      <w:r w:rsidR="00E8128F">
        <w:rPr>
          <w:sz w:val="36"/>
          <w:szCs w:val="36"/>
          <w:rtl/>
        </w:rPr>
        <w:t xml:space="preserve"> </w:t>
      </w:r>
      <w:r w:rsidRPr="00FD211F">
        <w:rPr>
          <w:sz w:val="36"/>
          <w:szCs w:val="36"/>
          <w:rtl/>
        </w:rPr>
        <w:t>كبحث</w:t>
      </w:r>
      <w:r w:rsidR="00E8128F">
        <w:rPr>
          <w:sz w:val="36"/>
          <w:szCs w:val="36"/>
          <w:rtl/>
        </w:rPr>
        <w:t xml:space="preserve"> </w:t>
      </w:r>
      <w:r w:rsidR="003A36CC" w:rsidRPr="00FD211F">
        <w:rPr>
          <w:sz w:val="36"/>
          <w:szCs w:val="36"/>
          <w:rtl/>
        </w:rPr>
        <w:t>ال</w:t>
      </w:r>
      <w:r w:rsidRPr="00FD211F">
        <w:rPr>
          <w:sz w:val="36"/>
          <w:szCs w:val="36"/>
          <w:rtl/>
        </w:rPr>
        <w:t>ملازم</w:t>
      </w:r>
      <w:r w:rsidR="00EC7EDF" w:rsidRPr="00FD211F">
        <w:rPr>
          <w:sz w:val="36"/>
          <w:szCs w:val="36"/>
          <w:rtl/>
        </w:rPr>
        <w:t>ة</w:t>
      </w:r>
      <w:r w:rsidR="00E8128F">
        <w:rPr>
          <w:sz w:val="36"/>
          <w:szCs w:val="36"/>
          <w:rtl/>
        </w:rPr>
        <w:t xml:space="preserve"> </w:t>
      </w:r>
      <w:r w:rsidR="003A36CC" w:rsidRPr="00FD211F">
        <w:rPr>
          <w:sz w:val="36"/>
          <w:szCs w:val="36"/>
          <w:rtl/>
        </w:rPr>
        <w:t>بين</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المقدم</w:t>
      </w:r>
      <w:r w:rsidR="00EC7EDF" w:rsidRPr="00FD211F">
        <w:rPr>
          <w:sz w:val="36"/>
          <w:szCs w:val="36"/>
          <w:rtl/>
        </w:rPr>
        <w:t>ة</w:t>
      </w:r>
      <w:r w:rsidR="00E8128F">
        <w:rPr>
          <w:sz w:val="36"/>
          <w:szCs w:val="36"/>
          <w:rtl/>
        </w:rPr>
        <w:t xml:space="preserve"> </w:t>
      </w:r>
      <w:r w:rsidRPr="00FD211F">
        <w:rPr>
          <w:sz w:val="36"/>
          <w:szCs w:val="36"/>
          <w:rtl/>
        </w:rPr>
        <w:t>ووجوب</w:t>
      </w:r>
      <w:r w:rsidR="00E8128F">
        <w:rPr>
          <w:sz w:val="36"/>
          <w:szCs w:val="36"/>
          <w:rtl/>
        </w:rPr>
        <w:t xml:space="preserve"> </w:t>
      </w:r>
      <w:r w:rsidRPr="00FD211F">
        <w:rPr>
          <w:sz w:val="36"/>
          <w:szCs w:val="36"/>
          <w:rtl/>
        </w:rPr>
        <w:t>ذيها</w:t>
      </w:r>
      <w:r w:rsidR="00603323" w:rsidRPr="00FD211F">
        <w:rPr>
          <w:sz w:val="36"/>
          <w:szCs w:val="36"/>
          <w:rtl/>
        </w:rPr>
        <w:t>،</w:t>
      </w:r>
      <w:r w:rsidR="00E8128F">
        <w:rPr>
          <w:sz w:val="36"/>
          <w:szCs w:val="36"/>
          <w:rtl/>
        </w:rPr>
        <w:t xml:space="preserve"> </w:t>
      </w:r>
      <w:r w:rsidR="00B91C5F" w:rsidRPr="00FD211F">
        <w:rPr>
          <w:sz w:val="36"/>
          <w:szCs w:val="36"/>
          <w:rtl/>
        </w:rPr>
        <w:t>وكذا</w:t>
      </w:r>
      <w:r w:rsidR="00E8128F">
        <w:rPr>
          <w:sz w:val="36"/>
          <w:szCs w:val="36"/>
          <w:rtl/>
        </w:rPr>
        <w:t xml:space="preserve"> </w:t>
      </w:r>
      <w:r w:rsidR="00B91C5F" w:rsidRPr="00FD211F">
        <w:rPr>
          <w:sz w:val="36"/>
          <w:szCs w:val="36"/>
          <w:rtl/>
        </w:rPr>
        <w:t>بحث</w:t>
      </w:r>
      <w:r w:rsidR="00E8128F">
        <w:rPr>
          <w:sz w:val="36"/>
          <w:szCs w:val="36"/>
          <w:rtl/>
        </w:rPr>
        <w:t xml:space="preserve"> </w:t>
      </w:r>
      <w:r w:rsidRPr="00FD211F">
        <w:rPr>
          <w:sz w:val="36"/>
          <w:szCs w:val="36"/>
          <w:rtl/>
        </w:rPr>
        <w:t>اقتضاء</w:t>
      </w:r>
      <w:r w:rsidR="00E8128F">
        <w:rPr>
          <w:sz w:val="36"/>
          <w:szCs w:val="36"/>
          <w:rtl/>
        </w:rPr>
        <w:t xml:space="preserve"> </w:t>
      </w:r>
      <w:r w:rsidR="0090224F" w:rsidRPr="00FD211F">
        <w:rPr>
          <w:sz w:val="36"/>
          <w:szCs w:val="36"/>
          <w:rtl/>
        </w:rPr>
        <w:t>الأمر</w:t>
      </w:r>
      <w:r w:rsidR="00E8128F">
        <w:rPr>
          <w:sz w:val="36"/>
          <w:szCs w:val="36"/>
          <w:rtl/>
        </w:rPr>
        <w:t xml:space="preserve"> </w:t>
      </w:r>
      <w:r w:rsidRPr="00FD211F">
        <w:rPr>
          <w:sz w:val="36"/>
          <w:szCs w:val="36"/>
          <w:rtl/>
        </w:rPr>
        <w:t>بال</w:t>
      </w:r>
      <w:r w:rsidR="008D7B3D" w:rsidRPr="00FD211F">
        <w:rPr>
          <w:sz w:val="36"/>
          <w:szCs w:val="36"/>
          <w:rtl/>
        </w:rPr>
        <w:t>شيء</w:t>
      </w:r>
      <w:r w:rsidR="00E8128F">
        <w:rPr>
          <w:sz w:val="36"/>
          <w:szCs w:val="36"/>
          <w:rtl/>
        </w:rPr>
        <w:t xml:space="preserve"> </w:t>
      </w:r>
      <w:r w:rsidRPr="00FD211F">
        <w:rPr>
          <w:sz w:val="36"/>
          <w:szCs w:val="36"/>
          <w:rtl/>
        </w:rPr>
        <w:t>للنهي</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ضده</w:t>
      </w:r>
      <w:r w:rsidR="00603323" w:rsidRPr="00FD211F">
        <w:rPr>
          <w:sz w:val="36"/>
          <w:szCs w:val="36"/>
          <w:rtl/>
        </w:rPr>
        <w:t>،</w:t>
      </w:r>
      <w:r w:rsidR="00E8128F">
        <w:rPr>
          <w:sz w:val="36"/>
          <w:szCs w:val="36"/>
          <w:rtl/>
        </w:rPr>
        <w:t xml:space="preserve"> </w:t>
      </w:r>
      <w:r w:rsidRPr="00FD211F">
        <w:rPr>
          <w:sz w:val="36"/>
          <w:szCs w:val="36"/>
          <w:rtl/>
        </w:rPr>
        <w:t>و</w:t>
      </w:r>
      <w:r w:rsidR="00B91C5F" w:rsidRPr="00FD211F">
        <w:rPr>
          <w:sz w:val="36"/>
          <w:szCs w:val="36"/>
          <w:rtl/>
        </w:rPr>
        <w:t>بحث</w:t>
      </w:r>
      <w:r w:rsidR="00E8128F">
        <w:rPr>
          <w:sz w:val="36"/>
          <w:szCs w:val="36"/>
          <w:rtl/>
        </w:rPr>
        <w:t xml:space="preserve"> </w:t>
      </w:r>
      <w:r w:rsidRPr="00FD211F">
        <w:rPr>
          <w:sz w:val="36"/>
          <w:szCs w:val="36"/>
          <w:rtl/>
        </w:rPr>
        <w:t>اجتماع</w:t>
      </w:r>
      <w:r w:rsidR="00E8128F">
        <w:rPr>
          <w:sz w:val="36"/>
          <w:szCs w:val="36"/>
          <w:rtl/>
        </w:rPr>
        <w:t xml:space="preserve"> </w:t>
      </w:r>
      <w:r w:rsidR="0090224F" w:rsidRPr="00FD211F">
        <w:rPr>
          <w:sz w:val="36"/>
          <w:szCs w:val="36"/>
          <w:rtl/>
        </w:rPr>
        <w:t>الأمر</w:t>
      </w:r>
      <w:r w:rsidR="00E8128F">
        <w:rPr>
          <w:sz w:val="36"/>
          <w:szCs w:val="36"/>
          <w:rtl/>
        </w:rPr>
        <w:t xml:space="preserve"> </w:t>
      </w:r>
      <w:r w:rsidRPr="00FD211F">
        <w:rPr>
          <w:sz w:val="36"/>
          <w:szCs w:val="36"/>
          <w:rtl/>
        </w:rPr>
        <w:t>والنهي</w:t>
      </w:r>
      <w:r w:rsidR="00603323" w:rsidRPr="00FD211F">
        <w:rPr>
          <w:sz w:val="36"/>
          <w:szCs w:val="36"/>
          <w:rtl/>
        </w:rPr>
        <w:t>،</w:t>
      </w:r>
      <w:r w:rsidR="00E8128F">
        <w:rPr>
          <w:sz w:val="36"/>
          <w:szCs w:val="36"/>
          <w:rtl/>
        </w:rPr>
        <w:t xml:space="preserve"> </w:t>
      </w:r>
      <w:r w:rsidRPr="00FD211F">
        <w:rPr>
          <w:sz w:val="36"/>
          <w:szCs w:val="36"/>
          <w:rtl/>
        </w:rPr>
        <w:t>و</w:t>
      </w:r>
      <w:r w:rsidR="00B91C5F" w:rsidRPr="00FD211F">
        <w:rPr>
          <w:sz w:val="36"/>
          <w:szCs w:val="36"/>
          <w:rtl/>
        </w:rPr>
        <w:t>بحث</w:t>
      </w:r>
      <w:r w:rsidR="00E8128F">
        <w:rPr>
          <w:sz w:val="36"/>
          <w:szCs w:val="36"/>
          <w:rtl/>
        </w:rPr>
        <w:t xml:space="preserve"> </w:t>
      </w:r>
      <w:r w:rsidRPr="00FD211F">
        <w:rPr>
          <w:sz w:val="36"/>
          <w:szCs w:val="36"/>
          <w:rtl/>
        </w:rPr>
        <w:t>اقتضاء</w:t>
      </w:r>
      <w:r w:rsidR="00E8128F">
        <w:rPr>
          <w:sz w:val="36"/>
          <w:szCs w:val="36"/>
          <w:rtl/>
        </w:rPr>
        <w:t xml:space="preserve"> </w:t>
      </w:r>
      <w:r w:rsidR="002D506F" w:rsidRPr="00FD211F">
        <w:rPr>
          <w:sz w:val="36"/>
          <w:szCs w:val="36"/>
          <w:rtl/>
        </w:rPr>
        <w:t>النهي</w:t>
      </w:r>
      <w:r w:rsidR="00E8128F">
        <w:rPr>
          <w:sz w:val="36"/>
          <w:szCs w:val="36"/>
          <w:rtl/>
        </w:rPr>
        <w:t xml:space="preserve"> </w:t>
      </w:r>
      <w:r w:rsidR="002D506F" w:rsidRPr="00FD211F">
        <w:rPr>
          <w:sz w:val="36"/>
          <w:szCs w:val="36"/>
          <w:rtl/>
        </w:rPr>
        <w:t>عن</w:t>
      </w:r>
      <w:r w:rsidR="00E8128F">
        <w:rPr>
          <w:sz w:val="36"/>
          <w:szCs w:val="36"/>
          <w:rtl/>
        </w:rPr>
        <w:t xml:space="preserve"> </w:t>
      </w:r>
      <w:r w:rsidR="002D506F" w:rsidRPr="00FD211F">
        <w:rPr>
          <w:sz w:val="36"/>
          <w:szCs w:val="36"/>
          <w:rtl/>
        </w:rPr>
        <w:t>العباد</w:t>
      </w:r>
      <w:r w:rsidR="00EC7EDF" w:rsidRPr="00FD211F">
        <w:rPr>
          <w:sz w:val="36"/>
          <w:szCs w:val="36"/>
          <w:rtl/>
        </w:rPr>
        <w:t>ة</w:t>
      </w:r>
      <w:r w:rsidR="00E8128F">
        <w:rPr>
          <w:sz w:val="36"/>
          <w:szCs w:val="36"/>
          <w:rtl/>
        </w:rPr>
        <w:t xml:space="preserve"> </w:t>
      </w:r>
      <w:r w:rsidRPr="00FD211F">
        <w:rPr>
          <w:sz w:val="36"/>
          <w:szCs w:val="36"/>
          <w:rtl/>
        </w:rPr>
        <w:t>للفساد</w:t>
      </w:r>
      <w:r w:rsidR="00603323" w:rsidRPr="00FD211F">
        <w:rPr>
          <w:sz w:val="36"/>
          <w:szCs w:val="36"/>
          <w:rtl/>
        </w:rPr>
        <w:t>،</w:t>
      </w:r>
      <w:r w:rsidR="00E8128F">
        <w:rPr>
          <w:sz w:val="36"/>
          <w:szCs w:val="36"/>
          <w:rtl/>
        </w:rPr>
        <w:t xml:space="preserve"> </w:t>
      </w:r>
      <w:r w:rsidRPr="00FD211F">
        <w:rPr>
          <w:sz w:val="36"/>
          <w:szCs w:val="36"/>
          <w:rtl/>
        </w:rPr>
        <w:t>وبحث</w:t>
      </w:r>
      <w:r w:rsidR="00E8128F">
        <w:rPr>
          <w:sz w:val="36"/>
          <w:szCs w:val="36"/>
          <w:rtl/>
        </w:rPr>
        <w:t xml:space="preserve"> </w:t>
      </w:r>
      <w:r w:rsidRPr="00FD211F">
        <w:rPr>
          <w:sz w:val="36"/>
          <w:szCs w:val="36"/>
          <w:rtl/>
        </w:rPr>
        <w:t>اشتراط</w:t>
      </w:r>
      <w:r w:rsidR="00E8128F">
        <w:rPr>
          <w:sz w:val="36"/>
          <w:szCs w:val="36"/>
          <w:rtl/>
        </w:rPr>
        <w:t xml:space="preserve"> </w:t>
      </w:r>
      <w:r w:rsidRPr="00FD211F">
        <w:rPr>
          <w:sz w:val="36"/>
          <w:szCs w:val="36"/>
          <w:rtl/>
        </w:rPr>
        <w:t>القدر</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متعلق</w:t>
      </w:r>
      <w:r w:rsidR="00E8128F">
        <w:rPr>
          <w:sz w:val="36"/>
          <w:szCs w:val="36"/>
          <w:rtl/>
        </w:rPr>
        <w:t xml:space="preserve"> </w:t>
      </w:r>
      <w:r w:rsidRPr="00FD211F">
        <w:rPr>
          <w:sz w:val="36"/>
          <w:szCs w:val="36"/>
          <w:rtl/>
        </w:rPr>
        <w:t>التكليف</w:t>
      </w:r>
      <w:r w:rsidR="00603323" w:rsidRPr="00FD211F">
        <w:rPr>
          <w:sz w:val="36"/>
          <w:szCs w:val="36"/>
          <w:rtl/>
        </w:rPr>
        <w:t>،</w:t>
      </w:r>
      <w:r w:rsidR="00E8128F">
        <w:rPr>
          <w:sz w:val="36"/>
          <w:szCs w:val="36"/>
          <w:rtl/>
        </w:rPr>
        <w:t xml:space="preserve"> </w:t>
      </w:r>
      <w:r w:rsidRPr="00FD211F">
        <w:rPr>
          <w:sz w:val="36"/>
          <w:szCs w:val="36"/>
          <w:rtl/>
        </w:rPr>
        <w:t>و</w:t>
      </w:r>
      <w:r w:rsidR="00B91C5F" w:rsidRPr="00FD211F">
        <w:rPr>
          <w:sz w:val="36"/>
          <w:szCs w:val="36"/>
          <w:rtl/>
        </w:rPr>
        <w:t>بحث</w:t>
      </w:r>
      <w:r w:rsidR="00E8128F">
        <w:rPr>
          <w:sz w:val="36"/>
          <w:szCs w:val="36"/>
          <w:rtl/>
        </w:rPr>
        <w:t xml:space="preserve"> </w:t>
      </w:r>
      <w:r w:rsidRPr="00FD211F">
        <w:rPr>
          <w:sz w:val="36"/>
          <w:szCs w:val="36"/>
          <w:rtl/>
        </w:rPr>
        <w:t>امكان</w:t>
      </w:r>
      <w:r w:rsidR="00E8128F">
        <w:rPr>
          <w:sz w:val="36"/>
          <w:szCs w:val="36"/>
          <w:rtl/>
        </w:rPr>
        <w:t xml:space="preserve"> </w:t>
      </w:r>
      <w:r w:rsidRPr="00FD211F">
        <w:rPr>
          <w:sz w:val="36"/>
          <w:szCs w:val="36"/>
          <w:rtl/>
        </w:rPr>
        <w:t>اخذ</w:t>
      </w:r>
      <w:r w:rsidR="00E8128F">
        <w:rPr>
          <w:sz w:val="36"/>
          <w:szCs w:val="36"/>
          <w:rtl/>
        </w:rPr>
        <w:t xml:space="preserve"> </w:t>
      </w:r>
      <w:r w:rsidR="002D506F" w:rsidRPr="00FD211F">
        <w:rPr>
          <w:sz w:val="36"/>
          <w:szCs w:val="36"/>
          <w:rtl/>
        </w:rPr>
        <w:t>بعض</w:t>
      </w:r>
      <w:r w:rsidR="00E8128F">
        <w:rPr>
          <w:sz w:val="36"/>
          <w:szCs w:val="36"/>
          <w:rtl/>
        </w:rPr>
        <w:t xml:space="preserve"> </w:t>
      </w:r>
      <w:r w:rsidR="002D506F" w:rsidRPr="00FD211F">
        <w:rPr>
          <w:sz w:val="36"/>
          <w:szCs w:val="36"/>
          <w:rtl/>
        </w:rPr>
        <w:t>القيود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موضوع</w:t>
      </w:r>
      <w:r w:rsidR="00E8128F">
        <w:rPr>
          <w:sz w:val="36"/>
          <w:szCs w:val="36"/>
          <w:rtl/>
        </w:rPr>
        <w:t xml:space="preserve"> </w:t>
      </w:r>
      <w:r w:rsidRPr="00FD211F">
        <w:rPr>
          <w:sz w:val="36"/>
          <w:szCs w:val="36"/>
          <w:rtl/>
        </w:rPr>
        <w:t>التكليف</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متعلقه</w:t>
      </w:r>
      <w:r w:rsidR="00E8128F">
        <w:rPr>
          <w:sz w:val="36"/>
          <w:szCs w:val="36"/>
          <w:rtl/>
        </w:rPr>
        <w:t xml:space="preserve"> </w:t>
      </w:r>
      <w:r w:rsidR="0096198B" w:rsidRPr="00FD211F">
        <w:rPr>
          <w:sz w:val="36"/>
          <w:szCs w:val="36"/>
          <w:rtl/>
        </w:rPr>
        <w:t>-كالبحث</w:t>
      </w:r>
      <w:r w:rsidR="00E8128F">
        <w:rPr>
          <w:sz w:val="36"/>
          <w:szCs w:val="36"/>
          <w:rtl/>
        </w:rPr>
        <w:t xml:space="preserve"> </w:t>
      </w:r>
      <w:r w:rsidR="0096198B" w:rsidRPr="00FD211F">
        <w:rPr>
          <w:sz w:val="36"/>
          <w:szCs w:val="36"/>
          <w:rtl/>
        </w:rPr>
        <w:t>عن</w:t>
      </w:r>
      <w:r w:rsidR="00E8128F">
        <w:rPr>
          <w:sz w:val="36"/>
          <w:szCs w:val="36"/>
          <w:rtl/>
        </w:rPr>
        <w:t xml:space="preserve"> </w:t>
      </w:r>
      <w:r w:rsidR="0096198B" w:rsidRPr="00FD211F">
        <w:rPr>
          <w:sz w:val="36"/>
          <w:szCs w:val="36"/>
          <w:rtl/>
        </w:rPr>
        <w:t>امكان</w:t>
      </w:r>
      <w:r w:rsidR="00E8128F">
        <w:rPr>
          <w:sz w:val="36"/>
          <w:szCs w:val="36"/>
          <w:rtl/>
        </w:rPr>
        <w:t xml:space="preserve"> </w:t>
      </w:r>
      <w:r w:rsidR="0096198B" w:rsidRPr="00FD211F">
        <w:rPr>
          <w:sz w:val="36"/>
          <w:szCs w:val="36"/>
          <w:rtl/>
        </w:rPr>
        <w:t>اخذ</w:t>
      </w:r>
      <w:r w:rsidR="00E8128F">
        <w:rPr>
          <w:sz w:val="36"/>
          <w:szCs w:val="36"/>
          <w:rtl/>
        </w:rPr>
        <w:t xml:space="preserve"> </w:t>
      </w:r>
      <w:r w:rsidR="0096198B" w:rsidRPr="00FD211F">
        <w:rPr>
          <w:sz w:val="36"/>
          <w:szCs w:val="36"/>
          <w:rtl/>
        </w:rPr>
        <w:t>قصد</w:t>
      </w:r>
      <w:r w:rsidR="00E8128F">
        <w:rPr>
          <w:sz w:val="36"/>
          <w:szCs w:val="36"/>
          <w:rtl/>
        </w:rPr>
        <w:t xml:space="preserve"> </w:t>
      </w:r>
      <w:r w:rsidR="0096198B" w:rsidRPr="00FD211F">
        <w:rPr>
          <w:sz w:val="36"/>
          <w:szCs w:val="36"/>
          <w:rtl/>
        </w:rPr>
        <w:t>القرب</w:t>
      </w:r>
      <w:r w:rsidR="00EC7EDF" w:rsidRPr="00FD211F">
        <w:rPr>
          <w:sz w:val="36"/>
          <w:szCs w:val="36"/>
          <w:rtl/>
        </w:rPr>
        <w:t>ة</w:t>
      </w:r>
      <w:r w:rsidR="00E8128F">
        <w:rPr>
          <w:sz w:val="36"/>
          <w:szCs w:val="36"/>
          <w:rtl/>
        </w:rPr>
        <w:t xml:space="preserve"> </w:t>
      </w:r>
      <w:r w:rsidR="0096198B" w:rsidRPr="00FD211F">
        <w:rPr>
          <w:sz w:val="36"/>
          <w:szCs w:val="36"/>
          <w:rtl/>
        </w:rPr>
        <w:t>في</w:t>
      </w:r>
      <w:r w:rsidR="00E8128F">
        <w:rPr>
          <w:sz w:val="36"/>
          <w:szCs w:val="36"/>
          <w:rtl/>
        </w:rPr>
        <w:t xml:space="preserve"> </w:t>
      </w:r>
      <w:r w:rsidR="0096198B" w:rsidRPr="00FD211F">
        <w:rPr>
          <w:sz w:val="36"/>
          <w:szCs w:val="36"/>
          <w:rtl/>
        </w:rPr>
        <w:t>متعلق</w:t>
      </w:r>
      <w:r w:rsidR="00E8128F">
        <w:rPr>
          <w:sz w:val="36"/>
          <w:szCs w:val="36"/>
          <w:rtl/>
        </w:rPr>
        <w:t xml:space="preserve"> </w:t>
      </w:r>
      <w:r w:rsidR="001B3112" w:rsidRPr="00FD211F">
        <w:rPr>
          <w:sz w:val="36"/>
          <w:szCs w:val="36"/>
          <w:rtl/>
        </w:rPr>
        <w:t>الأمر</w:t>
      </w:r>
      <w:r w:rsidR="0096198B" w:rsidRPr="00FD211F">
        <w:rPr>
          <w:sz w:val="36"/>
          <w:szCs w:val="36"/>
          <w:rtl/>
        </w:rPr>
        <w:t>-</w:t>
      </w:r>
      <w:r w:rsidR="00603323" w:rsidRPr="00FD211F">
        <w:rPr>
          <w:sz w:val="36"/>
          <w:szCs w:val="36"/>
          <w:rtl/>
        </w:rPr>
        <w:t>،</w:t>
      </w:r>
      <w:r w:rsidR="00E8128F">
        <w:rPr>
          <w:sz w:val="36"/>
          <w:szCs w:val="36"/>
          <w:rtl/>
        </w:rPr>
        <w:t xml:space="preserve"> </w:t>
      </w:r>
      <w:r w:rsidRPr="00FD211F">
        <w:rPr>
          <w:sz w:val="36"/>
          <w:szCs w:val="36"/>
          <w:rtl/>
        </w:rPr>
        <w:t>وغير</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المسائل</w:t>
      </w:r>
      <w:r w:rsidR="00E8128F">
        <w:rPr>
          <w:sz w:val="36"/>
          <w:szCs w:val="36"/>
          <w:rtl/>
        </w:rPr>
        <w:t xml:space="preserve"> </w:t>
      </w:r>
      <w:r w:rsidRPr="00FD211F">
        <w:rPr>
          <w:sz w:val="36"/>
          <w:szCs w:val="36"/>
          <w:rtl/>
        </w:rPr>
        <w:t>العقلي</w:t>
      </w:r>
      <w:r w:rsidR="00EC7EDF" w:rsidRPr="00FD211F">
        <w:rPr>
          <w:sz w:val="36"/>
          <w:szCs w:val="36"/>
          <w:rtl/>
        </w:rPr>
        <w:t>ة</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فيها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سنخ</w:t>
      </w:r>
      <w:r w:rsidR="00E8128F">
        <w:rPr>
          <w:sz w:val="36"/>
          <w:szCs w:val="36"/>
          <w:rtl/>
        </w:rPr>
        <w:t xml:space="preserve"> </w:t>
      </w:r>
      <w:r w:rsidRPr="00FD211F">
        <w:rPr>
          <w:sz w:val="36"/>
          <w:szCs w:val="36"/>
          <w:rtl/>
        </w:rPr>
        <w:t>العلاق</w:t>
      </w:r>
      <w:r w:rsidR="00EC7EDF" w:rsidRPr="00FD211F">
        <w:rPr>
          <w:sz w:val="36"/>
          <w:szCs w:val="36"/>
          <w:rtl/>
        </w:rPr>
        <w:t>ة</w:t>
      </w:r>
      <w:r w:rsidR="00E8128F">
        <w:rPr>
          <w:sz w:val="36"/>
          <w:szCs w:val="36"/>
          <w:rtl/>
        </w:rPr>
        <w:t xml:space="preserve"> </w:t>
      </w:r>
      <w:r w:rsidRPr="00FD211F">
        <w:rPr>
          <w:sz w:val="36"/>
          <w:szCs w:val="36"/>
          <w:rtl/>
        </w:rPr>
        <w:t>الثابت</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حكمين</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lastRenderedPageBreak/>
        <w:t>بين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ومتعلقه</w:t>
      </w:r>
      <w:r w:rsidR="00E8128F">
        <w:rPr>
          <w:sz w:val="36"/>
          <w:szCs w:val="36"/>
          <w:rtl/>
        </w:rPr>
        <w:t xml:space="preserve"> </w:t>
      </w:r>
      <w:r w:rsidR="003D5AAE" w:rsidRPr="00FD211F">
        <w:rPr>
          <w:sz w:val="36"/>
          <w:szCs w:val="36"/>
          <w:rtl/>
        </w:rPr>
        <w:t>او</w:t>
      </w:r>
      <w:r w:rsidR="00E8128F">
        <w:rPr>
          <w:sz w:val="36"/>
          <w:szCs w:val="36"/>
          <w:rtl/>
        </w:rPr>
        <w:t xml:space="preserve"> </w:t>
      </w:r>
      <w:r w:rsidR="003D5AAE" w:rsidRPr="00FD211F">
        <w:rPr>
          <w:sz w:val="36"/>
          <w:szCs w:val="36"/>
          <w:rtl/>
        </w:rPr>
        <w:t>بين</w:t>
      </w:r>
      <w:r w:rsidR="00E8128F">
        <w:rPr>
          <w:sz w:val="36"/>
          <w:szCs w:val="36"/>
          <w:rtl/>
        </w:rPr>
        <w:t xml:space="preserve"> </w:t>
      </w:r>
      <w:r w:rsidR="003D5AAE" w:rsidRPr="00FD211F">
        <w:rPr>
          <w:sz w:val="36"/>
          <w:szCs w:val="36"/>
          <w:rtl/>
        </w:rPr>
        <w:t>الحكم</w:t>
      </w:r>
      <w:r w:rsidR="00E8128F">
        <w:rPr>
          <w:sz w:val="36"/>
          <w:szCs w:val="36"/>
          <w:rtl/>
        </w:rPr>
        <w:t xml:space="preserve"> </w:t>
      </w:r>
      <w:r w:rsidR="003D5AAE" w:rsidRPr="00FD211F">
        <w:rPr>
          <w:sz w:val="36"/>
          <w:szCs w:val="36"/>
          <w:rtl/>
        </w:rPr>
        <w:t>وموضوعه</w:t>
      </w:r>
      <w:r w:rsidR="00B91C5F" w:rsidRPr="00FD211F">
        <w:rPr>
          <w:sz w:val="36"/>
          <w:szCs w:val="36"/>
          <w:rtl/>
        </w:rPr>
        <w:t>.</w:t>
      </w:r>
    </w:p>
    <w:p w14:paraId="62108D83" w14:textId="77777777" w:rsidR="00B91C5F" w:rsidRPr="00FD211F" w:rsidRDefault="003D5AAE" w:rsidP="009C58C8">
      <w:pPr>
        <w:ind w:left="0" w:firstLine="227"/>
        <w:jc w:val="both"/>
        <w:rPr>
          <w:sz w:val="36"/>
          <w:szCs w:val="36"/>
          <w:rtl/>
        </w:rPr>
      </w:pPr>
      <w:r w:rsidRPr="00FD211F">
        <w:rPr>
          <w:b/>
          <w:bCs/>
          <w:sz w:val="36"/>
          <w:szCs w:val="36"/>
          <w:rtl/>
        </w:rPr>
        <w:t>واما</w:t>
      </w:r>
      <w:r w:rsidR="00E8128F">
        <w:rPr>
          <w:b/>
          <w:bCs/>
          <w:sz w:val="36"/>
          <w:szCs w:val="36"/>
          <w:rtl/>
        </w:rPr>
        <w:t xml:space="preserve"> </w:t>
      </w:r>
      <w:r w:rsidRPr="00FD211F">
        <w:rPr>
          <w:b/>
          <w:bCs/>
          <w:sz w:val="36"/>
          <w:szCs w:val="36"/>
          <w:rtl/>
        </w:rPr>
        <w:t>الدليل</w:t>
      </w:r>
      <w:r w:rsidR="00E8128F">
        <w:rPr>
          <w:b/>
          <w:bCs/>
          <w:sz w:val="36"/>
          <w:szCs w:val="36"/>
          <w:rtl/>
        </w:rPr>
        <w:t xml:space="preserve"> </w:t>
      </w:r>
      <w:r w:rsidRPr="00FD211F">
        <w:rPr>
          <w:b/>
          <w:bCs/>
          <w:sz w:val="36"/>
          <w:szCs w:val="36"/>
          <w:rtl/>
        </w:rPr>
        <w:t>العقلي</w:t>
      </w:r>
      <w:r w:rsidR="00E8128F">
        <w:rPr>
          <w:b/>
          <w:bCs/>
          <w:sz w:val="36"/>
          <w:szCs w:val="36"/>
          <w:rtl/>
        </w:rPr>
        <w:t xml:space="preserve"> </w:t>
      </w:r>
      <w:r w:rsidRPr="00FD211F">
        <w:rPr>
          <w:b/>
          <w:bCs/>
          <w:sz w:val="36"/>
          <w:szCs w:val="36"/>
          <w:rtl/>
        </w:rPr>
        <w:t>العملي</w:t>
      </w:r>
      <w:r w:rsidR="00E8128F">
        <w:rPr>
          <w:sz w:val="36"/>
          <w:szCs w:val="36"/>
          <w:rtl/>
        </w:rPr>
        <w:t xml:space="preserve"> </w:t>
      </w:r>
      <w:r w:rsidR="0096198B" w:rsidRPr="00FD211F">
        <w:rPr>
          <w:sz w:val="36"/>
          <w:szCs w:val="36"/>
          <w:rtl/>
        </w:rPr>
        <w:t>فهو</w:t>
      </w:r>
      <w:r w:rsidR="00E8128F">
        <w:rPr>
          <w:sz w:val="36"/>
          <w:szCs w:val="36"/>
          <w:rtl/>
        </w:rPr>
        <w:t xml:space="preserve"> </w:t>
      </w:r>
      <w:r w:rsidR="0096198B" w:rsidRPr="00FD211F">
        <w:rPr>
          <w:sz w:val="36"/>
          <w:szCs w:val="36"/>
          <w:rtl/>
        </w:rPr>
        <w:t>كل</w:t>
      </w:r>
      <w:r w:rsidR="00E8128F">
        <w:rPr>
          <w:sz w:val="36"/>
          <w:szCs w:val="36"/>
          <w:rtl/>
        </w:rPr>
        <w:t xml:space="preserve"> </w:t>
      </w:r>
      <w:r w:rsidR="009D715E" w:rsidRPr="00FD211F">
        <w:rPr>
          <w:sz w:val="36"/>
          <w:szCs w:val="36"/>
          <w:rtl/>
        </w:rPr>
        <w:t>ماي</w:t>
      </w:r>
      <w:r w:rsidR="0096198B" w:rsidRPr="00FD211F">
        <w:rPr>
          <w:sz w:val="36"/>
          <w:szCs w:val="36"/>
          <w:rtl/>
        </w:rPr>
        <w:t>شخص</w:t>
      </w:r>
      <w:r w:rsidR="00E8128F">
        <w:rPr>
          <w:sz w:val="36"/>
          <w:szCs w:val="36"/>
          <w:rtl/>
        </w:rPr>
        <w:t xml:space="preserve"> </w:t>
      </w:r>
      <w:r w:rsidR="0096198B" w:rsidRPr="00FD211F">
        <w:rPr>
          <w:sz w:val="36"/>
          <w:szCs w:val="36"/>
          <w:rtl/>
        </w:rPr>
        <w:t>الوظيف</w:t>
      </w:r>
      <w:r w:rsidR="00EC7EDF" w:rsidRPr="00FD211F">
        <w:rPr>
          <w:sz w:val="36"/>
          <w:szCs w:val="36"/>
          <w:rtl/>
        </w:rPr>
        <w:t>ة</w:t>
      </w:r>
      <w:r w:rsidR="00E8128F">
        <w:rPr>
          <w:sz w:val="36"/>
          <w:szCs w:val="36"/>
          <w:rtl/>
        </w:rPr>
        <w:t xml:space="preserve"> </w:t>
      </w:r>
      <w:r w:rsidR="009D715E" w:rsidRPr="00FD211F">
        <w:rPr>
          <w:sz w:val="36"/>
          <w:szCs w:val="36"/>
          <w:rtl/>
        </w:rPr>
        <w:t>العقلي</w:t>
      </w:r>
      <w:r w:rsidR="00EC7EDF" w:rsidRPr="00FD211F">
        <w:rPr>
          <w:sz w:val="36"/>
          <w:szCs w:val="36"/>
          <w:rtl/>
        </w:rPr>
        <w:t>ة</w:t>
      </w:r>
      <w:r w:rsidR="00E8128F">
        <w:rPr>
          <w:sz w:val="36"/>
          <w:szCs w:val="36"/>
          <w:rtl/>
        </w:rPr>
        <w:t xml:space="preserve"> </w:t>
      </w:r>
      <w:r w:rsidR="009D715E" w:rsidRPr="00FD211F">
        <w:rPr>
          <w:sz w:val="36"/>
          <w:szCs w:val="36"/>
          <w:rtl/>
        </w:rPr>
        <w:t>من</w:t>
      </w:r>
      <w:r w:rsidR="00E8128F">
        <w:rPr>
          <w:sz w:val="36"/>
          <w:szCs w:val="36"/>
          <w:rtl/>
        </w:rPr>
        <w:t xml:space="preserve"> </w:t>
      </w:r>
      <w:r w:rsidR="009D715E" w:rsidRPr="00FD211F">
        <w:rPr>
          <w:sz w:val="36"/>
          <w:szCs w:val="36"/>
          <w:rtl/>
        </w:rPr>
        <w:t>حيث</w:t>
      </w:r>
      <w:r w:rsidR="00E8128F">
        <w:rPr>
          <w:sz w:val="36"/>
          <w:szCs w:val="36"/>
          <w:rtl/>
        </w:rPr>
        <w:t xml:space="preserve"> </w:t>
      </w:r>
      <w:r w:rsidR="009D715E" w:rsidRPr="00FD211F">
        <w:rPr>
          <w:sz w:val="36"/>
          <w:szCs w:val="36"/>
          <w:rtl/>
        </w:rPr>
        <w:t>التعذير</w:t>
      </w:r>
      <w:r w:rsidR="00E8128F">
        <w:rPr>
          <w:sz w:val="36"/>
          <w:szCs w:val="36"/>
          <w:rtl/>
        </w:rPr>
        <w:t xml:space="preserve"> </w:t>
      </w:r>
      <w:r w:rsidR="009D715E" w:rsidRPr="00FD211F">
        <w:rPr>
          <w:sz w:val="36"/>
          <w:szCs w:val="36"/>
          <w:rtl/>
        </w:rPr>
        <w:t>او</w:t>
      </w:r>
      <w:r w:rsidR="00E8128F">
        <w:rPr>
          <w:sz w:val="36"/>
          <w:szCs w:val="36"/>
          <w:rtl/>
        </w:rPr>
        <w:t xml:space="preserve"> </w:t>
      </w:r>
      <w:r w:rsidR="009D715E" w:rsidRPr="00FD211F">
        <w:rPr>
          <w:sz w:val="36"/>
          <w:szCs w:val="36"/>
          <w:rtl/>
        </w:rPr>
        <w:t>التنجيز</w:t>
      </w:r>
      <w:r w:rsidR="00E8128F">
        <w:rPr>
          <w:sz w:val="36"/>
          <w:szCs w:val="36"/>
          <w:rtl/>
        </w:rPr>
        <w:t xml:space="preserve"> </w:t>
      </w:r>
      <w:r w:rsidR="0096198B" w:rsidRPr="00FD211F">
        <w:rPr>
          <w:sz w:val="36"/>
          <w:szCs w:val="36"/>
          <w:rtl/>
        </w:rPr>
        <w:t>في</w:t>
      </w:r>
      <w:r w:rsidR="00E8128F">
        <w:rPr>
          <w:sz w:val="36"/>
          <w:szCs w:val="36"/>
          <w:rtl/>
        </w:rPr>
        <w:t xml:space="preserve"> </w:t>
      </w:r>
      <w:r w:rsidR="0096198B" w:rsidRPr="00FD211F">
        <w:rPr>
          <w:sz w:val="36"/>
          <w:szCs w:val="36"/>
          <w:rtl/>
        </w:rPr>
        <w:t>قبال</w:t>
      </w:r>
      <w:r w:rsidR="00E8128F">
        <w:rPr>
          <w:sz w:val="36"/>
          <w:szCs w:val="36"/>
          <w:rtl/>
        </w:rPr>
        <w:t xml:space="preserve"> </w:t>
      </w:r>
      <w:r w:rsidR="00F60F90" w:rsidRPr="00FD211F">
        <w:rPr>
          <w:sz w:val="36"/>
          <w:szCs w:val="36"/>
          <w:rtl/>
        </w:rPr>
        <w:t>التكليف</w:t>
      </w:r>
      <w:r w:rsidR="00E8128F">
        <w:rPr>
          <w:sz w:val="36"/>
          <w:szCs w:val="36"/>
          <w:rtl/>
        </w:rPr>
        <w:t xml:space="preserve"> </w:t>
      </w:r>
      <w:r w:rsidRPr="00FD211F">
        <w:rPr>
          <w:sz w:val="36"/>
          <w:szCs w:val="36"/>
          <w:rtl/>
        </w:rPr>
        <w:t>المشكوك</w:t>
      </w:r>
      <w:r w:rsidR="00E8128F">
        <w:rPr>
          <w:sz w:val="36"/>
          <w:szCs w:val="36"/>
          <w:rtl/>
        </w:rPr>
        <w:t xml:space="preserve"> </w:t>
      </w:r>
      <w:r w:rsidRPr="00FD211F">
        <w:rPr>
          <w:sz w:val="36"/>
          <w:szCs w:val="36"/>
          <w:rtl/>
        </w:rPr>
        <w:t>كقاعد</w:t>
      </w:r>
      <w:r w:rsidR="00EC7EDF" w:rsidRPr="00FD211F">
        <w:rPr>
          <w:sz w:val="36"/>
          <w:szCs w:val="36"/>
          <w:rtl/>
        </w:rPr>
        <w:t>ة</w:t>
      </w:r>
      <w:r w:rsidR="00E8128F">
        <w:rPr>
          <w:sz w:val="36"/>
          <w:szCs w:val="36"/>
          <w:rtl/>
        </w:rPr>
        <w:t xml:space="preserve"> </w:t>
      </w:r>
      <w:r w:rsidRPr="00FD211F">
        <w:rPr>
          <w:sz w:val="36"/>
          <w:szCs w:val="36"/>
          <w:rtl/>
        </w:rPr>
        <w:t>الب</w:t>
      </w:r>
      <w:r w:rsidR="008D7B3D" w:rsidRPr="00FD211F">
        <w:rPr>
          <w:sz w:val="36"/>
          <w:szCs w:val="36"/>
          <w:rtl/>
        </w:rPr>
        <w:t>راءة</w:t>
      </w:r>
      <w:r w:rsidR="00E8128F">
        <w:rPr>
          <w:sz w:val="36"/>
          <w:szCs w:val="36"/>
          <w:rtl/>
        </w:rPr>
        <w:t xml:space="preserve"> </w:t>
      </w:r>
      <w:r w:rsidR="00EC7EDF" w:rsidRPr="00FD211F">
        <w:rPr>
          <w:sz w:val="36"/>
          <w:szCs w:val="36"/>
          <w:rtl/>
        </w:rPr>
        <w:t>و</w:t>
      </w:r>
      <w:r w:rsidRPr="00FD211F">
        <w:rPr>
          <w:sz w:val="36"/>
          <w:szCs w:val="36"/>
          <w:rtl/>
        </w:rPr>
        <w:t>الاحتياط</w:t>
      </w:r>
      <w:r w:rsidR="00E8128F">
        <w:rPr>
          <w:sz w:val="36"/>
          <w:szCs w:val="36"/>
          <w:rtl/>
        </w:rPr>
        <w:t xml:space="preserve"> </w:t>
      </w:r>
      <w:r w:rsidRPr="00FD211F">
        <w:rPr>
          <w:sz w:val="36"/>
          <w:szCs w:val="36"/>
          <w:rtl/>
        </w:rPr>
        <w:t>العقليين</w:t>
      </w:r>
      <w:r w:rsidR="00B91C5F" w:rsidRPr="00FD211F">
        <w:rPr>
          <w:sz w:val="36"/>
          <w:szCs w:val="36"/>
          <w:rtl/>
        </w:rPr>
        <w:t>.</w:t>
      </w:r>
    </w:p>
    <w:p w14:paraId="3011CF08" w14:textId="20F26E9D" w:rsidR="00103C21" w:rsidRPr="00FD211F" w:rsidRDefault="00103C21" w:rsidP="009C58C8">
      <w:pPr>
        <w:ind w:left="0" w:firstLine="227"/>
        <w:jc w:val="both"/>
        <w:rPr>
          <w:sz w:val="36"/>
          <w:szCs w:val="36"/>
        </w:rPr>
      </w:pPr>
      <w:r w:rsidRPr="00FD211F">
        <w:rPr>
          <w:b/>
          <w:bCs/>
          <w:sz w:val="36"/>
          <w:szCs w:val="36"/>
          <w:rtl/>
        </w:rPr>
        <w:t>واما</w:t>
      </w:r>
      <w:r w:rsidR="00E8128F">
        <w:rPr>
          <w:b/>
          <w:bCs/>
          <w:sz w:val="36"/>
          <w:szCs w:val="36"/>
          <w:rtl/>
        </w:rPr>
        <w:t xml:space="preserve"> </w:t>
      </w:r>
      <w:r w:rsidRPr="00FD211F">
        <w:rPr>
          <w:b/>
          <w:bCs/>
          <w:sz w:val="36"/>
          <w:szCs w:val="36"/>
          <w:rtl/>
        </w:rPr>
        <w:t>الدليل</w:t>
      </w:r>
      <w:r w:rsidR="00E8128F">
        <w:rPr>
          <w:b/>
          <w:bCs/>
          <w:sz w:val="36"/>
          <w:szCs w:val="36"/>
          <w:rtl/>
        </w:rPr>
        <w:t xml:space="preserve"> </w:t>
      </w:r>
      <w:r w:rsidRPr="00FD211F">
        <w:rPr>
          <w:b/>
          <w:bCs/>
          <w:sz w:val="36"/>
          <w:szCs w:val="36"/>
          <w:rtl/>
        </w:rPr>
        <w:t>العقلي</w:t>
      </w:r>
      <w:r w:rsidR="00E8128F">
        <w:rPr>
          <w:b/>
          <w:bCs/>
          <w:sz w:val="36"/>
          <w:szCs w:val="36"/>
          <w:rtl/>
        </w:rPr>
        <w:t xml:space="preserve"> </w:t>
      </w:r>
      <w:r w:rsidRPr="00FD211F">
        <w:rPr>
          <w:b/>
          <w:bCs/>
          <w:sz w:val="36"/>
          <w:szCs w:val="36"/>
          <w:rtl/>
        </w:rPr>
        <w:t>الاستقرائي</w:t>
      </w:r>
      <w:r w:rsidR="00E8128F">
        <w:rPr>
          <w:sz w:val="36"/>
          <w:szCs w:val="36"/>
          <w:rtl/>
        </w:rPr>
        <w:t xml:space="preserve"> </w:t>
      </w:r>
      <w:r w:rsidRPr="00FD211F">
        <w:rPr>
          <w:sz w:val="36"/>
          <w:szCs w:val="36"/>
          <w:rtl/>
        </w:rPr>
        <w:t>فهو</w:t>
      </w:r>
      <w:r w:rsidR="00E8128F">
        <w:rPr>
          <w:sz w:val="36"/>
          <w:szCs w:val="36"/>
          <w:rtl/>
        </w:rPr>
        <w:t xml:space="preserve"> </w:t>
      </w:r>
      <w:r w:rsidRPr="00FD211F">
        <w:rPr>
          <w:sz w:val="36"/>
          <w:szCs w:val="36"/>
          <w:rtl/>
        </w:rPr>
        <w:t>الدليل</w:t>
      </w:r>
      <w:r w:rsidR="00E8128F">
        <w:rPr>
          <w:sz w:val="36"/>
          <w:szCs w:val="36"/>
          <w:rtl/>
        </w:rPr>
        <w:t xml:space="preserve"> </w:t>
      </w:r>
      <w:r w:rsidRPr="00FD211F">
        <w:rPr>
          <w:sz w:val="36"/>
          <w:szCs w:val="36"/>
          <w:rtl/>
        </w:rPr>
        <w:t>القائم</w:t>
      </w:r>
      <w:r w:rsidR="00E8128F">
        <w:rPr>
          <w:sz w:val="36"/>
          <w:szCs w:val="36"/>
          <w:rtl/>
        </w:rPr>
        <w:t xml:space="preserve"> </w:t>
      </w:r>
      <w:r w:rsidRPr="00FD211F">
        <w:rPr>
          <w:sz w:val="36"/>
          <w:szCs w:val="36"/>
          <w:rtl/>
        </w:rPr>
        <w:t>دلالته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حساب</w:t>
      </w:r>
      <w:r w:rsidR="00E8128F">
        <w:rPr>
          <w:sz w:val="36"/>
          <w:szCs w:val="36"/>
          <w:rtl/>
        </w:rPr>
        <w:t xml:space="preserve"> </w:t>
      </w:r>
      <w:r w:rsidRPr="00FD211F">
        <w:rPr>
          <w:sz w:val="36"/>
          <w:szCs w:val="36"/>
          <w:rtl/>
        </w:rPr>
        <w:t>الاحتمالات</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الأساس</w:t>
      </w:r>
      <w:r w:rsidR="00E8128F">
        <w:rPr>
          <w:sz w:val="36"/>
          <w:szCs w:val="36"/>
          <w:rtl/>
        </w:rPr>
        <w:t xml:space="preserve"> </w:t>
      </w:r>
      <w:r w:rsidRPr="00FD211F">
        <w:rPr>
          <w:sz w:val="36"/>
          <w:szCs w:val="36"/>
          <w:rtl/>
        </w:rPr>
        <w:t>العامّ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الأدلة</w:t>
      </w:r>
      <w:r w:rsidR="00E8128F">
        <w:rPr>
          <w:sz w:val="36"/>
          <w:szCs w:val="36"/>
          <w:rtl/>
        </w:rPr>
        <w:t xml:space="preserve"> </w:t>
      </w:r>
      <w:r w:rsidRPr="00FD211F">
        <w:rPr>
          <w:sz w:val="36"/>
          <w:szCs w:val="36"/>
          <w:rtl/>
        </w:rPr>
        <w:t>الاستقرائية</w:t>
      </w:r>
      <w:r w:rsidR="00603323" w:rsidRPr="00FD211F">
        <w:rPr>
          <w:sz w:val="36"/>
          <w:szCs w:val="36"/>
          <w:rtl/>
        </w:rPr>
        <w:t>،</w:t>
      </w:r>
      <w:r w:rsidR="00E8128F">
        <w:rPr>
          <w:sz w:val="36"/>
          <w:szCs w:val="36"/>
          <w:rtl/>
        </w:rPr>
        <w:t xml:space="preserve"> </w:t>
      </w:r>
      <w:r w:rsidRPr="00FD211F">
        <w:rPr>
          <w:sz w:val="36"/>
          <w:szCs w:val="36"/>
          <w:rtl/>
        </w:rPr>
        <w:t>كالتواتر</w:t>
      </w:r>
      <w:r w:rsidR="00E8128F">
        <w:rPr>
          <w:sz w:val="36"/>
          <w:szCs w:val="36"/>
          <w:rtl/>
        </w:rPr>
        <w:t xml:space="preserve"> </w:t>
      </w:r>
      <w:r w:rsidRPr="00FD211F">
        <w:rPr>
          <w:sz w:val="36"/>
          <w:szCs w:val="36"/>
          <w:rtl/>
        </w:rPr>
        <w:t>والاجماع</w:t>
      </w:r>
      <w:r w:rsidR="00E8128F">
        <w:rPr>
          <w:sz w:val="36"/>
          <w:szCs w:val="36"/>
          <w:rtl/>
        </w:rPr>
        <w:t xml:space="preserve"> </w:t>
      </w:r>
      <w:r w:rsidRPr="00FD211F">
        <w:rPr>
          <w:sz w:val="36"/>
          <w:szCs w:val="36"/>
          <w:rtl/>
        </w:rPr>
        <w:t>والسيرة</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المنطق</w:t>
      </w:r>
      <w:r w:rsidR="00E8128F">
        <w:rPr>
          <w:sz w:val="36"/>
          <w:szCs w:val="36"/>
          <w:rtl/>
        </w:rPr>
        <w:t xml:space="preserve"> </w:t>
      </w:r>
      <w:r w:rsidRPr="00FD211F">
        <w:rPr>
          <w:sz w:val="36"/>
          <w:szCs w:val="36"/>
          <w:rtl/>
        </w:rPr>
        <w:t>الارسطي</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يعدّ</w:t>
      </w:r>
      <w:r w:rsidR="00E8128F">
        <w:rPr>
          <w:sz w:val="36"/>
          <w:szCs w:val="36"/>
          <w:rtl/>
        </w:rPr>
        <w:t xml:space="preserve"> </w:t>
      </w:r>
      <w:r w:rsidRPr="00FD211F">
        <w:rPr>
          <w:sz w:val="36"/>
          <w:szCs w:val="36"/>
          <w:rtl/>
        </w:rPr>
        <w:t>التواتر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اقسام</w:t>
      </w:r>
      <w:r w:rsidR="00E8128F">
        <w:rPr>
          <w:sz w:val="36"/>
          <w:szCs w:val="36"/>
          <w:rtl/>
        </w:rPr>
        <w:t xml:space="preserve"> </w:t>
      </w:r>
      <w:r w:rsidRPr="00FD211F">
        <w:rPr>
          <w:sz w:val="36"/>
          <w:szCs w:val="36"/>
          <w:rtl/>
        </w:rPr>
        <w:t>البرهان</w:t>
      </w:r>
      <w:r w:rsidR="00E8128F">
        <w:rPr>
          <w:sz w:val="36"/>
          <w:szCs w:val="36"/>
          <w:rtl/>
        </w:rPr>
        <w:t xml:space="preserve"> </w:t>
      </w:r>
      <w:r w:rsidRPr="00FD211F">
        <w:rPr>
          <w:sz w:val="36"/>
          <w:szCs w:val="36"/>
          <w:rtl/>
        </w:rPr>
        <w:t>ولكنه</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كذلك</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الحاصل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التواتر</w:t>
      </w:r>
      <w:r w:rsidR="00E8128F">
        <w:rPr>
          <w:sz w:val="36"/>
          <w:szCs w:val="36"/>
          <w:rtl/>
        </w:rPr>
        <w:t xml:space="preserve"> </w:t>
      </w:r>
      <w:r w:rsidRPr="00FD211F">
        <w:rPr>
          <w:sz w:val="36"/>
          <w:szCs w:val="36"/>
          <w:rtl/>
        </w:rPr>
        <w:t>ناش</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حساب</w:t>
      </w:r>
      <w:r w:rsidR="00E8128F">
        <w:rPr>
          <w:sz w:val="36"/>
          <w:szCs w:val="36"/>
          <w:rtl/>
        </w:rPr>
        <w:t xml:space="preserve"> </w:t>
      </w:r>
      <w:r w:rsidRPr="00FD211F">
        <w:rPr>
          <w:sz w:val="36"/>
          <w:szCs w:val="36"/>
          <w:rtl/>
        </w:rPr>
        <w:t>الاحتمالات</w:t>
      </w:r>
      <w:r w:rsidR="00603323" w:rsidRPr="00FD211F">
        <w:rPr>
          <w:sz w:val="36"/>
          <w:szCs w:val="36"/>
          <w:rtl/>
        </w:rPr>
        <w:t>،</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اخبر</w:t>
      </w:r>
      <w:r w:rsidR="00E8128F">
        <w:rPr>
          <w:sz w:val="36"/>
          <w:szCs w:val="36"/>
          <w:rtl/>
        </w:rPr>
        <w:t xml:space="preserve"> </w:t>
      </w:r>
      <w:r w:rsidRPr="00FD211F">
        <w:rPr>
          <w:sz w:val="36"/>
          <w:szCs w:val="36"/>
          <w:rtl/>
        </w:rPr>
        <w:t>واحد</w:t>
      </w:r>
      <w:r w:rsidR="00E8128F">
        <w:rPr>
          <w:sz w:val="36"/>
          <w:szCs w:val="36"/>
          <w:rtl/>
        </w:rPr>
        <w:t xml:space="preserve"> </w:t>
      </w:r>
      <w:r w:rsidRPr="00FD211F">
        <w:rPr>
          <w:sz w:val="36"/>
          <w:szCs w:val="36"/>
          <w:rtl/>
        </w:rPr>
        <w:t>بوقوع</w:t>
      </w:r>
      <w:r w:rsidR="00E8128F">
        <w:rPr>
          <w:sz w:val="36"/>
          <w:szCs w:val="36"/>
          <w:rtl/>
        </w:rPr>
        <w:t xml:space="preserve"> </w:t>
      </w:r>
      <w:r w:rsidRPr="00FD211F">
        <w:rPr>
          <w:sz w:val="36"/>
          <w:szCs w:val="36"/>
          <w:rtl/>
        </w:rPr>
        <w:t>امر</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كذبه:</w:t>
      </w:r>
      <w:r w:rsidR="00E8128F">
        <w:rPr>
          <w:sz w:val="36"/>
          <w:szCs w:val="36"/>
          <w:rtl/>
        </w:rPr>
        <w:t xml:space="preserve"> </w:t>
      </w:r>
      <w:r w:rsidRPr="00FD211F">
        <w:rPr>
          <w:sz w:val="36"/>
          <w:szCs w:val="36"/>
          <w:rtl/>
        </w:rPr>
        <w:t>"</w:t>
      </w:r>
      <w:r w:rsidR="00A91826" w:rsidRPr="00FD211F">
        <w:rPr>
          <w:position w:val="-20"/>
          <w:sz w:val="36"/>
          <w:szCs w:val="36"/>
        </w:rPr>
        <w:drawing>
          <wp:inline distT="0" distB="0" distL="0" distR="0" wp14:anchorId="7F745800" wp14:editId="4A89BBB2">
            <wp:extent cx="73025" cy="351155"/>
            <wp:effectExtent l="0" t="0" r="0" b="0"/>
            <wp:docPr id="1" name="تصوی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lum bright="-36000" contrast="-24000"/>
                      <a:grayscl/>
                      <a:biLevel thresh="50000"/>
                      <a:extLst>
                        <a:ext uri="{28A0092B-C50C-407E-A947-70E740481C1C}">
                          <a14:useLocalDpi xmlns:a14="http://schemas.microsoft.com/office/drawing/2010/main" val="0"/>
                        </a:ext>
                      </a:extLst>
                    </a:blip>
                    <a:srcRect/>
                    <a:stretch>
                      <a:fillRect/>
                    </a:stretch>
                  </pic:blipFill>
                  <pic:spPr bwMode="auto">
                    <a:xfrm>
                      <a:off x="0" y="0"/>
                      <a:ext cx="73025" cy="351155"/>
                    </a:xfrm>
                    <a:prstGeom prst="rect">
                      <a:avLst/>
                    </a:prstGeom>
                    <a:noFill/>
                    <a:ln>
                      <a:noFill/>
                    </a:ln>
                  </pic:spPr>
                </pic:pic>
              </a:graphicData>
            </a:graphic>
          </wp:inline>
        </w:drawing>
      </w:r>
      <w:r w:rsidRPr="00FD211F">
        <w:rPr>
          <w:b/>
          <w:sz w:val="36"/>
          <w:szCs w:val="36"/>
          <w:rtl/>
        </w:rPr>
        <w:t>"</w:t>
      </w:r>
      <w:r w:rsidR="00E8128F">
        <w:rPr>
          <w:sz w:val="36"/>
          <w:szCs w:val="36"/>
          <w:rtl/>
        </w:rPr>
        <w:t xml:space="preserve"> </w:t>
      </w:r>
      <w:r w:rsidRPr="00FD211F">
        <w:rPr>
          <w:sz w:val="36"/>
          <w:szCs w:val="36"/>
          <w:rtl/>
        </w:rPr>
        <w:t>ثم</w:t>
      </w:r>
      <w:r w:rsidR="00E8128F">
        <w:rPr>
          <w:sz w:val="36"/>
          <w:szCs w:val="36"/>
          <w:rtl/>
        </w:rPr>
        <w:t xml:space="preserve"> </w:t>
      </w:r>
      <w:r w:rsidRPr="00FD211F">
        <w:rPr>
          <w:sz w:val="36"/>
          <w:szCs w:val="36"/>
          <w:rtl/>
        </w:rPr>
        <w:t>اذا</w:t>
      </w:r>
      <w:r w:rsidR="00E8128F">
        <w:rPr>
          <w:sz w:val="36"/>
          <w:szCs w:val="36"/>
          <w:rtl/>
        </w:rPr>
        <w:t xml:space="preserve"> </w:t>
      </w:r>
      <w:r w:rsidRPr="00FD211F">
        <w:rPr>
          <w:sz w:val="36"/>
          <w:szCs w:val="36"/>
          <w:rtl/>
        </w:rPr>
        <w:t>اخبر</w:t>
      </w:r>
      <w:r w:rsidR="00E8128F">
        <w:rPr>
          <w:sz w:val="36"/>
          <w:szCs w:val="36"/>
          <w:rtl/>
        </w:rPr>
        <w:t xml:space="preserve"> </w:t>
      </w:r>
      <w:r w:rsidRPr="00FD211F">
        <w:rPr>
          <w:sz w:val="36"/>
          <w:szCs w:val="36"/>
          <w:rtl/>
        </w:rPr>
        <w:t>شخص</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بوقوع</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الأمر</w:t>
      </w:r>
      <w:r w:rsidR="00E8128F">
        <w:rPr>
          <w:sz w:val="36"/>
          <w:szCs w:val="36"/>
          <w:rtl/>
        </w:rPr>
        <w:t xml:space="preserve"> </w:t>
      </w:r>
      <w:r w:rsidRPr="00FD211F">
        <w:rPr>
          <w:sz w:val="36"/>
          <w:szCs w:val="36"/>
          <w:rtl/>
        </w:rPr>
        <w:t>فحيث</w:t>
      </w:r>
      <w:r w:rsidR="00E8128F">
        <w:rPr>
          <w:sz w:val="36"/>
          <w:szCs w:val="36"/>
          <w:rtl/>
        </w:rPr>
        <w:t xml:space="preserve"> </w:t>
      </w:r>
      <w:r w:rsidRPr="00FD211F">
        <w:rPr>
          <w:sz w:val="36"/>
          <w:szCs w:val="36"/>
          <w:rtl/>
        </w:rPr>
        <w:t>يجتمع</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صدق</w:t>
      </w:r>
      <w:r w:rsidR="00E8128F">
        <w:rPr>
          <w:sz w:val="36"/>
          <w:szCs w:val="36"/>
          <w:rtl/>
        </w:rPr>
        <w:t xml:space="preserve"> </w:t>
      </w:r>
      <w:r w:rsidRPr="00FD211F">
        <w:rPr>
          <w:sz w:val="36"/>
          <w:szCs w:val="36"/>
          <w:rtl/>
        </w:rPr>
        <w:t>الاول</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صدق</w:t>
      </w:r>
      <w:r w:rsidR="00E8128F">
        <w:rPr>
          <w:sz w:val="36"/>
          <w:szCs w:val="36"/>
          <w:rtl/>
        </w:rPr>
        <w:t xml:space="preserve"> </w:t>
      </w:r>
      <w:r w:rsidRPr="00FD211F">
        <w:rPr>
          <w:sz w:val="36"/>
          <w:szCs w:val="36"/>
          <w:rtl/>
        </w:rPr>
        <w:t>الثاني</w:t>
      </w:r>
      <w:r w:rsidR="00E8128F">
        <w:rPr>
          <w:sz w:val="36"/>
          <w:szCs w:val="36"/>
          <w:rtl/>
        </w:rPr>
        <w:t xml:space="preserve"> </w:t>
      </w:r>
      <w:r w:rsidRPr="00FD211F">
        <w:rPr>
          <w:sz w:val="36"/>
          <w:szCs w:val="36"/>
          <w:rtl/>
        </w:rPr>
        <w:t>وكذبه</w:t>
      </w:r>
      <w:r w:rsidR="00603323" w:rsidRPr="00FD211F">
        <w:rPr>
          <w:sz w:val="36"/>
          <w:szCs w:val="36"/>
          <w:rtl/>
        </w:rPr>
        <w:t>،</w:t>
      </w:r>
      <w:r w:rsidR="00E8128F">
        <w:rPr>
          <w:sz w:val="36"/>
          <w:szCs w:val="36"/>
          <w:rtl/>
        </w:rPr>
        <w:t xml:space="preserve"> </w:t>
      </w:r>
      <w:r w:rsidRPr="00FD211F">
        <w:rPr>
          <w:sz w:val="36"/>
          <w:szCs w:val="36"/>
          <w:rtl/>
        </w:rPr>
        <w:t>وكذا</w:t>
      </w:r>
      <w:r w:rsidR="00E8128F">
        <w:rPr>
          <w:sz w:val="36"/>
          <w:szCs w:val="36"/>
          <w:rtl/>
        </w:rPr>
        <w:t xml:space="preserve"> </w:t>
      </w:r>
      <w:r w:rsidRPr="00FD211F">
        <w:rPr>
          <w:sz w:val="36"/>
          <w:szCs w:val="36"/>
          <w:rtl/>
        </w:rPr>
        <w:t>يجتمع</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كذب</w:t>
      </w:r>
      <w:r w:rsidR="00E8128F">
        <w:rPr>
          <w:sz w:val="36"/>
          <w:szCs w:val="36"/>
          <w:rtl/>
        </w:rPr>
        <w:t xml:space="preserve"> </w:t>
      </w:r>
      <w:r w:rsidRPr="00FD211F">
        <w:rPr>
          <w:sz w:val="36"/>
          <w:szCs w:val="36"/>
          <w:rtl/>
        </w:rPr>
        <w:t>الاول</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صدق</w:t>
      </w:r>
      <w:r w:rsidR="00E8128F">
        <w:rPr>
          <w:sz w:val="36"/>
          <w:szCs w:val="36"/>
          <w:rtl/>
        </w:rPr>
        <w:t xml:space="preserve"> </w:t>
      </w:r>
      <w:r w:rsidRPr="00FD211F">
        <w:rPr>
          <w:sz w:val="36"/>
          <w:szCs w:val="36"/>
          <w:rtl/>
        </w:rPr>
        <w:t>الثاني</w:t>
      </w:r>
      <w:r w:rsidR="00E8128F">
        <w:rPr>
          <w:sz w:val="36"/>
          <w:szCs w:val="36"/>
          <w:rtl/>
        </w:rPr>
        <w:t xml:space="preserve"> </w:t>
      </w:r>
      <w:r w:rsidRPr="00FD211F">
        <w:rPr>
          <w:sz w:val="36"/>
          <w:szCs w:val="36"/>
          <w:rtl/>
        </w:rPr>
        <w:t>وكذبه</w:t>
      </w:r>
      <w:r w:rsidR="00E8128F">
        <w:rPr>
          <w:sz w:val="36"/>
          <w:szCs w:val="36"/>
          <w:rtl/>
        </w:rPr>
        <w:t xml:space="preserve"> </w:t>
      </w:r>
      <w:r w:rsidRPr="00FD211F">
        <w:rPr>
          <w:sz w:val="36"/>
          <w:szCs w:val="36"/>
          <w:rtl/>
        </w:rPr>
        <w:t>فتكون</w:t>
      </w:r>
      <w:r w:rsidR="00E8128F">
        <w:rPr>
          <w:sz w:val="36"/>
          <w:szCs w:val="36"/>
          <w:rtl/>
        </w:rPr>
        <w:t xml:space="preserve"> </w:t>
      </w:r>
      <w:r w:rsidRPr="00FD211F">
        <w:rPr>
          <w:sz w:val="36"/>
          <w:szCs w:val="36"/>
          <w:rtl/>
        </w:rPr>
        <w:t>الاحتمالات</w:t>
      </w:r>
      <w:r w:rsidR="00E8128F">
        <w:rPr>
          <w:sz w:val="36"/>
          <w:szCs w:val="36"/>
          <w:rtl/>
        </w:rPr>
        <w:t xml:space="preserve"> </w:t>
      </w:r>
      <w:r w:rsidRPr="00FD211F">
        <w:rPr>
          <w:sz w:val="36"/>
          <w:szCs w:val="36"/>
          <w:rtl/>
        </w:rPr>
        <w:t>اربعة</w:t>
      </w:r>
      <w:r w:rsidR="00603323" w:rsidRPr="00FD211F">
        <w:rPr>
          <w:sz w:val="36"/>
          <w:szCs w:val="36"/>
          <w:rtl/>
        </w:rPr>
        <w:t>،</w:t>
      </w:r>
      <w:r w:rsidR="00E8128F">
        <w:rPr>
          <w:sz w:val="36"/>
          <w:szCs w:val="36"/>
          <w:rtl/>
        </w:rPr>
        <w:t xml:space="preserve"> </w:t>
      </w:r>
      <w:r w:rsidRPr="00FD211F">
        <w:rPr>
          <w:sz w:val="36"/>
          <w:szCs w:val="36"/>
          <w:rtl/>
        </w:rPr>
        <w:t>ويصير</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كذبهما</w:t>
      </w:r>
      <w:r w:rsidR="00E8128F">
        <w:rPr>
          <w:sz w:val="36"/>
          <w:szCs w:val="36"/>
          <w:rtl/>
        </w:rPr>
        <w:t xml:space="preserve"> </w:t>
      </w:r>
      <w:r w:rsidRPr="00FD211F">
        <w:rPr>
          <w:sz w:val="36"/>
          <w:szCs w:val="36"/>
          <w:rtl/>
        </w:rPr>
        <w:t>معا:</w:t>
      </w:r>
      <w:r w:rsidR="00E8128F">
        <w:rPr>
          <w:sz w:val="36"/>
          <w:szCs w:val="36"/>
          <w:rtl/>
        </w:rPr>
        <w:t xml:space="preserve"> </w:t>
      </w:r>
      <w:r w:rsidRPr="00FD211F">
        <w:rPr>
          <w:sz w:val="36"/>
          <w:szCs w:val="36"/>
          <w:rtl/>
        </w:rPr>
        <w:t>"</w:t>
      </w:r>
      <w:r w:rsidR="00A91826" w:rsidRPr="00FD211F">
        <w:rPr>
          <w:position w:val="-20"/>
          <w:sz w:val="36"/>
          <w:szCs w:val="36"/>
        </w:rPr>
        <w:drawing>
          <wp:inline distT="0" distB="0" distL="0" distR="0" wp14:anchorId="2D60EE63" wp14:editId="0059FC98">
            <wp:extent cx="73025" cy="351155"/>
            <wp:effectExtent l="0" t="0" r="0" b="0"/>
            <wp:docPr id="2" name="تصوی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lum bright="-54000" contrast="-66000"/>
                      <a:extLst>
                        <a:ext uri="{28A0092B-C50C-407E-A947-70E740481C1C}">
                          <a14:useLocalDpi xmlns:a14="http://schemas.microsoft.com/office/drawing/2010/main" val="0"/>
                        </a:ext>
                      </a:extLst>
                    </a:blip>
                    <a:srcRect/>
                    <a:stretch>
                      <a:fillRect/>
                    </a:stretch>
                  </pic:blipFill>
                  <pic:spPr bwMode="auto">
                    <a:xfrm>
                      <a:off x="0" y="0"/>
                      <a:ext cx="73025" cy="351155"/>
                    </a:xfrm>
                    <a:prstGeom prst="rect">
                      <a:avLst/>
                    </a:prstGeom>
                    <a:noFill/>
                    <a:ln>
                      <a:noFill/>
                    </a:ln>
                  </pic:spPr>
                </pic:pic>
              </a:graphicData>
            </a:graphic>
          </wp:inline>
        </w:drawing>
      </w:r>
      <w:r w:rsidRPr="00FD211F">
        <w:rPr>
          <w:sz w:val="36"/>
          <w:szCs w:val="36"/>
          <w:rtl/>
        </w:rPr>
        <w:t>"</w:t>
      </w:r>
      <w:r w:rsidR="00E8128F">
        <w:rPr>
          <w:sz w:val="36"/>
          <w:szCs w:val="36"/>
          <w:rtl/>
        </w:rPr>
        <w:t xml:space="preserve"> </w:t>
      </w:r>
      <w:r w:rsidRPr="00FD211F">
        <w:rPr>
          <w:sz w:val="36"/>
          <w:szCs w:val="36"/>
          <w:rtl/>
        </w:rPr>
        <w:t>واذا</w:t>
      </w:r>
      <w:r w:rsidR="00E8128F">
        <w:rPr>
          <w:sz w:val="36"/>
          <w:szCs w:val="36"/>
          <w:rtl/>
        </w:rPr>
        <w:t xml:space="preserve"> </w:t>
      </w:r>
      <w:r w:rsidRPr="00FD211F">
        <w:rPr>
          <w:sz w:val="36"/>
          <w:szCs w:val="36"/>
          <w:rtl/>
        </w:rPr>
        <w:t>اخبر</w:t>
      </w:r>
      <w:r w:rsidR="00E8128F">
        <w:rPr>
          <w:sz w:val="36"/>
          <w:szCs w:val="36"/>
          <w:rtl/>
        </w:rPr>
        <w:t xml:space="preserve"> </w:t>
      </w:r>
      <w:r w:rsidRPr="00FD211F">
        <w:rPr>
          <w:sz w:val="36"/>
          <w:szCs w:val="36"/>
          <w:rtl/>
        </w:rPr>
        <w:t>شخص</w:t>
      </w:r>
      <w:r w:rsidR="00E8128F">
        <w:rPr>
          <w:sz w:val="36"/>
          <w:szCs w:val="36"/>
          <w:rtl/>
        </w:rPr>
        <w:t xml:space="preserve"> </w:t>
      </w:r>
      <w:r w:rsidRPr="00FD211F">
        <w:rPr>
          <w:sz w:val="36"/>
          <w:szCs w:val="36"/>
          <w:rtl/>
        </w:rPr>
        <w:t>ثالث</w:t>
      </w:r>
      <w:r w:rsidR="00E8128F">
        <w:rPr>
          <w:sz w:val="36"/>
          <w:szCs w:val="36"/>
          <w:rtl/>
        </w:rPr>
        <w:t xml:space="preserve"> </w:t>
      </w:r>
      <w:r w:rsidRPr="00FD211F">
        <w:rPr>
          <w:sz w:val="36"/>
          <w:szCs w:val="36"/>
          <w:rtl/>
        </w:rPr>
        <w:t>به</w:t>
      </w:r>
      <w:r w:rsidR="00E8128F">
        <w:rPr>
          <w:sz w:val="36"/>
          <w:szCs w:val="36"/>
          <w:rtl/>
        </w:rPr>
        <w:t xml:space="preserve"> </w:t>
      </w:r>
      <w:r w:rsidRPr="00FD211F">
        <w:rPr>
          <w:sz w:val="36"/>
          <w:szCs w:val="36"/>
          <w:rtl/>
        </w:rPr>
        <w:t>فحيث</w:t>
      </w:r>
      <w:r w:rsidR="00E8128F">
        <w:rPr>
          <w:sz w:val="36"/>
          <w:szCs w:val="36"/>
          <w:rtl/>
        </w:rPr>
        <w:t xml:space="preserve"> </w:t>
      </w:r>
      <w:r w:rsidRPr="00FD211F">
        <w:rPr>
          <w:sz w:val="36"/>
          <w:szCs w:val="36"/>
          <w:rtl/>
        </w:rPr>
        <w:t>يجتمع</w:t>
      </w:r>
      <w:r w:rsidR="00E8128F">
        <w:rPr>
          <w:sz w:val="36"/>
          <w:szCs w:val="36"/>
          <w:rtl/>
        </w:rPr>
        <w:t xml:space="preserve"> </w:t>
      </w:r>
      <w:r w:rsidRPr="00FD211F">
        <w:rPr>
          <w:sz w:val="36"/>
          <w:szCs w:val="36"/>
          <w:rtl/>
        </w:rPr>
        <w:t>تلك</w:t>
      </w:r>
      <w:r w:rsidR="00E8128F">
        <w:rPr>
          <w:sz w:val="36"/>
          <w:szCs w:val="36"/>
          <w:rtl/>
        </w:rPr>
        <w:t xml:space="preserve"> </w:t>
      </w:r>
      <w:r w:rsidRPr="00FD211F">
        <w:rPr>
          <w:sz w:val="36"/>
          <w:szCs w:val="36"/>
          <w:rtl/>
        </w:rPr>
        <w:t>الاحتمالات</w:t>
      </w:r>
      <w:r w:rsidR="00E8128F">
        <w:rPr>
          <w:sz w:val="36"/>
          <w:szCs w:val="36"/>
          <w:rtl/>
        </w:rPr>
        <w:t xml:space="preserve"> </w:t>
      </w:r>
      <w:r w:rsidRPr="00FD211F">
        <w:rPr>
          <w:sz w:val="36"/>
          <w:szCs w:val="36"/>
          <w:rtl/>
        </w:rPr>
        <w:t>الاربعة</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lastRenderedPageBreak/>
        <w:t>صدق</w:t>
      </w:r>
      <w:r w:rsidR="00E8128F">
        <w:rPr>
          <w:sz w:val="36"/>
          <w:szCs w:val="36"/>
          <w:rtl/>
        </w:rPr>
        <w:t xml:space="preserve"> </w:t>
      </w:r>
      <w:r w:rsidRPr="00FD211F">
        <w:rPr>
          <w:sz w:val="36"/>
          <w:szCs w:val="36"/>
          <w:rtl/>
        </w:rPr>
        <w:t>الثالث</w:t>
      </w:r>
      <w:r w:rsidR="00E8128F">
        <w:rPr>
          <w:sz w:val="36"/>
          <w:szCs w:val="36"/>
          <w:rtl/>
        </w:rPr>
        <w:t xml:space="preserve"> </w:t>
      </w:r>
      <w:r w:rsidRPr="00FD211F">
        <w:rPr>
          <w:sz w:val="36"/>
          <w:szCs w:val="36"/>
          <w:rtl/>
        </w:rPr>
        <w:t>تارة</w:t>
      </w:r>
      <w:r w:rsidR="00E8128F">
        <w:rPr>
          <w:sz w:val="36"/>
          <w:szCs w:val="36"/>
          <w:rtl/>
        </w:rPr>
        <w:t xml:space="preserve"> </w:t>
      </w:r>
      <w:r w:rsidRPr="00FD211F">
        <w:rPr>
          <w:sz w:val="36"/>
          <w:szCs w:val="36"/>
          <w:rtl/>
        </w:rPr>
        <w:t>ومع</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كذبه</w:t>
      </w:r>
      <w:r w:rsidR="00E8128F">
        <w:rPr>
          <w:sz w:val="36"/>
          <w:szCs w:val="36"/>
          <w:rtl/>
        </w:rPr>
        <w:t xml:space="preserve"> </w:t>
      </w:r>
      <w:r w:rsidRPr="00FD211F">
        <w:rPr>
          <w:sz w:val="36"/>
          <w:szCs w:val="36"/>
          <w:rtl/>
        </w:rPr>
        <w:t>أخرى</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كذب</w:t>
      </w:r>
      <w:r w:rsidR="00E8128F">
        <w:rPr>
          <w:sz w:val="36"/>
          <w:szCs w:val="36"/>
          <w:rtl/>
        </w:rPr>
        <w:t xml:space="preserve"> </w:t>
      </w:r>
      <w:r w:rsidRPr="00FD211F">
        <w:rPr>
          <w:sz w:val="36"/>
          <w:szCs w:val="36"/>
          <w:rtl/>
        </w:rPr>
        <w:t>الجميع:</w:t>
      </w:r>
      <w:r w:rsidR="00E8128F">
        <w:rPr>
          <w:sz w:val="36"/>
          <w:szCs w:val="36"/>
          <w:rtl/>
        </w:rPr>
        <w:t xml:space="preserve"> </w:t>
      </w:r>
      <w:r w:rsidRPr="00FD211F">
        <w:rPr>
          <w:sz w:val="36"/>
          <w:szCs w:val="36"/>
          <w:rtl/>
        </w:rPr>
        <w:t>"</w:t>
      </w:r>
      <w:r w:rsidR="00A91826" w:rsidRPr="00FD211F">
        <w:rPr>
          <w:position w:val="-20"/>
          <w:sz w:val="36"/>
          <w:szCs w:val="36"/>
        </w:rPr>
        <w:drawing>
          <wp:inline distT="0" distB="0" distL="0" distR="0" wp14:anchorId="7AA62580" wp14:editId="76C4ECEB">
            <wp:extent cx="73025" cy="351155"/>
            <wp:effectExtent l="0" t="0" r="0" b="0"/>
            <wp:docPr id="3" name="تصوی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lum bright="-54000"/>
                      <a:extLst>
                        <a:ext uri="{28A0092B-C50C-407E-A947-70E740481C1C}">
                          <a14:useLocalDpi xmlns:a14="http://schemas.microsoft.com/office/drawing/2010/main" val="0"/>
                        </a:ext>
                      </a:extLst>
                    </a:blip>
                    <a:srcRect/>
                    <a:stretch>
                      <a:fillRect/>
                    </a:stretch>
                  </pic:blipFill>
                  <pic:spPr bwMode="auto">
                    <a:xfrm>
                      <a:off x="0" y="0"/>
                      <a:ext cx="73025" cy="351155"/>
                    </a:xfrm>
                    <a:prstGeom prst="rect">
                      <a:avLst/>
                    </a:prstGeom>
                    <a:noFill/>
                    <a:ln>
                      <a:noFill/>
                    </a:ln>
                  </pic:spPr>
                </pic:pic>
              </a:graphicData>
            </a:graphic>
          </wp:inline>
        </w:drawing>
      </w:r>
      <w:r w:rsidRPr="00FD211F">
        <w:rPr>
          <w:sz w:val="36"/>
          <w:szCs w:val="36"/>
          <w:rtl/>
        </w:rPr>
        <w:t>"</w:t>
      </w:r>
      <w:r w:rsidR="00E8128F">
        <w:rPr>
          <w:sz w:val="36"/>
          <w:szCs w:val="36"/>
          <w:rtl/>
        </w:rPr>
        <w:t xml:space="preserve"> </w:t>
      </w:r>
      <w:r w:rsidRPr="00FD211F">
        <w:rPr>
          <w:sz w:val="36"/>
          <w:szCs w:val="36"/>
          <w:rtl/>
        </w:rPr>
        <w:t>وهكذا</w:t>
      </w:r>
      <w:r w:rsidR="00E8128F">
        <w:rPr>
          <w:sz w:val="36"/>
          <w:szCs w:val="36"/>
          <w:rtl/>
        </w:rPr>
        <w:t xml:space="preserve"> </w:t>
      </w:r>
      <w:r w:rsidRPr="00FD211F">
        <w:rPr>
          <w:sz w:val="36"/>
          <w:szCs w:val="36"/>
          <w:rtl/>
        </w:rPr>
        <w:t>يضعف</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كذب</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المخبرين</w:t>
      </w:r>
      <w:r w:rsidR="00E8128F">
        <w:rPr>
          <w:sz w:val="36"/>
          <w:szCs w:val="36"/>
          <w:rtl/>
        </w:rPr>
        <w:t xml:space="preserve"> </w:t>
      </w:r>
      <w:r w:rsidRPr="00FD211F">
        <w:rPr>
          <w:sz w:val="36"/>
          <w:szCs w:val="36"/>
          <w:rtl/>
        </w:rPr>
        <w:t>شيئا</w:t>
      </w:r>
      <w:r w:rsidR="00E8128F">
        <w:rPr>
          <w:sz w:val="36"/>
          <w:szCs w:val="36"/>
          <w:rtl/>
        </w:rPr>
        <w:t xml:space="preserve"> </w:t>
      </w:r>
      <w:r w:rsidRPr="00FD211F">
        <w:rPr>
          <w:sz w:val="36"/>
          <w:szCs w:val="36"/>
          <w:rtl/>
        </w:rPr>
        <w:t>فشيئا</w:t>
      </w:r>
      <w:r w:rsidR="00E8128F">
        <w:rPr>
          <w:sz w:val="36"/>
          <w:szCs w:val="36"/>
          <w:rtl/>
        </w:rPr>
        <w:t xml:space="preserve"> </w:t>
      </w:r>
      <w:r w:rsidRPr="00FD211F">
        <w:rPr>
          <w:sz w:val="36"/>
          <w:szCs w:val="36"/>
          <w:rtl/>
        </w:rPr>
        <w:t>بزيادة</w:t>
      </w:r>
      <w:r w:rsidR="00E8128F">
        <w:rPr>
          <w:sz w:val="36"/>
          <w:szCs w:val="36"/>
          <w:rtl/>
        </w:rPr>
        <w:t xml:space="preserve"> </w:t>
      </w:r>
      <w:r w:rsidRPr="00FD211F">
        <w:rPr>
          <w:sz w:val="36"/>
          <w:szCs w:val="36"/>
          <w:rtl/>
        </w:rPr>
        <w:t>عددهم</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يزول</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كذب</w:t>
      </w:r>
      <w:r w:rsidR="00E8128F">
        <w:rPr>
          <w:sz w:val="36"/>
          <w:szCs w:val="36"/>
          <w:rtl/>
        </w:rPr>
        <w:t xml:space="preserve"> </w:t>
      </w:r>
      <w:r w:rsidRPr="00FD211F">
        <w:rPr>
          <w:sz w:val="36"/>
          <w:szCs w:val="36"/>
          <w:rtl/>
        </w:rPr>
        <w:t>الكل</w:t>
      </w:r>
      <w:r w:rsidR="00E8128F">
        <w:rPr>
          <w:sz w:val="36"/>
          <w:szCs w:val="36"/>
          <w:rtl/>
        </w:rPr>
        <w:t xml:space="preserve"> </w:t>
      </w:r>
      <w:r w:rsidRPr="00FD211F">
        <w:rPr>
          <w:sz w:val="36"/>
          <w:szCs w:val="36"/>
          <w:rtl/>
        </w:rPr>
        <w:t>نفسيا</w:t>
      </w:r>
      <w:r w:rsidR="00603323" w:rsidRPr="00FD211F">
        <w:rPr>
          <w:sz w:val="36"/>
          <w:szCs w:val="36"/>
          <w:rtl/>
        </w:rPr>
        <w:t>،</w:t>
      </w:r>
      <w:r w:rsidR="00E8128F">
        <w:rPr>
          <w:sz w:val="36"/>
          <w:szCs w:val="36"/>
          <w:rtl/>
        </w:rPr>
        <w:t xml:space="preserve"> </w:t>
      </w:r>
      <w:r w:rsidRPr="00FD211F">
        <w:rPr>
          <w:sz w:val="36"/>
          <w:szCs w:val="36"/>
          <w:rtl/>
        </w:rPr>
        <w:t>لكنه</w:t>
      </w:r>
      <w:r w:rsidR="00E8128F">
        <w:rPr>
          <w:sz w:val="36"/>
          <w:szCs w:val="36"/>
          <w:rtl/>
        </w:rPr>
        <w:t xml:space="preserve"> </w:t>
      </w:r>
      <w:r w:rsidRPr="00FD211F">
        <w:rPr>
          <w:sz w:val="36"/>
          <w:szCs w:val="36"/>
          <w:rtl/>
        </w:rPr>
        <w:t>لاينعدم</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الاحتمال</w:t>
      </w:r>
      <w:r w:rsidR="00E8128F">
        <w:rPr>
          <w:sz w:val="36"/>
          <w:szCs w:val="36"/>
          <w:rtl/>
        </w:rPr>
        <w:t xml:space="preserve"> </w:t>
      </w:r>
      <w:r w:rsidRPr="00FD211F">
        <w:rPr>
          <w:sz w:val="36"/>
          <w:szCs w:val="36"/>
          <w:rtl/>
        </w:rPr>
        <w:t>بحسب</w:t>
      </w:r>
      <w:r w:rsidR="00E8128F">
        <w:rPr>
          <w:sz w:val="36"/>
          <w:szCs w:val="36"/>
          <w:rtl/>
        </w:rPr>
        <w:t xml:space="preserve"> </w:t>
      </w:r>
      <w:r w:rsidRPr="00FD211F">
        <w:rPr>
          <w:sz w:val="36"/>
          <w:szCs w:val="36"/>
          <w:rtl/>
        </w:rPr>
        <w:t>موازين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الحساب</w:t>
      </w:r>
      <w:r w:rsidR="00603323" w:rsidRPr="00FD211F">
        <w:rPr>
          <w:sz w:val="36"/>
          <w:szCs w:val="36"/>
          <w:rtl/>
        </w:rPr>
        <w:t>،</w:t>
      </w:r>
      <w:r w:rsidR="00E8128F">
        <w:rPr>
          <w:sz w:val="36"/>
          <w:szCs w:val="36"/>
          <w:rtl/>
        </w:rPr>
        <w:t xml:space="preserve"> </w:t>
      </w:r>
      <w:r w:rsidRPr="00FD211F">
        <w:rPr>
          <w:sz w:val="36"/>
          <w:szCs w:val="36"/>
          <w:rtl/>
        </w:rPr>
        <w:t>ولايوجد</w:t>
      </w:r>
      <w:r w:rsidR="00E8128F">
        <w:rPr>
          <w:sz w:val="36"/>
          <w:szCs w:val="36"/>
          <w:rtl/>
        </w:rPr>
        <w:t xml:space="preserve"> </w:t>
      </w:r>
      <w:r w:rsidRPr="00FD211F">
        <w:rPr>
          <w:sz w:val="36"/>
          <w:szCs w:val="36"/>
          <w:rtl/>
        </w:rPr>
        <w:t>برهان</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نفي</w:t>
      </w:r>
      <w:r w:rsidR="00E8128F">
        <w:rPr>
          <w:sz w:val="36"/>
          <w:szCs w:val="36"/>
          <w:rtl/>
        </w:rPr>
        <w:t xml:space="preserve"> </w:t>
      </w:r>
      <w:r w:rsidRPr="00FD211F">
        <w:rPr>
          <w:sz w:val="36"/>
          <w:szCs w:val="36"/>
          <w:rtl/>
        </w:rPr>
        <w:t>كذب</w:t>
      </w:r>
      <w:r w:rsidR="00E8128F">
        <w:rPr>
          <w:sz w:val="36"/>
          <w:szCs w:val="36"/>
          <w:rtl/>
        </w:rPr>
        <w:t xml:space="preserve"> </w:t>
      </w:r>
      <w:r w:rsidRPr="00FD211F">
        <w:rPr>
          <w:sz w:val="36"/>
          <w:szCs w:val="36"/>
          <w:rtl/>
        </w:rPr>
        <w:t>الجميع</w:t>
      </w:r>
      <w:r w:rsidR="00E8128F">
        <w:rPr>
          <w:sz w:val="36"/>
          <w:szCs w:val="36"/>
          <w:rtl/>
        </w:rPr>
        <w:t xml:space="preserve"> </w:t>
      </w:r>
      <w:r w:rsidRPr="00FD211F">
        <w:rPr>
          <w:sz w:val="36"/>
          <w:szCs w:val="36"/>
          <w:rtl/>
        </w:rPr>
        <w:t>وانما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مجرد</w:t>
      </w:r>
      <w:r w:rsidR="00E8128F">
        <w:rPr>
          <w:sz w:val="36"/>
          <w:szCs w:val="36"/>
          <w:rtl/>
        </w:rPr>
        <w:t xml:space="preserve"> </w:t>
      </w:r>
      <w:r w:rsidRPr="00FD211F">
        <w:rPr>
          <w:sz w:val="36"/>
          <w:szCs w:val="36"/>
          <w:rtl/>
        </w:rPr>
        <w:t>يقين</w:t>
      </w:r>
      <w:r w:rsidR="00E8128F">
        <w:rPr>
          <w:sz w:val="36"/>
          <w:szCs w:val="36"/>
          <w:rtl/>
        </w:rPr>
        <w:t xml:space="preserve"> </w:t>
      </w:r>
      <w:r w:rsidRPr="00FD211F">
        <w:rPr>
          <w:sz w:val="36"/>
          <w:szCs w:val="36"/>
          <w:rtl/>
        </w:rPr>
        <w:t>نفسي</w:t>
      </w:r>
      <w:r w:rsidR="00E8128F">
        <w:rPr>
          <w:sz w:val="36"/>
          <w:szCs w:val="36"/>
          <w:rtl/>
        </w:rPr>
        <w:t xml:space="preserve"> </w:t>
      </w:r>
      <w:r w:rsidRPr="00FD211F">
        <w:rPr>
          <w:sz w:val="36"/>
          <w:szCs w:val="36"/>
          <w:rtl/>
        </w:rPr>
        <w:t>ناشٍ</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حساب</w:t>
      </w:r>
      <w:r w:rsidR="00E8128F">
        <w:rPr>
          <w:sz w:val="36"/>
          <w:szCs w:val="36"/>
          <w:rtl/>
        </w:rPr>
        <w:t xml:space="preserve"> </w:t>
      </w:r>
      <w:r w:rsidRPr="00FD211F">
        <w:rPr>
          <w:sz w:val="36"/>
          <w:szCs w:val="36"/>
          <w:rtl/>
        </w:rPr>
        <w:t>الاحتمالات.</w:t>
      </w:r>
    </w:p>
    <w:p w14:paraId="364023B9" w14:textId="77689A5B" w:rsidR="00103C21" w:rsidRPr="00FD211F" w:rsidRDefault="00103C21" w:rsidP="009C58C8">
      <w:pPr>
        <w:ind w:left="0" w:firstLine="227"/>
        <w:jc w:val="both"/>
        <w:rPr>
          <w:sz w:val="36"/>
          <w:szCs w:val="36"/>
          <w:rtl/>
        </w:rPr>
      </w:pPr>
      <w:bookmarkStart w:id="52" w:name="تصحيح_شود"/>
      <w:bookmarkEnd w:id="52"/>
      <w:r w:rsidRPr="00FD211F">
        <w:rPr>
          <w:sz w:val="36"/>
          <w:szCs w:val="36"/>
          <w:rtl/>
        </w:rPr>
        <w:t>وهكذا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الإجماع</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فتوى</w:t>
      </w:r>
      <w:r w:rsidR="00E8128F">
        <w:rPr>
          <w:sz w:val="36"/>
          <w:szCs w:val="36"/>
          <w:rtl/>
        </w:rPr>
        <w:t xml:space="preserve"> </w:t>
      </w:r>
      <w:r w:rsidRPr="00FD211F">
        <w:rPr>
          <w:sz w:val="36"/>
          <w:szCs w:val="36"/>
          <w:rtl/>
        </w:rPr>
        <w:t>فقيه</w:t>
      </w:r>
      <w:r w:rsidR="00E8128F">
        <w:rPr>
          <w:sz w:val="36"/>
          <w:szCs w:val="36"/>
          <w:rtl/>
        </w:rPr>
        <w:t xml:space="preserve"> </w:t>
      </w:r>
      <w:r w:rsidRPr="00FD211F">
        <w:rPr>
          <w:sz w:val="36"/>
          <w:szCs w:val="36"/>
          <w:rtl/>
        </w:rPr>
        <w:t>–فيما</w:t>
      </w:r>
      <w:r w:rsidR="00E8128F">
        <w:rPr>
          <w:sz w:val="36"/>
          <w:szCs w:val="36"/>
          <w:rtl/>
        </w:rPr>
        <w:t xml:space="preserve"> </w:t>
      </w:r>
      <w:r w:rsidRPr="00FD211F">
        <w:rPr>
          <w:sz w:val="36"/>
          <w:szCs w:val="36"/>
          <w:rtl/>
        </w:rPr>
        <w:t>لم‌يكن</w:t>
      </w:r>
      <w:r w:rsidR="00E8128F">
        <w:rPr>
          <w:sz w:val="36"/>
          <w:szCs w:val="36"/>
          <w:rtl/>
        </w:rPr>
        <w:t xml:space="preserve"> </w:t>
      </w:r>
      <w:r w:rsidRPr="00FD211F">
        <w:rPr>
          <w:sz w:val="36"/>
          <w:szCs w:val="36"/>
          <w:rtl/>
        </w:rPr>
        <w:t>لها</w:t>
      </w:r>
      <w:r w:rsidR="00E8128F">
        <w:rPr>
          <w:sz w:val="36"/>
          <w:szCs w:val="36"/>
          <w:rtl/>
        </w:rPr>
        <w:t xml:space="preserve"> </w:t>
      </w:r>
      <w:r w:rsidRPr="00FD211F">
        <w:rPr>
          <w:sz w:val="36"/>
          <w:szCs w:val="36"/>
          <w:rtl/>
        </w:rPr>
        <w:t>مستند</w:t>
      </w:r>
      <w:r w:rsidR="00E8128F">
        <w:rPr>
          <w:sz w:val="36"/>
          <w:szCs w:val="36"/>
          <w:rtl/>
        </w:rPr>
        <w:t xml:space="preserve"> </w:t>
      </w:r>
      <w:r w:rsidRPr="00FD211F">
        <w:rPr>
          <w:sz w:val="36"/>
          <w:szCs w:val="36"/>
          <w:rtl/>
        </w:rPr>
        <w:t>واضح-</w:t>
      </w:r>
      <w:r w:rsidR="00E8128F">
        <w:rPr>
          <w:sz w:val="36"/>
          <w:szCs w:val="36"/>
          <w:rtl/>
        </w:rPr>
        <w:t xml:space="preserve"> </w:t>
      </w:r>
      <w:r w:rsidRPr="00FD211F">
        <w:rPr>
          <w:sz w:val="36"/>
          <w:szCs w:val="36"/>
          <w:rtl/>
        </w:rPr>
        <w:t>ناشئة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نكتة</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نكتة</w:t>
      </w:r>
      <w:r w:rsidR="00E8128F">
        <w:rPr>
          <w:sz w:val="36"/>
          <w:szCs w:val="36"/>
          <w:rtl/>
        </w:rPr>
        <w:t xml:space="preserve"> </w:t>
      </w:r>
      <w:r w:rsidRPr="00FD211F">
        <w:rPr>
          <w:sz w:val="36"/>
          <w:szCs w:val="36"/>
          <w:rtl/>
        </w:rPr>
        <w:t>ارتكاز</w:t>
      </w:r>
      <w:r w:rsidR="00E8128F">
        <w:rPr>
          <w:sz w:val="36"/>
          <w:szCs w:val="36"/>
          <w:rtl/>
        </w:rPr>
        <w:t xml:space="preserve"> </w:t>
      </w:r>
      <w:r w:rsidRPr="00FD211F">
        <w:rPr>
          <w:sz w:val="36"/>
          <w:szCs w:val="36"/>
          <w:rtl/>
        </w:rPr>
        <w:t>المتشرعة:</w:t>
      </w:r>
      <w:r w:rsidR="00E8128F">
        <w:rPr>
          <w:sz w:val="36"/>
          <w:szCs w:val="36"/>
          <w:rtl/>
        </w:rPr>
        <w:t xml:space="preserve"> </w:t>
      </w:r>
      <w:r w:rsidRPr="00FD211F">
        <w:rPr>
          <w:sz w:val="36"/>
          <w:szCs w:val="36"/>
          <w:rtl/>
        </w:rPr>
        <w:t>"</w:t>
      </w:r>
      <w:r w:rsidR="00A91826" w:rsidRPr="00FD211F">
        <w:rPr>
          <w:position w:val="-20"/>
          <w:sz w:val="36"/>
          <w:szCs w:val="36"/>
        </w:rPr>
        <w:drawing>
          <wp:inline distT="0" distB="0" distL="0" distR="0" wp14:anchorId="52F9A206" wp14:editId="784B2F75">
            <wp:extent cx="73025" cy="351155"/>
            <wp:effectExtent l="0" t="0" r="0" b="0"/>
            <wp:docPr id="4" name="تصوی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lum bright="-66000"/>
                      <a:extLst>
                        <a:ext uri="{28A0092B-C50C-407E-A947-70E740481C1C}">
                          <a14:useLocalDpi xmlns:a14="http://schemas.microsoft.com/office/drawing/2010/main" val="0"/>
                        </a:ext>
                      </a:extLst>
                    </a:blip>
                    <a:srcRect/>
                    <a:stretch>
                      <a:fillRect/>
                    </a:stretch>
                  </pic:blipFill>
                  <pic:spPr bwMode="auto">
                    <a:xfrm>
                      <a:off x="0" y="0"/>
                      <a:ext cx="73025" cy="351155"/>
                    </a:xfrm>
                    <a:prstGeom prst="rect">
                      <a:avLst/>
                    </a:prstGeom>
                    <a:noFill/>
                    <a:ln>
                      <a:noFill/>
                    </a:ln>
                  </pic:spPr>
                </pic:pic>
              </a:graphicData>
            </a:graphic>
          </wp:inline>
        </w:drawing>
      </w:r>
      <w:r w:rsidRPr="00FD211F">
        <w:rPr>
          <w:b/>
          <w:sz w:val="36"/>
          <w:szCs w:val="36"/>
          <w:rtl/>
        </w:rPr>
        <w:t>"</w:t>
      </w:r>
      <w:r w:rsidR="00E8128F">
        <w:rPr>
          <w:sz w:val="36"/>
          <w:szCs w:val="36"/>
          <w:rtl/>
        </w:rPr>
        <w:t xml:space="preserve"> </w:t>
      </w:r>
      <w:r w:rsidRPr="00FD211F">
        <w:rPr>
          <w:sz w:val="36"/>
          <w:szCs w:val="36"/>
          <w:rtl/>
        </w:rPr>
        <w:t>فاذا</w:t>
      </w:r>
      <w:r w:rsidR="00E8128F">
        <w:rPr>
          <w:sz w:val="36"/>
          <w:szCs w:val="36"/>
          <w:rtl/>
        </w:rPr>
        <w:t xml:space="preserve"> </w:t>
      </w:r>
      <w:r w:rsidRPr="00FD211F">
        <w:rPr>
          <w:sz w:val="36"/>
          <w:szCs w:val="36"/>
          <w:rtl/>
        </w:rPr>
        <w:t>افتى</w:t>
      </w:r>
      <w:r w:rsidR="00E8128F">
        <w:rPr>
          <w:sz w:val="36"/>
          <w:szCs w:val="36"/>
          <w:rtl/>
        </w:rPr>
        <w:t xml:space="preserve"> </w:t>
      </w:r>
      <w:r w:rsidRPr="00FD211F">
        <w:rPr>
          <w:sz w:val="36"/>
          <w:szCs w:val="36"/>
          <w:rtl/>
        </w:rPr>
        <w:t>فقيه</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بنفس</w:t>
      </w:r>
      <w:r w:rsidR="00E8128F">
        <w:rPr>
          <w:sz w:val="36"/>
          <w:szCs w:val="36"/>
          <w:rtl/>
        </w:rPr>
        <w:t xml:space="preserve"> </w:t>
      </w:r>
      <w:r w:rsidRPr="00FD211F">
        <w:rPr>
          <w:sz w:val="36"/>
          <w:szCs w:val="36"/>
          <w:rtl/>
        </w:rPr>
        <w:t>تلك</w:t>
      </w:r>
      <w:r w:rsidR="00E8128F">
        <w:rPr>
          <w:sz w:val="36"/>
          <w:szCs w:val="36"/>
          <w:rtl/>
        </w:rPr>
        <w:t xml:space="preserve"> </w:t>
      </w:r>
      <w:r w:rsidRPr="00FD211F">
        <w:rPr>
          <w:sz w:val="36"/>
          <w:szCs w:val="36"/>
          <w:rtl/>
        </w:rPr>
        <w:t>الفتوى</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نشوء</w:t>
      </w:r>
      <w:r w:rsidR="00E8128F">
        <w:rPr>
          <w:sz w:val="36"/>
          <w:szCs w:val="36"/>
          <w:rtl/>
        </w:rPr>
        <w:t xml:space="preserve"> </w:t>
      </w:r>
      <w:r w:rsidRPr="00FD211F">
        <w:rPr>
          <w:sz w:val="36"/>
          <w:szCs w:val="36"/>
          <w:rtl/>
        </w:rPr>
        <w:t>فتواهما</w:t>
      </w:r>
      <w:r w:rsidR="00E8128F">
        <w:rPr>
          <w:sz w:val="36"/>
          <w:szCs w:val="36"/>
          <w:rtl/>
        </w:rPr>
        <w:t xml:space="preserve"> </w:t>
      </w:r>
      <w:r w:rsidRPr="00FD211F">
        <w:rPr>
          <w:sz w:val="36"/>
          <w:szCs w:val="36"/>
          <w:rtl/>
        </w:rPr>
        <w:t>معا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نكتة</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نكتة</w:t>
      </w:r>
      <w:r w:rsidR="00E8128F">
        <w:rPr>
          <w:sz w:val="36"/>
          <w:szCs w:val="36"/>
          <w:rtl/>
        </w:rPr>
        <w:t xml:space="preserve"> </w:t>
      </w:r>
      <w:r w:rsidRPr="00FD211F">
        <w:rPr>
          <w:sz w:val="36"/>
          <w:szCs w:val="36"/>
          <w:rtl/>
        </w:rPr>
        <w:t>الارتكاز</w:t>
      </w:r>
      <w:r w:rsidR="00E8128F">
        <w:rPr>
          <w:sz w:val="36"/>
          <w:szCs w:val="36"/>
          <w:rtl/>
        </w:rPr>
        <w:t xml:space="preserve"> </w:t>
      </w:r>
      <w:r w:rsidRPr="00FD211F">
        <w:rPr>
          <w:sz w:val="36"/>
          <w:szCs w:val="36"/>
          <w:rtl/>
        </w:rPr>
        <w:t>المتشرعي</w:t>
      </w:r>
      <w:r w:rsidR="00E8128F">
        <w:rPr>
          <w:sz w:val="36"/>
          <w:szCs w:val="36"/>
          <w:rtl/>
        </w:rPr>
        <w:t xml:space="preserve"> </w:t>
      </w:r>
      <w:r w:rsidRPr="00FD211F">
        <w:rPr>
          <w:sz w:val="36"/>
          <w:szCs w:val="36"/>
          <w:rtl/>
        </w:rPr>
        <w:t>"</w:t>
      </w:r>
      <w:r w:rsidR="00A91826" w:rsidRPr="00FD211F">
        <w:rPr>
          <w:position w:val="-20"/>
          <w:sz w:val="36"/>
          <w:szCs w:val="36"/>
        </w:rPr>
        <w:drawing>
          <wp:inline distT="0" distB="0" distL="0" distR="0" wp14:anchorId="4DC9AA34" wp14:editId="6865B276">
            <wp:extent cx="73025" cy="351155"/>
            <wp:effectExtent l="0" t="0" r="0" b="0"/>
            <wp:docPr id="5" name="تصوی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lum bright="-30000"/>
                      <a:extLst>
                        <a:ext uri="{28A0092B-C50C-407E-A947-70E740481C1C}">
                          <a14:useLocalDpi xmlns:a14="http://schemas.microsoft.com/office/drawing/2010/main" val="0"/>
                        </a:ext>
                      </a:extLst>
                    </a:blip>
                    <a:srcRect/>
                    <a:stretch>
                      <a:fillRect/>
                    </a:stretch>
                  </pic:blipFill>
                  <pic:spPr bwMode="auto">
                    <a:xfrm>
                      <a:off x="0" y="0"/>
                      <a:ext cx="73025" cy="351155"/>
                    </a:xfrm>
                    <a:prstGeom prst="rect">
                      <a:avLst/>
                    </a:prstGeom>
                    <a:noFill/>
                    <a:ln>
                      <a:noFill/>
                    </a:ln>
                  </pic:spPr>
                </pic:pic>
              </a:graphicData>
            </a:graphic>
          </wp:inline>
        </w:drawing>
      </w:r>
      <w:r w:rsidRPr="00FD211F">
        <w:rPr>
          <w:sz w:val="36"/>
          <w:szCs w:val="36"/>
          <w:rtl/>
        </w:rPr>
        <w:t>"</w:t>
      </w:r>
      <w:r w:rsidR="00E8128F">
        <w:rPr>
          <w:sz w:val="36"/>
          <w:szCs w:val="36"/>
          <w:rtl/>
        </w:rPr>
        <w:t xml:space="preserve"> </w:t>
      </w:r>
      <w:r w:rsidRPr="00FD211F">
        <w:rPr>
          <w:sz w:val="36"/>
          <w:szCs w:val="36"/>
          <w:rtl/>
        </w:rPr>
        <w:t>وهكذا</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يزول</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الاحتمال.</w:t>
      </w:r>
    </w:p>
    <w:p w14:paraId="55A7446D" w14:textId="1B512A13" w:rsidR="00103C21" w:rsidRPr="00FD211F" w:rsidRDefault="00103C21" w:rsidP="009C58C8">
      <w:pPr>
        <w:ind w:left="0" w:firstLine="227"/>
        <w:jc w:val="both"/>
        <w:rPr>
          <w:sz w:val="36"/>
          <w:szCs w:val="36"/>
          <w:rtl/>
        </w:rPr>
      </w:pPr>
      <w:r w:rsidRPr="00FD211F">
        <w:rPr>
          <w:sz w:val="36"/>
          <w:szCs w:val="36"/>
          <w:rtl/>
        </w:rPr>
        <w:t>ونظير</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السيرة</w:t>
      </w:r>
      <w:r w:rsidR="00E8128F">
        <w:rPr>
          <w:sz w:val="36"/>
          <w:szCs w:val="36"/>
          <w:rtl/>
        </w:rPr>
        <w:t xml:space="preserve"> </w:t>
      </w:r>
      <w:r w:rsidRPr="00FD211F">
        <w:rPr>
          <w:sz w:val="36"/>
          <w:szCs w:val="36"/>
          <w:rtl/>
        </w:rPr>
        <w:t>المتشرعية</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نشوء</w:t>
      </w:r>
      <w:r w:rsidR="00E8128F">
        <w:rPr>
          <w:sz w:val="36"/>
          <w:szCs w:val="36"/>
          <w:rtl/>
        </w:rPr>
        <w:t xml:space="preserve"> </w:t>
      </w:r>
      <w:r w:rsidRPr="00FD211F">
        <w:rPr>
          <w:sz w:val="36"/>
          <w:szCs w:val="36"/>
          <w:rtl/>
        </w:rPr>
        <w:t>عمل</w:t>
      </w:r>
      <w:r w:rsidR="00E8128F">
        <w:rPr>
          <w:sz w:val="36"/>
          <w:szCs w:val="36"/>
          <w:rtl/>
        </w:rPr>
        <w:t xml:space="preserve"> </w:t>
      </w:r>
      <w:r w:rsidRPr="00FD211F">
        <w:rPr>
          <w:sz w:val="36"/>
          <w:szCs w:val="36"/>
          <w:rtl/>
        </w:rPr>
        <w:t>فرد</w:t>
      </w:r>
      <w:r w:rsidR="00E8128F">
        <w:rPr>
          <w:sz w:val="36"/>
          <w:szCs w:val="36"/>
          <w:rtl/>
        </w:rPr>
        <w:t xml:space="preserve"> </w:t>
      </w:r>
      <w:r w:rsidRPr="00FD211F">
        <w:rPr>
          <w:sz w:val="36"/>
          <w:szCs w:val="36"/>
          <w:rtl/>
        </w:rPr>
        <w:t>واحد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المتشرعة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حكم</w:t>
      </w:r>
      <w:r w:rsidR="00E8128F">
        <w:rPr>
          <w:sz w:val="36"/>
          <w:szCs w:val="36"/>
          <w:rtl/>
        </w:rPr>
        <w:t xml:space="preserve"> </w:t>
      </w:r>
      <w:r w:rsidRPr="00FD211F">
        <w:rPr>
          <w:sz w:val="36"/>
          <w:szCs w:val="36"/>
          <w:rtl/>
        </w:rPr>
        <w:t>صادر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الامام</w:t>
      </w:r>
      <w:r w:rsidR="00E8128F">
        <w:rPr>
          <w:sz w:val="36"/>
          <w:szCs w:val="36"/>
          <w:rtl/>
        </w:rPr>
        <w:t xml:space="preserve"> </w:t>
      </w:r>
      <w:r w:rsidRPr="00FD211F">
        <w:rPr>
          <w:sz w:val="36"/>
          <w:szCs w:val="36"/>
          <w:rtl/>
        </w:rPr>
        <w:t>(عليه‌السلام)</w:t>
      </w:r>
      <w:r w:rsidR="00E8128F">
        <w:rPr>
          <w:sz w:val="36"/>
          <w:szCs w:val="36"/>
          <w:rtl/>
        </w:rPr>
        <w:t xml:space="preserve"> </w:t>
      </w:r>
      <w:r w:rsidRPr="00FD211F">
        <w:rPr>
          <w:sz w:val="36"/>
          <w:szCs w:val="36"/>
          <w:rtl/>
        </w:rPr>
        <w:t>"</w:t>
      </w:r>
      <w:r w:rsidR="00A91826" w:rsidRPr="00FD211F">
        <w:rPr>
          <w:position w:val="-20"/>
          <w:sz w:val="36"/>
          <w:szCs w:val="36"/>
        </w:rPr>
        <w:drawing>
          <wp:inline distT="0" distB="0" distL="0" distR="0" wp14:anchorId="4C93678E" wp14:editId="03EC4CF6">
            <wp:extent cx="73025" cy="351155"/>
            <wp:effectExtent l="0" t="0" r="0" b="0"/>
            <wp:docPr id="6" name="تصوی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lum bright="-42000" contrast="-24000"/>
                      <a:extLst>
                        <a:ext uri="{28A0092B-C50C-407E-A947-70E740481C1C}">
                          <a14:useLocalDpi xmlns:a14="http://schemas.microsoft.com/office/drawing/2010/main" val="0"/>
                        </a:ext>
                      </a:extLst>
                    </a:blip>
                    <a:srcRect/>
                    <a:stretch>
                      <a:fillRect/>
                    </a:stretch>
                  </pic:blipFill>
                  <pic:spPr bwMode="auto">
                    <a:xfrm>
                      <a:off x="0" y="0"/>
                      <a:ext cx="73025" cy="351155"/>
                    </a:xfrm>
                    <a:prstGeom prst="rect">
                      <a:avLst/>
                    </a:prstGeom>
                    <a:noFill/>
                    <a:ln>
                      <a:noFill/>
                    </a:ln>
                  </pic:spPr>
                </pic:pic>
              </a:graphicData>
            </a:graphic>
          </wp:inline>
        </w:drawing>
      </w:r>
      <w:r w:rsidRPr="00FD211F">
        <w:rPr>
          <w:b/>
          <w:sz w:val="36"/>
          <w:szCs w:val="36"/>
          <w:rtl/>
        </w:rPr>
        <w:t>"</w:t>
      </w:r>
      <w:r w:rsidR="00E8128F">
        <w:rPr>
          <w:sz w:val="36"/>
          <w:szCs w:val="36"/>
          <w:rtl/>
        </w:rPr>
        <w:t xml:space="preserve"> </w:t>
      </w:r>
      <w:r w:rsidRPr="00FD211F">
        <w:rPr>
          <w:sz w:val="36"/>
          <w:szCs w:val="36"/>
          <w:rtl/>
        </w:rPr>
        <w:t>فلو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فرد</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المتشرعة</w:t>
      </w:r>
      <w:r w:rsidR="00E8128F">
        <w:rPr>
          <w:sz w:val="36"/>
          <w:szCs w:val="36"/>
          <w:rtl/>
        </w:rPr>
        <w:t xml:space="preserve"> </w:t>
      </w:r>
      <w:r w:rsidRPr="00FD211F">
        <w:rPr>
          <w:sz w:val="36"/>
          <w:szCs w:val="36"/>
          <w:rtl/>
        </w:rPr>
        <w:t>مثله</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نشوء</w:t>
      </w:r>
      <w:r w:rsidR="00E8128F">
        <w:rPr>
          <w:sz w:val="36"/>
          <w:szCs w:val="36"/>
          <w:rtl/>
        </w:rPr>
        <w:t xml:space="preserve"> </w:t>
      </w:r>
      <w:r w:rsidRPr="00FD211F">
        <w:rPr>
          <w:sz w:val="36"/>
          <w:szCs w:val="36"/>
          <w:rtl/>
        </w:rPr>
        <w:t>عمل</w:t>
      </w:r>
      <w:r w:rsidR="00E8128F">
        <w:rPr>
          <w:sz w:val="36"/>
          <w:szCs w:val="36"/>
          <w:rtl/>
        </w:rPr>
        <w:t xml:space="preserve"> </w:t>
      </w:r>
      <w:r w:rsidRPr="00FD211F">
        <w:rPr>
          <w:sz w:val="36"/>
          <w:szCs w:val="36"/>
          <w:rtl/>
        </w:rPr>
        <w:t>كليهما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نكتة</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حكم</w:t>
      </w:r>
      <w:r w:rsidR="00E8128F">
        <w:rPr>
          <w:sz w:val="36"/>
          <w:szCs w:val="36"/>
          <w:rtl/>
        </w:rPr>
        <w:t xml:space="preserve"> </w:t>
      </w:r>
      <w:r w:rsidRPr="00FD211F">
        <w:rPr>
          <w:sz w:val="36"/>
          <w:szCs w:val="36"/>
          <w:rtl/>
        </w:rPr>
        <w:t>الامام</w:t>
      </w:r>
      <w:r w:rsidR="00E8128F">
        <w:rPr>
          <w:sz w:val="36"/>
          <w:szCs w:val="36"/>
          <w:rtl/>
        </w:rPr>
        <w:t xml:space="preserve"> </w:t>
      </w:r>
      <w:r w:rsidRPr="00FD211F">
        <w:rPr>
          <w:sz w:val="36"/>
          <w:szCs w:val="36"/>
          <w:rtl/>
        </w:rPr>
        <w:t>(عليه‌السلام)</w:t>
      </w:r>
      <w:r w:rsidR="00E8128F">
        <w:rPr>
          <w:sz w:val="36"/>
          <w:szCs w:val="36"/>
          <w:rtl/>
        </w:rPr>
        <w:t xml:space="preserve"> </w:t>
      </w:r>
      <w:r w:rsidRPr="00FD211F">
        <w:rPr>
          <w:sz w:val="36"/>
          <w:szCs w:val="36"/>
          <w:rtl/>
        </w:rPr>
        <w:t>"</w:t>
      </w:r>
      <w:r w:rsidR="00A91826" w:rsidRPr="00FD211F">
        <w:rPr>
          <w:position w:val="-20"/>
          <w:sz w:val="36"/>
          <w:szCs w:val="36"/>
        </w:rPr>
        <w:drawing>
          <wp:inline distT="0" distB="0" distL="0" distR="0" wp14:anchorId="4DF8842F" wp14:editId="73BCF20F">
            <wp:extent cx="73025" cy="351155"/>
            <wp:effectExtent l="0" t="0" r="0" b="0"/>
            <wp:docPr id="7" name="تصوی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clrChange>
                        <a:clrFrom>
                          <a:srgbClr val="FFFFFF"/>
                        </a:clrFrom>
                        <a:clrTo>
                          <a:srgbClr val="FFFFFF">
                            <a:alpha val="0"/>
                          </a:srgbClr>
                        </a:clrTo>
                      </a:clrChange>
                      <a:lum bright="-54000"/>
                      <a:extLst>
                        <a:ext uri="{28A0092B-C50C-407E-A947-70E740481C1C}">
                          <a14:useLocalDpi xmlns:a14="http://schemas.microsoft.com/office/drawing/2010/main" val="0"/>
                        </a:ext>
                      </a:extLst>
                    </a:blip>
                    <a:srcRect/>
                    <a:stretch>
                      <a:fillRect/>
                    </a:stretch>
                  </pic:blipFill>
                  <pic:spPr bwMode="auto">
                    <a:xfrm>
                      <a:off x="0" y="0"/>
                      <a:ext cx="73025" cy="351155"/>
                    </a:xfrm>
                    <a:prstGeom prst="rect">
                      <a:avLst/>
                    </a:prstGeom>
                    <a:noFill/>
                    <a:ln>
                      <a:noFill/>
                    </a:ln>
                  </pic:spPr>
                </pic:pic>
              </a:graphicData>
            </a:graphic>
          </wp:inline>
        </w:drawing>
      </w:r>
      <w:r w:rsidRPr="00FD211F">
        <w:rPr>
          <w:sz w:val="36"/>
          <w:szCs w:val="36"/>
          <w:rtl/>
        </w:rPr>
        <w:t>"</w:t>
      </w:r>
      <w:r w:rsidR="00E8128F">
        <w:rPr>
          <w:sz w:val="36"/>
          <w:szCs w:val="36"/>
          <w:rtl/>
        </w:rPr>
        <w:t xml:space="preserve"> </w:t>
      </w:r>
      <w:r w:rsidRPr="00FD211F">
        <w:rPr>
          <w:sz w:val="36"/>
          <w:szCs w:val="36"/>
          <w:rtl/>
        </w:rPr>
        <w:lastRenderedPageBreak/>
        <w:t>وهكذا.</w:t>
      </w:r>
    </w:p>
    <w:p w14:paraId="0CF8E9BC" w14:textId="77777777" w:rsidR="0006072A" w:rsidRPr="00FD211F" w:rsidRDefault="003259E9" w:rsidP="009C58C8">
      <w:pPr>
        <w:ind w:left="0" w:firstLine="227"/>
        <w:jc w:val="both"/>
        <w:rPr>
          <w:sz w:val="36"/>
          <w:szCs w:val="36"/>
          <w:rtl/>
        </w:rPr>
      </w:pPr>
      <w:r w:rsidRPr="00FD211F">
        <w:rPr>
          <w:sz w:val="36"/>
          <w:szCs w:val="36"/>
          <w:rtl/>
        </w:rPr>
        <w:t>و</w:t>
      </w:r>
      <w:r w:rsidR="0096198B" w:rsidRPr="00FD211F">
        <w:rPr>
          <w:sz w:val="36"/>
          <w:szCs w:val="36"/>
          <w:rtl/>
        </w:rPr>
        <w:t>هكذا</w:t>
      </w:r>
      <w:r w:rsidR="00E8128F">
        <w:rPr>
          <w:sz w:val="36"/>
          <w:szCs w:val="36"/>
          <w:rtl/>
        </w:rPr>
        <w:t xml:space="preserve"> </w:t>
      </w:r>
      <w:r w:rsidR="001B3112" w:rsidRPr="00FD211F">
        <w:rPr>
          <w:sz w:val="36"/>
          <w:szCs w:val="36"/>
          <w:rtl/>
        </w:rPr>
        <w:t>الأمر</w:t>
      </w:r>
      <w:r w:rsidR="00E8128F">
        <w:rPr>
          <w:sz w:val="36"/>
          <w:szCs w:val="36"/>
          <w:rtl/>
        </w:rPr>
        <w:t xml:space="preserve"> </w:t>
      </w:r>
      <w:r w:rsidR="0096198B" w:rsidRPr="00FD211F">
        <w:rPr>
          <w:sz w:val="36"/>
          <w:szCs w:val="36"/>
          <w:rtl/>
        </w:rPr>
        <w:t>في</w:t>
      </w:r>
      <w:r w:rsidR="00E8128F">
        <w:rPr>
          <w:sz w:val="36"/>
          <w:szCs w:val="36"/>
          <w:rtl/>
        </w:rPr>
        <w:t xml:space="preserve"> </w:t>
      </w:r>
      <w:r w:rsidRPr="00FD211F">
        <w:rPr>
          <w:sz w:val="36"/>
          <w:szCs w:val="36"/>
          <w:rtl/>
        </w:rPr>
        <w:t>احراز</w:t>
      </w:r>
      <w:r w:rsidR="00E8128F">
        <w:rPr>
          <w:sz w:val="36"/>
          <w:szCs w:val="36"/>
          <w:rtl/>
        </w:rPr>
        <w:t xml:space="preserve"> </w:t>
      </w:r>
      <w:r w:rsidRPr="00FD211F">
        <w:rPr>
          <w:sz w:val="36"/>
          <w:szCs w:val="36"/>
          <w:rtl/>
        </w:rPr>
        <w:t>السير</w:t>
      </w:r>
      <w:r w:rsidR="00EC7EDF" w:rsidRPr="00FD211F">
        <w:rPr>
          <w:sz w:val="36"/>
          <w:szCs w:val="36"/>
          <w:rtl/>
        </w:rPr>
        <w:t>ة</w:t>
      </w:r>
      <w:r w:rsidR="00E8128F">
        <w:rPr>
          <w:sz w:val="36"/>
          <w:szCs w:val="36"/>
          <w:rtl/>
        </w:rPr>
        <w:t xml:space="preserve"> </w:t>
      </w:r>
      <w:r w:rsidRPr="00FD211F">
        <w:rPr>
          <w:sz w:val="36"/>
          <w:szCs w:val="36"/>
          <w:rtl/>
        </w:rPr>
        <w:t>العقلائي</w:t>
      </w:r>
      <w:r w:rsidR="00EC7EDF" w:rsidRPr="00FD211F">
        <w:rPr>
          <w:sz w:val="36"/>
          <w:szCs w:val="36"/>
          <w:rtl/>
        </w:rPr>
        <w:t>ة</w:t>
      </w:r>
      <w:r w:rsidR="00E8128F">
        <w:rPr>
          <w:sz w:val="36"/>
          <w:szCs w:val="36"/>
          <w:rtl/>
        </w:rPr>
        <w:t xml:space="preserve"> </w:t>
      </w:r>
      <w:r w:rsidRPr="00FD211F">
        <w:rPr>
          <w:sz w:val="36"/>
          <w:szCs w:val="36"/>
          <w:rtl/>
        </w:rPr>
        <w:t>بحساب</w:t>
      </w:r>
      <w:r w:rsidR="00E8128F">
        <w:rPr>
          <w:sz w:val="36"/>
          <w:szCs w:val="36"/>
          <w:rtl/>
        </w:rPr>
        <w:t xml:space="preserve"> </w:t>
      </w:r>
      <w:r w:rsidRPr="00FD211F">
        <w:rPr>
          <w:sz w:val="36"/>
          <w:szCs w:val="36"/>
          <w:rtl/>
        </w:rPr>
        <w:t>الاحتمالات</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وجدان</w:t>
      </w:r>
      <w:r w:rsidR="00E8128F">
        <w:rPr>
          <w:sz w:val="36"/>
          <w:szCs w:val="36"/>
          <w:rtl/>
        </w:rPr>
        <w:t xml:space="preserve"> </w:t>
      </w:r>
      <w:r w:rsidRPr="00FD211F">
        <w:rPr>
          <w:sz w:val="36"/>
          <w:szCs w:val="36"/>
          <w:rtl/>
        </w:rPr>
        <w:t>شخص</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العقلاء</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المرتكزات</w:t>
      </w:r>
      <w:r w:rsidR="00E8128F">
        <w:rPr>
          <w:sz w:val="36"/>
          <w:szCs w:val="36"/>
          <w:rtl/>
        </w:rPr>
        <w:t xml:space="preserve"> </w:t>
      </w:r>
      <w:r w:rsidRPr="00FD211F">
        <w:rPr>
          <w:sz w:val="36"/>
          <w:szCs w:val="36"/>
          <w:rtl/>
        </w:rPr>
        <w:t>لايكفي</w:t>
      </w:r>
      <w:r w:rsidR="00E8128F">
        <w:rPr>
          <w:sz w:val="36"/>
          <w:szCs w:val="36"/>
          <w:rtl/>
        </w:rPr>
        <w:t xml:space="preserve"> </w:t>
      </w:r>
      <w:r w:rsidRPr="00FD211F">
        <w:rPr>
          <w:sz w:val="36"/>
          <w:szCs w:val="36"/>
          <w:rtl/>
        </w:rPr>
        <w:t>لاحراز</w:t>
      </w:r>
      <w:r w:rsidR="00E8128F">
        <w:rPr>
          <w:sz w:val="36"/>
          <w:szCs w:val="36"/>
          <w:rtl/>
        </w:rPr>
        <w:t xml:space="preserve"> </w:t>
      </w:r>
      <w:r w:rsidR="0006072A" w:rsidRPr="00FD211F">
        <w:rPr>
          <w:sz w:val="36"/>
          <w:szCs w:val="36"/>
          <w:rtl/>
        </w:rPr>
        <w:t>الارتكاز</w:t>
      </w:r>
      <w:r w:rsidR="00E8128F">
        <w:rPr>
          <w:sz w:val="36"/>
          <w:szCs w:val="36"/>
          <w:rtl/>
        </w:rPr>
        <w:t xml:space="preserve"> </w:t>
      </w:r>
      <w:r w:rsidR="0006072A" w:rsidRPr="00FD211F">
        <w:rPr>
          <w:sz w:val="36"/>
          <w:szCs w:val="36"/>
          <w:rtl/>
        </w:rPr>
        <w:t>العقلائي</w:t>
      </w:r>
      <w:r w:rsidR="00E8128F">
        <w:rPr>
          <w:sz w:val="36"/>
          <w:szCs w:val="36"/>
          <w:rtl/>
        </w:rPr>
        <w:t xml:space="preserve"> </w:t>
      </w:r>
      <w:r w:rsidR="0006072A" w:rsidRPr="00FD211F">
        <w:rPr>
          <w:sz w:val="36"/>
          <w:szCs w:val="36"/>
          <w:rtl/>
        </w:rPr>
        <w:t>العام</w:t>
      </w:r>
      <w:r w:rsidR="00603323" w:rsidRPr="00FD211F">
        <w:rPr>
          <w:sz w:val="36"/>
          <w:szCs w:val="36"/>
          <w:rtl/>
        </w:rPr>
        <w:t>،</w:t>
      </w:r>
      <w:r w:rsidR="00E8128F">
        <w:rPr>
          <w:sz w:val="36"/>
          <w:szCs w:val="36"/>
          <w:rtl/>
        </w:rPr>
        <w:t xml:space="preserve"> </w:t>
      </w:r>
      <w:r w:rsidRPr="00FD211F">
        <w:rPr>
          <w:sz w:val="36"/>
          <w:szCs w:val="36"/>
          <w:rtl/>
        </w:rPr>
        <w:t>اذ</w:t>
      </w:r>
      <w:r w:rsidR="00E8128F">
        <w:rPr>
          <w:sz w:val="36"/>
          <w:szCs w:val="36"/>
          <w:rtl/>
        </w:rPr>
        <w:t xml:space="preserve"> </w:t>
      </w:r>
      <w:r w:rsidRPr="00FD211F">
        <w:rPr>
          <w:sz w:val="36"/>
          <w:szCs w:val="36"/>
          <w:rtl/>
        </w:rPr>
        <w:t>يحتمل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ارتكازه</w:t>
      </w:r>
      <w:r w:rsidR="00E8128F">
        <w:rPr>
          <w:sz w:val="36"/>
          <w:szCs w:val="36"/>
          <w:rtl/>
        </w:rPr>
        <w:t xml:space="preserve"> </w:t>
      </w:r>
      <w:r w:rsidR="0006072A" w:rsidRPr="00FD211F">
        <w:rPr>
          <w:sz w:val="36"/>
          <w:szCs w:val="36"/>
          <w:rtl/>
        </w:rPr>
        <w:t>ناشئا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نكت</w:t>
      </w:r>
      <w:r w:rsidR="00EC7EDF" w:rsidRPr="00FD211F">
        <w:rPr>
          <w:sz w:val="36"/>
          <w:szCs w:val="36"/>
          <w:rtl/>
        </w:rPr>
        <w:t>ة</w:t>
      </w:r>
      <w:r w:rsidR="00E8128F">
        <w:rPr>
          <w:sz w:val="36"/>
          <w:szCs w:val="36"/>
          <w:rtl/>
        </w:rPr>
        <w:t xml:space="preserve"> </w:t>
      </w:r>
      <w:r w:rsidRPr="00FD211F">
        <w:rPr>
          <w:sz w:val="36"/>
          <w:szCs w:val="36"/>
          <w:rtl/>
        </w:rPr>
        <w:t>تخص</w:t>
      </w:r>
      <w:r w:rsidR="00E8128F">
        <w:rPr>
          <w:sz w:val="36"/>
          <w:szCs w:val="36"/>
          <w:rtl/>
        </w:rPr>
        <w:t xml:space="preserve"> </w:t>
      </w:r>
      <w:r w:rsidRPr="00FD211F">
        <w:rPr>
          <w:sz w:val="36"/>
          <w:szCs w:val="36"/>
          <w:rtl/>
        </w:rPr>
        <w:t>به</w:t>
      </w:r>
      <w:r w:rsidR="00E8128F">
        <w:rPr>
          <w:sz w:val="36"/>
          <w:szCs w:val="36"/>
          <w:rtl/>
        </w:rPr>
        <w:t xml:space="preserve"> </w:t>
      </w:r>
      <w:r w:rsidRPr="00FD211F">
        <w:rPr>
          <w:sz w:val="36"/>
          <w:szCs w:val="36"/>
          <w:rtl/>
        </w:rPr>
        <w:t>ولاتعم</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العقلاء</w:t>
      </w:r>
      <w:r w:rsidR="00E8128F">
        <w:rPr>
          <w:sz w:val="36"/>
          <w:szCs w:val="36"/>
          <w:rtl/>
        </w:rPr>
        <w:t xml:space="preserve"> </w:t>
      </w:r>
      <w:r w:rsidR="005F14B7" w:rsidRPr="00FD211F">
        <w:rPr>
          <w:sz w:val="36"/>
          <w:szCs w:val="36"/>
          <w:rtl/>
        </w:rPr>
        <w:t>كالتربي</w:t>
      </w:r>
      <w:r w:rsidR="00EC7EDF" w:rsidRPr="00FD211F">
        <w:rPr>
          <w:sz w:val="36"/>
          <w:szCs w:val="36"/>
          <w:rtl/>
        </w:rPr>
        <w:t>ة</w:t>
      </w:r>
      <w:r w:rsidR="00E8128F">
        <w:rPr>
          <w:sz w:val="36"/>
          <w:szCs w:val="36"/>
          <w:rtl/>
        </w:rPr>
        <w:t xml:space="preserve"> </w:t>
      </w:r>
      <w:r w:rsidR="005F14B7" w:rsidRPr="00FD211F">
        <w:rPr>
          <w:sz w:val="36"/>
          <w:szCs w:val="36"/>
          <w:rtl/>
        </w:rPr>
        <w:t>العائلي</w:t>
      </w:r>
      <w:r w:rsidR="00EC7EDF" w:rsidRPr="00FD211F">
        <w:rPr>
          <w:sz w:val="36"/>
          <w:szCs w:val="36"/>
          <w:rtl/>
        </w:rPr>
        <w:t>ة</w:t>
      </w:r>
      <w:r w:rsidR="00E8128F">
        <w:rPr>
          <w:sz w:val="36"/>
          <w:szCs w:val="36"/>
          <w:rtl/>
        </w:rPr>
        <w:t xml:space="preserve"> </w:t>
      </w:r>
      <w:r w:rsidR="005F14B7" w:rsidRPr="00FD211F">
        <w:rPr>
          <w:sz w:val="36"/>
          <w:szCs w:val="36"/>
          <w:rtl/>
        </w:rPr>
        <w:t>ونحوها</w:t>
      </w:r>
      <w:r w:rsidR="00603323" w:rsidRPr="00FD211F">
        <w:rPr>
          <w:sz w:val="36"/>
          <w:szCs w:val="36"/>
          <w:rtl/>
        </w:rPr>
        <w:t>،</w:t>
      </w:r>
      <w:r w:rsidR="00E8128F">
        <w:rPr>
          <w:sz w:val="36"/>
          <w:szCs w:val="36"/>
          <w:rtl/>
        </w:rPr>
        <w:t xml:space="preserve"> </w:t>
      </w:r>
      <w:r w:rsidRPr="00FD211F">
        <w:rPr>
          <w:sz w:val="36"/>
          <w:szCs w:val="36"/>
          <w:rtl/>
        </w:rPr>
        <w:t>فنحتاج</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نفي</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الاحتمال</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ملاحظ</w:t>
      </w:r>
      <w:r w:rsidR="00EC7EDF" w:rsidRPr="00FD211F">
        <w:rPr>
          <w:sz w:val="36"/>
          <w:szCs w:val="36"/>
          <w:rtl/>
        </w:rPr>
        <w:t>ة</w:t>
      </w:r>
      <w:r w:rsidR="00E8128F">
        <w:rPr>
          <w:sz w:val="36"/>
          <w:szCs w:val="36"/>
          <w:rtl/>
        </w:rPr>
        <w:t xml:space="preserve"> </w:t>
      </w:r>
      <w:r w:rsidRPr="00FD211F">
        <w:rPr>
          <w:sz w:val="36"/>
          <w:szCs w:val="36"/>
          <w:rtl/>
        </w:rPr>
        <w:t>عد</w:t>
      </w:r>
      <w:r w:rsidR="00EC7EDF" w:rsidRPr="00FD211F">
        <w:rPr>
          <w:sz w:val="36"/>
          <w:szCs w:val="36"/>
          <w:rtl/>
        </w:rPr>
        <w:t>ة</w:t>
      </w:r>
      <w:r w:rsidR="00E8128F">
        <w:rPr>
          <w:sz w:val="36"/>
          <w:szCs w:val="36"/>
          <w:rtl/>
        </w:rPr>
        <w:t xml:space="preserve"> </w:t>
      </w:r>
      <w:r w:rsidRPr="00FD211F">
        <w:rPr>
          <w:sz w:val="36"/>
          <w:szCs w:val="36"/>
          <w:rtl/>
        </w:rPr>
        <w:t>اشخاص</w:t>
      </w:r>
      <w:r w:rsidR="00E8128F">
        <w:rPr>
          <w:sz w:val="36"/>
          <w:szCs w:val="36"/>
          <w:rtl/>
        </w:rPr>
        <w:t xml:space="preserve"> </w:t>
      </w:r>
      <w:r w:rsidRPr="00FD211F">
        <w:rPr>
          <w:sz w:val="36"/>
          <w:szCs w:val="36"/>
          <w:rtl/>
        </w:rPr>
        <w:t>متفرقين</w:t>
      </w:r>
      <w:r w:rsidR="00E8128F">
        <w:rPr>
          <w:sz w:val="36"/>
          <w:szCs w:val="36"/>
          <w:rtl/>
        </w:rPr>
        <w:t xml:space="preserve"> </w:t>
      </w:r>
      <w:r w:rsidRPr="00FD211F">
        <w:rPr>
          <w:sz w:val="36"/>
          <w:szCs w:val="36"/>
          <w:rtl/>
        </w:rPr>
        <w:t>لننفي</w:t>
      </w:r>
      <w:r w:rsidR="00E8128F">
        <w:rPr>
          <w:sz w:val="36"/>
          <w:szCs w:val="36"/>
          <w:rtl/>
        </w:rPr>
        <w:t xml:space="preserve"> </w:t>
      </w:r>
      <w:r w:rsidRPr="00FD211F">
        <w:rPr>
          <w:sz w:val="36"/>
          <w:szCs w:val="36"/>
          <w:rtl/>
        </w:rPr>
        <w:t>بحساب</w:t>
      </w:r>
      <w:r w:rsidR="00E8128F">
        <w:rPr>
          <w:sz w:val="36"/>
          <w:szCs w:val="36"/>
          <w:rtl/>
        </w:rPr>
        <w:t xml:space="preserve"> </w:t>
      </w:r>
      <w:r w:rsidRPr="00FD211F">
        <w:rPr>
          <w:sz w:val="36"/>
          <w:szCs w:val="36"/>
          <w:rtl/>
        </w:rPr>
        <w:t>الاحتمالات</w:t>
      </w:r>
      <w:r w:rsidR="00E8128F">
        <w:rPr>
          <w:sz w:val="36"/>
          <w:szCs w:val="36"/>
          <w:rtl/>
        </w:rPr>
        <w:t xml:space="preserve"> </w:t>
      </w:r>
      <w:r w:rsidRPr="00FD211F">
        <w:rPr>
          <w:sz w:val="36"/>
          <w:szCs w:val="36"/>
          <w:rtl/>
        </w:rPr>
        <w:t>نشوء</w:t>
      </w:r>
      <w:r w:rsidR="00E8128F">
        <w:rPr>
          <w:sz w:val="36"/>
          <w:szCs w:val="36"/>
          <w:rtl/>
        </w:rPr>
        <w:t xml:space="preserve"> </w:t>
      </w:r>
      <w:r w:rsidRPr="00FD211F">
        <w:rPr>
          <w:sz w:val="36"/>
          <w:szCs w:val="36"/>
          <w:rtl/>
        </w:rPr>
        <w:t>ارتكازهم</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نكات</w:t>
      </w:r>
      <w:r w:rsidR="00E8128F">
        <w:rPr>
          <w:sz w:val="36"/>
          <w:szCs w:val="36"/>
          <w:rtl/>
        </w:rPr>
        <w:t xml:space="preserve"> </w:t>
      </w:r>
      <w:r w:rsidRPr="00FD211F">
        <w:rPr>
          <w:sz w:val="36"/>
          <w:szCs w:val="36"/>
          <w:rtl/>
        </w:rPr>
        <w:t>متفرق</w:t>
      </w:r>
      <w:r w:rsidR="00EC7EDF" w:rsidRPr="00FD211F">
        <w:rPr>
          <w:sz w:val="36"/>
          <w:szCs w:val="36"/>
          <w:rtl/>
        </w:rPr>
        <w:t>ة</w:t>
      </w:r>
      <w:r w:rsidR="00E8128F">
        <w:rPr>
          <w:sz w:val="36"/>
          <w:szCs w:val="36"/>
          <w:rtl/>
        </w:rPr>
        <w:t xml:space="preserve"> </w:t>
      </w:r>
      <w:r w:rsidRPr="00FD211F">
        <w:rPr>
          <w:sz w:val="36"/>
          <w:szCs w:val="36"/>
          <w:rtl/>
        </w:rPr>
        <w:t>تخص</w:t>
      </w:r>
      <w:r w:rsidR="00E8128F">
        <w:rPr>
          <w:sz w:val="36"/>
          <w:szCs w:val="36"/>
          <w:rtl/>
        </w:rPr>
        <w:t xml:space="preserve"> </w:t>
      </w:r>
      <w:r w:rsidRPr="00FD211F">
        <w:rPr>
          <w:sz w:val="36"/>
          <w:szCs w:val="36"/>
          <w:rtl/>
        </w:rPr>
        <w:t>بكل</w:t>
      </w:r>
      <w:r w:rsidR="00E8128F">
        <w:rPr>
          <w:sz w:val="36"/>
          <w:szCs w:val="36"/>
          <w:rtl/>
        </w:rPr>
        <w:t xml:space="preserve"> </w:t>
      </w:r>
      <w:r w:rsidRPr="00FD211F">
        <w:rPr>
          <w:sz w:val="36"/>
          <w:szCs w:val="36"/>
          <w:rtl/>
        </w:rPr>
        <w:t>واحد</w:t>
      </w:r>
      <w:r w:rsidR="00E8128F">
        <w:rPr>
          <w:sz w:val="36"/>
          <w:szCs w:val="36"/>
          <w:rtl/>
        </w:rPr>
        <w:t xml:space="preserve"> </w:t>
      </w:r>
      <w:r w:rsidRPr="00FD211F">
        <w:rPr>
          <w:sz w:val="36"/>
          <w:szCs w:val="36"/>
          <w:rtl/>
        </w:rPr>
        <w:t>منهم</w:t>
      </w:r>
      <w:r w:rsidR="00603323" w:rsidRPr="00FD211F">
        <w:rPr>
          <w:sz w:val="36"/>
          <w:szCs w:val="36"/>
          <w:rtl/>
        </w:rPr>
        <w:t>،</w:t>
      </w:r>
      <w:r w:rsidR="00E8128F">
        <w:rPr>
          <w:sz w:val="36"/>
          <w:szCs w:val="36"/>
          <w:rtl/>
        </w:rPr>
        <w:t xml:space="preserve"> </w:t>
      </w:r>
      <w:r w:rsidR="0006072A" w:rsidRPr="00FD211F">
        <w:rPr>
          <w:sz w:val="36"/>
          <w:szCs w:val="36"/>
          <w:rtl/>
        </w:rPr>
        <w:t>بل</w:t>
      </w:r>
      <w:r w:rsidR="00E8128F">
        <w:rPr>
          <w:sz w:val="36"/>
          <w:szCs w:val="36"/>
          <w:rtl/>
        </w:rPr>
        <w:t xml:space="preserve"> </w:t>
      </w:r>
      <w:r w:rsidR="0006072A" w:rsidRPr="00FD211F">
        <w:rPr>
          <w:sz w:val="36"/>
          <w:szCs w:val="36"/>
          <w:rtl/>
        </w:rPr>
        <w:t>يقطع</w:t>
      </w:r>
      <w:r w:rsidR="00E8128F">
        <w:rPr>
          <w:sz w:val="36"/>
          <w:szCs w:val="36"/>
          <w:rtl/>
        </w:rPr>
        <w:t xml:space="preserve"> </w:t>
      </w:r>
      <w:r w:rsidR="0006072A" w:rsidRPr="00FD211F">
        <w:rPr>
          <w:sz w:val="36"/>
          <w:szCs w:val="36"/>
          <w:rtl/>
        </w:rPr>
        <w:t>بنشوءه</w:t>
      </w:r>
      <w:r w:rsidR="00E8128F">
        <w:rPr>
          <w:sz w:val="36"/>
          <w:szCs w:val="36"/>
          <w:rtl/>
        </w:rPr>
        <w:t xml:space="preserve"> </w:t>
      </w:r>
      <w:r w:rsidR="0006072A" w:rsidRPr="00FD211F">
        <w:rPr>
          <w:sz w:val="36"/>
          <w:szCs w:val="36"/>
          <w:rtl/>
        </w:rPr>
        <w:t>عن</w:t>
      </w:r>
      <w:r w:rsidR="00E8128F">
        <w:rPr>
          <w:sz w:val="36"/>
          <w:szCs w:val="36"/>
          <w:rtl/>
        </w:rPr>
        <w:t xml:space="preserve"> </w:t>
      </w:r>
      <w:r w:rsidR="0006072A" w:rsidRPr="00FD211F">
        <w:rPr>
          <w:sz w:val="36"/>
          <w:szCs w:val="36"/>
          <w:rtl/>
        </w:rPr>
        <w:t>ارتكاز</w:t>
      </w:r>
      <w:r w:rsidR="00E8128F">
        <w:rPr>
          <w:sz w:val="36"/>
          <w:szCs w:val="36"/>
          <w:rtl/>
        </w:rPr>
        <w:t xml:space="preserve"> </w:t>
      </w:r>
      <w:r w:rsidR="0006072A" w:rsidRPr="00FD211F">
        <w:rPr>
          <w:sz w:val="36"/>
          <w:szCs w:val="36"/>
          <w:rtl/>
        </w:rPr>
        <w:t>عقلائي</w:t>
      </w:r>
      <w:r w:rsidR="00E8128F">
        <w:rPr>
          <w:sz w:val="36"/>
          <w:szCs w:val="36"/>
          <w:rtl/>
        </w:rPr>
        <w:t xml:space="preserve"> </w:t>
      </w:r>
      <w:r w:rsidR="0006072A" w:rsidRPr="00FD211F">
        <w:rPr>
          <w:sz w:val="36"/>
          <w:szCs w:val="36"/>
          <w:rtl/>
        </w:rPr>
        <w:t>عام.</w:t>
      </w:r>
    </w:p>
    <w:p w14:paraId="442B867F" w14:textId="77777777" w:rsidR="000C5BBA" w:rsidRPr="00FD211F" w:rsidRDefault="0006072A" w:rsidP="009C58C8">
      <w:pPr>
        <w:ind w:left="0" w:firstLine="227"/>
        <w:jc w:val="both"/>
        <w:rPr>
          <w:sz w:val="36"/>
          <w:szCs w:val="36"/>
          <w:rtl/>
        </w:rPr>
      </w:pPr>
      <w:r w:rsidRPr="00FD211F">
        <w:rPr>
          <w:sz w:val="36"/>
          <w:szCs w:val="36"/>
          <w:rtl/>
        </w:rPr>
        <w:t>و</w:t>
      </w:r>
      <w:r w:rsidR="003259E9" w:rsidRPr="00FD211F">
        <w:rPr>
          <w:sz w:val="36"/>
          <w:szCs w:val="36"/>
          <w:rtl/>
        </w:rPr>
        <w:t>اما</w:t>
      </w:r>
      <w:r w:rsidR="00E8128F">
        <w:rPr>
          <w:sz w:val="36"/>
          <w:szCs w:val="36"/>
          <w:rtl/>
        </w:rPr>
        <w:t xml:space="preserve"> </w:t>
      </w:r>
      <w:r w:rsidR="003259E9" w:rsidRPr="00FD211F">
        <w:rPr>
          <w:sz w:val="36"/>
          <w:szCs w:val="36"/>
          <w:rtl/>
        </w:rPr>
        <w:t>احراز</w:t>
      </w:r>
      <w:r w:rsidR="00E8128F">
        <w:rPr>
          <w:sz w:val="36"/>
          <w:szCs w:val="36"/>
          <w:rtl/>
        </w:rPr>
        <w:t xml:space="preserve"> </w:t>
      </w:r>
      <w:r w:rsidRPr="00FD211F">
        <w:rPr>
          <w:sz w:val="36"/>
          <w:szCs w:val="36"/>
          <w:rtl/>
        </w:rPr>
        <w:t>إمضاء</w:t>
      </w:r>
      <w:r w:rsidR="00E8128F">
        <w:rPr>
          <w:sz w:val="36"/>
          <w:szCs w:val="36"/>
          <w:rtl/>
        </w:rPr>
        <w:t xml:space="preserve"> </w:t>
      </w:r>
      <w:r w:rsidRPr="00FD211F">
        <w:rPr>
          <w:sz w:val="36"/>
          <w:szCs w:val="36"/>
          <w:rtl/>
        </w:rPr>
        <w:t>ال</w:t>
      </w:r>
      <w:r w:rsidR="003259E9" w:rsidRPr="00FD211F">
        <w:rPr>
          <w:sz w:val="36"/>
          <w:szCs w:val="36"/>
          <w:rtl/>
        </w:rPr>
        <w:t>سير</w:t>
      </w:r>
      <w:r w:rsidR="00EC7EDF" w:rsidRPr="00FD211F">
        <w:rPr>
          <w:sz w:val="36"/>
          <w:szCs w:val="36"/>
          <w:rtl/>
        </w:rPr>
        <w:t>ة</w:t>
      </w:r>
      <w:r w:rsidR="00E8128F">
        <w:rPr>
          <w:sz w:val="36"/>
          <w:szCs w:val="36"/>
          <w:rtl/>
        </w:rPr>
        <w:t xml:space="preserve"> </w:t>
      </w:r>
      <w:r w:rsidR="003259E9" w:rsidRPr="00FD211F">
        <w:rPr>
          <w:sz w:val="36"/>
          <w:szCs w:val="36"/>
          <w:rtl/>
        </w:rPr>
        <w:t>العقلائي</w:t>
      </w:r>
      <w:r w:rsidR="00EC7EDF" w:rsidRPr="00FD211F">
        <w:rPr>
          <w:sz w:val="36"/>
          <w:szCs w:val="36"/>
          <w:rtl/>
        </w:rPr>
        <w:t>ة</w:t>
      </w:r>
      <w:r w:rsidR="00E8128F">
        <w:rPr>
          <w:sz w:val="36"/>
          <w:szCs w:val="36"/>
          <w:rtl/>
        </w:rPr>
        <w:t xml:space="preserve"> </w:t>
      </w:r>
      <w:r w:rsidR="003259E9" w:rsidRPr="00FD211F">
        <w:rPr>
          <w:sz w:val="36"/>
          <w:szCs w:val="36"/>
          <w:rtl/>
        </w:rPr>
        <w:t>فليس</w:t>
      </w:r>
      <w:r w:rsidR="00E8128F">
        <w:rPr>
          <w:sz w:val="36"/>
          <w:szCs w:val="36"/>
          <w:rtl/>
        </w:rPr>
        <w:t xml:space="preserve"> </w:t>
      </w:r>
      <w:r w:rsidR="003259E9" w:rsidRPr="00FD211F">
        <w:rPr>
          <w:sz w:val="36"/>
          <w:szCs w:val="36"/>
          <w:rtl/>
        </w:rPr>
        <w:t>بالدليل</w:t>
      </w:r>
      <w:r w:rsidR="00E8128F">
        <w:rPr>
          <w:sz w:val="36"/>
          <w:szCs w:val="36"/>
          <w:rtl/>
        </w:rPr>
        <w:t xml:space="preserve"> </w:t>
      </w:r>
      <w:r w:rsidR="003259E9" w:rsidRPr="00FD211F">
        <w:rPr>
          <w:sz w:val="36"/>
          <w:szCs w:val="36"/>
          <w:rtl/>
        </w:rPr>
        <w:t>الاستقرائي</w:t>
      </w:r>
      <w:r w:rsidR="00E8128F">
        <w:rPr>
          <w:sz w:val="36"/>
          <w:szCs w:val="36"/>
          <w:rtl/>
        </w:rPr>
        <w:t xml:space="preserve"> </w:t>
      </w:r>
      <w:r w:rsidR="003259E9" w:rsidRPr="00FD211F">
        <w:rPr>
          <w:sz w:val="36"/>
          <w:szCs w:val="36"/>
          <w:rtl/>
        </w:rPr>
        <w:t>بل</w:t>
      </w:r>
      <w:r w:rsidR="00E8128F">
        <w:rPr>
          <w:sz w:val="36"/>
          <w:szCs w:val="36"/>
          <w:rtl/>
        </w:rPr>
        <w:t xml:space="preserve"> </w:t>
      </w:r>
      <w:r w:rsidR="003259E9" w:rsidRPr="00FD211F">
        <w:rPr>
          <w:sz w:val="36"/>
          <w:szCs w:val="36"/>
          <w:rtl/>
        </w:rPr>
        <w:t>بالدليل</w:t>
      </w:r>
      <w:r w:rsidR="00E8128F">
        <w:rPr>
          <w:sz w:val="36"/>
          <w:szCs w:val="36"/>
          <w:rtl/>
        </w:rPr>
        <w:t xml:space="preserve"> </w:t>
      </w:r>
      <w:r w:rsidR="003259E9" w:rsidRPr="00FD211F">
        <w:rPr>
          <w:sz w:val="36"/>
          <w:szCs w:val="36"/>
          <w:rtl/>
        </w:rPr>
        <w:t>البرهاني</w:t>
      </w:r>
      <w:r w:rsidR="00603323" w:rsidRPr="00FD211F">
        <w:rPr>
          <w:sz w:val="36"/>
          <w:szCs w:val="36"/>
          <w:rtl/>
        </w:rPr>
        <w:t>،</w:t>
      </w:r>
      <w:r w:rsidR="00E8128F">
        <w:rPr>
          <w:sz w:val="36"/>
          <w:szCs w:val="36"/>
          <w:rtl/>
        </w:rPr>
        <w:t xml:space="preserve"> </w:t>
      </w:r>
      <w:r w:rsidR="003259E9" w:rsidRPr="00FD211F">
        <w:rPr>
          <w:sz w:val="36"/>
          <w:szCs w:val="36"/>
          <w:rtl/>
        </w:rPr>
        <w:t>وهو</w:t>
      </w:r>
      <w:r w:rsidR="00E8128F">
        <w:rPr>
          <w:sz w:val="36"/>
          <w:szCs w:val="36"/>
          <w:rtl/>
        </w:rPr>
        <w:t xml:space="preserve"> </w:t>
      </w:r>
      <w:r w:rsidR="003259E9" w:rsidRPr="00FD211F">
        <w:rPr>
          <w:sz w:val="36"/>
          <w:szCs w:val="36"/>
          <w:rtl/>
        </w:rPr>
        <w:t>ان</w:t>
      </w:r>
      <w:r w:rsidR="00E8128F">
        <w:rPr>
          <w:sz w:val="36"/>
          <w:szCs w:val="36"/>
          <w:rtl/>
        </w:rPr>
        <w:t xml:space="preserve"> </w:t>
      </w:r>
      <w:r w:rsidR="003259E9" w:rsidRPr="00FD211F">
        <w:rPr>
          <w:sz w:val="36"/>
          <w:szCs w:val="36"/>
          <w:rtl/>
        </w:rPr>
        <w:t>الحكيم</w:t>
      </w:r>
      <w:r w:rsidR="00E8128F">
        <w:rPr>
          <w:sz w:val="36"/>
          <w:szCs w:val="36"/>
          <w:rtl/>
        </w:rPr>
        <w:t xml:space="preserve"> </w:t>
      </w:r>
      <w:r w:rsidR="003259E9" w:rsidRPr="00FD211F">
        <w:rPr>
          <w:sz w:val="36"/>
          <w:szCs w:val="36"/>
          <w:rtl/>
        </w:rPr>
        <w:t>لو</w:t>
      </w:r>
      <w:r w:rsidR="00E8128F">
        <w:rPr>
          <w:sz w:val="36"/>
          <w:szCs w:val="36"/>
          <w:rtl/>
        </w:rPr>
        <w:t xml:space="preserve"> </w:t>
      </w:r>
      <w:r w:rsidR="003259E9" w:rsidRPr="00FD211F">
        <w:rPr>
          <w:sz w:val="36"/>
          <w:szCs w:val="36"/>
          <w:rtl/>
        </w:rPr>
        <w:t>رأى</w:t>
      </w:r>
      <w:r w:rsidR="00E8128F">
        <w:rPr>
          <w:sz w:val="36"/>
          <w:szCs w:val="36"/>
          <w:rtl/>
        </w:rPr>
        <w:t xml:space="preserve"> </w:t>
      </w:r>
      <w:r w:rsidR="003259E9" w:rsidRPr="00FD211F">
        <w:rPr>
          <w:sz w:val="36"/>
          <w:szCs w:val="36"/>
          <w:rtl/>
        </w:rPr>
        <w:t>ان</w:t>
      </w:r>
      <w:r w:rsidR="00E8128F">
        <w:rPr>
          <w:sz w:val="36"/>
          <w:szCs w:val="36"/>
          <w:rtl/>
        </w:rPr>
        <w:t xml:space="preserve"> </w:t>
      </w:r>
      <w:r w:rsidR="003259E9" w:rsidRPr="00FD211F">
        <w:rPr>
          <w:sz w:val="36"/>
          <w:szCs w:val="36"/>
          <w:rtl/>
        </w:rPr>
        <w:t>بناء</w:t>
      </w:r>
      <w:r w:rsidR="00E8128F">
        <w:rPr>
          <w:sz w:val="36"/>
          <w:szCs w:val="36"/>
          <w:rtl/>
        </w:rPr>
        <w:t xml:space="preserve"> </w:t>
      </w:r>
      <w:r w:rsidR="003259E9" w:rsidRPr="00FD211F">
        <w:rPr>
          <w:sz w:val="36"/>
          <w:szCs w:val="36"/>
          <w:rtl/>
        </w:rPr>
        <w:t>العقلاء</w:t>
      </w:r>
      <w:r w:rsidR="00E8128F">
        <w:rPr>
          <w:sz w:val="36"/>
          <w:szCs w:val="36"/>
          <w:rtl/>
        </w:rPr>
        <w:t xml:space="preserve"> </w:t>
      </w:r>
      <w:r w:rsidR="003259E9" w:rsidRPr="00FD211F">
        <w:rPr>
          <w:sz w:val="36"/>
          <w:szCs w:val="36"/>
          <w:rtl/>
        </w:rPr>
        <w:t>على</w:t>
      </w:r>
      <w:r w:rsidR="00E8128F">
        <w:rPr>
          <w:sz w:val="36"/>
          <w:szCs w:val="36"/>
          <w:rtl/>
        </w:rPr>
        <w:t xml:space="preserve"> </w:t>
      </w:r>
      <w:r w:rsidR="003259E9" w:rsidRPr="00FD211F">
        <w:rPr>
          <w:sz w:val="36"/>
          <w:szCs w:val="36"/>
          <w:rtl/>
        </w:rPr>
        <w:t>نحو</w:t>
      </w:r>
      <w:r w:rsidR="00E8128F">
        <w:rPr>
          <w:sz w:val="36"/>
          <w:szCs w:val="36"/>
          <w:rtl/>
        </w:rPr>
        <w:t xml:space="preserve"> </w:t>
      </w:r>
      <w:r w:rsidR="003259E9" w:rsidRPr="00FD211F">
        <w:rPr>
          <w:sz w:val="36"/>
          <w:szCs w:val="36"/>
          <w:rtl/>
        </w:rPr>
        <w:t>يشكل</w:t>
      </w:r>
      <w:r w:rsidR="00E8128F">
        <w:rPr>
          <w:sz w:val="36"/>
          <w:szCs w:val="36"/>
          <w:rtl/>
        </w:rPr>
        <w:t xml:space="preserve"> </w:t>
      </w:r>
      <w:r w:rsidR="003259E9" w:rsidRPr="00FD211F">
        <w:rPr>
          <w:sz w:val="36"/>
          <w:szCs w:val="36"/>
          <w:rtl/>
        </w:rPr>
        <w:t>خطرا</w:t>
      </w:r>
      <w:r w:rsidR="00E8128F">
        <w:rPr>
          <w:sz w:val="36"/>
          <w:szCs w:val="36"/>
          <w:rtl/>
        </w:rPr>
        <w:t xml:space="preserve"> </w:t>
      </w:r>
      <w:r w:rsidR="003259E9" w:rsidRPr="00FD211F">
        <w:rPr>
          <w:sz w:val="36"/>
          <w:szCs w:val="36"/>
          <w:rtl/>
        </w:rPr>
        <w:t>على</w:t>
      </w:r>
      <w:r w:rsidR="00E8128F">
        <w:rPr>
          <w:sz w:val="36"/>
          <w:szCs w:val="36"/>
          <w:rtl/>
        </w:rPr>
        <w:t xml:space="preserve"> </w:t>
      </w:r>
      <w:r w:rsidR="003259E9" w:rsidRPr="00FD211F">
        <w:rPr>
          <w:sz w:val="36"/>
          <w:szCs w:val="36"/>
          <w:rtl/>
        </w:rPr>
        <w:t>اغراضه</w:t>
      </w:r>
      <w:r w:rsidR="00E8128F">
        <w:rPr>
          <w:sz w:val="36"/>
          <w:szCs w:val="36"/>
          <w:rtl/>
        </w:rPr>
        <w:t xml:space="preserve"> </w:t>
      </w:r>
      <w:r w:rsidR="003259E9" w:rsidRPr="00FD211F">
        <w:rPr>
          <w:sz w:val="36"/>
          <w:szCs w:val="36"/>
          <w:rtl/>
        </w:rPr>
        <w:t>لكان</w:t>
      </w:r>
      <w:r w:rsidR="00E8128F">
        <w:rPr>
          <w:sz w:val="36"/>
          <w:szCs w:val="36"/>
          <w:rtl/>
        </w:rPr>
        <w:t xml:space="preserve"> </w:t>
      </w:r>
      <w:r w:rsidR="003259E9" w:rsidRPr="00FD211F">
        <w:rPr>
          <w:sz w:val="36"/>
          <w:szCs w:val="36"/>
          <w:rtl/>
        </w:rPr>
        <w:t>مقتضى</w:t>
      </w:r>
      <w:r w:rsidR="00E8128F">
        <w:rPr>
          <w:sz w:val="36"/>
          <w:szCs w:val="36"/>
          <w:rtl/>
        </w:rPr>
        <w:t xml:space="preserve"> </w:t>
      </w:r>
      <w:r w:rsidR="003259E9" w:rsidRPr="00FD211F">
        <w:rPr>
          <w:sz w:val="36"/>
          <w:szCs w:val="36"/>
          <w:rtl/>
        </w:rPr>
        <w:t>حكمته</w:t>
      </w:r>
      <w:r w:rsidR="00E8128F">
        <w:rPr>
          <w:sz w:val="36"/>
          <w:szCs w:val="36"/>
          <w:rtl/>
        </w:rPr>
        <w:t xml:space="preserve"> </w:t>
      </w:r>
      <w:r w:rsidR="003259E9" w:rsidRPr="00FD211F">
        <w:rPr>
          <w:sz w:val="36"/>
          <w:szCs w:val="36"/>
          <w:rtl/>
        </w:rPr>
        <w:t>ابراز</w:t>
      </w:r>
      <w:r w:rsidR="00E8128F">
        <w:rPr>
          <w:sz w:val="36"/>
          <w:szCs w:val="36"/>
          <w:rtl/>
        </w:rPr>
        <w:t xml:space="preserve"> </w:t>
      </w:r>
      <w:r w:rsidR="003259E9" w:rsidRPr="00FD211F">
        <w:rPr>
          <w:sz w:val="36"/>
          <w:szCs w:val="36"/>
          <w:rtl/>
        </w:rPr>
        <w:t>عدم</w:t>
      </w:r>
      <w:r w:rsidR="00E8128F">
        <w:rPr>
          <w:sz w:val="36"/>
          <w:szCs w:val="36"/>
          <w:rtl/>
        </w:rPr>
        <w:t xml:space="preserve"> </w:t>
      </w:r>
      <w:r w:rsidR="003259E9" w:rsidRPr="00FD211F">
        <w:rPr>
          <w:sz w:val="36"/>
          <w:szCs w:val="36"/>
          <w:rtl/>
        </w:rPr>
        <w:t>ر</w:t>
      </w:r>
      <w:r w:rsidR="009D715E" w:rsidRPr="00FD211F">
        <w:rPr>
          <w:sz w:val="36"/>
          <w:szCs w:val="36"/>
          <w:rtl/>
        </w:rPr>
        <w:t>ضاه</w:t>
      </w:r>
      <w:r w:rsidR="00E8128F">
        <w:rPr>
          <w:sz w:val="36"/>
          <w:szCs w:val="36"/>
          <w:rtl/>
        </w:rPr>
        <w:t xml:space="preserve"> </w:t>
      </w:r>
      <w:r w:rsidR="009D715E" w:rsidRPr="00FD211F">
        <w:rPr>
          <w:sz w:val="36"/>
          <w:szCs w:val="36"/>
          <w:rtl/>
        </w:rPr>
        <w:t>بذلك</w:t>
      </w:r>
      <w:r w:rsidR="00EC7EDF" w:rsidRPr="00FD211F">
        <w:rPr>
          <w:sz w:val="36"/>
          <w:szCs w:val="36"/>
          <w:rtl/>
        </w:rPr>
        <w:t>.</w:t>
      </w:r>
    </w:p>
    <w:p w14:paraId="54D38EA0" w14:textId="77777777" w:rsidR="003D5AAE" w:rsidRPr="00FD211F" w:rsidRDefault="003259E9" w:rsidP="009C58C8">
      <w:pPr>
        <w:ind w:left="0" w:firstLine="227"/>
        <w:jc w:val="both"/>
        <w:rPr>
          <w:sz w:val="36"/>
          <w:szCs w:val="36"/>
          <w:rtl/>
        </w:rPr>
      </w:pPr>
      <w:r w:rsidRPr="00FD211F">
        <w:rPr>
          <w:b/>
          <w:bCs/>
          <w:sz w:val="36"/>
          <w:szCs w:val="36"/>
          <w:rtl/>
        </w:rPr>
        <w:t>واما</w:t>
      </w:r>
      <w:r w:rsidR="00E8128F">
        <w:rPr>
          <w:b/>
          <w:bCs/>
          <w:sz w:val="36"/>
          <w:szCs w:val="36"/>
          <w:rtl/>
        </w:rPr>
        <w:t xml:space="preserve"> </w:t>
      </w:r>
      <w:r w:rsidRPr="00FD211F">
        <w:rPr>
          <w:b/>
          <w:bCs/>
          <w:sz w:val="36"/>
          <w:szCs w:val="36"/>
          <w:rtl/>
        </w:rPr>
        <w:t>الدليل</w:t>
      </w:r>
      <w:r w:rsidR="00E8128F">
        <w:rPr>
          <w:b/>
          <w:bCs/>
          <w:sz w:val="36"/>
          <w:szCs w:val="36"/>
          <w:rtl/>
        </w:rPr>
        <w:t xml:space="preserve"> </w:t>
      </w:r>
      <w:r w:rsidRPr="00FD211F">
        <w:rPr>
          <w:b/>
          <w:bCs/>
          <w:sz w:val="36"/>
          <w:szCs w:val="36"/>
          <w:rtl/>
        </w:rPr>
        <w:t>الشرعي</w:t>
      </w:r>
      <w:r w:rsidR="00E8128F">
        <w:rPr>
          <w:sz w:val="36"/>
          <w:szCs w:val="36"/>
          <w:rtl/>
        </w:rPr>
        <w:t xml:space="preserve"> </w:t>
      </w:r>
      <w:r w:rsidRPr="00FD211F">
        <w:rPr>
          <w:sz w:val="36"/>
          <w:szCs w:val="36"/>
          <w:rtl/>
        </w:rPr>
        <w:t>فهو</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جعله</w:t>
      </w:r>
      <w:r w:rsidR="00E8128F">
        <w:rPr>
          <w:sz w:val="36"/>
          <w:szCs w:val="36"/>
          <w:rtl/>
        </w:rPr>
        <w:t xml:space="preserve"> </w:t>
      </w:r>
      <w:r w:rsidRPr="00FD211F">
        <w:rPr>
          <w:sz w:val="36"/>
          <w:szCs w:val="36"/>
          <w:rtl/>
        </w:rPr>
        <w:t>الشارع</w:t>
      </w:r>
      <w:r w:rsidR="00E8128F">
        <w:rPr>
          <w:sz w:val="36"/>
          <w:szCs w:val="36"/>
          <w:rtl/>
        </w:rPr>
        <w:t xml:space="preserve"> </w:t>
      </w:r>
      <w:r w:rsidRPr="00FD211F">
        <w:rPr>
          <w:sz w:val="36"/>
          <w:szCs w:val="36"/>
          <w:rtl/>
        </w:rPr>
        <w:t>دليلا</w:t>
      </w:r>
      <w:r w:rsidR="00E8128F">
        <w:rPr>
          <w:sz w:val="36"/>
          <w:szCs w:val="36"/>
          <w:rtl/>
        </w:rPr>
        <w:t xml:space="preserve"> </w:t>
      </w:r>
      <w:r w:rsidRPr="00FD211F">
        <w:rPr>
          <w:sz w:val="36"/>
          <w:szCs w:val="36"/>
          <w:rtl/>
        </w:rPr>
        <w:t>لتشخيص</w:t>
      </w:r>
      <w:r w:rsidR="00E8128F">
        <w:rPr>
          <w:sz w:val="36"/>
          <w:szCs w:val="36"/>
          <w:rtl/>
        </w:rPr>
        <w:t xml:space="preserve"> </w:t>
      </w:r>
      <w:r w:rsidRPr="00FD211F">
        <w:rPr>
          <w:sz w:val="36"/>
          <w:szCs w:val="36"/>
          <w:rtl/>
        </w:rPr>
        <w:t>الوظيف</w:t>
      </w:r>
      <w:r w:rsidR="00EC7EDF" w:rsidRPr="00FD211F">
        <w:rPr>
          <w:sz w:val="36"/>
          <w:szCs w:val="36"/>
          <w:rtl/>
        </w:rPr>
        <w:t>ة</w:t>
      </w:r>
      <w:r w:rsidR="00E8128F">
        <w:rPr>
          <w:sz w:val="36"/>
          <w:szCs w:val="36"/>
          <w:rtl/>
        </w:rPr>
        <w:t xml:space="preserve"> </w:t>
      </w:r>
      <w:r w:rsidRPr="00FD211F">
        <w:rPr>
          <w:sz w:val="36"/>
          <w:szCs w:val="36"/>
          <w:rtl/>
        </w:rPr>
        <w:t>العملي</w:t>
      </w:r>
      <w:r w:rsidR="00EC7EDF" w:rsidRPr="00FD211F">
        <w:rPr>
          <w:sz w:val="36"/>
          <w:szCs w:val="36"/>
          <w:rtl/>
        </w:rPr>
        <w:t>ة</w:t>
      </w:r>
      <w:r w:rsidR="00E8128F">
        <w:rPr>
          <w:sz w:val="36"/>
          <w:szCs w:val="36"/>
          <w:rtl/>
        </w:rPr>
        <w:t xml:space="preserve"> </w:t>
      </w:r>
      <w:r w:rsidRPr="00FD211F">
        <w:rPr>
          <w:sz w:val="36"/>
          <w:szCs w:val="36"/>
          <w:rtl/>
        </w:rPr>
        <w:t>تجاه</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الشرعي</w:t>
      </w:r>
      <w:r w:rsidR="00E8128F">
        <w:rPr>
          <w:sz w:val="36"/>
          <w:szCs w:val="36"/>
          <w:rtl/>
        </w:rPr>
        <w:t xml:space="preserve"> </w:t>
      </w:r>
      <w:r w:rsidRPr="00FD211F">
        <w:rPr>
          <w:sz w:val="36"/>
          <w:szCs w:val="36"/>
          <w:rtl/>
        </w:rPr>
        <w:t>ال</w:t>
      </w:r>
      <w:r w:rsidR="00C01CAD" w:rsidRPr="00FD211F">
        <w:rPr>
          <w:sz w:val="36"/>
          <w:szCs w:val="36"/>
          <w:rtl/>
        </w:rPr>
        <w:t>مشتبه</w:t>
      </w:r>
      <w:r w:rsidR="00E8128F">
        <w:rPr>
          <w:sz w:val="36"/>
          <w:szCs w:val="36"/>
          <w:rtl/>
        </w:rPr>
        <w:t xml:space="preserve"> </w:t>
      </w:r>
      <w:r w:rsidR="00C01CAD" w:rsidRPr="00FD211F">
        <w:rPr>
          <w:sz w:val="36"/>
          <w:szCs w:val="36"/>
          <w:rtl/>
        </w:rPr>
        <w:t>كالامارات</w:t>
      </w:r>
      <w:r w:rsidR="00E8128F">
        <w:rPr>
          <w:sz w:val="36"/>
          <w:szCs w:val="36"/>
          <w:rtl/>
        </w:rPr>
        <w:t xml:space="preserve"> </w:t>
      </w:r>
      <w:r w:rsidR="00C01CAD" w:rsidRPr="00FD211F">
        <w:rPr>
          <w:sz w:val="36"/>
          <w:szCs w:val="36"/>
          <w:rtl/>
        </w:rPr>
        <w:t>والاصول</w:t>
      </w:r>
      <w:r w:rsidR="00E8128F">
        <w:rPr>
          <w:sz w:val="36"/>
          <w:szCs w:val="36"/>
          <w:rtl/>
        </w:rPr>
        <w:t xml:space="preserve"> </w:t>
      </w:r>
      <w:r w:rsidR="00C01CAD" w:rsidRPr="00FD211F">
        <w:rPr>
          <w:sz w:val="36"/>
          <w:szCs w:val="36"/>
          <w:rtl/>
        </w:rPr>
        <w:t>الشرعي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55"/>
      </w:r>
      <w:r w:rsidR="009C58C8" w:rsidRPr="00FD211F">
        <w:rPr>
          <w:rStyle w:val="a6"/>
          <w:sz w:val="36"/>
          <w:szCs w:val="36"/>
          <w:rtl/>
        </w:rPr>
        <w:t>)</w:t>
      </w:r>
      <w:r w:rsidRPr="00FD211F">
        <w:rPr>
          <w:sz w:val="36"/>
          <w:szCs w:val="36"/>
          <w:rtl/>
        </w:rPr>
        <w:t>.</w:t>
      </w:r>
    </w:p>
    <w:p w14:paraId="53137DD2" w14:textId="77777777" w:rsidR="00187B8E" w:rsidRPr="00FD211F" w:rsidRDefault="003259E9" w:rsidP="008319A0">
      <w:pPr>
        <w:ind w:left="0" w:firstLine="227"/>
        <w:jc w:val="both"/>
        <w:rPr>
          <w:sz w:val="36"/>
          <w:szCs w:val="36"/>
          <w:rtl/>
        </w:rPr>
      </w:pPr>
      <w:r w:rsidRPr="00FD211F">
        <w:rPr>
          <w:sz w:val="36"/>
          <w:szCs w:val="36"/>
          <w:rtl/>
        </w:rPr>
        <w:t>وما</w:t>
      </w:r>
      <w:r w:rsidR="00E8128F">
        <w:rPr>
          <w:sz w:val="36"/>
          <w:szCs w:val="36"/>
          <w:rtl/>
        </w:rPr>
        <w:t xml:space="preserve"> </w:t>
      </w:r>
      <w:r w:rsidR="00D60767" w:rsidRPr="00FD211F">
        <w:rPr>
          <w:sz w:val="36"/>
          <w:szCs w:val="36"/>
          <w:rtl/>
        </w:rPr>
        <w:t>افاده</w:t>
      </w:r>
      <w:r w:rsidR="00E8128F">
        <w:rPr>
          <w:sz w:val="36"/>
          <w:szCs w:val="36"/>
          <w:rtl/>
        </w:rPr>
        <w:t xml:space="preserve"> </w:t>
      </w:r>
      <w:r w:rsidR="00087204" w:rsidRPr="00FD211F">
        <w:rPr>
          <w:sz w:val="36"/>
          <w:szCs w:val="36"/>
          <w:rtl/>
        </w:rPr>
        <w:t>وان</w:t>
      </w:r>
      <w:r w:rsidR="00E8128F">
        <w:rPr>
          <w:sz w:val="36"/>
          <w:szCs w:val="36"/>
          <w:rtl/>
        </w:rPr>
        <w:t xml:space="preserve"> </w:t>
      </w:r>
      <w:r w:rsidR="00087204" w:rsidRPr="00FD211F">
        <w:rPr>
          <w:sz w:val="36"/>
          <w:szCs w:val="36"/>
          <w:rtl/>
        </w:rPr>
        <w:t>كان</w:t>
      </w:r>
      <w:r w:rsidR="00E8128F">
        <w:rPr>
          <w:sz w:val="36"/>
          <w:szCs w:val="36"/>
          <w:rtl/>
        </w:rPr>
        <w:t xml:space="preserve"> </w:t>
      </w:r>
      <w:r w:rsidR="00D60767" w:rsidRPr="00FD211F">
        <w:rPr>
          <w:sz w:val="36"/>
          <w:szCs w:val="36"/>
          <w:rtl/>
        </w:rPr>
        <w:t>تام</w:t>
      </w:r>
      <w:r w:rsidR="00087204" w:rsidRPr="00FD211F">
        <w:rPr>
          <w:sz w:val="36"/>
          <w:szCs w:val="36"/>
          <w:rtl/>
        </w:rPr>
        <w:t>ا</w:t>
      </w:r>
      <w:r w:rsidR="00E8128F">
        <w:rPr>
          <w:sz w:val="36"/>
          <w:szCs w:val="36"/>
          <w:rtl/>
        </w:rPr>
        <w:t xml:space="preserve"> </w:t>
      </w:r>
      <w:r w:rsidR="00087204" w:rsidRPr="00FD211F">
        <w:rPr>
          <w:sz w:val="36"/>
          <w:szCs w:val="36"/>
          <w:rtl/>
        </w:rPr>
        <w:t>في</w:t>
      </w:r>
      <w:r w:rsidR="00E8128F">
        <w:rPr>
          <w:sz w:val="36"/>
          <w:szCs w:val="36"/>
          <w:rtl/>
        </w:rPr>
        <w:t xml:space="preserve"> </w:t>
      </w:r>
      <w:r w:rsidR="00087204" w:rsidRPr="00FD211F">
        <w:rPr>
          <w:sz w:val="36"/>
          <w:szCs w:val="36"/>
          <w:rtl/>
        </w:rPr>
        <w:t>حد</w:t>
      </w:r>
      <w:r w:rsidR="00E8128F">
        <w:rPr>
          <w:sz w:val="36"/>
          <w:szCs w:val="36"/>
          <w:rtl/>
        </w:rPr>
        <w:t xml:space="preserve"> </w:t>
      </w:r>
      <w:r w:rsidR="00087204" w:rsidRPr="00FD211F">
        <w:rPr>
          <w:sz w:val="36"/>
          <w:szCs w:val="36"/>
          <w:rtl/>
        </w:rPr>
        <w:lastRenderedPageBreak/>
        <w:t>ذاته</w:t>
      </w:r>
      <w:r w:rsidR="00E8128F">
        <w:rPr>
          <w:sz w:val="36"/>
          <w:szCs w:val="36"/>
          <w:rtl/>
        </w:rPr>
        <w:t xml:space="preserve"> </w:t>
      </w:r>
      <w:r w:rsidR="00087204" w:rsidRPr="00FD211F">
        <w:rPr>
          <w:sz w:val="36"/>
          <w:szCs w:val="36"/>
          <w:rtl/>
        </w:rPr>
        <w:t>الا</w:t>
      </w:r>
      <w:r w:rsidR="00E8128F">
        <w:rPr>
          <w:sz w:val="36"/>
          <w:szCs w:val="36"/>
          <w:rtl/>
        </w:rPr>
        <w:t xml:space="preserve"> </w:t>
      </w:r>
      <w:r w:rsidR="00087204" w:rsidRPr="00FD211F">
        <w:rPr>
          <w:sz w:val="36"/>
          <w:szCs w:val="36"/>
          <w:rtl/>
        </w:rPr>
        <w:t>انه</w:t>
      </w:r>
      <w:r w:rsidR="00E8128F">
        <w:rPr>
          <w:sz w:val="36"/>
          <w:szCs w:val="36"/>
          <w:rtl/>
        </w:rPr>
        <w:t xml:space="preserve"> </w:t>
      </w:r>
      <w:r w:rsidR="00087204" w:rsidRPr="00FD211F">
        <w:rPr>
          <w:sz w:val="36"/>
          <w:szCs w:val="36"/>
          <w:rtl/>
        </w:rPr>
        <w:t>يوجد</w:t>
      </w:r>
      <w:r w:rsidR="00E8128F">
        <w:rPr>
          <w:sz w:val="36"/>
          <w:szCs w:val="36"/>
          <w:rtl/>
        </w:rPr>
        <w:t xml:space="preserve"> </w:t>
      </w:r>
      <w:r w:rsidR="00087204" w:rsidRPr="00FD211F">
        <w:rPr>
          <w:sz w:val="36"/>
          <w:szCs w:val="36"/>
          <w:rtl/>
        </w:rPr>
        <w:t>عليه</w:t>
      </w:r>
      <w:r w:rsidR="00E8128F">
        <w:rPr>
          <w:sz w:val="36"/>
          <w:szCs w:val="36"/>
          <w:rtl/>
        </w:rPr>
        <w:t xml:space="preserve"> </w:t>
      </w:r>
      <w:r w:rsidR="00087204" w:rsidRPr="00FD211F">
        <w:rPr>
          <w:sz w:val="36"/>
          <w:szCs w:val="36"/>
          <w:rtl/>
        </w:rPr>
        <w:t>عد</w:t>
      </w:r>
      <w:r w:rsidR="00EC7EDF" w:rsidRPr="00FD211F">
        <w:rPr>
          <w:sz w:val="36"/>
          <w:szCs w:val="36"/>
          <w:rtl/>
        </w:rPr>
        <w:t>ة</w:t>
      </w:r>
      <w:r w:rsidR="00E8128F">
        <w:rPr>
          <w:sz w:val="36"/>
          <w:szCs w:val="36"/>
          <w:rtl/>
        </w:rPr>
        <w:t xml:space="preserve"> </w:t>
      </w:r>
      <w:r w:rsidR="00087204" w:rsidRPr="00FD211F">
        <w:rPr>
          <w:sz w:val="36"/>
          <w:szCs w:val="36"/>
          <w:rtl/>
        </w:rPr>
        <w:t>ملاحظات:</w:t>
      </w:r>
      <w:r w:rsidR="00087204" w:rsidRPr="00FD211F">
        <w:rPr>
          <w:b/>
          <w:bCs/>
          <w:sz w:val="36"/>
          <w:szCs w:val="36"/>
          <w:rtl/>
        </w:rPr>
        <w:t>منها</w:t>
      </w:r>
      <w:r w:rsidR="00087204" w:rsidRPr="00FD211F">
        <w:rPr>
          <w:sz w:val="36"/>
          <w:szCs w:val="36"/>
          <w:rtl/>
        </w:rPr>
        <w:t>:أنه</w:t>
      </w:r>
      <w:r w:rsidR="00E8128F">
        <w:rPr>
          <w:sz w:val="36"/>
          <w:szCs w:val="36"/>
          <w:rtl/>
        </w:rPr>
        <w:t xml:space="preserve"> </w:t>
      </w:r>
      <w:r w:rsidR="00087204" w:rsidRPr="00FD211F">
        <w:rPr>
          <w:sz w:val="36"/>
          <w:szCs w:val="36"/>
          <w:rtl/>
        </w:rPr>
        <w:t>مثّل</w:t>
      </w:r>
      <w:r w:rsidR="00E8128F">
        <w:rPr>
          <w:sz w:val="36"/>
          <w:szCs w:val="36"/>
          <w:rtl/>
        </w:rPr>
        <w:t xml:space="preserve"> </w:t>
      </w:r>
      <w:r w:rsidR="00087204" w:rsidRPr="00FD211F">
        <w:rPr>
          <w:sz w:val="36"/>
          <w:szCs w:val="36"/>
          <w:rtl/>
        </w:rPr>
        <w:t>للدليل</w:t>
      </w:r>
      <w:r w:rsidR="00E8128F">
        <w:rPr>
          <w:sz w:val="36"/>
          <w:szCs w:val="36"/>
          <w:rtl/>
        </w:rPr>
        <w:t xml:space="preserve"> </w:t>
      </w:r>
      <w:r w:rsidR="00087204" w:rsidRPr="00FD211F">
        <w:rPr>
          <w:sz w:val="36"/>
          <w:szCs w:val="36"/>
          <w:rtl/>
        </w:rPr>
        <w:t>العقلي</w:t>
      </w:r>
      <w:r w:rsidR="00E8128F">
        <w:rPr>
          <w:sz w:val="36"/>
          <w:szCs w:val="36"/>
          <w:rtl/>
        </w:rPr>
        <w:t xml:space="preserve"> </w:t>
      </w:r>
      <w:r w:rsidR="00087204" w:rsidRPr="00FD211F">
        <w:rPr>
          <w:sz w:val="36"/>
          <w:szCs w:val="36"/>
          <w:rtl/>
        </w:rPr>
        <w:t>البرهاني</w:t>
      </w:r>
      <w:r w:rsidR="00E8128F">
        <w:rPr>
          <w:sz w:val="36"/>
          <w:szCs w:val="36"/>
          <w:rtl/>
        </w:rPr>
        <w:t xml:space="preserve"> </w:t>
      </w:r>
      <w:r w:rsidR="00087204" w:rsidRPr="00FD211F">
        <w:rPr>
          <w:sz w:val="36"/>
          <w:szCs w:val="36"/>
          <w:rtl/>
        </w:rPr>
        <w:t>ببحث</w:t>
      </w:r>
      <w:r w:rsidR="00E8128F">
        <w:rPr>
          <w:sz w:val="36"/>
          <w:szCs w:val="36"/>
          <w:rtl/>
        </w:rPr>
        <w:t xml:space="preserve"> </w:t>
      </w:r>
      <w:r w:rsidR="00087204" w:rsidRPr="00FD211F">
        <w:rPr>
          <w:sz w:val="36"/>
          <w:szCs w:val="36"/>
          <w:rtl/>
        </w:rPr>
        <w:t>اشتراط</w:t>
      </w:r>
      <w:r w:rsidR="00E8128F">
        <w:rPr>
          <w:sz w:val="36"/>
          <w:szCs w:val="36"/>
          <w:rtl/>
        </w:rPr>
        <w:t xml:space="preserve"> </w:t>
      </w:r>
      <w:r w:rsidR="00087204" w:rsidRPr="00FD211F">
        <w:rPr>
          <w:sz w:val="36"/>
          <w:szCs w:val="36"/>
          <w:rtl/>
        </w:rPr>
        <w:t>القدر</w:t>
      </w:r>
      <w:r w:rsidR="00EC7EDF" w:rsidRPr="00FD211F">
        <w:rPr>
          <w:sz w:val="36"/>
          <w:szCs w:val="36"/>
          <w:rtl/>
        </w:rPr>
        <w:t>ة</w:t>
      </w:r>
      <w:r w:rsidR="00E8128F">
        <w:rPr>
          <w:sz w:val="36"/>
          <w:szCs w:val="36"/>
          <w:rtl/>
        </w:rPr>
        <w:t xml:space="preserve"> </w:t>
      </w:r>
      <w:r w:rsidR="00FE2042" w:rsidRPr="00FD211F">
        <w:rPr>
          <w:sz w:val="36"/>
          <w:szCs w:val="36"/>
          <w:rtl/>
        </w:rPr>
        <w:t>في</w:t>
      </w:r>
      <w:r w:rsidR="00E8128F">
        <w:rPr>
          <w:sz w:val="36"/>
          <w:szCs w:val="36"/>
          <w:rtl/>
        </w:rPr>
        <w:t xml:space="preserve"> </w:t>
      </w:r>
      <w:r w:rsidR="00FE2042" w:rsidRPr="00FD211F">
        <w:rPr>
          <w:sz w:val="36"/>
          <w:szCs w:val="36"/>
          <w:rtl/>
        </w:rPr>
        <w:t>ا</w:t>
      </w:r>
      <w:r w:rsidR="00087204" w:rsidRPr="00FD211F">
        <w:rPr>
          <w:sz w:val="36"/>
          <w:szCs w:val="36"/>
          <w:rtl/>
        </w:rPr>
        <w:t>لتكليف</w:t>
      </w:r>
      <w:r w:rsidR="00603323" w:rsidRPr="00FD211F">
        <w:rPr>
          <w:sz w:val="36"/>
          <w:szCs w:val="36"/>
          <w:rtl/>
        </w:rPr>
        <w:t>،</w:t>
      </w:r>
      <w:r w:rsidR="00E8128F">
        <w:rPr>
          <w:sz w:val="36"/>
          <w:szCs w:val="36"/>
          <w:rtl/>
        </w:rPr>
        <w:t xml:space="preserve"> </w:t>
      </w:r>
      <w:r w:rsidR="00FE2042" w:rsidRPr="00FD211F">
        <w:rPr>
          <w:sz w:val="36"/>
          <w:szCs w:val="36"/>
          <w:rtl/>
        </w:rPr>
        <w:t>وهذا</w:t>
      </w:r>
      <w:r w:rsidR="00E8128F">
        <w:rPr>
          <w:sz w:val="36"/>
          <w:szCs w:val="36"/>
          <w:rtl/>
        </w:rPr>
        <w:t xml:space="preserve"> </w:t>
      </w:r>
      <w:r w:rsidR="00FE2042" w:rsidRPr="00FD211F">
        <w:rPr>
          <w:sz w:val="36"/>
          <w:szCs w:val="36"/>
          <w:rtl/>
        </w:rPr>
        <w:t>مبني</w:t>
      </w:r>
      <w:r w:rsidR="00E8128F">
        <w:rPr>
          <w:sz w:val="36"/>
          <w:szCs w:val="36"/>
          <w:rtl/>
        </w:rPr>
        <w:t xml:space="preserve"> </w:t>
      </w:r>
      <w:r w:rsidR="00FE2042" w:rsidRPr="00FD211F">
        <w:rPr>
          <w:sz w:val="36"/>
          <w:szCs w:val="36"/>
          <w:rtl/>
        </w:rPr>
        <w:t>على</w:t>
      </w:r>
      <w:r w:rsidR="00E8128F">
        <w:rPr>
          <w:sz w:val="36"/>
          <w:szCs w:val="36"/>
          <w:rtl/>
        </w:rPr>
        <w:t xml:space="preserve"> </w:t>
      </w:r>
      <w:r w:rsidR="00FE2042" w:rsidRPr="00FD211F">
        <w:rPr>
          <w:sz w:val="36"/>
          <w:szCs w:val="36"/>
          <w:rtl/>
        </w:rPr>
        <w:t>مسلكه</w:t>
      </w:r>
      <w:r w:rsidR="00E8128F">
        <w:rPr>
          <w:sz w:val="36"/>
          <w:szCs w:val="36"/>
          <w:rtl/>
        </w:rPr>
        <w:t xml:space="preserve"> </w:t>
      </w:r>
      <w:r w:rsidR="00FE2042" w:rsidRPr="00FD211F">
        <w:rPr>
          <w:sz w:val="36"/>
          <w:szCs w:val="36"/>
          <w:rtl/>
        </w:rPr>
        <w:t>من</w:t>
      </w:r>
      <w:r w:rsidR="00E8128F">
        <w:rPr>
          <w:sz w:val="36"/>
          <w:szCs w:val="36"/>
          <w:rtl/>
        </w:rPr>
        <w:t xml:space="preserve"> </w:t>
      </w:r>
      <w:r w:rsidR="00FE2042" w:rsidRPr="00FD211F">
        <w:rPr>
          <w:sz w:val="36"/>
          <w:szCs w:val="36"/>
          <w:rtl/>
        </w:rPr>
        <w:t>ان</w:t>
      </w:r>
      <w:r w:rsidR="00E8128F">
        <w:rPr>
          <w:sz w:val="36"/>
          <w:szCs w:val="36"/>
          <w:rtl/>
        </w:rPr>
        <w:t xml:space="preserve"> </w:t>
      </w:r>
      <w:r w:rsidR="00FE2042" w:rsidRPr="00FD211F">
        <w:rPr>
          <w:sz w:val="36"/>
          <w:szCs w:val="36"/>
          <w:rtl/>
        </w:rPr>
        <w:t>حقيق</w:t>
      </w:r>
      <w:r w:rsidR="00EC7EDF" w:rsidRPr="00FD211F">
        <w:rPr>
          <w:sz w:val="36"/>
          <w:szCs w:val="36"/>
          <w:rtl/>
        </w:rPr>
        <w:t>ة</w:t>
      </w:r>
      <w:r w:rsidR="00E8128F">
        <w:rPr>
          <w:sz w:val="36"/>
          <w:szCs w:val="36"/>
          <w:rtl/>
        </w:rPr>
        <w:t xml:space="preserve"> </w:t>
      </w:r>
      <w:r w:rsidR="00FE2042" w:rsidRPr="00FD211F">
        <w:rPr>
          <w:sz w:val="36"/>
          <w:szCs w:val="36"/>
          <w:rtl/>
        </w:rPr>
        <w:t>التكليف</w:t>
      </w:r>
      <w:r w:rsidR="00E8128F">
        <w:rPr>
          <w:sz w:val="36"/>
          <w:szCs w:val="36"/>
          <w:rtl/>
        </w:rPr>
        <w:t xml:space="preserve"> </w:t>
      </w:r>
      <w:r w:rsidR="00FE2042" w:rsidRPr="00FD211F">
        <w:rPr>
          <w:sz w:val="36"/>
          <w:szCs w:val="36"/>
          <w:rtl/>
        </w:rPr>
        <w:t>هو</w:t>
      </w:r>
      <w:r w:rsidR="00E8128F">
        <w:rPr>
          <w:sz w:val="36"/>
          <w:szCs w:val="36"/>
          <w:rtl/>
        </w:rPr>
        <w:t xml:space="preserve"> </w:t>
      </w:r>
      <w:r w:rsidR="00FE2042" w:rsidRPr="00FD211F">
        <w:rPr>
          <w:sz w:val="36"/>
          <w:szCs w:val="36"/>
          <w:rtl/>
        </w:rPr>
        <w:t>البعث</w:t>
      </w:r>
      <w:r w:rsidR="00E8128F">
        <w:rPr>
          <w:sz w:val="36"/>
          <w:szCs w:val="36"/>
          <w:rtl/>
        </w:rPr>
        <w:t xml:space="preserve"> </w:t>
      </w:r>
      <w:r w:rsidR="00FE2042" w:rsidRPr="00FD211F">
        <w:rPr>
          <w:sz w:val="36"/>
          <w:szCs w:val="36"/>
          <w:rtl/>
        </w:rPr>
        <w:t>بداعي</w:t>
      </w:r>
      <w:r w:rsidR="00E8128F">
        <w:rPr>
          <w:sz w:val="36"/>
          <w:szCs w:val="36"/>
          <w:rtl/>
        </w:rPr>
        <w:t xml:space="preserve"> </w:t>
      </w:r>
      <w:r w:rsidR="00FE2042" w:rsidRPr="00FD211F">
        <w:rPr>
          <w:sz w:val="36"/>
          <w:szCs w:val="36"/>
          <w:rtl/>
        </w:rPr>
        <w:t>تحريك</w:t>
      </w:r>
      <w:r w:rsidR="00E8128F">
        <w:rPr>
          <w:sz w:val="36"/>
          <w:szCs w:val="36"/>
          <w:rtl/>
        </w:rPr>
        <w:t xml:space="preserve"> </w:t>
      </w:r>
      <w:r w:rsidR="00FE2042" w:rsidRPr="00FD211F">
        <w:rPr>
          <w:sz w:val="36"/>
          <w:szCs w:val="36"/>
          <w:rtl/>
        </w:rPr>
        <w:t>المكلف</w:t>
      </w:r>
      <w:r w:rsidR="00E8128F">
        <w:rPr>
          <w:sz w:val="36"/>
          <w:szCs w:val="36"/>
          <w:rtl/>
        </w:rPr>
        <w:t xml:space="preserve"> </w:t>
      </w:r>
      <w:r w:rsidR="00FE2042" w:rsidRPr="00FD211F">
        <w:rPr>
          <w:sz w:val="36"/>
          <w:szCs w:val="36"/>
          <w:rtl/>
        </w:rPr>
        <w:t>نحو</w:t>
      </w:r>
      <w:r w:rsidR="00E8128F">
        <w:rPr>
          <w:sz w:val="36"/>
          <w:szCs w:val="36"/>
          <w:rtl/>
        </w:rPr>
        <w:t xml:space="preserve"> </w:t>
      </w:r>
      <w:r w:rsidR="00FE2042" w:rsidRPr="00FD211F">
        <w:rPr>
          <w:sz w:val="36"/>
          <w:szCs w:val="36"/>
          <w:rtl/>
        </w:rPr>
        <w:t>الفعل</w:t>
      </w:r>
      <w:r w:rsidR="00603323" w:rsidRPr="00FD211F">
        <w:rPr>
          <w:sz w:val="36"/>
          <w:szCs w:val="36"/>
          <w:rtl/>
        </w:rPr>
        <w:t>،</w:t>
      </w:r>
      <w:r w:rsidR="00E8128F">
        <w:rPr>
          <w:sz w:val="36"/>
          <w:szCs w:val="36"/>
          <w:rtl/>
        </w:rPr>
        <w:t xml:space="preserve"> </w:t>
      </w:r>
      <w:r w:rsidR="00FE2042" w:rsidRPr="00FD211F">
        <w:rPr>
          <w:sz w:val="36"/>
          <w:szCs w:val="36"/>
          <w:rtl/>
        </w:rPr>
        <w:t>فمع</w:t>
      </w:r>
      <w:r w:rsidR="00E8128F">
        <w:rPr>
          <w:sz w:val="36"/>
          <w:szCs w:val="36"/>
          <w:rtl/>
        </w:rPr>
        <w:t xml:space="preserve"> </w:t>
      </w:r>
      <w:r w:rsidR="00FE2042" w:rsidRPr="00FD211F">
        <w:rPr>
          <w:sz w:val="36"/>
          <w:szCs w:val="36"/>
          <w:rtl/>
        </w:rPr>
        <w:t>عجز</w:t>
      </w:r>
      <w:r w:rsidR="00E8128F">
        <w:rPr>
          <w:sz w:val="36"/>
          <w:szCs w:val="36"/>
          <w:rtl/>
        </w:rPr>
        <w:t xml:space="preserve"> </w:t>
      </w:r>
      <w:r w:rsidR="00FE2042" w:rsidRPr="00FD211F">
        <w:rPr>
          <w:sz w:val="36"/>
          <w:szCs w:val="36"/>
          <w:rtl/>
        </w:rPr>
        <w:t>المكلف</w:t>
      </w:r>
      <w:r w:rsidR="00E8128F">
        <w:rPr>
          <w:sz w:val="36"/>
          <w:szCs w:val="36"/>
          <w:rtl/>
        </w:rPr>
        <w:t xml:space="preserve"> </w:t>
      </w:r>
      <w:r w:rsidR="00FE2042" w:rsidRPr="00FD211F">
        <w:rPr>
          <w:sz w:val="36"/>
          <w:szCs w:val="36"/>
          <w:rtl/>
        </w:rPr>
        <w:t>يستحيل</w:t>
      </w:r>
      <w:r w:rsidR="00E8128F">
        <w:rPr>
          <w:sz w:val="36"/>
          <w:szCs w:val="36"/>
          <w:rtl/>
        </w:rPr>
        <w:t xml:space="preserve"> </w:t>
      </w:r>
      <w:r w:rsidR="00FE2042" w:rsidRPr="00FD211F">
        <w:rPr>
          <w:sz w:val="36"/>
          <w:szCs w:val="36"/>
          <w:rtl/>
        </w:rPr>
        <w:t>انقداح</w:t>
      </w:r>
      <w:r w:rsidR="00E8128F">
        <w:rPr>
          <w:sz w:val="36"/>
          <w:szCs w:val="36"/>
          <w:rtl/>
        </w:rPr>
        <w:t xml:space="preserve"> </w:t>
      </w:r>
      <w:r w:rsidR="00FE2042" w:rsidRPr="00FD211F">
        <w:rPr>
          <w:sz w:val="36"/>
          <w:szCs w:val="36"/>
          <w:rtl/>
        </w:rPr>
        <w:t>داعي</w:t>
      </w:r>
      <w:r w:rsidR="00E8128F">
        <w:rPr>
          <w:sz w:val="36"/>
          <w:szCs w:val="36"/>
          <w:rtl/>
        </w:rPr>
        <w:t xml:space="preserve"> </w:t>
      </w:r>
      <w:r w:rsidR="00FE2042" w:rsidRPr="00FD211F">
        <w:rPr>
          <w:sz w:val="36"/>
          <w:szCs w:val="36"/>
          <w:rtl/>
        </w:rPr>
        <w:t>التحريك</w:t>
      </w:r>
      <w:r w:rsidR="00E8128F">
        <w:rPr>
          <w:sz w:val="36"/>
          <w:szCs w:val="36"/>
          <w:rtl/>
        </w:rPr>
        <w:t xml:space="preserve"> </w:t>
      </w:r>
      <w:r w:rsidR="00FE2042" w:rsidRPr="00FD211F">
        <w:rPr>
          <w:sz w:val="36"/>
          <w:szCs w:val="36"/>
          <w:rtl/>
        </w:rPr>
        <w:t>في</w:t>
      </w:r>
      <w:r w:rsidR="00E8128F">
        <w:rPr>
          <w:sz w:val="36"/>
          <w:szCs w:val="36"/>
          <w:rtl/>
        </w:rPr>
        <w:t xml:space="preserve"> </w:t>
      </w:r>
      <w:r w:rsidR="00FE2042" w:rsidRPr="00FD211F">
        <w:rPr>
          <w:sz w:val="36"/>
          <w:szCs w:val="36"/>
          <w:rtl/>
        </w:rPr>
        <w:t>نفس</w:t>
      </w:r>
      <w:r w:rsidR="00E8128F">
        <w:rPr>
          <w:sz w:val="36"/>
          <w:szCs w:val="36"/>
          <w:rtl/>
        </w:rPr>
        <w:t xml:space="preserve"> </w:t>
      </w:r>
      <w:r w:rsidR="00FE2042" w:rsidRPr="00FD211F">
        <w:rPr>
          <w:sz w:val="36"/>
          <w:szCs w:val="36"/>
          <w:rtl/>
        </w:rPr>
        <w:t>المولى</w:t>
      </w:r>
      <w:r w:rsidR="00603323" w:rsidRPr="00FD211F">
        <w:rPr>
          <w:sz w:val="36"/>
          <w:szCs w:val="36"/>
          <w:rtl/>
        </w:rPr>
        <w:t>،</w:t>
      </w:r>
      <w:r w:rsidR="00E8128F">
        <w:rPr>
          <w:sz w:val="36"/>
          <w:szCs w:val="36"/>
          <w:rtl/>
        </w:rPr>
        <w:t xml:space="preserve"> </w:t>
      </w:r>
      <w:r w:rsidR="00087204" w:rsidRPr="00FD211F">
        <w:rPr>
          <w:sz w:val="36"/>
          <w:szCs w:val="36"/>
          <w:rtl/>
        </w:rPr>
        <w:t>ولكن</w:t>
      </w:r>
      <w:r w:rsidR="00E8128F">
        <w:rPr>
          <w:sz w:val="36"/>
          <w:szCs w:val="36"/>
          <w:rtl/>
        </w:rPr>
        <w:t xml:space="preserve"> </w:t>
      </w:r>
      <w:r w:rsidR="00087204" w:rsidRPr="00FD211F">
        <w:rPr>
          <w:sz w:val="36"/>
          <w:szCs w:val="36"/>
          <w:rtl/>
        </w:rPr>
        <w:t>الظاهر</w:t>
      </w:r>
      <w:r w:rsidR="00E8128F">
        <w:rPr>
          <w:sz w:val="36"/>
          <w:szCs w:val="36"/>
          <w:rtl/>
        </w:rPr>
        <w:t xml:space="preserve"> </w:t>
      </w:r>
      <w:r w:rsidR="00087204" w:rsidRPr="00FD211F">
        <w:rPr>
          <w:sz w:val="36"/>
          <w:szCs w:val="36"/>
          <w:rtl/>
        </w:rPr>
        <w:t>انه</w:t>
      </w:r>
      <w:r w:rsidR="00E8128F">
        <w:rPr>
          <w:sz w:val="36"/>
          <w:szCs w:val="36"/>
          <w:rtl/>
        </w:rPr>
        <w:t xml:space="preserve"> </w:t>
      </w:r>
      <w:r w:rsidR="00087204" w:rsidRPr="00FD211F">
        <w:rPr>
          <w:sz w:val="36"/>
          <w:szCs w:val="36"/>
          <w:rtl/>
        </w:rPr>
        <w:t>يرجع</w:t>
      </w:r>
      <w:r w:rsidR="00E8128F">
        <w:rPr>
          <w:sz w:val="36"/>
          <w:szCs w:val="36"/>
          <w:rtl/>
        </w:rPr>
        <w:t xml:space="preserve"> </w:t>
      </w:r>
      <w:r w:rsidR="00087204" w:rsidRPr="00FD211F">
        <w:rPr>
          <w:sz w:val="36"/>
          <w:szCs w:val="36"/>
          <w:rtl/>
        </w:rPr>
        <w:t>الى</w:t>
      </w:r>
      <w:r w:rsidR="00E8128F">
        <w:rPr>
          <w:sz w:val="36"/>
          <w:szCs w:val="36"/>
          <w:rtl/>
        </w:rPr>
        <w:t xml:space="preserve"> </w:t>
      </w:r>
      <w:r w:rsidR="00087204" w:rsidRPr="00FD211F">
        <w:rPr>
          <w:sz w:val="36"/>
          <w:szCs w:val="36"/>
          <w:rtl/>
        </w:rPr>
        <w:t>الدليل</w:t>
      </w:r>
      <w:r w:rsidR="00E8128F">
        <w:rPr>
          <w:sz w:val="36"/>
          <w:szCs w:val="36"/>
          <w:rtl/>
        </w:rPr>
        <w:t xml:space="preserve"> </w:t>
      </w:r>
      <w:r w:rsidR="00087204" w:rsidRPr="00FD211F">
        <w:rPr>
          <w:sz w:val="36"/>
          <w:szCs w:val="36"/>
          <w:rtl/>
        </w:rPr>
        <w:t>اللفظي</w:t>
      </w:r>
      <w:r w:rsidR="00E8128F">
        <w:rPr>
          <w:sz w:val="36"/>
          <w:szCs w:val="36"/>
          <w:rtl/>
        </w:rPr>
        <w:t xml:space="preserve"> </w:t>
      </w:r>
      <w:r w:rsidR="00FE2042" w:rsidRPr="00FD211F">
        <w:rPr>
          <w:sz w:val="36"/>
          <w:szCs w:val="36"/>
          <w:rtl/>
        </w:rPr>
        <w:t>لان</w:t>
      </w:r>
      <w:r w:rsidR="00E8128F">
        <w:rPr>
          <w:sz w:val="36"/>
          <w:szCs w:val="36"/>
          <w:rtl/>
        </w:rPr>
        <w:t xml:space="preserve"> </w:t>
      </w:r>
      <w:r w:rsidR="00FE2042" w:rsidRPr="00FD211F">
        <w:rPr>
          <w:sz w:val="36"/>
          <w:szCs w:val="36"/>
          <w:rtl/>
        </w:rPr>
        <w:t>دليله</w:t>
      </w:r>
      <w:r w:rsidR="00E8128F">
        <w:rPr>
          <w:sz w:val="36"/>
          <w:szCs w:val="36"/>
          <w:rtl/>
        </w:rPr>
        <w:t xml:space="preserve"> </w:t>
      </w:r>
      <w:r w:rsidR="00FE2042" w:rsidRPr="00FD211F">
        <w:rPr>
          <w:sz w:val="36"/>
          <w:szCs w:val="36"/>
          <w:rtl/>
        </w:rPr>
        <w:t>إما</w:t>
      </w:r>
      <w:r w:rsidR="00E8128F">
        <w:rPr>
          <w:sz w:val="36"/>
          <w:szCs w:val="36"/>
          <w:rtl/>
        </w:rPr>
        <w:t xml:space="preserve"> </w:t>
      </w:r>
      <w:r w:rsidR="00087204" w:rsidRPr="00FD211F">
        <w:rPr>
          <w:sz w:val="36"/>
          <w:szCs w:val="36"/>
          <w:rtl/>
        </w:rPr>
        <w:t>انصراف</w:t>
      </w:r>
      <w:r w:rsidR="00E8128F">
        <w:rPr>
          <w:sz w:val="36"/>
          <w:szCs w:val="36"/>
          <w:rtl/>
        </w:rPr>
        <w:t xml:space="preserve"> </w:t>
      </w:r>
      <w:r w:rsidR="00087204" w:rsidRPr="00FD211F">
        <w:rPr>
          <w:sz w:val="36"/>
          <w:szCs w:val="36"/>
          <w:rtl/>
        </w:rPr>
        <w:t>خطاب</w:t>
      </w:r>
      <w:r w:rsidR="00E8128F">
        <w:rPr>
          <w:sz w:val="36"/>
          <w:szCs w:val="36"/>
          <w:rtl/>
        </w:rPr>
        <w:t xml:space="preserve"> </w:t>
      </w:r>
      <w:r w:rsidR="00087204" w:rsidRPr="00FD211F">
        <w:rPr>
          <w:sz w:val="36"/>
          <w:szCs w:val="36"/>
          <w:rtl/>
        </w:rPr>
        <w:t>البعث</w:t>
      </w:r>
      <w:r w:rsidR="00E8128F">
        <w:rPr>
          <w:sz w:val="36"/>
          <w:szCs w:val="36"/>
          <w:rtl/>
        </w:rPr>
        <w:t xml:space="preserve"> </w:t>
      </w:r>
      <w:r w:rsidR="00087204" w:rsidRPr="00FD211F">
        <w:rPr>
          <w:sz w:val="36"/>
          <w:szCs w:val="36"/>
          <w:rtl/>
        </w:rPr>
        <w:t>عرفا</w:t>
      </w:r>
      <w:r w:rsidR="00E8128F">
        <w:rPr>
          <w:sz w:val="36"/>
          <w:szCs w:val="36"/>
          <w:rtl/>
        </w:rPr>
        <w:t xml:space="preserve"> </w:t>
      </w:r>
      <w:r w:rsidR="00087204" w:rsidRPr="00FD211F">
        <w:rPr>
          <w:sz w:val="36"/>
          <w:szCs w:val="36"/>
          <w:rtl/>
        </w:rPr>
        <w:t>الى</w:t>
      </w:r>
      <w:r w:rsidR="00E8128F">
        <w:rPr>
          <w:sz w:val="36"/>
          <w:szCs w:val="36"/>
          <w:rtl/>
        </w:rPr>
        <w:t xml:space="preserve"> </w:t>
      </w:r>
      <w:r w:rsidR="00087204" w:rsidRPr="00FD211F">
        <w:rPr>
          <w:sz w:val="36"/>
          <w:szCs w:val="36"/>
          <w:rtl/>
        </w:rPr>
        <w:t>ما</w:t>
      </w:r>
      <w:r w:rsidR="00E8128F">
        <w:rPr>
          <w:sz w:val="36"/>
          <w:szCs w:val="36"/>
          <w:rtl/>
        </w:rPr>
        <w:t xml:space="preserve"> </w:t>
      </w:r>
      <w:r w:rsidR="00087204" w:rsidRPr="00FD211F">
        <w:rPr>
          <w:sz w:val="36"/>
          <w:szCs w:val="36"/>
          <w:rtl/>
        </w:rPr>
        <w:t>يمكن</w:t>
      </w:r>
      <w:r w:rsidR="00E8128F">
        <w:rPr>
          <w:sz w:val="36"/>
          <w:szCs w:val="36"/>
          <w:rtl/>
        </w:rPr>
        <w:t xml:space="preserve"> </w:t>
      </w:r>
      <w:r w:rsidR="00087204" w:rsidRPr="00FD211F">
        <w:rPr>
          <w:sz w:val="36"/>
          <w:szCs w:val="36"/>
          <w:rtl/>
        </w:rPr>
        <w:t>الانبعاث</w:t>
      </w:r>
      <w:r w:rsidR="00E8128F">
        <w:rPr>
          <w:sz w:val="36"/>
          <w:szCs w:val="36"/>
          <w:rtl/>
        </w:rPr>
        <w:t xml:space="preserve"> </w:t>
      </w:r>
      <w:r w:rsidR="00087204" w:rsidRPr="00FD211F">
        <w:rPr>
          <w:sz w:val="36"/>
          <w:szCs w:val="36"/>
          <w:rtl/>
        </w:rPr>
        <w:t>اليه</w:t>
      </w:r>
      <w:r w:rsidR="00603323" w:rsidRPr="00FD211F">
        <w:rPr>
          <w:sz w:val="36"/>
          <w:szCs w:val="36"/>
          <w:rtl/>
        </w:rPr>
        <w:t>،</w:t>
      </w:r>
      <w:r w:rsidR="00E8128F">
        <w:rPr>
          <w:sz w:val="36"/>
          <w:szCs w:val="36"/>
          <w:rtl/>
        </w:rPr>
        <w:t xml:space="preserve"> </w:t>
      </w:r>
      <w:r w:rsidR="00087204" w:rsidRPr="00FD211F">
        <w:rPr>
          <w:sz w:val="36"/>
          <w:szCs w:val="36"/>
          <w:rtl/>
        </w:rPr>
        <w:t>او</w:t>
      </w:r>
      <w:r w:rsidR="00E8128F">
        <w:rPr>
          <w:sz w:val="36"/>
          <w:szCs w:val="36"/>
          <w:rtl/>
        </w:rPr>
        <w:t xml:space="preserve"> </w:t>
      </w:r>
      <w:r w:rsidR="00087204" w:rsidRPr="00FD211F">
        <w:rPr>
          <w:sz w:val="36"/>
          <w:szCs w:val="36"/>
          <w:rtl/>
        </w:rPr>
        <w:t>مثل</w:t>
      </w:r>
      <w:r w:rsidR="00E8128F">
        <w:rPr>
          <w:sz w:val="36"/>
          <w:szCs w:val="36"/>
          <w:rtl/>
        </w:rPr>
        <w:t xml:space="preserve"> </w:t>
      </w:r>
      <w:r w:rsidR="00087204" w:rsidRPr="00FD211F">
        <w:rPr>
          <w:sz w:val="36"/>
          <w:szCs w:val="36"/>
          <w:rtl/>
        </w:rPr>
        <w:t>قوله</w:t>
      </w:r>
      <w:r w:rsidR="00E8128F">
        <w:rPr>
          <w:sz w:val="36"/>
          <w:szCs w:val="36"/>
          <w:rtl/>
        </w:rPr>
        <w:t xml:space="preserve"> </w:t>
      </w:r>
      <w:r w:rsidR="00087204" w:rsidRPr="00FD211F">
        <w:rPr>
          <w:sz w:val="36"/>
          <w:szCs w:val="36"/>
          <w:rtl/>
        </w:rPr>
        <w:t>تعالى</w:t>
      </w:r>
      <w:r w:rsidR="00E8128F">
        <w:rPr>
          <w:sz w:val="36"/>
          <w:szCs w:val="36"/>
          <w:rtl/>
        </w:rPr>
        <w:t xml:space="preserve"> </w:t>
      </w:r>
      <w:r w:rsidR="00087204" w:rsidRPr="00FD211F">
        <w:rPr>
          <w:sz w:val="36"/>
          <w:szCs w:val="36"/>
          <w:rtl/>
        </w:rPr>
        <w:t>"لايكلف</w:t>
      </w:r>
      <w:r w:rsidR="00E8128F">
        <w:rPr>
          <w:sz w:val="36"/>
          <w:szCs w:val="36"/>
          <w:rtl/>
        </w:rPr>
        <w:t xml:space="preserve"> </w:t>
      </w:r>
      <w:r w:rsidR="00087204" w:rsidRPr="00FD211F">
        <w:rPr>
          <w:sz w:val="36"/>
          <w:szCs w:val="36"/>
          <w:rtl/>
        </w:rPr>
        <w:t>الله</w:t>
      </w:r>
      <w:r w:rsidR="00E8128F">
        <w:rPr>
          <w:sz w:val="36"/>
          <w:szCs w:val="36"/>
          <w:rtl/>
        </w:rPr>
        <w:t xml:space="preserve"> </w:t>
      </w:r>
      <w:r w:rsidR="00087204" w:rsidRPr="00FD211F">
        <w:rPr>
          <w:sz w:val="36"/>
          <w:szCs w:val="36"/>
          <w:rtl/>
        </w:rPr>
        <w:t>نفسا</w:t>
      </w:r>
      <w:r w:rsidR="00E8128F">
        <w:rPr>
          <w:sz w:val="36"/>
          <w:szCs w:val="36"/>
          <w:rtl/>
        </w:rPr>
        <w:t xml:space="preserve"> </w:t>
      </w:r>
      <w:r w:rsidR="00087204" w:rsidRPr="00FD211F">
        <w:rPr>
          <w:sz w:val="36"/>
          <w:szCs w:val="36"/>
          <w:rtl/>
        </w:rPr>
        <w:t>الا</w:t>
      </w:r>
      <w:r w:rsidR="00E8128F">
        <w:rPr>
          <w:sz w:val="36"/>
          <w:szCs w:val="36"/>
          <w:rtl/>
        </w:rPr>
        <w:t xml:space="preserve"> </w:t>
      </w:r>
      <w:r w:rsidR="00087204" w:rsidRPr="00FD211F">
        <w:rPr>
          <w:sz w:val="36"/>
          <w:szCs w:val="36"/>
          <w:rtl/>
        </w:rPr>
        <w:t>وسعها"</w:t>
      </w:r>
      <w:r w:rsidR="00E8128F">
        <w:rPr>
          <w:sz w:val="36"/>
          <w:szCs w:val="36"/>
          <w:rtl/>
        </w:rPr>
        <w:t xml:space="preserve"> </w:t>
      </w:r>
      <w:r w:rsidR="00251D5B" w:rsidRPr="00FD211F">
        <w:rPr>
          <w:sz w:val="36"/>
          <w:szCs w:val="36"/>
          <w:rtl/>
        </w:rPr>
        <w:t>ولو</w:t>
      </w:r>
      <w:r w:rsidR="00E8128F">
        <w:rPr>
          <w:sz w:val="36"/>
          <w:szCs w:val="36"/>
          <w:rtl/>
        </w:rPr>
        <w:t xml:space="preserve"> </w:t>
      </w:r>
      <w:r w:rsidR="00251D5B" w:rsidRPr="00FD211F">
        <w:rPr>
          <w:sz w:val="36"/>
          <w:szCs w:val="36"/>
          <w:rtl/>
        </w:rPr>
        <w:t>كان</w:t>
      </w:r>
      <w:r w:rsidR="00E8128F">
        <w:rPr>
          <w:sz w:val="36"/>
          <w:szCs w:val="36"/>
          <w:rtl/>
        </w:rPr>
        <w:t xml:space="preserve"> </w:t>
      </w:r>
      <w:r w:rsidR="007E6099" w:rsidRPr="00FD211F">
        <w:rPr>
          <w:sz w:val="36"/>
          <w:szCs w:val="36"/>
          <w:rtl/>
        </w:rPr>
        <w:t>دليله</w:t>
      </w:r>
      <w:r w:rsidR="00E8128F">
        <w:rPr>
          <w:sz w:val="36"/>
          <w:szCs w:val="36"/>
          <w:rtl/>
        </w:rPr>
        <w:t xml:space="preserve"> </w:t>
      </w:r>
      <w:r w:rsidR="007E6099" w:rsidRPr="00FD211F">
        <w:rPr>
          <w:sz w:val="36"/>
          <w:szCs w:val="36"/>
          <w:rtl/>
        </w:rPr>
        <w:t>قبح</w:t>
      </w:r>
      <w:r w:rsidR="00E8128F">
        <w:rPr>
          <w:sz w:val="36"/>
          <w:szCs w:val="36"/>
          <w:rtl/>
        </w:rPr>
        <w:t xml:space="preserve"> </w:t>
      </w:r>
      <w:r w:rsidR="007E6099" w:rsidRPr="00FD211F">
        <w:rPr>
          <w:sz w:val="36"/>
          <w:szCs w:val="36"/>
          <w:rtl/>
        </w:rPr>
        <w:t>تكليف</w:t>
      </w:r>
      <w:r w:rsidR="00E8128F">
        <w:rPr>
          <w:sz w:val="36"/>
          <w:szCs w:val="36"/>
          <w:rtl/>
        </w:rPr>
        <w:t xml:space="preserve"> </w:t>
      </w:r>
      <w:r w:rsidR="007E6099" w:rsidRPr="00FD211F">
        <w:rPr>
          <w:sz w:val="36"/>
          <w:szCs w:val="36"/>
          <w:rtl/>
        </w:rPr>
        <w:t>العاجز</w:t>
      </w:r>
      <w:r w:rsidR="00E8128F">
        <w:rPr>
          <w:sz w:val="36"/>
          <w:szCs w:val="36"/>
          <w:rtl/>
        </w:rPr>
        <w:t xml:space="preserve"> </w:t>
      </w:r>
      <w:r w:rsidR="007E6099" w:rsidRPr="00FD211F">
        <w:rPr>
          <w:sz w:val="36"/>
          <w:szCs w:val="36"/>
          <w:rtl/>
        </w:rPr>
        <w:t>بملاك</w:t>
      </w:r>
      <w:r w:rsidR="00E8128F">
        <w:rPr>
          <w:sz w:val="36"/>
          <w:szCs w:val="36"/>
          <w:rtl/>
        </w:rPr>
        <w:t xml:space="preserve"> </w:t>
      </w:r>
      <w:r w:rsidR="007E6099" w:rsidRPr="00FD211F">
        <w:rPr>
          <w:sz w:val="36"/>
          <w:szCs w:val="36"/>
          <w:rtl/>
        </w:rPr>
        <w:t>اللغوي</w:t>
      </w:r>
      <w:r w:rsidR="00EC7EDF" w:rsidRPr="00FD211F">
        <w:rPr>
          <w:sz w:val="36"/>
          <w:szCs w:val="36"/>
          <w:rtl/>
        </w:rPr>
        <w:t>ة</w:t>
      </w:r>
      <w:r w:rsidR="00E8128F">
        <w:rPr>
          <w:sz w:val="36"/>
          <w:szCs w:val="36"/>
          <w:rtl/>
        </w:rPr>
        <w:t xml:space="preserve"> </w:t>
      </w:r>
      <w:r w:rsidR="00251D5B" w:rsidRPr="00FD211F">
        <w:rPr>
          <w:sz w:val="36"/>
          <w:szCs w:val="36"/>
          <w:rtl/>
        </w:rPr>
        <w:t>فيرجع</w:t>
      </w:r>
      <w:r w:rsidR="00E8128F">
        <w:rPr>
          <w:sz w:val="36"/>
          <w:szCs w:val="36"/>
          <w:rtl/>
        </w:rPr>
        <w:t xml:space="preserve"> </w:t>
      </w:r>
      <w:r w:rsidR="00251D5B" w:rsidRPr="00FD211F">
        <w:rPr>
          <w:sz w:val="36"/>
          <w:szCs w:val="36"/>
          <w:rtl/>
        </w:rPr>
        <w:t>الى</w:t>
      </w:r>
      <w:r w:rsidR="00E8128F">
        <w:rPr>
          <w:sz w:val="36"/>
          <w:szCs w:val="36"/>
          <w:rtl/>
        </w:rPr>
        <w:t xml:space="preserve"> </w:t>
      </w:r>
      <w:r w:rsidR="00251D5B" w:rsidRPr="00FD211F">
        <w:rPr>
          <w:sz w:val="36"/>
          <w:szCs w:val="36"/>
          <w:rtl/>
        </w:rPr>
        <w:t>الدليل</w:t>
      </w:r>
      <w:r w:rsidR="00E8128F">
        <w:rPr>
          <w:sz w:val="36"/>
          <w:szCs w:val="36"/>
          <w:rtl/>
        </w:rPr>
        <w:t xml:space="preserve"> </w:t>
      </w:r>
      <w:r w:rsidR="00251D5B" w:rsidRPr="00FD211F">
        <w:rPr>
          <w:sz w:val="36"/>
          <w:szCs w:val="36"/>
          <w:rtl/>
        </w:rPr>
        <w:t>العقلي</w:t>
      </w:r>
      <w:r w:rsidR="00E8128F">
        <w:rPr>
          <w:sz w:val="36"/>
          <w:szCs w:val="36"/>
          <w:rtl/>
        </w:rPr>
        <w:t xml:space="preserve"> </w:t>
      </w:r>
      <w:r w:rsidR="00251D5B" w:rsidRPr="00FD211F">
        <w:rPr>
          <w:sz w:val="36"/>
          <w:szCs w:val="36"/>
          <w:rtl/>
        </w:rPr>
        <w:t>العملي</w:t>
      </w:r>
      <w:r w:rsidR="00187B8E" w:rsidRPr="00FD211F">
        <w:rPr>
          <w:sz w:val="36"/>
          <w:szCs w:val="36"/>
          <w:rtl/>
        </w:rPr>
        <w:t>.</w:t>
      </w:r>
    </w:p>
    <w:p w14:paraId="2DCEB822" w14:textId="77777777" w:rsidR="00187B8E" w:rsidRPr="00FD211F" w:rsidRDefault="00187B8E" w:rsidP="009C58C8">
      <w:pPr>
        <w:ind w:left="0" w:firstLine="227"/>
        <w:jc w:val="both"/>
        <w:rPr>
          <w:sz w:val="36"/>
          <w:szCs w:val="36"/>
          <w:rtl/>
        </w:rPr>
      </w:pPr>
      <w:r w:rsidRPr="00FD211F">
        <w:rPr>
          <w:b/>
          <w:bCs/>
          <w:sz w:val="36"/>
          <w:szCs w:val="36"/>
          <w:rtl/>
        </w:rPr>
        <w:t>ومنها</w:t>
      </w:r>
      <w:r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من</w:t>
      </w:r>
      <w:r w:rsidR="00E8128F">
        <w:rPr>
          <w:sz w:val="36"/>
          <w:szCs w:val="36"/>
          <w:rtl/>
        </w:rPr>
        <w:t xml:space="preserve"> </w:t>
      </w:r>
      <w:r w:rsidR="00F60F90" w:rsidRPr="00FD211F">
        <w:rPr>
          <w:sz w:val="36"/>
          <w:szCs w:val="36"/>
          <w:rtl/>
        </w:rPr>
        <w:t>ان</w:t>
      </w:r>
      <w:r w:rsidR="00E8128F">
        <w:rPr>
          <w:sz w:val="36"/>
          <w:szCs w:val="36"/>
          <w:rtl/>
        </w:rPr>
        <w:t xml:space="preserve"> </w:t>
      </w:r>
      <w:r w:rsidR="00F60F90" w:rsidRPr="00FD211F">
        <w:rPr>
          <w:sz w:val="36"/>
          <w:szCs w:val="36"/>
          <w:rtl/>
        </w:rPr>
        <w:t>الدليل</w:t>
      </w:r>
      <w:r w:rsidR="00E8128F">
        <w:rPr>
          <w:sz w:val="36"/>
          <w:szCs w:val="36"/>
          <w:rtl/>
        </w:rPr>
        <w:t xml:space="preserve"> </w:t>
      </w:r>
      <w:r w:rsidR="00F60F90" w:rsidRPr="00FD211F">
        <w:rPr>
          <w:sz w:val="36"/>
          <w:szCs w:val="36"/>
          <w:rtl/>
        </w:rPr>
        <w:t>العقلي</w:t>
      </w:r>
      <w:r w:rsidR="00E8128F">
        <w:rPr>
          <w:sz w:val="36"/>
          <w:szCs w:val="36"/>
          <w:rtl/>
        </w:rPr>
        <w:t xml:space="preserve"> </w:t>
      </w:r>
      <w:r w:rsidR="00F60F90" w:rsidRPr="00FD211F">
        <w:rPr>
          <w:sz w:val="36"/>
          <w:szCs w:val="36"/>
          <w:rtl/>
        </w:rPr>
        <w:t>العملي</w:t>
      </w:r>
      <w:r w:rsidR="00E8128F">
        <w:rPr>
          <w:sz w:val="36"/>
          <w:szCs w:val="36"/>
          <w:rtl/>
        </w:rPr>
        <w:t xml:space="preserve"> </w:t>
      </w:r>
      <w:r w:rsidRPr="00FD211F">
        <w:rPr>
          <w:sz w:val="36"/>
          <w:szCs w:val="36"/>
          <w:rtl/>
        </w:rPr>
        <w:t>يشخص</w:t>
      </w:r>
      <w:r w:rsidR="00E8128F">
        <w:rPr>
          <w:sz w:val="36"/>
          <w:szCs w:val="36"/>
          <w:rtl/>
        </w:rPr>
        <w:t xml:space="preserve"> </w:t>
      </w:r>
      <w:r w:rsidRPr="00FD211F">
        <w:rPr>
          <w:sz w:val="36"/>
          <w:szCs w:val="36"/>
          <w:rtl/>
        </w:rPr>
        <w:t>الوظيف</w:t>
      </w:r>
      <w:r w:rsidR="00EC7EDF" w:rsidRPr="00FD211F">
        <w:rPr>
          <w:sz w:val="36"/>
          <w:szCs w:val="36"/>
          <w:rtl/>
        </w:rPr>
        <w:t>ة</w:t>
      </w:r>
      <w:r w:rsidR="00E8128F">
        <w:rPr>
          <w:sz w:val="36"/>
          <w:szCs w:val="36"/>
          <w:rtl/>
        </w:rPr>
        <w:t xml:space="preserve"> </w:t>
      </w:r>
      <w:r w:rsidRPr="00FD211F">
        <w:rPr>
          <w:sz w:val="36"/>
          <w:szCs w:val="36"/>
          <w:rtl/>
        </w:rPr>
        <w:t>تجاه</w:t>
      </w:r>
      <w:r w:rsidR="00E8128F">
        <w:rPr>
          <w:sz w:val="36"/>
          <w:szCs w:val="36"/>
          <w:rtl/>
        </w:rPr>
        <w:t xml:space="preserve"> </w:t>
      </w:r>
      <w:r w:rsidRPr="00FD211F">
        <w:rPr>
          <w:sz w:val="36"/>
          <w:szCs w:val="36"/>
          <w:rtl/>
        </w:rPr>
        <w:t>التكليف</w:t>
      </w:r>
      <w:r w:rsidR="00E8128F">
        <w:rPr>
          <w:sz w:val="36"/>
          <w:szCs w:val="36"/>
          <w:rtl/>
        </w:rPr>
        <w:t xml:space="preserve"> </w:t>
      </w:r>
      <w:r w:rsidRPr="00FD211F">
        <w:rPr>
          <w:sz w:val="36"/>
          <w:szCs w:val="36"/>
          <w:rtl/>
        </w:rPr>
        <w:t>المشكوك</w:t>
      </w:r>
      <w:r w:rsidR="00E8128F">
        <w:rPr>
          <w:sz w:val="36"/>
          <w:szCs w:val="36"/>
          <w:rtl/>
        </w:rPr>
        <w:t xml:space="preserve"> </w:t>
      </w:r>
      <w:r w:rsidRPr="00FD211F">
        <w:rPr>
          <w:sz w:val="36"/>
          <w:szCs w:val="36"/>
          <w:rtl/>
        </w:rPr>
        <w:t>تنجيزا</w:t>
      </w:r>
      <w:r w:rsidR="00E8128F">
        <w:rPr>
          <w:sz w:val="36"/>
          <w:szCs w:val="36"/>
          <w:rtl/>
        </w:rPr>
        <w:t xml:space="preserve"> </w:t>
      </w:r>
      <w:r w:rsidRPr="00FD211F">
        <w:rPr>
          <w:sz w:val="36"/>
          <w:szCs w:val="36"/>
          <w:rtl/>
        </w:rPr>
        <w:t>وتعذيرا</w:t>
      </w:r>
      <w:r w:rsidR="00E8128F">
        <w:rPr>
          <w:sz w:val="36"/>
          <w:szCs w:val="36"/>
          <w:rtl/>
        </w:rPr>
        <w:t xml:space="preserve"> </w:t>
      </w:r>
      <w:r w:rsidRPr="00FD211F">
        <w:rPr>
          <w:sz w:val="36"/>
          <w:szCs w:val="36"/>
          <w:rtl/>
        </w:rPr>
        <w:t>ففيه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الدليل</w:t>
      </w:r>
      <w:r w:rsidR="00E8128F">
        <w:rPr>
          <w:sz w:val="36"/>
          <w:szCs w:val="36"/>
          <w:rtl/>
        </w:rPr>
        <w:t xml:space="preserve"> </w:t>
      </w:r>
      <w:r w:rsidRPr="00FD211F">
        <w:rPr>
          <w:sz w:val="36"/>
          <w:szCs w:val="36"/>
          <w:rtl/>
        </w:rPr>
        <w:t>العقلي</w:t>
      </w:r>
      <w:r w:rsidR="00E8128F">
        <w:rPr>
          <w:sz w:val="36"/>
          <w:szCs w:val="36"/>
          <w:rtl/>
        </w:rPr>
        <w:t xml:space="preserve"> </w:t>
      </w:r>
      <w:r w:rsidRPr="00FD211F">
        <w:rPr>
          <w:sz w:val="36"/>
          <w:szCs w:val="36"/>
          <w:rtl/>
        </w:rPr>
        <w:t>العملي</w:t>
      </w:r>
      <w:r w:rsidR="00E8128F">
        <w:rPr>
          <w:sz w:val="36"/>
          <w:szCs w:val="36"/>
          <w:rtl/>
        </w:rPr>
        <w:t xml:space="preserve"> </w:t>
      </w:r>
      <w:r w:rsidRPr="00FD211F">
        <w:rPr>
          <w:sz w:val="36"/>
          <w:szCs w:val="36"/>
          <w:rtl/>
        </w:rPr>
        <w:t>لايختص</w:t>
      </w:r>
      <w:r w:rsidR="00E8128F">
        <w:rPr>
          <w:sz w:val="36"/>
          <w:szCs w:val="36"/>
          <w:rtl/>
        </w:rPr>
        <w:t xml:space="preserve"> </w:t>
      </w:r>
      <w:r w:rsidRPr="00FD211F">
        <w:rPr>
          <w:sz w:val="36"/>
          <w:szCs w:val="36"/>
          <w:rtl/>
        </w:rPr>
        <w:t>بذلك</w:t>
      </w:r>
      <w:r w:rsidR="00603323" w:rsidRPr="00FD211F">
        <w:rPr>
          <w:sz w:val="36"/>
          <w:szCs w:val="36"/>
          <w:rtl/>
        </w:rPr>
        <w:t>،</w:t>
      </w:r>
      <w:r w:rsidR="00E8128F">
        <w:rPr>
          <w:sz w:val="36"/>
          <w:szCs w:val="36"/>
          <w:rtl/>
        </w:rPr>
        <w:t xml:space="preserve"> </w:t>
      </w:r>
      <w:r w:rsidR="00F60F90" w:rsidRPr="00FD211F">
        <w:rPr>
          <w:sz w:val="36"/>
          <w:szCs w:val="36"/>
          <w:rtl/>
        </w:rPr>
        <w:t>بل</w:t>
      </w:r>
      <w:r w:rsidR="00E8128F">
        <w:rPr>
          <w:sz w:val="36"/>
          <w:szCs w:val="36"/>
          <w:rtl/>
        </w:rPr>
        <w:t xml:space="preserve"> </w:t>
      </w:r>
      <w:r w:rsidR="00F60F90" w:rsidRPr="00FD211F">
        <w:rPr>
          <w:sz w:val="36"/>
          <w:szCs w:val="36"/>
          <w:rtl/>
        </w:rPr>
        <w:t>يشمل</w:t>
      </w:r>
      <w:r w:rsidR="00E8128F">
        <w:rPr>
          <w:sz w:val="36"/>
          <w:szCs w:val="36"/>
          <w:rtl/>
        </w:rPr>
        <w:t xml:space="preserve"> </w:t>
      </w:r>
      <w:r w:rsidR="00F60F90" w:rsidRPr="00FD211F">
        <w:rPr>
          <w:sz w:val="36"/>
          <w:szCs w:val="36"/>
          <w:rtl/>
        </w:rPr>
        <w:t>مثل</w:t>
      </w:r>
      <w:r w:rsidR="00E8128F">
        <w:rPr>
          <w:sz w:val="36"/>
          <w:szCs w:val="36"/>
          <w:rtl/>
        </w:rPr>
        <w:t xml:space="preserve"> </w:t>
      </w:r>
      <w:r w:rsidR="00D60767" w:rsidRPr="00FD211F">
        <w:rPr>
          <w:sz w:val="36"/>
          <w:szCs w:val="36"/>
          <w:rtl/>
        </w:rPr>
        <w:t>حكم</w:t>
      </w:r>
      <w:r w:rsidR="00E8128F">
        <w:rPr>
          <w:sz w:val="36"/>
          <w:szCs w:val="36"/>
          <w:rtl/>
        </w:rPr>
        <w:t xml:space="preserve"> </w:t>
      </w:r>
      <w:r w:rsidR="00D60767" w:rsidRPr="00FD211F">
        <w:rPr>
          <w:sz w:val="36"/>
          <w:szCs w:val="36"/>
          <w:rtl/>
        </w:rPr>
        <w:t>العقل</w:t>
      </w:r>
      <w:r w:rsidR="00E8128F">
        <w:rPr>
          <w:sz w:val="36"/>
          <w:szCs w:val="36"/>
          <w:rtl/>
        </w:rPr>
        <w:t xml:space="preserve"> </w:t>
      </w:r>
      <w:r w:rsidR="00D60767" w:rsidRPr="00FD211F">
        <w:rPr>
          <w:sz w:val="36"/>
          <w:szCs w:val="36"/>
          <w:rtl/>
        </w:rPr>
        <w:t>بالملازم</w:t>
      </w:r>
      <w:r w:rsidR="00EC7EDF" w:rsidRPr="00FD211F">
        <w:rPr>
          <w:sz w:val="36"/>
          <w:szCs w:val="36"/>
          <w:rtl/>
        </w:rPr>
        <w:t>ة</w:t>
      </w:r>
      <w:r w:rsidR="00E8128F">
        <w:rPr>
          <w:sz w:val="36"/>
          <w:szCs w:val="36"/>
          <w:rtl/>
        </w:rPr>
        <w:t xml:space="preserve"> </w:t>
      </w:r>
      <w:r w:rsidR="00D60767" w:rsidRPr="00FD211F">
        <w:rPr>
          <w:sz w:val="36"/>
          <w:szCs w:val="36"/>
          <w:rtl/>
        </w:rPr>
        <w:t>بين</w:t>
      </w:r>
      <w:r w:rsidR="00E8128F">
        <w:rPr>
          <w:sz w:val="36"/>
          <w:szCs w:val="36"/>
          <w:rtl/>
        </w:rPr>
        <w:t xml:space="preserve"> </w:t>
      </w:r>
      <w:r w:rsidR="00D60767" w:rsidRPr="00FD211F">
        <w:rPr>
          <w:sz w:val="36"/>
          <w:szCs w:val="36"/>
          <w:rtl/>
        </w:rPr>
        <w:t>حكم</w:t>
      </w:r>
      <w:r w:rsidR="00E8128F">
        <w:rPr>
          <w:sz w:val="36"/>
          <w:szCs w:val="36"/>
          <w:rtl/>
        </w:rPr>
        <w:t xml:space="preserve"> </w:t>
      </w:r>
      <w:r w:rsidR="00D60767" w:rsidRPr="00FD211F">
        <w:rPr>
          <w:sz w:val="36"/>
          <w:szCs w:val="36"/>
          <w:rtl/>
        </w:rPr>
        <w:t>الشرع</w:t>
      </w:r>
      <w:r w:rsidR="00E8128F">
        <w:rPr>
          <w:sz w:val="36"/>
          <w:szCs w:val="36"/>
          <w:rtl/>
        </w:rPr>
        <w:t xml:space="preserve"> </w:t>
      </w:r>
      <w:r w:rsidR="00D60767" w:rsidRPr="00FD211F">
        <w:rPr>
          <w:sz w:val="36"/>
          <w:szCs w:val="36"/>
          <w:rtl/>
        </w:rPr>
        <w:t>وحكم</w:t>
      </w:r>
      <w:r w:rsidR="00E8128F">
        <w:rPr>
          <w:sz w:val="36"/>
          <w:szCs w:val="36"/>
          <w:rtl/>
        </w:rPr>
        <w:t xml:space="preserve"> </w:t>
      </w:r>
      <w:r w:rsidR="00D60767" w:rsidRPr="00FD211F">
        <w:rPr>
          <w:sz w:val="36"/>
          <w:szCs w:val="36"/>
          <w:rtl/>
        </w:rPr>
        <w:t>العقل</w:t>
      </w:r>
      <w:r w:rsidR="00603323" w:rsidRPr="00FD211F">
        <w:rPr>
          <w:sz w:val="36"/>
          <w:szCs w:val="36"/>
          <w:rtl/>
        </w:rPr>
        <w:t>،</w:t>
      </w:r>
      <w:r w:rsidR="00E8128F">
        <w:rPr>
          <w:sz w:val="36"/>
          <w:szCs w:val="36"/>
          <w:rtl/>
        </w:rPr>
        <w:t xml:space="preserve"> </w:t>
      </w:r>
      <w:r w:rsidR="00D60767" w:rsidRPr="00FD211F">
        <w:rPr>
          <w:sz w:val="36"/>
          <w:szCs w:val="36"/>
          <w:rtl/>
        </w:rPr>
        <w:t>حيث</w:t>
      </w:r>
      <w:r w:rsidR="00E8128F">
        <w:rPr>
          <w:sz w:val="36"/>
          <w:szCs w:val="36"/>
          <w:rtl/>
        </w:rPr>
        <w:t xml:space="preserve"> </w:t>
      </w:r>
      <w:r w:rsidR="00D60767" w:rsidRPr="00FD211F">
        <w:rPr>
          <w:sz w:val="36"/>
          <w:szCs w:val="36"/>
          <w:rtl/>
        </w:rPr>
        <w:t>ان</w:t>
      </w:r>
      <w:r w:rsidR="00E8128F">
        <w:rPr>
          <w:sz w:val="36"/>
          <w:szCs w:val="36"/>
          <w:rtl/>
        </w:rPr>
        <w:t xml:space="preserve"> </w:t>
      </w:r>
      <w:r w:rsidR="00D60767" w:rsidRPr="00FD211F">
        <w:rPr>
          <w:sz w:val="36"/>
          <w:szCs w:val="36"/>
          <w:rtl/>
        </w:rPr>
        <w:t>العقل</w:t>
      </w:r>
      <w:r w:rsidR="00E8128F">
        <w:rPr>
          <w:sz w:val="36"/>
          <w:szCs w:val="36"/>
          <w:rtl/>
        </w:rPr>
        <w:t xml:space="preserve"> </w:t>
      </w:r>
      <w:r w:rsidR="00D60767" w:rsidRPr="00FD211F">
        <w:rPr>
          <w:sz w:val="36"/>
          <w:szCs w:val="36"/>
          <w:rtl/>
        </w:rPr>
        <w:t>العملي</w:t>
      </w:r>
      <w:r w:rsidR="00E8128F">
        <w:rPr>
          <w:sz w:val="36"/>
          <w:szCs w:val="36"/>
          <w:rtl/>
        </w:rPr>
        <w:t xml:space="preserve"> </w:t>
      </w:r>
      <w:r w:rsidR="00D60767" w:rsidRPr="00FD211F">
        <w:rPr>
          <w:sz w:val="36"/>
          <w:szCs w:val="36"/>
          <w:rtl/>
        </w:rPr>
        <w:t>يدرك</w:t>
      </w:r>
      <w:r w:rsidR="00E8128F">
        <w:rPr>
          <w:sz w:val="36"/>
          <w:szCs w:val="36"/>
          <w:rtl/>
        </w:rPr>
        <w:t xml:space="preserve"> </w:t>
      </w:r>
      <w:r w:rsidR="00D60767" w:rsidRPr="00FD211F">
        <w:rPr>
          <w:sz w:val="36"/>
          <w:szCs w:val="36"/>
          <w:rtl/>
        </w:rPr>
        <w:t>قبح</w:t>
      </w:r>
      <w:r w:rsidR="00E8128F">
        <w:rPr>
          <w:sz w:val="36"/>
          <w:szCs w:val="36"/>
          <w:rtl/>
        </w:rPr>
        <w:t xml:space="preserve"> </w:t>
      </w:r>
      <w:r w:rsidR="00D60767" w:rsidRPr="00FD211F">
        <w:rPr>
          <w:sz w:val="36"/>
          <w:szCs w:val="36"/>
          <w:rtl/>
        </w:rPr>
        <w:t>جعل</w:t>
      </w:r>
      <w:r w:rsidR="00E8128F">
        <w:rPr>
          <w:sz w:val="36"/>
          <w:szCs w:val="36"/>
          <w:rtl/>
        </w:rPr>
        <w:t xml:space="preserve"> </w:t>
      </w:r>
      <w:r w:rsidR="00F60F90" w:rsidRPr="00FD211F">
        <w:rPr>
          <w:sz w:val="36"/>
          <w:szCs w:val="36"/>
          <w:rtl/>
        </w:rPr>
        <w:t>الشارع حكما على خلاف حكم العقل</w:t>
      </w:r>
      <w:r w:rsidRPr="00FD211F">
        <w:rPr>
          <w:sz w:val="36"/>
          <w:szCs w:val="36"/>
          <w:rtl/>
        </w:rPr>
        <w:t>.</w:t>
      </w:r>
    </w:p>
    <w:p w14:paraId="6E7AB7D5" w14:textId="77777777" w:rsidR="003259E9" w:rsidRPr="00FD211F" w:rsidRDefault="00187B8E" w:rsidP="00C7588D">
      <w:pPr>
        <w:ind w:left="0" w:firstLine="227"/>
        <w:jc w:val="both"/>
        <w:rPr>
          <w:sz w:val="36"/>
          <w:szCs w:val="36"/>
          <w:rtl/>
        </w:rPr>
      </w:pPr>
      <w:r w:rsidRPr="00FD211F">
        <w:rPr>
          <w:b/>
          <w:bCs/>
          <w:sz w:val="36"/>
          <w:szCs w:val="36"/>
          <w:rtl/>
        </w:rPr>
        <w:t>ومنها</w:t>
      </w:r>
      <w:r w:rsidRPr="00FD211F">
        <w:rPr>
          <w:sz w:val="36"/>
          <w:szCs w:val="36"/>
          <w:rtl/>
        </w:rPr>
        <w:t>: ان ما</w:t>
      </w:r>
      <w:r w:rsidR="00C7588D" w:rsidRPr="00FD211F">
        <w:rPr>
          <w:sz w:val="36"/>
          <w:szCs w:val="36"/>
          <w:rtl/>
        </w:rPr>
        <w:t xml:space="preserve"> </w:t>
      </w:r>
      <w:r w:rsidRPr="00FD211F">
        <w:rPr>
          <w:sz w:val="36"/>
          <w:szCs w:val="36"/>
          <w:rtl/>
        </w:rPr>
        <w:t>ذكره من ان</w:t>
      </w:r>
      <w:r w:rsidR="0044452A" w:rsidRPr="00FD211F">
        <w:rPr>
          <w:sz w:val="36"/>
          <w:szCs w:val="36"/>
          <w:rtl/>
        </w:rPr>
        <w:t>نانحتا</w:t>
      </w:r>
      <w:r w:rsidR="000E2C38" w:rsidRPr="00FD211F">
        <w:rPr>
          <w:sz w:val="36"/>
          <w:szCs w:val="36"/>
          <w:rtl/>
        </w:rPr>
        <w:t>ج</w:t>
      </w:r>
      <w:r w:rsidR="00C01CAD" w:rsidRPr="00FD211F">
        <w:rPr>
          <w:sz w:val="36"/>
          <w:szCs w:val="36"/>
          <w:rtl/>
        </w:rPr>
        <w:t xml:space="preserve"> الى ملاحظ</w:t>
      </w:r>
      <w:r w:rsidR="00EC7EDF" w:rsidRPr="00FD211F">
        <w:rPr>
          <w:sz w:val="36"/>
          <w:szCs w:val="36"/>
          <w:rtl/>
        </w:rPr>
        <w:t xml:space="preserve">ة </w:t>
      </w:r>
      <w:r w:rsidR="00C01CAD" w:rsidRPr="00FD211F">
        <w:rPr>
          <w:sz w:val="36"/>
          <w:szCs w:val="36"/>
          <w:rtl/>
        </w:rPr>
        <w:t>عد</w:t>
      </w:r>
      <w:r w:rsidR="00EC7EDF" w:rsidRPr="00FD211F">
        <w:rPr>
          <w:sz w:val="36"/>
          <w:szCs w:val="36"/>
          <w:rtl/>
        </w:rPr>
        <w:t xml:space="preserve">ة </w:t>
      </w:r>
      <w:r w:rsidR="00C01CAD" w:rsidRPr="00FD211F">
        <w:rPr>
          <w:sz w:val="36"/>
          <w:szCs w:val="36"/>
          <w:rtl/>
        </w:rPr>
        <w:t>اشخاص متفرقين</w:t>
      </w:r>
      <w:r w:rsidR="00603323" w:rsidRPr="00FD211F">
        <w:rPr>
          <w:sz w:val="36"/>
          <w:szCs w:val="36"/>
          <w:rtl/>
        </w:rPr>
        <w:t xml:space="preserve">، </w:t>
      </w:r>
      <w:r w:rsidR="000E2C38" w:rsidRPr="00FD211F">
        <w:rPr>
          <w:sz w:val="36"/>
          <w:szCs w:val="36"/>
          <w:rtl/>
        </w:rPr>
        <w:lastRenderedPageBreak/>
        <w:t>ل</w:t>
      </w:r>
      <w:r w:rsidRPr="00FD211F">
        <w:rPr>
          <w:sz w:val="36"/>
          <w:szCs w:val="36"/>
          <w:rtl/>
        </w:rPr>
        <w:t>نفي احتمال كون الارتكاز الشخصي ناش</w:t>
      </w:r>
      <w:r w:rsidR="000E2C38" w:rsidRPr="00FD211F">
        <w:rPr>
          <w:sz w:val="36"/>
          <w:szCs w:val="36"/>
          <w:rtl/>
        </w:rPr>
        <w:t>ئا من نكات تختص بهذا الشخص</w:t>
      </w:r>
      <w:r w:rsidR="00603323" w:rsidRPr="00FD211F">
        <w:rPr>
          <w:sz w:val="36"/>
          <w:szCs w:val="36"/>
          <w:rtl/>
        </w:rPr>
        <w:t xml:space="preserve">، </w:t>
      </w:r>
      <w:r w:rsidRPr="00FD211F">
        <w:rPr>
          <w:sz w:val="36"/>
          <w:szCs w:val="36"/>
          <w:rtl/>
        </w:rPr>
        <w:t>فيلاحظ عليه انه يمكن</w:t>
      </w:r>
      <w:r w:rsidR="00F60F90" w:rsidRPr="00FD211F">
        <w:rPr>
          <w:sz w:val="36"/>
          <w:szCs w:val="36"/>
          <w:rtl/>
        </w:rPr>
        <w:t xml:space="preserve"> احراز الارتكاز العقلائي العام باحساس الفقيه هذا الارتكاز في نفسه مع </w:t>
      </w:r>
      <w:r w:rsidR="005F14B7" w:rsidRPr="00FD211F">
        <w:rPr>
          <w:sz w:val="36"/>
          <w:szCs w:val="36"/>
          <w:rtl/>
        </w:rPr>
        <w:t>اطمئنانه بعدم نشوء هذا الارتكاز من</w:t>
      </w:r>
      <w:r w:rsidR="00A23662" w:rsidRPr="00FD211F">
        <w:rPr>
          <w:sz w:val="36"/>
          <w:szCs w:val="36"/>
          <w:rtl/>
        </w:rPr>
        <w:t xml:space="preserve"> منا</w:t>
      </w:r>
      <w:r w:rsidR="00251CB6" w:rsidRPr="00FD211F">
        <w:rPr>
          <w:sz w:val="36"/>
          <w:szCs w:val="36"/>
          <w:rtl/>
        </w:rPr>
        <w:t xml:space="preserve">شيء </w:t>
      </w:r>
      <w:r w:rsidR="005F14B7" w:rsidRPr="00FD211F">
        <w:rPr>
          <w:sz w:val="36"/>
          <w:szCs w:val="36"/>
          <w:rtl/>
        </w:rPr>
        <w:t>تختص به كالتربي</w:t>
      </w:r>
      <w:r w:rsidR="00EC7EDF" w:rsidRPr="00FD211F">
        <w:rPr>
          <w:sz w:val="36"/>
          <w:szCs w:val="36"/>
          <w:rtl/>
        </w:rPr>
        <w:t xml:space="preserve">ة </w:t>
      </w:r>
      <w:r w:rsidR="005F14B7" w:rsidRPr="00FD211F">
        <w:rPr>
          <w:sz w:val="36"/>
          <w:szCs w:val="36"/>
          <w:rtl/>
        </w:rPr>
        <w:t>العائلي</w:t>
      </w:r>
      <w:r w:rsidR="00EC7EDF" w:rsidRPr="00FD211F">
        <w:rPr>
          <w:sz w:val="36"/>
          <w:szCs w:val="36"/>
          <w:rtl/>
        </w:rPr>
        <w:t xml:space="preserve">ة </w:t>
      </w:r>
      <w:r w:rsidR="005F14B7" w:rsidRPr="00FD211F">
        <w:rPr>
          <w:sz w:val="36"/>
          <w:szCs w:val="36"/>
          <w:rtl/>
        </w:rPr>
        <w:t>ونحوها.</w:t>
      </w:r>
    </w:p>
    <w:p w14:paraId="74EB4B28" w14:textId="77777777" w:rsidR="00A95301" w:rsidRPr="00FD211F" w:rsidRDefault="00A95301" w:rsidP="009C58C8">
      <w:pPr>
        <w:pStyle w:val="3"/>
        <w:ind w:firstLine="227"/>
        <w:jc w:val="both"/>
        <w:rPr>
          <w:rtl/>
        </w:rPr>
        <w:sectPr w:rsidR="00A95301" w:rsidRPr="00FD211F" w:rsidSect="00D24300">
          <w:headerReference w:type="default" r:id="rId15"/>
          <w:headerReference w:type="first" r:id="rId16"/>
          <w:footnotePr>
            <w:numRestart w:val="eachPage"/>
          </w:footnotePr>
          <w:pgSz w:w="10319" w:h="14578" w:code="138"/>
          <w:pgMar w:top="1418" w:right="1701" w:bottom="1418" w:left="1701" w:header="1418" w:footer="964" w:gutter="0"/>
          <w:cols w:space="720"/>
          <w:titlePg/>
          <w:bidi/>
          <w:rtlGutter/>
          <w:docGrid w:linePitch="360"/>
        </w:sectPr>
      </w:pPr>
      <w:bookmarkStart w:id="53" w:name="_Toc151944584"/>
      <w:bookmarkStart w:id="54" w:name="_Toc154131711"/>
      <w:bookmarkStart w:id="55" w:name="_Toc156401499"/>
      <w:bookmarkStart w:id="56" w:name="درس005دقيقه22"/>
      <w:bookmarkStart w:id="57" w:name="_Toc192092845"/>
      <w:bookmarkEnd w:id="56"/>
    </w:p>
    <w:p w14:paraId="01AF2337" w14:textId="77777777" w:rsidR="007118B7" w:rsidRPr="00FD211F" w:rsidRDefault="007118B7" w:rsidP="009C58C8">
      <w:pPr>
        <w:pStyle w:val="3"/>
        <w:ind w:firstLine="227"/>
        <w:jc w:val="both"/>
        <w:rPr>
          <w:rtl/>
        </w:rPr>
      </w:pPr>
      <w:bookmarkStart w:id="58" w:name="_Toc223890312"/>
      <w:r w:rsidRPr="00FD211F">
        <w:rPr>
          <w:rtl/>
        </w:rPr>
        <w:lastRenderedPageBreak/>
        <w:t>موضوع علم الاصول</w:t>
      </w:r>
      <w:bookmarkEnd w:id="53"/>
      <w:bookmarkEnd w:id="54"/>
      <w:bookmarkEnd w:id="55"/>
      <w:bookmarkEnd w:id="57"/>
      <w:bookmarkEnd w:id="58"/>
    </w:p>
    <w:p w14:paraId="36E694D3" w14:textId="77777777" w:rsidR="007118B7" w:rsidRPr="00FD211F" w:rsidRDefault="007118B7" w:rsidP="009C58C8">
      <w:pPr>
        <w:ind w:left="0" w:firstLine="227"/>
        <w:jc w:val="both"/>
        <w:rPr>
          <w:sz w:val="36"/>
          <w:szCs w:val="36"/>
          <w:rtl/>
        </w:rPr>
      </w:pPr>
      <w:r w:rsidRPr="00FD211F">
        <w:rPr>
          <w:sz w:val="36"/>
          <w:szCs w:val="36"/>
          <w:rtl/>
        </w:rPr>
        <w:t>جرت عاد</w:t>
      </w:r>
      <w:r w:rsidR="00EC7EDF" w:rsidRPr="00FD211F">
        <w:rPr>
          <w:sz w:val="36"/>
          <w:szCs w:val="36"/>
          <w:rtl/>
        </w:rPr>
        <w:t xml:space="preserve">ة </w:t>
      </w:r>
      <w:r w:rsidRPr="00FD211F">
        <w:rPr>
          <w:sz w:val="36"/>
          <w:szCs w:val="36"/>
          <w:rtl/>
        </w:rPr>
        <w:t>علماء الاصول على ان يتعرضوا</w:t>
      </w:r>
      <w:r w:rsidR="00EF217D" w:rsidRPr="00FD211F">
        <w:rPr>
          <w:sz w:val="36"/>
          <w:szCs w:val="36"/>
          <w:rtl/>
        </w:rPr>
        <w:t xml:space="preserve"> -</w:t>
      </w:r>
      <w:r w:rsidRPr="00FD211F">
        <w:rPr>
          <w:sz w:val="36"/>
          <w:szCs w:val="36"/>
          <w:rtl/>
        </w:rPr>
        <w:t>بمناسب</w:t>
      </w:r>
      <w:r w:rsidR="00EC7EDF" w:rsidRPr="00FD211F">
        <w:rPr>
          <w:sz w:val="36"/>
          <w:szCs w:val="36"/>
          <w:rtl/>
        </w:rPr>
        <w:t xml:space="preserve">ة </w:t>
      </w:r>
      <w:r w:rsidRPr="00FD211F">
        <w:rPr>
          <w:sz w:val="36"/>
          <w:szCs w:val="36"/>
          <w:rtl/>
        </w:rPr>
        <w:t>الكلام حول موضوع علم الاصول</w:t>
      </w:r>
      <w:r w:rsidR="00EF217D" w:rsidRPr="00FD211F">
        <w:rPr>
          <w:sz w:val="36"/>
          <w:szCs w:val="36"/>
          <w:rtl/>
        </w:rPr>
        <w:t>-</w:t>
      </w:r>
      <w:r w:rsidRPr="00FD211F">
        <w:rPr>
          <w:sz w:val="36"/>
          <w:szCs w:val="36"/>
          <w:rtl/>
        </w:rPr>
        <w:t xml:space="preserve"> </w:t>
      </w:r>
      <w:r w:rsidR="00EF217D" w:rsidRPr="00FD211F">
        <w:rPr>
          <w:sz w:val="36"/>
          <w:szCs w:val="36"/>
          <w:rtl/>
        </w:rPr>
        <w:t>ل</w:t>
      </w:r>
      <w:r w:rsidR="00B27E8D" w:rsidRPr="00FD211F">
        <w:rPr>
          <w:sz w:val="36"/>
          <w:szCs w:val="36"/>
          <w:rtl/>
        </w:rPr>
        <w:t>لبحث اولا عن لزوم وحد</w:t>
      </w:r>
      <w:r w:rsidR="00EC7EDF" w:rsidRPr="00FD211F">
        <w:rPr>
          <w:sz w:val="36"/>
          <w:szCs w:val="36"/>
          <w:rtl/>
        </w:rPr>
        <w:t xml:space="preserve">ة </w:t>
      </w:r>
      <w:r w:rsidR="00B27E8D" w:rsidRPr="00FD211F">
        <w:rPr>
          <w:sz w:val="36"/>
          <w:szCs w:val="36"/>
          <w:rtl/>
        </w:rPr>
        <w:t>موضوع العلم</w:t>
      </w:r>
      <w:r w:rsidR="00603323" w:rsidRPr="00FD211F">
        <w:rPr>
          <w:sz w:val="36"/>
          <w:szCs w:val="36"/>
          <w:rtl/>
        </w:rPr>
        <w:t xml:space="preserve">، </w:t>
      </w:r>
      <w:r w:rsidR="00B27E8D" w:rsidRPr="00FD211F">
        <w:rPr>
          <w:sz w:val="36"/>
          <w:szCs w:val="36"/>
          <w:rtl/>
        </w:rPr>
        <w:t>والبحث ثانيا عن معنى العرض الذاتي والغريب</w:t>
      </w:r>
      <w:r w:rsidR="00603323" w:rsidRPr="00FD211F">
        <w:rPr>
          <w:sz w:val="36"/>
          <w:szCs w:val="36"/>
          <w:rtl/>
        </w:rPr>
        <w:t xml:space="preserve">، </w:t>
      </w:r>
      <w:r w:rsidR="00B27E8D" w:rsidRPr="00FD211F">
        <w:rPr>
          <w:sz w:val="36"/>
          <w:szCs w:val="36"/>
          <w:rtl/>
        </w:rPr>
        <w:t>حيث يقال بان موضوع كل علم ما يبحث فيه عن عوارضه الذاتي</w:t>
      </w:r>
      <w:r w:rsidR="00EC7EDF" w:rsidRPr="00FD211F">
        <w:rPr>
          <w:sz w:val="36"/>
          <w:szCs w:val="36"/>
          <w:rtl/>
        </w:rPr>
        <w:t>ة</w:t>
      </w:r>
      <w:r w:rsidR="00603323" w:rsidRPr="00FD211F">
        <w:rPr>
          <w:sz w:val="36"/>
          <w:szCs w:val="36"/>
          <w:rtl/>
        </w:rPr>
        <w:t xml:space="preserve">، </w:t>
      </w:r>
      <w:r w:rsidR="00B27E8D" w:rsidRPr="00FD211F">
        <w:rPr>
          <w:sz w:val="36"/>
          <w:szCs w:val="36"/>
          <w:rtl/>
        </w:rPr>
        <w:t>ولأجل ذلك نقدم هذين البحثين على البحث عن تشخيص موضوع علم الاصول</w:t>
      </w:r>
      <w:r w:rsidR="00A8680A" w:rsidRPr="00FD211F">
        <w:rPr>
          <w:sz w:val="36"/>
          <w:szCs w:val="36"/>
          <w:rtl/>
        </w:rPr>
        <w:t>.</w:t>
      </w:r>
    </w:p>
    <w:p w14:paraId="46E84410" w14:textId="77777777" w:rsidR="00A8680A" w:rsidRPr="00FD211F" w:rsidRDefault="00A8680A" w:rsidP="009C58C8">
      <w:pPr>
        <w:pStyle w:val="3"/>
        <w:ind w:firstLine="227"/>
        <w:jc w:val="both"/>
        <w:rPr>
          <w:rtl/>
        </w:rPr>
      </w:pPr>
      <w:bookmarkStart w:id="59" w:name="_Toc151944585"/>
      <w:bookmarkStart w:id="60" w:name="_Toc154131712"/>
      <w:bookmarkStart w:id="61" w:name="_Toc156401500"/>
      <w:bookmarkStart w:id="62" w:name="_Toc192092846"/>
      <w:bookmarkStart w:id="63" w:name="_Toc223890313"/>
      <w:r w:rsidRPr="00FD211F">
        <w:rPr>
          <w:rtl/>
        </w:rPr>
        <w:t>موضوع العلم</w:t>
      </w:r>
      <w:bookmarkEnd w:id="59"/>
      <w:bookmarkEnd w:id="60"/>
      <w:bookmarkEnd w:id="61"/>
      <w:bookmarkEnd w:id="62"/>
      <w:bookmarkEnd w:id="63"/>
    </w:p>
    <w:p w14:paraId="5787E963" w14:textId="77777777" w:rsidR="00D50247" w:rsidRPr="00FD211F" w:rsidRDefault="00A8680A" w:rsidP="009C58C8">
      <w:pPr>
        <w:ind w:left="0" w:firstLine="227"/>
        <w:jc w:val="both"/>
        <w:rPr>
          <w:sz w:val="36"/>
          <w:szCs w:val="36"/>
          <w:rtl/>
        </w:rPr>
      </w:pPr>
      <w:r w:rsidRPr="00FD211F">
        <w:rPr>
          <w:sz w:val="36"/>
          <w:szCs w:val="36"/>
          <w:rtl/>
        </w:rPr>
        <w:t>ذكر المشهور انه يلزم ان يكون لكل علم موضوع واحد تكون نسبته الى موضوعات مسائل ذلك العلم نسب</w:t>
      </w:r>
      <w:r w:rsidR="00EC7EDF" w:rsidRPr="00FD211F">
        <w:rPr>
          <w:sz w:val="36"/>
          <w:szCs w:val="36"/>
          <w:rtl/>
        </w:rPr>
        <w:t xml:space="preserve">ة </w:t>
      </w:r>
      <w:r w:rsidRPr="00FD211F">
        <w:rPr>
          <w:sz w:val="36"/>
          <w:szCs w:val="36"/>
          <w:rtl/>
        </w:rPr>
        <w:t>الكلي الى فرده</w:t>
      </w:r>
      <w:r w:rsidR="00603323" w:rsidRPr="00FD211F">
        <w:rPr>
          <w:sz w:val="36"/>
          <w:szCs w:val="36"/>
          <w:rtl/>
        </w:rPr>
        <w:t xml:space="preserve">، </w:t>
      </w:r>
      <w:r w:rsidRPr="00FD211F">
        <w:rPr>
          <w:sz w:val="36"/>
          <w:szCs w:val="36"/>
          <w:rtl/>
        </w:rPr>
        <w:t>مثل الكلم</w:t>
      </w:r>
      <w:r w:rsidR="00EC7EDF" w:rsidRPr="00FD211F">
        <w:rPr>
          <w:sz w:val="36"/>
          <w:szCs w:val="36"/>
          <w:rtl/>
        </w:rPr>
        <w:t xml:space="preserve">ة </w:t>
      </w:r>
      <w:r w:rsidRPr="00FD211F">
        <w:rPr>
          <w:sz w:val="36"/>
          <w:szCs w:val="36"/>
          <w:rtl/>
        </w:rPr>
        <w:t>العربي</w:t>
      </w:r>
      <w:r w:rsidR="00EC7EDF" w:rsidRPr="00FD211F">
        <w:rPr>
          <w:sz w:val="36"/>
          <w:szCs w:val="36"/>
          <w:rtl/>
        </w:rPr>
        <w:t xml:space="preserve">ة </w:t>
      </w:r>
      <w:r w:rsidRPr="00FD211F">
        <w:rPr>
          <w:sz w:val="36"/>
          <w:szCs w:val="36"/>
          <w:rtl/>
        </w:rPr>
        <w:t>التي هي موضوع علم النحو ونسبتها الى موضوعات مسائله كالمبتدأ والخبر والفاعل والمفعول ونحو ذلك نسب</w:t>
      </w:r>
      <w:r w:rsidR="00EC7EDF" w:rsidRPr="00FD211F">
        <w:rPr>
          <w:sz w:val="36"/>
          <w:szCs w:val="36"/>
          <w:rtl/>
        </w:rPr>
        <w:t xml:space="preserve">ة </w:t>
      </w:r>
      <w:r w:rsidRPr="00FD211F">
        <w:rPr>
          <w:sz w:val="36"/>
          <w:szCs w:val="36"/>
          <w:rtl/>
        </w:rPr>
        <w:t>الكلي الى فرده</w:t>
      </w:r>
      <w:r w:rsidR="00D50247" w:rsidRPr="00FD211F">
        <w:rPr>
          <w:sz w:val="36"/>
          <w:szCs w:val="36"/>
          <w:rtl/>
        </w:rPr>
        <w:t>.</w:t>
      </w:r>
    </w:p>
    <w:p w14:paraId="1411510F" w14:textId="77777777" w:rsidR="00A8680A" w:rsidRPr="00FD211F" w:rsidRDefault="00A8680A" w:rsidP="009C58C8">
      <w:pPr>
        <w:ind w:left="0" w:firstLine="227"/>
        <w:jc w:val="both"/>
        <w:rPr>
          <w:sz w:val="36"/>
          <w:szCs w:val="36"/>
          <w:rtl/>
        </w:rPr>
      </w:pPr>
      <w:r w:rsidRPr="00FD211F">
        <w:rPr>
          <w:sz w:val="36"/>
          <w:szCs w:val="36"/>
          <w:rtl/>
        </w:rPr>
        <w:t>وقد استدل على لزوم وحد</w:t>
      </w:r>
      <w:r w:rsidR="00EC7EDF" w:rsidRPr="00FD211F">
        <w:rPr>
          <w:sz w:val="36"/>
          <w:szCs w:val="36"/>
          <w:rtl/>
        </w:rPr>
        <w:t xml:space="preserve">ة </w:t>
      </w:r>
      <w:r w:rsidRPr="00FD211F">
        <w:rPr>
          <w:sz w:val="36"/>
          <w:szCs w:val="36"/>
          <w:rtl/>
        </w:rPr>
        <w:t xml:space="preserve">موضوع العلم </w:t>
      </w:r>
      <w:r w:rsidR="009810B9" w:rsidRPr="00FD211F">
        <w:rPr>
          <w:sz w:val="36"/>
          <w:szCs w:val="36"/>
          <w:rtl/>
        </w:rPr>
        <w:t>بوجهين</w:t>
      </w:r>
      <w:r w:rsidRPr="00FD211F">
        <w:rPr>
          <w:sz w:val="36"/>
          <w:szCs w:val="36"/>
          <w:rtl/>
        </w:rPr>
        <w:t>:</w:t>
      </w:r>
    </w:p>
    <w:p w14:paraId="775F7AF9" w14:textId="77777777" w:rsidR="00C14921" w:rsidRPr="00FD211F" w:rsidRDefault="00C14921" w:rsidP="009C58C8">
      <w:pPr>
        <w:ind w:left="0" w:firstLine="227"/>
        <w:jc w:val="both"/>
        <w:rPr>
          <w:sz w:val="36"/>
          <w:szCs w:val="36"/>
          <w:rtl/>
        </w:rPr>
      </w:pPr>
      <w:r w:rsidRPr="00FD211F">
        <w:rPr>
          <w:b/>
          <w:bCs/>
          <w:sz w:val="36"/>
          <w:szCs w:val="36"/>
          <w:rtl/>
        </w:rPr>
        <w:t>الأول</w:t>
      </w:r>
      <w:r w:rsidRPr="00FD211F">
        <w:rPr>
          <w:sz w:val="36"/>
          <w:szCs w:val="36"/>
          <w:rtl/>
        </w:rPr>
        <w:t>:</w:t>
      </w:r>
      <w:r w:rsidR="00A8680A" w:rsidRPr="00FD211F">
        <w:rPr>
          <w:sz w:val="36"/>
          <w:szCs w:val="36"/>
          <w:rtl/>
        </w:rPr>
        <w:t xml:space="preserve"> ان تمايز العلوم بتمايز موضوعاتها فلابد ان يكون لكل علم موضوع واحد والا لتداخلت العلوم فيما بينه</w:t>
      </w:r>
      <w:r w:rsidRPr="00FD211F">
        <w:rPr>
          <w:sz w:val="36"/>
          <w:szCs w:val="36"/>
          <w:rtl/>
        </w:rPr>
        <w:t>ا.</w:t>
      </w:r>
    </w:p>
    <w:p w14:paraId="24FD8A16" w14:textId="77777777" w:rsidR="00C14921" w:rsidRPr="00FD211F" w:rsidRDefault="00A8680A" w:rsidP="009C58C8">
      <w:pPr>
        <w:ind w:left="0" w:firstLine="227"/>
        <w:jc w:val="both"/>
        <w:rPr>
          <w:sz w:val="36"/>
          <w:szCs w:val="36"/>
          <w:rtl/>
        </w:rPr>
      </w:pPr>
      <w:r w:rsidRPr="00FD211F">
        <w:rPr>
          <w:sz w:val="36"/>
          <w:szCs w:val="36"/>
          <w:rtl/>
        </w:rPr>
        <w:t>واورد عليه صاحب الكفاي</w:t>
      </w:r>
      <w:r w:rsidR="00EC7EDF" w:rsidRPr="00FD211F">
        <w:rPr>
          <w:sz w:val="36"/>
          <w:szCs w:val="36"/>
          <w:rtl/>
        </w:rPr>
        <w:t>ة</w:t>
      </w:r>
      <w:r w:rsidR="008D7B3D" w:rsidRPr="00FD211F">
        <w:rPr>
          <w:sz w:val="36"/>
          <w:szCs w:val="36"/>
          <w:rtl/>
        </w:rPr>
        <w:t xml:space="preserve"> </w:t>
      </w:r>
      <w:r w:rsidR="00A61BAE" w:rsidRPr="00FD211F">
        <w:rPr>
          <w:sz w:val="36"/>
          <w:szCs w:val="36"/>
          <w:rtl/>
        </w:rPr>
        <w:t xml:space="preserve">"قده" </w:t>
      </w:r>
      <w:r w:rsidR="00B66508" w:rsidRPr="00FD211F">
        <w:rPr>
          <w:sz w:val="36"/>
          <w:szCs w:val="36"/>
          <w:rtl/>
        </w:rPr>
        <w:t xml:space="preserve">بان تمايز العلوم بتمايز الاغراض </w:t>
      </w:r>
      <w:r w:rsidR="00B66508" w:rsidRPr="00FD211F">
        <w:rPr>
          <w:sz w:val="36"/>
          <w:szCs w:val="36"/>
          <w:rtl/>
        </w:rPr>
        <w:lastRenderedPageBreak/>
        <w:t>المترتب</w:t>
      </w:r>
      <w:r w:rsidR="00EC7EDF" w:rsidRPr="00FD211F">
        <w:rPr>
          <w:sz w:val="36"/>
          <w:szCs w:val="36"/>
          <w:rtl/>
        </w:rPr>
        <w:t xml:space="preserve">ة </w:t>
      </w:r>
      <w:r w:rsidR="00B66508" w:rsidRPr="00FD211F">
        <w:rPr>
          <w:sz w:val="36"/>
          <w:szCs w:val="36"/>
          <w:rtl/>
        </w:rPr>
        <w:t>عليها دون تمايز موضوعاتها</w:t>
      </w:r>
      <w:r w:rsidR="00603323" w:rsidRPr="00FD211F">
        <w:rPr>
          <w:sz w:val="36"/>
          <w:szCs w:val="36"/>
          <w:rtl/>
        </w:rPr>
        <w:t xml:space="preserve">، </w:t>
      </w:r>
      <w:r w:rsidR="00B66508" w:rsidRPr="00FD211F">
        <w:rPr>
          <w:sz w:val="36"/>
          <w:szCs w:val="36"/>
          <w:rtl/>
        </w:rPr>
        <w:t>والا لزم ان يكون كل باب بل كل مسأل</w:t>
      </w:r>
      <w:r w:rsidR="00EC7EDF" w:rsidRPr="00FD211F">
        <w:rPr>
          <w:sz w:val="36"/>
          <w:szCs w:val="36"/>
          <w:rtl/>
        </w:rPr>
        <w:t xml:space="preserve">ة </w:t>
      </w:r>
      <w:r w:rsidR="00B66508" w:rsidRPr="00FD211F">
        <w:rPr>
          <w:sz w:val="36"/>
          <w:szCs w:val="36"/>
          <w:rtl/>
        </w:rPr>
        <w:t>علم</w:t>
      </w:r>
      <w:r w:rsidR="00C14921" w:rsidRPr="00FD211F">
        <w:rPr>
          <w:sz w:val="36"/>
          <w:szCs w:val="36"/>
          <w:rtl/>
        </w:rPr>
        <w:t>ا مستقلا</w:t>
      </w:r>
      <w:r w:rsidR="00603323" w:rsidRPr="00FD211F">
        <w:rPr>
          <w:sz w:val="36"/>
          <w:szCs w:val="36"/>
          <w:rtl/>
        </w:rPr>
        <w:t xml:space="preserve">، </w:t>
      </w:r>
      <w:r w:rsidR="00C14921" w:rsidRPr="00FD211F">
        <w:rPr>
          <w:sz w:val="36"/>
          <w:szCs w:val="36"/>
          <w:rtl/>
        </w:rPr>
        <w:t>لتمايز موضوعه عن موضوع سائر المسائل</w:t>
      </w:r>
      <w:r w:rsidR="00B66508" w:rsidRPr="00FD211F">
        <w:rPr>
          <w:sz w:val="36"/>
          <w:szCs w:val="36"/>
          <w:rtl/>
        </w:rPr>
        <w:t xml:space="preserve"> وهو واضح الفساد</w:t>
      </w:r>
      <w:r w:rsidR="00C14921" w:rsidRPr="00FD211F">
        <w:rPr>
          <w:sz w:val="36"/>
          <w:szCs w:val="36"/>
          <w:rtl/>
        </w:rPr>
        <w:t>.</w:t>
      </w:r>
    </w:p>
    <w:p w14:paraId="2DA72990" w14:textId="77777777" w:rsidR="00FB069C" w:rsidRPr="00FD211F" w:rsidRDefault="00674CC2" w:rsidP="009C58C8">
      <w:pPr>
        <w:ind w:left="0" w:firstLine="227"/>
        <w:jc w:val="both"/>
        <w:rPr>
          <w:sz w:val="36"/>
          <w:szCs w:val="36"/>
          <w:rtl/>
        </w:rPr>
      </w:pPr>
      <w:r w:rsidRPr="00FD211F">
        <w:rPr>
          <w:sz w:val="36"/>
          <w:szCs w:val="36"/>
          <w:rtl/>
        </w:rPr>
        <w:t xml:space="preserve">وأجاب </w:t>
      </w:r>
      <w:r w:rsidR="00D50247" w:rsidRPr="00FD211F">
        <w:rPr>
          <w:sz w:val="36"/>
          <w:szCs w:val="36"/>
          <w:rtl/>
        </w:rPr>
        <w:t>السيد الصدر</w:t>
      </w:r>
      <w:r w:rsidR="00AB1B12" w:rsidRPr="00FD211F">
        <w:rPr>
          <w:sz w:val="36"/>
          <w:szCs w:val="36"/>
          <w:rtl/>
        </w:rPr>
        <w:t>"</w:t>
      </w:r>
      <w:r w:rsidR="00D50247" w:rsidRPr="00FD211F">
        <w:rPr>
          <w:sz w:val="36"/>
          <w:szCs w:val="36"/>
          <w:rtl/>
        </w:rPr>
        <w:t>قده</w:t>
      </w:r>
      <w:r w:rsidR="00AB1B12" w:rsidRPr="00FD211F">
        <w:rPr>
          <w:sz w:val="36"/>
          <w:szCs w:val="36"/>
          <w:rtl/>
        </w:rPr>
        <w:t>"</w:t>
      </w:r>
      <w:r w:rsidR="00D50247" w:rsidRPr="00FD211F">
        <w:rPr>
          <w:sz w:val="36"/>
          <w:szCs w:val="36"/>
          <w:rtl/>
        </w:rPr>
        <w:t xml:space="preserve"> عن هذا الإيراد</w:t>
      </w:r>
      <w:r w:rsidR="004E48F0" w:rsidRPr="00FD211F">
        <w:rPr>
          <w:sz w:val="36"/>
          <w:szCs w:val="36"/>
          <w:rtl/>
        </w:rPr>
        <w:t xml:space="preserve"> بانه بناء على ما يقولون من ان موضوع العلم هو ما يبحث فيه عن عوارضه الذاتي</w:t>
      </w:r>
      <w:r w:rsidR="00EC7EDF" w:rsidRPr="00FD211F">
        <w:rPr>
          <w:sz w:val="36"/>
          <w:szCs w:val="36"/>
          <w:rtl/>
        </w:rPr>
        <w:t>ة</w:t>
      </w:r>
      <w:r w:rsidR="00603323" w:rsidRPr="00FD211F">
        <w:rPr>
          <w:sz w:val="36"/>
          <w:szCs w:val="36"/>
          <w:rtl/>
        </w:rPr>
        <w:t xml:space="preserve">، </w:t>
      </w:r>
      <w:r w:rsidR="004E48F0" w:rsidRPr="00FD211F">
        <w:rPr>
          <w:sz w:val="36"/>
          <w:szCs w:val="36"/>
          <w:rtl/>
        </w:rPr>
        <w:t>ويقولون أيضا ان ما يعرض ال</w:t>
      </w:r>
      <w:r w:rsidR="008D7B3D" w:rsidRPr="00FD211F">
        <w:rPr>
          <w:sz w:val="36"/>
          <w:szCs w:val="36"/>
          <w:rtl/>
        </w:rPr>
        <w:t xml:space="preserve">شيء </w:t>
      </w:r>
      <w:r w:rsidR="004E48F0" w:rsidRPr="00FD211F">
        <w:rPr>
          <w:sz w:val="36"/>
          <w:szCs w:val="36"/>
          <w:rtl/>
        </w:rPr>
        <w:t>اذا كان عارضا ذاتيا لما هو اعم منه كان موضوع العلم هو ذاك الاعم</w:t>
      </w:r>
      <w:r w:rsidR="00603323" w:rsidRPr="00FD211F">
        <w:rPr>
          <w:sz w:val="36"/>
          <w:szCs w:val="36"/>
          <w:rtl/>
        </w:rPr>
        <w:t xml:space="preserve">، </w:t>
      </w:r>
      <w:r w:rsidR="004E48F0" w:rsidRPr="00FD211F">
        <w:rPr>
          <w:sz w:val="36"/>
          <w:szCs w:val="36"/>
          <w:rtl/>
        </w:rPr>
        <w:t>فاذاً يمكن ان يقال –حسب وجه</w:t>
      </w:r>
      <w:r w:rsidR="00EC7EDF" w:rsidRPr="00FD211F">
        <w:rPr>
          <w:sz w:val="36"/>
          <w:szCs w:val="36"/>
          <w:rtl/>
        </w:rPr>
        <w:t xml:space="preserve">ة </w:t>
      </w:r>
      <w:r w:rsidR="004E48F0" w:rsidRPr="00FD211F">
        <w:rPr>
          <w:sz w:val="36"/>
          <w:szCs w:val="36"/>
          <w:rtl/>
        </w:rPr>
        <w:t>نظرهم- ان موضوع كل علم هو ذاك الجامع الذي تعرضه العوارض الذاتي</w:t>
      </w:r>
      <w:r w:rsidR="00EC7EDF" w:rsidRPr="00FD211F">
        <w:rPr>
          <w:sz w:val="36"/>
          <w:szCs w:val="36"/>
          <w:rtl/>
        </w:rPr>
        <w:t xml:space="preserve">ة </w:t>
      </w:r>
      <w:r w:rsidR="004E48F0" w:rsidRPr="00FD211F">
        <w:rPr>
          <w:sz w:val="36"/>
          <w:szCs w:val="36"/>
          <w:rtl/>
        </w:rPr>
        <w:t xml:space="preserve">المبحوث عنها </w:t>
      </w:r>
      <w:r w:rsidR="00FB069C" w:rsidRPr="00FD211F">
        <w:rPr>
          <w:sz w:val="36"/>
          <w:szCs w:val="36"/>
          <w:rtl/>
        </w:rPr>
        <w:t>في ذلك العلم من دون ان تعرض على ما هو اعم من ذلك الجامع</w:t>
      </w:r>
      <w:r w:rsidR="00603323" w:rsidRPr="00FD211F">
        <w:rPr>
          <w:sz w:val="36"/>
          <w:szCs w:val="36"/>
          <w:rtl/>
        </w:rPr>
        <w:t xml:space="preserve">، </w:t>
      </w:r>
      <w:r w:rsidRPr="00FD211F">
        <w:rPr>
          <w:sz w:val="36"/>
          <w:szCs w:val="36"/>
          <w:rtl/>
        </w:rPr>
        <w:t>فموضوعات المسائل في كل علم تندرج تحت جامع</w:t>
      </w:r>
      <w:r w:rsidR="007572A0" w:rsidRPr="00FD211F">
        <w:rPr>
          <w:sz w:val="36"/>
          <w:szCs w:val="36"/>
          <w:rtl/>
        </w:rPr>
        <w:t xml:space="preserve"> ذاتي اعلى يكون منطبقا</w:t>
      </w:r>
      <w:r w:rsidRPr="00FD211F">
        <w:rPr>
          <w:sz w:val="36"/>
          <w:szCs w:val="36"/>
          <w:rtl/>
        </w:rPr>
        <w:t xml:space="preserve"> عليها</w:t>
      </w:r>
      <w:r w:rsidR="00603323" w:rsidRPr="00FD211F">
        <w:rPr>
          <w:sz w:val="36"/>
          <w:szCs w:val="36"/>
          <w:rtl/>
        </w:rPr>
        <w:t xml:space="preserve">، </w:t>
      </w:r>
      <w:r w:rsidR="007572A0" w:rsidRPr="00FD211F">
        <w:rPr>
          <w:sz w:val="36"/>
          <w:szCs w:val="36"/>
          <w:rtl/>
        </w:rPr>
        <w:t>ولأجل ذلك</w:t>
      </w:r>
      <w:r w:rsidR="00FB069C" w:rsidRPr="00FD211F">
        <w:rPr>
          <w:sz w:val="36"/>
          <w:szCs w:val="36"/>
          <w:rtl/>
        </w:rPr>
        <w:t xml:space="preserve"> </w:t>
      </w:r>
      <w:r w:rsidRPr="00FD211F">
        <w:rPr>
          <w:sz w:val="36"/>
          <w:szCs w:val="36"/>
          <w:rtl/>
        </w:rPr>
        <w:t>لايمكن اعتبار كل من</w:t>
      </w:r>
      <w:r w:rsidR="00FB069C" w:rsidRPr="00FD211F">
        <w:rPr>
          <w:sz w:val="36"/>
          <w:szCs w:val="36"/>
          <w:rtl/>
        </w:rPr>
        <w:t xml:space="preserve"> تلك المسائل</w:t>
      </w:r>
      <w:r w:rsidRPr="00FD211F">
        <w:rPr>
          <w:sz w:val="36"/>
          <w:szCs w:val="36"/>
          <w:rtl/>
        </w:rPr>
        <w:t xml:space="preserve"> علما </w:t>
      </w:r>
      <w:r w:rsidR="00FB069C" w:rsidRPr="00FD211F">
        <w:rPr>
          <w:sz w:val="36"/>
          <w:szCs w:val="36"/>
          <w:rtl/>
        </w:rPr>
        <w:t>على حد</w:t>
      </w:r>
      <w:r w:rsidR="00EC7EDF" w:rsidRPr="00FD211F">
        <w:rPr>
          <w:sz w:val="36"/>
          <w:szCs w:val="36"/>
          <w:rtl/>
        </w:rPr>
        <w:t>ة</w:t>
      </w:r>
      <w:r w:rsidR="00A61BAE" w:rsidRPr="00FD211F">
        <w:rPr>
          <w:sz w:val="36"/>
          <w:szCs w:val="36"/>
          <w:rtl/>
        </w:rPr>
        <w:t>.</w:t>
      </w:r>
    </w:p>
    <w:p w14:paraId="00F23C4D" w14:textId="77777777" w:rsidR="00A8680A" w:rsidRPr="00FD211F" w:rsidRDefault="00674CC2" w:rsidP="009C58C8">
      <w:pPr>
        <w:ind w:left="0" w:firstLine="227"/>
        <w:jc w:val="both"/>
        <w:rPr>
          <w:sz w:val="36"/>
          <w:szCs w:val="36"/>
          <w:rtl/>
        </w:rPr>
      </w:pPr>
      <w:r w:rsidRPr="00FD211F">
        <w:rPr>
          <w:sz w:val="36"/>
          <w:szCs w:val="36"/>
          <w:rtl/>
        </w:rPr>
        <w:t>نعم يرد على هذا الدليل انه اشبه بالمصادر</w:t>
      </w:r>
      <w:r w:rsidR="00EC7EDF" w:rsidRPr="00FD211F">
        <w:rPr>
          <w:sz w:val="36"/>
          <w:szCs w:val="36"/>
          <w:rtl/>
        </w:rPr>
        <w:t>ة</w:t>
      </w:r>
      <w:r w:rsidR="00603323" w:rsidRPr="00FD211F">
        <w:rPr>
          <w:sz w:val="36"/>
          <w:szCs w:val="36"/>
          <w:rtl/>
        </w:rPr>
        <w:t xml:space="preserve">، </w:t>
      </w:r>
      <w:r w:rsidRPr="00FD211F">
        <w:rPr>
          <w:sz w:val="36"/>
          <w:szCs w:val="36"/>
          <w:rtl/>
        </w:rPr>
        <w:t>حيث ان الإذعان بكون تمايز العلوم بتمايز موضوعات</w:t>
      </w:r>
      <w:r w:rsidR="00C14921" w:rsidRPr="00FD211F">
        <w:rPr>
          <w:sz w:val="36"/>
          <w:szCs w:val="36"/>
          <w:rtl/>
        </w:rPr>
        <w:t>ها</w:t>
      </w:r>
      <w:r w:rsidRPr="00FD211F">
        <w:rPr>
          <w:sz w:val="36"/>
          <w:szCs w:val="36"/>
          <w:rtl/>
        </w:rPr>
        <w:t xml:space="preserve"> فرع الاذعان ب</w:t>
      </w:r>
      <w:r w:rsidR="00C14921" w:rsidRPr="00FD211F">
        <w:rPr>
          <w:sz w:val="36"/>
          <w:szCs w:val="36"/>
          <w:rtl/>
        </w:rPr>
        <w:t xml:space="preserve">لزوم </w:t>
      </w:r>
      <w:r w:rsidRPr="00FD211F">
        <w:rPr>
          <w:sz w:val="36"/>
          <w:szCs w:val="36"/>
          <w:rtl/>
        </w:rPr>
        <w:t xml:space="preserve">وجود موضوع واحد لكل علم يتميز عن </w:t>
      </w:r>
      <w:r w:rsidRPr="00FD211F">
        <w:rPr>
          <w:sz w:val="36"/>
          <w:szCs w:val="36"/>
          <w:rtl/>
        </w:rPr>
        <w:lastRenderedPageBreak/>
        <w:t>موضوع العلوم الأخر</w:t>
      </w:r>
      <w:r w:rsidR="009C58C8" w:rsidRPr="00FD211F">
        <w:rPr>
          <w:rStyle w:val="a6"/>
          <w:sz w:val="36"/>
          <w:szCs w:val="36"/>
          <w:rtl/>
        </w:rPr>
        <w:t>(</w:t>
      </w:r>
      <w:r w:rsidR="009C58C8" w:rsidRPr="00FD211F">
        <w:rPr>
          <w:rStyle w:val="a6"/>
          <w:sz w:val="36"/>
          <w:szCs w:val="36"/>
          <w:rtl/>
        </w:rPr>
        <w:footnoteReference w:id="56"/>
      </w:r>
      <w:r w:rsidR="009C58C8" w:rsidRPr="00FD211F">
        <w:rPr>
          <w:rStyle w:val="a6"/>
          <w:sz w:val="36"/>
          <w:szCs w:val="36"/>
          <w:rtl/>
        </w:rPr>
        <w:t>)</w:t>
      </w:r>
      <w:r w:rsidR="001B7B2E" w:rsidRPr="00FD211F">
        <w:rPr>
          <w:sz w:val="36"/>
          <w:szCs w:val="36"/>
          <w:rtl/>
        </w:rPr>
        <w:t>.</w:t>
      </w:r>
    </w:p>
    <w:p w14:paraId="68001848" w14:textId="77777777" w:rsidR="0048119C" w:rsidRPr="00FD211F" w:rsidRDefault="00C14921" w:rsidP="009C58C8">
      <w:pPr>
        <w:ind w:left="0" w:firstLine="227"/>
        <w:jc w:val="both"/>
        <w:rPr>
          <w:sz w:val="36"/>
          <w:szCs w:val="36"/>
          <w:rtl/>
        </w:rPr>
      </w:pPr>
      <w:r w:rsidRPr="00FD211F">
        <w:rPr>
          <w:sz w:val="36"/>
          <w:szCs w:val="36"/>
          <w:rtl/>
        </w:rPr>
        <w:t>ويلاحظ على</w:t>
      </w:r>
      <w:r w:rsidR="00C96C7D" w:rsidRPr="00FD211F">
        <w:rPr>
          <w:sz w:val="36"/>
          <w:szCs w:val="36"/>
          <w:rtl/>
        </w:rPr>
        <w:t xml:space="preserve"> هذا ال</w:t>
      </w:r>
      <w:r w:rsidR="00BF0064" w:rsidRPr="00FD211F">
        <w:rPr>
          <w:sz w:val="36"/>
          <w:szCs w:val="36"/>
          <w:rtl/>
        </w:rPr>
        <w:t>جواب</w:t>
      </w:r>
      <w:r w:rsidRPr="00FD211F">
        <w:rPr>
          <w:sz w:val="36"/>
          <w:szCs w:val="36"/>
          <w:rtl/>
        </w:rPr>
        <w:t xml:space="preserve"> </w:t>
      </w:r>
      <w:r w:rsidR="00BF0064" w:rsidRPr="00FD211F">
        <w:rPr>
          <w:sz w:val="36"/>
          <w:szCs w:val="36"/>
          <w:rtl/>
        </w:rPr>
        <w:t>ان</w:t>
      </w:r>
      <w:r w:rsidR="00486421" w:rsidRPr="00FD211F">
        <w:rPr>
          <w:sz w:val="36"/>
          <w:szCs w:val="36"/>
          <w:rtl/>
        </w:rPr>
        <w:t xml:space="preserve"> ما ذكره المشهور </w:t>
      </w:r>
      <w:r w:rsidR="009D07B7" w:rsidRPr="00FD211F">
        <w:rPr>
          <w:sz w:val="36"/>
          <w:szCs w:val="36"/>
          <w:rtl/>
        </w:rPr>
        <w:t>-</w:t>
      </w:r>
      <w:r w:rsidR="00486421" w:rsidRPr="00FD211F">
        <w:rPr>
          <w:sz w:val="36"/>
          <w:szCs w:val="36"/>
          <w:rtl/>
        </w:rPr>
        <w:t>من ان موضوع كل علم ما يبحث فيه عن عوارضه الذاتي</w:t>
      </w:r>
      <w:r w:rsidR="00EC7EDF" w:rsidRPr="00FD211F">
        <w:rPr>
          <w:sz w:val="36"/>
          <w:szCs w:val="36"/>
          <w:rtl/>
        </w:rPr>
        <w:t xml:space="preserve">ة </w:t>
      </w:r>
      <w:r w:rsidR="00486421" w:rsidRPr="00FD211F">
        <w:rPr>
          <w:sz w:val="36"/>
          <w:szCs w:val="36"/>
          <w:rtl/>
        </w:rPr>
        <w:t>مع الالتزام بان المحمول الثابت بموضوع</w:t>
      </w:r>
      <w:r w:rsidR="009D07B7" w:rsidRPr="00FD211F">
        <w:rPr>
          <w:sz w:val="36"/>
          <w:szCs w:val="36"/>
          <w:rtl/>
        </w:rPr>
        <w:t xml:space="preserve"> بواسط</w:t>
      </w:r>
      <w:r w:rsidR="00EC7EDF" w:rsidRPr="00FD211F">
        <w:rPr>
          <w:sz w:val="36"/>
          <w:szCs w:val="36"/>
          <w:rtl/>
        </w:rPr>
        <w:t xml:space="preserve">ة </w:t>
      </w:r>
      <w:r w:rsidR="009D07B7" w:rsidRPr="00FD211F">
        <w:rPr>
          <w:sz w:val="36"/>
          <w:szCs w:val="36"/>
          <w:rtl/>
        </w:rPr>
        <w:t>اعم ليس عرضا ذاتيا له كقولنا الانسان ماشٍ</w:t>
      </w:r>
      <w:r w:rsidR="00603323" w:rsidRPr="00FD211F">
        <w:rPr>
          <w:sz w:val="36"/>
          <w:szCs w:val="36"/>
          <w:rtl/>
        </w:rPr>
        <w:t xml:space="preserve">، </w:t>
      </w:r>
      <w:r w:rsidR="009D07B7" w:rsidRPr="00FD211F">
        <w:rPr>
          <w:sz w:val="36"/>
          <w:szCs w:val="36"/>
          <w:rtl/>
        </w:rPr>
        <w:t>حيث ان ثبوت المش</w:t>
      </w:r>
      <w:r w:rsidR="00EE3784" w:rsidRPr="00FD211F">
        <w:rPr>
          <w:sz w:val="36"/>
          <w:szCs w:val="36"/>
          <w:rtl/>
        </w:rPr>
        <w:t>ي</w:t>
      </w:r>
      <w:r w:rsidR="009D07B7" w:rsidRPr="00FD211F">
        <w:rPr>
          <w:sz w:val="36"/>
          <w:szCs w:val="36"/>
          <w:rtl/>
        </w:rPr>
        <w:t xml:space="preserve"> للانسان</w:t>
      </w:r>
      <w:r w:rsidR="00EE3784" w:rsidRPr="00FD211F">
        <w:rPr>
          <w:sz w:val="36"/>
          <w:szCs w:val="36"/>
          <w:rtl/>
        </w:rPr>
        <w:t xml:space="preserve"> يكون</w:t>
      </w:r>
      <w:r w:rsidR="009D07B7" w:rsidRPr="00FD211F">
        <w:rPr>
          <w:sz w:val="36"/>
          <w:szCs w:val="36"/>
          <w:rtl/>
        </w:rPr>
        <w:t xml:space="preserve"> بواسط</w:t>
      </w:r>
      <w:r w:rsidR="00EC7EDF" w:rsidRPr="00FD211F">
        <w:rPr>
          <w:sz w:val="36"/>
          <w:szCs w:val="36"/>
          <w:rtl/>
        </w:rPr>
        <w:t xml:space="preserve">ة </w:t>
      </w:r>
      <w:r w:rsidR="009D07B7" w:rsidRPr="00FD211F">
        <w:rPr>
          <w:sz w:val="36"/>
          <w:szCs w:val="36"/>
          <w:rtl/>
        </w:rPr>
        <w:t>كونه حيوانا- لايمنع من انحلال علم واحد الى علوم متعدد</w:t>
      </w:r>
      <w:r w:rsidR="00EC7EDF" w:rsidRPr="00FD211F">
        <w:rPr>
          <w:sz w:val="36"/>
          <w:szCs w:val="36"/>
          <w:rtl/>
        </w:rPr>
        <w:t xml:space="preserve">ة </w:t>
      </w:r>
      <w:r w:rsidR="009D07B7" w:rsidRPr="00FD211F">
        <w:rPr>
          <w:sz w:val="36"/>
          <w:szCs w:val="36"/>
          <w:rtl/>
        </w:rPr>
        <w:t>نظير علم الطب</w:t>
      </w:r>
      <w:r w:rsidR="001B7B2E" w:rsidRPr="00FD211F">
        <w:rPr>
          <w:sz w:val="36"/>
          <w:szCs w:val="36"/>
          <w:rtl/>
        </w:rPr>
        <w:t xml:space="preserve"> </w:t>
      </w:r>
      <w:r w:rsidR="009D07B7" w:rsidRPr="00FD211F">
        <w:rPr>
          <w:sz w:val="36"/>
          <w:szCs w:val="36"/>
          <w:rtl/>
        </w:rPr>
        <w:t>الذي كان في السابق علما واحدا يكون الموضوع فيه جامع البدن</w:t>
      </w:r>
      <w:r w:rsidR="00603323" w:rsidRPr="00FD211F">
        <w:rPr>
          <w:sz w:val="36"/>
          <w:szCs w:val="36"/>
          <w:rtl/>
        </w:rPr>
        <w:t xml:space="preserve">، </w:t>
      </w:r>
      <w:r w:rsidR="009D07B7" w:rsidRPr="00FD211F">
        <w:rPr>
          <w:sz w:val="36"/>
          <w:szCs w:val="36"/>
          <w:rtl/>
        </w:rPr>
        <w:t>وبعد ما تطور علم الطب فالتجأوا الى تقسيمه الى علوم مختلف</w:t>
      </w:r>
      <w:r w:rsidR="00EC7EDF" w:rsidRPr="00FD211F">
        <w:rPr>
          <w:sz w:val="36"/>
          <w:szCs w:val="36"/>
          <w:rtl/>
        </w:rPr>
        <w:t xml:space="preserve">ة </w:t>
      </w:r>
      <w:r w:rsidR="009D07B7" w:rsidRPr="00FD211F">
        <w:rPr>
          <w:sz w:val="36"/>
          <w:szCs w:val="36"/>
          <w:rtl/>
        </w:rPr>
        <w:t>كطب العين الذي يكون الموضوع فيه هو العين وطب القلب الذي يكون الموضوع فيه هو القلب</w:t>
      </w:r>
      <w:r w:rsidR="00603323" w:rsidRPr="00FD211F">
        <w:rPr>
          <w:sz w:val="36"/>
          <w:szCs w:val="36"/>
          <w:rtl/>
        </w:rPr>
        <w:t xml:space="preserve">، </w:t>
      </w:r>
      <w:r w:rsidR="009D07B7" w:rsidRPr="00FD211F">
        <w:rPr>
          <w:sz w:val="36"/>
          <w:szCs w:val="36"/>
          <w:rtl/>
        </w:rPr>
        <w:t>وطب الاسنان الذي يكون الموضوع فيه الاسنان</w:t>
      </w:r>
      <w:r w:rsidR="00603323" w:rsidRPr="00FD211F">
        <w:rPr>
          <w:sz w:val="36"/>
          <w:szCs w:val="36"/>
          <w:rtl/>
        </w:rPr>
        <w:t xml:space="preserve">، </w:t>
      </w:r>
      <w:r w:rsidR="009D07B7" w:rsidRPr="00FD211F">
        <w:rPr>
          <w:sz w:val="36"/>
          <w:szCs w:val="36"/>
          <w:rtl/>
        </w:rPr>
        <w:t>وهكذا</w:t>
      </w:r>
      <w:r w:rsidR="00EC7EDF" w:rsidRPr="00FD211F">
        <w:rPr>
          <w:sz w:val="36"/>
          <w:szCs w:val="36"/>
          <w:rtl/>
        </w:rPr>
        <w:t>.</w:t>
      </w:r>
      <w:r w:rsidR="009D07B7" w:rsidRPr="00FD211F">
        <w:rPr>
          <w:sz w:val="36"/>
          <w:szCs w:val="36"/>
          <w:rtl/>
        </w:rPr>
        <w:t>..</w:t>
      </w:r>
      <w:r w:rsidR="00603323" w:rsidRPr="00FD211F">
        <w:rPr>
          <w:sz w:val="36"/>
          <w:szCs w:val="36"/>
          <w:rtl/>
        </w:rPr>
        <w:t xml:space="preserve">، </w:t>
      </w:r>
      <w:r w:rsidR="00EA17C7" w:rsidRPr="00FD211F">
        <w:rPr>
          <w:sz w:val="36"/>
          <w:szCs w:val="36"/>
          <w:rtl/>
        </w:rPr>
        <w:t>فانه بعد اختيار موضوع اخص لعلم الطب وهو العين مثلا فيلزم البحث عن خصوص العوارض الذاتي</w:t>
      </w:r>
      <w:r w:rsidR="00EC7EDF" w:rsidRPr="00FD211F">
        <w:rPr>
          <w:sz w:val="36"/>
          <w:szCs w:val="36"/>
          <w:rtl/>
        </w:rPr>
        <w:t xml:space="preserve">ة </w:t>
      </w:r>
      <w:r w:rsidR="00EA17C7" w:rsidRPr="00FD211F">
        <w:rPr>
          <w:sz w:val="36"/>
          <w:szCs w:val="36"/>
          <w:rtl/>
        </w:rPr>
        <w:t>للعين دون غيرها</w:t>
      </w:r>
      <w:r w:rsidR="00603323" w:rsidRPr="00FD211F">
        <w:rPr>
          <w:sz w:val="36"/>
          <w:szCs w:val="36"/>
          <w:rtl/>
        </w:rPr>
        <w:t xml:space="preserve">، </w:t>
      </w:r>
      <w:r w:rsidR="00EA17C7" w:rsidRPr="00FD211F">
        <w:rPr>
          <w:sz w:val="36"/>
          <w:szCs w:val="36"/>
          <w:rtl/>
        </w:rPr>
        <w:t>فالبحث عما يعرض العين بواسط</w:t>
      </w:r>
      <w:r w:rsidR="00EC7EDF" w:rsidRPr="00FD211F">
        <w:rPr>
          <w:sz w:val="36"/>
          <w:szCs w:val="36"/>
          <w:rtl/>
        </w:rPr>
        <w:t xml:space="preserve">ة </w:t>
      </w:r>
      <w:r w:rsidR="00EA17C7" w:rsidRPr="00FD211F">
        <w:rPr>
          <w:sz w:val="36"/>
          <w:szCs w:val="36"/>
          <w:rtl/>
        </w:rPr>
        <w:t>اعم يكون بناء على هذا المسلك خارجا عن مسائل علم طب العين</w:t>
      </w:r>
      <w:r w:rsidR="00603323" w:rsidRPr="00FD211F">
        <w:rPr>
          <w:sz w:val="36"/>
          <w:szCs w:val="36"/>
          <w:rtl/>
        </w:rPr>
        <w:t xml:space="preserve">، </w:t>
      </w:r>
      <w:r w:rsidR="00EA17C7" w:rsidRPr="00FD211F">
        <w:rPr>
          <w:sz w:val="36"/>
          <w:szCs w:val="36"/>
          <w:rtl/>
        </w:rPr>
        <w:t xml:space="preserve">بينما أنه في السابق كان موضوع علم الطب هو </w:t>
      </w:r>
      <w:r w:rsidR="00EA17C7" w:rsidRPr="00FD211F">
        <w:rPr>
          <w:sz w:val="36"/>
          <w:szCs w:val="36"/>
          <w:rtl/>
        </w:rPr>
        <w:lastRenderedPageBreak/>
        <w:t xml:space="preserve">البدن </w:t>
      </w:r>
      <w:r w:rsidR="00EE3784" w:rsidRPr="00FD211F">
        <w:rPr>
          <w:sz w:val="36"/>
          <w:szCs w:val="36"/>
          <w:rtl/>
        </w:rPr>
        <w:t>وكان يبحث فيه عن عوارضه الذاتي</w:t>
      </w:r>
      <w:r w:rsidR="00EC7EDF" w:rsidRPr="00FD211F">
        <w:rPr>
          <w:sz w:val="36"/>
          <w:szCs w:val="36"/>
          <w:rtl/>
        </w:rPr>
        <w:t xml:space="preserve">ة </w:t>
      </w:r>
      <w:r w:rsidR="00EE3784" w:rsidRPr="00FD211F">
        <w:rPr>
          <w:sz w:val="36"/>
          <w:szCs w:val="36"/>
          <w:rtl/>
        </w:rPr>
        <w:t>من غير فرق بين ان تكون عوارض العين او غيرها من سائر أعضاء البدن</w:t>
      </w:r>
      <w:r w:rsidR="00603323" w:rsidRPr="00FD211F">
        <w:rPr>
          <w:sz w:val="36"/>
          <w:szCs w:val="36"/>
          <w:rtl/>
        </w:rPr>
        <w:t xml:space="preserve">، </w:t>
      </w:r>
      <w:r w:rsidR="00EA17C7" w:rsidRPr="00FD211F">
        <w:rPr>
          <w:sz w:val="36"/>
          <w:szCs w:val="36"/>
          <w:rtl/>
        </w:rPr>
        <w:t xml:space="preserve">وعليه </w:t>
      </w:r>
      <w:r w:rsidR="00EE3784" w:rsidRPr="00FD211F">
        <w:rPr>
          <w:sz w:val="36"/>
          <w:szCs w:val="36"/>
          <w:rtl/>
        </w:rPr>
        <w:t xml:space="preserve">فلايمكن </w:t>
      </w:r>
      <w:r w:rsidR="00FD71DD" w:rsidRPr="00FD211F">
        <w:rPr>
          <w:sz w:val="36"/>
          <w:szCs w:val="36"/>
          <w:rtl/>
        </w:rPr>
        <w:t xml:space="preserve">تحديد الجامع الذي يكون موضوع العلم </w:t>
      </w:r>
      <w:r w:rsidR="00DB1449" w:rsidRPr="00FD211F">
        <w:rPr>
          <w:sz w:val="36"/>
          <w:szCs w:val="36"/>
          <w:rtl/>
        </w:rPr>
        <w:t xml:space="preserve">الا </w:t>
      </w:r>
      <w:r w:rsidR="00FD71DD" w:rsidRPr="00FD211F">
        <w:rPr>
          <w:sz w:val="36"/>
          <w:szCs w:val="36"/>
          <w:rtl/>
        </w:rPr>
        <w:t>بملاحظ</w:t>
      </w:r>
      <w:r w:rsidR="00EC7EDF" w:rsidRPr="00FD211F">
        <w:rPr>
          <w:sz w:val="36"/>
          <w:szCs w:val="36"/>
          <w:rtl/>
        </w:rPr>
        <w:t xml:space="preserve">ة </w:t>
      </w:r>
      <w:r w:rsidR="00FD71DD" w:rsidRPr="00FD211F">
        <w:rPr>
          <w:sz w:val="36"/>
          <w:szCs w:val="36"/>
          <w:rtl/>
        </w:rPr>
        <w:t>غرض التدوين</w:t>
      </w:r>
      <w:r w:rsidR="00603323" w:rsidRPr="00FD211F">
        <w:rPr>
          <w:sz w:val="36"/>
          <w:szCs w:val="36"/>
          <w:rtl/>
        </w:rPr>
        <w:t xml:space="preserve">، </w:t>
      </w:r>
      <w:r w:rsidR="00FD71DD" w:rsidRPr="00FD211F">
        <w:rPr>
          <w:sz w:val="36"/>
          <w:szCs w:val="36"/>
          <w:rtl/>
        </w:rPr>
        <w:t>فما ذكره صاحب الكفاي</w:t>
      </w:r>
      <w:r w:rsidR="00EC7EDF" w:rsidRPr="00FD211F">
        <w:rPr>
          <w:sz w:val="36"/>
          <w:szCs w:val="36"/>
          <w:rtl/>
        </w:rPr>
        <w:t xml:space="preserve">ة </w:t>
      </w:r>
      <w:r w:rsidR="00C01CAD" w:rsidRPr="00FD211F">
        <w:rPr>
          <w:sz w:val="36"/>
          <w:szCs w:val="36"/>
          <w:rtl/>
        </w:rPr>
        <w:t>"قده"</w:t>
      </w:r>
      <w:r w:rsidR="00FD71DD" w:rsidRPr="00FD211F">
        <w:rPr>
          <w:sz w:val="36"/>
          <w:szCs w:val="36"/>
          <w:rtl/>
        </w:rPr>
        <w:t xml:space="preserve"> من ان تمايز العلوم بتمايز الاغراض المترتب</w:t>
      </w:r>
      <w:r w:rsidR="00EC7EDF" w:rsidRPr="00FD211F">
        <w:rPr>
          <w:sz w:val="36"/>
          <w:szCs w:val="36"/>
          <w:rtl/>
        </w:rPr>
        <w:t xml:space="preserve">ة </w:t>
      </w:r>
      <w:r w:rsidR="00FD71DD" w:rsidRPr="00FD211F">
        <w:rPr>
          <w:sz w:val="36"/>
          <w:szCs w:val="36"/>
          <w:rtl/>
        </w:rPr>
        <w:t>عليها تام جدّا</w:t>
      </w:r>
      <w:r w:rsidR="0048119C" w:rsidRPr="00FD211F">
        <w:rPr>
          <w:sz w:val="36"/>
          <w:szCs w:val="36"/>
          <w:rtl/>
        </w:rPr>
        <w:t>.</w:t>
      </w:r>
    </w:p>
    <w:p w14:paraId="66B078D7" w14:textId="77777777" w:rsidR="001B7B2E" w:rsidRPr="00FD211F" w:rsidRDefault="00FD71DD" w:rsidP="009C58C8">
      <w:pPr>
        <w:ind w:left="0" w:firstLine="227"/>
        <w:jc w:val="both"/>
        <w:rPr>
          <w:sz w:val="36"/>
          <w:szCs w:val="36"/>
          <w:rtl/>
        </w:rPr>
      </w:pPr>
      <w:r w:rsidRPr="00FD211F">
        <w:rPr>
          <w:sz w:val="36"/>
          <w:szCs w:val="36"/>
          <w:rtl/>
        </w:rPr>
        <w:t>و</w:t>
      </w:r>
      <w:r w:rsidR="00DB1449" w:rsidRPr="00FD211F">
        <w:rPr>
          <w:sz w:val="36"/>
          <w:szCs w:val="36"/>
          <w:rtl/>
        </w:rPr>
        <w:t xml:space="preserve">لايخفى انه </w:t>
      </w:r>
      <w:r w:rsidRPr="00FD211F">
        <w:rPr>
          <w:sz w:val="36"/>
          <w:szCs w:val="36"/>
          <w:rtl/>
        </w:rPr>
        <w:t>ليس المقصود من غرض</w:t>
      </w:r>
      <w:r w:rsidR="00DB1449" w:rsidRPr="00FD211F">
        <w:rPr>
          <w:sz w:val="36"/>
          <w:szCs w:val="36"/>
          <w:rtl/>
        </w:rPr>
        <w:t xml:space="preserve"> التدوين</w:t>
      </w:r>
      <w:r w:rsidRPr="00FD211F">
        <w:rPr>
          <w:sz w:val="36"/>
          <w:szCs w:val="36"/>
          <w:rtl/>
        </w:rPr>
        <w:t xml:space="preserve"> </w:t>
      </w:r>
      <w:r w:rsidR="00015A2C" w:rsidRPr="00FD211F">
        <w:rPr>
          <w:sz w:val="36"/>
          <w:szCs w:val="36"/>
          <w:rtl/>
        </w:rPr>
        <w:t>هو الغرض الشخصي</w:t>
      </w:r>
      <w:r w:rsidR="00DB1449" w:rsidRPr="00FD211F">
        <w:rPr>
          <w:sz w:val="36"/>
          <w:szCs w:val="36"/>
          <w:rtl/>
        </w:rPr>
        <w:t xml:space="preserve"> للمدونين والذي قد</w:t>
      </w:r>
      <w:r w:rsidR="00015A2C" w:rsidRPr="00FD211F">
        <w:rPr>
          <w:sz w:val="36"/>
          <w:szCs w:val="36"/>
          <w:rtl/>
        </w:rPr>
        <w:t xml:space="preserve"> يختلف من شخص الى آخر</w:t>
      </w:r>
      <w:r w:rsidR="00DB1449" w:rsidRPr="00FD211F">
        <w:rPr>
          <w:sz w:val="36"/>
          <w:szCs w:val="36"/>
          <w:rtl/>
        </w:rPr>
        <w:t xml:space="preserve"> ك</w:t>
      </w:r>
      <w:r w:rsidR="00015A2C" w:rsidRPr="00FD211F">
        <w:rPr>
          <w:sz w:val="36"/>
          <w:szCs w:val="36"/>
          <w:rtl/>
        </w:rPr>
        <w:t>اكتساب المال ونحوه</w:t>
      </w:r>
      <w:r w:rsidR="00603323" w:rsidRPr="00FD211F">
        <w:rPr>
          <w:sz w:val="36"/>
          <w:szCs w:val="36"/>
          <w:rtl/>
        </w:rPr>
        <w:t xml:space="preserve">، </w:t>
      </w:r>
      <w:r w:rsidR="00015A2C" w:rsidRPr="00FD211F">
        <w:rPr>
          <w:sz w:val="36"/>
          <w:szCs w:val="36"/>
          <w:rtl/>
        </w:rPr>
        <w:t>بل المراد منه الغرض الذاتي المترتب على العلم</w:t>
      </w:r>
      <w:r w:rsidR="00603323" w:rsidRPr="00FD211F">
        <w:rPr>
          <w:sz w:val="36"/>
          <w:szCs w:val="36"/>
          <w:rtl/>
        </w:rPr>
        <w:t xml:space="preserve">، </w:t>
      </w:r>
      <w:r w:rsidR="00015A2C" w:rsidRPr="00FD211F">
        <w:rPr>
          <w:sz w:val="36"/>
          <w:szCs w:val="36"/>
          <w:rtl/>
        </w:rPr>
        <w:t xml:space="preserve">ولكن حيث ان هناك غرضا </w:t>
      </w:r>
      <w:r w:rsidR="0048119C" w:rsidRPr="00FD211F">
        <w:rPr>
          <w:sz w:val="36"/>
          <w:szCs w:val="36"/>
          <w:rtl/>
        </w:rPr>
        <w:t>اعم وهو صح</w:t>
      </w:r>
      <w:r w:rsidR="00EC7EDF" w:rsidRPr="00FD211F">
        <w:rPr>
          <w:sz w:val="36"/>
          <w:szCs w:val="36"/>
          <w:rtl/>
        </w:rPr>
        <w:t xml:space="preserve">ة </w:t>
      </w:r>
      <w:r w:rsidR="0048119C" w:rsidRPr="00FD211F">
        <w:rPr>
          <w:sz w:val="36"/>
          <w:szCs w:val="36"/>
          <w:rtl/>
        </w:rPr>
        <w:t>البدن مثلا في علم الطب</w:t>
      </w:r>
      <w:r w:rsidR="00603323" w:rsidRPr="00FD211F">
        <w:rPr>
          <w:sz w:val="36"/>
          <w:szCs w:val="36"/>
          <w:rtl/>
        </w:rPr>
        <w:t xml:space="preserve">، </w:t>
      </w:r>
      <w:r w:rsidR="0048119C" w:rsidRPr="00FD211F">
        <w:rPr>
          <w:sz w:val="36"/>
          <w:szCs w:val="36"/>
          <w:rtl/>
        </w:rPr>
        <w:t>وغرضا اخص وهو صح</w:t>
      </w:r>
      <w:r w:rsidR="00EC7EDF" w:rsidRPr="00FD211F">
        <w:rPr>
          <w:sz w:val="36"/>
          <w:szCs w:val="36"/>
          <w:rtl/>
        </w:rPr>
        <w:t xml:space="preserve">ة </w:t>
      </w:r>
      <w:r w:rsidR="0048119C" w:rsidRPr="00FD211F">
        <w:rPr>
          <w:sz w:val="36"/>
          <w:szCs w:val="36"/>
          <w:rtl/>
        </w:rPr>
        <w:t>العين مثلا في علم طب العين</w:t>
      </w:r>
      <w:r w:rsidR="00015A2C" w:rsidRPr="00FD211F">
        <w:rPr>
          <w:sz w:val="36"/>
          <w:szCs w:val="36"/>
          <w:rtl/>
        </w:rPr>
        <w:t xml:space="preserve"> </w:t>
      </w:r>
      <w:r w:rsidR="00DB1449" w:rsidRPr="00FD211F">
        <w:rPr>
          <w:sz w:val="36"/>
          <w:szCs w:val="36"/>
          <w:rtl/>
        </w:rPr>
        <w:t>ف</w:t>
      </w:r>
      <w:r w:rsidR="00015A2C" w:rsidRPr="00FD211F">
        <w:rPr>
          <w:sz w:val="36"/>
          <w:szCs w:val="36"/>
          <w:rtl/>
        </w:rPr>
        <w:t>تحديد الغرض المترتب على العلم</w:t>
      </w:r>
      <w:r w:rsidR="00DB1449" w:rsidRPr="00FD211F">
        <w:rPr>
          <w:sz w:val="36"/>
          <w:szCs w:val="36"/>
          <w:rtl/>
        </w:rPr>
        <w:t xml:space="preserve"> سع</w:t>
      </w:r>
      <w:r w:rsidR="00EC7EDF" w:rsidRPr="00FD211F">
        <w:rPr>
          <w:sz w:val="36"/>
          <w:szCs w:val="36"/>
          <w:rtl/>
        </w:rPr>
        <w:t xml:space="preserve">ة </w:t>
      </w:r>
      <w:r w:rsidR="00DB1449" w:rsidRPr="00FD211F">
        <w:rPr>
          <w:sz w:val="36"/>
          <w:szCs w:val="36"/>
          <w:rtl/>
        </w:rPr>
        <w:t>وضيقا</w:t>
      </w:r>
      <w:r w:rsidR="00015A2C" w:rsidRPr="00FD211F">
        <w:rPr>
          <w:sz w:val="36"/>
          <w:szCs w:val="36"/>
          <w:rtl/>
        </w:rPr>
        <w:t xml:space="preserve"> يكون بنظر المدونين.</w:t>
      </w:r>
    </w:p>
    <w:p w14:paraId="1B18D0FC" w14:textId="77777777" w:rsidR="00015A2C" w:rsidRPr="00FD211F" w:rsidRDefault="00DF7596" w:rsidP="009C58C8">
      <w:pPr>
        <w:ind w:left="0" w:firstLine="227"/>
        <w:jc w:val="both"/>
        <w:rPr>
          <w:sz w:val="36"/>
          <w:szCs w:val="36"/>
          <w:rtl/>
        </w:rPr>
      </w:pPr>
      <w:bookmarkStart w:id="64" w:name="درس005دقيقه35"/>
      <w:bookmarkStart w:id="65" w:name="درس006"/>
      <w:bookmarkEnd w:id="64"/>
      <w:bookmarkEnd w:id="65"/>
      <w:r w:rsidRPr="00FD211F">
        <w:rPr>
          <w:b/>
          <w:bCs/>
          <w:sz w:val="36"/>
          <w:szCs w:val="36"/>
          <w:rtl/>
        </w:rPr>
        <w:t>الثاني</w:t>
      </w:r>
      <w:r w:rsidRPr="00FD211F">
        <w:rPr>
          <w:sz w:val="36"/>
          <w:szCs w:val="36"/>
          <w:rtl/>
        </w:rPr>
        <w:t>:</w:t>
      </w:r>
      <w:r w:rsidR="00015A2C" w:rsidRPr="00FD211F">
        <w:rPr>
          <w:sz w:val="36"/>
          <w:szCs w:val="36"/>
          <w:rtl/>
        </w:rPr>
        <w:t xml:space="preserve"> </w:t>
      </w:r>
      <w:r w:rsidR="00A30D19" w:rsidRPr="00FD211F">
        <w:rPr>
          <w:sz w:val="36"/>
          <w:szCs w:val="36"/>
          <w:rtl/>
        </w:rPr>
        <w:t>ما يقال من ان وحد</w:t>
      </w:r>
      <w:r w:rsidR="00EC7EDF" w:rsidRPr="00FD211F">
        <w:rPr>
          <w:sz w:val="36"/>
          <w:szCs w:val="36"/>
          <w:rtl/>
        </w:rPr>
        <w:t xml:space="preserve">ة </w:t>
      </w:r>
      <w:r w:rsidR="00A30D19" w:rsidRPr="00FD211F">
        <w:rPr>
          <w:sz w:val="36"/>
          <w:szCs w:val="36"/>
          <w:rtl/>
        </w:rPr>
        <w:t>كل علم بوحد</w:t>
      </w:r>
      <w:r w:rsidR="00EC7EDF" w:rsidRPr="00FD211F">
        <w:rPr>
          <w:sz w:val="36"/>
          <w:szCs w:val="36"/>
          <w:rtl/>
        </w:rPr>
        <w:t xml:space="preserve">ة </w:t>
      </w:r>
      <w:r w:rsidR="00A30D19" w:rsidRPr="00FD211F">
        <w:rPr>
          <w:sz w:val="36"/>
          <w:szCs w:val="36"/>
          <w:rtl/>
        </w:rPr>
        <w:t>الغرض المترتب عليه</w:t>
      </w:r>
      <w:r w:rsidR="00603323" w:rsidRPr="00FD211F">
        <w:rPr>
          <w:sz w:val="36"/>
          <w:szCs w:val="36"/>
          <w:rtl/>
        </w:rPr>
        <w:t xml:space="preserve">، </w:t>
      </w:r>
      <w:r w:rsidR="00A30D19" w:rsidRPr="00FD211F">
        <w:rPr>
          <w:sz w:val="36"/>
          <w:szCs w:val="36"/>
          <w:rtl/>
        </w:rPr>
        <w:t>فالغرض من علم النحو هو الصيان</w:t>
      </w:r>
      <w:r w:rsidR="00EC7EDF" w:rsidRPr="00FD211F">
        <w:rPr>
          <w:sz w:val="36"/>
          <w:szCs w:val="36"/>
          <w:rtl/>
        </w:rPr>
        <w:t xml:space="preserve">ة </w:t>
      </w:r>
      <w:r w:rsidR="00A30D19" w:rsidRPr="00FD211F">
        <w:rPr>
          <w:sz w:val="36"/>
          <w:szCs w:val="36"/>
          <w:rtl/>
        </w:rPr>
        <w:t>من الخطأ في المقا</w:t>
      </w:r>
      <w:r w:rsidRPr="00FD211F">
        <w:rPr>
          <w:sz w:val="36"/>
          <w:szCs w:val="36"/>
          <w:rtl/>
        </w:rPr>
        <w:t>ل</w:t>
      </w:r>
      <w:r w:rsidR="00603323" w:rsidRPr="00FD211F">
        <w:rPr>
          <w:sz w:val="36"/>
          <w:szCs w:val="36"/>
          <w:rtl/>
        </w:rPr>
        <w:t xml:space="preserve">، </w:t>
      </w:r>
      <w:r w:rsidR="00A30D19" w:rsidRPr="00FD211F">
        <w:rPr>
          <w:sz w:val="36"/>
          <w:szCs w:val="36"/>
          <w:rtl/>
        </w:rPr>
        <w:t xml:space="preserve">والغرض من علم </w:t>
      </w:r>
      <w:r w:rsidRPr="00FD211F">
        <w:rPr>
          <w:sz w:val="36"/>
          <w:szCs w:val="36"/>
          <w:rtl/>
        </w:rPr>
        <w:t>المنطق</w:t>
      </w:r>
      <w:r w:rsidR="00A30D19" w:rsidRPr="00FD211F">
        <w:rPr>
          <w:sz w:val="36"/>
          <w:szCs w:val="36"/>
          <w:rtl/>
        </w:rPr>
        <w:t xml:space="preserve"> هو الصيان</w:t>
      </w:r>
      <w:r w:rsidR="00EC7EDF" w:rsidRPr="00FD211F">
        <w:rPr>
          <w:sz w:val="36"/>
          <w:szCs w:val="36"/>
          <w:rtl/>
        </w:rPr>
        <w:t xml:space="preserve">ة </w:t>
      </w:r>
      <w:r w:rsidR="00A30D19" w:rsidRPr="00FD211F">
        <w:rPr>
          <w:sz w:val="36"/>
          <w:szCs w:val="36"/>
          <w:rtl/>
        </w:rPr>
        <w:t xml:space="preserve">من الخطأ في </w:t>
      </w:r>
      <w:r w:rsidRPr="00FD211F">
        <w:rPr>
          <w:sz w:val="36"/>
          <w:szCs w:val="36"/>
          <w:rtl/>
        </w:rPr>
        <w:t>الفكر</w:t>
      </w:r>
      <w:r w:rsidR="00603323" w:rsidRPr="00FD211F">
        <w:rPr>
          <w:sz w:val="36"/>
          <w:szCs w:val="36"/>
          <w:rtl/>
        </w:rPr>
        <w:t xml:space="preserve">، </w:t>
      </w:r>
      <w:r w:rsidR="00A30D19" w:rsidRPr="00FD211F">
        <w:rPr>
          <w:sz w:val="36"/>
          <w:szCs w:val="36"/>
          <w:rtl/>
        </w:rPr>
        <w:t xml:space="preserve">وحينئذ </w:t>
      </w:r>
      <w:r w:rsidRPr="00FD211F">
        <w:rPr>
          <w:sz w:val="36"/>
          <w:szCs w:val="36"/>
          <w:rtl/>
        </w:rPr>
        <w:t xml:space="preserve">فقد يدعى </w:t>
      </w:r>
      <w:r w:rsidR="00A30D19" w:rsidRPr="00FD211F">
        <w:rPr>
          <w:sz w:val="36"/>
          <w:szCs w:val="36"/>
          <w:rtl/>
        </w:rPr>
        <w:t>بان وحد</w:t>
      </w:r>
      <w:r w:rsidR="00EC7EDF" w:rsidRPr="00FD211F">
        <w:rPr>
          <w:sz w:val="36"/>
          <w:szCs w:val="36"/>
          <w:rtl/>
        </w:rPr>
        <w:t xml:space="preserve">ة </w:t>
      </w:r>
      <w:r w:rsidR="00A30D19" w:rsidRPr="00FD211F">
        <w:rPr>
          <w:sz w:val="36"/>
          <w:szCs w:val="36"/>
          <w:rtl/>
        </w:rPr>
        <w:t xml:space="preserve">الغرض المترتب على مسائل كل </w:t>
      </w:r>
      <w:r w:rsidR="00A30D19" w:rsidRPr="00FD211F">
        <w:rPr>
          <w:sz w:val="36"/>
          <w:szCs w:val="36"/>
          <w:rtl/>
        </w:rPr>
        <w:lastRenderedPageBreak/>
        <w:t>علم تكشف لامحال</w:t>
      </w:r>
      <w:r w:rsidR="00EC7EDF" w:rsidRPr="00FD211F">
        <w:rPr>
          <w:sz w:val="36"/>
          <w:szCs w:val="36"/>
          <w:rtl/>
        </w:rPr>
        <w:t xml:space="preserve">ة </w:t>
      </w:r>
      <w:r w:rsidR="00A30D19" w:rsidRPr="00FD211F">
        <w:rPr>
          <w:sz w:val="36"/>
          <w:szCs w:val="36"/>
          <w:rtl/>
        </w:rPr>
        <w:t>عن جامع ذاتي بين تلك المسائل</w:t>
      </w:r>
      <w:r w:rsidR="00603323" w:rsidRPr="00FD211F">
        <w:rPr>
          <w:sz w:val="36"/>
          <w:szCs w:val="36"/>
          <w:rtl/>
        </w:rPr>
        <w:t xml:space="preserve">، </w:t>
      </w:r>
      <w:r w:rsidR="00A30D19" w:rsidRPr="00FD211F">
        <w:rPr>
          <w:sz w:val="36"/>
          <w:szCs w:val="36"/>
          <w:rtl/>
        </w:rPr>
        <w:t>ويكون هذا الغرض الواحد صادرا من ذلك الجامع</w:t>
      </w:r>
      <w:r w:rsidR="00603323" w:rsidRPr="00FD211F">
        <w:rPr>
          <w:sz w:val="36"/>
          <w:szCs w:val="36"/>
          <w:rtl/>
        </w:rPr>
        <w:t xml:space="preserve">، </w:t>
      </w:r>
      <w:r w:rsidR="00995F92" w:rsidRPr="00FD211F">
        <w:rPr>
          <w:sz w:val="36"/>
          <w:szCs w:val="36"/>
          <w:rtl/>
        </w:rPr>
        <w:t>فانه لو فرض عدم جامع ذاتي بين تلك المسائل فيعني ذلك صدور الواحد عن الكثير</w:t>
      </w:r>
      <w:r w:rsidR="00603323" w:rsidRPr="00FD211F">
        <w:rPr>
          <w:sz w:val="36"/>
          <w:szCs w:val="36"/>
          <w:rtl/>
        </w:rPr>
        <w:t xml:space="preserve">، </w:t>
      </w:r>
      <w:r w:rsidR="00995F92" w:rsidRPr="00FD211F">
        <w:rPr>
          <w:sz w:val="36"/>
          <w:szCs w:val="36"/>
          <w:rtl/>
        </w:rPr>
        <w:t>وهذا غير ممكن لما ثبت في الفلسف</w:t>
      </w:r>
      <w:r w:rsidR="00EC7EDF" w:rsidRPr="00FD211F">
        <w:rPr>
          <w:sz w:val="36"/>
          <w:szCs w:val="36"/>
          <w:rtl/>
        </w:rPr>
        <w:t xml:space="preserve">ة </w:t>
      </w:r>
      <w:r w:rsidR="00995F92" w:rsidRPr="00FD211F">
        <w:rPr>
          <w:sz w:val="36"/>
          <w:szCs w:val="36"/>
          <w:rtl/>
        </w:rPr>
        <w:t>من ان الواحد لايصدر الا من الواحد.</w:t>
      </w:r>
    </w:p>
    <w:p w14:paraId="22161736" w14:textId="77777777" w:rsidR="00995F92" w:rsidRPr="00FD211F" w:rsidRDefault="00995F92" w:rsidP="009C58C8">
      <w:pPr>
        <w:ind w:left="0" w:firstLine="227"/>
        <w:jc w:val="both"/>
        <w:rPr>
          <w:sz w:val="36"/>
          <w:szCs w:val="36"/>
          <w:rtl/>
        </w:rPr>
      </w:pPr>
      <w:r w:rsidRPr="00FD211F">
        <w:rPr>
          <w:sz w:val="36"/>
          <w:szCs w:val="36"/>
          <w:rtl/>
        </w:rPr>
        <w:t>وقد نوقش في هذا الوجه بعد</w:t>
      </w:r>
      <w:r w:rsidR="00EC7EDF" w:rsidRPr="00FD211F">
        <w:rPr>
          <w:sz w:val="36"/>
          <w:szCs w:val="36"/>
          <w:rtl/>
        </w:rPr>
        <w:t xml:space="preserve">ة </w:t>
      </w:r>
      <w:r w:rsidRPr="00FD211F">
        <w:rPr>
          <w:sz w:val="36"/>
          <w:szCs w:val="36"/>
          <w:rtl/>
        </w:rPr>
        <w:t>مناقشات:</w:t>
      </w:r>
    </w:p>
    <w:p w14:paraId="448526EB" w14:textId="77777777" w:rsidR="00995F92" w:rsidRPr="00FD211F" w:rsidRDefault="00DF7596" w:rsidP="009C58C8">
      <w:pPr>
        <w:ind w:left="0" w:firstLine="227"/>
        <w:jc w:val="both"/>
        <w:rPr>
          <w:sz w:val="36"/>
          <w:szCs w:val="36"/>
          <w:rtl/>
        </w:rPr>
      </w:pPr>
      <w:r w:rsidRPr="00FD211F">
        <w:rPr>
          <w:sz w:val="36"/>
          <w:szCs w:val="36"/>
          <w:rtl/>
        </w:rPr>
        <w:t>1-</w:t>
      </w:r>
      <w:r w:rsidR="00A30483" w:rsidRPr="00FD211F">
        <w:rPr>
          <w:sz w:val="36"/>
          <w:szCs w:val="36"/>
          <w:rtl/>
        </w:rPr>
        <w:t xml:space="preserve"> انكار ترتب ذلك الغرض على مسائل العلم</w:t>
      </w:r>
      <w:r w:rsidR="00603323" w:rsidRPr="00FD211F">
        <w:rPr>
          <w:sz w:val="36"/>
          <w:szCs w:val="36"/>
          <w:rtl/>
        </w:rPr>
        <w:t xml:space="preserve">، </w:t>
      </w:r>
      <w:r w:rsidR="00EB709A" w:rsidRPr="00FD211F">
        <w:rPr>
          <w:sz w:val="36"/>
          <w:szCs w:val="36"/>
          <w:rtl/>
        </w:rPr>
        <w:t>و</w:t>
      </w:r>
      <w:r w:rsidRPr="00FD211F">
        <w:rPr>
          <w:sz w:val="36"/>
          <w:szCs w:val="36"/>
          <w:rtl/>
        </w:rPr>
        <w:t>الا</w:t>
      </w:r>
      <w:r w:rsidR="00995F92" w:rsidRPr="00FD211F">
        <w:rPr>
          <w:sz w:val="36"/>
          <w:szCs w:val="36"/>
          <w:rtl/>
        </w:rPr>
        <w:t xml:space="preserve"> لزم ان </w:t>
      </w:r>
      <w:r w:rsidR="00E75775" w:rsidRPr="00FD211F">
        <w:rPr>
          <w:sz w:val="36"/>
          <w:szCs w:val="36"/>
          <w:rtl/>
        </w:rPr>
        <w:t xml:space="preserve">لايقع في الخارج خطأ في المقال </w:t>
      </w:r>
      <w:r w:rsidR="00A30483" w:rsidRPr="00FD211F">
        <w:rPr>
          <w:sz w:val="36"/>
          <w:szCs w:val="36"/>
          <w:rtl/>
        </w:rPr>
        <w:t>مثلا</w:t>
      </w:r>
      <w:r w:rsidR="00E75775" w:rsidRPr="00FD211F">
        <w:rPr>
          <w:sz w:val="36"/>
          <w:szCs w:val="36"/>
          <w:rtl/>
        </w:rPr>
        <w:t>بم</w:t>
      </w:r>
      <w:r w:rsidR="00995F92" w:rsidRPr="00FD211F">
        <w:rPr>
          <w:sz w:val="36"/>
          <w:szCs w:val="36"/>
          <w:rtl/>
        </w:rPr>
        <w:t>جرد ثبوت علم النحو</w:t>
      </w:r>
      <w:r w:rsidR="00603323" w:rsidRPr="00FD211F">
        <w:rPr>
          <w:sz w:val="36"/>
          <w:szCs w:val="36"/>
          <w:rtl/>
        </w:rPr>
        <w:t xml:space="preserve">، </w:t>
      </w:r>
      <w:r w:rsidRPr="00FD211F">
        <w:rPr>
          <w:sz w:val="36"/>
          <w:szCs w:val="36"/>
          <w:rtl/>
        </w:rPr>
        <w:t>وانما يترتب غرض الصيان</w:t>
      </w:r>
      <w:r w:rsidR="00EC7EDF" w:rsidRPr="00FD211F">
        <w:rPr>
          <w:sz w:val="36"/>
          <w:szCs w:val="36"/>
          <w:rtl/>
        </w:rPr>
        <w:t xml:space="preserve">ة </w:t>
      </w:r>
      <w:r w:rsidRPr="00FD211F">
        <w:rPr>
          <w:sz w:val="36"/>
          <w:szCs w:val="36"/>
          <w:rtl/>
        </w:rPr>
        <w:t>عن الخطأ في المقال على العل</w:t>
      </w:r>
      <w:r w:rsidR="00A30483" w:rsidRPr="00FD211F">
        <w:rPr>
          <w:sz w:val="36"/>
          <w:szCs w:val="36"/>
          <w:rtl/>
        </w:rPr>
        <w:t>م بمسائل علم النحو</w:t>
      </w:r>
      <w:r w:rsidR="00603323" w:rsidRPr="00FD211F">
        <w:rPr>
          <w:sz w:val="36"/>
          <w:szCs w:val="36"/>
          <w:rtl/>
        </w:rPr>
        <w:t xml:space="preserve">، </w:t>
      </w:r>
      <w:r w:rsidR="00A30483" w:rsidRPr="00FD211F">
        <w:rPr>
          <w:sz w:val="36"/>
          <w:szCs w:val="36"/>
          <w:rtl/>
        </w:rPr>
        <w:t>بل على رعاي</w:t>
      </w:r>
      <w:r w:rsidR="00EC7EDF" w:rsidRPr="00FD211F">
        <w:rPr>
          <w:sz w:val="36"/>
          <w:szCs w:val="36"/>
          <w:rtl/>
        </w:rPr>
        <w:t xml:space="preserve">ة </w:t>
      </w:r>
      <w:r w:rsidR="00A30483" w:rsidRPr="00FD211F">
        <w:rPr>
          <w:sz w:val="36"/>
          <w:szCs w:val="36"/>
          <w:rtl/>
        </w:rPr>
        <w:t>تلك المسائل وعليه</w:t>
      </w:r>
      <w:r w:rsidR="0069668B" w:rsidRPr="00FD211F">
        <w:rPr>
          <w:sz w:val="36"/>
          <w:szCs w:val="36"/>
          <w:rtl/>
        </w:rPr>
        <w:t xml:space="preserve"> فلاتكون مسائل العلم</w:t>
      </w:r>
      <w:r w:rsidR="00B85311" w:rsidRPr="00FD211F">
        <w:rPr>
          <w:sz w:val="36"/>
          <w:szCs w:val="36"/>
          <w:rtl/>
        </w:rPr>
        <w:t xml:space="preserve"> هي المؤثر</w:t>
      </w:r>
      <w:r w:rsidR="00EC7EDF" w:rsidRPr="00FD211F">
        <w:rPr>
          <w:sz w:val="36"/>
          <w:szCs w:val="36"/>
          <w:rtl/>
        </w:rPr>
        <w:t xml:space="preserve">ة </w:t>
      </w:r>
      <w:r w:rsidR="00B85311" w:rsidRPr="00FD211F">
        <w:rPr>
          <w:sz w:val="36"/>
          <w:szCs w:val="36"/>
          <w:rtl/>
        </w:rPr>
        <w:t>في حصول ذلك الغرض كي يطبق عليها قاعد</w:t>
      </w:r>
      <w:r w:rsidR="00EC7EDF" w:rsidRPr="00FD211F">
        <w:rPr>
          <w:sz w:val="36"/>
          <w:szCs w:val="36"/>
          <w:rtl/>
        </w:rPr>
        <w:t xml:space="preserve">ة </w:t>
      </w:r>
      <w:r w:rsidR="00B85311" w:rsidRPr="00FD211F">
        <w:rPr>
          <w:sz w:val="36"/>
          <w:szCs w:val="36"/>
          <w:rtl/>
        </w:rPr>
        <w:t>ان الواحد</w:t>
      </w:r>
      <w:r w:rsidR="0067698C" w:rsidRPr="00FD211F">
        <w:rPr>
          <w:sz w:val="36"/>
          <w:szCs w:val="36"/>
          <w:rtl/>
        </w:rPr>
        <w:t xml:space="preserve"> </w:t>
      </w:r>
      <w:r w:rsidR="00B85311" w:rsidRPr="00FD211F">
        <w:rPr>
          <w:sz w:val="36"/>
          <w:szCs w:val="36"/>
          <w:rtl/>
        </w:rPr>
        <w:t>لايصدر</w:t>
      </w:r>
      <w:r w:rsidR="0067698C" w:rsidRPr="00FD211F">
        <w:rPr>
          <w:sz w:val="36"/>
          <w:szCs w:val="36"/>
          <w:rtl/>
        </w:rPr>
        <w:t xml:space="preserve"> </w:t>
      </w:r>
      <w:r w:rsidR="00B85311" w:rsidRPr="00FD211F">
        <w:rPr>
          <w:sz w:val="36"/>
          <w:szCs w:val="36"/>
          <w:rtl/>
        </w:rPr>
        <w:t>الا</w:t>
      </w:r>
      <w:r w:rsidR="0067698C" w:rsidRPr="00FD211F">
        <w:rPr>
          <w:sz w:val="36"/>
          <w:szCs w:val="36"/>
          <w:rtl/>
        </w:rPr>
        <w:t xml:space="preserve"> </w:t>
      </w:r>
      <w:r w:rsidR="00B85311" w:rsidRPr="00FD211F">
        <w:rPr>
          <w:sz w:val="36"/>
          <w:szCs w:val="36"/>
          <w:rtl/>
        </w:rPr>
        <w:t>عن الواحد</w:t>
      </w:r>
      <w:r w:rsidR="00800B5F" w:rsidRPr="00FD211F">
        <w:rPr>
          <w:sz w:val="36"/>
          <w:szCs w:val="36"/>
          <w:rtl/>
        </w:rPr>
        <w:t>.</w:t>
      </w:r>
    </w:p>
    <w:p w14:paraId="4332D6F8" w14:textId="77777777" w:rsidR="005A694B" w:rsidRPr="00FD211F" w:rsidRDefault="00EB709A" w:rsidP="009C58C8">
      <w:pPr>
        <w:ind w:left="0" w:firstLine="227"/>
        <w:jc w:val="both"/>
        <w:rPr>
          <w:sz w:val="36"/>
          <w:szCs w:val="36"/>
          <w:rtl/>
        </w:rPr>
      </w:pPr>
      <w:r w:rsidRPr="00FD211F">
        <w:rPr>
          <w:sz w:val="36"/>
          <w:szCs w:val="36"/>
          <w:rtl/>
        </w:rPr>
        <w:t>وأجاب المحقق العراقي</w:t>
      </w:r>
      <w:r w:rsidR="00AB1B12" w:rsidRPr="00FD211F">
        <w:rPr>
          <w:sz w:val="36"/>
          <w:szCs w:val="36"/>
          <w:rtl/>
        </w:rPr>
        <w:t>"</w:t>
      </w:r>
      <w:r w:rsidRPr="00FD211F">
        <w:rPr>
          <w:sz w:val="36"/>
          <w:szCs w:val="36"/>
          <w:rtl/>
        </w:rPr>
        <w:t>قده</w:t>
      </w:r>
      <w:r w:rsidR="00AB1B12" w:rsidRPr="00FD211F">
        <w:rPr>
          <w:sz w:val="36"/>
          <w:szCs w:val="36"/>
          <w:rtl/>
        </w:rPr>
        <w:t>"</w:t>
      </w:r>
      <w:r w:rsidR="00800B5F" w:rsidRPr="00FD211F">
        <w:rPr>
          <w:sz w:val="36"/>
          <w:szCs w:val="36"/>
          <w:rtl/>
        </w:rPr>
        <w:t xml:space="preserve"> عن ذلك</w:t>
      </w:r>
      <w:r w:rsidR="00B253CE" w:rsidRPr="00FD211F">
        <w:rPr>
          <w:sz w:val="36"/>
          <w:szCs w:val="36"/>
          <w:rtl/>
        </w:rPr>
        <w:t xml:space="preserve"> </w:t>
      </w:r>
      <w:r w:rsidR="00100990" w:rsidRPr="00FD211F">
        <w:rPr>
          <w:sz w:val="36"/>
          <w:szCs w:val="36"/>
          <w:rtl/>
        </w:rPr>
        <w:t>با</w:t>
      </w:r>
      <w:r w:rsidR="00030484" w:rsidRPr="00FD211F">
        <w:rPr>
          <w:sz w:val="36"/>
          <w:szCs w:val="36"/>
          <w:rtl/>
        </w:rPr>
        <w:t>نه يمك</w:t>
      </w:r>
      <w:r w:rsidR="00100990" w:rsidRPr="00FD211F">
        <w:rPr>
          <w:sz w:val="36"/>
          <w:szCs w:val="36"/>
          <w:rtl/>
        </w:rPr>
        <w:t>ن</w:t>
      </w:r>
      <w:r w:rsidRPr="00FD211F">
        <w:rPr>
          <w:sz w:val="36"/>
          <w:szCs w:val="36"/>
          <w:rtl/>
        </w:rPr>
        <w:t xml:space="preserve"> تفسير الغرض بن</w:t>
      </w:r>
      <w:r w:rsidR="00B85311" w:rsidRPr="00FD211F">
        <w:rPr>
          <w:sz w:val="36"/>
          <w:szCs w:val="36"/>
          <w:rtl/>
        </w:rPr>
        <w:t>حو يترتب على نفس مسائل العلم</w:t>
      </w:r>
      <w:r w:rsidRPr="00FD211F">
        <w:rPr>
          <w:sz w:val="36"/>
          <w:szCs w:val="36"/>
          <w:rtl/>
        </w:rPr>
        <w:t xml:space="preserve"> بان</w:t>
      </w:r>
      <w:r w:rsidR="00815D67" w:rsidRPr="00FD211F">
        <w:rPr>
          <w:sz w:val="36"/>
          <w:szCs w:val="36"/>
          <w:rtl/>
        </w:rPr>
        <w:t xml:space="preserve"> </w:t>
      </w:r>
      <w:r w:rsidRPr="00FD211F">
        <w:rPr>
          <w:sz w:val="36"/>
          <w:szCs w:val="36"/>
          <w:rtl/>
        </w:rPr>
        <w:t>يراد من الغرض سد باب الخطأ في المقال مثلا من ناحي</w:t>
      </w:r>
      <w:r w:rsidR="00EC7EDF" w:rsidRPr="00FD211F">
        <w:rPr>
          <w:sz w:val="36"/>
          <w:szCs w:val="36"/>
          <w:rtl/>
        </w:rPr>
        <w:t xml:space="preserve">ة </w:t>
      </w:r>
      <w:r w:rsidRPr="00FD211F">
        <w:rPr>
          <w:sz w:val="36"/>
          <w:szCs w:val="36"/>
          <w:rtl/>
        </w:rPr>
        <w:t>عدم مسائل علم النحو</w:t>
      </w:r>
      <w:r w:rsidR="00603323" w:rsidRPr="00FD211F">
        <w:rPr>
          <w:sz w:val="36"/>
          <w:szCs w:val="36"/>
          <w:rtl/>
        </w:rPr>
        <w:t xml:space="preserve">، </w:t>
      </w:r>
      <w:r w:rsidRPr="00FD211F">
        <w:rPr>
          <w:sz w:val="36"/>
          <w:szCs w:val="36"/>
          <w:rtl/>
        </w:rPr>
        <w:t>اي يكون الغرض هو تمكن الشخص من صيان</w:t>
      </w:r>
      <w:r w:rsidR="00EC7EDF" w:rsidRPr="00FD211F">
        <w:rPr>
          <w:sz w:val="36"/>
          <w:szCs w:val="36"/>
          <w:rtl/>
        </w:rPr>
        <w:t xml:space="preserve">ة </w:t>
      </w:r>
      <w:r w:rsidRPr="00FD211F">
        <w:rPr>
          <w:sz w:val="36"/>
          <w:szCs w:val="36"/>
          <w:rtl/>
        </w:rPr>
        <w:t xml:space="preserve">المقال عن الخطأ </w:t>
      </w:r>
      <w:r w:rsidR="007D2646" w:rsidRPr="00FD211F">
        <w:rPr>
          <w:sz w:val="36"/>
          <w:szCs w:val="36"/>
          <w:rtl/>
        </w:rPr>
        <w:lastRenderedPageBreak/>
        <w:t>فيكون مسائل النحو عل</w:t>
      </w:r>
      <w:r w:rsidR="00EC7EDF" w:rsidRPr="00FD211F">
        <w:rPr>
          <w:sz w:val="36"/>
          <w:szCs w:val="36"/>
          <w:rtl/>
        </w:rPr>
        <w:t xml:space="preserve">ة </w:t>
      </w:r>
      <w:r w:rsidR="007D2646" w:rsidRPr="00FD211F">
        <w:rPr>
          <w:sz w:val="36"/>
          <w:szCs w:val="36"/>
          <w:rtl/>
        </w:rPr>
        <w:t>لهذا التمكن</w:t>
      </w:r>
      <w:r w:rsidR="00603323" w:rsidRPr="00FD211F">
        <w:rPr>
          <w:sz w:val="36"/>
          <w:szCs w:val="36"/>
          <w:rtl/>
        </w:rPr>
        <w:t xml:space="preserve">، </w:t>
      </w:r>
      <w:r w:rsidR="00C40DDA" w:rsidRPr="00FD211F">
        <w:rPr>
          <w:sz w:val="36"/>
          <w:szCs w:val="36"/>
          <w:rtl/>
        </w:rPr>
        <w:t>-</w:t>
      </w:r>
      <w:r w:rsidR="00815D67" w:rsidRPr="00FD211F">
        <w:rPr>
          <w:sz w:val="36"/>
          <w:szCs w:val="36"/>
          <w:rtl/>
        </w:rPr>
        <w:t>وان كان</w:t>
      </w:r>
      <w:r w:rsidR="007D2646" w:rsidRPr="00FD211F">
        <w:rPr>
          <w:sz w:val="36"/>
          <w:szCs w:val="36"/>
          <w:rtl/>
        </w:rPr>
        <w:t xml:space="preserve"> فعلي</w:t>
      </w:r>
      <w:r w:rsidR="00EC7EDF" w:rsidRPr="00FD211F">
        <w:rPr>
          <w:sz w:val="36"/>
          <w:szCs w:val="36"/>
          <w:rtl/>
        </w:rPr>
        <w:t xml:space="preserve">ة </w:t>
      </w:r>
      <w:r w:rsidR="007D2646" w:rsidRPr="00FD211F">
        <w:rPr>
          <w:sz w:val="36"/>
          <w:szCs w:val="36"/>
          <w:rtl/>
        </w:rPr>
        <w:t>الصيان</w:t>
      </w:r>
      <w:r w:rsidR="00EC7EDF" w:rsidRPr="00FD211F">
        <w:rPr>
          <w:sz w:val="36"/>
          <w:szCs w:val="36"/>
          <w:rtl/>
        </w:rPr>
        <w:t xml:space="preserve">ة </w:t>
      </w:r>
      <w:r w:rsidR="00E6014C" w:rsidRPr="00FD211F">
        <w:rPr>
          <w:sz w:val="36"/>
          <w:szCs w:val="36"/>
          <w:rtl/>
        </w:rPr>
        <w:t>موقوف</w:t>
      </w:r>
      <w:r w:rsidR="00EC7EDF" w:rsidRPr="00FD211F">
        <w:rPr>
          <w:sz w:val="36"/>
          <w:szCs w:val="36"/>
          <w:rtl/>
        </w:rPr>
        <w:t xml:space="preserve">ة </w:t>
      </w:r>
      <w:r w:rsidR="00E6014C" w:rsidRPr="00FD211F">
        <w:rPr>
          <w:sz w:val="36"/>
          <w:szCs w:val="36"/>
          <w:rtl/>
        </w:rPr>
        <w:t xml:space="preserve">على </w:t>
      </w:r>
      <w:r w:rsidR="007D2646" w:rsidRPr="00FD211F">
        <w:rPr>
          <w:sz w:val="36"/>
          <w:szCs w:val="36"/>
          <w:rtl/>
        </w:rPr>
        <w:t>معرف</w:t>
      </w:r>
      <w:r w:rsidR="00EC7EDF" w:rsidRPr="00FD211F">
        <w:rPr>
          <w:sz w:val="36"/>
          <w:szCs w:val="36"/>
          <w:rtl/>
        </w:rPr>
        <w:t xml:space="preserve">ة </w:t>
      </w:r>
      <w:r w:rsidR="007D2646" w:rsidRPr="00FD211F">
        <w:rPr>
          <w:sz w:val="36"/>
          <w:szCs w:val="36"/>
          <w:rtl/>
        </w:rPr>
        <w:t>مسائل علم النحو</w:t>
      </w:r>
      <w:r w:rsidR="00C40DDA" w:rsidRPr="00FD211F">
        <w:rPr>
          <w:sz w:val="36"/>
          <w:szCs w:val="36"/>
          <w:rtl/>
        </w:rPr>
        <w:t>-</w:t>
      </w:r>
      <w:r w:rsidR="0067698C" w:rsidRPr="00FD211F">
        <w:rPr>
          <w:sz w:val="36"/>
          <w:szCs w:val="36"/>
          <w:rtl/>
        </w:rPr>
        <w:t xml:space="preserve"> </w:t>
      </w:r>
      <w:r w:rsidR="00C40DDA" w:rsidRPr="00FD211F">
        <w:rPr>
          <w:sz w:val="36"/>
          <w:szCs w:val="36"/>
          <w:rtl/>
        </w:rPr>
        <w:t>وحينئذ</w:t>
      </w:r>
      <w:r w:rsidR="0067698C" w:rsidRPr="00FD211F">
        <w:rPr>
          <w:sz w:val="36"/>
          <w:szCs w:val="36"/>
          <w:rtl/>
        </w:rPr>
        <w:t xml:space="preserve"> </w:t>
      </w:r>
      <w:r w:rsidR="00C40DDA" w:rsidRPr="00FD211F">
        <w:rPr>
          <w:sz w:val="36"/>
          <w:szCs w:val="36"/>
          <w:rtl/>
        </w:rPr>
        <w:t>يطبق عليها</w:t>
      </w:r>
      <w:r w:rsidR="0067698C" w:rsidRPr="00FD211F">
        <w:rPr>
          <w:sz w:val="36"/>
          <w:szCs w:val="36"/>
          <w:rtl/>
        </w:rPr>
        <w:t xml:space="preserve"> </w:t>
      </w:r>
      <w:r w:rsidR="00C40DDA" w:rsidRPr="00FD211F">
        <w:rPr>
          <w:sz w:val="36"/>
          <w:szCs w:val="36"/>
          <w:rtl/>
        </w:rPr>
        <w:t>القاعد</w:t>
      </w:r>
      <w:r w:rsidR="00EC7EDF" w:rsidRPr="00FD211F">
        <w:rPr>
          <w:sz w:val="36"/>
          <w:szCs w:val="36"/>
          <w:rtl/>
        </w:rPr>
        <w:t>ة</w:t>
      </w:r>
      <w:r w:rsidR="00A61BAE" w:rsidRPr="00FD211F">
        <w:rPr>
          <w:sz w:val="36"/>
          <w:szCs w:val="36"/>
          <w:rtl/>
        </w:rPr>
        <w:t>.</w:t>
      </w:r>
    </w:p>
    <w:p w14:paraId="106DBA85" w14:textId="77777777" w:rsidR="00815D67" w:rsidRPr="00FD211F" w:rsidRDefault="00C40DDA" w:rsidP="009C58C8">
      <w:pPr>
        <w:ind w:left="0" w:firstLine="227"/>
        <w:jc w:val="both"/>
        <w:rPr>
          <w:sz w:val="36"/>
          <w:szCs w:val="36"/>
          <w:rtl/>
        </w:rPr>
      </w:pPr>
      <w:r w:rsidRPr="00FD211F">
        <w:rPr>
          <w:sz w:val="36"/>
          <w:szCs w:val="36"/>
          <w:rtl/>
        </w:rPr>
        <w:t>هذ</w:t>
      </w:r>
      <w:r w:rsidR="00C01CAD" w:rsidRPr="00FD211F">
        <w:rPr>
          <w:sz w:val="36"/>
          <w:szCs w:val="36"/>
          <w:rtl/>
        </w:rPr>
        <w:t>ا</w:t>
      </w:r>
      <w:r w:rsidR="0067698C" w:rsidRPr="00FD211F">
        <w:rPr>
          <w:sz w:val="36"/>
          <w:szCs w:val="36"/>
          <w:rtl/>
        </w:rPr>
        <w:t xml:space="preserve"> </w:t>
      </w:r>
      <w:r w:rsidRPr="00FD211F">
        <w:rPr>
          <w:sz w:val="36"/>
          <w:szCs w:val="36"/>
          <w:rtl/>
        </w:rPr>
        <w:t>وذكر</w:t>
      </w:r>
      <w:r w:rsidR="0067698C" w:rsidRPr="00FD211F">
        <w:rPr>
          <w:sz w:val="36"/>
          <w:szCs w:val="36"/>
          <w:rtl/>
        </w:rPr>
        <w:t xml:space="preserve"> </w:t>
      </w:r>
      <w:r w:rsidR="005A694B" w:rsidRPr="00FD211F">
        <w:rPr>
          <w:sz w:val="36"/>
          <w:szCs w:val="36"/>
          <w:rtl/>
        </w:rPr>
        <w:t>ان</w:t>
      </w:r>
      <w:r w:rsidRPr="00FD211F">
        <w:rPr>
          <w:sz w:val="36"/>
          <w:szCs w:val="36"/>
          <w:rtl/>
        </w:rPr>
        <w:t>ه يمكن</w:t>
      </w:r>
      <w:r w:rsidR="00815D67" w:rsidRPr="00FD211F">
        <w:rPr>
          <w:sz w:val="36"/>
          <w:szCs w:val="36"/>
          <w:rtl/>
        </w:rPr>
        <w:t xml:space="preserve"> </w:t>
      </w:r>
      <w:r w:rsidRPr="00FD211F">
        <w:rPr>
          <w:sz w:val="36"/>
          <w:szCs w:val="36"/>
          <w:rtl/>
        </w:rPr>
        <w:t xml:space="preserve">ان </w:t>
      </w:r>
      <w:r w:rsidR="00815D67" w:rsidRPr="00FD211F">
        <w:rPr>
          <w:sz w:val="36"/>
          <w:szCs w:val="36"/>
          <w:rtl/>
        </w:rPr>
        <w:t>يقال</w:t>
      </w:r>
      <w:r w:rsidR="007D2646" w:rsidRPr="00FD211F">
        <w:rPr>
          <w:sz w:val="36"/>
          <w:szCs w:val="36"/>
          <w:rtl/>
        </w:rPr>
        <w:t xml:space="preserve"> </w:t>
      </w:r>
      <w:r w:rsidR="00815D67" w:rsidRPr="00FD211F">
        <w:rPr>
          <w:sz w:val="36"/>
          <w:szCs w:val="36"/>
          <w:rtl/>
        </w:rPr>
        <w:t>ان الكلام قبل وجوده يمكن انقسامه الى الكلام المطابق لقواعد النحو والكلام غير المطابق لها</w:t>
      </w:r>
      <w:r w:rsidR="00603323" w:rsidRPr="00FD211F">
        <w:rPr>
          <w:sz w:val="36"/>
          <w:szCs w:val="36"/>
          <w:rtl/>
        </w:rPr>
        <w:t xml:space="preserve">، </w:t>
      </w:r>
      <w:r w:rsidR="00815D67" w:rsidRPr="00FD211F">
        <w:rPr>
          <w:sz w:val="36"/>
          <w:szCs w:val="36"/>
          <w:rtl/>
        </w:rPr>
        <w:t>وهذا الانقسام</w:t>
      </w:r>
      <w:r w:rsidRPr="00FD211F">
        <w:rPr>
          <w:sz w:val="36"/>
          <w:szCs w:val="36"/>
          <w:rtl/>
        </w:rPr>
        <w:t xml:space="preserve"> معلول لثبوت قواعد النحو</w:t>
      </w:r>
      <w:r w:rsidR="00603323" w:rsidRPr="00FD211F">
        <w:rPr>
          <w:sz w:val="36"/>
          <w:szCs w:val="36"/>
          <w:rtl/>
        </w:rPr>
        <w:t xml:space="preserve">، </w:t>
      </w:r>
      <w:r w:rsidRPr="00FD211F">
        <w:rPr>
          <w:sz w:val="36"/>
          <w:szCs w:val="36"/>
          <w:rtl/>
        </w:rPr>
        <w:t>ولكنه لايجدي في شمول</w:t>
      </w:r>
      <w:r w:rsidR="00815D67" w:rsidRPr="00FD211F">
        <w:rPr>
          <w:sz w:val="36"/>
          <w:szCs w:val="36"/>
          <w:rtl/>
        </w:rPr>
        <w:t xml:space="preserve"> قاعد</w:t>
      </w:r>
      <w:r w:rsidR="00EC7EDF" w:rsidRPr="00FD211F">
        <w:rPr>
          <w:sz w:val="36"/>
          <w:szCs w:val="36"/>
          <w:rtl/>
        </w:rPr>
        <w:t xml:space="preserve">ة </w:t>
      </w:r>
      <w:r w:rsidR="00815D67" w:rsidRPr="00FD211F">
        <w:rPr>
          <w:sz w:val="36"/>
          <w:szCs w:val="36"/>
          <w:rtl/>
        </w:rPr>
        <w:t>ان الواحد لايصدر الا عن الواحد</w:t>
      </w:r>
      <w:r w:rsidR="00603323" w:rsidRPr="00FD211F">
        <w:rPr>
          <w:sz w:val="36"/>
          <w:szCs w:val="36"/>
          <w:rtl/>
        </w:rPr>
        <w:t xml:space="preserve">، </w:t>
      </w:r>
      <w:r w:rsidR="00815D67" w:rsidRPr="00FD211F">
        <w:rPr>
          <w:sz w:val="36"/>
          <w:szCs w:val="36"/>
          <w:rtl/>
        </w:rPr>
        <w:t>لان ثبوت قواعد النحو يوجب انقسام الكلام الى الكلام المطابق لقواعد النحو والكلام غير المطابق لها في مرتب</w:t>
      </w:r>
      <w:r w:rsidR="00EC7EDF" w:rsidRPr="00FD211F">
        <w:rPr>
          <w:sz w:val="36"/>
          <w:szCs w:val="36"/>
          <w:rtl/>
        </w:rPr>
        <w:t xml:space="preserve">ة </w:t>
      </w:r>
      <w:r w:rsidR="00815D67" w:rsidRPr="00FD211F">
        <w:rPr>
          <w:sz w:val="36"/>
          <w:szCs w:val="36"/>
          <w:rtl/>
        </w:rPr>
        <w:t>التقرر الماهوي للكلام قبل مرتب</w:t>
      </w:r>
      <w:r w:rsidR="00EC7EDF" w:rsidRPr="00FD211F">
        <w:rPr>
          <w:sz w:val="36"/>
          <w:szCs w:val="36"/>
          <w:rtl/>
        </w:rPr>
        <w:t xml:space="preserve">ة </w:t>
      </w:r>
      <w:r w:rsidR="00815D67" w:rsidRPr="00FD211F">
        <w:rPr>
          <w:sz w:val="36"/>
          <w:szCs w:val="36"/>
          <w:rtl/>
        </w:rPr>
        <w:t>وجوده</w:t>
      </w:r>
      <w:r w:rsidR="00603323" w:rsidRPr="00FD211F">
        <w:rPr>
          <w:sz w:val="36"/>
          <w:szCs w:val="36"/>
          <w:rtl/>
        </w:rPr>
        <w:t xml:space="preserve">، </w:t>
      </w:r>
      <w:r w:rsidR="00815D67" w:rsidRPr="00FD211F">
        <w:rPr>
          <w:sz w:val="36"/>
          <w:szCs w:val="36"/>
          <w:rtl/>
        </w:rPr>
        <w:t>فلايكون ذ</w:t>
      </w:r>
      <w:r w:rsidR="00CB6D50" w:rsidRPr="00FD211F">
        <w:rPr>
          <w:sz w:val="36"/>
          <w:szCs w:val="36"/>
          <w:rtl/>
        </w:rPr>
        <w:t>لك من باب التأثير في الوجود كي ت</w:t>
      </w:r>
      <w:r w:rsidR="00815D67" w:rsidRPr="00FD211F">
        <w:rPr>
          <w:sz w:val="36"/>
          <w:szCs w:val="36"/>
          <w:rtl/>
        </w:rPr>
        <w:t>جري فيه هذه القاعد</w:t>
      </w:r>
      <w:r w:rsidR="00EC7EDF" w:rsidRPr="00FD211F">
        <w:rPr>
          <w:sz w:val="36"/>
          <w:szCs w:val="36"/>
          <w:rtl/>
        </w:rPr>
        <w:t>ة</w:t>
      </w:r>
      <w:r w:rsidR="00A61BAE" w:rsidRPr="00FD211F">
        <w:rPr>
          <w:sz w:val="36"/>
          <w:szCs w:val="36"/>
          <w:rtl/>
        </w:rPr>
        <w:t>.</w:t>
      </w:r>
      <w:r w:rsidR="009C58C8" w:rsidRPr="00FD211F">
        <w:rPr>
          <w:rStyle w:val="a6"/>
          <w:sz w:val="36"/>
          <w:szCs w:val="36"/>
          <w:rtl/>
        </w:rPr>
        <w:t>(</w:t>
      </w:r>
      <w:r w:rsidR="009C58C8" w:rsidRPr="00FD211F">
        <w:rPr>
          <w:rStyle w:val="a6"/>
          <w:sz w:val="36"/>
          <w:szCs w:val="36"/>
          <w:rtl/>
        </w:rPr>
        <w:footnoteReference w:id="57"/>
      </w:r>
      <w:r w:rsidR="009C58C8" w:rsidRPr="00FD211F">
        <w:rPr>
          <w:rStyle w:val="a6"/>
          <w:sz w:val="36"/>
          <w:szCs w:val="36"/>
          <w:rtl/>
        </w:rPr>
        <w:t>)</w:t>
      </w:r>
    </w:p>
    <w:p w14:paraId="5C992C4C" w14:textId="77777777" w:rsidR="003A06BE" w:rsidRPr="00FD211F" w:rsidRDefault="00205556" w:rsidP="009C58C8">
      <w:pPr>
        <w:ind w:left="0" w:firstLine="227"/>
        <w:jc w:val="both"/>
        <w:rPr>
          <w:sz w:val="36"/>
          <w:szCs w:val="36"/>
          <w:rtl/>
        </w:rPr>
      </w:pPr>
      <w:r w:rsidRPr="00FD211F">
        <w:rPr>
          <w:sz w:val="36"/>
          <w:szCs w:val="36"/>
          <w:rtl/>
        </w:rPr>
        <w:t>اقول</w:t>
      </w:r>
      <w:r w:rsidR="00EC7EDF" w:rsidRPr="00FD211F">
        <w:rPr>
          <w:sz w:val="36"/>
          <w:szCs w:val="36"/>
          <w:rtl/>
        </w:rPr>
        <w:t>:</w:t>
      </w:r>
      <w:r w:rsidR="006E5BF1" w:rsidRPr="00FD211F">
        <w:rPr>
          <w:sz w:val="36"/>
          <w:szCs w:val="36"/>
          <w:rtl/>
        </w:rPr>
        <w:t>الاصح</w:t>
      </w:r>
      <w:r w:rsidR="00B253CE" w:rsidRPr="00FD211F">
        <w:rPr>
          <w:sz w:val="36"/>
          <w:szCs w:val="36"/>
          <w:rtl/>
        </w:rPr>
        <w:t xml:space="preserve"> </w:t>
      </w:r>
      <w:r w:rsidR="000E2C38" w:rsidRPr="00FD211F">
        <w:rPr>
          <w:sz w:val="36"/>
          <w:szCs w:val="36"/>
          <w:rtl/>
        </w:rPr>
        <w:t xml:space="preserve">تقريب البيان الثاني بأن </w:t>
      </w:r>
      <w:r w:rsidR="003A06BE" w:rsidRPr="00FD211F">
        <w:rPr>
          <w:sz w:val="36"/>
          <w:szCs w:val="36"/>
          <w:rtl/>
        </w:rPr>
        <w:t>انقسام الكلام او فقل قابليته لاتصافه ب</w:t>
      </w:r>
      <w:r w:rsidRPr="00FD211F">
        <w:rPr>
          <w:sz w:val="36"/>
          <w:szCs w:val="36"/>
          <w:rtl/>
        </w:rPr>
        <w:t>كونه مطابقا لقواعد النحو وغيرمطابق له</w:t>
      </w:r>
      <w:r w:rsidR="00603323" w:rsidRPr="00FD211F">
        <w:rPr>
          <w:sz w:val="36"/>
          <w:szCs w:val="36"/>
          <w:rtl/>
        </w:rPr>
        <w:t xml:space="preserve">، </w:t>
      </w:r>
      <w:r w:rsidR="003A06BE" w:rsidRPr="00FD211F">
        <w:rPr>
          <w:sz w:val="36"/>
          <w:szCs w:val="36"/>
          <w:rtl/>
        </w:rPr>
        <w:t>عبار</w:t>
      </w:r>
      <w:r w:rsidR="00EC7EDF" w:rsidRPr="00FD211F">
        <w:rPr>
          <w:sz w:val="36"/>
          <w:szCs w:val="36"/>
          <w:rtl/>
        </w:rPr>
        <w:t xml:space="preserve">ة </w:t>
      </w:r>
      <w:r w:rsidR="003A06BE" w:rsidRPr="00FD211F">
        <w:rPr>
          <w:sz w:val="36"/>
          <w:szCs w:val="36"/>
          <w:rtl/>
        </w:rPr>
        <w:t>عن ملاحظ</w:t>
      </w:r>
      <w:r w:rsidR="00EC7EDF" w:rsidRPr="00FD211F">
        <w:rPr>
          <w:sz w:val="36"/>
          <w:szCs w:val="36"/>
          <w:rtl/>
        </w:rPr>
        <w:t xml:space="preserve">ة </w:t>
      </w:r>
      <w:r w:rsidR="003A06BE" w:rsidRPr="00FD211F">
        <w:rPr>
          <w:sz w:val="36"/>
          <w:szCs w:val="36"/>
          <w:rtl/>
        </w:rPr>
        <w:t>النسب</w:t>
      </w:r>
      <w:r w:rsidR="00EC7EDF" w:rsidRPr="00FD211F">
        <w:rPr>
          <w:sz w:val="36"/>
          <w:szCs w:val="36"/>
          <w:rtl/>
        </w:rPr>
        <w:t xml:space="preserve">ة </w:t>
      </w:r>
      <w:r w:rsidR="003A06BE" w:rsidRPr="00FD211F">
        <w:rPr>
          <w:sz w:val="36"/>
          <w:szCs w:val="36"/>
          <w:rtl/>
        </w:rPr>
        <w:t>بين الكلام وبين قواعد النحو من حيث مطابقته لها وعدمها</w:t>
      </w:r>
      <w:r w:rsidR="00603323" w:rsidRPr="00FD211F">
        <w:rPr>
          <w:sz w:val="36"/>
          <w:szCs w:val="36"/>
          <w:rtl/>
        </w:rPr>
        <w:t xml:space="preserve">، </w:t>
      </w:r>
      <w:r w:rsidR="003A06BE" w:rsidRPr="00FD211F">
        <w:rPr>
          <w:sz w:val="36"/>
          <w:szCs w:val="36"/>
          <w:rtl/>
        </w:rPr>
        <w:t>فليست نسب</w:t>
      </w:r>
      <w:r w:rsidR="00EC7EDF" w:rsidRPr="00FD211F">
        <w:rPr>
          <w:sz w:val="36"/>
          <w:szCs w:val="36"/>
          <w:rtl/>
        </w:rPr>
        <w:t xml:space="preserve">ة </w:t>
      </w:r>
      <w:r w:rsidR="003A06BE" w:rsidRPr="00FD211F">
        <w:rPr>
          <w:sz w:val="36"/>
          <w:szCs w:val="36"/>
          <w:rtl/>
        </w:rPr>
        <w:t xml:space="preserve">الكلام الى قواعد النحو </w:t>
      </w:r>
      <w:r w:rsidR="003A06BE" w:rsidRPr="00FD211F">
        <w:rPr>
          <w:sz w:val="36"/>
          <w:szCs w:val="36"/>
          <w:rtl/>
        </w:rPr>
        <w:lastRenderedPageBreak/>
        <w:t>نسب</w:t>
      </w:r>
      <w:r w:rsidR="00EC7EDF" w:rsidRPr="00FD211F">
        <w:rPr>
          <w:sz w:val="36"/>
          <w:szCs w:val="36"/>
          <w:rtl/>
        </w:rPr>
        <w:t xml:space="preserve">ة </w:t>
      </w:r>
      <w:r w:rsidR="003A06BE" w:rsidRPr="00FD211F">
        <w:rPr>
          <w:sz w:val="36"/>
          <w:szCs w:val="36"/>
          <w:rtl/>
        </w:rPr>
        <w:t>ال</w:t>
      </w:r>
      <w:r w:rsidR="00E6002B" w:rsidRPr="00FD211F">
        <w:rPr>
          <w:sz w:val="36"/>
          <w:szCs w:val="36"/>
          <w:rtl/>
        </w:rPr>
        <w:t>أ</w:t>
      </w:r>
      <w:r w:rsidR="003A06BE" w:rsidRPr="00FD211F">
        <w:rPr>
          <w:sz w:val="36"/>
          <w:szCs w:val="36"/>
          <w:rtl/>
        </w:rPr>
        <w:t>ثر الى المؤثر ابدا.</w:t>
      </w:r>
    </w:p>
    <w:p w14:paraId="7B455159" w14:textId="77777777" w:rsidR="000C5BBA" w:rsidRPr="00FD211F" w:rsidRDefault="00DA7FF7" w:rsidP="009C58C8">
      <w:pPr>
        <w:ind w:left="0" w:firstLine="227"/>
        <w:jc w:val="both"/>
        <w:rPr>
          <w:rStyle w:val="a6"/>
          <w:sz w:val="36"/>
          <w:szCs w:val="36"/>
          <w:rtl/>
        </w:rPr>
      </w:pPr>
      <w:r w:rsidRPr="00FD211F">
        <w:rPr>
          <w:sz w:val="36"/>
          <w:szCs w:val="36"/>
          <w:rtl/>
        </w:rPr>
        <w:t>هذاوقد ذكر</w:t>
      </w:r>
      <w:r w:rsidR="003C2F8A" w:rsidRPr="00FD211F">
        <w:rPr>
          <w:sz w:val="36"/>
          <w:szCs w:val="36"/>
          <w:rtl/>
        </w:rPr>
        <w:t xml:space="preserve"> السيد الخوئي</w:t>
      </w:r>
      <w:r w:rsidR="00A61BAE" w:rsidRPr="00FD211F">
        <w:rPr>
          <w:sz w:val="36"/>
          <w:szCs w:val="36"/>
          <w:rtl/>
        </w:rPr>
        <w:t xml:space="preserve"> "قده" </w:t>
      </w:r>
      <w:r w:rsidR="00815D67" w:rsidRPr="00FD211F">
        <w:rPr>
          <w:sz w:val="36"/>
          <w:szCs w:val="36"/>
          <w:rtl/>
        </w:rPr>
        <w:t>ان غرض الصيان</w:t>
      </w:r>
      <w:r w:rsidR="00EC7EDF" w:rsidRPr="00FD211F">
        <w:rPr>
          <w:sz w:val="36"/>
          <w:szCs w:val="36"/>
          <w:rtl/>
        </w:rPr>
        <w:t xml:space="preserve">ة </w:t>
      </w:r>
      <w:r w:rsidR="00815D67" w:rsidRPr="00FD211F">
        <w:rPr>
          <w:sz w:val="36"/>
          <w:szCs w:val="36"/>
          <w:rtl/>
        </w:rPr>
        <w:t>عن الخطأ في المقام مترتب على العلم بمسائل النحو دون نفس تلك المسائل فلابد من فرض جامع ذاتي بين العلم بمسائل علم النحو</w:t>
      </w:r>
      <w:r w:rsidR="009C58C8" w:rsidRPr="00FD211F">
        <w:rPr>
          <w:rStyle w:val="a6"/>
          <w:sz w:val="36"/>
          <w:szCs w:val="36"/>
          <w:rtl/>
        </w:rPr>
        <w:t>(</w:t>
      </w:r>
      <w:r w:rsidR="009C58C8" w:rsidRPr="00FD211F">
        <w:rPr>
          <w:rStyle w:val="a6"/>
          <w:sz w:val="36"/>
          <w:szCs w:val="36"/>
          <w:rtl/>
        </w:rPr>
        <w:footnoteReference w:id="58"/>
      </w:r>
      <w:r w:rsidR="009C58C8" w:rsidRPr="00FD211F">
        <w:rPr>
          <w:rStyle w:val="a6"/>
          <w:sz w:val="36"/>
          <w:szCs w:val="36"/>
          <w:rtl/>
        </w:rPr>
        <w:t>)</w:t>
      </w:r>
      <w:r w:rsidR="006E5BF1" w:rsidRPr="00FD211F">
        <w:rPr>
          <w:rStyle w:val="a6"/>
          <w:sz w:val="36"/>
          <w:szCs w:val="36"/>
          <w:rtl/>
        </w:rPr>
        <w:t>.</w:t>
      </w:r>
    </w:p>
    <w:p w14:paraId="2D4EB932" w14:textId="77777777" w:rsidR="00EB709A" w:rsidRPr="00FD211F" w:rsidRDefault="00DA7FF7" w:rsidP="009C58C8">
      <w:pPr>
        <w:ind w:left="0" w:firstLine="227"/>
        <w:jc w:val="both"/>
        <w:rPr>
          <w:sz w:val="36"/>
          <w:szCs w:val="36"/>
          <w:rtl/>
        </w:rPr>
      </w:pPr>
      <w:r w:rsidRPr="00FD211F">
        <w:rPr>
          <w:sz w:val="36"/>
          <w:szCs w:val="36"/>
          <w:rtl/>
        </w:rPr>
        <w:t>ولكن يلاحظ عليه ان</w:t>
      </w:r>
      <w:r w:rsidR="00815D67" w:rsidRPr="00FD211F">
        <w:rPr>
          <w:sz w:val="36"/>
          <w:szCs w:val="36"/>
          <w:rtl/>
        </w:rPr>
        <w:t xml:space="preserve"> الجامع الذاتي بين الصور الذهني</w:t>
      </w:r>
      <w:r w:rsidR="00EC7EDF" w:rsidRPr="00FD211F">
        <w:rPr>
          <w:sz w:val="36"/>
          <w:szCs w:val="36"/>
          <w:rtl/>
        </w:rPr>
        <w:t xml:space="preserve">ة </w:t>
      </w:r>
      <w:r w:rsidR="00815D67" w:rsidRPr="00FD211F">
        <w:rPr>
          <w:sz w:val="36"/>
          <w:szCs w:val="36"/>
          <w:rtl/>
        </w:rPr>
        <w:t>لمسائل علم النحو يلازم وجود جامع ذاتي بين نفس تلك المسائل.</w:t>
      </w:r>
    </w:p>
    <w:p w14:paraId="4023825D" w14:textId="77777777" w:rsidR="007425FE" w:rsidRPr="00FD211F" w:rsidRDefault="007425FE" w:rsidP="0067698C">
      <w:pPr>
        <w:ind w:left="0" w:firstLine="227"/>
        <w:jc w:val="both"/>
        <w:rPr>
          <w:sz w:val="36"/>
          <w:szCs w:val="36"/>
          <w:rtl/>
        </w:rPr>
      </w:pPr>
      <w:r w:rsidRPr="00FD211F">
        <w:rPr>
          <w:sz w:val="36"/>
          <w:szCs w:val="36"/>
          <w:rtl/>
        </w:rPr>
        <w:t>2-</w:t>
      </w:r>
      <w:r w:rsidR="00315871" w:rsidRPr="00FD211F">
        <w:rPr>
          <w:sz w:val="36"/>
          <w:szCs w:val="36"/>
          <w:rtl/>
        </w:rPr>
        <w:t xml:space="preserve"> ما ذكره السيد الخوئي </w:t>
      </w:r>
      <w:r w:rsidR="006E5BF1" w:rsidRPr="00FD211F">
        <w:rPr>
          <w:sz w:val="36"/>
          <w:szCs w:val="36"/>
          <w:rtl/>
        </w:rPr>
        <w:t>"</w:t>
      </w:r>
      <w:r w:rsidR="00315871" w:rsidRPr="00FD211F">
        <w:rPr>
          <w:sz w:val="36"/>
          <w:szCs w:val="36"/>
          <w:rtl/>
        </w:rPr>
        <w:t>قده</w:t>
      </w:r>
      <w:r w:rsidR="006E5BF1" w:rsidRPr="00FD211F">
        <w:rPr>
          <w:sz w:val="36"/>
          <w:szCs w:val="36"/>
          <w:rtl/>
        </w:rPr>
        <w:t>"</w:t>
      </w:r>
      <w:r w:rsidR="00B27599" w:rsidRPr="00FD211F">
        <w:rPr>
          <w:sz w:val="36"/>
          <w:szCs w:val="36"/>
          <w:rtl/>
        </w:rPr>
        <w:t xml:space="preserve"> في</w:t>
      </w:r>
      <w:r w:rsidR="0067698C" w:rsidRPr="00FD211F">
        <w:rPr>
          <w:sz w:val="36"/>
          <w:szCs w:val="36"/>
          <w:rtl/>
        </w:rPr>
        <w:t xml:space="preserve"> </w:t>
      </w:r>
      <w:r w:rsidR="00B27599" w:rsidRPr="00FD211F">
        <w:rPr>
          <w:sz w:val="36"/>
          <w:szCs w:val="36"/>
          <w:rtl/>
        </w:rPr>
        <w:t>تعليق</w:t>
      </w:r>
      <w:r w:rsidR="00EC7EDF" w:rsidRPr="00FD211F">
        <w:rPr>
          <w:sz w:val="36"/>
          <w:szCs w:val="36"/>
          <w:rtl/>
        </w:rPr>
        <w:t xml:space="preserve">ة </w:t>
      </w:r>
      <w:r w:rsidR="00B27599" w:rsidRPr="00FD211F">
        <w:rPr>
          <w:sz w:val="36"/>
          <w:szCs w:val="36"/>
          <w:rtl/>
        </w:rPr>
        <w:t>اجود التقريرات</w:t>
      </w:r>
      <w:r w:rsidR="00315871" w:rsidRPr="00FD211F">
        <w:rPr>
          <w:sz w:val="36"/>
          <w:szCs w:val="36"/>
          <w:rtl/>
        </w:rPr>
        <w:t xml:space="preserve"> من ان وحد</w:t>
      </w:r>
      <w:r w:rsidR="00EC7EDF" w:rsidRPr="00FD211F">
        <w:rPr>
          <w:sz w:val="36"/>
          <w:szCs w:val="36"/>
          <w:rtl/>
        </w:rPr>
        <w:t xml:space="preserve">ة </w:t>
      </w:r>
      <w:r w:rsidR="00315871" w:rsidRPr="00FD211F">
        <w:rPr>
          <w:sz w:val="36"/>
          <w:szCs w:val="36"/>
          <w:rtl/>
        </w:rPr>
        <w:t xml:space="preserve">الغرض المترتب على مسائل العلم </w:t>
      </w:r>
      <w:r w:rsidRPr="00FD211F">
        <w:rPr>
          <w:sz w:val="36"/>
          <w:szCs w:val="36"/>
          <w:rtl/>
        </w:rPr>
        <w:t>ان كانت</w:t>
      </w:r>
      <w:r w:rsidR="00315871" w:rsidRPr="00FD211F">
        <w:rPr>
          <w:sz w:val="36"/>
          <w:szCs w:val="36"/>
          <w:rtl/>
        </w:rPr>
        <w:t xml:space="preserve"> وحد</w:t>
      </w:r>
      <w:r w:rsidR="00EC7EDF" w:rsidRPr="00FD211F">
        <w:rPr>
          <w:sz w:val="36"/>
          <w:szCs w:val="36"/>
          <w:rtl/>
        </w:rPr>
        <w:t xml:space="preserve">ة </w:t>
      </w:r>
      <w:r w:rsidR="00315871" w:rsidRPr="00FD211F">
        <w:rPr>
          <w:sz w:val="36"/>
          <w:szCs w:val="36"/>
          <w:rtl/>
        </w:rPr>
        <w:t>شخصي</w:t>
      </w:r>
      <w:r w:rsidR="00EC7EDF" w:rsidRPr="00FD211F">
        <w:rPr>
          <w:sz w:val="36"/>
          <w:szCs w:val="36"/>
          <w:rtl/>
        </w:rPr>
        <w:t xml:space="preserve">ة </w:t>
      </w:r>
      <w:r w:rsidR="001C6A1C" w:rsidRPr="00FD211F">
        <w:rPr>
          <w:sz w:val="36"/>
          <w:szCs w:val="36"/>
          <w:rtl/>
        </w:rPr>
        <w:t>بان يكون هناك غرض واحد شخصي مترتب على جميع مسائل العلم</w:t>
      </w:r>
      <w:r w:rsidR="00603323" w:rsidRPr="00FD211F">
        <w:rPr>
          <w:sz w:val="36"/>
          <w:szCs w:val="36"/>
          <w:rtl/>
        </w:rPr>
        <w:t xml:space="preserve">، </w:t>
      </w:r>
      <w:r w:rsidRPr="00FD211F">
        <w:rPr>
          <w:sz w:val="36"/>
          <w:szCs w:val="36"/>
          <w:rtl/>
        </w:rPr>
        <w:t>فيكون كل مسأل</w:t>
      </w:r>
      <w:r w:rsidR="00EC7EDF" w:rsidRPr="00FD211F">
        <w:rPr>
          <w:sz w:val="36"/>
          <w:szCs w:val="36"/>
          <w:rtl/>
        </w:rPr>
        <w:t xml:space="preserve">ة </w:t>
      </w:r>
      <w:r w:rsidRPr="00FD211F">
        <w:rPr>
          <w:sz w:val="36"/>
          <w:szCs w:val="36"/>
          <w:rtl/>
        </w:rPr>
        <w:t>مؤثر</w:t>
      </w:r>
      <w:r w:rsidR="00EC7EDF" w:rsidRPr="00FD211F">
        <w:rPr>
          <w:sz w:val="36"/>
          <w:szCs w:val="36"/>
          <w:rtl/>
        </w:rPr>
        <w:t xml:space="preserve">ة </w:t>
      </w:r>
      <w:r w:rsidRPr="00FD211F">
        <w:rPr>
          <w:sz w:val="36"/>
          <w:szCs w:val="36"/>
          <w:rtl/>
        </w:rPr>
        <w:t>في تحقق ذلك الغرض على وزان جزء العل</w:t>
      </w:r>
      <w:r w:rsidR="00EC7EDF" w:rsidRPr="00FD211F">
        <w:rPr>
          <w:sz w:val="36"/>
          <w:szCs w:val="36"/>
          <w:rtl/>
        </w:rPr>
        <w:t>ة</w:t>
      </w:r>
      <w:r w:rsidR="00603323" w:rsidRPr="00FD211F">
        <w:rPr>
          <w:sz w:val="36"/>
          <w:szCs w:val="36"/>
          <w:rtl/>
        </w:rPr>
        <w:t xml:space="preserve">، </w:t>
      </w:r>
      <w:r w:rsidRPr="00FD211F">
        <w:rPr>
          <w:sz w:val="36"/>
          <w:szCs w:val="36"/>
          <w:rtl/>
        </w:rPr>
        <w:t>وهذا مما لامحذور فيه ابدا.</w:t>
      </w:r>
    </w:p>
    <w:p w14:paraId="2D4D0367" w14:textId="77777777" w:rsidR="007425FE" w:rsidRPr="00FD211F" w:rsidRDefault="007425FE" w:rsidP="009C58C8">
      <w:pPr>
        <w:ind w:left="0" w:firstLine="227"/>
        <w:jc w:val="both"/>
        <w:rPr>
          <w:sz w:val="36"/>
          <w:szCs w:val="36"/>
          <w:rtl/>
        </w:rPr>
      </w:pPr>
      <w:r w:rsidRPr="00FD211F">
        <w:rPr>
          <w:sz w:val="36"/>
          <w:szCs w:val="36"/>
          <w:rtl/>
        </w:rPr>
        <w:t>وان كانت</w:t>
      </w:r>
      <w:r w:rsidR="001C6A1C" w:rsidRPr="00FD211F">
        <w:rPr>
          <w:sz w:val="36"/>
          <w:szCs w:val="36"/>
          <w:rtl/>
        </w:rPr>
        <w:t xml:space="preserve"> وحدته نوعي</w:t>
      </w:r>
      <w:r w:rsidR="00EC7EDF" w:rsidRPr="00FD211F">
        <w:rPr>
          <w:sz w:val="36"/>
          <w:szCs w:val="36"/>
          <w:rtl/>
        </w:rPr>
        <w:t xml:space="preserve">ة </w:t>
      </w:r>
      <w:r w:rsidR="001C6A1C" w:rsidRPr="00FD211F">
        <w:rPr>
          <w:sz w:val="36"/>
          <w:szCs w:val="36"/>
          <w:rtl/>
        </w:rPr>
        <w:t>بان يترتب على كل مسأل</w:t>
      </w:r>
      <w:r w:rsidR="00EC7EDF" w:rsidRPr="00FD211F">
        <w:rPr>
          <w:sz w:val="36"/>
          <w:szCs w:val="36"/>
          <w:rtl/>
        </w:rPr>
        <w:t xml:space="preserve">ة </w:t>
      </w:r>
      <w:r w:rsidR="001C6A1C" w:rsidRPr="00FD211F">
        <w:rPr>
          <w:sz w:val="36"/>
          <w:szCs w:val="36"/>
          <w:rtl/>
        </w:rPr>
        <w:t>غرض مستقل لكن تجتمع الاغراض المترتب</w:t>
      </w:r>
      <w:r w:rsidR="00EC7EDF" w:rsidRPr="00FD211F">
        <w:rPr>
          <w:sz w:val="36"/>
          <w:szCs w:val="36"/>
          <w:rtl/>
        </w:rPr>
        <w:t xml:space="preserve">ة </w:t>
      </w:r>
      <w:r w:rsidRPr="00FD211F">
        <w:rPr>
          <w:sz w:val="36"/>
          <w:szCs w:val="36"/>
          <w:rtl/>
        </w:rPr>
        <w:t>على مسائل العلم تحت جامع ذاتي يكون جنسا او فصلا لهاكما هو الصحيح</w:t>
      </w:r>
      <w:r w:rsidR="00603323" w:rsidRPr="00FD211F">
        <w:rPr>
          <w:sz w:val="36"/>
          <w:szCs w:val="36"/>
          <w:rtl/>
        </w:rPr>
        <w:t xml:space="preserve">، </w:t>
      </w:r>
      <w:r w:rsidRPr="00FD211F">
        <w:rPr>
          <w:sz w:val="36"/>
          <w:szCs w:val="36"/>
          <w:rtl/>
        </w:rPr>
        <w:t>فلاتنطبق قاعد</w:t>
      </w:r>
      <w:r w:rsidR="00EC7EDF" w:rsidRPr="00FD211F">
        <w:rPr>
          <w:sz w:val="36"/>
          <w:szCs w:val="36"/>
          <w:rtl/>
        </w:rPr>
        <w:t xml:space="preserve">ة </w:t>
      </w:r>
      <w:r w:rsidRPr="00FD211F">
        <w:rPr>
          <w:sz w:val="36"/>
          <w:szCs w:val="36"/>
          <w:rtl/>
        </w:rPr>
        <w:t>الواحد لايصدر الا عن الواحد عليه</w:t>
      </w:r>
      <w:r w:rsidR="00603323" w:rsidRPr="00FD211F">
        <w:rPr>
          <w:sz w:val="36"/>
          <w:szCs w:val="36"/>
          <w:rtl/>
        </w:rPr>
        <w:t xml:space="preserve">، </w:t>
      </w:r>
      <w:r w:rsidRPr="00FD211F">
        <w:rPr>
          <w:sz w:val="36"/>
          <w:szCs w:val="36"/>
          <w:rtl/>
        </w:rPr>
        <w:lastRenderedPageBreak/>
        <w:t>حيث ان الواحد النوعي يمكن ان يصدر من علل متباين</w:t>
      </w:r>
      <w:r w:rsidR="00EC7EDF" w:rsidRPr="00FD211F">
        <w:rPr>
          <w:sz w:val="36"/>
          <w:szCs w:val="36"/>
          <w:rtl/>
        </w:rPr>
        <w:t>ة</w:t>
      </w:r>
      <w:r w:rsidR="00603323" w:rsidRPr="00FD211F">
        <w:rPr>
          <w:sz w:val="36"/>
          <w:szCs w:val="36"/>
          <w:rtl/>
        </w:rPr>
        <w:t xml:space="preserve">، </w:t>
      </w:r>
      <w:r w:rsidRPr="00FD211F">
        <w:rPr>
          <w:sz w:val="36"/>
          <w:szCs w:val="36"/>
          <w:rtl/>
        </w:rPr>
        <w:t>كالحرار</w:t>
      </w:r>
      <w:r w:rsidR="00EC7EDF" w:rsidRPr="00FD211F">
        <w:rPr>
          <w:sz w:val="36"/>
          <w:szCs w:val="36"/>
          <w:rtl/>
        </w:rPr>
        <w:t xml:space="preserve">ة </w:t>
      </w:r>
      <w:r w:rsidRPr="00FD211F">
        <w:rPr>
          <w:sz w:val="36"/>
          <w:szCs w:val="36"/>
          <w:rtl/>
        </w:rPr>
        <w:t>التي تصدر من الشمس والحرك</w:t>
      </w:r>
      <w:r w:rsidR="00EC7EDF" w:rsidRPr="00FD211F">
        <w:rPr>
          <w:sz w:val="36"/>
          <w:szCs w:val="36"/>
          <w:rtl/>
        </w:rPr>
        <w:t xml:space="preserve">ة </w:t>
      </w:r>
      <w:r w:rsidRPr="00FD211F">
        <w:rPr>
          <w:sz w:val="36"/>
          <w:szCs w:val="36"/>
          <w:rtl/>
        </w:rPr>
        <w:t>والغضب.</w:t>
      </w:r>
    </w:p>
    <w:p w14:paraId="7E88432E" w14:textId="77777777" w:rsidR="00D179CC" w:rsidRPr="00FD211F" w:rsidRDefault="007425FE" w:rsidP="009C58C8">
      <w:pPr>
        <w:ind w:left="0" w:firstLine="227"/>
        <w:jc w:val="both"/>
        <w:rPr>
          <w:sz w:val="36"/>
          <w:szCs w:val="36"/>
          <w:rtl/>
        </w:rPr>
      </w:pPr>
      <w:r w:rsidRPr="00FD211F">
        <w:rPr>
          <w:sz w:val="36"/>
          <w:szCs w:val="36"/>
          <w:rtl/>
        </w:rPr>
        <w:t>وان كانت وحدته عنواني</w:t>
      </w:r>
      <w:r w:rsidR="00EC7EDF" w:rsidRPr="00FD211F">
        <w:rPr>
          <w:sz w:val="36"/>
          <w:szCs w:val="36"/>
          <w:rtl/>
        </w:rPr>
        <w:t xml:space="preserve">ة </w:t>
      </w:r>
      <w:r w:rsidRPr="00FD211F">
        <w:rPr>
          <w:sz w:val="36"/>
          <w:szCs w:val="36"/>
          <w:rtl/>
        </w:rPr>
        <w:t>بان لايكون جامع ذاتي بينها</w:t>
      </w:r>
      <w:r w:rsidR="00603323" w:rsidRPr="00FD211F">
        <w:rPr>
          <w:sz w:val="36"/>
          <w:szCs w:val="36"/>
          <w:rtl/>
        </w:rPr>
        <w:t xml:space="preserve">، </w:t>
      </w:r>
      <w:r w:rsidRPr="00FD211F">
        <w:rPr>
          <w:sz w:val="36"/>
          <w:szCs w:val="36"/>
          <w:rtl/>
        </w:rPr>
        <w:t>بل مجرد جامع انتزاعي</w:t>
      </w:r>
      <w:r w:rsidR="00603323" w:rsidRPr="00FD211F">
        <w:rPr>
          <w:sz w:val="36"/>
          <w:szCs w:val="36"/>
          <w:rtl/>
        </w:rPr>
        <w:t xml:space="preserve">، </w:t>
      </w:r>
      <w:r w:rsidRPr="00FD211F">
        <w:rPr>
          <w:sz w:val="36"/>
          <w:szCs w:val="36"/>
          <w:rtl/>
        </w:rPr>
        <w:t>فمن الواضح امكان صدورها عن علل متباين</w:t>
      </w:r>
      <w:r w:rsidR="00EC7EDF" w:rsidRPr="00FD211F">
        <w:rPr>
          <w:sz w:val="36"/>
          <w:szCs w:val="36"/>
          <w:rtl/>
        </w:rPr>
        <w:t xml:space="preserve">ة </w:t>
      </w:r>
      <w:r w:rsidRPr="00FD211F">
        <w:rPr>
          <w:sz w:val="36"/>
          <w:szCs w:val="36"/>
          <w:rtl/>
        </w:rPr>
        <w:t>لعدم جامع ذاتي بينها فكيف بعللها</w:t>
      </w:r>
      <w:r w:rsidR="009C58C8" w:rsidRPr="00FD211F">
        <w:rPr>
          <w:rStyle w:val="a6"/>
          <w:sz w:val="36"/>
          <w:szCs w:val="36"/>
          <w:rtl/>
        </w:rPr>
        <w:t>(</w:t>
      </w:r>
      <w:r w:rsidR="009C58C8" w:rsidRPr="00FD211F">
        <w:rPr>
          <w:rStyle w:val="a6"/>
          <w:sz w:val="36"/>
          <w:szCs w:val="36"/>
          <w:rtl/>
        </w:rPr>
        <w:footnoteReference w:id="59"/>
      </w:r>
      <w:r w:rsidR="009C58C8" w:rsidRPr="00FD211F">
        <w:rPr>
          <w:rStyle w:val="a6"/>
          <w:sz w:val="36"/>
          <w:szCs w:val="36"/>
          <w:rtl/>
        </w:rPr>
        <w:t>)</w:t>
      </w:r>
      <w:r w:rsidR="00BC100D" w:rsidRPr="00FD211F">
        <w:rPr>
          <w:sz w:val="36"/>
          <w:szCs w:val="36"/>
          <w:rtl/>
        </w:rPr>
        <w:t>.</w:t>
      </w:r>
    </w:p>
    <w:p w14:paraId="4C8647D4" w14:textId="77777777" w:rsidR="00BC100D" w:rsidRPr="00FD211F" w:rsidRDefault="00BC100D" w:rsidP="009C58C8">
      <w:pPr>
        <w:ind w:left="0" w:firstLine="227"/>
        <w:jc w:val="both"/>
        <w:rPr>
          <w:sz w:val="36"/>
          <w:szCs w:val="36"/>
          <w:rtl/>
        </w:rPr>
      </w:pPr>
      <w:r w:rsidRPr="00FD211F">
        <w:rPr>
          <w:sz w:val="36"/>
          <w:szCs w:val="36"/>
          <w:rtl/>
        </w:rPr>
        <w:t>هذا وقد حكي عنه في</w:t>
      </w:r>
      <w:r w:rsidR="0067698C" w:rsidRPr="00FD211F">
        <w:rPr>
          <w:sz w:val="36"/>
          <w:szCs w:val="36"/>
          <w:rtl/>
        </w:rPr>
        <w:t xml:space="preserve"> </w:t>
      </w:r>
      <w:r w:rsidRPr="00FD211F">
        <w:rPr>
          <w:sz w:val="36"/>
          <w:szCs w:val="36"/>
          <w:rtl/>
        </w:rPr>
        <w:t>المحاضرات</w:t>
      </w:r>
      <w:r w:rsidR="0067698C" w:rsidRPr="00FD211F">
        <w:rPr>
          <w:sz w:val="36"/>
          <w:szCs w:val="36"/>
          <w:rtl/>
        </w:rPr>
        <w:t xml:space="preserve"> </w:t>
      </w:r>
      <w:r w:rsidR="006E5BF1" w:rsidRPr="00FD211F">
        <w:rPr>
          <w:sz w:val="36"/>
          <w:szCs w:val="36"/>
          <w:rtl/>
        </w:rPr>
        <w:t xml:space="preserve">أنه </w:t>
      </w:r>
      <w:r w:rsidRPr="00FD211F">
        <w:rPr>
          <w:sz w:val="36"/>
          <w:szCs w:val="36"/>
          <w:rtl/>
        </w:rPr>
        <w:t xml:space="preserve">سلم </w:t>
      </w:r>
      <w:r w:rsidR="006E5BF1" w:rsidRPr="00FD211F">
        <w:rPr>
          <w:sz w:val="36"/>
          <w:szCs w:val="36"/>
          <w:rtl/>
        </w:rPr>
        <w:t>ب</w:t>
      </w:r>
      <w:r w:rsidRPr="00FD211F">
        <w:rPr>
          <w:sz w:val="36"/>
          <w:szCs w:val="36"/>
          <w:rtl/>
        </w:rPr>
        <w:t>انطباق القاعد</w:t>
      </w:r>
      <w:r w:rsidR="00EC7EDF" w:rsidRPr="00FD211F">
        <w:rPr>
          <w:sz w:val="36"/>
          <w:szCs w:val="36"/>
          <w:rtl/>
        </w:rPr>
        <w:t xml:space="preserve">ة </w:t>
      </w:r>
      <w:r w:rsidRPr="00FD211F">
        <w:rPr>
          <w:sz w:val="36"/>
          <w:szCs w:val="36"/>
          <w:rtl/>
        </w:rPr>
        <w:t>على الواحد النوعي فذكر ان الواحد النوعي يكشف عن عل</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Pr="00FD211F">
        <w:rPr>
          <w:sz w:val="36"/>
          <w:szCs w:val="36"/>
          <w:rtl/>
        </w:rPr>
        <w:t>بالنوع</w:t>
      </w:r>
      <w:r w:rsidR="00603323" w:rsidRPr="00FD211F">
        <w:rPr>
          <w:sz w:val="36"/>
          <w:szCs w:val="36"/>
          <w:rtl/>
        </w:rPr>
        <w:t xml:space="preserve">، </w:t>
      </w:r>
      <w:r w:rsidRPr="00FD211F">
        <w:rPr>
          <w:sz w:val="36"/>
          <w:szCs w:val="36"/>
          <w:rtl/>
        </w:rPr>
        <w:t>الا ان</w:t>
      </w:r>
      <w:r w:rsidR="008F437F" w:rsidRPr="00FD211F">
        <w:rPr>
          <w:sz w:val="36"/>
          <w:szCs w:val="36"/>
          <w:rtl/>
        </w:rPr>
        <w:t>ه ادعى ان</w:t>
      </w:r>
      <w:r w:rsidRPr="00FD211F">
        <w:rPr>
          <w:sz w:val="36"/>
          <w:szCs w:val="36"/>
          <w:rtl/>
        </w:rPr>
        <w:t xml:space="preserve"> الغرض</w:t>
      </w:r>
      <w:r w:rsidR="008F437F" w:rsidRPr="00FD211F">
        <w:rPr>
          <w:sz w:val="36"/>
          <w:szCs w:val="36"/>
          <w:rtl/>
        </w:rPr>
        <w:t xml:space="preserve"> المترتب على العلم</w:t>
      </w:r>
      <w:r w:rsidRPr="00FD211F">
        <w:rPr>
          <w:sz w:val="36"/>
          <w:szCs w:val="36"/>
          <w:rtl/>
        </w:rPr>
        <w:t xml:space="preserve"> ليس من هذا القبيل</w:t>
      </w:r>
      <w:r w:rsidR="00603323" w:rsidRPr="00FD211F">
        <w:rPr>
          <w:sz w:val="36"/>
          <w:szCs w:val="36"/>
          <w:rtl/>
        </w:rPr>
        <w:t xml:space="preserve">، </w:t>
      </w:r>
      <w:r w:rsidRPr="00FD211F">
        <w:rPr>
          <w:sz w:val="36"/>
          <w:szCs w:val="36"/>
          <w:rtl/>
        </w:rPr>
        <w:t>بل وحدته وحد</w:t>
      </w:r>
      <w:r w:rsidR="00EC7EDF" w:rsidRPr="00FD211F">
        <w:rPr>
          <w:sz w:val="36"/>
          <w:szCs w:val="36"/>
          <w:rtl/>
        </w:rPr>
        <w:t xml:space="preserve">ة </w:t>
      </w:r>
      <w:r w:rsidRPr="00FD211F">
        <w:rPr>
          <w:sz w:val="36"/>
          <w:szCs w:val="36"/>
          <w:rtl/>
        </w:rPr>
        <w:t>عنواني</w:t>
      </w:r>
      <w:r w:rsidR="00EC7EDF" w:rsidRPr="00FD211F">
        <w:rPr>
          <w:sz w:val="36"/>
          <w:szCs w:val="36"/>
          <w:rtl/>
        </w:rPr>
        <w:t xml:space="preserve">ة </w:t>
      </w:r>
      <w:r w:rsidRPr="00FD211F">
        <w:rPr>
          <w:sz w:val="36"/>
          <w:szCs w:val="36"/>
          <w:rtl/>
        </w:rPr>
        <w:t>فحسب</w:t>
      </w:r>
      <w:r w:rsidR="009C58C8" w:rsidRPr="00FD211F">
        <w:rPr>
          <w:rStyle w:val="a6"/>
          <w:sz w:val="36"/>
          <w:szCs w:val="36"/>
          <w:rtl/>
        </w:rPr>
        <w:t>(</w:t>
      </w:r>
      <w:r w:rsidR="009C58C8" w:rsidRPr="00FD211F">
        <w:rPr>
          <w:rStyle w:val="a6"/>
          <w:sz w:val="36"/>
          <w:szCs w:val="36"/>
          <w:rtl/>
        </w:rPr>
        <w:footnoteReference w:id="60"/>
      </w:r>
      <w:r w:rsidR="009C58C8" w:rsidRPr="00FD211F">
        <w:rPr>
          <w:rStyle w:val="a6"/>
          <w:sz w:val="36"/>
          <w:szCs w:val="36"/>
          <w:rtl/>
        </w:rPr>
        <w:t>)</w:t>
      </w:r>
      <w:r w:rsidRPr="00FD211F">
        <w:rPr>
          <w:sz w:val="36"/>
          <w:szCs w:val="36"/>
          <w:rtl/>
        </w:rPr>
        <w:t>.</w:t>
      </w:r>
    </w:p>
    <w:p w14:paraId="567E5D44" w14:textId="77777777" w:rsidR="000C5BBA" w:rsidRPr="00FD211F" w:rsidRDefault="00AE701C" w:rsidP="009C58C8">
      <w:pPr>
        <w:ind w:left="0" w:firstLine="227"/>
        <w:jc w:val="both"/>
        <w:rPr>
          <w:sz w:val="36"/>
          <w:szCs w:val="36"/>
          <w:rtl/>
        </w:rPr>
      </w:pPr>
      <w:r w:rsidRPr="00FD211F">
        <w:rPr>
          <w:sz w:val="36"/>
          <w:szCs w:val="36"/>
          <w:rtl/>
        </w:rPr>
        <w:t xml:space="preserve">ولايخفى انه </w:t>
      </w:r>
      <w:r w:rsidR="00BC100D" w:rsidRPr="00FD211F">
        <w:rPr>
          <w:sz w:val="36"/>
          <w:szCs w:val="36"/>
          <w:rtl/>
        </w:rPr>
        <w:t>لو فرضنا ان الغرض واحد شخصي مترتب على مجموع مسائل العلم فيلزم فرض تركب هذا الغرض</w:t>
      </w:r>
      <w:r w:rsidR="00603323" w:rsidRPr="00FD211F">
        <w:rPr>
          <w:sz w:val="36"/>
          <w:szCs w:val="36"/>
          <w:rtl/>
        </w:rPr>
        <w:t xml:space="preserve">، </w:t>
      </w:r>
      <w:r w:rsidR="007425FE" w:rsidRPr="00FD211F">
        <w:rPr>
          <w:sz w:val="36"/>
          <w:szCs w:val="36"/>
          <w:rtl/>
        </w:rPr>
        <w:t>حتى يكون</w:t>
      </w:r>
      <w:r w:rsidR="00BC100D" w:rsidRPr="00FD211F">
        <w:rPr>
          <w:sz w:val="36"/>
          <w:szCs w:val="36"/>
          <w:rtl/>
        </w:rPr>
        <w:t xml:space="preserve"> كل مسأل</w:t>
      </w:r>
      <w:r w:rsidR="00EC7EDF" w:rsidRPr="00FD211F">
        <w:rPr>
          <w:sz w:val="36"/>
          <w:szCs w:val="36"/>
          <w:rtl/>
        </w:rPr>
        <w:t xml:space="preserve">ة </w:t>
      </w:r>
      <w:r w:rsidR="00BC100D" w:rsidRPr="00FD211F">
        <w:rPr>
          <w:sz w:val="36"/>
          <w:szCs w:val="36"/>
          <w:rtl/>
        </w:rPr>
        <w:t>مؤثر</w:t>
      </w:r>
      <w:r w:rsidR="00EC7EDF" w:rsidRPr="00FD211F">
        <w:rPr>
          <w:sz w:val="36"/>
          <w:szCs w:val="36"/>
          <w:rtl/>
        </w:rPr>
        <w:t xml:space="preserve">ة </w:t>
      </w:r>
      <w:r w:rsidR="00BC100D" w:rsidRPr="00FD211F">
        <w:rPr>
          <w:sz w:val="36"/>
          <w:szCs w:val="36"/>
          <w:rtl/>
        </w:rPr>
        <w:t>في جه</w:t>
      </w:r>
      <w:r w:rsidR="00EC7EDF" w:rsidRPr="00FD211F">
        <w:rPr>
          <w:sz w:val="36"/>
          <w:szCs w:val="36"/>
          <w:rtl/>
        </w:rPr>
        <w:t xml:space="preserve">ة </w:t>
      </w:r>
      <w:r w:rsidR="00BC100D" w:rsidRPr="00FD211F">
        <w:rPr>
          <w:sz w:val="36"/>
          <w:szCs w:val="36"/>
          <w:rtl/>
        </w:rPr>
        <w:t>منه</w:t>
      </w:r>
      <w:r w:rsidR="00603323" w:rsidRPr="00FD211F">
        <w:rPr>
          <w:sz w:val="36"/>
          <w:szCs w:val="36"/>
          <w:rtl/>
        </w:rPr>
        <w:t xml:space="preserve">، </w:t>
      </w:r>
      <w:r w:rsidR="007425FE" w:rsidRPr="00FD211F">
        <w:rPr>
          <w:sz w:val="36"/>
          <w:szCs w:val="36"/>
          <w:rtl/>
        </w:rPr>
        <w:t>فانه لو كان الغرض بسيطا لزم من تركب علته التام</w:t>
      </w:r>
      <w:r w:rsidR="00EC7EDF" w:rsidRPr="00FD211F">
        <w:rPr>
          <w:sz w:val="36"/>
          <w:szCs w:val="36"/>
          <w:rtl/>
        </w:rPr>
        <w:t xml:space="preserve">ة </w:t>
      </w:r>
      <w:r w:rsidR="007425FE" w:rsidRPr="00FD211F">
        <w:rPr>
          <w:sz w:val="36"/>
          <w:szCs w:val="36"/>
          <w:rtl/>
        </w:rPr>
        <w:t>من عد</w:t>
      </w:r>
      <w:r w:rsidR="00EC7EDF" w:rsidRPr="00FD211F">
        <w:rPr>
          <w:sz w:val="36"/>
          <w:szCs w:val="36"/>
          <w:rtl/>
        </w:rPr>
        <w:t xml:space="preserve">ة </w:t>
      </w:r>
      <w:r w:rsidR="007425FE" w:rsidRPr="00FD211F">
        <w:rPr>
          <w:sz w:val="36"/>
          <w:szCs w:val="36"/>
          <w:rtl/>
        </w:rPr>
        <w:t>اجزاء ان يكون البسيط</w:t>
      </w:r>
      <w:r w:rsidR="00BC100D" w:rsidRPr="00FD211F">
        <w:rPr>
          <w:sz w:val="36"/>
          <w:szCs w:val="36"/>
          <w:rtl/>
        </w:rPr>
        <w:t xml:space="preserve"> مسانخا مع اجزاء متباين</w:t>
      </w:r>
      <w:r w:rsidR="00EC7EDF" w:rsidRPr="00FD211F">
        <w:rPr>
          <w:sz w:val="36"/>
          <w:szCs w:val="36"/>
          <w:rtl/>
        </w:rPr>
        <w:t xml:space="preserve">ة </w:t>
      </w:r>
      <w:r w:rsidR="00BC100D" w:rsidRPr="00FD211F">
        <w:rPr>
          <w:sz w:val="36"/>
          <w:szCs w:val="36"/>
          <w:rtl/>
        </w:rPr>
        <w:t>الذات</w:t>
      </w:r>
      <w:r w:rsidR="00603323" w:rsidRPr="00FD211F">
        <w:rPr>
          <w:sz w:val="36"/>
          <w:szCs w:val="36"/>
          <w:rtl/>
        </w:rPr>
        <w:t xml:space="preserve">، </w:t>
      </w:r>
      <w:r w:rsidR="00BC100D" w:rsidRPr="00FD211F">
        <w:rPr>
          <w:sz w:val="36"/>
          <w:szCs w:val="36"/>
          <w:rtl/>
        </w:rPr>
        <w:t xml:space="preserve">ولو فرضنا كون الغرض واحدا نوعيا فقد اختلف </w:t>
      </w:r>
      <w:r w:rsidR="00BC100D" w:rsidRPr="00FD211F">
        <w:rPr>
          <w:sz w:val="36"/>
          <w:szCs w:val="36"/>
          <w:rtl/>
        </w:rPr>
        <w:lastRenderedPageBreak/>
        <w:t>الحكماء في انه هل يلزم صدور الواحد النوعي عن الواحد النوعي ام لا</w:t>
      </w:r>
      <w:r w:rsidR="00603323" w:rsidRPr="00FD211F">
        <w:rPr>
          <w:sz w:val="36"/>
          <w:szCs w:val="36"/>
          <w:rtl/>
        </w:rPr>
        <w:t xml:space="preserve">، </w:t>
      </w:r>
      <w:r w:rsidR="00BC100D" w:rsidRPr="00FD211F">
        <w:rPr>
          <w:sz w:val="36"/>
          <w:szCs w:val="36"/>
          <w:rtl/>
        </w:rPr>
        <w:t xml:space="preserve">فذكر في الاسفار </w:t>
      </w:r>
      <w:r w:rsidR="006E5BF1" w:rsidRPr="00FD211F">
        <w:rPr>
          <w:sz w:val="36"/>
          <w:szCs w:val="36"/>
          <w:rtl/>
        </w:rPr>
        <w:t>عدم لزومه</w:t>
      </w:r>
      <w:r w:rsidR="00603323" w:rsidRPr="00FD211F">
        <w:rPr>
          <w:sz w:val="36"/>
          <w:szCs w:val="36"/>
          <w:rtl/>
        </w:rPr>
        <w:t xml:space="preserve">، </w:t>
      </w:r>
      <w:r w:rsidR="006E5BF1" w:rsidRPr="00FD211F">
        <w:rPr>
          <w:sz w:val="36"/>
          <w:szCs w:val="36"/>
          <w:rtl/>
        </w:rPr>
        <w:t>وقد مثل له</w:t>
      </w:r>
      <w:r w:rsidR="00BC100D" w:rsidRPr="00FD211F">
        <w:rPr>
          <w:sz w:val="36"/>
          <w:szCs w:val="36"/>
          <w:rtl/>
        </w:rPr>
        <w:t xml:space="preserve"> بالحرار</w:t>
      </w:r>
      <w:r w:rsidR="00EC7EDF" w:rsidRPr="00FD211F">
        <w:rPr>
          <w:sz w:val="36"/>
          <w:szCs w:val="36"/>
          <w:rtl/>
        </w:rPr>
        <w:t xml:space="preserve">ة </w:t>
      </w:r>
      <w:r w:rsidR="00BC100D" w:rsidRPr="00FD211F">
        <w:rPr>
          <w:sz w:val="36"/>
          <w:szCs w:val="36"/>
          <w:rtl/>
        </w:rPr>
        <w:t>التي قد تصدر من الحرك</w:t>
      </w:r>
      <w:r w:rsidR="00EC7EDF" w:rsidRPr="00FD211F">
        <w:rPr>
          <w:sz w:val="36"/>
          <w:szCs w:val="36"/>
          <w:rtl/>
        </w:rPr>
        <w:t xml:space="preserve">ة </w:t>
      </w:r>
      <w:r w:rsidR="00BC100D" w:rsidRPr="00FD211F">
        <w:rPr>
          <w:sz w:val="36"/>
          <w:szCs w:val="36"/>
          <w:rtl/>
        </w:rPr>
        <w:t>واخرى من الشمس وثالث</w:t>
      </w:r>
      <w:r w:rsidR="00EC7EDF" w:rsidRPr="00FD211F">
        <w:rPr>
          <w:sz w:val="36"/>
          <w:szCs w:val="36"/>
          <w:rtl/>
        </w:rPr>
        <w:t xml:space="preserve">ة </w:t>
      </w:r>
      <w:r w:rsidR="00BC100D" w:rsidRPr="00FD211F">
        <w:rPr>
          <w:sz w:val="36"/>
          <w:szCs w:val="36"/>
          <w:rtl/>
        </w:rPr>
        <w:t>من الغضب ولاجامع ذاتي بينها لكونها من مقولات متباين</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61"/>
      </w:r>
      <w:r w:rsidR="009C58C8" w:rsidRPr="00FD211F">
        <w:rPr>
          <w:rStyle w:val="a6"/>
          <w:sz w:val="36"/>
          <w:szCs w:val="36"/>
          <w:rtl/>
        </w:rPr>
        <w:t>)</w:t>
      </w:r>
      <w:r w:rsidR="00603323" w:rsidRPr="00FD211F">
        <w:rPr>
          <w:sz w:val="36"/>
          <w:szCs w:val="36"/>
          <w:rtl/>
        </w:rPr>
        <w:t xml:space="preserve">، </w:t>
      </w:r>
      <w:r w:rsidR="008F437F" w:rsidRPr="00FD211F">
        <w:rPr>
          <w:sz w:val="36"/>
          <w:szCs w:val="36"/>
          <w:rtl/>
        </w:rPr>
        <w:t xml:space="preserve">وتبعه في ذلك السيد الطباطبائي </w:t>
      </w:r>
      <w:r w:rsidR="00966429" w:rsidRPr="00FD211F">
        <w:rPr>
          <w:sz w:val="36"/>
          <w:szCs w:val="36"/>
          <w:rtl/>
        </w:rPr>
        <w:t>"</w:t>
      </w:r>
      <w:r w:rsidR="008F437F" w:rsidRPr="00FD211F">
        <w:rPr>
          <w:sz w:val="36"/>
          <w:szCs w:val="36"/>
          <w:rtl/>
        </w:rPr>
        <w:t>قده</w:t>
      </w:r>
      <w:r w:rsidR="00966429" w:rsidRPr="00FD211F">
        <w:rPr>
          <w:sz w:val="36"/>
          <w:szCs w:val="36"/>
          <w:rtl/>
        </w:rPr>
        <w:t>"</w:t>
      </w:r>
      <w:r w:rsidR="008F437F" w:rsidRPr="00FD211F">
        <w:rPr>
          <w:sz w:val="36"/>
          <w:szCs w:val="36"/>
          <w:rtl/>
        </w:rPr>
        <w:t xml:space="preserve"> في نهاي</w:t>
      </w:r>
      <w:r w:rsidR="00EC7EDF" w:rsidRPr="00FD211F">
        <w:rPr>
          <w:sz w:val="36"/>
          <w:szCs w:val="36"/>
          <w:rtl/>
        </w:rPr>
        <w:t xml:space="preserve">ة </w:t>
      </w:r>
      <w:r w:rsidR="008F437F" w:rsidRPr="00FD211F">
        <w:rPr>
          <w:sz w:val="36"/>
          <w:szCs w:val="36"/>
          <w:rtl/>
        </w:rPr>
        <w:t>الحكم</w:t>
      </w:r>
      <w:r w:rsidR="00EC7EDF" w:rsidRPr="00FD211F">
        <w:rPr>
          <w:sz w:val="36"/>
          <w:szCs w:val="36"/>
          <w:rtl/>
        </w:rPr>
        <w:t>ة</w:t>
      </w:r>
      <w:r w:rsidR="00A61BAE" w:rsidRPr="00FD211F">
        <w:rPr>
          <w:sz w:val="36"/>
          <w:szCs w:val="36"/>
          <w:rtl/>
        </w:rPr>
        <w:t>.</w:t>
      </w:r>
    </w:p>
    <w:p w14:paraId="48CCDDF5" w14:textId="77777777" w:rsidR="00F2348E" w:rsidRPr="00FD211F" w:rsidRDefault="00BC100D" w:rsidP="009C58C8">
      <w:pPr>
        <w:ind w:left="0" w:firstLine="227"/>
        <w:jc w:val="both"/>
        <w:rPr>
          <w:sz w:val="36"/>
          <w:szCs w:val="36"/>
          <w:rtl/>
        </w:rPr>
      </w:pPr>
      <w:r w:rsidRPr="00FD211F">
        <w:rPr>
          <w:sz w:val="36"/>
          <w:szCs w:val="36"/>
          <w:rtl/>
        </w:rPr>
        <w:t>لكن الانصاف جريان البرهان الذي أقيم على استحال</w:t>
      </w:r>
      <w:r w:rsidR="00EC7EDF" w:rsidRPr="00FD211F">
        <w:rPr>
          <w:sz w:val="36"/>
          <w:szCs w:val="36"/>
          <w:rtl/>
        </w:rPr>
        <w:t xml:space="preserve">ة </w:t>
      </w:r>
      <w:r w:rsidRPr="00FD211F">
        <w:rPr>
          <w:sz w:val="36"/>
          <w:szCs w:val="36"/>
          <w:rtl/>
        </w:rPr>
        <w:t>صدور الواحد الا عن الواحد في الواحد النوعي ايضا</w:t>
      </w:r>
      <w:r w:rsidR="00603323" w:rsidRPr="00FD211F">
        <w:rPr>
          <w:sz w:val="36"/>
          <w:szCs w:val="36"/>
          <w:rtl/>
        </w:rPr>
        <w:t xml:space="preserve">، </w:t>
      </w:r>
      <w:r w:rsidRPr="00FD211F">
        <w:rPr>
          <w:sz w:val="36"/>
          <w:szCs w:val="36"/>
          <w:rtl/>
        </w:rPr>
        <w:t xml:space="preserve">حيث يقال ان المعلول لابد ان يكون متسانخا مع </w:t>
      </w:r>
      <w:r w:rsidR="00000CA6" w:rsidRPr="00FD211F">
        <w:rPr>
          <w:sz w:val="36"/>
          <w:szCs w:val="36"/>
          <w:rtl/>
        </w:rPr>
        <w:t>علته</w:t>
      </w:r>
      <w:r w:rsidRPr="00FD211F">
        <w:rPr>
          <w:sz w:val="36"/>
          <w:szCs w:val="36"/>
          <w:rtl/>
        </w:rPr>
        <w:t xml:space="preserve"> والا</w:t>
      </w:r>
      <w:r w:rsidR="00000CA6" w:rsidRPr="00FD211F">
        <w:rPr>
          <w:sz w:val="36"/>
          <w:szCs w:val="36"/>
          <w:rtl/>
        </w:rPr>
        <w:t xml:space="preserve"> لأمكن صدور</w:t>
      </w:r>
      <w:r w:rsidRPr="00FD211F">
        <w:rPr>
          <w:sz w:val="36"/>
          <w:szCs w:val="36"/>
          <w:rtl/>
        </w:rPr>
        <w:t xml:space="preserve"> كل </w:t>
      </w:r>
      <w:r w:rsidR="008D7B3D" w:rsidRPr="00FD211F">
        <w:rPr>
          <w:sz w:val="36"/>
          <w:szCs w:val="36"/>
          <w:rtl/>
        </w:rPr>
        <w:t xml:space="preserve">شيء </w:t>
      </w:r>
      <w:r w:rsidRPr="00FD211F">
        <w:rPr>
          <w:sz w:val="36"/>
          <w:szCs w:val="36"/>
          <w:rtl/>
        </w:rPr>
        <w:t>من كل شيئ</w:t>
      </w:r>
      <w:r w:rsidR="00603323" w:rsidRPr="00FD211F">
        <w:rPr>
          <w:sz w:val="36"/>
          <w:szCs w:val="36"/>
          <w:rtl/>
        </w:rPr>
        <w:t xml:space="preserve">، </w:t>
      </w:r>
      <w:r w:rsidRPr="00FD211F">
        <w:rPr>
          <w:sz w:val="36"/>
          <w:szCs w:val="36"/>
          <w:rtl/>
        </w:rPr>
        <w:t>و</w:t>
      </w:r>
      <w:r w:rsidR="00000CA6" w:rsidRPr="00FD211F">
        <w:rPr>
          <w:sz w:val="36"/>
          <w:szCs w:val="36"/>
          <w:rtl/>
        </w:rPr>
        <w:t xml:space="preserve">حيث لايمكن </w:t>
      </w:r>
      <w:r w:rsidRPr="00FD211F">
        <w:rPr>
          <w:sz w:val="36"/>
          <w:szCs w:val="36"/>
          <w:rtl/>
        </w:rPr>
        <w:t>تسانخ الواحد مع عد</w:t>
      </w:r>
      <w:r w:rsidR="00EC7EDF" w:rsidRPr="00FD211F">
        <w:rPr>
          <w:sz w:val="36"/>
          <w:szCs w:val="36"/>
          <w:rtl/>
        </w:rPr>
        <w:t xml:space="preserve">ة </w:t>
      </w:r>
      <w:r w:rsidRPr="00FD211F">
        <w:rPr>
          <w:sz w:val="36"/>
          <w:szCs w:val="36"/>
          <w:rtl/>
        </w:rPr>
        <w:t>امور متباين</w:t>
      </w:r>
      <w:r w:rsidR="00EC7EDF" w:rsidRPr="00FD211F">
        <w:rPr>
          <w:sz w:val="36"/>
          <w:szCs w:val="36"/>
          <w:rtl/>
        </w:rPr>
        <w:t xml:space="preserve">ة </w:t>
      </w:r>
      <w:r w:rsidRPr="00FD211F">
        <w:rPr>
          <w:sz w:val="36"/>
          <w:szCs w:val="36"/>
          <w:rtl/>
        </w:rPr>
        <w:t>بما هي متباين</w:t>
      </w:r>
      <w:r w:rsidR="00EC7EDF" w:rsidRPr="00FD211F">
        <w:rPr>
          <w:sz w:val="36"/>
          <w:szCs w:val="36"/>
          <w:rtl/>
        </w:rPr>
        <w:t xml:space="preserve">ة </w:t>
      </w:r>
      <w:r w:rsidRPr="00FD211F">
        <w:rPr>
          <w:sz w:val="36"/>
          <w:szCs w:val="36"/>
          <w:rtl/>
        </w:rPr>
        <w:t xml:space="preserve">فلابد ان يكون </w:t>
      </w:r>
      <w:r w:rsidR="00F2348E" w:rsidRPr="00FD211F">
        <w:rPr>
          <w:sz w:val="36"/>
          <w:szCs w:val="36"/>
          <w:rtl/>
        </w:rPr>
        <w:t>صادرا عن جامع مشترك بينها</w:t>
      </w:r>
      <w:r w:rsidR="00603323" w:rsidRPr="00FD211F">
        <w:rPr>
          <w:sz w:val="36"/>
          <w:szCs w:val="36"/>
          <w:rtl/>
        </w:rPr>
        <w:t xml:space="preserve">، </w:t>
      </w:r>
      <w:r w:rsidR="00F2348E" w:rsidRPr="00FD211F">
        <w:rPr>
          <w:sz w:val="36"/>
          <w:szCs w:val="36"/>
          <w:rtl/>
        </w:rPr>
        <w:t>وهذا معنى قولهم الواحد لايصدر الا عن الواحد</w:t>
      </w:r>
      <w:r w:rsidR="00603323" w:rsidRPr="00FD211F">
        <w:rPr>
          <w:sz w:val="36"/>
          <w:szCs w:val="36"/>
          <w:rtl/>
        </w:rPr>
        <w:t xml:space="preserve">، </w:t>
      </w:r>
      <w:r w:rsidR="00F2348E" w:rsidRPr="00FD211F">
        <w:rPr>
          <w:sz w:val="36"/>
          <w:szCs w:val="36"/>
          <w:rtl/>
        </w:rPr>
        <w:t xml:space="preserve">وحينئذ فيقال: ان </w:t>
      </w:r>
      <w:r w:rsidR="00000CA6" w:rsidRPr="00FD211F">
        <w:rPr>
          <w:sz w:val="36"/>
          <w:szCs w:val="36"/>
          <w:rtl/>
        </w:rPr>
        <w:t>الجامع النوعي المشترك بين عد</w:t>
      </w:r>
      <w:r w:rsidR="00EC7EDF" w:rsidRPr="00FD211F">
        <w:rPr>
          <w:sz w:val="36"/>
          <w:szCs w:val="36"/>
          <w:rtl/>
        </w:rPr>
        <w:t xml:space="preserve">ة </w:t>
      </w:r>
      <w:r w:rsidR="00F2348E" w:rsidRPr="00FD211F">
        <w:rPr>
          <w:sz w:val="36"/>
          <w:szCs w:val="36"/>
          <w:rtl/>
        </w:rPr>
        <w:t>امور واحد</w:t>
      </w:r>
      <w:r w:rsidR="00EC7EDF" w:rsidRPr="00FD211F">
        <w:rPr>
          <w:sz w:val="36"/>
          <w:szCs w:val="36"/>
          <w:rtl/>
        </w:rPr>
        <w:t xml:space="preserve">ة </w:t>
      </w:r>
      <w:r w:rsidR="00F2348E" w:rsidRPr="00FD211F">
        <w:rPr>
          <w:sz w:val="36"/>
          <w:szCs w:val="36"/>
          <w:rtl/>
        </w:rPr>
        <w:t>بالنوع لو صدر من علل متباين</w:t>
      </w:r>
      <w:r w:rsidR="00EC7EDF" w:rsidRPr="00FD211F">
        <w:rPr>
          <w:sz w:val="36"/>
          <w:szCs w:val="36"/>
          <w:rtl/>
        </w:rPr>
        <w:t xml:space="preserve">ة </w:t>
      </w:r>
      <w:r w:rsidR="00F2348E" w:rsidRPr="00FD211F">
        <w:rPr>
          <w:sz w:val="36"/>
          <w:szCs w:val="36"/>
          <w:rtl/>
        </w:rPr>
        <w:t>بما هي متباين</w:t>
      </w:r>
      <w:r w:rsidR="00EC7EDF" w:rsidRPr="00FD211F">
        <w:rPr>
          <w:sz w:val="36"/>
          <w:szCs w:val="36"/>
          <w:rtl/>
        </w:rPr>
        <w:t xml:space="preserve">ة </w:t>
      </w:r>
      <w:r w:rsidR="00F2348E" w:rsidRPr="00FD211F">
        <w:rPr>
          <w:sz w:val="36"/>
          <w:szCs w:val="36"/>
          <w:rtl/>
        </w:rPr>
        <w:t>لزم عدم التسانخ بين العل</w:t>
      </w:r>
      <w:r w:rsidR="00EC7EDF" w:rsidRPr="00FD211F">
        <w:rPr>
          <w:sz w:val="36"/>
          <w:szCs w:val="36"/>
          <w:rtl/>
        </w:rPr>
        <w:t xml:space="preserve">ة </w:t>
      </w:r>
      <w:r w:rsidR="00F2348E" w:rsidRPr="00FD211F">
        <w:rPr>
          <w:sz w:val="36"/>
          <w:szCs w:val="36"/>
          <w:rtl/>
        </w:rPr>
        <w:t xml:space="preserve">والمعلول فلابد ان يكون صادرا عن </w:t>
      </w:r>
      <w:r w:rsidR="00000CA6" w:rsidRPr="00FD211F">
        <w:rPr>
          <w:sz w:val="36"/>
          <w:szCs w:val="36"/>
          <w:rtl/>
        </w:rPr>
        <w:t>جامع مشترك نوعي بين تلك العلل</w:t>
      </w:r>
      <w:r w:rsidR="00603323" w:rsidRPr="00FD211F">
        <w:rPr>
          <w:sz w:val="36"/>
          <w:szCs w:val="36"/>
          <w:rtl/>
        </w:rPr>
        <w:t xml:space="preserve">، </w:t>
      </w:r>
      <w:r w:rsidR="00000CA6" w:rsidRPr="00FD211F">
        <w:rPr>
          <w:sz w:val="36"/>
          <w:szCs w:val="36"/>
          <w:rtl/>
        </w:rPr>
        <w:t>وهذا يعني ان الواحد</w:t>
      </w:r>
      <w:r w:rsidR="00F2348E" w:rsidRPr="00FD211F">
        <w:rPr>
          <w:sz w:val="36"/>
          <w:szCs w:val="36"/>
          <w:rtl/>
        </w:rPr>
        <w:t xml:space="preserve"> </w:t>
      </w:r>
      <w:r w:rsidR="00F2348E" w:rsidRPr="00FD211F">
        <w:rPr>
          <w:sz w:val="36"/>
          <w:szCs w:val="36"/>
          <w:rtl/>
        </w:rPr>
        <w:lastRenderedPageBreak/>
        <w:t>النوعي لايصدر الا عن واحد نوعي.</w:t>
      </w:r>
    </w:p>
    <w:p w14:paraId="766BDB30" w14:textId="77777777" w:rsidR="00AC64E8" w:rsidRPr="00FD211F" w:rsidRDefault="00F2348E" w:rsidP="009C58C8">
      <w:pPr>
        <w:ind w:left="0" w:firstLine="227"/>
        <w:jc w:val="both"/>
        <w:rPr>
          <w:sz w:val="36"/>
          <w:szCs w:val="36"/>
          <w:rtl/>
        </w:rPr>
      </w:pPr>
      <w:r w:rsidRPr="00FD211F">
        <w:rPr>
          <w:sz w:val="36"/>
          <w:szCs w:val="36"/>
          <w:rtl/>
        </w:rPr>
        <w:t>واما مثال الحرار</w:t>
      </w:r>
      <w:r w:rsidR="00EC7EDF" w:rsidRPr="00FD211F">
        <w:rPr>
          <w:sz w:val="36"/>
          <w:szCs w:val="36"/>
          <w:rtl/>
        </w:rPr>
        <w:t xml:space="preserve">ة </w:t>
      </w:r>
      <w:r w:rsidRPr="00FD211F">
        <w:rPr>
          <w:sz w:val="36"/>
          <w:szCs w:val="36"/>
          <w:rtl/>
        </w:rPr>
        <w:t>فيمكن ان يقال بان ما عد عل</w:t>
      </w:r>
      <w:r w:rsidR="00EC7EDF" w:rsidRPr="00FD211F">
        <w:rPr>
          <w:sz w:val="36"/>
          <w:szCs w:val="36"/>
          <w:rtl/>
        </w:rPr>
        <w:t xml:space="preserve">ة </w:t>
      </w:r>
      <w:r w:rsidRPr="00FD211F">
        <w:rPr>
          <w:sz w:val="36"/>
          <w:szCs w:val="36"/>
          <w:rtl/>
        </w:rPr>
        <w:t>لها ليس عل</w:t>
      </w:r>
      <w:r w:rsidR="00EC7EDF" w:rsidRPr="00FD211F">
        <w:rPr>
          <w:sz w:val="36"/>
          <w:szCs w:val="36"/>
          <w:rtl/>
        </w:rPr>
        <w:t xml:space="preserve">ة </w:t>
      </w:r>
      <w:r w:rsidRPr="00FD211F">
        <w:rPr>
          <w:sz w:val="36"/>
          <w:szCs w:val="36"/>
          <w:rtl/>
        </w:rPr>
        <w:t>فاعل</w:t>
      </w:r>
      <w:r w:rsidR="00EC7EDF" w:rsidRPr="00FD211F">
        <w:rPr>
          <w:sz w:val="36"/>
          <w:szCs w:val="36"/>
          <w:rtl/>
        </w:rPr>
        <w:t xml:space="preserve">ة </w:t>
      </w:r>
      <w:r w:rsidRPr="00FD211F">
        <w:rPr>
          <w:sz w:val="36"/>
          <w:szCs w:val="36"/>
          <w:rtl/>
        </w:rPr>
        <w:t>وانما ه</w:t>
      </w:r>
      <w:r w:rsidR="00AE701C" w:rsidRPr="00FD211F">
        <w:rPr>
          <w:sz w:val="36"/>
          <w:szCs w:val="36"/>
          <w:rtl/>
        </w:rPr>
        <w:t>و</w:t>
      </w:r>
      <w:r w:rsidRPr="00FD211F">
        <w:rPr>
          <w:sz w:val="36"/>
          <w:szCs w:val="36"/>
          <w:rtl/>
        </w:rPr>
        <w:t xml:space="preserve"> مجرد </w:t>
      </w:r>
      <w:r w:rsidR="008D4A6C" w:rsidRPr="00FD211F">
        <w:rPr>
          <w:sz w:val="36"/>
          <w:szCs w:val="36"/>
          <w:rtl/>
        </w:rPr>
        <w:t>معد</w:t>
      </w:r>
      <w:r w:rsidR="00AE701C" w:rsidRPr="00FD211F">
        <w:rPr>
          <w:sz w:val="36"/>
          <w:szCs w:val="36"/>
          <w:rtl/>
        </w:rPr>
        <w:t>ّ</w:t>
      </w:r>
      <w:r w:rsidR="008D4A6C" w:rsidRPr="00FD211F">
        <w:rPr>
          <w:sz w:val="36"/>
          <w:szCs w:val="36"/>
          <w:rtl/>
        </w:rPr>
        <w:t xml:space="preserve"> لها</w:t>
      </w:r>
      <w:r w:rsidR="00603323" w:rsidRPr="00FD211F">
        <w:rPr>
          <w:sz w:val="36"/>
          <w:szCs w:val="36"/>
          <w:rtl/>
        </w:rPr>
        <w:t xml:space="preserve">، </w:t>
      </w:r>
      <w:r w:rsidR="008D4A6C" w:rsidRPr="00FD211F">
        <w:rPr>
          <w:sz w:val="36"/>
          <w:szCs w:val="36"/>
          <w:rtl/>
        </w:rPr>
        <w:t>والمعد</w:t>
      </w:r>
      <w:r w:rsidR="00AE701C" w:rsidRPr="00FD211F">
        <w:rPr>
          <w:sz w:val="36"/>
          <w:szCs w:val="36"/>
          <w:rtl/>
        </w:rPr>
        <w:t>ّ</w:t>
      </w:r>
      <w:r w:rsidR="008D4A6C" w:rsidRPr="00FD211F">
        <w:rPr>
          <w:sz w:val="36"/>
          <w:szCs w:val="36"/>
          <w:rtl/>
        </w:rPr>
        <w:t xml:space="preserve"> عل</w:t>
      </w:r>
      <w:r w:rsidR="00EC7EDF" w:rsidRPr="00FD211F">
        <w:rPr>
          <w:sz w:val="36"/>
          <w:szCs w:val="36"/>
          <w:rtl/>
        </w:rPr>
        <w:t xml:space="preserve">ة </w:t>
      </w:r>
      <w:r w:rsidR="008D4A6C" w:rsidRPr="00FD211F">
        <w:rPr>
          <w:sz w:val="36"/>
          <w:szCs w:val="36"/>
          <w:rtl/>
        </w:rPr>
        <w:t>فاعل</w:t>
      </w:r>
      <w:r w:rsidR="00EC7EDF" w:rsidRPr="00FD211F">
        <w:rPr>
          <w:sz w:val="36"/>
          <w:szCs w:val="36"/>
          <w:rtl/>
        </w:rPr>
        <w:t xml:space="preserve">ة </w:t>
      </w:r>
      <w:r w:rsidR="008D4A6C" w:rsidRPr="00FD211F">
        <w:rPr>
          <w:sz w:val="36"/>
          <w:szCs w:val="36"/>
          <w:rtl/>
        </w:rPr>
        <w:t>للاستعداد</w:t>
      </w:r>
      <w:r w:rsidR="00603323" w:rsidRPr="00FD211F">
        <w:rPr>
          <w:sz w:val="36"/>
          <w:szCs w:val="36"/>
          <w:rtl/>
        </w:rPr>
        <w:t xml:space="preserve">، </w:t>
      </w:r>
      <w:r w:rsidR="009977FE" w:rsidRPr="00FD211F">
        <w:rPr>
          <w:sz w:val="36"/>
          <w:szCs w:val="36"/>
          <w:rtl/>
        </w:rPr>
        <w:t>و</w:t>
      </w:r>
      <w:r w:rsidR="008D7B3D" w:rsidRPr="00FD211F">
        <w:rPr>
          <w:sz w:val="36"/>
          <w:szCs w:val="36"/>
          <w:rtl/>
        </w:rPr>
        <w:t xml:space="preserve"> لم‌</w:t>
      </w:r>
      <w:r w:rsidR="008D4A6C" w:rsidRPr="00FD211F">
        <w:rPr>
          <w:sz w:val="36"/>
          <w:szCs w:val="36"/>
          <w:rtl/>
        </w:rPr>
        <w:t>يعلم كون حال</w:t>
      </w:r>
      <w:r w:rsidR="00EC7EDF" w:rsidRPr="00FD211F">
        <w:rPr>
          <w:sz w:val="36"/>
          <w:szCs w:val="36"/>
          <w:rtl/>
        </w:rPr>
        <w:t xml:space="preserve">ة </w:t>
      </w:r>
      <w:r w:rsidR="008D4A6C" w:rsidRPr="00FD211F">
        <w:rPr>
          <w:sz w:val="36"/>
          <w:szCs w:val="36"/>
          <w:rtl/>
        </w:rPr>
        <w:t>استعداد الحرار</w:t>
      </w:r>
      <w:r w:rsidR="00EC7EDF" w:rsidRPr="00FD211F">
        <w:rPr>
          <w:sz w:val="36"/>
          <w:szCs w:val="36"/>
          <w:rtl/>
        </w:rPr>
        <w:t xml:space="preserve">ة </w:t>
      </w:r>
      <w:r w:rsidR="008D4A6C" w:rsidRPr="00FD211F">
        <w:rPr>
          <w:sz w:val="36"/>
          <w:szCs w:val="36"/>
          <w:rtl/>
        </w:rPr>
        <w:t xml:space="preserve">واحدا بالنوع في موارد اختلاف المعدات من النار والشمس </w:t>
      </w:r>
      <w:r w:rsidR="00000CA6" w:rsidRPr="00FD211F">
        <w:rPr>
          <w:sz w:val="36"/>
          <w:szCs w:val="36"/>
          <w:rtl/>
        </w:rPr>
        <w:t>والغضب</w:t>
      </w:r>
      <w:r w:rsidR="00AC64E8" w:rsidRPr="00FD211F">
        <w:rPr>
          <w:sz w:val="36"/>
          <w:szCs w:val="36"/>
          <w:rtl/>
        </w:rPr>
        <w:t>.</w:t>
      </w:r>
    </w:p>
    <w:p w14:paraId="22C4C2D1" w14:textId="77777777" w:rsidR="00F2348E" w:rsidRPr="00FD211F" w:rsidRDefault="008D4A6C" w:rsidP="009C58C8">
      <w:pPr>
        <w:ind w:left="0" w:firstLine="227"/>
        <w:jc w:val="both"/>
        <w:rPr>
          <w:sz w:val="36"/>
          <w:szCs w:val="36"/>
          <w:rtl/>
        </w:rPr>
      </w:pPr>
      <w:r w:rsidRPr="00FD211F">
        <w:rPr>
          <w:sz w:val="36"/>
          <w:szCs w:val="36"/>
          <w:rtl/>
        </w:rPr>
        <w:t>هذا والمهم</w:t>
      </w:r>
      <w:r w:rsidR="00000CA6" w:rsidRPr="00FD211F">
        <w:rPr>
          <w:sz w:val="36"/>
          <w:szCs w:val="36"/>
          <w:rtl/>
        </w:rPr>
        <w:t xml:space="preserve"> في الجواب عن هذا الوجه الثاني لوحد</w:t>
      </w:r>
      <w:r w:rsidR="00EC7EDF" w:rsidRPr="00FD211F">
        <w:rPr>
          <w:sz w:val="36"/>
          <w:szCs w:val="36"/>
          <w:rtl/>
        </w:rPr>
        <w:t xml:space="preserve">ة </w:t>
      </w:r>
      <w:r w:rsidR="00000CA6" w:rsidRPr="00FD211F">
        <w:rPr>
          <w:sz w:val="36"/>
          <w:szCs w:val="36"/>
          <w:rtl/>
        </w:rPr>
        <w:t>موضوع العلم هو</w:t>
      </w:r>
      <w:r w:rsidRPr="00FD211F">
        <w:rPr>
          <w:sz w:val="36"/>
          <w:szCs w:val="36"/>
          <w:rtl/>
        </w:rPr>
        <w:t xml:space="preserve"> ان الغرض المترتب على مسائل العلم ليس واحدا بالنوع بل هو واحد بالعنوان</w:t>
      </w:r>
      <w:r w:rsidR="00603323" w:rsidRPr="00FD211F">
        <w:rPr>
          <w:sz w:val="36"/>
          <w:szCs w:val="36"/>
          <w:rtl/>
        </w:rPr>
        <w:t xml:space="preserve">، </w:t>
      </w:r>
      <w:r w:rsidRPr="00FD211F">
        <w:rPr>
          <w:sz w:val="36"/>
          <w:szCs w:val="36"/>
          <w:rtl/>
        </w:rPr>
        <w:t>فالغرض المترتب على مسأل</w:t>
      </w:r>
      <w:r w:rsidR="00EC7EDF" w:rsidRPr="00FD211F">
        <w:rPr>
          <w:sz w:val="36"/>
          <w:szCs w:val="36"/>
          <w:rtl/>
        </w:rPr>
        <w:t xml:space="preserve">ة </w:t>
      </w:r>
      <w:r w:rsidRPr="00FD211F">
        <w:rPr>
          <w:sz w:val="36"/>
          <w:szCs w:val="36"/>
          <w:rtl/>
        </w:rPr>
        <w:t>ان الفاعل مرفوع هو صيان</w:t>
      </w:r>
      <w:r w:rsidR="00EC7EDF" w:rsidRPr="00FD211F">
        <w:rPr>
          <w:sz w:val="36"/>
          <w:szCs w:val="36"/>
          <w:rtl/>
        </w:rPr>
        <w:t xml:space="preserve">ة </w:t>
      </w:r>
      <w:r w:rsidRPr="00FD211F">
        <w:rPr>
          <w:sz w:val="36"/>
          <w:szCs w:val="36"/>
          <w:rtl/>
        </w:rPr>
        <w:t>المقال عن الخطأ من حيث اعراب الفاعل</w:t>
      </w:r>
      <w:r w:rsidR="00603323" w:rsidRPr="00FD211F">
        <w:rPr>
          <w:sz w:val="36"/>
          <w:szCs w:val="36"/>
          <w:rtl/>
        </w:rPr>
        <w:t xml:space="preserve">، </w:t>
      </w:r>
      <w:r w:rsidRPr="00FD211F">
        <w:rPr>
          <w:sz w:val="36"/>
          <w:szCs w:val="36"/>
          <w:rtl/>
        </w:rPr>
        <w:t>كما ان الغرض المترتب على مسأل</w:t>
      </w:r>
      <w:r w:rsidR="00EC7EDF" w:rsidRPr="00FD211F">
        <w:rPr>
          <w:sz w:val="36"/>
          <w:szCs w:val="36"/>
          <w:rtl/>
        </w:rPr>
        <w:t xml:space="preserve">ة </w:t>
      </w:r>
      <w:r w:rsidRPr="00FD211F">
        <w:rPr>
          <w:sz w:val="36"/>
          <w:szCs w:val="36"/>
          <w:rtl/>
        </w:rPr>
        <w:t>ان المفعول منصوب هو صيان</w:t>
      </w:r>
      <w:r w:rsidR="00EC7EDF" w:rsidRPr="00FD211F">
        <w:rPr>
          <w:sz w:val="36"/>
          <w:szCs w:val="36"/>
          <w:rtl/>
        </w:rPr>
        <w:t xml:space="preserve">ة </w:t>
      </w:r>
      <w:r w:rsidR="002E2A28" w:rsidRPr="00FD211F">
        <w:rPr>
          <w:sz w:val="36"/>
          <w:szCs w:val="36"/>
          <w:rtl/>
        </w:rPr>
        <w:t>المقال عن الخطأ من حيث اعراب المفعول</w:t>
      </w:r>
      <w:r w:rsidR="00603323" w:rsidRPr="00FD211F">
        <w:rPr>
          <w:sz w:val="36"/>
          <w:szCs w:val="36"/>
          <w:rtl/>
        </w:rPr>
        <w:t xml:space="preserve">، </w:t>
      </w:r>
      <w:r w:rsidR="002E2A28" w:rsidRPr="00FD211F">
        <w:rPr>
          <w:sz w:val="36"/>
          <w:szCs w:val="36"/>
          <w:rtl/>
        </w:rPr>
        <w:t>والغرض المترتب على مسال</w:t>
      </w:r>
      <w:r w:rsidR="00EC7EDF" w:rsidRPr="00FD211F">
        <w:rPr>
          <w:sz w:val="36"/>
          <w:szCs w:val="36"/>
          <w:rtl/>
        </w:rPr>
        <w:t xml:space="preserve">ة </w:t>
      </w:r>
      <w:r w:rsidR="002E2A28" w:rsidRPr="00FD211F">
        <w:rPr>
          <w:sz w:val="36"/>
          <w:szCs w:val="36"/>
          <w:rtl/>
        </w:rPr>
        <w:t>ان الحرف مبني هو صيان</w:t>
      </w:r>
      <w:r w:rsidR="00EC7EDF" w:rsidRPr="00FD211F">
        <w:rPr>
          <w:sz w:val="36"/>
          <w:szCs w:val="36"/>
          <w:rtl/>
        </w:rPr>
        <w:t xml:space="preserve">ة </w:t>
      </w:r>
      <w:r w:rsidR="002E2A28" w:rsidRPr="00FD211F">
        <w:rPr>
          <w:sz w:val="36"/>
          <w:szCs w:val="36"/>
          <w:rtl/>
        </w:rPr>
        <w:t>المقال عن الخطأ من حيث بناء الحرف وهكذا</w:t>
      </w:r>
      <w:r w:rsidR="00603323" w:rsidRPr="00FD211F">
        <w:rPr>
          <w:sz w:val="36"/>
          <w:szCs w:val="36"/>
          <w:rtl/>
        </w:rPr>
        <w:t xml:space="preserve">، </w:t>
      </w:r>
      <w:r w:rsidR="002E2A28" w:rsidRPr="00FD211F">
        <w:rPr>
          <w:sz w:val="36"/>
          <w:szCs w:val="36"/>
          <w:rtl/>
        </w:rPr>
        <w:t>ولاتجري قاعد</w:t>
      </w:r>
      <w:r w:rsidR="00EC7EDF" w:rsidRPr="00FD211F">
        <w:rPr>
          <w:sz w:val="36"/>
          <w:szCs w:val="36"/>
          <w:rtl/>
        </w:rPr>
        <w:t xml:space="preserve">ة </w:t>
      </w:r>
      <w:r w:rsidR="002E2A28" w:rsidRPr="00FD211F">
        <w:rPr>
          <w:sz w:val="36"/>
          <w:szCs w:val="36"/>
          <w:rtl/>
        </w:rPr>
        <w:t>ان الواحد لايصدر الا عن الواحد في الواحد بالعنوان جزما لافتراض عدم جامع ذاتي</w:t>
      </w:r>
      <w:r w:rsidR="00D22CA5" w:rsidRPr="00FD211F">
        <w:rPr>
          <w:sz w:val="36"/>
          <w:szCs w:val="36"/>
          <w:rtl/>
        </w:rPr>
        <w:t xml:space="preserve"> في الآثار</w:t>
      </w:r>
      <w:r w:rsidR="00603323" w:rsidRPr="00FD211F">
        <w:rPr>
          <w:sz w:val="36"/>
          <w:szCs w:val="36"/>
          <w:rtl/>
        </w:rPr>
        <w:t xml:space="preserve">، </w:t>
      </w:r>
      <w:r w:rsidR="00E45EB7" w:rsidRPr="00FD211F">
        <w:rPr>
          <w:sz w:val="36"/>
          <w:szCs w:val="36"/>
          <w:rtl/>
        </w:rPr>
        <w:t>كي يحتاج الى فرض</w:t>
      </w:r>
      <w:r w:rsidR="00D22CA5" w:rsidRPr="00FD211F">
        <w:rPr>
          <w:sz w:val="36"/>
          <w:szCs w:val="36"/>
          <w:rtl/>
        </w:rPr>
        <w:t xml:space="preserve"> وجود جامع ذاتي في المؤثرات</w:t>
      </w:r>
      <w:r w:rsidR="007D6AA3" w:rsidRPr="00FD211F">
        <w:rPr>
          <w:sz w:val="36"/>
          <w:szCs w:val="36"/>
          <w:rtl/>
        </w:rPr>
        <w:t>.</w:t>
      </w:r>
    </w:p>
    <w:p w14:paraId="7172817F" w14:textId="77777777" w:rsidR="007D6AA3" w:rsidRPr="00FD211F" w:rsidRDefault="007D6AA3" w:rsidP="009C58C8">
      <w:pPr>
        <w:ind w:left="0" w:firstLine="227"/>
        <w:jc w:val="both"/>
        <w:rPr>
          <w:sz w:val="36"/>
          <w:szCs w:val="36"/>
          <w:rtl/>
        </w:rPr>
      </w:pPr>
      <w:r w:rsidRPr="00FD211F">
        <w:rPr>
          <w:sz w:val="36"/>
          <w:szCs w:val="36"/>
          <w:rtl/>
        </w:rPr>
        <w:t>هذا ولايخفى ان لازم تطبيق قاعد</w:t>
      </w:r>
      <w:r w:rsidR="00EC7EDF" w:rsidRPr="00FD211F">
        <w:rPr>
          <w:sz w:val="36"/>
          <w:szCs w:val="36"/>
          <w:rtl/>
        </w:rPr>
        <w:t xml:space="preserve">ة </w:t>
      </w:r>
      <w:r w:rsidRPr="00FD211F">
        <w:rPr>
          <w:sz w:val="36"/>
          <w:szCs w:val="36"/>
          <w:rtl/>
        </w:rPr>
        <w:lastRenderedPageBreak/>
        <w:t>الواحد لايصدر الا عن الواحد على الغرض المرتب على مسائل العلم هو وجود جامع ذاتي بين مسائل العلم لاخصوص موضوعاتها</w:t>
      </w:r>
      <w:r w:rsidR="00603323" w:rsidRPr="00FD211F">
        <w:rPr>
          <w:sz w:val="36"/>
          <w:szCs w:val="36"/>
          <w:rtl/>
        </w:rPr>
        <w:t xml:space="preserve">، </w:t>
      </w:r>
      <w:r w:rsidRPr="00FD211F">
        <w:rPr>
          <w:sz w:val="36"/>
          <w:szCs w:val="36"/>
          <w:rtl/>
        </w:rPr>
        <w:t>فلابد من فرض جامع ذاتي بين الموضوعات والمحمولات</w:t>
      </w:r>
      <w:r w:rsidR="00603323" w:rsidRPr="00FD211F">
        <w:rPr>
          <w:sz w:val="36"/>
          <w:szCs w:val="36"/>
          <w:rtl/>
        </w:rPr>
        <w:t xml:space="preserve">، </w:t>
      </w:r>
      <w:r w:rsidRPr="00FD211F">
        <w:rPr>
          <w:sz w:val="36"/>
          <w:szCs w:val="36"/>
          <w:rtl/>
        </w:rPr>
        <w:t>ولعل هذا هو مراد السيد الخوئي</w:t>
      </w:r>
      <w:r w:rsidR="00A61BAE" w:rsidRPr="00FD211F">
        <w:rPr>
          <w:sz w:val="36"/>
          <w:szCs w:val="36"/>
          <w:rtl/>
        </w:rPr>
        <w:t xml:space="preserve"> "قده" </w:t>
      </w:r>
      <w:r w:rsidRPr="00FD211F">
        <w:rPr>
          <w:sz w:val="36"/>
          <w:szCs w:val="36"/>
          <w:rtl/>
        </w:rPr>
        <w:t>من انه بناء عليه يلزم وجود جامع ذاتي بين النسب في تلك المسائل</w:t>
      </w:r>
      <w:r w:rsidR="009C58C8" w:rsidRPr="00FD211F">
        <w:rPr>
          <w:rStyle w:val="a6"/>
          <w:sz w:val="36"/>
          <w:szCs w:val="36"/>
          <w:rtl/>
        </w:rPr>
        <w:t>(</w:t>
      </w:r>
      <w:r w:rsidR="009C58C8" w:rsidRPr="00FD211F">
        <w:rPr>
          <w:rStyle w:val="a6"/>
          <w:sz w:val="36"/>
          <w:szCs w:val="36"/>
          <w:rtl/>
        </w:rPr>
        <w:footnoteReference w:id="62"/>
      </w:r>
      <w:r w:rsidR="009C58C8" w:rsidRPr="00FD211F">
        <w:rPr>
          <w:rStyle w:val="a6"/>
          <w:sz w:val="36"/>
          <w:szCs w:val="36"/>
          <w:rtl/>
        </w:rPr>
        <w:t>)</w:t>
      </w:r>
      <w:r w:rsidR="00603323" w:rsidRPr="00FD211F">
        <w:rPr>
          <w:sz w:val="36"/>
          <w:szCs w:val="36"/>
          <w:rtl/>
        </w:rPr>
        <w:t xml:space="preserve">، </w:t>
      </w:r>
      <w:r w:rsidRPr="00FD211F">
        <w:rPr>
          <w:sz w:val="36"/>
          <w:szCs w:val="36"/>
          <w:rtl/>
        </w:rPr>
        <w:t>فانه لايتصور جامع ذاتي بين النسب الا بارجاعه الى فرض جامع ذاتي بين الموضوعات والمحمولات.</w:t>
      </w:r>
    </w:p>
    <w:p w14:paraId="50DEE078" w14:textId="77777777" w:rsidR="00E45EB7" w:rsidRPr="00FD211F" w:rsidRDefault="00E45EB7" w:rsidP="009C58C8">
      <w:pPr>
        <w:ind w:left="0" w:firstLine="227"/>
        <w:jc w:val="both"/>
        <w:rPr>
          <w:sz w:val="36"/>
          <w:szCs w:val="36"/>
          <w:rtl/>
        </w:rPr>
      </w:pPr>
      <w:r w:rsidRPr="00FD211F">
        <w:rPr>
          <w:sz w:val="36"/>
          <w:szCs w:val="36"/>
          <w:rtl/>
        </w:rPr>
        <w:t>هذا ومن جه</w:t>
      </w:r>
      <w:r w:rsidR="00EC7EDF" w:rsidRPr="00FD211F">
        <w:rPr>
          <w:sz w:val="36"/>
          <w:szCs w:val="36"/>
          <w:rtl/>
        </w:rPr>
        <w:t xml:space="preserve">ة </w:t>
      </w:r>
      <w:r w:rsidRPr="00FD211F">
        <w:rPr>
          <w:sz w:val="36"/>
          <w:szCs w:val="36"/>
          <w:rtl/>
        </w:rPr>
        <w:t>أخرى</w:t>
      </w:r>
      <w:r w:rsidR="00AC64E8" w:rsidRPr="00FD211F">
        <w:rPr>
          <w:sz w:val="36"/>
          <w:szCs w:val="36"/>
          <w:rtl/>
        </w:rPr>
        <w:t xml:space="preserve"> ان البرهان الذي اقيم على قاعد</w:t>
      </w:r>
      <w:r w:rsidR="00EC7EDF" w:rsidRPr="00FD211F">
        <w:rPr>
          <w:sz w:val="36"/>
          <w:szCs w:val="36"/>
          <w:rtl/>
        </w:rPr>
        <w:t xml:space="preserve">ة </w:t>
      </w:r>
      <w:r w:rsidR="00AC64E8" w:rsidRPr="00FD211F">
        <w:rPr>
          <w:sz w:val="36"/>
          <w:szCs w:val="36"/>
          <w:rtl/>
        </w:rPr>
        <w:t>ان الواحد لايصدر الا عن الواحد لايقتضي الا لزوم التسانخ بين العل</w:t>
      </w:r>
      <w:r w:rsidR="00EC7EDF" w:rsidRPr="00FD211F">
        <w:rPr>
          <w:sz w:val="36"/>
          <w:szCs w:val="36"/>
          <w:rtl/>
        </w:rPr>
        <w:t xml:space="preserve">ة </w:t>
      </w:r>
      <w:r w:rsidR="00AC64E8" w:rsidRPr="00FD211F">
        <w:rPr>
          <w:sz w:val="36"/>
          <w:szCs w:val="36"/>
          <w:rtl/>
        </w:rPr>
        <w:t>والمعلول ولزوم التسانخ غير لزوم الاشتراك في الجامع الذاتي</w:t>
      </w:r>
      <w:r w:rsidR="00603323" w:rsidRPr="00FD211F">
        <w:rPr>
          <w:sz w:val="36"/>
          <w:szCs w:val="36"/>
          <w:rtl/>
        </w:rPr>
        <w:t xml:space="preserve">، </w:t>
      </w:r>
      <w:r w:rsidR="00AC64E8" w:rsidRPr="00FD211F">
        <w:rPr>
          <w:sz w:val="36"/>
          <w:szCs w:val="36"/>
          <w:rtl/>
        </w:rPr>
        <w:t>الا ترى انه قد يكون الجوهر عل</w:t>
      </w:r>
      <w:r w:rsidR="00EC7EDF" w:rsidRPr="00FD211F">
        <w:rPr>
          <w:sz w:val="36"/>
          <w:szCs w:val="36"/>
          <w:rtl/>
        </w:rPr>
        <w:t xml:space="preserve">ة </w:t>
      </w:r>
      <w:r w:rsidR="00AC64E8" w:rsidRPr="00FD211F">
        <w:rPr>
          <w:sz w:val="36"/>
          <w:szCs w:val="36"/>
          <w:rtl/>
        </w:rPr>
        <w:t>فاعل</w:t>
      </w:r>
      <w:r w:rsidR="00EC7EDF" w:rsidRPr="00FD211F">
        <w:rPr>
          <w:sz w:val="36"/>
          <w:szCs w:val="36"/>
          <w:rtl/>
        </w:rPr>
        <w:t xml:space="preserve">ة </w:t>
      </w:r>
      <w:r w:rsidR="00AC64E8" w:rsidRPr="00FD211F">
        <w:rPr>
          <w:sz w:val="36"/>
          <w:szCs w:val="36"/>
          <w:rtl/>
        </w:rPr>
        <w:t>للعرض</w:t>
      </w:r>
      <w:r w:rsidR="00603323" w:rsidRPr="00FD211F">
        <w:rPr>
          <w:sz w:val="36"/>
          <w:szCs w:val="36"/>
          <w:rtl/>
        </w:rPr>
        <w:t xml:space="preserve">، </w:t>
      </w:r>
      <w:r w:rsidR="00AC64E8" w:rsidRPr="00FD211F">
        <w:rPr>
          <w:sz w:val="36"/>
          <w:szCs w:val="36"/>
          <w:rtl/>
        </w:rPr>
        <w:t>مع عدم جامع ذاتي بينهما حسب مسلك</w:t>
      </w:r>
      <w:r w:rsidRPr="00FD211F">
        <w:rPr>
          <w:sz w:val="36"/>
          <w:szCs w:val="36"/>
          <w:rtl/>
        </w:rPr>
        <w:t xml:space="preserve"> مشهور الفلاسف</w:t>
      </w:r>
      <w:r w:rsidR="00EC7EDF" w:rsidRPr="00FD211F">
        <w:rPr>
          <w:sz w:val="36"/>
          <w:szCs w:val="36"/>
          <w:rtl/>
        </w:rPr>
        <w:t>ة</w:t>
      </w:r>
      <w:r w:rsidR="00603323" w:rsidRPr="00FD211F">
        <w:rPr>
          <w:sz w:val="36"/>
          <w:szCs w:val="36"/>
          <w:rtl/>
        </w:rPr>
        <w:t xml:space="preserve">، </w:t>
      </w:r>
      <w:r w:rsidR="00AC64E8" w:rsidRPr="00FD211F">
        <w:rPr>
          <w:sz w:val="36"/>
          <w:szCs w:val="36"/>
          <w:rtl/>
        </w:rPr>
        <w:t>وحينئذ فلايوجد اي دليل على لزوم جامع ذاتي بين المعلول وعلته</w:t>
      </w:r>
      <w:r w:rsidR="00603323" w:rsidRPr="00FD211F">
        <w:rPr>
          <w:sz w:val="36"/>
          <w:szCs w:val="36"/>
          <w:rtl/>
        </w:rPr>
        <w:t xml:space="preserve">، </w:t>
      </w:r>
      <w:r w:rsidR="00AC64E8" w:rsidRPr="00FD211F">
        <w:rPr>
          <w:sz w:val="36"/>
          <w:szCs w:val="36"/>
          <w:rtl/>
        </w:rPr>
        <w:t xml:space="preserve">فضلا عن لزوم جامع ذاتي بين علل </w:t>
      </w:r>
      <w:r w:rsidR="008D7B3D" w:rsidRPr="00FD211F">
        <w:rPr>
          <w:sz w:val="36"/>
          <w:szCs w:val="36"/>
          <w:rtl/>
        </w:rPr>
        <w:t xml:space="preserve">شيء </w:t>
      </w:r>
      <w:r w:rsidR="00AC64E8" w:rsidRPr="00FD211F">
        <w:rPr>
          <w:sz w:val="36"/>
          <w:szCs w:val="36"/>
          <w:rtl/>
        </w:rPr>
        <w:t>واحد</w:t>
      </w:r>
      <w:r w:rsidR="009C58C8" w:rsidRPr="00FD211F">
        <w:rPr>
          <w:rStyle w:val="a6"/>
          <w:sz w:val="36"/>
          <w:szCs w:val="36"/>
          <w:rtl/>
        </w:rPr>
        <w:t>(</w:t>
      </w:r>
      <w:r w:rsidR="009C58C8" w:rsidRPr="00FD211F">
        <w:rPr>
          <w:rStyle w:val="a6"/>
          <w:sz w:val="36"/>
          <w:szCs w:val="36"/>
          <w:rtl/>
        </w:rPr>
        <w:footnoteReference w:id="63"/>
      </w:r>
      <w:r w:rsidR="009C58C8" w:rsidRPr="00FD211F">
        <w:rPr>
          <w:rStyle w:val="a6"/>
          <w:sz w:val="36"/>
          <w:szCs w:val="36"/>
          <w:rtl/>
        </w:rPr>
        <w:t>)</w:t>
      </w:r>
      <w:r w:rsidRPr="00FD211F">
        <w:rPr>
          <w:sz w:val="36"/>
          <w:szCs w:val="36"/>
          <w:rtl/>
        </w:rPr>
        <w:t>.</w:t>
      </w:r>
    </w:p>
    <w:p w14:paraId="115634D6" w14:textId="77777777" w:rsidR="00AC64E8" w:rsidRPr="00FD211F" w:rsidRDefault="00AC64E8" w:rsidP="009C58C8">
      <w:pPr>
        <w:ind w:left="0" w:firstLine="227"/>
        <w:jc w:val="both"/>
        <w:rPr>
          <w:sz w:val="36"/>
          <w:szCs w:val="36"/>
          <w:rtl/>
        </w:rPr>
      </w:pPr>
      <w:r w:rsidRPr="00FD211F">
        <w:rPr>
          <w:sz w:val="36"/>
          <w:szCs w:val="36"/>
          <w:rtl/>
        </w:rPr>
        <w:lastRenderedPageBreak/>
        <w:t>وقد يقال بان مستند هذه القاعد</w:t>
      </w:r>
      <w:r w:rsidR="00EC7EDF" w:rsidRPr="00FD211F">
        <w:rPr>
          <w:sz w:val="36"/>
          <w:szCs w:val="36"/>
          <w:rtl/>
        </w:rPr>
        <w:t xml:space="preserve">ة </w:t>
      </w:r>
      <w:r w:rsidRPr="00FD211F">
        <w:rPr>
          <w:sz w:val="36"/>
          <w:szCs w:val="36"/>
          <w:rtl/>
        </w:rPr>
        <w:t>هو ان فاقد ال</w:t>
      </w:r>
      <w:r w:rsidR="008D7B3D" w:rsidRPr="00FD211F">
        <w:rPr>
          <w:sz w:val="36"/>
          <w:szCs w:val="36"/>
          <w:rtl/>
        </w:rPr>
        <w:t xml:space="preserve">شيء </w:t>
      </w:r>
      <w:r w:rsidRPr="00FD211F">
        <w:rPr>
          <w:sz w:val="36"/>
          <w:szCs w:val="36"/>
          <w:rtl/>
        </w:rPr>
        <w:t>لايكون معطيا له</w:t>
      </w:r>
      <w:r w:rsidR="00603323" w:rsidRPr="00FD211F">
        <w:rPr>
          <w:sz w:val="36"/>
          <w:szCs w:val="36"/>
          <w:rtl/>
        </w:rPr>
        <w:t xml:space="preserve">، </w:t>
      </w:r>
      <w:r w:rsidRPr="00FD211F">
        <w:rPr>
          <w:sz w:val="36"/>
          <w:szCs w:val="36"/>
          <w:rtl/>
        </w:rPr>
        <w:t>ولذا تختص هذه القاعد</w:t>
      </w:r>
      <w:r w:rsidR="00EC7EDF" w:rsidRPr="00FD211F">
        <w:rPr>
          <w:sz w:val="36"/>
          <w:szCs w:val="36"/>
          <w:rtl/>
        </w:rPr>
        <w:t xml:space="preserve">ة </w:t>
      </w:r>
      <w:r w:rsidRPr="00FD211F">
        <w:rPr>
          <w:sz w:val="36"/>
          <w:szCs w:val="36"/>
          <w:rtl/>
        </w:rPr>
        <w:t>بالعل</w:t>
      </w:r>
      <w:r w:rsidR="00EC7EDF" w:rsidRPr="00FD211F">
        <w:rPr>
          <w:sz w:val="36"/>
          <w:szCs w:val="36"/>
          <w:rtl/>
        </w:rPr>
        <w:t xml:space="preserve">ة </w:t>
      </w:r>
      <w:r w:rsidRPr="00FD211F">
        <w:rPr>
          <w:sz w:val="36"/>
          <w:szCs w:val="36"/>
          <w:rtl/>
        </w:rPr>
        <w:t>المفيض</w:t>
      </w:r>
      <w:r w:rsidR="00EC7EDF" w:rsidRPr="00FD211F">
        <w:rPr>
          <w:sz w:val="36"/>
          <w:szCs w:val="36"/>
          <w:rtl/>
        </w:rPr>
        <w:t xml:space="preserve">ة </w:t>
      </w:r>
      <w:r w:rsidR="00DB2C58" w:rsidRPr="00FD211F">
        <w:rPr>
          <w:sz w:val="36"/>
          <w:szCs w:val="36"/>
          <w:rtl/>
        </w:rPr>
        <w:t>التي يجب ان تكون واجد</w:t>
      </w:r>
      <w:r w:rsidR="00EC7EDF" w:rsidRPr="00FD211F">
        <w:rPr>
          <w:sz w:val="36"/>
          <w:szCs w:val="36"/>
          <w:rtl/>
        </w:rPr>
        <w:t xml:space="preserve">ة </w:t>
      </w:r>
      <w:r w:rsidR="00DB2C58" w:rsidRPr="00FD211F">
        <w:rPr>
          <w:sz w:val="36"/>
          <w:szCs w:val="36"/>
          <w:rtl/>
        </w:rPr>
        <w:t>ل</w:t>
      </w:r>
      <w:r w:rsidR="00E45EB7" w:rsidRPr="00FD211F">
        <w:rPr>
          <w:sz w:val="36"/>
          <w:szCs w:val="36"/>
          <w:rtl/>
        </w:rPr>
        <w:t>كمال</w:t>
      </w:r>
      <w:r w:rsidR="004545F4" w:rsidRPr="00FD211F">
        <w:rPr>
          <w:sz w:val="36"/>
          <w:szCs w:val="36"/>
          <w:rtl/>
        </w:rPr>
        <w:t xml:space="preserve"> معلولها</w:t>
      </w:r>
      <w:r w:rsidR="00603323" w:rsidRPr="00FD211F">
        <w:rPr>
          <w:sz w:val="36"/>
          <w:szCs w:val="36"/>
          <w:rtl/>
        </w:rPr>
        <w:t xml:space="preserve">، </w:t>
      </w:r>
      <w:r w:rsidRPr="00FD211F">
        <w:rPr>
          <w:sz w:val="36"/>
          <w:szCs w:val="36"/>
          <w:rtl/>
        </w:rPr>
        <w:t xml:space="preserve">فلو فرض صدور </w:t>
      </w:r>
      <w:r w:rsidR="00DB2C58" w:rsidRPr="00FD211F">
        <w:rPr>
          <w:sz w:val="36"/>
          <w:szCs w:val="36"/>
          <w:rtl/>
        </w:rPr>
        <w:t xml:space="preserve">معلول </w:t>
      </w:r>
      <w:r w:rsidR="00E45EB7" w:rsidRPr="00FD211F">
        <w:rPr>
          <w:sz w:val="36"/>
          <w:szCs w:val="36"/>
          <w:rtl/>
        </w:rPr>
        <w:t>عن علتين لزم وجدانهما معا لكمال ذلك المعلول</w:t>
      </w:r>
      <w:r w:rsidR="00603323" w:rsidRPr="00FD211F">
        <w:rPr>
          <w:sz w:val="36"/>
          <w:szCs w:val="36"/>
          <w:rtl/>
        </w:rPr>
        <w:t xml:space="preserve">، </w:t>
      </w:r>
      <w:r w:rsidR="00DB2C58" w:rsidRPr="00FD211F">
        <w:rPr>
          <w:sz w:val="36"/>
          <w:szCs w:val="36"/>
          <w:rtl/>
        </w:rPr>
        <w:t>فالعل</w:t>
      </w:r>
      <w:r w:rsidR="00EC7EDF" w:rsidRPr="00FD211F">
        <w:rPr>
          <w:sz w:val="36"/>
          <w:szCs w:val="36"/>
          <w:rtl/>
        </w:rPr>
        <w:t xml:space="preserve">ة </w:t>
      </w:r>
      <w:r w:rsidR="00DB2C58" w:rsidRPr="00FD211F">
        <w:rPr>
          <w:sz w:val="36"/>
          <w:szCs w:val="36"/>
          <w:rtl/>
        </w:rPr>
        <w:t>المفيض</w:t>
      </w:r>
      <w:r w:rsidR="00EC7EDF" w:rsidRPr="00FD211F">
        <w:rPr>
          <w:sz w:val="36"/>
          <w:szCs w:val="36"/>
          <w:rtl/>
        </w:rPr>
        <w:t xml:space="preserve">ة </w:t>
      </w:r>
      <w:r w:rsidR="00DB2C58" w:rsidRPr="00FD211F">
        <w:rPr>
          <w:sz w:val="36"/>
          <w:szCs w:val="36"/>
          <w:rtl/>
        </w:rPr>
        <w:t>تكون في الحقيق</w:t>
      </w:r>
      <w:r w:rsidR="00EC7EDF" w:rsidRPr="00FD211F">
        <w:rPr>
          <w:sz w:val="36"/>
          <w:szCs w:val="36"/>
          <w:rtl/>
        </w:rPr>
        <w:t xml:space="preserve">ة </w:t>
      </w:r>
      <w:r w:rsidR="00DB2C58" w:rsidRPr="00FD211F">
        <w:rPr>
          <w:sz w:val="36"/>
          <w:szCs w:val="36"/>
          <w:rtl/>
        </w:rPr>
        <w:t>هو الكمال المشترك بين علتين</w:t>
      </w:r>
      <w:r w:rsidR="00603323" w:rsidRPr="00FD211F">
        <w:rPr>
          <w:sz w:val="36"/>
          <w:szCs w:val="36"/>
          <w:rtl/>
        </w:rPr>
        <w:t xml:space="preserve">، </w:t>
      </w:r>
      <w:r w:rsidR="00DB2C58" w:rsidRPr="00FD211F">
        <w:rPr>
          <w:sz w:val="36"/>
          <w:szCs w:val="36"/>
          <w:rtl/>
        </w:rPr>
        <w:t>وأما في العل</w:t>
      </w:r>
      <w:r w:rsidR="00EC7EDF" w:rsidRPr="00FD211F">
        <w:rPr>
          <w:sz w:val="36"/>
          <w:szCs w:val="36"/>
          <w:rtl/>
        </w:rPr>
        <w:t xml:space="preserve">ة </w:t>
      </w:r>
      <w:r w:rsidR="00DB2C58" w:rsidRPr="00FD211F">
        <w:rPr>
          <w:sz w:val="36"/>
          <w:szCs w:val="36"/>
          <w:rtl/>
        </w:rPr>
        <w:t>الطبيعي</w:t>
      </w:r>
      <w:r w:rsidR="00EC7EDF" w:rsidRPr="00FD211F">
        <w:rPr>
          <w:sz w:val="36"/>
          <w:szCs w:val="36"/>
          <w:rtl/>
        </w:rPr>
        <w:t xml:space="preserve">ة </w:t>
      </w:r>
      <w:r w:rsidR="00DB2C58" w:rsidRPr="00FD211F">
        <w:rPr>
          <w:sz w:val="36"/>
          <w:szCs w:val="36"/>
          <w:rtl/>
        </w:rPr>
        <w:t>والمعد فلابرهان على لزوم سنخيتهما مع المعلول او المستعد</w:t>
      </w:r>
      <w:r w:rsidR="00603323" w:rsidRPr="00FD211F">
        <w:rPr>
          <w:sz w:val="36"/>
          <w:szCs w:val="36"/>
          <w:rtl/>
        </w:rPr>
        <w:t xml:space="preserve">، </w:t>
      </w:r>
      <w:r w:rsidR="00DB2C58" w:rsidRPr="00FD211F">
        <w:rPr>
          <w:sz w:val="36"/>
          <w:szCs w:val="36"/>
          <w:rtl/>
        </w:rPr>
        <w:t>بل يحتاج اثبات ذلك الى التجرب</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64"/>
      </w:r>
      <w:r w:rsidR="009C58C8" w:rsidRPr="00FD211F">
        <w:rPr>
          <w:rStyle w:val="a6"/>
          <w:sz w:val="36"/>
          <w:szCs w:val="36"/>
          <w:rtl/>
        </w:rPr>
        <w:t>)</w:t>
      </w:r>
      <w:r w:rsidR="0076548B" w:rsidRPr="00FD211F">
        <w:rPr>
          <w:sz w:val="36"/>
          <w:szCs w:val="36"/>
          <w:rtl/>
        </w:rPr>
        <w:t>.</w:t>
      </w:r>
    </w:p>
    <w:p w14:paraId="3335B608" w14:textId="77777777" w:rsidR="0076548B" w:rsidRPr="00FD211F" w:rsidRDefault="0076548B" w:rsidP="009C58C8">
      <w:pPr>
        <w:ind w:left="0" w:firstLine="227"/>
        <w:jc w:val="both"/>
        <w:rPr>
          <w:sz w:val="36"/>
          <w:szCs w:val="36"/>
          <w:rtl/>
        </w:rPr>
      </w:pPr>
      <w:r w:rsidRPr="00FD211F">
        <w:rPr>
          <w:sz w:val="36"/>
          <w:szCs w:val="36"/>
          <w:rtl/>
        </w:rPr>
        <w:t>ويلاحظ عليه</w:t>
      </w:r>
      <w:r w:rsidR="0083487C" w:rsidRPr="00FD211F">
        <w:rPr>
          <w:sz w:val="36"/>
          <w:szCs w:val="36"/>
          <w:rtl/>
        </w:rPr>
        <w:t>:</w:t>
      </w:r>
      <w:r w:rsidRPr="00FD211F">
        <w:rPr>
          <w:sz w:val="36"/>
          <w:szCs w:val="36"/>
          <w:rtl/>
        </w:rPr>
        <w:t xml:space="preserve"> انه لابرهان على ان فاقد ال</w:t>
      </w:r>
      <w:r w:rsidR="008D7B3D" w:rsidRPr="00FD211F">
        <w:rPr>
          <w:sz w:val="36"/>
          <w:szCs w:val="36"/>
          <w:rtl/>
        </w:rPr>
        <w:t xml:space="preserve">شيء </w:t>
      </w:r>
      <w:r w:rsidRPr="00FD211F">
        <w:rPr>
          <w:sz w:val="36"/>
          <w:szCs w:val="36"/>
          <w:rtl/>
        </w:rPr>
        <w:t>لايكون معطيا له</w:t>
      </w:r>
      <w:r w:rsidR="00603323" w:rsidRPr="00FD211F">
        <w:rPr>
          <w:sz w:val="36"/>
          <w:szCs w:val="36"/>
          <w:rtl/>
        </w:rPr>
        <w:t xml:space="preserve">، </w:t>
      </w:r>
      <w:r w:rsidRPr="00FD211F">
        <w:rPr>
          <w:sz w:val="36"/>
          <w:szCs w:val="36"/>
          <w:rtl/>
        </w:rPr>
        <w:t>اذ يكفي في العل</w:t>
      </w:r>
      <w:r w:rsidR="00EC7EDF" w:rsidRPr="00FD211F">
        <w:rPr>
          <w:sz w:val="36"/>
          <w:szCs w:val="36"/>
          <w:rtl/>
        </w:rPr>
        <w:t xml:space="preserve">ة </w:t>
      </w:r>
      <w:r w:rsidRPr="00FD211F">
        <w:rPr>
          <w:sz w:val="36"/>
          <w:szCs w:val="36"/>
          <w:rtl/>
        </w:rPr>
        <w:t>المفيض</w:t>
      </w:r>
      <w:r w:rsidR="00EC7EDF" w:rsidRPr="00FD211F">
        <w:rPr>
          <w:sz w:val="36"/>
          <w:szCs w:val="36"/>
          <w:rtl/>
        </w:rPr>
        <w:t xml:space="preserve">ة </w:t>
      </w:r>
      <w:r w:rsidRPr="00FD211F">
        <w:rPr>
          <w:sz w:val="36"/>
          <w:szCs w:val="36"/>
          <w:rtl/>
        </w:rPr>
        <w:t>ان يكون له سلطن</w:t>
      </w:r>
      <w:r w:rsidR="00EC7EDF" w:rsidRPr="00FD211F">
        <w:rPr>
          <w:sz w:val="36"/>
          <w:szCs w:val="36"/>
          <w:rtl/>
        </w:rPr>
        <w:t xml:space="preserve">ة </w:t>
      </w:r>
      <w:r w:rsidRPr="00FD211F">
        <w:rPr>
          <w:sz w:val="36"/>
          <w:szCs w:val="36"/>
          <w:rtl/>
        </w:rPr>
        <w:t>على ايجاد الشيئ</w:t>
      </w:r>
      <w:r w:rsidR="00603323" w:rsidRPr="00FD211F">
        <w:rPr>
          <w:sz w:val="36"/>
          <w:szCs w:val="36"/>
          <w:rtl/>
        </w:rPr>
        <w:t xml:space="preserve">، </w:t>
      </w:r>
      <w:r w:rsidRPr="00FD211F">
        <w:rPr>
          <w:sz w:val="36"/>
          <w:szCs w:val="36"/>
          <w:rtl/>
        </w:rPr>
        <w:t>ولايحتاج ان تكون واجد</w:t>
      </w:r>
      <w:r w:rsidR="00EC7EDF" w:rsidRPr="00FD211F">
        <w:rPr>
          <w:sz w:val="36"/>
          <w:szCs w:val="36"/>
          <w:rtl/>
        </w:rPr>
        <w:t xml:space="preserve">ة </w:t>
      </w:r>
      <w:r w:rsidRPr="00FD211F">
        <w:rPr>
          <w:sz w:val="36"/>
          <w:szCs w:val="36"/>
          <w:rtl/>
        </w:rPr>
        <w:t>له لابحده بعد عدم كونه ترشحا منه</w:t>
      </w:r>
      <w:r w:rsidR="00603323" w:rsidRPr="00FD211F">
        <w:rPr>
          <w:sz w:val="36"/>
          <w:szCs w:val="36"/>
          <w:rtl/>
        </w:rPr>
        <w:t xml:space="preserve">، </w:t>
      </w:r>
      <w:r w:rsidRPr="00FD211F">
        <w:rPr>
          <w:sz w:val="36"/>
          <w:szCs w:val="36"/>
          <w:rtl/>
        </w:rPr>
        <w:t xml:space="preserve">ولذا يصدر منه </w:t>
      </w:r>
      <w:r w:rsidRPr="00FD211F">
        <w:rPr>
          <w:sz w:val="36"/>
          <w:szCs w:val="36"/>
          <w:rtl/>
        </w:rPr>
        <w:lastRenderedPageBreak/>
        <w:t xml:space="preserve">تعالى </w:t>
      </w:r>
      <w:r w:rsidR="00E45EB7" w:rsidRPr="00FD211F">
        <w:rPr>
          <w:sz w:val="36"/>
          <w:szCs w:val="36"/>
          <w:rtl/>
        </w:rPr>
        <w:t>خلق الاجسام</w:t>
      </w:r>
      <w:r w:rsidR="00603323" w:rsidRPr="00FD211F">
        <w:rPr>
          <w:sz w:val="36"/>
          <w:szCs w:val="36"/>
          <w:rtl/>
        </w:rPr>
        <w:t xml:space="preserve">، </w:t>
      </w:r>
      <w:r w:rsidRPr="00FD211F">
        <w:rPr>
          <w:sz w:val="36"/>
          <w:szCs w:val="36"/>
          <w:rtl/>
        </w:rPr>
        <w:t>ولاحاج</w:t>
      </w:r>
      <w:r w:rsidR="00EC7EDF" w:rsidRPr="00FD211F">
        <w:rPr>
          <w:sz w:val="36"/>
          <w:szCs w:val="36"/>
          <w:rtl/>
        </w:rPr>
        <w:t xml:space="preserve">ة </w:t>
      </w:r>
      <w:r w:rsidRPr="00FD211F">
        <w:rPr>
          <w:sz w:val="36"/>
          <w:szCs w:val="36"/>
          <w:rtl/>
        </w:rPr>
        <w:t>الى التكلف في توجيهه</w:t>
      </w:r>
      <w:r w:rsidR="00603323" w:rsidRPr="00FD211F">
        <w:rPr>
          <w:sz w:val="36"/>
          <w:szCs w:val="36"/>
          <w:rtl/>
        </w:rPr>
        <w:t xml:space="preserve">، </w:t>
      </w:r>
      <w:r w:rsidRPr="00FD211F">
        <w:rPr>
          <w:sz w:val="36"/>
          <w:szCs w:val="36"/>
          <w:rtl/>
        </w:rPr>
        <w:t>فمستند قاعد</w:t>
      </w:r>
      <w:r w:rsidR="00EC7EDF" w:rsidRPr="00FD211F">
        <w:rPr>
          <w:sz w:val="36"/>
          <w:szCs w:val="36"/>
          <w:rtl/>
        </w:rPr>
        <w:t xml:space="preserve">ة </w:t>
      </w:r>
      <w:r w:rsidRPr="00FD211F">
        <w:rPr>
          <w:sz w:val="36"/>
          <w:szCs w:val="36"/>
          <w:rtl/>
        </w:rPr>
        <w:t>ان الواحد لايصدر الا عن الواحد هو لزوم السنخي</w:t>
      </w:r>
      <w:r w:rsidR="00EC7EDF" w:rsidRPr="00FD211F">
        <w:rPr>
          <w:sz w:val="36"/>
          <w:szCs w:val="36"/>
          <w:rtl/>
        </w:rPr>
        <w:t xml:space="preserve">ة </w:t>
      </w:r>
      <w:r w:rsidRPr="00FD211F">
        <w:rPr>
          <w:sz w:val="36"/>
          <w:szCs w:val="36"/>
          <w:rtl/>
        </w:rPr>
        <w:t>بين العل</w:t>
      </w:r>
      <w:r w:rsidR="00EC7EDF" w:rsidRPr="00FD211F">
        <w:rPr>
          <w:sz w:val="36"/>
          <w:szCs w:val="36"/>
          <w:rtl/>
        </w:rPr>
        <w:t xml:space="preserve">ة </w:t>
      </w:r>
      <w:r w:rsidRPr="00FD211F">
        <w:rPr>
          <w:sz w:val="36"/>
          <w:szCs w:val="36"/>
          <w:rtl/>
        </w:rPr>
        <w:t>ومعلولها</w:t>
      </w:r>
      <w:r w:rsidR="00603323" w:rsidRPr="00FD211F">
        <w:rPr>
          <w:sz w:val="36"/>
          <w:szCs w:val="36"/>
          <w:rtl/>
        </w:rPr>
        <w:t xml:space="preserve">، </w:t>
      </w:r>
      <w:r w:rsidRPr="00FD211F">
        <w:rPr>
          <w:sz w:val="36"/>
          <w:szCs w:val="36"/>
          <w:rtl/>
        </w:rPr>
        <w:t xml:space="preserve">والا لصدر كل </w:t>
      </w:r>
      <w:r w:rsidR="008D7B3D" w:rsidRPr="00FD211F">
        <w:rPr>
          <w:sz w:val="36"/>
          <w:szCs w:val="36"/>
          <w:rtl/>
        </w:rPr>
        <w:t xml:space="preserve">شيء </w:t>
      </w:r>
      <w:r w:rsidRPr="00FD211F">
        <w:rPr>
          <w:sz w:val="36"/>
          <w:szCs w:val="36"/>
          <w:rtl/>
        </w:rPr>
        <w:t>من كل شيئ</w:t>
      </w:r>
      <w:r w:rsidR="00603323" w:rsidRPr="00FD211F">
        <w:rPr>
          <w:sz w:val="36"/>
          <w:szCs w:val="36"/>
          <w:rtl/>
        </w:rPr>
        <w:t xml:space="preserve">، </w:t>
      </w:r>
      <w:r w:rsidRPr="00FD211F">
        <w:rPr>
          <w:sz w:val="36"/>
          <w:szCs w:val="36"/>
          <w:rtl/>
        </w:rPr>
        <w:t>ويجري ذلك في كل عل</w:t>
      </w:r>
      <w:r w:rsidR="00EC7EDF" w:rsidRPr="00FD211F">
        <w:rPr>
          <w:sz w:val="36"/>
          <w:szCs w:val="36"/>
          <w:rtl/>
        </w:rPr>
        <w:t xml:space="preserve">ة </w:t>
      </w:r>
      <w:r w:rsidRPr="00FD211F">
        <w:rPr>
          <w:sz w:val="36"/>
          <w:szCs w:val="36"/>
          <w:rtl/>
        </w:rPr>
        <w:t>فاعل</w:t>
      </w:r>
      <w:r w:rsidR="00EC7EDF" w:rsidRPr="00FD211F">
        <w:rPr>
          <w:sz w:val="36"/>
          <w:szCs w:val="36"/>
          <w:rtl/>
        </w:rPr>
        <w:t xml:space="preserve">ة </w:t>
      </w:r>
      <w:r w:rsidRPr="00FD211F">
        <w:rPr>
          <w:sz w:val="36"/>
          <w:szCs w:val="36"/>
          <w:rtl/>
        </w:rPr>
        <w:t>ومنها المعد بالنسب</w:t>
      </w:r>
      <w:r w:rsidR="00EC7EDF" w:rsidRPr="00FD211F">
        <w:rPr>
          <w:sz w:val="36"/>
          <w:szCs w:val="36"/>
          <w:rtl/>
        </w:rPr>
        <w:t xml:space="preserve">ة </w:t>
      </w:r>
      <w:r w:rsidRPr="00FD211F">
        <w:rPr>
          <w:sz w:val="36"/>
          <w:szCs w:val="36"/>
          <w:rtl/>
        </w:rPr>
        <w:t>الى حال</w:t>
      </w:r>
      <w:r w:rsidR="00EC7EDF" w:rsidRPr="00FD211F">
        <w:rPr>
          <w:sz w:val="36"/>
          <w:szCs w:val="36"/>
          <w:rtl/>
        </w:rPr>
        <w:t xml:space="preserve">ة </w:t>
      </w:r>
      <w:r w:rsidRPr="00FD211F">
        <w:rPr>
          <w:sz w:val="36"/>
          <w:szCs w:val="36"/>
          <w:rtl/>
        </w:rPr>
        <w:t>الاستعداد</w:t>
      </w:r>
      <w:r w:rsidR="00603323" w:rsidRPr="00FD211F">
        <w:rPr>
          <w:sz w:val="36"/>
          <w:szCs w:val="36"/>
          <w:rtl/>
        </w:rPr>
        <w:t xml:space="preserve">، </w:t>
      </w:r>
      <w:r w:rsidR="0083487C" w:rsidRPr="00FD211F">
        <w:rPr>
          <w:sz w:val="36"/>
          <w:szCs w:val="36"/>
          <w:rtl/>
        </w:rPr>
        <w:t>نعم ذكرنا ان السنخي</w:t>
      </w:r>
      <w:r w:rsidR="00EC7EDF" w:rsidRPr="00FD211F">
        <w:rPr>
          <w:sz w:val="36"/>
          <w:szCs w:val="36"/>
          <w:rtl/>
        </w:rPr>
        <w:t xml:space="preserve">ة </w:t>
      </w:r>
      <w:r w:rsidR="0083487C" w:rsidRPr="00FD211F">
        <w:rPr>
          <w:sz w:val="36"/>
          <w:szCs w:val="36"/>
          <w:rtl/>
        </w:rPr>
        <w:t>بين العل</w:t>
      </w:r>
      <w:r w:rsidR="00EC7EDF" w:rsidRPr="00FD211F">
        <w:rPr>
          <w:sz w:val="36"/>
          <w:szCs w:val="36"/>
          <w:rtl/>
        </w:rPr>
        <w:t xml:space="preserve">ة </w:t>
      </w:r>
      <w:r w:rsidR="0083487C" w:rsidRPr="00FD211F">
        <w:rPr>
          <w:sz w:val="36"/>
          <w:szCs w:val="36"/>
          <w:rtl/>
        </w:rPr>
        <w:t>ومعلولها لاتقتضي وجود جامع ذاتي بينهما.</w:t>
      </w:r>
    </w:p>
    <w:p w14:paraId="2E9524E7" w14:textId="77777777" w:rsidR="00530EF2" w:rsidRPr="00FD211F" w:rsidRDefault="00530EF2" w:rsidP="009C58C8">
      <w:pPr>
        <w:ind w:left="0" w:firstLine="227"/>
        <w:jc w:val="both"/>
        <w:rPr>
          <w:sz w:val="36"/>
          <w:szCs w:val="36"/>
          <w:rtl/>
        </w:rPr>
      </w:pPr>
      <w:bookmarkStart w:id="66" w:name="درس007"/>
      <w:bookmarkEnd w:id="66"/>
      <w:r w:rsidRPr="00FD211F">
        <w:rPr>
          <w:sz w:val="36"/>
          <w:szCs w:val="36"/>
          <w:rtl/>
        </w:rPr>
        <w:t xml:space="preserve">ثم ان السيد الخوئي </w:t>
      </w:r>
      <w:r w:rsidR="000E2C38" w:rsidRPr="00FD211F">
        <w:rPr>
          <w:sz w:val="36"/>
          <w:szCs w:val="36"/>
          <w:rtl/>
        </w:rPr>
        <w:t>"</w:t>
      </w:r>
      <w:r w:rsidRPr="00FD211F">
        <w:rPr>
          <w:sz w:val="36"/>
          <w:szCs w:val="36"/>
          <w:rtl/>
        </w:rPr>
        <w:t>قده</w:t>
      </w:r>
      <w:r w:rsidR="000E2C38" w:rsidRPr="00FD211F">
        <w:rPr>
          <w:sz w:val="36"/>
          <w:szCs w:val="36"/>
          <w:rtl/>
        </w:rPr>
        <w:t>"</w:t>
      </w:r>
      <w:r w:rsidRPr="00FD211F">
        <w:rPr>
          <w:sz w:val="36"/>
          <w:szCs w:val="36"/>
          <w:rtl/>
        </w:rPr>
        <w:t xml:space="preserve"> اورد نقضا على دعوى لزوم وحد</w:t>
      </w:r>
      <w:r w:rsidR="00EC7EDF" w:rsidRPr="00FD211F">
        <w:rPr>
          <w:sz w:val="36"/>
          <w:szCs w:val="36"/>
          <w:rtl/>
        </w:rPr>
        <w:t xml:space="preserve">ة </w:t>
      </w:r>
      <w:r w:rsidRPr="00FD211F">
        <w:rPr>
          <w:sz w:val="36"/>
          <w:szCs w:val="36"/>
          <w:rtl/>
        </w:rPr>
        <w:t>موضوع العلم بمثل علم الفقه</w:t>
      </w:r>
      <w:r w:rsidR="00603323" w:rsidRPr="00FD211F">
        <w:rPr>
          <w:sz w:val="36"/>
          <w:szCs w:val="36"/>
          <w:rtl/>
        </w:rPr>
        <w:t xml:space="preserve">، </w:t>
      </w:r>
      <w:r w:rsidRPr="00FD211F">
        <w:rPr>
          <w:sz w:val="36"/>
          <w:szCs w:val="36"/>
          <w:rtl/>
        </w:rPr>
        <w:t>فذكر انه لايعقل افتراض وجود موضوع واحد جامع بين موضوعات مسائله</w:t>
      </w:r>
      <w:r w:rsidR="00603323" w:rsidRPr="00FD211F">
        <w:rPr>
          <w:sz w:val="36"/>
          <w:szCs w:val="36"/>
          <w:rtl/>
        </w:rPr>
        <w:t xml:space="preserve">، </w:t>
      </w:r>
      <w:r w:rsidRPr="00FD211F">
        <w:rPr>
          <w:sz w:val="36"/>
          <w:szCs w:val="36"/>
          <w:rtl/>
        </w:rPr>
        <w:t>اما لكونها قضايا جعلي</w:t>
      </w:r>
      <w:r w:rsidR="00EC7EDF" w:rsidRPr="00FD211F">
        <w:rPr>
          <w:sz w:val="36"/>
          <w:szCs w:val="36"/>
          <w:rtl/>
        </w:rPr>
        <w:t xml:space="preserve">ة </w:t>
      </w:r>
      <w:r w:rsidRPr="00FD211F">
        <w:rPr>
          <w:sz w:val="36"/>
          <w:szCs w:val="36"/>
          <w:rtl/>
        </w:rPr>
        <w:t>اعتباري</w:t>
      </w:r>
      <w:r w:rsidR="00EC7EDF" w:rsidRPr="00FD211F">
        <w:rPr>
          <w:sz w:val="36"/>
          <w:szCs w:val="36"/>
          <w:rtl/>
        </w:rPr>
        <w:t xml:space="preserve">ة </w:t>
      </w:r>
      <w:r w:rsidRPr="00FD211F">
        <w:rPr>
          <w:sz w:val="36"/>
          <w:szCs w:val="36"/>
          <w:rtl/>
        </w:rPr>
        <w:t>فلايعقل في حقها جامع حقيقي واما باعتبار ان موضوعاتها من مقولات متباين</w:t>
      </w:r>
      <w:r w:rsidR="00EC7EDF" w:rsidRPr="00FD211F">
        <w:rPr>
          <w:sz w:val="36"/>
          <w:szCs w:val="36"/>
          <w:rtl/>
        </w:rPr>
        <w:t xml:space="preserve">ة </w:t>
      </w:r>
      <w:r w:rsidRPr="00FD211F">
        <w:rPr>
          <w:sz w:val="36"/>
          <w:szCs w:val="36"/>
          <w:rtl/>
        </w:rPr>
        <w:t>لاتقبل الجامع الذاتي</w:t>
      </w:r>
      <w:r w:rsidR="00603323" w:rsidRPr="00FD211F">
        <w:rPr>
          <w:sz w:val="36"/>
          <w:szCs w:val="36"/>
          <w:rtl/>
        </w:rPr>
        <w:t xml:space="preserve">، </w:t>
      </w:r>
      <w:r w:rsidRPr="00FD211F">
        <w:rPr>
          <w:sz w:val="36"/>
          <w:szCs w:val="36"/>
          <w:rtl/>
        </w:rPr>
        <w:t>لان بعضها من الجوهر كالماء والدم وبعضها من العرض كالقراء</w:t>
      </w:r>
      <w:r w:rsidR="00EC7EDF" w:rsidRPr="00FD211F">
        <w:rPr>
          <w:sz w:val="36"/>
          <w:szCs w:val="36"/>
          <w:rtl/>
        </w:rPr>
        <w:t xml:space="preserve">ة </w:t>
      </w:r>
      <w:r w:rsidRPr="00FD211F">
        <w:rPr>
          <w:sz w:val="36"/>
          <w:szCs w:val="36"/>
          <w:rtl/>
        </w:rPr>
        <w:t>التي هي كيف مسموع والقيام والركوع الذي هو من مقول</w:t>
      </w:r>
      <w:r w:rsidR="00EC7EDF" w:rsidRPr="00FD211F">
        <w:rPr>
          <w:sz w:val="36"/>
          <w:szCs w:val="36"/>
          <w:rtl/>
        </w:rPr>
        <w:t xml:space="preserve">ة </w:t>
      </w:r>
      <w:r w:rsidRPr="00FD211F">
        <w:rPr>
          <w:sz w:val="36"/>
          <w:szCs w:val="36"/>
          <w:rtl/>
        </w:rPr>
        <w:t>الوضع</w:t>
      </w:r>
      <w:r w:rsidR="00603323" w:rsidRPr="00FD211F">
        <w:rPr>
          <w:sz w:val="36"/>
          <w:szCs w:val="36"/>
          <w:rtl/>
        </w:rPr>
        <w:t xml:space="preserve">، </w:t>
      </w:r>
      <w:r w:rsidRPr="00FD211F">
        <w:rPr>
          <w:sz w:val="36"/>
          <w:szCs w:val="36"/>
          <w:rtl/>
        </w:rPr>
        <w:t>وبعضها من الترك كترك المفطرات للصوم ولاجامع ذاتي بين المقولات العشر فكيف بين الوجود والعدم</w:t>
      </w:r>
      <w:r w:rsidR="009C58C8" w:rsidRPr="00FD211F">
        <w:rPr>
          <w:rStyle w:val="a6"/>
          <w:sz w:val="36"/>
          <w:szCs w:val="36"/>
          <w:rtl/>
        </w:rPr>
        <w:t>(</w:t>
      </w:r>
      <w:r w:rsidR="009C58C8" w:rsidRPr="00FD211F">
        <w:rPr>
          <w:rStyle w:val="a6"/>
          <w:sz w:val="36"/>
          <w:szCs w:val="36"/>
          <w:rtl/>
        </w:rPr>
        <w:footnoteReference w:id="65"/>
      </w:r>
      <w:r w:rsidR="009C58C8" w:rsidRPr="00FD211F">
        <w:rPr>
          <w:rStyle w:val="a6"/>
          <w:sz w:val="36"/>
          <w:szCs w:val="36"/>
          <w:rtl/>
        </w:rPr>
        <w:t>)</w:t>
      </w:r>
      <w:r w:rsidRPr="00FD211F">
        <w:rPr>
          <w:sz w:val="36"/>
          <w:szCs w:val="36"/>
          <w:rtl/>
        </w:rPr>
        <w:t>.</w:t>
      </w:r>
    </w:p>
    <w:p w14:paraId="2AB57D26" w14:textId="77777777" w:rsidR="001860EC" w:rsidRPr="00FD211F" w:rsidRDefault="007C5A13" w:rsidP="009C58C8">
      <w:pPr>
        <w:ind w:left="0" w:firstLine="227"/>
        <w:jc w:val="both"/>
        <w:rPr>
          <w:sz w:val="36"/>
          <w:szCs w:val="36"/>
          <w:rtl/>
        </w:rPr>
      </w:pPr>
      <w:r w:rsidRPr="00FD211F">
        <w:rPr>
          <w:sz w:val="36"/>
          <w:szCs w:val="36"/>
          <w:rtl/>
        </w:rPr>
        <w:lastRenderedPageBreak/>
        <w:t>و</w:t>
      </w:r>
      <w:r w:rsidR="00D00E9B" w:rsidRPr="00FD211F">
        <w:rPr>
          <w:sz w:val="36"/>
          <w:szCs w:val="36"/>
          <w:rtl/>
        </w:rPr>
        <w:t>لكن يمكن ان يجاب عنه بما ذكره</w:t>
      </w:r>
      <w:r w:rsidRPr="00FD211F">
        <w:rPr>
          <w:sz w:val="36"/>
          <w:szCs w:val="36"/>
          <w:rtl/>
        </w:rPr>
        <w:t xml:space="preserve"> السيد</w:t>
      </w:r>
      <w:r w:rsidR="003D23D6" w:rsidRPr="00FD211F">
        <w:rPr>
          <w:sz w:val="36"/>
          <w:szCs w:val="36"/>
          <w:rtl/>
        </w:rPr>
        <w:t xml:space="preserve"> البروجردي </w:t>
      </w:r>
      <w:r w:rsidR="000E2C38" w:rsidRPr="00FD211F">
        <w:rPr>
          <w:sz w:val="36"/>
          <w:szCs w:val="36"/>
          <w:rtl/>
        </w:rPr>
        <w:t>"</w:t>
      </w:r>
      <w:r w:rsidR="003D23D6" w:rsidRPr="00FD211F">
        <w:rPr>
          <w:sz w:val="36"/>
          <w:szCs w:val="36"/>
          <w:rtl/>
        </w:rPr>
        <w:t>قده</w:t>
      </w:r>
      <w:r w:rsidR="000E2C38" w:rsidRPr="00FD211F">
        <w:rPr>
          <w:sz w:val="36"/>
          <w:szCs w:val="36"/>
          <w:rtl/>
        </w:rPr>
        <w:t>"</w:t>
      </w:r>
      <w:r w:rsidRPr="00FD211F">
        <w:rPr>
          <w:sz w:val="36"/>
          <w:szCs w:val="36"/>
          <w:rtl/>
        </w:rPr>
        <w:t xml:space="preserve"> </w:t>
      </w:r>
      <w:r w:rsidR="00D00E9B" w:rsidRPr="00FD211F">
        <w:rPr>
          <w:sz w:val="36"/>
          <w:szCs w:val="36"/>
          <w:rtl/>
        </w:rPr>
        <w:t xml:space="preserve">من </w:t>
      </w:r>
      <w:r w:rsidRPr="00FD211F">
        <w:rPr>
          <w:sz w:val="36"/>
          <w:szCs w:val="36"/>
          <w:rtl/>
        </w:rPr>
        <w:t>ان المهم وحد</w:t>
      </w:r>
      <w:r w:rsidR="00EC7EDF" w:rsidRPr="00FD211F">
        <w:rPr>
          <w:sz w:val="36"/>
          <w:szCs w:val="36"/>
          <w:rtl/>
        </w:rPr>
        <w:t xml:space="preserve">ة </w:t>
      </w:r>
      <w:r w:rsidRPr="00FD211F">
        <w:rPr>
          <w:sz w:val="36"/>
          <w:szCs w:val="36"/>
          <w:rtl/>
        </w:rPr>
        <w:t>موضوع العلم بحسب الطبع دون موضوعه بحسب التدوين</w:t>
      </w:r>
      <w:r w:rsidR="00603323" w:rsidRPr="00FD211F">
        <w:rPr>
          <w:sz w:val="36"/>
          <w:szCs w:val="36"/>
          <w:rtl/>
        </w:rPr>
        <w:t xml:space="preserve">، </w:t>
      </w:r>
      <w:r w:rsidRPr="00FD211F">
        <w:rPr>
          <w:sz w:val="36"/>
          <w:szCs w:val="36"/>
          <w:rtl/>
        </w:rPr>
        <w:t>فان</w:t>
      </w:r>
      <w:r w:rsidR="003D23D6" w:rsidRPr="00FD211F">
        <w:rPr>
          <w:sz w:val="36"/>
          <w:szCs w:val="36"/>
          <w:rtl/>
        </w:rPr>
        <w:t xml:space="preserve"> الموضوع بحسب التدوين </w:t>
      </w:r>
      <w:r w:rsidR="00D00E9B" w:rsidRPr="00FD211F">
        <w:rPr>
          <w:sz w:val="36"/>
          <w:szCs w:val="36"/>
          <w:rtl/>
        </w:rPr>
        <w:t xml:space="preserve">قد يختلف عما هو </w:t>
      </w:r>
      <w:r w:rsidR="003D23D6" w:rsidRPr="00FD211F">
        <w:rPr>
          <w:sz w:val="36"/>
          <w:szCs w:val="36"/>
          <w:rtl/>
        </w:rPr>
        <w:t>الموضوع بحسب الطبع</w:t>
      </w:r>
      <w:r w:rsidR="00603323" w:rsidRPr="00FD211F">
        <w:rPr>
          <w:sz w:val="36"/>
          <w:szCs w:val="36"/>
          <w:rtl/>
        </w:rPr>
        <w:t xml:space="preserve">، </w:t>
      </w:r>
      <w:r w:rsidR="003D23D6" w:rsidRPr="00FD211F">
        <w:rPr>
          <w:sz w:val="36"/>
          <w:szCs w:val="36"/>
          <w:rtl/>
        </w:rPr>
        <w:t>فان الموضوع بحسب الطبع هو ما يكون معلوما ويطلب</w:t>
      </w:r>
      <w:r w:rsidRPr="00FD211F">
        <w:rPr>
          <w:sz w:val="36"/>
          <w:szCs w:val="36"/>
          <w:rtl/>
        </w:rPr>
        <w:t xml:space="preserve"> معرف</w:t>
      </w:r>
      <w:r w:rsidR="00EC7EDF" w:rsidRPr="00FD211F">
        <w:rPr>
          <w:sz w:val="36"/>
          <w:szCs w:val="36"/>
          <w:rtl/>
        </w:rPr>
        <w:t xml:space="preserve">ة </w:t>
      </w:r>
      <w:r w:rsidR="003D23D6" w:rsidRPr="00FD211F">
        <w:rPr>
          <w:sz w:val="36"/>
          <w:szCs w:val="36"/>
          <w:rtl/>
        </w:rPr>
        <w:t>حالاته او مصاديقه المجهول</w:t>
      </w:r>
      <w:r w:rsidR="00EC7EDF" w:rsidRPr="00FD211F">
        <w:rPr>
          <w:sz w:val="36"/>
          <w:szCs w:val="36"/>
          <w:rtl/>
        </w:rPr>
        <w:t>ة</w:t>
      </w:r>
      <w:r w:rsidR="00603323" w:rsidRPr="00FD211F">
        <w:rPr>
          <w:sz w:val="36"/>
          <w:szCs w:val="36"/>
          <w:rtl/>
        </w:rPr>
        <w:t xml:space="preserve">، </w:t>
      </w:r>
      <w:r w:rsidR="003D23D6" w:rsidRPr="00FD211F">
        <w:rPr>
          <w:sz w:val="36"/>
          <w:szCs w:val="36"/>
          <w:rtl/>
        </w:rPr>
        <w:t>فالموضوع لعلم الفلسف</w:t>
      </w:r>
      <w:r w:rsidR="00EC7EDF" w:rsidRPr="00FD211F">
        <w:rPr>
          <w:sz w:val="36"/>
          <w:szCs w:val="36"/>
          <w:rtl/>
        </w:rPr>
        <w:t xml:space="preserve">ة </w:t>
      </w:r>
      <w:r w:rsidR="003D23D6" w:rsidRPr="00FD211F">
        <w:rPr>
          <w:sz w:val="36"/>
          <w:szCs w:val="36"/>
          <w:rtl/>
        </w:rPr>
        <w:t>هو الموجود ويطلب فيه</w:t>
      </w:r>
      <w:r w:rsidRPr="00FD211F">
        <w:rPr>
          <w:sz w:val="36"/>
          <w:szCs w:val="36"/>
          <w:rtl/>
        </w:rPr>
        <w:t xml:space="preserve"> معرف</w:t>
      </w:r>
      <w:r w:rsidR="00EC7EDF" w:rsidRPr="00FD211F">
        <w:rPr>
          <w:sz w:val="36"/>
          <w:szCs w:val="36"/>
          <w:rtl/>
        </w:rPr>
        <w:t xml:space="preserve">ة </w:t>
      </w:r>
      <w:r w:rsidRPr="00FD211F">
        <w:rPr>
          <w:sz w:val="36"/>
          <w:szCs w:val="36"/>
          <w:rtl/>
        </w:rPr>
        <w:t>مصاديقه وان كان هذا الموضوع بحسب الطبع محمولا بحسب التدوين</w:t>
      </w:r>
      <w:r w:rsidR="00603323" w:rsidRPr="00FD211F">
        <w:rPr>
          <w:sz w:val="36"/>
          <w:szCs w:val="36"/>
          <w:rtl/>
        </w:rPr>
        <w:t xml:space="preserve">، </w:t>
      </w:r>
      <w:r w:rsidRPr="00FD211F">
        <w:rPr>
          <w:sz w:val="36"/>
          <w:szCs w:val="36"/>
          <w:rtl/>
        </w:rPr>
        <w:t>فيقال الجوهر موجود والعرض موجود وهكذا</w:t>
      </w:r>
      <w:r w:rsidR="00603323" w:rsidRPr="00FD211F">
        <w:rPr>
          <w:sz w:val="36"/>
          <w:szCs w:val="36"/>
          <w:rtl/>
        </w:rPr>
        <w:t xml:space="preserve">، </w:t>
      </w:r>
      <w:r w:rsidR="003D23D6" w:rsidRPr="00FD211F">
        <w:rPr>
          <w:sz w:val="36"/>
          <w:szCs w:val="36"/>
          <w:rtl/>
        </w:rPr>
        <w:t>وكذا الموضوع لعلم الاصول هو الحج</w:t>
      </w:r>
      <w:r w:rsidR="00EC7EDF" w:rsidRPr="00FD211F">
        <w:rPr>
          <w:sz w:val="36"/>
          <w:szCs w:val="36"/>
          <w:rtl/>
        </w:rPr>
        <w:t xml:space="preserve">ة </w:t>
      </w:r>
      <w:r w:rsidRPr="00FD211F">
        <w:rPr>
          <w:sz w:val="36"/>
          <w:szCs w:val="36"/>
          <w:rtl/>
        </w:rPr>
        <w:t>ويطلب فيه معرف</w:t>
      </w:r>
      <w:r w:rsidR="00EC7EDF" w:rsidRPr="00FD211F">
        <w:rPr>
          <w:sz w:val="36"/>
          <w:szCs w:val="36"/>
          <w:rtl/>
        </w:rPr>
        <w:t xml:space="preserve">ة </w:t>
      </w:r>
      <w:r w:rsidR="003D23D6" w:rsidRPr="00FD211F">
        <w:rPr>
          <w:sz w:val="36"/>
          <w:szCs w:val="36"/>
          <w:rtl/>
        </w:rPr>
        <w:t>مصاديقها المجهول</w:t>
      </w:r>
      <w:r w:rsidR="00EC7EDF" w:rsidRPr="00FD211F">
        <w:rPr>
          <w:sz w:val="36"/>
          <w:szCs w:val="36"/>
          <w:rtl/>
        </w:rPr>
        <w:t xml:space="preserve">ة </w:t>
      </w:r>
      <w:r w:rsidR="003D23D6" w:rsidRPr="00FD211F">
        <w:rPr>
          <w:sz w:val="36"/>
          <w:szCs w:val="36"/>
          <w:rtl/>
        </w:rPr>
        <w:t xml:space="preserve">وان كان بحسب ظاهر </w:t>
      </w:r>
      <w:r w:rsidR="00BF5D29" w:rsidRPr="00FD211F">
        <w:rPr>
          <w:sz w:val="36"/>
          <w:szCs w:val="36"/>
          <w:rtl/>
        </w:rPr>
        <w:t>القضي</w:t>
      </w:r>
      <w:r w:rsidR="00EC7EDF" w:rsidRPr="00FD211F">
        <w:rPr>
          <w:sz w:val="36"/>
          <w:szCs w:val="36"/>
          <w:rtl/>
        </w:rPr>
        <w:t xml:space="preserve">ة </w:t>
      </w:r>
      <w:r w:rsidR="00BF5D29" w:rsidRPr="00FD211F">
        <w:rPr>
          <w:sz w:val="36"/>
          <w:szCs w:val="36"/>
          <w:rtl/>
        </w:rPr>
        <w:t>محمولا</w:t>
      </w:r>
      <w:r w:rsidR="00603323" w:rsidRPr="00FD211F">
        <w:rPr>
          <w:sz w:val="36"/>
          <w:szCs w:val="36"/>
          <w:rtl/>
        </w:rPr>
        <w:t xml:space="preserve">، </w:t>
      </w:r>
      <w:r w:rsidR="00BF5D29" w:rsidRPr="00FD211F">
        <w:rPr>
          <w:sz w:val="36"/>
          <w:szCs w:val="36"/>
          <w:rtl/>
        </w:rPr>
        <w:t>فيقال الظاهر حج</w:t>
      </w:r>
      <w:r w:rsidR="00EC7EDF" w:rsidRPr="00FD211F">
        <w:rPr>
          <w:sz w:val="36"/>
          <w:szCs w:val="36"/>
          <w:rtl/>
        </w:rPr>
        <w:t xml:space="preserve">ة </w:t>
      </w:r>
      <w:r w:rsidR="00BF5D29" w:rsidRPr="00FD211F">
        <w:rPr>
          <w:sz w:val="36"/>
          <w:szCs w:val="36"/>
          <w:rtl/>
        </w:rPr>
        <w:t>وخبر الثق</w:t>
      </w:r>
      <w:r w:rsidR="00EC7EDF" w:rsidRPr="00FD211F">
        <w:rPr>
          <w:sz w:val="36"/>
          <w:szCs w:val="36"/>
          <w:rtl/>
        </w:rPr>
        <w:t xml:space="preserve">ة </w:t>
      </w:r>
      <w:r w:rsidR="00BF5D29" w:rsidRPr="00FD211F">
        <w:rPr>
          <w:sz w:val="36"/>
          <w:szCs w:val="36"/>
          <w:rtl/>
        </w:rPr>
        <w:t>حج</w:t>
      </w:r>
      <w:r w:rsidR="00EC7EDF" w:rsidRPr="00FD211F">
        <w:rPr>
          <w:sz w:val="36"/>
          <w:szCs w:val="36"/>
          <w:rtl/>
        </w:rPr>
        <w:t xml:space="preserve">ة </w:t>
      </w:r>
      <w:r w:rsidR="00BF5D29" w:rsidRPr="00FD211F">
        <w:rPr>
          <w:sz w:val="36"/>
          <w:szCs w:val="36"/>
          <w:rtl/>
        </w:rPr>
        <w:t>وهكذا</w:t>
      </w:r>
      <w:r w:rsidR="00603323" w:rsidRPr="00FD211F">
        <w:rPr>
          <w:sz w:val="36"/>
          <w:szCs w:val="36"/>
          <w:rtl/>
        </w:rPr>
        <w:t xml:space="preserve">، </w:t>
      </w:r>
      <w:r w:rsidR="00BF5D29" w:rsidRPr="00FD211F">
        <w:rPr>
          <w:sz w:val="36"/>
          <w:szCs w:val="36"/>
          <w:rtl/>
        </w:rPr>
        <w:t xml:space="preserve">ولامحذور في </w:t>
      </w:r>
      <w:r w:rsidR="0032162E" w:rsidRPr="00FD211F">
        <w:rPr>
          <w:sz w:val="36"/>
          <w:szCs w:val="36"/>
          <w:rtl/>
        </w:rPr>
        <w:t>صيرور</w:t>
      </w:r>
      <w:r w:rsidR="00EC7EDF" w:rsidRPr="00FD211F">
        <w:rPr>
          <w:sz w:val="36"/>
          <w:szCs w:val="36"/>
          <w:rtl/>
        </w:rPr>
        <w:t xml:space="preserve">ة </w:t>
      </w:r>
      <w:r w:rsidR="0032162E" w:rsidRPr="00FD211F">
        <w:rPr>
          <w:sz w:val="36"/>
          <w:szCs w:val="36"/>
          <w:rtl/>
        </w:rPr>
        <w:t>الموضوع</w:t>
      </w:r>
      <w:r w:rsidR="00BF5D29" w:rsidRPr="00FD211F">
        <w:rPr>
          <w:sz w:val="36"/>
          <w:szCs w:val="36"/>
          <w:rtl/>
        </w:rPr>
        <w:t xml:space="preserve"> </w:t>
      </w:r>
      <w:r w:rsidR="0032162E" w:rsidRPr="00FD211F">
        <w:rPr>
          <w:sz w:val="36"/>
          <w:szCs w:val="36"/>
          <w:rtl/>
        </w:rPr>
        <w:t>بحسب الطبع محمولا بلحاظ التدوين</w:t>
      </w:r>
      <w:r w:rsidR="00603323" w:rsidRPr="00FD211F">
        <w:rPr>
          <w:sz w:val="36"/>
          <w:szCs w:val="36"/>
          <w:rtl/>
        </w:rPr>
        <w:t xml:space="preserve">، </w:t>
      </w:r>
      <w:r w:rsidR="0032162E" w:rsidRPr="00FD211F">
        <w:rPr>
          <w:sz w:val="36"/>
          <w:szCs w:val="36"/>
          <w:rtl/>
        </w:rPr>
        <w:t xml:space="preserve">اذ </w:t>
      </w:r>
      <w:r w:rsidR="003D23D6" w:rsidRPr="00FD211F">
        <w:rPr>
          <w:sz w:val="36"/>
          <w:szCs w:val="36"/>
          <w:rtl/>
        </w:rPr>
        <w:t>كل من الموضوع والمحمول لمكان اختلافهما مفهوما واتحادهما خارجا</w:t>
      </w:r>
      <w:r w:rsidR="001860EC" w:rsidRPr="00FD211F">
        <w:rPr>
          <w:sz w:val="36"/>
          <w:szCs w:val="36"/>
          <w:rtl/>
        </w:rPr>
        <w:t xml:space="preserve"> يكونان</w:t>
      </w:r>
      <w:r w:rsidR="003D23D6" w:rsidRPr="00FD211F">
        <w:rPr>
          <w:sz w:val="36"/>
          <w:szCs w:val="36"/>
          <w:rtl/>
        </w:rPr>
        <w:t xml:space="preserve"> من العرض المنطقي للآخر</w:t>
      </w:r>
      <w:r w:rsidR="009C58C8" w:rsidRPr="00FD211F">
        <w:rPr>
          <w:rStyle w:val="a6"/>
          <w:sz w:val="36"/>
          <w:szCs w:val="36"/>
          <w:rtl/>
        </w:rPr>
        <w:t>(</w:t>
      </w:r>
      <w:r w:rsidR="009C58C8" w:rsidRPr="00FD211F">
        <w:rPr>
          <w:rStyle w:val="a6"/>
          <w:sz w:val="36"/>
          <w:szCs w:val="36"/>
          <w:rtl/>
        </w:rPr>
        <w:footnoteReference w:id="66"/>
      </w:r>
      <w:r w:rsidR="009C58C8" w:rsidRPr="00FD211F">
        <w:rPr>
          <w:rStyle w:val="a6"/>
          <w:sz w:val="36"/>
          <w:szCs w:val="36"/>
          <w:rtl/>
        </w:rPr>
        <w:t>)</w:t>
      </w:r>
      <w:r w:rsidR="001860EC" w:rsidRPr="00FD211F">
        <w:rPr>
          <w:sz w:val="36"/>
          <w:szCs w:val="36"/>
          <w:rtl/>
        </w:rPr>
        <w:t>.</w:t>
      </w:r>
    </w:p>
    <w:p w14:paraId="0F8EDC5F" w14:textId="77777777" w:rsidR="0067582E" w:rsidRPr="00FD211F" w:rsidRDefault="00D00E9B" w:rsidP="009C58C8">
      <w:pPr>
        <w:ind w:left="0" w:firstLine="227"/>
        <w:jc w:val="both"/>
        <w:rPr>
          <w:sz w:val="36"/>
          <w:szCs w:val="36"/>
          <w:rtl/>
        </w:rPr>
      </w:pPr>
      <w:r w:rsidRPr="00FD211F">
        <w:rPr>
          <w:sz w:val="36"/>
          <w:szCs w:val="36"/>
          <w:rtl/>
        </w:rPr>
        <w:t>وحينئذ فقد يقال بانه لما كان موضوع علم الفقه بحسب الطبع هو الحكم الشرعي وهو بنفسه يكون موضوعا لمسائل علم الفقه</w:t>
      </w:r>
      <w:r w:rsidR="00603323" w:rsidRPr="00FD211F">
        <w:rPr>
          <w:sz w:val="36"/>
          <w:szCs w:val="36"/>
          <w:rtl/>
        </w:rPr>
        <w:t xml:space="preserve">، </w:t>
      </w:r>
      <w:r w:rsidRPr="00FD211F">
        <w:rPr>
          <w:sz w:val="36"/>
          <w:szCs w:val="36"/>
          <w:rtl/>
        </w:rPr>
        <w:t>حيث يقال ان الحكم الشرعي في الخمر هو النجاس</w:t>
      </w:r>
      <w:r w:rsidR="00EC7EDF" w:rsidRPr="00FD211F">
        <w:rPr>
          <w:sz w:val="36"/>
          <w:szCs w:val="36"/>
          <w:rtl/>
        </w:rPr>
        <w:t xml:space="preserve">ة </w:t>
      </w:r>
      <w:r w:rsidRPr="00FD211F">
        <w:rPr>
          <w:sz w:val="36"/>
          <w:szCs w:val="36"/>
          <w:rtl/>
        </w:rPr>
        <w:t>والحكم الشرعي في الماء هو الطهار</w:t>
      </w:r>
      <w:r w:rsidR="00EC7EDF" w:rsidRPr="00FD211F">
        <w:rPr>
          <w:sz w:val="36"/>
          <w:szCs w:val="36"/>
          <w:rtl/>
        </w:rPr>
        <w:t xml:space="preserve">ة </w:t>
      </w:r>
      <w:r w:rsidRPr="00FD211F">
        <w:rPr>
          <w:sz w:val="36"/>
          <w:szCs w:val="36"/>
          <w:rtl/>
        </w:rPr>
        <w:t>وهكذا</w:t>
      </w:r>
      <w:r w:rsidR="00603323" w:rsidRPr="00FD211F">
        <w:rPr>
          <w:sz w:val="36"/>
          <w:szCs w:val="36"/>
          <w:rtl/>
        </w:rPr>
        <w:t xml:space="preserve">، </w:t>
      </w:r>
      <w:r w:rsidRPr="00FD211F">
        <w:rPr>
          <w:sz w:val="36"/>
          <w:szCs w:val="36"/>
          <w:rtl/>
        </w:rPr>
        <w:t>فيكون هذا هو المقصود من فرض الجامع الذاتي بين موضوعات المسائل</w:t>
      </w:r>
      <w:r w:rsidR="00603323" w:rsidRPr="00FD211F">
        <w:rPr>
          <w:sz w:val="36"/>
          <w:szCs w:val="36"/>
          <w:rtl/>
        </w:rPr>
        <w:t xml:space="preserve">، </w:t>
      </w:r>
      <w:r w:rsidRPr="00FD211F">
        <w:rPr>
          <w:sz w:val="36"/>
          <w:szCs w:val="36"/>
          <w:rtl/>
        </w:rPr>
        <w:t>ولاحاج</w:t>
      </w:r>
      <w:r w:rsidR="00EC7EDF" w:rsidRPr="00FD211F">
        <w:rPr>
          <w:sz w:val="36"/>
          <w:szCs w:val="36"/>
          <w:rtl/>
        </w:rPr>
        <w:t xml:space="preserve">ة </w:t>
      </w:r>
      <w:r w:rsidRPr="00FD211F">
        <w:rPr>
          <w:sz w:val="36"/>
          <w:szCs w:val="36"/>
          <w:rtl/>
        </w:rPr>
        <w:t xml:space="preserve">الى فرض جامع مقولي يكون جنسا حقيقيا لتلك </w:t>
      </w:r>
      <w:r w:rsidR="0067582E" w:rsidRPr="00FD211F">
        <w:rPr>
          <w:sz w:val="36"/>
          <w:szCs w:val="36"/>
          <w:rtl/>
        </w:rPr>
        <w:t>الموضوعات</w:t>
      </w:r>
      <w:r w:rsidR="00603323" w:rsidRPr="00FD211F">
        <w:rPr>
          <w:sz w:val="36"/>
          <w:szCs w:val="36"/>
          <w:rtl/>
        </w:rPr>
        <w:t xml:space="preserve">، </w:t>
      </w:r>
    </w:p>
    <w:p w14:paraId="76A8D983" w14:textId="77777777" w:rsidR="000C5BBA" w:rsidRPr="00FD211F" w:rsidRDefault="0067582E" w:rsidP="0067698C">
      <w:pPr>
        <w:ind w:left="0" w:firstLine="227"/>
        <w:jc w:val="both"/>
        <w:rPr>
          <w:sz w:val="36"/>
          <w:szCs w:val="36"/>
          <w:rtl/>
        </w:rPr>
      </w:pPr>
      <w:r w:rsidRPr="00FD211F">
        <w:rPr>
          <w:sz w:val="36"/>
          <w:szCs w:val="36"/>
          <w:rtl/>
        </w:rPr>
        <w:t>وعليه</w:t>
      </w:r>
      <w:r w:rsidR="00D00E9B" w:rsidRPr="00FD211F">
        <w:rPr>
          <w:sz w:val="36"/>
          <w:szCs w:val="36"/>
          <w:rtl/>
        </w:rPr>
        <w:t xml:space="preserve"> فلايتم ما ذكره السيد الخوئي</w:t>
      </w:r>
      <w:r w:rsidR="00A61BAE" w:rsidRPr="00FD211F">
        <w:rPr>
          <w:sz w:val="36"/>
          <w:szCs w:val="36"/>
          <w:rtl/>
        </w:rPr>
        <w:t xml:space="preserve"> </w:t>
      </w:r>
      <w:r w:rsidR="005D03BA" w:rsidRPr="00FD211F">
        <w:rPr>
          <w:sz w:val="36"/>
          <w:szCs w:val="36"/>
          <w:rtl/>
        </w:rPr>
        <w:t>"قده</w:t>
      </w:r>
      <w:r w:rsidR="0067698C" w:rsidRPr="00FD211F">
        <w:rPr>
          <w:sz w:val="36"/>
          <w:szCs w:val="36"/>
          <w:rtl/>
        </w:rPr>
        <w:t>"</w:t>
      </w:r>
      <w:r w:rsidR="00A61BAE" w:rsidRPr="00FD211F">
        <w:rPr>
          <w:sz w:val="36"/>
          <w:szCs w:val="36"/>
          <w:rtl/>
        </w:rPr>
        <w:t xml:space="preserve"> </w:t>
      </w:r>
      <w:r w:rsidR="00D00E9B" w:rsidRPr="00FD211F">
        <w:rPr>
          <w:sz w:val="36"/>
          <w:szCs w:val="36"/>
          <w:rtl/>
        </w:rPr>
        <w:t>من ان الحكم الشرعي أمر اعتباري ولاجامع مقولي بين</w:t>
      </w:r>
      <w:r w:rsidRPr="00FD211F">
        <w:rPr>
          <w:sz w:val="36"/>
          <w:szCs w:val="36"/>
          <w:rtl/>
        </w:rPr>
        <w:t xml:space="preserve"> الامور الاعتباري</w:t>
      </w:r>
      <w:r w:rsidR="00EC7EDF" w:rsidRPr="00FD211F">
        <w:rPr>
          <w:sz w:val="36"/>
          <w:szCs w:val="36"/>
          <w:rtl/>
        </w:rPr>
        <w:t>ة</w:t>
      </w:r>
      <w:r w:rsidR="00A61BAE" w:rsidRPr="00FD211F">
        <w:rPr>
          <w:sz w:val="36"/>
          <w:szCs w:val="36"/>
          <w:rtl/>
        </w:rPr>
        <w:t>.</w:t>
      </w:r>
    </w:p>
    <w:p w14:paraId="46AD6EDA" w14:textId="77777777" w:rsidR="00D00E9B" w:rsidRPr="00FD211F" w:rsidRDefault="0067582E" w:rsidP="009C58C8">
      <w:pPr>
        <w:ind w:left="0" w:firstLine="227"/>
        <w:jc w:val="both"/>
        <w:rPr>
          <w:sz w:val="36"/>
          <w:szCs w:val="36"/>
          <w:rtl/>
        </w:rPr>
      </w:pPr>
      <w:r w:rsidRPr="00FD211F">
        <w:rPr>
          <w:sz w:val="36"/>
          <w:szCs w:val="36"/>
          <w:rtl/>
        </w:rPr>
        <w:t>وقد اجاب</w:t>
      </w:r>
      <w:r w:rsidR="00D00E9B" w:rsidRPr="00FD211F">
        <w:rPr>
          <w:sz w:val="36"/>
          <w:szCs w:val="36"/>
          <w:rtl/>
        </w:rPr>
        <w:t xml:space="preserve"> في البحوث </w:t>
      </w:r>
      <w:r w:rsidRPr="00FD211F">
        <w:rPr>
          <w:sz w:val="36"/>
          <w:szCs w:val="36"/>
          <w:rtl/>
        </w:rPr>
        <w:t>عن ايراد السيد الخوئي "قده"</w:t>
      </w:r>
      <w:r w:rsidR="00D00E9B" w:rsidRPr="00FD211F">
        <w:rPr>
          <w:sz w:val="36"/>
          <w:szCs w:val="36"/>
          <w:rtl/>
        </w:rPr>
        <w:t xml:space="preserve"> بان نفس عملي</w:t>
      </w:r>
      <w:r w:rsidR="00EC7EDF" w:rsidRPr="00FD211F">
        <w:rPr>
          <w:sz w:val="36"/>
          <w:szCs w:val="36"/>
          <w:rtl/>
        </w:rPr>
        <w:t xml:space="preserve">ة </w:t>
      </w:r>
      <w:r w:rsidR="00D00E9B" w:rsidRPr="00FD211F">
        <w:rPr>
          <w:sz w:val="36"/>
          <w:szCs w:val="36"/>
          <w:rtl/>
        </w:rPr>
        <w:t>اعتبار الحكم الشرعي أمر تكويني</w:t>
      </w:r>
      <w:r w:rsidR="00603323" w:rsidRPr="00FD211F">
        <w:rPr>
          <w:sz w:val="36"/>
          <w:szCs w:val="36"/>
          <w:rtl/>
        </w:rPr>
        <w:t xml:space="preserve">، </w:t>
      </w:r>
      <w:r w:rsidR="00D00E9B" w:rsidRPr="00FD211F">
        <w:rPr>
          <w:sz w:val="36"/>
          <w:szCs w:val="36"/>
          <w:rtl/>
        </w:rPr>
        <w:t>مضافا الى ان مبادي الحكم من الحب والبغض امور نفساني</w:t>
      </w:r>
      <w:r w:rsidR="00EC7EDF" w:rsidRPr="00FD211F">
        <w:rPr>
          <w:sz w:val="36"/>
          <w:szCs w:val="36"/>
          <w:rtl/>
        </w:rPr>
        <w:t xml:space="preserve">ة </w:t>
      </w:r>
      <w:r w:rsidR="00D00E9B" w:rsidRPr="00FD211F">
        <w:rPr>
          <w:sz w:val="36"/>
          <w:szCs w:val="36"/>
          <w:rtl/>
        </w:rPr>
        <w:t>تكويني</w:t>
      </w:r>
      <w:r w:rsidR="00EC7EDF" w:rsidRPr="00FD211F">
        <w:rPr>
          <w:sz w:val="36"/>
          <w:szCs w:val="36"/>
          <w:rtl/>
        </w:rPr>
        <w:t xml:space="preserve">ة </w:t>
      </w:r>
      <w:r w:rsidR="00D00E9B" w:rsidRPr="00FD211F">
        <w:rPr>
          <w:sz w:val="36"/>
          <w:szCs w:val="36"/>
          <w:rtl/>
        </w:rPr>
        <w:t>وهي التي تشكل روح الحكم</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67"/>
      </w:r>
      <w:r w:rsidR="00C17D0B" w:rsidRPr="00FD211F">
        <w:rPr>
          <w:rStyle w:val="a6"/>
          <w:sz w:val="36"/>
          <w:szCs w:val="36"/>
          <w:rtl/>
        </w:rPr>
        <w:t>)</w:t>
      </w:r>
      <w:r w:rsidR="00D00E9B" w:rsidRPr="00FD211F">
        <w:rPr>
          <w:sz w:val="36"/>
          <w:szCs w:val="36"/>
          <w:rtl/>
        </w:rPr>
        <w:t xml:space="preserve"> ولايخفى ان ماذكره من ان مبادئ الحكم من الحب والبغض امور نفساني</w:t>
      </w:r>
      <w:r w:rsidR="00EC7EDF" w:rsidRPr="00FD211F">
        <w:rPr>
          <w:sz w:val="36"/>
          <w:szCs w:val="36"/>
          <w:rtl/>
        </w:rPr>
        <w:t xml:space="preserve">ة </w:t>
      </w:r>
      <w:r w:rsidR="00D00E9B" w:rsidRPr="00FD211F">
        <w:rPr>
          <w:sz w:val="36"/>
          <w:szCs w:val="36"/>
          <w:rtl/>
        </w:rPr>
        <w:t>تكويني</w:t>
      </w:r>
      <w:r w:rsidR="00EC7EDF" w:rsidRPr="00FD211F">
        <w:rPr>
          <w:sz w:val="36"/>
          <w:szCs w:val="36"/>
          <w:rtl/>
        </w:rPr>
        <w:t xml:space="preserve">ة </w:t>
      </w:r>
      <w:r w:rsidR="00D00E9B" w:rsidRPr="00FD211F">
        <w:rPr>
          <w:sz w:val="36"/>
          <w:szCs w:val="36"/>
          <w:rtl/>
        </w:rPr>
        <w:t>لو تم فانما يتم في الاحكام التكليفي</w:t>
      </w:r>
      <w:r w:rsidR="00EC7EDF" w:rsidRPr="00FD211F">
        <w:rPr>
          <w:sz w:val="36"/>
          <w:szCs w:val="36"/>
          <w:rtl/>
        </w:rPr>
        <w:t xml:space="preserve">ة </w:t>
      </w:r>
      <w:r w:rsidR="00D00E9B" w:rsidRPr="00FD211F">
        <w:rPr>
          <w:sz w:val="36"/>
          <w:szCs w:val="36"/>
          <w:rtl/>
        </w:rPr>
        <w:t>دون الاحكام الوضعي</w:t>
      </w:r>
      <w:r w:rsidR="00EC7EDF" w:rsidRPr="00FD211F">
        <w:rPr>
          <w:sz w:val="36"/>
          <w:szCs w:val="36"/>
          <w:rtl/>
        </w:rPr>
        <w:t>ة</w:t>
      </w:r>
      <w:r w:rsidR="00A61BAE" w:rsidRPr="00FD211F">
        <w:rPr>
          <w:sz w:val="36"/>
          <w:szCs w:val="36"/>
          <w:rtl/>
        </w:rPr>
        <w:t>.</w:t>
      </w:r>
    </w:p>
    <w:p w14:paraId="06826935" w14:textId="77777777" w:rsidR="003D23D6" w:rsidRPr="00FD211F" w:rsidRDefault="00DB524D" w:rsidP="009C58C8">
      <w:pPr>
        <w:ind w:left="0" w:firstLine="227"/>
        <w:jc w:val="both"/>
        <w:rPr>
          <w:sz w:val="36"/>
          <w:szCs w:val="36"/>
          <w:rtl/>
        </w:rPr>
      </w:pPr>
      <w:r w:rsidRPr="00FD211F">
        <w:rPr>
          <w:sz w:val="36"/>
          <w:szCs w:val="36"/>
          <w:rtl/>
        </w:rPr>
        <w:t>هذا وقد ذكر</w:t>
      </w:r>
      <w:r w:rsidR="00D00E9B" w:rsidRPr="00FD211F">
        <w:rPr>
          <w:sz w:val="36"/>
          <w:szCs w:val="36"/>
          <w:rtl/>
        </w:rPr>
        <w:t>في البحوث</w:t>
      </w:r>
      <w:r w:rsidR="00796C82" w:rsidRPr="00FD211F">
        <w:rPr>
          <w:sz w:val="36"/>
          <w:szCs w:val="36"/>
          <w:rtl/>
        </w:rPr>
        <w:t xml:space="preserve"> ان</w:t>
      </w:r>
      <w:r w:rsidR="00D00E9B" w:rsidRPr="00FD211F">
        <w:rPr>
          <w:sz w:val="36"/>
          <w:szCs w:val="36"/>
          <w:rtl/>
        </w:rPr>
        <w:t xml:space="preserve"> المرتكز</w:t>
      </w:r>
      <w:r w:rsidR="00796C82" w:rsidRPr="00FD211F">
        <w:rPr>
          <w:sz w:val="36"/>
          <w:szCs w:val="36"/>
          <w:rtl/>
        </w:rPr>
        <w:t xml:space="preserve"> هو ان لكل علم موضوعا</w:t>
      </w:r>
      <w:r w:rsidR="00B42D61" w:rsidRPr="00FD211F">
        <w:rPr>
          <w:sz w:val="36"/>
          <w:szCs w:val="36"/>
          <w:rtl/>
        </w:rPr>
        <w:t xml:space="preserve"> يوح</w:t>
      </w:r>
      <w:r w:rsidR="00796C82" w:rsidRPr="00FD211F">
        <w:rPr>
          <w:sz w:val="36"/>
          <w:szCs w:val="36"/>
          <w:rtl/>
        </w:rPr>
        <w:t>ِّ</w:t>
      </w:r>
      <w:r w:rsidR="00B42D61" w:rsidRPr="00FD211F">
        <w:rPr>
          <w:sz w:val="36"/>
          <w:szCs w:val="36"/>
          <w:rtl/>
        </w:rPr>
        <w:t>د بحوثه في محور واحد</w:t>
      </w:r>
      <w:r w:rsidR="00603323" w:rsidRPr="00FD211F">
        <w:rPr>
          <w:sz w:val="36"/>
          <w:szCs w:val="36"/>
          <w:rtl/>
        </w:rPr>
        <w:t xml:space="preserve">، </w:t>
      </w:r>
      <w:r w:rsidR="00B42D61" w:rsidRPr="00FD211F">
        <w:rPr>
          <w:sz w:val="36"/>
          <w:szCs w:val="36"/>
          <w:rtl/>
        </w:rPr>
        <w:t>بنحو يتميز عن علوم أخرى وهذه الوحد</w:t>
      </w:r>
      <w:r w:rsidR="00EC7EDF" w:rsidRPr="00FD211F">
        <w:rPr>
          <w:sz w:val="36"/>
          <w:szCs w:val="36"/>
          <w:rtl/>
        </w:rPr>
        <w:t xml:space="preserve">ة </w:t>
      </w:r>
      <w:r w:rsidR="00B42D61" w:rsidRPr="00FD211F">
        <w:rPr>
          <w:sz w:val="36"/>
          <w:szCs w:val="36"/>
          <w:rtl/>
        </w:rPr>
        <w:t>ثابت</w:t>
      </w:r>
      <w:r w:rsidR="00EC7EDF" w:rsidRPr="00FD211F">
        <w:rPr>
          <w:sz w:val="36"/>
          <w:szCs w:val="36"/>
          <w:rtl/>
        </w:rPr>
        <w:t xml:space="preserve">ة </w:t>
      </w:r>
      <w:r w:rsidR="00B42D61" w:rsidRPr="00FD211F">
        <w:rPr>
          <w:sz w:val="36"/>
          <w:szCs w:val="36"/>
          <w:rtl/>
        </w:rPr>
        <w:t>ارتكازا ووجدانا لكل علم في مرتب</w:t>
      </w:r>
      <w:r w:rsidR="00EC7EDF" w:rsidRPr="00FD211F">
        <w:rPr>
          <w:sz w:val="36"/>
          <w:szCs w:val="36"/>
          <w:rtl/>
        </w:rPr>
        <w:t xml:space="preserve">ة </w:t>
      </w:r>
      <w:r w:rsidR="00B42D61" w:rsidRPr="00FD211F">
        <w:rPr>
          <w:sz w:val="36"/>
          <w:szCs w:val="36"/>
          <w:rtl/>
        </w:rPr>
        <w:t>ا</w:t>
      </w:r>
      <w:r w:rsidRPr="00FD211F">
        <w:rPr>
          <w:sz w:val="36"/>
          <w:szCs w:val="36"/>
          <w:rtl/>
        </w:rPr>
        <w:t>سبق من مرتب</w:t>
      </w:r>
      <w:r w:rsidR="00EC7EDF" w:rsidRPr="00FD211F">
        <w:rPr>
          <w:sz w:val="36"/>
          <w:szCs w:val="36"/>
          <w:rtl/>
        </w:rPr>
        <w:t xml:space="preserve">ة </w:t>
      </w:r>
      <w:r w:rsidRPr="00FD211F">
        <w:rPr>
          <w:sz w:val="36"/>
          <w:szCs w:val="36"/>
          <w:rtl/>
        </w:rPr>
        <w:t>تدوينه</w:t>
      </w:r>
      <w:r w:rsidR="00603323" w:rsidRPr="00FD211F">
        <w:rPr>
          <w:sz w:val="36"/>
          <w:szCs w:val="36"/>
          <w:rtl/>
        </w:rPr>
        <w:t xml:space="preserve">، </w:t>
      </w:r>
      <w:r w:rsidRPr="00FD211F">
        <w:rPr>
          <w:sz w:val="36"/>
          <w:szCs w:val="36"/>
          <w:rtl/>
        </w:rPr>
        <w:t>والمراد من موضوع العلم الذي ندعي كونه واحداليس هو الموضوع بحسب التدوين بل هو</w:t>
      </w:r>
      <w:r w:rsidR="00B42D61" w:rsidRPr="00FD211F">
        <w:rPr>
          <w:sz w:val="36"/>
          <w:szCs w:val="36"/>
          <w:rtl/>
        </w:rPr>
        <w:t>الموضوع بحسب الطبع</w:t>
      </w:r>
      <w:r w:rsidR="00603323" w:rsidRPr="00FD211F">
        <w:rPr>
          <w:sz w:val="36"/>
          <w:szCs w:val="36"/>
          <w:rtl/>
        </w:rPr>
        <w:t xml:space="preserve">، </w:t>
      </w:r>
      <w:r w:rsidR="00F532E9" w:rsidRPr="00FD211F">
        <w:rPr>
          <w:sz w:val="36"/>
          <w:szCs w:val="36"/>
          <w:rtl/>
        </w:rPr>
        <w:t xml:space="preserve">الذي قد يكون محمولا بحسب التدوين او يكون </w:t>
      </w:r>
      <w:r w:rsidRPr="00FD211F">
        <w:rPr>
          <w:sz w:val="36"/>
          <w:szCs w:val="36"/>
          <w:rtl/>
        </w:rPr>
        <w:t>بحسب الظاهرغرض التدوين</w:t>
      </w:r>
      <w:r w:rsidR="00603323" w:rsidRPr="00FD211F">
        <w:rPr>
          <w:sz w:val="36"/>
          <w:szCs w:val="36"/>
          <w:rtl/>
        </w:rPr>
        <w:t xml:space="preserve">، </w:t>
      </w:r>
      <w:r w:rsidR="00F532E9" w:rsidRPr="00FD211F">
        <w:rPr>
          <w:sz w:val="36"/>
          <w:szCs w:val="36"/>
          <w:rtl/>
        </w:rPr>
        <w:t>فصح</w:t>
      </w:r>
      <w:r w:rsidR="00EC7EDF" w:rsidRPr="00FD211F">
        <w:rPr>
          <w:sz w:val="36"/>
          <w:szCs w:val="36"/>
          <w:rtl/>
        </w:rPr>
        <w:t xml:space="preserve">ة </w:t>
      </w:r>
      <w:r w:rsidR="00F532E9" w:rsidRPr="00FD211F">
        <w:rPr>
          <w:sz w:val="36"/>
          <w:szCs w:val="36"/>
          <w:rtl/>
        </w:rPr>
        <w:t>البدن</w:t>
      </w:r>
      <w:r w:rsidR="003D23D6" w:rsidRPr="00FD211F">
        <w:rPr>
          <w:sz w:val="36"/>
          <w:szCs w:val="36"/>
          <w:rtl/>
        </w:rPr>
        <w:t xml:space="preserve"> التي تعد غرض تدوين علم الطب</w:t>
      </w:r>
      <w:r w:rsidRPr="00FD211F">
        <w:rPr>
          <w:sz w:val="36"/>
          <w:szCs w:val="36"/>
          <w:rtl/>
        </w:rPr>
        <w:t xml:space="preserve"> هي الموضوع لعلم الطب واقعا</w:t>
      </w:r>
      <w:r w:rsidR="003D23D6" w:rsidRPr="00FD211F">
        <w:rPr>
          <w:sz w:val="36"/>
          <w:szCs w:val="36"/>
          <w:rtl/>
        </w:rPr>
        <w:t xml:space="preserve"> ويبحث فيه عن حالاته</w:t>
      </w:r>
      <w:r w:rsidR="00F532E9" w:rsidRPr="00FD211F">
        <w:rPr>
          <w:sz w:val="36"/>
          <w:szCs w:val="36"/>
          <w:rtl/>
        </w:rPr>
        <w:t>ا</w:t>
      </w:r>
      <w:r w:rsidR="003D23D6" w:rsidRPr="00FD211F">
        <w:rPr>
          <w:sz w:val="36"/>
          <w:szCs w:val="36"/>
          <w:rtl/>
        </w:rPr>
        <w:t xml:space="preserve"> من نشوءها او اختلالها من أي سبب</w:t>
      </w:r>
      <w:r w:rsidR="00603323" w:rsidRPr="00FD211F">
        <w:rPr>
          <w:sz w:val="36"/>
          <w:szCs w:val="36"/>
          <w:rtl/>
        </w:rPr>
        <w:t xml:space="preserve">، </w:t>
      </w:r>
      <w:r w:rsidR="00F532E9" w:rsidRPr="00FD211F">
        <w:rPr>
          <w:sz w:val="36"/>
          <w:szCs w:val="36"/>
          <w:rtl/>
        </w:rPr>
        <w:t>كما</w:t>
      </w:r>
      <w:r w:rsidR="003D23D6" w:rsidRPr="00FD211F">
        <w:rPr>
          <w:sz w:val="36"/>
          <w:szCs w:val="36"/>
          <w:rtl/>
        </w:rPr>
        <w:t xml:space="preserve"> ان موضوع علم الفقه هو الحكم الشرعي ويدور علم الفقه حوله</w:t>
      </w:r>
      <w:r w:rsidR="00603323" w:rsidRPr="00FD211F">
        <w:rPr>
          <w:sz w:val="36"/>
          <w:szCs w:val="36"/>
          <w:rtl/>
        </w:rPr>
        <w:t xml:space="preserve">، </w:t>
      </w:r>
      <w:r w:rsidR="003D23D6" w:rsidRPr="00FD211F">
        <w:rPr>
          <w:sz w:val="36"/>
          <w:szCs w:val="36"/>
          <w:rtl/>
        </w:rPr>
        <w:t>وكذا موضوع علم الاصول الأدل</w:t>
      </w:r>
      <w:r w:rsidR="00EC7EDF" w:rsidRPr="00FD211F">
        <w:rPr>
          <w:sz w:val="36"/>
          <w:szCs w:val="36"/>
          <w:rtl/>
        </w:rPr>
        <w:t xml:space="preserve">ة </w:t>
      </w:r>
      <w:r w:rsidR="003D23D6" w:rsidRPr="00FD211F">
        <w:rPr>
          <w:sz w:val="36"/>
          <w:szCs w:val="36"/>
          <w:rtl/>
        </w:rPr>
        <w:t>المشترك</w:t>
      </w:r>
      <w:r w:rsidR="00EC7EDF" w:rsidRPr="00FD211F">
        <w:rPr>
          <w:sz w:val="36"/>
          <w:szCs w:val="36"/>
          <w:rtl/>
        </w:rPr>
        <w:t xml:space="preserve">ة </w:t>
      </w:r>
      <w:r w:rsidR="003D23D6" w:rsidRPr="00FD211F">
        <w:rPr>
          <w:sz w:val="36"/>
          <w:szCs w:val="36"/>
          <w:rtl/>
        </w:rPr>
        <w:t>في الاستدلال الفقهي ويدور الكلام فيه حول دليليتها</w:t>
      </w:r>
      <w:r w:rsidR="009C58C8" w:rsidRPr="00FD211F">
        <w:rPr>
          <w:rStyle w:val="a6"/>
          <w:sz w:val="36"/>
          <w:szCs w:val="36"/>
          <w:rtl/>
        </w:rPr>
        <w:t>(</w:t>
      </w:r>
      <w:r w:rsidR="009C58C8" w:rsidRPr="00FD211F">
        <w:rPr>
          <w:rStyle w:val="a6"/>
          <w:sz w:val="36"/>
          <w:szCs w:val="36"/>
          <w:rtl/>
        </w:rPr>
        <w:footnoteReference w:id="68"/>
      </w:r>
      <w:r w:rsidR="009C58C8" w:rsidRPr="00FD211F">
        <w:rPr>
          <w:rStyle w:val="a6"/>
          <w:sz w:val="36"/>
          <w:szCs w:val="36"/>
          <w:rtl/>
        </w:rPr>
        <w:t>)</w:t>
      </w:r>
      <w:r w:rsidR="003D23D6" w:rsidRPr="00FD211F">
        <w:rPr>
          <w:sz w:val="36"/>
          <w:szCs w:val="36"/>
          <w:rtl/>
        </w:rPr>
        <w:t>.</w:t>
      </w:r>
    </w:p>
    <w:p w14:paraId="540AB8B8" w14:textId="77777777" w:rsidR="00F532E9" w:rsidRPr="00FD211F" w:rsidRDefault="00B96AA5" w:rsidP="009C58C8">
      <w:pPr>
        <w:ind w:left="0" w:firstLine="227"/>
        <w:jc w:val="both"/>
        <w:rPr>
          <w:sz w:val="36"/>
          <w:szCs w:val="36"/>
          <w:rtl/>
        </w:rPr>
      </w:pPr>
      <w:r w:rsidRPr="00FD211F">
        <w:rPr>
          <w:sz w:val="36"/>
          <w:szCs w:val="36"/>
          <w:rtl/>
        </w:rPr>
        <w:t>ولكن الانصاف عدم دليل على هذه التكلفات فان غاي</w:t>
      </w:r>
      <w:r w:rsidR="00EC7EDF" w:rsidRPr="00FD211F">
        <w:rPr>
          <w:sz w:val="36"/>
          <w:szCs w:val="36"/>
          <w:rtl/>
        </w:rPr>
        <w:t xml:space="preserve">ة </w:t>
      </w:r>
      <w:r w:rsidR="00F532E9" w:rsidRPr="00FD211F">
        <w:rPr>
          <w:sz w:val="36"/>
          <w:szCs w:val="36"/>
          <w:rtl/>
        </w:rPr>
        <w:t xml:space="preserve">ما </w:t>
      </w:r>
      <w:r w:rsidR="003D23D6" w:rsidRPr="00FD211F">
        <w:rPr>
          <w:sz w:val="36"/>
          <w:szCs w:val="36"/>
          <w:rtl/>
        </w:rPr>
        <w:t xml:space="preserve">يلزم </w:t>
      </w:r>
      <w:r w:rsidR="00F532E9" w:rsidRPr="00FD211F">
        <w:rPr>
          <w:sz w:val="36"/>
          <w:szCs w:val="36"/>
          <w:rtl/>
        </w:rPr>
        <w:t>هو</w:t>
      </w:r>
      <w:r w:rsidR="003D23D6" w:rsidRPr="00FD211F">
        <w:rPr>
          <w:sz w:val="36"/>
          <w:szCs w:val="36"/>
          <w:rtl/>
        </w:rPr>
        <w:t xml:space="preserve"> كون موضوعات مسائل </w:t>
      </w:r>
      <w:r w:rsidR="00F532E9" w:rsidRPr="00FD211F">
        <w:rPr>
          <w:sz w:val="36"/>
          <w:szCs w:val="36"/>
          <w:rtl/>
        </w:rPr>
        <w:t>ال</w:t>
      </w:r>
      <w:r w:rsidR="003D23D6" w:rsidRPr="00FD211F">
        <w:rPr>
          <w:sz w:val="36"/>
          <w:szCs w:val="36"/>
          <w:rtl/>
        </w:rPr>
        <w:t xml:space="preserve">علم </w:t>
      </w:r>
      <w:r w:rsidR="00F532E9" w:rsidRPr="00FD211F">
        <w:rPr>
          <w:sz w:val="36"/>
          <w:szCs w:val="36"/>
          <w:rtl/>
        </w:rPr>
        <w:t>ال</w:t>
      </w:r>
      <w:r w:rsidR="003D23D6" w:rsidRPr="00FD211F">
        <w:rPr>
          <w:sz w:val="36"/>
          <w:szCs w:val="36"/>
          <w:rtl/>
        </w:rPr>
        <w:t xml:space="preserve">واحد امورا </w:t>
      </w:r>
      <w:r w:rsidR="00F532E9" w:rsidRPr="00FD211F">
        <w:rPr>
          <w:sz w:val="36"/>
          <w:szCs w:val="36"/>
          <w:rtl/>
        </w:rPr>
        <w:t>متسانخ</w:t>
      </w:r>
      <w:r w:rsidR="00EC7EDF" w:rsidRPr="00FD211F">
        <w:rPr>
          <w:sz w:val="36"/>
          <w:szCs w:val="36"/>
          <w:rtl/>
        </w:rPr>
        <w:t xml:space="preserve">ة </w:t>
      </w:r>
      <w:r w:rsidR="003D23D6" w:rsidRPr="00FD211F">
        <w:rPr>
          <w:sz w:val="36"/>
          <w:szCs w:val="36"/>
          <w:rtl/>
        </w:rPr>
        <w:t xml:space="preserve">في </w:t>
      </w:r>
      <w:r w:rsidR="00F532E9" w:rsidRPr="00FD211F">
        <w:rPr>
          <w:sz w:val="36"/>
          <w:szCs w:val="36"/>
          <w:rtl/>
        </w:rPr>
        <w:t>حصول الغرض الذي دون العلم لاجله</w:t>
      </w:r>
      <w:r w:rsidR="00603323" w:rsidRPr="00FD211F">
        <w:rPr>
          <w:sz w:val="36"/>
          <w:szCs w:val="36"/>
          <w:rtl/>
        </w:rPr>
        <w:t xml:space="preserve">، </w:t>
      </w:r>
      <w:r w:rsidR="003D23D6" w:rsidRPr="00FD211F">
        <w:rPr>
          <w:sz w:val="36"/>
          <w:szCs w:val="36"/>
          <w:rtl/>
        </w:rPr>
        <w:t>فلابد ان تكون</w:t>
      </w:r>
      <w:r w:rsidR="00F532E9" w:rsidRPr="00FD211F">
        <w:rPr>
          <w:sz w:val="36"/>
          <w:szCs w:val="36"/>
          <w:rtl/>
        </w:rPr>
        <w:t xml:space="preserve"> الموضوعات</w:t>
      </w:r>
      <w:r w:rsidR="003D23D6" w:rsidRPr="00FD211F">
        <w:rPr>
          <w:sz w:val="36"/>
          <w:szCs w:val="36"/>
          <w:rtl/>
        </w:rPr>
        <w:t xml:space="preserve"> واحد</w:t>
      </w:r>
      <w:r w:rsidR="00EC7EDF" w:rsidRPr="00FD211F">
        <w:rPr>
          <w:sz w:val="36"/>
          <w:szCs w:val="36"/>
          <w:rtl/>
        </w:rPr>
        <w:t xml:space="preserve">ة </w:t>
      </w:r>
      <w:r w:rsidR="003D23D6" w:rsidRPr="00FD211F">
        <w:rPr>
          <w:sz w:val="36"/>
          <w:szCs w:val="36"/>
          <w:rtl/>
        </w:rPr>
        <w:t>بالسنخ لابالنوع</w:t>
      </w:r>
      <w:r w:rsidR="00F532E9" w:rsidRPr="00FD211F">
        <w:rPr>
          <w:sz w:val="36"/>
          <w:szCs w:val="36"/>
          <w:rtl/>
        </w:rPr>
        <w:t>.</w:t>
      </w:r>
    </w:p>
    <w:p w14:paraId="3A5D59F7" w14:textId="77777777" w:rsidR="003D23D6" w:rsidRPr="00FD211F" w:rsidRDefault="00F532E9" w:rsidP="009C58C8">
      <w:pPr>
        <w:ind w:left="0" w:firstLine="227"/>
        <w:jc w:val="both"/>
        <w:rPr>
          <w:sz w:val="36"/>
          <w:szCs w:val="36"/>
          <w:rtl/>
        </w:rPr>
      </w:pPr>
      <w:r w:rsidRPr="00FD211F">
        <w:rPr>
          <w:sz w:val="36"/>
          <w:szCs w:val="36"/>
          <w:rtl/>
        </w:rPr>
        <w:t>ف</w:t>
      </w:r>
      <w:r w:rsidR="003D23D6" w:rsidRPr="00FD211F">
        <w:rPr>
          <w:sz w:val="36"/>
          <w:szCs w:val="36"/>
          <w:rtl/>
        </w:rPr>
        <w:t>تحصل ان تمايز العلوم بتمايز الاغراض التي دو</w:t>
      </w:r>
      <w:r w:rsidR="002B657D" w:rsidRPr="00FD211F">
        <w:rPr>
          <w:sz w:val="36"/>
          <w:szCs w:val="36"/>
          <w:rtl/>
        </w:rPr>
        <w:t>ّ</w:t>
      </w:r>
      <w:r w:rsidR="0067582E" w:rsidRPr="00FD211F">
        <w:rPr>
          <w:sz w:val="36"/>
          <w:szCs w:val="36"/>
          <w:rtl/>
        </w:rPr>
        <w:t>ِ</w:t>
      </w:r>
      <w:r w:rsidR="003D23D6" w:rsidRPr="00FD211F">
        <w:rPr>
          <w:sz w:val="36"/>
          <w:szCs w:val="36"/>
          <w:rtl/>
        </w:rPr>
        <w:t>ن العلم لاجلها كما عليه صاحب الكفاي</w:t>
      </w:r>
      <w:r w:rsidR="00EC7EDF" w:rsidRPr="00FD211F">
        <w:rPr>
          <w:sz w:val="36"/>
          <w:szCs w:val="36"/>
          <w:rtl/>
        </w:rPr>
        <w:t xml:space="preserve">ة </w:t>
      </w:r>
      <w:r w:rsidR="00AB1B12" w:rsidRPr="00FD211F">
        <w:rPr>
          <w:sz w:val="36"/>
          <w:szCs w:val="36"/>
          <w:rtl/>
        </w:rPr>
        <w:t>"</w:t>
      </w:r>
      <w:r w:rsidR="004545F4" w:rsidRPr="00FD211F">
        <w:rPr>
          <w:sz w:val="36"/>
          <w:szCs w:val="36"/>
          <w:rtl/>
        </w:rPr>
        <w:t>قده</w:t>
      </w:r>
      <w:r w:rsidR="00AB1B12" w:rsidRPr="00FD211F">
        <w:rPr>
          <w:sz w:val="36"/>
          <w:szCs w:val="36"/>
          <w:rtl/>
        </w:rPr>
        <w:t>"</w:t>
      </w:r>
      <w:r w:rsidR="00603323" w:rsidRPr="00FD211F">
        <w:rPr>
          <w:sz w:val="36"/>
          <w:szCs w:val="36"/>
          <w:rtl/>
        </w:rPr>
        <w:t xml:space="preserve">، </w:t>
      </w:r>
      <w:r w:rsidR="004545F4" w:rsidRPr="00FD211F">
        <w:rPr>
          <w:sz w:val="36"/>
          <w:szCs w:val="36"/>
          <w:rtl/>
        </w:rPr>
        <w:t>ولايلزم وحد</w:t>
      </w:r>
      <w:r w:rsidR="00EC7EDF" w:rsidRPr="00FD211F">
        <w:rPr>
          <w:sz w:val="36"/>
          <w:szCs w:val="36"/>
          <w:rtl/>
        </w:rPr>
        <w:t xml:space="preserve">ة </w:t>
      </w:r>
      <w:r w:rsidR="004545F4" w:rsidRPr="00FD211F">
        <w:rPr>
          <w:sz w:val="36"/>
          <w:szCs w:val="36"/>
          <w:rtl/>
        </w:rPr>
        <w:t>موضوع العلم ابدا</w:t>
      </w:r>
      <w:r w:rsidR="003D23D6" w:rsidRPr="00FD211F">
        <w:rPr>
          <w:sz w:val="36"/>
          <w:szCs w:val="36"/>
          <w:rtl/>
        </w:rPr>
        <w:t>.</w:t>
      </w:r>
    </w:p>
    <w:p w14:paraId="2A511A85" w14:textId="77777777" w:rsidR="003E6FC0" w:rsidRPr="00FD211F" w:rsidRDefault="001E0BB5"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003E6FC0" w:rsidRPr="00FD211F">
        <w:rPr>
          <w:sz w:val="36"/>
          <w:szCs w:val="36"/>
          <w:rtl/>
        </w:rPr>
        <w:t xml:space="preserve">واما ما ذكره في المحاضرات </w:t>
      </w:r>
      <w:r w:rsidRPr="00FD211F">
        <w:rPr>
          <w:sz w:val="36"/>
          <w:szCs w:val="36"/>
          <w:rtl/>
        </w:rPr>
        <w:t xml:space="preserve">من </w:t>
      </w:r>
      <w:r w:rsidR="003E6FC0" w:rsidRPr="00FD211F">
        <w:rPr>
          <w:sz w:val="36"/>
          <w:szCs w:val="36"/>
          <w:rtl/>
        </w:rPr>
        <w:t>ان تمايز العلوم ليس بتعدد الاغراض مطلقا</w:t>
      </w:r>
      <w:r w:rsidR="00603323" w:rsidRPr="00FD211F">
        <w:rPr>
          <w:sz w:val="36"/>
          <w:szCs w:val="36"/>
          <w:rtl/>
        </w:rPr>
        <w:t xml:space="preserve">، </w:t>
      </w:r>
      <w:r w:rsidR="003E6FC0" w:rsidRPr="00FD211F">
        <w:rPr>
          <w:sz w:val="36"/>
          <w:szCs w:val="36"/>
          <w:rtl/>
        </w:rPr>
        <w:t>فانه قد يراد تبيين ما يميز به مسائل علم لمن يراجعه فهو أمر سهل فبالامكان ان يذكر فهرست اجمالي لموضوعات المسائل</w:t>
      </w:r>
      <w:r w:rsidR="00603323" w:rsidRPr="00FD211F">
        <w:rPr>
          <w:sz w:val="36"/>
          <w:szCs w:val="36"/>
          <w:rtl/>
        </w:rPr>
        <w:t xml:space="preserve">، </w:t>
      </w:r>
      <w:r w:rsidR="003E6FC0" w:rsidRPr="00FD211F">
        <w:rPr>
          <w:sz w:val="36"/>
          <w:szCs w:val="36"/>
          <w:rtl/>
        </w:rPr>
        <w:t>وقد يراد به بيان مناط</w:t>
      </w:r>
      <w:r w:rsidR="0067582E" w:rsidRPr="00FD211F">
        <w:rPr>
          <w:sz w:val="36"/>
          <w:szCs w:val="36"/>
          <w:rtl/>
        </w:rPr>
        <w:t>ٍ</w:t>
      </w:r>
      <w:r w:rsidR="003E6FC0" w:rsidRPr="00FD211F">
        <w:rPr>
          <w:sz w:val="36"/>
          <w:szCs w:val="36"/>
          <w:rtl/>
        </w:rPr>
        <w:t xml:space="preserve"> يراعيه المدو</w:t>
      </w:r>
      <w:r w:rsidR="0067582E" w:rsidRPr="00FD211F">
        <w:rPr>
          <w:sz w:val="36"/>
          <w:szCs w:val="36"/>
          <w:rtl/>
        </w:rPr>
        <w:t>ِّ</w:t>
      </w:r>
      <w:r w:rsidR="003E6FC0" w:rsidRPr="00FD211F">
        <w:rPr>
          <w:sz w:val="36"/>
          <w:szCs w:val="36"/>
          <w:rtl/>
        </w:rPr>
        <w:t>ن للعلم في درج أي</w:t>
      </w:r>
      <w:r w:rsidR="00EC7EDF" w:rsidRPr="00FD211F">
        <w:rPr>
          <w:sz w:val="36"/>
          <w:szCs w:val="36"/>
          <w:rtl/>
        </w:rPr>
        <w:t xml:space="preserve">ة </w:t>
      </w:r>
      <w:r w:rsidR="003E6FC0" w:rsidRPr="00FD211F">
        <w:rPr>
          <w:sz w:val="36"/>
          <w:szCs w:val="36"/>
          <w:rtl/>
        </w:rPr>
        <w:t>مسأل</w:t>
      </w:r>
      <w:r w:rsidR="00EC7EDF" w:rsidRPr="00FD211F">
        <w:rPr>
          <w:sz w:val="36"/>
          <w:szCs w:val="36"/>
          <w:rtl/>
        </w:rPr>
        <w:t xml:space="preserve">ة </w:t>
      </w:r>
      <w:r w:rsidR="003E6FC0" w:rsidRPr="00FD211F">
        <w:rPr>
          <w:sz w:val="36"/>
          <w:szCs w:val="36"/>
          <w:rtl/>
        </w:rPr>
        <w:t>فيه</w:t>
      </w:r>
      <w:r w:rsidR="00603323" w:rsidRPr="00FD211F">
        <w:rPr>
          <w:sz w:val="36"/>
          <w:szCs w:val="36"/>
          <w:rtl/>
        </w:rPr>
        <w:t xml:space="preserve">، </w:t>
      </w:r>
      <w:r w:rsidR="003E6FC0" w:rsidRPr="00FD211F">
        <w:rPr>
          <w:sz w:val="36"/>
          <w:szCs w:val="36"/>
          <w:rtl/>
        </w:rPr>
        <w:t xml:space="preserve">فحينئذ </w:t>
      </w:r>
      <w:r w:rsidR="002823CB" w:rsidRPr="00FD211F">
        <w:rPr>
          <w:sz w:val="36"/>
          <w:szCs w:val="36"/>
          <w:rtl/>
        </w:rPr>
        <w:t xml:space="preserve">يكون الغرض </w:t>
      </w:r>
      <w:r w:rsidR="003E6FC0" w:rsidRPr="00FD211F">
        <w:rPr>
          <w:sz w:val="36"/>
          <w:szCs w:val="36"/>
          <w:rtl/>
        </w:rPr>
        <w:t xml:space="preserve">ملاك التمايز </w:t>
      </w:r>
      <w:r w:rsidR="002823CB" w:rsidRPr="00FD211F">
        <w:rPr>
          <w:sz w:val="36"/>
          <w:szCs w:val="36"/>
          <w:rtl/>
        </w:rPr>
        <w:t>في العلوم التي يترتب غرض على معرفتها</w:t>
      </w:r>
      <w:r w:rsidR="00603323" w:rsidRPr="00FD211F">
        <w:rPr>
          <w:sz w:val="36"/>
          <w:szCs w:val="36"/>
          <w:rtl/>
        </w:rPr>
        <w:t xml:space="preserve">، </w:t>
      </w:r>
      <w:r w:rsidR="003E6FC0" w:rsidRPr="00FD211F">
        <w:rPr>
          <w:sz w:val="36"/>
          <w:szCs w:val="36"/>
          <w:rtl/>
        </w:rPr>
        <w:t>كعلم الاصول حيث يكون الغرض منه هو القدر</w:t>
      </w:r>
      <w:r w:rsidR="00EC7EDF" w:rsidRPr="00FD211F">
        <w:rPr>
          <w:sz w:val="36"/>
          <w:szCs w:val="36"/>
          <w:rtl/>
        </w:rPr>
        <w:t xml:space="preserve">ة </w:t>
      </w:r>
      <w:r w:rsidR="003E6FC0" w:rsidRPr="00FD211F">
        <w:rPr>
          <w:sz w:val="36"/>
          <w:szCs w:val="36"/>
          <w:rtl/>
        </w:rPr>
        <w:t>على استنباط الحكم الشرعي</w:t>
      </w:r>
      <w:r w:rsidR="00603323" w:rsidRPr="00FD211F">
        <w:rPr>
          <w:sz w:val="36"/>
          <w:szCs w:val="36"/>
          <w:rtl/>
        </w:rPr>
        <w:t xml:space="preserve">، </w:t>
      </w:r>
      <w:r w:rsidR="003E6FC0" w:rsidRPr="00FD211F">
        <w:rPr>
          <w:sz w:val="36"/>
          <w:szCs w:val="36"/>
          <w:rtl/>
        </w:rPr>
        <w:t>واما في العلوم التي لا</w:t>
      </w:r>
      <w:r w:rsidR="002823CB" w:rsidRPr="00FD211F">
        <w:rPr>
          <w:sz w:val="36"/>
          <w:szCs w:val="36"/>
          <w:rtl/>
        </w:rPr>
        <w:t>يترتب عليها ايّ غرض</w:t>
      </w:r>
      <w:r w:rsidR="003E6FC0" w:rsidRPr="00FD211F">
        <w:rPr>
          <w:sz w:val="36"/>
          <w:szCs w:val="36"/>
          <w:rtl/>
        </w:rPr>
        <w:t xml:space="preserve"> عدا العلم بها</w:t>
      </w:r>
      <w:r w:rsidR="00603323" w:rsidRPr="00FD211F">
        <w:rPr>
          <w:sz w:val="36"/>
          <w:szCs w:val="36"/>
          <w:rtl/>
        </w:rPr>
        <w:t xml:space="preserve">، </w:t>
      </w:r>
      <w:r w:rsidR="003E6FC0" w:rsidRPr="00FD211F">
        <w:rPr>
          <w:sz w:val="36"/>
          <w:szCs w:val="36"/>
          <w:rtl/>
        </w:rPr>
        <w:t>فقد يكون المائز هو وحد</w:t>
      </w:r>
      <w:r w:rsidR="00EC7EDF" w:rsidRPr="00FD211F">
        <w:rPr>
          <w:sz w:val="36"/>
          <w:szCs w:val="36"/>
          <w:rtl/>
        </w:rPr>
        <w:t xml:space="preserve">ة </w:t>
      </w:r>
      <w:r w:rsidR="003E6FC0" w:rsidRPr="00FD211F">
        <w:rPr>
          <w:sz w:val="36"/>
          <w:szCs w:val="36"/>
          <w:rtl/>
        </w:rPr>
        <w:t>الموضوع كما لو اقترح علم يبحث فيه عن احوال الكر</w:t>
      </w:r>
      <w:r w:rsidR="00EC7EDF" w:rsidRPr="00FD211F">
        <w:rPr>
          <w:sz w:val="36"/>
          <w:szCs w:val="36"/>
          <w:rtl/>
        </w:rPr>
        <w:t xml:space="preserve">ة </w:t>
      </w:r>
      <w:r w:rsidR="003E6FC0" w:rsidRPr="00FD211F">
        <w:rPr>
          <w:sz w:val="36"/>
          <w:szCs w:val="36"/>
          <w:rtl/>
        </w:rPr>
        <w:t>الارضي</w:t>
      </w:r>
      <w:r w:rsidR="00EC7EDF" w:rsidRPr="00FD211F">
        <w:rPr>
          <w:sz w:val="36"/>
          <w:szCs w:val="36"/>
          <w:rtl/>
        </w:rPr>
        <w:t xml:space="preserve">ة </w:t>
      </w:r>
      <w:r w:rsidR="003E6FC0" w:rsidRPr="00FD211F">
        <w:rPr>
          <w:sz w:val="36"/>
          <w:szCs w:val="36"/>
          <w:rtl/>
        </w:rPr>
        <w:t>وقد يكون المائز هو وحد</w:t>
      </w:r>
      <w:r w:rsidR="00EC7EDF" w:rsidRPr="00FD211F">
        <w:rPr>
          <w:sz w:val="36"/>
          <w:szCs w:val="36"/>
          <w:rtl/>
        </w:rPr>
        <w:t xml:space="preserve">ة </w:t>
      </w:r>
      <w:r w:rsidR="003E6FC0" w:rsidRPr="00FD211F">
        <w:rPr>
          <w:sz w:val="36"/>
          <w:szCs w:val="36"/>
          <w:rtl/>
        </w:rPr>
        <w:t>المحمول كما لو اقترح علم يبحث فيه عما تعرضه الحرك</w:t>
      </w:r>
      <w:r w:rsidR="00EC7EDF" w:rsidRPr="00FD211F">
        <w:rPr>
          <w:sz w:val="36"/>
          <w:szCs w:val="36"/>
          <w:rtl/>
        </w:rPr>
        <w:t xml:space="preserve">ة </w:t>
      </w:r>
      <w:r w:rsidR="003E6FC0" w:rsidRPr="00FD211F">
        <w:rPr>
          <w:sz w:val="36"/>
          <w:szCs w:val="36"/>
          <w:rtl/>
        </w:rPr>
        <w:t>فانه وان كان عنوان الموضوع لكن منتزع عن عروض المحمول عليه ولاجامع غيره</w:t>
      </w:r>
      <w:r w:rsidR="009C58C8" w:rsidRPr="00FD211F">
        <w:rPr>
          <w:rStyle w:val="a6"/>
          <w:sz w:val="36"/>
          <w:szCs w:val="36"/>
          <w:rtl/>
        </w:rPr>
        <w:t>(</w:t>
      </w:r>
      <w:r w:rsidR="009C58C8" w:rsidRPr="00FD211F">
        <w:rPr>
          <w:rStyle w:val="a6"/>
          <w:sz w:val="36"/>
          <w:szCs w:val="36"/>
          <w:rtl/>
        </w:rPr>
        <w:footnoteReference w:id="69"/>
      </w:r>
      <w:r w:rsidR="009C58C8" w:rsidRPr="00FD211F">
        <w:rPr>
          <w:rStyle w:val="a6"/>
          <w:sz w:val="36"/>
          <w:szCs w:val="36"/>
          <w:rtl/>
        </w:rPr>
        <w:t>)</w:t>
      </w:r>
      <w:r w:rsidR="003E6FC0" w:rsidRPr="00FD211F">
        <w:rPr>
          <w:sz w:val="36"/>
          <w:szCs w:val="36"/>
          <w:rtl/>
        </w:rPr>
        <w:t>.</w:t>
      </w:r>
    </w:p>
    <w:p w14:paraId="0473263A" w14:textId="77777777" w:rsidR="001E0BB5" w:rsidRPr="00FD211F" w:rsidRDefault="003E6FC0" w:rsidP="009C58C8">
      <w:pPr>
        <w:ind w:left="0" w:firstLine="227"/>
        <w:jc w:val="both"/>
        <w:rPr>
          <w:sz w:val="36"/>
          <w:szCs w:val="36"/>
          <w:rtl/>
        </w:rPr>
      </w:pPr>
      <w:r w:rsidRPr="00FD211F">
        <w:rPr>
          <w:sz w:val="36"/>
          <w:szCs w:val="36"/>
          <w:rtl/>
        </w:rPr>
        <w:t>ففيه: لامانع من جعل الملاك لوحد</w:t>
      </w:r>
      <w:r w:rsidR="00EC7EDF" w:rsidRPr="00FD211F">
        <w:rPr>
          <w:sz w:val="36"/>
          <w:szCs w:val="36"/>
          <w:rtl/>
        </w:rPr>
        <w:t xml:space="preserve">ة </w:t>
      </w:r>
      <w:r w:rsidRPr="00FD211F">
        <w:rPr>
          <w:sz w:val="36"/>
          <w:szCs w:val="36"/>
          <w:rtl/>
        </w:rPr>
        <w:t>العلم هو وحد</w:t>
      </w:r>
      <w:r w:rsidR="00EC7EDF" w:rsidRPr="00FD211F">
        <w:rPr>
          <w:sz w:val="36"/>
          <w:szCs w:val="36"/>
          <w:rtl/>
        </w:rPr>
        <w:t xml:space="preserve">ة </w:t>
      </w:r>
      <w:r w:rsidRPr="00FD211F">
        <w:rPr>
          <w:sz w:val="36"/>
          <w:szCs w:val="36"/>
          <w:rtl/>
        </w:rPr>
        <w:t>الغرض الذي دو</w:t>
      </w:r>
      <w:r w:rsidR="0005437B" w:rsidRPr="00FD211F">
        <w:rPr>
          <w:sz w:val="36"/>
          <w:szCs w:val="36"/>
          <w:rtl/>
        </w:rPr>
        <w:t>ِّ</w:t>
      </w:r>
      <w:r w:rsidRPr="00FD211F">
        <w:rPr>
          <w:sz w:val="36"/>
          <w:szCs w:val="36"/>
          <w:rtl/>
        </w:rPr>
        <w:t xml:space="preserve">ن العلم لاجله ويراد من الغرض ما هو اعم من الغرض الداخلي </w:t>
      </w:r>
      <w:r w:rsidR="00BF0A1D" w:rsidRPr="00FD211F">
        <w:rPr>
          <w:sz w:val="36"/>
          <w:szCs w:val="36"/>
          <w:rtl/>
        </w:rPr>
        <w:t>وهو العلم به ا</w:t>
      </w:r>
      <w:r w:rsidRPr="00FD211F">
        <w:rPr>
          <w:sz w:val="36"/>
          <w:szCs w:val="36"/>
          <w:rtl/>
        </w:rPr>
        <w:t>و</w:t>
      </w:r>
      <w:r w:rsidR="00BF0A1D" w:rsidRPr="00FD211F">
        <w:rPr>
          <w:sz w:val="36"/>
          <w:szCs w:val="36"/>
          <w:rtl/>
        </w:rPr>
        <w:t xml:space="preserve">الغرض </w:t>
      </w:r>
      <w:r w:rsidRPr="00FD211F">
        <w:rPr>
          <w:sz w:val="36"/>
          <w:szCs w:val="36"/>
          <w:rtl/>
        </w:rPr>
        <w:t>الخارجي</w:t>
      </w:r>
      <w:r w:rsidR="00BF0A1D" w:rsidRPr="00FD211F">
        <w:rPr>
          <w:sz w:val="36"/>
          <w:szCs w:val="36"/>
          <w:rtl/>
        </w:rPr>
        <w:t xml:space="preserve"> وهو الغرض المترتب على العلم</w:t>
      </w:r>
      <w:r w:rsidR="00C774D9" w:rsidRPr="00FD211F">
        <w:rPr>
          <w:sz w:val="36"/>
          <w:szCs w:val="36"/>
          <w:rtl/>
        </w:rPr>
        <w:t>.</w:t>
      </w:r>
    </w:p>
    <w:p w14:paraId="508E449A" w14:textId="77777777" w:rsidR="0005437B" w:rsidRPr="00FD211F" w:rsidRDefault="004545F4" w:rsidP="009C58C8">
      <w:pPr>
        <w:ind w:left="0" w:firstLine="227"/>
        <w:jc w:val="both"/>
        <w:rPr>
          <w:sz w:val="36"/>
          <w:szCs w:val="36"/>
          <w:rtl/>
        </w:rPr>
      </w:pPr>
      <w:r w:rsidRPr="00FD211F">
        <w:rPr>
          <w:sz w:val="36"/>
          <w:szCs w:val="36"/>
          <w:rtl/>
        </w:rPr>
        <w:t>ثم انه ذكر</w:t>
      </w:r>
      <w:r w:rsidR="003E6FC0" w:rsidRPr="00FD211F">
        <w:rPr>
          <w:sz w:val="36"/>
          <w:szCs w:val="36"/>
          <w:rtl/>
        </w:rPr>
        <w:t xml:space="preserve"> المحقق النائيني</w:t>
      </w:r>
      <w:r w:rsidR="00A61BAE" w:rsidRPr="00FD211F">
        <w:rPr>
          <w:sz w:val="36"/>
          <w:szCs w:val="36"/>
          <w:rtl/>
        </w:rPr>
        <w:t xml:space="preserve"> </w:t>
      </w:r>
      <w:r w:rsidR="0067698C" w:rsidRPr="00FD211F">
        <w:rPr>
          <w:sz w:val="36"/>
          <w:szCs w:val="36"/>
          <w:rtl/>
        </w:rPr>
        <w:t>"قده"</w:t>
      </w:r>
      <w:r w:rsidR="00A61BAE" w:rsidRPr="00FD211F">
        <w:rPr>
          <w:sz w:val="36"/>
          <w:szCs w:val="36"/>
          <w:rtl/>
        </w:rPr>
        <w:t xml:space="preserve"> </w:t>
      </w:r>
      <w:r w:rsidR="003E6FC0" w:rsidRPr="00FD211F">
        <w:rPr>
          <w:sz w:val="36"/>
          <w:szCs w:val="36"/>
          <w:rtl/>
        </w:rPr>
        <w:t>انه قد يورد على كون تمايز العلوم بتمايز الموضوعات ان لازمه اتحاد علم الصرف والنحو لان موضوعهما الكلم</w:t>
      </w:r>
      <w:r w:rsidR="00EC7EDF" w:rsidRPr="00FD211F">
        <w:rPr>
          <w:sz w:val="36"/>
          <w:szCs w:val="36"/>
          <w:rtl/>
        </w:rPr>
        <w:t>ة</w:t>
      </w:r>
      <w:r w:rsidR="00A61BAE" w:rsidRPr="00FD211F">
        <w:rPr>
          <w:sz w:val="36"/>
          <w:szCs w:val="36"/>
          <w:rtl/>
        </w:rPr>
        <w:t>.</w:t>
      </w:r>
    </w:p>
    <w:p w14:paraId="7CEAB75C" w14:textId="77777777" w:rsidR="000C5BBA" w:rsidRPr="00FD211F" w:rsidRDefault="003E6FC0" w:rsidP="009C58C8">
      <w:pPr>
        <w:ind w:left="0" w:firstLine="227"/>
        <w:jc w:val="both"/>
        <w:rPr>
          <w:sz w:val="36"/>
          <w:szCs w:val="36"/>
          <w:rtl/>
        </w:rPr>
      </w:pPr>
      <w:r w:rsidRPr="00FD211F">
        <w:rPr>
          <w:sz w:val="36"/>
          <w:szCs w:val="36"/>
          <w:rtl/>
        </w:rPr>
        <w:t>فاجاب</w:t>
      </w:r>
      <w:r w:rsidR="0005437B" w:rsidRPr="00FD211F">
        <w:rPr>
          <w:sz w:val="36"/>
          <w:szCs w:val="36"/>
          <w:rtl/>
        </w:rPr>
        <w:t>:</w:t>
      </w:r>
      <w:r w:rsidRPr="00FD211F">
        <w:rPr>
          <w:sz w:val="36"/>
          <w:szCs w:val="36"/>
          <w:rtl/>
        </w:rPr>
        <w:t xml:space="preserve"> ان موضوع علم النحو الكلم</w:t>
      </w:r>
      <w:r w:rsidR="00EC7EDF" w:rsidRPr="00FD211F">
        <w:rPr>
          <w:sz w:val="36"/>
          <w:szCs w:val="36"/>
          <w:rtl/>
        </w:rPr>
        <w:t xml:space="preserve">ة </w:t>
      </w:r>
      <w:r w:rsidRPr="00FD211F">
        <w:rPr>
          <w:sz w:val="36"/>
          <w:szCs w:val="36"/>
          <w:rtl/>
        </w:rPr>
        <w:t>من حيث قابلي</w:t>
      </w:r>
      <w:r w:rsidR="00EC7EDF" w:rsidRPr="00FD211F">
        <w:rPr>
          <w:sz w:val="36"/>
          <w:szCs w:val="36"/>
          <w:rtl/>
        </w:rPr>
        <w:t xml:space="preserve">ة </w:t>
      </w:r>
      <w:r w:rsidRPr="00FD211F">
        <w:rPr>
          <w:sz w:val="36"/>
          <w:szCs w:val="36"/>
          <w:rtl/>
        </w:rPr>
        <w:t>لحوق الاعراب والبناء ل</w:t>
      </w:r>
      <w:r w:rsidR="00A56019" w:rsidRPr="00FD211F">
        <w:rPr>
          <w:sz w:val="36"/>
          <w:szCs w:val="36"/>
          <w:rtl/>
        </w:rPr>
        <w:t>آ</w:t>
      </w:r>
      <w:r w:rsidRPr="00FD211F">
        <w:rPr>
          <w:sz w:val="36"/>
          <w:szCs w:val="36"/>
          <w:rtl/>
        </w:rPr>
        <w:t>خرها؛ وموضوع علم الصرف الكلم</w:t>
      </w:r>
      <w:r w:rsidR="00EC7EDF" w:rsidRPr="00FD211F">
        <w:rPr>
          <w:sz w:val="36"/>
          <w:szCs w:val="36"/>
          <w:rtl/>
        </w:rPr>
        <w:t xml:space="preserve">ة </w:t>
      </w:r>
      <w:r w:rsidRPr="00FD211F">
        <w:rPr>
          <w:sz w:val="36"/>
          <w:szCs w:val="36"/>
          <w:rtl/>
        </w:rPr>
        <w:t>من حيث قابلتها لعروض الصح</w:t>
      </w:r>
      <w:r w:rsidR="00EC7EDF" w:rsidRPr="00FD211F">
        <w:rPr>
          <w:sz w:val="36"/>
          <w:szCs w:val="36"/>
          <w:rtl/>
        </w:rPr>
        <w:t xml:space="preserve">ة </w:t>
      </w:r>
      <w:r w:rsidRPr="00FD211F">
        <w:rPr>
          <w:sz w:val="36"/>
          <w:szCs w:val="36"/>
          <w:rtl/>
        </w:rPr>
        <w:t>والاعتلال</w:t>
      </w:r>
      <w:r w:rsidR="009C58C8" w:rsidRPr="00FD211F">
        <w:rPr>
          <w:rStyle w:val="a6"/>
          <w:sz w:val="36"/>
          <w:szCs w:val="36"/>
          <w:rtl/>
        </w:rPr>
        <w:t>(</w:t>
      </w:r>
      <w:r w:rsidR="009C58C8" w:rsidRPr="00FD211F">
        <w:rPr>
          <w:rStyle w:val="a6"/>
          <w:sz w:val="36"/>
          <w:szCs w:val="36"/>
          <w:rtl/>
        </w:rPr>
        <w:footnoteReference w:id="70"/>
      </w:r>
      <w:r w:rsidR="009C58C8" w:rsidRPr="00FD211F">
        <w:rPr>
          <w:rStyle w:val="a6"/>
          <w:sz w:val="36"/>
          <w:szCs w:val="36"/>
          <w:rtl/>
        </w:rPr>
        <w:t>)</w:t>
      </w:r>
      <w:r w:rsidR="0005437B" w:rsidRPr="00FD211F">
        <w:rPr>
          <w:sz w:val="36"/>
          <w:szCs w:val="36"/>
          <w:rtl/>
        </w:rPr>
        <w:t>.</w:t>
      </w:r>
    </w:p>
    <w:p w14:paraId="53894872" w14:textId="77777777" w:rsidR="003E6FC0" w:rsidRPr="00FD211F" w:rsidRDefault="00877312" w:rsidP="009C58C8">
      <w:pPr>
        <w:ind w:left="0" w:firstLine="227"/>
        <w:jc w:val="both"/>
        <w:rPr>
          <w:sz w:val="36"/>
          <w:szCs w:val="36"/>
          <w:rtl/>
        </w:rPr>
      </w:pPr>
      <w:r w:rsidRPr="00FD211F">
        <w:rPr>
          <w:sz w:val="36"/>
          <w:szCs w:val="36"/>
          <w:rtl/>
        </w:rPr>
        <w:t>والظاهر ان مرجع</w:t>
      </w:r>
      <w:r w:rsidR="00A9527C" w:rsidRPr="00FD211F">
        <w:rPr>
          <w:sz w:val="36"/>
          <w:szCs w:val="36"/>
          <w:rtl/>
        </w:rPr>
        <w:t xml:space="preserve"> ذلك الى تعدد الغرض المترتب على علم النحو والصرف</w:t>
      </w:r>
      <w:r w:rsidR="00603323" w:rsidRPr="00FD211F">
        <w:rPr>
          <w:sz w:val="36"/>
          <w:szCs w:val="36"/>
          <w:rtl/>
        </w:rPr>
        <w:t xml:space="preserve">، </w:t>
      </w:r>
      <w:r w:rsidR="00A9527C" w:rsidRPr="00FD211F">
        <w:rPr>
          <w:sz w:val="36"/>
          <w:szCs w:val="36"/>
          <w:rtl/>
        </w:rPr>
        <w:t>فان</w:t>
      </w:r>
      <w:r w:rsidR="003E6FC0" w:rsidRPr="00FD211F">
        <w:rPr>
          <w:sz w:val="36"/>
          <w:szCs w:val="36"/>
          <w:rtl/>
        </w:rPr>
        <w:t xml:space="preserve"> الغرض من علم النحو هو معرف</w:t>
      </w:r>
      <w:r w:rsidR="00EC7EDF" w:rsidRPr="00FD211F">
        <w:rPr>
          <w:sz w:val="36"/>
          <w:szCs w:val="36"/>
          <w:rtl/>
        </w:rPr>
        <w:t xml:space="preserve">ة </w:t>
      </w:r>
      <w:r w:rsidR="003E6FC0" w:rsidRPr="00FD211F">
        <w:rPr>
          <w:sz w:val="36"/>
          <w:szCs w:val="36"/>
          <w:rtl/>
        </w:rPr>
        <w:t>حال الكلم</w:t>
      </w:r>
      <w:r w:rsidR="00EC7EDF" w:rsidRPr="00FD211F">
        <w:rPr>
          <w:sz w:val="36"/>
          <w:szCs w:val="36"/>
          <w:rtl/>
        </w:rPr>
        <w:t xml:space="preserve">ة </w:t>
      </w:r>
      <w:r w:rsidR="003E6FC0" w:rsidRPr="00FD211F">
        <w:rPr>
          <w:sz w:val="36"/>
          <w:szCs w:val="36"/>
          <w:rtl/>
        </w:rPr>
        <w:t>من حيث اعرابها وبناءها</w:t>
      </w:r>
      <w:r w:rsidR="00603323" w:rsidRPr="00FD211F">
        <w:rPr>
          <w:sz w:val="36"/>
          <w:szCs w:val="36"/>
          <w:rtl/>
        </w:rPr>
        <w:t xml:space="preserve">، </w:t>
      </w:r>
      <w:r w:rsidR="003E6FC0" w:rsidRPr="00FD211F">
        <w:rPr>
          <w:sz w:val="36"/>
          <w:szCs w:val="36"/>
          <w:rtl/>
        </w:rPr>
        <w:t>كما ان موضوع علم الصرف هو معرف</w:t>
      </w:r>
      <w:r w:rsidR="00EC7EDF" w:rsidRPr="00FD211F">
        <w:rPr>
          <w:sz w:val="36"/>
          <w:szCs w:val="36"/>
          <w:rtl/>
        </w:rPr>
        <w:t xml:space="preserve">ة </w:t>
      </w:r>
      <w:r w:rsidR="003E6FC0" w:rsidRPr="00FD211F">
        <w:rPr>
          <w:sz w:val="36"/>
          <w:szCs w:val="36"/>
          <w:rtl/>
        </w:rPr>
        <w:t>حال الكلم</w:t>
      </w:r>
      <w:r w:rsidR="00EC7EDF" w:rsidRPr="00FD211F">
        <w:rPr>
          <w:sz w:val="36"/>
          <w:szCs w:val="36"/>
          <w:rtl/>
        </w:rPr>
        <w:t xml:space="preserve">ة </w:t>
      </w:r>
      <w:r w:rsidR="003E6FC0" w:rsidRPr="00FD211F">
        <w:rPr>
          <w:sz w:val="36"/>
          <w:szCs w:val="36"/>
          <w:rtl/>
        </w:rPr>
        <w:t>من حيث صح</w:t>
      </w:r>
      <w:r w:rsidR="00EC7EDF" w:rsidRPr="00FD211F">
        <w:rPr>
          <w:sz w:val="36"/>
          <w:szCs w:val="36"/>
          <w:rtl/>
        </w:rPr>
        <w:t xml:space="preserve">ة </w:t>
      </w:r>
      <w:r w:rsidR="003E6FC0" w:rsidRPr="00FD211F">
        <w:rPr>
          <w:sz w:val="36"/>
          <w:szCs w:val="36"/>
          <w:rtl/>
        </w:rPr>
        <w:t>الكلم</w:t>
      </w:r>
      <w:r w:rsidR="00EC7EDF" w:rsidRPr="00FD211F">
        <w:rPr>
          <w:sz w:val="36"/>
          <w:szCs w:val="36"/>
          <w:rtl/>
        </w:rPr>
        <w:t xml:space="preserve">ة </w:t>
      </w:r>
      <w:r w:rsidR="003E6FC0" w:rsidRPr="00FD211F">
        <w:rPr>
          <w:sz w:val="36"/>
          <w:szCs w:val="36"/>
          <w:rtl/>
        </w:rPr>
        <w:t>واعتلالها.</w:t>
      </w:r>
    </w:p>
    <w:p w14:paraId="54AD195A" w14:textId="77777777" w:rsidR="003D23D6" w:rsidRPr="00FD211F" w:rsidRDefault="003D23D6" w:rsidP="009C58C8">
      <w:pPr>
        <w:ind w:left="0" w:firstLine="227"/>
        <w:jc w:val="both"/>
        <w:rPr>
          <w:sz w:val="36"/>
          <w:szCs w:val="36"/>
          <w:rtl/>
        </w:rPr>
      </w:pPr>
      <w:r w:rsidRPr="00FD211F">
        <w:rPr>
          <w:sz w:val="36"/>
          <w:szCs w:val="36"/>
          <w:rtl/>
        </w:rPr>
        <w:t xml:space="preserve">هذا وقد </w:t>
      </w:r>
      <w:r w:rsidR="00A9527C" w:rsidRPr="00FD211F">
        <w:rPr>
          <w:sz w:val="36"/>
          <w:szCs w:val="36"/>
          <w:rtl/>
        </w:rPr>
        <w:t xml:space="preserve">اورد السيد الامام </w:t>
      </w:r>
      <w:r w:rsidR="00AB1B12" w:rsidRPr="00FD211F">
        <w:rPr>
          <w:sz w:val="36"/>
          <w:szCs w:val="36"/>
          <w:rtl/>
        </w:rPr>
        <w:t>"</w:t>
      </w:r>
      <w:r w:rsidR="00A9527C" w:rsidRPr="00FD211F">
        <w:rPr>
          <w:sz w:val="36"/>
          <w:szCs w:val="36"/>
          <w:rtl/>
        </w:rPr>
        <w:t>قده</w:t>
      </w:r>
      <w:r w:rsidR="00AB1B12" w:rsidRPr="00FD211F">
        <w:rPr>
          <w:sz w:val="36"/>
          <w:szCs w:val="36"/>
          <w:rtl/>
        </w:rPr>
        <w:t>"</w:t>
      </w:r>
      <w:r w:rsidR="00A9527C" w:rsidRPr="00FD211F">
        <w:rPr>
          <w:sz w:val="36"/>
          <w:szCs w:val="36"/>
          <w:rtl/>
        </w:rPr>
        <w:t xml:space="preserve"> على</w:t>
      </w:r>
      <w:r w:rsidRPr="00FD211F">
        <w:rPr>
          <w:sz w:val="36"/>
          <w:szCs w:val="36"/>
          <w:rtl/>
        </w:rPr>
        <w:t xml:space="preserve"> تعبير </w:t>
      </w:r>
      <w:r w:rsidR="006A58E1" w:rsidRPr="00FD211F">
        <w:rPr>
          <w:sz w:val="36"/>
          <w:szCs w:val="36"/>
          <w:rtl/>
        </w:rPr>
        <w:t>صاحب الكفاي</w:t>
      </w:r>
      <w:r w:rsidR="00EC7EDF" w:rsidRPr="00FD211F">
        <w:rPr>
          <w:sz w:val="36"/>
          <w:szCs w:val="36"/>
          <w:rtl/>
        </w:rPr>
        <w:t xml:space="preserve">ة </w:t>
      </w:r>
      <w:r w:rsidR="00AB1B12" w:rsidRPr="00FD211F">
        <w:rPr>
          <w:sz w:val="36"/>
          <w:szCs w:val="36"/>
          <w:rtl/>
        </w:rPr>
        <w:t>"</w:t>
      </w:r>
      <w:r w:rsidR="006A58E1" w:rsidRPr="00FD211F">
        <w:rPr>
          <w:sz w:val="36"/>
          <w:szCs w:val="36"/>
          <w:rtl/>
        </w:rPr>
        <w:t>قده</w:t>
      </w:r>
      <w:r w:rsidR="00AB1B12" w:rsidRPr="00FD211F">
        <w:rPr>
          <w:sz w:val="36"/>
          <w:szCs w:val="36"/>
          <w:rtl/>
        </w:rPr>
        <w:t>"</w:t>
      </w:r>
      <w:r w:rsidRPr="00FD211F">
        <w:rPr>
          <w:sz w:val="36"/>
          <w:szCs w:val="36"/>
          <w:rtl/>
        </w:rPr>
        <w:t xml:space="preserve"> </w:t>
      </w:r>
      <w:r w:rsidR="00A9527C" w:rsidRPr="00FD211F">
        <w:rPr>
          <w:sz w:val="36"/>
          <w:szCs w:val="36"/>
          <w:rtl/>
        </w:rPr>
        <w:t xml:space="preserve">من </w:t>
      </w:r>
      <w:r w:rsidRPr="00FD211F">
        <w:rPr>
          <w:sz w:val="36"/>
          <w:szCs w:val="36"/>
          <w:rtl/>
        </w:rPr>
        <w:t>ان</w:t>
      </w:r>
      <w:r w:rsidR="006A58E1" w:rsidRPr="00FD211F">
        <w:rPr>
          <w:sz w:val="36"/>
          <w:szCs w:val="36"/>
          <w:rtl/>
        </w:rPr>
        <w:t xml:space="preserve"> نسب</w:t>
      </w:r>
      <w:r w:rsidR="00EC7EDF" w:rsidRPr="00FD211F">
        <w:rPr>
          <w:sz w:val="36"/>
          <w:szCs w:val="36"/>
          <w:rtl/>
        </w:rPr>
        <w:t xml:space="preserve">ة </w:t>
      </w:r>
      <w:r w:rsidRPr="00FD211F">
        <w:rPr>
          <w:sz w:val="36"/>
          <w:szCs w:val="36"/>
          <w:rtl/>
        </w:rPr>
        <w:t>موضوع العلم</w:t>
      </w:r>
      <w:r w:rsidR="006A58E1" w:rsidRPr="00FD211F">
        <w:rPr>
          <w:sz w:val="36"/>
          <w:szCs w:val="36"/>
          <w:rtl/>
        </w:rPr>
        <w:t xml:space="preserve"> الى مسائله نسب</w:t>
      </w:r>
      <w:r w:rsidR="00EC7EDF" w:rsidRPr="00FD211F">
        <w:rPr>
          <w:sz w:val="36"/>
          <w:szCs w:val="36"/>
          <w:rtl/>
        </w:rPr>
        <w:t xml:space="preserve">ة </w:t>
      </w:r>
      <w:r w:rsidR="006A58E1" w:rsidRPr="00FD211F">
        <w:rPr>
          <w:sz w:val="36"/>
          <w:szCs w:val="36"/>
          <w:rtl/>
        </w:rPr>
        <w:t>ال</w:t>
      </w:r>
      <w:r w:rsidRPr="00FD211F">
        <w:rPr>
          <w:sz w:val="36"/>
          <w:szCs w:val="36"/>
          <w:rtl/>
        </w:rPr>
        <w:t>كلي</w:t>
      </w:r>
      <w:r w:rsidR="00A9527C" w:rsidRPr="00FD211F">
        <w:rPr>
          <w:sz w:val="36"/>
          <w:szCs w:val="36"/>
          <w:rtl/>
        </w:rPr>
        <w:t xml:space="preserve"> الى فرده</w:t>
      </w:r>
      <w:r w:rsidR="00603323" w:rsidRPr="00FD211F">
        <w:rPr>
          <w:sz w:val="36"/>
          <w:szCs w:val="36"/>
          <w:rtl/>
        </w:rPr>
        <w:t xml:space="preserve">، </w:t>
      </w:r>
      <w:r w:rsidRPr="00FD211F">
        <w:rPr>
          <w:sz w:val="36"/>
          <w:szCs w:val="36"/>
          <w:rtl/>
        </w:rPr>
        <w:t>بانه قد يكون</w:t>
      </w:r>
      <w:r w:rsidR="006A58E1" w:rsidRPr="00FD211F">
        <w:rPr>
          <w:sz w:val="36"/>
          <w:szCs w:val="36"/>
          <w:rtl/>
        </w:rPr>
        <w:t xml:space="preserve"> موضوعات المسائل</w:t>
      </w:r>
      <w:r w:rsidRPr="00FD211F">
        <w:rPr>
          <w:sz w:val="36"/>
          <w:szCs w:val="36"/>
          <w:rtl/>
        </w:rPr>
        <w:t xml:space="preserve"> متحدا مفهوما</w:t>
      </w:r>
      <w:r w:rsidR="006A58E1" w:rsidRPr="00FD211F">
        <w:rPr>
          <w:sz w:val="36"/>
          <w:szCs w:val="36"/>
          <w:rtl/>
        </w:rPr>
        <w:t xml:space="preserve"> مع موضوع العلم كعلم العرفان حيث ان موضوعه وموضوع مسائله معا هو</w:t>
      </w:r>
      <w:r w:rsidRPr="00FD211F">
        <w:rPr>
          <w:sz w:val="36"/>
          <w:szCs w:val="36"/>
          <w:rtl/>
        </w:rPr>
        <w:t xml:space="preserve"> الله تعالى</w:t>
      </w:r>
      <w:r w:rsidR="00603323" w:rsidRPr="00FD211F">
        <w:rPr>
          <w:sz w:val="36"/>
          <w:szCs w:val="36"/>
          <w:rtl/>
        </w:rPr>
        <w:t xml:space="preserve">، </w:t>
      </w:r>
      <w:r w:rsidR="006A58E1" w:rsidRPr="00FD211F">
        <w:rPr>
          <w:sz w:val="36"/>
          <w:szCs w:val="36"/>
          <w:rtl/>
        </w:rPr>
        <w:t>كما ان موضوع علم الطب هو البدن وموضوعات مسائله هو اجزاء البدن</w:t>
      </w:r>
      <w:r w:rsidR="00603323" w:rsidRPr="00FD211F">
        <w:rPr>
          <w:sz w:val="36"/>
          <w:szCs w:val="36"/>
          <w:rtl/>
        </w:rPr>
        <w:t xml:space="preserve">، </w:t>
      </w:r>
      <w:r w:rsidR="006A58E1" w:rsidRPr="00FD211F">
        <w:rPr>
          <w:sz w:val="36"/>
          <w:szCs w:val="36"/>
          <w:rtl/>
        </w:rPr>
        <w:t>فتكون نسب</w:t>
      </w:r>
      <w:r w:rsidR="00EC7EDF" w:rsidRPr="00FD211F">
        <w:rPr>
          <w:sz w:val="36"/>
          <w:szCs w:val="36"/>
          <w:rtl/>
        </w:rPr>
        <w:t xml:space="preserve">ة </w:t>
      </w:r>
      <w:r w:rsidR="006A58E1" w:rsidRPr="00FD211F">
        <w:rPr>
          <w:sz w:val="36"/>
          <w:szCs w:val="36"/>
          <w:rtl/>
        </w:rPr>
        <w:t>موضوع علم الطب الى موضوعات مسائله نسب</w:t>
      </w:r>
      <w:r w:rsidR="00EC7EDF" w:rsidRPr="00FD211F">
        <w:rPr>
          <w:sz w:val="36"/>
          <w:szCs w:val="36"/>
          <w:rtl/>
        </w:rPr>
        <w:t xml:space="preserve">ة </w:t>
      </w:r>
      <w:r w:rsidR="006A58E1" w:rsidRPr="00FD211F">
        <w:rPr>
          <w:sz w:val="36"/>
          <w:szCs w:val="36"/>
          <w:rtl/>
        </w:rPr>
        <w:t>الكل الى الجزء دون نسب</w:t>
      </w:r>
      <w:r w:rsidR="00EC7EDF" w:rsidRPr="00FD211F">
        <w:rPr>
          <w:sz w:val="36"/>
          <w:szCs w:val="36"/>
          <w:rtl/>
        </w:rPr>
        <w:t xml:space="preserve">ة </w:t>
      </w:r>
      <w:r w:rsidR="006A58E1" w:rsidRPr="00FD211F">
        <w:rPr>
          <w:sz w:val="36"/>
          <w:szCs w:val="36"/>
          <w:rtl/>
        </w:rPr>
        <w:t>الكلي الى الجزئي</w:t>
      </w:r>
      <w:r w:rsidR="009C58C8" w:rsidRPr="00FD211F">
        <w:rPr>
          <w:rStyle w:val="a6"/>
          <w:sz w:val="36"/>
          <w:szCs w:val="36"/>
          <w:rtl/>
        </w:rPr>
        <w:t>(</w:t>
      </w:r>
      <w:r w:rsidR="009C58C8" w:rsidRPr="00FD211F">
        <w:rPr>
          <w:rStyle w:val="a6"/>
          <w:sz w:val="36"/>
          <w:szCs w:val="36"/>
          <w:rtl/>
        </w:rPr>
        <w:footnoteReference w:id="71"/>
      </w:r>
      <w:r w:rsidR="009C58C8" w:rsidRPr="00FD211F">
        <w:rPr>
          <w:rStyle w:val="a6"/>
          <w:sz w:val="36"/>
          <w:szCs w:val="36"/>
          <w:rtl/>
        </w:rPr>
        <w:t>)</w:t>
      </w:r>
      <w:r w:rsidR="00603323" w:rsidRPr="00FD211F">
        <w:rPr>
          <w:sz w:val="36"/>
          <w:szCs w:val="36"/>
          <w:rtl/>
        </w:rPr>
        <w:t xml:space="preserve">، </w:t>
      </w:r>
      <w:r w:rsidR="00A9527C" w:rsidRPr="00FD211F">
        <w:rPr>
          <w:sz w:val="36"/>
          <w:szCs w:val="36"/>
          <w:rtl/>
        </w:rPr>
        <w:t>ولابأس بما افاده.</w:t>
      </w:r>
    </w:p>
    <w:p w14:paraId="0FB266AB" w14:textId="77777777" w:rsidR="007179B2" w:rsidRPr="00FD211F" w:rsidRDefault="009402B0" w:rsidP="009C58C8">
      <w:pPr>
        <w:pStyle w:val="3"/>
        <w:ind w:firstLine="227"/>
        <w:jc w:val="both"/>
        <w:rPr>
          <w:rtl/>
        </w:rPr>
      </w:pPr>
      <w:bookmarkStart w:id="67" w:name="_Toc151944586"/>
      <w:bookmarkStart w:id="68" w:name="_Toc154131713"/>
      <w:bookmarkStart w:id="69" w:name="_Toc156401501"/>
      <w:bookmarkStart w:id="70" w:name="درس007دقيقه15"/>
      <w:bookmarkStart w:id="71" w:name="_Toc192092847"/>
      <w:bookmarkStart w:id="72" w:name="_Toc223890314"/>
      <w:bookmarkEnd w:id="70"/>
      <w:r w:rsidRPr="00FD211F">
        <w:rPr>
          <w:rtl/>
        </w:rPr>
        <w:t>العرض الذاتي والغريب</w:t>
      </w:r>
      <w:bookmarkEnd w:id="67"/>
      <w:bookmarkEnd w:id="68"/>
      <w:bookmarkEnd w:id="69"/>
      <w:bookmarkEnd w:id="71"/>
      <w:bookmarkEnd w:id="72"/>
    </w:p>
    <w:p w14:paraId="4A1960D9" w14:textId="77777777" w:rsidR="007179B2" w:rsidRPr="00FD211F" w:rsidRDefault="00A01AE1" w:rsidP="009C58C8">
      <w:pPr>
        <w:ind w:left="0" w:firstLine="227"/>
        <w:jc w:val="both"/>
        <w:rPr>
          <w:sz w:val="36"/>
          <w:szCs w:val="36"/>
          <w:rtl/>
        </w:rPr>
      </w:pPr>
      <w:r w:rsidRPr="00FD211F">
        <w:rPr>
          <w:sz w:val="36"/>
          <w:szCs w:val="36"/>
          <w:rtl/>
        </w:rPr>
        <w:t>ذكر</w:t>
      </w:r>
      <w:r w:rsidR="0067698C" w:rsidRPr="00FD211F">
        <w:rPr>
          <w:sz w:val="36"/>
          <w:szCs w:val="36"/>
          <w:rtl/>
        </w:rPr>
        <w:t xml:space="preserve"> </w:t>
      </w:r>
      <w:r w:rsidR="00A56019" w:rsidRPr="00FD211F">
        <w:rPr>
          <w:sz w:val="36"/>
          <w:szCs w:val="36"/>
          <w:rtl/>
        </w:rPr>
        <w:t>في</w:t>
      </w:r>
      <w:r w:rsidRPr="00FD211F">
        <w:rPr>
          <w:sz w:val="36"/>
          <w:szCs w:val="36"/>
          <w:rtl/>
        </w:rPr>
        <w:t xml:space="preserve"> الاسفار</w:t>
      </w:r>
      <w:r w:rsidR="0067698C" w:rsidRPr="00FD211F">
        <w:rPr>
          <w:sz w:val="36"/>
          <w:szCs w:val="36"/>
          <w:rtl/>
        </w:rPr>
        <w:t xml:space="preserve"> </w:t>
      </w:r>
      <w:r w:rsidRPr="00FD211F">
        <w:rPr>
          <w:sz w:val="36"/>
          <w:szCs w:val="36"/>
          <w:rtl/>
        </w:rPr>
        <w:t>أ</w:t>
      </w:r>
      <w:r w:rsidR="007179B2" w:rsidRPr="00FD211F">
        <w:rPr>
          <w:sz w:val="36"/>
          <w:szCs w:val="36"/>
          <w:rtl/>
        </w:rPr>
        <w:t>نهم قالوا انه لابد لكل علم من موضوع يبحث فيه عن عوارضه الذاتي</w:t>
      </w:r>
      <w:r w:rsidR="00EC7EDF" w:rsidRPr="00FD211F">
        <w:rPr>
          <w:sz w:val="36"/>
          <w:szCs w:val="36"/>
          <w:rtl/>
        </w:rPr>
        <w:t xml:space="preserve">ة </w:t>
      </w:r>
      <w:r w:rsidR="007179B2" w:rsidRPr="00FD211F">
        <w:rPr>
          <w:sz w:val="36"/>
          <w:szCs w:val="36"/>
          <w:rtl/>
        </w:rPr>
        <w:t>و</w:t>
      </w:r>
      <w:r w:rsidR="009402B0" w:rsidRPr="00FD211F">
        <w:rPr>
          <w:sz w:val="36"/>
          <w:szCs w:val="36"/>
          <w:rtl/>
        </w:rPr>
        <w:t>قد</w:t>
      </w:r>
      <w:r w:rsidR="007179B2" w:rsidRPr="00FD211F">
        <w:rPr>
          <w:sz w:val="36"/>
          <w:szCs w:val="36"/>
          <w:rtl/>
        </w:rPr>
        <w:t xml:space="preserve"> فسروا العرض الذاتي بالخارج المحمول الذي يلحق ال</w:t>
      </w:r>
      <w:r w:rsidR="008D7B3D" w:rsidRPr="00FD211F">
        <w:rPr>
          <w:sz w:val="36"/>
          <w:szCs w:val="36"/>
          <w:rtl/>
        </w:rPr>
        <w:t xml:space="preserve">شيء </w:t>
      </w:r>
      <w:r w:rsidR="007179B2" w:rsidRPr="00FD211F">
        <w:rPr>
          <w:sz w:val="36"/>
          <w:szCs w:val="36"/>
          <w:rtl/>
        </w:rPr>
        <w:t>لذاته او لأمر يساويه</w:t>
      </w:r>
      <w:r w:rsidR="009C58C8" w:rsidRPr="00FD211F">
        <w:rPr>
          <w:rStyle w:val="a6"/>
          <w:sz w:val="36"/>
          <w:szCs w:val="36"/>
          <w:rtl/>
        </w:rPr>
        <w:t>(</w:t>
      </w:r>
      <w:r w:rsidR="009C58C8" w:rsidRPr="00FD211F">
        <w:rPr>
          <w:rStyle w:val="a6"/>
          <w:sz w:val="36"/>
          <w:szCs w:val="36"/>
          <w:rtl/>
        </w:rPr>
        <w:footnoteReference w:id="72"/>
      </w:r>
      <w:r w:rsidR="009C58C8" w:rsidRPr="00FD211F">
        <w:rPr>
          <w:rStyle w:val="a6"/>
          <w:sz w:val="36"/>
          <w:szCs w:val="36"/>
          <w:rtl/>
        </w:rPr>
        <w:t>)</w:t>
      </w:r>
      <w:r w:rsidR="007179B2" w:rsidRPr="00FD211F">
        <w:rPr>
          <w:sz w:val="36"/>
          <w:szCs w:val="36"/>
          <w:rtl/>
        </w:rPr>
        <w:t>.</w:t>
      </w:r>
    </w:p>
    <w:p w14:paraId="4AA53D8C" w14:textId="77777777" w:rsidR="009402B0" w:rsidRPr="00FD211F" w:rsidRDefault="009402B0" w:rsidP="009C58C8">
      <w:pPr>
        <w:ind w:left="0" w:firstLine="227"/>
        <w:jc w:val="both"/>
        <w:rPr>
          <w:sz w:val="36"/>
          <w:szCs w:val="36"/>
          <w:rtl/>
        </w:rPr>
      </w:pPr>
      <w:r w:rsidRPr="00FD211F">
        <w:rPr>
          <w:sz w:val="36"/>
          <w:szCs w:val="36"/>
          <w:rtl/>
        </w:rPr>
        <w:t>وعليه فيكون البحث عن عوارض موضوع العلم بواسط</w:t>
      </w:r>
      <w:r w:rsidR="00EC7EDF" w:rsidRPr="00FD211F">
        <w:rPr>
          <w:sz w:val="36"/>
          <w:szCs w:val="36"/>
          <w:rtl/>
        </w:rPr>
        <w:t xml:space="preserve">ة </w:t>
      </w:r>
      <w:r w:rsidRPr="00FD211F">
        <w:rPr>
          <w:sz w:val="36"/>
          <w:szCs w:val="36"/>
          <w:rtl/>
        </w:rPr>
        <w:t>اخص او اعم بحثا عن عوارضه الغريب</w:t>
      </w:r>
      <w:r w:rsidR="00EC7EDF" w:rsidRPr="00FD211F">
        <w:rPr>
          <w:sz w:val="36"/>
          <w:szCs w:val="36"/>
          <w:rtl/>
        </w:rPr>
        <w:t>ة</w:t>
      </w:r>
      <w:r w:rsidR="00603323" w:rsidRPr="00FD211F">
        <w:rPr>
          <w:sz w:val="36"/>
          <w:szCs w:val="36"/>
          <w:rtl/>
        </w:rPr>
        <w:t xml:space="preserve">، </w:t>
      </w:r>
      <w:r w:rsidRPr="00FD211F">
        <w:rPr>
          <w:sz w:val="36"/>
          <w:szCs w:val="36"/>
          <w:rtl/>
        </w:rPr>
        <w:t>فيكون خارجا عن مباحث ذلك العلم</w:t>
      </w:r>
      <w:r w:rsidR="00603323" w:rsidRPr="00FD211F">
        <w:rPr>
          <w:sz w:val="36"/>
          <w:szCs w:val="36"/>
          <w:rtl/>
        </w:rPr>
        <w:t xml:space="preserve">، </w:t>
      </w:r>
      <w:r w:rsidR="007179B2" w:rsidRPr="00FD211F">
        <w:rPr>
          <w:sz w:val="36"/>
          <w:szCs w:val="36"/>
          <w:rtl/>
        </w:rPr>
        <w:t>ومن ثم وقع الاشكال في البحث عن عوارض موضوعات المسائل التي هي اخص من موضوع العلم</w:t>
      </w:r>
      <w:r w:rsidR="00603323" w:rsidRPr="00FD211F">
        <w:rPr>
          <w:sz w:val="36"/>
          <w:szCs w:val="36"/>
          <w:rtl/>
        </w:rPr>
        <w:t xml:space="preserve">، </w:t>
      </w:r>
      <w:r w:rsidRPr="00FD211F">
        <w:rPr>
          <w:sz w:val="36"/>
          <w:szCs w:val="36"/>
          <w:rtl/>
        </w:rPr>
        <w:t>مثال ذلك ان الفلاسف</w:t>
      </w:r>
      <w:r w:rsidR="00EC7EDF" w:rsidRPr="00FD211F">
        <w:rPr>
          <w:sz w:val="36"/>
          <w:szCs w:val="36"/>
          <w:rtl/>
        </w:rPr>
        <w:t xml:space="preserve">ة </w:t>
      </w:r>
      <w:r w:rsidRPr="00FD211F">
        <w:rPr>
          <w:sz w:val="36"/>
          <w:szCs w:val="36"/>
          <w:rtl/>
        </w:rPr>
        <w:t>ذكروا ان موضوع علم الفلسف</w:t>
      </w:r>
      <w:r w:rsidR="00EC7EDF" w:rsidRPr="00FD211F">
        <w:rPr>
          <w:sz w:val="36"/>
          <w:szCs w:val="36"/>
          <w:rtl/>
        </w:rPr>
        <w:t xml:space="preserve">ة </w:t>
      </w:r>
      <w:r w:rsidRPr="00FD211F">
        <w:rPr>
          <w:sz w:val="36"/>
          <w:szCs w:val="36"/>
          <w:rtl/>
        </w:rPr>
        <w:t>هو</w:t>
      </w:r>
      <w:r w:rsidR="007179B2" w:rsidRPr="00FD211F">
        <w:rPr>
          <w:sz w:val="36"/>
          <w:szCs w:val="36"/>
          <w:rtl/>
        </w:rPr>
        <w:t xml:space="preserve"> الموجود ثم قسموه الى الممكن والواجب ثم</w:t>
      </w:r>
      <w:r w:rsidRPr="00FD211F">
        <w:rPr>
          <w:sz w:val="36"/>
          <w:szCs w:val="36"/>
          <w:rtl/>
        </w:rPr>
        <w:t xml:space="preserve"> قسموا</w:t>
      </w:r>
      <w:r w:rsidR="007179B2" w:rsidRPr="00FD211F">
        <w:rPr>
          <w:sz w:val="36"/>
          <w:szCs w:val="36"/>
          <w:rtl/>
        </w:rPr>
        <w:t xml:space="preserve"> الممكن الى </w:t>
      </w:r>
      <w:r w:rsidRPr="00FD211F">
        <w:rPr>
          <w:sz w:val="36"/>
          <w:szCs w:val="36"/>
          <w:rtl/>
        </w:rPr>
        <w:t>ال</w:t>
      </w:r>
      <w:r w:rsidR="007179B2" w:rsidRPr="00FD211F">
        <w:rPr>
          <w:sz w:val="36"/>
          <w:szCs w:val="36"/>
          <w:rtl/>
        </w:rPr>
        <w:t>جوهر و</w:t>
      </w:r>
      <w:r w:rsidRPr="00FD211F">
        <w:rPr>
          <w:sz w:val="36"/>
          <w:szCs w:val="36"/>
          <w:rtl/>
        </w:rPr>
        <w:t>ال</w:t>
      </w:r>
      <w:r w:rsidR="007179B2" w:rsidRPr="00FD211F">
        <w:rPr>
          <w:sz w:val="36"/>
          <w:szCs w:val="36"/>
          <w:rtl/>
        </w:rPr>
        <w:t>عرض و</w:t>
      </w:r>
      <w:r w:rsidRPr="00FD211F">
        <w:rPr>
          <w:sz w:val="36"/>
          <w:szCs w:val="36"/>
          <w:rtl/>
        </w:rPr>
        <w:t xml:space="preserve">قسموا </w:t>
      </w:r>
      <w:r w:rsidR="007179B2" w:rsidRPr="00FD211F">
        <w:rPr>
          <w:sz w:val="36"/>
          <w:szCs w:val="36"/>
          <w:rtl/>
        </w:rPr>
        <w:t>الجوهر الى عقل ونفس و</w:t>
      </w:r>
      <w:r w:rsidRPr="00FD211F">
        <w:rPr>
          <w:sz w:val="36"/>
          <w:szCs w:val="36"/>
          <w:rtl/>
        </w:rPr>
        <w:t>جسم</w:t>
      </w:r>
      <w:r w:rsidR="00603323" w:rsidRPr="00FD211F">
        <w:rPr>
          <w:sz w:val="36"/>
          <w:szCs w:val="36"/>
          <w:rtl/>
        </w:rPr>
        <w:t xml:space="preserve">، </w:t>
      </w:r>
      <w:r w:rsidRPr="00FD211F">
        <w:rPr>
          <w:sz w:val="36"/>
          <w:szCs w:val="36"/>
          <w:rtl/>
        </w:rPr>
        <w:t>مع ان</w:t>
      </w:r>
      <w:r w:rsidR="007179B2" w:rsidRPr="00FD211F">
        <w:rPr>
          <w:sz w:val="36"/>
          <w:szCs w:val="36"/>
          <w:rtl/>
        </w:rPr>
        <w:t xml:space="preserve"> عروض الجوهر</w:t>
      </w:r>
      <w:r w:rsidRPr="00FD211F">
        <w:rPr>
          <w:sz w:val="36"/>
          <w:szCs w:val="36"/>
          <w:rtl/>
        </w:rPr>
        <w:t xml:space="preserve"> مثلا</w:t>
      </w:r>
      <w:r w:rsidR="007179B2" w:rsidRPr="00FD211F">
        <w:rPr>
          <w:sz w:val="36"/>
          <w:szCs w:val="36"/>
          <w:rtl/>
        </w:rPr>
        <w:t xml:space="preserve"> على الموجود </w:t>
      </w:r>
      <w:r w:rsidRPr="00FD211F">
        <w:rPr>
          <w:sz w:val="36"/>
          <w:szCs w:val="36"/>
          <w:rtl/>
        </w:rPr>
        <w:t xml:space="preserve">يكون </w:t>
      </w:r>
      <w:r w:rsidR="007179B2" w:rsidRPr="00FD211F">
        <w:rPr>
          <w:sz w:val="36"/>
          <w:szCs w:val="36"/>
          <w:rtl/>
        </w:rPr>
        <w:t>بواسط</w:t>
      </w:r>
      <w:r w:rsidR="00EC7EDF" w:rsidRPr="00FD211F">
        <w:rPr>
          <w:sz w:val="36"/>
          <w:szCs w:val="36"/>
          <w:rtl/>
        </w:rPr>
        <w:t xml:space="preserve">ة </w:t>
      </w:r>
      <w:r w:rsidR="007179B2" w:rsidRPr="00FD211F">
        <w:rPr>
          <w:sz w:val="36"/>
          <w:szCs w:val="36"/>
          <w:rtl/>
        </w:rPr>
        <w:t>أمر اخص وهو الممكن</w:t>
      </w:r>
      <w:r w:rsidRPr="00FD211F">
        <w:rPr>
          <w:sz w:val="36"/>
          <w:szCs w:val="36"/>
          <w:rtl/>
        </w:rPr>
        <w:t>.</w:t>
      </w:r>
    </w:p>
    <w:p w14:paraId="40370019" w14:textId="77777777" w:rsidR="006A052E" w:rsidRPr="00FD211F" w:rsidRDefault="007179B2" w:rsidP="009C58C8">
      <w:pPr>
        <w:ind w:left="0" w:firstLine="227"/>
        <w:jc w:val="both"/>
        <w:rPr>
          <w:sz w:val="36"/>
          <w:szCs w:val="36"/>
          <w:rtl/>
        </w:rPr>
      </w:pPr>
      <w:r w:rsidRPr="00FD211F">
        <w:rPr>
          <w:sz w:val="36"/>
          <w:szCs w:val="36"/>
          <w:rtl/>
        </w:rPr>
        <w:t>و</w:t>
      </w:r>
      <w:r w:rsidR="006A052E" w:rsidRPr="00FD211F">
        <w:rPr>
          <w:sz w:val="36"/>
          <w:szCs w:val="36"/>
          <w:rtl/>
        </w:rPr>
        <w:t>ذكر علماء</w:t>
      </w:r>
      <w:r w:rsidRPr="00FD211F">
        <w:rPr>
          <w:sz w:val="36"/>
          <w:szCs w:val="36"/>
          <w:rtl/>
        </w:rPr>
        <w:t xml:space="preserve"> الاصول ان موضوع</w:t>
      </w:r>
      <w:r w:rsidR="006A052E" w:rsidRPr="00FD211F">
        <w:rPr>
          <w:sz w:val="36"/>
          <w:szCs w:val="36"/>
          <w:rtl/>
        </w:rPr>
        <w:t xml:space="preserve"> علم الاصول</w:t>
      </w:r>
      <w:r w:rsidRPr="00FD211F">
        <w:rPr>
          <w:sz w:val="36"/>
          <w:szCs w:val="36"/>
          <w:rtl/>
        </w:rPr>
        <w:t xml:space="preserve"> هو الأدل</w:t>
      </w:r>
      <w:r w:rsidR="00EC7EDF" w:rsidRPr="00FD211F">
        <w:rPr>
          <w:sz w:val="36"/>
          <w:szCs w:val="36"/>
          <w:rtl/>
        </w:rPr>
        <w:t xml:space="preserve">ة </w:t>
      </w:r>
      <w:r w:rsidRPr="00FD211F">
        <w:rPr>
          <w:sz w:val="36"/>
          <w:szCs w:val="36"/>
          <w:rtl/>
        </w:rPr>
        <w:t>الاربع</w:t>
      </w:r>
      <w:r w:rsidR="00EC7EDF" w:rsidRPr="00FD211F">
        <w:rPr>
          <w:sz w:val="36"/>
          <w:szCs w:val="36"/>
          <w:rtl/>
        </w:rPr>
        <w:t xml:space="preserve">ة </w:t>
      </w:r>
      <w:r w:rsidR="006A052E" w:rsidRPr="00FD211F">
        <w:rPr>
          <w:sz w:val="36"/>
          <w:szCs w:val="36"/>
          <w:rtl/>
        </w:rPr>
        <w:t>(الكتاب والسن</w:t>
      </w:r>
      <w:r w:rsidR="00EC7EDF" w:rsidRPr="00FD211F">
        <w:rPr>
          <w:sz w:val="36"/>
          <w:szCs w:val="36"/>
          <w:rtl/>
        </w:rPr>
        <w:t xml:space="preserve">ة </w:t>
      </w:r>
      <w:r w:rsidR="006A052E" w:rsidRPr="00FD211F">
        <w:rPr>
          <w:sz w:val="36"/>
          <w:szCs w:val="36"/>
          <w:rtl/>
        </w:rPr>
        <w:t>والاجماع والعقل)</w:t>
      </w:r>
      <w:r w:rsidRPr="00FD211F">
        <w:rPr>
          <w:sz w:val="36"/>
          <w:szCs w:val="36"/>
          <w:rtl/>
        </w:rPr>
        <w:t xml:space="preserve"> ويبحث في</w:t>
      </w:r>
      <w:r w:rsidR="006A052E" w:rsidRPr="00FD211F">
        <w:rPr>
          <w:sz w:val="36"/>
          <w:szCs w:val="36"/>
          <w:rtl/>
        </w:rPr>
        <w:t xml:space="preserve"> هذا العلم</w:t>
      </w:r>
      <w:r w:rsidRPr="00FD211F">
        <w:rPr>
          <w:sz w:val="36"/>
          <w:szCs w:val="36"/>
          <w:rtl/>
        </w:rPr>
        <w:t xml:space="preserve"> عن حجي</w:t>
      </w:r>
      <w:r w:rsidR="00EC7EDF" w:rsidRPr="00FD211F">
        <w:rPr>
          <w:sz w:val="36"/>
          <w:szCs w:val="36"/>
          <w:rtl/>
        </w:rPr>
        <w:t xml:space="preserve">ة </w:t>
      </w:r>
      <w:r w:rsidRPr="00FD211F">
        <w:rPr>
          <w:sz w:val="36"/>
          <w:szCs w:val="36"/>
          <w:rtl/>
        </w:rPr>
        <w:t>الظهور</w:t>
      </w:r>
      <w:r w:rsidR="00603323" w:rsidRPr="00FD211F">
        <w:rPr>
          <w:sz w:val="36"/>
          <w:szCs w:val="36"/>
          <w:rtl/>
        </w:rPr>
        <w:t xml:space="preserve">، </w:t>
      </w:r>
      <w:r w:rsidRPr="00FD211F">
        <w:rPr>
          <w:sz w:val="36"/>
          <w:szCs w:val="36"/>
          <w:rtl/>
        </w:rPr>
        <w:t>مع ان عروض الحجي</w:t>
      </w:r>
      <w:r w:rsidR="00EC7EDF" w:rsidRPr="00FD211F">
        <w:rPr>
          <w:sz w:val="36"/>
          <w:szCs w:val="36"/>
          <w:rtl/>
        </w:rPr>
        <w:t xml:space="preserve">ة </w:t>
      </w:r>
      <w:r w:rsidRPr="00FD211F">
        <w:rPr>
          <w:sz w:val="36"/>
          <w:szCs w:val="36"/>
          <w:rtl/>
        </w:rPr>
        <w:t>لظهور الكتاب بواسط</w:t>
      </w:r>
      <w:r w:rsidR="00EC7EDF" w:rsidRPr="00FD211F">
        <w:rPr>
          <w:sz w:val="36"/>
          <w:szCs w:val="36"/>
          <w:rtl/>
        </w:rPr>
        <w:t xml:space="preserve">ة </w:t>
      </w:r>
      <w:r w:rsidRPr="00FD211F">
        <w:rPr>
          <w:sz w:val="36"/>
          <w:szCs w:val="36"/>
          <w:rtl/>
        </w:rPr>
        <w:t>اعم وهو طبيعي الظهور</w:t>
      </w:r>
      <w:r w:rsidR="00603323" w:rsidRPr="00FD211F">
        <w:rPr>
          <w:sz w:val="36"/>
          <w:szCs w:val="36"/>
          <w:rtl/>
        </w:rPr>
        <w:t xml:space="preserve">، </w:t>
      </w:r>
      <w:r w:rsidR="006A052E" w:rsidRPr="00FD211F">
        <w:rPr>
          <w:sz w:val="36"/>
          <w:szCs w:val="36"/>
          <w:rtl/>
        </w:rPr>
        <w:t>فاذا كان البحث عن عوارض موضوع العلم بواسط</w:t>
      </w:r>
      <w:r w:rsidR="00EC7EDF" w:rsidRPr="00FD211F">
        <w:rPr>
          <w:sz w:val="36"/>
          <w:szCs w:val="36"/>
          <w:rtl/>
        </w:rPr>
        <w:t xml:space="preserve">ة </w:t>
      </w:r>
      <w:r w:rsidR="006A052E" w:rsidRPr="00FD211F">
        <w:rPr>
          <w:sz w:val="36"/>
          <w:szCs w:val="36"/>
          <w:rtl/>
        </w:rPr>
        <w:t>اعم او اخص بحثا عن عوارضه الغريب</w:t>
      </w:r>
      <w:r w:rsidR="00EC7EDF" w:rsidRPr="00FD211F">
        <w:rPr>
          <w:sz w:val="36"/>
          <w:szCs w:val="36"/>
          <w:rtl/>
        </w:rPr>
        <w:t xml:space="preserve">ة </w:t>
      </w:r>
      <w:r w:rsidR="006A052E" w:rsidRPr="00FD211F">
        <w:rPr>
          <w:sz w:val="36"/>
          <w:szCs w:val="36"/>
          <w:rtl/>
        </w:rPr>
        <w:t>فيلزم منه خروج جل المباحث المطروح</w:t>
      </w:r>
      <w:r w:rsidR="00EC7EDF" w:rsidRPr="00FD211F">
        <w:rPr>
          <w:sz w:val="36"/>
          <w:szCs w:val="36"/>
          <w:rtl/>
        </w:rPr>
        <w:t xml:space="preserve">ة </w:t>
      </w:r>
      <w:r w:rsidR="006A052E" w:rsidRPr="00FD211F">
        <w:rPr>
          <w:sz w:val="36"/>
          <w:szCs w:val="36"/>
          <w:rtl/>
        </w:rPr>
        <w:t>في العلوم عن مسائل تلك العلوم.</w:t>
      </w:r>
    </w:p>
    <w:p w14:paraId="190B8990" w14:textId="77777777" w:rsidR="00971094" w:rsidRPr="00FD211F" w:rsidRDefault="00971094" w:rsidP="009C58C8">
      <w:pPr>
        <w:ind w:left="0" w:firstLine="227"/>
        <w:jc w:val="both"/>
        <w:rPr>
          <w:sz w:val="36"/>
          <w:szCs w:val="36"/>
          <w:rtl/>
        </w:rPr>
      </w:pPr>
      <w:r w:rsidRPr="00FD211F">
        <w:rPr>
          <w:sz w:val="36"/>
          <w:szCs w:val="36"/>
          <w:rtl/>
        </w:rPr>
        <w:t>وقد حاول الاعلام الإجاب</w:t>
      </w:r>
      <w:r w:rsidR="00EC7EDF" w:rsidRPr="00FD211F">
        <w:rPr>
          <w:sz w:val="36"/>
          <w:szCs w:val="36"/>
          <w:rtl/>
        </w:rPr>
        <w:t xml:space="preserve">ة </w:t>
      </w:r>
      <w:r w:rsidRPr="00FD211F">
        <w:rPr>
          <w:sz w:val="36"/>
          <w:szCs w:val="36"/>
          <w:rtl/>
        </w:rPr>
        <w:t>عن هذا الاشكال بعد</w:t>
      </w:r>
      <w:r w:rsidR="00EC7EDF" w:rsidRPr="00FD211F">
        <w:rPr>
          <w:sz w:val="36"/>
          <w:szCs w:val="36"/>
          <w:rtl/>
        </w:rPr>
        <w:t xml:space="preserve">ة </w:t>
      </w:r>
      <w:r w:rsidRPr="00FD211F">
        <w:rPr>
          <w:sz w:val="36"/>
          <w:szCs w:val="36"/>
          <w:rtl/>
        </w:rPr>
        <w:t>وجوه:</w:t>
      </w:r>
    </w:p>
    <w:p w14:paraId="6AA921EA" w14:textId="77777777" w:rsidR="008133C7" w:rsidRPr="00FD211F" w:rsidRDefault="008133C7" w:rsidP="009C58C8">
      <w:pPr>
        <w:pStyle w:val="3"/>
        <w:ind w:firstLine="227"/>
        <w:jc w:val="both"/>
        <w:rPr>
          <w:rtl/>
        </w:rPr>
      </w:pPr>
      <w:bookmarkStart w:id="73" w:name="_Toc223890315"/>
      <w:r w:rsidRPr="00FD211F">
        <w:rPr>
          <w:rtl/>
        </w:rPr>
        <w:t>تعريف المحقق السبزواري للعوارض الذاتي</w:t>
      </w:r>
      <w:r w:rsidR="00EC7EDF" w:rsidRPr="00FD211F">
        <w:rPr>
          <w:rtl/>
        </w:rPr>
        <w:t>ة</w:t>
      </w:r>
      <w:bookmarkEnd w:id="73"/>
      <w:r w:rsidR="00EC7EDF" w:rsidRPr="00FD211F">
        <w:rPr>
          <w:rtl/>
        </w:rPr>
        <w:t xml:space="preserve"> </w:t>
      </w:r>
    </w:p>
    <w:p w14:paraId="75870E95" w14:textId="77777777" w:rsidR="00A3406F" w:rsidRPr="00FD211F" w:rsidRDefault="00971094" w:rsidP="009C58C8">
      <w:pPr>
        <w:ind w:left="0" w:firstLine="227"/>
        <w:jc w:val="both"/>
        <w:rPr>
          <w:sz w:val="36"/>
          <w:szCs w:val="36"/>
          <w:rtl/>
        </w:rPr>
      </w:pPr>
      <w:r w:rsidRPr="00FD211F">
        <w:rPr>
          <w:b/>
          <w:bCs/>
          <w:sz w:val="36"/>
          <w:szCs w:val="36"/>
          <w:rtl/>
        </w:rPr>
        <w:t>الأول</w:t>
      </w:r>
      <w:r w:rsidRPr="00FD211F">
        <w:rPr>
          <w:sz w:val="36"/>
          <w:szCs w:val="36"/>
          <w:rtl/>
        </w:rPr>
        <w:t xml:space="preserve">: ما ذكره المحقق السبزواري </w:t>
      </w:r>
      <w:r w:rsidR="001D4F66" w:rsidRPr="00FD211F">
        <w:rPr>
          <w:sz w:val="36"/>
          <w:szCs w:val="36"/>
          <w:rtl/>
        </w:rPr>
        <w:t>"</w:t>
      </w:r>
      <w:r w:rsidRPr="00FD211F">
        <w:rPr>
          <w:sz w:val="36"/>
          <w:szCs w:val="36"/>
          <w:rtl/>
        </w:rPr>
        <w:t xml:space="preserve">ره </w:t>
      </w:r>
      <w:r w:rsidR="001D4F66" w:rsidRPr="00FD211F">
        <w:rPr>
          <w:sz w:val="36"/>
          <w:szCs w:val="36"/>
          <w:rtl/>
        </w:rPr>
        <w:t>"</w:t>
      </w:r>
      <w:r w:rsidRPr="00FD211F">
        <w:rPr>
          <w:sz w:val="36"/>
          <w:szCs w:val="36"/>
          <w:rtl/>
        </w:rPr>
        <w:t>في تعليق</w:t>
      </w:r>
      <w:r w:rsidR="00EC7EDF" w:rsidRPr="00FD211F">
        <w:rPr>
          <w:sz w:val="36"/>
          <w:szCs w:val="36"/>
          <w:rtl/>
        </w:rPr>
        <w:t xml:space="preserve">ة </w:t>
      </w:r>
      <w:r w:rsidRPr="00FD211F">
        <w:rPr>
          <w:sz w:val="36"/>
          <w:szCs w:val="36"/>
          <w:rtl/>
        </w:rPr>
        <w:t xml:space="preserve">الاسفار من ان </w:t>
      </w:r>
      <w:r w:rsidR="007179B2" w:rsidRPr="00FD211F">
        <w:rPr>
          <w:sz w:val="36"/>
          <w:szCs w:val="36"/>
          <w:rtl/>
        </w:rPr>
        <w:t>العرض الذاتي</w:t>
      </w:r>
      <w:r w:rsidR="00821029" w:rsidRPr="00FD211F">
        <w:rPr>
          <w:sz w:val="36"/>
          <w:szCs w:val="36"/>
          <w:rtl/>
        </w:rPr>
        <w:t xml:space="preserve"> لايختص بما كان عروضه لموضوع العلم بلاواسط</w:t>
      </w:r>
      <w:r w:rsidR="00EC7EDF" w:rsidRPr="00FD211F">
        <w:rPr>
          <w:sz w:val="36"/>
          <w:szCs w:val="36"/>
          <w:rtl/>
        </w:rPr>
        <w:t xml:space="preserve">ة </w:t>
      </w:r>
      <w:r w:rsidR="00821029" w:rsidRPr="00FD211F">
        <w:rPr>
          <w:sz w:val="36"/>
          <w:szCs w:val="36"/>
          <w:rtl/>
        </w:rPr>
        <w:t>او بواسط</w:t>
      </w:r>
      <w:r w:rsidR="00EC7EDF" w:rsidRPr="00FD211F">
        <w:rPr>
          <w:sz w:val="36"/>
          <w:szCs w:val="36"/>
          <w:rtl/>
        </w:rPr>
        <w:t xml:space="preserve">ة </w:t>
      </w:r>
      <w:r w:rsidR="00821029" w:rsidRPr="00FD211F">
        <w:rPr>
          <w:sz w:val="36"/>
          <w:szCs w:val="36"/>
          <w:rtl/>
        </w:rPr>
        <w:t>امر مساو</w:t>
      </w:r>
      <w:r w:rsidR="00603323" w:rsidRPr="00FD211F">
        <w:rPr>
          <w:sz w:val="36"/>
          <w:szCs w:val="36"/>
          <w:rtl/>
        </w:rPr>
        <w:t xml:space="preserve">، </w:t>
      </w:r>
      <w:r w:rsidR="00A3406F" w:rsidRPr="00FD211F">
        <w:rPr>
          <w:sz w:val="36"/>
          <w:szCs w:val="36"/>
          <w:rtl/>
        </w:rPr>
        <w:t>بل يشمل ما اذا كان عروضه بواسط</w:t>
      </w:r>
      <w:r w:rsidR="00EC7EDF" w:rsidRPr="00FD211F">
        <w:rPr>
          <w:sz w:val="36"/>
          <w:szCs w:val="36"/>
          <w:rtl/>
        </w:rPr>
        <w:t xml:space="preserve">ة </w:t>
      </w:r>
      <w:r w:rsidR="00A3406F" w:rsidRPr="00FD211F">
        <w:rPr>
          <w:sz w:val="36"/>
          <w:szCs w:val="36"/>
          <w:rtl/>
        </w:rPr>
        <w:t>اعم او اخص</w:t>
      </w:r>
      <w:r w:rsidR="00603323" w:rsidRPr="00FD211F">
        <w:rPr>
          <w:sz w:val="36"/>
          <w:szCs w:val="36"/>
          <w:rtl/>
        </w:rPr>
        <w:t xml:space="preserve">، </w:t>
      </w:r>
      <w:r w:rsidR="00A3406F" w:rsidRPr="00FD211F">
        <w:rPr>
          <w:sz w:val="36"/>
          <w:szCs w:val="36"/>
          <w:rtl/>
        </w:rPr>
        <w:t xml:space="preserve">فان العرض الذاتي ما </w:t>
      </w:r>
      <w:r w:rsidR="00A01AE1" w:rsidRPr="00FD211F">
        <w:rPr>
          <w:sz w:val="36"/>
          <w:szCs w:val="36"/>
          <w:rtl/>
        </w:rPr>
        <w:t>يكون بلاواسط</w:t>
      </w:r>
      <w:r w:rsidR="00EC7EDF" w:rsidRPr="00FD211F">
        <w:rPr>
          <w:sz w:val="36"/>
          <w:szCs w:val="36"/>
          <w:rtl/>
        </w:rPr>
        <w:t xml:space="preserve">ة </w:t>
      </w:r>
      <w:r w:rsidR="00A01AE1" w:rsidRPr="00FD211F">
        <w:rPr>
          <w:sz w:val="36"/>
          <w:szCs w:val="36"/>
          <w:rtl/>
        </w:rPr>
        <w:t>في العروض</w:t>
      </w:r>
      <w:r w:rsidR="00603323" w:rsidRPr="00FD211F">
        <w:rPr>
          <w:sz w:val="36"/>
          <w:szCs w:val="36"/>
          <w:rtl/>
        </w:rPr>
        <w:t xml:space="preserve">، </w:t>
      </w:r>
      <w:r w:rsidR="007179B2" w:rsidRPr="00FD211F">
        <w:rPr>
          <w:sz w:val="36"/>
          <w:szCs w:val="36"/>
          <w:rtl/>
        </w:rPr>
        <w:t>أي ماينسب الى ال</w:t>
      </w:r>
      <w:r w:rsidR="008D7B3D" w:rsidRPr="00FD211F">
        <w:rPr>
          <w:sz w:val="36"/>
          <w:szCs w:val="36"/>
          <w:rtl/>
        </w:rPr>
        <w:t xml:space="preserve">شيء </w:t>
      </w:r>
      <w:r w:rsidR="007179B2" w:rsidRPr="00FD211F">
        <w:rPr>
          <w:sz w:val="36"/>
          <w:szCs w:val="36"/>
          <w:rtl/>
        </w:rPr>
        <w:t>بلا</w:t>
      </w:r>
      <w:r w:rsidR="00A3406F" w:rsidRPr="00FD211F">
        <w:rPr>
          <w:sz w:val="36"/>
          <w:szCs w:val="36"/>
          <w:rtl/>
        </w:rPr>
        <w:t>تجوز</w:t>
      </w:r>
      <w:r w:rsidR="007179B2" w:rsidRPr="00FD211F">
        <w:rPr>
          <w:sz w:val="36"/>
          <w:szCs w:val="36"/>
          <w:rtl/>
        </w:rPr>
        <w:t xml:space="preserve"> عرفي </w:t>
      </w:r>
      <w:r w:rsidR="00A3406F" w:rsidRPr="00FD211F">
        <w:rPr>
          <w:sz w:val="36"/>
          <w:szCs w:val="36"/>
          <w:rtl/>
        </w:rPr>
        <w:t xml:space="preserve">او </w:t>
      </w:r>
      <w:r w:rsidR="007179B2" w:rsidRPr="00FD211F">
        <w:rPr>
          <w:sz w:val="36"/>
          <w:szCs w:val="36"/>
          <w:rtl/>
        </w:rPr>
        <w:t>عقلي</w:t>
      </w:r>
      <w:r w:rsidR="00603323" w:rsidRPr="00FD211F">
        <w:rPr>
          <w:sz w:val="36"/>
          <w:szCs w:val="36"/>
          <w:rtl/>
        </w:rPr>
        <w:t xml:space="preserve">، </w:t>
      </w:r>
      <w:r w:rsidR="00A3406F" w:rsidRPr="00FD211F">
        <w:rPr>
          <w:sz w:val="36"/>
          <w:szCs w:val="36"/>
          <w:rtl/>
        </w:rPr>
        <w:t>فمثل قولنا جالس السفين</w:t>
      </w:r>
      <w:r w:rsidR="00EC7EDF" w:rsidRPr="00FD211F">
        <w:rPr>
          <w:sz w:val="36"/>
          <w:szCs w:val="36"/>
          <w:rtl/>
        </w:rPr>
        <w:t xml:space="preserve">ة </w:t>
      </w:r>
      <w:r w:rsidR="00A3406F" w:rsidRPr="00FD211F">
        <w:rPr>
          <w:sz w:val="36"/>
          <w:szCs w:val="36"/>
          <w:rtl/>
        </w:rPr>
        <w:t>متحرك او ان</w:t>
      </w:r>
      <w:r w:rsidR="007179B2" w:rsidRPr="00FD211F">
        <w:rPr>
          <w:sz w:val="36"/>
          <w:szCs w:val="36"/>
          <w:rtl/>
        </w:rPr>
        <w:t xml:space="preserve"> الماهي</w:t>
      </w:r>
      <w:r w:rsidR="00EC7EDF" w:rsidRPr="00FD211F">
        <w:rPr>
          <w:sz w:val="36"/>
          <w:szCs w:val="36"/>
          <w:rtl/>
        </w:rPr>
        <w:t xml:space="preserve">ة </w:t>
      </w:r>
      <w:r w:rsidR="007179B2" w:rsidRPr="00FD211F">
        <w:rPr>
          <w:sz w:val="36"/>
          <w:szCs w:val="36"/>
          <w:rtl/>
        </w:rPr>
        <w:t>موجود</w:t>
      </w:r>
      <w:r w:rsidR="00EC7EDF" w:rsidRPr="00FD211F">
        <w:rPr>
          <w:sz w:val="36"/>
          <w:szCs w:val="36"/>
          <w:rtl/>
        </w:rPr>
        <w:t xml:space="preserve">ة </w:t>
      </w:r>
      <w:r w:rsidR="00A3406F" w:rsidRPr="00FD211F">
        <w:rPr>
          <w:sz w:val="36"/>
          <w:szCs w:val="36"/>
          <w:rtl/>
        </w:rPr>
        <w:t>يكون من الواسط</w:t>
      </w:r>
      <w:r w:rsidR="00EC7EDF" w:rsidRPr="00FD211F">
        <w:rPr>
          <w:sz w:val="36"/>
          <w:szCs w:val="36"/>
          <w:rtl/>
        </w:rPr>
        <w:t xml:space="preserve">ة </w:t>
      </w:r>
      <w:r w:rsidR="00A3406F" w:rsidRPr="00FD211F">
        <w:rPr>
          <w:sz w:val="36"/>
          <w:szCs w:val="36"/>
          <w:rtl/>
        </w:rPr>
        <w:t>في العروض لكون انتساب الحرك</w:t>
      </w:r>
      <w:r w:rsidR="00EC7EDF" w:rsidRPr="00FD211F">
        <w:rPr>
          <w:sz w:val="36"/>
          <w:szCs w:val="36"/>
          <w:rtl/>
        </w:rPr>
        <w:t xml:space="preserve">ة </w:t>
      </w:r>
      <w:r w:rsidR="00A3406F" w:rsidRPr="00FD211F">
        <w:rPr>
          <w:sz w:val="36"/>
          <w:szCs w:val="36"/>
          <w:rtl/>
        </w:rPr>
        <w:t>الى جالس السفين</w:t>
      </w:r>
      <w:r w:rsidR="00EC7EDF" w:rsidRPr="00FD211F">
        <w:rPr>
          <w:sz w:val="36"/>
          <w:szCs w:val="36"/>
          <w:rtl/>
        </w:rPr>
        <w:t xml:space="preserve">ة </w:t>
      </w:r>
      <w:r w:rsidR="00A3406F" w:rsidRPr="00FD211F">
        <w:rPr>
          <w:sz w:val="36"/>
          <w:szCs w:val="36"/>
          <w:rtl/>
        </w:rPr>
        <w:t>مجازا عرفيا وانتساب الموجودي</w:t>
      </w:r>
      <w:r w:rsidR="00EC7EDF" w:rsidRPr="00FD211F">
        <w:rPr>
          <w:sz w:val="36"/>
          <w:szCs w:val="36"/>
          <w:rtl/>
        </w:rPr>
        <w:t xml:space="preserve">ة </w:t>
      </w:r>
      <w:r w:rsidR="00A3406F" w:rsidRPr="00FD211F">
        <w:rPr>
          <w:sz w:val="36"/>
          <w:szCs w:val="36"/>
          <w:rtl/>
        </w:rPr>
        <w:t>الى الماهي</w:t>
      </w:r>
      <w:r w:rsidR="00EC7EDF" w:rsidRPr="00FD211F">
        <w:rPr>
          <w:sz w:val="36"/>
          <w:szCs w:val="36"/>
          <w:rtl/>
        </w:rPr>
        <w:t xml:space="preserve">ة </w:t>
      </w:r>
      <w:r w:rsidR="00A3406F" w:rsidRPr="00FD211F">
        <w:rPr>
          <w:sz w:val="36"/>
          <w:szCs w:val="36"/>
          <w:rtl/>
        </w:rPr>
        <w:t>مجازا عقليا</w:t>
      </w:r>
      <w:r w:rsidR="00603323" w:rsidRPr="00FD211F">
        <w:rPr>
          <w:sz w:val="36"/>
          <w:szCs w:val="36"/>
          <w:rtl/>
        </w:rPr>
        <w:t xml:space="preserve">، </w:t>
      </w:r>
      <w:r w:rsidR="00A3406F" w:rsidRPr="00FD211F">
        <w:rPr>
          <w:sz w:val="36"/>
          <w:szCs w:val="36"/>
          <w:rtl/>
        </w:rPr>
        <w:t>وهذا بخلاف مثل البحث عن حرار</w:t>
      </w:r>
      <w:r w:rsidR="00EC7EDF" w:rsidRPr="00FD211F">
        <w:rPr>
          <w:sz w:val="36"/>
          <w:szCs w:val="36"/>
          <w:rtl/>
        </w:rPr>
        <w:t xml:space="preserve">ة </w:t>
      </w:r>
      <w:r w:rsidR="00A3406F" w:rsidRPr="00FD211F">
        <w:rPr>
          <w:sz w:val="36"/>
          <w:szCs w:val="36"/>
          <w:rtl/>
        </w:rPr>
        <w:t>الماء الثابت</w:t>
      </w:r>
      <w:r w:rsidR="00EC7EDF" w:rsidRPr="00FD211F">
        <w:rPr>
          <w:sz w:val="36"/>
          <w:szCs w:val="36"/>
          <w:rtl/>
        </w:rPr>
        <w:t xml:space="preserve">ة </w:t>
      </w:r>
      <w:r w:rsidR="00A3406F" w:rsidRPr="00FD211F">
        <w:rPr>
          <w:sz w:val="36"/>
          <w:szCs w:val="36"/>
          <w:rtl/>
        </w:rPr>
        <w:t>له بواسط</w:t>
      </w:r>
      <w:r w:rsidR="00EC7EDF" w:rsidRPr="00FD211F">
        <w:rPr>
          <w:sz w:val="36"/>
          <w:szCs w:val="36"/>
          <w:rtl/>
        </w:rPr>
        <w:t xml:space="preserve">ة </w:t>
      </w:r>
      <w:r w:rsidR="00A3406F" w:rsidRPr="00FD211F">
        <w:rPr>
          <w:sz w:val="36"/>
          <w:szCs w:val="36"/>
          <w:rtl/>
        </w:rPr>
        <w:t>النار فان النار انما تكون واسط</w:t>
      </w:r>
      <w:r w:rsidR="00EC7EDF" w:rsidRPr="00FD211F">
        <w:rPr>
          <w:sz w:val="36"/>
          <w:szCs w:val="36"/>
          <w:rtl/>
        </w:rPr>
        <w:t xml:space="preserve">ة </w:t>
      </w:r>
      <w:r w:rsidR="00A3406F" w:rsidRPr="00FD211F">
        <w:rPr>
          <w:sz w:val="36"/>
          <w:szCs w:val="36"/>
          <w:rtl/>
        </w:rPr>
        <w:t>في ثبوت الحرار</w:t>
      </w:r>
      <w:r w:rsidR="00EC7EDF" w:rsidRPr="00FD211F">
        <w:rPr>
          <w:sz w:val="36"/>
          <w:szCs w:val="36"/>
          <w:rtl/>
        </w:rPr>
        <w:t xml:space="preserve">ة </w:t>
      </w:r>
      <w:r w:rsidR="00A3406F" w:rsidRPr="00FD211F">
        <w:rPr>
          <w:sz w:val="36"/>
          <w:szCs w:val="36"/>
          <w:rtl/>
        </w:rPr>
        <w:t xml:space="preserve">للماء </w:t>
      </w:r>
      <w:r w:rsidR="001B2AB3" w:rsidRPr="00FD211F">
        <w:rPr>
          <w:sz w:val="36"/>
          <w:szCs w:val="36"/>
          <w:rtl/>
        </w:rPr>
        <w:t>ولكن تنتسب الحرار</w:t>
      </w:r>
      <w:r w:rsidR="00EC7EDF" w:rsidRPr="00FD211F">
        <w:rPr>
          <w:sz w:val="36"/>
          <w:szCs w:val="36"/>
          <w:rtl/>
        </w:rPr>
        <w:t xml:space="preserve">ة </w:t>
      </w:r>
      <w:r w:rsidR="001B2AB3" w:rsidRPr="00FD211F">
        <w:rPr>
          <w:sz w:val="36"/>
          <w:szCs w:val="36"/>
          <w:rtl/>
        </w:rPr>
        <w:t>الى نفس الماء حقيق</w:t>
      </w:r>
      <w:r w:rsidR="00EC7EDF" w:rsidRPr="00FD211F">
        <w:rPr>
          <w:sz w:val="36"/>
          <w:szCs w:val="36"/>
          <w:rtl/>
        </w:rPr>
        <w:t>ة</w:t>
      </w:r>
      <w:r w:rsidR="00603323" w:rsidRPr="00FD211F">
        <w:rPr>
          <w:sz w:val="36"/>
          <w:szCs w:val="36"/>
          <w:rtl/>
        </w:rPr>
        <w:t xml:space="preserve">، </w:t>
      </w:r>
      <w:r w:rsidR="00A3406F" w:rsidRPr="00FD211F">
        <w:rPr>
          <w:sz w:val="36"/>
          <w:szCs w:val="36"/>
          <w:rtl/>
        </w:rPr>
        <w:t>فتكون عرضا ذاتيا له</w:t>
      </w:r>
      <w:r w:rsidR="009C58C8" w:rsidRPr="00FD211F">
        <w:rPr>
          <w:rStyle w:val="a6"/>
          <w:sz w:val="36"/>
          <w:szCs w:val="36"/>
          <w:rtl/>
        </w:rPr>
        <w:t>(</w:t>
      </w:r>
      <w:r w:rsidR="009C58C8" w:rsidRPr="00FD211F">
        <w:rPr>
          <w:rStyle w:val="a6"/>
          <w:sz w:val="36"/>
          <w:szCs w:val="36"/>
          <w:rtl/>
        </w:rPr>
        <w:footnoteReference w:id="73"/>
      </w:r>
      <w:r w:rsidR="009C58C8" w:rsidRPr="00FD211F">
        <w:rPr>
          <w:rStyle w:val="a6"/>
          <w:sz w:val="36"/>
          <w:szCs w:val="36"/>
          <w:rtl/>
        </w:rPr>
        <w:t>)</w:t>
      </w:r>
      <w:r w:rsidR="00A3406F" w:rsidRPr="00FD211F">
        <w:rPr>
          <w:sz w:val="36"/>
          <w:szCs w:val="36"/>
          <w:rtl/>
        </w:rPr>
        <w:t>.</w:t>
      </w:r>
    </w:p>
    <w:p w14:paraId="59475EA4" w14:textId="77777777" w:rsidR="007179B2" w:rsidRPr="00FD211F" w:rsidRDefault="007179B2" w:rsidP="009C58C8">
      <w:pPr>
        <w:ind w:left="0" w:firstLine="227"/>
        <w:jc w:val="both"/>
        <w:rPr>
          <w:sz w:val="36"/>
          <w:szCs w:val="36"/>
          <w:rtl/>
        </w:rPr>
      </w:pPr>
      <w:r w:rsidRPr="00FD211F">
        <w:rPr>
          <w:sz w:val="36"/>
          <w:szCs w:val="36"/>
          <w:rtl/>
        </w:rPr>
        <w:t>ولعل صاحب الكفاي</w:t>
      </w:r>
      <w:r w:rsidR="00EC7EDF" w:rsidRPr="00FD211F">
        <w:rPr>
          <w:sz w:val="36"/>
          <w:szCs w:val="36"/>
          <w:rtl/>
        </w:rPr>
        <w:t xml:space="preserve">ة "قده" </w:t>
      </w:r>
      <w:r w:rsidRPr="00FD211F">
        <w:rPr>
          <w:sz w:val="36"/>
          <w:szCs w:val="36"/>
          <w:rtl/>
        </w:rPr>
        <w:t>تبعه في ذلك حيث قال</w:t>
      </w:r>
      <w:r w:rsidR="00A3406F" w:rsidRPr="00FD211F">
        <w:rPr>
          <w:sz w:val="36"/>
          <w:szCs w:val="36"/>
          <w:rtl/>
        </w:rPr>
        <w:t>: ان موضوع كل علم هو ما يبحث فيه عن عوارضه الذاتي</w:t>
      </w:r>
      <w:r w:rsidR="00EC7EDF" w:rsidRPr="00FD211F">
        <w:rPr>
          <w:sz w:val="36"/>
          <w:szCs w:val="36"/>
          <w:rtl/>
        </w:rPr>
        <w:t xml:space="preserve">ة </w:t>
      </w:r>
      <w:r w:rsidRPr="00FD211F">
        <w:rPr>
          <w:sz w:val="36"/>
          <w:szCs w:val="36"/>
          <w:rtl/>
        </w:rPr>
        <w:t>أي بلاواسط</w:t>
      </w:r>
      <w:r w:rsidR="00EC7EDF" w:rsidRPr="00FD211F">
        <w:rPr>
          <w:sz w:val="36"/>
          <w:szCs w:val="36"/>
          <w:rtl/>
        </w:rPr>
        <w:t xml:space="preserve">ة </w:t>
      </w:r>
      <w:r w:rsidRPr="00FD211F">
        <w:rPr>
          <w:sz w:val="36"/>
          <w:szCs w:val="36"/>
          <w:rtl/>
        </w:rPr>
        <w:t>في العروض</w:t>
      </w:r>
      <w:r w:rsidR="00C43D4A" w:rsidRPr="00FD211F">
        <w:rPr>
          <w:sz w:val="36"/>
          <w:szCs w:val="36"/>
          <w:rtl/>
        </w:rPr>
        <w:t>.</w:t>
      </w:r>
    </w:p>
    <w:p w14:paraId="2206A4CD" w14:textId="77777777" w:rsidR="008133C7" w:rsidRPr="00FD211F" w:rsidRDefault="008133C7" w:rsidP="009C58C8">
      <w:pPr>
        <w:pStyle w:val="3"/>
        <w:ind w:firstLine="227"/>
        <w:jc w:val="both"/>
        <w:rPr>
          <w:rtl/>
        </w:rPr>
      </w:pPr>
      <w:bookmarkStart w:id="74" w:name="_Toc223890316"/>
      <w:r w:rsidRPr="00FD211F">
        <w:rPr>
          <w:rtl/>
        </w:rPr>
        <w:t>تعريف المحقق العراقي للعوارض الذاتي</w:t>
      </w:r>
      <w:r w:rsidR="00EC7EDF" w:rsidRPr="00FD211F">
        <w:rPr>
          <w:rtl/>
        </w:rPr>
        <w:t>ة</w:t>
      </w:r>
      <w:bookmarkEnd w:id="74"/>
      <w:r w:rsidR="00EC7EDF" w:rsidRPr="00FD211F">
        <w:rPr>
          <w:rtl/>
        </w:rPr>
        <w:t xml:space="preserve"> </w:t>
      </w:r>
    </w:p>
    <w:p w14:paraId="73ED2389" w14:textId="77777777" w:rsidR="004B167A" w:rsidRPr="00FD211F" w:rsidRDefault="00A3406F" w:rsidP="009C58C8">
      <w:pPr>
        <w:ind w:left="0" w:firstLine="227"/>
        <w:jc w:val="both"/>
        <w:rPr>
          <w:sz w:val="36"/>
          <w:szCs w:val="36"/>
          <w:rtl/>
        </w:rPr>
      </w:pPr>
      <w:r w:rsidRPr="00FD211F">
        <w:rPr>
          <w:b/>
          <w:bCs/>
          <w:sz w:val="36"/>
          <w:szCs w:val="36"/>
          <w:rtl/>
        </w:rPr>
        <w:t>الثاني</w:t>
      </w:r>
      <w:r w:rsidRPr="00FD211F">
        <w:rPr>
          <w:sz w:val="36"/>
          <w:szCs w:val="36"/>
          <w:rtl/>
        </w:rPr>
        <w:t xml:space="preserve">: </w:t>
      </w:r>
      <w:r w:rsidR="001E3380" w:rsidRPr="00FD211F">
        <w:rPr>
          <w:sz w:val="36"/>
          <w:szCs w:val="36"/>
          <w:rtl/>
        </w:rPr>
        <w:t>ما ذكره المحقق العراقي</w:t>
      </w:r>
      <w:r w:rsidR="00EC7EDF" w:rsidRPr="00FD211F">
        <w:rPr>
          <w:sz w:val="36"/>
          <w:szCs w:val="36"/>
          <w:rtl/>
        </w:rPr>
        <w:t xml:space="preserve"> "قده"</w:t>
      </w:r>
      <w:r w:rsidR="001E3380" w:rsidRPr="00FD211F">
        <w:rPr>
          <w:sz w:val="36"/>
          <w:szCs w:val="36"/>
          <w:rtl/>
        </w:rPr>
        <w:t xml:space="preserve"> من ان </w:t>
      </w:r>
      <w:r w:rsidR="00C43D4A" w:rsidRPr="00FD211F">
        <w:rPr>
          <w:sz w:val="36"/>
          <w:szCs w:val="36"/>
          <w:rtl/>
        </w:rPr>
        <w:t>الوصف الذي ينسب الى ال</w:t>
      </w:r>
      <w:r w:rsidR="008D7B3D" w:rsidRPr="00FD211F">
        <w:rPr>
          <w:sz w:val="36"/>
          <w:szCs w:val="36"/>
          <w:rtl/>
        </w:rPr>
        <w:t xml:space="preserve">شيء </w:t>
      </w:r>
      <w:r w:rsidR="004B167A" w:rsidRPr="00FD211F">
        <w:rPr>
          <w:sz w:val="36"/>
          <w:szCs w:val="36"/>
          <w:rtl/>
        </w:rPr>
        <w:t>علي قسمين:</w:t>
      </w:r>
    </w:p>
    <w:p w14:paraId="6B794184" w14:textId="77777777" w:rsidR="00510C50" w:rsidRPr="00FD211F" w:rsidRDefault="00A01AE1" w:rsidP="009C58C8">
      <w:pPr>
        <w:ind w:left="0" w:firstLine="227"/>
        <w:jc w:val="both"/>
        <w:rPr>
          <w:sz w:val="36"/>
          <w:szCs w:val="36"/>
          <w:rtl/>
        </w:rPr>
      </w:pPr>
      <w:r w:rsidRPr="00FD211F">
        <w:rPr>
          <w:b/>
          <w:bCs/>
          <w:sz w:val="36"/>
          <w:szCs w:val="36"/>
          <w:rtl/>
        </w:rPr>
        <w:t>القسم الاول</w:t>
      </w:r>
      <w:r w:rsidRPr="00FD211F">
        <w:rPr>
          <w:sz w:val="36"/>
          <w:szCs w:val="36"/>
          <w:rtl/>
        </w:rPr>
        <w:t>:</w:t>
      </w:r>
      <w:r w:rsidR="004B167A" w:rsidRPr="00FD211F">
        <w:rPr>
          <w:sz w:val="36"/>
          <w:szCs w:val="36"/>
          <w:rtl/>
        </w:rPr>
        <w:t xml:space="preserve"> ما</w:t>
      </w:r>
      <w:r w:rsidR="00F57B39" w:rsidRPr="00FD211F">
        <w:rPr>
          <w:sz w:val="36"/>
          <w:szCs w:val="36"/>
          <w:rtl/>
        </w:rPr>
        <w:t xml:space="preserve"> لايحمل على ال</w:t>
      </w:r>
      <w:r w:rsidR="00251CB6" w:rsidRPr="00FD211F">
        <w:rPr>
          <w:sz w:val="36"/>
          <w:szCs w:val="36"/>
          <w:rtl/>
        </w:rPr>
        <w:t xml:space="preserve">شيء </w:t>
      </w:r>
      <w:r w:rsidR="00510C50" w:rsidRPr="00FD211F">
        <w:rPr>
          <w:sz w:val="36"/>
          <w:szCs w:val="36"/>
          <w:rtl/>
        </w:rPr>
        <w:t>حقيق</w:t>
      </w:r>
      <w:r w:rsidR="00EC7EDF" w:rsidRPr="00FD211F">
        <w:rPr>
          <w:sz w:val="36"/>
          <w:szCs w:val="36"/>
          <w:rtl/>
        </w:rPr>
        <w:t xml:space="preserve">ة </w:t>
      </w:r>
      <w:r w:rsidR="00C43D4A" w:rsidRPr="00FD211F">
        <w:rPr>
          <w:sz w:val="36"/>
          <w:szCs w:val="36"/>
          <w:rtl/>
        </w:rPr>
        <w:t>فهو</w:t>
      </w:r>
      <w:r w:rsidR="00103C62" w:rsidRPr="00FD211F">
        <w:rPr>
          <w:sz w:val="36"/>
          <w:szCs w:val="36"/>
          <w:rtl/>
        </w:rPr>
        <w:t xml:space="preserve"> عرض</w:t>
      </w:r>
      <w:r w:rsidR="00C43D4A" w:rsidRPr="00FD211F">
        <w:rPr>
          <w:sz w:val="36"/>
          <w:szCs w:val="36"/>
          <w:rtl/>
        </w:rPr>
        <w:t xml:space="preserve"> غريب جزما</w:t>
      </w:r>
      <w:r w:rsidR="00603323" w:rsidRPr="00FD211F">
        <w:rPr>
          <w:sz w:val="36"/>
          <w:szCs w:val="36"/>
          <w:rtl/>
        </w:rPr>
        <w:t xml:space="preserve">، </w:t>
      </w:r>
      <w:r w:rsidR="00C43D4A" w:rsidRPr="00FD211F">
        <w:rPr>
          <w:sz w:val="36"/>
          <w:szCs w:val="36"/>
          <w:rtl/>
        </w:rPr>
        <w:t>كما في قولنا جالس السفين</w:t>
      </w:r>
      <w:r w:rsidR="00EC7EDF" w:rsidRPr="00FD211F">
        <w:rPr>
          <w:sz w:val="36"/>
          <w:szCs w:val="36"/>
          <w:rtl/>
        </w:rPr>
        <w:t xml:space="preserve">ة </w:t>
      </w:r>
      <w:r w:rsidR="00C43D4A" w:rsidRPr="00FD211F">
        <w:rPr>
          <w:sz w:val="36"/>
          <w:szCs w:val="36"/>
          <w:rtl/>
        </w:rPr>
        <w:t>متحرك</w:t>
      </w:r>
      <w:r w:rsidR="00603323" w:rsidRPr="00FD211F">
        <w:rPr>
          <w:sz w:val="36"/>
          <w:szCs w:val="36"/>
          <w:rtl/>
        </w:rPr>
        <w:t xml:space="preserve">، </w:t>
      </w:r>
      <w:r w:rsidR="00510C50" w:rsidRPr="00FD211F">
        <w:rPr>
          <w:sz w:val="36"/>
          <w:szCs w:val="36"/>
          <w:rtl/>
        </w:rPr>
        <w:t>وكذا قولنا الجسم بطئ او سريع حيث ان البطؤ والسرع</w:t>
      </w:r>
      <w:r w:rsidR="00EC7EDF" w:rsidRPr="00FD211F">
        <w:rPr>
          <w:sz w:val="36"/>
          <w:szCs w:val="36"/>
          <w:rtl/>
        </w:rPr>
        <w:t xml:space="preserve">ة </w:t>
      </w:r>
      <w:r w:rsidR="00510C50" w:rsidRPr="00FD211F">
        <w:rPr>
          <w:sz w:val="36"/>
          <w:szCs w:val="36"/>
          <w:rtl/>
        </w:rPr>
        <w:t>يعرضان الحرك</w:t>
      </w:r>
      <w:r w:rsidR="00EC7EDF" w:rsidRPr="00FD211F">
        <w:rPr>
          <w:sz w:val="36"/>
          <w:szCs w:val="36"/>
          <w:rtl/>
        </w:rPr>
        <w:t xml:space="preserve">ة </w:t>
      </w:r>
      <w:r w:rsidR="00510C50" w:rsidRPr="00FD211F">
        <w:rPr>
          <w:sz w:val="36"/>
          <w:szCs w:val="36"/>
          <w:rtl/>
        </w:rPr>
        <w:t>حقيق</w:t>
      </w:r>
      <w:r w:rsidR="00EC7EDF" w:rsidRPr="00FD211F">
        <w:rPr>
          <w:sz w:val="36"/>
          <w:szCs w:val="36"/>
          <w:rtl/>
        </w:rPr>
        <w:t xml:space="preserve">ة </w:t>
      </w:r>
      <w:r w:rsidR="00510C50" w:rsidRPr="00FD211F">
        <w:rPr>
          <w:sz w:val="36"/>
          <w:szCs w:val="36"/>
          <w:rtl/>
        </w:rPr>
        <w:t>والحرك</w:t>
      </w:r>
      <w:r w:rsidR="00EC7EDF" w:rsidRPr="00FD211F">
        <w:rPr>
          <w:sz w:val="36"/>
          <w:szCs w:val="36"/>
          <w:rtl/>
        </w:rPr>
        <w:t xml:space="preserve">ة </w:t>
      </w:r>
      <w:r w:rsidR="00510C50" w:rsidRPr="00FD211F">
        <w:rPr>
          <w:sz w:val="36"/>
          <w:szCs w:val="36"/>
          <w:rtl/>
        </w:rPr>
        <w:t>مغاير</w:t>
      </w:r>
      <w:r w:rsidR="00EC7EDF" w:rsidRPr="00FD211F">
        <w:rPr>
          <w:sz w:val="36"/>
          <w:szCs w:val="36"/>
          <w:rtl/>
        </w:rPr>
        <w:t xml:space="preserve">ة </w:t>
      </w:r>
      <w:r w:rsidR="00510C50" w:rsidRPr="00FD211F">
        <w:rPr>
          <w:sz w:val="36"/>
          <w:szCs w:val="36"/>
          <w:rtl/>
        </w:rPr>
        <w:t>ذاتا ووجودا مع الجسم</w:t>
      </w:r>
      <w:r w:rsidR="00603323" w:rsidRPr="00FD211F">
        <w:rPr>
          <w:sz w:val="36"/>
          <w:szCs w:val="36"/>
          <w:rtl/>
        </w:rPr>
        <w:t xml:space="preserve">، </w:t>
      </w:r>
      <w:r w:rsidR="00510C50" w:rsidRPr="00FD211F">
        <w:rPr>
          <w:sz w:val="36"/>
          <w:szCs w:val="36"/>
          <w:rtl/>
        </w:rPr>
        <w:t>وحيث ان ملاك صح</w:t>
      </w:r>
      <w:r w:rsidR="00EC7EDF" w:rsidRPr="00FD211F">
        <w:rPr>
          <w:sz w:val="36"/>
          <w:szCs w:val="36"/>
          <w:rtl/>
        </w:rPr>
        <w:t xml:space="preserve">ة </w:t>
      </w:r>
      <w:r w:rsidR="00510C50" w:rsidRPr="00FD211F">
        <w:rPr>
          <w:sz w:val="36"/>
          <w:szCs w:val="36"/>
          <w:rtl/>
        </w:rPr>
        <w:t>الحمل حقيق</w:t>
      </w:r>
      <w:r w:rsidR="00EC7EDF" w:rsidRPr="00FD211F">
        <w:rPr>
          <w:sz w:val="36"/>
          <w:szCs w:val="36"/>
          <w:rtl/>
        </w:rPr>
        <w:t xml:space="preserve">ة </w:t>
      </w:r>
      <w:r w:rsidR="00510C50" w:rsidRPr="00FD211F">
        <w:rPr>
          <w:sz w:val="36"/>
          <w:szCs w:val="36"/>
          <w:rtl/>
        </w:rPr>
        <w:t>هو الاتحاد في الوجود فلايصح حمل عوارض الحرك</w:t>
      </w:r>
      <w:r w:rsidR="00EC7EDF" w:rsidRPr="00FD211F">
        <w:rPr>
          <w:sz w:val="36"/>
          <w:szCs w:val="36"/>
          <w:rtl/>
        </w:rPr>
        <w:t xml:space="preserve">ة </w:t>
      </w:r>
      <w:r w:rsidR="00510C50" w:rsidRPr="00FD211F">
        <w:rPr>
          <w:sz w:val="36"/>
          <w:szCs w:val="36"/>
          <w:rtl/>
        </w:rPr>
        <w:t>على الجسم بعد عدم اتحادهما في الوجود.</w:t>
      </w:r>
    </w:p>
    <w:p w14:paraId="25D363CF" w14:textId="77777777" w:rsidR="00F57B39" w:rsidRPr="00FD211F" w:rsidRDefault="00F57B39" w:rsidP="009C58C8">
      <w:pPr>
        <w:ind w:left="0" w:firstLine="227"/>
        <w:jc w:val="both"/>
        <w:rPr>
          <w:sz w:val="36"/>
          <w:szCs w:val="36"/>
          <w:rtl/>
        </w:rPr>
      </w:pPr>
      <w:r w:rsidRPr="00FD211F">
        <w:rPr>
          <w:b/>
          <w:bCs/>
          <w:sz w:val="36"/>
          <w:szCs w:val="36"/>
          <w:rtl/>
        </w:rPr>
        <w:t>القسم الثاني</w:t>
      </w:r>
      <w:r w:rsidRPr="00FD211F">
        <w:rPr>
          <w:sz w:val="36"/>
          <w:szCs w:val="36"/>
          <w:rtl/>
        </w:rPr>
        <w:t>:</w:t>
      </w:r>
      <w:r w:rsidR="004B167A" w:rsidRPr="00FD211F">
        <w:rPr>
          <w:sz w:val="36"/>
          <w:szCs w:val="36"/>
          <w:rtl/>
        </w:rPr>
        <w:t xml:space="preserve">ما </w:t>
      </w:r>
      <w:r w:rsidRPr="00FD211F">
        <w:rPr>
          <w:sz w:val="36"/>
          <w:szCs w:val="36"/>
          <w:rtl/>
        </w:rPr>
        <w:t>يحمل على ال</w:t>
      </w:r>
      <w:r w:rsidR="00251CB6" w:rsidRPr="00FD211F">
        <w:rPr>
          <w:sz w:val="36"/>
          <w:szCs w:val="36"/>
          <w:rtl/>
        </w:rPr>
        <w:t xml:space="preserve">شيء </w:t>
      </w:r>
      <w:r w:rsidR="00510C50" w:rsidRPr="00FD211F">
        <w:rPr>
          <w:sz w:val="36"/>
          <w:szCs w:val="36"/>
          <w:rtl/>
        </w:rPr>
        <w:t>حقيق</w:t>
      </w:r>
      <w:r w:rsidR="00EC7EDF" w:rsidRPr="00FD211F">
        <w:rPr>
          <w:sz w:val="36"/>
          <w:szCs w:val="36"/>
          <w:rtl/>
        </w:rPr>
        <w:t xml:space="preserve">ة </w:t>
      </w:r>
      <w:r w:rsidR="0044299B" w:rsidRPr="00FD211F">
        <w:rPr>
          <w:sz w:val="36"/>
          <w:szCs w:val="36"/>
          <w:rtl/>
        </w:rPr>
        <w:t>ب</w:t>
      </w:r>
      <w:r w:rsidR="0068346B" w:rsidRPr="00FD211F">
        <w:rPr>
          <w:sz w:val="36"/>
          <w:szCs w:val="36"/>
          <w:rtl/>
        </w:rPr>
        <w:t>ان يتحد</w:t>
      </w:r>
      <w:r w:rsidR="00A5773B" w:rsidRPr="00FD211F">
        <w:rPr>
          <w:sz w:val="36"/>
          <w:szCs w:val="36"/>
          <w:rtl/>
        </w:rPr>
        <w:t xml:space="preserve"> </w:t>
      </w:r>
      <w:r w:rsidR="0068346B" w:rsidRPr="00FD211F">
        <w:rPr>
          <w:sz w:val="36"/>
          <w:szCs w:val="36"/>
          <w:rtl/>
        </w:rPr>
        <w:t>معه وجودا</w:t>
      </w:r>
      <w:r w:rsidR="00EC7EDF" w:rsidRPr="00FD211F">
        <w:rPr>
          <w:sz w:val="36"/>
          <w:szCs w:val="36"/>
          <w:rtl/>
        </w:rPr>
        <w:t>.</w:t>
      </w:r>
    </w:p>
    <w:p w14:paraId="39A8C39B" w14:textId="77777777" w:rsidR="00510C50" w:rsidRPr="00FD211F" w:rsidRDefault="001B2AB3" w:rsidP="009C58C8">
      <w:pPr>
        <w:ind w:left="0" w:firstLine="227"/>
        <w:jc w:val="both"/>
        <w:rPr>
          <w:sz w:val="36"/>
          <w:szCs w:val="36"/>
          <w:rtl/>
        </w:rPr>
      </w:pPr>
      <w:r w:rsidRPr="00FD211F">
        <w:rPr>
          <w:b/>
          <w:bCs/>
          <w:sz w:val="36"/>
          <w:szCs w:val="36"/>
          <w:rtl/>
        </w:rPr>
        <w:t>و</w:t>
      </w:r>
      <w:r w:rsidR="004B167A" w:rsidRPr="00FD211F">
        <w:rPr>
          <w:b/>
          <w:bCs/>
          <w:sz w:val="36"/>
          <w:szCs w:val="36"/>
          <w:rtl/>
        </w:rPr>
        <w:t xml:space="preserve">له </w:t>
      </w:r>
      <w:r w:rsidR="0044299B" w:rsidRPr="00FD211F">
        <w:rPr>
          <w:b/>
          <w:bCs/>
          <w:sz w:val="36"/>
          <w:szCs w:val="36"/>
          <w:rtl/>
        </w:rPr>
        <w:t>ثلاث صور</w:t>
      </w:r>
      <w:r w:rsidR="00603323" w:rsidRPr="00FD211F">
        <w:rPr>
          <w:sz w:val="36"/>
          <w:szCs w:val="36"/>
          <w:rtl/>
        </w:rPr>
        <w:t xml:space="preserve">، </w:t>
      </w:r>
      <w:r w:rsidR="000F774C" w:rsidRPr="00FD211F">
        <w:rPr>
          <w:sz w:val="36"/>
          <w:szCs w:val="36"/>
          <w:rtl/>
        </w:rPr>
        <w:t>ف</w:t>
      </w:r>
      <w:r w:rsidR="0044299B" w:rsidRPr="00FD211F">
        <w:rPr>
          <w:sz w:val="36"/>
          <w:szCs w:val="36"/>
          <w:rtl/>
        </w:rPr>
        <w:t xml:space="preserve">انه </w:t>
      </w:r>
      <w:r w:rsidR="000F774C" w:rsidRPr="00FD211F">
        <w:rPr>
          <w:sz w:val="36"/>
          <w:szCs w:val="36"/>
          <w:rtl/>
        </w:rPr>
        <w:t>قد يعرضه حقيق</w:t>
      </w:r>
      <w:r w:rsidR="00EC7EDF" w:rsidRPr="00FD211F">
        <w:rPr>
          <w:sz w:val="36"/>
          <w:szCs w:val="36"/>
          <w:rtl/>
        </w:rPr>
        <w:t xml:space="preserve">ة </w:t>
      </w:r>
      <w:r w:rsidR="00D34FA4" w:rsidRPr="00FD211F">
        <w:rPr>
          <w:sz w:val="36"/>
          <w:szCs w:val="36"/>
          <w:rtl/>
        </w:rPr>
        <w:t>استقلالا</w:t>
      </w:r>
      <w:r w:rsidR="00603323" w:rsidRPr="00FD211F">
        <w:rPr>
          <w:sz w:val="36"/>
          <w:szCs w:val="36"/>
          <w:rtl/>
        </w:rPr>
        <w:t xml:space="preserve">، </w:t>
      </w:r>
      <w:r w:rsidR="00D64FF1" w:rsidRPr="00FD211F">
        <w:rPr>
          <w:sz w:val="36"/>
          <w:szCs w:val="36"/>
          <w:rtl/>
        </w:rPr>
        <w:t>وقد يعرضه حقيق</w:t>
      </w:r>
      <w:r w:rsidR="00EC7EDF" w:rsidRPr="00FD211F">
        <w:rPr>
          <w:sz w:val="36"/>
          <w:szCs w:val="36"/>
          <w:rtl/>
        </w:rPr>
        <w:t xml:space="preserve">ة </w:t>
      </w:r>
      <w:r w:rsidR="00D64FF1" w:rsidRPr="00FD211F">
        <w:rPr>
          <w:sz w:val="36"/>
          <w:szCs w:val="36"/>
          <w:rtl/>
        </w:rPr>
        <w:t>ضمنا لااستقلالا</w:t>
      </w:r>
      <w:r w:rsidR="00603323" w:rsidRPr="00FD211F">
        <w:rPr>
          <w:sz w:val="36"/>
          <w:szCs w:val="36"/>
          <w:rtl/>
        </w:rPr>
        <w:t xml:space="preserve">، </w:t>
      </w:r>
      <w:r w:rsidR="000F774C" w:rsidRPr="00FD211F">
        <w:rPr>
          <w:sz w:val="36"/>
          <w:szCs w:val="36"/>
          <w:rtl/>
        </w:rPr>
        <w:t>وقد لايعرضه حقيق</w:t>
      </w:r>
      <w:r w:rsidR="00EC7EDF" w:rsidRPr="00FD211F">
        <w:rPr>
          <w:sz w:val="36"/>
          <w:szCs w:val="36"/>
          <w:rtl/>
        </w:rPr>
        <w:t xml:space="preserve">ة </w:t>
      </w:r>
      <w:r w:rsidRPr="00FD211F">
        <w:rPr>
          <w:sz w:val="36"/>
          <w:szCs w:val="36"/>
          <w:rtl/>
        </w:rPr>
        <w:t>مطلقا</w:t>
      </w:r>
      <w:r w:rsidR="000F774C" w:rsidRPr="00FD211F">
        <w:rPr>
          <w:sz w:val="36"/>
          <w:szCs w:val="36"/>
          <w:rtl/>
        </w:rPr>
        <w:t xml:space="preserve"> لاضمنا ولااستقلالا</w:t>
      </w:r>
      <w:r w:rsidR="00510C50" w:rsidRPr="00FD211F">
        <w:rPr>
          <w:sz w:val="36"/>
          <w:szCs w:val="36"/>
          <w:rtl/>
        </w:rPr>
        <w:t>.</w:t>
      </w:r>
    </w:p>
    <w:p w14:paraId="1A64EF1F" w14:textId="77777777" w:rsidR="00D34FA4" w:rsidRPr="00FD211F" w:rsidRDefault="00F57B39" w:rsidP="009C58C8">
      <w:pPr>
        <w:ind w:left="0" w:firstLine="227"/>
        <w:jc w:val="both"/>
        <w:rPr>
          <w:sz w:val="36"/>
          <w:szCs w:val="36"/>
          <w:rtl/>
        </w:rPr>
      </w:pPr>
      <w:r w:rsidRPr="00FD211F">
        <w:rPr>
          <w:b/>
          <w:bCs/>
          <w:sz w:val="36"/>
          <w:szCs w:val="36"/>
          <w:rtl/>
        </w:rPr>
        <w:t>اما</w:t>
      </w:r>
      <w:r w:rsidR="0068346B" w:rsidRPr="00FD211F">
        <w:rPr>
          <w:b/>
          <w:bCs/>
          <w:sz w:val="36"/>
          <w:szCs w:val="36"/>
          <w:rtl/>
        </w:rPr>
        <w:t>الصور</w:t>
      </w:r>
      <w:r w:rsidR="00EC7EDF" w:rsidRPr="00FD211F">
        <w:rPr>
          <w:b/>
          <w:bCs/>
          <w:sz w:val="36"/>
          <w:szCs w:val="36"/>
          <w:rtl/>
        </w:rPr>
        <w:t xml:space="preserve">ة </w:t>
      </w:r>
      <w:r w:rsidR="0068346B" w:rsidRPr="00FD211F">
        <w:rPr>
          <w:b/>
          <w:bCs/>
          <w:sz w:val="36"/>
          <w:szCs w:val="36"/>
          <w:rtl/>
        </w:rPr>
        <w:t>الاولى</w:t>
      </w:r>
      <w:r w:rsidR="0068346B" w:rsidRPr="00FD211F">
        <w:rPr>
          <w:sz w:val="36"/>
          <w:szCs w:val="36"/>
          <w:rtl/>
        </w:rPr>
        <w:t xml:space="preserve"> -وهو</w:t>
      </w:r>
      <w:r w:rsidR="00510C50" w:rsidRPr="00FD211F">
        <w:rPr>
          <w:sz w:val="36"/>
          <w:szCs w:val="36"/>
          <w:rtl/>
        </w:rPr>
        <w:t xml:space="preserve"> ما يعرض ال</w:t>
      </w:r>
      <w:r w:rsidR="008D7B3D" w:rsidRPr="00FD211F">
        <w:rPr>
          <w:sz w:val="36"/>
          <w:szCs w:val="36"/>
          <w:rtl/>
        </w:rPr>
        <w:t xml:space="preserve">شيء </w:t>
      </w:r>
      <w:r w:rsidR="00510C50" w:rsidRPr="00FD211F">
        <w:rPr>
          <w:sz w:val="36"/>
          <w:szCs w:val="36"/>
          <w:rtl/>
        </w:rPr>
        <w:t>حقيق</w:t>
      </w:r>
      <w:r w:rsidR="00EC7EDF" w:rsidRPr="00FD211F">
        <w:rPr>
          <w:sz w:val="36"/>
          <w:szCs w:val="36"/>
          <w:rtl/>
        </w:rPr>
        <w:t xml:space="preserve">ة </w:t>
      </w:r>
      <w:r w:rsidR="00510C50" w:rsidRPr="00FD211F">
        <w:rPr>
          <w:sz w:val="36"/>
          <w:szCs w:val="36"/>
          <w:rtl/>
        </w:rPr>
        <w:t>استقلالا</w:t>
      </w:r>
      <w:r w:rsidR="0068346B" w:rsidRPr="00FD211F">
        <w:rPr>
          <w:sz w:val="36"/>
          <w:szCs w:val="36"/>
          <w:rtl/>
        </w:rPr>
        <w:t>-</w:t>
      </w:r>
      <w:r w:rsidR="00510C50" w:rsidRPr="00FD211F">
        <w:rPr>
          <w:sz w:val="36"/>
          <w:szCs w:val="36"/>
          <w:rtl/>
        </w:rPr>
        <w:t xml:space="preserve"> </w:t>
      </w:r>
      <w:r w:rsidRPr="00FD211F">
        <w:rPr>
          <w:b/>
          <w:bCs/>
          <w:sz w:val="36"/>
          <w:szCs w:val="36"/>
          <w:rtl/>
        </w:rPr>
        <w:t>ف</w:t>
      </w:r>
      <w:r w:rsidR="00D34FA4" w:rsidRPr="00FD211F">
        <w:rPr>
          <w:b/>
          <w:bCs/>
          <w:sz w:val="36"/>
          <w:szCs w:val="36"/>
          <w:rtl/>
        </w:rPr>
        <w:t>له</w:t>
      </w:r>
      <w:r w:rsidR="0068346B" w:rsidRPr="00FD211F">
        <w:rPr>
          <w:b/>
          <w:bCs/>
          <w:sz w:val="36"/>
          <w:szCs w:val="36"/>
          <w:rtl/>
        </w:rPr>
        <w:t>ا</w:t>
      </w:r>
      <w:r w:rsidR="00D34FA4" w:rsidRPr="00FD211F">
        <w:rPr>
          <w:b/>
          <w:bCs/>
          <w:sz w:val="36"/>
          <w:szCs w:val="36"/>
          <w:rtl/>
        </w:rPr>
        <w:t xml:space="preserve"> ثلاث</w:t>
      </w:r>
      <w:r w:rsidR="00EC7EDF" w:rsidRPr="00FD211F">
        <w:rPr>
          <w:b/>
          <w:bCs/>
          <w:sz w:val="36"/>
          <w:szCs w:val="36"/>
          <w:rtl/>
        </w:rPr>
        <w:t xml:space="preserve">ة </w:t>
      </w:r>
      <w:r w:rsidRPr="00FD211F">
        <w:rPr>
          <w:b/>
          <w:bCs/>
          <w:sz w:val="36"/>
          <w:szCs w:val="36"/>
          <w:rtl/>
        </w:rPr>
        <w:t>فروض</w:t>
      </w:r>
      <w:r w:rsidR="00D34FA4" w:rsidRPr="00FD211F">
        <w:rPr>
          <w:sz w:val="36"/>
          <w:szCs w:val="36"/>
          <w:rtl/>
        </w:rPr>
        <w:t>:</w:t>
      </w:r>
    </w:p>
    <w:p w14:paraId="2D363BA0" w14:textId="77777777" w:rsidR="00790209" w:rsidRPr="00FD211F" w:rsidRDefault="00F57B39" w:rsidP="009C58C8">
      <w:pPr>
        <w:ind w:left="0" w:firstLine="227"/>
        <w:jc w:val="both"/>
        <w:rPr>
          <w:sz w:val="36"/>
          <w:szCs w:val="36"/>
          <w:rtl/>
        </w:rPr>
      </w:pPr>
      <w:r w:rsidRPr="00FD211F">
        <w:rPr>
          <w:b/>
          <w:bCs/>
          <w:sz w:val="36"/>
          <w:szCs w:val="36"/>
          <w:rtl/>
        </w:rPr>
        <w:t>الفرض الاول</w:t>
      </w:r>
      <w:r w:rsidR="00EC7EDF" w:rsidRPr="00FD211F">
        <w:rPr>
          <w:sz w:val="36"/>
          <w:szCs w:val="36"/>
          <w:rtl/>
        </w:rPr>
        <w:t>:</w:t>
      </w:r>
      <w:r w:rsidR="00D34FA4" w:rsidRPr="00FD211F">
        <w:rPr>
          <w:sz w:val="36"/>
          <w:szCs w:val="36"/>
          <w:rtl/>
        </w:rPr>
        <w:t xml:space="preserve"> ان يكون</w:t>
      </w:r>
      <w:r w:rsidR="00790209" w:rsidRPr="00FD211F">
        <w:rPr>
          <w:sz w:val="36"/>
          <w:szCs w:val="36"/>
          <w:rtl/>
        </w:rPr>
        <w:t xml:space="preserve"> هذا العرض</w:t>
      </w:r>
      <w:r w:rsidR="00432F1A" w:rsidRPr="00FD211F">
        <w:rPr>
          <w:sz w:val="36"/>
          <w:szCs w:val="36"/>
          <w:rtl/>
        </w:rPr>
        <w:t xml:space="preserve"> منتزعا عن ذات ال</w:t>
      </w:r>
      <w:r w:rsidR="008D7B3D" w:rsidRPr="00FD211F">
        <w:rPr>
          <w:sz w:val="36"/>
          <w:szCs w:val="36"/>
          <w:rtl/>
        </w:rPr>
        <w:t xml:space="preserve">شيء </w:t>
      </w:r>
      <w:r w:rsidR="00432F1A" w:rsidRPr="00FD211F">
        <w:rPr>
          <w:sz w:val="36"/>
          <w:szCs w:val="36"/>
          <w:rtl/>
        </w:rPr>
        <w:t>بلا</w:t>
      </w:r>
      <w:r w:rsidR="00EE3784" w:rsidRPr="00FD211F">
        <w:rPr>
          <w:sz w:val="36"/>
          <w:szCs w:val="36"/>
          <w:rtl/>
        </w:rPr>
        <w:t xml:space="preserve">لحاظ </w:t>
      </w:r>
      <w:r w:rsidR="00432F1A" w:rsidRPr="00FD211F">
        <w:rPr>
          <w:sz w:val="36"/>
          <w:szCs w:val="36"/>
          <w:rtl/>
        </w:rPr>
        <w:t>جه</w:t>
      </w:r>
      <w:r w:rsidR="00EC7EDF" w:rsidRPr="00FD211F">
        <w:rPr>
          <w:sz w:val="36"/>
          <w:szCs w:val="36"/>
          <w:rtl/>
        </w:rPr>
        <w:t xml:space="preserve">ة </w:t>
      </w:r>
      <w:r w:rsidR="00432F1A" w:rsidRPr="00FD211F">
        <w:rPr>
          <w:sz w:val="36"/>
          <w:szCs w:val="36"/>
          <w:rtl/>
        </w:rPr>
        <w:t>خارجي</w:t>
      </w:r>
      <w:r w:rsidR="00EC7EDF" w:rsidRPr="00FD211F">
        <w:rPr>
          <w:sz w:val="36"/>
          <w:szCs w:val="36"/>
          <w:rtl/>
        </w:rPr>
        <w:t xml:space="preserve">ة </w:t>
      </w:r>
      <w:r w:rsidR="00432F1A" w:rsidRPr="00FD211F">
        <w:rPr>
          <w:sz w:val="36"/>
          <w:szCs w:val="36"/>
          <w:rtl/>
        </w:rPr>
        <w:t>زائد</w:t>
      </w:r>
      <w:r w:rsidR="00EC7EDF" w:rsidRPr="00FD211F">
        <w:rPr>
          <w:sz w:val="36"/>
          <w:szCs w:val="36"/>
          <w:rtl/>
        </w:rPr>
        <w:t xml:space="preserve">ة </w:t>
      </w:r>
      <w:r w:rsidR="00432F1A" w:rsidRPr="00FD211F">
        <w:rPr>
          <w:sz w:val="36"/>
          <w:szCs w:val="36"/>
          <w:rtl/>
        </w:rPr>
        <w:t>عنها كما في قولنا البياض ابيض</w:t>
      </w:r>
      <w:r w:rsidR="009C58C8" w:rsidRPr="00FD211F">
        <w:rPr>
          <w:rStyle w:val="a6"/>
          <w:sz w:val="36"/>
          <w:szCs w:val="36"/>
          <w:rtl/>
        </w:rPr>
        <w:t>(</w:t>
      </w:r>
      <w:r w:rsidR="009C58C8" w:rsidRPr="00FD211F">
        <w:rPr>
          <w:rStyle w:val="a6"/>
          <w:sz w:val="36"/>
          <w:szCs w:val="36"/>
          <w:rtl/>
        </w:rPr>
        <w:footnoteReference w:id="74"/>
      </w:r>
      <w:r w:rsidR="009C58C8" w:rsidRPr="00FD211F">
        <w:rPr>
          <w:rStyle w:val="a6"/>
          <w:sz w:val="36"/>
          <w:szCs w:val="36"/>
          <w:rtl/>
        </w:rPr>
        <w:t>)</w:t>
      </w:r>
      <w:r w:rsidR="00790209" w:rsidRPr="00FD211F">
        <w:rPr>
          <w:sz w:val="36"/>
          <w:szCs w:val="36"/>
          <w:rtl/>
        </w:rPr>
        <w:t>.</w:t>
      </w:r>
    </w:p>
    <w:p w14:paraId="149A27EB" w14:textId="77777777" w:rsidR="00561510" w:rsidRPr="00FD211F" w:rsidRDefault="00F57B39" w:rsidP="009C58C8">
      <w:pPr>
        <w:ind w:left="0" w:firstLine="227"/>
        <w:jc w:val="both"/>
        <w:rPr>
          <w:sz w:val="36"/>
          <w:szCs w:val="36"/>
          <w:rtl/>
        </w:rPr>
      </w:pPr>
      <w:r w:rsidRPr="00FD211F">
        <w:rPr>
          <w:b/>
          <w:bCs/>
          <w:sz w:val="36"/>
          <w:szCs w:val="36"/>
          <w:rtl/>
        </w:rPr>
        <w:t>الفرض الثاني</w:t>
      </w:r>
      <w:r w:rsidRPr="00FD211F">
        <w:rPr>
          <w:sz w:val="36"/>
          <w:szCs w:val="36"/>
          <w:rtl/>
        </w:rPr>
        <w:t>:</w:t>
      </w:r>
      <w:r w:rsidR="00790209" w:rsidRPr="00FD211F">
        <w:rPr>
          <w:sz w:val="36"/>
          <w:szCs w:val="36"/>
          <w:rtl/>
        </w:rPr>
        <w:t xml:space="preserve"> ان يكون</w:t>
      </w:r>
      <w:r w:rsidR="00026FD4" w:rsidRPr="00FD211F">
        <w:rPr>
          <w:sz w:val="36"/>
          <w:szCs w:val="36"/>
          <w:rtl/>
        </w:rPr>
        <w:t xml:space="preserve"> هذا العرض منتزعا من جه</w:t>
      </w:r>
      <w:r w:rsidR="00EC7EDF" w:rsidRPr="00FD211F">
        <w:rPr>
          <w:sz w:val="36"/>
          <w:szCs w:val="36"/>
          <w:rtl/>
        </w:rPr>
        <w:t xml:space="preserve">ة </w:t>
      </w:r>
      <w:r w:rsidR="00026FD4" w:rsidRPr="00FD211F">
        <w:rPr>
          <w:sz w:val="36"/>
          <w:szCs w:val="36"/>
          <w:rtl/>
        </w:rPr>
        <w:t>خارج</w:t>
      </w:r>
      <w:r w:rsidR="00EC7EDF" w:rsidRPr="00FD211F">
        <w:rPr>
          <w:sz w:val="36"/>
          <w:szCs w:val="36"/>
          <w:rtl/>
        </w:rPr>
        <w:t xml:space="preserve">ة </w:t>
      </w:r>
      <w:r w:rsidR="00026FD4" w:rsidRPr="00FD211F">
        <w:rPr>
          <w:sz w:val="36"/>
          <w:szCs w:val="36"/>
          <w:rtl/>
        </w:rPr>
        <w:t>عن ذات ال</w:t>
      </w:r>
      <w:r w:rsidR="008D7B3D" w:rsidRPr="00FD211F">
        <w:rPr>
          <w:sz w:val="36"/>
          <w:szCs w:val="36"/>
          <w:rtl/>
        </w:rPr>
        <w:t xml:space="preserve">شيء </w:t>
      </w:r>
      <w:r w:rsidR="00C43D4A" w:rsidRPr="00FD211F">
        <w:rPr>
          <w:sz w:val="36"/>
          <w:szCs w:val="36"/>
          <w:rtl/>
        </w:rPr>
        <w:t>ولكن يعرضه باقتضاء ذاته أي بلاواسط</w:t>
      </w:r>
      <w:r w:rsidR="00EC7EDF" w:rsidRPr="00FD211F">
        <w:rPr>
          <w:sz w:val="36"/>
          <w:szCs w:val="36"/>
          <w:rtl/>
        </w:rPr>
        <w:t xml:space="preserve">ة </w:t>
      </w:r>
      <w:r w:rsidR="00C43D4A" w:rsidRPr="00FD211F">
        <w:rPr>
          <w:sz w:val="36"/>
          <w:szCs w:val="36"/>
          <w:rtl/>
        </w:rPr>
        <w:t>في الثبوت</w:t>
      </w:r>
      <w:r w:rsidR="00E20541" w:rsidRPr="00FD211F">
        <w:rPr>
          <w:sz w:val="36"/>
          <w:szCs w:val="36"/>
          <w:rtl/>
        </w:rPr>
        <w:t xml:space="preserve"> كما في قولنا العقل مدرك والانسان ضاحك بالقو</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75"/>
      </w:r>
      <w:r w:rsidR="009C58C8" w:rsidRPr="00FD211F">
        <w:rPr>
          <w:rStyle w:val="a6"/>
          <w:sz w:val="36"/>
          <w:szCs w:val="36"/>
          <w:rtl/>
        </w:rPr>
        <w:t>)</w:t>
      </w:r>
      <w:r w:rsidR="00561510" w:rsidRPr="00FD211F">
        <w:rPr>
          <w:sz w:val="36"/>
          <w:szCs w:val="36"/>
          <w:rtl/>
        </w:rPr>
        <w:t>.</w:t>
      </w:r>
    </w:p>
    <w:p w14:paraId="78FA1E16" w14:textId="77777777" w:rsidR="00C43D4A" w:rsidRPr="00FD211F" w:rsidRDefault="00F57B39" w:rsidP="009C58C8">
      <w:pPr>
        <w:ind w:left="0" w:firstLine="227"/>
        <w:jc w:val="both"/>
        <w:rPr>
          <w:sz w:val="36"/>
          <w:szCs w:val="36"/>
          <w:rtl/>
        </w:rPr>
      </w:pPr>
      <w:r w:rsidRPr="00FD211F">
        <w:rPr>
          <w:b/>
          <w:bCs/>
          <w:sz w:val="36"/>
          <w:szCs w:val="36"/>
          <w:rtl/>
        </w:rPr>
        <w:t>الفرض الثالث</w:t>
      </w:r>
      <w:r w:rsidRPr="00FD211F">
        <w:rPr>
          <w:sz w:val="36"/>
          <w:szCs w:val="36"/>
          <w:rtl/>
        </w:rPr>
        <w:t>:</w:t>
      </w:r>
      <w:r w:rsidR="00561510" w:rsidRPr="00FD211F">
        <w:rPr>
          <w:sz w:val="36"/>
          <w:szCs w:val="36"/>
          <w:rtl/>
        </w:rPr>
        <w:t xml:space="preserve"> ان يكون هذا العرض خارجا من ذات ال</w:t>
      </w:r>
      <w:r w:rsidR="008D7B3D" w:rsidRPr="00FD211F">
        <w:rPr>
          <w:sz w:val="36"/>
          <w:szCs w:val="36"/>
          <w:rtl/>
        </w:rPr>
        <w:t xml:space="preserve">شيء </w:t>
      </w:r>
      <w:r w:rsidR="00561510" w:rsidRPr="00FD211F">
        <w:rPr>
          <w:sz w:val="36"/>
          <w:szCs w:val="36"/>
          <w:rtl/>
        </w:rPr>
        <w:t>ولايكون عروضه له باقتضاء ذاته بل</w:t>
      </w:r>
      <w:r w:rsidR="00C43D4A" w:rsidRPr="00FD211F">
        <w:rPr>
          <w:sz w:val="36"/>
          <w:szCs w:val="36"/>
          <w:rtl/>
        </w:rPr>
        <w:t xml:space="preserve"> بواسط</w:t>
      </w:r>
      <w:r w:rsidR="00EC7EDF" w:rsidRPr="00FD211F">
        <w:rPr>
          <w:sz w:val="36"/>
          <w:szCs w:val="36"/>
          <w:rtl/>
        </w:rPr>
        <w:t xml:space="preserve">ة </w:t>
      </w:r>
      <w:r w:rsidR="00C43D4A" w:rsidRPr="00FD211F">
        <w:rPr>
          <w:sz w:val="36"/>
          <w:szCs w:val="36"/>
          <w:rtl/>
        </w:rPr>
        <w:t>في الثبوت</w:t>
      </w:r>
      <w:r w:rsidR="00603323" w:rsidRPr="00FD211F">
        <w:rPr>
          <w:sz w:val="36"/>
          <w:szCs w:val="36"/>
          <w:rtl/>
        </w:rPr>
        <w:t xml:space="preserve">، </w:t>
      </w:r>
      <w:r w:rsidR="00C43D4A" w:rsidRPr="00FD211F">
        <w:rPr>
          <w:sz w:val="36"/>
          <w:szCs w:val="36"/>
          <w:rtl/>
        </w:rPr>
        <w:t>ك</w:t>
      </w:r>
      <w:r w:rsidR="0081496C" w:rsidRPr="00FD211F">
        <w:rPr>
          <w:sz w:val="36"/>
          <w:szCs w:val="36"/>
          <w:rtl/>
        </w:rPr>
        <w:t>ثبوت الحرار</w:t>
      </w:r>
      <w:r w:rsidR="00EC7EDF" w:rsidRPr="00FD211F">
        <w:rPr>
          <w:sz w:val="36"/>
          <w:szCs w:val="36"/>
          <w:rtl/>
        </w:rPr>
        <w:t xml:space="preserve">ة </w:t>
      </w:r>
      <w:r w:rsidR="0081496C" w:rsidRPr="00FD211F">
        <w:rPr>
          <w:sz w:val="36"/>
          <w:szCs w:val="36"/>
          <w:rtl/>
        </w:rPr>
        <w:t>للماء بواسط</w:t>
      </w:r>
      <w:r w:rsidR="00EC7EDF" w:rsidRPr="00FD211F">
        <w:rPr>
          <w:sz w:val="36"/>
          <w:szCs w:val="36"/>
          <w:rtl/>
        </w:rPr>
        <w:t xml:space="preserve">ة </w:t>
      </w:r>
      <w:r w:rsidR="0081496C" w:rsidRPr="00FD211F">
        <w:rPr>
          <w:sz w:val="36"/>
          <w:szCs w:val="36"/>
          <w:rtl/>
        </w:rPr>
        <w:t>النار</w:t>
      </w:r>
      <w:r w:rsidR="00603323" w:rsidRPr="00FD211F">
        <w:rPr>
          <w:sz w:val="36"/>
          <w:szCs w:val="36"/>
          <w:rtl/>
        </w:rPr>
        <w:t xml:space="preserve">، </w:t>
      </w:r>
      <w:r w:rsidR="00D57C0E" w:rsidRPr="00FD211F">
        <w:rPr>
          <w:sz w:val="36"/>
          <w:szCs w:val="36"/>
          <w:rtl/>
        </w:rPr>
        <w:t>حيث تكون النار سببا لعروض الحرار</w:t>
      </w:r>
      <w:r w:rsidR="00EC7EDF" w:rsidRPr="00FD211F">
        <w:rPr>
          <w:sz w:val="36"/>
          <w:szCs w:val="36"/>
          <w:rtl/>
        </w:rPr>
        <w:t xml:space="preserve">ة </w:t>
      </w:r>
      <w:r w:rsidR="00D64FF1" w:rsidRPr="00FD211F">
        <w:rPr>
          <w:sz w:val="36"/>
          <w:szCs w:val="36"/>
          <w:rtl/>
        </w:rPr>
        <w:t>على الماء مستقلا من دون ان تكون النار بنفسها معروض</w:t>
      </w:r>
      <w:r w:rsidR="00EC7EDF" w:rsidRPr="00FD211F">
        <w:rPr>
          <w:sz w:val="36"/>
          <w:szCs w:val="36"/>
          <w:rtl/>
        </w:rPr>
        <w:t xml:space="preserve">ة </w:t>
      </w:r>
      <w:r w:rsidR="00D64FF1" w:rsidRPr="00FD211F">
        <w:rPr>
          <w:sz w:val="36"/>
          <w:szCs w:val="36"/>
          <w:rtl/>
        </w:rPr>
        <w:t>لهذه الحرار</w:t>
      </w:r>
      <w:r w:rsidR="00EC7EDF" w:rsidRPr="00FD211F">
        <w:rPr>
          <w:sz w:val="36"/>
          <w:szCs w:val="36"/>
          <w:rtl/>
        </w:rPr>
        <w:t xml:space="preserve">ة </w:t>
      </w:r>
      <w:r w:rsidR="00D64FF1" w:rsidRPr="00FD211F">
        <w:rPr>
          <w:sz w:val="36"/>
          <w:szCs w:val="36"/>
          <w:rtl/>
        </w:rPr>
        <w:t>الثابت</w:t>
      </w:r>
      <w:r w:rsidR="00EC7EDF" w:rsidRPr="00FD211F">
        <w:rPr>
          <w:sz w:val="36"/>
          <w:szCs w:val="36"/>
          <w:rtl/>
        </w:rPr>
        <w:t xml:space="preserve">ة </w:t>
      </w:r>
      <w:r w:rsidR="00D64FF1" w:rsidRPr="00FD211F">
        <w:rPr>
          <w:sz w:val="36"/>
          <w:szCs w:val="36"/>
          <w:rtl/>
        </w:rPr>
        <w:t>للماء</w:t>
      </w:r>
      <w:r w:rsidR="0081496C" w:rsidRPr="00FD211F">
        <w:rPr>
          <w:sz w:val="36"/>
          <w:szCs w:val="36"/>
          <w:rtl/>
        </w:rPr>
        <w:t>.</w:t>
      </w:r>
    </w:p>
    <w:p w14:paraId="2E612948" w14:textId="77777777" w:rsidR="00C43D4A" w:rsidRPr="00FD211F" w:rsidRDefault="00F57B39" w:rsidP="009C58C8">
      <w:pPr>
        <w:ind w:left="0" w:firstLine="227"/>
        <w:jc w:val="both"/>
        <w:rPr>
          <w:sz w:val="36"/>
          <w:szCs w:val="36"/>
          <w:rtl/>
        </w:rPr>
      </w:pPr>
      <w:r w:rsidRPr="00FD211F">
        <w:rPr>
          <w:b/>
          <w:bCs/>
          <w:sz w:val="36"/>
          <w:szCs w:val="36"/>
          <w:rtl/>
        </w:rPr>
        <w:t>واما</w:t>
      </w:r>
      <w:r w:rsidR="00543358" w:rsidRPr="00FD211F">
        <w:rPr>
          <w:b/>
          <w:bCs/>
          <w:sz w:val="36"/>
          <w:szCs w:val="36"/>
          <w:rtl/>
        </w:rPr>
        <w:t>ا</w:t>
      </w:r>
      <w:r w:rsidR="00EA2C2A" w:rsidRPr="00FD211F">
        <w:rPr>
          <w:b/>
          <w:bCs/>
          <w:sz w:val="36"/>
          <w:szCs w:val="36"/>
          <w:rtl/>
        </w:rPr>
        <w:t>لصور</w:t>
      </w:r>
      <w:r w:rsidR="00EC7EDF" w:rsidRPr="00FD211F">
        <w:rPr>
          <w:b/>
          <w:bCs/>
          <w:sz w:val="36"/>
          <w:szCs w:val="36"/>
          <w:rtl/>
        </w:rPr>
        <w:t xml:space="preserve">ة </w:t>
      </w:r>
      <w:r w:rsidR="00EA2C2A" w:rsidRPr="00FD211F">
        <w:rPr>
          <w:b/>
          <w:bCs/>
          <w:sz w:val="36"/>
          <w:szCs w:val="36"/>
          <w:rtl/>
        </w:rPr>
        <w:t>الثاني</w:t>
      </w:r>
      <w:r w:rsidR="00EC7EDF" w:rsidRPr="00FD211F">
        <w:rPr>
          <w:b/>
          <w:bCs/>
          <w:sz w:val="36"/>
          <w:szCs w:val="36"/>
          <w:rtl/>
        </w:rPr>
        <w:t xml:space="preserve">ة </w:t>
      </w:r>
      <w:r w:rsidR="00EA2C2A" w:rsidRPr="00FD211F">
        <w:rPr>
          <w:sz w:val="36"/>
          <w:szCs w:val="36"/>
          <w:rtl/>
        </w:rPr>
        <w:t>-وهي ما</w:t>
      </w:r>
      <w:r w:rsidR="00543358" w:rsidRPr="00FD211F">
        <w:rPr>
          <w:sz w:val="36"/>
          <w:szCs w:val="36"/>
          <w:rtl/>
        </w:rPr>
        <w:t xml:space="preserve"> </w:t>
      </w:r>
      <w:r w:rsidR="009F2206" w:rsidRPr="00FD211F">
        <w:rPr>
          <w:sz w:val="36"/>
          <w:szCs w:val="36"/>
          <w:rtl/>
        </w:rPr>
        <w:t>يعرض ال</w:t>
      </w:r>
      <w:r w:rsidR="008D7B3D" w:rsidRPr="00FD211F">
        <w:rPr>
          <w:sz w:val="36"/>
          <w:szCs w:val="36"/>
          <w:rtl/>
        </w:rPr>
        <w:t xml:space="preserve">شيء </w:t>
      </w:r>
      <w:r w:rsidR="001B10BC" w:rsidRPr="00FD211F">
        <w:rPr>
          <w:sz w:val="36"/>
          <w:szCs w:val="36"/>
          <w:rtl/>
        </w:rPr>
        <w:t>حقيق</w:t>
      </w:r>
      <w:r w:rsidR="00EC7EDF" w:rsidRPr="00FD211F">
        <w:rPr>
          <w:sz w:val="36"/>
          <w:szCs w:val="36"/>
          <w:rtl/>
        </w:rPr>
        <w:t xml:space="preserve">ة </w:t>
      </w:r>
      <w:r w:rsidR="00543358" w:rsidRPr="00FD211F">
        <w:rPr>
          <w:sz w:val="36"/>
          <w:szCs w:val="36"/>
          <w:rtl/>
        </w:rPr>
        <w:t>ضمنا لااستقلالا</w:t>
      </w:r>
      <w:r w:rsidR="00EA2C2A" w:rsidRPr="00FD211F">
        <w:rPr>
          <w:sz w:val="36"/>
          <w:szCs w:val="36"/>
          <w:rtl/>
        </w:rPr>
        <w:t>- فموردها</w:t>
      </w:r>
      <w:r w:rsidR="009F2206" w:rsidRPr="00FD211F">
        <w:rPr>
          <w:sz w:val="36"/>
          <w:szCs w:val="36"/>
          <w:rtl/>
        </w:rPr>
        <w:t xml:space="preserve"> ما اذا كان</w:t>
      </w:r>
      <w:r w:rsidR="00EE3784" w:rsidRPr="00FD211F">
        <w:rPr>
          <w:sz w:val="36"/>
          <w:szCs w:val="36"/>
          <w:rtl/>
        </w:rPr>
        <w:t xml:space="preserve"> عروض</w:t>
      </w:r>
      <w:r w:rsidR="009F2206" w:rsidRPr="00FD211F">
        <w:rPr>
          <w:sz w:val="36"/>
          <w:szCs w:val="36"/>
          <w:rtl/>
        </w:rPr>
        <w:t xml:space="preserve"> العرض</w:t>
      </w:r>
      <w:r w:rsidR="00EE3784" w:rsidRPr="00FD211F">
        <w:rPr>
          <w:sz w:val="36"/>
          <w:szCs w:val="36"/>
          <w:rtl/>
        </w:rPr>
        <w:t xml:space="preserve"> لل</w:t>
      </w:r>
      <w:r w:rsidR="008D7B3D" w:rsidRPr="00FD211F">
        <w:rPr>
          <w:sz w:val="36"/>
          <w:szCs w:val="36"/>
          <w:rtl/>
        </w:rPr>
        <w:t xml:space="preserve">شيء </w:t>
      </w:r>
      <w:r w:rsidR="009F2206" w:rsidRPr="00FD211F">
        <w:rPr>
          <w:sz w:val="36"/>
          <w:szCs w:val="36"/>
          <w:rtl/>
        </w:rPr>
        <w:t>بواسط</w:t>
      </w:r>
      <w:r w:rsidR="00EC7EDF" w:rsidRPr="00FD211F">
        <w:rPr>
          <w:sz w:val="36"/>
          <w:szCs w:val="36"/>
          <w:rtl/>
        </w:rPr>
        <w:t xml:space="preserve">ة </w:t>
      </w:r>
      <w:r w:rsidR="00BB440B" w:rsidRPr="00FD211F">
        <w:rPr>
          <w:sz w:val="36"/>
          <w:szCs w:val="36"/>
          <w:rtl/>
        </w:rPr>
        <w:t>و</w:t>
      </w:r>
      <w:r w:rsidR="00EA2C2A" w:rsidRPr="00FD211F">
        <w:rPr>
          <w:sz w:val="36"/>
          <w:szCs w:val="36"/>
          <w:rtl/>
        </w:rPr>
        <w:t>كا</w:t>
      </w:r>
      <w:r w:rsidR="009F2206" w:rsidRPr="00FD211F">
        <w:rPr>
          <w:sz w:val="36"/>
          <w:szCs w:val="36"/>
          <w:rtl/>
        </w:rPr>
        <w:t>ن</w:t>
      </w:r>
      <w:r w:rsidR="00EA2C2A" w:rsidRPr="00FD211F">
        <w:rPr>
          <w:sz w:val="36"/>
          <w:szCs w:val="36"/>
          <w:rtl/>
        </w:rPr>
        <w:t>ت</w:t>
      </w:r>
      <w:r w:rsidR="009F2206" w:rsidRPr="00FD211F">
        <w:rPr>
          <w:sz w:val="36"/>
          <w:szCs w:val="36"/>
          <w:rtl/>
        </w:rPr>
        <w:t xml:space="preserve"> هذه الواسط</w:t>
      </w:r>
      <w:r w:rsidR="00EC7EDF" w:rsidRPr="00FD211F">
        <w:rPr>
          <w:sz w:val="36"/>
          <w:szCs w:val="36"/>
          <w:rtl/>
        </w:rPr>
        <w:t xml:space="preserve">ة </w:t>
      </w:r>
      <w:r w:rsidR="009F2206" w:rsidRPr="00FD211F">
        <w:rPr>
          <w:sz w:val="36"/>
          <w:szCs w:val="36"/>
          <w:rtl/>
        </w:rPr>
        <w:t>بنفسها هي المعروض</w:t>
      </w:r>
      <w:r w:rsidR="00EC7EDF" w:rsidRPr="00FD211F">
        <w:rPr>
          <w:sz w:val="36"/>
          <w:szCs w:val="36"/>
          <w:rtl/>
        </w:rPr>
        <w:t xml:space="preserve">ة </w:t>
      </w:r>
      <w:r w:rsidR="009F2206" w:rsidRPr="00FD211F">
        <w:rPr>
          <w:sz w:val="36"/>
          <w:szCs w:val="36"/>
          <w:rtl/>
        </w:rPr>
        <w:t>لذاك العرض</w:t>
      </w:r>
      <w:r w:rsidR="00BB440B" w:rsidRPr="00FD211F">
        <w:rPr>
          <w:sz w:val="36"/>
          <w:szCs w:val="36"/>
          <w:rtl/>
        </w:rPr>
        <w:t xml:space="preserve"> بالدق</w:t>
      </w:r>
      <w:r w:rsidR="00EC7EDF" w:rsidRPr="00FD211F">
        <w:rPr>
          <w:sz w:val="36"/>
          <w:szCs w:val="36"/>
          <w:rtl/>
        </w:rPr>
        <w:t>ة</w:t>
      </w:r>
      <w:r w:rsidR="00603323" w:rsidRPr="00FD211F">
        <w:rPr>
          <w:sz w:val="36"/>
          <w:szCs w:val="36"/>
          <w:rtl/>
        </w:rPr>
        <w:t xml:space="preserve">، </w:t>
      </w:r>
      <w:r w:rsidR="00BB440B" w:rsidRPr="00FD211F">
        <w:rPr>
          <w:sz w:val="36"/>
          <w:szCs w:val="36"/>
          <w:rtl/>
        </w:rPr>
        <w:t>وتسمى بالواسط</w:t>
      </w:r>
      <w:r w:rsidR="00EC7EDF" w:rsidRPr="00FD211F">
        <w:rPr>
          <w:sz w:val="36"/>
          <w:szCs w:val="36"/>
          <w:rtl/>
        </w:rPr>
        <w:t xml:space="preserve">ة </w:t>
      </w:r>
      <w:r w:rsidR="00BB440B" w:rsidRPr="00FD211F">
        <w:rPr>
          <w:sz w:val="36"/>
          <w:szCs w:val="36"/>
          <w:rtl/>
        </w:rPr>
        <w:t>في العروض</w:t>
      </w:r>
      <w:r w:rsidR="00603323" w:rsidRPr="00FD211F">
        <w:rPr>
          <w:sz w:val="36"/>
          <w:szCs w:val="36"/>
          <w:rtl/>
        </w:rPr>
        <w:t xml:space="preserve">، </w:t>
      </w:r>
      <w:r w:rsidR="009F2206" w:rsidRPr="00FD211F">
        <w:rPr>
          <w:sz w:val="36"/>
          <w:szCs w:val="36"/>
          <w:rtl/>
        </w:rPr>
        <w:t>الاّ أنّ ذاك ال</w:t>
      </w:r>
      <w:r w:rsidR="008D7B3D" w:rsidRPr="00FD211F">
        <w:rPr>
          <w:sz w:val="36"/>
          <w:szCs w:val="36"/>
          <w:rtl/>
        </w:rPr>
        <w:t xml:space="preserve">شيء </w:t>
      </w:r>
      <w:r w:rsidR="009F2206" w:rsidRPr="00FD211F">
        <w:rPr>
          <w:sz w:val="36"/>
          <w:szCs w:val="36"/>
          <w:rtl/>
        </w:rPr>
        <w:t>يكون معروضا لهذا العرض ضمنا</w:t>
      </w:r>
      <w:r w:rsidR="00603323" w:rsidRPr="00FD211F">
        <w:rPr>
          <w:sz w:val="36"/>
          <w:szCs w:val="36"/>
          <w:rtl/>
        </w:rPr>
        <w:t xml:space="preserve">، </w:t>
      </w:r>
      <w:r w:rsidR="00BB440B" w:rsidRPr="00FD211F">
        <w:rPr>
          <w:sz w:val="36"/>
          <w:szCs w:val="36"/>
          <w:rtl/>
        </w:rPr>
        <w:t>نظير</w:t>
      </w:r>
      <w:r w:rsidR="00DF3D60" w:rsidRPr="00FD211F">
        <w:rPr>
          <w:sz w:val="36"/>
          <w:szCs w:val="36"/>
          <w:rtl/>
        </w:rPr>
        <w:t xml:space="preserve"> </w:t>
      </w:r>
      <w:r w:rsidR="00F35E4D" w:rsidRPr="00FD211F">
        <w:rPr>
          <w:sz w:val="36"/>
          <w:szCs w:val="36"/>
          <w:rtl/>
        </w:rPr>
        <w:t xml:space="preserve">عروض </w:t>
      </w:r>
      <w:r w:rsidR="003A5B59" w:rsidRPr="00FD211F">
        <w:rPr>
          <w:sz w:val="36"/>
          <w:szCs w:val="36"/>
          <w:rtl/>
        </w:rPr>
        <w:t xml:space="preserve">عوارض النوع للجنس الذي في ضمن هذا النوع </w:t>
      </w:r>
      <w:r w:rsidR="00BB440B" w:rsidRPr="00FD211F">
        <w:rPr>
          <w:sz w:val="36"/>
          <w:szCs w:val="36"/>
          <w:rtl/>
        </w:rPr>
        <w:t xml:space="preserve">ومن هذا القبيل </w:t>
      </w:r>
      <w:r w:rsidR="003A5B59" w:rsidRPr="00FD211F">
        <w:rPr>
          <w:sz w:val="36"/>
          <w:szCs w:val="36"/>
          <w:rtl/>
        </w:rPr>
        <w:t xml:space="preserve">عروض </w:t>
      </w:r>
      <w:r w:rsidR="001B10BC" w:rsidRPr="00FD211F">
        <w:rPr>
          <w:sz w:val="36"/>
          <w:szCs w:val="36"/>
          <w:rtl/>
        </w:rPr>
        <w:t>وجوب الصلا</w:t>
      </w:r>
      <w:r w:rsidR="00EC7EDF" w:rsidRPr="00FD211F">
        <w:rPr>
          <w:sz w:val="36"/>
          <w:szCs w:val="36"/>
          <w:rtl/>
        </w:rPr>
        <w:t xml:space="preserve">ة </w:t>
      </w:r>
      <w:r w:rsidR="001B10BC" w:rsidRPr="00FD211F">
        <w:rPr>
          <w:sz w:val="36"/>
          <w:szCs w:val="36"/>
          <w:rtl/>
        </w:rPr>
        <w:t>لفعل المكلف الذي هو في ضمن الصلا</w:t>
      </w:r>
      <w:r w:rsidR="00EC7EDF" w:rsidRPr="00FD211F">
        <w:rPr>
          <w:sz w:val="36"/>
          <w:szCs w:val="36"/>
          <w:rtl/>
        </w:rPr>
        <w:t xml:space="preserve">ة </w:t>
      </w:r>
      <w:r w:rsidR="001E2BD5" w:rsidRPr="00FD211F">
        <w:rPr>
          <w:sz w:val="36"/>
          <w:szCs w:val="36"/>
          <w:rtl/>
        </w:rPr>
        <w:t>فان فعل المكلف جنس للصلا</w:t>
      </w:r>
      <w:r w:rsidR="00EC7EDF" w:rsidRPr="00FD211F">
        <w:rPr>
          <w:sz w:val="36"/>
          <w:szCs w:val="36"/>
          <w:rtl/>
        </w:rPr>
        <w:t>ة</w:t>
      </w:r>
      <w:r w:rsidR="00A61BAE" w:rsidRPr="00FD211F">
        <w:rPr>
          <w:sz w:val="36"/>
          <w:szCs w:val="36"/>
          <w:rtl/>
        </w:rPr>
        <w:t>.</w:t>
      </w:r>
    </w:p>
    <w:p w14:paraId="60796939" w14:textId="77777777" w:rsidR="00D64FF1" w:rsidRPr="00FD211F" w:rsidRDefault="00D64FF1" w:rsidP="009C58C8">
      <w:pPr>
        <w:ind w:left="0" w:firstLine="227"/>
        <w:jc w:val="both"/>
        <w:rPr>
          <w:sz w:val="36"/>
          <w:szCs w:val="36"/>
          <w:rtl/>
        </w:rPr>
      </w:pPr>
      <w:r w:rsidRPr="00FD211F">
        <w:rPr>
          <w:b/>
          <w:bCs/>
          <w:sz w:val="36"/>
          <w:szCs w:val="36"/>
          <w:rtl/>
        </w:rPr>
        <w:t>و</w:t>
      </w:r>
      <w:r w:rsidR="00F57B39" w:rsidRPr="00FD211F">
        <w:rPr>
          <w:b/>
          <w:bCs/>
          <w:sz w:val="36"/>
          <w:szCs w:val="36"/>
          <w:rtl/>
        </w:rPr>
        <w:t>اما</w:t>
      </w:r>
      <w:r w:rsidRPr="00FD211F">
        <w:rPr>
          <w:b/>
          <w:bCs/>
          <w:sz w:val="36"/>
          <w:szCs w:val="36"/>
          <w:rtl/>
        </w:rPr>
        <w:t>ا</w:t>
      </w:r>
      <w:r w:rsidR="00EA2C2A" w:rsidRPr="00FD211F">
        <w:rPr>
          <w:b/>
          <w:bCs/>
          <w:sz w:val="36"/>
          <w:szCs w:val="36"/>
          <w:rtl/>
        </w:rPr>
        <w:t>لصور</w:t>
      </w:r>
      <w:r w:rsidR="00EC7EDF" w:rsidRPr="00FD211F">
        <w:rPr>
          <w:b/>
          <w:bCs/>
          <w:sz w:val="36"/>
          <w:szCs w:val="36"/>
          <w:rtl/>
        </w:rPr>
        <w:t xml:space="preserve">ة </w:t>
      </w:r>
      <w:r w:rsidR="00EA2C2A" w:rsidRPr="00FD211F">
        <w:rPr>
          <w:b/>
          <w:bCs/>
          <w:sz w:val="36"/>
          <w:szCs w:val="36"/>
          <w:rtl/>
        </w:rPr>
        <w:t>الثالث</w:t>
      </w:r>
      <w:r w:rsidR="00EC7EDF" w:rsidRPr="00FD211F">
        <w:rPr>
          <w:b/>
          <w:bCs/>
          <w:sz w:val="36"/>
          <w:szCs w:val="36"/>
          <w:rtl/>
        </w:rPr>
        <w:t xml:space="preserve">ة </w:t>
      </w:r>
      <w:r w:rsidR="00EA2C2A" w:rsidRPr="00FD211F">
        <w:rPr>
          <w:sz w:val="36"/>
          <w:szCs w:val="36"/>
          <w:rtl/>
        </w:rPr>
        <w:t>-وهي</w:t>
      </w:r>
      <w:r w:rsidRPr="00FD211F">
        <w:rPr>
          <w:sz w:val="36"/>
          <w:szCs w:val="36"/>
          <w:rtl/>
        </w:rPr>
        <w:t xml:space="preserve"> ما لايع</w:t>
      </w:r>
      <w:r w:rsidR="002C517F" w:rsidRPr="00FD211F">
        <w:rPr>
          <w:sz w:val="36"/>
          <w:szCs w:val="36"/>
          <w:rtl/>
        </w:rPr>
        <w:t>رض ال</w:t>
      </w:r>
      <w:r w:rsidR="008D7B3D" w:rsidRPr="00FD211F">
        <w:rPr>
          <w:sz w:val="36"/>
          <w:szCs w:val="36"/>
          <w:rtl/>
        </w:rPr>
        <w:t xml:space="preserve">شيء </w:t>
      </w:r>
      <w:r w:rsidR="002C517F" w:rsidRPr="00FD211F">
        <w:rPr>
          <w:sz w:val="36"/>
          <w:szCs w:val="36"/>
          <w:rtl/>
        </w:rPr>
        <w:t>حقيق</w:t>
      </w:r>
      <w:r w:rsidR="00EC7EDF" w:rsidRPr="00FD211F">
        <w:rPr>
          <w:sz w:val="36"/>
          <w:szCs w:val="36"/>
          <w:rtl/>
        </w:rPr>
        <w:t xml:space="preserve">ة </w:t>
      </w:r>
      <w:r w:rsidRPr="00FD211F">
        <w:rPr>
          <w:sz w:val="36"/>
          <w:szCs w:val="36"/>
          <w:rtl/>
        </w:rPr>
        <w:t>لااستقلالا ولاضمنا</w:t>
      </w:r>
      <w:r w:rsidR="00EA2C2A" w:rsidRPr="00FD211F">
        <w:rPr>
          <w:sz w:val="36"/>
          <w:szCs w:val="36"/>
          <w:rtl/>
        </w:rPr>
        <w:t>-</w:t>
      </w:r>
      <w:r w:rsidRPr="00FD211F">
        <w:rPr>
          <w:sz w:val="36"/>
          <w:szCs w:val="36"/>
          <w:rtl/>
        </w:rPr>
        <w:t xml:space="preserve"> ف</w:t>
      </w:r>
      <w:r w:rsidR="00EA2C2A" w:rsidRPr="00FD211F">
        <w:rPr>
          <w:sz w:val="36"/>
          <w:szCs w:val="36"/>
          <w:rtl/>
        </w:rPr>
        <w:t>موردها</w:t>
      </w:r>
      <w:r w:rsidR="00B6720F" w:rsidRPr="00FD211F">
        <w:rPr>
          <w:sz w:val="36"/>
          <w:szCs w:val="36"/>
          <w:rtl/>
        </w:rPr>
        <w:t xml:space="preserve"> </w:t>
      </w:r>
      <w:r w:rsidR="00BB440B" w:rsidRPr="00FD211F">
        <w:rPr>
          <w:sz w:val="36"/>
          <w:szCs w:val="36"/>
          <w:rtl/>
        </w:rPr>
        <w:t>ما اذا كان عروض الع</w:t>
      </w:r>
      <w:r w:rsidR="002C517F" w:rsidRPr="00FD211F">
        <w:rPr>
          <w:sz w:val="36"/>
          <w:szCs w:val="36"/>
          <w:rtl/>
        </w:rPr>
        <w:t>رض لل</w:t>
      </w:r>
      <w:r w:rsidR="008D7B3D" w:rsidRPr="00FD211F">
        <w:rPr>
          <w:sz w:val="36"/>
          <w:szCs w:val="36"/>
          <w:rtl/>
        </w:rPr>
        <w:t xml:space="preserve">شيء </w:t>
      </w:r>
      <w:r w:rsidR="002C517F" w:rsidRPr="00FD211F">
        <w:rPr>
          <w:sz w:val="36"/>
          <w:szCs w:val="36"/>
          <w:rtl/>
        </w:rPr>
        <w:t>بواسط</w:t>
      </w:r>
      <w:r w:rsidR="00EC7EDF" w:rsidRPr="00FD211F">
        <w:rPr>
          <w:sz w:val="36"/>
          <w:szCs w:val="36"/>
          <w:rtl/>
        </w:rPr>
        <w:t xml:space="preserve">ة </w:t>
      </w:r>
      <w:r w:rsidR="002C517F" w:rsidRPr="00FD211F">
        <w:rPr>
          <w:sz w:val="36"/>
          <w:szCs w:val="36"/>
          <w:rtl/>
        </w:rPr>
        <w:t>في العروض بحيث ت</w:t>
      </w:r>
      <w:r w:rsidR="00BB440B" w:rsidRPr="00FD211F">
        <w:rPr>
          <w:sz w:val="36"/>
          <w:szCs w:val="36"/>
          <w:rtl/>
        </w:rPr>
        <w:t>كون</w:t>
      </w:r>
      <w:r w:rsidR="002C517F" w:rsidRPr="00FD211F">
        <w:rPr>
          <w:sz w:val="36"/>
          <w:szCs w:val="36"/>
          <w:rtl/>
        </w:rPr>
        <w:t xml:space="preserve"> الواسط</w:t>
      </w:r>
      <w:r w:rsidR="00EC7EDF" w:rsidRPr="00FD211F">
        <w:rPr>
          <w:sz w:val="36"/>
          <w:szCs w:val="36"/>
          <w:rtl/>
        </w:rPr>
        <w:t xml:space="preserve">ة </w:t>
      </w:r>
      <w:r w:rsidR="002C517F" w:rsidRPr="00FD211F">
        <w:rPr>
          <w:sz w:val="36"/>
          <w:szCs w:val="36"/>
          <w:rtl/>
        </w:rPr>
        <w:t>هي التي يعرضهاذاك العرض حقيق</w:t>
      </w:r>
      <w:r w:rsidR="00EC7EDF" w:rsidRPr="00FD211F">
        <w:rPr>
          <w:sz w:val="36"/>
          <w:szCs w:val="36"/>
          <w:rtl/>
        </w:rPr>
        <w:t>ة</w:t>
      </w:r>
      <w:r w:rsidR="00603323" w:rsidRPr="00FD211F">
        <w:rPr>
          <w:sz w:val="36"/>
          <w:szCs w:val="36"/>
          <w:rtl/>
        </w:rPr>
        <w:t xml:space="preserve">، </w:t>
      </w:r>
      <w:r w:rsidR="00B6720F" w:rsidRPr="00FD211F">
        <w:rPr>
          <w:sz w:val="36"/>
          <w:szCs w:val="36"/>
          <w:rtl/>
        </w:rPr>
        <w:t>بلاعروضه لذي الواسط</w:t>
      </w:r>
      <w:r w:rsidR="00EC7EDF" w:rsidRPr="00FD211F">
        <w:rPr>
          <w:sz w:val="36"/>
          <w:szCs w:val="36"/>
          <w:rtl/>
        </w:rPr>
        <w:t xml:space="preserve">ة </w:t>
      </w:r>
      <w:r w:rsidR="00B6720F" w:rsidRPr="00FD211F">
        <w:rPr>
          <w:sz w:val="36"/>
          <w:szCs w:val="36"/>
          <w:rtl/>
        </w:rPr>
        <w:t>اصلا ولو بنحو الضمني</w:t>
      </w:r>
      <w:r w:rsidR="00EC7EDF" w:rsidRPr="00FD211F">
        <w:rPr>
          <w:sz w:val="36"/>
          <w:szCs w:val="36"/>
          <w:rtl/>
        </w:rPr>
        <w:t>ة</w:t>
      </w:r>
      <w:r w:rsidR="00603323" w:rsidRPr="00FD211F">
        <w:rPr>
          <w:sz w:val="36"/>
          <w:szCs w:val="36"/>
          <w:rtl/>
        </w:rPr>
        <w:t xml:space="preserve">، </w:t>
      </w:r>
      <w:r w:rsidR="00B6720F" w:rsidRPr="00FD211F">
        <w:rPr>
          <w:sz w:val="36"/>
          <w:szCs w:val="36"/>
          <w:rtl/>
        </w:rPr>
        <w:t>كما في</w:t>
      </w:r>
      <w:r w:rsidRPr="00FD211F">
        <w:rPr>
          <w:sz w:val="36"/>
          <w:szCs w:val="36"/>
          <w:rtl/>
        </w:rPr>
        <w:t xml:space="preserve"> عوارض الفصل المقسم بالنسب</w:t>
      </w:r>
      <w:r w:rsidR="00EC7EDF" w:rsidRPr="00FD211F">
        <w:rPr>
          <w:sz w:val="36"/>
          <w:szCs w:val="36"/>
          <w:rtl/>
        </w:rPr>
        <w:t xml:space="preserve">ة </w:t>
      </w:r>
      <w:r w:rsidRPr="00FD211F">
        <w:rPr>
          <w:sz w:val="36"/>
          <w:szCs w:val="36"/>
          <w:rtl/>
        </w:rPr>
        <w:t xml:space="preserve">الى الجنس </w:t>
      </w:r>
      <w:r w:rsidR="00B6720F" w:rsidRPr="00FD211F">
        <w:rPr>
          <w:sz w:val="36"/>
          <w:szCs w:val="36"/>
          <w:rtl/>
        </w:rPr>
        <w:t>نظير</w:t>
      </w:r>
      <w:r w:rsidR="00A95EF1" w:rsidRPr="00FD211F">
        <w:rPr>
          <w:sz w:val="36"/>
          <w:szCs w:val="36"/>
          <w:rtl/>
        </w:rPr>
        <w:t xml:space="preserve"> قولنا بعض الحيوان مدرك للكليات</w:t>
      </w:r>
      <w:r w:rsidR="00603323" w:rsidRPr="00FD211F">
        <w:rPr>
          <w:sz w:val="36"/>
          <w:szCs w:val="36"/>
          <w:rtl/>
        </w:rPr>
        <w:t xml:space="preserve">، </w:t>
      </w:r>
      <w:r w:rsidRPr="00FD211F">
        <w:rPr>
          <w:sz w:val="36"/>
          <w:szCs w:val="36"/>
          <w:rtl/>
        </w:rPr>
        <w:t>فانه وان حمل</w:t>
      </w:r>
      <w:r w:rsidR="00FE4573" w:rsidRPr="00FD211F">
        <w:rPr>
          <w:sz w:val="36"/>
          <w:szCs w:val="36"/>
          <w:rtl/>
        </w:rPr>
        <w:t xml:space="preserve"> ادراك الكليات</w:t>
      </w:r>
      <w:r w:rsidRPr="00FD211F">
        <w:rPr>
          <w:sz w:val="36"/>
          <w:szCs w:val="36"/>
          <w:rtl/>
        </w:rPr>
        <w:t xml:space="preserve"> عل</w:t>
      </w:r>
      <w:r w:rsidR="00FE4573" w:rsidRPr="00FD211F">
        <w:rPr>
          <w:sz w:val="36"/>
          <w:szCs w:val="36"/>
          <w:rtl/>
        </w:rPr>
        <w:t>ى الحيوان في هذا المثال</w:t>
      </w:r>
      <w:r w:rsidR="00603323" w:rsidRPr="00FD211F">
        <w:rPr>
          <w:sz w:val="36"/>
          <w:szCs w:val="36"/>
          <w:rtl/>
        </w:rPr>
        <w:t xml:space="preserve">، </w:t>
      </w:r>
      <w:r w:rsidR="00FE4573" w:rsidRPr="00FD211F">
        <w:rPr>
          <w:sz w:val="36"/>
          <w:szCs w:val="36"/>
          <w:rtl/>
        </w:rPr>
        <w:t>ولكن تمام معروضه بالدق</w:t>
      </w:r>
      <w:r w:rsidR="00EC7EDF" w:rsidRPr="00FD211F">
        <w:rPr>
          <w:sz w:val="36"/>
          <w:szCs w:val="36"/>
          <w:rtl/>
        </w:rPr>
        <w:t xml:space="preserve">ة </w:t>
      </w:r>
      <w:r w:rsidR="00FE4573" w:rsidRPr="00FD211F">
        <w:rPr>
          <w:sz w:val="36"/>
          <w:szCs w:val="36"/>
          <w:rtl/>
        </w:rPr>
        <w:t>هو جه</w:t>
      </w:r>
      <w:r w:rsidR="00EC7EDF" w:rsidRPr="00FD211F">
        <w:rPr>
          <w:sz w:val="36"/>
          <w:szCs w:val="36"/>
          <w:rtl/>
        </w:rPr>
        <w:t xml:space="preserve">ة </w:t>
      </w:r>
      <w:r w:rsidR="00FE4573" w:rsidRPr="00FD211F">
        <w:rPr>
          <w:sz w:val="36"/>
          <w:szCs w:val="36"/>
          <w:rtl/>
        </w:rPr>
        <w:t>الفصلي</w:t>
      </w:r>
      <w:r w:rsidR="00EC7EDF" w:rsidRPr="00FD211F">
        <w:rPr>
          <w:sz w:val="36"/>
          <w:szCs w:val="36"/>
          <w:rtl/>
        </w:rPr>
        <w:t xml:space="preserve">ة </w:t>
      </w:r>
      <w:r w:rsidR="00FE4573" w:rsidRPr="00FD211F">
        <w:rPr>
          <w:sz w:val="36"/>
          <w:szCs w:val="36"/>
          <w:rtl/>
        </w:rPr>
        <w:t>–اي النفس الناطق</w:t>
      </w:r>
      <w:r w:rsidR="00EC7EDF" w:rsidRPr="00FD211F">
        <w:rPr>
          <w:sz w:val="36"/>
          <w:szCs w:val="36"/>
          <w:rtl/>
        </w:rPr>
        <w:t xml:space="preserve">ة </w:t>
      </w:r>
      <w:r w:rsidR="00FE4573" w:rsidRPr="00FD211F">
        <w:rPr>
          <w:sz w:val="36"/>
          <w:szCs w:val="36"/>
          <w:rtl/>
        </w:rPr>
        <w:t>التي هي اجنبي</w:t>
      </w:r>
      <w:r w:rsidR="00EC7EDF" w:rsidRPr="00FD211F">
        <w:rPr>
          <w:sz w:val="36"/>
          <w:szCs w:val="36"/>
          <w:rtl/>
        </w:rPr>
        <w:t xml:space="preserve">ة </w:t>
      </w:r>
      <w:r w:rsidR="00FE4573" w:rsidRPr="00FD211F">
        <w:rPr>
          <w:sz w:val="36"/>
          <w:szCs w:val="36"/>
          <w:rtl/>
        </w:rPr>
        <w:t>عن جه</w:t>
      </w:r>
      <w:r w:rsidR="00EC7EDF" w:rsidRPr="00FD211F">
        <w:rPr>
          <w:sz w:val="36"/>
          <w:szCs w:val="36"/>
          <w:rtl/>
        </w:rPr>
        <w:t xml:space="preserve">ة </w:t>
      </w:r>
      <w:r w:rsidR="00FE4573" w:rsidRPr="00FD211F">
        <w:rPr>
          <w:sz w:val="36"/>
          <w:szCs w:val="36"/>
          <w:rtl/>
        </w:rPr>
        <w:t>الجنسي</w:t>
      </w:r>
      <w:r w:rsidR="00EC7EDF" w:rsidRPr="00FD211F">
        <w:rPr>
          <w:sz w:val="36"/>
          <w:szCs w:val="36"/>
          <w:rtl/>
        </w:rPr>
        <w:t>ة</w:t>
      </w:r>
      <w:r w:rsidR="00603323" w:rsidRPr="00FD211F">
        <w:rPr>
          <w:sz w:val="36"/>
          <w:szCs w:val="36"/>
          <w:rtl/>
        </w:rPr>
        <w:t xml:space="preserve">، </w:t>
      </w:r>
      <w:r w:rsidR="00FE4573" w:rsidRPr="00FD211F">
        <w:rPr>
          <w:sz w:val="36"/>
          <w:szCs w:val="36"/>
          <w:rtl/>
        </w:rPr>
        <w:t>مع ما كان بينهما من الاتحاد في الوجود لعدم تحصل الجنس الا بالفصل</w:t>
      </w:r>
      <w:r w:rsidR="00603323" w:rsidRPr="00FD211F">
        <w:rPr>
          <w:sz w:val="36"/>
          <w:szCs w:val="36"/>
          <w:rtl/>
        </w:rPr>
        <w:t xml:space="preserve">، </w:t>
      </w:r>
      <w:r w:rsidR="00FE4573" w:rsidRPr="00FD211F">
        <w:rPr>
          <w:sz w:val="36"/>
          <w:szCs w:val="36"/>
          <w:rtl/>
        </w:rPr>
        <w:t>فبملاحظ</w:t>
      </w:r>
      <w:r w:rsidR="00EC7EDF" w:rsidRPr="00FD211F">
        <w:rPr>
          <w:sz w:val="36"/>
          <w:szCs w:val="36"/>
          <w:rtl/>
        </w:rPr>
        <w:t xml:space="preserve">ة </w:t>
      </w:r>
      <w:r w:rsidR="00FE4573" w:rsidRPr="00FD211F">
        <w:rPr>
          <w:sz w:val="36"/>
          <w:szCs w:val="36"/>
          <w:rtl/>
        </w:rPr>
        <w:t>قابلي</w:t>
      </w:r>
      <w:r w:rsidR="00EC7EDF" w:rsidRPr="00FD211F">
        <w:rPr>
          <w:sz w:val="36"/>
          <w:szCs w:val="36"/>
          <w:rtl/>
        </w:rPr>
        <w:t xml:space="preserve">ة </w:t>
      </w:r>
      <w:r w:rsidR="00FE4573" w:rsidRPr="00FD211F">
        <w:rPr>
          <w:sz w:val="36"/>
          <w:szCs w:val="36"/>
          <w:rtl/>
        </w:rPr>
        <w:t>الفصل الذي هو الواسط</w:t>
      </w:r>
      <w:r w:rsidR="00EC7EDF" w:rsidRPr="00FD211F">
        <w:rPr>
          <w:sz w:val="36"/>
          <w:szCs w:val="36"/>
          <w:rtl/>
        </w:rPr>
        <w:t xml:space="preserve">ة </w:t>
      </w:r>
      <w:r w:rsidR="00FE4573" w:rsidRPr="00FD211F">
        <w:rPr>
          <w:sz w:val="36"/>
          <w:szCs w:val="36"/>
          <w:rtl/>
        </w:rPr>
        <w:t>للحمل على الجنس صح حمل خواصه عليه ايضا في مثل قولنا بعض الحيوان مدرك للكليات</w:t>
      </w:r>
      <w:r w:rsidR="009C58C8" w:rsidRPr="00FD211F">
        <w:rPr>
          <w:rStyle w:val="a6"/>
          <w:sz w:val="36"/>
          <w:szCs w:val="36"/>
          <w:rtl/>
        </w:rPr>
        <w:t>(</w:t>
      </w:r>
      <w:r w:rsidR="009C58C8" w:rsidRPr="00FD211F">
        <w:rPr>
          <w:rStyle w:val="a6"/>
          <w:sz w:val="36"/>
          <w:szCs w:val="36"/>
          <w:rtl/>
        </w:rPr>
        <w:footnoteReference w:id="76"/>
      </w:r>
      <w:r w:rsidR="009C58C8" w:rsidRPr="00FD211F">
        <w:rPr>
          <w:rStyle w:val="a6"/>
          <w:sz w:val="36"/>
          <w:szCs w:val="36"/>
          <w:rtl/>
        </w:rPr>
        <w:t>)</w:t>
      </w:r>
      <w:r w:rsidR="00FE4573" w:rsidRPr="00FD211F">
        <w:rPr>
          <w:sz w:val="36"/>
          <w:szCs w:val="36"/>
          <w:rtl/>
        </w:rPr>
        <w:t>.</w:t>
      </w:r>
    </w:p>
    <w:p w14:paraId="2CC6A725" w14:textId="77777777" w:rsidR="00647C61" w:rsidRPr="00FD211F" w:rsidRDefault="001B10BC" w:rsidP="009C58C8">
      <w:pPr>
        <w:ind w:left="0" w:firstLine="227"/>
        <w:jc w:val="both"/>
        <w:rPr>
          <w:sz w:val="36"/>
          <w:szCs w:val="36"/>
          <w:rtl/>
        </w:rPr>
      </w:pPr>
      <w:r w:rsidRPr="00FD211F">
        <w:rPr>
          <w:sz w:val="36"/>
          <w:szCs w:val="36"/>
          <w:rtl/>
        </w:rPr>
        <w:t xml:space="preserve">ثم قال </w:t>
      </w:r>
      <w:r w:rsidR="001D4F66" w:rsidRPr="00FD211F">
        <w:rPr>
          <w:sz w:val="36"/>
          <w:szCs w:val="36"/>
          <w:rtl/>
        </w:rPr>
        <w:t>"</w:t>
      </w:r>
      <w:r w:rsidRPr="00FD211F">
        <w:rPr>
          <w:sz w:val="36"/>
          <w:szCs w:val="36"/>
          <w:rtl/>
        </w:rPr>
        <w:t>قده</w:t>
      </w:r>
      <w:r w:rsidR="001D4F66" w:rsidRPr="00FD211F">
        <w:rPr>
          <w:sz w:val="36"/>
          <w:szCs w:val="36"/>
          <w:rtl/>
        </w:rPr>
        <w:t>"</w:t>
      </w:r>
      <w:r w:rsidR="00397C98" w:rsidRPr="00FD211F">
        <w:rPr>
          <w:sz w:val="36"/>
          <w:szCs w:val="36"/>
          <w:rtl/>
        </w:rPr>
        <w:t xml:space="preserve"> انه</w:t>
      </w:r>
      <w:r w:rsidRPr="00FD211F">
        <w:rPr>
          <w:sz w:val="36"/>
          <w:szCs w:val="36"/>
          <w:rtl/>
        </w:rPr>
        <w:t xml:space="preserve"> بناء على كفاي</w:t>
      </w:r>
      <w:r w:rsidR="00EC7EDF" w:rsidRPr="00FD211F">
        <w:rPr>
          <w:sz w:val="36"/>
          <w:szCs w:val="36"/>
          <w:rtl/>
        </w:rPr>
        <w:t xml:space="preserve">ة </w:t>
      </w:r>
      <w:r w:rsidR="00025303" w:rsidRPr="00FD211F">
        <w:rPr>
          <w:sz w:val="36"/>
          <w:szCs w:val="36"/>
          <w:rtl/>
        </w:rPr>
        <w:t>الحمل الحقيقي في صيرور</w:t>
      </w:r>
      <w:r w:rsidR="00EC7EDF" w:rsidRPr="00FD211F">
        <w:rPr>
          <w:sz w:val="36"/>
          <w:szCs w:val="36"/>
          <w:rtl/>
        </w:rPr>
        <w:t xml:space="preserve">ة </w:t>
      </w:r>
      <w:r w:rsidR="00025303" w:rsidRPr="00FD211F">
        <w:rPr>
          <w:sz w:val="36"/>
          <w:szCs w:val="36"/>
          <w:rtl/>
        </w:rPr>
        <w:t>العرض</w:t>
      </w:r>
      <w:r w:rsidR="00397C98" w:rsidRPr="00FD211F">
        <w:rPr>
          <w:sz w:val="36"/>
          <w:szCs w:val="36"/>
          <w:rtl/>
        </w:rPr>
        <w:t xml:space="preserve"> عرضا ذاتيا ل</w:t>
      </w:r>
      <w:r w:rsidR="00025303" w:rsidRPr="00FD211F">
        <w:rPr>
          <w:sz w:val="36"/>
          <w:szCs w:val="36"/>
          <w:rtl/>
        </w:rPr>
        <w:t>ل</w:t>
      </w:r>
      <w:r w:rsidR="008D7B3D" w:rsidRPr="00FD211F">
        <w:rPr>
          <w:sz w:val="36"/>
          <w:szCs w:val="36"/>
          <w:rtl/>
        </w:rPr>
        <w:t xml:space="preserve">شيء </w:t>
      </w:r>
      <w:r w:rsidR="00397C98" w:rsidRPr="00FD211F">
        <w:rPr>
          <w:sz w:val="36"/>
          <w:szCs w:val="36"/>
          <w:rtl/>
        </w:rPr>
        <w:t>كان</w:t>
      </w:r>
      <w:r w:rsidR="00647C61" w:rsidRPr="00FD211F">
        <w:rPr>
          <w:sz w:val="36"/>
          <w:szCs w:val="36"/>
          <w:rtl/>
        </w:rPr>
        <w:t>ت</w:t>
      </w:r>
      <w:r w:rsidR="00397C98" w:rsidRPr="00FD211F">
        <w:rPr>
          <w:sz w:val="36"/>
          <w:szCs w:val="36"/>
          <w:rtl/>
        </w:rPr>
        <w:t xml:space="preserve"> جميع هذه الصور عرضا ذاتيا</w:t>
      </w:r>
      <w:r w:rsidR="00647C61" w:rsidRPr="00FD211F">
        <w:rPr>
          <w:sz w:val="36"/>
          <w:szCs w:val="36"/>
          <w:rtl/>
        </w:rPr>
        <w:t xml:space="preserve"> ما عدا الصور</w:t>
      </w:r>
      <w:r w:rsidR="00EC7EDF" w:rsidRPr="00FD211F">
        <w:rPr>
          <w:sz w:val="36"/>
          <w:szCs w:val="36"/>
          <w:rtl/>
        </w:rPr>
        <w:t xml:space="preserve">ة </w:t>
      </w:r>
      <w:r w:rsidR="00647C61" w:rsidRPr="00FD211F">
        <w:rPr>
          <w:sz w:val="36"/>
          <w:szCs w:val="36"/>
          <w:rtl/>
        </w:rPr>
        <w:t>الأولى التي</w:t>
      </w:r>
      <w:r w:rsidR="008D7B3D" w:rsidRPr="00FD211F">
        <w:rPr>
          <w:sz w:val="36"/>
          <w:szCs w:val="36"/>
          <w:rtl/>
        </w:rPr>
        <w:t xml:space="preserve"> لم‌</w:t>
      </w:r>
      <w:r w:rsidR="00647C61" w:rsidRPr="00FD211F">
        <w:rPr>
          <w:sz w:val="36"/>
          <w:szCs w:val="36"/>
          <w:rtl/>
        </w:rPr>
        <w:t>يكن يحمل الوصف على ال</w:t>
      </w:r>
      <w:r w:rsidR="008D7B3D" w:rsidRPr="00FD211F">
        <w:rPr>
          <w:sz w:val="36"/>
          <w:szCs w:val="36"/>
          <w:rtl/>
        </w:rPr>
        <w:t xml:space="preserve">شيء </w:t>
      </w:r>
      <w:r w:rsidR="00647C61" w:rsidRPr="00FD211F">
        <w:rPr>
          <w:sz w:val="36"/>
          <w:szCs w:val="36"/>
          <w:rtl/>
        </w:rPr>
        <w:t>الا مجازا</w:t>
      </w:r>
      <w:r w:rsidR="00603323" w:rsidRPr="00FD211F">
        <w:rPr>
          <w:sz w:val="36"/>
          <w:szCs w:val="36"/>
          <w:rtl/>
        </w:rPr>
        <w:t xml:space="preserve">، </w:t>
      </w:r>
      <w:r w:rsidR="002B7BD1" w:rsidRPr="00FD211F">
        <w:rPr>
          <w:sz w:val="36"/>
          <w:szCs w:val="36"/>
          <w:rtl/>
        </w:rPr>
        <w:t>كما في قولنا جالس السفين</w:t>
      </w:r>
      <w:r w:rsidR="00EC7EDF" w:rsidRPr="00FD211F">
        <w:rPr>
          <w:sz w:val="36"/>
          <w:szCs w:val="36"/>
          <w:rtl/>
        </w:rPr>
        <w:t xml:space="preserve">ة </w:t>
      </w:r>
      <w:r w:rsidR="002B7BD1" w:rsidRPr="00FD211F">
        <w:rPr>
          <w:sz w:val="36"/>
          <w:szCs w:val="36"/>
          <w:rtl/>
        </w:rPr>
        <w:t>متحرك</w:t>
      </w:r>
      <w:r w:rsidR="00647C61" w:rsidRPr="00FD211F">
        <w:rPr>
          <w:sz w:val="36"/>
          <w:szCs w:val="36"/>
          <w:rtl/>
        </w:rPr>
        <w:t>.</w:t>
      </w:r>
    </w:p>
    <w:p w14:paraId="5C06FE72" w14:textId="77777777" w:rsidR="0005437B" w:rsidRPr="00FD211F" w:rsidRDefault="001B10BC" w:rsidP="009C58C8">
      <w:pPr>
        <w:ind w:left="0" w:firstLine="227"/>
        <w:jc w:val="both"/>
        <w:rPr>
          <w:sz w:val="36"/>
          <w:szCs w:val="36"/>
          <w:rtl/>
        </w:rPr>
      </w:pPr>
      <w:r w:rsidRPr="00FD211F">
        <w:rPr>
          <w:sz w:val="36"/>
          <w:szCs w:val="36"/>
          <w:rtl/>
        </w:rPr>
        <w:t xml:space="preserve">لكن المستفاد من كلمات </w:t>
      </w:r>
      <w:r w:rsidR="00E634A7" w:rsidRPr="00FD211F">
        <w:rPr>
          <w:sz w:val="36"/>
          <w:szCs w:val="36"/>
          <w:rtl/>
        </w:rPr>
        <w:t>جم</w:t>
      </w:r>
      <w:r w:rsidR="00F57B39" w:rsidRPr="00FD211F">
        <w:rPr>
          <w:sz w:val="36"/>
          <w:szCs w:val="36"/>
          <w:rtl/>
        </w:rPr>
        <w:t>ع</w:t>
      </w:r>
      <w:r w:rsidR="00E634A7" w:rsidRPr="00FD211F">
        <w:rPr>
          <w:sz w:val="36"/>
          <w:szCs w:val="36"/>
          <w:rtl/>
        </w:rPr>
        <w:t xml:space="preserve"> من </w:t>
      </w:r>
      <w:r w:rsidRPr="00FD211F">
        <w:rPr>
          <w:sz w:val="36"/>
          <w:szCs w:val="36"/>
          <w:rtl/>
        </w:rPr>
        <w:t>الحكماء</w:t>
      </w:r>
      <w:r w:rsidR="00E634A7" w:rsidRPr="00FD211F">
        <w:rPr>
          <w:sz w:val="36"/>
          <w:szCs w:val="36"/>
          <w:rtl/>
        </w:rPr>
        <w:t xml:space="preserve"> </w:t>
      </w:r>
      <w:r w:rsidR="001D4F66" w:rsidRPr="00FD211F">
        <w:rPr>
          <w:sz w:val="36"/>
          <w:szCs w:val="36"/>
          <w:rtl/>
        </w:rPr>
        <w:t>-</w:t>
      </w:r>
      <w:r w:rsidR="00E634A7" w:rsidRPr="00FD211F">
        <w:rPr>
          <w:sz w:val="36"/>
          <w:szCs w:val="36"/>
          <w:rtl/>
        </w:rPr>
        <w:t>كالمحقق الطوسي</w:t>
      </w:r>
      <w:r w:rsidR="009B431D" w:rsidRPr="00FD211F">
        <w:rPr>
          <w:sz w:val="36"/>
          <w:szCs w:val="36"/>
          <w:rtl/>
        </w:rPr>
        <w:t xml:space="preserve"> وصاحب الاسفار</w:t>
      </w:r>
      <w:r w:rsidR="00F57B39" w:rsidRPr="00FD211F">
        <w:rPr>
          <w:sz w:val="36"/>
          <w:szCs w:val="36"/>
          <w:rtl/>
        </w:rPr>
        <w:t>"ره"</w:t>
      </w:r>
      <w:r w:rsidR="001D4F66" w:rsidRPr="00FD211F">
        <w:rPr>
          <w:sz w:val="36"/>
          <w:szCs w:val="36"/>
          <w:rtl/>
        </w:rPr>
        <w:t>-</w:t>
      </w:r>
      <w:r w:rsidRPr="00FD211F">
        <w:rPr>
          <w:sz w:val="36"/>
          <w:szCs w:val="36"/>
          <w:rtl/>
        </w:rPr>
        <w:t xml:space="preserve"> </w:t>
      </w:r>
      <w:r w:rsidR="002B7BD1" w:rsidRPr="00FD211F">
        <w:rPr>
          <w:sz w:val="36"/>
          <w:szCs w:val="36"/>
          <w:rtl/>
        </w:rPr>
        <w:t>اختصاص العرض الذاتي بخصوص ما يكون عرو</w:t>
      </w:r>
      <w:r w:rsidR="0005437B" w:rsidRPr="00FD211F">
        <w:rPr>
          <w:sz w:val="36"/>
          <w:szCs w:val="36"/>
          <w:rtl/>
        </w:rPr>
        <w:t>ضه لل</w:t>
      </w:r>
      <w:r w:rsidR="008D7B3D" w:rsidRPr="00FD211F">
        <w:rPr>
          <w:sz w:val="36"/>
          <w:szCs w:val="36"/>
          <w:rtl/>
        </w:rPr>
        <w:t xml:space="preserve">شيء </w:t>
      </w:r>
      <w:r w:rsidR="0005437B" w:rsidRPr="00FD211F">
        <w:rPr>
          <w:sz w:val="36"/>
          <w:szCs w:val="36"/>
          <w:rtl/>
        </w:rPr>
        <w:t>عروضا حقيقيا استقلاليا.</w:t>
      </w:r>
      <w:r w:rsidR="002B7BD1" w:rsidRPr="00FD211F">
        <w:rPr>
          <w:sz w:val="36"/>
          <w:szCs w:val="36"/>
          <w:rtl/>
        </w:rPr>
        <w:t xml:space="preserve"> </w:t>
      </w:r>
    </w:p>
    <w:p w14:paraId="135C4A9C" w14:textId="77777777" w:rsidR="000C5BBA" w:rsidRPr="00FD211F" w:rsidRDefault="00D34F28" w:rsidP="009C58C8">
      <w:pPr>
        <w:ind w:left="0" w:firstLine="227"/>
        <w:jc w:val="both"/>
        <w:rPr>
          <w:sz w:val="36"/>
          <w:szCs w:val="36"/>
          <w:rtl/>
        </w:rPr>
      </w:pPr>
      <w:r w:rsidRPr="00FD211F">
        <w:rPr>
          <w:sz w:val="36"/>
          <w:szCs w:val="36"/>
          <w:rtl/>
        </w:rPr>
        <w:t>فذكر</w:t>
      </w:r>
      <w:r w:rsidR="002B7BD1" w:rsidRPr="00FD211F">
        <w:rPr>
          <w:sz w:val="36"/>
          <w:szCs w:val="36"/>
          <w:rtl/>
        </w:rPr>
        <w:t xml:space="preserve"> المحقق الطوسي:</w:t>
      </w:r>
      <w:r w:rsidR="001B10BC" w:rsidRPr="00FD211F">
        <w:rPr>
          <w:sz w:val="36"/>
          <w:szCs w:val="36"/>
          <w:rtl/>
        </w:rPr>
        <w:t xml:space="preserve"> </w:t>
      </w:r>
      <w:r w:rsidR="005E0FA3" w:rsidRPr="00FD211F">
        <w:rPr>
          <w:sz w:val="36"/>
          <w:szCs w:val="36"/>
          <w:rtl/>
        </w:rPr>
        <w:t>ان البحث عن عوارض</w:t>
      </w:r>
      <w:r w:rsidRPr="00FD211F">
        <w:rPr>
          <w:sz w:val="36"/>
          <w:szCs w:val="36"/>
          <w:rtl/>
        </w:rPr>
        <w:t xml:space="preserve"> عنوان </w:t>
      </w:r>
      <w:r w:rsidR="00A70E0C" w:rsidRPr="00FD211F">
        <w:rPr>
          <w:sz w:val="36"/>
          <w:szCs w:val="36"/>
          <w:rtl/>
        </w:rPr>
        <w:t>أخص</w:t>
      </w:r>
      <w:r w:rsidRPr="00FD211F">
        <w:rPr>
          <w:sz w:val="36"/>
          <w:szCs w:val="36"/>
          <w:rtl/>
        </w:rPr>
        <w:t xml:space="preserve"> لابد ان يكون في علم </w:t>
      </w:r>
      <w:r w:rsidR="00A70E0C" w:rsidRPr="00FD211F">
        <w:rPr>
          <w:sz w:val="36"/>
          <w:szCs w:val="36"/>
          <w:rtl/>
        </w:rPr>
        <w:t>يصير</w:t>
      </w:r>
      <w:r w:rsidRPr="00FD211F">
        <w:rPr>
          <w:sz w:val="36"/>
          <w:szCs w:val="36"/>
          <w:rtl/>
        </w:rPr>
        <w:t xml:space="preserve"> هذا العنوان موضوع</w:t>
      </w:r>
      <w:r w:rsidR="00A70E0C" w:rsidRPr="00FD211F">
        <w:rPr>
          <w:sz w:val="36"/>
          <w:szCs w:val="36"/>
          <w:rtl/>
        </w:rPr>
        <w:t>ا له</w:t>
      </w:r>
      <w:r w:rsidRPr="00FD211F">
        <w:rPr>
          <w:sz w:val="36"/>
          <w:szCs w:val="36"/>
          <w:rtl/>
        </w:rPr>
        <w:t xml:space="preserve"> غير العلم الذي يكون موضوعه </w:t>
      </w:r>
      <w:r w:rsidR="00A70E0C" w:rsidRPr="00FD211F">
        <w:rPr>
          <w:sz w:val="36"/>
          <w:szCs w:val="36"/>
          <w:rtl/>
        </w:rPr>
        <w:t>ال</w:t>
      </w:r>
      <w:r w:rsidRPr="00FD211F">
        <w:rPr>
          <w:sz w:val="36"/>
          <w:szCs w:val="36"/>
          <w:rtl/>
        </w:rPr>
        <w:t xml:space="preserve">عنوان </w:t>
      </w:r>
      <w:r w:rsidR="00A70E0C" w:rsidRPr="00FD211F">
        <w:rPr>
          <w:sz w:val="36"/>
          <w:szCs w:val="36"/>
          <w:rtl/>
        </w:rPr>
        <w:t>ال</w:t>
      </w:r>
      <w:r w:rsidR="0005437B" w:rsidRPr="00FD211F">
        <w:rPr>
          <w:sz w:val="36"/>
          <w:szCs w:val="36"/>
          <w:rtl/>
        </w:rPr>
        <w:t>اعم.</w:t>
      </w:r>
    </w:p>
    <w:p w14:paraId="56A70B6D" w14:textId="77777777" w:rsidR="000C5BBA" w:rsidRPr="00FD211F" w:rsidRDefault="00D34F28" w:rsidP="009C58C8">
      <w:pPr>
        <w:ind w:left="0" w:firstLine="227"/>
        <w:jc w:val="both"/>
        <w:rPr>
          <w:sz w:val="36"/>
          <w:szCs w:val="36"/>
          <w:rtl/>
        </w:rPr>
      </w:pPr>
      <w:r w:rsidRPr="00FD211F">
        <w:rPr>
          <w:sz w:val="36"/>
          <w:szCs w:val="36"/>
          <w:rtl/>
        </w:rPr>
        <w:t>وكذا ذكر في الاسف</w:t>
      </w:r>
      <w:r w:rsidR="0005437B" w:rsidRPr="00FD211F">
        <w:rPr>
          <w:sz w:val="36"/>
          <w:szCs w:val="36"/>
          <w:rtl/>
        </w:rPr>
        <w:t>ار:</w:t>
      </w:r>
      <w:r w:rsidR="00AB5594" w:rsidRPr="00FD211F">
        <w:rPr>
          <w:sz w:val="36"/>
          <w:szCs w:val="36"/>
          <w:rtl/>
        </w:rPr>
        <w:t xml:space="preserve"> ان كل عرض يحتاج في ثبوته للجنس الى تخصص هذا الجنس بخصوصي</w:t>
      </w:r>
      <w:r w:rsidR="00EC7EDF" w:rsidRPr="00FD211F">
        <w:rPr>
          <w:sz w:val="36"/>
          <w:szCs w:val="36"/>
          <w:rtl/>
        </w:rPr>
        <w:t xml:space="preserve">ة </w:t>
      </w:r>
      <w:r w:rsidR="00A70E0C" w:rsidRPr="00FD211F">
        <w:rPr>
          <w:sz w:val="36"/>
          <w:szCs w:val="36"/>
          <w:rtl/>
        </w:rPr>
        <w:t>في الرتب</w:t>
      </w:r>
      <w:r w:rsidR="00EC7EDF" w:rsidRPr="00FD211F">
        <w:rPr>
          <w:sz w:val="36"/>
          <w:szCs w:val="36"/>
          <w:rtl/>
        </w:rPr>
        <w:t xml:space="preserve">ة </w:t>
      </w:r>
      <w:r w:rsidR="00A70E0C" w:rsidRPr="00FD211F">
        <w:rPr>
          <w:sz w:val="36"/>
          <w:szCs w:val="36"/>
          <w:rtl/>
        </w:rPr>
        <w:t>السابق</w:t>
      </w:r>
      <w:r w:rsidR="00EC7EDF" w:rsidRPr="00FD211F">
        <w:rPr>
          <w:sz w:val="36"/>
          <w:szCs w:val="36"/>
          <w:rtl/>
        </w:rPr>
        <w:t xml:space="preserve">ة </w:t>
      </w:r>
      <w:r w:rsidR="00AB5594" w:rsidRPr="00FD211F">
        <w:rPr>
          <w:sz w:val="36"/>
          <w:szCs w:val="36"/>
          <w:rtl/>
        </w:rPr>
        <w:t>يكون من العوارض الغريب</w:t>
      </w:r>
      <w:r w:rsidR="00EC7EDF" w:rsidRPr="00FD211F">
        <w:rPr>
          <w:sz w:val="36"/>
          <w:szCs w:val="36"/>
          <w:rtl/>
        </w:rPr>
        <w:t xml:space="preserve">ة </w:t>
      </w:r>
      <w:r w:rsidR="00AB5594" w:rsidRPr="00FD211F">
        <w:rPr>
          <w:sz w:val="36"/>
          <w:szCs w:val="36"/>
          <w:rtl/>
        </w:rPr>
        <w:t>لذلك الجنس</w:t>
      </w:r>
      <w:r w:rsidR="00A70E0C" w:rsidRPr="00FD211F">
        <w:rPr>
          <w:sz w:val="36"/>
          <w:szCs w:val="36"/>
          <w:rtl/>
        </w:rPr>
        <w:t xml:space="preserve"> </w:t>
      </w:r>
      <w:r w:rsidR="0005437B" w:rsidRPr="00FD211F">
        <w:rPr>
          <w:sz w:val="36"/>
          <w:szCs w:val="36"/>
          <w:rtl/>
        </w:rPr>
        <w:t>(</w:t>
      </w:r>
      <w:r w:rsidR="00A70E0C" w:rsidRPr="00FD211F">
        <w:rPr>
          <w:sz w:val="36"/>
          <w:szCs w:val="36"/>
          <w:rtl/>
        </w:rPr>
        <w:t>كالضحك العارض للحيو</w:t>
      </w:r>
      <w:r w:rsidR="0005437B" w:rsidRPr="00FD211F">
        <w:rPr>
          <w:sz w:val="36"/>
          <w:szCs w:val="36"/>
          <w:rtl/>
        </w:rPr>
        <w:t>ان بعد تخصصه بخصوصي</w:t>
      </w:r>
      <w:r w:rsidR="00EC7EDF" w:rsidRPr="00FD211F">
        <w:rPr>
          <w:sz w:val="36"/>
          <w:szCs w:val="36"/>
          <w:rtl/>
        </w:rPr>
        <w:t xml:space="preserve">ة </w:t>
      </w:r>
      <w:r w:rsidR="0005437B" w:rsidRPr="00FD211F">
        <w:rPr>
          <w:sz w:val="36"/>
          <w:szCs w:val="36"/>
          <w:rtl/>
        </w:rPr>
        <w:t>كونه ناطقا)</w:t>
      </w:r>
      <w:r w:rsidR="00D052EE" w:rsidRPr="00FD211F">
        <w:rPr>
          <w:sz w:val="36"/>
          <w:szCs w:val="36"/>
          <w:rtl/>
        </w:rPr>
        <w:t>.</w:t>
      </w:r>
    </w:p>
    <w:p w14:paraId="616E3CBF" w14:textId="77777777" w:rsidR="001B10BC" w:rsidRPr="00FD211F" w:rsidRDefault="008D5A5A" w:rsidP="009C58C8">
      <w:pPr>
        <w:ind w:left="0" w:firstLine="227"/>
        <w:jc w:val="both"/>
        <w:rPr>
          <w:sz w:val="36"/>
          <w:szCs w:val="36"/>
          <w:rtl/>
        </w:rPr>
      </w:pPr>
      <w:r w:rsidRPr="00FD211F">
        <w:rPr>
          <w:sz w:val="36"/>
          <w:szCs w:val="36"/>
          <w:rtl/>
        </w:rPr>
        <w:t>فان مقتضى هاتين العبارتين خروج البحث عن عوارض النوع عن العلم الذي يكون موضوعه الجنس</w:t>
      </w:r>
      <w:r w:rsidR="00603323" w:rsidRPr="00FD211F">
        <w:rPr>
          <w:sz w:val="36"/>
          <w:szCs w:val="36"/>
          <w:rtl/>
        </w:rPr>
        <w:t xml:space="preserve">، </w:t>
      </w:r>
      <w:r w:rsidRPr="00FD211F">
        <w:rPr>
          <w:sz w:val="36"/>
          <w:szCs w:val="36"/>
          <w:rtl/>
        </w:rPr>
        <w:t xml:space="preserve">مع ان عوارض النوع تعرض الجنس </w:t>
      </w:r>
      <w:r w:rsidR="00DA3E85" w:rsidRPr="00FD211F">
        <w:rPr>
          <w:sz w:val="36"/>
          <w:szCs w:val="36"/>
          <w:rtl/>
        </w:rPr>
        <w:t xml:space="preserve">ضمنا وانما لاتعرضه </w:t>
      </w:r>
      <w:r w:rsidR="005B5A34" w:rsidRPr="00FD211F">
        <w:rPr>
          <w:sz w:val="36"/>
          <w:szCs w:val="36"/>
          <w:rtl/>
        </w:rPr>
        <w:t>استقلالا كما</w:t>
      </w:r>
      <w:r w:rsidR="00025303" w:rsidRPr="00FD211F">
        <w:rPr>
          <w:sz w:val="36"/>
          <w:szCs w:val="36"/>
          <w:rtl/>
        </w:rPr>
        <w:t xml:space="preserve"> مر</w:t>
      </w:r>
      <w:r w:rsidR="005B5A34" w:rsidRPr="00FD211F">
        <w:rPr>
          <w:sz w:val="36"/>
          <w:szCs w:val="36"/>
          <w:rtl/>
        </w:rPr>
        <w:t xml:space="preserve"> في</w:t>
      </w:r>
      <w:r w:rsidR="00025303" w:rsidRPr="00FD211F">
        <w:rPr>
          <w:sz w:val="36"/>
          <w:szCs w:val="36"/>
          <w:rtl/>
        </w:rPr>
        <w:t xml:space="preserve"> مثال</w:t>
      </w:r>
      <w:r w:rsidR="005B5A34" w:rsidRPr="00FD211F">
        <w:rPr>
          <w:sz w:val="36"/>
          <w:szCs w:val="36"/>
          <w:rtl/>
        </w:rPr>
        <w:t xml:space="preserve"> عروض وجوب الصلا</w:t>
      </w:r>
      <w:r w:rsidR="00EC7EDF" w:rsidRPr="00FD211F">
        <w:rPr>
          <w:sz w:val="36"/>
          <w:szCs w:val="36"/>
          <w:rtl/>
        </w:rPr>
        <w:t xml:space="preserve">ة </w:t>
      </w:r>
      <w:r w:rsidR="005B5A34" w:rsidRPr="00FD211F">
        <w:rPr>
          <w:sz w:val="36"/>
          <w:szCs w:val="36"/>
          <w:rtl/>
        </w:rPr>
        <w:t>لفعل المكلف الذي هو في ضمن الصلا</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77"/>
      </w:r>
      <w:r w:rsidR="009C58C8" w:rsidRPr="00FD211F">
        <w:rPr>
          <w:rStyle w:val="a6"/>
          <w:sz w:val="36"/>
          <w:szCs w:val="36"/>
          <w:rtl/>
        </w:rPr>
        <w:t>)</w:t>
      </w:r>
      <w:r w:rsidR="005E0FA3" w:rsidRPr="00FD211F">
        <w:rPr>
          <w:sz w:val="36"/>
          <w:szCs w:val="36"/>
          <w:rtl/>
        </w:rPr>
        <w:t>.</w:t>
      </w:r>
    </w:p>
    <w:p w14:paraId="5D1D57A8" w14:textId="77777777" w:rsidR="005E0FA3" w:rsidRPr="00FD211F" w:rsidRDefault="0081496C" w:rsidP="009C58C8">
      <w:pPr>
        <w:ind w:left="0" w:firstLine="227"/>
        <w:jc w:val="both"/>
        <w:rPr>
          <w:sz w:val="36"/>
          <w:szCs w:val="36"/>
          <w:rtl/>
        </w:rPr>
      </w:pPr>
      <w:r w:rsidRPr="00FD211F">
        <w:rPr>
          <w:sz w:val="36"/>
          <w:szCs w:val="36"/>
          <w:rtl/>
        </w:rPr>
        <w:t xml:space="preserve">اقول: يرد على ما ذكره المحقق العراقي </w:t>
      </w:r>
      <w:r w:rsidR="001D4F66" w:rsidRPr="00FD211F">
        <w:rPr>
          <w:sz w:val="36"/>
          <w:szCs w:val="36"/>
          <w:rtl/>
        </w:rPr>
        <w:t>"</w:t>
      </w:r>
      <w:r w:rsidRPr="00FD211F">
        <w:rPr>
          <w:sz w:val="36"/>
          <w:szCs w:val="36"/>
          <w:rtl/>
        </w:rPr>
        <w:t>قده</w:t>
      </w:r>
      <w:r w:rsidR="001D4F66" w:rsidRPr="00FD211F">
        <w:rPr>
          <w:sz w:val="36"/>
          <w:szCs w:val="36"/>
          <w:rtl/>
        </w:rPr>
        <w:t>"</w:t>
      </w:r>
      <w:r w:rsidRPr="00FD211F">
        <w:rPr>
          <w:sz w:val="36"/>
          <w:szCs w:val="36"/>
          <w:rtl/>
        </w:rPr>
        <w:t xml:space="preserve"> </w:t>
      </w:r>
      <w:r w:rsidRPr="00FD211F">
        <w:rPr>
          <w:b/>
          <w:bCs/>
          <w:sz w:val="36"/>
          <w:szCs w:val="36"/>
          <w:rtl/>
        </w:rPr>
        <w:t>اولا</w:t>
      </w:r>
      <w:r w:rsidR="001A3FB0" w:rsidRPr="00FD211F">
        <w:rPr>
          <w:sz w:val="36"/>
          <w:szCs w:val="36"/>
          <w:rtl/>
        </w:rPr>
        <w:t>:</w:t>
      </w:r>
      <w:r w:rsidRPr="00FD211F">
        <w:rPr>
          <w:sz w:val="36"/>
          <w:szCs w:val="36"/>
          <w:rtl/>
        </w:rPr>
        <w:t xml:space="preserve"> ان </w:t>
      </w:r>
      <w:r w:rsidR="005E0FA3" w:rsidRPr="00FD211F">
        <w:rPr>
          <w:sz w:val="36"/>
          <w:szCs w:val="36"/>
          <w:rtl/>
        </w:rPr>
        <w:t>ذيل كلام المحقق الطوسي</w:t>
      </w:r>
      <w:r w:rsidRPr="00FD211F">
        <w:rPr>
          <w:sz w:val="36"/>
          <w:szCs w:val="36"/>
          <w:rtl/>
        </w:rPr>
        <w:t xml:space="preserve"> </w:t>
      </w:r>
      <w:r w:rsidR="00F57B39" w:rsidRPr="00FD211F">
        <w:rPr>
          <w:sz w:val="36"/>
          <w:szCs w:val="36"/>
          <w:rtl/>
        </w:rPr>
        <w:t>"</w:t>
      </w:r>
      <w:r w:rsidRPr="00FD211F">
        <w:rPr>
          <w:sz w:val="36"/>
          <w:szCs w:val="36"/>
          <w:rtl/>
        </w:rPr>
        <w:t>ره</w:t>
      </w:r>
      <w:r w:rsidR="00F57B39" w:rsidRPr="00FD211F">
        <w:rPr>
          <w:sz w:val="36"/>
          <w:szCs w:val="36"/>
          <w:rtl/>
        </w:rPr>
        <w:t>"</w:t>
      </w:r>
      <w:r w:rsidR="005E0FA3" w:rsidRPr="00FD211F">
        <w:rPr>
          <w:sz w:val="36"/>
          <w:szCs w:val="36"/>
          <w:rtl/>
        </w:rPr>
        <w:t xml:space="preserve"> صريح في خلاف ما </w:t>
      </w:r>
      <w:r w:rsidRPr="00FD211F">
        <w:rPr>
          <w:sz w:val="36"/>
          <w:szCs w:val="36"/>
          <w:rtl/>
        </w:rPr>
        <w:t>استظهره من كلامه</w:t>
      </w:r>
      <w:r w:rsidR="00603323" w:rsidRPr="00FD211F">
        <w:rPr>
          <w:sz w:val="36"/>
          <w:szCs w:val="36"/>
          <w:rtl/>
        </w:rPr>
        <w:t xml:space="preserve">، </w:t>
      </w:r>
      <w:r w:rsidR="005E0FA3" w:rsidRPr="00FD211F">
        <w:rPr>
          <w:sz w:val="36"/>
          <w:szCs w:val="36"/>
          <w:rtl/>
        </w:rPr>
        <w:t>حيث ذكر ان البحث عن عوارض النوع مندرج في علم الجنس ولكن البحث عن الموضوع الذي كانت اخصيته من موضوع العلم لأمر عرضي فلا كالبحث في علم ا</w:t>
      </w:r>
      <w:r w:rsidR="001A3FB0" w:rsidRPr="00FD211F">
        <w:rPr>
          <w:sz w:val="36"/>
          <w:szCs w:val="36"/>
          <w:rtl/>
        </w:rPr>
        <w:t>لحيوان عن الحيوان الطويل القام</w:t>
      </w:r>
      <w:r w:rsidR="00EC7EDF" w:rsidRPr="00FD211F">
        <w:rPr>
          <w:sz w:val="36"/>
          <w:szCs w:val="36"/>
          <w:rtl/>
        </w:rPr>
        <w:t>ة</w:t>
      </w:r>
      <w:r w:rsidR="00603323" w:rsidRPr="00FD211F">
        <w:rPr>
          <w:sz w:val="36"/>
          <w:szCs w:val="36"/>
          <w:rtl/>
        </w:rPr>
        <w:t xml:space="preserve">، </w:t>
      </w:r>
      <w:r w:rsidR="001A3FB0" w:rsidRPr="00FD211F">
        <w:rPr>
          <w:sz w:val="36"/>
          <w:szCs w:val="36"/>
          <w:rtl/>
        </w:rPr>
        <w:t>فانه لايكون بحثا عن العرض الذاتي للحيوان</w:t>
      </w:r>
      <w:r w:rsidR="009C58C8" w:rsidRPr="00FD211F">
        <w:rPr>
          <w:rStyle w:val="a6"/>
          <w:sz w:val="36"/>
          <w:szCs w:val="36"/>
          <w:rtl/>
        </w:rPr>
        <w:t>(</w:t>
      </w:r>
      <w:r w:rsidR="009C58C8" w:rsidRPr="00FD211F">
        <w:rPr>
          <w:rStyle w:val="a6"/>
          <w:sz w:val="36"/>
          <w:szCs w:val="36"/>
          <w:rtl/>
        </w:rPr>
        <w:footnoteReference w:id="78"/>
      </w:r>
      <w:r w:rsidR="009C58C8" w:rsidRPr="00FD211F">
        <w:rPr>
          <w:rStyle w:val="a6"/>
          <w:sz w:val="36"/>
          <w:szCs w:val="36"/>
          <w:rtl/>
        </w:rPr>
        <w:t>)</w:t>
      </w:r>
      <w:r w:rsidR="00603323" w:rsidRPr="00FD211F">
        <w:rPr>
          <w:sz w:val="36"/>
          <w:szCs w:val="36"/>
          <w:rtl/>
        </w:rPr>
        <w:t xml:space="preserve">، </w:t>
      </w:r>
      <w:r w:rsidR="00FE4B85" w:rsidRPr="00FD211F">
        <w:rPr>
          <w:sz w:val="36"/>
          <w:szCs w:val="36"/>
          <w:rtl/>
        </w:rPr>
        <w:t>نعم ما نقله عن صاحب الاسفار مطابق لما هو الموجود في الاسفار كما سيأتي توضيحه</w:t>
      </w:r>
      <w:r w:rsidR="00FE3E1D" w:rsidRPr="00FD211F">
        <w:rPr>
          <w:sz w:val="36"/>
          <w:szCs w:val="36"/>
          <w:rtl/>
        </w:rPr>
        <w:t>.</w:t>
      </w:r>
    </w:p>
    <w:p w14:paraId="49B8B3ED" w14:textId="77777777" w:rsidR="00FE3E1D" w:rsidRPr="00FD211F" w:rsidRDefault="001A3FB0" w:rsidP="009C58C8">
      <w:pPr>
        <w:ind w:left="0" w:firstLine="227"/>
        <w:jc w:val="both"/>
        <w:rPr>
          <w:sz w:val="36"/>
          <w:szCs w:val="36"/>
          <w:rtl/>
        </w:rPr>
      </w:pPr>
      <w:r w:rsidRPr="00FD211F">
        <w:rPr>
          <w:b/>
          <w:bCs/>
          <w:sz w:val="36"/>
          <w:szCs w:val="36"/>
          <w:rtl/>
        </w:rPr>
        <w:t>وثانيا</w:t>
      </w:r>
      <w:r w:rsidRPr="00FD211F">
        <w:rPr>
          <w:sz w:val="36"/>
          <w:szCs w:val="36"/>
          <w:rtl/>
        </w:rPr>
        <w:t>:</w:t>
      </w:r>
      <w:r w:rsidR="00FE3E1D" w:rsidRPr="00FD211F">
        <w:rPr>
          <w:sz w:val="36"/>
          <w:szCs w:val="36"/>
          <w:rtl/>
        </w:rPr>
        <w:t xml:space="preserve"> انه لاوجه للفرق بين الحمل الحقيقي والعروض الحقيقي</w:t>
      </w:r>
      <w:r w:rsidR="00603323" w:rsidRPr="00FD211F">
        <w:rPr>
          <w:sz w:val="36"/>
          <w:szCs w:val="36"/>
          <w:rtl/>
        </w:rPr>
        <w:t xml:space="preserve">، </w:t>
      </w:r>
      <w:r w:rsidR="00FE3E1D" w:rsidRPr="00FD211F">
        <w:rPr>
          <w:sz w:val="36"/>
          <w:szCs w:val="36"/>
          <w:rtl/>
        </w:rPr>
        <w:t>فانه اذا كان الملحوظ هو الوجود الخارجي ف</w:t>
      </w:r>
      <w:r w:rsidR="0005437B" w:rsidRPr="00FD211F">
        <w:rPr>
          <w:sz w:val="36"/>
          <w:szCs w:val="36"/>
          <w:rtl/>
        </w:rPr>
        <w:t>ما</w:t>
      </w:r>
      <w:r w:rsidR="00373E0B" w:rsidRPr="00FD211F">
        <w:rPr>
          <w:sz w:val="36"/>
          <w:szCs w:val="36"/>
          <w:rtl/>
        </w:rPr>
        <w:t xml:space="preserve"> يعرض </w:t>
      </w:r>
      <w:r w:rsidR="00FE3E1D" w:rsidRPr="00FD211F">
        <w:rPr>
          <w:sz w:val="36"/>
          <w:szCs w:val="36"/>
          <w:rtl/>
        </w:rPr>
        <w:t>الفصل</w:t>
      </w:r>
      <w:r w:rsidR="00373E0B" w:rsidRPr="00FD211F">
        <w:rPr>
          <w:sz w:val="36"/>
          <w:szCs w:val="36"/>
          <w:rtl/>
        </w:rPr>
        <w:t xml:space="preserve"> </w:t>
      </w:r>
      <w:r w:rsidR="00C45502" w:rsidRPr="00FD211F">
        <w:rPr>
          <w:sz w:val="36"/>
          <w:szCs w:val="36"/>
          <w:rtl/>
        </w:rPr>
        <w:t xml:space="preserve">يكون عارضا للجنس </w:t>
      </w:r>
      <w:r w:rsidR="00373E0B" w:rsidRPr="00FD211F">
        <w:rPr>
          <w:sz w:val="36"/>
          <w:szCs w:val="36"/>
          <w:rtl/>
        </w:rPr>
        <w:t>الذي يكون في ضمن هذا الفصل</w:t>
      </w:r>
      <w:r w:rsidR="00FE3E1D" w:rsidRPr="00FD211F">
        <w:rPr>
          <w:sz w:val="36"/>
          <w:szCs w:val="36"/>
          <w:rtl/>
        </w:rPr>
        <w:t xml:space="preserve"> لاتحادهما وجودا</w:t>
      </w:r>
      <w:r w:rsidR="00603323" w:rsidRPr="00FD211F">
        <w:rPr>
          <w:sz w:val="36"/>
          <w:szCs w:val="36"/>
          <w:rtl/>
        </w:rPr>
        <w:t xml:space="preserve">، </w:t>
      </w:r>
      <w:r w:rsidR="00C45502" w:rsidRPr="00FD211F">
        <w:rPr>
          <w:sz w:val="36"/>
          <w:szCs w:val="36"/>
          <w:rtl/>
        </w:rPr>
        <w:t xml:space="preserve">وهذا مثل </w:t>
      </w:r>
      <w:r w:rsidR="0005437B" w:rsidRPr="00FD211F">
        <w:rPr>
          <w:sz w:val="36"/>
          <w:szCs w:val="36"/>
          <w:rtl/>
        </w:rPr>
        <w:t>إدراك الكليات حيث يعرض النفس الناطق</w:t>
      </w:r>
      <w:r w:rsidR="00EC7EDF" w:rsidRPr="00FD211F">
        <w:rPr>
          <w:sz w:val="36"/>
          <w:szCs w:val="36"/>
          <w:rtl/>
        </w:rPr>
        <w:t xml:space="preserve">ة </w:t>
      </w:r>
      <w:r w:rsidR="00C45502" w:rsidRPr="00FD211F">
        <w:rPr>
          <w:sz w:val="36"/>
          <w:szCs w:val="36"/>
          <w:rtl/>
        </w:rPr>
        <w:t>فيكون عارضا للحيوان</w:t>
      </w:r>
      <w:r w:rsidR="00603323" w:rsidRPr="00FD211F">
        <w:rPr>
          <w:sz w:val="36"/>
          <w:szCs w:val="36"/>
          <w:rtl/>
        </w:rPr>
        <w:t xml:space="preserve">، </w:t>
      </w:r>
      <w:r w:rsidR="00373E0B" w:rsidRPr="00FD211F">
        <w:rPr>
          <w:sz w:val="36"/>
          <w:szCs w:val="36"/>
          <w:rtl/>
        </w:rPr>
        <w:t>ف</w:t>
      </w:r>
      <w:r w:rsidR="009E5671" w:rsidRPr="00FD211F">
        <w:rPr>
          <w:sz w:val="36"/>
          <w:szCs w:val="36"/>
          <w:rtl/>
        </w:rPr>
        <w:t xml:space="preserve">يكون </w:t>
      </w:r>
      <w:r w:rsidR="00373E0B" w:rsidRPr="00FD211F">
        <w:rPr>
          <w:sz w:val="36"/>
          <w:szCs w:val="36"/>
          <w:rtl/>
        </w:rPr>
        <w:t>الحمل والعروض في قولنا</w:t>
      </w:r>
      <w:r w:rsidR="00E4315C" w:rsidRPr="00FD211F">
        <w:rPr>
          <w:sz w:val="36"/>
          <w:szCs w:val="36"/>
          <w:rtl/>
        </w:rPr>
        <w:t>"</w:t>
      </w:r>
      <w:r w:rsidR="00373E0B" w:rsidRPr="00FD211F">
        <w:rPr>
          <w:sz w:val="36"/>
          <w:szCs w:val="36"/>
          <w:rtl/>
        </w:rPr>
        <w:t xml:space="preserve"> بعض الحيوان مدرك للكليات</w:t>
      </w:r>
      <w:r w:rsidR="00E4315C" w:rsidRPr="00FD211F">
        <w:rPr>
          <w:sz w:val="36"/>
          <w:szCs w:val="36"/>
          <w:rtl/>
        </w:rPr>
        <w:t>"</w:t>
      </w:r>
      <w:r w:rsidR="00373E0B" w:rsidRPr="00FD211F">
        <w:rPr>
          <w:sz w:val="36"/>
          <w:szCs w:val="36"/>
          <w:rtl/>
        </w:rPr>
        <w:t xml:space="preserve"> حملا وعروضا حقيقيا معا</w:t>
      </w:r>
      <w:r w:rsidR="00603323" w:rsidRPr="00FD211F">
        <w:rPr>
          <w:sz w:val="36"/>
          <w:szCs w:val="36"/>
          <w:rtl/>
        </w:rPr>
        <w:t xml:space="preserve">، </w:t>
      </w:r>
      <w:r w:rsidR="00FE3E1D" w:rsidRPr="00FD211F">
        <w:rPr>
          <w:sz w:val="36"/>
          <w:szCs w:val="36"/>
          <w:rtl/>
        </w:rPr>
        <w:t>وان كان الملحوظ هو</w:t>
      </w:r>
      <w:r w:rsidR="00373E0B" w:rsidRPr="00FD211F">
        <w:rPr>
          <w:sz w:val="36"/>
          <w:szCs w:val="36"/>
          <w:rtl/>
        </w:rPr>
        <w:t xml:space="preserve"> المفهوم</w:t>
      </w:r>
      <w:r w:rsidR="0043169F" w:rsidRPr="00FD211F">
        <w:rPr>
          <w:sz w:val="36"/>
          <w:szCs w:val="36"/>
          <w:rtl/>
        </w:rPr>
        <w:t xml:space="preserve"> </w:t>
      </w:r>
      <w:r w:rsidR="00C45502" w:rsidRPr="00FD211F">
        <w:rPr>
          <w:sz w:val="36"/>
          <w:szCs w:val="36"/>
          <w:rtl/>
        </w:rPr>
        <w:t>-</w:t>
      </w:r>
      <w:r w:rsidR="0043169F" w:rsidRPr="00FD211F">
        <w:rPr>
          <w:sz w:val="36"/>
          <w:szCs w:val="36"/>
          <w:rtl/>
        </w:rPr>
        <w:t xml:space="preserve">الذي </w:t>
      </w:r>
      <w:r w:rsidR="00C45502" w:rsidRPr="00FD211F">
        <w:rPr>
          <w:sz w:val="36"/>
          <w:szCs w:val="36"/>
          <w:rtl/>
        </w:rPr>
        <w:t xml:space="preserve">هو المناط في </w:t>
      </w:r>
      <w:r w:rsidR="0043169F" w:rsidRPr="00FD211F">
        <w:rPr>
          <w:sz w:val="36"/>
          <w:szCs w:val="36"/>
          <w:rtl/>
        </w:rPr>
        <w:t>الحمل الاولي بين الموضوع والمحمول</w:t>
      </w:r>
      <w:r w:rsidR="00C45502" w:rsidRPr="00FD211F">
        <w:rPr>
          <w:sz w:val="36"/>
          <w:szCs w:val="36"/>
          <w:rtl/>
        </w:rPr>
        <w:t>-</w:t>
      </w:r>
      <w:r w:rsidR="0043169F" w:rsidRPr="00FD211F">
        <w:rPr>
          <w:sz w:val="36"/>
          <w:szCs w:val="36"/>
          <w:rtl/>
        </w:rPr>
        <w:t xml:space="preserve"> فلاحمل اولي </w:t>
      </w:r>
      <w:r w:rsidR="00FE3E1D" w:rsidRPr="00FD211F">
        <w:rPr>
          <w:sz w:val="36"/>
          <w:szCs w:val="36"/>
          <w:rtl/>
        </w:rPr>
        <w:t>بين الجنس والفصل</w:t>
      </w:r>
      <w:r w:rsidR="005E74F7" w:rsidRPr="00FD211F">
        <w:rPr>
          <w:sz w:val="36"/>
          <w:szCs w:val="36"/>
          <w:rtl/>
        </w:rPr>
        <w:t xml:space="preserve"> </w:t>
      </w:r>
      <w:r w:rsidR="0043169F" w:rsidRPr="00FD211F">
        <w:rPr>
          <w:sz w:val="36"/>
          <w:szCs w:val="36"/>
          <w:rtl/>
        </w:rPr>
        <w:t>لاختلافهما مفهوما</w:t>
      </w:r>
      <w:r w:rsidR="00603323" w:rsidRPr="00FD211F">
        <w:rPr>
          <w:sz w:val="36"/>
          <w:szCs w:val="36"/>
          <w:rtl/>
        </w:rPr>
        <w:t xml:space="preserve">، </w:t>
      </w:r>
      <w:r w:rsidR="005E74F7" w:rsidRPr="00FD211F">
        <w:rPr>
          <w:sz w:val="36"/>
          <w:szCs w:val="36"/>
          <w:rtl/>
        </w:rPr>
        <w:t>فكيف بحمل عوارض احدهما على الآخر</w:t>
      </w:r>
      <w:r w:rsidR="00A5773B" w:rsidRPr="00FD211F">
        <w:rPr>
          <w:sz w:val="36"/>
          <w:szCs w:val="36"/>
          <w:rtl/>
        </w:rPr>
        <w:t xml:space="preserve"> </w:t>
      </w:r>
      <w:r w:rsidR="00C45502" w:rsidRPr="00FD211F">
        <w:rPr>
          <w:sz w:val="36"/>
          <w:szCs w:val="36"/>
          <w:rtl/>
        </w:rPr>
        <w:t>بالحمل الاولي</w:t>
      </w:r>
      <w:r w:rsidR="00603323" w:rsidRPr="00FD211F">
        <w:rPr>
          <w:sz w:val="36"/>
          <w:szCs w:val="36"/>
          <w:rtl/>
        </w:rPr>
        <w:t xml:space="preserve">، </w:t>
      </w:r>
      <w:r w:rsidR="005E74F7" w:rsidRPr="00FD211F">
        <w:rPr>
          <w:sz w:val="36"/>
          <w:szCs w:val="36"/>
          <w:rtl/>
        </w:rPr>
        <w:t>ف</w:t>
      </w:r>
      <w:r w:rsidR="0043169F" w:rsidRPr="00FD211F">
        <w:rPr>
          <w:sz w:val="36"/>
          <w:szCs w:val="36"/>
          <w:rtl/>
        </w:rPr>
        <w:t>ينحصر الحمل</w:t>
      </w:r>
      <w:r w:rsidR="00B44FFE" w:rsidRPr="00FD211F">
        <w:rPr>
          <w:sz w:val="36"/>
          <w:szCs w:val="36"/>
          <w:rtl/>
        </w:rPr>
        <w:t xml:space="preserve"> بين الجنس والفصل</w:t>
      </w:r>
      <w:r w:rsidR="0043169F" w:rsidRPr="00FD211F">
        <w:rPr>
          <w:sz w:val="36"/>
          <w:szCs w:val="36"/>
          <w:rtl/>
        </w:rPr>
        <w:t xml:space="preserve"> بالحمل الشايع الصناعي</w:t>
      </w:r>
      <w:r w:rsidR="005E74F7" w:rsidRPr="00FD211F">
        <w:rPr>
          <w:sz w:val="36"/>
          <w:szCs w:val="36"/>
          <w:rtl/>
        </w:rPr>
        <w:t xml:space="preserve"> الذي يلحظ فيه الوجود الخارجي</w:t>
      </w:r>
      <w:r w:rsidR="00603323" w:rsidRPr="00FD211F">
        <w:rPr>
          <w:sz w:val="36"/>
          <w:szCs w:val="36"/>
          <w:rtl/>
        </w:rPr>
        <w:t xml:space="preserve">، </w:t>
      </w:r>
      <w:r w:rsidR="005E74F7" w:rsidRPr="00FD211F">
        <w:rPr>
          <w:sz w:val="36"/>
          <w:szCs w:val="36"/>
          <w:rtl/>
        </w:rPr>
        <w:t>وحينئذ يكون عارض الفصل عارض الجنس حقيق</w:t>
      </w:r>
      <w:r w:rsidR="00EC7EDF" w:rsidRPr="00FD211F">
        <w:rPr>
          <w:sz w:val="36"/>
          <w:szCs w:val="36"/>
          <w:rtl/>
        </w:rPr>
        <w:t xml:space="preserve">ة </w:t>
      </w:r>
      <w:r w:rsidR="005E74F7" w:rsidRPr="00FD211F">
        <w:rPr>
          <w:sz w:val="36"/>
          <w:szCs w:val="36"/>
          <w:rtl/>
        </w:rPr>
        <w:t>لاتحادهما في الوجود</w:t>
      </w:r>
      <w:r w:rsidR="00FE3E1D" w:rsidRPr="00FD211F">
        <w:rPr>
          <w:sz w:val="36"/>
          <w:szCs w:val="36"/>
          <w:rtl/>
        </w:rPr>
        <w:t>.</w:t>
      </w:r>
    </w:p>
    <w:p w14:paraId="4DDB7A84" w14:textId="77777777" w:rsidR="00744B75" w:rsidRPr="00FD211F" w:rsidRDefault="00744B75" w:rsidP="009C58C8">
      <w:pPr>
        <w:ind w:left="0" w:firstLine="227"/>
        <w:jc w:val="both"/>
        <w:rPr>
          <w:sz w:val="36"/>
          <w:szCs w:val="36"/>
          <w:rtl/>
        </w:rPr>
      </w:pPr>
      <w:r w:rsidRPr="00FD211F">
        <w:rPr>
          <w:sz w:val="36"/>
          <w:szCs w:val="36"/>
          <w:rtl/>
        </w:rPr>
        <w:t xml:space="preserve">نعم </w:t>
      </w:r>
      <w:r w:rsidR="001F2B17" w:rsidRPr="00FD211F">
        <w:rPr>
          <w:sz w:val="36"/>
          <w:szCs w:val="36"/>
          <w:rtl/>
        </w:rPr>
        <w:t>يمكن تعقل الفرق بين العروض والحمل بان</w:t>
      </w:r>
      <w:r w:rsidR="00FE4B85" w:rsidRPr="00FD211F">
        <w:rPr>
          <w:sz w:val="36"/>
          <w:szCs w:val="36"/>
          <w:rtl/>
        </w:rPr>
        <w:t xml:space="preserve"> يكون المناط في الحمل الحقيقي هو النظر العرفي</w:t>
      </w:r>
      <w:r w:rsidR="00603323" w:rsidRPr="00FD211F">
        <w:rPr>
          <w:sz w:val="36"/>
          <w:szCs w:val="36"/>
          <w:rtl/>
        </w:rPr>
        <w:t xml:space="preserve">، </w:t>
      </w:r>
      <w:r w:rsidR="00FE4B85" w:rsidRPr="00FD211F">
        <w:rPr>
          <w:sz w:val="36"/>
          <w:szCs w:val="36"/>
          <w:rtl/>
        </w:rPr>
        <w:t>وفي العروض الحقيقي هو النظر العقلي</w:t>
      </w:r>
      <w:r w:rsidR="00603323" w:rsidRPr="00FD211F">
        <w:rPr>
          <w:sz w:val="36"/>
          <w:szCs w:val="36"/>
          <w:rtl/>
        </w:rPr>
        <w:t xml:space="preserve">، </w:t>
      </w:r>
      <w:r w:rsidR="00FE4B85" w:rsidRPr="00FD211F">
        <w:rPr>
          <w:sz w:val="36"/>
          <w:szCs w:val="36"/>
          <w:rtl/>
        </w:rPr>
        <w:t>ولاريب في اختلاف النظر العرفي والعقلي أحيانا</w:t>
      </w:r>
      <w:r w:rsidR="00603323" w:rsidRPr="00FD211F">
        <w:rPr>
          <w:sz w:val="36"/>
          <w:szCs w:val="36"/>
          <w:rtl/>
        </w:rPr>
        <w:t xml:space="preserve">، </w:t>
      </w:r>
      <w:r w:rsidR="00FE4B85" w:rsidRPr="00FD211F">
        <w:rPr>
          <w:sz w:val="36"/>
          <w:szCs w:val="36"/>
          <w:rtl/>
        </w:rPr>
        <w:t>كما في قولنا الماهي</w:t>
      </w:r>
      <w:r w:rsidR="00EC7EDF" w:rsidRPr="00FD211F">
        <w:rPr>
          <w:sz w:val="36"/>
          <w:szCs w:val="36"/>
          <w:rtl/>
        </w:rPr>
        <w:t xml:space="preserve">ة </w:t>
      </w:r>
      <w:r w:rsidR="00FE4B85" w:rsidRPr="00FD211F">
        <w:rPr>
          <w:sz w:val="36"/>
          <w:szCs w:val="36"/>
          <w:rtl/>
        </w:rPr>
        <w:t>موجود</w:t>
      </w:r>
      <w:r w:rsidR="00EC7EDF" w:rsidRPr="00FD211F">
        <w:rPr>
          <w:sz w:val="36"/>
          <w:szCs w:val="36"/>
          <w:rtl/>
        </w:rPr>
        <w:t xml:space="preserve">ة </w:t>
      </w:r>
      <w:r w:rsidR="00FE4B85" w:rsidRPr="00FD211F">
        <w:rPr>
          <w:sz w:val="36"/>
          <w:szCs w:val="36"/>
          <w:rtl/>
        </w:rPr>
        <w:t xml:space="preserve">فانه </w:t>
      </w:r>
      <w:r w:rsidR="00B33325" w:rsidRPr="00FD211F">
        <w:rPr>
          <w:sz w:val="36"/>
          <w:szCs w:val="36"/>
          <w:rtl/>
        </w:rPr>
        <w:t xml:space="preserve">حمل </w:t>
      </w:r>
      <w:r w:rsidR="00FE4B85" w:rsidRPr="00FD211F">
        <w:rPr>
          <w:sz w:val="36"/>
          <w:szCs w:val="36"/>
          <w:rtl/>
        </w:rPr>
        <w:t>حقيقي بالنظر العرفي ومجاز بالنظر العقلي</w:t>
      </w:r>
      <w:r w:rsidR="00603323" w:rsidRPr="00FD211F">
        <w:rPr>
          <w:sz w:val="36"/>
          <w:szCs w:val="36"/>
          <w:rtl/>
        </w:rPr>
        <w:t xml:space="preserve">، </w:t>
      </w:r>
      <w:r w:rsidR="00FE4B85" w:rsidRPr="00FD211F">
        <w:rPr>
          <w:sz w:val="36"/>
          <w:szCs w:val="36"/>
          <w:rtl/>
        </w:rPr>
        <w:t>ولك</w:t>
      </w:r>
      <w:r w:rsidR="00B33325" w:rsidRPr="00FD211F">
        <w:rPr>
          <w:sz w:val="36"/>
          <w:szCs w:val="36"/>
          <w:rtl/>
        </w:rPr>
        <w:t>نه لاينطبق على كلامهم</w:t>
      </w:r>
      <w:r w:rsidR="00603323" w:rsidRPr="00FD211F">
        <w:rPr>
          <w:sz w:val="36"/>
          <w:szCs w:val="36"/>
          <w:rtl/>
        </w:rPr>
        <w:t xml:space="preserve">، </w:t>
      </w:r>
      <w:r w:rsidR="00B33325" w:rsidRPr="00FD211F">
        <w:rPr>
          <w:sz w:val="36"/>
          <w:szCs w:val="36"/>
          <w:rtl/>
        </w:rPr>
        <w:t>على انه اجنبي عما</w:t>
      </w:r>
      <w:r w:rsidR="00B51840" w:rsidRPr="00FD211F">
        <w:rPr>
          <w:sz w:val="36"/>
          <w:szCs w:val="36"/>
          <w:rtl/>
        </w:rPr>
        <w:t xml:space="preserve"> </w:t>
      </w:r>
      <w:r w:rsidR="00B33325" w:rsidRPr="00FD211F">
        <w:rPr>
          <w:sz w:val="36"/>
          <w:szCs w:val="36"/>
          <w:rtl/>
        </w:rPr>
        <w:t>هو</w:t>
      </w:r>
      <w:r w:rsidR="00B51840" w:rsidRPr="00FD211F">
        <w:rPr>
          <w:sz w:val="36"/>
          <w:szCs w:val="36"/>
          <w:rtl/>
        </w:rPr>
        <w:t xml:space="preserve"> </w:t>
      </w:r>
      <w:r w:rsidR="00B33325" w:rsidRPr="00FD211F">
        <w:rPr>
          <w:sz w:val="36"/>
          <w:szCs w:val="36"/>
          <w:rtl/>
        </w:rPr>
        <w:t>محل البحث في المقام</w:t>
      </w:r>
      <w:r w:rsidR="00EC7EDF" w:rsidRPr="00FD211F">
        <w:rPr>
          <w:sz w:val="36"/>
          <w:szCs w:val="36"/>
          <w:rtl/>
        </w:rPr>
        <w:t>.</w:t>
      </w:r>
    </w:p>
    <w:p w14:paraId="77F7F79C" w14:textId="77777777" w:rsidR="00C45502" w:rsidRPr="00FD211F" w:rsidRDefault="00C45502" w:rsidP="009C58C8">
      <w:pPr>
        <w:pStyle w:val="3"/>
        <w:ind w:firstLine="227"/>
        <w:jc w:val="both"/>
        <w:rPr>
          <w:rtl/>
        </w:rPr>
      </w:pPr>
      <w:bookmarkStart w:id="75" w:name="_Toc223890317"/>
      <w:r w:rsidRPr="00FD211F">
        <w:rPr>
          <w:rtl/>
        </w:rPr>
        <w:t>تعريف البحوث للعوارض الذاتي</w:t>
      </w:r>
      <w:r w:rsidR="00EC7EDF" w:rsidRPr="00FD211F">
        <w:rPr>
          <w:rtl/>
        </w:rPr>
        <w:t>ة</w:t>
      </w:r>
      <w:bookmarkEnd w:id="75"/>
      <w:r w:rsidR="00EC7EDF" w:rsidRPr="00FD211F">
        <w:rPr>
          <w:rtl/>
        </w:rPr>
        <w:t xml:space="preserve"> </w:t>
      </w:r>
    </w:p>
    <w:p w14:paraId="7EE31DD2" w14:textId="77777777" w:rsidR="006B7B90" w:rsidRPr="00FD211F" w:rsidRDefault="0039201E" w:rsidP="009C58C8">
      <w:pPr>
        <w:ind w:left="0" w:firstLine="227"/>
        <w:jc w:val="both"/>
        <w:rPr>
          <w:sz w:val="36"/>
          <w:szCs w:val="36"/>
          <w:rtl/>
        </w:rPr>
      </w:pPr>
      <w:r w:rsidRPr="00FD211F">
        <w:rPr>
          <w:b/>
          <w:bCs/>
          <w:sz w:val="36"/>
          <w:szCs w:val="36"/>
          <w:rtl/>
        </w:rPr>
        <w:t>الثالث</w:t>
      </w:r>
      <w:r w:rsidR="00E4315C" w:rsidRPr="00FD211F">
        <w:rPr>
          <w:sz w:val="36"/>
          <w:szCs w:val="36"/>
          <w:rtl/>
        </w:rPr>
        <w:t>: ما ذكره</w:t>
      </w:r>
      <w:r w:rsidR="00F57B39" w:rsidRPr="00FD211F">
        <w:rPr>
          <w:sz w:val="36"/>
          <w:szCs w:val="36"/>
          <w:rtl/>
        </w:rPr>
        <w:t xml:space="preserve"> </w:t>
      </w:r>
      <w:r w:rsidR="00E4315C" w:rsidRPr="00FD211F">
        <w:rPr>
          <w:sz w:val="36"/>
          <w:szCs w:val="36"/>
          <w:rtl/>
        </w:rPr>
        <w:t>في البحوث</w:t>
      </w:r>
      <w:r w:rsidRPr="00FD211F">
        <w:rPr>
          <w:sz w:val="36"/>
          <w:szCs w:val="36"/>
          <w:rtl/>
        </w:rPr>
        <w:t xml:space="preserve"> من ان العرض الذاتي لل</w:t>
      </w:r>
      <w:r w:rsidR="008D7B3D" w:rsidRPr="00FD211F">
        <w:rPr>
          <w:sz w:val="36"/>
          <w:szCs w:val="36"/>
          <w:rtl/>
        </w:rPr>
        <w:t xml:space="preserve">شيء </w:t>
      </w:r>
      <w:r w:rsidRPr="00FD211F">
        <w:rPr>
          <w:sz w:val="36"/>
          <w:szCs w:val="36"/>
          <w:rtl/>
        </w:rPr>
        <w:t xml:space="preserve">هو ما </w:t>
      </w:r>
      <w:r w:rsidR="00B44FFE" w:rsidRPr="00FD211F">
        <w:rPr>
          <w:sz w:val="36"/>
          <w:szCs w:val="36"/>
          <w:rtl/>
        </w:rPr>
        <w:t>يوجد بوجود ذلك ال</w:t>
      </w:r>
      <w:r w:rsidR="008D7B3D" w:rsidRPr="00FD211F">
        <w:rPr>
          <w:sz w:val="36"/>
          <w:szCs w:val="36"/>
          <w:rtl/>
        </w:rPr>
        <w:t xml:space="preserve">شيء </w:t>
      </w:r>
      <w:r w:rsidR="00B44FFE" w:rsidRPr="00FD211F">
        <w:rPr>
          <w:sz w:val="36"/>
          <w:szCs w:val="36"/>
          <w:rtl/>
        </w:rPr>
        <w:t>وينتفي بانتفاءه</w:t>
      </w:r>
      <w:r w:rsidR="00603323" w:rsidRPr="00FD211F">
        <w:rPr>
          <w:sz w:val="36"/>
          <w:szCs w:val="36"/>
          <w:rtl/>
        </w:rPr>
        <w:t xml:space="preserve">، </w:t>
      </w:r>
      <w:r w:rsidR="00025303" w:rsidRPr="00FD211F">
        <w:rPr>
          <w:sz w:val="36"/>
          <w:szCs w:val="36"/>
          <w:rtl/>
        </w:rPr>
        <w:t>توضيح ذلك</w:t>
      </w:r>
      <w:r w:rsidRPr="00FD211F">
        <w:rPr>
          <w:sz w:val="36"/>
          <w:szCs w:val="36"/>
          <w:rtl/>
        </w:rPr>
        <w:t xml:space="preserve"> ان للعرض محل</w:t>
      </w:r>
      <w:r w:rsidR="00025303" w:rsidRPr="00FD211F">
        <w:rPr>
          <w:sz w:val="36"/>
          <w:szCs w:val="36"/>
          <w:rtl/>
        </w:rPr>
        <w:t>ا</w:t>
      </w:r>
      <w:r w:rsidRPr="00FD211F">
        <w:rPr>
          <w:sz w:val="36"/>
          <w:szCs w:val="36"/>
          <w:rtl/>
        </w:rPr>
        <w:t xml:space="preserve"> ومنشأ</w:t>
      </w:r>
      <w:r w:rsidR="00603323" w:rsidRPr="00FD211F">
        <w:rPr>
          <w:sz w:val="36"/>
          <w:szCs w:val="36"/>
          <w:rtl/>
        </w:rPr>
        <w:t xml:space="preserve">، </w:t>
      </w:r>
      <w:r w:rsidR="00EE2357" w:rsidRPr="00FD211F">
        <w:rPr>
          <w:sz w:val="36"/>
          <w:szCs w:val="36"/>
          <w:rtl/>
        </w:rPr>
        <w:t>ف</w:t>
      </w:r>
      <w:r w:rsidRPr="00FD211F">
        <w:rPr>
          <w:sz w:val="36"/>
          <w:szCs w:val="36"/>
          <w:rtl/>
        </w:rPr>
        <w:t>قد</w:t>
      </w:r>
      <w:r w:rsidR="00EE2357" w:rsidRPr="00FD211F">
        <w:rPr>
          <w:sz w:val="36"/>
          <w:szCs w:val="36"/>
          <w:rtl/>
        </w:rPr>
        <w:t xml:space="preserve"> يتحدان في مورد</w:t>
      </w:r>
      <w:r w:rsidRPr="00FD211F">
        <w:rPr>
          <w:sz w:val="36"/>
          <w:szCs w:val="36"/>
          <w:rtl/>
        </w:rPr>
        <w:t xml:space="preserve"> </w:t>
      </w:r>
      <w:r w:rsidR="00EE2357" w:rsidRPr="00FD211F">
        <w:rPr>
          <w:sz w:val="36"/>
          <w:szCs w:val="36"/>
          <w:rtl/>
        </w:rPr>
        <w:t>كما في حرار</w:t>
      </w:r>
      <w:r w:rsidR="00EC7EDF" w:rsidRPr="00FD211F">
        <w:rPr>
          <w:sz w:val="36"/>
          <w:szCs w:val="36"/>
          <w:rtl/>
        </w:rPr>
        <w:t xml:space="preserve">ة </w:t>
      </w:r>
      <w:r w:rsidR="00EE2357" w:rsidRPr="00FD211F">
        <w:rPr>
          <w:sz w:val="36"/>
          <w:szCs w:val="36"/>
          <w:rtl/>
        </w:rPr>
        <w:t>النار</w:t>
      </w:r>
      <w:r w:rsidR="00603323" w:rsidRPr="00FD211F">
        <w:rPr>
          <w:sz w:val="36"/>
          <w:szCs w:val="36"/>
          <w:rtl/>
        </w:rPr>
        <w:t xml:space="preserve">، </w:t>
      </w:r>
      <w:r w:rsidR="00EE2357" w:rsidRPr="00FD211F">
        <w:rPr>
          <w:sz w:val="36"/>
          <w:szCs w:val="36"/>
          <w:rtl/>
        </w:rPr>
        <w:t>حيث ان</w:t>
      </w:r>
      <w:r w:rsidR="002C0818" w:rsidRPr="00FD211F">
        <w:rPr>
          <w:sz w:val="36"/>
          <w:szCs w:val="36"/>
          <w:rtl/>
        </w:rPr>
        <w:t xml:space="preserve"> منشأ الحرار</w:t>
      </w:r>
      <w:r w:rsidR="00EC7EDF" w:rsidRPr="00FD211F">
        <w:rPr>
          <w:sz w:val="36"/>
          <w:szCs w:val="36"/>
          <w:rtl/>
        </w:rPr>
        <w:t xml:space="preserve">ة </w:t>
      </w:r>
      <w:r w:rsidR="002C0818" w:rsidRPr="00FD211F">
        <w:rPr>
          <w:sz w:val="36"/>
          <w:szCs w:val="36"/>
          <w:rtl/>
        </w:rPr>
        <w:t>هو</w:t>
      </w:r>
      <w:r w:rsidR="00EE2357" w:rsidRPr="00FD211F">
        <w:rPr>
          <w:sz w:val="36"/>
          <w:szCs w:val="36"/>
          <w:rtl/>
        </w:rPr>
        <w:t xml:space="preserve"> النار</w:t>
      </w:r>
      <w:r w:rsidR="002C0818" w:rsidRPr="00FD211F">
        <w:rPr>
          <w:sz w:val="36"/>
          <w:szCs w:val="36"/>
          <w:rtl/>
        </w:rPr>
        <w:t xml:space="preserve"> كما ان النار محل لها ايضا فيقال النار حار</w:t>
      </w:r>
      <w:r w:rsidR="00EC7EDF" w:rsidRPr="00FD211F">
        <w:rPr>
          <w:sz w:val="36"/>
          <w:szCs w:val="36"/>
          <w:rtl/>
        </w:rPr>
        <w:t>ة</w:t>
      </w:r>
      <w:r w:rsidR="00603323" w:rsidRPr="00FD211F">
        <w:rPr>
          <w:sz w:val="36"/>
          <w:szCs w:val="36"/>
          <w:rtl/>
        </w:rPr>
        <w:t xml:space="preserve">، </w:t>
      </w:r>
      <w:r w:rsidR="00EE2357" w:rsidRPr="00FD211F">
        <w:rPr>
          <w:sz w:val="36"/>
          <w:szCs w:val="36"/>
          <w:rtl/>
        </w:rPr>
        <w:t>وقد تفترقان في مورد آخر كحرار</w:t>
      </w:r>
      <w:r w:rsidR="00EC7EDF" w:rsidRPr="00FD211F">
        <w:rPr>
          <w:sz w:val="36"/>
          <w:szCs w:val="36"/>
          <w:rtl/>
        </w:rPr>
        <w:t xml:space="preserve">ة </w:t>
      </w:r>
      <w:r w:rsidR="00EE2357" w:rsidRPr="00FD211F">
        <w:rPr>
          <w:sz w:val="36"/>
          <w:szCs w:val="36"/>
          <w:rtl/>
        </w:rPr>
        <w:t>الماء بواسط</w:t>
      </w:r>
      <w:r w:rsidR="00EC7EDF" w:rsidRPr="00FD211F">
        <w:rPr>
          <w:sz w:val="36"/>
          <w:szCs w:val="36"/>
          <w:rtl/>
        </w:rPr>
        <w:t xml:space="preserve">ة </w:t>
      </w:r>
      <w:r w:rsidR="00EE2357" w:rsidRPr="00FD211F">
        <w:rPr>
          <w:sz w:val="36"/>
          <w:szCs w:val="36"/>
          <w:rtl/>
        </w:rPr>
        <w:t>مجاورته مع النار</w:t>
      </w:r>
      <w:r w:rsidR="00603323" w:rsidRPr="00FD211F">
        <w:rPr>
          <w:sz w:val="36"/>
          <w:szCs w:val="36"/>
          <w:rtl/>
        </w:rPr>
        <w:t xml:space="preserve">، </w:t>
      </w:r>
      <w:r w:rsidR="00BD4B43" w:rsidRPr="00FD211F">
        <w:rPr>
          <w:sz w:val="36"/>
          <w:szCs w:val="36"/>
          <w:rtl/>
        </w:rPr>
        <w:t>فتكون مجاورته للنار منشأ لحرارته بينما يكون محل الحرار</w:t>
      </w:r>
      <w:r w:rsidR="00EC7EDF" w:rsidRPr="00FD211F">
        <w:rPr>
          <w:sz w:val="36"/>
          <w:szCs w:val="36"/>
          <w:rtl/>
        </w:rPr>
        <w:t xml:space="preserve">ة </w:t>
      </w:r>
      <w:r w:rsidR="00BD4B43" w:rsidRPr="00FD211F">
        <w:rPr>
          <w:sz w:val="36"/>
          <w:szCs w:val="36"/>
          <w:rtl/>
        </w:rPr>
        <w:t>نفس الماء</w:t>
      </w:r>
      <w:r w:rsidR="00603323" w:rsidRPr="00FD211F">
        <w:rPr>
          <w:sz w:val="36"/>
          <w:szCs w:val="36"/>
          <w:rtl/>
        </w:rPr>
        <w:t xml:space="preserve">، </w:t>
      </w:r>
      <w:r w:rsidR="00BD4B43" w:rsidRPr="00FD211F">
        <w:rPr>
          <w:sz w:val="36"/>
          <w:szCs w:val="36"/>
          <w:rtl/>
        </w:rPr>
        <w:t>فليست المجاور</w:t>
      </w:r>
      <w:r w:rsidR="00EC7EDF" w:rsidRPr="00FD211F">
        <w:rPr>
          <w:sz w:val="36"/>
          <w:szCs w:val="36"/>
          <w:rtl/>
        </w:rPr>
        <w:t xml:space="preserve">ة </w:t>
      </w:r>
      <w:r w:rsidR="00BD4B43" w:rsidRPr="00FD211F">
        <w:rPr>
          <w:sz w:val="36"/>
          <w:szCs w:val="36"/>
          <w:rtl/>
        </w:rPr>
        <w:t>مع النار حار</w:t>
      </w:r>
      <w:r w:rsidR="00EC7EDF" w:rsidRPr="00FD211F">
        <w:rPr>
          <w:sz w:val="36"/>
          <w:szCs w:val="36"/>
          <w:rtl/>
        </w:rPr>
        <w:t xml:space="preserve">ة </w:t>
      </w:r>
      <w:r w:rsidR="00BD4B43" w:rsidRPr="00FD211F">
        <w:rPr>
          <w:sz w:val="36"/>
          <w:szCs w:val="36"/>
          <w:rtl/>
        </w:rPr>
        <w:t>وانما هي منشأ وسبب لكون الماء حارّا</w:t>
      </w:r>
      <w:r w:rsidR="00603323" w:rsidRPr="00FD211F">
        <w:rPr>
          <w:sz w:val="36"/>
          <w:szCs w:val="36"/>
          <w:rtl/>
        </w:rPr>
        <w:t xml:space="preserve">، </w:t>
      </w:r>
      <w:r w:rsidR="00BD4B43" w:rsidRPr="00FD211F">
        <w:rPr>
          <w:sz w:val="36"/>
          <w:szCs w:val="36"/>
          <w:rtl/>
        </w:rPr>
        <w:t>ويلزم في العرض الذاتي في موضوع العلم ان يكون هذا الموضوع منشأ له</w:t>
      </w:r>
      <w:r w:rsidR="00603323" w:rsidRPr="00FD211F">
        <w:rPr>
          <w:sz w:val="36"/>
          <w:szCs w:val="36"/>
          <w:rtl/>
        </w:rPr>
        <w:t xml:space="preserve">، </w:t>
      </w:r>
      <w:r w:rsidR="000071A2" w:rsidRPr="00FD211F">
        <w:rPr>
          <w:sz w:val="36"/>
          <w:szCs w:val="36"/>
          <w:rtl/>
        </w:rPr>
        <w:t>والمراد من المنشأ ليس هو العل</w:t>
      </w:r>
      <w:r w:rsidR="00EC7EDF" w:rsidRPr="00FD211F">
        <w:rPr>
          <w:sz w:val="36"/>
          <w:szCs w:val="36"/>
          <w:rtl/>
        </w:rPr>
        <w:t xml:space="preserve">ة </w:t>
      </w:r>
      <w:r w:rsidR="000071A2" w:rsidRPr="00FD211F">
        <w:rPr>
          <w:sz w:val="36"/>
          <w:szCs w:val="36"/>
          <w:rtl/>
        </w:rPr>
        <w:t>الفاعلي</w:t>
      </w:r>
      <w:r w:rsidR="00EC7EDF" w:rsidRPr="00FD211F">
        <w:rPr>
          <w:sz w:val="36"/>
          <w:szCs w:val="36"/>
          <w:rtl/>
        </w:rPr>
        <w:t xml:space="preserve">ة </w:t>
      </w:r>
      <w:r w:rsidR="000071A2" w:rsidRPr="00FD211F">
        <w:rPr>
          <w:sz w:val="36"/>
          <w:szCs w:val="36"/>
          <w:rtl/>
        </w:rPr>
        <w:t>بل ما ذكر</w:t>
      </w:r>
      <w:r w:rsidR="00C45502" w:rsidRPr="00FD211F">
        <w:rPr>
          <w:sz w:val="36"/>
          <w:szCs w:val="36"/>
          <w:rtl/>
        </w:rPr>
        <w:t>نا</w:t>
      </w:r>
      <w:r w:rsidR="000071A2" w:rsidRPr="00FD211F">
        <w:rPr>
          <w:sz w:val="36"/>
          <w:szCs w:val="36"/>
          <w:rtl/>
        </w:rPr>
        <w:t xml:space="preserve"> من كونه مما يوضع </w:t>
      </w:r>
      <w:r w:rsidR="00413EEE" w:rsidRPr="00FD211F">
        <w:rPr>
          <w:sz w:val="36"/>
          <w:szCs w:val="36"/>
          <w:rtl/>
        </w:rPr>
        <w:t>العرض</w:t>
      </w:r>
      <w:r w:rsidR="000071A2" w:rsidRPr="00FD211F">
        <w:rPr>
          <w:sz w:val="36"/>
          <w:szCs w:val="36"/>
          <w:rtl/>
        </w:rPr>
        <w:t xml:space="preserve"> بوضعه ويرفع برفعه ولو كان عل</w:t>
      </w:r>
      <w:r w:rsidR="00EC7EDF" w:rsidRPr="00FD211F">
        <w:rPr>
          <w:sz w:val="36"/>
          <w:szCs w:val="36"/>
          <w:rtl/>
        </w:rPr>
        <w:t xml:space="preserve">ة </w:t>
      </w:r>
      <w:r w:rsidR="000071A2" w:rsidRPr="00FD211F">
        <w:rPr>
          <w:sz w:val="36"/>
          <w:szCs w:val="36"/>
          <w:rtl/>
        </w:rPr>
        <w:t>مادي</w:t>
      </w:r>
      <w:r w:rsidR="00EC7EDF" w:rsidRPr="00FD211F">
        <w:rPr>
          <w:sz w:val="36"/>
          <w:szCs w:val="36"/>
          <w:rtl/>
        </w:rPr>
        <w:t xml:space="preserve">ة </w:t>
      </w:r>
      <w:r w:rsidR="000071A2" w:rsidRPr="00FD211F">
        <w:rPr>
          <w:sz w:val="36"/>
          <w:szCs w:val="36"/>
          <w:rtl/>
        </w:rPr>
        <w:t>له كما في موت ال</w:t>
      </w:r>
      <w:r w:rsidR="001279FC" w:rsidRPr="00FD211F">
        <w:rPr>
          <w:sz w:val="36"/>
          <w:szCs w:val="36"/>
          <w:rtl/>
        </w:rPr>
        <w:t>نب</w:t>
      </w:r>
      <w:r w:rsidR="000071A2" w:rsidRPr="00FD211F">
        <w:rPr>
          <w:sz w:val="36"/>
          <w:szCs w:val="36"/>
          <w:rtl/>
        </w:rPr>
        <w:t>ات</w:t>
      </w:r>
      <w:r w:rsidR="00BD4B43" w:rsidRPr="00FD211F">
        <w:rPr>
          <w:sz w:val="36"/>
          <w:szCs w:val="36"/>
          <w:rtl/>
        </w:rPr>
        <w:t xml:space="preserve">؛ وهذا </w:t>
      </w:r>
      <w:r w:rsidR="000071A2" w:rsidRPr="00FD211F">
        <w:rPr>
          <w:sz w:val="36"/>
          <w:szCs w:val="36"/>
          <w:rtl/>
        </w:rPr>
        <w:t>ظاهر كلمات الحكماء حيث فسروا العرض الذاتي بما يعرض</w:t>
      </w:r>
      <w:r w:rsidR="00BD4B43" w:rsidRPr="00FD211F">
        <w:rPr>
          <w:sz w:val="36"/>
          <w:szCs w:val="36"/>
          <w:rtl/>
        </w:rPr>
        <w:t xml:space="preserve"> ال</w:t>
      </w:r>
      <w:r w:rsidR="008D7B3D" w:rsidRPr="00FD211F">
        <w:rPr>
          <w:sz w:val="36"/>
          <w:szCs w:val="36"/>
          <w:rtl/>
        </w:rPr>
        <w:t xml:space="preserve">شيء </w:t>
      </w:r>
      <w:r w:rsidR="000071A2" w:rsidRPr="00FD211F">
        <w:rPr>
          <w:sz w:val="36"/>
          <w:szCs w:val="36"/>
          <w:rtl/>
        </w:rPr>
        <w:t xml:space="preserve">لذاته </w:t>
      </w:r>
      <w:r w:rsidR="007D43AA" w:rsidRPr="00FD211F">
        <w:rPr>
          <w:sz w:val="36"/>
          <w:szCs w:val="36"/>
          <w:rtl/>
        </w:rPr>
        <w:t>او لأمر يرجع الى ذاته</w:t>
      </w:r>
      <w:r w:rsidR="00603323" w:rsidRPr="00FD211F">
        <w:rPr>
          <w:sz w:val="36"/>
          <w:szCs w:val="36"/>
          <w:rtl/>
        </w:rPr>
        <w:t xml:space="preserve">، </w:t>
      </w:r>
      <w:r w:rsidR="000071A2" w:rsidRPr="00FD211F">
        <w:rPr>
          <w:sz w:val="36"/>
          <w:szCs w:val="36"/>
          <w:rtl/>
        </w:rPr>
        <w:t xml:space="preserve">على ان مقتضى البرهان </w:t>
      </w:r>
      <w:r w:rsidR="00BD4B43" w:rsidRPr="00FD211F">
        <w:rPr>
          <w:sz w:val="36"/>
          <w:szCs w:val="36"/>
          <w:rtl/>
        </w:rPr>
        <w:t xml:space="preserve">هو </w:t>
      </w:r>
      <w:r w:rsidR="000071A2" w:rsidRPr="00FD211F">
        <w:rPr>
          <w:sz w:val="36"/>
          <w:szCs w:val="36"/>
          <w:rtl/>
        </w:rPr>
        <w:t xml:space="preserve">البحث </w:t>
      </w:r>
      <w:r w:rsidR="00BD4B43" w:rsidRPr="00FD211F">
        <w:rPr>
          <w:sz w:val="36"/>
          <w:szCs w:val="36"/>
          <w:rtl/>
        </w:rPr>
        <w:t>في العلوم البرهاني</w:t>
      </w:r>
      <w:r w:rsidR="00EC7EDF" w:rsidRPr="00FD211F">
        <w:rPr>
          <w:sz w:val="36"/>
          <w:szCs w:val="36"/>
          <w:rtl/>
        </w:rPr>
        <w:t xml:space="preserve">ة </w:t>
      </w:r>
      <w:r w:rsidR="000071A2" w:rsidRPr="00FD211F">
        <w:rPr>
          <w:sz w:val="36"/>
          <w:szCs w:val="36"/>
          <w:rtl/>
        </w:rPr>
        <w:t>عن العرض الذاتي بهذا المعنى</w:t>
      </w:r>
      <w:r w:rsidR="00603323" w:rsidRPr="00FD211F">
        <w:rPr>
          <w:sz w:val="36"/>
          <w:szCs w:val="36"/>
          <w:rtl/>
        </w:rPr>
        <w:t xml:space="preserve">، </w:t>
      </w:r>
      <w:r w:rsidR="000071A2" w:rsidRPr="00FD211F">
        <w:rPr>
          <w:sz w:val="36"/>
          <w:szCs w:val="36"/>
          <w:rtl/>
        </w:rPr>
        <w:t xml:space="preserve">حيث أن العلم البرهاني عندهم ما يوجب اليقين بان هذا </w:t>
      </w:r>
      <w:r w:rsidR="007D43AA" w:rsidRPr="00FD211F">
        <w:rPr>
          <w:sz w:val="36"/>
          <w:szCs w:val="36"/>
          <w:rtl/>
        </w:rPr>
        <w:t xml:space="preserve">كذا ولايمكن خلافه (أي </w:t>
      </w:r>
      <w:r w:rsidR="00195BBC" w:rsidRPr="00FD211F">
        <w:rPr>
          <w:sz w:val="36"/>
          <w:szCs w:val="36"/>
          <w:rtl/>
        </w:rPr>
        <w:t>ي</w:t>
      </w:r>
      <w:r w:rsidR="007D43AA" w:rsidRPr="00FD211F">
        <w:rPr>
          <w:sz w:val="36"/>
          <w:szCs w:val="36"/>
          <w:rtl/>
        </w:rPr>
        <w:t xml:space="preserve">كون ضروري الصدق) </w:t>
      </w:r>
      <w:r w:rsidR="006B7B90" w:rsidRPr="00FD211F">
        <w:rPr>
          <w:sz w:val="36"/>
          <w:szCs w:val="36"/>
          <w:rtl/>
        </w:rPr>
        <w:t>ف</w:t>
      </w:r>
      <w:r w:rsidR="007D43AA" w:rsidRPr="00FD211F">
        <w:rPr>
          <w:sz w:val="36"/>
          <w:szCs w:val="36"/>
          <w:rtl/>
        </w:rPr>
        <w:t>لو كانت الواسط</w:t>
      </w:r>
      <w:r w:rsidR="00EC7EDF" w:rsidRPr="00FD211F">
        <w:rPr>
          <w:sz w:val="36"/>
          <w:szCs w:val="36"/>
          <w:rtl/>
        </w:rPr>
        <w:t xml:space="preserve">ة </w:t>
      </w:r>
      <w:r w:rsidR="006B7B90" w:rsidRPr="00FD211F">
        <w:rPr>
          <w:sz w:val="36"/>
          <w:szCs w:val="36"/>
          <w:rtl/>
        </w:rPr>
        <w:t>لعروض العرض لل</w:t>
      </w:r>
      <w:r w:rsidR="008D7B3D" w:rsidRPr="00FD211F">
        <w:rPr>
          <w:sz w:val="36"/>
          <w:szCs w:val="36"/>
          <w:rtl/>
        </w:rPr>
        <w:t xml:space="preserve">شيء </w:t>
      </w:r>
      <w:r w:rsidR="006B7B90" w:rsidRPr="00FD211F">
        <w:rPr>
          <w:sz w:val="36"/>
          <w:szCs w:val="36"/>
          <w:rtl/>
        </w:rPr>
        <w:t>واسط</w:t>
      </w:r>
      <w:r w:rsidR="00EC7EDF" w:rsidRPr="00FD211F">
        <w:rPr>
          <w:sz w:val="36"/>
          <w:szCs w:val="36"/>
          <w:rtl/>
        </w:rPr>
        <w:t xml:space="preserve">ة </w:t>
      </w:r>
      <w:r w:rsidR="006B7B90" w:rsidRPr="00FD211F">
        <w:rPr>
          <w:sz w:val="36"/>
          <w:szCs w:val="36"/>
          <w:rtl/>
        </w:rPr>
        <w:t>اخص من ذلك ال</w:t>
      </w:r>
      <w:r w:rsidR="008D7B3D" w:rsidRPr="00FD211F">
        <w:rPr>
          <w:sz w:val="36"/>
          <w:szCs w:val="36"/>
          <w:rtl/>
        </w:rPr>
        <w:t xml:space="preserve">شيء </w:t>
      </w:r>
      <w:r w:rsidR="006B7B90" w:rsidRPr="00FD211F">
        <w:rPr>
          <w:sz w:val="36"/>
          <w:szCs w:val="36"/>
          <w:rtl/>
        </w:rPr>
        <w:t>لما كان ذلك ال</w:t>
      </w:r>
      <w:r w:rsidR="008D7B3D" w:rsidRPr="00FD211F">
        <w:rPr>
          <w:sz w:val="36"/>
          <w:szCs w:val="36"/>
          <w:rtl/>
        </w:rPr>
        <w:t xml:space="preserve">شيء </w:t>
      </w:r>
      <w:r w:rsidR="006B7B90" w:rsidRPr="00FD211F">
        <w:rPr>
          <w:sz w:val="36"/>
          <w:szCs w:val="36"/>
          <w:rtl/>
        </w:rPr>
        <w:t>مستتبعا لهذا العرض</w:t>
      </w:r>
      <w:r w:rsidR="00603323" w:rsidRPr="00FD211F">
        <w:rPr>
          <w:sz w:val="36"/>
          <w:szCs w:val="36"/>
          <w:rtl/>
        </w:rPr>
        <w:t xml:space="preserve">، </w:t>
      </w:r>
      <w:r w:rsidR="006B7B90" w:rsidRPr="00FD211F">
        <w:rPr>
          <w:sz w:val="36"/>
          <w:szCs w:val="36"/>
          <w:rtl/>
        </w:rPr>
        <w:t>بحيث يوجد العرض بوجوده</w:t>
      </w:r>
      <w:r w:rsidR="00603323" w:rsidRPr="00FD211F">
        <w:rPr>
          <w:sz w:val="36"/>
          <w:szCs w:val="36"/>
          <w:rtl/>
        </w:rPr>
        <w:t xml:space="preserve">، </w:t>
      </w:r>
      <w:r w:rsidR="00413EEE" w:rsidRPr="00FD211F">
        <w:rPr>
          <w:sz w:val="36"/>
          <w:szCs w:val="36"/>
          <w:rtl/>
        </w:rPr>
        <w:t xml:space="preserve">كما انه </w:t>
      </w:r>
      <w:r w:rsidR="006B7B90" w:rsidRPr="00FD211F">
        <w:rPr>
          <w:sz w:val="36"/>
          <w:szCs w:val="36"/>
          <w:rtl/>
        </w:rPr>
        <w:t>لو كانت الواسط</w:t>
      </w:r>
      <w:r w:rsidR="00EC7EDF" w:rsidRPr="00FD211F">
        <w:rPr>
          <w:sz w:val="36"/>
          <w:szCs w:val="36"/>
          <w:rtl/>
        </w:rPr>
        <w:t xml:space="preserve">ة </w:t>
      </w:r>
      <w:r w:rsidR="00413EEE" w:rsidRPr="00FD211F">
        <w:rPr>
          <w:sz w:val="36"/>
          <w:szCs w:val="36"/>
          <w:rtl/>
        </w:rPr>
        <w:t>في ثبوت العرض لل</w:t>
      </w:r>
      <w:r w:rsidR="008D7B3D" w:rsidRPr="00FD211F">
        <w:rPr>
          <w:sz w:val="36"/>
          <w:szCs w:val="36"/>
          <w:rtl/>
        </w:rPr>
        <w:t xml:space="preserve">شيء </w:t>
      </w:r>
      <w:r w:rsidR="00413EEE" w:rsidRPr="00FD211F">
        <w:rPr>
          <w:sz w:val="36"/>
          <w:szCs w:val="36"/>
          <w:rtl/>
        </w:rPr>
        <w:t>واسط</w:t>
      </w:r>
      <w:r w:rsidR="00EC7EDF" w:rsidRPr="00FD211F">
        <w:rPr>
          <w:sz w:val="36"/>
          <w:szCs w:val="36"/>
          <w:rtl/>
        </w:rPr>
        <w:t xml:space="preserve">ة </w:t>
      </w:r>
      <w:r w:rsidR="006B7B90" w:rsidRPr="00FD211F">
        <w:rPr>
          <w:sz w:val="36"/>
          <w:szCs w:val="36"/>
          <w:rtl/>
        </w:rPr>
        <w:t>اعم لما كا</w:t>
      </w:r>
      <w:r w:rsidR="00413EEE" w:rsidRPr="00FD211F">
        <w:rPr>
          <w:sz w:val="36"/>
          <w:szCs w:val="36"/>
          <w:rtl/>
        </w:rPr>
        <w:t>ن العرض ينتفي بانتفاء ذلك الشيئ</w:t>
      </w:r>
      <w:r w:rsidR="00603323" w:rsidRPr="00FD211F">
        <w:rPr>
          <w:sz w:val="36"/>
          <w:szCs w:val="36"/>
          <w:rtl/>
        </w:rPr>
        <w:t xml:space="preserve">، </w:t>
      </w:r>
      <w:r w:rsidR="00413EEE" w:rsidRPr="00FD211F">
        <w:rPr>
          <w:sz w:val="36"/>
          <w:szCs w:val="36"/>
          <w:rtl/>
        </w:rPr>
        <w:t>لإمكان وجود الواسط</w:t>
      </w:r>
      <w:r w:rsidR="00EC7EDF" w:rsidRPr="00FD211F">
        <w:rPr>
          <w:sz w:val="36"/>
          <w:szCs w:val="36"/>
          <w:rtl/>
        </w:rPr>
        <w:t xml:space="preserve">ة </w:t>
      </w:r>
      <w:r w:rsidR="00413EEE" w:rsidRPr="00FD211F">
        <w:rPr>
          <w:sz w:val="36"/>
          <w:szCs w:val="36"/>
          <w:rtl/>
        </w:rPr>
        <w:t>الاعم بدون وجود ذلك الشيئ</w:t>
      </w:r>
      <w:r w:rsidR="00603323" w:rsidRPr="00FD211F">
        <w:rPr>
          <w:sz w:val="36"/>
          <w:szCs w:val="36"/>
          <w:rtl/>
        </w:rPr>
        <w:t xml:space="preserve">، </w:t>
      </w:r>
      <w:r w:rsidR="00413EEE" w:rsidRPr="00FD211F">
        <w:rPr>
          <w:sz w:val="36"/>
          <w:szCs w:val="36"/>
          <w:rtl/>
        </w:rPr>
        <w:t>فيتحقق معها ذلك العرض.</w:t>
      </w:r>
    </w:p>
    <w:p w14:paraId="69FBEEC2" w14:textId="77777777" w:rsidR="00A9727F" w:rsidRPr="00FD211F" w:rsidRDefault="007D43AA" w:rsidP="009C58C8">
      <w:pPr>
        <w:ind w:left="0" w:firstLine="227"/>
        <w:jc w:val="both"/>
        <w:rPr>
          <w:sz w:val="36"/>
          <w:szCs w:val="36"/>
          <w:rtl/>
        </w:rPr>
      </w:pPr>
      <w:r w:rsidRPr="00FD211F">
        <w:rPr>
          <w:sz w:val="36"/>
          <w:szCs w:val="36"/>
          <w:rtl/>
        </w:rPr>
        <w:t>نعم</w:t>
      </w:r>
      <w:r w:rsidR="006B7B90" w:rsidRPr="00FD211F">
        <w:rPr>
          <w:sz w:val="36"/>
          <w:szCs w:val="36"/>
          <w:rtl/>
        </w:rPr>
        <w:t xml:space="preserve"> يبقى الكلام</w:t>
      </w:r>
      <w:r w:rsidR="00C53F94" w:rsidRPr="00FD211F">
        <w:rPr>
          <w:sz w:val="36"/>
          <w:szCs w:val="36"/>
          <w:rtl/>
        </w:rPr>
        <w:t xml:space="preserve"> فيما لو كان عروض العرض لل</w:t>
      </w:r>
      <w:r w:rsidR="008D7B3D" w:rsidRPr="00FD211F">
        <w:rPr>
          <w:sz w:val="36"/>
          <w:szCs w:val="36"/>
          <w:rtl/>
        </w:rPr>
        <w:t xml:space="preserve">شيء </w:t>
      </w:r>
      <w:r w:rsidR="00C53F94" w:rsidRPr="00FD211F">
        <w:rPr>
          <w:sz w:val="36"/>
          <w:szCs w:val="36"/>
          <w:rtl/>
        </w:rPr>
        <w:t>بواسط</w:t>
      </w:r>
      <w:r w:rsidR="00EC7EDF" w:rsidRPr="00FD211F">
        <w:rPr>
          <w:sz w:val="36"/>
          <w:szCs w:val="36"/>
          <w:rtl/>
        </w:rPr>
        <w:t xml:space="preserve">ة </w:t>
      </w:r>
      <w:r w:rsidR="00C53F94" w:rsidRPr="00FD211F">
        <w:rPr>
          <w:sz w:val="36"/>
          <w:szCs w:val="36"/>
          <w:rtl/>
        </w:rPr>
        <w:t>اخص داخلي</w:t>
      </w:r>
      <w:r w:rsidR="00603323" w:rsidRPr="00FD211F">
        <w:rPr>
          <w:sz w:val="36"/>
          <w:szCs w:val="36"/>
          <w:rtl/>
        </w:rPr>
        <w:t xml:space="preserve">، </w:t>
      </w:r>
      <w:r w:rsidR="00C53F94" w:rsidRPr="00FD211F">
        <w:rPr>
          <w:sz w:val="36"/>
          <w:szCs w:val="36"/>
          <w:rtl/>
        </w:rPr>
        <w:t>كما في عروض عارض الفصل المقسم للجنس</w:t>
      </w:r>
      <w:r w:rsidR="00603323" w:rsidRPr="00FD211F">
        <w:rPr>
          <w:sz w:val="36"/>
          <w:szCs w:val="36"/>
          <w:rtl/>
        </w:rPr>
        <w:t xml:space="preserve">، </w:t>
      </w:r>
      <w:r w:rsidR="00C53F94" w:rsidRPr="00FD211F">
        <w:rPr>
          <w:sz w:val="36"/>
          <w:szCs w:val="36"/>
          <w:rtl/>
        </w:rPr>
        <w:t>فانه لو كان عرضا غريبا</w:t>
      </w:r>
      <w:r w:rsidR="00091F65" w:rsidRPr="00FD211F">
        <w:rPr>
          <w:sz w:val="36"/>
          <w:szCs w:val="36"/>
          <w:rtl/>
        </w:rPr>
        <w:t xml:space="preserve"> </w:t>
      </w:r>
      <w:r w:rsidR="00A9727F" w:rsidRPr="00FD211F">
        <w:rPr>
          <w:sz w:val="36"/>
          <w:szCs w:val="36"/>
          <w:rtl/>
        </w:rPr>
        <w:t xml:space="preserve">توجه الاشكال بلزوم </w:t>
      </w:r>
      <w:r w:rsidR="00091F65" w:rsidRPr="00FD211F">
        <w:rPr>
          <w:sz w:val="36"/>
          <w:szCs w:val="36"/>
          <w:rtl/>
        </w:rPr>
        <w:t>خر</w:t>
      </w:r>
      <w:r w:rsidR="00A9727F" w:rsidRPr="00FD211F">
        <w:rPr>
          <w:sz w:val="36"/>
          <w:szCs w:val="36"/>
          <w:rtl/>
        </w:rPr>
        <w:t>و</w:t>
      </w:r>
      <w:r w:rsidR="00091F65" w:rsidRPr="00FD211F">
        <w:rPr>
          <w:sz w:val="36"/>
          <w:szCs w:val="36"/>
          <w:rtl/>
        </w:rPr>
        <w:t>ج البحث عن محمولات المسائل التي تعرض على موضوع العلم بواسط</w:t>
      </w:r>
      <w:r w:rsidR="00EC7EDF" w:rsidRPr="00FD211F">
        <w:rPr>
          <w:sz w:val="36"/>
          <w:szCs w:val="36"/>
          <w:rtl/>
        </w:rPr>
        <w:t xml:space="preserve">ة </w:t>
      </w:r>
      <w:r w:rsidR="00091F65" w:rsidRPr="00FD211F">
        <w:rPr>
          <w:sz w:val="36"/>
          <w:szCs w:val="36"/>
          <w:rtl/>
        </w:rPr>
        <w:t>موضوعات تلك المسائل التي تكون غالبا اخص من موضوع العلم من البحث عن العرض الذاتي لموضوع العلم الذي التزموا بخروجه عن مباحث العلم</w:t>
      </w:r>
      <w:r w:rsidR="00A9727F" w:rsidRPr="00FD211F">
        <w:rPr>
          <w:sz w:val="36"/>
          <w:szCs w:val="36"/>
          <w:rtl/>
        </w:rPr>
        <w:t>.</w:t>
      </w:r>
    </w:p>
    <w:p w14:paraId="010370DB" w14:textId="77777777" w:rsidR="005258B7" w:rsidRPr="00FD211F" w:rsidRDefault="005258B7" w:rsidP="009C58C8">
      <w:pPr>
        <w:ind w:left="0" w:firstLine="227"/>
        <w:jc w:val="both"/>
        <w:rPr>
          <w:sz w:val="36"/>
          <w:szCs w:val="36"/>
          <w:rtl/>
        </w:rPr>
      </w:pPr>
      <w:r w:rsidRPr="00FD211F">
        <w:rPr>
          <w:sz w:val="36"/>
          <w:szCs w:val="36"/>
          <w:rtl/>
        </w:rPr>
        <w:t>ولكن أجابوا عن</w:t>
      </w:r>
      <w:r w:rsidR="00A9727F" w:rsidRPr="00FD211F">
        <w:rPr>
          <w:sz w:val="36"/>
          <w:szCs w:val="36"/>
          <w:rtl/>
        </w:rPr>
        <w:t xml:space="preserve"> هذا الاشكال</w:t>
      </w:r>
      <w:r w:rsidRPr="00FD211F">
        <w:rPr>
          <w:sz w:val="36"/>
          <w:szCs w:val="36"/>
          <w:rtl/>
        </w:rPr>
        <w:t xml:space="preserve"> بان عوارض الفصل المقسم تكون من العوارض الذاتي</w:t>
      </w:r>
      <w:r w:rsidR="00EC7EDF" w:rsidRPr="00FD211F">
        <w:rPr>
          <w:sz w:val="36"/>
          <w:szCs w:val="36"/>
          <w:rtl/>
        </w:rPr>
        <w:t xml:space="preserve">ة </w:t>
      </w:r>
      <w:r w:rsidRPr="00FD211F">
        <w:rPr>
          <w:sz w:val="36"/>
          <w:szCs w:val="36"/>
          <w:rtl/>
        </w:rPr>
        <w:t>للجنس</w:t>
      </w:r>
      <w:r w:rsidR="00603323" w:rsidRPr="00FD211F">
        <w:rPr>
          <w:sz w:val="36"/>
          <w:szCs w:val="36"/>
          <w:rtl/>
        </w:rPr>
        <w:t xml:space="preserve">، </w:t>
      </w:r>
      <w:r w:rsidR="00B44FFE" w:rsidRPr="00FD211F">
        <w:rPr>
          <w:sz w:val="36"/>
          <w:szCs w:val="36"/>
          <w:rtl/>
        </w:rPr>
        <w:t xml:space="preserve">حيث </w:t>
      </w:r>
      <w:r w:rsidRPr="00FD211F">
        <w:rPr>
          <w:sz w:val="36"/>
          <w:szCs w:val="36"/>
          <w:rtl/>
        </w:rPr>
        <w:t>ان عروض الفصل على الجنس في مثل قولنا بعض الحيوان ناطق يكون ب</w:t>
      </w:r>
      <w:r w:rsidR="00B44FFE" w:rsidRPr="00FD211F">
        <w:rPr>
          <w:sz w:val="36"/>
          <w:szCs w:val="36"/>
          <w:rtl/>
        </w:rPr>
        <w:t>واسط</w:t>
      </w:r>
      <w:r w:rsidR="00EC7EDF" w:rsidRPr="00FD211F">
        <w:rPr>
          <w:sz w:val="36"/>
          <w:szCs w:val="36"/>
          <w:rtl/>
        </w:rPr>
        <w:t xml:space="preserve">ة </w:t>
      </w:r>
      <w:r w:rsidR="00B44FFE" w:rsidRPr="00FD211F">
        <w:rPr>
          <w:sz w:val="36"/>
          <w:szCs w:val="36"/>
          <w:rtl/>
        </w:rPr>
        <w:t>أ</w:t>
      </w:r>
      <w:r w:rsidRPr="00FD211F">
        <w:rPr>
          <w:sz w:val="36"/>
          <w:szCs w:val="36"/>
          <w:rtl/>
        </w:rPr>
        <w:t>مر اخص وهو تلك الحص</w:t>
      </w:r>
      <w:r w:rsidR="00EC7EDF" w:rsidRPr="00FD211F">
        <w:rPr>
          <w:sz w:val="36"/>
          <w:szCs w:val="36"/>
          <w:rtl/>
        </w:rPr>
        <w:t xml:space="preserve">ة </w:t>
      </w:r>
      <w:r w:rsidRPr="00FD211F">
        <w:rPr>
          <w:sz w:val="36"/>
          <w:szCs w:val="36"/>
          <w:rtl/>
        </w:rPr>
        <w:t>الخاص</w:t>
      </w:r>
      <w:r w:rsidR="00EC7EDF" w:rsidRPr="00FD211F">
        <w:rPr>
          <w:sz w:val="36"/>
          <w:szCs w:val="36"/>
          <w:rtl/>
        </w:rPr>
        <w:t xml:space="preserve">ة </w:t>
      </w:r>
      <w:r w:rsidRPr="00FD211F">
        <w:rPr>
          <w:sz w:val="36"/>
          <w:szCs w:val="36"/>
          <w:rtl/>
        </w:rPr>
        <w:t>من الحيو</w:t>
      </w:r>
      <w:r w:rsidR="00A9727F" w:rsidRPr="00FD211F">
        <w:rPr>
          <w:sz w:val="36"/>
          <w:szCs w:val="36"/>
          <w:rtl/>
        </w:rPr>
        <w:t>ا</w:t>
      </w:r>
      <w:r w:rsidRPr="00FD211F">
        <w:rPr>
          <w:sz w:val="36"/>
          <w:szCs w:val="36"/>
          <w:rtl/>
        </w:rPr>
        <w:t>ني</w:t>
      </w:r>
      <w:r w:rsidR="00EC7EDF" w:rsidRPr="00FD211F">
        <w:rPr>
          <w:sz w:val="36"/>
          <w:szCs w:val="36"/>
          <w:rtl/>
        </w:rPr>
        <w:t xml:space="preserve">ة </w:t>
      </w:r>
      <w:r w:rsidRPr="00FD211F">
        <w:rPr>
          <w:sz w:val="36"/>
          <w:szCs w:val="36"/>
          <w:rtl/>
        </w:rPr>
        <w:t>التوأم</w:t>
      </w:r>
      <w:r w:rsidR="00EC7EDF" w:rsidRPr="00FD211F">
        <w:rPr>
          <w:sz w:val="36"/>
          <w:szCs w:val="36"/>
          <w:rtl/>
        </w:rPr>
        <w:t xml:space="preserve">ة </w:t>
      </w:r>
      <w:r w:rsidRPr="00FD211F">
        <w:rPr>
          <w:sz w:val="36"/>
          <w:szCs w:val="36"/>
          <w:rtl/>
        </w:rPr>
        <w:t>مع الفصل خارجا</w:t>
      </w:r>
      <w:r w:rsidR="00603323" w:rsidRPr="00FD211F">
        <w:rPr>
          <w:sz w:val="36"/>
          <w:szCs w:val="36"/>
          <w:rtl/>
        </w:rPr>
        <w:t xml:space="preserve">، </w:t>
      </w:r>
      <w:r w:rsidRPr="00FD211F">
        <w:rPr>
          <w:sz w:val="36"/>
          <w:szCs w:val="36"/>
          <w:rtl/>
        </w:rPr>
        <w:t>الا ان هذه الواسط</w:t>
      </w:r>
      <w:r w:rsidR="00EC7EDF" w:rsidRPr="00FD211F">
        <w:rPr>
          <w:sz w:val="36"/>
          <w:szCs w:val="36"/>
          <w:rtl/>
        </w:rPr>
        <w:t xml:space="preserve">ة </w:t>
      </w:r>
      <w:r w:rsidRPr="00FD211F">
        <w:rPr>
          <w:sz w:val="36"/>
          <w:szCs w:val="36"/>
          <w:rtl/>
        </w:rPr>
        <w:t>تمتاز على ما عداها من الوسائط في انها تكون عين ذي الواسط</w:t>
      </w:r>
      <w:r w:rsidR="00EC7EDF" w:rsidRPr="00FD211F">
        <w:rPr>
          <w:sz w:val="36"/>
          <w:szCs w:val="36"/>
          <w:rtl/>
        </w:rPr>
        <w:t xml:space="preserve">ة </w:t>
      </w:r>
      <w:r w:rsidRPr="00FD211F">
        <w:rPr>
          <w:sz w:val="36"/>
          <w:szCs w:val="36"/>
          <w:rtl/>
        </w:rPr>
        <w:t>بلاميز</w:t>
      </w:r>
      <w:r w:rsidR="00DF52C6" w:rsidRPr="00FD211F">
        <w:rPr>
          <w:sz w:val="36"/>
          <w:szCs w:val="36"/>
          <w:rtl/>
        </w:rPr>
        <w:t xml:space="preserve"> بينهما</w:t>
      </w:r>
      <w:r w:rsidR="00603323" w:rsidRPr="00FD211F">
        <w:rPr>
          <w:sz w:val="36"/>
          <w:szCs w:val="36"/>
          <w:rtl/>
        </w:rPr>
        <w:t xml:space="preserve">، </w:t>
      </w:r>
      <w:r w:rsidRPr="00FD211F">
        <w:rPr>
          <w:sz w:val="36"/>
          <w:szCs w:val="36"/>
          <w:rtl/>
        </w:rPr>
        <w:t>ببرهان ان تلك الواسط</w:t>
      </w:r>
      <w:r w:rsidR="00EC7EDF" w:rsidRPr="00FD211F">
        <w:rPr>
          <w:sz w:val="36"/>
          <w:szCs w:val="36"/>
          <w:rtl/>
        </w:rPr>
        <w:t xml:space="preserve">ة </w:t>
      </w:r>
      <w:r w:rsidRPr="00FD211F">
        <w:rPr>
          <w:sz w:val="36"/>
          <w:szCs w:val="36"/>
          <w:rtl/>
        </w:rPr>
        <w:t>اذا كانت مغاير</w:t>
      </w:r>
      <w:r w:rsidR="00EC7EDF" w:rsidRPr="00FD211F">
        <w:rPr>
          <w:sz w:val="36"/>
          <w:szCs w:val="36"/>
          <w:rtl/>
        </w:rPr>
        <w:t xml:space="preserve">ة </w:t>
      </w:r>
      <w:r w:rsidRPr="00FD211F">
        <w:rPr>
          <w:sz w:val="36"/>
          <w:szCs w:val="36"/>
          <w:rtl/>
        </w:rPr>
        <w:t>للجنس الذي هو ذو الواسط</w:t>
      </w:r>
      <w:r w:rsidR="00EC7EDF" w:rsidRPr="00FD211F">
        <w:rPr>
          <w:sz w:val="36"/>
          <w:szCs w:val="36"/>
          <w:rtl/>
        </w:rPr>
        <w:t xml:space="preserve">ة </w:t>
      </w:r>
      <w:r w:rsidRPr="00FD211F">
        <w:rPr>
          <w:sz w:val="36"/>
          <w:szCs w:val="36"/>
          <w:rtl/>
        </w:rPr>
        <w:t>لكانت هذه الواسط</w:t>
      </w:r>
      <w:r w:rsidR="00EC7EDF" w:rsidRPr="00FD211F">
        <w:rPr>
          <w:sz w:val="36"/>
          <w:szCs w:val="36"/>
          <w:rtl/>
        </w:rPr>
        <w:t xml:space="preserve">ة </w:t>
      </w:r>
      <w:r w:rsidRPr="00FD211F">
        <w:rPr>
          <w:sz w:val="36"/>
          <w:szCs w:val="36"/>
          <w:rtl/>
        </w:rPr>
        <w:t>هي الفصل</w:t>
      </w:r>
      <w:r w:rsidR="00603323" w:rsidRPr="00FD211F">
        <w:rPr>
          <w:sz w:val="36"/>
          <w:szCs w:val="36"/>
          <w:rtl/>
        </w:rPr>
        <w:t xml:space="preserve">، </w:t>
      </w:r>
      <w:r w:rsidR="00DF52C6" w:rsidRPr="00FD211F">
        <w:rPr>
          <w:sz w:val="36"/>
          <w:szCs w:val="36"/>
          <w:rtl/>
        </w:rPr>
        <w:t>وهذا خلف</w:t>
      </w:r>
      <w:r w:rsidR="00603323" w:rsidRPr="00FD211F">
        <w:rPr>
          <w:sz w:val="36"/>
          <w:szCs w:val="36"/>
          <w:rtl/>
        </w:rPr>
        <w:t xml:space="preserve">، </w:t>
      </w:r>
      <w:r w:rsidRPr="00FD211F">
        <w:rPr>
          <w:sz w:val="36"/>
          <w:szCs w:val="36"/>
          <w:rtl/>
        </w:rPr>
        <w:t>فعوارض الجنس بسبب الفصل يكون من العوارض الذاتي</w:t>
      </w:r>
      <w:r w:rsidR="00EC7EDF" w:rsidRPr="00FD211F">
        <w:rPr>
          <w:sz w:val="36"/>
          <w:szCs w:val="36"/>
          <w:rtl/>
        </w:rPr>
        <w:t xml:space="preserve">ة </w:t>
      </w:r>
      <w:r w:rsidRPr="00FD211F">
        <w:rPr>
          <w:sz w:val="36"/>
          <w:szCs w:val="36"/>
          <w:rtl/>
        </w:rPr>
        <w:t>للجنس فان الجنس وان</w:t>
      </w:r>
      <w:r w:rsidR="008D7B3D" w:rsidRPr="00FD211F">
        <w:rPr>
          <w:sz w:val="36"/>
          <w:szCs w:val="36"/>
          <w:rtl/>
        </w:rPr>
        <w:t xml:space="preserve"> لم‌</w:t>
      </w:r>
      <w:r w:rsidRPr="00FD211F">
        <w:rPr>
          <w:sz w:val="36"/>
          <w:szCs w:val="36"/>
          <w:rtl/>
        </w:rPr>
        <w:t>يكن وجوده مستتبعا دائما لوجود العرض</w:t>
      </w:r>
      <w:r w:rsidR="00603323" w:rsidRPr="00FD211F">
        <w:rPr>
          <w:sz w:val="36"/>
          <w:szCs w:val="36"/>
          <w:rtl/>
        </w:rPr>
        <w:t xml:space="preserve">، </w:t>
      </w:r>
      <w:r w:rsidRPr="00FD211F">
        <w:rPr>
          <w:sz w:val="36"/>
          <w:szCs w:val="36"/>
          <w:rtl/>
        </w:rPr>
        <w:t>الا انه باعتبار عدم حيلول</w:t>
      </w:r>
      <w:r w:rsidR="00EC7EDF" w:rsidRPr="00FD211F">
        <w:rPr>
          <w:sz w:val="36"/>
          <w:szCs w:val="36"/>
          <w:rtl/>
        </w:rPr>
        <w:t xml:space="preserve">ة </w:t>
      </w:r>
      <w:r w:rsidRPr="00FD211F">
        <w:rPr>
          <w:sz w:val="36"/>
          <w:szCs w:val="36"/>
          <w:rtl/>
        </w:rPr>
        <w:t>امر خارجي بين الفصل العارض على الجنس وبين نفس ذلك الجنس في الوجود كانت المنشأي</w:t>
      </w:r>
      <w:r w:rsidR="00EC7EDF" w:rsidRPr="00FD211F">
        <w:rPr>
          <w:sz w:val="36"/>
          <w:szCs w:val="36"/>
          <w:rtl/>
        </w:rPr>
        <w:t xml:space="preserve">ة </w:t>
      </w:r>
      <w:r w:rsidRPr="00FD211F">
        <w:rPr>
          <w:sz w:val="36"/>
          <w:szCs w:val="36"/>
          <w:rtl/>
        </w:rPr>
        <w:t>الحقيقي</w:t>
      </w:r>
      <w:r w:rsidR="00EC7EDF" w:rsidRPr="00FD211F">
        <w:rPr>
          <w:sz w:val="36"/>
          <w:szCs w:val="36"/>
          <w:rtl/>
        </w:rPr>
        <w:t xml:space="preserve">ة </w:t>
      </w:r>
      <w:r w:rsidRPr="00FD211F">
        <w:rPr>
          <w:sz w:val="36"/>
          <w:szCs w:val="36"/>
          <w:rtl/>
        </w:rPr>
        <w:t>بين الجنس وبين الفصل وعوارضه ثابت</w:t>
      </w:r>
      <w:r w:rsidR="00EC7EDF" w:rsidRPr="00FD211F">
        <w:rPr>
          <w:sz w:val="36"/>
          <w:szCs w:val="36"/>
          <w:rtl/>
        </w:rPr>
        <w:t xml:space="preserve">ة </w:t>
      </w:r>
      <w:r w:rsidRPr="00FD211F">
        <w:rPr>
          <w:sz w:val="36"/>
          <w:szCs w:val="36"/>
          <w:rtl/>
        </w:rPr>
        <w:t>ايضا</w:t>
      </w:r>
      <w:r w:rsidR="009C58C8" w:rsidRPr="00FD211F">
        <w:rPr>
          <w:rStyle w:val="a6"/>
          <w:sz w:val="36"/>
          <w:szCs w:val="36"/>
          <w:rtl/>
        </w:rPr>
        <w:t>(</w:t>
      </w:r>
      <w:r w:rsidR="009C58C8" w:rsidRPr="00FD211F">
        <w:rPr>
          <w:rStyle w:val="a6"/>
          <w:sz w:val="36"/>
          <w:szCs w:val="36"/>
          <w:rtl/>
        </w:rPr>
        <w:footnoteReference w:id="79"/>
      </w:r>
      <w:r w:rsidR="009C58C8" w:rsidRPr="00FD211F">
        <w:rPr>
          <w:rStyle w:val="a6"/>
          <w:sz w:val="36"/>
          <w:szCs w:val="36"/>
          <w:rtl/>
        </w:rPr>
        <w:t>)</w:t>
      </w:r>
      <w:r w:rsidRPr="00FD211F">
        <w:rPr>
          <w:sz w:val="36"/>
          <w:szCs w:val="36"/>
          <w:rtl/>
        </w:rPr>
        <w:t>.</w:t>
      </w:r>
    </w:p>
    <w:p w14:paraId="7C0D3601" w14:textId="77777777" w:rsidR="00C27E66" w:rsidRPr="00FD211F" w:rsidRDefault="00017994" w:rsidP="009C58C8">
      <w:pPr>
        <w:ind w:left="0" w:firstLine="227"/>
        <w:jc w:val="both"/>
        <w:rPr>
          <w:sz w:val="36"/>
          <w:szCs w:val="36"/>
          <w:rtl/>
        </w:rPr>
      </w:pPr>
      <w:r w:rsidRPr="00FD211F">
        <w:rPr>
          <w:sz w:val="36"/>
          <w:szCs w:val="36"/>
          <w:rtl/>
        </w:rPr>
        <w:t xml:space="preserve">وفيه </w:t>
      </w:r>
      <w:r w:rsidRPr="00FD211F">
        <w:rPr>
          <w:b/>
          <w:bCs/>
          <w:sz w:val="36"/>
          <w:szCs w:val="36"/>
          <w:rtl/>
        </w:rPr>
        <w:t>اولا</w:t>
      </w:r>
      <w:r w:rsidR="00424C01" w:rsidRPr="00FD211F">
        <w:rPr>
          <w:sz w:val="36"/>
          <w:szCs w:val="36"/>
          <w:rtl/>
        </w:rPr>
        <w:t>: ان غاي</w:t>
      </w:r>
      <w:r w:rsidR="00EC7EDF" w:rsidRPr="00FD211F">
        <w:rPr>
          <w:sz w:val="36"/>
          <w:szCs w:val="36"/>
          <w:rtl/>
        </w:rPr>
        <w:t xml:space="preserve">ة </w:t>
      </w:r>
      <w:r w:rsidR="00424C01" w:rsidRPr="00FD211F">
        <w:rPr>
          <w:sz w:val="36"/>
          <w:szCs w:val="36"/>
          <w:rtl/>
        </w:rPr>
        <w:t>ما يقتضيه البرهان هو عدم كون محمول المسأل</w:t>
      </w:r>
      <w:r w:rsidR="00EC7EDF" w:rsidRPr="00FD211F">
        <w:rPr>
          <w:sz w:val="36"/>
          <w:szCs w:val="36"/>
          <w:rtl/>
        </w:rPr>
        <w:t xml:space="preserve">ة </w:t>
      </w:r>
      <w:r w:rsidR="00424C01" w:rsidRPr="00FD211F">
        <w:rPr>
          <w:sz w:val="36"/>
          <w:szCs w:val="36"/>
          <w:rtl/>
        </w:rPr>
        <w:t>اخص من موضوعها و</w:t>
      </w:r>
      <w:r w:rsidR="00DF52C6" w:rsidRPr="00FD211F">
        <w:rPr>
          <w:sz w:val="36"/>
          <w:szCs w:val="36"/>
          <w:rtl/>
        </w:rPr>
        <w:t xml:space="preserve">لامحذور في ان يكون </w:t>
      </w:r>
      <w:r w:rsidR="00424C01" w:rsidRPr="00FD211F">
        <w:rPr>
          <w:sz w:val="36"/>
          <w:szCs w:val="36"/>
          <w:rtl/>
        </w:rPr>
        <w:t xml:space="preserve">اخص من موضوع العلم </w:t>
      </w:r>
      <w:r w:rsidR="0093696B" w:rsidRPr="00FD211F">
        <w:rPr>
          <w:sz w:val="36"/>
          <w:szCs w:val="36"/>
          <w:rtl/>
        </w:rPr>
        <w:t xml:space="preserve">كما </w:t>
      </w:r>
      <w:r w:rsidR="00424C01" w:rsidRPr="00FD211F">
        <w:rPr>
          <w:sz w:val="36"/>
          <w:szCs w:val="36"/>
          <w:rtl/>
        </w:rPr>
        <w:t>لامانع من كون</w:t>
      </w:r>
      <w:r w:rsidR="00DF52C6" w:rsidRPr="00FD211F">
        <w:rPr>
          <w:sz w:val="36"/>
          <w:szCs w:val="36"/>
          <w:rtl/>
        </w:rPr>
        <w:t xml:space="preserve"> محمول المسأل</w:t>
      </w:r>
      <w:r w:rsidR="00EC7EDF" w:rsidRPr="00FD211F">
        <w:rPr>
          <w:sz w:val="36"/>
          <w:szCs w:val="36"/>
          <w:rtl/>
        </w:rPr>
        <w:t xml:space="preserve">ة </w:t>
      </w:r>
      <w:r w:rsidR="00424C01" w:rsidRPr="00FD211F">
        <w:rPr>
          <w:sz w:val="36"/>
          <w:szCs w:val="36"/>
          <w:rtl/>
        </w:rPr>
        <w:t>اعم من موضوعها كما يقال الانسان مدرك للكليات فانه لاير</w:t>
      </w:r>
      <w:r w:rsidR="00E4315C" w:rsidRPr="00FD211F">
        <w:rPr>
          <w:sz w:val="36"/>
          <w:szCs w:val="36"/>
          <w:rtl/>
        </w:rPr>
        <w:t>ت</w:t>
      </w:r>
      <w:r w:rsidR="00424C01" w:rsidRPr="00FD211F">
        <w:rPr>
          <w:sz w:val="36"/>
          <w:szCs w:val="36"/>
          <w:rtl/>
        </w:rPr>
        <w:t>فع برفعه</w:t>
      </w:r>
      <w:r w:rsidR="0093696B" w:rsidRPr="00FD211F">
        <w:rPr>
          <w:sz w:val="36"/>
          <w:szCs w:val="36"/>
          <w:rtl/>
        </w:rPr>
        <w:t xml:space="preserve"> لان الجنّ او الملك مدرك للكليات أيضا</w:t>
      </w:r>
      <w:r w:rsidR="00C27E66" w:rsidRPr="00FD211F">
        <w:rPr>
          <w:sz w:val="36"/>
          <w:szCs w:val="36"/>
          <w:rtl/>
        </w:rPr>
        <w:t>.</w:t>
      </w:r>
    </w:p>
    <w:p w14:paraId="21DDCA43" w14:textId="77777777" w:rsidR="009932A8" w:rsidRPr="00FD211F" w:rsidRDefault="00424C01" w:rsidP="009C58C8">
      <w:pPr>
        <w:ind w:left="0" w:firstLine="227"/>
        <w:jc w:val="both"/>
        <w:rPr>
          <w:sz w:val="36"/>
          <w:szCs w:val="36"/>
          <w:rtl/>
        </w:rPr>
      </w:pPr>
      <w:r w:rsidRPr="00FD211F">
        <w:rPr>
          <w:sz w:val="36"/>
          <w:szCs w:val="36"/>
          <w:rtl/>
        </w:rPr>
        <w:t>و</w:t>
      </w:r>
      <w:r w:rsidR="00DF52C6" w:rsidRPr="00FD211F">
        <w:rPr>
          <w:sz w:val="36"/>
          <w:szCs w:val="36"/>
          <w:rtl/>
        </w:rPr>
        <w:t>عليه ف</w:t>
      </w:r>
      <w:r w:rsidRPr="00FD211F">
        <w:rPr>
          <w:sz w:val="36"/>
          <w:szCs w:val="36"/>
          <w:rtl/>
        </w:rPr>
        <w:t xml:space="preserve">ما </w:t>
      </w:r>
      <w:r w:rsidR="00C27E66" w:rsidRPr="00FD211F">
        <w:rPr>
          <w:sz w:val="36"/>
          <w:szCs w:val="36"/>
          <w:rtl/>
        </w:rPr>
        <w:t xml:space="preserve">ذكره </w:t>
      </w:r>
      <w:r w:rsidR="00A9727F" w:rsidRPr="00FD211F">
        <w:rPr>
          <w:sz w:val="36"/>
          <w:szCs w:val="36"/>
          <w:rtl/>
        </w:rPr>
        <w:t>السيد</w:t>
      </w:r>
      <w:r w:rsidR="00C27E66" w:rsidRPr="00FD211F">
        <w:rPr>
          <w:sz w:val="36"/>
          <w:szCs w:val="36"/>
          <w:rtl/>
        </w:rPr>
        <w:t>الطباطبائي</w:t>
      </w:r>
      <w:r w:rsidR="00A61BAE" w:rsidRPr="00FD211F">
        <w:rPr>
          <w:sz w:val="36"/>
          <w:szCs w:val="36"/>
          <w:rtl/>
        </w:rPr>
        <w:t xml:space="preserve"> </w:t>
      </w:r>
      <w:r w:rsidR="00D052EE" w:rsidRPr="00FD211F">
        <w:rPr>
          <w:sz w:val="36"/>
          <w:szCs w:val="36"/>
          <w:rtl/>
        </w:rPr>
        <w:t>"</w:t>
      </w:r>
      <w:r w:rsidR="005D03BA" w:rsidRPr="00FD211F">
        <w:rPr>
          <w:sz w:val="36"/>
          <w:szCs w:val="36"/>
          <w:rtl/>
        </w:rPr>
        <w:t>قده</w:t>
      </w:r>
      <w:r w:rsidR="00D052EE" w:rsidRPr="00FD211F">
        <w:rPr>
          <w:sz w:val="36"/>
          <w:szCs w:val="36"/>
          <w:rtl/>
        </w:rPr>
        <w:t>"</w:t>
      </w:r>
      <w:r w:rsidR="00A61BAE" w:rsidRPr="00FD211F">
        <w:rPr>
          <w:sz w:val="36"/>
          <w:szCs w:val="36"/>
          <w:rtl/>
        </w:rPr>
        <w:t xml:space="preserve"> </w:t>
      </w:r>
      <w:r w:rsidRPr="00FD211F">
        <w:rPr>
          <w:sz w:val="36"/>
          <w:szCs w:val="36"/>
          <w:rtl/>
        </w:rPr>
        <w:t>من انه</w:t>
      </w:r>
      <w:r w:rsidR="00C27E66" w:rsidRPr="00FD211F">
        <w:rPr>
          <w:sz w:val="36"/>
          <w:szCs w:val="36"/>
          <w:rtl/>
        </w:rPr>
        <w:t xml:space="preserve"> لو كان المحمول اعم من الموضوع لكان اخذ خصوصي</w:t>
      </w:r>
      <w:r w:rsidR="00EC7EDF" w:rsidRPr="00FD211F">
        <w:rPr>
          <w:sz w:val="36"/>
          <w:szCs w:val="36"/>
          <w:rtl/>
        </w:rPr>
        <w:t xml:space="preserve">ة </w:t>
      </w:r>
      <w:r w:rsidR="00C27E66" w:rsidRPr="00FD211F">
        <w:rPr>
          <w:sz w:val="36"/>
          <w:szCs w:val="36"/>
          <w:rtl/>
        </w:rPr>
        <w:t>هذا الموضوع لغوا لااثر لها في عروض المحمول</w:t>
      </w:r>
      <w:r w:rsidR="009C58C8" w:rsidRPr="00FD211F">
        <w:rPr>
          <w:rStyle w:val="a6"/>
          <w:sz w:val="36"/>
          <w:szCs w:val="36"/>
          <w:rtl/>
        </w:rPr>
        <w:t>(</w:t>
      </w:r>
      <w:r w:rsidR="009C58C8" w:rsidRPr="00FD211F">
        <w:rPr>
          <w:rStyle w:val="a6"/>
          <w:sz w:val="36"/>
          <w:szCs w:val="36"/>
          <w:rtl/>
        </w:rPr>
        <w:footnoteReference w:id="80"/>
      </w:r>
      <w:r w:rsidR="009C58C8" w:rsidRPr="00FD211F">
        <w:rPr>
          <w:rStyle w:val="a6"/>
          <w:sz w:val="36"/>
          <w:szCs w:val="36"/>
          <w:rtl/>
        </w:rPr>
        <w:t>)</w:t>
      </w:r>
      <w:r w:rsidR="00603323" w:rsidRPr="00FD211F">
        <w:rPr>
          <w:sz w:val="36"/>
          <w:szCs w:val="36"/>
          <w:rtl/>
        </w:rPr>
        <w:t xml:space="preserve">، </w:t>
      </w:r>
      <w:r w:rsidR="00DF52C6" w:rsidRPr="00FD211F">
        <w:rPr>
          <w:sz w:val="36"/>
          <w:szCs w:val="36"/>
          <w:rtl/>
        </w:rPr>
        <w:t>فيرد عليه انه</w:t>
      </w:r>
      <w:r w:rsidRPr="00FD211F">
        <w:rPr>
          <w:sz w:val="36"/>
          <w:szCs w:val="36"/>
          <w:rtl/>
        </w:rPr>
        <w:t xml:space="preserve"> ربما لايتعلق الغرض </w:t>
      </w:r>
      <w:r w:rsidR="00DF52C6" w:rsidRPr="00FD211F">
        <w:rPr>
          <w:sz w:val="36"/>
          <w:szCs w:val="36"/>
          <w:rtl/>
        </w:rPr>
        <w:t>الا بإثبات محمول لموضوع</w:t>
      </w:r>
      <w:r w:rsidR="00E8128F">
        <w:rPr>
          <w:sz w:val="36"/>
          <w:szCs w:val="36"/>
          <w:rtl/>
        </w:rPr>
        <w:t xml:space="preserve"> </w:t>
      </w:r>
      <w:r w:rsidR="00DF52C6" w:rsidRPr="00FD211F">
        <w:rPr>
          <w:sz w:val="36"/>
          <w:szCs w:val="36"/>
          <w:rtl/>
        </w:rPr>
        <w:t>مّا دون حصره فيه</w:t>
      </w:r>
      <w:r w:rsidR="00603323" w:rsidRPr="00FD211F">
        <w:rPr>
          <w:sz w:val="36"/>
          <w:szCs w:val="36"/>
          <w:rtl/>
        </w:rPr>
        <w:t xml:space="preserve">، </w:t>
      </w:r>
      <w:r w:rsidR="00861DF8" w:rsidRPr="00FD211F">
        <w:rPr>
          <w:sz w:val="36"/>
          <w:szCs w:val="36"/>
          <w:rtl/>
        </w:rPr>
        <w:t xml:space="preserve">حتى </w:t>
      </w:r>
      <w:r w:rsidR="00886E07" w:rsidRPr="00FD211F">
        <w:rPr>
          <w:sz w:val="36"/>
          <w:szCs w:val="36"/>
          <w:rtl/>
        </w:rPr>
        <w:t>ولو كان العلم من العلوم البرهاني</w:t>
      </w:r>
      <w:r w:rsidR="00EC7EDF" w:rsidRPr="00FD211F">
        <w:rPr>
          <w:sz w:val="36"/>
          <w:szCs w:val="36"/>
          <w:rtl/>
        </w:rPr>
        <w:t xml:space="preserve">ة </w:t>
      </w:r>
      <w:r w:rsidR="00886E07" w:rsidRPr="00FD211F">
        <w:rPr>
          <w:sz w:val="36"/>
          <w:szCs w:val="36"/>
          <w:rtl/>
        </w:rPr>
        <w:t>فكيف بالعلوم الاعتباري</w:t>
      </w:r>
      <w:r w:rsidR="00EC7EDF" w:rsidRPr="00FD211F">
        <w:rPr>
          <w:sz w:val="36"/>
          <w:szCs w:val="36"/>
          <w:rtl/>
        </w:rPr>
        <w:t>ة</w:t>
      </w:r>
      <w:r w:rsidR="00A61BAE" w:rsidRPr="00FD211F">
        <w:rPr>
          <w:sz w:val="36"/>
          <w:szCs w:val="36"/>
          <w:rtl/>
        </w:rPr>
        <w:t>.</w:t>
      </w:r>
    </w:p>
    <w:p w14:paraId="54A54222" w14:textId="77777777" w:rsidR="009932A8" w:rsidRPr="00FD211F" w:rsidRDefault="00017994" w:rsidP="009C58C8">
      <w:pPr>
        <w:ind w:left="0" w:firstLine="227"/>
        <w:jc w:val="both"/>
        <w:rPr>
          <w:sz w:val="36"/>
          <w:szCs w:val="36"/>
          <w:rtl/>
        </w:rPr>
      </w:pPr>
      <w:r w:rsidRPr="00FD211F">
        <w:rPr>
          <w:b/>
          <w:bCs/>
          <w:sz w:val="36"/>
          <w:szCs w:val="36"/>
          <w:rtl/>
        </w:rPr>
        <w:t>وثانيا</w:t>
      </w:r>
      <w:r w:rsidRPr="00FD211F">
        <w:rPr>
          <w:sz w:val="36"/>
          <w:szCs w:val="36"/>
          <w:rtl/>
        </w:rPr>
        <w:t xml:space="preserve">: ان ما ذكره في توجيه </w:t>
      </w:r>
      <w:r w:rsidR="00413EEE" w:rsidRPr="00FD211F">
        <w:rPr>
          <w:sz w:val="36"/>
          <w:szCs w:val="36"/>
          <w:rtl/>
        </w:rPr>
        <w:t>كون</w:t>
      </w:r>
      <w:r w:rsidRPr="00FD211F">
        <w:rPr>
          <w:sz w:val="36"/>
          <w:szCs w:val="36"/>
          <w:rtl/>
        </w:rPr>
        <w:t xml:space="preserve"> عوارض الفصل عوارض ذاتي</w:t>
      </w:r>
      <w:r w:rsidR="00EC7EDF" w:rsidRPr="00FD211F">
        <w:rPr>
          <w:sz w:val="36"/>
          <w:szCs w:val="36"/>
          <w:rtl/>
        </w:rPr>
        <w:t xml:space="preserve">ة </w:t>
      </w:r>
      <w:r w:rsidRPr="00FD211F">
        <w:rPr>
          <w:sz w:val="36"/>
          <w:szCs w:val="36"/>
          <w:rtl/>
        </w:rPr>
        <w:t xml:space="preserve">للجنس وان كان </w:t>
      </w:r>
      <w:r w:rsidR="00413EEE" w:rsidRPr="00FD211F">
        <w:rPr>
          <w:sz w:val="36"/>
          <w:szCs w:val="36"/>
          <w:rtl/>
        </w:rPr>
        <w:t>ق</w:t>
      </w:r>
      <w:r w:rsidR="00E4315C" w:rsidRPr="00FD211F">
        <w:rPr>
          <w:sz w:val="36"/>
          <w:szCs w:val="36"/>
          <w:rtl/>
        </w:rPr>
        <w:t>ريبا مما ذكره</w:t>
      </w:r>
      <w:r w:rsidRPr="00FD211F">
        <w:rPr>
          <w:sz w:val="36"/>
          <w:szCs w:val="36"/>
          <w:rtl/>
        </w:rPr>
        <w:t xml:space="preserve"> في الاسفار </w:t>
      </w:r>
      <w:r w:rsidR="00C27E66" w:rsidRPr="00FD211F">
        <w:rPr>
          <w:sz w:val="36"/>
          <w:szCs w:val="36"/>
          <w:rtl/>
        </w:rPr>
        <w:t>في</w:t>
      </w:r>
      <w:r w:rsidR="00413EEE" w:rsidRPr="00FD211F">
        <w:rPr>
          <w:sz w:val="36"/>
          <w:szCs w:val="36"/>
          <w:rtl/>
        </w:rPr>
        <w:t xml:space="preserve"> مقام</w:t>
      </w:r>
      <w:r w:rsidR="00C27E66" w:rsidRPr="00FD211F">
        <w:rPr>
          <w:sz w:val="36"/>
          <w:szCs w:val="36"/>
          <w:rtl/>
        </w:rPr>
        <w:t xml:space="preserve"> توجيه البحث عن محمولات المسائل التي تكون عروضها لموضوع العلم بواسط</w:t>
      </w:r>
      <w:r w:rsidR="00EC7EDF" w:rsidRPr="00FD211F">
        <w:rPr>
          <w:sz w:val="36"/>
          <w:szCs w:val="36"/>
          <w:rtl/>
        </w:rPr>
        <w:t xml:space="preserve">ة </w:t>
      </w:r>
      <w:r w:rsidR="00C27E66" w:rsidRPr="00FD211F">
        <w:rPr>
          <w:sz w:val="36"/>
          <w:szCs w:val="36"/>
          <w:rtl/>
        </w:rPr>
        <w:t>موضوعات تلك المسائل</w:t>
      </w:r>
      <w:r w:rsidR="00603323" w:rsidRPr="00FD211F">
        <w:rPr>
          <w:sz w:val="36"/>
          <w:szCs w:val="36"/>
          <w:rtl/>
        </w:rPr>
        <w:t xml:space="preserve">، </w:t>
      </w:r>
      <w:r w:rsidR="00C27E66" w:rsidRPr="00FD211F">
        <w:rPr>
          <w:sz w:val="36"/>
          <w:szCs w:val="36"/>
          <w:rtl/>
        </w:rPr>
        <w:t>مع ان تلك الموضوعات تكون اخص من موضوع العلم عاد</w:t>
      </w:r>
      <w:r w:rsidR="00EC7EDF" w:rsidRPr="00FD211F">
        <w:rPr>
          <w:sz w:val="36"/>
          <w:szCs w:val="36"/>
          <w:rtl/>
        </w:rPr>
        <w:t>ة</w:t>
      </w:r>
      <w:r w:rsidR="00603323" w:rsidRPr="00FD211F">
        <w:rPr>
          <w:sz w:val="36"/>
          <w:szCs w:val="36"/>
          <w:rtl/>
        </w:rPr>
        <w:t xml:space="preserve">، </w:t>
      </w:r>
      <w:r w:rsidR="00413EEE" w:rsidRPr="00FD211F">
        <w:rPr>
          <w:sz w:val="36"/>
          <w:szCs w:val="36"/>
          <w:rtl/>
        </w:rPr>
        <w:t>حيث قال</w:t>
      </w:r>
      <w:r w:rsidR="00C27E66" w:rsidRPr="00FD211F">
        <w:rPr>
          <w:sz w:val="36"/>
          <w:szCs w:val="36"/>
          <w:rtl/>
        </w:rPr>
        <w:t xml:space="preserve"> ان عروض الفصل للجنس</w:t>
      </w:r>
      <w:r w:rsidR="00413EEE" w:rsidRPr="00FD211F">
        <w:rPr>
          <w:sz w:val="36"/>
          <w:szCs w:val="36"/>
          <w:rtl/>
        </w:rPr>
        <w:t xml:space="preserve"> ليس بواسط</w:t>
      </w:r>
      <w:r w:rsidR="00EC7EDF" w:rsidRPr="00FD211F">
        <w:rPr>
          <w:sz w:val="36"/>
          <w:szCs w:val="36"/>
          <w:rtl/>
        </w:rPr>
        <w:t xml:space="preserve">ة </w:t>
      </w:r>
      <w:r w:rsidR="00413EEE" w:rsidRPr="00FD211F">
        <w:rPr>
          <w:sz w:val="36"/>
          <w:szCs w:val="36"/>
          <w:rtl/>
        </w:rPr>
        <w:t>حيث انه لايقتضي</w:t>
      </w:r>
      <w:r w:rsidR="00C27E66" w:rsidRPr="00FD211F">
        <w:rPr>
          <w:sz w:val="36"/>
          <w:szCs w:val="36"/>
          <w:rtl/>
        </w:rPr>
        <w:t xml:space="preserve"> تخصص الجنس في الرتب</w:t>
      </w:r>
      <w:r w:rsidR="00EC7EDF" w:rsidRPr="00FD211F">
        <w:rPr>
          <w:sz w:val="36"/>
          <w:szCs w:val="36"/>
          <w:rtl/>
        </w:rPr>
        <w:t xml:space="preserve">ة </w:t>
      </w:r>
      <w:r w:rsidR="00C27E66" w:rsidRPr="00FD211F">
        <w:rPr>
          <w:sz w:val="36"/>
          <w:szCs w:val="36"/>
          <w:rtl/>
        </w:rPr>
        <w:t>السابق</w:t>
      </w:r>
      <w:r w:rsidR="00EC7EDF" w:rsidRPr="00FD211F">
        <w:rPr>
          <w:sz w:val="36"/>
          <w:szCs w:val="36"/>
          <w:rtl/>
        </w:rPr>
        <w:t xml:space="preserve">ة </w:t>
      </w:r>
      <w:r w:rsidR="00413EEE" w:rsidRPr="00FD211F">
        <w:rPr>
          <w:sz w:val="36"/>
          <w:szCs w:val="36"/>
          <w:rtl/>
        </w:rPr>
        <w:t>كي يتهيأ لعروض الفصل له</w:t>
      </w:r>
      <w:r w:rsidR="00603323" w:rsidRPr="00FD211F">
        <w:rPr>
          <w:sz w:val="36"/>
          <w:szCs w:val="36"/>
          <w:rtl/>
        </w:rPr>
        <w:t xml:space="preserve">، </w:t>
      </w:r>
      <w:r w:rsidR="00413EEE" w:rsidRPr="00FD211F">
        <w:rPr>
          <w:sz w:val="36"/>
          <w:szCs w:val="36"/>
          <w:rtl/>
        </w:rPr>
        <w:t>وعليه فيكون الفصل عرضا ذاتيا للجنس</w:t>
      </w:r>
      <w:r w:rsidR="009932A8" w:rsidRPr="00FD211F">
        <w:rPr>
          <w:sz w:val="36"/>
          <w:szCs w:val="36"/>
          <w:rtl/>
        </w:rPr>
        <w:t>.</w:t>
      </w:r>
    </w:p>
    <w:p w14:paraId="62E6EB5D" w14:textId="77777777" w:rsidR="009932A8" w:rsidRPr="00FD211F" w:rsidRDefault="009932A8" w:rsidP="009C58C8">
      <w:pPr>
        <w:ind w:left="0" w:firstLine="227"/>
        <w:jc w:val="both"/>
        <w:rPr>
          <w:sz w:val="36"/>
          <w:szCs w:val="36"/>
          <w:rtl/>
        </w:rPr>
      </w:pPr>
      <w:r w:rsidRPr="00FD211F">
        <w:rPr>
          <w:sz w:val="36"/>
          <w:szCs w:val="36"/>
          <w:rtl/>
        </w:rPr>
        <w:t>و</w:t>
      </w:r>
      <w:r w:rsidR="00017994" w:rsidRPr="00FD211F">
        <w:rPr>
          <w:sz w:val="36"/>
          <w:szCs w:val="36"/>
          <w:rtl/>
        </w:rPr>
        <w:t xml:space="preserve">لكنه انما </w:t>
      </w:r>
      <w:r w:rsidR="00C944D6" w:rsidRPr="00FD211F">
        <w:rPr>
          <w:sz w:val="36"/>
          <w:szCs w:val="36"/>
          <w:rtl/>
        </w:rPr>
        <w:t>يفيد</w:t>
      </w:r>
      <w:r w:rsidR="00886E07" w:rsidRPr="00FD211F">
        <w:rPr>
          <w:sz w:val="36"/>
          <w:szCs w:val="36"/>
          <w:rtl/>
        </w:rPr>
        <w:t xml:space="preserve"> كلامه</w:t>
      </w:r>
      <w:r w:rsidR="00017994" w:rsidRPr="00FD211F">
        <w:rPr>
          <w:sz w:val="36"/>
          <w:szCs w:val="36"/>
          <w:rtl/>
        </w:rPr>
        <w:t xml:space="preserve"> في</w:t>
      </w:r>
      <w:r w:rsidR="00C944D6" w:rsidRPr="00FD211F">
        <w:rPr>
          <w:sz w:val="36"/>
          <w:szCs w:val="36"/>
          <w:rtl/>
        </w:rPr>
        <w:t xml:space="preserve"> توجيه</w:t>
      </w:r>
      <w:r w:rsidRPr="00FD211F">
        <w:rPr>
          <w:sz w:val="36"/>
          <w:szCs w:val="36"/>
          <w:rtl/>
        </w:rPr>
        <w:t xml:space="preserve"> عروض نفس الفصل للجنس </w:t>
      </w:r>
      <w:r w:rsidR="009574E8" w:rsidRPr="00FD211F">
        <w:rPr>
          <w:sz w:val="36"/>
          <w:szCs w:val="36"/>
          <w:rtl/>
        </w:rPr>
        <w:t>فيصير</w:t>
      </w:r>
      <w:r w:rsidRPr="00FD211F">
        <w:rPr>
          <w:sz w:val="36"/>
          <w:szCs w:val="36"/>
          <w:rtl/>
        </w:rPr>
        <w:t xml:space="preserve"> بهذا التوجيه عرضا ذاتيا له</w:t>
      </w:r>
      <w:r w:rsidR="00603323" w:rsidRPr="00FD211F">
        <w:rPr>
          <w:sz w:val="36"/>
          <w:szCs w:val="36"/>
          <w:rtl/>
        </w:rPr>
        <w:t xml:space="preserve">، </w:t>
      </w:r>
      <w:r w:rsidRPr="00FD211F">
        <w:rPr>
          <w:sz w:val="36"/>
          <w:szCs w:val="36"/>
          <w:rtl/>
        </w:rPr>
        <w:t>لكن</w:t>
      </w:r>
      <w:r w:rsidR="009574E8" w:rsidRPr="00FD211F">
        <w:rPr>
          <w:sz w:val="36"/>
          <w:szCs w:val="36"/>
          <w:rtl/>
        </w:rPr>
        <w:t>ه لايجدي بلحاظ عوارض الفصل</w:t>
      </w:r>
      <w:r w:rsidR="00603323" w:rsidRPr="00FD211F">
        <w:rPr>
          <w:sz w:val="36"/>
          <w:szCs w:val="36"/>
          <w:rtl/>
        </w:rPr>
        <w:t xml:space="preserve">، </w:t>
      </w:r>
      <w:r w:rsidR="009574E8" w:rsidRPr="00FD211F">
        <w:rPr>
          <w:sz w:val="36"/>
          <w:szCs w:val="36"/>
          <w:rtl/>
        </w:rPr>
        <w:t>حيث انها لاتعرض الجنس</w:t>
      </w:r>
      <w:r w:rsidRPr="00FD211F">
        <w:rPr>
          <w:sz w:val="36"/>
          <w:szCs w:val="36"/>
          <w:rtl/>
        </w:rPr>
        <w:t xml:space="preserve"> الا بعد تخصصه بالفصل</w:t>
      </w:r>
      <w:r w:rsidR="00603323" w:rsidRPr="00FD211F">
        <w:rPr>
          <w:sz w:val="36"/>
          <w:szCs w:val="36"/>
          <w:rtl/>
        </w:rPr>
        <w:t xml:space="preserve">، </w:t>
      </w:r>
      <w:r w:rsidRPr="00FD211F">
        <w:rPr>
          <w:sz w:val="36"/>
          <w:szCs w:val="36"/>
          <w:rtl/>
        </w:rPr>
        <w:t>فالتعجب العارض لبعض الحيوان (اي الانسان) انما يكون بواسط</w:t>
      </w:r>
      <w:r w:rsidR="00EC7EDF" w:rsidRPr="00FD211F">
        <w:rPr>
          <w:sz w:val="36"/>
          <w:szCs w:val="36"/>
          <w:rtl/>
        </w:rPr>
        <w:t xml:space="preserve">ة </w:t>
      </w:r>
      <w:r w:rsidRPr="00FD211F">
        <w:rPr>
          <w:sz w:val="36"/>
          <w:szCs w:val="36"/>
          <w:rtl/>
        </w:rPr>
        <w:t>تخصص الحيوان بالفصل المقسم وهو النفس الناطق</w:t>
      </w:r>
      <w:r w:rsidR="00EC7EDF" w:rsidRPr="00FD211F">
        <w:rPr>
          <w:sz w:val="36"/>
          <w:szCs w:val="36"/>
          <w:rtl/>
        </w:rPr>
        <w:t>ة</w:t>
      </w:r>
      <w:r w:rsidR="00A61BAE" w:rsidRPr="00FD211F">
        <w:rPr>
          <w:sz w:val="36"/>
          <w:szCs w:val="36"/>
          <w:rtl/>
        </w:rPr>
        <w:t>.</w:t>
      </w:r>
    </w:p>
    <w:p w14:paraId="4FE046E5" w14:textId="77777777" w:rsidR="00017994" w:rsidRPr="00FD211F" w:rsidRDefault="00017994" w:rsidP="009C58C8">
      <w:pPr>
        <w:ind w:left="0" w:firstLine="227"/>
        <w:jc w:val="both"/>
        <w:rPr>
          <w:sz w:val="36"/>
          <w:szCs w:val="36"/>
          <w:rtl/>
        </w:rPr>
      </w:pPr>
      <w:r w:rsidRPr="00FD211F">
        <w:rPr>
          <w:sz w:val="36"/>
          <w:szCs w:val="36"/>
          <w:rtl/>
        </w:rPr>
        <w:t>نعم يمكن ان يقال</w:t>
      </w:r>
      <w:r w:rsidR="00886E07" w:rsidRPr="00FD211F">
        <w:rPr>
          <w:sz w:val="36"/>
          <w:szCs w:val="36"/>
          <w:rtl/>
        </w:rPr>
        <w:t xml:space="preserve"> بالنسب</w:t>
      </w:r>
      <w:r w:rsidR="00EC7EDF" w:rsidRPr="00FD211F">
        <w:rPr>
          <w:sz w:val="36"/>
          <w:szCs w:val="36"/>
          <w:rtl/>
        </w:rPr>
        <w:t xml:space="preserve">ة </w:t>
      </w:r>
      <w:r w:rsidR="00886E07" w:rsidRPr="00FD211F">
        <w:rPr>
          <w:sz w:val="36"/>
          <w:szCs w:val="36"/>
          <w:rtl/>
        </w:rPr>
        <w:t xml:space="preserve">الى حمل عوارض الفصل على الجنس </w:t>
      </w:r>
      <w:r w:rsidRPr="00FD211F">
        <w:rPr>
          <w:sz w:val="36"/>
          <w:szCs w:val="36"/>
          <w:rtl/>
        </w:rPr>
        <w:t>انه يكفي كون عوارض موضوعات مسائل العلم مساوي</w:t>
      </w:r>
      <w:r w:rsidR="00EC7EDF" w:rsidRPr="00FD211F">
        <w:rPr>
          <w:sz w:val="36"/>
          <w:szCs w:val="36"/>
          <w:rtl/>
        </w:rPr>
        <w:t xml:space="preserve">ة </w:t>
      </w:r>
      <w:r w:rsidRPr="00FD211F">
        <w:rPr>
          <w:sz w:val="36"/>
          <w:szCs w:val="36"/>
          <w:rtl/>
        </w:rPr>
        <w:t>لموضوع العلم ولو باخذها وما يقابلها محمولا له</w:t>
      </w:r>
      <w:r w:rsidR="00603323" w:rsidRPr="00FD211F">
        <w:rPr>
          <w:sz w:val="36"/>
          <w:szCs w:val="36"/>
          <w:rtl/>
        </w:rPr>
        <w:t xml:space="preserve">، </w:t>
      </w:r>
      <w:r w:rsidRPr="00FD211F">
        <w:rPr>
          <w:sz w:val="36"/>
          <w:szCs w:val="36"/>
          <w:rtl/>
        </w:rPr>
        <w:t>فيقال في علم الفلسف</w:t>
      </w:r>
      <w:r w:rsidR="00EC7EDF" w:rsidRPr="00FD211F">
        <w:rPr>
          <w:sz w:val="36"/>
          <w:szCs w:val="36"/>
          <w:rtl/>
        </w:rPr>
        <w:t xml:space="preserve">ة </w:t>
      </w:r>
      <w:r w:rsidR="009574E8" w:rsidRPr="00FD211F">
        <w:rPr>
          <w:sz w:val="36"/>
          <w:szCs w:val="36"/>
          <w:rtl/>
        </w:rPr>
        <w:t>ان</w:t>
      </w:r>
      <w:r w:rsidRPr="00FD211F">
        <w:rPr>
          <w:sz w:val="36"/>
          <w:szCs w:val="36"/>
          <w:rtl/>
        </w:rPr>
        <w:t xml:space="preserve"> الموجود اما عقل او نفس او جسم او عرض او واجب</w:t>
      </w:r>
      <w:r w:rsidR="00603323" w:rsidRPr="00FD211F">
        <w:rPr>
          <w:sz w:val="36"/>
          <w:szCs w:val="36"/>
          <w:rtl/>
        </w:rPr>
        <w:t xml:space="preserve">، </w:t>
      </w:r>
      <w:r w:rsidR="00F03FEE" w:rsidRPr="00FD211F">
        <w:rPr>
          <w:sz w:val="36"/>
          <w:szCs w:val="36"/>
          <w:rtl/>
        </w:rPr>
        <w:t>فيكون مجموع هذه المحمولات مساوي</w:t>
      </w:r>
      <w:r w:rsidR="00EC7EDF" w:rsidRPr="00FD211F">
        <w:rPr>
          <w:sz w:val="36"/>
          <w:szCs w:val="36"/>
          <w:rtl/>
        </w:rPr>
        <w:t xml:space="preserve">ة </w:t>
      </w:r>
      <w:r w:rsidR="00F03FEE" w:rsidRPr="00FD211F">
        <w:rPr>
          <w:sz w:val="36"/>
          <w:szCs w:val="36"/>
          <w:rtl/>
        </w:rPr>
        <w:t>للموجود</w:t>
      </w:r>
      <w:r w:rsidR="00603323" w:rsidRPr="00FD211F">
        <w:rPr>
          <w:sz w:val="36"/>
          <w:szCs w:val="36"/>
          <w:rtl/>
        </w:rPr>
        <w:t xml:space="preserve">، </w:t>
      </w:r>
      <w:r w:rsidR="00F03FEE" w:rsidRPr="00FD211F">
        <w:rPr>
          <w:sz w:val="36"/>
          <w:szCs w:val="36"/>
          <w:rtl/>
        </w:rPr>
        <w:t xml:space="preserve">كما ذكره </w:t>
      </w:r>
      <w:r w:rsidR="00993DD7" w:rsidRPr="00FD211F">
        <w:rPr>
          <w:sz w:val="36"/>
          <w:szCs w:val="36"/>
          <w:rtl/>
        </w:rPr>
        <w:t>السيد</w:t>
      </w:r>
      <w:r w:rsidR="00F03FEE" w:rsidRPr="00FD211F">
        <w:rPr>
          <w:sz w:val="36"/>
          <w:szCs w:val="36"/>
          <w:rtl/>
        </w:rPr>
        <w:t xml:space="preserve">الطباطبائي </w:t>
      </w:r>
      <w:r w:rsidR="00E4315C" w:rsidRPr="00FD211F">
        <w:rPr>
          <w:sz w:val="36"/>
          <w:szCs w:val="36"/>
          <w:rtl/>
        </w:rPr>
        <w:t>"</w:t>
      </w:r>
      <w:r w:rsidR="00F03FEE" w:rsidRPr="00FD211F">
        <w:rPr>
          <w:sz w:val="36"/>
          <w:szCs w:val="36"/>
          <w:rtl/>
        </w:rPr>
        <w:t>قده</w:t>
      </w:r>
      <w:r w:rsidR="00E4315C" w:rsidRPr="00FD211F">
        <w:rPr>
          <w:sz w:val="36"/>
          <w:szCs w:val="36"/>
          <w:rtl/>
        </w:rPr>
        <w:t>"</w:t>
      </w:r>
      <w:r w:rsidR="00F03FEE" w:rsidRPr="00FD211F">
        <w:rPr>
          <w:sz w:val="36"/>
          <w:szCs w:val="36"/>
          <w:rtl/>
        </w:rPr>
        <w:t xml:space="preserve"> في تعليق</w:t>
      </w:r>
      <w:r w:rsidR="00EC7EDF" w:rsidRPr="00FD211F">
        <w:rPr>
          <w:sz w:val="36"/>
          <w:szCs w:val="36"/>
          <w:rtl/>
        </w:rPr>
        <w:t xml:space="preserve">ة </w:t>
      </w:r>
      <w:r w:rsidR="00F03FEE" w:rsidRPr="00FD211F">
        <w:rPr>
          <w:sz w:val="36"/>
          <w:szCs w:val="36"/>
          <w:rtl/>
        </w:rPr>
        <w:t>الاسفار</w:t>
      </w:r>
      <w:r w:rsidR="009C58C8" w:rsidRPr="00FD211F">
        <w:rPr>
          <w:rStyle w:val="a6"/>
          <w:sz w:val="36"/>
          <w:szCs w:val="36"/>
          <w:rtl/>
        </w:rPr>
        <w:t>(</w:t>
      </w:r>
      <w:r w:rsidR="009C58C8" w:rsidRPr="00FD211F">
        <w:rPr>
          <w:rStyle w:val="a6"/>
          <w:sz w:val="36"/>
          <w:szCs w:val="36"/>
          <w:rtl/>
        </w:rPr>
        <w:footnoteReference w:id="81"/>
      </w:r>
      <w:r w:rsidR="009C58C8" w:rsidRPr="00FD211F">
        <w:rPr>
          <w:rStyle w:val="a6"/>
          <w:sz w:val="36"/>
          <w:szCs w:val="36"/>
          <w:rtl/>
        </w:rPr>
        <w:t>)</w:t>
      </w:r>
      <w:r w:rsidR="00F03FEE" w:rsidRPr="00FD211F">
        <w:rPr>
          <w:sz w:val="36"/>
          <w:szCs w:val="36"/>
          <w:rtl/>
        </w:rPr>
        <w:t>.</w:t>
      </w:r>
    </w:p>
    <w:p w14:paraId="6A0C9F8C" w14:textId="77777777" w:rsidR="00BC08CB" w:rsidRPr="00FD211F" w:rsidRDefault="00BC08CB" w:rsidP="009C58C8">
      <w:pPr>
        <w:pStyle w:val="3"/>
        <w:ind w:firstLine="227"/>
        <w:jc w:val="both"/>
        <w:rPr>
          <w:rtl/>
        </w:rPr>
      </w:pPr>
      <w:bookmarkStart w:id="76" w:name="_Toc223890318"/>
      <w:r w:rsidRPr="00FD211F">
        <w:rPr>
          <w:rtl/>
        </w:rPr>
        <w:t>تعريف المحقق الاصفهاني للعوارض الذاتي</w:t>
      </w:r>
      <w:r w:rsidR="00EC7EDF" w:rsidRPr="00FD211F">
        <w:rPr>
          <w:rtl/>
        </w:rPr>
        <w:t>ة</w:t>
      </w:r>
      <w:bookmarkEnd w:id="76"/>
      <w:r w:rsidR="00EC7EDF" w:rsidRPr="00FD211F">
        <w:rPr>
          <w:rtl/>
        </w:rPr>
        <w:t xml:space="preserve"> </w:t>
      </w:r>
    </w:p>
    <w:p w14:paraId="0151AE55" w14:textId="77777777" w:rsidR="003262E6" w:rsidRPr="00FD211F" w:rsidRDefault="009932A8" w:rsidP="009C58C8">
      <w:pPr>
        <w:ind w:left="0" w:firstLine="227"/>
        <w:jc w:val="both"/>
        <w:rPr>
          <w:sz w:val="36"/>
          <w:szCs w:val="36"/>
          <w:rtl/>
        </w:rPr>
      </w:pPr>
      <w:r w:rsidRPr="00FD211F">
        <w:rPr>
          <w:b/>
          <w:bCs/>
          <w:sz w:val="36"/>
          <w:szCs w:val="36"/>
          <w:rtl/>
        </w:rPr>
        <w:t>ال</w:t>
      </w:r>
      <w:r w:rsidR="00F03FEE" w:rsidRPr="00FD211F">
        <w:rPr>
          <w:b/>
          <w:bCs/>
          <w:sz w:val="36"/>
          <w:szCs w:val="36"/>
          <w:rtl/>
        </w:rPr>
        <w:t>رابع</w:t>
      </w:r>
      <w:r w:rsidRPr="00FD211F">
        <w:rPr>
          <w:sz w:val="36"/>
          <w:szCs w:val="36"/>
          <w:rtl/>
        </w:rPr>
        <w:t xml:space="preserve">: ما ذكره المحقق الاصفهاني </w:t>
      </w:r>
      <w:r w:rsidR="00E4315C" w:rsidRPr="00FD211F">
        <w:rPr>
          <w:sz w:val="36"/>
          <w:szCs w:val="36"/>
          <w:rtl/>
        </w:rPr>
        <w:t>"</w:t>
      </w:r>
      <w:r w:rsidRPr="00FD211F">
        <w:rPr>
          <w:sz w:val="36"/>
          <w:szCs w:val="36"/>
          <w:rtl/>
        </w:rPr>
        <w:t>قده</w:t>
      </w:r>
      <w:r w:rsidR="00E4315C" w:rsidRPr="00FD211F">
        <w:rPr>
          <w:sz w:val="36"/>
          <w:szCs w:val="36"/>
          <w:rtl/>
        </w:rPr>
        <w:t>"</w:t>
      </w:r>
      <w:r w:rsidRPr="00FD211F">
        <w:rPr>
          <w:sz w:val="36"/>
          <w:szCs w:val="36"/>
          <w:rtl/>
        </w:rPr>
        <w:t xml:space="preserve"> من ان العرض الذاتي ما يعرض ال</w:t>
      </w:r>
      <w:r w:rsidR="008D7B3D" w:rsidRPr="00FD211F">
        <w:rPr>
          <w:sz w:val="36"/>
          <w:szCs w:val="36"/>
          <w:rtl/>
        </w:rPr>
        <w:t xml:space="preserve">شيء </w:t>
      </w:r>
      <w:r w:rsidRPr="00FD211F">
        <w:rPr>
          <w:sz w:val="36"/>
          <w:szCs w:val="36"/>
          <w:rtl/>
        </w:rPr>
        <w:t>بلاواسط</w:t>
      </w:r>
      <w:r w:rsidR="00EC7EDF" w:rsidRPr="00FD211F">
        <w:rPr>
          <w:sz w:val="36"/>
          <w:szCs w:val="36"/>
          <w:rtl/>
        </w:rPr>
        <w:t xml:space="preserve">ة </w:t>
      </w:r>
      <w:r w:rsidRPr="00FD211F">
        <w:rPr>
          <w:sz w:val="36"/>
          <w:szCs w:val="36"/>
          <w:rtl/>
        </w:rPr>
        <w:t>او بواسط</w:t>
      </w:r>
      <w:r w:rsidR="00EC7EDF" w:rsidRPr="00FD211F">
        <w:rPr>
          <w:sz w:val="36"/>
          <w:szCs w:val="36"/>
          <w:rtl/>
        </w:rPr>
        <w:t xml:space="preserve">ة </w:t>
      </w:r>
      <w:r w:rsidRPr="00FD211F">
        <w:rPr>
          <w:sz w:val="36"/>
          <w:szCs w:val="36"/>
          <w:rtl/>
        </w:rPr>
        <w:t>امر</w:t>
      </w:r>
      <w:r w:rsidR="00456089" w:rsidRPr="00FD211F">
        <w:rPr>
          <w:sz w:val="36"/>
          <w:szCs w:val="36"/>
          <w:rtl/>
        </w:rPr>
        <w:t xml:space="preserve"> يكون</w:t>
      </w:r>
      <w:r w:rsidR="003262E6" w:rsidRPr="00FD211F">
        <w:rPr>
          <w:sz w:val="36"/>
          <w:szCs w:val="36"/>
          <w:rtl/>
        </w:rPr>
        <w:t xml:space="preserve"> عروضه لل</w:t>
      </w:r>
      <w:r w:rsidR="008D7B3D" w:rsidRPr="00FD211F">
        <w:rPr>
          <w:sz w:val="36"/>
          <w:szCs w:val="36"/>
          <w:rtl/>
        </w:rPr>
        <w:t xml:space="preserve">شيء </w:t>
      </w:r>
      <w:r w:rsidR="003262E6" w:rsidRPr="00FD211F">
        <w:rPr>
          <w:sz w:val="36"/>
          <w:szCs w:val="36"/>
          <w:rtl/>
        </w:rPr>
        <w:t>في مرتب</w:t>
      </w:r>
      <w:r w:rsidR="00EC7EDF" w:rsidRPr="00FD211F">
        <w:rPr>
          <w:sz w:val="36"/>
          <w:szCs w:val="36"/>
          <w:rtl/>
        </w:rPr>
        <w:t xml:space="preserve">ة </w:t>
      </w:r>
      <w:r w:rsidR="003262E6" w:rsidRPr="00FD211F">
        <w:rPr>
          <w:sz w:val="36"/>
          <w:szCs w:val="36"/>
          <w:rtl/>
        </w:rPr>
        <w:t>ذاته قبل مرتب</w:t>
      </w:r>
      <w:r w:rsidR="00EC7EDF" w:rsidRPr="00FD211F">
        <w:rPr>
          <w:sz w:val="36"/>
          <w:szCs w:val="36"/>
          <w:rtl/>
        </w:rPr>
        <w:t xml:space="preserve">ة </w:t>
      </w:r>
      <w:r w:rsidR="003262E6" w:rsidRPr="00FD211F">
        <w:rPr>
          <w:sz w:val="36"/>
          <w:szCs w:val="36"/>
          <w:rtl/>
        </w:rPr>
        <w:t>وجوده</w:t>
      </w:r>
      <w:r w:rsidR="00603323" w:rsidRPr="00FD211F">
        <w:rPr>
          <w:sz w:val="36"/>
          <w:szCs w:val="36"/>
          <w:rtl/>
        </w:rPr>
        <w:t xml:space="preserve">، </w:t>
      </w:r>
      <w:r w:rsidR="003262E6" w:rsidRPr="00FD211F">
        <w:rPr>
          <w:sz w:val="36"/>
          <w:szCs w:val="36"/>
          <w:rtl/>
        </w:rPr>
        <w:t>كالفصل بالنسب</w:t>
      </w:r>
      <w:r w:rsidR="00EC7EDF" w:rsidRPr="00FD211F">
        <w:rPr>
          <w:sz w:val="36"/>
          <w:szCs w:val="36"/>
          <w:rtl/>
        </w:rPr>
        <w:t xml:space="preserve">ة </w:t>
      </w:r>
      <w:r w:rsidR="003262E6" w:rsidRPr="00FD211F">
        <w:rPr>
          <w:sz w:val="36"/>
          <w:szCs w:val="36"/>
          <w:rtl/>
        </w:rPr>
        <w:t>الى الجنس</w:t>
      </w:r>
      <w:r w:rsidR="00603323" w:rsidRPr="00FD211F">
        <w:rPr>
          <w:sz w:val="36"/>
          <w:szCs w:val="36"/>
          <w:rtl/>
        </w:rPr>
        <w:t xml:space="preserve">، </w:t>
      </w:r>
      <w:r w:rsidR="003262E6" w:rsidRPr="00FD211F">
        <w:rPr>
          <w:sz w:val="36"/>
          <w:szCs w:val="36"/>
          <w:rtl/>
        </w:rPr>
        <w:t>فان الفصل يعرض الجنس في مرتب</w:t>
      </w:r>
      <w:r w:rsidR="00EC7EDF" w:rsidRPr="00FD211F">
        <w:rPr>
          <w:sz w:val="36"/>
          <w:szCs w:val="36"/>
          <w:rtl/>
        </w:rPr>
        <w:t xml:space="preserve">ة </w:t>
      </w:r>
      <w:r w:rsidR="003262E6" w:rsidRPr="00FD211F">
        <w:rPr>
          <w:sz w:val="36"/>
          <w:szCs w:val="36"/>
          <w:rtl/>
        </w:rPr>
        <w:t>ذاته ويكون جعله بعين جعله</w:t>
      </w:r>
      <w:r w:rsidR="00603323" w:rsidRPr="00FD211F">
        <w:rPr>
          <w:sz w:val="36"/>
          <w:szCs w:val="36"/>
          <w:rtl/>
        </w:rPr>
        <w:t xml:space="preserve">، </w:t>
      </w:r>
      <w:r w:rsidR="00456089" w:rsidRPr="00FD211F">
        <w:rPr>
          <w:sz w:val="36"/>
          <w:szCs w:val="36"/>
          <w:rtl/>
        </w:rPr>
        <w:t>بخلاف البحث عن عروض السواد للانسان بواسط</w:t>
      </w:r>
      <w:r w:rsidR="00EC7EDF" w:rsidRPr="00FD211F">
        <w:rPr>
          <w:sz w:val="36"/>
          <w:szCs w:val="36"/>
          <w:rtl/>
        </w:rPr>
        <w:t xml:space="preserve">ة </w:t>
      </w:r>
      <w:r w:rsidR="00456089" w:rsidRPr="00FD211F">
        <w:rPr>
          <w:sz w:val="36"/>
          <w:szCs w:val="36"/>
          <w:rtl/>
        </w:rPr>
        <w:t>كونه زنجيا</w:t>
      </w:r>
      <w:r w:rsidR="009C58C8" w:rsidRPr="00FD211F">
        <w:rPr>
          <w:rStyle w:val="a6"/>
          <w:sz w:val="36"/>
          <w:szCs w:val="36"/>
          <w:rtl/>
        </w:rPr>
        <w:t>(</w:t>
      </w:r>
      <w:r w:rsidR="009C58C8" w:rsidRPr="00FD211F">
        <w:rPr>
          <w:rStyle w:val="a6"/>
          <w:sz w:val="36"/>
          <w:szCs w:val="36"/>
          <w:rtl/>
        </w:rPr>
        <w:footnoteReference w:id="82"/>
      </w:r>
      <w:r w:rsidR="009C58C8" w:rsidRPr="00FD211F">
        <w:rPr>
          <w:rStyle w:val="a6"/>
          <w:sz w:val="36"/>
          <w:szCs w:val="36"/>
          <w:rtl/>
        </w:rPr>
        <w:t>)</w:t>
      </w:r>
      <w:r w:rsidR="003262E6" w:rsidRPr="00FD211F">
        <w:rPr>
          <w:sz w:val="36"/>
          <w:szCs w:val="36"/>
          <w:rtl/>
        </w:rPr>
        <w:t>.</w:t>
      </w:r>
    </w:p>
    <w:p w14:paraId="359998A5" w14:textId="77777777" w:rsidR="00456089" w:rsidRPr="00FD211F" w:rsidRDefault="003262E6" w:rsidP="009C58C8">
      <w:pPr>
        <w:ind w:left="0" w:firstLine="227"/>
        <w:jc w:val="both"/>
        <w:rPr>
          <w:sz w:val="36"/>
          <w:szCs w:val="36"/>
          <w:rtl/>
        </w:rPr>
      </w:pPr>
      <w:r w:rsidRPr="00FD211F">
        <w:rPr>
          <w:sz w:val="36"/>
          <w:szCs w:val="36"/>
          <w:rtl/>
        </w:rPr>
        <w:t>ولكن يرد عليه انه لاوجه لاختصاص العرض الذاتي بما يكون عارضا لموضوع العلم بلاواسط</w:t>
      </w:r>
      <w:r w:rsidR="00EC7EDF" w:rsidRPr="00FD211F">
        <w:rPr>
          <w:sz w:val="36"/>
          <w:szCs w:val="36"/>
          <w:rtl/>
        </w:rPr>
        <w:t xml:space="preserve">ة </w:t>
      </w:r>
      <w:r w:rsidRPr="00FD211F">
        <w:rPr>
          <w:sz w:val="36"/>
          <w:szCs w:val="36"/>
          <w:rtl/>
        </w:rPr>
        <w:t>او بواسط</w:t>
      </w:r>
      <w:r w:rsidR="00EC7EDF" w:rsidRPr="00FD211F">
        <w:rPr>
          <w:sz w:val="36"/>
          <w:szCs w:val="36"/>
          <w:rtl/>
        </w:rPr>
        <w:t xml:space="preserve">ة </w:t>
      </w:r>
      <w:r w:rsidRPr="00FD211F">
        <w:rPr>
          <w:sz w:val="36"/>
          <w:szCs w:val="36"/>
          <w:rtl/>
        </w:rPr>
        <w:t>فصله الذي يكون عرضا اوليا له</w:t>
      </w:r>
      <w:r w:rsidR="00603323" w:rsidRPr="00FD211F">
        <w:rPr>
          <w:sz w:val="36"/>
          <w:szCs w:val="36"/>
          <w:rtl/>
        </w:rPr>
        <w:t xml:space="preserve">، </w:t>
      </w:r>
      <w:r w:rsidRPr="00FD211F">
        <w:rPr>
          <w:sz w:val="36"/>
          <w:szCs w:val="36"/>
          <w:rtl/>
        </w:rPr>
        <w:t>بل يشمل ما لو كان بواسط</w:t>
      </w:r>
      <w:r w:rsidR="00EC7EDF" w:rsidRPr="00FD211F">
        <w:rPr>
          <w:sz w:val="36"/>
          <w:szCs w:val="36"/>
          <w:rtl/>
        </w:rPr>
        <w:t xml:space="preserve">ة </w:t>
      </w:r>
      <w:r w:rsidRPr="00FD211F">
        <w:rPr>
          <w:sz w:val="36"/>
          <w:szCs w:val="36"/>
          <w:rtl/>
        </w:rPr>
        <w:t>امر خارجي كثبوت الحرار</w:t>
      </w:r>
      <w:r w:rsidR="00EC7EDF" w:rsidRPr="00FD211F">
        <w:rPr>
          <w:sz w:val="36"/>
          <w:szCs w:val="36"/>
          <w:rtl/>
        </w:rPr>
        <w:t xml:space="preserve">ة </w:t>
      </w:r>
      <w:r w:rsidRPr="00FD211F">
        <w:rPr>
          <w:sz w:val="36"/>
          <w:szCs w:val="36"/>
          <w:rtl/>
        </w:rPr>
        <w:t>للماء بواسط</w:t>
      </w:r>
      <w:r w:rsidR="00EC7EDF" w:rsidRPr="00FD211F">
        <w:rPr>
          <w:sz w:val="36"/>
          <w:szCs w:val="36"/>
          <w:rtl/>
        </w:rPr>
        <w:t xml:space="preserve">ة </w:t>
      </w:r>
      <w:r w:rsidRPr="00FD211F">
        <w:rPr>
          <w:sz w:val="36"/>
          <w:szCs w:val="36"/>
          <w:rtl/>
        </w:rPr>
        <w:t>مجاور</w:t>
      </w:r>
      <w:r w:rsidR="00EC7EDF" w:rsidRPr="00FD211F">
        <w:rPr>
          <w:sz w:val="36"/>
          <w:szCs w:val="36"/>
          <w:rtl/>
        </w:rPr>
        <w:t xml:space="preserve">ة </w:t>
      </w:r>
      <w:r w:rsidRPr="00FD211F">
        <w:rPr>
          <w:sz w:val="36"/>
          <w:szCs w:val="36"/>
          <w:rtl/>
        </w:rPr>
        <w:t>النار</w:t>
      </w:r>
      <w:r w:rsidR="00603323" w:rsidRPr="00FD211F">
        <w:rPr>
          <w:sz w:val="36"/>
          <w:szCs w:val="36"/>
          <w:rtl/>
        </w:rPr>
        <w:t xml:space="preserve">، </w:t>
      </w:r>
      <w:r w:rsidRPr="00FD211F">
        <w:rPr>
          <w:sz w:val="36"/>
          <w:szCs w:val="36"/>
          <w:rtl/>
        </w:rPr>
        <w:t>كما حكي عن الشيخ الرئيس في مقدم</w:t>
      </w:r>
      <w:r w:rsidR="00EC7EDF" w:rsidRPr="00FD211F">
        <w:rPr>
          <w:sz w:val="36"/>
          <w:szCs w:val="36"/>
          <w:rtl/>
        </w:rPr>
        <w:t xml:space="preserve">ة </w:t>
      </w:r>
      <w:r w:rsidRPr="00FD211F">
        <w:rPr>
          <w:sz w:val="36"/>
          <w:szCs w:val="36"/>
          <w:rtl/>
        </w:rPr>
        <w:t>كتاب البرهان.</w:t>
      </w:r>
    </w:p>
    <w:p w14:paraId="6081BA66" w14:textId="77777777" w:rsidR="004C7E3E" w:rsidRPr="00FD211F" w:rsidRDefault="003262E6" w:rsidP="009C58C8">
      <w:pPr>
        <w:ind w:left="0" w:firstLine="227"/>
        <w:jc w:val="both"/>
        <w:rPr>
          <w:sz w:val="36"/>
          <w:szCs w:val="36"/>
          <w:rtl/>
        </w:rPr>
      </w:pPr>
      <w:r w:rsidRPr="00FD211F">
        <w:rPr>
          <w:sz w:val="36"/>
          <w:szCs w:val="36"/>
          <w:rtl/>
        </w:rPr>
        <w:t>وكيف كان فالصحيح ما ذكره صاحب الكفاي</w:t>
      </w:r>
      <w:r w:rsidR="00EC7EDF" w:rsidRPr="00FD211F">
        <w:rPr>
          <w:sz w:val="36"/>
          <w:szCs w:val="36"/>
          <w:rtl/>
        </w:rPr>
        <w:t xml:space="preserve">ة </w:t>
      </w:r>
      <w:r w:rsidRPr="00FD211F">
        <w:rPr>
          <w:sz w:val="36"/>
          <w:szCs w:val="36"/>
          <w:rtl/>
        </w:rPr>
        <w:t>وفاقا للمحقق السبزواري</w:t>
      </w:r>
      <w:r w:rsidR="0093696B" w:rsidRPr="00FD211F">
        <w:rPr>
          <w:sz w:val="36"/>
          <w:szCs w:val="36"/>
          <w:rtl/>
        </w:rPr>
        <w:t xml:space="preserve"> في تعليقته على الاسفار</w:t>
      </w:r>
      <w:r w:rsidRPr="00FD211F">
        <w:rPr>
          <w:sz w:val="36"/>
          <w:szCs w:val="36"/>
          <w:rtl/>
        </w:rPr>
        <w:t xml:space="preserve"> من انه لادليل </w:t>
      </w:r>
      <w:r w:rsidR="00F03FEE" w:rsidRPr="00FD211F">
        <w:rPr>
          <w:sz w:val="36"/>
          <w:szCs w:val="36"/>
          <w:rtl/>
        </w:rPr>
        <w:t>على تخصيص البحث في كل علم بالبحث عما يعرض لموضوع العلم بلاواسط</w:t>
      </w:r>
      <w:r w:rsidR="00EC7EDF" w:rsidRPr="00FD211F">
        <w:rPr>
          <w:sz w:val="36"/>
          <w:szCs w:val="36"/>
          <w:rtl/>
        </w:rPr>
        <w:t xml:space="preserve">ة </w:t>
      </w:r>
      <w:r w:rsidR="00F03FEE" w:rsidRPr="00FD211F">
        <w:rPr>
          <w:sz w:val="36"/>
          <w:szCs w:val="36"/>
          <w:rtl/>
        </w:rPr>
        <w:t>او بواسط</w:t>
      </w:r>
      <w:r w:rsidR="00EC7EDF" w:rsidRPr="00FD211F">
        <w:rPr>
          <w:sz w:val="36"/>
          <w:szCs w:val="36"/>
          <w:rtl/>
        </w:rPr>
        <w:t xml:space="preserve">ة </w:t>
      </w:r>
      <w:r w:rsidR="00F03FEE" w:rsidRPr="00FD211F">
        <w:rPr>
          <w:sz w:val="36"/>
          <w:szCs w:val="36"/>
          <w:rtl/>
        </w:rPr>
        <w:t>مساو</w:t>
      </w:r>
      <w:r w:rsidR="00603323" w:rsidRPr="00FD211F">
        <w:rPr>
          <w:sz w:val="36"/>
          <w:szCs w:val="36"/>
          <w:rtl/>
        </w:rPr>
        <w:t xml:space="preserve">، </w:t>
      </w:r>
      <w:r w:rsidR="00F03FEE" w:rsidRPr="00FD211F">
        <w:rPr>
          <w:sz w:val="36"/>
          <w:szCs w:val="36"/>
          <w:rtl/>
        </w:rPr>
        <w:t>فيصح البحث عما يكون عروضه بواسط</w:t>
      </w:r>
      <w:r w:rsidR="00EC7EDF" w:rsidRPr="00FD211F">
        <w:rPr>
          <w:sz w:val="36"/>
          <w:szCs w:val="36"/>
          <w:rtl/>
        </w:rPr>
        <w:t xml:space="preserve">ة </w:t>
      </w:r>
      <w:r w:rsidR="00F03FEE" w:rsidRPr="00FD211F">
        <w:rPr>
          <w:sz w:val="36"/>
          <w:szCs w:val="36"/>
          <w:rtl/>
        </w:rPr>
        <w:t>اعم او اخص</w:t>
      </w:r>
      <w:r w:rsidR="00603323" w:rsidRPr="00FD211F">
        <w:rPr>
          <w:sz w:val="36"/>
          <w:szCs w:val="36"/>
          <w:rtl/>
        </w:rPr>
        <w:t xml:space="preserve">، </w:t>
      </w:r>
      <w:r w:rsidR="00F03FEE" w:rsidRPr="00FD211F">
        <w:rPr>
          <w:sz w:val="36"/>
          <w:szCs w:val="36"/>
          <w:rtl/>
        </w:rPr>
        <w:t>بل الصحيح ان يقال ان البحث في كل علم تابع لحد</w:t>
      </w:r>
      <w:r w:rsidR="004C7E3E" w:rsidRPr="00FD211F">
        <w:rPr>
          <w:sz w:val="36"/>
          <w:szCs w:val="36"/>
          <w:rtl/>
        </w:rPr>
        <w:t xml:space="preserve"> الغرض</w:t>
      </w:r>
      <w:r w:rsidR="00F03FEE" w:rsidRPr="00FD211F">
        <w:rPr>
          <w:sz w:val="36"/>
          <w:szCs w:val="36"/>
          <w:rtl/>
        </w:rPr>
        <w:t xml:space="preserve"> من تدوين العلم</w:t>
      </w:r>
      <w:r w:rsidR="00603323" w:rsidRPr="00FD211F">
        <w:rPr>
          <w:sz w:val="36"/>
          <w:szCs w:val="36"/>
          <w:rtl/>
        </w:rPr>
        <w:t xml:space="preserve">، </w:t>
      </w:r>
      <w:r w:rsidR="004C7E3E" w:rsidRPr="00FD211F">
        <w:rPr>
          <w:sz w:val="36"/>
          <w:szCs w:val="36"/>
          <w:rtl/>
        </w:rPr>
        <w:t xml:space="preserve">فقد يتعلق الغرض بالبحث عن </w:t>
      </w:r>
      <w:r w:rsidR="00F03FEE" w:rsidRPr="00FD211F">
        <w:rPr>
          <w:sz w:val="36"/>
          <w:szCs w:val="36"/>
          <w:rtl/>
        </w:rPr>
        <w:t>جميع</w:t>
      </w:r>
      <w:r w:rsidR="004C7E3E" w:rsidRPr="00FD211F">
        <w:rPr>
          <w:sz w:val="36"/>
          <w:szCs w:val="36"/>
          <w:rtl/>
        </w:rPr>
        <w:t xml:space="preserve"> عوارض موضوع</w:t>
      </w:r>
      <w:r w:rsidR="00F03FEE" w:rsidRPr="00FD211F">
        <w:rPr>
          <w:sz w:val="36"/>
          <w:szCs w:val="36"/>
          <w:rtl/>
        </w:rPr>
        <w:t xml:space="preserve"> العلم</w:t>
      </w:r>
      <w:r w:rsidRPr="00FD211F">
        <w:rPr>
          <w:sz w:val="36"/>
          <w:szCs w:val="36"/>
          <w:rtl/>
        </w:rPr>
        <w:t xml:space="preserve"> ولو كانت من عوارضه الغريب</w:t>
      </w:r>
      <w:r w:rsidR="00EC7EDF" w:rsidRPr="00FD211F">
        <w:rPr>
          <w:sz w:val="36"/>
          <w:szCs w:val="36"/>
          <w:rtl/>
        </w:rPr>
        <w:t>ة</w:t>
      </w:r>
      <w:r w:rsidR="00603323" w:rsidRPr="00FD211F">
        <w:rPr>
          <w:sz w:val="36"/>
          <w:szCs w:val="36"/>
          <w:rtl/>
        </w:rPr>
        <w:t xml:space="preserve">، </w:t>
      </w:r>
      <w:r w:rsidRPr="00FD211F">
        <w:rPr>
          <w:sz w:val="36"/>
          <w:szCs w:val="36"/>
          <w:rtl/>
        </w:rPr>
        <w:t>كما لو كان بواسط</w:t>
      </w:r>
      <w:r w:rsidR="00EC7EDF" w:rsidRPr="00FD211F">
        <w:rPr>
          <w:sz w:val="36"/>
          <w:szCs w:val="36"/>
          <w:rtl/>
        </w:rPr>
        <w:t xml:space="preserve">ة </w:t>
      </w:r>
      <w:r w:rsidRPr="00FD211F">
        <w:rPr>
          <w:sz w:val="36"/>
          <w:szCs w:val="36"/>
          <w:rtl/>
        </w:rPr>
        <w:t>في العروض</w:t>
      </w:r>
      <w:r w:rsidR="00603323" w:rsidRPr="00FD211F">
        <w:rPr>
          <w:sz w:val="36"/>
          <w:szCs w:val="36"/>
          <w:rtl/>
        </w:rPr>
        <w:t xml:space="preserve">، </w:t>
      </w:r>
      <w:r w:rsidRPr="00FD211F">
        <w:rPr>
          <w:sz w:val="36"/>
          <w:szCs w:val="36"/>
          <w:rtl/>
        </w:rPr>
        <w:t>فانه</w:t>
      </w:r>
      <w:r w:rsidR="00C25B29" w:rsidRPr="00FD211F">
        <w:rPr>
          <w:sz w:val="36"/>
          <w:szCs w:val="36"/>
          <w:rtl/>
        </w:rPr>
        <w:t xml:space="preserve"> </w:t>
      </w:r>
      <w:r w:rsidR="004C7E3E" w:rsidRPr="00FD211F">
        <w:rPr>
          <w:sz w:val="36"/>
          <w:szCs w:val="36"/>
          <w:rtl/>
        </w:rPr>
        <w:t xml:space="preserve">لامانع منه ابدا كما افاده المحقق الاصفهاني </w:t>
      </w:r>
      <w:r w:rsidR="00E4315C" w:rsidRPr="00FD211F">
        <w:rPr>
          <w:sz w:val="36"/>
          <w:szCs w:val="36"/>
          <w:rtl/>
        </w:rPr>
        <w:t>"</w:t>
      </w:r>
      <w:r w:rsidR="004C7E3E" w:rsidRPr="00FD211F">
        <w:rPr>
          <w:sz w:val="36"/>
          <w:szCs w:val="36"/>
          <w:rtl/>
        </w:rPr>
        <w:t>قده</w:t>
      </w:r>
      <w:r w:rsidR="00E4315C" w:rsidRPr="00FD211F">
        <w:rPr>
          <w:sz w:val="36"/>
          <w:szCs w:val="36"/>
          <w:rtl/>
        </w:rPr>
        <w:t>"</w:t>
      </w:r>
      <w:r w:rsidR="004C7E3E" w:rsidRPr="00FD211F">
        <w:rPr>
          <w:sz w:val="36"/>
          <w:szCs w:val="36"/>
          <w:rtl/>
        </w:rPr>
        <w:t>.</w:t>
      </w:r>
    </w:p>
    <w:p w14:paraId="6BD8B2CB" w14:textId="77777777" w:rsidR="00156D17" w:rsidRPr="00FD211F" w:rsidRDefault="00156D17" w:rsidP="009C58C8">
      <w:pPr>
        <w:pStyle w:val="3"/>
        <w:ind w:firstLine="227"/>
        <w:jc w:val="both"/>
        <w:rPr>
          <w:rtl/>
        </w:rPr>
      </w:pPr>
      <w:bookmarkStart w:id="77" w:name="_Toc151944587"/>
      <w:bookmarkStart w:id="78" w:name="_Toc154131714"/>
      <w:bookmarkStart w:id="79" w:name="_Toc156401502"/>
      <w:bookmarkStart w:id="80" w:name="درس007دقيقه25"/>
      <w:bookmarkStart w:id="81" w:name="_Toc192092848"/>
      <w:bookmarkStart w:id="82" w:name="_Toc223890319"/>
      <w:bookmarkEnd w:id="80"/>
      <w:r w:rsidRPr="00FD211F">
        <w:rPr>
          <w:rtl/>
        </w:rPr>
        <w:t>موضوع علم الاصول</w:t>
      </w:r>
      <w:bookmarkEnd w:id="77"/>
      <w:bookmarkEnd w:id="78"/>
      <w:bookmarkEnd w:id="79"/>
      <w:bookmarkEnd w:id="81"/>
      <w:bookmarkEnd w:id="82"/>
    </w:p>
    <w:p w14:paraId="73500A7B" w14:textId="77777777" w:rsidR="000C59A2" w:rsidRPr="00FD211F" w:rsidRDefault="00156D17" w:rsidP="009C58C8">
      <w:pPr>
        <w:ind w:left="0" w:firstLine="227"/>
        <w:jc w:val="both"/>
        <w:rPr>
          <w:sz w:val="36"/>
          <w:szCs w:val="36"/>
          <w:rtl/>
        </w:rPr>
      </w:pPr>
      <w:r w:rsidRPr="00FD211F">
        <w:rPr>
          <w:sz w:val="36"/>
          <w:szCs w:val="36"/>
          <w:rtl/>
        </w:rPr>
        <w:t>ذك</w:t>
      </w:r>
      <w:r w:rsidR="000C59A2" w:rsidRPr="00FD211F">
        <w:rPr>
          <w:sz w:val="36"/>
          <w:szCs w:val="36"/>
          <w:rtl/>
        </w:rPr>
        <w:t>ر السيد المرتضى "ره"أن الكلام في اصول الفقه في الحقيقة في ادلة الفقه</w:t>
      </w:r>
      <w:r w:rsidR="00C17D0B" w:rsidRPr="00FD211F">
        <w:rPr>
          <w:rStyle w:val="a6"/>
          <w:sz w:val="36"/>
          <w:szCs w:val="36"/>
          <w:rtl/>
        </w:rPr>
        <w:t>(</w:t>
      </w:r>
      <w:r w:rsidR="00C17D0B" w:rsidRPr="00FD211F">
        <w:rPr>
          <w:rStyle w:val="a6"/>
          <w:sz w:val="36"/>
          <w:szCs w:val="36"/>
          <w:rtl/>
        </w:rPr>
        <w:footnoteReference w:id="83"/>
      </w:r>
      <w:r w:rsidR="00C17D0B" w:rsidRPr="00FD211F">
        <w:rPr>
          <w:rStyle w:val="a6"/>
          <w:sz w:val="36"/>
          <w:szCs w:val="36"/>
          <w:rtl/>
        </w:rPr>
        <w:t>)</w:t>
      </w:r>
      <w:r w:rsidR="000C59A2" w:rsidRPr="00FD211F">
        <w:rPr>
          <w:sz w:val="36"/>
          <w:szCs w:val="36"/>
          <w:rtl/>
        </w:rPr>
        <w:t>.</w:t>
      </w:r>
    </w:p>
    <w:p w14:paraId="60AF10E2" w14:textId="77777777" w:rsidR="000C59A2" w:rsidRPr="00FD211F" w:rsidRDefault="000C59A2" w:rsidP="009C58C8">
      <w:pPr>
        <w:ind w:left="0" w:firstLine="227"/>
        <w:jc w:val="both"/>
        <w:rPr>
          <w:sz w:val="36"/>
          <w:szCs w:val="36"/>
          <w:rtl/>
        </w:rPr>
      </w:pPr>
      <w:r w:rsidRPr="00FD211F">
        <w:rPr>
          <w:sz w:val="36"/>
          <w:szCs w:val="36"/>
          <w:rtl/>
        </w:rPr>
        <w:t>وهذا يعني أن موضوع علم الاصول هو الادلة في الفقه</w:t>
      </w:r>
      <w:r w:rsidR="00C774D9" w:rsidRPr="00FD211F">
        <w:rPr>
          <w:sz w:val="36"/>
          <w:szCs w:val="36"/>
          <w:rtl/>
        </w:rPr>
        <w:t>.</w:t>
      </w:r>
    </w:p>
    <w:p w14:paraId="3727A636" w14:textId="77777777" w:rsidR="00F03FEE" w:rsidRPr="00FD211F" w:rsidRDefault="000C59A2" w:rsidP="009C58C8">
      <w:pPr>
        <w:ind w:left="0" w:firstLine="227"/>
        <w:jc w:val="both"/>
        <w:rPr>
          <w:sz w:val="36"/>
          <w:szCs w:val="36"/>
          <w:rtl/>
        </w:rPr>
      </w:pPr>
      <w:r w:rsidRPr="00FD211F">
        <w:rPr>
          <w:sz w:val="36"/>
          <w:szCs w:val="36"/>
          <w:rtl/>
        </w:rPr>
        <w:t>وقد ذك</w:t>
      </w:r>
      <w:r w:rsidR="00156D17" w:rsidRPr="00FD211F">
        <w:rPr>
          <w:sz w:val="36"/>
          <w:szCs w:val="36"/>
          <w:rtl/>
        </w:rPr>
        <w:t xml:space="preserve">ر صاحب القوانين </w:t>
      </w:r>
      <w:r w:rsidR="00E4315C" w:rsidRPr="00FD211F">
        <w:rPr>
          <w:sz w:val="36"/>
          <w:szCs w:val="36"/>
          <w:rtl/>
        </w:rPr>
        <w:t>"</w:t>
      </w:r>
      <w:r w:rsidR="00156D17" w:rsidRPr="00FD211F">
        <w:rPr>
          <w:sz w:val="36"/>
          <w:szCs w:val="36"/>
          <w:rtl/>
        </w:rPr>
        <w:t>قده</w:t>
      </w:r>
      <w:r w:rsidR="00E4315C" w:rsidRPr="00FD211F">
        <w:rPr>
          <w:sz w:val="36"/>
          <w:szCs w:val="36"/>
          <w:rtl/>
        </w:rPr>
        <w:t>"</w:t>
      </w:r>
      <w:r w:rsidR="00156D17" w:rsidRPr="00FD211F">
        <w:rPr>
          <w:sz w:val="36"/>
          <w:szCs w:val="36"/>
          <w:rtl/>
        </w:rPr>
        <w:t xml:space="preserve"> </w:t>
      </w:r>
      <w:r w:rsidR="0056562C" w:rsidRPr="00FD211F">
        <w:rPr>
          <w:sz w:val="36"/>
          <w:szCs w:val="36"/>
          <w:rtl/>
        </w:rPr>
        <w:t>على ما</w:t>
      </w:r>
      <w:r w:rsidR="00B919C0" w:rsidRPr="00FD211F">
        <w:rPr>
          <w:sz w:val="36"/>
          <w:szCs w:val="36"/>
          <w:rtl/>
        </w:rPr>
        <w:t xml:space="preserve"> </w:t>
      </w:r>
      <w:r w:rsidR="0056562C" w:rsidRPr="00FD211F">
        <w:rPr>
          <w:sz w:val="36"/>
          <w:szCs w:val="36"/>
          <w:rtl/>
        </w:rPr>
        <w:t xml:space="preserve">حكي عنه </w:t>
      </w:r>
      <w:r w:rsidR="00156D17" w:rsidRPr="00FD211F">
        <w:rPr>
          <w:sz w:val="36"/>
          <w:szCs w:val="36"/>
          <w:rtl/>
        </w:rPr>
        <w:t>ان</w:t>
      </w:r>
      <w:r w:rsidR="00F03FEE" w:rsidRPr="00FD211F">
        <w:rPr>
          <w:sz w:val="36"/>
          <w:szCs w:val="36"/>
          <w:rtl/>
        </w:rPr>
        <w:t xml:space="preserve"> موضوع علم الاصول هو</w:t>
      </w:r>
      <w:r w:rsidR="00156D17" w:rsidRPr="00FD211F">
        <w:rPr>
          <w:sz w:val="36"/>
          <w:szCs w:val="36"/>
          <w:rtl/>
        </w:rPr>
        <w:t xml:space="preserve"> الأدل</w:t>
      </w:r>
      <w:r w:rsidR="00EC7EDF" w:rsidRPr="00FD211F">
        <w:rPr>
          <w:sz w:val="36"/>
          <w:szCs w:val="36"/>
          <w:rtl/>
        </w:rPr>
        <w:t xml:space="preserve">ة </w:t>
      </w:r>
      <w:r w:rsidR="00156D17" w:rsidRPr="00FD211F">
        <w:rPr>
          <w:sz w:val="36"/>
          <w:szCs w:val="36"/>
          <w:rtl/>
        </w:rPr>
        <w:t>الاربع</w:t>
      </w:r>
      <w:r w:rsidR="00EC7EDF" w:rsidRPr="00FD211F">
        <w:rPr>
          <w:sz w:val="36"/>
          <w:szCs w:val="36"/>
          <w:rtl/>
        </w:rPr>
        <w:t xml:space="preserve">ة </w:t>
      </w:r>
      <w:r w:rsidR="004328BE" w:rsidRPr="00FD211F">
        <w:rPr>
          <w:sz w:val="36"/>
          <w:szCs w:val="36"/>
          <w:rtl/>
        </w:rPr>
        <w:t>(الكتاب والسن</w:t>
      </w:r>
      <w:r w:rsidR="00EC7EDF" w:rsidRPr="00FD211F">
        <w:rPr>
          <w:sz w:val="36"/>
          <w:szCs w:val="36"/>
          <w:rtl/>
        </w:rPr>
        <w:t xml:space="preserve">ة </w:t>
      </w:r>
      <w:r w:rsidR="004328BE" w:rsidRPr="00FD211F">
        <w:rPr>
          <w:sz w:val="36"/>
          <w:szCs w:val="36"/>
          <w:rtl/>
        </w:rPr>
        <w:t>والاجماع والعقل)</w:t>
      </w:r>
      <w:r w:rsidR="00156D17" w:rsidRPr="00FD211F">
        <w:rPr>
          <w:sz w:val="36"/>
          <w:szCs w:val="36"/>
          <w:rtl/>
        </w:rPr>
        <w:t xml:space="preserve"> بما هي أدل</w:t>
      </w:r>
      <w:r w:rsidR="00EC7EDF" w:rsidRPr="00FD211F">
        <w:rPr>
          <w:sz w:val="36"/>
          <w:szCs w:val="36"/>
          <w:rtl/>
        </w:rPr>
        <w:t>ة</w:t>
      </w:r>
      <w:r w:rsidR="00A61BAE" w:rsidRPr="00FD211F">
        <w:rPr>
          <w:sz w:val="36"/>
          <w:szCs w:val="36"/>
          <w:rtl/>
        </w:rPr>
        <w:t>.</w:t>
      </w:r>
    </w:p>
    <w:p w14:paraId="072045FB" w14:textId="77777777" w:rsidR="00F03FEE" w:rsidRPr="00FD211F" w:rsidRDefault="00156D17" w:rsidP="009C58C8">
      <w:pPr>
        <w:ind w:left="0" w:firstLine="227"/>
        <w:jc w:val="both"/>
        <w:rPr>
          <w:sz w:val="36"/>
          <w:szCs w:val="36"/>
          <w:rtl/>
        </w:rPr>
      </w:pPr>
      <w:r w:rsidRPr="00FD211F">
        <w:rPr>
          <w:sz w:val="36"/>
          <w:szCs w:val="36"/>
          <w:rtl/>
        </w:rPr>
        <w:t>و</w:t>
      </w:r>
      <w:r w:rsidR="00F03FEE" w:rsidRPr="00FD211F">
        <w:rPr>
          <w:sz w:val="36"/>
          <w:szCs w:val="36"/>
          <w:rtl/>
        </w:rPr>
        <w:t xml:space="preserve">قد </w:t>
      </w:r>
      <w:r w:rsidRPr="00FD211F">
        <w:rPr>
          <w:sz w:val="36"/>
          <w:szCs w:val="36"/>
          <w:rtl/>
        </w:rPr>
        <w:t>اورد عليه باستلزامه</w:t>
      </w:r>
      <w:r w:rsidR="00F03FEE" w:rsidRPr="00FD211F">
        <w:rPr>
          <w:sz w:val="36"/>
          <w:szCs w:val="36"/>
          <w:rtl/>
        </w:rPr>
        <w:t xml:space="preserve"> خروج</w:t>
      </w:r>
      <w:r w:rsidRPr="00FD211F">
        <w:rPr>
          <w:sz w:val="36"/>
          <w:szCs w:val="36"/>
          <w:rtl/>
        </w:rPr>
        <w:t xml:space="preserve"> جل مباحث الاصول </w:t>
      </w:r>
      <w:r w:rsidR="00F03FEE" w:rsidRPr="00FD211F">
        <w:rPr>
          <w:sz w:val="36"/>
          <w:szCs w:val="36"/>
          <w:rtl/>
        </w:rPr>
        <w:t>عن هذا العلم</w:t>
      </w:r>
      <w:r w:rsidR="00603323" w:rsidRPr="00FD211F">
        <w:rPr>
          <w:sz w:val="36"/>
          <w:szCs w:val="36"/>
          <w:rtl/>
        </w:rPr>
        <w:t xml:space="preserve">، </w:t>
      </w:r>
      <w:r w:rsidR="00F03FEE" w:rsidRPr="00FD211F">
        <w:rPr>
          <w:sz w:val="36"/>
          <w:szCs w:val="36"/>
          <w:rtl/>
        </w:rPr>
        <w:t>فان البحث عن حجي</w:t>
      </w:r>
      <w:r w:rsidR="00EC7EDF" w:rsidRPr="00FD211F">
        <w:rPr>
          <w:sz w:val="36"/>
          <w:szCs w:val="36"/>
          <w:rtl/>
        </w:rPr>
        <w:t xml:space="preserve">ة </w:t>
      </w:r>
      <w:r w:rsidR="00F03FEE" w:rsidRPr="00FD211F">
        <w:rPr>
          <w:sz w:val="36"/>
          <w:szCs w:val="36"/>
          <w:rtl/>
        </w:rPr>
        <w:t>ظهور الكتاب يكون بحثا عن المبادئ التصديقي</w:t>
      </w:r>
      <w:r w:rsidR="00EC7EDF" w:rsidRPr="00FD211F">
        <w:rPr>
          <w:sz w:val="36"/>
          <w:szCs w:val="36"/>
          <w:rtl/>
        </w:rPr>
        <w:t xml:space="preserve">ة </w:t>
      </w:r>
      <w:r w:rsidR="00F03FEE" w:rsidRPr="00FD211F">
        <w:rPr>
          <w:sz w:val="36"/>
          <w:szCs w:val="36"/>
          <w:rtl/>
        </w:rPr>
        <w:t>لموضوع علم الاصول</w:t>
      </w:r>
      <w:r w:rsidR="00603323" w:rsidRPr="00FD211F">
        <w:rPr>
          <w:sz w:val="36"/>
          <w:szCs w:val="36"/>
          <w:rtl/>
        </w:rPr>
        <w:t xml:space="preserve">، </w:t>
      </w:r>
      <w:r w:rsidR="00F03FEE" w:rsidRPr="00FD211F">
        <w:rPr>
          <w:sz w:val="36"/>
          <w:szCs w:val="36"/>
          <w:rtl/>
        </w:rPr>
        <w:t>حيث يبحث ان الدليل الكتابي موجود ام لا</w:t>
      </w:r>
      <w:r w:rsidR="00603323" w:rsidRPr="00FD211F">
        <w:rPr>
          <w:sz w:val="36"/>
          <w:szCs w:val="36"/>
          <w:rtl/>
        </w:rPr>
        <w:t xml:space="preserve">، </w:t>
      </w:r>
      <w:r w:rsidR="00F03FEE" w:rsidRPr="00FD211F">
        <w:rPr>
          <w:sz w:val="36"/>
          <w:szCs w:val="36"/>
          <w:rtl/>
        </w:rPr>
        <w:t>وكذا يبحث ان حكم العقل بالملازم</w:t>
      </w:r>
      <w:r w:rsidR="00EC7EDF" w:rsidRPr="00FD211F">
        <w:rPr>
          <w:sz w:val="36"/>
          <w:szCs w:val="36"/>
          <w:rtl/>
        </w:rPr>
        <w:t xml:space="preserve">ة </w:t>
      </w:r>
      <w:r w:rsidR="00F03FEE" w:rsidRPr="00FD211F">
        <w:rPr>
          <w:sz w:val="36"/>
          <w:szCs w:val="36"/>
          <w:rtl/>
        </w:rPr>
        <w:t>بين وجوب المقدم</w:t>
      </w:r>
      <w:r w:rsidR="00EC7EDF" w:rsidRPr="00FD211F">
        <w:rPr>
          <w:sz w:val="36"/>
          <w:szCs w:val="36"/>
          <w:rtl/>
        </w:rPr>
        <w:t xml:space="preserve">ة </w:t>
      </w:r>
      <w:r w:rsidR="00F03FEE" w:rsidRPr="00FD211F">
        <w:rPr>
          <w:sz w:val="36"/>
          <w:szCs w:val="36"/>
          <w:rtl/>
        </w:rPr>
        <w:t>ووجوب ذيها موجود ام لا</w:t>
      </w:r>
      <w:r w:rsidR="00603323" w:rsidRPr="00FD211F">
        <w:rPr>
          <w:sz w:val="36"/>
          <w:szCs w:val="36"/>
          <w:rtl/>
        </w:rPr>
        <w:t xml:space="preserve">، </w:t>
      </w:r>
      <w:r w:rsidR="00BF3031" w:rsidRPr="00FD211F">
        <w:rPr>
          <w:sz w:val="36"/>
          <w:szCs w:val="36"/>
          <w:rtl/>
        </w:rPr>
        <w:t>نعم مباحث الالفاظ تندرج في علم الاصول لانه يبحث هل</w:t>
      </w:r>
      <w:r w:rsidR="0090224F" w:rsidRPr="00FD211F">
        <w:rPr>
          <w:sz w:val="36"/>
          <w:szCs w:val="36"/>
          <w:rtl/>
        </w:rPr>
        <w:t xml:space="preserve"> الأمر </w:t>
      </w:r>
      <w:r w:rsidR="00BF3031" w:rsidRPr="00FD211F">
        <w:rPr>
          <w:sz w:val="36"/>
          <w:szCs w:val="36"/>
          <w:rtl/>
        </w:rPr>
        <w:t>في الدليل الكتابي ظاهر في الوجوب</w:t>
      </w:r>
      <w:r w:rsidR="004328BE" w:rsidRPr="00FD211F">
        <w:rPr>
          <w:sz w:val="36"/>
          <w:szCs w:val="36"/>
          <w:rtl/>
        </w:rPr>
        <w:t xml:space="preserve"> ام لا</w:t>
      </w:r>
      <w:r w:rsidR="00F03FEE" w:rsidRPr="00FD211F">
        <w:rPr>
          <w:sz w:val="36"/>
          <w:szCs w:val="36"/>
          <w:rtl/>
        </w:rPr>
        <w:t>.</w:t>
      </w:r>
    </w:p>
    <w:p w14:paraId="7C2951EC" w14:textId="77777777" w:rsidR="000C5BBA" w:rsidRPr="00FD211F" w:rsidRDefault="00BF3031" w:rsidP="009C58C8">
      <w:pPr>
        <w:ind w:left="0" w:firstLine="227"/>
        <w:jc w:val="both"/>
        <w:rPr>
          <w:sz w:val="36"/>
          <w:szCs w:val="36"/>
          <w:rtl/>
        </w:rPr>
      </w:pPr>
      <w:r w:rsidRPr="00FD211F">
        <w:rPr>
          <w:sz w:val="36"/>
          <w:szCs w:val="36"/>
          <w:rtl/>
        </w:rPr>
        <w:t>ومن ثم تصدى صاحب الفصول</w:t>
      </w:r>
      <w:r w:rsidR="00E4315C" w:rsidRPr="00FD211F">
        <w:rPr>
          <w:sz w:val="36"/>
          <w:szCs w:val="36"/>
          <w:rtl/>
        </w:rPr>
        <w:t>"قده"</w:t>
      </w:r>
      <w:r w:rsidRPr="00FD211F">
        <w:rPr>
          <w:sz w:val="36"/>
          <w:szCs w:val="36"/>
          <w:rtl/>
        </w:rPr>
        <w:t xml:space="preserve"> لحل الإشكال</w:t>
      </w:r>
      <w:r w:rsidR="00603323" w:rsidRPr="00FD211F">
        <w:rPr>
          <w:sz w:val="36"/>
          <w:szCs w:val="36"/>
          <w:rtl/>
        </w:rPr>
        <w:t xml:space="preserve">، </w:t>
      </w:r>
      <w:r w:rsidRPr="00FD211F">
        <w:rPr>
          <w:sz w:val="36"/>
          <w:szCs w:val="36"/>
          <w:rtl/>
        </w:rPr>
        <w:t>فذكر ان الموضوع ذات الأدل</w:t>
      </w:r>
      <w:r w:rsidR="00EC7EDF" w:rsidRPr="00FD211F">
        <w:rPr>
          <w:sz w:val="36"/>
          <w:szCs w:val="36"/>
          <w:rtl/>
        </w:rPr>
        <w:t xml:space="preserve">ة </w:t>
      </w:r>
      <w:r w:rsidRPr="00FD211F">
        <w:rPr>
          <w:sz w:val="36"/>
          <w:szCs w:val="36"/>
          <w:rtl/>
        </w:rPr>
        <w:t>الاربع</w:t>
      </w:r>
      <w:r w:rsidR="00EC7EDF" w:rsidRPr="00FD211F">
        <w:rPr>
          <w:sz w:val="36"/>
          <w:szCs w:val="36"/>
          <w:rtl/>
        </w:rPr>
        <w:t>ة</w:t>
      </w:r>
      <w:r w:rsidR="00603323" w:rsidRPr="00FD211F">
        <w:rPr>
          <w:sz w:val="36"/>
          <w:szCs w:val="36"/>
          <w:rtl/>
        </w:rPr>
        <w:t xml:space="preserve">، </w:t>
      </w:r>
      <w:r w:rsidRPr="00FD211F">
        <w:rPr>
          <w:sz w:val="36"/>
          <w:szCs w:val="36"/>
          <w:rtl/>
        </w:rPr>
        <w:t>فالبحث عن دليليتها بحث عن عوارضها</w:t>
      </w:r>
      <w:r w:rsidR="009C58C8" w:rsidRPr="00FD211F">
        <w:rPr>
          <w:rStyle w:val="a6"/>
          <w:sz w:val="36"/>
          <w:szCs w:val="36"/>
          <w:rtl/>
        </w:rPr>
        <w:t>(</w:t>
      </w:r>
      <w:r w:rsidR="009C58C8" w:rsidRPr="00FD211F">
        <w:rPr>
          <w:rStyle w:val="a6"/>
          <w:sz w:val="36"/>
          <w:szCs w:val="36"/>
          <w:rtl/>
        </w:rPr>
        <w:footnoteReference w:id="84"/>
      </w:r>
      <w:r w:rsidR="009C58C8" w:rsidRPr="00FD211F">
        <w:rPr>
          <w:rStyle w:val="a6"/>
          <w:sz w:val="36"/>
          <w:szCs w:val="36"/>
          <w:rtl/>
        </w:rPr>
        <w:t>)</w:t>
      </w:r>
      <w:r w:rsidR="00F56C87" w:rsidRPr="00FD211F">
        <w:rPr>
          <w:sz w:val="36"/>
          <w:szCs w:val="36"/>
          <w:rtl/>
        </w:rPr>
        <w:t>.</w:t>
      </w:r>
    </w:p>
    <w:p w14:paraId="5838BD39" w14:textId="77777777" w:rsidR="00147F94" w:rsidRPr="00FD211F" w:rsidRDefault="00BF3031" w:rsidP="009C58C8">
      <w:pPr>
        <w:ind w:left="0" w:firstLine="227"/>
        <w:jc w:val="both"/>
        <w:rPr>
          <w:sz w:val="36"/>
          <w:szCs w:val="36"/>
          <w:rtl/>
        </w:rPr>
      </w:pPr>
      <w:r w:rsidRPr="00FD211F">
        <w:rPr>
          <w:sz w:val="36"/>
          <w:szCs w:val="36"/>
          <w:rtl/>
        </w:rPr>
        <w:t>واورد عليه انه لايجدي بحال الملازمات العقلي</w:t>
      </w:r>
      <w:r w:rsidR="00EC7EDF" w:rsidRPr="00FD211F">
        <w:rPr>
          <w:sz w:val="36"/>
          <w:szCs w:val="36"/>
          <w:rtl/>
        </w:rPr>
        <w:t xml:space="preserve">ة </w:t>
      </w:r>
      <w:r w:rsidR="004328BE" w:rsidRPr="00FD211F">
        <w:rPr>
          <w:sz w:val="36"/>
          <w:szCs w:val="36"/>
          <w:rtl/>
        </w:rPr>
        <w:t>حيث ان البحث فيها عن وجود حكم العقل لاعن دليليته</w:t>
      </w:r>
      <w:r w:rsidR="00603323" w:rsidRPr="00FD211F">
        <w:rPr>
          <w:sz w:val="36"/>
          <w:szCs w:val="36"/>
          <w:rtl/>
        </w:rPr>
        <w:t xml:space="preserve">، </w:t>
      </w:r>
      <w:r w:rsidR="004328BE" w:rsidRPr="00FD211F">
        <w:rPr>
          <w:sz w:val="36"/>
          <w:szCs w:val="36"/>
          <w:rtl/>
        </w:rPr>
        <w:t>وكذا لايجدي ب</w:t>
      </w:r>
      <w:r w:rsidR="00DF6207" w:rsidRPr="00FD211F">
        <w:rPr>
          <w:sz w:val="36"/>
          <w:szCs w:val="36"/>
          <w:rtl/>
        </w:rPr>
        <w:t>حال الب</w:t>
      </w:r>
      <w:r w:rsidR="004328BE" w:rsidRPr="00FD211F">
        <w:rPr>
          <w:sz w:val="36"/>
          <w:szCs w:val="36"/>
          <w:rtl/>
        </w:rPr>
        <w:t>حث</w:t>
      </w:r>
      <w:r w:rsidRPr="00FD211F">
        <w:rPr>
          <w:sz w:val="36"/>
          <w:szCs w:val="36"/>
          <w:rtl/>
        </w:rPr>
        <w:t xml:space="preserve"> </w:t>
      </w:r>
      <w:r w:rsidR="00DF6207" w:rsidRPr="00FD211F">
        <w:rPr>
          <w:sz w:val="36"/>
          <w:szCs w:val="36"/>
          <w:rtl/>
        </w:rPr>
        <w:t xml:space="preserve">عن </w:t>
      </w:r>
      <w:r w:rsidRPr="00FD211F">
        <w:rPr>
          <w:sz w:val="36"/>
          <w:szCs w:val="36"/>
          <w:rtl/>
        </w:rPr>
        <w:t>حجي</w:t>
      </w:r>
      <w:r w:rsidR="00EC7EDF" w:rsidRPr="00FD211F">
        <w:rPr>
          <w:sz w:val="36"/>
          <w:szCs w:val="36"/>
          <w:rtl/>
        </w:rPr>
        <w:t xml:space="preserve">ة </w:t>
      </w:r>
      <w:r w:rsidRPr="00FD211F">
        <w:rPr>
          <w:sz w:val="36"/>
          <w:szCs w:val="36"/>
          <w:rtl/>
        </w:rPr>
        <w:t>خبر الواحد فان حجيته ليست من عوارض السن</w:t>
      </w:r>
      <w:r w:rsidR="00EC7EDF" w:rsidRPr="00FD211F">
        <w:rPr>
          <w:sz w:val="36"/>
          <w:szCs w:val="36"/>
          <w:rtl/>
        </w:rPr>
        <w:t xml:space="preserve">ة </w:t>
      </w:r>
      <w:r w:rsidRPr="00FD211F">
        <w:rPr>
          <w:sz w:val="36"/>
          <w:szCs w:val="36"/>
          <w:rtl/>
        </w:rPr>
        <w:t>الا اذ</w:t>
      </w:r>
      <w:r w:rsidR="00790209" w:rsidRPr="00FD211F">
        <w:rPr>
          <w:sz w:val="36"/>
          <w:szCs w:val="36"/>
          <w:rtl/>
        </w:rPr>
        <w:t xml:space="preserve"> </w:t>
      </w:r>
      <w:r w:rsidRPr="00FD211F">
        <w:rPr>
          <w:sz w:val="36"/>
          <w:szCs w:val="36"/>
          <w:rtl/>
        </w:rPr>
        <w:t xml:space="preserve">عنى </w:t>
      </w:r>
      <w:r w:rsidR="00DF6207" w:rsidRPr="00FD211F">
        <w:rPr>
          <w:sz w:val="36"/>
          <w:szCs w:val="36"/>
          <w:rtl/>
        </w:rPr>
        <w:t>بالسن</w:t>
      </w:r>
      <w:r w:rsidR="00EC7EDF" w:rsidRPr="00FD211F">
        <w:rPr>
          <w:sz w:val="36"/>
          <w:szCs w:val="36"/>
          <w:rtl/>
        </w:rPr>
        <w:t xml:space="preserve">ة </w:t>
      </w:r>
      <w:r w:rsidR="00DF6207" w:rsidRPr="00FD211F">
        <w:rPr>
          <w:sz w:val="36"/>
          <w:szCs w:val="36"/>
          <w:rtl/>
        </w:rPr>
        <w:t>ما يعمّ</w:t>
      </w:r>
      <w:r w:rsidRPr="00FD211F">
        <w:rPr>
          <w:sz w:val="36"/>
          <w:szCs w:val="36"/>
          <w:rtl/>
        </w:rPr>
        <w:t xml:space="preserve"> الخبر الحاكي عن السن</w:t>
      </w:r>
      <w:r w:rsidR="00EC7EDF" w:rsidRPr="00FD211F">
        <w:rPr>
          <w:sz w:val="36"/>
          <w:szCs w:val="36"/>
          <w:rtl/>
        </w:rPr>
        <w:t xml:space="preserve">ة </w:t>
      </w:r>
      <w:r w:rsidRPr="00FD211F">
        <w:rPr>
          <w:sz w:val="36"/>
          <w:szCs w:val="36"/>
          <w:rtl/>
        </w:rPr>
        <w:t>أيضا</w:t>
      </w:r>
      <w:r w:rsidR="00603323" w:rsidRPr="00FD211F">
        <w:rPr>
          <w:sz w:val="36"/>
          <w:szCs w:val="36"/>
          <w:rtl/>
        </w:rPr>
        <w:t xml:space="preserve">، </w:t>
      </w:r>
      <w:r w:rsidR="00DF6207" w:rsidRPr="00FD211F">
        <w:rPr>
          <w:sz w:val="36"/>
          <w:szCs w:val="36"/>
          <w:rtl/>
        </w:rPr>
        <w:t>وقد حاول</w:t>
      </w:r>
      <w:r w:rsidRPr="00FD211F">
        <w:rPr>
          <w:sz w:val="36"/>
          <w:szCs w:val="36"/>
          <w:rtl/>
        </w:rPr>
        <w:t xml:space="preserve"> الشيخ </w:t>
      </w:r>
      <w:r w:rsidR="00F56C87" w:rsidRPr="00FD211F">
        <w:rPr>
          <w:sz w:val="36"/>
          <w:szCs w:val="36"/>
          <w:rtl/>
        </w:rPr>
        <w:t>"</w:t>
      </w:r>
      <w:r w:rsidRPr="00FD211F">
        <w:rPr>
          <w:sz w:val="36"/>
          <w:szCs w:val="36"/>
          <w:rtl/>
        </w:rPr>
        <w:t>قده</w:t>
      </w:r>
      <w:r w:rsidR="00F56C87" w:rsidRPr="00FD211F">
        <w:rPr>
          <w:sz w:val="36"/>
          <w:szCs w:val="36"/>
          <w:rtl/>
        </w:rPr>
        <w:t>"</w:t>
      </w:r>
      <w:r w:rsidRPr="00FD211F">
        <w:rPr>
          <w:sz w:val="36"/>
          <w:szCs w:val="36"/>
          <w:rtl/>
        </w:rPr>
        <w:t xml:space="preserve"> ان ي</w:t>
      </w:r>
      <w:r w:rsidR="004328BE" w:rsidRPr="00FD211F">
        <w:rPr>
          <w:sz w:val="36"/>
          <w:szCs w:val="36"/>
          <w:rtl/>
        </w:rPr>
        <w:t>ُرجع</w:t>
      </w:r>
      <w:r w:rsidR="00DF6207" w:rsidRPr="00FD211F">
        <w:rPr>
          <w:sz w:val="36"/>
          <w:szCs w:val="36"/>
          <w:rtl/>
        </w:rPr>
        <w:t xml:space="preserve"> البحث عن حجي</w:t>
      </w:r>
      <w:r w:rsidR="00EC7EDF" w:rsidRPr="00FD211F">
        <w:rPr>
          <w:sz w:val="36"/>
          <w:szCs w:val="36"/>
          <w:rtl/>
        </w:rPr>
        <w:t xml:space="preserve">ة </w:t>
      </w:r>
      <w:r w:rsidR="00DF6207" w:rsidRPr="00FD211F">
        <w:rPr>
          <w:sz w:val="36"/>
          <w:szCs w:val="36"/>
          <w:rtl/>
        </w:rPr>
        <w:t>خبر الواحد</w:t>
      </w:r>
      <w:r w:rsidRPr="00FD211F">
        <w:rPr>
          <w:sz w:val="36"/>
          <w:szCs w:val="36"/>
          <w:rtl/>
        </w:rPr>
        <w:t xml:space="preserve"> الى البحث عن عوارض السن</w:t>
      </w:r>
      <w:r w:rsidR="00EC7EDF" w:rsidRPr="00FD211F">
        <w:rPr>
          <w:sz w:val="36"/>
          <w:szCs w:val="36"/>
          <w:rtl/>
        </w:rPr>
        <w:t xml:space="preserve">ة </w:t>
      </w:r>
      <w:r w:rsidRPr="00FD211F">
        <w:rPr>
          <w:sz w:val="36"/>
          <w:szCs w:val="36"/>
          <w:rtl/>
        </w:rPr>
        <w:t>حيث يبحث</w:t>
      </w:r>
      <w:r w:rsidR="006D4F4C" w:rsidRPr="00FD211F">
        <w:rPr>
          <w:sz w:val="36"/>
          <w:szCs w:val="36"/>
          <w:rtl/>
        </w:rPr>
        <w:t xml:space="preserve"> فيه</w:t>
      </w:r>
      <w:r w:rsidRPr="00FD211F">
        <w:rPr>
          <w:sz w:val="36"/>
          <w:szCs w:val="36"/>
          <w:rtl/>
        </w:rPr>
        <w:t xml:space="preserve"> عن ان السن</w:t>
      </w:r>
      <w:r w:rsidR="00EC7EDF" w:rsidRPr="00FD211F">
        <w:rPr>
          <w:sz w:val="36"/>
          <w:szCs w:val="36"/>
          <w:rtl/>
        </w:rPr>
        <w:t xml:space="preserve">ة </w:t>
      </w:r>
      <w:r w:rsidRPr="00FD211F">
        <w:rPr>
          <w:sz w:val="36"/>
          <w:szCs w:val="36"/>
          <w:rtl/>
        </w:rPr>
        <w:t xml:space="preserve">تثبت تعبدا </w:t>
      </w:r>
      <w:r w:rsidR="00147F94" w:rsidRPr="00FD211F">
        <w:rPr>
          <w:sz w:val="36"/>
          <w:szCs w:val="36"/>
          <w:rtl/>
        </w:rPr>
        <w:t>بخبر الواحد</w:t>
      </w:r>
      <w:r w:rsidR="002262BF" w:rsidRPr="00FD211F">
        <w:rPr>
          <w:sz w:val="36"/>
          <w:szCs w:val="36"/>
          <w:rtl/>
        </w:rPr>
        <w:t xml:space="preserve"> ام لا</w:t>
      </w:r>
      <w:r w:rsidR="00147F94" w:rsidRPr="00FD211F">
        <w:rPr>
          <w:sz w:val="36"/>
          <w:szCs w:val="36"/>
          <w:rtl/>
        </w:rPr>
        <w:t>.</w:t>
      </w:r>
    </w:p>
    <w:p w14:paraId="13C02287" w14:textId="77777777" w:rsidR="00156D17" w:rsidRPr="00FD211F" w:rsidRDefault="002262BF" w:rsidP="009C58C8">
      <w:pPr>
        <w:ind w:left="0" w:firstLine="227"/>
        <w:jc w:val="both"/>
        <w:rPr>
          <w:sz w:val="36"/>
          <w:szCs w:val="36"/>
          <w:rtl/>
        </w:rPr>
      </w:pPr>
      <w:r w:rsidRPr="00FD211F">
        <w:rPr>
          <w:sz w:val="36"/>
          <w:szCs w:val="36"/>
          <w:rtl/>
        </w:rPr>
        <w:t>واورد عليه المحقق صاحب الكفاي</w:t>
      </w:r>
      <w:r w:rsidR="00EC7EDF" w:rsidRPr="00FD211F">
        <w:rPr>
          <w:sz w:val="36"/>
          <w:szCs w:val="36"/>
          <w:rtl/>
        </w:rPr>
        <w:t xml:space="preserve">ة </w:t>
      </w:r>
      <w:r w:rsidR="00E4315C" w:rsidRPr="00FD211F">
        <w:rPr>
          <w:sz w:val="36"/>
          <w:szCs w:val="36"/>
          <w:rtl/>
        </w:rPr>
        <w:t>"قده"</w:t>
      </w:r>
      <w:r w:rsidRPr="00FD211F">
        <w:rPr>
          <w:sz w:val="36"/>
          <w:szCs w:val="36"/>
          <w:rtl/>
        </w:rPr>
        <w:t xml:space="preserve"> </w:t>
      </w:r>
      <w:r w:rsidRPr="00FD211F">
        <w:rPr>
          <w:b/>
          <w:bCs/>
          <w:sz w:val="36"/>
          <w:szCs w:val="36"/>
          <w:rtl/>
        </w:rPr>
        <w:t>اولا</w:t>
      </w:r>
      <w:r w:rsidR="00641F25" w:rsidRPr="00FD211F">
        <w:rPr>
          <w:b/>
          <w:bCs/>
          <w:sz w:val="36"/>
          <w:szCs w:val="36"/>
          <w:rtl/>
        </w:rPr>
        <w:t>:</w:t>
      </w:r>
      <w:r w:rsidRPr="00FD211F">
        <w:rPr>
          <w:sz w:val="36"/>
          <w:szCs w:val="36"/>
          <w:rtl/>
        </w:rPr>
        <w:t xml:space="preserve"> بان ا</w:t>
      </w:r>
      <w:r w:rsidR="00AC4514" w:rsidRPr="00FD211F">
        <w:rPr>
          <w:sz w:val="36"/>
          <w:szCs w:val="36"/>
          <w:rtl/>
        </w:rPr>
        <w:t>لبحث عن حجي</w:t>
      </w:r>
      <w:r w:rsidR="00EC7EDF" w:rsidRPr="00FD211F">
        <w:rPr>
          <w:sz w:val="36"/>
          <w:szCs w:val="36"/>
          <w:rtl/>
        </w:rPr>
        <w:t xml:space="preserve">ة </w:t>
      </w:r>
      <w:r w:rsidR="00AC4514" w:rsidRPr="00FD211F">
        <w:rPr>
          <w:sz w:val="36"/>
          <w:szCs w:val="36"/>
          <w:rtl/>
        </w:rPr>
        <w:t>الخبر بحث عن عوارض الخبر</w:t>
      </w:r>
      <w:r w:rsidRPr="00FD211F">
        <w:rPr>
          <w:sz w:val="36"/>
          <w:szCs w:val="36"/>
          <w:rtl/>
        </w:rPr>
        <w:t xml:space="preserve"> لاعوارض</w:t>
      </w:r>
      <w:r w:rsidR="00AC4514" w:rsidRPr="00FD211F">
        <w:rPr>
          <w:sz w:val="36"/>
          <w:szCs w:val="36"/>
          <w:rtl/>
        </w:rPr>
        <w:t xml:space="preserve"> السن</w:t>
      </w:r>
      <w:r w:rsidR="00EC7EDF" w:rsidRPr="00FD211F">
        <w:rPr>
          <w:sz w:val="36"/>
          <w:szCs w:val="36"/>
          <w:rtl/>
        </w:rPr>
        <w:t>ة</w:t>
      </w:r>
      <w:r w:rsidR="00603323" w:rsidRPr="00FD211F">
        <w:rPr>
          <w:sz w:val="36"/>
          <w:szCs w:val="36"/>
          <w:rtl/>
        </w:rPr>
        <w:t xml:space="preserve">، </w:t>
      </w:r>
      <w:r w:rsidRPr="00FD211F">
        <w:rPr>
          <w:b/>
          <w:bCs/>
          <w:sz w:val="36"/>
          <w:szCs w:val="36"/>
          <w:rtl/>
        </w:rPr>
        <w:t>وثانيا</w:t>
      </w:r>
      <w:r w:rsidR="00641F25" w:rsidRPr="00FD211F">
        <w:rPr>
          <w:b/>
          <w:bCs/>
          <w:sz w:val="36"/>
          <w:szCs w:val="36"/>
          <w:rtl/>
        </w:rPr>
        <w:t>:</w:t>
      </w:r>
      <w:r w:rsidRPr="00FD211F">
        <w:rPr>
          <w:b/>
          <w:bCs/>
          <w:sz w:val="36"/>
          <w:szCs w:val="36"/>
          <w:rtl/>
        </w:rPr>
        <w:t xml:space="preserve"> </w:t>
      </w:r>
      <w:r w:rsidRPr="00FD211F">
        <w:rPr>
          <w:sz w:val="36"/>
          <w:szCs w:val="36"/>
          <w:rtl/>
        </w:rPr>
        <w:t>ان التعبد بثبوت السن</w:t>
      </w:r>
      <w:r w:rsidR="00EC7EDF" w:rsidRPr="00FD211F">
        <w:rPr>
          <w:sz w:val="36"/>
          <w:szCs w:val="36"/>
          <w:rtl/>
        </w:rPr>
        <w:t xml:space="preserve">ة </w:t>
      </w:r>
      <w:r w:rsidRPr="00FD211F">
        <w:rPr>
          <w:sz w:val="36"/>
          <w:szCs w:val="36"/>
          <w:rtl/>
        </w:rPr>
        <w:t>لدى الاخبار به</w:t>
      </w:r>
      <w:r w:rsidR="00641F25" w:rsidRPr="00FD211F">
        <w:rPr>
          <w:sz w:val="36"/>
          <w:szCs w:val="36"/>
          <w:rtl/>
        </w:rPr>
        <w:t>ا</w:t>
      </w:r>
      <w:r w:rsidR="00B253CE" w:rsidRPr="00FD211F">
        <w:rPr>
          <w:sz w:val="36"/>
          <w:szCs w:val="36"/>
          <w:rtl/>
        </w:rPr>
        <w:t xml:space="preserve"> </w:t>
      </w:r>
      <w:r w:rsidR="00641F25" w:rsidRPr="00FD211F">
        <w:rPr>
          <w:sz w:val="36"/>
          <w:szCs w:val="36"/>
          <w:rtl/>
        </w:rPr>
        <w:t>يكون من عوارض مشكوك السن</w:t>
      </w:r>
      <w:r w:rsidR="00EC7EDF" w:rsidRPr="00FD211F">
        <w:rPr>
          <w:sz w:val="36"/>
          <w:szCs w:val="36"/>
          <w:rtl/>
        </w:rPr>
        <w:t xml:space="preserve">ة </w:t>
      </w:r>
      <w:r w:rsidRPr="00FD211F">
        <w:rPr>
          <w:sz w:val="36"/>
          <w:szCs w:val="36"/>
          <w:rtl/>
        </w:rPr>
        <w:t>ل</w:t>
      </w:r>
      <w:r w:rsidR="00641F25" w:rsidRPr="00FD211F">
        <w:rPr>
          <w:sz w:val="36"/>
          <w:szCs w:val="36"/>
          <w:rtl/>
        </w:rPr>
        <w:t>امن من عوارض السن</w:t>
      </w:r>
      <w:r w:rsidR="00EC7EDF" w:rsidRPr="00FD211F">
        <w:rPr>
          <w:sz w:val="36"/>
          <w:szCs w:val="36"/>
          <w:rtl/>
        </w:rPr>
        <w:t>ة</w:t>
      </w:r>
      <w:r w:rsidR="00603323" w:rsidRPr="00FD211F">
        <w:rPr>
          <w:sz w:val="36"/>
          <w:szCs w:val="36"/>
          <w:rtl/>
        </w:rPr>
        <w:t xml:space="preserve">، </w:t>
      </w:r>
      <w:r w:rsidR="00641F25" w:rsidRPr="00FD211F">
        <w:rPr>
          <w:sz w:val="36"/>
          <w:szCs w:val="36"/>
          <w:rtl/>
        </w:rPr>
        <w:t>اذ</w:t>
      </w:r>
      <w:r w:rsidRPr="00FD211F">
        <w:rPr>
          <w:sz w:val="36"/>
          <w:szCs w:val="36"/>
          <w:rtl/>
        </w:rPr>
        <w:t xml:space="preserve">قد </w:t>
      </w:r>
      <w:r w:rsidR="00641F25" w:rsidRPr="00FD211F">
        <w:rPr>
          <w:sz w:val="36"/>
          <w:szCs w:val="36"/>
          <w:rtl/>
        </w:rPr>
        <w:t>يكون الخبر كاذبا واقعا ف</w:t>
      </w:r>
      <w:r w:rsidRPr="00FD211F">
        <w:rPr>
          <w:sz w:val="36"/>
          <w:szCs w:val="36"/>
          <w:rtl/>
        </w:rPr>
        <w:t xml:space="preserve">لاتكون في الواقع </w:t>
      </w:r>
      <w:r w:rsidR="00641F25" w:rsidRPr="00FD211F">
        <w:rPr>
          <w:sz w:val="36"/>
          <w:szCs w:val="36"/>
          <w:rtl/>
        </w:rPr>
        <w:t>سن</w:t>
      </w:r>
      <w:r w:rsidR="00EC7EDF" w:rsidRPr="00FD211F">
        <w:rPr>
          <w:sz w:val="36"/>
          <w:szCs w:val="36"/>
          <w:rtl/>
        </w:rPr>
        <w:t>ة</w:t>
      </w:r>
      <w:r w:rsidR="00603323" w:rsidRPr="00FD211F">
        <w:rPr>
          <w:sz w:val="36"/>
          <w:szCs w:val="36"/>
          <w:rtl/>
        </w:rPr>
        <w:t xml:space="preserve">، </w:t>
      </w:r>
      <w:r w:rsidRPr="00FD211F">
        <w:rPr>
          <w:b/>
          <w:bCs/>
          <w:sz w:val="36"/>
          <w:szCs w:val="36"/>
          <w:rtl/>
        </w:rPr>
        <w:t>وثالثا</w:t>
      </w:r>
      <w:r w:rsidR="00641F25" w:rsidRPr="00FD211F">
        <w:rPr>
          <w:b/>
          <w:bCs/>
          <w:sz w:val="36"/>
          <w:szCs w:val="36"/>
          <w:rtl/>
        </w:rPr>
        <w:t>:</w:t>
      </w:r>
      <w:r w:rsidR="00641F25" w:rsidRPr="00FD211F">
        <w:rPr>
          <w:sz w:val="36"/>
          <w:szCs w:val="36"/>
          <w:rtl/>
        </w:rPr>
        <w:t xml:space="preserve"> ان الملاك في كون </w:t>
      </w:r>
      <w:r w:rsidRPr="00FD211F">
        <w:rPr>
          <w:sz w:val="36"/>
          <w:szCs w:val="36"/>
          <w:rtl/>
        </w:rPr>
        <w:t>مسأل</w:t>
      </w:r>
      <w:r w:rsidR="00EC7EDF" w:rsidRPr="00FD211F">
        <w:rPr>
          <w:sz w:val="36"/>
          <w:szCs w:val="36"/>
          <w:rtl/>
        </w:rPr>
        <w:t xml:space="preserve">ة </w:t>
      </w:r>
      <w:r w:rsidRPr="00FD211F">
        <w:rPr>
          <w:sz w:val="36"/>
          <w:szCs w:val="36"/>
          <w:rtl/>
        </w:rPr>
        <w:t>من مباحث الاصول او غيرها هو المبحو</w:t>
      </w:r>
      <w:r w:rsidR="00AC4514" w:rsidRPr="00FD211F">
        <w:rPr>
          <w:sz w:val="36"/>
          <w:szCs w:val="36"/>
          <w:rtl/>
        </w:rPr>
        <w:t>ث عنه في المسأل</w:t>
      </w:r>
      <w:r w:rsidR="00EC7EDF" w:rsidRPr="00FD211F">
        <w:rPr>
          <w:sz w:val="36"/>
          <w:szCs w:val="36"/>
          <w:rtl/>
        </w:rPr>
        <w:t xml:space="preserve">ة </w:t>
      </w:r>
      <w:r w:rsidR="00AC4514" w:rsidRPr="00FD211F">
        <w:rPr>
          <w:sz w:val="36"/>
          <w:szCs w:val="36"/>
          <w:rtl/>
        </w:rPr>
        <w:t>لا ما هو لازمه</w:t>
      </w:r>
      <w:r w:rsidR="009C58C8" w:rsidRPr="00FD211F">
        <w:rPr>
          <w:rStyle w:val="a6"/>
          <w:sz w:val="36"/>
          <w:szCs w:val="36"/>
          <w:rtl/>
        </w:rPr>
        <w:t>(</w:t>
      </w:r>
      <w:r w:rsidR="009C58C8" w:rsidRPr="00FD211F">
        <w:rPr>
          <w:rStyle w:val="a6"/>
          <w:sz w:val="36"/>
          <w:szCs w:val="36"/>
          <w:rtl/>
        </w:rPr>
        <w:footnoteReference w:id="85"/>
      </w:r>
      <w:r w:rsidR="009C58C8" w:rsidRPr="00FD211F">
        <w:rPr>
          <w:rStyle w:val="a6"/>
          <w:sz w:val="36"/>
          <w:szCs w:val="36"/>
          <w:rtl/>
        </w:rPr>
        <w:t>)</w:t>
      </w:r>
      <w:r w:rsidR="00AC4514" w:rsidRPr="00FD211F">
        <w:rPr>
          <w:sz w:val="36"/>
          <w:szCs w:val="36"/>
          <w:rtl/>
        </w:rPr>
        <w:t>.</w:t>
      </w:r>
    </w:p>
    <w:p w14:paraId="4CF96152" w14:textId="77777777" w:rsidR="008B708C" w:rsidRPr="00FD211F" w:rsidRDefault="00AC4514" w:rsidP="009C58C8">
      <w:pPr>
        <w:ind w:left="0" w:firstLine="227"/>
        <w:jc w:val="both"/>
        <w:rPr>
          <w:sz w:val="36"/>
          <w:szCs w:val="36"/>
          <w:rtl/>
        </w:rPr>
      </w:pPr>
      <w:r w:rsidRPr="00FD211F">
        <w:rPr>
          <w:sz w:val="36"/>
          <w:szCs w:val="36"/>
          <w:rtl/>
        </w:rPr>
        <w:t>و</w:t>
      </w:r>
      <w:r w:rsidR="008B708C" w:rsidRPr="00FD211F">
        <w:rPr>
          <w:sz w:val="36"/>
          <w:szCs w:val="36"/>
          <w:rtl/>
        </w:rPr>
        <w:t>الجواب عن</w:t>
      </w:r>
      <w:r w:rsidRPr="00FD211F">
        <w:rPr>
          <w:sz w:val="36"/>
          <w:szCs w:val="36"/>
          <w:rtl/>
        </w:rPr>
        <w:t xml:space="preserve"> ايراده الاول</w:t>
      </w:r>
      <w:r w:rsidR="008B708C" w:rsidRPr="00FD211F">
        <w:rPr>
          <w:sz w:val="36"/>
          <w:szCs w:val="36"/>
          <w:rtl/>
        </w:rPr>
        <w:t xml:space="preserve"> أ</w:t>
      </w:r>
      <w:r w:rsidR="002262BF" w:rsidRPr="00FD211F">
        <w:rPr>
          <w:sz w:val="36"/>
          <w:szCs w:val="36"/>
          <w:rtl/>
        </w:rPr>
        <w:t>ن الحجي</w:t>
      </w:r>
      <w:r w:rsidR="00EC7EDF" w:rsidRPr="00FD211F">
        <w:rPr>
          <w:sz w:val="36"/>
          <w:szCs w:val="36"/>
          <w:rtl/>
        </w:rPr>
        <w:t xml:space="preserve">ة </w:t>
      </w:r>
      <w:r w:rsidR="002262BF" w:rsidRPr="00FD211F">
        <w:rPr>
          <w:sz w:val="36"/>
          <w:szCs w:val="36"/>
          <w:rtl/>
        </w:rPr>
        <w:t>وان كانت ثابت</w:t>
      </w:r>
      <w:r w:rsidR="00EC7EDF" w:rsidRPr="00FD211F">
        <w:rPr>
          <w:sz w:val="36"/>
          <w:szCs w:val="36"/>
          <w:rtl/>
        </w:rPr>
        <w:t xml:space="preserve">ة </w:t>
      </w:r>
      <w:r w:rsidR="002262BF" w:rsidRPr="00FD211F">
        <w:rPr>
          <w:sz w:val="36"/>
          <w:szCs w:val="36"/>
          <w:rtl/>
        </w:rPr>
        <w:t>اولا وبالذات للخبر</w:t>
      </w:r>
      <w:r w:rsidR="00603323" w:rsidRPr="00FD211F">
        <w:rPr>
          <w:sz w:val="36"/>
          <w:szCs w:val="36"/>
          <w:rtl/>
        </w:rPr>
        <w:t xml:space="preserve">، </w:t>
      </w:r>
      <w:r w:rsidR="002262BF" w:rsidRPr="00FD211F">
        <w:rPr>
          <w:sz w:val="36"/>
          <w:szCs w:val="36"/>
          <w:rtl/>
        </w:rPr>
        <w:t xml:space="preserve">لكنه من حالات </w:t>
      </w:r>
      <w:r w:rsidRPr="00FD211F">
        <w:rPr>
          <w:sz w:val="36"/>
          <w:szCs w:val="36"/>
          <w:rtl/>
        </w:rPr>
        <w:t>السن</w:t>
      </w:r>
      <w:r w:rsidR="00EC7EDF" w:rsidRPr="00FD211F">
        <w:rPr>
          <w:sz w:val="36"/>
          <w:szCs w:val="36"/>
          <w:rtl/>
        </w:rPr>
        <w:t xml:space="preserve">ة </w:t>
      </w:r>
      <w:r w:rsidRPr="00FD211F">
        <w:rPr>
          <w:sz w:val="36"/>
          <w:szCs w:val="36"/>
          <w:rtl/>
        </w:rPr>
        <w:t>أيضا بنظر العرف</w:t>
      </w:r>
      <w:r w:rsidR="00603323" w:rsidRPr="00FD211F">
        <w:rPr>
          <w:sz w:val="36"/>
          <w:szCs w:val="36"/>
          <w:rtl/>
        </w:rPr>
        <w:t xml:space="preserve">، </w:t>
      </w:r>
      <w:r w:rsidR="00501DFE" w:rsidRPr="00FD211F">
        <w:rPr>
          <w:sz w:val="36"/>
          <w:szCs w:val="36"/>
          <w:rtl/>
        </w:rPr>
        <w:t>حيث ا</w:t>
      </w:r>
      <w:r w:rsidR="008B708C" w:rsidRPr="00FD211F">
        <w:rPr>
          <w:sz w:val="36"/>
          <w:szCs w:val="36"/>
          <w:rtl/>
        </w:rPr>
        <w:t>ن السن</w:t>
      </w:r>
      <w:r w:rsidR="00EC7EDF" w:rsidRPr="00FD211F">
        <w:rPr>
          <w:sz w:val="36"/>
          <w:szCs w:val="36"/>
          <w:rtl/>
        </w:rPr>
        <w:t xml:space="preserve">ة </w:t>
      </w:r>
      <w:r w:rsidR="008B708C" w:rsidRPr="00FD211F">
        <w:rPr>
          <w:sz w:val="36"/>
          <w:szCs w:val="36"/>
          <w:rtl/>
        </w:rPr>
        <w:t>الواقعي</w:t>
      </w:r>
      <w:r w:rsidR="00EC7EDF" w:rsidRPr="00FD211F">
        <w:rPr>
          <w:sz w:val="36"/>
          <w:szCs w:val="36"/>
          <w:rtl/>
        </w:rPr>
        <w:t xml:space="preserve">ة </w:t>
      </w:r>
      <w:r w:rsidR="008B708C" w:rsidRPr="00FD211F">
        <w:rPr>
          <w:sz w:val="36"/>
          <w:szCs w:val="36"/>
          <w:rtl/>
        </w:rPr>
        <w:t>تنكشف به تعبدا.</w:t>
      </w:r>
      <w:r w:rsidR="00501DFE" w:rsidRPr="00FD211F">
        <w:rPr>
          <w:sz w:val="36"/>
          <w:szCs w:val="36"/>
          <w:rtl/>
        </w:rPr>
        <w:t xml:space="preserve"> </w:t>
      </w:r>
    </w:p>
    <w:p w14:paraId="16175D2F" w14:textId="77777777" w:rsidR="000C5BBA" w:rsidRPr="00FD211F" w:rsidRDefault="008B708C" w:rsidP="009C58C8">
      <w:pPr>
        <w:ind w:left="0" w:firstLine="227"/>
        <w:jc w:val="both"/>
        <w:rPr>
          <w:sz w:val="36"/>
          <w:szCs w:val="36"/>
          <w:rtl/>
        </w:rPr>
      </w:pPr>
      <w:r w:rsidRPr="00FD211F">
        <w:rPr>
          <w:sz w:val="36"/>
          <w:szCs w:val="36"/>
          <w:rtl/>
        </w:rPr>
        <w:t>وعن</w:t>
      </w:r>
      <w:r w:rsidR="00B253CE" w:rsidRPr="00FD211F">
        <w:rPr>
          <w:sz w:val="36"/>
          <w:szCs w:val="36"/>
          <w:rtl/>
        </w:rPr>
        <w:t xml:space="preserve"> </w:t>
      </w:r>
      <w:r w:rsidRPr="00FD211F">
        <w:rPr>
          <w:sz w:val="36"/>
          <w:szCs w:val="36"/>
          <w:rtl/>
        </w:rPr>
        <w:t xml:space="preserve">ايراده الثاني </w:t>
      </w:r>
      <w:r w:rsidR="00501DFE" w:rsidRPr="00FD211F">
        <w:rPr>
          <w:sz w:val="36"/>
          <w:szCs w:val="36"/>
          <w:rtl/>
        </w:rPr>
        <w:t>ان انكشاف السن</w:t>
      </w:r>
      <w:r w:rsidR="00EC7EDF" w:rsidRPr="00FD211F">
        <w:rPr>
          <w:sz w:val="36"/>
          <w:szCs w:val="36"/>
          <w:rtl/>
        </w:rPr>
        <w:t xml:space="preserve">ة </w:t>
      </w:r>
      <w:r w:rsidR="00501DFE" w:rsidRPr="00FD211F">
        <w:rPr>
          <w:sz w:val="36"/>
          <w:szCs w:val="36"/>
          <w:rtl/>
        </w:rPr>
        <w:t>بخبر الواحد من عوارض طبيعي السن</w:t>
      </w:r>
      <w:r w:rsidR="00EC7EDF" w:rsidRPr="00FD211F">
        <w:rPr>
          <w:sz w:val="36"/>
          <w:szCs w:val="36"/>
          <w:rtl/>
        </w:rPr>
        <w:t xml:space="preserve">ة </w:t>
      </w:r>
      <w:r w:rsidR="00501DFE" w:rsidRPr="00FD211F">
        <w:rPr>
          <w:sz w:val="36"/>
          <w:szCs w:val="36"/>
          <w:rtl/>
        </w:rPr>
        <w:t>عرفا</w:t>
      </w:r>
      <w:r w:rsidR="00603323" w:rsidRPr="00FD211F">
        <w:rPr>
          <w:sz w:val="36"/>
          <w:szCs w:val="36"/>
          <w:rtl/>
        </w:rPr>
        <w:t xml:space="preserve">، </w:t>
      </w:r>
      <w:r w:rsidR="00501DFE" w:rsidRPr="00FD211F">
        <w:rPr>
          <w:sz w:val="36"/>
          <w:szCs w:val="36"/>
          <w:rtl/>
        </w:rPr>
        <w:t>ولايحتاج ال</w:t>
      </w:r>
      <w:r w:rsidRPr="00FD211F">
        <w:rPr>
          <w:sz w:val="36"/>
          <w:szCs w:val="36"/>
          <w:rtl/>
        </w:rPr>
        <w:t>ى وجود السن</w:t>
      </w:r>
      <w:r w:rsidR="00EC7EDF" w:rsidRPr="00FD211F">
        <w:rPr>
          <w:sz w:val="36"/>
          <w:szCs w:val="36"/>
          <w:rtl/>
        </w:rPr>
        <w:t xml:space="preserve">ة </w:t>
      </w:r>
      <w:r w:rsidRPr="00FD211F">
        <w:rPr>
          <w:sz w:val="36"/>
          <w:szCs w:val="36"/>
          <w:rtl/>
        </w:rPr>
        <w:t>في خصوص مؤدى الخبر.</w:t>
      </w:r>
    </w:p>
    <w:p w14:paraId="195E981D" w14:textId="77777777" w:rsidR="00501DFE" w:rsidRPr="00FD211F" w:rsidRDefault="008B708C" w:rsidP="009C58C8">
      <w:pPr>
        <w:ind w:left="0" w:firstLine="227"/>
        <w:jc w:val="both"/>
        <w:rPr>
          <w:sz w:val="36"/>
          <w:szCs w:val="36"/>
          <w:rtl/>
        </w:rPr>
      </w:pPr>
      <w:r w:rsidRPr="00FD211F">
        <w:rPr>
          <w:sz w:val="36"/>
          <w:szCs w:val="36"/>
          <w:rtl/>
        </w:rPr>
        <w:t>وعن</w:t>
      </w:r>
      <w:r w:rsidR="00111DC5" w:rsidRPr="00FD211F">
        <w:rPr>
          <w:sz w:val="36"/>
          <w:szCs w:val="36"/>
          <w:rtl/>
        </w:rPr>
        <w:t xml:space="preserve"> ايراده ال</w:t>
      </w:r>
      <w:r w:rsidRPr="00FD211F">
        <w:rPr>
          <w:sz w:val="36"/>
          <w:szCs w:val="36"/>
          <w:rtl/>
        </w:rPr>
        <w:t>ثالث ما</w:t>
      </w:r>
      <w:r w:rsidR="00111DC5" w:rsidRPr="00FD211F">
        <w:rPr>
          <w:sz w:val="36"/>
          <w:szCs w:val="36"/>
          <w:rtl/>
        </w:rPr>
        <w:t xml:space="preserve"> مر</w:t>
      </w:r>
      <w:r w:rsidRPr="00FD211F">
        <w:rPr>
          <w:sz w:val="36"/>
          <w:szCs w:val="36"/>
          <w:rtl/>
        </w:rPr>
        <w:t>من</w:t>
      </w:r>
      <w:r w:rsidR="00111DC5" w:rsidRPr="00FD211F">
        <w:rPr>
          <w:sz w:val="36"/>
          <w:szCs w:val="36"/>
          <w:rtl/>
        </w:rPr>
        <w:t xml:space="preserve"> استبعاد تأثير اختلاف عنوان البحث في صيرور</w:t>
      </w:r>
      <w:r w:rsidR="00EC7EDF" w:rsidRPr="00FD211F">
        <w:rPr>
          <w:sz w:val="36"/>
          <w:szCs w:val="36"/>
          <w:rtl/>
        </w:rPr>
        <w:t xml:space="preserve">ة </w:t>
      </w:r>
      <w:r w:rsidR="00111DC5" w:rsidRPr="00FD211F">
        <w:rPr>
          <w:sz w:val="36"/>
          <w:szCs w:val="36"/>
          <w:rtl/>
        </w:rPr>
        <w:t>المسأل</w:t>
      </w:r>
      <w:r w:rsidR="00EC7EDF" w:rsidRPr="00FD211F">
        <w:rPr>
          <w:sz w:val="36"/>
          <w:szCs w:val="36"/>
          <w:rtl/>
        </w:rPr>
        <w:t xml:space="preserve">ة </w:t>
      </w:r>
      <w:r w:rsidR="00111DC5" w:rsidRPr="00FD211F">
        <w:rPr>
          <w:sz w:val="36"/>
          <w:szCs w:val="36"/>
          <w:rtl/>
        </w:rPr>
        <w:t>اصولي</w:t>
      </w:r>
      <w:r w:rsidR="00EC7EDF" w:rsidRPr="00FD211F">
        <w:rPr>
          <w:sz w:val="36"/>
          <w:szCs w:val="36"/>
          <w:rtl/>
        </w:rPr>
        <w:t xml:space="preserve">ة </w:t>
      </w:r>
      <w:r w:rsidR="00111DC5" w:rsidRPr="00FD211F">
        <w:rPr>
          <w:sz w:val="36"/>
          <w:szCs w:val="36"/>
          <w:rtl/>
        </w:rPr>
        <w:t>وعدمها</w:t>
      </w:r>
      <w:r w:rsidR="00501DFE" w:rsidRPr="00FD211F">
        <w:rPr>
          <w:sz w:val="36"/>
          <w:szCs w:val="36"/>
          <w:rtl/>
        </w:rPr>
        <w:t>.</w:t>
      </w:r>
    </w:p>
    <w:p w14:paraId="5CFE4150" w14:textId="77777777" w:rsidR="0014312A" w:rsidRPr="00FD211F" w:rsidRDefault="00CA249C"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00482E8B" w:rsidRPr="00FD211F">
        <w:rPr>
          <w:sz w:val="36"/>
          <w:szCs w:val="36"/>
          <w:rtl/>
        </w:rPr>
        <w:t>والمهم عدم</w:t>
      </w:r>
      <w:r w:rsidR="008B708C" w:rsidRPr="00FD211F">
        <w:rPr>
          <w:sz w:val="36"/>
          <w:szCs w:val="36"/>
          <w:rtl/>
        </w:rPr>
        <w:t xml:space="preserve"> وجود</w:t>
      </w:r>
      <w:r w:rsidR="00D052EE" w:rsidRPr="00FD211F">
        <w:rPr>
          <w:sz w:val="36"/>
          <w:szCs w:val="36"/>
          <w:rtl/>
        </w:rPr>
        <w:t xml:space="preserve"> </w:t>
      </w:r>
      <w:r w:rsidR="00482E8B" w:rsidRPr="00FD211F">
        <w:rPr>
          <w:sz w:val="36"/>
          <w:szCs w:val="36"/>
          <w:rtl/>
        </w:rPr>
        <w:t>وجه</w:t>
      </w:r>
      <w:r w:rsidR="008B708C" w:rsidRPr="00FD211F">
        <w:rPr>
          <w:sz w:val="36"/>
          <w:szCs w:val="36"/>
          <w:rtl/>
        </w:rPr>
        <w:t>ٍ</w:t>
      </w:r>
      <w:r w:rsidR="00482E8B" w:rsidRPr="00FD211F">
        <w:rPr>
          <w:sz w:val="36"/>
          <w:szCs w:val="36"/>
          <w:rtl/>
        </w:rPr>
        <w:t xml:space="preserve"> لتخصيص موضوع علم الاصول بالادل</w:t>
      </w:r>
      <w:r w:rsidR="00EC7EDF" w:rsidRPr="00FD211F">
        <w:rPr>
          <w:sz w:val="36"/>
          <w:szCs w:val="36"/>
          <w:rtl/>
        </w:rPr>
        <w:t xml:space="preserve">ة </w:t>
      </w:r>
      <w:r w:rsidR="00482E8B" w:rsidRPr="00FD211F">
        <w:rPr>
          <w:sz w:val="36"/>
          <w:szCs w:val="36"/>
          <w:rtl/>
        </w:rPr>
        <w:t>الاربع</w:t>
      </w:r>
      <w:r w:rsidR="00EC7EDF" w:rsidRPr="00FD211F">
        <w:rPr>
          <w:sz w:val="36"/>
          <w:szCs w:val="36"/>
          <w:rtl/>
        </w:rPr>
        <w:t>ة</w:t>
      </w:r>
      <w:r w:rsidR="00603323" w:rsidRPr="00FD211F">
        <w:rPr>
          <w:sz w:val="36"/>
          <w:szCs w:val="36"/>
          <w:rtl/>
        </w:rPr>
        <w:t xml:space="preserve">، </w:t>
      </w:r>
      <w:r w:rsidR="00482E8B" w:rsidRPr="00FD211F">
        <w:rPr>
          <w:sz w:val="36"/>
          <w:szCs w:val="36"/>
          <w:rtl/>
        </w:rPr>
        <w:t>بل يعم موضوعه جميع ما يمكن ان يكون دليلا على الجعل الشرعي الكلي</w:t>
      </w:r>
      <w:r w:rsidR="000A1B32" w:rsidRPr="00FD211F">
        <w:rPr>
          <w:sz w:val="36"/>
          <w:szCs w:val="36"/>
          <w:rtl/>
        </w:rPr>
        <w:t xml:space="preserve"> في الفق</w:t>
      </w:r>
      <w:r w:rsidR="004A32BD" w:rsidRPr="00FD211F">
        <w:rPr>
          <w:sz w:val="36"/>
          <w:szCs w:val="36"/>
          <w:rtl/>
        </w:rPr>
        <w:t>ه مثل الشهر</w:t>
      </w:r>
      <w:r w:rsidR="00EC7EDF" w:rsidRPr="00FD211F">
        <w:rPr>
          <w:sz w:val="36"/>
          <w:szCs w:val="36"/>
          <w:rtl/>
        </w:rPr>
        <w:t>ة</w:t>
      </w:r>
      <w:r w:rsidR="00A61BAE" w:rsidRPr="00FD211F">
        <w:rPr>
          <w:sz w:val="36"/>
          <w:szCs w:val="36"/>
          <w:rtl/>
        </w:rPr>
        <w:t>.</w:t>
      </w:r>
    </w:p>
    <w:p w14:paraId="211C7D6B" w14:textId="77777777" w:rsidR="00E76F4F" w:rsidRPr="00FD211F" w:rsidRDefault="00CA249C" w:rsidP="009C58C8">
      <w:pPr>
        <w:ind w:left="0" w:firstLine="227"/>
        <w:jc w:val="both"/>
        <w:rPr>
          <w:sz w:val="36"/>
          <w:szCs w:val="36"/>
          <w:rtl/>
        </w:rPr>
      </w:pPr>
      <w:r w:rsidRPr="00FD211F">
        <w:rPr>
          <w:sz w:val="36"/>
          <w:szCs w:val="36"/>
          <w:rtl/>
        </w:rPr>
        <w:t>وقد ذكر</w:t>
      </w:r>
      <w:r w:rsidR="002262BF" w:rsidRPr="00FD211F">
        <w:rPr>
          <w:sz w:val="36"/>
          <w:szCs w:val="36"/>
          <w:rtl/>
        </w:rPr>
        <w:t xml:space="preserve"> السيد البروجردي</w:t>
      </w:r>
      <w:r w:rsidR="00B919C0" w:rsidRPr="00FD211F">
        <w:rPr>
          <w:sz w:val="36"/>
          <w:szCs w:val="36"/>
          <w:rtl/>
        </w:rPr>
        <w:t xml:space="preserve"> </w:t>
      </w:r>
      <w:r w:rsidR="00E4315C" w:rsidRPr="00FD211F">
        <w:rPr>
          <w:sz w:val="36"/>
          <w:szCs w:val="36"/>
          <w:rtl/>
        </w:rPr>
        <w:t>"قده"</w:t>
      </w:r>
      <w:r w:rsidR="00B253CE" w:rsidRPr="00FD211F">
        <w:rPr>
          <w:sz w:val="36"/>
          <w:szCs w:val="36"/>
          <w:rtl/>
        </w:rPr>
        <w:t xml:space="preserve"> </w:t>
      </w:r>
      <w:r w:rsidR="002262BF" w:rsidRPr="00FD211F">
        <w:rPr>
          <w:sz w:val="36"/>
          <w:szCs w:val="36"/>
          <w:rtl/>
        </w:rPr>
        <w:t>ان موضوع</w:t>
      </w:r>
      <w:r w:rsidRPr="00FD211F">
        <w:rPr>
          <w:sz w:val="36"/>
          <w:szCs w:val="36"/>
          <w:rtl/>
        </w:rPr>
        <w:t xml:space="preserve"> علم الاصول</w:t>
      </w:r>
      <w:r w:rsidR="002262BF" w:rsidRPr="00FD211F">
        <w:rPr>
          <w:sz w:val="36"/>
          <w:szCs w:val="36"/>
          <w:rtl/>
        </w:rPr>
        <w:t xml:space="preserve"> هو الحج</w:t>
      </w:r>
      <w:r w:rsidR="00EC7EDF" w:rsidRPr="00FD211F">
        <w:rPr>
          <w:sz w:val="36"/>
          <w:szCs w:val="36"/>
          <w:rtl/>
        </w:rPr>
        <w:t xml:space="preserve">ة </w:t>
      </w:r>
      <w:r w:rsidR="002262BF" w:rsidRPr="00FD211F">
        <w:rPr>
          <w:sz w:val="36"/>
          <w:szCs w:val="36"/>
          <w:rtl/>
        </w:rPr>
        <w:t>في الفقه فيبحث في علم الاصول عن مصاديقها</w:t>
      </w:r>
      <w:r w:rsidR="009C58C8" w:rsidRPr="00FD211F">
        <w:rPr>
          <w:rStyle w:val="a6"/>
          <w:sz w:val="36"/>
          <w:szCs w:val="36"/>
          <w:rtl/>
        </w:rPr>
        <w:t>(</w:t>
      </w:r>
      <w:r w:rsidR="009C58C8" w:rsidRPr="00FD211F">
        <w:rPr>
          <w:rStyle w:val="a6"/>
          <w:sz w:val="36"/>
          <w:szCs w:val="36"/>
          <w:rtl/>
        </w:rPr>
        <w:footnoteReference w:id="86"/>
      </w:r>
      <w:r w:rsidR="009C58C8" w:rsidRPr="00FD211F">
        <w:rPr>
          <w:rStyle w:val="a6"/>
          <w:sz w:val="36"/>
          <w:szCs w:val="36"/>
          <w:rtl/>
        </w:rPr>
        <w:t>)</w:t>
      </w:r>
      <w:r w:rsidR="00E76F4F" w:rsidRPr="00FD211F">
        <w:rPr>
          <w:sz w:val="36"/>
          <w:szCs w:val="36"/>
          <w:rtl/>
        </w:rPr>
        <w:t>.</w:t>
      </w:r>
    </w:p>
    <w:p w14:paraId="5D04462A" w14:textId="77777777" w:rsidR="000A1B32" w:rsidRPr="00FD211F" w:rsidRDefault="00E76F4F" w:rsidP="009C58C8">
      <w:pPr>
        <w:ind w:left="0" w:firstLine="227"/>
        <w:jc w:val="both"/>
        <w:rPr>
          <w:sz w:val="36"/>
          <w:szCs w:val="36"/>
          <w:rtl/>
        </w:rPr>
      </w:pPr>
      <w:r w:rsidRPr="00FD211F">
        <w:rPr>
          <w:sz w:val="36"/>
          <w:szCs w:val="36"/>
          <w:rtl/>
        </w:rPr>
        <w:t>الا</w:t>
      </w:r>
      <w:r w:rsidR="00B919C0" w:rsidRPr="00FD211F">
        <w:rPr>
          <w:sz w:val="36"/>
          <w:szCs w:val="36"/>
          <w:rtl/>
        </w:rPr>
        <w:t xml:space="preserve"> </w:t>
      </w:r>
      <w:r w:rsidRPr="00FD211F">
        <w:rPr>
          <w:sz w:val="36"/>
          <w:szCs w:val="36"/>
          <w:rtl/>
        </w:rPr>
        <w:t>أن</w:t>
      </w:r>
      <w:r w:rsidR="000A1B32" w:rsidRPr="00FD211F">
        <w:rPr>
          <w:sz w:val="36"/>
          <w:szCs w:val="36"/>
          <w:rtl/>
        </w:rPr>
        <w:t xml:space="preserve"> الاولى ما ذكره في البحوث من ان م</w:t>
      </w:r>
      <w:r w:rsidR="002262BF" w:rsidRPr="00FD211F">
        <w:rPr>
          <w:sz w:val="36"/>
          <w:szCs w:val="36"/>
          <w:rtl/>
        </w:rPr>
        <w:t>وضوع</w:t>
      </w:r>
      <w:r w:rsidR="00CA249C" w:rsidRPr="00FD211F">
        <w:rPr>
          <w:sz w:val="36"/>
          <w:szCs w:val="36"/>
          <w:rtl/>
        </w:rPr>
        <w:t xml:space="preserve"> علم الاصول</w:t>
      </w:r>
      <w:r w:rsidR="002262BF" w:rsidRPr="00FD211F">
        <w:rPr>
          <w:sz w:val="36"/>
          <w:szCs w:val="36"/>
          <w:rtl/>
        </w:rPr>
        <w:t xml:space="preserve"> ذات الأدل</w:t>
      </w:r>
      <w:r w:rsidR="00EC7EDF" w:rsidRPr="00FD211F">
        <w:rPr>
          <w:sz w:val="36"/>
          <w:szCs w:val="36"/>
          <w:rtl/>
        </w:rPr>
        <w:t xml:space="preserve">ة </w:t>
      </w:r>
      <w:r w:rsidR="002262BF" w:rsidRPr="00FD211F">
        <w:rPr>
          <w:sz w:val="36"/>
          <w:szCs w:val="36"/>
          <w:rtl/>
        </w:rPr>
        <w:t>المشترك</w:t>
      </w:r>
      <w:r w:rsidR="00EC7EDF" w:rsidRPr="00FD211F">
        <w:rPr>
          <w:sz w:val="36"/>
          <w:szCs w:val="36"/>
          <w:rtl/>
        </w:rPr>
        <w:t xml:space="preserve">ة </w:t>
      </w:r>
      <w:r w:rsidR="002262BF" w:rsidRPr="00FD211F">
        <w:rPr>
          <w:sz w:val="36"/>
          <w:szCs w:val="36"/>
          <w:rtl/>
        </w:rPr>
        <w:t>في الفقه</w:t>
      </w:r>
      <w:r w:rsidR="00603323" w:rsidRPr="00FD211F">
        <w:rPr>
          <w:sz w:val="36"/>
          <w:szCs w:val="36"/>
          <w:rtl/>
        </w:rPr>
        <w:t xml:space="preserve">، </w:t>
      </w:r>
      <w:r w:rsidR="007714E7" w:rsidRPr="00FD211F">
        <w:rPr>
          <w:sz w:val="36"/>
          <w:szCs w:val="36"/>
          <w:rtl/>
        </w:rPr>
        <w:t>ف</w:t>
      </w:r>
      <w:r w:rsidR="002262BF" w:rsidRPr="00FD211F">
        <w:rPr>
          <w:sz w:val="36"/>
          <w:szCs w:val="36"/>
          <w:rtl/>
        </w:rPr>
        <w:t>يبحث فيه عن دليليتها</w:t>
      </w:r>
      <w:r w:rsidR="009C58C8" w:rsidRPr="00FD211F">
        <w:rPr>
          <w:rStyle w:val="a6"/>
          <w:sz w:val="36"/>
          <w:szCs w:val="36"/>
          <w:rtl/>
        </w:rPr>
        <w:t>(</w:t>
      </w:r>
      <w:r w:rsidR="009C58C8" w:rsidRPr="00FD211F">
        <w:rPr>
          <w:rStyle w:val="a6"/>
          <w:sz w:val="36"/>
          <w:szCs w:val="36"/>
          <w:rtl/>
        </w:rPr>
        <w:footnoteReference w:id="87"/>
      </w:r>
      <w:r w:rsidR="009C58C8" w:rsidRPr="00FD211F">
        <w:rPr>
          <w:rStyle w:val="a6"/>
          <w:sz w:val="36"/>
          <w:szCs w:val="36"/>
          <w:rtl/>
        </w:rPr>
        <w:t>)</w:t>
      </w:r>
      <w:r w:rsidR="00603323" w:rsidRPr="00FD211F">
        <w:rPr>
          <w:sz w:val="36"/>
          <w:szCs w:val="36"/>
          <w:rtl/>
        </w:rPr>
        <w:t xml:space="preserve">، </w:t>
      </w:r>
      <w:r w:rsidR="000A1B32" w:rsidRPr="00FD211F">
        <w:rPr>
          <w:sz w:val="36"/>
          <w:szCs w:val="36"/>
          <w:rtl/>
        </w:rPr>
        <w:t>فانه لايختص البحث الاصولي بالبحث عن حيثي</w:t>
      </w:r>
      <w:r w:rsidR="00EC7EDF" w:rsidRPr="00FD211F">
        <w:rPr>
          <w:sz w:val="36"/>
          <w:szCs w:val="36"/>
          <w:rtl/>
        </w:rPr>
        <w:t xml:space="preserve">ة </w:t>
      </w:r>
      <w:r w:rsidR="000A1B32" w:rsidRPr="00FD211F">
        <w:rPr>
          <w:sz w:val="36"/>
          <w:szCs w:val="36"/>
          <w:rtl/>
        </w:rPr>
        <w:t>الحجي</w:t>
      </w:r>
      <w:r w:rsidR="00EC7EDF" w:rsidRPr="00FD211F">
        <w:rPr>
          <w:sz w:val="36"/>
          <w:szCs w:val="36"/>
          <w:rtl/>
        </w:rPr>
        <w:t>ة</w:t>
      </w:r>
      <w:r w:rsidR="00603323" w:rsidRPr="00FD211F">
        <w:rPr>
          <w:sz w:val="36"/>
          <w:szCs w:val="36"/>
          <w:rtl/>
        </w:rPr>
        <w:t xml:space="preserve">، </w:t>
      </w:r>
      <w:r w:rsidR="000A1B32" w:rsidRPr="00FD211F">
        <w:rPr>
          <w:sz w:val="36"/>
          <w:szCs w:val="36"/>
          <w:rtl/>
        </w:rPr>
        <w:t>بل قد يكون البحث عن الدليلي</w:t>
      </w:r>
      <w:r w:rsidR="00EC7EDF" w:rsidRPr="00FD211F">
        <w:rPr>
          <w:sz w:val="36"/>
          <w:szCs w:val="36"/>
          <w:rtl/>
        </w:rPr>
        <w:t xml:space="preserve">ة </w:t>
      </w:r>
      <w:r w:rsidR="000A1B32" w:rsidRPr="00FD211F">
        <w:rPr>
          <w:sz w:val="36"/>
          <w:szCs w:val="36"/>
          <w:rtl/>
        </w:rPr>
        <w:t>في الرتب</w:t>
      </w:r>
      <w:r w:rsidR="00EC7EDF" w:rsidRPr="00FD211F">
        <w:rPr>
          <w:sz w:val="36"/>
          <w:szCs w:val="36"/>
          <w:rtl/>
        </w:rPr>
        <w:t xml:space="preserve">ة </w:t>
      </w:r>
      <w:r w:rsidR="000A1B32" w:rsidRPr="00FD211F">
        <w:rPr>
          <w:sz w:val="36"/>
          <w:szCs w:val="36"/>
          <w:rtl/>
        </w:rPr>
        <w:t>السابق</w:t>
      </w:r>
      <w:r w:rsidR="00EC7EDF" w:rsidRPr="00FD211F">
        <w:rPr>
          <w:sz w:val="36"/>
          <w:szCs w:val="36"/>
          <w:rtl/>
        </w:rPr>
        <w:t xml:space="preserve">ة </w:t>
      </w:r>
      <w:r w:rsidR="000A1B32" w:rsidRPr="00FD211F">
        <w:rPr>
          <w:sz w:val="36"/>
          <w:szCs w:val="36"/>
          <w:rtl/>
        </w:rPr>
        <w:t>على الحجي</w:t>
      </w:r>
      <w:r w:rsidR="00EC7EDF" w:rsidRPr="00FD211F">
        <w:rPr>
          <w:sz w:val="36"/>
          <w:szCs w:val="36"/>
          <w:rtl/>
        </w:rPr>
        <w:t>ة</w:t>
      </w:r>
      <w:r w:rsidR="00603323" w:rsidRPr="00FD211F">
        <w:rPr>
          <w:sz w:val="36"/>
          <w:szCs w:val="36"/>
          <w:rtl/>
        </w:rPr>
        <w:t xml:space="preserve">، </w:t>
      </w:r>
      <w:r w:rsidR="000A1B32" w:rsidRPr="00FD211F">
        <w:rPr>
          <w:sz w:val="36"/>
          <w:szCs w:val="36"/>
          <w:rtl/>
        </w:rPr>
        <w:t>فيقال مثلا ان الجمل</w:t>
      </w:r>
      <w:r w:rsidR="00EC7EDF" w:rsidRPr="00FD211F">
        <w:rPr>
          <w:sz w:val="36"/>
          <w:szCs w:val="36"/>
          <w:rtl/>
        </w:rPr>
        <w:t xml:space="preserve">ة </w:t>
      </w:r>
      <w:r w:rsidR="000A1B32" w:rsidRPr="00FD211F">
        <w:rPr>
          <w:sz w:val="36"/>
          <w:szCs w:val="36"/>
          <w:rtl/>
        </w:rPr>
        <w:t>الشرطي</w:t>
      </w:r>
      <w:r w:rsidR="00EC7EDF" w:rsidRPr="00FD211F">
        <w:rPr>
          <w:sz w:val="36"/>
          <w:szCs w:val="36"/>
          <w:rtl/>
        </w:rPr>
        <w:t xml:space="preserve">ة </w:t>
      </w:r>
      <w:r w:rsidR="000A1B32" w:rsidRPr="00FD211F">
        <w:rPr>
          <w:sz w:val="36"/>
          <w:szCs w:val="36"/>
          <w:rtl/>
        </w:rPr>
        <w:t>هل تدل على انتفاء الحكم عند انتفاء الشرط ام لا.</w:t>
      </w:r>
    </w:p>
    <w:p w14:paraId="0804A05D" w14:textId="77777777" w:rsidR="009448F1" w:rsidRPr="00FD211F" w:rsidRDefault="000A1B32" w:rsidP="009C58C8">
      <w:pPr>
        <w:ind w:left="0" w:firstLine="227"/>
        <w:jc w:val="both"/>
        <w:rPr>
          <w:sz w:val="36"/>
          <w:szCs w:val="36"/>
          <w:rtl/>
        </w:rPr>
      </w:pPr>
      <w:r w:rsidRPr="00FD211F">
        <w:rPr>
          <w:sz w:val="36"/>
          <w:szCs w:val="36"/>
          <w:rtl/>
        </w:rPr>
        <w:t xml:space="preserve">وحينئذ </w:t>
      </w:r>
      <w:r w:rsidR="006D4F4C" w:rsidRPr="00FD211F">
        <w:rPr>
          <w:sz w:val="36"/>
          <w:szCs w:val="36"/>
          <w:rtl/>
        </w:rPr>
        <w:t>فقد حاول في البحوث</w:t>
      </w:r>
      <w:r w:rsidRPr="00FD211F">
        <w:rPr>
          <w:sz w:val="36"/>
          <w:szCs w:val="36"/>
          <w:rtl/>
        </w:rPr>
        <w:t xml:space="preserve"> </w:t>
      </w:r>
      <w:r w:rsidR="009448F1" w:rsidRPr="00FD211F">
        <w:rPr>
          <w:sz w:val="36"/>
          <w:szCs w:val="36"/>
          <w:rtl/>
        </w:rPr>
        <w:t>ان يرجع مثل البحث عن اقتضاء</w:t>
      </w:r>
      <w:r w:rsidR="0090224F" w:rsidRPr="00FD211F">
        <w:rPr>
          <w:sz w:val="36"/>
          <w:szCs w:val="36"/>
          <w:rtl/>
        </w:rPr>
        <w:t xml:space="preserve"> الأمر </w:t>
      </w:r>
      <w:r w:rsidR="009448F1" w:rsidRPr="00FD211F">
        <w:rPr>
          <w:sz w:val="36"/>
          <w:szCs w:val="36"/>
          <w:rtl/>
        </w:rPr>
        <w:t>بال</w:t>
      </w:r>
      <w:r w:rsidR="008D7B3D" w:rsidRPr="00FD211F">
        <w:rPr>
          <w:sz w:val="36"/>
          <w:szCs w:val="36"/>
          <w:rtl/>
        </w:rPr>
        <w:t xml:space="preserve">شيء </w:t>
      </w:r>
      <w:r w:rsidR="009448F1" w:rsidRPr="00FD211F">
        <w:rPr>
          <w:sz w:val="36"/>
          <w:szCs w:val="36"/>
          <w:rtl/>
        </w:rPr>
        <w:t>للنهي عن ضده او الملازم</w:t>
      </w:r>
      <w:r w:rsidR="00EC7EDF" w:rsidRPr="00FD211F">
        <w:rPr>
          <w:sz w:val="36"/>
          <w:szCs w:val="36"/>
          <w:rtl/>
        </w:rPr>
        <w:t xml:space="preserve">ة </w:t>
      </w:r>
      <w:r w:rsidR="009448F1" w:rsidRPr="00FD211F">
        <w:rPr>
          <w:sz w:val="36"/>
          <w:szCs w:val="36"/>
          <w:rtl/>
        </w:rPr>
        <w:t>بين وجوب ال</w:t>
      </w:r>
      <w:r w:rsidR="008D7B3D" w:rsidRPr="00FD211F">
        <w:rPr>
          <w:sz w:val="36"/>
          <w:szCs w:val="36"/>
          <w:rtl/>
        </w:rPr>
        <w:t xml:space="preserve">شيء </w:t>
      </w:r>
      <w:r w:rsidR="009448F1" w:rsidRPr="00FD211F">
        <w:rPr>
          <w:sz w:val="36"/>
          <w:szCs w:val="36"/>
          <w:rtl/>
        </w:rPr>
        <w:t>ووجوب مقدمته</w:t>
      </w:r>
      <w:r w:rsidR="00603323" w:rsidRPr="00FD211F">
        <w:rPr>
          <w:sz w:val="36"/>
          <w:szCs w:val="36"/>
          <w:rtl/>
        </w:rPr>
        <w:t xml:space="preserve">، </w:t>
      </w:r>
      <w:r w:rsidR="009448F1" w:rsidRPr="00FD211F">
        <w:rPr>
          <w:sz w:val="36"/>
          <w:szCs w:val="36"/>
          <w:rtl/>
        </w:rPr>
        <w:t>او الب</w:t>
      </w:r>
      <w:r w:rsidR="008D7B3D" w:rsidRPr="00FD211F">
        <w:rPr>
          <w:sz w:val="36"/>
          <w:szCs w:val="36"/>
          <w:rtl/>
        </w:rPr>
        <w:t>راءة</w:t>
      </w:r>
      <w:r w:rsidR="00EC7EDF" w:rsidRPr="00FD211F">
        <w:rPr>
          <w:sz w:val="36"/>
          <w:szCs w:val="36"/>
          <w:rtl/>
        </w:rPr>
        <w:t xml:space="preserve"> </w:t>
      </w:r>
      <w:r w:rsidR="009448F1" w:rsidRPr="00FD211F">
        <w:rPr>
          <w:sz w:val="36"/>
          <w:szCs w:val="36"/>
          <w:rtl/>
        </w:rPr>
        <w:t>العقلي</w:t>
      </w:r>
      <w:r w:rsidR="00EC7EDF" w:rsidRPr="00FD211F">
        <w:rPr>
          <w:sz w:val="36"/>
          <w:szCs w:val="36"/>
          <w:rtl/>
        </w:rPr>
        <w:t xml:space="preserve">ة </w:t>
      </w:r>
      <w:r w:rsidR="009448F1" w:rsidRPr="00FD211F">
        <w:rPr>
          <w:sz w:val="36"/>
          <w:szCs w:val="36"/>
          <w:rtl/>
        </w:rPr>
        <w:t>في موارد الشبه</w:t>
      </w:r>
      <w:r w:rsidR="00EC7EDF" w:rsidRPr="00FD211F">
        <w:rPr>
          <w:sz w:val="36"/>
          <w:szCs w:val="36"/>
          <w:rtl/>
        </w:rPr>
        <w:t xml:space="preserve">ة </w:t>
      </w:r>
      <w:r w:rsidR="009448F1" w:rsidRPr="00FD211F">
        <w:rPr>
          <w:sz w:val="36"/>
          <w:szCs w:val="36"/>
          <w:rtl/>
        </w:rPr>
        <w:t>البدوي</w:t>
      </w:r>
      <w:r w:rsidR="00EC7EDF" w:rsidRPr="00FD211F">
        <w:rPr>
          <w:sz w:val="36"/>
          <w:szCs w:val="36"/>
          <w:rtl/>
        </w:rPr>
        <w:t xml:space="preserve">ة </w:t>
      </w:r>
      <w:r w:rsidR="009448F1" w:rsidRPr="00FD211F">
        <w:rPr>
          <w:sz w:val="36"/>
          <w:szCs w:val="36"/>
          <w:rtl/>
        </w:rPr>
        <w:t>الى ان</w:t>
      </w:r>
      <w:r w:rsidR="0090224F" w:rsidRPr="00FD211F">
        <w:rPr>
          <w:sz w:val="36"/>
          <w:szCs w:val="36"/>
          <w:rtl/>
        </w:rPr>
        <w:t xml:space="preserve"> الأمر </w:t>
      </w:r>
      <w:r w:rsidR="009448F1" w:rsidRPr="00FD211F">
        <w:rPr>
          <w:sz w:val="36"/>
          <w:szCs w:val="36"/>
          <w:rtl/>
        </w:rPr>
        <w:t>بال</w:t>
      </w:r>
      <w:r w:rsidR="008D7B3D" w:rsidRPr="00FD211F">
        <w:rPr>
          <w:sz w:val="36"/>
          <w:szCs w:val="36"/>
          <w:rtl/>
        </w:rPr>
        <w:t xml:space="preserve">شيء </w:t>
      </w:r>
      <w:r w:rsidR="009448F1" w:rsidRPr="00FD211F">
        <w:rPr>
          <w:sz w:val="36"/>
          <w:szCs w:val="36"/>
          <w:rtl/>
        </w:rPr>
        <w:t>هل يكون دليلا على النهي عن ضده او انه هل يكون دليلا على</w:t>
      </w:r>
      <w:r w:rsidR="0090224F" w:rsidRPr="00FD211F">
        <w:rPr>
          <w:sz w:val="36"/>
          <w:szCs w:val="36"/>
          <w:rtl/>
        </w:rPr>
        <w:t xml:space="preserve"> الأمر </w:t>
      </w:r>
      <w:r w:rsidR="009448F1" w:rsidRPr="00FD211F">
        <w:rPr>
          <w:sz w:val="36"/>
          <w:szCs w:val="36"/>
          <w:rtl/>
        </w:rPr>
        <w:t>بمقدمته او ان الشك هل يدل على المعذري</w:t>
      </w:r>
      <w:r w:rsidR="00EC7EDF" w:rsidRPr="00FD211F">
        <w:rPr>
          <w:sz w:val="36"/>
          <w:szCs w:val="36"/>
          <w:rtl/>
        </w:rPr>
        <w:t xml:space="preserve">ة </w:t>
      </w:r>
      <w:r w:rsidR="009448F1" w:rsidRPr="00FD211F">
        <w:rPr>
          <w:sz w:val="36"/>
          <w:szCs w:val="36"/>
          <w:rtl/>
        </w:rPr>
        <w:t>عقلا ام لا</w:t>
      </w:r>
      <w:r w:rsidR="009C58C8" w:rsidRPr="00FD211F">
        <w:rPr>
          <w:rStyle w:val="a6"/>
          <w:sz w:val="36"/>
          <w:szCs w:val="36"/>
          <w:rtl/>
        </w:rPr>
        <w:t>(</w:t>
      </w:r>
      <w:r w:rsidR="009C58C8" w:rsidRPr="00FD211F">
        <w:rPr>
          <w:rStyle w:val="a6"/>
          <w:sz w:val="36"/>
          <w:szCs w:val="36"/>
          <w:rtl/>
        </w:rPr>
        <w:footnoteReference w:id="88"/>
      </w:r>
      <w:r w:rsidR="009C58C8" w:rsidRPr="00FD211F">
        <w:rPr>
          <w:rStyle w:val="a6"/>
          <w:sz w:val="36"/>
          <w:szCs w:val="36"/>
          <w:rtl/>
        </w:rPr>
        <w:t>)</w:t>
      </w:r>
      <w:r w:rsidR="009448F1" w:rsidRPr="00FD211F">
        <w:rPr>
          <w:sz w:val="36"/>
          <w:szCs w:val="36"/>
          <w:rtl/>
        </w:rPr>
        <w:t>.</w:t>
      </w:r>
    </w:p>
    <w:p w14:paraId="3488C0DD" w14:textId="77777777" w:rsidR="00FE07B8" w:rsidRPr="00FD211F" w:rsidRDefault="009448F1" w:rsidP="009C58C8">
      <w:pPr>
        <w:ind w:left="0" w:firstLine="227"/>
        <w:jc w:val="both"/>
        <w:rPr>
          <w:sz w:val="36"/>
          <w:szCs w:val="36"/>
          <w:rtl/>
        </w:rPr>
      </w:pPr>
      <w:r w:rsidRPr="00FD211F">
        <w:rPr>
          <w:sz w:val="36"/>
          <w:szCs w:val="36"/>
          <w:rtl/>
        </w:rPr>
        <w:t xml:space="preserve">ولكن لايخفى ما في </w:t>
      </w:r>
      <w:r w:rsidR="00FE07B8" w:rsidRPr="00FD211F">
        <w:rPr>
          <w:sz w:val="36"/>
          <w:szCs w:val="36"/>
          <w:rtl/>
        </w:rPr>
        <w:t>جعل الشك دليلا على المعذري</w:t>
      </w:r>
      <w:r w:rsidR="00EC7EDF" w:rsidRPr="00FD211F">
        <w:rPr>
          <w:sz w:val="36"/>
          <w:szCs w:val="36"/>
          <w:rtl/>
        </w:rPr>
        <w:t xml:space="preserve">ة </w:t>
      </w:r>
      <w:r w:rsidRPr="00FD211F">
        <w:rPr>
          <w:sz w:val="36"/>
          <w:szCs w:val="36"/>
          <w:rtl/>
        </w:rPr>
        <w:t>من التكلف</w:t>
      </w:r>
      <w:r w:rsidR="00603323" w:rsidRPr="00FD211F">
        <w:rPr>
          <w:sz w:val="36"/>
          <w:szCs w:val="36"/>
          <w:rtl/>
        </w:rPr>
        <w:t xml:space="preserve">، </w:t>
      </w:r>
      <w:r w:rsidRPr="00FD211F">
        <w:rPr>
          <w:sz w:val="36"/>
          <w:szCs w:val="36"/>
          <w:rtl/>
        </w:rPr>
        <w:t>فان الشك لايكون دليلا على المعذري</w:t>
      </w:r>
      <w:r w:rsidR="00EC7EDF" w:rsidRPr="00FD211F">
        <w:rPr>
          <w:sz w:val="36"/>
          <w:szCs w:val="36"/>
          <w:rtl/>
        </w:rPr>
        <w:t xml:space="preserve">ة </w:t>
      </w:r>
      <w:r w:rsidRPr="00FD211F">
        <w:rPr>
          <w:sz w:val="36"/>
          <w:szCs w:val="36"/>
          <w:rtl/>
        </w:rPr>
        <w:t>وانما هو مورد لحكم العقل بالمعذري</w:t>
      </w:r>
      <w:r w:rsidR="00EC7EDF" w:rsidRPr="00FD211F">
        <w:rPr>
          <w:sz w:val="36"/>
          <w:szCs w:val="36"/>
          <w:rtl/>
        </w:rPr>
        <w:t>ة</w:t>
      </w:r>
      <w:r w:rsidR="00603323" w:rsidRPr="00FD211F">
        <w:rPr>
          <w:sz w:val="36"/>
          <w:szCs w:val="36"/>
          <w:rtl/>
        </w:rPr>
        <w:t xml:space="preserve">، </w:t>
      </w:r>
      <w:r w:rsidRPr="00FD211F">
        <w:rPr>
          <w:sz w:val="36"/>
          <w:szCs w:val="36"/>
          <w:rtl/>
        </w:rPr>
        <w:t>نعم لو عبر بان العقل هل يدل على العذر في مورد الشك في التكليف ام لا لكان احسن</w:t>
      </w:r>
      <w:r w:rsidR="00603323" w:rsidRPr="00FD211F">
        <w:rPr>
          <w:sz w:val="36"/>
          <w:szCs w:val="36"/>
          <w:rtl/>
        </w:rPr>
        <w:t xml:space="preserve">، </w:t>
      </w:r>
      <w:r w:rsidR="00F510F5" w:rsidRPr="00FD211F">
        <w:rPr>
          <w:sz w:val="36"/>
          <w:szCs w:val="36"/>
          <w:rtl/>
        </w:rPr>
        <w:t xml:space="preserve">كما يمكن ان يوجه البحث عن </w:t>
      </w:r>
      <w:r w:rsidR="00482E8B" w:rsidRPr="00FD211F">
        <w:rPr>
          <w:sz w:val="36"/>
          <w:szCs w:val="36"/>
          <w:rtl/>
        </w:rPr>
        <w:t>في الملازمات العقلي</w:t>
      </w:r>
      <w:r w:rsidR="00EC7EDF" w:rsidRPr="00FD211F">
        <w:rPr>
          <w:sz w:val="36"/>
          <w:szCs w:val="36"/>
          <w:rtl/>
        </w:rPr>
        <w:t xml:space="preserve">ة </w:t>
      </w:r>
      <w:r w:rsidR="00482E8B" w:rsidRPr="00FD211F">
        <w:rPr>
          <w:sz w:val="36"/>
          <w:szCs w:val="36"/>
          <w:rtl/>
        </w:rPr>
        <w:t>كالملازم</w:t>
      </w:r>
      <w:r w:rsidR="00EC7EDF" w:rsidRPr="00FD211F">
        <w:rPr>
          <w:sz w:val="36"/>
          <w:szCs w:val="36"/>
          <w:rtl/>
        </w:rPr>
        <w:t xml:space="preserve">ة </w:t>
      </w:r>
      <w:r w:rsidR="00482E8B" w:rsidRPr="00FD211F">
        <w:rPr>
          <w:sz w:val="36"/>
          <w:szCs w:val="36"/>
          <w:rtl/>
        </w:rPr>
        <w:t>بين حكم العقل وحكم الشرع بانه هل يدل العقل على الملازم</w:t>
      </w:r>
      <w:r w:rsidR="00EC7EDF" w:rsidRPr="00FD211F">
        <w:rPr>
          <w:sz w:val="36"/>
          <w:szCs w:val="36"/>
          <w:rtl/>
        </w:rPr>
        <w:t xml:space="preserve">ة </w:t>
      </w:r>
      <w:r w:rsidR="00482E8B" w:rsidRPr="00FD211F">
        <w:rPr>
          <w:sz w:val="36"/>
          <w:szCs w:val="36"/>
          <w:rtl/>
        </w:rPr>
        <w:t>ام لا.</w:t>
      </w:r>
    </w:p>
    <w:p w14:paraId="7D5BB726" w14:textId="77777777" w:rsidR="00C61EDB" w:rsidRPr="00FD211F" w:rsidRDefault="00C61EDB" w:rsidP="009C58C8">
      <w:pPr>
        <w:pStyle w:val="3"/>
        <w:ind w:firstLine="227"/>
        <w:jc w:val="both"/>
        <w:rPr>
          <w:rtl/>
        </w:rPr>
        <w:sectPr w:rsidR="00C61EDB" w:rsidRPr="00FD211F" w:rsidSect="00D24300">
          <w:headerReference w:type="even" r:id="rId17"/>
          <w:headerReference w:type="default" r:id="rId18"/>
          <w:footnotePr>
            <w:numRestart w:val="eachPage"/>
          </w:footnotePr>
          <w:pgSz w:w="10319" w:h="14578" w:code="138"/>
          <w:pgMar w:top="1418" w:right="1701" w:bottom="1418" w:left="1701" w:header="1418" w:footer="964" w:gutter="0"/>
          <w:cols w:space="720"/>
          <w:bidi/>
          <w:rtlGutter/>
          <w:docGrid w:linePitch="360"/>
        </w:sectPr>
      </w:pPr>
    </w:p>
    <w:p w14:paraId="428E16FA" w14:textId="77777777" w:rsidR="000C5BBA" w:rsidRPr="00FD211F" w:rsidRDefault="00FB0D77" w:rsidP="009C58C8">
      <w:pPr>
        <w:pStyle w:val="3"/>
        <w:ind w:firstLine="227"/>
        <w:jc w:val="both"/>
        <w:rPr>
          <w:rtl/>
        </w:rPr>
      </w:pPr>
      <w:bookmarkStart w:id="83" w:name="_Toc223890320"/>
      <w:r w:rsidRPr="00FD211F">
        <w:rPr>
          <w:rtl/>
        </w:rPr>
        <w:t>ت</w:t>
      </w:r>
      <w:r w:rsidR="00FE07B8" w:rsidRPr="00FD211F">
        <w:rPr>
          <w:rtl/>
        </w:rPr>
        <w:t>قسيم علم الاصول</w:t>
      </w:r>
      <w:bookmarkEnd w:id="83"/>
    </w:p>
    <w:p w14:paraId="60145D7E" w14:textId="77777777" w:rsidR="00CE7E04" w:rsidRPr="00FD211F" w:rsidRDefault="00CE7E04" w:rsidP="009C58C8">
      <w:pPr>
        <w:ind w:left="0" w:firstLine="227"/>
        <w:jc w:val="both"/>
        <w:rPr>
          <w:sz w:val="36"/>
          <w:szCs w:val="36"/>
          <w:rtl/>
        </w:rPr>
      </w:pPr>
      <w:r w:rsidRPr="00FD211F">
        <w:rPr>
          <w:sz w:val="36"/>
          <w:szCs w:val="36"/>
          <w:rtl/>
        </w:rPr>
        <w:t>توجد عد</w:t>
      </w:r>
      <w:r w:rsidR="00EC7EDF" w:rsidRPr="00FD211F">
        <w:rPr>
          <w:sz w:val="36"/>
          <w:szCs w:val="36"/>
          <w:rtl/>
        </w:rPr>
        <w:t xml:space="preserve">ة </w:t>
      </w:r>
      <w:r w:rsidRPr="00FD211F">
        <w:rPr>
          <w:sz w:val="36"/>
          <w:szCs w:val="36"/>
          <w:rtl/>
        </w:rPr>
        <w:t>مناهج لتقسيم مباحث علم الاصول</w:t>
      </w:r>
      <w:r w:rsidR="00CE58CF" w:rsidRPr="00FD211F">
        <w:rPr>
          <w:sz w:val="36"/>
          <w:szCs w:val="36"/>
          <w:rtl/>
        </w:rPr>
        <w:t>.</w:t>
      </w:r>
    </w:p>
    <w:p w14:paraId="0853A177" w14:textId="77777777" w:rsidR="00537362" w:rsidRPr="00FD211F" w:rsidRDefault="00CE7E04" w:rsidP="00C7588D">
      <w:pPr>
        <w:ind w:left="0" w:firstLine="227"/>
        <w:jc w:val="both"/>
        <w:rPr>
          <w:sz w:val="36"/>
          <w:szCs w:val="36"/>
          <w:rtl/>
        </w:rPr>
      </w:pPr>
      <w:r w:rsidRPr="00FD211F">
        <w:rPr>
          <w:b/>
          <w:bCs/>
          <w:sz w:val="36"/>
          <w:szCs w:val="36"/>
          <w:rtl/>
        </w:rPr>
        <w:t>المنهج الاول</w:t>
      </w:r>
      <w:r w:rsidR="00B002E4" w:rsidRPr="00FD211F">
        <w:rPr>
          <w:sz w:val="36"/>
          <w:szCs w:val="36"/>
          <w:rtl/>
        </w:rPr>
        <w:t xml:space="preserve"> ما هو المشهور من وضع مقدمة لعلم الاصول ويبحث فيها عن</w:t>
      </w:r>
      <w:r w:rsidR="00C7588D" w:rsidRPr="00FD211F">
        <w:rPr>
          <w:sz w:val="36"/>
          <w:szCs w:val="36"/>
          <w:rtl/>
        </w:rPr>
        <w:t xml:space="preserve"> </w:t>
      </w:r>
      <w:r w:rsidR="00B002E4" w:rsidRPr="00FD211F">
        <w:rPr>
          <w:sz w:val="36"/>
          <w:szCs w:val="36"/>
          <w:rtl/>
        </w:rPr>
        <w:t>الوضع ومايرتبط به</w:t>
      </w:r>
      <w:r w:rsidR="00603323" w:rsidRPr="00FD211F">
        <w:rPr>
          <w:sz w:val="36"/>
          <w:szCs w:val="36"/>
          <w:rtl/>
        </w:rPr>
        <w:t xml:space="preserve">، </w:t>
      </w:r>
      <w:r w:rsidR="00B002E4" w:rsidRPr="00FD211F">
        <w:rPr>
          <w:sz w:val="36"/>
          <w:szCs w:val="36"/>
          <w:rtl/>
        </w:rPr>
        <w:t>والحقيقة الشرعية</w:t>
      </w:r>
      <w:r w:rsidR="00603323" w:rsidRPr="00FD211F">
        <w:rPr>
          <w:sz w:val="36"/>
          <w:szCs w:val="36"/>
          <w:rtl/>
        </w:rPr>
        <w:t xml:space="preserve">، </w:t>
      </w:r>
      <w:r w:rsidR="00B002E4" w:rsidRPr="00FD211F">
        <w:rPr>
          <w:sz w:val="36"/>
          <w:szCs w:val="36"/>
          <w:rtl/>
        </w:rPr>
        <w:t>والصحيح والاعم</w:t>
      </w:r>
      <w:r w:rsidR="00603323" w:rsidRPr="00FD211F">
        <w:rPr>
          <w:sz w:val="36"/>
          <w:szCs w:val="36"/>
          <w:rtl/>
        </w:rPr>
        <w:t xml:space="preserve">، </w:t>
      </w:r>
      <w:r w:rsidR="00B002E4" w:rsidRPr="00FD211F">
        <w:rPr>
          <w:sz w:val="36"/>
          <w:szCs w:val="36"/>
          <w:rtl/>
        </w:rPr>
        <w:t>والمشتق</w:t>
      </w:r>
      <w:r w:rsidR="00603323" w:rsidRPr="00FD211F">
        <w:rPr>
          <w:sz w:val="36"/>
          <w:szCs w:val="36"/>
          <w:rtl/>
        </w:rPr>
        <w:t xml:space="preserve">، </w:t>
      </w:r>
      <w:r w:rsidR="00B002E4" w:rsidRPr="00FD211F">
        <w:rPr>
          <w:sz w:val="36"/>
          <w:szCs w:val="36"/>
          <w:rtl/>
        </w:rPr>
        <w:t>ثم تقسيم الاصول الى</w:t>
      </w:r>
      <w:r w:rsidR="00537362" w:rsidRPr="00FD211F">
        <w:rPr>
          <w:sz w:val="36"/>
          <w:szCs w:val="36"/>
          <w:rtl/>
        </w:rPr>
        <w:t xml:space="preserve"> قسمين رئيسيين:</w:t>
      </w:r>
    </w:p>
    <w:p w14:paraId="0B65FAEC" w14:textId="77777777" w:rsidR="00205570" w:rsidRPr="00FD211F" w:rsidRDefault="009854F4" w:rsidP="00603323">
      <w:pPr>
        <w:ind w:left="0" w:firstLine="227"/>
        <w:jc w:val="both"/>
        <w:rPr>
          <w:sz w:val="36"/>
          <w:szCs w:val="36"/>
          <w:rtl/>
        </w:rPr>
      </w:pPr>
      <w:r w:rsidRPr="00FD211F">
        <w:rPr>
          <w:sz w:val="36"/>
          <w:szCs w:val="36"/>
          <w:rtl/>
        </w:rPr>
        <w:t>1-</w:t>
      </w:r>
      <w:r w:rsidR="00B002E4" w:rsidRPr="00FD211F">
        <w:rPr>
          <w:sz w:val="36"/>
          <w:szCs w:val="36"/>
          <w:rtl/>
        </w:rPr>
        <w:t xml:space="preserve"> مباحث الالفاظ كبحث الاوامر </w:t>
      </w:r>
      <w:r w:rsidR="00537362" w:rsidRPr="00FD211F">
        <w:rPr>
          <w:sz w:val="36"/>
          <w:szCs w:val="36"/>
          <w:rtl/>
        </w:rPr>
        <w:t>والنواهي ومايرتبط بهما (كبحث أن الامر بال</w:t>
      </w:r>
      <w:r w:rsidR="00251CB6" w:rsidRPr="00FD211F">
        <w:rPr>
          <w:sz w:val="36"/>
          <w:szCs w:val="36"/>
          <w:rtl/>
        </w:rPr>
        <w:t xml:space="preserve">شيء </w:t>
      </w:r>
      <w:r w:rsidR="00537362" w:rsidRPr="00FD211F">
        <w:rPr>
          <w:sz w:val="36"/>
          <w:szCs w:val="36"/>
          <w:rtl/>
        </w:rPr>
        <w:t>هل يقتضي الامر الغيري بمقدمته او</w:t>
      </w:r>
      <w:r w:rsidR="00603323" w:rsidRPr="00FD211F">
        <w:rPr>
          <w:sz w:val="36"/>
          <w:szCs w:val="36"/>
          <w:rtl/>
        </w:rPr>
        <w:t xml:space="preserve"> </w:t>
      </w:r>
      <w:r w:rsidR="00537362" w:rsidRPr="00FD211F">
        <w:rPr>
          <w:sz w:val="36"/>
          <w:szCs w:val="36"/>
          <w:rtl/>
        </w:rPr>
        <w:t>أن الامر بال</w:t>
      </w:r>
      <w:r w:rsidR="00251CB6" w:rsidRPr="00FD211F">
        <w:rPr>
          <w:sz w:val="36"/>
          <w:szCs w:val="36"/>
          <w:rtl/>
        </w:rPr>
        <w:t xml:space="preserve">شيء </w:t>
      </w:r>
      <w:r w:rsidR="00537362" w:rsidRPr="00FD211F">
        <w:rPr>
          <w:sz w:val="36"/>
          <w:szCs w:val="36"/>
          <w:rtl/>
        </w:rPr>
        <w:t>هل يقتضي النهي عن ضده او أن النهي عن العبادة او المعاملة هل يقتضي الفساد او أنه هل يمكن اجتماع الامر والنهي)</w:t>
      </w:r>
      <w:r w:rsidR="00603323" w:rsidRPr="00FD211F">
        <w:rPr>
          <w:sz w:val="36"/>
          <w:szCs w:val="36"/>
          <w:rtl/>
        </w:rPr>
        <w:t xml:space="preserve"> </w:t>
      </w:r>
      <w:r w:rsidR="00537362" w:rsidRPr="00FD211F">
        <w:rPr>
          <w:sz w:val="36"/>
          <w:szCs w:val="36"/>
          <w:rtl/>
        </w:rPr>
        <w:t>وكذا بحث المفاهيم</w:t>
      </w:r>
      <w:r w:rsidR="00603323" w:rsidRPr="00FD211F">
        <w:rPr>
          <w:sz w:val="36"/>
          <w:szCs w:val="36"/>
          <w:rtl/>
        </w:rPr>
        <w:t xml:space="preserve">، </w:t>
      </w:r>
      <w:r w:rsidR="00537362" w:rsidRPr="00FD211F">
        <w:rPr>
          <w:sz w:val="36"/>
          <w:szCs w:val="36"/>
          <w:rtl/>
        </w:rPr>
        <w:t>والعام والخاص</w:t>
      </w:r>
      <w:r w:rsidR="00603323" w:rsidRPr="00FD211F">
        <w:rPr>
          <w:sz w:val="36"/>
          <w:szCs w:val="36"/>
          <w:rtl/>
        </w:rPr>
        <w:t xml:space="preserve">، </w:t>
      </w:r>
      <w:r w:rsidR="00537362" w:rsidRPr="00FD211F">
        <w:rPr>
          <w:sz w:val="36"/>
          <w:szCs w:val="36"/>
          <w:rtl/>
        </w:rPr>
        <w:t>والمطلق والمقيد</w:t>
      </w:r>
      <w:r w:rsidRPr="00FD211F">
        <w:rPr>
          <w:sz w:val="36"/>
          <w:szCs w:val="36"/>
          <w:rtl/>
        </w:rPr>
        <w:t>.</w:t>
      </w:r>
    </w:p>
    <w:p w14:paraId="6257D50C" w14:textId="77777777" w:rsidR="009854F4" w:rsidRPr="00FD211F" w:rsidRDefault="00205570" w:rsidP="00C7588D">
      <w:pPr>
        <w:ind w:left="0" w:firstLine="227"/>
        <w:jc w:val="both"/>
        <w:rPr>
          <w:sz w:val="36"/>
          <w:szCs w:val="36"/>
          <w:rtl/>
        </w:rPr>
      </w:pPr>
      <w:r w:rsidRPr="00FD211F">
        <w:rPr>
          <w:sz w:val="36"/>
          <w:szCs w:val="36"/>
          <w:rtl/>
        </w:rPr>
        <w:t xml:space="preserve">ولعله قدم مباحث الالفاظ من باب كونها منقحة لصغرى حجية الظهور الذي هو من الامارات التي يبحث عنها في القسم الآتي. </w:t>
      </w:r>
    </w:p>
    <w:p w14:paraId="5E9518BB" w14:textId="77777777" w:rsidR="00E264AF" w:rsidRPr="00FD211F" w:rsidRDefault="009854F4" w:rsidP="00603323">
      <w:pPr>
        <w:ind w:left="0" w:firstLine="227"/>
        <w:jc w:val="both"/>
        <w:rPr>
          <w:sz w:val="36"/>
          <w:szCs w:val="36"/>
          <w:rtl/>
        </w:rPr>
      </w:pPr>
      <w:r w:rsidRPr="00FD211F">
        <w:rPr>
          <w:sz w:val="36"/>
          <w:szCs w:val="36"/>
          <w:rtl/>
        </w:rPr>
        <w:t>2-</w:t>
      </w:r>
      <w:r w:rsidR="00537362" w:rsidRPr="00FD211F">
        <w:rPr>
          <w:sz w:val="36"/>
          <w:szCs w:val="36"/>
          <w:rtl/>
        </w:rPr>
        <w:t xml:space="preserve"> </w:t>
      </w:r>
      <w:r w:rsidR="002F41CB" w:rsidRPr="00FD211F">
        <w:rPr>
          <w:sz w:val="36"/>
          <w:szCs w:val="36"/>
          <w:rtl/>
        </w:rPr>
        <w:t>مباحث الأمارات</w:t>
      </w:r>
      <w:r w:rsidRPr="00FD211F">
        <w:rPr>
          <w:sz w:val="36"/>
          <w:szCs w:val="36"/>
          <w:rtl/>
        </w:rPr>
        <w:t xml:space="preserve"> </w:t>
      </w:r>
      <w:r w:rsidR="002F41CB" w:rsidRPr="00FD211F">
        <w:rPr>
          <w:sz w:val="36"/>
          <w:szCs w:val="36"/>
          <w:rtl/>
        </w:rPr>
        <w:t>(ويبحث فيها اولاًعن حجية القطع -الذي يقال بكونه حجة ذاتية –بما له من اقسام</w:t>
      </w:r>
      <w:r w:rsidR="00603323" w:rsidRPr="00FD211F">
        <w:rPr>
          <w:sz w:val="36"/>
          <w:szCs w:val="36"/>
          <w:rtl/>
        </w:rPr>
        <w:t xml:space="preserve">، </w:t>
      </w:r>
      <w:r w:rsidR="002F41CB" w:rsidRPr="00FD211F">
        <w:rPr>
          <w:sz w:val="36"/>
          <w:szCs w:val="36"/>
          <w:rtl/>
        </w:rPr>
        <w:t>ثم يبحث عن حجية الأمارات الظنية)</w:t>
      </w:r>
      <w:r w:rsidR="00603323" w:rsidRPr="00FD211F">
        <w:rPr>
          <w:sz w:val="36"/>
          <w:szCs w:val="36"/>
          <w:rtl/>
        </w:rPr>
        <w:t xml:space="preserve"> </w:t>
      </w:r>
      <w:r w:rsidRPr="00FD211F">
        <w:rPr>
          <w:sz w:val="36"/>
          <w:szCs w:val="36"/>
          <w:rtl/>
        </w:rPr>
        <w:t>والاصول العملية</w:t>
      </w:r>
      <w:r w:rsidR="00603323" w:rsidRPr="00FD211F">
        <w:rPr>
          <w:sz w:val="36"/>
          <w:szCs w:val="36"/>
          <w:rtl/>
        </w:rPr>
        <w:t xml:space="preserve">، </w:t>
      </w:r>
      <w:r w:rsidR="00E264AF" w:rsidRPr="00FD211F">
        <w:rPr>
          <w:sz w:val="36"/>
          <w:szCs w:val="36"/>
          <w:rtl/>
        </w:rPr>
        <w:t>ثم يبحث عن حكم وقوع التعارض بين الأمارات.</w:t>
      </w:r>
    </w:p>
    <w:p w14:paraId="18E2A2F1" w14:textId="77777777" w:rsidR="00E264AF" w:rsidRPr="00FD211F" w:rsidRDefault="00E264AF" w:rsidP="00C7588D">
      <w:pPr>
        <w:ind w:left="0" w:firstLine="227"/>
        <w:jc w:val="both"/>
        <w:rPr>
          <w:sz w:val="36"/>
          <w:szCs w:val="36"/>
          <w:rtl/>
        </w:rPr>
      </w:pPr>
      <w:r w:rsidRPr="00FD211F">
        <w:rPr>
          <w:sz w:val="36"/>
          <w:szCs w:val="36"/>
          <w:rtl/>
        </w:rPr>
        <w:t>ثم يذكر خاتمة في البحث عن احكام الاجتهاد والتقليد</w:t>
      </w:r>
      <w:r w:rsidR="00603323" w:rsidRPr="00FD211F">
        <w:rPr>
          <w:sz w:val="36"/>
          <w:szCs w:val="36"/>
          <w:rtl/>
        </w:rPr>
        <w:t xml:space="preserve">، </w:t>
      </w:r>
      <w:r w:rsidRPr="00FD211F">
        <w:rPr>
          <w:sz w:val="36"/>
          <w:szCs w:val="36"/>
          <w:rtl/>
        </w:rPr>
        <w:t>وانما</w:t>
      </w:r>
      <w:r w:rsidR="00603323" w:rsidRPr="00FD211F">
        <w:rPr>
          <w:sz w:val="36"/>
          <w:szCs w:val="36"/>
          <w:rtl/>
        </w:rPr>
        <w:t xml:space="preserve"> </w:t>
      </w:r>
      <w:r w:rsidRPr="00FD211F">
        <w:rPr>
          <w:sz w:val="36"/>
          <w:szCs w:val="36"/>
          <w:rtl/>
        </w:rPr>
        <w:t>أدرج هذا البحث في الخاتمة لخروجه عن مسائل علم الاصول لعدم وقوعه في طريق استنباط الحكم الشرعي الكلي.</w:t>
      </w:r>
    </w:p>
    <w:p w14:paraId="4991A555" w14:textId="77777777" w:rsidR="000C5BBA" w:rsidRPr="00FD211F" w:rsidRDefault="00537362" w:rsidP="00032CF0">
      <w:pPr>
        <w:ind w:left="0" w:firstLine="227"/>
        <w:jc w:val="both"/>
        <w:rPr>
          <w:sz w:val="36"/>
          <w:szCs w:val="36"/>
          <w:rtl/>
        </w:rPr>
      </w:pPr>
      <w:r w:rsidRPr="00FD211F">
        <w:rPr>
          <w:sz w:val="36"/>
          <w:szCs w:val="36"/>
          <w:rtl/>
        </w:rPr>
        <w:t>و</w:t>
      </w:r>
      <w:r w:rsidR="00E264AF" w:rsidRPr="00FD211F">
        <w:rPr>
          <w:sz w:val="36"/>
          <w:szCs w:val="36"/>
          <w:rtl/>
        </w:rPr>
        <w:t xml:space="preserve">لايخفى أن ماجاء في كتاب الرافد من أن الشيخ </w:t>
      </w:r>
      <w:r w:rsidR="006740CB" w:rsidRPr="00FD211F">
        <w:rPr>
          <w:sz w:val="36"/>
          <w:szCs w:val="36"/>
          <w:rtl/>
        </w:rPr>
        <w:t>الاعظم "قده"</w:t>
      </w:r>
      <w:r w:rsidR="00603323" w:rsidRPr="00FD211F">
        <w:rPr>
          <w:sz w:val="36"/>
          <w:szCs w:val="36"/>
          <w:rtl/>
        </w:rPr>
        <w:t xml:space="preserve"> </w:t>
      </w:r>
      <w:r w:rsidR="006740CB" w:rsidRPr="00FD211F">
        <w:rPr>
          <w:sz w:val="36"/>
          <w:szCs w:val="36"/>
          <w:rtl/>
        </w:rPr>
        <w:t>أبدل تقسيم المشهورالى تقسيمه حسب حالات المكلف عند التفاته الى الحكم الشرعي وهي القطع والظن والشك</w:t>
      </w:r>
      <w:r w:rsidR="00032CF0" w:rsidRPr="00FD211F">
        <w:rPr>
          <w:sz w:val="36"/>
          <w:szCs w:val="36"/>
          <w:rtl/>
        </w:rPr>
        <w:t>،</w:t>
      </w:r>
      <w:r w:rsidR="00C7588D" w:rsidRPr="00FD211F">
        <w:rPr>
          <w:sz w:val="36"/>
          <w:szCs w:val="36"/>
          <w:rtl/>
        </w:rPr>
        <w:t xml:space="preserve"> </w:t>
      </w:r>
      <w:r w:rsidR="001F3E3E" w:rsidRPr="00FD211F">
        <w:rPr>
          <w:sz w:val="36"/>
          <w:szCs w:val="36"/>
          <w:rtl/>
        </w:rPr>
        <w:t>غير متجه لأن نظر الشيخ الاعظم في ذلك الي تقسيم بحث الامارات والاصول العملية دون تقسيم مباحث علم الاصول كما يظهر من طرحه لمباحث الالفاظ على ما في مطارح الانظار.</w:t>
      </w:r>
    </w:p>
    <w:p w14:paraId="7380870A" w14:textId="77777777" w:rsidR="00205570" w:rsidRPr="00FD211F" w:rsidRDefault="00205570" w:rsidP="009C58C8">
      <w:pPr>
        <w:ind w:left="0" w:firstLine="227"/>
        <w:jc w:val="both"/>
        <w:rPr>
          <w:sz w:val="36"/>
          <w:szCs w:val="36"/>
          <w:rtl/>
        </w:rPr>
      </w:pPr>
      <w:r w:rsidRPr="00FD211F">
        <w:rPr>
          <w:b/>
          <w:bCs/>
          <w:sz w:val="36"/>
          <w:szCs w:val="36"/>
          <w:rtl/>
        </w:rPr>
        <w:t>المنهج الثاني:</w:t>
      </w:r>
      <w:r w:rsidRPr="00FD211F">
        <w:rPr>
          <w:sz w:val="36"/>
          <w:szCs w:val="36"/>
          <w:rtl/>
        </w:rPr>
        <w:t xml:space="preserve"> ما اختاره المحقق الاصفهاني "قده" في كتاب "الاصول على النهج الحديث" فذكر أنه حيث ان مسائل علم الاصول تارة تكون من المسائل اللفظيّة</w:t>
      </w:r>
      <w:r w:rsidR="00603323" w:rsidRPr="00FD211F">
        <w:rPr>
          <w:sz w:val="36"/>
          <w:szCs w:val="36"/>
          <w:rtl/>
        </w:rPr>
        <w:t xml:space="preserve">، </w:t>
      </w:r>
      <w:r w:rsidRPr="00FD211F">
        <w:rPr>
          <w:sz w:val="36"/>
          <w:szCs w:val="36"/>
          <w:rtl/>
        </w:rPr>
        <w:t>وأخرى من المسائل العقلية</w:t>
      </w:r>
      <w:r w:rsidR="00603323" w:rsidRPr="00FD211F">
        <w:rPr>
          <w:sz w:val="36"/>
          <w:szCs w:val="36"/>
          <w:rtl/>
        </w:rPr>
        <w:t xml:space="preserve">، </w:t>
      </w:r>
      <w:r w:rsidRPr="00FD211F">
        <w:rPr>
          <w:sz w:val="36"/>
          <w:szCs w:val="36"/>
          <w:rtl/>
        </w:rPr>
        <w:t>وثالثة فيما يتعلّق بالحجج الشرعية</w:t>
      </w:r>
      <w:r w:rsidR="00603323" w:rsidRPr="00FD211F">
        <w:rPr>
          <w:sz w:val="36"/>
          <w:szCs w:val="36"/>
          <w:rtl/>
        </w:rPr>
        <w:t xml:space="preserve">، </w:t>
      </w:r>
      <w:r w:rsidRPr="00FD211F">
        <w:rPr>
          <w:sz w:val="36"/>
          <w:szCs w:val="36"/>
          <w:rtl/>
        </w:rPr>
        <w:t>ورابعة في تعارضها دلالة وسنداً</w:t>
      </w:r>
      <w:r w:rsidR="00603323" w:rsidRPr="00FD211F">
        <w:rPr>
          <w:sz w:val="36"/>
          <w:szCs w:val="36"/>
          <w:rtl/>
        </w:rPr>
        <w:t xml:space="preserve">، </w:t>
      </w:r>
      <w:r w:rsidRPr="00FD211F">
        <w:rPr>
          <w:sz w:val="36"/>
          <w:szCs w:val="36"/>
          <w:rtl/>
        </w:rPr>
        <w:t xml:space="preserve">فقد جعلنا الكتاب مشتملا على مقدّمة واربعة أبواب وخاتمة. </w:t>
      </w:r>
    </w:p>
    <w:p w14:paraId="24C990AE" w14:textId="77777777" w:rsidR="00205570" w:rsidRPr="00FD211F" w:rsidRDefault="00205570" w:rsidP="009C58C8">
      <w:pPr>
        <w:ind w:left="0" w:firstLine="227"/>
        <w:jc w:val="both"/>
        <w:rPr>
          <w:sz w:val="36"/>
          <w:szCs w:val="36"/>
          <w:rtl/>
        </w:rPr>
      </w:pPr>
      <w:r w:rsidRPr="00FD211F">
        <w:rPr>
          <w:sz w:val="36"/>
          <w:szCs w:val="36"/>
          <w:rtl/>
        </w:rPr>
        <w:t xml:space="preserve">فالمقدّمة في المبادئ التصورية والتصديقيّة بقسميها من اللغوية والأحكامية. </w:t>
      </w:r>
    </w:p>
    <w:p w14:paraId="63C03B66" w14:textId="77777777" w:rsidR="00205570" w:rsidRPr="00FD211F" w:rsidRDefault="00205570" w:rsidP="009C58C8">
      <w:pPr>
        <w:ind w:left="0" w:firstLine="227"/>
        <w:jc w:val="both"/>
        <w:rPr>
          <w:sz w:val="36"/>
          <w:szCs w:val="36"/>
          <w:rtl/>
        </w:rPr>
      </w:pPr>
      <w:r w:rsidRPr="00FD211F">
        <w:rPr>
          <w:sz w:val="36"/>
          <w:szCs w:val="36"/>
          <w:rtl/>
        </w:rPr>
        <w:t xml:space="preserve">و الأبواب أربعة: </w:t>
      </w:r>
    </w:p>
    <w:p w14:paraId="60B3B03D" w14:textId="77777777" w:rsidR="00205570" w:rsidRPr="00FD211F" w:rsidRDefault="00205570" w:rsidP="009C58C8">
      <w:pPr>
        <w:ind w:left="0" w:firstLine="227"/>
        <w:jc w:val="both"/>
        <w:rPr>
          <w:sz w:val="36"/>
          <w:szCs w:val="36"/>
          <w:rtl/>
        </w:rPr>
      </w:pPr>
      <w:r w:rsidRPr="00FD211F">
        <w:rPr>
          <w:sz w:val="36"/>
          <w:szCs w:val="36"/>
          <w:rtl/>
        </w:rPr>
        <w:t>الباب الأوّل في المسائل العقلية النظرية والعملية</w:t>
      </w:r>
      <w:r w:rsidR="00603323" w:rsidRPr="00FD211F">
        <w:rPr>
          <w:sz w:val="36"/>
          <w:szCs w:val="36"/>
          <w:rtl/>
        </w:rPr>
        <w:t xml:space="preserve">، </w:t>
      </w:r>
      <w:r w:rsidRPr="00FD211F">
        <w:rPr>
          <w:sz w:val="36"/>
          <w:szCs w:val="36"/>
          <w:rtl/>
        </w:rPr>
        <w:t xml:space="preserve">وإنّما قدمناها على اللفظية لشرافتها وقلّة مواردها. </w:t>
      </w:r>
    </w:p>
    <w:p w14:paraId="687CFB7C" w14:textId="77777777" w:rsidR="00205570" w:rsidRPr="00FD211F" w:rsidRDefault="00205570" w:rsidP="009C58C8">
      <w:pPr>
        <w:ind w:left="0" w:firstLine="227"/>
        <w:jc w:val="both"/>
        <w:rPr>
          <w:sz w:val="36"/>
          <w:szCs w:val="36"/>
          <w:rtl/>
        </w:rPr>
      </w:pPr>
      <w:r w:rsidRPr="00FD211F">
        <w:rPr>
          <w:sz w:val="36"/>
          <w:szCs w:val="36"/>
          <w:rtl/>
        </w:rPr>
        <w:t>الباب الثاني في المسائل اللفظيّة</w:t>
      </w:r>
      <w:r w:rsidR="00603323" w:rsidRPr="00FD211F">
        <w:rPr>
          <w:sz w:val="36"/>
          <w:szCs w:val="36"/>
          <w:rtl/>
        </w:rPr>
        <w:t xml:space="preserve">، </w:t>
      </w:r>
      <w:r w:rsidRPr="00FD211F">
        <w:rPr>
          <w:sz w:val="36"/>
          <w:szCs w:val="36"/>
          <w:rtl/>
        </w:rPr>
        <w:t xml:space="preserve">وفيه مقاصد: </w:t>
      </w:r>
    </w:p>
    <w:p w14:paraId="1DC8B065" w14:textId="77777777" w:rsidR="00205570" w:rsidRPr="00FD211F" w:rsidRDefault="00205570" w:rsidP="009C58C8">
      <w:pPr>
        <w:ind w:left="0" w:firstLine="227"/>
        <w:jc w:val="both"/>
        <w:rPr>
          <w:sz w:val="36"/>
          <w:szCs w:val="36"/>
          <w:rtl/>
        </w:rPr>
      </w:pPr>
      <w:r w:rsidRPr="00FD211F">
        <w:rPr>
          <w:sz w:val="36"/>
          <w:szCs w:val="36"/>
          <w:rtl/>
        </w:rPr>
        <w:t xml:space="preserve">الأوّل في المجعولات التشريعيّة من حيث نفسها من الأوامر والنواهي. </w:t>
      </w:r>
    </w:p>
    <w:p w14:paraId="3723DF32" w14:textId="77777777" w:rsidR="00205570" w:rsidRPr="00FD211F" w:rsidRDefault="00205570" w:rsidP="009C58C8">
      <w:pPr>
        <w:ind w:left="0" w:firstLine="227"/>
        <w:jc w:val="both"/>
        <w:rPr>
          <w:sz w:val="36"/>
          <w:szCs w:val="36"/>
          <w:rtl/>
        </w:rPr>
      </w:pPr>
      <w:r w:rsidRPr="00FD211F">
        <w:rPr>
          <w:sz w:val="36"/>
          <w:szCs w:val="36"/>
          <w:rtl/>
        </w:rPr>
        <w:t xml:space="preserve">الثاني في المجعولات المزبورة من حيث تعليقها على شرط أو وصف ونحوهما. </w:t>
      </w:r>
    </w:p>
    <w:p w14:paraId="76364618" w14:textId="77777777" w:rsidR="00205570" w:rsidRPr="00FD211F" w:rsidRDefault="00205570" w:rsidP="009C58C8">
      <w:pPr>
        <w:ind w:left="0" w:firstLine="227"/>
        <w:jc w:val="both"/>
        <w:rPr>
          <w:sz w:val="36"/>
          <w:szCs w:val="36"/>
          <w:rtl/>
        </w:rPr>
      </w:pPr>
      <w:r w:rsidRPr="00FD211F">
        <w:rPr>
          <w:sz w:val="36"/>
          <w:szCs w:val="36"/>
          <w:rtl/>
        </w:rPr>
        <w:t>الثالث في موضوعات المجعولات التشريعيّة ومتعلقاتها من حيث العموم والخصوص</w:t>
      </w:r>
      <w:r w:rsidR="00603323" w:rsidRPr="00FD211F">
        <w:rPr>
          <w:sz w:val="36"/>
          <w:szCs w:val="36"/>
          <w:rtl/>
        </w:rPr>
        <w:t xml:space="preserve">، </w:t>
      </w:r>
      <w:r w:rsidRPr="00FD211F">
        <w:rPr>
          <w:sz w:val="36"/>
          <w:szCs w:val="36"/>
          <w:rtl/>
        </w:rPr>
        <w:t>والإطلاق والتقييد</w:t>
      </w:r>
      <w:r w:rsidR="00603323" w:rsidRPr="00FD211F">
        <w:rPr>
          <w:sz w:val="36"/>
          <w:szCs w:val="36"/>
          <w:rtl/>
        </w:rPr>
        <w:t xml:space="preserve">، </w:t>
      </w:r>
      <w:r w:rsidRPr="00FD211F">
        <w:rPr>
          <w:sz w:val="36"/>
          <w:szCs w:val="36"/>
          <w:rtl/>
        </w:rPr>
        <w:t xml:space="preserve">والإجمال والبيان. </w:t>
      </w:r>
    </w:p>
    <w:p w14:paraId="1B2C0B1F" w14:textId="77777777" w:rsidR="00205570" w:rsidRPr="00FD211F" w:rsidRDefault="00205570" w:rsidP="009C58C8">
      <w:pPr>
        <w:ind w:left="0" w:firstLine="227"/>
        <w:jc w:val="both"/>
        <w:rPr>
          <w:sz w:val="36"/>
          <w:szCs w:val="36"/>
          <w:rtl/>
        </w:rPr>
      </w:pPr>
      <w:r w:rsidRPr="00FD211F">
        <w:rPr>
          <w:sz w:val="36"/>
          <w:szCs w:val="36"/>
          <w:rtl/>
        </w:rPr>
        <w:t>الباب الثالث في ما يتعلّق بالحجج الشرعية من حجّية الظاهر مطلقاً وخصوص ظاهر الكتاب</w:t>
      </w:r>
      <w:r w:rsidR="00603323" w:rsidRPr="00FD211F">
        <w:rPr>
          <w:sz w:val="36"/>
          <w:szCs w:val="36"/>
          <w:rtl/>
        </w:rPr>
        <w:t xml:space="preserve">، </w:t>
      </w:r>
      <w:r w:rsidRPr="00FD211F">
        <w:rPr>
          <w:sz w:val="36"/>
          <w:szCs w:val="36"/>
          <w:rtl/>
        </w:rPr>
        <w:t>وحجّية حكاية السنة</w:t>
      </w:r>
      <w:r w:rsidR="00603323" w:rsidRPr="00FD211F">
        <w:rPr>
          <w:sz w:val="36"/>
          <w:szCs w:val="36"/>
          <w:rtl/>
        </w:rPr>
        <w:t xml:space="preserve">، </w:t>
      </w:r>
      <w:r w:rsidRPr="00FD211F">
        <w:rPr>
          <w:sz w:val="36"/>
          <w:szCs w:val="36"/>
          <w:rtl/>
        </w:rPr>
        <w:t>وحجّية نقل الإجماع</w:t>
      </w:r>
      <w:r w:rsidR="00603323" w:rsidRPr="00FD211F">
        <w:rPr>
          <w:sz w:val="36"/>
          <w:szCs w:val="36"/>
          <w:rtl/>
        </w:rPr>
        <w:t xml:space="preserve">، </w:t>
      </w:r>
      <w:r w:rsidRPr="00FD211F">
        <w:rPr>
          <w:sz w:val="36"/>
          <w:szCs w:val="36"/>
          <w:rtl/>
        </w:rPr>
        <w:t xml:space="preserve">وحجيّة الاستصحاب. يذكر كلّ منها في ضمن مطلب. </w:t>
      </w:r>
    </w:p>
    <w:p w14:paraId="03B3563E" w14:textId="77777777" w:rsidR="00205570" w:rsidRPr="00FD211F" w:rsidRDefault="00205570" w:rsidP="009C58C8">
      <w:pPr>
        <w:ind w:left="0" w:firstLine="227"/>
        <w:jc w:val="both"/>
        <w:rPr>
          <w:sz w:val="36"/>
          <w:szCs w:val="36"/>
          <w:rtl/>
        </w:rPr>
      </w:pPr>
      <w:r w:rsidRPr="00FD211F">
        <w:rPr>
          <w:sz w:val="36"/>
          <w:szCs w:val="36"/>
          <w:rtl/>
        </w:rPr>
        <w:t xml:space="preserve">الباب الرابع في تعارض الحجتين دلالة أو سنداً. </w:t>
      </w:r>
    </w:p>
    <w:p w14:paraId="120041EC" w14:textId="77777777" w:rsidR="00205570" w:rsidRPr="00FD211F" w:rsidRDefault="00205570" w:rsidP="009C58C8">
      <w:pPr>
        <w:ind w:left="0" w:firstLine="227"/>
        <w:jc w:val="both"/>
        <w:rPr>
          <w:sz w:val="36"/>
          <w:szCs w:val="36"/>
          <w:rtl/>
        </w:rPr>
      </w:pPr>
      <w:r w:rsidRPr="00FD211F">
        <w:rPr>
          <w:sz w:val="36"/>
          <w:szCs w:val="36"/>
          <w:rtl/>
        </w:rPr>
        <w:t>و الخاتمة في البراءة والاشتغال</w:t>
      </w:r>
      <w:r w:rsidR="00603323" w:rsidRPr="00FD211F">
        <w:rPr>
          <w:sz w:val="36"/>
          <w:szCs w:val="36"/>
          <w:rtl/>
        </w:rPr>
        <w:t xml:space="preserve">، </w:t>
      </w:r>
      <w:r w:rsidRPr="00FD211F">
        <w:rPr>
          <w:sz w:val="36"/>
          <w:szCs w:val="36"/>
          <w:rtl/>
        </w:rPr>
        <w:t>والاجتهاد والتقليد</w:t>
      </w:r>
      <w:r w:rsidR="00603323" w:rsidRPr="00FD211F">
        <w:rPr>
          <w:sz w:val="36"/>
          <w:szCs w:val="36"/>
          <w:rtl/>
        </w:rPr>
        <w:t xml:space="preserve">، </w:t>
      </w:r>
      <w:r w:rsidRPr="00FD211F">
        <w:rPr>
          <w:sz w:val="36"/>
          <w:szCs w:val="36"/>
          <w:rtl/>
        </w:rPr>
        <w:t>فان مسائلها اما بنفسها حكم شرعي مستنبط</w:t>
      </w:r>
      <w:r w:rsidR="00603323" w:rsidRPr="00FD211F">
        <w:rPr>
          <w:sz w:val="36"/>
          <w:szCs w:val="36"/>
          <w:rtl/>
        </w:rPr>
        <w:t xml:space="preserve">، </w:t>
      </w:r>
      <w:r w:rsidRPr="00FD211F">
        <w:rPr>
          <w:sz w:val="36"/>
          <w:szCs w:val="36"/>
          <w:rtl/>
        </w:rPr>
        <w:t>أو لا ينتهي إليه أصلاً</w:t>
      </w:r>
      <w:r w:rsidR="00603323" w:rsidRPr="00FD211F">
        <w:rPr>
          <w:sz w:val="36"/>
          <w:szCs w:val="36"/>
          <w:rtl/>
        </w:rPr>
        <w:t xml:space="preserve">، </w:t>
      </w:r>
      <w:r w:rsidRPr="00FD211F">
        <w:rPr>
          <w:sz w:val="36"/>
          <w:szCs w:val="36"/>
          <w:rtl/>
        </w:rPr>
        <w:t>فلذا جعلناها خارجة عن مقاصد الفن ومندرجة في خاتمتها</w:t>
      </w:r>
      <w:r w:rsidR="00603323" w:rsidRPr="00FD211F">
        <w:rPr>
          <w:sz w:val="36"/>
          <w:szCs w:val="36"/>
          <w:rtl/>
        </w:rPr>
        <w:t xml:space="preserve">، </w:t>
      </w:r>
      <w:r w:rsidRPr="00FD211F">
        <w:rPr>
          <w:sz w:val="36"/>
          <w:szCs w:val="36"/>
          <w:rtl/>
        </w:rPr>
        <w:t>حيث لم‌يبحث عنها في علم آخر مع حاجة الفقيه إليها</w:t>
      </w:r>
      <w:r w:rsidR="009C58C8" w:rsidRPr="00FD211F">
        <w:rPr>
          <w:rStyle w:val="a6"/>
          <w:sz w:val="36"/>
          <w:szCs w:val="36"/>
          <w:rtl/>
        </w:rPr>
        <w:t>(</w:t>
      </w:r>
      <w:r w:rsidR="009C58C8" w:rsidRPr="00FD211F">
        <w:rPr>
          <w:rStyle w:val="a6"/>
          <w:sz w:val="36"/>
          <w:szCs w:val="36"/>
          <w:rtl/>
        </w:rPr>
        <w:footnoteReference w:id="89"/>
      </w:r>
      <w:r w:rsidR="009C58C8" w:rsidRPr="00FD211F">
        <w:rPr>
          <w:rStyle w:val="a6"/>
          <w:sz w:val="36"/>
          <w:szCs w:val="36"/>
          <w:rtl/>
        </w:rPr>
        <w:t>)</w:t>
      </w:r>
      <w:r w:rsidR="00A771C6" w:rsidRPr="00FD211F">
        <w:rPr>
          <w:sz w:val="36"/>
          <w:szCs w:val="36"/>
          <w:rtl/>
        </w:rPr>
        <w:t>وقد</w:t>
      </w:r>
      <w:r w:rsidR="00603323" w:rsidRPr="00FD211F">
        <w:rPr>
          <w:sz w:val="36"/>
          <w:szCs w:val="36"/>
          <w:rtl/>
        </w:rPr>
        <w:t xml:space="preserve"> </w:t>
      </w:r>
      <w:r w:rsidR="00A771C6" w:rsidRPr="00FD211F">
        <w:rPr>
          <w:sz w:val="36"/>
          <w:szCs w:val="36"/>
          <w:rtl/>
        </w:rPr>
        <w:t>مر الاشكال في جعله مباحث البراءة والاشتغال خارجة عن مسائل علم الاصول</w:t>
      </w:r>
      <w:r w:rsidR="00C774D9" w:rsidRPr="00FD211F">
        <w:rPr>
          <w:sz w:val="36"/>
          <w:szCs w:val="36"/>
          <w:rtl/>
        </w:rPr>
        <w:t>.</w:t>
      </w:r>
    </w:p>
    <w:p w14:paraId="2EEDB375" w14:textId="77777777" w:rsidR="001E52A2" w:rsidRPr="00FD211F" w:rsidRDefault="00205570" w:rsidP="00F44EAD">
      <w:pPr>
        <w:ind w:left="0" w:firstLine="227"/>
        <w:jc w:val="both"/>
        <w:rPr>
          <w:sz w:val="36"/>
          <w:szCs w:val="36"/>
          <w:rtl/>
        </w:rPr>
      </w:pPr>
      <w:r w:rsidRPr="00FD211F">
        <w:rPr>
          <w:b/>
          <w:bCs/>
          <w:sz w:val="36"/>
          <w:szCs w:val="36"/>
          <w:rtl/>
        </w:rPr>
        <w:t>المنهج الثا</w:t>
      </w:r>
      <w:r w:rsidR="00A771C6" w:rsidRPr="00FD211F">
        <w:rPr>
          <w:b/>
          <w:bCs/>
          <w:sz w:val="36"/>
          <w:szCs w:val="36"/>
          <w:rtl/>
        </w:rPr>
        <w:t>لث</w:t>
      </w:r>
      <w:r w:rsidRPr="00FD211F">
        <w:rPr>
          <w:sz w:val="36"/>
          <w:szCs w:val="36"/>
          <w:rtl/>
        </w:rPr>
        <w:t>:</w:t>
      </w:r>
      <w:r w:rsidR="00F44EAD" w:rsidRPr="00FD211F">
        <w:rPr>
          <w:sz w:val="36"/>
          <w:szCs w:val="36"/>
          <w:rtl/>
        </w:rPr>
        <w:t xml:space="preserve"> </w:t>
      </w:r>
      <w:r w:rsidRPr="00FD211F">
        <w:rPr>
          <w:sz w:val="36"/>
          <w:szCs w:val="36"/>
          <w:rtl/>
        </w:rPr>
        <w:t>ت</w:t>
      </w:r>
      <w:r w:rsidR="001E52A2" w:rsidRPr="00FD211F">
        <w:rPr>
          <w:sz w:val="36"/>
          <w:szCs w:val="36"/>
          <w:rtl/>
        </w:rPr>
        <w:t>قسيم مباحث علم الاصول على اساس درجات اثباتها للواقع</w:t>
      </w:r>
      <w:r w:rsidR="00603323" w:rsidRPr="00FD211F">
        <w:rPr>
          <w:sz w:val="36"/>
          <w:szCs w:val="36"/>
          <w:rtl/>
        </w:rPr>
        <w:t xml:space="preserve">، </w:t>
      </w:r>
      <w:r w:rsidR="001E52A2" w:rsidRPr="00FD211F">
        <w:rPr>
          <w:sz w:val="36"/>
          <w:szCs w:val="36"/>
          <w:rtl/>
        </w:rPr>
        <w:t>وهذا</w:t>
      </w:r>
      <w:r w:rsidR="00FB0D77" w:rsidRPr="00FD211F">
        <w:rPr>
          <w:sz w:val="36"/>
          <w:szCs w:val="36"/>
          <w:rtl/>
        </w:rPr>
        <w:t xml:space="preserve"> </w:t>
      </w:r>
      <w:r w:rsidR="001E52A2" w:rsidRPr="00FD211F">
        <w:rPr>
          <w:sz w:val="36"/>
          <w:szCs w:val="36"/>
          <w:rtl/>
        </w:rPr>
        <w:t>ما ذهب اليه السيد الخوئي "قده"</w:t>
      </w:r>
      <w:r w:rsidR="00FB0D77" w:rsidRPr="00FD211F">
        <w:rPr>
          <w:sz w:val="36"/>
          <w:szCs w:val="36"/>
          <w:rtl/>
        </w:rPr>
        <w:t xml:space="preserve"> </w:t>
      </w:r>
      <w:r w:rsidR="001E52A2" w:rsidRPr="00FD211F">
        <w:rPr>
          <w:sz w:val="36"/>
          <w:szCs w:val="36"/>
          <w:rtl/>
        </w:rPr>
        <w:t>فقد ذكر أن قواعد</w:t>
      </w:r>
      <w:r w:rsidR="00FB0D77" w:rsidRPr="00FD211F">
        <w:rPr>
          <w:sz w:val="36"/>
          <w:szCs w:val="36"/>
          <w:rtl/>
        </w:rPr>
        <w:t xml:space="preserve"> </w:t>
      </w:r>
      <w:r w:rsidR="001E52A2" w:rsidRPr="00FD211F">
        <w:rPr>
          <w:sz w:val="36"/>
          <w:szCs w:val="36"/>
          <w:rtl/>
        </w:rPr>
        <w:t xml:space="preserve">علم الاصول على أقسام: </w:t>
      </w:r>
    </w:p>
    <w:p w14:paraId="700A563C" w14:textId="77777777" w:rsidR="00CE7E04" w:rsidRPr="00FD211F" w:rsidRDefault="00F21CD0" w:rsidP="00F44EAD">
      <w:pPr>
        <w:ind w:left="0" w:firstLine="227"/>
        <w:jc w:val="both"/>
        <w:rPr>
          <w:sz w:val="36"/>
          <w:szCs w:val="36"/>
          <w:rtl/>
        </w:rPr>
      </w:pPr>
      <w:r w:rsidRPr="00FD211F">
        <w:rPr>
          <w:sz w:val="36"/>
          <w:szCs w:val="36"/>
          <w:rtl/>
        </w:rPr>
        <w:t>1-</w:t>
      </w:r>
      <w:r w:rsidR="00CE7E04" w:rsidRPr="00FD211F">
        <w:rPr>
          <w:sz w:val="36"/>
          <w:szCs w:val="36"/>
          <w:rtl/>
        </w:rPr>
        <w:t>ما يوصل إلى معرف</w:t>
      </w:r>
      <w:r w:rsidR="00EC7EDF" w:rsidRPr="00FD211F">
        <w:rPr>
          <w:sz w:val="36"/>
          <w:szCs w:val="36"/>
          <w:rtl/>
        </w:rPr>
        <w:t xml:space="preserve">ة </w:t>
      </w:r>
      <w:r w:rsidR="00CE7E04" w:rsidRPr="00FD211F">
        <w:rPr>
          <w:sz w:val="36"/>
          <w:szCs w:val="36"/>
          <w:rtl/>
        </w:rPr>
        <w:t>الحكم الشرعي بعلم وجداني</w:t>
      </w:r>
      <w:r w:rsidR="00603323" w:rsidRPr="00FD211F">
        <w:rPr>
          <w:sz w:val="36"/>
          <w:szCs w:val="36"/>
          <w:rtl/>
        </w:rPr>
        <w:t xml:space="preserve">، </w:t>
      </w:r>
      <w:r w:rsidR="00CE7E04" w:rsidRPr="00FD211F">
        <w:rPr>
          <w:sz w:val="36"/>
          <w:szCs w:val="36"/>
          <w:rtl/>
        </w:rPr>
        <w:t>و هي مباحث الاستلزامات العقلي</w:t>
      </w:r>
      <w:r w:rsidR="00EC7EDF" w:rsidRPr="00FD211F">
        <w:rPr>
          <w:sz w:val="36"/>
          <w:szCs w:val="36"/>
          <w:rtl/>
        </w:rPr>
        <w:t>ة</w:t>
      </w:r>
      <w:r w:rsidR="00CE7E04" w:rsidRPr="00FD211F">
        <w:rPr>
          <w:sz w:val="36"/>
          <w:szCs w:val="36"/>
          <w:rtl/>
        </w:rPr>
        <w:t>: كمبحث مقدم</w:t>
      </w:r>
      <w:r w:rsidR="00EC7EDF" w:rsidRPr="00FD211F">
        <w:rPr>
          <w:sz w:val="36"/>
          <w:szCs w:val="36"/>
          <w:rtl/>
        </w:rPr>
        <w:t xml:space="preserve">ة </w:t>
      </w:r>
      <w:r w:rsidR="00CE7E04" w:rsidRPr="00FD211F">
        <w:rPr>
          <w:sz w:val="36"/>
          <w:szCs w:val="36"/>
          <w:rtl/>
        </w:rPr>
        <w:t>الواجب</w:t>
      </w:r>
      <w:r w:rsidR="00603323" w:rsidRPr="00FD211F">
        <w:rPr>
          <w:sz w:val="36"/>
          <w:szCs w:val="36"/>
          <w:rtl/>
        </w:rPr>
        <w:t xml:space="preserve">، </w:t>
      </w:r>
      <w:r w:rsidR="00EC7EDF" w:rsidRPr="00FD211F">
        <w:rPr>
          <w:sz w:val="36"/>
          <w:szCs w:val="36"/>
          <w:rtl/>
        </w:rPr>
        <w:t>و</w:t>
      </w:r>
      <w:r w:rsidR="00CE7E04" w:rsidRPr="00FD211F">
        <w:rPr>
          <w:sz w:val="36"/>
          <w:szCs w:val="36"/>
          <w:rtl/>
        </w:rPr>
        <w:t>مبحث الضد</w:t>
      </w:r>
      <w:r w:rsidR="00603323" w:rsidRPr="00FD211F">
        <w:rPr>
          <w:sz w:val="36"/>
          <w:szCs w:val="36"/>
          <w:rtl/>
        </w:rPr>
        <w:t xml:space="preserve">، </w:t>
      </w:r>
      <w:r w:rsidR="00EC7EDF" w:rsidRPr="00FD211F">
        <w:rPr>
          <w:sz w:val="36"/>
          <w:szCs w:val="36"/>
          <w:rtl/>
        </w:rPr>
        <w:t>و</w:t>
      </w:r>
      <w:r w:rsidR="00CE7E04" w:rsidRPr="00FD211F">
        <w:rPr>
          <w:sz w:val="36"/>
          <w:szCs w:val="36"/>
          <w:rtl/>
        </w:rPr>
        <w:t>مبحث اجتماع الأمر</w:t>
      </w:r>
      <w:r w:rsidR="00EC7EDF" w:rsidRPr="00FD211F">
        <w:rPr>
          <w:sz w:val="36"/>
          <w:szCs w:val="36"/>
          <w:rtl/>
        </w:rPr>
        <w:t xml:space="preserve"> و</w:t>
      </w:r>
      <w:r w:rsidR="00CE7E04" w:rsidRPr="00FD211F">
        <w:rPr>
          <w:sz w:val="36"/>
          <w:szCs w:val="36"/>
          <w:rtl/>
        </w:rPr>
        <w:t>النهي</w:t>
      </w:r>
      <w:r w:rsidR="00603323" w:rsidRPr="00FD211F">
        <w:rPr>
          <w:sz w:val="36"/>
          <w:szCs w:val="36"/>
          <w:rtl/>
        </w:rPr>
        <w:t xml:space="preserve">، </w:t>
      </w:r>
      <w:r w:rsidR="00EC7EDF" w:rsidRPr="00FD211F">
        <w:rPr>
          <w:sz w:val="36"/>
          <w:szCs w:val="36"/>
          <w:rtl/>
        </w:rPr>
        <w:t>و</w:t>
      </w:r>
      <w:r w:rsidR="00CE7E04" w:rsidRPr="00FD211F">
        <w:rPr>
          <w:sz w:val="36"/>
          <w:szCs w:val="36"/>
          <w:rtl/>
        </w:rPr>
        <w:t>مبحث النهي في العبادات</w:t>
      </w:r>
      <w:r w:rsidR="00603323" w:rsidRPr="00FD211F">
        <w:rPr>
          <w:sz w:val="36"/>
          <w:szCs w:val="36"/>
          <w:rtl/>
        </w:rPr>
        <w:t xml:space="preserve">، </w:t>
      </w:r>
      <w:r w:rsidR="00CE7E04" w:rsidRPr="00FD211F">
        <w:rPr>
          <w:sz w:val="36"/>
          <w:szCs w:val="36"/>
          <w:rtl/>
        </w:rPr>
        <w:t>فانه بعد القول بثبوت الملازم</w:t>
      </w:r>
      <w:r w:rsidR="00EC7EDF" w:rsidRPr="00FD211F">
        <w:rPr>
          <w:sz w:val="36"/>
          <w:szCs w:val="36"/>
          <w:rtl/>
        </w:rPr>
        <w:t xml:space="preserve">ة </w:t>
      </w:r>
      <w:r w:rsidR="00CE7E04" w:rsidRPr="00FD211F">
        <w:rPr>
          <w:sz w:val="36"/>
          <w:szCs w:val="36"/>
          <w:rtl/>
        </w:rPr>
        <w:t>بين وجوب شي‏ء</w:t>
      </w:r>
      <w:r w:rsidR="00EC7EDF" w:rsidRPr="00FD211F">
        <w:rPr>
          <w:sz w:val="36"/>
          <w:szCs w:val="36"/>
          <w:rtl/>
        </w:rPr>
        <w:t xml:space="preserve"> و</w:t>
      </w:r>
      <w:r w:rsidR="00CE7E04" w:rsidRPr="00FD211F">
        <w:rPr>
          <w:sz w:val="36"/>
          <w:szCs w:val="36"/>
          <w:rtl/>
        </w:rPr>
        <w:t>وجوب مقدمته -مثلا- يترتب عليه العلم الوجداني بوجوب المقدم</w:t>
      </w:r>
      <w:r w:rsidR="00EC7EDF" w:rsidRPr="00FD211F">
        <w:rPr>
          <w:sz w:val="36"/>
          <w:szCs w:val="36"/>
          <w:rtl/>
        </w:rPr>
        <w:t xml:space="preserve">ة </w:t>
      </w:r>
      <w:r w:rsidR="00CE7E04" w:rsidRPr="00FD211F">
        <w:rPr>
          <w:sz w:val="36"/>
          <w:szCs w:val="36"/>
          <w:rtl/>
        </w:rPr>
        <w:t>عند وجوب ذيها بعد ضم الصغرى إلى هذه الكبرى.</w:t>
      </w:r>
      <w:r w:rsidR="00EC7EDF" w:rsidRPr="00FD211F">
        <w:rPr>
          <w:sz w:val="36"/>
          <w:szCs w:val="36"/>
          <w:rtl/>
        </w:rPr>
        <w:t xml:space="preserve"> و</w:t>
      </w:r>
      <w:r w:rsidR="00CE7E04" w:rsidRPr="00FD211F">
        <w:rPr>
          <w:sz w:val="36"/>
          <w:szCs w:val="36"/>
          <w:rtl/>
        </w:rPr>
        <w:t>كذا يحصل العلم البت</w:t>
      </w:r>
      <w:r w:rsidR="00F44EAD" w:rsidRPr="00FD211F">
        <w:rPr>
          <w:sz w:val="36"/>
          <w:szCs w:val="36"/>
          <w:rtl/>
        </w:rPr>
        <w:t>ّ</w:t>
      </w:r>
      <w:r w:rsidR="00CE7E04" w:rsidRPr="00FD211F">
        <w:rPr>
          <w:sz w:val="36"/>
          <w:szCs w:val="36"/>
          <w:rtl/>
        </w:rPr>
        <w:t>ي بفساد الضد العبادي عند الأمر بضده الآخر</w:t>
      </w:r>
      <w:r w:rsidR="00603323" w:rsidRPr="00FD211F">
        <w:rPr>
          <w:sz w:val="36"/>
          <w:szCs w:val="36"/>
          <w:rtl/>
        </w:rPr>
        <w:t xml:space="preserve">، </w:t>
      </w:r>
      <w:r w:rsidR="00CE7E04" w:rsidRPr="00FD211F">
        <w:rPr>
          <w:sz w:val="36"/>
          <w:szCs w:val="36"/>
          <w:rtl/>
        </w:rPr>
        <w:t>إذا ضم ذلك إلى كبرى ثبوت الملازم</w:t>
      </w:r>
      <w:r w:rsidR="00EC7EDF" w:rsidRPr="00FD211F">
        <w:rPr>
          <w:sz w:val="36"/>
          <w:szCs w:val="36"/>
          <w:rtl/>
        </w:rPr>
        <w:t xml:space="preserve">ة </w:t>
      </w:r>
      <w:r w:rsidR="00CE7E04" w:rsidRPr="00FD211F">
        <w:rPr>
          <w:sz w:val="36"/>
          <w:szCs w:val="36"/>
          <w:rtl/>
        </w:rPr>
        <w:t>بين الأمر بالشي‏ء</w:t>
      </w:r>
      <w:r w:rsidR="00EC7EDF" w:rsidRPr="00FD211F">
        <w:rPr>
          <w:sz w:val="36"/>
          <w:szCs w:val="36"/>
          <w:rtl/>
        </w:rPr>
        <w:t xml:space="preserve"> و</w:t>
      </w:r>
      <w:r w:rsidR="00CE7E04" w:rsidRPr="00FD211F">
        <w:rPr>
          <w:sz w:val="36"/>
          <w:szCs w:val="36"/>
          <w:rtl/>
        </w:rPr>
        <w:t xml:space="preserve">النهي عن ضده. </w:t>
      </w:r>
    </w:p>
    <w:p w14:paraId="579B279E" w14:textId="77777777" w:rsidR="00B35DF1" w:rsidRPr="00FD211F" w:rsidRDefault="00F21CD0" w:rsidP="009C58C8">
      <w:pPr>
        <w:ind w:left="0" w:firstLine="227"/>
        <w:jc w:val="both"/>
        <w:rPr>
          <w:sz w:val="36"/>
          <w:szCs w:val="36"/>
          <w:rtl/>
        </w:rPr>
      </w:pPr>
      <w:r w:rsidRPr="00FD211F">
        <w:rPr>
          <w:sz w:val="36"/>
          <w:szCs w:val="36"/>
          <w:rtl/>
        </w:rPr>
        <w:t>2-</w:t>
      </w:r>
      <w:r w:rsidR="00CE7E04" w:rsidRPr="00FD211F">
        <w:rPr>
          <w:sz w:val="36"/>
          <w:szCs w:val="36"/>
          <w:rtl/>
        </w:rPr>
        <w:t>ما يوصل إلى الحكم الشرعي بعلم جعلي تعبدي</w:t>
      </w:r>
      <w:r w:rsidR="00603323" w:rsidRPr="00FD211F">
        <w:rPr>
          <w:sz w:val="36"/>
          <w:szCs w:val="36"/>
          <w:rtl/>
        </w:rPr>
        <w:t xml:space="preserve">، </w:t>
      </w:r>
      <w:r w:rsidR="00EC7EDF" w:rsidRPr="00FD211F">
        <w:rPr>
          <w:sz w:val="36"/>
          <w:szCs w:val="36"/>
          <w:rtl/>
        </w:rPr>
        <w:t>و</w:t>
      </w:r>
      <w:r w:rsidR="00CE7E04" w:rsidRPr="00FD211F">
        <w:rPr>
          <w:sz w:val="36"/>
          <w:szCs w:val="36"/>
          <w:rtl/>
        </w:rPr>
        <w:t>هي مباحث الحجج</w:t>
      </w:r>
      <w:r w:rsidR="00EC7EDF" w:rsidRPr="00FD211F">
        <w:rPr>
          <w:sz w:val="36"/>
          <w:szCs w:val="36"/>
          <w:rtl/>
        </w:rPr>
        <w:t xml:space="preserve"> و</w:t>
      </w:r>
      <w:r w:rsidR="00CE7E04" w:rsidRPr="00FD211F">
        <w:rPr>
          <w:sz w:val="36"/>
          <w:szCs w:val="36"/>
          <w:rtl/>
        </w:rPr>
        <w:t>الأمارات</w:t>
      </w:r>
      <w:r w:rsidR="00603323" w:rsidRPr="00FD211F">
        <w:rPr>
          <w:sz w:val="36"/>
          <w:szCs w:val="36"/>
          <w:rtl/>
        </w:rPr>
        <w:t xml:space="preserve">، </w:t>
      </w:r>
      <w:r w:rsidR="00EC7EDF" w:rsidRPr="00FD211F">
        <w:rPr>
          <w:sz w:val="36"/>
          <w:szCs w:val="36"/>
          <w:rtl/>
        </w:rPr>
        <w:t>و</w:t>
      </w:r>
      <w:r w:rsidR="00CE7E04" w:rsidRPr="00FD211F">
        <w:rPr>
          <w:sz w:val="36"/>
          <w:szCs w:val="36"/>
          <w:rtl/>
        </w:rPr>
        <w:t>هذ</w:t>
      </w:r>
      <w:r w:rsidRPr="00FD211F">
        <w:rPr>
          <w:sz w:val="36"/>
          <w:szCs w:val="36"/>
          <w:rtl/>
        </w:rPr>
        <w:t>ا</w:t>
      </w:r>
      <w:r w:rsidR="00CE7E04" w:rsidRPr="00FD211F">
        <w:rPr>
          <w:sz w:val="36"/>
          <w:szCs w:val="36"/>
          <w:rtl/>
        </w:rPr>
        <w:t xml:space="preserve"> على ضربين:</w:t>
      </w:r>
      <w:r w:rsidR="00FB0D77" w:rsidRPr="00FD211F">
        <w:rPr>
          <w:sz w:val="36"/>
          <w:szCs w:val="36"/>
          <w:rtl/>
        </w:rPr>
        <w:t xml:space="preserve"> </w:t>
      </w:r>
    </w:p>
    <w:p w14:paraId="764BC0EC" w14:textId="77777777" w:rsidR="00CE7E04" w:rsidRPr="00FD211F" w:rsidRDefault="00F21CD0" w:rsidP="009C58C8">
      <w:pPr>
        <w:ind w:left="0" w:firstLine="227"/>
        <w:jc w:val="both"/>
        <w:rPr>
          <w:sz w:val="36"/>
          <w:szCs w:val="36"/>
          <w:rtl/>
        </w:rPr>
      </w:pPr>
      <w:r w:rsidRPr="00FD211F">
        <w:rPr>
          <w:sz w:val="36"/>
          <w:szCs w:val="36"/>
          <w:rtl/>
        </w:rPr>
        <w:t>احدهما</w:t>
      </w:r>
      <w:r w:rsidR="00B35DF1" w:rsidRPr="00FD211F">
        <w:rPr>
          <w:sz w:val="36"/>
          <w:szCs w:val="36"/>
          <w:rtl/>
        </w:rPr>
        <w:t>:</w:t>
      </w:r>
      <w:r w:rsidR="00CE7E04" w:rsidRPr="00FD211F">
        <w:rPr>
          <w:sz w:val="36"/>
          <w:szCs w:val="36"/>
          <w:rtl/>
        </w:rPr>
        <w:t xml:space="preserve"> ما يكون البحث فيه عن الصغرى بعد إحراز الكبرى</w:t>
      </w:r>
      <w:r w:rsidR="00603323" w:rsidRPr="00FD211F">
        <w:rPr>
          <w:sz w:val="36"/>
          <w:szCs w:val="36"/>
          <w:rtl/>
        </w:rPr>
        <w:t xml:space="preserve">، </w:t>
      </w:r>
      <w:r w:rsidR="00EC7EDF" w:rsidRPr="00FD211F">
        <w:rPr>
          <w:sz w:val="36"/>
          <w:szCs w:val="36"/>
          <w:rtl/>
        </w:rPr>
        <w:t>و</w:t>
      </w:r>
      <w:r w:rsidR="00CE7E04" w:rsidRPr="00FD211F">
        <w:rPr>
          <w:sz w:val="36"/>
          <w:szCs w:val="36"/>
          <w:rtl/>
        </w:rPr>
        <w:t>هي مباحث الألفاظ بأجمعها</w:t>
      </w:r>
      <w:r w:rsidR="00603323" w:rsidRPr="00FD211F">
        <w:rPr>
          <w:sz w:val="36"/>
          <w:szCs w:val="36"/>
          <w:rtl/>
        </w:rPr>
        <w:t xml:space="preserve">، </w:t>
      </w:r>
      <w:r w:rsidR="00CE7E04" w:rsidRPr="00FD211F">
        <w:rPr>
          <w:sz w:val="36"/>
          <w:szCs w:val="36"/>
          <w:rtl/>
        </w:rPr>
        <w:t>فان كبرى هذه المباحث</w:t>
      </w:r>
      <w:r w:rsidR="00EC7EDF" w:rsidRPr="00FD211F">
        <w:rPr>
          <w:sz w:val="36"/>
          <w:szCs w:val="36"/>
          <w:rtl/>
        </w:rPr>
        <w:t xml:space="preserve"> و</w:t>
      </w:r>
      <w:r w:rsidR="00CE7E04" w:rsidRPr="00FD211F">
        <w:rPr>
          <w:sz w:val="36"/>
          <w:szCs w:val="36"/>
          <w:rtl/>
        </w:rPr>
        <w:t>هي مسأل</w:t>
      </w:r>
      <w:r w:rsidR="00EC7EDF" w:rsidRPr="00FD211F">
        <w:rPr>
          <w:sz w:val="36"/>
          <w:szCs w:val="36"/>
          <w:rtl/>
        </w:rPr>
        <w:t xml:space="preserve">ة </w:t>
      </w:r>
      <w:r w:rsidR="00CE7E04" w:rsidRPr="00FD211F">
        <w:rPr>
          <w:sz w:val="36"/>
          <w:szCs w:val="36"/>
          <w:rtl/>
        </w:rPr>
        <w:t>حجي</w:t>
      </w:r>
      <w:r w:rsidR="00EC7EDF" w:rsidRPr="00FD211F">
        <w:rPr>
          <w:sz w:val="36"/>
          <w:szCs w:val="36"/>
          <w:rtl/>
        </w:rPr>
        <w:t xml:space="preserve">ة </w:t>
      </w:r>
      <w:r w:rsidR="00CE7E04" w:rsidRPr="00FD211F">
        <w:rPr>
          <w:sz w:val="36"/>
          <w:szCs w:val="36"/>
          <w:rtl/>
        </w:rPr>
        <w:t>الظهور محرز</w:t>
      </w:r>
      <w:r w:rsidR="00EC7EDF" w:rsidRPr="00FD211F">
        <w:rPr>
          <w:sz w:val="36"/>
          <w:szCs w:val="36"/>
          <w:rtl/>
        </w:rPr>
        <w:t>ة و</w:t>
      </w:r>
      <w:r w:rsidR="00CE7E04" w:rsidRPr="00FD211F">
        <w:rPr>
          <w:sz w:val="36"/>
          <w:szCs w:val="36"/>
          <w:rtl/>
        </w:rPr>
        <w:t>مفروغ عنها</w:t>
      </w:r>
      <w:r w:rsidR="00EC7EDF" w:rsidRPr="00FD211F">
        <w:rPr>
          <w:sz w:val="36"/>
          <w:szCs w:val="36"/>
          <w:rtl/>
        </w:rPr>
        <w:t xml:space="preserve"> و</w:t>
      </w:r>
      <w:r w:rsidR="00CE7E04" w:rsidRPr="00FD211F">
        <w:rPr>
          <w:sz w:val="36"/>
          <w:szCs w:val="36"/>
          <w:rtl/>
        </w:rPr>
        <w:t>ثابت</w:t>
      </w:r>
      <w:r w:rsidR="00EC7EDF" w:rsidRPr="00FD211F">
        <w:rPr>
          <w:sz w:val="36"/>
          <w:szCs w:val="36"/>
          <w:rtl/>
        </w:rPr>
        <w:t xml:space="preserve">ة </w:t>
      </w:r>
      <w:r w:rsidR="00CE7E04" w:rsidRPr="00FD211F">
        <w:rPr>
          <w:sz w:val="36"/>
          <w:szCs w:val="36"/>
          <w:rtl/>
        </w:rPr>
        <w:t>من جه</w:t>
      </w:r>
      <w:r w:rsidR="00EC7EDF" w:rsidRPr="00FD211F">
        <w:rPr>
          <w:sz w:val="36"/>
          <w:szCs w:val="36"/>
          <w:rtl/>
        </w:rPr>
        <w:t xml:space="preserve">ة </w:t>
      </w:r>
      <w:r w:rsidR="00CE7E04" w:rsidRPr="00FD211F">
        <w:rPr>
          <w:sz w:val="36"/>
          <w:szCs w:val="36"/>
          <w:rtl/>
        </w:rPr>
        <w:t>بناء العقلاء</w:t>
      </w:r>
      <w:r w:rsidR="00603323" w:rsidRPr="00FD211F">
        <w:rPr>
          <w:sz w:val="36"/>
          <w:szCs w:val="36"/>
          <w:rtl/>
        </w:rPr>
        <w:t xml:space="preserve">، </w:t>
      </w:r>
      <w:r w:rsidR="00CE7E04" w:rsidRPr="00FD211F">
        <w:rPr>
          <w:sz w:val="36"/>
          <w:szCs w:val="36"/>
          <w:rtl/>
        </w:rPr>
        <w:t>و</w:t>
      </w:r>
      <w:r w:rsidR="008D7B3D" w:rsidRPr="00FD211F">
        <w:rPr>
          <w:sz w:val="36"/>
          <w:szCs w:val="36"/>
          <w:rtl/>
        </w:rPr>
        <w:t xml:space="preserve"> لم‌</w:t>
      </w:r>
      <w:r w:rsidR="00CE7E04" w:rsidRPr="00FD211F">
        <w:rPr>
          <w:sz w:val="36"/>
          <w:szCs w:val="36"/>
          <w:rtl/>
        </w:rPr>
        <w:t>يختلف فيها اثنان</w:t>
      </w:r>
      <w:r w:rsidR="00603323" w:rsidRPr="00FD211F">
        <w:rPr>
          <w:sz w:val="36"/>
          <w:szCs w:val="36"/>
          <w:rtl/>
        </w:rPr>
        <w:t xml:space="preserve">، </w:t>
      </w:r>
      <w:r w:rsidR="009977FE" w:rsidRPr="00FD211F">
        <w:rPr>
          <w:sz w:val="36"/>
          <w:szCs w:val="36"/>
          <w:rtl/>
        </w:rPr>
        <w:t>و</w:t>
      </w:r>
      <w:r w:rsidR="008D7B3D" w:rsidRPr="00FD211F">
        <w:rPr>
          <w:sz w:val="36"/>
          <w:szCs w:val="36"/>
          <w:rtl/>
        </w:rPr>
        <w:t xml:space="preserve"> لم‌</w:t>
      </w:r>
      <w:r w:rsidR="00CE7E04" w:rsidRPr="00FD211F">
        <w:rPr>
          <w:sz w:val="36"/>
          <w:szCs w:val="36"/>
          <w:rtl/>
        </w:rPr>
        <w:t>يقع البحث عنها في أي علم</w:t>
      </w:r>
      <w:r w:rsidR="00EC7EDF" w:rsidRPr="00FD211F">
        <w:rPr>
          <w:sz w:val="36"/>
          <w:szCs w:val="36"/>
          <w:rtl/>
        </w:rPr>
        <w:t xml:space="preserve"> و</w:t>
      </w:r>
      <w:r w:rsidR="00CE7E04" w:rsidRPr="00FD211F">
        <w:rPr>
          <w:sz w:val="36"/>
          <w:szCs w:val="36"/>
          <w:rtl/>
        </w:rPr>
        <w:t>من هنا قلنا انها خارج</w:t>
      </w:r>
      <w:r w:rsidR="00EC7EDF" w:rsidRPr="00FD211F">
        <w:rPr>
          <w:sz w:val="36"/>
          <w:szCs w:val="36"/>
          <w:rtl/>
        </w:rPr>
        <w:t xml:space="preserve">ة </w:t>
      </w:r>
      <w:r w:rsidR="00CE7E04" w:rsidRPr="00FD211F">
        <w:rPr>
          <w:sz w:val="36"/>
          <w:szCs w:val="36"/>
          <w:rtl/>
        </w:rPr>
        <w:t>عن المسائل الأصولي</w:t>
      </w:r>
      <w:r w:rsidR="00EC7EDF" w:rsidRPr="00FD211F">
        <w:rPr>
          <w:sz w:val="36"/>
          <w:szCs w:val="36"/>
          <w:rtl/>
        </w:rPr>
        <w:t>ة</w:t>
      </w:r>
      <w:r w:rsidR="00A61BAE" w:rsidRPr="00FD211F">
        <w:rPr>
          <w:sz w:val="36"/>
          <w:szCs w:val="36"/>
          <w:rtl/>
        </w:rPr>
        <w:t>.</w:t>
      </w:r>
      <w:r w:rsidR="00CE7E04" w:rsidRPr="00FD211F">
        <w:rPr>
          <w:sz w:val="36"/>
          <w:szCs w:val="36"/>
          <w:rtl/>
        </w:rPr>
        <w:t xml:space="preserve"> </w:t>
      </w:r>
    </w:p>
    <w:p w14:paraId="5335067C" w14:textId="77777777" w:rsidR="00CE7E04" w:rsidRPr="00FD211F" w:rsidRDefault="00CE7E04" w:rsidP="009C58C8">
      <w:pPr>
        <w:ind w:left="0" w:firstLine="227"/>
        <w:jc w:val="both"/>
        <w:rPr>
          <w:sz w:val="36"/>
          <w:szCs w:val="36"/>
          <w:rtl/>
        </w:rPr>
      </w:pPr>
      <w:r w:rsidRPr="00FD211F">
        <w:rPr>
          <w:sz w:val="36"/>
          <w:szCs w:val="36"/>
          <w:rtl/>
        </w:rPr>
        <w:t>نعم وقع الكلام في أن حجي</w:t>
      </w:r>
      <w:r w:rsidR="00EC7EDF" w:rsidRPr="00FD211F">
        <w:rPr>
          <w:sz w:val="36"/>
          <w:szCs w:val="36"/>
          <w:rtl/>
        </w:rPr>
        <w:t xml:space="preserve">ة </w:t>
      </w:r>
      <w:r w:rsidRPr="00FD211F">
        <w:rPr>
          <w:sz w:val="36"/>
          <w:szCs w:val="36"/>
          <w:rtl/>
        </w:rPr>
        <w:t>الظهور هل هي مشروط</w:t>
      </w:r>
      <w:r w:rsidR="00EC7EDF" w:rsidRPr="00FD211F">
        <w:rPr>
          <w:sz w:val="36"/>
          <w:szCs w:val="36"/>
          <w:rtl/>
        </w:rPr>
        <w:t xml:space="preserve">ة </w:t>
      </w:r>
      <w:r w:rsidRPr="00FD211F">
        <w:rPr>
          <w:sz w:val="36"/>
          <w:szCs w:val="36"/>
          <w:rtl/>
        </w:rPr>
        <w:t xml:space="preserve">بعدم الظن بالخلاف أم بالظن بالوفاق أم لا؟ </w:t>
      </w:r>
      <w:r w:rsidR="00F21CD0" w:rsidRPr="00FD211F">
        <w:rPr>
          <w:sz w:val="36"/>
          <w:szCs w:val="36"/>
          <w:rtl/>
        </w:rPr>
        <w:t xml:space="preserve">كما وقع البحث </w:t>
      </w:r>
      <w:r w:rsidRPr="00FD211F">
        <w:rPr>
          <w:sz w:val="36"/>
          <w:szCs w:val="36"/>
          <w:rtl/>
        </w:rPr>
        <w:t xml:space="preserve">في </w:t>
      </w:r>
      <w:r w:rsidR="00F21CD0" w:rsidRPr="00FD211F">
        <w:rPr>
          <w:sz w:val="36"/>
          <w:szCs w:val="36"/>
          <w:rtl/>
        </w:rPr>
        <w:t>حجي</w:t>
      </w:r>
      <w:r w:rsidR="00EC7EDF" w:rsidRPr="00FD211F">
        <w:rPr>
          <w:sz w:val="36"/>
          <w:szCs w:val="36"/>
          <w:rtl/>
        </w:rPr>
        <w:t xml:space="preserve">ة </w:t>
      </w:r>
      <w:r w:rsidRPr="00FD211F">
        <w:rPr>
          <w:sz w:val="36"/>
          <w:szCs w:val="36"/>
          <w:rtl/>
        </w:rPr>
        <w:t>ظواهر الكتاب</w:t>
      </w:r>
      <w:r w:rsidR="00603323" w:rsidRPr="00FD211F">
        <w:rPr>
          <w:sz w:val="36"/>
          <w:szCs w:val="36"/>
          <w:rtl/>
        </w:rPr>
        <w:t xml:space="preserve">، </w:t>
      </w:r>
      <w:r w:rsidR="00F21CD0" w:rsidRPr="00FD211F">
        <w:rPr>
          <w:sz w:val="36"/>
          <w:szCs w:val="36"/>
          <w:rtl/>
        </w:rPr>
        <w:t>وهكذا</w:t>
      </w:r>
      <w:r w:rsidR="00FB0D77" w:rsidRPr="00FD211F">
        <w:rPr>
          <w:sz w:val="36"/>
          <w:szCs w:val="36"/>
          <w:rtl/>
        </w:rPr>
        <w:t xml:space="preserve"> </w:t>
      </w:r>
      <w:r w:rsidR="00F21CD0" w:rsidRPr="00FD211F">
        <w:rPr>
          <w:sz w:val="36"/>
          <w:szCs w:val="36"/>
          <w:rtl/>
        </w:rPr>
        <w:t>وقع البحث</w:t>
      </w:r>
      <w:r w:rsidRPr="00FD211F">
        <w:rPr>
          <w:sz w:val="36"/>
          <w:szCs w:val="36"/>
          <w:rtl/>
        </w:rPr>
        <w:t xml:space="preserve"> في أن حجي</w:t>
      </w:r>
      <w:r w:rsidR="00EC7EDF" w:rsidRPr="00FD211F">
        <w:rPr>
          <w:sz w:val="36"/>
          <w:szCs w:val="36"/>
          <w:rtl/>
        </w:rPr>
        <w:t xml:space="preserve">ة </w:t>
      </w:r>
      <w:r w:rsidRPr="00FD211F">
        <w:rPr>
          <w:sz w:val="36"/>
          <w:szCs w:val="36"/>
          <w:rtl/>
        </w:rPr>
        <w:t xml:space="preserve">الظواهر هل تختص بمن قصد افهامه أم تعم غيره أيضاً؟. </w:t>
      </w:r>
    </w:p>
    <w:p w14:paraId="34469A7D" w14:textId="77777777" w:rsidR="00CE7E04" w:rsidRPr="00FD211F" w:rsidRDefault="00F21CD0" w:rsidP="009C58C8">
      <w:pPr>
        <w:ind w:left="0" w:firstLine="227"/>
        <w:jc w:val="both"/>
        <w:rPr>
          <w:sz w:val="36"/>
          <w:szCs w:val="36"/>
          <w:rtl/>
        </w:rPr>
      </w:pPr>
      <w:r w:rsidRPr="00FD211F">
        <w:rPr>
          <w:sz w:val="36"/>
          <w:szCs w:val="36"/>
          <w:rtl/>
        </w:rPr>
        <w:t>ثانيهما</w:t>
      </w:r>
      <w:r w:rsidR="00B35DF1" w:rsidRPr="00FD211F">
        <w:rPr>
          <w:sz w:val="36"/>
          <w:szCs w:val="36"/>
          <w:rtl/>
        </w:rPr>
        <w:t>:</w:t>
      </w:r>
      <w:r w:rsidR="00F44EAD" w:rsidRPr="00FD211F">
        <w:rPr>
          <w:sz w:val="36"/>
          <w:szCs w:val="36"/>
          <w:rtl/>
        </w:rPr>
        <w:t xml:space="preserve"> </w:t>
      </w:r>
      <w:r w:rsidR="00CE7E04" w:rsidRPr="00FD211F">
        <w:rPr>
          <w:sz w:val="36"/>
          <w:szCs w:val="36"/>
          <w:rtl/>
        </w:rPr>
        <w:t>ما يكون البحث فيه عن الكبرى كمبحث حجي</w:t>
      </w:r>
      <w:r w:rsidR="00EC7EDF" w:rsidRPr="00FD211F">
        <w:rPr>
          <w:sz w:val="36"/>
          <w:szCs w:val="36"/>
          <w:rtl/>
        </w:rPr>
        <w:t xml:space="preserve">ة </w:t>
      </w:r>
      <w:r w:rsidR="00CE7E04" w:rsidRPr="00FD211F">
        <w:rPr>
          <w:sz w:val="36"/>
          <w:szCs w:val="36"/>
          <w:rtl/>
        </w:rPr>
        <w:t>خبر الواحد</w:t>
      </w:r>
      <w:r w:rsidR="00EC7EDF" w:rsidRPr="00FD211F">
        <w:rPr>
          <w:sz w:val="36"/>
          <w:szCs w:val="36"/>
          <w:rtl/>
        </w:rPr>
        <w:t xml:space="preserve"> و</w:t>
      </w:r>
      <w:r w:rsidR="00CE7E04" w:rsidRPr="00FD211F">
        <w:rPr>
          <w:sz w:val="36"/>
          <w:szCs w:val="36"/>
          <w:rtl/>
        </w:rPr>
        <w:t>الإجماعات المنقول</w:t>
      </w:r>
      <w:r w:rsidR="00EC7EDF" w:rsidRPr="00FD211F">
        <w:rPr>
          <w:sz w:val="36"/>
          <w:szCs w:val="36"/>
          <w:rtl/>
        </w:rPr>
        <w:t>ة و</w:t>
      </w:r>
      <w:r w:rsidR="00CE7E04" w:rsidRPr="00FD211F">
        <w:rPr>
          <w:sz w:val="36"/>
          <w:szCs w:val="36"/>
          <w:rtl/>
        </w:rPr>
        <w:t>الشهرات الفتوائي</w:t>
      </w:r>
      <w:r w:rsidR="00EC7EDF" w:rsidRPr="00FD211F">
        <w:rPr>
          <w:sz w:val="36"/>
          <w:szCs w:val="36"/>
          <w:rtl/>
        </w:rPr>
        <w:t>ة و</w:t>
      </w:r>
      <w:r w:rsidR="00CE7E04" w:rsidRPr="00FD211F">
        <w:rPr>
          <w:sz w:val="36"/>
          <w:szCs w:val="36"/>
          <w:rtl/>
        </w:rPr>
        <w:t>ظواهر الكتاب.</w:t>
      </w:r>
      <w:r w:rsidR="00EC7EDF" w:rsidRPr="00FD211F">
        <w:rPr>
          <w:sz w:val="36"/>
          <w:szCs w:val="36"/>
          <w:rtl/>
        </w:rPr>
        <w:t xml:space="preserve"> و</w:t>
      </w:r>
      <w:r w:rsidR="00FB0D77" w:rsidRPr="00FD211F">
        <w:rPr>
          <w:sz w:val="36"/>
          <w:szCs w:val="36"/>
          <w:rtl/>
        </w:rPr>
        <w:t>يدخل فيه مبحث الظن الانسدادي -</w:t>
      </w:r>
      <w:r w:rsidR="00CE7E04" w:rsidRPr="00FD211F">
        <w:rPr>
          <w:sz w:val="36"/>
          <w:szCs w:val="36"/>
          <w:rtl/>
        </w:rPr>
        <w:t>بناء على الكشف-</w:t>
      </w:r>
      <w:r w:rsidR="00EC7EDF" w:rsidRPr="00FD211F">
        <w:rPr>
          <w:sz w:val="36"/>
          <w:szCs w:val="36"/>
          <w:rtl/>
        </w:rPr>
        <w:t xml:space="preserve"> و</w:t>
      </w:r>
      <w:r w:rsidR="00CE7E04" w:rsidRPr="00FD211F">
        <w:rPr>
          <w:sz w:val="36"/>
          <w:szCs w:val="36"/>
          <w:rtl/>
        </w:rPr>
        <w:t>مبحث التعادل</w:t>
      </w:r>
      <w:r w:rsidR="00EC7EDF" w:rsidRPr="00FD211F">
        <w:rPr>
          <w:sz w:val="36"/>
          <w:szCs w:val="36"/>
          <w:rtl/>
        </w:rPr>
        <w:t xml:space="preserve"> و</w:t>
      </w:r>
      <w:r w:rsidR="00CE7E04" w:rsidRPr="00FD211F">
        <w:rPr>
          <w:sz w:val="36"/>
          <w:szCs w:val="36"/>
          <w:rtl/>
        </w:rPr>
        <w:t>الترجيح</w:t>
      </w:r>
      <w:r w:rsidR="00603323" w:rsidRPr="00FD211F">
        <w:rPr>
          <w:sz w:val="36"/>
          <w:szCs w:val="36"/>
          <w:rtl/>
        </w:rPr>
        <w:t xml:space="preserve">، </w:t>
      </w:r>
      <w:r w:rsidR="00CE7E04" w:rsidRPr="00FD211F">
        <w:rPr>
          <w:sz w:val="36"/>
          <w:szCs w:val="36"/>
          <w:rtl/>
        </w:rPr>
        <w:t>فان البحث فيه في الحقيق</w:t>
      </w:r>
      <w:r w:rsidR="00EC7EDF" w:rsidRPr="00FD211F">
        <w:rPr>
          <w:sz w:val="36"/>
          <w:szCs w:val="36"/>
          <w:rtl/>
        </w:rPr>
        <w:t>ة</w:t>
      </w:r>
      <w:r w:rsidR="00603323" w:rsidRPr="00FD211F">
        <w:rPr>
          <w:sz w:val="36"/>
          <w:szCs w:val="36"/>
          <w:rtl/>
        </w:rPr>
        <w:t xml:space="preserve">، </w:t>
      </w:r>
      <w:r w:rsidR="00CE7E04" w:rsidRPr="00FD211F">
        <w:rPr>
          <w:sz w:val="36"/>
          <w:szCs w:val="36"/>
          <w:rtl/>
        </w:rPr>
        <w:t>عن حجي</w:t>
      </w:r>
      <w:r w:rsidR="00EC7EDF" w:rsidRPr="00FD211F">
        <w:rPr>
          <w:sz w:val="36"/>
          <w:szCs w:val="36"/>
          <w:rtl/>
        </w:rPr>
        <w:t xml:space="preserve">ة </w:t>
      </w:r>
      <w:r w:rsidR="00CE7E04" w:rsidRPr="00FD211F">
        <w:rPr>
          <w:sz w:val="36"/>
          <w:szCs w:val="36"/>
          <w:rtl/>
        </w:rPr>
        <w:t xml:space="preserve">أحد الخبرين المتعارضين في هذا الحال. </w:t>
      </w:r>
    </w:p>
    <w:p w14:paraId="13A18647" w14:textId="77777777" w:rsidR="00CE7E04" w:rsidRPr="00FD211F" w:rsidRDefault="00F21CD0" w:rsidP="009C58C8">
      <w:pPr>
        <w:ind w:left="0" w:firstLine="227"/>
        <w:jc w:val="both"/>
        <w:rPr>
          <w:sz w:val="36"/>
          <w:szCs w:val="36"/>
          <w:rtl/>
        </w:rPr>
      </w:pPr>
      <w:r w:rsidRPr="00FD211F">
        <w:rPr>
          <w:sz w:val="36"/>
          <w:szCs w:val="36"/>
          <w:rtl/>
        </w:rPr>
        <w:t>3-</w:t>
      </w:r>
      <w:r w:rsidR="00CE7E04" w:rsidRPr="00FD211F">
        <w:rPr>
          <w:sz w:val="36"/>
          <w:szCs w:val="36"/>
          <w:rtl/>
        </w:rPr>
        <w:t>ما يبحث عن الوظيف</w:t>
      </w:r>
      <w:r w:rsidR="00EC7EDF" w:rsidRPr="00FD211F">
        <w:rPr>
          <w:sz w:val="36"/>
          <w:szCs w:val="36"/>
          <w:rtl/>
        </w:rPr>
        <w:t xml:space="preserve">ة </w:t>
      </w:r>
      <w:r w:rsidR="00CE7E04" w:rsidRPr="00FD211F">
        <w:rPr>
          <w:sz w:val="36"/>
          <w:szCs w:val="36"/>
          <w:rtl/>
        </w:rPr>
        <w:t>العملي</w:t>
      </w:r>
      <w:r w:rsidR="00EC7EDF" w:rsidRPr="00FD211F">
        <w:rPr>
          <w:sz w:val="36"/>
          <w:szCs w:val="36"/>
          <w:rtl/>
        </w:rPr>
        <w:t xml:space="preserve">ة </w:t>
      </w:r>
      <w:r w:rsidR="00CE7E04" w:rsidRPr="00FD211F">
        <w:rPr>
          <w:sz w:val="36"/>
          <w:szCs w:val="36"/>
          <w:rtl/>
        </w:rPr>
        <w:t>الشرعي</w:t>
      </w:r>
      <w:r w:rsidR="00EC7EDF" w:rsidRPr="00FD211F">
        <w:rPr>
          <w:sz w:val="36"/>
          <w:szCs w:val="36"/>
          <w:rtl/>
        </w:rPr>
        <w:t xml:space="preserve">ة </w:t>
      </w:r>
      <w:r w:rsidR="00CE7E04" w:rsidRPr="00FD211F">
        <w:rPr>
          <w:sz w:val="36"/>
          <w:szCs w:val="36"/>
          <w:rtl/>
        </w:rPr>
        <w:t>للمكلفين في حال العجز عن معرف</w:t>
      </w:r>
      <w:r w:rsidR="00EC7EDF" w:rsidRPr="00FD211F">
        <w:rPr>
          <w:sz w:val="36"/>
          <w:szCs w:val="36"/>
          <w:rtl/>
        </w:rPr>
        <w:t xml:space="preserve">ة </w:t>
      </w:r>
      <w:r w:rsidR="00CE7E04" w:rsidRPr="00FD211F">
        <w:rPr>
          <w:sz w:val="36"/>
          <w:szCs w:val="36"/>
          <w:rtl/>
        </w:rPr>
        <w:t>الحكم الواقعي</w:t>
      </w:r>
      <w:r w:rsidR="00EC7EDF" w:rsidRPr="00FD211F">
        <w:rPr>
          <w:sz w:val="36"/>
          <w:szCs w:val="36"/>
          <w:rtl/>
        </w:rPr>
        <w:t xml:space="preserve"> و</w:t>
      </w:r>
      <w:r w:rsidR="00CE7E04" w:rsidRPr="00FD211F">
        <w:rPr>
          <w:sz w:val="36"/>
          <w:szCs w:val="36"/>
          <w:rtl/>
        </w:rPr>
        <w:t>اليأس عن الظفر بأي دليل اجتهادي</w:t>
      </w:r>
      <w:r w:rsidR="00603323" w:rsidRPr="00FD211F">
        <w:rPr>
          <w:sz w:val="36"/>
          <w:szCs w:val="36"/>
          <w:rtl/>
        </w:rPr>
        <w:t xml:space="preserve">، </w:t>
      </w:r>
      <w:r w:rsidR="00CE7E04" w:rsidRPr="00FD211F">
        <w:rPr>
          <w:sz w:val="36"/>
          <w:szCs w:val="36"/>
          <w:rtl/>
        </w:rPr>
        <w:t>من عموم أو إطلاق بعد الفحص بالمقدار الواجب</w:t>
      </w:r>
      <w:r w:rsidR="00603323" w:rsidRPr="00FD211F">
        <w:rPr>
          <w:sz w:val="36"/>
          <w:szCs w:val="36"/>
          <w:rtl/>
        </w:rPr>
        <w:t xml:space="preserve">، </w:t>
      </w:r>
      <w:r w:rsidR="00EC7EDF" w:rsidRPr="00FD211F">
        <w:rPr>
          <w:sz w:val="36"/>
          <w:szCs w:val="36"/>
          <w:rtl/>
        </w:rPr>
        <w:t>و</w:t>
      </w:r>
      <w:r w:rsidR="00CE7E04" w:rsidRPr="00FD211F">
        <w:rPr>
          <w:sz w:val="36"/>
          <w:szCs w:val="36"/>
          <w:rtl/>
        </w:rPr>
        <w:t>ما هو وظيف</w:t>
      </w:r>
      <w:r w:rsidR="00EC7EDF" w:rsidRPr="00FD211F">
        <w:rPr>
          <w:sz w:val="36"/>
          <w:szCs w:val="36"/>
          <w:rtl/>
        </w:rPr>
        <w:t xml:space="preserve">ة </w:t>
      </w:r>
      <w:r w:rsidR="00CE7E04" w:rsidRPr="00FD211F">
        <w:rPr>
          <w:sz w:val="36"/>
          <w:szCs w:val="36"/>
          <w:rtl/>
        </w:rPr>
        <w:t>العبودي</w:t>
      </w:r>
      <w:r w:rsidR="00EC7EDF" w:rsidRPr="00FD211F">
        <w:rPr>
          <w:sz w:val="36"/>
          <w:szCs w:val="36"/>
          <w:rtl/>
        </w:rPr>
        <w:t xml:space="preserve">ة </w:t>
      </w:r>
      <w:r w:rsidR="00CE7E04" w:rsidRPr="00FD211F">
        <w:rPr>
          <w:sz w:val="36"/>
          <w:szCs w:val="36"/>
          <w:rtl/>
        </w:rPr>
        <w:t>في مقام الامتثال</w:t>
      </w:r>
      <w:r w:rsidR="00EC7EDF" w:rsidRPr="00FD211F">
        <w:rPr>
          <w:sz w:val="36"/>
          <w:szCs w:val="36"/>
          <w:rtl/>
        </w:rPr>
        <w:t xml:space="preserve"> و</w:t>
      </w:r>
      <w:r w:rsidR="00CE7E04" w:rsidRPr="00FD211F">
        <w:rPr>
          <w:sz w:val="36"/>
          <w:szCs w:val="36"/>
          <w:rtl/>
        </w:rPr>
        <w:t>هي مباحث الأصول العملي</w:t>
      </w:r>
      <w:r w:rsidR="00EC7EDF" w:rsidRPr="00FD211F">
        <w:rPr>
          <w:sz w:val="36"/>
          <w:szCs w:val="36"/>
          <w:rtl/>
        </w:rPr>
        <w:t xml:space="preserve">ة </w:t>
      </w:r>
      <w:r w:rsidR="00CE7E04" w:rsidRPr="00FD211F">
        <w:rPr>
          <w:sz w:val="36"/>
          <w:szCs w:val="36"/>
          <w:rtl/>
        </w:rPr>
        <w:t>الشرعي</w:t>
      </w:r>
      <w:r w:rsidR="00EC7EDF" w:rsidRPr="00FD211F">
        <w:rPr>
          <w:sz w:val="36"/>
          <w:szCs w:val="36"/>
          <w:rtl/>
        </w:rPr>
        <w:t>ة</w:t>
      </w:r>
      <w:r w:rsidR="00603323" w:rsidRPr="00FD211F">
        <w:rPr>
          <w:sz w:val="36"/>
          <w:szCs w:val="36"/>
          <w:rtl/>
        </w:rPr>
        <w:t xml:space="preserve">، </w:t>
      </w:r>
      <w:r w:rsidR="00CE7E04" w:rsidRPr="00FD211F">
        <w:rPr>
          <w:sz w:val="36"/>
          <w:szCs w:val="36"/>
          <w:rtl/>
        </w:rPr>
        <w:t>كالاستصحاب</w:t>
      </w:r>
      <w:r w:rsidR="00EC7EDF" w:rsidRPr="00FD211F">
        <w:rPr>
          <w:sz w:val="36"/>
          <w:szCs w:val="36"/>
          <w:rtl/>
        </w:rPr>
        <w:t xml:space="preserve"> و</w:t>
      </w:r>
      <w:r w:rsidR="00CE7E04" w:rsidRPr="00FD211F">
        <w:rPr>
          <w:sz w:val="36"/>
          <w:szCs w:val="36"/>
          <w:rtl/>
        </w:rPr>
        <w:t>البراء</w:t>
      </w:r>
      <w:r w:rsidR="00EC7EDF" w:rsidRPr="00FD211F">
        <w:rPr>
          <w:sz w:val="36"/>
          <w:szCs w:val="36"/>
          <w:rtl/>
        </w:rPr>
        <w:t>ة و</w:t>
      </w:r>
      <w:r w:rsidR="00CE7E04" w:rsidRPr="00FD211F">
        <w:rPr>
          <w:sz w:val="36"/>
          <w:szCs w:val="36"/>
          <w:rtl/>
        </w:rPr>
        <w:t xml:space="preserve">الاشتغال. </w:t>
      </w:r>
    </w:p>
    <w:p w14:paraId="36A9159B" w14:textId="77777777" w:rsidR="00CE7E04" w:rsidRPr="00FD211F" w:rsidRDefault="00F21CD0" w:rsidP="009C58C8">
      <w:pPr>
        <w:ind w:left="0" w:firstLine="227"/>
        <w:jc w:val="both"/>
        <w:rPr>
          <w:sz w:val="36"/>
          <w:szCs w:val="36"/>
          <w:rtl/>
        </w:rPr>
      </w:pPr>
      <w:r w:rsidRPr="00FD211F">
        <w:rPr>
          <w:sz w:val="36"/>
          <w:szCs w:val="36"/>
          <w:rtl/>
        </w:rPr>
        <w:t>4-</w:t>
      </w:r>
      <w:r w:rsidR="00CE7E04" w:rsidRPr="00FD211F">
        <w:rPr>
          <w:sz w:val="36"/>
          <w:szCs w:val="36"/>
          <w:rtl/>
        </w:rPr>
        <w:t>ما يبحث عن الوظيف</w:t>
      </w:r>
      <w:r w:rsidR="00EC7EDF" w:rsidRPr="00FD211F">
        <w:rPr>
          <w:sz w:val="36"/>
          <w:szCs w:val="36"/>
          <w:rtl/>
        </w:rPr>
        <w:t xml:space="preserve">ة </w:t>
      </w:r>
      <w:r w:rsidR="00CE7E04" w:rsidRPr="00FD211F">
        <w:rPr>
          <w:sz w:val="36"/>
          <w:szCs w:val="36"/>
          <w:rtl/>
        </w:rPr>
        <w:t>العملي</w:t>
      </w:r>
      <w:r w:rsidR="00EC7EDF" w:rsidRPr="00FD211F">
        <w:rPr>
          <w:sz w:val="36"/>
          <w:szCs w:val="36"/>
          <w:rtl/>
        </w:rPr>
        <w:t xml:space="preserve">ة </w:t>
      </w:r>
      <w:r w:rsidR="00CE7E04" w:rsidRPr="00FD211F">
        <w:rPr>
          <w:sz w:val="36"/>
          <w:szCs w:val="36"/>
          <w:rtl/>
        </w:rPr>
        <w:t>العقلي</w:t>
      </w:r>
      <w:r w:rsidR="00EC7EDF" w:rsidRPr="00FD211F">
        <w:rPr>
          <w:sz w:val="36"/>
          <w:szCs w:val="36"/>
          <w:rtl/>
        </w:rPr>
        <w:t xml:space="preserve">ة </w:t>
      </w:r>
      <w:r w:rsidR="00CE7E04" w:rsidRPr="00FD211F">
        <w:rPr>
          <w:sz w:val="36"/>
          <w:szCs w:val="36"/>
          <w:rtl/>
        </w:rPr>
        <w:t>في مرحل</w:t>
      </w:r>
      <w:r w:rsidR="00EC7EDF" w:rsidRPr="00FD211F">
        <w:rPr>
          <w:sz w:val="36"/>
          <w:szCs w:val="36"/>
          <w:rtl/>
        </w:rPr>
        <w:t xml:space="preserve">ة </w:t>
      </w:r>
      <w:r w:rsidR="00CE7E04" w:rsidRPr="00FD211F">
        <w:rPr>
          <w:sz w:val="36"/>
          <w:szCs w:val="36"/>
          <w:rtl/>
        </w:rPr>
        <w:t>الامتثال في فرض فقدان ما يؤدى إلى الوظيف</w:t>
      </w:r>
      <w:r w:rsidR="00EC7EDF" w:rsidRPr="00FD211F">
        <w:rPr>
          <w:sz w:val="36"/>
          <w:szCs w:val="36"/>
          <w:rtl/>
        </w:rPr>
        <w:t xml:space="preserve">ة </w:t>
      </w:r>
      <w:r w:rsidR="00CE7E04" w:rsidRPr="00FD211F">
        <w:rPr>
          <w:sz w:val="36"/>
          <w:szCs w:val="36"/>
          <w:rtl/>
        </w:rPr>
        <w:t>الشرعي</w:t>
      </w:r>
      <w:r w:rsidR="00EC7EDF" w:rsidRPr="00FD211F">
        <w:rPr>
          <w:sz w:val="36"/>
          <w:szCs w:val="36"/>
          <w:rtl/>
        </w:rPr>
        <w:t>ة</w:t>
      </w:r>
      <w:r w:rsidR="00603323" w:rsidRPr="00FD211F">
        <w:rPr>
          <w:sz w:val="36"/>
          <w:szCs w:val="36"/>
          <w:rtl/>
        </w:rPr>
        <w:t xml:space="preserve">، </w:t>
      </w:r>
      <w:r w:rsidR="00CE7E04" w:rsidRPr="00FD211F">
        <w:rPr>
          <w:sz w:val="36"/>
          <w:szCs w:val="36"/>
          <w:rtl/>
        </w:rPr>
        <w:t>من دليل اجتهادي أو أصل عملي شرعي</w:t>
      </w:r>
      <w:r w:rsidR="00EC7EDF" w:rsidRPr="00FD211F">
        <w:rPr>
          <w:sz w:val="36"/>
          <w:szCs w:val="36"/>
          <w:rtl/>
        </w:rPr>
        <w:t xml:space="preserve"> و</w:t>
      </w:r>
      <w:r w:rsidR="00CE7E04" w:rsidRPr="00FD211F">
        <w:rPr>
          <w:sz w:val="36"/>
          <w:szCs w:val="36"/>
          <w:rtl/>
        </w:rPr>
        <w:t>هي مباحث الأصول العملي</w:t>
      </w:r>
      <w:r w:rsidR="00EC7EDF" w:rsidRPr="00FD211F">
        <w:rPr>
          <w:sz w:val="36"/>
          <w:szCs w:val="36"/>
          <w:rtl/>
        </w:rPr>
        <w:t xml:space="preserve">ة </w:t>
      </w:r>
      <w:r w:rsidR="00CE7E04" w:rsidRPr="00FD211F">
        <w:rPr>
          <w:sz w:val="36"/>
          <w:szCs w:val="36"/>
          <w:rtl/>
        </w:rPr>
        <w:t>العقلي</w:t>
      </w:r>
      <w:r w:rsidR="00EC7EDF" w:rsidRPr="00FD211F">
        <w:rPr>
          <w:sz w:val="36"/>
          <w:szCs w:val="36"/>
          <w:rtl/>
        </w:rPr>
        <w:t xml:space="preserve">ة </w:t>
      </w:r>
      <w:r w:rsidR="00CE7E04" w:rsidRPr="00FD211F">
        <w:rPr>
          <w:sz w:val="36"/>
          <w:szCs w:val="36"/>
          <w:rtl/>
        </w:rPr>
        <w:t>كالبراء</w:t>
      </w:r>
      <w:r w:rsidR="00EC7EDF" w:rsidRPr="00FD211F">
        <w:rPr>
          <w:sz w:val="36"/>
          <w:szCs w:val="36"/>
          <w:rtl/>
        </w:rPr>
        <w:t>ة و</w:t>
      </w:r>
      <w:r w:rsidR="00CE7E04" w:rsidRPr="00FD211F">
        <w:rPr>
          <w:sz w:val="36"/>
          <w:szCs w:val="36"/>
          <w:rtl/>
        </w:rPr>
        <w:t>الاحتياط العقليين</w:t>
      </w:r>
      <w:r w:rsidR="00603323" w:rsidRPr="00FD211F">
        <w:rPr>
          <w:sz w:val="36"/>
          <w:szCs w:val="36"/>
          <w:rtl/>
        </w:rPr>
        <w:t xml:space="preserve">، </w:t>
      </w:r>
      <w:r w:rsidR="00CE7E04" w:rsidRPr="00FD211F">
        <w:rPr>
          <w:sz w:val="36"/>
          <w:szCs w:val="36"/>
          <w:rtl/>
        </w:rPr>
        <w:t>و يدخل فيه مبحث الظن الانسدادي</w:t>
      </w:r>
      <w:r w:rsidR="00B253CE" w:rsidRPr="00FD211F">
        <w:rPr>
          <w:sz w:val="36"/>
          <w:szCs w:val="36"/>
          <w:rtl/>
        </w:rPr>
        <w:t xml:space="preserve"> </w:t>
      </w:r>
      <w:r w:rsidR="00CE7E04" w:rsidRPr="00FD211F">
        <w:rPr>
          <w:sz w:val="36"/>
          <w:szCs w:val="36"/>
          <w:rtl/>
        </w:rPr>
        <w:t>بناء على الحكوم</w:t>
      </w:r>
      <w:r w:rsidR="00EC7EDF" w:rsidRPr="00FD211F">
        <w:rPr>
          <w:sz w:val="36"/>
          <w:szCs w:val="36"/>
          <w:rtl/>
        </w:rPr>
        <w:t>ة</w:t>
      </w:r>
      <w:r w:rsidR="00A61BAE" w:rsidRPr="00FD211F">
        <w:rPr>
          <w:sz w:val="36"/>
          <w:szCs w:val="36"/>
          <w:rtl/>
        </w:rPr>
        <w:t>.</w:t>
      </w:r>
      <w:r w:rsidR="00CE7E04" w:rsidRPr="00FD211F">
        <w:rPr>
          <w:sz w:val="36"/>
          <w:szCs w:val="36"/>
          <w:rtl/>
        </w:rPr>
        <w:t xml:space="preserve"> </w:t>
      </w:r>
    </w:p>
    <w:p w14:paraId="0FAE9D8C" w14:textId="77777777" w:rsidR="000F7004" w:rsidRPr="00FD211F" w:rsidRDefault="00CE7E04" w:rsidP="009C58C8">
      <w:pPr>
        <w:ind w:left="0" w:firstLine="227"/>
        <w:jc w:val="both"/>
        <w:rPr>
          <w:sz w:val="36"/>
          <w:szCs w:val="36"/>
          <w:rtl/>
        </w:rPr>
      </w:pPr>
      <w:r w:rsidRPr="00FD211F">
        <w:rPr>
          <w:sz w:val="36"/>
          <w:szCs w:val="36"/>
          <w:rtl/>
        </w:rPr>
        <w:t>فهذا كله فهرس المسائل الأصولي</w:t>
      </w:r>
      <w:r w:rsidR="00EC7EDF" w:rsidRPr="00FD211F">
        <w:rPr>
          <w:sz w:val="36"/>
          <w:szCs w:val="36"/>
          <w:rtl/>
        </w:rPr>
        <w:t>ة و</w:t>
      </w:r>
      <w:r w:rsidRPr="00FD211F">
        <w:rPr>
          <w:sz w:val="36"/>
          <w:szCs w:val="36"/>
          <w:rtl/>
        </w:rPr>
        <w:t>ترتيبها الطبيعي</w:t>
      </w:r>
      <w:r w:rsidR="009C58C8" w:rsidRPr="00FD211F">
        <w:rPr>
          <w:rStyle w:val="a6"/>
          <w:sz w:val="36"/>
          <w:szCs w:val="36"/>
          <w:rtl/>
        </w:rPr>
        <w:t>(</w:t>
      </w:r>
      <w:r w:rsidR="009C58C8" w:rsidRPr="00FD211F">
        <w:rPr>
          <w:rStyle w:val="a6"/>
          <w:sz w:val="36"/>
          <w:szCs w:val="36"/>
          <w:rtl/>
        </w:rPr>
        <w:footnoteReference w:id="90"/>
      </w:r>
      <w:r w:rsidR="009C58C8" w:rsidRPr="00FD211F">
        <w:rPr>
          <w:rStyle w:val="a6"/>
          <w:sz w:val="36"/>
          <w:szCs w:val="36"/>
          <w:rtl/>
        </w:rPr>
        <w:t>)</w:t>
      </w:r>
      <w:r w:rsidRPr="00FD211F">
        <w:rPr>
          <w:sz w:val="36"/>
          <w:szCs w:val="36"/>
          <w:rtl/>
        </w:rPr>
        <w:t>.</w:t>
      </w:r>
      <w:r w:rsidR="000F7004" w:rsidRPr="00FD211F">
        <w:rPr>
          <w:sz w:val="36"/>
          <w:szCs w:val="36"/>
          <w:rtl/>
        </w:rPr>
        <w:t xml:space="preserve"> </w:t>
      </w:r>
    </w:p>
    <w:p w14:paraId="38DECD37" w14:textId="77777777" w:rsidR="00407746" w:rsidRPr="00FD211F" w:rsidRDefault="000F7004" w:rsidP="009C58C8">
      <w:pPr>
        <w:ind w:left="0" w:firstLine="227"/>
        <w:jc w:val="both"/>
        <w:rPr>
          <w:sz w:val="36"/>
          <w:szCs w:val="36"/>
          <w:rtl/>
        </w:rPr>
      </w:pPr>
      <w:r w:rsidRPr="00FD211F">
        <w:rPr>
          <w:sz w:val="36"/>
          <w:szCs w:val="36"/>
          <w:rtl/>
        </w:rPr>
        <w:t xml:space="preserve">واورد عليه في البحوث أن هذا التقسيم ان كان مجرد اختيار </w:t>
      </w:r>
      <w:r w:rsidR="00407746" w:rsidRPr="00FD211F">
        <w:rPr>
          <w:sz w:val="36"/>
          <w:szCs w:val="36"/>
          <w:rtl/>
        </w:rPr>
        <w:t>من دون ا</w:t>
      </w:r>
      <w:r w:rsidR="00FB0D77" w:rsidRPr="00FD211F">
        <w:rPr>
          <w:sz w:val="36"/>
          <w:szCs w:val="36"/>
          <w:rtl/>
        </w:rPr>
        <w:t>ب</w:t>
      </w:r>
      <w:r w:rsidR="00407746" w:rsidRPr="00FD211F">
        <w:rPr>
          <w:sz w:val="36"/>
          <w:szCs w:val="36"/>
          <w:rtl/>
        </w:rPr>
        <w:t>تناءه على نكت</w:t>
      </w:r>
      <w:r w:rsidR="00EC7EDF" w:rsidRPr="00FD211F">
        <w:rPr>
          <w:sz w:val="36"/>
          <w:szCs w:val="36"/>
          <w:rtl/>
        </w:rPr>
        <w:t xml:space="preserve">ة </w:t>
      </w:r>
      <w:r w:rsidR="00407746" w:rsidRPr="00FD211F">
        <w:rPr>
          <w:sz w:val="36"/>
          <w:szCs w:val="36"/>
          <w:rtl/>
        </w:rPr>
        <w:t>فني</w:t>
      </w:r>
      <w:r w:rsidR="00EC7EDF" w:rsidRPr="00FD211F">
        <w:rPr>
          <w:sz w:val="36"/>
          <w:szCs w:val="36"/>
          <w:rtl/>
        </w:rPr>
        <w:t xml:space="preserve">ة </w:t>
      </w:r>
      <w:r w:rsidRPr="00FD211F">
        <w:rPr>
          <w:sz w:val="36"/>
          <w:szCs w:val="36"/>
          <w:rtl/>
        </w:rPr>
        <w:t>فلاكلام</w:t>
      </w:r>
      <w:r w:rsidR="00EC7EDF" w:rsidRPr="00FD211F">
        <w:rPr>
          <w:sz w:val="36"/>
          <w:szCs w:val="36"/>
          <w:rtl/>
        </w:rPr>
        <w:t>.</w:t>
      </w:r>
    </w:p>
    <w:p w14:paraId="56738A26" w14:textId="77777777" w:rsidR="008B0BB3" w:rsidRPr="00FD211F" w:rsidRDefault="000F7004" w:rsidP="009C58C8">
      <w:pPr>
        <w:ind w:left="0" w:firstLine="227"/>
        <w:jc w:val="both"/>
        <w:rPr>
          <w:sz w:val="36"/>
          <w:szCs w:val="36"/>
          <w:rtl/>
        </w:rPr>
      </w:pPr>
      <w:r w:rsidRPr="00FD211F">
        <w:rPr>
          <w:sz w:val="36"/>
          <w:szCs w:val="36"/>
          <w:rtl/>
        </w:rPr>
        <w:t xml:space="preserve">واما ان كان </w:t>
      </w:r>
      <w:r w:rsidR="00160D85" w:rsidRPr="00FD211F">
        <w:rPr>
          <w:sz w:val="36"/>
          <w:szCs w:val="36"/>
          <w:rtl/>
        </w:rPr>
        <w:t>على اساس نكت</w:t>
      </w:r>
      <w:r w:rsidR="00EC7EDF" w:rsidRPr="00FD211F">
        <w:rPr>
          <w:sz w:val="36"/>
          <w:szCs w:val="36"/>
          <w:rtl/>
        </w:rPr>
        <w:t xml:space="preserve">ة </w:t>
      </w:r>
      <w:r w:rsidR="00160D85" w:rsidRPr="00FD211F">
        <w:rPr>
          <w:sz w:val="36"/>
          <w:szCs w:val="36"/>
          <w:rtl/>
        </w:rPr>
        <w:t>فني</w:t>
      </w:r>
      <w:r w:rsidR="00EC7EDF" w:rsidRPr="00FD211F">
        <w:rPr>
          <w:sz w:val="36"/>
          <w:szCs w:val="36"/>
          <w:rtl/>
        </w:rPr>
        <w:t xml:space="preserve">ة </w:t>
      </w:r>
      <w:r w:rsidR="008B0BB3" w:rsidRPr="00FD211F">
        <w:rPr>
          <w:sz w:val="36"/>
          <w:szCs w:val="36"/>
          <w:rtl/>
        </w:rPr>
        <w:t>فالنكت</w:t>
      </w:r>
      <w:r w:rsidR="00EC7EDF" w:rsidRPr="00FD211F">
        <w:rPr>
          <w:sz w:val="36"/>
          <w:szCs w:val="36"/>
          <w:rtl/>
        </w:rPr>
        <w:t xml:space="preserve">ة </w:t>
      </w:r>
      <w:r w:rsidR="008B0BB3" w:rsidRPr="00FD211F">
        <w:rPr>
          <w:sz w:val="36"/>
          <w:szCs w:val="36"/>
          <w:rtl/>
        </w:rPr>
        <w:t>المحتمل</w:t>
      </w:r>
      <w:r w:rsidR="00EC7EDF" w:rsidRPr="00FD211F">
        <w:rPr>
          <w:sz w:val="36"/>
          <w:szCs w:val="36"/>
          <w:rtl/>
        </w:rPr>
        <w:t xml:space="preserve">ة </w:t>
      </w:r>
      <w:r w:rsidR="008B0BB3" w:rsidRPr="00FD211F">
        <w:rPr>
          <w:sz w:val="36"/>
          <w:szCs w:val="36"/>
          <w:rtl/>
        </w:rPr>
        <w:t xml:space="preserve">احد </w:t>
      </w:r>
      <w:r w:rsidR="00FB0D77" w:rsidRPr="00FD211F">
        <w:rPr>
          <w:sz w:val="36"/>
          <w:szCs w:val="36"/>
          <w:rtl/>
        </w:rPr>
        <w:t>أ</w:t>
      </w:r>
      <w:r w:rsidR="008B0BB3" w:rsidRPr="00FD211F">
        <w:rPr>
          <w:sz w:val="36"/>
          <w:szCs w:val="36"/>
          <w:rtl/>
        </w:rPr>
        <w:t>مرين</w:t>
      </w:r>
      <w:r w:rsidR="00EC7EDF" w:rsidRPr="00FD211F">
        <w:rPr>
          <w:sz w:val="36"/>
          <w:szCs w:val="36"/>
          <w:rtl/>
        </w:rPr>
        <w:t>.</w:t>
      </w:r>
    </w:p>
    <w:p w14:paraId="2987C579" w14:textId="77777777" w:rsidR="00407746" w:rsidRPr="00FD211F" w:rsidRDefault="008B0BB3" w:rsidP="009C58C8">
      <w:pPr>
        <w:ind w:left="0" w:firstLine="227"/>
        <w:jc w:val="both"/>
        <w:rPr>
          <w:sz w:val="36"/>
          <w:szCs w:val="36"/>
          <w:rtl/>
        </w:rPr>
      </w:pPr>
      <w:r w:rsidRPr="00FD211F">
        <w:rPr>
          <w:sz w:val="36"/>
          <w:szCs w:val="36"/>
          <w:rtl/>
        </w:rPr>
        <w:t xml:space="preserve">1- </w:t>
      </w:r>
      <w:r w:rsidR="00160D85" w:rsidRPr="00FD211F">
        <w:rPr>
          <w:sz w:val="36"/>
          <w:szCs w:val="36"/>
          <w:rtl/>
        </w:rPr>
        <w:t xml:space="preserve">ان </w:t>
      </w:r>
      <w:r w:rsidRPr="00FD211F">
        <w:rPr>
          <w:sz w:val="36"/>
          <w:szCs w:val="36"/>
          <w:rtl/>
        </w:rPr>
        <w:t>تكو</w:t>
      </w:r>
      <w:r w:rsidR="00160D85" w:rsidRPr="00FD211F">
        <w:rPr>
          <w:sz w:val="36"/>
          <w:szCs w:val="36"/>
          <w:rtl/>
        </w:rPr>
        <w:t>ن</w:t>
      </w:r>
      <w:r w:rsidR="00407746" w:rsidRPr="00FD211F">
        <w:rPr>
          <w:sz w:val="36"/>
          <w:szCs w:val="36"/>
          <w:rtl/>
        </w:rPr>
        <w:t xml:space="preserve"> النكت</w:t>
      </w:r>
      <w:r w:rsidR="00EC7EDF" w:rsidRPr="00FD211F">
        <w:rPr>
          <w:sz w:val="36"/>
          <w:szCs w:val="36"/>
          <w:rtl/>
        </w:rPr>
        <w:t xml:space="preserve">ة </w:t>
      </w:r>
      <w:r w:rsidR="00160D85" w:rsidRPr="00FD211F">
        <w:rPr>
          <w:sz w:val="36"/>
          <w:szCs w:val="36"/>
          <w:rtl/>
        </w:rPr>
        <w:t>هي</w:t>
      </w:r>
      <w:r w:rsidR="00407746" w:rsidRPr="00FD211F">
        <w:rPr>
          <w:sz w:val="36"/>
          <w:szCs w:val="36"/>
          <w:rtl/>
        </w:rPr>
        <w:t xml:space="preserve"> الترتيب</w:t>
      </w:r>
      <w:r w:rsidR="00EC7EDF" w:rsidRPr="00FD211F">
        <w:rPr>
          <w:sz w:val="36"/>
          <w:szCs w:val="36"/>
          <w:rtl/>
        </w:rPr>
        <w:t xml:space="preserve"> و</w:t>
      </w:r>
      <w:r w:rsidR="00160D85" w:rsidRPr="00FD211F">
        <w:rPr>
          <w:sz w:val="36"/>
          <w:szCs w:val="36"/>
          <w:rtl/>
        </w:rPr>
        <w:t>الطولي</w:t>
      </w:r>
      <w:r w:rsidR="00EC7EDF" w:rsidRPr="00FD211F">
        <w:rPr>
          <w:sz w:val="36"/>
          <w:szCs w:val="36"/>
          <w:rtl/>
        </w:rPr>
        <w:t xml:space="preserve">ة </w:t>
      </w:r>
      <w:r w:rsidR="00160D85" w:rsidRPr="00FD211F">
        <w:rPr>
          <w:sz w:val="36"/>
          <w:szCs w:val="36"/>
          <w:rtl/>
        </w:rPr>
        <w:t>بين تلك الاقسام في عملي</w:t>
      </w:r>
      <w:r w:rsidR="00EC7EDF" w:rsidRPr="00FD211F">
        <w:rPr>
          <w:sz w:val="36"/>
          <w:szCs w:val="36"/>
          <w:rtl/>
        </w:rPr>
        <w:t xml:space="preserve">ة </w:t>
      </w:r>
      <w:r w:rsidR="00160D85" w:rsidRPr="00FD211F">
        <w:rPr>
          <w:sz w:val="36"/>
          <w:szCs w:val="36"/>
          <w:rtl/>
        </w:rPr>
        <w:t>الا</w:t>
      </w:r>
      <w:r w:rsidR="00407746" w:rsidRPr="00FD211F">
        <w:rPr>
          <w:sz w:val="36"/>
          <w:szCs w:val="36"/>
          <w:rtl/>
        </w:rPr>
        <w:t>ستنباط بحيث لايمكن الاستناد الى</w:t>
      </w:r>
      <w:r w:rsidR="00160D85" w:rsidRPr="00FD211F">
        <w:rPr>
          <w:sz w:val="36"/>
          <w:szCs w:val="36"/>
          <w:rtl/>
        </w:rPr>
        <w:t xml:space="preserve"> قسمٍ الا</w:t>
      </w:r>
      <w:r w:rsidR="00407746" w:rsidRPr="00FD211F">
        <w:rPr>
          <w:sz w:val="36"/>
          <w:szCs w:val="36"/>
          <w:rtl/>
        </w:rPr>
        <w:t>ّ</w:t>
      </w:r>
      <w:r w:rsidR="00FB0D77" w:rsidRPr="00FD211F">
        <w:rPr>
          <w:sz w:val="36"/>
          <w:szCs w:val="36"/>
          <w:rtl/>
        </w:rPr>
        <w:t xml:space="preserve"> </w:t>
      </w:r>
      <w:r w:rsidR="00160D85" w:rsidRPr="00FD211F">
        <w:rPr>
          <w:sz w:val="36"/>
          <w:szCs w:val="36"/>
          <w:rtl/>
        </w:rPr>
        <w:t>بعد فقد القسم الساب</w:t>
      </w:r>
      <w:r w:rsidR="00407746" w:rsidRPr="00FD211F">
        <w:rPr>
          <w:sz w:val="36"/>
          <w:szCs w:val="36"/>
          <w:rtl/>
        </w:rPr>
        <w:t>ق</w:t>
      </w:r>
      <w:r w:rsidR="00EC7EDF" w:rsidRPr="00FD211F">
        <w:rPr>
          <w:sz w:val="36"/>
          <w:szCs w:val="36"/>
          <w:rtl/>
        </w:rPr>
        <w:t>.</w:t>
      </w:r>
    </w:p>
    <w:p w14:paraId="58AF7B7D" w14:textId="77777777" w:rsidR="001E52A2" w:rsidRPr="00FD211F" w:rsidRDefault="00407746" w:rsidP="00F44EAD">
      <w:pPr>
        <w:ind w:left="0" w:firstLine="227"/>
        <w:jc w:val="both"/>
        <w:rPr>
          <w:sz w:val="36"/>
          <w:szCs w:val="36"/>
          <w:rtl/>
        </w:rPr>
      </w:pPr>
      <w:r w:rsidRPr="00FD211F">
        <w:rPr>
          <w:sz w:val="36"/>
          <w:szCs w:val="36"/>
          <w:rtl/>
        </w:rPr>
        <w:t>فيرد</w:t>
      </w:r>
      <w:r w:rsidR="00160D85" w:rsidRPr="00FD211F">
        <w:rPr>
          <w:sz w:val="36"/>
          <w:szCs w:val="36"/>
          <w:rtl/>
        </w:rPr>
        <w:t>عليه</w:t>
      </w:r>
      <w:r w:rsidR="001E52A2" w:rsidRPr="00FD211F">
        <w:rPr>
          <w:sz w:val="36"/>
          <w:szCs w:val="36"/>
          <w:rtl/>
        </w:rPr>
        <w:t xml:space="preserve"> </w:t>
      </w:r>
      <w:r w:rsidR="001E52A2" w:rsidRPr="00FD211F">
        <w:rPr>
          <w:b/>
          <w:bCs/>
          <w:sz w:val="36"/>
          <w:szCs w:val="36"/>
          <w:rtl/>
        </w:rPr>
        <w:t>أولا</w:t>
      </w:r>
      <w:r w:rsidR="001E52A2" w:rsidRPr="00FD211F">
        <w:rPr>
          <w:sz w:val="36"/>
          <w:szCs w:val="36"/>
          <w:rtl/>
        </w:rPr>
        <w:t xml:space="preserve">: </w:t>
      </w:r>
      <w:r w:rsidRPr="00FD211F">
        <w:rPr>
          <w:sz w:val="36"/>
          <w:szCs w:val="36"/>
          <w:rtl/>
        </w:rPr>
        <w:t xml:space="preserve">أنه لا </w:t>
      </w:r>
      <w:r w:rsidR="001E52A2" w:rsidRPr="00FD211F">
        <w:rPr>
          <w:sz w:val="36"/>
          <w:szCs w:val="36"/>
          <w:rtl/>
        </w:rPr>
        <w:t>طولي</w:t>
      </w:r>
      <w:r w:rsidR="00EC7EDF" w:rsidRPr="00FD211F">
        <w:rPr>
          <w:sz w:val="36"/>
          <w:szCs w:val="36"/>
          <w:rtl/>
        </w:rPr>
        <w:t xml:space="preserve">ة </w:t>
      </w:r>
      <w:r w:rsidR="001E52A2" w:rsidRPr="00FD211F">
        <w:rPr>
          <w:sz w:val="36"/>
          <w:szCs w:val="36"/>
          <w:rtl/>
        </w:rPr>
        <w:t>بين القسمين الأولين</w:t>
      </w:r>
      <w:r w:rsidRPr="00FD211F">
        <w:rPr>
          <w:sz w:val="36"/>
          <w:szCs w:val="36"/>
          <w:rtl/>
        </w:rPr>
        <w:t xml:space="preserve"> </w:t>
      </w:r>
      <w:r w:rsidR="00160D85" w:rsidRPr="00FD211F">
        <w:rPr>
          <w:sz w:val="36"/>
          <w:szCs w:val="36"/>
          <w:rtl/>
        </w:rPr>
        <w:t>حيث يجوز الاستناد الى العلم التعبدي ولو مع التمكن من تحصيل العلم الوجداني</w:t>
      </w:r>
      <w:r w:rsidR="00F44EAD" w:rsidRPr="00FD211F">
        <w:rPr>
          <w:sz w:val="36"/>
          <w:szCs w:val="36"/>
          <w:rtl/>
        </w:rPr>
        <w:t>.</w:t>
      </w:r>
      <w:r w:rsidR="00603323" w:rsidRPr="00FD211F">
        <w:rPr>
          <w:sz w:val="36"/>
          <w:szCs w:val="36"/>
          <w:rtl/>
        </w:rPr>
        <w:t xml:space="preserve"> </w:t>
      </w:r>
    </w:p>
    <w:p w14:paraId="5F213DA7" w14:textId="77777777" w:rsidR="005949A8" w:rsidRPr="00FD211F" w:rsidRDefault="00160D85" w:rsidP="009C58C8">
      <w:pPr>
        <w:ind w:left="0" w:firstLine="227"/>
        <w:jc w:val="both"/>
        <w:rPr>
          <w:sz w:val="36"/>
          <w:szCs w:val="36"/>
          <w:rtl/>
        </w:rPr>
      </w:pPr>
      <w:r w:rsidRPr="00FD211F">
        <w:rPr>
          <w:b/>
          <w:bCs/>
          <w:sz w:val="36"/>
          <w:szCs w:val="36"/>
          <w:rtl/>
        </w:rPr>
        <w:t>و</w:t>
      </w:r>
      <w:r w:rsidR="001E52A2" w:rsidRPr="00FD211F">
        <w:rPr>
          <w:b/>
          <w:bCs/>
          <w:sz w:val="36"/>
          <w:szCs w:val="36"/>
          <w:rtl/>
        </w:rPr>
        <w:t>ثانيا</w:t>
      </w:r>
      <w:r w:rsidRPr="00FD211F">
        <w:rPr>
          <w:sz w:val="36"/>
          <w:szCs w:val="36"/>
          <w:rtl/>
        </w:rPr>
        <w:t xml:space="preserve">: </w:t>
      </w:r>
      <w:r w:rsidR="00407746" w:rsidRPr="00FD211F">
        <w:rPr>
          <w:sz w:val="36"/>
          <w:szCs w:val="36"/>
          <w:rtl/>
        </w:rPr>
        <w:t xml:space="preserve">انه توجد </w:t>
      </w:r>
      <w:r w:rsidRPr="00FD211F">
        <w:rPr>
          <w:sz w:val="36"/>
          <w:szCs w:val="36"/>
          <w:rtl/>
        </w:rPr>
        <w:t>طولي</w:t>
      </w:r>
      <w:r w:rsidR="00EC7EDF" w:rsidRPr="00FD211F">
        <w:rPr>
          <w:sz w:val="36"/>
          <w:szCs w:val="36"/>
          <w:rtl/>
        </w:rPr>
        <w:t xml:space="preserve">ة </w:t>
      </w:r>
      <w:r w:rsidRPr="00FD211F">
        <w:rPr>
          <w:sz w:val="36"/>
          <w:szCs w:val="36"/>
          <w:rtl/>
        </w:rPr>
        <w:t>داخل</w:t>
      </w:r>
      <w:r w:rsidR="00407746" w:rsidRPr="00FD211F">
        <w:rPr>
          <w:sz w:val="36"/>
          <w:szCs w:val="36"/>
          <w:rtl/>
        </w:rPr>
        <w:t xml:space="preserve"> مصاديق</w:t>
      </w:r>
      <w:r w:rsidR="00B253CE" w:rsidRPr="00FD211F">
        <w:rPr>
          <w:sz w:val="36"/>
          <w:szCs w:val="36"/>
          <w:rtl/>
        </w:rPr>
        <w:t xml:space="preserve"> </w:t>
      </w:r>
      <w:r w:rsidRPr="00FD211F">
        <w:rPr>
          <w:sz w:val="36"/>
          <w:szCs w:val="36"/>
          <w:rtl/>
        </w:rPr>
        <w:t>القسم الثاني</w:t>
      </w:r>
      <w:r w:rsidR="00603323" w:rsidRPr="00FD211F">
        <w:rPr>
          <w:sz w:val="36"/>
          <w:szCs w:val="36"/>
          <w:rtl/>
        </w:rPr>
        <w:t xml:space="preserve">، </w:t>
      </w:r>
      <w:r w:rsidR="001E52A2" w:rsidRPr="00FD211F">
        <w:rPr>
          <w:sz w:val="36"/>
          <w:szCs w:val="36"/>
          <w:rtl/>
        </w:rPr>
        <w:t>فان الحجج</w:t>
      </w:r>
      <w:r w:rsidR="00EC7EDF" w:rsidRPr="00FD211F">
        <w:rPr>
          <w:sz w:val="36"/>
          <w:szCs w:val="36"/>
          <w:rtl/>
        </w:rPr>
        <w:t xml:space="preserve"> و</w:t>
      </w:r>
      <w:r w:rsidR="001E52A2" w:rsidRPr="00FD211F">
        <w:rPr>
          <w:sz w:val="36"/>
          <w:szCs w:val="36"/>
          <w:rtl/>
        </w:rPr>
        <w:t>الأمارات ليست كلها في مرتب</w:t>
      </w:r>
      <w:r w:rsidR="00EC7EDF" w:rsidRPr="00FD211F">
        <w:rPr>
          <w:sz w:val="36"/>
          <w:szCs w:val="36"/>
          <w:rtl/>
        </w:rPr>
        <w:t xml:space="preserve">ة </w:t>
      </w:r>
      <w:r w:rsidR="001E52A2" w:rsidRPr="00FD211F">
        <w:rPr>
          <w:sz w:val="36"/>
          <w:szCs w:val="36"/>
          <w:rtl/>
        </w:rPr>
        <w:t>واحد</w:t>
      </w:r>
      <w:r w:rsidR="00EC7EDF" w:rsidRPr="00FD211F">
        <w:rPr>
          <w:sz w:val="36"/>
          <w:szCs w:val="36"/>
          <w:rtl/>
        </w:rPr>
        <w:t xml:space="preserve">ة </w:t>
      </w:r>
      <w:r w:rsidR="001E52A2" w:rsidRPr="00FD211F">
        <w:rPr>
          <w:sz w:val="36"/>
          <w:szCs w:val="36"/>
          <w:rtl/>
        </w:rPr>
        <w:t xml:space="preserve">بل بعضها </w:t>
      </w:r>
      <w:r w:rsidRPr="00FD211F">
        <w:rPr>
          <w:sz w:val="36"/>
          <w:szCs w:val="36"/>
          <w:rtl/>
        </w:rPr>
        <w:t>مقدم على بعض في عملي</w:t>
      </w:r>
      <w:r w:rsidR="00EC7EDF" w:rsidRPr="00FD211F">
        <w:rPr>
          <w:sz w:val="36"/>
          <w:szCs w:val="36"/>
          <w:rtl/>
        </w:rPr>
        <w:t xml:space="preserve">ة </w:t>
      </w:r>
      <w:r w:rsidRPr="00FD211F">
        <w:rPr>
          <w:sz w:val="36"/>
          <w:szCs w:val="36"/>
          <w:rtl/>
        </w:rPr>
        <w:t>الاستنباط</w:t>
      </w:r>
      <w:r w:rsidR="00603323" w:rsidRPr="00FD211F">
        <w:rPr>
          <w:sz w:val="36"/>
          <w:szCs w:val="36"/>
          <w:rtl/>
        </w:rPr>
        <w:t xml:space="preserve">، </w:t>
      </w:r>
      <w:r w:rsidR="001E52A2" w:rsidRPr="00FD211F">
        <w:rPr>
          <w:sz w:val="36"/>
          <w:szCs w:val="36"/>
          <w:rtl/>
        </w:rPr>
        <w:t xml:space="preserve">فالعلم التعبدي الحاصل من </w:t>
      </w:r>
      <w:r w:rsidR="005949A8" w:rsidRPr="00FD211F">
        <w:rPr>
          <w:sz w:val="36"/>
          <w:szCs w:val="36"/>
          <w:rtl/>
        </w:rPr>
        <w:t>ظهور</w:t>
      </w:r>
      <w:r w:rsidR="001E52A2" w:rsidRPr="00FD211F">
        <w:rPr>
          <w:sz w:val="36"/>
          <w:szCs w:val="36"/>
          <w:rtl/>
        </w:rPr>
        <w:t xml:space="preserve"> دليل قطعي السند مق</w:t>
      </w:r>
      <w:r w:rsidR="005949A8" w:rsidRPr="00FD211F">
        <w:rPr>
          <w:sz w:val="36"/>
          <w:szCs w:val="36"/>
          <w:rtl/>
        </w:rPr>
        <w:t>دم على الحاصل من دلال</w:t>
      </w:r>
      <w:r w:rsidR="00EC7EDF" w:rsidRPr="00FD211F">
        <w:rPr>
          <w:sz w:val="36"/>
          <w:szCs w:val="36"/>
          <w:rtl/>
        </w:rPr>
        <w:t xml:space="preserve">ة </w:t>
      </w:r>
      <w:r w:rsidR="005949A8" w:rsidRPr="00FD211F">
        <w:rPr>
          <w:sz w:val="36"/>
          <w:szCs w:val="36"/>
          <w:rtl/>
        </w:rPr>
        <w:t>خبر</w:t>
      </w:r>
      <w:r w:rsidR="00F44EAD" w:rsidRPr="00FD211F">
        <w:rPr>
          <w:sz w:val="36"/>
          <w:szCs w:val="36"/>
          <w:rtl/>
        </w:rPr>
        <w:t xml:space="preserve"> </w:t>
      </w:r>
      <w:r w:rsidR="005949A8" w:rsidRPr="00FD211F">
        <w:rPr>
          <w:sz w:val="36"/>
          <w:szCs w:val="36"/>
          <w:rtl/>
        </w:rPr>
        <w:t xml:space="preserve">ظني السند على ماهو مذكور في بحث التعارض </w:t>
      </w:r>
      <w:r w:rsidR="00407746" w:rsidRPr="00FD211F">
        <w:rPr>
          <w:sz w:val="36"/>
          <w:szCs w:val="36"/>
          <w:rtl/>
        </w:rPr>
        <w:t>من عدم حجي</w:t>
      </w:r>
      <w:r w:rsidR="00EC7EDF" w:rsidRPr="00FD211F">
        <w:rPr>
          <w:sz w:val="36"/>
          <w:szCs w:val="36"/>
          <w:rtl/>
        </w:rPr>
        <w:t xml:space="preserve">ة </w:t>
      </w:r>
      <w:r w:rsidR="00407746" w:rsidRPr="00FD211F">
        <w:rPr>
          <w:sz w:val="36"/>
          <w:szCs w:val="36"/>
          <w:rtl/>
        </w:rPr>
        <w:t>الخبر الظني الصدور</w:t>
      </w:r>
      <w:r w:rsidR="00FB0D77" w:rsidRPr="00FD211F">
        <w:rPr>
          <w:sz w:val="36"/>
          <w:szCs w:val="36"/>
          <w:rtl/>
        </w:rPr>
        <w:t xml:space="preserve"> </w:t>
      </w:r>
      <w:r w:rsidR="00407746" w:rsidRPr="00FD211F">
        <w:rPr>
          <w:sz w:val="36"/>
          <w:szCs w:val="36"/>
          <w:rtl/>
        </w:rPr>
        <w:t>المخالف للخبر القطعي الصدور من الكتاب وغيره</w:t>
      </w:r>
      <w:r w:rsidR="005949A8" w:rsidRPr="00FD211F">
        <w:rPr>
          <w:sz w:val="36"/>
          <w:szCs w:val="36"/>
          <w:rtl/>
        </w:rPr>
        <w:t>.</w:t>
      </w:r>
    </w:p>
    <w:p w14:paraId="1947284E" w14:textId="77777777" w:rsidR="001E52A2" w:rsidRPr="00FD211F" w:rsidRDefault="005949A8" w:rsidP="009C58C8">
      <w:pPr>
        <w:ind w:left="0" w:firstLine="227"/>
        <w:jc w:val="both"/>
        <w:rPr>
          <w:sz w:val="36"/>
          <w:szCs w:val="36"/>
          <w:rtl/>
        </w:rPr>
      </w:pPr>
      <w:r w:rsidRPr="00FD211F">
        <w:rPr>
          <w:sz w:val="36"/>
          <w:szCs w:val="36"/>
          <w:rtl/>
        </w:rPr>
        <w:t>و</w:t>
      </w:r>
      <w:r w:rsidR="00407746" w:rsidRPr="00FD211F">
        <w:rPr>
          <w:sz w:val="36"/>
          <w:szCs w:val="36"/>
          <w:rtl/>
        </w:rPr>
        <w:t>ايضا توجد</w:t>
      </w:r>
      <w:r w:rsidRPr="00FD211F">
        <w:rPr>
          <w:sz w:val="36"/>
          <w:szCs w:val="36"/>
          <w:rtl/>
        </w:rPr>
        <w:t xml:space="preserve"> الطولي</w:t>
      </w:r>
      <w:r w:rsidR="00EC7EDF" w:rsidRPr="00FD211F">
        <w:rPr>
          <w:sz w:val="36"/>
          <w:szCs w:val="36"/>
          <w:rtl/>
        </w:rPr>
        <w:t xml:space="preserve">ة </w:t>
      </w:r>
      <w:r w:rsidRPr="00FD211F">
        <w:rPr>
          <w:sz w:val="36"/>
          <w:szCs w:val="36"/>
          <w:rtl/>
        </w:rPr>
        <w:t xml:space="preserve">داخل </w:t>
      </w:r>
      <w:r w:rsidR="00407746" w:rsidRPr="00FD211F">
        <w:rPr>
          <w:sz w:val="36"/>
          <w:szCs w:val="36"/>
          <w:rtl/>
        </w:rPr>
        <w:t xml:space="preserve">مصاديق </w:t>
      </w:r>
      <w:r w:rsidRPr="00FD211F">
        <w:rPr>
          <w:sz w:val="36"/>
          <w:szCs w:val="36"/>
          <w:rtl/>
        </w:rPr>
        <w:t>القسم الثالث</w:t>
      </w:r>
      <w:r w:rsidR="00603323" w:rsidRPr="00FD211F">
        <w:rPr>
          <w:sz w:val="36"/>
          <w:szCs w:val="36"/>
          <w:rtl/>
        </w:rPr>
        <w:t xml:space="preserve">، </w:t>
      </w:r>
      <w:r w:rsidRPr="00FD211F">
        <w:rPr>
          <w:sz w:val="36"/>
          <w:szCs w:val="36"/>
          <w:rtl/>
        </w:rPr>
        <w:t>فان الاستصحاب مقدم على البراء</w:t>
      </w:r>
      <w:r w:rsidR="00EC7EDF" w:rsidRPr="00FD211F">
        <w:rPr>
          <w:sz w:val="36"/>
          <w:szCs w:val="36"/>
          <w:rtl/>
        </w:rPr>
        <w:t>ة</w:t>
      </w:r>
      <w:r w:rsidR="00A61BAE" w:rsidRPr="00FD211F">
        <w:rPr>
          <w:sz w:val="36"/>
          <w:szCs w:val="36"/>
          <w:rtl/>
        </w:rPr>
        <w:t>.</w:t>
      </w:r>
      <w:r w:rsidR="00B253CE" w:rsidRPr="00FD211F">
        <w:rPr>
          <w:sz w:val="36"/>
          <w:szCs w:val="36"/>
          <w:rtl/>
        </w:rPr>
        <w:t xml:space="preserve"> </w:t>
      </w:r>
    </w:p>
    <w:p w14:paraId="59E1FCBF" w14:textId="77777777" w:rsidR="001E52A2" w:rsidRPr="00FD211F" w:rsidRDefault="005949A8" w:rsidP="009C58C8">
      <w:pPr>
        <w:ind w:left="0" w:firstLine="227"/>
        <w:jc w:val="both"/>
        <w:rPr>
          <w:sz w:val="36"/>
          <w:szCs w:val="36"/>
          <w:rtl/>
        </w:rPr>
      </w:pPr>
      <w:r w:rsidRPr="00FD211F">
        <w:rPr>
          <w:b/>
          <w:bCs/>
          <w:sz w:val="36"/>
          <w:szCs w:val="36"/>
          <w:rtl/>
        </w:rPr>
        <w:t>و</w:t>
      </w:r>
      <w:r w:rsidR="001E52A2" w:rsidRPr="00FD211F">
        <w:rPr>
          <w:b/>
          <w:bCs/>
          <w:sz w:val="36"/>
          <w:szCs w:val="36"/>
          <w:rtl/>
        </w:rPr>
        <w:t>ثالثا</w:t>
      </w:r>
      <w:r w:rsidRPr="00FD211F">
        <w:rPr>
          <w:sz w:val="36"/>
          <w:szCs w:val="36"/>
          <w:rtl/>
        </w:rPr>
        <w:t>:</w:t>
      </w:r>
      <w:r w:rsidR="00B253CE" w:rsidRPr="00FD211F">
        <w:rPr>
          <w:sz w:val="36"/>
          <w:szCs w:val="36"/>
          <w:rtl/>
        </w:rPr>
        <w:t xml:space="preserve"> </w:t>
      </w:r>
      <w:r w:rsidR="008B0BB3" w:rsidRPr="00FD211F">
        <w:rPr>
          <w:sz w:val="36"/>
          <w:szCs w:val="36"/>
          <w:rtl/>
        </w:rPr>
        <w:t>ان القول ب</w:t>
      </w:r>
      <w:r w:rsidRPr="00FD211F">
        <w:rPr>
          <w:sz w:val="36"/>
          <w:szCs w:val="36"/>
          <w:rtl/>
        </w:rPr>
        <w:t>تأخر مرتب</w:t>
      </w:r>
      <w:r w:rsidR="00EC7EDF" w:rsidRPr="00FD211F">
        <w:rPr>
          <w:sz w:val="36"/>
          <w:szCs w:val="36"/>
          <w:rtl/>
        </w:rPr>
        <w:t xml:space="preserve">ة </w:t>
      </w:r>
      <w:r w:rsidRPr="00FD211F">
        <w:rPr>
          <w:sz w:val="36"/>
          <w:szCs w:val="36"/>
          <w:rtl/>
        </w:rPr>
        <w:t xml:space="preserve">القسم الرابع على الثالث </w:t>
      </w:r>
      <w:r w:rsidR="008B0BB3" w:rsidRPr="00FD211F">
        <w:rPr>
          <w:sz w:val="36"/>
          <w:szCs w:val="36"/>
          <w:rtl/>
        </w:rPr>
        <w:t xml:space="preserve">ليس </w:t>
      </w:r>
      <w:r w:rsidRPr="00FD211F">
        <w:rPr>
          <w:sz w:val="36"/>
          <w:szCs w:val="36"/>
          <w:rtl/>
        </w:rPr>
        <w:t xml:space="preserve">صحيحا على </w:t>
      </w:r>
      <w:r w:rsidR="008B0BB3" w:rsidRPr="00FD211F">
        <w:rPr>
          <w:sz w:val="36"/>
          <w:szCs w:val="36"/>
          <w:rtl/>
        </w:rPr>
        <w:t xml:space="preserve">بعض </w:t>
      </w:r>
      <w:r w:rsidRPr="00FD211F">
        <w:rPr>
          <w:sz w:val="36"/>
          <w:szCs w:val="36"/>
          <w:rtl/>
        </w:rPr>
        <w:t>المسالك</w:t>
      </w:r>
      <w:r w:rsidR="001E52A2" w:rsidRPr="00FD211F">
        <w:rPr>
          <w:sz w:val="36"/>
          <w:szCs w:val="36"/>
          <w:rtl/>
        </w:rPr>
        <w:t xml:space="preserve"> الأصولي</w:t>
      </w:r>
      <w:r w:rsidR="00EC7EDF" w:rsidRPr="00FD211F">
        <w:rPr>
          <w:sz w:val="36"/>
          <w:szCs w:val="36"/>
          <w:rtl/>
        </w:rPr>
        <w:t xml:space="preserve">ة </w:t>
      </w:r>
      <w:r w:rsidR="001E52A2" w:rsidRPr="00FD211F">
        <w:rPr>
          <w:sz w:val="36"/>
          <w:szCs w:val="36"/>
          <w:rtl/>
        </w:rPr>
        <w:t>في قاعد</w:t>
      </w:r>
      <w:r w:rsidR="00EC7EDF" w:rsidRPr="00FD211F">
        <w:rPr>
          <w:sz w:val="36"/>
          <w:szCs w:val="36"/>
          <w:rtl/>
        </w:rPr>
        <w:t xml:space="preserve">ة </w:t>
      </w:r>
      <w:r w:rsidR="001E52A2" w:rsidRPr="00FD211F">
        <w:rPr>
          <w:sz w:val="36"/>
          <w:szCs w:val="36"/>
          <w:rtl/>
        </w:rPr>
        <w:t>الاشتغال العقلي</w:t>
      </w:r>
      <w:r w:rsidR="00EC7EDF" w:rsidRPr="00FD211F">
        <w:rPr>
          <w:sz w:val="36"/>
          <w:szCs w:val="36"/>
          <w:rtl/>
        </w:rPr>
        <w:t>ة</w:t>
      </w:r>
      <w:r w:rsidR="00603323" w:rsidRPr="00FD211F">
        <w:rPr>
          <w:sz w:val="36"/>
          <w:szCs w:val="36"/>
          <w:rtl/>
        </w:rPr>
        <w:t xml:space="preserve">، </w:t>
      </w:r>
      <w:r w:rsidR="001E52A2" w:rsidRPr="00FD211F">
        <w:rPr>
          <w:sz w:val="36"/>
          <w:szCs w:val="36"/>
          <w:rtl/>
        </w:rPr>
        <w:t>فان من جمل</w:t>
      </w:r>
      <w:r w:rsidR="00EC7EDF" w:rsidRPr="00FD211F">
        <w:rPr>
          <w:sz w:val="36"/>
          <w:szCs w:val="36"/>
          <w:rtl/>
        </w:rPr>
        <w:t xml:space="preserve">ة </w:t>
      </w:r>
      <w:r w:rsidR="001E52A2" w:rsidRPr="00FD211F">
        <w:rPr>
          <w:sz w:val="36"/>
          <w:szCs w:val="36"/>
          <w:rtl/>
        </w:rPr>
        <w:t>المسالك علي</w:t>
      </w:r>
      <w:r w:rsidR="00EC7EDF" w:rsidRPr="00FD211F">
        <w:rPr>
          <w:sz w:val="36"/>
          <w:szCs w:val="36"/>
          <w:rtl/>
        </w:rPr>
        <w:t xml:space="preserve">ة </w:t>
      </w:r>
      <w:r w:rsidR="001E52A2" w:rsidRPr="00FD211F">
        <w:rPr>
          <w:sz w:val="36"/>
          <w:szCs w:val="36"/>
          <w:rtl/>
        </w:rPr>
        <w:t>العلم الإجمالي للموافق</w:t>
      </w:r>
      <w:r w:rsidR="00EC7EDF" w:rsidRPr="00FD211F">
        <w:rPr>
          <w:sz w:val="36"/>
          <w:szCs w:val="36"/>
          <w:rtl/>
        </w:rPr>
        <w:t xml:space="preserve">ة </w:t>
      </w:r>
      <w:r w:rsidR="001E52A2" w:rsidRPr="00FD211F">
        <w:rPr>
          <w:sz w:val="36"/>
          <w:szCs w:val="36"/>
          <w:rtl/>
        </w:rPr>
        <w:t>القطعي</w:t>
      </w:r>
      <w:r w:rsidR="00EC7EDF" w:rsidRPr="00FD211F">
        <w:rPr>
          <w:sz w:val="36"/>
          <w:szCs w:val="36"/>
          <w:rtl/>
        </w:rPr>
        <w:t xml:space="preserve">ة </w:t>
      </w:r>
      <w:r w:rsidR="001E52A2" w:rsidRPr="00FD211F">
        <w:rPr>
          <w:sz w:val="36"/>
          <w:szCs w:val="36"/>
          <w:rtl/>
        </w:rPr>
        <w:t>التي تعني ا</w:t>
      </w:r>
      <w:r w:rsidR="00B35DF1" w:rsidRPr="00FD211F">
        <w:rPr>
          <w:sz w:val="36"/>
          <w:szCs w:val="36"/>
          <w:rtl/>
        </w:rPr>
        <w:t xml:space="preserve">ن حكم العقل بالاشتغال تنجيزي </w:t>
      </w:r>
      <w:r w:rsidR="001E52A2" w:rsidRPr="00FD211F">
        <w:rPr>
          <w:sz w:val="36"/>
          <w:szCs w:val="36"/>
          <w:rtl/>
        </w:rPr>
        <w:t>م</w:t>
      </w:r>
      <w:r w:rsidR="00B35DF1" w:rsidRPr="00FD211F">
        <w:rPr>
          <w:sz w:val="36"/>
          <w:szCs w:val="36"/>
          <w:rtl/>
        </w:rPr>
        <w:t>انع</w:t>
      </w:r>
      <w:r w:rsidR="001E52A2" w:rsidRPr="00FD211F">
        <w:rPr>
          <w:sz w:val="36"/>
          <w:szCs w:val="36"/>
          <w:rtl/>
        </w:rPr>
        <w:t xml:space="preserve"> ع</w:t>
      </w:r>
      <w:r w:rsidR="00B35DF1" w:rsidRPr="00FD211F">
        <w:rPr>
          <w:sz w:val="36"/>
          <w:szCs w:val="36"/>
          <w:rtl/>
        </w:rPr>
        <w:t>ن</w:t>
      </w:r>
      <w:r w:rsidR="001E52A2" w:rsidRPr="00FD211F">
        <w:rPr>
          <w:sz w:val="36"/>
          <w:szCs w:val="36"/>
          <w:rtl/>
        </w:rPr>
        <w:t xml:space="preserve"> إطلاق دليل البراء</w:t>
      </w:r>
      <w:r w:rsidR="00EC7EDF" w:rsidRPr="00FD211F">
        <w:rPr>
          <w:sz w:val="36"/>
          <w:szCs w:val="36"/>
          <w:rtl/>
        </w:rPr>
        <w:t xml:space="preserve">ة </w:t>
      </w:r>
      <w:r w:rsidR="001E52A2" w:rsidRPr="00FD211F">
        <w:rPr>
          <w:sz w:val="36"/>
          <w:szCs w:val="36"/>
          <w:rtl/>
        </w:rPr>
        <w:t>الشرعي</w:t>
      </w:r>
      <w:r w:rsidR="00EC7EDF" w:rsidRPr="00FD211F">
        <w:rPr>
          <w:sz w:val="36"/>
          <w:szCs w:val="36"/>
          <w:rtl/>
        </w:rPr>
        <w:t>ة</w:t>
      </w:r>
      <w:r w:rsidR="00A61BAE" w:rsidRPr="00FD211F">
        <w:rPr>
          <w:sz w:val="36"/>
          <w:szCs w:val="36"/>
          <w:rtl/>
        </w:rPr>
        <w:t>.</w:t>
      </w:r>
      <w:r w:rsidR="001E52A2" w:rsidRPr="00FD211F">
        <w:rPr>
          <w:sz w:val="36"/>
          <w:szCs w:val="36"/>
          <w:rtl/>
        </w:rPr>
        <w:t xml:space="preserve"> </w:t>
      </w:r>
    </w:p>
    <w:p w14:paraId="4DA9FF02" w14:textId="77777777" w:rsidR="001E52A2" w:rsidRPr="00FD211F" w:rsidRDefault="008B0BB3" w:rsidP="009C58C8">
      <w:pPr>
        <w:ind w:left="0" w:firstLine="227"/>
        <w:jc w:val="both"/>
        <w:rPr>
          <w:sz w:val="36"/>
          <w:szCs w:val="36"/>
          <w:rtl/>
        </w:rPr>
      </w:pPr>
      <w:r w:rsidRPr="00FD211F">
        <w:rPr>
          <w:sz w:val="36"/>
          <w:szCs w:val="36"/>
          <w:rtl/>
        </w:rPr>
        <w:t>2-</w:t>
      </w:r>
      <w:r w:rsidR="00F44EAD" w:rsidRPr="00FD211F">
        <w:rPr>
          <w:sz w:val="36"/>
          <w:szCs w:val="36"/>
          <w:rtl/>
        </w:rPr>
        <w:t xml:space="preserve"> </w:t>
      </w:r>
      <w:r w:rsidRPr="00FD211F">
        <w:rPr>
          <w:sz w:val="36"/>
          <w:szCs w:val="36"/>
          <w:rtl/>
        </w:rPr>
        <w:t>ا</w:t>
      </w:r>
      <w:r w:rsidR="001E52A2" w:rsidRPr="00FD211F">
        <w:rPr>
          <w:sz w:val="36"/>
          <w:szCs w:val="36"/>
          <w:rtl/>
        </w:rPr>
        <w:t xml:space="preserve">ن </w:t>
      </w:r>
      <w:r w:rsidRPr="00FD211F">
        <w:rPr>
          <w:sz w:val="36"/>
          <w:szCs w:val="36"/>
          <w:rtl/>
        </w:rPr>
        <w:t>تكون</w:t>
      </w:r>
      <w:r w:rsidR="001E52A2" w:rsidRPr="00FD211F">
        <w:rPr>
          <w:sz w:val="36"/>
          <w:szCs w:val="36"/>
          <w:rtl/>
        </w:rPr>
        <w:t xml:space="preserve"> النكت</w:t>
      </w:r>
      <w:r w:rsidR="00EC7EDF" w:rsidRPr="00FD211F">
        <w:rPr>
          <w:sz w:val="36"/>
          <w:szCs w:val="36"/>
          <w:rtl/>
        </w:rPr>
        <w:t xml:space="preserve">ة </w:t>
      </w:r>
      <w:r w:rsidR="001E52A2" w:rsidRPr="00FD211F">
        <w:rPr>
          <w:sz w:val="36"/>
          <w:szCs w:val="36"/>
          <w:rtl/>
        </w:rPr>
        <w:t>هي الطولي</w:t>
      </w:r>
      <w:r w:rsidR="00EC7EDF" w:rsidRPr="00FD211F">
        <w:rPr>
          <w:sz w:val="36"/>
          <w:szCs w:val="36"/>
          <w:rtl/>
        </w:rPr>
        <w:t xml:space="preserve">ة </w:t>
      </w:r>
      <w:r w:rsidR="001E52A2" w:rsidRPr="00FD211F">
        <w:rPr>
          <w:sz w:val="36"/>
          <w:szCs w:val="36"/>
          <w:rtl/>
        </w:rPr>
        <w:t>بين الأقسام من حيث مراتب الإثبات</w:t>
      </w:r>
      <w:r w:rsidR="00EC7EDF" w:rsidRPr="00FD211F">
        <w:rPr>
          <w:sz w:val="36"/>
          <w:szCs w:val="36"/>
          <w:rtl/>
        </w:rPr>
        <w:t xml:space="preserve"> و</w:t>
      </w:r>
      <w:r w:rsidR="001E52A2" w:rsidRPr="00FD211F">
        <w:rPr>
          <w:sz w:val="36"/>
          <w:szCs w:val="36"/>
          <w:rtl/>
        </w:rPr>
        <w:t>درجاته</w:t>
      </w:r>
      <w:r w:rsidR="00603323" w:rsidRPr="00FD211F">
        <w:rPr>
          <w:sz w:val="36"/>
          <w:szCs w:val="36"/>
          <w:rtl/>
        </w:rPr>
        <w:t xml:space="preserve">، </w:t>
      </w:r>
      <w:r w:rsidR="00EC7EDF" w:rsidRPr="00FD211F">
        <w:rPr>
          <w:sz w:val="36"/>
          <w:szCs w:val="36"/>
          <w:rtl/>
        </w:rPr>
        <w:t>و</w:t>
      </w:r>
      <w:r w:rsidR="001E52A2" w:rsidRPr="00FD211F">
        <w:rPr>
          <w:sz w:val="36"/>
          <w:szCs w:val="36"/>
          <w:rtl/>
        </w:rPr>
        <w:t>ان ذلك تار</w:t>
      </w:r>
      <w:r w:rsidR="00EC7EDF" w:rsidRPr="00FD211F">
        <w:rPr>
          <w:sz w:val="36"/>
          <w:szCs w:val="36"/>
          <w:rtl/>
        </w:rPr>
        <w:t>ة</w:t>
      </w:r>
      <w:r w:rsidR="00057D31" w:rsidRPr="00FD211F">
        <w:rPr>
          <w:sz w:val="36"/>
          <w:szCs w:val="36"/>
          <w:rtl/>
        </w:rPr>
        <w:t>:</w:t>
      </w:r>
      <w:r w:rsidR="001E52A2" w:rsidRPr="00FD211F">
        <w:rPr>
          <w:sz w:val="36"/>
          <w:szCs w:val="36"/>
          <w:rtl/>
        </w:rPr>
        <w:t xml:space="preserve"> يكون بالعلم الوجداني</w:t>
      </w:r>
      <w:r w:rsidR="00603323" w:rsidRPr="00FD211F">
        <w:rPr>
          <w:sz w:val="36"/>
          <w:szCs w:val="36"/>
          <w:rtl/>
        </w:rPr>
        <w:t xml:space="preserve">، </w:t>
      </w:r>
      <w:r w:rsidR="00EC7EDF" w:rsidRPr="00FD211F">
        <w:rPr>
          <w:sz w:val="36"/>
          <w:szCs w:val="36"/>
          <w:rtl/>
        </w:rPr>
        <w:t>و</w:t>
      </w:r>
      <w:r w:rsidR="001E52A2" w:rsidRPr="00FD211F">
        <w:rPr>
          <w:sz w:val="36"/>
          <w:szCs w:val="36"/>
          <w:rtl/>
        </w:rPr>
        <w:t>أخرى: بالعلم التعبدي</w:t>
      </w:r>
      <w:r w:rsidR="00603323" w:rsidRPr="00FD211F">
        <w:rPr>
          <w:sz w:val="36"/>
          <w:szCs w:val="36"/>
          <w:rtl/>
        </w:rPr>
        <w:t xml:space="preserve">، </w:t>
      </w:r>
      <w:r w:rsidR="00EC7EDF" w:rsidRPr="00FD211F">
        <w:rPr>
          <w:sz w:val="36"/>
          <w:szCs w:val="36"/>
          <w:rtl/>
        </w:rPr>
        <w:t>و</w:t>
      </w:r>
      <w:r w:rsidR="001E52A2" w:rsidRPr="00FD211F">
        <w:rPr>
          <w:sz w:val="36"/>
          <w:szCs w:val="36"/>
          <w:rtl/>
        </w:rPr>
        <w:t>ثالث</w:t>
      </w:r>
      <w:r w:rsidR="00EC7EDF" w:rsidRPr="00FD211F">
        <w:rPr>
          <w:sz w:val="36"/>
          <w:szCs w:val="36"/>
          <w:rtl/>
        </w:rPr>
        <w:t>ة</w:t>
      </w:r>
      <w:r w:rsidR="00057D31" w:rsidRPr="00FD211F">
        <w:rPr>
          <w:sz w:val="36"/>
          <w:szCs w:val="36"/>
          <w:rtl/>
        </w:rPr>
        <w:t>:</w:t>
      </w:r>
      <w:r w:rsidR="001E52A2" w:rsidRPr="00FD211F">
        <w:rPr>
          <w:sz w:val="36"/>
          <w:szCs w:val="36"/>
          <w:rtl/>
        </w:rPr>
        <w:t xml:space="preserve"> بالأصل الشرعي</w:t>
      </w:r>
      <w:r w:rsidR="00603323" w:rsidRPr="00FD211F">
        <w:rPr>
          <w:sz w:val="36"/>
          <w:szCs w:val="36"/>
          <w:rtl/>
        </w:rPr>
        <w:t xml:space="preserve">، </w:t>
      </w:r>
      <w:r w:rsidR="00EC7EDF" w:rsidRPr="00FD211F">
        <w:rPr>
          <w:sz w:val="36"/>
          <w:szCs w:val="36"/>
          <w:rtl/>
        </w:rPr>
        <w:t>و</w:t>
      </w:r>
      <w:r w:rsidR="001E52A2" w:rsidRPr="00FD211F">
        <w:rPr>
          <w:sz w:val="36"/>
          <w:szCs w:val="36"/>
          <w:rtl/>
        </w:rPr>
        <w:t>رابع</w:t>
      </w:r>
      <w:r w:rsidR="00EC7EDF" w:rsidRPr="00FD211F">
        <w:rPr>
          <w:sz w:val="36"/>
          <w:szCs w:val="36"/>
          <w:rtl/>
        </w:rPr>
        <w:t>ة</w:t>
      </w:r>
      <w:r w:rsidR="00057D31" w:rsidRPr="00FD211F">
        <w:rPr>
          <w:sz w:val="36"/>
          <w:szCs w:val="36"/>
          <w:rtl/>
        </w:rPr>
        <w:t>:</w:t>
      </w:r>
      <w:r w:rsidR="001E52A2" w:rsidRPr="00FD211F">
        <w:rPr>
          <w:sz w:val="36"/>
          <w:szCs w:val="36"/>
          <w:rtl/>
        </w:rPr>
        <w:t xml:space="preserve"> بالوظيف</w:t>
      </w:r>
      <w:r w:rsidR="00EC7EDF" w:rsidRPr="00FD211F">
        <w:rPr>
          <w:sz w:val="36"/>
          <w:szCs w:val="36"/>
          <w:rtl/>
        </w:rPr>
        <w:t xml:space="preserve">ة </w:t>
      </w:r>
      <w:r w:rsidR="001E52A2" w:rsidRPr="00FD211F">
        <w:rPr>
          <w:sz w:val="36"/>
          <w:szCs w:val="36"/>
          <w:rtl/>
        </w:rPr>
        <w:t>العقلي</w:t>
      </w:r>
      <w:r w:rsidR="00EC7EDF" w:rsidRPr="00FD211F">
        <w:rPr>
          <w:sz w:val="36"/>
          <w:szCs w:val="36"/>
          <w:rtl/>
        </w:rPr>
        <w:t>ة</w:t>
      </w:r>
      <w:r w:rsidR="00603323" w:rsidRPr="00FD211F">
        <w:rPr>
          <w:sz w:val="36"/>
          <w:szCs w:val="36"/>
          <w:rtl/>
        </w:rPr>
        <w:t xml:space="preserve">، </w:t>
      </w:r>
      <w:r w:rsidR="001E52A2" w:rsidRPr="00FD211F">
        <w:rPr>
          <w:sz w:val="36"/>
          <w:szCs w:val="36"/>
          <w:rtl/>
        </w:rPr>
        <w:t>فهذا إنما يتجه على</w:t>
      </w:r>
      <w:r w:rsidR="005B672B" w:rsidRPr="00FD211F">
        <w:rPr>
          <w:sz w:val="36"/>
          <w:szCs w:val="36"/>
          <w:rtl/>
        </w:rPr>
        <w:t xml:space="preserve"> مسلكه تبعا لاستاذه</w:t>
      </w:r>
      <w:r w:rsidR="001E52A2" w:rsidRPr="00FD211F">
        <w:rPr>
          <w:sz w:val="36"/>
          <w:szCs w:val="36"/>
          <w:rtl/>
        </w:rPr>
        <w:t xml:space="preserve"> المحقق النائيني </w:t>
      </w:r>
      <w:r w:rsidR="005949A8" w:rsidRPr="00FD211F">
        <w:rPr>
          <w:sz w:val="36"/>
          <w:szCs w:val="36"/>
          <w:rtl/>
        </w:rPr>
        <w:t>"قده"</w:t>
      </w:r>
      <w:r w:rsidR="001E52A2" w:rsidRPr="00FD211F">
        <w:rPr>
          <w:sz w:val="36"/>
          <w:szCs w:val="36"/>
          <w:rtl/>
        </w:rPr>
        <w:t xml:space="preserve"> في تفسير الأمارات</w:t>
      </w:r>
      <w:r w:rsidR="00EC7EDF" w:rsidRPr="00FD211F">
        <w:rPr>
          <w:sz w:val="36"/>
          <w:szCs w:val="36"/>
          <w:rtl/>
        </w:rPr>
        <w:t xml:space="preserve"> و</w:t>
      </w:r>
      <w:r w:rsidR="001E52A2" w:rsidRPr="00FD211F">
        <w:rPr>
          <w:sz w:val="36"/>
          <w:szCs w:val="36"/>
          <w:rtl/>
        </w:rPr>
        <w:t>الأصول</w:t>
      </w:r>
      <w:r w:rsidR="00EC7EDF" w:rsidRPr="00FD211F">
        <w:rPr>
          <w:sz w:val="36"/>
          <w:szCs w:val="36"/>
          <w:rtl/>
        </w:rPr>
        <w:t xml:space="preserve"> و</w:t>
      </w:r>
      <w:r w:rsidR="001E52A2" w:rsidRPr="00FD211F">
        <w:rPr>
          <w:sz w:val="36"/>
          <w:szCs w:val="36"/>
          <w:rtl/>
        </w:rPr>
        <w:t xml:space="preserve">إرجاع الفرق بينهما إلى </w:t>
      </w:r>
      <w:r w:rsidR="005B672B" w:rsidRPr="00FD211F">
        <w:rPr>
          <w:sz w:val="36"/>
          <w:szCs w:val="36"/>
          <w:rtl/>
        </w:rPr>
        <w:t xml:space="preserve">أنه متى </w:t>
      </w:r>
      <w:r w:rsidR="001E52A2" w:rsidRPr="00FD211F">
        <w:rPr>
          <w:sz w:val="36"/>
          <w:szCs w:val="36"/>
          <w:rtl/>
        </w:rPr>
        <w:t>ما كان المجعول</w:t>
      </w:r>
      <w:r w:rsidR="00B253CE" w:rsidRPr="00FD211F">
        <w:rPr>
          <w:sz w:val="36"/>
          <w:szCs w:val="36"/>
          <w:rtl/>
        </w:rPr>
        <w:t xml:space="preserve"> </w:t>
      </w:r>
      <w:r w:rsidR="001E52A2" w:rsidRPr="00FD211F">
        <w:rPr>
          <w:sz w:val="36"/>
          <w:szCs w:val="36"/>
          <w:rtl/>
        </w:rPr>
        <w:t>هو العلمي</w:t>
      </w:r>
      <w:r w:rsidR="00EC7EDF" w:rsidRPr="00FD211F">
        <w:rPr>
          <w:sz w:val="36"/>
          <w:szCs w:val="36"/>
          <w:rtl/>
        </w:rPr>
        <w:t>ة و</w:t>
      </w:r>
      <w:r w:rsidR="005B672B" w:rsidRPr="00FD211F">
        <w:rPr>
          <w:sz w:val="36"/>
          <w:szCs w:val="36"/>
          <w:rtl/>
        </w:rPr>
        <w:t>الكاشفي</w:t>
      </w:r>
      <w:r w:rsidR="00EC7EDF" w:rsidRPr="00FD211F">
        <w:rPr>
          <w:sz w:val="36"/>
          <w:szCs w:val="36"/>
          <w:rtl/>
        </w:rPr>
        <w:t xml:space="preserve">ة </w:t>
      </w:r>
      <w:r w:rsidR="005B672B" w:rsidRPr="00FD211F">
        <w:rPr>
          <w:sz w:val="36"/>
          <w:szCs w:val="36"/>
          <w:rtl/>
        </w:rPr>
        <w:t xml:space="preserve">كان </w:t>
      </w:r>
      <w:r w:rsidR="001E52A2" w:rsidRPr="00FD211F">
        <w:rPr>
          <w:sz w:val="36"/>
          <w:szCs w:val="36"/>
          <w:rtl/>
        </w:rPr>
        <w:t>أمار</w:t>
      </w:r>
      <w:r w:rsidR="00EC7EDF" w:rsidRPr="00FD211F">
        <w:rPr>
          <w:sz w:val="36"/>
          <w:szCs w:val="36"/>
          <w:rtl/>
        </w:rPr>
        <w:t>ة و</w:t>
      </w:r>
      <w:r w:rsidR="001E52A2" w:rsidRPr="00FD211F">
        <w:rPr>
          <w:sz w:val="36"/>
          <w:szCs w:val="36"/>
          <w:rtl/>
        </w:rPr>
        <w:t>مت</w:t>
      </w:r>
      <w:r w:rsidR="005B672B" w:rsidRPr="00FD211F">
        <w:rPr>
          <w:sz w:val="36"/>
          <w:szCs w:val="36"/>
          <w:rtl/>
        </w:rPr>
        <w:t xml:space="preserve">ى ما كان المجعول شيئا آخر كان </w:t>
      </w:r>
      <w:r w:rsidR="001E52A2" w:rsidRPr="00FD211F">
        <w:rPr>
          <w:sz w:val="36"/>
          <w:szCs w:val="36"/>
          <w:rtl/>
        </w:rPr>
        <w:t>أصل</w:t>
      </w:r>
      <w:r w:rsidR="005B672B" w:rsidRPr="00FD211F">
        <w:rPr>
          <w:sz w:val="36"/>
          <w:szCs w:val="36"/>
          <w:rtl/>
        </w:rPr>
        <w:t>اعمليا</w:t>
      </w:r>
      <w:r w:rsidR="001E52A2" w:rsidRPr="00FD211F">
        <w:rPr>
          <w:sz w:val="36"/>
          <w:szCs w:val="36"/>
          <w:rtl/>
        </w:rPr>
        <w:t xml:space="preserve"> و</w:t>
      </w:r>
      <w:r w:rsidR="005B672B" w:rsidRPr="00FD211F">
        <w:rPr>
          <w:sz w:val="36"/>
          <w:szCs w:val="36"/>
          <w:rtl/>
        </w:rPr>
        <w:t>لاجل ذلك هو يرى الاستصحاب من الامارات لاستظهاره من دليله اعتبارالمكلف عالما بالبقاء</w:t>
      </w:r>
      <w:r w:rsidR="00603323" w:rsidRPr="00FD211F">
        <w:rPr>
          <w:sz w:val="36"/>
          <w:szCs w:val="36"/>
          <w:rtl/>
        </w:rPr>
        <w:t xml:space="preserve">، </w:t>
      </w:r>
      <w:r w:rsidR="001E52A2" w:rsidRPr="00FD211F">
        <w:rPr>
          <w:sz w:val="36"/>
          <w:szCs w:val="36"/>
          <w:rtl/>
        </w:rPr>
        <w:t>اما بناء على ما هو الصحيح من أن الأماري</w:t>
      </w:r>
      <w:r w:rsidR="00EC7EDF" w:rsidRPr="00FD211F">
        <w:rPr>
          <w:sz w:val="36"/>
          <w:szCs w:val="36"/>
          <w:rtl/>
        </w:rPr>
        <w:t>ة و</w:t>
      </w:r>
      <w:r w:rsidR="001E52A2" w:rsidRPr="00FD211F">
        <w:rPr>
          <w:sz w:val="36"/>
          <w:szCs w:val="36"/>
          <w:rtl/>
        </w:rPr>
        <w:t>الأصلي</w:t>
      </w:r>
      <w:r w:rsidR="00EC7EDF" w:rsidRPr="00FD211F">
        <w:rPr>
          <w:sz w:val="36"/>
          <w:szCs w:val="36"/>
          <w:rtl/>
        </w:rPr>
        <w:t xml:space="preserve">ة </w:t>
      </w:r>
      <w:r w:rsidR="001E52A2" w:rsidRPr="00FD211F">
        <w:rPr>
          <w:sz w:val="36"/>
          <w:szCs w:val="36"/>
          <w:rtl/>
        </w:rPr>
        <w:t>ليستا بلحاظ سنخ المجعول</w:t>
      </w:r>
      <w:r w:rsidR="005B672B" w:rsidRPr="00FD211F">
        <w:rPr>
          <w:sz w:val="36"/>
          <w:szCs w:val="36"/>
          <w:rtl/>
        </w:rPr>
        <w:t xml:space="preserve"> في الحكم الظاهري بل</w:t>
      </w:r>
      <w:r w:rsidR="001E52A2" w:rsidRPr="00FD211F">
        <w:rPr>
          <w:sz w:val="36"/>
          <w:szCs w:val="36"/>
          <w:rtl/>
        </w:rPr>
        <w:t xml:space="preserve"> الفرق الواقعي بين</w:t>
      </w:r>
      <w:r w:rsidR="005B672B" w:rsidRPr="00FD211F">
        <w:rPr>
          <w:sz w:val="36"/>
          <w:szCs w:val="36"/>
          <w:rtl/>
        </w:rPr>
        <w:t>هما</w:t>
      </w:r>
      <w:r w:rsidR="001E52A2" w:rsidRPr="00FD211F">
        <w:rPr>
          <w:sz w:val="36"/>
          <w:szCs w:val="36"/>
          <w:rtl/>
        </w:rPr>
        <w:t xml:space="preserve"> </w:t>
      </w:r>
      <w:r w:rsidR="005B672B" w:rsidRPr="00FD211F">
        <w:rPr>
          <w:sz w:val="36"/>
          <w:szCs w:val="36"/>
          <w:rtl/>
        </w:rPr>
        <w:t xml:space="preserve">في ان </w:t>
      </w:r>
      <w:r w:rsidR="001E52A2" w:rsidRPr="00FD211F">
        <w:rPr>
          <w:sz w:val="36"/>
          <w:szCs w:val="36"/>
          <w:rtl/>
        </w:rPr>
        <w:t>الحكم الظاهري في مورد الأمار</w:t>
      </w:r>
      <w:r w:rsidR="00EC7EDF" w:rsidRPr="00FD211F">
        <w:rPr>
          <w:sz w:val="36"/>
          <w:szCs w:val="36"/>
          <w:rtl/>
        </w:rPr>
        <w:t xml:space="preserve">ة </w:t>
      </w:r>
      <w:r w:rsidR="005B672B" w:rsidRPr="00FD211F">
        <w:rPr>
          <w:sz w:val="36"/>
          <w:szCs w:val="36"/>
          <w:rtl/>
        </w:rPr>
        <w:t>ينشأعن ملاك قو</w:t>
      </w:r>
      <w:r w:rsidR="00EC7EDF" w:rsidRPr="00FD211F">
        <w:rPr>
          <w:sz w:val="36"/>
          <w:szCs w:val="36"/>
          <w:rtl/>
        </w:rPr>
        <w:t xml:space="preserve">ة </w:t>
      </w:r>
      <w:r w:rsidR="005B672B" w:rsidRPr="00FD211F">
        <w:rPr>
          <w:sz w:val="36"/>
          <w:szCs w:val="36"/>
          <w:rtl/>
        </w:rPr>
        <w:t xml:space="preserve">الاحتمال فحسب بخلاف </w:t>
      </w:r>
      <w:r w:rsidR="001E52A2" w:rsidRPr="00FD211F">
        <w:rPr>
          <w:sz w:val="36"/>
          <w:szCs w:val="36"/>
          <w:rtl/>
        </w:rPr>
        <w:t xml:space="preserve">الحكم الظاهري في مورد الأصل </w:t>
      </w:r>
      <w:r w:rsidR="007A5DB6" w:rsidRPr="00FD211F">
        <w:rPr>
          <w:sz w:val="36"/>
          <w:szCs w:val="36"/>
          <w:rtl/>
        </w:rPr>
        <w:t>ف</w:t>
      </w:r>
      <w:r w:rsidR="001E52A2" w:rsidRPr="00FD211F">
        <w:rPr>
          <w:sz w:val="36"/>
          <w:szCs w:val="36"/>
          <w:rtl/>
        </w:rPr>
        <w:t>لا يصح الت</w:t>
      </w:r>
      <w:r w:rsidR="007A5DB6" w:rsidRPr="00FD211F">
        <w:rPr>
          <w:sz w:val="36"/>
          <w:szCs w:val="36"/>
          <w:rtl/>
        </w:rPr>
        <w:t>قسيم المذكور</w:t>
      </w:r>
      <w:r w:rsidR="001E52A2" w:rsidRPr="00FD211F">
        <w:rPr>
          <w:sz w:val="36"/>
          <w:szCs w:val="36"/>
          <w:rtl/>
        </w:rPr>
        <w:t xml:space="preserve">لمسائل علم الأصول. </w:t>
      </w:r>
    </w:p>
    <w:p w14:paraId="0DA8BE7B" w14:textId="77777777" w:rsidR="001E52A2" w:rsidRPr="00FD211F" w:rsidRDefault="007A5DB6" w:rsidP="009C58C8">
      <w:pPr>
        <w:ind w:left="0" w:firstLine="227"/>
        <w:jc w:val="both"/>
        <w:rPr>
          <w:sz w:val="36"/>
          <w:szCs w:val="36"/>
          <w:rtl/>
        </w:rPr>
      </w:pPr>
      <w:r w:rsidRPr="00FD211F">
        <w:rPr>
          <w:sz w:val="36"/>
          <w:szCs w:val="36"/>
          <w:rtl/>
        </w:rPr>
        <w:t>هذا مضافا إلى ان الملاك</w:t>
      </w:r>
      <w:r w:rsidR="001E52A2" w:rsidRPr="00FD211F">
        <w:rPr>
          <w:sz w:val="36"/>
          <w:szCs w:val="36"/>
          <w:rtl/>
        </w:rPr>
        <w:t xml:space="preserve"> في الت</w:t>
      </w:r>
      <w:r w:rsidRPr="00FD211F">
        <w:rPr>
          <w:sz w:val="36"/>
          <w:szCs w:val="36"/>
          <w:rtl/>
        </w:rPr>
        <w:t>قسيم إذا ربط بشكل الحكم الظاهري</w:t>
      </w:r>
      <w:r w:rsidR="00B253CE" w:rsidRPr="00FD211F">
        <w:rPr>
          <w:sz w:val="36"/>
          <w:szCs w:val="36"/>
          <w:rtl/>
        </w:rPr>
        <w:t xml:space="preserve"> </w:t>
      </w:r>
      <w:r w:rsidRPr="00FD211F">
        <w:rPr>
          <w:sz w:val="36"/>
          <w:szCs w:val="36"/>
          <w:rtl/>
        </w:rPr>
        <w:t>المجعول</w:t>
      </w:r>
      <w:r w:rsidR="001E52A2" w:rsidRPr="00FD211F">
        <w:rPr>
          <w:sz w:val="36"/>
          <w:szCs w:val="36"/>
          <w:rtl/>
        </w:rPr>
        <w:t xml:space="preserve"> فيمكن افتراض الأصل المحرز كالاستصحاب قسما برأسه بين الأمارات و</w:t>
      </w:r>
      <w:r w:rsidRPr="00FD211F">
        <w:rPr>
          <w:sz w:val="36"/>
          <w:szCs w:val="36"/>
          <w:rtl/>
        </w:rPr>
        <w:t xml:space="preserve">بين </w:t>
      </w:r>
      <w:r w:rsidR="001E52A2" w:rsidRPr="00FD211F">
        <w:rPr>
          <w:sz w:val="36"/>
          <w:szCs w:val="36"/>
          <w:rtl/>
        </w:rPr>
        <w:t>الأصول غير المحرز</w:t>
      </w:r>
      <w:r w:rsidR="00EC7EDF" w:rsidRPr="00FD211F">
        <w:rPr>
          <w:sz w:val="36"/>
          <w:szCs w:val="36"/>
          <w:rtl/>
        </w:rPr>
        <w:t xml:space="preserve">ة </w:t>
      </w:r>
      <w:r w:rsidRPr="00FD211F">
        <w:rPr>
          <w:sz w:val="36"/>
          <w:szCs w:val="36"/>
          <w:rtl/>
        </w:rPr>
        <w:t>كالبراء</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91"/>
      </w:r>
      <w:r w:rsidR="009C58C8" w:rsidRPr="00FD211F">
        <w:rPr>
          <w:rStyle w:val="a6"/>
          <w:sz w:val="36"/>
          <w:szCs w:val="36"/>
          <w:rtl/>
        </w:rPr>
        <w:t>)</w:t>
      </w:r>
      <w:r w:rsidR="00E00208" w:rsidRPr="00FD211F">
        <w:rPr>
          <w:sz w:val="36"/>
          <w:szCs w:val="36"/>
          <w:rtl/>
        </w:rPr>
        <w:t xml:space="preserve">، </w:t>
      </w:r>
      <w:r w:rsidR="009D0CF4" w:rsidRPr="00FD211F">
        <w:rPr>
          <w:sz w:val="36"/>
          <w:szCs w:val="36"/>
          <w:rtl/>
        </w:rPr>
        <w:t>وما ذكره متين جدا</w:t>
      </w:r>
      <w:r w:rsidR="001E52A2" w:rsidRPr="00FD211F">
        <w:rPr>
          <w:sz w:val="36"/>
          <w:szCs w:val="36"/>
          <w:rtl/>
        </w:rPr>
        <w:t xml:space="preserve">. </w:t>
      </w:r>
    </w:p>
    <w:p w14:paraId="1DA0247E" w14:textId="77777777" w:rsidR="001E52A2" w:rsidRPr="00FD211F" w:rsidRDefault="00A771C6" w:rsidP="009C58C8">
      <w:pPr>
        <w:ind w:left="0" w:firstLine="227"/>
        <w:jc w:val="both"/>
        <w:rPr>
          <w:sz w:val="36"/>
          <w:szCs w:val="36"/>
          <w:rtl/>
        </w:rPr>
      </w:pPr>
      <w:r w:rsidRPr="00FD211F">
        <w:rPr>
          <w:b/>
          <w:bCs/>
          <w:sz w:val="36"/>
          <w:szCs w:val="36"/>
          <w:rtl/>
        </w:rPr>
        <w:t>المنهج الرابع</w:t>
      </w:r>
      <w:r w:rsidR="00856647" w:rsidRPr="00FD211F">
        <w:rPr>
          <w:b/>
          <w:bCs/>
          <w:sz w:val="36"/>
          <w:szCs w:val="36"/>
          <w:rtl/>
        </w:rPr>
        <w:t>:</w:t>
      </w:r>
      <w:r w:rsidR="003A36D8" w:rsidRPr="00FD211F">
        <w:rPr>
          <w:b/>
          <w:bCs/>
          <w:sz w:val="36"/>
          <w:szCs w:val="36"/>
          <w:rtl/>
        </w:rPr>
        <w:t xml:space="preserve"> </w:t>
      </w:r>
      <w:r w:rsidR="003A36D8" w:rsidRPr="00FD211F">
        <w:rPr>
          <w:sz w:val="36"/>
          <w:szCs w:val="36"/>
          <w:rtl/>
        </w:rPr>
        <w:t>ماذكره في البحوث من امكان</w:t>
      </w:r>
      <w:r w:rsidR="003A36D8" w:rsidRPr="00FD211F">
        <w:rPr>
          <w:b/>
          <w:bCs/>
          <w:sz w:val="36"/>
          <w:szCs w:val="36"/>
          <w:rtl/>
        </w:rPr>
        <w:t xml:space="preserve"> </w:t>
      </w:r>
      <w:r w:rsidR="003A36D8" w:rsidRPr="00FD211F">
        <w:rPr>
          <w:sz w:val="36"/>
          <w:szCs w:val="36"/>
          <w:rtl/>
        </w:rPr>
        <w:t>تقسيم علم الاصول</w:t>
      </w:r>
      <w:r w:rsidR="00B253CE" w:rsidRPr="00FD211F">
        <w:rPr>
          <w:b/>
          <w:bCs/>
          <w:sz w:val="36"/>
          <w:szCs w:val="36"/>
          <w:rtl/>
        </w:rPr>
        <w:t xml:space="preserve"> </w:t>
      </w:r>
      <w:r w:rsidR="003A36D8" w:rsidRPr="00FD211F">
        <w:rPr>
          <w:sz w:val="36"/>
          <w:szCs w:val="36"/>
          <w:rtl/>
        </w:rPr>
        <w:t xml:space="preserve">بلحاظ </w:t>
      </w:r>
      <w:r w:rsidR="009D0CF4" w:rsidRPr="00FD211F">
        <w:rPr>
          <w:sz w:val="36"/>
          <w:szCs w:val="36"/>
          <w:rtl/>
        </w:rPr>
        <w:t>نوع دليلي</w:t>
      </w:r>
      <w:r w:rsidR="00EC7EDF" w:rsidRPr="00FD211F">
        <w:rPr>
          <w:sz w:val="36"/>
          <w:szCs w:val="36"/>
          <w:rtl/>
        </w:rPr>
        <w:t xml:space="preserve">ة </w:t>
      </w:r>
      <w:r w:rsidR="009D0CF4" w:rsidRPr="00FD211F">
        <w:rPr>
          <w:sz w:val="36"/>
          <w:szCs w:val="36"/>
          <w:rtl/>
        </w:rPr>
        <w:t>الادل</w:t>
      </w:r>
      <w:r w:rsidR="00EC7EDF" w:rsidRPr="00FD211F">
        <w:rPr>
          <w:sz w:val="36"/>
          <w:szCs w:val="36"/>
          <w:rtl/>
        </w:rPr>
        <w:t xml:space="preserve">ة </w:t>
      </w:r>
      <w:r w:rsidR="009D0CF4" w:rsidRPr="00FD211F">
        <w:rPr>
          <w:sz w:val="36"/>
          <w:szCs w:val="36"/>
          <w:rtl/>
        </w:rPr>
        <w:t>في الفقه من حيث</w:t>
      </w:r>
      <w:r w:rsidR="001E52A2" w:rsidRPr="00FD211F">
        <w:rPr>
          <w:sz w:val="36"/>
          <w:szCs w:val="36"/>
          <w:rtl/>
        </w:rPr>
        <w:t xml:space="preserve"> كونها لفظي</w:t>
      </w:r>
      <w:r w:rsidR="00EC7EDF" w:rsidRPr="00FD211F">
        <w:rPr>
          <w:sz w:val="36"/>
          <w:szCs w:val="36"/>
          <w:rtl/>
        </w:rPr>
        <w:t xml:space="preserve">ة </w:t>
      </w:r>
      <w:r w:rsidR="001E52A2" w:rsidRPr="00FD211F">
        <w:rPr>
          <w:sz w:val="36"/>
          <w:szCs w:val="36"/>
          <w:rtl/>
        </w:rPr>
        <w:t>أو عقلي</w:t>
      </w:r>
      <w:r w:rsidR="00EC7EDF" w:rsidRPr="00FD211F">
        <w:rPr>
          <w:sz w:val="36"/>
          <w:szCs w:val="36"/>
          <w:rtl/>
        </w:rPr>
        <w:t xml:space="preserve">ة </w:t>
      </w:r>
      <w:r w:rsidR="001E52A2" w:rsidRPr="00FD211F">
        <w:rPr>
          <w:sz w:val="36"/>
          <w:szCs w:val="36"/>
          <w:rtl/>
        </w:rPr>
        <w:t>أو شرعي</w:t>
      </w:r>
      <w:r w:rsidR="00EC7EDF" w:rsidRPr="00FD211F">
        <w:rPr>
          <w:sz w:val="36"/>
          <w:szCs w:val="36"/>
          <w:rtl/>
        </w:rPr>
        <w:t>ة</w:t>
      </w:r>
      <w:r w:rsidR="00A61BAE" w:rsidRPr="00FD211F">
        <w:rPr>
          <w:sz w:val="36"/>
          <w:szCs w:val="36"/>
          <w:rtl/>
        </w:rPr>
        <w:t>.</w:t>
      </w:r>
      <w:r w:rsidR="001E52A2" w:rsidRPr="00FD211F">
        <w:rPr>
          <w:sz w:val="36"/>
          <w:szCs w:val="36"/>
          <w:rtl/>
        </w:rPr>
        <w:t xml:space="preserve"> </w:t>
      </w:r>
    </w:p>
    <w:p w14:paraId="23A4A4E8" w14:textId="77777777" w:rsidR="001E52A2" w:rsidRPr="00FD211F" w:rsidRDefault="001E52A2" w:rsidP="009C58C8">
      <w:pPr>
        <w:ind w:left="0" w:firstLine="227"/>
        <w:jc w:val="both"/>
        <w:rPr>
          <w:sz w:val="36"/>
          <w:szCs w:val="36"/>
          <w:rtl/>
        </w:rPr>
      </w:pPr>
      <w:r w:rsidRPr="00FD211F">
        <w:rPr>
          <w:sz w:val="36"/>
          <w:szCs w:val="36"/>
          <w:rtl/>
        </w:rPr>
        <w:t>و</w:t>
      </w:r>
      <w:r w:rsidR="003A36D8" w:rsidRPr="00FD211F">
        <w:rPr>
          <w:sz w:val="36"/>
          <w:szCs w:val="36"/>
          <w:rtl/>
        </w:rPr>
        <w:t>حيث أن</w:t>
      </w:r>
      <w:r w:rsidRPr="00FD211F">
        <w:rPr>
          <w:sz w:val="36"/>
          <w:szCs w:val="36"/>
          <w:rtl/>
        </w:rPr>
        <w:t xml:space="preserve"> البحث عن كل هذه الأ</w:t>
      </w:r>
      <w:r w:rsidR="003A36D8" w:rsidRPr="00FD211F">
        <w:rPr>
          <w:sz w:val="36"/>
          <w:szCs w:val="36"/>
          <w:rtl/>
        </w:rPr>
        <w:t xml:space="preserve">قسام </w:t>
      </w:r>
      <w:r w:rsidRPr="00FD211F">
        <w:rPr>
          <w:sz w:val="36"/>
          <w:szCs w:val="36"/>
          <w:rtl/>
        </w:rPr>
        <w:t>يتوقف على أصل موضوعي لا بد من بحثه مسبقا</w:t>
      </w:r>
      <w:r w:rsidR="00603323" w:rsidRPr="00FD211F">
        <w:rPr>
          <w:sz w:val="36"/>
          <w:szCs w:val="36"/>
          <w:rtl/>
        </w:rPr>
        <w:t xml:space="preserve">، </w:t>
      </w:r>
      <w:r w:rsidR="00EC7EDF" w:rsidRPr="00FD211F">
        <w:rPr>
          <w:sz w:val="36"/>
          <w:szCs w:val="36"/>
          <w:rtl/>
        </w:rPr>
        <w:t>و</w:t>
      </w:r>
      <w:r w:rsidRPr="00FD211F">
        <w:rPr>
          <w:sz w:val="36"/>
          <w:szCs w:val="36"/>
          <w:rtl/>
        </w:rPr>
        <w:t>هو حجي</w:t>
      </w:r>
      <w:r w:rsidR="00EC7EDF" w:rsidRPr="00FD211F">
        <w:rPr>
          <w:sz w:val="36"/>
          <w:szCs w:val="36"/>
          <w:rtl/>
        </w:rPr>
        <w:t xml:space="preserve">ة </w:t>
      </w:r>
      <w:r w:rsidRPr="00FD211F">
        <w:rPr>
          <w:sz w:val="36"/>
          <w:szCs w:val="36"/>
          <w:rtl/>
        </w:rPr>
        <w:t>القطع</w:t>
      </w:r>
      <w:r w:rsidR="00603323" w:rsidRPr="00FD211F">
        <w:rPr>
          <w:sz w:val="36"/>
          <w:szCs w:val="36"/>
          <w:rtl/>
        </w:rPr>
        <w:t xml:space="preserve">، </w:t>
      </w:r>
      <w:r w:rsidRPr="00FD211F">
        <w:rPr>
          <w:sz w:val="36"/>
          <w:szCs w:val="36"/>
          <w:rtl/>
        </w:rPr>
        <w:t>إذ بدونه لا أثر للبحث في أي مسأل</w:t>
      </w:r>
      <w:r w:rsidR="00EC7EDF" w:rsidRPr="00FD211F">
        <w:rPr>
          <w:sz w:val="36"/>
          <w:szCs w:val="36"/>
          <w:rtl/>
        </w:rPr>
        <w:t xml:space="preserve">ة </w:t>
      </w:r>
      <w:r w:rsidR="003A36D8" w:rsidRPr="00FD211F">
        <w:rPr>
          <w:sz w:val="36"/>
          <w:szCs w:val="36"/>
          <w:rtl/>
        </w:rPr>
        <w:t xml:space="preserve">أخرى </w:t>
      </w:r>
      <w:r w:rsidRPr="00FD211F">
        <w:rPr>
          <w:sz w:val="36"/>
          <w:szCs w:val="36"/>
          <w:rtl/>
        </w:rPr>
        <w:t>كما أنه حيث ان الأدل</w:t>
      </w:r>
      <w:r w:rsidR="00EC7EDF" w:rsidRPr="00FD211F">
        <w:rPr>
          <w:sz w:val="36"/>
          <w:szCs w:val="36"/>
          <w:rtl/>
        </w:rPr>
        <w:t xml:space="preserve">ة </w:t>
      </w:r>
      <w:r w:rsidRPr="00FD211F">
        <w:rPr>
          <w:sz w:val="36"/>
          <w:szCs w:val="36"/>
          <w:rtl/>
        </w:rPr>
        <w:t>المذكور</w:t>
      </w:r>
      <w:r w:rsidR="00EC7EDF" w:rsidRPr="00FD211F">
        <w:rPr>
          <w:sz w:val="36"/>
          <w:szCs w:val="36"/>
          <w:rtl/>
        </w:rPr>
        <w:t xml:space="preserve">ة </w:t>
      </w:r>
      <w:r w:rsidRPr="00FD211F">
        <w:rPr>
          <w:sz w:val="36"/>
          <w:szCs w:val="36"/>
          <w:rtl/>
        </w:rPr>
        <w:t>كلها إنما يراد بها استنباط الحكم الشرعي ف</w:t>
      </w:r>
      <w:r w:rsidR="003A36D8" w:rsidRPr="00FD211F">
        <w:rPr>
          <w:sz w:val="36"/>
          <w:szCs w:val="36"/>
          <w:rtl/>
        </w:rPr>
        <w:t>يحتاج تلك</w:t>
      </w:r>
      <w:r w:rsidRPr="00FD211F">
        <w:rPr>
          <w:sz w:val="36"/>
          <w:szCs w:val="36"/>
          <w:rtl/>
        </w:rPr>
        <w:t xml:space="preserve"> الأبحاث أيضا من فكر</w:t>
      </w:r>
      <w:r w:rsidR="00EC7EDF" w:rsidRPr="00FD211F">
        <w:rPr>
          <w:sz w:val="36"/>
          <w:szCs w:val="36"/>
          <w:rtl/>
        </w:rPr>
        <w:t xml:space="preserve">ة </w:t>
      </w:r>
      <w:r w:rsidRPr="00FD211F">
        <w:rPr>
          <w:sz w:val="36"/>
          <w:szCs w:val="36"/>
          <w:rtl/>
        </w:rPr>
        <w:t>مسبق</w:t>
      </w:r>
      <w:r w:rsidR="00EC7EDF" w:rsidRPr="00FD211F">
        <w:rPr>
          <w:sz w:val="36"/>
          <w:szCs w:val="36"/>
          <w:rtl/>
        </w:rPr>
        <w:t xml:space="preserve">ة </w:t>
      </w:r>
      <w:r w:rsidRPr="00FD211F">
        <w:rPr>
          <w:sz w:val="36"/>
          <w:szCs w:val="36"/>
          <w:rtl/>
        </w:rPr>
        <w:t>عن الحكم الشرعي</w:t>
      </w:r>
      <w:r w:rsidR="00EC7EDF" w:rsidRPr="00FD211F">
        <w:rPr>
          <w:sz w:val="36"/>
          <w:szCs w:val="36"/>
          <w:rtl/>
        </w:rPr>
        <w:t xml:space="preserve"> و</w:t>
      </w:r>
      <w:r w:rsidRPr="00FD211F">
        <w:rPr>
          <w:sz w:val="36"/>
          <w:szCs w:val="36"/>
          <w:rtl/>
        </w:rPr>
        <w:t>حقيقته</w:t>
      </w:r>
      <w:r w:rsidR="00EC7EDF" w:rsidRPr="00FD211F">
        <w:rPr>
          <w:sz w:val="36"/>
          <w:szCs w:val="36"/>
          <w:rtl/>
        </w:rPr>
        <w:t xml:space="preserve"> و</w:t>
      </w:r>
      <w:r w:rsidRPr="00FD211F">
        <w:rPr>
          <w:sz w:val="36"/>
          <w:szCs w:val="36"/>
          <w:rtl/>
        </w:rPr>
        <w:t>انقساماته إلى الواقعي</w:t>
      </w:r>
      <w:r w:rsidR="00EC7EDF" w:rsidRPr="00FD211F">
        <w:rPr>
          <w:sz w:val="36"/>
          <w:szCs w:val="36"/>
          <w:rtl/>
        </w:rPr>
        <w:t xml:space="preserve"> و</w:t>
      </w:r>
      <w:r w:rsidRPr="00FD211F">
        <w:rPr>
          <w:sz w:val="36"/>
          <w:szCs w:val="36"/>
          <w:rtl/>
        </w:rPr>
        <w:t>الظاهري</w:t>
      </w:r>
      <w:r w:rsidR="00EC7EDF" w:rsidRPr="00FD211F">
        <w:rPr>
          <w:sz w:val="36"/>
          <w:szCs w:val="36"/>
          <w:rtl/>
        </w:rPr>
        <w:t xml:space="preserve"> و</w:t>
      </w:r>
      <w:r w:rsidRPr="00FD211F">
        <w:rPr>
          <w:sz w:val="36"/>
          <w:szCs w:val="36"/>
          <w:rtl/>
        </w:rPr>
        <w:t>التكليفي</w:t>
      </w:r>
      <w:r w:rsidR="00EC7EDF" w:rsidRPr="00FD211F">
        <w:rPr>
          <w:sz w:val="36"/>
          <w:szCs w:val="36"/>
          <w:rtl/>
        </w:rPr>
        <w:t xml:space="preserve"> و</w:t>
      </w:r>
      <w:r w:rsidRPr="00FD211F">
        <w:rPr>
          <w:sz w:val="36"/>
          <w:szCs w:val="36"/>
          <w:rtl/>
        </w:rPr>
        <w:t>الوضعي</w:t>
      </w:r>
      <w:r w:rsidR="00EC7EDF" w:rsidRPr="00FD211F">
        <w:rPr>
          <w:sz w:val="36"/>
          <w:szCs w:val="36"/>
          <w:rtl/>
        </w:rPr>
        <w:t xml:space="preserve"> و</w:t>
      </w:r>
      <w:r w:rsidRPr="00FD211F">
        <w:rPr>
          <w:sz w:val="36"/>
          <w:szCs w:val="36"/>
          <w:rtl/>
        </w:rPr>
        <w:t xml:space="preserve">غير ذلك من الانقسامات. </w:t>
      </w:r>
    </w:p>
    <w:p w14:paraId="7E57156B" w14:textId="77777777" w:rsidR="001E52A2" w:rsidRPr="00FD211F" w:rsidRDefault="001E52A2" w:rsidP="009C58C8">
      <w:pPr>
        <w:ind w:left="0" w:firstLine="227"/>
        <w:jc w:val="both"/>
        <w:rPr>
          <w:sz w:val="36"/>
          <w:szCs w:val="36"/>
          <w:rtl/>
        </w:rPr>
      </w:pPr>
      <w:r w:rsidRPr="00FD211F">
        <w:rPr>
          <w:sz w:val="36"/>
          <w:szCs w:val="36"/>
          <w:rtl/>
        </w:rPr>
        <w:t>و على هذا ا</w:t>
      </w:r>
      <w:r w:rsidR="007B32DA" w:rsidRPr="00FD211F">
        <w:rPr>
          <w:sz w:val="36"/>
          <w:szCs w:val="36"/>
          <w:rtl/>
        </w:rPr>
        <w:t>لأساس</w:t>
      </w:r>
      <w:r w:rsidR="00603323" w:rsidRPr="00FD211F">
        <w:rPr>
          <w:sz w:val="36"/>
          <w:szCs w:val="36"/>
          <w:rtl/>
        </w:rPr>
        <w:t xml:space="preserve">، </w:t>
      </w:r>
      <w:r w:rsidR="007B32DA" w:rsidRPr="00FD211F">
        <w:rPr>
          <w:sz w:val="36"/>
          <w:szCs w:val="36"/>
          <w:rtl/>
        </w:rPr>
        <w:t>فالمنهج المقترح لبحوث هذا</w:t>
      </w:r>
      <w:r w:rsidRPr="00FD211F">
        <w:rPr>
          <w:sz w:val="36"/>
          <w:szCs w:val="36"/>
          <w:rtl/>
        </w:rPr>
        <w:t xml:space="preserve"> العلم</w:t>
      </w:r>
      <w:r w:rsidR="00603323" w:rsidRPr="00FD211F">
        <w:rPr>
          <w:sz w:val="36"/>
          <w:szCs w:val="36"/>
          <w:rtl/>
        </w:rPr>
        <w:t xml:space="preserve">، </w:t>
      </w:r>
      <w:r w:rsidR="003A36D8" w:rsidRPr="00FD211F">
        <w:rPr>
          <w:sz w:val="36"/>
          <w:szCs w:val="36"/>
          <w:rtl/>
        </w:rPr>
        <w:t>أن توضع مقدم</w:t>
      </w:r>
      <w:r w:rsidR="00EC7EDF" w:rsidRPr="00FD211F">
        <w:rPr>
          <w:sz w:val="36"/>
          <w:szCs w:val="36"/>
          <w:rtl/>
        </w:rPr>
        <w:t xml:space="preserve">ة </w:t>
      </w:r>
      <w:r w:rsidR="003A36D8" w:rsidRPr="00FD211F">
        <w:rPr>
          <w:sz w:val="36"/>
          <w:szCs w:val="36"/>
          <w:rtl/>
        </w:rPr>
        <w:t>تشتمل على أمرين: أحدهما البحث عن حجي</w:t>
      </w:r>
      <w:r w:rsidR="00EC7EDF" w:rsidRPr="00FD211F">
        <w:rPr>
          <w:sz w:val="36"/>
          <w:szCs w:val="36"/>
          <w:rtl/>
        </w:rPr>
        <w:t xml:space="preserve">ة </w:t>
      </w:r>
      <w:r w:rsidR="003A36D8" w:rsidRPr="00FD211F">
        <w:rPr>
          <w:sz w:val="36"/>
          <w:szCs w:val="36"/>
          <w:rtl/>
        </w:rPr>
        <w:t>القطع</w:t>
      </w:r>
      <w:r w:rsidR="00603323" w:rsidRPr="00FD211F">
        <w:rPr>
          <w:sz w:val="36"/>
          <w:szCs w:val="36"/>
          <w:rtl/>
        </w:rPr>
        <w:t xml:space="preserve">، </w:t>
      </w:r>
      <w:r w:rsidR="00EC7EDF" w:rsidRPr="00FD211F">
        <w:rPr>
          <w:sz w:val="36"/>
          <w:szCs w:val="36"/>
          <w:rtl/>
        </w:rPr>
        <w:t>و</w:t>
      </w:r>
      <w:r w:rsidR="003A36D8" w:rsidRPr="00FD211F">
        <w:rPr>
          <w:sz w:val="36"/>
          <w:szCs w:val="36"/>
          <w:rtl/>
        </w:rPr>
        <w:t>الآخر</w:t>
      </w:r>
      <w:r w:rsidRPr="00FD211F">
        <w:rPr>
          <w:sz w:val="36"/>
          <w:szCs w:val="36"/>
          <w:rtl/>
        </w:rPr>
        <w:t xml:space="preserve"> البحث عن حقيق</w:t>
      </w:r>
      <w:r w:rsidR="00EC7EDF" w:rsidRPr="00FD211F">
        <w:rPr>
          <w:sz w:val="36"/>
          <w:szCs w:val="36"/>
          <w:rtl/>
        </w:rPr>
        <w:t xml:space="preserve">ة </w:t>
      </w:r>
      <w:r w:rsidRPr="00FD211F">
        <w:rPr>
          <w:sz w:val="36"/>
          <w:szCs w:val="36"/>
          <w:rtl/>
        </w:rPr>
        <w:t>الحكم</w:t>
      </w:r>
      <w:r w:rsidR="00EC7EDF" w:rsidRPr="00FD211F">
        <w:rPr>
          <w:sz w:val="36"/>
          <w:szCs w:val="36"/>
          <w:rtl/>
        </w:rPr>
        <w:t xml:space="preserve"> و</w:t>
      </w:r>
      <w:r w:rsidRPr="00FD211F">
        <w:rPr>
          <w:sz w:val="36"/>
          <w:szCs w:val="36"/>
          <w:rtl/>
        </w:rPr>
        <w:t>ما</w:t>
      </w:r>
      <w:r w:rsidR="007B32DA" w:rsidRPr="00FD211F">
        <w:rPr>
          <w:sz w:val="36"/>
          <w:szCs w:val="36"/>
          <w:rtl/>
        </w:rPr>
        <w:t xml:space="preserve"> يتصور له من أقسام</w:t>
      </w:r>
      <w:r w:rsidR="00603323" w:rsidRPr="00FD211F">
        <w:rPr>
          <w:sz w:val="36"/>
          <w:szCs w:val="36"/>
          <w:rtl/>
        </w:rPr>
        <w:t xml:space="preserve">، </w:t>
      </w:r>
      <w:r w:rsidR="00EC7EDF" w:rsidRPr="00FD211F">
        <w:rPr>
          <w:sz w:val="36"/>
          <w:szCs w:val="36"/>
          <w:rtl/>
        </w:rPr>
        <w:t>و</w:t>
      </w:r>
      <w:r w:rsidRPr="00FD211F">
        <w:rPr>
          <w:sz w:val="36"/>
          <w:szCs w:val="36"/>
          <w:rtl/>
        </w:rPr>
        <w:t>بعد ذلك</w:t>
      </w:r>
      <w:r w:rsidR="003A36D8" w:rsidRPr="00FD211F">
        <w:rPr>
          <w:sz w:val="36"/>
          <w:szCs w:val="36"/>
          <w:rtl/>
        </w:rPr>
        <w:t xml:space="preserve"> تقسم</w:t>
      </w:r>
      <w:r w:rsidR="00B253CE" w:rsidRPr="00FD211F">
        <w:rPr>
          <w:sz w:val="36"/>
          <w:szCs w:val="36"/>
          <w:rtl/>
        </w:rPr>
        <w:t xml:space="preserve"> </w:t>
      </w:r>
      <w:r w:rsidRPr="00FD211F">
        <w:rPr>
          <w:sz w:val="36"/>
          <w:szCs w:val="36"/>
          <w:rtl/>
        </w:rPr>
        <w:t>البحوث الأصولي</w:t>
      </w:r>
      <w:r w:rsidR="00EC7EDF" w:rsidRPr="00FD211F">
        <w:rPr>
          <w:sz w:val="36"/>
          <w:szCs w:val="36"/>
          <w:rtl/>
        </w:rPr>
        <w:t xml:space="preserve">ة </w:t>
      </w:r>
      <w:r w:rsidRPr="00FD211F">
        <w:rPr>
          <w:sz w:val="36"/>
          <w:szCs w:val="36"/>
          <w:rtl/>
        </w:rPr>
        <w:t>على أساس نو</w:t>
      </w:r>
      <w:r w:rsidR="003A36D8" w:rsidRPr="00FD211F">
        <w:rPr>
          <w:sz w:val="36"/>
          <w:szCs w:val="36"/>
          <w:rtl/>
        </w:rPr>
        <w:t xml:space="preserve">ع </w:t>
      </w:r>
      <w:r w:rsidRPr="00FD211F">
        <w:rPr>
          <w:sz w:val="36"/>
          <w:szCs w:val="36"/>
          <w:rtl/>
        </w:rPr>
        <w:t>دليليّ</w:t>
      </w:r>
      <w:r w:rsidR="00EC7EDF" w:rsidRPr="00FD211F">
        <w:rPr>
          <w:sz w:val="36"/>
          <w:szCs w:val="36"/>
          <w:rtl/>
        </w:rPr>
        <w:t xml:space="preserve">ة </w:t>
      </w:r>
      <w:r w:rsidR="003A36D8" w:rsidRPr="00FD211F">
        <w:rPr>
          <w:sz w:val="36"/>
          <w:szCs w:val="36"/>
          <w:rtl/>
        </w:rPr>
        <w:t xml:space="preserve">الدليل </w:t>
      </w:r>
      <w:r w:rsidRPr="00FD211F">
        <w:rPr>
          <w:sz w:val="36"/>
          <w:szCs w:val="36"/>
          <w:rtl/>
        </w:rPr>
        <w:t xml:space="preserve">من حيث كونه لفظيا أو عقليا أو تعبديا. </w:t>
      </w:r>
    </w:p>
    <w:p w14:paraId="6DDDB277" w14:textId="77777777" w:rsidR="001E52A2" w:rsidRPr="00FD211F" w:rsidRDefault="001E52A2" w:rsidP="009C58C8">
      <w:pPr>
        <w:ind w:left="0" w:firstLine="227"/>
        <w:jc w:val="both"/>
        <w:rPr>
          <w:sz w:val="36"/>
          <w:szCs w:val="36"/>
          <w:rtl/>
        </w:rPr>
      </w:pPr>
      <w:r w:rsidRPr="00FD211F">
        <w:rPr>
          <w:sz w:val="36"/>
          <w:szCs w:val="36"/>
          <w:rtl/>
        </w:rPr>
        <w:t>و على هذا الأساس يمكن ت</w:t>
      </w:r>
      <w:r w:rsidR="003A36D8" w:rsidRPr="00FD211F">
        <w:rPr>
          <w:sz w:val="36"/>
          <w:szCs w:val="36"/>
          <w:rtl/>
        </w:rPr>
        <w:t>قسيم</w:t>
      </w:r>
      <w:r w:rsidR="00B253CE" w:rsidRPr="00FD211F">
        <w:rPr>
          <w:sz w:val="36"/>
          <w:szCs w:val="36"/>
          <w:rtl/>
        </w:rPr>
        <w:t xml:space="preserve"> </w:t>
      </w:r>
      <w:r w:rsidRPr="00FD211F">
        <w:rPr>
          <w:sz w:val="36"/>
          <w:szCs w:val="36"/>
          <w:rtl/>
        </w:rPr>
        <w:t>المسائل الأصولي</w:t>
      </w:r>
      <w:r w:rsidR="00EC7EDF" w:rsidRPr="00FD211F">
        <w:rPr>
          <w:sz w:val="36"/>
          <w:szCs w:val="36"/>
          <w:rtl/>
        </w:rPr>
        <w:t xml:space="preserve">ة </w:t>
      </w:r>
      <w:r w:rsidRPr="00FD211F">
        <w:rPr>
          <w:sz w:val="36"/>
          <w:szCs w:val="36"/>
          <w:rtl/>
        </w:rPr>
        <w:t xml:space="preserve">إلى ما يلي: </w:t>
      </w:r>
    </w:p>
    <w:p w14:paraId="6D145E2A" w14:textId="77777777" w:rsidR="001E52A2" w:rsidRPr="00FD211F" w:rsidRDefault="001E52A2" w:rsidP="009C58C8">
      <w:pPr>
        <w:ind w:left="0" w:firstLine="227"/>
        <w:jc w:val="both"/>
        <w:rPr>
          <w:sz w:val="36"/>
          <w:szCs w:val="36"/>
          <w:rtl/>
        </w:rPr>
      </w:pPr>
      <w:r w:rsidRPr="00FD211F">
        <w:rPr>
          <w:sz w:val="36"/>
          <w:szCs w:val="36"/>
          <w:rtl/>
        </w:rPr>
        <w:t>1 - مباحث الألفاظ -</w:t>
      </w:r>
      <w:r w:rsidR="00EC7EDF" w:rsidRPr="00FD211F">
        <w:rPr>
          <w:sz w:val="36"/>
          <w:szCs w:val="36"/>
          <w:rtl/>
        </w:rPr>
        <w:t xml:space="preserve"> و</w:t>
      </w:r>
      <w:r w:rsidRPr="00FD211F">
        <w:rPr>
          <w:sz w:val="36"/>
          <w:szCs w:val="36"/>
          <w:rtl/>
        </w:rPr>
        <w:t>يتضمن البحث عن الدليليّ</w:t>
      </w:r>
      <w:r w:rsidR="00EC7EDF" w:rsidRPr="00FD211F">
        <w:rPr>
          <w:sz w:val="36"/>
          <w:szCs w:val="36"/>
          <w:rtl/>
        </w:rPr>
        <w:t xml:space="preserve">ة </w:t>
      </w:r>
      <w:r w:rsidRPr="00FD211F">
        <w:rPr>
          <w:sz w:val="36"/>
          <w:szCs w:val="36"/>
          <w:rtl/>
        </w:rPr>
        <w:t>اللفظي</w:t>
      </w:r>
      <w:r w:rsidR="00EC7EDF" w:rsidRPr="00FD211F">
        <w:rPr>
          <w:sz w:val="36"/>
          <w:szCs w:val="36"/>
          <w:rtl/>
        </w:rPr>
        <w:t>ة و</w:t>
      </w:r>
      <w:r w:rsidRPr="00FD211F">
        <w:rPr>
          <w:sz w:val="36"/>
          <w:szCs w:val="36"/>
          <w:rtl/>
        </w:rPr>
        <w:t>كل ما يرجع إلى تشخيص الظهورات اللغوي</w:t>
      </w:r>
      <w:r w:rsidR="00EC7EDF" w:rsidRPr="00FD211F">
        <w:rPr>
          <w:sz w:val="36"/>
          <w:szCs w:val="36"/>
          <w:rtl/>
        </w:rPr>
        <w:t xml:space="preserve">ة </w:t>
      </w:r>
      <w:r w:rsidRPr="00FD211F">
        <w:rPr>
          <w:sz w:val="36"/>
          <w:szCs w:val="36"/>
          <w:rtl/>
        </w:rPr>
        <w:t>أو العرفي</w:t>
      </w:r>
      <w:r w:rsidR="00EC7EDF" w:rsidRPr="00FD211F">
        <w:rPr>
          <w:sz w:val="36"/>
          <w:szCs w:val="36"/>
          <w:rtl/>
        </w:rPr>
        <w:t>ة</w:t>
      </w:r>
      <w:r w:rsidR="00A61BAE" w:rsidRPr="00FD211F">
        <w:rPr>
          <w:sz w:val="36"/>
          <w:szCs w:val="36"/>
          <w:rtl/>
        </w:rPr>
        <w:t>.</w:t>
      </w:r>
      <w:r w:rsidRPr="00FD211F">
        <w:rPr>
          <w:sz w:val="36"/>
          <w:szCs w:val="36"/>
          <w:rtl/>
        </w:rPr>
        <w:t xml:space="preserve"> فيندرج في هذا القسم كل البحوث اللغوي</w:t>
      </w:r>
      <w:r w:rsidR="00EC7EDF" w:rsidRPr="00FD211F">
        <w:rPr>
          <w:sz w:val="36"/>
          <w:szCs w:val="36"/>
          <w:rtl/>
        </w:rPr>
        <w:t xml:space="preserve">ة </w:t>
      </w:r>
      <w:r w:rsidRPr="00FD211F">
        <w:rPr>
          <w:sz w:val="36"/>
          <w:szCs w:val="36"/>
          <w:rtl/>
        </w:rPr>
        <w:t>الأصولي</w:t>
      </w:r>
      <w:r w:rsidR="00EC7EDF" w:rsidRPr="00FD211F">
        <w:rPr>
          <w:sz w:val="36"/>
          <w:szCs w:val="36"/>
          <w:rtl/>
        </w:rPr>
        <w:t>ة</w:t>
      </w:r>
      <w:r w:rsidR="00603323" w:rsidRPr="00FD211F">
        <w:rPr>
          <w:sz w:val="36"/>
          <w:szCs w:val="36"/>
          <w:rtl/>
        </w:rPr>
        <w:t xml:space="preserve">، </w:t>
      </w:r>
      <w:r w:rsidRPr="00FD211F">
        <w:rPr>
          <w:sz w:val="36"/>
          <w:szCs w:val="36"/>
          <w:rtl/>
        </w:rPr>
        <w:t>كما يندرج فيه البحث عن كل ظهور حالي أو سياقي يمكن أن يكون كاشفا عن الحكم الشرعي</w:t>
      </w:r>
      <w:r w:rsidR="00EC7EDF" w:rsidRPr="00FD211F">
        <w:rPr>
          <w:sz w:val="36"/>
          <w:szCs w:val="36"/>
          <w:rtl/>
        </w:rPr>
        <w:t xml:space="preserve"> و</w:t>
      </w:r>
      <w:r w:rsidRPr="00FD211F">
        <w:rPr>
          <w:sz w:val="36"/>
          <w:szCs w:val="36"/>
          <w:rtl/>
        </w:rPr>
        <w:t>لو</w:t>
      </w:r>
      <w:r w:rsidR="008D7B3D" w:rsidRPr="00FD211F">
        <w:rPr>
          <w:sz w:val="36"/>
          <w:szCs w:val="36"/>
          <w:rtl/>
        </w:rPr>
        <w:t xml:space="preserve"> لم‌</w:t>
      </w:r>
      <w:r w:rsidRPr="00FD211F">
        <w:rPr>
          <w:sz w:val="36"/>
          <w:szCs w:val="36"/>
          <w:rtl/>
        </w:rPr>
        <w:t>يتمثل في لفظ كما في دلال</w:t>
      </w:r>
      <w:r w:rsidR="00EC7EDF" w:rsidRPr="00FD211F">
        <w:rPr>
          <w:sz w:val="36"/>
          <w:szCs w:val="36"/>
          <w:rtl/>
        </w:rPr>
        <w:t xml:space="preserve">ة </w:t>
      </w:r>
      <w:r w:rsidRPr="00FD211F">
        <w:rPr>
          <w:sz w:val="36"/>
          <w:szCs w:val="36"/>
          <w:rtl/>
        </w:rPr>
        <w:t xml:space="preserve">فعل المعصوم </w:t>
      </w:r>
      <w:r w:rsidR="007A4A0D" w:rsidRPr="00FD211F">
        <w:rPr>
          <w:sz w:val="36"/>
          <w:szCs w:val="36"/>
          <w:rtl/>
        </w:rPr>
        <w:t>(عليه‌السلام)</w:t>
      </w:r>
      <w:r w:rsidRPr="00FD211F">
        <w:rPr>
          <w:sz w:val="36"/>
          <w:szCs w:val="36"/>
          <w:rtl/>
        </w:rPr>
        <w:t xml:space="preserve"> أو تقريره على الحكم الشرعي. </w:t>
      </w:r>
    </w:p>
    <w:p w14:paraId="416D507E" w14:textId="77777777" w:rsidR="000C5BBA" w:rsidRPr="00FD211F" w:rsidRDefault="001E52A2" w:rsidP="009C58C8">
      <w:pPr>
        <w:ind w:left="0" w:firstLine="227"/>
        <w:jc w:val="both"/>
        <w:rPr>
          <w:sz w:val="36"/>
          <w:szCs w:val="36"/>
          <w:rtl/>
        </w:rPr>
      </w:pPr>
      <w:r w:rsidRPr="00FD211F">
        <w:rPr>
          <w:sz w:val="36"/>
          <w:szCs w:val="36"/>
          <w:rtl/>
        </w:rPr>
        <w:t>2 - مباحث الاستلزام العقلي -</w:t>
      </w:r>
      <w:r w:rsidR="00EC7EDF" w:rsidRPr="00FD211F">
        <w:rPr>
          <w:sz w:val="36"/>
          <w:szCs w:val="36"/>
          <w:rtl/>
        </w:rPr>
        <w:t xml:space="preserve"> و</w:t>
      </w:r>
      <w:r w:rsidRPr="00FD211F">
        <w:rPr>
          <w:sz w:val="36"/>
          <w:szCs w:val="36"/>
          <w:rtl/>
        </w:rPr>
        <w:t>يتضمن البحث عن الدليليّ</w:t>
      </w:r>
      <w:r w:rsidR="00EC7EDF" w:rsidRPr="00FD211F">
        <w:rPr>
          <w:sz w:val="36"/>
          <w:szCs w:val="36"/>
          <w:rtl/>
        </w:rPr>
        <w:t xml:space="preserve">ة </w:t>
      </w:r>
      <w:r w:rsidRPr="00FD211F">
        <w:rPr>
          <w:sz w:val="36"/>
          <w:szCs w:val="36"/>
          <w:rtl/>
        </w:rPr>
        <w:t>العقلي</w:t>
      </w:r>
      <w:r w:rsidR="00EC7EDF" w:rsidRPr="00FD211F">
        <w:rPr>
          <w:sz w:val="36"/>
          <w:szCs w:val="36"/>
          <w:rtl/>
        </w:rPr>
        <w:t xml:space="preserve">ة </w:t>
      </w:r>
      <w:r w:rsidR="007B32DA" w:rsidRPr="00FD211F">
        <w:rPr>
          <w:sz w:val="36"/>
          <w:szCs w:val="36"/>
          <w:rtl/>
        </w:rPr>
        <w:t>البر</w:t>
      </w:r>
      <w:r w:rsidRPr="00FD211F">
        <w:rPr>
          <w:sz w:val="36"/>
          <w:szCs w:val="36"/>
          <w:rtl/>
        </w:rPr>
        <w:t>هاني</w:t>
      </w:r>
      <w:r w:rsidR="00EC7EDF" w:rsidRPr="00FD211F">
        <w:rPr>
          <w:sz w:val="36"/>
          <w:szCs w:val="36"/>
          <w:rtl/>
        </w:rPr>
        <w:t xml:space="preserve">ة </w:t>
      </w:r>
      <w:r w:rsidRPr="00FD211F">
        <w:rPr>
          <w:sz w:val="36"/>
          <w:szCs w:val="36"/>
          <w:rtl/>
        </w:rPr>
        <w:t>- غير الاستقرائي</w:t>
      </w:r>
      <w:r w:rsidR="00EC7EDF" w:rsidRPr="00FD211F">
        <w:rPr>
          <w:sz w:val="36"/>
          <w:szCs w:val="36"/>
          <w:rtl/>
        </w:rPr>
        <w:t xml:space="preserve">ة </w:t>
      </w:r>
      <w:r w:rsidRPr="00FD211F">
        <w:rPr>
          <w:sz w:val="36"/>
          <w:szCs w:val="36"/>
          <w:rtl/>
        </w:rPr>
        <w:t>-</w:t>
      </w:r>
      <w:r w:rsidR="00EC7EDF" w:rsidRPr="00FD211F">
        <w:rPr>
          <w:sz w:val="36"/>
          <w:szCs w:val="36"/>
          <w:rtl/>
        </w:rPr>
        <w:t xml:space="preserve"> و</w:t>
      </w:r>
      <w:r w:rsidRPr="00FD211F">
        <w:rPr>
          <w:sz w:val="36"/>
          <w:szCs w:val="36"/>
          <w:rtl/>
        </w:rPr>
        <w:t>يندرج في هذا القسم البحث عن كل قاعد</w:t>
      </w:r>
      <w:r w:rsidR="00EC7EDF" w:rsidRPr="00FD211F">
        <w:rPr>
          <w:sz w:val="36"/>
          <w:szCs w:val="36"/>
          <w:rtl/>
        </w:rPr>
        <w:t xml:space="preserve">ة </w:t>
      </w:r>
      <w:r w:rsidRPr="00FD211F">
        <w:rPr>
          <w:sz w:val="36"/>
          <w:szCs w:val="36"/>
          <w:rtl/>
        </w:rPr>
        <w:t>عقلي</w:t>
      </w:r>
      <w:r w:rsidR="00EC7EDF" w:rsidRPr="00FD211F">
        <w:rPr>
          <w:sz w:val="36"/>
          <w:szCs w:val="36"/>
          <w:rtl/>
        </w:rPr>
        <w:t xml:space="preserve">ة </w:t>
      </w:r>
      <w:r w:rsidRPr="00FD211F">
        <w:rPr>
          <w:sz w:val="36"/>
          <w:szCs w:val="36"/>
          <w:rtl/>
        </w:rPr>
        <w:t>برهاني</w:t>
      </w:r>
      <w:r w:rsidR="00EC7EDF" w:rsidRPr="00FD211F">
        <w:rPr>
          <w:sz w:val="36"/>
          <w:szCs w:val="36"/>
          <w:rtl/>
        </w:rPr>
        <w:t xml:space="preserve">ة </w:t>
      </w:r>
      <w:r w:rsidRPr="00FD211F">
        <w:rPr>
          <w:sz w:val="36"/>
          <w:szCs w:val="36"/>
          <w:rtl/>
        </w:rPr>
        <w:t>يمكن أن يستنبط منها حكم شرعي</w:t>
      </w:r>
      <w:r w:rsidR="008F7DAC" w:rsidRPr="00FD211F">
        <w:rPr>
          <w:sz w:val="36"/>
          <w:szCs w:val="36"/>
          <w:rtl/>
        </w:rPr>
        <w:t>.</w:t>
      </w:r>
    </w:p>
    <w:p w14:paraId="19B5C685" w14:textId="77777777" w:rsidR="001E52A2" w:rsidRPr="00FD211F" w:rsidRDefault="00EC7EDF" w:rsidP="009C58C8">
      <w:pPr>
        <w:ind w:left="0" w:firstLine="227"/>
        <w:jc w:val="both"/>
        <w:rPr>
          <w:sz w:val="36"/>
          <w:szCs w:val="36"/>
          <w:rtl/>
        </w:rPr>
      </w:pPr>
      <w:r w:rsidRPr="00FD211F">
        <w:rPr>
          <w:sz w:val="36"/>
          <w:szCs w:val="36"/>
          <w:rtl/>
        </w:rPr>
        <w:t>و</w:t>
      </w:r>
      <w:r w:rsidR="001E52A2" w:rsidRPr="00FD211F">
        <w:rPr>
          <w:sz w:val="36"/>
          <w:szCs w:val="36"/>
          <w:rtl/>
        </w:rPr>
        <w:t xml:space="preserve">هي على قسمين: </w:t>
      </w:r>
      <w:r w:rsidR="008F7DAC" w:rsidRPr="00FD211F">
        <w:rPr>
          <w:sz w:val="36"/>
          <w:szCs w:val="36"/>
          <w:rtl/>
        </w:rPr>
        <w:t>احدهما</w:t>
      </w:r>
      <w:r w:rsidR="001E52A2" w:rsidRPr="00FD211F">
        <w:rPr>
          <w:sz w:val="36"/>
          <w:szCs w:val="36"/>
          <w:rtl/>
        </w:rPr>
        <w:t xml:space="preserve"> غير المستقلات العقلي</w:t>
      </w:r>
      <w:r w:rsidRPr="00FD211F">
        <w:rPr>
          <w:sz w:val="36"/>
          <w:szCs w:val="36"/>
          <w:rtl/>
        </w:rPr>
        <w:t xml:space="preserve">ة </w:t>
      </w:r>
      <w:r w:rsidR="001E52A2" w:rsidRPr="00FD211F">
        <w:rPr>
          <w:sz w:val="36"/>
          <w:szCs w:val="36"/>
          <w:rtl/>
        </w:rPr>
        <w:t>-</w:t>
      </w:r>
      <w:r w:rsidRPr="00FD211F">
        <w:rPr>
          <w:sz w:val="36"/>
          <w:szCs w:val="36"/>
          <w:rtl/>
        </w:rPr>
        <w:t xml:space="preserve"> و</w:t>
      </w:r>
      <w:r w:rsidR="001E52A2" w:rsidRPr="00FD211F">
        <w:rPr>
          <w:sz w:val="36"/>
          <w:szCs w:val="36"/>
          <w:rtl/>
        </w:rPr>
        <w:t>يبحث فيها عن القواعد العقلي</w:t>
      </w:r>
      <w:r w:rsidRPr="00FD211F">
        <w:rPr>
          <w:sz w:val="36"/>
          <w:szCs w:val="36"/>
          <w:rtl/>
        </w:rPr>
        <w:t xml:space="preserve">ة </w:t>
      </w:r>
      <w:r w:rsidR="001E52A2" w:rsidRPr="00FD211F">
        <w:rPr>
          <w:sz w:val="36"/>
          <w:szCs w:val="36"/>
          <w:rtl/>
        </w:rPr>
        <w:t>التي يستنبط منها الحكم الشرعي بعد ضم مقدم</w:t>
      </w:r>
      <w:r w:rsidRPr="00FD211F">
        <w:rPr>
          <w:sz w:val="36"/>
          <w:szCs w:val="36"/>
          <w:rtl/>
        </w:rPr>
        <w:t xml:space="preserve">ة </w:t>
      </w:r>
      <w:r w:rsidR="001E52A2" w:rsidRPr="00FD211F">
        <w:rPr>
          <w:sz w:val="36"/>
          <w:szCs w:val="36"/>
          <w:rtl/>
        </w:rPr>
        <w:t>شرعي</w:t>
      </w:r>
      <w:r w:rsidRPr="00FD211F">
        <w:rPr>
          <w:sz w:val="36"/>
          <w:szCs w:val="36"/>
          <w:rtl/>
        </w:rPr>
        <w:t xml:space="preserve">ة </w:t>
      </w:r>
      <w:r w:rsidR="001E52A2" w:rsidRPr="00FD211F">
        <w:rPr>
          <w:sz w:val="36"/>
          <w:szCs w:val="36"/>
          <w:rtl/>
        </w:rPr>
        <w:t>إليها</w:t>
      </w:r>
      <w:r w:rsidR="00603323" w:rsidRPr="00FD211F">
        <w:rPr>
          <w:sz w:val="36"/>
          <w:szCs w:val="36"/>
          <w:rtl/>
        </w:rPr>
        <w:t xml:space="preserve">، </w:t>
      </w:r>
      <w:r w:rsidR="008F7DAC" w:rsidRPr="00FD211F">
        <w:rPr>
          <w:sz w:val="36"/>
          <w:szCs w:val="36"/>
          <w:rtl/>
        </w:rPr>
        <w:t>كالبحث عن الملازم</w:t>
      </w:r>
      <w:r w:rsidRPr="00FD211F">
        <w:rPr>
          <w:sz w:val="36"/>
          <w:szCs w:val="36"/>
          <w:rtl/>
        </w:rPr>
        <w:t xml:space="preserve">ة </w:t>
      </w:r>
      <w:r w:rsidR="008F7DAC" w:rsidRPr="00FD211F">
        <w:rPr>
          <w:sz w:val="36"/>
          <w:szCs w:val="36"/>
          <w:rtl/>
        </w:rPr>
        <w:t>بين وجوب المقدم</w:t>
      </w:r>
      <w:r w:rsidRPr="00FD211F">
        <w:rPr>
          <w:sz w:val="36"/>
          <w:szCs w:val="36"/>
          <w:rtl/>
        </w:rPr>
        <w:t xml:space="preserve">ة </w:t>
      </w:r>
      <w:r w:rsidR="008F7DAC" w:rsidRPr="00FD211F">
        <w:rPr>
          <w:sz w:val="36"/>
          <w:szCs w:val="36"/>
          <w:rtl/>
        </w:rPr>
        <w:t>ووجوب ذيها</w:t>
      </w:r>
      <w:r w:rsidR="00603323" w:rsidRPr="00FD211F">
        <w:rPr>
          <w:sz w:val="36"/>
          <w:szCs w:val="36"/>
          <w:rtl/>
        </w:rPr>
        <w:t xml:space="preserve">، </w:t>
      </w:r>
      <w:r w:rsidR="008F7DAC" w:rsidRPr="00FD211F">
        <w:rPr>
          <w:sz w:val="36"/>
          <w:szCs w:val="36"/>
          <w:rtl/>
        </w:rPr>
        <w:t>حيث أنه بعد ضم وجوب</w:t>
      </w:r>
      <w:r w:rsidR="00FA7964" w:rsidRPr="00FD211F">
        <w:rPr>
          <w:sz w:val="36"/>
          <w:szCs w:val="36"/>
          <w:rtl/>
        </w:rPr>
        <w:t xml:space="preserve"> شيء</w:t>
      </w:r>
      <w:r w:rsidR="00E00208" w:rsidRPr="00FD211F">
        <w:rPr>
          <w:sz w:val="36"/>
          <w:szCs w:val="36"/>
          <w:rtl/>
        </w:rPr>
        <w:t xml:space="preserve"> </w:t>
      </w:r>
      <w:r w:rsidR="008F7DAC" w:rsidRPr="00FD211F">
        <w:rPr>
          <w:sz w:val="36"/>
          <w:szCs w:val="36"/>
          <w:rtl/>
        </w:rPr>
        <w:t>شرعا الى هذه الملازم</w:t>
      </w:r>
      <w:r w:rsidRPr="00FD211F">
        <w:rPr>
          <w:sz w:val="36"/>
          <w:szCs w:val="36"/>
          <w:rtl/>
        </w:rPr>
        <w:t xml:space="preserve">ة </w:t>
      </w:r>
      <w:r w:rsidR="008F7DAC" w:rsidRPr="00FD211F">
        <w:rPr>
          <w:sz w:val="36"/>
          <w:szCs w:val="36"/>
          <w:rtl/>
        </w:rPr>
        <w:t>يثبت وجوب مقدمته شرعا</w:t>
      </w:r>
      <w:r w:rsidR="001E52A2" w:rsidRPr="00FD211F">
        <w:rPr>
          <w:sz w:val="36"/>
          <w:szCs w:val="36"/>
          <w:rtl/>
        </w:rPr>
        <w:t xml:space="preserve">. </w:t>
      </w:r>
    </w:p>
    <w:p w14:paraId="6D8DA080" w14:textId="77777777" w:rsidR="001E52A2" w:rsidRPr="00FD211F" w:rsidRDefault="008F7DAC" w:rsidP="009C58C8">
      <w:pPr>
        <w:ind w:left="0" w:firstLine="227"/>
        <w:jc w:val="both"/>
        <w:rPr>
          <w:sz w:val="36"/>
          <w:szCs w:val="36"/>
          <w:rtl/>
        </w:rPr>
      </w:pPr>
      <w:r w:rsidRPr="00FD211F">
        <w:rPr>
          <w:sz w:val="36"/>
          <w:szCs w:val="36"/>
          <w:rtl/>
        </w:rPr>
        <w:t>وثانيهما</w:t>
      </w:r>
      <w:r w:rsidR="00D052EE" w:rsidRPr="00FD211F">
        <w:rPr>
          <w:sz w:val="36"/>
          <w:szCs w:val="36"/>
          <w:rtl/>
        </w:rPr>
        <w:t xml:space="preserve"> </w:t>
      </w:r>
      <w:r w:rsidR="001E52A2" w:rsidRPr="00FD211F">
        <w:rPr>
          <w:sz w:val="36"/>
          <w:szCs w:val="36"/>
          <w:rtl/>
        </w:rPr>
        <w:t>المستقلات العقلي</w:t>
      </w:r>
      <w:r w:rsidR="00EC7EDF" w:rsidRPr="00FD211F">
        <w:rPr>
          <w:sz w:val="36"/>
          <w:szCs w:val="36"/>
          <w:rtl/>
        </w:rPr>
        <w:t xml:space="preserve">ة </w:t>
      </w:r>
      <w:r w:rsidR="001E52A2" w:rsidRPr="00FD211F">
        <w:rPr>
          <w:sz w:val="36"/>
          <w:szCs w:val="36"/>
          <w:rtl/>
        </w:rPr>
        <w:t>-</w:t>
      </w:r>
      <w:r w:rsidR="00EC7EDF" w:rsidRPr="00FD211F">
        <w:rPr>
          <w:sz w:val="36"/>
          <w:szCs w:val="36"/>
          <w:rtl/>
        </w:rPr>
        <w:t xml:space="preserve"> و</w:t>
      </w:r>
      <w:r w:rsidR="001E52A2" w:rsidRPr="00FD211F">
        <w:rPr>
          <w:sz w:val="36"/>
          <w:szCs w:val="36"/>
          <w:rtl/>
        </w:rPr>
        <w:t>يراد بها القاعد</w:t>
      </w:r>
      <w:r w:rsidR="00EC7EDF" w:rsidRPr="00FD211F">
        <w:rPr>
          <w:sz w:val="36"/>
          <w:szCs w:val="36"/>
          <w:rtl/>
        </w:rPr>
        <w:t xml:space="preserve">ة </w:t>
      </w:r>
      <w:r w:rsidR="001E52A2" w:rsidRPr="00FD211F">
        <w:rPr>
          <w:sz w:val="36"/>
          <w:szCs w:val="36"/>
          <w:rtl/>
        </w:rPr>
        <w:t>العقلي</w:t>
      </w:r>
      <w:r w:rsidR="00EC7EDF" w:rsidRPr="00FD211F">
        <w:rPr>
          <w:sz w:val="36"/>
          <w:szCs w:val="36"/>
          <w:rtl/>
        </w:rPr>
        <w:t xml:space="preserve">ة </w:t>
      </w:r>
      <w:r w:rsidR="001E52A2" w:rsidRPr="00FD211F">
        <w:rPr>
          <w:sz w:val="36"/>
          <w:szCs w:val="36"/>
          <w:rtl/>
        </w:rPr>
        <w:t>التي يمكن على أساسها أن يستنبط حكم شرعي بلا توسيط مقدم</w:t>
      </w:r>
      <w:r w:rsidR="00EC7EDF" w:rsidRPr="00FD211F">
        <w:rPr>
          <w:sz w:val="36"/>
          <w:szCs w:val="36"/>
          <w:rtl/>
        </w:rPr>
        <w:t xml:space="preserve">ة </w:t>
      </w:r>
      <w:r w:rsidR="001E52A2" w:rsidRPr="00FD211F">
        <w:rPr>
          <w:sz w:val="36"/>
          <w:szCs w:val="36"/>
          <w:rtl/>
        </w:rPr>
        <w:t>شرعي</w:t>
      </w:r>
      <w:r w:rsidR="00EC7EDF" w:rsidRPr="00FD211F">
        <w:rPr>
          <w:sz w:val="36"/>
          <w:szCs w:val="36"/>
          <w:rtl/>
        </w:rPr>
        <w:t xml:space="preserve">ة </w:t>
      </w:r>
      <w:r w:rsidR="007B32DA" w:rsidRPr="00FD211F">
        <w:rPr>
          <w:sz w:val="36"/>
          <w:szCs w:val="36"/>
          <w:rtl/>
        </w:rPr>
        <w:t>ويعبر</w:t>
      </w:r>
      <w:r w:rsidR="00C7588D" w:rsidRPr="00FD211F">
        <w:rPr>
          <w:sz w:val="36"/>
          <w:szCs w:val="36"/>
          <w:rtl/>
        </w:rPr>
        <w:t xml:space="preserve"> </w:t>
      </w:r>
      <w:r w:rsidR="001E52A2" w:rsidRPr="00FD211F">
        <w:rPr>
          <w:sz w:val="36"/>
          <w:szCs w:val="36"/>
          <w:rtl/>
        </w:rPr>
        <w:t>عن</w:t>
      </w:r>
      <w:r w:rsidR="007B32DA" w:rsidRPr="00FD211F">
        <w:rPr>
          <w:sz w:val="36"/>
          <w:szCs w:val="36"/>
          <w:rtl/>
        </w:rPr>
        <w:t xml:space="preserve"> </w:t>
      </w:r>
      <w:r w:rsidR="001E52A2" w:rsidRPr="00FD211F">
        <w:rPr>
          <w:sz w:val="36"/>
          <w:szCs w:val="36"/>
          <w:rtl/>
        </w:rPr>
        <w:t>ه</w:t>
      </w:r>
      <w:r w:rsidR="007B32DA" w:rsidRPr="00FD211F">
        <w:rPr>
          <w:sz w:val="36"/>
          <w:szCs w:val="36"/>
          <w:rtl/>
        </w:rPr>
        <w:t xml:space="preserve">ذه القاعدة </w:t>
      </w:r>
      <w:r w:rsidR="001E52A2" w:rsidRPr="00FD211F">
        <w:rPr>
          <w:sz w:val="36"/>
          <w:szCs w:val="36"/>
          <w:rtl/>
        </w:rPr>
        <w:t>بقاعد</w:t>
      </w:r>
      <w:r w:rsidR="00EC7EDF" w:rsidRPr="00FD211F">
        <w:rPr>
          <w:sz w:val="36"/>
          <w:szCs w:val="36"/>
          <w:rtl/>
        </w:rPr>
        <w:t xml:space="preserve">ة </w:t>
      </w:r>
      <w:r w:rsidR="001E52A2" w:rsidRPr="00FD211F">
        <w:rPr>
          <w:sz w:val="36"/>
          <w:szCs w:val="36"/>
          <w:rtl/>
        </w:rPr>
        <w:t>الملازم</w:t>
      </w:r>
      <w:r w:rsidR="00EC7EDF" w:rsidRPr="00FD211F">
        <w:rPr>
          <w:sz w:val="36"/>
          <w:szCs w:val="36"/>
          <w:rtl/>
        </w:rPr>
        <w:t xml:space="preserve">ة </w:t>
      </w:r>
      <w:r w:rsidR="001E52A2" w:rsidRPr="00FD211F">
        <w:rPr>
          <w:sz w:val="36"/>
          <w:szCs w:val="36"/>
          <w:rtl/>
        </w:rPr>
        <w:t xml:space="preserve">بين ما حكم به العقل </w:t>
      </w:r>
      <w:r w:rsidR="00EC7EDF" w:rsidRPr="00FD211F">
        <w:rPr>
          <w:sz w:val="36"/>
          <w:szCs w:val="36"/>
          <w:rtl/>
        </w:rPr>
        <w:t>و</w:t>
      </w:r>
      <w:r w:rsidR="00270557" w:rsidRPr="00FD211F">
        <w:rPr>
          <w:sz w:val="36"/>
          <w:szCs w:val="36"/>
          <w:rtl/>
        </w:rPr>
        <w:t>ما حكم به الشرع</w:t>
      </w:r>
      <w:r w:rsidR="00603323" w:rsidRPr="00FD211F">
        <w:rPr>
          <w:sz w:val="36"/>
          <w:szCs w:val="36"/>
          <w:rtl/>
        </w:rPr>
        <w:t xml:space="preserve">، </w:t>
      </w:r>
      <w:r w:rsidR="00EC7EDF" w:rsidRPr="00FD211F">
        <w:rPr>
          <w:sz w:val="36"/>
          <w:szCs w:val="36"/>
          <w:rtl/>
        </w:rPr>
        <w:t>و</w:t>
      </w:r>
      <w:r w:rsidR="001E52A2" w:rsidRPr="00FD211F">
        <w:rPr>
          <w:sz w:val="36"/>
          <w:szCs w:val="36"/>
          <w:rtl/>
        </w:rPr>
        <w:t>يبدأ في هذا القسم أولا بالبحث عن حقيق</w:t>
      </w:r>
      <w:r w:rsidR="00EC7EDF" w:rsidRPr="00FD211F">
        <w:rPr>
          <w:sz w:val="36"/>
          <w:szCs w:val="36"/>
          <w:rtl/>
        </w:rPr>
        <w:t xml:space="preserve">ة </w:t>
      </w:r>
      <w:r w:rsidR="00270557" w:rsidRPr="00FD211F">
        <w:rPr>
          <w:sz w:val="36"/>
          <w:szCs w:val="36"/>
          <w:rtl/>
        </w:rPr>
        <w:t>الحكم العقلي بالحس</w:t>
      </w:r>
      <w:r w:rsidR="001E52A2" w:rsidRPr="00FD211F">
        <w:rPr>
          <w:sz w:val="36"/>
          <w:szCs w:val="36"/>
          <w:rtl/>
        </w:rPr>
        <w:t>ن</w:t>
      </w:r>
      <w:r w:rsidR="00EC7EDF" w:rsidRPr="00FD211F">
        <w:rPr>
          <w:sz w:val="36"/>
          <w:szCs w:val="36"/>
          <w:rtl/>
        </w:rPr>
        <w:t xml:space="preserve"> و</w:t>
      </w:r>
      <w:r w:rsidR="00270557" w:rsidRPr="00FD211F">
        <w:rPr>
          <w:sz w:val="36"/>
          <w:szCs w:val="36"/>
          <w:rtl/>
        </w:rPr>
        <w:t>القب</w:t>
      </w:r>
      <w:r w:rsidR="001E52A2" w:rsidRPr="00FD211F">
        <w:rPr>
          <w:sz w:val="36"/>
          <w:szCs w:val="36"/>
          <w:rtl/>
        </w:rPr>
        <w:t>ح ثم يبحث عن قاعد</w:t>
      </w:r>
      <w:r w:rsidR="00EC7EDF" w:rsidRPr="00FD211F">
        <w:rPr>
          <w:sz w:val="36"/>
          <w:szCs w:val="36"/>
          <w:rtl/>
        </w:rPr>
        <w:t xml:space="preserve">ة </w:t>
      </w:r>
      <w:r w:rsidR="001E52A2" w:rsidRPr="00FD211F">
        <w:rPr>
          <w:sz w:val="36"/>
          <w:szCs w:val="36"/>
          <w:rtl/>
        </w:rPr>
        <w:t>الملازم</w:t>
      </w:r>
      <w:r w:rsidR="00EC7EDF" w:rsidRPr="00FD211F">
        <w:rPr>
          <w:sz w:val="36"/>
          <w:szCs w:val="36"/>
          <w:rtl/>
        </w:rPr>
        <w:t>ة</w:t>
      </w:r>
      <w:r w:rsidR="00A61BAE" w:rsidRPr="00FD211F">
        <w:rPr>
          <w:sz w:val="36"/>
          <w:szCs w:val="36"/>
          <w:rtl/>
        </w:rPr>
        <w:t>.</w:t>
      </w:r>
      <w:r w:rsidR="001E52A2" w:rsidRPr="00FD211F">
        <w:rPr>
          <w:sz w:val="36"/>
          <w:szCs w:val="36"/>
          <w:rtl/>
        </w:rPr>
        <w:t xml:space="preserve"> </w:t>
      </w:r>
    </w:p>
    <w:p w14:paraId="6D533393" w14:textId="77777777" w:rsidR="001E52A2" w:rsidRPr="00FD211F" w:rsidRDefault="001E52A2" w:rsidP="009C58C8">
      <w:pPr>
        <w:ind w:left="0" w:firstLine="227"/>
        <w:jc w:val="both"/>
        <w:rPr>
          <w:sz w:val="36"/>
          <w:szCs w:val="36"/>
          <w:rtl/>
        </w:rPr>
      </w:pPr>
      <w:r w:rsidRPr="00FD211F">
        <w:rPr>
          <w:sz w:val="36"/>
          <w:szCs w:val="36"/>
          <w:rtl/>
        </w:rPr>
        <w:t>3 - مباحث الدليل الاستقرائي -</w:t>
      </w:r>
      <w:r w:rsidR="00EC7EDF" w:rsidRPr="00FD211F">
        <w:rPr>
          <w:sz w:val="36"/>
          <w:szCs w:val="36"/>
          <w:rtl/>
        </w:rPr>
        <w:t xml:space="preserve"> و</w:t>
      </w:r>
      <w:r w:rsidRPr="00FD211F">
        <w:rPr>
          <w:sz w:val="36"/>
          <w:szCs w:val="36"/>
          <w:rtl/>
        </w:rPr>
        <w:t>يتضمن البحث عن الإجماع</w:t>
      </w:r>
      <w:r w:rsidR="00EC7EDF" w:rsidRPr="00FD211F">
        <w:rPr>
          <w:sz w:val="36"/>
          <w:szCs w:val="36"/>
          <w:rtl/>
        </w:rPr>
        <w:t xml:space="preserve"> و</w:t>
      </w:r>
      <w:r w:rsidRPr="00FD211F">
        <w:rPr>
          <w:sz w:val="36"/>
          <w:szCs w:val="36"/>
          <w:rtl/>
        </w:rPr>
        <w:t>السير</w:t>
      </w:r>
      <w:r w:rsidR="00EC7EDF" w:rsidRPr="00FD211F">
        <w:rPr>
          <w:sz w:val="36"/>
          <w:szCs w:val="36"/>
          <w:rtl/>
        </w:rPr>
        <w:t>ة و</w:t>
      </w:r>
      <w:r w:rsidRPr="00FD211F">
        <w:rPr>
          <w:sz w:val="36"/>
          <w:szCs w:val="36"/>
          <w:rtl/>
        </w:rPr>
        <w:t>التواتر التي تكون دليليتها قائم</w:t>
      </w:r>
      <w:r w:rsidR="00EC7EDF" w:rsidRPr="00FD211F">
        <w:rPr>
          <w:sz w:val="36"/>
          <w:szCs w:val="36"/>
          <w:rtl/>
        </w:rPr>
        <w:t xml:space="preserve">ة </w:t>
      </w:r>
      <w:r w:rsidRPr="00FD211F">
        <w:rPr>
          <w:sz w:val="36"/>
          <w:szCs w:val="36"/>
          <w:rtl/>
        </w:rPr>
        <w:t>على أساس حساب الاحتمالات</w:t>
      </w:r>
      <w:r w:rsidR="00EC7EDF" w:rsidRPr="00FD211F">
        <w:rPr>
          <w:sz w:val="36"/>
          <w:szCs w:val="36"/>
          <w:rtl/>
        </w:rPr>
        <w:t xml:space="preserve"> و</w:t>
      </w:r>
      <w:r w:rsidRPr="00FD211F">
        <w:rPr>
          <w:sz w:val="36"/>
          <w:szCs w:val="36"/>
          <w:rtl/>
        </w:rPr>
        <w:t>الاستقراء</w:t>
      </w:r>
      <w:r w:rsidR="00270557" w:rsidRPr="00FD211F">
        <w:rPr>
          <w:sz w:val="36"/>
          <w:szCs w:val="36"/>
          <w:rtl/>
        </w:rPr>
        <w:t xml:space="preserve">كماسبق توضيحه في بحث اقسام الدليل </w:t>
      </w:r>
      <w:r w:rsidR="00150FB1" w:rsidRPr="00FD211F">
        <w:rPr>
          <w:sz w:val="36"/>
          <w:szCs w:val="36"/>
          <w:rtl/>
        </w:rPr>
        <w:t>على الجعل الشرعي -</w:t>
      </w:r>
      <w:r w:rsidR="00EC7EDF" w:rsidRPr="00FD211F">
        <w:rPr>
          <w:sz w:val="36"/>
          <w:szCs w:val="36"/>
          <w:rtl/>
        </w:rPr>
        <w:t xml:space="preserve"> و</w:t>
      </w:r>
      <w:r w:rsidRPr="00FD211F">
        <w:rPr>
          <w:sz w:val="36"/>
          <w:szCs w:val="36"/>
          <w:rtl/>
        </w:rPr>
        <w:t>يبدأ البحث في هذا القسم بنبذ</w:t>
      </w:r>
      <w:r w:rsidR="00EC7EDF" w:rsidRPr="00FD211F">
        <w:rPr>
          <w:sz w:val="36"/>
          <w:szCs w:val="36"/>
          <w:rtl/>
        </w:rPr>
        <w:t xml:space="preserve">ة </w:t>
      </w:r>
      <w:r w:rsidRPr="00FD211F">
        <w:rPr>
          <w:sz w:val="36"/>
          <w:szCs w:val="36"/>
          <w:rtl/>
        </w:rPr>
        <w:t>في شرح حقيق</w:t>
      </w:r>
      <w:r w:rsidR="00EC7EDF" w:rsidRPr="00FD211F">
        <w:rPr>
          <w:sz w:val="36"/>
          <w:szCs w:val="36"/>
          <w:rtl/>
        </w:rPr>
        <w:t xml:space="preserve">ة </w:t>
      </w:r>
      <w:r w:rsidRPr="00FD211F">
        <w:rPr>
          <w:sz w:val="36"/>
          <w:szCs w:val="36"/>
          <w:rtl/>
        </w:rPr>
        <w:t xml:space="preserve">الدليل الاستقرائي على نحو الإجمال. </w:t>
      </w:r>
    </w:p>
    <w:p w14:paraId="2BEE8FF4" w14:textId="77777777" w:rsidR="001E52A2" w:rsidRPr="00FD211F" w:rsidRDefault="00D052EE" w:rsidP="009C58C8">
      <w:pPr>
        <w:ind w:left="0" w:firstLine="227"/>
        <w:jc w:val="both"/>
        <w:rPr>
          <w:sz w:val="36"/>
          <w:szCs w:val="36"/>
          <w:rtl/>
        </w:rPr>
      </w:pPr>
      <w:r w:rsidRPr="00FD211F">
        <w:rPr>
          <w:sz w:val="36"/>
          <w:szCs w:val="36"/>
          <w:rtl/>
        </w:rPr>
        <w:t xml:space="preserve">4- </w:t>
      </w:r>
      <w:r w:rsidR="001E52A2" w:rsidRPr="00FD211F">
        <w:rPr>
          <w:sz w:val="36"/>
          <w:szCs w:val="36"/>
          <w:rtl/>
        </w:rPr>
        <w:t>الحجج الشرعي</w:t>
      </w:r>
      <w:r w:rsidR="00EC7EDF" w:rsidRPr="00FD211F">
        <w:rPr>
          <w:sz w:val="36"/>
          <w:szCs w:val="36"/>
          <w:rtl/>
        </w:rPr>
        <w:t>ة</w:t>
      </w:r>
      <w:r w:rsidR="00057D31" w:rsidRPr="00FD211F">
        <w:rPr>
          <w:sz w:val="36"/>
          <w:szCs w:val="36"/>
          <w:rtl/>
        </w:rPr>
        <w:t>:</w:t>
      </w:r>
      <w:r w:rsidR="00EC7EDF" w:rsidRPr="00FD211F">
        <w:rPr>
          <w:sz w:val="36"/>
          <w:szCs w:val="36"/>
          <w:rtl/>
        </w:rPr>
        <w:t xml:space="preserve"> و</w:t>
      </w:r>
      <w:r w:rsidR="001E52A2" w:rsidRPr="00FD211F">
        <w:rPr>
          <w:sz w:val="36"/>
          <w:szCs w:val="36"/>
          <w:rtl/>
        </w:rPr>
        <w:t>تتضمن البحث عن الأدل</w:t>
      </w:r>
      <w:r w:rsidR="00EC7EDF" w:rsidRPr="00FD211F">
        <w:rPr>
          <w:sz w:val="36"/>
          <w:szCs w:val="36"/>
          <w:rtl/>
        </w:rPr>
        <w:t xml:space="preserve">ة </w:t>
      </w:r>
      <w:r w:rsidR="00150FB1" w:rsidRPr="00FD211F">
        <w:rPr>
          <w:sz w:val="36"/>
          <w:szCs w:val="36"/>
          <w:rtl/>
        </w:rPr>
        <w:t>التي تثبت دليليتها بجعل شرعي</w:t>
      </w:r>
      <w:r w:rsidR="00603323" w:rsidRPr="00FD211F">
        <w:rPr>
          <w:sz w:val="36"/>
          <w:szCs w:val="36"/>
          <w:rtl/>
        </w:rPr>
        <w:t xml:space="preserve">، </w:t>
      </w:r>
      <w:r w:rsidR="00EC7EDF" w:rsidRPr="00FD211F">
        <w:rPr>
          <w:sz w:val="36"/>
          <w:szCs w:val="36"/>
          <w:rtl/>
        </w:rPr>
        <w:t>و</w:t>
      </w:r>
      <w:r w:rsidR="001E52A2" w:rsidRPr="00FD211F">
        <w:rPr>
          <w:sz w:val="36"/>
          <w:szCs w:val="36"/>
          <w:rtl/>
        </w:rPr>
        <w:t>هي تشتمل على قسمين من الأدل</w:t>
      </w:r>
      <w:r w:rsidR="00EC7EDF" w:rsidRPr="00FD211F">
        <w:rPr>
          <w:sz w:val="36"/>
          <w:szCs w:val="36"/>
          <w:rtl/>
        </w:rPr>
        <w:t>ة</w:t>
      </w:r>
      <w:r w:rsidR="00150FB1" w:rsidRPr="00FD211F">
        <w:rPr>
          <w:sz w:val="36"/>
          <w:szCs w:val="36"/>
          <w:rtl/>
        </w:rPr>
        <w:t>:</w:t>
      </w:r>
      <w:r w:rsidR="001E52A2" w:rsidRPr="00FD211F">
        <w:rPr>
          <w:sz w:val="36"/>
          <w:szCs w:val="36"/>
          <w:rtl/>
        </w:rPr>
        <w:t xml:space="preserve"> أحدهما الأمارات</w:t>
      </w:r>
      <w:r w:rsidR="00603323" w:rsidRPr="00FD211F">
        <w:rPr>
          <w:sz w:val="36"/>
          <w:szCs w:val="36"/>
          <w:rtl/>
        </w:rPr>
        <w:t xml:space="preserve">، </w:t>
      </w:r>
      <w:r w:rsidR="00EC7EDF" w:rsidRPr="00FD211F">
        <w:rPr>
          <w:sz w:val="36"/>
          <w:szCs w:val="36"/>
          <w:rtl/>
        </w:rPr>
        <w:t>و</w:t>
      </w:r>
      <w:r w:rsidR="001E52A2" w:rsidRPr="00FD211F">
        <w:rPr>
          <w:sz w:val="36"/>
          <w:szCs w:val="36"/>
          <w:rtl/>
        </w:rPr>
        <w:t>الآخر الأصول العملي</w:t>
      </w:r>
      <w:r w:rsidR="00EC7EDF" w:rsidRPr="00FD211F">
        <w:rPr>
          <w:sz w:val="36"/>
          <w:szCs w:val="36"/>
          <w:rtl/>
        </w:rPr>
        <w:t>ة</w:t>
      </w:r>
      <w:r w:rsidR="005B5965" w:rsidRPr="00FD211F">
        <w:rPr>
          <w:sz w:val="36"/>
          <w:szCs w:val="36"/>
          <w:rtl/>
        </w:rPr>
        <w:t>الشرعيه</w:t>
      </w:r>
      <w:r w:rsidR="00603323" w:rsidRPr="00FD211F">
        <w:rPr>
          <w:sz w:val="36"/>
          <w:szCs w:val="36"/>
          <w:rtl/>
        </w:rPr>
        <w:t xml:space="preserve">، </w:t>
      </w:r>
      <w:r w:rsidR="00EC7EDF" w:rsidRPr="00FD211F">
        <w:rPr>
          <w:sz w:val="36"/>
          <w:szCs w:val="36"/>
          <w:rtl/>
        </w:rPr>
        <w:t>و</w:t>
      </w:r>
      <w:r w:rsidR="001E52A2" w:rsidRPr="00FD211F">
        <w:rPr>
          <w:sz w:val="36"/>
          <w:szCs w:val="36"/>
          <w:rtl/>
        </w:rPr>
        <w:t>ا</w:t>
      </w:r>
      <w:r w:rsidR="00150FB1" w:rsidRPr="00FD211F">
        <w:rPr>
          <w:sz w:val="36"/>
          <w:szCs w:val="36"/>
          <w:rtl/>
        </w:rPr>
        <w:t xml:space="preserve">لمناسب </w:t>
      </w:r>
      <w:r w:rsidR="001E52A2" w:rsidRPr="00FD211F">
        <w:rPr>
          <w:sz w:val="36"/>
          <w:szCs w:val="36"/>
          <w:rtl/>
        </w:rPr>
        <w:t>أن ت</w:t>
      </w:r>
      <w:r w:rsidR="008F7DAC" w:rsidRPr="00FD211F">
        <w:rPr>
          <w:sz w:val="36"/>
          <w:szCs w:val="36"/>
          <w:rtl/>
        </w:rPr>
        <w:t>ذكر</w:t>
      </w:r>
      <w:r w:rsidR="00150FB1" w:rsidRPr="00FD211F">
        <w:rPr>
          <w:sz w:val="36"/>
          <w:szCs w:val="36"/>
          <w:rtl/>
        </w:rPr>
        <w:t xml:space="preserve"> قبل هذين القسمين </w:t>
      </w:r>
      <w:r w:rsidR="008F7DAC" w:rsidRPr="00FD211F">
        <w:rPr>
          <w:sz w:val="36"/>
          <w:szCs w:val="36"/>
          <w:rtl/>
        </w:rPr>
        <w:t>مقدم</w:t>
      </w:r>
      <w:r w:rsidR="00EC7EDF" w:rsidRPr="00FD211F">
        <w:rPr>
          <w:sz w:val="36"/>
          <w:szCs w:val="36"/>
          <w:rtl/>
        </w:rPr>
        <w:t xml:space="preserve">ة </w:t>
      </w:r>
      <w:r w:rsidR="008F7DAC" w:rsidRPr="00FD211F">
        <w:rPr>
          <w:sz w:val="36"/>
          <w:szCs w:val="36"/>
          <w:rtl/>
        </w:rPr>
        <w:t>يبحث فيها عما ي</w:t>
      </w:r>
      <w:r w:rsidR="005B5965" w:rsidRPr="00FD211F">
        <w:rPr>
          <w:sz w:val="36"/>
          <w:szCs w:val="36"/>
          <w:rtl/>
        </w:rPr>
        <w:t xml:space="preserve">تعلق بجعل </w:t>
      </w:r>
      <w:r w:rsidR="001E52A2" w:rsidRPr="00FD211F">
        <w:rPr>
          <w:sz w:val="36"/>
          <w:szCs w:val="36"/>
          <w:rtl/>
        </w:rPr>
        <w:t>الحجي</w:t>
      </w:r>
      <w:r w:rsidR="00EC7EDF" w:rsidRPr="00FD211F">
        <w:rPr>
          <w:sz w:val="36"/>
          <w:szCs w:val="36"/>
          <w:rtl/>
        </w:rPr>
        <w:t xml:space="preserve">ة </w:t>
      </w:r>
      <w:r w:rsidR="001E52A2" w:rsidRPr="00FD211F">
        <w:rPr>
          <w:sz w:val="36"/>
          <w:szCs w:val="36"/>
          <w:rtl/>
        </w:rPr>
        <w:t>شرعا</w:t>
      </w:r>
      <w:r w:rsidR="00EC7EDF" w:rsidRPr="00FD211F">
        <w:rPr>
          <w:sz w:val="36"/>
          <w:szCs w:val="36"/>
          <w:rtl/>
        </w:rPr>
        <w:t xml:space="preserve"> و</w:t>
      </w:r>
      <w:r w:rsidR="001E52A2" w:rsidRPr="00FD211F">
        <w:rPr>
          <w:sz w:val="36"/>
          <w:szCs w:val="36"/>
          <w:rtl/>
        </w:rPr>
        <w:t>ألسنتها المختلف</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001E52A2" w:rsidRPr="00FD211F">
        <w:rPr>
          <w:sz w:val="36"/>
          <w:szCs w:val="36"/>
          <w:rtl/>
        </w:rPr>
        <w:t>يبحث فيها أيضا عن الفرق الجوهري بين حجي</w:t>
      </w:r>
      <w:r w:rsidR="00EC7EDF" w:rsidRPr="00FD211F">
        <w:rPr>
          <w:sz w:val="36"/>
          <w:szCs w:val="36"/>
          <w:rtl/>
        </w:rPr>
        <w:t xml:space="preserve">ة </w:t>
      </w:r>
      <w:r w:rsidR="001E52A2" w:rsidRPr="00FD211F">
        <w:rPr>
          <w:sz w:val="36"/>
          <w:szCs w:val="36"/>
          <w:rtl/>
        </w:rPr>
        <w:t>الأصل</w:t>
      </w:r>
      <w:r w:rsidR="00EC7EDF" w:rsidRPr="00FD211F">
        <w:rPr>
          <w:sz w:val="36"/>
          <w:szCs w:val="36"/>
          <w:rtl/>
        </w:rPr>
        <w:t xml:space="preserve"> و</w:t>
      </w:r>
      <w:r w:rsidR="001E52A2" w:rsidRPr="00FD211F">
        <w:rPr>
          <w:sz w:val="36"/>
          <w:szCs w:val="36"/>
          <w:rtl/>
        </w:rPr>
        <w:t>حجي</w:t>
      </w:r>
      <w:r w:rsidR="00EC7EDF" w:rsidRPr="00FD211F">
        <w:rPr>
          <w:sz w:val="36"/>
          <w:szCs w:val="36"/>
          <w:rtl/>
        </w:rPr>
        <w:t xml:space="preserve">ة </w:t>
      </w:r>
      <w:r w:rsidR="001E52A2" w:rsidRPr="00FD211F">
        <w:rPr>
          <w:sz w:val="36"/>
          <w:szCs w:val="36"/>
          <w:rtl/>
        </w:rPr>
        <w:t>الأمار</w:t>
      </w:r>
      <w:r w:rsidR="00EC7EDF" w:rsidRPr="00FD211F">
        <w:rPr>
          <w:sz w:val="36"/>
          <w:szCs w:val="36"/>
          <w:rtl/>
        </w:rPr>
        <w:t>ة و</w:t>
      </w:r>
      <w:r w:rsidR="001E52A2" w:rsidRPr="00FD211F">
        <w:rPr>
          <w:sz w:val="36"/>
          <w:szCs w:val="36"/>
          <w:rtl/>
        </w:rPr>
        <w:t>نوع الآثار التي تثبت بكل منهما</w:t>
      </w:r>
      <w:r w:rsidR="00EC7EDF" w:rsidRPr="00FD211F">
        <w:rPr>
          <w:sz w:val="36"/>
          <w:szCs w:val="36"/>
          <w:rtl/>
        </w:rPr>
        <w:t xml:space="preserve"> و</w:t>
      </w:r>
      <w:r w:rsidR="001E52A2" w:rsidRPr="00FD211F">
        <w:rPr>
          <w:sz w:val="36"/>
          <w:szCs w:val="36"/>
          <w:rtl/>
        </w:rPr>
        <w:t xml:space="preserve">مقدار ما يثبت </w:t>
      </w:r>
      <w:r w:rsidR="005B5965" w:rsidRPr="00FD211F">
        <w:rPr>
          <w:sz w:val="36"/>
          <w:szCs w:val="36"/>
          <w:rtl/>
        </w:rPr>
        <w:t xml:space="preserve">من هذه الآثارويعبر عنه </w:t>
      </w:r>
      <w:r w:rsidR="001E52A2" w:rsidRPr="00FD211F">
        <w:rPr>
          <w:sz w:val="36"/>
          <w:szCs w:val="36"/>
          <w:rtl/>
        </w:rPr>
        <w:t>بحجي</w:t>
      </w:r>
      <w:r w:rsidR="00EC7EDF" w:rsidRPr="00FD211F">
        <w:rPr>
          <w:sz w:val="36"/>
          <w:szCs w:val="36"/>
          <w:rtl/>
        </w:rPr>
        <w:t xml:space="preserve">ة </w:t>
      </w:r>
      <w:r w:rsidR="001E52A2" w:rsidRPr="00FD211F">
        <w:rPr>
          <w:sz w:val="36"/>
          <w:szCs w:val="36"/>
          <w:rtl/>
        </w:rPr>
        <w:t>المثبتات</w:t>
      </w:r>
      <w:r w:rsidR="00603323" w:rsidRPr="00FD211F">
        <w:rPr>
          <w:sz w:val="36"/>
          <w:szCs w:val="36"/>
          <w:rtl/>
        </w:rPr>
        <w:t xml:space="preserve">، </w:t>
      </w:r>
      <w:r w:rsidR="00EC7EDF" w:rsidRPr="00FD211F">
        <w:rPr>
          <w:sz w:val="36"/>
          <w:szCs w:val="36"/>
          <w:rtl/>
        </w:rPr>
        <w:t>و</w:t>
      </w:r>
      <w:r w:rsidR="001E52A2" w:rsidRPr="00FD211F">
        <w:rPr>
          <w:sz w:val="36"/>
          <w:szCs w:val="36"/>
          <w:rtl/>
        </w:rPr>
        <w:t xml:space="preserve">يبحث فيها أيضا عن تأسيس الأصل عند الشك في </w:t>
      </w:r>
      <w:r w:rsidR="005B5965" w:rsidRPr="00FD211F">
        <w:rPr>
          <w:sz w:val="36"/>
          <w:szCs w:val="36"/>
          <w:rtl/>
        </w:rPr>
        <w:t>الحجية</w:t>
      </w:r>
      <w:r w:rsidR="00A61BAE" w:rsidRPr="00FD211F">
        <w:rPr>
          <w:sz w:val="36"/>
          <w:szCs w:val="36"/>
          <w:rtl/>
        </w:rPr>
        <w:t>.</w:t>
      </w:r>
      <w:r w:rsidR="001E52A2" w:rsidRPr="00FD211F">
        <w:rPr>
          <w:sz w:val="36"/>
          <w:szCs w:val="36"/>
          <w:rtl/>
        </w:rPr>
        <w:t xml:space="preserve"> </w:t>
      </w:r>
    </w:p>
    <w:p w14:paraId="7A155FB9" w14:textId="77777777" w:rsidR="001E52A2" w:rsidRPr="00FD211F" w:rsidRDefault="001E52A2" w:rsidP="009C58C8">
      <w:pPr>
        <w:ind w:left="0" w:firstLine="227"/>
        <w:jc w:val="both"/>
        <w:rPr>
          <w:sz w:val="36"/>
          <w:szCs w:val="36"/>
          <w:rtl/>
        </w:rPr>
      </w:pPr>
      <w:r w:rsidRPr="00FD211F">
        <w:rPr>
          <w:sz w:val="36"/>
          <w:szCs w:val="36"/>
          <w:rtl/>
        </w:rPr>
        <w:t>5- الأصول العملي</w:t>
      </w:r>
      <w:r w:rsidR="00EC7EDF" w:rsidRPr="00FD211F">
        <w:rPr>
          <w:sz w:val="36"/>
          <w:szCs w:val="36"/>
          <w:rtl/>
        </w:rPr>
        <w:t xml:space="preserve">ة </w:t>
      </w:r>
      <w:r w:rsidRPr="00FD211F">
        <w:rPr>
          <w:sz w:val="36"/>
          <w:szCs w:val="36"/>
          <w:rtl/>
        </w:rPr>
        <w:t>العقلي</w:t>
      </w:r>
      <w:r w:rsidR="00EC7EDF" w:rsidRPr="00FD211F">
        <w:rPr>
          <w:sz w:val="36"/>
          <w:szCs w:val="36"/>
          <w:rtl/>
        </w:rPr>
        <w:t xml:space="preserve">ة </w:t>
      </w:r>
      <w:r w:rsidRPr="00FD211F">
        <w:rPr>
          <w:sz w:val="36"/>
          <w:szCs w:val="36"/>
          <w:rtl/>
        </w:rPr>
        <w:t>-</w:t>
      </w:r>
      <w:r w:rsidR="00EC7EDF" w:rsidRPr="00FD211F">
        <w:rPr>
          <w:sz w:val="36"/>
          <w:szCs w:val="36"/>
          <w:rtl/>
        </w:rPr>
        <w:t>و</w:t>
      </w:r>
      <w:r w:rsidRPr="00FD211F">
        <w:rPr>
          <w:sz w:val="36"/>
          <w:szCs w:val="36"/>
          <w:rtl/>
        </w:rPr>
        <w:t>ه</w:t>
      </w:r>
      <w:r w:rsidR="008F7DAC" w:rsidRPr="00FD211F">
        <w:rPr>
          <w:sz w:val="36"/>
          <w:szCs w:val="36"/>
          <w:rtl/>
        </w:rPr>
        <w:t>ي القواعد التي يقررها العقل في قبال</w:t>
      </w:r>
      <w:r w:rsidRPr="00FD211F">
        <w:rPr>
          <w:sz w:val="36"/>
          <w:szCs w:val="36"/>
          <w:rtl/>
        </w:rPr>
        <w:t xml:space="preserve"> الحكم الشرعي في موارد الشك البدوي أو </w:t>
      </w:r>
      <w:r w:rsidR="008F7DAC" w:rsidRPr="00FD211F">
        <w:rPr>
          <w:sz w:val="36"/>
          <w:szCs w:val="36"/>
          <w:rtl/>
        </w:rPr>
        <w:t xml:space="preserve">الشك </w:t>
      </w:r>
      <w:r w:rsidRPr="00FD211F">
        <w:rPr>
          <w:sz w:val="36"/>
          <w:szCs w:val="36"/>
          <w:rtl/>
        </w:rPr>
        <w:t>المقرون بالعلم الإجمالي ب</w:t>
      </w:r>
      <w:r w:rsidR="008F7DAC" w:rsidRPr="00FD211F">
        <w:rPr>
          <w:sz w:val="36"/>
          <w:szCs w:val="36"/>
          <w:rtl/>
        </w:rPr>
        <w:t xml:space="preserve">ين </w:t>
      </w:r>
      <w:r w:rsidRPr="00FD211F">
        <w:rPr>
          <w:sz w:val="36"/>
          <w:szCs w:val="36"/>
          <w:rtl/>
        </w:rPr>
        <w:t>المتباينين أو</w:t>
      </w:r>
      <w:r w:rsidR="008F7DAC" w:rsidRPr="00FD211F">
        <w:rPr>
          <w:sz w:val="36"/>
          <w:szCs w:val="36"/>
          <w:rtl/>
        </w:rPr>
        <w:t>العلم الاجمالى بين</w:t>
      </w:r>
      <w:r w:rsidR="00B253CE" w:rsidRPr="00FD211F">
        <w:rPr>
          <w:sz w:val="36"/>
          <w:szCs w:val="36"/>
          <w:rtl/>
        </w:rPr>
        <w:t xml:space="preserve"> </w:t>
      </w:r>
      <w:r w:rsidRPr="00FD211F">
        <w:rPr>
          <w:sz w:val="36"/>
          <w:szCs w:val="36"/>
          <w:rtl/>
        </w:rPr>
        <w:t>الأقل</w:t>
      </w:r>
      <w:r w:rsidR="00EC7EDF" w:rsidRPr="00FD211F">
        <w:rPr>
          <w:sz w:val="36"/>
          <w:szCs w:val="36"/>
          <w:rtl/>
        </w:rPr>
        <w:t xml:space="preserve"> و</w:t>
      </w:r>
      <w:r w:rsidRPr="00FD211F">
        <w:rPr>
          <w:sz w:val="36"/>
          <w:szCs w:val="36"/>
          <w:rtl/>
        </w:rPr>
        <w:t>الأكثر</w:t>
      </w:r>
      <w:r w:rsidR="00603323" w:rsidRPr="00FD211F">
        <w:rPr>
          <w:sz w:val="36"/>
          <w:szCs w:val="36"/>
          <w:rtl/>
        </w:rPr>
        <w:t xml:space="preserve">، </w:t>
      </w:r>
      <w:r w:rsidR="00EC7EDF" w:rsidRPr="00FD211F">
        <w:rPr>
          <w:sz w:val="36"/>
          <w:szCs w:val="36"/>
          <w:rtl/>
        </w:rPr>
        <w:t>و</w:t>
      </w:r>
      <w:r w:rsidR="00BB6FA7" w:rsidRPr="00FD211F">
        <w:rPr>
          <w:sz w:val="36"/>
          <w:szCs w:val="36"/>
          <w:rtl/>
        </w:rPr>
        <w:t>لابد ان يلاحظ هنامقدار</w:t>
      </w:r>
      <w:r w:rsidRPr="00FD211F">
        <w:rPr>
          <w:sz w:val="36"/>
          <w:szCs w:val="36"/>
          <w:rtl/>
        </w:rPr>
        <w:t xml:space="preserve"> تأثير العلم الإجمالي </w:t>
      </w:r>
      <w:r w:rsidR="005B5965" w:rsidRPr="00FD211F">
        <w:rPr>
          <w:sz w:val="36"/>
          <w:szCs w:val="36"/>
          <w:rtl/>
        </w:rPr>
        <w:t xml:space="preserve">في المنع من جريان </w:t>
      </w:r>
      <w:r w:rsidR="00BB6FA7" w:rsidRPr="00FD211F">
        <w:rPr>
          <w:sz w:val="36"/>
          <w:szCs w:val="36"/>
          <w:rtl/>
        </w:rPr>
        <w:t>الاصل الشرعي المقرر</w:t>
      </w:r>
      <w:r w:rsidRPr="00FD211F">
        <w:rPr>
          <w:sz w:val="36"/>
          <w:szCs w:val="36"/>
          <w:rtl/>
        </w:rPr>
        <w:t xml:space="preserve"> في مورد الشك</w:t>
      </w:r>
      <w:r w:rsidR="00603323" w:rsidRPr="00FD211F">
        <w:rPr>
          <w:sz w:val="36"/>
          <w:szCs w:val="36"/>
          <w:rtl/>
        </w:rPr>
        <w:t xml:space="preserve">، </w:t>
      </w:r>
      <w:r w:rsidRPr="00FD211F">
        <w:rPr>
          <w:sz w:val="36"/>
          <w:szCs w:val="36"/>
          <w:rtl/>
        </w:rPr>
        <w:t xml:space="preserve">فيشمل هذا الفصل </w:t>
      </w:r>
      <w:r w:rsidR="005B5965" w:rsidRPr="00FD211F">
        <w:rPr>
          <w:sz w:val="36"/>
          <w:szCs w:val="36"/>
          <w:rtl/>
        </w:rPr>
        <w:t xml:space="preserve">جميع </w:t>
      </w:r>
      <w:r w:rsidRPr="00FD211F">
        <w:rPr>
          <w:sz w:val="36"/>
          <w:szCs w:val="36"/>
          <w:rtl/>
        </w:rPr>
        <w:t>م</w:t>
      </w:r>
      <w:r w:rsidR="005B5965" w:rsidRPr="00FD211F">
        <w:rPr>
          <w:sz w:val="36"/>
          <w:szCs w:val="36"/>
          <w:rtl/>
        </w:rPr>
        <w:t>باحث</w:t>
      </w:r>
      <w:r w:rsidRPr="00FD211F">
        <w:rPr>
          <w:sz w:val="36"/>
          <w:szCs w:val="36"/>
          <w:rtl/>
        </w:rPr>
        <w:t xml:space="preserve"> الاشتغال زائدا على البحث عن قاعد</w:t>
      </w:r>
      <w:r w:rsidR="00BB6FA7" w:rsidRPr="00FD211F">
        <w:rPr>
          <w:sz w:val="36"/>
          <w:szCs w:val="36"/>
          <w:rtl/>
        </w:rPr>
        <w:t>تين عقليتين</w:t>
      </w:r>
      <w:r w:rsidR="00603323" w:rsidRPr="00FD211F">
        <w:rPr>
          <w:sz w:val="36"/>
          <w:szCs w:val="36"/>
          <w:rtl/>
        </w:rPr>
        <w:t xml:space="preserve">، </w:t>
      </w:r>
      <w:r w:rsidR="00BB6FA7" w:rsidRPr="00FD211F">
        <w:rPr>
          <w:sz w:val="36"/>
          <w:szCs w:val="36"/>
          <w:rtl/>
        </w:rPr>
        <w:t>وهماقاعد</w:t>
      </w:r>
      <w:r w:rsidR="00EC7EDF" w:rsidRPr="00FD211F">
        <w:rPr>
          <w:sz w:val="36"/>
          <w:szCs w:val="36"/>
          <w:rtl/>
        </w:rPr>
        <w:t xml:space="preserve">ة </w:t>
      </w:r>
      <w:r w:rsidRPr="00FD211F">
        <w:rPr>
          <w:sz w:val="36"/>
          <w:szCs w:val="36"/>
          <w:rtl/>
        </w:rPr>
        <w:t>قبح العقاب بلا بيان و</w:t>
      </w:r>
      <w:r w:rsidR="00BB6FA7" w:rsidRPr="00FD211F">
        <w:rPr>
          <w:sz w:val="36"/>
          <w:szCs w:val="36"/>
          <w:rtl/>
        </w:rPr>
        <w:t>قاعد</w:t>
      </w:r>
      <w:r w:rsidR="00EC7EDF" w:rsidRPr="00FD211F">
        <w:rPr>
          <w:sz w:val="36"/>
          <w:szCs w:val="36"/>
          <w:rtl/>
        </w:rPr>
        <w:t xml:space="preserve">ة </w:t>
      </w:r>
      <w:r w:rsidR="00BB6FA7" w:rsidRPr="00FD211F">
        <w:rPr>
          <w:sz w:val="36"/>
          <w:szCs w:val="36"/>
          <w:rtl/>
        </w:rPr>
        <w:t xml:space="preserve">التخيير عند دوران </w:t>
      </w:r>
      <w:r w:rsidR="001B3112" w:rsidRPr="00FD211F">
        <w:rPr>
          <w:sz w:val="36"/>
          <w:szCs w:val="36"/>
          <w:rtl/>
        </w:rPr>
        <w:t>الأمر</w:t>
      </w:r>
      <w:r w:rsidR="00BB6FA7" w:rsidRPr="00FD211F">
        <w:rPr>
          <w:sz w:val="36"/>
          <w:szCs w:val="36"/>
          <w:rtl/>
        </w:rPr>
        <w:t xml:space="preserve"> بين المحذورين</w:t>
      </w:r>
      <w:r w:rsidR="00EC7EDF" w:rsidRPr="00FD211F">
        <w:rPr>
          <w:sz w:val="36"/>
          <w:szCs w:val="36"/>
          <w:rtl/>
        </w:rPr>
        <w:t>.</w:t>
      </w:r>
      <w:r w:rsidRPr="00FD211F">
        <w:rPr>
          <w:sz w:val="36"/>
          <w:szCs w:val="36"/>
          <w:rtl/>
        </w:rPr>
        <w:t xml:space="preserve"> </w:t>
      </w:r>
    </w:p>
    <w:p w14:paraId="2106457A" w14:textId="77777777" w:rsidR="001E52A2" w:rsidRPr="00FD211F" w:rsidRDefault="001E52A2" w:rsidP="00D30387">
      <w:pPr>
        <w:ind w:left="0" w:firstLine="227"/>
        <w:jc w:val="both"/>
        <w:rPr>
          <w:sz w:val="36"/>
          <w:szCs w:val="36"/>
          <w:rtl/>
        </w:rPr>
      </w:pPr>
      <w:r w:rsidRPr="00FD211F">
        <w:rPr>
          <w:sz w:val="36"/>
          <w:szCs w:val="36"/>
          <w:rtl/>
        </w:rPr>
        <w:t>ثم تختم بحوث الأدل</w:t>
      </w:r>
      <w:r w:rsidR="00EC7EDF" w:rsidRPr="00FD211F">
        <w:rPr>
          <w:sz w:val="36"/>
          <w:szCs w:val="36"/>
          <w:rtl/>
        </w:rPr>
        <w:t xml:space="preserve">ة </w:t>
      </w:r>
      <w:r w:rsidRPr="00FD211F">
        <w:rPr>
          <w:sz w:val="36"/>
          <w:szCs w:val="36"/>
          <w:rtl/>
        </w:rPr>
        <w:t>بخاتم</w:t>
      </w:r>
      <w:r w:rsidR="00EC7EDF" w:rsidRPr="00FD211F">
        <w:rPr>
          <w:sz w:val="36"/>
          <w:szCs w:val="36"/>
          <w:rtl/>
        </w:rPr>
        <w:t xml:space="preserve">ة </w:t>
      </w:r>
      <w:r w:rsidRPr="00FD211F">
        <w:rPr>
          <w:sz w:val="36"/>
          <w:szCs w:val="36"/>
          <w:rtl/>
        </w:rPr>
        <w:t>في التعارض الواقع بين الأدل</w:t>
      </w:r>
      <w:r w:rsidR="00EC7EDF" w:rsidRPr="00FD211F">
        <w:rPr>
          <w:sz w:val="36"/>
          <w:szCs w:val="36"/>
          <w:rtl/>
        </w:rPr>
        <w:t xml:space="preserve">ة </w:t>
      </w:r>
      <w:r w:rsidRPr="00FD211F">
        <w:rPr>
          <w:sz w:val="36"/>
          <w:szCs w:val="36"/>
          <w:rtl/>
        </w:rPr>
        <w:t>المذكور</w:t>
      </w:r>
      <w:r w:rsidR="00EC7EDF" w:rsidRPr="00FD211F">
        <w:rPr>
          <w:sz w:val="36"/>
          <w:szCs w:val="36"/>
          <w:rtl/>
        </w:rPr>
        <w:t>ة</w:t>
      </w:r>
      <w:r w:rsidR="00603323" w:rsidRPr="00FD211F">
        <w:rPr>
          <w:sz w:val="36"/>
          <w:szCs w:val="36"/>
          <w:rtl/>
        </w:rPr>
        <w:t xml:space="preserve">، </w:t>
      </w:r>
      <w:r w:rsidR="00BB6FA7" w:rsidRPr="00FD211F">
        <w:rPr>
          <w:sz w:val="36"/>
          <w:szCs w:val="36"/>
          <w:rtl/>
        </w:rPr>
        <w:t>و</w:t>
      </w:r>
      <w:r w:rsidRPr="00FD211F">
        <w:rPr>
          <w:sz w:val="36"/>
          <w:szCs w:val="36"/>
          <w:rtl/>
        </w:rPr>
        <w:t xml:space="preserve">أحكام </w:t>
      </w:r>
      <w:r w:rsidR="005B5965" w:rsidRPr="00FD211F">
        <w:rPr>
          <w:sz w:val="36"/>
          <w:szCs w:val="36"/>
          <w:rtl/>
        </w:rPr>
        <w:t xml:space="preserve">هذا </w:t>
      </w:r>
      <w:r w:rsidRPr="00FD211F">
        <w:rPr>
          <w:sz w:val="36"/>
          <w:szCs w:val="36"/>
          <w:rtl/>
        </w:rPr>
        <w:t>التعارض</w:t>
      </w:r>
      <w:r w:rsidR="009C58C8" w:rsidRPr="00FD211F">
        <w:rPr>
          <w:rStyle w:val="a6"/>
          <w:sz w:val="36"/>
          <w:szCs w:val="36"/>
          <w:rtl/>
        </w:rPr>
        <w:t>(</w:t>
      </w:r>
      <w:r w:rsidR="009C58C8" w:rsidRPr="00FD211F">
        <w:rPr>
          <w:rStyle w:val="a6"/>
          <w:sz w:val="36"/>
          <w:szCs w:val="36"/>
          <w:rtl/>
        </w:rPr>
        <w:footnoteReference w:id="92"/>
      </w:r>
      <w:r w:rsidR="009C58C8" w:rsidRPr="00FD211F">
        <w:rPr>
          <w:rStyle w:val="a6"/>
          <w:sz w:val="36"/>
          <w:szCs w:val="36"/>
          <w:rtl/>
        </w:rPr>
        <w:t>)</w:t>
      </w:r>
      <w:r w:rsidRPr="00FD211F">
        <w:rPr>
          <w:sz w:val="36"/>
          <w:szCs w:val="36"/>
          <w:rtl/>
        </w:rPr>
        <w:t xml:space="preserve">. </w:t>
      </w:r>
    </w:p>
    <w:p w14:paraId="08A42A2C" w14:textId="77777777" w:rsidR="000C5BBA" w:rsidRPr="00FD211F" w:rsidRDefault="00A771C6" w:rsidP="009C58C8">
      <w:pPr>
        <w:ind w:left="0" w:firstLine="227"/>
        <w:jc w:val="both"/>
        <w:rPr>
          <w:sz w:val="36"/>
          <w:szCs w:val="36"/>
          <w:rtl/>
        </w:rPr>
      </w:pPr>
      <w:r w:rsidRPr="00FD211F">
        <w:rPr>
          <w:b/>
          <w:bCs/>
          <w:sz w:val="36"/>
          <w:szCs w:val="36"/>
          <w:rtl/>
        </w:rPr>
        <w:t>المنهج الخامس:</w:t>
      </w:r>
      <w:r w:rsidR="00BB6FA7" w:rsidRPr="00FD211F">
        <w:rPr>
          <w:b/>
          <w:bCs/>
          <w:sz w:val="36"/>
          <w:szCs w:val="36"/>
          <w:rtl/>
        </w:rPr>
        <w:t xml:space="preserve"> </w:t>
      </w:r>
      <w:r w:rsidR="00BB6FA7" w:rsidRPr="00FD211F">
        <w:rPr>
          <w:sz w:val="36"/>
          <w:szCs w:val="36"/>
          <w:rtl/>
        </w:rPr>
        <w:t xml:space="preserve">ماذكره في البحوث ايضا من </w:t>
      </w:r>
      <w:r w:rsidR="00B13CD3" w:rsidRPr="00FD211F">
        <w:rPr>
          <w:sz w:val="36"/>
          <w:szCs w:val="36"/>
          <w:rtl/>
        </w:rPr>
        <w:t>امكان تقسيم علم الاصول</w:t>
      </w:r>
      <w:r w:rsidR="007A2648" w:rsidRPr="00FD211F">
        <w:rPr>
          <w:sz w:val="36"/>
          <w:szCs w:val="36"/>
          <w:rtl/>
        </w:rPr>
        <w:t xml:space="preserve"> </w:t>
      </w:r>
      <w:r w:rsidR="001E52A2" w:rsidRPr="00FD211F">
        <w:rPr>
          <w:sz w:val="36"/>
          <w:szCs w:val="36"/>
          <w:rtl/>
        </w:rPr>
        <w:t xml:space="preserve">بلحاظ نوع الدليل </w:t>
      </w:r>
      <w:r w:rsidR="007B32DA" w:rsidRPr="00FD211F">
        <w:rPr>
          <w:sz w:val="36"/>
          <w:szCs w:val="36"/>
          <w:rtl/>
        </w:rPr>
        <w:t>من حيث ذاته</w:t>
      </w:r>
      <w:r w:rsidR="00B5406D" w:rsidRPr="00FD211F">
        <w:rPr>
          <w:sz w:val="36"/>
          <w:szCs w:val="36"/>
          <w:rtl/>
        </w:rPr>
        <w:t xml:space="preserve"> اي بلحاظ كونه كاشفا عن الحكم الشرعي او مجرد مبيِّن للوظيفة ال</w:t>
      </w:r>
      <w:r w:rsidR="003873A8" w:rsidRPr="00FD211F">
        <w:rPr>
          <w:sz w:val="36"/>
          <w:szCs w:val="36"/>
          <w:rtl/>
        </w:rPr>
        <w:t>عملية – لابلحاظ كونه لفظيا اوعقليا</w:t>
      </w:r>
      <w:r w:rsidR="00C7588D" w:rsidRPr="00FD211F">
        <w:rPr>
          <w:sz w:val="36"/>
          <w:szCs w:val="36"/>
          <w:rtl/>
        </w:rPr>
        <w:t xml:space="preserve"> </w:t>
      </w:r>
      <w:r w:rsidR="003873A8" w:rsidRPr="00FD211F">
        <w:rPr>
          <w:sz w:val="36"/>
          <w:szCs w:val="36"/>
          <w:rtl/>
        </w:rPr>
        <w:t>اوشرعيا كما كان في المنهج السابق-</w:t>
      </w:r>
      <w:r w:rsidR="00C774D9" w:rsidRPr="00FD211F">
        <w:rPr>
          <w:sz w:val="36"/>
          <w:szCs w:val="36"/>
          <w:rtl/>
        </w:rPr>
        <w:t>.</w:t>
      </w:r>
    </w:p>
    <w:p w14:paraId="1CF28D17" w14:textId="77777777" w:rsidR="001E52A2" w:rsidRPr="00FD211F" w:rsidRDefault="00EC7EDF" w:rsidP="009C58C8">
      <w:pPr>
        <w:ind w:left="0" w:firstLine="227"/>
        <w:jc w:val="both"/>
        <w:rPr>
          <w:sz w:val="36"/>
          <w:szCs w:val="36"/>
          <w:rtl/>
        </w:rPr>
      </w:pPr>
      <w:r w:rsidRPr="00FD211F">
        <w:rPr>
          <w:sz w:val="36"/>
          <w:szCs w:val="36"/>
          <w:rtl/>
        </w:rPr>
        <w:t>و</w:t>
      </w:r>
      <w:r w:rsidR="001E52A2" w:rsidRPr="00FD211F">
        <w:rPr>
          <w:sz w:val="36"/>
          <w:szCs w:val="36"/>
          <w:rtl/>
        </w:rPr>
        <w:t>على أساسه ت</w:t>
      </w:r>
      <w:r w:rsidR="007A2648" w:rsidRPr="00FD211F">
        <w:rPr>
          <w:sz w:val="36"/>
          <w:szCs w:val="36"/>
          <w:rtl/>
        </w:rPr>
        <w:t>قسم</w:t>
      </w:r>
      <w:r w:rsidR="00B253CE" w:rsidRPr="00FD211F">
        <w:rPr>
          <w:sz w:val="36"/>
          <w:szCs w:val="36"/>
          <w:rtl/>
        </w:rPr>
        <w:t xml:space="preserve"> </w:t>
      </w:r>
      <w:r w:rsidR="001E52A2" w:rsidRPr="00FD211F">
        <w:rPr>
          <w:sz w:val="36"/>
          <w:szCs w:val="36"/>
          <w:rtl/>
        </w:rPr>
        <w:t>البحوث الأصولي</w:t>
      </w:r>
      <w:r w:rsidRPr="00FD211F">
        <w:rPr>
          <w:sz w:val="36"/>
          <w:szCs w:val="36"/>
          <w:rtl/>
        </w:rPr>
        <w:t xml:space="preserve">ة </w:t>
      </w:r>
      <w:r w:rsidR="001E52A2" w:rsidRPr="00FD211F">
        <w:rPr>
          <w:sz w:val="36"/>
          <w:szCs w:val="36"/>
          <w:rtl/>
        </w:rPr>
        <w:t xml:space="preserve">إلى قسمين رئيسيين: </w:t>
      </w:r>
    </w:p>
    <w:p w14:paraId="201B5A30" w14:textId="77777777" w:rsidR="001E52A2" w:rsidRPr="00FD211F" w:rsidRDefault="001E52A2" w:rsidP="009C58C8">
      <w:pPr>
        <w:ind w:left="0" w:firstLine="227"/>
        <w:jc w:val="both"/>
        <w:rPr>
          <w:sz w:val="36"/>
          <w:szCs w:val="36"/>
          <w:rtl/>
        </w:rPr>
      </w:pPr>
      <w:r w:rsidRPr="00FD211F">
        <w:rPr>
          <w:sz w:val="36"/>
          <w:szCs w:val="36"/>
          <w:rtl/>
        </w:rPr>
        <w:t>أحدهما: الأدل</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Pr="00FD211F">
        <w:rPr>
          <w:sz w:val="36"/>
          <w:szCs w:val="36"/>
          <w:rtl/>
        </w:rPr>
        <w:t>هي القواعد الأصولي</w:t>
      </w:r>
      <w:r w:rsidR="00EC7EDF" w:rsidRPr="00FD211F">
        <w:rPr>
          <w:sz w:val="36"/>
          <w:szCs w:val="36"/>
          <w:rtl/>
        </w:rPr>
        <w:t xml:space="preserve">ة </w:t>
      </w:r>
      <w:r w:rsidRPr="00FD211F">
        <w:rPr>
          <w:sz w:val="36"/>
          <w:szCs w:val="36"/>
          <w:rtl/>
        </w:rPr>
        <w:t>التي تشخص بها الوظيف</w:t>
      </w:r>
      <w:r w:rsidR="00EC7EDF" w:rsidRPr="00FD211F">
        <w:rPr>
          <w:sz w:val="36"/>
          <w:szCs w:val="36"/>
          <w:rtl/>
        </w:rPr>
        <w:t xml:space="preserve">ة </w:t>
      </w:r>
      <w:r w:rsidRPr="00FD211F">
        <w:rPr>
          <w:sz w:val="36"/>
          <w:szCs w:val="36"/>
          <w:rtl/>
        </w:rPr>
        <w:t xml:space="preserve">تجاه الحكم الشرعي بملاك الكشف عنه. </w:t>
      </w:r>
    </w:p>
    <w:p w14:paraId="545FAB11" w14:textId="77777777" w:rsidR="001E52A2" w:rsidRPr="00FD211F" w:rsidRDefault="00D052EE" w:rsidP="009C58C8">
      <w:pPr>
        <w:ind w:left="0" w:firstLine="227"/>
        <w:jc w:val="both"/>
        <w:rPr>
          <w:sz w:val="36"/>
          <w:szCs w:val="36"/>
          <w:rtl/>
        </w:rPr>
      </w:pPr>
      <w:r w:rsidRPr="00FD211F">
        <w:rPr>
          <w:sz w:val="36"/>
          <w:szCs w:val="36"/>
          <w:rtl/>
        </w:rPr>
        <w:t>و الآخر:</w:t>
      </w:r>
      <w:r w:rsidR="001E52A2" w:rsidRPr="00FD211F">
        <w:rPr>
          <w:sz w:val="36"/>
          <w:szCs w:val="36"/>
          <w:rtl/>
        </w:rPr>
        <w:t xml:space="preserve"> الأصول العملي</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001E52A2" w:rsidRPr="00FD211F">
        <w:rPr>
          <w:sz w:val="36"/>
          <w:szCs w:val="36"/>
          <w:rtl/>
        </w:rPr>
        <w:t>هي القواعد التي تشخص الوظيف</w:t>
      </w:r>
      <w:r w:rsidR="00EC7EDF" w:rsidRPr="00FD211F">
        <w:rPr>
          <w:sz w:val="36"/>
          <w:szCs w:val="36"/>
          <w:rtl/>
        </w:rPr>
        <w:t xml:space="preserve">ة </w:t>
      </w:r>
      <w:r w:rsidR="001E52A2" w:rsidRPr="00FD211F">
        <w:rPr>
          <w:sz w:val="36"/>
          <w:szCs w:val="36"/>
          <w:rtl/>
        </w:rPr>
        <w:t>العملي</w:t>
      </w:r>
      <w:r w:rsidR="00EC7EDF" w:rsidRPr="00FD211F">
        <w:rPr>
          <w:sz w:val="36"/>
          <w:szCs w:val="36"/>
          <w:rtl/>
        </w:rPr>
        <w:t xml:space="preserve">ة </w:t>
      </w:r>
      <w:r w:rsidR="001E52A2" w:rsidRPr="00FD211F">
        <w:rPr>
          <w:sz w:val="36"/>
          <w:szCs w:val="36"/>
          <w:rtl/>
        </w:rPr>
        <w:t>لا ب</w:t>
      </w:r>
      <w:r w:rsidR="007B32DA" w:rsidRPr="00FD211F">
        <w:rPr>
          <w:sz w:val="36"/>
          <w:szCs w:val="36"/>
          <w:rtl/>
        </w:rPr>
        <w:t>ملاك الكشف عن الحكم الشرعي</w:t>
      </w:r>
      <w:r w:rsidR="00C774D9" w:rsidRPr="00FD211F">
        <w:rPr>
          <w:sz w:val="36"/>
          <w:szCs w:val="36"/>
          <w:rtl/>
        </w:rPr>
        <w:t>.</w:t>
      </w:r>
      <w:r w:rsidR="001E52A2" w:rsidRPr="00FD211F">
        <w:rPr>
          <w:sz w:val="36"/>
          <w:szCs w:val="36"/>
          <w:rtl/>
        </w:rPr>
        <w:t xml:space="preserve"> </w:t>
      </w:r>
    </w:p>
    <w:p w14:paraId="75329DE3" w14:textId="77777777" w:rsidR="000C5BBA" w:rsidRPr="00FD211F" w:rsidRDefault="001E52A2" w:rsidP="009C58C8">
      <w:pPr>
        <w:ind w:left="0" w:firstLine="227"/>
        <w:jc w:val="both"/>
        <w:rPr>
          <w:sz w:val="36"/>
          <w:szCs w:val="36"/>
          <w:rtl/>
        </w:rPr>
      </w:pPr>
      <w:r w:rsidRPr="00FD211F">
        <w:rPr>
          <w:sz w:val="36"/>
          <w:szCs w:val="36"/>
          <w:rtl/>
        </w:rPr>
        <w:t>أما القسم الأول</w:t>
      </w:r>
      <w:r w:rsidR="00603323" w:rsidRPr="00FD211F">
        <w:rPr>
          <w:sz w:val="36"/>
          <w:szCs w:val="36"/>
          <w:rtl/>
        </w:rPr>
        <w:t xml:space="preserve">، </w:t>
      </w:r>
      <w:r w:rsidRPr="00FD211F">
        <w:rPr>
          <w:sz w:val="36"/>
          <w:szCs w:val="36"/>
          <w:rtl/>
        </w:rPr>
        <w:t>فيبدأ فيه أولا بالبحوث التي تتعلق بالأدل</w:t>
      </w:r>
      <w:r w:rsidR="00EC7EDF" w:rsidRPr="00FD211F">
        <w:rPr>
          <w:sz w:val="36"/>
          <w:szCs w:val="36"/>
          <w:rtl/>
        </w:rPr>
        <w:t xml:space="preserve">ة </w:t>
      </w:r>
      <w:r w:rsidRPr="00FD211F">
        <w:rPr>
          <w:sz w:val="36"/>
          <w:szCs w:val="36"/>
          <w:rtl/>
        </w:rPr>
        <w:t>بصور</w:t>
      </w:r>
      <w:r w:rsidR="00EC7EDF" w:rsidRPr="00FD211F">
        <w:rPr>
          <w:sz w:val="36"/>
          <w:szCs w:val="36"/>
          <w:rtl/>
        </w:rPr>
        <w:t xml:space="preserve">ة </w:t>
      </w:r>
      <w:r w:rsidRPr="00FD211F">
        <w:rPr>
          <w:sz w:val="36"/>
          <w:szCs w:val="36"/>
          <w:rtl/>
        </w:rPr>
        <w:t>عام</w:t>
      </w:r>
      <w:r w:rsidR="00EC7EDF" w:rsidRPr="00FD211F">
        <w:rPr>
          <w:sz w:val="36"/>
          <w:szCs w:val="36"/>
          <w:rtl/>
        </w:rPr>
        <w:t xml:space="preserve">ة </w:t>
      </w:r>
      <w:r w:rsidRPr="00FD211F">
        <w:rPr>
          <w:sz w:val="36"/>
          <w:szCs w:val="36"/>
          <w:rtl/>
        </w:rPr>
        <w:t>-</w:t>
      </w:r>
      <w:r w:rsidR="00EC7EDF" w:rsidRPr="00FD211F">
        <w:rPr>
          <w:sz w:val="36"/>
          <w:szCs w:val="36"/>
          <w:rtl/>
        </w:rPr>
        <w:t xml:space="preserve"> و</w:t>
      </w:r>
      <w:r w:rsidRPr="00FD211F">
        <w:rPr>
          <w:sz w:val="36"/>
          <w:szCs w:val="36"/>
          <w:rtl/>
        </w:rPr>
        <w:t>هي التي أشرنا إليها في ال</w:t>
      </w:r>
      <w:r w:rsidR="007A2648" w:rsidRPr="00FD211F">
        <w:rPr>
          <w:sz w:val="36"/>
          <w:szCs w:val="36"/>
          <w:rtl/>
        </w:rPr>
        <w:t>م</w:t>
      </w:r>
      <w:r w:rsidRPr="00FD211F">
        <w:rPr>
          <w:sz w:val="36"/>
          <w:szCs w:val="36"/>
          <w:rtl/>
        </w:rPr>
        <w:t>نهج السابق أيضا</w:t>
      </w:r>
      <w:r w:rsidR="007A2648" w:rsidRPr="00FD211F">
        <w:rPr>
          <w:sz w:val="36"/>
          <w:szCs w:val="36"/>
          <w:rtl/>
        </w:rPr>
        <w:t>من البحث عن حجي</w:t>
      </w:r>
      <w:r w:rsidR="00EC7EDF" w:rsidRPr="00FD211F">
        <w:rPr>
          <w:sz w:val="36"/>
          <w:szCs w:val="36"/>
          <w:rtl/>
        </w:rPr>
        <w:t xml:space="preserve">ة </w:t>
      </w:r>
      <w:r w:rsidR="007A2648" w:rsidRPr="00FD211F">
        <w:rPr>
          <w:sz w:val="36"/>
          <w:szCs w:val="36"/>
          <w:rtl/>
        </w:rPr>
        <w:t>القطع وكذاالبحث عن حقيق</w:t>
      </w:r>
      <w:r w:rsidR="00EC7EDF" w:rsidRPr="00FD211F">
        <w:rPr>
          <w:sz w:val="36"/>
          <w:szCs w:val="36"/>
          <w:rtl/>
        </w:rPr>
        <w:t xml:space="preserve">ة </w:t>
      </w:r>
      <w:r w:rsidR="007A2648" w:rsidRPr="00FD211F">
        <w:rPr>
          <w:sz w:val="36"/>
          <w:szCs w:val="36"/>
          <w:rtl/>
        </w:rPr>
        <w:t xml:space="preserve">الحكم </w:t>
      </w:r>
      <w:r w:rsidRPr="00FD211F">
        <w:rPr>
          <w:sz w:val="36"/>
          <w:szCs w:val="36"/>
          <w:rtl/>
        </w:rPr>
        <w:t xml:space="preserve">- ثم بعد الفراغ عنها </w:t>
      </w:r>
      <w:r w:rsidR="007A2648" w:rsidRPr="00FD211F">
        <w:rPr>
          <w:sz w:val="36"/>
          <w:szCs w:val="36"/>
          <w:rtl/>
        </w:rPr>
        <w:t>تقسم الادل</w:t>
      </w:r>
      <w:r w:rsidR="00EC7EDF" w:rsidRPr="00FD211F">
        <w:rPr>
          <w:sz w:val="36"/>
          <w:szCs w:val="36"/>
          <w:rtl/>
        </w:rPr>
        <w:t xml:space="preserve">ة </w:t>
      </w:r>
      <w:r w:rsidRPr="00FD211F">
        <w:rPr>
          <w:sz w:val="36"/>
          <w:szCs w:val="36"/>
          <w:rtl/>
        </w:rPr>
        <w:t>إلى أدل</w:t>
      </w:r>
      <w:r w:rsidR="00EC7EDF" w:rsidRPr="00FD211F">
        <w:rPr>
          <w:sz w:val="36"/>
          <w:szCs w:val="36"/>
          <w:rtl/>
        </w:rPr>
        <w:t xml:space="preserve">ة </w:t>
      </w:r>
      <w:r w:rsidRPr="00FD211F">
        <w:rPr>
          <w:sz w:val="36"/>
          <w:szCs w:val="36"/>
          <w:rtl/>
        </w:rPr>
        <w:t>شرعي</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Pr="00FD211F">
        <w:rPr>
          <w:sz w:val="36"/>
          <w:szCs w:val="36"/>
          <w:rtl/>
        </w:rPr>
        <w:t>هي التي تكون صادر</w:t>
      </w:r>
      <w:r w:rsidR="00EC7EDF" w:rsidRPr="00FD211F">
        <w:rPr>
          <w:sz w:val="36"/>
          <w:szCs w:val="36"/>
          <w:rtl/>
        </w:rPr>
        <w:t xml:space="preserve">ة </w:t>
      </w:r>
      <w:r w:rsidRPr="00FD211F">
        <w:rPr>
          <w:sz w:val="36"/>
          <w:szCs w:val="36"/>
          <w:rtl/>
        </w:rPr>
        <w:t>من الشارع.</w:t>
      </w:r>
      <w:r w:rsidR="00EC7EDF" w:rsidRPr="00FD211F">
        <w:rPr>
          <w:sz w:val="36"/>
          <w:szCs w:val="36"/>
          <w:rtl/>
        </w:rPr>
        <w:t xml:space="preserve"> و</w:t>
      </w:r>
      <w:r w:rsidR="007A2648" w:rsidRPr="00FD211F">
        <w:rPr>
          <w:sz w:val="36"/>
          <w:szCs w:val="36"/>
          <w:rtl/>
        </w:rPr>
        <w:t>ادل</w:t>
      </w:r>
      <w:r w:rsidR="00EC7EDF" w:rsidRPr="00FD211F">
        <w:rPr>
          <w:sz w:val="36"/>
          <w:szCs w:val="36"/>
          <w:rtl/>
        </w:rPr>
        <w:t xml:space="preserve">ة </w:t>
      </w:r>
      <w:r w:rsidRPr="00FD211F">
        <w:rPr>
          <w:sz w:val="36"/>
          <w:szCs w:val="36"/>
          <w:rtl/>
        </w:rPr>
        <w:t>عقلي</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Pr="00FD211F">
        <w:rPr>
          <w:sz w:val="36"/>
          <w:szCs w:val="36"/>
          <w:rtl/>
        </w:rPr>
        <w:t>هي التي تكون قضايا مدرك</w:t>
      </w:r>
      <w:r w:rsidR="00EC7EDF" w:rsidRPr="00FD211F">
        <w:rPr>
          <w:sz w:val="36"/>
          <w:szCs w:val="36"/>
          <w:rtl/>
        </w:rPr>
        <w:t xml:space="preserve">ة </w:t>
      </w:r>
      <w:r w:rsidRPr="00FD211F">
        <w:rPr>
          <w:sz w:val="36"/>
          <w:szCs w:val="36"/>
          <w:rtl/>
        </w:rPr>
        <w:t>من قبل العقل</w:t>
      </w:r>
      <w:r w:rsidR="008B0BB3" w:rsidRPr="00FD211F">
        <w:rPr>
          <w:sz w:val="36"/>
          <w:szCs w:val="36"/>
          <w:rtl/>
        </w:rPr>
        <w:t>.</w:t>
      </w:r>
    </w:p>
    <w:p w14:paraId="31E01131" w14:textId="77777777" w:rsidR="001E52A2" w:rsidRPr="00FD211F" w:rsidRDefault="001E52A2" w:rsidP="009C58C8">
      <w:pPr>
        <w:ind w:left="0" w:firstLine="227"/>
        <w:jc w:val="both"/>
        <w:rPr>
          <w:sz w:val="36"/>
          <w:szCs w:val="36"/>
          <w:rtl/>
        </w:rPr>
      </w:pPr>
      <w:r w:rsidRPr="00FD211F">
        <w:rPr>
          <w:sz w:val="36"/>
          <w:szCs w:val="36"/>
          <w:rtl/>
        </w:rPr>
        <w:t>فيبدأ ب</w:t>
      </w:r>
      <w:r w:rsidR="007A2648" w:rsidRPr="00FD211F">
        <w:rPr>
          <w:sz w:val="36"/>
          <w:szCs w:val="36"/>
          <w:rtl/>
        </w:rPr>
        <w:t xml:space="preserve">البحث عن </w:t>
      </w:r>
      <w:r w:rsidRPr="00FD211F">
        <w:rPr>
          <w:sz w:val="36"/>
          <w:szCs w:val="36"/>
          <w:rtl/>
        </w:rPr>
        <w:t>الدليل الشرعي</w:t>
      </w:r>
      <w:r w:rsidR="00EC7EDF" w:rsidRPr="00FD211F">
        <w:rPr>
          <w:sz w:val="36"/>
          <w:szCs w:val="36"/>
          <w:rtl/>
        </w:rPr>
        <w:t xml:space="preserve"> و</w:t>
      </w:r>
      <w:r w:rsidRPr="00FD211F">
        <w:rPr>
          <w:sz w:val="36"/>
          <w:szCs w:val="36"/>
          <w:rtl/>
        </w:rPr>
        <w:t>ي</w:t>
      </w:r>
      <w:r w:rsidR="007A2648" w:rsidRPr="00FD211F">
        <w:rPr>
          <w:sz w:val="36"/>
          <w:szCs w:val="36"/>
          <w:rtl/>
        </w:rPr>
        <w:t>كون الكلام فيه ضمن</w:t>
      </w:r>
      <w:r w:rsidRPr="00FD211F">
        <w:rPr>
          <w:sz w:val="36"/>
          <w:szCs w:val="36"/>
          <w:rtl/>
        </w:rPr>
        <w:t xml:space="preserve"> ثلاث جهات: </w:t>
      </w:r>
    </w:p>
    <w:p w14:paraId="7C0044DC" w14:textId="77777777" w:rsidR="007A2648" w:rsidRPr="00FD211F" w:rsidRDefault="00FD34B9" w:rsidP="009C58C8">
      <w:pPr>
        <w:ind w:left="0" w:firstLine="227"/>
        <w:jc w:val="both"/>
        <w:rPr>
          <w:sz w:val="36"/>
          <w:szCs w:val="36"/>
          <w:rtl/>
        </w:rPr>
      </w:pPr>
      <w:r w:rsidRPr="00FD211F">
        <w:rPr>
          <w:sz w:val="36"/>
          <w:szCs w:val="36"/>
          <w:rtl/>
        </w:rPr>
        <w:t>الجه</w:t>
      </w:r>
      <w:r w:rsidR="00EC7EDF" w:rsidRPr="00FD211F">
        <w:rPr>
          <w:sz w:val="36"/>
          <w:szCs w:val="36"/>
          <w:rtl/>
        </w:rPr>
        <w:t xml:space="preserve">ة </w:t>
      </w:r>
      <w:r w:rsidR="001E52A2" w:rsidRPr="00FD211F">
        <w:rPr>
          <w:sz w:val="36"/>
          <w:szCs w:val="36"/>
          <w:rtl/>
        </w:rPr>
        <w:t>الأولى: في تحديد دلالات الدليل الشرعي</w:t>
      </w:r>
      <w:r w:rsidR="00603323" w:rsidRPr="00FD211F">
        <w:rPr>
          <w:sz w:val="36"/>
          <w:szCs w:val="36"/>
          <w:rtl/>
        </w:rPr>
        <w:t xml:space="preserve">، </w:t>
      </w:r>
      <w:r w:rsidR="007A2648" w:rsidRPr="00FD211F">
        <w:rPr>
          <w:sz w:val="36"/>
          <w:szCs w:val="36"/>
          <w:rtl/>
        </w:rPr>
        <w:t>فيقسم</w:t>
      </w:r>
      <w:r w:rsidR="00B253CE" w:rsidRPr="00FD211F">
        <w:rPr>
          <w:sz w:val="36"/>
          <w:szCs w:val="36"/>
          <w:rtl/>
        </w:rPr>
        <w:t xml:space="preserve"> </w:t>
      </w:r>
      <w:r w:rsidR="007A2648" w:rsidRPr="00FD211F">
        <w:rPr>
          <w:sz w:val="36"/>
          <w:szCs w:val="36"/>
          <w:rtl/>
        </w:rPr>
        <w:t>الدليل الشرعي إلى لفظ</w:t>
      </w:r>
      <w:r w:rsidR="00EC7EDF" w:rsidRPr="00FD211F">
        <w:rPr>
          <w:sz w:val="36"/>
          <w:szCs w:val="36"/>
          <w:rtl/>
        </w:rPr>
        <w:t xml:space="preserve"> و</w:t>
      </w:r>
      <w:r w:rsidR="007A2648" w:rsidRPr="00FD211F">
        <w:rPr>
          <w:sz w:val="36"/>
          <w:szCs w:val="36"/>
          <w:rtl/>
        </w:rPr>
        <w:t>غيره</w:t>
      </w:r>
      <w:r w:rsidR="00603323" w:rsidRPr="00FD211F">
        <w:rPr>
          <w:sz w:val="36"/>
          <w:szCs w:val="36"/>
          <w:rtl/>
        </w:rPr>
        <w:t xml:space="preserve">، </w:t>
      </w:r>
      <w:r w:rsidR="00EC7EDF" w:rsidRPr="00FD211F">
        <w:rPr>
          <w:sz w:val="36"/>
          <w:szCs w:val="36"/>
          <w:rtl/>
        </w:rPr>
        <w:t>و</w:t>
      </w:r>
      <w:r w:rsidR="007A2648" w:rsidRPr="00FD211F">
        <w:rPr>
          <w:sz w:val="36"/>
          <w:szCs w:val="36"/>
          <w:rtl/>
        </w:rPr>
        <w:t>يميز بين دلالات الدليل الشرعي اللفظي</w:t>
      </w:r>
      <w:r w:rsidR="00EC7EDF" w:rsidRPr="00FD211F">
        <w:rPr>
          <w:sz w:val="36"/>
          <w:szCs w:val="36"/>
          <w:rtl/>
        </w:rPr>
        <w:t xml:space="preserve"> و</w:t>
      </w:r>
      <w:r w:rsidR="007A2648" w:rsidRPr="00FD211F">
        <w:rPr>
          <w:sz w:val="36"/>
          <w:szCs w:val="36"/>
          <w:rtl/>
        </w:rPr>
        <w:t>دلالات الدليل الشرعي غير اللفظي اي فعل المعصوم</w:t>
      </w:r>
      <w:r w:rsidR="00B253CE" w:rsidRPr="00FD211F">
        <w:rPr>
          <w:sz w:val="36"/>
          <w:szCs w:val="36"/>
          <w:rtl/>
        </w:rPr>
        <w:t xml:space="preserve"> </w:t>
      </w:r>
      <w:r w:rsidR="007A2648" w:rsidRPr="00FD211F">
        <w:rPr>
          <w:sz w:val="36"/>
          <w:szCs w:val="36"/>
          <w:rtl/>
        </w:rPr>
        <w:t>وتقريره</w:t>
      </w:r>
      <w:r w:rsidR="00603323" w:rsidRPr="00FD211F">
        <w:rPr>
          <w:sz w:val="36"/>
          <w:szCs w:val="36"/>
          <w:rtl/>
        </w:rPr>
        <w:t xml:space="preserve">، </w:t>
      </w:r>
      <w:r w:rsidR="007A2648" w:rsidRPr="00FD211F">
        <w:rPr>
          <w:sz w:val="36"/>
          <w:szCs w:val="36"/>
          <w:rtl/>
        </w:rPr>
        <w:t>و تقدم مقدم</w:t>
      </w:r>
      <w:r w:rsidR="00EC7EDF" w:rsidRPr="00FD211F">
        <w:rPr>
          <w:sz w:val="36"/>
          <w:szCs w:val="36"/>
          <w:rtl/>
        </w:rPr>
        <w:t xml:space="preserve">ة </w:t>
      </w:r>
      <w:r w:rsidR="007A2648" w:rsidRPr="00FD211F">
        <w:rPr>
          <w:sz w:val="36"/>
          <w:szCs w:val="36"/>
          <w:rtl/>
        </w:rPr>
        <w:t>ترتبط بدلالات الدليل الشرعي اللفظي وتشتمل هذه المقدم</w:t>
      </w:r>
      <w:r w:rsidR="00EC7EDF" w:rsidRPr="00FD211F">
        <w:rPr>
          <w:sz w:val="36"/>
          <w:szCs w:val="36"/>
          <w:rtl/>
        </w:rPr>
        <w:t xml:space="preserve">ة </w:t>
      </w:r>
      <w:r w:rsidR="007A2648" w:rsidRPr="00FD211F">
        <w:rPr>
          <w:sz w:val="36"/>
          <w:szCs w:val="36"/>
          <w:rtl/>
        </w:rPr>
        <w:t>على مباحث الوضع</w:t>
      </w:r>
      <w:r w:rsidR="00EC7EDF" w:rsidRPr="00FD211F">
        <w:rPr>
          <w:sz w:val="36"/>
          <w:szCs w:val="36"/>
          <w:rtl/>
        </w:rPr>
        <w:t xml:space="preserve"> و</w:t>
      </w:r>
      <w:r w:rsidR="007A2648" w:rsidRPr="00FD211F">
        <w:rPr>
          <w:sz w:val="36"/>
          <w:szCs w:val="36"/>
          <w:rtl/>
        </w:rPr>
        <w:t>الهيئات</w:t>
      </w:r>
      <w:r w:rsidR="00EC7EDF" w:rsidRPr="00FD211F">
        <w:rPr>
          <w:sz w:val="36"/>
          <w:szCs w:val="36"/>
          <w:rtl/>
        </w:rPr>
        <w:t xml:space="preserve"> و</w:t>
      </w:r>
      <w:r w:rsidR="007A2648" w:rsidRPr="00FD211F">
        <w:rPr>
          <w:sz w:val="36"/>
          <w:szCs w:val="36"/>
          <w:rtl/>
        </w:rPr>
        <w:t>الدلالات اللغوي</w:t>
      </w:r>
      <w:r w:rsidR="00EC7EDF" w:rsidRPr="00FD211F">
        <w:rPr>
          <w:sz w:val="36"/>
          <w:szCs w:val="36"/>
          <w:rtl/>
        </w:rPr>
        <w:t>ة و</w:t>
      </w:r>
      <w:r w:rsidR="007A2648" w:rsidRPr="00FD211F">
        <w:rPr>
          <w:sz w:val="36"/>
          <w:szCs w:val="36"/>
          <w:rtl/>
        </w:rPr>
        <w:t>المجازي</w:t>
      </w:r>
      <w:r w:rsidR="00EC7EDF" w:rsidRPr="00FD211F">
        <w:rPr>
          <w:sz w:val="36"/>
          <w:szCs w:val="36"/>
          <w:rtl/>
        </w:rPr>
        <w:t>ة</w:t>
      </w:r>
      <w:r w:rsidR="00603323" w:rsidRPr="00FD211F">
        <w:rPr>
          <w:sz w:val="36"/>
          <w:szCs w:val="36"/>
          <w:rtl/>
        </w:rPr>
        <w:t xml:space="preserve">، </w:t>
      </w:r>
      <w:r w:rsidR="007A2648" w:rsidRPr="00FD211F">
        <w:rPr>
          <w:sz w:val="36"/>
          <w:szCs w:val="36"/>
          <w:rtl/>
        </w:rPr>
        <w:t>لأن هذه المباحث ترتبط بدلالات هذا الصنف من الدليل</w:t>
      </w:r>
      <w:r w:rsidR="00603323" w:rsidRPr="00FD211F">
        <w:rPr>
          <w:sz w:val="36"/>
          <w:szCs w:val="36"/>
          <w:rtl/>
        </w:rPr>
        <w:t xml:space="preserve">، </w:t>
      </w:r>
      <w:r w:rsidR="00EC7EDF" w:rsidRPr="00FD211F">
        <w:rPr>
          <w:sz w:val="36"/>
          <w:szCs w:val="36"/>
          <w:rtl/>
        </w:rPr>
        <w:t>و</w:t>
      </w:r>
      <w:r w:rsidR="007A2648" w:rsidRPr="00FD211F">
        <w:rPr>
          <w:sz w:val="36"/>
          <w:szCs w:val="36"/>
          <w:rtl/>
        </w:rPr>
        <w:t xml:space="preserve">يدخل في </w:t>
      </w:r>
      <w:r w:rsidRPr="00FD211F">
        <w:rPr>
          <w:sz w:val="36"/>
          <w:szCs w:val="36"/>
          <w:rtl/>
        </w:rPr>
        <w:t xml:space="preserve">ضمن بحث </w:t>
      </w:r>
      <w:r w:rsidR="007A2648" w:rsidRPr="00FD211F">
        <w:rPr>
          <w:sz w:val="36"/>
          <w:szCs w:val="36"/>
          <w:rtl/>
        </w:rPr>
        <w:t>دلالات الدليل الشرعي اللفظي مسائل صيغ</w:t>
      </w:r>
      <w:r w:rsidR="00EC7EDF" w:rsidRPr="00FD211F">
        <w:rPr>
          <w:sz w:val="36"/>
          <w:szCs w:val="36"/>
          <w:rtl/>
        </w:rPr>
        <w:t xml:space="preserve">ة </w:t>
      </w:r>
      <w:r w:rsidR="007A2648" w:rsidRPr="00FD211F">
        <w:rPr>
          <w:sz w:val="36"/>
          <w:szCs w:val="36"/>
          <w:rtl/>
        </w:rPr>
        <w:t>الأمر</w:t>
      </w:r>
      <w:r w:rsidR="00EC7EDF" w:rsidRPr="00FD211F">
        <w:rPr>
          <w:sz w:val="36"/>
          <w:szCs w:val="36"/>
          <w:rtl/>
        </w:rPr>
        <w:t xml:space="preserve"> و</w:t>
      </w:r>
      <w:r w:rsidR="007A2648" w:rsidRPr="00FD211F">
        <w:rPr>
          <w:sz w:val="36"/>
          <w:szCs w:val="36"/>
          <w:rtl/>
        </w:rPr>
        <w:t>مادته</w:t>
      </w:r>
      <w:r w:rsidR="00EC7EDF" w:rsidRPr="00FD211F">
        <w:rPr>
          <w:sz w:val="36"/>
          <w:szCs w:val="36"/>
          <w:rtl/>
        </w:rPr>
        <w:t xml:space="preserve"> و</w:t>
      </w:r>
      <w:r w:rsidR="007A2648" w:rsidRPr="00FD211F">
        <w:rPr>
          <w:sz w:val="36"/>
          <w:szCs w:val="36"/>
          <w:rtl/>
        </w:rPr>
        <w:t>صيغ</w:t>
      </w:r>
      <w:r w:rsidR="00EC7EDF" w:rsidRPr="00FD211F">
        <w:rPr>
          <w:sz w:val="36"/>
          <w:szCs w:val="36"/>
          <w:rtl/>
        </w:rPr>
        <w:t xml:space="preserve">ة </w:t>
      </w:r>
      <w:r w:rsidR="007A2648" w:rsidRPr="00FD211F">
        <w:rPr>
          <w:sz w:val="36"/>
          <w:szCs w:val="36"/>
          <w:rtl/>
        </w:rPr>
        <w:t>النهي</w:t>
      </w:r>
      <w:r w:rsidR="00EC7EDF" w:rsidRPr="00FD211F">
        <w:rPr>
          <w:sz w:val="36"/>
          <w:szCs w:val="36"/>
          <w:rtl/>
        </w:rPr>
        <w:t xml:space="preserve"> و</w:t>
      </w:r>
      <w:r w:rsidR="007A2648" w:rsidRPr="00FD211F">
        <w:rPr>
          <w:sz w:val="36"/>
          <w:szCs w:val="36"/>
          <w:rtl/>
        </w:rPr>
        <w:t>مادته</w:t>
      </w:r>
      <w:r w:rsidR="00EC7EDF" w:rsidRPr="00FD211F">
        <w:rPr>
          <w:sz w:val="36"/>
          <w:szCs w:val="36"/>
          <w:rtl/>
        </w:rPr>
        <w:t xml:space="preserve"> و</w:t>
      </w:r>
      <w:r w:rsidR="007A2648" w:rsidRPr="00FD211F">
        <w:rPr>
          <w:sz w:val="36"/>
          <w:szCs w:val="36"/>
          <w:rtl/>
        </w:rPr>
        <w:t>الإطلاق</w:t>
      </w:r>
      <w:r w:rsidR="00EC7EDF" w:rsidRPr="00FD211F">
        <w:rPr>
          <w:sz w:val="36"/>
          <w:szCs w:val="36"/>
          <w:rtl/>
        </w:rPr>
        <w:t xml:space="preserve"> و</w:t>
      </w:r>
      <w:r w:rsidR="007A2648" w:rsidRPr="00FD211F">
        <w:rPr>
          <w:sz w:val="36"/>
          <w:szCs w:val="36"/>
          <w:rtl/>
        </w:rPr>
        <w:t>العموم</w:t>
      </w:r>
      <w:r w:rsidR="00EC7EDF" w:rsidRPr="00FD211F">
        <w:rPr>
          <w:sz w:val="36"/>
          <w:szCs w:val="36"/>
          <w:rtl/>
        </w:rPr>
        <w:t xml:space="preserve"> و</w:t>
      </w:r>
      <w:r w:rsidR="007A2648" w:rsidRPr="00FD211F">
        <w:rPr>
          <w:sz w:val="36"/>
          <w:szCs w:val="36"/>
          <w:rtl/>
        </w:rPr>
        <w:t>المفاهيم</w:t>
      </w:r>
      <w:r w:rsidR="00EC7EDF" w:rsidRPr="00FD211F">
        <w:rPr>
          <w:sz w:val="36"/>
          <w:szCs w:val="36"/>
          <w:rtl/>
        </w:rPr>
        <w:t xml:space="preserve"> و</w:t>
      </w:r>
      <w:r w:rsidR="007A2648" w:rsidRPr="00FD211F">
        <w:rPr>
          <w:sz w:val="36"/>
          <w:szCs w:val="36"/>
          <w:rtl/>
        </w:rPr>
        <w:t>غير ذلك من الضوابط العام</w:t>
      </w:r>
      <w:r w:rsidR="00EC7EDF" w:rsidRPr="00FD211F">
        <w:rPr>
          <w:sz w:val="36"/>
          <w:szCs w:val="36"/>
          <w:rtl/>
        </w:rPr>
        <w:t xml:space="preserve">ة </w:t>
      </w:r>
      <w:r w:rsidR="007A2648" w:rsidRPr="00FD211F">
        <w:rPr>
          <w:sz w:val="36"/>
          <w:szCs w:val="36"/>
          <w:rtl/>
        </w:rPr>
        <w:t>للأدل</w:t>
      </w:r>
      <w:r w:rsidR="00EC7EDF" w:rsidRPr="00FD211F">
        <w:rPr>
          <w:sz w:val="36"/>
          <w:szCs w:val="36"/>
          <w:rtl/>
        </w:rPr>
        <w:t>ة</w:t>
      </w:r>
      <w:r w:rsidR="00A61BAE" w:rsidRPr="00FD211F">
        <w:rPr>
          <w:sz w:val="36"/>
          <w:szCs w:val="36"/>
          <w:rtl/>
        </w:rPr>
        <w:t>.</w:t>
      </w:r>
      <w:r w:rsidR="007A2648" w:rsidRPr="00FD211F">
        <w:rPr>
          <w:sz w:val="36"/>
          <w:szCs w:val="36"/>
          <w:rtl/>
        </w:rPr>
        <w:t xml:space="preserve"> </w:t>
      </w:r>
    </w:p>
    <w:p w14:paraId="315EB7BD" w14:textId="77777777" w:rsidR="001E52A2" w:rsidRPr="00FD211F" w:rsidRDefault="007A2648" w:rsidP="009C58C8">
      <w:pPr>
        <w:ind w:left="0" w:firstLine="227"/>
        <w:jc w:val="both"/>
        <w:rPr>
          <w:sz w:val="36"/>
          <w:szCs w:val="36"/>
          <w:rtl/>
        </w:rPr>
      </w:pPr>
      <w:r w:rsidRPr="00FD211F">
        <w:rPr>
          <w:sz w:val="36"/>
          <w:szCs w:val="36"/>
          <w:rtl/>
        </w:rPr>
        <w:t xml:space="preserve">و فيما يخص </w:t>
      </w:r>
      <w:r w:rsidR="003873A8" w:rsidRPr="00FD211F">
        <w:rPr>
          <w:sz w:val="36"/>
          <w:szCs w:val="36"/>
          <w:rtl/>
        </w:rPr>
        <w:t>ب</w:t>
      </w:r>
      <w:r w:rsidRPr="00FD211F">
        <w:rPr>
          <w:sz w:val="36"/>
          <w:szCs w:val="36"/>
          <w:rtl/>
        </w:rPr>
        <w:t xml:space="preserve">دلالات الدليل الشرعي غير اللفظي يتكلم عما يمكن أن يدل عليه الفعل أو التقرير </w:t>
      </w:r>
      <w:r w:rsidR="003873A8" w:rsidRPr="00FD211F">
        <w:rPr>
          <w:sz w:val="36"/>
          <w:szCs w:val="36"/>
          <w:rtl/>
        </w:rPr>
        <w:t>اما بملاك</w:t>
      </w:r>
      <w:r w:rsidRPr="00FD211F">
        <w:rPr>
          <w:sz w:val="36"/>
          <w:szCs w:val="36"/>
          <w:rtl/>
        </w:rPr>
        <w:t xml:space="preserve"> الظهور العرفي أو القرين</w:t>
      </w:r>
      <w:r w:rsidR="00EC7EDF" w:rsidRPr="00FD211F">
        <w:rPr>
          <w:sz w:val="36"/>
          <w:szCs w:val="36"/>
          <w:rtl/>
        </w:rPr>
        <w:t xml:space="preserve">ة </w:t>
      </w:r>
      <w:r w:rsidRPr="00FD211F">
        <w:rPr>
          <w:sz w:val="36"/>
          <w:szCs w:val="36"/>
          <w:rtl/>
        </w:rPr>
        <w:t>العقلي</w:t>
      </w:r>
      <w:r w:rsidR="00EC7EDF" w:rsidRPr="00FD211F">
        <w:rPr>
          <w:sz w:val="36"/>
          <w:szCs w:val="36"/>
          <w:rtl/>
        </w:rPr>
        <w:t xml:space="preserve">ة </w:t>
      </w:r>
      <w:r w:rsidRPr="00FD211F">
        <w:rPr>
          <w:sz w:val="36"/>
          <w:szCs w:val="36"/>
          <w:rtl/>
        </w:rPr>
        <w:t>الناشئ</w:t>
      </w:r>
      <w:r w:rsidR="00EC7EDF" w:rsidRPr="00FD211F">
        <w:rPr>
          <w:sz w:val="36"/>
          <w:szCs w:val="36"/>
          <w:rtl/>
        </w:rPr>
        <w:t xml:space="preserve">ة </w:t>
      </w:r>
      <w:r w:rsidRPr="00FD211F">
        <w:rPr>
          <w:sz w:val="36"/>
          <w:szCs w:val="36"/>
          <w:rtl/>
        </w:rPr>
        <w:t>من عصم</w:t>
      </w:r>
      <w:r w:rsidR="00EC7EDF" w:rsidRPr="00FD211F">
        <w:rPr>
          <w:sz w:val="36"/>
          <w:szCs w:val="36"/>
          <w:rtl/>
        </w:rPr>
        <w:t xml:space="preserve">ة </w:t>
      </w:r>
      <w:r w:rsidRPr="00FD211F">
        <w:rPr>
          <w:sz w:val="36"/>
          <w:szCs w:val="36"/>
          <w:rtl/>
        </w:rPr>
        <w:t>الشارع</w:t>
      </w:r>
    </w:p>
    <w:p w14:paraId="19BBA567" w14:textId="77777777" w:rsidR="00FD34B9" w:rsidRPr="00FD211F" w:rsidRDefault="00FD34B9" w:rsidP="009C58C8">
      <w:pPr>
        <w:ind w:left="0" w:firstLine="227"/>
        <w:jc w:val="both"/>
        <w:rPr>
          <w:sz w:val="36"/>
          <w:szCs w:val="36"/>
          <w:rtl/>
        </w:rPr>
      </w:pPr>
      <w:r w:rsidRPr="00FD211F">
        <w:rPr>
          <w:sz w:val="36"/>
          <w:szCs w:val="36"/>
          <w:rtl/>
        </w:rPr>
        <w:t>الحه</w:t>
      </w:r>
      <w:r w:rsidR="00EC7EDF" w:rsidRPr="00FD211F">
        <w:rPr>
          <w:sz w:val="36"/>
          <w:szCs w:val="36"/>
          <w:rtl/>
        </w:rPr>
        <w:t xml:space="preserve">ة </w:t>
      </w:r>
      <w:r w:rsidR="001E52A2" w:rsidRPr="00FD211F">
        <w:rPr>
          <w:sz w:val="36"/>
          <w:szCs w:val="36"/>
          <w:rtl/>
        </w:rPr>
        <w:t>الثاني</w:t>
      </w:r>
      <w:r w:rsidR="00EC7EDF" w:rsidRPr="00FD211F">
        <w:rPr>
          <w:sz w:val="36"/>
          <w:szCs w:val="36"/>
          <w:rtl/>
        </w:rPr>
        <w:t>ة</w:t>
      </w:r>
      <w:r w:rsidR="00057D31" w:rsidRPr="00FD211F">
        <w:rPr>
          <w:sz w:val="36"/>
          <w:szCs w:val="36"/>
          <w:rtl/>
        </w:rPr>
        <w:t>:</w:t>
      </w:r>
      <w:r w:rsidR="001E52A2" w:rsidRPr="00FD211F">
        <w:rPr>
          <w:sz w:val="36"/>
          <w:szCs w:val="36"/>
          <w:rtl/>
        </w:rPr>
        <w:t xml:space="preserve"> في إثبات صغراه أي صدوره من الشارع</w:t>
      </w:r>
      <w:r w:rsidR="00603323" w:rsidRPr="00FD211F">
        <w:rPr>
          <w:sz w:val="36"/>
          <w:szCs w:val="36"/>
          <w:rtl/>
        </w:rPr>
        <w:t xml:space="preserve">، </w:t>
      </w:r>
      <w:r w:rsidRPr="00FD211F">
        <w:rPr>
          <w:sz w:val="36"/>
          <w:szCs w:val="36"/>
          <w:rtl/>
        </w:rPr>
        <w:t>ونتعرض فيها للوسائل الممكن</w:t>
      </w:r>
      <w:r w:rsidR="00EC7EDF" w:rsidRPr="00FD211F">
        <w:rPr>
          <w:sz w:val="36"/>
          <w:szCs w:val="36"/>
          <w:rtl/>
        </w:rPr>
        <w:t xml:space="preserve">ة </w:t>
      </w:r>
      <w:r w:rsidRPr="00FD211F">
        <w:rPr>
          <w:sz w:val="36"/>
          <w:szCs w:val="36"/>
          <w:rtl/>
        </w:rPr>
        <w:t>للإثبات من التواتر</w:t>
      </w:r>
      <w:r w:rsidR="00EC7EDF" w:rsidRPr="00FD211F">
        <w:rPr>
          <w:sz w:val="36"/>
          <w:szCs w:val="36"/>
          <w:rtl/>
        </w:rPr>
        <w:t xml:space="preserve"> و</w:t>
      </w:r>
      <w:r w:rsidRPr="00FD211F">
        <w:rPr>
          <w:sz w:val="36"/>
          <w:szCs w:val="36"/>
          <w:rtl/>
        </w:rPr>
        <w:t>الإجماع</w:t>
      </w:r>
      <w:r w:rsidR="00EC7EDF" w:rsidRPr="00FD211F">
        <w:rPr>
          <w:sz w:val="36"/>
          <w:szCs w:val="36"/>
          <w:rtl/>
        </w:rPr>
        <w:t xml:space="preserve"> و</w:t>
      </w:r>
      <w:r w:rsidRPr="00FD211F">
        <w:rPr>
          <w:sz w:val="36"/>
          <w:szCs w:val="36"/>
          <w:rtl/>
        </w:rPr>
        <w:t>السير</w:t>
      </w:r>
      <w:r w:rsidR="00EC7EDF" w:rsidRPr="00FD211F">
        <w:rPr>
          <w:sz w:val="36"/>
          <w:szCs w:val="36"/>
          <w:rtl/>
        </w:rPr>
        <w:t>ة و</w:t>
      </w:r>
      <w:r w:rsidRPr="00FD211F">
        <w:rPr>
          <w:sz w:val="36"/>
          <w:szCs w:val="36"/>
          <w:rtl/>
        </w:rPr>
        <w:t>الشهر</w:t>
      </w:r>
      <w:r w:rsidR="00EC7EDF" w:rsidRPr="00FD211F">
        <w:rPr>
          <w:sz w:val="36"/>
          <w:szCs w:val="36"/>
          <w:rtl/>
        </w:rPr>
        <w:t>ة و</w:t>
      </w:r>
      <w:r w:rsidRPr="00FD211F">
        <w:rPr>
          <w:sz w:val="36"/>
          <w:szCs w:val="36"/>
          <w:rtl/>
        </w:rPr>
        <w:t xml:space="preserve">خبر الواحد. </w:t>
      </w:r>
    </w:p>
    <w:p w14:paraId="4EC52ECB" w14:textId="77777777" w:rsidR="001E52A2" w:rsidRPr="00FD211F" w:rsidRDefault="00FD34B9" w:rsidP="009C58C8">
      <w:pPr>
        <w:ind w:left="0" w:firstLine="227"/>
        <w:jc w:val="both"/>
        <w:rPr>
          <w:sz w:val="36"/>
          <w:szCs w:val="36"/>
          <w:rtl/>
        </w:rPr>
      </w:pPr>
      <w:r w:rsidRPr="00FD211F">
        <w:rPr>
          <w:sz w:val="36"/>
          <w:szCs w:val="36"/>
          <w:rtl/>
        </w:rPr>
        <w:t>الجه</w:t>
      </w:r>
      <w:r w:rsidR="00EC7EDF" w:rsidRPr="00FD211F">
        <w:rPr>
          <w:sz w:val="36"/>
          <w:szCs w:val="36"/>
          <w:rtl/>
        </w:rPr>
        <w:t xml:space="preserve">ة </w:t>
      </w:r>
      <w:r w:rsidR="001E52A2" w:rsidRPr="00FD211F">
        <w:rPr>
          <w:sz w:val="36"/>
          <w:szCs w:val="36"/>
          <w:rtl/>
        </w:rPr>
        <w:t>الثالث</w:t>
      </w:r>
      <w:r w:rsidR="00EC7EDF" w:rsidRPr="00FD211F">
        <w:rPr>
          <w:sz w:val="36"/>
          <w:szCs w:val="36"/>
          <w:rtl/>
        </w:rPr>
        <w:t>ة</w:t>
      </w:r>
      <w:r w:rsidR="00057D31" w:rsidRPr="00FD211F">
        <w:rPr>
          <w:sz w:val="36"/>
          <w:szCs w:val="36"/>
          <w:rtl/>
        </w:rPr>
        <w:t>:</w:t>
      </w:r>
      <w:r w:rsidR="001E52A2" w:rsidRPr="00FD211F">
        <w:rPr>
          <w:sz w:val="36"/>
          <w:szCs w:val="36"/>
          <w:rtl/>
        </w:rPr>
        <w:t xml:space="preserve"> في حجي</w:t>
      </w:r>
      <w:r w:rsidR="00EC7EDF" w:rsidRPr="00FD211F">
        <w:rPr>
          <w:sz w:val="36"/>
          <w:szCs w:val="36"/>
          <w:rtl/>
        </w:rPr>
        <w:t xml:space="preserve">ة </w:t>
      </w:r>
      <w:r w:rsidR="001E52A2" w:rsidRPr="00FD211F">
        <w:rPr>
          <w:sz w:val="36"/>
          <w:szCs w:val="36"/>
          <w:rtl/>
        </w:rPr>
        <w:t>تلك الدلالات</w:t>
      </w:r>
      <w:r w:rsidR="00603323" w:rsidRPr="00FD211F">
        <w:rPr>
          <w:sz w:val="36"/>
          <w:szCs w:val="36"/>
          <w:rtl/>
        </w:rPr>
        <w:t xml:space="preserve">، </w:t>
      </w:r>
      <w:r w:rsidRPr="00FD211F">
        <w:rPr>
          <w:sz w:val="36"/>
          <w:szCs w:val="36"/>
          <w:rtl/>
        </w:rPr>
        <w:t>ونتكلم</w:t>
      </w:r>
      <w:r w:rsidR="001E52A2" w:rsidRPr="00FD211F">
        <w:rPr>
          <w:sz w:val="36"/>
          <w:szCs w:val="36"/>
          <w:rtl/>
        </w:rPr>
        <w:t xml:space="preserve"> فيها عن حجي</w:t>
      </w:r>
      <w:r w:rsidR="00EC7EDF" w:rsidRPr="00FD211F">
        <w:rPr>
          <w:sz w:val="36"/>
          <w:szCs w:val="36"/>
          <w:rtl/>
        </w:rPr>
        <w:t xml:space="preserve">ة </w:t>
      </w:r>
      <w:r w:rsidR="001E52A2" w:rsidRPr="00FD211F">
        <w:rPr>
          <w:sz w:val="36"/>
          <w:szCs w:val="36"/>
          <w:rtl/>
        </w:rPr>
        <w:t>الدلال</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001E52A2" w:rsidRPr="00FD211F">
        <w:rPr>
          <w:sz w:val="36"/>
          <w:szCs w:val="36"/>
          <w:rtl/>
        </w:rPr>
        <w:t>جواز الاعتماد على ظهور الكتاب</w:t>
      </w:r>
      <w:r w:rsidR="00EC7EDF" w:rsidRPr="00FD211F">
        <w:rPr>
          <w:sz w:val="36"/>
          <w:szCs w:val="36"/>
          <w:rtl/>
        </w:rPr>
        <w:t xml:space="preserve"> و</w:t>
      </w:r>
      <w:r w:rsidR="001E52A2" w:rsidRPr="00FD211F">
        <w:rPr>
          <w:sz w:val="36"/>
          <w:szCs w:val="36"/>
          <w:rtl/>
        </w:rPr>
        <w:t>السن</w:t>
      </w:r>
      <w:r w:rsidR="00EC7EDF" w:rsidRPr="00FD211F">
        <w:rPr>
          <w:sz w:val="36"/>
          <w:szCs w:val="36"/>
          <w:rtl/>
        </w:rPr>
        <w:t>ة و</w:t>
      </w:r>
      <w:r w:rsidR="001E52A2" w:rsidRPr="00FD211F">
        <w:rPr>
          <w:sz w:val="36"/>
          <w:szCs w:val="36"/>
          <w:rtl/>
        </w:rPr>
        <w:t>سائر ما يتصل بذلك من أقوال</w:t>
      </w:r>
      <w:r w:rsidR="00603323" w:rsidRPr="00FD211F">
        <w:rPr>
          <w:sz w:val="36"/>
          <w:szCs w:val="36"/>
          <w:rtl/>
        </w:rPr>
        <w:t xml:space="preserve">، </w:t>
      </w:r>
      <w:r w:rsidR="00EC7EDF" w:rsidRPr="00FD211F">
        <w:rPr>
          <w:sz w:val="36"/>
          <w:szCs w:val="36"/>
          <w:rtl/>
        </w:rPr>
        <w:t>و</w:t>
      </w:r>
      <w:r w:rsidR="001E52A2" w:rsidRPr="00FD211F">
        <w:rPr>
          <w:sz w:val="36"/>
          <w:szCs w:val="36"/>
          <w:rtl/>
        </w:rPr>
        <w:t>عن تبعي</w:t>
      </w:r>
      <w:r w:rsidR="00EC7EDF" w:rsidRPr="00FD211F">
        <w:rPr>
          <w:sz w:val="36"/>
          <w:szCs w:val="36"/>
          <w:rtl/>
        </w:rPr>
        <w:t xml:space="preserve">ة </w:t>
      </w:r>
      <w:r w:rsidR="001E52A2" w:rsidRPr="00FD211F">
        <w:rPr>
          <w:sz w:val="36"/>
          <w:szCs w:val="36"/>
          <w:rtl/>
        </w:rPr>
        <w:t>الدلال</w:t>
      </w:r>
      <w:r w:rsidR="00EC7EDF" w:rsidRPr="00FD211F">
        <w:rPr>
          <w:sz w:val="36"/>
          <w:szCs w:val="36"/>
          <w:rtl/>
        </w:rPr>
        <w:t xml:space="preserve">ة </w:t>
      </w:r>
      <w:r w:rsidR="001E52A2" w:rsidRPr="00FD211F">
        <w:rPr>
          <w:sz w:val="36"/>
          <w:szCs w:val="36"/>
          <w:rtl/>
        </w:rPr>
        <w:t>الالتزامي</w:t>
      </w:r>
      <w:r w:rsidR="00EC7EDF" w:rsidRPr="00FD211F">
        <w:rPr>
          <w:sz w:val="36"/>
          <w:szCs w:val="36"/>
          <w:rtl/>
        </w:rPr>
        <w:t xml:space="preserve">ة </w:t>
      </w:r>
      <w:r w:rsidR="001E52A2" w:rsidRPr="00FD211F">
        <w:rPr>
          <w:sz w:val="36"/>
          <w:szCs w:val="36"/>
          <w:rtl/>
        </w:rPr>
        <w:t>للدلال</w:t>
      </w:r>
      <w:r w:rsidR="00EC7EDF" w:rsidRPr="00FD211F">
        <w:rPr>
          <w:sz w:val="36"/>
          <w:szCs w:val="36"/>
          <w:rtl/>
        </w:rPr>
        <w:t xml:space="preserve">ة </w:t>
      </w:r>
      <w:r w:rsidR="001E52A2" w:rsidRPr="00FD211F">
        <w:rPr>
          <w:sz w:val="36"/>
          <w:szCs w:val="36"/>
          <w:rtl/>
        </w:rPr>
        <w:t>المطابقي</w:t>
      </w:r>
      <w:r w:rsidR="00EC7EDF" w:rsidRPr="00FD211F">
        <w:rPr>
          <w:sz w:val="36"/>
          <w:szCs w:val="36"/>
          <w:rtl/>
        </w:rPr>
        <w:t xml:space="preserve">ة </w:t>
      </w:r>
      <w:r w:rsidR="001E52A2" w:rsidRPr="00FD211F">
        <w:rPr>
          <w:sz w:val="36"/>
          <w:szCs w:val="36"/>
          <w:rtl/>
        </w:rPr>
        <w:t>في الحجي</w:t>
      </w:r>
      <w:r w:rsidR="00EC7EDF" w:rsidRPr="00FD211F">
        <w:rPr>
          <w:sz w:val="36"/>
          <w:szCs w:val="36"/>
          <w:rtl/>
        </w:rPr>
        <w:t>ة</w:t>
      </w:r>
      <w:r w:rsidR="00A61BAE" w:rsidRPr="00FD211F">
        <w:rPr>
          <w:sz w:val="36"/>
          <w:szCs w:val="36"/>
          <w:rtl/>
        </w:rPr>
        <w:t>.</w:t>
      </w:r>
      <w:r w:rsidR="001E52A2" w:rsidRPr="00FD211F">
        <w:rPr>
          <w:sz w:val="36"/>
          <w:szCs w:val="36"/>
          <w:rtl/>
        </w:rPr>
        <w:t xml:space="preserve"> </w:t>
      </w:r>
    </w:p>
    <w:p w14:paraId="7DA0FB6F" w14:textId="77777777" w:rsidR="001E52A2" w:rsidRPr="00FD211F" w:rsidRDefault="001E52A2" w:rsidP="009C58C8">
      <w:pPr>
        <w:ind w:left="0" w:firstLine="227"/>
        <w:jc w:val="both"/>
        <w:rPr>
          <w:sz w:val="36"/>
          <w:szCs w:val="36"/>
          <w:rtl/>
        </w:rPr>
      </w:pPr>
      <w:r w:rsidRPr="00FD211F">
        <w:rPr>
          <w:sz w:val="36"/>
          <w:szCs w:val="36"/>
          <w:rtl/>
        </w:rPr>
        <w:t>و بعد ذلك ينتقل إلى الدليل العقلي.</w:t>
      </w:r>
      <w:r w:rsidR="00EC7EDF" w:rsidRPr="00FD211F">
        <w:rPr>
          <w:sz w:val="36"/>
          <w:szCs w:val="36"/>
          <w:rtl/>
        </w:rPr>
        <w:t xml:space="preserve"> و</w:t>
      </w:r>
      <w:r w:rsidRPr="00FD211F">
        <w:rPr>
          <w:sz w:val="36"/>
          <w:szCs w:val="36"/>
          <w:rtl/>
        </w:rPr>
        <w:t>يدخل فيه البحث عن كل قضي</w:t>
      </w:r>
      <w:r w:rsidR="00EC7EDF" w:rsidRPr="00FD211F">
        <w:rPr>
          <w:sz w:val="36"/>
          <w:szCs w:val="36"/>
          <w:rtl/>
        </w:rPr>
        <w:t xml:space="preserve">ة </w:t>
      </w:r>
      <w:r w:rsidRPr="00FD211F">
        <w:rPr>
          <w:sz w:val="36"/>
          <w:szCs w:val="36"/>
          <w:rtl/>
        </w:rPr>
        <w:t>عقلي</w:t>
      </w:r>
      <w:r w:rsidR="00EC7EDF" w:rsidRPr="00FD211F">
        <w:rPr>
          <w:sz w:val="36"/>
          <w:szCs w:val="36"/>
          <w:rtl/>
        </w:rPr>
        <w:t xml:space="preserve">ة </w:t>
      </w:r>
      <w:r w:rsidRPr="00FD211F">
        <w:rPr>
          <w:sz w:val="36"/>
          <w:szCs w:val="36"/>
          <w:rtl/>
        </w:rPr>
        <w:t>يمكن أن يستنبط منها حكم شرعي اما بلا واسط</w:t>
      </w:r>
      <w:r w:rsidR="00EC7EDF" w:rsidRPr="00FD211F">
        <w:rPr>
          <w:sz w:val="36"/>
          <w:szCs w:val="36"/>
          <w:rtl/>
        </w:rPr>
        <w:t xml:space="preserve">ة </w:t>
      </w:r>
      <w:r w:rsidRPr="00FD211F">
        <w:rPr>
          <w:sz w:val="36"/>
          <w:szCs w:val="36"/>
          <w:rtl/>
        </w:rPr>
        <w:t>أو بضم مقدم</w:t>
      </w:r>
      <w:r w:rsidR="00EC7EDF" w:rsidRPr="00FD211F">
        <w:rPr>
          <w:sz w:val="36"/>
          <w:szCs w:val="36"/>
          <w:rtl/>
        </w:rPr>
        <w:t xml:space="preserve">ة </w:t>
      </w:r>
      <w:r w:rsidRPr="00FD211F">
        <w:rPr>
          <w:sz w:val="36"/>
          <w:szCs w:val="36"/>
          <w:rtl/>
        </w:rPr>
        <w:t>شرعي</w:t>
      </w:r>
      <w:r w:rsidR="00EC7EDF" w:rsidRPr="00FD211F">
        <w:rPr>
          <w:sz w:val="36"/>
          <w:szCs w:val="36"/>
          <w:rtl/>
        </w:rPr>
        <w:t xml:space="preserve">ة </w:t>
      </w:r>
      <w:r w:rsidRPr="00FD211F">
        <w:rPr>
          <w:sz w:val="36"/>
          <w:szCs w:val="36"/>
          <w:rtl/>
        </w:rPr>
        <w:t>أخرى</w:t>
      </w:r>
      <w:r w:rsidR="00603323" w:rsidRPr="00FD211F">
        <w:rPr>
          <w:sz w:val="36"/>
          <w:szCs w:val="36"/>
          <w:rtl/>
        </w:rPr>
        <w:t xml:space="preserve">، </w:t>
      </w:r>
      <w:r w:rsidRPr="00FD211F">
        <w:rPr>
          <w:sz w:val="36"/>
          <w:szCs w:val="36"/>
          <w:rtl/>
        </w:rPr>
        <w:t>أي المستقلات العقلي</w:t>
      </w:r>
      <w:r w:rsidR="00EC7EDF" w:rsidRPr="00FD211F">
        <w:rPr>
          <w:sz w:val="36"/>
          <w:szCs w:val="36"/>
          <w:rtl/>
        </w:rPr>
        <w:t>ة و</w:t>
      </w:r>
      <w:r w:rsidRPr="00FD211F">
        <w:rPr>
          <w:sz w:val="36"/>
          <w:szCs w:val="36"/>
          <w:rtl/>
        </w:rPr>
        <w:t>غير المستقلات.</w:t>
      </w:r>
      <w:r w:rsidR="00EC7EDF" w:rsidRPr="00FD211F">
        <w:rPr>
          <w:sz w:val="36"/>
          <w:szCs w:val="36"/>
          <w:rtl/>
        </w:rPr>
        <w:t xml:space="preserve"> و</w:t>
      </w:r>
      <w:r w:rsidRPr="00FD211F">
        <w:rPr>
          <w:sz w:val="36"/>
          <w:szCs w:val="36"/>
          <w:rtl/>
        </w:rPr>
        <w:t>يدخل في الدليل</w:t>
      </w:r>
      <w:r w:rsidR="00FD34B9" w:rsidRPr="00FD211F">
        <w:rPr>
          <w:sz w:val="36"/>
          <w:szCs w:val="36"/>
          <w:rtl/>
        </w:rPr>
        <w:t xml:space="preserve"> العقلي هذا كل أبحاث الملازمات العقلي</w:t>
      </w:r>
      <w:r w:rsidR="00EC7EDF" w:rsidRPr="00FD211F">
        <w:rPr>
          <w:sz w:val="36"/>
          <w:szCs w:val="36"/>
          <w:rtl/>
        </w:rPr>
        <w:t>ة</w:t>
      </w:r>
      <w:r w:rsidR="00A61BAE" w:rsidRPr="00FD211F">
        <w:rPr>
          <w:sz w:val="36"/>
          <w:szCs w:val="36"/>
          <w:rtl/>
        </w:rPr>
        <w:t>.</w:t>
      </w:r>
      <w:r w:rsidRPr="00FD211F">
        <w:rPr>
          <w:sz w:val="36"/>
          <w:szCs w:val="36"/>
          <w:rtl/>
        </w:rPr>
        <w:t xml:space="preserve"> </w:t>
      </w:r>
    </w:p>
    <w:p w14:paraId="23DABB6D" w14:textId="77777777" w:rsidR="001E52A2" w:rsidRPr="00FD211F" w:rsidRDefault="001E52A2" w:rsidP="009C58C8">
      <w:pPr>
        <w:ind w:left="0" w:firstLine="227"/>
        <w:jc w:val="both"/>
        <w:rPr>
          <w:sz w:val="36"/>
          <w:szCs w:val="36"/>
          <w:rtl/>
        </w:rPr>
      </w:pPr>
      <w:r w:rsidRPr="00FD211F">
        <w:rPr>
          <w:sz w:val="36"/>
          <w:szCs w:val="36"/>
          <w:rtl/>
        </w:rPr>
        <w:t>و البحث عن الدليل العقلي</w:t>
      </w:r>
      <w:r w:rsidR="00603323" w:rsidRPr="00FD211F">
        <w:rPr>
          <w:sz w:val="36"/>
          <w:szCs w:val="36"/>
          <w:rtl/>
        </w:rPr>
        <w:t xml:space="preserve">، </w:t>
      </w:r>
      <w:r w:rsidRPr="00FD211F">
        <w:rPr>
          <w:sz w:val="36"/>
          <w:szCs w:val="36"/>
          <w:rtl/>
        </w:rPr>
        <w:t>تار</w:t>
      </w:r>
      <w:r w:rsidR="00EC7EDF" w:rsidRPr="00FD211F">
        <w:rPr>
          <w:sz w:val="36"/>
          <w:szCs w:val="36"/>
          <w:rtl/>
        </w:rPr>
        <w:t xml:space="preserve">ة </w:t>
      </w:r>
      <w:r w:rsidR="00FD34B9" w:rsidRPr="00FD211F">
        <w:rPr>
          <w:sz w:val="36"/>
          <w:szCs w:val="36"/>
          <w:rtl/>
        </w:rPr>
        <w:t>يكون</w:t>
      </w:r>
      <w:r w:rsidRPr="00FD211F">
        <w:rPr>
          <w:sz w:val="36"/>
          <w:szCs w:val="36"/>
          <w:rtl/>
        </w:rPr>
        <w:t xml:space="preserve"> صغرويا </w:t>
      </w:r>
      <w:r w:rsidR="00FD34B9" w:rsidRPr="00FD211F">
        <w:rPr>
          <w:sz w:val="36"/>
          <w:szCs w:val="36"/>
          <w:rtl/>
        </w:rPr>
        <w:t xml:space="preserve">بلحاظ ثبوت </w:t>
      </w:r>
      <w:r w:rsidRPr="00FD211F">
        <w:rPr>
          <w:sz w:val="36"/>
          <w:szCs w:val="36"/>
          <w:rtl/>
        </w:rPr>
        <w:t>القضي</w:t>
      </w:r>
      <w:r w:rsidR="00EC7EDF" w:rsidRPr="00FD211F">
        <w:rPr>
          <w:sz w:val="36"/>
          <w:szCs w:val="36"/>
          <w:rtl/>
        </w:rPr>
        <w:t xml:space="preserve">ة </w:t>
      </w:r>
      <w:r w:rsidRPr="00FD211F">
        <w:rPr>
          <w:sz w:val="36"/>
          <w:szCs w:val="36"/>
          <w:rtl/>
        </w:rPr>
        <w:t>العقلي</w:t>
      </w:r>
      <w:r w:rsidR="00EC7EDF" w:rsidRPr="00FD211F">
        <w:rPr>
          <w:sz w:val="36"/>
          <w:szCs w:val="36"/>
          <w:rtl/>
        </w:rPr>
        <w:t>ة و</w:t>
      </w:r>
      <w:r w:rsidR="00FD34B9" w:rsidRPr="00FD211F">
        <w:rPr>
          <w:sz w:val="36"/>
          <w:szCs w:val="36"/>
          <w:rtl/>
        </w:rPr>
        <w:t>أخرى يكون</w:t>
      </w:r>
      <w:r w:rsidR="00B253CE" w:rsidRPr="00FD211F">
        <w:rPr>
          <w:sz w:val="36"/>
          <w:szCs w:val="36"/>
          <w:rtl/>
        </w:rPr>
        <w:t xml:space="preserve"> </w:t>
      </w:r>
      <w:r w:rsidRPr="00FD211F">
        <w:rPr>
          <w:sz w:val="36"/>
          <w:szCs w:val="36"/>
          <w:rtl/>
        </w:rPr>
        <w:t>كبرويا</w:t>
      </w:r>
      <w:r w:rsidR="00D052EE" w:rsidRPr="00FD211F">
        <w:rPr>
          <w:sz w:val="36"/>
          <w:szCs w:val="36"/>
          <w:rtl/>
        </w:rPr>
        <w:t xml:space="preserve"> </w:t>
      </w:r>
      <w:r w:rsidR="00FD34B9" w:rsidRPr="00FD211F">
        <w:rPr>
          <w:sz w:val="36"/>
          <w:szCs w:val="36"/>
          <w:rtl/>
        </w:rPr>
        <w:t>بلحاظ</w:t>
      </w:r>
      <w:r w:rsidR="00B253CE" w:rsidRPr="00FD211F">
        <w:rPr>
          <w:sz w:val="36"/>
          <w:szCs w:val="36"/>
          <w:rtl/>
        </w:rPr>
        <w:t xml:space="preserve"> </w:t>
      </w:r>
      <w:r w:rsidRPr="00FD211F">
        <w:rPr>
          <w:sz w:val="36"/>
          <w:szCs w:val="36"/>
          <w:rtl/>
        </w:rPr>
        <w:t>حجي</w:t>
      </w:r>
      <w:r w:rsidR="00EC7EDF" w:rsidRPr="00FD211F">
        <w:rPr>
          <w:sz w:val="36"/>
          <w:szCs w:val="36"/>
          <w:rtl/>
        </w:rPr>
        <w:t xml:space="preserve">ة </w:t>
      </w:r>
      <w:r w:rsidRPr="00FD211F">
        <w:rPr>
          <w:sz w:val="36"/>
          <w:szCs w:val="36"/>
          <w:rtl/>
        </w:rPr>
        <w:t>الإدراك العقلي للقضي</w:t>
      </w:r>
      <w:r w:rsidR="00EC7EDF" w:rsidRPr="00FD211F">
        <w:rPr>
          <w:sz w:val="36"/>
          <w:szCs w:val="36"/>
          <w:rtl/>
        </w:rPr>
        <w:t xml:space="preserve">ة </w:t>
      </w:r>
      <w:r w:rsidRPr="00FD211F">
        <w:rPr>
          <w:sz w:val="36"/>
          <w:szCs w:val="36"/>
          <w:rtl/>
        </w:rPr>
        <w:t xml:space="preserve">في مقام استنباط الحكم الشرعي منه. </w:t>
      </w:r>
    </w:p>
    <w:p w14:paraId="1954FFDE" w14:textId="77777777" w:rsidR="001E52A2" w:rsidRPr="00FD211F" w:rsidRDefault="001E52A2" w:rsidP="009C58C8">
      <w:pPr>
        <w:ind w:left="0" w:firstLine="227"/>
        <w:jc w:val="both"/>
        <w:rPr>
          <w:sz w:val="36"/>
          <w:szCs w:val="36"/>
          <w:rtl/>
        </w:rPr>
      </w:pPr>
      <w:r w:rsidRPr="00FD211F">
        <w:rPr>
          <w:sz w:val="36"/>
          <w:szCs w:val="36"/>
          <w:rtl/>
        </w:rPr>
        <w:t>و اما بحث الأصول العملي</w:t>
      </w:r>
      <w:r w:rsidR="00EC7EDF" w:rsidRPr="00FD211F">
        <w:rPr>
          <w:sz w:val="36"/>
          <w:szCs w:val="36"/>
          <w:rtl/>
        </w:rPr>
        <w:t>ة</w:t>
      </w:r>
      <w:r w:rsidR="00A61BAE" w:rsidRPr="00FD211F">
        <w:rPr>
          <w:sz w:val="36"/>
          <w:szCs w:val="36"/>
          <w:rtl/>
        </w:rPr>
        <w:t>.</w:t>
      </w:r>
      <w:r w:rsidRPr="00FD211F">
        <w:rPr>
          <w:sz w:val="36"/>
          <w:szCs w:val="36"/>
          <w:rtl/>
        </w:rPr>
        <w:t xml:space="preserve"> فيبدأ بالكلام عن بحوث عام</w:t>
      </w:r>
      <w:r w:rsidR="00EC7EDF" w:rsidRPr="00FD211F">
        <w:rPr>
          <w:sz w:val="36"/>
          <w:szCs w:val="36"/>
          <w:rtl/>
        </w:rPr>
        <w:t xml:space="preserve">ة </w:t>
      </w:r>
      <w:r w:rsidRPr="00FD211F">
        <w:rPr>
          <w:sz w:val="36"/>
          <w:szCs w:val="36"/>
          <w:rtl/>
        </w:rPr>
        <w:t>في الأصول العملي</w:t>
      </w:r>
      <w:r w:rsidR="00EC7EDF" w:rsidRPr="00FD211F">
        <w:rPr>
          <w:sz w:val="36"/>
          <w:szCs w:val="36"/>
          <w:rtl/>
        </w:rPr>
        <w:t>ة</w:t>
      </w:r>
      <w:r w:rsidR="00603323" w:rsidRPr="00FD211F">
        <w:rPr>
          <w:sz w:val="36"/>
          <w:szCs w:val="36"/>
          <w:rtl/>
        </w:rPr>
        <w:t xml:space="preserve">، </w:t>
      </w:r>
      <w:r w:rsidRPr="00FD211F">
        <w:rPr>
          <w:sz w:val="36"/>
          <w:szCs w:val="36"/>
          <w:rtl/>
        </w:rPr>
        <w:t>كالبحث عن ألسنتها</w:t>
      </w:r>
      <w:r w:rsidR="00EC7EDF" w:rsidRPr="00FD211F">
        <w:rPr>
          <w:sz w:val="36"/>
          <w:szCs w:val="36"/>
          <w:rtl/>
        </w:rPr>
        <w:t xml:space="preserve"> و</w:t>
      </w:r>
      <w:r w:rsidRPr="00FD211F">
        <w:rPr>
          <w:sz w:val="36"/>
          <w:szCs w:val="36"/>
          <w:rtl/>
        </w:rPr>
        <w:t>فوارقها مع الأدل</w:t>
      </w:r>
      <w:r w:rsidR="00EC7EDF" w:rsidRPr="00FD211F">
        <w:rPr>
          <w:sz w:val="36"/>
          <w:szCs w:val="36"/>
          <w:rtl/>
        </w:rPr>
        <w:t>ة و</w:t>
      </w:r>
      <w:r w:rsidR="00FD34B9" w:rsidRPr="00FD211F">
        <w:rPr>
          <w:sz w:val="36"/>
          <w:szCs w:val="36"/>
          <w:rtl/>
        </w:rPr>
        <w:t>مقدار</w:t>
      </w:r>
      <w:r w:rsidRPr="00FD211F">
        <w:rPr>
          <w:sz w:val="36"/>
          <w:szCs w:val="36"/>
          <w:rtl/>
        </w:rPr>
        <w:t>إثباتها لمواردها</w:t>
      </w:r>
      <w:r w:rsidR="00EC7EDF" w:rsidRPr="00FD211F">
        <w:rPr>
          <w:sz w:val="36"/>
          <w:szCs w:val="36"/>
          <w:rtl/>
        </w:rPr>
        <w:t xml:space="preserve"> و</w:t>
      </w:r>
      <w:r w:rsidRPr="00FD211F">
        <w:rPr>
          <w:sz w:val="36"/>
          <w:szCs w:val="36"/>
          <w:rtl/>
        </w:rPr>
        <w:t>عدم ثبوت المدلول الالتزامي بها</w:t>
      </w:r>
      <w:r w:rsidR="00EC7EDF" w:rsidRPr="00FD211F">
        <w:rPr>
          <w:sz w:val="36"/>
          <w:szCs w:val="36"/>
          <w:rtl/>
        </w:rPr>
        <w:t xml:space="preserve"> و</w:t>
      </w:r>
      <w:r w:rsidRPr="00FD211F">
        <w:rPr>
          <w:sz w:val="36"/>
          <w:szCs w:val="36"/>
          <w:rtl/>
        </w:rPr>
        <w:t>نحو ذلك</w:t>
      </w:r>
      <w:r w:rsidR="00603323" w:rsidRPr="00FD211F">
        <w:rPr>
          <w:sz w:val="36"/>
          <w:szCs w:val="36"/>
          <w:rtl/>
        </w:rPr>
        <w:t xml:space="preserve">، </w:t>
      </w:r>
      <w:r w:rsidRPr="00FD211F">
        <w:rPr>
          <w:sz w:val="36"/>
          <w:szCs w:val="36"/>
          <w:rtl/>
        </w:rPr>
        <w:t>ثم يبحث ع</w:t>
      </w:r>
      <w:r w:rsidR="00FD34B9" w:rsidRPr="00FD211F">
        <w:rPr>
          <w:sz w:val="36"/>
          <w:szCs w:val="36"/>
          <w:rtl/>
        </w:rPr>
        <w:t>ن نفس الاصول العملي</w:t>
      </w:r>
      <w:r w:rsidR="00EC7EDF" w:rsidRPr="00FD211F">
        <w:rPr>
          <w:sz w:val="36"/>
          <w:szCs w:val="36"/>
          <w:rtl/>
        </w:rPr>
        <w:t>ة</w:t>
      </w:r>
      <w:r w:rsidR="00603323" w:rsidRPr="00FD211F">
        <w:rPr>
          <w:sz w:val="36"/>
          <w:szCs w:val="36"/>
          <w:rtl/>
        </w:rPr>
        <w:t xml:space="preserve">، </w:t>
      </w:r>
      <w:r w:rsidR="005F19B8" w:rsidRPr="00FD211F">
        <w:rPr>
          <w:sz w:val="36"/>
          <w:szCs w:val="36"/>
          <w:rtl/>
        </w:rPr>
        <w:t xml:space="preserve">فيقع الكلام </w:t>
      </w:r>
      <w:r w:rsidRPr="00FD211F">
        <w:rPr>
          <w:sz w:val="36"/>
          <w:szCs w:val="36"/>
          <w:rtl/>
        </w:rPr>
        <w:t>أولا</w:t>
      </w:r>
      <w:r w:rsidR="008B0BB3" w:rsidRPr="00FD211F">
        <w:rPr>
          <w:sz w:val="36"/>
          <w:szCs w:val="36"/>
          <w:rtl/>
        </w:rPr>
        <w:t>عن</w:t>
      </w:r>
      <w:r w:rsidRPr="00FD211F">
        <w:rPr>
          <w:sz w:val="36"/>
          <w:szCs w:val="36"/>
          <w:rtl/>
        </w:rPr>
        <w:t xml:space="preserve"> الوظيف</w:t>
      </w:r>
      <w:r w:rsidR="00EC7EDF" w:rsidRPr="00FD211F">
        <w:rPr>
          <w:sz w:val="36"/>
          <w:szCs w:val="36"/>
          <w:rtl/>
        </w:rPr>
        <w:t xml:space="preserve">ة </w:t>
      </w:r>
      <w:r w:rsidR="008B0BB3" w:rsidRPr="00FD211F">
        <w:rPr>
          <w:sz w:val="36"/>
          <w:szCs w:val="36"/>
          <w:rtl/>
        </w:rPr>
        <w:t>المقرر</w:t>
      </w:r>
      <w:r w:rsidR="00EC7EDF" w:rsidRPr="00FD211F">
        <w:rPr>
          <w:sz w:val="36"/>
          <w:szCs w:val="36"/>
          <w:rtl/>
        </w:rPr>
        <w:t xml:space="preserve">ة </w:t>
      </w:r>
      <w:r w:rsidR="008B0BB3" w:rsidRPr="00FD211F">
        <w:rPr>
          <w:sz w:val="36"/>
          <w:szCs w:val="36"/>
          <w:rtl/>
        </w:rPr>
        <w:t>في ا</w:t>
      </w:r>
      <w:r w:rsidRPr="00FD211F">
        <w:rPr>
          <w:sz w:val="36"/>
          <w:szCs w:val="36"/>
          <w:rtl/>
        </w:rPr>
        <w:t>لشبه</w:t>
      </w:r>
      <w:r w:rsidR="00EC7EDF" w:rsidRPr="00FD211F">
        <w:rPr>
          <w:sz w:val="36"/>
          <w:szCs w:val="36"/>
          <w:rtl/>
        </w:rPr>
        <w:t xml:space="preserve">ة </w:t>
      </w:r>
      <w:r w:rsidR="00A70FE5" w:rsidRPr="00FD211F">
        <w:rPr>
          <w:sz w:val="36"/>
          <w:szCs w:val="36"/>
          <w:rtl/>
        </w:rPr>
        <w:t>البدوي</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008B0BB3" w:rsidRPr="00FD211F">
        <w:rPr>
          <w:sz w:val="36"/>
          <w:szCs w:val="36"/>
          <w:rtl/>
        </w:rPr>
        <w:t>يدخل فيه بحث البراء</w:t>
      </w:r>
      <w:r w:rsidR="00EC7EDF" w:rsidRPr="00FD211F">
        <w:rPr>
          <w:sz w:val="36"/>
          <w:szCs w:val="36"/>
          <w:rtl/>
        </w:rPr>
        <w:t>ة و</w:t>
      </w:r>
      <w:r w:rsidR="008B0BB3" w:rsidRPr="00FD211F">
        <w:rPr>
          <w:sz w:val="36"/>
          <w:szCs w:val="36"/>
          <w:rtl/>
        </w:rPr>
        <w:t>الاستصحاب</w:t>
      </w:r>
      <w:r w:rsidR="00603323" w:rsidRPr="00FD211F">
        <w:rPr>
          <w:sz w:val="36"/>
          <w:szCs w:val="36"/>
          <w:rtl/>
        </w:rPr>
        <w:t xml:space="preserve">، </w:t>
      </w:r>
      <w:r w:rsidR="00A70FE5" w:rsidRPr="00FD211F">
        <w:rPr>
          <w:sz w:val="36"/>
          <w:szCs w:val="36"/>
          <w:rtl/>
        </w:rPr>
        <w:t>و ثانيا</w:t>
      </w:r>
      <w:r w:rsidR="008B0BB3" w:rsidRPr="00FD211F">
        <w:rPr>
          <w:sz w:val="36"/>
          <w:szCs w:val="36"/>
          <w:rtl/>
        </w:rPr>
        <w:t xml:space="preserve"> عن مقدار تأثير</w:t>
      </w:r>
      <w:r w:rsidR="00B253CE" w:rsidRPr="00FD211F">
        <w:rPr>
          <w:sz w:val="36"/>
          <w:szCs w:val="36"/>
          <w:rtl/>
        </w:rPr>
        <w:t xml:space="preserve"> </w:t>
      </w:r>
      <w:r w:rsidR="008B0BB3" w:rsidRPr="00FD211F">
        <w:rPr>
          <w:sz w:val="36"/>
          <w:szCs w:val="36"/>
          <w:rtl/>
        </w:rPr>
        <w:t xml:space="preserve">فرض </w:t>
      </w:r>
      <w:r w:rsidR="00A70FE5" w:rsidRPr="00FD211F">
        <w:rPr>
          <w:sz w:val="36"/>
          <w:szCs w:val="36"/>
          <w:rtl/>
        </w:rPr>
        <w:t>ال</w:t>
      </w:r>
      <w:r w:rsidRPr="00FD211F">
        <w:rPr>
          <w:sz w:val="36"/>
          <w:szCs w:val="36"/>
          <w:rtl/>
        </w:rPr>
        <w:t xml:space="preserve">علم </w:t>
      </w:r>
      <w:r w:rsidR="00A70FE5" w:rsidRPr="00FD211F">
        <w:rPr>
          <w:sz w:val="36"/>
          <w:szCs w:val="36"/>
          <w:rtl/>
        </w:rPr>
        <w:t>الاجمالي بالتكليف</w:t>
      </w:r>
      <w:r w:rsidR="008B0BB3" w:rsidRPr="00FD211F">
        <w:rPr>
          <w:sz w:val="36"/>
          <w:szCs w:val="36"/>
          <w:rtl/>
        </w:rPr>
        <w:t xml:space="preserve"> في تغيّر هذه </w:t>
      </w:r>
      <w:r w:rsidR="005F19B8" w:rsidRPr="00FD211F">
        <w:rPr>
          <w:sz w:val="36"/>
          <w:szCs w:val="36"/>
          <w:rtl/>
        </w:rPr>
        <w:t>الوظيف</w:t>
      </w:r>
      <w:r w:rsidR="00EC7EDF" w:rsidRPr="00FD211F">
        <w:rPr>
          <w:sz w:val="36"/>
          <w:szCs w:val="36"/>
          <w:rtl/>
        </w:rPr>
        <w:t>ة</w:t>
      </w:r>
      <w:r w:rsidR="00603323" w:rsidRPr="00FD211F">
        <w:rPr>
          <w:sz w:val="36"/>
          <w:szCs w:val="36"/>
          <w:rtl/>
        </w:rPr>
        <w:t xml:space="preserve">، </w:t>
      </w:r>
      <w:r w:rsidRPr="00FD211F">
        <w:rPr>
          <w:sz w:val="36"/>
          <w:szCs w:val="36"/>
          <w:rtl/>
        </w:rPr>
        <w:t>و</w:t>
      </w:r>
      <w:r w:rsidR="005F19B8" w:rsidRPr="00FD211F">
        <w:rPr>
          <w:sz w:val="36"/>
          <w:szCs w:val="36"/>
          <w:rtl/>
        </w:rPr>
        <w:t>يدخل فيه</w:t>
      </w:r>
      <w:r w:rsidRPr="00FD211F">
        <w:rPr>
          <w:sz w:val="36"/>
          <w:szCs w:val="36"/>
          <w:rtl/>
        </w:rPr>
        <w:t xml:space="preserve"> بحث الاشتغال و</w:t>
      </w:r>
      <w:r w:rsidR="005F19B8" w:rsidRPr="00FD211F">
        <w:rPr>
          <w:sz w:val="36"/>
          <w:szCs w:val="36"/>
          <w:rtl/>
        </w:rPr>
        <w:t xml:space="preserve">بحث دوران </w:t>
      </w:r>
      <w:r w:rsidR="001B3112" w:rsidRPr="00FD211F">
        <w:rPr>
          <w:sz w:val="36"/>
          <w:szCs w:val="36"/>
          <w:rtl/>
        </w:rPr>
        <w:t>الأمر</w:t>
      </w:r>
      <w:r w:rsidR="005F19B8" w:rsidRPr="00FD211F">
        <w:rPr>
          <w:sz w:val="36"/>
          <w:szCs w:val="36"/>
          <w:rtl/>
        </w:rPr>
        <w:t xml:space="preserve"> بين</w:t>
      </w:r>
      <w:r w:rsidR="00B253CE" w:rsidRPr="00FD211F">
        <w:rPr>
          <w:sz w:val="36"/>
          <w:szCs w:val="36"/>
          <w:rtl/>
        </w:rPr>
        <w:t xml:space="preserve"> </w:t>
      </w:r>
      <w:r w:rsidRPr="00FD211F">
        <w:rPr>
          <w:sz w:val="36"/>
          <w:szCs w:val="36"/>
          <w:rtl/>
        </w:rPr>
        <w:t>الأقل</w:t>
      </w:r>
      <w:r w:rsidR="00EC7EDF" w:rsidRPr="00FD211F">
        <w:rPr>
          <w:sz w:val="36"/>
          <w:szCs w:val="36"/>
          <w:rtl/>
        </w:rPr>
        <w:t xml:space="preserve"> و</w:t>
      </w:r>
      <w:r w:rsidRPr="00FD211F">
        <w:rPr>
          <w:sz w:val="36"/>
          <w:szCs w:val="36"/>
          <w:rtl/>
        </w:rPr>
        <w:t xml:space="preserve">الأكثر. </w:t>
      </w:r>
    </w:p>
    <w:p w14:paraId="6CE8B51F" w14:textId="77777777" w:rsidR="00307E9C" w:rsidRPr="00FD211F" w:rsidRDefault="001E52A2" w:rsidP="009C58C8">
      <w:pPr>
        <w:ind w:left="0" w:firstLine="227"/>
        <w:jc w:val="both"/>
        <w:rPr>
          <w:sz w:val="36"/>
          <w:szCs w:val="36"/>
          <w:rtl/>
        </w:rPr>
      </w:pPr>
      <w:r w:rsidRPr="00FD211F">
        <w:rPr>
          <w:sz w:val="36"/>
          <w:szCs w:val="36"/>
          <w:rtl/>
        </w:rPr>
        <w:t>و أيضا تختم بحوث علم الأصول بخاتم</w:t>
      </w:r>
      <w:r w:rsidR="00EC7EDF" w:rsidRPr="00FD211F">
        <w:rPr>
          <w:sz w:val="36"/>
          <w:szCs w:val="36"/>
          <w:rtl/>
        </w:rPr>
        <w:t xml:space="preserve">ة </w:t>
      </w:r>
      <w:r w:rsidRPr="00FD211F">
        <w:rPr>
          <w:sz w:val="36"/>
          <w:szCs w:val="36"/>
          <w:rtl/>
        </w:rPr>
        <w:t>في التعارض الواقع في الأدل</w:t>
      </w:r>
      <w:r w:rsidR="00EC7EDF" w:rsidRPr="00FD211F">
        <w:rPr>
          <w:sz w:val="36"/>
          <w:szCs w:val="36"/>
          <w:rtl/>
        </w:rPr>
        <w:t>ة و</w:t>
      </w:r>
      <w:r w:rsidRPr="00FD211F">
        <w:rPr>
          <w:sz w:val="36"/>
          <w:szCs w:val="36"/>
          <w:rtl/>
        </w:rPr>
        <w:t>الأصول</w:t>
      </w:r>
      <w:r w:rsidR="00EC7EDF" w:rsidRPr="00FD211F">
        <w:rPr>
          <w:sz w:val="36"/>
          <w:szCs w:val="36"/>
          <w:rtl/>
        </w:rPr>
        <w:t xml:space="preserve"> و</w:t>
      </w:r>
      <w:r w:rsidRPr="00FD211F">
        <w:rPr>
          <w:sz w:val="36"/>
          <w:szCs w:val="36"/>
          <w:rtl/>
        </w:rPr>
        <w:t>أقسامه</w:t>
      </w:r>
      <w:r w:rsidR="00EC7EDF" w:rsidRPr="00FD211F">
        <w:rPr>
          <w:sz w:val="36"/>
          <w:szCs w:val="36"/>
          <w:rtl/>
        </w:rPr>
        <w:t xml:space="preserve"> و</w:t>
      </w:r>
      <w:r w:rsidRPr="00FD211F">
        <w:rPr>
          <w:sz w:val="36"/>
          <w:szCs w:val="36"/>
          <w:rtl/>
        </w:rPr>
        <w:t>أحكامه</w:t>
      </w:r>
      <w:r w:rsidR="009C58C8" w:rsidRPr="00FD211F">
        <w:rPr>
          <w:rStyle w:val="a6"/>
          <w:sz w:val="36"/>
          <w:szCs w:val="36"/>
          <w:rtl/>
        </w:rPr>
        <w:t>(</w:t>
      </w:r>
      <w:r w:rsidR="009C58C8" w:rsidRPr="00FD211F">
        <w:rPr>
          <w:rStyle w:val="a6"/>
          <w:sz w:val="36"/>
          <w:szCs w:val="36"/>
          <w:rtl/>
        </w:rPr>
        <w:footnoteReference w:id="93"/>
      </w:r>
      <w:r w:rsidR="009C58C8" w:rsidRPr="00FD211F">
        <w:rPr>
          <w:rStyle w:val="a6"/>
          <w:sz w:val="36"/>
          <w:szCs w:val="36"/>
          <w:rtl/>
        </w:rPr>
        <w:t>)</w:t>
      </w:r>
      <w:r w:rsidRPr="00FD211F">
        <w:rPr>
          <w:sz w:val="36"/>
          <w:szCs w:val="36"/>
          <w:rtl/>
        </w:rPr>
        <w:t>.</w:t>
      </w:r>
    </w:p>
    <w:p w14:paraId="36795F6C" w14:textId="77777777" w:rsidR="00307E9C" w:rsidRPr="00FD211F" w:rsidRDefault="00307E9C" w:rsidP="009C58C8">
      <w:pPr>
        <w:ind w:left="0" w:firstLine="227"/>
        <w:jc w:val="both"/>
        <w:rPr>
          <w:sz w:val="36"/>
          <w:szCs w:val="36"/>
          <w:rtl/>
        </w:rPr>
      </w:pPr>
      <w:r w:rsidRPr="00FD211F">
        <w:rPr>
          <w:sz w:val="36"/>
          <w:szCs w:val="36"/>
          <w:rtl/>
        </w:rPr>
        <w:t>ثم انه ذكر في البحوث أن</w:t>
      </w:r>
      <w:r w:rsidR="0030228E" w:rsidRPr="00FD211F">
        <w:rPr>
          <w:sz w:val="36"/>
          <w:szCs w:val="36"/>
          <w:rtl/>
        </w:rPr>
        <w:t xml:space="preserve">ه وان كان </w:t>
      </w:r>
      <w:r w:rsidRPr="00FD211F">
        <w:rPr>
          <w:sz w:val="36"/>
          <w:szCs w:val="36"/>
          <w:rtl/>
        </w:rPr>
        <w:t>لكل من ا</w:t>
      </w:r>
      <w:r w:rsidR="00DD5307" w:rsidRPr="00FD211F">
        <w:rPr>
          <w:sz w:val="36"/>
          <w:szCs w:val="36"/>
          <w:rtl/>
        </w:rPr>
        <w:t>لمنهجين الاخيرين ميزة على الآخر</w:t>
      </w:r>
      <w:r w:rsidR="00603323" w:rsidRPr="00FD211F">
        <w:rPr>
          <w:sz w:val="36"/>
          <w:szCs w:val="36"/>
          <w:rtl/>
        </w:rPr>
        <w:t xml:space="preserve">، </w:t>
      </w:r>
      <w:r w:rsidR="0030228E" w:rsidRPr="00FD211F">
        <w:rPr>
          <w:sz w:val="36"/>
          <w:szCs w:val="36"/>
          <w:rtl/>
        </w:rPr>
        <w:t xml:space="preserve">لكن </w:t>
      </w:r>
      <w:r w:rsidRPr="00FD211F">
        <w:rPr>
          <w:sz w:val="36"/>
          <w:szCs w:val="36"/>
          <w:rtl/>
        </w:rPr>
        <w:t>تعيين احد المنهجين على الآخرراجع الى ذوق الشخص</w:t>
      </w:r>
      <w:r w:rsidR="009C58C8" w:rsidRPr="00FD211F">
        <w:rPr>
          <w:rStyle w:val="a6"/>
          <w:sz w:val="36"/>
          <w:szCs w:val="36"/>
          <w:rtl/>
        </w:rPr>
        <w:t>(</w:t>
      </w:r>
      <w:r w:rsidR="009C58C8" w:rsidRPr="00FD211F">
        <w:rPr>
          <w:rStyle w:val="a6"/>
          <w:sz w:val="36"/>
          <w:szCs w:val="36"/>
          <w:rtl/>
        </w:rPr>
        <w:footnoteReference w:id="94"/>
      </w:r>
      <w:r w:rsidR="009C58C8" w:rsidRPr="00FD211F">
        <w:rPr>
          <w:rStyle w:val="a6"/>
          <w:sz w:val="36"/>
          <w:szCs w:val="36"/>
          <w:rtl/>
        </w:rPr>
        <w:t>)</w:t>
      </w:r>
      <w:r w:rsidRPr="00FD211F">
        <w:rPr>
          <w:sz w:val="36"/>
          <w:szCs w:val="36"/>
          <w:rtl/>
        </w:rPr>
        <w:t xml:space="preserve">. </w:t>
      </w:r>
    </w:p>
    <w:p w14:paraId="694E8122" w14:textId="77777777" w:rsidR="007743B7" w:rsidRPr="00FD211F" w:rsidRDefault="003F26F0" w:rsidP="009C58C8">
      <w:pPr>
        <w:ind w:left="0" w:firstLine="227"/>
        <w:jc w:val="both"/>
        <w:rPr>
          <w:sz w:val="36"/>
          <w:szCs w:val="36"/>
          <w:rtl/>
        </w:rPr>
      </w:pPr>
      <w:r w:rsidRPr="00FD211F">
        <w:rPr>
          <w:b/>
          <w:bCs/>
          <w:sz w:val="36"/>
          <w:szCs w:val="36"/>
          <w:rtl/>
        </w:rPr>
        <w:t>المنهج السادس</w:t>
      </w:r>
      <w:r w:rsidR="00856647" w:rsidRPr="00FD211F">
        <w:rPr>
          <w:sz w:val="36"/>
          <w:szCs w:val="36"/>
          <w:rtl/>
        </w:rPr>
        <w:t>:</w:t>
      </w:r>
      <w:r w:rsidRPr="00FD211F">
        <w:rPr>
          <w:sz w:val="36"/>
          <w:szCs w:val="36"/>
          <w:rtl/>
        </w:rPr>
        <w:t>ماحكي عن بعض السادة الاعلام "دام ظله "من أنه حيث يكون علم الاصول مقدمة لعلم الفقه فلابد أن يكون تقسيم</w:t>
      </w:r>
      <w:r w:rsidR="00ED620F" w:rsidRPr="00FD211F">
        <w:rPr>
          <w:sz w:val="36"/>
          <w:szCs w:val="36"/>
          <w:rtl/>
        </w:rPr>
        <w:t>ا</w:t>
      </w:r>
      <w:r w:rsidRPr="00FD211F">
        <w:rPr>
          <w:sz w:val="36"/>
          <w:szCs w:val="36"/>
          <w:rtl/>
        </w:rPr>
        <w:t>ته</w:t>
      </w:r>
      <w:bookmarkStart w:id="84" w:name="_Toc151944588"/>
      <w:bookmarkStart w:id="85" w:name="_Toc154131715"/>
      <w:bookmarkStart w:id="86" w:name="_Toc156401503"/>
      <w:bookmarkStart w:id="87" w:name="درس007دقيقه41"/>
      <w:bookmarkStart w:id="88" w:name="_Toc192092849"/>
      <w:bookmarkEnd w:id="87"/>
      <w:r w:rsidR="00ED620F" w:rsidRPr="00FD211F">
        <w:rPr>
          <w:sz w:val="36"/>
          <w:szCs w:val="36"/>
          <w:rtl/>
        </w:rPr>
        <w:t xml:space="preserve"> منسجمة مع ذلك</w:t>
      </w:r>
      <w:r w:rsidR="00603323" w:rsidRPr="00FD211F">
        <w:rPr>
          <w:sz w:val="36"/>
          <w:szCs w:val="36"/>
          <w:rtl/>
        </w:rPr>
        <w:t xml:space="preserve">، </w:t>
      </w:r>
      <w:r w:rsidR="00ED620F" w:rsidRPr="00FD211F">
        <w:rPr>
          <w:sz w:val="36"/>
          <w:szCs w:val="36"/>
          <w:rtl/>
        </w:rPr>
        <w:t>وحيث أن علم الفقه يبحث عن الحكم الشرعي</w:t>
      </w:r>
      <w:r w:rsidR="00603323" w:rsidRPr="00FD211F">
        <w:rPr>
          <w:sz w:val="36"/>
          <w:szCs w:val="36"/>
          <w:rtl/>
        </w:rPr>
        <w:t xml:space="preserve">، </w:t>
      </w:r>
      <w:r w:rsidR="007743B7" w:rsidRPr="00FD211F">
        <w:rPr>
          <w:sz w:val="36"/>
          <w:szCs w:val="36"/>
          <w:rtl/>
        </w:rPr>
        <w:t>فالمناسب أن يكون يدور تقسيم الاصول مدار مدار الحجة على الحكم الشرعي</w:t>
      </w:r>
      <w:r w:rsidR="00603323" w:rsidRPr="00FD211F">
        <w:rPr>
          <w:sz w:val="36"/>
          <w:szCs w:val="36"/>
          <w:rtl/>
        </w:rPr>
        <w:t xml:space="preserve">، </w:t>
      </w:r>
      <w:r w:rsidR="007743B7" w:rsidRPr="00FD211F">
        <w:rPr>
          <w:sz w:val="36"/>
          <w:szCs w:val="36"/>
          <w:rtl/>
        </w:rPr>
        <w:t>ولذلك اخترنا أن موضوع علم الاصول هو الحجة في</w:t>
      </w:r>
      <w:r w:rsidR="00C7588D" w:rsidRPr="00FD211F">
        <w:rPr>
          <w:sz w:val="36"/>
          <w:szCs w:val="36"/>
          <w:rtl/>
        </w:rPr>
        <w:t xml:space="preserve"> </w:t>
      </w:r>
      <w:r w:rsidR="007743B7" w:rsidRPr="00FD211F">
        <w:rPr>
          <w:sz w:val="36"/>
          <w:szCs w:val="36"/>
          <w:rtl/>
        </w:rPr>
        <w:t>الفقه فابحاث علم الاصول تدور مدار الحجية</w:t>
      </w:r>
      <w:r w:rsidR="00603323" w:rsidRPr="00FD211F">
        <w:rPr>
          <w:sz w:val="36"/>
          <w:szCs w:val="36"/>
          <w:rtl/>
        </w:rPr>
        <w:t xml:space="preserve">، </w:t>
      </w:r>
      <w:r w:rsidR="007743B7" w:rsidRPr="00FD211F">
        <w:rPr>
          <w:sz w:val="36"/>
          <w:szCs w:val="36"/>
          <w:rtl/>
        </w:rPr>
        <w:t>وبناء على ذلك يصح تقسيم علم الاصول على ثلاثة أقسام</w:t>
      </w:r>
      <w:r w:rsidR="00C774D9" w:rsidRPr="00FD211F">
        <w:rPr>
          <w:sz w:val="36"/>
          <w:szCs w:val="36"/>
          <w:rtl/>
        </w:rPr>
        <w:t>.</w:t>
      </w:r>
    </w:p>
    <w:p w14:paraId="03BCD976" w14:textId="77777777" w:rsidR="007743B7" w:rsidRPr="00FD211F" w:rsidRDefault="007743B7" w:rsidP="009C58C8">
      <w:pPr>
        <w:ind w:left="0" w:firstLine="227"/>
        <w:jc w:val="both"/>
        <w:rPr>
          <w:sz w:val="36"/>
          <w:szCs w:val="36"/>
          <w:rtl/>
        </w:rPr>
      </w:pPr>
      <w:r w:rsidRPr="00FD211F">
        <w:rPr>
          <w:sz w:val="36"/>
          <w:szCs w:val="36"/>
          <w:rtl/>
        </w:rPr>
        <w:t>ا-الاحتمال</w:t>
      </w:r>
      <w:r w:rsidR="00C774D9" w:rsidRPr="00FD211F">
        <w:rPr>
          <w:sz w:val="36"/>
          <w:szCs w:val="36"/>
          <w:rtl/>
        </w:rPr>
        <w:t>.</w:t>
      </w:r>
    </w:p>
    <w:p w14:paraId="7EEF2AC0" w14:textId="77777777" w:rsidR="007743B7" w:rsidRPr="00FD211F" w:rsidRDefault="007743B7" w:rsidP="009C58C8">
      <w:pPr>
        <w:ind w:left="0" w:firstLine="227"/>
        <w:jc w:val="both"/>
        <w:rPr>
          <w:sz w:val="36"/>
          <w:szCs w:val="36"/>
          <w:rtl/>
        </w:rPr>
      </w:pPr>
      <w:r w:rsidRPr="00FD211F">
        <w:rPr>
          <w:sz w:val="36"/>
          <w:szCs w:val="36"/>
          <w:rtl/>
        </w:rPr>
        <w:t>ب-الكشف</w:t>
      </w:r>
      <w:r w:rsidR="00C774D9" w:rsidRPr="00FD211F">
        <w:rPr>
          <w:sz w:val="36"/>
          <w:szCs w:val="36"/>
          <w:rtl/>
        </w:rPr>
        <w:t>.</w:t>
      </w:r>
    </w:p>
    <w:p w14:paraId="3848125E" w14:textId="77777777" w:rsidR="000C5BBA" w:rsidRPr="00FD211F" w:rsidRDefault="007743B7" w:rsidP="009C58C8">
      <w:pPr>
        <w:ind w:left="0" w:firstLine="227"/>
        <w:jc w:val="both"/>
        <w:rPr>
          <w:sz w:val="36"/>
          <w:szCs w:val="36"/>
          <w:rtl/>
        </w:rPr>
      </w:pPr>
      <w:r w:rsidRPr="00FD211F">
        <w:rPr>
          <w:sz w:val="36"/>
          <w:szCs w:val="36"/>
          <w:rtl/>
        </w:rPr>
        <w:t>ج-الميثاف العقلائي</w:t>
      </w:r>
      <w:r w:rsidR="00C774D9" w:rsidRPr="00FD211F">
        <w:rPr>
          <w:sz w:val="36"/>
          <w:szCs w:val="36"/>
          <w:rtl/>
        </w:rPr>
        <w:t>.</w:t>
      </w:r>
    </w:p>
    <w:p w14:paraId="3FF57B7D" w14:textId="77777777" w:rsidR="00FB3738" w:rsidRPr="00FD211F" w:rsidRDefault="007743B7" w:rsidP="009C58C8">
      <w:pPr>
        <w:ind w:left="0" w:firstLine="227"/>
        <w:jc w:val="both"/>
        <w:rPr>
          <w:sz w:val="36"/>
          <w:szCs w:val="36"/>
          <w:rtl/>
        </w:rPr>
      </w:pPr>
      <w:r w:rsidRPr="00FD211F">
        <w:rPr>
          <w:sz w:val="36"/>
          <w:szCs w:val="36"/>
          <w:rtl/>
        </w:rPr>
        <w:t>والاحتمال على خمسة اصناف</w:t>
      </w:r>
      <w:r w:rsidR="00856647" w:rsidRPr="00FD211F">
        <w:rPr>
          <w:sz w:val="36"/>
          <w:szCs w:val="36"/>
          <w:rtl/>
        </w:rPr>
        <w:t>:</w:t>
      </w:r>
    </w:p>
    <w:p w14:paraId="478F2DFF" w14:textId="77777777" w:rsidR="00FB3738" w:rsidRPr="00FD211F" w:rsidRDefault="00FB3738" w:rsidP="009C58C8">
      <w:pPr>
        <w:ind w:left="0" w:firstLine="227"/>
        <w:jc w:val="both"/>
        <w:rPr>
          <w:sz w:val="36"/>
          <w:szCs w:val="36"/>
          <w:rtl/>
        </w:rPr>
      </w:pPr>
      <w:r w:rsidRPr="00FD211F">
        <w:rPr>
          <w:sz w:val="36"/>
          <w:szCs w:val="36"/>
          <w:rtl/>
        </w:rPr>
        <w:t>1-الاحتمال الواصل الى مرتبة القطع والبحث في حجيته بحث في حجية القطع.</w:t>
      </w:r>
    </w:p>
    <w:p w14:paraId="5AE46355" w14:textId="77777777" w:rsidR="00FB3738" w:rsidRPr="00FD211F" w:rsidRDefault="00FB3738" w:rsidP="009C58C8">
      <w:pPr>
        <w:ind w:left="0" w:firstLine="227"/>
        <w:jc w:val="both"/>
        <w:rPr>
          <w:sz w:val="36"/>
          <w:szCs w:val="36"/>
          <w:rtl/>
        </w:rPr>
      </w:pPr>
      <w:r w:rsidRPr="00FD211F">
        <w:rPr>
          <w:sz w:val="36"/>
          <w:szCs w:val="36"/>
          <w:rtl/>
        </w:rPr>
        <w:t>2-الاحتمال الواصل الى مرتبة</w:t>
      </w:r>
      <w:r w:rsidR="00C7588D" w:rsidRPr="00FD211F">
        <w:rPr>
          <w:sz w:val="36"/>
          <w:szCs w:val="36"/>
          <w:rtl/>
        </w:rPr>
        <w:t xml:space="preserve"> </w:t>
      </w:r>
      <w:r w:rsidRPr="00FD211F">
        <w:rPr>
          <w:sz w:val="36"/>
          <w:szCs w:val="36"/>
          <w:rtl/>
        </w:rPr>
        <w:t>الاطمئنان والبحث عنه هو المتعلق بحجية الاطمئنان.</w:t>
      </w:r>
    </w:p>
    <w:p w14:paraId="06C3899A" w14:textId="77777777" w:rsidR="00FB3738" w:rsidRPr="00FD211F" w:rsidRDefault="00FB3738" w:rsidP="009C58C8">
      <w:pPr>
        <w:ind w:left="0" w:firstLine="227"/>
        <w:jc w:val="both"/>
        <w:rPr>
          <w:sz w:val="36"/>
          <w:szCs w:val="36"/>
          <w:rtl/>
        </w:rPr>
      </w:pPr>
      <w:r w:rsidRPr="00FD211F">
        <w:rPr>
          <w:sz w:val="36"/>
          <w:szCs w:val="36"/>
          <w:rtl/>
        </w:rPr>
        <w:t>3-الاحتمال المعتمد على قوة المحتمل وان كان الاحتمال ضعيفا وهو المتحقق في مواردالدماء والاعراض والاموال</w:t>
      </w:r>
      <w:r w:rsidR="00603323" w:rsidRPr="00FD211F">
        <w:rPr>
          <w:sz w:val="36"/>
          <w:szCs w:val="36"/>
          <w:rtl/>
        </w:rPr>
        <w:t xml:space="preserve">، </w:t>
      </w:r>
      <w:r w:rsidRPr="00FD211F">
        <w:rPr>
          <w:sz w:val="36"/>
          <w:szCs w:val="36"/>
          <w:rtl/>
        </w:rPr>
        <w:t>والبحث عن حجيته هو البحث المتعلق بقاعدة الاشتغال.</w:t>
      </w:r>
    </w:p>
    <w:p w14:paraId="168284A2" w14:textId="77777777" w:rsidR="00245D04" w:rsidRPr="00FD211F" w:rsidRDefault="00FB3738" w:rsidP="009C58C8">
      <w:pPr>
        <w:ind w:left="0" w:firstLine="227"/>
        <w:jc w:val="both"/>
        <w:rPr>
          <w:sz w:val="36"/>
          <w:szCs w:val="36"/>
          <w:rtl/>
        </w:rPr>
      </w:pPr>
      <w:r w:rsidRPr="00FD211F">
        <w:rPr>
          <w:sz w:val="36"/>
          <w:szCs w:val="36"/>
          <w:rtl/>
        </w:rPr>
        <w:t>4-الاحتمال المعتمد على العلم الاجمالي</w:t>
      </w:r>
      <w:r w:rsidR="00603323" w:rsidRPr="00FD211F">
        <w:rPr>
          <w:sz w:val="36"/>
          <w:szCs w:val="36"/>
          <w:rtl/>
        </w:rPr>
        <w:t xml:space="preserve">، </w:t>
      </w:r>
      <w:r w:rsidR="00245D04" w:rsidRPr="00FD211F">
        <w:rPr>
          <w:sz w:val="36"/>
          <w:szCs w:val="36"/>
          <w:rtl/>
        </w:rPr>
        <w:t>وهذا هو بحث العلم الاجمالي</w:t>
      </w:r>
      <w:r w:rsidRPr="00FD211F">
        <w:rPr>
          <w:sz w:val="36"/>
          <w:szCs w:val="36"/>
          <w:rtl/>
        </w:rPr>
        <w:t>.</w:t>
      </w:r>
    </w:p>
    <w:p w14:paraId="2826EA5C" w14:textId="77777777" w:rsidR="00245D04" w:rsidRPr="00FD211F" w:rsidRDefault="00245D04" w:rsidP="009C58C8">
      <w:pPr>
        <w:ind w:left="0" w:firstLine="227"/>
        <w:jc w:val="both"/>
        <w:rPr>
          <w:sz w:val="36"/>
          <w:szCs w:val="36"/>
          <w:rtl/>
        </w:rPr>
      </w:pPr>
      <w:r w:rsidRPr="00FD211F">
        <w:rPr>
          <w:sz w:val="36"/>
          <w:szCs w:val="36"/>
          <w:rtl/>
        </w:rPr>
        <w:t>5-الاحتمال الذي لايعتمد على قوة الاحتمال ولا المحتمل</w:t>
      </w:r>
      <w:r w:rsidR="00603323" w:rsidRPr="00FD211F">
        <w:rPr>
          <w:sz w:val="36"/>
          <w:szCs w:val="36"/>
          <w:rtl/>
        </w:rPr>
        <w:t xml:space="preserve">، </w:t>
      </w:r>
      <w:r w:rsidRPr="00FD211F">
        <w:rPr>
          <w:sz w:val="36"/>
          <w:szCs w:val="36"/>
          <w:rtl/>
        </w:rPr>
        <w:t>وهذا تارة يقترن باحتمال معاكس لوجود علم اجمالي بجامع التكليف في الفعل مرددا بين وجوبه وحرمته وهذاهو مورد أصالة التخيير</w:t>
      </w:r>
      <w:r w:rsidR="00603323" w:rsidRPr="00FD211F">
        <w:rPr>
          <w:sz w:val="36"/>
          <w:szCs w:val="36"/>
          <w:rtl/>
        </w:rPr>
        <w:t xml:space="preserve">، </w:t>
      </w:r>
      <w:r w:rsidRPr="00FD211F">
        <w:rPr>
          <w:sz w:val="36"/>
          <w:szCs w:val="36"/>
          <w:rtl/>
        </w:rPr>
        <w:t>وأخرى لا يقترن بالاحتمال المعاكس وهو مورد أصالة البراءة.</w:t>
      </w:r>
    </w:p>
    <w:p w14:paraId="77F9850A" w14:textId="77777777" w:rsidR="00803C33" w:rsidRPr="00FD211F" w:rsidRDefault="00245D04" w:rsidP="009C58C8">
      <w:pPr>
        <w:ind w:left="0" w:firstLine="227"/>
        <w:jc w:val="both"/>
        <w:rPr>
          <w:sz w:val="36"/>
          <w:szCs w:val="36"/>
          <w:rtl/>
        </w:rPr>
      </w:pPr>
      <w:r w:rsidRPr="00FD211F">
        <w:rPr>
          <w:sz w:val="36"/>
          <w:szCs w:val="36"/>
          <w:rtl/>
        </w:rPr>
        <w:t xml:space="preserve">واما الكشف </w:t>
      </w:r>
      <w:r w:rsidR="00A95D63" w:rsidRPr="00FD211F">
        <w:rPr>
          <w:sz w:val="36"/>
          <w:szCs w:val="36"/>
          <w:rtl/>
        </w:rPr>
        <w:t>فهو على نوعين ادراكي وهو الموجود في الامارات العقلائية والشؤعية التي قام الشرع والعقلاء بتتميم الكشف فيها وهذا هو بحث حجية الامارات</w:t>
      </w:r>
      <w:r w:rsidR="00603323" w:rsidRPr="00FD211F">
        <w:rPr>
          <w:sz w:val="36"/>
          <w:szCs w:val="36"/>
          <w:rtl/>
        </w:rPr>
        <w:t xml:space="preserve">، </w:t>
      </w:r>
      <w:r w:rsidR="00A95D63" w:rsidRPr="00FD211F">
        <w:rPr>
          <w:sz w:val="36"/>
          <w:szCs w:val="36"/>
          <w:rtl/>
        </w:rPr>
        <w:t>واحساسي وهو الموجود في الاستصحاب</w:t>
      </w:r>
      <w:r w:rsidR="00603323" w:rsidRPr="00FD211F">
        <w:rPr>
          <w:sz w:val="36"/>
          <w:szCs w:val="36"/>
          <w:rtl/>
        </w:rPr>
        <w:t xml:space="preserve">، </w:t>
      </w:r>
      <w:r w:rsidR="00A95D63" w:rsidRPr="00FD211F">
        <w:rPr>
          <w:sz w:val="36"/>
          <w:szCs w:val="36"/>
          <w:rtl/>
        </w:rPr>
        <w:t xml:space="preserve">فان الانسان </w:t>
      </w:r>
      <w:r w:rsidR="00E40BC1" w:rsidRPr="00FD211F">
        <w:rPr>
          <w:sz w:val="36"/>
          <w:szCs w:val="36"/>
          <w:rtl/>
        </w:rPr>
        <w:t>إذا أحس ب</w:t>
      </w:r>
      <w:r w:rsidR="00251CB6" w:rsidRPr="00FD211F">
        <w:rPr>
          <w:sz w:val="36"/>
          <w:szCs w:val="36"/>
          <w:rtl/>
        </w:rPr>
        <w:t xml:space="preserve">شيء </w:t>
      </w:r>
      <w:r w:rsidR="00E40BC1" w:rsidRPr="00FD211F">
        <w:rPr>
          <w:sz w:val="36"/>
          <w:szCs w:val="36"/>
          <w:rtl/>
        </w:rPr>
        <w:t>ثم غاب عن وعيه فإنه قد يبقى ذلك الكشف الاحساسي عنده وهو شعوره بأن ال</w:t>
      </w:r>
      <w:r w:rsidR="00251CB6" w:rsidRPr="00FD211F">
        <w:rPr>
          <w:sz w:val="36"/>
          <w:szCs w:val="36"/>
          <w:rtl/>
        </w:rPr>
        <w:t xml:space="preserve">شيء </w:t>
      </w:r>
      <w:r w:rsidR="00E40BC1" w:rsidRPr="00FD211F">
        <w:rPr>
          <w:sz w:val="36"/>
          <w:szCs w:val="36"/>
          <w:rtl/>
        </w:rPr>
        <w:t>مازال موجودا كما كان</w:t>
      </w:r>
      <w:r w:rsidR="00603323" w:rsidRPr="00FD211F">
        <w:rPr>
          <w:sz w:val="36"/>
          <w:szCs w:val="36"/>
          <w:rtl/>
        </w:rPr>
        <w:t xml:space="preserve">، </w:t>
      </w:r>
      <w:r w:rsidR="00E40BC1" w:rsidRPr="00FD211F">
        <w:rPr>
          <w:sz w:val="36"/>
          <w:szCs w:val="36"/>
          <w:rtl/>
        </w:rPr>
        <w:t>فيقع البحث عن حجية هذا الكشف الاحساسي. واما الميثاق العقلائي فيراد به كل طريق بنى العقلاء على العمل به</w:t>
      </w:r>
      <w:r w:rsidR="00C7588D" w:rsidRPr="00FD211F">
        <w:rPr>
          <w:sz w:val="36"/>
          <w:szCs w:val="36"/>
          <w:rtl/>
        </w:rPr>
        <w:t xml:space="preserve"> </w:t>
      </w:r>
      <w:r w:rsidR="00E40BC1" w:rsidRPr="00FD211F">
        <w:rPr>
          <w:sz w:val="36"/>
          <w:szCs w:val="36"/>
          <w:rtl/>
        </w:rPr>
        <w:t>سواء كان بناءهم لأجل كشفه النوعي عن الواقع كما يدعى ذلك في خبر الثقة</w:t>
      </w:r>
      <w:r w:rsidR="00603323" w:rsidRPr="00FD211F">
        <w:rPr>
          <w:sz w:val="36"/>
          <w:szCs w:val="36"/>
          <w:rtl/>
        </w:rPr>
        <w:t xml:space="preserve">، </w:t>
      </w:r>
      <w:r w:rsidR="00E40BC1" w:rsidRPr="00FD211F">
        <w:rPr>
          <w:sz w:val="36"/>
          <w:szCs w:val="36"/>
          <w:rtl/>
        </w:rPr>
        <w:t xml:space="preserve">او لأجل المصلحة العامة و بناء العقلاء على العمل بالظهورمن هذا القبيل فيبحث </w:t>
      </w:r>
      <w:r w:rsidR="00803C33" w:rsidRPr="00FD211F">
        <w:rPr>
          <w:sz w:val="36"/>
          <w:szCs w:val="36"/>
          <w:rtl/>
        </w:rPr>
        <w:t>عنها من حيث الكبرى وهو بحث حجية الظهور كما يبحث من حيث الصغرى في مباحث الالفاظ</w:t>
      </w:r>
      <w:r w:rsidR="00603323" w:rsidRPr="00FD211F">
        <w:rPr>
          <w:sz w:val="36"/>
          <w:szCs w:val="36"/>
          <w:rtl/>
        </w:rPr>
        <w:t xml:space="preserve">، </w:t>
      </w:r>
      <w:r w:rsidR="00803C33" w:rsidRPr="00FD211F">
        <w:rPr>
          <w:sz w:val="36"/>
          <w:szCs w:val="36"/>
          <w:rtl/>
        </w:rPr>
        <w:t>كما أن بحث التعارض داخل في صورة ترجيح احد الدليلين في قسم حجية الكشف اوقسم حجية الميثاق العقلائي</w:t>
      </w:r>
      <w:r w:rsidR="00603323" w:rsidRPr="00FD211F">
        <w:rPr>
          <w:sz w:val="36"/>
          <w:szCs w:val="36"/>
          <w:rtl/>
        </w:rPr>
        <w:t xml:space="preserve">، </w:t>
      </w:r>
      <w:r w:rsidR="00803C33" w:rsidRPr="00FD211F">
        <w:rPr>
          <w:sz w:val="36"/>
          <w:szCs w:val="36"/>
          <w:rtl/>
        </w:rPr>
        <w:t>وكذلك في صورة التكافؤ مع القول بالتخيير</w:t>
      </w:r>
      <w:r w:rsidR="00603323" w:rsidRPr="00FD211F">
        <w:rPr>
          <w:sz w:val="36"/>
          <w:szCs w:val="36"/>
          <w:rtl/>
        </w:rPr>
        <w:t xml:space="preserve">، </w:t>
      </w:r>
      <w:r w:rsidR="00803C33" w:rsidRPr="00FD211F">
        <w:rPr>
          <w:sz w:val="36"/>
          <w:szCs w:val="36"/>
          <w:rtl/>
        </w:rPr>
        <w:t>واما على القول بالتساقط والرجوع الى الاصل العملي فيدخل البحث فيه في قسم حجية الاحتمال.</w:t>
      </w:r>
    </w:p>
    <w:p w14:paraId="3A71C49F" w14:textId="77777777" w:rsidR="00803C33" w:rsidRPr="00FD211F" w:rsidRDefault="00803C33" w:rsidP="009C58C8">
      <w:pPr>
        <w:ind w:left="0" w:firstLine="227"/>
        <w:jc w:val="both"/>
        <w:rPr>
          <w:sz w:val="36"/>
          <w:szCs w:val="36"/>
          <w:rtl/>
        </w:rPr>
      </w:pPr>
      <w:r w:rsidRPr="00FD211F">
        <w:rPr>
          <w:sz w:val="36"/>
          <w:szCs w:val="36"/>
          <w:rtl/>
        </w:rPr>
        <w:t>ولكن هذا المنهح بعيد عما هو المألوف في الاذهان</w:t>
      </w:r>
      <w:r w:rsidR="00603323" w:rsidRPr="00FD211F">
        <w:rPr>
          <w:sz w:val="36"/>
          <w:szCs w:val="36"/>
          <w:rtl/>
        </w:rPr>
        <w:t xml:space="preserve">، </w:t>
      </w:r>
      <w:r w:rsidRPr="00FD211F">
        <w:rPr>
          <w:sz w:val="36"/>
          <w:szCs w:val="36"/>
          <w:rtl/>
        </w:rPr>
        <w:t>فالاولى الغمض عنه</w:t>
      </w:r>
      <w:r w:rsidR="00C17D0B" w:rsidRPr="00FD211F">
        <w:rPr>
          <w:rStyle w:val="a6"/>
          <w:sz w:val="36"/>
          <w:szCs w:val="36"/>
          <w:rtl/>
        </w:rPr>
        <w:t>(</w:t>
      </w:r>
      <w:r w:rsidR="00C17D0B" w:rsidRPr="00FD211F">
        <w:rPr>
          <w:rStyle w:val="a6"/>
          <w:sz w:val="36"/>
          <w:szCs w:val="36"/>
          <w:rtl/>
        </w:rPr>
        <w:footnoteReference w:id="95"/>
      </w:r>
      <w:r w:rsidR="00C17D0B" w:rsidRPr="00FD211F">
        <w:rPr>
          <w:rStyle w:val="a6"/>
          <w:sz w:val="36"/>
          <w:szCs w:val="36"/>
          <w:rtl/>
        </w:rPr>
        <w:t>)</w:t>
      </w:r>
      <w:r w:rsidRPr="00FD211F">
        <w:rPr>
          <w:sz w:val="36"/>
          <w:szCs w:val="36"/>
          <w:rtl/>
        </w:rPr>
        <w:t>.</w:t>
      </w:r>
    </w:p>
    <w:p w14:paraId="3990E87F" w14:textId="77777777" w:rsidR="00341F1D" w:rsidRPr="00FD211F" w:rsidRDefault="00803C33" w:rsidP="009C58C8">
      <w:pPr>
        <w:ind w:left="0" w:firstLine="227"/>
        <w:jc w:val="both"/>
        <w:rPr>
          <w:sz w:val="36"/>
          <w:szCs w:val="36"/>
          <w:rtl/>
        </w:rPr>
      </w:pPr>
      <w:r w:rsidRPr="00FD211F">
        <w:rPr>
          <w:sz w:val="36"/>
          <w:szCs w:val="36"/>
          <w:rtl/>
        </w:rPr>
        <w:t>ال</w:t>
      </w:r>
      <w:r w:rsidR="002F0446" w:rsidRPr="00FD211F">
        <w:rPr>
          <w:sz w:val="36"/>
          <w:szCs w:val="36"/>
          <w:rtl/>
        </w:rPr>
        <w:t>منهج السابع</w:t>
      </w:r>
      <w:r w:rsidR="00856647" w:rsidRPr="00FD211F">
        <w:rPr>
          <w:sz w:val="36"/>
          <w:szCs w:val="36"/>
          <w:rtl/>
        </w:rPr>
        <w:t>:</w:t>
      </w:r>
      <w:r w:rsidR="004F442C" w:rsidRPr="00FD211F">
        <w:rPr>
          <w:sz w:val="36"/>
          <w:szCs w:val="36"/>
          <w:rtl/>
        </w:rPr>
        <w:t>ماحكي عن بعض السادة الاعلام "دام ظله"ايضا من أن المبادئ التصديقية لكل علم اذاكانت نظرية فتبحث في علم آخر يكون مقدمة لهذا العلم</w:t>
      </w:r>
      <w:r w:rsidR="00603323" w:rsidRPr="00FD211F">
        <w:rPr>
          <w:sz w:val="36"/>
          <w:szCs w:val="36"/>
          <w:rtl/>
        </w:rPr>
        <w:t xml:space="preserve">، </w:t>
      </w:r>
      <w:r w:rsidR="004F442C" w:rsidRPr="00FD211F">
        <w:rPr>
          <w:sz w:val="36"/>
          <w:szCs w:val="36"/>
          <w:rtl/>
        </w:rPr>
        <w:t>وعلم الفقه لما كان محور بحثه هو الحكم الشرعي والحكم نوع من الاعتبار</w:t>
      </w:r>
      <w:r w:rsidR="00603323" w:rsidRPr="00FD211F">
        <w:rPr>
          <w:sz w:val="36"/>
          <w:szCs w:val="36"/>
          <w:rtl/>
        </w:rPr>
        <w:t xml:space="preserve">، </w:t>
      </w:r>
      <w:r w:rsidR="004F442C" w:rsidRPr="00FD211F">
        <w:rPr>
          <w:sz w:val="36"/>
          <w:szCs w:val="36"/>
          <w:rtl/>
        </w:rPr>
        <w:t>احتجنا الى علم آخر يبحث عن المبادئ التصديقية للحكم الشرعي</w:t>
      </w:r>
      <w:r w:rsidR="00603323" w:rsidRPr="00FD211F">
        <w:rPr>
          <w:sz w:val="36"/>
          <w:szCs w:val="36"/>
          <w:rtl/>
        </w:rPr>
        <w:t xml:space="preserve">، </w:t>
      </w:r>
      <w:r w:rsidR="004F442C" w:rsidRPr="00FD211F">
        <w:rPr>
          <w:sz w:val="36"/>
          <w:szCs w:val="36"/>
          <w:rtl/>
        </w:rPr>
        <w:t>وذلك بالبحث حول الاعتبار بشكل عام والاعتبار الشرعي بشكل خاص وعوارض</w:t>
      </w:r>
      <w:r w:rsidR="00341F1D" w:rsidRPr="00FD211F">
        <w:rPr>
          <w:sz w:val="36"/>
          <w:szCs w:val="36"/>
          <w:rtl/>
        </w:rPr>
        <w:t>ه واقسامه وما يلحق به</w:t>
      </w:r>
      <w:r w:rsidR="00603323" w:rsidRPr="00FD211F">
        <w:rPr>
          <w:sz w:val="36"/>
          <w:szCs w:val="36"/>
          <w:rtl/>
        </w:rPr>
        <w:t xml:space="preserve">، </w:t>
      </w:r>
      <w:r w:rsidR="00341F1D" w:rsidRPr="00FD211F">
        <w:rPr>
          <w:sz w:val="36"/>
          <w:szCs w:val="36"/>
          <w:rtl/>
        </w:rPr>
        <w:t>وذلك العلم هو علم الاصول</w:t>
      </w:r>
      <w:r w:rsidR="00C774D9" w:rsidRPr="00FD211F">
        <w:rPr>
          <w:sz w:val="36"/>
          <w:szCs w:val="36"/>
          <w:rtl/>
        </w:rPr>
        <w:t>.</w:t>
      </w:r>
    </w:p>
    <w:p w14:paraId="073416B9" w14:textId="77777777" w:rsidR="00341F1D" w:rsidRPr="00FD211F" w:rsidRDefault="00341F1D" w:rsidP="00E00208">
      <w:pPr>
        <w:ind w:left="0" w:firstLine="227"/>
        <w:jc w:val="both"/>
        <w:rPr>
          <w:sz w:val="36"/>
          <w:szCs w:val="36"/>
          <w:rtl/>
        </w:rPr>
      </w:pPr>
      <w:r w:rsidRPr="00FD211F">
        <w:rPr>
          <w:sz w:val="36"/>
          <w:szCs w:val="36"/>
          <w:rtl/>
        </w:rPr>
        <w:t>وهذا التقسيم المقترح يدور حول الاعتبار</w:t>
      </w:r>
      <w:r w:rsidR="00603323" w:rsidRPr="00FD211F">
        <w:rPr>
          <w:sz w:val="36"/>
          <w:szCs w:val="36"/>
          <w:rtl/>
        </w:rPr>
        <w:t xml:space="preserve">، </w:t>
      </w:r>
      <w:r w:rsidRPr="00FD211F">
        <w:rPr>
          <w:sz w:val="36"/>
          <w:szCs w:val="36"/>
          <w:rtl/>
        </w:rPr>
        <w:t>ويكون في خمسة عشر بحثا</w:t>
      </w:r>
      <w:r w:rsidR="00603323" w:rsidRPr="00FD211F">
        <w:rPr>
          <w:sz w:val="36"/>
          <w:szCs w:val="36"/>
          <w:rtl/>
        </w:rPr>
        <w:t xml:space="preserve">، </w:t>
      </w:r>
      <w:r w:rsidRPr="00FD211F">
        <w:rPr>
          <w:sz w:val="36"/>
          <w:szCs w:val="36"/>
          <w:rtl/>
        </w:rPr>
        <w:t>وهي:</w:t>
      </w:r>
    </w:p>
    <w:p w14:paraId="74586EBA" w14:textId="77777777" w:rsidR="00341F1D" w:rsidRPr="00FD211F" w:rsidRDefault="00341F1D" w:rsidP="009C58C8">
      <w:pPr>
        <w:ind w:left="0" w:firstLine="227"/>
        <w:jc w:val="both"/>
        <w:rPr>
          <w:sz w:val="36"/>
          <w:szCs w:val="36"/>
          <w:rtl/>
        </w:rPr>
      </w:pPr>
      <w:r w:rsidRPr="00FD211F">
        <w:rPr>
          <w:sz w:val="36"/>
          <w:szCs w:val="36"/>
          <w:rtl/>
        </w:rPr>
        <w:t>1-تعريف الاعتبار</w:t>
      </w:r>
      <w:r w:rsidR="00C774D9" w:rsidRPr="00FD211F">
        <w:rPr>
          <w:sz w:val="36"/>
          <w:szCs w:val="36"/>
          <w:rtl/>
        </w:rPr>
        <w:t>.</w:t>
      </w:r>
    </w:p>
    <w:p w14:paraId="7F9CC642" w14:textId="77777777" w:rsidR="00C53C19" w:rsidRPr="00FD211F" w:rsidRDefault="00341F1D" w:rsidP="009C58C8">
      <w:pPr>
        <w:ind w:left="0" w:firstLine="227"/>
        <w:jc w:val="both"/>
        <w:rPr>
          <w:sz w:val="36"/>
          <w:szCs w:val="36"/>
          <w:rtl/>
        </w:rPr>
      </w:pPr>
      <w:r w:rsidRPr="00FD211F">
        <w:rPr>
          <w:sz w:val="36"/>
          <w:szCs w:val="36"/>
          <w:rtl/>
        </w:rPr>
        <w:t>2-</w:t>
      </w:r>
      <w:r w:rsidR="00812DB7" w:rsidRPr="00FD211F">
        <w:rPr>
          <w:sz w:val="36"/>
          <w:szCs w:val="36"/>
          <w:rtl/>
        </w:rPr>
        <w:t>تقسيمه الى الاعتبار الادبي</w:t>
      </w:r>
      <w:r w:rsidR="00735B1C" w:rsidRPr="00FD211F">
        <w:rPr>
          <w:sz w:val="36"/>
          <w:szCs w:val="36"/>
          <w:rtl/>
        </w:rPr>
        <w:t xml:space="preserve"> والقانوني</w:t>
      </w:r>
      <w:r w:rsidR="00603323" w:rsidRPr="00FD211F">
        <w:rPr>
          <w:sz w:val="36"/>
          <w:szCs w:val="36"/>
          <w:rtl/>
        </w:rPr>
        <w:t xml:space="preserve">، </w:t>
      </w:r>
      <w:r w:rsidR="00735B1C" w:rsidRPr="00FD211F">
        <w:rPr>
          <w:sz w:val="36"/>
          <w:szCs w:val="36"/>
          <w:rtl/>
        </w:rPr>
        <w:t xml:space="preserve">والفرق بينهما أن الاعتبار الادبي هو اعطاء حد </w:t>
      </w:r>
      <w:r w:rsidR="00251CB6" w:rsidRPr="00FD211F">
        <w:rPr>
          <w:sz w:val="36"/>
          <w:szCs w:val="36"/>
          <w:rtl/>
        </w:rPr>
        <w:t xml:space="preserve">شيء </w:t>
      </w:r>
      <w:r w:rsidR="00735B1C" w:rsidRPr="00FD211F">
        <w:rPr>
          <w:sz w:val="36"/>
          <w:szCs w:val="36"/>
          <w:rtl/>
        </w:rPr>
        <w:t>ل</w:t>
      </w:r>
      <w:r w:rsidR="00251CB6" w:rsidRPr="00FD211F">
        <w:rPr>
          <w:sz w:val="36"/>
          <w:szCs w:val="36"/>
          <w:rtl/>
        </w:rPr>
        <w:t xml:space="preserve">شيء </w:t>
      </w:r>
      <w:r w:rsidR="00735B1C" w:rsidRPr="00FD211F">
        <w:rPr>
          <w:sz w:val="36"/>
          <w:szCs w:val="36"/>
          <w:rtl/>
        </w:rPr>
        <w:t>آخر بهدف التأثير في احساس المجتمع ومشاعره كإعطاء حد الاسدية للرجل الشجاع بهدف زرع الهيبة والاكبار له في نفوس الآخرين</w:t>
      </w:r>
      <w:r w:rsidR="00603323" w:rsidRPr="00FD211F">
        <w:rPr>
          <w:sz w:val="36"/>
          <w:szCs w:val="36"/>
          <w:rtl/>
        </w:rPr>
        <w:t xml:space="preserve">، </w:t>
      </w:r>
      <w:r w:rsidR="00C53C19" w:rsidRPr="00FD211F">
        <w:rPr>
          <w:sz w:val="36"/>
          <w:szCs w:val="36"/>
          <w:rtl/>
        </w:rPr>
        <w:t>فيكون من قبيل المجاز الادعائي</w:t>
      </w:r>
      <w:r w:rsidR="00603323" w:rsidRPr="00FD211F">
        <w:rPr>
          <w:sz w:val="36"/>
          <w:szCs w:val="36"/>
          <w:rtl/>
        </w:rPr>
        <w:t xml:space="preserve">، </w:t>
      </w:r>
      <w:r w:rsidR="00C53C19" w:rsidRPr="00FD211F">
        <w:rPr>
          <w:sz w:val="36"/>
          <w:szCs w:val="36"/>
          <w:rtl/>
        </w:rPr>
        <w:t xml:space="preserve">واما الاعتبار القانوني فهو جعل ماهية قانونية بغرض ترتب اثارهاكاعتبار الملكية او الزوجية </w:t>
      </w:r>
    </w:p>
    <w:p w14:paraId="3C6ED95F" w14:textId="77777777" w:rsidR="007058EF" w:rsidRPr="00FD211F" w:rsidRDefault="002A26A3" w:rsidP="009C58C8">
      <w:pPr>
        <w:ind w:left="0" w:firstLine="227"/>
        <w:jc w:val="both"/>
        <w:rPr>
          <w:sz w:val="36"/>
          <w:szCs w:val="36"/>
          <w:rtl/>
        </w:rPr>
      </w:pPr>
      <w:r w:rsidRPr="00FD211F">
        <w:rPr>
          <w:sz w:val="36"/>
          <w:szCs w:val="36"/>
          <w:rtl/>
        </w:rPr>
        <w:t>3-العلاقة بين الاعتبارين</w:t>
      </w:r>
      <w:r w:rsidR="00603323" w:rsidRPr="00FD211F">
        <w:rPr>
          <w:sz w:val="36"/>
          <w:szCs w:val="36"/>
          <w:rtl/>
        </w:rPr>
        <w:t xml:space="preserve">، </w:t>
      </w:r>
      <w:r w:rsidRPr="00FD211F">
        <w:rPr>
          <w:sz w:val="36"/>
          <w:szCs w:val="36"/>
          <w:rtl/>
        </w:rPr>
        <w:t xml:space="preserve">فأن </w:t>
      </w:r>
      <w:r w:rsidR="00C53C19" w:rsidRPr="00FD211F">
        <w:rPr>
          <w:sz w:val="36"/>
          <w:szCs w:val="36"/>
          <w:rtl/>
        </w:rPr>
        <w:t>الاعتبار القانوني في بداية وجوده يكون اعتبارا ادبيا صرفا</w:t>
      </w:r>
      <w:r w:rsidR="00603323" w:rsidRPr="00FD211F">
        <w:rPr>
          <w:sz w:val="36"/>
          <w:szCs w:val="36"/>
          <w:rtl/>
        </w:rPr>
        <w:t xml:space="preserve">، </w:t>
      </w:r>
      <w:r w:rsidR="00C53C19" w:rsidRPr="00FD211F">
        <w:rPr>
          <w:sz w:val="36"/>
          <w:szCs w:val="36"/>
          <w:rtl/>
        </w:rPr>
        <w:t xml:space="preserve">فمثلا اعتبار الملكية حقيقته </w:t>
      </w:r>
      <w:r w:rsidR="007058EF" w:rsidRPr="00FD211F">
        <w:rPr>
          <w:sz w:val="36"/>
          <w:szCs w:val="36"/>
          <w:rtl/>
        </w:rPr>
        <w:t xml:space="preserve">هو أن </w:t>
      </w:r>
      <w:r w:rsidR="00C53C19" w:rsidRPr="00FD211F">
        <w:rPr>
          <w:sz w:val="36"/>
          <w:szCs w:val="36"/>
          <w:rtl/>
        </w:rPr>
        <w:t>حد الملكية التكوينية</w:t>
      </w:r>
      <w:r w:rsidR="007058EF" w:rsidRPr="00FD211F">
        <w:rPr>
          <w:sz w:val="36"/>
          <w:szCs w:val="36"/>
          <w:rtl/>
        </w:rPr>
        <w:t>-</w:t>
      </w:r>
      <w:r w:rsidR="00C53C19" w:rsidRPr="00FD211F">
        <w:rPr>
          <w:sz w:val="36"/>
          <w:szCs w:val="36"/>
          <w:rtl/>
        </w:rPr>
        <w:t>كملكية الانسان لافعاله الجوارحية والجوانحية</w:t>
      </w:r>
      <w:r w:rsidR="007058EF" w:rsidRPr="00FD211F">
        <w:rPr>
          <w:sz w:val="36"/>
          <w:szCs w:val="36"/>
          <w:rtl/>
        </w:rPr>
        <w:t xml:space="preserve"> باعتبار كونها تحت اختياره</w:t>
      </w:r>
      <w:r w:rsidR="00C7588D" w:rsidRPr="00FD211F">
        <w:rPr>
          <w:sz w:val="36"/>
          <w:szCs w:val="36"/>
          <w:rtl/>
        </w:rPr>
        <w:t xml:space="preserve"> </w:t>
      </w:r>
      <w:r w:rsidR="007058EF" w:rsidRPr="00FD211F">
        <w:rPr>
          <w:sz w:val="36"/>
          <w:szCs w:val="36"/>
          <w:rtl/>
        </w:rPr>
        <w:t>-يعطى لماله الذي يكون اجنبياعنه تكوينا</w:t>
      </w:r>
      <w:r w:rsidR="00860401" w:rsidRPr="00FD211F">
        <w:rPr>
          <w:sz w:val="36"/>
          <w:szCs w:val="36"/>
          <w:rtl/>
        </w:rPr>
        <w:t xml:space="preserve"> </w:t>
      </w:r>
      <w:r w:rsidR="007058EF" w:rsidRPr="00FD211F">
        <w:rPr>
          <w:sz w:val="36"/>
          <w:szCs w:val="36"/>
          <w:rtl/>
        </w:rPr>
        <w:t>فيدعى كونه تحت تصرفه واختياره</w:t>
      </w:r>
      <w:r w:rsidR="00603323" w:rsidRPr="00FD211F">
        <w:rPr>
          <w:sz w:val="36"/>
          <w:szCs w:val="36"/>
          <w:rtl/>
        </w:rPr>
        <w:t xml:space="preserve">، </w:t>
      </w:r>
      <w:r w:rsidR="007058EF" w:rsidRPr="00FD211F">
        <w:rPr>
          <w:sz w:val="36"/>
          <w:szCs w:val="36"/>
          <w:rtl/>
        </w:rPr>
        <w:t>فاعتبار الملكية كان في بدء وجوده اعتبارا ادبيا لكنه تحول بمرور الوقت وبعد اقرار العقلاء له وكثرة استعماله الى اعتبار قانوني</w:t>
      </w:r>
      <w:r w:rsidR="00C774D9" w:rsidRPr="00FD211F">
        <w:rPr>
          <w:sz w:val="36"/>
          <w:szCs w:val="36"/>
          <w:rtl/>
        </w:rPr>
        <w:t>.</w:t>
      </w:r>
    </w:p>
    <w:p w14:paraId="0395F40C" w14:textId="77777777" w:rsidR="000C5BBA" w:rsidRPr="00FD211F" w:rsidRDefault="002A26A3" w:rsidP="009C58C8">
      <w:pPr>
        <w:ind w:left="0" w:firstLine="227"/>
        <w:jc w:val="both"/>
        <w:rPr>
          <w:sz w:val="36"/>
          <w:szCs w:val="36"/>
          <w:rtl/>
        </w:rPr>
      </w:pPr>
      <w:r w:rsidRPr="00FD211F">
        <w:rPr>
          <w:sz w:val="36"/>
          <w:szCs w:val="36"/>
          <w:rtl/>
        </w:rPr>
        <w:t>4-</w:t>
      </w:r>
      <w:r w:rsidR="007058EF" w:rsidRPr="00FD211F">
        <w:rPr>
          <w:sz w:val="36"/>
          <w:szCs w:val="36"/>
          <w:rtl/>
        </w:rPr>
        <w:t>-العناصر الدخيلة في جعل القانون</w:t>
      </w:r>
      <w:r w:rsidR="00603323" w:rsidRPr="00FD211F">
        <w:rPr>
          <w:sz w:val="36"/>
          <w:szCs w:val="36"/>
          <w:rtl/>
        </w:rPr>
        <w:t xml:space="preserve">، </w:t>
      </w:r>
      <w:r w:rsidR="00C6276E" w:rsidRPr="00FD211F">
        <w:rPr>
          <w:sz w:val="36"/>
          <w:szCs w:val="36"/>
          <w:rtl/>
        </w:rPr>
        <w:t>وهي اربعة</w:t>
      </w:r>
      <w:r w:rsidR="00856647" w:rsidRPr="00FD211F">
        <w:rPr>
          <w:sz w:val="36"/>
          <w:szCs w:val="36"/>
          <w:rtl/>
        </w:rPr>
        <w:t>:</w:t>
      </w:r>
      <w:r w:rsidR="00C6276E" w:rsidRPr="00FD211F">
        <w:rPr>
          <w:sz w:val="36"/>
          <w:szCs w:val="36"/>
          <w:rtl/>
        </w:rPr>
        <w:t xml:space="preserve"> الملاك وهو المصلحة او المفسدة في المتعلق</w:t>
      </w:r>
      <w:r w:rsidR="00603323" w:rsidRPr="00FD211F">
        <w:rPr>
          <w:sz w:val="36"/>
          <w:szCs w:val="36"/>
          <w:rtl/>
        </w:rPr>
        <w:t xml:space="preserve">، </w:t>
      </w:r>
      <w:r w:rsidR="00C6276E" w:rsidRPr="00FD211F">
        <w:rPr>
          <w:sz w:val="36"/>
          <w:szCs w:val="36"/>
          <w:rtl/>
        </w:rPr>
        <w:t>والمصحح وهو صدق عنوان الداعي للخير والزاجر عن الشر عليه</w:t>
      </w:r>
      <w:r w:rsidR="00603323" w:rsidRPr="00FD211F">
        <w:rPr>
          <w:sz w:val="36"/>
          <w:szCs w:val="36"/>
          <w:rtl/>
        </w:rPr>
        <w:t xml:space="preserve">، </w:t>
      </w:r>
      <w:r w:rsidR="00C6276E" w:rsidRPr="00FD211F">
        <w:rPr>
          <w:sz w:val="36"/>
          <w:szCs w:val="36"/>
          <w:rtl/>
        </w:rPr>
        <w:t>والارادة وهي العزم على تأسيس القانون</w:t>
      </w:r>
      <w:r w:rsidR="00603323" w:rsidRPr="00FD211F">
        <w:rPr>
          <w:sz w:val="36"/>
          <w:szCs w:val="36"/>
          <w:rtl/>
        </w:rPr>
        <w:t xml:space="preserve">، </w:t>
      </w:r>
      <w:r w:rsidR="00C6276E" w:rsidRPr="00FD211F">
        <w:rPr>
          <w:sz w:val="36"/>
          <w:szCs w:val="36"/>
          <w:rtl/>
        </w:rPr>
        <w:t>والصياغة</w:t>
      </w:r>
      <w:r w:rsidR="00C774D9" w:rsidRPr="00FD211F">
        <w:rPr>
          <w:sz w:val="36"/>
          <w:szCs w:val="36"/>
          <w:rtl/>
        </w:rPr>
        <w:t>.</w:t>
      </w:r>
    </w:p>
    <w:p w14:paraId="2AC01E5E" w14:textId="77777777" w:rsidR="002A26A3" w:rsidRPr="00FD211F" w:rsidRDefault="009D18FC" w:rsidP="009C58C8">
      <w:pPr>
        <w:ind w:left="0" w:firstLine="227"/>
        <w:jc w:val="both"/>
        <w:rPr>
          <w:sz w:val="36"/>
          <w:szCs w:val="36"/>
          <w:rtl/>
        </w:rPr>
      </w:pPr>
      <w:r w:rsidRPr="00FD211F">
        <w:rPr>
          <w:sz w:val="36"/>
          <w:szCs w:val="36"/>
          <w:rtl/>
        </w:rPr>
        <w:t>و</w:t>
      </w:r>
      <w:r w:rsidR="00C6276E" w:rsidRPr="00FD211F">
        <w:rPr>
          <w:sz w:val="36"/>
          <w:szCs w:val="36"/>
          <w:rtl/>
        </w:rPr>
        <w:t>كذا اسلوب جعل القانون فانه قد يكون بنحو القضية الحقيقية</w:t>
      </w:r>
      <w:r w:rsidR="00603323" w:rsidRPr="00FD211F">
        <w:rPr>
          <w:sz w:val="36"/>
          <w:szCs w:val="36"/>
          <w:rtl/>
        </w:rPr>
        <w:t xml:space="preserve">، </w:t>
      </w:r>
      <w:r w:rsidR="00C6276E" w:rsidRPr="00FD211F">
        <w:rPr>
          <w:sz w:val="36"/>
          <w:szCs w:val="36"/>
          <w:rtl/>
        </w:rPr>
        <w:t>وأخرى يكون علي نحو القضية الخارجية فلا يشمل الا الموجودين حال الخطاب</w:t>
      </w:r>
      <w:r w:rsidR="00C774D9" w:rsidRPr="00FD211F">
        <w:rPr>
          <w:sz w:val="36"/>
          <w:szCs w:val="36"/>
          <w:rtl/>
        </w:rPr>
        <w:t>.</w:t>
      </w:r>
    </w:p>
    <w:p w14:paraId="2759C3DB" w14:textId="77777777" w:rsidR="00C80DC3" w:rsidRPr="00FD211F" w:rsidRDefault="002A26A3" w:rsidP="00860401">
      <w:pPr>
        <w:ind w:left="0" w:firstLine="227"/>
        <w:jc w:val="both"/>
        <w:rPr>
          <w:sz w:val="36"/>
          <w:szCs w:val="36"/>
          <w:rtl/>
        </w:rPr>
      </w:pPr>
      <w:r w:rsidRPr="00FD211F">
        <w:rPr>
          <w:sz w:val="36"/>
          <w:szCs w:val="36"/>
          <w:rtl/>
        </w:rPr>
        <w:t>5-</w:t>
      </w:r>
      <w:r w:rsidR="00C80DC3" w:rsidRPr="00FD211F">
        <w:rPr>
          <w:sz w:val="36"/>
          <w:szCs w:val="36"/>
          <w:rtl/>
        </w:rPr>
        <w:t>مراتب الاعتبار القانوني</w:t>
      </w:r>
      <w:r w:rsidR="00603323" w:rsidRPr="00FD211F">
        <w:rPr>
          <w:sz w:val="36"/>
          <w:szCs w:val="36"/>
          <w:rtl/>
        </w:rPr>
        <w:t xml:space="preserve">، </w:t>
      </w:r>
      <w:r w:rsidR="00C80DC3" w:rsidRPr="00FD211F">
        <w:rPr>
          <w:sz w:val="36"/>
          <w:szCs w:val="36"/>
          <w:rtl/>
        </w:rPr>
        <w:t>وهي في نظر المتأخرين أربعة</w:t>
      </w:r>
      <w:r w:rsidR="00856647" w:rsidRPr="00FD211F">
        <w:rPr>
          <w:sz w:val="36"/>
          <w:szCs w:val="36"/>
          <w:rtl/>
        </w:rPr>
        <w:t>:</w:t>
      </w:r>
      <w:r w:rsidR="00860401" w:rsidRPr="00FD211F">
        <w:rPr>
          <w:sz w:val="36"/>
          <w:szCs w:val="36"/>
          <w:rtl/>
        </w:rPr>
        <w:t xml:space="preserve"> </w:t>
      </w:r>
      <w:r w:rsidR="00C80DC3" w:rsidRPr="00FD211F">
        <w:rPr>
          <w:sz w:val="36"/>
          <w:szCs w:val="36"/>
          <w:rtl/>
        </w:rPr>
        <w:t>مرتبة الاقتضاء والانشاء والفعلية والتنجز.</w:t>
      </w:r>
    </w:p>
    <w:p w14:paraId="39BB7BE1" w14:textId="77777777" w:rsidR="00C80DC3" w:rsidRPr="00FD211F" w:rsidRDefault="00C80DC3" w:rsidP="009C58C8">
      <w:pPr>
        <w:ind w:left="0" w:firstLine="227"/>
        <w:jc w:val="both"/>
        <w:rPr>
          <w:sz w:val="36"/>
          <w:szCs w:val="36"/>
          <w:rtl/>
        </w:rPr>
      </w:pPr>
      <w:r w:rsidRPr="00FD211F">
        <w:rPr>
          <w:sz w:val="36"/>
          <w:szCs w:val="36"/>
          <w:rtl/>
        </w:rPr>
        <w:t>6-اقسام الاعتبار القانوني</w:t>
      </w:r>
      <w:r w:rsidR="00603323" w:rsidRPr="00FD211F">
        <w:rPr>
          <w:sz w:val="36"/>
          <w:szCs w:val="36"/>
          <w:rtl/>
        </w:rPr>
        <w:t xml:space="preserve">، </w:t>
      </w:r>
      <w:r w:rsidRPr="00FD211F">
        <w:rPr>
          <w:sz w:val="36"/>
          <w:szCs w:val="36"/>
          <w:rtl/>
        </w:rPr>
        <w:t>وهي ثلاثة</w:t>
      </w:r>
      <w:r w:rsidR="00856647" w:rsidRPr="00FD211F">
        <w:rPr>
          <w:sz w:val="36"/>
          <w:szCs w:val="36"/>
          <w:rtl/>
        </w:rPr>
        <w:t>:</w:t>
      </w:r>
    </w:p>
    <w:p w14:paraId="688C3FFA" w14:textId="77777777" w:rsidR="00E722F0" w:rsidRPr="00FD211F" w:rsidRDefault="00860401" w:rsidP="009C58C8">
      <w:pPr>
        <w:ind w:left="0" w:firstLine="227"/>
        <w:jc w:val="both"/>
        <w:rPr>
          <w:sz w:val="36"/>
          <w:szCs w:val="36"/>
          <w:rtl/>
        </w:rPr>
      </w:pPr>
      <w:r w:rsidRPr="00FD211F">
        <w:rPr>
          <w:sz w:val="36"/>
          <w:szCs w:val="36"/>
          <w:rtl/>
        </w:rPr>
        <w:t>أ</w:t>
      </w:r>
      <w:r w:rsidR="00C80DC3" w:rsidRPr="00FD211F">
        <w:rPr>
          <w:sz w:val="36"/>
          <w:szCs w:val="36"/>
          <w:rtl/>
        </w:rPr>
        <w:t>-</w:t>
      </w:r>
      <w:r w:rsidRPr="00FD211F">
        <w:rPr>
          <w:sz w:val="36"/>
          <w:szCs w:val="36"/>
          <w:rtl/>
        </w:rPr>
        <w:t xml:space="preserve"> </w:t>
      </w:r>
      <w:r w:rsidR="009F5E78">
        <w:rPr>
          <w:sz w:val="36"/>
          <w:szCs w:val="36"/>
          <w:rtl/>
        </w:rPr>
        <w:t>ال</w:t>
      </w:r>
      <w:r w:rsidR="009F5E78">
        <w:rPr>
          <w:rFonts w:hint="cs"/>
          <w:sz w:val="36"/>
          <w:szCs w:val="36"/>
          <w:rtl/>
        </w:rPr>
        <w:t>ح</w:t>
      </w:r>
      <w:r w:rsidR="00C80DC3" w:rsidRPr="00FD211F">
        <w:rPr>
          <w:sz w:val="36"/>
          <w:szCs w:val="36"/>
          <w:rtl/>
        </w:rPr>
        <w:t xml:space="preserve">كم التكليفي ويتقوم </w:t>
      </w:r>
      <w:r w:rsidR="00E722F0" w:rsidRPr="00FD211F">
        <w:rPr>
          <w:sz w:val="36"/>
          <w:szCs w:val="36"/>
          <w:rtl/>
        </w:rPr>
        <w:t>بارتباطه المباشر بعمل الفرد و</w:t>
      </w:r>
      <w:r w:rsidR="00C80DC3" w:rsidRPr="00FD211F">
        <w:rPr>
          <w:sz w:val="36"/>
          <w:szCs w:val="36"/>
          <w:rtl/>
        </w:rPr>
        <w:t>باست</w:t>
      </w:r>
      <w:r w:rsidR="00E722F0" w:rsidRPr="00FD211F">
        <w:rPr>
          <w:sz w:val="36"/>
          <w:szCs w:val="36"/>
          <w:rtl/>
        </w:rPr>
        <w:t xml:space="preserve">بطانه </w:t>
      </w:r>
      <w:r w:rsidR="00C80DC3" w:rsidRPr="00FD211F">
        <w:rPr>
          <w:sz w:val="36"/>
          <w:szCs w:val="36"/>
          <w:rtl/>
        </w:rPr>
        <w:t>للجزاء فالوجوب مستبطن للوعيد</w:t>
      </w:r>
      <w:r w:rsidR="009F5E78">
        <w:rPr>
          <w:rFonts w:hint="cs"/>
          <w:sz w:val="36"/>
          <w:szCs w:val="36"/>
          <w:rtl/>
        </w:rPr>
        <w:t xml:space="preserve"> </w:t>
      </w:r>
      <w:r w:rsidR="00C80DC3" w:rsidRPr="00FD211F">
        <w:rPr>
          <w:sz w:val="36"/>
          <w:szCs w:val="36"/>
          <w:rtl/>
        </w:rPr>
        <w:t>بالعقاب</w:t>
      </w:r>
      <w:r w:rsidR="00C7588D" w:rsidRPr="00FD211F">
        <w:rPr>
          <w:sz w:val="36"/>
          <w:szCs w:val="36"/>
          <w:rtl/>
        </w:rPr>
        <w:t xml:space="preserve"> </w:t>
      </w:r>
      <w:r w:rsidR="00C80DC3" w:rsidRPr="00FD211F">
        <w:rPr>
          <w:sz w:val="36"/>
          <w:szCs w:val="36"/>
          <w:rtl/>
        </w:rPr>
        <w:t>على الترك والتحريم مستبطن للوعيد</w:t>
      </w:r>
      <w:r w:rsidR="009F5E78">
        <w:rPr>
          <w:rFonts w:hint="cs"/>
          <w:sz w:val="36"/>
          <w:szCs w:val="36"/>
          <w:rtl/>
        </w:rPr>
        <w:t xml:space="preserve"> </w:t>
      </w:r>
      <w:r w:rsidR="00C80DC3" w:rsidRPr="00FD211F">
        <w:rPr>
          <w:sz w:val="36"/>
          <w:szCs w:val="36"/>
          <w:rtl/>
        </w:rPr>
        <w:t>بالعقاب على الفعل والاستحباب مستبطن لل</w:t>
      </w:r>
      <w:r w:rsidR="00E722F0" w:rsidRPr="00FD211F">
        <w:rPr>
          <w:sz w:val="36"/>
          <w:szCs w:val="36"/>
          <w:rtl/>
        </w:rPr>
        <w:t>وعد بالثواب على الفعل والكراهة تستبطن الوعد بالثواب على الترك.</w:t>
      </w:r>
    </w:p>
    <w:p w14:paraId="677F4078" w14:textId="77777777" w:rsidR="00E722F0" w:rsidRPr="00FD211F" w:rsidRDefault="00E722F0" w:rsidP="009C58C8">
      <w:pPr>
        <w:ind w:left="0" w:firstLine="227"/>
        <w:jc w:val="both"/>
        <w:rPr>
          <w:sz w:val="36"/>
          <w:szCs w:val="36"/>
          <w:rtl/>
        </w:rPr>
      </w:pPr>
      <w:r w:rsidRPr="00FD211F">
        <w:rPr>
          <w:sz w:val="36"/>
          <w:szCs w:val="36"/>
          <w:rtl/>
        </w:rPr>
        <w:t>ب-</w:t>
      </w:r>
      <w:r w:rsidR="00860401" w:rsidRPr="00FD211F">
        <w:rPr>
          <w:sz w:val="36"/>
          <w:szCs w:val="36"/>
          <w:rtl/>
        </w:rPr>
        <w:t xml:space="preserve"> </w:t>
      </w:r>
      <w:r w:rsidRPr="00FD211F">
        <w:rPr>
          <w:sz w:val="36"/>
          <w:szCs w:val="36"/>
          <w:rtl/>
        </w:rPr>
        <w:t>الحكم الوضعي وهو متعلق بالعمل الخارجي لا</w:t>
      </w:r>
      <w:r w:rsidR="009F5E78">
        <w:rPr>
          <w:rFonts w:hint="cs"/>
          <w:sz w:val="36"/>
          <w:szCs w:val="36"/>
          <w:rtl/>
        </w:rPr>
        <w:t xml:space="preserve"> </w:t>
      </w:r>
      <w:r w:rsidRPr="00FD211F">
        <w:rPr>
          <w:sz w:val="36"/>
          <w:szCs w:val="36"/>
          <w:rtl/>
        </w:rPr>
        <w:t>على نحو المباشرة ولا</w:t>
      </w:r>
      <w:r w:rsidR="009F5E78">
        <w:rPr>
          <w:rFonts w:hint="cs"/>
          <w:sz w:val="36"/>
          <w:szCs w:val="36"/>
          <w:rtl/>
        </w:rPr>
        <w:t xml:space="preserve"> </w:t>
      </w:r>
      <w:r w:rsidRPr="00FD211F">
        <w:rPr>
          <w:sz w:val="36"/>
          <w:szCs w:val="36"/>
          <w:rtl/>
        </w:rPr>
        <w:t>على نحو الاستبطان للجزاء</w:t>
      </w:r>
      <w:r w:rsidR="00C774D9" w:rsidRPr="00FD211F">
        <w:rPr>
          <w:sz w:val="36"/>
          <w:szCs w:val="36"/>
          <w:rtl/>
        </w:rPr>
        <w:t>.</w:t>
      </w:r>
    </w:p>
    <w:p w14:paraId="17D935F4" w14:textId="77777777" w:rsidR="00E722F0" w:rsidRPr="00FD211F" w:rsidRDefault="00E722F0" w:rsidP="009C58C8">
      <w:pPr>
        <w:ind w:left="0" w:firstLine="227"/>
        <w:jc w:val="both"/>
        <w:rPr>
          <w:sz w:val="36"/>
          <w:szCs w:val="36"/>
          <w:rtl/>
        </w:rPr>
      </w:pPr>
      <w:r w:rsidRPr="00FD211F">
        <w:rPr>
          <w:sz w:val="36"/>
          <w:szCs w:val="36"/>
          <w:rtl/>
        </w:rPr>
        <w:t>ج-</w:t>
      </w:r>
      <w:r w:rsidR="00860401" w:rsidRPr="00FD211F">
        <w:rPr>
          <w:sz w:val="36"/>
          <w:szCs w:val="36"/>
          <w:rtl/>
        </w:rPr>
        <w:t xml:space="preserve"> </w:t>
      </w:r>
      <w:r w:rsidRPr="00FD211F">
        <w:rPr>
          <w:sz w:val="36"/>
          <w:szCs w:val="36"/>
          <w:rtl/>
        </w:rPr>
        <w:t>الماهية المخترعة فقد تكون عبادة كالصلاة والحج وقد تكون معاملة كالبيع والصلح وقد تكون موضوعا كالميتة والمذكى.</w:t>
      </w:r>
    </w:p>
    <w:p w14:paraId="02F79CDF" w14:textId="77777777" w:rsidR="00A34AEC" w:rsidRPr="00FD211F" w:rsidRDefault="00E722F0" w:rsidP="009C58C8">
      <w:pPr>
        <w:ind w:left="0" w:firstLine="227"/>
        <w:jc w:val="both"/>
        <w:rPr>
          <w:sz w:val="36"/>
          <w:szCs w:val="36"/>
          <w:rtl/>
        </w:rPr>
      </w:pPr>
      <w:r w:rsidRPr="00FD211F">
        <w:rPr>
          <w:sz w:val="36"/>
          <w:szCs w:val="36"/>
          <w:rtl/>
        </w:rPr>
        <w:t>7-</w:t>
      </w:r>
      <w:r w:rsidR="00860401" w:rsidRPr="00FD211F">
        <w:rPr>
          <w:sz w:val="36"/>
          <w:szCs w:val="36"/>
          <w:rtl/>
        </w:rPr>
        <w:t xml:space="preserve"> </w:t>
      </w:r>
      <w:r w:rsidRPr="00FD211F">
        <w:rPr>
          <w:sz w:val="36"/>
          <w:szCs w:val="36"/>
          <w:rtl/>
        </w:rPr>
        <w:t xml:space="preserve">العلاقة بين الحكم التكليفي والوضعي </w:t>
      </w:r>
      <w:r w:rsidR="00A34AEC" w:rsidRPr="00FD211F">
        <w:rPr>
          <w:sz w:val="36"/>
          <w:szCs w:val="36"/>
          <w:rtl/>
        </w:rPr>
        <w:t xml:space="preserve">حيث اختار جماعة أن </w:t>
      </w:r>
      <w:r w:rsidR="00B66FDB" w:rsidRPr="00FD211F">
        <w:rPr>
          <w:sz w:val="36"/>
          <w:szCs w:val="36"/>
          <w:rtl/>
        </w:rPr>
        <w:t>الحكم الوضعي</w:t>
      </w:r>
      <w:r w:rsidR="00A34AEC" w:rsidRPr="00FD211F">
        <w:rPr>
          <w:sz w:val="36"/>
          <w:szCs w:val="36"/>
          <w:rtl/>
        </w:rPr>
        <w:t xml:space="preserve"> في بعض اقسامه</w:t>
      </w:r>
      <w:r w:rsidR="00B66FDB" w:rsidRPr="00FD211F">
        <w:rPr>
          <w:sz w:val="36"/>
          <w:szCs w:val="36"/>
          <w:rtl/>
        </w:rPr>
        <w:t xml:space="preserve"> ينتزع من الحكم التكليفي </w:t>
      </w:r>
      <w:r w:rsidR="00CC6B28" w:rsidRPr="00FD211F">
        <w:rPr>
          <w:sz w:val="36"/>
          <w:szCs w:val="36"/>
          <w:rtl/>
        </w:rPr>
        <w:t>او</w:t>
      </w:r>
      <w:r w:rsidR="00A34AEC" w:rsidRPr="00FD211F">
        <w:rPr>
          <w:sz w:val="36"/>
          <w:szCs w:val="36"/>
          <w:rtl/>
        </w:rPr>
        <w:t xml:space="preserve">ينتزع منه </w:t>
      </w:r>
      <w:r w:rsidR="00B66FDB" w:rsidRPr="00FD211F">
        <w:rPr>
          <w:sz w:val="36"/>
          <w:szCs w:val="36"/>
          <w:rtl/>
        </w:rPr>
        <w:t>مطلقا كما عليه الشيخ الاعظم "قده"او ان الحكم التكليفي ينتزع من الحكم الوضعي كما ذهب اليه السيد الش</w:t>
      </w:r>
      <w:r w:rsidR="00052A58" w:rsidRPr="00FD211F">
        <w:rPr>
          <w:sz w:val="36"/>
          <w:szCs w:val="36"/>
          <w:rtl/>
        </w:rPr>
        <w:t>اهرودي "قده"او أن بينهما</w:t>
      </w:r>
      <w:r w:rsidR="00CC6B28" w:rsidRPr="00FD211F">
        <w:rPr>
          <w:sz w:val="36"/>
          <w:szCs w:val="36"/>
          <w:rtl/>
        </w:rPr>
        <w:t xml:space="preserve"> عينية</w:t>
      </w:r>
      <w:r w:rsidR="00052A58" w:rsidRPr="00FD211F">
        <w:rPr>
          <w:sz w:val="36"/>
          <w:szCs w:val="36"/>
          <w:rtl/>
        </w:rPr>
        <w:t xml:space="preserve"> حيث أن الحكم الوضعي م</w:t>
      </w:r>
      <w:r w:rsidR="00B66FDB" w:rsidRPr="00FD211F">
        <w:rPr>
          <w:sz w:val="36"/>
          <w:szCs w:val="36"/>
          <w:rtl/>
        </w:rPr>
        <w:t xml:space="preserve">ستبطن </w:t>
      </w:r>
      <w:r w:rsidR="00052A58" w:rsidRPr="00FD211F">
        <w:rPr>
          <w:sz w:val="36"/>
          <w:szCs w:val="36"/>
          <w:rtl/>
        </w:rPr>
        <w:t xml:space="preserve">بنحو الاندماج </w:t>
      </w:r>
      <w:r w:rsidR="00B66FDB" w:rsidRPr="00FD211F">
        <w:rPr>
          <w:sz w:val="36"/>
          <w:szCs w:val="36"/>
          <w:rtl/>
        </w:rPr>
        <w:t>ل</w:t>
      </w:r>
      <w:r w:rsidR="00052A58" w:rsidRPr="00FD211F">
        <w:rPr>
          <w:sz w:val="36"/>
          <w:szCs w:val="36"/>
          <w:rtl/>
        </w:rPr>
        <w:t>ل</w:t>
      </w:r>
      <w:r w:rsidR="00B66FDB" w:rsidRPr="00FD211F">
        <w:rPr>
          <w:sz w:val="36"/>
          <w:szCs w:val="36"/>
          <w:rtl/>
        </w:rPr>
        <w:t xml:space="preserve">حكم التكليفي </w:t>
      </w:r>
      <w:r w:rsidR="00CC6B28" w:rsidRPr="00FD211F">
        <w:rPr>
          <w:sz w:val="36"/>
          <w:szCs w:val="36"/>
          <w:rtl/>
        </w:rPr>
        <w:t>ف</w:t>
      </w:r>
      <w:r w:rsidR="00052A58" w:rsidRPr="00FD211F">
        <w:rPr>
          <w:sz w:val="36"/>
          <w:szCs w:val="36"/>
          <w:rtl/>
        </w:rPr>
        <w:t xml:space="preserve">ملكية </w:t>
      </w:r>
      <w:r w:rsidR="00CC6B28" w:rsidRPr="00FD211F">
        <w:rPr>
          <w:sz w:val="36"/>
          <w:szCs w:val="36"/>
          <w:rtl/>
        </w:rPr>
        <w:t xml:space="preserve">الشخص </w:t>
      </w:r>
      <w:r w:rsidR="00052A58" w:rsidRPr="00FD211F">
        <w:rPr>
          <w:sz w:val="36"/>
          <w:szCs w:val="36"/>
          <w:rtl/>
        </w:rPr>
        <w:t>تستبطن حرمة تصرف الغير بدون اذنه</w:t>
      </w:r>
      <w:r w:rsidR="00A34AEC" w:rsidRPr="00FD211F">
        <w:rPr>
          <w:sz w:val="36"/>
          <w:szCs w:val="36"/>
          <w:rtl/>
        </w:rPr>
        <w:t>.</w:t>
      </w:r>
    </w:p>
    <w:p w14:paraId="7049D892" w14:textId="77777777" w:rsidR="002A0D83" w:rsidRPr="00FD211F" w:rsidRDefault="00A34AEC" w:rsidP="009C58C8">
      <w:pPr>
        <w:ind w:left="0" w:firstLine="227"/>
        <w:jc w:val="both"/>
        <w:rPr>
          <w:sz w:val="36"/>
          <w:szCs w:val="36"/>
          <w:rtl/>
        </w:rPr>
      </w:pPr>
      <w:r w:rsidRPr="00FD211F">
        <w:rPr>
          <w:sz w:val="36"/>
          <w:szCs w:val="36"/>
          <w:rtl/>
        </w:rPr>
        <w:t xml:space="preserve">وهكذا العلاقة بين الاحكام التكليفية نفسها </w:t>
      </w:r>
      <w:r w:rsidR="002A0D83" w:rsidRPr="00FD211F">
        <w:rPr>
          <w:sz w:val="36"/>
          <w:szCs w:val="36"/>
          <w:rtl/>
        </w:rPr>
        <w:t>فقد تكون علاقة تلازم كوجوب ال</w:t>
      </w:r>
      <w:r w:rsidR="00251CB6" w:rsidRPr="00FD211F">
        <w:rPr>
          <w:sz w:val="36"/>
          <w:szCs w:val="36"/>
          <w:rtl/>
        </w:rPr>
        <w:t xml:space="preserve">شيء </w:t>
      </w:r>
      <w:r w:rsidR="002A0D83" w:rsidRPr="00FD211F">
        <w:rPr>
          <w:sz w:val="36"/>
          <w:szCs w:val="36"/>
          <w:rtl/>
        </w:rPr>
        <w:t>ووجوب مقدمته او وجوب ال</w:t>
      </w:r>
      <w:r w:rsidR="00251CB6" w:rsidRPr="00FD211F">
        <w:rPr>
          <w:sz w:val="36"/>
          <w:szCs w:val="36"/>
          <w:rtl/>
        </w:rPr>
        <w:t xml:space="preserve">شيء </w:t>
      </w:r>
      <w:r w:rsidR="002A0D83" w:rsidRPr="00FD211F">
        <w:rPr>
          <w:sz w:val="36"/>
          <w:szCs w:val="36"/>
          <w:rtl/>
        </w:rPr>
        <w:t>وحرمة ضده وقدتكون علاقة تضاد</w:t>
      </w:r>
      <w:r w:rsidR="00C774D9" w:rsidRPr="00FD211F">
        <w:rPr>
          <w:sz w:val="36"/>
          <w:szCs w:val="36"/>
          <w:rtl/>
        </w:rPr>
        <w:t>.</w:t>
      </w:r>
    </w:p>
    <w:p w14:paraId="5C0656C5" w14:textId="77777777" w:rsidR="00D12293" w:rsidRPr="00FD211F" w:rsidRDefault="002A0D83" w:rsidP="009C58C8">
      <w:pPr>
        <w:ind w:left="0" w:firstLine="227"/>
        <w:jc w:val="both"/>
        <w:rPr>
          <w:sz w:val="36"/>
          <w:szCs w:val="36"/>
          <w:rtl/>
        </w:rPr>
      </w:pPr>
      <w:r w:rsidRPr="00FD211F">
        <w:rPr>
          <w:sz w:val="36"/>
          <w:szCs w:val="36"/>
          <w:rtl/>
        </w:rPr>
        <w:t>8-</w:t>
      </w:r>
      <w:r w:rsidR="00860401" w:rsidRPr="00FD211F">
        <w:rPr>
          <w:sz w:val="36"/>
          <w:szCs w:val="36"/>
          <w:rtl/>
        </w:rPr>
        <w:t xml:space="preserve"> </w:t>
      </w:r>
      <w:r w:rsidRPr="00FD211F">
        <w:rPr>
          <w:sz w:val="36"/>
          <w:szCs w:val="36"/>
          <w:rtl/>
        </w:rPr>
        <w:t>اقسام القانون التكليفي والوضعي</w:t>
      </w:r>
      <w:r w:rsidR="00603323" w:rsidRPr="00FD211F">
        <w:rPr>
          <w:sz w:val="36"/>
          <w:szCs w:val="36"/>
          <w:rtl/>
        </w:rPr>
        <w:t xml:space="preserve">، </w:t>
      </w:r>
      <w:r w:rsidRPr="00FD211F">
        <w:rPr>
          <w:sz w:val="36"/>
          <w:szCs w:val="36"/>
          <w:rtl/>
        </w:rPr>
        <w:t>فالقانون التكليفي ينقسم الى احكام خمسة</w:t>
      </w:r>
      <w:r w:rsidR="00603323" w:rsidRPr="00FD211F">
        <w:rPr>
          <w:sz w:val="36"/>
          <w:szCs w:val="36"/>
          <w:rtl/>
        </w:rPr>
        <w:t xml:space="preserve">، </w:t>
      </w:r>
      <w:r w:rsidRPr="00FD211F">
        <w:rPr>
          <w:sz w:val="36"/>
          <w:szCs w:val="36"/>
          <w:rtl/>
        </w:rPr>
        <w:t>وينقسم الوجوب الى التعييني والتخييري</w:t>
      </w:r>
      <w:r w:rsidR="00603323" w:rsidRPr="00FD211F">
        <w:rPr>
          <w:sz w:val="36"/>
          <w:szCs w:val="36"/>
          <w:rtl/>
        </w:rPr>
        <w:t xml:space="preserve">، </w:t>
      </w:r>
      <w:r w:rsidRPr="00FD211F">
        <w:rPr>
          <w:sz w:val="36"/>
          <w:szCs w:val="36"/>
          <w:rtl/>
        </w:rPr>
        <w:t>والعيني والكفائي</w:t>
      </w:r>
      <w:r w:rsidR="00603323" w:rsidRPr="00FD211F">
        <w:rPr>
          <w:sz w:val="36"/>
          <w:szCs w:val="36"/>
          <w:rtl/>
        </w:rPr>
        <w:t xml:space="preserve">، </w:t>
      </w:r>
      <w:r w:rsidRPr="00FD211F">
        <w:rPr>
          <w:sz w:val="36"/>
          <w:szCs w:val="36"/>
          <w:rtl/>
        </w:rPr>
        <w:t>والتعبدي والتوصلي</w:t>
      </w:r>
      <w:r w:rsidR="00603323" w:rsidRPr="00FD211F">
        <w:rPr>
          <w:sz w:val="36"/>
          <w:szCs w:val="36"/>
          <w:rtl/>
        </w:rPr>
        <w:t xml:space="preserve">، </w:t>
      </w:r>
      <w:r w:rsidRPr="00FD211F">
        <w:rPr>
          <w:sz w:val="36"/>
          <w:szCs w:val="36"/>
          <w:rtl/>
        </w:rPr>
        <w:t>والمباح الى الاقتضائي واللااقتضائي</w:t>
      </w:r>
      <w:r w:rsidR="00603323" w:rsidRPr="00FD211F">
        <w:rPr>
          <w:sz w:val="36"/>
          <w:szCs w:val="36"/>
          <w:rtl/>
        </w:rPr>
        <w:t xml:space="preserve">، </w:t>
      </w:r>
      <w:r w:rsidRPr="00FD211F">
        <w:rPr>
          <w:sz w:val="36"/>
          <w:szCs w:val="36"/>
          <w:rtl/>
        </w:rPr>
        <w:t xml:space="preserve">كما ينقسم الالزام </w:t>
      </w:r>
      <w:r w:rsidR="00D12293" w:rsidRPr="00FD211F">
        <w:rPr>
          <w:sz w:val="36"/>
          <w:szCs w:val="36"/>
          <w:rtl/>
        </w:rPr>
        <w:t>بشكل</w:t>
      </w:r>
      <w:r w:rsidRPr="00FD211F">
        <w:rPr>
          <w:sz w:val="36"/>
          <w:szCs w:val="36"/>
          <w:rtl/>
        </w:rPr>
        <w:t xml:space="preserve"> عام الى</w:t>
      </w:r>
      <w:r w:rsidR="00D12293" w:rsidRPr="00FD211F">
        <w:rPr>
          <w:sz w:val="36"/>
          <w:szCs w:val="36"/>
          <w:rtl/>
        </w:rPr>
        <w:t xml:space="preserve"> الالزام النفسي والغيري والطريقي كما ينقسم الى مولوي وارشادي</w:t>
      </w:r>
      <w:r w:rsidR="00C774D9" w:rsidRPr="00FD211F">
        <w:rPr>
          <w:sz w:val="36"/>
          <w:szCs w:val="36"/>
          <w:rtl/>
        </w:rPr>
        <w:t>.</w:t>
      </w:r>
    </w:p>
    <w:p w14:paraId="7A3BAC8A" w14:textId="77777777" w:rsidR="004B4DB1" w:rsidRPr="00FD211F" w:rsidRDefault="00D12293" w:rsidP="009C58C8">
      <w:pPr>
        <w:ind w:left="0" w:firstLine="227"/>
        <w:jc w:val="both"/>
        <w:rPr>
          <w:sz w:val="36"/>
          <w:szCs w:val="36"/>
          <w:rtl/>
        </w:rPr>
      </w:pPr>
      <w:r w:rsidRPr="00FD211F">
        <w:rPr>
          <w:sz w:val="36"/>
          <w:szCs w:val="36"/>
          <w:rtl/>
        </w:rPr>
        <w:t>وينقسم القانون الوضعي عدة تقسيمات</w:t>
      </w:r>
      <w:r w:rsidR="00603323" w:rsidRPr="00FD211F">
        <w:rPr>
          <w:sz w:val="36"/>
          <w:szCs w:val="36"/>
          <w:rtl/>
        </w:rPr>
        <w:t xml:space="preserve">، </w:t>
      </w:r>
      <w:r w:rsidRPr="00FD211F">
        <w:rPr>
          <w:sz w:val="36"/>
          <w:szCs w:val="36"/>
          <w:rtl/>
        </w:rPr>
        <w:t>منها انقسامه الى الحق والحكم فماهو الفارق بينهما فهل هما متغايران كما هو الصحيح ام متحدان كما ذهب اليه السيد الخوئي "قده"</w:t>
      </w:r>
      <w:r w:rsidR="00860401" w:rsidRPr="00FD211F">
        <w:rPr>
          <w:sz w:val="36"/>
          <w:szCs w:val="36"/>
          <w:rtl/>
        </w:rPr>
        <w:t xml:space="preserve"> </w:t>
      </w:r>
      <w:r w:rsidRPr="00FD211F">
        <w:rPr>
          <w:sz w:val="36"/>
          <w:szCs w:val="36"/>
          <w:rtl/>
        </w:rPr>
        <w:t>فهذا البحث ليس من البحوث الفقهية بل هو من المبادئ التصورية لعلم الفقه</w:t>
      </w:r>
      <w:r w:rsidR="00603323" w:rsidRPr="00FD211F">
        <w:rPr>
          <w:sz w:val="36"/>
          <w:szCs w:val="36"/>
          <w:rtl/>
        </w:rPr>
        <w:t xml:space="preserve">، </w:t>
      </w:r>
      <w:r w:rsidRPr="00FD211F">
        <w:rPr>
          <w:sz w:val="36"/>
          <w:szCs w:val="36"/>
          <w:rtl/>
        </w:rPr>
        <w:t xml:space="preserve">ونحن نطرحه </w:t>
      </w:r>
      <w:r w:rsidR="004B4DB1" w:rsidRPr="00FD211F">
        <w:rPr>
          <w:sz w:val="36"/>
          <w:szCs w:val="36"/>
          <w:rtl/>
        </w:rPr>
        <w:t>في ابحاث علم الاصول لانه من اقسام الاعتبار القانوني</w:t>
      </w:r>
      <w:r w:rsidR="00603323" w:rsidRPr="00FD211F">
        <w:rPr>
          <w:sz w:val="36"/>
          <w:szCs w:val="36"/>
          <w:rtl/>
        </w:rPr>
        <w:t xml:space="preserve">، </w:t>
      </w:r>
      <w:r w:rsidR="004B4DB1" w:rsidRPr="00FD211F">
        <w:rPr>
          <w:sz w:val="36"/>
          <w:szCs w:val="36"/>
          <w:rtl/>
        </w:rPr>
        <w:t>مضافا الى أن الفرق بين البحث الاصولي والفقهي ان البحث الاصولي يبحث عن النظرية والبحث الفقهي يبحث عن تطبيقاتها فكما صح في الاصول البحث عن حقيقة الوجوب العيني والكفائي كذلك يصح البحث عن حقيقة الحق والفارق بينه وبين الحكم</w:t>
      </w:r>
      <w:r w:rsidR="00C774D9" w:rsidRPr="00FD211F">
        <w:rPr>
          <w:sz w:val="36"/>
          <w:szCs w:val="36"/>
          <w:rtl/>
        </w:rPr>
        <w:t>.</w:t>
      </w:r>
    </w:p>
    <w:p w14:paraId="5E571654" w14:textId="77777777" w:rsidR="00290198" w:rsidRPr="00FD211F" w:rsidRDefault="00290198" w:rsidP="009C58C8">
      <w:pPr>
        <w:ind w:left="0" w:firstLine="227"/>
        <w:jc w:val="both"/>
        <w:rPr>
          <w:sz w:val="36"/>
          <w:szCs w:val="36"/>
          <w:rtl/>
        </w:rPr>
      </w:pPr>
      <w:r w:rsidRPr="00FD211F">
        <w:rPr>
          <w:sz w:val="36"/>
          <w:szCs w:val="36"/>
          <w:rtl/>
        </w:rPr>
        <w:t>9-عوارض الاعتبار</w:t>
      </w:r>
      <w:r w:rsidR="004B4DB1" w:rsidRPr="00FD211F">
        <w:rPr>
          <w:sz w:val="36"/>
          <w:szCs w:val="36"/>
          <w:rtl/>
        </w:rPr>
        <w:t xml:space="preserve"> القانوني</w:t>
      </w:r>
      <w:r w:rsidR="00603323" w:rsidRPr="00FD211F">
        <w:rPr>
          <w:sz w:val="36"/>
          <w:szCs w:val="36"/>
          <w:rtl/>
        </w:rPr>
        <w:t xml:space="preserve">، </w:t>
      </w:r>
      <w:r w:rsidR="007679B5" w:rsidRPr="00FD211F">
        <w:rPr>
          <w:sz w:val="36"/>
          <w:szCs w:val="36"/>
          <w:rtl/>
        </w:rPr>
        <w:t>فمن عوارضه اربع صفات</w:t>
      </w:r>
      <w:r w:rsidR="00856647" w:rsidRPr="00FD211F">
        <w:rPr>
          <w:sz w:val="36"/>
          <w:szCs w:val="36"/>
          <w:rtl/>
        </w:rPr>
        <w:t>:</w:t>
      </w:r>
    </w:p>
    <w:p w14:paraId="4E007972" w14:textId="77777777" w:rsidR="007679B5" w:rsidRPr="00FD211F" w:rsidRDefault="00860401" w:rsidP="009C58C8">
      <w:pPr>
        <w:ind w:left="0" w:firstLine="227"/>
        <w:jc w:val="both"/>
        <w:rPr>
          <w:sz w:val="36"/>
          <w:szCs w:val="36"/>
          <w:rtl/>
        </w:rPr>
      </w:pPr>
      <w:r w:rsidRPr="00FD211F">
        <w:rPr>
          <w:sz w:val="36"/>
          <w:szCs w:val="36"/>
          <w:rtl/>
        </w:rPr>
        <w:t>أ</w:t>
      </w:r>
      <w:r w:rsidR="00290198" w:rsidRPr="00FD211F">
        <w:rPr>
          <w:sz w:val="36"/>
          <w:szCs w:val="36"/>
          <w:rtl/>
        </w:rPr>
        <w:t>-</w:t>
      </w:r>
      <w:r w:rsidRPr="00FD211F">
        <w:rPr>
          <w:sz w:val="36"/>
          <w:szCs w:val="36"/>
          <w:rtl/>
        </w:rPr>
        <w:t xml:space="preserve"> </w:t>
      </w:r>
      <w:r w:rsidR="00290198" w:rsidRPr="00FD211F">
        <w:rPr>
          <w:sz w:val="36"/>
          <w:szCs w:val="36"/>
          <w:rtl/>
        </w:rPr>
        <w:t>الاطلاق والتقييدالثبوتيين وأن التقابل بينهما تقابل التضاد او السلب والايجاب او العدم والملكة</w:t>
      </w:r>
      <w:r w:rsidR="00603323" w:rsidRPr="00FD211F">
        <w:rPr>
          <w:sz w:val="36"/>
          <w:szCs w:val="36"/>
          <w:rtl/>
        </w:rPr>
        <w:t xml:space="preserve">، </w:t>
      </w:r>
      <w:r w:rsidR="00290198" w:rsidRPr="00FD211F">
        <w:rPr>
          <w:sz w:val="36"/>
          <w:szCs w:val="36"/>
          <w:rtl/>
        </w:rPr>
        <w:t>فكل هذا بحث عن عوارض القانون.</w:t>
      </w:r>
      <w:r w:rsidR="00C7588D" w:rsidRPr="00FD211F">
        <w:rPr>
          <w:sz w:val="36"/>
          <w:szCs w:val="36"/>
          <w:rtl/>
        </w:rPr>
        <w:t xml:space="preserve"> </w:t>
      </w:r>
    </w:p>
    <w:p w14:paraId="033FD798" w14:textId="77777777" w:rsidR="00290198" w:rsidRPr="00FD211F" w:rsidRDefault="00290198" w:rsidP="009C58C8">
      <w:pPr>
        <w:ind w:left="0" w:firstLine="227"/>
        <w:jc w:val="both"/>
        <w:rPr>
          <w:sz w:val="36"/>
          <w:szCs w:val="36"/>
          <w:rtl/>
        </w:rPr>
      </w:pPr>
      <w:r w:rsidRPr="00FD211F">
        <w:rPr>
          <w:sz w:val="36"/>
          <w:szCs w:val="36"/>
          <w:rtl/>
        </w:rPr>
        <w:t>ب-</w:t>
      </w:r>
      <w:r w:rsidR="00860401" w:rsidRPr="00FD211F">
        <w:rPr>
          <w:sz w:val="36"/>
          <w:szCs w:val="36"/>
          <w:rtl/>
        </w:rPr>
        <w:t xml:space="preserve"> </w:t>
      </w:r>
      <w:r w:rsidR="007679B5" w:rsidRPr="00FD211F">
        <w:rPr>
          <w:sz w:val="36"/>
          <w:szCs w:val="36"/>
          <w:rtl/>
        </w:rPr>
        <w:t>التضاد بين الاحكام الخمسة ويتفرع عليه البحث حول امكان اجتماع الامر والنهي وامتناعه</w:t>
      </w:r>
      <w:r w:rsidR="00603323" w:rsidRPr="00FD211F">
        <w:rPr>
          <w:sz w:val="36"/>
          <w:szCs w:val="36"/>
          <w:rtl/>
        </w:rPr>
        <w:t xml:space="preserve">، </w:t>
      </w:r>
      <w:r w:rsidR="007679B5" w:rsidRPr="00FD211F">
        <w:rPr>
          <w:sz w:val="36"/>
          <w:szCs w:val="36"/>
          <w:rtl/>
        </w:rPr>
        <w:t xml:space="preserve">وكدا البحث حول كيفية الجمع بين الحكم </w:t>
      </w:r>
      <w:r w:rsidRPr="00FD211F">
        <w:rPr>
          <w:sz w:val="36"/>
          <w:szCs w:val="36"/>
          <w:rtl/>
        </w:rPr>
        <w:t>الظاهري والواقعي مع تضادهما.</w:t>
      </w:r>
    </w:p>
    <w:p w14:paraId="433E9924" w14:textId="77777777" w:rsidR="00290198" w:rsidRPr="00FD211F" w:rsidRDefault="00290198" w:rsidP="009C58C8">
      <w:pPr>
        <w:ind w:left="0" w:firstLine="227"/>
        <w:jc w:val="both"/>
        <w:rPr>
          <w:sz w:val="36"/>
          <w:szCs w:val="36"/>
          <w:rtl/>
        </w:rPr>
      </w:pPr>
      <w:r w:rsidRPr="00FD211F">
        <w:rPr>
          <w:sz w:val="36"/>
          <w:szCs w:val="36"/>
          <w:rtl/>
        </w:rPr>
        <w:t>ج-</w:t>
      </w:r>
      <w:r w:rsidR="00860401" w:rsidRPr="00FD211F">
        <w:rPr>
          <w:sz w:val="36"/>
          <w:szCs w:val="36"/>
          <w:rtl/>
        </w:rPr>
        <w:t xml:space="preserve"> </w:t>
      </w:r>
      <w:r w:rsidRPr="00FD211F">
        <w:rPr>
          <w:sz w:val="36"/>
          <w:szCs w:val="36"/>
          <w:rtl/>
        </w:rPr>
        <w:t>البساطة والتركيب</w:t>
      </w:r>
      <w:r w:rsidR="00603323" w:rsidRPr="00FD211F">
        <w:rPr>
          <w:sz w:val="36"/>
          <w:szCs w:val="36"/>
          <w:rtl/>
        </w:rPr>
        <w:t xml:space="preserve">، </w:t>
      </w:r>
      <w:r w:rsidRPr="00FD211F">
        <w:rPr>
          <w:sz w:val="36"/>
          <w:szCs w:val="36"/>
          <w:rtl/>
        </w:rPr>
        <w:t>حيث يبحث في علم الاصول حول بعض الاعتبارات القانونية كالوجوب أنه بسيط او مركب</w:t>
      </w:r>
      <w:r w:rsidR="00C774D9" w:rsidRPr="00FD211F">
        <w:rPr>
          <w:sz w:val="36"/>
          <w:szCs w:val="36"/>
          <w:rtl/>
        </w:rPr>
        <w:t>.</w:t>
      </w:r>
    </w:p>
    <w:p w14:paraId="5385D963" w14:textId="77777777" w:rsidR="00413ECB" w:rsidRPr="00FD211F" w:rsidRDefault="00290198" w:rsidP="009C58C8">
      <w:pPr>
        <w:ind w:left="0" w:firstLine="227"/>
        <w:jc w:val="both"/>
        <w:rPr>
          <w:sz w:val="36"/>
          <w:szCs w:val="36"/>
          <w:rtl/>
        </w:rPr>
      </w:pPr>
      <w:r w:rsidRPr="00FD211F">
        <w:rPr>
          <w:sz w:val="36"/>
          <w:szCs w:val="36"/>
          <w:rtl/>
        </w:rPr>
        <w:t>د-</w:t>
      </w:r>
      <w:r w:rsidR="00860401" w:rsidRPr="00FD211F">
        <w:rPr>
          <w:sz w:val="36"/>
          <w:szCs w:val="36"/>
          <w:rtl/>
        </w:rPr>
        <w:t xml:space="preserve"> </w:t>
      </w:r>
      <w:r w:rsidRPr="00FD211F">
        <w:rPr>
          <w:sz w:val="36"/>
          <w:szCs w:val="36"/>
          <w:rtl/>
        </w:rPr>
        <w:t>امكان الشدة والضعف فيه او استحالتهما</w:t>
      </w:r>
      <w:r w:rsidR="00C774D9" w:rsidRPr="00FD211F">
        <w:rPr>
          <w:sz w:val="36"/>
          <w:szCs w:val="36"/>
          <w:rtl/>
        </w:rPr>
        <w:t>.</w:t>
      </w:r>
    </w:p>
    <w:p w14:paraId="50F19D9B" w14:textId="77777777" w:rsidR="00413ECB" w:rsidRPr="00FD211F" w:rsidRDefault="00413ECB" w:rsidP="00860401">
      <w:pPr>
        <w:ind w:left="0" w:firstLine="227"/>
        <w:jc w:val="both"/>
        <w:rPr>
          <w:sz w:val="36"/>
          <w:szCs w:val="36"/>
          <w:rtl/>
        </w:rPr>
      </w:pPr>
      <w:r w:rsidRPr="00FD211F">
        <w:rPr>
          <w:sz w:val="36"/>
          <w:szCs w:val="36"/>
          <w:rtl/>
        </w:rPr>
        <w:t>10-وسائل ابراز الاعتبار القانوني</w:t>
      </w:r>
      <w:r w:rsidR="00603323" w:rsidRPr="00FD211F">
        <w:rPr>
          <w:sz w:val="36"/>
          <w:szCs w:val="36"/>
          <w:rtl/>
        </w:rPr>
        <w:t xml:space="preserve">، </w:t>
      </w:r>
      <w:r w:rsidRPr="00FD211F">
        <w:rPr>
          <w:sz w:val="36"/>
          <w:szCs w:val="36"/>
          <w:rtl/>
        </w:rPr>
        <w:t>وهو البحث عن صغريات أصالة الظهور كالبحث حول ظهور صيغة الامر ومادته</w:t>
      </w:r>
      <w:r w:rsidR="00603323" w:rsidRPr="00FD211F">
        <w:rPr>
          <w:sz w:val="36"/>
          <w:szCs w:val="36"/>
          <w:rtl/>
        </w:rPr>
        <w:t xml:space="preserve">، </w:t>
      </w:r>
      <w:r w:rsidRPr="00FD211F">
        <w:rPr>
          <w:sz w:val="36"/>
          <w:szCs w:val="36"/>
          <w:rtl/>
        </w:rPr>
        <w:t>ونحو ذلك.</w:t>
      </w:r>
    </w:p>
    <w:p w14:paraId="603819B3" w14:textId="77777777" w:rsidR="00413ECB" w:rsidRPr="00FD211F" w:rsidRDefault="00413ECB" w:rsidP="009C58C8">
      <w:pPr>
        <w:ind w:left="0" w:firstLine="227"/>
        <w:jc w:val="both"/>
        <w:rPr>
          <w:sz w:val="36"/>
          <w:szCs w:val="36"/>
          <w:rtl/>
        </w:rPr>
      </w:pPr>
      <w:r w:rsidRPr="00FD211F">
        <w:rPr>
          <w:sz w:val="36"/>
          <w:szCs w:val="36"/>
          <w:rtl/>
        </w:rPr>
        <w:t>11-وسائل استكشاف القانون</w:t>
      </w:r>
      <w:r w:rsidR="00C774D9" w:rsidRPr="00FD211F">
        <w:rPr>
          <w:sz w:val="36"/>
          <w:szCs w:val="36"/>
          <w:rtl/>
        </w:rPr>
        <w:t>.</w:t>
      </w:r>
    </w:p>
    <w:p w14:paraId="633ED26C" w14:textId="77777777" w:rsidR="00A27F39" w:rsidRPr="00FD211F" w:rsidRDefault="00413ECB" w:rsidP="009C58C8">
      <w:pPr>
        <w:ind w:left="0" w:firstLine="227"/>
        <w:jc w:val="both"/>
        <w:rPr>
          <w:sz w:val="36"/>
          <w:szCs w:val="36"/>
          <w:rtl/>
        </w:rPr>
      </w:pPr>
      <w:r w:rsidRPr="00FD211F">
        <w:rPr>
          <w:sz w:val="36"/>
          <w:szCs w:val="36"/>
          <w:rtl/>
        </w:rPr>
        <w:t xml:space="preserve">12-توثيق </w:t>
      </w:r>
      <w:r w:rsidR="008A2917" w:rsidRPr="00FD211F">
        <w:rPr>
          <w:sz w:val="36"/>
          <w:szCs w:val="36"/>
          <w:rtl/>
        </w:rPr>
        <w:t xml:space="preserve">تلك </w:t>
      </w:r>
      <w:r w:rsidRPr="00FD211F">
        <w:rPr>
          <w:sz w:val="36"/>
          <w:szCs w:val="36"/>
          <w:rtl/>
        </w:rPr>
        <w:t>الوسائل</w:t>
      </w:r>
      <w:r w:rsidR="008A2917" w:rsidRPr="00FD211F">
        <w:rPr>
          <w:sz w:val="36"/>
          <w:szCs w:val="36"/>
          <w:rtl/>
        </w:rPr>
        <w:t xml:space="preserve"> اي التأكد من ظهور الخطاب في القانون الكذائي </w:t>
      </w:r>
      <w:r w:rsidR="00A27F39" w:rsidRPr="00FD211F">
        <w:rPr>
          <w:sz w:val="36"/>
          <w:szCs w:val="36"/>
          <w:rtl/>
        </w:rPr>
        <w:t>ومن تبوت صدور ذاك الخطاب</w:t>
      </w:r>
      <w:r w:rsidR="00C7588D" w:rsidRPr="00FD211F">
        <w:rPr>
          <w:sz w:val="36"/>
          <w:szCs w:val="36"/>
          <w:rtl/>
        </w:rPr>
        <w:t xml:space="preserve"> </w:t>
      </w:r>
      <w:r w:rsidR="00A27F39" w:rsidRPr="00FD211F">
        <w:rPr>
          <w:sz w:val="36"/>
          <w:szCs w:val="36"/>
          <w:rtl/>
        </w:rPr>
        <w:t>بحجة وحينئذ وقع البحث عن حجية القطع وسائر الامارات</w:t>
      </w:r>
      <w:r w:rsidR="00C774D9" w:rsidRPr="00FD211F">
        <w:rPr>
          <w:sz w:val="36"/>
          <w:szCs w:val="36"/>
          <w:rtl/>
        </w:rPr>
        <w:t>.</w:t>
      </w:r>
    </w:p>
    <w:p w14:paraId="7C1B76BC" w14:textId="77777777" w:rsidR="00A27F39" w:rsidRPr="00FD211F" w:rsidRDefault="00A27F39" w:rsidP="009C58C8">
      <w:pPr>
        <w:ind w:left="0" w:firstLine="227"/>
        <w:jc w:val="both"/>
        <w:rPr>
          <w:sz w:val="36"/>
          <w:szCs w:val="36"/>
          <w:rtl/>
        </w:rPr>
      </w:pPr>
      <w:r w:rsidRPr="00FD211F">
        <w:rPr>
          <w:sz w:val="36"/>
          <w:szCs w:val="36"/>
          <w:rtl/>
        </w:rPr>
        <w:t>13-التعارض بين أدلة تلك الاعتبارات القانونية</w:t>
      </w:r>
      <w:r w:rsidR="00C774D9" w:rsidRPr="00FD211F">
        <w:rPr>
          <w:sz w:val="36"/>
          <w:szCs w:val="36"/>
          <w:rtl/>
        </w:rPr>
        <w:t>.</w:t>
      </w:r>
    </w:p>
    <w:p w14:paraId="44A71404" w14:textId="77777777" w:rsidR="00A27F39" w:rsidRPr="00FD211F" w:rsidRDefault="00A27F39" w:rsidP="009C58C8">
      <w:pPr>
        <w:ind w:left="0" w:firstLine="227"/>
        <w:jc w:val="both"/>
        <w:rPr>
          <w:sz w:val="36"/>
          <w:szCs w:val="36"/>
          <w:rtl/>
        </w:rPr>
      </w:pPr>
      <w:r w:rsidRPr="00FD211F">
        <w:rPr>
          <w:sz w:val="36"/>
          <w:szCs w:val="36"/>
          <w:rtl/>
        </w:rPr>
        <w:t>14 التنافي بين القوانين في مقام العمل</w:t>
      </w:r>
      <w:r w:rsidR="00603323" w:rsidRPr="00FD211F">
        <w:rPr>
          <w:sz w:val="36"/>
          <w:szCs w:val="36"/>
          <w:rtl/>
        </w:rPr>
        <w:t xml:space="preserve">، </w:t>
      </w:r>
      <w:r w:rsidRPr="00FD211F">
        <w:rPr>
          <w:sz w:val="36"/>
          <w:szCs w:val="36"/>
          <w:rtl/>
        </w:rPr>
        <w:t>وهذا هو بحث التزاحم</w:t>
      </w:r>
      <w:r w:rsidR="00C774D9" w:rsidRPr="00FD211F">
        <w:rPr>
          <w:sz w:val="36"/>
          <w:szCs w:val="36"/>
          <w:rtl/>
        </w:rPr>
        <w:t>.</w:t>
      </w:r>
    </w:p>
    <w:p w14:paraId="58B7B1E5" w14:textId="77777777" w:rsidR="00CE58CF" w:rsidRPr="00FD211F" w:rsidRDefault="00A27F39" w:rsidP="00860401">
      <w:pPr>
        <w:ind w:left="0" w:firstLine="227"/>
        <w:jc w:val="both"/>
        <w:rPr>
          <w:sz w:val="36"/>
          <w:szCs w:val="36"/>
          <w:rtl/>
        </w:rPr>
      </w:pPr>
      <w:r w:rsidRPr="00FD211F">
        <w:rPr>
          <w:sz w:val="36"/>
          <w:szCs w:val="36"/>
          <w:rtl/>
        </w:rPr>
        <w:t>15-تعيين القانون عند قصور الوسيلة</w:t>
      </w:r>
      <w:r w:rsidR="00603323" w:rsidRPr="00FD211F">
        <w:rPr>
          <w:sz w:val="36"/>
          <w:szCs w:val="36"/>
          <w:rtl/>
        </w:rPr>
        <w:t xml:space="preserve">، </w:t>
      </w:r>
      <w:r w:rsidRPr="00FD211F">
        <w:rPr>
          <w:sz w:val="36"/>
          <w:szCs w:val="36"/>
          <w:rtl/>
        </w:rPr>
        <w:t>وهذاهو بحث الاصول العملية.</w:t>
      </w:r>
      <w:r w:rsidR="009C58C8" w:rsidRPr="00FD211F">
        <w:rPr>
          <w:rStyle w:val="a6"/>
          <w:sz w:val="36"/>
          <w:szCs w:val="36"/>
          <w:rtl/>
        </w:rPr>
        <w:t>(</w:t>
      </w:r>
      <w:r w:rsidR="009C58C8" w:rsidRPr="00FD211F">
        <w:rPr>
          <w:rStyle w:val="a6"/>
          <w:sz w:val="36"/>
          <w:szCs w:val="36"/>
          <w:rtl/>
        </w:rPr>
        <w:footnoteReference w:id="96"/>
      </w:r>
      <w:r w:rsidR="009C58C8" w:rsidRPr="00FD211F">
        <w:rPr>
          <w:rStyle w:val="a6"/>
          <w:sz w:val="36"/>
          <w:szCs w:val="36"/>
          <w:rtl/>
        </w:rPr>
        <w:t>)</w:t>
      </w:r>
      <w:r w:rsidR="00290198" w:rsidRPr="00FD211F">
        <w:rPr>
          <w:sz w:val="36"/>
          <w:szCs w:val="36"/>
          <w:rtl/>
        </w:rPr>
        <w:t xml:space="preserve"> </w:t>
      </w:r>
    </w:p>
    <w:p w14:paraId="1A30933B" w14:textId="77777777" w:rsidR="00290198" w:rsidRPr="00FD211F" w:rsidRDefault="00CE58CF" w:rsidP="00C7588D">
      <w:pPr>
        <w:ind w:left="0" w:firstLine="227"/>
        <w:jc w:val="both"/>
        <w:rPr>
          <w:sz w:val="36"/>
          <w:szCs w:val="36"/>
          <w:rtl/>
        </w:rPr>
      </w:pPr>
      <w:r w:rsidRPr="00FD211F">
        <w:rPr>
          <w:sz w:val="36"/>
          <w:szCs w:val="36"/>
          <w:rtl/>
        </w:rPr>
        <w:t>اقول:</w:t>
      </w:r>
      <w:r w:rsidR="00C7588D" w:rsidRPr="00FD211F">
        <w:rPr>
          <w:sz w:val="36"/>
          <w:szCs w:val="36"/>
          <w:rtl/>
        </w:rPr>
        <w:t xml:space="preserve"> </w:t>
      </w:r>
      <w:r w:rsidRPr="00FD211F">
        <w:rPr>
          <w:sz w:val="36"/>
          <w:szCs w:val="36"/>
          <w:rtl/>
        </w:rPr>
        <w:t>اذاكان موضوع علم الاصول هوالحجة في الفقه كما</w:t>
      </w:r>
      <w:r w:rsidR="0099376E" w:rsidRPr="00FD211F">
        <w:rPr>
          <w:sz w:val="36"/>
          <w:szCs w:val="36"/>
          <w:rtl/>
        </w:rPr>
        <w:t xml:space="preserve"> </w:t>
      </w:r>
      <w:r w:rsidRPr="00FD211F">
        <w:rPr>
          <w:sz w:val="36"/>
          <w:szCs w:val="36"/>
          <w:rtl/>
        </w:rPr>
        <w:t>ذكره</w:t>
      </w:r>
      <w:r w:rsidR="0099376E" w:rsidRPr="00FD211F">
        <w:rPr>
          <w:sz w:val="36"/>
          <w:szCs w:val="36"/>
          <w:rtl/>
        </w:rPr>
        <w:t xml:space="preserve"> </w:t>
      </w:r>
      <w:r w:rsidRPr="00FD211F">
        <w:rPr>
          <w:sz w:val="36"/>
          <w:szCs w:val="36"/>
          <w:rtl/>
        </w:rPr>
        <w:t>"دام ظله"</w:t>
      </w:r>
      <w:r w:rsidR="0099376E" w:rsidRPr="00FD211F">
        <w:rPr>
          <w:sz w:val="36"/>
          <w:szCs w:val="36"/>
          <w:rtl/>
        </w:rPr>
        <w:t xml:space="preserve"> </w:t>
      </w:r>
      <w:r w:rsidRPr="00FD211F">
        <w:rPr>
          <w:sz w:val="36"/>
          <w:szCs w:val="36"/>
          <w:rtl/>
        </w:rPr>
        <w:t xml:space="preserve">فلابد أن يكون البحث في علم الاصول عن شؤونها وعوارضها </w:t>
      </w:r>
      <w:r w:rsidR="00D13F89" w:rsidRPr="00FD211F">
        <w:rPr>
          <w:sz w:val="36"/>
          <w:szCs w:val="36"/>
          <w:rtl/>
        </w:rPr>
        <w:t>لا عن عوارض الحكم الشرعي</w:t>
      </w:r>
      <w:r w:rsidR="00603323" w:rsidRPr="00FD211F">
        <w:rPr>
          <w:sz w:val="36"/>
          <w:szCs w:val="36"/>
          <w:rtl/>
        </w:rPr>
        <w:t xml:space="preserve">، </w:t>
      </w:r>
      <w:r w:rsidR="00D13F89" w:rsidRPr="00FD211F">
        <w:rPr>
          <w:sz w:val="36"/>
          <w:szCs w:val="36"/>
          <w:rtl/>
        </w:rPr>
        <w:t>وما ذكره من أنه يبحث في علم الاصول عن المبادئ التصديقية لعلم الفقه</w:t>
      </w:r>
      <w:r w:rsidR="00603323" w:rsidRPr="00FD211F">
        <w:rPr>
          <w:sz w:val="36"/>
          <w:szCs w:val="36"/>
          <w:rtl/>
        </w:rPr>
        <w:t xml:space="preserve">، </w:t>
      </w:r>
      <w:r w:rsidR="00D13F89" w:rsidRPr="00FD211F">
        <w:rPr>
          <w:sz w:val="36"/>
          <w:szCs w:val="36"/>
          <w:rtl/>
        </w:rPr>
        <w:t>ففيه أن المبادئ التصديقيه لعلم الفقه ان كان</w:t>
      </w:r>
      <w:r w:rsidR="00C7588D" w:rsidRPr="00FD211F">
        <w:rPr>
          <w:sz w:val="36"/>
          <w:szCs w:val="36"/>
          <w:rtl/>
        </w:rPr>
        <w:t xml:space="preserve"> </w:t>
      </w:r>
      <w:r w:rsidR="00D13F89" w:rsidRPr="00FD211F">
        <w:rPr>
          <w:sz w:val="36"/>
          <w:szCs w:val="36"/>
          <w:rtl/>
        </w:rPr>
        <w:t>بمعنى ما يثبت وجود موضوع علم الفقه او موضوعات مسائله فمن الواضح أنه ليس علم الاصول بالنسبة الى علم الفقه من هذا القبيل</w:t>
      </w:r>
      <w:r w:rsidR="00603323" w:rsidRPr="00FD211F">
        <w:rPr>
          <w:sz w:val="36"/>
          <w:szCs w:val="36"/>
          <w:rtl/>
        </w:rPr>
        <w:t xml:space="preserve">، </w:t>
      </w:r>
      <w:r w:rsidR="00D13F89" w:rsidRPr="00FD211F">
        <w:rPr>
          <w:sz w:val="36"/>
          <w:szCs w:val="36"/>
          <w:rtl/>
        </w:rPr>
        <w:t xml:space="preserve">وان اريد منها القواعد التي تقع في طريق اتبات محمولات مسائل علم الفقه اي الاحكام الشرعية لموضوعاتها كماهوالصحيح </w:t>
      </w:r>
      <w:r w:rsidR="001A4880" w:rsidRPr="00FD211F">
        <w:rPr>
          <w:sz w:val="36"/>
          <w:szCs w:val="36"/>
          <w:rtl/>
        </w:rPr>
        <w:t>فلابدان يكون البحث في علم الاصول عن شؤون تلك القواعد وعوارضها لاشوون الحكم الشرعي وعوارضه</w:t>
      </w:r>
      <w:r w:rsidR="00C774D9" w:rsidRPr="00FD211F">
        <w:rPr>
          <w:sz w:val="36"/>
          <w:szCs w:val="36"/>
          <w:rtl/>
        </w:rPr>
        <w:t>.</w:t>
      </w:r>
      <w:r w:rsidR="001A4880" w:rsidRPr="00FD211F">
        <w:rPr>
          <w:sz w:val="36"/>
          <w:szCs w:val="36"/>
          <w:rtl/>
        </w:rPr>
        <w:t>وكيف كان فحيث ان البحث عما هو الانسب من هذه المناهج ليس مهما اذ لايترتب عليه ثمرة عملية</w:t>
      </w:r>
      <w:r w:rsidR="00603323" w:rsidRPr="00FD211F">
        <w:rPr>
          <w:sz w:val="36"/>
          <w:szCs w:val="36"/>
          <w:rtl/>
        </w:rPr>
        <w:t xml:space="preserve">، </w:t>
      </w:r>
      <w:r w:rsidR="001A4880" w:rsidRPr="00FD211F">
        <w:rPr>
          <w:sz w:val="36"/>
          <w:szCs w:val="36"/>
          <w:rtl/>
        </w:rPr>
        <w:t>فالاولى الصفح عنها ومتابعة منهج المشهور</w:t>
      </w:r>
      <w:r w:rsidR="00C774D9" w:rsidRPr="00FD211F">
        <w:rPr>
          <w:sz w:val="36"/>
          <w:szCs w:val="36"/>
          <w:rtl/>
        </w:rPr>
        <w:t>.</w:t>
      </w:r>
      <w:r w:rsidR="00D13F89" w:rsidRPr="00FD211F">
        <w:rPr>
          <w:sz w:val="36"/>
          <w:szCs w:val="36"/>
          <w:rtl/>
        </w:rPr>
        <w:t xml:space="preserve"> </w:t>
      </w:r>
    </w:p>
    <w:p w14:paraId="548D0DA2" w14:textId="77777777" w:rsidR="00C7588D" w:rsidRPr="00FD211F" w:rsidRDefault="00C7588D" w:rsidP="009C58C8">
      <w:pPr>
        <w:pStyle w:val="3"/>
        <w:ind w:firstLine="227"/>
        <w:jc w:val="both"/>
        <w:rPr>
          <w:rtl/>
        </w:rPr>
        <w:sectPr w:rsidR="00C7588D" w:rsidRPr="00FD211F" w:rsidSect="00D24300">
          <w:headerReference w:type="default" r:id="rId19"/>
          <w:footnotePr>
            <w:numRestart w:val="eachPage"/>
          </w:footnotePr>
          <w:pgSz w:w="10319" w:h="14578" w:code="138"/>
          <w:pgMar w:top="1418" w:right="1701" w:bottom="1418" w:left="1701" w:header="1418" w:footer="964" w:gutter="0"/>
          <w:cols w:space="720"/>
          <w:bidi/>
          <w:rtlGutter/>
          <w:docGrid w:linePitch="360"/>
        </w:sectPr>
      </w:pPr>
      <w:bookmarkStart w:id="89" w:name="_Toc223890321"/>
    </w:p>
    <w:p w14:paraId="4250D977" w14:textId="77777777" w:rsidR="006D69AC" w:rsidRPr="00FD211F" w:rsidRDefault="00F831DA" w:rsidP="009C58C8">
      <w:pPr>
        <w:pStyle w:val="3"/>
        <w:ind w:firstLine="227"/>
        <w:jc w:val="both"/>
        <w:rPr>
          <w:rtl/>
        </w:rPr>
      </w:pPr>
      <w:r w:rsidRPr="00FD211F">
        <w:rPr>
          <w:rtl/>
        </w:rPr>
        <w:t>مباحث الوضع</w:t>
      </w:r>
      <w:bookmarkEnd w:id="84"/>
      <w:bookmarkEnd w:id="85"/>
      <w:bookmarkEnd w:id="86"/>
      <w:bookmarkEnd w:id="88"/>
      <w:bookmarkEnd w:id="89"/>
    </w:p>
    <w:p w14:paraId="32B38D5D" w14:textId="77777777" w:rsidR="000C5BBA" w:rsidRPr="00FD211F" w:rsidRDefault="00365CC2" w:rsidP="009C58C8">
      <w:pPr>
        <w:ind w:left="0" w:firstLine="227"/>
        <w:jc w:val="both"/>
        <w:rPr>
          <w:sz w:val="36"/>
          <w:szCs w:val="36"/>
          <w:rtl/>
        </w:rPr>
      </w:pPr>
      <w:r w:rsidRPr="00FD211F">
        <w:rPr>
          <w:sz w:val="36"/>
          <w:szCs w:val="36"/>
          <w:rtl/>
        </w:rPr>
        <w:t>ويقع الكلام فيها في عد</w:t>
      </w:r>
      <w:r w:rsidR="00EC7EDF" w:rsidRPr="00FD211F">
        <w:rPr>
          <w:sz w:val="36"/>
          <w:szCs w:val="36"/>
          <w:rtl/>
        </w:rPr>
        <w:t xml:space="preserve">ة </w:t>
      </w:r>
      <w:r w:rsidRPr="00FD211F">
        <w:rPr>
          <w:sz w:val="36"/>
          <w:szCs w:val="36"/>
          <w:rtl/>
        </w:rPr>
        <w:t>جهات:</w:t>
      </w:r>
    </w:p>
    <w:p w14:paraId="2D42E82D" w14:textId="77777777" w:rsidR="000C5BBA" w:rsidRPr="00FD211F" w:rsidRDefault="00E22B2C" w:rsidP="009C58C8">
      <w:pPr>
        <w:ind w:left="0" w:firstLine="227"/>
        <w:jc w:val="both"/>
        <w:rPr>
          <w:sz w:val="36"/>
          <w:szCs w:val="36"/>
          <w:rtl/>
        </w:rPr>
      </w:pPr>
      <w:r w:rsidRPr="00FD211F">
        <w:rPr>
          <w:sz w:val="36"/>
          <w:szCs w:val="36"/>
          <w:rtl/>
        </w:rPr>
        <w:t>1-</w:t>
      </w:r>
      <w:r w:rsidR="00E525DB" w:rsidRPr="00FD211F">
        <w:rPr>
          <w:sz w:val="36"/>
          <w:szCs w:val="36"/>
          <w:rtl/>
        </w:rPr>
        <w:t>في حقيق</w:t>
      </w:r>
      <w:r w:rsidR="00EC7EDF" w:rsidRPr="00FD211F">
        <w:rPr>
          <w:sz w:val="36"/>
          <w:szCs w:val="36"/>
          <w:rtl/>
        </w:rPr>
        <w:t xml:space="preserve">ة </w:t>
      </w:r>
      <w:r w:rsidR="00E525DB" w:rsidRPr="00FD211F">
        <w:rPr>
          <w:sz w:val="36"/>
          <w:szCs w:val="36"/>
          <w:rtl/>
        </w:rPr>
        <w:t>الوضع</w:t>
      </w:r>
      <w:r w:rsidR="00EC7EDF" w:rsidRPr="00FD211F">
        <w:rPr>
          <w:sz w:val="36"/>
          <w:szCs w:val="36"/>
          <w:rtl/>
        </w:rPr>
        <w:t>.</w:t>
      </w:r>
    </w:p>
    <w:p w14:paraId="7AD1D372" w14:textId="77777777" w:rsidR="000C5BBA" w:rsidRPr="00FD211F" w:rsidRDefault="00E525DB" w:rsidP="009C58C8">
      <w:pPr>
        <w:ind w:left="0" w:firstLine="227"/>
        <w:jc w:val="both"/>
        <w:rPr>
          <w:sz w:val="36"/>
          <w:szCs w:val="36"/>
        </w:rPr>
      </w:pPr>
      <w:r w:rsidRPr="00FD211F">
        <w:rPr>
          <w:sz w:val="36"/>
          <w:szCs w:val="36"/>
          <w:rtl/>
        </w:rPr>
        <w:t>2- في اقسام الوضع</w:t>
      </w:r>
      <w:r w:rsidR="00060C4C" w:rsidRPr="00FD211F">
        <w:rPr>
          <w:sz w:val="36"/>
          <w:szCs w:val="36"/>
          <w:rtl/>
        </w:rPr>
        <w:t>.</w:t>
      </w:r>
      <w:r w:rsidRPr="00FD211F">
        <w:rPr>
          <w:sz w:val="36"/>
          <w:szCs w:val="36"/>
          <w:rtl/>
        </w:rPr>
        <w:t xml:space="preserve"> </w:t>
      </w:r>
    </w:p>
    <w:p w14:paraId="5EA9B918" w14:textId="77777777" w:rsidR="00E525DB" w:rsidRPr="00FD211F" w:rsidRDefault="00E525DB" w:rsidP="009C58C8">
      <w:pPr>
        <w:ind w:left="0" w:firstLine="227"/>
        <w:jc w:val="both"/>
        <w:rPr>
          <w:sz w:val="36"/>
          <w:szCs w:val="36"/>
          <w:rtl/>
        </w:rPr>
      </w:pPr>
      <w:r w:rsidRPr="00FD211F">
        <w:rPr>
          <w:sz w:val="36"/>
          <w:szCs w:val="36"/>
          <w:rtl/>
        </w:rPr>
        <w:t>3- في تشخيص الواضع</w:t>
      </w:r>
      <w:r w:rsidR="00060C4C" w:rsidRPr="00FD211F">
        <w:rPr>
          <w:sz w:val="36"/>
          <w:szCs w:val="36"/>
          <w:rtl/>
        </w:rPr>
        <w:t>.</w:t>
      </w:r>
    </w:p>
    <w:p w14:paraId="302EB126" w14:textId="77777777" w:rsidR="009E67FE" w:rsidRPr="00FD211F" w:rsidRDefault="000B0E61" w:rsidP="009C58C8">
      <w:pPr>
        <w:pStyle w:val="3"/>
        <w:ind w:firstLine="227"/>
        <w:jc w:val="both"/>
        <w:rPr>
          <w:rtl/>
        </w:rPr>
      </w:pPr>
      <w:bookmarkStart w:id="90" w:name="_Toc223890322"/>
      <w:r w:rsidRPr="00FD211F">
        <w:rPr>
          <w:rtl/>
        </w:rPr>
        <w:t>1-</w:t>
      </w:r>
      <w:r w:rsidR="009E67FE" w:rsidRPr="00FD211F">
        <w:rPr>
          <w:rtl/>
        </w:rPr>
        <w:t xml:space="preserve"> في حقيق</w:t>
      </w:r>
      <w:r w:rsidR="00EC7EDF" w:rsidRPr="00FD211F">
        <w:rPr>
          <w:rtl/>
        </w:rPr>
        <w:t xml:space="preserve">ة </w:t>
      </w:r>
      <w:r w:rsidR="009E67FE" w:rsidRPr="00FD211F">
        <w:rPr>
          <w:rtl/>
        </w:rPr>
        <w:t>الوضع</w:t>
      </w:r>
      <w:bookmarkEnd w:id="90"/>
    </w:p>
    <w:p w14:paraId="0A4EDA12" w14:textId="77777777" w:rsidR="00365CC2" w:rsidRPr="00FD211F" w:rsidRDefault="009E67FE" w:rsidP="009C58C8">
      <w:pPr>
        <w:ind w:left="0" w:firstLine="227"/>
        <w:jc w:val="both"/>
        <w:rPr>
          <w:sz w:val="36"/>
          <w:szCs w:val="36"/>
          <w:rtl/>
        </w:rPr>
      </w:pPr>
      <w:r w:rsidRPr="00FD211F">
        <w:rPr>
          <w:sz w:val="36"/>
          <w:szCs w:val="36"/>
          <w:rtl/>
        </w:rPr>
        <w:t>وقبل التكلم في حقيق</w:t>
      </w:r>
      <w:r w:rsidR="00EC7EDF" w:rsidRPr="00FD211F">
        <w:rPr>
          <w:sz w:val="36"/>
          <w:szCs w:val="36"/>
          <w:rtl/>
        </w:rPr>
        <w:t xml:space="preserve">ة </w:t>
      </w:r>
      <w:r w:rsidRPr="00FD211F">
        <w:rPr>
          <w:sz w:val="36"/>
          <w:szCs w:val="36"/>
          <w:rtl/>
        </w:rPr>
        <w:t>الوضع ينبغي ذكر مقدم</w:t>
      </w:r>
      <w:r w:rsidR="00EC7EDF" w:rsidRPr="00FD211F">
        <w:rPr>
          <w:sz w:val="36"/>
          <w:szCs w:val="36"/>
          <w:rtl/>
        </w:rPr>
        <w:t xml:space="preserve">ة </w:t>
      </w:r>
      <w:r w:rsidRPr="00FD211F">
        <w:rPr>
          <w:sz w:val="36"/>
          <w:szCs w:val="36"/>
          <w:rtl/>
        </w:rPr>
        <w:t>حول منشأ دلال</w:t>
      </w:r>
      <w:r w:rsidR="00EC7EDF" w:rsidRPr="00FD211F">
        <w:rPr>
          <w:sz w:val="36"/>
          <w:szCs w:val="36"/>
          <w:rtl/>
        </w:rPr>
        <w:t xml:space="preserve">ة </w:t>
      </w:r>
      <w:r w:rsidRPr="00FD211F">
        <w:rPr>
          <w:sz w:val="36"/>
          <w:szCs w:val="36"/>
          <w:rtl/>
        </w:rPr>
        <w:t>اللفظ على المعنى</w:t>
      </w:r>
      <w:r w:rsidR="00603323" w:rsidRPr="00FD211F">
        <w:rPr>
          <w:sz w:val="36"/>
          <w:szCs w:val="36"/>
          <w:rtl/>
        </w:rPr>
        <w:t xml:space="preserve">، </w:t>
      </w:r>
      <w:r w:rsidRPr="00FD211F">
        <w:rPr>
          <w:sz w:val="36"/>
          <w:szCs w:val="36"/>
          <w:rtl/>
        </w:rPr>
        <w:t xml:space="preserve">فنقول </w:t>
      </w:r>
      <w:r w:rsidR="005652EC" w:rsidRPr="00FD211F">
        <w:rPr>
          <w:sz w:val="36"/>
          <w:szCs w:val="36"/>
          <w:rtl/>
        </w:rPr>
        <w:t>ا</w:t>
      </w:r>
      <w:r w:rsidR="00365CC2" w:rsidRPr="00FD211F">
        <w:rPr>
          <w:sz w:val="36"/>
          <w:szCs w:val="36"/>
          <w:rtl/>
        </w:rPr>
        <w:t>ن دلال</w:t>
      </w:r>
      <w:r w:rsidR="00EC7EDF" w:rsidRPr="00FD211F">
        <w:rPr>
          <w:sz w:val="36"/>
          <w:szCs w:val="36"/>
          <w:rtl/>
        </w:rPr>
        <w:t xml:space="preserve">ة </w:t>
      </w:r>
      <w:r w:rsidR="00365CC2" w:rsidRPr="00FD211F">
        <w:rPr>
          <w:sz w:val="36"/>
          <w:szCs w:val="36"/>
          <w:rtl/>
        </w:rPr>
        <w:t>اللفظ على المعنى لما كان</w:t>
      </w:r>
      <w:r w:rsidR="00D96EF8" w:rsidRPr="00FD211F">
        <w:rPr>
          <w:sz w:val="36"/>
          <w:szCs w:val="36"/>
          <w:rtl/>
        </w:rPr>
        <w:t>ت</w:t>
      </w:r>
      <w:r w:rsidR="00365CC2" w:rsidRPr="00FD211F">
        <w:rPr>
          <w:sz w:val="36"/>
          <w:szCs w:val="36"/>
          <w:rtl/>
        </w:rPr>
        <w:t xml:space="preserve"> بمعنى سببي</w:t>
      </w:r>
      <w:r w:rsidR="00EC7EDF" w:rsidRPr="00FD211F">
        <w:rPr>
          <w:sz w:val="36"/>
          <w:szCs w:val="36"/>
          <w:rtl/>
        </w:rPr>
        <w:t xml:space="preserve">ة </w:t>
      </w:r>
      <w:r w:rsidR="00365CC2" w:rsidRPr="00FD211F">
        <w:rPr>
          <w:sz w:val="36"/>
          <w:szCs w:val="36"/>
          <w:rtl/>
        </w:rPr>
        <w:t>تصور اللفظ لتصور المعنى فيوجد تفسيران حول منشأ هذه السببي</w:t>
      </w:r>
      <w:r w:rsidR="00EC7EDF" w:rsidRPr="00FD211F">
        <w:rPr>
          <w:sz w:val="36"/>
          <w:szCs w:val="36"/>
          <w:rtl/>
        </w:rPr>
        <w:t>ة</w:t>
      </w:r>
      <w:r w:rsidR="00365CC2" w:rsidRPr="00FD211F">
        <w:rPr>
          <w:sz w:val="36"/>
          <w:szCs w:val="36"/>
          <w:rtl/>
        </w:rPr>
        <w:t>:</w:t>
      </w:r>
    </w:p>
    <w:p w14:paraId="0E10A129" w14:textId="77777777" w:rsidR="00365CC2" w:rsidRPr="00FD211F" w:rsidRDefault="00365CC2" w:rsidP="009C58C8">
      <w:pPr>
        <w:ind w:left="0" w:firstLine="227"/>
        <w:jc w:val="both"/>
        <w:rPr>
          <w:sz w:val="36"/>
          <w:szCs w:val="36"/>
          <w:rtl/>
        </w:rPr>
      </w:pPr>
      <w:r w:rsidRPr="00FD211F">
        <w:rPr>
          <w:sz w:val="36"/>
          <w:szCs w:val="36"/>
          <w:rtl/>
        </w:rPr>
        <w:t>1- ما حكي عن بعض الاشاعر</w:t>
      </w:r>
      <w:r w:rsidR="00EC7EDF" w:rsidRPr="00FD211F">
        <w:rPr>
          <w:sz w:val="36"/>
          <w:szCs w:val="36"/>
          <w:rtl/>
        </w:rPr>
        <w:t xml:space="preserve">ة </w:t>
      </w:r>
      <w:r w:rsidRPr="00FD211F">
        <w:rPr>
          <w:sz w:val="36"/>
          <w:szCs w:val="36"/>
          <w:rtl/>
        </w:rPr>
        <w:t>من وجود مناسب</w:t>
      </w:r>
      <w:r w:rsidR="00EC7EDF" w:rsidRPr="00FD211F">
        <w:rPr>
          <w:sz w:val="36"/>
          <w:szCs w:val="36"/>
          <w:rtl/>
        </w:rPr>
        <w:t xml:space="preserve">ة </w:t>
      </w:r>
      <w:r w:rsidRPr="00FD211F">
        <w:rPr>
          <w:sz w:val="36"/>
          <w:szCs w:val="36"/>
          <w:rtl/>
        </w:rPr>
        <w:t>ذاتي</w:t>
      </w:r>
      <w:r w:rsidR="00EC7EDF" w:rsidRPr="00FD211F">
        <w:rPr>
          <w:sz w:val="36"/>
          <w:szCs w:val="36"/>
          <w:rtl/>
        </w:rPr>
        <w:t xml:space="preserve">ة </w:t>
      </w:r>
      <w:r w:rsidR="00F831DA" w:rsidRPr="00FD211F">
        <w:rPr>
          <w:sz w:val="36"/>
          <w:szCs w:val="36"/>
          <w:rtl/>
        </w:rPr>
        <w:t>بين</w:t>
      </w:r>
      <w:r w:rsidR="00D96EF8" w:rsidRPr="00FD211F">
        <w:rPr>
          <w:sz w:val="36"/>
          <w:szCs w:val="36"/>
          <w:rtl/>
        </w:rPr>
        <w:t xml:space="preserve"> كل</w:t>
      </w:r>
      <w:r w:rsidR="00F831DA" w:rsidRPr="00FD211F">
        <w:rPr>
          <w:sz w:val="36"/>
          <w:szCs w:val="36"/>
          <w:rtl/>
        </w:rPr>
        <w:t xml:space="preserve"> لفظ</w:t>
      </w:r>
      <w:r w:rsidR="00D96EF8" w:rsidRPr="00FD211F">
        <w:rPr>
          <w:sz w:val="36"/>
          <w:szCs w:val="36"/>
          <w:rtl/>
        </w:rPr>
        <w:t xml:space="preserve"> ومعناه</w:t>
      </w:r>
      <w:r w:rsidR="00603323" w:rsidRPr="00FD211F">
        <w:rPr>
          <w:sz w:val="36"/>
          <w:szCs w:val="36"/>
          <w:rtl/>
        </w:rPr>
        <w:t xml:space="preserve">، </w:t>
      </w:r>
      <w:r w:rsidR="00EC7EDF" w:rsidRPr="00FD211F">
        <w:rPr>
          <w:sz w:val="36"/>
          <w:szCs w:val="36"/>
          <w:rtl/>
        </w:rPr>
        <w:t>و</w:t>
      </w:r>
      <w:r w:rsidR="00F831DA" w:rsidRPr="00FD211F">
        <w:rPr>
          <w:sz w:val="36"/>
          <w:szCs w:val="36"/>
          <w:rtl/>
        </w:rPr>
        <w:t>المراد بها</w:t>
      </w:r>
      <w:r w:rsidRPr="00FD211F">
        <w:rPr>
          <w:sz w:val="36"/>
          <w:szCs w:val="36"/>
          <w:rtl/>
        </w:rPr>
        <w:t xml:space="preserve"> ليس هو</w:t>
      </w:r>
      <w:r w:rsidR="00F831DA" w:rsidRPr="00FD211F">
        <w:rPr>
          <w:sz w:val="36"/>
          <w:szCs w:val="36"/>
          <w:rtl/>
        </w:rPr>
        <w:t xml:space="preserve"> المناسب</w:t>
      </w:r>
      <w:r w:rsidR="00EC7EDF" w:rsidRPr="00FD211F">
        <w:rPr>
          <w:sz w:val="36"/>
          <w:szCs w:val="36"/>
          <w:rtl/>
        </w:rPr>
        <w:t xml:space="preserve">ة </w:t>
      </w:r>
      <w:r w:rsidRPr="00FD211F">
        <w:rPr>
          <w:sz w:val="36"/>
          <w:szCs w:val="36"/>
          <w:rtl/>
        </w:rPr>
        <w:t>الذاتي</w:t>
      </w:r>
      <w:r w:rsidR="00EC7EDF" w:rsidRPr="00FD211F">
        <w:rPr>
          <w:sz w:val="36"/>
          <w:szCs w:val="36"/>
          <w:rtl/>
        </w:rPr>
        <w:t xml:space="preserve">ة </w:t>
      </w:r>
      <w:r w:rsidRPr="00FD211F">
        <w:rPr>
          <w:sz w:val="36"/>
          <w:szCs w:val="36"/>
          <w:rtl/>
        </w:rPr>
        <w:t>على سبيل العلي</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00D96EF8" w:rsidRPr="00FD211F">
        <w:rPr>
          <w:sz w:val="36"/>
          <w:szCs w:val="36"/>
          <w:rtl/>
        </w:rPr>
        <w:t>بنحو يوجب ان يكون تصور اللفظ عل</w:t>
      </w:r>
      <w:r w:rsidR="00EC7EDF" w:rsidRPr="00FD211F">
        <w:rPr>
          <w:sz w:val="36"/>
          <w:szCs w:val="36"/>
          <w:rtl/>
        </w:rPr>
        <w:t xml:space="preserve">ة </w:t>
      </w:r>
      <w:r w:rsidR="00D96EF8" w:rsidRPr="00FD211F">
        <w:rPr>
          <w:sz w:val="36"/>
          <w:szCs w:val="36"/>
          <w:rtl/>
        </w:rPr>
        <w:t>تام</w:t>
      </w:r>
      <w:r w:rsidR="00EC7EDF" w:rsidRPr="00FD211F">
        <w:rPr>
          <w:sz w:val="36"/>
          <w:szCs w:val="36"/>
          <w:rtl/>
        </w:rPr>
        <w:t xml:space="preserve">ة </w:t>
      </w:r>
      <w:r w:rsidR="00D96EF8" w:rsidRPr="00FD211F">
        <w:rPr>
          <w:sz w:val="36"/>
          <w:szCs w:val="36"/>
          <w:rtl/>
        </w:rPr>
        <w:t>لتصور المعنى</w:t>
      </w:r>
      <w:r w:rsidR="00603323" w:rsidRPr="00FD211F">
        <w:rPr>
          <w:sz w:val="36"/>
          <w:szCs w:val="36"/>
          <w:rtl/>
        </w:rPr>
        <w:t xml:space="preserve">، </w:t>
      </w:r>
      <w:r w:rsidR="00D96EF8" w:rsidRPr="00FD211F">
        <w:rPr>
          <w:sz w:val="36"/>
          <w:szCs w:val="36"/>
          <w:rtl/>
        </w:rPr>
        <w:t>فان ذلك واضح البطلان</w:t>
      </w:r>
      <w:r w:rsidR="00603323" w:rsidRPr="00FD211F">
        <w:rPr>
          <w:sz w:val="36"/>
          <w:szCs w:val="36"/>
          <w:rtl/>
        </w:rPr>
        <w:t xml:space="preserve">، </w:t>
      </w:r>
      <w:r w:rsidR="00D96EF8" w:rsidRPr="00FD211F">
        <w:rPr>
          <w:sz w:val="36"/>
          <w:szCs w:val="36"/>
          <w:rtl/>
        </w:rPr>
        <w:t>والا فيلزم معرف</w:t>
      </w:r>
      <w:r w:rsidR="00EC7EDF" w:rsidRPr="00FD211F">
        <w:rPr>
          <w:sz w:val="36"/>
          <w:szCs w:val="36"/>
          <w:rtl/>
        </w:rPr>
        <w:t xml:space="preserve">ة </w:t>
      </w:r>
      <w:r w:rsidR="00D96EF8" w:rsidRPr="00FD211F">
        <w:rPr>
          <w:sz w:val="36"/>
          <w:szCs w:val="36"/>
          <w:rtl/>
        </w:rPr>
        <w:t>كل ا</w:t>
      </w:r>
      <w:r w:rsidR="00764B1E" w:rsidRPr="00FD211F">
        <w:rPr>
          <w:sz w:val="36"/>
          <w:szCs w:val="36"/>
          <w:rtl/>
        </w:rPr>
        <w:t>نسان</w:t>
      </w:r>
      <w:r w:rsidR="00D96EF8" w:rsidRPr="00FD211F">
        <w:rPr>
          <w:sz w:val="36"/>
          <w:szCs w:val="36"/>
          <w:rtl/>
        </w:rPr>
        <w:t xml:space="preserve"> بجميع اللغات واستحال</w:t>
      </w:r>
      <w:r w:rsidR="00EC7EDF" w:rsidRPr="00FD211F">
        <w:rPr>
          <w:sz w:val="36"/>
          <w:szCs w:val="36"/>
          <w:rtl/>
        </w:rPr>
        <w:t xml:space="preserve">ة </w:t>
      </w:r>
      <w:r w:rsidR="00D96EF8" w:rsidRPr="00FD211F">
        <w:rPr>
          <w:sz w:val="36"/>
          <w:szCs w:val="36"/>
          <w:rtl/>
        </w:rPr>
        <w:t>جهله بها</w:t>
      </w:r>
      <w:r w:rsidR="00603323" w:rsidRPr="00FD211F">
        <w:rPr>
          <w:sz w:val="36"/>
          <w:szCs w:val="36"/>
          <w:rtl/>
        </w:rPr>
        <w:t xml:space="preserve">، </w:t>
      </w:r>
      <w:r w:rsidRPr="00FD211F">
        <w:rPr>
          <w:sz w:val="36"/>
          <w:szCs w:val="36"/>
          <w:rtl/>
        </w:rPr>
        <w:t>بل المراد بها المناسب</w:t>
      </w:r>
      <w:r w:rsidR="00EC7EDF" w:rsidRPr="00FD211F">
        <w:rPr>
          <w:sz w:val="36"/>
          <w:szCs w:val="36"/>
          <w:rtl/>
        </w:rPr>
        <w:t xml:space="preserve">ة </w:t>
      </w:r>
      <w:r w:rsidRPr="00FD211F">
        <w:rPr>
          <w:sz w:val="36"/>
          <w:szCs w:val="36"/>
          <w:rtl/>
        </w:rPr>
        <w:t>الذاتي</w:t>
      </w:r>
      <w:r w:rsidR="00EC7EDF" w:rsidRPr="00FD211F">
        <w:rPr>
          <w:sz w:val="36"/>
          <w:szCs w:val="36"/>
          <w:rtl/>
        </w:rPr>
        <w:t xml:space="preserve">ة </w:t>
      </w:r>
      <w:r w:rsidRPr="00FD211F">
        <w:rPr>
          <w:sz w:val="36"/>
          <w:szCs w:val="36"/>
          <w:rtl/>
        </w:rPr>
        <w:t>على سبيل الاقتضاء</w:t>
      </w:r>
      <w:r w:rsidR="00603323" w:rsidRPr="00FD211F">
        <w:rPr>
          <w:sz w:val="36"/>
          <w:szCs w:val="36"/>
          <w:rtl/>
        </w:rPr>
        <w:t xml:space="preserve">، </w:t>
      </w:r>
      <w:r w:rsidRPr="00FD211F">
        <w:rPr>
          <w:sz w:val="36"/>
          <w:szCs w:val="36"/>
          <w:rtl/>
        </w:rPr>
        <w:t>وهي وان كانت ثابت</w:t>
      </w:r>
      <w:r w:rsidR="00EC7EDF" w:rsidRPr="00FD211F">
        <w:rPr>
          <w:sz w:val="36"/>
          <w:szCs w:val="36"/>
          <w:rtl/>
        </w:rPr>
        <w:t xml:space="preserve">ة </w:t>
      </w:r>
      <w:r w:rsidRPr="00FD211F">
        <w:rPr>
          <w:sz w:val="36"/>
          <w:szCs w:val="36"/>
          <w:rtl/>
        </w:rPr>
        <w:t>في</w:t>
      </w:r>
      <w:r w:rsidR="00850D2A" w:rsidRPr="00FD211F">
        <w:rPr>
          <w:sz w:val="36"/>
          <w:szCs w:val="36"/>
          <w:rtl/>
        </w:rPr>
        <w:t xml:space="preserve"> بعض الالفاظ بالنسب</w:t>
      </w:r>
      <w:r w:rsidR="00EC7EDF" w:rsidRPr="00FD211F">
        <w:rPr>
          <w:sz w:val="36"/>
          <w:szCs w:val="36"/>
          <w:rtl/>
        </w:rPr>
        <w:t xml:space="preserve">ة </w:t>
      </w:r>
      <w:r w:rsidR="00850D2A" w:rsidRPr="00FD211F">
        <w:rPr>
          <w:sz w:val="36"/>
          <w:szCs w:val="36"/>
          <w:rtl/>
        </w:rPr>
        <w:t>الى معانيها كأسماء الاصوات</w:t>
      </w:r>
      <w:r w:rsidRPr="00FD211F">
        <w:rPr>
          <w:sz w:val="36"/>
          <w:szCs w:val="36"/>
          <w:rtl/>
        </w:rPr>
        <w:t xml:space="preserve"> لكن ثبوتها في جميع الالفاظ </w:t>
      </w:r>
      <w:r w:rsidR="00D96EF8" w:rsidRPr="00FD211F">
        <w:rPr>
          <w:sz w:val="36"/>
          <w:szCs w:val="36"/>
          <w:rtl/>
        </w:rPr>
        <w:t>بالنسب</w:t>
      </w:r>
      <w:r w:rsidR="00EC7EDF" w:rsidRPr="00FD211F">
        <w:rPr>
          <w:sz w:val="36"/>
          <w:szCs w:val="36"/>
          <w:rtl/>
        </w:rPr>
        <w:t xml:space="preserve">ة </w:t>
      </w:r>
      <w:r w:rsidR="00D96EF8" w:rsidRPr="00FD211F">
        <w:rPr>
          <w:sz w:val="36"/>
          <w:szCs w:val="36"/>
          <w:rtl/>
        </w:rPr>
        <w:t xml:space="preserve">الى معانيها </w:t>
      </w:r>
      <w:r w:rsidRPr="00FD211F">
        <w:rPr>
          <w:sz w:val="36"/>
          <w:szCs w:val="36"/>
          <w:rtl/>
        </w:rPr>
        <w:t>خلاف بداه</w:t>
      </w:r>
      <w:r w:rsidR="00EC7EDF" w:rsidRPr="00FD211F">
        <w:rPr>
          <w:sz w:val="36"/>
          <w:szCs w:val="36"/>
          <w:rtl/>
        </w:rPr>
        <w:t xml:space="preserve">ة </w:t>
      </w:r>
      <w:r w:rsidRPr="00FD211F">
        <w:rPr>
          <w:sz w:val="36"/>
          <w:szCs w:val="36"/>
          <w:rtl/>
        </w:rPr>
        <w:t>الوجدان</w:t>
      </w:r>
      <w:r w:rsidR="00603323" w:rsidRPr="00FD211F">
        <w:rPr>
          <w:sz w:val="36"/>
          <w:szCs w:val="36"/>
          <w:rtl/>
        </w:rPr>
        <w:t xml:space="preserve">، </w:t>
      </w:r>
      <w:r w:rsidR="00881365" w:rsidRPr="00FD211F">
        <w:rPr>
          <w:sz w:val="36"/>
          <w:szCs w:val="36"/>
          <w:rtl/>
        </w:rPr>
        <w:t>وقد</w:t>
      </w:r>
      <w:r w:rsidR="00764B1E" w:rsidRPr="00FD211F">
        <w:rPr>
          <w:sz w:val="36"/>
          <w:szCs w:val="36"/>
          <w:rtl/>
        </w:rPr>
        <w:t xml:space="preserve"> يذكر كشاهد على ماذكرناه- من عدم ثبوت المناسب</w:t>
      </w:r>
      <w:r w:rsidR="00EC7EDF" w:rsidRPr="00FD211F">
        <w:rPr>
          <w:sz w:val="36"/>
          <w:szCs w:val="36"/>
          <w:rtl/>
        </w:rPr>
        <w:t xml:space="preserve">ة </w:t>
      </w:r>
      <w:r w:rsidR="00764B1E" w:rsidRPr="00FD211F">
        <w:rPr>
          <w:sz w:val="36"/>
          <w:szCs w:val="36"/>
          <w:rtl/>
        </w:rPr>
        <w:t>الذاتي</w:t>
      </w:r>
      <w:r w:rsidR="00EC7EDF" w:rsidRPr="00FD211F">
        <w:rPr>
          <w:sz w:val="36"/>
          <w:szCs w:val="36"/>
          <w:rtl/>
        </w:rPr>
        <w:t xml:space="preserve">ة </w:t>
      </w:r>
      <w:r w:rsidR="00764B1E" w:rsidRPr="00FD211F">
        <w:rPr>
          <w:sz w:val="36"/>
          <w:szCs w:val="36"/>
          <w:rtl/>
        </w:rPr>
        <w:t>ولوبنحوالاقتضاء-</w:t>
      </w:r>
      <w:r w:rsidR="00881365" w:rsidRPr="00FD211F">
        <w:rPr>
          <w:sz w:val="36"/>
          <w:szCs w:val="36"/>
          <w:rtl/>
        </w:rPr>
        <w:t xml:space="preserve"> الفاظ الاضداد كلفظ </w:t>
      </w:r>
      <w:r w:rsidRPr="00FD211F">
        <w:rPr>
          <w:sz w:val="36"/>
          <w:szCs w:val="36"/>
          <w:rtl/>
        </w:rPr>
        <w:t>الق</w:t>
      </w:r>
      <w:r w:rsidR="000C5199" w:rsidRPr="00FD211F">
        <w:rPr>
          <w:sz w:val="36"/>
          <w:szCs w:val="36"/>
          <w:rtl/>
        </w:rPr>
        <w:t>ُ</w:t>
      </w:r>
      <w:r w:rsidRPr="00FD211F">
        <w:rPr>
          <w:sz w:val="36"/>
          <w:szCs w:val="36"/>
          <w:rtl/>
        </w:rPr>
        <w:t>رء</w:t>
      </w:r>
      <w:r w:rsidR="00D96EF8" w:rsidRPr="00FD211F">
        <w:rPr>
          <w:sz w:val="36"/>
          <w:szCs w:val="36"/>
          <w:rtl/>
        </w:rPr>
        <w:t xml:space="preserve"> حيث لايحتمل مناسبته الذاتي</w:t>
      </w:r>
      <w:r w:rsidR="00EC7EDF" w:rsidRPr="00FD211F">
        <w:rPr>
          <w:sz w:val="36"/>
          <w:szCs w:val="36"/>
          <w:rtl/>
        </w:rPr>
        <w:t xml:space="preserve">ة </w:t>
      </w:r>
      <w:r w:rsidR="00D96EF8" w:rsidRPr="00FD211F">
        <w:rPr>
          <w:sz w:val="36"/>
          <w:szCs w:val="36"/>
          <w:rtl/>
        </w:rPr>
        <w:t>مع كل من معنى الحيض والنقاء منه</w:t>
      </w:r>
      <w:r w:rsidR="00603323" w:rsidRPr="00FD211F">
        <w:rPr>
          <w:sz w:val="36"/>
          <w:szCs w:val="36"/>
          <w:rtl/>
        </w:rPr>
        <w:t xml:space="preserve">، </w:t>
      </w:r>
      <w:r w:rsidR="00850D2A" w:rsidRPr="00FD211F">
        <w:rPr>
          <w:sz w:val="36"/>
          <w:szCs w:val="36"/>
          <w:rtl/>
        </w:rPr>
        <w:t>واحتمال مناسبته مع الانتقال من حال</w:t>
      </w:r>
      <w:r w:rsidR="00EC7EDF" w:rsidRPr="00FD211F">
        <w:rPr>
          <w:sz w:val="36"/>
          <w:szCs w:val="36"/>
          <w:rtl/>
        </w:rPr>
        <w:t xml:space="preserve">ة </w:t>
      </w:r>
      <w:r w:rsidR="00850D2A" w:rsidRPr="00FD211F">
        <w:rPr>
          <w:sz w:val="36"/>
          <w:szCs w:val="36"/>
          <w:rtl/>
        </w:rPr>
        <w:t>مرتبط</w:t>
      </w:r>
      <w:r w:rsidR="00EC7EDF" w:rsidRPr="00FD211F">
        <w:rPr>
          <w:sz w:val="36"/>
          <w:szCs w:val="36"/>
          <w:rtl/>
        </w:rPr>
        <w:t xml:space="preserve">ة </w:t>
      </w:r>
      <w:r w:rsidR="00850D2A" w:rsidRPr="00FD211F">
        <w:rPr>
          <w:sz w:val="36"/>
          <w:szCs w:val="36"/>
          <w:rtl/>
        </w:rPr>
        <w:t>بالحيض والطهر الى حال</w:t>
      </w:r>
      <w:r w:rsidR="00EC7EDF" w:rsidRPr="00FD211F">
        <w:rPr>
          <w:sz w:val="36"/>
          <w:szCs w:val="36"/>
          <w:rtl/>
        </w:rPr>
        <w:t xml:space="preserve">ة </w:t>
      </w:r>
      <w:r w:rsidR="00850D2A" w:rsidRPr="00FD211F">
        <w:rPr>
          <w:sz w:val="36"/>
          <w:szCs w:val="36"/>
          <w:rtl/>
        </w:rPr>
        <w:t>أخرى مضاد</w:t>
      </w:r>
      <w:r w:rsidR="00EC7EDF" w:rsidRPr="00FD211F">
        <w:rPr>
          <w:sz w:val="36"/>
          <w:szCs w:val="36"/>
          <w:rtl/>
        </w:rPr>
        <w:t xml:space="preserve">ة </w:t>
      </w:r>
      <w:r w:rsidR="00850D2A" w:rsidRPr="00FD211F">
        <w:rPr>
          <w:sz w:val="36"/>
          <w:szCs w:val="36"/>
          <w:rtl/>
        </w:rPr>
        <w:t>لها وهمٌ محض</w:t>
      </w:r>
      <w:r w:rsidRPr="00FD211F">
        <w:rPr>
          <w:sz w:val="36"/>
          <w:szCs w:val="36"/>
          <w:rtl/>
        </w:rPr>
        <w:t>.</w:t>
      </w:r>
    </w:p>
    <w:p w14:paraId="2F035359" w14:textId="77777777" w:rsidR="000C5BBA" w:rsidRPr="00FD211F" w:rsidRDefault="00881365" w:rsidP="009C58C8">
      <w:pPr>
        <w:ind w:left="0" w:firstLine="227"/>
        <w:jc w:val="both"/>
        <w:rPr>
          <w:sz w:val="36"/>
          <w:szCs w:val="36"/>
          <w:rtl/>
        </w:rPr>
      </w:pPr>
      <w:r w:rsidRPr="00FD211F">
        <w:rPr>
          <w:sz w:val="36"/>
          <w:szCs w:val="36"/>
          <w:rtl/>
        </w:rPr>
        <w:t>وكيف كان فقد استدل على لزوم المناسب</w:t>
      </w:r>
      <w:r w:rsidR="00EC7EDF" w:rsidRPr="00FD211F">
        <w:rPr>
          <w:sz w:val="36"/>
          <w:szCs w:val="36"/>
          <w:rtl/>
        </w:rPr>
        <w:t xml:space="preserve">ة </w:t>
      </w:r>
      <w:r w:rsidRPr="00FD211F">
        <w:rPr>
          <w:sz w:val="36"/>
          <w:szCs w:val="36"/>
          <w:rtl/>
        </w:rPr>
        <w:t>الذاتي</w:t>
      </w:r>
      <w:r w:rsidR="00EC7EDF" w:rsidRPr="00FD211F">
        <w:rPr>
          <w:sz w:val="36"/>
          <w:szCs w:val="36"/>
          <w:rtl/>
        </w:rPr>
        <w:t xml:space="preserve">ة </w:t>
      </w:r>
      <w:r w:rsidRPr="00FD211F">
        <w:rPr>
          <w:sz w:val="36"/>
          <w:szCs w:val="36"/>
          <w:rtl/>
        </w:rPr>
        <w:t>بانه لولا</w:t>
      </w:r>
      <w:r w:rsidR="00F06CC9" w:rsidRPr="00FD211F">
        <w:rPr>
          <w:sz w:val="36"/>
          <w:szCs w:val="36"/>
          <w:rtl/>
        </w:rPr>
        <w:t>ه</w:t>
      </w:r>
      <w:r w:rsidRPr="00FD211F">
        <w:rPr>
          <w:sz w:val="36"/>
          <w:szCs w:val="36"/>
          <w:rtl/>
        </w:rPr>
        <w:t xml:space="preserve"> لزم كون</w:t>
      </w:r>
      <w:r w:rsidR="00D96EF8" w:rsidRPr="00FD211F">
        <w:rPr>
          <w:sz w:val="36"/>
          <w:szCs w:val="36"/>
          <w:rtl/>
        </w:rPr>
        <w:t xml:space="preserve"> وضع</w:t>
      </w:r>
      <w:r w:rsidRPr="00FD211F">
        <w:rPr>
          <w:sz w:val="36"/>
          <w:szCs w:val="36"/>
          <w:rtl/>
        </w:rPr>
        <w:t xml:space="preserve"> لفظ</w:t>
      </w:r>
      <w:r w:rsidR="00C94671" w:rsidRPr="00FD211F">
        <w:rPr>
          <w:sz w:val="36"/>
          <w:szCs w:val="36"/>
          <w:rtl/>
        </w:rPr>
        <w:t>ٍ</w:t>
      </w:r>
      <w:r w:rsidRPr="00FD211F">
        <w:rPr>
          <w:sz w:val="36"/>
          <w:szCs w:val="36"/>
          <w:rtl/>
        </w:rPr>
        <w:t xml:space="preserve"> معين </w:t>
      </w:r>
      <w:r w:rsidR="00F06CC9" w:rsidRPr="00FD211F">
        <w:rPr>
          <w:sz w:val="36"/>
          <w:szCs w:val="36"/>
          <w:rtl/>
        </w:rPr>
        <w:t>لمعنى</w:t>
      </w:r>
      <w:r w:rsidR="00C94671" w:rsidRPr="00FD211F">
        <w:rPr>
          <w:sz w:val="36"/>
          <w:szCs w:val="36"/>
          <w:rtl/>
        </w:rPr>
        <w:t>ً</w:t>
      </w:r>
      <w:r w:rsidR="00F06CC9" w:rsidRPr="00FD211F">
        <w:rPr>
          <w:sz w:val="36"/>
          <w:szCs w:val="36"/>
          <w:rtl/>
        </w:rPr>
        <w:t xml:space="preserve"> معين ترجيحا</w:t>
      </w:r>
      <w:r w:rsidRPr="00FD211F">
        <w:rPr>
          <w:sz w:val="36"/>
          <w:szCs w:val="36"/>
          <w:rtl/>
        </w:rPr>
        <w:t xml:space="preserve"> بلامرجح وهو محال</w:t>
      </w:r>
      <w:r w:rsidR="00C94671" w:rsidRPr="00FD211F">
        <w:rPr>
          <w:sz w:val="36"/>
          <w:szCs w:val="36"/>
          <w:rtl/>
        </w:rPr>
        <w:t>.</w:t>
      </w:r>
    </w:p>
    <w:p w14:paraId="2DA152AD" w14:textId="77777777" w:rsidR="00F831DA" w:rsidRPr="00FD211F" w:rsidRDefault="00881365" w:rsidP="009C58C8">
      <w:pPr>
        <w:ind w:left="0" w:firstLine="227"/>
        <w:jc w:val="both"/>
        <w:rPr>
          <w:sz w:val="36"/>
          <w:szCs w:val="36"/>
          <w:rtl/>
        </w:rPr>
      </w:pPr>
      <w:r w:rsidRPr="00FD211F">
        <w:rPr>
          <w:sz w:val="36"/>
          <w:szCs w:val="36"/>
          <w:rtl/>
        </w:rPr>
        <w:t>توضيح</w:t>
      </w:r>
      <w:r w:rsidR="00F06CC9" w:rsidRPr="00FD211F">
        <w:rPr>
          <w:sz w:val="36"/>
          <w:szCs w:val="36"/>
          <w:rtl/>
        </w:rPr>
        <w:t xml:space="preserve"> ذلك</w:t>
      </w:r>
      <w:r w:rsidR="00C94671" w:rsidRPr="00FD211F">
        <w:rPr>
          <w:sz w:val="36"/>
          <w:szCs w:val="36"/>
          <w:rtl/>
        </w:rPr>
        <w:t>:</w:t>
      </w:r>
      <w:r w:rsidR="0099376E" w:rsidRPr="00FD211F">
        <w:rPr>
          <w:sz w:val="36"/>
          <w:szCs w:val="36"/>
          <w:rtl/>
        </w:rPr>
        <w:t xml:space="preserve"> </w:t>
      </w:r>
      <w:r w:rsidR="000D49DC" w:rsidRPr="00FD211F">
        <w:rPr>
          <w:sz w:val="36"/>
          <w:szCs w:val="36"/>
          <w:rtl/>
        </w:rPr>
        <w:t>أ</w:t>
      </w:r>
      <w:r w:rsidRPr="00FD211F">
        <w:rPr>
          <w:sz w:val="36"/>
          <w:szCs w:val="36"/>
          <w:rtl/>
        </w:rPr>
        <w:t>ن</w:t>
      </w:r>
      <w:r w:rsidR="000D49DC" w:rsidRPr="00FD211F">
        <w:rPr>
          <w:sz w:val="36"/>
          <w:szCs w:val="36"/>
          <w:rtl/>
        </w:rPr>
        <w:t xml:space="preserve"> مشهور الفلاسف</w:t>
      </w:r>
      <w:r w:rsidR="00EC7EDF" w:rsidRPr="00FD211F">
        <w:rPr>
          <w:sz w:val="36"/>
          <w:szCs w:val="36"/>
          <w:rtl/>
        </w:rPr>
        <w:t xml:space="preserve">ة </w:t>
      </w:r>
      <w:r w:rsidR="000D49DC" w:rsidRPr="00FD211F">
        <w:rPr>
          <w:sz w:val="36"/>
          <w:szCs w:val="36"/>
          <w:rtl/>
        </w:rPr>
        <w:t>ذكروا ان</w:t>
      </w:r>
      <w:r w:rsidR="00C94671" w:rsidRPr="00FD211F">
        <w:rPr>
          <w:sz w:val="36"/>
          <w:szCs w:val="36"/>
          <w:rtl/>
        </w:rPr>
        <w:t>ّ</w:t>
      </w:r>
      <w:r w:rsidRPr="00FD211F">
        <w:rPr>
          <w:sz w:val="36"/>
          <w:szCs w:val="36"/>
          <w:rtl/>
        </w:rPr>
        <w:t xml:space="preserve"> من </w:t>
      </w:r>
      <w:r w:rsidR="00D96EF8" w:rsidRPr="00FD211F">
        <w:rPr>
          <w:sz w:val="36"/>
          <w:szCs w:val="36"/>
          <w:rtl/>
        </w:rPr>
        <w:t xml:space="preserve">اراد أي فعل </w:t>
      </w:r>
      <w:r w:rsidR="00C94671" w:rsidRPr="00FD211F">
        <w:rPr>
          <w:sz w:val="36"/>
          <w:szCs w:val="36"/>
          <w:rtl/>
        </w:rPr>
        <w:t>ف</w:t>
      </w:r>
      <w:r w:rsidRPr="00FD211F">
        <w:rPr>
          <w:sz w:val="36"/>
          <w:szCs w:val="36"/>
          <w:rtl/>
        </w:rPr>
        <w:t>لابد</w:t>
      </w:r>
      <w:r w:rsidR="00D96EF8" w:rsidRPr="00FD211F">
        <w:rPr>
          <w:sz w:val="36"/>
          <w:szCs w:val="36"/>
          <w:rtl/>
        </w:rPr>
        <w:t xml:space="preserve"> ان تنشأ</w:t>
      </w:r>
      <w:r w:rsidR="00480661" w:rsidRPr="00FD211F">
        <w:rPr>
          <w:sz w:val="36"/>
          <w:szCs w:val="36"/>
          <w:rtl/>
        </w:rPr>
        <w:t xml:space="preserve"> </w:t>
      </w:r>
      <w:r w:rsidR="00C94671" w:rsidRPr="00FD211F">
        <w:rPr>
          <w:sz w:val="36"/>
          <w:szCs w:val="36"/>
          <w:rtl/>
        </w:rPr>
        <w:t>ارادته</w:t>
      </w:r>
      <w:r w:rsidR="00D96EF8" w:rsidRPr="00FD211F">
        <w:rPr>
          <w:sz w:val="36"/>
          <w:szCs w:val="36"/>
          <w:rtl/>
        </w:rPr>
        <w:t xml:space="preserve"> من</w:t>
      </w:r>
      <w:r w:rsidRPr="00FD211F">
        <w:rPr>
          <w:sz w:val="36"/>
          <w:szCs w:val="36"/>
          <w:rtl/>
        </w:rPr>
        <w:t xml:space="preserve"> مرجح</w:t>
      </w:r>
      <w:r w:rsidR="00DE12CC" w:rsidRPr="00FD211F">
        <w:rPr>
          <w:sz w:val="36"/>
          <w:szCs w:val="36"/>
          <w:rtl/>
        </w:rPr>
        <w:t>ٍ</w:t>
      </w:r>
      <w:r w:rsidR="00603323" w:rsidRPr="00FD211F">
        <w:rPr>
          <w:sz w:val="36"/>
          <w:szCs w:val="36"/>
          <w:rtl/>
        </w:rPr>
        <w:t xml:space="preserve">، </w:t>
      </w:r>
      <w:r w:rsidRPr="00FD211F">
        <w:rPr>
          <w:sz w:val="36"/>
          <w:szCs w:val="36"/>
          <w:rtl/>
        </w:rPr>
        <w:t xml:space="preserve">اذ </w:t>
      </w:r>
      <w:r w:rsidR="00D96EF8" w:rsidRPr="00FD211F">
        <w:rPr>
          <w:sz w:val="36"/>
          <w:szCs w:val="36"/>
          <w:rtl/>
        </w:rPr>
        <w:t>ال</w:t>
      </w:r>
      <w:r w:rsidR="00D815DE" w:rsidRPr="00FD211F">
        <w:rPr>
          <w:sz w:val="36"/>
          <w:szCs w:val="36"/>
          <w:rtl/>
        </w:rPr>
        <w:t>إراد</w:t>
      </w:r>
      <w:r w:rsidR="00EC7EDF" w:rsidRPr="00FD211F">
        <w:rPr>
          <w:sz w:val="36"/>
          <w:szCs w:val="36"/>
          <w:rtl/>
        </w:rPr>
        <w:t xml:space="preserve">ة </w:t>
      </w:r>
      <w:r w:rsidRPr="00FD211F">
        <w:rPr>
          <w:sz w:val="36"/>
          <w:szCs w:val="36"/>
          <w:rtl/>
        </w:rPr>
        <w:t>ممكن الوجود فيحتاج الى عل</w:t>
      </w:r>
      <w:r w:rsidR="00EC7EDF" w:rsidRPr="00FD211F">
        <w:rPr>
          <w:sz w:val="36"/>
          <w:szCs w:val="36"/>
          <w:rtl/>
        </w:rPr>
        <w:t>ة</w:t>
      </w:r>
      <w:r w:rsidR="00603323" w:rsidRPr="00FD211F">
        <w:rPr>
          <w:sz w:val="36"/>
          <w:szCs w:val="36"/>
          <w:rtl/>
        </w:rPr>
        <w:t xml:space="preserve">، </w:t>
      </w:r>
      <w:r w:rsidR="00F06CC9" w:rsidRPr="00FD211F">
        <w:rPr>
          <w:sz w:val="36"/>
          <w:szCs w:val="36"/>
          <w:rtl/>
        </w:rPr>
        <w:t>ولأجل ذلك ذكروا ان</w:t>
      </w:r>
      <w:r w:rsidRPr="00FD211F">
        <w:rPr>
          <w:sz w:val="36"/>
          <w:szCs w:val="36"/>
          <w:rtl/>
        </w:rPr>
        <w:t xml:space="preserve"> الجائع الذي بين يديه رغيفان لو تعلقت ارادته باحدهما المعين بلامرجح لزم تحقق ال</w:t>
      </w:r>
      <w:r w:rsidR="00D815DE" w:rsidRPr="00FD211F">
        <w:rPr>
          <w:sz w:val="36"/>
          <w:szCs w:val="36"/>
          <w:rtl/>
        </w:rPr>
        <w:t>إراد</w:t>
      </w:r>
      <w:r w:rsidR="00EC7EDF" w:rsidRPr="00FD211F">
        <w:rPr>
          <w:sz w:val="36"/>
          <w:szCs w:val="36"/>
          <w:rtl/>
        </w:rPr>
        <w:t xml:space="preserve">ة </w:t>
      </w:r>
      <w:r w:rsidRPr="00FD211F">
        <w:rPr>
          <w:sz w:val="36"/>
          <w:szCs w:val="36"/>
          <w:rtl/>
        </w:rPr>
        <w:t>بلاعل</w:t>
      </w:r>
      <w:r w:rsidR="00EC7EDF" w:rsidRPr="00FD211F">
        <w:rPr>
          <w:sz w:val="36"/>
          <w:szCs w:val="36"/>
          <w:rtl/>
        </w:rPr>
        <w:t>ة</w:t>
      </w:r>
      <w:r w:rsidR="00603323" w:rsidRPr="00FD211F">
        <w:rPr>
          <w:sz w:val="36"/>
          <w:szCs w:val="36"/>
          <w:rtl/>
        </w:rPr>
        <w:t xml:space="preserve">، </w:t>
      </w:r>
      <w:r w:rsidR="00F06CC9" w:rsidRPr="00FD211F">
        <w:rPr>
          <w:sz w:val="36"/>
          <w:szCs w:val="36"/>
          <w:rtl/>
        </w:rPr>
        <w:t xml:space="preserve">فتكشف ارادته لاي منهما عن وجود مرجح </w:t>
      </w:r>
      <w:r w:rsidR="00D96EF8" w:rsidRPr="00FD211F">
        <w:rPr>
          <w:sz w:val="36"/>
          <w:szCs w:val="36"/>
          <w:rtl/>
        </w:rPr>
        <w:t>ل</w:t>
      </w:r>
      <w:r w:rsidR="00184290" w:rsidRPr="00FD211F">
        <w:rPr>
          <w:sz w:val="36"/>
          <w:szCs w:val="36"/>
          <w:rtl/>
        </w:rPr>
        <w:t>هذه الاراد</w:t>
      </w:r>
      <w:r w:rsidR="00EC7EDF" w:rsidRPr="00FD211F">
        <w:rPr>
          <w:sz w:val="36"/>
          <w:szCs w:val="36"/>
          <w:rtl/>
        </w:rPr>
        <w:t>ة</w:t>
      </w:r>
      <w:r w:rsidR="00603323" w:rsidRPr="00FD211F">
        <w:rPr>
          <w:sz w:val="36"/>
          <w:szCs w:val="36"/>
          <w:rtl/>
        </w:rPr>
        <w:t xml:space="preserve">، </w:t>
      </w:r>
      <w:r w:rsidR="00D96EF8" w:rsidRPr="00FD211F">
        <w:rPr>
          <w:sz w:val="36"/>
          <w:szCs w:val="36"/>
          <w:rtl/>
        </w:rPr>
        <w:t>والمراد من المرجح هو المرجح التكويني لاالمرجح العقلائي او العقلي او الشرعي</w:t>
      </w:r>
      <w:r w:rsidR="00603323" w:rsidRPr="00FD211F">
        <w:rPr>
          <w:sz w:val="36"/>
          <w:szCs w:val="36"/>
          <w:rtl/>
        </w:rPr>
        <w:t xml:space="preserve">، </w:t>
      </w:r>
      <w:r w:rsidR="00D96EF8" w:rsidRPr="00FD211F">
        <w:rPr>
          <w:sz w:val="36"/>
          <w:szCs w:val="36"/>
          <w:rtl/>
        </w:rPr>
        <w:t>فمن اختار الكذب مثلا فانه وان كان عمله ترجيحا للمرجوح العقلي والعقلائي والشرعي فيكون قبيحا لكنه ناش عن مرجح تكويني يوجب ارادته للكذب</w:t>
      </w:r>
      <w:r w:rsidR="00603323" w:rsidRPr="00FD211F">
        <w:rPr>
          <w:sz w:val="36"/>
          <w:szCs w:val="36"/>
          <w:rtl/>
        </w:rPr>
        <w:t xml:space="preserve">، </w:t>
      </w:r>
      <w:r w:rsidR="006474B9" w:rsidRPr="00FD211F">
        <w:rPr>
          <w:sz w:val="36"/>
          <w:szCs w:val="36"/>
          <w:rtl/>
        </w:rPr>
        <w:t xml:space="preserve">وحينئذ فيقال في المقام ان </w:t>
      </w:r>
      <w:r w:rsidR="00D815DE" w:rsidRPr="00FD211F">
        <w:rPr>
          <w:sz w:val="36"/>
          <w:szCs w:val="36"/>
          <w:rtl/>
        </w:rPr>
        <w:t>إراد</w:t>
      </w:r>
      <w:r w:rsidR="00EC7EDF" w:rsidRPr="00FD211F">
        <w:rPr>
          <w:sz w:val="36"/>
          <w:szCs w:val="36"/>
          <w:rtl/>
        </w:rPr>
        <w:t xml:space="preserve">ة </w:t>
      </w:r>
      <w:r w:rsidR="006474B9" w:rsidRPr="00FD211F">
        <w:rPr>
          <w:sz w:val="36"/>
          <w:szCs w:val="36"/>
          <w:rtl/>
        </w:rPr>
        <w:t>وضع لفظ معين لمعنى لايمكن ان تصدر من الواضع الا لمرجح وهو المناسب</w:t>
      </w:r>
      <w:r w:rsidR="00EC7EDF" w:rsidRPr="00FD211F">
        <w:rPr>
          <w:sz w:val="36"/>
          <w:szCs w:val="36"/>
          <w:rtl/>
        </w:rPr>
        <w:t xml:space="preserve">ة </w:t>
      </w:r>
      <w:r w:rsidR="006474B9" w:rsidRPr="00FD211F">
        <w:rPr>
          <w:sz w:val="36"/>
          <w:szCs w:val="36"/>
          <w:rtl/>
        </w:rPr>
        <w:t>الذاتي</w:t>
      </w:r>
      <w:r w:rsidR="00EC7EDF" w:rsidRPr="00FD211F">
        <w:rPr>
          <w:sz w:val="36"/>
          <w:szCs w:val="36"/>
          <w:rtl/>
        </w:rPr>
        <w:t xml:space="preserve">ة </w:t>
      </w:r>
      <w:r w:rsidR="006474B9" w:rsidRPr="00FD211F">
        <w:rPr>
          <w:sz w:val="36"/>
          <w:szCs w:val="36"/>
          <w:rtl/>
        </w:rPr>
        <w:t>بين هذا اللفظ وذاك المعنى.</w:t>
      </w:r>
    </w:p>
    <w:p w14:paraId="20ED8C6B" w14:textId="77777777" w:rsidR="000C5BBA" w:rsidRPr="00FD211F" w:rsidRDefault="006474B9" w:rsidP="009C58C8">
      <w:pPr>
        <w:ind w:left="0" w:firstLine="227"/>
        <w:jc w:val="both"/>
        <w:rPr>
          <w:sz w:val="36"/>
          <w:szCs w:val="36"/>
          <w:rtl/>
        </w:rPr>
      </w:pPr>
      <w:r w:rsidRPr="00FD211F">
        <w:rPr>
          <w:sz w:val="36"/>
          <w:szCs w:val="36"/>
          <w:rtl/>
        </w:rPr>
        <w:t xml:space="preserve">وفيه </w:t>
      </w:r>
      <w:r w:rsidRPr="00FD211F">
        <w:rPr>
          <w:b/>
          <w:bCs/>
          <w:sz w:val="36"/>
          <w:szCs w:val="36"/>
          <w:rtl/>
        </w:rPr>
        <w:t>اولا</w:t>
      </w:r>
      <w:r w:rsidRPr="00FD211F">
        <w:rPr>
          <w:sz w:val="36"/>
          <w:szCs w:val="36"/>
          <w:rtl/>
        </w:rPr>
        <w:t xml:space="preserve">: </w:t>
      </w:r>
      <w:r w:rsidR="002202BF" w:rsidRPr="00FD211F">
        <w:rPr>
          <w:sz w:val="36"/>
          <w:szCs w:val="36"/>
          <w:rtl/>
        </w:rPr>
        <w:t>ماسيأتي في بحث الجبر</w:t>
      </w:r>
      <w:r w:rsidR="00D052EE" w:rsidRPr="00FD211F">
        <w:rPr>
          <w:sz w:val="36"/>
          <w:szCs w:val="36"/>
          <w:rtl/>
        </w:rPr>
        <w:t xml:space="preserve"> </w:t>
      </w:r>
      <w:r w:rsidR="002202BF" w:rsidRPr="00FD211F">
        <w:rPr>
          <w:sz w:val="36"/>
          <w:szCs w:val="36"/>
          <w:rtl/>
        </w:rPr>
        <w:t>والاختيار</w:t>
      </w:r>
      <w:r w:rsidR="00D052EE" w:rsidRPr="00FD211F">
        <w:rPr>
          <w:sz w:val="36"/>
          <w:szCs w:val="36"/>
          <w:rtl/>
        </w:rPr>
        <w:t xml:space="preserve"> </w:t>
      </w:r>
      <w:r w:rsidR="002202BF" w:rsidRPr="00FD211F">
        <w:rPr>
          <w:sz w:val="36"/>
          <w:szCs w:val="36"/>
          <w:rtl/>
        </w:rPr>
        <w:t xml:space="preserve">من </w:t>
      </w:r>
      <w:r w:rsidR="00014E9E" w:rsidRPr="00FD211F">
        <w:rPr>
          <w:sz w:val="36"/>
          <w:szCs w:val="36"/>
          <w:rtl/>
        </w:rPr>
        <w:t>ان الفاعل المختار</w:t>
      </w:r>
      <w:r w:rsidR="006318CA" w:rsidRPr="00FD211F">
        <w:rPr>
          <w:sz w:val="36"/>
          <w:szCs w:val="36"/>
          <w:rtl/>
        </w:rPr>
        <w:t xml:space="preserve"> </w:t>
      </w:r>
      <w:r w:rsidR="00D96EF8" w:rsidRPr="00FD211F">
        <w:rPr>
          <w:sz w:val="36"/>
          <w:szCs w:val="36"/>
          <w:rtl/>
        </w:rPr>
        <w:t>-</w:t>
      </w:r>
      <w:r w:rsidR="006318CA" w:rsidRPr="00FD211F">
        <w:rPr>
          <w:sz w:val="36"/>
          <w:szCs w:val="36"/>
          <w:rtl/>
        </w:rPr>
        <w:t>ومنه الواضع</w:t>
      </w:r>
      <w:r w:rsidR="00D96EF8" w:rsidRPr="00FD211F">
        <w:rPr>
          <w:sz w:val="36"/>
          <w:szCs w:val="36"/>
          <w:rtl/>
        </w:rPr>
        <w:t>-</w:t>
      </w:r>
      <w:r w:rsidR="00014E9E" w:rsidRPr="00FD211F">
        <w:rPr>
          <w:sz w:val="36"/>
          <w:szCs w:val="36"/>
          <w:rtl/>
        </w:rPr>
        <w:t xml:space="preserve"> لما كان فاعلا بالسلطن</w:t>
      </w:r>
      <w:r w:rsidR="00EC7EDF" w:rsidRPr="00FD211F">
        <w:rPr>
          <w:sz w:val="36"/>
          <w:szCs w:val="36"/>
          <w:rtl/>
        </w:rPr>
        <w:t xml:space="preserve">ة </w:t>
      </w:r>
      <w:r w:rsidR="00014E9E" w:rsidRPr="00FD211F">
        <w:rPr>
          <w:sz w:val="36"/>
          <w:szCs w:val="36"/>
          <w:rtl/>
        </w:rPr>
        <w:t>وله ان يفعل لاأن عليه ان يفعل</w:t>
      </w:r>
      <w:r w:rsidR="00603323" w:rsidRPr="00FD211F">
        <w:rPr>
          <w:sz w:val="36"/>
          <w:szCs w:val="36"/>
          <w:rtl/>
        </w:rPr>
        <w:t xml:space="preserve">، </w:t>
      </w:r>
      <w:r w:rsidR="00D96EF8" w:rsidRPr="00FD211F">
        <w:rPr>
          <w:sz w:val="36"/>
          <w:szCs w:val="36"/>
          <w:rtl/>
        </w:rPr>
        <w:t>فهو بنفسه عل</w:t>
      </w:r>
      <w:r w:rsidR="00EC7EDF" w:rsidRPr="00FD211F">
        <w:rPr>
          <w:sz w:val="36"/>
          <w:szCs w:val="36"/>
          <w:rtl/>
        </w:rPr>
        <w:t xml:space="preserve">ة </w:t>
      </w:r>
      <w:r w:rsidR="00D96EF8" w:rsidRPr="00FD211F">
        <w:rPr>
          <w:sz w:val="36"/>
          <w:szCs w:val="36"/>
          <w:rtl/>
        </w:rPr>
        <w:t>تام</w:t>
      </w:r>
      <w:r w:rsidR="00EC7EDF" w:rsidRPr="00FD211F">
        <w:rPr>
          <w:sz w:val="36"/>
          <w:szCs w:val="36"/>
          <w:rtl/>
        </w:rPr>
        <w:t xml:space="preserve">ة </w:t>
      </w:r>
      <w:r w:rsidR="00D96EF8" w:rsidRPr="00FD211F">
        <w:rPr>
          <w:sz w:val="36"/>
          <w:szCs w:val="36"/>
          <w:rtl/>
        </w:rPr>
        <w:t>ل</w:t>
      </w:r>
      <w:r w:rsidR="00D815DE" w:rsidRPr="00FD211F">
        <w:rPr>
          <w:sz w:val="36"/>
          <w:szCs w:val="36"/>
          <w:rtl/>
        </w:rPr>
        <w:t>إراد</w:t>
      </w:r>
      <w:r w:rsidR="00EC7EDF" w:rsidRPr="00FD211F">
        <w:rPr>
          <w:sz w:val="36"/>
          <w:szCs w:val="36"/>
          <w:rtl/>
        </w:rPr>
        <w:t xml:space="preserve">ة </w:t>
      </w:r>
      <w:r w:rsidR="00D96EF8" w:rsidRPr="00FD211F">
        <w:rPr>
          <w:sz w:val="36"/>
          <w:szCs w:val="36"/>
          <w:rtl/>
        </w:rPr>
        <w:t>الفعل ولكن</w:t>
      </w:r>
      <w:r w:rsidR="00014E9E" w:rsidRPr="00FD211F">
        <w:rPr>
          <w:sz w:val="36"/>
          <w:szCs w:val="36"/>
          <w:rtl/>
        </w:rPr>
        <w:t xml:space="preserve"> سنخ عليته التام</w:t>
      </w:r>
      <w:r w:rsidR="00EC7EDF" w:rsidRPr="00FD211F">
        <w:rPr>
          <w:sz w:val="36"/>
          <w:szCs w:val="36"/>
          <w:rtl/>
        </w:rPr>
        <w:t xml:space="preserve">ة </w:t>
      </w:r>
      <w:r w:rsidR="00D96EF8" w:rsidRPr="00FD211F">
        <w:rPr>
          <w:sz w:val="36"/>
          <w:szCs w:val="36"/>
          <w:rtl/>
        </w:rPr>
        <w:t>يكون</w:t>
      </w:r>
      <w:r w:rsidR="00014E9E" w:rsidRPr="00FD211F">
        <w:rPr>
          <w:sz w:val="36"/>
          <w:szCs w:val="36"/>
          <w:rtl/>
        </w:rPr>
        <w:t xml:space="preserve"> بنحو</w:t>
      </w:r>
      <w:r w:rsidR="00D96EF8" w:rsidRPr="00FD211F">
        <w:rPr>
          <w:sz w:val="36"/>
          <w:szCs w:val="36"/>
          <w:rtl/>
        </w:rPr>
        <w:t xml:space="preserve"> يمكن ان</w:t>
      </w:r>
      <w:r w:rsidR="00014E9E" w:rsidRPr="00FD211F">
        <w:rPr>
          <w:sz w:val="36"/>
          <w:szCs w:val="36"/>
          <w:rtl/>
        </w:rPr>
        <w:t xml:space="preserve"> يتخلف معلوله</w:t>
      </w:r>
      <w:r w:rsidR="002202BF" w:rsidRPr="00FD211F">
        <w:rPr>
          <w:sz w:val="36"/>
          <w:szCs w:val="36"/>
          <w:rtl/>
        </w:rPr>
        <w:t xml:space="preserve"> عنه</w:t>
      </w:r>
      <w:r w:rsidR="00D96EF8" w:rsidRPr="00FD211F">
        <w:rPr>
          <w:sz w:val="36"/>
          <w:szCs w:val="36"/>
          <w:rtl/>
        </w:rPr>
        <w:t xml:space="preserve"> الا اذا اراد اعمال السلطن</w:t>
      </w:r>
      <w:r w:rsidR="00EC7EDF" w:rsidRPr="00FD211F">
        <w:rPr>
          <w:sz w:val="36"/>
          <w:szCs w:val="36"/>
          <w:rtl/>
        </w:rPr>
        <w:t xml:space="preserve">ة </w:t>
      </w:r>
      <w:r w:rsidR="00D96EF8" w:rsidRPr="00FD211F">
        <w:rPr>
          <w:sz w:val="36"/>
          <w:szCs w:val="36"/>
          <w:rtl/>
        </w:rPr>
        <w:t>في ايجاد الفعل</w:t>
      </w:r>
      <w:r w:rsidR="00603323" w:rsidRPr="00FD211F">
        <w:rPr>
          <w:sz w:val="36"/>
          <w:szCs w:val="36"/>
          <w:rtl/>
        </w:rPr>
        <w:t xml:space="preserve">، </w:t>
      </w:r>
      <w:r w:rsidR="00014E9E" w:rsidRPr="00FD211F">
        <w:rPr>
          <w:sz w:val="36"/>
          <w:szCs w:val="36"/>
          <w:rtl/>
        </w:rPr>
        <w:t>و</w:t>
      </w:r>
      <w:r w:rsidR="00D96EF8" w:rsidRPr="00FD211F">
        <w:rPr>
          <w:sz w:val="36"/>
          <w:szCs w:val="36"/>
          <w:rtl/>
        </w:rPr>
        <w:t>أ</w:t>
      </w:r>
      <w:r w:rsidR="00014E9E" w:rsidRPr="00FD211F">
        <w:rPr>
          <w:sz w:val="36"/>
          <w:szCs w:val="36"/>
          <w:rtl/>
        </w:rPr>
        <w:t xml:space="preserve">ما </w:t>
      </w:r>
      <w:r w:rsidR="00D96EF8" w:rsidRPr="00FD211F">
        <w:rPr>
          <w:sz w:val="36"/>
          <w:szCs w:val="36"/>
          <w:rtl/>
        </w:rPr>
        <w:t xml:space="preserve">ما </w:t>
      </w:r>
      <w:r w:rsidR="00014E9E" w:rsidRPr="00FD211F">
        <w:rPr>
          <w:sz w:val="36"/>
          <w:szCs w:val="36"/>
          <w:rtl/>
        </w:rPr>
        <w:t>عليه جمهور الفلاسف</w:t>
      </w:r>
      <w:r w:rsidR="00EC7EDF" w:rsidRPr="00FD211F">
        <w:rPr>
          <w:sz w:val="36"/>
          <w:szCs w:val="36"/>
          <w:rtl/>
        </w:rPr>
        <w:t xml:space="preserve">ة </w:t>
      </w:r>
      <w:r w:rsidR="00014E9E" w:rsidRPr="00FD211F">
        <w:rPr>
          <w:sz w:val="36"/>
          <w:szCs w:val="36"/>
          <w:rtl/>
        </w:rPr>
        <w:t>من أن ال</w:t>
      </w:r>
      <w:r w:rsidR="00D815DE" w:rsidRPr="00FD211F">
        <w:rPr>
          <w:sz w:val="36"/>
          <w:szCs w:val="36"/>
          <w:rtl/>
        </w:rPr>
        <w:t>إراد</w:t>
      </w:r>
      <w:r w:rsidR="00EC7EDF" w:rsidRPr="00FD211F">
        <w:rPr>
          <w:sz w:val="36"/>
          <w:szCs w:val="36"/>
          <w:rtl/>
        </w:rPr>
        <w:t xml:space="preserve">ة </w:t>
      </w:r>
      <w:r w:rsidR="00014E9E" w:rsidRPr="00FD211F">
        <w:rPr>
          <w:sz w:val="36"/>
          <w:szCs w:val="36"/>
          <w:rtl/>
        </w:rPr>
        <w:t>لما كانت ممكن</w:t>
      </w:r>
      <w:r w:rsidR="00EC7EDF" w:rsidRPr="00FD211F">
        <w:rPr>
          <w:sz w:val="36"/>
          <w:szCs w:val="36"/>
          <w:rtl/>
        </w:rPr>
        <w:t xml:space="preserve">ة </w:t>
      </w:r>
      <w:r w:rsidR="00014E9E" w:rsidRPr="00FD211F">
        <w:rPr>
          <w:sz w:val="36"/>
          <w:szCs w:val="36"/>
          <w:rtl/>
        </w:rPr>
        <w:t>الوجود فما</w:t>
      </w:r>
      <w:r w:rsidR="008D7B3D" w:rsidRPr="00FD211F">
        <w:rPr>
          <w:sz w:val="36"/>
          <w:szCs w:val="36"/>
          <w:rtl/>
        </w:rPr>
        <w:t xml:space="preserve"> لم‌</w:t>
      </w:r>
      <w:r w:rsidR="00014E9E" w:rsidRPr="00FD211F">
        <w:rPr>
          <w:sz w:val="36"/>
          <w:szCs w:val="36"/>
          <w:rtl/>
        </w:rPr>
        <w:t>توجد علتها التام</w:t>
      </w:r>
      <w:r w:rsidR="00EC7EDF" w:rsidRPr="00FD211F">
        <w:rPr>
          <w:sz w:val="36"/>
          <w:szCs w:val="36"/>
          <w:rtl/>
        </w:rPr>
        <w:t xml:space="preserve">ة </w:t>
      </w:r>
      <w:r w:rsidR="00014E9E" w:rsidRPr="00FD211F">
        <w:rPr>
          <w:sz w:val="36"/>
          <w:szCs w:val="36"/>
          <w:rtl/>
        </w:rPr>
        <w:t>امتنع وجودها بالغير واذا وجدت علتها التام</w:t>
      </w:r>
      <w:r w:rsidR="00EC7EDF" w:rsidRPr="00FD211F">
        <w:rPr>
          <w:sz w:val="36"/>
          <w:szCs w:val="36"/>
          <w:rtl/>
        </w:rPr>
        <w:t xml:space="preserve">ة </w:t>
      </w:r>
      <w:r w:rsidR="00014E9E" w:rsidRPr="00FD211F">
        <w:rPr>
          <w:sz w:val="36"/>
          <w:szCs w:val="36"/>
          <w:rtl/>
        </w:rPr>
        <w:t>وجب وجودها بالغير</w:t>
      </w:r>
      <w:r w:rsidR="00603323" w:rsidRPr="00FD211F">
        <w:rPr>
          <w:sz w:val="36"/>
          <w:szCs w:val="36"/>
          <w:rtl/>
        </w:rPr>
        <w:t xml:space="preserve">، </w:t>
      </w:r>
      <w:r w:rsidR="00DE12CC" w:rsidRPr="00FD211F">
        <w:rPr>
          <w:sz w:val="36"/>
          <w:szCs w:val="36"/>
          <w:rtl/>
        </w:rPr>
        <w:t>فهو التزام بحقيق</w:t>
      </w:r>
      <w:r w:rsidR="00EC7EDF" w:rsidRPr="00FD211F">
        <w:rPr>
          <w:sz w:val="36"/>
          <w:szCs w:val="36"/>
          <w:rtl/>
        </w:rPr>
        <w:t xml:space="preserve">ة </w:t>
      </w:r>
      <w:r w:rsidR="006318CA" w:rsidRPr="00FD211F">
        <w:rPr>
          <w:sz w:val="36"/>
          <w:szCs w:val="36"/>
          <w:rtl/>
        </w:rPr>
        <w:t>الجبر</w:t>
      </w:r>
      <w:r w:rsidR="00603323" w:rsidRPr="00FD211F">
        <w:rPr>
          <w:sz w:val="36"/>
          <w:szCs w:val="36"/>
          <w:rtl/>
        </w:rPr>
        <w:t xml:space="preserve">، </w:t>
      </w:r>
      <w:r w:rsidR="00DE12CC" w:rsidRPr="00FD211F">
        <w:rPr>
          <w:sz w:val="36"/>
          <w:szCs w:val="36"/>
          <w:rtl/>
        </w:rPr>
        <w:t xml:space="preserve">حيث أن </w:t>
      </w:r>
      <w:r w:rsidR="002202BF" w:rsidRPr="00FD211F">
        <w:rPr>
          <w:sz w:val="36"/>
          <w:szCs w:val="36"/>
          <w:rtl/>
        </w:rPr>
        <w:t>لازمه ان يمتنع ل</w:t>
      </w:r>
      <w:r w:rsidR="00D96EF8" w:rsidRPr="00FD211F">
        <w:rPr>
          <w:sz w:val="36"/>
          <w:szCs w:val="36"/>
          <w:rtl/>
        </w:rPr>
        <w:t>قاتل الحسين</w:t>
      </w:r>
      <w:r w:rsidR="00D052EE" w:rsidRPr="00FD211F">
        <w:rPr>
          <w:sz w:val="36"/>
          <w:szCs w:val="36"/>
          <w:rtl/>
        </w:rPr>
        <w:t xml:space="preserve"> </w:t>
      </w:r>
      <w:r w:rsidR="007A4A0D" w:rsidRPr="00FD211F">
        <w:rPr>
          <w:sz w:val="36"/>
          <w:szCs w:val="36"/>
          <w:rtl/>
        </w:rPr>
        <w:t>(عليه‌السلام)</w:t>
      </w:r>
      <w:r w:rsidR="00D96EF8" w:rsidRPr="00FD211F">
        <w:rPr>
          <w:sz w:val="36"/>
          <w:szCs w:val="36"/>
          <w:rtl/>
        </w:rPr>
        <w:t xml:space="preserve"> </w:t>
      </w:r>
      <w:r w:rsidR="002202BF" w:rsidRPr="00FD211F">
        <w:rPr>
          <w:sz w:val="36"/>
          <w:szCs w:val="36"/>
          <w:rtl/>
        </w:rPr>
        <w:t>ان لايريد</w:t>
      </w:r>
      <w:r w:rsidR="00D052EE" w:rsidRPr="00FD211F">
        <w:rPr>
          <w:sz w:val="36"/>
          <w:szCs w:val="36"/>
          <w:rtl/>
        </w:rPr>
        <w:t xml:space="preserve"> </w:t>
      </w:r>
      <w:r w:rsidR="00014E9E" w:rsidRPr="00FD211F">
        <w:rPr>
          <w:sz w:val="36"/>
          <w:szCs w:val="36"/>
          <w:rtl/>
        </w:rPr>
        <w:t xml:space="preserve">قتله </w:t>
      </w:r>
      <w:r w:rsidR="006318CA" w:rsidRPr="00FD211F">
        <w:rPr>
          <w:sz w:val="36"/>
          <w:szCs w:val="36"/>
          <w:rtl/>
        </w:rPr>
        <w:t xml:space="preserve">بعد </w:t>
      </w:r>
      <w:r w:rsidR="009B331B" w:rsidRPr="00FD211F">
        <w:rPr>
          <w:sz w:val="36"/>
          <w:szCs w:val="36"/>
          <w:rtl/>
        </w:rPr>
        <w:t>تحقق العل</w:t>
      </w:r>
      <w:r w:rsidR="00EC7EDF" w:rsidRPr="00FD211F">
        <w:rPr>
          <w:sz w:val="36"/>
          <w:szCs w:val="36"/>
          <w:rtl/>
        </w:rPr>
        <w:t xml:space="preserve">ة </w:t>
      </w:r>
      <w:r w:rsidR="009B331B" w:rsidRPr="00FD211F">
        <w:rPr>
          <w:sz w:val="36"/>
          <w:szCs w:val="36"/>
          <w:rtl/>
        </w:rPr>
        <w:t>التام</w:t>
      </w:r>
      <w:r w:rsidR="00EC7EDF" w:rsidRPr="00FD211F">
        <w:rPr>
          <w:sz w:val="36"/>
          <w:szCs w:val="36"/>
          <w:rtl/>
        </w:rPr>
        <w:t xml:space="preserve">ة </w:t>
      </w:r>
      <w:r w:rsidR="009B331B" w:rsidRPr="00FD211F">
        <w:rPr>
          <w:sz w:val="36"/>
          <w:szCs w:val="36"/>
          <w:rtl/>
        </w:rPr>
        <w:t>ل</w:t>
      </w:r>
      <w:r w:rsidR="002202BF" w:rsidRPr="00FD211F">
        <w:rPr>
          <w:sz w:val="36"/>
          <w:szCs w:val="36"/>
          <w:rtl/>
        </w:rPr>
        <w:t>إرادته</w:t>
      </w:r>
      <w:r w:rsidR="006318CA" w:rsidRPr="00FD211F">
        <w:rPr>
          <w:sz w:val="36"/>
          <w:szCs w:val="36"/>
          <w:rtl/>
        </w:rPr>
        <w:t xml:space="preserve"> </w:t>
      </w:r>
      <w:r w:rsidR="005210AF">
        <w:rPr>
          <w:sz w:val="36"/>
          <w:szCs w:val="36"/>
          <w:rtl/>
        </w:rPr>
        <w:t>كما كان يمتنع على ناصر</w:t>
      </w:r>
      <w:r w:rsidR="00DE12CC" w:rsidRPr="00FD211F">
        <w:rPr>
          <w:sz w:val="36"/>
          <w:szCs w:val="36"/>
          <w:rtl/>
        </w:rPr>
        <w:t xml:space="preserve">ه </w:t>
      </w:r>
      <w:r w:rsidR="00014E9E" w:rsidRPr="00FD211F">
        <w:rPr>
          <w:sz w:val="36"/>
          <w:szCs w:val="36"/>
          <w:rtl/>
        </w:rPr>
        <w:t>ان</w:t>
      </w:r>
      <w:r w:rsidR="00DE12CC" w:rsidRPr="00FD211F">
        <w:rPr>
          <w:sz w:val="36"/>
          <w:szCs w:val="36"/>
          <w:rtl/>
        </w:rPr>
        <w:t xml:space="preserve"> لايريد نصره</w:t>
      </w:r>
      <w:r w:rsidR="00B253CE" w:rsidRPr="00FD211F">
        <w:rPr>
          <w:sz w:val="36"/>
          <w:szCs w:val="36"/>
          <w:rtl/>
        </w:rPr>
        <w:t xml:space="preserve"> </w:t>
      </w:r>
      <w:r w:rsidR="006318CA" w:rsidRPr="00FD211F">
        <w:rPr>
          <w:sz w:val="36"/>
          <w:szCs w:val="36"/>
          <w:rtl/>
        </w:rPr>
        <w:t xml:space="preserve">بعد </w:t>
      </w:r>
      <w:r w:rsidR="00305B69" w:rsidRPr="00FD211F">
        <w:rPr>
          <w:sz w:val="36"/>
          <w:szCs w:val="36"/>
          <w:rtl/>
        </w:rPr>
        <w:t>تحقق العل</w:t>
      </w:r>
      <w:r w:rsidR="00EC7EDF" w:rsidRPr="00FD211F">
        <w:rPr>
          <w:sz w:val="36"/>
          <w:szCs w:val="36"/>
          <w:rtl/>
        </w:rPr>
        <w:t xml:space="preserve">ة </w:t>
      </w:r>
      <w:r w:rsidR="00305B69" w:rsidRPr="00FD211F">
        <w:rPr>
          <w:sz w:val="36"/>
          <w:szCs w:val="36"/>
          <w:rtl/>
        </w:rPr>
        <w:t>التام</w:t>
      </w:r>
      <w:r w:rsidR="00EC7EDF" w:rsidRPr="00FD211F">
        <w:rPr>
          <w:sz w:val="36"/>
          <w:szCs w:val="36"/>
          <w:rtl/>
        </w:rPr>
        <w:t xml:space="preserve">ة </w:t>
      </w:r>
      <w:r w:rsidR="00305B69" w:rsidRPr="00FD211F">
        <w:rPr>
          <w:sz w:val="36"/>
          <w:szCs w:val="36"/>
          <w:rtl/>
        </w:rPr>
        <w:t>ل</w:t>
      </w:r>
      <w:r w:rsidR="00D815DE" w:rsidRPr="00FD211F">
        <w:rPr>
          <w:sz w:val="36"/>
          <w:szCs w:val="36"/>
          <w:rtl/>
        </w:rPr>
        <w:t>إراد</w:t>
      </w:r>
      <w:r w:rsidR="00EC7EDF" w:rsidRPr="00FD211F">
        <w:rPr>
          <w:sz w:val="36"/>
          <w:szCs w:val="36"/>
          <w:rtl/>
        </w:rPr>
        <w:t xml:space="preserve">ة </w:t>
      </w:r>
      <w:r w:rsidR="00305B69" w:rsidRPr="00FD211F">
        <w:rPr>
          <w:sz w:val="36"/>
          <w:szCs w:val="36"/>
          <w:rtl/>
        </w:rPr>
        <w:t>نصره</w:t>
      </w:r>
      <w:r w:rsidR="00603323" w:rsidRPr="00FD211F">
        <w:rPr>
          <w:sz w:val="36"/>
          <w:szCs w:val="36"/>
          <w:rtl/>
        </w:rPr>
        <w:t xml:space="preserve">، </w:t>
      </w:r>
      <w:r w:rsidR="009B331B" w:rsidRPr="00FD211F">
        <w:rPr>
          <w:sz w:val="36"/>
          <w:szCs w:val="36"/>
          <w:rtl/>
        </w:rPr>
        <w:t>و</w:t>
      </w:r>
      <w:r w:rsidR="006D4F4C" w:rsidRPr="00FD211F">
        <w:rPr>
          <w:sz w:val="36"/>
          <w:szCs w:val="36"/>
          <w:rtl/>
        </w:rPr>
        <w:t xml:space="preserve">لايجدي </w:t>
      </w:r>
      <w:r w:rsidR="009B331B" w:rsidRPr="00FD211F">
        <w:rPr>
          <w:sz w:val="36"/>
          <w:szCs w:val="36"/>
          <w:rtl/>
        </w:rPr>
        <w:t>دعوى ان بعض مبادئ ال</w:t>
      </w:r>
      <w:r w:rsidR="00D815DE" w:rsidRPr="00FD211F">
        <w:rPr>
          <w:sz w:val="36"/>
          <w:szCs w:val="36"/>
          <w:rtl/>
        </w:rPr>
        <w:t>إراد</w:t>
      </w:r>
      <w:r w:rsidR="00EC7EDF" w:rsidRPr="00FD211F">
        <w:rPr>
          <w:sz w:val="36"/>
          <w:szCs w:val="36"/>
          <w:rtl/>
        </w:rPr>
        <w:t xml:space="preserve">ة </w:t>
      </w:r>
      <w:r w:rsidR="009B331B" w:rsidRPr="00FD211F">
        <w:rPr>
          <w:sz w:val="36"/>
          <w:szCs w:val="36"/>
          <w:rtl/>
        </w:rPr>
        <w:t>يكون اراديا</w:t>
      </w:r>
      <w:r w:rsidR="00603323" w:rsidRPr="00FD211F">
        <w:rPr>
          <w:sz w:val="36"/>
          <w:szCs w:val="36"/>
          <w:rtl/>
        </w:rPr>
        <w:t xml:space="preserve">، </w:t>
      </w:r>
      <w:r w:rsidR="00841D81" w:rsidRPr="00FD211F">
        <w:rPr>
          <w:sz w:val="36"/>
          <w:szCs w:val="36"/>
          <w:rtl/>
        </w:rPr>
        <w:t>لانا ننقل الكلام اليه</w:t>
      </w:r>
      <w:r w:rsidR="00603323" w:rsidRPr="00FD211F">
        <w:rPr>
          <w:sz w:val="36"/>
          <w:szCs w:val="36"/>
          <w:rtl/>
        </w:rPr>
        <w:t xml:space="preserve">، </w:t>
      </w:r>
      <w:r w:rsidR="00BC5597" w:rsidRPr="00FD211F">
        <w:rPr>
          <w:sz w:val="36"/>
          <w:szCs w:val="36"/>
          <w:rtl/>
        </w:rPr>
        <w:t>فنسأل عن كيف</w:t>
      </w:r>
      <w:r w:rsidR="00DE12CC" w:rsidRPr="00FD211F">
        <w:rPr>
          <w:sz w:val="36"/>
          <w:szCs w:val="36"/>
          <w:rtl/>
        </w:rPr>
        <w:t>ي</w:t>
      </w:r>
      <w:r w:rsidR="00EC7EDF" w:rsidRPr="00FD211F">
        <w:rPr>
          <w:sz w:val="36"/>
          <w:szCs w:val="36"/>
          <w:rtl/>
        </w:rPr>
        <w:t xml:space="preserve">ة </w:t>
      </w:r>
      <w:r w:rsidR="00DE12CC" w:rsidRPr="00FD211F">
        <w:rPr>
          <w:sz w:val="36"/>
          <w:szCs w:val="36"/>
          <w:rtl/>
        </w:rPr>
        <w:t>صدوره</w:t>
      </w:r>
      <w:r w:rsidR="00603323" w:rsidRPr="00FD211F">
        <w:rPr>
          <w:sz w:val="36"/>
          <w:szCs w:val="36"/>
          <w:rtl/>
        </w:rPr>
        <w:t xml:space="preserve">، </w:t>
      </w:r>
      <w:r w:rsidR="00DE12CC" w:rsidRPr="00FD211F">
        <w:rPr>
          <w:sz w:val="36"/>
          <w:szCs w:val="36"/>
          <w:rtl/>
        </w:rPr>
        <w:t>فيعود الاشكال من جديد.</w:t>
      </w:r>
    </w:p>
    <w:p w14:paraId="5430A8FB" w14:textId="77777777" w:rsidR="00014E9E" w:rsidRPr="00FD211F" w:rsidRDefault="00305B69" w:rsidP="009C58C8">
      <w:pPr>
        <w:ind w:left="0" w:firstLine="227"/>
        <w:jc w:val="both"/>
        <w:rPr>
          <w:sz w:val="36"/>
          <w:szCs w:val="36"/>
          <w:rtl/>
        </w:rPr>
      </w:pPr>
      <w:r w:rsidRPr="00FD211F">
        <w:rPr>
          <w:sz w:val="36"/>
          <w:szCs w:val="36"/>
          <w:rtl/>
        </w:rPr>
        <w:t xml:space="preserve">وعليه فلايحتاج </w:t>
      </w:r>
      <w:r w:rsidR="00D815DE" w:rsidRPr="00FD211F">
        <w:rPr>
          <w:sz w:val="36"/>
          <w:szCs w:val="36"/>
          <w:rtl/>
        </w:rPr>
        <w:t>إراد</w:t>
      </w:r>
      <w:r w:rsidR="00EC7EDF" w:rsidRPr="00FD211F">
        <w:rPr>
          <w:sz w:val="36"/>
          <w:szCs w:val="36"/>
          <w:rtl/>
        </w:rPr>
        <w:t xml:space="preserve">ة </w:t>
      </w:r>
      <w:r w:rsidRPr="00FD211F">
        <w:rPr>
          <w:sz w:val="36"/>
          <w:szCs w:val="36"/>
          <w:rtl/>
        </w:rPr>
        <w:t>وضع لفظ معين لمعنى الى اكثر من اعمال الواضع سلطنته في سبيل ذلك.</w:t>
      </w:r>
    </w:p>
    <w:p w14:paraId="69CF834B" w14:textId="77777777" w:rsidR="000D4946" w:rsidRPr="00FD211F" w:rsidRDefault="00305B69" w:rsidP="009C58C8">
      <w:pPr>
        <w:ind w:left="0" w:firstLine="227"/>
        <w:jc w:val="both"/>
        <w:rPr>
          <w:sz w:val="36"/>
          <w:szCs w:val="36"/>
          <w:rtl/>
        </w:rPr>
      </w:pPr>
      <w:r w:rsidRPr="00FD211F">
        <w:rPr>
          <w:b/>
          <w:bCs/>
          <w:sz w:val="36"/>
          <w:szCs w:val="36"/>
          <w:rtl/>
        </w:rPr>
        <w:t>وثانيا</w:t>
      </w:r>
      <w:r w:rsidRPr="00FD211F">
        <w:rPr>
          <w:sz w:val="36"/>
          <w:szCs w:val="36"/>
          <w:rtl/>
        </w:rPr>
        <w:t>: ان غاي</w:t>
      </w:r>
      <w:r w:rsidR="00EC7EDF" w:rsidRPr="00FD211F">
        <w:rPr>
          <w:sz w:val="36"/>
          <w:szCs w:val="36"/>
          <w:rtl/>
        </w:rPr>
        <w:t xml:space="preserve">ة </w:t>
      </w:r>
      <w:r w:rsidRPr="00FD211F">
        <w:rPr>
          <w:sz w:val="36"/>
          <w:szCs w:val="36"/>
          <w:rtl/>
        </w:rPr>
        <w:t xml:space="preserve">ذلك </w:t>
      </w:r>
      <w:r w:rsidR="000D4946" w:rsidRPr="00FD211F">
        <w:rPr>
          <w:sz w:val="36"/>
          <w:szCs w:val="36"/>
          <w:rtl/>
        </w:rPr>
        <w:t>هو لزوم المرجح</w:t>
      </w:r>
      <w:r w:rsidR="00BC5597" w:rsidRPr="00FD211F">
        <w:rPr>
          <w:sz w:val="36"/>
          <w:szCs w:val="36"/>
          <w:rtl/>
        </w:rPr>
        <w:t xml:space="preserve"> النفساني</w:t>
      </w:r>
      <w:r w:rsidR="000D4946" w:rsidRPr="00FD211F">
        <w:rPr>
          <w:sz w:val="36"/>
          <w:szCs w:val="36"/>
          <w:rtl/>
        </w:rPr>
        <w:t xml:space="preserve"> ل</w:t>
      </w:r>
      <w:r w:rsidR="00D815DE" w:rsidRPr="00FD211F">
        <w:rPr>
          <w:sz w:val="36"/>
          <w:szCs w:val="36"/>
          <w:rtl/>
        </w:rPr>
        <w:t>إراد</w:t>
      </w:r>
      <w:r w:rsidR="00EC7EDF" w:rsidRPr="00FD211F">
        <w:rPr>
          <w:sz w:val="36"/>
          <w:szCs w:val="36"/>
          <w:rtl/>
        </w:rPr>
        <w:t xml:space="preserve">ة </w:t>
      </w:r>
      <w:r w:rsidR="000D4946" w:rsidRPr="00FD211F">
        <w:rPr>
          <w:sz w:val="36"/>
          <w:szCs w:val="36"/>
          <w:rtl/>
        </w:rPr>
        <w:t>وضع هذا اللفظ بازاء معناه ولايختص</w:t>
      </w:r>
      <w:r w:rsidRPr="00FD211F">
        <w:rPr>
          <w:sz w:val="36"/>
          <w:szCs w:val="36"/>
          <w:rtl/>
        </w:rPr>
        <w:t xml:space="preserve"> المرجح</w:t>
      </w:r>
      <w:r w:rsidR="000D4946" w:rsidRPr="00FD211F">
        <w:rPr>
          <w:sz w:val="36"/>
          <w:szCs w:val="36"/>
          <w:rtl/>
        </w:rPr>
        <w:t xml:space="preserve"> بالمناسب</w:t>
      </w:r>
      <w:r w:rsidR="00EC7EDF" w:rsidRPr="00FD211F">
        <w:rPr>
          <w:sz w:val="36"/>
          <w:szCs w:val="36"/>
          <w:rtl/>
        </w:rPr>
        <w:t xml:space="preserve">ة </w:t>
      </w:r>
      <w:r w:rsidR="00BC5597" w:rsidRPr="00FD211F">
        <w:rPr>
          <w:sz w:val="36"/>
          <w:szCs w:val="36"/>
          <w:rtl/>
        </w:rPr>
        <w:t>الذاتي</w:t>
      </w:r>
      <w:r w:rsidR="00EC7EDF" w:rsidRPr="00FD211F">
        <w:rPr>
          <w:sz w:val="36"/>
          <w:szCs w:val="36"/>
          <w:rtl/>
        </w:rPr>
        <w:t xml:space="preserve">ة </w:t>
      </w:r>
      <w:r w:rsidR="000D4946" w:rsidRPr="00FD211F">
        <w:rPr>
          <w:sz w:val="36"/>
          <w:szCs w:val="36"/>
          <w:rtl/>
        </w:rPr>
        <w:t>بين</w:t>
      </w:r>
      <w:r w:rsidR="006D4F4C" w:rsidRPr="00FD211F">
        <w:rPr>
          <w:sz w:val="36"/>
          <w:szCs w:val="36"/>
          <w:rtl/>
        </w:rPr>
        <w:t xml:space="preserve"> اللفظ والمعنى</w:t>
      </w:r>
      <w:r w:rsidRPr="00FD211F">
        <w:rPr>
          <w:sz w:val="36"/>
          <w:szCs w:val="36"/>
          <w:rtl/>
        </w:rPr>
        <w:t>.</w:t>
      </w:r>
    </w:p>
    <w:p w14:paraId="58ECB37B" w14:textId="77777777" w:rsidR="007F5659" w:rsidRPr="00FD211F" w:rsidRDefault="00305B69" w:rsidP="009C58C8">
      <w:pPr>
        <w:ind w:left="0" w:firstLine="227"/>
        <w:jc w:val="both"/>
        <w:rPr>
          <w:sz w:val="36"/>
          <w:szCs w:val="36"/>
          <w:rtl/>
        </w:rPr>
      </w:pPr>
      <w:r w:rsidRPr="00FD211F">
        <w:rPr>
          <w:sz w:val="36"/>
          <w:szCs w:val="36"/>
          <w:rtl/>
        </w:rPr>
        <w:t>2- ما هو المشهور من ان سببي</w:t>
      </w:r>
      <w:r w:rsidR="00EC7EDF" w:rsidRPr="00FD211F">
        <w:rPr>
          <w:sz w:val="36"/>
          <w:szCs w:val="36"/>
          <w:rtl/>
        </w:rPr>
        <w:t xml:space="preserve">ة </w:t>
      </w:r>
      <w:r w:rsidRPr="00FD211F">
        <w:rPr>
          <w:sz w:val="36"/>
          <w:szCs w:val="36"/>
          <w:rtl/>
        </w:rPr>
        <w:t>تصور اللفظ لتصور المعنى ناشئ</w:t>
      </w:r>
      <w:r w:rsidR="00EC7EDF" w:rsidRPr="00FD211F">
        <w:rPr>
          <w:sz w:val="36"/>
          <w:szCs w:val="36"/>
          <w:rtl/>
        </w:rPr>
        <w:t xml:space="preserve">ة </w:t>
      </w:r>
      <w:r w:rsidRPr="00FD211F">
        <w:rPr>
          <w:sz w:val="36"/>
          <w:szCs w:val="36"/>
          <w:rtl/>
        </w:rPr>
        <w:t>عن علاق</w:t>
      </w:r>
      <w:r w:rsidR="00EC7EDF" w:rsidRPr="00FD211F">
        <w:rPr>
          <w:sz w:val="36"/>
          <w:szCs w:val="36"/>
          <w:rtl/>
        </w:rPr>
        <w:t xml:space="preserve">ة </w:t>
      </w:r>
      <w:r w:rsidRPr="00FD211F">
        <w:rPr>
          <w:sz w:val="36"/>
          <w:szCs w:val="36"/>
          <w:rtl/>
        </w:rPr>
        <w:t>حاصل</w:t>
      </w:r>
      <w:r w:rsidR="00EC7EDF" w:rsidRPr="00FD211F">
        <w:rPr>
          <w:sz w:val="36"/>
          <w:szCs w:val="36"/>
          <w:rtl/>
        </w:rPr>
        <w:t xml:space="preserve">ة </w:t>
      </w:r>
      <w:r w:rsidRPr="00FD211F">
        <w:rPr>
          <w:sz w:val="36"/>
          <w:szCs w:val="36"/>
          <w:rtl/>
        </w:rPr>
        <w:t>بين اللفظ والمعنى نتيج</w:t>
      </w:r>
      <w:r w:rsidR="00EC7EDF" w:rsidRPr="00FD211F">
        <w:rPr>
          <w:sz w:val="36"/>
          <w:szCs w:val="36"/>
          <w:rtl/>
        </w:rPr>
        <w:t xml:space="preserve">ة </w:t>
      </w:r>
      <w:r w:rsidRPr="00FD211F">
        <w:rPr>
          <w:sz w:val="36"/>
          <w:szCs w:val="36"/>
          <w:rtl/>
        </w:rPr>
        <w:t xml:space="preserve">عامل خارجي </w:t>
      </w:r>
      <w:r w:rsidR="00BC5597" w:rsidRPr="00FD211F">
        <w:rPr>
          <w:sz w:val="36"/>
          <w:szCs w:val="36"/>
          <w:rtl/>
        </w:rPr>
        <w:t>يعبر عنه بالوضع</w:t>
      </w:r>
      <w:r w:rsidR="00603323" w:rsidRPr="00FD211F">
        <w:rPr>
          <w:sz w:val="36"/>
          <w:szCs w:val="36"/>
          <w:rtl/>
        </w:rPr>
        <w:t xml:space="preserve">، </w:t>
      </w:r>
      <w:r w:rsidR="00BC5597" w:rsidRPr="00FD211F">
        <w:rPr>
          <w:sz w:val="36"/>
          <w:szCs w:val="36"/>
          <w:rtl/>
        </w:rPr>
        <w:t>وهذا هو الصحيح</w:t>
      </w:r>
      <w:r w:rsidR="00603323" w:rsidRPr="00FD211F">
        <w:rPr>
          <w:sz w:val="36"/>
          <w:szCs w:val="36"/>
          <w:rtl/>
        </w:rPr>
        <w:t xml:space="preserve">، </w:t>
      </w:r>
      <w:r w:rsidR="00BC5597" w:rsidRPr="00FD211F">
        <w:rPr>
          <w:sz w:val="36"/>
          <w:szCs w:val="36"/>
          <w:rtl/>
        </w:rPr>
        <w:t>وحينئذ فيقع الكلام في حقيق</w:t>
      </w:r>
      <w:r w:rsidR="00EC7EDF" w:rsidRPr="00FD211F">
        <w:rPr>
          <w:sz w:val="36"/>
          <w:szCs w:val="36"/>
          <w:rtl/>
        </w:rPr>
        <w:t xml:space="preserve">ة </w:t>
      </w:r>
      <w:r w:rsidR="00BC5597" w:rsidRPr="00FD211F">
        <w:rPr>
          <w:sz w:val="36"/>
          <w:szCs w:val="36"/>
          <w:rtl/>
        </w:rPr>
        <w:t>الوضع.</w:t>
      </w:r>
      <w:bookmarkStart w:id="91" w:name="درس019دقيقه23"/>
      <w:bookmarkStart w:id="92" w:name="درس008"/>
      <w:bookmarkEnd w:id="91"/>
      <w:bookmarkEnd w:id="92"/>
    </w:p>
    <w:p w14:paraId="0BAE4A5B" w14:textId="77777777" w:rsidR="007F5659" w:rsidRPr="00FD211F" w:rsidRDefault="009E67FE" w:rsidP="009C58C8">
      <w:pPr>
        <w:ind w:left="0" w:firstLine="227"/>
        <w:jc w:val="both"/>
        <w:rPr>
          <w:sz w:val="36"/>
          <w:szCs w:val="36"/>
          <w:rtl/>
        </w:rPr>
      </w:pPr>
      <w:r w:rsidRPr="00FD211F">
        <w:rPr>
          <w:sz w:val="36"/>
          <w:szCs w:val="36"/>
          <w:rtl/>
        </w:rPr>
        <w:t xml:space="preserve">فنقول قد </w:t>
      </w:r>
      <w:r w:rsidR="007F5659" w:rsidRPr="00FD211F">
        <w:rPr>
          <w:sz w:val="36"/>
          <w:szCs w:val="36"/>
          <w:rtl/>
        </w:rPr>
        <w:t xml:space="preserve">اختلف </w:t>
      </w:r>
      <w:r w:rsidR="00476DE6" w:rsidRPr="00FD211F">
        <w:rPr>
          <w:sz w:val="36"/>
          <w:szCs w:val="36"/>
          <w:rtl/>
        </w:rPr>
        <w:t>الاعلام في تفسير حقيق</w:t>
      </w:r>
      <w:r w:rsidR="00EC7EDF" w:rsidRPr="00FD211F">
        <w:rPr>
          <w:sz w:val="36"/>
          <w:szCs w:val="36"/>
          <w:rtl/>
        </w:rPr>
        <w:t xml:space="preserve">ة </w:t>
      </w:r>
      <w:r w:rsidR="00476DE6" w:rsidRPr="00FD211F">
        <w:rPr>
          <w:sz w:val="36"/>
          <w:szCs w:val="36"/>
          <w:rtl/>
        </w:rPr>
        <w:t>الوضع لهم في ذلك</w:t>
      </w:r>
      <w:r w:rsidR="007F5659" w:rsidRPr="00FD211F">
        <w:rPr>
          <w:sz w:val="36"/>
          <w:szCs w:val="36"/>
          <w:rtl/>
        </w:rPr>
        <w:t xml:space="preserve"> اربع</w:t>
      </w:r>
      <w:r w:rsidR="00EC7EDF" w:rsidRPr="00FD211F">
        <w:rPr>
          <w:sz w:val="36"/>
          <w:szCs w:val="36"/>
          <w:rtl/>
        </w:rPr>
        <w:t xml:space="preserve">ة </w:t>
      </w:r>
      <w:r w:rsidR="007F5659" w:rsidRPr="00FD211F">
        <w:rPr>
          <w:sz w:val="36"/>
          <w:szCs w:val="36"/>
          <w:rtl/>
        </w:rPr>
        <w:t>مسالك رئيسي</w:t>
      </w:r>
      <w:r w:rsidR="00EC7EDF" w:rsidRPr="00FD211F">
        <w:rPr>
          <w:sz w:val="36"/>
          <w:szCs w:val="36"/>
          <w:rtl/>
        </w:rPr>
        <w:t>ة</w:t>
      </w:r>
      <w:r w:rsidR="007F5659" w:rsidRPr="00FD211F">
        <w:rPr>
          <w:sz w:val="36"/>
          <w:szCs w:val="36"/>
          <w:rtl/>
        </w:rPr>
        <w:t>:</w:t>
      </w:r>
    </w:p>
    <w:p w14:paraId="38674247" w14:textId="77777777" w:rsidR="00043ECD" w:rsidRPr="00FD211F" w:rsidRDefault="0062199B" w:rsidP="009C58C8">
      <w:pPr>
        <w:pStyle w:val="3"/>
        <w:ind w:firstLine="227"/>
        <w:jc w:val="both"/>
        <w:rPr>
          <w:rtl/>
        </w:rPr>
      </w:pPr>
      <w:bookmarkStart w:id="93" w:name="_Toc151944591"/>
      <w:bookmarkStart w:id="94" w:name="_Toc154131718"/>
      <w:bookmarkStart w:id="95" w:name="_Toc156401506"/>
      <w:bookmarkStart w:id="96" w:name="_Toc192092852"/>
      <w:bookmarkStart w:id="97" w:name="_Toc223890323"/>
      <w:r w:rsidRPr="00FD211F">
        <w:rPr>
          <w:rtl/>
        </w:rPr>
        <w:t>ال</w:t>
      </w:r>
      <w:r w:rsidR="00043ECD" w:rsidRPr="00FD211F">
        <w:rPr>
          <w:rtl/>
        </w:rPr>
        <w:t xml:space="preserve">مسلك </w:t>
      </w:r>
      <w:r w:rsidRPr="00FD211F">
        <w:rPr>
          <w:rtl/>
        </w:rPr>
        <w:t>الاول</w:t>
      </w:r>
      <w:r w:rsidR="00EC7EDF" w:rsidRPr="00FD211F">
        <w:rPr>
          <w:rtl/>
        </w:rPr>
        <w:t>:</w:t>
      </w:r>
      <w:r w:rsidR="00043ECD" w:rsidRPr="00FD211F">
        <w:rPr>
          <w:rtl/>
        </w:rPr>
        <w:t>جعل الملازم</w:t>
      </w:r>
      <w:r w:rsidR="00EC7EDF" w:rsidRPr="00FD211F">
        <w:rPr>
          <w:rtl/>
        </w:rPr>
        <w:t xml:space="preserve">ة </w:t>
      </w:r>
      <w:r w:rsidR="00043ECD" w:rsidRPr="00FD211F">
        <w:rPr>
          <w:rtl/>
        </w:rPr>
        <w:t>الواقعي</w:t>
      </w:r>
      <w:r w:rsidR="00EC7EDF" w:rsidRPr="00FD211F">
        <w:rPr>
          <w:rtl/>
        </w:rPr>
        <w:t xml:space="preserve">ة </w:t>
      </w:r>
      <w:r w:rsidR="00377C0D" w:rsidRPr="00FD211F">
        <w:rPr>
          <w:rtl/>
        </w:rPr>
        <w:t>بين اللفظ والمعنى</w:t>
      </w:r>
      <w:bookmarkEnd w:id="93"/>
      <w:bookmarkEnd w:id="94"/>
      <w:bookmarkEnd w:id="95"/>
      <w:bookmarkEnd w:id="96"/>
      <w:bookmarkEnd w:id="97"/>
    </w:p>
    <w:p w14:paraId="6C6660A0" w14:textId="77777777" w:rsidR="005F7115" w:rsidRPr="00FD211F" w:rsidRDefault="00043ECD" w:rsidP="009C58C8">
      <w:pPr>
        <w:ind w:left="0" w:firstLine="227"/>
        <w:jc w:val="both"/>
        <w:rPr>
          <w:sz w:val="36"/>
          <w:szCs w:val="36"/>
          <w:rtl/>
        </w:rPr>
      </w:pPr>
      <w:r w:rsidRPr="00FD211F">
        <w:rPr>
          <w:b/>
          <w:bCs/>
          <w:sz w:val="36"/>
          <w:szCs w:val="36"/>
          <w:rtl/>
        </w:rPr>
        <w:t xml:space="preserve">المسلك </w:t>
      </w:r>
      <w:r w:rsidR="00576693" w:rsidRPr="00FD211F">
        <w:rPr>
          <w:b/>
          <w:bCs/>
          <w:sz w:val="36"/>
          <w:szCs w:val="36"/>
          <w:rtl/>
        </w:rPr>
        <w:t>الأول</w:t>
      </w:r>
      <w:r w:rsidR="007C7D9D" w:rsidRPr="00FD211F">
        <w:rPr>
          <w:sz w:val="36"/>
          <w:szCs w:val="36"/>
          <w:rtl/>
        </w:rPr>
        <w:t>: ما نقله السيدالخوئي عن</w:t>
      </w:r>
      <w:r w:rsidR="00576693" w:rsidRPr="00FD211F">
        <w:rPr>
          <w:sz w:val="36"/>
          <w:szCs w:val="36"/>
          <w:rtl/>
        </w:rPr>
        <w:t xml:space="preserve"> المحقق العراقي</w:t>
      </w:r>
      <w:r w:rsidR="00D052EE" w:rsidRPr="00FD211F">
        <w:rPr>
          <w:sz w:val="36"/>
          <w:szCs w:val="36"/>
          <w:rtl/>
        </w:rPr>
        <w:t xml:space="preserve"> </w:t>
      </w:r>
      <w:r w:rsidR="007C7D9D" w:rsidRPr="00FD211F">
        <w:rPr>
          <w:sz w:val="36"/>
          <w:szCs w:val="36"/>
          <w:rtl/>
        </w:rPr>
        <w:t>"</w:t>
      </w:r>
      <w:r w:rsidR="00576693" w:rsidRPr="00FD211F">
        <w:rPr>
          <w:sz w:val="36"/>
          <w:szCs w:val="36"/>
          <w:rtl/>
        </w:rPr>
        <w:t>قده</w:t>
      </w:r>
      <w:r w:rsidR="007C7D9D" w:rsidRPr="00FD211F">
        <w:rPr>
          <w:sz w:val="36"/>
          <w:szCs w:val="36"/>
          <w:rtl/>
        </w:rPr>
        <w:t>ما"</w:t>
      </w:r>
      <w:r w:rsidR="00576693" w:rsidRPr="00FD211F">
        <w:rPr>
          <w:sz w:val="36"/>
          <w:szCs w:val="36"/>
          <w:rtl/>
        </w:rPr>
        <w:t xml:space="preserve"> من ان حقيق</w:t>
      </w:r>
      <w:r w:rsidR="00EC7EDF" w:rsidRPr="00FD211F">
        <w:rPr>
          <w:sz w:val="36"/>
          <w:szCs w:val="36"/>
          <w:rtl/>
        </w:rPr>
        <w:t xml:space="preserve">ة </w:t>
      </w:r>
      <w:r w:rsidR="00576693" w:rsidRPr="00FD211F">
        <w:rPr>
          <w:sz w:val="36"/>
          <w:szCs w:val="36"/>
          <w:rtl/>
        </w:rPr>
        <w:t>الوضع من الامور الواقعي</w:t>
      </w:r>
      <w:r w:rsidR="00EC7EDF" w:rsidRPr="00FD211F">
        <w:rPr>
          <w:sz w:val="36"/>
          <w:szCs w:val="36"/>
          <w:rtl/>
        </w:rPr>
        <w:t>ة</w:t>
      </w:r>
      <w:r w:rsidR="00603323" w:rsidRPr="00FD211F">
        <w:rPr>
          <w:sz w:val="36"/>
          <w:szCs w:val="36"/>
          <w:rtl/>
        </w:rPr>
        <w:t xml:space="preserve">، </w:t>
      </w:r>
      <w:r w:rsidR="00576693" w:rsidRPr="00FD211F">
        <w:rPr>
          <w:sz w:val="36"/>
          <w:szCs w:val="36"/>
          <w:rtl/>
        </w:rPr>
        <w:t>حيث أنها ملازم</w:t>
      </w:r>
      <w:r w:rsidR="00EC7EDF" w:rsidRPr="00FD211F">
        <w:rPr>
          <w:sz w:val="36"/>
          <w:szCs w:val="36"/>
          <w:rtl/>
        </w:rPr>
        <w:t xml:space="preserve">ة </w:t>
      </w:r>
      <w:r w:rsidR="00576693" w:rsidRPr="00FD211F">
        <w:rPr>
          <w:sz w:val="36"/>
          <w:szCs w:val="36"/>
          <w:rtl/>
        </w:rPr>
        <w:t>خاص</w:t>
      </w:r>
      <w:r w:rsidR="00EC7EDF" w:rsidRPr="00FD211F">
        <w:rPr>
          <w:sz w:val="36"/>
          <w:szCs w:val="36"/>
          <w:rtl/>
        </w:rPr>
        <w:t xml:space="preserve">ة </w:t>
      </w:r>
      <w:r w:rsidR="00576693" w:rsidRPr="00FD211F">
        <w:rPr>
          <w:sz w:val="36"/>
          <w:szCs w:val="36"/>
          <w:rtl/>
        </w:rPr>
        <w:t>بين اللفظ والمعنى نظير الملازمات الثابت</w:t>
      </w:r>
      <w:r w:rsidR="00EC7EDF" w:rsidRPr="00FD211F">
        <w:rPr>
          <w:sz w:val="36"/>
          <w:szCs w:val="36"/>
          <w:rtl/>
        </w:rPr>
        <w:t xml:space="preserve">ة </w:t>
      </w:r>
      <w:r w:rsidR="00576693" w:rsidRPr="00FD211F">
        <w:rPr>
          <w:sz w:val="36"/>
          <w:szCs w:val="36"/>
          <w:rtl/>
        </w:rPr>
        <w:t>بين شيئين</w:t>
      </w:r>
      <w:r w:rsidR="00603323" w:rsidRPr="00FD211F">
        <w:rPr>
          <w:sz w:val="36"/>
          <w:szCs w:val="36"/>
          <w:rtl/>
        </w:rPr>
        <w:t xml:space="preserve">، </w:t>
      </w:r>
      <w:r w:rsidR="00BC5597" w:rsidRPr="00FD211F">
        <w:rPr>
          <w:sz w:val="36"/>
          <w:szCs w:val="36"/>
          <w:rtl/>
        </w:rPr>
        <w:t>كالملازم</w:t>
      </w:r>
      <w:r w:rsidR="00EC7EDF" w:rsidRPr="00FD211F">
        <w:rPr>
          <w:sz w:val="36"/>
          <w:szCs w:val="36"/>
          <w:rtl/>
        </w:rPr>
        <w:t xml:space="preserve">ة </w:t>
      </w:r>
      <w:r w:rsidR="00BC5597" w:rsidRPr="00FD211F">
        <w:rPr>
          <w:sz w:val="36"/>
          <w:szCs w:val="36"/>
          <w:rtl/>
        </w:rPr>
        <w:t>بين وجود العل</w:t>
      </w:r>
      <w:r w:rsidR="00EC7EDF" w:rsidRPr="00FD211F">
        <w:rPr>
          <w:sz w:val="36"/>
          <w:szCs w:val="36"/>
          <w:rtl/>
        </w:rPr>
        <w:t xml:space="preserve">ة </w:t>
      </w:r>
      <w:r w:rsidR="00BC5597" w:rsidRPr="00FD211F">
        <w:rPr>
          <w:sz w:val="36"/>
          <w:szCs w:val="36"/>
          <w:rtl/>
        </w:rPr>
        <w:t>التام</w:t>
      </w:r>
      <w:r w:rsidR="00EC7EDF" w:rsidRPr="00FD211F">
        <w:rPr>
          <w:sz w:val="36"/>
          <w:szCs w:val="36"/>
          <w:rtl/>
        </w:rPr>
        <w:t xml:space="preserve">ة </w:t>
      </w:r>
      <w:r w:rsidR="00BC5597" w:rsidRPr="00FD211F">
        <w:rPr>
          <w:sz w:val="36"/>
          <w:szCs w:val="36"/>
          <w:rtl/>
        </w:rPr>
        <w:t>ومعلولها</w:t>
      </w:r>
      <w:r w:rsidR="00603323" w:rsidRPr="00FD211F">
        <w:rPr>
          <w:sz w:val="36"/>
          <w:szCs w:val="36"/>
          <w:rtl/>
        </w:rPr>
        <w:t xml:space="preserve">، </w:t>
      </w:r>
      <w:r w:rsidR="00437131" w:rsidRPr="00FD211F">
        <w:rPr>
          <w:sz w:val="36"/>
          <w:szCs w:val="36"/>
          <w:rtl/>
        </w:rPr>
        <w:t>غاي</w:t>
      </w:r>
      <w:r w:rsidR="00EC7EDF" w:rsidRPr="00FD211F">
        <w:rPr>
          <w:sz w:val="36"/>
          <w:szCs w:val="36"/>
          <w:rtl/>
        </w:rPr>
        <w:t xml:space="preserve">ة </w:t>
      </w:r>
      <w:r w:rsidR="0090224F" w:rsidRPr="00FD211F">
        <w:rPr>
          <w:sz w:val="36"/>
          <w:szCs w:val="36"/>
          <w:rtl/>
        </w:rPr>
        <w:t xml:space="preserve">الأمر </w:t>
      </w:r>
      <w:r w:rsidR="00BC5597" w:rsidRPr="00FD211F">
        <w:rPr>
          <w:sz w:val="36"/>
          <w:szCs w:val="36"/>
          <w:rtl/>
        </w:rPr>
        <w:t>أ</w:t>
      </w:r>
      <w:r w:rsidR="007C7D9D" w:rsidRPr="00FD211F">
        <w:rPr>
          <w:sz w:val="36"/>
          <w:szCs w:val="36"/>
          <w:rtl/>
        </w:rPr>
        <w:t xml:space="preserve">ن </w:t>
      </w:r>
      <w:r w:rsidR="00437131" w:rsidRPr="00FD211F">
        <w:rPr>
          <w:sz w:val="36"/>
          <w:szCs w:val="36"/>
          <w:rtl/>
        </w:rPr>
        <w:t>الملازم</w:t>
      </w:r>
      <w:r w:rsidR="00EC7EDF" w:rsidRPr="00FD211F">
        <w:rPr>
          <w:sz w:val="36"/>
          <w:szCs w:val="36"/>
          <w:rtl/>
        </w:rPr>
        <w:t xml:space="preserve">ة </w:t>
      </w:r>
      <w:r w:rsidR="00437131" w:rsidRPr="00FD211F">
        <w:rPr>
          <w:sz w:val="36"/>
          <w:szCs w:val="36"/>
          <w:rtl/>
        </w:rPr>
        <w:t>بين</w:t>
      </w:r>
      <w:r w:rsidR="00BC5597" w:rsidRPr="00FD211F">
        <w:rPr>
          <w:sz w:val="36"/>
          <w:szCs w:val="36"/>
          <w:rtl/>
        </w:rPr>
        <w:t xml:space="preserve"> وجود العل</w:t>
      </w:r>
      <w:r w:rsidR="00EC7EDF" w:rsidRPr="00FD211F">
        <w:rPr>
          <w:sz w:val="36"/>
          <w:szCs w:val="36"/>
          <w:rtl/>
        </w:rPr>
        <w:t xml:space="preserve">ة </w:t>
      </w:r>
      <w:r w:rsidR="00BC5597" w:rsidRPr="00FD211F">
        <w:rPr>
          <w:sz w:val="36"/>
          <w:szCs w:val="36"/>
          <w:rtl/>
        </w:rPr>
        <w:t>التام</w:t>
      </w:r>
      <w:r w:rsidR="00EC7EDF" w:rsidRPr="00FD211F">
        <w:rPr>
          <w:sz w:val="36"/>
          <w:szCs w:val="36"/>
          <w:rtl/>
        </w:rPr>
        <w:t xml:space="preserve">ة </w:t>
      </w:r>
      <w:r w:rsidR="00BC5597" w:rsidRPr="00FD211F">
        <w:rPr>
          <w:sz w:val="36"/>
          <w:szCs w:val="36"/>
          <w:rtl/>
        </w:rPr>
        <w:t>ومعلولها</w:t>
      </w:r>
      <w:r w:rsidR="00437131" w:rsidRPr="00FD211F">
        <w:rPr>
          <w:sz w:val="36"/>
          <w:szCs w:val="36"/>
          <w:rtl/>
        </w:rPr>
        <w:t xml:space="preserve"> ذاتي</w:t>
      </w:r>
      <w:r w:rsidR="00EC7EDF" w:rsidRPr="00FD211F">
        <w:rPr>
          <w:sz w:val="36"/>
          <w:szCs w:val="36"/>
          <w:rtl/>
        </w:rPr>
        <w:t xml:space="preserve">ة </w:t>
      </w:r>
      <w:r w:rsidR="00437131" w:rsidRPr="00FD211F">
        <w:rPr>
          <w:sz w:val="36"/>
          <w:szCs w:val="36"/>
          <w:rtl/>
        </w:rPr>
        <w:t>ازلي</w:t>
      </w:r>
      <w:r w:rsidR="00EC7EDF" w:rsidRPr="00FD211F">
        <w:rPr>
          <w:sz w:val="36"/>
          <w:szCs w:val="36"/>
          <w:rtl/>
        </w:rPr>
        <w:t>ة</w:t>
      </w:r>
      <w:r w:rsidR="00603323" w:rsidRPr="00FD211F">
        <w:rPr>
          <w:sz w:val="36"/>
          <w:szCs w:val="36"/>
          <w:rtl/>
        </w:rPr>
        <w:t xml:space="preserve">، </w:t>
      </w:r>
      <w:r w:rsidR="00437131" w:rsidRPr="00FD211F">
        <w:rPr>
          <w:sz w:val="36"/>
          <w:szCs w:val="36"/>
          <w:rtl/>
        </w:rPr>
        <w:t>و</w:t>
      </w:r>
      <w:r w:rsidR="00BC5597" w:rsidRPr="00FD211F">
        <w:rPr>
          <w:sz w:val="36"/>
          <w:szCs w:val="36"/>
          <w:rtl/>
        </w:rPr>
        <w:t xml:space="preserve">لكن </w:t>
      </w:r>
      <w:r w:rsidR="00437131" w:rsidRPr="00FD211F">
        <w:rPr>
          <w:sz w:val="36"/>
          <w:szCs w:val="36"/>
          <w:rtl/>
        </w:rPr>
        <w:t>هذه الملازم</w:t>
      </w:r>
      <w:r w:rsidR="00EC7EDF" w:rsidRPr="00FD211F">
        <w:rPr>
          <w:sz w:val="36"/>
          <w:szCs w:val="36"/>
          <w:rtl/>
        </w:rPr>
        <w:t xml:space="preserve">ة </w:t>
      </w:r>
      <w:r w:rsidR="00437131" w:rsidRPr="00FD211F">
        <w:rPr>
          <w:sz w:val="36"/>
          <w:szCs w:val="36"/>
          <w:rtl/>
        </w:rPr>
        <w:t>بين اللفظ والمعنى ناشئ</w:t>
      </w:r>
      <w:r w:rsidR="00EC7EDF" w:rsidRPr="00FD211F">
        <w:rPr>
          <w:sz w:val="36"/>
          <w:szCs w:val="36"/>
          <w:rtl/>
        </w:rPr>
        <w:t xml:space="preserve">ة </w:t>
      </w:r>
      <w:r w:rsidR="00437131" w:rsidRPr="00FD211F">
        <w:rPr>
          <w:sz w:val="36"/>
          <w:szCs w:val="36"/>
          <w:rtl/>
        </w:rPr>
        <w:t>من الوضع والجعل</w:t>
      </w:r>
      <w:r w:rsidR="00603323" w:rsidRPr="00FD211F">
        <w:rPr>
          <w:sz w:val="36"/>
          <w:szCs w:val="36"/>
          <w:rtl/>
        </w:rPr>
        <w:t xml:space="preserve">، </w:t>
      </w:r>
      <w:r w:rsidR="00BC5597" w:rsidRPr="00FD211F">
        <w:rPr>
          <w:sz w:val="36"/>
          <w:szCs w:val="36"/>
          <w:rtl/>
        </w:rPr>
        <w:t>وعليه</w:t>
      </w:r>
      <w:r w:rsidR="00E96A86" w:rsidRPr="00FD211F">
        <w:rPr>
          <w:sz w:val="36"/>
          <w:szCs w:val="36"/>
          <w:rtl/>
        </w:rPr>
        <w:t xml:space="preserve"> فوضع اللفظ للمعنى يكون عل</w:t>
      </w:r>
      <w:r w:rsidR="00EC7EDF" w:rsidRPr="00FD211F">
        <w:rPr>
          <w:sz w:val="36"/>
          <w:szCs w:val="36"/>
          <w:rtl/>
        </w:rPr>
        <w:t xml:space="preserve">ة </w:t>
      </w:r>
      <w:r w:rsidR="00E96A86" w:rsidRPr="00FD211F">
        <w:rPr>
          <w:sz w:val="36"/>
          <w:szCs w:val="36"/>
          <w:rtl/>
        </w:rPr>
        <w:t>لحدوث الملازم</w:t>
      </w:r>
      <w:r w:rsidR="00EC7EDF" w:rsidRPr="00FD211F">
        <w:rPr>
          <w:sz w:val="36"/>
          <w:szCs w:val="36"/>
          <w:rtl/>
        </w:rPr>
        <w:t xml:space="preserve">ة </w:t>
      </w:r>
      <w:r w:rsidR="00E96A86" w:rsidRPr="00FD211F">
        <w:rPr>
          <w:sz w:val="36"/>
          <w:szCs w:val="36"/>
          <w:rtl/>
        </w:rPr>
        <w:t>الواقعي</w:t>
      </w:r>
      <w:r w:rsidR="00EC7EDF" w:rsidRPr="00FD211F">
        <w:rPr>
          <w:sz w:val="36"/>
          <w:szCs w:val="36"/>
          <w:rtl/>
        </w:rPr>
        <w:t xml:space="preserve">ة </w:t>
      </w:r>
      <w:r w:rsidR="00E96A86" w:rsidRPr="00FD211F">
        <w:rPr>
          <w:sz w:val="36"/>
          <w:szCs w:val="36"/>
          <w:rtl/>
        </w:rPr>
        <w:t>بينهما</w:t>
      </w:r>
      <w:r w:rsidR="005F7115" w:rsidRPr="00FD211F">
        <w:rPr>
          <w:sz w:val="36"/>
          <w:szCs w:val="36"/>
          <w:rtl/>
        </w:rPr>
        <w:t>.</w:t>
      </w:r>
    </w:p>
    <w:p w14:paraId="2E95DB3A" w14:textId="77777777" w:rsidR="00871829" w:rsidRPr="00FD211F" w:rsidRDefault="00871829" w:rsidP="009C58C8">
      <w:pPr>
        <w:ind w:left="0" w:firstLine="227"/>
        <w:jc w:val="both"/>
        <w:rPr>
          <w:sz w:val="36"/>
          <w:szCs w:val="36"/>
          <w:rtl/>
        </w:rPr>
      </w:pPr>
      <w:r w:rsidRPr="00FD211F">
        <w:rPr>
          <w:sz w:val="36"/>
          <w:szCs w:val="36"/>
          <w:rtl/>
        </w:rPr>
        <w:t>و</w:t>
      </w:r>
      <w:r w:rsidR="007C7D9D" w:rsidRPr="00FD211F">
        <w:rPr>
          <w:sz w:val="36"/>
          <w:szCs w:val="36"/>
          <w:rtl/>
        </w:rPr>
        <w:t>هذه الملازم</w:t>
      </w:r>
      <w:r w:rsidR="00EC7EDF" w:rsidRPr="00FD211F">
        <w:rPr>
          <w:sz w:val="36"/>
          <w:szCs w:val="36"/>
          <w:rtl/>
        </w:rPr>
        <w:t xml:space="preserve">ة </w:t>
      </w:r>
      <w:r w:rsidR="007C7D9D" w:rsidRPr="00FD211F">
        <w:rPr>
          <w:sz w:val="36"/>
          <w:szCs w:val="36"/>
          <w:rtl/>
        </w:rPr>
        <w:t>الواقعي</w:t>
      </w:r>
      <w:r w:rsidR="00EC7EDF" w:rsidRPr="00FD211F">
        <w:rPr>
          <w:sz w:val="36"/>
          <w:szCs w:val="36"/>
          <w:rtl/>
        </w:rPr>
        <w:t xml:space="preserve">ة </w:t>
      </w:r>
      <w:r w:rsidRPr="00FD211F">
        <w:rPr>
          <w:sz w:val="36"/>
          <w:szCs w:val="36"/>
          <w:rtl/>
        </w:rPr>
        <w:t>ال</w:t>
      </w:r>
      <w:r w:rsidR="007C7D9D" w:rsidRPr="00FD211F">
        <w:rPr>
          <w:sz w:val="36"/>
          <w:szCs w:val="36"/>
          <w:rtl/>
        </w:rPr>
        <w:t>لفظ والمعنى التي يعبر</w:t>
      </w:r>
      <w:r w:rsidR="004F5212" w:rsidRPr="00FD211F">
        <w:rPr>
          <w:sz w:val="36"/>
          <w:szCs w:val="36"/>
          <w:rtl/>
        </w:rPr>
        <w:t xml:space="preserve"> </w:t>
      </w:r>
      <w:r w:rsidR="007C7D9D" w:rsidRPr="00FD211F">
        <w:rPr>
          <w:sz w:val="36"/>
          <w:szCs w:val="36"/>
          <w:rtl/>
        </w:rPr>
        <w:t>عنها بالعلق</w:t>
      </w:r>
      <w:r w:rsidR="00EC7EDF" w:rsidRPr="00FD211F">
        <w:rPr>
          <w:sz w:val="36"/>
          <w:szCs w:val="36"/>
          <w:rtl/>
        </w:rPr>
        <w:t xml:space="preserve">ة </w:t>
      </w:r>
      <w:r w:rsidR="007C7D9D" w:rsidRPr="00FD211F">
        <w:rPr>
          <w:sz w:val="36"/>
          <w:szCs w:val="36"/>
          <w:rtl/>
        </w:rPr>
        <w:t>الوضعي</w:t>
      </w:r>
      <w:r w:rsidR="00EC7EDF" w:rsidRPr="00FD211F">
        <w:rPr>
          <w:sz w:val="36"/>
          <w:szCs w:val="36"/>
          <w:rtl/>
        </w:rPr>
        <w:t xml:space="preserve">ة </w:t>
      </w:r>
      <w:r w:rsidRPr="00FD211F">
        <w:rPr>
          <w:sz w:val="36"/>
          <w:szCs w:val="36"/>
          <w:rtl/>
        </w:rPr>
        <w:t>ليست من الامور التكويني</w:t>
      </w:r>
      <w:r w:rsidR="00EC7EDF" w:rsidRPr="00FD211F">
        <w:rPr>
          <w:sz w:val="36"/>
          <w:szCs w:val="36"/>
          <w:rtl/>
        </w:rPr>
        <w:t xml:space="preserve">ة </w:t>
      </w:r>
      <w:r w:rsidRPr="00FD211F">
        <w:rPr>
          <w:sz w:val="36"/>
          <w:szCs w:val="36"/>
          <w:rtl/>
        </w:rPr>
        <w:t>المحض</w:t>
      </w:r>
      <w:r w:rsidR="00EC7EDF" w:rsidRPr="00FD211F">
        <w:rPr>
          <w:sz w:val="36"/>
          <w:szCs w:val="36"/>
          <w:rtl/>
        </w:rPr>
        <w:t xml:space="preserve">ة </w:t>
      </w:r>
      <w:r w:rsidRPr="00FD211F">
        <w:rPr>
          <w:sz w:val="36"/>
          <w:szCs w:val="36"/>
          <w:rtl/>
        </w:rPr>
        <w:t>كالفوقي</w:t>
      </w:r>
      <w:r w:rsidR="00EC7EDF" w:rsidRPr="00FD211F">
        <w:rPr>
          <w:sz w:val="36"/>
          <w:szCs w:val="36"/>
          <w:rtl/>
        </w:rPr>
        <w:t xml:space="preserve">ة </w:t>
      </w:r>
      <w:r w:rsidRPr="00FD211F">
        <w:rPr>
          <w:sz w:val="36"/>
          <w:szCs w:val="36"/>
          <w:rtl/>
        </w:rPr>
        <w:t>والتحتي</w:t>
      </w:r>
      <w:r w:rsidR="00EC7EDF" w:rsidRPr="00FD211F">
        <w:rPr>
          <w:sz w:val="36"/>
          <w:szCs w:val="36"/>
          <w:rtl/>
        </w:rPr>
        <w:t>ة</w:t>
      </w:r>
      <w:r w:rsidR="00603323" w:rsidRPr="00FD211F">
        <w:rPr>
          <w:sz w:val="36"/>
          <w:szCs w:val="36"/>
          <w:rtl/>
        </w:rPr>
        <w:t xml:space="preserve">، </w:t>
      </w:r>
      <w:r w:rsidRPr="00FD211F">
        <w:rPr>
          <w:sz w:val="36"/>
          <w:szCs w:val="36"/>
          <w:rtl/>
        </w:rPr>
        <w:t>فان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لاتوجب تغيرا في وجود طرفيها من اللفظ والمعنى لاذهنا ولاخارجا</w:t>
      </w:r>
      <w:r w:rsidR="00603323" w:rsidRPr="00FD211F">
        <w:rPr>
          <w:sz w:val="36"/>
          <w:szCs w:val="36"/>
          <w:rtl/>
        </w:rPr>
        <w:t xml:space="preserve">، </w:t>
      </w:r>
      <w:r w:rsidRPr="00FD211F">
        <w:rPr>
          <w:sz w:val="36"/>
          <w:szCs w:val="36"/>
          <w:rtl/>
        </w:rPr>
        <w:t>بخلاف الفوقي</w:t>
      </w:r>
      <w:r w:rsidR="00EC7EDF" w:rsidRPr="00FD211F">
        <w:rPr>
          <w:sz w:val="36"/>
          <w:szCs w:val="36"/>
          <w:rtl/>
        </w:rPr>
        <w:t xml:space="preserve">ة </w:t>
      </w:r>
      <w:r w:rsidR="007C7D9D" w:rsidRPr="00FD211F">
        <w:rPr>
          <w:sz w:val="36"/>
          <w:szCs w:val="36"/>
          <w:rtl/>
        </w:rPr>
        <w:t>والتحتي</w:t>
      </w:r>
      <w:r w:rsidR="00EC7EDF" w:rsidRPr="00FD211F">
        <w:rPr>
          <w:sz w:val="36"/>
          <w:szCs w:val="36"/>
          <w:rtl/>
        </w:rPr>
        <w:t>ة</w:t>
      </w:r>
      <w:r w:rsidR="00603323" w:rsidRPr="00FD211F">
        <w:rPr>
          <w:sz w:val="36"/>
          <w:szCs w:val="36"/>
          <w:rtl/>
        </w:rPr>
        <w:t xml:space="preserve">، </w:t>
      </w:r>
      <w:r w:rsidR="007C7D9D" w:rsidRPr="00FD211F">
        <w:rPr>
          <w:sz w:val="36"/>
          <w:szCs w:val="36"/>
          <w:rtl/>
        </w:rPr>
        <w:t>كما انها</w:t>
      </w:r>
      <w:r w:rsidRPr="00FD211F">
        <w:rPr>
          <w:sz w:val="36"/>
          <w:szCs w:val="36"/>
          <w:rtl/>
        </w:rPr>
        <w:t xml:space="preserve"> ليست من الامور الاعتباري</w:t>
      </w:r>
      <w:r w:rsidR="00EC7EDF" w:rsidRPr="00FD211F">
        <w:rPr>
          <w:sz w:val="36"/>
          <w:szCs w:val="36"/>
          <w:rtl/>
        </w:rPr>
        <w:t xml:space="preserve">ة </w:t>
      </w:r>
      <w:r w:rsidRPr="00FD211F">
        <w:rPr>
          <w:sz w:val="36"/>
          <w:szCs w:val="36"/>
          <w:rtl/>
        </w:rPr>
        <w:t>المحض</w:t>
      </w:r>
      <w:r w:rsidR="00EC7EDF" w:rsidRPr="00FD211F">
        <w:rPr>
          <w:sz w:val="36"/>
          <w:szCs w:val="36"/>
          <w:rtl/>
        </w:rPr>
        <w:t xml:space="preserve">ة </w:t>
      </w:r>
      <w:r w:rsidRPr="00FD211F">
        <w:rPr>
          <w:sz w:val="36"/>
          <w:szCs w:val="36"/>
          <w:rtl/>
        </w:rPr>
        <w:t>كفرض انياب الاغوال فانها تنعدم بانعدام الاعتبار</w:t>
      </w:r>
      <w:r w:rsidR="00603323" w:rsidRPr="00FD211F">
        <w:rPr>
          <w:sz w:val="36"/>
          <w:szCs w:val="36"/>
          <w:rtl/>
        </w:rPr>
        <w:t xml:space="preserve">، </w:t>
      </w:r>
      <w:r w:rsidR="00B274FE" w:rsidRPr="00FD211F">
        <w:rPr>
          <w:sz w:val="36"/>
          <w:szCs w:val="36"/>
          <w:rtl/>
        </w:rPr>
        <w:t xml:space="preserve">بينما ان </w:t>
      </w:r>
      <w:r w:rsidRPr="00FD211F">
        <w:rPr>
          <w:sz w:val="36"/>
          <w:szCs w:val="36"/>
          <w:rtl/>
        </w:rPr>
        <w:t>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لاتنعدم بانعدام الاعتبار بل يكون لها واقعي</w:t>
      </w:r>
      <w:r w:rsidR="00EC7EDF" w:rsidRPr="00FD211F">
        <w:rPr>
          <w:sz w:val="36"/>
          <w:szCs w:val="36"/>
          <w:rtl/>
        </w:rPr>
        <w:t xml:space="preserve">ة </w:t>
      </w:r>
      <w:r w:rsidRPr="00FD211F">
        <w:rPr>
          <w:sz w:val="36"/>
          <w:szCs w:val="36"/>
          <w:rtl/>
        </w:rPr>
        <w:t>وان كانت حاصل</w:t>
      </w:r>
      <w:r w:rsidR="00EC7EDF" w:rsidRPr="00FD211F">
        <w:rPr>
          <w:sz w:val="36"/>
          <w:szCs w:val="36"/>
          <w:rtl/>
        </w:rPr>
        <w:t xml:space="preserve">ة </w:t>
      </w:r>
      <w:r w:rsidRPr="00FD211F">
        <w:rPr>
          <w:sz w:val="36"/>
          <w:szCs w:val="36"/>
          <w:rtl/>
        </w:rPr>
        <w:t>بسبب الاعتبار</w:t>
      </w:r>
      <w:r w:rsidR="009C58C8" w:rsidRPr="00FD211F">
        <w:rPr>
          <w:rStyle w:val="a6"/>
          <w:sz w:val="36"/>
          <w:szCs w:val="36"/>
          <w:rtl/>
        </w:rPr>
        <w:t>(</w:t>
      </w:r>
      <w:r w:rsidR="009C58C8" w:rsidRPr="00FD211F">
        <w:rPr>
          <w:rStyle w:val="a6"/>
          <w:sz w:val="36"/>
          <w:szCs w:val="36"/>
          <w:rtl/>
        </w:rPr>
        <w:footnoteReference w:id="97"/>
      </w:r>
      <w:r w:rsidR="009C58C8" w:rsidRPr="00FD211F">
        <w:rPr>
          <w:rStyle w:val="a6"/>
          <w:sz w:val="36"/>
          <w:szCs w:val="36"/>
          <w:rtl/>
        </w:rPr>
        <w:t>)</w:t>
      </w:r>
      <w:r w:rsidRPr="00FD211F">
        <w:rPr>
          <w:sz w:val="36"/>
          <w:szCs w:val="36"/>
          <w:rtl/>
        </w:rPr>
        <w:t>.</w:t>
      </w:r>
    </w:p>
    <w:p w14:paraId="460818B6" w14:textId="77777777" w:rsidR="00871829" w:rsidRPr="00FD211F" w:rsidRDefault="007C7D9D" w:rsidP="009C58C8">
      <w:pPr>
        <w:ind w:left="0" w:firstLine="227"/>
        <w:jc w:val="both"/>
        <w:rPr>
          <w:sz w:val="36"/>
          <w:szCs w:val="36"/>
          <w:rtl/>
        </w:rPr>
      </w:pPr>
      <w:r w:rsidRPr="00FD211F">
        <w:rPr>
          <w:sz w:val="36"/>
          <w:szCs w:val="36"/>
          <w:rtl/>
        </w:rPr>
        <w:t>ويرد</w:t>
      </w:r>
      <w:r w:rsidR="00871829" w:rsidRPr="00FD211F">
        <w:rPr>
          <w:sz w:val="36"/>
          <w:szCs w:val="36"/>
          <w:rtl/>
        </w:rPr>
        <w:t xml:space="preserve"> عليه ان الجعل الاعتباري لايتعلق الا ب</w:t>
      </w:r>
      <w:r w:rsidR="001B3112" w:rsidRPr="00FD211F">
        <w:rPr>
          <w:sz w:val="36"/>
          <w:szCs w:val="36"/>
          <w:rtl/>
        </w:rPr>
        <w:t>الأمر</w:t>
      </w:r>
      <w:r w:rsidR="00871829" w:rsidRPr="00FD211F">
        <w:rPr>
          <w:sz w:val="36"/>
          <w:szCs w:val="36"/>
          <w:rtl/>
        </w:rPr>
        <w:t xml:space="preserve"> الاعتباري</w:t>
      </w:r>
      <w:r w:rsidR="00603323" w:rsidRPr="00FD211F">
        <w:rPr>
          <w:sz w:val="36"/>
          <w:szCs w:val="36"/>
          <w:rtl/>
        </w:rPr>
        <w:t xml:space="preserve">، </w:t>
      </w:r>
      <w:r w:rsidR="00871829" w:rsidRPr="00FD211F">
        <w:rPr>
          <w:sz w:val="36"/>
          <w:szCs w:val="36"/>
          <w:rtl/>
        </w:rPr>
        <w:t>واما الملازم</w:t>
      </w:r>
      <w:r w:rsidR="00EC7EDF" w:rsidRPr="00FD211F">
        <w:rPr>
          <w:sz w:val="36"/>
          <w:szCs w:val="36"/>
          <w:rtl/>
        </w:rPr>
        <w:t xml:space="preserve">ة </w:t>
      </w:r>
      <w:r w:rsidR="00871829" w:rsidRPr="00FD211F">
        <w:rPr>
          <w:sz w:val="36"/>
          <w:szCs w:val="36"/>
          <w:rtl/>
        </w:rPr>
        <w:t>الواقعي</w:t>
      </w:r>
      <w:r w:rsidR="00EC7EDF" w:rsidRPr="00FD211F">
        <w:rPr>
          <w:sz w:val="36"/>
          <w:szCs w:val="36"/>
          <w:rtl/>
        </w:rPr>
        <w:t xml:space="preserve">ة </w:t>
      </w:r>
      <w:r w:rsidR="00871829" w:rsidRPr="00FD211F">
        <w:rPr>
          <w:sz w:val="36"/>
          <w:szCs w:val="36"/>
          <w:rtl/>
        </w:rPr>
        <w:t>بين اللفظ والمعنى او فقل</w:t>
      </w:r>
      <w:r w:rsidR="004A32BD" w:rsidRPr="00FD211F">
        <w:rPr>
          <w:sz w:val="36"/>
          <w:szCs w:val="36"/>
          <w:rtl/>
        </w:rPr>
        <w:t xml:space="preserve"> –على الاصحّ-</w:t>
      </w:r>
      <w:r w:rsidR="00871829" w:rsidRPr="00FD211F">
        <w:rPr>
          <w:sz w:val="36"/>
          <w:szCs w:val="36"/>
          <w:rtl/>
        </w:rPr>
        <w:t xml:space="preserve"> سببي</w:t>
      </w:r>
      <w:r w:rsidR="00EC7EDF" w:rsidRPr="00FD211F">
        <w:rPr>
          <w:sz w:val="36"/>
          <w:szCs w:val="36"/>
          <w:rtl/>
        </w:rPr>
        <w:t xml:space="preserve">ة </w:t>
      </w:r>
      <w:r w:rsidR="00871829" w:rsidRPr="00FD211F">
        <w:rPr>
          <w:sz w:val="36"/>
          <w:szCs w:val="36"/>
          <w:rtl/>
        </w:rPr>
        <w:t>تصور اللفظ لتصور المعنى</w:t>
      </w:r>
      <w:r w:rsidR="00665B4E" w:rsidRPr="00FD211F">
        <w:rPr>
          <w:sz w:val="36"/>
          <w:szCs w:val="36"/>
          <w:rtl/>
        </w:rPr>
        <w:t xml:space="preserve"> فلايعقل ان توجد بنفس</w:t>
      </w:r>
      <w:r w:rsidR="00871829" w:rsidRPr="00FD211F">
        <w:rPr>
          <w:sz w:val="36"/>
          <w:szCs w:val="36"/>
          <w:rtl/>
        </w:rPr>
        <w:t xml:space="preserve"> اعتبار تلك الملازم</w:t>
      </w:r>
      <w:r w:rsidR="00EC7EDF" w:rsidRPr="00FD211F">
        <w:rPr>
          <w:sz w:val="36"/>
          <w:szCs w:val="36"/>
          <w:rtl/>
        </w:rPr>
        <w:t xml:space="preserve">ة </w:t>
      </w:r>
      <w:r w:rsidR="00871829" w:rsidRPr="00FD211F">
        <w:rPr>
          <w:sz w:val="36"/>
          <w:szCs w:val="36"/>
          <w:rtl/>
        </w:rPr>
        <w:t>والسببي</w:t>
      </w:r>
      <w:r w:rsidR="00EC7EDF" w:rsidRPr="00FD211F">
        <w:rPr>
          <w:sz w:val="36"/>
          <w:szCs w:val="36"/>
          <w:rtl/>
        </w:rPr>
        <w:t xml:space="preserve">ة </w:t>
      </w:r>
      <w:r w:rsidR="00EC0879" w:rsidRPr="00FD211F">
        <w:rPr>
          <w:sz w:val="36"/>
          <w:szCs w:val="36"/>
          <w:rtl/>
        </w:rPr>
        <w:t>مباشر</w:t>
      </w:r>
      <w:r w:rsidR="00EC7EDF" w:rsidRPr="00FD211F">
        <w:rPr>
          <w:sz w:val="36"/>
          <w:szCs w:val="36"/>
          <w:rtl/>
        </w:rPr>
        <w:t>ة</w:t>
      </w:r>
      <w:r w:rsidR="00603323" w:rsidRPr="00FD211F">
        <w:rPr>
          <w:sz w:val="36"/>
          <w:szCs w:val="36"/>
          <w:rtl/>
        </w:rPr>
        <w:t xml:space="preserve">، </w:t>
      </w:r>
      <w:r w:rsidR="00871829" w:rsidRPr="00FD211F">
        <w:rPr>
          <w:sz w:val="36"/>
          <w:szCs w:val="36"/>
          <w:rtl/>
        </w:rPr>
        <w:t>اذ السببي</w:t>
      </w:r>
      <w:r w:rsidR="00EC7EDF" w:rsidRPr="00FD211F">
        <w:rPr>
          <w:sz w:val="36"/>
          <w:szCs w:val="36"/>
          <w:rtl/>
        </w:rPr>
        <w:t xml:space="preserve">ة </w:t>
      </w:r>
      <w:r w:rsidR="00871829" w:rsidRPr="00FD211F">
        <w:rPr>
          <w:sz w:val="36"/>
          <w:szCs w:val="36"/>
          <w:rtl/>
        </w:rPr>
        <w:t>صف</w:t>
      </w:r>
      <w:r w:rsidR="00EC7EDF" w:rsidRPr="00FD211F">
        <w:rPr>
          <w:sz w:val="36"/>
          <w:szCs w:val="36"/>
          <w:rtl/>
        </w:rPr>
        <w:t xml:space="preserve">ة </w:t>
      </w:r>
      <w:r w:rsidR="00871829" w:rsidRPr="00FD211F">
        <w:rPr>
          <w:sz w:val="36"/>
          <w:szCs w:val="36"/>
          <w:rtl/>
        </w:rPr>
        <w:t>ذاتي</w:t>
      </w:r>
      <w:r w:rsidR="00EC7EDF" w:rsidRPr="00FD211F">
        <w:rPr>
          <w:sz w:val="36"/>
          <w:szCs w:val="36"/>
          <w:rtl/>
        </w:rPr>
        <w:t xml:space="preserve">ة </w:t>
      </w:r>
      <w:r w:rsidR="00871829" w:rsidRPr="00FD211F">
        <w:rPr>
          <w:sz w:val="36"/>
          <w:szCs w:val="36"/>
          <w:rtl/>
        </w:rPr>
        <w:t>للسبب الحقيقي</w:t>
      </w:r>
      <w:r w:rsidR="00603323" w:rsidRPr="00FD211F">
        <w:rPr>
          <w:sz w:val="36"/>
          <w:szCs w:val="36"/>
          <w:rtl/>
        </w:rPr>
        <w:t xml:space="preserve">، </w:t>
      </w:r>
      <w:r w:rsidR="00871829" w:rsidRPr="00FD211F">
        <w:rPr>
          <w:sz w:val="36"/>
          <w:szCs w:val="36"/>
          <w:rtl/>
        </w:rPr>
        <w:t xml:space="preserve">فلايمكن جعلها تكوينا لما ليس بسبب فضلا عن </w:t>
      </w:r>
      <w:r w:rsidR="00EC0879" w:rsidRPr="00FD211F">
        <w:rPr>
          <w:sz w:val="36"/>
          <w:szCs w:val="36"/>
          <w:rtl/>
        </w:rPr>
        <w:t xml:space="preserve">جعلها </w:t>
      </w:r>
      <w:r w:rsidR="00871829" w:rsidRPr="00FD211F">
        <w:rPr>
          <w:sz w:val="36"/>
          <w:szCs w:val="36"/>
          <w:rtl/>
        </w:rPr>
        <w:t>اعتبارا.</w:t>
      </w:r>
    </w:p>
    <w:p w14:paraId="3FA8D363" w14:textId="77777777" w:rsidR="00871829" w:rsidRPr="00FD211F" w:rsidRDefault="00871829"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و</w:t>
      </w:r>
      <w:r w:rsidR="009450B7" w:rsidRPr="00FD211F">
        <w:rPr>
          <w:sz w:val="36"/>
          <w:szCs w:val="36"/>
          <w:rtl/>
        </w:rPr>
        <w:t xml:space="preserve">لكن </w:t>
      </w:r>
      <w:r w:rsidRPr="00FD211F">
        <w:rPr>
          <w:sz w:val="36"/>
          <w:szCs w:val="36"/>
          <w:rtl/>
        </w:rPr>
        <w:t>لايبعد ان يكون مراد المحقق العراقي</w:t>
      </w:r>
      <w:r w:rsidR="007A4A0D" w:rsidRPr="00FD211F">
        <w:rPr>
          <w:sz w:val="36"/>
          <w:szCs w:val="36"/>
          <w:rtl/>
        </w:rPr>
        <w:t xml:space="preserve"> </w:t>
      </w:r>
      <w:r w:rsidR="00D052EE" w:rsidRPr="00FD211F">
        <w:rPr>
          <w:sz w:val="36"/>
          <w:szCs w:val="36"/>
          <w:rtl/>
        </w:rPr>
        <w:t>"قده"</w:t>
      </w:r>
      <w:r w:rsidR="007A4A0D" w:rsidRPr="00FD211F">
        <w:rPr>
          <w:sz w:val="36"/>
          <w:szCs w:val="36"/>
          <w:rtl/>
        </w:rPr>
        <w:t xml:space="preserve"> </w:t>
      </w:r>
      <w:r w:rsidR="007C7D9D" w:rsidRPr="00FD211F">
        <w:rPr>
          <w:sz w:val="36"/>
          <w:szCs w:val="36"/>
          <w:rtl/>
        </w:rPr>
        <w:t>–على مايظهرمن كلامه -</w:t>
      </w:r>
      <w:r w:rsidRPr="00FD211F">
        <w:rPr>
          <w:sz w:val="36"/>
          <w:szCs w:val="36"/>
          <w:rtl/>
        </w:rPr>
        <w:t>ان اعتبار الملازم</w:t>
      </w:r>
      <w:r w:rsidR="00EC7EDF" w:rsidRPr="00FD211F">
        <w:rPr>
          <w:sz w:val="36"/>
          <w:szCs w:val="36"/>
          <w:rtl/>
        </w:rPr>
        <w:t xml:space="preserve">ة </w:t>
      </w:r>
      <w:r w:rsidRPr="00FD211F">
        <w:rPr>
          <w:sz w:val="36"/>
          <w:szCs w:val="36"/>
          <w:rtl/>
        </w:rPr>
        <w:t>بين اللفظ والمعنى يكون</w:t>
      </w:r>
      <w:r w:rsidR="009450B7" w:rsidRPr="00FD211F">
        <w:rPr>
          <w:sz w:val="36"/>
          <w:szCs w:val="36"/>
          <w:rtl/>
        </w:rPr>
        <w:t xml:space="preserve"> عملي</w:t>
      </w:r>
      <w:r w:rsidR="00EC7EDF" w:rsidRPr="00FD211F">
        <w:rPr>
          <w:sz w:val="36"/>
          <w:szCs w:val="36"/>
          <w:rtl/>
        </w:rPr>
        <w:t xml:space="preserve">ة </w:t>
      </w:r>
      <w:r w:rsidR="009450B7" w:rsidRPr="00FD211F">
        <w:rPr>
          <w:sz w:val="36"/>
          <w:szCs w:val="36"/>
          <w:rtl/>
        </w:rPr>
        <w:t>تمهيدي</w:t>
      </w:r>
      <w:r w:rsidR="00EC7EDF" w:rsidRPr="00FD211F">
        <w:rPr>
          <w:sz w:val="36"/>
          <w:szCs w:val="36"/>
          <w:rtl/>
        </w:rPr>
        <w:t xml:space="preserve">ة </w:t>
      </w:r>
      <w:r w:rsidRPr="00FD211F">
        <w:rPr>
          <w:sz w:val="36"/>
          <w:szCs w:val="36"/>
          <w:rtl/>
        </w:rPr>
        <w:t>لتحقق الملازم</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 xml:space="preserve">في حق </w:t>
      </w:r>
      <w:r w:rsidR="009450B7" w:rsidRPr="00FD211F">
        <w:rPr>
          <w:sz w:val="36"/>
          <w:szCs w:val="36"/>
          <w:rtl/>
        </w:rPr>
        <w:t>العالم بتلك الملازم</w:t>
      </w:r>
      <w:r w:rsidR="00EC7EDF" w:rsidRPr="00FD211F">
        <w:rPr>
          <w:sz w:val="36"/>
          <w:szCs w:val="36"/>
          <w:rtl/>
        </w:rPr>
        <w:t xml:space="preserve">ة </w:t>
      </w:r>
      <w:r w:rsidR="009450B7" w:rsidRPr="00FD211F">
        <w:rPr>
          <w:sz w:val="36"/>
          <w:szCs w:val="36"/>
          <w:rtl/>
        </w:rPr>
        <w:t>الاعتباري</w:t>
      </w:r>
      <w:r w:rsidR="00EC7EDF" w:rsidRPr="00FD211F">
        <w:rPr>
          <w:sz w:val="36"/>
          <w:szCs w:val="36"/>
          <w:rtl/>
        </w:rPr>
        <w:t>ة</w:t>
      </w:r>
      <w:r w:rsidR="00603323" w:rsidRPr="00FD211F">
        <w:rPr>
          <w:sz w:val="36"/>
          <w:szCs w:val="36"/>
          <w:rtl/>
        </w:rPr>
        <w:t xml:space="preserve">، </w:t>
      </w:r>
      <w:r w:rsidR="004150EF" w:rsidRPr="00FD211F">
        <w:rPr>
          <w:sz w:val="36"/>
          <w:szCs w:val="36"/>
          <w:rtl/>
        </w:rPr>
        <w:t>فبناء على ذلك تكون العلق</w:t>
      </w:r>
      <w:r w:rsidR="00EC7EDF" w:rsidRPr="00FD211F">
        <w:rPr>
          <w:sz w:val="36"/>
          <w:szCs w:val="36"/>
          <w:rtl/>
        </w:rPr>
        <w:t xml:space="preserve">ة </w:t>
      </w:r>
      <w:r w:rsidR="004150EF" w:rsidRPr="00FD211F">
        <w:rPr>
          <w:sz w:val="36"/>
          <w:szCs w:val="36"/>
          <w:rtl/>
        </w:rPr>
        <w:t>الوضعي</w:t>
      </w:r>
      <w:r w:rsidR="00EC7EDF" w:rsidRPr="00FD211F">
        <w:rPr>
          <w:sz w:val="36"/>
          <w:szCs w:val="36"/>
          <w:rtl/>
        </w:rPr>
        <w:t xml:space="preserve">ة </w:t>
      </w:r>
      <w:r w:rsidR="004150EF" w:rsidRPr="00FD211F">
        <w:rPr>
          <w:sz w:val="36"/>
          <w:szCs w:val="36"/>
          <w:rtl/>
        </w:rPr>
        <w:t>بنظره</w:t>
      </w:r>
      <w:r w:rsidR="009450B7" w:rsidRPr="00FD211F">
        <w:rPr>
          <w:sz w:val="36"/>
          <w:szCs w:val="36"/>
          <w:rtl/>
        </w:rPr>
        <w:t xml:space="preserve"> هي</w:t>
      </w:r>
      <w:r w:rsidR="004150EF" w:rsidRPr="00FD211F">
        <w:rPr>
          <w:sz w:val="36"/>
          <w:szCs w:val="36"/>
          <w:rtl/>
        </w:rPr>
        <w:t xml:space="preserve"> الملازم</w:t>
      </w:r>
      <w:r w:rsidR="00EC7EDF" w:rsidRPr="00FD211F">
        <w:rPr>
          <w:sz w:val="36"/>
          <w:szCs w:val="36"/>
          <w:rtl/>
        </w:rPr>
        <w:t xml:space="preserve">ة </w:t>
      </w:r>
      <w:r w:rsidR="004150EF" w:rsidRPr="00FD211F">
        <w:rPr>
          <w:sz w:val="36"/>
          <w:szCs w:val="36"/>
          <w:rtl/>
        </w:rPr>
        <w:t>الذهني</w:t>
      </w:r>
      <w:r w:rsidR="00EC7EDF" w:rsidRPr="00FD211F">
        <w:rPr>
          <w:sz w:val="36"/>
          <w:szCs w:val="36"/>
          <w:rtl/>
        </w:rPr>
        <w:t xml:space="preserve">ة </w:t>
      </w:r>
      <w:r w:rsidR="004150EF" w:rsidRPr="00FD211F">
        <w:rPr>
          <w:sz w:val="36"/>
          <w:szCs w:val="36"/>
          <w:rtl/>
        </w:rPr>
        <w:t>بين اللفظ والمعنى في حق العالم بجعل عنوان الملازم</w:t>
      </w:r>
      <w:r w:rsidR="00EC7EDF" w:rsidRPr="00FD211F">
        <w:rPr>
          <w:sz w:val="36"/>
          <w:szCs w:val="36"/>
          <w:rtl/>
        </w:rPr>
        <w:t xml:space="preserve">ة </w:t>
      </w:r>
      <w:r w:rsidR="004150EF" w:rsidRPr="00FD211F">
        <w:rPr>
          <w:sz w:val="36"/>
          <w:szCs w:val="36"/>
          <w:rtl/>
        </w:rPr>
        <w:t>بينهما</w:t>
      </w:r>
      <w:r w:rsidR="00603323" w:rsidRPr="00FD211F">
        <w:rPr>
          <w:sz w:val="36"/>
          <w:szCs w:val="36"/>
          <w:rtl/>
        </w:rPr>
        <w:t xml:space="preserve">، </w:t>
      </w:r>
      <w:r w:rsidR="004150EF" w:rsidRPr="00FD211F">
        <w:rPr>
          <w:sz w:val="36"/>
          <w:szCs w:val="36"/>
          <w:rtl/>
        </w:rPr>
        <w:t>وهذا مما لايرد عليه اي محذور</w:t>
      </w:r>
      <w:r w:rsidR="006D4F4C" w:rsidRPr="00FD211F">
        <w:rPr>
          <w:sz w:val="36"/>
          <w:szCs w:val="36"/>
          <w:rtl/>
        </w:rPr>
        <w:t xml:space="preserve"> عقلي</w:t>
      </w:r>
      <w:r w:rsidR="004150EF" w:rsidRPr="00FD211F">
        <w:rPr>
          <w:sz w:val="36"/>
          <w:szCs w:val="36"/>
          <w:rtl/>
        </w:rPr>
        <w:t>.</w:t>
      </w:r>
    </w:p>
    <w:p w14:paraId="4AC24B90" w14:textId="77777777" w:rsidR="009C6593" w:rsidRPr="00FD211F" w:rsidRDefault="009C6593" w:rsidP="009C58C8">
      <w:pPr>
        <w:ind w:left="0" w:firstLine="227"/>
        <w:jc w:val="both"/>
        <w:rPr>
          <w:sz w:val="36"/>
          <w:szCs w:val="36"/>
          <w:rtl/>
        </w:rPr>
      </w:pPr>
      <w:bookmarkStart w:id="98" w:name="درس009"/>
      <w:bookmarkEnd w:id="98"/>
      <w:r w:rsidRPr="00FD211F">
        <w:rPr>
          <w:sz w:val="36"/>
          <w:szCs w:val="36"/>
          <w:rtl/>
        </w:rPr>
        <w:t>هذا</w:t>
      </w:r>
      <w:r w:rsidR="00603323" w:rsidRPr="00FD211F">
        <w:rPr>
          <w:sz w:val="36"/>
          <w:szCs w:val="36"/>
          <w:rtl/>
        </w:rPr>
        <w:t xml:space="preserve">، </w:t>
      </w:r>
      <w:r w:rsidRPr="00FD211F">
        <w:rPr>
          <w:sz w:val="36"/>
          <w:szCs w:val="36"/>
          <w:rtl/>
        </w:rPr>
        <w:t>وقد نسب الى السيد الخوئي</w:t>
      </w:r>
      <w:r w:rsidR="00A61BAE" w:rsidRPr="00FD211F">
        <w:rPr>
          <w:sz w:val="36"/>
          <w:szCs w:val="36"/>
          <w:rtl/>
        </w:rPr>
        <w:t xml:space="preserve"> </w:t>
      </w:r>
      <w:r w:rsidR="00D052EE" w:rsidRPr="00FD211F">
        <w:rPr>
          <w:sz w:val="36"/>
          <w:szCs w:val="36"/>
          <w:rtl/>
        </w:rPr>
        <w:t>"قده"</w:t>
      </w:r>
      <w:r w:rsidR="00A61BAE" w:rsidRPr="00FD211F">
        <w:rPr>
          <w:sz w:val="36"/>
          <w:szCs w:val="36"/>
          <w:rtl/>
        </w:rPr>
        <w:t xml:space="preserve"> </w:t>
      </w:r>
      <w:r w:rsidRPr="00FD211F">
        <w:rPr>
          <w:sz w:val="36"/>
          <w:szCs w:val="36"/>
          <w:rtl/>
        </w:rPr>
        <w:t xml:space="preserve">انه اورد على المحقق العراقي </w:t>
      </w:r>
      <w:r w:rsidR="009D451F" w:rsidRPr="00FD211F">
        <w:rPr>
          <w:sz w:val="36"/>
          <w:szCs w:val="36"/>
          <w:rtl/>
        </w:rPr>
        <w:t>"</w:t>
      </w:r>
      <w:r w:rsidRPr="00FD211F">
        <w:rPr>
          <w:sz w:val="36"/>
          <w:szCs w:val="36"/>
          <w:rtl/>
        </w:rPr>
        <w:t>قده</w:t>
      </w:r>
      <w:r w:rsidR="009D451F" w:rsidRPr="00FD211F">
        <w:rPr>
          <w:sz w:val="36"/>
          <w:szCs w:val="36"/>
          <w:rtl/>
        </w:rPr>
        <w:t>"</w:t>
      </w:r>
      <w:r w:rsidRPr="00FD211F">
        <w:rPr>
          <w:sz w:val="36"/>
          <w:szCs w:val="36"/>
          <w:rtl/>
        </w:rPr>
        <w:t xml:space="preserve"> ان الملازم</w:t>
      </w:r>
      <w:r w:rsidR="00EC7EDF" w:rsidRPr="00FD211F">
        <w:rPr>
          <w:sz w:val="36"/>
          <w:szCs w:val="36"/>
          <w:rtl/>
        </w:rPr>
        <w:t xml:space="preserve">ة </w:t>
      </w:r>
      <w:r w:rsidRPr="00FD211F">
        <w:rPr>
          <w:sz w:val="36"/>
          <w:szCs w:val="36"/>
          <w:rtl/>
        </w:rPr>
        <w:t>الواقعي</w:t>
      </w:r>
      <w:r w:rsidR="00EC7EDF" w:rsidRPr="00FD211F">
        <w:rPr>
          <w:sz w:val="36"/>
          <w:szCs w:val="36"/>
          <w:rtl/>
        </w:rPr>
        <w:t xml:space="preserve">ة </w:t>
      </w:r>
      <w:r w:rsidRPr="00FD211F">
        <w:rPr>
          <w:sz w:val="36"/>
          <w:szCs w:val="36"/>
          <w:rtl/>
        </w:rPr>
        <w:t>بين اللفظ والمعنى حيث</w:t>
      </w:r>
      <w:r w:rsidR="008D7B3D" w:rsidRPr="00FD211F">
        <w:rPr>
          <w:sz w:val="36"/>
          <w:szCs w:val="36"/>
          <w:rtl/>
        </w:rPr>
        <w:t xml:space="preserve"> لم‌</w:t>
      </w:r>
      <w:r w:rsidR="00040099" w:rsidRPr="00FD211F">
        <w:rPr>
          <w:sz w:val="36"/>
          <w:szCs w:val="36"/>
          <w:rtl/>
        </w:rPr>
        <w:t>ت</w:t>
      </w:r>
      <w:r w:rsidR="00192526" w:rsidRPr="00FD211F">
        <w:rPr>
          <w:sz w:val="36"/>
          <w:szCs w:val="36"/>
          <w:rtl/>
        </w:rPr>
        <w:t>تحقق بالنسب</w:t>
      </w:r>
      <w:r w:rsidR="00EC7EDF" w:rsidRPr="00FD211F">
        <w:rPr>
          <w:sz w:val="36"/>
          <w:szCs w:val="36"/>
          <w:rtl/>
        </w:rPr>
        <w:t xml:space="preserve">ة </w:t>
      </w:r>
      <w:r w:rsidR="00192526" w:rsidRPr="00FD211F">
        <w:rPr>
          <w:sz w:val="36"/>
          <w:szCs w:val="36"/>
          <w:rtl/>
        </w:rPr>
        <w:t>الى</w:t>
      </w:r>
      <w:r w:rsidRPr="00FD211F">
        <w:rPr>
          <w:sz w:val="36"/>
          <w:szCs w:val="36"/>
          <w:rtl/>
        </w:rPr>
        <w:t xml:space="preserve"> الجاهل بال</w:t>
      </w:r>
      <w:r w:rsidR="00192526" w:rsidRPr="00FD211F">
        <w:rPr>
          <w:sz w:val="36"/>
          <w:szCs w:val="36"/>
          <w:rtl/>
        </w:rPr>
        <w:t>وضع</w:t>
      </w:r>
      <w:r w:rsidR="00B253CE" w:rsidRPr="00FD211F">
        <w:rPr>
          <w:sz w:val="36"/>
          <w:szCs w:val="36"/>
          <w:rtl/>
        </w:rPr>
        <w:t xml:space="preserve"> </w:t>
      </w:r>
      <w:r w:rsidR="00192526" w:rsidRPr="00FD211F">
        <w:rPr>
          <w:sz w:val="36"/>
          <w:szCs w:val="36"/>
          <w:rtl/>
        </w:rPr>
        <w:t>لعدم تحقق ال</w:t>
      </w:r>
      <w:r w:rsidRPr="00FD211F">
        <w:rPr>
          <w:sz w:val="36"/>
          <w:szCs w:val="36"/>
          <w:rtl/>
        </w:rPr>
        <w:t>ملازم</w:t>
      </w:r>
      <w:r w:rsidR="00EC7EDF" w:rsidRPr="00FD211F">
        <w:rPr>
          <w:sz w:val="36"/>
          <w:szCs w:val="36"/>
          <w:rtl/>
        </w:rPr>
        <w:t xml:space="preserve">ة </w:t>
      </w:r>
      <w:r w:rsidRPr="00FD211F">
        <w:rPr>
          <w:sz w:val="36"/>
          <w:szCs w:val="36"/>
          <w:rtl/>
        </w:rPr>
        <w:t>بين تصور اللفظ وتصور المعنى في حقه</w:t>
      </w:r>
      <w:r w:rsidR="00603323" w:rsidRPr="00FD211F">
        <w:rPr>
          <w:sz w:val="36"/>
          <w:szCs w:val="36"/>
          <w:rtl/>
        </w:rPr>
        <w:t xml:space="preserve">، </w:t>
      </w:r>
      <w:r w:rsidRPr="00FD211F">
        <w:rPr>
          <w:sz w:val="36"/>
          <w:szCs w:val="36"/>
          <w:rtl/>
        </w:rPr>
        <w:t>فلابد ان يلتزم المحقق العراقي</w:t>
      </w:r>
      <w:r w:rsidR="00A61BAE" w:rsidRPr="00FD211F">
        <w:rPr>
          <w:sz w:val="36"/>
          <w:szCs w:val="36"/>
          <w:rtl/>
        </w:rPr>
        <w:t xml:space="preserve"> </w:t>
      </w:r>
      <w:r w:rsidR="00D052EE" w:rsidRPr="00FD211F">
        <w:rPr>
          <w:sz w:val="36"/>
          <w:szCs w:val="36"/>
          <w:rtl/>
        </w:rPr>
        <w:t>"قده"</w:t>
      </w:r>
      <w:r w:rsidR="00A61BAE" w:rsidRPr="00FD211F">
        <w:rPr>
          <w:sz w:val="36"/>
          <w:szCs w:val="36"/>
          <w:rtl/>
        </w:rPr>
        <w:t xml:space="preserve"> </w:t>
      </w:r>
      <w:r w:rsidRPr="00FD211F">
        <w:rPr>
          <w:sz w:val="36"/>
          <w:szCs w:val="36"/>
          <w:rtl/>
        </w:rPr>
        <w:t>باختصاص جعل الملازم</w:t>
      </w:r>
      <w:r w:rsidR="00EC7EDF" w:rsidRPr="00FD211F">
        <w:rPr>
          <w:sz w:val="36"/>
          <w:szCs w:val="36"/>
          <w:rtl/>
        </w:rPr>
        <w:t xml:space="preserve">ة </w:t>
      </w:r>
      <w:r w:rsidR="00192526" w:rsidRPr="00FD211F">
        <w:rPr>
          <w:sz w:val="36"/>
          <w:szCs w:val="36"/>
          <w:rtl/>
        </w:rPr>
        <w:t xml:space="preserve">بين الفظ والمعنى </w:t>
      </w:r>
      <w:r w:rsidR="00040099" w:rsidRPr="00FD211F">
        <w:rPr>
          <w:sz w:val="36"/>
          <w:szCs w:val="36"/>
          <w:rtl/>
        </w:rPr>
        <w:t>ب</w:t>
      </w:r>
      <w:r w:rsidR="00192526" w:rsidRPr="00FD211F">
        <w:rPr>
          <w:sz w:val="36"/>
          <w:szCs w:val="36"/>
          <w:rtl/>
        </w:rPr>
        <w:t xml:space="preserve">خصوص </w:t>
      </w:r>
      <w:r w:rsidRPr="00FD211F">
        <w:rPr>
          <w:sz w:val="36"/>
          <w:szCs w:val="36"/>
          <w:rtl/>
        </w:rPr>
        <w:t>العالم بالوضع</w:t>
      </w:r>
      <w:r w:rsidR="00603323" w:rsidRPr="00FD211F">
        <w:rPr>
          <w:sz w:val="36"/>
          <w:szCs w:val="36"/>
          <w:rtl/>
        </w:rPr>
        <w:t xml:space="preserve">، </w:t>
      </w:r>
      <w:r w:rsidRPr="00FD211F">
        <w:rPr>
          <w:sz w:val="36"/>
          <w:szCs w:val="36"/>
          <w:rtl/>
        </w:rPr>
        <w:t>وحيث ان المفروض كون الوضع</w:t>
      </w:r>
      <w:r w:rsidR="00040099" w:rsidRPr="00FD211F">
        <w:rPr>
          <w:sz w:val="36"/>
          <w:szCs w:val="36"/>
          <w:rtl/>
        </w:rPr>
        <w:t xml:space="preserve"> بنظره</w:t>
      </w:r>
      <w:r w:rsidRPr="00FD211F">
        <w:rPr>
          <w:sz w:val="36"/>
          <w:szCs w:val="36"/>
          <w:rtl/>
        </w:rPr>
        <w:t xml:space="preserve"> نفس الملازم</w:t>
      </w:r>
      <w:r w:rsidR="00EC7EDF" w:rsidRPr="00FD211F">
        <w:rPr>
          <w:sz w:val="36"/>
          <w:szCs w:val="36"/>
          <w:rtl/>
        </w:rPr>
        <w:t xml:space="preserve">ة </w:t>
      </w:r>
      <w:r w:rsidRPr="00FD211F">
        <w:rPr>
          <w:sz w:val="36"/>
          <w:szCs w:val="36"/>
          <w:rtl/>
        </w:rPr>
        <w:t>فيكون مآل ذلك الى اخذ العلم بالملازم</w:t>
      </w:r>
      <w:r w:rsidR="00EC7EDF" w:rsidRPr="00FD211F">
        <w:rPr>
          <w:sz w:val="36"/>
          <w:szCs w:val="36"/>
          <w:rtl/>
        </w:rPr>
        <w:t xml:space="preserve">ة </w:t>
      </w:r>
      <w:r w:rsidRPr="00FD211F">
        <w:rPr>
          <w:sz w:val="36"/>
          <w:szCs w:val="36"/>
          <w:rtl/>
        </w:rPr>
        <w:t>في موض</w:t>
      </w:r>
      <w:r w:rsidR="00192526" w:rsidRPr="00FD211F">
        <w:rPr>
          <w:sz w:val="36"/>
          <w:szCs w:val="36"/>
          <w:rtl/>
        </w:rPr>
        <w:t>و</w:t>
      </w:r>
      <w:r w:rsidRPr="00FD211F">
        <w:rPr>
          <w:sz w:val="36"/>
          <w:szCs w:val="36"/>
          <w:rtl/>
        </w:rPr>
        <w:t>ع نفس الملازم</w:t>
      </w:r>
      <w:r w:rsidR="00EC7EDF" w:rsidRPr="00FD211F">
        <w:rPr>
          <w:sz w:val="36"/>
          <w:szCs w:val="36"/>
          <w:rtl/>
        </w:rPr>
        <w:t>ة</w:t>
      </w:r>
      <w:r w:rsidR="00603323" w:rsidRPr="00FD211F">
        <w:rPr>
          <w:sz w:val="36"/>
          <w:szCs w:val="36"/>
          <w:rtl/>
        </w:rPr>
        <w:t xml:space="preserve">، </w:t>
      </w:r>
      <w:r w:rsidRPr="00FD211F">
        <w:rPr>
          <w:sz w:val="36"/>
          <w:szCs w:val="36"/>
          <w:rtl/>
        </w:rPr>
        <w:t>وهو محال لأجل استحال</w:t>
      </w:r>
      <w:r w:rsidR="00EC7EDF" w:rsidRPr="00FD211F">
        <w:rPr>
          <w:sz w:val="36"/>
          <w:szCs w:val="36"/>
          <w:rtl/>
        </w:rPr>
        <w:t xml:space="preserve">ة </w:t>
      </w:r>
      <w:r w:rsidRPr="00FD211F">
        <w:rPr>
          <w:sz w:val="36"/>
          <w:szCs w:val="36"/>
          <w:rtl/>
        </w:rPr>
        <w:t>اخذ العلم بال</w:t>
      </w:r>
      <w:r w:rsidR="008D7B3D" w:rsidRPr="00FD211F">
        <w:rPr>
          <w:sz w:val="36"/>
          <w:szCs w:val="36"/>
          <w:rtl/>
        </w:rPr>
        <w:t xml:space="preserve">شيء </w:t>
      </w:r>
      <w:r w:rsidRPr="00FD211F">
        <w:rPr>
          <w:sz w:val="36"/>
          <w:szCs w:val="36"/>
          <w:rtl/>
        </w:rPr>
        <w:t>في موضوع نفسه</w:t>
      </w:r>
      <w:r w:rsidR="00603323" w:rsidRPr="00FD211F">
        <w:rPr>
          <w:sz w:val="36"/>
          <w:szCs w:val="36"/>
          <w:rtl/>
        </w:rPr>
        <w:t xml:space="preserve">، </w:t>
      </w:r>
      <w:r w:rsidRPr="00FD211F">
        <w:rPr>
          <w:sz w:val="36"/>
          <w:szCs w:val="36"/>
          <w:rtl/>
        </w:rPr>
        <w:t>كأخذ العلم بالحكم في موضوع نفس الحكم</w:t>
      </w:r>
      <w:r w:rsidR="009C58C8" w:rsidRPr="00FD211F">
        <w:rPr>
          <w:rStyle w:val="a6"/>
          <w:sz w:val="36"/>
          <w:szCs w:val="36"/>
          <w:rtl/>
        </w:rPr>
        <w:t>(</w:t>
      </w:r>
      <w:r w:rsidR="009C58C8" w:rsidRPr="00FD211F">
        <w:rPr>
          <w:rStyle w:val="a6"/>
          <w:sz w:val="36"/>
          <w:szCs w:val="36"/>
          <w:rtl/>
        </w:rPr>
        <w:footnoteReference w:id="98"/>
      </w:r>
      <w:r w:rsidR="009C58C8" w:rsidRPr="00FD211F">
        <w:rPr>
          <w:rStyle w:val="a6"/>
          <w:sz w:val="36"/>
          <w:szCs w:val="36"/>
          <w:rtl/>
        </w:rPr>
        <w:t>)</w:t>
      </w:r>
      <w:r w:rsidRPr="00FD211F">
        <w:rPr>
          <w:sz w:val="36"/>
          <w:szCs w:val="36"/>
          <w:rtl/>
        </w:rPr>
        <w:t>.</w:t>
      </w:r>
    </w:p>
    <w:p w14:paraId="1AD9C1E9" w14:textId="77777777" w:rsidR="00486C69" w:rsidRPr="00FD211F" w:rsidRDefault="009C6593" w:rsidP="009C58C8">
      <w:pPr>
        <w:ind w:left="0" w:firstLine="227"/>
        <w:jc w:val="both"/>
        <w:rPr>
          <w:sz w:val="36"/>
          <w:szCs w:val="36"/>
          <w:rtl/>
        </w:rPr>
      </w:pPr>
      <w:r w:rsidRPr="00FD211F">
        <w:rPr>
          <w:sz w:val="36"/>
          <w:szCs w:val="36"/>
          <w:rtl/>
        </w:rPr>
        <w:t>ولكن</w:t>
      </w:r>
      <w:r w:rsidR="008D7B3D" w:rsidRPr="00FD211F">
        <w:rPr>
          <w:sz w:val="36"/>
          <w:szCs w:val="36"/>
          <w:rtl/>
        </w:rPr>
        <w:t xml:space="preserve"> لم‌</w:t>
      </w:r>
      <w:r w:rsidRPr="00FD211F">
        <w:rPr>
          <w:sz w:val="36"/>
          <w:szCs w:val="36"/>
          <w:rtl/>
        </w:rPr>
        <w:t>يتبين لنا من كلام السيد الخوئي</w:t>
      </w:r>
      <w:r w:rsidR="00A61BAE" w:rsidRPr="00FD211F">
        <w:rPr>
          <w:sz w:val="36"/>
          <w:szCs w:val="36"/>
          <w:rtl/>
        </w:rPr>
        <w:t xml:space="preserve"> </w:t>
      </w:r>
      <w:r w:rsidR="00D052EE" w:rsidRPr="00FD211F">
        <w:rPr>
          <w:sz w:val="36"/>
          <w:szCs w:val="36"/>
          <w:rtl/>
        </w:rPr>
        <w:t>"قده"</w:t>
      </w:r>
      <w:r w:rsidR="00A61BAE" w:rsidRPr="00FD211F">
        <w:rPr>
          <w:sz w:val="36"/>
          <w:szCs w:val="36"/>
          <w:rtl/>
        </w:rPr>
        <w:t xml:space="preserve"> </w:t>
      </w:r>
      <w:r w:rsidR="00040099" w:rsidRPr="00FD211F">
        <w:rPr>
          <w:sz w:val="36"/>
          <w:szCs w:val="36"/>
          <w:rtl/>
        </w:rPr>
        <w:t xml:space="preserve">عدا انه اورد على المحقق العراقي </w:t>
      </w:r>
      <w:r w:rsidR="008D5425" w:rsidRPr="00FD211F">
        <w:rPr>
          <w:sz w:val="36"/>
          <w:szCs w:val="36"/>
          <w:rtl/>
        </w:rPr>
        <w:t>"</w:t>
      </w:r>
      <w:r w:rsidR="00040099" w:rsidRPr="00FD211F">
        <w:rPr>
          <w:sz w:val="36"/>
          <w:szCs w:val="36"/>
          <w:rtl/>
        </w:rPr>
        <w:t>قده</w:t>
      </w:r>
      <w:r w:rsidR="008D5425" w:rsidRPr="00FD211F">
        <w:rPr>
          <w:sz w:val="36"/>
          <w:szCs w:val="36"/>
          <w:rtl/>
        </w:rPr>
        <w:t>"</w:t>
      </w:r>
      <w:r w:rsidRPr="00FD211F">
        <w:rPr>
          <w:sz w:val="36"/>
          <w:szCs w:val="36"/>
          <w:rtl/>
        </w:rPr>
        <w:t xml:space="preserve"> ان الملازم</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 xml:space="preserve">بين اللفظ والمعنى حيث تختص بالعالم بالوضع فلاتكون نفس الوضع وانما </w:t>
      </w:r>
      <w:r w:rsidR="00192526" w:rsidRPr="00FD211F">
        <w:rPr>
          <w:sz w:val="36"/>
          <w:szCs w:val="36"/>
          <w:rtl/>
        </w:rPr>
        <w:t>تكون من آثاره</w:t>
      </w:r>
      <w:r w:rsidR="00603323" w:rsidRPr="00FD211F">
        <w:rPr>
          <w:sz w:val="36"/>
          <w:szCs w:val="36"/>
          <w:rtl/>
        </w:rPr>
        <w:t xml:space="preserve">، </w:t>
      </w:r>
      <w:r w:rsidR="00192526" w:rsidRPr="00FD211F">
        <w:rPr>
          <w:sz w:val="36"/>
          <w:szCs w:val="36"/>
          <w:rtl/>
        </w:rPr>
        <w:t>نعم لو كان مقصودالسيدالخوئي</w:t>
      </w:r>
      <w:r w:rsidR="00B253CE" w:rsidRPr="00FD211F">
        <w:rPr>
          <w:sz w:val="36"/>
          <w:szCs w:val="36"/>
          <w:rtl/>
        </w:rPr>
        <w:t xml:space="preserve"> </w:t>
      </w:r>
      <w:r w:rsidRPr="00FD211F">
        <w:rPr>
          <w:sz w:val="36"/>
          <w:szCs w:val="36"/>
          <w:rtl/>
        </w:rPr>
        <w:t xml:space="preserve">هو هذا الاشكال </w:t>
      </w:r>
      <w:r w:rsidR="007A01A5" w:rsidRPr="00FD211F">
        <w:rPr>
          <w:sz w:val="36"/>
          <w:szCs w:val="36"/>
          <w:rtl/>
        </w:rPr>
        <w:t xml:space="preserve">الذي نسب اليه </w:t>
      </w:r>
      <w:r w:rsidR="00040099" w:rsidRPr="00FD211F">
        <w:rPr>
          <w:sz w:val="36"/>
          <w:szCs w:val="36"/>
          <w:rtl/>
        </w:rPr>
        <w:t>فقد يقال</w:t>
      </w:r>
      <w:r w:rsidRPr="00FD211F">
        <w:rPr>
          <w:sz w:val="36"/>
          <w:szCs w:val="36"/>
          <w:rtl/>
        </w:rPr>
        <w:t xml:space="preserve"> </w:t>
      </w:r>
      <w:r w:rsidR="00040099" w:rsidRPr="00FD211F">
        <w:rPr>
          <w:sz w:val="36"/>
          <w:szCs w:val="36"/>
          <w:rtl/>
        </w:rPr>
        <w:t>ب</w:t>
      </w:r>
      <w:r w:rsidRPr="00FD211F">
        <w:rPr>
          <w:sz w:val="36"/>
          <w:szCs w:val="36"/>
          <w:rtl/>
        </w:rPr>
        <w:t>ان الصحيح</w:t>
      </w:r>
      <w:r w:rsidR="00822289" w:rsidRPr="00FD211F">
        <w:rPr>
          <w:sz w:val="36"/>
          <w:szCs w:val="36"/>
          <w:rtl/>
        </w:rPr>
        <w:t xml:space="preserve"> -خلافا للسيد الخوئي</w:t>
      </w:r>
      <w:r w:rsidR="008F14E7" w:rsidRPr="00FD211F">
        <w:rPr>
          <w:sz w:val="36"/>
          <w:szCs w:val="36"/>
          <w:rtl/>
        </w:rPr>
        <w:t xml:space="preserve"> "قده"</w:t>
      </w:r>
      <w:r w:rsidR="00822289" w:rsidRPr="00FD211F">
        <w:rPr>
          <w:sz w:val="36"/>
          <w:szCs w:val="36"/>
          <w:rtl/>
        </w:rPr>
        <w:t>-</w:t>
      </w:r>
      <w:r w:rsidRPr="00FD211F">
        <w:rPr>
          <w:sz w:val="36"/>
          <w:szCs w:val="36"/>
          <w:rtl/>
        </w:rPr>
        <w:t xml:space="preserve"> امكان اخذ العلم بالجعل في موضوع المجعول</w:t>
      </w:r>
      <w:r w:rsidR="00603323" w:rsidRPr="00FD211F">
        <w:rPr>
          <w:sz w:val="36"/>
          <w:szCs w:val="36"/>
          <w:rtl/>
        </w:rPr>
        <w:t xml:space="preserve">، </w:t>
      </w:r>
      <w:r w:rsidR="00040099" w:rsidRPr="00FD211F">
        <w:rPr>
          <w:sz w:val="36"/>
          <w:szCs w:val="36"/>
          <w:rtl/>
        </w:rPr>
        <w:t>كجعل وجوب</w:t>
      </w:r>
      <w:r w:rsidRPr="00FD211F">
        <w:rPr>
          <w:sz w:val="36"/>
          <w:szCs w:val="36"/>
          <w:rtl/>
        </w:rPr>
        <w:t xml:space="preserve"> الصلا</w:t>
      </w:r>
      <w:r w:rsidR="00EC7EDF" w:rsidRPr="00FD211F">
        <w:rPr>
          <w:sz w:val="36"/>
          <w:szCs w:val="36"/>
          <w:rtl/>
        </w:rPr>
        <w:t xml:space="preserve">ة </w:t>
      </w:r>
      <w:r w:rsidRPr="00FD211F">
        <w:rPr>
          <w:sz w:val="36"/>
          <w:szCs w:val="36"/>
          <w:rtl/>
        </w:rPr>
        <w:t>على من علم بهذا الجعل فان ما يتوقف عليه العلم بالجعل ه</w:t>
      </w:r>
      <w:r w:rsidR="00040099" w:rsidRPr="00FD211F">
        <w:rPr>
          <w:sz w:val="36"/>
          <w:szCs w:val="36"/>
          <w:rtl/>
        </w:rPr>
        <w:t>و الجعل على نهج القضي</w:t>
      </w:r>
      <w:r w:rsidR="00EC7EDF" w:rsidRPr="00FD211F">
        <w:rPr>
          <w:sz w:val="36"/>
          <w:szCs w:val="36"/>
          <w:rtl/>
        </w:rPr>
        <w:t xml:space="preserve">ة </w:t>
      </w:r>
      <w:r w:rsidR="00040099" w:rsidRPr="00FD211F">
        <w:rPr>
          <w:sz w:val="36"/>
          <w:szCs w:val="36"/>
          <w:rtl/>
        </w:rPr>
        <w:t>الحقيقي</w:t>
      </w:r>
      <w:r w:rsidR="00EC7EDF" w:rsidRPr="00FD211F">
        <w:rPr>
          <w:sz w:val="36"/>
          <w:szCs w:val="36"/>
          <w:rtl/>
        </w:rPr>
        <w:t>ة</w:t>
      </w:r>
      <w:r w:rsidR="00603323" w:rsidRPr="00FD211F">
        <w:rPr>
          <w:sz w:val="36"/>
          <w:szCs w:val="36"/>
          <w:rtl/>
        </w:rPr>
        <w:t xml:space="preserve">، </w:t>
      </w:r>
      <w:r w:rsidRPr="00FD211F">
        <w:rPr>
          <w:sz w:val="36"/>
          <w:szCs w:val="36"/>
          <w:rtl/>
        </w:rPr>
        <w:t xml:space="preserve">ولايتوقف الجعل على علم المكلف به </w:t>
      </w:r>
      <w:r w:rsidR="007C44D0" w:rsidRPr="00FD211F">
        <w:rPr>
          <w:sz w:val="36"/>
          <w:szCs w:val="36"/>
          <w:rtl/>
        </w:rPr>
        <w:t>خارجا</w:t>
      </w:r>
      <w:r w:rsidR="00603323" w:rsidRPr="00FD211F">
        <w:rPr>
          <w:sz w:val="36"/>
          <w:szCs w:val="36"/>
          <w:rtl/>
        </w:rPr>
        <w:t xml:space="preserve">، </w:t>
      </w:r>
      <w:r w:rsidRPr="00FD211F">
        <w:rPr>
          <w:sz w:val="36"/>
          <w:szCs w:val="36"/>
          <w:rtl/>
        </w:rPr>
        <w:t>حيث انه بمجرد ايجاب المولى الصلا</w:t>
      </w:r>
      <w:r w:rsidR="00EC7EDF" w:rsidRPr="00FD211F">
        <w:rPr>
          <w:sz w:val="36"/>
          <w:szCs w:val="36"/>
          <w:rtl/>
        </w:rPr>
        <w:t xml:space="preserve">ة </w:t>
      </w:r>
      <w:r w:rsidRPr="00FD211F">
        <w:rPr>
          <w:sz w:val="36"/>
          <w:szCs w:val="36"/>
          <w:rtl/>
        </w:rPr>
        <w:t>على من علم بهذا الجعل يتحقق هذا الجعل الكلي</w:t>
      </w:r>
      <w:r w:rsidR="00603323" w:rsidRPr="00FD211F">
        <w:rPr>
          <w:sz w:val="36"/>
          <w:szCs w:val="36"/>
          <w:rtl/>
        </w:rPr>
        <w:t xml:space="preserve">، </w:t>
      </w:r>
      <w:r w:rsidRPr="00FD211F">
        <w:rPr>
          <w:sz w:val="36"/>
          <w:szCs w:val="36"/>
          <w:rtl/>
        </w:rPr>
        <w:t>فان اتفق علم المكلف به فيكون الموضوع فعليا في حقه</w:t>
      </w:r>
      <w:r w:rsidR="00603323" w:rsidRPr="00FD211F">
        <w:rPr>
          <w:sz w:val="36"/>
          <w:szCs w:val="36"/>
          <w:rtl/>
        </w:rPr>
        <w:t xml:space="preserve">، </w:t>
      </w:r>
      <w:r w:rsidR="00822289" w:rsidRPr="00FD211F">
        <w:rPr>
          <w:sz w:val="36"/>
          <w:szCs w:val="36"/>
          <w:rtl/>
        </w:rPr>
        <w:t>وهذا هو</w:t>
      </w:r>
      <w:r w:rsidR="00040099" w:rsidRPr="00FD211F">
        <w:rPr>
          <w:sz w:val="36"/>
          <w:szCs w:val="36"/>
          <w:rtl/>
        </w:rPr>
        <w:t xml:space="preserve"> المراد ب</w:t>
      </w:r>
      <w:r w:rsidR="00822289" w:rsidRPr="00FD211F">
        <w:rPr>
          <w:sz w:val="36"/>
          <w:szCs w:val="36"/>
          <w:rtl/>
        </w:rPr>
        <w:t>المجعول</w:t>
      </w:r>
      <w:r w:rsidR="00603323" w:rsidRPr="00FD211F">
        <w:rPr>
          <w:sz w:val="36"/>
          <w:szCs w:val="36"/>
          <w:rtl/>
        </w:rPr>
        <w:t xml:space="preserve">، </w:t>
      </w:r>
      <w:r w:rsidR="00040099" w:rsidRPr="00FD211F">
        <w:rPr>
          <w:sz w:val="36"/>
          <w:szCs w:val="36"/>
          <w:rtl/>
        </w:rPr>
        <w:t>فالمتحصل ان</w:t>
      </w:r>
      <w:r w:rsidR="007C44D0" w:rsidRPr="00FD211F">
        <w:rPr>
          <w:sz w:val="36"/>
          <w:szCs w:val="36"/>
          <w:rtl/>
        </w:rPr>
        <w:t xml:space="preserve"> العلم بالجعل يكون موقوفا على الجعل</w:t>
      </w:r>
      <w:r w:rsidR="00822289" w:rsidRPr="00FD211F">
        <w:rPr>
          <w:sz w:val="36"/>
          <w:szCs w:val="36"/>
          <w:rtl/>
        </w:rPr>
        <w:t xml:space="preserve"> والمفروض ان الجعل لايتوقف على</w:t>
      </w:r>
      <w:r w:rsidR="00040099" w:rsidRPr="00FD211F">
        <w:rPr>
          <w:sz w:val="36"/>
          <w:szCs w:val="36"/>
          <w:rtl/>
        </w:rPr>
        <w:t xml:space="preserve"> </w:t>
      </w:r>
      <w:r w:rsidR="00822289" w:rsidRPr="00FD211F">
        <w:rPr>
          <w:sz w:val="36"/>
          <w:szCs w:val="36"/>
          <w:rtl/>
        </w:rPr>
        <w:t>العلم به</w:t>
      </w:r>
      <w:r w:rsidR="00040099" w:rsidRPr="00FD211F">
        <w:rPr>
          <w:sz w:val="36"/>
          <w:szCs w:val="36"/>
          <w:rtl/>
        </w:rPr>
        <w:t xml:space="preserve"> خارجا</w:t>
      </w:r>
      <w:r w:rsidR="00603323" w:rsidRPr="00FD211F">
        <w:rPr>
          <w:sz w:val="36"/>
          <w:szCs w:val="36"/>
          <w:rtl/>
        </w:rPr>
        <w:t xml:space="preserve">، </w:t>
      </w:r>
      <w:r w:rsidR="00B02E4A" w:rsidRPr="00FD211F">
        <w:rPr>
          <w:sz w:val="36"/>
          <w:szCs w:val="36"/>
          <w:rtl/>
        </w:rPr>
        <w:t>و</w:t>
      </w:r>
      <w:r w:rsidR="00EE3B0B" w:rsidRPr="00FD211F">
        <w:rPr>
          <w:sz w:val="36"/>
          <w:szCs w:val="36"/>
          <w:rtl/>
        </w:rPr>
        <w:t>ان</w:t>
      </w:r>
      <w:r w:rsidR="00B02E4A" w:rsidRPr="00FD211F">
        <w:rPr>
          <w:sz w:val="36"/>
          <w:szCs w:val="36"/>
          <w:rtl/>
        </w:rPr>
        <w:t>ما</w:t>
      </w:r>
      <w:r w:rsidR="00040099" w:rsidRPr="00FD211F">
        <w:rPr>
          <w:sz w:val="36"/>
          <w:szCs w:val="36"/>
          <w:rtl/>
        </w:rPr>
        <w:t xml:space="preserve"> يتوقف</w:t>
      </w:r>
      <w:r w:rsidR="00822289" w:rsidRPr="00FD211F">
        <w:rPr>
          <w:sz w:val="36"/>
          <w:szCs w:val="36"/>
          <w:rtl/>
        </w:rPr>
        <w:t xml:space="preserve"> المجعول والحكم الفعلي</w:t>
      </w:r>
      <w:r w:rsidR="00EE3B0B" w:rsidRPr="00FD211F">
        <w:rPr>
          <w:sz w:val="36"/>
          <w:szCs w:val="36"/>
          <w:rtl/>
        </w:rPr>
        <w:t xml:space="preserve"> على العلم بالجعل خارجا</w:t>
      </w:r>
      <w:r w:rsidR="00603323" w:rsidRPr="00FD211F">
        <w:rPr>
          <w:sz w:val="36"/>
          <w:szCs w:val="36"/>
          <w:rtl/>
        </w:rPr>
        <w:t xml:space="preserve">، </w:t>
      </w:r>
      <w:r w:rsidR="003863F6" w:rsidRPr="00FD211F">
        <w:rPr>
          <w:sz w:val="36"/>
          <w:szCs w:val="36"/>
          <w:rtl/>
        </w:rPr>
        <w:t>فلايلزم من اخذ العلم بالجعل في موضوع المجعول أي محذور</w:t>
      </w:r>
      <w:r w:rsidR="00603323" w:rsidRPr="00FD211F">
        <w:rPr>
          <w:sz w:val="36"/>
          <w:szCs w:val="36"/>
          <w:rtl/>
        </w:rPr>
        <w:t xml:space="preserve">، </w:t>
      </w:r>
      <w:r w:rsidR="00822289" w:rsidRPr="00FD211F">
        <w:rPr>
          <w:sz w:val="36"/>
          <w:szCs w:val="36"/>
          <w:rtl/>
        </w:rPr>
        <w:t>وهذا بخلاف اخذ المجعول في موضوع المجعول</w:t>
      </w:r>
      <w:r w:rsidR="00603323" w:rsidRPr="00FD211F">
        <w:rPr>
          <w:sz w:val="36"/>
          <w:szCs w:val="36"/>
          <w:rtl/>
        </w:rPr>
        <w:t xml:space="preserve">، </w:t>
      </w:r>
      <w:r w:rsidR="00822289" w:rsidRPr="00FD211F">
        <w:rPr>
          <w:sz w:val="36"/>
          <w:szCs w:val="36"/>
          <w:rtl/>
        </w:rPr>
        <w:t>كأن يقول تجب الصلا</w:t>
      </w:r>
      <w:r w:rsidR="00EC7EDF" w:rsidRPr="00FD211F">
        <w:rPr>
          <w:sz w:val="36"/>
          <w:szCs w:val="36"/>
          <w:rtl/>
        </w:rPr>
        <w:t xml:space="preserve">ة </w:t>
      </w:r>
      <w:r w:rsidR="00822289" w:rsidRPr="00FD211F">
        <w:rPr>
          <w:sz w:val="36"/>
          <w:szCs w:val="36"/>
          <w:rtl/>
        </w:rPr>
        <w:t>على من</w:t>
      </w:r>
      <w:r w:rsidR="003863F6" w:rsidRPr="00FD211F">
        <w:rPr>
          <w:sz w:val="36"/>
          <w:szCs w:val="36"/>
          <w:rtl/>
        </w:rPr>
        <w:t xml:space="preserve"> علم بوجوب</w:t>
      </w:r>
      <w:r w:rsidR="00822289" w:rsidRPr="00FD211F">
        <w:rPr>
          <w:sz w:val="36"/>
          <w:szCs w:val="36"/>
          <w:rtl/>
        </w:rPr>
        <w:t xml:space="preserve"> الصلا</w:t>
      </w:r>
      <w:r w:rsidR="00EC7EDF" w:rsidRPr="00FD211F">
        <w:rPr>
          <w:sz w:val="36"/>
          <w:szCs w:val="36"/>
          <w:rtl/>
        </w:rPr>
        <w:t xml:space="preserve">ة </w:t>
      </w:r>
      <w:r w:rsidR="00822289" w:rsidRPr="00FD211F">
        <w:rPr>
          <w:sz w:val="36"/>
          <w:szCs w:val="36"/>
          <w:rtl/>
        </w:rPr>
        <w:t>عليه</w:t>
      </w:r>
      <w:r w:rsidR="00603323" w:rsidRPr="00FD211F">
        <w:rPr>
          <w:sz w:val="36"/>
          <w:szCs w:val="36"/>
          <w:rtl/>
        </w:rPr>
        <w:t xml:space="preserve">، </w:t>
      </w:r>
      <w:r w:rsidR="00822289" w:rsidRPr="00FD211F">
        <w:rPr>
          <w:sz w:val="36"/>
          <w:szCs w:val="36"/>
          <w:rtl/>
        </w:rPr>
        <w:t>فانه من الدور الواضح</w:t>
      </w:r>
      <w:r w:rsidR="00603323" w:rsidRPr="00FD211F">
        <w:rPr>
          <w:sz w:val="36"/>
          <w:szCs w:val="36"/>
          <w:rtl/>
        </w:rPr>
        <w:t xml:space="preserve">، </w:t>
      </w:r>
      <w:r w:rsidR="00C72E05" w:rsidRPr="00FD211F">
        <w:rPr>
          <w:sz w:val="36"/>
          <w:szCs w:val="36"/>
          <w:rtl/>
        </w:rPr>
        <w:t>وعليه فيمكن جعل الملازم</w:t>
      </w:r>
      <w:r w:rsidR="00EC7EDF" w:rsidRPr="00FD211F">
        <w:rPr>
          <w:sz w:val="36"/>
          <w:szCs w:val="36"/>
          <w:rtl/>
        </w:rPr>
        <w:t xml:space="preserve">ة </w:t>
      </w:r>
      <w:r w:rsidR="00C72E05" w:rsidRPr="00FD211F">
        <w:rPr>
          <w:sz w:val="36"/>
          <w:szCs w:val="36"/>
          <w:rtl/>
        </w:rPr>
        <w:t>بين اللفظ والمعنى في حق العالم بهذا الجعل</w:t>
      </w:r>
      <w:r w:rsidR="00486C69" w:rsidRPr="00FD211F">
        <w:rPr>
          <w:sz w:val="36"/>
          <w:szCs w:val="36"/>
          <w:rtl/>
        </w:rPr>
        <w:t>.</w:t>
      </w:r>
    </w:p>
    <w:p w14:paraId="2EF0BF05" w14:textId="77777777" w:rsidR="00D869BE" w:rsidRPr="00FD211F" w:rsidRDefault="00486C69" w:rsidP="009C58C8">
      <w:pPr>
        <w:ind w:left="0" w:firstLine="227"/>
        <w:jc w:val="both"/>
        <w:rPr>
          <w:sz w:val="36"/>
          <w:szCs w:val="36"/>
          <w:rtl/>
        </w:rPr>
      </w:pPr>
      <w:r w:rsidRPr="00FD211F">
        <w:rPr>
          <w:sz w:val="36"/>
          <w:szCs w:val="36"/>
          <w:rtl/>
        </w:rPr>
        <w:t xml:space="preserve">ولكن لايخفى ان </w:t>
      </w:r>
      <w:r w:rsidR="009D451F" w:rsidRPr="00FD211F">
        <w:rPr>
          <w:sz w:val="36"/>
          <w:szCs w:val="36"/>
          <w:rtl/>
        </w:rPr>
        <w:t xml:space="preserve">تطبيق كبرى </w:t>
      </w:r>
      <w:r w:rsidRPr="00FD211F">
        <w:rPr>
          <w:sz w:val="36"/>
          <w:szCs w:val="36"/>
          <w:rtl/>
        </w:rPr>
        <w:t xml:space="preserve">اخذ العلم بالجعل في موضوع المجعول </w:t>
      </w:r>
      <w:r w:rsidR="009D451F" w:rsidRPr="00FD211F">
        <w:rPr>
          <w:sz w:val="36"/>
          <w:szCs w:val="36"/>
          <w:rtl/>
        </w:rPr>
        <w:t xml:space="preserve">على المقام </w:t>
      </w:r>
      <w:r w:rsidRPr="00FD211F">
        <w:rPr>
          <w:sz w:val="36"/>
          <w:szCs w:val="36"/>
          <w:rtl/>
        </w:rPr>
        <w:t>انما يختص</w:t>
      </w:r>
      <w:r w:rsidR="00D869BE" w:rsidRPr="00FD211F">
        <w:rPr>
          <w:sz w:val="36"/>
          <w:szCs w:val="36"/>
          <w:rtl/>
        </w:rPr>
        <w:t xml:space="preserve"> بما</w:t>
      </w:r>
      <w:r w:rsidR="004F5212" w:rsidRPr="00FD211F">
        <w:rPr>
          <w:sz w:val="36"/>
          <w:szCs w:val="36"/>
          <w:rtl/>
        </w:rPr>
        <w:t xml:space="preserve"> </w:t>
      </w:r>
      <w:r w:rsidR="00D869BE" w:rsidRPr="00FD211F">
        <w:rPr>
          <w:sz w:val="36"/>
          <w:szCs w:val="36"/>
          <w:rtl/>
        </w:rPr>
        <w:t>اذا</w:t>
      </w:r>
      <w:r w:rsidR="004F5212" w:rsidRPr="00FD211F">
        <w:rPr>
          <w:sz w:val="36"/>
          <w:szCs w:val="36"/>
          <w:rtl/>
        </w:rPr>
        <w:t xml:space="preserve"> </w:t>
      </w:r>
      <w:r w:rsidR="00D869BE" w:rsidRPr="00FD211F">
        <w:rPr>
          <w:sz w:val="36"/>
          <w:szCs w:val="36"/>
          <w:rtl/>
        </w:rPr>
        <w:t>اريد</w:t>
      </w:r>
      <w:r w:rsidR="004F5212" w:rsidRPr="00FD211F">
        <w:rPr>
          <w:sz w:val="36"/>
          <w:szCs w:val="36"/>
          <w:rtl/>
        </w:rPr>
        <w:t xml:space="preserve"> </w:t>
      </w:r>
      <w:r w:rsidR="00D869BE" w:rsidRPr="00FD211F">
        <w:rPr>
          <w:sz w:val="36"/>
          <w:szCs w:val="36"/>
          <w:rtl/>
        </w:rPr>
        <w:t>من جعل الملازم</w:t>
      </w:r>
      <w:r w:rsidR="00EC7EDF" w:rsidRPr="00FD211F">
        <w:rPr>
          <w:sz w:val="36"/>
          <w:szCs w:val="36"/>
          <w:rtl/>
        </w:rPr>
        <w:t xml:space="preserve">ة </w:t>
      </w:r>
      <w:r w:rsidR="009D451F" w:rsidRPr="00FD211F">
        <w:rPr>
          <w:sz w:val="36"/>
          <w:szCs w:val="36"/>
          <w:rtl/>
        </w:rPr>
        <w:t>الجعل الاعتباري لعنوان الملازم</w:t>
      </w:r>
      <w:r w:rsidR="00EC7EDF" w:rsidRPr="00FD211F">
        <w:rPr>
          <w:sz w:val="36"/>
          <w:szCs w:val="36"/>
          <w:rtl/>
        </w:rPr>
        <w:t xml:space="preserve">ة </w:t>
      </w:r>
      <w:r w:rsidR="009D451F" w:rsidRPr="00FD211F">
        <w:rPr>
          <w:sz w:val="36"/>
          <w:szCs w:val="36"/>
          <w:rtl/>
        </w:rPr>
        <w:t>بين اللفظ والمعنى من دون ان يكون جعلا للملازم</w:t>
      </w:r>
      <w:r w:rsidR="00EC7EDF" w:rsidRPr="00FD211F">
        <w:rPr>
          <w:sz w:val="36"/>
          <w:szCs w:val="36"/>
          <w:rtl/>
        </w:rPr>
        <w:t xml:space="preserve">ة </w:t>
      </w:r>
      <w:r w:rsidR="009D451F" w:rsidRPr="00FD211F">
        <w:rPr>
          <w:sz w:val="36"/>
          <w:szCs w:val="36"/>
          <w:rtl/>
        </w:rPr>
        <w:t>الواقعي</w:t>
      </w:r>
      <w:r w:rsidR="00EC7EDF" w:rsidRPr="00FD211F">
        <w:rPr>
          <w:sz w:val="36"/>
          <w:szCs w:val="36"/>
          <w:rtl/>
        </w:rPr>
        <w:t xml:space="preserve">ة </w:t>
      </w:r>
      <w:r w:rsidR="009D451F" w:rsidRPr="00FD211F">
        <w:rPr>
          <w:sz w:val="36"/>
          <w:szCs w:val="36"/>
          <w:rtl/>
        </w:rPr>
        <w:t>فيمكن تخصيص جعل عنوان الملازم</w:t>
      </w:r>
      <w:r w:rsidR="00EC7EDF" w:rsidRPr="00FD211F">
        <w:rPr>
          <w:sz w:val="36"/>
          <w:szCs w:val="36"/>
          <w:rtl/>
        </w:rPr>
        <w:t xml:space="preserve">ة </w:t>
      </w:r>
      <w:r w:rsidR="009D451F" w:rsidRPr="00FD211F">
        <w:rPr>
          <w:sz w:val="36"/>
          <w:szCs w:val="36"/>
          <w:rtl/>
        </w:rPr>
        <w:t>بين اللفظ والمعنى بخصوص العالم بهذا الجعل.</w:t>
      </w:r>
    </w:p>
    <w:p w14:paraId="64DCDF35" w14:textId="77777777" w:rsidR="00D869BE" w:rsidRPr="00FD211F" w:rsidRDefault="00D869BE" w:rsidP="009C58C8">
      <w:pPr>
        <w:ind w:left="0" w:firstLine="227"/>
        <w:jc w:val="both"/>
        <w:rPr>
          <w:sz w:val="36"/>
          <w:szCs w:val="36"/>
          <w:rtl/>
        </w:rPr>
      </w:pPr>
      <w:r w:rsidRPr="00FD211F">
        <w:rPr>
          <w:sz w:val="36"/>
          <w:szCs w:val="36"/>
          <w:rtl/>
        </w:rPr>
        <w:t>اما</w:t>
      </w:r>
      <w:r w:rsidR="00D052EE" w:rsidRPr="00FD211F">
        <w:rPr>
          <w:sz w:val="36"/>
          <w:szCs w:val="36"/>
          <w:rtl/>
        </w:rPr>
        <w:t xml:space="preserve"> </w:t>
      </w:r>
      <w:r w:rsidRPr="00FD211F">
        <w:rPr>
          <w:sz w:val="36"/>
          <w:szCs w:val="36"/>
          <w:rtl/>
        </w:rPr>
        <w:t>اذا</w:t>
      </w:r>
      <w:r w:rsidR="004F5212" w:rsidRPr="00FD211F">
        <w:rPr>
          <w:sz w:val="36"/>
          <w:szCs w:val="36"/>
          <w:rtl/>
        </w:rPr>
        <w:t xml:space="preserve"> </w:t>
      </w:r>
      <w:r w:rsidRPr="00FD211F">
        <w:rPr>
          <w:sz w:val="36"/>
          <w:szCs w:val="36"/>
          <w:rtl/>
        </w:rPr>
        <w:t>ار</w:t>
      </w:r>
      <w:r w:rsidR="006B79D0" w:rsidRPr="00FD211F">
        <w:rPr>
          <w:sz w:val="36"/>
          <w:szCs w:val="36"/>
          <w:rtl/>
        </w:rPr>
        <w:t>يد</w:t>
      </w:r>
      <w:r w:rsidR="00D052EE" w:rsidRPr="00FD211F">
        <w:rPr>
          <w:sz w:val="36"/>
          <w:szCs w:val="36"/>
          <w:rtl/>
        </w:rPr>
        <w:t xml:space="preserve"> </w:t>
      </w:r>
      <w:r w:rsidR="006B79D0" w:rsidRPr="00FD211F">
        <w:rPr>
          <w:sz w:val="36"/>
          <w:szCs w:val="36"/>
          <w:rtl/>
        </w:rPr>
        <w:t>من جعل الملازم</w:t>
      </w:r>
      <w:r w:rsidR="00EC7EDF" w:rsidRPr="00FD211F">
        <w:rPr>
          <w:sz w:val="36"/>
          <w:szCs w:val="36"/>
          <w:rtl/>
        </w:rPr>
        <w:t xml:space="preserve">ة </w:t>
      </w:r>
      <w:r w:rsidR="006B79D0" w:rsidRPr="00FD211F">
        <w:rPr>
          <w:sz w:val="36"/>
          <w:szCs w:val="36"/>
          <w:rtl/>
        </w:rPr>
        <w:t xml:space="preserve">الجعل التكويني </w:t>
      </w:r>
      <w:r w:rsidRPr="00FD211F">
        <w:rPr>
          <w:sz w:val="36"/>
          <w:szCs w:val="36"/>
          <w:rtl/>
        </w:rPr>
        <w:t>لها</w:t>
      </w:r>
      <w:r w:rsidR="006B79D0" w:rsidRPr="00FD211F">
        <w:rPr>
          <w:sz w:val="36"/>
          <w:szCs w:val="36"/>
          <w:rtl/>
        </w:rPr>
        <w:t xml:space="preserve"> </w:t>
      </w:r>
      <w:r w:rsidRPr="00FD211F">
        <w:rPr>
          <w:sz w:val="36"/>
          <w:szCs w:val="36"/>
          <w:rtl/>
        </w:rPr>
        <w:t>كماه</w:t>
      </w:r>
      <w:r w:rsidR="00AB1B12" w:rsidRPr="00FD211F">
        <w:rPr>
          <w:sz w:val="36"/>
          <w:szCs w:val="36"/>
          <w:rtl/>
        </w:rPr>
        <w:t>و</w:t>
      </w:r>
      <w:r w:rsidR="00D052EE" w:rsidRPr="00FD211F">
        <w:rPr>
          <w:sz w:val="36"/>
          <w:szCs w:val="36"/>
          <w:rtl/>
        </w:rPr>
        <w:t xml:space="preserve"> </w:t>
      </w:r>
      <w:r w:rsidR="00AB1B12" w:rsidRPr="00FD211F">
        <w:rPr>
          <w:sz w:val="36"/>
          <w:szCs w:val="36"/>
          <w:rtl/>
        </w:rPr>
        <w:t>ظاهر</w:t>
      </w:r>
      <w:r w:rsidR="00D052EE" w:rsidRPr="00FD211F">
        <w:rPr>
          <w:sz w:val="36"/>
          <w:szCs w:val="36"/>
          <w:rtl/>
        </w:rPr>
        <w:t xml:space="preserve"> </w:t>
      </w:r>
      <w:r w:rsidR="00AB1B12" w:rsidRPr="00FD211F">
        <w:rPr>
          <w:sz w:val="36"/>
          <w:szCs w:val="36"/>
          <w:rtl/>
        </w:rPr>
        <w:t>كلام المحقق العراقي "قده"</w:t>
      </w:r>
      <w:r w:rsidR="00B253CE" w:rsidRPr="00FD211F">
        <w:rPr>
          <w:sz w:val="36"/>
          <w:szCs w:val="36"/>
          <w:rtl/>
        </w:rPr>
        <w:t xml:space="preserve"> </w:t>
      </w:r>
      <w:r w:rsidRPr="00FD211F">
        <w:rPr>
          <w:sz w:val="36"/>
          <w:szCs w:val="36"/>
          <w:rtl/>
        </w:rPr>
        <w:t>فلايعقل تطبيق تلك الكبرى لاختصاصها</w:t>
      </w:r>
      <w:r w:rsidR="006B79D0" w:rsidRPr="00FD211F">
        <w:rPr>
          <w:sz w:val="36"/>
          <w:szCs w:val="36"/>
          <w:rtl/>
        </w:rPr>
        <w:t xml:space="preserve"> </w:t>
      </w:r>
      <w:r w:rsidRPr="00FD211F">
        <w:rPr>
          <w:sz w:val="36"/>
          <w:szCs w:val="36"/>
          <w:rtl/>
        </w:rPr>
        <w:t>بما</w:t>
      </w:r>
      <w:r w:rsidR="006B79D0" w:rsidRPr="00FD211F">
        <w:rPr>
          <w:sz w:val="36"/>
          <w:szCs w:val="36"/>
          <w:rtl/>
        </w:rPr>
        <w:t xml:space="preserve"> </w:t>
      </w:r>
      <w:r w:rsidRPr="00FD211F">
        <w:rPr>
          <w:sz w:val="36"/>
          <w:szCs w:val="36"/>
          <w:rtl/>
        </w:rPr>
        <w:t xml:space="preserve">يمكن فرض وجود تقديري لمتعلق الجعل </w:t>
      </w:r>
      <w:r w:rsidR="00B73035" w:rsidRPr="00FD211F">
        <w:rPr>
          <w:sz w:val="36"/>
          <w:szCs w:val="36"/>
          <w:rtl/>
        </w:rPr>
        <w:t xml:space="preserve">كجعل وجوب </w:t>
      </w:r>
      <w:r w:rsidR="006B79D0" w:rsidRPr="00FD211F">
        <w:rPr>
          <w:sz w:val="36"/>
          <w:szCs w:val="36"/>
          <w:rtl/>
        </w:rPr>
        <w:t>ال</w:t>
      </w:r>
      <w:r w:rsidR="00B73035" w:rsidRPr="00FD211F">
        <w:rPr>
          <w:sz w:val="36"/>
          <w:szCs w:val="36"/>
          <w:rtl/>
        </w:rPr>
        <w:t>فعل على من يعلم بهذا الجعل ف</w:t>
      </w:r>
      <w:r w:rsidR="006B79D0" w:rsidRPr="00FD211F">
        <w:rPr>
          <w:sz w:val="36"/>
          <w:szCs w:val="36"/>
          <w:rtl/>
        </w:rPr>
        <w:t xml:space="preserve">انه قد </w:t>
      </w:r>
      <w:r w:rsidR="00B73035" w:rsidRPr="00FD211F">
        <w:rPr>
          <w:sz w:val="36"/>
          <w:szCs w:val="36"/>
          <w:rtl/>
        </w:rPr>
        <w:t>تعلق الوجوب</w:t>
      </w:r>
      <w:r w:rsidR="00B253CE" w:rsidRPr="00FD211F">
        <w:rPr>
          <w:sz w:val="36"/>
          <w:szCs w:val="36"/>
          <w:rtl/>
        </w:rPr>
        <w:t xml:space="preserve"> </w:t>
      </w:r>
      <w:r w:rsidR="00B73035" w:rsidRPr="00FD211F">
        <w:rPr>
          <w:sz w:val="36"/>
          <w:szCs w:val="36"/>
          <w:rtl/>
        </w:rPr>
        <w:t>بموضوع مقدر</w:t>
      </w:r>
      <w:r w:rsidR="00D052EE" w:rsidRPr="00FD211F">
        <w:rPr>
          <w:sz w:val="36"/>
          <w:szCs w:val="36"/>
          <w:rtl/>
        </w:rPr>
        <w:t xml:space="preserve"> </w:t>
      </w:r>
      <w:r w:rsidR="00B73035" w:rsidRPr="00FD211F">
        <w:rPr>
          <w:sz w:val="36"/>
          <w:szCs w:val="36"/>
          <w:rtl/>
        </w:rPr>
        <w:t>وهو</w:t>
      </w:r>
      <w:r w:rsidR="004F5212" w:rsidRPr="00FD211F">
        <w:rPr>
          <w:sz w:val="36"/>
          <w:szCs w:val="36"/>
          <w:rtl/>
        </w:rPr>
        <w:t xml:space="preserve"> </w:t>
      </w:r>
      <w:r w:rsidR="00B73035" w:rsidRPr="00FD211F">
        <w:rPr>
          <w:sz w:val="36"/>
          <w:szCs w:val="36"/>
          <w:rtl/>
        </w:rPr>
        <w:t>من يعلم بهذا</w:t>
      </w:r>
      <w:r w:rsidR="006B79D0" w:rsidRPr="00FD211F">
        <w:rPr>
          <w:sz w:val="36"/>
          <w:szCs w:val="36"/>
          <w:rtl/>
        </w:rPr>
        <w:t xml:space="preserve"> </w:t>
      </w:r>
      <w:r w:rsidR="00B73035" w:rsidRPr="00FD211F">
        <w:rPr>
          <w:sz w:val="36"/>
          <w:szCs w:val="36"/>
          <w:rtl/>
        </w:rPr>
        <w:t>الجعل فاذا</w:t>
      </w:r>
      <w:r w:rsidR="006B79D0" w:rsidRPr="00FD211F">
        <w:rPr>
          <w:sz w:val="36"/>
          <w:szCs w:val="36"/>
          <w:rtl/>
        </w:rPr>
        <w:t xml:space="preserve"> </w:t>
      </w:r>
      <w:r w:rsidR="00B73035" w:rsidRPr="00FD211F">
        <w:rPr>
          <w:sz w:val="36"/>
          <w:szCs w:val="36"/>
          <w:rtl/>
        </w:rPr>
        <w:t>وصل هذا</w:t>
      </w:r>
      <w:r w:rsidR="006B79D0" w:rsidRPr="00FD211F">
        <w:rPr>
          <w:sz w:val="36"/>
          <w:szCs w:val="36"/>
          <w:rtl/>
        </w:rPr>
        <w:t xml:space="preserve"> </w:t>
      </w:r>
      <w:r w:rsidR="00B73035" w:rsidRPr="00FD211F">
        <w:rPr>
          <w:sz w:val="36"/>
          <w:szCs w:val="36"/>
          <w:rtl/>
        </w:rPr>
        <w:t>الخطاب الى شخص وعلم بالجعل فيصير الوجوب في حقه فعليا</w:t>
      </w:r>
      <w:r w:rsidR="00603323" w:rsidRPr="00FD211F">
        <w:rPr>
          <w:sz w:val="36"/>
          <w:szCs w:val="36"/>
          <w:rtl/>
        </w:rPr>
        <w:t xml:space="preserve">، </w:t>
      </w:r>
      <w:r w:rsidR="00B73035" w:rsidRPr="00FD211F">
        <w:rPr>
          <w:sz w:val="36"/>
          <w:szCs w:val="36"/>
          <w:rtl/>
        </w:rPr>
        <w:t>وهكذا في مثل الحب والبغض ممايمكن ان يتعلق بالعناوين من غيرحاج</w:t>
      </w:r>
      <w:r w:rsidR="00EC7EDF" w:rsidRPr="00FD211F">
        <w:rPr>
          <w:sz w:val="36"/>
          <w:szCs w:val="36"/>
          <w:rtl/>
        </w:rPr>
        <w:t xml:space="preserve">ة </w:t>
      </w:r>
      <w:r w:rsidR="00B73035" w:rsidRPr="00FD211F">
        <w:rPr>
          <w:sz w:val="36"/>
          <w:szCs w:val="36"/>
          <w:rtl/>
        </w:rPr>
        <w:t>الى وجود</w:t>
      </w:r>
      <w:r w:rsidR="00B339C0" w:rsidRPr="00FD211F">
        <w:rPr>
          <w:sz w:val="36"/>
          <w:szCs w:val="36"/>
          <w:rtl/>
        </w:rPr>
        <w:t>ها</w:t>
      </w:r>
      <w:r w:rsidR="00D052EE" w:rsidRPr="00FD211F">
        <w:rPr>
          <w:sz w:val="36"/>
          <w:szCs w:val="36"/>
          <w:rtl/>
        </w:rPr>
        <w:t xml:space="preserve"> </w:t>
      </w:r>
      <w:r w:rsidR="00B339C0" w:rsidRPr="00FD211F">
        <w:rPr>
          <w:sz w:val="36"/>
          <w:szCs w:val="36"/>
          <w:rtl/>
        </w:rPr>
        <w:t>خارجا</w:t>
      </w:r>
      <w:r w:rsidR="00603323" w:rsidRPr="00FD211F">
        <w:rPr>
          <w:sz w:val="36"/>
          <w:szCs w:val="36"/>
          <w:rtl/>
        </w:rPr>
        <w:t xml:space="preserve">، </w:t>
      </w:r>
      <w:r w:rsidR="00B339C0" w:rsidRPr="00FD211F">
        <w:rPr>
          <w:sz w:val="36"/>
          <w:szCs w:val="36"/>
          <w:rtl/>
        </w:rPr>
        <w:t>في</w:t>
      </w:r>
      <w:r w:rsidR="006B79D0" w:rsidRPr="00FD211F">
        <w:rPr>
          <w:sz w:val="36"/>
          <w:szCs w:val="36"/>
          <w:rtl/>
        </w:rPr>
        <w:t xml:space="preserve">تعلق </w:t>
      </w:r>
      <w:r w:rsidR="00B339C0" w:rsidRPr="00FD211F">
        <w:rPr>
          <w:sz w:val="36"/>
          <w:szCs w:val="36"/>
          <w:rtl/>
        </w:rPr>
        <w:t>حب مالك الدار</w:t>
      </w:r>
      <w:r w:rsidR="00D052EE" w:rsidRPr="00FD211F">
        <w:rPr>
          <w:sz w:val="36"/>
          <w:szCs w:val="36"/>
          <w:rtl/>
        </w:rPr>
        <w:t xml:space="preserve"> </w:t>
      </w:r>
      <w:r w:rsidR="006B79D0" w:rsidRPr="00FD211F">
        <w:rPr>
          <w:sz w:val="36"/>
          <w:szCs w:val="36"/>
          <w:rtl/>
        </w:rPr>
        <w:t>ب</w:t>
      </w:r>
      <w:r w:rsidR="00B339C0" w:rsidRPr="00FD211F">
        <w:rPr>
          <w:sz w:val="36"/>
          <w:szCs w:val="36"/>
          <w:rtl/>
        </w:rPr>
        <w:t xml:space="preserve">ان يدخل داره </w:t>
      </w:r>
      <w:r w:rsidR="006B79D0" w:rsidRPr="00FD211F">
        <w:rPr>
          <w:sz w:val="36"/>
          <w:szCs w:val="36"/>
          <w:rtl/>
        </w:rPr>
        <w:t xml:space="preserve">كل </w:t>
      </w:r>
      <w:r w:rsidR="00B339C0" w:rsidRPr="00FD211F">
        <w:rPr>
          <w:sz w:val="36"/>
          <w:szCs w:val="36"/>
          <w:rtl/>
        </w:rPr>
        <w:t>من يعلم بهذا</w:t>
      </w:r>
      <w:r w:rsidR="00D052EE" w:rsidRPr="00FD211F">
        <w:rPr>
          <w:sz w:val="36"/>
          <w:szCs w:val="36"/>
          <w:rtl/>
        </w:rPr>
        <w:t xml:space="preserve"> </w:t>
      </w:r>
      <w:r w:rsidR="00B339C0" w:rsidRPr="00FD211F">
        <w:rPr>
          <w:sz w:val="36"/>
          <w:szCs w:val="36"/>
          <w:rtl/>
        </w:rPr>
        <w:t>الحب</w:t>
      </w:r>
      <w:r w:rsidR="00B253CE" w:rsidRPr="00FD211F">
        <w:rPr>
          <w:sz w:val="36"/>
          <w:szCs w:val="36"/>
          <w:rtl/>
        </w:rPr>
        <w:t xml:space="preserve"> </w:t>
      </w:r>
      <w:r w:rsidR="00B339C0" w:rsidRPr="00FD211F">
        <w:rPr>
          <w:sz w:val="36"/>
          <w:szCs w:val="36"/>
          <w:rtl/>
        </w:rPr>
        <w:t>فاذاعلم شخص بهذا</w:t>
      </w:r>
      <w:r w:rsidR="006B79D0" w:rsidRPr="00FD211F">
        <w:rPr>
          <w:sz w:val="36"/>
          <w:szCs w:val="36"/>
          <w:rtl/>
        </w:rPr>
        <w:t xml:space="preserve"> </w:t>
      </w:r>
      <w:r w:rsidR="00B339C0" w:rsidRPr="00FD211F">
        <w:rPr>
          <w:sz w:val="36"/>
          <w:szCs w:val="36"/>
          <w:rtl/>
        </w:rPr>
        <w:t>الحب فسوف ينطبق عليه هذا</w:t>
      </w:r>
      <w:r w:rsidR="006B79D0" w:rsidRPr="00FD211F">
        <w:rPr>
          <w:sz w:val="36"/>
          <w:szCs w:val="36"/>
          <w:rtl/>
        </w:rPr>
        <w:t xml:space="preserve"> </w:t>
      </w:r>
      <w:r w:rsidR="00B339C0" w:rsidRPr="00FD211F">
        <w:rPr>
          <w:sz w:val="36"/>
          <w:szCs w:val="36"/>
          <w:rtl/>
        </w:rPr>
        <w:t>ال</w:t>
      </w:r>
      <w:r w:rsidR="006B79D0" w:rsidRPr="00FD211F">
        <w:rPr>
          <w:sz w:val="36"/>
          <w:szCs w:val="36"/>
          <w:rtl/>
        </w:rPr>
        <w:t>عنوان فيصدق في حقه حينئذ أن</w:t>
      </w:r>
      <w:r w:rsidR="00B339C0" w:rsidRPr="00FD211F">
        <w:rPr>
          <w:sz w:val="36"/>
          <w:szCs w:val="36"/>
          <w:rtl/>
        </w:rPr>
        <w:t xml:space="preserve"> مالك الدار</w:t>
      </w:r>
      <w:r w:rsidR="006B79D0" w:rsidRPr="00FD211F">
        <w:rPr>
          <w:sz w:val="36"/>
          <w:szCs w:val="36"/>
          <w:rtl/>
        </w:rPr>
        <w:t xml:space="preserve"> يحب </w:t>
      </w:r>
      <w:r w:rsidR="00B339C0" w:rsidRPr="00FD211F">
        <w:rPr>
          <w:sz w:val="36"/>
          <w:szCs w:val="36"/>
          <w:rtl/>
        </w:rPr>
        <w:t>دخوله فيها</w:t>
      </w:r>
      <w:r w:rsidR="001B42A7" w:rsidRPr="00FD211F">
        <w:rPr>
          <w:sz w:val="36"/>
          <w:szCs w:val="36"/>
          <w:rtl/>
        </w:rPr>
        <w:t xml:space="preserve"> وأما في الجعل التكويني </w:t>
      </w:r>
      <w:r w:rsidR="003017E6" w:rsidRPr="00FD211F">
        <w:rPr>
          <w:sz w:val="36"/>
          <w:szCs w:val="36"/>
          <w:rtl/>
        </w:rPr>
        <w:t>-كجعل الاشياء</w:t>
      </w:r>
      <w:r w:rsidR="006B79D0" w:rsidRPr="00FD211F">
        <w:rPr>
          <w:sz w:val="36"/>
          <w:szCs w:val="36"/>
          <w:rtl/>
        </w:rPr>
        <w:t xml:space="preserve"> </w:t>
      </w:r>
      <w:r w:rsidR="003017E6" w:rsidRPr="00FD211F">
        <w:rPr>
          <w:sz w:val="36"/>
          <w:szCs w:val="36"/>
          <w:rtl/>
        </w:rPr>
        <w:t>الخارجي</w:t>
      </w:r>
      <w:r w:rsidR="00EC7EDF" w:rsidRPr="00FD211F">
        <w:rPr>
          <w:sz w:val="36"/>
          <w:szCs w:val="36"/>
          <w:rtl/>
        </w:rPr>
        <w:t xml:space="preserve">ة </w:t>
      </w:r>
      <w:r w:rsidR="003017E6" w:rsidRPr="00FD211F">
        <w:rPr>
          <w:sz w:val="36"/>
          <w:szCs w:val="36"/>
          <w:rtl/>
        </w:rPr>
        <w:t>-</w:t>
      </w:r>
      <w:r w:rsidR="00DE52DA" w:rsidRPr="00FD211F">
        <w:rPr>
          <w:sz w:val="36"/>
          <w:szCs w:val="36"/>
          <w:rtl/>
        </w:rPr>
        <w:t>فلايمكن ذلك</w:t>
      </w:r>
      <w:r w:rsidR="00603323" w:rsidRPr="00FD211F">
        <w:rPr>
          <w:sz w:val="36"/>
          <w:szCs w:val="36"/>
          <w:rtl/>
        </w:rPr>
        <w:t xml:space="preserve">، </w:t>
      </w:r>
      <w:r w:rsidR="003017E6" w:rsidRPr="00FD211F">
        <w:rPr>
          <w:sz w:val="36"/>
          <w:szCs w:val="36"/>
          <w:rtl/>
        </w:rPr>
        <w:t>فانه بمجرد</w:t>
      </w:r>
      <w:r w:rsidR="006B79D0" w:rsidRPr="00FD211F">
        <w:rPr>
          <w:sz w:val="36"/>
          <w:szCs w:val="36"/>
          <w:rtl/>
        </w:rPr>
        <w:t xml:space="preserve"> </w:t>
      </w:r>
      <w:r w:rsidR="003017E6" w:rsidRPr="00FD211F">
        <w:rPr>
          <w:sz w:val="36"/>
          <w:szCs w:val="36"/>
          <w:rtl/>
        </w:rPr>
        <w:t xml:space="preserve">الجعل التكويني يتحقق </w:t>
      </w:r>
      <w:r w:rsidR="006B79D0" w:rsidRPr="00FD211F">
        <w:rPr>
          <w:sz w:val="36"/>
          <w:szCs w:val="36"/>
          <w:rtl/>
        </w:rPr>
        <w:t>المجعول</w:t>
      </w:r>
      <w:r w:rsidR="00B253CE" w:rsidRPr="00FD211F">
        <w:rPr>
          <w:sz w:val="36"/>
          <w:szCs w:val="36"/>
          <w:rtl/>
        </w:rPr>
        <w:t xml:space="preserve"> </w:t>
      </w:r>
      <w:r w:rsidR="003017E6" w:rsidRPr="00FD211F">
        <w:rPr>
          <w:sz w:val="36"/>
          <w:szCs w:val="36"/>
          <w:rtl/>
        </w:rPr>
        <w:t>ولايفرض له وجودمقدر</w:t>
      </w:r>
      <w:r w:rsidR="00603323" w:rsidRPr="00FD211F">
        <w:rPr>
          <w:sz w:val="36"/>
          <w:szCs w:val="36"/>
          <w:rtl/>
        </w:rPr>
        <w:t xml:space="preserve">، </w:t>
      </w:r>
      <w:r w:rsidR="00DE52DA" w:rsidRPr="00FD211F">
        <w:rPr>
          <w:sz w:val="36"/>
          <w:szCs w:val="36"/>
          <w:rtl/>
        </w:rPr>
        <w:t xml:space="preserve">فلايصح ان </w:t>
      </w:r>
      <w:r w:rsidRPr="00FD211F">
        <w:rPr>
          <w:sz w:val="36"/>
          <w:szCs w:val="36"/>
          <w:rtl/>
        </w:rPr>
        <w:t>يقال في المقام بانه يجعل الملازم</w:t>
      </w:r>
      <w:r w:rsidR="00EC7EDF" w:rsidRPr="00FD211F">
        <w:rPr>
          <w:sz w:val="36"/>
          <w:szCs w:val="36"/>
          <w:rtl/>
        </w:rPr>
        <w:t xml:space="preserve">ة </w:t>
      </w:r>
      <w:r w:rsidRPr="00FD211F">
        <w:rPr>
          <w:sz w:val="36"/>
          <w:szCs w:val="36"/>
          <w:rtl/>
        </w:rPr>
        <w:t>الواقعي</w:t>
      </w:r>
      <w:r w:rsidR="00EC7EDF" w:rsidRPr="00FD211F">
        <w:rPr>
          <w:sz w:val="36"/>
          <w:szCs w:val="36"/>
          <w:rtl/>
        </w:rPr>
        <w:t xml:space="preserve">ة </w:t>
      </w:r>
      <w:r w:rsidRPr="00FD211F">
        <w:rPr>
          <w:sz w:val="36"/>
          <w:szCs w:val="36"/>
          <w:rtl/>
        </w:rPr>
        <w:t>بين اللفظ والمعنى اولا في حق العالم بذلك الجعل على نهج القضي</w:t>
      </w:r>
      <w:r w:rsidR="00EC7EDF" w:rsidRPr="00FD211F">
        <w:rPr>
          <w:sz w:val="36"/>
          <w:szCs w:val="36"/>
          <w:rtl/>
        </w:rPr>
        <w:t xml:space="preserve">ة </w:t>
      </w:r>
      <w:r w:rsidRPr="00FD211F">
        <w:rPr>
          <w:sz w:val="36"/>
          <w:szCs w:val="36"/>
          <w:rtl/>
        </w:rPr>
        <w:t>الحقيقي</w:t>
      </w:r>
      <w:r w:rsidR="00EC7EDF" w:rsidRPr="00FD211F">
        <w:rPr>
          <w:sz w:val="36"/>
          <w:szCs w:val="36"/>
          <w:rtl/>
        </w:rPr>
        <w:t>ة</w:t>
      </w:r>
      <w:r w:rsidR="00603323" w:rsidRPr="00FD211F">
        <w:rPr>
          <w:sz w:val="36"/>
          <w:szCs w:val="36"/>
          <w:rtl/>
        </w:rPr>
        <w:t xml:space="preserve">، </w:t>
      </w:r>
      <w:r w:rsidRPr="00FD211F">
        <w:rPr>
          <w:sz w:val="36"/>
          <w:szCs w:val="36"/>
          <w:rtl/>
        </w:rPr>
        <w:t>فاذا اتفق علم احد به فيكون الموضوع فعليا في حقه</w:t>
      </w:r>
      <w:r w:rsidR="00EC7EDF" w:rsidRPr="00FD211F">
        <w:rPr>
          <w:sz w:val="36"/>
          <w:szCs w:val="36"/>
          <w:rtl/>
        </w:rPr>
        <w:t>.</w:t>
      </w:r>
    </w:p>
    <w:p w14:paraId="086BDD88" w14:textId="77777777" w:rsidR="00043ECD" w:rsidRPr="00FD211F" w:rsidRDefault="0062199B" w:rsidP="009C58C8">
      <w:pPr>
        <w:pStyle w:val="3"/>
        <w:ind w:firstLine="227"/>
        <w:jc w:val="both"/>
        <w:rPr>
          <w:rtl/>
        </w:rPr>
      </w:pPr>
      <w:bookmarkStart w:id="99" w:name="_Toc151944592"/>
      <w:bookmarkStart w:id="100" w:name="_Toc154131719"/>
      <w:bookmarkStart w:id="101" w:name="_Toc156401507"/>
      <w:bookmarkStart w:id="102" w:name="درس009دقيقه19"/>
      <w:bookmarkStart w:id="103" w:name="_Toc192092853"/>
      <w:bookmarkStart w:id="104" w:name="_Toc223890324"/>
      <w:bookmarkEnd w:id="102"/>
      <w:r w:rsidRPr="00FD211F">
        <w:rPr>
          <w:rtl/>
        </w:rPr>
        <w:t>ال</w:t>
      </w:r>
      <w:r w:rsidR="00043ECD" w:rsidRPr="00FD211F">
        <w:rPr>
          <w:rtl/>
        </w:rPr>
        <w:t xml:space="preserve">مسلك </w:t>
      </w:r>
      <w:r w:rsidRPr="00FD211F">
        <w:rPr>
          <w:rtl/>
        </w:rPr>
        <w:t>الثاني</w:t>
      </w:r>
      <w:r w:rsidR="00EC7EDF" w:rsidRPr="00FD211F">
        <w:rPr>
          <w:rtl/>
        </w:rPr>
        <w:t>:</w:t>
      </w:r>
      <w:r w:rsidR="00043ECD" w:rsidRPr="00FD211F">
        <w:rPr>
          <w:rtl/>
        </w:rPr>
        <w:t xml:space="preserve">كون الوضع </w:t>
      </w:r>
      <w:r w:rsidR="00E32BD3" w:rsidRPr="00FD211F">
        <w:rPr>
          <w:rtl/>
        </w:rPr>
        <w:t>عملي</w:t>
      </w:r>
      <w:r w:rsidR="00EC7EDF" w:rsidRPr="00FD211F">
        <w:rPr>
          <w:rtl/>
        </w:rPr>
        <w:t xml:space="preserve">ة </w:t>
      </w:r>
      <w:r w:rsidR="00E32BD3" w:rsidRPr="00FD211F">
        <w:rPr>
          <w:rtl/>
        </w:rPr>
        <w:t>تمهيدي</w:t>
      </w:r>
      <w:r w:rsidR="00EC7EDF" w:rsidRPr="00FD211F">
        <w:rPr>
          <w:rtl/>
        </w:rPr>
        <w:t xml:space="preserve">ة </w:t>
      </w:r>
      <w:r w:rsidR="00E32BD3" w:rsidRPr="00FD211F">
        <w:rPr>
          <w:rtl/>
        </w:rPr>
        <w:t>لايجاد</w:t>
      </w:r>
      <w:r w:rsidR="00043ECD" w:rsidRPr="00FD211F">
        <w:rPr>
          <w:rtl/>
        </w:rPr>
        <w:t xml:space="preserve"> الملازم</w:t>
      </w:r>
      <w:r w:rsidR="00EC7EDF" w:rsidRPr="00FD211F">
        <w:rPr>
          <w:rtl/>
        </w:rPr>
        <w:t xml:space="preserve">ة </w:t>
      </w:r>
      <w:r w:rsidR="00043ECD" w:rsidRPr="00FD211F">
        <w:rPr>
          <w:rtl/>
        </w:rPr>
        <w:t>الواقعي</w:t>
      </w:r>
      <w:r w:rsidR="00EC7EDF" w:rsidRPr="00FD211F">
        <w:rPr>
          <w:rtl/>
        </w:rPr>
        <w:t xml:space="preserve">ة </w:t>
      </w:r>
      <w:r w:rsidR="00043ECD" w:rsidRPr="00FD211F">
        <w:rPr>
          <w:rtl/>
        </w:rPr>
        <w:t>بين اللفظ والمعنى</w:t>
      </w:r>
      <w:bookmarkEnd w:id="99"/>
      <w:bookmarkEnd w:id="100"/>
      <w:bookmarkEnd w:id="101"/>
      <w:bookmarkEnd w:id="103"/>
      <w:bookmarkEnd w:id="104"/>
    </w:p>
    <w:p w14:paraId="2D1E65C0" w14:textId="77777777" w:rsidR="00E32BD3" w:rsidRPr="00FD211F" w:rsidRDefault="00043ECD" w:rsidP="009C58C8">
      <w:pPr>
        <w:ind w:left="0" w:firstLine="227"/>
        <w:jc w:val="both"/>
        <w:rPr>
          <w:sz w:val="36"/>
          <w:szCs w:val="36"/>
          <w:rtl/>
        </w:rPr>
      </w:pPr>
      <w:r w:rsidRPr="00FD211F">
        <w:rPr>
          <w:b/>
          <w:bCs/>
          <w:sz w:val="36"/>
          <w:szCs w:val="36"/>
          <w:rtl/>
        </w:rPr>
        <w:t xml:space="preserve">المسلك </w:t>
      </w:r>
      <w:r w:rsidR="004150EF" w:rsidRPr="00FD211F">
        <w:rPr>
          <w:b/>
          <w:bCs/>
          <w:sz w:val="36"/>
          <w:szCs w:val="36"/>
          <w:rtl/>
        </w:rPr>
        <w:t>الثاني</w:t>
      </w:r>
      <w:r w:rsidR="004150EF" w:rsidRPr="00FD211F">
        <w:rPr>
          <w:sz w:val="36"/>
          <w:szCs w:val="36"/>
          <w:rtl/>
        </w:rPr>
        <w:t>: ان تكون حقيق</w:t>
      </w:r>
      <w:r w:rsidR="00EC7EDF" w:rsidRPr="00FD211F">
        <w:rPr>
          <w:sz w:val="36"/>
          <w:szCs w:val="36"/>
          <w:rtl/>
        </w:rPr>
        <w:t xml:space="preserve">ة </w:t>
      </w:r>
      <w:r w:rsidR="004150EF" w:rsidRPr="00FD211F">
        <w:rPr>
          <w:sz w:val="36"/>
          <w:szCs w:val="36"/>
          <w:rtl/>
        </w:rPr>
        <w:t>الوضع عملي</w:t>
      </w:r>
      <w:r w:rsidR="00EC7EDF" w:rsidRPr="00FD211F">
        <w:rPr>
          <w:sz w:val="36"/>
          <w:szCs w:val="36"/>
          <w:rtl/>
        </w:rPr>
        <w:t xml:space="preserve">ة </w:t>
      </w:r>
      <w:r w:rsidR="004150EF" w:rsidRPr="00FD211F">
        <w:rPr>
          <w:sz w:val="36"/>
          <w:szCs w:val="36"/>
          <w:rtl/>
        </w:rPr>
        <w:t>تمهيدي</w:t>
      </w:r>
      <w:r w:rsidR="00EC7EDF" w:rsidRPr="00FD211F">
        <w:rPr>
          <w:sz w:val="36"/>
          <w:szCs w:val="36"/>
          <w:rtl/>
        </w:rPr>
        <w:t xml:space="preserve">ة </w:t>
      </w:r>
      <w:r w:rsidR="006E6CA4" w:rsidRPr="00FD211F">
        <w:rPr>
          <w:sz w:val="36"/>
          <w:szCs w:val="36"/>
          <w:rtl/>
        </w:rPr>
        <w:t>ل</w:t>
      </w:r>
      <w:r w:rsidR="004150EF" w:rsidRPr="00FD211F">
        <w:rPr>
          <w:sz w:val="36"/>
          <w:szCs w:val="36"/>
          <w:rtl/>
        </w:rPr>
        <w:t>تكو</w:t>
      </w:r>
      <w:r w:rsidR="006E6CA4" w:rsidRPr="00FD211F">
        <w:rPr>
          <w:sz w:val="36"/>
          <w:szCs w:val="36"/>
          <w:rtl/>
        </w:rPr>
        <w:t>ّ</w:t>
      </w:r>
      <w:r w:rsidR="004150EF" w:rsidRPr="00FD211F">
        <w:rPr>
          <w:sz w:val="36"/>
          <w:szCs w:val="36"/>
          <w:rtl/>
        </w:rPr>
        <w:t>ن الملازم</w:t>
      </w:r>
      <w:r w:rsidR="00EC7EDF" w:rsidRPr="00FD211F">
        <w:rPr>
          <w:sz w:val="36"/>
          <w:szCs w:val="36"/>
          <w:rtl/>
        </w:rPr>
        <w:t xml:space="preserve">ة </w:t>
      </w:r>
      <w:r w:rsidR="00377C0D" w:rsidRPr="00FD211F">
        <w:rPr>
          <w:sz w:val="36"/>
          <w:szCs w:val="36"/>
          <w:rtl/>
        </w:rPr>
        <w:t>الواقعي</w:t>
      </w:r>
      <w:r w:rsidR="00EC7EDF" w:rsidRPr="00FD211F">
        <w:rPr>
          <w:sz w:val="36"/>
          <w:szCs w:val="36"/>
          <w:rtl/>
        </w:rPr>
        <w:t xml:space="preserve">ة </w:t>
      </w:r>
      <w:r w:rsidR="004150EF" w:rsidRPr="00FD211F">
        <w:rPr>
          <w:sz w:val="36"/>
          <w:szCs w:val="36"/>
          <w:rtl/>
        </w:rPr>
        <w:t>بين اللفظ والمعنى نتيج</w:t>
      </w:r>
      <w:r w:rsidR="00EC7EDF" w:rsidRPr="00FD211F">
        <w:rPr>
          <w:sz w:val="36"/>
          <w:szCs w:val="36"/>
          <w:rtl/>
        </w:rPr>
        <w:t xml:space="preserve">ة </w:t>
      </w:r>
      <w:r w:rsidR="004150EF" w:rsidRPr="00FD211F">
        <w:rPr>
          <w:sz w:val="36"/>
          <w:szCs w:val="36"/>
          <w:rtl/>
        </w:rPr>
        <w:t>تلك العملي</w:t>
      </w:r>
      <w:r w:rsidR="00EC7EDF" w:rsidRPr="00FD211F">
        <w:rPr>
          <w:sz w:val="36"/>
          <w:szCs w:val="36"/>
          <w:rtl/>
        </w:rPr>
        <w:t>ة</w:t>
      </w:r>
      <w:r w:rsidR="00603323" w:rsidRPr="00FD211F">
        <w:rPr>
          <w:sz w:val="36"/>
          <w:szCs w:val="36"/>
          <w:rtl/>
        </w:rPr>
        <w:t xml:space="preserve">، </w:t>
      </w:r>
      <w:r w:rsidR="004150EF" w:rsidRPr="00FD211F">
        <w:rPr>
          <w:sz w:val="36"/>
          <w:szCs w:val="36"/>
          <w:rtl/>
        </w:rPr>
        <w:t xml:space="preserve">وحينئذ فيقع الكلام في تشخيص </w:t>
      </w:r>
      <w:r w:rsidR="006E6CA4" w:rsidRPr="00FD211F">
        <w:rPr>
          <w:sz w:val="36"/>
          <w:szCs w:val="36"/>
          <w:rtl/>
        </w:rPr>
        <w:t>هذه</w:t>
      </w:r>
      <w:r w:rsidR="004150EF" w:rsidRPr="00FD211F">
        <w:rPr>
          <w:sz w:val="36"/>
          <w:szCs w:val="36"/>
          <w:rtl/>
        </w:rPr>
        <w:t xml:space="preserve"> العملي</w:t>
      </w:r>
      <w:r w:rsidR="00EC7EDF" w:rsidRPr="00FD211F">
        <w:rPr>
          <w:sz w:val="36"/>
          <w:szCs w:val="36"/>
          <w:rtl/>
        </w:rPr>
        <w:t xml:space="preserve">ة </w:t>
      </w:r>
      <w:r w:rsidR="004150EF" w:rsidRPr="00FD211F">
        <w:rPr>
          <w:sz w:val="36"/>
          <w:szCs w:val="36"/>
          <w:rtl/>
        </w:rPr>
        <w:t>التمهيدي</w:t>
      </w:r>
      <w:r w:rsidR="00EC7EDF" w:rsidRPr="00FD211F">
        <w:rPr>
          <w:sz w:val="36"/>
          <w:szCs w:val="36"/>
          <w:rtl/>
        </w:rPr>
        <w:t xml:space="preserve">ة </w:t>
      </w:r>
      <w:r w:rsidR="00E32BD3" w:rsidRPr="00FD211F">
        <w:rPr>
          <w:sz w:val="36"/>
          <w:szCs w:val="36"/>
          <w:rtl/>
        </w:rPr>
        <w:t>التي قام بها الواضع.</w:t>
      </w:r>
    </w:p>
    <w:p w14:paraId="02324B33" w14:textId="77777777" w:rsidR="006B79D0" w:rsidRPr="00FD211F" w:rsidRDefault="0082035D" w:rsidP="009C58C8">
      <w:pPr>
        <w:ind w:left="0" w:firstLine="227"/>
        <w:jc w:val="both"/>
        <w:rPr>
          <w:sz w:val="36"/>
          <w:szCs w:val="36"/>
          <w:rtl/>
        </w:rPr>
      </w:pPr>
      <w:r w:rsidRPr="00FD211F">
        <w:rPr>
          <w:sz w:val="36"/>
          <w:szCs w:val="36"/>
          <w:rtl/>
        </w:rPr>
        <w:t>وهناك نظريتان للاعلام في تشخيص تلك العملي</w:t>
      </w:r>
      <w:r w:rsidR="00EC7EDF" w:rsidRPr="00FD211F">
        <w:rPr>
          <w:sz w:val="36"/>
          <w:szCs w:val="36"/>
          <w:rtl/>
        </w:rPr>
        <w:t>ة</w:t>
      </w:r>
      <w:r w:rsidR="00057D31" w:rsidRPr="00FD211F">
        <w:rPr>
          <w:sz w:val="36"/>
          <w:szCs w:val="36"/>
          <w:rtl/>
        </w:rPr>
        <w:t>:</w:t>
      </w:r>
    </w:p>
    <w:p w14:paraId="5E7B8BD6" w14:textId="77777777" w:rsidR="000D4946" w:rsidRPr="00FD211F" w:rsidRDefault="00E32BD3" w:rsidP="004F5212">
      <w:pPr>
        <w:pStyle w:val="3"/>
        <w:rPr>
          <w:rtl/>
        </w:rPr>
      </w:pPr>
      <w:r w:rsidRPr="00FD211F">
        <w:rPr>
          <w:rtl/>
        </w:rPr>
        <w:t>ال</w:t>
      </w:r>
      <w:r w:rsidR="006B79D0" w:rsidRPr="00FD211F">
        <w:rPr>
          <w:rtl/>
        </w:rPr>
        <w:t>نظري</w:t>
      </w:r>
      <w:r w:rsidR="00EC7EDF" w:rsidRPr="00FD211F">
        <w:rPr>
          <w:rtl/>
        </w:rPr>
        <w:t xml:space="preserve">ة </w:t>
      </w:r>
      <w:r w:rsidRPr="00FD211F">
        <w:rPr>
          <w:rtl/>
        </w:rPr>
        <w:t>الاولى في المسلك الثاني</w:t>
      </w:r>
      <w:r w:rsidR="00EC7EDF" w:rsidRPr="00FD211F">
        <w:rPr>
          <w:rtl/>
        </w:rPr>
        <w:t>:</w:t>
      </w:r>
      <w:r w:rsidRPr="00FD211F">
        <w:rPr>
          <w:rtl/>
        </w:rPr>
        <w:t>نظري</w:t>
      </w:r>
      <w:r w:rsidR="00EC7EDF" w:rsidRPr="00FD211F">
        <w:rPr>
          <w:rtl/>
        </w:rPr>
        <w:t xml:space="preserve">ة </w:t>
      </w:r>
      <w:r w:rsidR="006B79D0" w:rsidRPr="00FD211F">
        <w:rPr>
          <w:rtl/>
        </w:rPr>
        <w:t>اعتباري</w:t>
      </w:r>
      <w:r w:rsidR="00EC7EDF" w:rsidRPr="00FD211F">
        <w:rPr>
          <w:rtl/>
        </w:rPr>
        <w:t xml:space="preserve">ة </w:t>
      </w:r>
      <w:r w:rsidR="006B79D0" w:rsidRPr="00FD211F">
        <w:rPr>
          <w:rtl/>
        </w:rPr>
        <w:t>الوضع</w:t>
      </w:r>
    </w:p>
    <w:p w14:paraId="44B0864F" w14:textId="77777777" w:rsidR="007E69AF" w:rsidRPr="00FD211F" w:rsidRDefault="006B79D0" w:rsidP="009C58C8">
      <w:pPr>
        <w:ind w:left="0" w:firstLine="227"/>
        <w:jc w:val="both"/>
        <w:rPr>
          <w:sz w:val="36"/>
          <w:szCs w:val="36"/>
          <w:rtl/>
        </w:rPr>
      </w:pPr>
      <w:r w:rsidRPr="00FD211F">
        <w:rPr>
          <w:sz w:val="36"/>
          <w:szCs w:val="36"/>
          <w:rtl/>
        </w:rPr>
        <w:t>النظري</w:t>
      </w:r>
      <w:r w:rsidR="00EC7EDF" w:rsidRPr="00FD211F">
        <w:rPr>
          <w:sz w:val="36"/>
          <w:szCs w:val="36"/>
          <w:rtl/>
        </w:rPr>
        <w:t xml:space="preserve">ة </w:t>
      </w:r>
      <w:r w:rsidRPr="00FD211F">
        <w:rPr>
          <w:sz w:val="36"/>
          <w:szCs w:val="36"/>
          <w:rtl/>
        </w:rPr>
        <w:t>الاولى</w:t>
      </w:r>
      <w:r w:rsidR="00EC7EDF" w:rsidRPr="00FD211F">
        <w:rPr>
          <w:sz w:val="36"/>
          <w:szCs w:val="36"/>
          <w:rtl/>
        </w:rPr>
        <w:t>:</w:t>
      </w:r>
      <w:r w:rsidR="004150EF" w:rsidRPr="00FD211F">
        <w:rPr>
          <w:sz w:val="36"/>
          <w:szCs w:val="36"/>
          <w:rtl/>
        </w:rPr>
        <w:t>نظري</w:t>
      </w:r>
      <w:r w:rsidR="00EC7EDF" w:rsidRPr="00FD211F">
        <w:rPr>
          <w:sz w:val="36"/>
          <w:szCs w:val="36"/>
          <w:rtl/>
        </w:rPr>
        <w:t xml:space="preserve">ة </w:t>
      </w:r>
      <w:r w:rsidR="004150EF" w:rsidRPr="00FD211F">
        <w:rPr>
          <w:sz w:val="36"/>
          <w:szCs w:val="36"/>
          <w:rtl/>
        </w:rPr>
        <w:t>الاعتبار</w:t>
      </w:r>
      <w:r w:rsidR="00603323" w:rsidRPr="00FD211F">
        <w:rPr>
          <w:sz w:val="36"/>
          <w:szCs w:val="36"/>
          <w:rtl/>
        </w:rPr>
        <w:t xml:space="preserve">، </w:t>
      </w:r>
      <w:r w:rsidR="004150EF" w:rsidRPr="00FD211F">
        <w:rPr>
          <w:sz w:val="36"/>
          <w:szCs w:val="36"/>
          <w:rtl/>
        </w:rPr>
        <w:t>فقد ذهب جماع</w:t>
      </w:r>
      <w:r w:rsidR="00EC7EDF" w:rsidRPr="00FD211F">
        <w:rPr>
          <w:sz w:val="36"/>
          <w:szCs w:val="36"/>
          <w:rtl/>
        </w:rPr>
        <w:t xml:space="preserve">ة </w:t>
      </w:r>
      <w:r w:rsidR="004150EF" w:rsidRPr="00FD211F">
        <w:rPr>
          <w:sz w:val="36"/>
          <w:szCs w:val="36"/>
          <w:rtl/>
        </w:rPr>
        <w:t xml:space="preserve">من الاعلام الى ان الوضع </w:t>
      </w:r>
      <w:r w:rsidR="007E69AF" w:rsidRPr="00FD211F">
        <w:rPr>
          <w:sz w:val="36"/>
          <w:szCs w:val="36"/>
          <w:rtl/>
        </w:rPr>
        <w:t>حال</w:t>
      </w:r>
      <w:r w:rsidR="00EC7EDF" w:rsidRPr="00FD211F">
        <w:rPr>
          <w:sz w:val="36"/>
          <w:szCs w:val="36"/>
          <w:rtl/>
        </w:rPr>
        <w:t xml:space="preserve">ة </w:t>
      </w:r>
      <w:r w:rsidR="00284EA2" w:rsidRPr="00FD211F">
        <w:rPr>
          <w:sz w:val="36"/>
          <w:szCs w:val="36"/>
          <w:rtl/>
        </w:rPr>
        <w:t>ا</w:t>
      </w:r>
      <w:r w:rsidRPr="00FD211F">
        <w:rPr>
          <w:sz w:val="36"/>
          <w:szCs w:val="36"/>
          <w:rtl/>
        </w:rPr>
        <w:t>عتباري</w:t>
      </w:r>
      <w:r w:rsidR="00EC7EDF" w:rsidRPr="00FD211F">
        <w:rPr>
          <w:sz w:val="36"/>
          <w:szCs w:val="36"/>
          <w:rtl/>
        </w:rPr>
        <w:t xml:space="preserve">ة </w:t>
      </w:r>
      <w:r w:rsidRPr="00FD211F">
        <w:rPr>
          <w:sz w:val="36"/>
          <w:szCs w:val="36"/>
          <w:rtl/>
        </w:rPr>
        <w:t xml:space="preserve">بين اللفظ </w:t>
      </w:r>
      <w:commentRangeStart w:id="105"/>
      <w:r w:rsidRPr="00FD211F">
        <w:rPr>
          <w:sz w:val="36"/>
          <w:szCs w:val="36"/>
          <w:rtl/>
        </w:rPr>
        <w:t>والمعنى</w:t>
      </w:r>
      <w:commentRangeEnd w:id="105"/>
      <w:r w:rsidR="000C5BBA" w:rsidRPr="00FD211F">
        <w:rPr>
          <w:rStyle w:val="ab"/>
          <w:sz w:val="36"/>
          <w:szCs w:val="36"/>
          <w:rtl/>
        </w:rPr>
        <w:commentReference w:id="105"/>
      </w:r>
      <w:r w:rsidRPr="00FD211F">
        <w:rPr>
          <w:sz w:val="36"/>
          <w:szCs w:val="36"/>
          <w:rtl/>
        </w:rPr>
        <w:t>.</w:t>
      </w:r>
    </w:p>
    <w:p w14:paraId="431D4EF4" w14:textId="77777777" w:rsidR="006B79D0" w:rsidRPr="00FD211F" w:rsidRDefault="006B79D0" w:rsidP="009C58C8">
      <w:pPr>
        <w:pStyle w:val="3"/>
        <w:ind w:firstLine="227"/>
        <w:jc w:val="both"/>
        <w:rPr>
          <w:rtl/>
        </w:rPr>
      </w:pPr>
      <w:bookmarkStart w:id="106" w:name="_Toc223890325"/>
      <w:r w:rsidRPr="00FD211F">
        <w:rPr>
          <w:rtl/>
        </w:rPr>
        <w:t>الصيغ المختلف</w:t>
      </w:r>
      <w:r w:rsidR="00EC7EDF" w:rsidRPr="00FD211F">
        <w:rPr>
          <w:rtl/>
        </w:rPr>
        <w:t xml:space="preserve">ة </w:t>
      </w:r>
      <w:r w:rsidRPr="00FD211F">
        <w:rPr>
          <w:rtl/>
        </w:rPr>
        <w:t xml:space="preserve">في بيان </w:t>
      </w:r>
      <w:r w:rsidR="007E69AF" w:rsidRPr="00FD211F">
        <w:rPr>
          <w:rtl/>
        </w:rPr>
        <w:t>اعتباري</w:t>
      </w:r>
      <w:r w:rsidR="00EC7EDF" w:rsidRPr="00FD211F">
        <w:rPr>
          <w:rtl/>
        </w:rPr>
        <w:t xml:space="preserve">ة </w:t>
      </w:r>
      <w:r w:rsidR="007E69AF" w:rsidRPr="00FD211F">
        <w:rPr>
          <w:rtl/>
        </w:rPr>
        <w:t>الوضع</w:t>
      </w:r>
      <w:bookmarkEnd w:id="106"/>
      <w:r w:rsidR="007E69AF" w:rsidRPr="00FD211F">
        <w:rPr>
          <w:rtl/>
        </w:rPr>
        <w:t xml:space="preserve"> </w:t>
      </w:r>
    </w:p>
    <w:p w14:paraId="566AC0B4" w14:textId="77777777" w:rsidR="004150EF" w:rsidRPr="00FD211F" w:rsidRDefault="006B79D0" w:rsidP="009C58C8">
      <w:pPr>
        <w:ind w:left="0" w:firstLine="227"/>
        <w:jc w:val="both"/>
        <w:rPr>
          <w:sz w:val="36"/>
          <w:szCs w:val="36"/>
          <w:rtl/>
        </w:rPr>
      </w:pPr>
      <w:r w:rsidRPr="00FD211F">
        <w:rPr>
          <w:sz w:val="36"/>
          <w:szCs w:val="36"/>
          <w:rtl/>
        </w:rPr>
        <w:t>وتوجد</w:t>
      </w:r>
      <w:r w:rsidR="00284EA2" w:rsidRPr="00FD211F">
        <w:rPr>
          <w:sz w:val="36"/>
          <w:szCs w:val="36"/>
          <w:rtl/>
        </w:rPr>
        <w:t xml:space="preserve"> صيغ مختلف</w:t>
      </w:r>
      <w:r w:rsidR="00EC7EDF" w:rsidRPr="00FD211F">
        <w:rPr>
          <w:sz w:val="36"/>
          <w:szCs w:val="36"/>
          <w:rtl/>
        </w:rPr>
        <w:t xml:space="preserve">ة </w:t>
      </w:r>
      <w:r w:rsidR="00284EA2" w:rsidRPr="00FD211F">
        <w:rPr>
          <w:sz w:val="36"/>
          <w:szCs w:val="36"/>
          <w:rtl/>
        </w:rPr>
        <w:t>في بيان هذه العملي</w:t>
      </w:r>
      <w:r w:rsidR="00EC7EDF" w:rsidRPr="00FD211F">
        <w:rPr>
          <w:sz w:val="36"/>
          <w:szCs w:val="36"/>
          <w:rtl/>
        </w:rPr>
        <w:t xml:space="preserve">ة </w:t>
      </w:r>
      <w:r w:rsidR="00284EA2" w:rsidRPr="00FD211F">
        <w:rPr>
          <w:sz w:val="36"/>
          <w:szCs w:val="36"/>
          <w:rtl/>
        </w:rPr>
        <w:t>الاعتباري</w:t>
      </w:r>
      <w:r w:rsidR="00EC7EDF" w:rsidRPr="00FD211F">
        <w:rPr>
          <w:sz w:val="36"/>
          <w:szCs w:val="36"/>
          <w:rtl/>
        </w:rPr>
        <w:t>ة</w:t>
      </w:r>
      <w:r w:rsidR="00057D31" w:rsidRPr="00FD211F">
        <w:rPr>
          <w:sz w:val="36"/>
          <w:szCs w:val="36"/>
          <w:rtl/>
        </w:rPr>
        <w:t>:</w:t>
      </w:r>
    </w:p>
    <w:p w14:paraId="586F9FF7" w14:textId="77777777" w:rsidR="001F7342" w:rsidRPr="00FD211F" w:rsidRDefault="00284EA2" w:rsidP="009C58C8">
      <w:pPr>
        <w:ind w:left="0" w:firstLine="227"/>
        <w:jc w:val="both"/>
        <w:rPr>
          <w:sz w:val="36"/>
          <w:szCs w:val="36"/>
          <w:rtl/>
        </w:rPr>
      </w:pPr>
      <w:r w:rsidRPr="00FD211F">
        <w:rPr>
          <w:b/>
          <w:bCs/>
          <w:sz w:val="36"/>
          <w:szCs w:val="36"/>
          <w:rtl/>
        </w:rPr>
        <w:t>الصيغ</w:t>
      </w:r>
      <w:r w:rsidR="00EC7EDF" w:rsidRPr="00FD211F">
        <w:rPr>
          <w:b/>
          <w:bCs/>
          <w:sz w:val="36"/>
          <w:szCs w:val="36"/>
          <w:rtl/>
        </w:rPr>
        <w:t xml:space="preserve">ة </w:t>
      </w:r>
      <w:r w:rsidRPr="00FD211F">
        <w:rPr>
          <w:b/>
          <w:bCs/>
          <w:sz w:val="36"/>
          <w:szCs w:val="36"/>
          <w:rtl/>
        </w:rPr>
        <w:t>الأولى</w:t>
      </w:r>
      <w:r w:rsidRPr="00FD211F">
        <w:rPr>
          <w:sz w:val="36"/>
          <w:szCs w:val="36"/>
          <w:rtl/>
        </w:rPr>
        <w:t xml:space="preserve">: ما </w:t>
      </w:r>
      <w:r w:rsidR="0082035D" w:rsidRPr="00FD211F">
        <w:rPr>
          <w:sz w:val="36"/>
          <w:szCs w:val="36"/>
          <w:rtl/>
        </w:rPr>
        <w:t>ذكره</w:t>
      </w:r>
      <w:r w:rsidRPr="00FD211F">
        <w:rPr>
          <w:sz w:val="36"/>
          <w:szCs w:val="36"/>
          <w:rtl/>
        </w:rPr>
        <w:t xml:space="preserve"> المحقق الاصفهاني</w:t>
      </w:r>
      <w:r w:rsidR="00A61BAE" w:rsidRPr="00FD211F">
        <w:rPr>
          <w:sz w:val="36"/>
          <w:szCs w:val="36"/>
          <w:rtl/>
        </w:rPr>
        <w:t xml:space="preserve"> </w:t>
      </w:r>
      <w:r w:rsidR="00FA2A20" w:rsidRPr="00FD211F">
        <w:rPr>
          <w:sz w:val="36"/>
          <w:szCs w:val="36"/>
          <w:rtl/>
        </w:rPr>
        <w:t>"قده"</w:t>
      </w:r>
      <w:r w:rsidR="00A61BAE" w:rsidRPr="00FD211F">
        <w:rPr>
          <w:sz w:val="36"/>
          <w:szCs w:val="36"/>
          <w:rtl/>
        </w:rPr>
        <w:t xml:space="preserve"> </w:t>
      </w:r>
      <w:r w:rsidR="00107F38" w:rsidRPr="00FD211F">
        <w:rPr>
          <w:sz w:val="36"/>
          <w:szCs w:val="36"/>
          <w:rtl/>
        </w:rPr>
        <w:t>من ان</w:t>
      </w:r>
      <w:r w:rsidR="00B13862" w:rsidRPr="00FD211F">
        <w:rPr>
          <w:sz w:val="36"/>
          <w:szCs w:val="36"/>
          <w:rtl/>
        </w:rPr>
        <w:t xml:space="preserve"> الوضع أمر اعتباري حيث يجعل الملازم</w:t>
      </w:r>
      <w:r w:rsidR="00EC7EDF" w:rsidRPr="00FD211F">
        <w:rPr>
          <w:sz w:val="36"/>
          <w:szCs w:val="36"/>
          <w:rtl/>
        </w:rPr>
        <w:t xml:space="preserve">ة </w:t>
      </w:r>
      <w:r w:rsidR="00B13862" w:rsidRPr="00FD211F">
        <w:rPr>
          <w:sz w:val="36"/>
          <w:szCs w:val="36"/>
          <w:rtl/>
        </w:rPr>
        <w:t>بين طبيعي اللفظ وطبيعي المعنى</w:t>
      </w:r>
      <w:r w:rsidR="00603323" w:rsidRPr="00FD211F">
        <w:rPr>
          <w:sz w:val="36"/>
          <w:szCs w:val="36"/>
          <w:rtl/>
        </w:rPr>
        <w:t xml:space="preserve">، </w:t>
      </w:r>
      <w:r w:rsidR="00107F38" w:rsidRPr="00FD211F">
        <w:rPr>
          <w:sz w:val="36"/>
          <w:szCs w:val="36"/>
          <w:rtl/>
        </w:rPr>
        <w:t>ولايمكن ان تكون هذه الملازم</w:t>
      </w:r>
      <w:r w:rsidR="00EC7EDF" w:rsidRPr="00FD211F">
        <w:rPr>
          <w:sz w:val="36"/>
          <w:szCs w:val="36"/>
          <w:rtl/>
        </w:rPr>
        <w:t xml:space="preserve">ة </w:t>
      </w:r>
      <w:r w:rsidR="00107F38" w:rsidRPr="00FD211F">
        <w:rPr>
          <w:sz w:val="36"/>
          <w:szCs w:val="36"/>
          <w:rtl/>
        </w:rPr>
        <w:t>من المقولات التكويني</w:t>
      </w:r>
      <w:r w:rsidR="00EC7EDF" w:rsidRPr="00FD211F">
        <w:rPr>
          <w:sz w:val="36"/>
          <w:szCs w:val="36"/>
          <w:rtl/>
        </w:rPr>
        <w:t xml:space="preserve">ة </w:t>
      </w:r>
      <w:r w:rsidR="00107F38" w:rsidRPr="00FD211F">
        <w:rPr>
          <w:sz w:val="36"/>
          <w:szCs w:val="36"/>
          <w:rtl/>
        </w:rPr>
        <w:t>لانها انما توجد</w:t>
      </w:r>
      <w:r w:rsidR="00EE1F97" w:rsidRPr="00FD211F">
        <w:rPr>
          <w:sz w:val="36"/>
          <w:szCs w:val="36"/>
          <w:rtl/>
        </w:rPr>
        <w:t xml:space="preserve"> في موضوعها في الخارج او بوجود منشأ انتزاعها في</w:t>
      </w:r>
      <w:r w:rsidR="00107F38" w:rsidRPr="00FD211F">
        <w:rPr>
          <w:sz w:val="36"/>
          <w:szCs w:val="36"/>
          <w:rtl/>
        </w:rPr>
        <w:t xml:space="preserve"> الخارج</w:t>
      </w:r>
      <w:r w:rsidR="00603323" w:rsidRPr="00FD211F">
        <w:rPr>
          <w:sz w:val="36"/>
          <w:szCs w:val="36"/>
          <w:rtl/>
        </w:rPr>
        <w:t xml:space="preserve">، </w:t>
      </w:r>
      <w:r w:rsidR="00107F38" w:rsidRPr="00FD211F">
        <w:rPr>
          <w:sz w:val="36"/>
          <w:szCs w:val="36"/>
          <w:rtl/>
        </w:rPr>
        <w:t>بينما ان الملازم</w:t>
      </w:r>
      <w:r w:rsidR="00EC7EDF" w:rsidRPr="00FD211F">
        <w:rPr>
          <w:sz w:val="36"/>
          <w:szCs w:val="36"/>
          <w:rtl/>
        </w:rPr>
        <w:t xml:space="preserve">ة </w:t>
      </w:r>
      <w:r w:rsidR="00107F38" w:rsidRPr="00FD211F">
        <w:rPr>
          <w:sz w:val="36"/>
          <w:szCs w:val="36"/>
          <w:rtl/>
        </w:rPr>
        <w:t>بين اللفظ والمعنى ثابت</w:t>
      </w:r>
      <w:r w:rsidR="00EC7EDF" w:rsidRPr="00FD211F">
        <w:rPr>
          <w:sz w:val="36"/>
          <w:szCs w:val="36"/>
          <w:rtl/>
        </w:rPr>
        <w:t xml:space="preserve">ة </w:t>
      </w:r>
      <w:r w:rsidR="00D90AF9" w:rsidRPr="00FD211F">
        <w:rPr>
          <w:sz w:val="36"/>
          <w:szCs w:val="36"/>
          <w:rtl/>
        </w:rPr>
        <w:t>بين طبيعي اللفظ وطبيعي المعنى</w:t>
      </w:r>
      <w:r w:rsidR="00107F38" w:rsidRPr="00FD211F">
        <w:rPr>
          <w:sz w:val="36"/>
          <w:szCs w:val="36"/>
          <w:rtl/>
        </w:rPr>
        <w:t xml:space="preserve"> ولو</w:t>
      </w:r>
      <w:r w:rsidR="008D7B3D" w:rsidRPr="00FD211F">
        <w:rPr>
          <w:sz w:val="36"/>
          <w:szCs w:val="36"/>
          <w:rtl/>
        </w:rPr>
        <w:t xml:space="preserve"> لم‌</w:t>
      </w:r>
      <w:r w:rsidR="00107F38" w:rsidRPr="00FD211F">
        <w:rPr>
          <w:sz w:val="36"/>
          <w:szCs w:val="36"/>
          <w:rtl/>
        </w:rPr>
        <w:t>يتلفظ</w:t>
      </w:r>
      <w:r w:rsidR="00D90AF9" w:rsidRPr="00FD211F">
        <w:rPr>
          <w:sz w:val="36"/>
          <w:szCs w:val="36"/>
          <w:rtl/>
        </w:rPr>
        <w:t xml:space="preserve"> احد</w:t>
      </w:r>
      <w:r w:rsidR="00107F38" w:rsidRPr="00FD211F">
        <w:rPr>
          <w:sz w:val="36"/>
          <w:szCs w:val="36"/>
          <w:rtl/>
        </w:rPr>
        <w:t xml:space="preserve"> بهذا اللفظ </w:t>
      </w:r>
      <w:r w:rsidR="009977FE" w:rsidRPr="00FD211F">
        <w:rPr>
          <w:sz w:val="36"/>
          <w:szCs w:val="36"/>
          <w:rtl/>
        </w:rPr>
        <w:t>و</w:t>
      </w:r>
      <w:r w:rsidR="008D7B3D" w:rsidRPr="00FD211F">
        <w:rPr>
          <w:sz w:val="36"/>
          <w:szCs w:val="36"/>
          <w:rtl/>
        </w:rPr>
        <w:t xml:space="preserve"> لم‌</w:t>
      </w:r>
      <w:r w:rsidR="00107F38" w:rsidRPr="00FD211F">
        <w:rPr>
          <w:sz w:val="36"/>
          <w:szCs w:val="36"/>
          <w:rtl/>
        </w:rPr>
        <w:t>يخطر معناه بالذهن</w:t>
      </w:r>
      <w:r w:rsidR="00603323" w:rsidRPr="00FD211F">
        <w:rPr>
          <w:sz w:val="36"/>
          <w:szCs w:val="36"/>
          <w:rtl/>
        </w:rPr>
        <w:t xml:space="preserve">، </w:t>
      </w:r>
      <w:r w:rsidR="001F7342" w:rsidRPr="00FD211F">
        <w:rPr>
          <w:sz w:val="36"/>
          <w:szCs w:val="36"/>
          <w:rtl/>
        </w:rPr>
        <w:t>فالوضع نظير</w:t>
      </w:r>
      <w:r w:rsidR="00EE1F97" w:rsidRPr="00FD211F">
        <w:rPr>
          <w:sz w:val="36"/>
          <w:szCs w:val="36"/>
          <w:rtl/>
        </w:rPr>
        <w:t xml:space="preserve"> وضع الع</w:t>
      </w:r>
      <w:r w:rsidR="009A310B" w:rsidRPr="00FD211F">
        <w:rPr>
          <w:sz w:val="36"/>
          <w:szCs w:val="36"/>
          <w:rtl/>
        </w:rPr>
        <w:t>َ</w:t>
      </w:r>
      <w:r w:rsidR="00EE1F97" w:rsidRPr="00FD211F">
        <w:rPr>
          <w:sz w:val="36"/>
          <w:szCs w:val="36"/>
          <w:rtl/>
        </w:rPr>
        <w:t>ل</w:t>
      </w:r>
      <w:r w:rsidR="009A310B" w:rsidRPr="00FD211F">
        <w:rPr>
          <w:sz w:val="36"/>
          <w:szCs w:val="36"/>
          <w:rtl/>
        </w:rPr>
        <w:t>َ</w:t>
      </w:r>
      <w:r w:rsidR="00EE1F97" w:rsidRPr="00FD211F">
        <w:rPr>
          <w:sz w:val="36"/>
          <w:szCs w:val="36"/>
          <w:rtl/>
        </w:rPr>
        <w:t>م على مكان ليدل على انه رأس الفرسخ فكذا يوضع اللفظ على المعنى ليدل عليه غاي</w:t>
      </w:r>
      <w:r w:rsidR="00EC7EDF" w:rsidRPr="00FD211F">
        <w:rPr>
          <w:sz w:val="36"/>
          <w:szCs w:val="36"/>
          <w:rtl/>
        </w:rPr>
        <w:t xml:space="preserve">ة </w:t>
      </w:r>
      <w:r w:rsidR="0090224F" w:rsidRPr="00FD211F">
        <w:rPr>
          <w:sz w:val="36"/>
          <w:szCs w:val="36"/>
          <w:rtl/>
        </w:rPr>
        <w:t xml:space="preserve">الأمر </w:t>
      </w:r>
      <w:r w:rsidR="00EE1F97" w:rsidRPr="00FD211F">
        <w:rPr>
          <w:sz w:val="36"/>
          <w:szCs w:val="36"/>
          <w:rtl/>
        </w:rPr>
        <w:t>ان الوضع في الع</w:t>
      </w:r>
      <w:r w:rsidR="009A310B" w:rsidRPr="00FD211F">
        <w:rPr>
          <w:sz w:val="36"/>
          <w:szCs w:val="36"/>
          <w:rtl/>
        </w:rPr>
        <w:t>َ</w:t>
      </w:r>
      <w:r w:rsidR="00EE1F97" w:rsidRPr="00FD211F">
        <w:rPr>
          <w:sz w:val="36"/>
          <w:szCs w:val="36"/>
          <w:rtl/>
        </w:rPr>
        <w:t>ل</w:t>
      </w:r>
      <w:r w:rsidR="009A310B" w:rsidRPr="00FD211F">
        <w:rPr>
          <w:sz w:val="36"/>
          <w:szCs w:val="36"/>
          <w:rtl/>
        </w:rPr>
        <w:t>َ</w:t>
      </w:r>
      <w:r w:rsidR="00EE1F97" w:rsidRPr="00FD211F">
        <w:rPr>
          <w:sz w:val="36"/>
          <w:szCs w:val="36"/>
          <w:rtl/>
        </w:rPr>
        <w:t>م حقيقي دونه</w:t>
      </w:r>
      <w:r w:rsidR="009C58C8" w:rsidRPr="00FD211F">
        <w:rPr>
          <w:rStyle w:val="a6"/>
          <w:sz w:val="36"/>
          <w:szCs w:val="36"/>
          <w:rtl/>
        </w:rPr>
        <w:t>(</w:t>
      </w:r>
      <w:r w:rsidR="009C58C8" w:rsidRPr="00FD211F">
        <w:rPr>
          <w:rStyle w:val="a6"/>
          <w:sz w:val="36"/>
          <w:szCs w:val="36"/>
          <w:rtl/>
        </w:rPr>
        <w:footnoteReference w:id="99"/>
      </w:r>
      <w:r w:rsidR="009C58C8" w:rsidRPr="00FD211F">
        <w:rPr>
          <w:rStyle w:val="a6"/>
          <w:sz w:val="36"/>
          <w:szCs w:val="36"/>
          <w:rtl/>
        </w:rPr>
        <w:t>)</w:t>
      </w:r>
      <w:r w:rsidR="001F7342" w:rsidRPr="00FD211F">
        <w:rPr>
          <w:sz w:val="36"/>
          <w:szCs w:val="36"/>
          <w:rtl/>
        </w:rPr>
        <w:t>.</w:t>
      </w:r>
    </w:p>
    <w:p w14:paraId="4D58BA1F" w14:textId="77777777" w:rsidR="00C64455" w:rsidRPr="00FD211F" w:rsidRDefault="00C64455" w:rsidP="009C58C8">
      <w:pPr>
        <w:ind w:left="0" w:firstLine="227"/>
        <w:jc w:val="both"/>
        <w:rPr>
          <w:sz w:val="36"/>
          <w:szCs w:val="36"/>
          <w:rtl/>
        </w:rPr>
      </w:pPr>
      <w:r w:rsidRPr="00FD211F">
        <w:rPr>
          <w:sz w:val="36"/>
          <w:szCs w:val="36"/>
          <w:rtl/>
        </w:rPr>
        <w:t>وقد اورد عليه بعد</w:t>
      </w:r>
      <w:r w:rsidR="00EC7EDF" w:rsidRPr="00FD211F">
        <w:rPr>
          <w:sz w:val="36"/>
          <w:szCs w:val="36"/>
          <w:rtl/>
        </w:rPr>
        <w:t xml:space="preserve">ة </w:t>
      </w:r>
      <w:r w:rsidRPr="00FD211F">
        <w:rPr>
          <w:sz w:val="36"/>
          <w:szCs w:val="36"/>
          <w:rtl/>
        </w:rPr>
        <w:t xml:space="preserve">وجوه: </w:t>
      </w:r>
    </w:p>
    <w:p w14:paraId="5FE9069C" w14:textId="77777777" w:rsidR="00D90AF9" w:rsidRPr="00FD211F" w:rsidRDefault="00C64455" w:rsidP="009C58C8">
      <w:pPr>
        <w:ind w:left="0" w:firstLine="227"/>
        <w:jc w:val="both"/>
        <w:rPr>
          <w:sz w:val="36"/>
          <w:szCs w:val="36"/>
          <w:rtl/>
        </w:rPr>
      </w:pPr>
      <w:r w:rsidRPr="00FD211F">
        <w:rPr>
          <w:sz w:val="36"/>
          <w:szCs w:val="36"/>
          <w:rtl/>
        </w:rPr>
        <w:t xml:space="preserve">1- </w:t>
      </w:r>
      <w:r w:rsidR="00D90AF9" w:rsidRPr="00FD211F">
        <w:rPr>
          <w:sz w:val="36"/>
          <w:szCs w:val="36"/>
          <w:rtl/>
        </w:rPr>
        <w:t xml:space="preserve">ان </w:t>
      </w:r>
      <w:r w:rsidR="008D5425" w:rsidRPr="00FD211F">
        <w:rPr>
          <w:sz w:val="36"/>
          <w:szCs w:val="36"/>
          <w:rtl/>
        </w:rPr>
        <w:t>هذا التفسير بعيد عن ارتكاز</w:t>
      </w:r>
      <w:r w:rsidR="00D90AF9" w:rsidRPr="00FD211F">
        <w:rPr>
          <w:sz w:val="36"/>
          <w:szCs w:val="36"/>
          <w:rtl/>
        </w:rPr>
        <w:t xml:space="preserve"> الواضعين الذين يوجد بينهم الصبيان والمجانين</w:t>
      </w:r>
      <w:r w:rsidR="00603323" w:rsidRPr="00FD211F">
        <w:rPr>
          <w:sz w:val="36"/>
          <w:szCs w:val="36"/>
          <w:rtl/>
        </w:rPr>
        <w:t xml:space="preserve">، </w:t>
      </w:r>
      <w:r w:rsidR="00D90AF9" w:rsidRPr="00FD211F">
        <w:rPr>
          <w:sz w:val="36"/>
          <w:szCs w:val="36"/>
          <w:rtl/>
        </w:rPr>
        <w:t>فانه وان كان لايلزم في المعنى العرفي التفات العرف اليه تفصيلا كالمعاني الحرفي</w:t>
      </w:r>
      <w:r w:rsidR="00EC7EDF" w:rsidRPr="00FD211F">
        <w:rPr>
          <w:sz w:val="36"/>
          <w:szCs w:val="36"/>
          <w:rtl/>
        </w:rPr>
        <w:t>ة</w:t>
      </w:r>
      <w:r w:rsidR="00603323" w:rsidRPr="00FD211F">
        <w:rPr>
          <w:sz w:val="36"/>
          <w:szCs w:val="36"/>
          <w:rtl/>
        </w:rPr>
        <w:t xml:space="preserve">، </w:t>
      </w:r>
      <w:r w:rsidR="00D90AF9" w:rsidRPr="00FD211F">
        <w:rPr>
          <w:sz w:val="36"/>
          <w:szCs w:val="36"/>
          <w:rtl/>
        </w:rPr>
        <w:t>لكن الانصاف اباء العرف بارتكازه عن قبول هذا التفسير للوضع</w:t>
      </w:r>
      <w:r w:rsidR="00603323" w:rsidRPr="00FD211F">
        <w:rPr>
          <w:sz w:val="36"/>
          <w:szCs w:val="36"/>
          <w:rtl/>
        </w:rPr>
        <w:t xml:space="preserve">، </w:t>
      </w:r>
      <w:r w:rsidR="00D90AF9" w:rsidRPr="00FD211F">
        <w:rPr>
          <w:sz w:val="36"/>
          <w:szCs w:val="36"/>
          <w:rtl/>
        </w:rPr>
        <w:t>فهل ترى ان واضع دق الجرس لأجل الدلال</w:t>
      </w:r>
      <w:r w:rsidR="00EC7EDF" w:rsidRPr="00FD211F">
        <w:rPr>
          <w:sz w:val="36"/>
          <w:szCs w:val="36"/>
          <w:rtl/>
        </w:rPr>
        <w:t xml:space="preserve">ة </w:t>
      </w:r>
      <w:r w:rsidR="00D90AF9" w:rsidRPr="00FD211F">
        <w:rPr>
          <w:sz w:val="36"/>
          <w:szCs w:val="36"/>
          <w:rtl/>
        </w:rPr>
        <w:t>على تعطيل المدرس</w:t>
      </w:r>
      <w:r w:rsidR="00EC7EDF" w:rsidRPr="00FD211F">
        <w:rPr>
          <w:sz w:val="36"/>
          <w:szCs w:val="36"/>
          <w:rtl/>
        </w:rPr>
        <w:t xml:space="preserve">ة </w:t>
      </w:r>
      <w:r w:rsidR="00D90AF9" w:rsidRPr="00FD211F">
        <w:rPr>
          <w:sz w:val="36"/>
          <w:szCs w:val="36"/>
          <w:rtl/>
        </w:rPr>
        <w:t>اعتبر حين وضعه ان يكون دق</w:t>
      </w:r>
      <w:r w:rsidR="006912A9" w:rsidRPr="00FD211F">
        <w:rPr>
          <w:sz w:val="36"/>
          <w:szCs w:val="36"/>
          <w:rtl/>
        </w:rPr>
        <w:t>ّ</w:t>
      </w:r>
      <w:r w:rsidR="00D90AF9" w:rsidRPr="00FD211F">
        <w:rPr>
          <w:sz w:val="36"/>
          <w:szCs w:val="36"/>
          <w:rtl/>
        </w:rPr>
        <w:t xml:space="preserve"> الجرس موضوعا على تعطيل المدرس</w:t>
      </w:r>
      <w:r w:rsidR="00EC7EDF" w:rsidRPr="00FD211F">
        <w:rPr>
          <w:sz w:val="36"/>
          <w:szCs w:val="36"/>
          <w:rtl/>
        </w:rPr>
        <w:t>ة</w:t>
      </w:r>
      <w:r w:rsidR="00603323" w:rsidRPr="00FD211F">
        <w:rPr>
          <w:sz w:val="36"/>
          <w:szCs w:val="36"/>
          <w:rtl/>
        </w:rPr>
        <w:t xml:space="preserve">، </w:t>
      </w:r>
      <w:r w:rsidR="00D90AF9" w:rsidRPr="00FD211F">
        <w:rPr>
          <w:sz w:val="36"/>
          <w:szCs w:val="36"/>
          <w:rtl/>
        </w:rPr>
        <w:t xml:space="preserve">نظير وضع </w:t>
      </w:r>
      <w:r w:rsidR="00664584" w:rsidRPr="00FD211F">
        <w:rPr>
          <w:sz w:val="36"/>
          <w:szCs w:val="36"/>
          <w:rtl/>
        </w:rPr>
        <w:t>العَلَم</w:t>
      </w:r>
      <w:r w:rsidR="00D90AF9" w:rsidRPr="00FD211F">
        <w:rPr>
          <w:sz w:val="36"/>
          <w:szCs w:val="36"/>
          <w:rtl/>
        </w:rPr>
        <w:t xml:space="preserve"> على المكان</w:t>
      </w:r>
      <w:r w:rsidR="00603323" w:rsidRPr="00FD211F">
        <w:rPr>
          <w:sz w:val="36"/>
          <w:szCs w:val="36"/>
          <w:rtl/>
        </w:rPr>
        <w:t xml:space="preserve">، </w:t>
      </w:r>
      <w:r w:rsidR="00D90AF9" w:rsidRPr="00FD211F">
        <w:rPr>
          <w:sz w:val="36"/>
          <w:szCs w:val="36"/>
          <w:rtl/>
        </w:rPr>
        <w:t>وكذا هل كان واضع اشار</w:t>
      </w:r>
      <w:r w:rsidR="00EC7EDF" w:rsidRPr="00FD211F">
        <w:rPr>
          <w:sz w:val="36"/>
          <w:szCs w:val="36"/>
          <w:rtl/>
        </w:rPr>
        <w:t xml:space="preserve">ة </w:t>
      </w:r>
      <w:r w:rsidR="00D90AF9" w:rsidRPr="00FD211F">
        <w:rPr>
          <w:sz w:val="36"/>
          <w:szCs w:val="36"/>
          <w:rtl/>
        </w:rPr>
        <w:t>خاص</w:t>
      </w:r>
      <w:r w:rsidR="00EC7EDF" w:rsidRPr="00FD211F">
        <w:rPr>
          <w:sz w:val="36"/>
          <w:szCs w:val="36"/>
          <w:rtl/>
        </w:rPr>
        <w:t xml:space="preserve">ة </w:t>
      </w:r>
      <w:r w:rsidR="00D90AF9" w:rsidRPr="00FD211F">
        <w:rPr>
          <w:sz w:val="36"/>
          <w:szCs w:val="36"/>
          <w:rtl/>
        </w:rPr>
        <w:t>للاخرس للدلال</w:t>
      </w:r>
      <w:r w:rsidR="00EC7EDF" w:rsidRPr="00FD211F">
        <w:rPr>
          <w:sz w:val="36"/>
          <w:szCs w:val="36"/>
          <w:rtl/>
        </w:rPr>
        <w:t xml:space="preserve">ة </w:t>
      </w:r>
      <w:r w:rsidR="00D90AF9" w:rsidRPr="00FD211F">
        <w:rPr>
          <w:sz w:val="36"/>
          <w:szCs w:val="36"/>
          <w:rtl/>
        </w:rPr>
        <w:t>على معنى هل اعتب</w:t>
      </w:r>
      <w:r w:rsidR="0093696B" w:rsidRPr="00FD211F">
        <w:rPr>
          <w:sz w:val="36"/>
          <w:szCs w:val="36"/>
          <w:rtl/>
        </w:rPr>
        <w:t>ر في نفسه كون هذه الاشار</w:t>
      </w:r>
      <w:r w:rsidR="00EC7EDF" w:rsidRPr="00FD211F">
        <w:rPr>
          <w:sz w:val="36"/>
          <w:szCs w:val="36"/>
          <w:rtl/>
        </w:rPr>
        <w:t xml:space="preserve">ة </w:t>
      </w:r>
      <w:r w:rsidR="0093696B" w:rsidRPr="00FD211F">
        <w:rPr>
          <w:sz w:val="36"/>
          <w:szCs w:val="36"/>
          <w:rtl/>
        </w:rPr>
        <w:t>موضوع</w:t>
      </w:r>
      <w:r w:rsidR="00EC7EDF" w:rsidRPr="00FD211F">
        <w:rPr>
          <w:sz w:val="36"/>
          <w:szCs w:val="36"/>
          <w:rtl/>
        </w:rPr>
        <w:t xml:space="preserve">ة </w:t>
      </w:r>
      <w:r w:rsidR="00D90AF9" w:rsidRPr="00FD211F">
        <w:rPr>
          <w:sz w:val="36"/>
          <w:szCs w:val="36"/>
          <w:rtl/>
        </w:rPr>
        <w:t xml:space="preserve">على ذلك </w:t>
      </w:r>
      <w:r w:rsidRPr="00FD211F">
        <w:rPr>
          <w:sz w:val="36"/>
          <w:szCs w:val="36"/>
          <w:rtl/>
        </w:rPr>
        <w:t>المعنى</w:t>
      </w:r>
      <w:r w:rsidR="00D90AF9" w:rsidRPr="00FD211F">
        <w:rPr>
          <w:sz w:val="36"/>
          <w:szCs w:val="36"/>
          <w:rtl/>
        </w:rPr>
        <w:t>.</w:t>
      </w:r>
    </w:p>
    <w:p w14:paraId="09AF763A" w14:textId="77777777" w:rsidR="008664A6" w:rsidRPr="00FD211F" w:rsidRDefault="00C64455" w:rsidP="009C58C8">
      <w:pPr>
        <w:ind w:left="0" w:firstLine="227"/>
        <w:jc w:val="both"/>
        <w:rPr>
          <w:sz w:val="36"/>
          <w:szCs w:val="36"/>
          <w:rtl/>
        </w:rPr>
      </w:pPr>
      <w:r w:rsidRPr="00FD211F">
        <w:rPr>
          <w:sz w:val="36"/>
          <w:szCs w:val="36"/>
          <w:rtl/>
        </w:rPr>
        <w:t xml:space="preserve">2- ما اورده </w:t>
      </w:r>
      <w:r w:rsidR="008664A6" w:rsidRPr="00FD211F">
        <w:rPr>
          <w:sz w:val="36"/>
          <w:szCs w:val="36"/>
          <w:rtl/>
        </w:rPr>
        <w:t>السيد الخوئي</w:t>
      </w:r>
      <w:r w:rsidR="00A61BAE" w:rsidRPr="00FD211F">
        <w:rPr>
          <w:sz w:val="36"/>
          <w:szCs w:val="36"/>
          <w:rtl/>
        </w:rPr>
        <w:t xml:space="preserve"> </w:t>
      </w:r>
      <w:r w:rsidR="006912A9" w:rsidRPr="00FD211F">
        <w:rPr>
          <w:sz w:val="36"/>
          <w:szCs w:val="36"/>
          <w:rtl/>
        </w:rPr>
        <w:t>"قده"</w:t>
      </w:r>
      <w:r w:rsidR="00A61BAE" w:rsidRPr="00FD211F">
        <w:rPr>
          <w:sz w:val="36"/>
          <w:szCs w:val="36"/>
          <w:rtl/>
        </w:rPr>
        <w:t xml:space="preserve"> </w:t>
      </w:r>
      <w:r w:rsidRPr="00FD211F">
        <w:rPr>
          <w:sz w:val="36"/>
          <w:szCs w:val="36"/>
          <w:rtl/>
        </w:rPr>
        <w:t xml:space="preserve">من </w:t>
      </w:r>
      <w:r w:rsidR="008664A6" w:rsidRPr="00FD211F">
        <w:rPr>
          <w:sz w:val="36"/>
          <w:szCs w:val="36"/>
          <w:rtl/>
        </w:rPr>
        <w:t xml:space="preserve">انه بناء عليه يكون المعنى موضوعا عليه </w:t>
      </w:r>
      <w:r w:rsidR="009977FE" w:rsidRPr="00FD211F">
        <w:rPr>
          <w:sz w:val="36"/>
          <w:szCs w:val="36"/>
          <w:rtl/>
        </w:rPr>
        <w:t>و</w:t>
      </w:r>
      <w:r w:rsidR="008D7B3D" w:rsidRPr="00FD211F">
        <w:rPr>
          <w:sz w:val="36"/>
          <w:szCs w:val="36"/>
          <w:rtl/>
        </w:rPr>
        <w:t xml:space="preserve"> لم‌</w:t>
      </w:r>
      <w:r w:rsidR="008664A6" w:rsidRPr="00FD211F">
        <w:rPr>
          <w:sz w:val="36"/>
          <w:szCs w:val="36"/>
          <w:rtl/>
        </w:rPr>
        <w:t>يعهد هذا التعبير ل</w:t>
      </w:r>
      <w:r w:rsidR="009977FE" w:rsidRPr="00FD211F">
        <w:rPr>
          <w:sz w:val="36"/>
          <w:szCs w:val="36"/>
          <w:rtl/>
        </w:rPr>
        <w:t>و</w:t>
      </w:r>
      <w:r w:rsidR="008D7B3D" w:rsidRPr="00FD211F">
        <w:rPr>
          <w:sz w:val="36"/>
          <w:szCs w:val="36"/>
          <w:rtl/>
        </w:rPr>
        <w:t xml:space="preserve"> لم‌</w:t>
      </w:r>
      <w:r w:rsidR="008664A6" w:rsidRPr="00FD211F">
        <w:rPr>
          <w:sz w:val="36"/>
          <w:szCs w:val="36"/>
          <w:rtl/>
        </w:rPr>
        <w:t>نقل بكونه غلطا</w:t>
      </w:r>
      <w:r w:rsidR="009C58C8" w:rsidRPr="00FD211F">
        <w:rPr>
          <w:rStyle w:val="a6"/>
          <w:sz w:val="36"/>
          <w:szCs w:val="36"/>
          <w:rtl/>
        </w:rPr>
        <w:t>(</w:t>
      </w:r>
      <w:r w:rsidR="009C58C8" w:rsidRPr="00FD211F">
        <w:rPr>
          <w:rStyle w:val="a6"/>
          <w:sz w:val="36"/>
          <w:szCs w:val="36"/>
          <w:rtl/>
        </w:rPr>
        <w:footnoteReference w:id="100"/>
      </w:r>
      <w:r w:rsidR="009C58C8" w:rsidRPr="00FD211F">
        <w:rPr>
          <w:rStyle w:val="a6"/>
          <w:sz w:val="36"/>
          <w:szCs w:val="36"/>
          <w:rtl/>
        </w:rPr>
        <w:t>)</w:t>
      </w:r>
      <w:r w:rsidR="008664A6" w:rsidRPr="00FD211F">
        <w:rPr>
          <w:sz w:val="36"/>
          <w:szCs w:val="36"/>
          <w:rtl/>
        </w:rPr>
        <w:t>.</w:t>
      </w:r>
    </w:p>
    <w:p w14:paraId="2B574399" w14:textId="77777777" w:rsidR="00D90AF9" w:rsidRPr="00FD211F" w:rsidRDefault="0082035D" w:rsidP="009C58C8">
      <w:pPr>
        <w:ind w:left="0" w:firstLine="227"/>
        <w:jc w:val="both"/>
        <w:rPr>
          <w:sz w:val="36"/>
          <w:szCs w:val="36"/>
          <w:rtl/>
        </w:rPr>
      </w:pPr>
      <w:r w:rsidRPr="00FD211F">
        <w:rPr>
          <w:sz w:val="36"/>
          <w:szCs w:val="36"/>
          <w:rtl/>
        </w:rPr>
        <w:t>وفيه ان</w:t>
      </w:r>
      <w:r w:rsidR="00D90AF9" w:rsidRPr="00FD211F">
        <w:rPr>
          <w:sz w:val="36"/>
          <w:szCs w:val="36"/>
          <w:rtl/>
        </w:rPr>
        <w:t xml:space="preserve"> التعبير ب</w:t>
      </w:r>
      <w:r w:rsidRPr="00FD211F">
        <w:rPr>
          <w:sz w:val="36"/>
          <w:szCs w:val="36"/>
          <w:rtl/>
        </w:rPr>
        <w:t>وضع اللفظ على المعنى</w:t>
      </w:r>
      <w:r w:rsidR="00603323" w:rsidRPr="00FD211F">
        <w:rPr>
          <w:sz w:val="36"/>
          <w:szCs w:val="36"/>
          <w:rtl/>
        </w:rPr>
        <w:t xml:space="preserve">، </w:t>
      </w:r>
      <w:r w:rsidR="00D90AF9" w:rsidRPr="00FD211F">
        <w:rPr>
          <w:sz w:val="36"/>
          <w:szCs w:val="36"/>
          <w:rtl/>
        </w:rPr>
        <w:t>تعبير صحيح كما يقال وضعت اسم "علي" على ولدي</w:t>
      </w:r>
      <w:r w:rsidR="00603323" w:rsidRPr="00FD211F">
        <w:rPr>
          <w:sz w:val="36"/>
          <w:szCs w:val="36"/>
          <w:rtl/>
        </w:rPr>
        <w:t xml:space="preserve">، </w:t>
      </w:r>
      <w:r w:rsidR="00D90AF9" w:rsidRPr="00FD211F">
        <w:rPr>
          <w:sz w:val="36"/>
          <w:szCs w:val="36"/>
          <w:rtl/>
        </w:rPr>
        <w:t>لكن المهم ان هذا التعبير لايدل على كون عملي</w:t>
      </w:r>
      <w:r w:rsidR="00EC7EDF" w:rsidRPr="00FD211F">
        <w:rPr>
          <w:sz w:val="36"/>
          <w:szCs w:val="36"/>
          <w:rtl/>
        </w:rPr>
        <w:t xml:space="preserve">ة </w:t>
      </w:r>
      <w:r w:rsidR="00D90AF9" w:rsidRPr="00FD211F">
        <w:rPr>
          <w:sz w:val="36"/>
          <w:szCs w:val="36"/>
          <w:rtl/>
        </w:rPr>
        <w:t>الوضع بنحو اعتبار وضع اللفظ على المعنى</w:t>
      </w:r>
      <w:r w:rsidR="00603323" w:rsidRPr="00FD211F">
        <w:rPr>
          <w:sz w:val="36"/>
          <w:szCs w:val="36"/>
          <w:rtl/>
        </w:rPr>
        <w:t xml:space="preserve">، </w:t>
      </w:r>
      <w:r w:rsidR="00D90AF9" w:rsidRPr="00FD211F">
        <w:rPr>
          <w:sz w:val="36"/>
          <w:szCs w:val="36"/>
          <w:rtl/>
        </w:rPr>
        <w:t>بل يلائم مع سائر صياغات الوضع.</w:t>
      </w:r>
    </w:p>
    <w:p w14:paraId="4DC904B8" w14:textId="77777777" w:rsidR="00C64455" w:rsidRPr="00FD211F" w:rsidRDefault="00C64455" w:rsidP="009C58C8">
      <w:pPr>
        <w:ind w:left="0" w:firstLine="227"/>
        <w:jc w:val="both"/>
        <w:rPr>
          <w:sz w:val="36"/>
          <w:szCs w:val="36"/>
          <w:rtl/>
        </w:rPr>
      </w:pPr>
      <w:bookmarkStart w:id="107" w:name="درس010"/>
      <w:bookmarkEnd w:id="107"/>
      <w:r w:rsidRPr="00FD211F">
        <w:rPr>
          <w:sz w:val="36"/>
          <w:szCs w:val="36"/>
          <w:rtl/>
        </w:rPr>
        <w:t xml:space="preserve">3- ما ذكره السيد الخوئي </w:t>
      </w:r>
      <w:r w:rsidR="00EC7EDF" w:rsidRPr="00FD211F">
        <w:rPr>
          <w:sz w:val="36"/>
          <w:szCs w:val="36"/>
          <w:rtl/>
        </w:rPr>
        <w:t xml:space="preserve">"قده" </w:t>
      </w:r>
      <w:r w:rsidRPr="00FD211F">
        <w:rPr>
          <w:sz w:val="36"/>
          <w:szCs w:val="36"/>
          <w:rtl/>
        </w:rPr>
        <w:t>أيضا من أنه في العَلَم يوجد ثلاث</w:t>
      </w:r>
      <w:r w:rsidR="00EC7EDF" w:rsidRPr="00FD211F">
        <w:rPr>
          <w:sz w:val="36"/>
          <w:szCs w:val="36"/>
          <w:rtl/>
        </w:rPr>
        <w:t xml:space="preserve">ة </w:t>
      </w:r>
      <w:r w:rsidRPr="00FD211F">
        <w:rPr>
          <w:sz w:val="36"/>
          <w:szCs w:val="36"/>
          <w:rtl/>
        </w:rPr>
        <w:t>أشياء: موضوع وهو العَلَم</w:t>
      </w:r>
      <w:r w:rsidR="00603323" w:rsidRPr="00FD211F">
        <w:rPr>
          <w:sz w:val="36"/>
          <w:szCs w:val="36"/>
          <w:rtl/>
        </w:rPr>
        <w:t xml:space="preserve">، </w:t>
      </w:r>
      <w:r w:rsidRPr="00FD211F">
        <w:rPr>
          <w:sz w:val="36"/>
          <w:szCs w:val="36"/>
          <w:rtl/>
        </w:rPr>
        <w:t>وموضوع عليه وهو المكان</w:t>
      </w:r>
      <w:r w:rsidR="00603323" w:rsidRPr="00FD211F">
        <w:rPr>
          <w:sz w:val="36"/>
          <w:szCs w:val="36"/>
          <w:rtl/>
        </w:rPr>
        <w:t xml:space="preserve">، </w:t>
      </w:r>
      <w:r w:rsidRPr="00FD211F">
        <w:rPr>
          <w:sz w:val="36"/>
          <w:szCs w:val="36"/>
          <w:rtl/>
        </w:rPr>
        <w:t>وموضوع له وهو كون المكان رأس الفرسخ مثلا</w:t>
      </w:r>
      <w:r w:rsidR="00603323" w:rsidRPr="00FD211F">
        <w:rPr>
          <w:sz w:val="36"/>
          <w:szCs w:val="36"/>
          <w:rtl/>
        </w:rPr>
        <w:t xml:space="preserve">، </w:t>
      </w:r>
      <w:r w:rsidRPr="00FD211F">
        <w:rPr>
          <w:sz w:val="36"/>
          <w:szCs w:val="36"/>
          <w:rtl/>
        </w:rPr>
        <w:t>ولكن في وضع اللفظ على المعنى لايوجد الا اثنين</w:t>
      </w:r>
      <w:r w:rsidR="00603323" w:rsidRPr="00FD211F">
        <w:rPr>
          <w:sz w:val="36"/>
          <w:szCs w:val="36"/>
          <w:rtl/>
        </w:rPr>
        <w:t xml:space="preserve">، </w:t>
      </w:r>
      <w:r w:rsidR="0093696B" w:rsidRPr="00FD211F">
        <w:rPr>
          <w:sz w:val="36"/>
          <w:szCs w:val="36"/>
          <w:rtl/>
        </w:rPr>
        <w:t>وهما الموضوع والموضوع له</w:t>
      </w:r>
      <w:r w:rsidRPr="00FD211F">
        <w:rPr>
          <w:sz w:val="36"/>
          <w:szCs w:val="36"/>
          <w:rtl/>
        </w:rPr>
        <w:t xml:space="preserve"> فلايصح قياسه بوضع العَلَم على المكان</w:t>
      </w:r>
      <w:r w:rsidR="009C58C8" w:rsidRPr="00FD211F">
        <w:rPr>
          <w:rStyle w:val="a6"/>
          <w:sz w:val="36"/>
          <w:szCs w:val="36"/>
          <w:rtl/>
        </w:rPr>
        <w:t>(</w:t>
      </w:r>
      <w:r w:rsidR="009C58C8" w:rsidRPr="00FD211F">
        <w:rPr>
          <w:rStyle w:val="a6"/>
          <w:sz w:val="36"/>
          <w:szCs w:val="36"/>
          <w:rtl/>
        </w:rPr>
        <w:footnoteReference w:id="101"/>
      </w:r>
      <w:r w:rsidR="009C58C8" w:rsidRPr="00FD211F">
        <w:rPr>
          <w:rStyle w:val="a6"/>
          <w:sz w:val="36"/>
          <w:szCs w:val="36"/>
          <w:rtl/>
        </w:rPr>
        <w:t>)</w:t>
      </w:r>
      <w:r w:rsidRPr="00FD211F">
        <w:rPr>
          <w:sz w:val="36"/>
          <w:szCs w:val="36"/>
          <w:rtl/>
        </w:rPr>
        <w:t>.</w:t>
      </w:r>
    </w:p>
    <w:p w14:paraId="33C6F344" w14:textId="77777777" w:rsidR="001F7915" w:rsidRPr="00FD211F" w:rsidRDefault="00C64455" w:rsidP="009C58C8">
      <w:pPr>
        <w:ind w:left="0" w:firstLine="227"/>
        <w:jc w:val="both"/>
        <w:rPr>
          <w:sz w:val="36"/>
          <w:szCs w:val="36"/>
          <w:rtl/>
        </w:rPr>
      </w:pPr>
      <w:r w:rsidRPr="00FD211F">
        <w:rPr>
          <w:sz w:val="36"/>
          <w:szCs w:val="36"/>
          <w:rtl/>
        </w:rPr>
        <w:t>و</w:t>
      </w:r>
      <w:r w:rsidR="00A27A59" w:rsidRPr="00FD211F">
        <w:rPr>
          <w:sz w:val="36"/>
          <w:szCs w:val="36"/>
          <w:rtl/>
        </w:rPr>
        <w:t>قد حكي عن</w:t>
      </w:r>
      <w:r w:rsidR="0093696B" w:rsidRPr="00FD211F">
        <w:rPr>
          <w:sz w:val="36"/>
          <w:szCs w:val="36"/>
          <w:rtl/>
        </w:rPr>
        <w:t xml:space="preserve"> السيد الصدر </w:t>
      </w:r>
      <w:r w:rsidR="003017E6" w:rsidRPr="00FD211F">
        <w:rPr>
          <w:sz w:val="36"/>
          <w:szCs w:val="36"/>
          <w:rtl/>
        </w:rPr>
        <w:t>"</w:t>
      </w:r>
      <w:r w:rsidR="0093696B" w:rsidRPr="00FD211F">
        <w:rPr>
          <w:sz w:val="36"/>
          <w:szCs w:val="36"/>
          <w:rtl/>
        </w:rPr>
        <w:t>قده</w:t>
      </w:r>
      <w:r w:rsidR="003017E6" w:rsidRPr="00FD211F">
        <w:rPr>
          <w:sz w:val="36"/>
          <w:szCs w:val="36"/>
          <w:rtl/>
        </w:rPr>
        <w:t>"</w:t>
      </w:r>
      <w:r w:rsidR="0093696B" w:rsidRPr="00FD211F">
        <w:rPr>
          <w:sz w:val="36"/>
          <w:szCs w:val="36"/>
          <w:rtl/>
        </w:rPr>
        <w:t xml:space="preserve"> </w:t>
      </w:r>
      <w:r w:rsidR="00A27A59" w:rsidRPr="00FD211F">
        <w:rPr>
          <w:sz w:val="36"/>
          <w:szCs w:val="36"/>
          <w:rtl/>
        </w:rPr>
        <w:t xml:space="preserve">أنه أجاب عن ذلك </w:t>
      </w:r>
      <w:r w:rsidR="0093696B" w:rsidRPr="00FD211F">
        <w:rPr>
          <w:sz w:val="36"/>
          <w:szCs w:val="36"/>
          <w:rtl/>
        </w:rPr>
        <w:t>بما محصله ان</w:t>
      </w:r>
      <w:r w:rsidR="0082035D" w:rsidRPr="00FD211F">
        <w:rPr>
          <w:sz w:val="36"/>
          <w:szCs w:val="36"/>
          <w:rtl/>
        </w:rPr>
        <w:t xml:space="preserve"> مرادالسيدالخوئي</w:t>
      </w:r>
      <w:r w:rsidR="00A61BAE" w:rsidRPr="00FD211F">
        <w:rPr>
          <w:sz w:val="36"/>
          <w:szCs w:val="36"/>
          <w:rtl/>
        </w:rPr>
        <w:t xml:space="preserve"> </w:t>
      </w:r>
      <w:r w:rsidR="006912A9" w:rsidRPr="00FD211F">
        <w:rPr>
          <w:sz w:val="36"/>
          <w:szCs w:val="36"/>
          <w:rtl/>
        </w:rPr>
        <w:t>"قده"</w:t>
      </w:r>
      <w:r w:rsidR="00A61BAE" w:rsidRPr="00FD211F">
        <w:rPr>
          <w:sz w:val="36"/>
          <w:szCs w:val="36"/>
          <w:rtl/>
        </w:rPr>
        <w:t xml:space="preserve"> </w:t>
      </w:r>
      <w:r w:rsidRPr="00FD211F">
        <w:rPr>
          <w:sz w:val="36"/>
          <w:szCs w:val="36"/>
          <w:rtl/>
        </w:rPr>
        <w:t>ان كان تعدد الموضوع عليه والموضوع له خارجا في وضع العَلَم على المكان ف</w:t>
      </w:r>
      <w:r w:rsidR="001F7915" w:rsidRPr="00FD211F">
        <w:rPr>
          <w:sz w:val="36"/>
          <w:szCs w:val="36"/>
          <w:rtl/>
        </w:rPr>
        <w:t>هذا غير لازم دائما</w:t>
      </w:r>
      <w:r w:rsidR="00603323" w:rsidRPr="00FD211F">
        <w:rPr>
          <w:sz w:val="36"/>
          <w:szCs w:val="36"/>
          <w:rtl/>
        </w:rPr>
        <w:t xml:space="preserve">، </w:t>
      </w:r>
      <w:r w:rsidR="001F7915" w:rsidRPr="00FD211F">
        <w:rPr>
          <w:sz w:val="36"/>
          <w:szCs w:val="36"/>
          <w:rtl/>
        </w:rPr>
        <w:t>فانه لو نصب علَم على ارض للدلال</w:t>
      </w:r>
      <w:r w:rsidR="00EC7EDF" w:rsidRPr="00FD211F">
        <w:rPr>
          <w:sz w:val="36"/>
          <w:szCs w:val="36"/>
          <w:rtl/>
        </w:rPr>
        <w:t xml:space="preserve">ة </w:t>
      </w:r>
      <w:r w:rsidR="001F7915" w:rsidRPr="00FD211F">
        <w:rPr>
          <w:sz w:val="36"/>
          <w:szCs w:val="36"/>
          <w:rtl/>
        </w:rPr>
        <w:t>على وجود السبُع في هذه الارض ف</w:t>
      </w:r>
      <w:r w:rsidR="0082035D" w:rsidRPr="00FD211F">
        <w:rPr>
          <w:sz w:val="36"/>
          <w:szCs w:val="36"/>
          <w:rtl/>
        </w:rPr>
        <w:t>هنا</w:t>
      </w:r>
      <w:r w:rsidR="001F7915" w:rsidRPr="00FD211F">
        <w:rPr>
          <w:sz w:val="36"/>
          <w:szCs w:val="36"/>
          <w:rtl/>
        </w:rPr>
        <w:t>يكون الموضوع عليه هو الارض والموضوع له هو</w:t>
      </w:r>
      <w:r w:rsidR="00E838C6" w:rsidRPr="00FD211F">
        <w:rPr>
          <w:sz w:val="36"/>
          <w:szCs w:val="36"/>
          <w:rtl/>
        </w:rPr>
        <w:t xml:space="preserve"> وجود</w:t>
      </w:r>
      <w:r w:rsidR="001F7915" w:rsidRPr="00FD211F">
        <w:rPr>
          <w:sz w:val="36"/>
          <w:szCs w:val="36"/>
          <w:rtl/>
        </w:rPr>
        <w:t xml:space="preserve"> السبُع</w:t>
      </w:r>
      <w:r w:rsidR="0082035D" w:rsidRPr="00FD211F">
        <w:rPr>
          <w:sz w:val="36"/>
          <w:szCs w:val="36"/>
          <w:rtl/>
        </w:rPr>
        <w:t xml:space="preserve"> متعددا</w:t>
      </w:r>
      <w:r w:rsidR="00603323" w:rsidRPr="00FD211F">
        <w:rPr>
          <w:sz w:val="36"/>
          <w:szCs w:val="36"/>
          <w:rtl/>
        </w:rPr>
        <w:t xml:space="preserve">، </w:t>
      </w:r>
      <w:r w:rsidR="001F7915" w:rsidRPr="00FD211F">
        <w:rPr>
          <w:sz w:val="36"/>
          <w:szCs w:val="36"/>
          <w:rtl/>
        </w:rPr>
        <w:t>و</w:t>
      </w:r>
      <w:r w:rsidR="0082035D" w:rsidRPr="00FD211F">
        <w:rPr>
          <w:sz w:val="36"/>
          <w:szCs w:val="36"/>
          <w:rtl/>
        </w:rPr>
        <w:t xml:space="preserve">لكن </w:t>
      </w:r>
      <w:r w:rsidR="001F7915" w:rsidRPr="00FD211F">
        <w:rPr>
          <w:sz w:val="36"/>
          <w:szCs w:val="36"/>
          <w:rtl/>
        </w:rPr>
        <w:t>قد ينصب علم على ارض للدلال</w:t>
      </w:r>
      <w:r w:rsidR="00EC7EDF" w:rsidRPr="00FD211F">
        <w:rPr>
          <w:sz w:val="36"/>
          <w:szCs w:val="36"/>
          <w:rtl/>
        </w:rPr>
        <w:t xml:space="preserve">ة </w:t>
      </w:r>
      <w:r w:rsidR="001F7915" w:rsidRPr="00FD211F">
        <w:rPr>
          <w:sz w:val="36"/>
          <w:szCs w:val="36"/>
          <w:rtl/>
        </w:rPr>
        <w:t>على وصف من اوصافها وهو كونها رأس الفرسخ فيكون الموضوع عليه هو الارض والموضوع له هو رأس الفرسخ</w:t>
      </w:r>
      <w:r w:rsidR="00603323" w:rsidRPr="00FD211F">
        <w:rPr>
          <w:sz w:val="36"/>
          <w:szCs w:val="36"/>
          <w:rtl/>
        </w:rPr>
        <w:t xml:space="preserve">، </w:t>
      </w:r>
      <w:r w:rsidR="001F7915" w:rsidRPr="00FD211F">
        <w:rPr>
          <w:sz w:val="36"/>
          <w:szCs w:val="36"/>
          <w:rtl/>
        </w:rPr>
        <w:t>وهما متحدان في الوجود الخارجي.</w:t>
      </w:r>
    </w:p>
    <w:p w14:paraId="726F4B2C" w14:textId="77777777" w:rsidR="001B5CA4" w:rsidRPr="00FD211F" w:rsidRDefault="001F7915" w:rsidP="009C58C8">
      <w:pPr>
        <w:ind w:left="0" w:firstLine="227"/>
        <w:jc w:val="both"/>
        <w:rPr>
          <w:sz w:val="36"/>
          <w:szCs w:val="36"/>
          <w:rtl/>
        </w:rPr>
      </w:pPr>
      <w:r w:rsidRPr="00FD211F">
        <w:rPr>
          <w:sz w:val="36"/>
          <w:szCs w:val="36"/>
          <w:rtl/>
        </w:rPr>
        <w:t>وان كان مراده تعددهما</w:t>
      </w:r>
      <w:r w:rsidR="00C64455" w:rsidRPr="00FD211F">
        <w:rPr>
          <w:sz w:val="36"/>
          <w:szCs w:val="36"/>
          <w:rtl/>
        </w:rPr>
        <w:t xml:space="preserve"> اعتبارا ولو بلحاظ</w:t>
      </w:r>
      <w:r w:rsidRPr="00FD211F">
        <w:rPr>
          <w:sz w:val="36"/>
          <w:szCs w:val="36"/>
          <w:rtl/>
        </w:rPr>
        <w:t xml:space="preserve"> كون الموضوع له وصفا من اوصاف الموضوع عليه كما في مثل نصب العلم على مكان ليدل على انه رأس الفرسخ</w:t>
      </w:r>
      <w:r w:rsidR="00603323" w:rsidRPr="00FD211F">
        <w:rPr>
          <w:sz w:val="36"/>
          <w:szCs w:val="36"/>
          <w:rtl/>
        </w:rPr>
        <w:t xml:space="preserve">، </w:t>
      </w:r>
      <w:r w:rsidR="002B5A1C" w:rsidRPr="00FD211F">
        <w:rPr>
          <w:sz w:val="36"/>
          <w:szCs w:val="36"/>
          <w:rtl/>
        </w:rPr>
        <w:t>فقد يقال في المقام أيضا</w:t>
      </w:r>
      <w:r w:rsidR="00C64455" w:rsidRPr="00FD211F">
        <w:rPr>
          <w:sz w:val="36"/>
          <w:szCs w:val="36"/>
          <w:rtl/>
        </w:rPr>
        <w:t xml:space="preserve"> </w:t>
      </w:r>
      <w:r w:rsidR="00977D5E" w:rsidRPr="00FD211F">
        <w:rPr>
          <w:sz w:val="36"/>
          <w:szCs w:val="36"/>
          <w:rtl/>
        </w:rPr>
        <w:t>بان لفظ الماء</w:t>
      </w:r>
      <w:r w:rsidR="002B5A1C" w:rsidRPr="00FD211F">
        <w:rPr>
          <w:sz w:val="36"/>
          <w:szCs w:val="36"/>
          <w:rtl/>
        </w:rPr>
        <w:t xml:space="preserve"> مثلا وضع على</w:t>
      </w:r>
      <w:r w:rsidR="00773EE6" w:rsidRPr="00FD211F">
        <w:rPr>
          <w:sz w:val="36"/>
          <w:szCs w:val="36"/>
          <w:rtl/>
        </w:rPr>
        <w:t xml:space="preserve"> الصور</w:t>
      </w:r>
      <w:r w:rsidR="00EC7EDF" w:rsidRPr="00FD211F">
        <w:rPr>
          <w:sz w:val="36"/>
          <w:szCs w:val="36"/>
          <w:rtl/>
        </w:rPr>
        <w:t xml:space="preserve">ة </w:t>
      </w:r>
      <w:r w:rsidR="00773EE6" w:rsidRPr="00FD211F">
        <w:rPr>
          <w:sz w:val="36"/>
          <w:szCs w:val="36"/>
          <w:rtl/>
        </w:rPr>
        <w:t>الذهني</w:t>
      </w:r>
      <w:r w:rsidR="00EC7EDF" w:rsidRPr="00FD211F">
        <w:rPr>
          <w:sz w:val="36"/>
          <w:szCs w:val="36"/>
          <w:rtl/>
        </w:rPr>
        <w:t xml:space="preserve">ة </w:t>
      </w:r>
      <w:r w:rsidR="0082035D" w:rsidRPr="00FD211F">
        <w:rPr>
          <w:sz w:val="36"/>
          <w:szCs w:val="36"/>
          <w:rtl/>
        </w:rPr>
        <w:t>الموجود</w:t>
      </w:r>
      <w:r w:rsidR="00EC7EDF" w:rsidRPr="00FD211F">
        <w:rPr>
          <w:sz w:val="36"/>
          <w:szCs w:val="36"/>
          <w:rtl/>
        </w:rPr>
        <w:t xml:space="preserve">ة </w:t>
      </w:r>
      <w:r w:rsidR="001B5CA4" w:rsidRPr="00FD211F">
        <w:rPr>
          <w:sz w:val="36"/>
          <w:szCs w:val="36"/>
          <w:rtl/>
        </w:rPr>
        <w:t>حين التلفظ ب</w:t>
      </w:r>
      <w:r w:rsidR="00773EE6" w:rsidRPr="00FD211F">
        <w:rPr>
          <w:sz w:val="36"/>
          <w:szCs w:val="36"/>
          <w:rtl/>
        </w:rPr>
        <w:t>لفظ الماء</w:t>
      </w:r>
      <w:r w:rsidR="002B5A1C" w:rsidRPr="00FD211F">
        <w:rPr>
          <w:sz w:val="36"/>
          <w:szCs w:val="36"/>
          <w:rtl/>
        </w:rPr>
        <w:t xml:space="preserve"> ليدل على</w:t>
      </w:r>
      <w:r w:rsidR="001B5CA4" w:rsidRPr="00FD211F">
        <w:rPr>
          <w:sz w:val="36"/>
          <w:szCs w:val="36"/>
          <w:rtl/>
        </w:rPr>
        <w:t xml:space="preserve"> وصفه</w:t>
      </w:r>
      <w:r w:rsidR="00773EE6" w:rsidRPr="00FD211F">
        <w:rPr>
          <w:sz w:val="36"/>
          <w:szCs w:val="36"/>
          <w:rtl/>
        </w:rPr>
        <w:t>ا وهو أنها صور</w:t>
      </w:r>
      <w:r w:rsidR="00EC7EDF" w:rsidRPr="00FD211F">
        <w:rPr>
          <w:sz w:val="36"/>
          <w:szCs w:val="36"/>
          <w:rtl/>
        </w:rPr>
        <w:t xml:space="preserve">ة </w:t>
      </w:r>
      <w:r w:rsidR="00773EE6" w:rsidRPr="00FD211F">
        <w:rPr>
          <w:sz w:val="36"/>
          <w:szCs w:val="36"/>
          <w:rtl/>
        </w:rPr>
        <w:t>الماء</w:t>
      </w:r>
      <w:r w:rsidR="009C58C8" w:rsidRPr="00FD211F">
        <w:rPr>
          <w:rStyle w:val="a6"/>
          <w:sz w:val="36"/>
          <w:szCs w:val="36"/>
          <w:rtl/>
        </w:rPr>
        <w:t>(</w:t>
      </w:r>
      <w:r w:rsidR="009C58C8" w:rsidRPr="00FD211F">
        <w:rPr>
          <w:rStyle w:val="a6"/>
          <w:sz w:val="36"/>
          <w:szCs w:val="36"/>
          <w:rtl/>
        </w:rPr>
        <w:footnoteReference w:id="102"/>
      </w:r>
      <w:r w:rsidR="009C58C8" w:rsidRPr="00FD211F">
        <w:rPr>
          <w:rStyle w:val="a6"/>
          <w:sz w:val="36"/>
          <w:szCs w:val="36"/>
          <w:rtl/>
        </w:rPr>
        <w:t>)</w:t>
      </w:r>
      <w:r w:rsidR="001B5CA4" w:rsidRPr="00FD211F">
        <w:rPr>
          <w:sz w:val="36"/>
          <w:szCs w:val="36"/>
          <w:rtl/>
        </w:rPr>
        <w:t>.</w:t>
      </w:r>
    </w:p>
    <w:p w14:paraId="32A3BE29" w14:textId="77777777" w:rsidR="00282C7E" w:rsidRPr="00FD211F" w:rsidRDefault="0082035D" w:rsidP="009C58C8">
      <w:pPr>
        <w:ind w:left="0" w:firstLine="227"/>
        <w:jc w:val="both"/>
        <w:rPr>
          <w:sz w:val="36"/>
          <w:szCs w:val="36"/>
          <w:rtl/>
        </w:rPr>
      </w:pPr>
      <w:r w:rsidRPr="00FD211F">
        <w:rPr>
          <w:sz w:val="36"/>
          <w:szCs w:val="36"/>
          <w:rtl/>
        </w:rPr>
        <w:t>ولكن هذا</w:t>
      </w:r>
      <w:r w:rsidR="004F5212" w:rsidRPr="00FD211F">
        <w:rPr>
          <w:sz w:val="36"/>
          <w:szCs w:val="36"/>
          <w:rtl/>
        </w:rPr>
        <w:t xml:space="preserve"> </w:t>
      </w:r>
      <w:r w:rsidRPr="00FD211F">
        <w:rPr>
          <w:sz w:val="36"/>
          <w:szCs w:val="36"/>
          <w:rtl/>
        </w:rPr>
        <w:t>الجواب</w:t>
      </w:r>
      <w:r w:rsidR="001B5CA4" w:rsidRPr="00FD211F">
        <w:rPr>
          <w:sz w:val="36"/>
          <w:szCs w:val="36"/>
          <w:rtl/>
        </w:rPr>
        <w:t xml:space="preserve"> خلاف الوجدان العرفي</w:t>
      </w:r>
      <w:r w:rsidR="00603323" w:rsidRPr="00FD211F">
        <w:rPr>
          <w:sz w:val="36"/>
          <w:szCs w:val="36"/>
          <w:rtl/>
        </w:rPr>
        <w:t xml:space="preserve">، </w:t>
      </w:r>
      <w:r w:rsidR="00773EE6" w:rsidRPr="00FD211F">
        <w:rPr>
          <w:sz w:val="36"/>
          <w:szCs w:val="36"/>
          <w:rtl/>
        </w:rPr>
        <w:t>فان الموضوع عليه عرفا ليس هو الصور</w:t>
      </w:r>
      <w:r w:rsidR="00EC7EDF" w:rsidRPr="00FD211F">
        <w:rPr>
          <w:sz w:val="36"/>
          <w:szCs w:val="36"/>
          <w:rtl/>
        </w:rPr>
        <w:t xml:space="preserve">ة </w:t>
      </w:r>
      <w:r w:rsidR="00773EE6" w:rsidRPr="00FD211F">
        <w:rPr>
          <w:sz w:val="36"/>
          <w:szCs w:val="36"/>
          <w:rtl/>
        </w:rPr>
        <w:t>الذهني</w:t>
      </w:r>
      <w:r w:rsidR="00EC7EDF" w:rsidRPr="00FD211F">
        <w:rPr>
          <w:sz w:val="36"/>
          <w:szCs w:val="36"/>
          <w:rtl/>
        </w:rPr>
        <w:t>ة</w:t>
      </w:r>
      <w:r w:rsidR="00603323" w:rsidRPr="00FD211F">
        <w:rPr>
          <w:sz w:val="36"/>
          <w:szCs w:val="36"/>
          <w:rtl/>
        </w:rPr>
        <w:t xml:space="preserve">، </w:t>
      </w:r>
      <w:r w:rsidR="001B5CA4" w:rsidRPr="00FD211F">
        <w:rPr>
          <w:sz w:val="36"/>
          <w:szCs w:val="36"/>
          <w:rtl/>
        </w:rPr>
        <w:t>ويشهد لذلك وضع الاعلام كما في وضع اسم "علي" على مو</w:t>
      </w:r>
      <w:r w:rsidR="005342B6" w:rsidRPr="00FD211F">
        <w:rPr>
          <w:sz w:val="36"/>
          <w:szCs w:val="36"/>
          <w:rtl/>
        </w:rPr>
        <w:t>لود</w:t>
      </w:r>
      <w:r w:rsidR="00603323" w:rsidRPr="00FD211F">
        <w:rPr>
          <w:sz w:val="36"/>
          <w:szCs w:val="36"/>
          <w:rtl/>
        </w:rPr>
        <w:t xml:space="preserve">، </w:t>
      </w:r>
      <w:r w:rsidR="001B5CA4" w:rsidRPr="00FD211F">
        <w:rPr>
          <w:sz w:val="36"/>
          <w:szCs w:val="36"/>
          <w:rtl/>
        </w:rPr>
        <w:t>فالموضوع عليه بالنظر العرفي على الأقل هو وجوده الخارجي</w:t>
      </w:r>
      <w:r w:rsidR="00603323" w:rsidRPr="00FD211F">
        <w:rPr>
          <w:sz w:val="36"/>
          <w:szCs w:val="36"/>
          <w:rtl/>
        </w:rPr>
        <w:t xml:space="preserve">، </w:t>
      </w:r>
      <w:r w:rsidR="001F7915" w:rsidRPr="00FD211F">
        <w:rPr>
          <w:sz w:val="36"/>
          <w:szCs w:val="36"/>
          <w:rtl/>
        </w:rPr>
        <w:t xml:space="preserve">وحينئذ فلايوجد </w:t>
      </w:r>
      <w:r w:rsidR="008D7B3D" w:rsidRPr="00FD211F">
        <w:rPr>
          <w:sz w:val="36"/>
          <w:szCs w:val="36"/>
          <w:rtl/>
        </w:rPr>
        <w:t xml:space="preserve">شيء </w:t>
      </w:r>
      <w:r w:rsidR="001F7915" w:rsidRPr="00FD211F">
        <w:rPr>
          <w:sz w:val="36"/>
          <w:szCs w:val="36"/>
          <w:rtl/>
        </w:rPr>
        <w:t>آخر مغاير له ولو اعتبارا كي يكون هو الموضوع له</w:t>
      </w:r>
      <w:r w:rsidR="00EE4815" w:rsidRPr="00FD211F">
        <w:rPr>
          <w:sz w:val="36"/>
          <w:szCs w:val="36"/>
          <w:rtl/>
        </w:rPr>
        <w:t>.</w:t>
      </w:r>
    </w:p>
    <w:p w14:paraId="4EC30961" w14:textId="77777777" w:rsidR="006854E0" w:rsidRPr="00FD211F" w:rsidRDefault="00EE4815" w:rsidP="009C58C8">
      <w:pPr>
        <w:ind w:left="0" w:firstLine="227"/>
        <w:jc w:val="both"/>
        <w:rPr>
          <w:sz w:val="36"/>
          <w:szCs w:val="36"/>
          <w:rtl/>
        </w:rPr>
      </w:pPr>
      <w:r w:rsidRPr="00FD211F">
        <w:rPr>
          <w:sz w:val="36"/>
          <w:szCs w:val="36"/>
          <w:rtl/>
        </w:rPr>
        <w:t xml:space="preserve">4- ما قد يقال من ان </w:t>
      </w:r>
      <w:r w:rsidR="008133DB" w:rsidRPr="00FD211F">
        <w:rPr>
          <w:sz w:val="36"/>
          <w:szCs w:val="36"/>
          <w:rtl/>
        </w:rPr>
        <w:t>سنخ دلال</w:t>
      </w:r>
      <w:r w:rsidR="00EC7EDF" w:rsidRPr="00FD211F">
        <w:rPr>
          <w:sz w:val="36"/>
          <w:szCs w:val="36"/>
          <w:rtl/>
        </w:rPr>
        <w:t xml:space="preserve">ة </w:t>
      </w:r>
      <w:r w:rsidR="008133DB" w:rsidRPr="00FD211F">
        <w:rPr>
          <w:sz w:val="36"/>
          <w:szCs w:val="36"/>
          <w:rtl/>
        </w:rPr>
        <w:t>الع</w:t>
      </w:r>
      <w:r w:rsidR="00F131CA" w:rsidRPr="00FD211F">
        <w:rPr>
          <w:sz w:val="36"/>
          <w:szCs w:val="36"/>
          <w:rtl/>
        </w:rPr>
        <w:t>َ</w:t>
      </w:r>
      <w:r w:rsidR="008133DB" w:rsidRPr="00FD211F">
        <w:rPr>
          <w:sz w:val="36"/>
          <w:szCs w:val="36"/>
          <w:rtl/>
        </w:rPr>
        <w:t>ل</w:t>
      </w:r>
      <w:r w:rsidR="00F131CA" w:rsidRPr="00FD211F">
        <w:rPr>
          <w:sz w:val="36"/>
          <w:szCs w:val="36"/>
          <w:rtl/>
        </w:rPr>
        <w:t>َ</w:t>
      </w:r>
      <w:r w:rsidR="008133DB" w:rsidRPr="00FD211F">
        <w:rPr>
          <w:sz w:val="36"/>
          <w:szCs w:val="36"/>
          <w:rtl/>
        </w:rPr>
        <w:t>م على كون المكان رأس الفرسخ</w:t>
      </w:r>
      <w:r w:rsidR="00F131CA" w:rsidRPr="00FD211F">
        <w:rPr>
          <w:sz w:val="36"/>
          <w:szCs w:val="36"/>
          <w:rtl/>
        </w:rPr>
        <w:t xml:space="preserve"> مثلا دلال</w:t>
      </w:r>
      <w:r w:rsidR="00EC7EDF" w:rsidRPr="00FD211F">
        <w:rPr>
          <w:sz w:val="36"/>
          <w:szCs w:val="36"/>
          <w:rtl/>
        </w:rPr>
        <w:t xml:space="preserve">ة </w:t>
      </w:r>
      <w:r w:rsidR="008133DB" w:rsidRPr="00FD211F">
        <w:rPr>
          <w:sz w:val="36"/>
          <w:szCs w:val="36"/>
          <w:rtl/>
        </w:rPr>
        <w:t>تصديقي</w:t>
      </w:r>
      <w:r w:rsidR="00EC7EDF" w:rsidRPr="00FD211F">
        <w:rPr>
          <w:sz w:val="36"/>
          <w:szCs w:val="36"/>
          <w:rtl/>
        </w:rPr>
        <w:t>ة</w:t>
      </w:r>
      <w:r w:rsidR="00603323" w:rsidRPr="00FD211F">
        <w:rPr>
          <w:sz w:val="36"/>
          <w:szCs w:val="36"/>
          <w:rtl/>
        </w:rPr>
        <w:t xml:space="preserve">، </w:t>
      </w:r>
      <w:r w:rsidR="008133DB" w:rsidRPr="00FD211F">
        <w:rPr>
          <w:sz w:val="36"/>
          <w:szCs w:val="36"/>
          <w:rtl/>
        </w:rPr>
        <w:t>والأمر في الوضع</w:t>
      </w:r>
      <w:r w:rsidR="00203A08" w:rsidRPr="00FD211F">
        <w:rPr>
          <w:sz w:val="36"/>
          <w:szCs w:val="36"/>
          <w:rtl/>
        </w:rPr>
        <w:t xml:space="preserve"> ليس</w:t>
      </w:r>
      <w:r w:rsidR="008133DB" w:rsidRPr="00FD211F">
        <w:rPr>
          <w:sz w:val="36"/>
          <w:szCs w:val="36"/>
          <w:rtl/>
        </w:rPr>
        <w:t xml:space="preserve"> كذ</w:t>
      </w:r>
      <w:r w:rsidRPr="00FD211F">
        <w:rPr>
          <w:sz w:val="36"/>
          <w:szCs w:val="36"/>
          <w:rtl/>
        </w:rPr>
        <w:t>لك</w:t>
      </w:r>
      <w:r w:rsidR="008133DB" w:rsidRPr="00FD211F">
        <w:rPr>
          <w:sz w:val="36"/>
          <w:szCs w:val="36"/>
          <w:rtl/>
        </w:rPr>
        <w:t xml:space="preserve"> دائما</w:t>
      </w:r>
      <w:r w:rsidR="00603323" w:rsidRPr="00FD211F">
        <w:rPr>
          <w:sz w:val="36"/>
          <w:szCs w:val="36"/>
          <w:rtl/>
        </w:rPr>
        <w:t xml:space="preserve">، </w:t>
      </w:r>
      <w:r w:rsidR="00203A08" w:rsidRPr="00FD211F">
        <w:rPr>
          <w:sz w:val="36"/>
          <w:szCs w:val="36"/>
          <w:rtl/>
        </w:rPr>
        <w:t>فان دلال</w:t>
      </w:r>
      <w:r w:rsidR="00EC7EDF" w:rsidRPr="00FD211F">
        <w:rPr>
          <w:sz w:val="36"/>
          <w:szCs w:val="36"/>
          <w:rtl/>
        </w:rPr>
        <w:t xml:space="preserve">ة </w:t>
      </w:r>
      <w:r w:rsidR="00203A08" w:rsidRPr="00FD211F">
        <w:rPr>
          <w:sz w:val="36"/>
          <w:szCs w:val="36"/>
          <w:rtl/>
        </w:rPr>
        <w:t>المفردات على معانيها دلال</w:t>
      </w:r>
      <w:r w:rsidR="00EC7EDF" w:rsidRPr="00FD211F">
        <w:rPr>
          <w:sz w:val="36"/>
          <w:szCs w:val="36"/>
          <w:rtl/>
        </w:rPr>
        <w:t xml:space="preserve">ة </w:t>
      </w:r>
      <w:r w:rsidR="00203A08" w:rsidRPr="00FD211F">
        <w:rPr>
          <w:sz w:val="36"/>
          <w:szCs w:val="36"/>
          <w:rtl/>
        </w:rPr>
        <w:t>تصوري</w:t>
      </w:r>
      <w:r w:rsidR="00EC7EDF" w:rsidRPr="00FD211F">
        <w:rPr>
          <w:sz w:val="36"/>
          <w:szCs w:val="36"/>
          <w:rtl/>
        </w:rPr>
        <w:t xml:space="preserve">ة </w:t>
      </w:r>
      <w:r w:rsidRPr="00FD211F">
        <w:rPr>
          <w:sz w:val="36"/>
          <w:szCs w:val="36"/>
          <w:rtl/>
        </w:rPr>
        <w:t>اي</w:t>
      </w:r>
      <w:r w:rsidR="00CE6C0F" w:rsidRPr="00FD211F">
        <w:rPr>
          <w:sz w:val="36"/>
          <w:szCs w:val="36"/>
          <w:rtl/>
        </w:rPr>
        <w:t xml:space="preserve"> لاتدل على وجودها في الخارج</w:t>
      </w:r>
      <w:r w:rsidR="008664A6" w:rsidRPr="00FD211F">
        <w:rPr>
          <w:sz w:val="36"/>
          <w:szCs w:val="36"/>
          <w:rtl/>
        </w:rPr>
        <w:t xml:space="preserve"> فيختلف الوضع في الالفاظ عن وضع </w:t>
      </w:r>
      <w:r w:rsidR="00664584" w:rsidRPr="00FD211F">
        <w:rPr>
          <w:sz w:val="36"/>
          <w:szCs w:val="36"/>
          <w:rtl/>
        </w:rPr>
        <w:t>العَلَم</w:t>
      </w:r>
      <w:r w:rsidR="008664A6" w:rsidRPr="00FD211F">
        <w:rPr>
          <w:sz w:val="36"/>
          <w:szCs w:val="36"/>
          <w:rtl/>
        </w:rPr>
        <w:t xml:space="preserve"> على المكان</w:t>
      </w:r>
      <w:r w:rsidR="009C58C8" w:rsidRPr="00FD211F">
        <w:rPr>
          <w:rStyle w:val="a6"/>
          <w:sz w:val="36"/>
          <w:szCs w:val="36"/>
          <w:rtl/>
        </w:rPr>
        <w:t>(</w:t>
      </w:r>
      <w:r w:rsidR="009C58C8" w:rsidRPr="00FD211F">
        <w:rPr>
          <w:rStyle w:val="a6"/>
          <w:sz w:val="36"/>
          <w:szCs w:val="36"/>
          <w:rtl/>
        </w:rPr>
        <w:footnoteReference w:id="103"/>
      </w:r>
      <w:r w:rsidR="009C58C8" w:rsidRPr="00FD211F">
        <w:rPr>
          <w:rStyle w:val="a6"/>
          <w:sz w:val="36"/>
          <w:szCs w:val="36"/>
          <w:rtl/>
        </w:rPr>
        <w:t>)</w:t>
      </w:r>
      <w:r w:rsidR="006854E0" w:rsidRPr="00FD211F">
        <w:rPr>
          <w:sz w:val="36"/>
          <w:szCs w:val="36"/>
          <w:rtl/>
        </w:rPr>
        <w:t>.</w:t>
      </w:r>
    </w:p>
    <w:p w14:paraId="2B4BA9F4" w14:textId="77777777" w:rsidR="008664A6" w:rsidRPr="00FD211F" w:rsidRDefault="006854E0" w:rsidP="009C58C8">
      <w:pPr>
        <w:ind w:left="0" w:firstLine="227"/>
        <w:jc w:val="both"/>
        <w:rPr>
          <w:sz w:val="36"/>
          <w:szCs w:val="36"/>
          <w:rtl/>
        </w:rPr>
      </w:pPr>
      <w:r w:rsidRPr="00FD211F">
        <w:rPr>
          <w:sz w:val="36"/>
          <w:szCs w:val="36"/>
          <w:rtl/>
        </w:rPr>
        <w:t>ولكن يمكن للمحقق الاصفهاني</w:t>
      </w:r>
      <w:r w:rsidR="007538B2" w:rsidRPr="00FD211F">
        <w:rPr>
          <w:sz w:val="36"/>
          <w:szCs w:val="36"/>
          <w:rtl/>
        </w:rPr>
        <w:t>"قده"</w:t>
      </w:r>
      <w:r w:rsidRPr="00FD211F">
        <w:rPr>
          <w:sz w:val="36"/>
          <w:szCs w:val="36"/>
          <w:rtl/>
        </w:rPr>
        <w:t xml:space="preserve"> ان يج</w:t>
      </w:r>
      <w:r w:rsidR="00EE4815" w:rsidRPr="00FD211F">
        <w:rPr>
          <w:sz w:val="36"/>
          <w:szCs w:val="36"/>
          <w:rtl/>
        </w:rPr>
        <w:t>ي</w:t>
      </w:r>
      <w:r w:rsidRPr="00FD211F">
        <w:rPr>
          <w:sz w:val="36"/>
          <w:szCs w:val="36"/>
          <w:rtl/>
        </w:rPr>
        <w:t>ب عنه</w:t>
      </w:r>
      <w:r w:rsidR="00773EE6" w:rsidRPr="00FD211F">
        <w:rPr>
          <w:sz w:val="36"/>
          <w:szCs w:val="36"/>
          <w:rtl/>
        </w:rPr>
        <w:t xml:space="preserve"> اولا بانه </w:t>
      </w:r>
      <w:r w:rsidR="00EE4815" w:rsidRPr="00FD211F">
        <w:rPr>
          <w:sz w:val="36"/>
          <w:szCs w:val="36"/>
          <w:rtl/>
        </w:rPr>
        <w:t xml:space="preserve">لايلزم تشابه وضع اللفظ مع وضع </w:t>
      </w:r>
      <w:r w:rsidR="00664584" w:rsidRPr="00FD211F">
        <w:rPr>
          <w:sz w:val="36"/>
          <w:szCs w:val="36"/>
          <w:rtl/>
        </w:rPr>
        <w:t>العَلَم</w:t>
      </w:r>
      <w:r w:rsidR="00EE4815" w:rsidRPr="00FD211F">
        <w:rPr>
          <w:sz w:val="36"/>
          <w:szCs w:val="36"/>
          <w:rtl/>
        </w:rPr>
        <w:t xml:space="preserve"> على المكان من جميع الجهات</w:t>
      </w:r>
      <w:r w:rsidR="00603323" w:rsidRPr="00FD211F">
        <w:rPr>
          <w:sz w:val="36"/>
          <w:szCs w:val="36"/>
          <w:rtl/>
        </w:rPr>
        <w:t xml:space="preserve">، </w:t>
      </w:r>
      <w:r w:rsidR="00773EE6" w:rsidRPr="00FD211F">
        <w:rPr>
          <w:sz w:val="36"/>
          <w:szCs w:val="36"/>
          <w:rtl/>
        </w:rPr>
        <w:t>وثانيا بامكانه ان يدعي ان لفظ الماء مثلا قد وضع على معنى الماء ليدل على وجود هذا المعنى في ذهن المتكلم</w:t>
      </w:r>
      <w:r w:rsidR="00603323" w:rsidRPr="00FD211F">
        <w:rPr>
          <w:sz w:val="36"/>
          <w:szCs w:val="36"/>
          <w:rtl/>
        </w:rPr>
        <w:t xml:space="preserve">، </w:t>
      </w:r>
      <w:r w:rsidR="005342B6" w:rsidRPr="00FD211F">
        <w:rPr>
          <w:sz w:val="36"/>
          <w:szCs w:val="36"/>
          <w:rtl/>
        </w:rPr>
        <w:t xml:space="preserve">او فقل </w:t>
      </w:r>
      <w:r w:rsidR="008937D1" w:rsidRPr="00FD211F">
        <w:rPr>
          <w:sz w:val="36"/>
          <w:szCs w:val="36"/>
          <w:rtl/>
        </w:rPr>
        <w:t>–مع غمض العين عماذكرناه آنفا</w:t>
      </w:r>
      <w:r w:rsidR="006912A9" w:rsidRPr="00FD211F">
        <w:rPr>
          <w:sz w:val="36"/>
          <w:szCs w:val="36"/>
          <w:rtl/>
        </w:rPr>
        <w:t xml:space="preserve"> </w:t>
      </w:r>
      <w:r w:rsidR="008937D1" w:rsidRPr="00FD211F">
        <w:rPr>
          <w:sz w:val="36"/>
          <w:szCs w:val="36"/>
          <w:rtl/>
        </w:rPr>
        <w:t>من عدم كون الموضوع له هي الصور</w:t>
      </w:r>
      <w:r w:rsidR="00EC7EDF" w:rsidRPr="00FD211F">
        <w:rPr>
          <w:sz w:val="36"/>
          <w:szCs w:val="36"/>
          <w:rtl/>
        </w:rPr>
        <w:t xml:space="preserve">ة </w:t>
      </w:r>
      <w:r w:rsidR="008937D1" w:rsidRPr="00FD211F">
        <w:rPr>
          <w:sz w:val="36"/>
          <w:szCs w:val="36"/>
          <w:rtl/>
        </w:rPr>
        <w:t>الذهني</w:t>
      </w:r>
      <w:r w:rsidR="00EC7EDF" w:rsidRPr="00FD211F">
        <w:rPr>
          <w:sz w:val="36"/>
          <w:szCs w:val="36"/>
          <w:rtl/>
        </w:rPr>
        <w:t xml:space="preserve">ة </w:t>
      </w:r>
      <w:r w:rsidR="008937D1" w:rsidRPr="00FD211F">
        <w:rPr>
          <w:sz w:val="36"/>
          <w:szCs w:val="36"/>
          <w:rtl/>
        </w:rPr>
        <w:t>-</w:t>
      </w:r>
      <w:r w:rsidR="00773EE6" w:rsidRPr="00FD211F">
        <w:rPr>
          <w:sz w:val="36"/>
          <w:szCs w:val="36"/>
          <w:rtl/>
        </w:rPr>
        <w:t xml:space="preserve">ان لفظ الماء </w:t>
      </w:r>
      <w:r w:rsidRPr="00FD211F">
        <w:rPr>
          <w:sz w:val="36"/>
          <w:szCs w:val="36"/>
          <w:rtl/>
        </w:rPr>
        <w:t>وضع على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005342B6" w:rsidRPr="00FD211F">
        <w:rPr>
          <w:sz w:val="36"/>
          <w:szCs w:val="36"/>
          <w:rtl/>
        </w:rPr>
        <w:t>الموجود</w:t>
      </w:r>
      <w:r w:rsidR="00EC7EDF" w:rsidRPr="00FD211F">
        <w:rPr>
          <w:sz w:val="36"/>
          <w:szCs w:val="36"/>
          <w:rtl/>
        </w:rPr>
        <w:t xml:space="preserve">ة </w:t>
      </w:r>
      <w:r w:rsidR="005342B6" w:rsidRPr="00FD211F">
        <w:rPr>
          <w:sz w:val="36"/>
          <w:szCs w:val="36"/>
          <w:rtl/>
        </w:rPr>
        <w:t>في ذهن المتكلم</w:t>
      </w:r>
      <w:r w:rsidR="00603323" w:rsidRPr="00FD211F">
        <w:rPr>
          <w:sz w:val="36"/>
          <w:szCs w:val="36"/>
          <w:rtl/>
        </w:rPr>
        <w:t xml:space="preserve">، </w:t>
      </w:r>
      <w:r w:rsidR="005342B6" w:rsidRPr="00FD211F">
        <w:rPr>
          <w:sz w:val="36"/>
          <w:szCs w:val="36"/>
          <w:rtl/>
        </w:rPr>
        <w:t>ليدل على أنها صور</w:t>
      </w:r>
      <w:r w:rsidR="00EC7EDF" w:rsidRPr="00FD211F">
        <w:rPr>
          <w:sz w:val="36"/>
          <w:szCs w:val="36"/>
          <w:rtl/>
        </w:rPr>
        <w:t xml:space="preserve">ة </w:t>
      </w:r>
      <w:r w:rsidR="005342B6" w:rsidRPr="00FD211F">
        <w:rPr>
          <w:sz w:val="36"/>
          <w:szCs w:val="36"/>
          <w:rtl/>
        </w:rPr>
        <w:t>الماء.</w:t>
      </w:r>
    </w:p>
    <w:p w14:paraId="10C3B5B5" w14:textId="77777777" w:rsidR="001B39EE" w:rsidRPr="00FD211F" w:rsidRDefault="00EE4815" w:rsidP="009C58C8">
      <w:pPr>
        <w:ind w:left="0" w:firstLine="227"/>
        <w:jc w:val="both"/>
        <w:rPr>
          <w:sz w:val="36"/>
          <w:szCs w:val="36"/>
          <w:rtl/>
        </w:rPr>
      </w:pPr>
      <w:r w:rsidRPr="00FD211F">
        <w:rPr>
          <w:sz w:val="36"/>
          <w:szCs w:val="36"/>
          <w:rtl/>
        </w:rPr>
        <w:t>5- ما</w:t>
      </w:r>
      <w:r w:rsidR="000901B2" w:rsidRPr="00FD211F">
        <w:rPr>
          <w:sz w:val="36"/>
          <w:szCs w:val="36"/>
          <w:rtl/>
        </w:rPr>
        <w:t xml:space="preserve"> اورد عليه</w:t>
      </w:r>
      <w:r w:rsidR="008664A6" w:rsidRPr="00FD211F">
        <w:rPr>
          <w:sz w:val="36"/>
          <w:szCs w:val="36"/>
          <w:rtl/>
        </w:rPr>
        <w:t xml:space="preserve"> في البحوث</w:t>
      </w:r>
      <w:r w:rsidR="000901B2" w:rsidRPr="00FD211F">
        <w:rPr>
          <w:sz w:val="36"/>
          <w:szCs w:val="36"/>
          <w:rtl/>
        </w:rPr>
        <w:t xml:space="preserve"> بان وضع العل</w:t>
      </w:r>
      <w:r w:rsidR="008664A6" w:rsidRPr="00FD211F">
        <w:rPr>
          <w:sz w:val="36"/>
          <w:szCs w:val="36"/>
          <w:rtl/>
        </w:rPr>
        <w:t>َ</w:t>
      </w:r>
      <w:r w:rsidR="000901B2" w:rsidRPr="00FD211F">
        <w:rPr>
          <w:sz w:val="36"/>
          <w:szCs w:val="36"/>
          <w:rtl/>
        </w:rPr>
        <w:t>م على مكان لايكفي بمجرده في الدلال</w:t>
      </w:r>
      <w:r w:rsidR="00EC7EDF" w:rsidRPr="00FD211F">
        <w:rPr>
          <w:sz w:val="36"/>
          <w:szCs w:val="36"/>
          <w:rtl/>
        </w:rPr>
        <w:t xml:space="preserve">ة </w:t>
      </w:r>
      <w:r w:rsidR="000901B2" w:rsidRPr="00FD211F">
        <w:rPr>
          <w:sz w:val="36"/>
          <w:szCs w:val="36"/>
          <w:rtl/>
        </w:rPr>
        <w:t>على انه رأس الفرسخ مثلا</w:t>
      </w:r>
      <w:r w:rsidR="00603323" w:rsidRPr="00FD211F">
        <w:rPr>
          <w:sz w:val="36"/>
          <w:szCs w:val="36"/>
          <w:rtl/>
        </w:rPr>
        <w:t xml:space="preserve">، </w:t>
      </w:r>
      <w:r w:rsidR="000901B2" w:rsidRPr="00FD211F">
        <w:rPr>
          <w:sz w:val="36"/>
          <w:szCs w:val="36"/>
          <w:rtl/>
        </w:rPr>
        <w:t>فكيف بالمقام مما يكون وضع اللفظ على المعنى اعتباريا</w:t>
      </w:r>
      <w:r w:rsidR="00603323" w:rsidRPr="00FD211F">
        <w:rPr>
          <w:sz w:val="36"/>
          <w:szCs w:val="36"/>
          <w:rtl/>
        </w:rPr>
        <w:t xml:space="preserve">، </w:t>
      </w:r>
      <w:r w:rsidR="000901B2" w:rsidRPr="00FD211F">
        <w:rPr>
          <w:sz w:val="36"/>
          <w:szCs w:val="36"/>
          <w:rtl/>
        </w:rPr>
        <w:t>وحينئذ فلا</w:t>
      </w:r>
      <w:r w:rsidR="00AA4DC6" w:rsidRPr="00FD211F">
        <w:rPr>
          <w:sz w:val="36"/>
          <w:szCs w:val="36"/>
          <w:rtl/>
        </w:rPr>
        <w:t>بدّ</w:t>
      </w:r>
      <w:r w:rsidR="000901B2" w:rsidRPr="00FD211F">
        <w:rPr>
          <w:sz w:val="36"/>
          <w:szCs w:val="36"/>
          <w:rtl/>
        </w:rPr>
        <w:t xml:space="preserve"> من ضم نكت</w:t>
      </w:r>
      <w:r w:rsidR="00EC7EDF" w:rsidRPr="00FD211F">
        <w:rPr>
          <w:sz w:val="36"/>
          <w:szCs w:val="36"/>
          <w:rtl/>
        </w:rPr>
        <w:t xml:space="preserve">ة </w:t>
      </w:r>
      <w:r w:rsidR="000901B2" w:rsidRPr="00FD211F">
        <w:rPr>
          <w:sz w:val="36"/>
          <w:szCs w:val="36"/>
          <w:rtl/>
        </w:rPr>
        <w:t>أخرى كتعهد الواضع بان لايضعه الا في مكان مخصوص</w:t>
      </w:r>
      <w:r w:rsidR="00603323" w:rsidRPr="00FD211F">
        <w:rPr>
          <w:sz w:val="36"/>
          <w:szCs w:val="36"/>
          <w:rtl/>
        </w:rPr>
        <w:t xml:space="preserve">، </w:t>
      </w:r>
      <w:r w:rsidR="000901B2" w:rsidRPr="00FD211F">
        <w:rPr>
          <w:sz w:val="36"/>
          <w:szCs w:val="36"/>
          <w:rtl/>
        </w:rPr>
        <w:t>ولعل هذه النكت</w:t>
      </w:r>
      <w:r w:rsidR="00EC7EDF" w:rsidRPr="00FD211F">
        <w:rPr>
          <w:sz w:val="36"/>
          <w:szCs w:val="36"/>
          <w:rtl/>
        </w:rPr>
        <w:t xml:space="preserve">ة </w:t>
      </w:r>
      <w:r w:rsidR="000901B2" w:rsidRPr="00FD211F">
        <w:rPr>
          <w:sz w:val="36"/>
          <w:szCs w:val="36"/>
          <w:rtl/>
        </w:rPr>
        <w:t>تكون مساوق</w:t>
      </w:r>
      <w:r w:rsidR="00EC7EDF" w:rsidRPr="00FD211F">
        <w:rPr>
          <w:sz w:val="36"/>
          <w:szCs w:val="36"/>
          <w:rtl/>
        </w:rPr>
        <w:t xml:space="preserve">ة </w:t>
      </w:r>
      <w:r w:rsidR="000901B2" w:rsidRPr="00FD211F">
        <w:rPr>
          <w:sz w:val="36"/>
          <w:szCs w:val="36"/>
          <w:rtl/>
        </w:rPr>
        <w:t>لعملي</w:t>
      </w:r>
      <w:r w:rsidR="00EC7EDF" w:rsidRPr="00FD211F">
        <w:rPr>
          <w:sz w:val="36"/>
          <w:szCs w:val="36"/>
          <w:rtl/>
        </w:rPr>
        <w:t xml:space="preserve">ة </w:t>
      </w:r>
      <w:r w:rsidR="000901B2" w:rsidRPr="00FD211F">
        <w:rPr>
          <w:sz w:val="36"/>
          <w:szCs w:val="36"/>
          <w:rtl/>
        </w:rPr>
        <w:t>الوضع</w:t>
      </w:r>
      <w:r w:rsidR="009C58C8" w:rsidRPr="00FD211F">
        <w:rPr>
          <w:rStyle w:val="a6"/>
          <w:sz w:val="36"/>
          <w:szCs w:val="36"/>
          <w:rtl/>
        </w:rPr>
        <w:t>(</w:t>
      </w:r>
      <w:r w:rsidR="009C58C8" w:rsidRPr="00FD211F">
        <w:rPr>
          <w:rStyle w:val="a6"/>
          <w:sz w:val="36"/>
          <w:szCs w:val="36"/>
          <w:rtl/>
        </w:rPr>
        <w:footnoteReference w:id="104"/>
      </w:r>
      <w:r w:rsidR="009C58C8" w:rsidRPr="00FD211F">
        <w:rPr>
          <w:rStyle w:val="a6"/>
          <w:sz w:val="36"/>
          <w:szCs w:val="36"/>
          <w:rtl/>
        </w:rPr>
        <w:t>)</w:t>
      </w:r>
      <w:r w:rsidR="000901B2" w:rsidRPr="00FD211F">
        <w:rPr>
          <w:sz w:val="36"/>
          <w:szCs w:val="36"/>
          <w:rtl/>
        </w:rPr>
        <w:t>.</w:t>
      </w:r>
    </w:p>
    <w:p w14:paraId="3F1E9FD8" w14:textId="77777777" w:rsidR="00EE4815" w:rsidRPr="00FD211F" w:rsidRDefault="000901B2" w:rsidP="009C58C8">
      <w:pPr>
        <w:ind w:left="0" w:firstLine="227"/>
        <w:jc w:val="both"/>
        <w:rPr>
          <w:sz w:val="36"/>
          <w:szCs w:val="36"/>
          <w:rtl/>
        </w:rPr>
      </w:pPr>
      <w:r w:rsidRPr="00FD211F">
        <w:rPr>
          <w:sz w:val="36"/>
          <w:szCs w:val="36"/>
          <w:rtl/>
        </w:rPr>
        <w:t>و</w:t>
      </w:r>
      <w:r w:rsidR="004225A2" w:rsidRPr="00FD211F">
        <w:rPr>
          <w:sz w:val="36"/>
          <w:szCs w:val="36"/>
          <w:rtl/>
        </w:rPr>
        <w:t xml:space="preserve">لكن </w:t>
      </w:r>
      <w:r w:rsidRPr="00FD211F">
        <w:rPr>
          <w:sz w:val="36"/>
          <w:szCs w:val="36"/>
          <w:rtl/>
        </w:rPr>
        <w:t>يلاحظ عليه</w:t>
      </w:r>
      <w:r w:rsidR="00EE4815" w:rsidRPr="00FD211F">
        <w:rPr>
          <w:sz w:val="36"/>
          <w:szCs w:val="36"/>
          <w:rtl/>
        </w:rPr>
        <w:t xml:space="preserve">: </w:t>
      </w:r>
      <w:r w:rsidRPr="00FD211F">
        <w:rPr>
          <w:sz w:val="36"/>
          <w:szCs w:val="36"/>
          <w:rtl/>
        </w:rPr>
        <w:t xml:space="preserve">ان مدعى المحقق الاصفهاني </w:t>
      </w:r>
      <w:r w:rsidR="00A27A59" w:rsidRPr="00FD211F">
        <w:rPr>
          <w:sz w:val="36"/>
          <w:szCs w:val="36"/>
          <w:rtl/>
        </w:rPr>
        <w:t>"</w:t>
      </w:r>
      <w:r w:rsidRPr="00FD211F">
        <w:rPr>
          <w:sz w:val="36"/>
          <w:szCs w:val="36"/>
          <w:rtl/>
        </w:rPr>
        <w:t>قده</w:t>
      </w:r>
      <w:r w:rsidR="00A27A59" w:rsidRPr="00FD211F">
        <w:rPr>
          <w:sz w:val="36"/>
          <w:szCs w:val="36"/>
          <w:rtl/>
        </w:rPr>
        <w:t>"</w:t>
      </w:r>
      <w:r w:rsidRPr="00FD211F">
        <w:rPr>
          <w:sz w:val="36"/>
          <w:szCs w:val="36"/>
          <w:rtl/>
        </w:rPr>
        <w:t xml:space="preserve"> هو</w:t>
      </w:r>
      <w:r w:rsidR="00EE4815" w:rsidRPr="00FD211F">
        <w:rPr>
          <w:sz w:val="36"/>
          <w:szCs w:val="36"/>
          <w:rtl/>
        </w:rPr>
        <w:t xml:space="preserve"> أنه كما يكون العَلَم موضوعا تكوينا على المكان بغرض ان يدل على </w:t>
      </w:r>
      <w:r w:rsidR="00773EE6" w:rsidRPr="00FD211F">
        <w:rPr>
          <w:sz w:val="36"/>
          <w:szCs w:val="36"/>
          <w:rtl/>
        </w:rPr>
        <w:t>انه</w:t>
      </w:r>
      <w:r w:rsidR="00EE4815" w:rsidRPr="00FD211F">
        <w:rPr>
          <w:sz w:val="36"/>
          <w:szCs w:val="36"/>
          <w:rtl/>
        </w:rPr>
        <w:t xml:space="preserve"> رأس الفرسخ مثلا</w:t>
      </w:r>
      <w:r w:rsidR="00603323" w:rsidRPr="00FD211F">
        <w:rPr>
          <w:sz w:val="36"/>
          <w:szCs w:val="36"/>
          <w:rtl/>
        </w:rPr>
        <w:t xml:space="preserve">، </w:t>
      </w:r>
      <w:r w:rsidR="00EE4815" w:rsidRPr="00FD211F">
        <w:rPr>
          <w:sz w:val="36"/>
          <w:szCs w:val="36"/>
          <w:rtl/>
        </w:rPr>
        <w:t xml:space="preserve">وتكون سببيته لانتقال المخاطب الى هذا المعنى في طول علمه بوضع </w:t>
      </w:r>
      <w:r w:rsidR="00664584" w:rsidRPr="00FD211F">
        <w:rPr>
          <w:sz w:val="36"/>
          <w:szCs w:val="36"/>
          <w:rtl/>
        </w:rPr>
        <w:t>العَلَم</w:t>
      </w:r>
      <w:r w:rsidR="00EE4815" w:rsidRPr="00FD211F">
        <w:rPr>
          <w:sz w:val="36"/>
          <w:szCs w:val="36"/>
          <w:rtl/>
        </w:rPr>
        <w:t xml:space="preserve"> بهذا الغرض فكذلك وضع اللفظ على المعنى يكون بغرض ان يدل عليه</w:t>
      </w:r>
      <w:r w:rsidR="00603323" w:rsidRPr="00FD211F">
        <w:rPr>
          <w:sz w:val="36"/>
          <w:szCs w:val="36"/>
          <w:rtl/>
        </w:rPr>
        <w:t xml:space="preserve">، </w:t>
      </w:r>
      <w:r w:rsidR="00EE4815" w:rsidRPr="00FD211F">
        <w:rPr>
          <w:sz w:val="36"/>
          <w:szCs w:val="36"/>
          <w:rtl/>
        </w:rPr>
        <w:t>ويكفي علم المخاطب بوضع اللفظ ادعاءً على المعنى بغرض دلالته عليه في سببي</w:t>
      </w:r>
      <w:r w:rsidR="00EC7EDF" w:rsidRPr="00FD211F">
        <w:rPr>
          <w:sz w:val="36"/>
          <w:szCs w:val="36"/>
          <w:rtl/>
        </w:rPr>
        <w:t xml:space="preserve">ة </w:t>
      </w:r>
      <w:r w:rsidR="00EE4815" w:rsidRPr="00FD211F">
        <w:rPr>
          <w:sz w:val="36"/>
          <w:szCs w:val="36"/>
          <w:rtl/>
        </w:rPr>
        <w:t>سماع اللفظ لانتقال ذهنه الى ذلك المعنى.</w:t>
      </w:r>
    </w:p>
    <w:p w14:paraId="14E6F910" w14:textId="77777777" w:rsidR="000901B2" w:rsidRPr="00FD211F" w:rsidRDefault="00773EE6" w:rsidP="009C58C8">
      <w:pPr>
        <w:ind w:left="0" w:firstLine="227"/>
        <w:jc w:val="both"/>
        <w:rPr>
          <w:sz w:val="36"/>
          <w:szCs w:val="36"/>
          <w:rtl/>
        </w:rPr>
      </w:pPr>
      <w:r w:rsidRPr="00FD211F">
        <w:rPr>
          <w:sz w:val="36"/>
          <w:szCs w:val="36"/>
          <w:rtl/>
        </w:rPr>
        <w:t xml:space="preserve">وكيف كان </w:t>
      </w:r>
      <w:r w:rsidR="00EE4815" w:rsidRPr="00FD211F">
        <w:rPr>
          <w:sz w:val="36"/>
          <w:szCs w:val="36"/>
          <w:rtl/>
        </w:rPr>
        <w:t>فالمهم</w:t>
      </w:r>
      <w:r w:rsidRPr="00FD211F">
        <w:rPr>
          <w:sz w:val="36"/>
          <w:szCs w:val="36"/>
          <w:rtl/>
        </w:rPr>
        <w:t xml:space="preserve"> في الاشكال على نظري</w:t>
      </w:r>
      <w:r w:rsidR="00EC7EDF" w:rsidRPr="00FD211F">
        <w:rPr>
          <w:sz w:val="36"/>
          <w:szCs w:val="36"/>
          <w:rtl/>
        </w:rPr>
        <w:t xml:space="preserve">ة </w:t>
      </w:r>
      <w:r w:rsidRPr="00FD211F">
        <w:rPr>
          <w:sz w:val="36"/>
          <w:szCs w:val="36"/>
          <w:rtl/>
        </w:rPr>
        <w:t xml:space="preserve">المحقق الاصفهاني </w:t>
      </w:r>
      <w:r w:rsidR="00A27A59" w:rsidRPr="00FD211F">
        <w:rPr>
          <w:sz w:val="36"/>
          <w:szCs w:val="36"/>
          <w:rtl/>
        </w:rPr>
        <w:t>"</w:t>
      </w:r>
      <w:r w:rsidRPr="00FD211F">
        <w:rPr>
          <w:sz w:val="36"/>
          <w:szCs w:val="36"/>
          <w:rtl/>
        </w:rPr>
        <w:t>قده</w:t>
      </w:r>
      <w:r w:rsidR="00A27A59" w:rsidRPr="00FD211F">
        <w:rPr>
          <w:sz w:val="36"/>
          <w:szCs w:val="36"/>
          <w:rtl/>
        </w:rPr>
        <w:t>"</w:t>
      </w:r>
      <w:r w:rsidRPr="00FD211F">
        <w:rPr>
          <w:sz w:val="36"/>
          <w:szCs w:val="36"/>
          <w:rtl/>
        </w:rPr>
        <w:t xml:space="preserve"> </w:t>
      </w:r>
      <w:r w:rsidR="00EE4815" w:rsidRPr="00FD211F">
        <w:rPr>
          <w:sz w:val="36"/>
          <w:szCs w:val="36"/>
          <w:rtl/>
        </w:rPr>
        <w:t xml:space="preserve">ان </w:t>
      </w:r>
      <w:r w:rsidR="00432247" w:rsidRPr="00FD211F">
        <w:rPr>
          <w:sz w:val="36"/>
          <w:szCs w:val="36"/>
          <w:rtl/>
        </w:rPr>
        <w:t xml:space="preserve">اعتبار وضع اللفظ على المعنى على وزان وضع </w:t>
      </w:r>
      <w:r w:rsidR="00664584" w:rsidRPr="00FD211F">
        <w:rPr>
          <w:sz w:val="36"/>
          <w:szCs w:val="36"/>
          <w:rtl/>
        </w:rPr>
        <w:t>العَلَم</w:t>
      </w:r>
      <w:r w:rsidR="00432247" w:rsidRPr="00FD211F">
        <w:rPr>
          <w:sz w:val="36"/>
          <w:szCs w:val="36"/>
          <w:rtl/>
        </w:rPr>
        <w:t xml:space="preserve"> على المكان</w:t>
      </w:r>
      <w:r w:rsidR="00EE4815" w:rsidRPr="00FD211F">
        <w:rPr>
          <w:sz w:val="36"/>
          <w:szCs w:val="36"/>
          <w:rtl/>
        </w:rPr>
        <w:t xml:space="preserve"> بعيد</w:t>
      </w:r>
      <w:r w:rsidR="00432247" w:rsidRPr="00FD211F">
        <w:rPr>
          <w:sz w:val="36"/>
          <w:szCs w:val="36"/>
          <w:rtl/>
        </w:rPr>
        <w:t xml:space="preserve"> عن مرتكز العرف</w:t>
      </w:r>
      <w:r w:rsidR="00603323" w:rsidRPr="00FD211F">
        <w:rPr>
          <w:sz w:val="36"/>
          <w:szCs w:val="36"/>
          <w:rtl/>
        </w:rPr>
        <w:t xml:space="preserve">، </w:t>
      </w:r>
      <w:r w:rsidR="005806A9" w:rsidRPr="00FD211F">
        <w:rPr>
          <w:sz w:val="36"/>
          <w:szCs w:val="36"/>
          <w:rtl/>
        </w:rPr>
        <w:t>والمفروض صدور عملي</w:t>
      </w:r>
      <w:r w:rsidR="00EC7EDF" w:rsidRPr="00FD211F">
        <w:rPr>
          <w:sz w:val="36"/>
          <w:szCs w:val="36"/>
          <w:rtl/>
        </w:rPr>
        <w:t xml:space="preserve">ة </w:t>
      </w:r>
      <w:r w:rsidR="005806A9" w:rsidRPr="00FD211F">
        <w:rPr>
          <w:sz w:val="36"/>
          <w:szCs w:val="36"/>
          <w:rtl/>
        </w:rPr>
        <w:t>الوضع من الواضع بما له من المرتكز العرفي.</w:t>
      </w:r>
    </w:p>
    <w:p w14:paraId="7BED9B3F" w14:textId="77777777" w:rsidR="002B1114" w:rsidRPr="00FD211F" w:rsidRDefault="002B1114" w:rsidP="009C58C8">
      <w:pPr>
        <w:ind w:left="0" w:firstLine="227"/>
        <w:jc w:val="both"/>
        <w:rPr>
          <w:sz w:val="36"/>
          <w:szCs w:val="36"/>
          <w:rtl/>
        </w:rPr>
      </w:pPr>
      <w:r w:rsidRPr="00FD211F">
        <w:rPr>
          <w:sz w:val="36"/>
          <w:szCs w:val="36"/>
          <w:rtl/>
        </w:rPr>
        <w:t>ثم لايخفى ان ما ذكره المحقق الاصفهاني</w:t>
      </w:r>
      <w:r w:rsidR="00A61BAE" w:rsidRPr="00FD211F">
        <w:rPr>
          <w:sz w:val="36"/>
          <w:szCs w:val="36"/>
          <w:rtl/>
        </w:rPr>
        <w:t xml:space="preserve"> </w:t>
      </w:r>
      <w:r w:rsidR="006912A9" w:rsidRPr="00FD211F">
        <w:rPr>
          <w:sz w:val="36"/>
          <w:szCs w:val="36"/>
          <w:rtl/>
        </w:rPr>
        <w:t>"قده"</w:t>
      </w:r>
      <w:r w:rsidR="00A61BAE" w:rsidRPr="00FD211F">
        <w:rPr>
          <w:sz w:val="36"/>
          <w:szCs w:val="36"/>
          <w:rtl/>
        </w:rPr>
        <w:t xml:space="preserve"> </w:t>
      </w:r>
      <w:r w:rsidRPr="00FD211F">
        <w:rPr>
          <w:sz w:val="36"/>
          <w:szCs w:val="36"/>
          <w:rtl/>
        </w:rPr>
        <w:t>في المقام ينافي ما ذكره في بحث علامي</w:t>
      </w:r>
      <w:r w:rsidR="00EC7EDF" w:rsidRPr="00FD211F">
        <w:rPr>
          <w:sz w:val="36"/>
          <w:szCs w:val="36"/>
          <w:rtl/>
        </w:rPr>
        <w:t xml:space="preserve">ة </w:t>
      </w:r>
      <w:r w:rsidRPr="00FD211F">
        <w:rPr>
          <w:sz w:val="36"/>
          <w:szCs w:val="36"/>
          <w:rtl/>
        </w:rPr>
        <w:t>التبادر من ان الوضع هو إنشاء كون طبيعي اللفظ هو طبيعي المعنى</w:t>
      </w:r>
      <w:r w:rsidR="00603323" w:rsidRPr="00FD211F">
        <w:rPr>
          <w:sz w:val="36"/>
          <w:szCs w:val="36"/>
          <w:rtl/>
        </w:rPr>
        <w:t xml:space="preserve">، </w:t>
      </w:r>
      <w:r w:rsidRPr="00FD211F">
        <w:rPr>
          <w:sz w:val="36"/>
          <w:szCs w:val="36"/>
          <w:rtl/>
        </w:rPr>
        <w:t>فيكون اللفظ وجودا تنزيليا للمعنى</w:t>
      </w:r>
      <w:r w:rsidR="009C58C8" w:rsidRPr="00FD211F">
        <w:rPr>
          <w:rStyle w:val="a6"/>
          <w:sz w:val="36"/>
          <w:szCs w:val="36"/>
          <w:rtl/>
        </w:rPr>
        <w:t>(</w:t>
      </w:r>
      <w:r w:rsidR="009C58C8" w:rsidRPr="00FD211F">
        <w:rPr>
          <w:rStyle w:val="a6"/>
          <w:sz w:val="36"/>
          <w:szCs w:val="36"/>
          <w:rtl/>
        </w:rPr>
        <w:footnoteReference w:id="105"/>
      </w:r>
      <w:r w:rsidR="009C58C8" w:rsidRPr="00FD211F">
        <w:rPr>
          <w:rStyle w:val="a6"/>
          <w:sz w:val="36"/>
          <w:szCs w:val="36"/>
          <w:rtl/>
        </w:rPr>
        <w:t>)</w:t>
      </w:r>
      <w:r w:rsidRPr="00FD211F">
        <w:rPr>
          <w:sz w:val="36"/>
          <w:szCs w:val="36"/>
          <w:rtl/>
        </w:rPr>
        <w:t>.</w:t>
      </w:r>
    </w:p>
    <w:p w14:paraId="6569C82E" w14:textId="77777777" w:rsidR="005806A9" w:rsidRPr="00FD211F" w:rsidRDefault="005806A9" w:rsidP="009C58C8">
      <w:pPr>
        <w:ind w:left="0" w:firstLine="227"/>
        <w:jc w:val="both"/>
        <w:rPr>
          <w:sz w:val="36"/>
          <w:szCs w:val="36"/>
          <w:rtl/>
        </w:rPr>
      </w:pPr>
      <w:r w:rsidRPr="00FD211F">
        <w:rPr>
          <w:b/>
          <w:bCs/>
          <w:sz w:val="36"/>
          <w:szCs w:val="36"/>
          <w:rtl/>
        </w:rPr>
        <w:t>الصيغ</w:t>
      </w:r>
      <w:r w:rsidR="00EC7EDF" w:rsidRPr="00FD211F">
        <w:rPr>
          <w:b/>
          <w:bCs/>
          <w:sz w:val="36"/>
          <w:szCs w:val="36"/>
          <w:rtl/>
        </w:rPr>
        <w:t xml:space="preserve">ة </w:t>
      </w: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sz w:val="36"/>
          <w:szCs w:val="36"/>
          <w:rtl/>
        </w:rPr>
        <w:t xml:space="preserve"> ما ذكره المحقق الايرواني </w:t>
      </w:r>
      <w:r w:rsidR="00A27A59" w:rsidRPr="00FD211F">
        <w:rPr>
          <w:sz w:val="36"/>
          <w:szCs w:val="36"/>
          <w:rtl/>
        </w:rPr>
        <w:t>"</w:t>
      </w:r>
      <w:r w:rsidRPr="00FD211F">
        <w:rPr>
          <w:sz w:val="36"/>
          <w:szCs w:val="36"/>
          <w:rtl/>
        </w:rPr>
        <w:t>قده</w:t>
      </w:r>
      <w:r w:rsidR="00A27A59" w:rsidRPr="00FD211F">
        <w:rPr>
          <w:sz w:val="36"/>
          <w:szCs w:val="36"/>
          <w:rtl/>
        </w:rPr>
        <w:t>"</w:t>
      </w:r>
      <w:r w:rsidRPr="00FD211F">
        <w:rPr>
          <w:sz w:val="36"/>
          <w:szCs w:val="36"/>
          <w:rtl/>
        </w:rPr>
        <w:t xml:space="preserve"> من ان حقيق</w:t>
      </w:r>
      <w:r w:rsidR="00EC7EDF" w:rsidRPr="00FD211F">
        <w:rPr>
          <w:sz w:val="36"/>
          <w:szCs w:val="36"/>
          <w:rtl/>
        </w:rPr>
        <w:t xml:space="preserve">ة </w:t>
      </w:r>
      <w:r w:rsidRPr="00FD211F">
        <w:rPr>
          <w:sz w:val="36"/>
          <w:szCs w:val="36"/>
          <w:rtl/>
        </w:rPr>
        <w:t>الوضع هو ادعاء الهوهوي</w:t>
      </w:r>
      <w:r w:rsidR="00EC7EDF" w:rsidRPr="00FD211F">
        <w:rPr>
          <w:sz w:val="36"/>
          <w:szCs w:val="36"/>
          <w:rtl/>
        </w:rPr>
        <w:t xml:space="preserve">ة </w:t>
      </w:r>
      <w:r w:rsidRPr="00FD211F">
        <w:rPr>
          <w:sz w:val="36"/>
          <w:szCs w:val="36"/>
          <w:rtl/>
        </w:rPr>
        <w:t>بين اللفظ والمعنى</w:t>
      </w:r>
      <w:r w:rsidR="00603323" w:rsidRPr="00FD211F">
        <w:rPr>
          <w:sz w:val="36"/>
          <w:szCs w:val="36"/>
          <w:rtl/>
        </w:rPr>
        <w:t xml:space="preserve">، </w:t>
      </w:r>
      <w:r w:rsidR="00C023E0" w:rsidRPr="00FD211F">
        <w:rPr>
          <w:sz w:val="36"/>
          <w:szCs w:val="36"/>
          <w:rtl/>
        </w:rPr>
        <w:t>ف</w:t>
      </w:r>
      <w:r w:rsidRPr="00FD211F">
        <w:rPr>
          <w:sz w:val="36"/>
          <w:szCs w:val="36"/>
          <w:rtl/>
        </w:rPr>
        <w:t>يصبح اللفظ آل</w:t>
      </w:r>
      <w:r w:rsidR="00EC7EDF" w:rsidRPr="00FD211F">
        <w:rPr>
          <w:sz w:val="36"/>
          <w:szCs w:val="36"/>
          <w:rtl/>
        </w:rPr>
        <w:t xml:space="preserve">ة </w:t>
      </w:r>
      <w:r w:rsidRPr="00FD211F">
        <w:rPr>
          <w:sz w:val="36"/>
          <w:szCs w:val="36"/>
          <w:rtl/>
        </w:rPr>
        <w:t>اشار</w:t>
      </w:r>
      <w:r w:rsidR="00EC7EDF" w:rsidRPr="00FD211F">
        <w:rPr>
          <w:sz w:val="36"/>
          <w:szCs w:val="36"/>
          <w:rtl/>
        </w:rPr>
        <w:t xml:space="preserve">ة </w:t>
      </w:r>
      <w:r w:rsidRPr="00FD211F">
        <w:rPr>
          <w:sz w:val="36"/>
          <w:szCs w:val="36"/>
          <w:rtl/>
        </w:rPr>
        <w:t>الى المعنى</w:t>
      </w:r>
      <w:r w:rsidR="00EC7EDF" w:rsidRPr="00FD211F">
        <w:rPr>
          <w:sz w:val="36"/>
          <w:szCs w:val="36"/>
          <w:rtl/>
        </w:rPr>
        <w:t>.</w:t>
      </w:r>
    </w:p>
    <w:p w14:paraId="26317623" w14:textId="77777777" w:rsidR="00773EE6" w:rsidRPr="00FD211F" w:rsidRDefault="00773EE6" w:rsidP="009C58C8">
      <w:pPr>
        <w:ind w:left="0" w:firstLine="227"/>
        <w:jc w:val="both"/>
        <w:rPr>
          <w:sz w:val="36"/>
          <w:szCs w:val="36"/>
          <w:rtl/>
        </w:rPr>
      </w:pPr>
      <w:r w:rsidRPr="00FD211F">
        <w:rPr>
          <w:sz w:val="36"/>
          <w:szCs w:val="36"/>
          <w:rtl/>
        </w:rPr>
        <w:t>وقد اورد عليه بعد</w:t>
      </w:r>
      <w:r w:rsidR="00EC7EDF" w:rsidRPr="00FD211F">
        <w:rPr>
          <w:sz w:val="36"/>
          <w:szCs w:val="36"/>
          <w:rtl/>
        </w:rPr>
        <w:t xml:space="preserve">ة </w:t>
      </w:r>
      <w:r w:rsidR="00A27A59" w:rsidRPr="00FD211F">
        <w:rPr>
          <w:sz w:val="36"/>
          <w:szCs w:val="36"/>
          <w:rtl/>
        </w:rPr>
        <w:t>ايرادات</w:t>
      </w:r>
      <w:r w:rsidR="00EC7EDF" w:rsidRPr="00FD211F">
        <w:rPr>
          <w:sz w:val="36"/>
          <w:szCs w:val="36"/>
          <w:rtl/>
        </w:rPr>
        <w:t>:</w:t>
      </w:r>
      <w:r w:rsidRPr="00FD211F">
        <w:rPr>
          <w:sz w:val="36"/>
          <w:szCs w:val="36"/>
          <w:rtl/>
        </w:rPr>
        <w:t xml:space="preserve"> </w:t>
      </w:r>
    </w:p>
    <w:p w14:paraId="528DE5FE" w14:textId="77777777" w:rsidR="00773EE6" w:rsidRPr="00FD211F" w:rsidRDefault="00773EE6" w:rsidP="009C58C8">
      <w:pPr>
        <w:ind w:left="0" w:firstLine="227"/>
        <w:jc w:val="both"/>
        <w:rPr>
          <w:sz w:val="36"/>
          <w:szCs w:val="36"/>
          <w:rtl/>
        </w:rPr>
      </w:pPr>
      <w:r w:rsidRPr="00FD211F">
        <w:rPr>
          <w:sz w:val="36"/>
          <w:szCs w:val="36"/>
          <w:rtl/>
        </w:rPr>
        <w:t>1- ما ذكره السيد الخوئي</w:t>
      </w:r>
      <w:r w:rsidR="00A61BAE" w:rsidRPr="00FD211F">
        <w:rPr>
          <w:sz w:val="36"/>
          <w:szCs w:val="36"/>
          <w:rtl/>
        </w:rPr>
        <w:t xml:space="preserve"> </w:t>
      </w:r>
      <w:r w:rsidR="006912A9" w:rsidRPr="00FD211F">
        <w:rPr>
          <w:sz w:val="36"/>
          <w:szCs w:val="36"/>
          <w:rtl/>
        </w:rPr>
        <w:t>"قده"</w:t>
      </w:r>
      <w:r w:rsidR="00A61BAE" w:rsidRPr="00FD211F">
        <w:rPr>
          <w:sz w:val="36"/>
          <w:szCs w:val="36"/>
          <w:rtl/>
        </w:rPr>
        <w:t xml:space="preserve"> </w:t>
      </w:r>
      <w:r w:rsidRPr="00FD211F">
        <w:rPr>
          <w:sz w:val="36"/>
          <w:szCs w:val="36"/>
          <w:rtl/>
        </w:rPr>
        <w:t>من ان اعتبار وحد</w:t>
      </w:r>
      <w:r w:rsidR="00EC7EDF" w:rsidRPr="00FD211F">
        <w:rPr>
          <w:sz w:val="36"/>
          <w:szCs w:val="36"/>
          <w:rtl/>
        </w:rPr>
        <w:t xml:space="preserve">ة </w:t>
      </w:r>
      <w:r w:rsidRPr="00FD211F">
        <w:rPr>
          <w:sz w:val="36"/>
          <w:szCs w:val="36"/>
          <w:rtl/>
        </w:rPr>
        <w:t>اللفظ والمعنى لغو عرفا</w:t>
      </w:r>
      <w:r w:rsidR="00603323" w:rsidRPr="00FD211F">
        <w:rPr>
          <w:sz w:val="36"/>
          <w:szCs w:val="36"/>
          <w:rtl/>
        </w:rPr>
        <w:t xml:space="preserve">، </w:t>
      </w:r>
      <w:r w:rsidRPr="00FD211F">
        <w:rPr>
          <w:sz w:val="36"/>
          <w:szCs w:val="36"/>
          <w:rtl/>
        </w:rPr>
        <w:t>بعد كون الغرض هو كون اللفظ دالا والمعنى مدلولا</w:t>
      </w:r>
      <w:r w:rsidR="00603323" w:rsidRPr="00FD211F">
        <w:rPr>
          <w:sz w:val="36"/>
          <w:szCs w:val="36"/>
          <w:rtl/>
        </w:rPr>
        <w:t xml:space="preserve">، </w:t>
      </w:r>
      <w:r w:rsidRPr="00FD211F">
        <w:rPr>
          <w:sz w:val="36"/>
          <w:szCs w:val="36"/>
          <w:rtl/>
        </w:rPr>
        <w:t>وهذا يقتضي المغاير</w:t>
      </w:r>
      <w:r w:rsidR="00EC7EDF" w:rsidRPr="00FD211F">
        <w:rPr>
          <w:sz w:val="36"/>
          <w:szCs w:val="36"/>
          <w:rtl/>
        </w:rPr>
        <w:t xml:space="preserve">ة </w:t>
      </w:r>
      <w:r w:rsidRPr="00FD211F">
        <w:rPr>
          <w:sz w:val="36"/>
          <w:szCs w:val="36"/>
          <w:rtl/>
        </w:rPr>
        <w:t>بينهما</w:t>
      </w:r>
      <w:r w:rsidR="00603323" w:rsidRPr="00FD211F">
        <w:rPr>
          <w:sz w:val="36"/>
          <w:szCs w:val="36"/>
          <w:rtl/>
        </w:rPr>
        <w:t xml:space="preserve">، </w:t>
      </w:r>
      <w:r w:rsidRPr="00FD211F">
        <w:rPr>
          <w:sz w:val="36"/>
          <w:szCs w:val="36"/>
          <w:rtl/>
        </w:rPr>
        <w:t>مضافا الى ان التنزيل يكون بلحاظ الآثار</w:t>
      </w:r>
      <w:r w:rsidR="00603323" w:rsidRPr="00FD211F">
        <w:rPr>
          <w:sz w:val="36"/>
          <w:szCs w:val="36"/>
          <w:rtl/>
        </w:rPr>
        <w:t xml:space="preserve">، </w:t>
      </w:r>
      <w:r w:rsidRPr="00FD211F">
        <w:rPr>
          <w:sz w:val="36"/>
          <w:szCs w:val="36"/>
          <w:rtl/>
        </w:rPr>
        <w:t>وليس للمعنى أثر يترتب على اللفظ.</w:t>
      </w:r>
    </w:p>
    <w:p w14:paraId="28BD33D7" w14:textId="77777777" w:rsidR="00773EE6" w:rsidRPr="00FD211F" w:rsidRDefault="00773EE6" w:rsidP="009C58C8">
      <w:pPr>
        <w:ind w:left="0" w:firstLine="227"/>
        <w:jc w:val="both"/>
        <w:rPr>
          <w:sz w:val="36"/>
          <w:szCs w:val="36"/>
          <w:rtl/>
        </w:rPr>
      </w:pPr>
      <w:r w:rsidRPr="00FD211F">
        <w:rPr>
          <w:sz w:val="36"/>
          <w:szCs w:val="36"/>
          <w:rtl/>
        </w:rPr>
        <w:t>وفيه ان اعتبار وحد</w:t>
      </w:r>
      <w:r w:rsidR="00EC7EDF" w:rsidRPr="00FD211F">
        <w:rPr>
          <w:sz w:val="36"/>
          <w:szCs w:val="36"/>
          <w:rtl/>
        </w:rPr>
        <w:t xml:space="preserve">ة </w:t>
      </w:r>
      <w:r w:rsidRPr="00FD211F">
        <w:rPr>
          <w:sz w:val="36"/>
          <w:szCs w:val="36"/>
          <w:rtl/>
        </w:rPr>
        <w:t>اللفظ والمعنى من احد اسباب تحقق الدلال</w:t>
      </w:r>
      <w:r w:rsidR="00EC7EDF" w:rsidRPr="00FD211F">
        <w:rPr>
          <w:sz w:val="36"/>
          <w:szCs w:val="36"/>
          <w:rtl/>
        </w:rPr>
        <w:t xml:space="preserve">ة </w:t>
      </w:r>
      <w:r w:rsidRPr="00FD211F">
        <w:rPr>
          <w:sz w:val="36"/>
          <w:szCs w:val="36"/>
          <w:rtl/>
        </w:rPr>
        <w:t>فلالغوي</w:t>
      </w:r>
      <w:r w:rsidR="00EC7EDF" w:rsidRPr="00FD211F">
        <w:rPr>
          <w:sz w:val="36"/>
          <w:szCs w:val="36"/>
          <w:rtl/>
        </w:rPr>
        <w:t xml:space="preserve">ة </w:t>
      </w:r>
      <w:r w:rsidRPr="00FD211F">
        <w:rPr>
          <w:sz w:val="36"/>
          <w:szCs w:val="36"/>
          <w:rtl/>
        </w:rPr>
        <w:t>فيه</w:t>
      </w:r>
      <w:r w:rsidR="00603323" w:rsidRPr="00FD211F">
        <w:rPr>
          <w:sz w:val="36"/>
          <w:szCs w:val="36"/>
          <w:rtl/>
        </w:rPr>
        <w:t xml:space="preserve">، </w:t>
      </w:r>
      <w:r w:rsidRPr="00FD211F">
        <w:rPr>
          <w:sz w:val="36"/>
          <w:szCs w:val="36"/>
          <w:rtl/>
        </w:rPr>
        <w:t>وتنزيل اللفظ منزل</w:t>
      </w:r>
      <w:r w:rsidR="00EC7EDF" w:rsidRPr="00FD211F">
        <w:rPr>
          <w:sz w:val="36"/>
          <w:szCs w:val="36"/>
          <w:rtl/>
        </w:rPr>
        <w:t xml:space="preserve">ة </w:t>
      </w:r>
      <w:r w:rsidRPr="00FD211F">
        <w:rPr>
          <w:sz w:val="36"/>
          <w:szCs w:val="36"/>
          <w:rtl/>
        </w:rPr>
        <w:t>المعنى انما يكون بغرض تحقق اثر الانتقال الى الصور</w:t>
      </w:r>
      <w:r w:rsidR="00EC7EDF" w:rsidRPr="00FD211F">
        <w:rPr>
          <w:sz w:val="36"/>
          <w:szCs w:val="36"/>
          <w:rtl/>
        </w:rPr>
        <w:t xml:space="preserve">ة </w:t>
      </w:r>
      <w:r w:rsidRPr="00FD211F">
        <w:rPr>
          <w:sz w:val="36"/>
          <w:szCs w:val="36"/>
          <w:rtl/>
        </w:rPr>
        <w:t>المائي</w:t>
      </w:r>
      <w:r w:rsidR="00EC7EDF" w:rsidRPr="00FD211F">
        <w:rPr>
          <w:sz w:val="36"/>
          <w:szCs w:val="36"/>
          <w:rtl/>
        </w:rPr>
        <w:t xml:space="preserve">ة </w:t>
      </w:r>
      <w:r w:rsidRPr="00FD211F">
        <w:rPr>
          <w:sz w:val="36"/>
          <w:szCs w:val="36"/>
          <w:rtl/>
        </w:rPr>
        <w:t>مثلا من الاحساس بالماء في الاحساس بلفظ الماء.</w:t>
      </w:r>
    </w:p>
    <w:p w14:paraId="7D7A8E87" w14:textId="77777777" w:rsidR="000C5BBA" w:rsidRPr="00FD211F" w:rsidRDefault="00A27A59" w:rsidP="009C58C8">
      <w:pPr>
        <w:ind w:left="0" w:firstLine="227"/>
        <w:jc w:val="both"/>
        <w:rPr>
          <w:sz w:val="36"/>
          <w:szCs w:val="36"/>
          <w:rtl/>
        </w:rPr>
      </w:pPr>
      <w:r w:rsidRPr="00FD211F">
        <w:rPr>
          <w:sz w:val="36"/>
          <w:szCs w:val="36"/>
          <w:rtl/>
        </w:rPr>
        <w:t xml:space="preserve">2- ما ذكره في البحوث </w:t>
      </w:r>
      <w:r w:rsidR="00773EE6" w:rsidRPr="00FD211F">
        <w:rPr>
          <w:sz w:val="36"/>
          <w:szCs w:val="36"/>
          <w:rtl/>
        </w:rPr>
        <w:t>من انه ان اريد كون لفظ الماء مصداقا ادعائيا للماء فالاحساس بالفرد الحقيقي للماء قد لايوجب انتقال الذهن الى مفهوم الماء</w:t>
      </w:r>
      <w:r w:rsidR="00603323" w:rsidRPr="00FD211F">
        <w:rPr>
          <w:sz w:val="36"/>
          <w:szCs w:val="36"/>
          <w:rtl/>
        </w:rPr>
        <w:t xml:space="preserve">، </w:t>
      </w:r>
      <w:r w:rsidR="00773EE6" w:rsidRPr="00FD211F">
        <w:rPr>
          <w:sz w:val="36"/>
          <w:szCs w:val="36"/>
          <w:rtl/>
        </w:rPr>
        <w:t>-كما ان الاحساس بزيد لايوجب الانتقال الى مفهوم الانسان- فكيف بالاحساس بالفرد الادعائي للماء</w:t>
      </w:r>
      <w:r w:rsidR="00603323" w:rsidRPr="00FD211F">
        <w:rPr>
          <w:sz w:val="36"/>
          <w:szCs w:val="36"/>
          <w:rtl/>
        </w:rPr>
        <w:t xml:space="preserve">، </w:t>
      </w:r>
      <w:r w:rsidR="00773EE6" w:rsidRPr="00FD211F">
        <w:rPr>
          <w:sz w:val="36"/>
          <w:szCs w:val="36"/>
          <w:rtl/>
        </w:rPr>
        <w:t>فلابد ان يراد كون لفظ الماء متحدا ادعاء مع مفهوم الماء فيكون تصور لفظ الماء عين تصور مفهوم الماء ادعاء واعتبارا</w:t>
      </w:r>
      <w:r w:rsidR="00603323" w:rsidRPr="00FD211F">
        <w:rPr>
          <w:sz w:val="36"/>
          <w:szCs w:val="36"/>
          <w:rtl/>
        </w:rPr>
        <w:t xml:space="preserve">، </w:t>
      </w:r>
      <w:r w:rsidR="00773EE6" w:rsidRPr="00FD211F">
        <w:rPr>
          <w:sz w:val="36"/>
          <w:szCs w:val="36"/>
          <w:rtl/>
        </w:rPr>
        <w:t>لكنه لايفسر لنا نكت</w:t>
      </w:r>
      <w:r w:rsidR="00EC7EDF" w:rsidRPr="00FD211F">
        <w:rPr>
          <w:sz w:val="36"/>
          <w:szCs w:val="36"/>
          <w:rtl/>
        </w:rPr>
        <w:t xml:space="preserve">ة </w:t>
      </w:r>
      <w:r w:rsidR="00773EE6" w:rsidRPr="00FD211F">
        <w:rPr>
          <w:sz w:val="36"/>
          <w:szCs w:val="36"/>
          <w:rtl/>
        </w:rPr>
        <w:t>سببي</w:t>
      </w:r>
      <w:r w:rsidR="00EC7EDF" w:rsidRPr="00FD211F">
        <w:rPr>
          <w:sz w:val="36"/>
          <w:szCs w:val="36"/>
          <w:rtl/>
        </w:rPr>
        <w:t xml:space="preserve">ة </w:t>
      </w:r>
      <w:r w:rsidR="00773EE6" w:rsidRPr="00FD211F">
        <w:rPr>
          <w:sz w:val="36"/>
          <w:szCs w:val="36"/>
          <w:rtl/>
        </w:rPr>
        <w:t>تصور لفظ الماء لتصور مفهوم الماء حقيق</w:t>
      </w:r>
      <w:r w:rsidR="00EC7EDF" w:rsidRPr="00FD211F">
        <w:rPr>
          <w:sz w:val="36"/>
          <w:szCs w:val="36"/>
          <w:rtl/>
        </w:rPr>
        <w:t>ة</w:t>
      </w:r>
      <w:r w:rsidR="00A61BAE" w:rsidRPr="00FD211F">
        <w:rPr>
          <w:sz w:val="36"/>
          <w:szCs w:val="36"/>
          <w:rtl/>
        </w:rPr>
        <w:t>.</w:t>
      </w:r>
      <w:r w:rsidR="009C58C8" w:rsidRPr="00FD211F">
        <w:rPr>
          <w:rStyle w:val="a6"/>
          <w:sz w:val="36"/>
          <w:szCs w:val="36"/>
          <w:rtl/>
        </w:rPr>
        <w:t>(</w:t>
      </w:r>
      <w:r w:rsidR="009C58C8" w:rsidRPr="00FD211F">
        <w:rPr>
          <w:rStyle w:val="a6"/>
          <w:sz w:val="36"/>
          <w:szCs w:val="36"/>
          <w:rtl/>
        </w:rPr>
        <w:footnoteReference w:id="106"/>
      </w:r>
      <w:r w:rsidR="009C58C8" w:rsidRPr="00FD211F">
        <w:rPr>
          <w:rStyle w:val="a6"/>
          <w:sz w:val="36"/>
          <w:szCs w:val="36"/>
          <w:rtl/>
        </w:rPr>
        <w:t>)</w:t>
      </w:r>
    </w:p>
    <w:p w14:paraId="61BABF8F" w14:textId="77777777" w:rsidR="009C55C7" w:rsidRPr="00FD211F" w:rsidRDefault="009C55C7" w:rsidP="009C58C8">
      <w:pPr>
        <w:ind w:left="0" w:firstLine="227"/>
        <w:jc w:val="both"/>
        <w:rPr>
          <w:sz w:val="36"/>
          <w:szCs w:val="36"/>
          <w:rtl/>
        </w:rPr>
      </w:pPr>
      <w:r w:rsidRPr="00FD211F">
        <w:rPr>
          <w:sz w:val="36"/>
          <w:szCs w:val="36"/>
          <w:rtl/>
        </w:rPr>
        <w:t>وفيه انه لامانع ان يكون ادعاء الهوهوي</w:t>
      </w:r>
      <w:r w:rsidR="00EC7EDF" w:rsidRPr="00FD211F">
        <w:rPr>
          <w:sz w:val="36"/>
          <w:szCs w:val="36"/>
          <w:rtl/>
        </w:rPr>
        <w:t xml:space="preserve">ة </w:t>
      </w:r>
      <w:r w:rsidRPr="00FD211F">
        <w:rPr>
          <w:sz w:val="36"/>
          <w:szCs w:val="36"/>
          <w:rtl/>
        </w:rPr>
        <w:t>بين شيئين موجبا لتشكل ملازم</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بينهما في حق العالم بالوضع</w:t>
      </w:r>
      <w:r w:rsidR="00603323" w:rsidRPr="00FD211F">
        <w:rPr>
          <w:sz w:val="36"/>
          <w:szCs w:val="36"/>
          <w:rtl/>
        </w:rPr>
        <w:t xml:space="preserve">، </w:t>
      </w:r>
      <w:r w:rsidRPr="00FD211F">
        <w:rPr>
          <w:sz w:val="36"/>
          <w:szCs w:val="36"/>
          <w:rtl/>
        </w:rPr>
        <w:t>فيوجب تصور لفظ الماء تصور مفهوم الماء حقيق</w:t>
      </w:r>
      <w:r w:rsidR="00EC7EDF" w:rsidRPr="00FD211F">
        <w:rPr>
          <w:sz w:val="36"/>
          <w:szCs w:val="36"/>
          <w:rtl/>
        </w:rPr>
        <w:t>ة</w:t>
      </w:r>
      <w:r w:rsidR="00A61BAE" w:rsidRPr="00FD211F">
        <w:rPr>
          <w:sz w:val="36"/>
          <w:szCs w:val="36"/>
          <w:rtl/>
        </w:rPr>
        <w:t>.</w:t>
      </w:r>
    </w:p>
    <w:p w14:paraId="5453CE27" w14:textId="77777777" w:rsidR="00773EE6" w:rsidRPr="00FD211F" w:rsidRDefault="00773EE6" w:rsidP="009C58C8">
      <w:pPr>
        <w:ind w:left="0" w:firstLine="227"/>
        <w:jc w:val="both"/>
        <w:rPr>
          <w:sz w:val="36"/>
          <w:szCs w:val="36"/>
          <w:rtl/>
        </w:rPr>
      </w:pPr>
      <w:r w:rsidRPr="00FD211F">
        <w:rPr>
          <w:sz w:val="36"/>
          <w:szCs w:val="36"/>
          <w:rtl/>
        </w:rPr>
        <w:t xml:space="preserve">3- ما هو الصحيح من ان ما ذكره </w:t>
      </w:r>
      <w:r w:rsidR="007538B2" w:rsidRPr="00FD211F">
        <w:rPr>
          <w:sz w:val="36"/>
          <w:szCs w:val="36"/>
          <w:rtl/>
        </w:rPr>
        <w:t>المحقق الايرواني "قده"</w:t>
      </w:r>
      <w:r w:rsidR="006A339B" w:rsidRPr="00FD211F">
        <w:rPr>
          <w:sz w:val="36"/>
          <w:szCs w:val="36"/>
          <w:rtl/>
        </w:rPr>
        <w:t>مبتن على دق</w:t>
      </w:r>
      <w:r w:rsidR="00EC7EDF" w:rsidRPr="00FD211F">
        <w:rPr>
          <w:sz w:val="36"/>
          <w:szCs w:val="36"/>
          <w:rtl/>
        </w:rPr>
        <w:t xml:space="preserve">ة </w:t>
      </w:r>
      <w:r w:rsidR="006A339B" w:rsidRPr="00FD211F">
        <w:rPr>
          <w:sz w:val="36"/>
          <w:szCs w:val="36"/>
          <w:rtl/>
        </w:rPr>
        <w:t>خارج</w:t>
      </w:r>
      <w:r w:rsidR="00EC7EDF" w:rsidRPr="00FD211F">
        <w:rPr>
          <w:sz w:val="36"/>
          <w:szCs w:val="36"/>
          <w:rtl/>
        </w:rPr>
        <w:t xml:space="preserve">ة </w:t>
      </w:r>
      <w:r w:rsidR="006A339B" w:rsidRPr="00FD211F">
        <w:rPr>
          <w:sz w:val="36"/>
          <w:szCs w:val="36"/>
          <w:rtl/>
        </w:rPr>
        <w:t xml:space="preserve">عن مرتكز </w:t>
      </w:r>
      <w:r w:rsidRPr="00FD211F">
        <w:rPr>
          <w:sz w:val="36"/>
          <w:szCs w:val="36"/>
          <w:rtl/>
        </w:rPr>
        <w:t>عرف الواضعين وفيهم الصبيان والمجانين</w:t>
      </w:r>
      <w:r w:rsidR="00603323" w:rsidRPr="00FD211F">
        <w:rPr>
          <w:sz w:val="36"/>
          <w:szCs w:val="36"/>
          <w:rtl/>
        </w:rPr>
        <w:t xml:space="preserve">، </w:t>
      </w:r>
      <w:r w:rsidRPr="00FD211F">
        <w:rPr>
          <w:sz w:val="36"/>
          <w:szCs w:val="36"/>
          <w:rtl/>
        </w:rPr>
        <w:t>وان شئت فلاحظ العلامات او الافعال</w:t>
      </w:r>
      <w:r w:rsidR="002C0341" w:rsidRPr="00FD211F">
        <w:rPr>
          <w:sz w:val="36"/>
          <w:szCs w:val="36"/>
          <w:rtl/>
        </w:rPr>
        <w:t xml:space="preserve"> التي وضعت للدلال</w:t>
      </w:r>
      <w:r w:rsidR="00EC7EDF" w:rsidRPr="00FD211F">
        <w:rPr>
          <w:sz w:val="36"/>
          <w:szCs w:val="36"/>
          <w:rtl/>
        </w:rPr>
        <w:t xml:space="preserve">ة </w:t>
      </w:r>
      <w:r w:rsidR="002C0341" w:rsidRPr="00FD211F">
        <w:rPr>
          <w:sz w:val="36"/>
          <w:szCs w:val="36"/>
          <w:rtl/>
        </w:rPr>
        <w:t>على معنى</w:t>
      </w:r>
      <w:r w:rsidR="00603323" w:rsidRPr="00FD211F">
        <w:rPr>
          <w:sz w:val="36"/>
          <w:szCs w:val="36"/>
          <w:rtl/>
        </w:rPr>
        <w:t xml:space="preserve">، </w:t>
      </w:r>
      <w:r w:rsidRPr="00FD211F">
        <w:rPr>
          <w:sz w:val="36"/>
          <w:szCs w:val="36"/>
          <w:rtl/>
        </w:rPr>
        <w:t>كما يقول الامير اذا وضعت العمام</w:t>
      </w:r>
      <w:r w:rsidR="00EC7EDF" w:rsidRPr="00FD211F">
        <w:rPr>
          <w:sz w:val="36"/>
          <w:szCs w:val="36"/>
          <w:rtl/>
        </w:rPr>
        <w:t xml:space="preserve">ة </w:t>
      </w:r>
      <w:r w:rsidRPr="00FD211F">
        <w:rPr>
          <w:sz w:val="36"/>
          <w:szCs w:val="36"/>
          <w:rtl/>
        </w:rPr>
        <w:t>عن رأسي فمعنى ذلك ان تقوموا من المجلس</w:t>
      </w:r>
      <w:r w:rsidR="00603323" w:rsidRPr="00FD211F">
        <w:rPr>
          <w:sz w:val="36"/>
          <w:szCs w:val="36"/>
          <w:rtl/>
        </w:rPr>
        <w:t xml:space="preserve">، </w:t>
      </w:r>
      <w:r w:rsidRPr="00FD211F">
        <w:rPr>
          <w:sz w:val="36"/>
          <w:szCs w:val="36"/>
          <w:rtl/>
        </w:rPr>
        <w:t>فهل يعتبر الهوهوي</w:t>
      </w:r>
      <w:r w:rsidR="00EC7EDF" w:rsidRPr="00FD211F">
        <w:rPr>
          <w:sz w:val="36"/>
          <w:szCs w:val="36"/>
          <w:rtl/>
        </w:rPr>
        <w:t xml:space="preserve">ة </w:t>
      </w:r>
      <w:r w:rsidRPr="00FD211F">
        <w:rPr>
          <w:sz w:val="36"/>
          <w:szCs w:val="36"/>
          <w:rtl/>
        </w:rPr>
        <w:t>بين وضعه العمام</w:t>
      </w:r>
      <w:r w:rsidR="00EC7EDF" w:rsidRPr="00FD211F">
        <w:rPr>
          <w:sz w:val="36"/>
          <w:szCs w:val="36"/>
          <w:rtl/>
        </w:rPr>
        <w:t xml:space="preserve">ة </w:t>
      </w:r>
      <w:r w:rsidRPr="00FD211F">
        <w:rPr>
          <w:sz w:val="36"/>
          <w:szCs w:val="36"/>
          <w:rtl/>
        </w:rPr>
        <w:t>عن رأسه وبين قيام الآخرين عن المجلس؛ ودعوى الفرق بين وضع اللفظ على المعنى ووضع العلامات والافعال خلاف الوجدان عرفا.</w:t>
      </w:r>
    </w:p>
    <w:p w14:paraId="2E189C04" w14:textId="77777777" w:rsidR="000901B2" w:rsidRPr="00FD211F" w:rsidRDefault="003D3153" w:rsidP="009C58C8">
      <w:pPr>
        <w:ind w:left="0" w:firstLine="227"/>
        <w:jc w:val="both"/>
        <w:rPr>
          <w:sz w:val="36"/>
          <w:szCs w:val="36"/>
          <w:rtl/>
        </w:rPr>
      </w:pPr>
      <w:bookmarkStart w:id="108" w:name="درس010دقيقه18"/>
      <w:bookmarkEnd w:id="108"/>
      <w:r w:rsidRPr="00FD211F">
        <w:rPr>
          <w:b/>
          <w:bCs/>
          <w:sz w:val="36"/>
          <w:szCs w:val="36"/>
          <w:rtl/>
        </w:rPr>
        <w:t>الصيغ</w:t>
      </w:r>
      <w:r w:rsidR="00EC7EDF" w:rsidRPr="00FD211F">
        <w:rPr>
          <w:b/>
          <w:bCs/>
          <w:sz w:val="36"/>
          <w:szCs w:val="36"/>
          <w:rtl/>
        </w:rPr>
        <w:t xml:space="preserve">ة </w:t>
      </w: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Pr="00FD211F">
        <w:rPr>
          <w:sz w:val="36"/>
          <w:szCs w:val="36"/>
          <w:rtl/>
        </w:rPr>
        <w:t xml:space="preserve"> ما اختار</w:t>
      </w:r>
      <w:r w:rsidR="00CB4E5C" w:rsidRPr="00FD211F">
        <w:rPr>
          <w:sz w:val="36"/>
          <w:szCs w:val="36"/>
          <w:rtl/>
        </w:rPr>
        <w:t>ه جماع</w:t>
      </w:r>
      <w:r w:rsidR="00EC7EDF" w:rsidRPr="00FD211F">
        <w:rPr>
          <w:sz w:val="36"/>
          <w:szCs w:val="36"/>
          <w:rtl/>
        </w:rPr>
        <w:t xml:space="preserve">ة </w:t>
      </w:r>
      <w:r w:rsidR="00B35DF1" w:rsidRPr="00FD211F">
        <w:rPr>
          <w:sz w:val="36"/>
          <w:szCs w:val="36"/>
          <w:rtl/>
        </w:rPr>
        <w:t>-</w:t>
      </w:r>
      <w:r w:rsidR="00CB4E5C" w:rsidRPr="00FD211F">
        <w:rPr>
          <w:sz w:val="36"/>
          <w:szCs w:val="36"/>
          <w:rtl/>
        </w:rPr>
        <w:t>منهم</w:t>
      </w:r>
      <w:r w:rsidRPr="00FD211F">
        <w:rPr>
          <w:sz w:val="36"/>
          <w:szCs w:val="36"/>
          <w:rtl/>
        </w:rPr>
        <w:t xml:space="preserve"> شيخنا الاستاذ</w:t>
      </w:r>
      <w:r w:rsidR="007A4A0D" w:rsidRPr="00FD211F">
        <w:rPr>
          <w:sz w:val="36"/>
          <w:szCs w:val="36"/>
          <w:rtl/>
        </w:rPr>
        <w:t xml:space="preserve"> </w:t>
      </w:r>
      <w:r w:rsidR="006912A9" w:rsidRPr="00FD211F">
        <w:rPr>
          <w:sz w:val="36"/>
          <w:szCs w:val="36"/>
          <w:rtl/>
        </w:rPr>
        <w:t>"دام‌ظله"</w:t>
      </w:r>
      <w:r w:rsidR="009C58C8" w:rsidRPr="00FD211F">
        <w:rPr>
          <w:rStyle w:val="a6"/>
          <w:sz w:val="36"/>
          <w:szCs w:val="36"/>
          <w:rtl/>
        </w:rPr>
        <w:t>(</w:t>
      </w:r>
      <w:r w:rsidR="009C58C8" w:rsidRPr="00FD211F">
        <w:rPr>
          <w:rStyle w:val="a6"/>
          <w:sz w:val="36"/>
          <w:szCs w:val="36"/>
          <w:rtl/>
        </w:rPr>
        <w:footnoteReference w:id="107"/>
      </w:r>
      <w:r w:rsidR="009C58C8" w:rsidRPr="00FD211F">
        <w:rPr>
          <w:rStyle w:val="a6"/>
          <w:sz w:val="36"/>
          <w:szCs w:val="36"/>
          <w:rtl/>
        </w:rPr>
        <w:t>)</w:t>
      </w:r>
      <w:r w:rsidR="00B35DF1" w:rsidRPr="00FD211F">
        <w:rPr>
          <w:sz w:val="36"/>
          <w:szCs w:val="36"/>
          <w:rtl/>
        </w:rPr>
        <w:t>-</w:t>
      </w:r>
      <w:r w:rsidR="007A4A0D" w:rsidRPr="00FD211F">
        <w:rPr>
          <w:sz w:val="36"/>
          <w:szCs w:val="36"/>
          <w:rtl/>
        </w:rPr>
        <w:t xml:space="preserve"> </w:t>
      </w:r>
      <w:r w:rsidRPr="00FD211F">
        <w:rPr>
          <w:sz w:val="36"/>
          <w:szCs w:val="36"/>
          <w:rtl/>
        </w:rPr>
        <w:t>من ان الوضع هو اعتبار اللفظ علام</w:t>
      </w:r>
      <w:r w:rsidR="00EC7EDF" w:rsidRPr="00FD211F">
        <w:rPr>
          <w:sz w:val="36"/>
          <w:szCs w:val="36"/>
          <w:rtl/>
        </w:rPr>
        <w:t xml:space="preserve">ة </w:t>
      </w:r>
      <w:r w:rsidRPr="00FD211F">
        <w:rPr>
          <w:sz w:val="36"/>
          <w:szCs w:val="36"/>
          <w:rtl/>
        </w:rPr>
        <w:t>للمعنى</w:t>
      </w:r>
      <w:r w:rsidR="00603323" w:rsidRPr="00FD211F">
        <w:rPr>
          <w:sz w:val="36"/>
          <w:szCs w:val="36"/>
          <w:rtl/>
        </w:rPr>
        <w:t xml:space="preserve">، </w:t>
      </w:r>
      <w:r w:rsidRPr="00FD211F">
        <w:rPr>
          <w:sz w:val="36"/>
          <w:szCs w:val="36"/>
          <w:rtl/>
        </w:rPr>
        <w:t>فحينما يسمي الوالد ولده باسم معين</w:t>
      </w:r>
      <w:r w:rsidR="00603323" w:rsidRPr="00FD211F">
        <w:rPr>
          <w:sz w:val="36"/>
          <w:szCs w:val="36"/>
          <w:rtl/>
        </w:rPr>
        <w:t xml:space="preserve">، </w:t>
      </w:r>
      <w:r w:rsidRPr="00FD211F">
        <w:rPr>
          <w:sz w:val="36"/>
          <w:szCs w:val="36"/>
          <w:rtl/>
        </w:rPr>
        <w:t>فيقصد من ذلك ان يجعل هذا اللفظ علام</w:t>
      </w:r>
      <w:r w:rsidR="00EC7EDF" w:rsidRPr="00FD211F">
        <w:rPr>
          <w:sz w:val="36"/>
          <w:szCs w:val="36"/>
          <w:rtl/>
        </w:rPr>
        <w:t xml:space="preserve">ة </w:t>
      </w:r>
      <w:r w:rsidRPr="00FD211F">
        <w:rPr>
          <w:sz w:val="36"/>
          <w:szCs w:val="36"/>
          <w:rtl/>
        </w:rPr>
        <w:t>عليه بغرض ان يكون تصور هذا اللفظ موجبا لتصور هذا ال</w:t>
      </w:r>
      <w:r w:rsidR="00E6783A" w:rsidRPr="00FD211F">
        <w:rPr>
          <w:sz w:val="36"/>
          <w:szCs w:val="36"/>
          <w:rtl/>
        </w:rPr>
        <w:t>و</w:t>
      </w:r>
      <w:r w:rsidRPr="00FD211F">
        <w:rPr>
          <w:sz w:val="36"/>
          <w:szCs w:val="36"/>
          <w:rtl/>
        </w:rPr>
        <w:t>لد</w:t>
      </w:r>
      <w:r w:rsidR="00603323" w:rsidRPr="00FD211F">
        <w:rPr>
          <w:sz w:val="36"/>
          <w:szCs w:val="36"/>
          <w:rtl/>
        </w:rPr>
        <w:t xml:space="preserve">، </w:t>
      </w:r>
      <w:r w:rsidRPr="00FD211F">
        <w:rPr>
          <w:sz w:val="36"/>
          <w:szCs w:val="36"/>
          <w:rtl/>
        </w:rPr>
        <w:t>ويظهر ذلك بملاحظ</w:t>
      </w:r>
      <w:r w:rsidR="00EC7EDF" w:rsidRPr="00FD211F">
        <w:rPr>
          <w:sz w:val="36"/>
          <w:szCs w:val="36"/>
          <w:rtl/>
        </w:rPr>
        <w:t xml:space="preserve">ة </w:t>
      </w:r>
      <w:r w:rsidRPr="00FD211F">
        <w:rPr>
          <w:sz w:val="36"/>
          <w:szCs w:val="36"/>
          <w:rtl/>
        </w:rPr>
        <w:t>وضع فعل خاص للدلال</w:t>
      </w:r>
      <w:r w:rsidR="00EC7EDF" w:rsidRPr="00FD211F">
        <w:rPr>
          <w:sz w:val="36"/>
          <w:szCs w:val="36"/>
          <w:rtl/>
        </w:rPr>
        <w:t xml:space="preserve">ة </w:t>
      </w:r>
      <w:r w:rsidRPr="00FD211F">
        <w:rPr>
          <w:sz w:val="36"/>
          <w:szCs w:val="36"/>
          <w:rtl/>
        </w:rPr>
        <w:t>ع</w:t>
      </w:r>
      <w:r w:rsidR="00CB4E5C" w:rsidRPr="00FD211F">
        <w:rPr>
          <w:sz w:val="36"/>
          <w:szCs w:val="36"/>
          <w:rtl/>
        </w:rPr>
        <w:t>ل</w:t>
      </w:r>
      <w:r w:rsidRPr="00FD211F">
        <w:rPr>
          <w:sz w:val="36"/>
          <w:szCs w:val="36"/>
          <w:rtl/>
        </w:rPr>
        <w:t>ى معن</w:t>
      </w:r>
      <w:r w:rsidR="00CB4E5C" w:rsidRPr="00FD211F">
        <w:rPr>
          <w:sz w:val="36"/>
          <w:szCs w:val="36"/>
          <w:rtl/>
        </w:rPr>
        <w:t>ى معين</w:t>
      </w:r>
      <w:r w:rsidRPr="00FD211F">
        <w:rPr>
          <w:sz w:val="36"/>
          <w:szCs w:val="36"/>
          <w:rtl/>
        </w:rPr>
        <w:t xml:space="preserve"> ك</w:t>
      </w:r>
      <w:r w:rsidR="00CB4E5C" w:rsidRPr="00FD211F">
        <w:rPr>
          <w:sz w:val="36"/>
          <w:szCs w:val="36"/>
          <w:rtl/>
        </w:rPr>
        <w:t>دقّ</w:t>
      </w:r>
      <w:r w:rsidRPr="00FD211F">
        <w:rPr>
          <w:sz w:val="36"/>
          <w:szCs w:val="36"/>
          <w:rtl/>
        </w:rPr>
        <w:t xml:space="preserve"> الجرس للدلال</w:t>
      </w:r>
      <w:r w:rsidR="00EC7EDF" w:rsidRPr="00FD211F">
        <w:rPr>
          <w:sz w:val="36"/>
          <w:szCs w:val="36"/>
          <w:rtl/>
        </w:rPr>
        <w:t xml:space="preserve">ة </w:t>
      </w:r>
      <w:r w:rsidRPr="00FD211F">
        <w:rPr>
          <w:sz w:val="36"/>
          <w:szCs w:val="36"/>
          <w:rtl/>
        </w:rPr>
        <w:t xml:space="preserve">على </w:t>
      </w:r>
      <w:r w:rsidR="00CB4E5C" w:rsidRPr="00FD211F">
        <w:rPr>
          <w:sz w:val="36"/>
          <w:szCs w:val="36"/>
          <w:rtl/>
        </w:rPr>
        <w:t>تعطيل المدرس</w:t>
      </w:r>
      <w:r w:rsidR="00EC7EDF" w:rsidRPr="00FD211F">
        <w:rPr>
          <w:sz w:val="36"/>
          <w:szCs w:val="36"/>
          <w:rtl/>
        </w:rPr>
        <w:t>ة</w:t>
      </w:r>
      <w:r w:rsidR="00603323" w:rsidRPr="00FD211F">
        <w:rPr>
          <w:sz w:val="36"/>
          <w:szCs w:val="36"/>
          <w:rtl/>
        </w:rPr>
        <w:t xml:space="preserve">، </w:t>
      </w:r>
      <w:r w:rsidR="0082380B" w:rsidRPr="00FD211F">
        <w:rPr>
          <w:sz w:val="36"/>
          <w:szCs w:val="36"/>
          <w:rtl/>
        </w:rPr>
        <w:t>او وضع الأمير رفع عمامته دليلا</w:t>
      </w:r>
      <w:r w:rsidRPr="00FD211F">
        <w:rPr>
          <w:sz w:val="36"/>
          <w:szCs w:val="36"/>
          <w:rtl/>
        </w:rPr>
        <w:t xml:space="preserve"> على لزوم قيام الجالسين</w:t>
      </w:r>
      <w:r w:rsidR="00603323" w:rsidRPr="00FD211F">
        <w:rPr>
          <w:sz w:val="36"/>
          <w:szCs w:val="36"/>
          <w:rtl/>
        </w:rPr>
        <w:t xml:space="preserve">، </w:t>
      </w:r>
      <w:r w:rsidR="001547CF" w:rsidRPr="00FD211F">
        <w:rPr>
          <w:sz w:val="36"/>
          <w:szCs w:val="36"/>
          <w:rtl/>
        </w:rPr>
        <w:t xml:space="preserve">حيث ان </w:t>
      </w:r>
      <w:r w:rsidR="00826602" w:rsidRPr="00FD211F">
        <w:rPr>
          <w:sz w:val="36"/>
          <w:szCs w:val="36"/>
          <w:rtl/>
        </w:rPr>
        <w:t>ال</w:t>
      </w:r>
      <w:r w:rsidR="001547CF" w:rsidRPr="00FD211F">
        <w:rPr>
          <w:sz w:val="36"/>
          <w:szCs w:val="36"/>
          <w:rtl/>
        </w:rPr>
        <w:t>ظاهر عرفا جعل هذا الفعل علام</w:t>
      </w:r>
      <w:r w:rsidR="00EC7EDF" w:rsidRPr="00FD211F">
        <w:rPr>
          <w:sz w:val="36"/>
          <w:szCs w:val="36"/>
          <w:rtl/>
        </w:rPr>
        <w:t xml:space="preserve">ة </w:t>
      </w:r>
      <w:r w:rsidR="001547CF" w:rsidRPr="00FD211F">
        <w:rPr>
          <w:sz w:val="36"/>
          <w:szCs w:val="36"/>
          <w:rtl/>
        </w:rPr>
        <w:t xml:space="preserve">على </w:t>
      </w:r>
      <w:r w:rsidR="00826602" w:rsidRPr="00FD211F">
        <w:rPr>
          <w:sz w:val="36"/>
          <w:szCs w:val="36"/>
          <w:rtl/>
        </w:rPr>
        <w:t>معناه</w:t>
      </w:r>
      <w:r w:rsidR="00603323" w:rsidRPr="00FD211F">
        <w:rPr>
          <w:sz w:val="36"/>
          <w:szCs w:val="36"/>
          <w:rtl/>
        </w:rPr>
        <w:t xml:space="preserve">، </w:t>
      </w:r>
      <w:r w:rsidR="006A339B" w:rsidRPr="00FD211F">
        <w:rPr>
          <w:sz w:val="36"/>
          <w:szCs w:val="36"/>
          <w:rtl/>
        </w:rPr>
        <w:t>وهذا هو الرأي الصحيح</w:t>
      </w:r>
      <w:r w:rsidR="009C55C7" w:rsidRPr="00FD211F">
        <w:rPr>
          <w:sz w:val="36"/>
          <w:szCs w:val="36"/>
          <w:rtl/>
        </w:rPr>
        <w:t xml:space="preserve"> في تفسير الوضع التعييني</w:t>
      </w:r>
      <w:r w:rsidR="00826602" w:rsidRPr="00FD211F">
        <w:rPr>
          <w:sz w:val="36"/>
          <w:szCs w:val="36"/>
          <w:rtl/>
        </w:rPr>
        <w:t xml:space="preserve"> كما</w:t>
      </w:r>
      <w:r w:rsidR="00966831" w:rsidRPr="00FD211F">
        <w:rPr>
          <w:sz w:val="36"/>
          <w:szCs w:val="36"/>
          <w:rtl/>
        </w:rPr>
        <w:t xml:space="preserve"> سيأتي توضيح</w:t>
      </w:r>
      <w:r w:rsidR="00826602" w:rsidRPr="00FD211F">
        <w:rPr>
          <w:sz w:val="36"/>
          <w:szCs w:val="36"/>
          <w:rtl/>
        </w:rPr>
        <w:t>ه</w:t>
      </w:r>
      <w:r w:rsidR="00966831" w:rsidRPr="00FD211F">
        <w:rPr>
          <w:sz w:val="36"/>
          <w:szCs w:val="36"/>
          <w:rtl/>
        </w:rPr>
        <w:t xml:space="preserve"> قريبا.</w:t>
      </w:r>
    </w:p>
    <w:p w14:paraId="012603DF" w14:textId="77777777" w:rsidR="00E86D6C" w:rsidRPr="00FD211F" w:rsidRDefault="00030878" w:rsidP="009C58C8">
      <w:pPr>
        <w:ind w:left="0" w:firstLine="227"/>
        <w:jc w:val="both"/>
        <w:rPr>
          <w:sz w:val="36"/>
          <w:szCs w:val="36"/>
          <w:rtl/>
        </w:rPr>
      </w:pPr>
      <w:r w:rsidRPr="00FD211F">
        <w:rPr>
          <w:b/>
          <w:bCs/>
          <w:sz w:val="36"/>
          <w:szCs w:val="36"/>
          <w:rtl/>
        </w:rPr>
        <w:t>الصيغ</w:t>
      </w:r>
      <w:r w:rsidR="00EC7EDF" w:rsidRPr="00FD211F">
        <w:rPr>
          <w:b/>
          <w:bCs/>
          <w:sz w:val="36"/>
          <w:szCs w:val="36"/>
          <w:rtl/>
        </w:rPr>
        <w:t xml:space="preserve">ة </w:t>
      </w:r>
      <w:r w:rsidRPr="00FD211F">
        <w:rPr>
          <w:b/>
          <w:bCs/>
          <w:sz w:val="36"/>
          <w:szCs w:val="36"/>
          <w:rtl/>
        </w:rPr>
        <w:t>الرابع</w:t>
      </w:r>
      <w:r w:rsidR="00EC7EDF" w:rsidRPr="00FD211F">
        <w:rPr>
          <w:b/>
          <w:bCs/>
          <w:sz w:val="36"/>
          <w:szCs w:val="36"/>
          <w:rtl/>
        </w:rPr>
        <w:t>ة</w:t>
      </w:r>
      <w:r w:rsidR="00057D31" w:rsidRPr="00FD211F">
        <w:rPr>
          <w:b/>
          <w:bCs/>
          <w:sz w:val="36"/>
          <w:szCs w:val="36"/>
          <w:rtl/>
        </w:rPr>
        <w:t>:</w:t>
      </w:r>
      <w:r w:rsidRPr="00FD211F">
        <w:rPr>
          <w:sz w:val="36"/>
          <w:szCs w:val="36"/>
          <w:rtl/>
        </w:rPr>
        <w:t xml:space="preserve"> ما قد يقال من ان الوضع هو اع</w:t>
      </w:r>
      <w:r w:rsidR="00853D9B" w:rsidRPr="00FD211F">
        <w:rPr>
          <w:sz w:val="36"/>
          <w:szCs w:val="36"/>
          <w:rtl/>
        </w:rPr>
        <w:t>تبار الملازم</w:t>
      </w:r>
      <w:r w:rsidR="00EC7EDF" w:rsidRPr="00FD211F">
        <w:rPr>
          <w:sz w:val="36"/>
          <w:szCs w:val="36"/>
          <w:rtl/>
        </w:rPr>
        <w:t xml:space="preserve">ة </w:t>
      </w:r>
      <w:r w:rsidR="00853D9B" w:rsidRPr="00FD211F">
        <w:rPr>
          <w:sz w:val="36"/>
          <w:szCs w:val="36"/>
          <w:rtl/>
        </w:rPr>
        <w:t>بين اللفظ والمعنى</w:t>
      </w:r>
      <w:r w:rsidR="00603323" w:rsidRPr="00FD211F">
        <w:rPr>
          <w:sz w:val="36"/>
          <w:szCs w:val="36"/>
          <w:rtl/>
        </w:rPr>
        <w:t xml:space="preserve">، </w:t>
      </w:r>
      <w:r w:rsidR="00E86D6C" w:rsidRPr="00FD211F">
        <w:rPr>
          <w:sz w:val="36"/>
          <w:szCs w:val="36"/>
          <w:rtl/>
        </w:rPr>
        <w:t>ولايخفى ان ظاهر الملازم</w:t>
      </w:r>
      <w:r w:rsidR="00EC7EDF" w:rsidRPr="00FD211F">
        <w:rPr>
          <w:sz w:val="36"/>
          <w:szCs w:val="36"/>
          <w:rtl/>
        </w:rPr>
        <w:t xml:space="preserve">ة </w:t>
      </w:r>
      <w:r w:rsidR="00E86D6C" w:rsidRPr="00FD211F">
        <w:rPr>
          <w:sz w:val="36"/>
          <w:szCs w:val="36"/>
          <w:rtl/>
        </w:rPr>
        <w:t>هو كون الملازم</w:t>
      </w:r>
      <w:r w:rsidR="00EC7EDF" w:rsidRPr="00FD211F">
        <w:rPr>
          <w:sz w:val="36"/>
          <w:szCs w:val="36"/>
          <w:rtl/>
        </w:rPr>
        <w:t xml:space="preserve">ة </w:t>
      </w:r>
      <w:r w:rsidR="00E86D6C" w:rsidRPr="00FD211F">
        <w:rPr>
          <w:sz w:val="36"/>
          <w:szCs w:val="36"/>
          <w:rtl/>
        </w:rPr>
        <w:t>من الطرفين</w:t>
      </w:r>
      <w:r w:rsidR="00603323" w:rsidRPr="00FD211F">
        <w:rPr>
          <w:sz w:val="36"/>
          <w:szCs w:val="36"/>
          <w:rtl/>
        </w:rPr>
        <w:t xml:space="preserve">، </w:t>
      </w:r>
      <w:r w:rsidR="00E86D6C" w:rsidRPr="00FD211F">
        <w:rPr>
          <w:sz w:val="36"/>
          <w:szCs w:val="36"/>
          <w:rtl/>
        </w:rPr>
        <w:t>بان يستلزم تصور اللفظ تصور المعنى</w:t>
      </w:r>
      <w:r w:rsidR="00603323" w:rsidRPr="00FD211F">
        <w:rPr>
          <w:sz w:val="36"/>
          <w:szCs w:val="36"/>
          <w:rtl/>
        </w:rPr>
        <w:t xml:space="preserve">، </w:t>
      </w:r>
      <w:r w:rsidR="00E86D6C" w:rsidRPr="00FD211F">
        <w:rPr>
          <w:sz w:val="36"/>
          <w:szCs w:val="36"/>
          <w:rtl/>
        </w:rPr>
        <w:t>كما يستلزم تصور المعنى تصور اللفظ أيضا</w:t>
      </w:r>
      <w:r w:rsidR="00603323" w:rsidRPr="00FD211F">
        <w:rPr>
          <w:sz w:val="36"/>
          <w:szCs w:val="36"/>
          <w:rtl/>
        </w:rPr>
        <w:t xml:space="preserve">، </w:t>
      </w:r>
      <w:r w:rsidR="00E86D6C" w:rsidRPr="00FD211F">
        <w:rPr>
          <w:sz w:val="36"/>
          <w:szCs w:val="36"/>
          <w:rtl/>
        </w:rPr>
        <w:t>ولكنه ليس كذلك</w:t>
      </w:r>
      <w:r w:rsidR="00603323" w:rsidRPr="00FD211F">
        <w:rPr>
          <w:sz w:val="36"/>
          <w:szCs w:val="36"/>
          <w:rtl/>
        </w:rPr>
        <w:t xml:space="preserve">، </w:t>
      </w:r>
      <w:r w:rsidR="00E86D6C" w:rsidRPr="00FD211F">
        <w:rPr>
          <w:sz w:val="36"/>
          <w:szCs w:val="36"/>
          <w:rtl/>
        </w:rPr>
        <w:t>فان الوضع يكون لأجل استلزام تصور اللفظ لتصور المعنى دون العكس</w:t>
      </w:r>
      <w:r w:rsidR="00603323" w:rsidRPr="00FD211F">
        <w:rPr>
          <w:sz w:val="36"/>
          <w:szCs w:val="36"/>
          <w:rtl/>
        </w:rPr>
        <w:t xml:space="preserve">، </w:t>
      </w:r>
      <w:r w:rsidR="00E86D6C" w:rsidRPr="00FD211F">
        <w:rPr>
          <w:sz w:val="36"/>
          <w:szCs w:val="36"/>
          <w:rtl/>
        </w:rPr>
        <w:t>فكان ينبغي ان يعبر بجعل استلزام اللفظ للمعنى بدل التعبير بجعل الملازم</w:t>
      </w:r>
      <w:r w:rsidR="00EC7EDF" w:rsidRPr="00FD211F">
        <w:rPr>
          <w:sz w:val="36"/>
          <w:szCs w:val="36"/>
          <w:rtl/>
        </w:rPr>
        <w:t>ة</w:t>
      </w:r>
      <w:r w:rsidR="00A61BAE" w:rsidRPr="00FD211F">
        <w:rPr>
          <w:sz w:val="36"/>
          <w:szCs w:val="36"/>
          <w:rtl/>
        </w:rPr>
        <w:t>.</w:t>
      </w:r>
    </w:p>
    <w:p w14:paraId="2A6F4141" w14:textId="77777777" w:rsidR="00E86D6C" w:rsidRPr="00FD211F" w:rsidRDefault="00E86D6C" w:rsidP="009C58C8">
      <w:pPr>
        <w:ind w:left="0" w:firstLine="227"/>
        <w:jc w:val="both"/>
        <w:rPr>
          <w:sz w:val="36"/>
          <w:szCs w:val="36"/>
          <w:rtl/>
        </w:rPr>
      </w:pPr>
      <w:r w:rsidRPr="00FD211F">
        <w:rPr>
          <w:sz w:val="36"/>
          <w:szCs w:val="36"/>
          <w:rtl/>
        </w:rPr>
        <w:t xml:space="preserve">وكيف كان فقد اختار هذا المسلك </w:t>
      </w:r>
      <w:r w:rsidR="00853D9B" w:rsidRPr="00FD211F">
        <w:rPr>
          <w:sz w:val="36"/>
          <w:szCs w:val="36"/>
          <w:rtl/>
        </w:rPr>
        <w:t xml:space="preserve">بعض الاعلام </w:t>
      </w:r>
      <w:r w:rsidR="00036B48" w:rsidRPr="00FD211F">
        <w:rPr>
          <w:sz w:val="36"/>
          <w:szCs w:val="36"/>
          <w:rtl/>
        </w:rPr>
        <w:t>"</w:t>
      </w:r>
      <w:r w:rsidR="00853D9B" w:rsidRPr="00FD211F">
        <w:rPr>
          <w:sz w:val="36"/>
          <w:szCs w:val="36"/>
          <w:rtl/>
        </w:rPr>
        <w:t>قده</w:t>
      </w:r>
      <w:r w:rsidR="00036B48" w:rsidRPr="00FD211F">
        <w:rPr>
          <w:sz w:val="36"/>
          <w:szCs w:val="36"/>
          <w:rtl/>
        </w:rPr>
        <w:t>"</w:t>
      </w:r>
      <w:r w:rsidR="006912A9" w:rsidRPr="00FD211F">
        <w:rPr>
          <w:sz w:val="36"/>
          <w:szCs w:val="36"/>
          <w:rtl/>
        </w:rPr>
        <w:t xml:space="preserve"> </w:t>
      </w:r>
      <w:r w:rsidR="00853D9B" w:rsidRPr="00FD211F">
        <w:rPr>
          <w:sz w:val="36"/>
          <w:szCs w:val="36"/>
          <w:rtl/>
        </w:rPr>
        <w:t>بل استظهر</w:t>
      </w:r>
      <w:r w:rsidRPr="00FD211F">
        <w:rPr>
          <w:sz w:val="36"/>
          <w:szCs w:val="36"/>
          <w:rtl/>
        </w:rPr>
        <w:t xml:space="preserve"> ذلك</w:t>
      </w:r>
      <w:r w:rsidR="00853D9B" w:rsidRPr="00FD211F">
        <w:rPr>
          <w:sz w:val="36"/>
          <w:szCs w:val="36"/>
          <w:rtl/>
        </w:rPr>
        <w:t xml:space="preserve"> مما ذكره صاحب الكفاي</w:t>
      </w:r>
      <w:r w:rsidR="00EC7EDF" w:rsidRPr="00FD211F">
        <w:rPr>
          <w:sz w:val="36"/>
          <w:szCs w:val="36"/>
          <w:rtl/>
        </w:rPr>
        <w:t xml:space="preserve">ة </w:t>
      </w:r>
      <w:r w:rsidR="004C40E2" w:rsidRPr="00FD211F">
        <w:rPr>
          <w:sz w:val="36"/>
          <w:szCs w:val="36"/>
          <w:rtl/>
        </w:rPr>
        <w:t>"قده"</w:t>
      </w:r>
      <w:r w:rsidR="00853D9B" w:rsidRPr="00FD211F">
        <w:rPr>
          <w:sz w:val="36"/>
          <w:szCs w:val="36"/>
          <w:rtl/>
        </w:rPr>
        <w:t xml:space="preserve"> من ان الوضع نحو اختصاص اللفظ بالمعنى النا</w:t>
      </w:r>
      <w:r w:rsidR="00251CB6" w:rsidRPr="00FD211F">
        <w:rPr>
          <w:sz w:val="36"/>
          <w:szCs w:val="36"/>
          <w:rtl/>
        </w:rPr>
        <w:t xml:space="preserve">شيء </w:t>
      </w:r>
      <w:r w:rsidR="00853D9B" w:rsidRPr="00FD211F">
        <w:rPr>
          <w:sz w:val="36"/>
          <w:szCs w:val="36"/>
          <w:rtl/>
        </w:rPr>
        <w:t>من تخصيصه به تار</w:t>
      </w:r>
      <w:r w:rsidR="00EC7EDF" w:rsidRPr="00FD211F">
        <w:rPr>
          <w:sz w:val="36"/>
          <w:szCs w:val="36"/>
          <w:rtl/>
        </w:rPr>
        <w:t xml:space="preserve">ة </w:t>
      </w:r>
      <w:r w:rsidR="00853D9B" w:rsidRPr="00FD211F">
        <w:rPr>
          <w:sz w:val="36"/>
          <w:szCs w:val="36"/>
          <w:rtl/>
        </w:rPr>
        <w:t>ومن كثر</w:t>
      </w:r>
      <w:r w:rsidR="00EC7EDF" w:rsidRPr="00FD211F">
        <w:rPr>
          <w:sz w:val="36"/>
          <w:szCs w:val="36"/>
          <w:rtl/>
        </w:rPr>
        <w:t xml:space="preserve">ة </w:t>
      </w:r>
      <w:r w:rsidR="00853D9B" w:rsidRPr="00FD211F">
        <w:rPr>
          <w:sz w:val="36"/>
          <w:szCs w:val="36"/>
          <w:rtl/>
        </w:rPr>
        <w:t>استعماله فيه أخرى</w:t>
      </w:r>
      <w:r w:rsidR="00603323" w:rsidRPr="00FD211F">
        <w:rPr>
          <w:sz w:val="36"/>
          <w:szCs w:val="36"/>
          <w:rtl/>
        </w:rPr>
        <w:t xml:space="preserve">، </w:t>
      </w:r>
      <w:r w:rsidRPr="00FD211F">
        <w:rPr>
          <w:sz w:val="36"/>
          <w:szCs w:val="36"/>
          <w:rtl/>
        </w:rPr>
        <w:t>حيث قال ان مراده</w:t>
      </w:r>
      <w:r w:rsidR="00853D9B" w:rsidRPr="00FD211F">
        <w:rPr>
          <w:sz w:val="36"/>
          <w:szCs w:val="36"/>
          <w:rtl/>
        </w:rPr>
        <w:t xml:space="preserve"> من تخصيص اللفظ ب</w:t>
      </w:r>
      <w:r w:rsidR="002D3819" w:rsidRPr="00FD211F">
        <w:rPr>
          <w:sz w:val="36"/>
          <w:szCs w:val="36"/>
          <w:rtl/>
        </w:rPr>
        <w:t>المعنى هو جعل الملازم</w:t>
      </w:r>
      <w:r w:rsidR="00EC7EDF" w:rsidRPr="00FD211F">
        <w:rPr>
          <w:sz w:val="36"/>
          <w:szCs w:val="36"/>
          <w:rtl/>
        </w:rPr>
        <w:t xml:space="preserve">ة </w:t>
      </w:r>
      <w:r w:rsidR="002D3819" w:rsidRPr="00FD211F">
        <w:rPr>
          <w:sz w:val="36"/>
          <w:szCs w:val="36"/>
          <w:rtl/>
        </w:rPr>
        <w:t>بينهما</w:t>
      </w:r>
      <w:r w:rsidR="009C58C8" w:rsidRPr="00FD211F">
        <w:rPr>
          <w:rStyle w:val="a6"/>
          <w:sz w:val="36"/>
          <w:szCs w:val="36"/>
          <w:rtl/>
        </w:rPr>
        <w:t>(</w:t>
      </w:r>
      <w:r w:rsidR="009C58C8" w:rsidRPr="00FD211F">
        <w:rPr>
          <w:rStyle w:val="a6"/>
          <w:sz w:val="36"/>
          <w:szCs w:val="36"/>
          <w:rtl/>
        </w:rPr>
        <w:footnoteReference w:id="108"/>
      </w:r>
      <w:r w:rsidR="009C58C8" w:rsidRPr="00FD211F">
        <w:rPr>
          <w:rStyle w:val="a6"/>
          <w:sz w:val="36"/>
          <w:szCs w:val="36"/>
          <w:rtl/>
        </w:rPr>
        <w:t>)</w:t>
      </w:r>
      <w:r w:rsidRPr="00FD211F">
        <w:rPr>
          <w:sz w:val="36"/>
          <w:szCs w:val="36"/>
          <w:rtl/>
        </w:rPr>
        <w:t>.</w:t>
      </w:r>
    </w:p>
    <w:p w14:paraId="092719C8" w14:textId="77777777" w:rsidR="00030878" w:rsidRPr="00FD211F" w:rsidRDefault="002D3819" w:rsidP="009C58C8">
      <w:pPr>
        <w:ind w:left="0" w:firstLine="227"/>
        <w:jc w:val="both"/>
        <w:rPr>
          <w:sz w:val="36"/>
          <w:szCs w:val="36"/>
          <w:rtl/>
        </w:rPr>
      </w:pPr>
      <w:r w:rsidRPr="00FD211F">
        <w:rPr>
          <w:sz w:val="36"/>
          <w:szCs w:val="36"/>
          <w:rtl/>
        </w:rPr>
        <w:t>وقد اورد عليه السيد الخوئي</w:t>
      </w:r>
      <w:r w:rsidR="00A61BAE" w:rsidRPr="00FD211F">
        <w:rPr>
          <w:sz w:val="36"/>
          <w:szCs w:val="36"/>
          <w:rtl/>
        </w:rPr>
        <w:t xml:space="preserve"> </w:t>
      </w:r>
      <w:r w:rsidR="006912A9" w:rsidRPr="00FD211F">
        <w:rPr>
          <w:sz w:val="36"/>
          <w:szCs w:val="36"/>
          <w:rtl/>
        </w:rPr>
        <w:t>"قده"</w:t>
      </w:r>
      <w:r w:rsidR="00A61BAE" w:rsidRPr="00FD211F">
        <w:rPr>
          <w:sz w:val="36"/>
          <w:szCs w:val="36"/>
          <w:rtl/>
        </w:rPr>
        <w:t xml:space="preserve"> </w:t>
      </w:r>
      <w:r w:rsidRPr="00FD211F">
        <w:rPr>
          <w:sz w:val="36"/>
          <w:szCs w:val="36"/>
          <w:rtl/>
        </w:rPr>
        <w:t>بان اعتبار الملازم</w:t>
      </w:r>
      <w:r w:rsidR="00EC7EDF" w:rsidRPr="00FD211F">
        <w:rPr>
          <w:sz w:val="36"/>
          <w:szCs w:val="36"/>
          <w:rtl/>
        </w:rPr>
        <w:t xml:space="preserve">ة </w:t>
      </w:r>
      <w:r w:rsidRPr="00FD211F">
        <w:rPr>
          <w:sz w:val="36"/>
          <w:szCs w:val="36"/>
          <w:rtl/>
        </w:rPr>
        <w:t>في حق الجاهل بالوضع لغو محض وفي حق العالم به تحصيل للحاصل</w:t>
      </w:r>
      <w:r w:rsidR="00603323" w:rsidRPr="00FD211F">
        <w:rPr>
          <w:sz w:val="36"/>
          <w:szCs w:val="36"/>
          <w:rtl/>
        </w:rPr>
        <w:t xml:space="preserve">، </w:t>
      </w:r>
      <w:r w:rsidRPr="00FD211F">
        <w:rPr>
          <w:sz w:val="36"/>
          <w:szCs w:val="36"/>
          <w:rtl/>
        </w:rPr>
        <w:t>بل من اردء أنحائه</w:t>
      </w:r>
      <w:r w:rsidR="00603323" w:rsidRPr="00FD211F">
        <w:rPr>
          <w:sz w:val="36"/>
          <w:szCs w:val="36"/>
          <w:rtl/>
        </w:rPr>
        <w:t xml:space="preserve">، </w:t>
      </w:r>
      <w:r w:rsidRPr="00FD211F">
        <w:rPr>
          <w:sz w:val="36"/>
          <w:szCs w:val="36"/>
          <w:rtl/>
        </w:rPr>
        <w:t>حيث يراد التحصيل التعبدي لما هو حاصل تكوينا</w:t>
      </w:r>
      <w:r w:rsidR="00603323" w:rsidRPr="00FD211F">
        <w:rPr>
          <w:sz w:val="36"/>
          <w:szCs w:val="36"/>
          <w:rtl/>
        </w:rPr>
        <w:t xml:space="preserve">، </w:t>
      </w:r>
      <w:r w:rsidRPr="00FD211F">
        <w:rPr>
          <w:sz w:val="36"/>
          <w:szCs w:val="36"/>
          <w:rtl/>
        </w:rPr>
        <w:t>فلامعنى لاعتبار الملازم</w:t>
      </w:r>
      <w:r w:rsidR="00EC7EDF" w:rsidRPr="00FD211F">
        <w:rPr>
          <w:sz w:val="36"/>
          <w:szCs w:val="36"/>
          <w:rtl/>
        </w:rPr>
        <w:t xml:space="preserve">ة </w:t>
      </w:r>
      <w:r w:rsidRPr="00FD211F">
        <w:rPr>
          <w:sz w:val="36"/>
          <w:szCs w:val="36"/>
          <w:rtl/>
        </w:rPr>
        <w:t>بين اللفظ والمعنى أبدا.</w:t>
      </w:r>
    </w:p>
    <w:p w14:paraId="3C14D15B" w14:textId="77777777" w:rsidR="00CA3215" w:rsidRPr="00FD211F" w:rsidRDefault="002D3819" w:rsidP="009C58C8">
      <w:pPr>
        <w:ind w:left="0" w:firstLine="227"/>
        <w:jc w:val="both"/>
        <w:rPr>
          <w:sz w:val="36"/>
          <w:szCs w:val="36"/>
          <w:rtl/>
        </w:rPr>
      </w:pPr>
      <w:r w:rsidRPr="00FD211F">
        <w:rPr>
          <w:sz w:val="36"/>
          <w:szCs w:val="36"/>
          <w:rtl/>
        </w:rPr>
        <w:t>و</w:t>
      </w:r>
      <w:r w:rsidR="004C40E2" w:rsidRPr="00FD211F">
        <w:rPr>
          <w:sz w:val="36"/>
          <w:szCs w:val="36"/>
          <w:rtl/>
        </w:rPr>
        <w:t>الظاهر</w:t>
      </w:r>
      <w:r w:rsidR="004F5212" w:rsidRPr="00FD211F">
        <w:rPr>
          <w:sz w:val="36"/>
          <w:szCs w:val="36"/>
          <w:rtl/>
        </w:rPr>
        <w:t xml:space="preserve"> </w:t>
      </w:r>
      <w:r w:rsidR="004C40E2" w:rsidRPr="00FD211F">
        <w:rPr>
          <w:sz w:val="36"/>
          <w:szCs w:val="36"/>
          <w:rtl/>
        </w:rPr>
        <w:t>عدم تمامي</w:t>
      </w:r>
      <w:r w:rsidR="00EC7EDF" w:rsidRPr="00FD211F">
        <w:rPr>
          <w:sz w:val="36"/>
          <w:szCs w:val="36"/>
          <w:rtl/>
        </w:rPr>
        <w:t xml:space="preserve">ة </w:t>
      </w:r>
      <w:r w:rsidR="004C40E2" w:rsidRPr="00FD211F">
        <w:rPr>
          <w:sz w:val="36"/>
          <w:szCs w:val="36"/>
          <w:rtl/>
        </w:rPr>
        <w:t>هذا</w:t>
      </w:r>
      <w:r w:rsidR="004F5212" w:rsidRPr="00FD211F">
        <w:rPr>
          <w:sz w:val="36"/>
          <w:szCs w:val="36"/>
          <w:rtl/>
        </w:rPr>
        <w:t xml:space="preserve"> </w:t>
      </w:r>
      <w:r w:rsidR="004C40E2" w:rsidRPr="00FD211F">
        <w:rPr>
          <w:sz w:val="36"/>
          <w:szCs w:val="36"/>
          <w:rtl/>
        </w:rPr>
        <w:t>الايراد</w:t>
      </w:r>
      <w:r w:rsidR="006912A9" w:rsidRPr="00FD211F">
        <w:rPr>
          <w:sz w:val="36"/>
          <w:szCs w:val="36"/>
          <w:rtl/>
        </w:rPr>
        <w:t xml:space="preserve"> </w:t>
      </w:r>
      <w:r w:rsidR="004C40E2" w:rsidRPr="00FD211F">
        <w:rPr>
          <w:sz w:val="36"/>
          <w:szCs w:val="36"/>
          <w:rtl/>
        </w:rPr>
        <w:t>فا</w:t>
      </w:r>
      <w:r w:rsidRPr="00FD211F">
        <w:rPr>
          <w:sz w:val="36"/>
          <w:szCs w:val="36"/>
          <w:rtl/>
        </w:rPr>
        <w:t>نه لامحذور في اعتبار الملازم</w:t>
      </w:r>
      <w:r w:rsidR="00EC7EDF" w:rsidRPr="00FD211F">
        <w:rPr>
          <w:sz w:val="36"/>
          <w:szCs w:val="36"/>
          <w:rtl/>
        </w:rPr>
        <w:t xml:space="preserve">ة </w:t>
      </w:r>
      <w:r w:rsidRPr="00FD211F">
        <w:rPr>
          <w:sz w:val="36"/>
          <w:szCs w:val="36"/>
          <w:rtl/>
        </w:rPr>
        <w:t>بين اللفظ والمعن</w:t>
      </w:r>
      <w:r w:rsidR="006A339B" w:rsidRPr="00FD211F">
        <w:rPr>
          <w:sz w:val="36"/>
          <w:szCs w:val="36"/>
          <w:rtl/>
        </w:rPr>
        <w:t>ى مطلقا بغرض ان يعلم الآخرون بهذا</w:t>
      </w:r>
      <w:r w:rsidR="004F5212" w:rsidRPr="00FD211F">
        <w:rPr>
          <w:sz w:val="36"/>
          <w:szCs w:val="36"/>
          <w:rtl/>
        </w:rPr>
        <w:t xml:space="preserve"> </w:t>
      </w:r>
      <w:r w:rsidR="006A339B" w:rsidRPr="00FD211F">
        <w:rPr>
          <w:sz w:val="36"/>
          <w:szCs w:val="36"/>
          <w:rtl/>
        </w:rPr>
        <w:t>الاعتبار</w:t>
      </w:r>
      <w:r w:rsidRPr="00FD211F">
        <w:rPr>
          <w:sz w:val="36"/>
          <w:szCs w:val="36"/>
          <w:rtl/>
        </w:rPr>
        <w:t xml:space="preserve"> فيحصل لهم بذلك الملازم</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بين اللفظ والمعنى</w:t>
      </w:r>
      <w:r w:rsidR="00603323" w:rsidRPr="00FD211F">
        <w:rPr>
          <w:sz w:val="36"/>
          <w:szCs w:val="36"/>
          <w:rtl/>
        </w:rPr>
        <w:t xml:space="preserve">، </w:t>
      </w:r>
      <w:r w:rsidR="00F1090E" w:rsidRPr="00FD211F">
        <w:rPr>
          <w:sz w:val="36"/>
          <w:szCs w:val="36"/>
          <w:rtl/>
        </w:rPr>
        <w:t>فيكون اعتبار الملازم</w:t>
      </w:r>
      <w:r w:rsidR="00EC7EDF" w:rsidRPr="00FD211F">
        <w:rPr>
          <w:sz w:val="36"/>
          <w:szCs w:val="36"/>
          <w:rtl/>
        </w:rPr>
        <w:t xml:space="preserve">ة </w:t>
      </w:r>
      <w:r w:rsidR="00F1090E" w:rsidRPr="00FD211F">
        <w:rPr>
          <w:sz w:val="36"/>
          <w:szCs w:val="36"/>
          <w:rtl/>
        </w:rPr>
        <w:t>استطراقا الى ذلك ولالغوي</w:t>
      </w:r>
      <w:r w:rsidR="00EC7EDF" w:rsidRPr="00FD211F">
        <w:rPr>
          <w:sz w:val="36"/>
          <w:szCs w:val="36"/>
          <w:rtl/>
        </w:rPr>
        <w:t xml:space="preserve">ة </w:t>
      </w:r>
      <w:r w:rsidR="00F1090E" w:rsidRPr="00FD211F">
        <w:rPr>
          <w:sz w:val="36"/>
          <w:szCs w:val="36"/>
          <w:rtl/>
        </w:rPr>
        <w:t>فيه أبدا</w:t>
      </w:r>
      <w:r w:rsidR="00603323" w:rsidRPr="00FD211F">
        <w:rPr>
          <w:sz w:val="36"/>
          <w:szCs w:val="36"/>
          <w:rtl/>
        </w:rPr>
        <w:t xml:space="preserve">، </w:t>
      </w:r>
      <w:r w:rsidR="00F1090E" w:rsidRPr="00FD211F">
        <w:rPr>
          <w:sz w:val="36"/>
          <w:szCs w:val="36"/>
          <w:rtl/>
        </w:rPr>
        <w:t>نظير جعل الاحكام حيث يكون بغرض وصولها الى المكلف</w:t>
      </w:r>
      <w:r w:rsidR="00CA3215" w:rsidRPr="00FD211F">
        <w:rPr>
          <w:sz w:val="36"/>
          <w:szCs w:val="36"/>
          <w:rtl/>
        </w:rPr>
        <w:t>.</w:t>
      </w:r>
    </w:p>
    <w:p w14:paraId="05B05B07" w14:textId="77777777" w:rsidR="00CA3215" w:rsidRPr="00FD211F" w:rsidRDefault="00CA3215" w:rsidP="009C58C8">
      <w:pPr>
        <w:ind w:left="0" w:firstLine="227"/>
        <w:jc w:val="both"/>
        <w:rPr>
          <w:sz w:val="36"/>
          <w:szCs w:val="36"/>
          <w:rtl/>
        </w:rPr>
      </w:pPr>
      <w:r w:rsidRPr="00FD211F">
        <w:rPr>
          <w:sz w:val="36"/>
          <w:szCs w:val="36"/>
          <w:rtl/>
        </w:rPr>
        <w:t>نعم</w:t>
      </w:r>
      <w:r w:rsidR="00E86D6C" w:rsidRPr="00FD211F">
        <w:rPr>
          <w:sz w:val="36"/>
          <w:szCs w:val="36"/>
          <w:rtl/>
        </w:rPr>
        <w:t xml:space="preserve"> يرد على هذه الصيغ</w:t>
      </w:r>
      <w:r w:rsidR="00EC7EDF" w:rsidRPr="00FD211F">
        <w:rPr>
          <w:sz w:val="36"/>
          <w:szCs w:val="36"/>
          <w:rtl/>
        </w:rPr>
        <w:t xml:space="preserve">ة </w:t>
      </w:r>
      <w:r w:rsidR="00E86D6C" w:rsidRPr="00FD211F">
        <w:rPr>
          <w:sz w:val="36"/>
          <w:szCs w:val="36"/>
          <w:rtl/>
        </w:rPr>
        <w:t>الرابع</w:t>
      </w:r>
      <w:r w:rsidR="00EC7EDF" w:rsidRPr="00FD211F">
        <w:rPr>
          <w:sz w:val="36"/>
          <w:szCs w:val="36"/>
          <w:rtl/>
        </w:rPr>
        <w:t xml:space="preserve">ة </w:t>
      </w:r>
      <w:r w:rsidR="00E86D6C" w:rsidRPr="00FD211F">
        <w:rPr>
          <w:sz w:val="36"/>
          <w:szCs w:val="36"/>
          <w:rtl/>
        </w:rPr>
        <w:t>ان</w:t>
      </w:r>
      <w:r w:rsidRPr="00FD211F">
        <w:rPr>
          <w:sz w:val="36"/>
          <w:szCs w:val="36"/>
          <w:rtl/>
        </w:rPr>
        <w:t xml:space="preserve"> تفسير حقيق</w:t>
      </w:r>
      <w:r w:rsidR="00EC7EDF" w:rsidRPr="00FD211F">
        <w:rPr>
          <w:sz w:val="36"/>
          <w:szCs w:val="36"/>
          <w:rtl/>
        </w:rPr>
        <w:t xml:space="preserve">ة </w:t>
      </w:r>
      <w:r w:rsidRPr="00FD211F">
        <w:rPr>
          <w:sz w:val="36"/>
          <w:szCs w:val="36"/>
          <w:rtl/>
        </w:rPr>
        <w:t>الوضع باعتبار الملازم</w:t>
      </w:r>
      <w:r w:rsidR="00EC7EDF" w:rsidRPr="00FD211F">
        <w:rPr>
          <w:sz w:val="36"/>
          <w:szCs w:val="36"/>
          <w:rtl/>
        </w:rPr>
        <w:t xml:space="preserve">ة </w:t>
      </w:r>
      <w:r w:rsidRPr="00FD211F">
        <w:rPr>
          <w:sz w:val="36"/>
          <w:szCs w:val="36"/>
          <w:rtl/>
        </w:rPr>
        <w:t>بين اللفظ والمعنى خلاف الظاهر عرفا</w:t>
      </w:r>
      <w:r w:rsidR="00603323" w:rsidRPr="00FD211F">
        <w:rPr>
          <w:sz w:val="36"/>
          <w:szCs w:val="36"/>
          <w:rtl/>
        </w:rPr>
        <w:t xml:space="preserve">، </w:t>
      </w:r>
      <w:r w:rsidRPr="00FD211F">
        <w:rPr>
          <w:sz w:val="36"/>
          <w:szCs w:val="36"/>
          <w:rtl/>
        </w:rPr>
        <w:t>فمن يسمي ولده باسم</w:t>
      </w:r>
      <w:r w:rsidR="00E86D6C" w:rsidRPr="00FD211F">
        <w:rPr>
          <w:sz w:val="36"/>
          <w:szCs w:val="36"/>
          <w:rtl/>
        </w:rPr>
        <w:t xml:space="preserve"> معين</w:t>
      </w:r>
      <w:r w:rsidRPr="00FD211F">
        <w:rPr>
          <w:sz w:val="36"/>
          <w:szCs w:val="36"/>
          <w:rtl/>
        </w:rPr>
        <w:t xml:space="preserve"> </w:t>
      </w:r>
      <w:r w:rsidR="00E86D6C" w:rsidRPr="00FD211F">
        <w:rPr>
          <w:sz w:val="36"/>
          <w:szCs w:val="36"/>
          <w:rtl/>
        </w:rPr>
        <w:t>ف</w:t>
      </w:r>
      <w:r w:rsidRPr="00FD211F">
        <w:rPr>
          <w:sz w:val="36"/>
          <w:szCs w:val="36"/>
          <w:rtl/>
        </w:rPr>
        <w:t>لايعتبر الملازم</w:t>
      </w:r>
      <w:r w:rsidR="00EC7EDF" w:rsidRPr="00FD211F">
        <w:rPr>
          <w:sz w:val="36"/>
          <w:szCs w:val="36"/>
          <w:rtl/>
        </w:rPr>
        <w:t xml:space="preserve">ة </w:t>
      </w:r>
      <w:r w:rsidRPr="00FD211F">
        <w:rPr>
          <w:sz w:val="36"/>
          <w:szCs w:val="36"/>
          <w:rtl/>
        </w:rPr>
        <w:t>بينهما</w:t>
      </w:r>
      <w:r w:rsidR="00603323" w:rsidRPr="00FD211F">
        <w:rPr>
          <w:sz w:val="36"/>
          <w:szCs w:val="36"/>
          <w:rtl/>
        </w:rPr>
        <w:t xml:space="preserve">، </w:t>
      </w:r>
      <w:r w:rsidRPr="00FD211F">
        <w:rPr>
          <w:sz w:val="36"/>
          <w:szCs w:val="36"/>
          <w:rtl/>
        </w:rPr>
        <w:t xml:space="preserve">وانما </w:t>
      </w:r>
      <w:r w:rsidR="00D14CD2" w:rsidRPr="00FD211F">
        <w:rPr>
          <w:sz w:val="36"/>
          <w:szCs w:val="36"/>
          <w:rtl/>
        </w:rPr>
        <w:t>يجعل</w:t>
      </w:r>
      <w:r w:rsidRPr="00FD211F">
        <w:rPr>
          <w:sz w:val="36"/>
          <w:szCs w:val="36"/>
          <w:rtl/>
        </w:rPr>
        <w:t xml:space="preserve"> هذا الاسم سم</w:t>
      </w:r>
      <w:r w:rsidR="00EC7EDF" w:rsidRPr="00FD211F">
        <w:rPr>
          <w:sz w:val="36"/>
          <w:szCs w:val="36"/>
          <w:rtl/>
        </w:rPr>
        <w:t xml:space="preserve">ة </w:t>
      </w:r>
      <w:r w:rsidRPr="00FD211F">
        <w:rPr>
          <w:sz w:val="36"/>
          <w:szCs w:val="36"/>
          <w:rtl/>
        </w:rPr>
        <w:t>وعلام</w:t>
      </w:r>
      <w:r w:rsidR="00EC7EDF" w:rsidRPr="00FD211F">
        <w:rPr>
          <w:sz w:val="36"/>
          <w:szCs w:val="36"/>
          <w:rtl/>
        </w:rPr>
        <w:t xml:space="preserve">ة </w:t>
      </w:r>
      <w:r w:rsidRPr="00FD211F">
        <w:rPr>
          <w:sz w:val="36"/>
          <w:szCs w:val="36"/>
          <w:rtl/>
        </w:rPr>
        <w:t>عليه</w:t>
      </w:r>
      <w:r w:rsidR="00E86D6C" w:rsidRPr="00FD211F">
        <w:rPr>
          <w:sz w:val="36"/>
          <w:szCs w:val="36"/>
          <w:rtl/>
        </w:rPr>
        <w:t>.</w:t>
      </w:r>
    </w:p>
    <w:p w14:paraId="59A0D7EF" w14:textId="77777777" w:rsidR="00826602" w:rsidRPr="00FD211F" w:rsidRDefault="00E32BD3" w:rsidP="009C58C8">
      <w:pPr>
        <w:pStyle w:val="3"/>
        <w:ind w:firstLine="227"/>
        <w:jc w:val="both"/>
        <w:rPr>
          <w:rtl/>
        </w:rPr>
      </w:pPr>
      <w:bookmarkStart w:id="109" w:name="_Toc223890326"/>
      <w:r w:rsidRPr="00FD211F">
        <w:rPr>
          <w:rtl/>
        </w:rPr>
        <w:t>النظري</w:t>
      </w:r>
      <w:r w:rsidR="00EC7EDF" w:rsidRPr="00FD211F">
        <w:rPr>
          <w:rtl/>
        </w:rPr>
        <w:t xml:space="preserve">ة </w:t>
      </w:r>
      <w:r w:rsidRPr="00FD211F">
        <w:rPr>
          <w:rtl/>
        </w:rPr>
        <w:t>الثاني</w:t>
      </w:r>
      <w:r w:rsidR="00EC7EDF" w:rsidRPr="00FD211F">
        <w:rPr>
          <w:rtl/>
        </w:rPr>
        <w:t xml:space="preserve">ة </w:t>
      </w:r>
      <w:r w:rsidRPr="00FD211F">
        <w:rPr>
          <w:rtl/>
        </w:rPr>
        <w:t>في المسلك الثاني</w:t>
      </w:r>
      <w:r w:rsidR="00EC7EDF" w:rsidRPr="00FD211F">
        <w:rPr>
          <w:rtl/>
        </w:rPr>
        <w:t>:</w:t>
      </w:r>
      <w:r w:rsidR="00826602" w:rsidRPr="00FD211F">
        <w:rPr>
          <w:rtl/>
        </w:rPr>
        <w:t xml:space="preserve"> نظري</w:t>
      </w:r>
      <w:r w:rsidR="00EC7EDF" w:rsidRPr="00FD211F">
        <w:rPr>
          <w:rtl/>
        </w:rPr>
        <w:t xml:space="preserve">ة </w:t>
      </w:r>
      <w:r w:rsidR="00826602" w:rsidRPr="00FD211F">
        <w:rPr>
          <w:rtl/>
        </w:rPr>
        <w:t>التعهد</w:t>
      </w:r>
      <w:bookmarkEnd w:id="109"/>
    </w:p>
    <w:p w14:paraId="0A88D51A" w14:textId="77777777" w:rsidR="00ED5C78" w:rsidRPr="00FD211F" w:rsidRDefault="007E69AF" w:rsidP="009C58C8">
      <w:pPr>
        <w:ind w:left="0" w:firstLine="227"/>
        <w:jc w:val="both"/>
        <w:rPr>
          <w:sz w:val="36"/>
          <w:szCs w:val="36"/>
          <w:rtl/>
        </w:rPr>
      </w:pPr>
      <w:r w:rsidRPr="00FD211F">
        <w:rPr>
          <w:b/>
          <w:bCs/>
          <w:sz w:val="36"/>
          <w:szCs w:val="36"/>
          <w:rtl/>
        </w:rPr>
        <w:t>النظري</w:t>
      </w:r>
      <w:r w:rsidR="00EC7EDF" w:rsidRPr="00FD211F">
        <w:rPr>
          <w:b/>
          <w:bCs/>
          <w:sz w:val="36"/>
          <w:szCs w:val="36"/>
          <w:rtl/>
        </w:rPr>
        <w:t xml:space="preserve">ة </w:t>
      </w: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b/>
          <w:bCs/>
          <w:sz w:val="36"/>
          <w:szCs w:val="36"/>
          <w:rtl/>
        </w:rPr>
        <w:t>نظري</w:t>
      </w:r>
      <w:r w:rsidR="00EC7EDF" w:rsidRPr="00FD211F">
        <w:rPr>
          <w:b/>
          <w:bCs/>
          <w:sz w:val="36"/>
          <w:szCs w:val="36"/>
          <w:rtl/>
        </w:rPr>
        <w:t xml:space="preserve">ة </w:t>
      </w:r>
      <w:r w:rsidRPr="00FD211F">
        <w:rPr>
          <w:b/>
          <w:bCs/>
          <w:sz w:val="36"/>
          <w:szCs w:val="36"/>
          <w:rtl/>
        </w:rPr>
        <w:t>التعهد</w:t>
      </w:r>
      <w:r w:rsidR="00603323" w:rsidRPr="00FD211F">
        <w:rPr>
          <w:sz w:val="36"/>
          <w:szCs w:val="36"/>
          <w:rtl/>
        </w:rPr>
        <w:t xml:space="preserve">، </w:t>
      </w:r>
      <w:r w:rsidRPr="00FD211F">
        <w:rPr>
          <w:sz w:val="36"/>
          <w:szCs w:val="36"/>
          <w:rtl/>
        </w:rPr>
        <w:t xml:space="preserve">فقد </w:t>
      </w:r>
      <w:r w:rsidR="009C55C7" w:rsidRPr="00FD211F">
        <w:rPr>
          <w:sz w:val="36"/>
          <w:szCs w:val="36"/>
          <w:rtl/>
        </w:rPr>
        <w:t xml:space="preserve">حكي عن </w:t>
      </w:r>
      <w:r w:rsidR="0041216E" w:rsidRPr="00FD211F">
        <w:rPr>
          <w:sz w:val="36"/>
          <w:szCs w:val="36"/>
          <w:rtl/>
        </w:rPr>
        <w:t>المحقق النهاوندي</w:t>
      </w:r>
      <w:r w:rsidR="00A61BAE" w:rsidRPr="00FD211F">
        <w:rPr>
          <w:sz w:val="36"/>
          <w:szCs w:val="36"/>
          <w:rtl/>
        </w:rPr>
        <w:t xml:space="preserve"> </w:t>
      </w:r>
      <w:r w:rsidR="006912A9" w:rsidRPr="00FD211F">
        <w:rPr>
          <w:sz w:val="36"/>
          <w:szCs w:val="36"/>
          <w:rtl/>
        </w:rPr>
        <w:t>"قده"</w:t>
      </w:r>
      <w:r w:rsidR="00A61BAE" w:rsidRPr="00FD211F">
        <w:rPr>
          <w:sz w:val="36"/>
          <w:szCs w:val="36"/>
          <w:rtl/>
        </w:rPr>
        <w:t xml:space="preserve"> </w:t>
      </w:r>
      <w:r w:rsidR="009C55C7" w:rsidRPr="00FD211F">
        <w:rPr>
          <w:sz w:val="36"/>
          <w:szCs w:val="36"/>
          <w:rtl/>
        </w:rPr>
        <w:t>انه اختار</w:t>
      </w:r>
      <w:r w:rsidR="0041216E" w:rsidRPr="00FD211F">
        <w:rPr>
          <w:sz w:val="36"/>
          <w:szCs w:val="36"/>
          <w:rtl/>
        </w:rPr>
        <w:t xml:space="preserve"> في كتاب تشريح الاصول ان حقيق</w:t>
      </w:r>
      <w:r w:rsidR="00EC7EDF" w:rsidRPr="00FD211F">
        <w:rPr>
          <w:sz w:val="36"/>
          <w:szCs w:val="36"/>
          <w:rtl/>
        </w:rPr>
        <w:t xml:space="preserve">ة </w:t>
      </w:r>
      <w:r w:rsidR="0041216E" w:rsidRPr="00FD211F">
        <w:rPr>
          <w:sz w:val="36"/>
          <w:szCs w:val="36"/>
          <w:rtl/>
        </w:rPr>
        <w:t>الوضع هو تعهد الواضع بانه لايتكلم بهذا اللفظ</w:t>
      </w:r>
      <w:r w:rsidR="00D14CD2" w:rsidRPr="00FD211F">
        <w:rPr>
          <w:sz w:val="36"/>
          <w:szCs w:val="36"/>
          <w:rtl/>
        </w:rPr>
        <w:t xml:space="preserve"> الا عند </w:t>
      </w:r>
      <w:r w:rsidR="00D815DE" w:rsidRPr="00FD211F">
        <w:rPr>
          <w:sz w:val="36"/>
          <w:szCs w:val="36"/>
          <w:rtl/>
        </w:rPr>
        <w:t>إراد</w:t>
      </w:r>
      <w:r w:rsidR="00EC7EDF" w:rsidRPr="00FD211F">
        <w:rPr>
          <w:sz w:val="36"/>
          <w:szCs w:val="36"/>
          <w:rtl/>
        </w:rPr>
        <w:t xml:space="preserve">ة </w:t>
      </w:r>
      <w:r w:rsidR="00D14CD2" w:rsidRPr="00FD211F">
        <w:rPr>
          <w:sz w:val="36"/>
          <w:szCs w:val="36"/>
          <w:rtl/>
        </w:rPr>
        <w:t>تفهيم هذا المعنى</w:t>
      </w:r>
      <w:r w:rsidR="00603323" w:rsidRPr="00FD211F">
        <w:rPr>
          <w:sz w:val="36"/>
          <w:szCs w:val="36"/>
          <w:rtl/>
        </w:rPr>
        <w:t xml:space="preserve">، </w:t>
      </w:r>
      <w:r w:rsidR="004F082F" w:rsidRPr="00FD211F">
        <w:rPr>
          <w:sz w:val="36"/>
          <w:szCs w:val="36"/>
          <w:rtl/>
        </w:rPr>
        <w:t>وقداختار</w:t>
      </w:r>
      <w:r w:rsidR="0041216E" w:rsidRPr="00FD211F">
        <w:rPr>
          <w:sz w:val="36"/>
          <w:szCs w:val="36"/>
          <w:rtl/>
        </w:rPr>
        <w:t xml:space="preserve"> ذلك جماع</w:t>
      </w:r>
      <w:r w:rsidR="00EC7EDF" w:rsidRPr="00FD211F">
        <w:rPr>
          <w:sz w:val="36"/>
          <w:szCs w:val="36"/>
          <w:rtl/>
        </w:rPr>
        <w:t xml:space="preserve">ة </w:t>
      </w:r>
      <w:r w:rsidR="0041581A" w:rsidRPr="00FD211F">
        <w:rPr>
          <w:sz w:val="36"/>
          <w:szCs w:val="36"/>
          <w:rtl/>
        </w:rPr>
        <w:t>-</w:t>
      </w:r>
      <w:r w:rsidR="0041216E" w:rsidRPr="00FD211F">
        <w:rPr>
          <w:sz w:val="36"/>
          <w:szCs w:val="36"/>
          <w:rtl/>
        </w:rPr>
        <w:t xml:space="preserve"> منهم المحقق الحائري وصاحب وقاي</w:t>
      </w:r>
      <w:r w:rsidR="00EC7EDF" w:rsidRPr="00FD211F">
        <w:rPr>
          <w:sz w:val="36"/>
          <w:szCs w:val="36"/>
          <w:rtl/>
        </w:rPr>
        <w:t xml:space="preserve">ة </w:t>
      </w:r>
      <w:r w:rsidR="0041216E" w:rsidRPr="00FD211F">
        <w:rPr>
          <w:sz w:val="36"/>
          <w:szCs w:val="36"/>
          <w:rtl/>
        </w:rPr>
        <w:t>الأذهان</w:t>
      </w:r>
      <w:r w:rsidR="0041581A" w:rsidRPr="00FD211F">
        <w:rPr>
          <w:sz w:val="36"/>
          <w:szCs w:val="36"/>
          <w:rtl/>
        </w:rPr>
        <w:t>" قدهما"</w:t>
      </w:r>
      <w:r w:rsidR="009C58C8" w:rsidRPr="00FD211F">
        <w:rPr>
          <w:rStyle w:val="a6"/>
          <w:sz w:val="36"/>
          <w:szCs w:val="36"/>
          <w:rtl/>
        </w:rPr>
        <w:t>(</w:t>
      </w:r>
      <w:r w:rsidR="009C58C8" w:rsidRPr="00FD211F">
        <w:rPr>
          <w:rStyle w:val="a6"/>
          <w:sz w:val="36"/>
          <w:szCs w:val="36"/>
          <w:rtl/>
        </w:rPr>
        <w:footnoteReference w:id="109"/>
      </w:r>
      <w:r w:rsidR="009C58C8" w:rsidRPr="00FD211F">
        <w:rPr>
          <w:rStyle w:val="a6"/>
          <w:sz w:val="36"/>
          <w:szCs w:val="36"/>
          <w:rtl/>
        </w:rPr>
        <w:t>)</w:t>
      </w:r>
      <w:r w:rsidR="0041581A" w:rsidRPr="00FD211F">
        <w:rPr>
          <w:sz w:val="36"/>
          <w:szCs w:val="36"/>
          <w:rtl/>
        </w:rPr>
        <w:t>-</w:t>
      </w:r>
      <w:r w:rsidR="0041216E" w:rsidRPr="00FD211F">
        <w:rPr>
          <w:sz w:val="36"/>
          <w:szCs w:val="36"/>
          <w:rtl/>
        </w:rPr>
        <w:t xml:space="preserve"> و</w:t>
      </w:r>
      <w:r w:rsidR="00D14CD2" w:rsidRPr="00FD211F">
        <w:rPr>
          <w:sz w:val="36"/>
          <w:szCs w:val="36"/>
          <w:rtl/>
        </w:rPr>
        <w:t xml:space="preserve">اختار ذلك ايضا </w:t>
      </w:r>
      <w:r w:rsidR="0041216E" w:rsidRPr="00FD211F">
        <w:rPr>
          <w:sz w:val="36"/>
          <w:szCs w:val="36"/>
          <w:rtl/>
        </w:rPr>
        <w:t xml:space="preserve">السيد الخوئي </w:t>
      </w:r>
      <w:r w:rsidR="00AB1B12" w:rsidRPr="00FD211F">
        <w:rPr>
          <w:sz w:val="36"/>
          <w:szCs w:val="36"/>
          <w:rtl/>
        </w:rPr>
        <w:t>"</w:t>
      </w:r>
      <w:r w:rsidR="00D14CD2" w:rsidRPr="00FD211F">
        <w:rPr>
          <w:sz w:val="36"/>
          <w:szCs w:val="36"/>
          <w:rtl/>
        </w:rPr>
        <w:t>قده</w:t>
      </w:r>
      <w:r w:rsidR="00AB1B12" w:rsidRPr="00FD211F">
        <w:rPr>
          <w:sz w:val="36"/>
          <w:szCs w:val="36"/>
          <w:rtl/>
        </w:rPr>
        <w:t>"</w:t>
      </w:r>
      <w:r w:rsidR="00D14CD2" w:rsidRPr="00FD211F">
        <w:rPr>
          <w:sz w:val="36"/>
          <w:szCs w:val="36"/>
          <w:rtl/>
        </w:rPr>
        <w:t xml:space="preserve"> وذكر </w:t>
      </w:r>
      <w:r w:rsidR="00EF3BA4" w:rsidRPr="00FD211F">
        <w:rPr>
          <w:sz w:val="36"/>
          <w:szCs w:val="36"/>
          <w:rtl/>
        </w:rPr>
        <w:t>ان</w:t>
      </w:r>
      <w:r w:rsidR="003A3C13" w:rsidRPr="00FD211F">
        <w:rPr>
          <w:sz w:val="36"/>
          <w:szCs w:val="36"/>
          <w:rtl/>
        </w:rPr>
        <w:t>ه</w:t>
      </w:r>
      <w:r w:rsidR="00EF3BA4" w:rsidRPr="00FD211F">
        <w:rPr>
          <w:sz w:val="36"/>
          <w:szCs w:val="36"/>
          <w:rtl/>
        </w:rPr>
        <w:t xml:space="preserve"> يدل على ذلك بوضوح وضع الاعلام الشخصي</w:t>
      </w:r>
      <w:r w:rsidR="00EC7EDF" w:rsidRPr="00FD211F">
        <w:rPr>
          <w:sz w:val="36"/>
          <w:szCs w:val="36"/>
          <w:rtl/>
        </w:rPr>
        <w:t>ة</w:t>
      </w:r>
      <w:r w:rsidR="00603323" w:rsidRPr="00FD211F">
        <w:rPr>
          <w:sz w:val="36"/>
          <w:szCs w:val="36"/>
          <w:rtl/>
        </w:rPr>
        <w:t xml:space="preserve">، </w:t>
      </w:r>
      <w:r w:rsidR="00EF3BA4" w:rsidRPr="00FD211F">
        <w:rPr>
          <w:sz w:val="36"/>
          <w:szCs w:val="36"/>
          <w:rtl/>
        </w:rPr>
        <w:t>فان كل شخص اذا راجع وجدانه ظهر له انه اذا اراد ان يضع اسما لولده يتصور اولا ذات ولده ويتصور ثانيا لفظا يناسبه ثم يتعهد في نفسه بانه متى قصد تفهيمه يتكلم بهذا اللفظ</w:t>
      </w:r>
      <w:r w:rsidR="00603323" w:rsidRPr="00FD211F">
        <w:rPr>
          <w:sz w:val="36"/>
          <w:szCs w:val="36"/>
          <w:rtl/>
        </w:rPr>
        <w:t xml:space="preserve">، </w:t>
      </w:r>
      <w:r w:rsidR="00EF3BA4" w:rsidRPr="00FD211F">
        <w:rPr>
          <w:sz w:val="36"/>
          <w:szCs w:val="36"/>
          <w:rtl/>
        </w:rPr>
        <w:t>ثم قال أنه</w:t>
      </w:r>
      <w:r w:rsidR="009A465B" w:rsidRPr="00FD211F">
        <w:rPr>
          <w:sz w:val="36"/>
          <w:szCs w:val="36"/>
          <w:rtl/>
        </w:rPr>
        <w:t xml:space="preserve"> حيث لامعنى لتعهد الشخص الا بالنسب</w:t>
      </w:r>
      <w:r w:rsidR="00EC7EDF" w:rsidRPr="00FD211F">
        <w:rPr>
          <w:sz w:val="36"/>
          <w:szCs w:val="36"/>
          <w:rtl/>
        </w:rPr>
        <w:t xml:space="preserve">ة </w:t>
      </w:r>
      <w:r w:rsidR="009A465B" w:rsidRPr="00FD211F">
        <w:rPr>
          <w:sz w:val="36"/>
          <w:szCs w:val="36"/>
          <w:rtl/>
        </w:rPr>
        <w:t>الى فعله الاختياري فلايمكن للواضع ان يتعهد بالنسب</w:t>
      </w:r>
      <w:r w:rsidR="00EC7EDF" w:rsidRPr="00FD211F">
        <w:rPr>
          <w:sz w:val="36"/>
          <w:szCs w:val="36"/>
          <w:rtl/>
        </w:rPr>
        <w:t xml:space="preserve">ة </w:t>
      </w:r>
      <w:r w:rsidR="009A465B" w:rsidRPr="00FD211F">
        <w:rPr>
          <w:sz w:val="36"/>
          <w:szCs w:val="36"/>
          <w:rtl/>
        </w:rPr>
        <w:t>الى استعمال الآخرين</w:t>
      </w:r>
      <w:r w:rsidR="00603323" w:rsidRPr="00FD211F">
        <w:rPr>
          <w:sz w:val="36"/>
          <w:szCs w:val="36"/>
          <w:rtl/>
        </w:rPr>
        <w:t xml:space="preserve">، </w:t>
      </w:r>
      <w:r w:rsidR="009A465B" w:rsidRPr="00FD211F">
        <w:rPr>
          <w:sz w:val="36"/>
          <w:szCs w:val="36"/>
          <w:rtl/>
        </w:rPr>
        <w:t xml:space="preserve">ولكن كل مستعمل </w:t>
      </w:r>
      <w:r w:rsidR="003A3C13" w:rsidRPr="00FD211F">
        <w:rPr>
          <w:sz w:val="36"/>
          <w:szCs w:val="36"/>
          <w:rtl/>
        </w:rPr>
        <w:t>-</w:t>
      </w:r>
      <w:r w:rsidR="009A465B" w:rsidRPr="00FD211F">
        <w:rPr>
          <w:sz w:val="36"/>
          <w:szCs w:val="36"/>
          <w:rtl/>
        </w:rPr>
        <w:t>بلحاظ انه واحد من اهل العرف</w:t>
      </w:r>
      <w:r w:rsidR="003A3C13" w:rsidRPr="00FD211F">
        <w:rPr>
          <w:sz w:val="36"/>
          <w:szCs w:val="36"/>
          <w:rtl/>
        </w:rPr>
        <w:t>-</w:t>
      </w:r>
      <w:r w:rsidR="009A465B" w:rsidRPr="00FD211F">
        <w:rPr>
          <w:sz w:val="36"/>
          <w:szCs w:val="36"/>
          <w:rtl/>
        </w:rPr>
        <w:t xml:space="preserve"> </w:t>
      </w:r>
      <w:r w:rsidR="003A3C13" w:rsidRPr="00FD211F">
        <w:rPr>
          <w:sz w:val="36"/>
          <w:szCs w:val="36"/>
          <w:rtl/>
        </w:rPr>
        <w:t xml:space="preserve">يتعهد </w:t>
      </w:r>
      <w:r w:rsidR="009A465B" w:rsidRPr="00FD211F">
        <w:rPr>
          <w:sz w:val="36"/>
          <w:szCs w:val="36"/>
          <w:rtl/>
        </w:rPr>
        <w:t xml:space="preserve">بان لايستعمل هذا اللفظ الا عند </w:t>
      </w:r>
      <w:r w:rsidR="00D815DE" w:rsidRPr="00FD211F">
        <w:rPr>
          <w:sz w:val="36"/>
          <w:szCs w:val="36"/>
          <w:rtl/>
        </w:rPr>
        <w:t>إراد</w:t>
      </w:r>
      <w:r w:rsidR="00EC7EDF" w:rsidRPr="00FD211F">
        <w:rPr>
          <w:sz w:val="36"/>
          <w:szCs w:val="36"/>
          <w:rtl/>
        </w:rPr>
        <w:t xml:space="preserve">ة </w:t>
      </w:r>
      <w:r w:rsidR="009A465B" w:rsidRPr="00FD211F">
        <w:rPr>
          <w:sz w:val="36"/>
          <w:szCs w:val="36"/>
          <w:rtl/>
        </w:rPr>
        <w:t>تفهيم هذا المعنى</w:t>
      </w:r>
      <w:r w:rsidR="00603323" w:rsidRPr="00FD211F">
        <w:rPr>
          <w:sz w:val="36"/>
          <w:szCs w:val="36"/>
          <w:rtl/>
        </w:rPr>
        <w:t xml:space="preserve">، </w:t>
      </w:r>
      <w:r w:rsidR="009A465B" w:rsidRPr="00FD211F">
        <w:rPr>
          <w:sz w:val="36"/>
          <w:szCs w:val="36"/>
          <w:rtl/>
        </w:rPr>
        <w:t>فكل مستعمل واضع حقيق</w:t>
      </w:r>
      <w:r w:rsidR="00EC7EDF" w:rsidRPr="00FD211F">
        <w:rPr>
          <w:sz w:val="36"/>
          <w:szCs w:val="36"/>
          <w:rtl/>
        </w:rPr>
        <w:t xml:space="preserve">ة </w:t>
      </w:r>
      <w:r w:rsidR="009A465B" w:rsidRPr="00FD211F">
        <w:rPr>
          <w:sz w:val="36"/>
          <w:szCs w:val="36"/>
          <w:rtl/>
        </w:rPr>
        <w:t>اي يصدر منه عملي</w:t>
      </w:r>
      <w:r w:rsidR="00EC7EDF" w:rsidRPr="00FD211F">
        <w:rPr>
          <w:sz w:val="36"/>
          <w:szCs w:val="36"/>
          <w:rtl/>
        </w:rPr>
        <w:t xml:space="preserve">ة </w:t>
      </w:r>
      <w:r w:rsidR="009A465B" w:rsidRPr="00FD211F">
        <w:rPr>
          <w:sz w:val="36"/>
          <w:szCs w:val="36"/>
          <w:rtl/>
        </w:rPr>
        <w:t>التعهد</w:t>
      </w:r>
      <w:r w:rsidR="002C7FDF" w:rsidRPr="00FD211F">
        <w:rPr>
          <w:sz w:val="36"/>
          <w:szCs w:val="36"/>
          <w:rtl/>
        </w:rPr>
        <w:t xml:space="preserve"> وان كان منصرف مفهوم الواضع الى المتعهد الاول</w:t>
      </w:r>
      <w:r w:rsidR="00ED5C78" w:rsidRPr="00FD211F">
        <w:rPr>
          <w:sz w:val="36"/>
          <w:szCs w:val="36"/>
          <w:rtl/>
        </w:rPr>
        <w:t>.</w:t>
      </w:r>
    </w:p>
    <w:p w14:paraId="3E6401CA" w14:textId="77777777" w:rsidR="00826602" w:rsidRPr="00FD211F" w:rsidRDefault="00ED5C78" w:rsidP="009C58C8">
      <w:pPr>
        <w:ind w:left="0" w:firstLine="227"/>
        <w:jc w:val="both"/>
        <w:rPr>
          <w:sz w:val="36"/>
          <w:szCs w:val="36"/>
          <w:rtl/>
        </w:rPr>
      </w:pPr>
      <w:r w:rsidRPr="00FD211F">
        <w:rPr>
          <w:sz w:val="36"/>
          <w:szCs w:val="36"/>
          <w:rtl/>
        </w:rPr>
        <w:t xml:space="preserve">والوضع بهذا المعنى </w:t>
      </w:r>
      <w:r w:rsidR="002C7FDF" w:rsidRPr="00FD211F">
        <w:rPr>
          <w:sz w:val="36"/>
          <w:szCs w:val="36"/>
          <w:rtl/>
        </w:rPr>
        <w:t>موافق لمعناه اللغوي</w:t>
      </w:r>
      <w:r w:rsidRPr="00FD211F">
        <w:rPr>
          <w:sz w:val="36"/>
          <w:szCs w:val="36"/>
          <w:rtl/>
        </w:rPr>
        <w:t xml:space="preserve"> أيضا</w:t>
      </w:r>
      <w:r w:rsidR="00603323" w:rsidRPr="00FD211F">
        <w:rPr>
          <w:sz w:val="36"/>
          <w:szCs w:val="36"/>
          <w:rtl/>
        </w:rPr>
        <w:t xml:space="preserve">، </w:t>
      </w:r>
      <w:r w:rsidRPr="00FD211F">
        <w:rPr>
          <w:sz w:val="36"/>
          <w:szCs w:val="36"/>
          <w:rtl/>
        </w:rPr>
        <w:t>فانه في اللغ</w:t>
      </w:r>
      <w:r w:rsidR="00EC7EDF" w:rsidRPr="00FD211F">
        <w:rPr>
          <w:sz w:val="36"/>
          <w:szCs w:val="36"/>
          <w:rtl/>
        </w:rPr>
        <w:t xml:space="preserve">ة </w:t>
      </w:r>
      <w:r w:rsidRPr="00FD211F">
        <w:rPr>
          <w:sz w:val="36"/>
          <w:szCs w:val="36"/>
          <w:rtl/>
        </w:rPr>
        <w:t>بمعنى الجعل والقرار</w:t>
      </w:r>
      <w:r w:rsidR="00603323" w:rsidRPr="00FD211F">
        <w:rPr>
          <w:sz w:val="36"/>
          <w:szCs w:val="36"/>
          <w:rtl/>
        </w:rPr>
        <w:t xml:space="preserve">، </w:t>
      </w:r>
      <w:r w:rsidR="004C1363" w:rsidRPr="00FD211F">
        <w:rPr>
          <w:sz w:val="36"/>
          <w:szCs w:val="36"/>
          <w:rtl/>
        </w:rPr>
        <w:t>ومنه وضع القوانين في الحكومات</w:t>
      </w:r>
      <w:r w:rsidR="00603323" w:rsidRPr="00FD211F">
        <w:rPr>
          <w:sz w:val="36"/>
          <w:szCs w:val="36"/>
          <w:rtl/>
        </w:rPr>
        <w:t xml:space="preserve">، </w:t>
      </w:r>
      <w:r w:rsidR="004C1363" w:rsidRPr="00FD211F">
        <w:rPr>
          <w:sz w:val="36"/>
          <w:szCs w:val="36"/>
          <w:rtl/>
        </w:rPr>
        <w:t>فانه بمعنى التزام تلك الحكوم</w:t>
      </w:r>
      <w:r w:rsidR="00EC7EDF" w:rsidRPr="00FD211F">
        <w:rPr>
          <w:sz w:val="36"/>
          <w:szCs w:val="36"/>
          <w:rtl/>
        </w:rPr>
        <w:t xml:space="preserve">ة </w:t>
      </w:r>
      <w:r w:rsidR="004C1363" w:rsidRPr="00FD211F">
        <w:rPr>
          <w:sz w:val="36"/>
          <w:szCs w:val="36"/>
          <w:rtl/>
        </w:rPr>
        <w:t xml:space="preserve">بتنفيذها </w:t>
      </w:r>
      <w:r w:rsidR="003A3C13" w:rsidRPr="00FD211F">
        <w:rPr>
          <w:sz w:val="36"/>
          <w:szCs w:val="36"/>
          <w:rtl/>
        </w:rPr>
        <w:t>في ا</w:t>
      </w:r>
      <w:r w:rsidR="004C1363" w:rsidRPr="00FD211F">
        <w:rPr>
          <w:sz w:val="36"/>
          <w:szCs w:val="36"/>
          <w:rtl/>
        </w:rPr>
        <w:t>لأم</w:t>
      </w:r>
      <w:r w:rsidR="00EC7EDF" w:rsidRPr="00FD211F">
        <w:rPr>
          <w:sz w:val="36"/>
          <w:szCs w:val="36"/>
          <w:rtl/>
        </w:rPr>
        <w:t>ة</w:t>
      </w:r>
      <w:r w:rsidR="00603323" w:rsidRPr="00FD211F">
        <w:rPr>
          <w:sz w:val="36"/>
          <w:szCs w:val="36"/>
          <w:rtl/>
        </w:rPr>
        <w:t xml:space="preserve">، </w:t>
      </w:r>
      <w:r w:rsidR="00162FC5" w:rsidRPr="00FD211F">
        <w:rPr>
          <w:sz w:val="36"/>
          <w:szCs w:val="36"/>
          <w:rtl/>
        </w:rPr>
        <w:t>وبناء عليه فالدلال</w:t>
      </w:r>
      <w:r w:rsidR="00EC7EDF" w:rsidRPr="00FD211F">
        <w:rPr>
          <w:sz w:val="36"/>
          <w:szCs w:val="36"/>
          <w:rtl/>
        </w:rPr>
        <w:t xml:space="preserve">ة </w:t>
      </w:r>
      <w:r w:rsidR="00162FC5" w:rsidRPr="00FD211F">
        <w:rPr>
          <w:sz w:val="36"/>
          <w:szCs w:val="36"/>
          <w:rtl/>
        </w:rPr>
        <w:t>الوضعي</w:t>
      </w:r>
      <w:r w:rsidR="00EC7EDF" w:rsidRPr="00FD211F">
        <w:rPr>
          <w:sz w:val="36"/>
          <w:szCs w:val="36"/>
          <w:rtl/>
        </w:rPr>
        <w:t xml:space="preserve">ة </w:t>
      </w:r>
      <w:r w:rsidR="00162FC5" w:rsidRPr="00FD211F">
        <w:rPr>
          <w:sz w:val="36"/>
          <w:szCs w:val="36"/>
          <w:rtl/>
        </w:rPr>
        <w:t>تكون دلال</w:t>
      </w:r>
      <w:r w:rsidR="00EC7EDF" w:rsidRPr="00FD211F">
        <w:rPr>
          <w:sz w:val="36"/>
          <w:szCs w:val="36"/>
          <w:rtl/>
        </w:rPr>
        <w:t xml:space="preserve">ة </w:t>
      </w:r>
      <w:r w:rsidR="00162FC5" w:rsidRPr="00FD211F">
        <w:rPr>
          <w:sz w:val="36"/>
          <w:szCs w:val="36"/>
          <w:rtl/>
        </w:rPr>
        <w:t>تصديقي</w:t>
      </w:r>
      <w:r w:rsidR="00EC7EDF" w:rsidRPr="00FD211F">
        <w:rPr>
          <w:sz w:val="36"/>
          <w:szCs w:val="36"/>
          <w:rtl/>
        </w:rPr>
        <w:t xml:space="preserve">ة </w:t>
      </w:r>
      <w:r w:rsidR="00162FC5" w:rsidRPr="00FD211F">
        <w:rPr>
          <w:sz w:val="36"/>
          <w:szCs w:val="36"/>
          <w:rtl/>
        </w:rPr>
        <w:t>دائما</w:t>
      </w:r>
      <w:r w:rsidR="00603323" w:rsidRPr="00FD211F">
        <w:rPr>
          <w:sz w:val="36"/>
          <w:szCs w:val="36"/>
          <w:rtl/>
        </w:rPr>
        <w:t xml:space="preserve">، </w:t>
      </w:r>
      <w:r w:rsidR="00162FC5" w:rsidRPr="00FD211F">
        <w:rPr>
          <w:sz w:val="36"/>
          <w:szCs w:val="36"/>
          <w:rtl/>
        </w:rPr>
        <w:t xml:space="preserve">اي تدل على وجود </w:t>
      </w:r>
      <w:r w:rsidR="00D815DE" w:rsidRPr="00FD211F">
        <w:rPr>
          <w:sz w:val="36"/>
          <w:szCs w:val="36"/>
          <w:rtl/>
        </w:rPr>
        <w:t>إراد</w:t>
      </w:r>
      <w:r w:rsidR="00EC7EDF" w:rsidRPr="00FD211F">
        <w:rPr>
          <w:sz w:val="36"/>
          <w:szCs w:val="36"/>
          <w:rtl/>
        </w:rPr>
        <w:t xml:space="preserve">ة </w:t>
      </w:r>
      <w:r w:rsidR="00162FC5" w:rsidRPr="00FD211F">
        <w:rPr>
          <w:sz w:val="36"/>
          <w:szCs w:val="36"/>
          <w:rtl/>
        </w:rPr>
        <w:t>المتكلم لتفهيم المعنى وليست مجرد دلال</w:t>
      </w:r>
      <w:r w:rsidR="00EC7EDF" w:rsidRPr="00FD211F">
        <w:rPr>
          <w:sz w:val="36"/>
          <w:szCs w:val="36"/>
          <w:rtl/>
        </w:rPr>
        <w:t xml:space="preserve">ة </w:t>
      </w:r>
      <w:r w:rsidR="003A3C13" w:rsidRPr="00FD211F">
        <w:rPr>
          <w:sz w:val="36"/>
          <w:szCs w:val="36"/>
          <w:rtl/>
        </w:rPr>
        <w:t>تصوري</w:t>
      </w:r>
      <w:r w:rsidR="00EC7EDF" w:rsidRPr="00FD211F">
        <w:rPr>
          <w:sz w:val="36"/>
          <w:szCs w:val="36"/>
          <w:rtl/>
        </w:rPr>
        <w:t xml:space="preserve">ة </w:t>
      </w:r>
      <w:r w:rsidR="003A3C13" w:rsidRPr="00FD211F">
        <w:rPr>
          <w:sz w:val="36"/>
          <w:szCs w:val="36"/>
          <w:rtl/>
        </w:rPr>
        <w:t>بمعنى وضع اللفظ لأجل ان يوجب تصوره تصور المعنى</w:t>
      </w:r>
      <w:r w:rsidR="00603323" w:rsidRPr="00FD211F">
        <w:rPr>
          <w:sz w:val="36"/>
          <w:szCs w:val="36"/>
          <w:rtl/>
        </w:rPr>
        <w:t xml:space="preserve">، </w:t>
      </w:r>
      <w:r w:rsidR="003A3C13" w:rsidRPr="00FD211F">
        <w:rPr>
          <w:sz w:val="36"/>
          <w:szCs w:val="36"/>
          <w:rtl/>
        </w:rPr>
        <w:t>وعليه</w:t>
      </w:r>
      <w:r w:rsidR="00162FC5" w:rsidRPr="00FD211F">
        <w:rPr>
          <w:sz w:val="36"/>
          <w:szCs w:val="36"/>
          <w:rtl/>
        </w:rPr>
        <w:t xml:space="preserve"> فدلال</w:t>
      </w:r>
      <w:r w:rsidR="00EC7EDF" w:rsidRPr="00FD211F">
        <w:rPr>
          <w:sz w:val="36"/>
          <w:szCs w:val="36"/>
          <w:rtl/>
        </w:rPr>
        <w:t xml:space="preserve">ة </w:t>
      </w:r>
      <w:r w:rsidR="00162FC5" w:rsidRPr="00FD211F">
        <w:rPr>
          <w:sz w:val="36"/>
          <w:szCs w:val="36"/>
          <w:rtl/>
        </w:rPr>
        <w:t>الكلام الصادر من النائم لاتكون دلال</w:t>
      </w:r>
      <w:r w:rsidR="00EC7EDF" w:rsidRPr="00FD211F">
        <w:rPr>
          <w:sz w:val="36"/>
          <w:szCs w:val="36"/>
          <w:rtl/>
        </w:rPr>
        <w:t xml:space="preserve">ة </w:t>
      </w:r>
      <w:r w:rsidR="00162FC5" w:rsidRPr="00FD211F">
        <w:rPr>
          <w:sz w:val="36"/>
          <w:szCs w:val="36"/>
          <w:rtl/>
        </w:rPr>
        <w:t>وضعي</w:t>
      </w:r>
      <w:r w:rsidR="00EC7EDF" w:rsidRPr="00FD211F">
        <w:rPr>
          <w:sz w:val="36"/>
          <w:szCs w:val="36"/>
          <w:rtl/>
        </w:rPr>
        <w:t>ة</w:t>
      </w:r>
      <w:r w:rsidR="00603323" w:rsidRPr="00FD211F">
        <w:rPr>
          <w:sz w:val="36"/>
          <w:szCs w:val="36"/>
          <w:rtl/>
        </w:rPr>
        <w:t xml:space="preserve">، </w:t>
      </w:r>
      <w:r w:rsidR="00F2169A" w:rsidRPr="00FD211F">
        <w:rPr>
          <w:sz w:val="36"/>
          <w:szCs w:val="36"/>
          <w:rtl/>
        </w:rPr>
        <w:t xml:space="preserve">حيث ان الانسان لايتعهد بان لايتلفظ </w:t>
      </w:r>
      <w:r w:rsidR="003A3C13" w:rsidRPr="00FD211F">
        <w:rPr>
          <w:sz w:val="36"/>
          <w:szCs w:val="36"/>
          <w:rtl/>
        </w:rPr>
        <w:t>ب</w:t>
      </w:r>
      <w:r w:rsidR="00F2169A" w:rsidRPr="00FD211F">
        <w:rPr>
          <w:sz w:val="36"/>
          <w:szCs w:val="36"/>
          <w:rtl/>
        </w:rPr>
        <w:t xml:space="preserve">اللفظ في حال نومه الا عند </w:t>
      </w:r>
      <w:r w:rsidR="00D815DE" w:rsidRPr="00FD211F">
        <w:rPr>
          <w:sz w:val="36"/>
          <w:szCs w:val="36"/>
          <w:rtl/>
        </w:rPr>
        <w:t>إراد</w:t>
      </w:r>
      <w:r w:rsidR="00EC7EDF" w:rsidRPr="00FD211F">
        <w:rPr>
          <w:sz w:val="36"/>
          <w:szCs w:val="36"/>
          <w:rtl/>
        </w:rPr>
        <w:t xml:space="preserve">ة </w:t>
      </w:r>
      <w:r w:rsidR="00F2169A" w:rsidRPr="00FD211F">
        <w:rPr>
          <w:sz w:val="36"/>
          <w:szCs w:val="36"/>
          <w:rtl/>
        </w:rPr>
        <w:t xml:space="preserve">تفهيم </w:t>
      </w:r>
      <w:r w:rsidR="003A3C13" w:rsidRPr="00FD211F">
        <w:rPr>
          <w:sz w:val="36"/>
          <w:szCs w:val="36"/>
          <w:rtl/>
        </w:rPr>
        <w:t>معناه</w:t>
      </w:r>
      <w:r w:rsidR="00603323" w:rsidRPr="00FD211F">
        <w:rPr>
          <w:sz w:val="36"/>
          <w:szCs w:val="36"/>
          <w:rtl/>
        </w:rPr>
        <w:t xml:space="preserve">، </w:t>
      </w:r>
      <w:r w:rsidR="00F2169A" w:rsidRPr="00FD211F">
        <w:rPr>
          <w:sz w:val="36"/>
          <w:szCs w:val="36"/>
          <w:rtl/>
        </w:rPr>
        <w:t xml:space="preserve">وما يخطر بذهن المخاطب من الكلام </w:t>
      </w:r>
      <w:r w:rsidR="00C218C2" w:rsidRPr="00FD211F">
        <w:rPr>
          <w:sz w:val="36"/>
          <w:szCs w:val="36"/>
          <w:rtl/>
        </w:rPr>
        <w:t>الصادر من النائم يكون من باب الأُ</w:t>
      </w:r>
      <w:r w:rsidR="00F2169A" w:rsidRPr="00FD211F">
        <w:rPr>
          <w:sz w:val="36"/>
          <w:szCs w:val="36"/>
          <w:rtl/>
        </w:rPr>
        <w:t>نس</w:t>
      </w:r>
      <w:r w:rsidR="00603323" w:rsidRPr="00FD211F">
        <w:rPr>
          <w:sz w:val="36"/>
          <w:szCs w:val="36"/>
          <w:rtl/>
        </w:rPr>
        <w:t xml:space="preserve">، </w:t>
      </w:r>
      <w:r w:rsidR="00F2169A" w:rsidRPr="00FD211F">
        <w:rPr>
          <w:sz w:val="36"/>
          <w:szCs w:val="36"/>
          <w:rtl/>
        </w:rPr>
        <w:t>فدلال</w:t>
      </w:r>
      <w:r w:rsidR="00EC7EDF" w:rsidRPr="00FD211F">
        <w:rPr>
          <w:sz w:val="36"/>
          <w:szCs w:val="36"/>
          <w:rtl/>
        </w:rPr>
        <w:t xml:space="preserve">ة </w:t>
      </w:r>
      <w:r w:rsidR="003A3C13" w:rsidRPr="00FD211F">
        <w:rPr>
          <w:sz w:val="36"/>
          <w:szCs w:val="36"/>
          <w:rtl/>
        </w:rPr>
        <w:t>هذا اللفظ الصادر من النائم على معناه</w:t>
      </w:r>
      <w:r w:rsidR="00F2169A" w:rsidRPr="00FD211F">
        <w:rPr>
          <w:sz w:val="36"/>
          <w:szCs w:val="36"/>
          <w:rtl/>
        </w:rPr>
        <w:t xml:space="preserve"> تكون دلال</w:t>
      </w:r>
      <w:r w:rsidR="00EC7EDF" w:rsidRPr="00FD211F">
        <w:rPr>
          <w:sz w:val="36"/>
          <w:szCs w:val="36"/>
          <w:rtl/>
        </w:rPr>
        <w:t xml:space="preserve">ة </w:t>
      </w:r>
      <w:r w:rsidR="000C5892" w:rsidRPr="00FD211F">
        <w:rPr>
          <w:sz w:val="36"/>
          <w:szCs w:val="36"/>
          <w:rtl/>
        </w:rPr>
        <w:t>أ</w:t>
      </w:r>
      <w:r w:rsidR="00C218C2" w:rsidRPr="00FD211F">
        <w:rPr>
          <w:sz w:val="36"/>
          <w:szCs w:val="36"/>
          <w:rtl/>
        </w:rPr>
        <w:t>ُ</w:t>
      </w:r>
      <w:r w:rsidR="000C5892" w:rsidRPr="00FD211F">
        <w:rPr>
          <w:sz w:val="36"/>
          <w:szCs w:val="36"/>
          <w:rtl/>
        </w:rPr>
        <w:t>نسي</w:t>
      </w:r>
      <w:r w:rsidR="00EC7EDF" w:rsidRPr="00FD211F">
        <w:rPr>
          <w:sz w:val="36"/>
          <w:szCs w:val="36"/>
          <w:rtl/>
        </w:rPr>
        <w:t xml:space="preserve">ة </w:t>
      </w:r>
      <w:r w:rsidR="003A3C13" w:rsidRPr="00FD211F">
        <w:rPr>
          <w:sz w:val="36"/>
          <w:szCs w:val="36"/>
          <w:rtl/>
        </w:rPr>
        <w:t>لاوضعي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10"/>
      </w:r>
      <w:r w:rsidR="009C58C8" w:rsidRPr="00FD211F">
        <w:rPr>
          <w:rStyle w:val="a6"/>
          <w:sz w:val="36"/>
          <w:szCs w:val="36"/>
          <w:rtl/>
        </w:rPr>
        <w:t>)</w:t>
      </w:r>
      <w:r w:rsidR="00A16D27" w:rsidRPr="00FD211F">
        <w:rPr>
          <w:sz w:val="36"/>
          <w:szCs w:val="36"/>
          <w:rtl/>
        </w:rPr>
        <w:t>.</w:t>
      </w:r>
    </w:p>
    <w:p w14:paraId="1DA576D4" w14:textId="77777777" w:rsidR="00A16D27" w:rsidRPr="00FD211F" w:rsidRDefault="00A16D27" w:rsidP="009C58C8">
      <w:pPr>
        <w:ind w:left="0" w:firstLine="227"/>
        <w:jc w:val="both"/>
        <w:rPr>
          <w:sz w:val="36"/>
          <w:szCs w:val="36"/>
          <w:rtl/>
        </w:rPr>
      </w:pPr>
      <w:r w:rsidRPr="00FD211F">
        <w:rPr>
          <w:sz w:val="36"/>
          <w:szCs w:val="36"/>
          <w:rtl/>
        </w:rPr>
        <w:t xml:space="preserve">وقد </w:t>
      </w:r>
      <w:r w:rsidR="005C1F52" w:rsidRPr="00FD211F">
        <w:rPr>
          <w:sz w:val="36"/>
          <w:szCs w:val="36"/>
          <w:rtl/>
        </w:rPr>
        <w:t>أشكل عليه بعدة اشكالات</w:t>
      </w:r>
      <w:r w:rsidRPr="00FD211F">
        <w:rPr>
          <w:sz w:val="36"/>
          <w:szCs w:val="36"/>
          <w:rtl/>
        </w:rPr>
        <w:t>:</w:t>
      </w:r>
    </w:p>
    <w:p w14:paraId="6FCC71B0" w14:textId="77777777" w:rsidR="00A16D27" w:rsidRPr="00FD211F" w:rsidRDefault="00F73522" w:rsidP="009C58C8">
      <w:pPr>
        <w:ind w:left="0" w:firstLine="227"/>
        <w:jc w:val="both"/>
        <w:rPr>
          <w:sz w:val="36"/>
          <w:szCs w:val="36"/>
          <w:rtl/>
        </w:rPr>
      </w:pPr>
      <w:r w:rsidRPr="00FD211F">
        <w:rPr>
          <w:b/>
          <w:bCs/>
          <w:sz w:val="36"/>
          <w:szCs w:val="36"/>
          <w:rtl/>
        </w:rPr>
        <w:t>الاشكال الاول</w:t>
      </w:r>
      <w:r w:rsidR="00856647" w:rsidRPr="00FD211F">
        <w:rPr>
          <w:sz w:val="36"/>
          <w:szCs w:val="36"/>
          <w:rtl/>
        </w:rPr>
        <w:t>:</w:t>
      </w:r>
      <w:r w:rsidR="00A16D27" w:rsidRPr="00FD211F">
        <w:rPr>
          <w:sz w:val="36"/>
          <w:szCs w:val="36"/>
          <w:rtl/>
        </w:rPr>
        <w:t xml:space="preserve"> النقض بما لو</w:t>
      </w:r>
      <w:r w:rsidR="008D7B3D" w:rsidRPr="00FD211F">
        <w:rPr>
          <w:sz w:val="36"/>
          <w:szCs w:val="36"/>
          <w:rtl/>
        </w:rPr>
        <w:t xml:space="preserve"> لم‌</w:t>
      </w:r>
      <w:r w:rsidR="00A16D27" w:rsidRPr="00FD211F">
        <w:rPr>
          <w:sz w:val="36"/>
          <w:szCs w:val="36"/>
          <w:rtl/>
        </w:rPr>
        <w:t>يكن الواضع مستعملا ابدا</w:t>
      </w:r>
      <w:r w:rsidR="00603323" w:rsidRPr="00FD211F">
        <w:rPr>
          <w:sz w:val="36"/>
          <w:szCs w:val="36"/>
          <w:rtl/>
        </w:rPr>
        <w:t xml:space="preserve">، </w:t>
      </w:r>
      <w:r w:rsidR="00A16D27" w:rsidRPr="00FD211F">
        <w:rPr>
          <w:sz w:val="36"/>
          <w:szCs w:val="36"/>
          <w:rtl/>
        </w:rPr>
        <w:t xml:space="preserve">كما في وضع </w:t>
      </w:r>
      <w:r w:rsidR="0084290B" w:rsidRPr="00FD211F">
        <w:rPr>
          <w:sz w:val="36"/>
          <w:szCs w:val="36"/>
          <w:rtl/>
        </w:rPr>
        <w:t>الزعيم إ</w:t>
      </w:r>
      <w:r w:rsidR="006A339B" w:rsidRPr="00FD211F">
        <w:rPr>
          <w:sz w:val="36"/>
          <w:szCs w:val="36"/>
          <w:rtl/>
        </w:rPr>
        <w:t>سما ل</w:t>
      </w:r>
      <w:r w:rsidR="0084290B" w:rsidRPr="00FD211F">
        <w:rPr>
          <w:sz w:val="36"/>
          <w:szCs w:val="36"/>
          <w:rtl/>
        </w:rPr>
        <w:t>مولود</w:t>
      </w:r>
      <w:r w:rsidR="008E388B" w:rsidRPr="00FD211F">
        <w:rPr>
          <w:sz w:val="36"/>
          <w:szCs w:val="36"/>
          <w:rtl/>
        </w:rPr>
        <w:t>ٍ</w:t>
      </w:r>
      <w:r w:rsidR="0084290B" w:rsidRPr="00FD211F">
        <w:rPr>
          <w:sz w:val="36"/>
          <w:szCs w:val="36"/>
          <w:rtl/>
        </w:rPr>
        <w:t xml:space="preserve"> مع انه لايستعمله فيه أبدا لبُعده عنه</w:t>
      </w:r>
      <w:r w:rsidR="00603323" w:rsidRPr="00FD211F">
        <w:rPr>
          <w:sz w:val="36"/>
          <w:szCs w:val="36"/>
          <w:rtl/>
        </w:rPr>
        <w:t xml:space="preserve">، </w:t>
      </w:r>
      <w:r w:rsidR="0084290B" w:rsidRPr="00FD211F">
        <w:rPr>
          <w:sz w:val="36"/>
          <w:szCs w:val="36"/>
          <w:rtl/>
        </w:rPr>
        <w:t>او</w:t>
      </w:r>
      <w:r w:rsidR="006A339B" w:rsidRPr="00FD211F">
        <w:rPr>
          <w:sz w:val="36"/>
          <w:szCs w:val="36"/>
          <w:rtl/>
        </w:rPr>
        <w:t>وضع الواضع اشارات معين</w:t>
      </w:r>
      <w:r w:rsidR="00EC7EDF" w:rsidRPr="00FD211F">
        <w:rPr>
          <w:sz w:val="36"/>
          <w:szCs w:val="36"/>
          <w:rtl/>
        </w:rPr>
        <w:t xml:space="preserve">ة </w:t>
      </w:r>
      <w:r w:rsidR="00A16D27" w:rsidRPr="00FD211F">
        <w:rPr>
          <w:sz w:val="36"/>
          <w:szCs w:val="36"/>
          <w:rtl/>
        </w:rPr>
        <w:t>ليستعين بها الأخرس على تفهيم مقاصده</w:t>
      </w:r>
      <w:r w:rsidR="00603323" w:rsidRPr="00FD211F">
        <w:rPr>
          <w:sz w:val="36"/>
          <w:szCs w:val="36"/>
          <w:rtl/>
        </w:rPr>
        <w:t xml:space="preserve">، </w:t>
      </w:r>
      <w:r w:rsidR="00A16D27" w:rsidRPr="00FD211F">
        <w:rPr>
          <w:sz w:val="36"/>
          <w:szCs w:val="36"/>
          <w:rtl/>
        </w:rPr>
        <w:t>فانه لامعنى لتعهد الواضع بالنسب</w:t>
      </w:r>
      <w:r w:rsidR="00EC7EDF" w:rsidRPr="00FD211F">
        <w:rPr>
          <w:sz w:val="36"/>
          <w:szCs w:val="36"/>
          <w:rtl/>
        </w:rPr>
        <w:t xml:space="preserve">ة </w:t>
      </w:r>
      <w:r w:rsidR="00A16D27" w:rsidRPr="00FD211F">
        <w:rPr>
          <w:sz w:val="36"/>
          <w:szCs w:val="36"/>
          <w:rtl/>
        </w:rPr>
        <w:t>الى فعل الآخرين</w:t>
      </w:r>
      <w:r w:rsidR="00603323" w:rsidRPr="00FD211F">
        <w:rPr>
          <w:sz w:val="36"/>
          <w:szCs w:val="36"/>
          <w:rtl/>
        </w:rPr>
        <w:t xml:space="preserve">، </w:t>
      </w:r>
      <w:r w:rsidR="00A16D27" w:rsidRPr="00FD211F">
        <w:rPr>
          <w:sz w:val="36"/>
          <w:szCs w:val="36"/>
          <w:rtl/>
        </w:rPr>
        <w:t>فيلزم بناء على هذا التفسير لحقيق</w:t>
      </w:r>
      <w:r w:rsidR="00EC7EDF" w:rsidRPr="00FD211F">
        <w:rPr>
          <w:sz w:val="36"/>
          <w:szCs w:val="36"/>
          <w:rtl/>
        </w:rPr>
        <w:t xml:space="preserve">ة </w:t>
      </w:r>
      <w:r w:rsidR="00A16D27" w:rsidRPr="00FD211F">
        <w:rPr>
          <w:sz w:val="36"/>
          <w:szCs w:val="36"/>
          <w:rtl/>
        </w:rPr>
        <w:t>الوضع عدم صدور اي وضع من هذا الواضع وهو خلاف الوجدان</w:t>
      </w:r>
      <w:r w:rsidR="00603323" w:rsidRPr="00FD211F">
        <w:rPr>
          <w:sz w:val="36"/>
          <w:szCs w:val="36"/>
          <w:rtl/>
        </w:rPr>
        <w:t xml:space="preserve">، </w:t>
      </w:r>
      <w:r w:rsidR="009C55C7" w:rsidRPr="00FD211F">
        <w:rPr>
          <w:sz w:val="36"/>
          <w:szCs w:val="36"/>
          <w:rtl/>
        </w:rPr>
        <w:t>وكونه من</w:t>
      </w:r>
      <w:r w:rsidR="00A16D27" w:rsidRPr="00FD211F">
        <w:rPr>
          <w:sz w:val="36"/>
          <w:szCs w:val="36"/>
          <w:rtl/>
        </w:rPr>
        <w:t xml:space="preserve"> قبيل التصرف الفضولي </w:t>
      </w:r>
      <w:r w:rsidR="009C55C7" w:rsidRPr="00FD211F">
        <w:rPr>
          <w:sz w:val="36"/>
          <w:szCs w:val="36"/>
          <w:rtl/>
        </w:rPr>
        <w:t xml:space="preserve">بان </w:t>
      </w:r>
      <w:r w:rsidR="00A16D27" w:rsidRPr="00FD211F">
        <w:rPr>
          <w:sz w:val="36"/>
          <w:szCs w:val="36"/>
          <w:rtl/>
        </w:rPr>
        <w:t>يتعهد هذا الواضع فضول</w:t>
      </w:r>
      <w:r w:rsidR="00EC7EDF" w:rsidRPr="00FD211F">
        <w:rPr>
          <w:sz w:val="36"/>
          <w:szCs w:val="36"/>
          <w:rtl/>
        </w:rPr>
        <w:t xml:space="preserve">ة </w:t>
      </w:r>
      <w:r w:rsidR="00A16D27" w:rsidRPr="00FD211F">
        <w:rPr>
          <w:sz w:val="36"/>
          <w:szCs w:val="36"/>
          <w:rtl/>
        </w:rPr>
        <w:t xml:space="preserve">عن </w:t>
      </w:r>
      <w:r w:rsidR="0084290B" w:rsidRPr="00FD211F">
        <w:rPr>
          <w:sz w:val="36"/>
          <w:szCs w:val="36"/>
          <w:rtl/>
        </w:rPr>
        <w:t>عائل</w:t>
      </w:r>
      <w:r w:rsidR="00EC7EDF" w:rsidRPr="00FD211F">
        <w:rPr>
          <w:sz w:val="36"/>
          <w:szCs w:val="36"/>
          <w:rtl/>
        </w:rPr>
        <w:t xml:space="preserve">ة </w:t>
      </w:r>
      <w:r w:rsidR="0084290B" w:rsidRPr="00FD211F">
        <w:rPr>
          <w:sz w:val="36"/>
          <w:szCs w:val="36"/>
          <w:rtl/>
        </w:rPr>
        <w:t xml:space="preserve">المولود في المثال الأول وعن </w:t>
      </w:r>
      <w:r w:rsidR="00A16D27" w:rsidRPr="00FD211F">
        <w:rPr>
          <w:sz w:val="36"/>
          <w:szCs w:val="36"/>
          <w:rtl/>
        </w:rPr>
        <w:t>الأخرس</w:t>
      </w:r>
      <w:r w:rsidR="0084290B" w:rsidRPr="00FD211F">
        <w:rPr>
          <w:sz w:val="36"/>
          <w:szCs w:val="36"/>
          <w:rtl/>
        </w:rPr>
        <w:t xml:space="preserve"> في المثال الثاني</w:t>
      </w:r>
      <w:r w:rsidR="00603323" w:rsidRPr="00FD211F">
        <w:rPr>
          <w:sz w:val="36"/>
          <w:szCs w:val="36"/>
          <w:rtl/>
        </w:rPr>
        <w:t xml:space="preserve">، </w:t>
      </w:r>
      <w:r w:rsidR="009C55C7" w:rsidRPr="00FD211F">
        <w:rPr>
          <w:sz w:val="36"/>
          <w:szCs w:val="36"/>
          <w:rtl/>
        </w:rPr>
        <w:t>بعيد جدا</w:t>
      </w:r>
      <w:r w:rsidR="00603323" w:rsidRPr="00FD211F">
        <w:rPr>
          <w:sz w:val="36"/>
          <w:szCs w:val="36"/>
          <w:rtl/>
        </w:rPr>
        <w:t xml:space="preserve">، </w:t>
      </w:r>
      <w:r w:rsidR="009C55C7" w:rsidRPr="00FD211F">
        <w:rPr>
          <w:sz w:val="36"/>
          <w:szCs w:val="36"/>
          <w:rtl/>
        </w:rPr>
        <w:t>لشهاد</w:t>
      </w:r>
      <w:r w:rsidR="00EC7EDF" w:rsidRPr="00FD211F">
        <w:rPr>
          <w:sz w:val="36"/>
          <w:szCs w:val="36"/>
          <w:rtl/>
        </w:rPr>
        <w:t xml:space="preserve">ة </w:t>
      </w:r>
      <w:r w:rsidR="009C55C7" w:rsidRPr="00FD211F">
        <w:rPr>
          <w:sz w:val="36"/>
          <w:szCs w:val="36"/>
          <w:rtl/>
        </w:rPr>
        <w:t>الوجدان ب</w:t>
      </w:r>
      <w:r w:rsidR="0084290B" w:rsidRPr="00FD211F">
        <w:rPr>
          <w:sz w:val="36"/>
          <w:szCs w:val="36"/>
          <w:rtl/>
        </w:rPr>
        <w:t>خلو</w:t>
      </w:r>
      <w:r w:rsidR="00C218C2" w:rsidRPr="00FD211F">
        <w:rPr>
          <w:sz w:val="36"/>
          <w:szCs w:val="36"/>
          <w:rtl/>
        </w:rPr>
        <w:t>ّ</w:t>
      </w:r>
      <w:r w:rsidR="0084290B" w:rsidRPr="00FD211F">
        <w:rPr>
          <w:sz w:val="36"/>
          <w:szCs w:val="36"/>
          <w:rtl/>
        </w:rPr>
        <w:t xml:space="preserve"> وضع الواضع في المثالين عن التعهد ولو بنحو الفضولي</w:t>
      </w:r>
      <w:r w:rsidR="00EC7EDF" w:rsidRPr="00FD211F">
        <w:rPr>
          <w:sz w:val="36"/>
          <w:szCs w:val="36"/>
          <w:rtl/>
        </w:rPr>
        <w:t>ة</w:t>
      </w:r>
      <w:r w:rsidR="00A61BAE" w:rsidRPr="00FD211F">
        <w:rPr>
          <w:sz w:val="36"/>
          <w:szCs w:val="36"/>
          <w:rtl/>
        </w:rPr>
        <w:t>.</w:t>
      </w:r>
    </w:p>
    <w:p w14:paraId="11326281" w14:textId="77777777" w:rsidR="00157156" w:rsidRPr="00FD211F" w:rsidRDefault="00F73522" w:rsidP="009C58C8">
      <w:pPr>
        <w:ind w:left="0" w:firstLine="227"/>
        <w:jc w:val="both"/>
        <w:rPr>
          <w:sz w:val="36"/>
          <w:szCs w:val="36"/>
          <w:rtl/>
        </w:rPr>
      </w:pPr>
      <w:r w:rsidRPr="00FD211F">
        <w:rPr>
          <w:b/>
          <w:bCs/>
          <w:sz w:val="36"/>
          <w:szCs w:val="36"/>
          <w:rtl/>
        </w:rPr>
        <w:t>الاشكال الثاني</w:t>
      </w:r>
      <w:r w:rsidR="00856647" w:rsidRPr="00FD211F">
        <w:rPr>
          <w:sz w:val="36"/>
          <w:szCs w:val="36"/>
          <w:rtl/>
        </w:rPr>
        <w:t>:</w:t>
      </w:r>
      <w:r w:rsidR="00157156" w:rsidRPr="00FD211F">
        <w:rPr>
          <w:sz w:val="36"/>
          <w:szCs w:val="36"/>
          <w:rtl/>
        </w:rPr>
        <w:t xml:space="preserve"> ما ذكره المحقق الايروان</w:t>
      </w:r>
      <w:r w:rsidR="008E388B" w:rsidRPr="00FD211F">
        <w:rPr>
          <w:sz w:val="36"/>
          <w:szCs w:val="36"/>
          <w:rtl/>
        </w:rPr>
        <w:t>ي</w:t>
      </w:r>
      <w:r w:rsidR="00AB1B12" w:rsidRPr="00FD211F">
        <w:rPr>
          <w:sz w:val="36"/>
          <w:szCs w:val="36"/>
          <w:rtl/>
        </w:rPr>
        <w:t>"</w:t>
      </w:r>
      <w:r w:rsidR="00157156" w:rsidRPr="00FD211F">
        <w:rPr>
          <w:sz w:val="36"/>
          <w:szCs w:val="36"/>
          <w:rtl/>
        </w:rPr>
        <w:t>قده</w:t>
      </w:r>
      <w:r w:rsidR="00AB1B12" w:rsidRPr="00FD211F">
        <w:rPr>
          <w:sz w:val="36"/>
          <w:szCs w:val="36"/>
          <w:rtl/>
        </w:rPr>
        <w:t>"</w:t>
      </w:r>
      <w:r w:rsidR="00157156" w:rsidRPr="00FD211F">
        <w:rPr>
          <w:sz w:val="36"/>
          <w:szCs w:val="36"/>
          <w:rtl/>
        </w:rPr>
        <w:t xml:space="preserve"> من انه بناء على نظري</w:t>
      </w:r>
      <w:r w:rsidR="00EC7EDF" w:rsidRPr="00FD211F">
        <w:rPr>
          <w:sz w:val="36"/>
          <w:szCs w:val="36"/>
          <w:rtl/>
        </w:rPr>
        <w:t xml:space="preserve">ة </w:t>
      </w:r>
      <w:r w:rsidR="00DC567B" w:rsidRPr="00FD211F">
        <w:rPr>
          <w:sz w:val="36"/>
          <w:szCs w:val="36"/>
          <w:rtl/>
        </w:rPr>
        <w:t xml:space="preserve">التعهد يكون المعنى الموضوع له </w:t>
      </w:r>
      <w:r w:rsidR="00157156" w:rsidRPr="00FD211F">
        <w:rPr>
          <w:sz w:val="36"/>
          <w:szCs w:val="36"/>
          <w:rtl/>
        </w:rPr>
        <w:t xml:space="preserve">هو </w:t>
      </w:r>
      <w:r w:rsidR="00D815DE" w:rsidRPr="00FD211F">
        <w:rPr>
          <w:sz w:val="36"/>
          <w:szCs w:val="36"/>
          <w:rtl/>
        </w:rPr>
        <w:t>إراد</w:t>
      </w:r>
      <w:r w:rsidR="00EC7EDF" w:rsidRPr="00FD211F">
        <w:rPr>
          <w:sz w:val="36"/>
          <w:szCs w:val="36"/>
          <w:rtl/>
        </w:rPr>
        <w:t xml:space="preserve">ة </w:t>
      </w:r>
      <w:r w:rsidR="00157156" w:rsidRPr="00FD211F">
        <w:rPr>
          <w:sz w:val="36"/>
          <w:szCs w:val="36"/>
          <w:rtl/>
        </w:rPr>
        <w:t>تفهيم المعنى دون نفس المعنى</w:t>
      </w:r>
      <w:r w:rsidR="00603323" w:rsidRPr="00FD211F">
        <w:rPr>
          <w:sz w:val="36"/>
          <w:szCs w:val="36"/>
          <w:rtl/>
        </w:rPr>
        <w:t xml:space="preserve">، </w:t>
      </w:r>
      <w:r w:rsidR="00157156" w:rsidRPr="00FD211F">
        <w:rPr>
          <w:sz w:val="36"/>
          <w:szCs w:val="36"/>
          <w:rtl/>
        </w:rPr>
        <w:t>وهو خلاف الوجدان</w:t>
      </w:r>
      <w:r w:rsidR="00603323" w:rsidRPr="00FD211F">
        <w:rPr>
          <w:sz w:val="36"/>
          <w:szCs w:val="36"/>
          <w:rtl/>
        </w:rPr>
        <w:t xml:space="preserve">، </w:t>
      </w:r>
      <w:r w:rsidR="00F073E7" w:rsidRPr="00FD211F">
        <w:rPr>
          <w:sz w:val="36"/>
          <w:szCs w:val="36"/>
          <w:rtl/>
        </w:rPr>
        <w:t>حيث لاينتقل الذهن من اللفظ الا الى نفس المعنى</w:t>
      </w:r>
      <w:r w:rsidR="009C58C8" w:rsidRPr="00FD211F">
        <w:rPr>
          <w:rStyle w:val="a6"/>
          <w:sz w:val="36"/>
          <w:szCs w:val="36"/>
          <w:rtl/>
        </w:rPr>
        <w:t>(</w:t>
      </w:r>
      <w:r w:rsidR="009C58C8" w:rsidRPr="00FD211F">
        <w:rPr>
          <w:rStyle w:val="a6"/>
          <w:sz w:val="36"/>
          <w:szCs w:val="36"/>
          <w:rtl/>
        </w:rPr>
        <w:footnoteReference w:id="111"/>
      </w:r>
      <w:r w:rsidR="009C58C8" w:rsidRPr="00FD211F">
        <w:rPr>
          <w:rStyle w:val="a6"/>
          <w:sz w:val="36"/>
          <w:szCs w:val="36"/>
          <w:rtl/>
        </w:rPr>
        <w:t>)</w:t>
      </w:r>
      <w:r w:rsidR="00F073E7" w:rsidRPr="00FD211F">
        <w:rPr>
          <w:sz w:val="36"/>
          <w:szCs w:val="36"/>
          <w:rtl/>
        </w:rPr>
        <w:t>.</w:t>
      </w:r>
    </w:p>
    <w:p w14:paraId="54F9A230" w14:textId="77777777" w:rsidR="000C5BBA" w:rsidRPr="00FD211F" w:rsidRDefault="00F073E7" w:rsidP="009C58C8">
      <w:pPr>
        <w:ind w:left="0" w:firstLine="227"/>
        <w:jc w:val="both"/>
        <w:rPr>
          <w:sz w:val="36"/>
          <w:szCs w:val="36"/>
          <w:rtl/>
        </w:rPr>
      </w:pPr>
      <w:r w:rsidRPr="00FD211F">
        <w:rPr>
          <w:sz w:val="36"/>
          <w:szCs w:val="36"/>
          <w:rtl/>
        </w:rPr>
        <w:t>ولكن يجاب عنه أيضا بان الموضوع له للفظ الماء مثلا هو نفس معنى الماء</w:t>
      </w:r>
      <w:r w:rsidR="00603323" w:rsidRPr="00FD211F">
        <w:rPr>
          <w:sz w:val="36"/>
          <w:szCs w:val="36"/>
          <w:rtl/>
        </w:rPr>
        <w:t xml:space="preserve">، </w:t>
      </w:r>
      <w:r w:rsidRPr="00FD211F">
        <w:rPr>
          <w:sz w:val="36"/>
          <w:szCs w:val="36"/>
          <w:rtl/>
        </w:rPr>
        <w:t>و</w:t>
      </w:r>
      <w:r w:rsidR="00D815DE" w:rsidRPr="00FD211F">
        <w:rPr>
          <w:sz w:val="36"/>
          <w:szCs w:val="36"/>
          <w:rtl/>
        </w:rPr>
        <w:t>إراد</w:t>
      </w:r>
      <w:r w:rsidR="00EC7EDF" w:rsidRPr="00FD211F">
        <w:rPr>
          <w:sz w:val="36"/>
          <w:szCs w:val="36"/>
          <w:rtl/>
        </w:rPr>
        <w:t xml:space="preserve">ة </w:t>
      </w:r>
      <w:r w:rsidRPr="00FD211F">
        <w:rPr>
          <w:sz w:val="36"/>
          <w:szCs w:val="36"/>
          <w:rtl/>
        </w:rPr>
        <w:t>التفهيم داخل</w:t>
      </w:r>
      <w:r w:rsidR="00EC7EDF" w:rsidRPr="00FD211F">
        <w:rPr>
          <w:sz w:val="36"/>
          <w:szCs w:val="36"/>
          <w:rtl/>
        </w:rPr>
        <w:t xml:space="preserve">ة </w:t>
      </w:r>
      <w:r w:rsidRPr="00FD211F">
        <w:rPr>
          <w:sz w:val="36"/>
          <w:szCs w:val="36"/>
          <w:rtl/>
        </w:rPr>
        <w:t>في حقيق</w:t>
      </w:r>
      <w:r w:rsidR="00EC7EDF" w:rsidRPr="00FD211F">
        <w:rPr>
          <w:sz w:val="36"/>
          <w:szCs w:val="36"/>
          <w:rtl/>
        </w:rPr>
        <w:t xml:space="preserve">ة </w:t>
      </w:r>
      <w:r w:rsidRPr="00FD211F">
        <w:rPr>
          <w:sz w:val="36"/>
          <w:szCs w:val="36"/>
          <w:rtl/>
        </w:rPr>
        <w:t>الوضع</w:t>
      </w:r>
      <w:r w:rsidR="00603323" w:rsidRPr="00FD211F">
        <w:rPr>
          <w:sz w:val="36"/>
          <w:szCs w:val="36"/>
          <w:rtl/>
        </w:rPr>
        <w:t xml:space="preserve">، </w:t>
      </w:r>
      <w:r w:rsidRPr="00FD211F">
        <w:rPr>
          <w:sz w:val="36"/>
          <w:szCs w:val="36"/>
          <w:rtl/>
        </w:rPr>
        <w:t xml:space="preserve">اي تعهد الواضع بان لايستعمل لفظ الماء الا في معنى الماء عند </w:t>
      </w:r>
      <w:r w:rsidR="00D815DE" w:rsidRPr="00FD211F">
        <w:rPr>
          <w:sz w:val="36"/>
          <w:szCs w:val="36"/>
          <w:rtl/>
        </w:rPr>
        <w:t>إراد</w:t>
      </w:r>
      <w:r w:rsidR="00EC7EDF" w:rsidRPr="00FD211F">
        <w:rPr>
          <w:sz w:val="36"/>
          <w:szCs w:val="36"/>
          <w:rtl/>
        </w:rPr>
        <w:t xml:space="preserve">ة </w:t>
      </w:r>
      <w:r w:rsidR="007E69AF" w:rsidRPr="00FD211F">
        <w:rPr>
          <w:sz w:val="36"/>
          <w:szCs w:val="36"/>
          <w:rtl/>
        </w:rPr>
        <w:t>تفهيمه.</w:t>
      </w:r>
    </w:p>
    <w:p w14:paraId="07CFF58A" w14:textId="77777777" w:rsidR="00F073E7" w:rsidRPr="00FD211F" w:rsidRDefault="00F073E7" w:rsidP="009C58C8">
      <w:pPr>
        <w:ind w:left="0" w:firstLine="227"/>
        <w:jc w:val="both"/>
        <w:rPr>
          <w:sz w:val="36"/>
          <w:szCs w:val="36"/>
          <w:rtl/>
        </w:rPr>
      </w:pPr>
      <w:r w:rsidRPr="00FD211F">
        <w:rPr>
          <w:sz w:val="36"/>
          <w:szCs w:val="36"/>
          <w:rtl/>
        </w:rPr>
        <w:t>ومما ذكرنا يظهر الاشكال في ما ذكره</w:t>
      </w:r>
      <w:r w:rsidR="00DC567B" w:rsidRPr="00FD211F">
        <w:rPr>
          <w:sz w:val="36"/>
          <w:szCs w:val="36"/>
          <w:rtl/>
        </w:rPr>
        <w:t xml:space="preserve"> شيخنا</w:t>
      </w:r>
      <w:r w:rsidRPr="00FD211F">
        <w:rPr>
          <w:sz w:val="36"/>
          <w:szCs w:val="36"/>
          <w:rtl/>
        </w:rPr>
        <w:t xml:space="preserve"> الاستاذ</w:t>
      </w:r>
      <w:r w:rsidR="006912A9" w:rsidRPr="00FD211F">
        <w:rPr>
          <w:sz w:val="36"/>
          <w:szCs w:val="36"/>
          <w:rtl/>
        </w:rPr>
        <w:t xml:space="preserve"> </w:t>
      </w:r>
      <w:r w:rsidR="007E69AF" w:rsidRPr="00FD211F">
        <w:rPr>
          <w:sz w:val="36"/>
          <w:szCs w:val="36"/>
          <w:rtl/>
        </w:rPr>
        <w:t>"</w:t>
      </w:r>
      <w:r w:rsidRPr="00FD211F">
        <w:rPr>
          <w:sz w:val="36"/>
          <w:szCs w:val="36"/>
          <w:rtl/>
        </w:rPr>
        <w:t>دام ظله</w:t>
      </w:r>
      <w:r w:rsidR="007E69AF" w:rsidRPr="00FD211F">
        <w:rPr>
          <w:sz w:val="36"/>
          <w:szCs w:val="36"/>
          <w:rtl/>
        </w:rPr>
        <w:t>"</w:t>
      </w:r>
      <w:r w:rsidRPr="00FD211F">
        <w:rPr>
          <w:sz w:val="36"/>
          <w:szCs w:val="36"/>
          <w:rtl/>
        </w:rPr>
        <w:t xml:space="preserve"> من انه يكون مقتضى </w:t>
      </w:r>
      <w:r w:rsidR="007415A8" w:rsidRPr="00FD211F">
        <w:rPr>
          <w:sz w:val="36"/>
          <w:szCs w:val="36"/>
          <w:rtl/>
        </w:rPr>
        <w:t>الدلال</w:t>
      </w:r>
      <w:r w:rsidR="00EC7EDF" w:rsidRPr="00FD211F">
        <w:rPr>
          <w:sz w:val="36"/>
          <w:szCs w:val="36"/>
          <w:rtl/>
        </w:rPr>
        <w:t xml:space="preserve">ة </w:t>
      </w:r>
      <w:r w:rsidR="007415A8" w:rsidRPr="00FD211F">
        <w:rPr>
          <w:sz w:val="36"/>
          <w:szCs w:val="36"/>
          <w:rtl/>
        </w:rPr>
        <w:t>الأنسي</w:t>
      </w:r>
      <w:r w:rsidR="00EC7EDF" w:rsidRPr="00FD211F">
        <w:rPr>
          <w:sz w:val="36"/>
          <w:szCs w:val="36"/>
          <w:rtl/>
        </w:rPr>
        <w:t xml:space="preserve">ة </w:t>
      </w:r>
      <w:r w:rsidR="007415A8" w:rsidRPr="00FD211F">
        <w:rPr>
          <w:sz w:val="36"/>
          <w:szCs w:val="36"/>
          <w:rtl/>
        </w:rPr>
        <w:t>هو انتقال الذهن من لفظ الماء الصادر من النائم او من تموّج الهواء مثلا</w:t>
      </w:r>
      <w:r w:rsidRPr="00FD211F">
        <w:rPr>
          <w:sz w:val="36"/>
          <w:szCs w:val="36"/>
          <w:rtl/>
        </w:rPr>
        <w:t xml:space="preserve"> </w:t>
      </w:r>
      <w:r w:rsidR="00DC567B" w:rsidRPr="00FD211F">
        <w:rPr>
          <w:sz w:val="36"/>
          <w:szCs w:val="36"/>
          <w:rtl/>
        </w:rPr>
        <w:t>الى</w:t>
      </w:r>
      <w:r w:rsidR="007415A8" w:rsidRPr="00FD211F">
        <w:rPr>
          <w:sz w:val="36"/>
          <w:szCs w:val="36"/>
          <w:rtl/>
        </w:rPr>
        <w:t xml:space="preserve"> </w:t>
      </w:r>
      <w:r w:rsidR="00D815DE" w:rsidRPr="00FD211F">
        <w:rPr>
          <w:sz w:val="36"/>
          <w:szCs w:val="36"/>
          <w:rtl/>
        </w:rPr>
        <w:t>إراد</w:t>
      </w:r>
      <w:r w:rsidR="00EC7EDF" w:rsidRPr="00FD211F">
        <w:rPr>
          <w:sz w:val="36"/>
          <w:szCs w:val="36"/>
          <w:rtl/>
        </w:rPr>
        <w:t xml:space="preserve">ة </w:t>
      </w:r>
      <w:r w:rsidR="007415A8" w:rsidRPr="00FD211F">
        <w:rPr>
          <w:sz w:val="36"/>
          <w:szCs w:val="36"/>
          <w:rtl/>
        </w:rPr>
        <w:t>تفهيم معنى الماء</w:t>
      </w:r>
      <w:r w:rsidR="00603323" w:rsidRPr="00FD211F">
        <w:rPr>
          <w:sz w:val="36"/>
          <w:szCs w:val="36"/>
          <w:rtl/>
        </w:rPr>
        <w:t xml:space="preserve">، </w:t>
      </w:r>
      <w:r w:rsidR="007415A8" w:rsidRPr="00FD211F">
        <w:rPr>
          <w:sz w:val="36"/>
          <w:szCs w:val="36"/>
          <w:rtl/>
        </w:rPr>
        <w:t>وهو خلاف الوجدان</w:t>
      </w:r>
      <w:r w:rsidR="009C58C8" w:rsidRPr="00FD211F">
        <w:rPr>
          <w:rStyle w:val="a6"/>
          <w:sz w:val="36"/>
          <w:szCs w:val="36"/>
          <w:rtl/>
        </w:rPr>
        <w:t>(</w:t>
      </w:r>
      <w:r w:rsidR="009C58C8" w:rsidRPr="00FD211F">
        <w:rPr>
          <w:rStyle w:val="a6"/>
          <w:sz w:val="36"/>
          <w:szCs w:val="36"/>
          <w:rtl/>
        </w:rPr>
        <w:footnoteReference w:id="112"/>
      </w:r>
      <w:r w:rsidR="009C58C8" w:rsidRPr="00FD211F">
        <w:rPr>
          <w:rStyle w:val="a6"/>
          <w:sz w:val="36"/>
          <w:szCs w:val="36"/>
          <w:rtl/>
        </w:rPr>
        <w:t>)</w:t>
      </w:r>
      <w:r w:rsidR="00603323" w:rsidRPr="00FD211F">
        <w:rPr>
          <w:sz w:val="36"/>
          <w:szCs w:val="36"/>
          <w:rtl/>
        </w:rPr>
        <w:t xml:space="preserve">، </w:t>
      </w:r>
      <w:r w:rsidR="007415A8" w:rsidRPr="00FD211F">
        <w:rPr>
          <w:sz w:val="36"/>
          <w:szCs w:val="36"/>
          <w:rtl/>
        </w:rPr>
        <w:t xml:space="preserve">فانه ليس مدعى كون </w:t>
      </w:r>
      <w:r w:rsidR="00D815DE" w:rsidRPr="00FD211F">
        <w:rPr>
          <w:sz w:val="36"/>
          <w:szCs w:val="36"/>
          <w:rtl/>
        </w:rPr>
        <w:t>إراد</w:t>
      </w:r>
      <w:r w:rsidR="00EC7EDF" w:rsidRPr="00FD211F">
        <w:rPr>
          <w:sz w:val="36"/>
          <w:szCs w:val="36"/>
          <w:rtl/>
        </w:rPr>
        <w:t xml:space="preserve">ة </w:t>
      </w:r>
      <w:r w:rsidR="007415A8" w:rsidRPr="00FD211F">
        <w:rPr>
          <w:sz w:val="36"/>
          <w:szCs w:val="36"/>
          <w:rtl/>
        </w:rPr>
        <w:t>تفهيم المعنى داخل</w:t>
      </w:r>
      <w:r w:rsidR="00EC7EDF" w:rsidRPr="00FD211F">
        <w:rPr>
          <w:sz w:val="36"/>
          <w:szCs w:val="36"/>
          <w:rtl/>
        </w:rPr>
        <w:t xml:space="preserve">ة </w:t>
      </w:r>
      <w:r w:rsidR="007415A8" w:rsidRPr="00FD211F">
        <w:rPr>
          <w:sz w:val="36"/>
          <w:szCs w:val="36"/>
          <w:rtl/>
        </w:rPr>
        <w:t>في الموضوع له</w:t>
      </w:r>
      <w:r w:rsidR="00603323" w:rsidRPr="00FD211F">
        <w:rPr>
          <w:sz w:val="36"/>
          <w:szCs w:val="36"/>
          <w:rtl/>
        </w:rPr>
        <w:t xml:space="preserve">، </w:t>
      </w:r>
      <w:r w:rsidR="007415A8" w:rsidRPr="00FD211F">
        <w:rPr>
          <w:sz w:val="36"/>
          <w:szCs w:val="36"/>
          <w:rtl/>
        </w:rPr>
        <w:t>وانما هي داخل</w:t>
      </w:r>
      <w:r w:rsidR="00EC7EDF" w:rsidRPr="00FD211F">
        <w:rPr>
          <w:sz w:val="36"/>
          <w:szCs w:val="36"/>
          <w:rtl/>
        </w:rPr>
        <w:t xml:space="preserve">ة </w:t>
      </w:r>
      <w:r w:rsidR="007415A8" w:rsidRPr="00FD211F">
        <w:rPr>
          <w:sz w:val="36"/>
          <w:szCs w:val="36"/>
          <w:rtl/>
        </w:rPr>
        <w:t>في حقيق</w:t>
      </w:r>
      <w:r w:rsidR="00EC7EDF" w:rsidRPr="00FD211F">
        <w:rPr>
          <w:sz w:val="36"/>
          <w:szCs w:val="36"/>
          <w:rtl/>
        </w:rPr>
        <w:t xml:space="preserve">ة </w:t>
      </w:r>
      <w:r w:rsidR="007415A8" w:rsidRPr="00FD211F">
        <w:rPr>
          <w:sz w:val="36"/>
          <w:szCs w:val="36"/>
          <w:rtl/>
        </w:rPr>
        <w:t>الوضع.</w:t>
      </w:r>
    </w:p>
    <w:p w14:paraId="500B6A67" w14:textId="77777777" w:rsidR="00E6783A" w:rsidRPr="00FD211F" w:rsidRDefault="00F73522" w:rsidP="009C58C8">
      <w:pPr>
        <w:ind w:left="0" w:firstLine="227"/>
        <w:jc w:val="both"/>
        <w:rPr>
          <w:sz w:val="36"/>
          <w:szCs w:val="36"/>
          <w:rtl/>
        </w:rPr>
      </w:pPr>
      <w:bookmarkStart w:id="110" w:name="درس011"/>
      <w:bookmarkStart w:id="111" w:name="درس012"/>
      <w:bookmarkEnd w:id="110"/>
      <w:bookmarkEnd w:id="111"/>
      <w:r w:rsidRPr="00FD211F">
        <w:rPr>
          <w:b/>
          <w:bCs/>
          <w:sz w:val="36"/>
          <w:szCs w:val="36"/>
          <w:rtl/>
        </w:rPr>
        <w:t>الاشكال الثالث</w:t>
      </w:r>
      <w:r w:rsidR="00856647" w:rsidRPr="00FD211F">
        <w:rPr>
          <w:sz w:val="36"/>
          <w:szCs w:val="36"/>
          <w:rtl/>
        </w:rPr>
        <w:t>:</w:t>
      </w:r>
      <w:r w:rsidR="007415A8" w:rsidRPr="00FD211F">
        <w:rPr>
          <w:sz w:val="36"/>
          <w:szCs w:val="36"/>
          <w:rtl/>
        </w:rPr>
        <w:t xml:space="preserve"> ما قد يقال من ان نظري</w:t>
      </w:r>
      <w:r w:rsidR="00EC7EDF" w:rsidRPr="00FD211F">
        <w:rPr>
          <w:sz w:val="36"/>
          <w:szCs w:val="36"/>
          <w:rtl/>
        </w:rPr>
        <w:t xml:space="preserve">ة </w:t>
      </w:r>
      <w:r w:rsidR="007415A8" w:rsidRPr="00FD211F">
        <w:rPr>
          <w:sz w:val="36"/>
          <w:szCs w:val="36"/>
          <w:rtl/>
        </w:rPr>
        <w:t>التعهد تستلزم الدور</w:t>
      </w:r>
      <w:r w:rsidR="00603323" w:rsidRPr="00FD211F">
        <w:rPr>
          <w:sz w:val="36"/>
          <w:szCs w:val="36"/>
          <w:rtl/>
        </w:rPr>
        <w:t xml:space="preserve">، </w:t>
      </w:r>
      <w:r w:rsidR="007415A8" w:rsidRPr="00FD211F">
        <w:rPr>
          <w:sz w:val="36"/>
          <w:szCs w:val="36"/>
          <w:rtl/>
        </w:rPr>
        <w:t xml:space="preserve">فان </w:t>
      </w:r>
      <w:r w:rsidR="00D815DE" w:rsidRPr="00FD211F">
        <w:rPr>
          <w:sz w:val="36"/>
          <w:szCs w:val="36"/>
          <w:rtl/>
        </w:rPr>
        <w:t>إراد</w:t>
      </w:r>
      <w:r w:rsidR="00EC7EDF" w:rsidRPr="00FD211F">
        <w:rPr>
          <w:sz w:val="36"/>
          <w:szCs w:val="36"/>
          <w:rtl/>
        </w:rPr>
        <w:t xml:space="preserve">ة </w:t>
      </w:r>
      <w:r w:rsidR="007415A8" w:rsidRPr="00FD211F">
        <w:rPr>
          <w:sz w:val="36"/>
          <w:szCs w:val="36"/>
          <w:rtl/>
        </w:rPr>
        <w:t>تفهيم المعنى بلفظ معين يتوقف على علم المخاطب بالوضع</w:t>
      </w:r>
      <w:r w:rsidR="00603323" w:rsidRPr="00FD211F">
        <w:rPr>
          <w:sz w:val="36"/>
          <w:szCs w:val="36"/>
          <w:rtl/>
        </w:rPr>
        <w:t xml:space="preserve">، </w:t>
      </w:r>
      <w:r w:rsidR="007415A8" w:rsidRPr="00FD211F">
        <w:rPr>
          <w:sz w:val="36"/>
          <w:szCs w:val="36"/>
          <w:rtl/>
        </w:rPr>
        <w:t xml:space="preserve">حيث انه لو كان </w:t>
      </w:r>
      <w:r w:rsidR="00711898" w:rsidRPr="00FD211F">
        <w:rPr>
          <w:sz w:val="36"/>
          <w:szCs w:val="36"/>
          <w:rtl/>
        </w:rPr>
        <w:t>جاهلا ب</w:t>
      </w:r>
      <w:r w:rsidR="007415A8" w:rsidRPr="00FD211F">
        <w:rPr>
          <w:sz w:val="36"/>
          <w:szCs w:val="36"/>
          <w:rtl/>
        </w:rPr>
        <w:t>الوضع كان تفهيم المعنى بهذا اللفظ غير مقدور</w:t>
      </w:r>
      <w:r w:rsidR="00603323" w:rsidRPr="00FD211F">
        <w:rPr>
          <w:sz w:val="36"/>
          <w:szCs w:val="36"/>
          <w:rtl/>
        </w:rPr>
        <w:t xml:space="preserve">، </w:t>
      </w:r>
      <w:r w:rsidR="007415A8" w:rsidRPr="00FD211F">
        <w:rPr>
          <w:sz w:val="36"/>
          <w:szCs w:val="36"/>
          <w:rtl/>
        </w:rPr>
        <w:t xml:space="preserve">وحينئذ فان كان الوضع نفس </w:t>
      </w:r>
      <w:r w:rsidR="00D815DE" w:rsidRPr="00FD211F">
        <w:rPr>
          <w:sz w:val="36"/>
          <w:szCs w:val="36"/>
          <w:rtl/>
        </w:rPr>
        <w:t>إراد</w:t>
      </w:r>
      <w:r w:rsidR="00EC7EDF" w:rsidRPr="00FD211F">
        <w:rPr>
          <w:sz w:val="36"/>
          <w:szCs w:val="36"/>
          <w:rtl/>
        </w:rPr>
        <w:t xml:space="preserve">ة </w:t>
      </w:r>
      <w:r w:rsidR="007415A8" w:rsidRPr="00FD211F">
        <w:rPr>
          <w:sz w:val="36"/>
          <w:szCs w:val="36"/>
          <w:rtl/>
        </w:rPr>
        <w:t>التفهيم لزم الدور</w:t>
      </w:r>
      <w:r w:rsidR="00603323" w:rsidRPr="00FD211F">
        <w:rPr>
          <w:sz w:val="36"/>
          <w:szCs w:val="36"/>
          <w:rtl/>
        </w:rPr>
        <w:t xml:space="preserve">، </w:t>
      </w:r>
      <w:r w:rsidR="007415A8" w:rsidRPr="00FD211F">
        <w:rPr>
          <w:sz w:val="36"/>
          <w:szCs w:val="36"/>
          <w:rtl/>
        </w:rPr>
        <w:t xml:space="preserve">حيث </w:t>
      </w:r>
      <w:r w:rsidR="008871C9" w:rsidRPr="00FD211F">
        <w:rPr>
          <w:sz w:val="36"/>
          <w:szCs w:val="36"/>
          <w:rtl/>
        </w:rPr>
        <w:t>تكون النتيج</w:t>
      </w:r>
      <w:r w:rsidR="00EC7EDF" w:rsidRPr="00FD211F">
        <w:rPr>
          <w:sz w:val="36"/>
          <w:szCs w:val="36"/>
          <w:rtl/>
        </w:rPr>
        <w:t xml:space="preserve">ة </w:t>
      </w:r>
      <w:r w:rsidR="008871C9" w:rsidRPr="00FD211F">
        <w:rPr>
          <w:sz w:val="36"/>
          <w:szCs w:val="36"/>
          <w:rtl/>
        </w:rPr>
        <w:t xml:space="preserve">حينئذ توقف </w:t>
      </w:r>
      <w:r w:rsidR="00D815DE" w:rsidRPr="00FD211F">
        <w:rPr>
          <w:sz w:val="36"/>
          <w:szCs w:val="36"/>
          <w:rtl/>
        </w:rPr>
        <w:t>إراد</w:t>
      </w:r>
      <w:r w:rsidR="00EC7EDF" w:rsidRPr="00FD211F">
        <w:rPr>
          <w:sz w:val="36"/>
          <w:szCs w:val="36"/>
          <w:rtl/>
        </w:rPr>
        <w:t xml:space="preserve">ة </w:t>
      </w:r>
      <w:r w:rsidR="008871C9" w:rsidRPr="00FD211F">
        <w:rPr>
          <w:sz w:val="36"/>
          <w:szCs w:val="36"/>
          <w:rtl/>
        </w:rPr>
        <w:t>تفهيم المعنى بلفظ معين على علم المخاطب بالوضع اي ب</w:t>
      </w:r>
      <w:r w:rsidR="00D815DE" w:rsidRPr="00FD211F">
        <w:rPr>
          <w:sz w:val="36"/>
          <w:szCs w:val="36"/>
          <w:rtl/>
        </w:rPr>
        <w:t>إراد</w:t>
      </w:r>
      <w:r w:rsidR="00EC7EDF" w:rsidRPr="00FD211F">
        <w:rPr>
          <w:sz w:val="36"/>
          <w:szCs w:val="36"/>
          <w:rtl/>
        </w:rPr>
        <w:t xml:space="preserve">ة </w:t>
      </w:r>
      <w:r w:rsidR="008871C9" w:rsidRPr="00FD211F">
        <w:rPr>
          <w:sz w:val="36"/>
          <w:szCs w:val="36"/>
          <w:rtl/>
        </w:rPr>
        <w:t>تفهيم هذا المعنى بهذا اللفظ</w:t>
      </w:r>
      <w:r w:rsidR="00E6783A" w:rsidRPr="00FD211F">
        <w:rPr>
          <w:sz w:val="36"/>
          <w:szCs w:val="36"/>
          <w:rtl/>
        </w:rPr>
        <w:t>.</w:t>
      </w:r>
    </w:p>
    <w:p w14:paraId="60FDBEE4" w14:textId="77777777" w:rsidR="007415A8" w:rsidRPr="00FD211F" w:rsidRDefault="008871C9" w:rsidP="009C58C8">
      <w:pPr>
        <w:ind w:left="0" w:firstLine="227"/>
        <w:jc w:val="both"/>
        <w:rPr>
          <w:sz w:val="36"/>
          <w:szCs w:val="36"/>
          <w:rtl/>
        </w:rPr>
      </w:pPr>
      <w:r w:rsidRPr="00FD211F">
        <w:rPr>
          <w:sz w:val="36"/>
          <w:szCs w:val="36"/>
          <w:rtl/>
        </w:rPr>
        <w:t>و</w:t>
      </w:r>
      <w:r w:rsidR="004E3E94" w:rsidRPr="00FD211F">
        <w:rPr>
          <w:sz w:val="36"/>
          <w:szCs w:val="36"/>
          <w:rtl/>
        </w:rPr>
        <w:t>لكن يجاب عنه</w:t>
      </w:r>
      <w:r w:rsidR="00711898" w:rsidRPr="00FD211F">
        <w:rPr>
          <w:sz w:val="36"/>
          <w:szCs w:val="36"/>
          <w:rtl/>
        </w:rPr>
        <w:t xml:space="preserve"> </w:t>
      </w:r>
      <w:r w:rsidR="00711898" w:rsidRPr="00FD211F">
        <w:rPr>
          <w:b/>
          <w:bCs/>
          <w:sz w:val="36"/>
          <w:szCs w:val="36"/>
          <w:rtl/>
        </w:rPr>
        <w:t>اولا</w:t>
      </w:r>
      <w:r w:rsidR="00711898" w:rsidRPr="00FD211F">
        <w:rPr>
          <w:sz w:val="36"/>
          <w:szCs w:val="36"/>
          <w:rtl/>
        </w:rPr>
        <w:t>:</w:t>
      </w:r>
      <w:r w:rsidR="004E3E94" w:rsidRPr="00FD211F">
        <w:rPr>
          <w:sz w:val="36"/>
          <w:szCs w:val="36"/>
          <w:rtl/>
        </w:rPr>
        <w:t xml:space="preserve"> بما ذكره </w:t>
      </w:r>
      <w:r w:rsidRPr="00FD211F">
        <w:rPr>
          <w:sz w:val="36"/>
          <w:szCs w:val="36"/>
          <w:rtl/>
        </w:rPr>
        <w:t xml:space="preserve">السيد الخوئي </w:t>
      </w:r>
      <w:r w:rsidR="00AB1B12" w:rsidRPr="00FD211F">
        <w:rPr>
          <w:sz w:val="36"/>
          <w:szCs w:val="36"/>
          <w:rtl/>
        </w:rPr>
        <w:t>"</w:t>
      </w:r>
      <w:r w:rsidRPr="00FD211F">
        <w:rPr>
          <w:sz w:val="36"/>
          <w:szCs w:val="36"/>
          <w:rtl/>
        </w:rPr>
        <w:t>قده</w:t>
      </w:r>
      <w:r w:rsidR="00AB1B12" w:rsidRPr="00FD211F">
        <w:rPr>
          <w:sz w:val="36"/>
          <w:szCs w:val="36"/>
          <w:rtl/>
        </w:rPr>
        <w:t>"</w:t>
      </w:r>
      <w:r w:rsidR="004E3E94" w:rsidRPr="00FD211F">
        <w:rPr>
          <w:sz w:val="36"/>
          <w:szCs w:val="36"/>
          <w:rtl/>
        </w:rPr>
        <w:t xml:space="preserve"> بتقريب منّا</w:t>
      </w:r>
      <w:r w:rsidR="00603323" w:rsidRPr="00FD211F">
        <w:rPr>
          <w:sz w:val="36"/>
          <w:szCs w:val="36"/>
          <w:rtl/>
        </w:rPr>
        <w:t xml:space="preserve">، </w:t>
      </w:r>
      <w:r w:rsidR="004E3E94" w:rsidRPr="00FD211F">
        <w:rPr>
          <w:sz w:val="36"/>
          <w:szCs w:val="36"/>
          <w:rtl/>
        </w:rPr>
        <w:t xml:space="preserve">وهو </w:t>
      </w:r>
      <w:r w:rsidR="001C3E62" w:rsidRPr="00FD211F">
        <w:rPr>
          <w:sz w:val="36"/>
          <w:szCs w:val="36"/>
          <w:rtl/>
        </w:rPr>
        <w:t>ان حقيق</w:t>
      </w:r>
      <w:r w:rsidR="00EC7EDF" w:rsidRPr="00FD211F">
        <w:rPr>
          <w:sz w:val="36"/>
          <w:szCs w:val="36"/>
          <w:rtl/>
        </w:rPr>
        <w:t xml:space="preserve">ة </w:t>
      </w:r>
      <w:r w:rsidR="001C3E62" w:rsidRPr="00FD211F">
        <w:rPr>
          <w:sz w:val="36"/>
          <w:szCs w:val="36"/>
          <w:rtl/>
        </w:rPr>
        <w:t>الوضع</w:t>
      </w:r>
      <w:r w:rsidR="004E3E94" w:rsidRPr="00FD211F">
        <w:rPr>
          <w:sz w:val="36"/>
          <w:szCs w:val="36"/>
          <w:rtl/>
        </w:rPr>
        <w:t xml:space="preserve"> بناء على نظري</w:t>
      </w:r>
      <w:r w:rsidR="00EC7EDF" w:rsidRPr="00FD211F">
        <w:rPr>
          <w:sz w:val="36"/>
          <w:szCs w:val="36"/>
          <w:rtl/>
        </w:rPr>
        <w:t xml:space="preserve">ة </w:t>
      </w:r>
      <w:r w:rsidR="004E3E94" w:rsidRPr="00FD211F">
        <w:rPr>
          <w:sz w:val="36"/>
          <w:szCs w:val="36"/>
          <w:rtl/>
        </w:rPr>
        <w:t>التعهد</w:t>
      </w:r>
      <w:r w:rsidR="001C3E62" w:rsidRPr="00FD211F">
        <w:rPr>
          <w:sz w:val="36"/>
          <w:szCs w:val="36"/>
          <w:rtl/>
        </w:rPr>
        <w:t xml:space="preserve"> هو</w:t>
      </w:r>
      <w:r w:rsidR="004C78D9" w:rsidRPr="00FD211F">
        <w:rPr>
          <w:sz w:val="36"/>
          <w:szCs w:val="36"/>
          <w:rtl/>
        </w:rPr>
        <w:t xml:space="preserve"> ال</w:t>
      </w:r>
      <w:r w:rsidR="00D815DE" w:rsidRPr="00FD211F">
        <w:rPr>
          <w:sz w:val="36"/>
          <w:szCs w:val="36"/>
          <w:rtl/>
        </w:rPr>
        <w:t>إراد</w:t>
      </w:r>
      <w:r w:rsidR="00EC7EDF" w:rsidRPr="00FD211F">
        <w:rPr>
          <w:sz w:val="36"/>
          <w:szCs w:val="36"/>
          <w:rtl/>
        </w:rPr>
        <w:t xml:space="preserve">ة </w:t>
      </w:r>
      <w:r w:rsidR="004C78D9" w:rsidRPr="00FD211F">
        <w:rPr>
          <w:sz w:val="36"/>
          <w:szCs w:val="36"/>
          <w:rtl/>
        </w:rPr>
        <w:t>–او فقل على الاصح هو الالتزام-</w:t>
      </w:r>
      <w:r w:rsidR="001C3E62" w:rsidRPr="00FD211F">
        <w:rPr>
          <w:sz w:val="36"/>
          <w:szCs w:val="36"/>
          <w:rtl/>
        </w:rPr>
        <w:t xml:space="preserve"> </w:t>
      </w:r>
      <w:r w:rsidR="00D97759" w:rsidRPr="00FD211F">
        <w:rPr>
          <w:sz w:val="36"/>
          <w:szCs w:val="36"/>
          <w:rtl/>
        </w:rPr>
        <w:t>بقضي</w:t>
      </w:r>
      <w:r w:rsidR="00EC7EDF" w:rsidRPr="00FD211F">
        <w:rPr>
          <w:sz w:val="36"/>
          <w:szCs w:val="36"/>
          <w:rtl/>
        </w:rPr>
        <w:t xml:space="preserve">ة </w:t>
      </w:r>
      <w:r w:rsidR="00D97759" w:rsidRPr="00FD211F">
        <w:rPr>
          <w:sz w:val="36"/>
          <w:szCs w:val="36"/>
          <w:rtl/>
        </w:rPr>
        <w:t>شرطي</w:t>
      </w:r>
      <w:r w:rsidR="00EC7EDF" w:rsidRPr="00FD211F">
        <w:rPr>
          <w:sz w:val="36"/>
          <w:szCs w:val="36"/>
          <w:rtl/>
        </w:rPr>
        <w:t xml:space="preserve">ة </w:t>
      </w:r>
      <w:r w:rsidR="00D97759" w:rsidRPr="00FD211F">
        <w:rPr>
          <w:sz w:val="36"/>
          <w:szCs w:val="36"/>
          <w:rtl/>
        </w:rPr>
        <w:t xml:space="preserve">وهي انه </w:t>
      </w:r>
      <w:r w:rsidR="004E3E94" w:rsidRPr="00FD211F">
        <w:rPr>
          <w:sz w:val="36"/>
          <w:szCs w:val="36"/>
          <w:rtl/>
        </w:rPr>
        <w:t>كلما اراد</w:t>
      </w:r>
      <w:r w:rsidRPr="00FD211F">
        <w:rPr>
          <w:sz w:val="36"/>
          <w:szCs w:val="36"/>
          <w:rtl/>
        </w:rPr>
        <w:t xml:space="preserve"> تفهيم هذا المعنى فيبرزه بهذا اللفظ</w:t>
      </w:r>
      <w:r w:rsidR="00603323" w:rsidRPr="00FD211F">
        <w:rPr>
          <w:sz w:val="36"/>
          <w:szCs w:val="36"/>
          <w:rtl/>
        </w:rPr>
        <w:t xml:space="preserve">، </w:t>
      </w:r>
      <w:r w:rsidR="004E3E94" w:rsidRPr="00FD211F">
        <w:rPr>
          <w:sz w:val="36"/>
          <w:szCs w:val="36"/>
          <w:rtl/>
        </w:rPr>
        <w:t xml:space="preserve">وما يتوقف عليه العلم بالوضع هو هذا الالتزام الذي يكون </w:t>
      </w:r>
      <w:r w:rsidR="00D97759" w:rsidRPr="00FD211F">
        <w:rPr>
          <w:sz w:val="36"/>
          <w:szCs w:val="36"/>
          <w:rtl/>
        </w:rPr>
        <w:t>متعلقا بتلك القضي</w:t>
      </w:r>
      <w:r w:rsidR="00EC7EDF" w:rsidRPr="00FD211F">
        <w:rPr>
          <w:sz w:val="36"/>
          <w:szCs w:val="36"/>
          <w:rtl/>
        </w:rPr>
        <w:t xml:space="preserve">ة </w:t>
      </w:r>
      <w:r w:rsidR="00D97759" w:rsidRPr="00FD211F">
        <w:rPr>
          <w:sz w:val="36"/>
          <w:szCs w:val="36"/>
          <w:rtl/>
        </w:rPr>
        <w:t>الشرطي</w:t>
      </w:r>
      <w:r w:rsidR="00EC7EDF" w:rsidRPr="00FD211F">
        <w:rPr>
          <w:sz w:val="36"/>
          <w:szCs w:val="36"/>
          <w:rtl/>
        </w:rPr>
        <w:t>ة</w:t>
      </w:r>
      <w:r w:rsidR="00603323" w:rsidRPr="00FD211F">
        <w:rPr>
          <w:sz w:val="36"/>
          <w:szCs w:val="36"/>
          <w:rtl/>
        </w:rPr>
        <w:t xml:space="preserve">، </w:t>
      </w:r>
      <w:r w:rsidR="004E3E94" w:rsidRPr="00FD211F">
        <w:rPr>
          <w:sz w:val="36"/>
          <w:szCs w:val="36"/>
          <w:rtl/>
        </w:rPr>
        <w:t>وما يتوقف على علم المخاطب بهذا الوضع ليس هو هذا الالتزام</w:t>
      </w:r>
      <w:r w:rsidR="00603323" w:rsidRPr="00FD211F">
        <w:rPr>
          <w:sz w:val="36"/>
          <w:szCs w:val="36"/>
          <w:rtl/>
        </w:rPr>
        <w:t xml:space="preserve">، </w:t>
      </w:r>
      <w:r w:rsidR="004E3E94" w:rsidRPr="00FD211F">
        <w:rPr>
          <w:sz w:val="36"/>
          <w:szCs w:val="36"/>
          <w:rtl/>
        </w:rPr>
        <w:t>وانما هو</w:t>
      </w:r>
      <w:r w:rsidR="00D97759" w:rsidRPr="00FD211F">
        <w:rPr>
          <w:sz w:val="36"/>
          <w:szCs w:val="36"/>
          <w:rtl/>
        </w:rPr>
        <w:t xml:space="preserve"> ايجاد شرط تلك القضي</w:t>
      </w:r>
      <w:r w:rsidR="00EC7EDF" w:rsidRPr="00FD211F">
        <w:rPr>
          <w:sz w:val="36"/>
          <w:szCs w:val="36"/>
          <w:rtl/>
        </w:rPr>
        <w:t xml:space="preserve">ة </w:t>
      </w:r>
      <w:r w:rsidR="00D97759" w:rsidRPr="00FD211F">
        <w:rPr>
          <w:sz w:val="36"/>
          <w:szCs w:val="36"/>
          <w:rtl/>
        </w:rPr>
        <w:t>الشرطي</w:t>
      </w:r>
      <w:r w:rsidR="00EC7EDF" w:rsidRPr="00FD211F">
        <w:rPr>
          <w:sz w:val="36"/>
          <w:szCs w:val="36"/>
          <w:rtl/>
        </w:rPr>
        <w:t xml:space="preserve">ة </w:t>
      </w:r>
      <w:r w:rsidR="00D97759" w:rsidRPr="00FD211F">
        <w:rPr>
          <w:sz w:val="36"/>
          <w:szCs w:val="36"/>
          <w:rtl/>
        </w:rPr>
        <w:t>التي كانت طرفا لذلك الالتزام ونعني بشرط تلك القضي</w:t>
      </w:r>
      <w:r w:rsidR="00EC7EDF" w:rsidRPr="00FD211F">
        <w:rPr>
          <w:sz w:val="36"/>
          <w:szCs w:val="36"/>
          <w:rtl/>
        </w:rPr>
        <w:t xml:space="preserve">ة </w:t>
      </w:r>
      <w:r w:rsidR="00D97759" w:rsidRPr="00FD211F">
        <w:rPr>
          <w:sz w:val="36"/>
          <w:szCs w:val="36"/>
          <w:rtl/>
        </w:rPr>
        <w:t>الشرطي</w:t>
      </w:r>
      <w:r w:rsidR="00EC7EDF" w:rsidRPr="00FD211F">
        <w:rPr>
          <w:sz w:val="36"/>
          <w:szCs w:val="36"/>
          <w:rtl/>
        </w:rPr>
        <w:t xml:space="preserve">ة </w:t>
      </w:r>
      <w:r w:rsidR="00D815DE" w:rsidRPr="00FD211F">
        <w:rPr>
          <w:sz w:val="36"/>
          <w:szCs w:val="36"/>
          <w:rtl/>
        </w:rPr>
        <w:t>إراد</w:t>
      </w:r>
      <w:r w:rsidR="00EC7EDF" w:rsidRPr="00FD211F">
        <w:rPr>
          <w:sz w:val="36"/>
          <w:szCs w:val="36"/>
          <w:rtl/>
        </w:rPr>
        <w:t xml:space="preserve">ة </w:t>
      </w:r>
      <w:r w:rsidR="004E3E94" w:rsidRPr="00FD211F">
        <w:rPr>
          <w:sz w:val="36"/>
          <w:szCs w:val="36"/>
          <w:rtl/>
        </w:rPr>
        <w:t>المتكلم تفهيم المعنى بهذا اللفظ</w:t>
      </w:r>
      <w:r w:rsidR="009C58C8" w:rsidRPr="00FD211F">
        <w:rPr>
          <w:rStyle w:val="a6"/>
          <w:sz w:val="36"/>
          <w:szCs w:val="36"/>
          <w:rtl/>
        </w:rPr>
        <w:t>(</w:t>
      </w:r>
      <w:r w:rsidR="009C58C8" w:rsidRPr="00FD211F">
        <w:rPr>
          <w:rStyle w:val="a6"/>
          <w:sz w:val="36"/>
          <w:szCs w:val="36"/>
          <w:rtl/>
        </w:rPr>
        <w:footnoteReference w:id="113"/>
      </w:r>
      <w:r w:rsidR="009C58C8" w:rsidRPr="00FD211F">
        <w:rPr>
          <w:rStyle w:val="a6"/>
          <w:sz w:val="36"/>
          <w:szCs w:val="36"/>
          <w:rtl/>
        </w:rPr>
        <w:t>)</w:t>
      </w:r>
      <w:r w:rsidR="00603323" w:rsidRPr="00FD211F">
        <w:rPr>
          <w:sz w:val="36"/>
          <w:szCs w:val="36"/>
          <w:rtl/>
        </w:rPr>
        <w:t xml:space="preserve">، </w:t>
      </w:r>
      <w:r w:rsidR="004E3E94" w:rsidRPr="00FD211F">
        <w:rPr>
          <w:sz w:val="36"/>
          <w:szCs w:val="36"/>
          <w:rtl/>
        </w:rPr>
        <w:t>وما افاده متين</w:t>
      </w:r>
      <w:r w:rsidR="00D97759" w:rsidRPr="00FD211F">
        <w:rPr>
          <w:sz w:val="36"/>
          <w:szCs w:val="36"/>
          <w:rtl/>
        </w:rPr>
        <w:t xml:space="preserve"> جدّا</w:t>
      </w:r>
      <w:r w:rsidR="004E3E94" w:rsidRPr="00FD211F">
        <w:rPr>
          <w:sz w:val="36"/>
          <w:szCs w:val="36"/>
          <w:rtl/>
        </w:rPr>
        <w:t>.</w:t>
      </w:r>
    </w:p>
    <w:p w14:paraId="019129FE" w14:textId="77777777" w:rsidR="00711898" w:rsidRPr="00FD211F" w:rsidRDefault="00711898" w:rsidP="009C58C8">
      <w:pPr>
        <w:ind w:left="0" w:firstLine="227"/>
        <w:jc w:val="both"/>
        <w:rPr>
          <w:sz w:val="36"/>
          <w:szCs w:val="36"/>
          <w:rtl/>
        </w:rPr>
      </w:pPr>
      <w:r w:rsidRPr="00FD211F">
        <w:rPr>
          <w:b/>
          <w:bCs/>
          <w:sz w:val="36"/>
          <w:szCs w:val="36"/>
          <w:rtl/>
        </w:rPr>
        <w:t>وثانيا</w:t>
      </w:r>
      <w:r w:rsidRPr="00FD211F">
        <w:rPr>
          <w:sz w:val="36"/>
          <w:szCs w:val="36"/>
          <w:rtl/>
        </w:rPr>
        <w:t xml:space="preserve">: انه يكفي في </w:t>
      </w:r>
      <w:r w:rsidR="00D815DE" w:rsidRPr="00FD211F">
        <w:rPr>
          <w:sz w:val="36"/>
          <w:szCs w:val="36"/>
          <w:rtl/>
        </w:rPr>
        <w:t>إراد</w:t>
      </w:r>
      <w:r w:rsidR="00EC7EDF" w:rsidRPr="00FD211F">
        <w:rPr>
          <w:sz w:val="36"/>
          <w:szCs w:val="36"/>
          <w:rtl/>
        </w:rPr>
        <w:t xml:space="preserve">ة </w:t>
      </w:r>
      <w:r w:rsidRPr="00FD211F">
        <w:rPr>
          <w:sz w:val="36"/>
          <w:szCs w:val="36"/>
          <w:rtl/>
        </w:rPr>
        <w:t>تفهيم المعنى باللفظ علم المخاطب بالوضع في ظرف الاستعمال</w:t>
      </w:r>
      <w:r w:rsidR="00603323" w:rsidRPr="00FD211F">
        <w:rPr>
          <w:sz w:val="36"/>
          <w:szCs w:val="36"/>
          <w:rtl/>
        </w:rPr>
        <w:t xml:space="preserve">، </w:t>
      </w:r>
      <w:r w:rsidRPr="00FD211F">
        <w:rPr>
          <w:sz w:val="36"/>
          <w:szCs w:val="36"/>
          <w:rtl/>
        </w:rPr>
        <w:t>كما يقول الوالد في مقام تسمي</w:t>
      </w:r>
      <w:r w:rsidR="00EC7EDF" w:rsidRPr="00FD211F">
        <w:rPr>
          <w:sz w:val="36"/>
          <w:szCs w:val="36"/>
          <w:rtl/>
        </w:rPr>
        <w:t xml:space="preserve">ة </w:t>
      </w:r>
      <w:r w:rsidRPr="00FD211F">
        <w:rPr>
          <w:sz w:val="36"/>
          <w:szCs w:val="36"/>
          <w:rtl/>
        </w:rPr>
        <w:t xml:space="preserve">ولده </w:t>
      </w:r>
      <w:r w:rsidR="000D1B93" w:rsidRPr="00FD211F">
        <w:rPr>
          <w:sz w:val="36"/>
          <w:szCs w:val="36"/>
          <w:rtl/>
        </w:rPr>
        <w:t>"جئني بولدي الحسين"</w:t>
      </w:r>
      <w:r w:rsidR="00603323" w:rsidRPr="00FD211F">
        <w:rPr>
          <w:sz w:val="36"/>
          <w:szCs w:val="36"/>
          <w:rtl/>
        </w:rPr>
        <w:t xml:space="preserve">، </w:t>
      </w:r>
      <w:r w:rsidRPr="00FD211F">
        <w:rPr>
          <w:sz w:val="36"/>
          <w:szCs w:val="36"/>
          <w:rtl/>
        </w:rPr>
        <w:t xml:space="preserve">فالذي يتوقف عليه </w:t>
      </w:r>
      <w:r w:rsidR="00D815DE" w:rsidRPr="00FD211F">
        <w:rPr>
          <w:sz w:val="36"/>
          <w:szCs w:val="36"/>
          <w:rtl/>
        </w:rPr>
        <w:t>إراد</w:t>
      </w:r>
      <w:r w:rsidR="00EC7EDF" w:rsidRPr="00FD211F">
        <w:rPr>
          <w:sz w:val="36"/>
          <w:szCs w:val="36"/>
          <w:rtl/>
        </w:rPr>
        <w:t xml:space="preserve">ة </w:t>
      </w:r>
      <w:r w:rsidRPr="00FD211F">
        <w:rPr>
          <w:sz w:val="36"/>
          <w:szCs w:val="36"/>
          <w:rtl/>
        </w:rPr>
        <w:t>تفهيم المعنى هو القضي</w:t>
      </w:r>
      <w:r w:rsidR="00EC7EDF" w:rsidRPr="00FD211F">
        <w:rPr>
          <w:sz w:val="36"/>
          <w:szCs w:val="36"/>
          <w:rtl/>
        </w:rPr>
        <w:t xml:space="preserve">ة </w:t>
      </w:r>
      <w:r w:rsidRPr="00FD211F">
        <w:rPr>
          <w:sz w:val="36"/>
          <w:szCs w:val="36"/>
          <w:rtl/>
        </w:rPr>
        <w:t>الشرطي</w:t>
      </w:r>
      <w:r w:rsidR="00EC7EDF" w:rsidRPr="00FD211F">
        <w:rPr>
          <w:sz w:val="36"/>
          <w:szCs w:val="36"/>
          <w:rtl/>
        </w:rPr>
        <w:t xml:space="preserve">ة </w:t>
      </w:r>
      <w:r w:rsidRPr="00FD211F">
        <w:rPr>
          <w:sz w:val="36"/>
          <w:szCs w:val="36"/>
          <w:rtl/>
        </w:rPr>
        <w:t>اي أنه لو استعمل اللفظ في هذا المعنى لفهمه المخاطب</w:t>
      </w:r>
      <w:r w:rsidR="00603323" w:rsidRPr="00FD211F">
        <w:rPr>
          <w:sz w:val="36"/>
          <w:szCs w:val="36"/>
          <w:rtl/>
        </w:rPr>
        <w:t xml:space="preserve">، </w:t>
      </w:r>
      <w:r w:rsidRPr="00FD211F">
        <w:rPr>
          <w:sz w:val="36"/>
          <w:szCs w:val="36"/>
          <w:rtl/>
        </w:rPr>
        <w:t>وهذه القضي</w:t>
      </w:r>
      <w:r w:rsidR="00EC7EDF" w:rsidRPr="00FD211F">
        <w:rPr>
          <w:sz w:val="36"/>
          <w:szCs w:val="36"/>
          <w:rtl/>
        </w:rPr>
        <w:t xml:space="preserve">ة </w:t>
      </w:r>
      <w:r w:rsidRPr="00FD211F">
        <w:rPr>
          <w:sz w:val="36"/>
          <w:szCs w:val="36"/>
          <w:rtl/>
        </w:rPr>
        <w:t>الشرطي</w:t>
      </w:r>
      <w:r w:rsidR="00EC7EDF" w:rsidRPr="00FD211F">
        <w:rPr>
          <w:sz w:val="36"/>
          <w:szCs w:val="36"/>
          <w:rtl/>
        </w:rPr>
        <w:t xml:space="preserve">ة </w:t>
      </w:r>
      <w:r w:rsidR="00FC3671" w:rsidRPr="00FD211F">
        <w:rPr>
          <w:sz w:val="36"/>
          <w:szCs w:val="36"/>
          <w:rtl/>
        </w:rPr>
        <w:t>متحقق</w:t>
      </w:r>
      <w:r w:rsidR="00EC7EDF" w:rsidRPr="00FD211F">
        <w:rPr>
          <w:sz w:val="36"/>
          <w:szCs w:val="36"/>
          <w:rtl/>
        </w:rPr>
        <w:t xml:space="preserve">ة </w:t>
      </w:r>
      <w:r w:rsidR="00FC3671" w:rsidRPr="00FD211F">
        <w:rPr>
          <w:sz w:val="36"/>
          <w:szCs w:val="36"/>
          <w:rtl/>
        </w:rPr>
        <w:t xml:space="preserve">قبل </w:t>
      </w:r>
      <w:r w:rsidR="00D815DE" w:rsidRPr="00FD211F">
        <w:rPr>
          <w:sz w:val="36"/>
          <w:szCs w:val="36"/>
          <w:rtl/>
        </w:rPr>
        <w:t>إراد</w:t>
      </w:r>
      <w:r w:rsidR="00EC7EDF" w:rsidRPr="00FD211F">
        <w:rPr>
          <w:sz w:val="36"/>
          <w:szCs w:val="36"/>
          <w:rtl/>
        </w:rPr>
        <w:t xml:space="preserve">ة </w:t>
      </w:r>
      <w:r w:rsidR="00FC3671" w:rsidRPr="00FD211F">
        <w:rPr>
          <w:sz w:val="36"/>
          <w:szCs w:val="36"/>
          <w:rtl/>
        </w:rPr>
        <w:t>تفهيم المعنى باللفظ</w:t>
      </w:r>
      <w:r w:rsidRPr="00FD211F">
        <w:rPr>
          <w:sz w:val="36"/>
          <w:szCs w:val="36"/>
          <w:rtl/>
        </w:rPr>
        <w:t>.</w:t>
      </w:r>
    </w:p>
    <w:p w14:paraId="39049DBC" w14:textId="77777777" w:rsidR="00AA1EB6" w:rsidRPr="00FD211F" w:rsidRDefault="00F73522" w:rsidP="009C58C8">
      <w:pPr>
        <w:ind w:left="0" w:firstLine="227"/>
        <w:jc w:val="both"/>
        <w:rPr>
          <w:sz w:val="36"/>
          <w:szCs w:val="36"/>
          <w:rtl/>
        </w:rPr>
      </w:pPr>
      <w:r w:rsidRPr="00FD211F">
        <w:rPr>
          <w:b/>
          <w:bCs/>
          <w:sz w:val="36"/>
          <w:szCs w:val="36"/>
          <w:rtl/>
        </w:rPr>
        <w:t>الاشكال الرابع</w:t>
      </w:r>
      <w:r w:rsidR="00856647" w:rsidRPr="00FD211F">
        <w:rPr>
          <w:sz w:val="36"/>
          <w:szCs w:val="36"/>
          <w:rtl/>
        </w:rPr>
        <w:t>:</w:t>
      </w:r>
      <w:r w:rsidR="00AA1EB6" w:rsidRPr="00FD211F">
        <w:rPr>
          <w:sz w:val="36"/>
          <w:szCs w:val="36"/>
          <w:rtl/>
        </w:rPr>
        <w:t xml:space="preserve"> ما </w:t>
      </w:r>
      <w:r w:rsidR="000D11F4" w:rsidRPr="00FD211F">
        <w:rPr>
          <w:sz w:val="36"/>
          <w:szCs w:val="36"/>
          <w:rtl/>
        </w:rPr>
        <w:t xml:space="preserve">حكي عن </w:t>
      </w:r>
      <w:r w:rsidR="00AA1EB6" w:rsidRPr="00FD211F">
        <w:rPr>
          <w:sz w:val="36"/>
          <w:szCs w:val="36"/>
          <w:rtl/>
        </w:rPr>
        <w:t>السيد الصدر</w:t>
      </w:r>
      <w:r w:rsidR="00AB1B12" w:rsidRPr="00FD211F">
        <w:rPr>
          <w:sz w:val="36"/>
          <w:szCs w:val="36"/>
          <w:rtl/>
        </w:rPr>
        <w:t>"</w:t>
      </w:r>
      <w:r w:rsidR="00AA1EB6" w:rsidRPr="00FD211F">
        <w:rPr>
          <w:sz w:val="36"/>
          <w:szCs w:val="36"/>
          <w:rtl/>
        </w:rPr>
        <w:t>قده</w:t>
      </w:r>
      <w:r w:rsidR="00AB1B12" w:rsidRPr="00FD211F">
        <w:rPr>
          <w:sz w:val="36"/>
          <w:szCs w:val="36"/>
          <w:rtl/>
        </w:rPr>
        <w:t>"</w:t>
      </w:r>
      <w:r w:rsidR="00D97759" w:rsidRPr="00FD211F">
        <w:rPr>
          <w:sz w:val="36"/>
          <w:szCs w:val="36"/>
          <w:rtl/>
        </w:rPr>
        <w:t xml:space="preserve"> من</w:t>
      </w:r>
      <w:r w:rsidR="00AA1EB6" w:rsidRPr="00FD211F">
        <w:rPr>
          <w:sz w:val="36"/>
          <w:szCs w:val="36"/>
          <w:rtl/>
        </w:rPr>
        <w:t xml:space="preserve"> ان القضي</w:t>
      </w:r>
      <w:r w:rsidR="00EC7EDF" w:rsidRPr="00FD211F">
        <w:rPr>
          <w:sz w:val="36"/>
          <w:szCs w:val="36"/>
          <w:rtl/>
        </w:rPr>
        <w:t xml:space="preserve">ة </w:t>
      </w:r>
      <w:r w:rsidR="00AA1EB6" w:rsidRPr="00FD211F">
        <w:rPr>
          <w:sz w:val="36"/>
          <w:szCs w:val="36"/>
          <w:rtl/>
        </w:rPr>
        <w:t>المتعهد بها ان كانت هي</w:t>
      </w:r>
      <w:r w:rsidR="000D11F4" w:rsidRPr="00FD211F">
        <w:rPr>
          <w:sz w:val="36"/>
          <w:szCs w:val="36"/>
          <w:rtl/>
        </w:rPr>
        <w:t xml:space="preserve"> ما يظهر من كلمات السيد الخوئي في المقام من</w:t>
      </w:r>
      <w:r w:rsidR="00AA1EB6" w:rsidRPr="00FD211F">
        <w:rPr>
          <w:sz w:val="36"/>
          <w:szCs w:val="36"/>
          <w:rtl/>
        </w:rPr>
        <w:t xml:space="preserve"> انه كلما قصد تفهيم معنى الحيوان المفترس</w:t>
      </w:r>
      <w:r w:rsidR="00D97759" w:rsidRPr="00FD211F">
        <w:rPr>
          <w:sz w:val="36"/>
          <w:szCs w:val="36"/>
          <w:rtl/>
        </w:rPr>
        <w:t xml:space="preserve"> مثلا</w:t>
      </w:r>
      <w:r w:rsidR="00AA1EB6" w:rsidRPr="00FD211F">
        <w:rPr>
          <w:sz w:val="36"/>
          <w:szCs w:val="36"/>
          <w:rtl/>
        </w:rPr>
        <w:t xml:space="preserve"> نطق بلفظ الأسد</w:t>
      </w:r>
      <w:r w:rsidR="00603323" w:rsidRPr="00FD211F">
        <w:rPr>
          <w:sz w:val="36"/>
          <w:szCs w:val="36"/>
          <w:rtl/>
        </w:rPr>
        <w:t xml:space="preserve">، </w:t>
      </w:r>
      <w:r w:rsidR="00AA1EB6" w:rsidRPr="00FD211F">
        <w:rPr>
          <w:sz w:val="36"/>
          <w:szCs w:val="36"/>
          <w:rtl/>
        </w:rPr>
        <w:t>فهذا لايجدي في ايجاد الدلال</w:t>
      </w:r>
      <w:r w:rsidR="00EC7EDF" w:rsidRPr="00FD211F">
        <w:rPr>
          <w:sz w:val="36"/>
          <w:szCs w:val="36"/>
          <w:rtl/>
        </w:rPr>
        <w:t xml:space="preserve">ة </w:t>
      </w:r>
      <w:r w:rsidR="00AA1EB6" w:rsidRPr="00FD211F">
        <w:rPr>
          <w:sz w:val="36"/>
          <w:szCs w:val="36"/>
          <w:rtl/>
        </w:rPr>
        <w:t>التصديقي</w:t>
      </w:r>
      <w:r w:rsidR="00EC7EDF" w:rsidRPr="00FD211F">
        <w:rPr>
          <w:sz w:val="36"/>
          <w:szCs w:val="36"/>
          <w:rtl/>
        </w:rPr>
        <w:t xml:space="preserve">ة </w:t>
      </w:r>
      <w:r w:rsidR="0037442A" w:rsidRPr="00FD211F">
        <w:rPr>
          <w:sz w:val="36"/>
          <w:szCs w:val="36"/>
          <w:rtl/>
        </w:rPr>
        <w:t>المطلوب</w:t>
      </w:r>
      <w:r w:rsidR="00EC7EDF" w:rsidRPr="00FD211F">
        <w:rPr>
          <w:sz w:val="36"/>
          <w:szCs w:val="36"/>
          <w:rtl/>
        </w:rPr>
        <w:t xml:space="preserve">ة </w:t>
      </w:r>
      <w:r w:rsidR="00AA1EB6" w:rsidRPr="00FD211F">
        <w:rPr>
          <w:sz w:val="36"/>
          <w:szCs w:val="36"/>
          <w:rtl/>
        </w:rPr>
        <w:t>من التعهد</w:t>
      </w:r>
      <w:r w:rsidR="00603323" w:rsidRPr="00FD211F">
        <w:rPr>
          <w:sz w:val="36"/>
          <w:szCs w:val="36"/>
          <w:rtl/>
        </w:rPr>
        <w:t xml:space="preserve">، </w:t>
      </w:r>
      <w:r w:rsidR="00AA1EB6" w:rsidRPr="00FD211F">
        <w:rPr>
          <w:sz w:val="36"/>
          <w:szCs w:val="36"/>
          <w:rtl/>
        </w:rPr>
        <w:t>لانه</w:t>
      </w:r>
      <w:r w:rsidR="0037442A" w:rsidRPr="00FD211F">
        <w:rPr>
          <w:sz w:val="36"/>
          <w:szCs w:val="36"/>
          <w:rtl/>
        </w:rPr>
        <w:t xml:space="preserve"> لايقتضي انه كلما تلفظ بلفظ الاسد فهو يقصد تفهيم معنى الحيوان المفترس</w:t>
      </w:r>
      <w:r w:rsidR="00603323" w:rsidRPr="00FD211F">
        <w:rPr>
          <w:sz w:val="36"/>
          <w:szCs w:val="36"/>
          <w:rtl/>
        </w:rPr>
        <w:t xml:space="preserve">، </w:t>
      </w:r>
      <w:r w:rsidR="0037442A" w:rsidRPr="00FD211F">
        <w:rPr>
          <w:sz w:val="36"/>
          <w:szCs w:val="36"/>
          <w:rtl/>
        </w:rPr>
        <w:t>وان كانت هذه القضي</w:t>
      </w:r>
      <w:r w:rsidR="00EC7EDF" w:rsidRPr="00FD211F">
        <w:rPr>
          <w:sz w:val="36"/>
          <w:szCs w:val="36"/>
          <w:rtl/>
        </w:rPr>
        <w:t xml:space="preserve">ة </w:t>
      </w:r>
      <w:r w:rsidR="00D97759" w:rsidRPr="00FD211F">
        <w:rPr>
          <w:sz w:val="36"/>
          <w:szCs w:val="36"/>
          <w:rtl/>
        </w:rPr>
        <w:t>المتعهد بها</w:t>
      </w:r>
      <w:r w:rsidR="003E3DBD" w:rsidRPr="00FD211F">
        <w:rPr>
          <w:sz w:val="36"/>
          <w:szCs w:val="36"/>
          <w:rtl/>
        </w:rPr>
        <w:t xml:space="preserve"> أنه كلما صدر منه هذا اللفظ</w:t>
      </w:r>
      <w:r w:rsidR="0037442A" w:rsidRPr="00FD211F">
        <w:rPr>
          <w:sz w:val="36"/>
          <w:szCs w:val="36"/>
          <w:rtl/>
        </w:rPr>
        <w:t xml:space="preserve"> هي انه لايتكلم بلفظ الاسد الا حينما يكون قاصدا تفهيم معنى الحيوان المفترس</w:t>
      </w:r>
      <w:r w:rsidR="009C58C8" w:rsidRPr="00FD211F">
        <w:rPr>
          <w:rStyle w:val="a6"/>
          <w:sz w:val="36"/>
          <w:szCs w:val="36"/>
          <w:rtl/>
        </w:rPr>
        <w:t>(</w:t>
      </w:r>
      <w:r w:rsidR="009C58C8" w:rsidRPr="00FD211F">
        <w:rPr>
          <w:rStyle w:val="a6"/>
          <w:sz w:val="36"/>
          <w:szCs w:val="36"/>
          <w:rtl/>
        </w:rPr>
        <w:footnoteReference w:id="114"/>
      </w:r>
      <w:r w:rsidR="009C58C8" w:rsidRPr="00FD211F">
        <w:rPr>
          <w:rStyle w:val="a6"/>
          <w:sz w:val="36"/>
          <w:szCs w:val="36"/>
          <w:rtl/>
        </w:rPr>
        <w:t>)</w:t>
      </w:r>
      <w:r w:rsidR="00603323" w:rsidRPr="00FD211F">
        <w:rPr>
          <w:sz w:val="36"/>
          <w:szCs w:val="36"/>
          <w:rtl/>
        </w:rPr>
        <w:t xml:space="preserve">، </w:t>
      </w:r>
      <w:r w:rsidR="0037442A" w:rsidRPr="00FD211F">
        <w:rPr>
          <w:sz w:val="36"/>
          <w:szCs w:val="36"/>
          <w:rtl/>
        </w:rPr>
        <w:t>فالتعهد بذلك وان كان معقولا ومحققا للدلال</w:t>
      </w:r>
      <w:r w:rsidR="00EC7EDF" w:rsidRPr="00FD211F">
        <w:rPr>
          <w:sz w:val="36"/>
          <w:szCs w:val="36"/>
          <w:rtl/>
        </w:rPr>
        <w:t xml:space="preserve">ة </w:t>
      </w:r>
      <w:r w:rsidR="0037442A" w:rsidRPr="00FD211F">
        <w:rPr>
          <w:sz w:val="36"/>
          <w:szCs w:val="36"/>
          <w:rtl/>
        </w:rPr>
        <w:t>التصديقي</w:t>
      </w:r>
      <w:r w:rsidR="00EC7EDF" w:rsidRPr="00FD211F">
        <w:rPr>
          <w:sz w:val="36"/>
          <w:szCs w:val="36"/>
          <w:rtl/>
        </w:rPr>
        <w:t xml:space="preserve">ة </w:t>
      </w:r>
      <w:r w:rsidR="0037442A" w:rsidRPr="00FD211F">
        <w:rPr>
          <w:sz w:val="36"/>
          <w:szCs w:val="36"/>
          <w:rtl/>
        </w:rPr>
        <w:t>المطلوب</w:t>
      </w:r>
      <w:r w:rsidR="00EC7EDF" w:rsidRPr="00FD211F">
        <w:rPr>
          <w:sz w:val="36"/>
          <w:szCs w:val="36"/>
          <w:rtl/>
        </w:rPr>
        <w:t xml:space="preserve">ة </w:t>
      </w:r>
      <w:r w:rsidR="0037442A" w:rsidRPr="00FD211F">
        <w:rPr>
          <w:sz w:val="36"/>
          <w:szCs w:val="36"/>
          <w:rtl/>
        </w:rPr>
        <w:t>لكنه يشتمل على تعهد ضمني بعدم الاستعمال المجازي</w:t>
      </w:r>
      <w:r w:rsidR="00603323" w:rsidRPr="00FD211F">
        <w:rPr>
          <w:sz w:val="36"/>
          <w:szCs w:val="36"/>
          <w:rtl/>
        </w:rPr>
        <w:t xml:space="preserve">، </w:t>
      </w:r>
      <w:r w:rsidR="0037442A" w:rsidRPr="00FD211F">
        <w:rPr>
          <w:sz w:val="36"/>
          <w:szCs w:val="36"/>
          <w:rtl/>
        </w:rPr>
        <w:t>ومن الواضح ان الوضع لايعني التعهد بعدم الاستعمال المجازي.</w:t>
      </w:r>
    </w:p>
    <w:p w14:paraId="01241270" w14:textId="77777777" w:rsidR="0037442A" w:rsidRPr="00FD211F" w:rsidRDefault="0037442A" w:rsidP="009C58C8">
      <w:pPr>
        <w:ind w:left="0" w:firstLine="227"/>
        <w:jc w:val="both"/>
        <w:rPr>
          <w:sz w:val="36"/>
          <w:szCs w:val="36"/>
          <w:rtl/>
        </w:rPr>
      </w:pPr>
      <w:r w:rsidRPr="00FD211F">
        <w:rPr>
          <w:sz w:val="36"/>
          <w:szCs w:val="36"/>
          <w:rtl/>
        </w:rPr>
        <w:t>ان قلت: يمكن اصلاحه بدعوى ان الوضع هو التعهد بان لايتكلم بلفظ الاسد مثلا من دون قرين</w:t>
      </w:r>
      <w:r w:rsidR="00EC7EDF" w:rsidRPr="00FD211F">
        <w:rPr>
          <w:sz w:val="36"/>
          <w:szCs w:val="36"/>
          <w:rtl/>
        </w:rPr>
        <w:t xml:space="preserve">ة </w:t>
      </w:r>
      <w:r w:rsidRPr="00FD211F">
        <w:rPr>
          <w:sz w:val="36"/>
          <w:szCs w:val="36"/>
          <w:rtl/>
        </w:rPr>
        <w:t>الا حينما يكون قاصدا لتفهيم معنى الحيوان المفترس</w:t>
      </w:r>
      <w:r w:rsidR="009C58C8" w:rsidRPr="00FD211F">
        <w:rPr>
          <w:rStyle w:val="a6"/>
          <w:sz w:val="36"/>
          <w:szCs w:val="36"/>
          <w:rtl/>
        </w:rPr>
        <w:t>(</w:t>
      </w:r>
      <w:r w:rsidR="009C58C8" w:rsidRPr="00FD211F">
        <w:rPr>
          <w:rStyle w:val="a6"/>
          <w:sz w:val="36"/>
          <w:szCs w:val="36"/>
          <w:rtl/>
        </w:rPr>
        <w:footnoteReference w:id="115"/>
      </w:r>
      <w:r w:rsidR="009C58C8" w:rsidRPr="00FD211F">
        <w:rPr>
          <w:rStyle w:val="a6"/>
          <w:sz w:val="36"/>
          <w:szCs w:val="36"/>
          <w:rtl/>
        </w:rPr>
        <w:t>)</w:t>
      </w:r>
      <w:r w:rsidR="00603323" w:rsidRPr="00FD211F">
        <w:rPr>
          <w:sz w:val="36"/>
          <w:szCs w:val="36"/>
          <w:rtl/>
        </w:rPr>
        <w:t xml:space="preserve">، </w:t>
      </w:r>
      <w:r w:rsidRPr="00FD211F">
        <w:rPr>
          <w:sz w:val="36"/>
          <w:szCs w:val="36"/>
          <w:rtl/>
        </w:rPr>
        <w:t>وبناء على ذلك فمع نصب القرين</w:t>
      </w:r>
      <w:r w:rsidR="00EC7EDF" w:rsidRPr="00FD211F">
        <w:rPr>
          <w:sz w:val="36"/>
          <w:szCs w:val="36"/>
          <w:rtl/>
        </w:rPr>
        <w:t xml:space="preserve">ة </w:t>
      </w:r>
      <w:r w:rsidRPr="00FD211F">
        <w:rPr>
          <w:sz w:val="36"/>
          <w:szCs w:val="36"/>
          <w:rtl/>
        </w:rPr>
        <w:t xml:space="preserve">على </w:t>
      </w:r>
      <w:r w:rsidR="00D815DE" w:rsidRPr="00FD211F">
        <w:rPr>
          <w:sz w:val="36"/>
          <w:szCs w:val="36"/>
          <w:rtl/>
        </w:rPr>
        <w:t>إراد</w:t>
      </w:r>
      <w:r w:rsidR="00EC7EDF" w:rsidRPr="00FD211F">
        <w:rPr>
          <w:sz w:val="36"/>
          <w:szCs w:val="36"/>
          <w:rtl/>
        </w:rPr>
        <w:t xml:space="preserve">ة </w:t>
      </w:r>
      <w:r w:rsidRPr="00FD211F">
        <w:rPr>
          <w:sz w:val="36"/>
          <w:szCs w:val="36"/>
          <w:rtl/>
        </w:rPr>
        <w:t>الرجل الشجاع مثلا من لفظ الاسد فلم يتعهد بكونه قاصدا تفهيم معنى الحيوان المفترس.</w:t>
      </w:r>
    </w:p>
    <w:p w14:paraId="5FE40929" w14:textId="77777777" w:rsidR="00C63C2D" w:rsidRPr="00FD211F" w:rsidRDefault="0037442A" w:rsidP="009C58C8">
      <w:pPr>
        <w:ind w:left="0" w:firstLine="227"/>
        <w:jc w:val="both"/>
        <w:rPr>
          <w:sz w:val="36"/>
          <w:szCs w:val="36"/>
          <w:rtl/>
        </w:rPr>
      </w:pPr>
      <w:r w:rsidRPr="00FD211F">
        <w:rPr>
          <w:sz w:val="36"/>
          <w:szCs w:val="36"/>
          <w:rtl/>
        </w:rPr>
        <w:t>قلت: يرد عليه</w:t>
      </w:r>
      <w:r w:rsidRPr="00FD211F">
        <w:rPr>
          <w:b/>
          <w:bCs/>
          <w:sz w:val="36"/>
          <w:szCs w:val="36"/>
          <w:rtl/>
        </w:rPr>
        <w:t xml:space="preserve"> اولا</w:t>
      </w:r>
      <w:r w:rsidR="00D97759" w:rsidRPr="00FD211F">
        <w:rPr>
          <w:sz w:val="36"/>
          <w:szCs w:val="36"/>
          <w:rtl/>
        </w:rPr>
        <w:t>:</w:t>
      </w:r>
      <w:r w:rsidRPr="00FD211F">
        <w:rPr>
          <w:sz w:val="36"/>
          <w:szCs w:val="36"/>
          <w:rtl/>
        </w:rPr>
        <w:t xml:space="preserve"> ان الانسان العرفي قد يتعلق غرضه بالاستعمال المجازي من دون نصب قرين</w:t>
      </w:r>
      <w:r w:rsidR="00EC7EDF" w:rsidRPr="00FD211F">
        <w:rPr>
          <w:sz w:val="36"/>
          <w:szCs w:val="36"/>
          <w:rtl/>
        </w:rPr>
        <w:t>ة</w:t>
      </w:r>
      <w:r w:rsidR="00603323" w:rsidRPr="00FD211F">
        <w:rPr>
          <w:sz w:val="36"/>
          <w:szCs w:val="36"/>
          <w:rtl/>
        </w:rPr>
        <w:t xml:space="preserve">، </w:t>
      </w:r>
      <w:r w:rsidR="00D97759" w:rsidRPr="00FD211F">
        <w:rPr>
          <w:sz w:val="36"/>
          <w:szCs w:val="36"/>
          <w:rtl/>
        </w:rPr>
        <w:t>حيث</w:t>
      </w:r>
      <w:r w:rsidRPr="00FD211F">
        <w:rPr>
          <w:sz w:val="36"/>
          <w:szCs w:val="36"/>
          <w:rtl/>
        </w:rPr>
        <w:t xml:space="preserve"> يكون غرضه</w:t>
      </w:r>
      <w:r w:rsidR="00D97759" w:rsidRPr="00FD211F">
        <w:rPr>
          <w:sz w:val="36"/>
          <w:szCs w:val="36"/>
          <w:rtl/>
        </w:rPr>
        <w:t xml:space="preserve"> أحيانا</w:t>
      </w:r>
      <w:r w:rsidRPr="00FD211F">
        <w:rPr>
          <w:sz w:val="36"/>
          <w:szCs w:val="36"/>
          <w:rtl/>
        </w:rPr>
        <w:t xml:space="preserve"> هو الإجمال والإبهام</w:t>
      </w:r>
      <w:r w:rsidR="00DB58B2" w:rsidRPr="00FD211F">
        <w:rPr>
          <w:sz w:val="36"/>
          <w:szCs w:val="36"/>
          <w:rtl/>
        </w:rPr>
        <w:t>.</w:t>
      </w:r>
    </w:p>
    <w:p w14:paraId="4A4045C2" w14:textId="77777777" w:rsidR="0037442A" w:rsidRPr="00FD211F" w:rsidRDefault="0037442A" w:rsidP="009C58C8">
      <w:pPr>
        <w:ind w:left="0" w:firstLine="227"/>
        <w:jc w:val="both"/>
        <w:rPr>
          <w:sz w:val="36"/>
          <w:szCs w:val="36"/>
          <w:rtl/>
        </w:rPr>
      </w:pPr>
      <w:r w:rsidRPr="00FD211F">
        <w:rPr>
          <w:b/>
          <w:bCs/>
          <w:sz w:val="36"/>
          <w:szCs w:val="36"/>
          <w:rtl/>
        </w:rPr>
        <w:t>وثانيا</w:t>
      </w:r>
      <w:r w:rsidRPr="00FD211F">
        <w:rPr>
          <w:sz w:val="36"/>
          <w:szCs w:val="36"/>
          <w:rtl/>
        </w:rPr>
        <w:t>: ان كان المراد من القرين</w:t>
      </w:r>
      <w:r w:rsidR="00EC7EDF" w:rsidRPr="00FD211F">
        <w:rPr>
          <w:sz w:val="36"/>
          <w:szCs w:val="36"/>
          <w:rtl/>
        </w:rPr>
        <w:t xml:space="preserve">ة </w:t>
      </w:r>
      <w:r w:rsidRPr="00FD211F">
        <w:rPr>
          <w:sz w:val="36"/>
          <w:szCs w:val="36"/>
          <w:rtl/>
        </w:rPr>
        <w:t>هو خصوص القرين</w:t>
      </w:r>
      <w:r w:rsidR="00EC7EDF" w:rsidRPr="00FD211F">
        <w:rPr>
          <w:sz w:val="36"/>
          <w:szCs w:val="36"/>
          <w:rtl/>
        </w:rPr>
        <w:t xml:space="preserve">ة </w:t>
      </w:r>
      <w:r w:rsidRPr="00FD211F">
        <w:rPr>
          <w:sz w:val="36"/>
          <w:szCs w:val="36"/>
          <w:rtl/>
        </w:rPr>
        <w:t>المتصل</w:t>
      </w:r>
      <w:r w:rsidR="00EC7EDF" w:rsidRPr="00FD211F">
        <w:rPr>
          <w:sz w:val="36"/>
          <w:szCs w:val="36"/>
          <w:rtl/>
        </w:rPr>
        <w:t xml:space="preserve">ة </w:t>
      </w:r>
      <w:r w:rsidRPr="00FD211F">
        <w:rPr>
          <w:sz w:val="36"/>
          <w:szCs w:val="36"/>
          <w:rtl/>
        </w:rPr>
        <w:t>لزم التعهد الضمني بعدم الاستعمال المجازي مع الاعتماد على قرين</w:t>
      </w:r>
      <w:r w:rsidR="00EC7EDF" w:rsidRPr="00FD211F">
        <w:rPr>
          <w:sz w:val="36"/>
          <w:szCs w:val="36"/>
          <w:rtl/>
        </w:rPr>
        <w:t xml:space="preserve">ة </w:t>
      </w:r>
      <w:r w:rsidR="00D97759" w:rsidRPr="00FD211F">
        <w:rPr>
          <w:sz w:val="36"/>
          <w:szCs w:val="36"/>
          <w:rtl/>
        </w:rPr>
        <w:t>منفصل</w:t>
      </w:r>
      <w:r w:rsidR="00EC7EDF" w:rsidRPr="00FD211F">
        <w:rPr>
          <w:sz w:val="36"/>
          <w:szCs w:val="36"/>
          <w:rtl/>
        </w:rPr>
        <w:t>ة</w:t>
      </w:r>
      <w:r w:rsidR="00603323" w:rsidRPr="00FD211F">
        <w:rPr>
          <w:sz w:val="36"/>
          <w:szCs w:val="36"/>
          <w:rtl/>
        </w:rPr>
        <w:t xml:space="preserve">، </w:t>
      </w:r>
      <w:r w:rsidRPr="00FD211F">
        <w:rPr>
          <w:sz w:val="36"/>
          <w:szCs w:val="36"/>
          <w:rtl/>
        </w:rPr>
        <w:t>وان كان المراد من القرين</w:t>
      </w:r>
      <w:r w:rsidR="00EC7EDF" w:rsidRPr="00FD211F">
        <w:rPr>
          <w:sz w:val="36"/>
          <w:szCs w:val="36"/>
          <w:rtl/>
        </w:rPr>
        <w:t xml:space="preserve">ة </w:t>
      </w:r>
      <w:r w:rsidRPr="00FD211F">
        <w:rPr>
          <w:sz w:val="36"/>
          <w:szCs w:val="36"/>
          <w:rtl/>
        </w:rPr>
        <w:t>ما يعم القرين</w:t>
      </w:r>
      <w:r w:rsidR="00EC7EDF" w:rsidRPr="00FD211F">
        <w:rPr>
          <w:sz w:val="36"/>
          <w:szCs w:val="36"/>
          <w:rtl/>
        </w:rPr>
        <w:t xml:space="preserve">ة </w:t>
      </w:r>
      <w:r w:rsidRPr="00FD211F">
        <w:rPr>
          <w:sz w:val="36"/>
          <w:szCs w:val="36"/>
          <w:rtl/>
        </w:rPr>
        <w:t>المنفصل</w:t>
      </w:r>
      <w:r w:rsidR="00EC7EDF" w:rsidRPr="00FD211F">
        <w:rPr>
          <w:sz w:val="36"/>
          <w:szCs w:val="36"/>
          <w:rtl/>
        </w:rPr>
        <w:t xml:space="preserve">ة </w:t>
      </w:r>
      <w:r w:rsidRPr="00FD211F">
        <w:rPr>
          <w:sz w:val="36"/>
          <w:szCs w:val="36"/>
          <w:rtl/>
        </w:rPr>
        <w:t>ف</w:t>
      </w:r>
      <w:r w:rsidR="00C3352F" w:rsidRPr="00FD211F">
        <w:rPr>
          <w:sz w:val="36"/>
          <w:szCs w:val="36"/>
          <w:rtl/>
        </w:rPr>
        <w:t xml:space="preserve">اذا شك </w:t>
      </w:r>
      <w:r w:rsidRPr="00FD211F">
        <w:rPr>
          <w:sz w:val="36"/>
          <w:szCs w:val="36"/>
          <w:rtl/>
        </w:rPr>
        <w:t>في القرين</w:t>
      </w:r>
      <w:r w:rsidR="00EC7EDF" w:rsidRPr="00FD211F">
        <w:rPr>
          <w:sz w:val="36"/>
          <w:szCs w:val="36"/>
          <w:rtl/>
        </w:rPr>
        <w:t xml:space="preserve">ة </w:t>
      </w:r>
      <w:r w:rsidRPr="00FD211F">
        <w:rPr>
          <w:sz w:val="36"/>
          <w:szCs w:val="36"/>
          <w:rtl/>
        </w:rPr>
        <w:t>المنفصل</w:t>
      </w:r>
      <w:r w:rsidR="00EC7EDF" w:rsidRPr="00FD211F">
        <w:rPr>
          <w:sz w:val="36"/>
          <w:szCs w:val="36"/>
          <w:rtl/>
        </w:rPr>
        <w:t xml:space="preserve">ة </w:t>
      </w:r>
      <w:r w:rsidR="00C3352F" w:rsidRPr="00FD211F">
        <w:rPr>
          <w:sz w:val="36"/>
          <w:szCs w:val="36"/>
          <w:rtl/>
        </w:rPr>
        <w:t xml:space="preserve">فلايحرز تعهد المتكلم حينئذ </w:t>
      </w:r>
      <w:r w:rsidRPr="00FD211F">
        <w:rPr>
          <w:sz w:val="36"/>
          <w:szCs w:val="36"/>
          <w:rtl/>
        </w:rPr>
        <w:t>ان يقصد من لفظ الاسد مثلا الحيوان المفترس</w:t>
      </w:r>
      <w:r w:rsidR="00603323" w:rsidRPr="00FD211F">
        <w:rPr>
          <w:sz w:val="36"/>
          <w:szCs w:val="36"/>
          <w:rtl/>
        </w:rPr>
        <w:t xml:space="preserve">، </w:t>
      </w:r>
      <w:r w:rsidRPr="00FD211F">
        <w:rPr>
          <w:sz w:val="36"/>
          <w:szCs w:val="36"/>
          <w:rtl/>
        </w:rPr>
        <w:t>وهذا يوجب اجمال الخطاب اذا كان نكت</w:t>
      </w:r>
      <w:r w:rsidR="00EC7EDF" w:rsidRPr="00FD211F">
        <w:rPr>
          <w:sz w:val="36"/>
          <w:szCs w:val="36"/>
          <w:rtl/>
        </w:rPr>
        <w:t xml:space="preserve">ة </w:t>
      </w:r>
      <w:r w:rsidRPr="00FD211F">
        <w:rPr>
          <w:sz w:val="36"/>
          <w:szCs w:val="36"/>
          <w:rtl/>
        </w:rPr>
        <w:t>الظهور هو تعهد المتكلم</w:t>
      </w:r>
      <w:r w:rsidR="00603323" w:rsidRPr="00FD211F">
        <w:rPr>
          <w:sz w:val="36"/>
          <w:szCs w:val="36"/>
          <w:rtl/>
        </w:rPr>
        <w:t xml:space="preserve">، </w:t>
      </w:r>
      <w:r w:rsidRPr="00FD211F">
        <w:rPr>
          <w:sz w:val="36"/>
          <w:szCs w:val="36"/>
          <w:rtl/>
        </w:rPr>
        <w:t>كما هو المفروض بناء على نظري</w:t>
      </w:r>
      <w:r w:rsidR="00EC7EDF" w:rsidRPr="00FD211F">
        <w:rPr>
          <w:sz w:val="36"/>
          <w:szCs w:val="36"/>
          <w:rtl/>
        </w:rPr>
        <w:t xml:space="preserve">ة </w:t>
      </w:r>
      <w:r w:rsidRPr="00FD211F">
        <w:rPr>
          <w:sz w:val="36"/>
          <w:szCs w:val="36"/>
          <w:rtl/>
        </w:rPr>
        <w:t>التعهد</w:t>
      </w:r>
      <w:r w:rsidR="000D1B93" w:rsidRPr="00FD211F">
        <w:rPr>
          <w:sz w:val="36"/>
          <w:szCs w:val="36"/>
          <w:rtl/>
        </w:rPr>
        <w:t xml:space="preserve"> </w:t>
      </w:r>
      <w:r w:rsidR="000844B2" w:rsidRPr="00FD211F">
        <w:rPr>
          <w:sz w:val="36"/>
          <w:szCs w:val="36"/>
          <w:rtl/>
        </w:rPr>
        <w:t>ولوبمقتضى مايقال من ظهورحالي عقلائي في وفاءكل متعهد</w:t>
      </w:r>
      <w:r w:rsidR="000D1B93" w:rsidRPr="00FD211F">
        <w:rPr>
          <w:sz w:val="36"/>
          <w:szCs w:val="36"/>
          <w:rtl/>
        </w:rPr>
        <w:t xml:space="preserve"> </w:t>
      </w:r>
      <w:r w:rsidR="000844B2" w:rsidRPr="00FD211F">
        <w:rPr>
          <w:sz w:val="36"/>
          <w:szCs w:val="36"/>
          <w:rtl/>
        </w:rPr>
        <w:t>بما</w:t>
      </w:r>
      <w:r w:rsidR="000D1B93" w:rsidRPr="00FD211F">
        <w:rPr>
          <w:sz w:val="36"/>
          <w:szCs w:val="36"/>
          <w:rtl/>
        </w:rPr>
        <w:t xml:space="preserve"> </w:t>
      </w:r>
      <w:r w:rsidR="000844B2" w:rsidRPr="00FD211F">
        <w:rPr>
          <w:sz w:val="36"/>
          <w:szCs w:val="36"/>
          <w:rtl/>
        </w:rPr>
        <w:t>تعهد</w:t>
      </w:r>
      <w:r w:rsidR="000D1B93" w:rsidRPr="00FD211F">
        <w:rPr>
          <w:sz w:val="36"/>
          <w:szCs w:val="36"/>
          <w:rtl/>
        </w:rPr>
        <w:t xml:space="preserve"> </w:t>
      </w:r>
      <w:r w:rsidR="000844B2" w:rsidRPr="00FD211F">
        <w:rPr>
          <w:sz w:val="36"/>
          <w:szCs w:val="36"/>
          <w:rtl/>
        </w:rPr>
        <w:t>به</w:t>
      </w:r>
      <w:r w:rsidR="00603323" w:rsidRPr="00FD211F">
        <w:rPr>
          <w:sz w:val="36"/>
          <w:szCs w:val="36"/>
          <w:rtl/>
        </w:rPr>
        <w:t xml:space="preserve">، </w:t>
      </w:r>
      <w:r w:rsidR="00E81C17" w:rsidRPr="00FD211F">
        <w:rPr>
          <w:sz w:val="36"/>
          <w:szCs w:val="36"/>
          <w:rtl/>
        </w:rPr>
        <w:t>و</w:t>
      </w:r>
      <w:r w:rsidR="00C3352F" w:rsidRPr="00FD211F">
        <w:rPr>
          <w:sz w:val="36"/>
          <w:szCs w:val="36"/>
          <w:rtl/>
        </w:rPr>
        <w:t xml:space="preserve">لايتم </w:t>
      </w:r>
      <w:r w:rsidR="000D1B93" w:rsidRPr="00FD211F">
        <w:rPr>
          <w:sz w:val="36"/>
          <w:szCs w:val="36"/>
          <w:rtl/>
        </w:rPr>
        <w:t xml:space="preserve">مايقال (من </w:t>
      </w:r>
      <w:r w:rsidR="00E81C17" w:rsidRPr="00FD211F">
        <w:rPr>
          <w:sz w:val="36"/>
          <w:szCs w:val="36"/>
          <w:rtl/>
        </w:rPr>
        <w:t>انه يمكن نفي الشك</w:t>
      </w:r>
      <w:r w:rsidR="00C3352F" w:rsidRPr="00FD211F">
        <w:rPr>
          <w:sz w:val="36"/>
          <w:szCs w:val="36"/>
          <w:rtl/>
        </w:rPr>
        <w:t xml:space="preserve"> في</w:t>
      </w:r>
      <w:r w:rsidR="000D1B93" w:rsidRPr="00FD211F">
        <w:rPr>
          <w:sz w:val="36"/>
          <w:szCs w:val="36"/>
          <w:rtl/>
        </w:rPr>
        <w:t xml:space="preserve"> وجود</w:t>
      </w:r>
      <w:r w:rsidR="00B253CE" w:rsidRPr="00FD211F">
        <w:rPr>
          <w:sz w:val="36"/>
          <w:szCs w:val="36"/>
          <w:rtl/>
        </w:rPr>
        <w:t xml:space="preserve"> </w:t>
      </w:r>
      <w:r w:rsidR="00C3352F" w:rsidRPr="00FD211F">
        <w:rPr>
          <w:sz w:val="36"/>
          <w:szCs w:val="36"/>
          <w:rtl/>
        </w:rPr>
        <w:t>القرين</w:t>
      </w:r>
      <w:r w:rsidR="00EC7EDF" w:rsidRPr="00FD211F">
        <w:rPr>
          <w:sz w:val="36"/>
          <w:szCs w:val="36"/>
          <w:rtl/>
        </w:rPr>
        <w:t xml:space="preserve">ة </w:t>
      </w:r>
      <w:r w:rsidR="00C3352F" w:rsidRPr="00FD211F">
        <w:rPr>
          <w:sz w:val="36"/>
          <w:szCs w:val="36"/>
          <w:rtl/>
        </w:rPr>
        <w:t>المنفصل</w:t>
      </w:r>
      <w:r w:rsidR="00EC7EDF" w:rsidRPr="00FD211F">
        <w:rPr>
          <w:sz w:val="36"/>
          <w:szCs w:val="36"/>
          <w:rtl/>
        </w:rPr>
        <w:t xml:space="preserve">ة </w:t>
      </w:r>
      <w:r w:rsidR="00C3352F" w:rsidRPr="00FD211F">
        <w:rPr>
          <w:sz w:val="36"/>
          <w:szCs w:val="36"/>
          <w:rtl/>
        </w:rPr>
        <w:t>ب</w:t>
      </w:r>
      <w:r w:rsidR="00E81C17" w:rsidRPr="00FD211F">
        <w:rPr>
          <w:sz w:val="36"/>
          <w:szCs w:val="36"/>
          <w:rtl/>
        </w:rPr>
        <w:t>ال</w:t>
      </w:r>
      <w:r w:rsidR="00C3352F" w:rsidRPr="00FD211F">
        <w:rPr>
          <w:sz w:val="36"/>
          <w:szCs w:val="36"/>
          <w:rtl/>
        </w:rPr>
        <w:t>أ</w:t>
      </w:r>
      <w:r w:rsidR="00E81C17" w:rsidRPr="00FD211F">
        <w:rPr>
          <w:sz w:val="36"/>
          <w:szCs w:val="36"/>
          <w:rtl/>
        </w:rPr>
        <w:t>صل العقلائي حيث يبن</w:t>
      </w:r>
      <w:r w:rsidR="00C3352F" w:rsidRPr="00FD211F">
        <w:rPr>
          <w:sz w:val="36"/>
          <w:szCs w:val="36"/>
          <w:rtl/>
        </w:rPr>
        <w:t>ي العقلاء</w:t>
      </w:r>
      <w:r w:rsidR="00E81C17" w:rsidRPr="00FD211F">
        <w:rPr>
          <w:sz w:val="36"/>
          <w:szCs w:val="36"/>
          <w:rtl/>
        </w:rPr>
        <w:t xml:space="preserve"> على عدم القرين</w:t>
      </w:r>
      <w:r w:rsidR="00EC7EDF" w:rsidRPr="00FD211F">
        <w:rPr>
          <w:sz w:val="36"/>
          <w:szCs w:val="36"/>
          <w:rtl/>
        </w:rPr>
        <w:t xml:space="preserve">ة </w:t>
      </w:r>
      <w:r w:rsidR="00E81C17" w:rsidRPr="00FD211F">
        <w:rPr>
          <w:sz w:val="36"/>
          <w:szCs w:val="36"/>
          <w:rtl/>
        </w:rPr>
        <w:t>المنفصل</w:t>
      </w:r>
      <w:r w:rsidR="00EC7EDF" w:rsidRPr="00FD211F">
        <w:rPr>
          <w:sz w:val="36"/>
          <w:szCs w:val="36"/>
          <w:rtl/>
        </w:rPr>
        <w:t xml:space="preserve">ة </w:t>
      </w:r>
      <w:r w:rsidR="00E81C17" w:rsidRPr="00FD211F">
        <w:rPr>
          <w:sz w:val="36"/>
          <w:szCs w:val="36"/>
          <w:rtl/>
        </w:rPr>
        <w:t>عند الشك في وجودها</w:t>
      </w:r>
      <w:r w:rsidR="000D1B93" w:rsidRPr="00FD211F">
        <w:rPr>
          <w:sz w:val="36"/>
          <w:szCs w:val="36"/>
          <w:rtl/>
        </w:rPr>
        <w:t>)</w:t>
      </w:r>
      <w:r w:rsidR="00603323" w:rsidRPr="00FD211F">
        <w:rPr>
          <w:sz w:val="36"/>
          <w:szCs w:val="36"/>
          <w:rtl/>
        </w:rPr>
        <w:t xml:space="preserve">، </w:t>
      </w:r>
      <w:r w:rsidR="000D1B93" w:rsidRPr="00FD211F">
        <w:rPr>
          <w:sz w:val="36"/>
          <w:szCs w:val="36"/>
          <w:rtl/>
        </w:rPr>
        <w:t>وذلك ل</w:t>
      </w:r>
      <w:r w:rsidR="00E81C17" w:rsidRPr="00FD211F">
        <w:rPr>
          <w:sz w:val="36"/>
          <w:szCs w:val="36"/>
          <w:rtl/>
        </w:rPr>
        <w:t>ان الاصول العقلائي</w:t>
      </w:r>
      <w:r w:rsidR="00EC7EDF" w:rsidRPr="00FD211F">
        <w:rPr>
          <w:sz w:val="36"/>
          <w:szCs w:val="36"/>
          <w:rtl/>
        </w:rPr>
        <w:t xml:space="preserve">ة </w:t>
      </w:r>
      <w:r w:rsidR="00E81C17" w:rsidRPr="00FD211F">
        <w:rPr>
          <w:sz w:val="36"/>
          <w:szCs w:val="36"/>
          <w:rtl/>
        </w:rPr>
        <w:t>ليست تعبدي</w:t>
      </w:r>
      <w:r w:rsidR="00EC7EDF" w:rsidRPr="00FD211F">
        <w:rPr>
          <w:sz w:val="36"/>
          <w:szCs w:val="36"/>
          <w:rtl/>
        </w:rPr>
        <w:t xml:space="preserve">ة </w:t>
      </w:r>
      <w:r w:rsidR="00E81C17" w:rsidRPr="00FD211F">
        <w:rPr>
          <w:sz w:val="36"/>
          <w:szCs w:val="36"/>
          <w:rtl/>
        </w:rPr>
        <w:t>محض</w:t>
      </w:r>
      <w:r w:rsidR="00EC7EDF" w:rsidRPr="00FD211F">
        <w:rPr>
          <w:sz w:val="36"/>
          <w:szCs w:val="36"/>
          <w:rtl/>
        </w:rPr>
        <w:t xml:space="preserve">ة </w:t>
      </w:r>
      <w:r w:rsidR="00E81C17" w:rsidRPr="00FD211F">
        <w:rPr>
          <w:sz w:val="36"/>
          <w:szCs w:val="36"/>
          <w:rtl/>
        </w:rPr>
        <w:t>بل هي بملاك وجود كاشفي</w:t>
      </w:r>
      <w:r w:rsidR="00EC7EDF" w:rsidRPr="00FD211F">
        <w:rPr>
          <w:sz w:val="36"/>
          <w:szCs w:val="36"/>
          <w:rtl/>
        </w:rPr>
        <w:t xml:space="preserve">ة </w:t>
      </w:r>
      <w:r w:rsidR="00E81C17" w:rsidRPr="00FD211F">
        <w:rPr>
          <w:sz w:val="36"/>
          <w:szCs w:val="36"/>
          <w:rtl/>
        </w:rPr>
        <w:t>في موردها كالظهور في محل الكلام</w:t>
      </w:r>
      <w:r w:rsidR="00603323" w:rsidRPr="00FD211F">
        <w:rPr>
          <w:sz w:val="36"/>
          <w:szCs w:val="36"/>
          <w:rtl/>
        </w:rPr>
        <w:t xml:space="preserve">، </w:t>
      </w:r>
      <w:r w:rsidR="00E81C17" w:rsidRPr="00FD211F">
        <w:rPr>
          <w:sz w:val="36"/>
          <w:szCs w:val="36"/>
          <w:rtl/>
        </w:rPr>
        <w:t>والمفروض ان الظهور بناء على نظري</w:t>
      </w:r>
      <w:r w:rsidR="00EC7EDF" w:rsidRPr="00FD211F">
        <w:rPr>
          <w:sz w:val="36"/>
          <w:szCs w:val="36"/>
          <w:rtl/>
        </w:rPr>
        <w:t xml:space="preserve">ة </w:t>
      </w:r>
      <w:r w:rsidR="00E81C17" w:rsidRPr="00FD211F">
        <w:rPr>
          <w:sz w:val="36"/>
          <w:szCs w:val="36"/>
          <w:rtl/>
        </w:rPr>
        <w:t>التعهد ناش من تعهد المتكلم</w:t>
      </w:r>
      <w:r w:rsidR="00603323" w:rsidRPr="00FD211F">
        <w:rPr>
          <w:sz w:val="36"/>
          <w:szCs w:val="36"/>
          <w:rtl/>
        </w:rPr>
        <w:t xml:space="preserve">، </w:t>
      </w:r>
      <w:r w:rsidR="009C55C7" w:rsidRPr="00FD211F">
        <w:rPr>
          <w:sz w:val="36"/>
          <w:szCs w:val="36"/>
          <w:rtl/>
        </w:rPr>
        <w:t>-بمقتضى كون الظاهر النوعي من حال العقلاء وفاءهم بتعهدهم-</w:t>
      </w:r>
      <w:r w:rsidR="009761EB" w:rsidRPr="00FD211F">
        <w:rPr>
          <w:sz w:val="36"/>
          <w:szCs w:val="36"/>
          <w:rtl/>
        </w:rPr>
        <w:t xml:space="preserve"> والمفروض ان تعهده يكون مشكوكا في مورد الشك في وجود</w:t>
      </w:r>
      <w:r w:rsidR="00E81C17" w:rsidRPr="00FD211F">
        <w:rPr>
          <w:sz w:val="36"/>
          <w:szCs w:val="36"/>
          <w:rtl/>
        </w:rPr>
        <w:t xml:space="preserve"> القرين</w:t>
      </w:r>
      <w:r w:rsidR="00EC7EDF" w:rsidRPr="00FD211F">
        <w:rPr>
          <w:sz w:val="36"/>
          <w:szCs w:val="36"/>
          <w:rtl/>
        </w:rPr>
        <w:t xml:space="preserve">ة </w:t>
      </w:r>
      <w:r w:rsidR="00E81C17" w:rsidRPr="00FD211F">
        <w:rPr>
          <w:sz w:val="36"/>
          <w:szCs w:val="36"/>
          <w:rtl/>
        </w:rPr>
        <w:t>المنفصل</w:t>
      </w:r>
      <w:r w:rsidR="00EC7EDF" w:rsidRPr="00FD211F">
        <w:rPr>
          <w:sz w:val="36"/>
          <w:szCs w:val="36"/>
          <w:rtl/>
        </w:rPr>
        <w:t>ة</w:t>
      </w:r>
      <w:r w:rsidR="00603323" w:rsidRPr="00FD211F">
        <w:rPr>
          <w:sz w:val="36"/>
          <w:szCs w:val="36"/>
          <w:rtl/>
        </w:rPr>
        <w:t xml:space="preserve">، </w:t>
      </w:r>
      <w:r w:rsidR="009761EB" w:rsidRPr="00FD211F">
        <w:rPr>
          <w:sz w:val="36"/>
          <w:szCs w:val="36"/>
          <w:rtl/>
        </w:rPr>
        <w:t>ف</w:t>
      </w:r>
      <w:r w:rsidR="00E81C17" w:rsidRPr="00FD211F">
        <w:rPr>
          <w:sz w:val="36"/>
          <w:szCs w:val="36"/>
          <w:rtl/>
        </w:rPr>
        <w:t>لايحرز الظهور حينئذ ليتمسك به لنفي القرين</w:t>
      </w:r>
      <w:r w:rsidR="00EC7EDF" w:rsidRPr="00FD211F">
        <w:rPr>
          <w:sz w:val="36"/>
          <w:szCs w:val="36"/>
          <w:rtl/>
        </w:rPr>
        <w:t xml:space="preserve">ة </w:t>
      </w:r>
      <w:r w:rsidR="00E81C17" w:rsidRPr="00FD211F">
        <w:rPr>
          <w:sz w:val="36"/>
          <w:szCs w:val="36"/>
          <w:rtl/>
        </w:rPr>
        <w:t>المنفصل</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16"/>
      </w:r>
      <w:r w:rsidR="009C58C8" w:rsidRPr="00FD211F">
        <w:rPr>
          <w:rStyle w:val="a6"/>
          <w:sz w:val="36"/>
          <w:szCs w:val="36"/>
          <w:rtl/>
        </w:rPr>
        <w:t>)</w:t>
      </w:r>
      <w:r w:rsidR="00E81C17" w:rsidRPr="00FD211F">
        <w:rPr>
          <w:sz w:val="36"/>
          <w:szCs w:val="36"/>
          <w:rtl/>
        </w:rPr>
        <w:t>.</w:t>
      </w:r>
    </w:p>
    <w:p w14:paraId="1EC0FCF1" w14:textId="77777777" w:rsidR="00E81C17" w:rsidRPr="00FD211F" w:rsidRDefault="00F73522" w:rsidP="009C58C8">
      <w:pPr>
        <w:ind w:left="0" w:firstLine="227"/>
        <w:jc w:val="both"/>
        <w:rPr>
          <w:sz w:val="36"/>
          <w:szCs w:val="36"/>
          <w:rtl/>
        </w:rPr>
      </w:pPr>
      <w:r w:rsidRPr="00FD211F">
        <w:rPr>
          <w:sz w:val="36"/>
          <w:szCs w:val="36"/>
          <w:rtl/>
        </w:rPr>
        <w:t>وقد حكي عن</w:t>
      </w:r>
      <w:r w:rsidR="00E81C17" w:rsidRPr="00FD211F">
        <w:rPr>
          <w:sz w:val="36"/>
          <w:szCs w:val="36"/>
          <w:rtl/>
        </w:rPr>
        <w:t xml:space="preserve"> بعض الساد</w:t>
      </w:r>
      <w:r w:rsidR="00EC7EDF" w:rsidRPr="00FD211F">
        <w:rPr>
          <w:sz w:val="36"/>
          <w:szCs w:val="36"/>
          <w:rtl/>
        </w:rPr>
        <w:t xml:space="preserve">ة </w:t>
      </w:r>
      <w:r w:rsidR="00E81C17" w:rsidRPr="00FD211F">
        <w:rPr>
          <w:sz w:val="36"/>
          <w:szCs w:val="36"/>
          <w:rtl/>
        </w:rPr>
        <w:t>الأعلام</w:t>
      </w:r>
      <w:r w:rsidR="007A4A0D" w:rsidRPr="00FD211F">
        <w:rPr>
          <w:sz w:val="36"/>
          <w:szCs w:val="36"/>
          <w:rtl/>
        </w:rPr>
        <w:t xml:space="preserve"> </w:t>
      </w:r>
      <w:r w:rsidR="006912A9" w:rsidRPr="00FD211F">
        <w:rPr>
          <w:sz w:val="36"/>
          <w:szCs w:val="36"/>
          <w:rtl/>
        </w:rPr>
        <w:t>"</w:t>
      </w:r>
      <w:r w:rsidR="007A4A0D" w:rsidRPr="00FD211F">
        <w:rPr>
          <w:sz w:val="36"/>
          <w:szCs w:val="36"/>
          <w:rtl/>
        </w:rPr>
        <w:t>دام‌ظله</w:t>
      </w:r>
      <w:r w:rsidR="006912A9" w:rsidRPr="00FD211F">
        <w:rPr>
          <w:sz w:val="36"/>
          <w:szCs w:val="36"/>
          <w:rtl/>
        </w:rPr>
        <w:t>"</w:t>
      </w:r>
      <w:r w:rsidR="007A4A0D" w:rsidRPr="00FD211F">
        <w:rPr>
          <w:sz w:val="36"/>
          <w:szCs w:val="36"/>
          <w:rtl/>
        </w:rPr>
        <w:t xml:space="preserve"> </w:t>
      </w:r>
      <w:r w:rsidRPr="00FD211F">
        <w:rPr>
          <w:sz w:val="36"/>
          <w:szCs w:val="36"/>
          <w:rtl/>
        </w:rPr>
        <w:t>أنه أجاب عن اشكال منافاة الاستعمال المجازي للتعهد بعدم استعمال اللفظ الا في معناه الحقيقي بأ</w:t>
      </w:r>
      <w:r w:rsidR="00E81C17" w:rsidRPr="00FD211F">
        <w:rPr>
          <w:sz w:val="36"/>
          <w:szCs w:val="36"/>
          <w:rtl/>
        </w:rPr>
        <w:t>ن الاستعمال المجازي بناء على نظري</w:t>
      </w:r>
      <w:r w:rsidR="00EC7EDF" w:rsidRPr="00FD211F">
        <w:rPr>
          <w:sz w:val="36"/>
          <w:szCs w:val="36"/>
          <w:rtl/>
        </w:rPr>
        <w:t xml:space="preserve">ة </w:t>
      </w:r>
      <w:r w:rsidR="00E81C17" w:rsidRPr="00FD211F">
        <w:rPr>
          <w:sz w:val="36"/>
          <w:szCs w:val="36"/>
          <w:rtl/>
        </w:rPr>
        <w:t>السيد الخوئي</w:t>
      </w:r>
      <w:r w:rsidR="00A61BAE" w:rsidRPr="00FD211F">
        <w:rPr>
          <w:sz w:val="36"/>
          <w:szCs w:val="36"/>
          <w:rtl/>
        </w:rPr>
        <w:t xml:space="preserve"> </w:t>
      </w:r>
      <w:r w:rsidR="006912A9" w:rsidRPr="00FD211F">
        <w:rPr>
          <w:sz w:val="36"/>
          <w:szCs w:val="36"/>
          <w:rtl/>
        </w:rPr>
        <w:t>"قده"</w:t>
      </w:r>
      <w:r w:rsidR="00A61BAE" w:rsidRPr="00FD211F">
        <w:rPr>
          <w:sz w:val="36"/>
          <w:szCs w:val="36"/>
          <w:rtl/>
        </w:rPr>
        <w:t xml:space="preserve"> </w:t>
      </w:r>
      <w:r w:rsidR="00E81C17" w:rsidRPr="00FD211F">
        <w:rPr>
          <w:sz w:val="36"/>
          <w:szCs w:val="36"/>
          <w:rtl/>
        </w:rPr>
        <w:t>لاينافي التعهد ب</w:t>
      </w:r>
      <w:r w:rsidR="00D815DE" w:rsidRPr="00FD211F">
        <w:rPr>
          <w:sz w:val="36"/>
          <w:szCs w:val="36"/>
          <w:rtl/>
        </w:rPr>
        <w:t>إراد</w:t>
      </w:r>
      <w:r w:rsidR="00EC7EDF" w:rsidRPr="00FD211F">
        <w:rPr>
          <w:sz w:val="36"/>
          <w:szCs w:val="36"/>
          <w:rtl/>
        </w:rPr>
        <w:t xml:space="preserve">ة </w:t>
      </w:r>
      <w:r w:rsidR="00E81C17" w:rsidRPr="00FD211F">
        <w:rPr>
          <w:sz w:val="36"/>
          <w:szCs w:val="36"/>
          <w:rtl/>
        </w:rPr>
        <w:t>تفهيم معنى الحيوان المفترس بلفظ الاسد</w:t>
      </w:r>
      <w:r w:rsidR="00603323" w:rsidRPr="00FD211F">
        <w:rPr>
          <w:sz w:val="36"/>
          <w:szCs w:val="36"/>
          <w:rtl/>
        </w:rPr>
        <w:t xml:space="preserve">، </w:t>
      </w:r>
      <w:r w:rsidR="00E81C17" w:rsidRPr="00FD211F">
        <w:rPr>
          <w:sz w:val="36"/>
          <w:szCs w:val="36"/>
          <w:rtl/>
        </w:rPr>
        <w:t>حيث ان الاستعمال المجازي عنده ليس</w:t>
      </w:r>
      <w:r w:rsidR="00CC6183" w:rsidRPr="00FD211F">
        <w:rPr>
          <w:sz w:val="36"/>
          <w:szCs w:val="36"/>
          <w:rtl/>
        </w:rPr>
        <w:t xml:space="preserve"> هو استعمال اللفظ في غير ما وضع له</w:t>
      </w:r>
      <w:r w:rsidR="00603323" w:rsidRPr="00FD211F">
        <w:rPr>
          <w:sz w:val="36"/>
          <w:szCs w:val="36"/>
          <w:rtl/>
        </w:rPr>
        <w:t xml:space="preserve">، </w:t>
      </w:r>
      <w:r w:rsidR="00CC6183" w:rsidRPr="00FD211F">
        <w:rPr>
          <w:sz w:val="36"/>
          <w:szCs w:val="36"/>
          <w:rtl/>
        </w:rPr>
        <w:t>بل اللفظ مستعمل دائما في المعنى الموضوع له غاي</w:t>
      </w:r>
      <w:r w:rsidR="00EC7EDF" w:rsidRPr="00FD211F">
        <w:rPr>
          <w:sz w:val="36"/>
          <w:szCs w:val="36"/>
          <w:rtl/>
        </w:rPr>
        <w:t xml:space="preserve">ة </w:t>
      </w:r>
      <w:r w:rsidR="0090224F" w:rsidRPr="00FD211F">
        <w:rPr>
          <w:sz w:val="36"/>
          <w:szCs w:val="36"/>
          <w:rtl/>
        </w:rPr>
        <w:t xml:space="preserve">الأمر </w:t>
      </w:r>
      <w:r w:rsidR="00CC6183" w:rsidRPr="00FD211F">
        <w:rPr>
          <w:sz w:val="36"/>
          <w:szCs w:val="36"/>
          <w:rtl/>
        </w:rPr>
        <w:t>ان التفهيم في موارد الاستعمال المجازي يكون مبتنيا على التنظير والادعاء</w:t>
      </w:r>
      <w:r w:rsidR="009C58C8" w:rsidRPr="00FD211F">
        <w:rPr>
          <w:rStyle w:val="a6"/>
          <w:sz w:val="36"/>
          <w:szCs w:val="36"/>
          <w:rtl/>
        </w:rPr>
        <w:t>(</w:t>
      </w:r>
      <w:r w:rsidR="009C58C8" w:rsidRPr="00FD211F">
        <w:rPr>
          <w:rStyle w:val="a6"/>
          <w:sz w:val="36"/>
          <w:szCs w:val="36"/>
          <w:rtl/>
        </w:rPr>
        <w:footnoteReference w:id="117"/>
      </w:r>
      <w:r w:rsidR="009C58C8" w:rsidRPr="00FD211F">
        <w:rPr>
          <w:rStyle w:val="a6"/>
          <w:sz w:val="36"/>
          <w:szCs w:val="36"/>
          <w:rtl/>
        </w:rPr>
        <w:t>)</w:t>
      </w:r>
      <w:r w:rsidR="00A36BEA" w:rsidRPr="00FD211F">
        <w:rPr>
          <w:sz w:val="36"/>
          <w:szCs w:val="36"/>
          <w:rtl/>
        </w:rPr>
        <w:t>.</w:t>
      </w:r>
    </w:p>
    <w:p w14:paraId="6CB47EBE" w14:textId="77777777" w:rsidR="000C5BBA" w:rsidRPr="00FD211F" w:rsidRDefault="00A36BEA" w:rsidP="009C58C8">
      <w:pPr>
        <w:ind w:left="0" w:firstLine="227"/>
        <w:jc w:val="both"/>
        <w:rPr>
          <w:sz w:val="36"/>
          <w:szCs w:val="36"/>
          <w:rtl/>
        </w:rPr>
      </w:pPr>
      <w:r w:rsidRPr="00FD211F">
        <w:rPr>
          <w:sz w:val="36"/>
          <w:szCs w:val="36"/>
          <w:rtl/>
        </w:rPr>
        <w:t>ولكن</w:t>
      </w:r>
      <w:r w:rsidR="00E6783A" w:rsidRPr="00FD211F">
        <w:rPr>
          <w:sz w:val="36"/>
          <w:szCs w:val="36"/>
          <w:rtl/>
        </w:rPr>
        <w:t xml:space="preserve"> ي</w:t>
      </w:r>
      <w:r w:rsidR="000844B2" w:rsidRPr="00FD211F">
        <w:rPr>
          <w:sz w:val="36"/>
          <w:szCs w:val="36"/>
          <w:rtl/>
        </w:rPr>
        <w:t>لاحظ على هذا</w:t>
      </w:r>
      <w:r w:rsidR="006912A9" w:rsidRPr="00FD211F">
        <w:rPr>
          <w:sz w:val="36"/>
          <w:szCs w:val="36"/>
          <w:rtl/>
        </w:rPr>
        <w:t xml:space="preserve"> </w:t>
      </w:r>
      <w:r w:rsidR="000844B2" w:rsidRPr="00FD211F">
        <w:rPr>
          <w:sz w:val="36"/>
          <w:szCs w:val="36"/>
          <w:rtl/>
        </w:rPr>
        <w:t xml:space="preserve">الجواب </w:t>
      </w:r>
      <w:r w:rsidR="00E6783A" w:rsidRPr="00FD211F">
        <w:rPr>
          <w:sz w:val="36"/>
          <w:szCs w:val="36"/>
          <w:rtl/>
        </w:rPr>
        <w:t>انه لو فسر الوضع بالتعهد فمعناه تعهد المتكلم ان لايريد من لفظ الاسد مثلا الا تفهيم الفرد الحقيقي لمعنى الحيوان المفترس لاالفرد الادعائي اي الرجل الشجاع</w:t>
      </w:r>
      <w:r w:rsidR="00603323" w:rsidRPr="00FD211F">
        <w:rPr>
          <w:sz w:val="36"/>
          <w:szCs w:val="36"/>
          <w:rtl/>
        </w:rPr>
        <w:t xml:space="preserve">، </w:t>
      </w:r>
      <w:r w:rsidR="00E6783A" w:rsidRPr="00FD211F">
        <w:rPr>
          <w:sz w:val="36"/>
          <w:szCs w:val="36"/>
          <w:rtl/>
        </w:rPr>
        <w:t xml:space="preserve">والا لما كان منشأ لظهور كلامه في </w:t>
      </w:r>
      <w:r w:rsidR="00D815DE" w:rsidRPr="00FD211F">
        <w:rPr>
          <w:sz w:val="36"/>
          <w:szCs w:val="36"/>
          <w:rtl/>
        </w:rPr>
        <w:t>إراد</w:t>
      </w:r>
      <w:r w:rsidR="00EC7EDF" w:rsidRPr="00FD211F">
        <w:rPr>
          <w:sz w:val="36"/>
          <w:szCs w:val="36"/>
          <w:rtl/>
        </w:rPr>
        <w:t xml:space="preserve">ة </w:t>
      </w:r>
      <w:r w:rsidR="00E6783A" w:rsidRPr="00FD211F">
        <w:rPr>
          <w:sz w:val="36"/>
          <w:szCs w:val="36"/>
          <w:rtl/>
        </w:rPr>
        <w:t>الفرد الحقيقي</w:t>
      </w:r>
      <w:r w:rsidR="005C1F52" w:rsidRPr="00FD211F">
        <w:rPr>
          <w:sz w:val="36"/>
          <w:szCs w:val="36"/>
          <w:rtl/>
        </w:rPr>
        <w:t xml:space="preserve"> من الاسد دون الفرد الادعائي.</w:t>
      </w:r>
    </w:p>
    <w:p w14:paraId="636F2D04" w14:textId="77777777" w:rsidR="00AF07D2" w:rsidRPr="00FD211F" w:rsidRDefault="00043ECD" w:rsidP="009C58C8">
      <w:pPr>
        <w:ind w:left="0" w:firstLine="227"/>
        <w:jc w:val="both"/>
        <w:rPr>
          <w:sz w:val="36"/>
          <w:szCs w:val="36"/>
          <w:rtl/>
        </w:rPr>
      </w:pPr>
      <w:r w:rsidRPr="00FD211F">
        <w:rPr>
          <w:sz w:val="36"/>
          <w:szCs w:val="36"/>
          <w:rtl/>
        </w:rPr>
        <w:t>فالانصاف تمامي</w:t>
      </w:r>
      <w:r w:rsidR="00EC7EDF" w:rsidRPr="00FD211F">
        <w:rPr>
          <w:sz w:val="36"/>
          <w:szCs w:val="36"/>
          <w:rtl/>
        </w:rPr>
        <w:t xml:space="preserve">ة </w:t>
      </w:r>
      <w:r w:rsidRPr="00FD211F">
        <w:rPr>
          <w:sz w:val="36"/>
          <w:szCs w:val="36"/>
          <w:rtl/>
        </w:rPr>
        <w:t>هذا الاشكال</w:t>
      </w:r>
      <w:r w:rsidR="00F73522" w:rsidRPr="00FD211F">
        <w:rPr>
          <w:sz w:val="36"/>
          <w:szCs w:val="36"/>
          <w:rtl/>
        </w:rPr>
        <w:t xml:space="preserve"> الرابع</w:t>
      </w:r>
      <w:r w:rsidR="00C7588D" w:rsidRPr="00FD211F">
        <w:rPr>
          <w:sz w:val="36"/>
          <w:szCs w:val="36"/>
          <w:rtl/>
        </w:rPr>
        <w:t xml:space="preserve"> </w:t>
      </w:r>
      <w:r w:rsidRPr="00FD211F">
        <w:rPr>
          <w:sz w:val="36"/>
          <w:szCs w:val="36"/>
          <w:rtl/>
        </w:rPr>
        <w:t xml:space="preserve">على السيد الخوئي </w:t>
      </w:r>
      <w:r w:rsidR="00AF07D2" w:rsidRPr="00FD211F">
        <w:rPr>
          <w:sz w:val="36"/>
          <w:szCs w:val="36"/>
          <w:rtl/>
        </w:rPr>
        <w:t>"</w:t>
      </w:r>
      <w:r w:rsidRPr="00FD211F">
        <w:rPr>
          <w:sz w:val="36"/>
          <w:szCs w:val="36"/>
          <w:rtl/>
        </w:rPr>
        <w:t>قده</w:t>
      </w:r>
      <w:r w:rsidR="00AF07D2" w:rsidRPr="00FD211F">
        <w:rPr>
          <w:sz w:val="36"/>
          <w:szCs w:val="36"/>
          <w:rtl/>
        </w:rPr>
        <w:t>".</w:t>
      </w:r>
    </w:p>
    <w:p w14:paraId="3B1EE52B" w14:textId="77777777" w:rsidR="00E6783A" w:rsidRPr="00FD211F" w:rsidRDefault="00DB58B2" w:rsidP="009C58C8">
      <w:pPr>
        <w:ind w:left="0" w:firstLine="227"/>
        <w:jc w:val="both"/>
        <w:rPr>
          <w:sz w:val="36"/>
          <w:szCs w:val="36"/>
          <w:rtl/>
        </w:rPr>
      </w:pPr>
      <w:r w:rsidRPr="00FD211F">
        <w:rPr>
          <w:sz w:val="36"/>
          <w:szCs w:val="36"/>
          <w:rtl/>
        </w:rPr>
        <w:t xml:space="preserve">نعم </w:t>
      </w:r>
      <w:r w:rsidR="005C3373" w:rsidRPr="00FD211F">
        <w:rPr>
          <w:sz w:val="36"/>
          <w:szCs w:val="36"/>
          <w:rtl/>
        </w:rPr>
        <w:t>لوكان مدعى السيدالخوئي</w:t>
      </w:r>
      <w:r w:rsidR="000D1B93" w:rsidRPr="00FD211F">
        <w:rPr>
          <w:sz w:val="36"/>
          <w:szCs w:val="36"/>
          <w:rtl/>
        </w:rPr>
        <w:t>"قده"</w:t>
      </w:r>
      <w:r w:rsidR="005C3373" w:rsidRPr="00FD211F">
        <w:rPr>
          <w:sz w:val="36"/>
          <w:szCs w:val="36"/>
          <w:rtl/>
        </w:rPr>
        <w:t xml:space="preserve"> </w:t>
      </w:r>
      <w:r w:rsidR="00AF07D2" w:rsidRPr="00FD211F">
        <w:rPr>
          <w:sz w:val="36"/>
          <w:szCs w:val="36"/>
          <w:rtl/>
        </w:rPr>
        <w:t xml:space="preserve">اختصاص تعهد الواضع </w:t>
      </w:r>
      <w:r w:rsidR="005C3373" w:rsidRPr="00FD211F">
        <w:rPr>
          <w:sz w:val="36"/>
          <w:szCs w:val="36"/>
          <w:rtl/>
        </w:rPr>
        <w:t>بما</w:t>
      </w:r>
      <w:r w:rsidR="006912A9" w:rsidRPr="00FD211F">
        <w:rPr>
          <w:sz w:val="36"/>
          <w:szCs w:val="36"/>
          <w:rtl/>
        </w:rPr>
        <w:t xml:space="preserve"> </w:t>
      </w:r>
      <w:r w:rsidR="005C3373" w:rsidRPr="00FD211F">
        <w:rPr>
          <w:sz w:val="36"/>
          <w:szCs w:val="36"/>
          <w:rtl/>
        </w:rPr>
        <w:t>اذا</w:t>
      </w:r>
      <w:r w:rsidR="006912A9" w:rsidRPr="00FD211F">
        <w:rPr>
          <w:sz w:val="36"/>
          <w:szCs w:val="36"/>
          <w:rtl/>
        </w:rPr>
        <w:t xml:space="preserve"> </w:t>
      </w:r>
      <w:r w:rsidR="005C3373" w:rsidRPr="00FD211F">
        <w:rPr>
          <w:sz w:val="36"/>
          <w:szCs w:val="36"/>
          <w:rtl/>
        </w:rPr>
        <w:t>لم</w:t>
      </w:r>
      <w:r w:rsidR="006912A9" w:rsidRPr="00FD211F">
        <w:rPr>
          <w:sz w:val="36"/>
          <w:szCs w:val="36"/>
          <w:rtl/>
        </w:rPr>
        <w:t xml:space="preserve"> </w:t>
      </w:r>
      <w:r w:rsidR="005C3373" w:rsidRPr="00FD211F">
        <w:rPr>
          <w:sz w:val="36"/>
          <w:szCs w:val="36"/>
          <w:rtl/>
        </w:rPr>
        <w:t>ينصب قرين</w:t>
      </w:r>
      <w:r w:rsidR="00EC7EDF" w:rsidRPr="00FD211F">
        <w:rPr>
          <w:sz w:val="36"/>
          <w:szCs w:val="36"/>
          <w:rtl/>
        </w:rPr>
        <w:t xml:space="preserve">ة </w:t>
      </w:r>
      <w:r w:rsidR="005C3373" w:rsidRPr="00FD211F">
        <w:rPr>
          <w:sz w:val="36"/>
          <w:szCs w:val="36"/>
          <w:rtl/>
        </w:rPr>
        <w:t>متصل</w:t>
      </w:r>
      <w:r w:rsidR="00EC7EDF" w:rsidRPr="00FD211F">
        <w:rPr>
          <w:sz w:val="36"/>
          <w:szCs w:val="36"/>
          <w:rtl/>
        </w:rPr>
        <w:t xml:space="preserve">ة </w:t>
      </w:r>
      <w:r w:rsidR="005C3373" w:rsidRPr="00FD211F">
        <w:rPr>
          <w:sz w:val="36"/>
          <w:szCs w:val="36"/>
          <w:rtl/>
        </w:rPr>
        <w:t xml:space="preserve">او </w:t>
      </w:r>
      <w:r w:rsidR="000D1B93" w:rsidRPr="00FD211F">
        <w:rPr>
          <w:sz w:val="36"/>
          <w:szCs w:val="36"/>
          <w:rtl/>
        </w:rPr>
        <w:t>منفصل</w:t>
      </w:r>
      <w:r w:rsidR="00EC7EDF" w:rsidRPr="00FD211F">
        <w:rPr>
          <w:sz w:val="36"/>
          <w:szCs w:val="36"/>
          <w:rtl/>
        </w:rPr>
        <w:t xml:space="preserve">ة </w:t>
      </w:r>
      <w:r w:rsidR="000D1B93" w:rsidRPr="00FD211F">
        <w:rPr>
          <w:sz w:val="36"/>
          <w:szCs w:val="36"/>
          <w:rtl/>
        </w:rPr>
        <w:t xml:space="preserve">على الخلاف </w:t>
      </w:r>
      <w:r w:rsidR="009977FE" w:rsidRPr="00FD211F">
        <w:rPr>
          <w:sz w:val="36"/>
          <w:szCs w:val="36"/>
          <w:rtl/>
        </w:rPr>
        <w:t>و</w:t>
      </w:r>
      <w:r w:rsidR="008D7B3D" w:rsidRPr="00FD211F">
        <w:rPr>
          <w:sz w:val="36"/>
          <w:szCs w:val="36"/>
          <w:rtl/>
        </w:rPr>
        <w:t xml:space="preserve"> لم‌</w:t>
      </w:r>
      <w:r w:rsidR="005C3373" w:rsidRPr="00FD211F">
        <w:rPr>
          <w:sz w:val="36"/>
          <w:szCs w:val="36"/>
          <w:rtl/>
        </w:rPr>
        <w:t>يكن في مقام الاجمال ايضا وحيث ان الاعتمادعلى القرين</w:t>
      </w:r>
      <w:r w:rsidR="00EC7EDF" w:rsidRPr="00FD211F">
        <w:rPr>
          <w:sz w:val="36"/>
          <w:szCs w:val="36"/>
          <w:rtl/>
        </w:rPr>
        <w:t xml:space="preserve">ة </w:t>
      </w:r>
      <w:r w:rsidR="005C3373" w:rsidRPr="00FD211F">
        <w:rPr>
          <w:sz w:val="36"/>
          <w:szCs w:val="36"/>
          <w:rtl/>
        </w:rPr>
        <w:t>المنفصل</w:t>
      </w:r>
      <w:r w:rsidR="00EC7EDF" w:rsidRPr="00FD211F">
        <w:rPr>
          <w:sz w:val="36"/>
          <w:szCs w:val="36"/>
          <w:rtl/>
        </w:rPr>
        <w:t xml:space="preserve">ة </w:t>
      </w:r>
      <w:r w:rsidR="005C3373" w:rsidRPr="00FD211F">
        <w:rPr>
          <w:sz w:val="36"/>
          <w:szCs w:val="36"/>
          <w:rtl/>
        </w:rPr>
        <w:t>اوكون المستعمل في مقام الاجمال حال</w:t>
      </w:r>
      <w:r w:rsidR="00EC7EDF" w:rsidRPr="00FD211F">
        <w:rPr>
          <w:sz w:val="36"/>
          <w:szCs w:val="36"/>
          <w:rtl/>
        </w:rPr>
        <w:t xml:space="preserve">ة </w:t>
      </w:r>
      <w:r w:rsidR="005C3373" w:rsidRPr="00FD211F">
        <w:rPr>
          <w:sz w:val="36"/>
          <w:szCs w:val="36"/>
          <w:rtl/>
        </w:rPr>
        <w:t>نادر</w:t>
      </w:r>
      <w:r w:rsidR="00EC7EDF" w:rsidRPr="00FD211F">
        <w:rPr>
          <w:sz w:val="36"/>
          <w:szCs w:val="36"/>
          <w:rtl/>
        </w:rPr>
        <w:t xml:space="preserve">ة </w:t>
      </w:r>
      <w:r w:rsidR="005C3373" w:rsidRPr="00FD211F">
        <w:rPr>
          <w:sz w:val="36"/>
          <w:szCs w:val="36"/>
          <w:rtl/>
        </w:rPr>
        <w:t>فبمقتضى الغلب</w:t>
      </w:r>
      <w:r w:rsidR="00EC7EDF" w:rsidRPr="00FD211F">
        <w:rPr>
          <w:sz w:val="36"/>
          <w:szCs w:val="36"/>
          <w:rtl/>
        </w:rPr>
        <w:t xml:space="preserve">ة </w:t>
      </w:r>
      <w:r w:rsidR="005C3373" w:rsidRPr="00FD211F">
        <w:rPr>
          <w:sz w:val="36"/>
          <w:szCs w:val="36"/>
          <w:rtl/>
        </w:rPr>
        <w:t>يتم الظهور</w:t>
      </w:r>
      <w:r w:rsidR="00603323" w:rsidRPr="00FD211F">
        <w:rPr>
          <w:sz w:val="36"/>
          <w:szCs w:val="36"/>
          <w:rtl/>
        </w:rPr>
        <w:t xml:space="preserve">، </w:t>
      </w:r>
      <w:r w:rsidR="00AF07D2" w:rsidRPr="00FD211F">
        <w:rPr>
          <w:sz w:val="36"/>
          <w:szCs w:val="36"/>
          <w:rtl/>
        </w:rPr>
        <w:t>فحينئذ</w:t>
      </w:r>
      <w:r w:rsidR="000D1B93" w:rsidRPr="00FD211F">
        <w:rPr>
          <w:sz w:val="36"/>
          <w:szCs w:val="36"/>
          <w:rtl/>
        </w:rPr>
        <w:t xml:space="preserve"> </w:t>
      </w:r>
      <w:r w:rsidR="00AF07D2" w:rsidRPr="00FD211F">
        <w:rPr>
          <w:sz w:val="36"/>
          <w:szCs w:val="36"/>
          <w:rtl/>
        </w:rPr>
        <w:t>ي</w:t>
      </w:r>
      <w:r w:rsidR="005C3373" w:rsidRPr="00FD211F">
        <w:rPr>
          <w:sz w:val="36"/>
          <w:szCs w:val="36"/>
          <w:rtl/>
        </w:rPr>
        <w:t xml:space="preserve">رتفع الاشكال </w:t>
      </w:r>
      <w:r w:rsidR="00AF07D2" w:rsidRPr="00FD211F">
        <w:rPr>
          <w:sz w:val="36"/>
          <w:szCs w:val="36"/>
          <w:rtl/>
        </w:rPr>
        <w:t>الثالث والرابع</w:t>
      </w:r>
      <w:r w:rsidR="00EC7EDF" w:rsidRPr="00FD211F">
        <w:rPr>
          <w:sz w:val="36"/>
          <w:szCs w:val="36"/>
          <w:rtl/>
        </w:rPr>
        <w:t>.</w:t>
      </w:r>
      <w:r w:rsidR="00AF07D2" w:rsidRPr="00FD211F">
        <w:rPr>
          <w:sz w:val="36"/>
          <w:szCs w:val="36"/>
          <w:rtl/>
        </w:rPr>
        <w:t xml:space="preserve"> </w:t>
      </w:r>
    </w:p>
    <w:p w14:paraId="2B4A7FFC" w14:textId="77777777" w:rsidR="00E6783A" w:rsidRPr="00FD211F" w:rsidRDefault="00F73522" w:rsidP="009C58C8">
      <w:pPr>
        <w:ind w:left="0" w:firstLine="227"/>
        <w:jc w:val="both"/>
        <w:rPr>
          <w:sz w:val="36"/>
          <w:szCs w:val="36"/>
          <w:rtl/>
        </w:rPr>
      </w:pPr>
      <w:r w:rsidRPr="00FD211F">
        <w:rPr>
          <w:b/>
          <w:bCs/>
          <w:sz w:val="36"/>
          <w:szCs w:val="36"/>
          <w:rtl/>
        </w:rPr>
        <w:t>الاشكال الخامس</w:t>
      </w:r>
      <w:r w:rsidR="00856647" w:rsidRPr="00FD211F">
        <w:rPr>
          <w:sz w:val="36"/>
          <w:szCs w:val="36"/>
          <w:rtl/>
        </w:rPr>
        <w:t>:</w:t>
      </w:r>
      <w:r w:rsidR="00E6783A" w:rsidRPr="00FD211F">
        <w:rPr>
          <w:sz w:val="36"/>
          <w:szCs w:val="36"/>
          <w:rtl/>
        </w:rPr>
        <w:t>ان دعوى كون</w:t>
      </w:r>
      <w:r w:rsidR="001E5347" w:rsidRPr="00FD211F">
        <w:rPr>
          <w:sz w:val="36"/>
          <w:szCs w:val="36"/>
          <w:rtl/>
        </w:rPr>
        <w:t xml:space="preserve"> الواضع يتعهد حين وضعه ان لايتكل</w:t>
      </w:r>
      <w:r w:rsidR="00E6783A" w:rsidRPr="00FD211F">
        <w:rPr>
          <w:sz w:val="36"/>
          <w:szCs w:val="36"/>
          <w:rtl/>
        </w:rPr>
        <w:t xml:space="preserve">م باللفظ المعين الا عند </w:t>
      </w:r>
      <w:r w:rsidR="00D815DE" w:rsidRPr="00FD211F">
        <w:rPr>
          <w:sz w:val="36"/>
          <w:szCs w:val="36"/>
          <w:rtl/>
        </w:rPr>
        <w:t>إراد</w:t>
      </w:r>
      <w:r w:rsidR="00EC7EDF" w:rsidRPr="00FD211F">
        <w:rPr>
          <w:sz w:val="36"/>
          <w:szCs w:val="36"/>
          <w:rtl/>
        </w:rPr>
        <w:t xml:space="preserve">ة </w:t>
      </w:r>
      <w:r w:rsidR="00E6783A" w:rsidRPr="00FD211F">
        <w:rPr>
          <w:sz w:val="36"/>
          <w:szCs w:val="36"/>
          <w:rtl/>
        </w:rPr>
        <w:t>تفهيم معناه خلاف ما</w:t>
      </w:r>
      <w:r w:rsidR="006912A9" w:rsidRPr="00FD211F">
        <w:rPr>
          <w:sz w:val="36"/>
          <w:szCs w:val="36"/>
          <w:rtl/>
        </w:rPr>
        <w:t xml:space="preserve"> نحسّه بالوجدان</w:t>
      </w:r>
      <w:r w:rsidR="00603323" w:rsidRPr="00FD211F">
        <w:rPr>
          <w:sz w:val="36"/>
          <w:szCs w:val="36"/>
          <w:rtl/>
        </w:rPr>
        <w:t xml:space="preserve">، </w:t>
      </w:r>
      <w:r w:rsidR="006912A9" w:rsidRPr="00FD211F">
        <w:rPr>
          <w:sz w:val="36"/>
          <w:szCs w:val="36"/>
          <w:rtl/>
        </w:rPr>
        <w:t xml:space="preserve">فاننا لمّا </w:t>
      </w:r>
      <w:r w:rsidR="00E6783A" w:rsidRPr="00FD211F">
        <w:rPr>
          <w:sz w:val="36"/>
          <w:szCs w:val="36"/>
          <w:rtl/>
        </w:rPr>
        <w:t xml:space="preserve">نسمي </w:t>
      </w:r>
      <w:r w:rsidR="00AA131B" w:rsidRPr="00FD211F">
        <w:rPr>
          <w:sz w:val="36"/>
          <w:szCs w:val="36"/>
          <w:rtl/>
        </w:rPr>
        <w:t>ولدنا</w:t>
      </w:r>
      <w:r w:rsidR="00E6783A" w:rsidRPr="00FD211F">
        <w:rPr>
          <w:sz w:val="36"/>
          <w:szCs w:val="36"/>
          <w:rtl/>
        </w:rPr>
        <w:t xml:space="preserve"> باسم علي مثلا لانلتزم بعدم استعمال هذا اللفظ الا عند </w:t>
      </w:r>
      <w:r w:rsidR="00D815DE" w:rsidRPr="00FD211F">
        <w:rPr>
          <w:sz w:val="36"/>
          <w:szCs w:val="36"/>
          <w:rtl/>
        </w:rPr>
        <w:t>إراد</w:t>
      </w:r>
      <w:r w:rsidR="00EC7EDF" w:rsidRPr="00FD211F">
        <w:rPr>
          <w:sz w:val="36"/>
          <w:szCs w:val="36"/>
          <w:rtl/>
        </w:rPr>
        <w:t xml:space="preserve">ة </w:t>
      </w:r>
      <w:r w:rsidR="00E6783A" w:rsidRPr="00FD211F">
        <w:rPr>
          <w:sz w:val="36"/>
          <w:szCs w:val="36"/>
          <w:rtl/>
        </w:rPr>
        <w:t>تفهيم هذا المولود</w:t>
      </w:r>
      <w:r w:rsidR="00603323" w:rsidRPr="00FD211F">
        <w:rPr>
          <w:sz w:val="36"/>
          <w:szCs w:val="36"/>
          <w:rtl/>
        </w:rPr>
        <w:t xml:space="preserve">، </w:t>
      </w:r>
      <w:r w:rsidR="00E6783A" w:rsidRPr="00FD211F">
        <w:rPr>
          <w:sz w:val="36"/>
          <w:szCs w:val="36"/>
          <w:rtl/>
        </w:rPr>
        <w:t>وانما نريد ان نجعل هذا اللفظ سم</w:t>
      </w:r>
      <w:r w:rsidR="00EC7EDF" w:rsidRPr="00FD211F">
        <w:rPr>
          <w:sz w:val="36"/>
          <w:szCs w:val="36"/>
          <w:rtl/>
        </w:rPr>
        <w:t xml:space="preserve">ة </w:t>
      </w:r>
      <w:r w:rsidR="00E6783A" w:rsidRPr="00FD211F">
        <w:rPr>
          <w:sz w:val="36"/>
          <w:szCs w:val="36"/>
          <w:rtl/>
        </w:rPr>
        <w:t>وعلام</w:t>
      </w:r>
      <w:r w:rsidR="00EC7EDF" w:rsidRPr="00FD211F">
        <w:rPr>
          <w:sz w:val="36"/>
          <w:szCs w:val="36"/>
          <w:rtl/>
        </w:rPr>
        <w:t xml:space="preserve">ة </w:t>
      </w:r>
      <w:r w:rsidR="00E6783A" w:rsidRPr="00FD211F">
        <w:rPr>
          <w:sz w:val="36"/>
          <w:szCs w:val="36"/>
          <w:rtl/>
        </w:rPr>
        <w:t>عليه</w:t>
      </w:r>
      <w:r w:rsidR="00603323" w:rsidRPr="00FD211F">
        <w:rPr>
          <w:sz w:val="36"/>
          <w:szCs w:val="36"/>
          <w:rtl/>
        </w:rPr>
        <w:t xml:space="preserve">، </w:t>
      </w:r>
      <w:r w:rsidR="00E6783A" w:rsidRPr="00FD211F">
        <w:rPr>
          <w:sz w:val="36"/>
          <w:szCs w:val="36"/>
          <w:rtl/>
        </w:rPr>
        <w:t>بحيث تكون نتيجته ان كل من اراد ان يفهّ</w:t>
      </w:r>
      <w:r w:rsidR="000D1B93" w:rsidRPr="00FD211F">
        <w:rPr>
          <w:sz w:val="36"/>
          <w:szCs w:val="36"/>
          <w:rtl/>
        </w:rPr>
        <w:t>ِ</w:t>
      </w:r>
      <w:r w:rsidR="00E6783A" w:rsidRPr="00FD211F">
        <w:rPr>
          <w:sz w:val="36"/>
          <w:szCs w:val="36"/>
          <w:rtl/>
        </w:rPr>
        <w:t>م هذا المعنى استخدم هذا اللفظ</w:t>
      </w:r>
      <w:r w:rsidR="00603323" w:rsidRPr="00FD211F">
        <w:rPr>
          <w:sz w:val="36"/>
          <w:szCs w:val="36"/>
          <w:rtl/>
        </w:rPr>
        <w:t xml:space="preserve">، </w:t>
      </w:r>
      <w:r w:rsidR="00E6783A" w:rsidRPr="00FD211F">
        <w:rPr>
          <w:sz w:val="36"/>
          <w:szCs w:val="36"/>
          <w:rtl/>
        </w:rPr>
        <w:t>ومما يؤك</w:t>
      </w:r>
      <w:r w:rsidR="000D1B93" w:rsidRPr="00FD211F">
        <w:rPr>
          <w:sz w:val="36"/>
          <w:szCs w:val="36"/>
          <w:rtl/>
        </w:rPr>
        <w:t>ِّ</w:t>
      </w:r>
      <w:r w:rsidR="00E6783A" w:rsidRPr="00FD211F">
        <w:rPr>
          <w:sz w:val="36"/>
          <w:szCs w:val="36"/>
          <w:rtl/>
        </w:rPr>
        <w:t>د ذلك هو ان ظاهر</w:t>
      </w:r>
      <w:r w:rsidR="00EC7EDF" w:rsidRPr="00FD211F">
        <w:rPr>
          <w:sz w:val="36"/>
          <w:szCs w:val="36"/>
          <w:rtl/>
        </w:rPr>
        <w:t xml:space="preserve">ة </w:t>
      </w:r>
      <w:r w:rsidR="00E6783A" w:rsidRPr="00FD211F">
        <w:rPr>
          <w:sz w:val="36"/>
          <w:szCs w:val="36"/>
          <w:rtl/>
        </w:rPr>
        <w:t>الوضع كانت متحقق</w:t>
      </w:r>
      <w:r w:rsidR="00EC7EDF" w:rsidRPr="00FD211F">
        <w:rPr>
          <w:sz w:val="36"/>
          <w:szCs w:val="36"/>
          <w:rtl/>
        </w:rPr>
        <w:t xml:space="preserve">ة </w:t>
      </w:r>
      <w:r w:rsidR="00E6783A" w:rsidRPr="00FD211F">
        <w:rPr>
          <w:sz w:val="36"/>
          <w:szCs w:val="36"/>
          <w:rtl/>
        </w:rPr>
        <w:t>في حيا</w:t>
      </w:r>
      <w:r w:rsidR="00EC7EDF" w:rsidRPr="00FD211F">
        <w:rPr>
          <w:sz w:val="36"/>
          <w:szCs w:val="36"/>
          <w:rtl/>
        </w:rPr>
        <w:t xml:space="preserve">ة </w:t>
      </w:r>
      <w:r w:rsidR="00E6783A" w:rsidRPr="00FD211F">
        <w:rPr>
          <w:sz w:val="36"/>
          <w:szCs w:val="36"/>
          <w:rtl/>
        </w:rPr>
        <w:t xml:space="preserve">الانسان منذ </w:t>
      </w:r>
      <w:r w:rsidR="00AA131B" w:rsidRPr="00FD211F">
        <w:rPr>
          <w:sz w:val="36"/>
          <w:szCs w:val="36"/>
          <w:rtl/>
        </w:rPr>
        <w:t>العهد الأول</w:t>
      </w:r>
      <w:r w:rsidR="00E6783A" w:rsidRPr="00FD211F">
        <w:rPr>
          <w:sz w:val="36"/>
          <w:szCs w:val="36"/>
          <w:rtl/>
        </w:rPr>
        <w:t xml:space="preserve"> قبل ان تتكامل مدركاته العقلائي</w:t>
      </w:r>
      <w:r w:rsidR="00EC7EDF" w:rsidRPr="00FD211F">
        <w:rPr>
          <w:sz w:val="36"/>
          <w:szCs w:val="36"/>
          <w:rtl/>
        </w:rPr>
        <w:t xml:space="preserve">ة </w:t>
      </w:r>
      <w:r w:rsidR="00E6783A" w:rsidRPr="00FD211F">
        <w:rPr>
          <w:sz w:val="36"/>
          <w:szCs w:val="36"/>
          <w:rtl/>
        </w:rPr>
        <w:t>التي ينطلق منها التعهد والالتزام العقلائي.</w:t>
      </w:r>
    </w:p>
    <w:p w14:paraId="641CA675" w14:textId="77777777" w:rsidR="00377C0D" w:rsidRPr="00FD211F" w:rsidRDefault="0062199B" w:rsidP="009C58C8">
      <w:pPr>
        <w:pStyle w:val="3"/>
        <w:ind w:firstLine="227"/>
        <w:jc w:val="both"/>
        <w:rPr>
          <w:rtl/>
        </w:rPr>
      </w:pPr>
      <w:bookmarkStart w:id="112" w:name="_Toc151944593"/>
      <w:bookmarkStart w:id="113" w:name="_Toc154131720"/>
      <w:bookmarkStart w:id="114" w:name="_Toc156401508"/>
      <w:bookmarkStart w:id="115" w:name="درس011دقيقه24"/>
      <w:bookmarkStart w:id="116" w:name="درس012دقيقه24"/>
      <w:bookmarkStart w:id="117" w:name="_Toc192092854"/>
      <w:bookmarkStart w:id="118" w:name="_Toc223890327"/>
      <w:bookmarkEnd w:id="115"/>
      <w:bookmarkEnd w:id="116"/>
      <w:r w:rsidRPr="00FD211F">
        <w:rPr>
          <w:rtl/>
        </w:rPr>
        <w:t>ال</w:t>
      </w:r>
      <w:r w:rsidR="00377C0D" w:rsidRPr="00FD211F">
        <w:rPr>
          <w:rtl/>
        </w:rPr>
        <w:t>مسلك</w:t>
      </w:r>
      <w:r w:rsidRPr="00FD211F">
        <w:rPr>
          <w:rtl/>
        </w:rPr>
        <w:t xml:space="preserve"> الثالث:مسلك</w:t>
      </w:r>
      <w:r w:rsidR="00377C0D" w:rsidRPr="00FD211F">
        <w:rPr>
          <w:rtl/>
        </w:rPr>
        <w:t xml:space="preserve"> القرن الأكيد</w:t>
      </w:r>
      <w:bookmarkEnd w:id="112"/>
      <w:bookmarkEnd w:id="113"/>
      <w:bookmarkEnd w:id="114"/>
      <w:bookmarkEnd w:id="117"/>
      <w:bookmarkEnd w:id="118"/>
    </w:p>
    <w:p w14:paraId="3A2AD462" w14:textId="77777777" w:rsidR="007C7482" w:rsidRPr="00FD211F" w:rsidRDefault="00377C0D" w:rsidP="009C58C8">
      <w:pPr>
        <w:ind w:left="0" w:firstLine="227"/>
        <w:jc w:val="both"/>
        <w:rPr>
          <w:sz w:val="36"/>
          <w:szCs w:val="36"/>
          <w:rtl/>
        </w:rPr>
      </w:pPr>
      <w:r w:rsidRPr="00FD211F">
        <w:rPr>
          <w:b/>
          <w:bCs/>
          <w:sz w:val="36"/>
          <w:szCs w:val="36"/>
          <w:rtl/>
        </w:rPr>
        <w:t xml:space="preserve">المسلك </w:t>
      </w:r>
      <w:r w:rsidR="00043ECD" w:rsidRPr="00FD211F">
        <w:rPr>
          <w:b/>
          <w:bCs/>
          <w:sz w:val="36"/>
          <w:szCs w:val="36"/>
          <w:rtl/>
        </w:rPr>
        <w:t>الثالث</w:t>
      </w:r>
      <w:r w:rsidRPr="00FD211F">
        <w:rPr>
          <w:sz w:val="36"/>
          <w:szCs w:val="36"/>
          <w:rtl/>
        </w:rPr>
        <w:t xml:space="preserve"> في تفسير حقيق</w:t>
      </w:r>
      <w:r w:rsidR="00EC7EDF" w:rsidRPr="00FD211F">
        <w:rPr>
          <w:sz w:val="36"/>
          <w:szCs w:val="36"/>
          <w:rtl/>
        </w:rPr>
        <w:t xml:space="preserve">ة </w:t>
      </w:r>
      <w:r w:rsidRPr="00FD211F">
        <w:rPr>
          <w:sz w:val="36"/>
          <w:szCs w:val="36"/>
          <w:rtl/>
        </w:rPr>
        <w:t>الوضع هو ما</w:t>
      </w:r>
      <w:r w:rsidR="000844B2" w:rsidRPr="00FD211F">
        <w:rPr>
          <w:sz w:val="36"/>
          <w:szCs w:val="36"/>
          <w:rtl/>
        </w:rPr>
        <w:t xml:space="preserve"> ذهب </w:t>
      </w:r>
      <w:r w:rsidR="007C532E" w:rsidRPr="00FD211F">
        <w:rPr>
          <w:sz w:val="36"/>
          <w:szCs w:val="36"/>
          <w:rtl/>
        </w:rPr>
        <w:t>السيدالصدر"قده"</w:t>
      </w:r>
      <w:r w:rsidR="000844B2" w:rsidRPr="00FD211F">
        <w:rPr>
          <w:sz w:val="36"/>
          <w:szCs w:val="36"/>
          <w:rtl/>
        </w:rPr>
        <w:t xml:space="preserve"> </w:t>
      </w:r>
      <w:r w:rsidR="007C532E" w:rsidRPr="00FD211F">
        <w:rPr>
          <w:sz w:val="36"/>
          <w:szCs w:val="36"/>
          <w:rtl/>
        </w:rPr>
        <w:t>ومحصله</w:t>
      </w:r>
      <w:r w:rsidR="007C7482" w:rsidRPr="00FD211F">
        <w:rPr>
          <w:sz w:val="36"/>
          <w:szCs w:val="36"/>
          <w:rtl/>
        </w:rPr>
        <w:t xml:space="preserve"> ان الوضع هو الاقتران الأكيد بين اللفظ والمعنى</w:t>
      </w:r>
      <w:r w:rsidR="00603323" w:rsidRPr="00FD211F">
        <w:rPr>
          <w:sz w:val="36"/>
          <w:szCs w:val="36"/>
          <w:rtl/>
        </w:rPr>
        <w:t xml:space="preserve">، </w:t>
      </w:r>
      <w:r w:rsidR="000844B2" w:rsidRPr="00FD211F">
        <w:rPr>
          <w:sz w:val="36"/>
          <w:szCs w:val="36"/>
          <w:rtl/>
        </w:rPr>
        <w:t>وقد ذكر</w:t>
      </w:r>
      <w:r w:rsidR="00B253CE" w:rsidRPr="00FD211F">
        <w:rPr>
          <w:sz w:val="36"/>
          <w:szCs w:val="36"/>
          <w:rtl/>
        </w:rPr>
        <w:t xml:space="preserve"> </w:t>
      </w:r>
      <w:r w:rsidR="007C7482" w:rsidRPr="00FD211F">
        <w:rPr>
          <w:sz w:val="36"/>
          <w:szCs w:val="36"/>
          <w:rtl/>
        </w:rPr>
        <w:t xml:space="preserve">في تقريبه ان </w:t>
      </w:r>
      <w:r w:rsidRPr="00FD211F">
        <w:rPr>
          <w:sz w:val="36"/>
          <w:szCs w:val="36"/>
          <w:rtl/>
        </w:rPr>
        <w:t>ل</w:t>
      </w:r>
      <w:r w:rsidR="007C7482" w:rsidRPr="00FD211F">
        <w:rPr>
          <w:sz w:val="36"/>
          <w:szCs w:val="36"/>
          <w:rtl/>
        </w:rPr>
        <w:t>لنفس ثلاث حالات:</w:t>
      </w:r>
    </w:p>
    <w:p w14:paraId="18229370" w14:textId="77777777" w:rsidR="007C7482" w:rsidRPr="00FD211F" w:rsidRDefault="007C7482" w:rsidP="009C58C8">
      <w:pPr>
        <w:ind w:left="0" w:firstLine="227"/>
        <w:jc w:val="both"/>
        <w:rPr>
          <w:sz w:val="36"/>
          <w:szCs w:val="36"/>
          <w:rtl/>
        </w:rPr>
      </w:pPr>
      <w:r w:rsidRPr="00FD211F">
        <w:rPr>
          <w:sz w:val="36"/>
          <w:szCs w:val="36"/>
          <w:rtl/>
        </w:rPr>
        <w:t>1- اذا احس ب</w:t>
      </w:r>
      <w:r w:rsidR="008D7B3D" w:rsidRPr="00FD211F">
        <w:rPr>
          <w:sz w:val="36"/>
          <w:szCs w:val="36"/>
          <w:rtl/>
        </w:rPr>
        <w:t xml:space="preserve">شيء </w:t>
      </w:r>
      <w:r w:rsidRPr="00FD211F">
        <w:rPr>
          <w:sz w:val="36"/>
          <w:szCs w:val="36"/>
          <w:rtl/>
        </w:rPr>
        <w:t>كأن رأى أسدا فينتقل صورته الى الذهن.</w:t>
      </w:r>
    </w:p>
    <w:p w14:paraId="017EEF61" w14:textId="77777777" w:rsidR="007C7482" w:rsidRPr="00FD211F" w:rsidRDefault="007C7482" w:rsidP="009C58C8">
      <w:pPr>
        <w:ind w:left="0" w:firstLine="227"/>
        <w:jc w:val="both"/>
        <w:rPr>
          <w:sz w:val="36"/>
          <w:szCs w:val="36"/>
          <w:rtl/>
        </w:rPr>
      </w:pPr>
      <w:r w:rsidRPr="00FD211F">
        <w:rPr>
          <w:sz w:val="36"/>
          <w:szCs w:val="36"/>
          <w:rtl/>
        </w:rPr>
        <w:t>2- واذا احس بما يشبه ذلك ال</w:t>
      </w:r>
      <w:r w:rsidR="008D7B3D" w:rsidRPr="00FD211F">
        <w:rPr>
          <w:sz w:val="36"/>
          <w:szCs w:val="36"/>
          <w:rtl/>
        </w:rPr>
        <w:t xml:space="preserve">شيء </w:t>
      </w:r>
      <w:r w:rsidRPr="00FD211F">
        <w:rPr>
          <w:sz w:val="36"/>
          <w:szCs w:val="36"/>
          <w:rtl/>
        </w:rPr>
        <w:t>انتقل ذهنه</w:t>
      </w:r>
      <w:r w:rsidR="006764A5" w:rsidRPr="00FD211F">
        <w:rPr>
          <w:sz w:val="36"/>
          <w:szCs w:val="36"/>
          <w:rtl/>
        </w:rPr>
        <w:t xml:space="preserve"> منه</w:t>
      </w:r>
      <w:r w:rsidRPr="00FD211F">
        <w:rPr>
          <w:sz w:val="36"/>
          <w:szCs w:val="36"/>
          <w:rtl/>
        </w:rPr>
        <w:t xml:space="preserve"> الى ذلك ال</w:t>
      </w:r>
      <w:r w:rsidR="008D7B3D" w:rsidRPr="00FD211F">
        <w:rPr>
          <w:sz w:val="36"/>
          <w:szCs w:val="36"/>
          <w:rtl/>
        </w:rPr>
        <w:t xml:space="preserve">شيء </w:t>
      </w:r>
      <w:r w:rsidRPr="00FD211F">
        <w:rPr>
          <w:sz w:val="36"/>
          <w:szCs w:val="36"/>
          <w:rtl/>
        </w:rPr>
        <w:t>أيضا</w:t>
      </w:r>
      <w:r w:rsidR="00603323" w:rsidRPr="00FD211F">
        <w:rPr>
          <w:sz w:val="36"/>
          <w:szCs w:val="36"/>
          <w:rtl/>
        </w:rPr>
        <w:t xml:space="preserve">، </w:t>
      </w:r>
      <w:r w:rsidRPr="00FD211F">
        <w:rPr>
          <w:sz w:val="36"/>
          <w:szCs w:val="36"/>
          <w:rtl/>
        </w:rPr>
        <w:t>كما لو رأى صور</w:t>
      </w:r>
      <w:r w:rsidR="00EC7EDF" w:rsidRPr="00FD211F">
        <w:rPr>
          <w:sz w:val="36"/>
          <w:szCs w:val="36"/>
          <w:rtl/>
        </w:rPr>
        <w:t xml:space="preserve">ة </w:t>
      </w:r>
      <w:r w:rsidRPr="00FD211F">
        <w:rPr>
          <w:sz w:val="36"/>
          <w:szCs w:val="36"/>
          <w:rtl/>
        </w:rPr>
        <w:t xml:space="preserve">الأسد فينتقل ذهنه منها الى </w:t>
      </w:r>
      <w:r w:rsidR="006764A5" w:rsidRPr="00FD211F">
        <w:rPr>
          <w:sz w:val="36"/>
          <w:szCs w:val="36"/>
          <w:rtl/>
        </w:rPr>
        <w:t>نفس الاسد</w:t>
      </w:r>
      <w:r w:rsidR="00603323" w:rsidRPr="00FD211F">
        <w:rPr>
          <w:sz w:val="36"/>
          <w:szCs w:val="36"/>
          <w:rtl/>
        </w:rPr>
        <w:t xml:space="preserve">، </w:t>
      </w:r>
      <w:r w:rsidRPr="00FD211F">
        <w:rPr>
          <w:sz w:val="36"/>
          <w:szCs w:val="36"/>
          <w:rtl/>
        </w:rPr>
        <w:t xml:space="preserve">ولأجل ذلك قد يستفيد الانسان لاجل انتقال ذهن المخاطب الى </w:t>
      </w:r>
      <w:r w:rsidR="008D7B3D" w:rsidRPr="00FD211F">
        <w:rPr>
          <w:sz w:val="36"/>
          <w:szCs w:val="36"/>
          <w:rtl/>
        </w:rPr>
        <w:t xml:space="preserve">شيء </w:t>
      </w:r>
      <w:r w:rsidRPr="00FD211F">
        <w:rPr>
          <w:sz w:val="36"/>
          <w:szCs w:val="36"/>
          <w:rtl/>
        </w:rPr>
        <w:t>من اراءته ما يشبهه كإراء</w:t>
      </w:r>
      <w:r w:rsidR="00EC7EDF" w:rsidRPr="00FD211F">
        <w:rPr>
          <w:sz w:val="36"/>
          <w:szCs w:val="36"/>
          <w:rtl/>
        </w:rPr>
        <w:t xml:space="preserve">ة </w:t>
      </w:r>
      <w:r w:rsidRPr="00FD211F">
        <w:rPr>
          <w:sz w:val="36"/>
          <w:szCs w:val="36"/>
          <w:rtl/>
        </w:rPr>
        <w:t>صورته</w:t>
      </w:r>
      <w:r w:rsidR="00B50444" w:rsidRPr="00FD211F">
        <w:rPr>
          <w:sz w:val="36"/>
          <w:szCs w:val="36"/>
          <w:rtl/>
        </w:rPr>
        <w:t>.</w:t>
      </w:r>
    </w:p>
    <w:p w14:paraId="7DB21ED9" w14:textId="77777777" w:rsidR="00B50444" w:rsidRPr="00FD211F" w:rsidRDefault="00B50444" w:rsidP="009C58C8">
      <w:pPr>
        <w:ind w:left="0" w:firstLine="227"/>
        <w:jc w:val="both"/>
        <w:rPr>
          <w:sz w:val="36"/>
          <w:szCs w:val="36"/>
          <w:rtl/>
        </w:rPr>
      </w:pPr>
      <w:r w:rsidRPr="00FD211F">
        <w:rPr>
          <w:sz w:val="36"/>
          <w:szCs w:val="36"/>
          <w:rtl/>
        </w:rPr>
        <w:t>3- وكذا اذا احس بما رأه مقترنا مع ذلك ال</w:t>
      </w:r>
      <w:r w:rsidR="008D7B3D" w:rsidRPr="00FD211F">
        <w:rPr>
          <w:sz w:val="36"/>
          <w:szCs w:val="36"/>
          <w:rtl/>
        </w:rPr>
        <w:t xml:space="preserve">شيء </w:t>
      </w:r>
      <w:r w:rsidRPr="00FD211F">
        <w:rPr>
          <w:sz w:val="36"/>
          <w:szCs w:val="36"/>
          <w:rtl/>
        </w:rPr>
        <w:t>بنحو اكيد فينتقل ذهنه منه الى</w:t>
      </w:r>
      <w:r w:rsidR="0066572B" w:rsidRPr="00FD211F">
        <w:rPr>
          <w:sz w:val="36"/>
          <w:szCs w:val="36"/>
          <w:rtl/>
        </w:rPr>
        <w:t xml:space="preserve"> ذلك الشيء</w:t>
      </w:r>
      <w:r w:rsidR="00603323" w:rsidRPr="00FD211F">
        <w:rPr>
          <w:sz w:val="36"/>
          <w:szCs w:val="36"/>
          <w:rtl/>
        </w:rPr>
        <w:t xml:space="preserve">، </w:t>
      </w:r>
      <w:r w:rsidRPr="00FD211F">
        <w:rPr>
          <w:sz w:val="36"/>
          <w:szCs w:val="36"/>
          <w:rtl/>
        </w:rPr>
        <w:t>وقد اكتشف ذلك العالم الروسي الف</w:t>
      </w:r>
      <w:r w:rsidR="00FC48DD" w:rsidRPr="00FD211F">
        <w:rPr>
          <w:sz w:val="36"/>
          <w:szCs w:val="36"/>
          <w:rtl/>
        </w:rPr>
        <w:t>ي</w:t>
      </w:r>
      <w:r w:rsidRPr="00FD211F">
        <w:rPr>
          <w:sz w:val="36"/>
          <w:szCs w:val="36"/>
          <w:rtl/>
        </w:rPr>
        <w:t>ز</w:t>
      </w:r>
      <w:r w:rsidR="00FC48DD" w:rsidRPr="00FD211F">
        <w:rPr>
          <w:sz w:val="36"/>
          <w:szCs w:val="36"/>
          <w:rtl/>
        </w:rPr>
        <w:t>يو</w:t>
      </w:r>
      <w:r w:rsidRPr="00FD211F">
        <w:rPr>
          <w:sz w:val="36"/>
          <w:szCs w:val="36"/>
          <w:rtl/>
        </w:rPr>
        <w:t>لوجي (ايوان با</w:t>
      </w:r>
      <w:r w:rsidR="00DD6FD7" w:rsidRPr="00FD211F">
        <w:rPr>
          <w:sz w:val="36"/>
          <w:szCs w:val="36"/>
          <w:rtl/>
        </w:rPr>
        <w:t>ف</w:t>
      </w:r>
      <w:r w:rsidR="000844B2" w:rsidRPr="00FD211F">
        <w:rPr>
          <w:sz w:val="36"/>
          <w:szCs w:val="36"/>
          <w:rtl/>
        </w:rPr>
        <w:t>لو</w:t>
      </w:r>
      <w:r w:rsidRPr="00FD211F">
        <w:rPr>
          <w:sz w:val="36"/>
          <w:szCs w:val="36"/>
          <w:rtl/>
        </w:rPr>
        <w:t>ف)</w:t>
      </w:r>
      <w:r w:rsidR="00353287" w:rsidRPr="00FD211F">
        <w:rPr>
          <w:sz w:val="36"/>
          <w:szCs w:val="36"/>
          <w:rtl/>
        </w:rPr>
        <w:t xml:space="preserve"> حيث حاول مر</w:t>
      </w:r>
      <w:r w:rsidR="00EC7EDF" w:rsidRPr="00FD211F">
        <w:rPr>
          <w:sz w:val="36"/>
          <w:szCs w:val="36"/>
          <w:rtl/>
        </w:rPr>
        <w:t xml:space="preserve">ة </w:t>
      </w:r>
      <w:r w:rsidR="00353287" w:rsidRPr="00FD211F">
        <w:rPr>
          <w:sz w:val="36"/>
          <w:szCs w:val="36"/>
          <w:rtl/>
        </w:rPr>
        <w:t>ان يجمع لعاب الكلب</w:t>
      </w:r>
      <w:r w:rsidR="00390B76" w:rsidRPr="00FD211F">
        <w:rPr>
          <w:sz w:val="36"/>
          <w:szCs w:val="36"/>
          <w:rtl/>
        </w:rPr>
        <w:t xml:space="preserve"> ف</w:t>
      </w:r>
      <w:r w:rsidR="00DD6FD7" w:rsidRPr="00FD211F">
        <w:rPr>
          <w:sz w:val="36"/>
          <w:szCs w:val="36"/>
          <w:rtl/>
        </w:rPr>
        <w:t xml:space="preserve">احضر عنده </w:t>
      </w:r>
      <w:r w:rsidR="00390B76" w:rsidRPr="00FD211F">
        <w:rPr>
          <w:sz w:val="36"/>
          <w:szCs w:val="36"/>
          <w:rtl/>
        </w:rPr>
        <w:t>طعاما لإثار</w:t>
      </w:r>
      <w:r w:rsidR="00EC7EDF" w:rsidRPr="00FD211F">
        <w:rPr>
          <w:sz w:val="36"/>
          <w:szCs w:val="36"/>
          <w:rtl/>
        </w:rPr>
        <w:t xml:space="preserve">ة </w:t>
      </w:r>
      <w:r w:rsidR="00DD6FD7" w:rsidRPr="00FD211F">
        <w:rPr>
          <w:sz w:val="36"/>
          <w:szCs w:val="36"/>
          <w:rtl/>
        </w:rPr>
        <w:t>غدده اللعابي</w:t>
      </w:r>
      <w:r w:rsidR="00EC7EDF" w:rsidRPr="00FD211F">
        <w:rPr>
          <w:sz w:val="36"/>
          <w:szCs w:val="36"/>
          <w:rtl/>
        </w:rPr>
        <w:t xml:space="preserve">ة </w:t>
      </w:r>
      <w:r w:rsidR="00390B76" w:rsidRPr="00FD211F">
        <w:rPr>
          <w:sz w:val="36"/>
          <w:szCs w:val="36"/>
          <w:rtl/>
        </w:rPr>
        <w:t xml:space="preserve">وقرن ذلك </w:t>
      </w:r>
      <w:r w:rsidR="00DD6FD7" w:rsidRPr="00FD211F">
        <w:rPr>
          <w:sz w:val="36"/>
          <w:szCs w:val="36"/>
          <w:rtl/>
        </w:rPr>
        <w:t>فتر</w:t>
      </w:r>
      <w:r w:rsidR="00EC7EDF" w:rsidRPr="00FD211F">
        <w:rPr>
          <w:sz w:val="36"/>
          <w:szCs w:val="36"/>
          <w:rtl/>
        </w:rPr>
        <w:t xml:space="preserve">ة </w:t>
      </w:r>
      <w:r w:rsidR="00390B76" w:rsidRPr="00FD211F">
        <w:rPr>
          <w:sz w:val="36"/>
          <w:szCs w:val="36"/>
          <w:rtl/>
        </w:rPr>
        <w:t>بدقّ الجرس</w:t>
      </w:r>
      <w:r w:rsidR="00603323" w:rsidRPr="00FD211F">
        <w:rPr>
          <w:sz w:val="36"/>
          <w:szCs w:val="36"/>
          <w:rtl/>
        </w:rPr>
        <w:t xml:space="preserve">، </w:t>
      </w:r>
      <w:r w:rsidR="00390B76" w:rsidRPr="00FD211F">
        <w:rPr>
          <w:sz w:val="36"/>
          <w:szCs w:val="36"/>
          <w:rtl/>
        </w:rPr>
        <w:t>فكانت النتيج</w:t>
      </w:r>
      <w:r w:rsidR="00EC7EDF" w:rsidRPr="00FD211F">
        <w:rPr>
          <w:sz w:val="36"/>
          <w:szCs w:val="36"/>
          <w:rtl/>
        </w:rPr>
        <w:t xml:space="preserve">ة </w:t>
      </w:r>
      <w:r w:rsidR="00DD6FD7" w:rsidRPr="00FD211F">
        <w:rPr>
          <w:sz w:val="36"/>
          <w:szCs w:val="36"/>
          <w:rtl/>
        </w:rPr>
        <w:t>بعدها</w:t>
      </w:r>
      <w:r w:rsidR="00390B76" w:rsidRPr="00FD211F">
        <w:rPr>
          <w:sz w:val="36"/>
          <w:szCs w:val="36"/>
          <w:rtl/>
        </w:rPr>
        <w:t xml:space="preserve"> انه كلما دق الجرس</w:t>
      </w:r>
      <w:r w:rsidR="00DD6FD7" w:rsidRPr="00FD211F">
        <w:rPr>
          <w:sz w:val="36"/>
          <w:szCs w:val="36"/>
          <w:rtl/>
        </w:rPr>
        <w:t xml:space="preserve"> ولو من دون حضور طعام</w:t>
      </w:r>
      <w:r w:rsidR="00390B76" w:rsidRPr="00FD211F">
        <w:rPr>
          <w:sz w:val="36"/>
          <w:szCs w:val="36"/>
          <w:rtl/>
        </w:rPr>
        <w:t xml:space="preserve"> سال لعاب الكلب</w:t>
      </w:r>
      <w:r w:rsidR="00603323" w:rsidRPr="00FD211F">
        <w:rPr>
          <w:sz w:val="36"/>
          <w:szCs w:val="36"/>
          <w:rtl/>
        </w:rPr>
        <w:t xml:space="preserve">، </w:t>
      </w:r>
      <w:r w:rsidR="00DD6FD7" w:rsidRPr="00FD211F">
        <w:rPr>
          <w:sz w:val="36"/>
          <w:szCs w:val="36"/>
          <w:rtl/>
        </w:rPr>
        <w:t>ويسمى دق الجرس في المثال بالمنب</w:t>
      </w:r>
      <w:r w:rsidR="005C6C6E" w:rsidRPr="00FD211F">
        <w:rPr>
          <w:sz w:val="36"/>
          <w:szCs w:val="36"/>
          <w:rtl/>
        </w:rPr>
        <w:t>ِّ</w:t>
      </w:r>
      <w:r w:rsidR="00DD6FD7" w:rsidRPr="00FD211F">
        <w:rPr>
          <w:sz w:val="36"/>
          <w:szCs w:val="36"/>
          <w:rtl/>
        </w:rPr>
        <w:t>ه الشرطي</w:t>
      </w:r>
      <w:r w:rsidR="00603323" w:rsidRPr="00FD211F">
        <w:rPr>
          <w:sz w:val="36"/>
          <w:szCs w:val="36"/>
          <w:rtl/>
        </w:rPr>
        <w:t xml:space="preserve">، </w:t>
      </w:r>
      <w:r w:rsidR="00DD6FD7" w:rsidRPr="00FD211F">
        <w:rPr>
          <w:sz w:val="36"/>
          <w:szCs w:val="36"/>
          <w:rtl/>
        </w:rPr>
        <w:t xml:space="preserve">كما </w:t>
      </w:r>
      <w:r w:rsidR="009C55C7" w:rsidRPr="00FD211F">
        <w:rPr>
          <w:sz w:val="36"/>
          <w:szCs w:val="36"/>
          <w:rtl/>
        </w:rPr>
        <w:t>ت</w:t>
      </w:r>
      <w:r w:rsidR="00DD6FD7" w:rsidRPr="00FD211F">
        <w:rPr>
          <w:sz w:val="36"/>
          <w:szCs w:val="36"/>
          <w:rtl/>
        </w:rPr>
        <w:t>سمى هذه الحال</w:t>
      </w:r>
      <w:r w:rsidR="00EC7EDF" w:rsidRPr="00FD211F">
        <w:rPr>
          <w:sz w:val="36"/>
          <w:szCs w:val="36"/>
          <w:rtl/>
        </w:rPr>
        <w:t xml:space="preserve">ة </w:t>
      </w:r>
      <w:r w:rsidR="00390B76" w:rsidRPr="00FD211F">
        <w:rPr>
          <w:sz w:val="36"/>
          <w:szCs w:val="36"/>
          <w:rtl/>
        </w:rPr>
        <w:t>بالاستجاب</w:t>
      </w:r>
      <w:r w:rsidR="00EC7EDF" w:rsidRPr="00FD211F">
        <w:rPr>
          <w:sz w:val="36"/>
          <w:szCs w:val="36"/>
          <w:rtl/>
        </w:rPr>
        <w:t xml:space="preserve">ة </w:t>
      </w:r>
      <w:r w:rsidR="00390B76" w:rsidRPr="00FD211F">
        <w:rPr>
          <w:sz w:val="36"/>
          <w:szCs w:val="36"/>
          <w:rtl/>
        </w:rPr>
        <w:t>الشرطي</w:t>
      </w:r>
      <w:r w:rsidR="00EC7EDF" w:rsidRPr="00FD211F">
        <w:rPr>
          <w:sz w:val="36"/>
          <w:szCs w:val="36"/>
          <w:rtl/>
        </w:rPr>
        <w:t>ة</w:t>
      </w:r>
      <w:r w:rsidR="00A61BAE" w:rsidRPr="00FD211F">
        <w:rPr>
          <w:sz w:val="36"/>
          <w:szCs w:val="36"/>
          <w:rtl/>
        </w:rPr>
        <w:t>.</w:t>
      </w:r>
    </w:p>
    <w:p w14:paraId="35565708" w14:textId="77777777" w:rsidR="00B44BE3" w:rsidRPr="00FD211F" w:rsidRDefault="00B44BE3" w:rsidP="009C58C8">
      <w:pPr>
        <w:ind w:left="0" w:firstLine="227"/>
        <w:jc w:val="both"/>
        <w:rPr>
          <w:sz w:val="36"/>
          <w:szCs w:val="36"/>
          <w:rtl/>
        </w:rPr>
      </w:pPr>
      <w:r w:rsidRPr="00FD211F">
        <w:rPr>
          <w:sz w:val="36"/>
          <w:szCs w:val="36"/>
          <w:rtl/>
        </w:rPr>
        <w:t xml:space="preserve">وعليه فاذا </w:t>
      </w:r>
      <w:r w:rsidR="00DD6FD7" w:rsidRPr="00FD211F">
        <w:rPr>
          <w:sz w:val="36"/>
          <w:szCs w:val="36"/>
          <w:rtl/>
        </w:rPr>
        <w:t>سمع احد</w:t>
      </w:r>
      <w:r w:rsidRPr="00FD211F">
        <w:rPr>
          <w:sz w:val="36"/>
          <w:szCs w:val="36"/>
          <w:rtl/>
        </w:rPr>
        <w:t xml:space="preserve"> صوت انسان شبيه</w:t>
      </w:r>
      <w:r w:rsidR="00AA4DC6" w:rsidRPr="00FD211F">
        <w:rPr>
          <w:sz w:val="36"/>
          <w:szCs w:val="36"/>
          <w:rtl/>
        </w:rPr>
        <w:t>ا</w:t>
      </w:r>
      <w:r w:rsidRPr="00FD211F">
        <w:rPr>
          <w:sz w:val="36"/>
          <w:szCs w:val="36"/>
          <w:rtl/>
        </w:rPr>
        <w:t xml:space="preserve"> بز</w:t>
      </w:r>
      <w:r w:rsidR="00EA2662" w:rsidRPr="00FD211F">
        <w:rPr>
          <w:sz w:val="36"/>
          <w:szCs w:val="36"/>
          <w:rtl/>
        </w:rPr>
        <w:t>ئ</w:t>
      </w:r>
      <w:r w:rsidRPr="00FD211F">
        <w:rPr>
          <w:sz w:val="36"/>
          <w:szCs w:val="36"/>
          <w:rtl/>
        </w:rPr>
        <w:t>ير الاسد ف</w:t>
      </w:r>
      <w:r w:rsidR="00AA131B" w:rsidRPr="00FD211F">
        <w:rPr>
          <w:sz w:val="36"/>
          <w:szCs w:val="36"/>
          <w:rtl/>
        </w:rPr>
        <w:t>ي</w:t>
      </w:r>
      <w:r w:rsidRPr="00FD211F">
        <w:rPr>
          <w:sz w:val="36"/>
          <w:szCs w:val="36"/>
          <w:rtl/>
        </w:rPr>
        <w:t>حس</w:t>
      </w:r>
      <w:r w:rsidR="00AA131B" w:rsidRPr="00FD211F">
        <w:rPr>
          <w:sz w:val="36"/>
          <w:szCs w:val="36"/>
          <w:rtl/>
        </w:rPr>
        <w:t>ّ</w:t>
      </w:r>
      <w:r w:rsidRPr="00FD211F">
        <w:rPr>
          <w:sz w:val="36"/>
          <w:szCs w:val="36"/>
          <w:rtl/>
        </w:rPr>
        <w:t xml:space="preserve"> اولا بنفس صوت ذلك الانسان بمقتضى الحال</w:t>
      </w:r>
      <w:r w:rsidR="00EC7EDF" w:rsidRPr="00FD211F">
        <w:rPr>
          <w:sz w:val="36"/>
          <w:szCs w:val="36"/>
          <w:rtl/>
        </w:rPr>
        <w:t xml:space="preserve">ة </w:t>
      </w:r>
      <w:r w:rsidRPr="00FD211F">
        <w:rPr>
          <w:sz w:val="36"/>
          <w:szCs w:val="36"/>
          <w:rtl/>
        </w:rPr>
        <w:t xml:space="preserve">الاولى وينتقل ذهنه الى </w:t>
      </w:r>
      <w:r w:rsidR="00EA2662" w:rsidRPr="00FD211F">
        <w:rPr>
          <w:sz w:val="36"/>
          <w:szCs w:val="36"/>
          <w:rtl/>
        </w:rPr>
        <w:t>زئير</w:t>
      </w:r>
      <w:r w:rsidRPr="00FD211F">
        <w:rPr>
          <w:sz w:val="36"/>
          <w:szCs w:val="36"/>
          <w:rtl/>
        </w:rPr>
        <w:t xml:space="preserve"> الاسد بمقتضى الحال</w:t>
      </w:r>
      <w:r w:rsidR="00EC7EDF" w:rsidRPr="00FD211F">
        <w:rPr>
          <w:sz w:val="36"/>
          <w:szCs w:val="36"/>
          <w:rtl/>
        </w:rPr>
        <w:t xml:space="preserve">ة </w:t>
      </w:r>
      <w:r w:rsidRPr="00FD211F">
        <w:rPr>
          <w:sz w:val="36"/>
          <w:szCs w:val="36"/>
          <w:rtl/>
        </w:rPr>
        <w:t>الثاني</w:t>
      </w:r>
      <w:r w:rsidR="00EC7EDF" w:rsidRPr="00FD211F">
        <w:rPr>
          <w:sz w:val="36"/>
          <w:szCs w:val="36"/>
          <w:rtl/>
        </w:rPr>
        <w:t>ة</w:t>
      </w:r>
      <w:r w:rsidR="00603323" w:rsidRPr="00FD211F">
        <w:rPr>
          <w:sz w:val="36"/>
          <w:szCs w:val="36"/>
          <w:rtl/>
        </w:rPr>
        <w:t xml:space="preserve">، </w:t>
      </w:r>
      <w:r w:rsidRPr="00FD211F">
        <w:rPr>
          <w:sz w:val="36"/>
          <w:szCs w:val="36"/>
          <w:rtl/>
        </w:rPr>
        <w:t>ثم ينتقل ذهن</w:t>
      </w:r>
      <w:r w:rsidR="003D204B" w:rsidRPr="00FD211F">
        <w:rPr>
          <w:sz w:val="36"/>
          <w:szCs w:val="36"/>
          <w:rtl/>
        </w:rPr>
        <w:t>ه</w:t>
      </w:r>
      <w:r w:rsidRPr="00FD211F">
        <w:rPr>
          <w:sz w:val="36"/>
          <w:szCs w:val="36"/>
          <w:rtl/>
        </w:rPr>
        <w:t xml:space="preserve"> من </w:t>
      </w:r>
      <w:r w:rsidR="00EA2662" w:rsidRPr="00FD211F">
        <w:rPr>
          <w:sz w:val="36"/>
          <w:szCs w:val="36"/>
          <w:rtl/>
        </w:rPr>
        <w:t>زئير</w:t>
      </w:r>
      <w:r w:rsidRPr="00FD211F">
        <w:rPr>
          <w:sz w:val="36"/>
          <w:szCs w:val="36"/>
          <w:rtl/>
        </w:rPr>
        <w:t xml:space="preserve"> الاسد الى نفس الاسد بمقتضى الحال</w:t>
      </w:r>
      <w:r w:rsidR="00EC7EDF" w:rsidRPr="00FD211F">
        <w:rPr>
          <w:sz w:val="36"/>
          <w:szCs w:val="36"/>
          <w:rtl/>
        </w:rPr>
        <w:t xml:space="preserve">ة </w:t>
      </w:r>
      <w:r w:rsidRPr="00FD211F">
        <w:rPr>
          <w:sz w:val="36"/>
          <w:szCs w:val="36"/>
          <w:rtl/>
        </w:rPr>
        <w:t>الثالث</w:t>
      </w:r>
      <w:r w:rsidR="00EC7EDF" w:rsidRPr="00FD211F">
        <w:rPr>
          <w:sz w:val="36"/>
          <w:szCs w:val="36"/>
          <w:rtl/>
        </w:rPr>
        <w:t>ة</w:t>
      </w:r>
      <w:r w:rsidR="00603323" w:rsidRPr="00FD211F">
        <w:rPr>
          <w:sz w:val="36"/>
          <w:szCs w:val="36"/>
          <w:rtl/>
        </w:rPr>
        <w:t xml:space="preserve">، </w:t>
      </w:r>
      <w:r w:rsidR="003D204B" w:rsidRPr="00FD211F">
        <w:rPr>
          <w:sz w:val="36"/>
          <w:szCs w:val="36"/>
          <w:rtl/>
        </w:rPr>
        <w:t>ومن ثم تصدى الانسان لتب</w:t>
      </w:r>
      <w:r w:rsidR="00EA2662" w:rsidRPr="00FD211F">
        <w:rPr>
          <w:sz w:val="36"/>
          <w:szCs w:val="36"/>
          <w:rtl/>
        </w:rPr>
        <w:t>ي</w:t>
      </w:r>
      <w:r w:rsidR="003D204B" w:rsidRPr="00FD211F">
        <w:rPr>
          <w:sz w:val="36"/>
          <w:szCs w:val="36"/>
          <w:rtl/>
        </w:rPr>
        <w:t xml:space="preserve">ين مقاصده </w:t>
      </w:r>
      <w:r w:rsidR="00EA2662" w:rsidRPr="00FD211F">
        <w:rPr>
          <w:sz w:val="36"/>
          <w:szCs w:val="36"/>
          <w:rtl/>
        </w:rPr>
        <w:t>بالاستفاد</w:t>
      </w:r>
      <w:r w:rsidR="00EC7EDF" w:rsidRPr="00FD211F">
        <w:rPr>
          <w:sz w:val="36"/>
          <w:szCs w:val="36"/>
          <w:rtl/>
        </w:rPr>
        <w:t xml:space="preserve">ة </w:t>
      </w:r>
      <w:r w:rsidR="003D204B" w:rsidRPr="00FD211F">
        <w:rPr>
          <w:sz w:val="36"/>
          <w:szCs w:val="36"/>
          <w:rtl/>
        </w:rPr>
        <w:t>من الحال</w:t>
      </w:r>
      <w:r w:rsidR="00EC7EDF" w:rsidRPr="00FD211F">
        <w:rPr>
          <w:sz w:val="36"/>
          <w:szCs w:val="36"/>
          <w:rtl/>
        </w:rPr>
        <w:t xml:space="preserve">ة </w:t>
      </w:r>
      <w:r w:rsidR="003D204B" w:rsidRPr="00FD211F">
        <w:rPr>
          <w:sz w:val="36"/>
          <w:szCs w:val="36"/>
          <w:rtl/>
        </w:rPr>
        <w:t>الثالث</w:t>
      </w:r>
      <w:r w:rsidR="00EC7EDF" w:rsidRPr="00FD211F">
        <w:rPr>
          <w:sz w:val="36"/>
          <w:szCs w:val="36"/>
          <w:rtl/>
        </w:rPr>
        <w:t xml:space="preserve">ة </w:t>
      </w:r>
      <w:r w:rsidR="003D204B" w:rsidRPr="00FD211F">
        <w:rPr>
          <w:sz w:val="36"/>
          <w:szCs w:val="36"/>
          <w:rtl/>
        </w:rPr>
        <w:t>لإيجاد الاقتران الأكيد بين اللفظ والمعنى</w:t>
      </w:r>
      <w:r w:rsidR="00AF07D2" w:rsidRPr="00FD211F">
        <w:rPr>
          <w:sz w:val="36"/>
          <w:szCs w:val="36"/>
          <w:rtl/>
        </w:rPr>
        <w:t>- بلاواسط</w:t>
      </w:r>
      <w:r w:rsidR="00EC7EDF" w:rsidRPr="00FD211F">
        <w:rPr>
          <w:sz w:val="36"/>
          <w:szCs w:val="36"/>
          <w:rtl/>
        </w:rPr>
        <w:t>ة</w:t>
      </w:r>
      <w:r w:rsidR="00603323" w:rsidRPr="00FD211F">
        <w:rPr>
          <w:sz w:val="36"/>
          <w:szCs w:val="36"/>
          <w:rtl/>
        </w:rPr>
        <w:t xml:space="preserve">، </w:t>
      </w:r>
      <w:r w:rsidR="00AF07D2" w:rsidRPr="00FD211F">
        <w:rPr>
          <w:sz w:val="36"/>
          <w:szCs w:val="36"/>
          <w:rtl/>
        </w:rPr>
        <w:t>فيخرج مثل القرن الأكيد بين لفظ الزئير مع معنى الاسد</w:t>
      </w:r>
      <w:r w:rsidR="00603323" w:rsidRPr="00FD211F">
        <w:rPr>
          <w:sz w:val="36"/>
          <w:szCs w:val="36"/>
          <w:rtl/>
        </w:rPr>
        <w:t xml:space="preserve">، </w:t>
      </w:r>
      <w:r w:rsidR="00AF07D2" w:rsidRPr="00FD211F">
        <w:rPr>
          <w:sz w:val="36"/>
          <w:szCs w:val="36"/>
          <w:rtl/>
        </w:rPr>
        <w:t>حيث ان القرن الاكيد بينهما بواسط</w:t>
      </w:r>
      <w:r w:rsidR="00EC7EDF" w:rsidRPr="00FD211F">
        <w:rPr>
          <w:sz w:val="36"/>
          <w:szCs w:val="36"/>
          <w:rtl/>
        </w:rPr>
        <w:t xml:space="preserve">ة </w:t>
      </w:r>
      <w:r w:rsidR="00AF07D2" w:rsidRPr="00FD211F">
        <w:rPr>
          <w:sz w:val="36"/>
          <w:szCs w:val="36"/>
          <w:rtl/>
        </w:rPr>
        <w:t>القرن الاكيد بين معنى الزئير ومعنى الاسد</w:t>
      </w:r>
      <w:r w:rsidR="00510345" w:rsidRPr="00FD211F">
        <w:rPr>
          <w:sz w:val="36"/>
          <w:szCs w:val="36"/>
          <w:rtl/>
        </w:rPr>
        <w:t>-</w:t>
      </w:r>
      <w:r w:rsidR="003D204B" w:rsidRPr="00FD211F">
        <w:rPr>
          <w:sz w:val="36"/>
          <w:szCs w:val="36"/>
          <w:rtl/>
        </w:rPr>
        <w:t xml:space="preserve"> وهذا الاقتران الأكيد قد يكون بسبب عامل كيفي وهو الوضع التعييني او عامل كمي وهو كثر</w:t>
      </w:r>
      <w:r w:rsidR="00EC7EDF" w:rsidRPr="00FD211F">
        <w:rPr>
          <w:sz w:val="36"/>
          <w:szCs w:val="36"/>
          <w:rtl/>
        </w:rPr>
        <w:t xml:space="preserve">ة </w:t>
      </w:r>
      <w:r w:rsidR="003D204B" w:rsidRPr="00FD211F">
        <w:rPr>
          <w:sz w:val="36"/>
          <w:szCs w:val="36"/>
          <w:rtl/>
        </w:rPr>
        <w:t>الاستعمال</w:t>
      </w:r>
      <w:r w:rsidR="00603323" w:rsidRPr="00FD211F">
        <w:rPr>
          <w:sz w:val="36"/>
          <w:szCs w:val="36"/>
          <w:rtl/>
        </w:rPr>
        <w:t xml:space="preserve">، </w:t>
      </w:r>
      <w:r w:rsidR="003D204B" w:rsidRPr="00FD211F">
        <w:rPr>
          <w:sz w:val="36"/>
          <w:szCs w:val="36"/>
          <w:rtl/>
        </w:rPr>
        <w:t>وليس الوضع امرا اعتباريا بل</w:t>
      </w:r>
      <w:r w:rsidR="00EA2662" w:rsidRPr="00FD211F">
        <w:rPr>
          <w:sz w:val="36"/>
          <w:szCs w:val="36"/>
          <w:rtl/>
        </w:rPr>
        <w:t xml:space="preserve"> هو</w:t>
      </w:r>
      <w:r w:rsidR="003D204B" w:rsidRPr="00FD211F">
        <w:rPr>
          <w:sz w:val="36"/>
          <w:szCs w:val="36"/>
          <w:rtl/>
        </w:rPr>
        <w:t xml:space="preserve"> امر تكويني </w:t>
      </w:r>
      <w:r w:rsidR="00EA2662" w:rsidRPr="00FD211F">
        <w:rPr>
          <w:sz w:val="36"/>
          <w:szCs w:val="36"/>
          <w:rtl/>
        </w:rPr>
        <w:t>و</w:t>
      </w:r>
      <w:r w:rsidR="003D204B" w:rsidRPr="00FD211F">
        <w:rPr>
          <w:sz w:val="36"/>
          <w:szCs w:val="36"/>
          <w:rtl/>
        </w:rPr>
        <w:t>يسمى بالقرن الأكيد بين اللفظ والمعنى ويكون سببا لتحقق حال</w:t>
      </w:r>
      <w:r w:rsidR="00EC7EDF" w:rsidRPr="00FD211F">
        <w:rPr>
          <w:sz w:val="36"/>
          <w:szCs w:val="36"/>
          <w:rtl/>
        </w:rPr>
        <w:t xml:space="preserve">ة </w:t>
      </w:r>
      <w:r w:rsidR="003D204B" w:rsidRPr="00FD211F">
        <w:rPr>
          <w:sz w:val="36"/>
          <w:szCs w:val="36"/>
          <w:rtl/>
        </w:rPr>
        <w:t>الاستجاب</w:t>
      </w:r>
      <w:r w:rsidR="00EC7EDF" w:rsidRPr="00FD211F">
        <w:rPr>
          <w:sz w:val="36"/>
          <w:szCs w:val="36"/>
          <w:rtl/>
        </w:rPr>
        <w:t xml:space="preserve">ة </w:t>
      </w:r>
      <w:r w:rsidR="003D204B" w:rsidRPr="00FD211F">
        <w:rPr>
          <w:sz w:val="36"/>
          <w:szCs w:val="36"/>
          <w:rtl/>
        </w:rPr>
        <w:t>الشرطي</w:t>
      </w:r>
      <w:r w:rsidR="00EC7EDF" w:rsidRPr="00FD211F">
        <w:rPr>
          <w:sz w:val="36"/>
          <w:szCs w:val="36"/>
          <w:rtl/>
        </w:rPr>
        <w:t xml:space="preserve">ة </w:t>
      </w:r>
      <w:r w:rsidR="003D204B" w:rsidRPr="00FD211F">
        <w:rPr>
          <w:sz w:val="36"/>
          <w:szCs w:val="36"/>
          <w:rtl/>
        </w:rPr>
        <w:t>في ذهن المخاطب بين اللفظ والمعنى</w:t>
      </w:r>
      <w:r w:rsidR="00603323" w:rsidRPr="00FD211F">
        <w:rPr>
          <w:sz w:val="36"/>
          <w:szCs w:val="36"/>
          <w:rtl/>
        </w:rPr>
        <w:t xml:space="preserve">، </w:t>
      </w:r>
      <w:r w:rsidR="003D204B" w:rsidRPr="00FD211F">
        <w:rPr>
          <w:sz w:val="36"/>
          <w:szCs w:val="36"/>
          <w:rtl/>
        </w:rPr>
        <w:t>واستخدام الإنشاء في موارد الوضع التعييني لإيجاد هذا القرن الأكيد</w:t>
      </w:r>
      <w:r w:rsidR="00E76BA9" w:rsidRPr="00FD211F">
        <w:rPr>
          <w:sz w:val="36"/>
          <w:szCs w:val="36"/>
          <w:rtl/>
        </w:rPr>
        <w:t xml:space="preserve"> لايعني ان</w:t>
      </w:r>
      <w:r w:rsidR="00EA2662" w:rsidRPr="00FD211F">
        <w:rPr>
          <w:sz w:val="36"/>
          <w:szCs w:val="36"/>
          <w:rtl/>
        </w:rPr>
        <w:t xml:space="preserve"> المنشأ به هو</w:t>
      </w:r>
      <w:r w:rsidR="00E76BA9" w:rsidRPr="00FD211F">
        <w:rPr>
          <w:sz w:val="36"/>
          <w:szCs w:val="36"/>
          <w:rtl/>
        </w:rPr>
        <w:t xml:space="preserve"> القرن الأكيد</w:t>
      </w:r>
      <w:r w:rsidR="00603323" w:rsidRPr="00FD211F">
        <w:rPr>
          <w:sz w:val="36"/>
          <w:szCs w:val="36"/>
          <w:rtl/>
        </w:rPr>
        <w:t xml:space="preserve">، </w:t>
      </w:r>
      <w:r w:rsidR="00E76BA9" w:rsidRPr="00FD211F">
        <w:rPr>
          <w:sz w:val="36"/>
          <w:szCs w:val="36"/>
          <w:rtl/>
        </w:rPr>
        <w:t>بل يكون الإنشاء عملي</w:t>
      </w:r>
      <w:r w:rsidR="00EC7EDF" w:rsidRPr="00FD211F">
        <w:rPr>
          <w:sz w:val="36"/>
          <w:szCs w:val="36"/>
          <w:rtl/>
        </w:rPr>
        <w:t xml:space="preserve">ة </w:t>
      </w:r>
      <w:r w:rsidR="00E76BA9" w:rsidRPr="00FD211F">
        <w:rPr>
          <w:sz w:val="36"/>
          <w:szCs w:val="36"/>
          <w:rtl/>
        </w:rPr>
        <w:t>تكويني</w:t>
      </w:r>
      <w:r w:rsidR="00EC7EDF" w:rsidRPr="00FD211F">
        <w:rPr>
          <w:sz w:val="36"/>
          <w:szCs w:val="36"/>
          <w:rtl/>
        </w:rPr>
        <w:t xml:space="preserve">ة </w:t>
      </w:r>
      <w:r w:rsidR="00E76BA9" w:rsidRPr="00FD211F">
        <w:rPr>
          <w:sz w:val="36"/>
          <w:szCs w:val="36"/>
          <w:rtl/>
        </w:rPr>
        <w:t>موجب</w:t>
      </w:r>
      <w:r w:rsidR="00EC7EDF" w:rsidRPr="00FD211F">
        <w:rPr>
          <w:sz w:val="36"/>
          <w:szCs w:val="36"/>
          <w:rtl/>
        </w:rPr>
        <w:t xml:space="preserve">ة </w:t>
      </w:r>
      <w:r w:rsidR="00E76BA9" w:rsidRPr="00FD211F">
        <w:rPr>
          <w:sz w:val="36"/>
          <w:szCs w:val="36"/>
          <w:rtl/>
        </w:rPr>
        <w:t>لتحقق هذا القرن الأكيد تكوينا.</w:t>
      </w:r>
    </w:p>
    <w:p w14:paraId="4C559803" w14:textId="77777777" w:rsidR="00E76BA9" w:rsidRPr="00FD211F" w:rsidRDefault="00E76BA9" w:rsidP="009C58C8">
      <w:pPr>
        <w:ind w:left="0" w:firstLine="227"/>
        <w:jc w:val="both"/>
        <w:rPr>
          <w:sz w:val="36"/>
          <w:szCs w:val="36"/>
          <w:rtl/>
        </w:rPr>
      </w:pPr>
      <w:r w:rsidRPr="00FD211F">
        <w:rPr>
          <w:sz w:val="36"/>
          <w:szCs w:val="36"/>
          <w:rtl/>
        </w:rPr>
        <w:t>وبناء على ذلك فالدلال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دلال</w:t>
      </w:r>
      <w:r w:rsidR="00EC7EDF" w:rsidRPr="00FD211F">
        <w:rPr>
          <w:sz w:val="36"/>
          <w:szCs w:val="36"/>
          <w:rtl/>
        </w:rPr>
        <w:t xml:space="preserve">ة </w:t>
      </w:r>
      <w:r w:rsidRPr="00FD211F">
        <w:rPr>
          <w:sz w:val="36"/>
          <w:szCs w:val="36"/>
          <w:rtl/>
        </w:rPr>
        <w:t>تصوري</w:t>
      </w:r>
      <w:r w:rsidR="00EC7EDF" w:rsidRPr="00FD211F">
        <w:rPr>
          <w:sz w:val="36"/>
          <w:szCs w:val="36"/>
          <w:rtl/>
        </w:rPr>
        <w:t xml:space="preserve">ة </w:t>
      </w:r>
      <w:r w:rsidRPr="00FD211F">
        <w:rPr>
          <w:sz w:val="36"/>
          <w:szCs w:val="36"/>
          <w:rtl/>
        </w:rPr>
        <w:t>دائما بمعنى ان الاقتران الأكيد ثابت بين المعنى واللفظ</w:t>
      </w:r>
      <w:r w:rsidR="00603323" w:rsidRPr="00FD211F">
        <w:rPr>
          <w:sz w:val="36"/>
          <w:szCs w:val="36"/>
          <w:rtl/>
        </w:rPr>
        <w:t xml:space="preserve">، </w:t>
      </w:r>
      <w:r w:rsidR="00D202FD" w:rsidRPr="00FD211F">
        <w:rPr>
          <w:sz w:val="36"/>
          <w:szCs w:val="36"/>
          <w:rtl/>
        </w:rPr>
        <w:t>بحيث يستلزم تصور اللفظ تصور المعنى</w:t>
      </w:r>
      <w:r w:rsidRPr="00FD211F">
        <w:rPr>
          <w:sz w:val="36"/>
          <w:szCs w:val="36"/>
          <w:rtl/>
        </w:rPr>
        <w:t xml:space="preserve"> اينما وجد</w:t>
      </w:r>
      <w:r w:rsidR="00D202FD" w:rsidRPr="00FD211F">
        <w:rPr>
          <w:sz w:val="36"/>
          <w:szCs w:val="36"/>
          <w:rtl/>
        </w:rPr>
        <w:t xml:space="preserve"> هذا اللفظ</w:t>
      </w:r>
      <w:r w:rsidRPr="00FD211F">
        <w:rPr>
          <w:sz w:val="36"/>
          <w:szCs w:val="36"/>
          <w:rtl/>
        </w:rPr>
        <w:t xml:space="preserve"> وكيفما وجد ولو من تموّج الهواء او من </w:t>
      </w:r>
      <w:r w:rsidR="004373F2" w:rsidRPr="00FD211F">
        <w:rPr>
          <w:sz w:val="36"/>
          <w:szCs w:val="36"/>
          <w:rtl/>
        </w:rPr>
        <w:t>ال</w:t>
      </w:r>
      <w:r w:rsidRPr="00FD211F">
        <w:rPr>
          <w:sz w:val="36"/>
          <w:szCs w:val="36"/>
          <w:rtl/>
        </w:rPr>
        <w:t>شخص النائم</w:t>
      </w:r>
      <w:r w:rsidR="00603323" w:rsidRPr="00FD211F">
        <w:rPr>
          <w:sz w:val="36"/>
          <w:szCs w:val="36"/>
          <w:rtl/>
        </w:rPr>
        <w:t xml:space="preserve">، </w:t>
      </w:r>
      <w:r w:rsidRPr="00FD211F">
        <w:rPr>
          <w:sz w:val="36"/>
          <w:szCs w:val="36"/>
          <w:rtl/>
        </w:rPr>
        <w:t>ومن جه</w:t>
      </w:r>
      <w:r w:rsidR="00EC7EDF" w:rsidRPr="00FD211F">
        <w:rPr>
          <w:sz w:val="36"/>
          <w:szCs w:val="36"/>
          <w:rtl/>
        </w:rPr>
        <w:t xml:space="preserve">ة </w:t>
      </w:r>
      <w:r w:rsidRPr="00FD211F">
        <w:rPr>
          <w:sz w:val="36"/>
          <w:szCs w:val="36"/>
          <w:rtl/>
        </w:rPr>
        <w:t xml:space="preserve">أخرى ان </w:t>
      </w:r>
      <w:r w:rsidR="00592CE6" w:rsidRPr="00FD211F">
        <w:rPr>
          <w:sz w:val="36"/>
          <w:szCs w:val="36"/>
          <w:rtl/>
        </w:rPr>
        <w:t>الاقتران الأكيد بين اللفظ والمعنى وان كان موقوفا على العلم بالوضع غالبا</w:t>
      </w:r>
      <w:r w:rsidR="00603323" w:rsidRPr="00FD211F">
        <w:rPr>
          <w:sz w:val="36"/>
          <w:szCs w:val="36"/>
          <w:rtl/>
        </w:rPr>
        <w:t xml:space="preserve">، </w:t>
      </w:r>
      <w:r w:rsidR="00592CE6" w:rsidRPr="00FD211F">
        <w:rPr>
          <w:sz w:val="36"/>
          <w:szCs w:val="36"/>
          <w:rtl/>
        </w:rPr>
        <w:t xml:space="preserve">لكنه قد يحصل على اساس عامل تلقيني كأن يقرن بشكل مكرّر </w:t>
      </w:r>
      <w:r w:rsidR="00AA131B" w:rsidRPr="00FD211F">
        <w:rPr>
          <w:sz w:val="36"/>
          <w:szCs w:val="36"/>
          <w:rtl/>
        </w:rPr>
        <w:t>بين لفظ ومعنى أ</w:t>
      </w:r>
      <w:r w:rsidR="00592CE6" w:rsidRPr="00FD211F">
        <w:rPr>
          <w:sz w:val="36"/>
          <w:szCs w:val="36"/>
          <w:rtl/>
        </w:rPr>
        <w:t>مام الطفل</w:t>
      </w:r>
      <w:r w:rsidR="00603323" w:rsidRPr="00FD211F">
        <w:rPr>
          <w:sz w:val="36"/>
          <w:szCs w:val="36"/>
          <w:rtl/>
        </w:rPr>
        <w:t xml:space="preserve">، </w:t>
      </w:r>
      <w:r w:rsidR="00592CE6" w:rsidRPr="00FD211F">
        <w:rPr>
          <w:sz w:val="36"/>
          <w:szCs w:val="36"/>
          <w:rtl/>
        </w:rPr>
        <w:t>فيؤثر ذلك في الاستجاب</w:t>
      </w:r>
      <w:r w:rsidR="00EC7EDF" w:rsidRPr="00FD211F">
        <w:rPr>
          <w:sz w:val="36"/>
          <w:szCs w:val="36"/>
          <w:rtl/>
        </w:rPr>
        <w:t xml:space="preserve">ة </w:t>
      </w:r>
      <w:r w:rsidR="00592CE6" w:rsidRPr="00FD211F">
        <w:rPr>
          <w:sz w:val="36"/>
          <w:szCs w:val="36"/>
          <w:rtl/>
        </w:rPr>
        <w:t>الطبيعي</w:t>
      </w:r>
      <w:r w:rsidR="00EC7EDF" w:rsidRPr="00FD211F">
        <w:rPr>
          <w:sz w:val="36"/>
          <w:szCs w:val="36"/>
          <w:rtl/>
        </w:rPr>
        <w:t xml:space="preserve">ة </w:t>
      </w:r>
      <w:r w:rsidR="00592CE6" w:rsidRPr="00FD211F">
        <w:rPr>
          <w:sz w:val="36"/>
          <w:szCs w:val="36"/>
          <w:rtl/>
        </w:rPr>
        <w:t>في نفس الطفل</w:t>
      </w:r>
      <w:r w:rsidR="00603323" w:rsidRPr="00FD211F">
        <w:rPr>
          <w:sz w:val="36"/>
          <w:szCs w:val="36"/>
          <w:rtl/>
        </w:rPr>
        <w:t xml:space="preserve">، </w:t>
      </w:r>
      <w:r w:rsidR="000844B2" w:rsidRPr="00FD211F">
        <w:rPr>
          <w:sz w:val="36"/>
          <w:szCs w:val="36"/>
          <w:rtl/>
        </w:rPr>
        <w:t>والحاصل أن العلق</w:t>
      </w:r>
      <w:r w:rsidR="00EC7EDF" w:rsidRPr="00FD211F">
        <w:rPr>
          <w:sz w:val="36"/>
          <w:szCs w:val="36"/>
          <w:rtl/>
        </w:rPr>
        <w:t xml:space="preserve">ة </w:t>
      </w:r>
      <w:r w:rsidR="000844B2" w:rsidRPr="00FD211F">
        <w:rPr>
          <w:sz w:val="36"/>
          <w:szCs w:val="36"/>
          <w:rtl/>
        </w:rPr>
        <w:t>الوضعي</w:t>
      </w:r>
      <w:r w:rsidR="00EC7EDF" w:rsidRPr="00FD211F">
        <w:rPr>
          <w:sz w:val="36"/>
          <w:szCs w:val="36"/>
          <w:rtl/>
        </w:rPr>
        <w:t xml:space="preserve">ة </w:t>
      </w:r>
      <w:r w:rsidR="007C532E" w:rsidRPr="00FD211F">
        <w:rPr>
          <w:sz w:val="36"/>
          <w:szCs w:val="36"/>
          <w:rtl/>
        </w:rPr>
        <w:t>بعدأن كانت هي القرن الاكيدبين اللفظ والمعنى فقدتتحقق في ذهن شخص دون شخص فتكون العلق</w:t>
      </w:r>
      <w:r w:rsidR="00EC7EDF" w:rsidRPr="00FD211F">
        <w:rPr>
          <w:sz w:val="36"/>
          <w:szCs w:val="36"/>
          <w:rtl/>
        </w:rPr>
        <w:t xml:space="preserve">ة </w:t>
      </w:r>
      <w:r w:rsidR="007C532E" w:rsidRPr="00FD211F">
        <w:rPr>
          <w:sz w:val="36"/>
          <w:szCs w:val="36"/>
          <w:rtl/>
        </w:rPr>
        <w:t>الوضعي</w:t>
      </w:r>
      <w:r w:rsidR="00EC7EDF" w:rsidRPr="00FD211F">
        <w:rPr>
          <w:sz w:val="36"/>
          <w:szCs w:val="36"/>
          <w:rtl/>
        </w:rPr>
        <w:t xml:space="preserve">ة </w:t>
      </w:r>
      <w:r w:rsidR="007C532E" w:rsidRPr="00FD211F">
        <w:rPr>
          <w:sz w:val="36"/>
          <w:szCs w:val="36"/>
          <w:rtl/>
        </w:rPr>
        <w:t>نسبي</w:t>
      </w:r>
      <w:r w:rsidR="00EC7EDF" w:rsidRPr="00FD211F">
        <w:rPr>
          <w:sz w:val="36"/>
          <w:szCs w:val="36"/>
          <w:rtl/>
        </w:rPr>
        <w:t xml:space="preserve">ة </w:t>
      </w:r>
      <w:r w:rsidR="002F6C6B" w:rsidRPr="00FD211F">
        <w:rPr>
          <w:sz w:val="36"/>
          <w:szCs w:val="36"/>
          <w:rtl/>
        </w:rPr>
        <w:t xml:space="preserve">لانهاهي اقتران اللفظ بالمعنى في الذهن </w:t>
      </w:r>
      <w:r w:rsidR="00EC67F4" w:rsidRPr="00FD211F">
        <w:rPr>
          <w:sz w:val="36"/>
          <w:szCs w:val="36"/>
          <w:rtl/>
        </w:rPr>
        <w:t>ف</w:t>
      </w:r>
      <w:r w:rsidR="002F6C6B" w:rsidRPr="00FD211F">
        <w:rPr>
          <w:sz w:val="36"/>
          <w:szCs w:val="36"/>
          <w:rtl/>
        </w:rPr>
        <w:t xml:space="preserve">لم </w:t>
      </w:r>
      <w:r w:rsidR="00EC67F4" w:rsidRPr="00FD211F">
        <w:rPr>
          <w:sz w:val="36"/>
          <w:szCs w:val="36"/>
          <w:rtl/>
        </w:rPr>
        <w:t xml:space="preserve">تتحقق </w:t>
      </w:r>
      <w:r w:rsidR="002F6C6B" w:rsidRPr="00FD211F">
        <w:rPr>
          <w:sz w:val="36"/>
          <w:szCs w:val="36"/>
          <w:rtl/>
        </w:rPr>
        <w:t xml:space="preserve">في حق الجاهل بالوضع وانماتحققت </w:t>
      </w:r>
      <w:r w:rsidR="00EC67F4" w:rsidRPr="00FD211F">
        <w:rPr>
          <w:sz w:val="36"/>
          <w:szCs w:val="36"/>
          <w:rtl/>
        </w:rPr>
        <w:t xml:space="preserve">في حق العالم بالوضع </w:t>
      </w:r>
      <w:r w:rsidR="002F6C6B" w:rsidRPr="00FD211F">
        <w:rPr>
          <w:sz w:val="36"/>
          <w:szCs w:val="36"/>
          <w:rtl/>
        </w:rPr>
        <w:t>نعم قدتتحقق في حق الجاهل بالوضع نادرا</w:t>
      </w:r>
      <w:r w:rsidR="0062199B" w:rsidRPr="00FD211F">
        <w:rPr>
          <w:sz w:val="36"/>
          <w:szCs w:val="36"/>
          <w:rtl/>
        </w:rPr>
        <w:t xml:space="preserve"> </w:t>
      </w:r>
      <w:r w:rsidR="002F6C6B" w:rsidRPr="00FD211F">
        <w:rPr>
          <w:sz w:val="36"/>
          <w:szCs w:val="36"/>
          <w:rtl/>
        </w:rPr>
        <w:t>كما</w:t>
      </w:r>
      <w:r w:rsidR="0062199B" w:rsidRPr="00FD211F">
        <w:rPr>
          <w:sz w:val="36"/>
          <w:szCs w:val="36"/>
          <w:rtl/>
        </w:rPr>
        <w:t xml:space="preserve"> </w:t>
      </w:r>
      <w:r w:rsidR="002F6C6B" w:rsidRPr="00FD211F">
        <w:rPr>
          <w:sz w:val="36"/>
          <w:szCs w:val="36"/>
          <w:rtl/>
        </w:rPr>
        <w:t>اذا</w:t>
      </w:r>
      <w:r w:rsidR="0062199B" w:rsidRPr="00FD211F">
        <w:rPr>
          <w:sz w:val="36"/>
          <w:szCs w:val="36"/>
          <w:rtl/>
        </w:rPr>
        <w:t xml:space="preserve"> </w:t>
      </w:r>
      <w:r w:rsidR="002F6C6B" w:rsidRPr="00FD211F">
        <w:rPr>
          <w:sz w:val="36"/>
          <w:szCs w:val="36"/>
          <w:rtl/>
        </w:rPr>
        <w:t xml:space="preserve">تم الاقتران في الذهن من دون علم من اريدتعليمه كقرن لفظ الحليب </w:t>
      </w:r>
      <w:r w:rsidR="007522D6" w:rsidRPr="00FD211F">
        <w:rPr>
          <w:sz w:val="36"/>
          <w:szCs w:val="36"/>
          <w:rtl/>
        </w:rPr>
        <w:t>في ذهن الطف</w:t>
      </w:r>
      <w:r w:rsidR="00390A35" w:rsidRPr="00FD211F">
        <w:rPr>
          <w:sz w:val="36"/>
          <w:szCs w:val="36"/>
          <w:rtl/>
        </w:rPr>
        <w:t>ل</w:t>
      </w:r>
      <w:r w:rsidR="00F73522" w:rsidRPr="00FD211F">
        <w:rPr>
          <w:sz w:val="36"/>
          <w:szCs w:val="36"/>
          <w:rtl/>
        </w:rPr>
        <w:t xml:space="preserve"> </w:t>
      </w:r>
      <w:r w:rsidR="007522D6" w:rsidRPr="00FD211F">
        <w:rPr>
          <w:sz w:val="36"/>
          <w:szCs w:val="36"/>
          <w:rtl/>
        </w:rPr>
        <w:t>الرضيع</w:t>
      </w:r>
      <w:r w:rsidR="00B253CE" w:rsidRPr="00FD211F">
        <w:rPr>
          <w:sz w:val="36"/>
          <w:szCs w:val="36"/>
          <w:rtl/>
        </w:rPr>
        <w:t xml:space="preserve"> </w:t>
      </w:r>
      <w:r w:rsidR="00390A35" w:rsidRPr="00FD211F">
        <w:rPr>
          <w:sz w:val="36"/>
          <w:szCs w:val="36"/>
          <w:rtl/>
        </w:rPr>
        <w:t>بالحليب</w:t>
      </w:r>
      <w:r w:rsidR="00592CE6" w:rsidRPr="00FD211F">
        <w:rPr>
          <w:sz w:val="36"/>
          <w:szCs w:val="36"/>
          <w:rtl/>
        </w:rPr>
        <w:t>.</w:t>
      </w:r>
      <w:r w:rsidR="009C58C8" w:rsidRPr="00FD211F">
        <w:rPr>
          <w:rStyle w:val="a6"/>
          <w:sz w:val="36"/>
          <w:szCs w:val="36"/>
          <w:rtl/>
        </w:rPr>
        <w:t>(</w:t>
      </w:r>
      <w:r w:rsidR="009C58C8" w:rsidRPr="00FD211F">
        <w:rPr>
          <w:rStyle w:val="a6"/>
          <w:sz w:val="36"/>
          <w:szCs w:val="36"/>
          <w:rtl/>
        </w:rPr>
        <w:footnoteReference w:id="118"/>
      </w:r>
      <w:r w:rsidR="009C58C8" w:rsidRPr="00FD211F">
        <w:rPr>
          <w:rStyle w:val="a6"/>
          <w:sz w:val="36"/>
          <w:szCs w:val="36"/>
          <w:rtl/>
        </w:rPr>
        <w:t>)</w:t>
      </w:r>
    </w:p>
    <w:p w14:paraId="0AB57738" w14:textId="77777777" w:rsidR="00592CE6" w:rsidRPr="00FD211F" w:rsidRDefault="00592CE6" w:rsidP="009C58C8">
      <w:pPr>
        <w:ind w:left="0" w:firstLine="227"/>
        <w:jc w:val="both"/>
        <w:rPr>
          <w:sz w:val="36"/>
          <w:szCs w:val="36"/>
          <w:rtl/>
        </w:rPr>
      </w:pPr>
      <w:r w:rsidRPr="00FD211F">
        <w:rPr>
          <w:sz w:val="36"/>
          <w:szCs w:val="36"/>
          <w:rtl/>
        </w:rPr>
        <w:t xml:space="preserve">اقول: </w:t>
      </w:r>
      <w:r w:rsidR="00D116A3" w:rsidRPr="00FD211F">
        <w:rPr>
          <w:sz w:val="36"/>
          <w:szCs w:val="36"/>
          <w:rtl/>
        </w:rPr>
        <w:t xml:space="preserve">تارة </w:t>
      </w:r>
      <w:r w:rsidRPr="00FD211F">
        <w:rPr>
          <w:sz w:val="36"/>
          <w:szCs w:val="36"/>
          <w:rtl/>
        </w:rPr>
        <w:t>يراد من الوضع العملي</w:t>
      </w:r>
      <w:r w:rsidR="00EC7EDF" w:rsidRPr="00FD211F">
        <w:rPr>
          <w:sz w:val="36"/>
          <w:szCs w:val="36"/>
          <w:rtl/>
        </w:rPr>
        <w:t xml:space="preserve">ة </w:t>
      </w:r>
      <w:r w:rsidRPr="00FD211F">
        <w:rPr>
          <w:sz w:val="36"/>
          <w:szCs w:val="36"/>
          <w:rtl/>
        </w:rPr>
        <w:t>التي يتصدى لها الواضع مباشر</w:t>
      </w:r>
      <w:r w:rsidR="00EC7EDF" w:rsidRPr="00FD211F">
        <w:rPr>
          <w:sz w:val="36"/>
          <w:szCs w:val="36"/>
          <w:rtl/>
        </w:rPr>
        <w:t>ة</w:t>
      </w:r>
      <w:r w:rsidR="00603323" w:rsidRPr="00FD211F">
        <w:rPr>
          <w:sz w:val="36"/>
          <w:szCs w:val="36"/>
          <w:rtl/>
        </w:rPr>
        <w:t xml:space="preserve">، </w:t>
      </w:r>
      <w:r w:rsidRPr="00FD211F">
        <w:rPr>
          <w:sz w:val="36"/>
          <w:szCs w:val="36"/>
          <w:rtl/>
        </w:rPr>
        <w:t>ويعبر عنه بالوضع بالمعنى المصدري</w:t>
      </w:r>
      <w:r w:rsidR="00603323" w:rsidRPr="00FD211F">
        <w:rPr>
          <w:sz w:val="36"/>
          <w:szCs w:val="36"/>
          <w:rtl/>
        </w:rPr>
        <w:t xml:space="preserve">، </w:t>
      </w:r>
      <w:r w:rsidRPr="00FD211F">
        <w:rPr>
          <w:sz w:val="36"/>
          <w:szCs w:val="36"/>
          <w:rtl/>
        </w:rPr>
        <w:t>ومن الواضح انه لايساوق القرن الأكيد بين اللفظ والمعنى وان كان نحو محاول</w:t>
      </w:r>
      <w:r w:rsidR="00EC7EDF" w:rsidRPr="00FD211F">
        <w:rPr>
          <w:sz w:val="36"/>
          <w:szCs w:val="36"/>
          <w:rtl/>
        </w:rPr>
        <w:t xml:space="preserve">ة </w:t>
      </w:r>
      <w:r w:rsidRPr="00FD211F">
        <w:rPr>
          <w:sz w:val="36"/>
          <w:szCs w:val="36"/>
          <w:rtl/>
        </w:rPr>
        <w:t>لإيجاده</w:t>
      </w:r>
      <w:r w:rsidR="00603323" w:rsidRPr="00FD211F">
        <w:rPr>
          <w:sz w:val="36"/>
          <w:szCs w:val="36"/>
          <w:rtl/>
        </w:rPr>
        <w:t xml:space="preserve">، </w:t>
      </w:r>
      <w:r w:rsidRPr="00FD211F">
        <w:rPr>
          <w:sz w:val="36"/>
          <w:szCs w:val="36"/>
          <w:rtl/>
        </w:rPr>
        <w:t xml:space="preserve">وهذا هو الظاهر من الوضع في قولنا: وضعت اسم </w:t>
      </w:r>
      <w:r w:rsidR="0062199B" w:rsidRPr="00FD211F">
        <w:rPr>
          <w:sz w:val="36"/>
          <w:szCs w:val="36"/>
          <w:rtl/>
        </w:rPr>
        <w:t xml:space="preserve">الحسين </w:t>
      </w:r>
      <w:r w:rsidRPr="00FD211F">
        <w:rPr>
          <w:sz w:val="36"/>
          <w:szCs w:val="36"/>
          <w:rtl/>
        </w:rPr>
        <w:t>على ولدي</w:t>
      </w:r>
      <w:r w:rsidR="00603323" w:rsidRPr="00FD211F">
        <w:rPr>
          <w:sz w:val="36"/>
          <w:szCs w:val="36"/>
          <w:rtl/>
        </w:rPr>
        <w:t xml:space="preserve">، </w:t>
      </w:r>
      <w:r w:rsidRPr="00FD211F">
        <w:rPr>
          <w:sz w:val="36"/>
          <w:szCs w:val="36"/>
          <w:rtl/>
        </w:rPr>
        <w:t>فيصدق هذا الكلام بمجرد تسمي</w:t>
      </w:r>
      <w:r w:rsidR="00EC7EDF" w:rsidRPr="00FD211F">
        <w:rPr>
          <w:sz w:val="36"/>
          <w:szCs w:val="36"/>
          <w:rtl/>
        </w:rPr>
        <w:t xml:space="preserve">ة </w:t>
      </w:r>
      <w:r w:rsidRPr="00FD211F">
        <w:rPr>
          <w:sz w:val="36"/>
          <w:szCs w:val="36"/>
          <w:rtl/>
        </w:rPr>
        <w:t xml:space="preserve">ولده بهذا الاسم </w:t>
      </w:r>
      <w:r w:rsidR="00DD1EAF" w:rsidRPr="00FD211F">
        <w:rPr>
          <w:sz w:val="36"/>
          <w:szCs w:val="36"/>
          <w:rtl/>
        </w:rPr>
        <w:t>وان</w:t>
      </w:r>
      <w:r w:rsidR="008D7B3D" w:rsidRPr="00FD211F">
        <w:rPr>
          <w:sz w:val="36"/>
          <w:szCs w:val="36"/>
          <w:rtl/>
        </w:rPr>
        <w:t xml:space="preserve"> لم‌</w:t>
      </w:r>
      <w:r w:rsidR="00DD1EAF" w:rsidRPr="00FD211F">
        <w:rPr>
          <w:sz w:val="36"/>
          <w:szCs w:val="36"/>
          <w:rtl/>
        </w:rPr>
        <w:t>يعلن ذلك لأي احد</w:t>
      </w:r>
      <w:r w:rsidR="00603323" w:rsidRPr="00FD211F">
        <w:rPr>
          <w:sz w:val="36"/>
          <w:szCs w:val="36"/>
          <w:rtl/>
        </w:rPr>
        <w:t xml:space="preserve">، </w:t>
      </w:r>
      <w:r w:rsidR="00DD1EAF" w:rsidRPr="00FD211F">
        <w:rPr>
          <w:sz w:val="36"/>
          <w:szCs w:val="36"/>
          <w:rtl/>
        </w:rPr>
        <w:t>وقد مر ان الظاهر من عملي</w:t>
      </w:r>
      <w:r w:rsidR="00EC7EDF" w:rsidRPr="00FD211F">
        <w:rPr>
          <w:sz w:val="36"/>
          <w:szCs w:val="36"/>
          <w:rtl/>
        </w:rPr>
        <w:t xml:space="preserve">ة </w:t>
      </w:r>
      <w:r w:rsidR="00DD1EAF" w:rsidRPr="00FD211F">
        <w:rPr>
          <w:sz w:val="36"/>
          <w:szCs w:val="36"/>
          <w:rtl/>
        </w:rPr>
        <w:t>الوضع عرفا هو</w:t>
      </w:r>
      <w:r w:rsidR="004373F2" w:rsidRPr="00FD211F">
        <w:rPr>
          <w:sz w:val="36"/>
          <w:szCs w:val="36"/>
          <w:rtl/>
        </w:rPr>
        <w:t xml:space="preserve"> كونها اعتبارا بصيغته الثالث</w:t>
      </w:r>
      <w:r w:rsidR="00EC7EDF" w:rsidRPr="00FD211F">
        <w:rPr>
          <w:sz w:val="36"/>
          <w:szCs w:val="36"/>
          <w:rtl/>
        </w:rPr>
        <w:t xml:space="preserve">ة </w:t>
      </w:r>
      <w:r w:rsidR="004373F2" w:rsidRPr="00FD211F">
        <w:rPr>
          <w:sz w:val="36"/>
          <w:szCs w:val="36"/>
          <w:rtl/>
        </w:rPr>
        <w:t>وه</w:t>
      </w:r>
      <w:r w:rsidR="00BC7090" w:rsidRPr="00FD211F">
        <w:rPr>
          <w:sz w:val="36"/>
          <w:szCs w:val="36"/>
          <w:rtl/>
        </w:rPr>
        <w:t>و اعتبار اللفظ علام</w:t>
      </w:r>
      <w:r w:rsidR="00EC7EDF" w:rsidRPr="00FD211F">
        <w:rPr>
          <w:sz w:val="36"/>
          <w:szCs w:val="36"/>
          <w:rtl/>
        </w:rPr>
        <w:t xml:space="preserve">ة </w:t>
      </w:r>
      <w:r w:rsidR="00BC7090" w:rsidRPr="00FD211F">
        <w:rPr>
          <w:sz w:val="36"/>
          <w:szCs w:val="36"/>
          <w:rtl/>
        </w:rPr>
        <w:t>على المعنى</w:t>
      </w:r>
      <w:r w:rsidR="004373F2" w:rsidRPr="00FD211F">
        <w:rPr>
          <w:sz w:val="36"/>
          <w:szCs w:val="36"/>
          <w:rtl/>
        </w:rPr>
        <w:t>.</w:t>
      </w:r>
    </w:p>
    <w:p w14:paraId="6EAB67CC" w14:textId="77777777" w:rsidR="00DD1EAF" w:rsidRPr="00FD211F" w:rsidRDefault="004373F2" w:rsidP="009C58C8">
      <w:pPr>
        <w:ind w:left="0" w:firstLine="227"/>
        <w:jc w:val="both"/>
        <w:rPr>
          <w:sz w:val="36"/>
          <w:szCs w:val="36"/>
          <w:rtl/>
        </w:rPr>
      </w:pPr>
      <w:r w:rsidRPr="00FD211F">
        <w:rPr>
          <w:sz w:val="36"/>
          <w:szCs w:val="36"/>
          <w:rtl/>
        </w:rPr>
        <w:t>و</w:t>
      </w:r>
      <w:r w:rsidR="00EC7EDF" w:rsidRPr="00FD211F">
        <w:rPr>
          <w:sz w:val="36"/>
          <w:szCs w:val="36"/>
          <w:rtl/>
        </w:rPr>
        <w:t xml:space="preserve"> </w:t>
      </w:r>
      <w:r w:rsidRPr="00FD211F">
        <w:rPr>
          <w:sz w:val="36"/>
          <w:szCs w:val="36"/>
          <w:rtl/>
        </w:rPr>
        <w:t>أخرى يراد من الوضع</w:t>
      </w:r>
      <w:r w:rsidR="00DD1EAF" w:rsidRPr="00FD211F">
        <w:rPr>
          <w:sz w:val="36"/>
          <w:szCs w:val="36"/>
          <w:rtl/>
        </w:rPr>
        <w:t xml:space="preserve"> العلق</w:t>
      </w:r>
      <w:r w:rsidR="00EC7EDF" w:rsidRPr="00FD211F">
        <w:rPr>
          <w:sz w:val="36"/>
          <w:szCs w:val="36"/>
          <w:rtl/>
        </w:rPr>
        <w:t xml:space="preserve">ة </w:t>
      </w:r>
      <w:r w:rsidR="00DD1EAF" w:rsidRPr="00FD211F">
        <w:rPr>
          <w:sz w:val="36"/>
          <w:szCs w:val="36"/>
          <w:rtl/>
        </w:rPr>
        <w:t>الوضعي</w:t>
      </w:r>
      <w:r w:rsidR="00EC7EDF" w:rsidRPr="00FD211F">
        <w:rPr>
          <w:sz w:val="36"/>
          <w:szCs w:val="36"/>
          <w:rtl/>
        </w:rPr>
        <w:t xml:space="preserve">ة </w:t>
      </w:r>
      <w:r w:rsidR="00DD1EAF" w:rsidRPr="00FD211F">
        <w:rPr>
          <w:sz w:val="36"/>
          <w:szCs w:val="36"/>
          <w:rtl/>
        </w:rPr>
        <w:t>بين اللفظ والمعنى</w:t>
      </w:r>
      <w:r w:rsidR="00603323" w:rsidRPr="00FD211F">
        <w:rPr>
          <w:sz w:val="36"/>
          <w:szCs w:val="36"/>
          <w:rtl/>
        </w:rPr>
        <w:t xml:space="preserve">، </w:t>
      </w:r>
      <w:r w:rsidR="0050265B" w:rsidRPr="00FD211F">
        <w:rPr>
          <w:sz w:val="36"/>
          <w:szCs w:val="36"/>
          <w:rtl/>
        </w:rPr>
        <w:t>ويعبر عنه بالوضع بالمعنى الاسم المصدري</w:t>
      </w:r>
      <w:r w:rsidR="00603323" w:rsidRPr="00FD211F">
        <w:rPr>
          <w:sz w:val="36"/>
          <w:szCs w:val="36"/>
          <w:rtl/>
        </w:rPr>
        <w:t xml:space="preserve">، </w:t>
      </w:r>
      <w:r w:rsidR="00DD1EAF" w:rsidRPr="00FD211F">
        <w:rPr>
          <w:sz w:val="36"/>
          <w:szCs w:val="36"/>
          <w:rtl/>
        </w:rPr>
        <w:t>وهو الذي اراده صاحب الكفاي</w:t>
      </w:r>
      <w:r w:rsidR="00EC7EDF" w:rsidRPr="00FD211F">
        <w:rPr>
          <w:sz w:val="36"/>
          <w:szCs w:val="36"/>
          <w:rtl/>
        </w:rPr>
        <w:t xml:space="preserve">ة </w:t>
      </w:r>
      <w:r w:rsidR="0062199B" w:rsidRPr="00FD211F">
        <w:rPr>
          <w:sz w:val="36"/>
          <w:szCs w:val="36"/>
          <w:rtl/>
        </w:rPr>
        <w:t>"قده"</w:t>
      </w:r>
      <w:r w:rsidR="00DD1EAF" w:rsidRPr="00FD211F">
        <w:rPr>
          <w:sz w:val="36"/>
          <w:szCs w:val="36"/>
          <w:rtl/>
        </w:rPr>
        <w:t xml:space="preserve"> في قوله "ان الوضع نحو اختصاص اللفظ بالمعنى ناش من تخصيصه به تار</w:t>
      </w:r>
      <w:r w:rsidR="00EC7EDF" w:rsidRPr="00FD211F">
        <w:rPr>
          <w:sz w:val="36"/>
          <w:szCs w:val="36"/>
          <w:rtl/>
        </w:rPr>
        <w:t xml:space="preserve">ة </w:t>
      </w:r>
      <w:r w:rsidR="00DD1EAF" w:rsidRPr="00FD211F">
        <w:rPr>
          <w:sz w:val="36"/>
          <w:szCs w:val="36"/>
          <w:rtl/>
        </w:rPr>
        <w:t>ومن كثر</w:t>
      </w:r>
      <w:r w:rsidR="00EC7EDF" w:rsidRPr="00FD211F">
        <w:rPr>
          <w:sz w:val="36"/>
          <w:szCs w:val="36"/>
          <w:rtl/>
        </w:rPr>
        <w:t xml:space="preserve">ة </w:t>
      </w:r>
      <w:r w:rsidR="00DD1EAF" w:rsidRPr="00FD211F">
        <w:rPr>
          <w:sz w:val="36"/>
          <w:szCs w:val="36"/>
          <w:rtl/>
        </w:rPr>
        <w:t>استعماله فيه أخرى"</w:t>
      </w:r>
      <w:r w:rsidR="00BC7090" w:rsidRPr="00FD211F">
        <w:rPr>
          <w:sz w:val="36"/>
          <w:szCs w:val="36"/>
          <w:rtl/>
        </w:rPr>
        <w:t xml:space="preserve"> </w:t>
      </w:r>
      <w:r w:rsidR="00DD1EAF" w:rsidRPr="00FD211F">
        <w:rPr>
          <w:sz w:val="36"/>
          <w:szCs w:val="36"/>
          <w:rtl/>
        </w:rPr>
        <w:t>فترى انه فسر الوضع باختصاص اللفظ بالمعنى</w:t>
      </w:r>
      <w:r w:rsidR="0050265B" w:rsidRPr="00FD211F">
        <w:rPr>
          <w:sz w:val="36"/>
          <w:szCs w:val="36"/>
          <w:rtl/>
        </w:rPr>
        <w:t xml:space="preserve"> النا</w:t>
      </w:r>
      <w:r w:rsidR="00251CB6" w:rsidRPr="00FD211F">
        <w:rPr>
          <w:sz w:val="36"/>
          <w:szCs w:val="36"/>
          <w:rtl/>
        </w:rPr>
        <w:t xml:space="preserve">شيء </w:t>
      </w:r>
      <w:r w:rsidR="0050265B" w:rsidRPr="00FD211F">
        <w:rPr>
          <w:sz w:val="36"/>
          <w:szCs w:val="36"/>
          <w:rtl/>
        </w:rPr>
        <w:t>من</w:t>
      </w:r>
      <w:r w:rsidR="00DD1EAF" w:rsidRPr="00FD211F">
        <w:rPr>
          <w:sz w:val="36"/>
          <w:szCs w:val="36"/>
          <w:rtl/>
        </w:rPr>
        <w:t xml:space="preserve"> تخصيصه به تار</w:t>
      </w:r>
      <w:r w:rsidR="00EC7EDF" w:rsidRPr="00FD211F">
        <w:rPr>
          <w:sz w:val="36"/>
          <w:szCs w:val="36"/>
          <w:rtl/>
        </w:rPr>
        <w:t xml:space="preserve">ة </w:t>
      </w:r>
      <w:r w:rsidR="00DD1EAF" w:rsidRPr="00FD211F">
        <w:rPr>
          <w:sz w:val="36"/>
          <w:szCs w:val="36"/>
          <w:rtl/>
        </w:rPr>
        <w:t>وكثر</w:t>
      </w:r>
      <w:r w:rsidR="00EC7EDF" w:rsidRPr="00FD211F">
        <w:rPr>
          <w:sz w:val="36"/>
          <w:szCs w:val="36"/>
          <w:rtl/>
        </w:rPr>
        <w:t xml:space="preserve">ة </w:t>
      </w:r>
      <w:r w:rsidR="00DD1EAF" w:rsidRPr="00FD211F">
        <w:rPr>
          <w:sz w:val="36"/>
          <w:szCs w:val="36"/>
          <w:rtl/>
        </w:rPr>
        <w:t>استعماله فيه أخرى</w:t>
      </w:r>
      <w:r w:rsidR="00603323" w:rsidRPr="00FD211F">
        <w:rPr>
          <w:sz w:val="36"/>
          <w:szCs w:val="36"/>
          <w:rtl/>
        </w:rPr>
        <w:t xml:space="preserve">، </w:t>
      </w:r>
      <w:r w:rsidR="00BC7090" w:rsidRPr="00FD211F">
        <w:rPr>
          <w:sz w:val="36"/>
          <w:szCs w:val="36"/>
          <w:rtl/>
        </w:rPr>
        <w:t>فان الوضع بالمعنى المصدري يساوق تخصيص اللفظ بالمعنى مع انه فسر الوضع بالاختصاص النا</w:t>
      </w:r>
      <w:r w:rsidR="00251CB6" w:rsidRPr="00FD211F">
        <w:rPr>
          <w:sz w:val="36"/>
          <w:szCs w:val="36"/>
          <w:rtl/>
        </w:rPr>
        <w:t xml:space="preserve">شيء </w:t>
      </w:r>
      <w:r w:rsidR="00BC7090" w:rsidRPr="00FD211F">
        <w:rPr>
          <w:sz w:val="36"/>
          <w:szCs w:val="36"/>
          <w:rtl/>
        </w:rPr>
        <w:t>منه</w:t>
      </w:r>
      <w:r w:rsidR="003C6584" w:rsidRPr="00FD211F">
        <w:rPr>
          <w:sz w:val="36"/>
          <w:szCs w:val="36"/>
          <w:rtl/>
        </w:rPr>
        <w:t>.</w:t>
      </w:r>
    </w:p>
    <w:p w14:paraId="40B9EFC0" w14:textId="77777777" w:rsidR="003C6584" w:rsidRPr="00FD211F" w:rsidRDefault="003C6584" w:rsidP="009C58C8">
      <w:pPr>
        <w:ind w:left="0" w:firstLine="227"/>
        <w:jc w:val="both"/>
        <w:rPr>
          <w:sz w:val="36"/>
          <w:szCs w:val="36"/>
          <w:rtl/>
        </w:rPr>
      </w:pPr>
      <w:r w:rsidRPr="00FD211F">
        <w:rPr>
          <w:sz w:val="36"/>
          <w:szCs w:val="36"/>
          <w:rtl/>
        </w:rPr>
        <w:t>وهذه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بين اللفظ والمعنى ان اريد بها الملازم</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كما قد يوحي اليه ما حكي عن السيد الصدر</w:t>
      </w:r>
      <w:r w:rsidR="00AB1B12" w:rsidRPr="00FD211F">
        <w:rPr>
          <w:sz w:val="36"/>
          <w:szCs w:val="36"/>
          <w:rtl/>
        </w:rPr>
        <w:t>"</w:t>
      </w:r>
      <w:r w:rsidRPr="00FD211F">
        <w:rPr>
          <w:sz w:val="36"/>
          <w:szCs w:val="36"/>
          <w:rtl/>
        </w:rPr>
        <w:t>قده</w:t>
      </w:r>
      <w:r w:rsidR="00AB1B12" w:rsidRPr="00FD211F">
        <w:rPr>
          <w:sz w:val="36"/>
          <w:szCs w:val="36"/>
          <w:rtl/>
        </w:rPr>
        <w:t>"</w:t>
      </w:r>
      <w:r w:rsidRPr="00FD211F">
        <w:rPr>
          <w:sz w:val="36"/>
          <w:szCs w:val="36"/>
          <w:rtl/>
        </w:rPr>
        <w:t xml:space="preserve"> من ان الاقتران الأكيد موقوف على العلم بالوضع غالبا</w:t>
      </w:r>
      <w:r w:rsidR="009C58C8" w:rsidRPr="00FD211F">
        <w:rPr>
          <w:rStyle w:val="a6"/>
          <w:sz w:val="36"/>
          <w:szCs w:val="36"/>
          <w:rtl/>
        </w:rPr>
        <w:t>(</w:t>
      </w:r>
      <w:r w:rsidR="009C58C8" w:rsidRPr="00FD211F">
        <w:rPr>
          <w:rStyle w:val="a6"/>
          <w:sz w:val="36"/>
          <w:szCs w:val="36"/>
          <w:rtl/>
        </w:rPr>
        <w:footnoteReference w:id="119"/>
      </w:r>
      <w:r w:rsidR="009C58C8" w:rsidRPr="00FD211F">
        <w:rPr>
          <w:rStyle w:val="a6"/>
          <w:sz w:val="36"/>
          <w:szCs w:val="36"/>
          <w:rtl/>
        </w:rPr>
        <w:t>)</w:t>
      </w:r>
      <w:r w:rsidR="00603323" w:rsidRPr="00FD211F">
        <w:rPr>
          <w:sz w:val="36"/>
          <w:szCs w:val="36"/>
          <w:rtl/>
        </w:rPr>
        <w:t xml:space="preserve">، </w:t>
      </w:r>
      <w:r w:rsidR="009C55C7" w:rsidRPr="00FD211F">
        <w:rPr>
          <w:sz w:val="36"/>
          <w:szCs w:val="36"/>
          <w:rtl/>
        </w:rPr>
        <w:t>ف</w:t>
      </w:r>
      <w:r w:rsidR="007C532E" w:rsidRPr="00FD211F">
        <w:rPr>
          <w:sz w:val="36"/>
          <w:szCs w:val="36"/>
          <w:rtl/>
        </w:rPr>
        <w:t xml:space="preserve">معناه </w:t>
      </w:r>
      <w:r w:rsidR="009C55C7" w:rsidRPr="00FD211F">
        <w:rPr>
          <w:sz w:val="36"/>
          <w:szCs w:val="36"/>
          <w:rtl/>
        </w:rPr>
        <w:t>كون العلق</w:t>
      </w:r>
      <w:r w:rsidR="00EC7EDF" w:rsidRPr="00FD211F">
        <w:rPr>
          <w:sz w:val="36"/>
          <w:szCs w:val="36"/>
          <w:rtl/>
        </w:rPr>
        <w:t xml:space="preserve">ة </w:t>
      </w:r>
      <w:r w:rsidR="009C55C7" w:rsidRPr="00FD211F">
        <w:rPr>
          <w:sz w:val="36"/>
          <w:szCs w:val="36"/>
          <w:rtl/>
        </w:rPr>
        <w:t>الوضعي</w:t>
      </w:r>
      <w:r w:rsidR="00EC7EDF" w:rsidRPr="00FD211F">
        <w:rPr>
          <w:sz w:val="36"/>
          <w:szCs w:val="36"/>
          <w:rtl/>
        </w:rPr>
        <w:t xml:space="preserve">ة </w:t>
      </w:r>
      <w:r w:rsidR="009C55C7" w:rsidRPr="00FD211F">
        <w:rPr>
          <w:sz w:val="36"/>
          <w:szCs w:val="36"/>
          <w:rtl/>
        </w:rPr>
        <w:t>حال</w:t>
      </w:r>
      <w:r w:rsidR="00EC7EDF" w:rsidRPr="00FD211F">
        <w:rPr>
          <w:sz w:val="36"/>
          <w:szCs w:val="36"/>
          <w:rtl/>
        </w:rPr>
        <w:t xml:space="preserve">ة </w:t>
      </w:r>
      <w:r w:rsidR="009C55C7" w:rsidRPr="00FD211F">
        <w:rPr>
          <w:sz w:val="36"/>
          <w:szCs w:val="36"/>
          <w:rtl/>
        </w:rPr>
        <w:t>تكويني</w:t>
      </w:r>
      <w:r w:rsidR="00EC7EDF" w:rsidRPr="00FD211F">
        <w:rPr>
          <w:sz w:val="36"/>
          <w:szCs w:val="36"/>
          <w:rtl/>
        </w:rPr>
        <w:t xml:space="preserve">ة </w:t>
      </w:r>
      <w:r w:rsidR="009C55C7" w:rsidRPr="00FD211F">
        <w:rPr>
          <w:sz w:val="36"/>
          <w:szCs w:val="36"/>
          <w:rtl/>
        </w:rPr>
        <w:t>نسبي</w:t>
      </w:r>
      <w:r w:rsidR="00EC7EDF" w:rsidRPr="00FD211F">
        <w:rPr>
          <w:sz w:val="36"/>
          <w:szCs w:val="36"/>
          <w:rtl/>
        </w:rPr>
        <w:t xml:space="preserve">ة </w:t>
      </w:r>
      <w:r w:rsidR="00817984" w:rsidRPr="00FD211F">
        <w:rPr>
          <w:sz w:val="36"/>
          <w:szCs w:val="36"/>
          <w:rtl/>
        </w:rPr>
        <w:t>وهذا</w:t>
      </w:r>
      <w:r w:rsidR="00F1143B" w:rsidRPr="00FD211F">
        <w:rPr>
          <w:sz w:val="36"/>
          <w:szCs w:val="36"/>
          <w:rtl/>
        </w:rPr>
        <w:t xml:space="preserve"> </w:t>
      </w:r>
      <w:r w:rsidR="00817984" w:rsidRPr="00FD211F">
        <w:rPr>
          <w:sz w:val="36"/>
          <w:szCs w:val="36"/>
          <w:rtl/>
        </w:rPr>
        <w:t>ما</w:t>
      </w:r>
      <w:r w:rsidR="00F1143B" w:rsidRPr="00FD211F">
        <w:rPr>
          <w:sz w:val="36"/>
          <w:szCs w:val="36"/>
          <w:rtl/>
        </w:rPr>
        <w:t xml:space="preserve"> </w:t>
      </w:r>
      <w:r w:rsidR="00817984" w:rsidRPr="00FD211F">
        <w:rPr>
          <w:sz w:val="36"/>
          <w:szCs w:val="36"/>
          <w:rtl/>
        </w:rPr>
        <w:t xml:space="preserve">صرح به نفسه على مانقل عنه في المباحث </w:t>
      </w:r>
      <w:r w:rsidR="00825346" w:rsidRPr="00FD211F">
        <w:rPr>
          <w:sz w:val="36"/>
          <w:szCs w:val="36"/>
          <w:rtl/>
        </w:rPr>
        <w:t>حيث ذكر</w:t>
      </w:r>
      <w:r w:rsidR="00F1143B" w:rsidRPr="00FD211F">
        <w:rPr>
          <w:sz w:val="36"/>
          <w:szCs w:val="36"/>
          <w:rtl/>
        </w:rPr>
        <w:t xml:space="preserve"> </w:t>
      </w:r>
      <w:r w:rsidR="00825346" w:rsidRPr="00FD211F">
        <w:rPr>
          <w:sz w:val="36"/>
          <w:szCs w:val="36"/>
          <w:rtl/>
        </w:rPr>
        <w:t>ان روح الوضع هو اقتران اللفظ بالمعنى في الذهن ففي حق الجاهل بالوضع</w:t>
      </w:r>
      <w:r w:rsidR="008D7B3D" w:rsidRPr="00FD211F">
        <w:rPr>
          <w:sz w:val="36"/>
          <w:szCs w:val="36"/>
          <w:rtl/>
        </w:rPr>
        <w:t xml:space="preserve"> لم‌</w:t>
      </w:r>
      <w:r w:rsidR="00825346" w:rsidRPr="00FD211F">
        <w:rPr>
          <w:sz w:val="36"/>
          <w:szCs w:val="36"/>
          <w:rtl/>
        </w:rPr>
        <w:t>يتم الوضع بعد لعدم تحقق الاقتران المخصوص بين اللفظ والمعنى في ذهنه</w:t>
      </w:r>
      <w:r w:rsidR="00603323" w:rsidRPr="00FD211F">
        <w:rPr>
          <w:sz w:val="36"/>
          <w:szCs w:val="36"/>
          <w:rtl/>
        </w:rPr>
        <w:t xml:space="preserve">، </w:t>
      </w:r>
      <w:r w:rsidR="00825346" w:rsidRPr="00FD211F">
        <w:rPr>
          <w:sz w:val="36"/>
          <w:szCs w:val="36"/>
          <w:rtl/>
        </w:rPr>
        <w:t>فالقرن الأكيد يتحقق غالبا بالعلم بانشاء اعتبار او تنزيل او قرن سابق في ذهن الآخرين وقد يتحقق من دون علم بالوضع كما اذا تم الاقتران في الذهن من دون اطلاع من اريد تعليمه على الوضع كالاطفال الذين تتم الدلال</w:t>
      </w:r>
      <w:r w:rsidR="00EC7EDF" w:rsidRPr="00FD211F">
        <w:rPr>
          <w:sz w:val="36"/>
          <w:szCs w:val="36"/>
          <w:rtl/>
        </w:rPr>
        <w:t xml:space="preserve">ة </w:t>
      </w:r>
      <w:r w:rsidR="00825346" w:rsidRPr="00FD211F">
        <w:rPr>
          <w:sz w:val="36"/>
          <w:szCs w:val="36"/>
          <w:rtl/>
        </w:rPr>
        <w:t>في اذهانهم مثل قرن كلم</w:t>
      </w:r>
      <w:r w:rsidR="00EC7EDF" w:rsidRPr="00FD211F">
        <w:rPr>
          <w:sz w:val="36"/>
          <w:szCs w:val="36"/>
          <w:rtl/>
        </w:rPr>
        <w:t xml:space="preserve">ة </w:t>
      </w:r>
      <w:r w:rsidR="00825346" w:rsidRPr="00FD211F">
        <w:rPr>
          <w:sz w:val="36"/>
          <w:szCs w:val="36"/>
          <w:rtl/>
        </w:rPr>
        <w:t>الحلبيب في ذهنهم بالحليب</w:t>
      </w:r>
      <w:r w:rsidR="009C58C8" w:rsidRPr="00FD211F">
        <w:rPr>
          <w:rStyle w:val="a6"/>
          <w:sz w:val="36"/>
          <w:szCs w:val="36"/>
          <w:rtl/>
        </w:rPr>
        <w:t>(</w:t>
      </w:r>
      <w:r w:rsidR="009C58C8" w:rsidRPr="00FD211F">
        <w:rPr>
          <w:rStyle w:val="a6"/>
          <w:sz w:val="36"/>
          <w:szCs w:val="36"/>
          <w:rtl/>
        </w:rPr>
        <w:footnoteReference w:id="120"/>
      </w:r>
      <w:r w:rsidR="009C58C8" w:rsidRPr="00FD211F">
        <w:rPr>
          <w:rStyle w:val="a6"/>
          <w:sz w:val="36"/>
          <w:szCs w:val="36"/>
          <w:rtl/>
        </w:rPr>
        <w:t>)</w:t>
      </w:r>
      <w:r w:rsidR="00603323" w:rsidRPr="00FD211F">
        <w:rPr>
          <w:sz w:val="36"/>
          <w:szCs w:val="36"/>
          <w:rtl/>
        </w:rPr>
        <w:t xml:space="preserve">، </w:t>
      </w:r>
      <w:r w:rsidR="003012EC" w:rsidRPr="00FD211F">
        <w:rPr>
          <w:sz w:val="36"/>
          <w:szCs w:val="36"/>
          <w:rtl/>
        </w:rPr>
        <w:t>ولكن ينافيه ماحكي</w:t>
      </w:r>
      <w:r w:rsidR="000420E9" w:rsidRPr="00FD211F">
        <w:rPr>
          <w:sz w:val="36"/>
          <w:szCs w:val="36"/>
          <w:rtl/>
        </w:rPr>
        <w:t xml:space="preserve"> </w:t>
      </w:r>
      <w:r w:rsidR="003012EC" w:rsidRPr="00FD211F">
        <w:rPr>
          <w:sz w:val="36"/>
          <w:szCs w:val="36"/>
          <w:rtl/>
        </w:rPr>
        <w:t>عنه في البحوث من</w:t>
      </w:r>
      <w:r w:rsidR="000420E9" w:rsidRPr="00FD211F">
        <w:rPr>
          <w:sz w:val="36"/>
          <w:szCs w:val="36"/>
          <w:rtl/>
        </w:rPr>
        <w:t xml:space="preserve"> ان الوضع عملي</w:t>
      </w:r>
      <w:r w:rsidR="00EC7EDF" w:rsidRPr="00FD211F">
        <w:rPr>
          <w:sz w:val="36"/>
          <w:szCs w:val="36"/>
          <w:rtl/>
        </w:rPr>
        <w:t xml:space="preserve">ة </w:t>
      </w:r>
      <w:r w:rsidR="000420E9" w:rsidRPr="00FD211F">
        <w:rPr>
          <w:sz w:val="36"/>
          <w:szCs w:val="36"/>
          <w:rtl/>
        </w:rPr>
        <w:t>قرن اكيد بين اللفظ والمعنى</w:t>
      </w:r>
      <w:r w:rsidR="00603323" w:rsidRPr="00FD211F">
        <w:rPr>
          <w:sz w:val="36"/>
          <w:szCs w:val="36"/>
          <w:rtl/>
        </w:rPr>
        <w:t xml:space="preserve">، </w:t>
      </w:r>
      <w:r w:rsidR="000420E9" w:rsidRPr="00FD211F">
        <w:rPr>
          <w:sz w:val="36"/>
          <w:szCs w:val="36"/>
          <w:rtl/>
        </w:rPr>
        <w:t>وتكون الملازم</w:t>
      </w:r>
      <w:r w:rsidR="00EC7EDF" w:rsidRPr="00FD211F">
        <w:rPr>
          <w:sz w:val="36"/>
          <w:szCs w:val="36"/>
          <w:rtl/>
        </w:rPr>
        <w:t xml:space="preserve">ة </w:t>
      </w:r>
      <w:r w:rsidR="000420E9" w:rsidRPr="00FD211F">
        <w:rPr>
          <w:sz w:val="36"/>
          <w:szCs w:val="36"/>
          <w:rtl/>
        </w:rPr>
        <w:t>بين تصور اللفظ وتصور المعنى في ذهن السامع فرع هذا القرن الأكيد</w:t>
      </w:r>
      <w:r w:rsidR="009C58C8" w:rsidRPr="00FD211F">
        <w:rPr>
          <w:rStyle w:val="a6"/>
          <w:sz w:val="36"/>
          <w:szCs w:val="36"/>
          <w:rtl/>
        </w:rPr>
        <w:t>(</w:t>
      </w:r>
      <w:r w:rsidR="009C58C8" w:rsidRPr="00FD211F">
        <w:rPr>
          <w:rStyle w:val="a6"/>
          <w:sz w:val="36"/>
          <w:szCs w:val="36"/>
          <w:rtl/>
        </w:rPr>
        <w:footnoteReference w:id="121"/>
      </w:r>
      <w:r w:rsidR="009C58C8" w:rsidRPr="00FD211F">
        <w:rPr>
          <w:rStyle w:val="a6"/>
          <w:sz w:val="36"/>
          <w:szCs w:val="36"/>
          <w:rtl/>
        </w:rPr>
        <w:t>)</w:t>
      </w:r>
      <w:r w:rsidR="000420E9" w:rsidRPr="00FD211F">
        <w:rPr>
          <w:sz w:val="36"/>
          <w:szCs w:val="36"/>
          <w:rtl/>
        </w:rPr>
        <w:t>.</w:t>
      </w:r>
    </w:p>
    <w:p w14:paraId="382F6F4B" w14:textId="77777777" w:rsidR="000C5BBA" w:rsidRPr="00FD211F" w:rsidRDefault="003012EC" w:rsidP="009C58C8">
      <w:pPr>
        <w:ind w:left="0" w:firstLine="227"/>
        <w:jc w:val="both"/>
        <w:rPr>
          <w:sz w:val="36"/>
          <w:szCs w:val="36"/>
          <w:rtl/>
        </w:rPr>
      </w:pPr>
      <w:r w:rsidRPr="00FD211F">
        <w:rPr>
          <w:sz w:val="36"/>
          <w:szCs w:val="36"/>
          <w:rtl/>
        </w:rPr>
        <w:t>فان ادعى كون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نسبي</w:t>
      </w:r>
      <w:r w:rsidR="00EC7EDF" w:rsidRPr="00FD211F">
        <w:rPr>
          <w:sz w:val="36"/>
          <w:szCs w:val="36"/>
          <w:rtl/>
        </w:rPr>
        <w:t xml:space="preserve">ة </w:t>
      </w:r>
      <w:r w:rsidRPr="00FD211F">
        <w:rPr>
          <w:sz w:val="36"/>
          <w:szCs w:val="36"/>
          <w:rtl/>
        </w:rPr>
        <w:t>كما</w:t>
      </w:r>
      <w:r w:rsidR="006912A9" w:rsidRPr="00FD211F">
        <w:rPr>
          <w:sz w:val="36"/>
          <w:szCs w:val="36"/>
          <w:rtl/>
        </w:rPr>
        <w:t xml:space="preserve"> </w:t>
      </w:r>
      <w:r w:rsidRPr="00FD211F">
        <w:rPr>
          <w:sz w:val="36"/>
          <w:szCs w:val="36"/>
          <w:rtl/>
        </w:rPr>
        <w:t>هو</w:t>
      </w:r>
      <w:r w:rsidR="006912A9" w:rsidRPr="00FD211F">
        <w:rPr>
          <w:sz w:val="36"/>
          <w:szCs w:val="36"/>
          <w:rtl/>
        </w:rPr>
        <w:t xml:space="preserve"> </w:t>
      </w:r>
      <w:r w:rsidRPr="00FD211F">
        <w:rPr>
          <w:sz w:val="36"/>
          <w:szCs w:val="36"/>
          <w:rtl/>
        </w:rPr>
        <w:t>المنسجم مع مبناه</w:t>
      </w:r>
      <w:r w:rsidR="00603323" w:rsidRPr="00FD211F">
        <w:rPr>
          <w:sz w:val="36"/>
          <w:szCs w:val="36"/>
          <w:rtl/>
        </w:rPr>
        <w:t xml:space="preserve">، </w:t>
      </w:r>
      <w:r w:rsidRPr="00FD211F">
        <w:rPr>
          <w:sz w:val="36"/>
          <w:szCs w:val="36"/>
          <w:rtl/>
        </w:rPr>
        <w:t>فيلاحظ عليه أن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ليست نسبي</w:t>
      </w:r>
      <w:r w:rsidR="00EC7EDF" w:rsidRPr="00FD211F">
        <w:rPr>
          <w:sz w:val="36"/>
          <w:szCs w:val="36"/>
          <w:rtl/>
        </w:rPr>
        <w:t xml:space="preserve">ة </w:t>
      </w:r>
      <w:r w:rsidRPr="00FD211F">
        <w:rPr>
          <w:sz w:val="36"/>
          <w:szCs w:val="36"/>
          <w:rtl/>
        </w:rPr>
        <w:t>بالنظر</w:t>
      </w:r>
      <w:r w:rsidR="00F1143B" w:rsidRPr="00FD211F">
        <w:rPr>
          <w:sz w:val="36"/>
          <w:szCs w:val="36"/>
          <w:rtl/>
        </w:rPr>
        <w:t xml:space="preserve"> </w:t>
      </w:r>
      <w:r w:rsidRPr="00FD211F">
        <w:rPr>
          <w:sz w:val="36"/>
          <w:szCs w:val="36"/>
          <w:rtl/>
        </w:rPr>
        <w:t xml:space="preserve">العرفي </w:t>
      </w:r>
      <w:r w:rsidR="00753DD9" w:rsidRPr="00FD211F">
        <w:rPr>
          <w:sz w:val="36"/>
          <w:szCs w:val="36"/>
          <w:rtl/>
        </w:rPr>
        <w:t>بحيث تختص بمن وجد</w:t>
      </w:r>
      <w:r w:rsidR="0062199B" w:rsidRPr="00FD211F">
        <w:rPr>
          <w:sz w:val="36"/>
          <w:szCs w:val="36"/>
          <w:rtl/>
        </w:rPr>
        <w:t xml:space="preserve"> </w:t>
      </w:r>
      <w:r w:rsidR="00753DD9" w:rsidRPr="00FD211F">
        <w:rPr>
          <w:sz w:val="36"/>
          <w:szCs w:val="36"/>
          <w:rtl/>
        </w:rPr>
        <w:t>في ذهنه القرن الاكيد</w:t>
      </w:r>
      <w:r w:rsidR="0062199B" w:rsidRPr="00FD211F">
        <w:rPr>
          <w:sz w:val="36"/>
          <w:szCs w:val="36"/>
          <w:rtl/>
        </w:rPr>
        <w:t>.</w:t>
      </w:r>
    </w:p>
    <w:p w14:paraId="0ECD6239" w14:textId="77777777" w:rsidR="009B7541" w:rsidRPr="00FD211F" w:rsidRDefault="00753DD9" w:rsidP="009C58C8">
      <w:pPr>
        <w:ind w:left="0" w:firstLine="227"/>
        <w:jc w:val="both"/>
        <w:rPr>
          <w:sz w:val="36"/>
          <w:szCs w:val="36"/>
          <w:rtl/>
        </w:rPr>
      </w:pPr>
      <w:r w:rsidRPr="00FD211F">
        <w:rPr>
          <w:sz w:val="36"/>
          <w:szCs w:val="36"/>
          <w:rtl/>
        </w:rPr>
        <w:t xml:space="preserve">وان ادعى </w:t>
      </w:r>
      <w:r w:rsidR="00825346" w:rsidRPr="00FD211F">
        <w:rPr>
          <w:sz w:val="36"/>
          <w:szCs w:val="36"/>
          <w:rtl/>
        </w:rPr>
        <w:t xml:space="preserve">ما في البحوث من </w:t>
      </w:r>
      <w:r w:rsidR="0062199B" w:rsidRPr="00FD211F">
        <w:rPr>
          <w:sz w:val="36"/>
          <w:szCs w:val="36"/>
          <w:rtl/>
        </w:rPr>
        <w:t xml:space="preserve">كون الوضع هو القرن الاكيد </w:t>
      </w:r>
      <w:r w:rsidR="00825346" w:rsidRPr="00FD211F">
        <w:rPr>
          <w:sz w:val="36"/>
          <w:szCs w:val="36"/>
          <w:rtl/>
        </w:rPr>
        <w:t>وتكون الملازم</w:t>
      </w:r>
      <w:r w:rsidR="00EC7EDF" w:rsidRPr="00FD211F">
        <w:rPr>
          <w:sz w:val="36"/>
          <w:szCs w:val="36"/>
          <w:rtl/>
        </w:rPr>
        <w:t xml:space="preserve">ة </w:t>
      </w:r>
      <w:r w:rsidR="00825346" w:rsidRPr="00FD211F">
        <w:rPr>
          <w:sz w:val="36"/>
          <w:szCs w:val="36"/>
          <w:rtl/>
        </w:rPr>
        <w:t>الذهني</w:t>
      </w:r>
      <w:r w:rsidR="00EC7EDF" w:rsidRPr="00FD211F">
        <w:rPr>
          <w:sz w:val="36"/>
          <w:szCs w:val="36"/>
          <w:rtl/>
        </w:rPr>
        <w:t xml:space="preserve">ة </w:t>
      </w:r>
      <w:r w:rsidR="00825346" w:rsidRPr="00FD211F">
        <w:rPr>
          <w:sz w:val="36"/>
          <w:szCs w:val="36"/>
          <w:rtl/>
        </w:rPr>
        <w:t>فرع القرن الاكيد</w:t>
      </w:r>
      <w:r w:rsidR="00603323" w:rsidRPr="00FD211F">
        <w:rPr>
          <w:sz w:val="36"/>
          <w:szCs w:val="36"/>
          <w:rtl/>
        </w:rPr>
        <w:t xml:space="preserve">، </w:t>
      </w:r>
      <w:r w:rsidRPr="00FD211F">
        <w:rPr>
          <w:sz w:val="36"/>
          <w:szCs w:val="36"/>
          <w:rtl/>
        </w:rPr>
        <w:t>ففيه</w:t>
      </w:r>
      <w:r w:rsidR="00B253CE" w:rsidRPr="00FD211F">
        <w:rPr>
          <w:sz w:val="36"/>
          <w:szCs w:val="36"/>
          <w:rtl/>
        </w:rPr>
        <w:t xml:space="preserve"> </w:t>
      </w:r>
      <w:r w:rsidR="000420E9" w:rsidRPr="00FD211F">
        <w:rPr>
          <w:sz w:val="36"/>
          <w:szCs w:val="36"/>
          <w:rtl/>
        </w:rPr>
        <w:t>انه</w:t>
      </w:r>
      <w:r w:rsidR="008D7B3D" w:rsidRPr="00FD211F">
        <w:rPr>
          <w:sz w:val="36"/>
          <w:szCs w:val="36"/>
          <w:rtl/>
        </w:rPr>
        <w:t xml:space="preserve"> لم‌</w:t>
      </w:r>
      <w:r w:rsidR="000420E9" w:rsidRPr="00FD211F">
        <w:rPr>
          <w:sz w:val="36"/>
          <w:szCs w:val="36"/>
          <w:rtl/>
        </w:rPr>
        <w:t xml:space="preserve">يحدث في عالم التكوين </w:t>
      </w:r>
      <w:r w:rsidR="008D7B3D" w:rsidRPr="00FD211F">
        <w:rPr>
          <w:sz w:val="36"/>
          <w:szCs w:val="36"/>
          <w:rtl/>
        </w:rPr>
        <w:t xml:space="preserve">شيء </w:t>
      </w:r>
      <w:r w:rsidR="000420E9" w:rsidRPr="00FD211F">
        <w:rPr>
          <w:sz w:val="36"/>
          <w:szCs w:val="36"/>
          <w:rtl/>
        </w:rPr>
        <w:t>عدا امرين الأول: إنشاء الواضع وجعله اللفظ لمعنى حيث قال مثلا سميت ولدي عليا والثاني: انه علم به المخاطب وحصل له ملازم</w:t>
      </w:r>
      <w:r w:rsidR="00EC7EDF" w:rsidRPr="00FD211F">
        <w:rPr>
          <w:sz w:val="36"/>
          <w:szCs w:val="36"/>
          <w:rtl/>
        </w:rPr>
        <w:t xml:space="preserve">ة </w:t>
      </w:r>
      <w:r w:rsidR="000420E9" w:rsidRPr="00FD211F">
        <w:rPr>
          <w:sz w:val="36"/>
          <w:szCs w:val="36"/>
          <w:rtl/>
        </w:rPr>
        <w:t>ذهني</w:t>
      </w:r>
      <w:r w:rsidR="00EC7EDF" w:rsidRPr="00FD211F">
        <w:rPr>
          <w:sz w:val="36"/>
          <w:szCs w:val="36"/>
          <w:rtl/>
        </w:rPr>
        <w:t xml:space="preserve">ة </w:t>
      </w:r>
      <w:r w:rsidR="000420E9" w:rsidRPr="00FD211F">
        <w:rPr>
          <w:sz w:val="36"/>
          <w:szCs w:val="36"/>
          <w:rtl/>
        </w:rPr>
        <w:t>بين اللفظ والمعنى</w:t>
      </w:r>
      <w:r w:rsidR="00603323" w:rsidRPr="00FD211F">
        <w:rPr>
          <w:sz w:val="36"/>
          <w:szCs w:val="36"/>
          <w:rtl/>
        </w:rPr>
        <w:t xml:space="preserve">، </w:t>
      </w:r>
      <w:r w:rsidR="000420E9" w:rsidRPr="00FD211F">
        <w:rPr>
          <w:sz w:val="36"/>
          <w:szCs w:val="36"/>
          <w:rtl/>
        </w:rPr>
        <w:t>والمفروض انه لايرى أي</w:t>
      </w:r>
      <w:r w:rsidR="00F508AF" w:rsidRPr="00FD211F">
        <w:rPr>
          <w:sz w:val="36"/>
          <w:szCs w:val="36"/>
          <w:rtl/>
        </w:rPr>
        <w:t>ّا</w:t>
      </w:r>
      <w:r w:rsidR="000420E9" w:rsidRPr="00FD211F">
        <w:rPr>
          <w:sz w:val="36"/>
          <w:szCs w:val="36"/>
          <w:rtl/>
        </w:rPr>
        <w:t xml:space="preserve"> منهما وضعا</w:t>
      </w:r>
      <w:r w:rsidR="00603323" w:rsidRPr="00FD211F">
        <w:rPr>
          <w:sz w:val="36"/>
          <w:szCs w:val="36"/>
          <w:rtl/>
        </w:rPr>
        <w:t xml:space="preserve">، </w:t>
      </w:r>
      <w:r w:rsidR="000420E9" w:rsidRPr="00FD211F">
        <w:rPr>
          <w:sz w:val="36"/>
          <w:szCs w:val="36"/>
          <w:rtl/>
        </w:rPr>
        <w:t>حيث ذكر ان انشاء الواضع عملي</w:t>
      </w:r>
      <w:r w:rsidR="00EC7EDF" w:rsidRPr="00FD211F">
        <w:rPr>
          <w:sz w:val="36"/>
          <w:szCs w:val="36"/>
          <w:rtl/>
        </w:rPr>
        <w:t xml:space="preserve">ة </w:t>
      </w:r>
      <w:r w:rsidR="000420E9" w:rsidRPr="00FD211F">
        <w:rPr>
          <w:sz w:val="36"/>
          <w:szCs w:val="36"/>
          <w:rtl/>
        </w:rPr>
        <w:t>تكويني</w:t>
      </w:r>
      <w:r w:rsidR="00EC7EDF" w:rsidRPr="00FD211F">
        <w:rPr>
          <w:sz w:val="36"/>
          <w:szCs w:val="36"/>
          <w:rtl/>
        </w:rPr>
        <w:t xml:space="preserve">ة </w:t>
      </w:r>
      <w:r w:rsidR="000420E9" w:rsidRPr="00FD211F">
        <w:rPr>
          <w:sz w:val="36"/>
          <w:szCs w:val="36"/>
          <w:rtl/>
        </w:rPr>
        <w:t>لتحقيق القرن الأكيد بين اللفظ والمعنى</w:t>
      </w:r>
      <w:r w:rsidR="00603323" w:rsidRPr="00FD211F">
        <w:rPr>
          <w:sz w:val="36"/>
          <w:szCs w:val="36"/>
          <w:rtl/>
        </w:rPr>
        <w:t xml:space="preserve">، </w:t>
      </w:r>
      <w:r w:rsidR="000420E9" w:rsidRPr="00FD211F">
        <w:rPr>
          <w:sz w:val="36"/>
          <w:szCs w:val="36"/>
          <w:rtl/>
        </w:rPr>
        <w:t>فلايكون بنفسه هو القرن الأكيد</w:t>
      </w:r>
      <w:r w:rsidR="00603323" w:rsidRPr="00FD211F">
        <w:rPr>
          <w:sz w:val="36"/>
          <w:szCs w:val="36"/>
          <w:rtl/>
        </w:rPr>
        <w:t xml:space="preserve">، </w:t>
      </w:r>
      <w:r w:rsidR="000420E9" w:rsidRPr="00FD211F">
        <w:rPr>
          <w:sz w:val="36"/>
          <w:szCs w:val="36"/>
          <w:rtl/>
        </w:rPr>
        <w:t>كما ذكر ان الملازم</w:t>
      </w:r>
      <w:r w:rsidR="00EC7EDF" w:rsidRPr="00FD211F">
        <w:rPr>
          <w:sz w:val="36"/>
          <w:szCs w:val="36"/>
          <w:rtl/>
        </w:rPr>
        <w:t xml:space="preserve">ة </w:t>
      </w:r>
      <w:r w:rsidR="00F508AF" w:rsidRPr="00FD211F">
        <w:rPr>
          <w:sz w:val="36"/>
          <w:szCs w:val="36"/>
          <w:rtl/>
        </w:rPr>
        <w:t>الذهني</w:t>
      </w:r>
      <w:r w:rsidR="00EC7EDF" w:rsidRPr="00FD211F">
        <w:rPr>
          <w:sz w:val="36"/>
          <w:szCs w:val="36"/>
          <w:rtl/>
        </w:rPr>
        <w:t xml:space="preserve">ة </w:t>
      </w:r>
      <w:r w:rsidR="00F508AF" w:rsidRPr="00FD211F">
        <w:rPr>
          <w:sz w:val="36"/>
          <w:szCs w:val="36"/>
          <w:rtl/>
        </w:rPr>
        <w:t>تكون</w:t>
      </w:r>
      <w:r w:rsidR="000420E9" w:rsidRPr="00FD211F">
        <w:rPr>
          <w:sz w:val="36"/>
          <w:szCs w:val="36"/>
          <w:rtl/>
        </w:rPr>
        <w:t xml:space="preserve"> من آثار القرن الأكيد</w:t>
      </w:r>
      <w:r w:rsidR="00603323" w:rsidRPr="00FD211F">
        <w:rPr>
          <w:sz w:val="36"/>
          <w:szCs w:val="36"/>
          <w:rtl/>
        </w:rPr>
        <w:t xml:space="preserve">، </w:t>
      </w:r>
      <w:r w:rsidR="000420E9" w:rsidRPr="00FD211F">
        <w:rPr>
          <w:sz w:val="36"/>
          <w:szCs w:val="36"/>
          <w:rtl/>
        </w:rPr>
        <w:t>وحينئذ فيسأل اين</w:t>
      </w:r>
      <w:r w:rsidR="00F508AF" w:rsidRPr="00FD211F">
        <w:rPr>
          <w:sz w:val="36"/>
          <w:szCs w:val="36"/>
          <w:rtl/>
        </w:rPr>
        <w:t xml:space="preserve"> هذا الواقع</w:t>
      </w:r>
      <w:r w:rsidR="000420E9" w:rsidRPr="00FD211F">
        <w:rPr>
          <w:sz w:val="36"/>
          <w:szCs w:val="36"/>
          <w:rtl/>
        </w:rPr>
        <w:t xml:space="preserve"> التكويني الذي</w:t>
      </w:r>
      <w:r w:rsidR="00F508AF" w:rsidRPr="00FD211F">
        <w:rPr>
          <w:sz w:val="36"/>
          <w:szCs w:val="36"/>
          <w:rtl/>
        </w:rPr>
        <w:t xml:space="preserve"> يعبر عنه ب</w:t>
      </w:r>
      <w:r w:rsidR="000420E9" w:rsidRPr="00FD211F">
        <w:rPr>
          <w:sz w:val="36"/>
          <w:szCs w:val="36"/>
          <w:rtl/>
        </w:rPr>
        <w:t>القرن الأكيد وراء هذين الأمرين</w:t>
      </w:r>
      <w:r w:rsidR="009B7541" w:rsidRPr="00FD211F">
        <w:rPr>
          <w:sz w:val="36"/>
          <w:szCs w:val="36"/>
          <w:rtl/>
        </w:rPr>
        <w:t>.</w:t>
      </w:r>
    </w:p>
    <w:p w14:paraId="783DCD3D" w14:textId="77777777" w:rsidR="00825346" w:rsidRPr="00FD211F" w:rsidRDefault="006445C9" w:rsidP="009C58C8">
      <w:pPr>
        <w:ind w:left="0" w:firstLine="227"/>
        <w:jc w:val="both"/>
        <w:rPr>
          <w:sz w:val="36"/>
          <w:szCs w:val="36"/>
          <w:rtl/>
        </w:rPr>
      </w:pPr>
      <w:r w:rsidRPr="00FD211F">
        <w:rPr>
          <w:sz w:val="36"/>
          <w:szCs w:val="36"/>
          <w:rtl/>
        </w:rPr>
        <w:t>فالظاهر ان يقال ان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حال</w:t>
      </w:r>
      <w:r w:rsidR="00EC7EDF" w:rsidRPr="00FD211F">
        <w:rPr>
          <w:sz w:val="36"/>
          <w:szCs w:val="36"/>
          <w:rtl/>
        </w:rPr>
        <w:t xml:space="preserve">ة </w:t>
      </w:r>
      <w:r w:rsidRPr="00FD211F">
        <w:rPr>
          <w:sz w:val="36"/>
          <w:szCs w:val="36"/>
          <w:rtl/>
        </w:rPr>
        <w:t>منتزع</w:t>
      </w:r>
      <w:r w:rsidR="00EC7EDF" w:rsidRPr="00FD211F">
        <w:rPr>
          <w:sz w:val="36"/>
          <w:szCs w:val="36"/>
          <w:rtl/>
        </w:rPr>
        <w:t xml:space="preserve">ة </w:t>
      </w:r>
      <w:r w:rsidRPr="00FD211F">
        <w:rPr>
          <w:sz w:val="36"/>
          <w:szCs w:val="36"/>
          <w:rtl/>
        </w:rPr>
        <w:t>من مرتب</w:t>
      </w:r>
      <w:r w:rsidR="00EC7EDF" w:rsidRPr="00FD211F">
        <w:rPr>
          <w:sz w:val="36"/>
          <w:szCs w:val="36"/>
          <w:rtl/>
        </w:rPr>
        <w:t xml:space="preserve">ة </w:t>
      </w:r>
      <w:r w:rsidRPr="00FD211F">
        <w:rPr>
          <w:sz w:val="36"/>
          <w:szCs w:val="36"/>
          <w:rtl/>
        </w:rPr>
        <w:t>من القرن الأكيد والملازم</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 xml:space="preserve">بين </w:t>
      </w:r>
      <w:r w:rsidR="00825346" w:rsidRPr="00FD211F">
        <w:rPr>
          <w:sz w:val="36"/>
          <w:szCs w:val="36"/>
          <w:rtl/>
        </w:rPr>
        <w:t>ال</w:t>
      </w:r>
      <w:r w:rsidRPr="00FD211F">
        <w:rPr>
          <w:sz w:val="36"/>
          <w:szCs w:val="36"/>
          <w:rtl/>
        </w:rPr>
        <w:t>لفظ و</w:t>
      </w:r>
      <w:r w:rsidR="00825346" w:rsidRPr="00FD211F">
        <w:rPr>
          <w:sz w:val="36"/>
          <w:szCs w:val="36"/>
          <w:rtl/>
        </w:rPr>
        <w:t>ال</w:t>
      </w:r>
      <w:r w:rsidRPr="00FD211F">
        <w:rPr>
          <w:sz w:val="36"/>
          <w:szCs w:val="36"/>
          <w:rtl/>
        </w:rPr>
        <w:t>معنى لدى اهل لغ</w:t>
      </w:r>
      <w:r w:rsidR="00EC7EDF" w:rsidRPr="00FD211F">
        <w:rPr>
          <w:sz w:val="36"/>
          <w:szCs w:val="36"/>
          <w:rtl/>
        </w:rPr>
        <w:t xml:space="preserve">ة </w:t>
      </w:r>
      <w:r w:rsidRPr="00FD211F">
        <w:rPr>
          <w:sz w:val="36"/>
          <w:szCs w:val="36"/>
          <w:rtl/>
        </w:rPr>
        <w:t>ولو</w:t>
      </w:r>
      <w:r w:rsidR="00825346" w:rsidRPr="00FD211F">
        <w:rPr>
          <w:sz w:val="36"/>
          <w:szCs w:val="36"/>
          <w:rtl/>
        </w:rPr>
        <w:t xml:space="preserve"> في الجمل</w:t>
      </w:r>
      <w:r w:rsidR="00EC7EDF" w:rsidRPr="00FD211F">
        <w:rPr>
          <w:sz w:val="36"/>
          <w:szCs w:val="36"/>
          <w:rtl/>
        </w:rPr>
        <w:t>ة</w:t>
      </w:r>
      <w:r w:rsidR="00A61BAE" w:rsidRPr="00FD211F">
        <w:rPr>
          <w:sz w:val="36"/>
          <w:szCs w:val="36"/>
          <w:rtl/>
        </w:rPr>
        <w:t>.</w:t>
      </w:r>
    </w:p>
    <w:p w14:paraId="75F7A7A0" w14:textId="77777777" w:rsidR="006445C9" w:rsidRPr="00FD211F" w:rsidRDefault="00825346" w:rsidP="009C58C8">
      <w:pPr>
        <w:ind w:left="0" w:firstLine="227"/>
        <w:jc w:val="both"/>
        <w:rPr>
          <w:sz w:val="36"/>
          <w:szCs w:val="36"/>
          <w:rtl/>
        </w:rPr>
      </w:pPr>
      <w:r w:rsidRPr="00FD211F">
        <w:rPr>
          <w:sz w:val="36"/>
          <w:szCs w:val="36"/>
          <w:rtl/>
        </w:rPr>
        <w:t>او</w:t>
      </w:r>
      <w:r w:rsidR="006445C9" w:rsidRPr="00FD211F">
        <w:rPr>
          <w:sz w:val="36"/>
          <w:szCs w:val="36"/>
          <w:rtl/>
        </w:rPr>
        <w:t>يقال بان العلق</w:t>
      </w:r>
      <w:r w:rsidR="00EC7EDF" w:rsidRPr="00FD211F">
        <w:rPr>
          <w:sz w:val="36"/>
          <w:szCs w:val="36"/>
          <w:rtl/>
        </w:rPr>
        <w:t xml:space="preserve">ة </w:t>
      </w:r>
      <w:r w:rsidR="006445C9" w:rsidRPr="00FD211F">
        <w:rPr>
          <w:sz w:val="36"/>
          <w:szCs w:val="36"/>
          <w:rtl/>
        </w:rPr>
        <w:t>الوضعي</w:t>
      </w:r>
      <w:r w:rsidR="00EC7EDF" w:rsidRPr="00FD211F">
        <w:rPr>
          <w:sz w:val="36"/>
          <w:szCs w:val="36"/>
          <w:rtl/>
        </w:rPr>
        <w:t xml:space="preserve">ة </w:t>
      </w:r>
      <w:r w:rsidR="006445C9" w:rsidRPr="00FD211F">
        <w:rPr>
          <w:sz w:val="36"/>
          <w:szCs w:val="36"/>
          <w:rtl/>
        </w:rPr>
        <w:t>حال</w:t>
      </w:r>
      <w:r w:rsidR="00EC7EDF" w:rsidRPr="00FD211F">
        <w:rPr>
          <w:sz w:val="36"/>
          <w:szCs w:val="36"/>
          <w:rtl/>
        </w:rPr>
        <w:t xml:space="preserve">ة </w:t>
      </w:r>
      <w:r w:rsidR="006445C9" w:rsidRPr="00FD211F">
        <w:rPr>
          <w:sz w:val="36"/>
          <w:szCs w:val="36"/>
          <w:rtl/>
        </w:rPr>
        <w:t>ارتباط عرفي بين اللفظ والمعنى</w:t>
      </w:r>
      <w:r w:rsidR="00603323" w:rsidRPr="00FD211F">
        <w:rPr>
          <w:sz w:val="36"/>
          <w:szCs w:val="36"/>
          <w:rtl/>
        </w:rPr>
        <w:t xml:space="preserve">، </w:t>
      </w:r>
      <w:r w:rsidR="006445C9" w:rsidRPr="00FD211F">
        <w:rPr>
          <w:sz w:val="36"/>
          <w:szCs w:val="36"/>
          <w:rtl/>
        </w:rPr>
        <w:t>وهذه الحال</w:t>
      </w:r>
      <w:r w:rsidR="00EC7EDF" w:rsidRPr="00FD211F">
        <w:rPr>
          <w:sz w:val="36"/>
          <w:szCs w:val="36"/>
          <w:rtl/>
        </w:rPr>
        <w:t xml:space="preserve">ة </w:t>
      </w:r>
      <w:r w:rsidR="006445C9" w:rsidRPr="00FD211F">
        <w:rPr>
          <w:sz w:val="36"/>
          <w:szCs w:val="36"/>
          <w:rtl/>
        </w:rPr>
        <w:t>العرفي</w:t>
      </w:r>
      <w:r w:rsidR="00EC7EDF" w:rsidRPr="00FD211F">
        <w:rPr>
          <w:sz w:val="36"/>
          <w:szCs w:val="36"/>
          <w:rtl/>
        </w:rPr>
        <w:t xml:space="preserve">ة </w:t>
      </w:r>
      <w:r w:rsidR="006445C9" w:rsidRPr="00FD211F">
        <w:rPr>
          <w:sz w:val="36"/>
          <w:szCs w:val="36"/>
          <w:rtl/>
        </w:rPr>
        <w:t>قد تنشأ من وضع واضع مقبول لدى العرف او من مرتب</w:t>
      </w:r>
      <w:r w:rsidR="00EC7EDF" w:rsidRPr="00FD211F">
        <w:rPr>
          <w:sz w:val="36"/>
          <w:szCs w:val="36"/>
          <w:rtl/>
        </w:rPr>
        <w:t xml:space="preserve">ة </w:t>
      </w:r>
      <w:r w:rsidR="006445C9" w:rsidRPr="00FD211F">
        <w:rPr>
          <w:sz w:val="36"/>
          <w:szCs w:val="36"/>
          <w:rtl/>
        </w:rPr>
        <w:t>من كثر</w:t>
      </w:r>
      <w:r w:rsidR="00EC7EDF" w:rsidRPr="00FD211F">
        <w:rPr>
          <w:sz w:val="36"/>
          <w:szCs w:val="36"/>
          <w:rtl/>
        </w:rPr>
        <w:t xml:space="preserve">ة </w:t>
      </w:r>
      <w:r w:rsidR="006445C9" w:rsidRPr="00FD211F">
        <w:rPr>
          <w:sz w:val="36"/>
          <w:szCs w:val="36"/>
          <w:rtl/>
        </w:rPr>
        <w:t>الاستعمال.</w:t>
      </w:r>
    </w:p>
    <w:p w14:paraId="38E698BD" w14:textId="77777777" w:rsidR="00535508" w:rsidRPr="00FD211F" w:rsidRDefault="00825346" w:rsidP="009C58C8">
      <w:pPr>
        <w:pStyle w:val="3"/>
        <w:ind w:firstLine="227"/>
        <w:jc w:val="both"/>
        <w:rPr>
          <w:rtl/>
        </w:rPr>
      </w:pPr>
      <w:bookmarkStart w:id="119" w:name="_Toc151944594"/>
      <w:bookmarkStart w:id="120" w:name="_Toc154131721"/>
      <w:bookmarkStart w:id="121" w:name="_Toc156401509"/>
      <w:bookmarkStart w:id="122" w:name="_Toc192092855"/>
      <w:bookmarkStart w:id="123" w:name="_Toc223890328"/>
      <w:r w:rsidRPr="00FD211F">
        <w:rPr>
          <w:rtl/>
        </w:rPr>
        <w:t>ال</w:t>
      </w:r>
      <w:r w:rsidR="00535508" w:rsidRPr="00FD211F">
        <w:rPr>
          <w:rtl/>
        </w:rPr>
        <w:t xml:space="preserve">مسلك </w:t>
      </w:r>
      <w:r w:rsidRPr="00FD211F">
        <w:rPr>
          <w:rtl/>
        </w:rPr>
        <w:t>الرابع</w:t>
      </w:r>
      <w:r w:rsidR="00EC7EDF" w:rsidRPr="00FD211F">
        <w:rPr>
          <w:rtl/>
        </w:rPr>
        <w:t>:</w:t>
      </w:r>
      <w:r w:rsidRPr="00FD211F">
        <w:rPr>
          <w:rtl/>
        </w:rPr>
        <w:t xml:space="preserve">مسلك </w:t>
      </w:r>
      <w:r w:rsidR="00535508" w:rsidRPr="00FD211F">
        <w:rPr>
          <w:rtl/>
        </w:rPr>
        <w:t>الهوهوي</w:t>
      </w:r>
      <w:r w:rsidR="00EC7EDF" w:rsidRPr="00FD211F">
        <w:rPr>
          <w:rtl/>
        </w:rPr>
        <w:t>ة</w:t>
      </w:r>
      <w:bookmarkEnd w:id="123"/>
      <w:r w:rsidR="00EC7EDF" w:rsidRPr="00FD211F">
        <w:rPr>
          <w:rtl/>
        </w:rPr>
        <w:t xml:space="preserve"> </w:t>
      </w:r>
      <w:bookmarkEnd w:id="119"/>
      <w:bookmarkEnd w:id="120"/>
      <w:bookmarkEnd w:id="121"/>
      <w:bookmarkEnd w:id="122"/>
    </w:p>
    <w:p w14:paraId="017E6EFE" w14:textId="77777777" w:rsidR="009B7541" w:rsidRPr="00FD211F" w:rsidRDefault="00535508" w:rsidP="009C58C8">
      <w:pPr>
        <w:ind w:left="0" w:firstLine="227"/>
        <w:jc w:val="both"/>
        <w:rPr>
          <w:sz w:val="36"/>
          <w:szCs w:val="36"/>
          <w:rtl/>
        </w:rPr>
      </w:pPr>
      <w:r w:rsidRPr="00FD211F">
        <w:rPr>
          <w:b/>
          <w:bCs/>
          <w:sz w:val="36"/>
          <w:szCs w:val="36"/>
          <w:rtl/>
        </w:rPr>
        <w:t>المسلك الرابع</w:t>
      </w:r>
      <w:r w:rsidRPr="00FD211F">
        <w:rPr>
          <w:sz w:val="36"/>
          <w:szCs w:val="36"/>
          <w:rtl/>
        </w:rPr>
        <w:t xml:space="preserve"> في حقيق</w:t>
      </w:r>
      <w:r w:rsidR="00EC7EDF" w:rsidRPr="00FD211F">
        <w:rPr>
          <w:sz w:val="36"/>
          <w:szCs w:val="36"/>
          <w:rtl/>
        </w:rPr>
        <w:t xml:space="preserve">ة </w:t>
      </w:r>
      <w:r w:rsidRPr="00FD211F">
        <w:rPr>
          <w:sz w:val="36"/>
          <w:szCs w:val="36"/>
          <w:rtl/>
        </w:rPr>
        <w:t>الوضع</w:t>
      </w:r>
      <w:r w:rsidR="00AE0393" w:rsidRPr="00FD211F">
        <w:rPr>
          <w:sz w:val="36"/>
          <w:szCs w:val="36"/>
          <w:rtl/>
        </w:rPr>
        <w:t xml:space="preserve"> ما حكي عن</w:t>
      </w:r>
      <w:r w:rsidRPr="00FD211F">
        <w:rPr>
          <w:sz w:val="36"/>
          <w:szCs w:val="36"/>
          <w:rtl/>
        </w:rPr>
        <w:t xml:space="preserve"> </w:t>
      </w:r>
      <w:r w:rsidR="009B7541" w:rsidRPr="00FD211F">
        <w:rPr>
          <w:sz w:val="36"/>
          <w:szCs w:val="36"/>
          <w:rtl/>
        </w:rPr>
        <w:t>بعض الساد</w:t>
      </w:r>
      <w:r w:rsidR="00EC7EDF" w:rsidRPr="00FD211F">
        <w:rPr>
          <w:sz w:val="36"/>
          <w:szCs w:val="36"/>
          <w:rtl/>
        </w:rPr>
        <w:t xml:space="preserve">ة </w:t>
      </w:r>
      <w:r w:rsidR="009B7541" w:rsidRPr="00FD211F">
        <w:rPr>
          <w:sz w:val="36"/>
          <w:szCs w:val="36"/>
          <w:rtl/>
        </w:rPr>
        <w:t xml:space="preserve">الأعلام </w:t>
      </w:r>
      <w:r w:rsidR="006912A9" w:rsidRPr="00FD211F">
        <w:rPr>
          <w:sz w:val="36"/>
          <w:szCs w:val="36"/>
          <w:rtl/>
        </w:rPr>
        <w:t>"</w:t>
      </w:r>
      <w:r w:rsidR="007A4A0D" w:rsidRPr="00FD211F">
        <w:rPr>
          <w:sz w:val="36"/>
          <w:szCs w:val="36"/>
          <w:rtl/>
        </w:rPr>
        <w:t>دام‌ظله</w:t>
      </w:r>
      <w:r w:rsidR="006912A9" w:rsidRPr="00FD211F">
        <w:rPr>
          <w:sz w:val="36"/>
          <w:szCs w:val="36"/>
          <w:rtl/>
        </w:rPr>
        <w:t>"</w:t>
      </w:r>
      <w:r w:rsidR="00B253CE" w:rsidRPr="00FD211F">
        <w:rPr>
          <w:sz w:val="36"/>
          <w:szCs w:val="36"/>
          <w:rtl/>
        </w:rPr>
        <w:t xml:space="preserve"> </w:t>
      </w:r>
      <w:r w:rsidRPr="00FD211F">
        <w:rPr>
          <w:sz w:val="36"/>
          <w:szCs w:val="36"/>
          <w:rtl/>
        </w:rPr>
        <w:t>من</w:t>
      </w:r>
      <w:r w:rsidR="009B7541" w:rsidRPr="00FD211F">
        <w:rPr>
          <w:sz w:val="36"/>
          <w:szCs w:val="36"/>
          <w:rtl/>
        </w:rPr>
        <w:t xml:space="preserve"> ان العلق</w:t>
      </w:r>
      <w:r w:rsidR="00EC7EDF" w:rsidRPr="00FD211F">
        <w:rPr>
          <w:sz w:val="36"/>
          <w:szCs w:val="36"/>
          <w:rtl/>
        </w:rPr>
        <w:t xml:space="preserve">ة </w:t>
      </w:r>
      <w:r w:rsidR="009B7541" w:rsidRPr="00FD211F">
        <w:rPr>
          <w:sz w:val="36"/>
          <w:szCs w:val="36"/>
          <w:rtl/>
        </w:rPr>
        <w:t>الوضعي</w:t>
      </w:r>
      <w:r w:rsidR="00EC7EDF" w:rsidRPr="00FD211F">
        <w:rPr>
          <w:sz w:val="36"/>
          <w:szCs w:val="36"/>
          <w:rtl/>
        </w:rPr>
        <w:t xml:space="preserve">ة </w:t>
      </w:r>
      <w:r w:rsidR="009B7541" w:rsidRPr="00FD211F">
        <w:rPr>
          <w:sz w:val="36"/>
          <w:szCs w:val="36"/>
          <w:rtl/>
        </w:rPr>
        <w:t xml:space="preserve">هي </w:t>
      </w:r>
      <w:r w:rsidR="00AE0393" w:rsidRPr="00FD211F">
        <w:rPr>
          <w:sz w:val="36"/>
          <w:szCs w:val="36"/>
          <w:rtl/>
        </w:rPr>
        <w:t>ال</w:t>
      </w:r>
      <w:r w:rsidR="009B7541" w:rsidRPr="00FD211F">
        <w:rPr>
          <w:sz w:val="36"/>
          <w:szCs w:val="36"/>
          <w:rtl/>
        </w:rPr>
        <w:t>هوهوي</w:t>
      </w:r>
      <w:r w:rsidR="00EC7EDF" w:rsidRPr="00FD211F">
        <w:rPr>
          <w:sz w:val="36"/>
          <w:szCs w:val="36"/>
          <w:rtl/>
        </w:rPr>
        <w:t xml:space="preserve">ة </w:t>
      </w:r>
      <w:r w:rsidR="00AE0393" w:rsidRPr="00FD211F">
        <w:rPr>
          <w:sz w:val="36"/>
          <w:szCs w:val="36"/>
          <w:rtl/>
        </w:rPr>
        <w:t xml:space="preserve">بين </w:t>
      </w:r>
      <w:r w:rsidR="009B7541" w:rsidRPr="00FD211F">
        <w:rPr>
          <w:sz w:val="36"/>
          <w:szCs w:val="36"/>
          <w:rtl/>
        </w:rPr>
        <w:t>اللفظ والمعنى.</w:t>
      </w:r>
    </w:p>
    <w:p w14:paraId="6A74C210" w14:textId="77777777" w:rsidR="009B7541" w:rsidRPr="00FD211F" w:rsidRDefault="009B7541" w:rsidP="009C58C8">
      <w:pPr>
        <w:ind w:left="0" w:firstLine="227"/>
        <w:jc w:val="both"/>
        <w:rPr>
          <w:sz w:val="36"/>
          <w:szCs w:val="36"/>
          <w:rtl/>
        </w:rPr>
      </w:pPr>
      <w:r w:rsidRPr="00FD211F">
        <w:rPr>
          <w:sz w:val="36"/>
          <w:szCs w:val="36"/>
          <w:rtl/>
        </w:rPr>
        <w:t>توضيح ذلك: انه يمضي على الوضع اربع</w:t>
      </w:r>
      <w:r w:rsidR="00EC7EDF" w:rsidRPr="00FD211F">
        <w:rPr>
          <w:sz w:val="36"/>
          <w:szCs w:val="36"/>
          <w:rtl/>
        </w:rPr>
        <w:t xml:space="preserve">ة </w:t>
      </w:r>
      <w:r w:rsidRPr="00FD211F">
        <w:rPr>
          <w:sz w:val="36"/>
          <w:szCs w:val="36"/>
          <w:rtl/>
        </w:rPr>
        <w:t>مراحل:</w:t>
      </w:r>
    </w:p>
    <w:p w14:paraId="1C45DE12" w14:textId="77777777" w:rsidR="009B7541" w:rsidRPr="00FD211F" w:rsidRDefault="00825346" w:rsidP="009C58C8">
      <w:pPr>
        <w:ind w:left="0" w:firstLine="227"/>
        <w:jc w:val="both"/>
        <w:rPr>
          <w:sz w:val="36"/>
          <w:szCs w:val="36"/>
          <w:rtl/>
        </w:rPr>
      </w:pPr>
      <w:r w:rsidRPr="00FD211F">
        <w:rPr>
          <w:b/>
          <w:bCs/>
          <w:sz w:val="36"/>
          <w:szCs w:val="36"/>
          <w:rtl/>
        </w:rPr>
        <w:t>المرحل</w:t>
      </w:r>
      <w:r w:rsidR="00EC7EDF" w:rsidRPr="00FD211F">
        <w:rPr>
          <w:b/>
          <w:bCs/>
          <w:sz w:val="36"/>
          <w:szCs w:val="36"/>
          <w:rtl/>
        </w:rPr>
        <w:t xml:space="preserve">ة </w:t>
      </w:r>
      <w:r w:rsidRPr="00FD211F">
        <w:rPr>
          <w:b/>
          <w:bCs/>
          <w:sz w:val="36"/>
          <w:szCs w:val="36"/>
          <w:rtl/>
        </w:rPr>
        <w:t>الأولى</w:t>
      </w:r>
      <w:r w:rsidRPr="00FD211F">
        <w:rPr>
          <w:sz w:val="36"/>
          <w:szCs w:val="36"/>
          <w:rtl/>
        </w:rPr>
        <w:t>: انتخاب</w:t>
      </w:r>
      <w:r w:rsidR="00B253CE" w:rsidRPr="00FD211F">
        <w:rPr>
          <w:sz w:val="36"/>
          <w:szCs w:val="36"/>
          <w:rtl/>
        </w:rPr>
        <w:t xml:space="preserve"> </w:t>
      </w:r>
      <w:r w:rsidRPr="00FD211F">
        <w:rPr>
          <w:sz w:val="36"/>
          <w:szCs w:val="36"/>
          <w:rtl/>
        </w:rPr>
        <w:t>لفظٍ</w:t>
      </w:r>
      <w:r w:rsidR="009B7541" w:rsidRPr="00FD211F">
        <w:rPr>
          <w:sz w:val="36"/>
          <w:szCs w:val="36"/>
          <w:rtl/>
        </w:rPr>
        <w:t xml:space="preserve"> لمعنى</w:t>
      </w:r>
      <w:r w:rsidRPr="00FD211F">
        <w:rPr>
          <w:sz w:val="36"/>
          <w:szCs w:val="36"/>
          <w:rtl/>
        </w:rPr>
        <w:t>ً</w:t>
      </w:r>
      <w:r w:rsidR="00603323" w:rsidRPr="00FD211F">
        <w:rPr>
          <w:sz w:val="36"/>
          <w:szCs w:val="36"/>
          <w:rtl/>
        </w:rPr>
        <w:t xml:space="preserve">، </w:t>
      </w:r>
      <w:r w:rsidR="009B7541" w:rsidRPr="00FD211F">
        <w:rPr>
          <w:sz w:val="36"/>
          <w:szCs w:val="36"/>
          <w:rtl/>
        </w:rPr>
        <w:t>وهذا هو الذي يطلق عليه الوضع بالمعنى المصدري.</w:t>
      </w:r>
    </w:p>
    <w:p w14:paraId="3F6519F4" w14:textId="77777777" w:rsidR="009B7541" w:rsidRPr="00FD211F" w:rsidRDefault="009B7541" w:rsidP="009C58C8">
      <w:pPr>
        <w:ind w:left="0" w:firstLine="227"/>
        <w:jc w:val="both"/>
        <w:rPr>
          <w:sz w:val="36"/>
          <w:szCs w:val="36"/>
          <w:rtl/>
        </w:rPr>
      </w:pPr>
      <w:r w:rsidRPr="00FD211F">
        <w:rPr>
          <w:b/>
          <w:bCs/>
          <w:sz w:val="36"/>
          <w:szCs w:val="36"/>
          <w:rtl/>
        </w:rPr>
        <w:t>المرحل</w:t>
      </w:r>
      <w:r w:rsidR="00EC7EDF" w:rsidRPr="00FD211F">
        <w:rPr>
          <w:b/>
          <w:bCs/>
          <w:sz w:val="36"/>
          <w:szCs w:val="36"/>
          <w:rtl/>
        </w:rPr>
        <w:t xml:space="preserve">ة </w:t>
      </w: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sz w:val="36"/>
          <w:szCs w:val="36"/>
          <w:rtl/>
        </w:rPr>
        <w:t xml:space="preserve"> مرحل</w:t>
      </w:r>
      <w:r w:rsidR="00EC7EDF" w:rsidRPr="00FD211F">
        <w:rPr>
          <w:sz w:val="36"/>
          <w:szCs w:val="36"/>
          <w:rtl/>
        </w:rPr>
        <w:t xml:space="preserve">ة </w:t>
      </w:r>
      <w:r w:rsidRPr="00FD211F">
        <w:rPr>
          <w:sz w:val="36"/>
          <w:szCs w:val="36"/>
          <w:rtl/>
        </w:rPr>
        <w:t>الإشار</w:t>
      </w:r>
      <w:r w:rsidR="00EC7EDF" w:rsidRPr="00FD211F">
        <w:rPr>
          <w:sz w:val="36"/>
          <w:szCs w:val="36"/>
          <w:rtl/>
        </w:rPr>
        <w:t xml:space="preserve">ة </w:t>
      </w:r>
      <w:r w:rsidRPr="00FD211F">
        <w:rPr>
          <w:sz w:val="36"/>
          <w:szCs w:val="36"/>
          <w:rtl/>
        </w:rPr>
        <w:t xml:space="preserve">الى المعنى حيث أن مجرد انتخاب لفظ معين وجعله بإزاء المعنى لايؤدي الى </w:t>
      </w:r>
      <w:r w:rsidR="00535508" w:rsidRPr="00FD211F">
        <w:rPr>
          <w:sz w:val="36"/>
          <w:szCs w:val="36"/>
          <w:rtl/>
        </w:rPr>
        <w:t>انسباق</w:t>
      </w:r>
      <w:r w:rsidRPr="00FD211F">
        <w:rPr>
          <w:sz w:val="36"/>
          <w:szCs w:val="36"/>
          <w:rtl/>
        </w:rPr>
        <w:t xml:space="preserve"> المعنى في الذهن ما</w:t>
      </w:r>
      <w:r w:rsidR="008D7B3D" w:rsidRPr="00FD211F">
        <w:rPr>
          <w:sz w:val="36"/>
          <w:szCs w:val="36"/>
          <w:rtl/>
        </w:rPr>
        <w:t xml:space="preserve"> لم‌</w:t>
      </w:r>
      <w:r w:rsidRPr="00FD211F">
        <w:rPr>
          <w:sz w:val="36"/>
          <w:szCs w:val="36"/>
          <w:rtl/>
        </w:rPr>
        <w:t>تضم</w:t>
      </w:r>
      <w:r w:rsidR="00535508" w:rsidRPr="00FD211F">
        <w:rPr>
          <w:sz w:val="36"/>
          <w:szCs w:val="36"/>
          <w:rtl/>
        </w:rPr>
        <w:t>ّ</w:t>
      </w:r>
      <w:r w:rsidRPr="00FD211F">
        <w:rPr>
          <w:sz w:val="36"/>
          <w:szCs w:val="36"/>
          <w:rtl/>
        </w:rPr>
        <w:t xml:space="preserve"> الى اطلاق اللفظ على ذلك المعنى عوامل كمي</w:t>
      </w:r>
      <w:r w:rsidR="00EC7EDF" w:rsidRPr="00FD211F">
        <w:rPr>
          <w:sz w:val="36"/>
          <w:szCs w:val="36"/>
          <w:rtl/>
        </w:rPr>
        <w:t xml:space="preserve">ة </w:t>
      </w:r>
      <w:r w:rsidRPr="00FD211F">
        <w:rPr>
          <w:sz w:val="36"/>
          <w:szCs w:val="36"/>
          <w:rtl/>
        </w:rPr>
        <w:t>ككثر</w:t>
      </w:r>
      <w:r w:rsidR="00EC7EDF" w:rsidRPr="00FD211F">
        <w:rPr>
          <w:sz w:val="36"/>
          <w:szCs w:val="36"/>
          <w:rtl/>
        </w:rPr>
        <w:t xml:space="preserve">ة </w:t>
      </w:r>
      <w:r w:rsidRPr="00FD211F">
        <w:rPr>
          <w:sz w:val="36"/>
          <w:szCs w:val="36"/>
          <w:rtl/>
        </w:rPr>
        <w:t>الاستعمال وعوامل كيفي</w:t>
      </w:r>
      <w:r w:rsidR="00EC7EDF" w:rsidRPr="00FD211F">
        <w:rPr>
          <w:sz w:val="36"/>
          <w:szCs w:val="36"/>
          <w:rtl/>
        </w:rPr>
        <w:t xml:space="preserve">ة </w:t>
      </w:r>
      <w:r w:rsidRPr="00FD211F">
        <w:rPr>
          <w:sz w:val="36"/>
          <w:szCs w:val="36"/>
          <w:rtl/>
        </w:rPr>
        <w:t>كاحتفاف الكلام بالقرائن المشير</w:t>
      </w:r>
      <w:r w:rsidR="00EC7EDF" w:rsidRPr="00FD211F">
        <w:rPr>
          <w:sz w:val="36"/>
          <w:szCs w:val="36"/>
          <w:rtl/>
        </w:rPr>
        <w:t xml:space="preserve">ة </w:t>
      </w:r>
      <w:r w:rsidRPr="00FD211F">
        <w:rPr>
          <w:sz w:val="36"/>
          <w:szCs w:val="36"/>
          <w:rtl/>
        </w:rPr>
        <w:t>للمعنى.</w:t>
      </w:r>
    </w:p>
    <w:p w14:paraId="24A16F13" w14:textId="77777777" w:rsidR="009B7541" w:rsidRPr="00FD211F" w:rsidRDefault="009B7541" w:rsidP="009C58C8">
      <w:pPr>
        <w:ind w:left="0" w:firstLine="227"/>
        <w:jc w:val="both"/>
        <w:rPr>
          <w:sz w:val="36"/>
          <w:szCs w:val="36"/>
          <w:rtl/>
        </w:rPr>
      </w:pPr>
      <w:r w:rsidRPr="00FD211F">
        <w:rPr>
          <w:b/>
          <w:bCs/>
          <w:sz w:val="36"/>
          <w:szCs w:val="36"/>
          <w:rtl/>
        </w:rPr>
        <w:t>المرحل</w:t>
      </w:r>
      <w:r w:rsidR="00EC7EDF" w:rsidRPr="00FD211F">
        <w:rPr>
          <w:b/>
          <w:bCs/>
          <w:sz w:val="36"/>
          <w:szCs w:val="36"/>
          <w:rtl/>
        </w:rPr>
        <w:t xml:space="preserve">ة </w:t>
      </w: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Pr="00FD211F">
        <w:rPr>
          <w:sz w:val="36"/>
          <w:szCs w:val="36"/>
          <w:rtl/>
        </w:rPr>
        <w:t xml:space="preserve"> مرحل</w:t>
      </w:r>
      <w:r w:rsidR="00EC7EDF" w:rsidRPr="00FD211F">
        <w:rPr>
          <w:sz w:val="36"/>
          <w:szCs w:val="36"/>
          <w:rtl/>
        </w:rPr>
        <w:t xml:space="preserve">ة </w:t>
      </w:r>
      <w:r w:rsidRPr="00FD211F">
        <w:rPr>
          <w:sz w:val="36"/>
          <w:szCs w:val="36"/>
          <w:rtl/>
        </w:rPr>
        <w:t>سببي</w:t>
      </w:r>
      <w:r w:rsidR="00EC7EDF" w:rsidRPr="00FD211F">
        <w:rPr>
          <w:sz w:val="36"/>
          <w:szCs w:val="36"/>
          <w:rtl/>
        </w:rPr>
        <w:t xml:space="preserve">ة </w:t>
      </w:r>
      <w:r w:rsidRPr="00FD211F">
        <w:rPr>
          <w:sz w:val="36"/>
          <w:szCs w:val="36"/>
          <w:rtl/>
        </w:rPr>
        <w:t>تصور اللفظ لتصور المعنى</w:t>
      </w:r>
      <w:r w:rsidR="00603323" w:rsidRPr="00FD211F">
        <w:rPr>
          <w:sz w:val="36"/>
          <w:szCs w:val="36"/>
          <w:rtl/>
        </w:rPr>
        <w:t xml:space="preserve">، </w:t>
      </w:r>
      <w:r w:rsidRPr="00FD211F">
        <w:rPr>
          <w:sz w:val="36"/>
          <w:szCs w:val="36"/>
          <w:rtl/>
        </w:rPr>
        <w:t>وهذه المرحل</w:t>
      </w:r>
      <w:r w:rsidR="00EC7EDF" w:rsidRPr="00FD211F">
        <w:rPr>
          <w:sz w:val="36"/>
          <w:szCs w:val="36"/>
          <w:rtl/>
        </w:rPr>
        <w:t xml:space="preserve">ة </w:t>
      </w:r>
      <w:r w:rsidRPr="00FD211F">
        <w:rPr>
          <w:sz w:val="36"/>
          <w:szCs w:val="36"/>
          <w:rtl/>
        </w:rPr>
        <w:t>انما تتحقق اذا تاكدت علاق</w:t>
      </w:r>
      <w:r w:rsidR="00EC7EDF" w:rsidRPr="00FD211F">
        <w:rPr>
          <w:sz w:val="36"/>
          <w:szCs w:val="36"/>
          <w:rtl/>
        </w:rPr>
        <w:t xml:space="preserve">ة </w:t>
      </w:r>
      <w:r w:rsidRPr="00FD211F">
        <w:rPr>
          <w:sz w:val="36"/>
          <w:szCs w:val="36"/>
          <w:rtl/>
        </w:rPr>
        <w:t>اللفظ بالمعنى بحيث استغنى اللفظ في اخطاره للمعنى عن القرائن المشير</w:t>
      </w:r>
      <w:r w:rsidR="00EC7EDF" w:rsidRPr="00FD211F">
        <w:rPr>
          <w:sz w:val="36"/>
          <w:szCs w:val="36"/>
          <w:rtl/>
        </w:rPr>
        <w:t>ة</w:t>
      </w:r>
      <w:r w:rsidR="00603323" w:rsidRPr="00FD211F">
        <w:rPr>
          <w:sz w:val="36"/>
          <w:szCs w:val="36"/>
          <w:rtl/>
        </w:rPr>
        <w:t xml:space="preserve">، </w:t>
      </w:r>
      <w:r w:rsidRPr="00FD211F">
        <w:rPr>
          <w:sz w:val="36"/>
          <w:szCs w:val="36"/>
          <w:rtl/>
        </w:rPr>
        <w:t>وقد اعتبر كثير من الاصولين هذه المرحل</w:t>
      </w:r>
      <w:r w:rsidR="00EC7EDF" w:rsidRPr="00FD211F">
        <w:rPr>
          <w:sz w:val="36"/>
          <w:szCs w:val="36"/>
          <w:rtl/>
        </w:rPr>
        <w:t xml:space="preserve">ة </w:t>
      </w:r>
      <w:r w:rsidRPr="00FD211F">
        <w:rPr>
          <w:sz w:val="36"/>
          <w:szCs w:val="36"/>
          <w:rtl/>
        </w:rPr>
        <w:t>هي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بين اللفظ والمعنى</w:t>
      </w:r>
      <w:r w:rsidR="00603323" w:rsidRPr="00FD211F">
        <w:rPr>
          <w:sz w:val="36"/>
          <w:szCs w:val="36"/>
          <w:rtl/>
        </w:rPr>
        <w:t xml:space="preserve">، </w:t>
      </w:r>
      <w:r w:rsidR="009E673A" w:rsidRPr="00FD211F">
        <w:rPr>
          <w:sz w:val="36"/>
          <w:szCs w:val="36"/>
          <w:rtl/>
        </w:rPr>
        <w:t>ولكن الصحيح عندنا انها هي المرحل</w:t>
      </w:r>
      <w:r w:rsidR="00EC7EDF" w:rsidRPr="00FD211F">
        <w:rPr>
          <w:sz w:val="36"/>
          <w:szCs w:val="36"/>
          <w:rtl/>
        </w:rPr>
        <w:t xml:space="preserve">ة </w:t>
      </w:r>
      <w:r w:rsidR="009E673A" w:rsidRPr="00FD211F">
        <w:rPr>
          <w:sz w:val="36"/>
          <w:szCs w:val="36"/>
          <w:rtl/>
        </w:rPr>
        <w:t>الرابع</w:t>
      </w:r>
      <w:r w:rsidR="00EC7EDF" w:rsidRPr="00FD211F">
        <w:rPr>
          <w:sz w:val="36"/>
          <w:szCs w:val="36"/>
          <w:rtl/>
        </w:rPr>
        <w:t>ة</w:t>
      </w:r>
      <w:r w:rsidR="00A61BAE" w:rsidRPr="00FD211F">
        <w:rPr>
          <w:sz w:val="36"/>
          <w:szCs w:val="36"/>
          <w:rtl/>
        </w:rPr>
        <w:t>.</w:t>
      </w:r>
    </w:p>
    <w:p w14:paraId="602EDFAD" w14:textId="77777777" w:rsidR="00B10F93" w:rsidRPr="00FD211F" w:rsidRDefault="009E673A" w:rsidP="009C58C8">
      <w:pPr>
        <w:ind w:left="0" w:firstLine="227"/>
        <w:jc w:val="both"/>
        <w:rPr>
          <w:sz w:val="36"/>
          <w:szCs w:val="36"/>
          <w:rtl/>
        </w:rPr>
      </w:pPr>
      <w:r w:rsidRPr="00FD211F">
        <w:rPr>
          <w:b/>
          <w:bCs/>
          <w:sz w:val="36"/>
          <w:szCs w:val="36"/>
          <w:rtl/>
        </w:rPr>
        <w:t>المرحل</w:t>
      </w:r>
      <w:r w:rsidR="00EC7EDF" w:rsidRPr="00FD211F">
        <w:rPr>
          <w:b/>
          <w:bCs/>
          <w:sz w:val="36"/>
          <w:szCs w:val="36"/>
          <w:rtl/>
        </w:rPr>
        <w:t xml:space="preserve">ة </w:t>
      </w:r>
      <w:r w:rsidRPr="00FD211F">
        <w:rPr>
          <w:b/>
          <w:bCs/>
          <w:sz w:val="36"/>
          <w:szCs w:val="36"/>
          <w:rtl/>
        </w:rPr>
        <w:t>الرابع</w:t>
      </w:r>
      <w:r w:rsidR="00EC7EDF" w:rsidRPr="00FD211F">
        <w:rPr>
          <w:b/>
          <w:bCs/>
          <w:sz w:val="36"/>
          <w:szCs w:val="36"/>
          <w:rtl/>
        </w:rPr>
        <w:t>ة</w:t>
      </w:r>
      <w:r w:rsidR="00057D31" w:rsidRPr="00FD211F">
        <w:rPr>
          <w:b/>
          <w:bCs/>
          <w:sz w:val="36"/>
          <w:szCs w:val="36"/>
          <w:rtl/>
        </w:rPr>
        <w:t>:</w:t>
      </w:r>
      <w:r w:rsidRPr="00FD211F">
        <w:rPr>
          <w:sz w:val="36"/>
          <w:szCs w:val="36"/>
          <w:rtl/>
        </w:rPr>
        <w:t xml:space="preserve"> مرحل</w:t>
      </w:r>
      <w:r w:rsidR="00EC7EDF" w:rsidRPr="00FD211F">
        <w:rPr>
          <w:sz w:val="36"/>
          <w:szCs w:val="36"/>
          <w:rtl/>
        </w:rPr>
        <w:t xml:space="preserve">ة </w:t>
      </w:r>
      <w:r w:rsidRPr="00FD211F">
        <w:rPr>
          <w:sz w:val="36"/>
          <w:szCs w:val="36"/>
          <w:rtl/>
        </w:rPr>
        <w:t>الان</w:t>
      </w:r>
      <w:r w:rsidR="004C683E" w:rsidRPr="00FD211F">
        <w:rPr>
          <w:sz w:val="36"/>
          <w:szCs w:val="36"/>
          <w:rtl/>
        </w:rPr>
        <w:t>دماج</w:t>
      </w:r>
      <w:r w:rsidRPr="00FD211F">
        <w:rPr>
          <w:sz w:val="36"/>
          <w:szCs w:val="36"/>
          <w:rtl/>
        </w:rPr>
        <w:t xml:space="preserve"> والهوهوي</w:t>
      </w:r>
      <w:r w:rsidR="00EC7EDF" w:rsidRPr="00FD211F">
        <w:rPr>
          <w:sz w:val="36"/>
          <w:szCs w:val="36"/>
          <w:rtl/>
        </w:rPr>
        <w:t xml:space="preserve">ة </w:t>
      </w:r>
      <w:r w:rsidRPr="00FD211F">
        <w:rPr>
          <w:sz w:val="36"/>
          <w:szCs w:val="36"/>
          <w:rtl/>
        </w:rPr>
        <w:t>التي تعني اندكاك صور</w:t>
      </w:r>
      <w:r w:rsidR="00EC7EDF" w:rsidRPr="00FD211F">
        <w:rPr>
          <w:sz w:val="36"/>
          <w:szCs w:val="36"/>
          <w:rtl/>
        </w:rPr>
        <w:t xml:space="preserve">ة </w:t>
      </w:r>
      <w:r w:rsidRPr="00FD211F">
        <w:rPr>
          <w:sz w:val="36"/>
          <w:szCs w:val="36"/>
          <w:rtl/>
        </w:rPr>
        <w:t>المعنى في صور</w:t>
      </w:r>
      <w:r w:rsidR="00EC7EDF" w:rsidRPr="00FD211F">
        <w:rPr>
          <w:sz w:val="36"/>
          <w:szCs w:val="36"/>
          <w:rtl/>
        </w:rPr>
        <w:t xml:space="preserve">ة </w:t>
      </w:r>
      <w:r w:rsidRPr="00FD211F">
        <w:rPr>
          <w:sz w:val="36"/>
          <w:szCs w:val="36"/>
          <w:rtl/>
        </w:rPr>
        <w:t>اللفظ ذهنا وفناء احديهما في الاخرى فلايرى الذهن صورتين صور</w:t>
      </w:r>
      <w:r w:rsidR="00EC7EDF" w:rsidRPr="00FD211F">
        <w:rPr>
          <w:sz w:val="36"/>
          <w:szCs w:val="36"/>
          <w:rtl/>
        </w:rPr>
        <w:t xml:space="preserve">ة </w:t>
      </w:r>
      <w:r w:rsidRPr="00FD211F">
        <w:rPr>
          <w:sz w:val="36"/>
          <w:szCs w:val="36"/>
          <w:rtl/>
        </w:rPr>
        <w:t>للفظ وصور</w:t>
      </w:r>
      <w:r w:rsidR="00EC7EDF" w:rsidRPr="00FD211F">
        <w:rPr>
          <w:sz w:val="36"/>
          <w:szCs w:val="36"/>
          <w:rtl/>
        </w:rPr>
        <w:t xml:space="preserve">ة </w:t>
      </w:r>
      <w:r w:rsidRPr="00FD211F">
        <w:rPr>
          <w:sz w:val="36"/>
          <w:szCs w:val="36"/>
          <w:rtl/>
        </w:rPr>
        <w:t>للمعنى</w:t>
      </w:r>
      <w:r w:rsidR="00603323" w:rsidRPr="00FD211F">
        <w:rPr>
          <w:sz w:val="36"/>
          <w:szCs w:val="36"/>
          <w:rtl/>
        </w:rPr>
        <w:t xml:space="preserve">، </w:t>
      </w:r>
      <w:r w:rsidRPr="00FD211F">
        <w:rPr>
          <w:sz w:val="36"/>
          <w:szCs w:val="36"/>
          <w:rtl/>
        </w:rPr>
        <w:t>بان تكون الاولى سببا للثاني</w:t>
      </w:r>
      <w:r w:rsidR="00EC7EDF" w:rsidRPr="00FD211F">
        <w:rPr>
          <w:sz w:val="36"/>
          <w:szCs w:val="36"/>
          <w:rtl/>
        </w:rPr>
        <w:t>ة</w:t>
      </w:r>
      <w:r w:rsidR="00603323" w:rsidRPr="00FD211F">
        <w:rPr>
          <w:sz w:val="36"/>
          <w:szCs w:val="36"/>
          <w:rtl/>
        </w:rPr>
        <w:t xml:space="preserve">، </w:t>
      </w:r>
      <w:r w:rsidRPr="00FD211F">
        <w:rPr>
          <w:sz w:val="36"/>
          <w:szCs w:val="36"/>
          <w:rtl/>
        </w:rPr>
        <w:t>بل تكون صور</w:t>
      </w:r>
      <w:r w:rsidR="00EC7EDF" w:rsidRPr="00FD211F">
        <w:rPr>
          <w:sz w:val="36"/>
          <w:szCs w:val="36"/>
          <w:rtl/>
        </w:rPr>
        <w:t xml:space="preserve">ة </w:t>
      </w:r>
      <w:r w:rsidRPr="00FD211F">
        <w:rPr>
          <w:sz w:val="36"/>
          <w:szCs w:val="36"/>
          <w:rtl/>
        </w:rPr>
        <w:t>اللفظ مغفولا عنها</w:t>
      </w:r>
      <w:r w:rsidR="00603323" w:rsidRPr="00FD211F">
        <w:rPr>
          <w:sz w:val="36"/>
          <w:szCs w:val="36"/>
          <w:rtl/>
        </w:rPr>
        <w:t xml:space="preserve">، </w:t>
      </w:r>
      <w:r w:rsidRPr="00FD211F">
        <w:rPr>
          <w:sz w:val="36"/>
          <w:szCs w:val="36"/>
          <w:rtl/>
        </w:rPr>
        <w:t>بحيث لايلتفت الى اللفظ وخصوصياته الصوتي</w:t>
      </w:r>
      <w:r w:rsidR="00EC7EDF" w:rsidRPr="00FD211F">
        <w:rPr>
          <w:sz w:val="36"/>
          <w:szCs w:val="36"/>
          <w:rtl/>
        </w:rPr>
        <w:t xml:space="preserve">ة </w:t>
      </w:r>
      <w:r w:rsidRPr="00FD211F">
        <w:rPr>
          <w:sz w:val="36"/>
          <w:szCs w:val="36"/>
          <w:rtl/>
        </w:rPr>
        <w:t>والبنائي</w:t>
      </w:r>
      <w:r w:rsidR="00EC7EDF" w:rsidRPr="00FD211F">
        <w:rPr>
          <w:sz w:val="36"/>
          <w:szCs w:val="36"/>
          <w:rtl/>
        </w:rPr>
        <w:t xml:space="preserve">ة </w:t>
      </w:r>
      <w:r w:rsidRPr="00FD211F">
        <w:rPr>
          <w:sz w:val="36"/>
          <w:szCs w:val="36"/>
          <w:rtl/>
        </w:rPr>
        <w:t>والاعرابي</w:t>
      </w:r>
      <w:r w:rsidR="00EC7EDF" w:rsidRPr="00FD211F">
        <w:rPr>
          <w:sz w:val="36"/>
          <w:szCs w:val="36"/>
          <w:rtl/>
        </w:rPr>
        <w:t xml:space="preserve">ة </w:t>
      </w:r>
      <w:r w:rsidRPr="00FD211F">
        <w:rPr>
          <w:sz w:val="36"/>
          <w:szCs w:val="36"/>
          <w:rtl/>
        </w:rPr>
        <w:t>أبدا</w:t>
      </w:r>
      <w:r w:rsidR="00603323" w:rsidRPr="00FD211F">
        <w:rPr>
          <w:sz w:val="36"/>
          <w:szCs w:val="36"/>
          <w:rtl/>
        </w:rPr>
        <w:t xml:space="preserve">، </w:t>
      </w:r>
      <w:r w:rsidRPr="00FD211F">
        <w:rPr>
          <w:sz w:val="36"/>
          <w:szCs w:val="36"/>
          <w:rtl/>
        </w:rPr>
        <w:t>ولو كانت علاق</w:t>
      </w:r>
      <w:r w:rsidR="00EC7EDF" w:rsidRPr="00FD211F">
        <w:rPr>
          <w:sz w:val="36"/>
          <w:szCs w:val="36"/>
          <w:rtl/>
        </w:rPr>
        <w:t xml:space="preserve">ة </w:t>
      </w:r>
      <w:r w:rsidRPr="00FD211F">
        <w:rPr>
          <w:sz w:val="36"/>
          <w:szCs w:val="36"/>
          <w:rtl/>
        </w:rPr>
        <w:t>اللفظ بالمعنى علاق</w:t>
      </w:r>
      <w:r w:rsidR="00EC7EDF" w:rsidRPr="00FD211F">
        <w:rPr>
          <w:sz w:val="36"/>
          <w:szCs w:val="36"/>
          <w:rtl/>
        </w:rPr>
        <w:t xml:space="preserve">ة </w:t>
      </w:r>
      <w:r w:rsidRPr="00FD211F">
        <w:rPr>
          <w:sz w:val="36"/>
          <w:szCs w:val="36"/>
          <w:rtl/>
        </w:rPr>
        <w:t>السببي</w:t>
      </w:r>
      <w:r w:rsidR="00EC7EDF" w:rsidRPr="00FD211F">
        <w:rPr>
          <w:sz w:val="36"/>
          <w:szCs w:val="36"/>
          <w:rtl/>
        </w:rPr>
        <w:t xml:space="preserve">ة </w:t>
      </w:r>
      <w:r w:rsidRPr="00FD211F">
        <w:rPr>
          <w:sz w:val="36"/>
          <w:szCs w:val="36"/>
          <w:rtl/>
        </w:rPr>
        <w:t>نظير علاق</w:t>
      </w:r>
      <w:r w:rsidR="00EC7EDF" w:rsidRPr="00FD211F">
        <w:rPr>
          <w:sz w:val="36"/>
          <w:szCs w:val="36"/>
          <w:rtl/>
        </w:rPr>
        <w:t xml:space="preserve">ة </w:t>
      </w:r>
      <w:r w:rsidRPr="00FD211F">
        <w:rPr>
          <w:sz w:val="36"/>
          <w:szCs w:val="36"/>
          <w:rtl/>
        </w:rPr>
        <w:t xml:space="preserve">النار </w:t>
      </w:r>
      <w:r w:rsidR="004C683E" w:rsidRPr="00FD211F">
        <w:rPr>
          <w:sz w:val="36"/>
          <w:szCs w:val="36"/>
          <w:rtl/>
        </w:rPr>
        <w:t xml:space="preserve">مع </w:t>
      </w:r>
      <w:r w:rsidRPr="00FD211F">
        <w:rPr>
          <w:sz w:val="36"/>
          <w:szCs w:val="36"/>
          <w:rtl/>
        </w:rPr>
        <w:t>الاحتراق</w:t>
      </w:r>
      <w:r w:rsidR="004C683E" w:rsidRPr="00FD211F">
        <w:rPr>
          <w:sz w:val="36"/>
          <w:szCs w:val="36"/>
          <w:rtl/>
        </w:rPr>
        <w:t xml:space="preserve"> بحيث يوجب رؤيتها تصور الاحتراق او علاق</w:t>
      </w:r>
      <w:r w:rsidR="00EC7EDF" w:rsidRPr="00FD211F">
        <w:rPr>
          <w:sz w:val="36"/>
          <w:szCs w:val="36"/>
          <w:rtl/>
        </w:rPr>
        <w:t xml:space="preserve">ة </w:t>
      </w:r>
      <w:r w:rsidR="004C683E" w:rsidRPr="00FD211F">
        <w:rPr>
          <w:sz w:val="36"/>
          <w:szCs w:val="36"/>
          <w:rtl/>
        </w:rPr>
        <w:t>زئير الاسد بالاسد بحيث يوجب سماعه تصور الاسد</w:t>
      </w:r>
      <w:r w:rsidR="008D7B3D" w:rsidRPr="00FD211F">
        <w:rPr>
          <w:sz w:val="36"/>
          <w:szCs w:val="36"/>
          <w:rtl/>
        </w:rPr>
        <w:t xml:space="preserve"> لم‌</w:t>
      </w:r>
      <w:r w:rsidRPr="00FD211F">
        <w:rPr>
          <w:sz w:val="36"/>
          <w:szCs w:val="36"/>
          <w:rtl/>
        </w:rPr>
        <w:t>تستلزم هذه العلاق</w:t>
      </w:r>
      <w:r w:rsidR="00EC7EDF" w:rsidRPr="00FD211F">
        <w:rPr>
          <w:sz w:val="36"/>
          <w:szCs w:val="36"/>
          <w:rtl/>
        </w:rPr>
        <w:t xml:space="preserve">ة </w:t>
      </w:r>
      <w:r w:rsidRPr="00FD211F">
        <w:rPr>
          <w:sz w:val="36"/>
          <w:szCs w:val="36"/>
          <w:rtl/>
        </w:rPr>
        <w:t>الفناء والغفل</w:t>
      </w:r>
      <w:r w:rsidR="00EC7EDF" w:rsidRPr="00FD211F">
        <w:rPr>
          <w:sz w:val="36"/>
          <w:szCs w:val="36"/>
          <w:rtl/>
        </w:rPr>
        <w:t xml:space="preserve">ة </w:t>
      </w:r>
      <w:r w:rsidRPr="00FD211F">
        <w:rPr>
          <w:sz w:val="36"/>
          <w:szCs w:val="36"/>
          <w:rtl/>
        </w:rPr>
        <w:t xml:space="preserve">عن اللفظ بينما </w:t>
      </w:r>
      <w:r w:rsidR="0084290B" w:rsidRPr="00FD211F">
        <w:rPr>
          <w:sz w:val="36"/>
          <w:szCs w:val="36"/>
          <w:rtl/>
        </w:rPr>
        <w:t xml:space="preserve">ان </w:t>
      </w:r>
      <w:r w:rsidRPr="00FD211F">
        <w:rPr>
          <w:sz w:val="36"/>
          <w:szCs w:val="36"/>
          <w:rtl/>
        </w:rPr>
        <w:t>الفناء والغفل</w:t>
      </w:r>
      <w:r w:rsidR="00EC7EDF" w:rsidRPr="00FD211F">
        <w:rPr>
          <w:sz w:val="36"/>
          <w:szCs w:val="36"/>
          <w:rtl/>
        </w:rPr>
        <w:t xml:space="preserve">ة </w:t>
      </w:r>
      <w:r w:rsidRPr="00FD211F">
        <w:rPr>
          <w:sz w:val="36"/>
          <w:szCs w:val="36"/>
          <w:rtl/>
        </w:rPr>
        <w:t>حاصل</w:t>
      </w:r>
      <w:r w:rsidR="00EC7EDF" w:rsidRPr="00FD211F">
        <w:rPr>
          <w:sz w:val="36"/>
          <w:szCs w:val="36"/>
          <w:rtl/>
        </w:rPr>
        <w:t>ة</w:t>
      </w:r>
      <w:r w:rsidR="00603323" w:rsidRPr="00FD211F">
        <w:rPr>
          <w:sz w:val="36"/>
          <w:szCs w:val="36"/>
          <w:rtl/>
        </w:rPr>
        <w:t xml:space="preserve">، </w:t>
      </w:r>
      <w:r w:rsidRPr="00FD211F">
        <w:rPr>
          <w:sz w:val="36"/>
          <w:szCs w:val="36"/>
          <w:rtl/>
        </w:rPr>
        <w:t>وهذا دليل على كون العلق</w:t>
      </w:r>
      <w:r w:rsidR="00EC7EDF" w:rsidRPr="00FD211F">
        <w:rPr>
          <w:sz w:val="36"/>
          <w:szCs w:val="36"/>
          <w:rtl/>
        </w:rPr>
        <w:t xml:space="preserve">ة </w:t>
      </w:r>
      <w:r w:rsidRPr="00FD211F">
        <w:rPr>
          <w:sz w:val="36"/>
          <w:szCs w:val="36"/>
          <w:rtl/>
        </w:rPr>
        <w:t>بين اللفظ والمعنى علاق</w:t>
      </w:r>
      <w:r w:rsidR="00EC7EDF" w:rsidRPr="00FD211F">
        <w:rPr>
          <w:sz w:val="36"/>
          <w:szCs w:val="36"/>
          <w:rtl/>
        </w:rPr>
        <w:t xml:space="preserve">ة </w:t>
      </w:r>
      <w:r w:rsidRPr="00FD211F">
        <w:rPr>
          <w:sz w:val="36"/>
          <w:szCs w:val="36"/>
          <w:rtl/>
        </w:rPr>
        <w:t>الهوهوي</w:t>
      </w:r>
      <w:r w:rsidR="00EC7EDF" w:rsidRPr="00FD211F">
        <w:rPr>
          <w:sz w:val="36"/>
          <w:szCs w:val="36"/>
          <w:rtl/>
        </w:rPr>
        <w:t xml:space="preserve">ة </w:t>
      </w:r>
      <w:r w:rsidRPr="00FD211F">
        <w:rPr>
          <w:sz w:val="36"/>
          <w:szCs w:val="36"/>
          <w:rtl/>
        </w:rPr>
        <w:t>لا السببي</w:t>
      </w:r>
      <w:r w:rsidR="00EC7EDF" w:rsidRPr="00FD211F">
        <w:rPr>
          <w:sz w:val="36"/>
          <w:szCs w:val="36"/>
          <w:rtl/>
        </w:rPr>
        <w:t>ة</w:t>
      </w:r>
      <w:r w:rsidR="00A61BAE" w:rsidRPr="00FD211F">
        <w:rPr>
          <w:sz w:val="36"/>
          <w:szCs w:val="36"/>
          <w:rtl/>
        </w:rPr>
        <w:t>.</w:t>
      </w:r>
    </w:p>
    <w:p w14:paraId="0147DD66" w14:textId="77777777" w:rsidR="00B10F93" w:rsidRPr="00FD211F" w:rsidRDefault="009E673A" w:rsidP="009C58C8">
      <w:pPr>
        <w:ind w:left="0" w:firstLine="227"/>
        <w:jc w:val="both"/>
        <w:rPr>
          <w:sz w:val="36"/>
          <w:szCs w:val="36"/>
          <w:rtl/>
        </w:rPr>
      </w:pPr>
      <w:r w:rsidRPr="00FD211F">
        <w:rPr>
          <w:sz w:val="36"/>
          <w:szCs w:val="36"/>
          <w:rtl/>
        </w:rPr>
        <w:t>ويشهد على ذلك ايضا سريان حسن المعنى وقبحه الى اللفظ</w:t>
      </w:r>
      <w:r w:rsidR="00603323" w:rsidRPr="00FD211F">
        <w:rPr>
          <w:sz w:val="36"/>
          <w:szCs w:val="36"/>
          <w:rtl/>
        </w:rPr>
        <w:t xml:space="preserve">، </w:t>
      </w:r>
      <w:r w:rsidRPr="00FD211F">
        <w:rPr>
          <w:sz w:val="36"/>
          <w:szCs w:val="36"/>
          <w:rtl/>
        </w:rPr>
        <w:t>فيشعر الانسان بكراه</w:t>
      </w:r>
      <w:r w:rsidR="00EC7EDF" w:rsidRPr="00FD211F">
        <w:rPr>
          <w:sz w:val="36"/>
          <w:szCs w:val="36"/>
          <w:rtl/>
        </w:rPr>
        <w:t xml:space="preserve">ة </w:t>
      </w:r>
      <w:r w:rsidRPr="00FD211F">
        <w:rPr>
          <w:sz w:val="36"/>
          <w:szCs w:val="36"/>
          <w:rtl/>
        </w:rPr>
        <w:t>بعض الالفاظ كلفظ هتلر ويزيد لقبح معانيها</w:t>
      </w:r>
      <w:r w:rsidR="00603323" w:rsidRPr="00FD211F">
        <w:rPr>
          <w:sz w:val="36"/>
          <w:szCs w:val="36"/>
          <w:rtl/>
        </w:rPr>
        <w:t xml:space="preserve">، </w:t>
      </w:r>
      <w:r w:rsidRPr="00FD211F">
        <w:rPr>
          <w:sz w:val="36"/>
          <w:szCs w:val="36"/>
          <w:rtl/>
        </w:rPr>
        <w:t>واستحسان بعض الالفاظ الأخرى كمحمد وعلي لحسن معانيها</w:t>
      </w:r>
      <w:r w:rsidR="00603323" w:rsidRPr="00FD211F">
        <w:rPr>
          <w:sz w:val="36"/>
          <w:szCs w:val="36"/>
          <w:rtl/>
        </w:rPr>
        <w:t xml:space="preserve">، </w:t>
      </w:r>
      <w:r w:rsidRPr="00FD211F">
        <w:rPr>
          <w:sz w:val="36"/>
          <w:szCs w:val="36"/>
          <w:rtl/>
        </w:rPr>
        <w:t>فلولا علاق</w:t>
      </w:r>
      <w:r w:rsidR="00EC7EDF" w:rsidRPr="00FD211F">
        <w:rPr>
          <w:sz w:val="36"/>
          <w:szCs w:val="36"/>
          <w:rtl/>
        </w:rPr>
        <w:t xml:space="preserve">ة </w:t>
      </w:r>
      <w:r w:rsidRPr="00FD211F">
        <w:rPr>
          <w:sz w:val="36"/>
          <w:szCs w:val="36"/>
          <w:rtl/>
        </w:rPr>
        <w:t>الاندماج بين اللفظ والمعنى واتحاد صورتيهما لما سرى الحسن والقبح من المعنى الى اللفظ</w:t>
      </w:r>
      <w:r w:rsidR="00603323" w:rsidRPr="00FD211F">
        <w:rPr>
          <w:sz w:val="36"/>
          <w:szCs w:val="36"/>
          <w:rtl/>
        </w:rPr>
        <w:t xml:space="preserve">، </w:t>
      </w:r>
      <w:r w:rsidR="002736C1" w:rsidRPr="00FD211F">
        <w:rPr>
          <w:sz w:val="36"/>
          <w:szCs w:val="36"/>
          <w:rtl/>
        </w:rPr>
        <w:t>ويشهد له ايضا ان الانسان قد يستخدم اللفظ لا</w:t>
      </w:r>
      <w:r w:rsidR="004B5388" w:rsidRPr="00FD211F">
        <w:rPr>
          <w:sz w:val="36"/>
          <w:szCs w:val="36"/>
          <w:rtl/>
        </w:rPr>
        <w:t xml:space="preserve"> </w:t>
      </w:r>
      <w:r w:rsidR="002736C1" w:rsidRPr="00FD211F">
        <w:rPr>
          <w:sz w:val="36"/>
          <w:szCs w:val="36"/>
          <w:rtl/>
        </w:rPr>
        <w:t xml:space="preserve">لغرض التفهيم بل </w:t>
      </w:r>
      <w:r w:rsidR="004B5388" w:rsidRPr="00FD211F">
        <w:rPr>
          <w:sz w:val="36"/>
          <w:szCs w:val="36"/>
          <w:rtl/>
        </w:rPr>
        <w:t>ل</w:t>
      </w:r>
      <w:r w:rsidR="002736C1" w:rsidRPr="00FD211F">
        <w:rPr>
          <w:sz w:val="36"/>
          <w:szCs w:val="36"/>
          <w:rtl/>
        </w:rPr>
        <w:t>غرض التلقين او الترويح النفسي</w:t>
      </w:r>
      <w:r w:rsidR="00603323" w:rsidRPr="00FD211F">
        <w:rPr>
          <w:sz w:val="36"/>
          <w:szCs w:val="36"/>
          <w:rtl/>
        </w:rPr>
        <w:t xml:space="preserve">، </w:t>
      </w:r>
      <w:r w:rsidR="00B10F93" w:rsidRPr="00FD211F">
        <w:rPr>
          <w:sz w:val="36"/>
          <w:szCs w:val="36"/>
          <w:rtl/>
        </w:rPr>
        <w:t>بان يتحدث مع نفسه حينما اصاب بمرض القلق والتوتر النفسي بالفاظ التشجيع ونحوها</w:t>
      </w:r>
      <w:r w:rsidR="004B5388" w:rsidRPr="00FD211F">
        <w:rPr>
          <w:sz w:val="36"/>
          <w:szCs w:val="36"/>
          <w:rtl/>
        </w:rPr>
        <w:t xml:space="preserve"> فلايقصد من طرح اللفظ اخط</w:t>
      </w:r>
      <w:r w:rsidR="002736C1" w:rsidRPr="00FD211F">
        <w:rPr>
          <w:sz w:val="36"/>
          <w:szCs w:val="36"/>
          <w:rtl/>
        </w:rPr>
        <w:t>ار معناه في ذهنه لحضور</w:t>
      </w:r>
      <w:r w:rsidR="004B5388" w:rsidRPr="00FD211F">
        <w:rPr>
          <w:sz w:val="36"/>
          <w:szCs w:val="36"/>
          <w:rtl/>
        </w:rPr>
        <w:t>ه</w:t>
      </w:r>
      <w:r w:rsidR="002736C1" w:rsidRPr="00FD211F">
        <w:rPr>
          <w:sz w:val="36"/>
          <w:szCs w:val="36"/>
          <w:rtl/>
        </w:rPr>
        <w:t xml:space="preserve"> في ذهنه مسبقا قبل تلفظه بلفظه</w:t>
      </w:r>
      <w:r w:rsidR="00603323" w:rsidRPr="00FD211F">
        <w:rPr>
          <w:sz w:val="36"/>
          <w:szCs w:val="36"/>
          <w:rtl/>
        </w:rPr>
        <w:t xml:space="preserve">، </w:t>
      </w:r>
      <w:r w:rsidR="00B10F93" w:rsidRPr="00FD211F">
        <w:rPr>
          <w:sz w:val="36"/>
          <w:szCs w:val="36"/>
          <w:rtl/>
        </w:rPr>
        <w:t>ولكنه يريد من خلال تلفظه بهذا اللفظ تلقين نفسه</w:t>
      </w:r>
      <w:r w:rsidR="00603323" w:rsidRPr="00FD211F">
        <w:rPr>
          <w:sz w:val="36"/>
          <w:szCs w:val="36"/>
          <w:rtl/>
        </w:rPr>
        <w:t xml:space="preserve">، </w:t>
      </w:r>
      <w:r w:rsidR="00B10F93" w:rsidRPr="00FD211F">
        <w:rPr>
          <w:sz w:val="36"/>
          <w:szCs w:val="36"/>
          <w:rtl/>
        </w:rPr>
        <w:t>فلو</w:t>
      </w:r>
      <w:r w:rsidR="008D7B3D" w:rsidRPr="00FD211F">
        <w:rPr>
          <w:sz w:val="36"/>
          <w:szCs w:val="36"/>
          <w:rtl/>
        </w:rPr>
        <w:t xml:space="preserve"> لم‌</w:t>
      </w:r>
      <w:r w:rsidR="00B10F93" w:rsidRPr="00FD211F">
        <w:rPr>
          <w:sz w:val="36"/>
          <w:szCs w:val="36"/>
          <w:rtl/>
        </w:rPr>
        <w:t>تكن علاق</w:t>
      </w:r>
      <w:r w:rsidR="00EC7EDF" w:rsidRPr="00FD211F">
        <w:rPr>
          <w:sz w:val="36"/>
          <w:szCs w:val="36"/>
          <w:rtl/>
        </w:rPr>
        <w:t xml:space="preserve">ة </w:t>
      </w:r>
      <w:r w:rsidR="00B10F93" w:rsidRPr="00FD211F">
        <w:rPr>
          <w:sz w:val="36"/>
          <w:szCs w:val="36"/>
          <w:rtl/>
        </w:rPr>
        <w:t>اللفظ بالمعنى علاق</w:t>
      </w:r>
      <w:r w:rsidR="00EC7EDF" w:rsidRPr="00FD211F">
        <w:rPr>
          <w:sz w:val="36"/>
          <w:szCs w:val="36"/>
          <w:rtl/>
        </w:rPr>
        <w:t xml:space="preserve">ة </w:t>
      </w:r>
      <w:r w:rsidR="00B10F93" w:rsidRPr="00FD211F">
        <w:rPr>
          <w:sz w:val="36"/>
          <w:szCs w:val="36"/>
          <w:rtl/>
        </w:rPr>
        <w:t>هوهوي</w:t>
      </w:r>
      <w:r w:rsidR="00EC7EDF" w:rsidRPr="00FD211F">
        <w:rPr>
          <w:sz w:val="36"/>
          <w:szCs w:val="36"/>
          <w:rtl/>
        </w:rPr>
        <w:t xml:space="preserve">ة </w:t>
      </w:r>
      <w:r w:rsidR="00B10F93" w:rsidRPr="00FD211F">
        <w:rPr>
          <w:sz w:val="36"/>
          <w:szCs w:val="36"/>
          <w:rtl/>
        </w:rPr>
        <w:t>بل كان مجرد علاق</w:t>
      </w:r>
      <w:r w:rsidR="00EC7EDF" w:rsidRPr="00FD211F">
        <w:rPr>
          <w:sz w:val="36"/>
          <w:szCs w:val="36"/>
          <w:rtl/>
        </w:rPr>
        <w:t xml:space="preserve">ة </w:t>
      </w:r>
      <w:r w:rsidR="00B10F93" w:rsidRPr="00FD211F">
        <w:rPr>
          <w:sz w:val="36"/>
          <w:szCs w:val="36"/>
          <w:rtl/>
        </w:rPr>
        <w:t>سببي</w:t>
      </w:r>
      <w:r w:rsidR="00EC7EDF" w:rsidRPr="00FD211F">
        <w:rPr>
          <w:sz w:val="36"/>
          <w:szCs w:val="36"/>
          <w:rtl/>
        </w:rPr>
        <w:t xml:space="preserve">ة </w:t>
      </w:r>
      <w:r w:rsidR="00B10F93" w:rsidRPr="00FD211F">
        <w:rPr>
          <w:sz w:val="36"/>
          <w:szCs w:val="36"/>
          <w:rtl/>
        </w:rPr>
        <w:t>تصور اللفظ لتصور المعنى</w:t>
      </w:r>
      <w:r w:rsidR="008D7B3D" w:rsidRPr="00FD211F">
        <w:rPr>
          <w:sz w:val="36"/>
          <w:szCs w:val="36"/>
          <w:rtl/>
        </w:rPr>
        <w:t xml:space="preserve"> لم‌</w:t>
      </w:r>
      <w:r w:rsidR="00B10F93" w:rsidRPr="00FD211F">
        <w:rPr>
          <w:sz w:val="36"/>
          <w:szCs w:val="36"/>
          <w:rtl/>
        </w:rPr>
        <w:t>يتم عملي</w:t>
      </w:r>
      <w:r w:rsidR="00EC7EDF" w:rsidRPr="00FD211F">
        <w:rPr>
          <w:sz w:val="36"/>
          <w:szCs w:val="36"/>
          <w:rtl/>
        </w:rPr>
        <w:t xml:space="preserve">ة </w:t>
      </w:r>
      <w:r w:rsidR="00B10F93" w:rsidRPr="00FD211F">
        <w:rPr>
          <w:sz w:val="36"/>
          <w:szCs w:val="36"/>
          <w:rtl/>
        </w:rPr>
        <w:t>التلقين</w:t>
      </w:r>
      <w:r w:rsidR="00603323" w:rsidRPr="00FD211F">
        <w:rPr>
          <w:sz w:val="36"/>
          <w:szCs w:val="36"/>
          <w:rtl/>
        </w:rPr>
        <w:t xml:space="preserve">، </w:t>
      </w:r>
      <w:r w:rsidR="00B10F93" w:rsidRPr="00FD211F">
        <w:rPr>
          <w:sz w:val="36"/>
          <w:szCs w:val="36"/>
          <w:rtl/>
        </w:rPr>
        <w:t>بل</w:t>
      </w:r>
      <w:r w:rsidR="008D7B3D" w:rsidRPr="00FD211F">
        <w:rPr>
          <w:sz w:val="36"/>
          <w:szCs w:val="36"/>
          <w:rtl/>
        </w:rPr>
        <w:t xml:space="preserve"> لم‌</w:t>
      </w:r>
      <w:r w:rsidR="00B10F93" w:rsidRPr="00FD211F">
        <w:rPr>
          <w:sz w:val="36"/>
          <w:szCs w:val="36"/>
          <w:rtl/>
        </w:rPr>
        <w:t>يكن هناك حاج</w:t>
      </w:r>
      <w:r w:rsidR="00EC7EDF" w:rsidRPr="00FD211F">
        <w:rPr>
          <w:sz w:val="36"/>
          <w:szCs w:val="36"/>
          <w:rtl/>
        </w:rPr>
        <w:t xml:space="preserve">ة </w:t>
      </w:r>
      <w:r w:rsidR="00B10F93" w:rsidRPr="00FD211F">
        <w:rPr>
          <w:sz w:val="36"/>
          <w:szCs w:val="36"/>
          <w:rtl/>
        </w:rPr>
        <w:t xml:space="preserve">للتلفظ لان المفروض تصوره للمعنى </w:t>
      </w:r>
      <w:r w:rsidR="004B5388" w:rsidRPr="00FD211F">
        <w:rPr>
          <w:sz w:val="36"/>
          <w:szCs w:val="36"/>
          <w:rtl/>
        </w:rPr>
        <w:t>مسبقا</w:t>
      </w:r>
      <w:r w:rsidR="00B10F93" w:rsidRPr="00FD211F">
        <w:rPr>
          <w:sz w:val="36"/>
          <w:szCs w:val="36"/>
          <w:rtl/>
        </w:rPr>
        <w:t>.</w:t>
      </w:r>
    </w:p>
    <w:p w14:paraId="3D053499" w14:textId="77777777" w:rsidR="009E673A" w:rsidRPr="00FD211F" w:rsidRDefault="009E673A" w:rsidP="009C58C8">
      <w:pPr>
        <w:ind w:left="0" w:firstLine="227"/>
        <w:jc w:val="both"/>
        <w:rPr>
          <w:sz w:val="36"/>
          <w:szCs w:val="36"/>
          <w:rtl/>
        </w:rPr>
      </w:pPr>
      <w:r w:rsidRPr="00FD211F">
        <w:rPr>
          <w:sz w:val="36"/>
          <w:szCs w:val="36"/>
          <w:rtl/>
        </w:rPr>
        <w:t>وهذه هي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بين اللفظ والمعنى</w:t>
      </w:r>
      <w:r w:rsidR="00603323" w:rsidRPr="00FD211F">
        <w:rPr>
          <w:sz w:val="36"/>
          <w:szCs w:val="36"/>
          <w:rtl/>
        </w:rPr>
        <w:t xml:space="preserve">، </w:t>
      </w:r>
      <w:r w:rsidRPr="00FD211F">
        <w:rPr>
          <w:sz w:val="36"/>
          <w:szCs w:val="36"/>
          <w:rtl/>
        </w:rPr>
        <w:t>فتختلف عن مثل سببي</w:t>
      </w:r>
      <w:r w:rsidR="00EC7EDF" w:rsidRPr="00FD211F">
        <w:rPr>
          <w:sz w:val="36"/>
          <w:szCs w:val="36"/>
          <w:rtl/>
        </w:rPr>
        <w:t xml:space="preserve">ة </w:t>
      </w:r>
      <w:r w:rsidRPr="00FD211F">
        <w:rPr>
          <w:sz w:val="36"/>
          <w:szCs w:val="36"/>
          <w:rtl/>
        </w:rPr>
        <w:t>رؤي</w:t>
      </w:r>
      <w:r w:rsidR="00EC7EDF" w:rsidRPr="00FD211F">
        <w:rPr>
          <w:sz w:val="36"/>
          <w:szCs w:val="36"/>
          <w:rtl/>
        </w:rPr>
        <w:t xml:space="preserve">ة </w:t>
      </w:r>
      <w:r w:rsidRPr="00FD211F">
        <w:rPr>
          <w:sz w:val="36"/>
          <w:szCs w:val="36"/>
          <w:rtl/>
        </w:rPr>
        <w:t>النار لتصور الاحتراق</w:t>
      </w:r>
      <w:r w:rsidR="00603323" w:rsidRPr="00FD211F">
        <w:rPr>
          <w:sz w:val="36"/>
          <w:szCs w:val="36"/>
          <w:rtl/>
        </w:rPr>
        <w:t xml:space="preserve">، </w:t>
      </w:r>
      <w:r w:rsidRPr="00FD211F">
        <w:rPr>
          <w:sz w:val="36"/>
          <w:szCs w:val="36"/>
          <w:rtl/>
        </w:rPr>
        <w:t>حيث لايوجد بين النار والاحتراق علاق</w:t>
      </w:r>
      <w:r w:rsidR="00EC7EDF" w:rsidRPr="00FD211F">
        <w:rPr>
          <w:sz w:val="36"/>
          <w:szCs w:val="36"/>
          <w:rtl/>
        </w:rPr>
        <w:t xml:space="preserve">ة </w:t>
      </w:r>
      <w:r w:rsidRPr="00FD211F">
        <w:rPr>
          <w:sz w:val="36"/>
          <w:szCs w:val="36"/>
          <w:rtl/>
        </w:rPr>
        <w:t>هوهوي</w:t>
      </w:r>
      <w:r w:rsidR="00EC7EDF" w:rsidRPr="00FD211F">
        <w:rPr>
          <w:sz w:val="36"/>
          <w:szCs w:val="36"/>
          <w:rtl/>
        </w:rPr>
        <w:t>ة</w:t>
      </w:r>
      <w:r w:rsidR="00603323" w:rsidRPr="00FD211F">
        <w:rPr>
          <w:sz w:val="36"/>
          <w:szCs w:val="36"/>
          <w:rtl/>
        </w:rPr>
        <w:t xml:space="preserve">، </w:t>
      </w:r>
      <w:r w:rsidRPr="00FD211F">
        <w:rPr>
          <w:sz w:val="36"/>
          <w:szCs w:val="36"/>
          <w:rtl/>
        </w:rPr>
        <w:t>وهكذا في وضع العلم على مكان ليدل على انه رأس الفرسخ</w:t>
      </w:r>
      <w:r w:rsidR="00B10F93" w:rsidRPr="00FD211F">
        <w:rPr>
          <w:sz w:val="36"/>
          <w:szCs w:val="36"/>
          <w:rtl/>
        </w:rPr>
        <w:t>.</w:t>
      </w:r>
    </w:p>
    <w:p w14:paraId="0BBFA14F" w14:textId="77777777" w:rsidR="00DA7474" w:rsidRPr="00FD211F" w:rsidRDefault="00B10F93" w:rsidP="009C58C8">
      <w:pPr>
        <w:ind w:left="0" w:firstLine="227"/>
        <w:jc w:val="both"/>
        <w:rPr>
          <w:sz w:val="36"/>
          <w:szCs w:val="36"/>
          <w:rtl/>
        </w:rPr>
      </w:pPr>
      <w:r w:rsidRPr="00FD211F">
        <w:rPr>
          <w:sz w:val="36"/>
          <w:szCs w:val="36"/>
          <w:rtl/>
        </w:rPr>
        <w:t>فالحاصل هو ان العلاق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هي علاق</w:t>
      </w:r>
      <w:r w:rsidR="00EC7EDF" w:rsidRPr="00FD211F">
        <w:rPr>
          <w:sz w:val="36"/>
          <w:szCs w:val="36"/>
          <w:rtl/>
        </w:rPr>
        <w:t xml:space="preserve">ة </w:t>
      </w:r>
      <w:r w:rsidRPr="00FD211F">
        <w:rPr>
          <w:sz w:val="36"/>
          <w:szCs w:val="36"/>
          <w:rtl/>
        </w:rPr>
        <w:t>الهوهوي</w:t>
      </w:r>
      <w:r w:rsidR="00EC7EDF" w:rsidRPr="00FD211F">
        <w:rPr>
          <w:sz w:val="36"/>
          <w:szCs w:val="36"/>
          <w:rtl/>
        </w:rPr>
        <w:t xml:space="preserve">ة </w:t>
      </w:r>
      <w:r w:rsidRPr="00FD211F">
        <w:rPr>
          <w:sz w:val="36"/>
          <w:szCs w:val="36"/>
          <w:rtl/>
        </w:rPr>
        <w:t>بين اللفظ والمعنى و</w:t>
      </w:r>
      <w:r w:rsidR="00D27714" w:rsidRPr="00FD211F">
        <w:rPr>
          <w:sz w:val="36"/>
          <w:szCs w:val="36"/>
          <w:rtl/>
        </w:rPr>
        <w:t xml:space="preserve">أما </w:t>
      </w:r>
      <w:r w:rsidRPr="00FD211F">
        <w:rPr>
          <w:sz w:val="36"/>
          <w:szCs w:val="36"/>
          <w:rtl/>
        </w:rPr>
        <w:t>علاق</w:t>
      </w:r>
      <w:r w:rsidR="00EC7EDF" w:rsidRPr="00FD211F">
        <w:rPr>
          <w:sz w:val="36"/>
          <w:szCs w:val="36"/>
          <w:rtl/>
        </w:rPr>
        <w:t xml:space="preserve">ة </w:t>
      </w:r>
      <w:r w:rsidRPr="00FD211F">
        <w:rPr>
          <w:sz w:val="36"/>
          <w:szCs w:val="36"/>
          <w:rtl/>
        </w:rPr>
        <w:t>سببي</w:t>
      </w:r>
      <w:r w:rsidR="00EC7EDF" w:rsidRPr="00FD211F">
        <w:rPr>
          <w:sz w:val="36"/>
          <w:szCs w:val="36"/>
          <w:rtl/>
        </w:rPr>
        <w:t xml:space="preserve">ة </w:t>
      </w:r>
      <w:r w:rsidRPr="00FD211F">
        <w:rPr>
          <w:sz w:val="36"/>
          <w:szCs w:val="36"/>
          <w:rtl/>
        </w:rPr>
        <w:t>تصور اللفظ لتصور المعنى</w:t>
      </w:r>
      <w:r w:rsidR="00D27714" w:rsidRPr="00FD211F">
        <w:rPr>
          <w:sz w:val="36"/>
          <w:szCs w:val="36"/>
          <w:rtl/>
        </w:rPr>
        <w:t xml:space="preserve"> فهي</w:t>
      </w:r>
      <w:r w:rsidRPr="00FD211F">
        <w:rPr>
          <w:sz w:val="36"/>
          <w:szCs w:val="36"/>
          <w:rtl/>
        </w:rPr>
        <w:t xml:space="preserve"> تكون من مبادئ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و</w:t>
      </w:r>
      <w:r w:rsidR="00D27714" w:rsidRPr="00FD211F">
        <w:rPr>
          <w:sz w:val="36"/>
          <w:szCs w:val="36"/>
          <w:rtl/>
        </w:rPr>
        <w:t xml:space="preserve">ما يرى من </w:t>
      </w:r>
      <w:r w:rsidRPr="00FD211F">
        <w:rPr>
          <w:sz w:val="36"/>
          <w:szCs w:val="36"/>
          <w:rtl/>
        </w:rPr>
        <w:t>عدم حصول علاق</w:t>
      </w:r>
      <w:r w:rsidR="00EC7EDF" w:rsidRPr="00FD211F">
        <w:rPr>
          <w:sz w:val="36"/>
          <w:szCs w:val="36"/>
          <w:rtl/>
        </w:rPr>
        <w:t xml:space="preserve">ة </w:t>
      </w:r>
      <w:r w:rsidRPr="00FD211F">
        <w:rPr>
          <w:sz w:val="36"/>
          <w:szCs w:val="36"/>
          <w:rtl/>
        </w:rPr>
        <w:t>الهوهوي</w:t>
      </w:r>
      <w:r w:rsidR="00EC7EDF" w:rsidRPr="00FD211F">
        <w:rPr>
          <w:sz w:val="36"/>
          <w:szCs w:val="36"/>
          <w:rtl/>
        </w:rPr>
        <w:t xml:space="preserve">ة </w:t>
      </w:r>
      <w:r w:rsidRPr="00FD211F">
        <w:rPr>
          <w:sz w:val="36"/>
          <w:szCs w:val="36"/>
          <w:rtl/>
        </w:rPr>
        <w:t>بين الاذهان بالنسب</w:t>
      </w:r>
      <w:r w:rsidR="00EC7EDF" w:rsidRPr="00FD211F">
        <w:rPr>
          <w:sz w:val="36"/>
          <w:szCs w:val="36"/>
          <w:rtl/>
        </w:rPr>
        <w:t xml:space="preserve">ة </w:t>
      </w:r>
      <w:r w:rsidRPr="00FD211F">
        <w:rPr>
          <w:sz w:val="36"/>
          <w:szCs w:val="36"/>
          <w:rtl/>
        </w:rPr>
        <w:t>لبعض الالفاظ كمن يتذكر اللفظ وهو ناس للمعنى او بالعكس او لايكون انتقاله للمعنى من خلال اللفظ مباشر</w:t>
      </w:r>
      <w:r w:rsidR="00EC7EDF" w:rsidRPr="00FD211F">
        <w:rPr>
          <w:sz w:val="36"/>
          <w:szCs w:val="36"/>
          <w:rtl/>
        </w:rPr>
        <w:t xml:space="preserve">ة </w:t>
      </w:r>
      <w:r w:rsidRPr="00FD211F">
        <w:rPr>
          <w:sz w:val="36"/>
          <w:szCs w:val="36"/>
          <w:rtl/>
        </w:rPr>
        <w:t xml:space="preserve">كالمتعلم </w:t>
      </w:r>
      <w:r w:rsidR="00D27714" w:rsidRPr="00FD211F">
        <w:rPr>
          <w:sz w:val="36"/>
          <w:szCs w:val="36"/>
          <w:rtl/>
        </w:rPr>
        <w:t>ل</w:t>
      </w:r>
      <w:r w:rsidRPr="00FD211F">
        <w:rPr>
          <w:sz w:val="36"/>
          <w:szCs w:val="36"/>
          <w:rtl/>
        </w:rPr>
        <w:t>لغ</w:t>
      </w:r>
      <w:r w:rsidR="00EC7EDF" w:rsidRPr="00FD211F">
        <w:rPr>
          <w:sz w:val="36"/>
          <w:szCs w:val="36"/>
          <w:rtl/>
        </w:rPr>
        <w:t xml:space="preserve">ة </w:t>
      </w:r>
      <w:r w:rsidRPr="00FD211F">
        <w:rPr>
          <w:sz w:val="36"/>
          <w:szCs w:val="36"/>
          <w:rtl/>
        </w:rPr>
        <w:t>اجنبي</w:t>
      </w:r>
      <w:r w:rsidR="00EC7EDF" w:rsidRPr="00FD211F">
        <w:rPr>
          <w:sz w:val="36"/>
          <w:szCs w:val="36"/>
          <w:rtl/>
        </w:rPr>
        <w:t xml:space="preserve">ة </w:t>
      </w:r>
      <w:r w:rsidR="00D27714" w:rsidRPr="00FD211F">
        <w:rPr>
          <w:sz w:val="36"/>
          <w:szCs w:val="36"/>
          <w:rtl/>
        </w:rPr>
        <w:t xml:space="preserve">حيث </w:t>
      </w:r>
      <w:r w:rsidRPr="00FD211F">
        <w:rPr>
          <w:sz w:val="36"/>
          <w:szCs w:val="36"/>
          <w:rtl/>
        </w:rPr>
        <w:t>ينتقل ذهنه للمعنى بنحو السببي</w:t>
      </w:r>
      <w:r w:rsidR="00EC7EDF" w:rsidRPr="00FD211F">
        <w:rPr>
          <w:sz w:val="36"/>
          <w:szCs w:val="36"/>
          <w:rtl/>
        </w:rPr>
        <w:t xml:space="preserve">ة </w:t>
      </w:r>
      <w:r w:rsidRPr="00FD211F">
        <w:rPr>
          <w:sz w:val="36"/>
          <w:szCs w:val="36"/>
          <w:rtl/>
        </w:rPr>
        <w:t>لاالهوهوي</w:t>
      </w:r>
      <w:r w:rsidR="00EC7EDF" w:rsidRPr="00FD211F">
        <w:rPr>
          <w:sz w:val="36"/>
          <w:szCs w:val="36"/>
          <w:rtl/>
        </w:rPr>
        <w:t xml:space="preserve">ة </w:t>
      </w:r>
      <w:r w:rsidRPr="00FD211F">
        <w:rPr>
          <w:sz w:val="36"/>
          <w:szCs w:val="36"/>
          <w:rtl/>
        </w:rPr>
        <w:t>فهذا</w:t>
      </w:r>
      <w:r w:rsidR="00D27714" w:rsidRPr="00FD211F">
        <w:rPr>
          <w:sz w:val="36"/>
          <w:szCs w:val="36"/>
          <w:rtl/>
        </w:rPr>
        <w:t xml:space="preserve"> يعني انه</w:t>
      </w:r>
      <w:r w:rsidR="008D7B3D" w:rsidRPr="00FD211F">
        <w:rPr>
          <w:sz w:val="36"/>
          <w:szCs w:val="36"/>
          <w:rtl/>
        </w:rPr>
        <w:t xml:space="preserve"> لم‌</w:t>
      </w:r>
      <w:r w:rsidRPr="00FD211F">
        <w:rPr>
          <w:sz w:val="36"/>
          <w:szCs w:val="36"/>
          <w:rtl/>
        </w:rPr>
        <w:t>يتحقق العلاق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بالنسب</w:t>
      </w:r>
      <w:r w:rsidR="00EC7EDF" w:rsidRPr="00FD211F">
        <w:rPr>
          <w:sz w:val="36"/>
          <w:szCs w:val="36"/>
          <w:rtl/>
        </w:rPr>
        <w:t xml:space="preserve">ة </w:t>
      </w:r>
      <w:r w:rsidRPr="00FD211F">
        <w:rPr>
          <w:sz w:val="36"/>
          <w:szCs w:val="36"/>
          <w:rtl/>
        </w:rPr>
        <w:t>اليه فان العلاق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امر ذهني يختلف باختلاف الاذهان والظروف</w:t>
      </w:r>
      <w:r w:rsidR="00603323" w:rsidRPr="00FD211F">
        <w:rPr>
          <w:sz w:val="36"/>
          <w:szCs w:val="36"/>
          <w:rtl/>
        </w:rPr>
        <w:t xml:space="preserve">، </w:t>
      </w:r>
      <w:r w:rsidRPr="00FD211F">
        <w:rPr>
          <w:sz w:val="36"/>
          <w:szCs w:val="36"/>
          <w:rtl/>
        </w:rPr>
        <w:t>فربما تحققت في بعض الأذهان دون بعض</w:t>
      </w:r>
      <w:r w:rsidR="00DA7474" w:rsidRPr="00FD211F">
        <w:rPr>
          <w:sz w:val="36"/>
          <w:szCs w:val="36"/>
          <w:rtl/>
        </w:rPr>
        <w:t>.</w:t>
      </w:r>
    </w:p>
    <w:p w14:paraId="519C1CD4" w14:textId="77777777" w:rsidR="00DA7474" w:rsidRPr="00FD211F" w:rsidRDefault="00B10F93"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 xml:space="preserve">والمتناسب </w:t>
      </w:r>
      <w:r w:rsidR="000979ED" w:rsidRPr="00FD211F">
        <w:rPr>
          <w:sz w:val="36"/>
          <w:szCs w:val="36"/>
          <w:rtl/>
        </w:rPr>
        <w:t>مع العلق</w:t>
      </w:r>
      <w:r w:rsidR="00EC7EDF" w:rsidRPr="00FD211F">
        <w:rPr>
          <w:sz w:val="36"/>
          <w:szCs w:val="36"/>
          <w:rtl/>
        </w:rPr>
        <w:t xml:space="preserve">ة </w:t>
      </w:r>
      <w:r w:rsidR="000979ED" w:rsidRPr="00FD211F">
        <w:rPr>
          <w:sz w:val="36"/>
          <w:szCs w:val="36"/>
          <w:rtl/>
        </w:rPr>
        <w:t>الوضعي</w:t>
      </w:r>
      <w:r w:rsidR="00EC7EDF" w:rsidRPr="00FD211F">
        <w:rPr>
          <w:sz w:val="36"/>
          <w:szCs w:val="36"/>
          <w:rtl/>
        </w:rPr>
        <w:t xml:space="preserve">ة </w:t>
      </w:r>
      <w:r w:rsidR="000979ED" w:rsidRPr="00FD211F">
        <w:rPr>
          <w:sz w:val="36"/>
          <w:szCs w:val="36"/>
          <w:rtl/>
        </w:rPr>
        <w:t>بناء على هذا التفسير هو ان يكون مرحل</w:t>
      </w:r>
      <w:r w:rsidR="00EC7EDF" w:rsidRPr="00FD211F">
        <w:rPr>
          <w:sz w:val="36"/>
          <w:szCs w:val="36"/>
          <w:rtl/>
        </w:rPr>
        <w:t xml:space="preserve">ة </w:t>
      </w:r>
      <w:r w:rsidR="000979ED" w:rsidRPr="00FD211F">
        <w:rPr>
          <w:sz w:val="36"/>
          <w:szCs w:val="36"/>
          <w:rtl/>
        </w:rPr>
        <w:t xml:space="preserve">الانتخاب </w:t>
      </w:r>
      <w:r w:rsidR="00DA7474" w:rsidRPr="00FD211F">
        <w:rPr>
          <w:sz w:val="36"/>
          <w:szCs w:val="36"/>
          <w:rtl/>
        </w:rPr>
        <w:t>اي عملي</w:t>
      </w:r>
      <w:r w:rsidR="00EC7EDF" w:rsidRPr="00FD211F">
        <w:rPr>
          <w:sz w:val="36"/>
          <w:szCs w:val="36"/>
          <w:rtl/>
        </w:rPr>
        <w:t xml:space="preserve">ة </w:t>
      </w:r>
      <w:r w:rsidR="00DA7474" w:rsidRPr="00FD211F">
        <w:rPr>
          <w:sz w:val="36"/>
          <w:szCs w:val="36"/>
          <w:rtl/>
        </w:rPr>
        <w:t>الوضع بالمعنى المصدري هو اعتبار الهوهوي</w:t>
      </w:r>
      <w:r w:rsidR="00EC7EDF" w:rsidRPr="00FD211F">
        <w:rPr>
          <w:sz w:val="36"/>
          <w:szCs w:val="36"/>
          <w:rtl/>
        </w:rPr>
        <w:t xml:space="preserve">ة </w:t>
      </w:r>
      <w:r w:rsidR="00DA7474" w:rsidRPr="00FD211F">
        <w:rPr>
          <w:sz w:val="36"/>
          <w:szCs w:val="36"/>
          <w:rtl/>
        </w:rPr>
        <w:t>بين اللفظ والمعنى وان كان لايتعين في ذلك ويمكن ان يكون عملي</w:t>
      </w:r>
      <w:r w:rsidR="00EC7EDF" w:rsidRPr="00FD211F">
        <w:rPr>
          <w:sz w:val="36"/>
          <w:szCs w:val="36"/>
          <w:rtl/>
        </w:rPr>
        <w:t xml:space="preserve">ة </w:t>
      </w:r>
      <w:r w:rsidR="00DA7474" w:rsidRPr="00FD211F">
        <w:rPr>
          <w:sz w:val="36"/>
          <w:szCs w:val="36"/>
          <w:rtl/>
        </w:rPr>
        <w:t>الوضع على نحو جعل الملازم</w:t>
      </w:r>
      <w:r w:rsidR="00EC7EDF" w:rsidRPr="00FD211F">
        <w:rPr>
          <w:sz w:val="36"/>
          <w:szCs w:val="36"/>
          <w:rtl/>
        </w:rPr>
        <w:t>ة</w:t>
      </w:r>
      <w:r w:rsidR="00603323" w:rsidRPr="00FD211F">
        <w:rPr>
          <w:sz w:val="36"/>
          <w:szCs w:val="36"/>
          <w:rtl/>
        </w:rPr>
        <w:t xml:space="preserve">، </w:t>
      </w:r>
      <w:r w:rsidR="00DA7474" w:rsidRPr="00FD211F">
        <w:rPr>
          <w:sz w:val="36"/>
          <w:szCs w:val="36"/>
          <w:rtl/>
        </w:rPr>
        <w:t>او جعل العلامي</w:t>
      </w:r>
      <w:r w:rsidR="00EC7EDF" w:rsidRPr="00FD211F">
        <w:rPr>
          <w:sz w:val="36"/>
          <w:szCs w:val="36"/>
          <w:rtl/>
        </w:rPr>
        <w:t xml:space="preserve">ة </w:t>
      </w:r>
      <w:r w:rsidR="00DA7474" w:rsidRPr="00FD211F">
        <w:rPr>
          <w:sz w:val="36"/>
          <w:szCs w:val="36"/>
          <w:rtl/>
        </w:rPr>
        <w:t>وغير ذلك.</w:t>
      </w:r>
    </w:p>
    <w:p w14:paraId="6D0AD5A4" w14:textId="77777777" w:rsidR="00B10F93" w:rsidRPr="00FD211F" w:rsidRDefault="00DA7474" w:rsidP="009C58C8">
      <w:pPr>
        <w:ind w:left="0" w:firstLine="227"/>
        <w:jc w:val="both"/>
        <w:rPr>
          <w:sz w:val="36"/>
          <w:szCs w:val="36"/>
          <w:rtl/>
        </w:rPr>
      </w:pPr>
      <w:r w:rsidRPr="00FD211F">
        <w:rPr>
          <w:sz w:val="36"/>
          <w:szCs w:val="36"/>
          <w:rtl/>
        </w:rPr>
        <w:t xml:space="preserve">وما ذكره السيد الخوئي </w:t>
      </w:r>
      <w:r w:rsidR="00AE0393" w:rsidRPr="00FD211F">
        <w:rPr>
          <w:sz w:val="36"/>
          <w:szCs w:val="36"/>
          <w:rtl/>
        </w:rPr>
        <w:t>"</w:t>
      </w:r>
      <w:r w:rsidRPr="00FD211F">
        <w:rPr>
          <w:sz w:val="36"/>
          <w:szCs w:val="36"/>
          <w:rtl/>
        </w:rPr>
        <w:t>قده</w:t>
      </w:r>
      <w:r w:rsidR="00AE0393" w:rsidRPr="00FD211F">
        <w:rPr>
          <w:sz w:val="36"/>
          <w:szCs w:val="36"/>
          <w:rtl/>
        </w:rPr>
        <w:t>"</w:t>
      </w:r>
      <w:r w:rsidRPr="00FD211F">
        <w:rPr>
          <w:sz w:val="36"/>
          <w:szCs w:val="36"/>
          <w:rtl/>
        </w:rPr>
        <w:t xml:space="preserve"> من ان اعتبار الهوهوي</w:t>
      </w:r>
      <w:r w:rsidR="00EC7EDF" w:rsidRPr="00FD211F">
        <w:rPr>
          <w:sz w:val="36"/>
          <w:szCs w:val="36"/>
          <w:rtl/>
        </w:rPr>
        <w:t xml:space="preserve">ة </w:t>
      </w:r>
      <w:r w:rsidRPr="00FD211F">
        <w:rPr>
          <w:sz w:val="36"/>
          <w:szCs w:val="36"/>
          <w:rtl/>
        </w:rPr>
        <w:t>امر بعيد عن اذهان العرف الواضعين بما فيهم الصبيان ففيه ان اعتبار الهوهوي</w:t>
      </w:r>
      <w:r w:rsidR="00EC7EDF" w:rsidRPr="00FD211F">
        <w:rPr>
          <w:sz w:val="36"/>
          <w:szCs w:val="36"/>
          <w:rtl/>
        </w:rPr>
        <w:t xml:space="preserve">ة </w:t>
      </w:r>
      <w:r w:rsidR="00B63509" w:rsidRPr="00FD211F">
        <w:rPr>
          <w:sz w:val="36"/>
          <w:szCs w:val="36"/>
          <w:rtl/>
        </w:rPr>
        <w:t>امر بسيط يلتفت اليه حتى الصبيان</w:t>
      </w:r>
      <w:r w:rsidR="00603323" w:rsidRPr="00FD211F">
        <w:rPr>
          <w:sz w:val="36"/>
          <w:szCs w:val="36"/>
          <w:rtl/>
        </w:rPr>
        <w:t xml:space="preserve">، </w:t>
      </w:r>
      <w:r w:rsidR="00B63509" w:rsidRPr="00FD211F">
        <w:rPr>
          <w:sz w:val="36"/>
          <w:szCs w:val="36"/>
          <w:rtl/>
        </w:rPr>
        <w:t>ولذا</w:t>
      </w:r>
      <w:r w:rsidRPr="00FD211F">
        <w:rPr>
          <w:sz w:val="36"/>
          <w:szCs w:val="36"/>
          <w:rtl/>
        </w:rPr>
        <w:t xml:space="preserve"> ترى</w:t>
      </w:r>
      <w:r w:rsidR="00B63509" w:rsidRPr="00FD211F">
        <w:rPr>
          <w:sz w:val="36"/>
          <w:szCs w:val="36"/>
          <w:rtl/>
        </w:rPr>
        <w:t xml:space="preserve"> ان الصبيان</w:t>
      </w:r>
      <w:r w:rsidRPr="00FD211F">
        <w:rPr>
          <w:sz w:val="36"/>
          <w:szCs w:val="36"/>
          <w:rtl/>
        </w:rPr>
        <w:t xml:space="preserve"> يقولون في مقام السب</w:t>
      </w:r>
      <w:r w:rsidR="00B63509" w:rsidRPr="00FD211F">
        <w:rPr>
          <w:sz w:val="36"/>
          <w:szCs w:val="36"/>
          <w:rtl/>
        </w:rPr>
        <w:t>ّ</w:t>
      </w:r>
      <w:r w:rsidRPr="00FD211F">
        <w:rPr>
          <w:sz w:val="36"/>
          <w:szCs w:val="36"/>
          <w:rtl/>
        </w:rPr>
        <w:t xml:space="preserve"> </w:t>
      </w:r>
      <w:r w:rsidR="00D116A3" w:rsidRPr="00FD211F">
        <w:rPr>
          <w:sz w:val="36"/>
          <w:szCs w:val="36"/>
          <w:rtl/>
        </w:rPr>
        <w:t>"</w:t>
      </w:r>
      <w:r w:rsidRPr="00FD211F">
        <w:rPr>
          <w:sz w:val="36"/>
          <w:szCs w:val="36"/>
          <w:rtl/>
        </w:rPr>
        <w:t>كلب بن كلب</w:t>
      </w:r>
      <w:r w:rsidR="00D116A3" w:rsidRPr="00FD211F">
        <w:rPr>
          <w:sz w:val="36"/>
          <w:szCs w:val="36"/>
          <w:rtl/>
        </w:rPr>
        <w:t>"</w:t>
      </w:r>
      <w:r w:rsidRPr="00FD211F">
        <w:rPr>
          <w:sz w:val="36"/>
          <w:szCs w:val="36"/>
          <w:rtl/>
        </w:rPr>
        <w:t xml:space="preserve"> وهذ</w:t>
      </w:r>
      <w:r w:rsidR="00ED5D02" w:rsidRPr="00FD211F">
        <w:rPr>
          <w:sz w:val="36"/>
          <w:szCs w:val="36"/>
          <w:rtl/>
        </w:rPr>
        <w:t>ه</w:t>
      </w:r>
      <w:r w:rsidRPr="00FD211F">
        <w:rPr>
          <w:sz w:val="36"/>
          <w:szCs w:val="36"/>
          <w:rtl/>
        </w:rPr>
        <w:t xml:space="preserve"> ه</w:t>
      </w:r>
      <w:r w:rsidR="00ED5D02" w:rsidRPr="00FD211F">
        <w:rPr>
          <w:sz w:val="36"/>
          <w:szCs w:val="36"/>
          <w:rtl/>
        </w:rPr>
        <w:t>ي</w:t>
      </w:r>
      <w:r w:rsidRPr="00FD211F">
        <w:rPr>
          <w:sz w:val="36"/>
          <w:szCs w:val="36"/>
          <w:rtl/>
        </w:rPr>
        <w:t xml:space="preserve"> الاستعار</w:t>
      </w:r>
      <w:r w:rsidR="00EC7EDF" w:rsidRPr="00FD211F">
        <w:rPr>
          <w:sz w:val="36"/>
          <w:szCs w:val="36"/>
          <w:rtl/>
        </w:rPr>
        <w:t xml:space="preserve">ة </w:t>
      </w:r>
      <w:r w:rsidR="00ED5D02" w:rsidRPr="00FD211F">
        <w:rPr>
          <w:sz w:val="36"/>
          <w:szCs w:val="36"/>
          <w:rtl/>
        </w:rPr>
        <w:t>الشايع</w:t>
      </w:r>
      <w:r w:rsidR="00EC7EDF" w:rsidRPr="00FD211F">
        <w:rPr>
          <w:sz w:val="36"/>
          <w:szCs w:val="36"/>
          <w:rtl/>
        </w:rPr>
        <w:t xml:space="preserve">ة </w:t>
      </w:r>
      <w:r w:rsidR="00ED5D02" w:rsidRPr="00FD211F">
        <w:rPr>
          <w:sz w:val="36"/>
          <w:szCs w:val="36"/>
          <w:rtl/>
        </w:rPr>
        <w:t>بين الناس فيقال هذا اسد وذاك قمر وهكذا</w:t>
      </w:r>
      <w:r w:rsidR="00603323" w:rsidRPr="00FD211F">
        <w:rPr>
          <w:sz w:val="36"/>
          <w:szCs w:val="36"/>
          <w:rtl/>
        </w:rPr>
        <w:t xml:space="preserve">، </w:t>
      </w:r>
      <w:r w:rsidRPr="00FD211F">
        <w:rPr>
          <w:sz w:val="36"/>
          <w:szCs w:val="36"/>
          <w:rtl/>
        </w:rPr>
        <w:t xml:space="preserve">كما ان ما ذكره </w:t>
      </w:r>
      <w:r w:rsidR="00AE0393" w:rsidRPr="00FD211F">
        <w:rPr>
          <w:sz w:val="36"/>
          <w:szCs w:val="36"/>
          <w:rtl/>
        </w:rPr>
        <w:t>"</w:t>
      </w:r>
      <w:r w:rsidRPr="00FD211F">
        <w:rPr>
          <w:sz w:val="36"/>
          <w:szCs w:val="36"/>
          <w:rtl/>
        </w:rPr>
        <w:t>قده</w:t>
      </w:r>
      <w:r w:rsidR="00AE0393" w:rsidRPr="00FD211F">
        <w:rPr>
          <w:sz w:val="36"/>
          <w:szCs w:val="36"/>
          <w:rtl/>
        </w:rPr>
        <w:t>"</w:t>
      </w:r>
      <w:r w:rsidRPr="00FD211F">
        <w:rPr>
          <w:sz w:val="36"/>
          <w:szCs w:val="36"/>
          <w:rtl/>
        </w:rPr>
        <w:t xml:space="preserve"> من ان اعتبار وحد</w:t>
      </w:r>
      <w:r w:rsidR="00EC7EDF" w:rsidRPr="00FD211F">
        <w:rPr>
          <w:sz w:val="36"/>
          <w:szCs w:val="36"/>
          <w:rtl/>
        </w:rPr>
        <w:t xml:space="preserve">ة </w:t>
      </w:r>
      <w:r w:rsidRPr="00FD211F">
        <w:rPr>
          <w:sz w:val="36"/>
          <w:szCs w:val="36"/>
          <w:rtl/>
        </w:rPr>
        <w:t>اللفظ والمعنى</w:t>
      </w:r>
      <w:r w:rsidR="00ED5D02" w:rsidRPr="00FD211F">
        <w:rPr>
          <w:sz w:val="36"/>
          <w:szCs w:val="36"/>
          <w:rtl/>
        </w:rPr>
        <w:t xml:space="preserve"> لغو بعد كون الغرض كون اللفظ دالا والمعنى مدلولا</w:t>
      </w:r>
      <w:r w:rsidR="00603323" w:rsidRPr="00FD211F">
        <w:rPr>
          <w:sz w:val="36"/>
          <w:szCs w:val="36"/>
          <w:rtl/>
        </w:rPr>
        <w:t xml:space="preserve">، </w:t>
      </w:r>
      <w:r w:rsidR="00ED5D02" w:rsidRPr="00FD211F">
        <w:rPr>
          <w:sz w:val="36"/>
          <w:szCs w:val="36"/>
          <w:rtl/>
        </w:rPr>
        <w:t>وهذا يقتضي الاثنيني</w:t>
      </w:r>
      <w:r w:rsidR="00EC7EDF" w:rsidRPr="00FD211F">
        <w:rPr>
          <w:sz w:val="36"/>
          <w:szCs w:val="36"/>
          <w:rtl/>
        </w:rPr>
        <w:t xml:space="preserve">ة </w:t>
      </w:r>
      <w:r w:rsidR="00ED5D02" w:rsidRPr="00FD211F">
        <w:rPr>
          <w:sz w:val="36"/>
          <w:szCs w:val="36"/>
          <w:rtl/>
        </w:rPr>
        <w:t>بينهما</w:t>
      </w:r>
      <w:r w:rsidRPr="00FD211F">
        <w:rPr>
          <w:sz w:val="36"/>
          <w:szCs w:val="36"/>
          <w:rtl/>
        </w:rPr>
        <w:t xml:space="preserve"> </w:t>
      </w:r>
      <w:r w:rsidR="00ED5D02" w:rsidRPr="00FD211F">
        <w:rPr>
          <w:sz w:val="36"/>
          <w:szCs w:val="36"/>
          <w:rtl/>
        </w:rPr>
        <w:t>ف</w:t>
      </w:r>
      <w:r w:rsidRPr="00FD211F">
        <w:rPr>
          <w:sz w:val="36"/>
          <w:szCs w:val="36"/>
          <w:rtl/>
        </w:rPr>
        <w:t>غير تام أيضا بناء على المسلك الصحيح من ان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هو هوهوي</w:t>
      </w:r>
      <w:r w:rsidR="00EC7EDF" w:rsidRPr="00FD211F">
        <w:rPr>
          <w:sz w:val="36"/>
          <w:szCs w:val="36"/>
          <w:rtl/>
        </w:rPr>
        <w:t xml:space="preserve">ة </w:t>
      </w:r>
      <w:r w:rsidRPr="00FD211F">
        <w:rPr>
          <w:sz w:val="36"/>
          <w:szCs w:val="36"/>
          <w:rtl/>
        </w:rPr>
        <w:t>اللفظ والمعنى</w:t>
      </w:r>
      <w:r w:rsidR="00603323" w:rsidRPr="00FD211F">
        <w:rPr>
          <w:sz w:val="36"/>
          <w:szCs w:val="36"/>
          <w:rtl/>
        </w:rPr>
        <w:t xml:space="preserve">، </w:t>
      </w:r>
      <w:r w:rsidRPr="00FD211F">
        <w:rPr>
          <w:sz w:val="36"/>
          <w:szCs w:val="36"/>
          <w:rtl/>
        </w:rPr>
        <w:t>فيكون اعتبار الهوهوي</w:t>
      </w:r>
      <w:r w:rsidR="00EC7EDF" w:rsidRPr="00FD211F">
        <w:rPr>
          <w:sz w:val="36"/>
          <w:szCs w:val="36"/>
          <w:rtl/>
        </w:rPr>
        <w:t xml:space="preserve">ة </w:t>
      </w:r>
      <w:r w:rsidRPr="00FD211F">
        <w:rPr>
          <w:sz w:val="36"/>
          <w:szCs w:val="36"/>
          <w:rtl/>
        </w:rPr>
        <w:t>متناسبا معها تماما</w:t>
      </w:r>
      <w:r w:rsidR="009C58C8" w:rsidRPr="00FD211F">
        <w:rPr>
          <w:rStyle w:val="a6"/>
          <w:sz w:val="36"/>
          <w:szCs w:val="36"/>
          <w:rtl/>
        </w:rPr>
        <w:t>(</w:t>
      </w:r>
      <w:r w:rsidR="009C58C8" w:rsidRPr="00FD211F">
        <w:rPr>
          <w:rStyle w:val="a6"/>
          <w:sz w:val="36"/>
          <w:szCs w:val="36"/>
          <w:rtl/>
        </w:rPr>
        <w:footnoteReference w:id="122"/>
      </w:r>
      <w:r w:rsidR="009C58C8" w:rsidRPr="00FD211F">
        <w:rPr>
          <w:rStyle w:val="a6"/>
          <w:sz w:val="36"/>
          <w:szCs w:val="36"/>
          <w:rtl/>
        </w:rPr>
        <w:t>)</w:t>
      </w:r>
      <w:r w:rsidRPr="00FD211F">
        <w:rPr>
          <w:sz w:val="36"/>
          <w:szCs w:val="36"/>
          <w:rtl/>
        </w:rPr>
        <w:t>.</w:t>
      </w:r>
    </w:p>
    <w:p w14:paraId="53B2F29B" w14:textId="77777777" w:rsidR="002F6C6B" w:rsidRPr="00FD211F" w:rsidRDefault="00AE0393" w:rsidP="009C58C8">
      <w:pPr>
        <w:ind w:left="0" w:firstLine="227"/>
        <w:jc w:val="both"/>
        <w:rPr>
          <w:sz w:val="36"/>
          <w:szCs w:val="36"/>
          <w:rtl/>
        </w:rPr>
      </w:pPr>
      <w:r w:rsidRPr="00FD211F">
        <w:rPr>
          <w:sz w:val="36"/>
          <w:szCs w:val="36"/>
          <w:rtl/>
        </w:rPr>
        <w:t>وقد فهم بعض الاعلام</w:t>
      </w:r>
      <w:r w:rsidR="00366DF7" w:rsidRPr="00FD211F">
        <w:rPr>
          <w:sz w:val="36"/>
          <w:szCs w:val="36"/>
          <w:rtl/>
        </w:rPr>
        <w:t xml:space="preserve"> من هذه العبار</w:t>
      </w:r>
      <w:r w:rsidR="00EC7EDF" w:rsidRPr="00FD211F">
        <w:rPr>
          <w:sz w:val="36"/>
          <w:szCs w:val="36"/>
          <w:rtl/>
        </w:rPr>
        <w:t xml:space="preserve">ة </w:t>
      </w:r>
      <w:r w:rsidR="00366DF7" w:rsidRPr="00FD211F">
        <w:rPr>
          <w:sz w:val="36"/>
          <w:szCs w:val="36"/>
          <w:rtl/>
        </w:rPr>
        <w:t>كون العلق</w:t>
      </w:r>
      <w:r w:rsidR="00EC7EDF" w:rsidRPr="00FD211F">
        <w:rPr>
          <w:sz w:val="36"/>
          <w:szCs w:val="36"/>
          <w:rtl/>
        </w:rPr>
        <w:t xml:space="preserve">ة </w:t>
      </w:r>
      <w:r w:rsidR="00366DF7" w:rsidRPr="00FD211F">
        <w:rPr>
          <w:sz w:val="36"/>
          <w:szCs w:val="36"/>
          <w:rtl/>
        </w:rPr>
        <w:t>الوضعي</w:t>
      </w:r>
      <w:r w:rsidR="00EC7EDF" w:rsidRPr="00FD211F">
        <w:rPr>
          <w:sz w:val="36"/>
          <w:szCs w:val="36"/>
          <w:rtl/>
        </w:rPr>
        <w:t xml:space="preserve">ة </w:t>
      </w:r>
      <w:r w:rsidR="00366DF7" w:rsidRPr="00FD211F">
        <w:rPr>
          <w:sz w:val="36"/>
          <w:szCs w:val="36"/>
          <w:rtl/>
        </w:rPr>
        <w:t>عبار</w:t>
      </w:r>
      <w:r w:rsidR="00EC7EDF" w:rsidRPr="00FD211F">
        <w:rPr>
          <w:sz w:val="36"/>
          <w:szCs w:val="36"/>
          <w:rtl/>
        </w:rPr>
        <w:t xml:space="preserve">ة </w:t>
      </w:r>
      <w:r w:rsidR="00366DF7" w:rsidRPr="00FD211F">
        <w:rPr>
          <w:sz w:val="36"/>
          <w:szCs w:val="36"/>
          <w:rtl/>
        </w:rPr>
        <w:t>عن حصول الهوهوي</w:t>
      </w:r>
      <w:r w:rsidR="00EC7EDF" w:rsidRPr="00FD211F">
        <w:rPr>
          <w:sz w:val="36"/>
          <w:szCs w:val="36"/>
          <w:rtl/>
        </w:rPr>
        <w:t xml:space="preserve">ة </w:t>
      </w:r>
      <w:r w:rsidR="00D116A3" w:rsidRPr="00FD211F">
        <w:rPr>
          <w:sz w:val="36"/>
          <w:szCs w:val="36"/>
          <w:rtl/>
        </w:rPr>
        <w:t xml:space="preserve">والوحدة </w:t>
      </w:r>
      <w:r w:rsidR="00366DF7" w:rsidRPr="00FD211F">
        <w:rPr>
          <w:sz w:val="36"/>
          <w:szCs w:val="36"/>
          <w:rtl/>
        </w:rPr>
        <w:t>الحقيقي</w:t>
      </w:r>
      <w:r w:rsidR="00EC7EDF" w:rsidRPr="00FD211F">
        <w:rPr>
          <w:sz w:val="36"/>
          <w:szCs w:val="36"/>
          <w:rtl/>
        </w:rPr>
        <w:t xml:space="preserve">ة </w:t>
      </w:r>
      <w:r w:rsidR="00366DF7" w:rsidRPr="00FD211F">
        <w:rPr>
          <w:sz w:val="36"/>
          <w:szCs w:val="36"/>
          <w:rtl/>
        </w:rPr>
        <w:t>بين صور</w:t>
      </w:r>
      <w:r w:rsidR="00EC7EDF" w:rsidRPr="00FD211F">
        <w:rPr>
          <w:sz w:val="36"/>
          <w:szCs w:val="36"/>
          <w:rtl/>
        </w:rPr>
        <w:t xml:space="preserve">ة </w:t>
      </w:r>
      <w:r w:rsidR="00366DF7" w:rsidRPr="00FD211F">
        <w:rPr>
          <w:sz w:val="36"/>
          <w:szCs w:val="36"/>
          <w:rtl/>
        </w:rPr>
        <w:t>اللفظ وصور</w:t>
      </w:r>
      <w:r w:rsidR="00EC7EDF" w:rsidRPr="00FD211F">
        <w:rPr>
          <w:sz w:val="36"/>
          <w:szCs w:val="36"/>
          <w:rtl/>
        </w:rPr>
        <w:t xml:space="preserve">ة </w:t>
      </w:r>
      <w:r w:rsidR="00366DF7" w:rsidRPr="00FD211F">
        <w:rPr>
          <w:sz w:val="36"/>
          <w:szCs w:val="36"/>
          <w:rtl/>
        </w:rPr>
        <w:t>المعنى</w:t>
      </w:r>
      <w:r w:rsidR="00603323" w:rsidRPr="00FD211F">
        <w:rPr>
          <w:sz w:val="36"/>
          <w:szCs w:val="36"/>
          <w:rtl/>
        </w:rPr>
        <w:t xml:space="preserve">، </w:t>
      </w:r>
      <w:r w:rsidR="00366DF7" w:rsidRPr="00FD211F">
        <w:rPr>
          <w:sz w:val="36"/>
          <w:szCs w:val="36"/>
          <w:rtl/>
        </w:rPr>
        <w:t>وذكر انه ليس المقصود طبعا هو ال</w:t>
      </w:r>
      <w:r w:rsidR="00656091" w:rsidRPr="00FD211F">
        <w:rPr>
          <w:sz w:val="36"/>
          <w:szCs w:val="36"/>
          <w:rtl/>
        </w:rPr>
        <w:t>اتحاد</w:t>
      </w:r>
      <w:r w:rsidR="00366DF7" w:rsidRPr="00FD211F">
        <w:rPr>
          <w:sz w:val="36"/>
          <w:szCs w:val="36"/>
          <w:rtl/>
        </w:rPr>
        <w:t xml:space="preserve"> بين واقع اللفظ وواقع المعنى الخارجيين</w:t>
      </w:r>
      <w:r w:rsidR="00603323" w:rsidRPr="00FD211F">
        <w:rPr>
          <w:sz w:val="36"/>
          <w:szCs w:val="36"/>
          <w:rtl/>
        </w:rPr>
        <w:t xml:space="preserve">، </w:t>
      </w:r>
      <w:r w:rsidR="00366DF7" w:rsidRPr="00FD211F">
        <w:rPr>
          <w:sz w:val="36"/>
          <w:szCs w:val="36"/>
          <w:rtl/>
        </w:rPr>
        <w:t xml:space="preserve">فان بطلان ذلك من اوضح الواضحات وانما </w:t>
      </w:r>
      <w:r w:rsidR="002F6C6B" w:rsidRPr="00FD211F">
        <w:rPr>
          <w:sz w:val="36"/>
          <w:szCs w:val="36"/>
          <w:rtl/>
        </w:rPr>
        <w:t>يقصد ال</w:t>
      </w:r>
      <w:r w:rsidR="00656091" w:rsidRPr="00FD211F">
        <w:rPr>
          <w:sz w:val="36"/>
          <w:szCs w:val="36"/>
          <w:rtl/>
        </w:rPr>
        <w:t>اتحاد</w:t>
      </w:r>
      <w:r w:rsidR="002F6C6B" w:rsidRPr="00FD211F">
        <w:rPr>
          <w:sz w:val="36"/>
          <w:szCs w:val="36"/>
          <w:rtl/>
        </w:rPr>
        <w:t xml:space="preserve"> بين صورتهما الذهني</w:t>
      </w:r>
      <w:r w:rsidR="00EC7EDF" w:rsidRPr="00FD211F">
        <w:rPr>
          <w:sz w:val="36"/>
          <w:szCs w:val="36"/>
          <w:rtl/>
        </w:rPr>
        <w:t>ة</w:t>
      </w:r>
      <w:r w:rsidR="00A61BAE" w:rsidRPr="00FD211F">
        <w:rPr>
          <w:sz w:val="36"/>
          <w:szCs w:val="36"/>
          <w:rtl/>
        </w:rPr>
        <w:t>.</w:t>
      </w:r>
      <w:r w:rsidR="00366DF7" w:rsidRPr="00FD211F">
        <w:rPr>
          <w:sz w:val="36"/>
          <w:szCs w:val="36"/>
          <w:rtl/>
        </w:rPr>
        <w:t xml:space="preserve"> </w:t>
      </w:r>
    </w:p>
    <w:p w14:paraId="1312123B" w14:textId="77777777" w:rsidR="00912996" w:rsidRPr="00FD211F" w:rsidRDefault="00366DF7" w:rsidP="009C58C8">
      <w:pPr>
        <w:ind w:left="0" w:firstLine="227"/>
        <w:jc w:val="both"/>
        <w:rPr>
          <w:sz w:val="36"/>
          <w:szCs w:val="36"/>
          <w:rtl/>
        </w:rPr>
      </w:pPr>
      <w:r w:rsidRPr="00FD211F">
        <w:rPr>
          <w:sz w:val="36"/>
          <w:szCs w:val="36"/>
          <w:rtl/>
        </w:rPr>
        <w:t>ث</w:t>
      </w:r>
      <w:r w:rsidR="00912996" w:rsidRPr="00FD211F">
        <w:rPr>
          <w:sz w:val="36"/>
          <w:szCs w:val="36"/>
          <w:rtl/>
        </w:rPr>
        <w:t>م ناقش فيه بانه كيف يستطيع ان يصدّ</w:t>
      </w:r>
      <w:r w:rsidRPr="00FD211F">
        <w:rPr>
          <w:sz w:val="36"/>
          <w:szCs w:val="36"/>
          <w:rtl/>
        </w:rPr>
        <w:t xml:space="preserve">ق </w:t>
      </w:r>
      <w:r w:rsidR="00656091" w:rsidRPr="00FD211F">
        <w:rPr>
          <w:sz w:val="36"/>
          <w:szCs w:val="36"/>
          <w:rtl/>
        </w:rPr>
        <w:t xml:space="preserve">اتحاد </w:t>
      </w:r>
      <w:r w:rsidRPr="00FD211F">
        <w:rPr>
          <w:sz w:val="36"/>
          <w:szCs w:val="36"/>
          <w:rtl/>
        </w:rPr>
        <w:t>الصورتين حقيق</w:t>
      </w:r>
      <w:r w:rsidR="00EC7EDF" w:rsidRPr="00FD211F">
        <w:rPr>
          <w:sz w:val="36"/>
          <w:szCs w:val="36"/>
          <w:rtl/>
        </w:rPr>
        <w:t xml:space="preserve">ة </w:t>
      </w:r>
      <w:r w:rsidRPr="00FD211F">
        <w:rPr>
          <w:sz w:val="36"/>
          <w:szCs w:val="36"/>
          <w:rtl/>
        </w:rPr>
        <w:t>رغم تعدد ذي الصور</w:t>
      </w:r>
      <w:r w:rsidR="00EC7EDF" w:rsidRPr="00FD211F">
        <w:rPr>
          <w:sz w:val="36"/>
          <w:szCs w:val="36"/>
          <w:rtl/>
        </w:rPr>
        <w:t>ة</w:t>
      </w:r>
      <w:r w:rsidR="00603323" w:rsidRPr="00FD211F">
        <w:rPr>
          <w:sz w:val="36"/>
          <w:szCs w:val="36"/>
          <w:rtl/>
        </w:rPr>
        <w:t xml:space="preserve">، </w:t>
      </w:r>
      <w:r w:rsidRPr="00FD211F">
        <w:rPr>
          <w:sz w:val="36"/>
          <w:szCs w:val="36"/>
          <w:rtl/>
        </w:rPr>
        <w:t>مع وضوح ان كل ذي صور</w:t>
      </w:r>
      <w:r w:rsidR="00EC7EDF" w:rsidRPr="00FD211F">
        <w:rPr>
          <w:sz w:val="36"/>
          <w:szCs w:val="36"/>
          <w:rtl/>
        </w:rPr>
        <w:t xml:space="preserve">ة </w:t>
      </w:r>
      <w:r w:rsidRPr="00FD211F">
        <w:rPr>
          <w:sz w:val="36"/>
          <w:szCs w:val="36"/>
          <w:rtl/>
        </w:rPr>
        <w:t>انما يشعّ صورته دون صور</w:t>
      </w:r>
      <w:r w:rsidR="00EC7EDF" w:rsidRPr="00FD211F">
        <w:rPr>
          <w:sz w:val="36"/>
          <w:szCs w:val="36"/>
          <w:rtl/>
        </w:rPr>
        <w:t xml:space="preserve">ة </w:t>
      </w:r>
      <w:r w:rsidR="008D7B3D" w:rsidRPr="00FD211F">
        <w:rPr>
          <w:sz w:val="36"/>
          <w:szCs w:val="36"/>
          <w:rtl/>
        </w:rPr>
        <w:t xml:space="preserve">شيء </w:t>
      </w:r>
      <w:r w:rsidRPr="00FD211F">
        <w:rPr>
          <w:sz w:val="36"/>
          <w:szCs w:val="36"/>
          <w:rtl/>
        </w:rPr>
        <w:t>آخر</w:t>
      </w:r>
      <w:r w:rsidR="009C58C8" w:rsidRPr="00FD211F">
        <w:rPr>
          <w:rStyle w:val="a6"/>
          <w:sz w:val="36"/>
          <w:szCs w:val="36"/>
          <w:rtl/>
        </w:rPr>
        <w:t>(</w:t>
      </w:r>
      <w:r w:rsidR="009C58C8" w:rsidRPr="00FD211F">
        <w:rPr>
          <w:rStyle w:val="a6"/>
          <w:sz w:val="36"/>
          <w:szCs w:val="36"/>
          <w:rtl/>
        </w:rPr>
        <w:footnoteReference w:id="123"/>
      </w:r>
      <w:r w:rsidR="009C58C8" w:rsidRPr="00FD211F">
        <w:rPr>
          <w:rStyle w:val="a6"/>
          <w:sz w:val="36"/>
          <w:szCs w:val="36"/>
          <w:rtl/>
        </w:rPr>
        <w:t>)</w:t>
      </w:r>
      <w:r w:rsidR="00912996" w:rsidRPr="00FD211F">
        <w:rPr>
          <w:sz w:val="36"/>
          <w:szCs w:val="36"/>
          <w:rtl/>
        </w:rPr>
        <w:t>.</w:t>
      </w:r>
      <w:r w:rsidRPr="00FD211F">
        <w:rPr>
          <w:sz w:val="36"/>
          <w:szCs w:val="36"/>
          <w:rtl/>
        </w:rPr>
        <w:t xml:space="preserve"> </w:t>
      </w:r>
    </w:p>
    <w:p w14:paraId="375226D1" w14:textId="77777777" w:rsidR="00366DF7" w:rsidRPr="00FD211F" w:rsidRDefault="00366DF7" w:rsidP="009C58C8">
      <w:pPr>
        <w:ind w:left="0" w:firstLine="227"/>
        <w:jc w:val="both"/>
        <w:rPr>
          <w:sz w:val="36"/>
          <w:szCs w:val="36"/>
          <w:rtl/>
        </w:rPr>
      </w:pPr>
      <w:r w:rsidRPr="00FD211F">
        <w:rPr>
          <w:sz w:val="36"/>
          <w:szCs w:val="36"/>
          <w:rtl/>
        </w:rPr>
        <w:t>وفيه ان الظاهر من العبار</w:t>
      </w:r>
      <w:r w:rsidR="00EC7EDF" w:rsidRPr="00FD211F">
        <w:rPr>
          <w:sz w:val="36"/>
          <w:szCs w:val="36"/>
          <w:rtl/>
        </w:rPr>
        <w:t xml:space="preserve">ة </w:t>
      </w:r>
      <w:r w:rsidRPr="00FD211F">
        <w:rPr>
          <w:sz w:val="36"/>
          <w:szCs w:val="36"/>
          <w:rtl/>
        </w:rPr>
        <w:t>التي نقلناها في تبيين مسلك الهوهوي</w:t>
      </w:r>
      <w:r w:rsidR="00EC7EDF" w:rsidRPr="00FD211F">
        <w:rPr>
          <w:sz w:val="36"/>
          <w:szCs w:val="36"/>
          <w:rtl/>
        </w:rPr>
        <w:t xml:space="preserve">ة </w:t>
      </w:r>
      <w:r w:rsidRPr="00FD211F">
        <w:rPr>
          <w:sz w:val="36"/>
          <w:szCs w:val="36"/>
          <w:rtl/>
        </w:rPr>
        <w:t>انه توجد في الذهن صورتان صور</w:t>
      </w:r>
      <w:r w:rsidR="00EC7EDF" w:rsidRPr="00FD211F">
        <w:rPr>
          <w:sz w:val="36"/>
          <w:szCs w:val="36"/>
          <w:rtl/>
        </w:rPr>
        <w:t xml:space="preserve">ة </w:t>
      </w:r>
      <w:r w:rsidRPr="00FD211F">
        <w:rPr>
          <w:sz w:val="36"/>
          <w:szCs w:val="36"/>
          <w:rtl/>
        </w:rPr>
        <w:t>اللفظ وصور</w:t>
      </w:r>
      <w:r w:rsidR="00EC7EDF" w:rsidRPr="00FD211F">
        <w:rPr>
          <w:sz w:val="36"/>
          <w:szCs w:val="36"/>
          <w:rtl/>
        </w:rPr>
        <w:t xml:space="preserve">ة </w:t>
      </w:r>
      <w:r w:rsidRPr="00FD211F">
        <w:rPr>
          <w:sz w:val="36"/>
          <w:szCs w:val="36"/>
          <w:rtl/>
        </w:rPr>
        <w:t>المعنى ولكن تكون صور</w:t>
      </w:r>
      <w:r w:rsidR="00EC7EDF" w:rsidRPr="00FD211F">
        <w:rPr>
          <w:sz w:val="36"/>
          <w:szCs w:val="36"/>
          <w:rtl/>
        </w:rPr>
        <w:t xml:space="preserve">ة </w:t>
      </w:r>
      <w:r w:rsidRPr="00FD211F">
        <w:rPr>
          <w:sz w:val="36"/>
          <w:szCs w:val="36"/>
          <w:rtl/>
        </w:rPr>
        <w:t>اللفظ مغفولا عنها ولايلحظ اليها الا كأنها صور</w:t>
      </w:r>
      <w:r w:rsidR="00EC7EDF" w:rsidRPr="00FD211F">
        <w:rPr>
          <w:sz w:val="36"/>
          <w:szCs w:val="36"/>
          <w:rtl/>
        </w:rPr>
        <w:t xml:space="preserve">ة </w:t>
      </w:r>
      <w:r w:rsidRPr="00FD211F">
        <w:rPr>
          <w:sz w:val="36"/>
          <w:szCs w:val="36"/>
          <w:rtl/>
        </w:rPr>
        <w:t>المعنى</w:t>
      </w:r>
      <w:r w:rsidR="00603323" w:rsidRPr="00FD211F">
        <w:rPr>
          <w:sz w:val="36"/>
          <w:szCs w:val="36"/>
          <w:rtl/>
        </w:rPr>
        <w:t xml:space="preserve">، </w:t>
      </w:r>
      <w:r w:rsidRPr="00FD211F">
        <w:rPr>
          <w:sz w:val="36"/>
          <w:szCs w:val="36"/>
          <w:rtl/>
        </w:rPr>
        <w:t>فالمراد من الهوهوي</w:t>
      </w:r>
      <w:r w:rsidR="00EC7EDF" w:rsidRPr="00FD211F">
        <w:rPr>
          <w:sz w:val="36"/>
          <w:szCs w:val="36"/>
          <w:rtl/>
        </w:rPr>
        <w:t xml:space="preserve">ة </w:t>
      </w:r>
      <w:r w:rsidRPr="00FD211F">
        <w:rPr>
          <w:sz w:val="36"/>
          <w:szCs w:val="36"/>
          <w:rtl/>
        </w:rPr>
        <w:t>بين اللفظ والمعنى هو الهوهوي</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لاالهوهوي</w:t>
      </w:r>
      <w:r w:rsidR="00EC7EDF" w:rsidRPr="00FD211F">
        <w:rPr>
          <w:sz w:val="36"/>
          <w:szCs w:val="36"/>
          <w:rtl/>
        </w:rPr>
        <w:t xml:space="preserve">ة </w:t>
      </w:r>
      <w:r w:rsidRPr="00FD211F">
        <w:rPr>
          <w:sz w:val="36"/>
          <w:szCs w:val="36"/>
          <w:rtl/>
        </w:rPr>
        <w:t>التصديق</w:t>
      </w:r>
      <w:r w:rsidR="00EC7EDF" w:rsidRPr="00FD211F">
        <w:rPr>
          <w:sz w:val="36"/>
          <w:szCs w:val="36"/>
          <w:rtl/>
        </w:rPr>
        <w:t xml:space="preserve">ة </w:t>
      </w:r>
      <w:r w:rsidRPr="00FD211F">
        <w:rPr>
          <w:sz w:val="36"/>
          <w:szCs w:val="36"/>
          <w:rtl/>
        </w:rPr>
        <w:t>وهذا الذي يعبر عنه في الكلمات بلحاظ اللفظ في المعنى</w:t>
      </w:r>
      <w:r w:rsidR="00603323" w:rsidRPr="00FD211F">
        <w:rPr>
          <w:sz w:val="36"/>
          <w:szCs w:val="36"/>
          <w:rtl/>
        </w:rPr>
        <w:t xml:space="preserve">، </w:t>
      </w:r>
      <w:r w:rsidRPr="00FD211F">
        <w:rPr>
          <w:sz w:val="36"/>
          <w:szCs w:val="36"/>
          <w:rtl/>
        </w:rPr>
        <w:t>فلاي</w:t>
      </w:r>
      <w:r w:rsidR="00656091" w:rsidRPr="00FD211F">
        <w:rPr>
          <w:sz w:val="36"/>
          <w:szCs w:val="36"/>
          <w:rtl/>
        </w:rPr>
        <w:t>رد على مسلك الهوهوي</w:t>
      </w:r>
      <w:r w:rsidR="00EC7EDF" w:rsidRPr="00FD211F">
        <w:rPr>
          <w:sz w:val="36"/>
          <w:szCs w:val="36"/>
          <w:rtl/>
        </w:rPr>
        <w:t xml:space="preserve">ة </w:t>
      </w:r>
      <w:r w:rsidRPr="00FD211F">
        <w:rPr>
          <w:sz w:val="36"/>
          <w:szCs w:val="36"/>
          <w:rtl/>
        </w:rPr>
        <w:t>اشكال من هذا القبيل.</w:t>
      </w:r>
    </w:p>
    <w:p w14:paraId="65A80168" w14:textId="77777777" w:rsidR="00DA7474" w:rsidRPr="00FD211F" w:rsidRDefault="00366DF7" w:rsidP="009C58C8">
      <w:pPr>
        <w:ind w:left="0" w:firstLine="227"/>
        <w:jc w:val="both"/>
        <w:rPr>
          <w:sz w:val="36"/>
          <w:szCs w:val="36"/>
          <w:rtl/>
        </w:rPr>
      </w:pPr>
      <w:r w:rsidRPr="00FD211F">
        <w:rPr>
          <w:sz w:val="36"/>
          <w:szCs w:val="36"/>
          <w:rtl/>
        </w:rPr>
        <w:t>نعم ي</w:t>
      </w:r>
      <w:r w:rsidR="00A47938" w:rsidRPr="00FD211F">
        <w:rPr>
          <w:sz w:val="36"/>
          <w:szCs w:val="36"/>
          <w:rtl/>
        </w:rPr>
        <w:t xml:space="preserve">رد </w:t>
      </w:r>
      <w:r w:rsidRPr="00FD211F">
        <w:rPr>
          <w:sz w:val="36"/>
          <w:szCs w:val="36"/>
          <w:rtl/>
        </w:rPr>
        <w:t>عل</w:t>
      </w:r>
      <w:r w:rsidR="00656091" w:rsidRPr="00FD211F">
        <w:rPr>
          <w:sz w:val="36"/>
          <w:szCs w:val="36"/>
          <w:rtl/>
        </w:rPr>
        <w:t>ى</w:t>
      </w:r>
      <w:r w:rsidR="00A47938" w:rsidRPr="00FD211F">
        <w:rPr>
          <w:sz w:val="36"/>
          <w:szCs w:val="36"/>
          <w:rtl/>
        </w:rPr>
        <w:t xml:space="preserve"> هذا</w:t>
      </w:r>
      <w:r w:rsidR="00656091" w:rsidRPr="00FD211F">
        <w:rPr>
          <w:sz w:val="36"/>
          <w:szCs w:val="36"/>
          <w:rtl/>
        </w:rPr>
        <w:t xml:space="preserve"> </w:t>
      </w:r>
      <w:r w:rsidR="00A47938" w:rsidRPr="00FD211F">
        <w:rPr>
          <w:sz w:val="36"/>
          <w:szCs w:val="36"/>
          <w:rtl/>
        </w:rPr>
        <w:t>المسلك أ</w:t>
      </w:r>
      <w:r w:rsidR="00DA7474" w:rsidRPr="00FD211F">
        <w:rPr>
          <w:sz w:val="36"/>
          <w:szCs w:val="36"/>
          <w:rtl/>
        </w:rPr>
        <w:t xml:space="preserve">نه </w:t>
      </w:r>
      <w:r w:rsidR="00A47938" w:rsidRPr="00FD211F">
        <w:rPr>
          <w:sz w:val="36"/>
          <w:szCs w:val="36"/>
          <w:rtl/>
        </w:rPr>
        <w:t xml:space="preserve">وان كان </w:t>
      </w:r>
      <w:r w:rsidR="00DA7474" w:rsidRPr="00FD211F">
        <w:rPr>
          <w:sz w:val="36"/>
          <w:szCs w:val="36"/>
          <w:rtl/>
        </w:rPr>
        <w:t xml:space="preserve">لاريب </w:t>
      </w:r>
      <w:r w:rsidR="00A92AFA" w:rsidRPr="00FD211F">
        <w:rPr>
          <w:sz w:val="36"/>
          <w:szCs w:val="36"/>
          <w:rtl/>
        </w:rPr>
        <w:t>في تحقق الهوهوي</w:t>
      </w:r>
      <w:r w:rsidR="00EC7EDF" w:rsidRPr="00FD211F">
        <w:rPr>
          <w:sz w:val="36"/>
          <w:szCs w:val="36"/>
          <w:rtl/>
        </w:rPr>
        <w:t xml:space="preserve">ة </w:t>
      </w:r>
      <w:r w:rsidR="00A92AFA" w:rsidRPr="00FD211F">
        <w:rPr>
          <w:sz w:val="36"/>
          <w:szCs w:val="36"/>
          <w:rtl/>
        </w:rPr>
        <w:t>التصوري</w:t>
      </w:r>
      <w:r w:rsidR="00EC7EDF" w:rsidRPr="00FD211F">
        <w:rPr>
          <w:sz w:val="36"/>
          <w:szCs w:val="36"/>
          <w:rtl/>
        </w:rPr>
        <w:t xml:space="preserve">ة </w:t>
      </w:r>
      <w:r w:rsidR="00A47938" w:rsidRPr="00FD211F">
        <w:rPr>
          <w:sz w:val="36"/>
          <w:szCs w:val="36"/>
          <w:rtl/>
        </w:rPr>
        <w:t>للعرف العام بين اللفظ والمعنى</w:t>
      </w:r>
      <w:r w:rsidR="00A92AFA" w:rsidRPr="00FD211F">
        <w:rPr>
          <w:sz w:val="36"/>
          <w:szCs w:val="36"/>
          <w:rtl/>
        </w:rPr>
        <w:t xml:space="preserve"> </w:t>
      </w:r>
      <w:r w:rsidR="00A47938" w:rsidRPr="00FD211F">
        <w:rPr>
          <w:sz w:val="36"/>
          <w:szCs w:val="36"/>
          <w:rtl/>
        </w:rPr>
        <w:t>-</w:t>
      </w:r>
      <w:r w:rsidR="00ED5D02" w:rsidRPr="00FD211F">
        <w:rPr>
          <w:sz w:val="36"/>
          <w:szCs w:val="36"/>
          <w:rtl/>
        </w:rPr>
        <w:t>بمعنى لحاظ</w:t>
      </w:r>
      <w:r w:rsidR="00A92AFA" w:rsidRPr="00FD211F">
        <w:rPr>
          <w:sz w:val="36"/>
          <w:szCs w:val="36"/>
          <w:rtl/>
        </w:rPr>
        <w:t xml:space="preserve"> اللفظ فانيا </w:t>
      </w:r>
      <w:r w:rsidRPr="00FD211F">
        <w:rPr>
          <w:sz w:val="36"/>
          <w:szCs w:val="36"/>
          <w:rtl/>
        </w:rPr>
        <w:t xml:space="preserve">في </w:t>
      </w:r>
      <w:r w:rsidR="00A92AFA" w:rsidRPr="00FD211F">
        <w:rPr>
          <w:sz w:val="36"/>
          <w:szCs w:val="36"/>
          <w:rtl/>
        </w:rPr>
        <w:t>المعنى</w:t>
      </w:r>
      <w:r w:rsidR="00ED5D02" w:rsidRPr="00FD211F">
        <w:rPr>
          <w:sz w:val="36"/>
          <w:szCs w:val="36"/>
          <w:rtl/>
        </w:rPr>
        <w:t xml:space="preserve"> بحيث</w:t>
      </w:r>
      <w:r w:rsidR="00A92AFA" w:rsidRPr="00FD211F">
        <w:rPr>
          <w:sz w:val="36"/>
          <w:szCs w:val="36"/>
          <w:rtl/>
        </w:rPr>
        <w:t xml:space="preserve"> لايلتفت اليه تفصيلا</w:t>
      </w:r>
      <w:r w:rsidR="00A47938" w:rsidRPr="00FD211F">
        <w:rPr>
          <w:sz w:val="36"/>
          <w:szCs w:val="36"/>
          <w:rtl/>
        </w:rPr>
        <w:t xml:space="preserve"> عاد</w:t>
      </w:r>
      <w:r w:rsidR="00EC7EDF" w:rsidRPr="00FD211F">
        <w:rPr>
          <w:sz w:val="36"/>
          <w:szCs w:val="36"/>
          <w:rtl/>
        </w:rPr>
        <w:t xml:space="preserve">ة </w:t>
      </w:r>
      <w:r w:rsidR="00A47938" w:rsidRPr="00FD211F">
        <w:rPr>
          <w:sz w:val="36"/>
          <w:szCs w:val="36"/>
          <w:rtl/>
        </w:rPr>
        <w:t>وان كان</w:t>
      </w:r>
      <w:r w:rsidR="00B253CE" w:rsidRPr="00FD211F">
        <w:rPr>
          <w:sz w:val="36"/>
          <w:szCs w:val="36"/>
          <w:rtl/>
        </w:rPr>
        <w:t xml:space="preserve"> </w:t>
      </w:r>
      <w:r w:rsidR="00A47938" w:rsidRPr="00FD211F">
        <w:rPr>
          <w:sz w:val="36"/>
          <w:szCs w:val="36"/>
          <w:rtl/>
        </w:rPr>
        <w:t>يلتف</w:t>
      </w:r>
      <w:r w:rsidR="0069444D" w:rsidRPr="00FD211F">
        <w:rPr>
          <w:sz w:val="36"/>
          <w:szCs w:val="36"/>
          <w:rtl/>
        </w:rPr>
        <w:t>ت</w:t>
      </w:r>
      <w:r w:rsidR="00A92AFA" w:rsidRPr="00FD211F">
        <w:rPr>
          <w:sz w:val="36"/>
          <w:szCs w:val="36"/>
          <w:rtl/>
        </w:rPr>
        <w:t xml:space="preserve"> اليه اجمالا</w:t>
      </w:r>
      <w:r w:rsidR="00603323" w:rsidRPr="00FD211F">
        <w:rPr>
          <w:sz w:val="36"/>
          <w:szCs w:val="36"/>
          <w:rtl/>
        </w:rPr>
        <w:t xml:space="preserve">، </w:t>
      </w:r>
      <w:r w:rsidR="00A92AFA" w:rsidRPr="00FD211F">
        <w:rPr>
          <w:sz w:val="36"/>
          <w:szCs w:val="36"/>
          <w:rtl/>
        </w:rPr>
        <w:t>ولذ</w:t>
      </w:r>
      <w:r w:rsidR="00ED5D02" w:rsidRPr="00FD211F">
        <w:rPr>
          <w:sz w:val="36"/>
          <w:szCs w:val="36"/>
          <w:rtl/>
        </w:rPr>
        <w:t>لك</w:t>
      </w:r>
      <w:r w:rsidR="00A92AFA" w:rsidRPr="00FD211F">
        <w:rPr>
          <w:sz w:val="36"/>
          <w:szCs w:val="36"/>
          <w:rtl/>
        </w:rPr>
        <w:t xml:space="preserve"> يلتفت السامع الى</w:t>
      </w:r>
      <w:r w:rsidR="00ED5D02" w:rsidRPr="00FD211F">
        <w:rPr>
          <w:sz w:val="36"/>
          <w:szCs w:val="36"/>
          <w:rtl/>
        </w:rPr>
        <w:t xml:space="preserve"> حسن صوت المتكلم او قبحه او</w:t>
      </w:r>
      <w:r w:rsidR="00A92AFA" w:rsidRPr="00FD211F">
        <w:rPr>
          <w:sz w:val="36"/>
          <w:szCs w:val="36"/>
          <w:rtl/>
        </w:rPr>
        <w:t xml:space="preserve"> خطأ</w:t>
      </w:r>
      <w:r w:rsidR="00ED5D02" w:rsidRPr="00FD211F">
        <w:rPr>
          <w:sz w:val="36"/>
          <w:szCs w:val="36"/>
          <w:rtl/>
        </w:rPr>
        <w:t>ه</w:t>
      </w:r>
      <w:r w:rsidR="00A92AFA" w:rsidRPr="00FD211F">
        <w:rPr>
          <w:sz w:val="36"/>
          <w:szCs w:val="36"/>
          <w:rtl/>
        </w:rPr>
        <w:t xml:space="preserve"> </w:t>
      </w:r>
      <w:r w:rsidR="00ED5D02" w:rsidRPr="00FD211F">
        <w:rPr>
          <w:sz w:val="36"/>
          <w:szCs w:val="36"/>
          <w:rtl/>
        </w:rPr>
        <w:t>من حيث الاعراب والبناء ونحو ذلك</w:t>
      </w:r>
      <w:r w:rsidR="00A47938" w:rsidRPr="00FD211F">
        <w:rPr>
          <w:sz w:val="36"/>
          <w:szCs w:val="36"/>
          <w:rtl/>
        </w:rPr>
        <w:t>-</w:t>
      </w:r>
      <w:r w:rsidR="00A92AFA" w:rsidRPr="00FD211F">
        <w:rPr>
          <w:sz w:val="36"/>
          <w:szCs w:val="36"/>
          <w:rtl/>
        </w:rPr>
        <w:t xml:space="preserve"> ولكن </w:t>
      </w:r>
      <w:r w:rsidR="00F62D86" w:rsidRPr="00FD211F">
        <w:rPr>
          <w:sz w:val="36"/>
          <w:szCs w:val="36"/>
          <w:rtl/>
        </w:rPr>
        <w:t>هذه الهوهوي</w:t>
      </w:r>
      <w:r w:rsidR="00EC7EDF" w:rsidRPr="00FD211F">
        <w:rPr>
          <w:sz w:val="36"/>
          <w:szCs w:val="36"/>
          <w:rtl/>
        </w:rPr>
        <w:t xml:space="preserve">ة </w:t>
      </w:r>
      <w:r w:rsidR="00F62D86" w:rsidRPr="00FD211F">
        <w:rPr>
          <w:sz w:val="36"/>
          <w:szCs w:val="36"/>
          <w:rtl/>
        </w:rPr>
        <w:t>التصوري</w:t>
      </w:r>
      <w:r w:rsidR="00EC7EDF" w:rsidRPr="00FD211F">
        <w:rPr>
          <w:sz w:val="36"/>
          <w:szCs w:val="36"/>
          <w:rtl/>
        </w:rPr>
        <w:t xml:space="preserve">ة </w:t>
      </w:r>
      <w:r w:rsidR="00F62D86" w:rsidRPr="00FD211F">
        <w:rPr>
          <w:sz w:val="36"/>
          <w:szCs w:val="36"/>
          <w:rtl/>
        </w:rPr>
        <w:t>تكون</w:t>
      </w:r>
      <w:r w:rsidR="00A92AFA" w:rsidRPr="00FD211F">
        <w:rPr>
          <w:sz w:val="36"/>
          <w:szCs w:val="36"/>
          <w:rtl/>
        </w:rPr>
        <w:t xml:space="preserve"> من نتائج ترسخ العلق</w:t>
      </w:r>
      <w:r w:rsidR="00EC7EDF" w:rsidRPr="00FD211F">
        <w:rPr>
          <w:sz w:val="36"/>
          <w:szCs w:val="36"/>
          <w:rtl/>
        </w:rPr>
        <w:t xml:space="preserve">ة </w:t>
      </w:r>
      <w:r w:rsidR="00A92AFA" w:rsidRPr="00FD211F">
        <w:rPr>
          <w:sz w:val="36"/>
          <w:szCs w:val="36"/>
          <w:rtl/>
        </w:rPr>
        <w:t>الوضعي</w:t>
      </w:r>
      <w:r w:rsidR="00EC7EDF" w:rsidRPr="00FD211F">
        <w:rPr>
          <w:sz w:val="36"/>
          <w:szCs w:val="36"/>
          <w:rtl/>
        </w:rPr>
        <w:t xml:space="preserve">ة </w:t>
      </w:r>
      <w:r w:rsidR="00A92AFA" w:rsidRPr="00FD211F">
        <w:rPr>
          <w:sz w:val="36"/>
          <w:szCs w:val="36"/>
          <w:rtl/>
        </w:rPr>
        <w:t>بين اللفظ والمعنى في أذهان اهل اللغ</w:t>
      </w:r>
      <w:r w:rsidR="00EC7EDF" w:rsidRPr="00FD211F">
        <w:rPr>
          <w:sz w:val="36"/>
          <w:szCs w:val="36"/>
          <w:rtl/>
        </w:rPr>
        <w:t>ة</w:t>
      </w:r>
      <w:r w:rsidR="00603323" w:rsidRPr="00FD211F">
        <w:rPr>
          <w:sz w:val="36"/>
          <w:szCs w:val="36"/>
          <w:rtl/>
        </w:rPr>
        <w:t xml:space="preserve">، </w:t>
      </w:r>
      <w:r w:rsidR="00982348" w:rsidRPr="00FD211F">
        <w:rPr>
          <w:sz w:val="36"/>
          <w:szCs w:val="36"/>
          <w:rtl/>
        </w:rPr>
        <w:t>ويترتب على هذه الهوهوي</w:t>
      </w:r>
      <w:r w:rsidR="00EC7EDF" w:rsidRPr="00FD211F">
        <w:rPr>
          <w:sz w:val="36"/>
          <w:szCs w:val="36"/>
          <w:rtl/>
        </w:rPr>
        <w:t xml:space="preserve">ة </w:t>
      </w:r>
      <w:r w:rsidR="00982348" w:rsidRPr="00FD211F">
        <w:rPr>
          <w:sz w:val="36"/>
          <w:szCs w:val="36"/>
          <w:rtl/>
        </w:rPr>
        <w:t>التصوري</w:t>
      </w:r>
      <w:r w:rsidR="00EC7EDF" w:rsidRPr="00FD211F">
        <w:rPr>
          <w:sz w:val="36"/>
          <w:szCs w:val="36"/>
          <w:rtl/>
        </w:rPr>
        <w:t xml:space="preserve">ة </w:t>
      </w:r>
      <w:r w:rsidR="00982348" w:rsidRPr="00FD211F">
        <w:rPr>
          <w:sz w:val="36"/>
          <w:szCs w:val="36"/>
          <w:rtl/>
        </w:rPr>
        <w:t>ما ذكره من سريان حسن المعنى وقبحه الى اللفظ ونحو ذلك بعد فتر</w:t>
      </w:r>
      <w:r w:rsidR="00EC7EDF" w:rsidRPr="00FD211F">
        <w:rPr>
          <w:sz w:val="36"/>
          <w:szCs w:val="36"/>
          <w:rtl/>
        </w:rPr>
        <w:t xml:space="preserve">ة </w:t>
      </w:r>
      <w:r w:rsidR="00982348" w:rsidRPr="00FD211F">
        <w:rPr>
          <w:sz w:val="36"/>
          <w:szCs w:val="36"/>
          <w:rtl/>
        </w:rPr>
        <w:t>من تحقق العلق</w:t>
      </w:r>
      <w:r w:rsidR="00EC7EDF" w:rsidRPr="00FD211F">
        <w:rPr>
          <w:sz w:val="36"/>
          <w:szCs w:val="36"/>
          <w:rtl/>
        </w:rPr>
        <w:t xml:space="preserve">ة </w:t>
      </w:r>
      <w:r w:rsidR="00982348" w:rsidRPr="00FD211F">
        <w:rPr>
          <w:sz w:val="36"/>
          <w:szCs w:val="36"/>
          <w:rtl/>
        </w:rPr>
        <w:t>الوضعي</w:t>
      </w:r>
      <w:r w:rsidR="00EC7EDF" w:rsidRPr="00FD211F">
        <w:rPr>
          <w:sz w:val="36"/>
          <w:szCs w:val="36"/>
          <w:rtl/>
        </w:rPr>
        <w:t xml:space="preserve">ة </w:t>
      </w:r>
      <w:r w:rsidR="00982348" w:rsidRPr="00FD211F">
        <w:rPr>
          <w:sz w:val="36"/>
          <w:szCs w:val="36"/>
          <w:rtl/>
        </w:rPr>
        <w:t>بحيث ترسخت</w:t>
      </w:r>
      <w:r w:rsidR="00F62D86" w:rsidRPr="00FD211F">
        <w:rPr>
          <w:sz w:val="36"/>
          <w:szCs w:val="36"/>
          <w:rtl/>
        </w:rPr>
        <w:t xml:space="preserve"> في ذهن العرف</w:t>
      </w:r>
      <w:r w:rsidR="00603323" w:rsidRPr="00FD211F">
        <w:rPr>
          <w:sz w:val="36"/>
          <w:szCs w:val="36"/>
          <w:rtl/>
        </w:rPr>
        <w:t xml:space="preserve">، </w:t>
      </w:r>
      <w:r w:rsidR="00F62D86" w:rsidRPr="00FD211F">
        <w:rPr>
          <w:sz w:val="36"/>
          <w:szCs w:val="36"/>
          <w:rtl/>
        </w:rPr>
        <w:t>ولكنه لايعني ان الهوهوي</w:t>
      </w:r>
      <w:r w:rsidR="00EC7EDF" w:rsidRPr="00FD211F">
        <w:rPr>
          <w:sz w:val="36"/>
          <w:szCs w:val="36"/>
          <w:rtl/>
        </w:rPr>
        <w:t xml:space="preserve">ة </w:t>
      </w:r>
      <w:r w:rsidR="00F62D86" w:rsidRPr="00FD211F">
        <w:rPr>
          <w:sz w:val="36"/>
          <w:szCs w:val="36"/>
          <w:rtl/>
        </w:rPr>
        <w:t>التصوري</w:t>
      </w:r>
      <w:r w:rsidR="00EC7EDF" w:rsidRPr="00FD211F">
        <w:rPr>
          <w:sz w:val="36"/>
          <w:szCs w:val="36"/>
          <w:rtl/>
        </w:rPr>
        <w:t xml:space="preserve">ة </w:t>
      </w:r>
      <w:r w:rsidR="00982348" w:rsidRPr="00FD211F">
        <w:rPr>
          <w:sz w:val="36"/>
          <w:szCs w:val="36"/>
          <w:rtl/>
        </w:rPr>
        <w:t>هي العلق</w:t>
      </w:r>
      <w:r w:rsidR="00EC7EDF" w:rsidRPr="00FD211F">
        <w:rPr>
          <w:sz w:val="36"/>
          <w:szCs w:val="36"/>
          <w:rtl/>
        </w:rPr>
        <w:t xml:space="preserve">ة </w:t>
      </w:r>
      <w:r w:rsidR="00982348" w:rsidRPr="00FD211F">
        <w:rPr>
          <w:sz w:val="36"/>
          <w:szCs w:val="36"/>
          <w:rtl/>
        </w:rPr>
        <w:t>الوضعي</w:t>
      </w:r>
      <w:r w:rsidR="00EC7EDF" w:rsidRPr="00FD211F">
        <w:rPr>
          <w:sz w:val="36"/>
          <w:szCs w:val="36"/>
          <w:rtl/>
        </w:rPr>
        <w:t>ة</w:t>
      </w:r>
      <w:r w:rsidR="00603323" w:rsidRPr="00FD211F">
        <w:rPr>
          <w:sz w:val="36"/>
          <w:szCs w:val="36"/>
          <w:rtl/>
        </w:rPr>
        <w:t xml:space="preserve">، </w:t>
      </w:r>
      <w:r w:rsidR="00F62D86" w:rsidRPr="00FD211F">
        <w:rPr>
          <w:sz w:val="36"/>
          <w:szCs w:val="36"/>
          <w:rtl/>
        </w:rPr>
        <w:t>ويشهد على ذلك ان</w:t>
      </w:r>
      <w:r w:rsidR="00982348" w:rsidRPr="00FD211F">
        <w:rPr>
          <w:sz w:val="36"/>
          <w:szCs w:val="36"/>
          <w:rtl/>
        </w:rPr>
        <w:t xml:space="preserve"> العلق</w:t>
      </w:r>
      <w:r w:rsidR="00EC7EDF" w:rsidRPr="00FD211F">
        <w:rPr>
          <w:sz w:val="36"/>
          <w:szCs w:val="36"/>
          <w:rtl/>
        </w:rPr>
        <w:t xml:space="preserve">ة </w:t>
      </w:r>
      <w:r w:rsidR="00982348" w:rsidRPr="00FD211F">
        <w:rPr>
          <w:sz w:val="36"/>
          <w:szCs w:val="36"/>
          <w:rtl/>
        </w:rPr>
        <w:t>الوضعي</w:t>
      </w:r>
      <w:r w:rsidR="00EC7EDF" w:rsidRPr="00FD211F">
        <w:rPr>
          <w:sz w:val="36"/>
          <w:szCs w:val="36"/>
          <w:rtl/>
        </w:rPr>
        <w:t xml:space="preserve">ة </w:t>
      </w:r>
      <w:r w:rsidR="00982348" w:rsidRPr="00FD211F">
        <w:rPr>
          <w:sz w:val="36"/>
          <w:szCs w:val="36"/>
          <w:rtl/>
        </w:rPr>
        <w:t>لاتختص باللفظ</w:t>
      </w:r>
      <w:r w:rsidR="00603323" w:rsidRPr="00FD211F">
        <w:rPr>
          <w:sz w:val="36"/>
          <w:szCs w:val="36"/>
          <w:rtl/>
        </w:rPr>
        <w:t xml:space="preserve">، </w:t>
      </w:r>
      <w:r w:rsidR="00982348" w:rsidRPr="00FD211F">
        <w:rPr>
          <w:sz w:val="36"/>
          <w:szCs w:val="36"/>
          <w:rtl/>
        </w:rPr>
        <w:t>فقد توضع اشار</w:t>
      </w:r>
      <w:r w:rsidR="00EC7EDF" w:rsidRPr="00FD211F">
        <w:rPr>
          <w:sz w:val="36"/>
          <w:szCs w:val="36"/>
          <w:rtl/>
        </w:rPr>
        <w:t xml:space="preserve">ة </w:t>
      </w:r>
      <w:r w:rsidR="00982348" w:rsidRPr="00FD211F">
        <w:rPr>
          <w:sz w:val="36"/>
          <w:szCs w:val="36"/>
          <w:rtl/>
        </w:rPr>
        <w:t>الأخرس على معنى معين</w:t>
      </w:r>
      <w:r w:rsidR="00603323" w:rsidRPr="00FD211F">
        <w:rPr>
          <w:sz w:val="36"/>
          <w:szCs w:val="36"/>
          <w:rtl/>
        </w:rPr>
        <w:t xml:space="preserve">، </w:t>
      </w:r>
      <w:r w:rsidR="00227D44" w:rsidRPr="00FD211F">
        <w:rPr>
          <w:sz w:val="36"/>
          <w:szCs w:val="36"/>
          <w:rtl/>
        </w:rPr>
        <w:t>وبذلك تتم العلق</w:t>
      </w:r>
      <w:r w:rsidR="00EC7EDF" w:rsidRPr="00FD211F">
        <w:rPr>
          <w:sz w:val="36"/>
          <w:szCs w:val="36"/>
          <w:rtl/>
        </w:rPr>
        <w:t xml:space="preserve">ة </w:t>
      </w:r>
      <w:r w:rsidR="00227D44" w:rsidRPr="00FD211F">
        <w:rPr>
          <w:sz w:val="36"/>
          <w:szCs w:val="36"/>
          <w:rtl/>
        </w:rPr>
        <w:t>الوضعي</w:t>
      </w:r>
      <w:r w:rsidR="00EC7EDF" w:rsidRPr="00FD211F">
        <w:rPr>
          <w:sz w:val="36"/>
          <w:szCs w:val="36"/>
          <w:rtl/>
        </w:rPr>
        <w:t xml:space="preserve">ة </w:t>
      </w:r>
      <w:r w:rsidR="00227D44" w:rsidRPr="00FD211F">
        <w:rPr>
          <w:sz w:val="36"/>
          <w:szCs w:val="36"/>
          <w:rtl/>
        </w:rPr>
        <w:t>بينهما</w:t>
      </w:r>
      <w:r w:rsidR="00603323" w:rsidRPr="00FD211F">
        <w:rPr>
          <w:sz w:val="36"/>
          <w:szCs w:val="36"/>
          <w:rtl/>
        </w:rPr>
        <w:t xml:space="preserve">، </w:t>
      </w:r>
      <w:r w:rsidR="00227D44" w:rsidRPr="00FD211F">
        <w:rPr>
          <w:sz w:val="36"/>
          <w:szCs w:val="36"/>
          <w:rtl/>
        </w:rPr>
        <w:t>ولامعنى لإنكار العلق</w:t>
      </w:r>
      <w:r w:rsidR="00EC7EDF" w:rsidRPr="00FD211F">
        <w:rPr>
          <w:sz w:val="36"/>
          <w:szCs w:val="36"/>
          <w:rtl/>
        </w:rPr>
        <w:t xml:space="preserve">ة </w:t>
      </w:r>
      <w:r w:rsidR="00227D44" w:rsidRPr="00FD211F">
        <w:rPr>
          <w:sz w:val="36"/>
          <w:szCs w:val="36"/>
          <w:rtl/>
        </w:rPr>
        <w:t>الوضعي</w:t>
      </w:r>
      <w:r w:rsidR="00EC7EDF" w:rsidRPr="00FD211F">
        <w:rPr>
          <w:sz w:val="36"/>
          <w:szCs w:val="36"/>
          <w:rtl/>
        </w:rPr>
        <w:t xml:space="preserve">ة </w:t>
      </w:r>
      <w:r w:rsidR="00227D44" w:rsidRPr="00FD211F">
        <w:rPr>
          <w:sz w:val="36"/>
          <w:szCs w:val="36"/>
          <w:rtl/>
        </w:rPr>
        <w:t xml:space="preserve">في </w:t>
      </w:r>
      <w:r w:rsidR="00D27714" w:rsidRPr="00FD211F">
        <w:rPr>
          <w:sz w:val="36"/>
          <w:szCs w:val="36"/>
          <w:rtl/>
        </w:rPr>
        <w:t>مثلها بمجرد عدم تحقق الهوهوي</w:t>
      </w:r>
      <w:r w:rsidR="00EC7EDF" w:rsidRPr="00FD211F">
        <w:rPr>
          <w:sz w:val="36"/>
          <w:szCs w:val="36"/>
          <w:rtl/>
        </w:rPr>
        <w:t>ة</w:t>
      </w:r>
      <w:r w:rsidR="00603323" w:rsidRPr="00FD211F">
        <w:rPr>
          <w:sz w:val="36"/>
          <w:szCs w:val="36"/>
          <w:rtl/>
        </w:rPr>
        <w:t xml:space="preserve">، </w:t>
      </w:r>
      <w:r w:rsidR="00227D44" w:rsidRPr="00FD211F">
        <w:rPr>
          <w:sz w:val="36"/>
          <w:szCs w:val="36"/>
          <w:rtl/>
        </w:rPr>
        <w:t xml:space="preserve">كما ان ما ذكره من عدم تحقق </w:t>
      </w:r>
      <w:r w:rsidR="00E524CC" w:rsidRPr="00FD211F">
        <w:rPr>
          <w:sz w:val="36"/>
          <w:szCs w:val="36"/>
          <w:rtl/>
        </w:rPr>
        <w:t>العلق</w:t>
      </w:r>
      <w:r w:rsidR="00EC7EDF" w:rsidRPr="00FD211F">
        <w:rPr>
          <w:sz w:val="36"/>
          <w:szCs w:val="36"/>
          <w:rtl/>
        </w:rPr>
        <w:t xml:space="preserve">ة </w:t>
      </w:r>
      <w:r w:rsidR="00E524CC" w:rsidRPr="00FD211F">
        <w:rPr>
          <w:sz w:val="36"/>
          <w:szCs w:val="36"/>
          <w:rtl/>
        </w:rPr>
        <w:t>الوضعي</w:t>
      </w:r>
      <w:r w:rsidR="00EC7EDF" w:rsidRPr="00FD211F">
        <w:rPr>
          <w:sz w:val="36"/>
          <w:szCs w:val="36"/>
          <w:rtl/>
        </w:rPr>
        <w:t xml:space="preserve">ة </w:t>
      </w:r>
      <w:r w:rsidR="00227D44" w:rsidRPr="00FD211F">
        <w:rPr>
          <w:sz w:val="36"/>
          <w:szCs w:val="36"/>
          <w:rtl/>
        </w:rPr>
        <w:t>بين اللفظ والمعنى في حق متعلم اللغ</w:t>
      </w:r>
      <w:r w:rsidR="00EC7EDF" w:rsidRPr="00FD211F">
        <w:rPr>
          <w:sz w:val="36"/>
          <w:szCs w:val="36"/>
          <w:rtl/>
        </w:rPr>
        <w:t xml:space="preserve">ة </w:t>
      </w:r>
      <w:r w:rsidR="00227D44" w:rsidRPr="00FD211F">
        <w:rPr>
          <w:sz w:val="36"/>
          <w:szCs w:val="36"/>
          <w:rtl/>
        </w:rPr>
        <w:t>الأجنبي</w:t>
      </w:r>
      <w:r w:rsidR="00EC7EDF" w:rsidRPr="00FD211F">
        <w:rPr>
          <w:sz w:val="36"/>
          <w:szCs w:val="36"/>
          <w:rtl/>
        </w:rPr>
        <w:t xml:space="preserve">ة </w:t>
      </w:r>
      <w:r w:rsidR="00E524CC" w:rsidRPr="00FD211F">
        <w:rPr>
          <w:sz w:val="36"/>
          <w:szCs w:val="36"/>
          <w:rtl/>
        </w:rPr>
        <w:t>حيث</w:t>
      </w:r>
      <w:r w:rsidR="008D7B3D" w:rsidRPr="00FD211F">
        <w:rPr>
          <w:sz w:val="36"/>
          <w:szCs w:val="36"/>
          <w:rtl/>
        </w:rPr>
        <w:t xml:space="preserve"> لم‌</w:t>
      </w:r>
      <w:r w:rsidR="00227D44" w:rsidRPr="00FD211F">
        <w:rPr>
          <w:sz w:val="36"/>
          <w:szCs w:val="36"/>
          <w:rtl/>
        </w:rPr>
        <w:t>تتحقق في ذهنه الهوهوي</w:t>
      </w:r>
      <w:r w:rsidR="00EC7EDF" w:rsidRPr="00FD211F">
        <w:rPr>
          <w:sz w:val="36"/>
          <w:szCs w:val="36"/>
          <w:rtl/>
        </w:rPr>
        <w:t xml:space="preserve">ة </w:t>
      </w:r>
      <w:r w:rsidR="00227D44" w:rsidRPr="00FD211F">
        <w:rPr>
          <w:sz w:val="36"/>
          <w:szCs w:val="36"/>
          <w:rtl/>
        </w:rPr>
        <w:t>بينهما</w:t>
      </w:r>
      <w:r w:rsidR="00603323" w:rsidRPr="00FD211F">
        <w:rPr>
          <w:sz w:val="36"/>
          <w:szCs w:val="36"/>
          <w:rtl/>
        </w:rPr>
        <w:t xml:space="preserve">، </w:t>
      </w:r>
      <w:r w:rsidR="00D27714" w:rsidRPr="00FD211F">
        <w:rPr>
          <w:sz w:val="36"/>
          <w:szCs w:val="36"/>
          <w:rtl/>
        </w:rPr>
        <w:t>فلايخلو من غراب</w:t>
      </w:r>
      <w:r w:rsidR="00EC7EDF" w:rsidRPr="00FD211F">
        <w:rPr>
          <w:sz w:val="36"/>
          <w:szCs w:val="36"/>
          <w:rtl/>
        </w:rPr>
        <w:t>ة</w:t>
      </w:r>
      <w:r w:rsidR="00A61BAE" w:rsidRPr="00FD211F">
        <w:rPr>
          <w:sz w:val="36"/>
          <w:szCs w:val="36"/>
          <w:rtl/>
        </w:rPr>
        <w:t>.</w:t>
      </w:r>
    </w:p>
    <w:p w14:paraId="794AD8AE" w14:textId="77777777" w:rsidR="0093290F" w:rsidRPr="00FD211F" w:rsidRDefault="0093290F" w:rsidP="009C58C8">
      <w:pPr>
        <w:ind w:left="0" w:firstLine="227"/>
        <w:jc w:val="both"/>
        <w:rPr>
          <w:sz w:val="36"/>
          <w:szCs w:val="36"/>
          <w:rtl/>
        </w:rPr>
      </w:pPr>
      <w:r w:rsidRPr="00FD211F">
        <w:rPr>
          <w:sz w:val="36"/>
          <w:szCs w:val="36"/>
          <w:rtl/>
        </w:rPr>
        <w:t xml:space="preserve">واما ما ذكره </w:t>
      </w:r>
      <w:r w:rsidR="00912996" w:rsidRPr="00FD211F">
        <w:rPr>
          <w:sz w:val="36"/>
          <w:szCs w:val="36"/>
          <w:rtl/>
        </w:rPr>
        <w:t>من ان اعتبار الهوهوي</w:t>
      </w:r>
      <w:r w:rsidR="00EC7EDF" w:rsidRPr="00FD211F">
        <w:rPr>
          <w:sz w:val="36"/>
          <w:szCs w:val="36"/>
          <w:rtl/>
        </w:rPr>
        <w:t xml:space="preserve">ة </w:t>
      </w:r>
      <w:r w:rsidR="00912996" w:rsidRPr="00FD211F">
        <w:rPr>
          <w:sz w:val="36"/>
          <w:szCs w:val="36"/>
          <w:rtl/>
        </w:rPr>
        <w:t>امر سهل</w:t>
      </w:r>
      <w:r w:rsidRPr="00FD211F">
        <w:rPr>
          <w:sz w:val="36"/>
          <w:szCs w:val="36"/>
          <w:rtl/>
        </w:rPr>
        <w:t xml:space="preserve"> فهذا مما لااشكال فيه كبرويا</w:t>
      </w:r>
      <w:r w:rsidR="00603323" w:rsidRPr="00FD211F">
        <w:rPr>
          <w:sz w:val="36"/>
          <w:szCs w:val="36"/>
          <w:rtl/>
        </w:rPr>
        <w:t xml:space="preserve">، </w:t>
      </w:r>
      <w:r w:rsidRPr="00FD211F">
        <w:rPr>
          <w:sz w:val="36"/>
          <w:szCs w:val="36"/>
          <w:rtl/>
        </w:rPr>
        <w:t>وانما الاشكال في تطبيقه على المقام</w:t>
      </w:r>
      <w:r w:rsidR="00603323" w:rsidRPr="00FD211F">
        <w:rPr>
          <w:sz w:val="36"/>
          <w:szCs w:val="36"/>
          <w:rtl/>
        </w:rPr>
        <w:t xml:space="preserve">، </w:t>
      </w:r>
      <w:r w:rsidRPr="00FD211F">
        <w:rPr>
          <w:sz w:val="36"/>
          <w:szCs w:val="36"/>
          <w:rtl/>
        </w:rPr>
        <w:t xml:space="preserve">فان حمل قول الواضع </w:t>
      </w:r>
      <w:r w:rsidR="00E524CC" w:rsidRPr="00FD211F">
        <w:rPr>
          <w:sz w:val="36"/>
          <w:szCs w:val="36"/>
          <w:rtl/>
        </w:rPr>
        <w:t>"</w:t>
      </w:r>
      <w:r w:rsidRPr="00FD211F">
        <w:rPr>
          <w:sz w:val="36"/>
          <w:szCs w:val="36"/>
          <w:rtl/>
        </w:rPr>
        <w:t>سميت ولدي</w:t>
      </w:r>
      <w:r w:rsidR="00841640" w:rsidRPr="00FD211F">
        <w:rPr>
          <w:sz w:val="36"/>
          <w:szCs w:val="36"/>
          <w:rtl/>
        </w:rPr>
        <w:t xml:space="preserve"> باسم الحسين </w:t>
      </w:r>
      <w:r w:rsidR="00E524CC" w:rsidRPr="00FD211F">
        <w:rPr>
          <w:sz w:val="36"/>
          <w:szCs w:val="36"/>
          <w:rtl/>
        </w:rPr>
        <w:t>"</w:t>
      </w:r>
      <w:r w:rsidRPr="00FD211F">
        <w:rPr>
          <w:sz w:val="36"/>
          <w:szCs w:val="36"/>
          <w:rtl/>
        </w:rPr>
        <w:t xml:space="preserve"> على انه </w:t>
      </w:r>
      <w:r w:rsidR="00E524CC" w:rsidRPr="00FD211F">
        <w:rPr>
          <w:sz w:val="36"/>
          <w:szCs w:val="36"/>
          <w:rtl/>
        </w:rPr>
        <w:t>بصدد اعتبار</w:t>
      </w:r>
      <w:r w:rsidR="00841640" w:rsidRPr="00FD211F">
        <w:rPr>
          <w:sz w:val="36"/>
          <w:szCs w:val="36"/>
          <w:rtl/>
        </w:rPr>
        <w:t xml:space="preserve"> الوحد</w:t>
      </w:r>
      <w:r w:rsidR="00EC7EDF" w:rsidRPr="00FD211F">
        <w:rPr>
          <w:sz w:val="36"/>
          <w:szCs w:val="36"/>
          <w:rtl/>
        </w:rPr>
        <w:t xml:space="preserve">ة </w:t>
      </w:r>
      <w:r w:rsidR="00841640" w:rsidRPr="00FD211F">
        <w:rPr>
          <w:sz w:val="36"/>
          <w:szCs w:val="36"/>
          <w:rtl/>
        </w:rPr>
        <w:t>بين لفظ الحسين</w:t>
      </w:r>
      <w:r w:rsidR="00B253CE" w:rsidRPr="00FD211F">
        <w:rPr>
          <w:sz w:val="36"/>
          <w:szCs w:val="36"/>
          <w:rtl/>
        </w:rPr>
        <w:t xml:space="preserve"> </w:t>
      </w:r>
      <w:r w:rsidRPr="00FD211F">
        <w:rPr>
          <w:sz w:val="36"/>
          <w:szCs w:val="36"/>
          <w:rtl/>
        </w:rPr>
        <w:t>وهذا المولود</w:t>
      </w:r>
      <w:r w:rsidR="002F5674" w:rsidRPr="00FD211F">
        <w:rPr>
          <w:sz w:val="36"/>
          <w:szCs w:val="36"/>
          <w:rtl/>
        </w:rPr>
        <w:t xml:space="preserve"> فهو</w:t>
      </w:r>
      <w:r w:rsidRPr="00FD211F">
        <w:rPr>
          <w:sz w:val="36"/>
          <w:szCs w:val="36"/>
          <w:rtl/>
        </w:rPr>
        <w:t xml:space="preserve"> بعيد عن الأذهان جدّا.</w:t>
      </w:r>
    </w:p>
    <w:p w14:paraId="47678C9D" w14:textId="77777777" w:rsidR="006B3E1A" w:rsidRPr="00FD211F" w:rsidRDefault="00AE0393" w:rsidP="004F5212">
      <w:pPr>
        <w:ind w:left="0" w:firstLine="227"/>
        <w:jc w:val="both"/>
        <w:rPr>
          <w:sz w:val="36"/>
          <w:szCs w:val="36"/>
          <w:rtl/>
        </w:rPr>
      </w:pPr>
      <w:r w:rsidRPr="00FD211F">
        <w:rPr>
          <w:sz w:val="36"/>
          <w:szCs w:val="36"/>
          <w:rtl/>
        </w:rPr>
        <w:t>فتحصل</w:t>
      </w:r>
      <w:r w:rsidR="00841640" w:rsidRPr="00FD211F">
        <w:rPr>
          <w:sz w:val="36"/>
          <w:szCs w:val="36"/>
          <w:rtl/>
        </w:rPr>
        <w:t xml:space="preserve"> من جميع ما ذكرناه أن الوضع بمعناه المصدري هو جعل الواضع اللفظ علام</w:t>
      </w:r>
      <w:r w:rsidR="00EC7EDF" w:rsidRPr="00FD211F">
        <w:rPr>
          <w:sz w:val="36"/>
          <w:szCs w:val="36"/>
          <w:rtl/>
        </w:rPr>
        <w:t xml:space="preserve">ة </w:t>
      </w:r>
      <w:r w:rsidR="00841640" w:rsidRPr="00FD211F">
        <w:rPr>
          <w:sz w:val="36"/>
          <w:szCs w:val="36"/>
          <w:rtl/>
        </w:rPr>
        <w:t>على المعنى</w:t>
      </w:r>
      <w:r w:rsidR="00603323" w:rsidRPr="00FD211F">
        <w:rPr>
          <w:sz w:val="36"/>
          <w:szCs w:val="36"/>
          <w:rtl/>
        </w:rPr>
        <w:t xml:space="preserve">، </w:t>
      </w:r>
      <w:r w:rsidR="00841640" w:rsidRPr="00FD211F">
        <w:rPr>
          <w:sz w:val="36"/>
          <w:szCs w:val="36"/>
          <w:rtl/>
        </w:rPr>
        <w:t>كما</w:t>
      </w:r>
      <w:r w:rsidRPr="00FD211F">
        <w:rPr>
          <w:sz w:val="36"/>
          <w:szCs w:val="36"/>
          <w:rtl/>
        </w:rPr>
        <w:t xml:space="preserve"> </w:t>
      </w:r>
      <w:r w:rsidR="006B3E1A" w:rsidRPr="00FD211F">
        <w:rPr>
          <w:sz w:val="36"/>
          <w:szCs w:val="36"/>
          <w:rtl/>
        </w:rPr>
        <w:t>يقول الوالد</w:t>
      </w:r>
      <w:r w:rsidR="004F5212" w:rsidRPr="00FD211F">
        <w:rPr>
          <w:sz w:val="36"/>
          <w:szCs w:val="36"/>
          <w:rtl/>
        </w:rPr>
        <w:t xml:space="preserve"> </w:t>
      </w:r>
      <w:r w:rsidR="006B3E1A" w:rsidRPr="00FD211F">
        <w:rPr>
          <w:sz w:val="36"/>
          <w:szCs w:val="36"/>
          <w:rtl/>
        </w:rPr>
        <w:t>"سميت ولدي باسم علي" فانه يعتبر هذا الاسم سم</w:t>
      </w:r>
      <w:r w:rsidR="00EC7EDF" w:rsidRPr="00FD211F">
        <w:rPr>
          <w:sz w:val="36"/>
          <w:szCs w:val="36"/>
          <w:rtl/>
        </w:rPr>
        <w:t xml:space="preserve">ة </w:t>
      </w:r>
      <w:r w:rsidR="006B3E1A" w:rsidRPr="00FD211F">
        <w:rPr>
          <w:sz w:val="36"/>
          <w:szCs w:val="36"/>
          <w:rtl/>
        </w:rPr>
        <w:t>وعلام</w:t>
      </w:r>
      <w:r w:rsidR="00EC7EDF" w:rsidRPr="00FD211F">
        <w:rPr>
          <w:sz w:val="36"/>
          <w:szCs w:val="36"/>
          <w:rtl/>
        </w:rPr>
        <w:t xml:space="preserve">ة </w:t>
      </w:r>
      <w:r w:rsidR="006B3E1A" w:rsidRPr="00FD211F">
        <w:rPr>
          <w:sz w:val="36"/>
          <w:szCs w:val="36"/>
          <w:rtl/>
        </w:rPr>
        <w:t>لولده</w:t>
      </w:r>
      <w:r w:rsidR="00603323" w:rsidRPr="00FD211F">
        <w:rPr>
          <w:sz w:val="36"/>
          <w:szCs w:val="36"/>
          <w:rtl/>
        </w:rPr>
        <w:t xml:space="preserve">، </w:t>
      </w:r>
      <w:r w:rsidR="006B3E1A" w:rsidRPr="00FD211F">
        <w:rPr>
          <w:sz w:val="36"/>
          <w:szCs w:val="36"/>
          <w:rtl/>
        </w:rPr>
        <w:t>كما ان الوضع بمعناه الاسم المصدري وهو العلق</w:t>
      </w:r>
      <w:r w:rsidR="00EC7EDF" w:rsidRPr="00FD211F">
        <w:rPr>
          <w:sz w:val="36"/>
          <w:szCs w:val="36"/>
          <w:rtl/>
        </w:rPr>
        <w:t xml:space="preserve">ة </w:t>
      </w:r>
      <w:r w:rsidR="006B3E1A" w:rsidRPr="00FD211F">
        <w:rPr>
          <w:sz w:val="36"/>
          <w:szCs w:val="36"/>
          <w:rtl/>
        </w:rPr>
        <w:t>الوضعي</w:t>
      </w:r>
      <w:r w:rsidR="00EC7EDF" w:rsidRPr="00FD211F">
        <w:rPr>
          <w:sz w:val="36"/>
          <w:szCs w:val="36"/>
          <w:rtl/>
        </w:rPr>
        <w:t xml:space="preserve">ة </w:t>
      </w:r>
      <w:r w:rsidR="006B3E1A" w:rsidRPr="00FD211F">
        <w:rPr>
          <w:sz w:val="36"/>
          <w:szCs w:val="36"/>
          <w:rtl/>
        </w:rPr>
        <w:t>هو حال</w:t>
      </w:r>
      <w:r w:rsidR="00EC7EDF" w:rsidRPr="00FD211F">
        <w:rPr>
          <w:sz w:val="36"/>
          <w:szCs w:val="36"/>
          <w:rtl/>
        </w:rPr>
        <w:t xml:space="preserve">ة </w:t>
      </w:r>
      <w:r w:rsidR="006B3E1A" w:rsidRPr="00FD211F">
        <w:rPr>
          <w:sz w:val="36"/>
          <w:szCs w:val="36"/>
          <w:rtl/>
        </w:rPr>
        <w:t>الارتباط العرفي بين اللفظ والمعنى</w:t>
      </w:r>
      <w:r w:rsidR="00603323" w:rsidRPr="00FD211F">
        <w:rPr>
          <w:sz w:val="36"/>
          <w:szCs w:val="36"/>
          <w:rtl/>
        </w:rPr>
        <w:t xml:space="preserve">، </w:t>
      </w:r>
      <w:r w:rsidR="006B3E1A" w:rsidRPr="00FD211F">
        <w:rPr>
          <w:sz w:val="36"/>
          <w:szCs w:val="36"/>
          <w:rtl/>
        </w:rPr>
        <w:t>وهذا الارتباط ينشأ من وضع واضع مقبول لدى العرف او من كثر</w:t>
      </w:r>
      <w:r w:rsidR="00EC7EDF" w:rsidRPr="00FD211F">
        <w:rPr>
          <w:sz w:val="36"/>
          <w:szCs w:val="36"/>
          <w:rtl/>
        </w:rPr>
        <w:t xml:space="preserve">ة </w:t>
      </w:r>
      <w:r w:rsidR="006B3E1A" w:rsidRPr="00FD211F">
        <w:rPr>
          <w:sz w:val="36"/>
          <w:szCs w:val="36"/>
          <w:rtl/>
        </w:rPr>
        <w:t>الاستعمال</w:t>
      </w:r>
      <w:r w:rsidR="00603323" w:rsidRPr="00FD211F">
        <w:rPr>
          <w:sz w:val="36"/>
          <w:szCs w:val="36"/>
          <w:rtl/>
        </w:rPr>
        <w:t xml:space="preserve">، </w:t>
      </w:r>
      <w:r w:rsidR="006B3E1A" w:rsidRPr="00FD211F">
        <w:rPr>
          <w:sz w:val="36"/>
          <w:szCs w:val="36"/>
          <w:rtl/>
        </w:rPr>
        <w:t>اويقال ان العلق</w:t>
      </w:r>
      <w:r w:rsidR="00EC7EDF" w:rsidRPr="00FD211F">
        <w:rPr>
          <w:sz w:val="36"/>
          <w:szCs w:val="36"/>
          <w:rtl/>
        </w:rPr>
        <w:t xml:space="preserve">ة </w:t>
      </w:r>
      <w:r w:rsidR="006B3E1A" w:rsidRPr="00FD211F">
        <w:rPr>
          <w:sz w:val="36"/>
          <w:szCs w:val="36"/>
          <w:rtl/>
        </w:rPr>
        <w:t>الوضعي</w:t>
      </w:r>
      <w:r w:rsidR="00EC7EDF" w:rsidRPr="00FD211F">
        <w:rPr>
          <w:sz w:val="36"/>
          <w:szCs w:val="36"/>
          <w:rtl/>
        </w:rPr>
        <w:t xml:space="preserve">ة </w:t>
      </w:r>
      <w:r w:rsidR="006B3E1A" w:rsidRPr="00FD211F">
        <w:rPr>
          <w:sz w:val="36"/>
          <w:szCs w:val="36"/>
          <w:rtl/>
        </w:rPr>
        <w:t>حال</w:t>
      </w:r>
      <w:r w:rsidR="00EC7EDF" w:rsidRPr="00FD211F">
        <w:rPr>
          <w:sz w:val="36"/>
          <w:szCs w:val="36"/>
          <w:rtl/>
        </w:rPr>
        <w:t xml:space="preserve">ة </w:t>
      </w:r>
      <w:r w:rsidR="006B3E1A" w:rsidRPr="00FD211F">
        <w:rPr>
          <w:sz w:val="36"/>
          <w:szCs w:val="36"/>
          <w:rtl/>
        </w:rPr>
        <w:t>م</w:t>
      </w:r>
      <w:r w:rsidR="00841640" w:rsidRPr="00FD211F">
        <w:rPr>
          <w:sz w:val="36"/>
          <w:szCs w:val="36"/>
          <w:rtl/>
        </w:rPr>
        <w:t>نتزع</w:t>
      </w:r>
      <w:r w:rsidR="00EC7EDF" w:rsidRPr="00FD211F">
        <w:rPr>
          <w:sz w:val="36"/>
          <w:szCs w:val="36"/>
          <w:rtl/>
        </w:rPr>
        <w:t xml:space="preserve">ة </w:t>
      </w:r>
      <w:r w:rsidR="00841640" w:rsidRPr="00FD211F">
        <w:rPr>
          <w:sz w:val="36"/>
          <w:szCs w:val="36"/>
          <w:rtl/>
        </w:rPr>
        <w:t>من مرتب</w:t>
      </w:r>
      <w:r w:rsidR="00EC7EDF" w:rsidRPr="00FD211F">
        <w:rPr>
          <w:sz w:val="36"/>
          <w:szCs w:val="36"/>
          <w:rtl/>
        </w:rPr>
        <w:t xml:space="preserve">ة </w:t>
      </w:r>
      <w:r w:rsidR="00841640" w:rsidRPr="00FD211F">
        <w:rPr>
          <w:sz w:val="36"/>
          <w:szCs w:val="36"/>
          <w:rtl/>
        </w:rPr>
        <w:t xml:space="preserve">من </w:t>
      </w:r>
      <w:r w:rsidR="006B3E1A" w:rsidRPr="00FD211F">
        <w:rPr>
          <w:sz w:val="36"/>
          <w:szCs w:val="36"/>
          <w:rtl/>
        </w:rPr>
        <w:t>الملازم</w:t>
      </w:r>
      <w:r w:rsidR="00EC7EDF" w:rsidRPr="00FD211F">
        <w:rPr>
          <w:sz w:val="36"/>
          <w:szCs w:val="36"/>
          <w:rtl/>
        </w:rPr>
        <w:t xml:space="preserve">ة </w:t>
      </w:r>
      <w:r w:rsidR="006B3E1A" w:rsidRPr="00FD211F">
        <w:rPr>
          <w:sz w:val="36"/>
          <w:szCs w:val="36"/>
          <w:rtl/>
        </w:rPr>
        <w:t>الذهني</w:t>
      </w:r>
      <w:r w:rsidR="00EC7EDF" w:rsidRPr="00FD211F">
        <w:rPr>
          <w:sz w:val="36"/>
          <w:szCs w:val="36"/>
          <w:rtl/>
        </w:rPr>
        <w:t xml:space="preserve">ة </w:t>
      </w:r>
      <w:r w:rsidR="006B3E1A" w:rsidRPr="00FD211F">
        <w:rPr>
          <w:sz w:val="36"/>
          <w:szCs w:val="36"/>
          <w:rtl/>
        </w:rPr>
        <w:t>بين اللفظ والمعنى لدى اهل لغ</w:t>
      </w:r>
      <w:r w:rsidR="00EC7EDF" w:rsidRPr="00FD211F">
        <w:rPr>
          <w:sz w:val="36"/>
          <w:szCs w:val="36"/>
          <w:rtl/>
        </w:rPr>
        <w:t xml:space="preserve">ة </w:t>
      </w:r>
      <w:r w:rsidR="006B3E1A" w:rsidRPr="00FD211F">
        <w:rPr>
          <w:sz w:val="36"/>
          <w:szCs w:val="36"/>
          <w:rtl/>
        </w:rPr>
        <w:t>ولو في الجمل</w:t>
      </w:r>
      <w:r w:rsidR="00EC7EDF" w:rsidRPr="00FD211F">
        <w:rPr>
          <w:sz w:val="36"/>
          <w:szCs w:val="36"/>
          <w:rtl/>
        </w:rPr>
        <w:t>ة</w:t>
      </w:r>
      <w:r w:rsidR="00A61BAE" w:rsidRPr="00FD211F">
        <w:rPr>
          <w:sz w:val="36"/>
          <w:szCs w:val="36"/>
          <w:rtl/>
        </w:rPr>
        <w:t>.</w:t>
      </w:r>
    </w:p>
    <w:p w14:paraId="6A8A312F" w14:textId="77777777" w:rsidR="006B3E1A" w:rsidRPr="00FD211F" w:rsidRDefault="006B3E1A" w:rsidP="009C58C8">
      <w:pPr>
        <w:ind w:left="0" w:firstLine="227"/>
        <w:jc w:val="both"/>
        <w:rPr>
          <w:sz w:val="36"/>
          <w:szCs w:val="36"/>
          <w:rtl/>
        </w:rPr>
      </w:pPr>
      <w:r w:rsidRPr="00FD211F">
        <w:rPr>
          <w:sz w:val="36"/>
          <w:szCs w:val="36"/>
          <w:rtl/>
        </w:rPr>
        <w:t>وهذه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ليست نسبي</w:t>
      </w:r>
      <w:r w:rsidR="00EC7EDF" w:rsidRPr="00FD211F">
        <w:rPr>
          <w:sz w:val="36"/>
          <w:szCs w:val="36"/>
          <w:rtl/>
        </w:rPr>
        <w:t>ة</w:t>
      </w:r>
      <w:r w:rsidR="00603323" w:rsidRPr="00FD211F">
        <w:rPr>
          <w:sz w:val="36"/>
          <w:szCs w:val="36"/>
          <w:rtl/>
        </w:rPr>
        <w:t xml:space="preserve">، </w:t>
      </w:r>
      <w:r w:rsidRPr="00FD211F">
        <w:rPr>
          <w:sz w:val="36"/>
          <w:szCs w:val="36"/>
          <w:rtl/>
        </w:rPr>
        <w:t>فإما ان تتحقق بين اللفظ والمعنى او لاتتحقق</w:t>
      </w:r>
      <w:r w:rsidR="00603323" w:rsidRPr="00FD211F">
        <w:rPr>
          <w:sz w:val="36"/>
          <w:szCs w:val="36"/>
          <w:rtl/>
        </w:rPr>
        <w:t xml:space="preserve">، </w:t>
      </w:r>
      <w:r w:rsidRPr="00FD211F">
        <w:rPr>
          <w:sz w:val="36"/>
          <w:szCs w:val="36"/>
          <w:rtl/>
        </w:rPr>
        <w:t>بخلاف الملازم</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بين اللفظ والمعنى التي تتحقق في حق العالم بالوضع دون الجاهل به</w:t>
      </w:r>
      <w:r w:rsidR="00603323" w:rsidRPr="00FD211F">
        <w:rPr>
          <w:sz w:val="36"/>
          <w:szCs w:val="36"/>
          <w:rtl/>
        </w:rPr>
        <w:t xml:space="preserve">، </w:t>
      </w:r>
      <w:r w:rsidRPr="00FD211F">
        <w:rPr>
          <w:sz w:val="36"/>
          <w:szCs w:val="36"/>
          <w:rtl/>
        </w:rPr>
        <w:t>فالملازم</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تكون من آثار الوضع لاعينه.</w:t>
      </w:r>
    </w:p>
    <w:p w14:paraId="528DC339" w14:textId="77777777" w:rsidR="001A464A" w:rsidRPr="00FD211F" w:rsidRDefault="00FE7429" w:rsidP="009C58C8">
      <w:pPr>
        <w:pStyle w:val="3"/>
        <w:ind w:firstLine="227"/>
        <w:jc w:val="both"/>
        <w:rPr>
          <w:rtl/>
        </w:rPr>
      </w:pPr>
      <w:bookmarkStart w:id="124" w:name="_Toc151944595"/>
      <w:bookmarkStart w:id="125" w:name="_Toc154131722"/>
      <w:bookmarkStart w:id="126" w:name="_Toc156401510"/>
      <w:bookmarkStart w:id="127" w:name="درس013"/>
      <w:bookmarkStart w:id="128" w:name="_Toc192092856"/>
      <w:bookmarkStart w:id="129" w:name="_Toc223890329"/>
      <w:bookmarkEnd w:id="127"/>
      <w:r w:rsidRPr="00FD211F">
        <w:rPr>
          <w:rtl/>
        </w:rPr>
        <w:t>2</w:t>
      </w:r>
      <w:r w:rsidR="002A6BC4" w:rsidRPr="00FD211F">
        <w:rPr>
          <w:rtl/>
        </w:rPr>
        <w:t>- اقسام الوضع</w:t>
      </w:r>
      <w:bookmarkEnd w:id="124"/>
      <w:bookmarkEnd w:id="125"/>
      <w:bookmarkEnd w:id="126"/>
      <w:bookmarkEnd w:id="128"/>
      <w:bookmarkEnd w:id="129"/>
    </w:p>
    <w:p w14:paraId="238731CF" w14:textId="77777777" w:rsidR="002A6BC4" w:rsidRPr="00FD211F" w:rsidRDefault="002A6BC4" w:rsidP="009C58C8">
      <w:pPr>
        <w:ind w:left="0" w:firstLine="227"/>
        <w:jc w:val="both"/>
        <w:rPr>
          <w:sz w:val="36"/>
          <w:szCs w:val="36"/>
          <w:rtl/>
        </w:rPr>
      </w:pPr>
      <w:r w:rsidRPr="00FD211F">
        <w:rPr>
          <w:sz w:val="36"/>
          <w:szCs w:val="36"/>
          <w:rtl/>
        </w:rPr>
        <w:t>ينقسم الوضع تار</w:t>
      </w:r>
      <w:r w:rsidR="00EC7EDF" w:rsidRPr="00FD211F">
        <w:rPr>
          <w:sz w:val="36"/>
          <w:szCs w:val="36"/>
          <w:rtl/>
        </w:rPr>
        <w:t xml:space="preserve">ة </w:t>
      </w:r>
      <w:r w:rsidRPr="00FD211F">
        <w:rPr>
          <w:sz w:val="36"/>
          <w:szCs w:val="36"/>
          <w:rtl/>
        </w:rPr>
        <w:t>بلحاظ أسباب تحقق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بين اللفظ والمعنى وأخرى بلحاظ المعنى الذي وضع له اللفظ وثالث</w:t>
      </w:r>
      <w:r w:rsidR="00EC7EDF" w:rsidRPr="00FD211F">
        <w:rPr>
          <w:sz w:val="36"/>
          <w:szCs w:val="36"/>
          <w:rtl/>
        </w:rPr>
        <w:t xml:space="preserve">ة </w:t>
      </w:r>
      <w:r w:rsidRPr="00FD211F">
        <w:rPr>
          <w:sz w:val="36"/>
          <w:szCs w:val="36"/>
          <w:rtl/>
        </w:rPr>
        <w:t>بلحاظ اللفظ الذي وضع للمعنى</w:t>
      </w:r>
      <w:r w:rsidR="00603323" w:rsidRPr="00FD211F">
        <w:rPr>
          <w:sz w:val="36"/>
          <w:szCs w:val="36"/>
          <w:rtl/>
        </w:rPr>
        <w:t xml:space="preserve">، </w:t>
      </w:r>
      <w:r w:rsidRPr="00FD211F">
        <w:rPr>
          <w:sz w:val="36"/>
          <w:szCs w:val="36"/>
          <w:rtl/>
        </w:rPr>
        <w:t>فهنا تقسيمات عديد</w:t>
      </w:r>
      <w:r w:rsidR="00EC7EDF" w:rsidRPr="00FD211F">
        <w:rPr>
          <w:sz w:val="36"/>
          <w:szCs w:val="36"/>
          <w:rtl/>
        </w:rPr>
        <w:t xml:space="preserve">ة </w:t>
      </w:r>
      <w:r w:rsidRPr="00FD211F">
        <w:rPr>
          <w:sz w:val="36"/>
          <w:szCs w:val="36"/>
          <w:rtl/>
        </w:rPr>
        <w:t>نذكرها فيما يلي:</w:t>
      </w:r>
    </w:p>
    <w:p w14:paraId="148E8C59" w14:textId="77777777" w:rsidR="002A6BC4" w:rsidRPr="00FD211F" w:rsidRDefault="002A6BC4" w:rsidP="009C58C8">
      <w:pPr>
        <w:pStyle w:val="3"/>
        <w:ind w:firstLine="227"/>
        <w:jc w:val="both"/>
        <w:rPr>
          <w:rtl/>
        </w:rPr>
      </w:pPr>
      <w:bookmarkStart w:id="130" w:name="_Toc151944596"/>
      <w:bookmarkStart w:id="131" w:name="_Toc154131723"/>
      <w:bookmarkStart w:id="132" w:name="_Toc156401511"/>
      <w:bookmarkStart w:id="133" w:name="_Toc192092857"/>
      <w:bookmarkStart w:id="134" w:name="_Toc223890330"/>
      <w:r w:rsidRPr="00FD211F">
        <w:rPr>
          <w:rtl/>
        </w:rPr>
        <w:t>التقسيم الأول</w:t>
      </w:r>
      <w:bookmarkEnd w:id="130"/>
      <w:bookmarkEnd w:id="131"/>
      <w:bookmarkEnd w:id="132"/>
      <w:r w:rsidR="00AB698E" w:rsidRPr="00FD211F">
        <w:rPr>
          <w:rtl/>
        </w:rPr>
        <w:t xml:space="preserve">: </w:t>
      </w:r>
      <w:bookmarkStart w:id="135" w:name="_Toc151944597"/>
      <w:bookmarkStart w:id="136" w:name="_Toc154131724"/>
      <w:bookmarkStart w:id="137" w:name="_Toc156401512"/>
      <w:r w:rsidRPr="00FD211F">
        <w:rPr>
          <w:rtl/>
        </w:rPr>
        <w:t>الوضع التعييني والوضع التعيني</w:t>
      </w:r>
      <w:bookmarkEnd w:id="133"/>
      <w:bookmarkEnd w:id="134"/>
      <w:bookmarkEnd w:id="135"/>
      <w:bookmarkEnd w:id="136"/>
      <w:bookmarkEnd w:id="137"/>
    </w:p>
    <w:p w14:paraId="3BAAE403" w14:textId="77777777" w:rsidR="002A6BC4" w:rsidRPr="00FD211F" w:rsidRDefault="002A6BC4" w:rsidP="009C58C8">
      <w:pPr>
        <w:ind w:left="0" w:firstLine="227"/>
        <w:jc w:val="both"/>
        <w:rPr>
          <w:sz w:val="36"/>
          <w:szCs w:val="36"/>
          <w:rtl/>
        </w:rPr>
      </w:pPr>
      <w:r w:rsidRPr="00FD211F">
        <w:rPr>
          <w:sz w:val="36"/>
          <w:szCs w:val="36"/>
          <w:rtl/>
        </w:rPr>
        <w:t>أما الوضع التعييني فيراد به جعل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بواسط</w:t>
      </w:r>
      <w:r w:rsidR="00EC7EDF" w:rsidRPr="00FD211F">
        <w:rPr>
          <w:sz w:val="36"/>
          <w:szCs w:val="36"/>
          <w:rtl/>
        </w:rPr>
        <w:t xml:space="preserve">ة </w:t>
      </w:r>
      <w:r w:rsidR="00D11C3F" w:rsidRPr="00FD211F">
        <w:rPr>
          <w:sz w:val="36"/>
          <w:szCs w:val="36"/>
          <w:rtl/>
        </w:rPr>
        <w:t>تعيين لفظ لمعنى من طريق</w:t>
      </w:r>
      <w:r w:rsidRPr="00FD211F">
        <w:rPr>
          <w:sz w:val="36"/>
          <w:szCs w:val="36"/>
          <w:rtl/>
        </w:rPr>
        <w:t xml:space="preserve"> جمل</w:t>
      </w:r>
      <w:r w:rsidR="00EC7EDF" w:rsidRPr="00FD211F">
        <w:rPr>
          <w:sz w:val="36"/>
          <w:szCs w:val="36"/>
          <w:rtl/>
        </w:rPr>
        <w:t xml:space="preserve">ة </w:t>
      </w:r>
      <w:r w:rsidRPr="00FD211F">
        <w:rPr>
          <w:sz w:val="36"/>
          <w:szCs w:val="36"/>
          <w:rtl/>
        </w:rPr>
        <w:t>انشائي</w:t>
      </w:r>
      <w:r w:rsidR="00EC7EDF" w:rsidRPr="00FD211F">
        <w:rPr>
          <w:sz w:val="36"/>
          <w:szCs w:val="36"/>
          <w:rtl/>
        </w:rPr>
        <w:t xml:space="preserve">ة </w:t>
      </w:r>
      <w:r w:rsidR="002E78E8" w:rsidRPr="00FD211F">
        <w:rPr>
          <w:sz w:val="36"/>
          <w:szCs w:val="36"/>
          <w:rtl/>
        </w:rPr>
        <w:t>-</w:t>
      </w:r>
      <w:r w:rsidRPr="00FD211F">
        <w:rPr>
          <w:sz w:val="36"/>
          <w:szCs w:val="36"/>
          <w:rtl/>
        </w:rPr>
        <w:t>من قبيل ان يقول الاب سميت ابني عليّا</w:t>
      </w:r>
      <w:r w:rsidR="002E78E8" w:rsidRPr="00FD211F">
        <w:rPr>
          <w:sz w:val="36"/>
          <w:szCs w:val="36"/>
          <w:rtl/>
        </w:rPr>
        <w:t>-</w:t>
      </w:r>
      <w:r w:rsidR="00D11C3F" w:rsidRPr="00FD211F">
        <w:rPr>
          <w:sz w:val="36"/>
          <w:szCs w:val="36"/>
          <w:rtl/>
        </w:rPr>
        <w:t xml:space="preserve"> ونحو ذلك</w:t>
      </w:r>
      <w:r w:rsidRPr="00FD211F">
        <w:rPr>
          <w:sz w:val="36"/>
          <w:szCs w:val="36"/>
          <w:rtl/>
        </w:rPr>
        <w:t>.</w:t>
      </w:r>
    </w:p>
    <w:p w14:paraId="25FA0AFA" w14:textId="77777777" w:rsidR="00636A42" w:rsidRPr="00FD211F" w:rsidRDefault="002A6BC4" w:rsidP="009C58C8">
      <w:pPr>
        <w:ind w:left="0" w:firstLine="227"/>
        <w:jc w:val="both"/>
        <w:rPr>
          <w:sz w:val="36"/>
          <w:szCs w:val="36"/>
          <w:rtl/>
        </w:rPr>
      </w:pPr>
      <w:r w:rsidRPr="00FD211F">
        <w:rPr>
          <w:sz w:val="36"/>
          <w:szCs w:val="36"/>
          <w:rtl/>
        </w:rPr>
        <w:t xml:space="preserve">وأما الوضع التعيني </w:t>
      </w:r>
      <w:r w:rsidR="00C1224F" w:rsidRPr="00FD211F">
        <w:rPr>
          <w:sz w:val="36"/>
          <w:szCs w:val="36"/>
          <w:rtl/>
        </w:rPr>
        <w:t>فيراد به نشوء العلق</w:t>
      </w:r>
      <w:r w:rsidR="00EC7EDF" w:rsidRPr="00FD211F">
        <w:rPr>
          <w:sz w:val="36"/>
          <w:szCs w:val="36"/>
          <w:rtl/>
        </w:rPr>
        <w:t xml:space="preserve">ة </w:t>
      </w:r>
      <w:r w:rsidR="00C1224F" w:rsidRPr="00FD211F">
        <w:rPr>
          <w:sz w:val="36"/>
          <w:szCs w:val="36"/>
          <w:rtl/>
        </w:rPr>
        <w:t>الوضعي</w:t>
      </w:r>
      <w:r w:rsidR="00EC7EDF" w:rsidRPr="00FD211F">
        <w:rPr>
          <w:sz w:val="36"/>
          <w:szCs w:val="36"/>
          <w:rtl/>
        </w:rPr>
        <w:t xml:space="preserve">ة </w:t>
      </w:r>
      <w:r w:rsidR="00E93E62" w:rsidRPr="00FD211F">
        <w:rPr>
          <w:sz w:val="36"/>
          <w:szCs w:val="36"/>
          <w:rtl/>
        </w:rPr>
        <w:t xml:space="preserve">بين لفظ ومعنى </w:t>
      </w:r>
      <w:r w:rsidR="00636A42" w:rsidRPr="00FD211F">
        <w:rPr>
          <w:sz w:val="36"/>
          <w:szCs w:val="36"/>
          <w:rtl/>
        </w:rPr>
        <w:t>بسبب</w:t>
      </w:r>
      <w:r w:rsidR="00E93E62" w:rsidRPr="00FD211F">
        <w:rPr>
          <w:sz w:val="36"/>
          <w:szCs w:val="36"/>
          <w:rtl/>
        </w:rPr>
        <w:t xml:space="preserve"> كثر</w:t>
      </w:r>
      <w:r w:rsidR="00EC7EDF" w:rsidRPr="00FD211F">
        <w:rPr>
          <w:sz w:val="36"/>
          <w:szCs w:val="36"/>
          <w:rtl/>
        </w:rPr>
        <w:t xml:space="preserve">ة </w:t>
      </w:r>
      <w:r w:rsidR="00E93E62" w:rsidRPr="00FD211F">
        <w:rPr>
          <w:sz w:val="36"/>
          <w:szCs w:val="36"/>
          <w:rtl/>
        </w:rPr>
        <w:t>استعماله</w:t>
      </w:r>
      <w:r w:rsidR="00636A42" w:rsidRPr="00FD211F">
        <w:rPr>
          <w:sz w:val="36"/>
          <w:szCs w:val="36"/>
          <w:rtl/>
        </w:rPr>
        <w:t xml:space="preserve"> فيه</w:t>
      </w:r>
      <w:r w:rsidR="00603323" w:rsidRPr="00FD211F">
        <w:rPr>
          <w:sz w:val="36"/>
          <w:szCs w:val="36"/>
          <w:rtl/>
        </w:rPr>
        <w:t xml:space="preserve">، </w:t>
      </w:r>
      <w:r w:rsidR="00636A42" w:rsidRPr="00FD211F">
        <w:rPr>
          <w:sz w:val="36"/>
          <w:szCs w:val="36"/>
          <w:rtl/>
        </w:rPr>
        <w:t>وقد يناقش في كونه من اقسام الوضع لوجهين:</w:t>
      </w:r>
    </w:p>
    <w:p w14:paraId="0483E207" w14:textId="77777777" w:rsidR="00636A42" w:rsidRPr="00FD211F" w:rsidRDefault="002B6698" w:rsidP="009C58C8">
      <w:pPr>
        <w:ind w:left="0" w:firstLine="227"/>
        <w:jc w:val="both"/>
        <w:rPr>
          <w:sz w:val="36"/>
          <w:szCs w:val="36"/>
          <w:rtl/>
        </w:rPr>
      </w:pPr>
      <w:r w:rsidRPr="00FD211F">
        <w:rPr>
          <w:b/>
          <w:bCs/>
          <w:sz w:val="36"/>
          <w:szCs w:val="36"/>
          <w:rtl/>
        </w:rPr>
        <w:t>الوجه الاول</w:t>
      </w:r>
      <w:r w:rsidR="00EC7EDF" w:rsidRPr="00FD211F">
        <w:rPr>
          <w:sz w:val="36"/>
          <w:szCs w:val="36"/>
          <w:rtl/>
        </w:rPr>
        <w:t>:</w:t>
      </w:r>
      <w:r w:rsidR="00636A42" w:rsidRPr="00FD211F">
        <w:rPr>
          <w:sz w:val="36"/>
          <w:szCs w:val="36"/>
          <w:rtl/>
        </w:rPr>
        <w:t xml:space="preserve"> ما ذكره بعض الاعلام </w:t>
      </w:r>
      <w:r w:rsidR="00B21D0C" w:rsidRPr="00FD211F">
        <w:rPr>
          <w:sz w:val="36"/>
          <w:szCs w:val="36"/>
          <w:rtl/>
        </w:rPr>
        <w:t>"</w:t>
      </w:r>
      <w:r w:rsidR="00636A42" w:rsidRPr="00FD211F">
        <w:rPr>
          <w:sz w:val="36"/>
          <w:szCs w:val="36"/>
          <w:rtl/>
        </w:rPr>
        <w:t>قده</w:t>
      </w:r>
      <w:r w:rsidR="00B21D0C" w:rsidRPr="00FD211F">
        <w:rPr>
          <w:sz w:val="36"/>
          <w:szCs w:val="36"/>
          <w:rtl/>
        </w:rPr>
        <w:t>"</w:t>
      </w:r>
      <w:r w:rsidR="00636A42" w:rsidRPr="00FD211F">
        <w:rPr>
          <w:sz w:val="36"/>
          <w:szCs w:val="36"/>
          <w:rtl/>
        </w:rPr>
        <w:t xml:space="preserve"> من انه لايتصور معنى</w:t>
      </w:r>
      <w:r w:rsidR="00B21D0C" w:rsidRPr="00FD211F">
        <w:rPr>
          <w:sz w:val="36"/>
          <w:szCs w:val="36"/>
          <w:rtl/>
        </w:rPr>
        <w:t>ً</w:t>
      </w:r>
      <w:r w:rsidR="00636A42" w:rsidRPr="00FD211F">
        <w:rPr>
          <w:sz w:val="36"/>
          <w:szCs w:val="36"/>
          <w:rtl/>
        </w:rPr>
        <w:t xml:space="preserve"> معقول للوضع التعيني</w:t>
      </w:r>
      <w:r w:rsidR="00603323" w:rsidRPr="00FD211F">
        <w:rPr>
          <w:sz w:val="36"/>
          <w:szCs w:val="36"/>
          <w:rtl/>
        </w:rPr>
        <w:t xml:space="preserve">، </w:t>
      </w:r>
      <w:r w:rsidR="00636A42" w:rsidRPr="00FD211F">
        <w:rPr>
          <w:sz w:val="36"/>
          <w:szCs w:val="36"/>
          <w:rtl/>
        </w:rPr>
        <w:t>اذ لاوجه لان يختص اللفظ بالدلال</w:t>
      </w:r>
      <w:r w:rsidR="00EC7EDF" w:rsidRPr="00FD211F">
        <w:rPr>
          <w:sz w:val="36"/>
          <w:szCs w:val="36"/>
          <w:rtl/>
        </w:rPr>
        <w:t xml:space="preserve">ة </w:t>
      </w:r>
      <w:r w:rsidR="00636A42" w:rsidRPr="00FD211F">
        <w:rPr>
          <w:sz w:val="36"/>
          <w:szCs w:val="36"/>
          <w:rtl/>
        </w:rPr>
        <w:t>على المعنى ب</w:t>
      </w:r>
      <w:r w:rsidR="00295CBC" w:rsidRPr="00FD211F">
        <w:rPr>
          <w:sz w:val="36"/>
          <w:szCs w:val="36"/>
          <w:rtl/>
        </w:rPr>
        <w:t xml:space="preserve">مجرد </w:t>
      </w:r>
      <w:r w:rsidR="00636A42" w:rsidRPr="00FD211F">
        <w:rPr>
          <w:sz w:val="36"/>
          <w:szCs w:val="36"/>
          <w:rtl/>
        </w:rPr>
        <w:t>كثر</w:t>
      </w:r>
      <w:r w:rsidR="00EC7EDF" w:rsidRPr="00FD211F">
        <w:rPr>
          <w:sz w:val="36"/>
          <w:szCs w:val="36"/>
          <w:rtl/>
        </w:rPr>
        <w:t xml:space="preserve">ة </w:t>
      </w:r>
      <w:r w:rsidR="00636A42" w:rsidRPr="00FD211F">
        <w:rPr>
          <w:sz w:val="36"/>
          <w:szCs w:val="36"/>
          <w:rtl/>
        </w:rPr>
        <w:t>الاستعمال مع ان الدلال</w:t>
      </w:r>
      <w:r w:rsidR="00EC7EDF" w:rsidRPr="00FD211F">
        <w:rPr>
          <w:sz w:val="36"/>
          <w:szCs w:val="36"/>
          <w:rtl/>
        </w:rPr>
        <w:t xml:space="preserve">ة </w:t>
      </w:r>
      <w:r w:rsidR="00636A42" w:rsidRPr="00FD211F">
        <w:rPr>
          <w:sz w:val="36"/>
          <w:szCs w:val="36"/>
          <w:rtl/>
        </w:rPr>
        <w:t>في هذه الاستعمالات الكثير</w:t>
      </w:r>
      <w:r w:rsidR="00EC7EDF" w:rsidRPr="00FD211F">
        <w:rPr>
          <w:sz w:val="36"/>
          <w:szCs w:val="36"/>
          <w:rtl/>
        </w:rPr>
        <w:t xml:space="preserve">ة </w:t>
      </w:r>
      <w:r w:rsidR="00636A42" w:rsidRPr="00FD211F">
        <w:rPr>
          <w:sz w:val="36"/>
          <w:szCs w:val="36"/>
          <w:rtl/>
        </w:rPr>
        <w:t>لاينفرد بها اللفظ بل يشترك معه القرين</w:t>
      </w:r>
      <w:r w:rsidR="00EC7EDF" w:rsidRPr="00FD211F">
        <w:rPr>
          <w:sz w:val="36"/>
          <w:szCs w:val="36"/>
          <w:rtl/>
        </w:rPr>
        <w:t>ة</w:t>
      </w:r>
      <w:r w:rsidR="00603323" w:rsidRPr="00FD211F">
        <w:rPr>
          <w:sz w:val="36"/>
          <w:szCs w:val="36"/>
          <w:rtl/>
        </w:rPr>
        <w:t xml:space="preserve">، </w:t>
      </w:r>
      <w:r w:rsidR="00295CBC" w:rsidRPr="00FD211F">
        <w:rPr>
          <w:sz w:val="36"/>
          <w:szCs w:val="36"/>
          <w:rtl/>
        </w:rPr>
        <w:t>فيكون الدالّ على المعنى هو اللفظ مع القرين</w:t>
      </w:r>
      <w:r w:rsidR="00EC7EDF" w:rsidRPr="00FD211F">
        <w:rPr>
          <w:sz w:val="36"/>
          <w:szCs w:val="36"/>
          <w:rtl/>
        </w:rPr>
        <w:t xml:space="preserve">ة </w:t>
      </w:r>
      <w:r w:rsidR="00295CBC" w:rsidRPr="00FD211F">
        <w:rPr>
          <w:sz w:val="36"/>
          <w:szCs w:val="36"/>
          <w:rtl/>
        </w:rPr>
        <w:t>لااللفظ وحده</w:t>
      </w:r>
      <w:r w:rsidR="00603323" w:rsidRPr="00FD211F">
        <w:rPr>
          <w:sz w:val="36"/>
          <w:szCs w:val="36"/>
          <w:rtl/>
        </w:rPr>
        <w:t xml:space="preserve">، </w:t>
      </w:r>
      <w:r w:rsidR="00636A42" w:rsidRPr="00FD211F">
        <w:rPr>
          <w:sz w:val="36"/>
          <w:szCs w:val="36"/>
          <w:rtl/>
        </w:rPr>
        <w:t>ولو كان لمثل هذا مثال معلوم وواقع ثابت لامكن</w:t>
      </w:r>
      <w:r w:rsidR="005E4FA6" w:rsidRPr="00FD211F">
        <w:rPr>
          <w:sz w:val="36"/>
          <w:szCs w:val="36"/>
          <w:rtl/>
        </w:rPr>
        <w:t xml:space="preserve"> </w:t>
      </w:r>
      <w:r w:rsidR="00636A42" w:rsidRPr="00FD211F">
        <w:rPr>
          <w:sz w:val="36"/>
          <w:szCs w:val="36"/>
          <w:rtl/>
        </w:rPr>
        <w:t xml:space="preserve">ان نقول بان ملاكه </w:t>
      </w:r>
      <w:r w:rsidR="008D7B3D" w:rsidRPr="00FD211F">
        <w:rPr>
          <w:sz w:val="36"/>
          <w:szCs w:val="36"/>
          <w:rtl/>
        </w:rPr>
        <w:t xml:space="preserve">شيء </w:t>
      </w:r>
      <w:r w:rsidR="00636A42" w:rsidRPr="00FD211F">
        <w:rPr>
          <w:sz w:val="36"/>
          <w:szCs w:val="36"/>
          <w:rtl/>
        </w:rPr>
        <w:t>معقول لاتصل اليه أذهاننا</w:t>
      </w:r>
      <w:r w:rsidR="00603323" w:rsidRPr="00FD211F">
        <w:rPr>
          <w:sz w:val="36"/>
          <w:szCs w:val="36"/>
          <w:rtl/>
        </w:rPr>
        <w:t xml:space="preserve">، </w:t>
      </w:r>
      <w:r w:rsidR="005E4FA6" w:rsidRPr="00FD211F">
        <w:rPr>
          <w:sz w:val="36"/>
          <w:szCs w:val="36"/>
          <w:rtl/>
        </w:rPr>
        <w:t>ولكنه</w:t>
      </w:r>
      <w:r w:rsidR="008D7B3D" w:rsidRPr="00FD211F">
        <w:rPr>
          <w:sz w:val="36"/>
          <w:szCs w:val="36"/>
          <w:rtl/>
        </w:rPr>
        <w:t xml:space="preserve"> لم‌</w:t>
      </w:r>
      <w:r w:rsidR="00636A42" w:rsidRPr="00FD211F">
        <w:rPr>
          <w:sz w:val="36"/>
          <w:szCs w:val="36"/>
          <w:rtl/>
        </w:rPr>
        <w:t>يتضح لدينا وجود لفظ استعمل في معنى مع القرين</w:t>
      </w:r>
      <w:r w:rsidR="00EC7EDF" w:rsidRPr="00FD211F">
        <w:rPr>
          <w:sz w:val="36"/>
          <w:szCs w:val="36"/>
          <w:rtl/>
        </w:rPr>
        <w:t xml:space="preserve">ة </w:t>
      </w:r>
      <w:r w:rsidR="00636A42" w:rsidRPr="00FD211F">
        <w:rPr>
          <w:sz w:val="36"/>
          <w:szCs w:val="36"/>
          <w:rtl/>
        </w:rPr>
        <w:t xml:space="preserve">كثيرا </w:t>
      </w:r>
      <w:r w:rsidR="005E4FA6" w:rsidRPr="00FD211F">
        <w:rPr>
          <w:sz w:val="36"/>
          <w:szCs w:val="36"/>
          <w:rtl/>
        </w:rPr>
        <w:t>الى ان صار دالا عليه</w:t>
      </w:r>
      <w:r w:rsidR="00636A42" w:rsidRPr="00FD211F">
        <w:rPr>
          <w:sz w:val="36"/>
          <w:szCs w:val="36"/>
          <w:rtl/>
        </w:rPr>
        <w:t xml:space="preserve"> بلاقرين</w:t>
      </w:r>
      <w:r w:rsidR="00EC7EDF" w:rsidRPr="00FD211F">
        <w:rPr>
          <w:sz w:val="36"/>
          <w:szCs w:val="36"/>
          <w:rtl/>
        </w:rPr>
        <w:t>ة</w:t>
      </w:r>
      <w:r w:rsidR="00603323" w:rsidRPr="00FD211F">
        <w:rPr>
          <w:sz w:val="36"/>
          <w:szCs w:val="36"/>
          <w:rtl/>
        </w:rPr>
        <w:t xml:space="preserve">، </w:t>
      </w:r>
      <w:r w:rsidR="005E4FA6" w:rsidRPr="00FD211F">
        <w:rPr>
          <w:sz w:val="36"/>
          <w:szCs w:val="36"/>
          <w:rtl/>
        </w:rPr>
        <w:t>وعليه ف</w:t>
      </w:r>
      <w:r w:rsidR="00636A42" w:rsidRPr="00FD211F">
        <w:rPr>
          <w:sz w:val="36"/>
          <w:szCs w:val="36"/>
          <w:rtl/>
        </w:rPr>
        <w:t>لانستطيع الجزم بمعقولي</w:t>
      </w:r>
      <w:r w:rsidR="00EC7EDF" w:rsidRPr="00FD211F">
        <w:rPr>
          <w:sz w:val="36"/>
          <w:szCs w:val="36"/>
          <w:rtl/>
        </w:rPr>
        <w:t xml:space="preserve">ة </w:t>
      </w:r>
      <w:r w:rsidR="00636A42" w:rsidRPr="00FD211F">
        <w:rPr>
          <w:sz w:val="36"/>
          <w:szCs w:val="36"/>
          <w:rtl/>
        </w:rPr>
        <w:t>الوضع التعيني بسهول</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24"/>
      </w:r>
      <w:r w:rsidR="009C58C8" w:rsidRPr="00FD211F">
        <w:rPr>
          <w:rStyle w:val="a6"/>
          <w:sz w:val="36"/>
          <w:szCs w:val="36"/>
          <w:rtl/>
        </w:rPr>
        <w:t>)</w:t>
      </w:r>
      <w:r w:rsidR="00636A42" w:rsidRPr="00FD211F">
        <w:rPr>
          <w:sz w:val="36"/>
          <w:szCs w:val="36"/>
          <w:rtl/>
        </w:rPr>
        <w:t>.</w:t>
      </w:r>
    </w:p>
    <w:p w14:paraId="5282EBC7" w14:textId="77777777" w:rsidR="00636A42" w:rsidRPr="00FD211F" w:rsidRDefault="00636A42" w:rsidP="009C58C8">
      <w:pPr>
        <w:ind w:left="0" w:firstLine="227"/>
        <w:jc w:val="both"/>
        <w:rPr>
          <w:sz w:val="36"/>
          <w:szCs w:val="36"/>
          <w:rtl/>
        </w:rPr>
      </w:pPr>
      <w:r w:rsidRPr="00FD211F">
        <w:rPr>
          <w:sz w:val="36"/>
          <w:szCs w:val="36"/>
          <w:rtl/>
        </w:rPr>
        <w:t>وفيه ان كثر</w:t>
      </w:r>
      <w:r w:rsidR="00EC7EDF" w:rsidRPr="00FD211F">
        <w:rPr>
          <w:sz w:val="36"/>
          <w:szCs w:val="36"/>
          <w:rtl/>
        </w:rPr>
        <w:t xml:space="preserve">ة </w:t>
      </w:r>
      <w:r w:rsidRPr="00FD211F">
        <w:rPr>
          <w:sz w:val="36"/>
          <w:szCs w:val="36"/>
          <w:rtl/>
        </w:rPr>
        <w:t>استعمال لفظ في معنى</w:t>
      </w:r>
      <w:r w:rsidR="00B21D0C" w:rsidRPr="00FD211F">
        <w:rPr>
          <w:sz w:val="36"/>
          <w:szCs w:val="36"/>
          <w:rtl/>
        </w:rPr>
        <w:t>ً</w:t>
      </w:r>
      <w:r w:rsidRPr="00FD211F">
        <w:rPr>
          <w:sz w:val="36"/>
          <w:szCs w:val="36"/>
          <w:rtl/>
        </w:rPr>
        <w:t xml:space="preserve"> </w:t>
      </w:r>
      <w:r w:rsidR="00CF780C" w:rsidRPr="00FD211F">
        <w:rPr>
          <w:sz w:val="36"/>
          <w:szCs w:val="36"/>
          <w:rtl/>
        </w:rPr>
        <w:t>ان كانت مقرون</w:t>
      </w:r>
      <w:r w:rsidR="00EC7EDF" w:rsidRPr="00FD211F">
        <w:rPr>
          <w:sz w:val="36"/>
          <w:szCs w:val="36"/>
          <w:rtl/>
        </w:rPr>
        <w:t xml:space="preserve">ة </w:t>
      </w:r>
      <w:r w:rsidR="00CF780C" w:rsidRPr="00FD211F">
        <w:rPr>
          <w:sz w:val="36"/>
          <w:szCs w:val="36"/>
          <w:rtl/>
        </w:rPr>
        <w:t>بقرين</w:t>
      </w:r>
      <w:r w:rsidR="00EC7EDF" w:rsidRPr="00FD211F">
        <w:rPr>
          <w:sz w:val="36"/>
          <w:szCs w:val="36"/>
          <w:rtl/>
        </w:rPr>
        <w:t xml:space="preserve">ة </w:t>
      </w:r>
      <w:r w:rsidR="00295CBC" w:rsidRPr="00FD211F">
        <w:rPr>
          <w:sz w:val="36"/>
          <w:szCs w:val="36"/>
          <w:rtl/>
        </w:rPr>
        <w:t>شخصي</w:t>
      </w:r>
      <w:r w:rsidR="00EC7EDF" w:rsidRPr="00FD211F">
        <w:rPr>
          <w:sz w:val="36"/>
          <w:szCs w:val="36"/>
          <w:rtl/>
        </w:rPr>
        <w:t xml:space="preserve">ة </w:t>
      </w:r>
      <w:r w:rsidR="005E4FA6" w:rsidRPr="00FD211F">
        <w:rPr>
          <w:sz w:val="36"/>
          <w:szCs w:val="36"/>
          <w:rtl/>
        </w:rPr>
        <w:t>معين</w:t>
      </w:r>
      <w:r w:rsidR="00EC7EDF" w:rsidRPr="00FD211F">
        <w:rPr>
          <w:sz w:val="36"/>
          <w:szCs w:val="36"/>
          <w:rtl/>
        </w:rPr>
        <w:t xml:space="preserve">ة </w:t>
      </w:r>
      <w:r w:rsidR="00CF780C" w:rsidRPr="00FD211F">
        <w:rPr>
          <w:sz w:val="36"/>
          <w:szCs w:val="36"/>
          <w:rtl/>
        </w:rPr>
        <w:t>دائما تم هذا الاشكال</w:t>
      </w:r>
      <w:r w:rsidR="00603323" w:rsidRPr="00FD211F">
        <w:rPr>
          <w:sz w:val="36"/>
          <w:szCs w:val="36"/>
          <w:rtl/>
        </w:rPr>
        <w:t xml:space="preserve">، </w:t>
      </w:r>
      <w:r w:rsidR="00CF780C" w:rsidRPr="00FD211F">
        <w:rPr>
          <w:sz w:val="36"/>
          <w:szCs w:val="36"/>
          <w:rtl/>
        </w:rPr>
        <w:t>ولكن المفروض في الوضع التعيني كون العلق</w:t>
      </w:r>
      <w:r w:rsidR="00EC7EDF" w:rsidRPr="00FD211F">
        <w:rPr>
          <w:sz w:val="36"/>
          <w:szCs w:val="36"/>
          <w:rtl/>
        </w:rPr>
        <w:t xml:space="preserve">ة </w:t>
      </w:r>
      <w:r w:rsidR="00CF780C" w:rsidRPr="00FD211F">
        <w:rPr>
          <w:sz w:val="36"/>
          <w:szCs w:val="36"/>
          <w:rtl/>
        </w:rPr>
        <w:t>الوضعي</w:t>
      </w:r>
      <w:r w:rsidR="00EC7EDF" w:rsidRPr="00FD211F">
        <w:rPr>
          <w:sz w:val="36"/>
          <w:szCs w:val="36"/>
          <w:rtl/>
        </w:rPr>
        <w:t xml:space="preserve">ة </w:t>
      </w:r>
      <w:r w:rsidR="00CF780C" w:rsidRPr="00FD211F">
        <w:rPr>
          <w:sz w:val="36"/>
          <w:szCs w:val="36"/>
          <w:rtl/>
        </w:rPr>
        <w:t>بين لفظ ومعنى ناشئ</w:t>
      </w:r>
      <w:r w:rsidR="00EC7EDF" w:rsidRPr="00FD211F">
        <w:rPr>
          <w:sz w:val="36"/>
          <w:szCs w:val="36"/>
          <w:rtl/>
        </w:rPr>
        <w:t xml:space="preserve">ة </w:t>
      </w:r>
      <w:r w:rsidR="00CF780C" w:rsidRPr="00FD211F">
        <w:rPr>
          <w:sz w:val="36"/>
          <w:szCs w:val="36"/>
          <w:rtl/>
        </w:rPr>
        <w:t>من كثر</w:t>
      </w:r>
      <w:r w:rsidR="00EC7EDF" w:rsidRPr="00FD211F">
        <w:rPr>
          <w:sz w:val="36"/>
          <w:szCs w:val="36"/>
          <w:rtl/>
        </w:rPr>
        <w:t xml:space="preserve">ة </w:t>
      </w:r>
      <w:r w:rsidR="00CF780C" w:rsidRPr="00FD211F">
        <w:rPr>
          <w:sz w:val="36"/>
          <w:szCs w:val="36"/>
          <w:rtl/>
        </w:rPr>
        <w:t>الاستعمال فيه</w:t>
      </w:r>
      <w:r w:rsidR="00295CBC" w:rsidRPr="00FD211F">
        <w:rPr>
          <w:sz w:val="36"/>
          <w:szCs w:val="36"/>
          <w:rtl/>
        </w:rPr>
        <w:t xml:space="preserve"> بقرين</w:t>
      </w:r>
      <w:r w:rsidR="00EC7EDF" w:rsidRPr="00FD211F">
        <w:rPr>
          <w:sz w:val="36"/>
          <w:szCs w:val="36"/>
          <w:rtl/>
        </w:rPr>
        <w:t xml:space="preserve">ة </w:t>
      </w:r>
      <w:r w:rsidR="00295CBC" w:rsidRPr="00FD211F">
        <w:rPr>
          <w:sz w:val="36"/>
          <w:szCs w:val="36"/>
          <w:rtl/>
        </w:rPr>
        <w:t>حالي</w:t>
      </w:r>
      <w:r w:rsidR="00EC7EDF" w:rsidRPr="00FD211F">
        <w:rPr>
          <w:sz w:val="36"/>
          <w:szCs w:val="36"/>
          <w:rtl/>
        </w:rPr>
        <w:t xml:space="preserve">ة </w:t>
      </w:r>
      <w:r w:rsidR="00295CBC" w:rsidRPr="00FD211F">
        <w:rPr>
          <w:sz w:val="36"/>
          <w:szCs w:val="36"/>
          <w:rtl/>
        </w:rPr>
        <w:t>نوعي</w:t>
      </w:r>
      <w:r w:rsidR="00EC7EDF" w:rsidRPr="00FD211F">
        <w:rPr>
          <w:sz w:val="36"/>
          <w:szCs w:val="36"/>
          <w:rtl/>
        </w:rPr>
        <w:t xml:space="preserve">ة </w:t>
      </w:r>
      <w:r w:rsidR="00295CBC" w:rsidRPr="00FD211F">
        <w:rPr>
          <w:sz w:val="36"/>
          <w:szCs w:val="36"/>
          <w:rtl/>
        </w:rPr>
        <w:t xml:space="preserve">كاستعمال الخمس في معناه المصطلح دون معناه اللغوي او </w:t>
      </w:r>
      <w:r w:rsidR="005E4FA6" w:rsidRPr="00FD211F">
        <w:rPr>
          <w:sz w:val="36"/>
          <w:szCs w:val="36"/>
          <w:rtl/>
        </w:rPr>
        <w:t>ب</w:t>
      </w:r>
      <w:r w:rsidR="00CF780C" w:rsidRPr="00FD211F">
        <w:rPr>
          <w:sz w:val="36"/>
          <w:szCs w:val="36"/>
          <w:rtl/>
        </w:rPr>
        <w:t>قرائن مختلف</w:t>
      </w:r>
      <w:r w:rsidR="00EC7EDF" w:rsidRPr="00FD211F">
        <w:rPr>
          <w:sz w:val="36"/>
          <w:szCs w:val="36"/>
          <w:rtl/>
        </w:rPr>
        <w:t xml:space="preserve">ة </w:t>
      </w:r>
      <w:r w:rsidR="00CF780C" w:rsidRPr="00FD211F">
        <w:rPr>
          <w:sz w:val="36"/>
          <w:szCs w:val="36"/>
          <w:rtl/>
        </w:rPr>
        <w:t>التي قد تكون</w:t>
      </w:r>
      <w:r w:rsidR="005E4FA6" w:rsidRPr="00FD211F">
        <w:rPr>
          <w:sz w:val="36"/>
          <w:szCs w:val="36"/>
          <w:rtl/>
        </w:rPr>
        <w:t xml:space="preserve"> حالي</w:t>
      </w:r>
      <w:r w:rsidR="00EC7EDF" w:rsidRPr="00FD211F">
        <w:rPr>
          <w:sz w:val="36"/>
          <w:szCs w:val="36"/>
          <w:rtl/>
        </w:rPr>
        <w:t xml:space="preserve">ة </w:t>
      </w:r>
      <w:r w:rsidR="005E4FA6" w:rsidRPr="00FD211F">
        <w:rPr>
          <w:sz w:val="36"/>
          <w:szCs w:val="36"/>
          <w:rtl/>
        </w:rPr>
        <w:t>وقد تكون</w:t>
      </w:r>
      <w:r w:rsidR="00CF780C" w:rsidRPr="00FD211F">
        <w:rPr>
          <w:sz w:val="36"/>
          <w:szCs w:val="36"/>
          <w:rtl/>
        </w:rPr>
        <w:t xml:space="preserve"> لفظي</w:t>
      </w:r>
      <w:r w:rsidR="00EC7EDF" w:rsidRPr="00FD211F">
        <w:rPr>
          <w:sz w:val="36"/>
          <w:szCs w:val="36"/>
          <w:rtl/>
        </w:rPr>
        <w:t xml:space="preserve">ة </w:t>
      </w:r>
      <w:r w:rsidR="00CF780C" w:rsidRPr="00FD211F">
        <w:rPr>
          <w:sz w:val="36"/>
          <w:szCs w:val="36"/>
          <w:rtl/>
        </w:rPr>
        <w:t>على اختلاف اساليبها</w:t>
      </w:r>
      <w:r w:rsidR="00603323" w:rsidRPr="00FD211F">
        <w:rPr>
          <w:sz w:val="36"/>
          <w:szCs w:val="36"/>
          <w:rtl/>
        </w:rPr>
        <w:t xml:space="preserve">، </w:t>
      </w:r>
      <w:r w:rsidR="005E4FA6" w:rsidRPr="00FD211F">
        <w:rPr>
          <w:sz w:val="36"/>
          <w:szCs w:val="36"/>
          <w:rtl/>
        </w:rPr>
        <w:t>ف</w:t>
      </w:r>
      <w:r w:rsidR="00CF780C" w:rsidRPr="00FD211F">
        <w:rPr>
          <w:sz w:val="36"/>
          <w:szCs w:val="36"/>
          <w:rtl/>
        </w:rPr>
        <w:t>ما يكون محفوظا في</w:t>
      </w:r>
      <w:r w:rsidR="005E4FA6" w:rsidRPr="00FD211F">
        <w:rPr>
          <w:sz w:val="36"/>
          <w:szCs w:val="36"/>
          <w:rtl/>
        </w:rPr>
        <w:t xml:space="preserve"> جميع</w:t>
      </w:r>
      <w:r w:rsidR="00CF780C" w:rsidRPr="00FD211F">
        <w:rPr>
          <w:sz w:val="36"/>
          <w:szCs w:val="36"/>
          <w:rtl/>
        </w:rPr>
        <w:t xml:space="preserve"> هذه الاستعمالات هو اللفظ</w:t>
      </w:r>
      <w:r w:rsidR="005E4FA6" w:rsidRPr="00FD211F">
        <w:rPr>
          <w:sz w:val="36"/>
          <w:szCs w:val="36"/>
          <w:rtl/>
        </w:rPr>
        <w:t xml:space="preserve"> فقط دون تلك القرائن</w:t>
      </w:r>
      <w:r w:rsidR="00603323" w:rsidRPr="00FD211F">
        <w:rPr>
          <w:sz w:val="36"/>
          <w:szCs w:val="36"/>
          <w:rtl/>
        </w:rPr>
        <w:t xml:space="preserve">، </w:t>
      </w:r>
      <w:r w:rsidR="00CF780C" w:rsidRPr="00FD211F">
        <w:rPr>
          <w:sz w:val="36"/>
          <w:szCs w:val="36"/>
          <w:rtl/>
        </w:rPr>
        <w:t xml:space="preserve">وهذا يوجب حصول أنس ذهني بين </w:t>
      </w:r>
      <w:r w:rsidR="005E4FA6" w:rsidRPr="00FD211F">
        <w:rPr>
          <w:sz w:val="36"/>
          <w:szCs w:val="36"/>
          <w:rtl/>
        </w:rPr>
        <w:t>نفس</w:t>
      </w:r>
      <w:r w:rsidR="00CF780C" w:rsidRPr="00FD211F">
        <w:rPr>
          <w:sz w:val="36"/>
          <w:szCs w:val="36"/>
          <w:rtl/>
        </w:rPr>
        <w:t xml:space="preserve"> اللفظ وبين المعنى الى ان تتحقق بينهما ملازم</w:t>
      </w:r>
      <w:r w:rsidR="00EC7EDF" w:rsidRPr="00FD211F">
        <w:rPr>
          <w:sz w:val="36"/>
          <w:szCs w:val="36"/>
          <w:rtl/>
        </w:rPr>
        <w:t xml:space="preserve">ة </w:t>
      </w:r>
      <w:r w:rsidR="00CF780C" w:rsidRPr="00FD211F">
        <w:rPr>
          <w:sz w:val="36"/>
          <w:szCs w:val="36"/>
          <w:rtl/>
        </w:rPr>
        <w:t>ذهني</w:t>
      </w:r>
      <w:r w:rsidR="00EC7EDF" w:rsidRPr="00FD211F">
        <w:rPr>
          <w:sz w:val="36"/>
          <w:szCs w:val="36"/>
          <w:rtl/>
        </w:rPr>
        <w:t xml:space="preserve">ة </w:t>
      </w:r>
      <w:r w:rsidR="00CF780C" w:rsidRPr="00FD211F">
        <w:rPr>
          <w:sz w:val="36"/>
          <w:szCs w:val="36"/>
          <w:rtl/>
        </w:rPr>
        <w:t xml:space="preserve">بحيث يوجب تصور ذلك اللفظ </w:t>
      </w:r>
      <w:r w:rsidR="005338B0" w:rsidRPr="00FD211F">
        <w:rPr>
          <w:sz w:val="36"/>
          <w:szCs w:val="36"/>
          <w:rtl/>
        </w:rPr>
        <w:t>تصور</w:t>
      </w:r>
      <w:r w:rsidR="00CF780C" w:rsidRPr="00FD211F">
        <w:rPr>
          <w:sz w:val="36"/>
          <w:szCs w:val="36"/>
          <w:rtl/>
        </w:rPr>
        <w:t xml:space="preserve"> ذلك المعنى.</w:t>
      </w:r>
    </w:p>
    <w:p w14:paraId="039C04D8" w14:textId="77777777" w:rsidR="00B56F12" w:rsidRPr="00FD211F" w:rsidRDefault="002B6698" w:rsidP="009C58C8">
      <w:pPr>
        <w:ind w:left="0" w:firstLine="227"/>
        <w:jc w:val="both"/>
        <w:rPr>
          <w:sz w:val="36"/>
          <w:szCs w:val="36"/>
          <w:rtl/>
        </w:rPr>
      </w:pPr>
      <w:r w:rsidRPr="00FD211F">
        <w:rPr>
          <w:b/>
          <w:bCs/>
          <w:sz w:val="36"/>
          <w:szCs w:val="36"/>
          <w:rtl/>
        </w:rPr>
        <w:t>الوجه الثاني</w:t>
      </w:r>
      <w:r w:rsidRPr="00FD211F">
        <w:rPr>
          <w:sz w:val="36"/>
          <w:szCs w:val="36"/>
          <w:rtl/>
        </w:rPr>
        <w:t>:</w:t>
      </w:r>
      <w:r w:rsidR="00CF780C" w:rsidRPr="00FD211F">
        <w:rPr>
          <w:sz w:val="36"/>
          <w:szCs w:val="36"/>
          <w:rtl/>
        </w:rPr>
        <w:t>ان حقيق</w:t>
      </w:r>
      <w:r w:rsidR="00EC7EDF" w:rsidRPr="00FD211F">
        <w:rPr>
          <w:sz w:val="36"/>
          <w:szCs w:val="36"/>
          <w:rtl/>
        </w:rPr>
        <w:t xml:space="preserve">ة </w:t>
      </w:r>
      <w:r w:rsidR="00CF780C" w:rsidRPr="00FD211F">
        <w:rPr>
          <w:sz w:val="36"/>
          <w:szCs w:val="36"/>
          <w:rtl/>
        </w:rPr>
        <w:t>الوضع هي اعتبار خاص بين اللفظ والمعنى –سواء قلنا بمسلك المحقق الاصفهاني</w:t>
      </w:r>
      <w:r w:rsidR="00A61BAE" w:rsidRPr="00FD211F">
        <w:rPr>
          <w:sz w:val="36"/>
          <w:szCs w:val="36"/>
          <w:rtl/>
        </w:rPr>
        <w:t xml:space="preserve"> </w:t>
      </w:r>
      <w:r w:rsidR="006912A9" w:rsidRPr="00FD211F">
        <w:rPr>
          <w:sz w:val="36"/>
          <w:szCs w:val="36"/>
          <w:rtl/>
        </w:rPr>
        <w:t>"قده"</w:t>
      </w:r>
      <w:r w:rsidR="00A61BAE" w:rsidRPr="00FD211F">
        <w:rPr>
          <w:sz w:val="36"/>
          <w:szCs w:val="36"/>
          <w:rtl/>
        </w:rPr>
        <w:t xml:space="preserve"> </w:t>
      </w:r>
      <w:r w:rsidR="00CF780C" w:rsidRPr="00FD211F">
        <w:rPr>
          <w:sz w:val="36"/>
          <w:szCs w:val="36"/>
          <w:rtl/>
        </w:rPr>
        <w:t>من كون</w:t>
      </w:r>
      <w:r w:rsidR="005338B0" w:rsidRPr="00FD211F">
        <w:rPr>
          <w:sz w:val="36"/>
          <w:szCs w:val="36"/>
          <w:rtl/>
        </w:rPr>
        <w:t>ه</w:t>
      </w:r>
      <w:r w:rsidR="00CF780C" w:rsidRPr="00FD211F">
        <w:rPr>
          <w:sz w:val="36"/>
          <w:szCs w:val="36"/>
          <w:rtl/>
        </w:rPr>
        <w:t xml:space="preserve"> هو اعتبار كون اللفظ موضوعا على المعنى نظير وضع الع</w:t>
      </w:r>
      <w:r w:rsidR="00490D18" w:rsidRPr="00FD211F">
        <w:rPr>
          <w:sz w:val="36"/>
          <w:szCs w:val="36"/>
          <w:rtl/>
        </w:rPr>
        <w:t>َ</w:t>
      </w:r>
      <w:r w:rsidR="00CF780C" w:rsidRPr="00FD211F">
        <w:rPr>
          <w:sz w:val="36"/>
          <w:szCs w:val="36"/>
          <w:rtl/>
        </w:rPr>
        <w:t>ل</w:t>
      </w:r>
      <w:r w:rsidR="00490D18" w:rsidRPr="00FD211F">
        <w:rPr>
          <w:sz w:val="36"/>
          <w:szCs w:val="36"/>
          <w:rtl/>
        </w:rPr>
        <w:t>َ</w:t>
      </w:r>
      <w:r w:rsidR="00CF780C" w:rsidRPr="00FD211F">
        <w:rPr>
          <w:sz w:val="36"/>
          <w:szCs w:val="36"/>
          <w:rtl/>
        </w:rPr>
        <w:t>م على مكان ليدل على كونه رأس الفرسخ اوقلنا ب</w:t>
      </w:r>
      <w:r w:rsidR="00955F8D" w:rsidRPr="00FD211F">
        <w:rPr>
          <w:sz w:val="36"/>
          <w:szCs w:val="36"/>
          <w:rtl/>
        </w:rPr>
        <w:t>مسلك المحقق الايرواني</w:t>
      </w:r>
      <w:r w:rsidR="00A61BAE" w:rsidRPr="00FD211F">
        <w:rPr>
          <w:sz w:val="36"/>
          <w:szCs w:val="36"/>
          <w:rtl/>
        </w:rPr>
        <w:t xml:space="preserve"> </w:t>
      </w:r>
      <w:r w:rsidR="006912A9" w:rsidRPr="00FD211F">
        <w:rPr>
          <w:sz w:val="36"/>
          <w:szCs w:val="36"/>
          <w:rtl/>
        </w:rPr>
        <w:t>"قده"</w:t>
      </w:r>
      <w:r w:rsidR="00A61BAE" w:rsidRPr="00FD211F">
        <w:rPr>
          <w:sz w:val="36"/>
          <w:szCs w:val="36"/>
          <w:rtl/>
        </w:rPr>
        <w:t xml:space="preserve"> </w:t>
      </w:r>
      <w:r w:rsidR="00955F8D" w:rsidRPr="00FD211F">
        <w:rPr>
          <w:sz w:val="36"/>
          <w:szCs w:val="36"/>
          <w:rtl/>
        </w:rPr>
        <w:t xml:space="preserve">من كون الوضع هو </w:t>
      </w:r>
      <w:r w:rsidR="00CF780C" w:rsidRPr="00FD211F">
        <w:rPr>
          <w:sz w:val="36"/>
          <w:szCs w:val="36"/>
          <w:rtl/>
        </w:rPr>
        <w:t>اعتبار الهوهوي</w:t>
      </w:r>
      <w:r w:rsidR="00EC7EDF" w:rsidRPr="00FD211F">
        <w:rPr>
          <w:sz w:val="36"/>
          <w:szCs w:val="36"/>
          <w:rtl/>
        </w:rPr>
        <w:t xml:space="preserve">ة </w:t>
      </w:r>
      <w:r w:rsidR="00CF780C" w:rsidRPr="00FD211F">
        <w:rPr>
          <w:sz w:val="36"/>
          <w:szCs w:val="36"/>
          <w:rtl/>
        </w:rPr>
        <w:t>بين اللفظ والمعنى</w:t>
      </w:r>
      <w:r w:rsidR="00603323" w:rsidRPr="00FD211F">
        <w:rPr>
          <w:sz w:val="36"/>
          <w:szCs w:val="36"/>
          <w:rtl/>
        </w:rPr>
        <w:t xml:space="preserve">، </w:t>
      </w:r>
      <w:r w:rsidR="00955F8D" w:rsidRPr="00FD211F">
        <w:rPr>
          <w:sz w:val="36"/>
          <w:szCs w:val="36"/>
          <w:rtl/>
        </w:rPr>
        <w:t>او قلنا بكونه اعتبار اللفظ علام</w:t>
      </w:r>
      <w:r w:rsidR="00EC7EDF" w:rsidRPr="00FD211F">
        <w:rPr>
          <w:sz w:val="36"/>
          <w:szCs w:val="36"/>
          <w:rtl/>
        </w:rPr>
        <w:t xml:space="preserve">ة </w:t>
      </w:r>
      <w:r w:rsidR="00955F8D" w:rsidRPr="00FD211F">
        <w:rPr>
          <w:sz w:val="36"/>
          <w:szCs w:val="36"/>
          <w:rtl/>
        </w:rPr>
        <w:t>على المعنى - ويكون الغرض من هذا الاعتبار هو</w:t>
      </w:r>
      <w:r w:rsidR="00CF780C" w:rsidRPr="00FD211F">
        <w:rPr>
          <w:sz w:val="36"/>
          <w:szCs w:val="36"/>
          <w:rtl/>
        </w:rPr>
        <w:t xml:space="preserve"> تحقق الملازم</w:t>
      </w:r>
      <w:r w:rsidR="00EC7EDF" w:rsidRPr="00FD211F">
        <w:rPr>
          <w:sz w:val="36"/>
          <w:szCs w:val="36"/>
          <w:rtl/>
        </w:rPr>
        <w:t xml:space="preserve">ة </w:t>
      </w:r>
      <w:r w:rsidR="00CF780C" w:rsidRPr="00FD211F">
        <w:rPr>
          <w:sz w:val="36"/>
          <w:szCs w:val="36"/>
          <w:rtl/>
        </w:rPr>
        <w:t>الذهني</w:t>
      </w:r>
      <w:r w:rsidR="00EC7EDF" w:rsidRPr="00FD211F">
        <w:rPr>
          <w:sz w:val="36"/>
          <w:szCs w:val="36"/>
          <w:rtl/>
        </w:rPr>
        <w:t xml:space="preserve">ة </w:t>
      </w:r>
      <w:r w:rsidR="00CF780C" w:rsidRPr="00FD211F">
        <w:rPr>
          <w:sz w:val="36"/>
          <w:szCs w:val="36"/>
          <w:rtl/>
        </w:rPr>
        <w:t>بينهما</w:t>
      </w:r>
      <w:r w:rsidR="00603323" w:rsidRPr="00FD211F">
        <w:rPr>
          <w:sz w:val="36"/>
          <w:szCs w:val="36"/>
          <w:rtl/>
        </w:rPr>
        <w:t xml:space="preserve">، </w:t>
      </w:r>
      <w:r w:rsidR="00E93E62" w:rsidRPr="00FD211F">
        <w:rPr>
          <w:sz w:val="36"/>
          <w:szCs w:val="36"/>
          <w:rtl/>
        </w:rPr>
        <w:t>وبعد</w:t>
      </w:r>
      <w:r w:rsidR="00955F8D" w:rsidRPr="00FD211F">
        <w:rPr>
          <w:sz w:val="36"/>
          <w:szCs w:val="36"/>
          <w:rtl/>
        </w:rPr>
        <w:t xml:space="preserve"> </w:t>
      </w:r>
      <w:r w:rsidR="00E93E62" w:rsidRPr="00FD211F">
        <w:rPr>
          <w:sz w:val="36"/>
          <w:szCs w:val="36"/>
          <w:rtl/>
        </w:rPr>
        <w:t>ما تحققت</w:t>
      </w:r>
      <w:r w:rsidR="005338B0" w:rsidRPr="00FD211F">
        <w:rPr>
          <w:sz w:val="36"/>
          <w:szCs w:val="36"/>
          <w:rtl/>
        </w:rPr>
        <w:t xml:space="preserve"> هذه</w:t>
      </w:r>
      <w:r w:rsidR="00E93E62" w:rsidRPr="00FD211F">
        <w:rPr>
          <w:sz w:val="36"/>
          <w:szCs w:val="36"/>
          <w:rtl/>
        </w:rPr>
        <w:t xml:space="preserve"> الملازم</w:t>
      </w:r>
      <w:r w:rsidR="00EC7EDF" w:rsidRPr="00FD211F">
        <w:rPr>
          <w:sz w:val="36"/>
          <w:szCs w:val="36"/>
          <w:rtl/>
        </w:rPr>
        <w:t xml:space="preserve">ة </w:t>
      </w:r>
      <w:r w:rsidR="00955F8D" w:rsidRPr="00FD211F">
        <w:rPr>
          <w:sz w:val="36"/>
          <w:szCs w:val="36"/>
          <w:rtl/>
        </w:rPr>
        <w:t>الذهني</w:t>
      </w:r>
      <w:r w:rsidR="00EC7EDF" w:rsidRPr="00FD211F">
        <w:rPr>
          <w:sz w:val="36"/>
          <w:szCs w:val="36"/>
          <w:rtl/>
        </w:rPr>
        <w:t xml:space="preserve">ة </w:t>
      </w:r>
      <w:r w:rsidR="00E93E62" w:rsidRPr="00FD211F">
        <w:rPr>
          <w:sz w:val="36"/>
          <w:szCs w:val="36"/>
          <w:rtl/>
        </w:rPr>
        <w:t>بين لفظ ومعنى بسبب كثر</w:t>
      </w:r>
      <w:r w:rsidR="00EC7EDF" w:rsidRPr="00FD211F">
        <w:rPr>
          <w:sz w:val="36"/>
          <w:szCs w:val="36"/>
          <w:rtl/>
        </w:rPr>
        <w:t xml:space="preserve">ة </w:t>
      </w:r>
      <w:r w:rsidR="00E93E62" w:rsidRPr="00FD211F">
        <w:rPr>
          <w:sz w:val="36"/>
          <w:szCs w:val="36"/>
          <w:rtl/>
        </w:rPr>
        <w:t>استعماله فيه فيلغو</w:t>
      </w:r>
      <w:r w:rsidR="00955F8D" w:rsidRPr="00FD211F">
        <w:rPr>
          <w:sz w:val="36"/>
          <w:szCs w:val="36"/>
          <w:rtl/>
        </w:rPr>
        <w:t xml:space="preserve"> </w:t>
      </w:r>
      <w:r w:rsidR="006445C9" w:rsidRPr="00FD211F">
        <w:rPr>
          <w:sz w:val="36"/>
          <w:szCs w:val="36"/>
          <w:rtl/>
        </w:rPr>
        <w:t>بعد</w:t>
      </w:r>
      <w:r w:rsidR="00955F8D" w:rsidRPr="00FD211F">
        <w:rPr>
          <w:sz w:val="36"/>
          <w:szCs w:val="36"/>
          <w:rtl/>
        </w:rPr>
        <w:t>ئذ</w:t>
      </w:r>
      <w:r w:rsidR="00E93E62" w:rsidRPr="00FD211F">
        <w:rPr>
          <w:sz w:val="36"/>
          <w:szCs w:val="36"/>
          <w:rtl/>
        </w:rPr>
        <w:t xml:space="preserve"> </w:t>
      </w:r>
      <w:r w:rsidR="00955F8D" w:rsidRPr="00FD211F">
        <w:rPr>
          <w:sz w:val="36"/>
          <w:szCs w:val="36"/>
          <w:rtl/>
        </w:rPr>
        <w:t>ذلك ال</w:t>
      </w:r>
      <w:r w:rsidR="005A1472" w:rsidRPr="00FD211F">
        <w:rPr>
          <w:sz w:val="36"/>
          <w:szCs w:val="36"/>
          <w:rtl/>
        </w:rPr>
        <w:t xml:space="preserve">اعتبار </w:t>
      </w:r>
      <w:r w:rsidR="005338B0" w:rsidRPr="00FD211F">
        <w:rPr>
          <w:sz w:val="36"/>
          <w:szCs w:val="36"/>
          <w:rtl/>
        </w:rPr>
        <w:t>حيث ان</w:t>
      </w:r>
      <w:r w:rsidR="00955F8D" w:rsidRPr="00FD211F">
        <w:rPr>
          <w:sz w:val="36"/>
          <w:szCs w:val="36"/>
          <w:rtl/>
        </w:rPr>
        <w:t xml:space="preserve"> نتيجته</w:t>
      </w:r>
      <w:r w:rsidR="005338B0" w:rsidRPr="00FD211F">
        <w:rPr>
          <w:sz w:val="36"/>
          <w:szCs w:val="36"/>
          <w:rtl/>
        </w:rPr>
        <w:t xml:space="preserve"> قد حصلت</w:t>
      </w:r>
      <w:r w:rsidR="00955F8D" w:rsidRPr="00FD211F">
        <w:rPr>
          <w:sz w:val="36"/>
          <w:szCs w:val="36"/>
          <w:rtl/>
        </w:rPr>
        <w:t xml:space="preserve"> بسبب كثر</w:t>
      </w:r>
      <w:r w:rsidR="00EC7EDF" w:rsidRPr="00FD211F">
        <w:rPr>
          <w:sz w:val="36"/>
          <w:szCs w:val="36"/>
          <w:rtl/>
        </w:rPr>
        <w:t xml:space="preserve">ة </w:t>
      </w:r>
      <w:r w:rsidR="00955F8D" w:rsidRPr="00FD211F">
        <w:rPr>
          <w:sz w:val="36"/>
          <w:szCs w:val="36"/>
          <w:rtl/>
        </w:rPr>
        <w:t>الاستعمال</w:t>
      </w:r>
      <w:r w:rsidR="00B56F12" w:rsidRPr="00FD211F">
        <w:rPr>
          <w:sz w:val="36"/>
          <w:szCs w:val="36"/>
          <w:rtl/>
        </w:rPr>
        <w:t>.</w:t>
      </w:r>
    </w:p>
    <w:p w14:paraId="137273E4" w14:textId="77777777" w:rsidR="009075ED" w:rsidRPr="00FD211F" w:rsidRDefault="005338B0" w:rsidP="009C58C8">
      <w:pPr>
        <w:ind w:left="0" w:firstLine="227"/>
        <w:jc w:val="both"/>
        <w:rPr>
          <w:sz w:val="36"/>
          <w:szCs w:val="36"/>
          <w:rtl/>
        </w:rPr>
      </w:pPr>
      <w:r w:rsidRPr="00FD211F">
        <w:rPr>
          <w:sz w:val="36"/>
          <w:szCs w:val="36"/>
          <w:rtl/>
        </w:rPr>
        <w:t>وأما تسبب كثر</w:t>
      </w:r>
      <w:r w:rsidR="00EC7EDF" w:rsidRPr="00FD211F">
        <w:rPr>
          <w:sz w:val="36"/>
          <w:szCs w:val="36"/>
          <w:rtl/>
        </w:rPr>
        <w:t xml:space="preserve">ة </w:t>
      </w:r>
      <w:r w:rsidRPr="00FD211F">
        <w:rPr>
          <w:sz w:val="36"/>
          <w:szCs w:val="36"/>
          <w:rtl/>
        </w:rPr>
        <w:t xml:space="preserve">الاستعمال </w:t>
      </w:r>
      <w:r w:rsidR="0058375F" w:rsidRPr="00FD211F">
        <w:rPr>
          <w:sz w:val="36"/>
          <w:szCs w:val="36"/>
          <w:rtl/>
        </w:rPr>
        <w:t xml:space="preserve">لتحقق </w:t>
      </w:r>
      <w:r w:rsidR="00A5551C" w:rsidRPr="00FD211F">
        <w:rPr>
          <w:sz w:val="36"/>
          <w:szCs w:val="36"/>
          <w:rtl/>
        </w:rPr>
        <w:t>الوضع</w:t>
      </w:r>
      <w:r w:rsidRPr="00FD211F">
        <w:rPr>
          <w:sz w:val="36"/>
          <w:szCs w:val="36"/>
          <w:rtl/>
        </w:rPr>
        <w:t xml:space="preserve"> قهرا بلاحاج</w:t>
      </w:r>
      <w:r w:rsidR="00EC7EDF" w:rsidRPr="00FD211F">
        <w:rPr>
          <w:sz w:val="36"/>
          <w:szCs w:val="36"/>
          <w:rtl/>
        </w:rPr>
        <w:t xml:space="preserve">ة </w:t>
      </w:r>
      <w:r w:rsidRPr="00FD211F">
        <w:rPr>
          <w:sz w:val="36"/>
          <w:szCs w:val="36"/>
          <w:rtl/>
        </w:rPr>
        <w:t>الى اي اعتبار لاحق</w:t>
      </w:r>
      <w:r w:rsidR="00A5551C" w:rsidRPr="00FD211F">
        <w:rPr>
          <w:sz w:val="36"/>
          <w:szCs w:val="36"/>
          <w:rtl/>
        </w:rPr>
        <w:t xml:space="preserve"> فهو غير معقول بناء على تفسير حقيق</w:t>
      </w:r>
      <w:r w:rsidR="00EC7EDF" w:rsidRPr="00FD211F">
        <w:rPr>
          <w:sz w:val="36"/>
          <w:szCs w:val="36"/>
          <w:rtl/>
        </w:rPr>
        <w:t xml:space="preserve">ة </w:t>
      </w:r>
      <w:r w:rsidR="00A5551C" w:rsidRPr="00FD211F">
        <w:rPr>
          <w:sz w:val="36"/>
          <w:szCs w:val="36"/>
          <w:rtl/>
        </w:rPr>
        <w:t>الوضع بالاعتبار</w:t>
      </w:r>
      <w:r w:rsidR="00B56F12" w:rsidRPr="00FD211F">
        <w:rPr>
          <w:sz w:val="36"/>
          <w:szCs w:val="36"/>
          <w:rtl/>
        </w:rPr>
        <w:t xml:space="preserve"> </w:t>
      </w:r>
      <w:r w:rsidR="00A5551C" w:rsidRPr="00FD211F">
        <w:rPr>
          <w:sz w:val="36"/>
          <w:szCs w:val="36"/>
          <w:rtl/>
        </w:rPr>
        <w:t>ف</w:t>
      </w:r>
      <w:r w:rsidR="00B56F12" w:rsidRPr="00FD211F">
        <w:rPr>
          <w:sz w:val="36"/>
          <w:szCs w:val="36"/>
          <w:rtl/>
        </w:rPr>
        <w:t xml:space="preserve">ان </w:t>
      </w:r>
      <w:r w:rsidR="00D23A26" w:rsidRPr="00FD211F">
        <w:rPr>
          <w:sz w:val="36"/>
          <w:szCs w:val="36"/>
          <w:rtl/>
        </w:rPr>
        <w:t>الاعتبار فعل قصدي لايتحقق بدون قصد</w:t>
      </w:r>
      <w:r w:rsidR="00603323" w:rsidRPr="00FD211F">
        <w:rPr>
          <w:sz w:val="36"/>
          <w:szCs w:val="36"/>
          <w:rtl/>
        </w:rPr>
        <w:t xml:space="preserve">، </w:t>
      </w:r>
      <w:r w:rsidR="00A5551C" w:rsidRPr="00FD211F">
        <w:rPr>
          <w:sz w:val="36"/>
          <w:szCs w:val="36"/>
          <w:rtl/>
        </w:rPr>
        <w:t xml:space="preserve">كما </w:t>
      </w:r>
      <w:r w:rsidR="00D23A26" w:rsidRPr="00FD211F">
        <w:rPr>
          <w:sz w:val="36"/>
          <w:szCs w:val="36"/>
          <w:rtl/>
        </w:rPr>
        <w:t>لايمكن ان تكون كثر</w:t>
      </w:r>
      <w:r w:rsidR="00EC7EDF" w:rsidRPr="00FD211F">
        <w:rPr>
          <w:sz w:val="36"/>
          <w:szCs w:val="36"/>
          <w:rtl/>
        </w:rPr>
        <w:t xml:space="preserve">ة </w:t>
      </w:r>
      <w:r w:rsidR="00D23A26" w:rsidRPr="00FD211F">
        <w:rPr>
          <w:sz w:val="36"/>
          <w:szCs w:val="36"/>
          <w:rtl/>
        </w:rPr>
        <w:t>الاستعمال انشاء</w:t>
      </w:r>
      <w:r w:rsidR="00A5551C" w:rsidRPr="00FD211F">
        <w:rPr>
          <w:sz w:val="36"/>
          <w:szCs w:val="36"/>
          <w:rtl/>
        </w:rPr>
        <w:t>ا وابرازا ل</w:t>
      </w:r>
      <w:r w:rsidR="00D23A26" w:rsidRPr="00FD211F">
        <w:rPr>
          <w:sz w:val="36"/>
          <w:szCs w:val="36"/>
          <w:rtl/>
        </w:rPr>
        <w:t>ذلك الاعتبار لان كثر</w:t>
      </w:r>
      <w:r w:rsidR="00EC7EDF" w:rsidRPr="00FD211F">
        <w:rPr>
          <w:sz w:val="36"/>
          <w:szCs w:val="36"/>
          <w:rtl/>
        </w:rPr>
        <w:t xml:space="preserve">ة </w:t>
      </w:r>
      <w:r w:rsidR="00D23A26" w:rsidRPr="00FD211F">
        <w:rPr>
          <w:sz w:val="36"/>
          <w:szCs w:val="36"/>
          <w:rtl/>
        </w:rPr>
        <w:t>الاستعمال قائم</w:t>
      </w:r>
      <w:r w:rsidR="00EC7EDF" w:rsidRPr="00FD211F">
        <w:rPr>
          <w:sz w:val="36"/>
          <w:szCs w:val="36"/>
          <w:rtl/>
        </w:rPr>
        <w:t xml:space="preserve">ة </w:t>
      </w:r>
      <w:r w:rsidR="00D23A26" w:rsidRPr="00FD211F">
        <w:rPr>
          <w:sz w:val="36"/>
          <w:szCs w:val="36"/>
          <w:rtl/>
        </w:rPr>
        <w:t>باشخاص متعددين</w:t>
      </w:r>
      <w:r w:rsidR="00603323" w:rsidRPr="00FD211F">
        <w:rPr>
          <w:sz w:val="36"/>
          <w:szCs w:val="36"/>
          <w:rtl/>
        </w:rPr>
        <w:t xml:space="preserve">، </w:t>
      </w:r>
      <w:r w:rsidR="009977FE" w:rsidRPr="00FD211F">
        <w:rPr>
          <w:sz w:val="36"/>
          <w:szCs w:val="36"/>
          <w:rtl/>
        </w:rPr>
        <w:t>و</w:t>
      </w:r>
      <w:r w:rsidR="008D7B3D" w:rsidRPr="00FD211F">
        <w:rPr>
          <w:sz w:val="36"/>
          <w:szCs w:val="36"/>
          <w:rtl/>
        </w:rPr>
        <w:t xml:space="preserve"> لم‌</w:t>
      </w:r>
      <w:r w:rsidR="0058375F" w:rsidRPr="00FD211F">
        <w:rPr>
          <w:sz w:val="36"/>
          <w:szCs w:val="36"/>
          <w:rtl/>
        </w:rPr>
        <w:t>يقصد كل واحد منهم باستعماله سوى الاستعمال من دون قصد لانشاء ذلك الاعتبار</w:t>
      </w:r>
      <w:r w:rsidR="00D23A26" w:rsidRPr="00FD211F">
        <w:rPr>
          <w:sz w:val="36"/>
          <w:szCs w:val="36"/>
          <w:rtl/>
        </w:rPr>
        <w:t xml:space="preserve"> </w:t>
      </w:r>
      <w:r w:rsidR="0058375F" w:rsidRPr="00FD211F">
        <w:rPr>
          <w:sz w:val="36"/>
          <w:szCs w:val="36"/>
          <w:rtl/>
        </w:rPr>
        <w:t>وابرازه</w:t>
      </w:r>
      <w:r w:rsidR="009075ED" w:rsidRPr="00FD211F">
        <w:rPr>
          <w:sz w:val="36"/>
          <w:szCs w:val="36"/>
          <w:rtl/>
        </w:rPr>
        <w:t>.</w:t>
      </w:r>
    </w:p>
    <w:p w14:paraId="28D4A5C1" w14:textId="77777777" w:rsidR="00345720" w:rsidRPr="00FD211F" w:rsidRDefault="005338B0" w:rsidP="009C58C8">
      <w:pPr>
        <w:ind w:left="0" w:firstLine="227"/>
        <w:jc w:val="both"/>
        <w:rPr>
          <w:b/>
          <w:bCs/>
          <w:sz w:val="36"/>
          <w:szCs w:val="36"/>
          <w:rtl/>
        </w:rPr>
      </w:pPr>
      <w:r w:rsidRPr="00FD211F">
        <w:rPr>
          <w:sz w:val="36"/>
          <w:szCs w:val="36"/>
          <w:rtl/>
        </w:rPr>
        <w:t>فما</w:t>
      </w:r>
      <w:r w:rsidR="004351B6" w:rsidRPr="00FD211F">
        <w:rPr>
          <w:sz w:val="36"/>
          <w:szCs w:val="36"/>
          <w:rtl/>
        </w:rPr>
        <w:t xml:space="preserve"> ذكره المحقق الايرواني</w:t>
      </w:r>
      <w:r w:rsidR="00A61BAE" w:rsidRPr="00FD211F">
        <w:rPr>
          <w:sz w:val="36"/>
          <w:szCs w:val="36"/>
          <w:rtl/>
        </w:rPr>
        <w:t xml:space="preserve"> </w:t>
      </w:r>
      <w:r w:rsidR="005D03BA" w:rsidRPr="00FD211F">
        <w:rPr>
          <w:sz w:val="36"/>
          <w:szCs w:val="36"/>
          <w:rtl/>
        </w:rPr>
        <w:t>“قده”</w:t>
      </w:r>
      <w:r w:rsidR="00A61BAE" w:rsidRPr="00FD211F">
        <w:rPr>
          <w:sz w:val="36"/>
          <w:szCs w:val="36"/>
          <w:rtl/>
        </w:rPr>
        <w:t xml:space="preserve"> </w:t>
      </w:r>
      <w:r w:rsidR="009075ED" w:rsidRPr="00FD211F">
        <w:rPr>
          <w:sz w:val="36"/>
          <w:szCs w:val="36"/>
          <w:rtl/>
        </w:rPr>
        <w:t>من</w:t>
      </w:r>
      <w:r w:rsidR="005A1472" w:rsidRPr="00FD211F">
        <w:rPr>
          <w:sz w:val="36"/>
          <w:szCs w:val="36"/>
          <w:rtl/>
        </w:rPr>
        <w:t xml:space="preserve"> أنه لايمكن حصول</w:t>
      </w:r>
      <w:r w:rsidR="00295CBC" w:rsidRPr="00FD211F">
        <w:rPr>
          <w:sz w:val="36"/>
          <w:szCs w:val="36"/>
          <w:rtl/>
        </w:rPr>
        <w:t xml:space="preserve"> الوضع الذي هو اعتبار الهوهوي</w:t>
      </w:r>
      <w:r w:rsidR="00EC7EDF" w:rsidRPr="00FD211F">
        <w:rPr>
          <w:sz w:val="36"/>
          <w:szCs w:val="36"/>
          <w:rtl/>
        </w:rPr>
        <w:t xml:space="preserve">ة </w:t>
      </w:r>
      <w:r w:rsidR="00295CBC" w:rsidRPr="00FD211F">
        <w:rPr>
          <w:sz w:val="36"/>
          <w:szCs w:val="36"/>
          <w:rtl/>
        </w:rPr>
        <w:t>بين اللفظ والمعنى</w:t>
      </w:r>
      <w:r w:rsidR="005A1472" w:rsidRPr="00FD211F">
        <w:rPr>
          <w:sz w:val="36"/>
          <w:szCs w:val="36"/>
          <w:rtl/>
        </w:rPr>
        <w:t xml:space="preserve"> بسبب كثر</w:t>
      </w:r>
      <w:r w:rsidR="00EC7EDF" w:rsidRPr="00FD211F">
        <w:rPr>
          <w:sz w:val="36"/>
          <w:szCs w:val="36"/>
          <w:rtl/>
        </w:rPr>
        <w:t xml:space="preserve">ة </w:t>
      </w:r>
      <w:r w:rsidR="005A1472" w:rsidRPr="00FD211F">
        <w:rPr>
          <w:sz w:val="36"/>
          <w:szCs w:val="36"/>
          <w:rtl/>
        </w:rPr>
        <w:t>الاستعمال</w:t>
      </w:r>
      <w:r w:rsidR="00603323" w:rsidRPr="00FD211F">
        <w:rPr>
          <w:sz w:val="36"/>
          <w:szCs w:val="36"/>
          <w:rtl/>
        </w:rPr>
        <w:t xml:space="preserve">، </w:t>
      </w:r>
      <w:r w:rsidR="005A1472" w:rsidRPr="00FD211F">
        <w:rPr>
          <w:sz w:val="36"/>
          <w:szCs w:val="36"/>
          <w:rtl/>
        </w:rPr>
        <w:t>نعم قد تكشف كثر</w:t>
      </w:r>
      <w:r w:rsidR="00EC7EDF" w:rsidRPr="00FD211F">
        <w:rPr>
          <w:sz w:val="36"/>
          <w:szCs w:val="36"/>
          <w:rtl/>
        </w:rPr>
        <w:t xml:space="preserve">ة </w:t>
      </w:r>
      <w:r w:rsidR="005A1472" w:rsidRPr="00FD211F">
        <w:rPr>
          <w:sz w:val="36"/>
          <w:szCs w:val="36"/>
          <w:rtl/>
        </w:rPr>
        <w:t>الاستعمال عن كون المستعمل بصدد اعتبار الهوهوي</w:t>
      </w:r>
      <w:r w:rsidR="00EC7EDF" w:rsidRPr="00FD211F">
        <w:rPr>
          <w:sz w:val="36"/>
          <w:szCs w:val="36"/>
          <w:rtl/>
        </w:rPr>
        <w:t xml:space="preserve">ة </w:t>
      </w:r>
      <w:r w:rsidR="005A1472" w:rsidRPr="00FD211F">
        <w:rPr>
          <w:sz w:val="36"/>
          <w:szCs w:val="36"/>
          <w:rtl/>
        </w:rPr>
        <w:t>بين لفظ ومعنى</w:t>
      </w:r>
      <w:r w:rsidR="00603323" w:rsidRPr="00FD211F">
        <w:rPr>
          <w:sz w:val="36"/>
          <w:szCs w:val="36"/>
          <w:rtl/>
        </w:rPr>
        <w:t xml:space="preserve">، </w:t>
      </w:r>
      <w:r w:rsidR="005A1472" w:rsidRPr="00FD211F">
        <w:rPr>
          <w:sz w:val="36"/>
          <w:szCs w:val="36"/>
          <w:rtl/>
        </w:rPr>
        <w:t xml:space="preserve">كما </w:t>
      </w:r>
      <w:r w:rsidR="000A336D" w:rsidRPr="00FD211F">
        <w:rPr>
          <w:sz w:val="36"/>
          <w:szCs w:val="36"/>
          <w:rtl/>
        </w:rPr>
        <w:t>ت</w:t>
      </w:r>
      <w:r w:rsidR="005A1472" w:rsidRPr="00FD211F">
        <w:rPr>
          <w:sz w:val="36"/>
          <w:szCs w:val="36"/>
          <w:rtl/>
        </w:rPr>
        <w:t>كشف الجمل</w:t>
      </w:r>
      <w:r w:rsidR="00EC7EDF" w:rsidRPr="00FD211F">
        <w:rPr>
          <w:sz w:val="36"/>
          <w:szCs w:val="36"/>
          <w:rtl/>
        </w:rPr>
        <w:t xml:space="preserve">ة </w:t>
      </w:r>
      <w:r w:rsidR="005A1472" w:rsidRPr="00FD211F">
        <w:rPr>
          <w:sz w:val="36"/>
          <w:szCs w:val="36"/>
          <w:rtl/>
        </w:rPr>
        <w:t>الإنشائي</w:t>
      </w:r>
      <w:r w:rsidR="00EC7EDF" w:rsidRPr="00FD211F">
        <w:rPr>
          <w:sz w:val="36"/>
          <w:szCs w:val="36"/>
          <w:rtl/>
        </w:rPr>
        <w:t xml:space="preserve">ة </w:t>
      </w:r>
      <w:r w:rsidR="000A336D" w:rsidRPr="00FD211F">
        <w:rPr>
          <w:sz w:val="36"/>
          <w:szCs w:val="36"/>
          <w:rtl/>
        </w:rPr>
        <w:t>في الوضع التعييني عن ذلك</w:t>
      </w:r>
      <w:r w:rsidR="005A1472" w:rsidRPr="00FD211F">
        <w:rPr>
          <w:sz w:val="36"/>
          <w:szCs w:val="36"/>
          <w:rtl/>
        </w:rPr>
        <w:t xml:space="preserve"> كقول الأب: "</w:t>
      </w:r>
      <w:r w:rsidR="000A336D" w:rsidRPr="00FD211F">
        <w:rPr>
          <w:sz w:val="36"/>
          <w:szCs w:val="36"/>
          <w:rtl/>
        </w:rPr>
        <w:t>سميت ولدي عليا</w:t>
      </w:r>
      <w:r w:rsidR="00295CBC" w:rsidRPr="00FD211F">
        <w:rPr>
          <w:sz w:val="36"/>
          <w:szCs w:val="36"/>
          <w:rtl/>
        </w:rPr>
        <w:t>"</w:t>
      </w:r>
      <w:r w:rsidR="00603323" w:rsidRPr="00FD211F">
        <w:rPr>
          <w:sz w:val="36"/>
          <w:szCs w:val="36"/>
          <w:rtl/>
        </w:rPr>
        <w:t xml:space="preserve">، </w:t>
      </w:r>
      <w:r w:rsidR="005A1472" w:rsidRPr="00FD211F">
        <w:rPr>
          <w:sz w:val="36"/>
          <w:szCs w:val="36"/>
          <w:rtl/>
        </w:rPr>
        <w:t>بل ربما يكشف</w:t>
      </w:r>
      <w:r w:rsidR="000A336D" w:rsidRPr="00FD211F">
        <w:rPr>
          <w:sz w:val="36"/>
          <w:szCs w:val="36"/>
          <w:rtl/>
        </w:rPr>
        <w:t xml:space="preserve"> عنه</w:t>
      </w:r>
      <w:r w:rsidR="005A1472" w:rsidRPr="00FD211F">
        <w:rPr>
          <w:sz w:val="36"/>
          <w:szCs w:val="36"/>
          <w:rtl/>
        </w:rPr>
        <w:t xml:space="preserve"> استعمال واحد </w:t>
      </w:r>
      <w:r w:rsidR="00A04847" w:rsidRPr="00FD211F">
        <w:rPr>
          <w:sz w:val="36"/>
          <w:szCs w:val="36"/>
          <w:rtl/>
        </w:rPr>
        <w:t>كما يقول الوالد: "جئني بولدي عليّ"</w:t>
      </w:r>
      <w:r w:rsidR="005A1472" w:rsidRPr="00FD211F">
        <w:rPr>
          <w:sz w:val="36"/>
          <w:szCs w:val="36"/>
          <w:rtl/>
        </w:rPr>
        <w:t xml:space="preserve"> </w:t>
      </w:r>
      <w:r w:rsidR="00A04847" w:rsidRPr="00FD211F">
        <w:rPr>
          <w:sz w:val="36"/>
          <w:szCs w:val="36"/>
          <w:rtl/>
        </w:rPr>
        <w:t>فيفهم الآخرون أنه سمّى ولده عليّا</w:t>
      </w:r>
      <w:r w:rsidR="009C58C8" w:rsidRPr="00FD211F">
        <w:rPr>
          <w:rStyle w:val="a6"/>
          <w:sz w:val="36"/>
          <w:szCs w:val="36"/>
          <w:rtl/>
        </w:rPr>
        <w:t>(</w:t>
      </w:r>
      <w:r w:rsidR="009C58C8" w:rsidRPr="00FD211F">
        <w:rPr>
          <w:rStyle w:val="a6"/>
          <w:sz w:val="36"/>
          <w:szCs w:val="36"/>
          <w:rtl/>
        </w:rPr>
        <w:footnoteReference w:id="125"/>
      </w:r>
      <w:r w:rsidR="009C58C8" w:rsidRPr="00FD211F">
        <w:rPr>
          <w:rStyle w:val="a6"/>
          <w:sz w:val="36"/>
          <w:szCs w:val="36"/>
          <w:rtl/>
        </w:rPr>
        <w:t>)</w:t>
      </w:r>
      <w:r w:rsidR="00866AC3" w:rsidRPr="00FD211F">
        <w:rPr>
          <w:sz w:val="36"/>
          <w:szCs w:val="36"/>
          <w:rtl/>
        </w:rPr>
        <w:t>.</w:t>
      </w:r>
    </w:p>
    <w:p w14:paraId="00E7B23C" w14:textId="77777777" w:rsidR="002A6BC4" w:rsidRPr="00FD211F" w:rsidRDefault="00345720" w:rsidP="009C58C8">
      <w:pPr>
        <w:ind w:left="0" w:firstLine="227"/>
        <w:jc w:val="both"/>
        <w:rPr>
          <w:sz w:val="36"/>
          <w:szCs w:val="36"/>
          <w:rtl/>
        </w:rPr>
      </w:pPr>
      <w:r w:rsidRPr="00FD211F">
        <w:rPr>
          <w:sz w:val="36"/>
          <w:szCs w:val="36"/>
          <w:rtl/>
        </w:rPr>
        <w:t>ف</w:t>
      </w:r>
      <w:r w:rsidR="009075ED" w:rsidRPr="00FD211F">
        <w:rPr>
          <w:sz w:val="36"/>
          <w:szCs w:val="36"/>
          <w:rtl/>
        </w:rPr>
        <w:t xml:space="preserve">انما يتم </w:t>
      </w:r>
      <w:r w:rsidRPr="00FD211F">
        <w:rPr>
          <w:sz w:val="36"/>
          <w:szCs w:val="36"/>
          <w:rtl/>
        </w:rPr>
        <w:t>كلامه "قده"</w:t>
      </w:r>
      <w:r w:rsidR="009075ED" w:rsidRPr="00FD211F">
        <w:rPr>
          <w:sz w:val="36"/>
          <w:szCs w:val="36"/>
          <w:rtl/>
        </w:rPr>
        <w:t>فيما لو كانت</w:t>
      </w:r>
      <w:r w:rsidR="00AB46CF" w:rsidRPr="00FD211F">
        <w:rPr>
          <w:sz w:val="36"/>
          <w:szCs w:val="36"/>
          <w:rtl/>
        </w:rPr>
        <w:t xml:space="preserve"> كثر</w:t>
      </w:r>
      <w:r w:rsidR="00EC7EDF" w:rsidRPr="00FD211F">
        <w:rPr>
          <w:sz w:val="36"/>
          <w:szCs w:val="36"/>
          <w:rtl/>
        </w:rPr>
        <w:t xml:space="preserve">ة </w:t>
      </w:r>
      <w:r w:rsidR="00AB46CF" w:rsidRPr="00FD211F">
        <w:rPr>
          <w:sz w:val="36"/>
          <w:szCs w:val="36"/>
          <w:rtl/>
        </w:rPr>
        <w:t>الاستعمال صادر</w:t>
      </w:r>
      <w:r w:rsidR="00EC7EDF" w:rsidRPr="00FD211F">
        <w:rPr>
          <w:sz w:val="36"/>
          <w:szCs w:val="36"/>
          <w:rtl/>
        </w:rPr>
        <w:t xml:space="preserve">ة </w:t>
      </w:r>
      <w:r w:rsidR="00AB46CF" w:rsidRPr="00FD211F">
        <w:rPr>
          <w:sz w:val="36"/>
          <w:szCs w:val="36"/>
          <w:rtl/>
        </w:rPr>
        <w:t>من مستعمل واحد</w:t>
      </w:r>
      <w:r w:rsidR="00603323" w:rsidRPr="00FD211F">
        <w:rPr>
          <w:sz w:val="36"/>
          <w:szCs w:val="36"/>
          <w:rtl/>
        </w:rPr>
        <w:t xml:space="preserve">، </w:t>
      </w:r>
      <w:r w:rsidR="005E0165" w:rsidRPr="00FD211F">
        <w:rPr>
          <w:sz w:val="36"/>
          <w:szCs w:val="36"/>
          <w:rtl/>
        </w:rPr>
        <w:t>ولكن المفروض عاد</w:t>
      </w:r>
      <w:r w:rsidR="00EC7EDF" w:rsidRPr="00FD211F">
        <w:rPr>
          <w:sz w:val="36"/>
          <w:szCs w:val="36"/>
          <w:rtl/>
        </w:rPr>
        <w:t xml:space="preserve">ة </w:t>
      </w:r>
      <w:r w:rsidR="00D50609" w:rsidRPr="00FD211F">
        <w:rPr>
          <w:sz w:val="36"/>
          <w:szCs w:val="36"/>
          <w:rtl/>
        </w:rPr>
        <w:t>صدورها من اشخاص متعددين</w:t>
      </w:r>
      <w:r w:rsidR="00603323" w:rsidRPr="00FD211F">
        <w:rPr>
          <w:sz w:val="36"/>
          <w:szCs w:val="36"/>
          <w:rtl/>
        </w:rPr>
        <w:t xml:space="preserve">، </w:t>
      </w:r>
      <w:r w:rsidR="00D50609" w:rsidRPr="00FD211F">
        <w:rPr>
          <w:sz w:val="36"/>
          <w:szCs w:val="36"/>
          <w:rtl/>
        </w:rPr>
        <w:t>وكل واحد منهم في استعماله</w:t>
      </w:r>
      <w:r w:rsidR="008D7B3D" w:rsidRPr="00FD211F">
        <w:rPr>
          <w:sz w:val="36"/>
          <w:szCs w:val="36"/>
          <w:rtl/>
        </w:rPr>
        <w:t xml:space="preserve"> لم‌</w:t>
      </w:r>
      <w:r w:rsidR="00D50609" w:rsidRPr="00FD211F">
        <w:rPr>
          <w:sz w:val="36"/>
          <w:szCs w:val="36"/>
          <w:rtl/>
        </w:rPr>
        <w:t>يقصد سوى الاستعمال</w:t>
      </w:r>
      <w:r w:rsidR="007820D7" w:rsidRPr="00FD211F">
        <w:rPr>
          <w:sz w:val="36"/>
          <w:szCs w:val="36"/>
          <w:rtl/>
        </w:rPr>
        <w:t xml:space="preserve"> فلايمكن ان تكشف عن كونهم بصدد اعتبار الهوهوي</w:t>
      </w:r>
      <w:r w:rsidR="00EC7EDF" w:rsidRPr="00FD211F">
        <w:rPr>
          <w:sz w:val="36"/>
          <w:szCs w:val="36"/>
          <w:rtl/>
        </w:rPr>
        <w:t xml:space="preserve">ة </w:t>
      </w:r>
      <w:r w:rsidR="007820D7" w:rsidRPr="00FD211F">
        <w:rPr>
          <w:sz w:val="36"/>
          <w:szCs w:val="36"/>
          <w:rtl/>
        </w:rPr>
        <w:t>او اي اعتبار آخر</w:t>
      </w:r>
      <w:r w:rsidR="00A04847" w:rsidRPr="00FD211F">
        <w:rPr>
          <w:sz w:val="36"/>
          <w:szCs w:val="36"/>
          <w:rtl/>
        </w:rPr>
        <w:t>.</w:t>
      </w:r>
    </w:p>
    <w:p w14:paraId="53AD6876" w14:textId="77777777" w:rsidR="00DF3521" w:rsidRPr="00FD211F" w:rsidRDefault="005E28EC" w:rsidP="009C58C8">
      <w:pPr>
        <w:ind w:left="0" w:firstLine="227"/>
        <w:jc w:val="both"/>
        <w:rPr>
          <w:sz w:val="36"/>
          <w:szCs w:val="36"/>
          <w:rtl/>
        </w:rPr>
      </w:pPr>
      <w:r w:rsidRPr="00FD211F">
        <w:rPr>
          <w:sz w:val="36"/>
          <w:szCs w:val="36"/>
          <w:rtl/>
        </w:rPr>
        <w:t xml:space="preserve">واما ما ذكره شيخنا الاستاذ </w:t>
      </w:r>
      <w:r w:rsidR="006912A9" w:rsidRPr="00FD211F">
        <w:rPr>
          <w:sz w:val="36"/>
          <w:szCs w:val="36"/>
          <w:rtl/>
        </w:rPr>
        <w:t>"</w:t>
      </w:r>
      <w:r w:rsidR="007A4A0D" w:rsidRPr="00FD211F">
        <w:rPr>
          <w:sz w:val="36"/>
          <w:szCs w:val="36"/>
          <w:rtl/>
        </w:rPr>
        <w:t>دام‌ظله</w:t>
      </w:r>
      <w:r w:rsidR="006912A9" w:rsidRPr="00FD211F">
        <w:rPr>
          <w:sz w:val="36"/>
          <w:szCs w:val="36"/>
          <w:rtl/>
        </w:rPr>
        <w:t>"</w:t>
      </w:r>
      <w:r w:rsidRPr="00FD211F">
        <w:rPr>
          <w:sz w:val="36"/>
          <w:szCs w:val="36"/>
          <w:rtl/>
        </w:rPr>
        <w:t xml:space="preserve"> من ان حقيق</w:t>
      </w:r>
      <w:r w:rsidR="00EC7EDF" w:rsidRPr="00FD211F">
        <w:rPr>
          <w:sz w:val="36"/>
          <w:szCs w:val="36"/>
          <w:rtl/>
        </w:rPr>
        <w:t xml:space="preserve">ة </w:t>
      </w:r>
      <w:r w:rsidRPr="00FD211F">
        <w:rPr>
          <w:sz w:val="36"/>
          <w:szCs w:val="36"/>
          <w:rtl/>
        </w:rPr>
        <w:t>الوضع</w:t>
      </w:r>
      <w:r w:rsidR="00DF3521" w:rsidRPr="00FD211F">
        <w:rPr>
          <w:sz w:val="36"/>
          <w:szCs w:val="36"/>
          <w:rtl/>
        </w:rPr>
        <w:t xml:space="preserve"> هو اعتبار اللفظ علام</w:t>
      </w:r>
      <w:r w:rsidR="00EC7EDF" w:rsidRPr="00FD211F">
        <w:rPr>
          <w:sz w:val="36"/>
          <w:szCs w:val="36"/>
          <w:rtl/>
        </w:rPr>
        <w:t xml:space="preserve">ة </w:t>
      </w:r>
      <w:r w:rsidR="00DF3521" w:rsidRPr="00FD211F">
        <w:rPr>
          <w:sz w:val="36"/>
          <w:szCs w:val="36"/>
          <w:rtl/>
        </w:rPr>
        <w:t>للمعنى</w:t>
      </w:r>
      <w:r w:rsidR="00603323" w:rsidRPr="00FD211F">
        <w:rPr>
          <w:sz w:val="36"/>
          <w:szCs w:val="36"/>
          <w:rtl/>
        </w:rPr>
        <w:t xml:space="preserve">، </w:t>
      </w:r>
      <w:r w:rsidR="00DF3521" w:rsidRPr="00FD211F">
        <w:rPr>
          <w:sz w:val="36"/>
          <w:szCs w:val="36"/>
          <w:rtl/>
        </w:rPr>
        <w:t>ف</w:t>
      </w:r>
      <w:r w:rsidRPr="00FD211F">
        <w:rPr>
          <w:sz w:val="36"/>
          <w:szCs w:val="36"/>
          <w:rtl/>
        </w:rPr>
        <w:t>قد يكون هذا الجعل والاعتبار ابتدائيا فيسمى بالوضع التعييني وقد يكون مسبوق</w:t>
      </w:r>
      <w:r w:rsidR="00C1520B" w:rsidRPr="00FD211F">
        <w:rPr>
          <w:sz w:val="36"/>
          <w:szCs w:val="36"/>
          <w:rtl/>
        </w:rPr>
        <w:t>ا بالاستعمالات المتكرر</w:t>
      </w:r>
      <w:r w:rsidR="00EC7EDF" w:rsidRPr="00FD211F">
        <w:rPr>
          <w:sz w:val="36"/>
          <w:szCs w:val="36"/>
          <w:rtl/>
        </w:rPr>
        <w:t xml:space="preserve">ة </w:t>
      </w:r>
      <w:r w:rsidRPr="00FD211F">
        <w:rPr>
          <w:sz w:val="36"/>
          <w:szCs w:val="36"/>
          <w:rtl/>
        </w:rPr>
        <w:t>بعلاق</w:t>
      </w:r>
      <w:r w:rsidR="00EC7EDF" w:rsidRPr="00FD211F">
        <w:rPr>
          <w:sz w:val="36"/>
          <w:szCs w:val="36"/>
          <w:rtl/>
        </w:rPr>
        <w:t xml:space="preserve">ة </w:t>
      </w:r>
      <w:r w:rsidRPr="00FD211F">
        <w:rPr>
          <w:sz w:val="36"/>
          <w:szCs w:val="36"/>
          <w:rtl/>
        </w:rPr>
        <w:t>المجاز فيكون الوضع تعينيا</w:t>
      </w:r>
      <w:r w:rsidR="009C58C8" w:rsidRPr="00FD211F">
        <w:rPr>
          <w:rStyle w:val="a6"/>
          <w:sz w:val="36"/>
          <w:szCs w:val="36"/>
          <w:rtl/>
        </w:rPr>
        <w:t>(</w:t>
      </w:r>
      <w:r w:rsidR="009C58C8" w:rsidRPr="00FD211F">
        <w:rPr>
          <w:rStyle w:val="a6"/>
          <w:sz w:val="36"/>
          <w:szCs w:val="36"/>
          <w:rtl/>
        </w:rPr>
        <w:footnoteReference w:id="126"/>
      </w:r>
      <w:r w:rsidR="009C58C8" w:rsidRPr="00FD211F">
        <w:rPr>
          <w:rStyle w:val="a6"/>
          <w:sz w:val="36"/>
          <w:szCs w:val="36"/>
          <w:rtl/>
        </w:rPr>
        <w:t>)</w:t>
      </w:r>
      <w:r w:rsidR="006912A9" w:rsidRPr="00FD211F">
        <w:rPr>
          <w:sz w:val="36"/>
          <w:szCs w:val="36"/>
          <w:rtl/>
        </w:rPr>
        <w:t>.</w:t>
      </w:r>
    </w:p>
    <w:p w14:paraId="3E8D4757" w14:textId="77777777" w:rsidR="005E28EC" w:rsidRPr="00FD211F" w:rsidRDefault="005E28EC" w:rsidP="009C58C8">
      <w:pPr>
        <w:ind w:left="0" w:firstLine="227"/>
        <w:jc w:val="both"/>
        <w:rPr>
          <w:sz w:val="36"/>
          <w:szCs w:val="36"/>
          <w:rtl/>
        </w:rPr>
      </w:pPr>
      <w:r w:rsidRPr="00FD211F">
        <w:rPr>
          <w:sz w:val="36"/>
          <w:szCs w:val="36"/>
          <w:rtl/>
        </w:rPr>
        <w:t>ففيه ما مر من انه بعد حصول الملازم</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بين اللفظ والمعنى بسبب كثر</w:t>
      </w:r>
      <w:r w:rsidR="00EC7EDF" w:rsidRPr="00FD211F">
        <w:rPr>
          <w:sz w:val="36"/>
          <w:szCs w:val="36"/>
          <w:rtl/>
        </w:rPr>
        <w:t xml:space="preserve">ة </w:t>
      </w:r>
      <w:r w:rsidRPr="00FD211F">
        <w:rPr>
          <w:sz w:val="36"/>
          <w:szCs w:val="36"/>
          <w:rtl/>
        </w:rPr>
        <w:t>الاستعمال فيه فيلغو اعتبار كون اللفظ علام</w:t>
      </w:r>
      <w:r w:rsidR="00EC7EDF" w:rsidRPr="00FD211F">
        <w:rPr>
          <w:sz w:val="36"/>
          <w:szCs w:val="36"/>
          <w:rtl/>
        </w:rPr>
        <w:t xml:space="preserve">ة </w:t>
      </w:r>
      <w:r w:rsidRPr="00FD211F">
        <w:rPr>
          <w:sz w:val="36"/>
          <w:szCs w:val="36"/>
          <w:rtl/>
        </w:rPr>
        <w:t>على ذلك المعنى</w:t>
      </w:r>
      <w:r w:rsidR="00603323" w:rsidRPr="00FD211F">
        <w:rPr>
          <w:sz w:val="36"/>
          <w:szCs w:val="36"/>
          <w:rtl/>
        </w:rPr>
        <w:t xml:space="preserve">، </w:t>
      </w:r>
      <w:r w:rsidRPr="00FD211F">
        <w:rPr>
          <w:sz w:val="36"/>
          <w:szCs w:val="36"/>
          <w:rtl/>
        </w:rPr>
        <w:t>لان الغرض منه هو حصول هذه الملازم</w:t>
      </w:r>
      <w:r w:rsidR="00EC7EDF" w:rsidRPr="00FD211F">
        <w:rPr>
          <w:sz w:val="36"/>
          <w:szCs w:val="36"/>
          <w:rtl/>
        </w:rPr>
        <w:t xml:space="preserve">ة </w:t>
      </w:r>
      <w:r w:rsidRPr="00FD211F">
        <w:rPr>
          <w:sz w:val="36"/>
          <w:szCs w:val="36"/>
          <w:rtl/>
        </w:rPr>
        <w:t>الذهني</w:t>
      </w:r>
      <w:r w:rsidR="00EC7EDF" w:rsidRPr="00FD211F">
        <w:rPr>
          <w:sz w:val="36"/>
          <w:szCs w:val="36"/>
          <w:rtl/>
        </w:rPr>
        <w:t>ة</w:t>
      </w:r>
      <w:r w:rsidR="00603323" w:rsidRPr="00FD211F">
        <w:rPr>
          <w:sz w:val="36"/>
          <w:szCs w:val="36"/>
          <w:rtl/>
        </w:rPr>
        <w:t xml:space="preserve">، </w:t>
      </w:r>
      <w:r w:rsidRPr="00FD211F">
        <w:rPr>
          <w:sz w:val="36"/>
          <w:szCs w:val="36"/>
          <w:rtl/>
        </w:rPr>
        <w:t>والمفروض انها قد حصلت من قبل بسبب كثر</w:t>
      </w:r>
      <w:r w:rsidR="00EC7EDF" w:rsidRPr="00FD211F">
        <w:rPr>
          <w:sz w:val="36"/>
          <w:szCs w:val="36"/>
          <w:rtl/>
        </w:rPr>
        <w:t xml:space="preserve">ة </w:t>
      </w:r>
      <w:r w:rsidRPr="00FD211F">
        <w:rPr>
          <w:sz w:val="36"/>
          <w:szCs w:val="36"/>
          <w:rtl/>
        </w:rPr>
        <w:t>الاستعمال</w:t>
      </w:r>
      <w:r w:rsidR="00603323" w:rsidRPr="00FD211F">
        <w:rPr>
          <w:sz w:val="36"/>
          <w:szCs w:val="36"/>
          <w:rtl/>
        </w:rPr>
        <w:t xml:space="preserve">، </w:t>
      </w:r>
      <w:r w:rsidR="007820D7" w:rsidRPr="00FD211F">
        <w:rPr>
          <w:sz w:val="36"/>
          <w:szCs w:val="36"/>
          <w:rtl/>
        </w:rPr>
        <w:t>نعم يرى اهل اللغ</w:t>
      </w:r>
      <w:r w:rsidR="00EC7EDF" w:rsidRPr="00FD211F">
        <w:rPr>
          <w:sz w:val="36"/>
          <w:szCs w:val="36"/>
          <w:rtl/>
        </w:rPr>
        <w:t xml:space="preserve">ة </w:t>
      </w:r>
      <w:r w:rsidR="007820D7" w:rsidRPr="00FD211F">
        <w:rPr>
          <w:sz w:val="36"/>
          <w:szCs w:val="36"/>
          <w:rtl/>
        </w:rPr>
        <w:t>هذا اللفظ علام</w:t>
      </w:r>
      <w:r w:rsidR="00EC7EDF" w:rsidRPr="00FD211F">
        <w:rPr>
          <w:sz w:val="36"/>
          <w:szCs w:val="36"/>
          <w:rtl/>
        </w:rPr>
        <w:t xml:space="preserve">ة </w:t>
      </w:r>
      <w:r w:rsidR="007820D7" w:rsidRPr="00FD211F">
        <w:rPr>
          <w:sz w:val="36"/>
          <w:szCs w:val="36"/>
          <w:rtl/>
        </w:rPr>
        <w:t>على المعنى نتيج</w:t>
      </w:r>
      <w:r w:rsidR="00EC7EDF" w:rsidRPr="00FD211F">
        <w:rPr>
          <w:sz w:val="36"/>
          <w:szCs w:val="36"/>
          <w:rtl/>
        </w:rPr>
        <w:t xml:space="preserve">ة </w:t>
      </w:r>
      <w:r w:rsidR="007820D7" w:rsidRPr="00FD211F">
        <w:rPr>
          <w:sz w:val="36"/>
          <w:szCs w:val="36"/>
          <w:rtl/>
        </w:rPr>
        <w:t>الملازم</w:t>
      </w:r>
      <w:r w:rsidR="00EC7EDF" w:rsidRPr="00FD211F">
        <w:rPr>
          <w:sz w:val="36"/>
          <w:szCs w:val="36"/>
          <w:rtl/>
        </w:rPr>
        <w:t xml:space="preserve">ة </w:t>
      </w:r>
      <w:r w:rsidR="007820D7" w:rsidRPr="00FD211F">
        <w:rPr>
          <w:sz w:val="36"/>
          <w:szCs w:val="36"/>
          <w:rtl/>
        </w:rPr>
        <w:t>الذهني</w:t>
      </w:r>
      <w:r w:rsidR="00EC7EDF" w:rsidRPr="00FD211F">
        <w:rPr>
          <w:sz w:val="36"/>
          <w:szCs w:val="36"/>
          <w:rtl/>
        </w:rPr>
        <w:t xml:space="preserve">ة </w:t>
      </w:r>
      <w:r w:rsidR="007820D7" w:rsidRPr="00FD211F">
        <w:rPr>
          <w:sz w:val="36"/>
          <w:szCs w:val="36"/>
          <w:rtl/>
        </w:rPr>
        <w:t>الحاصل</w:t>
      </w:r>
      <w:r w:rsidR="00EC7EDF" w:rsidRPr="00FD211F">
        <w:rPr>
          <w:sz w:val="36"/>
          <w:szCs w:val="36"/>
          <w:rtl/>
        </w:rPr>
        <w:t xml:space="preserve">ة </w:t>
      </w:r>
      <w:r w:rsidR="007820D7" w:rsidRPr="00FD211F">
        <w:rPr>
          <w:sz w:val="36"/>
          <w:szCs w:val="36"/>
          <w:rtl/>
        </w:rPr>
        <w:t xml:space="preserve">لديهم </w:t>
      </w:r>
      <w:r w:rsidR="00FE48A3" w:rsidRPr="00FD211F">
        <w:rPr>
          <w:sz w:val="36"/>
          <w:szCs w:val="36"/>
          <w:rtl/>
        </w:rPr>
        <w:t>من كثر</w:t>
      </w:r>
      <w:r w:rsidR="00EC7EDF" w:rsidRPr="00FD211F">
        <w:rPr>
          <w:sz w:val="36"/>
          <w:szCs w:val="36"/>
          <w:rtl/>
        </w:rPr>
        <w:t xml:space="preserve">ة </w:t>
      </w:r>
      <w:r w:rsidR="00FE48A3" w:rsidRPr="00FD211F">
        <w:rPr>
          <w:sz w:val="36"/>
          <w:szCs w:val="36"/>
          <w:rtl/>
        </w:rPr>
        <w:t>الاستعمال ولكنه لايساوق الجعل والاعتبار</w:t>
      </w:r>
      <w:r w:rsidR="00603323" w:rsidRPr="00FD211F">
        <w:rPr>
          <w:sz w:val="36"/>
          <w:szCs w:val="36"/>
          <w:rtl/>
        </w:rPr>
        <w:t xml:space="preserve">، </w:t>
      </w:r>
      <w:r w:rsidR="00FE48A3" w:rsidRPr="00FD211F">
        <w:rPr>
          <w:sz w:val="36"/>
          <w:szCs w:val="36"/>
          <w:rtl/>
        </w:rPr>
        <w:t>فانه نظير ان اهل اللغ</w:t>
      </w:r>
      <w:r w:rsidR="00EC7EDF" w:rsidRPr="00FD211F">
        <w:rPr>
          <w:sz w:val="36"/>
          <w:szCs w:val="36"/>
          <w:rtl/>
        </w:rPr>
        <w:t xml:space="preserve">ة </w:t>
      </w:r>
      <w:r w:rsidR="00FE48A3" w:rsidRPr="00FD211F">
        <w:rPr>
          <w:sz w:val="36"/>
          <w:szCs w:val="36"/>
          <w:rtl/>
        </w:rPr>
        <w:t>يرون جميع الالفاظ من لغتهم علام</w:t>
      </w:r>
      <w:r w:rsidR="00EC7EDF" w:rsidRPr="00FD211F">
        <w:rPr>
          <w:sz w:val="36"/>
          <w:szCs w:val="36"/>
          <w:rtl/>
        </w:rPr>
        <w:t xml:space="preserve">ة </w:t>
      </w:r>
      <w:r w:rsidR="00FE48A3" w:rsidRPr="00FD211F">
        <w:rPr>
          <w:sz w:val="36"/>
          <w:szCs w:val="36"/>
          <w:rtl/>
        </w:rPr>
        <w:t>على معانيها مع ان الجعل والاعتبار</w:t>
      </w:r>
      <w:r w:rsidR="008D7B3D" w:rsidRPr="00FD211F">
        <w:rPr>
          <w:sz w:val="36"/>
          <w:szCs w:val="36"/>
          <w:rtl/>
        </w:rPr>
        <w:t xml:space="preserve"> لم‌</w:t>
      </w:r>
      <w:r w:rsidR="00FE48A3" w:rsidRPr="00FD211F">
        <w:rPr>
          <w:sz w:val="36"/>
          <w:szCs w:val="36"/>
          <w:rtl/>
        </w:rPr>
        <w:t>يصدر الا من الواضع فقط</w:t>
      </w:r>
      <w:r w:rsidRPr="00FD211F">
        <w:rPr>
          <w:sz w:val="36"/>
          <w:szCs w:val="36"/>
          <w:rtl/>
        </w:rPr>
        <w:t>.</w:t>
      </w:r>
    </w:p>
    <w:p w14:paraId="4CF6BD0E" w14:textId="77777777" w:rsidR="00A04847" w:rsidRPr="00FD211F" w:rsidRDefault="006445C9" w:rsidP="009C58C8">
      <w:pPr>
        <w:ind w:left="0" w:firstLine="227"/>
        <w:jc w:val="both"/>
        <w:rPr>
          <w:sz w:val="36"/>
          <w:szCs w:val="36"/>
          <w:rtl/>
        </w:rPr>
      </w:pPr>
      <w:r w:rsidRPr="00FD211F">
        <w:rPr>
          <w:sz w:val="36"/>
          <w:szCs w:val="36"/>
          <w:rtl/>
        </w:rPr>
        <w:t>وعليه فلو كانت حقيق</w:t>
      </w:r>
      <w:r w:rsidR="00EC7EDF" w:rsidRPr="00FD211F">
        <w:rPr>
          <w:sz w:val="36"/>
          <w:szCs w:val="36"/>
          <w:rtl/>
        </w:rPr>
        <w:t xml:space="preserve">ة </w:t>
      </w:r>
      <w:r w:rsidRPr="00FD211F">
        <w:rPr>
          <w:sz w:val="36"/>
          <w:szCs w:val="36"/>
          <w:rtl/>
        </w:rPr>
        <w:t>الوضع هي الاعتبار</w:t>
      </w:r>
      <w:r w:rsidR="008D7B3D" w:rsidRPr="00FD211F">
        <w:rPr>
          <w:sz w:val="36"/>
          <w:szCs w:val="36"/>
          <w:rtl/>
        </w:rPr>
        <w:t xml:space="preserve"> لم‌</w:t>
      </w:r>
      <w:r w:rsidRPr="00FD211F">
        <w:rPr>
          <w:sz w:val="36"/>
          <w:szCs w:val="36"/>
          <w:rtl/>
        </w:rPr>
        <w:t>يصح تقسيم الوضع الى الوضع التعييني والتعيني</w:t>
      </w:r>
      <w:r w:rsidR="00603323" w:rsidRPr="00FD211F">
        <w:rPr>
          <w:sz w:val="36"/>
          <w:szCs w:val="36"/>
          <w:rtl/>
        </w:rPr>
        <w:t xml:space="preserve">، </w:t>
      </w:r>
      <w:r w:rsidRPr="00FD211F">
        <w:rPr>
          <w:sz w:val="36"/>
          <w:szCs w:val="36"/>
          <w:rtl/>
        </w:rPr>
        <w:t>لان الوضع التعيني لايشتمل الا على نتيج</w:t>
      </w:r>
      <w:r w:rsidR="00EC7EDF" w:rsidRPr="00FD211F">
        <w:rPr>
          <w:sz w:val="36"/>
          <w:szCs w:val="36"/>
          <w:rtl/>
        </w:rPr>
        <w:t xml:space="preserve">ة </w:t>
      </w:r>
      <w:r w:rsidRPr="00FD211F">
        <w:rPr>
          <w:sz w:val="36"/>
          <w:szCs w:val="36"/>
          <w:rtl/>
        </w:rPr>
        <w:t>الوضع</w:t>
      </w:r>
      <w:r w:rsidR="00603323" w:rsidRPr="00FD211F">
        <w:rPr>
          <w:sz w:val="36"/>
          <w:szCs w:val="36"/>
          <w:rtl/>
        </w:rPr>
        <w:t xml:space="preserve">، </w:t>
      </w:r>
      <w:r w:rsidRPr="00FD211F">
        <w:rPr>
          <w:sz w:val="36"/>
          <w:szCs w:val="36"/>
          <w:rtl/>
        </w:rPr>
        <w:t>وهي الملازم</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بين اللفظ والمعنى بسبب كثر</w:t>
      </w:r>
      <w:r w:rsidR="00EC7EDF" w:rsidRPr="00FD211F">
        <w:rPr>
          <w:sz w:val="36"/>
          <w:szCs w:val="36"/>
          <w:rtl/>
        </w:rPr>
        <w:t xml:space="preserve">ة </w:t>
      </w:r>
      <w:r w:rsidRPr="00FD211F">
        <w:rPr>
          <w:sz w:val="36"/>
          <w:szCs w:val="36"/>
          <w:rtl/>
        </w:rPr>
        <w:t>الاستعمال</w:t>
      </w:r>
      <w:r w:rsidR="00603323" w:rsidRPr="00FD211F">
        <w:rPr>
          <w:sz w:val="36"/>
          <w:szCs w:val="36"/>
          <w:rtl/>
        </w:rPr>
        <w:t xml:space="preserve">، </w:t>
      </w:r>
      <w:r w:rsidR="005E28EC" w:rsidRPr="00FD211F">
        <w:rPr>
          <w:sz w:val="36"/>
          <w:szCs w:val="36"/>
          <w:rtl/>
        </w:rPr>
        <w:t>نعم لو التزمنا بمسلك التعهد وان حقيق</w:t>
      </w:r>
      <w:r w:rsidR="00EC7EDF" w:rsidRPr="00FD211F">
        <w:rPr>
          <w:sz w:val="36"/>
          <w:szCs w:val="36"/>
          <w:rtl/>
        </w:rPr>
        <w:t xml:space="preserve">ة </w:t>
      </w:r>
      <w:r w:rsidR="005E28EC" w:rsidRPr="00FD211F">
        <w:rPr>
          <w:sz w:val="36"/>
          <w:szCs w:val="36"/>
          <w:rtl/>
        </w:rPr>
        <w:t xml:space="preserve">الوضع هي التعهد </w:t>
      </w:r>
      <w:r w:rsidR="00981E8D" w:rsidRPr="00FD211F">
        <w:rPr>
          <w:sz w:val="36"/>
          <w:szCs w:val="36"/>
          <w:rtl/>
        </w:rPr>
        <w:t>ب</w:t>
      </w:r>
      <w:r w:rsidR="005E28EC" w:rsidRPr="00FD211F">
        <w:rPr>
          <w:sz w:val="36"/>
          <w:szCs w:val="36"/>
          <w:rtl/>
        </w:rPr>
        <w:t xml:space="preserve">عدم استعمال اللفظ الا عند </w:t>
      </w:r>
      <w:r w:rsidR="00D815DE" w:rsidRPr="00FD211F">
        <w:rPr>
          <w:sz w:val="36"/>
          <w:szCs w:val="36"/>
          <w:rtl/>
        </w:rPr>
        <w:t>إراد</w:t>
      </w:r>
      <w:r w:rsidR="00EC7EDF" w:rsidRPr="00FD211F">
        <w:rPr>
          <w:sz w:val="36"/>
          <w:szCs w:val="36"/>
          <w:rtl/>
        </w:rPr>
        <w:t xml:space="preserve">ة </w:t>
      </w:r>
      <w:r w:rsidR="005E28EC" w:rsidRPr="00FD211F">
        <w:rPr>
          <w:sz w:val="36"/>
          <w:szCs w:val="36"/>
          <w:rtl/>
        </w:rPr>
        <w:t>تفهيم معناه</w:t>
      </w:r>
      <w:r w:rsidR="00603323" w:rsidRPr="00FD211F">
        <w:rPr>
          <w:sz w:val="36"/>
          <w:szCs w:val="36"/>
          <w:rtl/>
        </w:rPr>
        <w:t xml:space="preserve">، </w:t>
      </w:r>
      <w:r w:rsidR="005E28EC" w:rsidRPr="00FD211F">
        <w:rPr>
          <w:sz w:val="36"/>
          <w:szCs w:val="36"/>
          <w:rtl/>
        </w:rPr>
        <w:t xml:space="preserve">ففي موارد الوضع التعيني أيضا يكون هناك تعهد ضمني من كل مستعمل </w:t>
      </w:r>
      <w:r w:rsidR="00FE48A3" w:rsidRPr="00FD211F">
        <w:rPr>
          <w:sz w:val="36"/>
          <w:szCs w:val="36"/>
          <w:rtl/>
        </w:rPr>
        <w:t>ب</w:t>
      </w:r>
      <w:r w:rsidR="005E28EC" w:rsidRPr="00FD211F">
        <w:rPr>
          <w:sz w:val="36"/>
          <w:szCs w:val="36"/>
          <w:rtl/>
        </w:rPr>
        <w:t xml:space="preserve">عدم استعمال اللفظ الا عند </w:t>
      </w:r>
      <w:r w:rsidR="00D815DE" w:rsidRPr="00FD211F">
        <w:rPr>
          <w:sz w:val="36"/>
          <w:szCs w:val="36"/>
          <w:rtl/>
        </w:rPr>
        <w:t>إراد</w:t>
      </w:r>
      <w:r w:rsidR="00EC7EDF" w:rsidRPr="00FD211F">
        <w:rPr>
          <w:sz w:val="36"/>
          <w:szCs w:val="36"/>
          <w:rtl/>
        </w:rPr>
        <w:t xml:space="preserve">ة </w:t>
      </w:r>
      <w:r w:rsidR="005E28EC" w:rsidRPr="00FD211F">
        <w:rPr>
          <w:sz w:val="36"/>
          <w:szCs w:val="36"/>
          <w:rtl/>
        </w:rPr>
        <w:t>تفهيم معناه</w:t>
      </w:r>
      <w:r w:rsidR="00603323" w:rsidRPr="00FD211F">
        <w:rPr>
          <w:sz w:val="36"/>
          <w:szCs w:val="36"/>
          <w:rtl/>
        </w:rPr>
        <w:t xml:space="preserve">، </w:t>
      </w:r>
      <w:r w:rsidR="005E28EC" w:rsidRPr="00FD211F">
        <w:rPr>
          <w:sz w:val="36"/>
          <w:szCs w:val="36"/>
          <w:rtl/>
        </w:rPr>
        <w:t xml:space="preserve">ولأجل ذلك ذكر السيد الخوئي </w:t>
      </w:r>
      <w:r w:rsidR="00AB1B12" w:rsidRPr="00FD211F">
        <w:rPr>
          <w:sz w:val="36"/>
          <w:szCs w:val="36"/>
          <w:rtl/>
        </w:rPr>
        <w:t>"</w:t>
      </w:r>
      <w:r w:rsidR="005E28EC" w:rsidRPr="00FD211F">
        <w:rPr>
          <w:sz w:val="36"/>
          <w:szCs w:val="36"/>
          <w:rtl/>
        </w:rPr>
        <w:t>قده</w:t>
      </w:r>
      <w:r w:rsidR="00AB1B12" w:rsidRPr="00FD211F">
        <w:rPr>
          <w:sz w:val="36"/>
          <w:szCs w:val="36"/>
          <w:rtl/>
        </w:rPr>
        <w:t>"</w:t>
      </w:r>
      <w:r w:rsidR="005E28EC" w:rsidRPr="00FD211F">
        <w:rPr>
          <w:sz w:val="36"/>
          <w:szCs w:val="36"/>
          <w:rtl/>
        </w:rPr>
        <w:t xml:space="preserve"> </w:t>
      </w:r>
      <w:r w:rsidR="00FE48A3" w:rsidRPr="00FD211F">
        <w:rPr>
          <w:sz w:val="36"/>
          <w:szCs w:val="36"/>
          <w:rtl/>
        </w:rPr>
        <w:t xml:space="preserve">انه </w:t>
      </w:r>
      <w:r w:rsidR="00A04847" w:rsidRPr="00FD211F">
        <w:rPr>
          <w:sz w:val="36"/>
          <w:szCs w:val="36"/>
          <w:rtl/>
        </w:rPr>
        <w:t>لايمكن تقسيم الوضع الى الوضع التعييني والتعيني الا بالالتزام بمسلك التعهد</w:t>
      </w:r>
      <w:r w:rsidR="00603323" w:rsidRPr="00FD211F">
        <w:rPr>
          <w:sz w:val="36"/>
          <w:szCs w:val="36"/>
          <w:rtl/>
        </w:rPr>
        <w:t xml:space="preserve">، </w:t>
      </w:r>
      <w:r w:rsidR="00A04847" w:rsidRPr="00FD211F">
        <w:rPr>
          <w:sz w:val="36"/>
          <w:szCs w:val="36"/>
          <w:rtl/>
        </w:rPr>
        <w:t xml:space="preserve">فانه بناء على ذلك يصح ان يقال بان التعهد </w:t>
      </w:r>
      <w:r w:rsidR="005E28EC" w:rsidRPr="00FD211F">
        <w:rPr>
          <w:sz w:val="36"/>
          <w:szCs w:val="36"/>
          <w:rtl/>
        </w:rPr>
        <w:t>ان كان ابتدائيا فهو وضع تعييني وان كان ناشئا من كثر</w:t>
      </w:r>
      <w:r w:rsidR="00EC7EDF" w:rsidRPr="00FD211F">
        <w:rPr>
          <w:sz w:val="36"/>
          <w:szCs w:val="36"/>
          <w:rtl/>
        </w:rPr>
        <w:t xml:space="preserve">ة </w:t>
      </w:r>
      <w:r w:rsidR="005E28EC" w:rsidRPr="00FD211F">
        <w:rPr>
          <w:sz w:val="36"/>
          <w:szCs w:val="36"/>
          <w:rtl/>
        </w:rPr>
        <w:t>الاستعمال فهو وضع تعيني</w:t>
      </w:r>
      <w:r w:rsidR="00603323" w:rsidRPr="00FD211F">
        <w:rPr>
          <w:sz w:val="36"/>
          <w:szCs w:val="36"/>
          <w:rtl/>
        </w:rPr>
        <w:t xml:space="preserve">، </w:t>
      </w:r>
      <w:r w:rsidR="005E28EC" w:rsidRPr="00FD211F">
        <w:rPr>
          <w:sz w:val="36"/>
          <w:szCs w:val="36"/>
          <w:rtl/>
        </w:rPr>
        <w:t>ولكن مرّ النقاش في هذا المسلك</w:t>
      </w:r>
      <w:r w:rsidR="00A04847" w:rsidRPr="00FD211F">
        <w:rPr>
          <w:sz w:val="36"/>
          <w:szCs w:val="36"/>
          <w:rtl/>
        </w:rPr>
        <w:t>.</w:t>
      </w:r>
    </w:p>
    <w:p w14:paraId="30BFA3DE" w14:textId="77777777" w:rsidR="00C6777B" w:rsidRPr="00FD211F" w:rsidRDefault="006445C9" w:rsidP="009C58C8">
      <w:pPr>
        <w:ind w:left="0" w:firstLine="227"/>
        <w:jc w:val="both"/>
        <w:rPr>
          <w:sz w:val="36"/>
          <w:szCs w:val="36"/>
          <w:rtl/>
        </w:rPr>
      </w:pPr>
      <w:r w:rsidRPr="00FD211F">
        <w:rPr>
          <w:sz w:val="36"/>
          <w:szCs w:val="36"/>
          <w:rtl/>
        </w:rPr>
        <w:t xml:space="preserve">وكذا لو التزمنا بان الوضع </w:t>
      </w:r>
      <w:r w:rsidR="00CE37E8" w:rsidRPr="00FD211F">
        <w:rPr>
          <w:sz w:val="36"/>
          <w:szCs w:val="36"/>
          <w:rtl/>
        </w:rPr>
        <w:t>هو الاقتران الأكيد بين اللفظ والمعنى</w:t>
      </w:r>
      <w:r w:rsidR="00C6777B" w:rsidRPr="00FD211F">
        <w:rPr>
          <w:sz w:val="36"/>
          <w:szCs w:val="36"/>
          <w:rtl/>
        </w:rPr>
        <w:t xml:space="preserve"> فهذا الاقتران الأكيد قد </w:t>
      </w:r>
      <w:r w:rsidR="001A3470" w:rsidRPr="00FD211F">
        <w:rPr>
          <w:sz w:val="36"/>
          <w:szCs w:val="36"/>
          <w:rtl/>
        </w:rPr>
        <w:t>يحصل بموجب عامل ك</w:t>
      </w:r>
      <w:r w:rsidR="00DD253F" w:rsidRPr="00FD211F">
        <w:rPr>
          <w:sz w:val="36"/>
          <w:szCs w:val="36"/>
          <w:rtl/>
        </w:rPr>
        <w:t>يفي</w:t>
      </w:r>
      <w:r w:rsidR="001A3470" w:rsidRPr="00FD211F">
        <w:rPr>
          <w:sz w:val="36"/>
          <w:szCs w:val="36"/>
          <w:rtl/>
        </w:rPr>
        <w:t xml:space="preserve"> كقول </w:t>
      </w:r>
      <w:r w:rsidR="00C6777B" w:rsidRPr="00FD211F">
        <w:rPr>
          <w:sz w:val="36"/>
          <w:szCs w:val="36"/>
          <w:rtl/>
        </w:rPr>
        <w:t>الأب</w:t>
      </w:r>
      <w:r w:rsidR="001A3470" w:rsidRPr="00FD211F">
        <w:rPr>
          <w:sz w:val="36"/>
          <w:szCs w:val="36"/>
          <w:rtl/>
        </w:rPr>
        <w:t xml:space="preserve"> سميت ابني عليّا</w:t>
      </w:r>
      <w:r w:rsidR="00603323" w:rsidRPr="00FD211F">
        <w:rPr>
          <w:sz w:val="36"/>
          <w:szCs w:val="36"/>
          <w:rtl/>
        </w:rPr>
        <w:t xml:space="preserve">، </w:t>
      </w:r>
      <w:r w:rsidR="001A3470" w:rsidRPr="00FD211F">
        <w:rPr>
          <w:sz w:val="36"/>
          <w:szCs w:val="36"/>
          <w:rtl/>
        </w:rPr>
        <w:t>وهذا هو الوضع التعييني</w:t>
      </w:r>
      <w:r w:rsidR="00603323" w:rsidRPr="00FD211F">
        <w:rPr>
          <w:sz w:val="36"/>
          <w:szCs w:val="36"/>
          <w:rtl/>
        </w:rPr>
        <w:t xml:space="preserve">، </w:t>
      </w:r>
      <w:r w:rsidR="001A3470" w:rsidRPr="00FD211F">
        <w:rPr>
          <w:sz w:val="36"/>
          <w:szCs w:val="36"/>
          <w:rtl/>
        </w:rPr>
        <w:t xml:space="preserve">وقد يحصل بموجب عامل </w:t>
      </w:r>
      <w:r w:rsidR="00DD253F" w:rsidRPr="00FD211F">
        <w:rPr>
          <w:sz w:val="36"/>
          <w:szCs w:val="36"/>
          <w:rtl/>
        </w:rPr>
        <w:t>كمّي</w:t>
      </w:r>
      <w:r w:rsidR="00603323" w:rsidRPr="00FD211F">
        <w:rPr>
          <w:sz w:val="36"/>
          <w:szCs w:val="36"/>
          <w:rtl/>
        </w:rPr>
        <w:t xml:space="preserve">، </w:t>
      </w:r>
      <w:r w:rsidR="001A3470" w:rsidRPr="00FD211F">
        <w:rPr>
          <w:sz w:val="36"/>
          <w:szCs w:val="36"/>
          <w:rtl/>
        </w:rPr>
        <w:t>وهو كثر</w:t>
      </w:r>
      <w:r w:rsidR="00EC7EDF" w:rsidRPr="00FD211F">
        <w:rPr>
          <w:sz w:val="36"/>
          <w:szCs w:val="36"/>
          <w:rtl/>
        </w:rPr>
        <w:t xml:space="preserve">ة </w:t>
      </w:r>
      <w:r w:rsidR="001A3470" w:rsidRPr="00FD211F">
        <w:rPr>
          <w:sz w:val="36"/>
          <w:szCs w:val="36"/>
          <w:rtl/>
        </w:rPr>
        <w:t>استعمال لفظ في معنى بقرائن مختلف</w:t>
      </w:r>
      <w:r w:rsidR="00EC7EDF" w:rsidRPr="00FD211F">
        <w:rPr>
          <w:sz w:val="36"/>
          <w:szCs w:val="36"/>
          <w:rtl/>
        </w:rPr>
        <w:t>ة</w:t>
      </w:r>
      <w:r w:rsidR="00603323" w:rsidRPr="00FD211F">
        <w:rPr>
          <w:sz w:val="36"/>
          <w:szCs w:val="36"/>
          <w:rtl/>
        </w:rPr>
        <w:t xml:space="preserve">، </w:t>
      </w:r>
      <w:r w:rsidR="001A3470" w:rsidRPr="00FD211F">
        <w:rPr>
          <w:sz w:val="36"/>
          <w:szCs w:val="36"/>
          <w:rtl/>
        </w:rPr>
        <w:t>فيحصل الأنس الذهني ب</w:t>
      </w:r>
      <w:r w:rsidR="00DD253F" w:rsidRPr="00FD211F">
        <w:rPr>
          <w:sz w:val="36"/>
          <w:szCs w:val="36"/>
          <w:rtl/>
        </w:rPr>
        <w:t>ين ذاك اللفظ وذاك المعنى تدريجا فيحصل بينهما اقتران أكيد</w:t>
      </w:r>
      <w:r w:rsidR="00C6777B" w:rsidRPr="00FD211F">
        <w:rPr>
          <w:sz w:val="36"/>
          <w:szCs w:val="36"/>
          <w:rtl/>
        </w:rPr>
        <w:t>.</w:t>
      </w:r>
    </w:p>
    <w:p w14:paraId="42FE5710" w14:textId="77777777" w:rsidR="00787D3A" w:rsidRPr="00FD211F" w:rsidRDefault="001A3470" w:rsidP="009C58C8">
      <w:pPr>
        <w:ind w:left="0" w:firstLine="227"/>
        <w:jc w:val="both"/>
        <w:rPr>
          <w:sz w:val="36"/>
          <w:szCs w:val="36"/>
          <w:rtl/>
        </w:rPr>
      </w:pPr>
      <w:r w:rsidRPr="00FD211F">
        <w:rPr>
          <w:sz w:val="36"/>
          <w:szCs w:val="36"/>
          <w:rtl/>
        </w:rPr>
        <w:t>ولكن مرّ ان هذه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التي عب</w:t>
      </w:r>
      <w:r w:rsidR="00FF4D0F" w:rsidRPr="00FD211F">
        <w:rPr>
          <w:sz w:val="36"/>
          <w:szCs w:val="36"/>
          <w:rtl/>
        </w:rPr>
        <w:t>ّ</w:t>
      </w:r>
      <w:r w:rsidRPr="00FD211F">
        <w:rPr>
          <w:sz w:val="36"/>
          <w:szCs w:val="36"/>
          <w:rtl/>
        </w:rPr>
        <w:t>ر عنها بال</w:t>
      </w:r>
      <w:r w:rsidR="00DD253F" w:rsidRPr="00FD211F">
        <w:rPr>
          <w:sz w:val="36"/>
          <w:szCs w:val="36"/>
          <w:rtl/>
        </w:rPr>
        <w:t>ا</w:t>
      </w:r>
      <w:r w:rsidRPr="00FD211F">
        <w:rPr>
          <w:sz w:val="36"/>
          <w:szCs w:val="36"/>
          <w:rtl/>
        </w:rPr>
        <w:t>ق</w:t>
      </w:r>
      <w:r w:rsidR="00DD253F" w:rsidRPr="00FD211F">
        <w:rPr>
          <w:sz w:val="36"/>
          <w:szCs w:val="36"/>
          <w:rtl/>
        </w:rPr>
        <w:t>ت</w:t>
      </w:r>
      <w:r w:rsidRPr="00FD211F">
        <w:rPr>
          <w:sz w:val="36"/>
          <w:szCs w:val="36"/>
          <w:rtl/>
        </w:rPr>
        <w:t>ر</w:t>
      </w:r>
      <w:r w:rsidR="00DD253F" w:rsidRPr="00FD211F">
        <w:rPr>
          <w:sz w:val="36"/>
          <w:szCs w:val="36"/>
          <w:rtl/>
        </w:rPr>
        <w:t>ا</w:t>
      </w:r>
      <w:r w:rsidRPr="00FD211F">
        <w:rPr>
          <w:sz w:val="36"/>
          <w:szCs w:val="36"/>
          <w:rtl/>
        </w:rPr>
        <w:t>ن الأكيد ليست شيئا وراء الملازم</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بين اللفظ والمعنى</w:t>
      </w:r>
      <w:r w:rsidR="003A4657" w:rsidRPr="00FD211F">
        <w:rPr>
          <w:sz w:val="36"/>
          <w:szCs w:val="36"/>
          <w:rtl/>
        </w:rPr>
        <w:t xml:space="preserve"> التي تحصل بعد العلم بالوضع</w:t>
      </w:r>
      <w:r w:rsidR="00603323" w:rsidRPr="00FD211F">
        <w:rPr>
          <w:sz w:val="36"/>
          <w:szCs w:val="36"/>
          <w:rtl/>
        </w:rPr>
        <w:t xml:space="preserve">، </w:t>
      </w:r>
      <w:r w:rsidRPr="00FD211F">
        <w:rPr>
          <w:sz w:val="36"/>
          <w:szCs w:val="36"/>
          <w:rtl/>
        </w:rPr>
        <w:t>فليست هي عين الوضع وانما تكون نتيج</w:t>
      </w:r>
      <w:r w:rsidR="00EC7EDF" w:rsidRPr="00FD211F">
        <w:rPr>
          <w:sz w:val="36"/>
          <w:szCs w:val="36"/>
          <w:rtl/>
        </w:rPr>
        <w:t xml:space="preserve">ة </w:t>
      </w:r>
      <w:r w:rsidRPr="00FD211F">
        <w:rPr>
          <w:sz w:val="36"/>
          <w:szCs w:val="36"/>
          <w:rtl/>
        </w:rPr>
        <w:t>الوضع ومن آثاره</w:t>
      </w:r>
      <w:r w:rsidR="00603323" w:rsidRPr="00FD211F">
        <w:rPr>
          <w:sz w:val="36"/>
          <w:szCs w:val="36"/>
          <w:rtl/>
        </w:rPr>
        <w:t xml:space="preserve">، </w:t>
      </w:r>
      <w:r w:rsidR="00787D3A" w:rsidRPr="00FD211F">
        <w:rPr>
          <w:sz w:val="36"/>
          <w:szCs w:val="36"/>
          <w:rtl/>
        </w:rPr>
        <w:t>والشاهد على ذلك ما مر من ان العلق</w:t>
      </w:r>
      <w:r w:rsidR="00EC7EDF" w:rsidRPr="00FD211F">
        <w:rPr>
          <w:sz w:val="36"/>
          <w:szCs w:val="36"/>
          <w:rtl/>
        </w:rPr>
        <w:t xml:space="preserve">ة </w:t>
      </w:r>
      <w:r w:rsidR="00787D3A" w:rsidRPr="00FD211F">
        <w:rPr>
          <w:sz w:val="36"/>
          <w:szCs w:val="36"/>
          <w:rtl/>
        </w:rPr>
        <w:t>الوضعي</w:t>
      </w:r>
      <w:r w:rsidR="00EC7EDF" w:rsidRPr="00FD211F">
        <w:rPr>
          <w:sz w:val="36"/>
          <w:szCs w:val="36"/>
          <w:rtl/>
        </w:rPr>
        <w:t xml:space="preserve">ة </w:t>
      </w:r>
      <w:r w:rsidR="00787D3A" w:rsidRPr="00FD211F">
        <w:rPr>
          <w:sz w:val="36"/>
          <w:szCs w:val="36"/>
          <w:rtl/>
        </w:rPr>
        <w:t>بين لفظ ومعنى ليست بنظر العرف حال</w:t>
      </w:r>
      <w:r w:rsidR="00EC7EDF" w:rsidRPr="00FD211F">
        <w:rPr>
          <w:sz w:val="36"/>
          <w:szCs w:val="36"/>
          <w:rtl/>
        </w:rPr>
        <w:t xml:space="preserve">ة </w:t>
      </w:r>
      <w:r w:rsidR="00787D3A" w:rsidRPr="00FD211F">
        <w:rPr>
          <w:sz w:val="36"/>
          <w:szCs w:val="36"/>
          <w:rtl/>
        </w:rPr>
        <w:t>نسبي</w:t>
      </w:r>
      <w:r w:rsidR="00EC7EDF" w:rsidRPr="00FD211F">
        <w:rPr>
          <w:sz w:val="36"/>
          <w:szCs w:val="36"/>
          <w:rtl/>
        </w:rPr>
        <w:t xml:space="preserve">ة </w:t>
      </w:r>
      <w:r w:rsidR="00787D3A" w:rsidRPr="00FD211F">
        <w:rPr>
          <w:sz w:val="36"/>
          <w:szCs w:val="36"/>
          <w:rtl/>
        </w:rPr>
        <w:t>توجد في ذهن العالم بالوضع دون الجاهل به</w:t>
      </w:r>
      <w:r w:rsidR="00603323" w:rsidRPr="00FD211F">
        <w:rPr>
          <w:sz w:val="36"/>
          <w:szCs w:val="36"/>
          <w:rtl/>
        </w:rPr>
        <w:t xml:space="preserve">، </w:t>
      </w:r>
      <w:r w:rsidR="00787D3A" w:rsidRPr="00FD211F">
        <w:rPr>
          <w:sz w:val="36"/>
          <w:szCs w:val="36"/>
          <w:rtl/>
        </w:rPr>
        <w:t>بينما ان الملازم</w:t>
      </w:r>
      <w:r w:rsidR="00EC7EDF" w:rsidRPr="00FD211F">
        <w:rPr>
          <w:sz w:val="36"/>
          <w:szCs w:val="36"/>
          <w:rtl/>
        </w:rPr>
        <w:t xml:space="preserve">ة </w:t>
      </w:r>
      <w:r w:rsidR="00787D3A" w:rsidRPr="00FD211F">
        <w:rPr>
          <w:sz w:val="36"/>
          <w:szCs w:val="36"/>
          <w:rtl/>
        </w:rPr>
        <w:t>الذهني</w:t>
      </w:r>
      <w:r w:rsidR="00EC7EDF" w:rsidRPr="00FD211F">
        <w:rPr>
          <w:sz w:val="36"/>
          <w:szCs w:val="36"/>
          <w:rtl/>
        </w:rPr>
        <w:t xml:space="preserve">ة </w:t>
      </w:r>
      <w:r w:rsidR="00787D3A" w:rsidRPr="00FD211F">
        <w:rPr>
          <w:sz w:val="36"/>
          <w:szCs w:val="36"/>
          <w:rtl/>
        </w:rPr>
        <w:t>حال</w:t>
      </w:r>
      <w:r w:rsidR="00EC7EDF" w:rsidRPr="00FD211F">
        <w:rPr>
          <w:sz w:val="36"/>
          <w:szCs w:val="36"/>
          <w:rtl/>
        </w:rPr>
        <w:t xml:space="preserve">ة </w:t>
      </w:r>
      <w:r w:rsidR="00787D3A" w:rsidRPr="00FD211F">
        <w:rPr>
          <w:sz w:val="36"/>
          <w:szCs w:val="36"/>
          <w:rtl/>
        </w:rPr>
        <w:t>نسبي</w:t>
      </w:r>
      <w:r w:rsidR="00EC7EDF" w:rsidRPr="00FD211F">
        <w:rPr>
          <w:sz w:val="36"/>
          <w:szCs w:val="36"/>
          <w:rtl/>
        </w:rPr>
        <w:t xml:space="preserve">ة </w:t>
      </w:r>
      <w:r w:rsidR="00787D3A" w:rsidRPr="00FD211F">
        <w:rPr>
          <w:sz w:val="36"/>
          <w:szCs w:val="36"/>
          <w:rtl/>
        </w:rPr>
        <w:t>دائما</w:t>
      </w:r>
      <w:r w:rsidR="00603323" w:rsidRPr="00FD211F">
        <w:rPr>
          <w:sz w:val="36"/>
          <w:szCs w:val="36"/>
          <w:rtl/>
        </w:rPr>
        <w:t xml:space="preserve">، </w:t>
      </w:r>
      <w:r w:rsidR="003A4657" w:rsidRPr="00FD211F">
        <w:rPr>
          <w:sz w:val="36"/>
          <w:szCs w:val="36"/>
          <w:rtl/>
        </w:rPr>
        <w:t>ففي موارد الوضع التعيني لاتوجد الا ملازم</w:t>
      </w:r>
      <w:r w:rsidR="00EC7EDF" w:rsidRPr="00FD211F">
        <w:rPr>
          <w:sz w:val="36"/>
          <w:szCs w:val="36"/>
          <w:rtl/>
        </w:rPr>
        <w:t xml:space="preserve">ة </w:t>
      </w:r>
      <w:r w:rsidR="003A4657" w:rsidRPr="00FD211F">
        <w:rPr>
          <w:sz w:val="36"/>
          <w:szCs w:val="36"/>
          <w:rtl/>
        </w:rPr>
        <w:t>ذهني</w:t>
      </w:r>
      <w:r w:rsidR="00EC7EDF" w:rsidRPr="00FD211F">
        <w:rPr>
          <w:sz w:val="36"/>
          <w:szCs w:val="36"/>
          <w:rtl/>
        </w:rPr>
        <w:t xml:space="preserve">ة </w:t>
      </w:r>
      <w:r w:rsidR="003A4657" w:rsidRPr="00FD211F">
        <w:rPr>
          <w:sz w:val="36"/>
          <w:szCs w:val="36"/>
          <w:rtl/>
        </w:rPr>
        <w:t>بين لفظ ومعنى بموجب كثر</w:t>
      </w:r>
      <w:r w:rsidR="00EC7EDF" w:rsidRPr="00FD211F">
        <w:rPr>
          <w:sz w:val="36"/>
          <w:szCs w:val="36"/>
          <w:rtl/>
        </w:rPr>
        <w:t xml:space="preserve">ة </w:t>
      </w:r>
      <w:r w:rsidR="003A4657" w:rsidRPr="00FD211F">
        <w:rPr>
          <w:sz w:val="36"/>
          <w:szCs w:val="36"/>
          <w:rtl/>
        </w:rPr>
        <w:t>استعماله فيه</w:t>
      </w:r>
      <w:r w:rsidR="00603323" w:rsidRPr="00FD211F">
        <w:rPr>
          <w:sz w:val="36"/>
          <w:szCs w:val="36"/>
          <w:rtl/>
        </w:rPr>
        <w:t xml:space="preserve">، </w:t>
      </w:r>
      <w:r w:rsidR="00DD253F" w:rsidRPr="00FD211F">
        <w:rPr>
          <w:sz w:val="36"/>
          <w:szCs w:val="36"/>
          <w:rtl/>
        </w:rPr>
        <w:t>وهذه الملازم</w:t>
      </w:r>
      <w:r w:rsidR="00EC7EDF" w:rsidRPr="00FD211F">
        <w:rPr>
          <w:sz w:val="36"/>
          <w:szCs w:val="36"/>
          <w:rtl/>
        </w:rPr>
        <w:t xml:space="preserve">ة </w:t>
      </w:r>
      <w:r w:rsidR="00DD253F" w:rsidRPr="00FD211F">
        <w:rPr>
          <w:sz w:val="36"/>
          <w:szCs w:val="36"/>
          <w:rtl/>
        </w:rPr>
        <w:t>الذهني</w:t>
      </w:r>
      <w:r w:rsidR="00EC7EDF" w:rsidRPr="00FD211F">
        <w:rPr>
          <w:sz w:val="36"/>
          <w:szCs w:val="36"/>
          <w:rtl/>
        </w:rPr>
        <w:t xml:space="preserve">ة </w:t>
      </w:r>
      <w:r w:rsidR="00DD253F" w:rsidRPr="00FD211F">
        <w:rPr>
          <w:sz w:val="36"/>
          <w:szCs w:val="36"/>
          <w:rtl/>
        </w:rPr>
        <w:t>هي نتيج</w:t>
      </w:r>
      <w:r w:rsidR="00EC7EDF" w:rsidRPr="00FD211F">
        <w:rPr>
          <w:sz w:val="36"/>
          <w:szCs w:val="36"/>
          <w:rtl/>
        </w:rPr>
        <w:t xml:space="preserve">ة </w:t>
      </w:r>
      <w:r w:rsidR="00DD253F" w:rsidRPr="00FD211F">
        <w:rPr>
          <w:sz w:val="36"/>
          <w:szCs w:val="36"/>
          <w:rtl/>
        </w:rPr>
        <w:t>الوضع</w:t>
      </w:r>
      <w:r w:rsidR="00787D3A" w:rsidRPr="00FD211F">
        <w:rPr>
          <w:sz w:val="36"/>
          <w:szCs w:val="36"/>
          <w:rtl/>
        </w:rPr>
        <w:t>.</w:t>
      </w:r>
    </w:p>
    <w:p w14:paraId="325ECB5E" w14:textId="77777777" w:rsidR="00824389" w:rsidRPr="00FD211F" w:rsidRDefault="00787D3A" w:rsidP="009C58C8">
      <w:pPr>
        <w:ind w:left="0" w:firstLine="227"/>
        <w:jc w:val="both"/>
        <w:rPr>
          <w:sz w:val="36"/>
          <w:szCs w:val="36"/>
          <w:rtl/>
        </w:rPr>
      </w:pPr>
      <w:r w:rsidRPr="00FD211F">
        <w:rPr>
          <w:sz w:val="36"/>
          <w:szCs w:val="36"/>
          <w:rtl/>
        </w:rPr>
        <w:t xml:space="preserve">الا انه تقدم امكان ان يلحظ ذلك بلحاظ عرفي </w:t>
      </w:r>
      <w:r w:rsidR="001A3470" w:rsidRPr="00FD211F">
        <w:rPr>
          <w:sz w:val="36"/>
          <w:szCs w:val="36"/>
          <w:rtl/>
        </w:rPr>
        <w:t>مسامحي فيسمى تحقق الملازم</w:t>
      </w:r>
      <w:r w:rsidR="00EC7EDF" w:rsidRPr="00FD211F">
        <w:rPr>
          <w:sz w:val="36"/>
          <w:szCs w:val="36"/>
          <w:rtl/>
        </w:rPr>
        <w:t xml:space="preserve">ة </w:t>
      </w:r>
      <w:r w:rsidR="001A3470" w:rsidRPr="00FD211F">
        <w:rPr>
          <w:sz w:val="36"/>
          <w:szCs w:val="36"/>
          <w:rtl/>
        </w:rPr>
        <w:t>الذهني</w:t>
      </w:r>
      <w:r w:rsidR="00EC7EDF" w:rsidRPr="00FD211F">
        <w:rPr>
          <w:sz w:val="36"/>
          <w:szCs w:val="36"/>
          <w:rtl/>
        </w:rPr>
        <w:t xml:space="preserve">ة </w:t>
      </w:r>
      <w:r w:rsidR="001A3470" w:rsidRPr="00FD211F">
        <w:rPr>
          <w:sz w:val="36"/>
          <w:szCs w:val="36"/>
          <w:rtl/>
        </w:rPr>
        <w:t>بين لفظ ومعنى لدى اهل لغ</w:t>
      </w:r>
      <w:r w:rsidR="00EC7EDF" w:rsidRPr="00FD211F">
        <w:rPr>
          <w:sz w:val="36"/>
          <w:szCs w:val="36"/>
          <w:rtl/>
        </w:rPr>
        <w:t xml:space="preserve">ة </w:t>
      </w:r>
      <w:r w:rsidR="001A3470" w:rsidRPr="00FD211F">
        <w:rPr>
          <w:sz w:val="36"/>
          <w:szCs w:val="36"/>
          <w:rtl/>
        </w:rPr>
        <w:t>ولو في الجمل</w:t>
      </w:r>
      <w:r w:rsidR="00EC7EDF" w:rsidRPr="00FD211F">
        <w:rPr>
          <w:sz w:val="36"/>
          <w:szCs w:val="36"/>
          <w:rtl/>
        </w:rPr>
        <w:t xml:space="preserve">ة </w:t>
      </w:r>
      <w:r w:rsidR="001A3470" w:rsidRPr="00FD211F">
        <w:rPr>
          <w:sz w:val="36"/>
          <w:szCs w:val="36"/>
          <w:rtl/>
        </w:rPr>
        <w:t>علق</w:t>
      </w:r>
      <w:r w:rsidR="00EC7EDF" w:rsidRPr="00FD211F">
        <w:rPr>
          <w:sz w:val="36"/>
          <w:szCs w:val="36"/>
          <w:rtl/>
        </w:rPr>
        <w:t xml:space="preserve">ة </w:t>
      </w:r>
      <w:r w:rsidR="001A3470" w:rsidRPr="00FD211F">
        <w:rPr>
          <w:sz w:val="36"/>
          <w:szCs w:val="36"/>
          <w:rtl/>
        </w:rPr>
        <w:t>وضعي</w:t>
      </w:r>
      <w:r w:rsidR="00EC7EDF" w:rsidRPr="00FD211F">
        <w:rPr>
          <w:sz w:val="36"/>
          <w:szCs w:val="36"/>
          <w:rtl/>
        </w:rPr>
        <w:t xml:space="preserve">ة </w:t>
      </w:r>
      <w:r w:rsidR="001A3470" w:rsidRPr="00FD211F">
        <w:rPr>
          <w:sz w:val="36"/>
          <w:szCs w:val="36"/>
          <w:rtl/>
        </w:rPr>
        <w:t>بين اللفظ والمعنى</w:t>
      </w:r>
      <w:r w:rsidR="00603323" w:rsidRPr="00FD211F">
        <w:rPr>
          <w:sz w:val="36"/>
          <w:szCs w:val="36"/>
          <w:rtl/>
        </w:rPr>
        <w:t xml:space="preserve">، </w:t>
      </w:r>
      <w:r w:rsidR="001A3470" w:rsidRPr="00FD211F">
        <w:rPr>
          <w:sz w:val="36"/>
          <w:szCs w:val="36"/>
          <w:rtl/>
        </w:rPr>
        <w:t>وكذا</w:t>
      </w:r>
      <w:r w:rsidR="003A4657" w:rsidRPr="00FD211F">
        <w:rPr>
          <w:sz w:val="36"/>
          <w:szCs w:val="36"/>
          <w:rtl/>
        </w:rPr>
        <w:t xml:space="preserve"> يسمى</w:t>
      </w:r>
      <w:r w:rsidR="001A3470" w:rsidRPr="00FD211F">
        <w:rPr>
          <w:sz w:val="36"/>
          <w:szCs w:val="36"/>
          <w:rtl/>
        </w:rPr>
        <w:t xml:space="preserve"> حصول الملازم</w:t>
      </w:r>
      <w:r w:rsidR="00EC7EDF" w:rsidRPr="00FD211F">
        <w:rPr>
          <w:sz w:val="36"/>
          <w:szCs w:val="36"/>
          <w:rtl/>
        </w:rPr>
        <w:t xml:space="preserve">ة </w:t>
      </w:r>
      <w:r w:rsidR="001A3470" w:rsidRPr="00FD211F">
        <w:rPr>
          <w:sz w:val="36"/>
          <w:szCs w:val="36"/>
          <w:rtl/>
        </w:rPr>
        <w:t>الذهني</w:t>
      </w:r>
      <w:r w:rsidR="00EC7EDF" w:rsidRPr="00FD211F">
        <w:rPr>
          <w:sz w:val="36"/>
          <w:szCs w:val="36"/>
          <w:rtl/>
        </w:rPr>
        <w:t xml:space="preserve">ة </w:t>
      </w:r>
      <w:r w:rsidR="001A3470" w:rsidRPr="00FD211F">
        <w:rPr>
          <w:sz w:val="36"/>
          <w:szCs w:val="36"/>
          <w:rtl/>
        </w:rPr>
        <w:t>لدى عائل</w:t>
      </w:r>
      <w:r w:rsidR="00EC7EDF" w:rsidRPr="00FD211F">
        <w:rPr>
          <w:sz w:val="36"/>
          <w:szCs w:val="36"/>
          <w:rtl/>
        </w:rPr>
        <w:t xml:space="preserve">ة </w:t>
      </w:r>
      <w:r w:rsidR="001A3470" w:rsidRPr="00FD211F">
        <w:rPr>
          <w:sz w:val="36"/>
          <w:szCs w:val="36"/>
          <w:rtl/>
        </w:rPr>
        <w:t>في مورد وضع الاعلام</w:t>
      </w:r>
      <w:r w:rsidR="00BF1F07" w:rsidRPr="00FD211F">
        <w:rPr>
          <w:sz w:val="36"/>
          <w:szCs w:val="36"/>
          <w:rtl/>
        </w:rPr>
        <w:t xml:space="preserve"> علق</w:t>
      </w:r>
      <w:r w:rsidR="00EC7EDF" w:rsidRPr="00FD211F">
        <w:rPr>
          <w:sz w:val="36"/>
          <w:szCs w:val="36"/>
          <w:rtl/>
        </w:rPr>
        <w:t xml:space="preserve">ة </w:t>
      </w:r>
      <w:r w:rsidR="00BF1F07" w:rsidRPr="00FD211F">
        <w:rPr>
          <w:sz w:val="36"/>
          <w:szCs w:val="36"/>
          <w:rtl/>
        </w:rPr>
        <w:t>وضعي</w:t>
      </w:r>
      <w:r w:rsidR="00EC7EDF" w:rsidRPr="00FD211F">
        <w:rPr>
          <w:sz w:val="36"/>
          <w:szCs w:val="36"/>
          <w:rtl/>
        </w:rPr>
        <w:t>ة</w:t>
      </w:r>
      <w:r w:rsidR="00603323" w:rsidRPr="00FD211F">
        <w:rPr>
          <w:sz w:val="36"/>
          <w:szCs w:val="36"/>
          <w:rtl/>
        </w:rPr>
        <w:t xml:space="preserve">، </w:t>
      </w:r>
      <w:r w:rsidR="00442DEE" w:rsidRPr="00FD211F">
        <w:rPr>
          <w:sz w:val="36"/>
          <w:szCs w:val="36"/>
          <w:rtl/>
        </w:rPr>
        <w:t>فان الملازم</w:t>
      </w:r>
      <w:r w:rsidR="00EC7EDF" w:rsidRPr="00FD211F">
        <w:rPr>
          <w:sz w:val="36"/>
          <w:szCs w:val="36"/>
          <w:rtl/>
        </w:rPr>
        <w:t xml:space="preserve">ة </w:t>
      </w:r>
      <w:r w:rsidR="00442DEE" w:rsidRPr="00FD211F">
        <w:rPr>
          <w:sz w:val="36"/>
          <w:szCs w:val="36"/>
          <w:rtl/>
        </w:rPr>
        <w:t>الذهني</w:t>
      </w:r>
      <w:r w:rsidR="00EC7EDF" w:rsidRPr="00FD211F">
        <w:rPr>
          <w:sz w:val="36"/>
          <w:szCs w:val="36"/>
          <w:rtl/>
        </w:rPr>
        <w:t xml:space="preserve">ة </w:t>
      </w:r>
      <w:r w:rsidR="00442DEE" w:rsidRPr="00FD211F">
        <w:rPr>
          <w:sz w:val="36"/>
          <w:szCs w:val="36"/>
          <w:rtl/>
        </w:rPr>
        <w:t>بين</w:t>
      </w:r>
      <w:r w:rsidR="00BF1F07" w:rsidRPr="00FD211F">
        <w:rPr>
          <w:sz w:val="36"/>
          <w:szCs w:val="36"/>
          <w:rtl/>
        </w:rPr>
        <w:t xml:space="preserve"> اسم عليّ وبين مولود معين</w:t>
      </w:r>
      <w:r w:rsidR="00442DEE" w:rsidRPr="00FD211F">
        <w:rPr>
          <w:sz w:val="36"/>
          <w:szCs w:val="36"/>
          <w:rtl/>
        </w:rPr>
        <w:t xml:space="preserve"> لدى عائلته قد تنشأ من عامل </w:t>
      </w:r>
      <w:r w:rsidR="00295CBC" w:rsidRPr="00FD211F">
        <w:rPr>
          <w:sz w:val="36"/>
          <w:szCs w:val="36"/>
          <w:rtl/>
        </w:rPr>
        <w:t>كيفي</w:t>
      </w:r>
      <w:r w:rsidR="00442DEE" w:rsidRPr="00FD211F">
        <w:rPr>
          <w:sz w:val="36"/>
          <w:szCs w:val="36"/>
          <w:rtl/>
        </w:rPr>
        <w:t xml:space="preserve"> وهو قول </w:t>
      </w:r>
      <w:r w:rsidR="00BF1F07" w:rsidRPr="00FD211F">
        <w:rPr>
          <w:sz w:val="36"/>
          <w:szCs w:val="36"/>
          <w:rtl/>
        </w:rPr>
        <w:t>الأب</w:t>
      </w:r>
      <w:r w:rsidR="00DF3521" w:rsidRPr="00FD211F">
        <w:rPr>
          <w:sz w:val="36"/>
          <w:szCs w:val="36"/>
          <w:rtl/>
        </w:rPr>
        <w:t>"</w:t>
      </w:r>
      <w:r w:rsidR="00442DEE" w:rsidRPr="00FD211F">
        <w:rPr>
          <w:sz w:val="36"/>
          <w:szCs w:val="36"/>
          <w:rtl/>
        </w:rPr>
        <w:t xml:space="preserve"> سميت ابني عليّا</w:t>
      </w:r>
      <w:r w:rsidR="00DF3521" w:rsidRPr="00FD211F">
        <w:rPr>
          <w:sz w:val="36"/>
          <w:szCs w:val="36"/>
          <w:rtl/>
        </w:rPr>
        <w:t>"</w:t>
      </w:r>
      <w:r w:rsidR="00442DEE" w:rsidRPr="00FD211F">
        <w:rPr>
          <w:sz w:val="36"/>
          <w:szCs w:val="36"/>
          <w:rtl/>
        </w:rPr>
        <w:t xml:space="preserve"> وقد تنشأ من عامل </w:t>
      </w:r>
      <w:r w:rsidR="00295CBC" w:rsidRPr="00FD211F">
        <w:rPr>
          <w:sz w:val="36"/>
          <w:szCs w:val="36"/>
          <w:rtl/>
        </w:rPr>
        <w:t>كمّي</w:t>
      </w:r>
      <w:r w:rsidR="00442DEE" w:rsidRPr="00FD211F">
        <w:rPr>
          <w:sz w:val="36"/>
          <w:szCs w:val="36"/>
          <w:rtl/>
        </w:rPr>
        <w:t xml:space="preserve"> وهو كثر</w:t>
      </w:r>
      <w:r w:rsidR="00EC7EDF" w:rsidRPr="00FD211F">
        <w:rPr>
          <w:sz w:val="36"/>
          <w:szCs w:val="36"/>
          <w:rtl/>
        </w:rPr>
        <w:t xml:space="preserve">ة </w:t>
      </w:r>
      <w:r w:rsidR="00442DEE" w:rsidRPr="00FD211F">
        <w:rPr>
          <w:sz w:val="36"/>
          <w:szCs w:val="36"/>
          <w:rtl/>
        </w:rPr>
        <w:t>استعمال هذا اللفظ للدلال</w:t>
      </w:r>
      <w:r w:rsidR="00EC7EDF" w:rsidRPr="00FD211F">
        <w:rPr>
          <w:sz w:val="36"/>
          <w:szCs w:val="36"/>
          <w:rtl/>
        </w:rPr>
        <w:t xml:space="preserve">ة </w:t>
      </w:r>
      <w:r w:rsidR="00442DEE" w:rsidRPr="00FD211F">
        <w:rPr>
          <w:sz w:val="36"/>
          <w:szCs w:val="36"/>
          <w:rtl/>
        </w:rPr>
        <w:t xml:space="preserve">على </w:t>
      </w:r>
      <w:r w:rsidR="00A8705F" w:rsidRPr="00FD211F">
        <w:rPr>
          <w:sz w:val="36"/>
          <w:szCs w:val="36"/>
          <w:rtl/>
        </w:rPr>
        <w:t>ذاك</w:t>
      </w:r>
      <w:r w:rsidR="00442DEE" w:rsidRPr="00FD211F">
        <w:rPr>
          <w:sz w:val="36"/>
          <w:szCs w:val="36"/>
          <w:rtl/>
        </w:rPr>
        <w:t xml:space="preserve"> المولود من دون ان يقصد بذلك تحقق العلق</w:t>
      </w:r>
      <w:r w:rsidR="00EC7EDF" w:rsidRPr="00FD211F">
        <w:rPr>
          <w:sz w:val="36"/>
          <w:szCs w:val="36"/>
          <w:rtl/>
        </w:rPr>
        <w:t xml:space="preserve">ة </w:t>
      </w:r>
      <w:r w:rsidR="00442DEE" w:rsidRPr="00FD211F">
        <w:rPr>
          <w:sz w:val="36"/>
          <w:szCs w:val="36"/>
          <w:rtl/>
        </w:rPr>
        <w:t>الوضعي</w:t>
      </w:r>
      <w:r w:rsidR="00EC7EDF" w:rsidRPr="00FD211F">
        <w:rPr>
          <w:sz w:val="36"/>
          <w:szCs w:val="36"/>
          <w:rtl/>
        </w:rPr>
        <w:t xml:space="preserve">ة </w:t>
      </w:r>
      <w:r w:rsidR="00442DEE" w:rsidRPr="00FD211F">
        <w:rPr>
          <w:sz w:val="36"/>
          <w:szCs w:val="36"/>
          <w:rtl/>
        </w:rPr>
        <w:t>بينهما</w:t>
      </w:r>
      <w:r w:rsidR="00603323" w:rsidRPr="00FD211F">
        <w:rPr>
          <w:sz w:val="36"/>
          <w:szCs w:val="36"/>
          <w:rtl/>
        </w:rPr>
        <w:t xml:space="preserve">، </w:t>
      </w:r>
      <w:r w:rsidR="00A8705F" w:rsidRPr="00FD211F">
        <w:rPr>
          <w:sz w:val="36"/>
          <w:szCs w:val="36"/>
          <w:rtl/>
        </w:rPr>
        <w:t>الا انه حصلت ملازم</w:t>
      </w:r>
      <w:r w:rsidR="00EC7EDF" w:rsidRPr="00FD211F">
        <w:rPr>
          <w:sz w:val="36"/>
          <w:szCs w:val="36"/>
          <w:rtl/>
        </w:rPr>
        <w:t xml:space="preserve">ة </w:t>
      </w:r>
      <w:r w:rsidR="00A8705F" w:rsidRPr="00FD211F">
        <w:rPr>
          <w:sz w:val="36"/>
          <w:szCs w:val="36"/>
          <w:rtl/>
        </w:rPr>
        <w:t>ذهني</w:t>
      </w:r>
      <w:r w:rsidR="00EC7EDF" w:rsidRPr="00FD211F">
        <w:rPr>
          <w:sz w:val="36"/>
          <w:szCs w:val="36"/>
          <w:rtl/>
        </w:rPr>
        <w:t xml:space="preserve">ة </w:t>
      </w:r>
      <w:r w:rsidR="00A8705F" w:rsidRPr="00FD211F">
        <w:rPr>
          <w:sz w:val="36"/>
          <w:szCs w:val="36"/>
          <w:rtl/>
        </w:rPr>
        <w:t>لدى عائلته بين ذاك الاسم وذاك المولود تدريجا</w:t>
      </w:r>
      <w:r w:rsidR="00603323" w:rsidRPr="00FD211F">
        <w:rPr>
          <w:sz w:val="36"/>
          <w:szCs w:val="36"/>
          <w:rtl/>
        </w:rPr>
        <w:t xml:space="preserve">، </w:t>
      </w:r>
      <w:r w:rsidR="00DD253F" w:rsidRPr="00FD211F">
        <w:rPr>
          <w:sz w:val="36"/>
          <w:szCs w:val="36"/>
          <w:rtl/>
        </w:rPr>
        <w:t>وبهذا اللحاظ يصح تفسيم الوضع الى الوضع التعييني والتعيني</w:t>
      </w:r>
      <w:r w:rsidR="00603323" w:rsidRPr="00FD211F">
        <w:rPr>
          <w:sz w:val="36"/>
          <w:szCs w:val="36"/>
          <w:rtl/>
        </w:rPr>
        <w:t xml:space="preserve">، </w:t>
      </w:r>
      <w:r w:rsidRPr="00FD211F">
        <w:rPr>
          <w:sz w:val="36"/>
          <w:szCs w:val="36"/>
          <w:rtl/>
        </w:rPr>
        <w:t>ويشهد على ذلك صح</w:t>
      </w:r>
      <w:r w:rsidR="00EC7EDF" w:rsidRPr="00FD211F">
        <w:rPr>
          <w:sz w:val="36"/>
          <w:szCs w:val="36"/>
          <w:rtl/>
        </w:rPr>
        <w:t xml:space="preserve">ة </w:t>
      </w:r>
      <w:r w:rsidRPr="00FD211F">
        <w:rPr>
          <w:sz w:val="36"/>
          <w:szCs w:val="36"/>
          <w:rtl/>
        </w:rPr>
        <w:t>تقسيم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بين لفظ ومعنى الى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الناشئ</w:t>
      </w:r>
      <w:r w:rsidR="00EC7EDF" w:rsidRPr="00FD211F">
        <w:rPr>
          <w:sz w:val="36"/>
          <w:szCs w:val="36"/>
          <w:rtl/>
        </w:rPr>
        <w:t xml:space="preserve">ة </w:t>
      </w:r>
      <w:r w:rsidRPr="00FD211F">
        <w:rPr>
          <w:sz w:val="36"/>
          <w:szCs w:val="36"/>
          <w:rtl/>
        </w:rPr>
        <w:t>من تخصيصه به او من كثر</w:t>
      </w:r>
      <w:r w:rsidR="00EC7EDF" w:rsidRPr="00FD211F">
        <w:rPr>
          <w:sz w:val="36"/>
          <w:szCs w:val="36"/>
          <w:rtl/>
        </w:rPr>
        <w:t xml:space="preserve">ة </w:t>
      </w:r>
      <w:r w:rsidRPr="00FD211F">
        <w:rPr>
          <w:sz w:val="36"/>
          <w:szCs w:val="36"/>
          <w:rtl/>
        </w:rPr>
        <w:t>استعماله.</w:t>
      </w:r>
    </w:p>
    <w:p w14:paraId="79ACA4B8" w14:textId="77777777" w:rsidR="00787D3A" w:rsidRPr="00FD211F" w:rsidRDefault="00787D3A" w:rsidP="009C58C8">
      <w:pPr>
        <w:ind w:left="0" w:firstLine="227"/>
        <w:jc w:val="both"/>
        <w:rPr>
          <w:sz w:val="36"/>
          <w:szCs w:val="36"/>
          <w:rtl/>
        </w:rPr>
      </w:pPr>
      <w:r w:rsidRPr="00FD211F">
        <w:rPr>
          <w:sz w:val="36"/>
          <w:szCs w:val="36"/>
          <w:rtl/>
        </w:rPr>
        <w:t>كما ا</w:t>
      </w:r>
      <w:r w:rsidR="00DF3521" w:rsidRPr="00FD211F">
        <w:rPr>
          <w:sz w:val="36"/>
          <w:szCs w:val="36"/>
          <w:rtl/>
        </w:rPr>
        <w:t>نه بناء على مسلك ال</w:t>
      </w:r>
      <w:r w:rsidRPr="00FD211F">
        <w:rPr>
          <w:sz w:val="36"/>
          <w:szCs w:val="36"/>
          <w:rtl/>
        </w:rPr>
        <w:t>هوهوي</w:t>
      </w:r>
      <w:r w:rsidR="00EC7EDF" w:rsidRPr="00FD211F">
        <w:rPr>
          <w:sz w:val="36"/>
          <w:szCs w:val="36"/>
          <w:rtl/>
        </w:rPr>
        <w:t xml:space="preserve">ة </w:t>
      </w:r>
      <w:r w:rsidR="00DF3521" w:rsidRPr="00FD211F">
        <w:rPr>
          <w:sz w:val="36"/>
          <w:szCs w:val="36"/>
          <w:rtl/>
        </w:rPr>
        <w:t>بين</w:t>
      </w:r>
      <w:r w:rsidR="00B253CE" w:rsidRPr="00FD211F">
        <w:rPr>
          <w:sz w:val="36"/>
          <w:szCs w:val="36"/>
          <w:rtl/>
        </w:rPr>
        <w:t xml:space="preserve"> </w:t>
      </w:r>
      <w:r w:rsidRPr="00FD211F">
        <w:rPr>
          <w:sz w:val="36"/>
          <w:szCs w:val="36"/>
          <w:rtl/>
        </w:rPr>
        <w:t>اللفظ والمعنى فلااشكال في صح</w:t>
      </w:r>
      <w:r w:rsidR="00EC7EDF" w:rsidRPr="00FD211F">
        <w:rPr>
          <w:sz w:val="36"/>
          <w:szCs w:val="36"/>
          <w:rtl/>
        </w:rPr>
        <w:t xml:space="preserve">ة </w:t>
      </w:r>
      <w:r w:rsidRPr="00FD211F">
        <w:rPr>
          <w:sz w:val="36"/>
          <w:szCs w:val="36"/>
          <w:rtl/>
        </w:rPr>
        <w:t>تقسيمها الى الوضع التعييني والتعيني</w:t>
      </w:r>
      <w:r w:rsidR="00DF3521" w:rsidRPr="00FD211F">
        <w:rPr>
          <w:sz w:val="36"/>
          <w:szCs w:val="36"/>
          <w:rtl/>
        </w:rPr>
        <w:t xml:space="preserve"> لانهاقدتنشأمن انشاء الوضع وقدتنشأمن كثر</w:t>
      </w:r>
      <w:r w:rsidR="00EC7EDF" w:rsidRPr="00FD211F">
        <w:rPr>
          <w:sz w:val="36"/>
          <w:szCs w:val="36"/>
          <w:rtl/>
        </w:rPr>
        <w:t xml:space="preserve">ة </w:t>
      </w:r>
      <w:r w:rsidR="00DF3521" w:rsidRPr="00FD211F">
        <w:rPr>
          <w:sz w:val="36"/>
          <w:szCs w:val="36"/>
          <w:rtl/>
        </w:rPr>
        <w:t>الاستعمال</w:t>
      </w:r>
      <w:r w:rsidR="00EC7EDF" w:rsidRPr="00FD211F">
        <w:rPr>
          <w:sz w:val="36"/>
          <w:szCs w:val="36"/>
          <w:rtl/>
        </w:rPr>
        <w:t>.</w:t>
      </w:r>
    </w:p>
    <w:p w14:paraId="6F38234C" w14:textId="77777777" w:rsidR="00824389" w:rsidRPr="00FD211F" w:rsidRDefault="00824389" w:rsidP="009C58C8">
      <w:pPr>
        <w:pStyle w:val="3"/>
        <w:ind w:firstLine="227"/>
        <w:jc w:val="both"/>
        <w:rPr>
          <w:rtl/>
        </w:rPr>
      </w:pPr>
      <w:bookmarkStart w:id="138" w:name="درس014"/>
      <w:bookmarkStart w:id="139" w:name="_Toc223890331"/>
      <w:bookmarkEnd w:id="138"/>
      <w:r w:rsidRPr="00FD211F">
        <w:rPr>
          <w:rtl/>
        </w:rPr>
        <w:t>هل يتحقق الوضع التعييني بالاستعمال؟</w:t>
      </w:r>
      <w:bookmarkEnd w:id="139"/>
    </w:p>
    <w:p w14:paraId="57AF0F92" w14:textId="77777777" w:rsidR="00737668" w:rsidRPr="00FD211F" w:rsidRDefault="00442DEE" w:rsidP="009C58C8">
      <w:pPr>
        <w:ind w:left="0" w:firstLine="227"/>
        <w:jc w:val="both"/>
        <w:rPr>
          <w:sz w:val="36"/>
          <w:szCs w:val="36"/>
          <w:rtl/>
        </w:rPr>
      </w:pPr>
      <w:r w:rsidRPr="00FD211F">
        <w:rPr>
          <w:sz w:val="36"/>
          <w:szCs w:val="36"/>
          <w:rtl/>
        </w:rPr>
        <w:t>ذكر صاحب الكفاي</w:t>
      </w:r>
      <w:r w:rsidR="00EC7EDF" w:rsidRPr="00FD211F">
        <w:rPr>
          <w:sz w:val="36"/>
          <w:szCs w:val="36"/>
          <w:rtl/>
        </w:rPr>
        <w:t>ة</w:t>
      </w:r>
      <w:r w:rsidR="008D7B3D" w:rsidRPr="00FD211F">
        <w:rPr>
          <w:sz w:val="36"/>
          <w:szCs w:val="36"/>
          <w:rtl/>
        </w:rPr>
        <w:t xml:space="preserve"> </w:t>
      </w:r>
      <w:r w:rsidR="006912A9" w:rsidRPr="00FD211F">
        <w:rPr>
          <w:sz w:val="36"/>
          <w:szCs w:val="36"/>
          <w:rtl/>
        </w:rPr>
        <w:t>"قده"</w:t>
      </w:r>
      <w:r w:rsidR="00A61BAE" w:rsidRPr="00FD211F">
        <w:rPr>
          <w:sz w:val="36"/>
          <w:szCs w:val="36"/>
          <w:rtl/>
        </w:rPr>
        <w:t xml:space="preserve"> </w:t>
      </w:r>
      <w:r w:rsidRPr="00FD211F">
        <w:rPr>
          <w:sz w:val="36"/>
          <w:szCs w:val="36"/>
          <w:rtl/>
        </w:rPr>
        <w:t>في اول بحث الحقيق</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ان الوضع التعييني كما يحصل بالتصريح بإنشائه كذلك قد يحصل باستعمال اللفظ في غير ما وضع له</w:t>
      </w:r>
      <w:r w:rsidR="00603323" w:rsidRPr="00FD211F">
        <w:rPr>
          <w:sz w:val="36"/>
          <w:szCs w:val="36"/>
          <w:rtl/>
        </w:rPr>
        <w:t xml:space="preserve">، </w:t>
      </w:r>
      <w:r w:rsidRPr="00FD211F">
        <w:rPr>
          <w:sz w:val="36"/>
          <w:szCs w:val="36"/>
          <w:rtl/>
        </w:rPr>
        <w:t>بان يقصد الحكاي</w:t>
      </w:r>
      <w:r w:rsidR="00EC7EDF" w:rsidRPr="00FD211F">
        <w:rPr>
          <w:sz w:val="36"/>
          <w:szCs w:val="36"/>
          <w:rtl/>
        </w:rPr>
        <w:t xml:space="preserve">ة </w:t>
      </w:r>
      <w:r w:rsidRPr="00FD211F">
        <w:rPr>
          <w:sz w:val="36"/>
          <w:szCs w:val="36"/>
          <w:rtl/>
        </w:rPr>
        <w:t>عنه والدلال</w:t>
      </w:r>
      <w:r w:rsidR="00EC7EDF" w:rsidRPr="00FD211F">
        <w:rPr>
          <w:sz w:val="36"/>
          <w:szCs w:val="36"/>
          <w:rtl/>
        </w:rPr>
        <w:t xml:space="preserve">ة </w:t>
      </w:r>
      <w:r w:rsidRPr="00FD211F">
        <w:rPr>
          <w:sz w:val="36"/>
          <w:szCs w:val="36"/>
          <w:rtl/>
        </w:rPr>
        <w:t>عليه بنفسه لا</w:t>
      </w:r>
      <w:r w:rsidR="00737668" w:rsidRPr="00FD211F">
        <w:rPr>
          <w:sz w:val="36"/>
          <w:szCs w:val="36"/>
          <w:rtl/>
        </w:rPr>
        <w:t>بقرين</w:t>
      </w:r>
      <w:r w:rsidR="00EC7EDF" w:rsidRPr="00FD211F">
        <w:rPr>
          <w:sz w:val="36"/>
          <w:szCs w:val="36"/>
          <w:rtl/>
        </w:rPr>
        <w:t>ة</w:t>
      </w:r>
      <w:r w:rsidR="00603323" w:rsidRPr="00FD211F">
        <w:rPr>
          <w:sz w:val="36"/>
          <w:szCs w:val="36"/>
          <w:rtl/>
        </w:rPr>
        <w:t xml:space="preserve">، </w:t>
      </w:r>
      <w:r w:rsidRPr="00FD211F">
        <w:rPr>
          <w:sz w:val="36"/>
          <w:szCs w:val="36"/>
          <w:rtl/>
        </w:rPr>
        <w:t>كما يقول الوالد</w:t>
      </w:r>
      <w:r w:rsidR="006912A9" w:rsidRPr="00FD211F">
        <w:rPr>
          <w:sz w:val="36"/>
          <w:szCs w:val="36"/>
          <w:rtl/>
        </w:rPr>
        <w:t xml:space="preserve"> </w:t>
      </w:r>
      <w:r w:rsidR="00B21D0C" w:rsidRPr="00FD211F">
        <w:rPr>
          <w:sz w:val="36"/>
          <w:szCs w:val="36"/>
          <w:rtl/>
        </w:rPr>
        <w:t>"</w:t>
      </w:r>
      <w:r w:rsidR="00CE5A53" w:rsidRPr="00FD211F">
        <w:rPr>
          <w:sz w:val="36"/>
          <w:szCs w:val="36"/>
          <w:rtl/>
        </w:rPr>
        <w:t>جئني بولدي الحسين</w:t>
      </w:r>
      <w:r w:rsidR="00B21D0C" w:rsidRPr="00FD211F">
        <w:rPr>
          <w:sz w:val="36"/>
          <w:szCs w:val="36"/>
          <w:rtl/>
        </w:rPr>
        <w:t>"</w:t>
      </w:r>
      <w:r w:rsidR="006912A9" w:rsidRPr="00FD211F">
        <w:rPr>
          <w:sz w:val="36"/>
          <w:szCs w:val="36"/>
          <w:rtl/>
        </w:rPr>
        <w:t xml:space="preserve"> </w:t>
      </w:r>
      <w:r w:rsidR="00E67AAC" w:rsidRPr="00FD211F">
        <w:rPr>
          <w:sz w:val="36"/>
          <w:szCs w:val="36"/>
          <w:rtl/>
        </w:rPr>
        <w:t>مع ظهور حاله في كونه</w:t>
      </w:r>
      <w:r w:rsidRPr="00FD211F">
        <w:rPr>
          <w:sz w:val="36"/>
          <w:szCs w:val="36"/>
          <w:rtl/>
        </w:rPr>
        <w:t xml:space="preserve"> بصدد وضع</w:t>
      </w:r>
      <w:r w:rsidR="00DD253F" w:rsidRPr="00FD211F">
        <w:rPr>
          <w:sz w:val="36"/>
          <w:szCs w:val="36"/>
          <w:rtl/>
        </w:rPr>
        <w:t xml:space="preserve"> اسم على ولده</w:t>
      </w:r>
      <w:r w:rsidR="00737668" w:rsidRPr="00FD211F">
        <w:rPr>
          <w:sz w:val="36"/>
          <w:szCs w:val="36"/>
          <w:rtl/>
        </w:rPr>
        <w:t>.</w:t>
      </w:r>
    </w:p>
    <w:p w14:paraId="71F542B5" w14:textId="77777777" w:rsidR="00737668" w:rsidRPr="00FD211F" w:rsidRDefault="00737668" w:rsidP="009C58C8">
      <w:pPr>
        <w:ind w:left="0" w:firstLine="227"/>
        <w:jc w:val="both"/>
        <w:rPr>
          <w:sz w:val="36"/>
          <w:szCs w:val="36"/>
          <w:rtl/>
        </w:rPr>
      </w:pPr>
      <w:r w:rsidRPr="00FD211F">
        <w:rPr>
          <w:sz w:val="36"/>
          <w:szCs w:val="36"/>
          <w:rtl/>
        </w:rPr>
        <w:t xml:space="preserve">وقد </w:t>
      </w:r>
      <w:r w:rsidR="00442DEE" w:rsidRPr="00FD211F">
        <w:rPr>
          <w:sz w:val="36"/>
          <w:szCs w:val="36"/>
          <w:rtl/>
        </w:rPr>
        <w:t>أورد عليه</w:t>
      </w:r>
      <w:r w:rsidRPr="00FD211F">
        <w:rPr>
          <w:sz w:val="36"/>
          <w:szCs w:val="36"/>
          <w:rtl/>
        </w:rPr>
        <w:t xml:space="preserve"> بعد</w:t>
      </w:r>
      <w:r w:rsidR="00EC7EDF" w:rsidRPr="00FD211F">
        <w:rPr>
          <w:sz w:val="36"/>
          <w:szCs w:val="36"/>
          <w:rtl/>
        </w:rPr>
        <w:t xml:space="preserve">ة </w:t>
      </w:r>
      <w:r w:rsidRPr="00FD211F">
        <w:rPr>
          <w:sz w:val="36"/>
          <w:szCs w:val="36"/>
          <w:rtl/>
        </w:rPr>
        <w:t>ايرادات:</w:t>
      </w:r>
    </w:p>
    <w:p w14:paraId="690CFE75" w14:textId="77777777" w:rsidR="00C861C9" w:rsidRPr="00FD211F" w:rsidRDefault="00737668" w:rsidP="009C58C8">
      <w:pPr>
        <w:ind w:left="0" w:firstLine="227"/>
        <w:jc w:val="both"/>
        <w:rPr>
          <w:sz w:val="36"/>
          <w:szCs w:val="36"/>
          <w:rtl/>
        </w:rPr>
      </w:pPr>
      <w:r w:rsidRPr="00FD211F">
        <w:rPr>
          <w:sz w:val="36"/>
          <w:szCs w:val="36"/>
          <w:rtl/>
        </w:rPr>
        <w:t>1-</w:t>
      </w:r>
      <w:r w:rsidR="00E67AAC" w:rsidRPr="00FD211F">
        <w:rPr>
          <w:sz w:val="36"/>
          <w:szCs w:val="36"/>
          <w:rtl/>
        </w:rPr>
        <w:t xml:space="preserve"> ما ذكره</w:t>
      </w:r>
      <w:r w:rsidR="00442DEE" w:rsidRPr="00FD211F">
        <w:rPr>
          <w:sz w:val="36"/>
          <w:szCs w:val="36"/>
          <w:rtl/>
        </w:rPr>
        <w:t xml:space="preserve"> المحقق النائيني </w:t>
      </w:r>
      <w:r w:rsidR="00B21D0C" w:rsidRPr="00FD211F">
        <w:rPr>
          <w:sz w:val="36"/>
          <w:szCs w:val="36"/>
          <w:rtl/>
        </w:rPr>
        <w:t>"</w:t>
      </w:r>
      <w:r w:rsidR="00442DEE" w:rsidRPr="00FD211F">
        <w:rPr>
          <w:sz w:val="36"/>
          <w:szCs w:val="36"/>
          <w:rtl/>
        </w:rPr>
        <w:t>قده</w:t>
      </w:r>
      <w:r w:rsidR="00B21D0C" w:rsidRPr="00FD211F">
        <w:rPr>
          <w:sz w:val="36"/>
          <w:szCs w:val="36"/>
          <w:rtl/>
        </w:rPr>
        <w:t>"</w:t>
      </w:r>
      <w:r w:rsidR="00442DEE" w:rsidRPr="00FD211F">
        <w:rPr>
          <w:sz w:val="36"/>
          <w:szCs w:val="36"/>
          <w:rtl/>
        </w:rPr>
        <w:t xml:space="preserve"> </w:t>
      </w:r>
      <w:r w:rsidR="00E67AAC" w:rsidRPr="00FD211F">
        <w:rPr>
          <w:sz w:val="36"/>
          <w:szCs w:val="36"/>
          <w:rtl/>
        </w:rPr>
        <w:t>من انه</w:t>
      </w:r>
      <w:r w:rsidR="00442DEE" w:rsidRPr="00FD211F">
        <w:rPr>
          <w:sz w:val="36"/>
          <w:szCs w:val="36"/>
          <w:rtl/>
        </w:rPr>
        <w:t xml:space="preserve"> مستلزم لاجتماع اللحاظ الآلي والاستقلالي في لفظ واحد</w:t>
      </w:r>
      <w:r w:rsidR="00603323" w:rsidRPr="00FD211F">
        <w:rPr>
          <w:sz w:val="36"/>
          <w:szCs w:val="36"/>
          <w:rtl/>
        </w:rPr>
        <w:t xml:space="preserve">، </w:t>
      </w:r>
      <w:r w:rsidR="00442DEE" w:rsidRPr="00FD211F">
        <w:rPr>
          <w:sz w:val="36"/>
          <w:szCs w:val="36"/>
          <w:rtl/>
        </w:rPr>
        <w:t>حيث أنه في مقام الاستعمال يلحظ اللفظ فانيا في المعنى وفي مقام الوضع يلحظ اللفظ مستقلا ليوضع على المعنى</w:t>
      </w:r>
      <w:r w:rsidR="00603323" w:rsidRPr="00FD211F">
        <w:rPr>
          <w:sz w:val="36"/>
          <w:szCs w:val="36"/>
          <w:rtl/>
        </w:rPr>
        <w:t xml:space="preserve">، </w:t>
      </w:r>
      <w:r w:rsidR="00442DEE" w:rsidRPr="00FD211F">
        <w:rPr>
          <w:sz w:val="36"/>
          <w:szCs w:val="36"/>
          <w:rtl/>
        </w:rPr>
        <w:t>فلو كان المستعمل في مقام الوضع ايضا لزم اجتماع اللحاظ الآلي والاستقلالي في لفظ واحد وهو محال</w:t>
      </w:r>
      <w:r w:rsidR="009C58C8" w:rsidRPr="00FD211F">
        <w:rPr>
          <w:rStyle w:val="a6"/>
          <w:sz w:val="36"/>
          <w:szCs w:val="36"/>
          <w:rtl/>
        </w:rPr>
        <w:t>(</w:t>
      </w:r>
      <w:r w:rsidR="009C58C8" w:rsidRPr="00FD211F">
        <w:rPr>
          <w:rStyle w:val="a6"/>
          <w:sz w:val="36"/>
          <w:szCs w:val="36"/>
          <w:rtl/>
        </w:rPr>
        <w:footnoteReference w:id="127"/>
      </w:r>
      <w:r w:rsidR="009C58C8" w:rsidRPr="00FD211F">
        <w:rPr>
          <w:rStyle w:val="a6"/>
          <w:sz w:val="36"/>
          <w:szCs w:val="36"/>
          <w:rtl/>
        </w:rPr>
        <w:t>)</w:t>
      </w:r>
      <w:r w:rsidR="00603323" w:rsidRPr="00FD211F">
        <w:rPr>
          <w:sz w:val="36"/>
          <w:szCs w:val="36"/>
          <w:rtl/>
        </w:rPr>
        <w:t xml:space="preserve">، </w:t>
      </w:r>
      <w:r w:rsidR="00C861C9" w:rsidRPr="00FD211F">
        <w:rPr>
          <w:sz w:val="36"/>
          <w:szCs w:val="36"/>
          <w:rtl/>
        </w:rPr>
        <w:t>ووجه استحال</w:t>
      </w:r>
      <w:r w:rsidR="00EC7EDF" w:rsidRPr="00FD211F">
        <w:rPr>
          <w:sz w:val="36"/>
          <w:szCs w:val="36"/>
          <w:rtl/>
        </w:rPr>
        <w:t xml:space="preserve">ة </w:t>
      </w:r>
      <w:r w:rsidR="00C861C9" w:rsidRPr="00FD211F">
        <w:rPr>
          <w:sz w:val="36"/>
          <w:szCs w:val="36"/>
          <w:rtl/>
        </w:rPr>
        <w:t xml:space="preserve">اجتماع اللحاظين في لفظ واحد ان مرجعه الى التناقض لان معنى اللحاظ الآلي عدم </w:t>
      </w:r>
      <w:r w:rsidR="00DD253F" w:rsidRPr="00FD211F">
        <w:rPr>
          <w:sz w:val="36"/>
          <w:szCs w:val="36"/>
          <w:rtl/>
        </w:rPr>
        <w:t>ال</w:t>
      </w:r>
      <w:r w:rsidR="00C861C9" w:rsidRPr="00FD211F">
        <w:rPr>
          <w:sz w:val="36"/>
          <w:szCs w:val="36"/>
          <w:rtl/>
        </w:rPr>
        <w:t>لحاظ الاستقلالي</w:t>
      </w:r>
      <w:r w:rsidR="00DD253F" w:rsidRPr="00FD211F">
        <w:rPr>
          <w:sz w:val="36"/>
          <w:szCs w:val="36"/>
          <w:rtl/>
        </w:rPr>
        <w:t>.</w:t>
      </w:r>
    </w:p>
    <w:p w14:paraId="328AAD24" w14:textId="77777777" w:rsidR="00442DEE" w:rsidRPr="00FD211F" w:rsidRDefault="00442DEE" w:rsidP="009C58C8">
      <w:pPr>
        <w:ind w:left="0" w:firstLine="227"/>
        <w:jc w:val="both"/>
        <w:rPr>
          <w:sz w:val="36"/>
          <w:szCs w:val="36"/>
          <w:rtl/>
        </w:rPr>
      </w:pPr>
      <w:r w:rsidRPr="00FD211F">
        <w:rPr>
          <w:sz w:val="36"/>
          <w:szCs w:val="36"/>
          <w:rtl/>
        </w:rPr>
        <w:t>و</w:t>
      </w:r>
      <w:r w:rsidR="00562157" w:rsidRPr="00FD211F">
        <w:rPr>
          <w:sz w:val="36"/>
          <w:szCs w:val="36"/>
          <w:rtl/>
        </w:rPr>
        <w:t>قرب</w:t>
      </w:r>
      <w:r w:rsidRPr="00FD211F">
        <w:rPr>
          <w:sz w:val="36"/>
          <w:szCs w:val="36"/>
          <w:rtl/>
        </w:rPr>
        <w:t xml:space="preserve"> المحقق الاصفهاني</w:t>
      </w:r>
      <w:r w:rsidR="00A61BAE" w:rsidRPr="00FD211F">
        <w:rPr>
          <w:sz w:val="36"/>
          <w:szCs w:val="36"/>
          <w:rtl/>
        </w:rPr>
        <w:t xml:space="preserve"> </w:t>
      </w:r>
      <w:r w:rsidR="006912A9" w:rsidRPr="00FD211F">
        <w:rPr>
          <w:sz w:val="36"/>
          <w:szCs w:val="36"/>
          <w:rtl/>
        </w:rPr>
        <w:t>"قده"</w:t>
      </w:r>
      <w:r w:rsidR="00A61BAE" w:rsidRPr="00FD211F">
        <w:rPr>
          <w:sz w:val="36"/>
          <w:szCs w:val="36"/>
          <w:rtl/>
        </w:rPr>
        <w:t xml:space="preserve"> </w:t>
      </w:r>
      <w:r w:rsidR="00562157" w:rsidRPr="00FD211F">
        <w:rPr>
          <w:sz w:val="36"/>
          <w:szCs w:val="36"/>
          <w:rtl/>
        </w:rPr>
        <w:t>هذا الإيراد ب</w:t>
      </w:r>
      <w:r w:rsidRPr="00FD211F">
        <w:rPr>
          <w:sz w:val="36"/>
          <w:szCs w:val="36"/>
          <w:rtl/>
        </w:rPr>
        <w:t>انه يستلزم اجتماع لحاظين في حكاي</w:t>
      </w:r>
      <w:r w:rsidR="00EC7EDF" w:rsidRPr="00FD211F">
        <w:rPr>
          <w:sz w:val="36"/>
          <w:szCs w:val="36"/>
          <w:rtl/>
        </w:rPr>
        <w:t xml:space="preserve">ة </w:t>
      </w:r>
      <w:r w:rsidRPr="00FD211F">
        <w:rPr>
          <w:sz w:val="36"/>
          <w:szCs w:val="36"/>
          <w:rtl/>
        </w:rPr>
        <w:t>اللفظ عن المعنى</w:t>
      </w:r>
      <w:r w:rsidR="00603323" w:rsidRPr="00FD211F">
        <w:rPr>
          <w:sz w:val="36"/>
          <w:szCs w:val="36"/>
          <w:rtl/>
        </w:rPr>
        <w:t xml:space="preserve">، </w:t>
      </w:r>
      <w:r w:rsidRPr="00FD211F">
        <w:rPr>
          <w:sz w:val="36"/>
          <w:szCs w:val="36"/>
          <w:rtl/>
        </w:rPr>
        <w:t>حيث أنه في مقام الاستعمال تلحظ حكاي</w:t>
      </w:r>
      <w:r w:rsidR="00EC7EDF" w:rsidRPr="00FD211F">
        <w:rPr>
          <w:sz w:val="36"/>
          <w:szCs w:val="36"/>
          <w:rtl/>
        </w:rPr>
        <w:t xml:space="preserve">ة </w:t>
      </w:r>
      <w:r w:rsidRPr="00FD211F">
        <w:rPr>
          <w:sz w:val="36"/>
          <w:szCs w:val="36"/>
          <w:rtl/>
        </w:rPr>
        <w:t xml:space="preserve">اللفظ عن المعنى </w:t>
      </w:r>
      <w:r w:rsidR="000B7223" w:rsidRPr="00FD211F">
        <w:rPr>
          <w:sz w:val="36"/>
          <w:szCs w:val="36"/>
          <w:rtl/>
        </w:rPr>
        <w:t>بلحاظ فنائي</w:t>
      </w:r>
      <w:r w:rsidR="008408C2" w:rsidRPr="00FD211F">
        <w:rPr>
          <w:sz w:val="36"/>
          <w:szCs w:val="36"/>
          <w:rtl/>
        </w:rPr>
        <w:t xml:space="preserve"> –حيث تلحظ </w:t>
      </w:r>
      <w:r w:rsidRPr="00FD211F">
        <w:rPr>
          <w:sz w:val="36"/>
          <w:szCs w:val="36"/>
          <w:rtl/>
        </w:rPr>
        <w:t>فاني</w:t>
      </w:r>
      <w:r w:rsidR="00EC7EDF" w:rsidRPr="00FD211F">
        <w:rPr>
          <w:sz w:val="36"/>
          <w:szCs w:val="36"/>
          <w:rtl/>
        </w:rPr>
        <w:t xml:space="preserve">ة </w:t>
      </w:r>
      <w:r w:rsidRPr="00FD211F">
        <w:rPr>
          <w:sz w:val="36"/>
          <w:szCs w:val="36"/>
          <w:rtl/>
        </w:rPr>
        <w:t xml:space="preserve">في المحكي </w:t>
      </w:r>
      <w:r w:rsidR="008408C2" w:rsidRPr="00FD211F">
        <w:rPr>
          <w:sz w:val="36"/>
          <w:szCs w:val="36"/>
          <w:rtl/>
        </w:rPr>
        <w:t>–</w:t>
      </w:r>
      <w:r w:rsidRPr="00FD211F">
        <w:rPr>
          <w:sz w:val="36"/>
          <w:szCs w:val="36"/>
          <w:rtl/>
        </w:rPr>
        <w:t>و</w:t>
      </w:r>
      <w:r w:rsidR="008408C2" w:rsidRPr="00FD211F">
        <w:rPr>
          <w:sz w:val="36"/>
          <w:szCs w:val="36"/>
          <w:rtl/>
        </w:rPr>
        <w:t xml:space="preserve">لكنه </w:t>
      </w:r>
      <w:r w:rsidRPr="00FD211F">
        <w:rPr>
          <w:sz w:val="36"/>
          <w:szCs w:val="36"/>
          <w:rtl/>
        </w:rPr>
        <w:t>في مقام الوضع تلحظ حكاي</w:t>
      </w:r>
      <w:r w:rsidR="00EC7EDF" w:rsidRPr="00FD211F">
        <w:rPr>
          <w:sz w:val="36"/>
          <w:szCs w:val="36"/>
          <w:rtl/>
        </w:rPr>
        <w:t xml:space="preserve">ة </w:t>
      </w:r>
      <w:r w:rsidRPr="00FD211F">
        <w:rPr>
          <w:sz w:val="36"/>
          <w:szCs w:val="36"/>
          <w:rtl/>
        </w:rPr>
        <w:t xml:space="preserve">اللفظ عن المعنى </w:t>
      </w:r>
      <w:r w:rsidR="008408C2" w:rsidRPr="00FD211F">
        <w:rPr>
          <w:sz w:val="36"/>
          <w:szCs w:val="36"/>
          <w:rtl/>
        </w:rPr>
        <w:t>بلحاظ است</w:t>
      </w:r>
      <w:r w:rsidRPr="00FD211F">
        <w:rPr>
          <w:sz w:val="36"/>
          <w:szCs w:val="36"/>
          <w:rtl/>
        </w:rPr>
        <w:t>قل</w:t>
      </w:r>
      <w:r w:rsidR="008408C2" w:rsidRPr="00FD211F">
        <w:rPr>
          <w:sz w:val="36"/>
          <w:szCs w:val="36"/>
          <w:rtl/>
        </w:rPr>
        <w:t>الي</w:t>
      </w:r>
      <w:r w:rsidRPr="00FD211F">
        <w:rPr>
          <w:sz w:val="36"/>
          <w:szCs w:val="36"/>
          <w:rtl/>
        </w:rPr>
        <w:t xml:space="preserve"> كي توجد هذه الحكاي</w:t>
      </w:r>
      <w:r w:rsidR="00EC7EDF" w:rsidRPr="00FD211F">
        <w:rPr>
          <w:sz w:val="36"/>
          <w:szCs w:val="36"/>
          <w:rtl/>
        </w:rPr>
        <w:t xml:space="preserve">ة </w:t>
      </w:r>
      <w:r w:rsidRPr="00FD211F">
        <w:rPr>
          <w:sz w:val="36"/>
          <w:szCs w:val="36"/>
          <w:rtl/>
        </w:rPr>
        <w:t>والدلال</w:t>
      </w:r>
      <w:r w:rsidR="00EC7EDF" w:rsidRPr="00FD211F">
        <w:rPr>
          <w:sz w:val="36"/>
          <w:szCs w:val="36"/>
          <w:rtl/>
        </w:rPr>
        <w:t xml:space="preserve">ة </w:t>
      </w:r>
      <w:r w:rsidRPr="00FD211F">
        <w:rPr>
          <w:sz w:val="36"/>
          <w:szCs w:val="36"/>
          <w:rtl/>
        </w:rPr>
        <w:t>بالوضع</w:t>
      </w:r>
      <w:r w:rsidR="008408C2" w:rsidRPr="00FD211F">
        <w:rPr>
          <w:sz w:val="36"/>
          <w:szCs w:val="36"/>
          <w:rtl/>
        </w:rPr>
        <w:t xml:space="preserve"> </w:t>
      </w:r>
      <w:r w:rsidR="000B7223" w:rsidRPr="00FD211F">
        <w:rPr>
          <w:sz w:val="36"/>
          <w:szCs w:val="36"/>
          <w:rtl/>
        </w:rPr>
        <w:t>واجتماع الحاظ الفنائي</w:t>
      </w:r>
      <w:r w:rsidR="008408C2" w:rsidRPr="00FD211F">
        <w:rPr>
          <w:sz w:val="36"/>
          <w:szCs w:val="36"/>
          <w:rtl/>
        </w:rPr>
        <w:t xml:space="preserve"> والاستقلالي في موردواحدمحال</w:t>
      </w:r>
      <w:r w:rsidR="009C58C8" w:rsidRPr="00FD211F">
        <w:rPr>
          <w:rStyle w:val="a6"/>
          <w:sz w:val="36"/>
          <w:szCs w:val="36"/>
          <w:rtl/>
        </w:rPr>
        <w:t>(</w:t>
      </w:r>
      <w:r w:rsidR="009C58C8" w:rsidRPr="00FD211F">
        <w:rPr>
          <w:rStyle w:val="a6"/>
          <w:sz w:val="36"/>
          <w:szCs w:val="36"/>
          <w:rtl/>
        </w:rPr>
        <w:footnoteReference w:id="128"/>
      </w:r>
      <w:r w:rsidR="009C58C8" w:rsidRPr="00FD211F">
        <w:rPr>
          <w:rStyle w:val="a6"/>
          <w:sz w:val="36"/>
          <w:szCs w:val="36"/>
          <w:rtl/>
        </w:rPr>
        <w:t>)</w:t>
      </w:r>
      <w:r w:rsidR="00C861C9" w:rsidRPr="00FD211F">
        <w:rPr>
          <w:sz w:val="36"/>
          <w:szCs w:val="36"/>
          <w:rtl/>
        </w:rPr>
        <w:t>.</w:t>
      </w:r>
    </w:p>
    <w:p w14:paraId="0D21015E" w14:textId="77777777" w:rsidR="000C5BBA" w:rsidRPr="00FD211F" w:rsidRDefault="00E27A07" w:rsidP="009C58C8">
      <w:pPr>
        <w:ind w:left="0" w:firstLine="227"/>
        <w:jc w:val="both"/>
        <w:rPr>
          <w:sz w:val="36"/>
          <w:szCs w:val="36"/>
          <w:rtl/>
        </w:rPr>
      </w:pPr>
      <w:r w:rsidRPr="00FD211F">
        <w:rPr>
          <w:sz w:val="36"/>
          <w:szCs w:val="36"/>
          <w:rtl/>
        </w:rPr>
        <w:t>ولكن</w:t>
      </w:r>
      <w:r w:rsidR="00747E3A" w:rsidRPr="00FD211F">
        <w:rPr>
          <w:sz w:val="36"/>
          <w:szCs w:val="36"/>
          <w:rtl/>
        </w:rPr>
        <w:t xml:space="preserve"> يمكن ان</w:t>
      </w:r>
      <w:r w:rsidRPr="00FD211F">
        <w:rPr>
          <w:sz w:val="36"/>
          <w:szCs w:val="36"/>
          <w:rtl/>
        </w:rPr>
        <w:t xml:space="preserve"> يجاب ع</w:t>
      </w:r>
      <w:r w:rsidR="00562157" w:rsidRPr="00FD211F">
        <w:rPr>
          <w:sz w:val="36"/>
          <w:szCs w:val="36"/>
          <w:rtl/>
        </w:rPr>
        <w:t>ن هذا الايراد</w:t>
      </w:r>
      <w:r w:rsidR="00747E3A" w:rsidRPr="00FD211F">
        <w:rPr>
          <w:sz w:val="36"/>
          <w:szCs w:val="36"/>
          <w:rtl/>
        </w:rPr>
        <w:t xml:space="preserve"> </w:t>
      </w:r>
      <w:r w:rsidR="00747E3A" w:rsidRPr="00FD211F">
        <w:rPr>
          <w:b/>
          <w:bCs/>
          <w:sz w:val="36"/>
          <w:szCs w:val="36"/>
          <w:rtl/>
        </w:rPr>
        <w:t>اولا</w:t>
      </w:r>
      <w:r w:rsidR="00747E3A" w:rsidRPr="00FD211F">
        <w:rPr>
          <w:sz w:val="36"/>
          <w:szCs w:val="36"/>
          <w:rtl/>
        </w:rPr>
        <w:t>:</w:t>
      </w:r>
      <w:r w:rsidRPr="00FD211F">
        <w:rPr>
          <w:sz w:val="36"/>
          <w:szCs w:val="36"/>
          <w:rtl/>
        </w:rPr>
        <w:t xml:space="preserve"> بانكار تقوّم الاستعمال بلحاظ اللفظ فانيا في المعنى فانه لامانع من لحاظ اللفظ حين الاستعمال استقلالا</w:t>
      </w:r>
      <w:r w:rsidR="00603323" w:rsidRPr="00FD211F">
        <w:rPr>
          <w:sz w:val="36"/>
          <w:szCs w:val="36"/>
          <w:rtl/>
        </w:rPr>
        <w:t xml:space="preserve">، </w:t>
      </w:r>
      <w:r w:rsidR="00747E3A" w:rsidRPr="00FD211F">
        <w:rPr>
          <w:sz w:val="36"/>
          <w:szCs w:val="36"/>
          <w:rtl/>
        </w:rPr>
        <w:t>كما نرى ان الخطيب يختار كلمات جميل</w:t>
      </w:r>
      <w:r w:rsidR="00EC7EDF" w:rsidRPr="00FD211F">
        <w:rPr>
          <w:sz w:val="36"/>
          <w:szCs w:val="36"/>
          <w:rtl/>
        </w:rPr>
        <w:t xml:space="preserve">ة </w:t>
      </w:r>
      <w:r w:rsidR="00747E3A" w:rsidRPr="00FD211F">
        <w:rPr>
          <w:sz w:val="36"/>
          <w:szCs w:val="36"/>
          <w:rtl/>
        </w:rPr>
        <w:t>في مقام الاستعمال</w:t>
      </w:r>
      <w:r w:rsidR="00603323" w:rsidRPr="00FD211F">
        <w:rPr>
          <w:sz w:val="36"/>
          <w:szCs w:val="36"/>
          <w:rtl/>
        </w:rPr>
        <w:t xml:space="preserve">، </w:t>
      </w:r>
      <w:r w:rsidR="00747E3A" w:rsidRPr="00FD211F">
        <w:rPr>
          <w:sz w:val="36"/>
          <w:szCs w:val="36"/>
          <w:rtl/>
        </w:rPr>
        <w:t>وهذا لاينافي قصد حكايته للمعنى</w:t>
      </w:r>
      <w:r w:rsidR="00603323" w:rsidRPr="00FD211F">
        <w:rPr>
          <w:sz w:val="36"/>
          <w:szCs w:val="36"/>
          <w:rtl/>
        </w:rPr>
        <w:t xml:space="preserve">، </w:t>
      </w:r>
      <w:r w:rsidR="00747E3A" w:rsidRPr="00FD211F">
        <w:rPr>
          <w:sz w:val="36"/>
          <w:szCs w:val="36"/>
          <w:rtl/>
        </w:rPr>
        <w:t>كما لامانع وجدانا من لحاظ حكاي</w:t>
      </w:r>
      <w:r w:rsidR="00EC7EDF" w:rsidRPr="00FD211F">
        <w:rPr>
          <w:sz w:val="36"/>
          <w:szCs w:val="36"/>
          <w:rtl/>
        </w:rPr>
        <w:t xml:space="preserve">ة </w:t>
      </w:r>
      <w:r w:rsidR="00747E3A" w:rsidRPr="00FD211F">
        <w:rPr>
          <w:sz w:val="36"/>
          <w:szCs w:val="36"/>
          <w:rtl/>
        </w:rPr>
        <w:t>اللفظ عن معناه -حين استعماله فيه- باللحاظ الاستقلالي</w:t>
      </w:r>
      <w:r w:rsidR="00D835A3" w:rsidRPr="00FD211F">
        <w:rPr>
          <w:sz w:val="36"/>
          <w:szCs w:val="36"/>
          <w:rtl/>
        </w:rPr>
        <w:t>.</w:t>
      </w:r>
    </w:p>
    <w:p w14:paraId="463E2AF8" w14:textId="77777777" w:rsidR="00322960" w:rsidRPr="00FD211F" w:rsidRDefault="00562157" w:rsidP="009C58C8">
      <w:pPr>
        <w:ind w:left="0" w:firstLine="227"/>
        <w:jc w:val="both"/>
        <w:rPr>
          <w:sz w:val="36"/>
          <w:szCs w:val="36"/>
          <w:rtl/>
        </w:rPr>
      </w:pPr>
      <w:r w:rsidRPr="00FD211F">
        <w:rPr>
          <w:b/>
          <w:bCs/>
          <w:sz w:val="36"/>
          <w:szCs w:val="36"/>
          <w:rtl/>
        </w:rPr>
        <w:t>وثانيا:</w:t>
      </w:r>
      <w:r w:rsidR="00F67C12" w:rsidRPr="00FD211F">
        <w:rPr>
          <w:sz w:val="36"/>
          <w:szCs w:val="36"/>
          <w:rtl/>
        </w:rPr>
        <w:t xml:space="preserve"> بما حكي عن </w:t>
      </w:r>
      <w:r w:rsidR="00322960" w:rsidRPr="00FD211F">
        <w:rPr>
          <w:sz w:val="36"/>
          <w:szCs w:val="36"/>
          <w:rtl/>
        </w:rPr>
        <w:t xml:space="preserve">المحقق العراقي </w:t>
      </w:r>
      <w:r w:rsidR="00EC7EDF" w:rsidRPr="00FD211F">
        <w:rPr>
          <w:sz w:val="36"/>
          <w:szCs w:val="36"/>
          <w:rtl/>
        </w:rPr>
        <w:t xml:space="preserve">"قده" </w:t>
      </w:r>
      <w:r w:rsidR="00322960" w:rsidRPr="00FD211F">
        <w:rPr>
          <w:sz w:val="36"/>
          <w:szCs w:val="36"/>
          <w:rtl/>
        </w:rPr>
        <w:t>من ان ما وضع للدلال</w:t>
      </w:r>
      <w:r w:rsidR="00EC7EDF" w:rsidRPr="00FD211F">
        <w:rPr>
          <w:sz w:val="36"/>
          <w:szCs w:val="36"/>
          <w:rtl/>
        </w:rPr>
        <w:t xml:space="preserve">ة </w:t>
      </w:r>
      <w:r w:rsidR="00322960" w:rsidRPr="00FD211F">
        <w:rPr>
          <w:sz w:val="36"/>
          <w:szCs w:val="36"/>
          <w:rtl/>
        </w:rPr>
        <w:t>على المعنى هو طبيعي اللفظ فيكون هو الملحوظ استقلالا وما استعمل في المعنى انما هو شخص هذا اللفظ المستعمل في الكلام فيكون هو الملحوظ آليا</w:t>
      </w:r>
      <w:r w:rsidR="00603323" w:rsidRPr="00FD211F">
        <w:rPr>
          <w:sz w:val="36"/>
          <w:szCs w:val="36"/>
          <w:rtl/>
        </w:rPr>
        <w:t xml:space="preserve">، </w:t>
      </w:r>
      <w:r w:rsidR="00DD253F" w:rsidRPr="00FD211F">
        <w:rPr>
          <w:sz w:val="36"/>
          <w:szCs w:val="36"/>
          <w:rtl/>
        </w:rPr>
        <w:t>ف</w:t>
      </w:r>
      <w:r w:rsidR="00322960" w:rsidRPr="00FD211F">
        <w:rPr>
          <w:sz w:val="36"/>
          <w:szCs w:val="36"/>
          <w:rtl/>
        </w:rPr>
        <w:t xml:space="preserve">لم يجتمع اللحاظ الآلي والاستقلالي في </w:t>
      </w:r>
      <w:r w:rsidR="00D835A3" w:rsidRPr="00FD211F">
        <w:rPr>
          <w:sz w:val="36"/>
          <w:szCs w:val="36"/>
          <w:rtl/>
        </w:rPr>
        <w:t>مورد واحد</w:t>
      </w:r>
      <w:r w:rsidR="00085755" w:rsidRPr="00FD211F">
        <w:rPr>
          <w:rStyle w:val="a6"/>
          <w:sz w:val="36"/>
          <w:szCs w:val="36"/>
          <w:rtl/>
        </w:rPr>
        <w:t xml:space="preserve"> </w:t>
      </w:r>
      <w:r w:rsidR="00322960" w:rsidRPr="00FD211F">
        <w:rPr>
          <w:sz w:val="36"/>
          <w:szCs w:val="36"/>
          <w:rtl/>
        </w:rPr>
        <w:t>وهو متين.</w:t>
      </w:r>
    </w:p>
    <w:p w14:paraId="5A03524B" w14:textId="77777777" w:rsidR="00C1520B" w:rsidRPr="00FD211F" w:rsidRDefault="00562157" w:rsidP="009C58C8">
      <w:pPr>
        <w:ind w:left="0" w:firstLine="227"/>
        <w:jc w:val="both"/>
        <w:rPr>
          <w:sz w:val="36"/>
          <w:szCs w:val="36"/>
          <w:rtl/>
        </w:rPr>
      </w:pPr>
      <w:r w:rsidRPr="00FD211F">
        <w:rPr>
          <w:sz w:val="36"/>
          <w:szCs w:val="36"/>
          <w:rtl/>
        </w:rPr>
        <w:t>2- ما حكي عن المحقق العراقي</w:t>
      </w:r>
      <w:r w:rsidR="00A61BAE" w:rsidRPr="00FD211F">
        <w:rPr>
          <w:sz w:val="36"/>
          <w:szCs w:val="36"/>
          <w:rtl/>
        </w:rPr>
        <w:t xml:space="preserve"> </w:t>
      </w:r>
      <w:r w:rsidR="006912A9" w:rsidRPr="00FD211F">
        <w:rPr>
          <w:sz w:val="36"/>
          <w:szCs w:val="36"/>
          <w:rtl/>
        </w:rPr>
        <w:t>"قده"</w:t>
      </w:r>
      <w:r w:rsidR="00A61BAE" w:rsidRPr="00FD211F">
        <w:rPr>
          <w:sz w:val="36"/>
          <w:szCs w:val="36"/>
          <w:rtl/>
        </w:rPr>
        <w:t xml:space="preserve"> </w:t>
      </w:r>
      <w:r w:rsidRPr="00FD211F">
        <w:rPr>
          <w:sz w:val="36"/>
          <w:szCs w:val="36"/>
          <w:rtl/>
        </w:rPr>
        <w:t xml:space="preserve">من </w:t>
      </w:r>
      <w:r w:rsidR="00322960" w:rsidRPr="00FD211F">
        <w:rPr>
          <w:sz w:val="36"/>
          <w:szCs w:val="36"/>
          <w:rtl/>
        </w:rPr>
        <w:t>ان استعمال اللفظ في معنى للدلال</w:t>
      </w:r>
      <w:r w:rsidR="00EC7EDF" w:rsidRPr="00FD211F">
        <w:rPr>
          <w:sz w:val="36"/>
          <w:szCs w:val="36"/>
          <w:rtl/>
        </w:rPr>
        <w:t xml:space="preserve">ة </w:t>
      </w:r>
      <w:r w:rsidR="00322960" w:rsidRPr="00FD211F">
        <w:rPr>
          <w:sz w:val="36"/>
          <w:szCs w:val="36"/>
          <w:rtl/>
        </w:rPr>
        <w:t>عليه يتوقف على كون اللفظ مستعدّا ل</w:t>
      </w:r>
      <w:r w:rsidR="00DD253F" w:rsidRPr="00FD211F">
        <w:rPr>
          <w:sz w:val="36"/>
          <w:szCs w:val="36"/>
          <w:rtl/>
        </w:rPr>
        <w:t xml:space="preserve">دلالته على </w:t>
      </w:r>
      <w:r w:rsidR="00322960" w:rsidRPr="00FD211F">
        <w:rPr>
          <w:sz w:val="36"/>
          <w:szCs w:val="36"/>
          <w:rtl/>
        </w:rPr>
        <w:t>ذلك</w:t>
      </w:r>
      <w:r w:rsidR="00DD253F" w:rsidRPr="00FD211F">
        <w:rPr>
          <w:sz w:val="36"/>
          <w:szCs w:val="36"/>
          <w:rtl/>
        </w:rPr>
        <w:t xml:space="preserve"> المعنى</w:t>
      </w:r>
      <w:r w:rsidR="00603323" w:rsidRPr="00FD211F">
        <w:rPr>
          <w:sz w:val="36"/>
          <w:szCs w:val="36"/>
          <w:rtl/>
        </w:rPr>
        <w:t xml:space="preserve">، </w:t>
      </w:r>
      <w:r w:rsidR="00322960" w:rsidRPr="00FD211F">
        <w:rPr>
          <w:sz w:val="36"/>
          <w:szCs w:val="36"/>
          <w:rtl/>
        </w:rPr>
        <w:t>واستعداده له</w:t>
      </w:r>
      <w:r w:rsidR="00DD253F" w:rsidRPr="00FD211F">
        <w:rPr>
          <w:sz w:val="36"/>
          <w:szCs w:val="36"/>
          <w:rtl/>
        </w:rPr>
        <w:t>ا</w:t>
      </w:r>
      <w:r w:rsidR="00322960" w:rsidRPr="00FD211F">
        <w:rPr>
          <w:sz w:val="36"/>
          <w:szCs w:val="36"/>
          <w:rtl/>
        </w:rPr>
        <w:t xml:space="preserve"> يتوقف على الوضع وهو لايحصل </w:t>
      </w:r>
      <w:r w:rsidR="00C1520B" w:rsidRPr="00FD211F">
        <w:rPr>
          <w:sz w:val="36"/>
          <w:szCs w:val="36"/>
          <w:rtl/>
        </w:rPr>
        <w:t>الا باستعماله فيه فيلزم الدور.</w:t>
      </w:r>
    </w:p>
    <w:p w14:paraId="4C78FE28" w14:textId="77777777" w:rsidR="00322960" w:rsidRPr="00FD211F" w:rsidRDefault="00D835A3" w:rsidP="009C58C8">
      <w:pPr>
        <w:ind w:left="0" w:firstLine="227"/>
        <w:jc w:val="both"/>
        <w:rPr>
          <w:sz w:val="36"/>
          <w:szCs w:val="36"/>
          <w:rtl/>
        </w:rPr>
      </w:pPr>
      <w:r w:rsidRPr="00FD211F">
        <w:rPr>
          <w:sz w:val="36"/>
          <w:szCs w:val="36"/>
          <w:rtl/>
        </w:rPr>
        <w:t xml:space="preserve">ثم </w:t>
      </w:r>
      <w:r w:rsidR="00322960" w:rsidRPr="00FD211F">
        <w:rPr>
          <w:sz w:val="36"/>
          <w:szCs w:val="36"/>
          <w:rtl/>
        </w:rPr>
        <w:t>أجاب عنه بان الاستعمال يتوقف على كون اللفظ مستعدّا للدلال</w:t>
      </w:r>
      <w:r w:rsidR="00EC7EDF" w:rsidRPr="00FD211F">
        <w:rPr>
          <w:sz w:val="36"/>
          <w:szCs w:val="36"/>
          <w:rtl/>
        </w:rPr>
        <w:t xml:space="preserve">ة </w:t>
      </w:r>
      <w:r w:rsidR="00322960" w:rsidRPr="00FD211F">
        <w:rPr>
          <w:sz w:val="36"/>
          <w:szCs w:val="36"/>
          <w:rtl/>
        </w:rPr>
        <w:t>على المعنى في ظرف الاستعمال</w:t>
      </w:r>
      <w:r w:rsidR="00603323" w:rsidRPr="00FD211F">
        <w:rPr>
          <w:sz w:val="36"/>
          <w:szCs w:val="36"/>
          <w:rtl/>
        </w:rPr>
        <w:t xml:space="preserve">، </w:t>
      </w:r>
      <w:r w:rsidR="00322960" w:rsidRPr="00FD211F">
        <w:rPr>
          <w:sz w:val="36"/>
          <w:szCs w:val="36"/>
          <w:rtl/>
        </w:rPr>
        <w:t>وهذا المقدار من الاستعداد حاصل في ظرف</w:t>
      </w:r>
      <w:r w:rsidR="00DD253F" w:rsidRPr="00FD211F">
        <w:rPr>
          <w:sz w:val="36"/>
          <w:szCs w:val="36"/>
          <w:rtl/>
        </w:rPr>
        <w:t xml:space="preserve"> هذا الاستعمال الذي توجد قرين</w:t>
      </w:r>
      <w:r w:rsidR="00EC7EDF" w:rsidRPr="00FD211F">
        <w:rPr>
          <w:sz w:val="36"/>
          <w:szCs w:val="36"/>
          <w:rtl/>
        </w:rPr>
        <w:t xml:space="preserve">ة </w:t>
      </w:r>
      <w:r w:rsidR="00DD253F" w:rsidRPr="00FD211F">
        <w:rPr>
          <w:sz w:val="36"/>
          <w:szCs w:val="36"/>
          <w:rtl/>
        </w:rPr>
        <w:t>على كون المستعمل</w:t>
      </w:r>
      <w:r w:rsidR="00322960" w:rsidRPr="00FD211F">
        <w:rPr>
          <w:sz w:val="36"/>
          <w:szCs w:val="36"/>
          <w:rtl/>
        </w:rPr>
        <w:t xml:space="preserve"> في مقام تحصيل الوضع به</w:t>
      </w:r>
      <w:r w:rsidR="00DD253F" w:rsidRPr="00FD211F">
        <w:rPr>
          <w:sz w:val="36"/>
          <w:szCs w:val="36"/>
          <w:rtl/>
        </w:rPr>
        <w:t xml:space="preserve"> أيضا</w:t>
      </w:r>
      <w:r w:rsidR="00603323" w:rsidRPr="00FD211F">
        <w:rPr>
          <w:sz w:val="36"/>
          <w:szCs w:val="36"/>
          <w:rtl/>
        </w:rPr>
        <w:t xml:space="preserve">، </w:t>
      </w:r>
      <w:r w:rsidR="00322960" w:rsidRPr="00FD211F">
        <w:rPr>
          <w:sz w:val="36"/>
          <w:szCs w:val="36"/>
          <w:rtl/>
        </w:rPr>
        <w:t>وذلك لان القرين</w:t>
      </w:r>
      <w:r w:rsidR="00EC7EDF" w:rsidRPr="00FD211F">
        <w:rPr>
          <w:sz w:val="36"/>
          <w:szCs w:val="36"/>
          <w:rtl/>
        </w:rPr>
        <w:t xml:space="preserve">ة </w:t>
      </w:r>
      <w:r w:rsidR="008B3E7E" w:rsidRPr="00FD211F">
        <w:rPr>
          <w:sz w:val="36"/>
          <w:szCs w:val="36"/>
          <w:rtl/>
        </w:rPr>
        <w:t>تؤهل اللفظ في وقته للدلال</w:t>
      </w:r>
      <w:r w:rsidR="00EC7EDF" w:rsidRPr="00FD211F">
        <w:rPr>
          <w:sz w:val="36"/>
          <w:szCs w:val="36"/>
          <w:rtl/>
        </w:rPr>
        <w:t xml:space="preserve">ة </w:t>
      </w:r>
      <w:r w:rsidR="008B3E7E" w:rsidRPr="00FD211F">
        <w:rPr>
          <w:sz w:val="36"/>
          <w:szCs w:val="36"/>
          <w:rtl/>
        </w:rPr>
        <w:t>على المعنى</w:t>
      </w:r>
      <w:r w:rsidR="009C58C8" w:rsidRPr="00FD211F">
        <w:rPr>
          <w:rStyle w:val="a6"/>
          <w:sz w:val="36"/>
          <w:szCs w:val="36"/>
          <w:rtl/>
        </w:rPr>
        <w:t>(</w:t>
      </w:r>
      <w:r w:rsidR="009C58C8" w:rsidRPr="00FD211F">
        <w:rPr>
          <w:rStyle w:val="a6"/>
          <w:sz w:val="36"/>
          <w:szCs w:val="36"/>
          <w:rtl/>
        </w:rPr>
        <w:footnoteReference w:id="129"/>
      </w:r>
      <w:r w:rsidR="009C58C8" w:rsidRPr="00FD211F">
        <w:rPr>
          <w:rStyle w:val="a6"/>
          <w:sz w:val="36"/>
          <w:szCs w:val="36"/>
          <w:rtl/>
        </w:rPr>
        <w:t>)</w:t>
      </w:r>
      <w:r w:rsidR="00603323" w:rsidRPr="00FD211F">
        <w:rPr>
          <w:sz w:val="36"/>
          <w:szCs w:val="36"/>
          <w:rtl/>
        </w:rPr>
        <w:t xml:space="preserve">، </w:t>
      </w:r>
      <w:r w:rsidR="00DD253F" w:rsidRPr="00FD211F">
        <w:rPr>
          <w:sz w:val="36"/>
          <w:szCs w:val="36"/>
          <w:rtl/>
        </w:rPr>
        <w:t>وما افاده متين جدّا</w:t>
      </w:r>
      <w:r w:rsidR="00562157" w:rsidRPr="00FD211F">
        <w:rPr>
          <w:sz w:val="36"/>
          <w:szCs w:val="36"/>
          <w:rtl/>
        </w:rPr>
        <w:t>.</w:t>
      </w:r>
    </w:p>
    <w:p w14:paraId="58BB287C" w14:textId="77777777" w:rsidR="00FB00C4" w:rsidRPr="00FD211F" w:rsidRDefault="00562157" w:rsidP="009C58C8">
      <w:pPr>
        <w:ind w:left="0" w:firstLine="227"/>
        <w:jc w:val="both"/>
        <w:rPr>
          <w:sz w:val="36"/>
          <w:szCs w:val="36"/>
          <w:rtl/>
        </w:rPr>
      </w:pPr>
      <w:r w:rsidRPr="00FD211F">
        <w:rPr>
          <w:sz w:val="36"/>
          <w:szCs w:val="36"/>
          <w:rtl/>
        </w:rPr>
        <w:t>3-ما قد يقال من ان الاستعمال المذكور ليس حقيقيا ولامجازيا</w:t>
      </w:r>
      <w:r w:rsidR="00603323" w:rsidRPr="00FD211F">
        <w:rPr>
          <w:sz w:val="36"/>
          <w:szCs w:val="36"/>
          <w:rtl/>
        </w:rPr>
        <w:t xml:space="preserve">، </w:t>
      </w:r>
      <w:r w:rsidRPr="00FD211F">
        <w:rPr>
          <w:sz w:val="36"/>
          <w:szCs w:val="36"/>
          <w:rtl/>
        </w:rPr>
        <w:t>اذ الاستعمال الحقيقي موقوف على الوضع</w:t>
      </w:r>
      <w:r w:rsidR="00603323" w:rsidRPr="00FD211F">
        <w:rPr>
          <w:sz w:val="36"/>
          <w:szCs w:val="36"/>
          <w:rtl/>
        </w:rPr>
        <w:t xml:space="preserve">، </w:t>
      </w:r>
      <w:r w:rsidRPr="00FD211F">
        <w:rPr>
          <w:sz w:val="36"/>
          <w:szCs w:val="36"/>
          <w:rtl/>
        </w:rPr>
        <w:t>والمفروض</w:t>
      </w:r>
      <w:r w:rsidR="00DD253F" w:rsidRPr="00FD211F">
        <w:rPr>
          <w:sz w:val="36"/>
          <w:szCs w:val="36"/>
          <w:rtl/>
        </w:rPr>
        <w:t xml:space="preserve"> عدم وضع اللفظ على هذا المعنى </w:t>
      </w:r>
      <w:r w:rsidRPr="00FD211F">
        <w:rPr>
          <w:sz w:val="36"/>
          <w:szCs w:val="36"/>
          <w:rtl/>
        </w:rPr>
        <w:t>سابقا</w:t>
      </w:r>
      <w:r w:rsidR="00603323" w:rsidRPr="00FD211F">
        <w:rPr>
          <w:sz w:val="36"/>
          <w:szCs w:val="36"/>
          <w:rtl/>
        </w:rPr>
        <w:t xml:space="preserve">، </w:t>
      </w:r>
      <w:r w:rsidRPr="00FD211F">
        <w:rPr>
          <w:sz w:val="36"/>
          <w:szCs w:val="36"/>
          <w:rtl/>
        </w:rPr>
        <w:t>والاستعمال المجازي موقوف على العلاق</w:t>
      </w:r>
      <w:r w:rsidR="00EC7EDF" w:rsidRPr="00FD211F">
        <w:rPr>
          <w:sz w:val="36"/>
          <w:szCs w:val="36"/>
          <w:rtl/>
        </w:rPr>
        <w:t xml:space="preserve">ة </w:t>
      </w:r>
      <w:r w:rsidRPr="00FD211F">
        <w:rPr>
          <w:sz w:val="36"/>
          <w:szCs w:val="36"/>
          <w:rtl/>
        </w:rPr>
        <w:t>بين المعنى المجازي والحقيقي</w:t>
      </w:r>
      <w:r w:rsidR="00603323" w:rsidRPr="00FD211F">
        <w:rPr>
          <w:sz w:val="36"/>
          <w:szCs w:val="36"/>
          <w:rtl/>
        </w:rPr>
        <w:t xml:space="preserve">، </w:t>
      </w:r>
      <w:r w:rsidRPr="00FD211F">
        <w:rPr>
          <w:sz w:val="36"/>
          <w:szCs w:val="36"/>
          <w:rtl/>
        </w:rPr>
        <w:t>والمفروض عدم ملاحظتها</w:t>
      </w:r>
      <w:r w:rsidR="00DD253F" w:rsidRPr="00FD211F">
        <w:rPr>
          <w:sz w:val="36"/>
          <w:szCs w:val="36"/>
          <w:rtl/>
        </w:rPr>
        <w:t xml:space="preserve"> في المقام</w:t>
      </w:r>
      <w:r w:rsidR="00603323" w:rsidRPr="00FD211F">
        <w:rPr>
          <w:sz w:val="36"/>
          <w:szCs w:val="36"/>
          <w:rtl/>
        </w:rPr>
        <w:t xml:space="preserve">، </w:t>
      </w:r>
      <w:r w:rsidRPr="00FD211F">
        <w:rPr>
          <w:sz w:val="36"/>
          <w:szCs w:val="36"/>
          <w:rtl/>
        </w:rPr>
        <w:t>وعليه فيكون الاستعمال غلطا</w:t>
      </w:r>
      <w:r w:rsidR="00FB00C4" w:rsidRPr="00FD211F">
        <w:rPr>
          <w:sz w:val="36"/>
          <w:szCs w:val="36"/>
          <w:rtl/>
        </w:rPr>
        <w:t>.</w:t>
      </w:r>
    </w:p>
    <w:p w14:paraId="1F0D02BA" w14:textId="77777777" w:rsidR="00562157" w:rsidRPr="00FD211F" w:rsidRDefault="00DD253F" w:rsidP="009C58C8">
      <w:pPr>
        <w:ind w:left="0" w:firstLine="227"/>
        <w:jc w:val="both"/>
        <w:rPr>
          <w:sz w:val="36"/>
          <w:szCs w:val="36"/>
          <w:rtl/>
        </w:rPr>
      </w:pPr>
      <w:r w:rsidRPr="00FD211F">
        <w:rPr>
          <w:sz w:val="36"/>
          <w:szCs w:val="36"/>
          <w:rtl/>
        </w:rPr>
        <w:t xml:space="preserve">ولكن يجاب عنه </w:t>
      </w:r>
      <w:r w:rsidRPr="00FD211F">
        <w:rPr>
          <w:b/>
          <w:bCs/>
          <w:sz w:val="36"/>
          <w:szCs w:val="36"/>
          <w:rtl/>
        </w:rPr>
        <w:t>اولا</w:t>
      </w:r>
      <w:r w:rsidRPr="00FD211F">
        <w:rPr>
          <w:sz w:val="36"/>
          <w:szCs w:val="36"/>
          <w:rtl/>
        </w:rPr>
        <w:t xml:space="preserve"> بما ذكره</w:t>
      </w:r>
      <w:r w:rsidR="00562157" w:rsidRPr="00FD211F">
        <w:rPr>
          <w:sz w:val="36"/>
          <w:szCs w:val="36"/>
          <w:rtl/>
        </w:rPr>
        <w:t xml:space="preserve"> صاحب الكفاي</w:t>
      </w:r>
      <w:r w:rsidR="00EC7EDF" w:rsidRPr="00FD211F">
        <w:rPr>
          <w:sz w:val="36"/>
          <w:szCs w:val="36"/>
          <w:rtl/>
        </w:rPr>
        <w:t xml:space="preserve">ة </w:t>
      </w:r>
      <w:r w:rsidR="00AB1B12" w:rsidRPr="00FD211F">
        <w:rPr>
          <w:sz w:val="36"/>
          <w:szCs w:val="36"/>
          <w:rtl/>
        </w:rPr>
        <w:t>"</w:t>
      </w:r>
      <w:r w:rsidR="00FB00C4" w:rsidRPr="00FD211F">
        <w:rPr>
          <w:sz w:val="36"/>
          <w:szCs w:val="36"/>
          <w:rtl/>
        </w:rPr>
        <w:t>قده</w:t>
      </w:r>
      <w:r w:rsidR="00AB1B12" w:rsidRPr="00FD211F">
        <w:rPr>
          <w:sz w:val="36"/>
          <w:szCs w:val="36"/>
          <w:rtl/>
        </w:rPr>
        <w:t>"</w:t>
      </w:r>
      <w:r w:rsidR="00562157" w:rsidRPr="00FD211F">
        <w:rPr>
          <w:sz w:val="36"/>
          <w:szCs w:val="36"/>
          <w:rtl/>
        </w:rPr>
        <w:t xml:space="preserve"> </w:t>
      </w:r>
      <w:r w:rsidRPr="00FD211F">
        <w:rPr>
          <w:sz w:val="36"/>
          <w:szCs w:val="36"/>
          <w:rtl/>
        </w:rPr>
        <w:t xml:space="preserve">من </w:t>
      </w:r>
      <w:r w:rsidR="00562157" w:rsidRPr="00FD211F">
        <w:rPr>
          <w:sz w:val="36"/>
          <w:szCs w:val="36"/>
          <w:rtl/>
        </w:rPr>
        <w:t>ان ذلك غير ضائر بعد ما كان هذا الاستعمال مما يقبله الطبع ولايستنكره والميزان في صح</w:t>
      </w:r>
      <w:r w:rsidR="00EC7EDF" w:rsidRPr="00FD211F">
        <w:rPr>
          <w:sz w:val="36"/>
          <w:szCs w:val="36"/>
          <w:rtl/>
        </w:rPr>
        <w:t xml:space="preserve">ة </w:t>
      </w:r>
      <w:r w:rsidR="00562157" w:rsidRPr="00FD211F">
        <w:rPr>
          <w:sz w:val="36"/>
          <w:szCs w:val="36"/>
          <w:rtl/>
        </w:rPr>
        <w:t>الاستعمال موافق</w:t>
      </w:r>
      <w:r w:rsidR="00EC7EDF" w:rsidRPr="00FD211F">
        <w:rPr>
          <w:sz w:val="36"/>
          <w:szCs w:val="36"/>
          <w:rtl/>
        </w:rPr>
        <w:t xml:space="preserve">ة </w:t>
      </w:r>
      <w:r w:rsidR="00562157" w:rsidRPr="00FD211F">
        <w:rPr>
          <w:sz w:val="36"/>
          <w:szCs w:val="36"/>
          <w:rtl/>
        </w:rPr>
        <w:t>الطبع</w:t>
      </w:r>
      <w:r w:rsidR="009C58C8" w:rsidRPr="00FD211F">
        <w:rPr>
          <w:rStyle w:val="a6"/>
          <w:sz w:val="36"/>
          <w:szCs w:val="36"/>
          <w:rtl/>
        </w:rPr>
        <w:t>(</w:t>
      </w:r>
      <w:r w:rsidR="009C58C8" w:rsidRPr="00FD211F">
        <w:rPr>
          <w:rStyle w:val="a6"/>
          <w:sz w:val="36"/>
          <w:szCs w:val="36"/>
          <w:rtl/>
        </w:rPr>
        <w:footnoteReference w:id="130"/>
      </w:r>
      <w:r w:rsidR="009C58C8" w:rsidRPr="00FD211F">
        <w:rPr>
          <w:rStyle w:val="a6"/>
          <w:sz w:val="36"/>
          <w:szCs w:val="36"/>
          <w:rtl/>
        </w:rPr>
        <w:t>)</w:t>
      </w:r>
      <w:r w:rsidR="00603323" w:rsidRPr="00FD211F">
        <w:rPr>
          <w:sz w:val="36"/>
          <w:szCs w:val="36"/>
          <w:rtl/>
        </w:rPr>
        <w:t xml:space="preserve">، </w:t>
      </w:r>
      <w:r w:rsidRPr="00FD211F">
        <w:rPr>
          <w:sz w:val="36"/>
          <w:szCs w:val="36"/>
          <w:rtl/>
        </w:rPr>
        <w:t xml:space="preserve">والحاصل </w:t>
      </w:r>
      <w:r w:rsidR="00295CBC" w:rsidRPr="00FD211F">
        <w:rPr>
          <w:sz w:val="36"/>
          <w:szCs w:val="36"/>
          <w:rtl/>
        </w:rPr>
        <w:t xml:space="preserve">انه </w:t>
      </w:r>
      <w:r w:rsidRPr="00FD211F">
        <w:rPr>
          <w:sz w:val="36"/>
          <w:szCs w:val="36"/>
          <w:rtl/>
        </w:rPr>
        <w:t>لايعتبر في الاستعمال ان يكون حقيقيا او مجازيا</w:t>
      </w:r>
      <w:r w:rsidR="00603323" w:rsidRPr="00FD211F">
        <w:rPr>
          <w:sz w:val="36"/>
          <w:szCs w:val="36"/>
          <w:rtl/>
        </w:rPr>
        <w:t xml:space="preserve">، </w:t>
      </w:r>
      <w:r w:rsidRPr="00FD211F">
        <w:rPr>
          <w:sz w:val="36"/>
          <w:szCs w:val="36"/>
          <w:rtl/>
        </w:rPr>
        <w:t>بل يكفي استحسان الطبع له</w:t>
      </w:r>
      <w:r w:rsidR="00562157" w:rsidRPr="00FD211F">
        <w:rPr>
          <w:sz w:val="36"/>
          <w:szCs w:val="36"/>
          <w:rtl/>
        </w:rPr>
        <w:t>.</w:t>
      </w:r>
    </w:p>
    <w:p w14:paraId="512E5FB4" w14:textId="77777777" w:rsidR="00562157" w:rsidRPr="00FD211F" w:rsidRDefault="00D944A2" w:rsidP="009C58C8">
      <w:pPr>
        <w:ind w:left="0" w:firstLine="227"/>
        <w:jc w:val="both"/>
        <w:rPr>
          <w:sz w:val="36"/>
          <w:szCs w:val="36"/>
          <w:rtl/>
        </w:rPr>
      </w:pPr>
      <w:r w:rsidRPr="00FD211F">
        <w:rPr>
          <w:b/>
          <w:bCs/>
          <w:sz w:val="36"/>
          <w:szCs w:val="36"/>
          <w:rtl/>
        </w:rPr>
        <w:t>وثانيا</w:t>
      </w:r>
      <w:r w:rsidRPr="00FD211F">
        <w:rPr>
          <w:sz w:val="36"/>
          <w:szCs w:val="36"/>
          <w:rtl/>
        </w:rPr>
        <w:t>: ان هذا</w:t>
      </w:r>
      <w:r w:rsidR="00BB2BBA" w:rsidRPr="00FD211F">
        <w:rPr>
          <w:sz w:val="36"/>
          <w:szCs w:val="36"/>
          <w:rtl/>
        </w:rPr>
        <w:t xml:space="preserve"> الاستعمال</w:t>
      </w:r>
      <w:r w:rsidRPr="00FD211F">
        <w:rPr>
          <w:sz w:val="36"/>
          <w:szCs w:val="36"/>
          <w:rtl/>
        </w:rPr>
        <w:t xml:space="preserve"> يكون استعمالا حقيقيا</w:t>
      </w:r>
      <w:r w:rsidR="00BB2BBA" w:rsidRPr="00FD211F">
        <w:rPr>
          <w:sz w:val="36"/>
          <w:szCs w:val="36"/>
          <w:rtl/>
        </w:rPr>
        <w:t xml:space="preserve"> لانه</w:t>
      </w:r>
      <w:r w:rsidRPr="00FD211F">
        <w:rPr>
          <w:sz w:val="36"/>
          <w:szCs w:val="36"/>
          <w:rtl/>
        </w:rPr>
        <w:t xml:space="preserve"> لايعتبر في الاستعمال الحقيقي اكثر </w:t>
      </w:r>
      <w:r w:rsidR="00C1520B" w:rsidRPr="00FD211F">
        <w:rPr>
          <w:sz w:val="36"/>
          <w:szCs w:val="36"/>
          <w:rtl/>
        </w:rPr>
        <w:t xml:space="preserve">من </w:t>
      </w:r>
      <w:r w:rsidRPr="00FD211F">
        <w:rPr>
          <w:sz w:val="36"/>
          <w:szCs w:val="36"/>
          <w:rtl/>
        </w:rPr>
        <w:t>تقارنه</w:t>
      </w:r>
      <w:r w:rsidR="00BB2BBA" w:rsidRPr="00FD211F">
        <w:rPr>
          <w:sz w:val="36"/>
          <w:szCs w:val="36"/>
          <w:rtl/>
        </w:rPr>
        <w:t xml:space="preserve"> للوضع زمانا</w:t>
      </w:r>
      <w:r w:rsidR="00603323" w:rsidRPr="00FD211F">
        <w:rPr>
          <w:sz w:val="36"/>
          <w:szCs w:val="36"/>
          <w:rtl/>
        </w:rPr>
        <w:t xml:space="preserve">، </w:t>
      </w:r>
      <w:r w:rsidRPr="00FD211F">
        <w:rPr>
          <w:sz w:val="36"/>
          <w:szCs w:val="36"/>
          <w:rtl/>
        </w:rPr>
        <w:t xml:space="preserve">وان تأخر عنه </w:t>
      </w:r>
      <w:r w:rsidR="00C81D99" w:rsidRPr="00FD211F">
        <w:rPr>
          <w:sz w:val="36"/>
          <w:szCs w:val="36"/>
          <w:rtl/>
        </w:rPr>
        <w:t>الوضع عنه</w:t>
      </w:r>
      <w:r w:rsidRPr="00FD211F">
        <w:rPr>
          <w:sz w:val="36"/>
          <w:szCs w:val="36"/>
          <w:rtl/>
        </w:rPr>
        <w:t xml:space="preserve"> رتب</w:t>
      </w:r>
      <w:r w:rsidR="00EC7EDF" w:rsidRPr="00FD211F">
        <w:rPr>
          <w:sz w:val="36"/>
          <w:szCs w:val="36"/>
          <w:rtl/>
        </w:rPr>
        <w:t>ة</w:t>
      </w:r>
      <w:r w:rsidR="00A61BAE" w:rsidRPr="00FD211F">
        <w:rPr>
          <w:sz w:val="36"/>
          <w:szCs w:val="36"/>
          <w:rtl/>
        </w:rPr>
        <w:t>.</w:t>
      </w:r>
    </w:p>
    <w:p w14:paraId="7B1A56D3" w14:textId="77777777" w:rsidR="007A6BDD" w:rsidRPr="00FD211F" w:rsidRDefault="00364DAA" w:rsidP="009C58C8">
      <w:pPr>
        <w:ind w:left="0" w:firstLine="227"/>
        <w:jc w:val="both"/>
        <w:rPr>
          <w:sz w:val="36"/>
          <w:szCs w:val="36"/>
          <w:rtl/>
        </w:rPr>
      </w:pPr>
      <w:bookmarkStart w:id="140" w:name="درس015"/>
      <w:bookmarkEnd w:id="140"/>
      <w:r w:rsidRPr="00FD211F">
        <w:rPr>
          <w:sz w:val="36"/>
          <w:szCs w:val="36"/>
          <w:rtl/>
        </w:rPr>
        <w:t>4- ما ذكره في البحوث</w:t>
      </w:r>
      <w:r w:rsidR="00B253CE" w:rsidRPr="00FD211F">
        <w:rPr>
          <w:sz w:val="36"/>
          <w:szCs w:val="36"/>
          <w:rtl/>
        </w:rPr>
        <w:t xml:space="preserve"> </w:t>
      </w:r>
      <w:r w:rsidR="00C81D99" w:rsidRPr="00FD211F">
        <w:rPr>
          <w:sz w:val="36"/>
          <w:szCs w:val="36"/>
          <w:rtl/>
        </w:rPr>
        <w:t>من انه بناء على المسلك الصحيح في</w:t>
      </w:r>
      <w:r w:rsidR="007A6BDD" w:rsidRPr="00FD211F">
        <w:rPr>
          <w:sz w:val="36"/>
          <w:szCs w:val="36"/>
          <w:rtl/>
        </w:rPr>
        <w:t xml:space="preserve"> تفسير</w:t>
      </w:r>
      <w:r w:rsidR="00F067F2" w:rsidRPr="00FD211F">
        <w:rPr>
          <w:sz w:val="36"/>
          <w:szCs w:val="36"/>
          <w:rtl/>
        </w:rPr>
        <w:t xml:space="preserve"> حقيق</w:t>
      </w:r>
      <w:r w:rsidR="00EC7EDF" w:rsidRPr="00FD211F">
        <w:rPr>
          <w:sz w:val="36"/>
          <w:szCs w:val="36"/>
          <w:rtl/>
        </w:rPr>
        <w:t xml:space="preserve">ة </w:t>
      </w:r>
      <w:r w:rsidR="00F067F2" w:rsidRPr="00FD211F">
        <w:rPr>
          <w:sz w:val="36"/>
          <w:szCs w:val="36"/>
          <w:rtl/>
        </w:rPr>
        <w:t>الوضع من كون الوضع</w:t>
      </w:r>
      <w:r w:rsidR="00C81D99" w:rsidRPr="00FD211F">
        <w:rPr>
          <w:sz w:val="36"/>
          <w:szCs w:val="36"/>
          <w:rtl/>
        </w:rPr>
        <w:t xml:space="preserve"> هو القر</w:t>
      </w:r>
      <w:r w:rsidR="00F067F2" w:rsidRPr="00FD211F">
        <w:rPr>
          <w:sz w:val="36"/>
          <w:szCs w:val="36"/>
          <w:rtl/>
        </w:rPr>
        <w:t>ن الأكيد بين اللفظ والمعنى</w:t>
      </w:r>
      <w:r w:rsidR="00603323" w:rsidRPr="00FD211F">
        <w:rPr>
          <w:sz w:val="36"/>
          <w:szCs w:val="36"/>
          <w:rtl/>
        </w:rPr>
        <w:t xml:space="preserve">، </w:t>
      </w:r>
      <w:r w:rsidR="00C81D99" w:rsidRPr="00FD211F">
        <w:rPr>
          <w:sz w:val="36"/>
          <w:szCs w:val="36"/>
          <w:rtl/>
        </w:rPr>
        <w:t>فيمكن ان يتحقق ذلك باستعمال واحد فلايكون فيه اشكال</w:t>
      </w:r>
      <w:r w:rsidR="007A6BDD" w:rsidRPr="00FD211F">
        <w:rPr>
          <w:sz w:val="36"/>
          <w:szCs w:val="36"/>
          <w:rtl/>
        </w:rPr>
        <w:t>.</w:t>
      </w:r>
    </w:p>
    <w:p w14:paraId="3C81E612" w14:textId="77777777" w:rsidR="007A6BDD" w:rsidRPr="00FD211F" w:rsidRDefault="00C81D99" w:rsidP="009C58C8">
      <w:pPr>
        <w:ind w:left="0" w:firstLine="227"/>
        <w:jc w:val="both"/>
        <w:rPr>
          <w:sz w:val="36"/>
          <w:szCs w:val="36"/>
          <w:rtl/>
        </w:rPr>
      </w:pPr>
      <w:r w:rsidRPr="00FD211F">
        <w:rPr>
          <w:sz w:val="36"/>
          <w:szCs w:val="36"/>
          <w:rtl/>
        </w:rPr>
        <w:t>ولكن تصويره على المسالك الأخرى في تفسير</w:t>
      </w:r>
      <w:r w:rsidR="007A6BDD" w:rsidRPr="00FD211F">
        <w:rPr>
          <w:sz w:val="36"/>
          <w:szCs w:val="36"/>
          <w:rtl/>
        </w:rPr>
        <w:t xml:space="preserve"> حقيق</w:t>
      </w:r>
      <w:r w:rsidR="00EC7EDF" w:rsidRPr="00FD211F">
        <w:rPr>
          <w:sz w:val="36"/>
          <w:szCs w:val="36"/>
          <w:rtl/>
        </w:rPr>
        <w:t xml:space="preserve">ة </w:t>
      </w:r>
      <w:r w:rsidRPr="00FD211F">
        <w:rPr>
          <w:sz w:val="36"/>
          <w:szCs w:val="36"/>
          <w:rtl/>
        </w:rPr>
        <w:t>الوضع من كونه</w:t>
      </w:r>
      <w:r w:rsidR="007A6BDD" w:rsidRPr="00FD211F">
        <w:rPr>
          <w:sz w:val="36"/>
          <w:szCs w:val="36"/>
          <w:rtl/>
        </w:rPr>
        <w:t>ا</w:t>
      </w:r>
      <w:r w:rsidRPr="00FD211F">
        <w:rPr>
          <w:sz w:val="36"/>
          <w:szCs w:val="36"/>
          <w:rtl/>
        </w:rPr>
        <w:t xml:space="preserve"> أمرا اعتباريا او تعهدا عقلائيا فلايخلو من اشكال</w:t>
      </w:r>
      <w:r w:rsidR="00603323" w:rsidRPr="00FD211F">
        <w:rPr>
          <w:sz w:val="36"/>
          <w:szCs w:val="36"/>
          <w:rtl/>
        </w:rPr>
        <w:t xml:space="preserve">، </w:t>
      </w:r>
      <w:r w:rsidRPr="00FD211F">
        <w:rPr>
          <w:sz w:val="36"/>
          <w:szCs w:val="36"/>
          <w:rtl/>
        </w:rPr>
        <w:t>لان المجعول الاعتباري او التعهد العقلائي امر نفساني ويستحيل انطباقه على نفس الاستعمال او ايجاده بالاستعمال</w:t>
      </w:r>
      <w:r w:rsidR="00603323" w:rsidRPr="00FD211F">
        <w:rPr>
          <w:sz w:val="36"/>
          <w:szCs w:val="36"/>
          <w:rtl/>
        </w:rPr>
        <w:t xml:space="preserve">، </w:t>
      </w:r>
      <w:r w:rsidRPr="00FD211F">
        <w:rPr>
          <w:sz w:val="36"/>
          <w:szCs w:val="36"/>
          <w:rtl/>
        </w:rPr>
        <w:t>بل لابد من افتراض عناي</w:t>
      </w:r>
      <w:r w:rsidR="00EC7EDF" w:rsidRPr="00FD211F">
        <w:rPr>
          <w:sz w:val="36"/>
          <w:szCs w:val="36"/>
          <w:rtl/>
        </w:rPr>
        <w:t xml:space="preserve">ة </w:t>
      </w:r>
      <w:r w:rsidRPr="00FD211F">
        <w:rPr>
          <w:sz w:val="36"/>
          <w:szCs w:val="36"/>
          <w:rtl/>
        </w:rPr>
        <w:t>زائد</w:t>
      </w:r>
      <w:r w:rsidR="00EC7EDF" w:rsidRPr="00FD211F">
        <w:rPr>
          <w:sz w:val="36"/>
          <w:szCs w:val="36"/>
          <w:rtl/>
        </w:rPr>
        <w:t xml:space="preserve">ة </w:t>
      </w:r>
      <w:r w:rsidRPr="00FD211F">
        <w:rPr>
          <w:sz w:val="36"/>
          <w:szCs w:val="36"/>
          <w:rtl/>
        </w:rPr>
        <w:t>على مجرد الاستعمال يستكشف بها اعتبار</w:t>
      </w:r>
      <w:r w:rsidR="007A6BDD" w:rsidRPr="00FD211F">
        <w:rPr>
          <w:sz w:val="36"/>
          <w:szCs w:val="36"/>
          <w:rtl/>
        </w:rPr>
        <w:t xml:space="preserve"> المستعمل</w:t>
      </w:r>
      <w:r w:rsidRPr="00FD211F">
        <w:rPr>
          <w:sz w:val="36"/>
          <w:szCs w:val="36"/>
          <w:rtl/>
        </w:rPr>
        <w:t xml:space="preserve"> او تعهده</w:t>
      </w:r>
      <w:r w:rsidR="007A6BDD" w:rsidRPr="00FD211F">
        <w:rPr>
          <w:sz w:val="36"/>
          <w:szCs w:val="36"/>
          <w:rtl/>
        </w:rPr>
        <w:t>.</w:t>
      </w:r>
    </w:p>
    <w:p w14:paraId="5E641F79" w14:textId="77777777" w:rsidR="00F67C12" w:rsidRPr="00FD211F" w:rsidRDefault="00C81D99" w:rsidP="009C58C8">
      <w:pPr>
        <w:ind w:left="0" w:firstLine="227"/>
        <w:jc w:val="both"/>
        <w:rPr>
          <w:sz w:val="36"/>
          <w:szCs w:val="36"/>
          <w:rtl/>
        </w:rPr>
      </w:pPr>
      <w:r w:rsidRPr="00FD211F">
        <w:rPr>
          <w:sz w:val="36"/>
          <w:szCs w:val="36"/>
          <w:rtl/>
        </w:rPr>
        <w:t>كما انه بناء على مسلك صاحب الكفاي</w:t>
      </w:r>
      <w:r w:rsidR="00EC7EDF" w:rsidRPr="00FD211F">
        <w:rPr>
          <w:sz w:val="36"/>
          <w:szCs w:val="36"/>
          <w:rtl/>
        </w:rPr>
        <w:t xml:space="preserve">ة </w:t>
      </w:r>
      <w:r w:rsidRPr="00FD211F">
        <w:rPr>
          <w:sz w:val="36"/>
          <w:szCs w:val="36"/>
          <w:rtl/>
        </w:rPr>
        <w:t>من كون الوضع التعييني هو تخصيص اللفظ بالمعنى فلايعقل ان يكون الاستعما</w:t>
      </w:r>
      <w:r w:rsidR="00F67C12" w:rsidRPr="00FD211F">
        <w:rPr>
          <w:sz w:val="36"/>
          <w:szCs w:val="36"/>
          <w:rtl/>
        </w:rPr>
        <w:t>ل بنفسه مصداقا للوضع.</w:t>
      </w:r>
    </w:p>
    <w:p w14:paraId="4218441E" w14:textId="77777777" w:rsidR="00F67C12" w:rsidRPr="00FD211F" w:rsidRDefault="00C81D99" w:rsidP="009C58C8">
      <w:pPr>
        <w:ind w:left="0" w:firstLine="227"/>
        <w:jc w:val="both"/>
        <w:rPr>
          <w:sz w:val="36"/>
          <w:szCs w:val="36"/>
          <w:rtl/>
        </w:rPr>
      </w:pPr>
      <w:r w:rsidRPr="00FD211F">
        <w:rPr>
          <w:sz w:val="36"/>
          <w:szCs w:val="36"/>
          <w:rtl/>
        </w:rPr>
        <w:t>اذ اولا: لو فرض تصوير ذلك بنحو يكون الاستعمال</w:t>
      </w:r>
      <w:r w:rsidR="00F067F2" w:rsidRPr="00FD211F">
        <w:rPr>
          <w:sz w:val="36"/>
          <w:szCs w:val="36"/>
          <w:rtl/>
        </w:rPr>
        <w:t xml:space="preserve"> مصداقا</w:t>
      </w:r>
      <w:r w:rsidRPr="00FD211F">
        <w:rPr>
          <w:sz w:val="36"/>
          <w:szCs w:val="36"/>
          <w:rtl/>
        </w:rPr>
        <w:t xml:space="preserve"> </w:t>
      </w:r>
      <w:r w:rsidR="00F067F2" w:rsidRPr="00FD211F">
        <w:rPr>
          <w:sz w:val="36"/>
          <w:szCs w:val="36"/>
          <w:rtl/>
        </w:rPr>
        <w:t xml:space="preserve">لتعيين اللفظ على </w:t>
      </w:r>
      <w:r w:rsidRPr="00FD211F">
        <w:rPr>
          <w:sz w:val="36"/>
          <w:szCs w:val="36"/>
          <w:rtl/>
        </w:rPr>
        <w:t>معنى</w:t>
      </w:r>
      <w:r w:rsidR="00F067F2" w:rsidRPr="00FD211F">
        <w:rPr>
          <w:sz w:val="36"/>
          <w:szCs w:val="36"/>
          <w:rtl/>
        </w:rPr>
        <w:t>ً</w:t>
      </w:r>
      <w:r w:rsidRPr="00FD211F">
        <w:rPr>
          <w:sz w:val="36"/>
          <w:szCs w:val="36"/>
          <w:rtl/>
        </w:rPr>
        <w:t xml:space="preserve"> فلايتصور كونه كذلك الا بالاضاف</w:t>
      </w:r>
      <w:r w:rsidR="00EC7EDF" w:rsidRPr="00FD211F">
        <w:rPr>
          <w:sz w:val="36"/>
          <w:szCs w:val="36"/>
          <w:rtl/>
        </w:rPr>
        <w:t xml:space="preserve">ة </w:t>
      </w:r>
      <w:r w:rsidRPr="00FD211F">
        <w:rPr>
          <w:sz w:val="36"/>
          <w:szCs w:val="36"/>
          <w:rtl/>
        </w:rPr>
        <w:t>الى شخص اللفظ المستعمل</w:t>
      </w:r>
      <w:r w:rsidR="00603323" w:rsidRPr="00FD211F">
        <w:rPr>
          <w:sz w:val="36"/>
          <w:szCs w:val="36"/>
          <w:rtl/>
        </w:rPr>
        <w:t xml:space="preserve">، </w:t>
      </w:r>
      <w:r w:rsidRPr="00FD211F">
        <w:rPr>
          <w:sz w:val="36"/>
          <w:szCs w:val="36"/>
          <w:rtl/>
        </w:rPr>
        <w:t>فان المستعمل دائما يكون جزئيا</w:t>
      </w:r>
      <w:r w:rsidR="00603323" w:rsidRPr="00FD211F">
        <w:rPr>
          <w:sz w:val="36"/>
          <w:szCs w:val="36"/>
          <w:rtl/>
        </w:rPr>
        <w:t xml:space="preserve">، </w:t>
      </w:r>
      <w:r w:rsidRPr="00FD211F">
        <w:rPr>
          <w:sz w:val="36"/>
          <w:szCs w:val="36"/>
          <w:rtl/>
        </w:rPr>
        <w:t>فلايكون الاستعمال الا مصداقا لوضع شخص اللفظ المستعمل بينما ان المطلوب هو</w:t>
      </w:r>
      <w:r w:rsidR="00F67C12" w:rsidRPr="00FD211F">
        <w:rPr>
          <w:sz w:val="36"/>
          <w:szCs w:val="36"/>
          <w:rtl/>
        </w:rPr>
        <w:t xml:space="preserve"> وضع طبيعي اللفظ على المعنى.</w:t>
      </w:r>
    </w:p>
    <w:p w14:paraId="37FA009A" w14:textId="77777777" w:rsidR="000C5BBA" w:rsidRPr="00FD211F" w:rsidRDefault="00C81D99" w:rsidP="009C58C8">
      <w:pPr>
        <w:ind w:left="0" w:firstLine="227"/>
        <w:jc w:val="both"/>
        <w:rPr>
          <w:sz w:val="36"/>
          <w:szCs w:val="36"/>
          <w:rtl/>
        </w:rPr>
      </w:pPr>
      <w:r w:rsidRPr="00FD211F">
        <w:rPr>
          <w:sz w:val="36"/>
          <w:szCs w:val="36"/>
          <w:rtl/>
        </w:rPr>
        <w:t>وثانيا: ان كون اللفظ دالا</w:t>
      </w:r>
      <w:r w:rsidR="00F067F2" w:rsidRPr="00FD211F">
        <w:rPr>
          <w:sz w:val="36"/>
          <w:szCs w:val="36"/>
          <w:rtl/>
        </w:rPr>
        <w:t>بنفسه على المعنى</w:t>
      </w:r>
      <w:r w:rsidRPr="00FD211F">
        <w:rPr>
          <w:sz w:val="36"/>
          <w:szCs w:val="36"/>
          <w:rtl/>
        </w:rPr>
        <w:t xml:space="preserve"> بلاحاج</w:t>
      </w:r>
      <w:r w:rsidR="00EC7EDF" w:rsidRPr="00FD211F">
        <w:rPr>
          <w:sz w:val="36"/>
          <w:szCs w:val="36"/>
          <w:rtl/>
        </w:rPr>
        <w:t xml:space="preserve">ة </w:t>
      </w:r>
      <w:r w:rsidRPr="00FD211F">
        <w:rPr>
          <w:sz w:val="36"/>
          <w:szCs w:val="36"/>
          <w:rtl/>
        </w:rPr>
        <w:t>الى</w:t>
      </w:r>
      <w:r w:rsidR="00FA7964" w:rsidRPr="00FD211F">
        <w:rPr>
          <w:sz w:val="36"/>
          <w:szCs w:val="36"/>
          <w:rtl/>
        </w:rPr>
        <w:t xml:space="preserve"> شيء</w:t>
      </w:r>
      <w:r w:rsidR="005563C0" w:rsidRPr="00FD211F">
        <w:rPr>
          <w:sz w:val="36"/>
          <w:szCs w:val="36"/>
          <w:rtl/>
        </w:rPr>
        <w:t xml:space="preserve">آخر </w:t>
      </w:r>
      <w:r w:rsidRPr="00FD211F">
        <w:rPr>
          <w:sz w:val="36"/>
          <w:szCs w:val="36"/>
          <w:rtl/>
        </w:rPr>
        <w:t>أمر غير ممكن</w:t>
      </w:r>
      <w:r w:rsidR="00603323" w:rsidRPr="00FD211F">
        <w:rPr>
          <w:sz w:val="36"/>
          <w:szCs w:val="36"/>
          <w:rtl/>
        </w:rPr>
        <w:t xml:space="preserve">، </w:t>
      </w:r>
      <w:r w:rsidRPr="00FD211F">
        <w:rPr>
          <w:sz w:val="36"/>
          <w:szCs w:val="36"/>
          <w:rtl/>
        </w:rPr>
        <w:t>الا بناء على توهم الدلال</w:t>
      </w:r>
      <w:r w:rsidR="00EC7EDF" w:rsidRPr="00FD211F">
        <w:rPr>
          <w:sz w:val="36"/>
          <w:szCs w:val="36"/>
          <w:rtl/>
        </w:rPr>
        <w:t xml:space="preserve">ة </w:t>
      </w:r>
      <w:r w:rsidRPr="00FD211F">
        <w:rPr>
          <w:sz w:val="36"/>
          <w:szCs w:val="36"/>
          <w:rtl/>
        </w:rPr>
        <w:t>الذاتي</w:t>
      </w:r>
      <w:r w:rsidR="00EC7EDF" w:rsidRPr="00FD211F">
        <w:rPr>
          <w:sz w:val="36"/>
          <w:szCs w:val="36"/>
          <w:rtl/>
        </w:rPr>
        <w:t xml:space="preserve">ة </w:t>
      </w:r>
      <w:r w:rsidRPr="00FD211F">
        <w:rPr>
          <w:sz w:val="36"/>
          <w:szCs w:val="36"/>
          <w:rtl/>
        </w:rPr>
        <w:t>للالفاظ</w:t>
      </w:r>
      <w:r w:rsidR="00603323" w:rsidRPr="00FD211F">
        <w:rPr>
          <w:sz w:val="36"/>
          <w:szCs w:val="36"/>
          <w:rtl/>
        </w:rPr>
        <w:t xml:space="preserve">، </w:t>
      </w:r>
      <w:r w:rsidR="003F324F" w:rsidRPr="00FD211F">
        <w:rPr>
          <w:sz w:val="36"/>
          <w:szCs w:val="36"/>
          <w:rtl/>
        </w:rPr>
        <w:t>وحينئذ فلابد لكل لفظ</w:t>
      </w:r>
      <w:r w:rsidR="005563C0" w:rsidRPr="00FD211F">
        <w:rPr>
          <w:sz w:val="36"/>
          <w:szCs w:val="36"/>
          <w:rtl/>
        </w:rPr>
        <w:t>ٍ</w:t>
      </w:r>
      <w:r w:rsidR="003F324F" w:rsidRPr="00FD211F">
        <w:rPr>
          <w:sz w:val="36"/>
          <w:szCs w:val="36"/>
          <w:rtl/>
        </w:rPr>
        <w:t xml:space="preserve"> مستعمل</w:t>
      </w:r>
      <w:r w:rsidR="005563C0" w:rsidRPr="00FD211F">
        <w:rPr>
          <w:sz w:val="36"/>
          <w:szCs w:val="36"/>
          <w:rtl/>
        </w:rPr>
        <w:t>ٍ</w:t>
      </w:r>
      <w:r w:rsidR="003F324F" w:rsidRPr="00FD211F">
        <w:rPr>
          <w:sz w:val="36"/>
          <w:szCs w:val="36"/>
          <w:rtl/>
        </w:rPr>
        <w:t xml:space="preserve"> في معنى</w:t>
      </w:r>
      <w:r w:rsidR="005563C0" w:rsidRPr="00FD211F">
        <w:rPr>
          <w:sz w:val="36"/>
          <w:szCs w:val="36"/>
          <w:rtl/>
        </w:rPr>
        <w:t>ً من وجود سبب لدلالته عليه</w:t>
      </w:r>
      <w:r w:rsidR="00603323" w:rsidRPr="00FD211F">
        <w:rPr>
          <w:sz w:val="36"/>
          <w:szCs w:val="36"/>
          <w:rtl/>
        </w:rPr>
        <w:t xml:space="preserve">، </w:t>
      </w:r>
      <w:r w:rsidR="005563C0" w:rsidRPr="00FD211F">
        <w:rPr>
          <w:sz w:val="36"/>
          <w:szCs w:val="36"/>
          <w:rtl/>
        </w:rPr>
        <w:t>و</w:t>
      </w:r>
      <w:r w:rsidR="003F324F" w:rsidRPr="00FD211F">
        <w:rPr>
          <w:sz w:val="36"/>
          <w:szCs w:val="36"/>
          <w:rtl/>
        </w:rPr>
        <w:t>السبب ا</w:t>
      </w:r>
      <w:r w:rsidR="005563C0" w:rsidRPr="00FD211F">
        <w:rPr>
          <w:sz w:val="36"/>
          <w:szCs w:val="36"/>
          <w:rtl/>
        </w:rPr>
        <w:t>حد امرين</w:t>
      </w:r>
      <w:r w:rsidR="00EC7EDF" w:rsidRPr="00FD211F">
        <w:rPr>
          <w:sz w:val="36"/>
          <w:szCs w:val="36"/>
          <w:rtl/>
        </w:rPr>
        <w:t>:</w:t>
      </w:r>
      <w:r w:rsidR="005563C0" w:rsidRPr="00FD211F">
        <w:rPr>
          <w:sz w:val="36"/>
          <w:szCs w:val="36"/>
          <w:rtl/>
        </w:rPr>
        <w:t>ا</w:t>
      </w:r>
      <w:r w:rsidR="003F324F" w:rsidRPr="00FD211F">
        <w:rPr>
          <w:sz w:val="36"/>
          <w:szCs w:val="36"/>
          <w:rtl/>
        </w:rPr>
        <w:t>ما الوضع او المناسب</w:t>
      </w:r>
      <w:r w:rsidR="00EC7EDF" w:rsidRPr="00FD211F">
        <w:rPr>
          <w:sz w:val="36"/>
          <w:szCs w:val="36"/>
          <w:rtl/>
        </w:rPr>
        <w:t xml:space="preserve">ة </w:t>
      </w:r>
      <w:r w:rsidR="003F324F" w:rsidRPr="00FD211F">
        <w:rPr>
          <w:sz w:val="36"/>
          <w:szCs w:val="36"/>
          <w:rtl/>
        </w:rPr>
        <w:t>والعلاق</w:t>
      </w:r>
      <w:r w:rsidR="00EC7EDF" w:rsidRPr="00FD211F">
        <w:rPr>
          <w:sz w:val="36"/>
          <w:szCs w:val="36"/>
          <w:rtl/>
        </w:rPr>
        <w:t xml:space="preserve">ة </w:t>
      </w:r>
      <w:r w:rsidR="003F324F" w:rsidRPr="00FD211F">
        <w:rPr>
          <w:sz w:val="36"/>
          <w:szCs w:val="36"/>
          <w:rtl/>
        </w:rPr>
        <w:t xml:space="preserve">بين </w:t>
      </w:r>
      <w:r w:rsidR="005563C0" w:rsidRPr="00FD211F">
        <w:rPr>
          <w:sz w:val="36"/>
          <w:szCs w:val="36"/>
          <w:rtl/>
        </w:rPr>
        <w:t>المعنى</w:t>
      </w:r>
      <w:r w:rsidR="003F324F" w:rsidRPr="00FD211F">
        <w:rPr>
          <w:sz w:val="36"/>
          <w:szCs w:val="36"/>
          <w:rtl/>
        </w:rPr>
        <w:t xml:space="preserve"> الموضوع له وبين المعنى المستعمل فيه مع وجود قرين</w:t>
      </w:r>
      <w:r w:rsidR="00EC7EDF" w:rsidRPr="00FD211F">
        <w:rPr>
          <w:sz w:val="36"/>
          <w:szCs w:val="36"/>
          <w:rtl/>
        </w:rPr>
        <w:t xml:space="preserve">ة </w:t>
      </w:r>
      <w:r w:rsidR="003F324F" w:rsidRPr="00FD211F">
        <w:rPr>
          <w:sz w:val="36"/>
          <w:szCs w:val="36"/>
          <w:rtl/>
        </w:rPr>
        <w:t>على ارادته</w:t>
      </w:r>
      <w:r w:rsidR="00603323" w:rsidRPr="00FD211F">
        <w:rPr>
          <w:sz w:val="36"/>
          <w:szCs w:val="36"/>
          <w:rtl/>
        </w:rPr>
        <w:t xml:space="preserve">، </w:t>
      </w:r>
      <w:r w:rsidR="003F324F" w:rsidRPr="00FD211F">
        <w:rPr>
          <w:sz w:val="36"/>
          <w:szCs w:val="36"/>
          <w:rtl/>
        </w:rPr>
        <w:t>والمفروض في المقام انتفاء كلا السببين</w:t>
      </w:r>
      <w:r w:rsidR="005563C0" w:rsidRPr="00FD211F">
        <w:rPr>
          <w:sz w:val="36"/>
          <w:szCs w:val="36"/>
          <w:rtl/>
        </w:rPr>
        <w:t>.</w:t>
      </w:r>
    </w:p>
    <w:p w14:paraId="0CF5D549" w14:textId="77777777" w:rsidR="00CE5A53" w:rsidRPr="00FD211F" w:rsidRDefault="003F324F" w:rsidP="009C58C8">
      <w:pPr>
        <w:ind w:left="0" w:firstLine="227"/>
        <w:jc w:val="both"/>
        <w:rPr>
          <w:sz w:val="36"/>
          <w:szCs w:val="36"/>
          <w:rtl/>
        </w:rPr>
      </w:pPr>
      <w:r w:rsidRPr="00FD211F">
        <w:rPr>
          <w:sz w:val="36"/>
          <w:szCs w:val="36"/>
          <w:rtl/>
        </w:rPr>
        <w:t xml:space="preserve">وان شئت قلت: ان كون الاستعمال </w:t>
      </w:r>
      <w:r w:rsidR="009A53A7" w:rsidRPr="00FD211F">
        <w:rPr>
          <w:sz w:val="36"/>
          <w:szCs w:val="36"/>
          <w:rtl/>
        </w:rPr>
        <w:t>محققا</w:t>
      </w:r>
      <w:r w:rsidRPr="00FD211F">
        <w:rPr>
          <w:sz w:val="36"/>
          <w:szCs w:val="36"/>
          <w:rtl/>
        </w:rPr>
        <w:t xml:space="preserve"> للوضع </w:t>
      </w:r>
      <w:r w:rsidR="009A53A7" w:rsidRPr="00FD211F">
        <w:rPr>
          <w:sz w:val="36"/>
          <w:szCs w:val="36"/>
          <w:rtl/>
        </w:rPr>
        <w:t xml:space="preserve">يتوقف على </w:t>
      </w:r>
      <w:r w:rsidRPr="00FD211F">
        <w:rPr>
          <w:sz w:val="36"/>
          <w:szCs w:val="36"/>
          <w:rtl/>
        </w:rPr>
        <w:t xml:space="preserve">كون اللفظ المستعمل </w:t>
      </w:r>
      <w:r w:rsidR="005563C0" w:rsidRPr="00FD211F">
        <w:rPr>
          <w:sz w:val="36"/>
          <w:szCs w:val="36"/>
          <w:rtl/>
        </w:rPr>
        <w:t>دالا</w:t>
      </w:r>
      <w:r w:rsidR="00B253CE" w:rsidRPr="00FD211F">
        <w:rPr>
          <w:sz w:val="36"/>
          <w:szCs w:val="36"/>
          <w:rtl/>
        </w:rPr>
        <w:t xml:space="preserve"> </w:t>
      </w:r>
      <w:r w:rsidR="009A53A7" w:rsidRPr="00FD211F">
        <w:rPr>
          <w:sz w:val="36"/>
          <w:szCs w:val="36"/>
          <w:rtl/>
        </w:rPr>
        <w:t xml:space="preserve">بنفسه </w:t>
      </w:r>
      <w:r w:rsidR="005563C0" w:rsidRPr="00FD211F">
        <w:rPr>
          <w:sz w:val="36"/>
          <w:szCs w:val="36"/>
          <w:rtl/>
        </w:rPr>
        <w:t xml:space="preserve">على </w:t>
      </w:r>
      <w:r w:rsidRPr="00FD211F">
        <w:rPr>
          <w:sz w:val="36"/>
          <w:szCs w:val="36"/>
          <w:rtl/>
        </w:rPr>
        <w:t>المعنى دلال</w:t>
      </w:r>
      <w:r w:rsidR="00EC7EDF" w:rsidRPr="00FD211F">
        <w:rPr>
          <w:sz w:val="36"/>
          <w:szCs w:val="36"/>
          <w:rtl/>
        </w:rPr>
        <w:t xml:space="preserve">ة </w:t>
      </w:r>
      <w:r w:rsidRPr="00FD211F">
        <w:rPr>
          <w:sz w:val="36"/>
          <w:szCs w:val="36"/>
          <w:rtl/>
        </w:rPr>
        <w:t>فعلي</w:t>
      </w:r>
      <w:r w:rsidR="00EC7EDF" w:rsidRPr="00FD211F">
        <w:rPr>
          <w:sz w:val="36"/>
          <w:szCs w:val="36"/>
          <w:rtl/>
        </w:rPr>
        <w:t>ة</w:t>
      </w:r>
      <w:r w:rsidR="00603323" w:rsidRPr="00FD211F">
        <w:rPr>
          <w:sz w:val="36"/>
          <w:szCs w:val="36"/>
          <w:rtl/>
        </w:rPr>
        <w:t xml:space="preserve">، </w:t>
      </w:r>
      <w:r w:rsidR="009A53A7" w:rsidRPr="00FD211F">
        <w:rPr>
          <w:sz w:val="36"/>
          <w:szCs w:val="36"/>
          <w:rtl/>
        </w:rPr>
        <w:t>وكون اللفظ دالا بنفسه على المعنى يتوقف على الوضع</w:t>
      </w:r>
      <w:r w:rsidR="00603323" w:rsidRPr="00FD211F">
        <w:rPr>
          <w:sz w:val="36"/>
          <w:szCs w:val="36"/>
          <w:rtl/>
        </w:rPr>
        <w:t xml:space="preserve">، </w:t>
      </w:r>
      <w:r w:rsidR="009A53A7" w:rsidRPr="00FD211F">
        <w:rPr>
          <w:sz w:val="36"/>
          <w:szCs w:val="36"/>
          <w:rtl/>
        </w:rPr>
        <w:t>و</w:t>
      </w:r>
      <w:r w:rsidRPr="00FD211F">
        <w:rPr>
          <w:sz w:val="36"/>
          <w:szCs w:val="36"/>
          <w:rtl/>
        </w:rPr>
        <w:t>يستحيل ان يكون ما هو موقوف على الوضع محققا للوضع</w:t>
      </w:r>
      <w:r w:rsidR="00264948" w:rsidRPr="00FD211F">
        <w:rPr>
          <w:sz w:val="36"/>
          <w:szCs w:val="36"/>
          <w:rtl/>
        </w:rPr>
        <w:t xml:space="preserve"> للزوم الدور</w:t>
      </w:r>
      <w:r w:rsidR="00CE5A53" w:rsidRPr="00FD211F">
        <w:rPr>
          <w:sz w:val="36"/>
          <w:szCs w:val="36"/>
          <w:rtl/>
        </w:rPr>
        <w:t>.</w:t>
      </w:r>
      <w:r w:rsidRPr="00FD211F">
        <w:rPr>
          <w:sz w:val="36"/>
          <w:szCs w:val="36"/>
          <w:rtl/>
        </w:rPr>
        <w:t xml:space="preserve"> </w:t>
      </w:r>
    </w:p>
    <w:p w14:paraId="4E0413FB" w14:textId="77777777" w:rsidR="003F324F" w:rsidRPr="00FD211F" w:rsidRDefault="003F324F" w:rsidP="009C58C8">
      <w:pPr>
        <w:ind w:left="0" w:firstLine="227"/>
        <w:jc w:val="both"/>
        <w:rPr>
          <w:sz w:val="36"/>
          <w:szCs w:val="36"/>
          <w:rtl/>
        </w:rPr>
      </w:pPr>
      <w:r w:rsidRPr="00FD211F">
        <w:rPr>
          <w:sz w:val="36"/>
          <w:szCs w:val="36"/>
          <w:rtl/>
        </w:rPr>
        <w:t>نعم لو كان المحقّق للوضع هو</w:t>
      </w:r>
      <w:r w:rsidR="009A53A7" w:rsidRPr="00FD211F">
        <w:rPr>
          <w:sz w:val="36"/>
          <w:szCs w:val="36"/>
          <w:rtl/>
        </w:rPr>
        <w:t xml:space="preserve"> قصد دلال</w:t>
      </w:r>
      <w:r w:rsidR="00EC7EDF" w:rsidRPr="00FD211F">
        <w:rPr>
          <w:sz w:val="36"/>
          <w:szCs w:val="36"/>
          <w:rtl/>
        </w:rPr>
        <w:t xml:space="preserve">ة </w:t>
      </w:r>
      <w:r w:rsidR="009A53A7" w:rsidRPr="00FD211F">
        <w:rPr>
          <w:sz w:val="36"/>
          <w:szCs w:val="36"/>
          <w:rtl/>
        </w:rPr>
        <w:t>اللفظ بنفسه</w:t>
      </w:r>
      <w:r w:rsidRPr="00FD211F">
        <w:rPr>
          <w:sz w:val="36"/>
          <w:szCs w:val="36"/>
          <w:rtl/>
        </w:rPr>
        <w:t xml:space="preserve"> على المعنى أمكن ان يقال بان قصد الدلال</w:t>
      </w:r>
      <w:r w:rsidR="00EC7EDF" w:rsidRPr="00FD211F">
        <w:rPr>
          <w:sz w:val="36"/>
          <w:szCs w:val="36"/>
          <w:rtl/>
        </w:rPr>
        <w:t xml:space="preserve">ة </w:t>
      </w:r>
      <w:r w:rsidRPr="00FD211F">
        <w:rPr>
          <w:sz w:val="36"/>
          <w:szCs w:val="36"/>
          <w:rtl/>
        </w:rPr>
        <w:t>ليس موقوفا على</w:t>
      </w:r>
      <w:r w:rsidR="009A53A7" w:rsidRPr="00FD211F">
        <w:rPr>
          <w:sz w:val="36"/>
          <w:szCs w:val="36"/>
          <w:rtl/>
        </w:rPr>
        <w:t xml:space="preserve"> تحقق</w:t>
      </w:r>
      <w:r w:rsidRPr="00FD211F">
        <w:rPr>
          <w:sz w:val="36"/>
          <w:szCs w:val="36"/>
          <w:rtl/>
        </w:rPr>
        <w:t xml:space="preserve"> الوضع في الرتب</w:t>
      </w:r>
      <w:r w:rsidR="00EC7EDF" w:rsidRPr="00FD211F">
        <w:rPr>
          <w:sz w:val="36"/>
          <w:szCs w:val="36"/>
          <w:rtl/>
        </w:rPr>
        <w:t xml:space="preserve">ة </w:t>
      </w:r>
      <w:r w:rsidRPr="00FD211F">
        <w:rPr>
          <w:sz w:val="36"/>
          <w:szCs w:val="36"/>
          <w:rtl/>
        </w:rPr>
        <w:t>السابق</w:t>
      </w:r>
      <w:r w:rsidR="00EC7EDF" w:rsidRPr="00FD211F">
        <w:rPr>
          <w:sz w:val="36"/>
          <w:szCs w:val="36"/>
          <w:rtl/>
        </w:rPr>
        <w:t xml:space="preserve">ة </w:t>
      </w:r>
      <w:r w:rsidRPr="00FD211F">
        <w:rPr>
          <w:sz w:val="36"/>
          <w:szCs w:val="36"/>
          <w:rtl/>
        </w:rPr>
        <w:t>وانما هو موقوف على</w:t>
      </w:r>
      <w:r w:rsidR="009A53A7" w:rsidRPr="00FD211F">
        <w:rPr>
          <w:sz w:val="36"/>
          <w:szCs w:val="36"/>
          <w:rtl/>
        </w:rPr>
        <w:t xml:space="preserve"> تحقق</w:t>
      </w:r>
      <w:r w:rsidR="00295CBC" w:rsidRPr="00FD211F">
        <w:rPr>
          <w:sz w:val="36"/>
          <w:szCs w:val="36"/>
          <w:rtl/>
        </w:rPr>
        <w:t xml:space="preserve"> الوضع</w:t>
      </w:r>
      <w:r w:rsidRPr="00FD211F">
        <w:rPr>
          <w:sz w:val="36"/>
          <w:szCs w:val="36"/>
          <w:rtl/>
        </w:rPr>
        <w:t xml:space="preserve"> في </w:t>
      </w:r>
      <w:r w:rsidR="00295CBC" w:rsidRPr="00FD211F">
        <w:rPr>
          <w:sz w:val="36"/>
          <w:szCs w:val="36"/>
          <w:rtl/>
        </w:rPr>
        <w:t>زمان فعلي</w:t>
      </w:r>
      <w:r w:rsidR="00EC7EDF" w:rsidRPr="00FD211F">
        <w:rPr>
          <w:sz w:val="36"/>
          <w:szCs w:val="36"/>
          <w:rtl/>
        </w:rPr>
        <w:t xml:space="preserve">ة </w:t>
      </w:r>
      <w:r w:rsidR="009A53A7" w:rsidRPr="00FD211F">
        <w:rPr>
          <w:sz w:val="36"/>
          <w:szCs w:val="36"/>
          <w:rtl/>
        </w:rPr>
        <w:t>الدلال</w:t>
      </w:r>
      <w:r w:rsidR="00EC7EDF" w:rsidRPr="00FD211F">
        <w:rPr>
          <w:sz w:val="36"/>
          <w:szCs w:val="36"/>
          <w:rtl/>
        </w:rPr>
        <w:t xml:space="preserve">ة </w:t>
      </w:r>
      <w:r w:rsidR="00295CBC" w:rsidRPr="00FD211F">
        <w:rPr>
          <w:sz w:val="36"/>
          <w:szCs w:val="36"/>
          <w:rtl/>
        </w:rPr>
        <w:t>وهو نفس زمان الاستعمال</w:t>
      </w:r>
      <w:r w:rsidR="00603323" w:rsidRPr="00FD211F">
        <w:rPr>
          <w:sz w:val="36"/>
          <w:szCs w:val="36"/>
          <w:rtl/>
        </w:rPr>
        <w:t xml:space="preserve">، </w:t>
      </w:r>
      <w:r w:rsidR="009A53A7" w:rsidRPr="00FD211F">
        <w:rPr>
          <w:sz w:val="36"/>
          <w:szCs w:val="36"/>
          <w:rtl/>
        </w:rPr>
        <w:t>الا ان قصد دلال</w:t>
      </w:r>
      <w:r w:rsidR="00EC7EDF" w:rsidRPr="00FD211F">
        <w:rPr>
          <w:sz w:val="36"/>
          <w:szCs w:val="36"/>
          <w:rtl/>
        </w:rPr>
        <w:t xml:space="preserve">ة </w:t>
      </w:r>
      <w:r w:rsidR="009A53A7" w:rsidRPr="00FD211F">
        <w:rPr>
          <w:sz w:val="36"/>
          <w:szCs w:val="36"/>
          <w:rtl/>
        </w:rPr>
        <w:t>اللفظ على المعنى ليس محققا</w:t>
      </w:r>
      <w:r w:rsidRPr="00FD211F">
        <w:rPr>
          <w:sz w:val="36"/>
          <w:szCs w:val="36"/>
          <w:rtl/>
        </w:rPr>
        <w:t xml:space="preserve"> للوضع جزما اذ ليس</w:t>
      </w:r>
      <w:r w:rsidR="009A53A7" w:rsidRPr="00FD211F">
        <w:rPr>
          <w:sz w:val="36"/>
          <w:szCs w:val="36"/>
          <w:rtl/>
        </w:rPr>
        <w:t xml:space="preserve"> هذا القصد</w:t>
      </w:r>
      <w:r w:rsidRPr="00FD211F">
        <w:rPr>
          <w:sz w:val="36"/>
          <w:szCs w:val="36"/>
          <w:rtl/>
        </w:rPr>
        <w:t xml:space="preserve"> تخصيصا ل</w:t>
      </w:r>
      <w:r w:rsidR="00295CBC" w:rsidRPr="00FD211F">
        <w:rPr>
          <w:sz w:val="36"/>
          <w:szCs w:val="36"/>
          <w:rtl/>
        </w:rPr>
        <w:t>لّ</w:t>
      </w:r>
      <w:r w:rsidRPr="00FD211F">
        <w:rPr>
          <w:sz w:val="36"/>
          <w:szCs w:val="36"/>
          <w:rtl/>
        </w:rPr>
        <w:t xml:space="preserve">فظ بالمعنى وانما </w:t>
      </w:r>
      <w:r w:rsidR="00C3247B" w:rsidRPr="00FD211F">
        <w:rPr>
          <w:sz w:val="36"/>
          <w:szCs w:val="36"/>
          <w:rtl/>
        </w:rPr>
        <w:t>هو</w:t>
      </w:r>
      <w:r w:rsidRPr="00FD211F">
        <w:rPr>
          <w:sz w:val="36"/>
          <w:szCs w:val="36"/>
          <w:rtl/>
        </w:rPr>
        <w:t xml:space="preserve"> </w:t>
      </w:r>
      <w:r w:rsidR="00D815DE" w:rsidRPr="00FD211F">
        <w:rPr>
          <w:sz w:val="36"/>
          <w:szCs w:val="36"/>
          <w:rtl/>
        </w:rPr>
        <w:t>إراد</w:t>
      </w:r>
      <w:r w:rsidR="00EC7EDF" w:rsidRPr="00FD211F">
        <w:rPr>
          <w:sz w:val="36"/>
          <w:szCs w:val="36"/>
          <w:rtl/>
        </w:rPr>
        <w:t xml:space="preserve">ة </w:t>
      </w:r>
      <w:r w:rsidRPr="00FD211F">
        <w:rPr>
          <w:sz w:val="36"/>
          <w:szCs w:val="36"/>
          <w:rtl/>
        </w:rPr>
        <w:t>للتخصيص</w:t>
      </w:r>
      <w:r w:rsidR="00603323" w:rsidRPr="00FD211F">
        <w:rPr>
          <w:sz w:val="36"/>
          <w:szCs w:val="36"/>
          <w:rtl/>
        </w:rPr>
        <w:t xml:space="preserve">، </w:t>
      </w:r>
      <w:r w:rsidRPr="00FD211F">
        <w:rPr>
          <w:sz w:val="36"/>
          <w:szCs w:val="36"/>
          <w:rtl/>
        </w:rPr>
        <w:t>والا</w:t>
      </w:r>
      <w:r w:rsidR="00C3247B" w:rsidRPr="00FD211F">
        <w:rPr>
          <w:sz w:val="36"/>
          <w:szCs w:val="36"/>
          <w:rtl/>
        </w:rPr>
        <w:t xml:space="preserve"> لزم تحقق الوضع</w:t>
      </w:r>
      <w:r w:rsidRPr="00FD211F">
        <w:rPr>
          <w:sz w:val="36"/>
          <w:szCs w:val="36"/>
          <w:rtl/>
        </w:rPr>
        <w:t xml:space="preserve"> بمجرد </w:t>
      </w:r>
      <w:r w:rsidR="00D815DE" w:rsidRPr="00FD211F">
        <w:rPr>
          <w:sz w:val="36"/>
          <w:szCs w:val="36"/>
          <w:rtl/>
        </w:rPr>
        <w:t>إراد</w:t>
      </w:r>
      <w:r w:rsidR="00EC7EDF" w:rsidRPr="00FD211F">
        <w:rPr>
          <w:sz w:val="36"/>
          <w:szCs w:val="36"/>
          <w:rtl/>
        </w:rPr>
        <w:t xml:space="preserve">ة </w:t>
      </w:r>
      <w:r w:rsidRPr="00FD211F">
        <w:rPr>
          <w:sz w:val="36"/>
          <w:szCs w:val="36"/>
          <w:rtl/>
        </w:rPr>
        <w:t>الواضع تخصيص لفظ لمعنى وان</w:t>
      </w:r>
      <w:r w:rsidR="008D7B3D" w:rsidRPr="00FD211F">
        <w:rPr>
          <w:sz w:val="36"/>
          <w:szCs w:val="36"/>
          <w:rtl/>
        </w:rPr>
        <w:t xml:space="preserve"> لم‌</w:t>
      </w:r>
      <w:r w:rsidRPr="00FD211F">
        <w:rPr>
          <w:sz w:val="36"/>
          <w:szCs w:val="36"/>
          <w:rtl/>
        </w:rPr>
        <w:t>يخصصه بالفعل</w:t>
      </w:r>
      <w:r w:rsidR="009C58C8" w:rsidRPr="00FD211F">
        <w:rPr>
          <w:rStyle w:val="a6"/>
          <w:sz w:val="36"/>
          <w:szCs w:val="36"/>
          <w:rtl/>
        </w:rPr>
        <w:t>(</w:t>
      </w:r>
      <w:r w:rsidR="009C58C8" w:rsidRPr="00FD211F">
        <w:rPr>
          <w:rStyle w:val="a6"/>
          <w:sz w:val="36"/>
          <w:szCs w:val="36"/>
          <w:rtl/>
        </w:rPr>
        <w:footnoteReference w:id="131"/>
      </w:r>
      <w:r w:rsidR="009C58C8" w:rsidRPr="00FD211F">
        <w:rPr>
          <w:rStyle w:val="a6"/>
          <w:sz w:val="36"/>
          <w:szCs w:val="36"/>
          <w:rtl/>
        </w:rPr>
        <w:t>)</w:t>
      </w:r>
      <w:r w:rsidRPr="00FD211F">
        <w:rPr>
          <w:sz w:val="36"/>
          <w:szCs w:val="36"/>
          <w:rtl/>
        </w:rPr>
        <w:t>.</w:t>
      </w:r>
    </w:p>
    <w:p w14:paraId="0D7F6272" w14:textId="77777777" w:rsidR="00CE7F5B" w:rsidRPr="00FD211F" w:rsidRDefault="00C3247B" w:rsidP="009C58C8">
      <w:pPr>
        <w:ind w:left="0" w:firstLine="227"/>
        <w:jc w:val="both"/>
        <w:rPr>
          <w:sz w:val="36"/>
          <w:szCs w:val="36"/>
          <w:rtl/>
        </w:rPr>
      </w:pPr>
      <w:r w:rsidRPr="00FD211F">
        <w:rPr>
          <w:sz w:val="36"/>
          <w:szCs w:val="36"/>
          <w:rtl/>
        </w:rPr>
        <w:t>ويلاحظ عليه: انه تار</w:t>
      </w:r>
      <w:r w:rsidR="00EC7EDF" w:rsidRPr="00FD211F">
        <w:rPr>
          <w:sz w:val="36"/>
          <w:szCs w:val="36"/>
          <w:rtl/>
        </w:rPr>
        <w:t xml:space="preserve">ة </w:t>
      </w:r>
      <w:r w:rsidRPr="00FD211F">
        <w:rPr>
          <w:sz w:val="36"/>
          <w:szCs w:val="36"/>
          <w:rtl/>
        </w:rPr>
        <w:t>يفرض</w:t>
      </w:r>
      <w:r w:rsidR="00B36779" w:rsidRPr="00FD211F">
        <w:rPr>
          <w:sz w:val="36"/>
          <w:szCs w:val="36"/>
          <w:rtl/>
        </w:rPr>
        <w:t xml:space="preserve"> كون الاستعمال مجردا عن </w:t>
      </w:r>
      <w:r w:rsidRPr="00FD211F">
        <w:rPr>
          <w:sz w:val="36"/>
          <w:szCs w:val="36"/>
          <w:rtl/>
        </w:rPr>
        <w:t>أيّ</w:t>
      </w:r>
      <w:r w:rsidR="00EC7EDF" w:rsidRPr="00FD211F">
        <w:rPr>
          <w:sz w:val="36"/>
          <w:szCs w:val="36"/>
          <w:rtl/>
        </w:rPr>
        <w:t xml:space="preserve">ة </w:t>
      </w:r>
      <w:r w:rsidR="00B36779" w:rsidRPr="00FD211F">
        <w:rPr>
          <w:sz w:val="36"/>
          <w:szCs w:val="36"/>
          <w:rtl/>
        </w:rPr>
        <w:t>قرين</w:t>
      </w:r>
      <w:r w:rsidR="00EC7EDF" w:rsidRPr="00FD211F">
        <w:rPr>
          <w:sz w:val="36"/>
          <w:szCs w:val="36"/>
          <w:rtl/>
        </w:rPr>
        <w:t xml:space="preserve">ة </w:t>
      </w:r>
      <w:r w:rsidR="00B36779" w:rsidRPr="00FD211F">
        <w:rPr>
          <w:sz w:val="36"/>
          <w:szCs w:val="36"/>
          <w:rtl/>
        </w:rPr>
        <w:t>على كون المستعمل بصدد الوضع فلايحصل به الوضع حتى على مسلك القرن الأكيد</w:t>
      </w:r>
      <w:r w:rsidR="00603323" w:rsidRPr="00FD211F">
        <w:rPr>
          <w:sz w:val="36"/>
          <w:szCs w:val="36"/>
          <w:rtl/>
        </w:rPr>
        <w:t xml:space="preserve">، </w:t>
      </w:r>
      <w:r w:rsidR="00CE7F5B" w:rsidRPr="00FD211F">
        <w:rPr>
          <w:sz w:val="36"/>
          <w:szCs w:val="36"/>
          <w:rtl/>
        </w:rPr>
        <w:t>اذ القرن الأكيد لايحصل</w:t>
      </w:r>
      <w:r w:rsidRPr="00FD211F">
        <w:rPr>
          <w:sz w:val="36"/>
          <w:szCs w:val="36"/>
          <w:rtl/>
        </w:rPr>
        <w:t xml:space="preserve"> باستعمال واحد</w:t>
      </w:r>
      <w:r w:rsidR="00CE7F5B" w:rsidRPr="00FD211F">
        <w:rPr>
          <w:sz w:val="36"/>
          <w:szCs w:val="36"/>
          <w:rtl/>
        </w:rPr>
        <w:t xml:space="preserve"> بدون القرين</w:t>
      </w:r>
      <w:r w:rsidR="00EC7EDF" w:rsidRPr="00FD211F">
        <w:rPr>
          <w:sz w:val="36"/>
          <w:szCs w:val="36"/>
          <w:rtl/>
        </w:rPr>
        <w:t>ة</w:t>
      </w:r>
      <w:r w:rsidR="00603323" w:rsidRPr="00FD211F">
        <w:rPr>
          <w:sz w:val="36"/>
          <w:szCs w:val="36"/>
          <w:rtl/>
        </w:rPr>
        <w:t xml:space="preserve">، </w:t>
      </w:r>
      <w:r w:rsidRPr="00FD211F">
        <w:rPr>
          <w:sz w:val="36"/>
          <w:szCs w:val="36"/>
          <w:rtl/>
        </w:rPr>
        <w:t>وأخرى يفرض وجود</w:t>
      </w:r>
      <w:r w:rsidR="00CE7F5B" w:rsidRPr="00FD211F">
        <w:rPr>
          <w:sz w:val="36"/>
          <w:szCs w:val="36"/>
          <w:rtl/>
        </w:rPr>
        <w:t xml:space="preserve"> قرين</w:t>
      </w:r>
      <w:r w:rsidR="00EC7EDF" w:rsidRPr="00FD211F">
        <w:rPr>
          <w:sz w:val="36"/>
          <w:szCs w:val="36"/>
          <w:rtl/>
        </w:rPr>
        <w:t xml:space="preserve">ة </w:t>
      </w:r>
      <w:r w:rsidR="00CE7F5B" w:rsidRPr="00FD211F">
        <w:rPr>
          <w:sz w:val="36"/>
          <w:szCs w:val="36"/>
          <w:rtl/>
        </w:rPr>
        <w:t>حالي</w:t>
      </w:r>
      <w:r w:rsidR="00EC7EDF" w:rsidRPr="00FD211F">
        <w:rPr>
          <w:sz w:val="36"/>
          <w:szCs w:val="36"/>
          <w:rtl/>
        </w:rPr>
        <w:t xml:space="preserve">ة </w:t>
      </w:r>
      <w:r w:rsidR="00CE7F5B" w:rsidRPr="00FD211F">
        <w:rPr>
          <w:sz w:val="36"/>
          <w:szCs w:val="36"/>
          <w:rtl/>
        </w:rPr>
        <w:t>على كون المستعمل بصدد الوضع</w:t>
      </w:r>
      <w:r w:rsidR="00603323" w:rsidRPr="00FD211F">
        <w:rPr>
          <w:sz w:val="36"/>
          <w:szCs w:val="36"/>
          <w:rtl/>
        </w:rPr>
        <w:t xml:space="preserve">، </w:t>
      </w:r>
      <w:r w:rsidR="00CE7F5B" w:rsidRPr="00FD211F">
        <w:rPr>
          <w:sz w:val="36"/>
          <w:szCs w:val="36"/>
          <w:rtl/>
        </w:rPr>
        <w:t>وحينئذ فلايكون ايّ مانع من تحقق الوضع بهذا الاستعمال</w:t>
      </w:r>
      <w:r w:rsidR="00603323" w:rsidRPr="00FD211F">
        <w:rPr>
          <w:sz w:val="36"/>
          <w:szCs w:val="36"/>
          <w:rtl/>
        </w:rPr>
        <w:t xml:space="preserve">، </w:t>
      </w:r>
      <w:r w:rsidRPr="00FD211F">
        <w:rPr>
          <w:sz w:val="36"/>
          <w:szCs w:val="36"/>
          <w:rtl/>
        </w:rPr>
        <w:t xml:space="preserve">كما يقول الأب </w:t>
      </w:r>
      <w:r w:rsidR="00364DAA" w:rsidRPr="00FD211F">
        <w:rPr>
          <w:sz w:val="36"/>
          <w:szCs w:val="36"/>
          <w:rtl/>
        </w:rPr>
        <w:t>"</w:t>
      </w:r>
      <w:r w:rsidRPr="00FD211F">
        <w:rPr>
          <w:sz w:val="36"/>
          <w:szCs w:val="36"/>
          <w:rtl/>
        </w:rPr>
        <w:t>جئني بولدي</w:t>
      </w:r>
      <w:r w:rsidR="002842B1" w:rsidRPr="00FD211F">
        <w:rPr>
          <w:sz w:val="36"/>
          <w:szCs w:val="36"/>
          <w:rtl/>
        </w:rPr>
        <w:t xml:space="preserve"> الحسين</w:t>
      </w:r>
      <w:r w:rsidR="00364DAA" w:rsidRPr="00FD211F">
        <w:rPr>
          <w:sz w:val="36"/>
          <w:szCs w:val="36"/>
          <w:rtl/>
        </w:rPr>
        <w:t>"</w:t>
      </w:r>
      <w:r w:rsidRPr="00FD211F">
        <w:rPr>
          <w:sz w:val="36"/>
          <w:szCs w:val="36"/>
          <w:rtl/>
        </w:rPr>
        <w:t xml:space="preserve"> مع ظهور حاله في كونه بصدد تسميته</w:t>
      </w:r>
      <w:r w:rsidR="00CE7F5B" w:rsidRPr="00FD211F">
        <w:rPr>
          <w:sz w:val="36"/>
          <w:szCs w:val="36"/>
          <w:rtl/>
        </w:rPr>
        <w:t>.</w:t>
      </w:r>
    </w:p>
    <w:p w14:paraId="6AF07638" w14:textId="77777777" w:rsidR="00CE7F5B" w:rsidRPr="00FD211F" w:rsidRDefault="00CE7F5B" w:rsidP="009C58C8">
      <w:pPr>
        <w:ind w:left="0" w:firstLine="227"/>
        <w:jc w:val="both"/>
        <w:rPr>
          <w:sz w:val="36"/>
          <w:szCs w:val="36"/>
          <w:rtl/>
        </w:rPr>
      </w:pPr>
      <w:r w:rsidRPr="00FD211F">
        <w:rPr>
          <w:sz w:val="36"/>
          <w:szCs w:val="36"/>
          <w:rtl/>
        </w:rPr>
        <w:t>و</w:t>
      </w:r>
      <w:r w:rsidR="00F75B45" w:rsidRPr="00FD211F">
        <w:rPr>
          <w:sz w:val="36"/>
          <w:szCs w:val="36"/>
          <w:rtl/>
        </w:rPr>
        <w:t>ا</w:t>
      </w:r>
      <w:r w:rsidRPr="00FD211F">
        <w:rPr>
          <w:sz w:val="36"/>
          <w:szCs w:val="36"/>
          <w:rtl/>
        </w:rPr>
        <w:t>ما</w:t>
      </w:r>
      <w:r w:rsidR="00F75B45" w:rsidRPr="00FD211F">
        <w:rPr>
          <w:sz w:val="36"/>
          <w:szCs w:val="36"/>
          <w:rtl/>
        </w:rPr>
        <w:t xml:space="preserve"> ما</w:t>
      </w:r>
      <w:r w:rsidRPr="00FD211F">
        <w:rPr>
          <w:sz w:val="36"/>
          <w:szCs w:val="36"/>
          <w:rtl/>
        </w:rPr>
        <w:t xml:space="preserve">ذكره من انه بناء على تفسير الوضع بكونه </w:t>
      </w:r>
      <w:r w:rsidR="00295CBC" w:rsidRPr="00FD211F">
        <w:rPr>
          <w:sz w:val="36"/>
          <w:szCs w:val="36"/>
          <w:rtl/>
        </w:rPr>
        <w:t xml:space="preserve">امرا اعتباريا او تعهدا عقلائيا </w:t>
      </w:r>
      <w:r w:rsidRPr="00FD211F">
        <w:rPr>
          <w:sz w:val="36"/>
          <w:szCs w:val="36"/>
          <w:rtl/>
        </w:rPr>
        <w:t xml:space="preserve">يكون الوضع امرا نفسانيا ويستحيل انطباقه على </w:t>
      </w:r>
      <w:r w:rsidR="00F75B45" w:rsidRPr="00FD211F">
        <w:rPr>
          <w:sz w:val="36"/>
          <w:szCs w:val="36"/>
          <w:rtl/>
        </w:rPr>
        <w:t>نفس الاستعمال او ايجاده به</w:t>
      </w:r>
      <w:r w:rsidR="00603323" w:rsidRPr="00FD211F">
        <w:rPr>
          <w:sz w:val="36"/>
          <w:szCs w:val="36"/>
          <w:rtl/>
        </w:rPr>
        <w:t xml:space="preserve">، </w:t>
      </w:r>
      <w:r w:rsidR="00F75B45" w:rsidRPr="00FD211F">
        <w:rPr>
          <w:sz w:val="36"/>
          <w:szCs w:val="36"/>
          <w:rtl/>
        </w:rPr>
        <w:t>ففيه</w:t>
      </w:r>
      <w:r w:rsidRPr="00FD211F">
        <w:rPr>
          <w:sz w:val="36"/>
          <w:szCs w:val="36"/>
          <w:rtl/>
        </w:rPr>
        <w:t xml:space="preserve"> انه لاينبغي الاشكال في تقوم عنوان الوضع على ابراز ذاك الاعتبار او التعهد ويكون</w:t>
      </w:r>
      <w:r w:rsidR="002842B1" w:rsidRPr="00FD211F">
        <w:rPr>
          <w:sz w:val="36"/>
          <w:szCs w:val="36"/>
          <w:rtl/>
        </w:rPr>
        <w:t xml:space="preserve"> </w:t>
      </w:r>
      <w:r w:rsidR="00F67C12" w:rsidRPr="00FD211F">
        <w:rPr>
          <w:sz w:val="36"/>
          <w:szCs w:val="36"/>
          <w:rtl/>
        </w:rPr>
        <w:t>"</w:t>
      </w:r>
      <w:r w:rsidRPr="00FD211F">
        <w:rPr>
          <w:sz w:val="36"/>
          <w:szCs w:val="36"/>
          <w:rtl/>
        </w:rPr>
        <w:t xml:space="preserve">قول الاب جئني بولدي </w:t>
      </w:r>
      <w:r w:rsidR="00F75B45" w:rsidRPr="00FD211F">
        <w:rPr>
          <w:sz w:val="36"/>
          <w:szCs w:val="36"/>
          <w:rtl/>
        </w:rPr>
        <w:t>الحسين</w:t>
      </w:r>
      <w:r w:rsidR="00F67C12" w:rsidRPr="00FD211F">
        <w:rPr>
          <w:sz w:val="36"/>
          <w:szCs w:val="36"/>
          <w:rtl/>
        </w:rPr>
        <w:t>"</w:t>
      </w:r>
      <w:r w:rsidRPr="00FD211F">
        <w:rPr>
          <w:sz w:val="36"/>
          <w:szCs w:val="36"/>
          <w:rtl/>
        </w:rPr>
        <w:t xml:space="preserve"> مبرزا عرفا لذاك الاعتبار او التعهد النفساني</w:t>
      </w:r>
      <w:r w:rsidR="00603323" w:rsidRPr="00FD211F">
        <w:rPr>
          <w:sz w:val="36"/>
          <w:szCs w:val="36"/>
          <w:rtl/>
        </w:rPr>
        <w:t xml:space="preserve">، </w:t>
      </w:r>
      <w:r w:rsidRPr="00FD211F">
        <w:rPr>
          <w:sz w:val="36"/>
          <w:szCs w:val="36"/>
          <w:rtl/>
        </w:rPr>
        <w:t>وبذلك يتحقق عنوان الوضع</w:t>
      </w:r>
      <w:r w:rsidR="00C3247B" w:rsidRPr="00FD211F">
        <w:rPr>
          <w:sz w:val="36"/>
          <w:szCs w:val="36"/>
          <w:rtl/>
        </w:rPr>
        <w:t xml:space="preserve"> والتسمي</w:t>
      </w:r>
      <w:r w:rsidR="00EC7EDF" w:rsidRPr="00FD211F">
        <w:rPr>
          <w:sz w:val="36"/>
          <w:szCs w:val="36"/>
          <w:rtl/>
        </w:rPr>
        <w:t xml:space="preserve">ة </w:t>
      </w:r>
      <w:r w:rsidRPr="00FD211F">
        <w:rPr>
          <w:sz w:val="36"/>
          <w:szCs w:val="36"/>
          <w:rtl/>
        </w:rPr>
        <w:t>كما انه ما</w:t>
      </w:r>
      <w:r w:rsidR="008D7B3D" w:rsidRPr="00FD211F">
        <w:rPr>
          <w:sz w:val="36"/>
          <w:szCs w:val="36"/>
          <w:rtl/>
        </w:rPr>
        <w:t xml:space="preserve"> لم‌</w:t>
      </w:r>
      <w:r w:rsidRPr="00FD211F">
        <w:rPr>
          <w:sz w:val="36"/>
          <w:szCs w:val="36"/>
          <w:rtl/>
        </w:rPr>
        <w:t>يبرز المالك تمليك ماله لشخص آخر فلايصدق عرفا انه باعه او وهبه ذلك المال</w:t>
      </w:r>
      <w:r w:rsidR="00603323" w:rsidRPr="00FD211F">
        <w:rPr>
          <w:sz w:val="36"/>
          <w:szCs w:val="36"/>
          <w:rtl/>
        </w:rPr>
        <w:t xml:space="preserve">، </w:t>
      </w:r>
      <w:r w:rsidR="00295CBC" w:rsidRPr="00FD211F">
        <w:rPr>
          <w:sz w:val="36"/>
          <w:szCs w:val="36"/>
          <w:rtl/>
        </w:rPr>
        <w:t>ودعوى الفرق بي</w:t>
      </w:r>
      <w:r w:rsidR="00A1554C" w:rsidRPr="00FD211F">
        <w:rPr>
          <w:sz w:val="36"/>
          <w:szCs w:val="36"/>
          <w:rtl/>
        </w:rPr>
        <w:t>نه وبين المقام بوجود أثر عقلائي وشرعي على تحقق عنوان البيع والهب</w:t>
      </w:r>
      <w:r w:rsidR="00EC7EDF" w:rsidRPr="00FD211F">
        <w:rPr>
          <w:sz w:val="36"/>
          <w:szCs w:val="36"/>
          <w:rtl/>
        </w:rPr>
        <w:t xml:space="preserve">ة </w:t>
      </w:r>
      <w:r w:rsidR="00A1554C" w:rsidRPr="00FD211F">
        <w:rPr>
          <w:sz w:val="36"/>
          <w:szCs w:val="36"/>
          <w:rtl/>
        </w:rPr>
        <w:t>بخلاف عنوان الوضع والتسمي</w:t>
      </w:r>
      <w:r w:rsidR="00EC7EDF" w:rsidRPr="00FD211F">
        <w:rPr>
          <w:sz w:val="36"/>
          <w:szCs w:val="36"/>
          <w:rtl/>
        </w:rPr>
        <w:t xml:space="preserve">ة </w:t>
      </w:r>
      <w:r w:rsidR="00A1554C" w:rsidRPr="00FD211F">
        <w:rPr>
          <w:sz w:val="36"/>
          <w:szCs w:val="36"/>
          <w:rtl/>
        </w:rPr>
        <w:t>غير متجه</w:t>
      </w:r>
      <w:r w:rsidR="00EC7EDF" w:rsidRPr="00FD211F">
        <w:rPr>
          <w:sz w:val="36"/>
          <w:szCs w:val="36"/>
          <w:rtl/>
        </w:rPr>
        <w:t>ة</w:t>
      </w:r>
      <w:r w:rsidR="00603323" w:rsidRPr="00FD211F">
        <w:rPr>
          <w:sz w:val="36"/>
          <w:szCs w:val="36"/>
          <w:rtl/>
        </w:rPr>
        <w:t xml:space="preserve">، </w:t>
      </w:r>
      <w:r w:rsidR="00A1554C" w:rsidRPr="00FD211F">
        <w:rPr>
          <w:sz w:val="36"/>
          <w:szCs w:val="36"/>
          <w:rtl/>
        </w:rPr>
        <w:t>لان الكلام فيما يتحقق به الوضع والتسمي</w:t>
      </w:r>
      <w:r w:rsidR="00EC7EDF" w:rsidRPr="00FD211F">
        <w:rPr>
          <w:sz w:val="36"/>
          <w:szCs w:val="36"/>
          <w:rtl/>
        </w:rPr>
        <w:t xml:space="preserve">ة </w:t>
      </w:r>
      <w:r w:rsidR="00A1554C" w:rsidRPr="00FD211F">
        <w:rPr>
          <w:sz w:val="36"/>
          <w:szCs w:val="36"/>
          <w:rtl/>
        </w:rPr>
        <w:t>وان</w:t>
      </w:r>
      <w:r w:rsidR="008D7B3D" w:rsidRPr="00FD211F">
        <w:rPr>
          <w:sz w:val="36"/>
          <w:szCs w:val="36"/>
          <w:rtl/>
        </w:rPr>
        <w:t xml:space="preserve"> لم‌</w:t>
      </w:r>
      <w:r w:rsidR="00A1554C" w:rsidRPr="00FD211F">
        <w:rPr>
          <w:sz w:val="36"/>
          <w:szCs w:val="36"/>
          <w:rtl/>
        </w:rPr>
        <w:t>يترتب عليه أيّ أثر عقلائي او شرعي</w:t>
      </w:r>
      <w:r w:rsidRPr="00FD211F">
        <w:rPr>
          <w:sz w:val="36"/>
          <w:szCs w:val="36"/>
          <w:rtl/>
        </w:rPr>
        <w:t>.</w:t>
      </w:r>
    </w:p>
    <w:p w14:paraId="25F43523" w14:textId="77777777" w:rsidR="00CE7F5B" w:rsidRPr="00FD211F" w:rsidRDefault="00CE7F5B" w:rsidP="009C58C8">
      <w:pPr>
        <w:ind w:left="0" w:firstLine="227"/>
        <w:jc w:val="both"/>
        <w:rPr>
          <w:sz w:val="36"/>
          <w:szCs w:val="36"/>
          <w:rtl/>
        </w:rPr>
      </w:pPr>
      <w:r w:rsidRPr="00FD211F">
        <w:rPr>
          <w:sz w:val="36"/>
          <w:szCs w:val="36"/>
          <w:rtl/>
        </w:rPr>
        <w:t xml:space="preserve">وأما ما ذكره من ان </w:t>
      </w:r>
      <w:r w:rsidR="00C3247B" w:rsidRPr="00FD211F">
        <w:rPr>
          <w:sz w:val="36"/>
          <w:szCs w:val="36"/>
          <w:rtl/>
        </w:rPr>
        <w:t xml:space="preserve">اللفظ </w:t>
      </w:r>
      <w:r w:rsidRPr="00FD211F">
        <w:rPr>
          <w:sz w:val="36"/>
          <w:szCs w:val="36"/>
          <w:rtl/>
        </w:rPr>
        <w:t>المستعمل جزئي</w:t>
      </w:r>
      <w:r w:rsidR="00C3247B" w:rsidRPr="00FD211F">
        <w:rPr>
          <w:sz w:val="36"/>
          <w:szCs w:val="36"/>
          <w:rtl/>
        </w:rPr>
        <w:t xml:space="preserve"> دائما</w:t>
      </w:r>
      <w:r w:rsidRPr="00FD211F">
        <w:rPr>
          <w:sz w:val="36"/>
          <w:szCs w:val="36"/>
          <w:rtl/>
        </w:rPr>
        <w:t xml:space="preserve"> ولامعنى لاستعمال طبيعي اللفظ</w:t>
      </w:r>
      <w:r w:rsidR="00603323" w:rsidRPr="00FD211F">
        <w:rPr>
          <w:sz w:val="36"/>
          <w:szCs w:val="36"/>
          <w:rtl/>
        </w:rPr>
        <w:t xml:space="preserve">، </w:t>
      </w:r>
      <w:r w:rsidRPr="00FD211F">
        <w:rPr>
          <w:sz w:val="36"/>
          <w:szCs w:val="36"/>
          <w:rtl/>
        </w:rPr>
        <w:t xml:space="preserve">فيكون الاستعمال على هذا </w:t>
      </w:r>
      <w:r w:rsidR="00C3247B" w:rsidRPr="00FD211F">
        <w:rPr>
          <w:sz w:val="36"/>
          <w:szCs w:val="36"/>
          <w:rtl/>
        </w:rPr>
        <w:t>محققا</w:t>
      </w:r>
      <w:r w:rsidRPr="00FD211F">
        <w:rPr>
          <w:sz w:val="36"/>
          <w:szCs w:val="36"/>
          <w:rtl/>
        </w:rPr>
        <w:t xml:space="preserve"> لوضع شخص ذلك اللفظ</w:t>
      </w:r>
      <w:r w:rsidR="00C3247B" w:rsidRPr="00FD211F">
        <w:rPr>
          <w:sz w:val="36"/>
          <w:szCs w:val="36"/>
          <w:rtl/>
        </w:rPr>
        <w:t xml:space="preserve"> وتخصيصه بالمعنى</w:t>
      </w:r>
      <w:r w:rsidR="00603323" w:rsidRPr="00FD211F">
        <w:rPr>
          <w:sz w:val="36"/>
          <w:szCs w:val="36"/>
          <w:rtl/>
        </w:rPr>
        <w:t xml:space="preserve">، </w:t>
      </w:r>
      <w:r w:rsidRPr="00FD211F">
        <w:rPr>
          <w:sz w:val="36"/>
          <w:szCs w:val="36"/>
          <w:rtl/>
        </w:rPr>
        <w:t xml:space="preserve">بينما ان </w:t>
      </w:r>
      <w:r w:rsidR="00C3247B" w:rsidRPr="00FD211F">
        <w:rPr>
          <w:sz w:val="36"/>
          <w:szCs w:val="36"/>
          <w:rtl/>
        </w:rPr>
        <w:t xml:space="preserve">المطلوب </w:t>
      </w:r>
      <w:r w:rsidRPr="00FD211F">
        <w:rPr>
          <w:sz w:val="36"/>
          <w:szCs w:val="36"/>
          <w:rtl/>
        </w:rPr>
        <w:t>هو وضع طبيعي اللفظ</w:t>
      </w:r>
      <w:r w:rsidR="00222D51" w:rsidRPr="00FD211F">
        <w:rPr>
          <w:sz w:val="36"/>
          <w:szCs w:val="36"/>
          <w:rtl/>
        </w:rPr>
        <w:t xml:space="preserve"> للمعنى</w:t>
      </w:r>
      <w:r w:rsidR="00603323" w:rsidRPr="00FD211F">
        <w:rPr>
          <w:sz w:val="36"/>
          <w:szCs w:val="36"/>
          <w:rtl/>
        </w:rPr>
        <w:t xml:space="preserve">، </w:t>
      </w:r>
      <w:r w:rsidRPr="00FD211F">
        <w:rPr>
          <w:sz w:val="36"/>
          <w:szCs w:val="36"/>
          <w:rtl/>
        </w:rPr>
        <w:t>ففيه:</w:t>
      </w:r>
      <w:r w:rsidR="00222D51" w:rsidRPr="00FD211F">
        <w:rPr>
          <w:sz w:val="36"/>
          <w:szCs w:val="36"/>
          <w:rtl/>
        </w:rPr>
        <w:t xml:space="preserve"> أنه حينما يقول الوالد</w:t>
      </w:r>
      <w:r w:rsidRPr="00FD211F">
        <w:rPr>
          <w:sz w:val="36"/>
          <w:szCs w:val="36"/>
          <w:rtl/>
        </w:rPr>
        <w:t xml:space="preserve"> مثلا </w:t>
      </w:r>
      <w:r w:rsidR="00F67C12" w:rsidRPr="00FD211F">
        <w:rPr>
          <w:sz w:val="36"/>
          <w:szCs w:val="36"/>
          <w:rtl/>
        </w:rPr>
        <w:t>"</w:t>
      </w:r>
      <w:r w:rsidR="00CE5A53" w:rsidRPr="00FD211F">
        <w:rPr>
          <w:sz w:val="36"/>
          <w:szCs w:val="36"/>
          <w:rtl/>
        </w:rPr>
        <w:t>جئني بولدي الحسين</w:t>
      </w:r>
      <w:r w:rsidR="00F67C12" w:rsidRPr="00FD211F">
        <w:rPr>
          <w:sz w:val="36"/>
          <w:szCs w:val="36"/>
          <w:rtl/>
        </w:rPr>
        <w:t>"</w:t>
      </w:r>
      <w:r w:rsidR="00222D51" w:rsidRPr="00FD211F">
        <w:rPr>
          <w:sz w:val="36"/>
          <w:szCs w:val="36"/>
          <w:rtl/>
        </w:rPr>
        <w:t xml:space="preserve"> مع ظهور حاله في كونه بصدد الوضع</w:t>
      </w:r>
      <w:r w:rsidR="00603323" w:rsidRPr="00FD211F">
        <w:rPr>
          <w:sz w:val="36"/>
          <w:szCs w:val="36"/>
          <w:rtl/>
        </w:rPr>
        <w:t xml:space="preserve">، </w:t>
      </w:r>
      <w:r w:rsidR="00222D51" w:rsidRPr="00FD211F">
        <w:rPr>
          <w:sz w:val="36"/>
          <w:szCs w:val="36"/>
          <w:rtl/>
        </w:rPr>
        <w:t>فهذه القرين</w:t>
      </w:r>
      <w:r w:rsidR="00EC7EDF" w:rsidRPr="00FD211F">
        <w:rPr>
          <w:sz w:val="36"/>
          <w:szCs w:val="36"/>
          <w:rtl/>
        </w:rPr>
        <w:t xml:space="preserve">ة </w:t>
      </w:r>
      <w:r w:rsidR="00222D51" w:rsidRPr="00FD211F">
        <w:rPr>
          <w:sz w:val="36"/>
          <w:szCs w:val="36"/>
          <w:rtl/>
        </w:rPr>
        <w:t>الحالي</w:t>
      </w:r>
      <w:r w:rsidR="00EC7EDF" w:rsidRPr="00FD211F">
        <w:rPr>
          <w:sz w:val="36"/>
          <w:szCs w:val="36"/>
          <w:rtl/>
        </w:rPr>
        <w:t xml:space="preserve">ة </w:t>
      </w:r>
      <w:r w:rsidR="00602011" w:rsidRPr="00FD211F">
        <w:rPr>
          <w:sz w:val="36"/>
          <w:szCs w:val="36"/>
          <w:rtl/>
        </w:rPr>
        <w:t>توجب كون هذا الاستعمال تخصيصا ل</w:t>
      </w:r>
      <w:r w:rsidR="00CE5A53" w:rsidRPr="00FD211F">
        <w:rPr>
          <w:sz w:val="36"/>
          <w:szCs w:val="36"/>
          <w:rtl/>
        </w:rPr>
        <w:t>طبيعي لفظ الحسين</w:t>
      </w:r>
      <w:r w:rsidRPr="00FD211F">
        <w:rPr>
          <w:sz w:val="36"/>
          <w:szCs w:val="36"/>
          <w:rtl/>
        </w:rPr>
        <w:t xml:space="preserve"> على ولده</w:t>
      </w:r>
      <w:r w:rsidR="00603323" w:rsidRPr="00FD211F">
        <w:rPr>
          <w:sz w:val="36"/>
          <w:szCs w:val="36"/>
          <w:rtl/>
        </w:rPr>
        <w:t xml:space="preserve">، </w:t>
      </w:r>
      <w:r w:rsidR="00D648E1" w:rsidRPr="00FD211F">
        <w:rPr>
          <w:sz w:val="36"/>
          <w:szCs w:val="36"/>
          <w:rtl/>
        </w:rPr>
        <w:t>اذ العرف</w:t>
      </w:r>
      <w:r w:rsidR="00CE5A53" w:rsidRPr="00FD211F">
        <w:rPr>
          <w:sz w:val="36"/>
          <w:szCs w:val="36"/>
          <w:rtl/>
        </w:rPr>
        <w:t xml:space="preserve"> يلغي الخصوصي</w:t>
      </w:r>
      <w:r w:rsidR="00EC7EDF" w:rsidRPr="00FD211F">
        <w:rPr>
          <w:sz w:val="36"/>
          <w:szCs w:val="36"/>
          <w:rtl/>
        </w:rPr>
        <w:t xml:space="preserve">ة </w:t>
      </w:r>
      <w:r w:rsidR="00CE5A53" w:rsidRPr="00FD211F">
        <w:rPr>
          <w:sz w:val="36"/>
          <w:szCs w:val="36"/>
          <w:rtl/>
        </w:rPr>
        <w:t>عن شخص هذا ال</w:t>
      </w:r>
      <w:r w:rsidR="00C17BAC" w:rsidRPr="00FD211F">
        <w:rPr>
          <w:sz w:val="36"/>
          <w:szCs w:val="36"/>
          <w:rtl/>
        </w:rPr>
        <w:t>لفظ المذكور في استعمال الوالد</w:t>
      </w:r>
      <w:r w:rsidRPr="00FD211F">
        <w:rPr>
          <w:sz w:val="36"/>
          <w:szCs w:val="36"/>
          <w:rtl/>
        </w:rPr>
        <w:t>.</w:t>
      </w:r>
    </w:p>
    <w:p w14:paraId="24A73DAF" w14:textId="77777777" w:rsidR="000C5BBA" w:rsidRPr="00FD211F" w:rsidRDefault="00CE7F5B" w:rsidP="009C58C8">
      <w:pPr>
        <w:ind w:left="0" w:firstLine="227"/>
        <w:jc w:val="both"/>
        <w:rPr>
          <w:sz w:val="36"/>
          <w:szCs w:val="36"/>
          <w:rtl/>
        </w:rPr>
      </w:pPr>
      <w:r w:rsidRPr="00FD211F">
        <w:rPr>
          <w:sz w:val="36"/>
          <w:szCs w:val="36"/>
          <w:rtl/>
        </w:rPr>
        <w:t>واما ما ذكره من لزوم الدور</w:t>
      </w:r>
      <w:r w:rsidR="00264948" w:rsidRPr="00FD211F">
        <w:rPr>
          <w:sz w:val="36"/>
          <w:szCs w:val="36"/>
          <w:rtl/>
        </w:rPr>
        <w:t xml:space="preserve"> ففيه:</w:t>
      </w:r>
      <w:r w:rsidRPr="00FD211F">
        <w:rPr>
          <w:sz w:val="36"/>
          <w:szCs w:val="36"/>
          <w:rtl/>
        </w:rPr>
        <w:t xml:space="preserve"> انه بعد</w:t>
      </w:r>
      <w:r w:rsidR="00D22475" w:rsidRPr="00FD211F">
        <w:rPr>
          <w:sz w:val="36"/>
          <w:szCs w:val="36"/>
          <w:rtl/>
        </w:rPr>
        <w:t xml:space="preserve"> ما</w:t>
      </w:r>
      <w:r w:rsidRPr="00FD211F">
        <w:rPr>
          <w:sz w:val="36"/>
          <w:szCs w:val="36"/>
          <w:rtl/>
        </w:rPr>
        <w:t xml:space="preserve"> افترض</w:t>
      </w:r>
      <w:r w:rsidR="00264948" w:rsidRPr="00FD211F">
        <w:rPr>
          <w:sz w:val="36"/>
          <w:szCs w:val="36"/>
          <w:rtl/>
        </w:rPr>
        <w:t xml:space="preserve"> من</w:t>
      </w:r>
      <w:r w:rsidRPr="00FD211F">
        <w:rPr>
          <w:sz w:val="36"/>
          <w:szCs w:val="36"/>
          <w:rtl/>
        </w:rPr>
        <w:t xml:space="preserve"> وجود قرين</w:t>
      </w:r>
      <w:r w:rsidR="00EC7EDF" w:rsidRPr="00FD211F">
        <w:rPr>
          <w:sz w:val="36"/>
          <w:szCs w:val="36"/>
          <w:rtl/>
        </w:rPr>
        <w:t xml:space="preserve">ة </w:t>
      </w:r>
      <w:r w:rsidRPr="00FD211F">
        <w:rPr>
          <w:sz w:val="36"/>
          <w:szCs w:val="36"/>
          <w:rtl/>
        </w:rPr>
        <w:t>على</w:t>
      </w:r>
      <w:r w:rsidR="00264948" w:rsidRPr="00FD211F">
        <w:rPr>
          <w:sz w:val="36"/>
          <w:szCs w:val="36"/>
          <w:rtl/>
        </w:rPr>
        <w:t xml:space="preserve"> كون المستعمل في مقام الوضع</w:t>
      </w:r>
      <w:r w:rsidR="00FE49A0" w:rsidRPr="00FD211F">
        <w:rPr>
          <w:sz w:val="36"/>
          <w:szCs w:val="36"/>
          <w:rtl/>
        </w:rPr>
        <w:t xml:space="preserve"> </w:t>
      </w:r>
      <w:r w:rsidR="00FB00C4" w:rsidRPr="00FD211F">
        <w:rPr>
          <w:sz w:val="36"/>
          <w:szCs w:val="36"/>
          <w:rtl/>
        </w:rPr>
        <w:t>فيكون محقق</w:t>
      </w:r>
      <w:r w:rsidR="00FE49A0" w:rsidRPr="00FD211F">
        <w:rPr>
          <w:sz w:val="36"/>
          <w:szCs w:val="36"/>
          <w:rtl/>
        </w:rPr>
        <w:t xml:space="preserve"> الوضع هو استعمال اللفظ في معنى مع وجود قرين</w:t>
      </w:r>
      <w:r w:rsidR="00EC7EDF" w:rsidRPr="00FD211F">
        <w:rPr>
          <w:sz w:val="36"/>
          <w:szCs w:val="36"/>
          <w:rtl/>
        </w:rPr>
        <w:t xml:space="preserve">ة </w:t>
      </w:r>
      <w:r w:rsidR="00FE49A0" w:rsidRPr="00FD211F">
        <w:rPr>
          <w:sz w:val="36"/>
          <w:szCs w:val="36"/>
          <w:rtl/>
        </w:rPr>
        <w:t>حالي</w:t>
      </w:r>
      <w:r w:rsidR="00EC7EDF" w:rsidRPr="00FD211F">
        <w:rPr>
          <w:sz w:val="36"/>
          <w:szCs w:val="36"/>
          <w:rtl/>
        </w:rPr>
        <w:t xml:space="preserve">ة </w:t>
      </w:r>
      <w:r w:rsidR="00FE49A0" w:rsidRPr="00FD211F">
        <w:rPr>
          <w:sz w:val="36"/>
          <w:szCs w:val="36"/>
          <w:rtl/>
        </w:rPr>
        <w:t>على كون المستعمل بصدد الوضع</w:t>
      </w:r>
      <w:r w:rsidR="00603323" w:rsidRPr="00FD211F">
        <w:rPr>
          <w:sz w:val="36"/>
          <w:szCs w:val="36"/>
          <w:rtl/>
        </w:rPr>
        <w:t xml:space="preserve">، </w:t>
      </w:r>
      <w:r w:rsidR="00FB00C4" w:rsidRPr="00FD211F">
        <w:rPr>
          <w:sz w:val="36"/>
          <w:szCs w:val="36"/>
          <w:rtl/>
        </w:rPr>
        <w:t>وهذا الاستعمال</w:t>
      </w:r>
      <w:r w:rsidR="00315487" w:rsidRPr="00FD211F">
        <w:rPr>
          <w:sz w:val="36"/>
          <w:szCs w:val="36"/>
          <w:rtl/>
        </w:rPr>
        <w:t xml:space="preserve"> لايتوقف على فعلي</w:t>
      </w:r>
      <w:r w:rsidR="00EC7EDF" w:rsidRPr="00FD211F">
        <w:rPr>
          <w:sz w:val="36"/>
          <w:szCs w:val="36"/>
          <w:rtl/>
        </w:rPr>
        <w:t xml:space="preserve">ة </w:t>
      </w:r>
      <w:r w:rsidR="00315487" w:rsidRPr="00FD211F">
        <w:rPr>
          <w:sz w:val="36"/>
          <w:szCs w:val="36"/>
          <w:rtl/>
        </w:rPr>
        <w:t>الوضع</w:t>
      </w:r>
      <w:r w:rsidR="00C25B29" w:rsidRPr="00FD211F">
        <w:rPr>
          <w:sz w:val="36"/>
          <w:szCs w:val="36"/>
          <w:rtl/>
        </w:rPr>
        <w:t xml:space="preserve"> في الرتب</w:t>
      </w:r>
      <w:r w:rsidR="00EC7EDF" w:rsidRPr="00FD211F">
        <w:rPr>
          <w:sz w:val="36"/>
          <w:szCs w:val="36"/>
          <w:rtl/>
        </w:rPr>
        <w:t xml:space="preserve">ة </w:t>
      </w:r>
      <w:r w:rsidR="00C25B29" w:rsidRPr="00FD211F">
        <w:rPr>
          <w:sz w:val="36"/>
          <w:szCs w:val="36"/>
          <w:rtl/>
        </w:rPr>
        <w:t>السابق</w:t>
      </w:r>
      <w:r w:rsidR="00EC7EDF" w:rsidRPr="00FD211F">
        <w:rPr>
          <w:sz w:val="36"/>
          <w:szCs w:val="36"/>
          <w:rtl/>
        </w:rPr>
        <w:t>ة</w:t>
      </w:r>
      <w:r w:rsidR="00603323" w:rsidRPr="00FD211F">
        <w:rPr>
          <w:sz w:val="36"/>
          <w:szCs w:val="36"/>
          <w:rtl/>
        </w:rPr>
        <w:t xml:space="preserve">، </w:t>
      </w:r>
      <w:r w:rsidR="00315487" w:rsidRPr="00FD211F">
        <w:rPr>
          <w:sz w:val="36"/>
          <w:szCs w:val="36"/>
          <w:rtl/>
        </w:rPr>
        <w:t>وانما يتوقف على تحقق الوضع</w:t>
      </w:r>
      <w:r w:rsidR="00D648E1" w:rsidRPr="00FD211F">
        <w:rPr>
          <w:sz w:val="36"/>
          <w:szCs w:val="36"/>
          <w:rtl/>
        </w:rPr>
        <w:t xml:space="preserve"> مقارنا للاستعمال المقرون بقرين</w:t>
      </w:r>
      <w:r w:rsidR="00EC7EDF" w:rsidRPr="00FD211F">
        <w:rPr>
          <w:sz w:val="36"/>
          <w:szCs w:val="36"/>
          <w:rtl/>
        </w:rPr>
        <w:t xml:space="preserve">ة </w:t>
      </w:r>
      <w:r w:rsidR="00D648E1" w:rsidRPr="00FD211F">
        <w:rPr>
          <w:sz w:val="36"/>
          <w:szCs w:val="36"/>
          <w:rtl/>
        </w:rPr>
        <w:t>على الوضع</w:t>
      </w:r>
      <w:r w:rsidR="00603323" w:rsidRPr="00FD211F">
        <w:rPr>
          <w:sz w:val="36"/>
          <w:szCs w:val="36"/>
          <w:rtl/>
        </w:rPr>
        <w:t xml:space="preserve">، </w:t>
      </w:r>
      <w:r w:rsidR="00315487" w:rsidRPr="00FD211F">
        <w:rPr>
          <w:sz w:val="36"/>
          <w:szCs w:val="36"/>
          <w:rtl/>
        </w:rPr>
        <w:t>ولو</w:t>
      </w:r>
      <w:r w:rsidR="00680946" w:rsidRPr="00FD211F">
        <w:rPr>
          <w:sz w:val="36"/>
          <w:szCs w:val="36"/>
          <w:rtl/>
        </w:rPr>
        <w:t xml:space="preserve"> كان الوضع متأخرا عنه رتب</w:t>
      </w:r>
      <w:r w:rsidR="00EC7EDF" w:rsidRPr="00FD211F">
        <w:rPr>
          <w:sz w:val="36"/>
          <w:szCs w:val="36"/>
          <w:rtl/>
        </w:rPr>
        <w:t>ة</w:t>
      </w:r>
      <w:r w:rsidR="00A61BAE" w:rsidRPr="00FD211F">
        <w:rPr>
          <w:sz w:val="36"/>
          <w:szCs w:val="36"/>
          <w:rtl/>
        </w:rPr>
        <w:t>.</w:t>
      </w:r>
    </w:p>
    <w:p w14:paraId="3EF61E5E" w14:textId="77777777" w:rsidR="00D56F7D" w:rsidRPr="00FD211F" w:rsidRDefault="00315487" w:rsidP="009C58C8">
      <w:pPr>
        <w:ind w:left="0" w:firstLine="227"/>
        <w:jc w:val="both"/>
        <w:rPr>
          <w:sz w:val="36"/>
          <w:szCs w:val="36"/>
          <w:rtl/>
        </w:rPr>
      </w:pPr>
      <w:r w:rsidRPr="00FD211F">
        <w:rPr>
          <w:sz w:val="36"/>
          <w:szCs w:val="36"/>
          <w:rtl/>
        </w:rPr>
        <w:t>وان شئت قلت: ان</w:t>
      </w:r>
      <w:r w:rsidR="00C25B29" w:rsidRPr="00FD211F">
        <w:rPr>
          <w:sz w:val="36"/>
          <w:szCs w:val="36"/>
          <w:rtl/>
        </w:rPr>
        <w:t xml:space="preserve"> تحقق الوضع بهذا الاستعمال لايتوقف على كون اللفظ بنفسه –وبلاحاج</w:t>
      </w:r>
      <w:r w:rsidR="00EC7EDF" w:rsidRPr="00FD211F">
        <w:rPr>
          <w:sz w:val="36"/>
          <w:szCs w:val="36"/>
          <w:rtl/>
        </w:rPr>
        <w:t xml:space="preserve">ة </w:t>
      </w:r>
      <w:r w:rsidR="00C25B29" w:rsidRPr="00FD211F">
        <w:rPr>
          <w:sz w:val="36"/>
          <w:szCs w:val="36"/>
          <w:rtl/>
        </w:rPr>
        <w:t>الى اي</w:t>
      </w:r>
      <w:r w:rsidR="00EC7EDF" w:rsidRPr="00FD211F">
        <w:rPr>
          <w:sz w:val="36"/>
          <w:szCs w:val="36"/>
          <w:rtl/>
        </w:rPr>
        <w:t xml:space="preserve">ة </w:t>
      </w:r>
      <w:r w:rsidR="00C25B29" w:rsidRPr="00FD211F">
        <w:rPr>
          <w:sz w:val="36"/>
          <w:szCs w:val="36"/>
          <w:rtl/>
        </w:rPr>
        <w:t>قرين</w:t>
      </w:r>
      <w:r w:rsidR="00EC7EDF" w:rsidRPr="00FD211F">
        <w:rPr>
          <w:sz w:val="36"/>
          <w:szCs w:val="36"/>
          <w:rtl/>
        </w:rPr>
        <w:t xml:space="preserve">ة </w:t>
      </w:r>
      <w:r w:rsidR="00C25B29" w:rsidRPr="00FD211F">
        <w:rPr>
          <w:sz w:val="36"/>
          <w:szCs w:val="36"/>
          <w:rtl/>
        </w:rPr>
        <w:t>- دالا على المعنى في رتب</w:t>
      </w:r>
      <w:r w:rsidR="00EC7EDF" w:rsidRPr="00FD211F">
        <w:rPr>
          <w:sz w:val="36"/>
          <w:szCs w:val="36"/>
          <w:rtl/>
        </w:rPr>
        <w:t xml:space="preserve">ة </w:t>
      </w:r>
      <w:r w:rsidR="00C25B29" w:rsidRPr="00FD211F">
        <w:rPr>
          <w:sz w:val="36"/>
          <w:szCs w:val="36"/>
          <w:rtl/>
        </w:rPr>
        <w:t>سابق</w:t>
      </w:r>
      <w:r w:rsidR="00EC7EDF" w:rsidRPr="00FD211F">
        <w:rPr>
          <w:sz w:val="36"/>
          <w:szCs w:val="36"/>
          <w:rtl/>
        </w:rPr>
        <w:t>ة</w:t>
      </w:r>
      <w:r w:rsidR="00603323" w:rsidRPr="00FD211F">
        <w:rPr>
          <w:sz w:val="36"/>
          <w:szCs w:val="36"/>
          <w:rtl/>
        </w:rPr>
        <w:t xml:space="preserve">، </w:t>
      </w:r>
      <w:r w:rsidR="00C25B29" w:rsidRPr="00FD211F">
        <w:rPr>
          <w:sz w:val="36"/>
          <w:szCs w:val="36"/>
          <w:rtl/>
        </w:rPr>
        <w:t>بل يكفي فيه ان يفهم المعنى من هذا اللفظ في ظرف الاستعمال ولو بالاستعان</w:t>
      </w:r>
      <w:r w:rsidR="00EC7EDF" w:rsidRPr="00FD211F">
        <w:rPr>
          <w:sz w:val="36"/>
          <w:szCs w:val="36"/>
          <w:rtl/>
        </w:rPr>
        <w:t xml:space="preserve">ة </w:t>
      </w:r>
      <w:r w:rsidR="00C25B29" w:rsidRPr="00FD211F">
        <w:rPr>
          <w:sz w:val="36"/>
          <w:szCs w:val="36"/>
          <w:rtl/>
        </w:rPr>
        <w:t>بالقرين</w:t>
      </w:r>
      <w:r w:rsidR="00EC7EDF" w:rsidRPr="00FD211F">
        <w:rPr>
          <w:sz w:val="36"/>
          <w:szCs w:val="36"/>
          <w:rtl/>
        </w:rPr>
        <w:t>ة</w:t>
      </w:r>
      <w:r w:rsidR="00603323" w:rsidRPr="00FD211F">
        <w:rPr>
          <w:sz w:val="36"/>
          <w:szCs w:val="36"/>
          <w:rtl/>
        </w:rPr>
        <w:t xml:space="preserve">، </w:t>
      </w:r>
      <w:r w:rsidR="00C25B29" w:rsidRPr="00FD211F">
        <w:rPr>
          <w:sz w:val="36"/>
          <w:szCs w:val="36"/>
          <w:rtl/>
        </w:rPr>
        <w:t>مع وجود قرين</w:t>
      </w:r>
      <w:r w:rsidR="00EC7EDF" w:rsidRPr="00FD211F">
        <w:rPr>
          <w:sz w:val="36"/>
          <w:szCs w:val="36"/>
          <w:rtl/>
        </w:rPr>
        <w:t xml:space="preserve">ة </w:t>
      </w:r>
      <w:r w:rsidR="00C25B29" w:rsidRPr="00FD211F">
        <w:rPr>
          <w:sz w:val="36"/>
          <w:szCs w:val="36"/>
          <w:rtl/>
        </w:rPr>
        <w:t>حالي</w:t>
      </w:r>
      <w:r w:rsidR="00EC7EDF" w:rsidRPr="00FD211F">
        <w:rPr>
          <w:sz w:val="36"/>
          <w:szCs w:val="36"/>
          <w:rtl/>
        </w:rPr>
        <w:t xml:space="preserve">ة </w:t>
      </w:r>
      <w:r w:rsidR="00C25B29" w:rsidRPr="00FD211F">
        <w:rPr>
          <w:sz w:val="36"/>
          <w:szCs w:val="36"/>
          <w:rtl/>
        </w:rPr>
        <w:t>على كونه بصدد وضع هذا اللفظ على المعنى</w:t>
      </w:r>
      <w:r w:rsidR="00D56F7D" w:rsidRPr="00FD211F">
        <w:rPr>
          <w:sz w:val="36"/>
          <w:szCs w:val="36"/>
          <w:rtl/>
        </w:rPr>
        <w:t>.</w:t>
      </w:r>
    </w:p>
    <w:p w14:paraId="02F7D40B" w14:textId="77777777" w:rsidR="00680946" w:rsidRPr="00FD211F" w:rsidRDefault="00680946" w:rsidP="009C58C8">
      <w:pPr>
        <w:ind w:left="0" w:firstLine="227"/>
        <w:jc w:val="both"/>
        <w:rPr>
          <w:sz w:val="36"/>
          <w:szCs w:val="36"/>
          <w:rtl/>
        </w:rPr>
      </w:pPr>
      <w:r w:rsidRPr="00FD211F">
        <w:rPr>
          <w:sz w:val="36"/>
          <w:szCs w:val="36"/>
          <w:rtl/>
        </w:rPr>
        <w:t xml:space="preserve">ان قلت: </w:t>
      </w:r>
      <w:r w:rsidR="00C25B29" w:rsidRPr="00FD211F">
        <w:rPr>
          <w:sz w:val="36"/>
          <w:szCs w:val="36"/>
          <w:rtl/>
        </w:rPr>
        <w:t>لو كان مراد صاحب الكفاي</w:t>
      </w:r>
      <w:r w:rsidR="00EC7EDF" w:rsidRPr="00FD211F">
        <w:rPr>
          <w:sz w:val="36"/>
          <w:szCs w:val="36"/>
          <w:rtl/>
        </w:rPr>
        <w:t xml:space="preserve">ة </w:t>
      </w:r>
      <w:r w:rsidR="00F67C12" w:rsidRPr="00FD211F">
        <w:rPr>
          <w:sz w:val="36"/>
          <w:szCs w:val="36"/>
          <w:rtl/>
        </w:rPr>
        <w:t>"قده"</w:t>
      </w:r>
      <w:r w:rsidR="00C25B29" w:rsidRPr="00FD211F">
        <w:rPr>
          <w:sz w:val="36"/>
          <w:szCs w:val="36"/>
          <w:rtl/>
        </w:rPr>
        <w:t xml:space="preserve"> من تفسير الوضع التعييني بكونه تخصيص اللفظ بالمعنى هو تخصيصه به خارجا لااعتبارا فقد يقال بان استعمال اللفظ في المعنى انما يوجب تخصيصه به خارجا فيما اذا كان مجردا عن القرين</w:t>
      </w:r>
      <w:r w:rsidR="00EC7EDF" w:rsidRPr="00FD211F">
        <w:rPr>
          <w:sz w:val="36"/>
          <w:szCs w:val="36"/>
          <w:rtl/>
        </w:rPr>
        <w:t>ة</w:t>
      </w:r>
      <w:r w:rsidR="00603323" w:rsidRPr="00FD211F">
        <w:rPr>
          <w:sz w:val="36"/>
          <w:szCs w:val="36"/>
          <w:rtl/>
        </w:rPr>
        <w:t xml:space="preserve">، </w:t>
      </w:r>
      <w:r w:rsidR="00C25B29" w:rsidRPr="00FD211F">
        <w:rPr>
          <w:sz w:val="36"/>
          <w:szCs w:val="36"/>
          <w:rtl/>
        </w:rPr>
        <w:t>والمفروض ان استعمال لفظ في معنى ليدل عليه بنفسه بلاحاج</w:t>
      </w:r>
      <w:r w:rsidR="00EC7EDF" w:rsidRPr="00FD211F">
        <w:rPr>
          <w:sz w:val="36"/>
          <w:szCs w:val="36"/>
          <w:rtl/>
        </w:rPr>
        <w:t xml:space="preserve">ة </w:t>
      </w:r>
      <w:r w:rsidR="00C25B29" w:rsidRPr="00FD211F">
        <w:rPr>
          <w:sz w:val="36"/>
          <w:szCs w:val="36"/>
          <w:rtl/>
        </w:rPr>
        <w:t>الى أي</w:t>
      </w:r>
      <w:r w:rsidR="00EC7EDF" w:rsidRPr="00FD211F">
        <w:rPr>
          <w:sz w:val="36"/>
          <w:szCs w:val="36"/>
          <w:rtl/>
        </w:rPr>
        <w:t xml:space="preserve">ة </w:t>
      </w:r>
      <w:r w:rsidR="00C25B29" w:rsidRPr="00FD211F">
        <w:rPr>
          <w:sz w:val="36"/>
          <w:szCs w:val="36"/>
          <w:rtl/>
        </w:rPr>
        <w:t>قرين</w:t>
      </w:r>
      <w:r w:rsidR="00EC7EDF" w:rsidRPr="00FD211F">
        <w:rPr>
          <w:sz w:val="36"/>
          <w:szCs w:val="36"/>
          <w:rtl/>
        </w:rPr>
        <w:t xml:space="preserve">ة </w:t>
      </w:r>
      <w:r w:rsidR="00D56F7D" w:rsidRPr="00FD211F">
        <w:rPr>
          <w:sz w:val="36"/>
          <w:szCs w:val="36"/>
          <w:rtl/>
        </w:rPr>
        <w:t>يتوقف على تحقق الوضع في رتب</w:t>
      </w:r>
      <w:r w:rsidR="00EC7EDF" w:rsidRPr="00FD211F">
        <w:rPr>
          <w:sz w:val="36"/>
          <w:szCs w:val="36"/>
          <w:rtl/>
        </w:rPr>
        <w:t xml:space="preserve">ة </w:t>
      </w:r>
      <w:r w:rsidR="00D56F7D" w:rsidRPr="00FD211F">
        <w:rPr>
          <w:sz w:val="36"/>
          <w:szCs w:val="36"/>
          <w:rtl/>
        </w:rPr>
        <w:t>سابق</w:t>
      </w:r>
      <w:r w:rsidR="00EC7EDF" w:rsidRPr="00FD211F">
        <w:rPr>
          <w:sz w:val="36"/>
          <w:szCs w:val="36"/>
          <w:rtl/>
        </w:rPr>
        <w:t>ة</w:t>
      </w:r>
      <w:r w:rsidR="00603323" w:rsidRPr="00FD211F">
        <w:rPr>
          <w:sz w:val="36"/>
          <w:szCs w:val="36"/>
          <w:rtl/>
        </w:rPr>
        <w:t xml:space="preserve">، </w:t>
      </w:r>
      <w:r w:rsidR="00981E8D" w:rsidRPr="00FD211F">
        <w:rPr>
          <w:sz w:val="36"/>
          <w:szCs w:val="36"/>
          <w:rtl/>
        </w:rPr>
        <w:t>فيلزم الدور</w:t>
      </w:r>
      <w:r w:rsidRPr="00FD211F">
        <w:rPr>
          <w:sz w:val="36"/>
          <w:szCs w:val="36"/>
          <w:rtl/>
        </w:rPr>
        <w:t>.</w:t>
      </w:r>
    </w:p>
    <w:p w14:paraId="788E5FF1" w14:textId="77777777" w:rsidR="00D56F7D" w:rsidRPr="00FD211F" w:rsidRDefault="00680946" w:rsidP="009C58C8">
      <w:pPr>
        <w:ind w:left="0" w:firstLine="227"/>
        <w:jc w:val="both"/>
        <w:rPr>
          <w:sz w:val="36"/>
          <w:szCs w:val="36"/>
          <w:rtl/>
        </w:rPr>
      </w:pPr>
      <w:r w:rsidRPr="00FD211F">
        <w:rPr>
          <w:sz w:val="36"/>
          <w:szCs w:val="36"/>
          <w:rtl/>
        </w:rPr>
        <w:t>قلت:</w:t>
      </w:r>
      <w:r w:rsidR="00D56F7D" w:rsidRPr="00FD211F">
        <w:rPr>
          <w:sz w:val="36"/>
          <w:szCs w:val="36"/>
          <w:rtl/>
        </w:rPr>
        <w:t xml:space="preserve"> لاوجه لذلك بتاتا فانه يكفي في تخصيص اللفظ بالمعنى خارجا وجود قرين</w:t>
      </w:r>
      <w:r w:rsidR="00EC7EDF" w:rsidRPr="00FD211F">
        <w:rPr>
          <w:sz w:val="36"/>
          <w:szCs w:val="36"/>
          <w:rtl/>
        </w:rPr>
        <w:t xml:space="preserve">ة </w:t>
      </w:r>
      <w:r w:rsidR="00D56F7D" w:rsidRPr="00FD211F">
        <w:rPr>
          <w:sz w:val="36"/>
          <w:szCs w:val="36"/>
          <w:rtl/>
        </w:rPr>
        <w:t>على ارادته لمعنى وأنه بصدد وضع هذا اللفظ على ذلك المعنى</w:t>
      </w:r>
      <w:r w:rsidR="00603323" w:rsidRPr="00FD211F">
        <w:rPr>
          <w:sz w:val="36"/>
          <w:szCs w:val="36"/>
          <w:rtl/>
        </w:rPr>
        <w:t xml:space="preserve">، </w:t>
      </w:r>
      <w:r w:rsidR="00D56F7D" w:rsidRPr="00FD211F">
        <w:rPr>
          <w:sz w:val="36"/>
          <w:szCs w:val="36"/>
          <w:rtl/>
        </w:rPr>
        <w:t>ولايحتاج الى دلال</w:t>
      </w:r>
      <w:r w:rsidR="00EC7EDF" w:rsidRPr="00FD211F">
        <w:rPr>
          <w:sz w:val="36"/>
          <w:szCs w:val="36"/>
          <w:rtl/>
        </w:rPr>
        <w:t xml:space="preserve">ة </w:t>
      </w:r>
      <w:r w:rsidR="00D56F7D" w:rsidRPr="00FD211F">
        <w:rPr>
          <w:sz w:val="36"/>
          <w:szCs w:val="36"/>
          <w:rtl/>
        </w:rPr>
        <w:t>هذا اللفظ بنفسه على ذاك المعنى في رتب</w:t>
      </w:r>
      <w:r w:rsidR="00EC7EDF" w:rsidRPr="00FD211F">
        <w:rPr>
          <w:sz w:val="36"/>
          <w:szCs w:val="36"/>
          <w:rtl/>
        </w:rPr>
        <w:t xml:space="preserve">ة </w:t>
      </w:r>
      <w:r w:rsidR="00D56F7D" w:rsidRPr="00FD211F">
        <w:rPr>
          <w:sz w:val="36"/>
          <w:szCs w:val="36"/>
          <w:rtl/>
        </w:rPr>
        <w:t>سابق</w:t>
      </w:r>
      <w:r w:rsidR="00EC7EDF" w:rsidRPr="00FD211F">
        <w:rPr>
          <w:sz w:val="36"/>
          <w:szCs w:val="36"/>
          <w:rtl/>
        </w:rPr>
        <w:t>ة</w:t>
      </w:r>
      <w:r w:rsidR="00A61BAE" w:rsidRPr="00FD211F">
        <w:rPr>
          <w:sz w:val="36"/>
          <w:szCs w:val="36"/>
          <w:rtl/>
        </w:rPr>
        <w:t>.</w:t>
      </w:r>
    </w:p>
    <w:p w14:paraId="0903985E" w14:textId="77777777" w:rsidR="003F324F" w:rsidRPr="00FD211F" w:rsidRDefault="008026F3" w:rsidP="009C58C8">
      <w:pPr>
        <w:ind w:left="0" w:firstLine="227"/>
        <w:jc w:val="both"/>
        <w:rPr>
          <w:sz w:val="36"/>
          <w:szCs w:val="36"/>
          <w:rtl/>
        </w:rPr>
      </w:pPr>
      <w:r w:rsidRPr="00FD211F">
        <w:rPr>
          <w:sz w:val="36"/>
          <w:szCs w:val="36"/>
          <w:rtl/>
        </w:rPr>
        <w:t xml:space="preserve">فالصحيح هو امكان </w:t>
      </w:r>
      <w:r w:rsidR="00C17BAC" w:rsidRPr="00FD211F">
        <w:rPr>
          <w:sz w:val="36"/>
          <w:szCs w:val="36"/>
          <w:rtl/>
        </w:rPr>
        <w:t>ايجاد الوضع التعييني بالاستعمال على جميع المسالك في الوضع.</w:t>
      </w:r>
    </w:p>
    <w:p w14:paraId="69F90345" w14:textId="77777777" w:rsidR="008026F3" w:rsidRPr="00FD211F" w:rsidRDefault="008026F3" w:rsidP="009C58C8">
      <w:pPr>
        <w:pStyle w:val="3"/>
        <w:ind w:firstLine="227"/>
        <w:jc w:val="both"/>
        <w:rPr>
          <w:rtl/>
        </w:rPr>
      </w:pPr>
      <w:bookmarkStart w:id="141" w:name="_Toc151944598"/>
      <w:bookmarkStart w:id="142" w:name="_Toc154131725"/>
      <w:bookmarkStart w:id="143" w:name="_Toc156401513"/>
      <w:bookmarkStart w:id="144" w:name="درس015دقيقه15"/>
      <w:bookmarkStart w:id="145" w:name="_Toc192092858"/>
      <w:bookmarkStart w:id="146" w:name="_Toc223890332"/>
      <w:bookmarkEnd w:id="144"/>
      <w:r w:rsidRPr="00FD211F">
        <w:rPr>
          <w:rtl/>
        </w:rPr>
        <w:t>التقسيم الثاني</w:t>
      </w:r>
      <w:bookmarkEnd w:id="141"/>
      <w:bookmarkEnd w:id="142"/>
      <w:bookmarkEnd w:id="143"/>
      <w:bookmarkEnd w:id="145"/>
      <w:bookmarkEnd w:id="146"/>
    </w:p>
    <w:p w14:paraId="10FF65F4" w14:textId="77777777" w:rsidR="008026F3" w:rsidRPr="00FD211F" w:rsidRDefault="008026F3" w:rsidP="009C58C8">
      <w:pPr>
        <w:ind w:left="0" w:firstLine="227"/>
        <w:jc w:val="both"/>
        <w:rPr>
          <w:sz w:val="36"/>
          <w:szCs w:val="36"/>
          <w:rtl/>
        </w:rPr>
      </w:pPr>
      <w:r w:rsidRPr="00FD211F">
        <w:rPr>
          <w:sz w:val="36"/>
          <w:szCs w:val="36"/>
          <w:rtl/>
        </w:rPr>
        <w:t>وقد يقسم الوضع بالنظر الى المعنى الذي يوضع بإزائه اللفظ على اربع</w:t>
      </w:r>
      <w:r w:rsidR="00EC7EDF" w:rsidRPr="00FD211F">
        <w:rPr>
          <w:sz w:val="36"/>
          <w:szCs w:val="36"/>
          <w:rtl/>
        </w:rPr>
        <w:t xml:space="preserve">ة </w:t>
      </w:r>
      <w:r w:rsidRPr="00FD211F">
        <w:rPr>
          <w:sz w:val="36"/>
          <w:szCs w:val="36"/>
          <w:rtl/>
        </w:rPr>
        <w:t>أقسام:</w:t>
      </w:r>
    </w:p>
    <w:p w14:paraId="30F70D18" w14:textId="77777777" w:rsidR="008026F3" w:rsidRPr="00FD211F" w:rsidRDefault="00DA4AF6" w:rsidP="009C58C8">
      <w:pPr>
        <w:ind w:left="0" w:firstLine="227"/>
        <w:jc w:val="both"/>
        <w:rPr>
          <w:sz w:val="36"/>
          <w:szCs w:val="36"/>
          <w:rtl/>
        </w:rPr>
      </w:pPr>
      <w:r w:rsidRPr="00FD211F">
        <w:rPr>
          <w:sz w:val="36"/>
          <w:szCs w:val="36"/>
          <w:rtl/>
        </w:rPr>
        <w:t xml:space="preserve">1- </w:t>
      </w:r>
      <w:r w:rsidR="008026F3" w:rsidRPr="00FD211F">
        <w:rPr>
          <w:sz w:val="36"/>
          <w:szCs w:val="36"/>
          <w:rtl/>
        </w:rPr>
        <w:t>الوضع العام والموضوع له العام</w:t>
      </w:r>
    </w:p>
    <w:p w14:paraId="10BE2830" w14:textId="77777777" w:rsidR="008026F3" w:rsidRPr="00FD211F" w:rsidRDefault="00DA4AF6" w:rsidP="009C58C8">
      <w:pPr>
        <w:ind w:left="0" w:firstLine="227"/>
        <w:jc w:val="both"/>
        <w:rPr>
          <w:sz w:val="36"/>
          <w:szCs w:val="36"/>
          <w:rtl/>
        </w:rPr>
      </w:pPr>
      <w:r w:rsidRPr="00FD211F">
        <w:rPr>
          <w:sz w:val="36"/>
          <w:szCs w:val="36"/>
          <w:rtl/>
        </w:rPr>
        <w:t xml:space="preserve">2- </w:t>
      </w:r>
      <w:r w:rsidR="008026F3" w:rsidRPr="00FD211F">
        <w:rPr>
          <w:sz w:val="36"/>
          <w:szCs w:val="36"/>
          <w:rtl/>
        </w:rPr>
        <w:t>الوضع الخاص والموضوع له الخاص</w:t>
      </w:r>
    </w:p>
    <w:p w14:paraId="6A188470" w14:textId="77777777" w:rsidR="008026F3" w:rsidRPr="00FD211F" w:rsidRDefault="00DA4AF6" w:rsidP="009C58C8">
      <w:pPr>
        <w:ind w:left="0" w:firstLine="227"/>
        <w:jc w:val="both"/>
        <w:rPr>
          <w:sz w:val="36"/>
          <w:szCs w:val="36"/>
          <w:rtl/>
        </w:rPr>
      </w:pPr>
      <w:r w:rsidRPr="00FD211F">
        <w:rPr>
          <w:sz w:val="36"/>
          <w:szCs w:val="36"/>
          <w:rtl/>
        </w:rPr>
        <w:t xml:space="preserve">3- </w:t>
      </w:r>
      <w:r w:rsidR="008026F3" w:rsidRPr="00FD211F">
        <w:rPr>
          <w:sz w:val="36"/>
          <w:szCs w:val="36"/>
          <w:rtl/>
        </w:rPr>
        <w:t>الوضع العام والموضوع له الخاص</w:t>
      </w:r>
    </w:p>
    <w:p w14:paraId="499DB612" w14:textId="77777777" w:rsidR="008026F3" w:rsidRPr="00FD211F" w:rsidRDefault="00DA4AF6" w:rsidP="009C58C8">
      <w:pPr>
        <w:ind w:left="0" w:firstLine="227"/>
        <w:jc w:val="both"/>
        <w:rPr>
          <w:sz w:val="36"/>
          <w:szCs w:val="36"/>
          <w:rtl/>
        </w:rPr>
      </w:pPr>
      <w:r w:rsidRPr="00FD211F">
        <w:rPr>
          <w:sz w:val="36"/>
          <w:szCs w:val="36"/>
          <w:rtl/>
        </w:rPr>
        <w:t xml:space="preserve">4- </w:t>
      </w:r>
      <w:r w:rsidR="008026F3" w:rsidRPr="00FD211F">
        <w:rPr>
          <w:sz w:val="36"/>
          <w:szCs w:val="36"/>
          <w:rtl/>
        </w:rPr>
        <w:t xml:space="preserve">الوضع الخاص والموضوع له </w:t>
      </w:r>
      <w:r w:rsidR="00D3000E" w:rsidRPr="00FD211F">
        <w:rPr>
          <w:sz w:val="36"/>
          <w:szCs w:val="36"/>
          <w:rtl/>
        </w:rPr>
        <w:t>العام</w:t>
      </w:r>
    </w:p>
    <w:p w14:paraId="425EB445" w14:textId="77777777" w:rsidR="00273E05" w:rsidRPr="00FD211F" w:rsidRDefault="00D56F7D" w:rsidP="009C58C8">
      <w:pPr>
        <w:ind w:left="0" w:firstLine="227"/>
        <w:jc w:val="both"/>
        <w:rPr>
          <w:sz w:val="36"/>
          <w:szCs w:val="36"/>
          <w:rtl/>
        </w:rPr>
      </w:pPr>
      <w:r w:rsidRPr="00FD211F">
        <w:rPr>
          <w:sz w:val="36"/>
          <w:szCs w:val="36"/>
          <w:rtl/>
        </w:rPr>
        <w:t>ومنشأ هذا التقسيم ان المعنى الذي يراد وضع اللفظ بإزاءه</w:t>
      </w:r>
      <w:r w:rsidR="001C2034" w:rsidRPr="00FD211F">
        <w:rPr>
          <w:sz w:val="36"/>
          <w:szCs w:val="36"/>
          <w:rtl/>
        </w:rPr>
        <w:t xml:space="preserve"> قد يكون كليّا بان لايمتنع صدقه على كثيرين كمفهوم الانسان وقد يكون جزئيا يمتنع صدقه على كثيرين كصور</w:t>
      </w:r>
      <w:r w:rsidR="00EC7EDF" w:rsidRPr="00FD211F">
        <w:rPr>
          <w:sz w:val="36"/>
          <w:szCs w:val="36"/>
          <w:rtl/>
        </w:rPr>
        <w:t xml:space="preserve">ة </w:t>
      </w:r>
      <w:r w:rsidR="001C2034" w:rsidRPr="00FD211F">
        <w:rPr>
          <w:sz w:val="36"/>
          <w:szCs w:val="36"/>
          <w:rtl/>
        </w:rPr>
        <w:t>مولود معين</w:t>
      </w:r>
      <w:r w:rsidR="00603323" w:rsidRPr="00FD211F">
        <w:rPr>
          <w:sz w:val="36"/>
          <w:szCs w:val="36"/>
          <w:rtl/>
        </w:rPr>
        <w:t xml:space="preserve">، </w:t>
      </w:r>
      <w:r w:rsidR="001B7486" w:rsidRPr="00FD211F">
        <w:rPr>
          <w:sz w:val="36"/>
          <w:szCs w:val="36"/>
          <w:rtl/>
        </w:rPr>
        <w:t>ومن جه</w:t>
      </w:r>
      <w:r w:rsidR="00EC7EDF" w:rsidRPr="00FD211F">
        <w:rPr>
          <w:sz w:val="36"/>
          <w:szCs w:val="36"/>
          <w:rtl/>
        </w:rPr>
        <w:t xml:space="preserve">ة </w:t>
      </w:r>
      <w:r w:rsidR="001B7486" w:rsidRPr="00FD211F">
        <w:rPr>
          <w:sz w:val="36"/>
          <w:szCs w:val="36"/>
          <w:rtl/>
        </w:rPr>
        <w:t>أخرى ان هذا المعنى الذي يراد وضع اللفظ بإزاءه قد يتصور بنفسه او بعنوان آخر مشير اليه إجمالا لكنه يكون مثل ذلك المعنى من حيث الكلي</w:t>
      </w:r>
      <w:r w:rsidR="00EC7EDF" w:rsidRPr="00FD211F">
        <w:rPr>
          <w:sz w:val="36"/>
          <w:szCs w:val="36"/>
          <w:rtl/>
        </w:rPr>
        <w:t xml:space="preserve">ة </w:t>
      </w:r>
      <w:r w:rsidR="001B7486" w:rsidRPr="00FD211F">
        <w:rPr>
          <w:sz w:val="36"/>
          <w:szCs w:val="36"/>
          <w:rtl/>
        </w:rPr>
        <w:t>والجزئي</w:t>
      </w:r>
      <w:r w:rsidR="00EC7EDF" w:rsidRPr="00FD211F">
        <w:rPr>
          <w:sz w:val="36"/>
          <w:szCs w:val="36"/>
          <w:rtl/>
        </w:rPr>
        <w:t>ة</w:t>
      </w:r>
      <w:r w:rsidR="00603323" w:rsidRPr="00FD211F">
        <w:rPr>
          <w:sz w:val="36"/>
          <w:szCs w:val="36"/>
          <w:rtl/>
        </w:rPr>
        <w:t xml:space="preserve">، </w:t>
      </w:r>
      <w:r w:rsidR="001B7486" w:rsidRPr="00FD211F">
        <w:rPr>
          <w:sz w:val="36"/>
          <w:szCs w:val="36"/>
          <w:rtl/>
        </w:rPr>
        <w:t>وقد يتصور بعنوان آخر مشير اليه اجمالا لكن</w:t>
      </w:r>
      <w:r w:rsidR="00273E05" w:rsidRPr="00FD211F">
        <w:rPr>
          <w:sz w:val="36"/>
          <w:szCs w:val="36"/>
          <w:rtl/>
        </w:rPr>
        <w:t>ه يخالفه من حيث الكلي</w:t>
      </w:r>
      <w:r w:rsidR="00EC7EDF" w:rsidRPr="00FD211F">
        <w:rPr>
          <w:sz w:val="36"/>
          <w:szCs w:val="36"/>
          <w:rtl/>
        </w:rPr>
        <w:t xml:space="preserve">ة </w:t>
      </w:r>
      <w:r w:rsidR="00273E05" w:rsidRPr="00FD211F">
        <w:rPr>
          <w:sz w:val="36"/>
          <w:szCs w:val="36"/>
          <w:rtl/>
        </w:rPr>
        <w:t>والجزئي</w:t>
      </w:r>
      <w:r w:rsidR="00EC7EDF" w:rsidRPr="00FD211F">
        <w:rPr>
          <w:sz w:val="36"/>
          <w:szCs w:val="36"/>
          <w:rtl/>
        </w:rPr>
        <w:t>ة</w:t>
      </w:r>
      <w:r w:rsidR="00A61BAE" w:rsidRPr="00FD211F">
        <w:rPr>
          <w:sz w:val="36"/>
          <w:szCs w:val="36"/>
          <w:rtl/>
        </w:rPr>
        <w:t>.</w:t>
      </w:r>
      <w:r w:rsidRPr="00FD211F">
        <w:rPr>
          <w:sz w:val="36"/>
          <w:szCs w:val="36"/>
          <w:rtl/>
        </w:rPr>
        <w:t xml:space="preserve"> </w:t>
      </w:r>
    </w:p>
    <w:p w14:paraId="46368BD7" w14:textId="77777777" w:rsidR="00273E05" w:rsidRPr="00FD211F" w:rsidRDefault="00D56F7D" w:rsidP="009C58C8">
      <w:pPr>
        <w:ind w:left="0" w:firstLine="227"/>
        <w:jc w:val="both"/>
        <w:rPr>
          <w:sz w:val="36"/>
          <w:szCs w:val="36"/>
          <w:rtl/>
        </w:rPr>
      </w:pPr>
      <w:r w:rsidRPr="00FD211F">
        <w:rPr>
          <w:sz w:val="36"/>
          <w:szCs w:val="36"/>
          <w:rtl/>
        </w:rPr>
        <w:t xml:space="preserve">فاذا كان المعنى الموضوع له كليّا وتصوره الواضع بنفسه </w:t>
      </w:r>
      <w:r w:rsidR="001C2034" w:rsidRPr="00FD211F">
        <w:rPr>
          <w:sz w:val="36"/>
          <w:szCs w:val="36"/>
          <w:rtl/>
        </w:rPr>
        <w:t>او بعنوان كليّ</w:t>
      </w:r>
      <w:r w:rsidR="00F75B45" w:rsidRPr="00FD211F">
        <w:rPr>
          <w:sz w:val="36"/>
          <w:szCs w:val="36"/>
          <w:rtl/>
        </w:rPr>
        <w:t xml:space="preserve"> مشير اليه اجمالا (كما لو تصور مفهوم الإنسان فوضع له لفظ الإنسان او رأى شبحا من بعيد </w:t>
      </w:r>
      <w:r w:rsidR="009977FE" w:rsidRPr="00FD211F">
        <w:rPr>
          <w:sz w:val="36"/>
          <w:szCs w:val="36"/>
          <w:rtl/>
        </w:rPr>
        <w:t>و</w:t>
      </w:r>
      <w:r w:rsidR="008D7B3D" w:rsidRPr="00FD211F">
        <w:rPr>
          <w:sz w:val="36"/>
          <w:szCs w:val="36"/>
          <w:rtl/>
        </w:rPr>
        <w:t xml:space="preserve"> لم‌</w:t>
      </w:r>
      <w:r w:rsidR="00F75B45" w:rsidRPr="00FD211F">
        <w:rPr>
          <w:sz w:val="36"/>
          <w:szCs w:val="36"/>
          <w:rtl/>
        </w:rPr>
        <w:t>يعرف نوعه ولكنه وضع لفظا لما هو نوع هذا الشبح واقعا فقد اتخذ عنوان "نوع هذا الشبح" مشيرا اجماليا الى واقعه) ف</w:t>
      </w:r>
      <w:r w:rsidRPr="00FD211F">
        <w:rPr>
          <w:sz w:val="36"/>
          <w:szCs w:val="36"/>
          <w:rtl/>
        </w:rPr>
        <w:t>يكون من الوضع العام والموضوع له العام</w:t>
      </w:r>
      <w:r w:rsidR="00273E05" w:rsidRPr="00FD211F">
        <w:rPr>
          <w:sz w:val="36"/>
          <w:szCs w:val="36"/>
          <w:rtl/>
        </w:rPr>
        <w:t>.</w:t>
      </w:r>
    </w:p>
    <w:p w14:paraId="359F899A" w14:textId="77777777" w:rsidR="000C5BBA" w:rsidRPr="00FD211F" w:rsidRDefault="00D56F7D" w:rsidP="009C58C8">
      <w:pPr>
        <w:ind w:left="0" w:firstLine="227"/>
        <w:jc w:val="both"/>
        <w:rPr>
          <w:sz w:val="36"/>
          <w:szCs w:val="36"/>
          <w:rtl/>
        </w:rPr>
      </w:pPr>
      <w:r w:rsidRPr="00FD211F">
        <w:rPr>
          <w:sz w:val="36"/>
          <w:szCs w:val="36"/>
          <w:rtl/>
        </w:rPr>
        <w:t>واذا كان ذلك المعنى جزئيا وتصوره الواضع بنفسه</w:t>
      </w:r>
      <w:r w:rsidR="001B7486" w:rsidRPr="00FD211F">
        <w:rPr>
          <w:sz w:val="36"/>
          <w:szCs w:val="36"/>
          <w:rtl/>
        </w:rPr>
        <w:t xml:space="preserve"> او بعنوان جزئي آخر مشير اليه اجمالا </w:t>
      </w:r>
      <w:r w:rsidR="00273E05" w:rsidRPr="00FD211F">
        <w:rPr>
          <w:sz w:val="36"/>
          <w:szCs w:val="36"/>
          <w:rtl/>
        </w:rPr>
        <w:t>(</w:t>
      </w:r>
      <w:r w:rsidR="001B7486" w:rsidRPr="00FD211F">
        <w:rPr>
          <w:sz w:val="36"/>
          <w:szCs w:val="36"/>
          <w:rtl/>
        </w:rPr>
        <w:t xml:space="preserve">كما لو رأى شبحا من بعيد </w:t>
      </w:r>
      <w:r w:rsidR="009977FE" w:rsidRPr="00FD211F">
        <w:rPr>
          <w:sz w:val="36"/>
          <w:szCs w:val="36"/>
          <w:rtl/>
        </w:rPr>
        <w:t>و</w:t>
      </w:r>
      <w:r w:rsidR="008D7B3D" w:rsidRPr="00FD211F">
        <w:rPr>
          <w:sz w:val="36"/>
          <w:szCs w:val="36"/>
          <w:rtl/>
        </w:rPr>
        <w:t xml:space="preserve"> لم‌</w:t>
      </w:r>
      <w:r w:rsidR="001B7486" w:rsidRPr="00FD211F">
        <w:rPr>
          <w:sz w:val="36"/>
          <w:szCs w:val="36"/>
          <w:rtl/>
        </w:rPr>
        <w:t>يعرف ما هو ولكنه وضع لفظا بإزاءه</w:t>
      </w:r>
      <w:r w:rsidR="009C167E" w:rsidRPr="00FD211F">
        <w:rPr>
          <w:sz w:val="36"/>
          <w:szCs w:val="36"/>
          <w:rtl/>
        </w:rPr>
        <w:t xml:space="preserve"> فانه قد تصوره بوجه اجمالي</w:t>
      </w:r>
      <w:r w:rsidRPr="00FD211F">
        <w:rPr>
          <w:sz w:val="36"/>
          <w:szCs w:val="36"/>
          <w:rtl/>
        </w:rPr>
        <w:t xml:space="preserve"> </w:t>
      </w:r>
      <w:r w:rsidR="009C167E" w:rsidRPr="00FD211F">
        <w:rPr>
          <w:sz w:val="36"/>
          <w:szCs w:val="36"/>
          <w:rtl/>
        </w:rPr>
        <w:t>الذي يكون جزئيا أيضا</w:t>
      </w:r>
      <w:r w:rsidR="00273E05" w:rsidRPr="00FD211F">
        <w:rPr>
          <w:sz w:val="36"/>
          <w:szCs w:val="36"/>
          <w:rtl/>
        </w:rPr>
        <w:t>)</w:t>
      </w:r>
      <w:r w:rsidRPr="00FD211F">
        <w:rPr>
          <w:sz w:val="36"/>
          <w:szCs w:val="36"/>
          <w:rtl/>
        </w:rPr>
        <w:t xml:space="preserve"> فيكون م</w:t>
      </w:r>
      <w:r w:rsidR="00273E05" w:rsidRPr="00FD211F">
        <w:rPr>
          <w:sz w:val="36"/>
          <w:szCs w:val="36"/>
          <w:rtl/>
        </w:rPr>
        <w:t>ن الوضع الخاص والموضوع له الخاص.</w:t>
      </w:r>
    </w:p>
    <w:p w14:paraId="446EB243" w14:textId="77777777" w:rsidR="000C5BBA" w:rsidRPr="00FD211F" w:rsidRDefault="00D56F7D" w:rsidP="009C58C8">
      <w:pPr>
        <w:ind w:left="0" w:firstLine="227"/>
        <w:jc w:val="both"/>
        <w:rPr>
          <w:sz w:val="36"/>
          <w:szCs w:val="36"/>
          <w:rtl/>
        </w:rPr>
      </w:pPr>
      <w:r w:rsidRPr="00FD211F">
        <w:rPr>
          <w:sz w:val="36"/>
          <w:szCs w:val="36"/>
          <w:rtl/>
        </w:rPr>
        <w:t xml:space="preserve">واذا كان المعنى جزئيا </w:t>
      </w:r>
      <w:r w:rsidR="009977FE" w:rsidRPr="00FD211F">
        <w:rPr>
          <w:sz w:val="36"/>
          <w:szCs w:val="36"/>
          <w:rtl/>
        </w:rPr>
        <w:t>و</w:t>
      </w:r>
      <w:r w:rsidR="008D7B3D" w:rsidRPr="00FD211F">
        <w:rPr>
          <w:sz w:val="36"/>
          <w:szCs w:val="36"/>
          <w:rtl/>
        </w:rPr>
        <w:t xml:space="preserve"> لم‌</w:t>
      </w:r>
      <w:r w:rsidRPr="00FD211F">
        <w:rPr>
          <w:sz w:val="36"/>
          <w:szCs w:val="36"/>
          <w:rtl/>
        </w:rPr>
        <w:t>يتصوره الواضع بنفسه وانما تصور مفهوما كليا وجعله مشيرا الى ذاك المعنى الجزئي اجمالا فيكون م</w:t>
      </w:r>
      <w:r w:rsidR="00273E05" w:rsidRPr="00FD211F">
        <w:rPr>
          <w:sz w:val="36"/>
          <w:szCs w:val="36"/>
          <w:rtl/>
        </w:rPr>
        <w:t>ن الوضع العام والموضوع له الخاص.</w:t>
      </w:r>
    </w:p>
    <w:p w14:paraId="65B97B98" w14:textId="77777777" w:rsidR="000C5BBA" w:rsidRPr="00FD211F" w:rsidRDefault="00D56F7D" w:rsidP="009C58C8">
      <w:pPr>
        <w:ind w:left="0" w:firstLine="227"/>
        <w:jc w:val="both"/>
        <w:rPr>
          <w:sz w:val="36"/>
          <w:szCs w:val="36"/>
          <w:rtl/>
        </w:rPr>
      </w:pPr>
      <w:r w:rsidRPr="00FD211F">
        <w:rPr>
          <w:sz w:val="36"/>
          <w:szCs w:val="36"/>
          <w:rtl/>
        </w:rPr>
        <w:t>واذا كان المعنى كليا واراد الواضع</w:t>
      </w:r>
      <w:r w:rsidR="00273E05" w:rsidRPr="00FD211F">
        <w:rPr>
          <w:sz w:val="36"/>
          <w:szCs w:val="36"/>
          <w:rtl/>
        </w:rPr>
        <w:t xml:space="preserve"> ان يجعل</w:t>
      </w:r>
      <w:r w:rsidR="00B253CE" w:rsidRPr="00FD211F">
        <w:rPr>
          <w:sz w:val="36"/>
          <w:szCs w:val="36"/>
          <w:rtl/>
        </w:rPr>
        <w:t xml:space="preserve"> </w:t>
      </w:r>
      <w:r w:rsidRPr="00FD211F">
        <w:rPr>
          <w:sz w:val="36"/>
          <w:szCs w:val="36"/>
          <w:rtl/>
        </w:rPr>
        <w:t>تصور بعض افراده عنوانا مشيرا اليه اجمالا فيكون م</w:t>
      </w:r>
      <w:r w:rsidR="00273E05" w:rsidRPr="00FD211F">
        <w:rPr>
          <w:sz w:val="36"/>
          <w:szCs w:val="36"/>
          <w:rtl/>
        </w:rPr>
        <w:t>ن الوضع الخاص والموضوع له العام.</w:t>
      </w:r>
    </w:p>
    <w:p w14:paraId="17C76C75" w14:textId="77777777" w:rsidR="00D56F7D" w:rsidRPr="00FD211F" w:rsidRDefault="00D56F7D" w:rsidP="009C58C8">
      <w:pPr>
        <w:ind w:left="0" w:firstLine="227"/>
        <w:jc w:val="both"/>
        <w:rPr>
          <w:sz w:val="36"/>
          <w:szCs w:val="36"/>
          <w:rtl/>
        </w:rPr>
      </w:pPr>
      <w:r w:rsidRPr="00FD211F">
        <w:rPr>
          <w:sz w:val="36"/>
          <w:szCs w:val="36"/>
          <w:rtl/>
        </w:rPr>
        <w:t>وبذلك تكون الاقسام اربع</w:t>
      </w:r>
      <w:r w:rsidR="00EC7EDF" w:rsidRPr="00FD211F">
        <w:rPr>
          <w:sz w:val="36"/>
          <w:szCs w:val="36"/>
          <w:rtl/>
        </w:rPr>
        <w:t>ة</w:t>
      </w:r>
      <w:r w:rsidR="00A61BAE" w:rsidRPr="00FD211F">
        <w:rPr>
          <w:sz w:val="36"/>
          <w:szCs w:val="36"/>
          <w:rtl/>
        </w:rPr>
        <w:t>.</w:t>
      </w:r>
      <w:r w:rsidRPr="00FD211F">
        <w:rPr>
          <w:sz w:val="36"/>
          <w:szCs w:val="36"/>
          <w:rtl/>
        </w:rPr>
        <w:t xml:space="preserve"> </w:t>
      </w:r>
    </w:p>
    <w:p w14:paraId="5898901B" w14:textId="77777777" w:rsidR="008026F3" w:rsidRPr="00FD211F" w:rsidRDefault="00FA0539" w:rsidP="009C58C8">
      <w:pPr>
        <w:ind w:left="0" w:firstLine="227"/>
        <w:jc w:val="both"/>
        <w:rPr>
          <w:sz w:val="36"/>
          <w:szCs w:val="36"/>
          <w:rtl/>
        </w:rPr>
      </w:pPr>
      <w:r w:rsidRPr="00FD211F">
        <w:rPr>
          <w:sz w:val="36"/>
          <w:szCs w:val="36"/>
          <w:rtl/>
        </w:rPr>
        <w:t xml:space="preserve">ثم انه </w:t>
      </w:r>
      <w:r w:rsidR="00DA4AF6" w:rsidRPr="00FD211F">
        <w:rPr>
          <w:sz w:val="36"/>
          <w:szCs w:val="36"/>
          <w:rtl/>
        </w:rPr>
        <w:t>لااشكال في امكان القسمين الأولين</w:t>
      </w:r>
      <w:r w:rsidRPr="00FD211F">
        <w:rPr>
          <w:sz w:val="36"/>
          <w:szCs w:val="36"/>
          <w:rtl/>
        </w:rPr>
        <w:t xml:space="preserve"> اي الوضع العام والموضوع له العام والوضع الخاص والموضوع له الخاص</w:t>
      </w:r>
      <w:r w:rsidR="00603323" w:rsidRPr="00FD211F">
        <w:rPr>
          <w:sz w:val="36"/>
          <w:szCs w:val="36"/>
          <w:rtl/>
        </w:rPr>
        <w:t xml:space="preserve">، </w:t>
      </w:r>
      <w:r w:rsidR="00DA4AF6" w:rsidRPr="00FD211F">
        <w:rPr>
          <w:sz w:val="36"/>
          <w:szCs w:val="36"/>
          <w:rtl/>
        </w:rPr>
        <w:t>بل لاريب في وقوعهما في جميع اللغات</w:t>
      </w:r>
      <w:r w:rsidR="00603323" w:rsidRPr="00FD211F">
        <w:rPr>
          <w:sz w:val="36"/>
          <w:szCs w:val="36"/>
          <w:rtl/>
        </w:rPr>
        <w:t xml:space="preserve">، </w:t>
      </w:r>
      <w:r w:rsidR="00DA4AF6" w:rsidRPr="00FD211F">
        <w:rPr>
          <w:sz w:val="36"/>
          <w:szCs w:val="36"/>
          <w:rtl/>
        </w:rPr>
        <w:t xml:space="preserve">فالوضع في اسماء الأجناس يكون من </w:t>
      </w:r>
      <w:r w:rsidR="00C04C87" w:rsidRPr="00FD211F">
        <w:rPr>
          <w:sz w:val="36"/>
          <w:szCs w:val="36"/>
          <w:rtl/>
        </w:rPr>
        <w:t xml:space="preserve">قبيل الوضع العام والموضوع له العام </w:t>
      </w:r>
      <w:r w:rsidR="00DA4AF6" w:rsidRPr="00FD211F">
        <w:rPr>
          <w:sz w:val="36"/>
          <w:szCs w:val="36"/>
          <w:rtl/>
        </w:rPr>
        <w:t>حيث ان الصور</w:t>
      </w:r>
      <w:r w:rsidR="00EC7EDF" w:rsidRPr="00FD211F">
        <w:rPr>
          <w:sz w:val="36"/>
          <w:szCs w:val="36"/>
          <w:rtl/>
        </w:rPr>
        <w:t xml:space="preserve">ة </w:t>
      </w:r>
      <w:r w:rsidR="00DA4AF6" w:rsidRPr="00FD211F">
        <w:rPr>
          <w:sz w:val="36"/>
          <w:szCs w:val="36"/>
          <w:rtl/>
        </w:rPr>
        <w:t xml:space="preserve">التي يلحظها في مقام الوضع </w:t>
      </w:r>
      <w:r w:rsidR="00C04C87" w:rsidRPr="00FD211F">
        <w:rPr>
          <w:sz w:val="36"/>
          <w:szCs w:val="36"/>
          <w:rtl/>
        </w:rPr>
        <w:t>صور</w:t>
      </w:r>
      <w:r w:rsidR="00EC7EDF" w:rsidRPr="00FD211F">
        <w:rPr>
          <w:sz w:val="36"/>
          <w:szCs w:val="36"/>
          <w:rtl/>
        </w:rPr>
        <w:t xml:space="preserve">ة </w:t>
      </w:r>
      <w:r w:rsidR="00C04C87" w:rsidRPr="00FD211F">
        <w:rPr>
          <w:sz w:val="36"/>
          <w:szCs w:val="36"/>
          <w:rtl/>
        </w:rPr>
        <w:t>كلي</w:t>
      </w:r>
      <w:r w:rsidR="00EC7EDF" w:rsidRPr="00FD211F">
        <w:rPr>
          <w:sz w:val="36"/>
          <w:szCs w:val="36"/>
          <w:rtl/>
        </w:rPr>
        <w:t>ة</w:t>
      </w:r>
      <w:r w:rsidR="00603323" w:rsidRPr="00FD211F">
        <w:rPr>
          <w:sz w:val="36"/>
          <w:szCs w:val="36"/>
          <w:rtl/>
        </w:rPr>
        <w:t xml:space="preserve">، </w:t>
      </w:r>
      <w:r w:rsidR="00C04C87" w:rsidRPr="00FD211F">
        <w:rPr>
          <w:sz w:val="36"/>
          <w:szCs w:val="36"/>
          <w:rtl/>
        </w:rPr>
        <w:t>ويكون المعنى الموضوع له نفس هذه الصور</w:t>
      </w:r>
      <w:r w:rsidR="00EC7EDF" w:rsidRPr="00FD211F">
        <w:rPr>
          <w:sz w:val="36"/>
          <w:szCs w:val="36"/>
          <w:rtl/>
        </w:rPr>
        <w:t xml:space="preserve">ة </w:t>
      </w:r>
      <w:r w:rsidR="00C04C87" w:rsidRPr="00FD211F">
        <w:rPr>
          <w:sz w:val="36"/>
          <w:szCs w:val="36"/>
          <w:rtl/>
        </w:rPr>
        <w:t>الكلي</w:t>
      </w:r>
      <w:r w:rsidR="00EC7EDF" w:rsidRPr="00FD211F">
        <w:rPr>
          <w:sz w:val="36"/>
          <w:szCs w:val="36"/>
          <w:rtl/>
        </w:rPr>
        <w:t>ة</w:t>
      </w:r>
      <w:r w:rsidR="00603323" w:rsidRPr="00FD211F">
        <w:rPr>
          <w:sz w:val="36"/>
          <w:szCs w:val="36"/>
          <w:rtl/>
        </w:rPr>
        <w:t xml:space="preserve">، </w:t>
      </w:r>
      <w:r w:rsidR="00C04C87" w:rsidRPr="00FD211F">
        <w:rPr>
          <w:sz w:val="36"/>
          <w:szCs w:val="36"/>
          <w:rtl/>
        </w:rPr>
        <w:t>فالواضع حينما يريد وضع لفظ الاسد على الحيوان المفترس فيلحظ الصور</w:t>
      </w:r>
      <w:r w:rsidR="00EC7EDF" w:rsidRPr="00FD211F">
        <w:rPr>
          <w:sz w:val="36"/>
          <w:szCs w:val="36"/>
          <w:rtl/>
        </w:rPr>
        <w:t xml:space="preserve">ة </w:t>
      </w:r>
      <w:r w:rsidR="00C04C87" w:rsidRPr="00FD211F">
        <w:rPr>
          <w:sz w:val="36"/>
          <w:szCs w:val="36"/>
          <w:rtl/>
        </w:rPr>
        <w:t>الكلي</w:t>
      </w:r>
      <w:r w:rsidR="00EC7EDF" w:rsidRPr="00FD211F">
        <w:rPr>
          <w:sz w:val="36"/>
          <w:szCs w:val="36"/>
          <w:rtl/>
        </w:rPr>
        <w:t xml:space="preserve">ة </w:t>
      </w:r>
      <w:r w:rsidR="00C04C87" w:rsidRPr="00FD211F">
        <w:rPr>
          <w:sz w:val="36"/>
          <w:szCs w:val="36"/>
          <w:rtl/>
        </w:rPr>
        <w:t>للحيوان المفترس ويضع بإزائها هذا اللفظ</w:t>
      </w:r>
      <w:r w:rsidR="00603323" w:rsidRPr="00FD211F">
        <w:rPr>
          <w:sz w:val="36"/>
          <w:szCs w:val="36"/>
          <w:rtl/>
        </w:rPr>
        <w:t xml:space="preserve">، </w:t>
      </w:r>
      <w:r w:rsidR="00C04C87" w:rsidRPr="00FD211F">
        <w:rPr>
          <w:sz w:val="36"/>
          <w:szCs w:val="36"/>
          <w:rtl/>
        </w:rPr>
        <w:t>فيكون المعنى الموضوع له للفظ الاسد كليا وتكون افراد الاسد مصاديق لذلك المعنى الموضوع له؛ والوضع في اسماء الأعلام يكون من الوضع الخاص والموضوع له الخاص</w:t>
      </w:r>
      <w:r w:rsidR="00603323" w:rsidRPr="00FD211F">
        <w:rPr>
          <w:sz w:val="36"/>
          <w:szCs w:val="36"/>
          <w:rtl/>
        </w:rPr>
        <w:t xml:space="preserve">، </w:t>
      </w:r>
      <w:r w:rsidR="00C04C87" w:rsidRPr="00FD211F">
        <w:rPr>
          <w:sz w:val="36"/>
          <w:szCs w:val="36"/>
          <w:rtl/>
        </w:rPr>
        <w:t xml:space="preserve">حيث ان الأب مثلا حينما يريد ان يضع اسم عليّ على ولده فيلحظ </w:t>
      </w:r>
      <w:r w:rsidR="00D56F7D" w:rsidRPr="00FD211F">
        <w:rPr>
          <w:sz w:val="36"/>
          <w:szCs w:val="36"/>
          <w:rtl/>
        </w:rPr>
        <w:t>صور</w:t>
      </w:r>
      <w:r w:rsidR="00EC7EDF" w:rsidRPr="00FD211F">
        <w:rPr>
          <w:sz w:val="36"/>
          <w:szCs w:val="36"/>
          <w:rtl/>
        </w:rPr>
        <w:t xml:space="preserve">ة </w:t>
      </w:r>
      <w:r w:rsidR="00C04C87" w:rsidRPr="00FD211F">
        <w:rPr>
          <w:sz w:val="36"/>
          <w:szCs w:val="36"/>
          <w:rtl/>
        </w:rPr>
        <w:t xml:space="preserve">ولده </w:t>
      </w:r>
      <w:r w:rsidR="00D56F7D" w:rsidRPr="00FD211F">
        <w:rPr>
          <w:sz w:val="36"/>
          <w:szCs w:val="36"/>
          <w:rtl/>
        </w:rPr>
        <w:t>التي هي صور</w:t>
      </w:r>
      <w:r w:rsidR="00EC7EDF" w:rsidRPr="00FD211F">
        <w:rPr>
          <w:sz w:val="36"/>
          <w:szCs w:val="36"/>
          <w:rtl/>
        </w:rPr>
        <w:t xml:space="preserve">ة </w:t>
      </w:r>
      <w:r w:rsidR="00D56F7D" w:rsidRPr="00FD211F">
        <w:rPr>
          <w:sz w:val="36"/>
          <w:szCs w:val="36"/>
          <w:rtl/>
        </w:rPr>
        <w:t>جزئي</w:t>
      </w:r>
      <w:r w:rsidR="00EC7EDF" w:rsidRPr="00FD211F">
        <w:rPr>
          <w:sz w:val="36"/>
          <w:szCs w:val="36"/>
          <w:rtl/>
        </w:rPr>
        <w:t xml:space="preserve">ة </w:t>
      </w:r>
      <w:r w:rsidR="00C04C87" w:rsidRPr="00FD211F">
        <w:rPr>
          <w:sz w:val="36"/>
          <w:szCs w:val="36"/>
          <w:rtl/>
        </w:rPr>
        <w:t>ويضع بإزائها هذا اللفظ.</w:t>
      </w:r>
    </w:p>
    <w:p w14:paraId="6FDD4036" w14:textId="77777777" w:rsidR="000C5BBA" w:rsidRPr="00FD211F" w:rsidRDefault="002F4F8E" w:rsidP="009C58C8">
      <w:pPr>
        <w:ind w:left="0" w:firstLine="227"/>
        <w:jc w:val="both"/>
        <w:rPr>
          <w:sz w:val="36"/>
          <w:szCs w:val="36"/>
          <w:rtl/>
        </w:rPr>
      </w:pPr>
      <w:r w:rsidRPr="00FD211F">
        <w:rPr>
          <w:sz w:val="36"/>
          <w:szCs w:val="36"/>
          <w:rtl/>
        </w:rPr>
        <w:t>نعم يقع الكلام في أن المعنى الموضوع له في اسم الجنس او العلم هل أخذ فيه الوجود الخارجي او ا</w:t>
      </w:r>
      <w:r w:rsidR="0077181E" w:rsidRPr="00FD211F">
        <w:rPr>
          <w:sz w:val="36"/>
          <w:szCs w:val="36"/>
          <w:rtl/>
        </w:rPr>
        <w:t>لذهني ام</w:t>
      </w:r>
      <w:r w:rsidR="008D7B3D" w:rsidRPr="00FD211F">
        <w:rPr>
          <w:sz w:val="36"/>
          <w:szCs w:val="36"/>
          <w:rtl/>
        </w:rPr>
        <w:t xml:space="preserve"> لم‌</w:t>
      </w:r>
      <w:r w:rsidR="0077181E" w:rsidRPr="00FD211F">
        <w:rPr>
          <w:sz w:val="36"/>
          <w:szCs w:val="36"/>
          <w:rtl/>
        </w:rPr>
        <w:t>يؤخذ فيه أيٌّ منهما.</w:t>
      </w:r>
    </w:p>
    <w:p w14:paraId="15F540BF" w14:textId="77777777" w:rsidR="00A90BC8" w:rsidRPr="00FD211F" w:rsidRDefault="00364DAA" w:rsidP="009C58C8">
      <w:pPr>
        <w:ind w:left="0" w:firstLine="227"/>
        <w:jc w:val="both"/>
        <w:rPr>
          <w:sz w:val="36"/>
          <w:szCs w:val="36"/>
          <w:rtl/>
        </w:rPr>
      </w:pPr>
      <w:r w:rsidRPr="00FD211F">
        <w:rPr>
          <w:sz w:val="36"/>
          <w:szCs w:val="36"/>
          <w:rtl/>
        </w:rPr>
        <w:t>فذكرالمحقق الاصفهاني "قده"</w:t>
      </w:r>
      <w:r w:rsidR="0024281C" w:rsidRPr="00FD211F">
        <w:rPr>
          <w:sz w:val="36"/>
          <w:szCs w:val="36"/>
          <w:rtl/>
        </w:rPr>
        <w:t xml:space="preserve"> </w:t>
      </w:r>
      <w:r w:rsidR="002F4F8E" w:rsidRPr="00FD211F">
        <w:rPr>
          <w:sz w:val="36"/>
          <w:szCs w:val="36"/>
          <w:rtl/>
        </w:rPr>
        <w:t>ان الموضوع له هو ذات المعنى من دون أخذ الوجود الخارجي او الذهني فيه</w:t>
      </w:r>
      <w:r w:rsidR="00603323" w:rsidRPr="00FD211F">
        <w:rPr>
          <w:sz w:val="36"/>
          <w:szCs w:val="36"/>
          <w:rtl/>
        </w:rPr>
        <w:t xml:space="preserve">، </w:t>
      </w:r>
      <w:r w:rsidR="00A90BC8" w:rsidRPr="00FD211F">
        <w:rPr>
          <w:sz w:val="36"/>
          <w:szCs w:val="36"/>
          <w:rtl/>
        </w:rPr>
        <w:t>وذلك لان تصور المعنى يوجب صيرورته موجودا ذهنيا</w:t>
      </w:r>
      <w:r w:rsidR="00603323" w:rsidRPr="00FD211F">
        <w:rPr>
          <w:sz w:val="36"/>
          <w:szCs w:val="36"/>
          <w:rtl/>
        </w:rPr>
        <w:t xml:space="preserve">، </w:t>
      </w:r>
      <w:r w:rsidR="00A90BC8" w:rsidRPr="00FD211F">
        <w:rPr>
          <w:sz w:val="36"/>
          <w:szCs w:val="36"/>
          <w:rtl/>
        </w:rPr>
        <w:t>فلو أخذ في المعنى الوجود الخارجي لزم اتصاف الوجود الخارجي بالوجود الذهني</w:t>
      </w:r>
      <w:r w:rsidR="00603323" w:rsidRPr="00FD211F">
        <w:rPr>
          <w:sz w:val="36"/>
          <w:szCs w:val="36"/>
          <w:rtl/>
        </w:rPr>
        <w:t xml:space="preserve">، </w:t>
      </w:r>
      <w:r w:rsidR="00A90BC8" w:rsidRPr="00FD211F">
        <w:rPr>
          <w:sz w:val="36"/>
          <w:szCs w:val="36"/>
          <w:rtl/>
        </w:rPr>
        <w:t>وهو محال</w:t>
      </w:r>
      <w:r w:rsidR="00603323" w:rsidRPr="00FD211F">
        <w:rPr>
          <w:sz w:val="36"/>
          <w:szCs w:val="36"/>
          <w:rtl/>
        </w:rPr>
        <w:t xml:space="preserve">، </w:t>
      </w:r>
      <w:r w:rsidR="00A90BC8" w:rsidRPr="00FD211F">
        <w:rPr>
          <w:sz w:val="36"/>
          <w:szCs w:val="36"/>
          <w:rtl/>
        </w:rPr>
        <w:t>لان المقابل لايقبل المقابل</w:t>
      </w:r>
      <w:r w:rsidR="00603323" w:rsidRPr="00FD211F">
        <w:rPr>
          <w:sz w:val="36"/>
          <w:szCs w:val="36"/>
          <w:rtl/>
        </w:rPr>
        <w:t xml:space="preserve">، </w:t>
      </w:r>
      <w:r w:rsidR="00A90BC8" w:rsidRPr="00FD211F">
        <w:rPr>
          <w:sz w:val="36"/>
          <w:szCs w:val="36"/>
          <w:rtl/>
        </w:rPr>
        <w:t>كما انه لو أخذ فيه الوجود الذهني لزم منه اتصاف الوجود الذهني بالوجود الذهني</w:t>
      </w:r>
      <w:r w:rsidR="00603323" w:rsidRPr="00FD211F">
        <w:rPr>
          <w:sz w:val="36"/>
          <w:szCs w:val="36"/>
          <w:rtl/>
        </w:rPr>
        <w:t xml:space="preserve">، </w:t>
      </w:r>
      <w:r w:rsidR="00A90BC8" w:rsidRPr="00FD211F">
        <w:rPr>
          <w:sz w:val="36"/>
          <w:szCs w:val="36"/>
          <w:rtl/>
        </w:rPr>
        <w:t>وهو محال</w:t>
      </w:r>
      <w:r w:rsidR="00603323" w:rsidRPr="00FD211F">
        <w:rPr>
          <w:sz w:val="36"/>
          <w:szCs w:val="36"/>
          <w:rtl/>
        </w:rPr>
        <w:t xml:space="preserve">، </w:t>
      </w:r>
      <w:r w:rsidR="00A90BC8" w:rsidRPr="00FD211F">
        <w:rPr>
          <w:sz w:val="36"/>
          <w:szCs w:val="36"/>
          <w:rtl/>
        </w:rPr>
        <w:t>لان المماثل لايقبل المماثل</w:t>
      </w:r>
      <w:r w:rsidR="009C58C8" w:rsidRPr="00FD211F">
        <w:rPr>
          <w:rStyle w:val="a6"/>
          <w:sz w:val="36"/>
          <w:szCs w:val="36"/>
          <w:rtl/>
        </w:rPr>
        <w:t>(</w:t>
      </w:r>
      <w:r w:rsidR="009C58C8" w:rsidRPr="00FD211F">
        <w:rPr>
          <w:rStyle w:val="a6"/>
          <w:sz w:val="36"/>
          <w:szCs w:val="36"/>
          <w:rtl/>
        </w:rPr>
        <w:footnoteReference w:id="132"/>
      </w:r>
      <w:r w:rsidR="009C58C8" w:rsidRPr="00FD211F">
        <w:rPr>
          <w:rStyle w:val="a6"/>
          <w:sz w:val="36"/>
          <w:szCs w:val="36"/>
          <w:rtl/>
        </w:rPr>
        <w:t>)</w:t>
      </w:r>
      <w:r w:rsidR="00603323" w:rsidRPr="00FD211F">
        <w:rPr>
          <w:sz w:val="36"/>
          <w:szCs w:val="36"/>
          <w:rtl/>
        </w:rPr>
        <w:t xml:space="preserve">، </w:t>
      </w:r>
      <w:r w:rsidR="00A90BC8" w:rsidRPr="00FD211F">
        <w:rPr>
          <w:sz w:val="36"/>
          <w:szCs w:val="36"/>
          <w:rtl/>
        </w:rPr>
        <w:t xml:space="preserve">وقد تبعه السيد الخوئي </w:t>
      </w:r>
      <w:r w:rsidR="00AB1B12" w:rsidRPr="00FD211F">
        <w:rPr>
          <w:sz w:val="36"/>
          <w:szCs w:val="36"/>
          <w:rtl/>
        </w:rPr>
        <w:t>"</w:t>
      </w:r>
      <w:r w:rsidR="00A90BC8" w:rsidRPr="00FD211F">
        <w:rPr>
          <w:sz w:val="36"/>
          <w:szCs w:val="36"/>
          <w:rtl/>
        </w:rPr>
        <w:t>قده</w:t>
      </w:r>
      <w:r w:rsidR="00AB1B12" w:rsidRPr="00FD211F">
        <w:rPr>
          <w:sz w:val="36"/>
          <w:szCs w:val="36"/>
          <w:rtl/>
        </w:rPr>
        <w:t>"</w:t>
      </w:r>
      <w:r w:rsidR="00A90BC8" w:rsidRPr="00FD211F">
        <w:rPr>
          <w:sz w:val="36"/>
          <w:szCs w:val="36"/>
          <w:rtl/>
        </w:rPr>
        <w:t xml:space="preserve"> في ذلك</w:t>
      </w:r>
      <w:r w:rsidR="009C58C8" w:rsidRPr="00FD211F">
        <w:rPr>
          <w:rStyle w:val="a6"/>
          <w:sz w:val="36"/>
          <w:szCs w:val="36"/>
          <w:rtl/>
        </w:rPr>
        <w:t>(</w:t>
      </w:r>
      <w:r w:rsidR="009C58C8" w:rsidRPr="00FD211F">
        <w:rPr>
          <w:rStyle w:val="a6"/>
          <w:sz w:val="36"/>
          <w:szCs w:val="36"/>
          <w:rtl/>
        </w:rPr>
        <w:footnoteReference w:id="133"/>
      </w:r>
      <w:r w:rsidR="009C58C8" w:rsidRPr="00FD211F">
        <w:rPr>
          <w:rStyle w:val="a6"/>
          <w:sz w:val="36"/>
          <w:szCs w:val="36"/>
          <w:rtl/>
        </w:rPr>
        <w:t>)</w:t>
      </w:r>
      <w:r w:rsidR="00A90BC8" w:rsidRPr="00FD211F">
        <w:rPr>
          <w:sz w:val="36"/>
          <w:szCs w:val="36"/>
          <w:rtl/>
        </w:rPr>
        <w:t>.</w:t>
      </w:r>
    </w:p>
    <w:p w14:paraId="7CC18CDD" w14:textId="77777777" w:rsidR="00BC28DD" w:rsidRPr="00FD211F" w:rsidRDefault="00A90BC8" w:rsidP="009C58C8">
      <w:pPr>
        <w:ind w:left="0" w:firstLine="227"/>
        <w:jc w:val="both"/>
        <w:rPr>
          <w:sz w:val="36"/>
          <w:szCs w:val="36"/>
          <w:rtl/>
        </w:rPr>
      </w:pPr>
      <w:r w:rsidRPr="00FD211F">
        <w:rPr>
          <w:sz w:val="36"/>
          <w:szCs w:val="36"/>
          <w:rtl/>
        </w:rPr>
        <w:t>والظاهر ان الموضوع له لا</w:t>
      </w:r>
      <w:r w:rsidR="008D47A5" w:rsidRPr="00FD211F">
        <w:rPr>
          <w:sz w:val="36"/>
          <w:szCs w:val="36"/>
          <w:rtl/>
        </w:rPr>
        <w:t>سم الجنس كالماء هو ما يكون ماءً</w:t>
      </w:r>
      <w:r w:rsidRPr="00FD211F">
        <w:rPr>
          <w:sz w:val="36"/>
          <w:szCs w:val="36"/>
          <w:rtl/>
        </w:rPr>
        <w:t xml:space="preserve"> بالحمل الشائع</w:t>
      </w:r>
      <w:r w:rsidR="00603323" w:rsidRPr="00FD211F">
        <w:rPr>
          <w:sz w:val="36"/>
          <w:szCs w:val="36"/>
          <w:rtl/>
        </w:rPr>
        <w:t xml:space="preserve">، </w:t>
      </w:r>
      <w:r w:rsidRPr="00FD211F">
        <w:rPr>
          <w:sz w:val="36"/>
          <w:szCs w:val="36"/>
          <w:rtl/>
        </w:rPr>
        <w:t xml:space="preserve">يعني ما لو وجد في الخارج كان ماءًا </w:t>
      </w:r>
      <w:r w:rsidR="000B3A1D" w:rsidRPr="00FD211F">
        <w:rPr>
          <w:sz w:val="36"/>
          <w:szCs w:val="36"/>
          <w:rtl/>
        </w:rPr>
        <w:t xml:space="preserve">وكذا </w:t>
      </w:r>
      <w:r w:rsidRPr="00FD211F">
        <w:rPr>
          <w:sz w:val="36"/>
          <w:szCs w:val="36"/>
          <w:rtl/>
        </w:rPr>
        <w:t>الموضوع له للفظ العنقاء او التناقض هو ما لو</w:t>
      </w:r>
      <w:r w:rsidR="000B3A1D" w:rsidRPr="00FD211F">
        <w:rPr>
          <w:sz w:val="36"/>
          <w:szCs w:val="36"/>
          <w:rtl/>
        </w:rPr>
        <w:t xml:space="preserve"> </w:t>
      </w:r>
      <w:r w:rsidRPr="00FD211F">
        <w:rPr>
          <w:sz w:val="36"/>
          <w:szCs w:val="36"/>
          <w:rtl/>
        </w:rPr>
        <w:t>وجد في الخارج لكان عنقاء وت</w:t>
      </w:r>
      <w:r w:rsidR="000B3A1D" w:rsidRPr="00FD211F">
        <w:rPr>
          <w:sz w:val="36"/>
          <w:szCs w:val="36"/>
          <w:rtl/>
        </w:rPr>
        <w:t>ناقضا</w:t>
      </w:r>
      <w:r w:rsidR="00603323" w:rsidRPr="00FD211F">
        <w:rPr>
          <w:sz w:val="36"/>
          <w:szCs w:val="36"/>
          <w:rtl/>
        </w:rPr>
        <w:t xml:space="preserve">، </w:t>
      </w:r>
      <w:r w:rsidR="000B3A1D" w:rsidRPr="00FD211F">
        <w:rPr>
          <w:sz w:val="36"/>
          <w:szCs w:val="36"/>
          <w:rtl/>
        </w:rPr>
        <w:t>وان كان المفروض عدم وجود العنقاء</w:t>
      </w:r>
      <w:r w:rsidRPr="00FD211F">
        <w:rPr>
          <w:sz w:val="36"/>
          <w:szCs w:val="36"/>
          <w:rtl/>
        </w:rPr>
        <w:t xml:space="preserve"> في الخارج </w:t>
      </w:r>
      <w:r w:rsidR="000B3A1D" w:rsidRPr="00FD211F">
        <w:rPr>
          <w:sz w:val="36"/>
          <w:szCs w:val="36"/>
          <w:rtl/>
        </w:rPr>
        <w:t>و</w:t>
      </w:r>
      <w:r w:rsidRPr="00FD211F">
        <w:rPr>
          <w:sz w:val="36"/>
          <w:szCs w:val="36"/>
          <w:rtl/>
        </w:rPr>
        <w:t>استحال</w:t>
      </w:r>
      <w:r w:rsidR="00EC7EDF" w:rsidRPr="00FD211F">
        <w:rPr>
          <w:sz w:val="36"/>
          <w:szCs w:val="36"/>
          <w:rtl/>
        </w:rPr>
        <w:t xml:space="preserve">ة </w:t>
      </w:r>
      <w:r w:rsidR="000B3A1D" w:rsidRPr="00FD211F">
        <w:rPr>
          <w:sz w:val="36"/>
          <w:szCs w:val="36"/>
          <w:rtl/>
        </w:rPr>
        <w:t>وجود التناقض</w:t>
      </w:r>
      <w:r w:rsidR="00603323" w:rsidRPr="00FD211F">
        <w:rPr>
          <w:sz w:val="36"/>
          <w:szCs w:val="36"/>
          <w:rtl/>
        </w:rPr>
        <w:t xml:space="preserve">، </w:t>
      </w:r>
      <w:r w:rsidR="008D47A5" w:rsidRPr="00FD211F">
        <w:rPr>
          <w:sz w:val="36"/>
          <w:szCs w:val="36"/>
          <w:rtl/>
        </w:rPr>
        <w:t>والذي يشهد على ذلك صح</w:t>
      </w:r>
      <w:r w:rsidR="00EC7EDF" w:rsidRPr="00FD211F">
        <w:rPr>
          <w:sz w:val="36"/>
          <w:szCs w:val="36"/>
          <w:rtl/>
        </w:rPr>
        <w:t xml:space="preserve">ة </w:t>
      </w:r>
      <w:r w:rsidR="008D47A5" w:rsidRPr="00FD211F">
        <w:rPr>
          <w:sz w:val="36"/>
          <w:szCs w:val="36"/>
          <w:rtl/>
        </w:rPr>
        <w:t>السلب عرفا ف</w:t>
      </w:r>
      <w:r w:rsidR="000B3A1D" w:rsidRPr="00FD211F">
        <w:rPr>
          <w:sz w:val="36"/>
          <w:szCs w:val="36"/>
          <w:rtl/>
        </w:rPr>
        <w:t xml:space="preserve">ان </w:t>
      </w:r>
      <w:r w:rsidR="008D47A5" w:rsidRPr="00FD211F">
        <w:rPr>
          <w:sz w:val="36"/>
          <w:szCs w:val="36"/>
          <w:rtl/>
        </w:rPr>
        <w:t>الصور</w:t>
      </w:r>
      <w:r w:rsidR="00EC7EDF" w:rsidRPr="00FD211F">
        <w:rPr>
          <w:sz w:val="36"/>
          <w:szCs w:val="36"/>
          <w:rtl/>
        </w:rPr>
        <w:t xml:space="preserve">ة </w:t>
      </w:r>
      <w:r w:rsidR="008D47A5" w:rsidRPr="00FD211F">
        <w:rPr>
          <w:sz w:val="36"/>
          <w:szCs w:val="36"/>
          <w:rtl/>
        </w:rPr>
        <w:t>الذهني</w:t>
      </w:r>
      <w:r w:rsidR="00EC7EDF" w:rsidRPr="00FD211F">
        <w:rPr>
          <w:sz w:val="36"/>
          <w:szCs w:val="36"/>
          <w:rtl/>
        </w:rPr>
        <w:t xml:space="preserve">ة </w:t>
      </w:r>
      <w:r w:rsidR="008D47A5" w:rsidRPr="00FD211F">
        <w:rPr>
          <w:sz w:val="36"/>
          <w:szCs w:val="36"/>
          <w:rtl/>
        </w:rPr>
        <w:t>للماء مثلا ليس</w:t>
      </w:r>
      <w:r w:rsidR="000B3A1D" w:rsidRPr="00FD211F">
        <w:rPr>
          <w:sz w:val="36"/>
          <w:szCs w:val="36"/>
          <w:rtl/>
        </w:rPr>
        <w:t>ت</w:t>
      </w:r>
      <w:r w:rsidR="008D47A5" w:rsidRPr="00FD211F">
        <w:rPr>
          <w:sz w:val="36"/>
          <w:szCs w:val="36"/>
          <w:rtl/>
        </w:rPr>
        <w:t xml:space="preserve"> ماءً عرفا</w:t>
      </w:r>
      <w:r w:rsidR="00603323" w:rsidRPr="00FD211F">
        <w:rPr>
          <w:sz w:val="36"/>
          <w:szCs w:val="36"/>
          <w:rtl/>
        </w:rPr>
        <w:t xml:space="preserve">، </w:t>
      </w:r>
      <w:r w:rsidR="0077224F" w:rsidRPr="00FD211F">
        <w:rPr>
          <w:sz w:val="36"/>
          <w:szCs w:val="36"/>
          <w:rtl/>
        </w:rPr>
        <w:t xml:space="preserve">نعم كما ذكر السيد الإمام </w:t>
      </w:r>
      <w:r w:rsidR="00AB1B12" w:rsidRPr="00FD211F">
        <w:rPr>
          <w:sz w:val="36"/>
          <w:szCs w:val="36"/>
          <w:rtl/>
        </w:rPr>
        <w:t>"</w:t>
      </w:r>
      <w:r w:rsidR="0077224F" w:rsidRPr="00FD211F">
        <w:rPr>
          <w:sz w:val="36"/>
          <w:szCs w:val="36"/>
          <w:rtl/>
        </w:rPr>
        <w:t>قده</w:t>
      </w:r>
      <w:r w:rsidR="00AB1B12" w:rsidRPr="00FD211F">
        <w:rPr>
          <w:sz w:val="36"/>
          <w:szCs w:val="36"/>
          <w:rtl/>
        </w:rPr>
        <w:t>"</w:t>
      </w:r>
      <w:r w:rsidR="0077224F" w:rsidRPr="00FD211F">
        <w:rPr>
          <w:sz w:val="36"/>
          <w:szCs w:val="36"/>
          <w:rtl/>
        </w:rPr>
        <w:t xml:space="preserve"> ان نكت</w:t>
      </w:r>
      <w:r w:rsidR="00EC7EDF" w:rsidRPr="00FD211F">
        <w:rPr>
          <w:sz w:val="36"/>
          <w:szCs w:val="36"/>
          <w:rtl/>
        </w:rPr>
        <w:t xml:space="preserve">ة </w:t>
      </w:r>
      <w:r w:rsidR="0077224F" w:rsidRPr="00FD211F">
        <w:rPr>
          <w:sz w:val="36"/>
          <w:szCs w:val="36"/>
          <w:rtl/>
        </w:rPr>
        <w:t>عدم صدق هذه المفاهيم على ما</w:t>
      </w:r>
      <w:r w:rsidR="008D7B3D" w:rsidRPr="00FD211F">
        <w:rPr>
          <w:sz w:val="36"/>
          <w:szCs w:val="36"/>
          <w:rtl/>
        </w:rPr>
        <w:t xml:space="preserve"> لم‌</w:t>
      </w:r>
      <w:r w:rsidR="0077224F" w:rsidRPr="00FD211F">
        <w:rPr>
          <w:sz w:val="36"/>
          <w:szCs w:val="36"/>
          <w:rtl/>
        </w:rPr>
        <w:t>يكن بالحمل الشائع مصداقا لها ان الطبيع</w:t>
      </w:r>
      <w:r w:rsidR="00EC7EDF" w:rsidRPr="00FD211F">
        <w:rPr>
          <w:sz w:val="36"/>
          <w:szCs w:val="36"/>
          <w:rtl/>
        </w:rPr>
        <w:t>ة</w:t>
      </w:r>
      <w:r w:rsidR="008D7B3D" w:rsidRPr="00FD211F">
        <w:rPr>
          <w:sz w:val="36"/>
          <w:szCs w:val="36"/>
          <w:rtl/>
        </w:rPr>
        <w:t xml:space="preserve"> لم‌</w:t>
      </w:r>
      <w:r w:rsidR="0077224F" w:rsidRPr="00FD211F">
        <w:rPr>
          <w:sz w:val="36"/>
          <w:szCs w:val="36"/>
          <w:rtl/>
        </w:rPr>
        <w:t>تكن طبي</w:t>
      </w:r>
      <w:r w:rsidR="00C32518" w:rsidRPr="00FD211F">
        <w:rPr>
          <w:sz w:val="36"/>
          <w:szCs w:val="36"/>
          <w:rtl/>
        </w:rPr>
        <w:t>ع</w:t>
      </w:r>
      <w:r w:rsidR="00EC7EDF" w:rsidRPr="00FD211F">
        <w:rPr>
          <w:sz w:val="36"/>
          <w:szCs w:val="36"/>
          <w:rtl/>
        </w:rPr>
        <w:t xml:space="preserve">ة </w:t>
      </w:r>
      <w:r w:rsidR="00C32518" w:rsidRPr="00FD211F">
        <w:rPr>
          <w:sz w:val="36"/>
          <w:szCs w:val="36"/>
          <w:rtl/>
        </w:rPr>
        <w:t>حال العدم</w:t>
      </w:r>
      <w:r w:rsidR="00603323" w:rsidRPr="00FD211F">
        <w:rPr>
          <w:sz w:val="36"/>
          <w:szCs w:val="36"/>
          <w:rtl/>
        </w:rPr>
        <w:t xml:space="preserve">، </w:t>
      </w:r>
      <w:r w:rsidR="00C32518" w:rsidRPr="00FD211F">
        <w:rPr>
          <w:sz w:val="36"/>
          <w:szCs w:val="36"/>
          <w:rtl/>
        </w:rPr>
        <w:t>فحينما نقول كل نار</w:t>
      </w:r>
      <w:r w:rsidR="0077224F" w:rsidRPr="00FD211F">
        <w:rPr>
          <w:sz w:val="36"/>
          <w:szCs w:val="36"/>
          <w:rtl/>
        </w:rPr>
        <w:t xml:space="preserve"> حار</w:t>
      </w:r>
      <w:r w:rsidR="00EC7EDF" w:rsidRPr="00FD211F">
        <w:rPr>
          <w:sz w:val="36"/>
          <w:szCs w:val="36"/>
          <w:rtl/>
        </w:rPr>
        <w:t xml:space="preserve">ة </w:t>
      </w:r>
      <w:r w:rsidR="0077224F" w:rsidRPr="00FD211F">
        <w:rPr>
          <w:sz w:val="36"/>
          <w:szCs w:val="36"/>
          <w:rtl/>
        </w:rPr>
        <w:t>فنخبر عن مصاديق النار</w:t>
      </w:r>
      <w:r w:rsidR="00603323" w:rsidRPr="00FD211F">
        <w:rPr>
          <w:sz w:val="36"/>
          <w:szCs w:val="36"/>
          <w:rtl/>
        </w:rPr>
        <w:t xml:space="preserve">، </w:t>
      </w:r>
      <w:r w:rsidR="0077224F" w:rsidRPr="00FD211F">
        <w:rPr>
          <w:sz w:val="36"/>
          <w:szCs w:val="36"/>
          <w:rtl/>
        </w:rPr>
        <w:t>والمعدوم ليس مصداقا للنار كما ان الموجود الذهني ليس نارا بالحمل الشائع</w:t>
      </w:r>
      <w:r w:rsidR="00603323" w:rsidRPr="00FD211F">
        <w:rPr>
          <w:sz w:val="36"/>
          <w:szCs w:val="36"/>
          <w:rtl/>
        </w:rPr>
        <w:t xml:space="preserve">، </w:t>
      </w:r>
      <w:r w:rsidR="0077224F" w:rsidRPr="00FD211F">
        <w:rPr>
          <w:sz w:val="36"/>
          <w:szCs w:val="36"/>
          <w:rtl/>
        </w:rPr>
        <w:t>فينحصر الصدق على الافراد الموجود</w:t>
      </w:r>
      <w:r w:rsidR="00EC7EDF" w:rsidRPr="00FD211F">
        <w:rPr>
          <w:sz w:val="36"/>
          <w:szCs w:val="36"/>
          <w:rtl/>
        </w:rPr>
        <w:t xml:space="preserve">ة </w:t>
      </w:r>
      <w:r w:rsidR="0077224F" w:rsidRPr="00FD211F">
        <w:rPr>
          <w:sz w:val="36"/>
          <w:szCs w:val="36"/>
          <w:rtl/>
        </w:rPr>
        <w:t>في ظرف وجودها من غير ان يكون الوجود قيدا</w:t>
      </w:r>
      <w:r w:rsidR="009C58C8" w:rsidRPr="00FD211F">
        <w:rPr>
          <w:rStyle w:val="a6"/>
          <w:sz w:val="36"/>
          <w:szCs w:val="36"/>
          <w:rtl/>
        </w:rPr>
        <w:t>(</w:t>
      </w:r>
      <w:r w:rsidR="009C58C8" w:rsidRPr="00FD211F">
        <w:rPr>
          <w:rStyle w:val="a6"/>
          <w:sz w:val="36"/>
          <w:szCs w:val="36"/>
          <w:rtl/>
        </w:rPr>
        <w:footnoteReference w:id="134"/>
      </w:r>
      <w:r w:rsidR="009C58C8" w:rsidRPr="00FD211F">
        <w:rPr>
          <w:rStyle w:val="a6"/>
          <w:sz w:val="36"/>
          <w:szCs w:val="36"/>
          <w:rtl/>
        </w:rPr>
        <w:t>)</w:t>
      </w:r>
      <w:r w:rsidR="00BC28DD" w:rsidRPr="00FD211F">
        <w:rPr>
          <w:sz w:val="36"/>
          <w:szCs w:val="36"/>
          <w:rtl/>
        </w:rPr>
        <w:t>.</w:t>
      </w:r>
    </w:p>
    <w:p w14:paraId="2846044E" w14:textId="77777777" w:rsidR="0077224F" w:rsidRPr="00FD211F" w:rsidRDefault="0077224F" w:rsidP="009C58C8">
      <w:pPr>
        <w:ind w:left="0" w:firstLine="227"/>
        <w:jc w:val="both"/>
        <w:rPr>
          <w:sz w:val="36"/>
          <w:szCs w:val="36"/>
          <w:rtl/>
        </w:rPr>
      </w:pPr>
      <w:r w:rsidRPr="00FD211F">
        <w:rPr>
          <w:sz w:val="36"/>
          <w:szCs w:val="36"/>
          <w:rtl/>
        </w:rPr>
        <w:t>هذا كله بلحاظ اسماء الأجناس</w:t>
      </w:r>
      <w:r w:rsidR="00603323" w:rsidRPr="00FD211F">
        <w:rPr>
          <w:sz w:val="36"/>
          <w:szCs w:val="36"/>
          <w:rtl/>
        </w:rPr>
        <w:t xml:space="preserve">، </w:t>
      </w:r>
      <w:r w:rsidR="000B3A1D" w:rsidRPr="00FD211F">
        <w:rPr>
          <w:sz w:val="36"/>
          <w:szCs w:val="36"/>
          <w:rtl/>
        </w:rPr>
        <w:t>وأما في أسماء الأعلام ف</w:t>
      </w:r>
      <w:r w:rsidR="008D47A5" w:rsidRPr="00FD211F">
        <w:rPr>
          <w:sz w:val="36"/>
          <w:szCs w:val="36"/>
          <w:rtl/>
        </w:rPr>
        <w:t xml:space="preserve">لايبعد ان يكون الموضوع له </w:t>
      </w:r>
      <w:r w:rsidR="000B3A1D" w:rsidRPr="00FD211F">
        <w:rPr>
          <w:sz w:val="36"/>
          <w:szCs w:val="36"/>
          <w:rtl/>
        </w:rPr>
        <w:t xml:space="preserve">فيها </w:t>
      </w:r>
      <w:r w:rsidR="008D47A5" w:rsidRPr="00FD211F">
        <w:rPr>
          <w:sz w:val="36"/>
          <w:szCs w:val="36"/>
          <w:rtl/>
        </w:rPr>
        <w:t>هو الوجود الخارجي للشيئ</w:t>
      </w:r>
      <w:r w:rsidR="00603323" w:rsidRPr="00FD211F">
        <w:rPr>
          <w:sz w:val="36"/>
          <w:szCs w:val="36"/>
          <w:rtl/>
        </w:rPr>
        <w:t xml:space="preserve">، </w:t>
      </w:r>
      <w:r w:rsidR="008D47A5" w:rsidRPr="00FD211F">
        <w:rPr>
          <w:sz w:val="36"/>
          <w:szCs w:val="36"/>
          <w:rtl/>
        </w:rPr>
        <w:t>فالوالد حينما يسمي ولده باسم عليّ فيكون لحاظه واسط</w:t>
      </w:r>
      <w:r w:rsidR="00EC7EDF" w:rsidRPr="00FD211F">
        <w:rPr>
          <w:sz w:val="36"/>
          <w:szCs w:val="36"/>
          <w:rtl/>
        </w:rPr>
        <w:t xml:space="preserve">ة </w:t>
      </w:r>
      <w:r w:rsidR="008D47A5" w:rsidRPr="00FD211F">
        <w:rPr>
          <w:sz w:val="36"/>
          <w:szCs w:val="36"/>
          <w:rtl/>
        </w:rPr>
        <w:t>في اعتباره هذا الاسم علام</w:t>
      </w:r>
      <w:r w:rsidR="00EC7EDF" w:rsidRPr="00FD211F">
        <w:rPr>
          <w:sz w:val="36"/>
          <w:szCs w:val="36"/>
          <w:rtl/>
        </w:rPr>
        <w:t xml:space="preserve">ة </w:t>
      </w:r>
      <w:r w:rsidR="008D47A5" w:rsidRPr="00FD211F">
        <w:rPr>
          <w:sz w:val="36"/>
          <w:szCs w:val="36"/>
          <w:rtl/>
        </w:rPr>
        <w:t>على هذا المولود الخارجي</w:t>
      </w:r>
      <w:r w:rsidR="00603323" w:rsidRPr="00FD211F">
        <w:rPr>
          <w:sz w:val="36"/>
          <w:szCs w:val="36"/>
          <w:rtl/>
        </w:rPr>
        <w:t xml:space="preserve">، </w:t>
      </w:r>
      <w:r w:rsidR="008D47A5" w:rsidRPr="00FD211F">
        <w:rPr>
          <w:sz w:val="36"/>
          <w:szCs w:val="36"/>
          <w:rtl/>
        </w:rPr>
        <w:t>وهذا لاينافي كون القرن الأكيد بين تصور اللفظ وتصور المعنى</w:t>
      </w:r>
      <w:r w:rsidR="00603323" w:rsidRPr="00FD211F">
        <w:rPr>
          <w:sz w:val="36"/>
          <w:szCs w:val="36"/>
          <w:rtl/>
        </w:rPr>
        <w:t xml:space="preserve">، </w:t>
      </w:r>
      <w:r w:rsidRPr="00FD211F">
        <w:rPr>
          <w:sz w:val="36"/>
          <w:szCs w:val="36"/>
          <w:rtl/>
        </w:rPr>
        <w:t>فان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للمعنى</w:t>
      </w:r>
      <w:r w:rsidR="00311B3C" w:rsidRPr="00FD211F">
        <w:rPr>
          <w:sz w:val="36"/>
          <w:szCs w:val="36"/>
          <w:rtl/>
        </w:rPr>
        <w:t xml:space="preserve"> قد لاتكون</w:t>
      </w:r>
      <w:r w:rsidRPr="00FD211F">
        <w:rPr>
          <w:sz w:val="36"/>
          <w:szCs w:val="36"/>
          <w:rtl/>
        </w:rPr>
        <w:t xml:space="preserve"> معنى بالحمل الشائع.</w:t>
      </w:r>
    </w:p>
    <w:p w14:paraId="211FEE4B" w14:textId="77777777" w:rsidR="002F4F8E" w:rsidRPr="00FD211F" w:rsidRDefault="0077224F" w:rsidP="009C58C8">
      <w:pPr>
        <w:ind w:left="0" w:firstLine="227"/>
        <w:jc w:val="both"/>
        <w:rPr>
          <w:sz w:val="36"/>
          <w:szCs w:val="36"/>
          <w:rtl/>
        </w:rPr>
      </w:pPr>
      <w:r w:rsidRPr="00FD211F">
        <w:rPr>
          <w:sz w:val="36"/>
          <w:szCs w:val="36"/>
          <w:rtl/>
        </w:rPr>
        <w:t>وما ذكره المحقق الاصفهاني</w:t>
      </w:r>
      <w:r w:rsidR="00A61BAE" w:rsidRPr="00FD211F">
        <w:rPr>
          <w:sz w:val="36"/>
          <w:szCs w:val="36"/>
          <w:rtl/>
        </w:rPr>
        <w:t xml:space="preserve"> </w:t>
      </w:r>
      <w:r w:rsidR="0024281C" w:rsidRPr="00FD211F">
        <w:rPr>
          <w:sz w:val="36"/>
          <w:szCs w:val="36"/>
          <w:rtl/>
        </w:rPr>
        <w:t>"قده"</w:t>
      </w:r>
      <w:r w:rsidR="00A61BAE" w:rsidRPr="00FD211F">
        <w:rPr>
          <w:sz w:val="36"/>
          <w:szCs w:val="36"/>
          <w:rtl/>
        </w:rPr>
        <w:t xml:space="preserve"> </w:t>
      </w:r>
      <w:r w:rsidRPr="00FD211F">
        <w:rPr>
          <w:sz w:val="36"/>
          <w:szCs w:val="36"/>
          <w:rtl/>
        </w:rPr>
        <w:t>من البرهان ففيه: انه</w:t>
      </w:r>
      <w:r w:rsidR="00797457" w:rsidRPr="00FD211F">
        <w:rPr>
          <w:sz w:val="36"/>
          <w:szCs w:val="36"/>
          <w:rtl/>
        </w:rPr>
        <w:t xml:space="preserve"> لامانع من وضع لفظ بإزاء الوجود الخارجي فيكون الوجود الخارجي مأخوذا في المعنى الموضوع له</w:t>
      </w:r>
      <w:r w:rsidR="00603323" w:rsidRPr="00FD211F">
        <w:rPr>
          <w:sz w:val="36"/>
          <w:szCs w:val="36"/>
          <w:rtl/>
        </w:rPr>
        <w:t xml:space="preserve">، </w:t>
      </w:r>
      <w:r w:rsidR="00797457" w:rsidRPr="00FD211F">
        <w:rPr>
          <w:sz w:val="36"/>
          <w:szCs w:val="36"/>
          <w:rtl/>
        </w:rPr>
        <w:t>و</w:t>
      </w:r>
      <w:r w:rsidRPr="00FD211F">
        <w:rPr>
          <w:sz w:val="36"/>
          <w:szCs w:val="36"/>
          <w:rtl/>
        </w:rPr>
        <w:t>ما يوجد في الذهن حين تصور هذا المعنى يكون شبح المعنى وصورته لانفسه</w:t>
      </w:r>
      <w:r w:rsidR="00603323" w:rsidRPr="00FD211F">
        <w:rPr>
          <w:sz w:val="36"/>
          <w:szCs w:val="36"/>
          <w:rtl/>
        </w:rPr>
        <w:t xml:space="preserve">، </w:t>
      </w:r>
      <w:r w:rsidRPr="00FD211F">
        <w:rPr>
          <w:sz w:val="36"/>
          <w:szCs w:val="36"/>
          <w:rtl/>
        </w:rPr>
        <w:t>كمفهوم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الذي يكون شبحا لواقع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ة</w:t>
      </w:r>
      <w:r w:rsidR="00603323" w:rsidRPr="00FD211F">
        <w:rPr>
          <w:sz w:val="36"/>
          <w:szCs w:val="36"/>
          <w:rtl/>
        </w:rPr>
        <w:t xml:space="preserve">، </w:t>
      </w:r>
      <w:r w:rsidRPr="00FD211F">
        <w:rPr>
          <w:sz w:val="36"/>
          <w:szCs w:val="36"/>
          <w:rtl/>
        </w:rPr>
        <w:t>كما انه</w:t>
      </w:r>
      <w:r w:rsidR="00797457" w:rsidRPr="00FD211F">
        <w:rPr>
          <w:sz w:val="36"/>
          <w:szCs w:val="36"/>
          <w:rtl/>
        </w:rPr>
        <w:t xml:space="preserve"> لامانع من وضع لفظ بإزاء الوجود الذهني لمعنى</w:t>
      </w:r>
      <w:r w:rsidRPr="00FD211F">
        <w:rPr>
          <w:sz w:val="36"/>
          <w:szCs w:val="36"/>
          <w:rtl/>
        </w:rPr>
        <w:t xml:space="preserve"> فحينما يلحظ ذات المعنى يتحقق قيده وهو وجوده الذهني في النفس قهرا بنحو العلم الحضوري</w:t>
      </w:r>
      <w:r w:rsidR="00603323" w:rsidRPr="00FD211F">
        <w:rPr>
          <w:sz w:val="36"/>
          <w:szCs w:val="36"/>
          <w:rtl/>
        </w:rPr>
        <w:t xml:space="preserve">، </w:t>
      </w:r>
      <w:r w:rsidRPr="00FD211F">
        <w:rPr>
          <w:sz w:val="36"/>
          <w:szCs w:val="36"/>
          <w:rtl/>
        </w:rPr>
        <w:t>فلايكون من تلبس الوجود الذهني بوجود ذهني آخر.</w:t>
      </w:r>
    </w:p>
    <w:p w14:paraId="6105716F" w14:textId="77777777" w:rsidR="00D3000E" w:rsidRPr="00FD211F" w:rsidRDefault="00D3000E" w:rsidP="009C58C8">
      <w:pPr>
        <w:ind w:left="0" w:firstLine="227"/>
        <w:jc w:val="both"/>
        <w:rPr>
          <w:sz w:val="36"/>
          <w:szCs w:val="36"/>
          <w:rtl/>
        </w:rPr>
      </w:pPr>
      <w:bookmarkStart w:id="147" w:name="درس016"/>
      <w:bookmarkEnd w:id="147"/>
      <w:r w:rsidRPr="00FD211F">
        <w:rPr>
          <w:sz w:val="36"/>
          <w:szCs w:val="36"/>
          <w:rtl/>
        </w:rPr>
        <w:t xml:space="preserve">هذا وقد ذكر السيد الإمام </w:t>
      </w:r>
      <w:r w:rsidR="00AB1B12" w:rsidRPr="00FD211F">
        <w:rPr>
          <w:sz w:val="36"/>
          <w:szCs w:val="36"/>
          <w:rtl/>
        </w:rPr>
        <w:t>"</w:t>
      </w:r>
      <w:r w:rsidRPr="00FD211F">
        <w:rPr>
          <w:sz w:val="36"/>
          <w:szCs w:val="36"/>
          <w:rtl/>
        </w:rPr>
        <w:t>قده</w:t>
      </w:r>
      <w:r w:rsidR="00AB1B12" w:rsidRPr="00FD211F">
        <w:rPr>
          <w:sz w:val="36"/>
          <w:szCs w:val="36"/>
          <w:rtl/>
        </w:rPr>
        <w:t>"</w:t>
      </w:r>
      <w:r w:rsidRPr="00FD211F">
        <w:rPr>
          <w:sz w:val="36"/>
          <w:szCs w:val="36"/>
          <w:rtl/>
        </w:rPr>
        <w:t xml:space="preserve"> ان في النفس من التمثيل بالاعلام للوضع الخاص والموضوع له الخاص شيئا</w:t>
      </w:r>
      <w:r w:rsidR="00603323" w:rsidRPr="00FD211F">
        <w:rPr>
          <w:sz w:val="36"/>
          <w:szCs w:val="36"/>
          <w:rtl/>
        </w:rPr>
        <w:t xml:space="preserve">، </w:t>
      </w:r>
      <w:r w:rsidRPr="00FD211F">
        <w:rPr>
          <w:sz w:val="36"/>
          <w:szCs w:val="36"/>
          <w:rtl/>
        </w:rPr>
        <w:t>فان المناسب للارتكاز هو وضع لفظ زيد للماهي</w:t>
      </w:r>
      <w:r w:rsidR="00EC7EDF" w:rsidRPr="00FD211F">
        <w:rPr>
          <w:sz w:val="36"/>
          <w:szCs w:val="36"/>
          <w:rtl/>
        </w:rPr>
        <w:t xml:space="preserve">ة </w:t>
      </w:r>
      <w:r w:rsidRPr="00FD211F">
        <w:rPr>
          <w:sz w:val="36"/>
          <w:szCs w:val="36"/>
          <w:rtl/>
        </w:rPr>
        <w:t>المخصص</w:t>
      </w:r>
      <w:r w:rsidR="00EC7EDF" w:rsidRPr="00FD211F">
        <w:rPr>
          <w:sz w:val="36"/>
          <w:szCs w:val="36"/>
          <w:rtl/>
        </w:rPr>
        <w:t xml:space="preserve">ة </w:t>
      </w:r>
      <w:r w:rsidRPr="00FD211F">
        <w:rPr>
          <w:sz w:val="36"/>
          <w:szCs w:val="36"/>
          <w:rtl/>
        </w:rPr>
        <w:t>بحدود لاتنطبق الا على فرد معين لا على الموجود الخارجي</w:t>
      </w:r>
      <w:r w:rsidR="00603323" w:rsidRPr="00FD211F">
        <w:rPr>
          <w:sz w:val="36"/>
          <w:szCs w:val="36"/>
          <w:rtl/>
        </w:rPr>
        <w:t xml:space="preserve">، </w:t>
      </w:r>
      <w:r w:rsidRPr="00FD211F">
        <w:rPr>
          <w:sz w:val="36"/>
          <w:szCs w:val="36"/>
          <w:rtl/>
        </w:rPr>
        <w:t>والا لزم كون قولنا زيد موجود ضروريا وقولنا زيد معدوم مجازا</w:t>
      </w:r>
      <w:r w:rsidR="009C58C8" w:rsidRPr="00FD211F">
        <w:rPr>
          <w:rStyle w:val="a6"/>
          <w:sz w:val="36"/>
          <w:szCs w:val="36"/>
          <w:rtl/>
        </w:rPr>
        <w:t>(</w:t>
      </w:r>
      <w:r w:rsidR="009C58C8" w:rsidRPr="00FD211F">
        <w:rPr>
          <w:rStyle w:val="a6"/>
          <w:sz w:val="36"/>
          <w:szCs w:val="36"/>
          <w:rtl/>
        </w:rPr>
        <w:footnoteReference w:id="135"/>
      </w:r>
      <w:r w:rsidR="009C58C8" w:rsidRPr="00FD211F">
        <w:rPr>
          <w:rStyle w:val="a6"/>
          <w:sz w:val="36"/>
          <w:szCs w:val="36"/>
          <w:rtl/>
        </w:rPr>
        <w:t>)</w:t>
      </w:r>
      <w:r w:rsidRPr="00FD211F">
        <w:rPr>
          <w:sz w:val="36"/>
          <w:szCs w:val="36"/>
          <w:rtl/>
        </w:rPr>
        <w:t>.</w:t>
      </w:r>
    </w:p>
    <w:p w14:paraId="28DDA663" w14:textId="77777777" w:rsidR="00C32518" w:rsidRPr="00FD211F" w:rsidRDefault="00D3000E" w:rsidP="009C58C8">
      <w:pPr>
        <w:ind w:left="0" w:firstLine="227"/>
        <w:jc w:val="both"/>
        <w:rPr>
          <w:sz w:val="36"/>
          <w:szCs w:val="36"/>
          <w:rtl/>
        </w:rPr>
      </w:pPr>
      <w:r w:rsidRPr="00FD211F">
        <w:rPr>
          <w:sz w:val="36"/>
          <w:szCs w:val="36"/>
          <w:rtl/>
        </w:rPr>
        <w:t>ويلاحظ عليه اولا</w:t>
      </w:r>
      <w:r w:rsidR="005C2C68" w:rsidRPr="00FD211F">
        <w:rPr>
          <w:sz w:val="36"/>
          <w:szCs w:val="36"/>
          <w:rtl/>
        </w:rPr>
        <w:t>:</w:t>
      </w:r>
      <w:r w:rsidRPr="00FD211F">
        <w:rPr>
          <w:sz w:val="36"/>
          <w:szCs w:val="36"/>
          <w:rtl/>
        </w:rPr>
        <w:t xml:space="preserve"> ان الظاهر -كما مر- هو كون الموضوع له في ال</w:t>
      </w:r>
      <w:r w:rsidR="006159CB" w:rsidRPr="00FD211F">
        <w:rPr>
          <w:sz w:val="36"/>
          <w:szCs w:val="36"/>
          <w:rtl/>
        </w:rPr>
        <w:t>أ</w:t>
      </w:r>
      <w:r w:rsidRPr="00FD211F">
        <w:rPr>
          <w:sz w:val="36"/>
          <w:szCs w:val="36"/>
          <w:rtl/>
        </w:rPr>
        <w:t xml:space="preserve">علام هو الموجود الخارجي وقولنا </w:t>
      </w:r>
      <w:r w:rsidR="009D7ADE" w:rsidRPr="00FD211F">
        <w:rPr>
          <w:sz w:val="36"/>
          <w:szCs w:val="36"/>
          <w:rtl/>
        </w:rPr>
        <w:t>"</w:t>
      </w:r>
      <w:r w:rsidRPr="00FD211F">
        <w:rPr>
          <w:sz w:val="36"/>
          <w:szCs w:val="36"/>
          <w:rtl/>
        </w:rPr>
        <w:t>زيد موجود</w:t>
      </w:r>
      <w:r w:rsidR="009D7ADE" w:rsidRPr="00FD211F">
        <w:rPr>
          <w:sz w:val="36"/>
          <w:szCs w:val="36"/>
          <w:rtl/>
        </w:rPr>
        <w:t>"</w:t>
      </w:r>
      <w:r w:rsidRPr="00FD211F">
        <w:rPr>
          <w:sz w:val="36"/>
          <w:szCs w:val="36"/>
          <w:rtl/>
        </w:rPr>
        <w:t xml:space="preserve"> يعني ان هذا الفرد الموجود خارجا في زمان</w:t>
      </w:r>
      <w:r w:rsidR="00981E8D" w:rsidRPr="00FD211F">
        <w:rPr>
          <w:sz w:val="36"/>
          <w:szCs w:val="36"/>
          <w:rtl/>
        </w:rPr>
        <w:t>ٍ</w:t>
      </w:r>
      <w:r w:rsidR="00C32518" w:rsidRPr="00FD211F">
        <w:rPr>
          <w:sz w:val="36"/>
          <w:szCs w:val="36"/>
          <w:rtl/>
        </w:rPr>
        <w:t xml:space="preserve"> ما</w:t>
      </w:r>
      <w:r w:rsidR="00B253CE" w:rsidRPr="00FD211F">
        <w:rPr>
          <w:sz w:val="36"/>
          <w:szCs w:val="36"/>
          <w:rtl/>
        </w:rPr>
        <w:t xml:space="preserve"> </w:t>
      </w:r>
      <w:r w:rsidRPr="00FD211F">
        <w:rPr>
          <w:sz w:val="36"/>
          <w:szCs w:val="36"/>
          <w:rtl/>
        </w:rPr>
        <w:t>موجود فعلا</w:t>
      </w:r>
      <w:r w:rsidR="00603323" w:rsidRPr="00FD211F">
        <w:rPr>
          <w:sz w:val="36"/>
          <w:szCs w:val="36"/>
          <w:rtl/>
        </w:rPr>
        <w:t xml:space="preserve">، </w:t>
      </w:r>
      <w:r w:rsidR="00C32518" w:rsidRPr="00FD211F">
        <w:rPr>
          <w:sz w:val="36"/>
          <w:szCs w:val="36"/>
          <w:rtl/>
        </w:rPr>
        <w:t>فليست هذه القضي</w:t>
      </w:r>
      <w:r w:rsidR="00EC7EDF" w:rsidRPr="00FD211F">
        <w:rPr>
          <w:sz w:val="36"/>
          <w:szCs w:val="36"/>
          <w:rtl/>
        </w:rPr>
        <w:t xml:space="preserve">ة </w:t>
      </w:r>
      <w:r w:rsidR="00C32518" w:rsidRPr="00FD211F">
        <w:rPr>
          <w:sz w:val="36"/>
          <w:szCs w:val="36"/>
          <w:rtl/>
        </w:rPr>
        <w:t>ضروري</w:t>
      </w:r>
      <w:r w:rsidR="00EC7EDF" w:rsidRPr="00FD211F">
        <w:rPr>
          <w:sz w:val="36"/>
          <w:szCs w:val="36"/>
          <w:rtl/>
        </w:rPr>
        <w:t xml:space="preserve">ة </w:t>
      </w:r>
      <w:r w:rsidR="00C32518" w:rsidRPr="00FD211F">
        <w:rPr>
          <w:sz w:val="36"/>
          <w:szCs w:val="36"/>
          <w:rtl/>
        </w:rPr>
        <w:t>كما</w:t>
      </w:r>
      <w:r w:rsidR="000C5BBA" w:rsidRPr="00FD211F">
        <w:rPr>
          <w:sz w:val="36"/>
          <w:szCs w:val="36"/>
          <w:rtl/>
        </w:rPr>
        <w:t xml:space="preserve"> </w:t>
      </w:r>
      <w:r w:rsidR="00C32518" w:rsidRPr="00FD211F">
        <w:rPr>
          <w:sz w:val="36"/>
          <w:szCs w:val="36"/>
          <w:rtl/>
        </w:rPr>
        <w:t xml:space="preserve">ان </w:t>
      </w:r>
      <w:r w:rsidR="00981E8D" w:rsidRPr="00FD211F">
        <w:rPr>
          <w:sz w:val="36"/>
          <w:szCs w:val="36"/>
          <w:rtl/>
        </w:rPr>
        <w:t>قولن</w:t>
      </w:r>
      <w:r w:rsidR="00F547D9" w:rsidRPr="00FD211F">
        <w:rPr>
          <w:sz w:val="36"/>
          <w:szCs w:val="36"/>
          <w:rtl/>
        </w:rPr>
        <w:t xml:space="preserve">ا </w:t>
      </w:r>
      <w:r w:rsidR="009D7ADE" w:rsidRPr="00FD211F">
        <w:rPr>
          <w:sz w:val="36"/>
          <w:szCs w:val="36"/>
          <w:rtl/>
        </w:rPr>
        <w:t>"</w:t>
      </w:r>
      <w:r w:rsidR="00F547D9" w:rsidRPr="00FD211F">
        <w:rPr>
          <w:sz w:val="36"/>
          <w:szCs w:val="36"/>
          <w:rtl/>
        </w:rPr>
        <w:t>زيد معدوم</w:t>
      </w:r>
      <w:r w:rsidR="009D7ADE" w:rsidRPr="00FD211F">
        <w:rPr>
          <w:sz w:val="36"/>
          <w:szCs w:val="36"/>
          <w:rtl/>
        </w:rPr>
        <w:t>"</w:t>
      </w:r>
      <w:r w:rsidR="00C32518" w:rsidRPr="00FD211F">
        <w:rPr>
          <w:sz w:val="36"/>
          <w:szCs w:val="36"/>
          <w:rtl/>
        </w:rPr>
        <w:t xml:space="preserve"> يعني ان هذاالفرد</w:t>
      </w:r>
      <w:r w:rsidR="00F547D9" w:rsidRPr="00FD211F">
        <w:rPr>
          <w:sz w:val="36"/>
          <w:szCs w:val="36"/>
          <w:rtl/>
        </w:rPr>
        <w:t xml:space="preserve"> معدوم فعلا</w:t>
      </w:r>
      <w:r w:rsidR="00C32518" w:rsidRPr="00FD211F">
        <w:rPr>
          <w:sz w:val="36"/>
          <w:szCs w:val="36"/>
          <w:rtl/>
        </w:rPr>
        <w:t>.</w:t>
      </w:r>
    </w:p>
    <w:p w14:paraId="5A44EF7E" w14:textId="77777777" w:rsidR="00D3000E" w:rsidRPr="00FD211F" w:rsidRDefault="00981E8D" w:rsidP="009C58C8">
      <w:pPr>
        <w:ind w:left="0" w:firstLine="227"/>
        <w:jc w:val="both"/>
        <w:rPr>
          <w:sz w:val="36"/>
          <w:szCs w:val="36"/>
          <w:rtl/>
        </w:rPr>
      </w:pPr>
      <w:r w:rsidRPr="00FD211F">
        <w:rPr>
          <w:sz w:val="36"/>
          <w:szCs w:val="36"/>
          <w:rtl/>
        </w:rPr>
        <w:t>وثانيا: ان ما ذكره</w:t>
      </w:r>
      <w:r w:rsidR="00A61BAE" w:rsidRPr="00FD211F">
        <w:rPr>
          <w:sz w:val="36"/>
          <w:szCs w:val="36"/>
          <w:rtl/>
        </w:rPr>
        <w:t xml:space="preserve"> </w:t>
      </w:r>
      <w:r w:rsidR="0024281C" w:rsidRPr="00FD211F">
        <w:rPr>
          <w:sz w:val="36"/>
          <w:szCs w:val="36"/>
          <w:rtl/>
        </w:rPr>
        <w:t>"قده"</w:t>
      </w:r>
      <w:r w:rsidR="00A61BAE" w:rsidRPr="00FD211F">
        <w:rPr>
          <w:sz w:val="36"/>
          <w:szCs w:val="36"/>
          <w:rtl/>
        </w:rPr>
        <w:t xml:space="preserve"> </w:t>
      </w:r>
      <w:r w:rsidRPr="00FD211F">
        <w:rPr>
          <w:sz w:val="36"/>
          <w:szCs w:val="36"/>
          <w:rtl/>
        </w:rPr>
        <w:t>لاينافي كون وضع الأعلام من قبيل الوضع الخاص والموضوع له الخاص</w:t>
      </w:r>
      <w:r w:rsidR="00603323" w:rsidRPr="00FD211F">
        <w:rPr>
          <w:sz w:val="36"/>
          <w:szCs w:val="36"/>
          <w:rtl/>
        </w:rPr>
        <w:t xml:space="preserve">، </w:t>
      </w:r>
      <w:r w:rsidRPr="00FD211F">
        <w:rPr>
          <w:sz w:val="36"/>
          <w:szCs w:val="36"/>
          <w:rtl/>
        </w:rPr>
        <w:t>غايته انه يرى كون الموضوع له فيها هو الصور</w:t>
      </w:r>
      <w:r w:rsidR="00EC7EDF" w:rsidRPr="00FD211F">
        <w:rPr>
          <w:sz w:val="36"/>
          <w:szCs w:val="36"/>
          <w:rtl/>
        </w:rPr>
        <w:t xml:space="preserve">ة </w:t>
      </w:r>
      <w:r w:rsidRPr="00FD211F">
        <w:rPr>
          <w:sz w:val="36"/>
          <w:szCs w:val="36"/>
          <w:rtl/>
        </w:rPr>
        <w:t>الجزئي</w:t>
      </w:r>
      <w:r w:rsidR="00EC7EDF" w:rsidRPr="00FD211F">
        <w:rPr>
          <w:sz w:val="36"/>
          <w:szCs w:val="36"/>
          <w:rtl/>
        </w:rPr>
        <w:t>ة</w:t>
      </w:r>
      <w:r w:rsidR="00A61BAE" w:rsidRPr="00FD211F">
        <w:rPr>
          <w:sz w:val="36"/>
          <w:szCs w:val="36"/>
          <w:rtl/>
        </w:rPr>
        <w:t>.</w:t>
      </w:r>
    </w:p>
    <w:p w14:paraId="21A49236" w14:textId="77777777" w:rsidR="00353F0E" w:rsidRPr="00FD211F" w:rsidRDefault="00353F0E" w:rsidP="009C58C8">
      <w:pPr>
        <w:ind w:left="0" w:firstLine="227"/>
        <w:jc w:val="both"/>
        <w:rPr>
          <w:sz w:val="36"/>
          <w:szCs w:val="36"/>
          <w:rtl/>
        </w:rPr>
      </w:pPr>
      <w:r w:rsidRPr="00FD211F">
        <w:rPr>
          <w:sz w:val="36"/>
          <w:szCs w:val="36"/>
          <w:rtl/>
        </w:rPr>
        <w:t>ثم إنه بناء على ما ذكرنا ف</w:t>
      </w:r>
      <w:r w:rsidR="00C32518" w:rsidRPr="00FD211F">
        <w:rPr>
          <w:sz w:val="36"/>
          <w:szCs w:val="36"/>
          <w:rtl/>
        </w:rPr>
        <w:t>في اسماء</w:t>
      </w:r>
      <w:r w:rsidR="00AA7BEF" w:rsidRPr="00FD211F">
        <w:rPr>
          <w:sz w:val="36"/>
          <w:szCs w:val="36"/>
          <w:rtl/>
        </w:rPr>
        <w:t xml:space="preserve"> </w:t>
      </w:r>
      <w:r w:rsidR="00C32518" w:rsidRPr="00FD211F">
        <w:rPr>
          <w:sz w:val="36"/>
          <w:szCs w:val="36"/>
          <w:rtl/>
        </w:rPr>
        <w:t xml:space="preserve">الاعلام </w:t>
      </w:r>
      <w:r w:rsidRPr="00FD211F">
        <w:rPr>
          <w:sz w:val="36"/>
          <w:szCs w:val="36"/>
          <w:rtl/>
        </w:rPr>
        <w:t>يكون الوجود الخارجي هو الموضوع له</w:t>
      </w:r>
      <w:r w:rsidR="0086769F" w:rsidRPr="00FD211F">
        <w:rPr>
          <w:sz w:val="36"/>
          <w:szCs w:val="36"/>
          <w:rtl/>
        </w:rPr>
        <w:t xml:space="preserve"> </w:t>
      </w:r>
      <w:r w:rsidRPr="00FD211F">
        <w:rPr>
          <w:sz w:val="36"/>
          <w:szCs w:val="36"/>
          <w:rtl/>
        </w:rPr>
        <w:t xml:space="preserve">وفي </w:t>
      </w:r>
      <w:r w:rsidR="0086769F" w:rsidRPr="00FD211F">
        <w:rPr>
          <w:sz w:val="36"/>
          <w:szCs w:val="36"/>
          <w:rtl/>
        </w:rPr>
        <w:t>أسماء الأجناس</w:t>
      </w:r>
      <w:r w:rsidRPr="00FD211F">
        <w:rPr>
          <w:sz w:val="36"/>
          <w:szCs w:val="36"/>
          <w:rtl/>
        </w:rPr>
        <w:t xml:space="preserve"> يكون</w:t>
      </w:r>
      <w:r w:rsidR="0086769F" w:rsidRPr="00FD211F">
        <w:rPr>
          <w:sz w:val="36"/>
          <w:szCs w:val="36"/>
          <w:rtl/>
        </w:rPr>
        <w:t xml:space="preserve"> </w:t>
      </w:r>
      <w:r w:rsidRPr="00FD211F">
        <w:rPr>
          <w:sz w:val="36"/>
          <w:szCs w:val="36"/>
          <w:rtl/>
        </w:rPr>
        <w:t>الموضوع له ما</w:t>
      </w:r>
      <w:r w:rsidR="0086769F" w:rsidRPr="00FD211F">
        <w:rPr>
          <w:sz w:val="36"/>
          <w:szCs w:val="36"/>
          <w:rtl/>
        </w:rPr>
        <w:t xml:space="preserve"> موطن وجوده هو الخارج وان</w:t>
      </w:r>
      <w:r w:rsidR="008D7B3D" w:rsidRPr="00FD211F">
        <w:rPr>
          <w:sz w:val="36"/>
          <w:szCs w:val="36"/>
          <w:rtl/>
        </w:rPr>
        <w:t xml:space="preserve"> لم‌</w:t>
      </w:r>
      <w:r w:rsidR="0086769F" w:rsidRPr="00FD211F">
        <w:rPr>
          <w:sz w:val="36"/>
          <w:szCs w:val="36"/>
          <w:rtl/>
        </w:rPr>
        <w:t xml:space="preserve">يوجد فعلا كالعنقاء </w:t>
      </w:r>
      <w:r w:rsidRPr="00FD211F">
        <w:rPr>
          <w:sz w:val="36"/>
          <w:szCs w:val="36"/>
          <w:rtl/>
        </w:rPr>
        <w:t xml:space="preserve">بل وان امتنع وجوده كاجتماع النقيضين </w:t>
      </w:r>
      <w:r w:rsidR="0086769F" w:rsidRPr="00FD211F">
        <w:rPr>
          <w:sz w:val="36"/>
          <w:szCs w:val="36"/>
          <w:rtl/>
        </w:rPr>
        <w:t>و</w:t>
      </w:r>
      <w:r w:rsidRPr="00FD211F">
        <w:rPr>
          <w:sz w:val="36"/>
          <w:szCs w:val="36"/>
          <w:rtl/>
        </w:rPr>
        <w:t>ي</w:t>
      </w:r>
      <w:r w:rsidR="0086769F" w:rsidRPr="00FD211F">
        <w:rPr>
          <w:sz w:val="36"/>
          <w:szCs w:val="36"/>
          <w:rtl/>
        </w:rPr>
        <w:t xml:space="preserve">كون </w:t>
      </w:r>
      <w:r w:rsidRPr="00FD211F">
        <w:rPr>
          <w:sz w:val="36"/>
          <w:szCs w:val="36"/>
          <w:rtl/>
        </w:rPr>
        <w:t>لحاظ الواضع</w:t>
      </w:r>
      <w:r w:rsidR="00EA33E1" w:rsidRPr="00FD211F">
        <w:rPr>
          <w:sz w:val="36"/>
          <w:szCs w:val="36"/>
          <w:rtl/>
        </w:rPr>
        <w:t xml:space="preserve"> </w:t>
      </w:r>
      <w:r w:rsidRPr="00FD211F">
        <w:rPr>
          <w:sz w:val="36"/>
          <w:szCs w:val="36"/>
          <w:rtl/>
        </w:rPr>
        <w:t>للمعني واسط</w:t>
      </w:r>
      <w:r w:rsidR="00EC7EDF" w:rsidRPr="00FD211F">
        <w:rPr>
          <w:sz w:val="36"/>
          <w:szCs w:val="36"/>
          <w:rtl/>
        </w:rPr>
        <w:t xml:space="preserve">ة </w:t>
      </w:r>
      <w:r w:rsidRPr="00FD211F">
        <w:rPr>
          <w:sz w:val="36"/>
          <w:szCs w:val="36"/>
          <w:rtl/>
        </w:rPr>
        <w:t>في</w:t>
      </w:r>
      <w:r w:rsidR="0086769F" w:rsidRPr="00FD211F">
        <w:rPr>
          <w:sz w:val="36"/>
          <w:szCs w:val="36"/>
          <w:rtl/>
        </w:rPr>
        <w:t xml:space="preserve"> اعتبار</w:t>
      </w:r>
      <w:r w:rsidRPr="00FD211F">
        <w:rPr>
          <w:sz w:val="36"/>
          <w:szCs w:val="36"/>
          <w:rtl/>
        </w:rPr>
        <w:t>ه اللفظ علام</w:t>
      </w:r>
      <w:r w:rsidR="00EC7EDF" w:rsidRPr="00FD211F">
        <w:rPr>
          <w:sz w:val="36"/>
          <w:szCs w:val="36"/>
          <w:rtl/>
        </w:rPr>
        <w:t xml:space="preserve">ة </w:t>
      </w:r>
      <w:r w:rsidRPr="00FD211F">
        <w:rPr>
          <w:sz w:val="36"/>
          <w:szCs w:val="36"/>
          <w:rtl/>
        </w:rPr>
        <w:t>علي ذاك المعنى من ذون ان يوجد نفس المعنى في ذهنه</w:t>
      </w:r>
      <w:r w:rsidR="00603323" w:rsidRPr="00FD211F">
        <w:rPr>
          <w:sz w:val="36"/>
          <w:szCs w:val="36"/>
          <w:rtl/>
        </w:rPr>
        <w:t xml:space="preserve">، </w:t>
      </w:r>
      <w:r w:rsidR="0086769F" w:rsidRPr="00FD211F">
        <w:rPr>
          <w:sz w:val="36"/>
          <w:szCs w:val="36"/>
          <w:rtl/>
        </w:rPr>
        <w:t xml:space="preserve">فانه لامانع من </w:t>
      </w:r>
      <w:r w:rsidR="00861DF8" w:rsidRPr="00FD211F">
        <w:rPr>
          <w:sz w:val="36"/>
          <w:szCs w:val="36"/>
          <w:rtl/>
        </w:rPr>
        <w:t>اعتبار امر على الخارج ويكون لحاظ الخارج واسط</w:t>
      </w:r>
      <w:r w:rsidR="00EC7EDF" w:rsidRPr="00FD211F">
        <w:rPr>
          <w:sz w:val="36"/>
          <w:szCs w:val="36"/>
          <w:rtl/>
        </w:rPr>
        <w:t xml:space="preserve">ة </w:t>
      </w:r>
      <w:r w:rsidR="00861DF8" w:rsidRPr="00FD211F">
        <w:rPr>
          <w:sz w:val="36"/>
          <w:szCs w:val="36"/>
          <w:rtl/>
        </w:rPr>
        <w:t>في الثبوت</w:t>
      </w:r>
      <w:r w:rsidR="00603323" w:rsidRPr="00FD211F">
        <w:rPr>
          <w:sz w:val="36"/>
          <w:szCs w:val="36"/>
          <w:rtl/>
        </w:rPr>
        <w:t xml:space="preserve">، </w:t>
      </w:r>
      <w:r w:rsidR="00861DF8" w:rsidRPr="00FD211F">
        <w:rPr>
          <w:sz w:val="36"/>
          <w:szCs w:val="36"/>
          <w:rtl/>
        </w:rPr>
        <w:t>ويختلف ذلك عن مثل العلم والحب ونحوهما من الصفات النفساني</w:t>
      </w:r>
      <w:r w:rsidR="00EC7EDF" w:rsidRPr="00FD211F">
        <w:rPr>
          <w:sz w:val="36"/>
          <w:szCs w:val="36"/>
          <w:rtl/>
        </w:rPr>
        <w:t xml:space="preserve">ة </w:t>
      </w:r>
      <w:r w:rsidR="00861DF8" w:rsidRPr="00FD211F">
        <w:rPr>
          <w:sz w:val="36"/>
          <w:szCs w:val="36"/>
          <w:rtl/>
        </w:rPr>
        <w:t>التي تح</w:t>
      </w:r>
      <w:r w:rsidRPr="00FD211F">
        <w:rPr>
          <w:sz w:val="36"/>
          <w:szCs w:val="36"/>
          <w:rtl/>
        </w:rPr>
        <w:t>تاج الى متعلق لها في موطن النفس.</w:t>
      </w:r>
    </w:p>
    <w:p w14:paraId="4189E880" w14:textId="77777777" w:rsidR="000C5BBA" w:rsidRPr="00FD211F" w:rsidRDefault="0086769F" w:rsidP="009C58C8">
      <w:pPr>
        <w:ind w:left="0" w:firstLine="227"/>
        <w:jc w:val="both"/>
        <w:rPr>
          <w:sz w:val="36"/>
          <w:szCs w:val="36"/>
          <w:rtl/>
        </w:rPr>
      </w:pPr>
      <w:r w:rsidRPr="00FD211F">
        <w:rPr>
          <w:sz w:val="36"/>
          <w:szCs w:val="36"/>
          <w:rtl/>
        </w:rPr>
        <w:t>وان أبيت عن ذلك فلامحيص من الالتزام بان</w:t>
      </w:r>
      <w:r w:rsidR="00797457" w:rsidRPr="00FD211F">
        <w:rPr>
          <w:sz w:val="36"/>
          <w:szCs w:val="36"/>
          <w:rtl/>
        </w:rPr>
        <w:t>ه في أسماء الأعلام يكون</w:t>
      </w:r>
      <w:r w:rsidRPr="00FD211F">
        <w:rPr>
          <w:sz w:val="36"/>
          <w:szCs w:val="36"/>
          <w:rtl/>
        </w:rPr>
        <w:t xml:space="preserve"> الموضوع له </w:t>
      </w:r>
      <w:r w:rsidR="00EA33E1" w:rsidRPr="00FD211F">
        <w:rPr>
          <w:sz w:val="36"/>
          <w:szCs w:val="36"/>
          <w:rtl/>
        </w:rPr>
        <w:t>بالنظر العرفي</w:t>
      </w:r>
      <w:r w:rsidR="00797457" w:rsidRPr="00FD211F">
        <w:rPr>
          <w:sz w:val="36"/>
          <w:szCs w:val="36"/>
          <w:rtl/>
        </w:rPr>
        <w:t xml:space="preserve"> هو الوجود الخارجي</w:t>
      </w:r>
      <w:r w:rsidR="00EA33E1" w:rsidRPr="00FD211F">
        <w:rPr>
          <w:sz w:val="36"/>
          <w:szCs w:val="36"/>
          <w:rtl/>
        </w:rPr>
        <w:t xml:space="preserve"> ويعبر عنه بالموضوع له بالعرض</w:t>
      </w:r>
      <w:r w:rsidR="00603323" w:rsidRPr="00FD211F">
        <w:rPr>
          <w:sz w:val="36"/>
          <w:szCs w:val="36"/>
          <w:rtl/>
        </w:rPr>
        <w:t xml:space="preserve">، </w:t>
      </w:r>
      <w:r w:rsidR="00EA33E1" w:rsidRPr="00FD211F">
        <w:rPr>
          <w:sz w:val="36"/>
          <w:szCs w:val="36"/>
          <w:rtl/>
        </w:rPr>
        <w:t xml:space="preserve">ويكون الموضوع له بالذات </w:t>
      </w:r>
      <w:r w:rsidR="004B74DF" w:rsidRPr="00FD211F">
        <w:rPr>
          <w:sz w:val="36"/>
          <w:szCs w:val="36"/>
          <w:rtl/>
        </w:rPr>
        <w:t>–اي بالنظرالعقلي-</w:t>
      </w:r>
      <w:r w:rsidR="00EA33E1" w:rsidRPr="00FD211F">
        <w:rPr>
          <w:sz w:val="36"/>
          <w:szCs w:val="36"/>
          <w:rtl/>
        </w:rPr>
        <w:t>هو الصور</w:t>
      </w:r>
      <w:r w:rsidR="00EC7EDF" w:rsidRPr="00FD211F">
        <w:rPr>
          <w:sz w:val="36"/>
          <w:szCs w:val="36"/>
          <w:rtl/>
        </w:rPr>
        <w:t xml:space="preserve">ة </w:t>
      </w:r>
      <w:r w:rsidR="00EA33E1" w:rsidRPr="00FD211F">
        <w:rPr>
          <w:sz w:val="36"/>
          <w:szCs w:val="36"/>
          <w:rtl/>
        </w:rPr>
        <w:t>الذهني</w:t>
      </w:r>
      <w:r w:rsidR="00EC7EDF" w:rsidRPr="00FD211F">
        <w:rPr>
          <w:sz w:val="36"/>
          <w:szCs w:val="36"/>
          <w:rtl/>
        </w:rPr>
        <w:t xml:space="preserve">ة </w:t>
      </w:r>
      <w:r w:rsidR="004B74DF" w:rsidRPr="00FD211F">
        <w:rPr>
          <w:sz w:val="36"/>
          <w:szCs w:val="36"/>
          <w:rtl/>
        </w:rPr>
        <w:t xml:space="preserve">لكن </w:t>
      </w:r>
      <w:r w:rsidR="00604806" w:rsidRPr="00FD211F">
        <w:rPr>
          <w:sz w:val="36"/>
          <w:szCs w:val="36"/>
          <w:rtl/>
        </w:rPr>
        <w:t>لابما هي هي بل بما هي فاني</w:t>
      </w:r>
      <w:r w:rsidR="00EC7EDF" w:rsidRPr="00FD211F">
        <w:rPr>
          <w:sz w:val="36"/>
          <w:szCs w:val="36"/>
          <w:rtl/>
        </w:rPr>
        <w:t xml:space="preserve">ة </w:t>
      </w:r>
      <w:r w:rsidR="00604806" w:rsidRPr="00FD211F">
        <w:rPr>
          <w:sz w:val="36"/>
          <w:szCs w:val="36"/>
          <w:rtl/>
        </w:rPr>
        <w:t>في الخارج</w:t>
      </w:r>
      <w:r w:rsidR="00273E05" w:rsidRPr="00FD211F">
        <w:rPr>
          <w:sz w:val="36"/>
          <w:szCs w:val="36"/>
          <w:rtl/>
        </w:rPr>
        <w:t>.</w:t>
      </w:r>
    </w:p>
    <w:p w14:paraId="62A949E5" w14:textId="77777777" w:rsidR="0086769F" w:rsidRPr="00FD211F" w:rsidRDefault="00604806" w:rsidP="009C58C8">
      <w:pPr>
        <w:ind w:left="0" w:firstLine="227"/>
        <w:jc w:val="both"/>
        <w:rPr>
          <w:sz w:val="36"/>
          <w:szCs w:val="36"/>
          <w:rtl/>
        </w:rPr>
      </w:pPr>
      <w:r w:rsidRPr="00FD211F">
        <w:rPr>
          <w:sz w:val="36"/>
          <w:szCs w:val="36"/>
          <w:rtl/>
        </w:rPr>
        <w:t>هذا كله بلحاظ مرحل</w:t>
      </w:r>
      <w:r w:rsidR="00EC7EDF" w:rsidRPr="00FD211F">
        <w:rPr>
          <w:sz w:val="36"/>
          <w:szCs w:val="36"/>
          <w:rtl/>
        </w:rPr>
        <w:t xml:space="preserve">ة </w:t>
      </w:r>
      <w:r w:rsidRPr="00FD211F">
        <w:rPr>
          <w:sz w:val="36"/>
          <w:szCs w:val="36"/>
          <w:rtl/>
        </w:rPr>
        <w:t>الوضع</w:t>
      </w:r>
      <w:r w:rsidR="00603323" w:rsidRPr="00FD211F">
        <w:rPr>
          <w:sz w:val="36"/>
          <w:szCs w:val="36"/>
          <w:rtl/>
        </w:rPr>
        <w:t xml:space="preserve">، </w:t>
      </w:r>
      <w:r w:rsidRPr="00FD211F">
        <w:rPr>
          <w:sz w:val="36"/>
          <w:szCs w:val="36"/>
          <w:rtl/>
        </w:rPr>
        <w:t>وأما مرحل</w:t>
      </w:r>
      <w:r w:rsidR="00EC7EDF" w:rsidRPr="00FD211F">
        <w:rPr>
          <w:sz w:val="36"/>
          <w:szCs w:val="36"/>
          <w:rtl/>
        </w:rPr>
        <w:t xml:space="preserve">ة </w:t>
      </w:r>
      <w:r w:rsidRPr="00FD211F">
        <w:rPr>
          <w:sz w:val="36"/>
          <w:szCs w:val="36"/>
          <w:rtl/>
        </w:rPr>
        <w:t>الاستعمال فحيث انه عملي</w:t>
      </w:r>
      <w:r w:rsidR="00EC7EDF" w:rsidRPr="00FD211F">
        <w:rPr>
          <w:sz w:val="36"/>
          <w:szCs w:val="36"/>
          <w:rtl/>
        </w:rPr>
        <w:t xml:space="preserve">ة </w:t>
      </w:r>
      <w:r w:rsidRPr="00FD211F">
        <w:rPr>
          <w:sz w:val="36"/>
          <w:szCs w:val="36"/>
          <w:rtl/>
        </w:rPr>
        <w:t>تكويني</w:t>
      </w:r>
      <w:r w:rsidR="00EC7EDF" w:rsidRPr="00FD211F">
        <w:rPr>
          <w:sz w:val="36"/>
          <w:szCs w:val="36"/>
          <w:rtl/>
        </w:rPr>
        <w:t xml:space="preserve">ة </w:t>
      </w:r>
      <w:r w:rsidRPr="00FD211F">
        <w:rPr>
          <w:sz w:val="36"/>
          <w:szCs w:val="36"/>
          <w:rtl/>
        </w:rPr>
        <w:t>فيكون المستعمل فيه بالذات</w:t>
      </w:r>
      <w:r w:rsidR="00861DF8" w:rsidRPr="00FD211F">
        <w:rPr>
          <w:sz w:val="36"/>
          <w:szCs w:val="36"/>
          <w:rtl/>
        </w:rPr>
        <w:t xml:space="preserve"> -والذي يكون محفوظا في موارد الصدق والكذب-</w:t>
      </w:r>
      <w:r w:rsidRPr="00FD211F">
        <w:rPr>
          <w:sz w:val="36"/>
          <w:szCs w:val="36"/>
          <w:rtl/>
        </w:rPr>
        <w:t xml:space="preserve">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بما هي فاني</w:t>
      </w:r>
      <w:r w:rsidR="00EC7EDF" w:rsidRPr="00FD211F">
        <w:rPr>
          <w:sz w:val="36"/>
          <w:szCs w:val="36"/>
          <w:rtl/>
        </w:rPr>
        <w:t xml:space="preserve">ة </w:t>
      </w:r>
      <w:r w:rsidRPr="00FD211F">
        <w:rPr>
          <w:sz w:val="36"/>
          <w:szCs w:val="36"/>
          <w:rtl/>
        </w:rPr>
        <w:t>في الخارج ويكون الخارج هو المستعمل فيه بالعرض</w:t>
      </w:r>
      <w:r w:rsidR="00603323" w:rsidRPr="00FD211F">
        <w:rPr>
          <w:sz w:val="36"/>
          <w:szCs w:val="36"/>
          <w:rtl/>
        </w:rPr>
        <w:t xml:space="preserve">، </w:t>
      </w:r>
      <w:r w:rsidR="00797457" w:rsidRPr="00FD211F">
        <w:rPr>
          <w:sz w:val="36"/>
          <w:szCs w:val="36"/>
          <w:rtl/>
        </w:rPr>
        <w:t>ويأتي نظير هذا الكلام في أسماء الأجناس</w:t>
      </w:r>
      <w:r w:rsidR="00603323" w:rsidRPr="00FD211F">
        <w:rPr>
          <w:sz w:val="36"/>
          <w:szCs w:val="36"/>
          <w:rtl/>
        </w:rPr>
        <w:t xml:space="preserve">، </w:t>
      </w:r>
      <w:r w:rsidR="00797457" w:rsidRPr="00FD211F">
        <w:rPr>
          <w:sz w:val="36"/>
          <w:szCs w:val="36"/>
          <w:rtl/>
        </w:rPr>
        <w:t xml:space="preserve">حيث ان الموضوع له بالعرض </w:t>
      </w:r>
      <w:r w:rsidR="004B74DF" w:rsidRPr="00FD211F">
        <w:rPr>
          <w:sz w:val="36"/>
          <w:szCs w:val="36"/>
          <w:rtl/>
        </w:rPr>
        <w:t xml:space="preserve">للفظ الماء </w:t>
      </w:r>
      <w:r w:rsidR="00797457" w:rsidRPr="00FD211F">
        <w:rPr>
          <w:sz w:val="36"/>
          <w:szCs w:val="36"/>
          <w:rtl/>
        </w:rPr>
        <w:t>هو ما يكون بالحمل الشائع ماءا مثلا</w:t>
      </w:r>
      <w:r w:rsidRPr="00FD211F">
        <w:rPr>
          <w:sz w:val="36"/>
          <w:szCs w:val="36"/>
          <w:rtl/>
        </w:rPr>
        <w:t>.</w:t>
      </w:r>
    </w:p>
    <w:p w14:paraId="1384B667" w14:textId="77777777" w:rsidR="0077224F" w:rsidRPr="00FD211F" w:rsidRDefault="0077224F" w:rsidP="009C58C8">
      <w:pPr>
        <w:ind w:left="0" w:firstLine="227"/>
        <w:jc w:val="both"/>
        <w:rPr>
          <w:sz w:val="36"/>
          <w:szCs w:val="36"/>
          <w:rtl/>
        </w:rPr>
      </w:pPr>
      <w:r w:rsidRPr="00FD211F">
        <w:rPr>
          <w:sz w:val="36"/>
          <w:szCs w:val="36"/>
          <w:rtl/>
        </w:rPr>
        <w:t>وكيف كان</w:t>
      </w:r>
      <w:r w:rsidR="00603323" w:rsidRPr="00FD211F">
        <w:rPr>
          <w:sz w:val="36"/>
          <w:szCs w:val="36"/>
          <w:rtl/>
        </w:rPr>
        <w:t xml:space="preserve">، </w:t>
      </w:r>
      <w:r w:rsidRPr="00FD211F">
        <w:rPr>
          <w:sz w:val="36"/>
          <w:szCs w:val="36"/>
          <w:rtl/>
        </w:rPr>
        <w:t>فالمتحصل انه لااشكال ولاكلام في امكان القسمين الاولين بل وقوعهما في جميع اللغات.</w:t>
      </w:r>
    </w:p>
    <w:p w14:paraId="65564995" w14:textId="77777777" w:rsidR="00A246C9" w:rsidRPr="00FD211F" w:rsidRDefault="00C55272" w:rsidP="009C58C8">
      <w:pPr>
        <w:ind w:left="0" w:firstLine="227"/>
        <w:jc w:val="both"/>
        <w:rPr>
          <w:sz w:val="36"/>
          <w:szCs w:val="36"/>
          <w:rtl/>
        </w:rPr>
      </w:pPr>
      <w:r w:rsidRPr="00FD211F">
        <w:rPr>
          <w:sz w:val="36"/>
          <w:szCs w:val="36"/>
          <w:rtl/>
        </w:rPr>
        <w:t>انما الكلام والاشكال في</w:t>
      </w:r>
      <w:r w:rsidR="00D56F7D" w:rsidRPr="00FD211F">
        <w:rPr>
          <w:sz w:val="36"/>
          <w:szCs w:val="36"/>
          <w:rtl/>
        </w:rPr>
        <w:t xml:space="preserve"> امكان</w:t>
      </w:r>
      <w:r w:rsidRPr="00FD211F">
        <w:rPr>
          <w:sz w:val="36"/>
          <w:szCs w:val="36"/>
          <w:rtl/>
        </w:rPr>
        <w:t xml:space="preserve"> القسمين الأخيرين</w:t>
      </w:r>
      <w:r w:rsidR="00603323" w:rsidRPr="00FD211F">
        <w:rPr>
          <w:sz w:val="36"/>
          <w:szCs w:val="36"/>
          <w:rtl/>
        </w:rPr>
        <w:t xml:space="preserve">، </w:t>
      </w:r>
      <w:r w:rsidR="00D56F7D" w:rsidRPr="00FD211F">
        <w:rPr>
          <w:sz w:val="36"/>
          <w:szCs w:val="36"/>
          <w:rtl/>
        </w:rPr>
        <w:t>والمشهور هو امكان القسم الثالث بل وقوعه واستحال</w:t>
      </w:r>
      <w:r w:rsidR="00EC7EDF" w:rsidRPr="00FD211F">
        <w:rPr>
          <w:sz w:val="36"/>
          <w:szCs w:val="36"/>
          <w:rtl/>
        </w:rPr>
        <w:t xml:space="preserve">ة </w:t>
      </w:r>
      <w:r w:rsidR="00D56F7D" w:rsidRPr="00FD211F">
        <w:rPr>
          <w:sz w:val="36"/>
          <w:szCs w:val="36"/>
          <w:rtl/>
        </w:rPr>
        <w:t>القسم الرابع</w:t>
      </w:r>
      <w:r w:rsidR="00603323" w:rsidRPr="00FD211F">
        <w:rPr>
          <w:sz w:val="36"/>
          <w:szCs w:val="36"/>
          <w:rtl/>
        </w:rPr>
        <w:t xml:space="preserve">، </w:t>
      </w:r>
      <w:r w:rsidR="00D70722" w:rsidRPr="00FD211F">
        <w:rPr>
          <w:sz w:val="36"/>
          <w:szCs w:val="36"/>
          <w:rtl/>
        </w:rPr>
        <w:t>وخالف</w:t>
      </w:r>
      <w:r w:rsidRPr="00FD211F">
        <w:rPr>
          <w:sz w:val="36"/>
          <w:szCs w:val="36"/>
          <w:rtl/>
        </w:rPr>
        <w:t xml:space="preserve"> </w:t>
      </w:r>
      <w:r w:rsidR="00D70722" w:rsidRPr="00FD211F">
        <w:rPr>
          <w:sz w:val="36"/>
          <w:szCs w:val="36"/>
          <w:rtl/>
        </w:rPr>
        <w:t xml:space="preserve">في ذلك المحقق الايرواني </w:t>
      </w:r>
      <w:r w:rsidR="007F6AF7" w:rsidRPr="00FD211F">
        <w:rPr>
          <w:sz w:val="36"/>
          <w:szCs w:val="36"/>
          <w:rtl/>
        </w:rPr>
        <w:t>"</w:t>
      </w:r>
      <w:r w:rsidR="00D70722" w:rsidRPr="00FD211F">
        <w:rPr>
          <w:sz w:val="36"/>
          <w:szCs w:val="36"/>
          <w:rtl/>
        </w:rPr>
        <w:t>قده</w:t>
      </w:r>
      <w:r w:rsidR="007F6AF7" w:rsidRPr="00FD211F">
        <w:rPr>
          <w:sz w:val="36"/>
          <w:szCs w:val="36"/>
          <w:rtl/>
        </w:rPr>
        <w:t>"</w:t>
      </w:r>
      <w:r w:rsidR="00D70722" w:rsidRPr="00FD211F">
        <w:rPr>
          <w:sz w:val="36"/>
          <w:szCs w:val="36"/>
          <w:rtl/>
        </w:rPr>
        <w:t xml:space="preserve"> حيث ذهب الى استحال</w:t>
      </w:r>
      <w:r w:rsidR="00EC7EDF" w:rsidRPr="00FD211F">
        <w:rPr>
          <w:sz w:val="36"/>
          <w:szCs w:val="36"/>
          <w:rtl/>
        </w:rPr>
        <w:t xml:space="preserve">ة </w:t>
      </w:r>
      <w:r w:rsidR="00D70722" w:rsidRPr="00FD211F">
        <w:rPr>
          <w:sz w:val="36"/>
          <w:szCs w:val="36"/>
          <w:rtl/>
        </w:rPr>
        <w:t>كلا القسمين</w:t>
      </w:r>
      <w:r w:rsidR="004B74DF" w:rsidRPr="00FD211F">
        <w:rPr>
          <w:sz w:val="36"/>
          <w:szCs w:val="36"/>
          <w:rtl/>
        </w:rPr>
        <w:t xml:space="preserve"> </w:t>
      </w:r>
      <w:r w:rsidR="00890A8E" w:rsidRPr="00FD211F">
        <w:rPr>
          <w:sz w:val="36"/>
          <w:szCs w:val="36"/>
          <w:rtl/>
        </w:rPr>
        <w:t xml:space="preserve">وذكر أن </w:t>
      </w:r>
      <w:r w:rsidR="00D52D1A" w:rsidRPr="00FD211F">
        <w:rPr>
          <w:sz w:val="36"/>
          <w:szCs w:val="36"/>
          <w:rtl/>
        </w:rPr>
        <w:t>أقسام الوضع لا تتجاوز الاثنين كما حكى عن القدماء.</w:t>
      </w:r>
      <w:r w:rsidR="009C58C8" w:rsidRPr="00FD211F">
        <w:rPr>
          <w:rStyle w:val="a6"/>
          <w:sz w:val="36"/>
          <w:szCs w:val="36"/>
          <w:rtl/>
        </w:rPr>
        <w:t>(</w:t>
      </w:r>
      <w:r w:rsidR="009C58C8" w:rsidRPr="00FD211F">
        <w:rPr>
          <w:rStyle w:val="a6"/>
          <w:sz w:val="36"/>
          <w:szCs w:val="36"/>
          <w:rtl/>
        </w:rPr>
        <w:footnoteReference w:id="136"/>
      </w:r>
      <w:r w:rsidR="009C58C8" w:rsidRPr="00FD211F">
        <w:rPr>
          <w:rStyle w:val="a6"/>
          <w:sz w:val="36"/>
          <w:szCs w:val="36"/>
          <w:rtl/>
        </w:rPr>
        <w:t>)</w:t>
      </w:r>
      <w:r w:rsidR="00603323" w:rsidRPr="00FD211F">
        <w:rPr>
          <w:sz w:val="36"/>
          <w:szCs w:val="36"/>
          <w:rtl/>
        </w:rPr>
        <w:t xml:space="preserve">، </w:t>
      </w:r>
      <w:r w:rsidR="004B74DF" w:rsidRPr="00FD211F">
        <w:rPr>
          <w:sz w:val="36"/>
          <w:szCs w:val="36"/>
          <w:rtl/>
        </w:rPr>
        <w:t>بينما</w:t>
      </w:r>
      <w:r w:rsidR="0024281C" w:rsidRPr="00FD211F">
        <w:rPr>
          <w:sz w:val="36"/>
          <w:szCs w:val="36"/>
          <w:rtl/>
        </w:rPr>
        <w:t xml:space="preserve"> </w:t>
      </w:r>
      <w:r w:rsidR="004B74DF" w:rsidRPr="00FD211F">
        <w:rPr>
          <w:sz w:val="36"/>
          <w:szCs w:val="36"/>
          <w:rtl/>
        </w:rPr>
        <w:t>أن</w:t>
      </w:r>
      <w:r w:rsidR="00A246C9" w:rsidRPr="00FD211F">
        <w:rPr>
          <w:sz w:val="36"/>
          <w:szCs w:val="36"/>
          <w:rtl/>
        </w:rPr>
        <w:t xml:space="preserve"> المحقق الحائري </w:t>
      </w:r>
      <w:r w:rsidR="007F6AF7" w:rsidRPr="00FD211F">
        <w:rPr>
          <w:sz w:val="36"/>
          <w:szCs w:val="36"/>
          <w:rtl/>
        </w:rPr>
        <w:t>"</w:t>
      </w:r>
      <w:r w:rsidR="00A246C9" w:rsidRPr="00FD211F">
        <w:rPr>
          <w:sz w:val="36"/>
          <w:szCs w:val="36"/>
          <w:rtl/>
        </w:rPr>
        <w:t>قده</w:t>
      </w:r>
      <w:r w:rsidR="007F6AF7" w:rsidRPr="00FD211F">
        <w:rPr>
          <w:sz w:val="36"/>
          <w:szCs w:val="36"/>
          <w:rtl/>
        </w:rPr>
        <w:t>"</w:t>
      </w:r>
      <w:r w:rsidR="00A246C9" w:rsidRPr="00FD211F">
        <w:rPr>
          <w:sz w:val="36"/>
          <w:szCs w:val="36"/>
          <w:rtl/>
        </w:rPr>
        <w:t xml:space="preserve"> </w:t>
      </w:r>
      <w:r w:rsidR="004B74DF" w:rsidRPr="00FD211F">
        <w:rPr>
          <w:sz w:val="36"/>
          <w:szCs w:val="36"/>
          <w:rtl/>
        </w:rPr>
        <w:t>اختار</w:t>
      </w:r>
      <w:r w:rsidR="00AB552B" w:rsidRPr="00FD211F">
        <w:rPr>
          <w:sz w:val="36"/>
          <w:szCs w:val="36"/>
          <w:rtl/>
        </w:rPr>
        <w:t xml:space="preserve"> </w:t>
      </w:r>
      <w:r w:rsidR="00A246C9" w:rsidRPr="00FD211F">
        <w:rPr>
          <w:sz w:val="36"/>
          <w:szCs w:val="36"/>
          <w:rtl/>
        </w:rPr>
        <w:t>امكان كلا القسمين</w:t>
      </w:r>
      <w:r w:rsidR="009C58C8" w:rsidRPr="00FD211F">
        <w:rPr>
          <w:rStyle w:val="a6"/>
          <w:sz w:val="36"/>
          <w:szCs w:val="36"/>
          <w:rtl/>
        </w:rPr>
        <w:t>(</w:t>
      </w:r>
      <w:r w:rsidR="009C58C8" w:rsidRPr="00FD211F">
        <w:rPr>
          <w:rStyle w:val="a6"/>
          <w:sz w:val="36"/>
          <w:szCs w:val="36"/>
          <w:rtl/>
        </w:rPr>
        <w:footnoteReference w:id="137"/>
      </w:r>
      <w:r w:rsidR="009C58C8" w:rsidRPr="00FD211F">
        <w:rPr>
          <w:rStyle w:val="a6"/>
          <w:sz w:val="36"/>
          <w:szCs w:val="36"/>
          <w:rtl/>
        </w:rPr>
        <w:t>)</w:t>
      </w:r>
      <w:r w:rsidR="00A246C9" w:rsidRPr="00FD211F">
        <w:rPr>
          <w:sz w:val="36"/>
          <w:szCs w:val="36"/>
          <w:rtl/>
        </w:rPr>
        <w:t>.</w:t>
      </w:r>
    </w:p>
    <w:p w14:paraId="3A51D3DD" w14:textId="77777777" w:rsidR="008026F3" w:rsidRPr="00FD211F" w:rsidRDefault="00A246C9" w:rsidP="009C58C8">
      <w:pPr>
        <w:ind w:left="0" w:firstLine="227"/>
        <w:jc w:val="both"/>
        <w:rPr>
          <w:sz w:val="36"/>
          <w:szCs w:val="36"/>
          <w:rtl/>
        </w:rPr>
      </w:pPr>
      <w:r w:rsidRPr="00FD211F">
        <w:rPr>
          <w:sz w:val="36"/>
          <w:szCs w:val="36"/>
          <w:rtl/>
        </w:rPr>
        <w:t>والصحيح ما عليه المشهور من امكان القسم الثالث دون الرابع فان</w:t>
      </w:r>
      <w:r w:rsidR="00985AA6" w:rsidRPr="00FD211F">
        <w:rPr>
          <w:sz w:val="36"/>
          <w:szCs w:val="36"/>
          <w:rtl/>
        </w:rPr>
        <w:t xml:space="preserve"> لحاظ العام يكفي في وضع اللفظ بإزاء افراده </w:t>
      </w:r>
      <w:r w:rsidR="002C306E" w:rsidRPr="00FD211F">
        <w:rPr>
          <w:sz w:val="36"/>
          <w:szCs w:val="36"/>
          <w:rtl/>
        </w:rPr>
        <w:t>حيث انه وجه اجمالي لها</w:t>
      </w:r>
      <w:r w:rsidR="00603323" w:rsidRPr="00FD211F">
        <w:rPr>
          <w:sz w:val="36"/>
          <w:szCs w:val="36"/>
          <w:rtl/>
        </w:rPr>
        <w:t xml:space="preserve">، </w:t>
      </w:r>
      <w:r w:rsidR="00985AA6" w:rsidRPr="00FD211F">
        <w:rPr>
          <w:sz w:val="36"/>
          <w:szCs w:val="36"/>
          <w:rtl/>
        </w:rPr>
        <w:t>ولكن لايكفي لحاظ</w:t>
      </w:r>
      <w:r w:rsidR="002C306E" w:rsidRPr="00FD211F">
        <w:rPr>
          <w:sz w:val="36"/>
          <w:szCs w:val="36"/>
          <w:rtl/>
        </w:rPr>
        <w:t xml:space="preserve"> الفرد</w:t>
      </w:r>
      <w:r w:rsidR="00985AA6" w:rsidRPr="00FD211F">
        <w:rPr>
          <w:sz w:val="36"/>
          <w:szCs w:val="36"/>
          <w:rtl/>
        </w:rPr>
        <w:t xml:space="preserve"> في وضع لفظ بإزاء العام</w:t>
      </w:r>
      <w:r w:rsidR="00603323" w:rsidRPr="00FD211F">
        <w:rPr>
          <w:sz w:val="36"/>
          <w:szCs w:val="36"/>
          <w:rtl/>
        </w:rPr>
        <w:t xml:space="preserve">، </w:t>
      </w:r>
      <w:r w:rsidR="00985AA6" w:rsidRPr="00FD211F">
        <w:rPr>
          <w:sz w:val="36"/>
          <w:szCs w:val="36"/>
          <w:rtl/>
        </w:rPr>
        <w:t>فلايكفي لحاظ زيد في وضع لفظ الانسان بإزاء المعنى الكليّ الذي</w:t>
      </w:r>
      <w:r w:rsidR="002C306E" w:rsidRPr="00FD211F">
        <w:rPr>
          <w:sz w:val="36"/>
          <w:szCs w:val="36"/>
          <w:rtl/>
        </w:rPr>
        <w:t xml:space="preserve"> يراد ان يحكي عنه لفظ</w:t>
      </w:r>
      <w:r w:rsidR="00985AA6" w:rsidRPr="00FD211F">
        <w:rPr>
          <w:sz w:val="36"/>
          <w:szCs w:val="36"/>
          <w:rtl/>
        </w:rPr>
        <w:t xml:space="preserve"> الانسان</w:t>
      </w:r>
      <w:r w:rsidR="00603323" w:rsidRPr="00FD211F">
        <w:rPr>
          <w:sz w:val="36"/>
          <w:szCs w:val="36"/>
          <w:rtl/>
        </w:rPr>
        <w:t xml:space="preserve">، </w:t>
      </w:r>
      <w:r w:rsidR="00D56558" w:rsidRPr="00FD211F">
        <w:rPr>
          <w:sz w:val="36"/>
          <w:szCs w:val="36"/>
          <w:rtl/>
        </w:rPr>
        <w:t>فانه لايستلزم تصور زيد تصور مفهوم الانسان لااجمالا ولاتفصيلا</w:t>
      </w:r>
      <w:r w:rsidR="00603323" w:rsidRPr="00FD211F">
        <w:rPr>
          <w:sz w:val="36"/>
          <w:szCs w:val="36"/>
          <w:rtl/>
        </w:rPr>
        <w:t xml:space="preserve">، </w:t>
      </w:r>
      <w:r w:rsidR="00D56558" w:rsidRPr="00FD211F">
        <w:rPr>
          <w:sz w:val="36"/>
          <w:szCs w:val="36"/>
          <w:rtl/>
        </w:rPr>
        <w:t>وان شئت قلت: ان الخاص هو الكليّ في ضمن الخصوصي</w:t>
      </w:r>
      <w:r w:rsidR="00EC7EDF" w:rsidRPr="00FD211F">
        <w:rPr>
          <w:sz w:val="36"/>
          <w:szCs w:val="36"/>
          <w:rtl/>
        </w:rPr>
        <w:t xml:space="preserve">ة </w:t>
      </w:r>
      <w:r w:rsidR="00D56558" w:rsidRPr="00FD211F">
        <w:rPr>
          <w:sz w:val="36"/>
          <w:szCs w:val="36"/>
          <w:rtl/>
        </w:rPr>
        <w:t>والكليّ يكون لابشرط عن تلك الخصوصي</w:t>
      </w:r>
      <w:r w:rsidR="00EC7EDF" w:rsidRPr="00FD211F">
        <w:rPr>
          <w:sz w:val="36"/>
          <w:szCs w:val="36"/>
          <w:rtl/>
        </w:rPr>
        <w:t xml:space="preserve">ة </w:t>
      </w:r>
      <w:r w:rsidR="00D56558" w:rsidRPr="00FD211F">
        <w:rPr>
          <w:sz w:val="36"/>
          <w:szCs w:val="36"/>
          <w:rtl/>
        </w:rPr>
        <w:t>فلايكون وجها له</w:t>
      </w:r>
      <w:r w:rsidR="00603323" w:rsidRPr="00FD211F">
        <w:rPr>
          <w:sz w:val="36"/>
          <w:szCs w:val="36"/>
          <w:rtl/>
        </w:rPr>
        <w:t xml:space="preserve">، </w:t>
      </w:r>
      <w:r w:rsidR="00D56558" w:rsidRPr="00FD211F">
        <w:rPr>
          <w:sz w:val="36"/>
          <w:szCs w:val="36"/>
          <w:rtl/>
        </w:rPr>
        <w:t>وهذا واضح بالوجدان</w:t>
      </w:r>
      <w:r w:rsidR="00603323" w:rsidRPr="00FD211F">
        <w:rPr>
          <w:sz w:val="36"/>
          <w:szCs w:val="36"/>
          <w:rtl/>
        </w:rPr>
        <w:t xml:space="preserve">، </w:t>
      </w:r>
      <w:r w:rsidR="00985AA6" w:rsidRPr="00FD211F">
        <w:rPr>
          <w:sz w:val="36"/>
          <w:szCs w:val="36"/>
          <w:rtl/>
        </w:rPr>
        <w:t>نعم لو كان تصور الخاص موجبا لانتقال الذهن الى العام اتفاقا فهو امر آخر</w:t>
      </w:r>
      <w:r w:rsidR="00603323" w:rsidRPr="00FD211F">
        <w:rPr>
          <w:sz w:val="36"/>
          <w:szCs w:val="36"/>
          <w:rtl/>
        </w:rPr>
        <w:t xml:space="preserve">، </w:t>
      </w:r>
      <w:r w:rsidR="00985AA6" w:rsidRPr="00FD211F">
        <w:rPr>
          <w:sz w:val="36"/>
          <w:szCs w:val="36"/>
          <w:rtl/>
        </w:rPr>
        <w:t>ويندرج حينئذ في</w:t>
      </w:r>
      <w:r w:rsidR="00D56558" w:rsidRPr="00FD211F">
        <w:rPr>
          <w:sz w:val="36"/>
          <w:szCs w:val="36"/>
          <w:rtl/>
        </w:rPr>
        <w:t xml:space="preserve"> الوضع العام</w:t>
      </w:r>
      <w:r w:rsidR="00EC7EDF" w:rsidRPr="00FD211F">
        <w:rPr>
          <w:sz w:val="36"/>
          <w:szCs w:val="36"/>
          <w:rtl/>
        </w:rPr>
        <w:t xml:space="preserve"> و</w:t>
      </w:r>
      <w:r w:rsidR="00D56558" w:rsidRPr="00FD211F">
        <w:rPr>
          <w:sz w:val="36"/>
          <w:szCs w:val="36"/>
          <w:rtl/>
        </w:rPr>
        <w:t>الموضوع له العام</w:t>
      </w:r>
      <w:r w:rsidR="00603323" w:rsidRPr="00FD211F">
        <w:rPr>
          <w:sz w:val="36"/>
          <w:szCs w:val="36"/>
          <w:rtl/>
        </w:rPr>
        <w:t xml:space="preserve">، </w:t>
      </w:r>
      <w:r w:rsidR="00D56558" w:rsidRPr="00FD211F">
        <w:rPr>
          <w:sz w:val="36"/>
          <w:szCs w:val="36"/>
          <w:rtl/>
        </w:rPr>
        <w:t>ولكنه خلف الفرض.</w:t>
      </w:r>
    </w:p>
    <w:p w14:paraId="70398CFD" w14:textId="77777777" w:rsidR="00E02345" w:rsidRPr="00FD211F" w:rsidRDefault="00D56558" w:rsidP="00AB552B">
      <w:pPr>
        <w:ind w:left="0" w:firstLine="227"/>
        <w:jc w:val="both"/>
        <w:rPr>
          <w:sz w:val="36"/>
          <w:szCs w:val="36"/>
          <w:rtl/>
        </w:rPr>
      </w:pPr>
      <w:r w:rsidRPr="00FD211F">
        <w:rPr>
          <w:sz w:val="36"/>
          <w:szCs w:val="36"/>
          <w:rtl/>
        </w:rPr>
        <w:t xml:space="preserve">ومثال </w:t>
      </w:r>
      <w:r w:rsidR="007F6AF7" w:rsidRPr="00FD211F">
        <w:rPr>
          <w:sz w:val="36"/>
          <w:szCs w:val="36"/>
          <w:rtl/>
        </w:rPr>
        <w:t xml:space="preserve">القسم الثالث ما لو وضع </w:t>
      </w:r>
      <w:r w:rsidR="00E02345" w:rsidRPr="00FD211F">
        <w:rPr>
          <w:sz w:val="36"/>
          <w:szCs w:val="36"/>
          <w:rtl/>
        </w:rPr>
        <w:t xml:space="preserve">زعيم في يوم عيد الغدير اسم </w:t>
      </w:r>
      <w:r w:rsidR="007F6AF7" w:rsidRPr="00FD211F">
        <w:rPr>
          <w:sz w:val="36"/>
          <w:szCs w:val="36"/>
          <w:rtl/>
        </w:rPr>
        <w:t>"</w:t>
      </w:r>
      <w:r w:rsidR="00E02345" w:rsidRPr="00FD211F">
        <w:rPr>
          <w:sz w:val="36"/>
          <w:szCs w:val="36"/>
          <w:rtl/>
        </w:rPr>
        <w:t>عليّ</w:t>
      </w:r>
      <w:r w:rsidR="007F6AF7" w:rsidRPr="00FD211F">
        <w:rPr>
          <w:sz w:val="36"/>
          <w:szCs w:val="36"/>
          <w:rtl/>
        </w:rPr>
        <w:t>" ل</w:t>
      </w:r>
      <w:r w:rsidR="00E02345" w:rsidRPr="00FD211F">
        <w:rPr>
          <w:sz w:val="36"/>
          <w:szCs w:val="36"/>
          <w:rtl/>
        </w:rPr>
        <w:t>كل مولود ولد في ذلك اليوم</w:t>
      </w:r>
      <w:r w:rsidR="00603323" w:rsidRPr="00FD211F">
        <w:rPr>
          <w:sz w:val="36"/>
          <w:szCs w:val="36"/>
          <w:rtl/>
        </w:rPr>
        <w:t xml:space="preserve">، </w:t>
      </w:r>
      <w:r w:rsidR="00E02345" w:rsidRPr="00FD211F">
        <w:rPr>
          <w:sz w:val="36"/>
          <w:szCs w:val="36"/>
          <w:rtl/>
        </w:rPr>
        <w:t>فلم يتصور هذا الزعيم مواليد ذلك اليوم بالتفصيل</w:t>
      </w:r>
      <w:r w:rsidR="00603323" w:rsidRPr="00FD211F">
        <w:rPr>
          <w:sz w:val="36"/>
          <w:szCs w:val="36"/>
          <w:rtl/>
        </w:rPr>
        <w:t xml:space="preserve">، </w:t>
      </w:r>
      <w:r w:rsidR="00E02345" w:rsidRPr="00FD211F">
        <w:rPr>
          <w:sz w:val="36"/>
          <w:szCs w:val="36"/>
          <w:rtl/>
        </w:rPr>
        <w:t>وانما تصور مفهوما كليّا وهو المولود في هذا اليوم ولكنه</w:t>
      </w:r>
      <w:r w:rsidR="008D7B3D" w:rsidRPr="00FD211F">
        <w:rPr>
          <w:sz w:val="36"/>
          <w:szCs w:val="36"/>
          <w:rtl/>
        </w:rPr>
        <w:t xml:space="preserve"> لم‌</w:t>
      </w:r>
      <w:r w:rsidR="00E02345" w:rsidRPr="00FD211F">
        <w:rPr>
          <w:sz w:val="36"/>
          <w:szCs w:val="36"/>
          <w:rtl/>
        </w:rPr>
        <w:t xml:space="preserve">يضع اسم </w:t>
      </w:r>
      <w:r w:rsidR="007F6AF7" w:rsidRPr="00FD211F">
        <w:rPr>
          <w:sz w:val="36"/>
          <w:szCs w:val="36"/>
          <w:rtl/>
        </w:rPr>
        <w:t>"</w:t>
      </w:r>
      <w:r w:rsidR="00E02345" w:rsidRPr="00FD211F">
        <w:rPr>
          <w:sz w:val="36"/>
          <w:szCs w:val="36"/>
          <w:rtl/>
        </w:rPr>
        <w:t>عليّ</w:t>
      </w:r>
      <w:r w:rsidR="007F6AF7" w:rsidRPr="00FD211F">
        <w:rPr>
          <w:sz w:val="36"/>
          <w:szCs w:val="36"/>
          <w:rtl/>
        </w:rPr>
        <w:t>"</w:t>
      </w:r>
      <w:r w:rsidR="00AB552B" w:rsidRPr="00FD211F">
        <w:rPr>
          <w:sz w:val="36"/>
          <w:szCs w:val="36"/>
          <w:rtl/>
        </w:rPr>
        <w:t xml:space="preserve"> </w:t>
      </w:r>
      <w:r w:rsidR="007F6AF7" w:rsidRPr="00FD211F">
        <w:rPr>
          <w:sz w:val="36"/>
          <w:szCs w:val="36"/>
          <w:rtl/>
        </w:rPr>
        <w:t>ل</w:t>
      </w:r>
      <w:r w:rsidR="00E02345" w:rsidRPr="00FD211F">
        <w:rPr>
          <w:sz w:val="36"/>
          <w:szCs w:val="36"/>
          <w:rtl/>
        </w:rPr>
        <w:t>هذا المعنى الكليّ</w:t>
      </w:r>
      <w:r w:rsidR="00603323" w:rsidRPr="00FD211F">
        <w:rPr>
          <w:sz w:val="36"/>
          <w:szCs w:val="36"/>
          <w:rtl/>
        </w:rPr>
        <w:t xml:space="preserve">، </w:t>
      </w:r>
      <w:r w:rsidR="00E02345" w:rsidRPr="00FD211F">
        <w:rPr>
          <w:sz w:val="36"/>
          <w:szCs w:val="36"/>
          <w:rtl/>
        </w:rPr>
        <w:t xml:space="preserve">والا لكان مرادفا لقولنا </w:t>
      </w:r>
      <w:r w:rsidRPr="00FD211F">
        <w:rPr>
          <w:sz w:val="36"/>
          <w:szCs w:val="36"/>
          <w:rtl/>
        </w:rPr>
        <w:t>"</w:t>
      </w:r>
      <w:r w:rsidR="00E02345" w:rsidRPr="00FD211F">
        <w:rPr>
          <w:sz w:val="36"/>
          <w:szCs w:val="36"/>
          <w:rtl/>
        </w:rPr>
        <w:t>المولود في هذا اليوم</w:t>
      </w:r>
      <w:r w:rsidR="007F6AF7" w:rsidRPr="00FD211F">
        <w:rPr>
          <w:sz w:val="36"/>
          <w:szCs w:val="36"/>
          <w:rtl/>
        </w:rPr>
        <w:t>"</w:t>
      </w:r>
      <w:r w:rsidR="00603323" w:rsidRPr="00FD211F">
        <w:rPr>
          <w:sz w:val="36"/>
          <w:szCs w:val="36"/>
          <w:rtl/>
        </w:rPr>
        <w:t xml:space="preserve">، </w:t>
      </w:r>
      <w:r w:rsidR="007F6AF7" w:rsidRPr="00FD211F">
        <w:rPr>
          <w:sz w:val="36"/>
          <w:szCs w:val="36"/>
          <w:rtl/>
        </w:rPr>
        <w:t>وانما وضع هذا الاسم ل</w:t>
      </w:r>
      <w:r w:rsidR="00E02345" w:rsidRPr="00FD211F">
        <w:rPr>
          <w:sz w:val="36"/>
          <w:szCs w:val="36"/>
          <w:rtl/>
        </w:rPr>
        <w:t>تلك الافراد</w:t>
      </w:r>
      <w:r w:rsidR="00603323" w:rsidRPr="00FD211F">
        <w:rPr>
          <w:sz w:val="36"/>
          <w:szCs w:val="36"/>
          <w:rtl/>
        </w:rPr>
        <w:t xml:space="preserve">، </w:t>
      </w:r>
      <w:r w:rsidR="00E02345" w:rsidRPr="00FD211F">
        <w:rPr>
          <w:sz w:val="36"/>
          <w:szCs w:val="36"/>
          <w:rtl/>
        </w:rPr>
        <w:t>ف</w:t>
      </w:r>
      <w:r w:rsidRPr="00FD211F">
        <w:rPr>
          <w:sz w:val="36"/>
          <w:szCs w:val="36"/>
          <w:rtl/>
        </w:rPr>
        <w:t xml:space="preserve">كل مولود يكون موضوعا له ويكون اسم </w:t>
      </w:r>
      <w:r w:rsidR="007F6AF7" w:rsidRPr="00FD211F">
        <w:rPr>
          <w:sz w:val="36"/>
          <w:szCs w:val="36"/>
          <w:rtl/>
        </w:rPr>
        <w:t>"</w:t>
      </w:r>
      <w:r w:rsidRPr="00FD211F">
        <w:rPr>
          <w:sz w:val="36"/>
          <w:szCs w:val="36"/>
          <w:rtl/>
        </w:rPr>
        <w:t xml:space="preserve">عليّ </w:t>
      </w:r>
      <w:r w:rsidR="007F6AF7" w:rsidRPr="00FD211F">
        <w:rPr>
          <w:sz w:val="36"/>
          <w:szCs w:val="36"/>
          <w:rtl/>
        </w:rPr>
        <w:t>"</w:t>
      </w:r>
      <w:r w:rsidRPr="00FD211F">
        <w:rPr>
          <w:sz w:val="36"/>
          <w:szCs w:val="36"/>
          <w:rtl/>
        </w:rPr>
        <w:t>مشتركا لفظيا بينهم</w:t>
      </w:r>
      <w:r w:rsidR="00603323" w:rsidRPr="00FD211F">
        <w:rPr>
          <w:sz w:val="36"/>
          <w:szCs w:val="36"/>
          <w:rtl/>
        </w:rPr>
        <w:t xml:space="preserve">، </w:t>
      </w:r>
      <w:r w:rsidRPr="00FD211F">
        <w:rPr>
          <w:sz w:val="36"/>
          <w:szCs w:val="36"/>
          <w:rtl/>
        </w:rPr>
        <w:t>لاانه وضع لمعنى عامّ ويكون كل مولود مصداقا للمعنى الموضوع له</w:t>
      </w:r>
      <w:r w:rsidR="00E02345" w:rsidRPr="00FD211F">
        <w:rPr>
          <w:sz w:val="36"/>
          <w:szCs w:val="36"/>
          <w:rtl/>
        </w:rPr>
        <w:t>.</w:t>
      </w:r>
    </w:p>
    <w:p w14:paraId="6AE2BF97" w14:textId="77777777" w:rsidR="00DF1C7D" w:rsidRPr="00FD211F" w:rsidRDefault="00DF1C7D" w:rsidP="009C58C8">
      <w:pPr>
        <w:ind w:left="0" w:firstLine="227"/>
        <w:jc w:val="both"/>
        <w:rPr>
          <w:sz w:val="36"/>
          <w:szCs w:val="36"/>
          <w:rtl/>
        </w:rPr>
      </w:pPr>
      <w:r w:rsidRPr="00FD211F">
        <w:rPr>
          <w:sz w:val="36"/>
          <w:szCs w:val="36"/>
          <w:rtl/>
        </w:rPr>
        <w:t>هذا ولايخفى ان القسم الثالث لايختص بما اذا كان الموضوع له معنى جزئيا حقيقيا</w:t>
      </w:r>
      <w:r w:rsidR="00603323" w:rsidRPr="00FD211F">
        <w:rPr>
          <w:sz w:val="36"/>
          <w:szCs w:val="36"/>
          <w:rtl/>
        </w:rPr>
        <w:t xml:space="preserve">، </w:t>
      </w:r>
      <w:r w:rsidRPr="00FD211F">
        <w:rPr>
          <w:sz w:val="36"/>
          <w:szCs w:val="36"/>
          <w:rtl/>
        </w:rPr>
        <w:t>بل يشمل ما لو كان جزئيا اضافيا بالقياس الى العنوان الملحوظ حين الوضع</w:t>
      </w:r>
      <w:r w:rsidR="00603323" w:rsidRPr="00FD211F">
        <w:rPr>
          <w:sz w:val="36"/>
          <w:szCs w:val="36"/>
          <w:rtl/>
        </w:rPr>
        <w:t xml:space="preserve">، </w:t>
      </w:r>
      <w:r w:rsidRPr="00FD211F">
        <w:rPr>
          <w:sz w:val="36"/>
          <w:szCs w:val="36"/>
          <w:rtl/>
        </w:rPr>
        <w:t xml:space="preserve">كما لو وضع </w:t>
      </w:r>
      <w:r w:rsidR="007F6AF7" w:rsidRPr="00FD211F">
        <w:rPr>
          <w:sz w:val="36"/>
          <w:szCs w:val="36"/>
          <w:rtl/>
        </w:rPr>
        <w:t>لفظ العين مثلا لكل</w:t>
      </w:r>
      <w:r w:rsidR="00227054" w:rsidRPr="00FD211F">
        <w:rPr>
          <w:sz w:val="36"/>
          <w:szCs w:val="36"/>
          <w:rtl/>
        </w:rPr>
        <w:t xml:space="preserve"> معنى </w:t>
      </w:r>
      <w:r w:rsidR="003B4715" w:rsidRPr="00FD211F">
        <w:rPr>
          <w:sz w:val="36"/>
          <w:szCs w:val="36"/>
          <w:rtl/>
        </w:rPr>
        <w:t>منقوش</w:t>
      </w:r>
      <w:r w:rsidRPr="00FD211F">
        <w:rPr>
          <w:sz w:val="36"/>
          <w:szCs w:val="36"/>
          <w:rtl/>
        </w:rPr>
        <w:t xml:space="preserve"> في الدفتر مع عدم لحاظ تلك المعاني بتفاصيلها</w:t>
      </w:r>
      <w:r w:rsidR="00603323" w:rsidRPr="00FD211F">
        <w:rPr>
          <w:sz w:val="36"/>
          <w:szCs w:val="36"/>
          <w:rtl/>
        </w:rPr>
        <w:t xml:space="preserve">، </w:t>
      </w:r>
      <w:r w:rsidRPr="00FD211F">
        <w:rPr>
          <w:sz w:val="36"/>
          <w:szCs w:val="36"/>
          <w:rtl/>
        </w:rPr>
        <w:t>فان لفظ العين</w:t>
      </w:r>
      <w:r w:rsidR="008D7B3D" w:rsidRPr="00FD211F">
        <w:rPr>
          <w:sz w:val="36"/>
          <w:szCs w:val="36"/>
          <w:rtl/>
        </w:rPr>
        <w:t xml:space="preserve"> لم‌</w:t>
      </w:r>
      <w:r w:rsidRPr="00FD211F">
        <w:rPr>
          <w:sz w:val="36"/>
          <w:szCs w:val="36"/>
          <w:rtl/>
        </w:rPr>
        <w:t>يوضع لهذا المفهوم الكلي</w:t>
      </w:r>
      <w:r w:rsidR="00603323" w:rsidRPr="00FD211F">
        <w:rPr>
          <w:sz w:val="36"/>
          <w:szCs w:val="36"/>
          <w:rtl/>
        </w:rPr>
        <w:t xml:space="preserve">، </w:t>
      </w:r>
      <w:r w:rsidR="00E002AA" w:rsidRPr="00FD211F">
        <w:rPr>
          <w:sz w:val="36"/>
          <w:szCs w:val="36"/>
          <w:rtl/>
        </w:rPr>
        <w:t xml:space="preserve">كي يكون معناه مرادفا لقولنا </w:t>
      </w:r>
      <w:r w:rsidR="00890A8E" w:rsidRPr="00FD211F">
        <w:rPr>
          <w:sz w:val="36"/>
          <w:szCs w:val="36"/>
          <w:rtl/>
        </w:rPr>
        <w:t>"</w:t>
      </w:r>
      <w:r w:rsidR="00E002AA" w:rsidRPr="00FD211F">
        <w:rPr>
          <w:sz w:val="36"/>
          <w:szCs w:val="36"/>
          <w:rtl/>
        </w:rPr>
        <w:t xml:space="preserve">المعنى </w:t>
      </w:r>
      <w:r w:rsidR="003B4715" w:rsidRPr="00FD211F">
        <w:rPr>
          <w:sz w:val="36"/>
          <w:szCs w:val="36"/>
          <w:rtl/>
        </w:rPr>
        <w:t>المنقوش</w:t>
      </w:r>
      <w:r w:rsidR="00E002AA" w:rsidRPr="00FD211F">
        <w:rPr>
          <w:sz w:val="36"/>
          <w:szCs w:val="36"/>
          <w:rtl/>
        </w:rPr>
        <w:t xml:space="preserve"> في الدفتر</w:t>
      </w:r>
      <w:r w:rsidR="00890A8E" w:rsidRPr="00FD211F">
        <w:rPr>
          <w:sz w:val="36"/>
          <w:szCs w:val="36"/>
          <w:rtl/>
        </w:rPr>
        <w:t>"</w:t>
      </w:r>
      <w:r w:rsidR="00603323" w:rsidRPr="00FD211F">
        <w:rPr>
          <w:sz w:val="36"/>
          <w:szCs w:val="36"/>
          <w:rtl/>
        </w:rPr>
        <w:t xml:space="preserve">، </w:t>
      </w:r>
      <w:r w:rsidR="00E002AA" w:rsidRPr="00FD211F">
        <w:rPr>
          <w:sz w:val="36"/>
          <w:szCs w:val="36"/>
          <w:rtl/>
        </w:rPr>
        <w:t xml:space="preserve">وانما وضع لواقع </w:t>
      </w:r>
      <w:r w:rsidR="003B4715" w:rsidRPr="00FD211F">
        <w:rPr>
          <w:sz w:val="36"/>
          <w:szCs w:val="36"/>
          <w:rtl/>
        </w:rPr>
        <w:t>هذا المعنى</w:t>
      </w:r>
      <w:r w:rsidR="00603323" w:rsidRPr="00FD211F">
        <w:rPr>
          <w:sz w:val="36"/>
          <w:szCs w:val="36"/>
          <w:rtl/>
        </w:rPr>
        <w:t xml:space="preserve">، </w:t>
      </w:r>
      <w:r w:rsidR="00890A8E" w:rsidRPr="00FD211F">
        <w:rPr>
          <w:sz w:val="36"/>
          <w:szCs w:val="36"/>
          <w:rtl/>
        </w:rPr>
        <w:t>فيكون من الوضع العام والموضوع له الخاص</w:t>
      </w:r>
      <w:r w:rsidR="00B253CE" w:rsidRPr="00FD211F">
        <w:rPr>
          <w:sz w:val="36"/>
          <w:szCs w:val="36"/>
          <w:rtl/>
        </w:rPr>
        <w:t xml:space="preserve"> </w:t>
      </w:r>
      <w:r w:rsidR="00E002AA" w:rsidRPr="00FD211F">
        <w:rPr>
          <w:sz w:val="36"/>
          <w:szCs w:val="36"/>
          <w:rtl/>
        </w:rPr>
        <w:t>وان كان</w:t>
      </w:r>
      <w:r w:rsidR="003C52E2" w:rsidRPr="00FD211F">
        <w:rPr>
          <w:sz w:val="36"/>
          <w:szCs w:val="36"/>
          <w:rtl/>
        </w:rPr>
        <w:t>ت</w:t>
      </w:r>
      <w:r w:rsidR="00E002AA" w:rsidRPr="00FD211F">
        <w:rPr>
          <w:sz w:val="36"/>
          <w:szCs w:val="36"/>
          <w:rtl/>
        </w:rPr>
        <w:t xml:space="preserve"> </w:t>
      </w:r>
      <w:r w:rsidR="003C52E2" w:rsidRPr="00FD211F">
        <w:rPr>
          <w:sz w:val="36"/>
          <w:szCs w:val="36"/>
          <w:rtl/>
        </w:rPr>
        <w:t>المعانى الموضوع لها معا</w:t>
      </w:r>
      <w:r w:rsidR="00E002AA" w:rsidRPr="00FD211F">
        <w:rPr>
          <w:sz w:val="36"/>
          <w:szCs w:val="36"/>
          <w:rtl/>
        </w:rPr>
        <w:t>ن كلي</w:t>
      </w:r>
      <w:r w:rsidR="00EC7EDF" w:rsidRPr="00FD211F">
        <w:rPr>
          <w:sz w:val="36"/>
          <w:szCs w:val="36"/>
          <w:rtl/>
        </w:rPr>
        <w:t xml:space="preserve">ة </w:t>
      </w:r>
      <w:r w:rsidR="00E002AA" w:rsidRPr="00FD211F">
        <w:rPr>
          <w:sz w:val="36"/>
          <w:szCs w:val="36"/>
          <w:rtl/>
        </w:rPr>
        <w:t>في نفسها</w:t>
      </w:r>
      <w:r w:rsidR="009C58C8" w:rsidRPr="00FD211F">
        <w:rPr>
          <w:rStyle w:val="a6"/>
          <w:sz w:val="36"/>
          <w:szCs w:val="36"/>
          <w:rtl/>
        </w:rPr>
        <w:t>(</w:t>
      </w:r>
      <w:r w:rsidR="009C58C8" w:rsidRPr="00FD211F">
        <w:rPr>
          <w:rStyle w:val="a6"/>
          <w:sz w:val="36"/>
          <w:szCs w:val="36"/>
          <w:rtl/>
        </w:rPr>
        <w:footnoteReference w:id="138"/>
      </w:r>
      <w:r w:rsidR="009C58C8" w:rsidRPr="00FD211F">
        <w:rPr>
          <w:rStyle w:val="a6"/>
          <w:sz w:val="36"/>
          <w:szCs w:val="36"/>
          <w:rtl/>
        </w:rPr>
        <w:t>)</w:t>
      </w:r>
      <w:r w:rsidR="00E002AA" w:rsidRPr="00FD211F">
        <w:rPr>
          <w:sz w:val="36"/>
          <w:szCs w:val="36"/>
          <w:rtl/>
        </w:rPr>
        <w:t>.</w:t>
      </w:r>
    </w:p>
    <w:p w14:paraId="17DD0376" w14:textId="77777777" w:rsidR="003C2516" w:rsidRPr="00FD211F" w:rsidRDefault="003C2516" w:rsidP="009C58C8">
      <w:pPr>
        <w:ind w:left="0" w:firstLine="227"/>
        <w:jc w:val="both"/>
        <w:rPr>
          <w:sz w:val="36"/>
          <w:szCs w:val="36"/>
          <w:rtl/>
        </w:rPr>
      </w:pPr>
      <w:r w:rsidRPr="00FD211F">
        <w:rPr>
          <w:sz w:val="36"/>
          <w:szCs w:val="36"/>
          <w:rtl/>
        </w:rPr>
        <w:t>هذا ولكن استدل على استحال</w:t>
      </w:r>
      <w:r w:rsidR="00EC7EDF" w:rsidRPr="00FD211F">
        <w:rPr>
          <w:sz w:val="36"/>
          <w:szCs w:val="36"/>
          <w:rtl/>
        </w:rPr>
        <w:t xml:space="preserve">ة </w:t>
      </w:r>
      <w:r w:rsidRPr="00FD211F">
        <w:rPr>
          <w:sz w:val="36"/>
          <w:szCs w:val="36"/>
          <w:rtl/>
        </w:rPr>
        <w:t xml:space="preserve">القسم الثالث </w:t>
      </w:r>
      <w:r w:rsidR="00DF5176" w:rsidRPr="00FD211F">
        <w:rPr>
          <w:sz w:val="36"/>
          <w:szCs w:val="36"/>
          <w:rtl/>
        </w:rPr>
        <w:t>بوجهين</w:t>
      </w:r>
      <w:r w:rsidRPr="00FD211F">
        <w:rPr>
          <w:sz w:val="36"/>
          <w:szCs w:val="36"/>
          <w:rtl/>
        </w:rPr>
        <w:t>:</w:t>
      </w:r>
    </w:p>
    <w:p w14:paraId="14DA863C" w14:textId="77777777" w:rsidR="00AE47A4" w:rsidRPr="00FD211F" w:rsidRDefault="00F9149B" w:rsidP="009C58C8">
      <w:pPr>
        <w:ind w:left="0" w:firstLine="227"/>
        <w:jc w:val="both"/>
        <w:rPr>
          <w:sz w:val="36"/>
          <w:szCs w:val="36"/>
          <w:rtl/>
        </w:rPr>
      </w:pPr>
      <w:r w:rsidRPr="00FD211F">
        <w:rPr>
          <w:b/>
          <w:bCs/>
          <w:sz w:val="36"/>
          <w:szCs w:val="36"/>
          <w:rtl/>
        </w:rPr>
        <w:t>الوجه الاول</w:t>
      </w:r>
      <w:r w:rsidRPr="00FD211F">
        <w:rPr>
          <w:sz w:val="36"/>
          <w:szCs w:val="36"/>
          <w:rtl/>
        </w:rPr>
        <w:t>:</w:t>
      </w:r>
      <w:r w:rsidR="003C2516" w:rsidRPr="00FD211F">
        <w:rPr>
          <w:sz w:val="36"/>
          <w:szCs w:val="36"/>
          <w:rtl/>
        </w:rPr>
        <w:t xml:space="preserve"> ان المفهوم الكلي كمفهوم الانسان</w:t>
      </w:r>
      <w:r w:rsidR="005342B6" w:rsidRPr="00FD211F">
        <w:rPr>
          <w:sz w:val="36"/>
          <w:szCs w:val="36"/>
          <w:rtl/>
        </w:rPr>
        <w:t xml:space="preserve"> انما ينتزع من افراده بعد تجريدها عن خصوصياتها الفردي</w:t>
      </w:r>
      <w:r w:rsidR="00EC7EDF" w:rsidRPr="00FD211F">
        <w:rPr>
          <w:sz w:val="36"/>
          <w:szCs w:val="36"/>
          <w:rtl/>
        </w:rPr>
        <w:t>ة</w:t>
      </w:r>
      <w:r w:rsidR="00603323" w:rsidRPr="00FD211F">
        <w:rPr>
          <w:sz w:val="36"/>
          <w:szCs w:val="36"/>
          <w:rtl/>
        </w:rPr>
        <w:t xml:space="preserve">، </w:t>
      </w:r>
      <w:r w:rsidR="005342B6" w:rsidRPr="00FD211F">
        <w:rPr>
          <w:sz w:val="36"/>
          <w:szCs w:val="36"/>
          <w:rtl/>
        </w:rPr>
        <w:t>وإبقاء ما به الاشتراك بينها</w:t>
      </w:r>
      <w:r w:rsidR="00603323" w:rsidRPr="00FD211F">
        <w:rPr>
          <w:sz w:val="36"/>
          <w:szCs w:val="36"/>
          <w:rtl/>
        </w:rPr>
        <w:t xml:space="preserve">، </w:t>
      </w:r>
      <w:r w:rsidR="005342B6" w:rsidRPr="00FD211F">
        <w:rPr>
          <w:sz w:val="36"/>
          <w:szCs w:val="36"/>
          <w:rtl/>
        </w:rPr>
        <w:t>فلايصلح للحكاي</w:t>
      </w:r>
      <w:r w:rsidR="00EC7EDF" w:rsidRPr="00FD211F">
        <w:rPr>
          <w:sz w:val="36"/>
          <w:szCs w:val="36"/>
          <w:rtl/>
        </w:rPr>
        <w:t xml:space="preserve">ة </w:t>
      </w:r>
      <w:r w:rsidR="005342B6" w:rsidRPr="00FD211F">
        <w:rPr>
          <w:sz w:val="36"/>
          <w:szCs w:val="36"/>
          <w:rtl/>
        </w:rPr>
        <w:t>عن تلك الخصوصيات الفردي</w:t>
      </w:r>
      <w:r w:rsidR="00EC7EDF" w:rsidRPr="00FD211F">
        <w:rPr>
          <w:sz w:val="36"/>
          <w:szCs w:val="36"/>
          <w:rtl/>
        </w:rPr>
        <w:t xml:space="preserve">ة </w:t>
      </w:r>
      <w:r w:rsidR="005342B6" w:rsidRPr="00FD211F">
        <w:rPr>
          <w:sz w:val="36"/>
          <w:szCs w:val="36"/>
          <w:rtl/>
        </w:rPr>
        <w:t>كي يكون تصوره كافيا لوضع لفظ بإزاء تلك الخصوصيات</w:t>
      </w:r>
      <w:r w:rsidR="00603323" w:rsidRPr="00FD211F">
        <w:rPr>
          <w:sz w:val="36"/>
          <w:szCs w:val="36"/>
          <w:rtl/>
        </w:rPr>
        <w:t xml:space="preserve">، </w:t>
      </w:r>
      <w:r w:rsidR="005342B6" w:rsidRPr="00FD211F">
        <w:rPr>
          <w:sz w:val="36"/>
          <w:szCs w:val="36"/>
          <w:rtl/>
        </w:rPr>
        <w:t>وان شئت قلت: ان الكلي جزء تحليلي للفرد</w:t>
      </w:r>
      <w:r w:rsidR="00603323" w:rsidRPr="00FD211F">
        <w:rPr>
          <w:sz w:val="36"/>
          <w:szCs w:val="36"/>
          <w:rtl/>
        </w:rPr>
        <w:t xml:space="preserve">، </w:t>
      </w:r>
      <w:r w:rsidR="005342B6" w:rsidRPr="00FD211F">
        <w:rPr>
          <w:sz w:val="36"/>
          <w:szCs w:val="36"/>
          <w:rtl/>
        </w:rPr>
        <w:t>حيث ان الفرد مركب من الكلي والعوارض المشخص</w:t>
      </w:r>
      <w:r w:rsidR="00EC7EDF" w:rsidRPr="00FD211F">
        <w:rPr>
          <w:sz w:val="36"/>
          <w:szCs w:val="36"/>
          <w:rtl/>
        </w:rPr>
        <w:t>ة</w:t>
      </w:r>
      <w:r w:rsidR="00603323" w:rsidRPr="00FD211F">
        <w:rPr>
          <w:sz w:val="36"/>
          <w:szCs w:val="36"/>
          <w:rtl/>
        </w:rPr>
        <w:t xml:space="preserve">، </w:t>
      </w:r>
      <w:r w:rsidR="005342B6" w:rsidRPr="00FD211F">
        <w:rPr>
          <w:sz w:val="36"/>
          <w:szCs w:val="36"/>
          <w:rtl/>
        </w:rPr>
        <w:t>ولايمكن الاكتفاء بتصور</w:t>
      </w:r>
      <w:r w:rsidR="00194A80" w:rsidRPr="00FD211F">
        <w:rPr>
          <w:sz w:val="36"/>
          <w:szCs w:val="36"/>
          <w:rtl/>
        </w:rPr>
        <w:t>ال</w:t>
      </w:r>
      <w:r w:rsidR="005342B6" w:rsidRPr="00FD211F">
        <w:rPr>
          <w:sz w:val="36"/>
          <w:szCs w:val="36"/>
          <w:rtl/>
        </w:rPr>
        <w:t>جزء لوضع لفظ</w:t>
      </w:r>
      <w:r w:rsidR="00194A80" w:rsidRPr="00FD211F">
        <w:rPr>
          <w:sz w:val="36"/>
          <w:szCs w:val="36"/>
          <w:rtl/>
        </w:rPr>
        <w:t>ٍ</w:t>
      </w:r>
      <w:r w:rsidR="005342B6" w:rsidRPr="00FD211F">
        <w:rPr>
          <w:sz w:val="36"/>
          <w:szCs w:val="36"/>
          <w:rtl/>
        </w:rPr>
        <w:t xml:space="preserve"> على الكل</w:t>
      </w:r>
      <w:r w:rsidR="00603323" w:rsidRPr="00FD211F">
        <w:rPr>
          <w:sz w:val="36"/>
          <w:szCs w:val="36"/>
          <w:rtl/>
        </w:rPr>
        <w:t xml:space="preserve">، </w:t>
      </w:r>
      <w:r w:rsidR="005342B6" w:rsidRPr="00FD211F">
        <w:rPr>
          <w:sz w:val="36"/>
          <w:szCs w:val="36"/>
          <w:rtl/>
        </w:rPr>
        <w:t>لانه نظير وضع لفظ</w:t>
      </w:r>
      <w:r w:rsidR="00194A80" w:rsidRPr="00FD211F">
        <w:rPr>
          <w:sz w:val="36"/>
          <w:szCs w:val="36"/>
          <w:rtl/>
        </w:rPr>
        <w:t>ٍ</w:t>
      </w:r>
      <w:r w:rsidR="005342B6" w:rsidRPr="00FD211F">
        <w:rPr>
          <w:sz w:val="36"/>
          <w:szCs w:val="36"/>
          <w:rtl/>
        </w:rPr>
        <w:t xml:space="preserve"> بإزاء النوع بمجرد تصور جنسه</w:t>
      </w:r>
      <w:r w:rsidR="00603323" w:rsidRPr="00FD211F">
        <w:rPr>
          <w:sz w:val="36"/>
          <w:szCs w:val="36"/>
          <w:rtl/>
        </w:rPr>
        <w:t xml:space="preserve">، </w:t>
      </w:r>
      <w:r w:rsidR="005342B6" w:rsidRPr="00FD211F">
        <w:rPr>
          <w:sz w:val="36"/>
          <w:szCs w:val="36"/>
          <w:rtl/>
        </w:rPr>
        <w:t>كأن يكتفى بتصور مفهوم الحيوان مثلا في وضع لفظ</w:t>
      </w:r>
      <w:r w:rsidR="00194A80" w:rsidRPr="00FD211F">
        <w:rPr>
          <w:sz w:val="36"/>
          <w:szCs w:val="36"/>
          <w:rtl/>
        </w:rPr>
        <w:t>ٍ</w:t>
      </w:r>
      <w:r w:rsidR="005342B6" w:rsidRPr="00FD211F">
        <w:rPr>
          <w:sz w:val="36"/>
          <w:szCs w:val="36"/>
          <w:rtl/>
        </w:rPr>
        <w:t xml:space="preserve"> بإزاء الانسان.</w:t>
      </w:r>
    </w:p>
    <w:p w14:paraId="1E5C6066" w14:textId="77777777" w:rsidR="00D85258" w:rsidRPr="00FD211F" w:rsidRDefault="00AE47A4" w:rsidP="009C58C8">
      <w:pPr>
        <w:ind w:left="0" w:firstLine="227"/>
        <w:jc w:val="both"/>
        <w:rPr>
          <w:sz w:val="36"/>
          <w:szCs w:val="36"/>
          <w:rtl/>
        </w:rPr>
      </w:pPr>
      <w:r w:rsidRPr="00FD211F">
        <w:rPr>
          <w:sz w:val="36"/>
          <w:szCs w:val="36"/>
          <w:rtl/>
        </w:rPr>
        <w:t xml:space="preserve">وقد أجاب عنه المحقق العراقي </w:t>
      </w:r>
      <w:r w:rsidR="00227054" w:rsidRPr="00FD211F">
        <w:rPr>
          <w:sz w:val="36"/>
          <w:szCs w:val="36"/>
          <w:rtl/>
        </w:rPr>
        <w:t>"</w:t>
      </w:r>
      <w:r w:rsidRPr="00FD211F">
        <w:rPr>
          <w:sz w:val="36"/>
          <w:szCs w:val="36"/>
          <w:rtl/>
        </w:rPr>
        <w:t>قده</w:t>
      </w:r>
      <w:r w:rsidR="00227054" w:rsidRPr="00FD211F">
        <w:rPr>
          <w:sz w:val="36"/>
          <w:szCs w:val="36"/>
          <w:rtl/>
        </w:rPr>
        <w:t>"</w:t>
      </w:r>
      <w:r w:rsidRPr="00FD211F">
        <w:rPr>
          <w:sz w:val="36"/>
          <w:szCs w:val="36"/>
          <w:rtl/>
        </w:rPr>
        <w:t xml:space="preserve"> بانه وان كان</w:t>
      </w:r>
      <w:r w:rsidR="005342B6" w:rsidRPr="00FD211F">
        <w:rPr>
          <w:sz w:val="36"/>
          <w:szCs w:val="36"/>
          <w:rtl/>
        </w:rPr>
        <w:t>ت</w:t>
      </w:r>
      <w:r w:rsidRPr="00FD211F">
        <w:rPr>
          <w:sz w:val="36"/>
          <w:szCs w:val="36"/>
          <w:rtl/>
        </w:rPr>
        <w:t xml:space="preserve"> المفاهيم الكلي</w:t>
      </w:r>
      <w:r w:rsidR="00EC7EDF" w:rsidRPr="00FD211F">
        <w:rPr>
          <w:sz w:val="36"/>
          <w:szCs w:val="36"/>
          <w:rtl/>
        </w:rPr>
        <w:t xml:space="preserve">ة </w:t>
      </w:r>
      <w:r w:rsidRPr="00FD211F">
        <w:rPr>
          <w:sz w:val="36"/>
          <w:szCs w:val="36"/>
          <w:rtl/>
        </w:rPr>
        <w:t>الذاتي</w:t>
      </w:r>
      <w:r w:rsidR="00EC7EDF" w:rsidRPr="00FD211F">
        <w:rPr>
          <w:sz w:val="36"/>
          <w:szCs w:val="36"/>
          <w:rtl/>
        </w:rPr>
        <w:t xml:space="preserve">ة </w:t>
      </w:r>
      <w:r w:rsidRPr="00FD211F">
        <w:rPr>
          <w:sz w:val="36"/>
          <w:szCs w:val="36"/>
          <w:rtl/>
        </w:rPr>
        <w:t>كمفهوم الانسان لاتحكي عن الخصوصيات</w:t>
      </w:r>
      <w:r w:rsidR="00603323" w:rsidRPr="00FD211F">
        <w:rPr>
          <w:sz w:val="36"/>
          <w:szCs w:val="36"/>
          <w:rtl/>
        </w:rPr>
        <w:t xml:space="preserve">، </w:t>
      </w:r>
      <w:r w:rsidRPr="00FD211F">
        <w:rPr>
          <w:sz w:val="36"/>
          <w:szCs w:val="36"/>
          <w:rtl/>
        </w:rPr>
        <w:t>ولكن يمكن للذهن ان يخترع مفهوما كليا يحكي عن ال</w:t>
      </w:r>
      <w:r w:rsidR="00D85258" w:rsidRPr="00FD211F">
        <w:rPr>
          <w:sz w:val="36"/>
          <w:szCs w:val="36"/>
          <w:rtl/>
        </w:rPr>
        <w:t xml:space="preserve">خصوصيات أيضا كمفهوم </w:t>
      </w:r>
      <w:r w:rsidR="005342B6" w:rsidRPr="00FD211F">
        <w:rPr>
          <w:sz w:val="36"/>
          <w:szCs w:val="36"/>
          <w:rtl/>
        </w:rPr>
        <w:t xml:space="preserve">فرد الانسان او جزئي الانسان او </w:t>
      </w:r>
      <w:r w:rsidR="00D85258" w:rsidRPr="00FD211F">
        <w:rPr>
          <w:sz w:val="36"/>
          <w:szCs w:val="36"/>
          <w:rtl/>
        </w:rPr>
        <w:t xml:space="preserve">مصداق الانسان </w:t>
      </w:r>
      <w:r w:rsidR="005342B6" w:rsidRPr="00FD211F">
        <w:rPr>
          <w:sz w:val="36"/>
          <w:szCs w:val="36"/>
          <w:rtl/>
        </w:rPr>
        <w:t>ونحو ذلك</w:t>
      </w:r>
      <w:r w:rsidR="00603323" w:rsidRPr="00FD211F">
        <w:rPr>
          <w:sz w:val="36"/>
          <w:szCs w:val="36"/>
          <w:rtl/>
        </w:rPr>
        <w:t xml:space="preserve">، </w:t>
      </w:r>
      <w:r w:rsidR="005342B6" w:rsidRPr="00FD211F">
        <w:rPr>
          <w:sz w:val="36"/>
          <w:szCs w:val="36"/>
          <w:rtl/>
        </w:rPr>
        <w:t xml:space="preserve">فمفهوم "مصداق الانسان" </w:t>
      </w:r>
      <w:r w:rsidR="00970682" w:rsidRPr="00FD211F">
        <w:rPr>
          <w:sz w:val="36"/>
          <w:szCs w:val="36"/>
          <w:rtl/>
        </w:rPr>
        <w:t xml:space="preserve">مثلا </w:t>
      </w:r>
      <w:r w:rsidR="005342B6" w:rsidRPr="00FD211F">
        <w:rPr>
          <w:sz w:val="36"/>
          <w:szCs w:val="36"/>
          <w:rtl/>
        </w:rPr>
        <w:t>ينطبق على كل فرد من افراد الانسان بتمامه بماله من الخصوصيات الفردي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39"/>
      </w:r>
      <w:r w:rsidR="009C58C8" w:rsidRPr="00FD211F">
        <w:rPr>
          <w:rStyle w:val="a6"/>
          <w:sz w:val="36"/>
          <w:szCs w:val="36"/>
          <w:rtl/>
        </w:rPr>
        <w:t>)</w:t>
      </w:r>
      <w:r w:rsidR="005342B6" w:rsidRPr="00FD211F">
        <w:rPr>
          <w:sz w:val="36"/>
          <w:szCs w:val="36"/>
          <w:rtl/>
        </w:rPr>
        <w:t>.</w:t>
      </w:r>
    </w:p>
    <w:p w14:paraId="58EAF029" w14:textId="77777777" w:rsidR="008F3AB8" w:rsidRPr="00FD211F" w:rsidRDefault="005342B6" w:rsidP="009C58C8">
      <w:pPr>
        <w:ind w:left="0" w:firstLine="227"/>
        <w:jc w:val="both"/>
        <w:rPr>
          <w:sz w:val="36"/>
          <w:szCs w:val="36"/>
          <w:rtl/>
        </w:rPr>
      </w:pPr>
      <w:r w:rsidRPr="00FD211F">
        <w:rPr>
          <w:sz w:val="36"/>
          <w:szCs w:val="36"/>
          <w:rtl/>
        </w:rPr>
        <w:t>اقول:</w:t>
      </w:r>
      <w:r w:rsidR="00970682" w:rsidRPr="00FD211F">
        <w:rPr>
          <w:sz w:val="36"/>
          <w:szCs w:val="36"/>
          <w:rtl/>
        </w:rPr>
        <w:t xml:space="preserve"> ما ذكره من</w:t>
      </w:r>
      <w:r w:rsidRPr="00FD211F">
        <w:rPr>
          <w:sz w:val="36"/>
          <w:szCs w:val="36"/>
          <w:rtl/>
        </w:rPr>
        <w:t xml:space="preserve"> حكاي</w:t>
      </w:r>
      <w:r w:rsidR="00EC7EDF" w:rsidRPr="00FD211F">
        <w:rPr>
          <w:sz w:val="36"/>
          <w:szCs w:val="36"/>
          <w:rtl/>
        </w:rPr>
        <w:t xml:space="preserve">ة </w:t>
      </w:r>
      <w:r w:rsidRPr="00FD211F">
        <w:rPr>
          <w:sz w:val="36"/>
          <w:szCs w:val="36"/>
          <w:rtl/>
        </w:rPr>
        <w:t>مفهوم "مصداق الانسان" مثلا عن الخصوصيات الفردي</w:t>
      </w:r>
      <w:r w:rsidR="00EC7EDF" w:rsidRPr="00FD211F">
        <w:rPr>
          <w:sz w:val="36"/>
          <w:szCs w:val="36"/>
          <w:rtl/>
        </w:rPr>
        <w:t xml:space="preserve">ة </w:t>
      </w:r>
      <w:r w:rsidR="00970682" w:rsidRPr="00FD211F">
        <w:rPr>
          <w:sz w:val="36"/>
          <w:szCs w:val="36"/>
          <w:rtl/>
        </w:rPr>
        <w:t xml:space="preserve">بمعنى </w:t>
      </w:r>
      <w:r w:rsidRPr="00FD211F">
        <w:rPr>
          <w:sz w:val="36"/>
          <w:szCs w:val="36"/>
          <w:rtl/>
        </w:rPr>
        <w:t>انطباقه على الفرد بما له من الخصوصيات الفردي</w:t>
      </w:r>
      <w:r w:rsidR="00EC7EDF" w:rsidRPr="00FD211F">
        <w:rPr>
          <w:sz w:val="36"/>
          <w:szCs w:val="36"/>
          <w:rtl/>
        </w:rPr>
        <w:t>ة</w:t>
      </w:r>
      <w:r w:rsidR="00603323" w:rsidRPr="00FD211F">
        <w:rPr>
          <w:sz w:val="36"/>
          <w:szCs w:val="36"/>
          <w:rtl/>
        </w:rPr>
        <w:t xml:space="preserve">، </w:t>
      </w:r>
      <w:r w:rsidR="00970682" w:rsidRPr="00FD211F">
        <w:rPr>
          <w:sz w:val="36"/>
          <w:szCs w:val="36"/>
          <w:rtl/>
        </w:rPr>
        <w:t>وان كان صحيحا</w:t>
      </w:r>
      <w:r w:rsidRPr="00FD211F">
        <w:rPr>
          <w:sz w:val="36"/>
          <w:szCs w:val="36"/>
          <w:rtl/>
        </w:rPr>
        <w:t xml:space="preserve"> نظير</w:t>
      </w:r>
      <w:r w:rsidR="00B253CE" w:rsidRPr="00FD211F">
        <w:rPr>
          <w:sz w:val="36"/>
          <w:szCs w:val="36"/>
          <w:rtl/>
        </w:rPr>
        <w:t xml:space="preserve"> </w:t>
      </w:r>
      <w:r w:rsidRPr="00FD211F">
        <w:rPr>
          <w:sz w:val="36"/>
          <w:szCs w:val="36"/>
          <w:rtl/>
        </w:rPr>
        <w:t>مفهوم "النوع من الحيوان"</w:t>
      </w:r>
      <w:r w:rsidR="00603323" w:rsidRPr="00FD211F">
        <w:rPr>
          <w:sz w:val="36"/>
          <w:szCs w:val="36"/>
          <w:rtl/>
        </w:rPr>
        <w:t xml:space="preserve">، </w:t>
      </w:r>
      <w:r w:rsidRPr="00FD211F">
        <w:rPr>
          <w:sz w:val="36"/>
          <w:szCs w:val="36"/>
          <w:rtl/>
        </w:rPr>
        <w:t>فانه ينطبق على الانسان والفرس وغيرهما من انواع الحيوان بتمامها</w:t>
      </w:r>
      <w:r w:rsidR="00603323" w:rsidRPr="00FD211F">
        <w:rPr>
          <w:sz w:val="36"/>
          <w:szCs w:val="36"/>
          <w:rtl/>
        </w:rPr>
        <w:t xml:space="preserve">، </w:t>
      </w:r>
      <w:r w:rsidRPr="00FD211F">
        <w:rPr>
          <w:sz w:val="36"/>
          <w:szCs w:val="36"/>
          <w:rtl/>
        </w:rPr>
        <w:t>فيمكن تصور هذا المفهوم</w:t>
      </w:r>
      <w:r w:rsidR="00246F0D" w:rsidRPr="00FD211F">
        <w:rPr>
          <w:sz w:val="36"/>
          <w:szCs w:val="36"/>
          <w:rtl/>
        </w:rPr>
        <w:t xml:space="preserve"> للإشار</w:t>
      </w:r>
      <w:r w:rsidR="00EC7EDF" w:rsidRPr="00FD211F">
        <w:rPr>
          <w:sz w:val="36"/>
          <w:szCs w:val="36"/>
          <w:rtl/>
        </w:rPr>
        <w:t xml:space="preserve">ة </w:t>
      </w:r>
      <w:r w:rsidR="00246F0D" w:rsidRPr="00FD211F">
        <w:rPr>
          <w:sz w:val="36"/>
          <w:szCs w:val="36"/>
          <w:rtl/>
        </w:rPr>
        <w:t>به الى واقع تلك الانواع بغرض وضع لفظ بإزاءها</w:t>
      </w:r>
      <w:r w:rsidR="00603323" w:rsidRPr="00FD211F">
        <w:rPr>
          <w:sz w:val="36"/>
          <w:szCs w:val="36"/>
          <w:rtl/>
        </w:rPr>
        <w:t xml:space="preserve">، </w:t>
      </w:r>
      <w:r w:rsidR="009D49A6" w:rsidRPr="00FD211F">
        <w:rPr>
          <w:sz w:val="36"/>
          <w:szCs w:val="36"/>
          <w:rtl/>
        </w:rPr>
        <w:t>ف</w:t>
      </w:r>
      <w:r w:rsidR="00246F0D" w:rsidRPr="00FD211F">
        <w:rPr>
          <w:sz w:val="36"/>
          <w:szCs w:val="36"/>
          <w:rtl/>
        </w:rPr>
        <w:t>يكون هذا اللفظ مشتركا لفظيا بين تلك الأنواع</w:t>
      </w:r>
      <w:r w:rsidR="00603323" w:rsidRPr="00FD211F">
        <w:rPr>
          <w:sz w:val="36"/>
          <w:szCs w:val="36"/>
          <w:rtl/>
        </w:rPr>
        <w:t xml:space="preserve">، </w:t>
      </w:r>
      <w:r w:rsidR="00246F0D" w:rsidRPr="00FD211F">
        <w:rPr>
          <w:sz w:val="36"/>
          <w:szCs w:val="36"/>
          <w:rtl/>
        </w:rPr>
        <w:t>كما كان يمك</w:t>
      </w:r>
      <w:r w:rsidR="003C02E1" w:rsidRPr="00FD211F">
        <w:rPr>
          <w:sz w:val="36"/>
          <w:szCs w:val="36"/>
          <w:rtl/>
        </w:rPr>
        <w:t>ن تصور مفهوم المنقوش في الدفتر ل</w:t>
      </w:r>
      <w:r w:rsidR="00246F0D" w:rsidRPr="00FD211F">
        <w:rPr>
          <w:sz w:val="36"/>
          <w:szCs w:val="36"/>
          <w:rtl/>
        </w:rPr>
        <w:t>وضع لفظ العين مثلا بإزاء واقع</w:t>
      </w:r>
      <w:r w:rsidR="009D49A6" w:rsidRPr="00FD211F">
        <w:rPr>
          <w:sz w:val="36"/>
          <w:szCs w:val="36"/>
          <w:rtl/>
        </w:rPr>
        <w:t xml:space="preserve"> المنقوش في الدفتر من العين الجاري</w:t>
      </w:r>
      <w:r w:rsidR="00EC7EDF" w:rsidRPr="00FD211F">
        <w:rPr>
          <w:sz w:val="36"/>
          <w:szCs w:val="36"/>
          <w:rtl/>
        </w:rPr>
        <w:t xml:space="preserve">ة </w:t>
      </w:r>
      <w:r w:rsidR="009D49A6" w:rsidRPr="00FD211F">
        <w:rPr>
          <w:sz w:val="36"/>
          <w:szCs w:val="36"/>
          <w:rtl/>
        </w:rPr>
        <w:t>والباصر</w:t>
      </w:r>
      <w:r w:rsidR="00EC7EDF" w:rsidRPr="00FD211F">
        <w:rPr>
          <w:sz w:val="36"/>
          <w:szCs w:val="36"/>
          <w:rtl/>
        </w:rPr>
        <w:t xml:space="preserve">ة </w:t>
      </w:r>
      <w:r w:rsidR="009D49A6" w:rsidRPr="00FD211F">
        <w:rPr>
          <w:sz w:val="36"/>
          <w:szCs w:val="36"/>
          <w:rtl/>
        </w:rPr>
        <w:t>وغيرهما</w:t>
      </w:r>
      <w:r w:rsidR="008F3AB8" w:rsidRPr="00FD211F">
        <w:rPr>
          <w:sz w:val="36"/>
          <w:szCs w:val="36"/>
          <w:rtl/>
        </w:rPr>
        <w:t>.</w:t>
      </w:r>
    </w:p>
    <w:p w14:paraId="480C3D32" w14:textId="77777777" w:rsidR="005342B6" w:rsidRPr="00FD211F" w:rsidRDefault="009D49A6" w:rsidP="009C58C8">
      <w:pPr>
        <w:ind w:left="0" w:firstLine="227"/>
        <w:jc w:val="both"/>
        <w:rPr>
          <w:sz w:val="36"/>
          <w:szCs w:val="36"/>
          <w:rtl/>
        </w:rPr>
      </w:pPr>
      <w:r w:rsidRPr="00FD211F">
        <w:rPr>
          <w:sz w:val="36"/>
          <w:szCs w:val="36"/>
          <w:rtl/>
        </w:rPr>
        <w:t xml:space="preserve">ولكن </w:t>
      </w:r>
      <w:r w:rsidR="008F3AB8" w:rsidRPr="00FD211F">
        <w:rPr>
          <w:sz w:val="36"/>
          <w:szCs w:val="36"/>
          <w:rtl/>
        </w:rPr>
        <w:t>لايبعد ان يقال انه</w:t>
      </w:r>
      <w:r w:rsidRPr="00FD211F">
        <w:rPr>
          <w:sz w:val="36"/>
          <w:szCs w:val="36"/>
          <w:rtl/>
        </w:rPr>
        <w:t xml:space="preserve"> يكفي</w:t>
      </w:r>
      <w:r w:rsidR="008F3AB8" w:rsidRPr="00FD211F">
        <w:rPr>
          <w:sz w:val="36"/>
          <w:szCs w:val="36"/>
          <w:rtl/>
        </w:rPr>
        <w:t xml:space="preserve"> تصور ايّ مفهوم كلي </w:t>
      </w:r>
      <w:r w:rsidRPr="00FD211F">
        <w:rPr>
          <w:sz w:val="36"/>
          <w:szCs w:val="36"/>
          <w:rtl/>
        </w:rPr>
        <w:t xml:space="preserve">لأجل </w:t>
      </w:r>
      <w:r w:rsidR="008F3AB8" w:rsidRPr="00FD211F">
        <w:rPr>
          <w:sz w:val="36"/>
          <w:szCs w:val="36"/>
          <w:rtl/>
        </w:rPr>
        <w:t>وضع</w:t>
      </w:r>
      <w:r w:rsidRPr="00FD211F">
        <w:rPr>
          <w:sz w:val="36"/>
          <w:szCs w:val="36"/>
          <w:rtl/>
        </w:rPr>
        <w:t xml:space="preserve"> لفظ</w:t>
      </w:r>
      <w:r w:rsidR="008F3AB8" w:rsidRPr="00FD211F">
        <w:rPr>
          <w:sz w:val="36"/>
          <w:szCs w:val="36"/>
          <w:rtl/>
        </w:rPr>
        <w:t xml:space="preserve"> بإزاء أفراده</w:t>
      </w:r>
      <w:r w:rsidR="00603323" w:rsidRPr="00FD211F">
        <w:rPr>
          <w:sz w:val="36"/>
          <w:szCs w:val="36"/>
          <w:rtl/>
        </w:rPr>
        <w:t xml:space="preserve">، </w:t>
      </w:r>
      <w:r w:rsidR="008F3AB8" w:rsidRPr="00FD211F">
        <w:rPr>
          <w:sz w:val="36"/>
          <w:szCs w:val="36"/>
          <w:rtl/>
        </w:rPr>
        <w:t xml:space="preserve">فلو أريد وضع اسم </w:t>
      </w:r>
      <w:r w:rsidR="00227054" w:rsidRPr="00FD211F">
        <w:rPr>
          <w:sz w:val="36"/>
          <w:szCs w:val="36"/>
          <w:rtl/>
        </w:rPr>
        <w:t>"</w:t>
      </w:r>
      <w:r w:rsidR="008F3AB8" w:rsidRPr="00FD211F">
        <w:rPr>
          <w:sz w:val="36"/>
          <w:szCs w:val="36"/>
          <w:rtl/>
        </w:rPr>
        <w:t>علي</w:t>
      </w:r>
      <w:r w:rsidR="00227054" w:rsidRPr="00FD211F">
        <w:rPr>
          <w:sz w:val="36"/>
          <w:szCs w:val="36"/>
          <w:rtl/>
        </w:rPr>
        <w:t>"</w:t>
      </w:r>
      <w:r w:rsidR="008F3AB8" w:rsidRPr="00FD211F">
        <w:rPr>
          <w:sz w:val="36"/>
          <w:szCs w:val="36"/>
          <w:rtl/>
        </w:rPr>
        <w:t xml:space="preserve"> مثلا على الإنسان المولود في هذا اليوم فيمكن تصور هذا المفهوم لوضع هذا الاسم بإزاء كل فرد من افراده</w:t>
      </w:r>
      <w:r w:rsidR="00603323" w:rsidRPr="00FD211F">
        <w:rPr>
          <w:sz w:val="36"/>
          <w:szCs w:val="36"/>
          <w:rtl/>
        </w:rPr>
        <w:t xml:space="preserve">، </w:t>
      </w:r>
      <w:r w:rsidR="008F3AB8" w:rsidRPr="00FD211F">
        <w:rPr>
          <w:sz w:val="36"/>
          <w:szCs w:val="36"/>
          <w:rtl/>
        </w:rPr>
        <w:t>ولاحاج</w:t>
      </w:r>
      <w:r w:rsidR="00EC7EDF" w:rsidRPr="00FD211F">
        <w:rPr>
          <w:sz w:val="36"/>
          <w:szCs w:val="36"/>
          <w:rtl/>
        </w:rPr>
        <w:t xml:space="preserve">ة </w:t>
      </w:r>
      <w:r w:rsidR="008F3AB8" w:rsidRPr="00FD211F">
        <w:rPr>
          <w:sz w:val="36"/>
          <w:szCs w:val="36"/>
          <w:rtl/>
        </w:rPr>
        <w:t>الى تصور مفهوم "مصداق الانسان..." ونحو ذلك</w:t>
      </w:r>
      <w:r w:rsidR="00603323" w:rsidRPr="00FD211F">
        <w:rPr>
          <w:sz w:val="36"/>
          <w:szCs w:val="36"/>
          <w:rtl/>
        </w:rPr>
        <w:t xml:space="preserve">، </w:t>
      </w:r>
      <w:r w:rsidR="008F3AB8" w:rsidRPr="00FD211F">
        <w:rPr>
          <w:sz w:val="36"/>
          <w:szCs w:val="36"/>
          <w:rtl/>
        </w:rPr>
        <w:t>ويختلف ذلك عن مثال الاكتفاء بتصور الحيوان لوضع لفظ بإزاء نوعه كالانسان</w:t>
      </w:r>
      <w:r w:rsidR="00603323" w:rsidRPr="00FD211F">
        <w:rPr>
          <w:sz w:val="36"/>
          <w:szCs w:val="36"/>
          <w:rtl/>
        </w:rPr>
        <w:t xml:space="preserve">، </w:t>
      </w:r>
      <w:r w:rsidR="008F3AB8" w:rsidRPr="00FD211F">
        <w:rPr>
          <w:sz w:val="36"/>
          <w:szCs w:val="36"/>
          <w:rtl/>
        </w:rPr>
        <w:t xml:space="preserve">فان مفهوم الحيوان لاينطبق على مفهوم الانسان </w:t>
      </w:r>
      <w:r w:rsidR="00D116A3" w:rsidRPr="00FD211F">
        <w:rPr>
          <w:sz w:val="36"/>
          <w:szCs w:val="36"/>
          <w:rtl/>
        </w:rPr>
        <w:t xml:space="preserve">بتمامه حيث أنه </w:t>
      </w:r>
      <w:r w:rsidR="008F3AB8" w:rsidRPr="00FD211F">
        <w:rPr>
          <w:sz w:val="36"/>
          <w:szCs w:val="36"/>
          <w:rtl/>
        </w:rPr>
        <w:t>هو الحيوان الناطق</w:t>
      </w:r>
      <w:r w:rsidR="00603323" w:rsidRPr="00FD211F">
        <w:rPr>
          <w:sz w:val="36"/>
          <w:szCs w:val="36"/>
          <w:rtl/>
        </w:rPr>
        <w:t xml:space="preserve">، </w:t>
      </w:r>
      <w:r w:rsidR="00627496" w:rsidRPr="00FD211F">
        <w:rPr>
          <w:sz w:val="36"/>
          <w:szCs w:val="36"/>
          <w:rtl/>
        </w:rPr>
        <w:t>بينما ان الكلي ينطبق على فرده بتمامه</w:t>
      </w:r>
      <w:r w:rsidR="00603323" w:rsidRPr="00FD211F">
        <w:rPr>
          <w:sz w:val="36"/>
          <w:szCs w:val="36"/>
          <w:rtl/>
        </w:rPr>
        <w:t xml:space="preserve">، </w:t>
      </w:r>
      <w:r w:rsidR="00627496" w:rsidRPr="00FD211F">
        <w:rPr>
          <w:sz w:val="36"/>
          <w:szCs w:val="36"/>
          <w:rtl/>
        </w:rPr>
        <w:t>سواء اريد من الفرد وجوده الخارجي او اريد منه المفهوم الجزئي</w:t>
      </w:r>
      <w:r w:rsidRPr="00FD211F">
        <w:rPr>
          <w:sz w:val="36"/>
          <w:szCs w:val="36"/>
          <w:rtl/>
        </w:rPr>
        <w:t xml:space="preserve"> –كما هو مسلك من يرى ان اللفظ لابد ان يوضع بإزاء المفهوم دائما-</w:t>
      </w:r>
      <w:r w:rsidR="00627496" w:rsidRPr="00FD211F">
        <w:rPr>
          <w:sz w:val="36"/>
          <w:szCs w:val="36"/>
          <w:rtl/>
        </w:rPr>
        <w:t xml:space="preserve"> اذ ليس المفهوم الجزئي الا نفس المفهوم الكلي المشار</w:t>
      </w:r>
      <w:r w:rsidR="008B3630" w:rsidRPr="00FD211F">
        <w:rPr>
          <w:sz w:val="36"/>
          <w:szCs w:val="36"/>
          <w:rtl/>
        </w:rPr>
        <w:t xml:space="preserve"> به</w:t>
      </w:r>
      <w:r w:rsidR="007D6112" w:rsidRPr="00FD211F">
        <w:rPr>
          <w:sz w:val="36"/>
          <w:szCs w:val="36"/>
          <w:rtl/>
        </w:rPr>
        <w:t xml:space="preserve"> الى وجود معين.</w:t>
      </w:r>
    </w:p>
    <w:p w14:paraId="18947B03" w14:textId="77777777" w:rsidR="009D49A6" w:rsidRPr="00FD211F" w:rsidRDefault="009D49A6" w:rsidP="009C58C8">
      <w:pPr>
        <w:ind w:left="0" w:firstLine="227"/>
        <w:jc w:val="both"/>
        <w:rPr>
          <w:sz w:val="36"/>
          <w:szCs w:val="36"/>
          <w:rtl/>
        </w:rPr>
      </w:pPr>
      <w:r w:rsidRPr="00FD211F">
        <w:rPr>
          <w:sz w:val="36"/>
          <w:szCs w:val="36"/>
          <w:rtl/>
        </w:rPr>
        <w:t xml:space="preserve">والذي يخطر بالبال ان الفرق بين الوضع العام والموضوع له العام وبين الوضع </w:t>
      </w:r>
      <w:r w:rsidR="00227054" w:rsidRPr="00FD211F">
        <w:rPr>
          <w:sz w:val="36"/>
          <w:szCs w:val="36"/>
          <w:rtl/>
        </w:rPr>
        <w:t>العام والموضوع له الخاص هو انه عند</w:t>
      </w:r>
      <w:r w:rsidRPr="00FD211F">
        <w:rPr>
          <w:sz w:val="36"/>
          <w:szCs w:val="36"/>
          <w:rtl/>
        </w:rPr>
        <w:t>ما يتصور الواضع</w:t>
      </w:r>
      <w:r w:rsidR="00227054" w:rsidRPr="00FD211F">
        <w:rPr>
          <w:sz w:val="36"/>
          <w:szCs w:val="36"/>
          <w:rtl/>
        </w:rPr>
        <w:t xml:space="preserve"> مفهوما كليا</w:t>
      </w:r>
      <w:r w:rsidRPr="00FD211F">
        <w:rPr>
          <w:sz w:val="36"/>
          <w:szCs w:val="36"/>
          <w:rtl/>
        </w:rPr>
        <w:t xml:space="preserve"> فتار</w:t>
      </w:r>
      <w:r w:rsidR="00EC7EDF" w:rsidRPr="00FD211F">
        <w:rPr>
          <w:sz w:val="36"/>
          <w:szCs w:val="36"/>
          <w:rtl/>
        </w:rPr>
        <w:t xml:space="preserve">ة </w:t>
      </w:r>
      <w:r w:rsidRPr="00FD211F">
        <w:rPr>
          <w:sz w:val="36"/>
          <w:szCs w:val="36"/>
          <w:rtl/>
        </w:rPr>
        <w:t xml:space="preserve">يكون </w:t>
      </w:r>
      <w:r w:rsidR="009A4A5A" w:rsidRPr="00FD211F">
        <w:rPr>
          <w:sz w:val="36"/>
          <w:szCs w:val="36"/>
          <w:rtl/>
        </w:rPr>
        <w:t>غرضه</w:t>
      </w:r>
      <w:r w:rsidRPr="00FD211F">
        <w:rPr>
          <w:sz w:val="36"/>
          <w:szCs w:val="36"/>
          <w:rtl/>
        </w:rPr>
        <w:t xml:space="preserve"> وحد</w:t>
      </w:r>
      <w:r w:rsidR="00EC7EDF" w:rsidRPr="00FD211F">
        <w:rPr>
          <w:sz w:val="36"/>
          <w:szCs w:val="36"/>
          <w:rtl/>
        </w:rPr>
        <w:t xml:space="preserve">ة </w:t>
      </w:r>
      <w:r w:rsidRPr="00FD211F">
        <w:rPr>
          <w:sz w:val="36"/>
          <w:szCs w:val="36"/>
          <w:rtl/>
        </w:rPr>
        <w:t>الوضع بان يكون اللفظ موضوعا بإزاء هذا المفهوم الكلي</w:t>
      </w:r>
      <w:r w:rsidR="00603323" w:rsidRPr="00FD211F">
        <w:rPr>
          <w:sz w:val="36"/>
          <w:szCs w:val="36"/>
          <w:rtl/>
        </w:rPr>
        <w:t xml:space="preserve">، </w:t>
      </w:r>
      <w:r w:rsidRPr="00FD211F">
        <w:rPr>
          <w:sz w:val="36"/>
          <w:szCs w:val="36"/>
          <w:rtl/>
        </w:rPr>
        <w:t xml:space="preserve">فيكون ذلك </w:t>
      </w:r>
      <w:r w:rsidR="00672032" w:rsidRPr="00FD211F">
        <w:rPr>
          <w:sz w:val="36"/>
          <w:szCs w:val="36"/>
          <w:rtl/>
        </w:rPr>
        <w:t>من</w:t>
      </w:r>
      <w:r w:rsidRPr="00FD211F">
        <w:rPr>
          <w:sz w:val="36"/>
          <w:szCs w:val="36"/>
          <w:rtl/>
        </w:rPr>
        <w:t xml:space="preserve"> الوضع العام والموضوع له العام</w:t>
      </w:r>
      <w:r w:rsidR="00603323" w:rsidRPr="00FD211F">
        <w:rPr>
          <w:sz w:val="36"/>
          <w:szCs w:val="36"/>
          <w:rtl/>
        </w:rPr>
        <w:t xml:space="preserve">، </w:t>
      </w:r>
      <w:r w:rsidRPr="00FD211F">
        <w:rPr>
          <w:sz w:val="36"/>
          <w:szCs w:val="36"/>
          <w:rtl/>
        </w:rPr>
        <w:t xml:space="preserve">وأخرى يكون </w:t>
      </w:r>
      <w:r w:rsidR="009A4A5A" w:rsidRPr="00FD211F">
        <w:rPr>
          <w:sz w:val="36"/>
          <w:szCs w:val="36"/>
          <w:rtl/>
        </w:rPr>
        <w:t>غرضه</w:t>
      </w:r>
      <w:r w:rsidRPr="00FD211F">
        <w:rPr>
          <w:sz w:val="36"/>
          <w:szCs w:val="36"/>
          <w:rtl/>
        </w:rPr>
        <w:t xml:space="preserve"> انحلال الوضع بان يكون كل فرد من افراد هذا المفهوم الكلي موضوعا له باستقلاله</w:t>
      </w:r>
      <w:r w:rsidR="00672032" w:rsidRPr="00FD211F">
        <w:rPr>
          <w:sz w:val="36"/>
          <w:szCs w:val="36"/>
          <w:rtl/>
        </w:rPr>
        <w:t xml:space="preserve"> فيكون ذلك من الوضع العام والموضوع له الخاص</w:t>
      </w:r>
      <w:r w:rsidR="00603323" w:rsidRPr="00FD211F">
        <w:rPr>
          <w:sz w:val="36"/>
          <w:szCs w:val="36"/>
          <w:rtl/>
        </w:rPr>
        <w:t xml:space="preserve">، </w:t>
      </w:r>
      <w:r w:rsidR="00672032" w:rsidRPr="00FD211F">
        <w:rPr>
          <w:sz w:val="36"/>
          <w:szCs w:val="36"/>
          <w:rtl/>
        </w:rPr>
        <w:t xml:space="preserve">بلافرق بين ان يكون المفهوم الكلي هو </w:t>
      </w:r>
      <w:r w:rsidR="009A4A5A" w:rsidRPr="00FD211F">
        <w:rPr>
          <w:sz w:val="36"/>
          <w:szCs w:val="36"/>
          <w:rtl/>
        </w:rPr>
        <w:t>"</w:t>
      </w:r>
      <w:r w:rsidR="00672032" w:rsidRPr="00FD211F">
        <w:rPr>
          <w:sz w:val="36"/>
          <w:szCs w:val="36"/>
          <w:rtl/>
        </w:rPr>
        <w:t>الانسان</w:t>
      </w:r>
      <w:r w:rsidR="009A4A5A" w:rsidRPr="00FD211F">
        <w:rPr>
          <w:sz w:val="36"/>
          <w:szCs w:val="36"/>
          <w:rtl/>
        </w:rPr>
        <w:t>"</w:t>
      </w:r>
      <w:r w:rsidR="00672032" w:rsidRPr="00FD211F">
        <w:rPr>
          <w:sz w:val="36"/>
          <w:szCs w:val="36"/>
          <w:rtl/>
        </w:rPr>
        <w:t xml:space="preserve"> مثلا او </w:t>
      </w:r>
      <w:r w:rsidR="009A4A5A" w:rsidRPr="00FD211F">
        <w:rPr>
          <w:sz w:val="36"/>
          <w:szCs w:val="36"/>
          <w:rtl/>
        </w:rPr>
        <w:t>"</w:t>
      </w:r>
      <w:r w:rsidR="00672032" w:rsidRPr="00FD211F">
        <w:rPr>
          <w:sz w:val="36"/>
          <w:szCs w:val="36"/>
          <w:rtl/>
        </w:rPr>
        <w:t>مصداق الانسان</w:t>
      </w:r>
      <w:r w:rsidR="009A4A5A" w:rsidRPr="00FD211F">
        <w:rPr>
          <w:sz w:val="36"/>
          <w:szCs w:val="36"/>
          <w:rtl/>
        </w:rPr>
        <w:t>"</w:t>
      </w:r>
      <w:r w:rsidR="00603323" w:rsidRPr="00FD211F">
        <w:rPr>
          <w:sz w:val="36"/>
          <w:szCs w:val="36"/>
          <w:rtl/>
        </w:rPr>
        <w:t xml:space="preserve">، </w:t>
      </w:r>
      <w:r w:rsidR="00672032" w:rsidRPr="00FD211F">
        <w:rPr>
          <w:sz w:val="36"/>
          <w:szCs w:val="36"/>
          <w:rtl/>
        </w:rPr>
        <w:t>فان</w:t>
      </w:r>
      <w:r w:rsidR="009A4A5A" w:rsidRPr="00FD211F">
        <w:rPr>
          <w:sz w:val="36"/>
          <w:szCs w:val="36"/>
          <w:rtl/>
        </w:rPr>
        <w:t xml:space="preserve"> تصور</w:t>
      </w:r>
      <w:r w:rsidR="00672032" w:rsidRPr="00FD211F">
        <w:rPr>
          <w:sz w:val="36"/>
          <w:szCs w:val="36"/>
          <w:rtl/>
        </w:rPr>
        <w:t xml:space="preserve"> مفهوم </w:t>
      </w:r>
      <w:r w:rsidR="009A4A5A" w:rsidRPr="00FD211F">
        <w:rPr>
          <w:sz w:val="36"/>
          <w:szCs w:val="36"/>
          <w:rtl/>
        </w:rPr>
        <w:t>"</w:t>
      </w:r>
      <w:r w:rsidR="00672032" w:rsidRPr="00FD211F">
        <w:rPr>
          <w:sz w:val="36"/>
          <w:szCs w:val="36"/>
          <w:rtl/>
        </w:rPr>
        <w:t>مصداق الانسان</w:t>
      </w:r>
      <w:r w:rsidR="009A4A5A" w:rsidRPr="00FD211F">
        <w:rPr>
          <w:sz w:val="36"/>
          <w:szCs w:val="36"/>
          <w:rtl/>
        </w:rPr>
        <w:t>" لايعيِّن كون الوضع من قبيل الوضع العام والموضوع له الخاص</w:t>
      </w:r>
      <w:r w:rsidR="00603323" w:rsidRPr="00FD211F">
        <w:rPr>
          <w:sz w:val="36"/>
          <w:szCs w:val="36"/>
          <w:rtl/>
        </w:rPr>
        <w:t xml:space="preserve">، </w:t>
      </w:r>
      <w:r w:rsidR="009A4A5A" w:rsidRPr="00FD211F">
        <w:rPr>
          <w:sz w:val="36"/>
          <w:szCs w:val="36"/>
          <w:rtl/>
        </w:rPr>
        <w:t>ولذا نشاهد الفرق بين مدلول الحرف كلفظ</w:t>
      </w:r>
      <w:r w:rsidR="00EC7EDF" w:rsidRPr="00FD211F">
        <w:rPr>
          <w:sz w:val="36"/>
          <w:szCs w:val="36"/>
          <w:rtl/>
        </w:rPr>
        <w:t xml:space="preserve">ة </w:t>
      </w:r>
      <w:r w:rsidR="009A4A5A" w:rsidRPr="00FD211F">
        <w:rPr>
          <w:sz w:val="36"/>
          <w:szCs w:val="36"/>
          <w:rtl/>
        </w:rPr>
        <w:t>"من" وبين مثل جمل</w:t>
      </w:r>
      <w:r w:rsidR="00EC7EDF" w:rsidRPr="00FD211F">
        <w:rPr>
          <w:sz w:val="36"/>
          <w:szCs w:val="36"/>
          <w:rtl/>
        </w:rPr>
        <w:t xml:space="preserve">ة </w:t>
      </w:r>
      <w:r w:rsidR="009A4A5A" w:rsidRPr="00FD211F">
        <w:rPr>
          <w:sz w:val="36"/>
          <w:szCs w:val="36"/>
          <w:rtl/>
        </w:rPr>
        <w:t>"مصداق النسب</w:t>
      </w:r>
      <w:r w:rsidR="00EC7EDF" w:rsidRPr="00FD211F">
        <w:rPr>
          <w:sz w:val="36"/>
          <w:szCs w:val="36"/>
          <w:rtl/>
        </w:rPr>
        <w:t xml:space="preserve">ة </w:t>
      </w:r>
      <w:r w:rsidR="009A4A5A" w:rsidRPr="00FD211F">
        <w:rPr>
          <w:sz w:val="36"/>
          <w:szCs w:val="36"/>
          <w:rtl/>
        </w:rPr>
        <w:t>الابتدائي</w:t>
      </w:r>
      <w:r w:rsidR="00EC7EDF" w:rsidRPr="00FD211F">
        <w:rPr>
          <w:sz w:val="36"/>
          <w:szCs w:val="36"/>
          <w:rtl/>
        </w:rPr>
        <w:t>ة</w:t>
      </w:r>
      <w:r w:rsidR="009A4A5A" w:rsidRPr="00FD211F">
        <w:rPr>
          <w:sz w:val="36"/>
          <w:szCs w:val="36"/>
          <w:rtl/>
        </w:rPr>
        <w:t>"</w:t>
      </w:r>
      <w:r w:rsidR="00D231D9" w:rsidRPr="00FD211F">
        <w:rPr>
          <w:sz w:val="36"/>
          <w:szCs w:val="36"/>
          <w:rtl/>
        </w:rPr>
        <w:t>.</w:t>
      </w:r>
    </w:p>
    <w:p w14:paraId="133FDF62" w14:textId="77777777" w:rsidR="000C5BBA" w:rsidRPr="00FD211F" w:rsidRDefault="00D231D9" w:rsidP="009C58C8">
      <w:pPr>
        <w:ind w:left="0" w:firstLine="227"/>
        <w:jc w:val="both"/>
        <w:rPr>
          <w:sz w:val="36"/>
          <w:szCs w:val="36"/>
          <w:rtl/>
        </w:rPr>
      </w:pPr>
      <w:r w:rsidRPr="00FD211F">
        <w:rPr>
          <w:sz w:val="36"/>
          <w:szCs w:val="36"/>
          <w:rtl/>
        </w:rPr>
        <w:t>وبما ذكرناه اتضح عدم الحاج</w:t>
      </w:r>
      <w:r w:rsidR="00EC7EDF" w:rsidRPr="00FD211F">
        <w:rPr>
          <w:sz w:val="36"/>
          <w:szCs w:val="36"/>
          <w:rtl/>
        </w:rPr>
        <w:t xml:space="preserve">ة </w:t>
      </w:r>
      <w:r w:rsidRPr="00FD211F">
        <w:rPr>
          <w:sz w:val="36"/>
          <w:szCs w:val="36"/>
          <w:rtl/>
        </w:rPr>
        <w:t>الى ما حكي عن السيد ا</w:t>
      </w:r>
      <w:r w:rsidR="00E95E8D" w:rsidRPr="00FD211F">
        <w:rPr>
          <w:sz w:val="36"/>
          <w:szCs w:val="36"/>
          <w:rtl/>
        </w:rPr>
        <w:t>لصدر</w:t>
      </w:r>
      <w:r w:rsidR="00227054" w:rsidRPr="00FD211F">
        <w:rPr>
          <w:sz w:val="36"/>
          <w:szCs w:val="36"/>
          <w:rtl/>
        </w:rPr>
        <w:t>"قده"</w:t>
      </w:r>
      <w:r w:rsidR="0024281C" w:rsidRPr="00FD211F">
        <w:rPr>
          <w:sz w:val="36"/>
          <w:szCs w:val="36"/>
          <w:rtl/>
        </w:rPr>
        <w:t xml:space="preserve"> </w:t>
      </w:r>
      <w:r w:rsidR="00E95E8D" w:rsidRPr="00FD211F">
        <w:rPr>
          <w:sz w:val="36"/>
          <w:szCs w:val="36"/>
          <w:rtl/>
        </w:rPr>
        <w:t>في الجواب عن هذا الوجه</w:t>
      </w:r>
      <w:r w:rsidR="00227054" w:rsidRPr="00FD211F">
        <w:rPr>
          <w:sz w:val="36"/>
          <w:szCs w:val="36"/>
          <w:rtl/>
        </w:rPr>
        <w:t xml:space="preserve"> من ان الفرد له مصطلحان:</w:t>
      </w:r>
    </w:p>
    <w:p w14:paraId="14697C69" w14:textId="77777777" w:rsidR="00F9149B" w:rsidRPr="00FD211F" w:rsidRDefault="00675F18" w:rsidP="009C58C8">
      <w:pPr>
        <w:ind w:left="0" w:firstLine="227"/>
        <w:jc w:val="both"/>
        <w:rPr>
          <w:sz w:val="36"/>
          <w:szCs w:val="36"/>
          <w:rtl/>
        </w:rPr>
      </w:pPr>
      <w:r w:rsidRPr="00FD211F">
        <w:rPr>
          <w:sz w:val="36"/>
          <w:szCs w:val="36"/>
          <w:rtl/>
        </w:rPr>
        <w:t>احدهما: الفرد الخارجي بما له من العوارض المشخص</w:t>
      </w:r>
      <w:r w:rsidR="00EC7EDF" w:rsidRPr="00FD211F">
        <w:rPr>
          <w:sz w:val="36"/>
          <w:szCs w:val="36"/>
          <w:rtl/>
        </w:rPr>
        <w:t xml:space="preserve">ة </w:t>
      </w:r>
      <w:r w:rsidRPr="00FD211F">
        <w:rPr>
          <w:sz w:val="36"/>
          <w:szCs w:val="36"/>
          <w:rtl/>
        </w:rPr>
        <w:t>كالحجم واللون وغير ذلك</w:t>
      </w:r>
      <w:r w:rsidR="00603323" w:rsidRPr="00FD211F">
        <w:rPr>
          <w:sz w:val="36"/>
          <w:szCs w:val="36"/>
          <w:rtl/>
        </w:rPr>
        <w:t xml:space="preserve">، </w:t>
      </w:r>
      <w:r w:rsidRPr="00FD211F">
        <w:rPr>
          <w:sz w:val="36"/>
          <w:szCs w:val="36"/>
          <w:rtl/>
        </w:rPr>
        <w:t>وطبعا الفرد بهذا المعنى يجب تجريد الخصوصيات عنه كي ينتزع عنه الجامع</w:t>
      </w:r>
      <w:r w:rsidR="00603323" w:rsidRPr="00FD211F">
        <w:rPr>
          <w:sz w:val="36"/>
          <w:szCs w:val="36"/>
          <w:rtl/>
        </w:rPr>
        <w:t xml:space="preserve">، </w:t>
      </w:r>
      <w:r w:rsidRPr="00FD211F">
        <w:rPr>
          <w:sz w:val="36"/>
          <w:szCs w:val="36"/>
          <w:rtl/>
        </w:rPr>
        <w:t>فلايكون الجامع حاكيا عنه بخصوصياته</w:t>
      </w:r>
      <w:r w:rsidR="00603323" w:rsidRPr="00FD211F">
        <w:rPr>
          <w:sz w:val="36"/>
          <w:szCs w:val="36"/>
          <w:rtl/>
        </w:rPr>
        <w:t xml:space="preserve">، </w:t>
      </w:r>
      <w:r w:rsidRPr="00FD211F">
        <w:rPr>
          <w:sz w:val="36"/>
          <w:szCs w:val="36"/>
          <w:rtl/>
        </w:rPr>
        <w:t>لانها امور اضافي</w:t>
      </w:r>
      <w:r w:rsidR="00EC7EDF" w:rsidRPr="00FD211F">
        <w:rPr>
          <w:sz w:val="36"/>
          <w:szCs w:val="36"/>
          <w:rtl/>
        </w:rPr>
        <w:t>ة</w:t>
      </w:r>
      <w:r w:rsidR="00603323" w:rsidRPr="00FD211F">
        <w:rPr>
          <w:sz w:val="36"/>
          <w:szCs w:val="36"/>
          <w:rtl/>
        </w:rPr>
        <w:t xml:space="preserve">، </w:t>
      </w:r>
      <w:r w:rsidRPr="00FD211F">
        <w:rPr>
          <w:sz w:val="36"/>
          <w:szCs w:val="36"/>
          <w:rtl/>
        </w:rPr>
        <w:t>لابد من غض الن</w:t>
      </w:r>
      <w:r w:rsidR="00F9149B" w:rsidRPr="00FD211F">
        <w:rPr>
          <w:sz w:val="36"/>
          <w:szCs w:val="36"/>
          <w:rtl/>
        </w:rPr>
        <w:t>ظر عنها عند اراد</w:t>
      </w:r>
      <w:r w:rsidR="00EC7EDF" w:rsidRPr="00FD211F">
        <w:rPr>
          <w:sz w:val="36"/>
          <w:szCs w:val="36"/>
          <w:rtl/>
        </w:rPr>
        <w:t xml:space="preserve">ة </w:t>
      </w:r>
      <w:r w:rsidR="00F9149B" w:rsidRPr="00FD211F">
        <w:rPr>
          <w:sz w:val="36"/>
          <w:szCs w:val="36"/>
          <w:rtl/>
        </w:rPr>
        <w:t>انتزاع الجامع.</w:t>
      </w:r>
      <w:r w:rsidRPr="00FD211F">
        <w:rPr>
          <w:sz w:val="36"/>
          <w:szCs w:val="36"/>
          <w:rtl/>
        </w:rPr>
        <w:t xml:space="preserve"> </w:t>
      </w:r>
    </w:p>
    <w:p w14:paraId="2DD67866" w14:textId="77777777" w:rsidR="00ED03E2" w:rsidRPr="00FD211F" w:rsidRDefault="00675F18" w:rsidP="009C58C8">
      <w:pPr>
        <w:ind w:left="0" w:firstLine="227"/>
        <w:jc w:val="both"/>
        <w:rPr>
          <w:sz w:val="36"/>
          <w:szCs w:val="36"/>
          <w:rtl/>
        </w:rPr>
      </w:pPr>
      <w:r w:rsidRPr="00FD211F">
        <w:rPr>
          <w:sz w:val="36"/>
          <w:szCs w:val="36"/>
          <w:rtl/>
        </w:rPr>
        <w:t>وثانيهما: الفرد بمعنى الحص</w:t>
      </w:r>
      <w:r w:rsidR="00EC7EDF" w:rsidRPr="00FD211F">
        <w:rPr>
          <w:sz w:val="36"/>
          <w:szCs w:val="36"/>
          <w:rtl/>
        </w:rPr>
        <w:t xml:space="preserve">ة </w:t>
      </w:r>
      <w:r w:rsidRPr="00FD211F">
        <w:rPr>
          <w:sz w:val="36"/>
          <w:szCs w:val="36"/>
          <w:rtl/>
        </w:rPr>
        <w:t>المعين</w:t>
      </w:r>
      <w:r w:rsidR="00EC7EDF" w:rsidRPr="00FD211F">
        <w:rPr>
          <w:sz w:val="36"/>
          <w:szCs w:val="36"/>
          <w:rtl/>
        </w:rPr>
        <w:t xml:space="preserve">ة </w:t>
      </w:r>
      <w:r w:rsidRPr="00FD211F">
        <w:rPr>
          <w:sz w:val="36"/>
          <w:szCs w:val="36"/>
          <w:rtl/>
        </w:rPr>
        <w:t>من الجامع</w:t>
      </w:r>
      <w:r w:rsidR="00603323" w:rsidRPr="00FD211F">
        <w:rPr>
          <w:sz w:val="36"/>
          <w:szCs w:val="36"/>
          <w:rtl/>
        </w:rPr>
        <w:t xml:space="preserve">، </w:t>
      </w:r>
      <w:r w:rsidRPr="00FD211F">
        <w:rPr>
          <w:sz w:val="36"/>
          <w:szCs w:val="36"/>
          <w:rtl/>
        </w:rPr>
        <w:t xml:space="preserve">فمفهوم الانسان مثلا </w:t>
      </w:r>
      <w:r w:rsidR="003C02E1" w:rsidRPr="00FD211F">
        <w:rPr>
          <w:sz w:val="36"/>
          <w:szCs w:val="36"/>
          <w:rtl/>
        </w:rPr>
        <w:t>هو</w:t>
      </w:r>
      <w:r w:rsidRPr="00FD211F">
        <w:rPr>
          <w:sz w:val="36"/>
          <w:szCs w:val="36"/>
          <w:rtl/>
        </w:rPr>
        <w:t>الجامع وافراده بالمعنى الثاني عبار</w:t>
      </w:r>
      <w:r w:rsidR="00EC7EDF" w:rsidRPr="00FD211F">
        <w:rPr>
          <w:sz w:val="36"/>
          <w:szCs w:val="36"/>
          <w:rtl/>
        </w:rPr>
        <w:t xml:space="preserve">ة </w:t>
      </w:r>
      <w:r w:rsidRPr="00FD211F">
        <w:rPr>
          <w:sz w:val="36"/>
          <w:szCs w:val="36"/>
          <w:rtl/>
        </w:rPr>
        <w:t>عن تلك الحص</w:t>
      </w:r>
      <w:r w:rsidR="00EC7EDF" w:rsidRPr="00FD211F">
        <w:rPr>
          <w:sz w:val="36"/>
          <w:szCs w:val="36"/>
          <w:rtl/>
        </w:rPr>
        <w:t xml:space="preserve">ة </w:t>
      </w:r>
      <w:r w:rsidRPr="00FD211F">
        <w:rPr>
          <w:sz w:val="36"/>
          <w:szCs w:val="36"/>
          <w:rtl/>
        </w:rPr>
        <w:t>من الانساني</w:t>
      </w:r>
      <w:r w:rsidR="00EC7EDF" w:rsidRPr="00FD211F">
        <w:rPr>
          <w:sz w:val="36"/>
          <w:szCs w:val="36"/>
          <w:rtl/>
        </w:rPr>
        <w:t xml:space="preserve">ة </w:t>
      </w:r>
      <w:r w:rsidRPr="00FD211F">
        <w:rPr>
          <w:sz w:val="36"/>
          <w:szCs w:val="36"/>
          <w:rtl/>
        </w:rPr>
        <w:t>الموجود</w:t>
      </w:r>
      <w:r w:rsidR="00EC7EDF" w:rsidRPr="00FD211F">
        <w:rPr>
          <w:sz w:val="36"/>
          <w:szCs w:val="36"/>
          <w:rtl/>
        </w:rPr>
        <w:t xml:space="preserve">ة </w:t>
      </w:r>
      <w:r w:rsidRPr="00FD211F">
        <w:rPr>
          <w:sz w:val="36"/>
          <w:szCs w:val="36"/>
          <w:rtl/>
        </w:rPr>
        <w:t>في زيد</w:t>
      </w:r>
      <w:r w:rsidR="00603323" w:rsidRPr="00FD211F">
        <w:rPr>
          <w:sz w:val="36"/>
          <w:szCs w:val="36"/>
          <w:rtl/>
        </w:rPr>
        <w:t xml:space="preserve">، </w:t>
      </w:r>
      <w:r w:rsidRPr="00FD211F">
        <w:rPr>
          <w:sz w:val="36"/>
          <w:szCs w:val="36"/>
          <w:rtl/>
        </w:rPr>
        <w:t>وتلك الحص</w:t>
      </w:r>
      <w:r w:rsidR="00EC7EDF" w:rsidRPr="00FD211F">
        <w:rPr>
          <w:sz w:val="36"/>
          <w:szCs w:val="36"/>
          <w:rtl/>
        </w:rPr>
        <w:t xml:space="preserve">ة </w:t>
      </w:r>
      <w:r w:rsidRPr="00FD211F">
        <w:rPr>
          <w:sz w:val="36"/>
          <w:szCs w:val="36"/>
          <w:rtl/>
        </w:rPr>
        <w:t>الموجود</w:t>
      </w:r>
      <w:r w:rsidR="00EC7EDF" w:rsidRPr="00FD211F">
        <w:rPr>
          <w:sz w:val="36"/>
          <w:szCs w:val="36"/>
          <w:rtl/>
        </w:rPr>
        <w:t xml:space="preserve">ة </w:t>
      </w:r>
      <w:r w:rsidRPr="00FD211F">
        <w:rPr>
          <w:sz w:val="36"/>
          <w:szCs w:val="36"/>
          <w:rtl/>
        </w:rPr>
        <w:t>في عمرو وهكذا</w:t>
      </w:r>
      <w:r w:rsidR="00603323" w:rsidRPr="00FD211F">
        <w:rPr>
          <w:sz w:val="36"/>
          <w:szCs w:val="36"/>
          <w:rtl/>
        </w:rPr>
        <w:t xml:space="preserve">، </w:t>
      </w:r>
      <w:r w:rsidRPr="00FD211F">
        <w:rPr>
          <w:sz w:val="36"/>
          <w:szCs w:val="36"/>
          <w:rtl/>
        </w:rPr>
        <w:t>فان كل حص</w:t>
      </w:r>
      <w:r w:rsidR="00EC7EDF" w:rsidRPr="00FD211F">
        <w:rPr>
          <w:sz w:val="36"/>
          <w:szCs w:val="36"/>
          <w:rtl/>
        </w:rPr>
        <w:t xml:space="preserve">ة </w:t>
      </w:r>
      <w:r w:rsidRPr="00FD211F">
        <w:rPr>
          <w:sz w:val="36"/>
          <w:szCs w:val="36"/>
          <w:rtl/>
        </w:rPr>
        <w:t>من هذه الحصص مباين</w:t>
      </w:r>
      <w:r w:rsidR="00EC7EDF" w:rsidRPr="00FD211F">
        <w:rPr>
          <w:sz w:val="36"/>
          <w:szCs w:val="36"/>
          <w:rtl/>
        </w:rPr>
        <w:t xml:space="preserve">ة </w:t>
      </w:r>
      <w:r w:rsidRPr="00FD211F">
        <w:rPr>
          <w:sz w:val="36"/>
          <w:szCs w:val="36"/>
          <w:rtl/>
        </w:rPr>
        <w:t>مع الحص</w:t>
      </w:r>
      <w:r w:rsidR="00EC7EDF" w:rsidRPr="00FD211F">
        <w:rPr>
          <w:sz w:val="36"/>
          <w:szCs w:val="36"/>
          <w:rtl/>
        </w:rPr>
        <w:t xml:space="preserve">ة </w:t>
      </w:r>
      <w:r w:rsidRPr="00FD211F">
        <w:rPr>
          <w:sz w:val="36"/>
          <w:szCs w:val="36"/>
          <w:rtl/>
        </w:rPr>
        <w:t>الأخرى ذاتا بغض النظر عن الخصوصيات الطارئ</w:t>
      </w:r>
      <w:r w:rsidR="00EC7EDF" w:rsidRPr="00FD211F">
        <w:rPr>
          <w:sz w:val="36"/>
          <w:szCs w:val="36"/>
          <w:rtl/>
        </w:rPr>
        <w:t xml:space="preserve">ة </w:t>
      </w:r>
      <w:r w:rsidRPr="00FD211F">
        <w:rPr>
          <w:sz w:val="36"/>
          <w:szCs w:val="36"/>
          <w:rtl/>
        </w:rPr>
        <w:t>على الحص</w:t>
      </w:r>
      <w:r w:rsidR="00EC7EDF" w:rsidRPr="00FD211F">
        <w:rPr>
          <w:sz w:val="36"/>
          <w:szCs w:val="36"/>
          <w:rtl/>
        </w:rPr>
        <w:t xml:space="preserve">ة </w:t>
      </w:r>
      <w:r w:rsidRPr="00FD211F">
        <w:rPr>
          <w:sz w:val="36"/>
          <w:szCs w:val="36"/>
          <w:rtl/>
        </w:rPr>
        <w:t>من حجم او لون او غير ذلك</w:t>
      </w:r>
      <w:r w:rsidR="00603323" w:rsidRPr="00FD211F">
        <w:rPr>
          <w:sz w:val="36"/>
          <w:szCs w:val="36"/>
          <w:rtl/>
        </w:rPr>
        <w:t xml:space="preserve">، </w:t>
      </w:r>
      <w:r w:rsidRPr="00FD211F">
        <w:rPr>
          <w:sz w:val="36"/>
          <w:szCs w:val="36"/>
          <w:rtl/>
        </w:rPr>
        <w:t>وانما هذه الخصوصيات تطرأ على الحص</w:t>
      </w:r>
      <w:r w:rsidR="00EC7EDF" w:rsidRPr="00FD211F">
        <w:rPr>
          <w:sz w:val="36"/>
          <w:szCs w:val="36"/>
          <w:rtl/>
        </w:rPr>
        <w:t xml:space="preserve">ة </w:t>
      </w:r>
      <w:r w:rsidRPr="00FD211F">
        <w:rPr>
          <w:sz w:val="36"/>
          <w:szCs w:val="36"/>
          <w:rtl/>
        </w:rPr>
        <w:t>فيجب ان تكون ذات الحص</w:t>
      </w:r>
      <w:r w:rsidR="00EC7EDF" w:rsidRPr="00FD211F">
        <w:rPr>
          <w:sz w:val="36"/>
          <w:szCs w:val="36"/>
          <w:rtl/>
        </w:rPr>
        <w:t xml:space="preserve">ة </w:t>
      </w:r>
      <w:r w:rsidRPr="00FD211F">
        <w:rPr>
          <w:sz w:val="36"/>
          <w:szCs w:val="36"/>
          <w:rtl/>
        </w:rPr>
        <w:t>في الرتب</w:t>
      </w:r>
      <w:r w:rsidR="00EC7EDF" w:rsidRPr="00FD211F">
        <w:rPr>
          <w:sz w:val="36"/>
          <w:szCs w:val="36"/>
          <w:rtl/>
        </w:rPr>
        <w:t xml:space="preserve">ة </w:t>
      </w:r>
      <w:r w:rsidRPr="00FD211F">
        <w:rPr>
          <w:sz w:val="36"/>
          <w:szCs w:val="36"/>
          <w:rtl/>
        </w:rPr>
        <w:t>السابق</w:t>
      </w:r>
      <w:r w:rsidR="00EC7EDF" w:rsidRPr="00FD211F">
        <w:rPr>
          <w:sz w:val="36"/>
          <w:szCs w:val="36"/>
          <w:rtl/>
        </w:rPr>
        <w:t xml:space="preserve">ة </w:t>
      </w:r>
      <w:r w:rsidRPr="00FD211F">
        <w:rPr>
          <w:sz w:val="36"/>
          <w:szCs w:val="36"/>
          <w:rtl/>
        </w:rPr>
        <w:t>مباين</w:t>
      </w:r>
      <w:r w:rsidR="00EC7EDF" w:rsidRPr="00FD211F">
        <w:rPr>
          <w:sz w:val="36"/>
          <w:szCs w:val="36"/>
          <w:rtl/>
        </w:rPr>
        <w:t xml:space="preserve">ة </w:t>
      </w:r>
      <w:r w:rsidRPr="00FD211F">
        <w:rPr>
          <w:sz w:val="36"/>
          <w:szCs w:val="36"/>
          <w:rtl/>
        </w:rPr>
        <w:t>مع الحص</w:t>
      </w:r>
      <w:r w:rsidR="00EC7EDF" w:rsidRPr="00FD211F">
        <w:rPr>
          <w:sz w:val="36"/>
          <w:szCs w:val="36"/>
          <w:rtl/>
        </w:rPr>
        <w:t xml:space="preserve">ة </w:t>
      </w:r>
      <w:r w:rsidRPr="00FD211F">
        <w:rPr>
          <w:sz w:val="36"/>
          <w:szCs w:val="36"/>
          <w:rtl/>
        </w:rPr>
        <w:t>الأخرى</w:t>
      </w:r>
      <w:r w:rsidR="00603323" w:rsidRPr="00FD211F">
        <w:rPr>
          <w:sz w:val="36"/>
          <w:szCs w:val="36"/>
          <w:rtl/>
        </w:rPr>
        <w:t xml:space="preserve">، </w:t>
      </w:r>
      <w:r w:rsidRPr="00FD211F">
        <w:rPr>
          <w:sz w:val="36"/>
          <w:szCs w:val="36"/>
          <w:rtl/>
        </w:rPr>
        <w:t>حتى يطرأ على هذه الحص</w:t>
      </w:r>
      <w:r w:rsidR="00EC7EDF" w:rsidRPr="00FD211F">
        <w:rPr>
          <w:sz w:val="36"/>
          <w:szCs w:val="36"/>
          <w:rtl/>
        </w:rPr>
        <w:t xml:space="preserve">ة </w:t>
      </w:r>
      <w:r w:rsidRPr="00FD211F">
        <w:rPr>
          <w:sz w:val="36"/>
          <w:szCs w:val="36"/>
          <w:rtl/>
        </w:rPr>
        <w:t>الوصف الفلاني وعلى الحص</w:t>
      </w:r>
      <w:r w:rsidR="00EC7EDF" w:rsidRPr="00FD211F">
        <w:rPr>
          <w:sz w:val="36"/>
          <w:szCs w:val="36"/>
          <w:rtl/>
        </w:rPr>
        <w:t xml:space="preserve">ة </w:t>
      </w:r>
      <w:r w:rsidRPr="00FD211F">
        <w:rPr>
          <w:sz w:val="36"/>
          <w:szCs w:val="36"/>
          <w:rtl/>
        </w:rPr>
        <w:t>الأخرى الوصف الآخر</w:t>
      </w:r>
      <w:r w:rsidR="00603323" w:rsidRPr="00FD211F">
        <w:rPr>
          <w:sz w:val="36"/>
          <w:szCs w:val="36"/>
          <w:rtl/>
        </w:rPr>
        <w:t xml:space="preserve">، </w:t>
      </w:r>
      <w:r w:rsidRPr="00FD211F">
        <w:rPr>
          <w:sz w:val="36"/>
          <w:szCs w:val="36"/>
          <w:rtl/>
        </w:rPr>
        <w:t>والمفهوم الجامع بين هذه الحصص ينطبق على كل حص</w:t>
      </w:r>
      <w:r w:rsidR="00EC7EDF" w:rsidRPr="00FD211F">
        <w:rPr>
          <w:sz w:val="36"/>
          <w:szCs w:val="36"/>
          <w:rtl/>
        </w:rPr>
        <w:t xml:space="preserve">ة </w:t>
      </w:r>
      <w:r w:rsidRPr="00FD211F">
        <w:rPr>
          <w:sz w:val="36"/>
          <w:szCs w:val="36"/>
          <w:rtl/>
        </w:rPr>
        <w:t>بتمامها</w:t>
      </w:r>
      <w:r w:rsidR="00603323" w:rsidRPr="00FD211F">
        <w:rPr>
          <w:sz w:val="36"/>
          <w:szCs w:val="36"/>
          <w:rtl/>
        </w:rPr>
        <w:t xml:space="preserve">، </w:t>
      </w:r>
      <w:r w:rsidRPr="00FD211F">
        <w:rPr>
          <w:sz w:val="36"/>
          <w:szCs w:val="36"/>
          <w:rtl/>
        </w:rPr>
        <w:t>اذ ليس فيها خصوصي</w:t>
      </w:r>
      <w:r w:rsidR="00EC7EDF" w:rsidRPr="00FD211F">
        <w:rPr>
          <w:sz w:val="36"/>
          <w:szCs w:val="36"/>
          <w:rtl/>
        </w:rPr>
        <w:t xml:space="preserve">ة </w:t>
      </w:r>
      <w:r w:rsidRPr="00FD211F">
        <w:rPr>
          <w:sz w:val="36"/>
          <w:szCs w:val="36"/>
          <w:rtl/>
        </w:rPr>
        <w:t>زائد</w:t>
      </w:r>
      <w:r w:rsidR="00EC7EDF" w:rsidRPr="00FD211F">
        <w:rPr>
          <w:sz w:val="36"/>
          <w:szCs w:val="36"/>
          <w:rtl/>
        </w:rPr>
        <w:t xml:space="preserve">ة </w:t>
      </w:r>
      <w:r w:rsidRPr="00FD211F">
        <w:rPr>
          <w:sz w:val="36"/>
          <w:szCs w:val="36"/>
          <w:rtl/>
        </w:rPr>
        <w:t>على اصل طبيع</w:t>
      </w:r>
      <w:r w:rsidR="00EC7EDF" w:rsidRPr="00FD211F">
        <w:rPr>
          <w:sz w:val="36"/>
          <w:szCs w:val="36"/>
          <w:rtl/>
        </w:rPr>
        <w:t xml:space="preserve">ة </w:t>
      </w:r>
      <w:r w:rsidRPr="00FD211F">
        <w:rPr>
          <w:sz w:val="36"/>
          <w:szCs w:val="36"/>
          <w:rtl/>
        </w:rPr>
        <w:t>الانساني</w:t>
      </w:r>
      <w:r w:rsidR="00EC7EDF" w:rsidRPr="00FD211F">
        <w:rPr>
          <w:sz w:val="36"/>
          <w:szCs w:val="36"/>
          <w:rtl/>
        </w:rPr>
        <w:t xml:space="preserve">ة </w:t>
      </w:r>
      <w:r w:rsidRPr="00FD211F">
        <w:rPr>
          <w:sz w:val="36"/>
          <w:szCs w:val="36"/>
          <w:rtl/>
        </w:rPr>
        <w:t>حتى نحتاج الى تجريدها عنها</w:t>
      </w:r>
      <w:r w:rsidR="00603323" w:rsidRPr="00FD211F">
        <w:rPr>
          <w:sz w:val="36"/>
          <w:szCs w:val="36"/>
          <w:rtl/>
        </w:rPr>
        <w:t xml:space="preserve">، </w:t>
      </w:r>
      <w:r w:rsidRPr="00FD211F">
        <w:rPr>
          <w:sz w:val="36"/>
          <w:szCs w:val="36"/>
          <w:rtl/>
        </w:rPr>
        <w:t>فيعقل الوضع العام والموضوع له الخاص بمعنى تصور المفهوم العام والوضع لهذه الحصص</w:t>
      </w:r>
      <w:r w:rsidR="009C58C8" w:rsidRPr="00FD211F">
        <w:rPr>
          <w:rStyle w:val="a6"/>
          <w:sz w:val="36"/>
          <w:szCs w:val="36"/>
          <w:rtl/>
        </w:rPr>
        <w:t>(</w:t>
      </w:r>
      <w:r w:rsidR="009C58C8" w:rsidRPr="00FD211F">
        <w:rPr>
          <w:rStyle w:val="a6"/>
          <w:sz w:val="36"/>
          <w:szCs w:val="36"/>
          <w:rtl/>
        </w:rPr>
        <w:footnoteReference w:id="140"/>
      </w:r>
      <w:r w:rsidR="009C58C8" w:rsidRPr="00FD211F">
        <w:rPr>
          <w:rStyle w:val="a6"/>
          <w:sz w:val="36"/>
          <w:szCs w:val="36"/>
          <w:rtl/>
        </w:rPr>
        <w:t>)</w:t>
      </w:r>
      <w:r w:rsidRPr="00FD211F">
        <w:rPr>
          <w:sz w:val="36"/>
          <w:szCs w:val="36"/>
          <w:rtl/>
        </w:rPr>
        <w:t xml:space="preserve">. </w:t>
      </w:r>
    </w:p>
    <w:p w14:paraId="17D5B9FF" w14:textId="77777777" w:rsidR="000A6663" w:rsidRPr="00FD211F" w:rsidRDefault="00F9149B" w:rsidP="009C58C8">
      <w:pPr>
        <w:ind w:left="0" w:firstLine="227"/>
        <w:jc w:val="both"/>
        <w:rPr>
          <w:sz w:val="36"/>
          <w:szCs w:val="36"/>
          <w:rtl/>
        </w:rPr>
      </w:pPr>
      <w:r w:rsidRPr="00FD211F">
        <w:rPr>
          <w:b/>
          <w:bCs/>
          <w:sz w:val="36"/>
          <w:szCs w:val="36"/>
          <w:rtl/>
        </w:rPr>
        <w:t>الوجه الثاني</w:t>
      </w:r>
      <w:r w:rsidRPr="00FD211F">
        <w:rPr>
          <w:sz w:val="36"/>
          <w:szCs w:val="36"/>
          <w:rtl/>
        </w:rPr>
        <w:t>:</w:t>
      </w:r>
      <w:r w:rsidR="000A6663" w:rsidRPr="00FD211F">
        <w:rPr>
          <w:sz w:val="36"/>
          <w:szCs w:val="36"/>
          <w:rtl/>
        </w:rPr>
        <w:t xml:space="preserve"> </w:t>
      </w:r>
      <w:r w:rsidR="00A235A4" w:rsidRPr="00FD211F">
        <w:rPr>
          <w:sz w:val="36"/>
          <w:szCs w:val="36"/>
          <w:rtl/>
        </w:rPr>
        <w:t xml:space="preserve">ان </w:t>
      </w:r>
      <w:r w:rsidR="007D6112" w:rsidRPr="00FD211F">
        <w:rPr>
          <w:sz w:val="36"/>
          <w:szCs w:val="36"/>
          <w:rtl/>
        </w:rPr>
        <w:t>ال</w:t>
      </w:r>
      <w:r w:rsidR="00A235A4" w:rsidRPr="00FD211F">
        <w:rPr>
          <w:sz w:val="36"/>
          <w:szCs w:val="36"/>
          <w:rtl/>
        </w:rPr>
        <w:t>مفهوم</w:t>
      </w:r>
      <w:r w:rsidR="007D6112" w:rsidRPr="00FD211F">
        <w:rPr>
          <w:sz w:val="36"/>
          <w:szCs w:val="36"/>
          <w:rtl/>
        </w:rPr>
        <w:t xml:space="preserve"> الجزئي كمفهوم زيد والمفهوم الكلي كمفهوم الانسان متباينان من حيث المفهوم وان كانا متحدين خارجا</w:t>
      </w:r>
      <w:r w:rsidR="00603323" w:rsidRPr="00FD211F">
        <w:rPr>
          <w:sz w:val="36"/>
          <w:szCs w:val="36"/>
          <w:rtl/>
        </w:rPr>
        <w:t xml:space="preserve">، </w:t>
      </w:r>
      <w:r w:rsidR="007D6112" w:rsidRPr="00FD211F">
        <w:rPr>
          <w:sz w:val="36"/>
          <w:szCs w:val="36"/>
          <w:rtl/>
        </w:rPr>
        <w:t>فتصور المفهوم الكلي لاجل وضع لفظ</w:t>
      </w:r>
      <w:r w:rsidR="00194A80" w:rsidRPr="00FD211F">
        <w:rPr>
          <w:sz w:val="36"/>
          <w:szCs w:val="36"/>
          <w:rtl/>
        </w:rPr>
        <w:t>ٍ</w:t>
      </w:r>
      <w:r w:rsidR="007D6112" w:rsidRPr="00FD211F">
        <w:rPr>
          <w:sz w:val="36"/>
          <w:szCs w:val="36"/>
          <w:rtl/>
        </w:rPr>
        <w:t xml:space="preserve"> بازاء المفهوم الجزئي غير معقول الا ان يفرض ان تصور المفهوم الكلي </w:t>
      </w:r>
      <w:r w:rsidR="00A235A4" w:rsidRPr="00FD211F">
        <w:rPr>
          <w:sz w:val="36"/>
          <w:szCs w:val="36"/>
          <w:rtl/>
        </w:rPr>
        <w:t>صار حيثي</w:t>
      </w:r>
      <w:r w:rsidR="00EC7EDF" w:rsidRPr="00FD211F">
        <w:rPr>
          <w:sz w:val="36"/>
          <w:szCs w:val="36"/>
          <w:rtl/>
        </w:rPr>
        <w:t xml:space="preserve">ة </w:t>
      </w:r>
      <w:r w:rsidR="00A235A4" w:rsidRPr="00FD211F">
        <w:rPr>
          <w:sz w:val="36"/>
          <w:szCs w:val="36"/>
          <w:rtl/>
        </w:rPr>
        <w:t>تعليلي</w:t>
      </w:r>
      <w:r w:rsidR="00EC7EDF" w:rsidRPr="00FD211F">
        <w:rPr>
          <w:sz w:val="36"/>
          <w:szCs w:val="36"/>
          <w:rtl/>
        </w:rPr>
        <w:t xml:space="preserve">ة </w:t>
      </w:r>
      <w:r w:rsidR="00A235A4" w:rsidRPr="00FD211F">
        <w:rPr>
          <w:sz w:val="36"/>
          <w:szCs w:val="36"/>
          <w:rtl/>
        </w:rPr>
        <w:t>للانتقال الى</w:t>
      </w:r>
      <w:r w:rsidR="007D6112" w:rsidRPr="00FD211F">
        <w:rPr>
          <w:sz w:val="36"/>
          <w:szCs w:val="36"/>
          <w:rtl/>
        </w:rPr>
        <w:t xml:space="preserve"> تصور المفهوم الجزئي الذي يراد وضع اللفظ بإزاءه</w:t>
      </w:r>
      <w:r w:rsidR="00603323" w:rsidRPr="00FD211F">
        <w:rPr>
          <w:sz w:val="36"/>
          <w:szCs w:val="36"/>
          <w:rtl/>
        </w:rPr>
        <w:t xml:space="preserve">، </w:t>
      </w:r>
      <w:r w:rsidR="00A235A4" w:rsidRPr="00FD211F">
        <w:rPr>
          <w:sz w:val="36"/>
          <w:szCs w:val="36"/>
          <w:rtl/>
        </w:rPr>
        <w:t>لكنه كما ترى يرجع الى الوضع الخاص والموضوع له الخاص ولايحقق المقصود</w:t>
      </w:r>
      <w:r w:rsidR="00603323" w:rsidRPr="00FD211F">
        <w:rPr>
          <w:sz w:val="36"/>
          <w:szCs w:val="36"/>
          <w:rtl/>
        </w:rPr>
        <w:t xml:space="preserve">، </w:t>
      </w:r>
      <w:r w:rsidR="007D6112" w:rsidRPr="00FD211F">
        <w:rPr>
          <w:sz w:val="36"/>
          <w:szCs w:val="36"/>
          <w:rtl/>
        </w:rPr>
        <w:t xml:space="preserve">والا ففي فرض كون المفهوم الجزئي </w:t>
      </w:r>
      <w:r w:rsidR="00A235A4" w:rsidRPr="00FD211F">
        <w:rPr>
          <w:sz w:val="36"/>
          <w:szCs w:val="36"/>
          <w:rtl/>
        </w:rPr>
        <w:t>غائب</w:t>
      </w:r>
      <w:r w:rsidR="007D6112" w:rsidRPr="00FD211F">
        <w:rPr>
          <w:sz w:val="36"/>
          <w:szCs w:val="36"/>
          <w:rtl/>
        </w:rPr>
        <w:t>ا</w:t>
      </w:r>
      <w:r w:rsidR="00A235A4" w:rsidRPr="00FD211F">
        <w:rPr>
          <w:sz w:val="36"/>
          <w:szCs w:val="36"/>
          <w:rtl/>
        </w:rPr>
        <w:t xml:space="preserve"> عن الذهن مطلقا</w:t>
      </w:r>
      <w:r w:rsidR="007D6112" w:rsidRPr="00FD211F">
        <w:rPr>
          <w:sz w:val="36"/>
          <w:szCs w:val="36"/>
          <w:rtl/>
        </w:rPr>
        <w:t xml:space="preserve"> فكيف </w:t>
      </w:r>
      <w:r w:rsidR="00A235A4" w:rsidRPr="00FD211F">
        <w:rPr>
          <w:sz w:val="36"/>
          <w:szCs w:val="36"/>
          <w:rtl/>
        </w:rPr>
        <w:t>يضع الواضع لفظا بازاء</w:t>
      </w:r>
      <w:r w:rsidR="007D6112" w:rsidRPr="00FD211F">
        <w:rPr>
          <w:sz w:val="36"/>
          <w:szCs w:val="36"/>
          <w:rtl/>
        </w:rPr>
        <w:t>ه</w:t>
      </w:r>
      <w:r w:rsidR="00603323" w:rsidRPr="00FD211F">
        <w:rPr>
          <w:sz w:val="36"/>
          <w:szCs w:val="36"/>
          <w:rtl/>
        </w:rPr>
        <w:t xml:space="preserve">، </w:t>
      </w:r>
      <w:r w:rsidR="007D6112" w:rsidRPr="00FD211F">
        <w:rPr>
          <w:sz w:val="36"/>
          <w:szCs w:val="36"/>
          <w:rtl/>
        </w:rPr>
        <w:t>ف</w:t>
      </w:r>
      <w:r w:rsidR="00A235A4" w:rsidRPr="00FD211F">
        <w:rPr>
          <w:sz w:val="36"/>
          <w:szCs w:val="36"/>
          <w:rtl/>
        </w:rPr>
        <w:t>ان الوضع من قبيل الحكم</w:t>
      </w:r>
      <w:r w:rsidR="00603323" w:rsidRPr="00FD211F">
        <w:rPr>
          <w:sz w:val="36"/>
          <w:szCs w:val="36"/>
          <w:rtl/>
        </w:rPr>
        <w:t xml:space="preserve">، </w:t>
      </w:r>
      <w:r w:rsidR="00A235A4" w:rsidRPr="00FD211F">
        <w:rPr>
          <w:sz w:val="36"/>
          <w:szCs w:val="36"/>
          <w:rtl/>
        </w:rPr>
        <w:t xml:space="preserve">والحاكم حينما يحكم على </w:t>
      </w:r>
      <w:r w:rsidR="008D7B3D" w:rsidRPr="00FD211F">
        <w:rPr>
          <w:sz w:val="36"/>
          <w:szCs w:val="36"/>
          <w:rtl/>
        </w:rPr>
        <w:t xml:space="preserve">شيء </w:t>
      </w:r>
      <w:r w:rsidR="00A235A4" w:rsidRPr="00FD211F">
        <w:rPr>
          <w:sz w:val="36"/>
          <w:szCs w:val="36"/>
          <w:rtl/>
        </w:rPr>
        <w:t>يجب ان يكون موضوع حكمه حاضرا في نفسه.</w:t>
      </w:r>
    </w:p>
    <w:p w14:paraId="7D4D3669" w14:textId="77777777" w:rsidR="00C85035" w:rsidRPr="00FD211F" w:rsidRDefault="00E629BB" w:rsidP="009C58C8">
      <w:pPr>
        <w:ind w:left="0" w:firstLine="227"/>
        <w:jc w:val="both"/>
        <w:rPr>
          <w:sz w:val="36"/>
          <w:szCs w:val="36"/>
          <w:rtl/>
        </w:rPr>
      </w:pPr>
      <w:r w:rsidRPr="00FD211F">
        <w:rPr>
          <w:sz w:val="36"/>
          <w:szCs w:val="36"/>
          <w:rtl/>
        </w:rPr>
        <w:t>وقد اجاب عنه السيد الصدر</w:t>
      </w:r>
      <w:r w:rsidR="00A61BAE" w:rsidRPr="00FD211F">
        <w:rPr>
          <w:sz w:val="36"/>
          <w:szCs w:val="36"/>
          <w:rtl/>
        </w:rPr>
        <w:t xml:space="preserve"> </w:t>
      </w:r>
      <w:r w:rsidR="0024281C" w:rsidRPr="00FD211F">
        <w:rPr>
          <w:sz w:val="36"/>
          <w:szCs w:val="36"/>
          <w:rtl/>
        </w:rPr>
        <w:t>"قده"</w:t>
      </w:r>
      <w:r w:rsidR="00A61BAE" w:rsidRPr="00FD211F">
        <w:rPr>
          <w:sz w:val="36"/>
          <w:szCs w:val="36"/>
          <w:rtl/>
        </w:rPr>
        <w:t xml:space="preserve"> </w:t>
      </w:r>
      <w:r w:rsidRPr="00FD211F">
        <w:rPr>
          <w:sz w:val="36"/>
          <w:szCs w:val="36"/>
          <w:rtl/>
        </w:rPr>
        <w:t>تار</w:t>
      </w:r>
      <w:r w:rsidR="00EC7EDF" w:rsidRPr="00FD211F">
        <w:rPr>
          <w:sz w:val="36"/>
          <w:szCs w:val="36"/>
          <w:rtl/>
        </w:rPr>
        <w:t xml:space="preserve">ة </w:t>
      </w:r>
      <w:r w:rsidRPr="00FD211F">
        <w:rPr>
          <w:sz w:val="36"/>
          <w:szCs w:val="36"/>
          <w:rtl/>
        </w:rPr>
        <w:t>ب</w:t>
      </w:r>
      <w:r w:rsidR="000A6663" w:rsidRPr="00FD211F">
        <w:rPr>
          <w:sz w:val="36"/>
          <w:szCs w:val="36"/>
          <w:rtl/>
        </w:rPr>
        <w:t>ما حكي عنه</w:t>
      </w:r>
      <w:r w:rsidR="004A4E6A" w:rsidRPr="00FD211F">
        <w:rPr>
          <w:sz w:val="36"/>
          <w:szCs w:val="36"/>
          <w:rtl/>
        </w:rPr>
        <w:t xml:space="preserve"> </w:t>
      </w:r>
      <w:r w:rsidR="00160A17" w:rsidRPr="00FD211F">
        <w:rPr>
          <w:sz w:val="36"/>
          <w:szCs w:val="36"/>
          <w:rtl/>
        </w:rPr>
        <w:t>في البحوث</w:t>
      </w:r>
      <w:r w:rsidRPr="00FD211F">
        <w:rPr>
          <w:sz w:val="36"/>
          <w:szCs w:val="36"/>
          <w:rtl/>
        </w:rPr>
        <w:t xml:space="preserve"> من </w:t>
      </w:r>
      <w:r w:rsidR="004A4E6A" w:rsidRPr="00FD211F">
        <w:rPr>
          <w:sz w:val="36"/>
          <w:szCs w:val="36"/>
          <w:rtl/>
        </w:rPr>
        <w:t xml:space="preserve">ان المفهوم العام </w:t>
      </w:r>
      <w:r w:rsidR="00C85035" w:rsidRPr="00FD211F">
        <w:rPr>
          <w:sz w:val="36"/>
          <w:szCs w:val="36"/>
          <w:rtl/>
        </w:rPr>
        <w:t>قد</w:t>
      </w:r>
      <w:r w:rsidR="004A4E6A" w:rsidRPr="00FD211F">
        <w:rPr>
          <w:sz w:val="36"/>
          <w:szCs w:val="36"/>
          <w:rtl/>
        </w:rPr>
        <w:t xml:space="preserve"> ينتزع من الخارج ابتداء كمفهوم الانسان</w:t>
      </w:r>
      <w:r w:rsidR="00603323" w:rsidRPr="00FD211F">
        <w:rPr>
          <w:sz w:val="36"/>
          <w:szCs w:val="36"/>
          <w:rtl/>
        </w:rPr>
        <w:t xml:space="preserve">، </w:t>
      </w:r>
      <w:r w:rsidR="004A4E6A" w:rsidRPr="00FD211F">
        <w:rPr>
          <w:sz w:val="36"/>
          <w:szCs w:val="36"/>
          <w:rtl/>
        </w:rPr>
        <w:t>فهذا لايصلح ان يكون فانيا الا في الواقع الخارجي المنتزع منه</w:t>
      </w:r>
      <w:r w:rsidR="00603323" w:rsidRPr="00FD211F">
        <w:rPr>
          <w:sz w:val="36"/>
          <w:szCs w:val="36"/>
          <w:rtl/>
        </w:rPr>
        <w:t xml:space="preserve">، </w:t>
      </w:r>
      <w:r w:rsidR="00C85035" w:rsidRPr="00FD211F">
        <w:rPr>
          <w:sz w:val="36"/>
          <w:szCs w:val="36"/>
          <w:rtl/>
        </w:rPr>
        <w:t>وقد</w:t>
      </w:r>
      <w:r w:rsidR="004A4E6A" w:rsidRPr="00FD211F">
        <w:rPr>
          <w:sz w:val="36"/>
          <w:szCs w:val="36"/>
          <w:rtl/>
        </w:rPr>
        <w:t xml:space="preserve"> ينتزع من نفس المفاهيم الجزئي</w:t>
      </w:r>
      <w:r w:rsidR="00EC7EDF" w:rsidRPr="00FD211F">
        <w:rPr>
          <w:sz w:val="36"/>
          <w:szCs w:val="36"/>
          <w:rtl/>
        </w:rPr>
        <w:t xml:space="preserve">ة </w:t>
      </w:r>
      <w:r w:rsidR="004A4E6A" w:rsidRPr="00FD211F">
        <w:rPr>
          <w:sz w:val="36"/>
          <w:szCs w:val="36"/>
          <w:rtl/>
        </w:rPr>
        <w:t>التي يراد الوضع لها كمفهوم فرد الانسان او جزئي الانسان</w:t>
      </w:r>
      <w:r w:rsidR="00603323" w:rsidRPr="00FD211F">
        <w:rPr>
          <w:sz w:val="36"/>
          <w:szCs w:val="36"/>
          <w:rtl/>
        </w:rPr>
        <w:t xml:space="preserve">، </w:t>
      </w:r>
      <w:r w:rsidR="004A4E6A" w:rsidRPr="00FD211F">
        <w:rPr>
          <w:sz w:val="36"/>
          <w:szCs w:val="36"/>
          <w:rtl/>
        </w:rPr>
        <w:t>فان هذا مفهوم منتزع عن مفهوم زيد وعمرو وخالد وهكذا</w:t>
      </w:r>
      <w:r w:rsidR="00603323" w:rsidRPr="00FD211F">
        <w:rPr>
          <w:sz w:val="36"/>
          <w:szCs w:val="36"/>
          <w:rtl/>
        </w:rPr>
        <w:t xml:space="preserve">، </w:t>
      </w:r>
      <w:r w:rsidR="004A4E6A" w:rsidRPr="00FD211F">
        <w:rPr>
          <w:sz w:val="36"/>
          <w:szCs w:val="36"/>
          <w:rtl/>
        </w:rPr>
        <w:t>ولأجل ذلك يكون صالحا لان يلحظ فانيا في تلك المفاهيم الجزئي</w:t>
      </w:r>
      <w:r w:rsidR="00EC7EDF" w:rsidRPr="00FD211F">
        <w:rPr>
          <w:sz w:val="36"/>
          <w:szCs w:val="36"/>
          <w:rtl/>
        </w:rPr>
        <w:t xml:space="preserve">ة </w:t>
      </w:r>
      <w:r w:rsidR="004A4E6A" w:rsidRPr="00FD211F">
        <w:rPr>
          <w:sz w:val="36"/>
          <w:szCs w:val="36"/>
          <w:rtl/>
        </w:rPr>
        <w:t>ويكون حاكيا عنها</w:t>
      </w:r>
      <w:r w:rsidR="009C58C8" w:rsidRPr="00FD211F">
        <w:rPr>
          <w:rStyle w:val="a6"/>
          <w:sz w:val="36"/>
          <w:szCs w:val="36"/>
          <w:rtl/>
        </w:rPr>
        <w:t>(</w:t>
      </w:r>
      <w:r w:rsidR="009C58C8" w:rsidRPr="00FD211F">
        <w:rPr>
          <w:rStyle w:val="a6"/>
          <w:sz w:val="36"/>
          <w:szCs w:val="36"/>
          <w:rtl/>
        </w:rPr>
        <w:footnoteReference w:id="141"/>
      </w:r>
      <w:r w:rsidR="009C58C8" w:rsidRPr="00FD211F">
        <w:rPr>
          <w:rStyle w:val="a6"/>
          <w:sz w:val="36"/>
          <w:szCs w:val="36"/>
          <w:rtl/>
        </w:rPr>
        <w:t>)</w:t>
      </w:r>
      <w:r w:rsidR="004A4E6A" w:rsidRPr="00FD211F">
        <w:rPr>
          <w:sz w:val="36"/>
          <w:szCs w:val="36"/>
          <w:rtl/>
        </w:rPr>
        <w:t>.</w:t>
      </w:r>
    </w:p>
    <w:p w14:paraId="162D64FD" w14:textId="77777777" w:rsidR="0024281C" w:rsidRPr="00FD211F" w:rsidRDefault="00C85035" w:rsidP="009C58C8">
      <w:pPr>
        <w:ind w:left="0" w:firstLine="227"/>
        <w:jc w:val="both"/>
        <w:rPr>
          <w:sz w:val="36"/>
          <w:szCs w:val="36"/>
          <w:rtl/>
        </w:rPr>
      </w:pPr>
      <w:r w:rsidRPr="00FD211F">
        <w:rPr>
          <w:sz w:val="36"/>
          <w:szCs w:val="36"/>
          <w:rtl/>
        </w:rPr>
        <w:t>وأخرى</w:t>
      </w:r>
      <w:r w:rsidR="00160A17" w:rsidRPr="00FD211F">
        <w:rPr>
          <w:sz w:val="36"/>
          <w:szCs w:val="36"/>
          <w:rtl/>
        </w:rPr>
        <w:t xml:space="preserve"> بما حكي عنه في المباحث</w:t>
      </w:r>
      <w:r w:rsidR="00E629BB" w:rsidRPr="00FD211F">
        <w:rPr>
          <w:sz w:val="36"/>
          <w:szCs w:val="36"/>
          <w:rtl/>
        </w:rPr>
        <w:t xml:space="preserve"> من </w:t>
      </w:r>
      <w:r w:rsidRPr="00FD211F">
        <w:rPr>
          <w:sz w:val="36"/>
          <w:szCs w:val="36"/>
          <w:rtl/>
        </w:rPr>
        <w:t>انه يمكن ان يتصور الواضع المفهوم الكلي ويضع اللفظ له ولكن بحيث يستقر الوضع على المفاهيم الجزئي</w:t>
      </w:r>
      <w:r w:rsidR="00EC7EDF" w:rsidRPr="00FD211F">
        <w:rPr>
          <w:sz w:val="36"/>
          <w:szCs w:val="36"/>
          <w:rtl/>
        </w:rPr>
        <w:t>ة</w:t>
      </w:r>
      <w:r w:rsidR="00603323" w:rsidRPr="00FD211F">
        <w:rPr>
          <w:sz w:val="36"/>
          <w:szCs w:val="36"/>
          <w:rtl/>
        </w:rPr>
        <w:t xml:space="preserve">، </w:t>
      </w:r>
      <w:r w:rsidRPr="00FD211F">
        <w:rPr>
          <w:sz w:val="36"/>
          <w:szCs w:val="36"/>
          <w:rtl/>
        </w:rPr>
        <w:t>فيصير</w:t>
      </w:r>
      <w:r w:rsidR="00A235A4" w:rsidRPr="00FD211F">
        <w:rPr>
          <w:sz w:val="36"/>
          <w:szCs w:val="36"/>
          <w:rtl/>
        </w:rPr>
        <w:t xml:space="preserve"> الوضع عاما والموضوع له خاصا</w:t>
      </w:r>
      <w:r w:rsidR="00603323" w:rsidRPr="00FD211F">
        <w:rPr>
          <w:sz w:val="36"/>
          <w:szCs w:val="36"/>
          <w:rtl/>
        </w:rPr>
        <w:t xml:space="preserve">، </w:t>
      </w:r>
      <w:r w:rsidR="00D231D9" w:rsidRPr="00FD211F">
        <w:rPr>
          <w:sz w:val="36"/>
          <w:szCs w:val="36"/>
          <w:rtl/>
        </w:rPr>
        <w:t xml:space="preserve">فان </w:t>
      </w:r>
      <w:r w:rsidR="00212B5F" w:rsidRPr="00FD211F">
        <w:rPr>
          <w:sz w:val="36"/>
          <w:szCs w:val="36"/>
          <w:rtl/>
        </w:rPr>
        <w:t xml:space="preserve">المفهوم الكلي </w:t>
      </w:r>
      <w:r w:rsidR="00A76A5C" w:rsidRPr="00FD211F">
        <w:rPr>
          <w:sz w:val="36"/>
          <w:szCs w:val="36"/>
          <w:rtl/>
        </w:rPr>
        <w:t>على قسمين</w:t>
      </w:r>
      <w:r w:rsidR="00EC7EDF" w:rsidRPr="00FD211F">
        <w:rPr>
          <w:sz w:val="36"/>
          <w:szCs w:val="36"/>
          <w:rtl/>
        </w:rPr>
        <w:t>:</w:t>
      </w:r>
      <w:r w:rsidR="00A76A5C" w:rsidRPr="00FD211F">
        <w:rPr>
          <w:sz w:val="36"/>
          <w:szCs w:val="36"/>
          <w:rtl/>
        </w:rPr>
        <w:t xml:space="preserve">احدهما ما لايكون بالنظر التصوري خاصا </w:t>
      </w:r>
      <w:r w:rsidR="00212B5F" w:rsidRPr="00FD211F">
        <w:rPr>
          <w:sz w:val="36"/>
          <w:szCs w:val="36"/>
          <w:rtl/>
        </w:rPr>
        <w:t>وجزئيا</w:t>
      </w:r>
      <w:r w:rsidR="00A76A5C" w:rsidRPr="00FD211F">
        <w:rPr>
          <w:sz w:val="36"/>
          <w:szCs w:val="36"/>
          <w:rtl/>
        </w:rPr>
        <w:t xml:space="preserve"> كعنوان الانسان</w:t>
      </w:r>
      <w:r w:rsidR="00603323" w:rsidRPr="00FD211F">
        <w:rPr>
          <w:sz w:val="36"/>
          <w:szCs w:val="36"/>
          <w:rtl/>
        </w:rPr>
        <w:t xml:space="preserve">، </w:t>
      </w:r>
      <w:r w:rsidR="00212B5F" w:rsidRPr="00FD211F">
        <w:rPr>
          <w:sz w:val="36"/>
          <w:szCs w:val="36"/>
          <w:rtl/>
        </w:rPr>
        <w:t>وهذا مما لايعقل فيه الوضع العام والموضوع له الخاص</w:t>
      </w:r>
      <w:r w:rsidR="00603323" w:rsidRPr="00FD211F">
        <w:rPr>
          <w:sz w:val="36"/>
          <w:szCs w:val="36"/>
          <w:rtl/>
        </w:rPr>
        <w:t xml:space="preserve">، </w:t>
      </w:r>
      <w:r w:rsidR="00AF5A5C" w:rsidRPr="00FD211F">
        <w:rPr>
          <w:sz w:val="36"/>
          <w:szCs w:val="36"/>
          <w:rtl/>
        </w:rPr>
        <w:t>وثانيهما ما يكون بالنظر التصوري خاصا وجزئيا وان كان بالنظر التصديقي كليا</w:t>
      </w:r>
      <w:r w:rsidR="00603323" w:rsidRPr="00FD211F">
        <w:rPr>
          <w:sz w:val="36"/>
          <w:szCs w:val="36"/>
          <w:rtl/>
        </w:rPr>
        <w:t xml:space="preserve">، </w:t>
      </w:r>
      <w:r w:rsidR="00AF5A5C" w:rsidRPr="00FD211F">
        <w:rPr>
          <w:sz w:val="36"/>
          <w:szCs w:val="36"/>
          <w:rtl/>
        </w:rPr>
        <w:t>كما في عنوان فرد الانسان او مصداق الانسان او جزئي الانسان</w:t>
      </w:r>
      <w:r w:rsidR="00603323" w:rsidRPr="00FD211F">
        <w:rPr>
          <w:sz w:val="36"/>
          <w:szCs w:val="36"/>
          <w:rtl/>
        </w:rPr>
        <w:t xml:space="preserve">، </w:t>
      </w:r>
      <w:r w:rsidR="00AF5A5C" w:rsidRPr="00FD211F">
        <w:rPr>
          <w:sz w:val="36"/>
          <w:szCs w:val="36"/>
          <w:rtl/>
        </w:rPr>
        <w:t>وهذا مما يعقل فيه الوضع العام والموضوع له الخاص</w:t>
      </w:r>
      <w:r w:rsidR="00603323" w:rsidRPr="00FD211F">
        <w:rPr>
          <w:sz w:val="36"/>
          <w:szCs w:val="36"/>
          <w:rtl/>
        </w:rPr>
        <w:t xml:space="preserve">، </w:t>
      </w:r>
      <w:r w:rsidR="00AF5A5C" w:rsidRPr="00FD211F">
        <w:rPr>
          <w:sz w:val="36"/>
          <w:szCs w:val="36"/>
          <w:rtl/>
        </w:rPr>
        <w:t>ونكت</w:t>
      </w:r>
      <w:r w:rsidR="00EC7EDF" w:rsidRPr="00FD211F">
        <w:rPr>
          <w:sz w:val="36"/>
          <w:szCs w:val="36"/>
          <w:rtl/>
        </w:rPr>
        <w:t xml:space="preserve">ة </w:t>
      </w:r>
      <w:r w:rsidR="00AF5A5C" w:rsidRPr="00FD211F">
        <w:rPr>
          <w:sz w:val="36"/>
          <w:szCs w:val="36"/>
          <w:rtl/>
        </w:rPr>
        <w:t xml:space="preserve">الفرق بينهما انه حيث يراد اصدار الحكم على موضوع فلابد </w:t>
      </w:r>
      <w:r w:rsidR="000462D7" w:rsidRPr="00FD211F">
        <w:rPr>
          <w:sz w:val="36"/>
          <w:szCs w:val="36"/>
          <w:rtl/>
        </w:rPr>
        <w:t>ان يكون العنوان المتصور موضوعا</w:t>
      </w:r>
      <w:r w:rsidR="00AF5A5C" w:rsidRPr="00FD211F">
        <w:rPr>
          <w:sz w:val="36"/>
          <w:szCs w:val="36"/>
          <w:rtl/>
        </w:rPr>
        <w:t xml:space="preserve"> للحكم</w:t>
      </w:r>
      <w:r w:rsidR="000462D7" w:rsidRPr="00FD211F">
        <w:rPr>
          <w:sz w:val="36"/>
          <w:szCs w:val="36"/>
          <w:rtl/>
        </w:rPr>
        <w:t xml:space="preserve"> </w:t>
      </w:r>
      <w:r w:rsidR="00AF5A5C" w:rsidRPr="00FD211F">
        <w:rPr>
          <w:sz w:val="36"/>
          <w:szCs w:val="36"/>
          <w:rtl/>
        </w:rPr>
        <w:t>إ</w:t>
      </w:r>
      <w:r w:rsidR="000462D7" w:rsidRPr="00FD211F">
        <w:rPr>
          <w:sz w:val="36"/>
          <w:szCs w:val="36"/>
          <w:rtl/>
        </w:rPr>
        <w:t>ما بالنظر التصديقي</w:t>
      </w:r>
      <w:r w:rsidR="004471A2" w:rsidRPr="00FD211F">
        <w:rPr>
          <w:sz w:val="36"/>
          <w:szCs w:val="36"/>
          <w:rtl/>
        </w:rPr>
        <w:t xml:space="preserve"> (اي بالحمل الشائع)</w:t>
      </w:r>
      <w:r w:rsidR="000462D7" w:rsidRPr="00FD211F">
        <w:rPr>
          <w:sz w:val="36"/>
          <w:szCs w:val="36"/>
          <w:rtl/>
        </w:rPr>
        <w:t xml:space="preserve"> او بالنظر التصوري</w:t>
      </w:r>
      <w:r w:rsidR="004471A2" w:rsidRPr="00FD211F">
        <w:rPr>
          <w:sz w:val="36"/>
          <w:szCs w:val="36"/>
          <w:rtl/>
        </w:rPr>
        <w:t xml:space="preserve"> (اي بالحمل الاولي)</w:t>
      </w:r>
      <w:r w:rsidR="0024281C" w:rsidRPr="00FD211F">
        <w:rPr>
          <w:sz w:val="36"/>
          <w:szCs w:val="36"/>
          <w:rtl/>
        </w:rPr>
        <w:t>.</w:t>
      </w:r>
    </w:p>
    <w:p w14:paraId="668807B6" w14:textId="77777777" w:rsidR="00A76A5C" w:rsidRPr="00FD211F" w:rsidRDefault="000462D7" w:rsidP="009C58C8">
      <w:pPr>
        <w:ind w:left="0" w:firstLine="227"/>
        <w:jc w:val="both"/>
        <w:rPr>
          <w:sz w:val="36"/>
          <w:szCs w:val="36"/>
          <w:rtl/>
        </w:rPr>
      </w:pPr>
      <w:r w:rsidRPr="00FD211F">
        <w:rPr>
          <w:sz w:val="36"/>
          <w:szCs w:val="36"/>
          <w:rtl/>
        </w:rPr>
        <w:t>فحينما نقول الجزئي يمتنع صدقه على كثيرين فعنوان الجزئي وان كان بالنظر التصديقي كليا اذ لايمتنع صدقه على كثيرين لكنه بالنظر التصوري جزئي</w:t>
      </w:r>
      <w:r w:rsidR="00603323" w:rsidRPr="00FD211F">
        <w:rPr>
          <w:sz w:val="36"/>
          <w:szCs w:val="36"/>
          <w:rtl/>
        </w:rPr>
        <w:t xml:space="preserve">، </w:t>
      </w:r>
      <w:r w:rsidRPr="00FD211F">
        <w:rPr>
          <w:sz w:val="36"/>
          <w:szCs w:val="36"/>
          <w:rtl/>
        </w:rPr>
        <w:t>وهذا يكفي في اصدار الحكم</w:t>
      </w:r>
      <w:r w:rsidR="004471A2" w:rsidRPr="00FD211F">
        <w:rPr>
          <w:sz w:val="36"/>
          <w:szCs w:val="36"/>
          <w:rtl/>
        </w:rPr>
        <w:t xml:space="preserve"> وان كان استقرار الحكم على الجزئي بالحمل الشائع</w:t>
      </w:r>
      <w:r w:rsidR="00603323" w:rsidRPr="00FD211F">
        <w:rPr>
          <w:sz w:val="36"/>
          <w:szCs w:val="36"/>
          <w:rtl/>
        </w:rPr>
        <w:t xml:space="preserve">، </w:t>
      </w:r>
      <w:r w:rsidR="004471A2" w:rsidRPr="00FD211F">
        <w:rPr>
          <w:sz w:val="36"/>
          <w:szCs w:val="36"/>
          <w:rtl/>
        </w:rPr>
        <w:t>وفي المقام ايضا اذ اريد وضع لفظ بإزاء الجزئي بالحمل الشائع فلايكفي تصور مفهوم الانسان مثلا لانه لايكون بالنظر التصوري جزئيا</w:t>
      </w:r>
      <w:r w:rsidR="00603323" w:rsidRPr="00FD211F">
        <w:rPr>
          <w:sz w:val="36"/>
          <w:szCs w:val="36"/>
          <w:rtl/>
        </w:rPr>
        <w:t xml:space="preserve">، </w:t>
      </w:r>
      <w:r w:rsidR="00263D56" w:rsidRPr="00FD211F">
        <w:rPr>
          <w:sz w:val="36"/>
          <w:szCs w:val="36"/>
          <w:rtl/>
        </w:rPr>
        <w:t>كما انه ليس بالنظر التصديقي كذلك</w:t>
      </w:r>
      <w:r w:rsidR="00603323" w:rsidRPr="00FD211F">
        <w:rPr>
          <w:sz w:val="36"/>
          <w:szCs w:val="36"/>
          <w:rtl/>
        </w:rPr>
        <w:t xml:space="preserve">، </w:t>
      </w:r>
      <w:r w:rsidR="004471A2" w:rsidRPr="00FD211F">
        <w:rPr>
          <w:sz w:val="36"/>
          <w:szCs w:val="36"/>
          <w:rtl/>
        </w:rPr>
        <w:t>بخلاف عنوان جزئي الانسان مثلا</w:t>
      </w:r>
      <w:r w:rsidR="00603323" w:rsidRPr="00FD211F">
        <w:rPr>
          <w:sz w:val="36"/>
          <w:szCs w:val="36"/>
          <w:rtl/>
        </w:rPr>
        <w:t xml:space="preserve">، </w:t>
      </w:r>
      <w:r w:rsidR="004471A2" w:rsidRPr="00FD211F">
        <w:rPr>
          <w:sz w:val="36"/>
          <w:szCs w:val="36"/>
          <w:rtl/>
        </w:rPr>
        <w:t>فانه حيث يكون بالنظر التصوري جزئيا فيكفي هذا المقدار في مقام</w:t>
      </w:r>
      <w:r w:rsidR="00D231D9" w:rsidRPr="00FD211F">
        <w:rPr>
          <w:sz w:val="36"/>
          <w:szCs w:val="36"/>
          <w:rtl/>
        </w:rPr>
        <w:t xml:space="preserve"> انشاء الوضع</w:t>
      </w:r>
      <w:r w:rsidR="00603323" w:rsidRPr="00FD211F">
        <w:rPr>
          <w:sz w:val="36"/>
          <w:szCs w:val="36"/>
          <w:rtl/>
        </w:rPr>
        <w:t xml:space="preserve">، </w:t>
      </w:r>
      <w:r w:rsidR="00D231D9" w:rsidRPr="00FD211F">
        <w:rPr>
          <w:sz w:val="36"/>
          <w:szCs w:val="36"/>
          <w:rtl/>
        </w:rPr>
        <w:t>فان الوضع وان أن</w:t>
      </w:r>
      <w:r w:rsidR="00251CB6" w:rsidRPr="00FD211F">
        <w:rPr>
          <w:sz w:val="36"/>
          <w:szCs w:val="36"/>
          <w:rtl/>
        </w:rPr>
        <w:t xml:space="preserve">شيء </w:t>
      </w:r>
      <w:r w:rsidR="00D231D9" w:rsidRPr="00FD211F">
        <w:rPr>
          <w:sz w:val="36"/>
          <w:szCs w:val="36"/>
          <w:rtl/>
        </w:rPr>
        <w:t xml:space="preserve">على </w:t>
      </w:r>
      <w:r w:rsidR="000A6663" w:rsidRPr="00FD211F">
        <w:rPr>
          <w:sz w:val="36"/>
          <w:szCs w:val="36"/>
          <w:rtl/>
        </w:rPr>
        <w:t>عنوان الجزئي ولكن استقراره وثبوته على مصاديق هذا العنوان</w:t>
      </w:r>
      <w:r w:rsidR="00603323" w:rsidRPr="00FD211F">
        <w:rPr>
          <w:sz w:val="36"/>
          <w:szCs w:val="36"/>
          <w:rtl/>
        </w:rPr>
        <w:t xml:space="preserve">، </w:t>
      </w:r>
      <w:r w:rsidR="00ED03E2" w:rsidRPr="00FD211F">
        <w:rPr>
          <w:sz w:val="36"/>
          <w:szCs w:val="36"/>
          <w:rtl/>
        </w:rPr>
        <w:t>كما كان الأمر في الحكم بان الجزئي يمتنع صدقه على كثيرين من هذا القبيل.</w:t>
      </w:r>
    </w:p>
    <w:p w14:paraId="0B9CCE1A" w14:textId="77777777" w:rsidR="000A6663" w:rsidRPr="00FD211F" w:rsidRDefault="00A76A5C" w:rsidP="009C58C8">
      <w:pPr>
        <w:ind w:left="0" w:firstLine="227"/>
        <w:jc w:val="both"/>
        <w:rPr>
          <w:sz w:val="36"/>
          <w:szCs w:val="36"/>
          <w:rtl/>
        </w:rPr>
      </w:pPr>
      <w:r w:rsidRPr="00FD211F">
        <w:rPr>
          <w:sz w:val="36"/>
          <w:szCs w:val="36"/>
          <w:rtl/>
        </w:rPr>
        <w:t>وبهذا</w:t>
      </w:r>
      <w:r w:rsidR="00E95E8D" w:rsidRPr="00FD211F">
        <w:rPr>
          <w:sz w:val="36"/>
          <w:szCs w:val="36"/>
          <w:rtl/>
        </w:rPr>
        <w:t xml:space="preserve"> الجواب يندفع الوجه الاول لاثبات استحال</w:t>
      </w:r>
      <w:r w:rsidR="00EC7EDF" w:rsidRPr="00FD211F">
        <w:rPr>
          <w:sz w:val="36"/>
          <w:szCs w:val="36"/>
          <w:rtl/>
        </w:rPr>
        <w:t xml:space="preserve">ة </w:t>
      </w:r>
      <w:r w:rsidR="00E95E8D" w:rsidRPr="00FD211F">
        <w:rPr>
          <w:sz w:val="36"/>
          <w:szCs w:val="36"/>
          <w:rtl/>
        </w:rPr>
        <w:t>القسم الثالث</w:t>
      </w:r>
      <w:r w:rsidR="00B253CE" w:rsidRPr="00FD211F">
        <w:rPr>
          <w:sz w:val="36"/>
          <w:szCs w:val="36"/>
          <w:rtl/>
        </w:rPr>
        <w:t xml:space="preserve"> </w:t>
      </w:r>
      <w:r w:rsidRPr="00FD211F">
        <w:rPr>
          <w:sz w:val="36"/>
          <w:szCs w:val="36"/>
          <w:rtl/>
        </w:rPr>
        <w:t>ايضا بلاحاج</w:t>
      </w:r>
      <w:r w:rsidR="00EC7EDF" w:rsidRPr="00FD211F">
        <w:rPr>
          <w:sz w:val="36"/>
          <w:szCs w:val="36"/>
          <w:rtl/>
        </w:rPr>
        <w:t xml:space="preserve">ة </w:t>
      </w:r>
      <w:r w:rsidRPr="00FD211F">
        <w:rPr>
          <w:sz w:val="36"/>
          <w:szCs w:val="36"/>
          <w:rtl/>
        </w:rPr>
        <w:t xml:space="preserve">الى </w:t>
      </w:r>
      <w:r w:rsidR="00ED03E2" w:rsidRPr="00FD211F">
        <w:rPr>
          <w:sz w:val="36"/>
          <w:szCs w:val="36"/>
          <w:rtl/>
        </w:rPr>
        <w:t>تفسير</w:t>
      </w:r>
      <w:r w:rsidRPr="00FD211F">
        <w:rPr>
          <w:sz w:val="36"/>
          <w:szCs w:val="36"/>
          <w:rtl/>
        </w:rPr>
        <w:t xml:space="preserve"> الفر</w:t>
      </w:r>
      <w:r w:rsidR="00ED03E2" w:rsidRPr="00FD211F">
        <w:rPr>
          <w:sz w:val="36"/>
          <w:szCs w:val="36"/>
          <w:rtl/>
        </w:rPr>
        <w:t>د</w:t>
      </w:r>
      <w:r w:rsidRPr="00FD211F">
        <w:rPr>
          <w:sz w:val="36"/>
          <w:szCs w:val="36"/>
          <w:rtl/>
        </w:rPr>
        <w:t xml:space="preserve"> بالحص</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42"/>
      </w:r>
      <w:r w:rsidR="009C58C8" w:rsidRPr="00FD211F">
        <w:rPr>
          <w:rStyle w:val="a6"/>
          <w:sz w:val="36"/>
          <w:szCs w:val="36"/>
          <w:rtl/>
        </w:rPr>
        <w:t>)</w:t>
      </w:r>
      <w:r w:rsidR="000A6663" w:rsidRPr="00FD211F">
        <w:rPr>
          <w:sz w:val="36"/>
          <w:szCs w:val="36"/>
          <w:rtl/>
        </w:rPr>
        <w:t>.</w:t>
      </w:r>
    </w:p>
    <w:p w14:paraId="199B6E06" w14:textId="77777777" w:rsidR="00D231D9" w:rsidRPr="00FD211F" w:rsidRDefault="00D231D9" w:rsidP="009C58C8">
      <w:pPr>
        <w:ind w:left="0" w:firstLine="227"/>
        <w:jc w:val="both"/>
        <w:rPr>
          <w:sz w:val="36"/>
          <w:szCs w:val="36"/>
          <w:rtl/>
        </w:rPr>
      </w:pPr>
      <w:r w:rsidRPr="00FD211F">
        <w:rPr>
          <w:sz w:val="36"/>
          <w:szCs w:val="36"/>
          <w:rtl/>
        </w:rPr>
        <w:t xml:space="preserve">ولكن </w:t>
      </w:r>
      <w:r w:rsidR="00E95E8D" w:rsidRPr="00FD211F">
        <w:rPr>
          <w:sz w:val="36"/>
          <w:szCs w:val="36"/>
          <w:rtl/>
        </w:rPr>
        <w:t>اورد عليه</w:t>
      </w:r>
      <w:r w:rsidR="00160A17" w:rsidRPr="00FD211F">
        <w:rPr>
          <w:sz w:val="36"/>
          <w:szCs w:val="36"/>
          <w:rtl/>
        </w:rPr>
        <w:t xml:space="preserve"> في تعليق</w:t>
      </w:r>
      <w:r w:rsidR="00EC7EDF" w:rsidRPr="00FD211F">
        <w:rPr>
          <w:sz w:val="36"/>
          <w:szCs w:val="36"/>
          <w:rtl/>
        </w:rPr>
        <w:t xml:space="preserve">ة </w:t>
      </w:r>
      <w:r w:rsidR="00160A17" w:rsidRPr="00FD211F">
        <w:rPr>
          <w:sz w:val="36"/>
          <w:szCs w:val="36"/>
          <w:rtl/>
        </w:rPr>
        <w:t>المباحث</w:t>
      </w:r>
      <w:r w:rsidRPr="00FD211F">
        <w:rPr>
          <w:sz w:val="36"/>
          <w:szCs w:val="36"/>
          <w:rtl/>
        </w:rPr>
        <w:t xml:space="preserve"> بان هذا البيان لايتم </w:t>
      </w:r>
      <w:r w:rsidR="00160A17" w:rsidRPr="00FD211F">
        <w:rPr>
          <w:sz w:val="36"/>
          <w:szCs w:val="36"/>
          <w:rtl/>
        </w:rPr>
        <w:t xml:space="preserve">الا بعد فرض استبطانه لروح الجواب المذكور في البحوث لان </w:t>
      </w:r>
      <w:r w:rsidR="00866442" w:rsidRPr="00FD211F">
        <w:rPr>
          <w:sz w:val="36"/>
          <w:szCs w:val="36"/>
          <w:rtl/>
        </w:rPr>
        <w:t>انتقال الوضع من المعنى العام الى المفاهيم الجزئي</w:t>
      </w:r>
      <w:r w:rsidR="00EC7EDF" w:rsidRPr="00FD211F">
        <w:rPr>
          <w:sz w:val="36"/>
          <w:szCs w:val="36"/>
          <w:rtl/>
        </w:rPr>
        <w:t xml:space="preserve">ة </w:t>
      </w:r>
      <w:r w:rsidR="00866442" w:rsidRPr="00FD211F">
        <w:rPr>
          <w:sz w:val="36"/>
          <w:szCs w:val="36"/>
          <w:rtl/>
        </w:rPr>
        <w:t>لايكون الا بنكت</w:t>
      </w:r>
      <w:r w:rsidR="00EC7EDF" w:rsidRPr="00FD211F">
        <w:rPr>
          <w:sz w:val="36"/>
          <w:szCs w:val="36"/>
          <w:rtl/>
        </w:rPr>
        <w:t xml:space="preserve">ة </w:t>
      </w:r>
      <w:r w:rsidR="00866442" w:rsidRPr="00FD211F">
        <w:rPr>
          <w:sz w:val="36"/>
          <w:szCs w:val="36"/>
          <w:rtl/>
        </w:rPr>
        <w:t>فناء ذلك المعنى العام في تلك المفاهيم الجزئي</w:t>
      </w:r>
      <w:r w:rsidR="00EC7EDF" w:rsidRPr="00FD211F">
        <w:rPr>
          <w:sz w:val="36"/>
          <w:szCs w:val="36"/>
          <w:rtl/>
        </w:rPr>
        <w:t>ة</w:t>
      </w:r>
      <w:r w:rsidR="00603323" w:rsidRPr="00FD211F">
        <w:rPr>
          <w:sz w:val="36"/>
          <w:szCs w:val="36"/>
          <w:rtl/>
        </w:rPr>
        <w:t xml:space="preserve">، </w:t>
      </w:r>
      <w:r w:rsidR="00866442" w:rsidRPr="00FD211F">
        <w:rPr>
          <w:sz w:val="36"/>
          <w:szCs w:val="36"/>
          <w:rtl/>
        </w:rPr>
        <w:t>وذلك لايكون الا بفرض انتزاعه منها لامن الخارج ابتداءا</w:t>
      </w:r>
      <w:r w:rsidR="00603323" w:rsidRPr="00FD211F">
        <w:rPr>
          <w:sz w:val="36"/>
          <w:szCs w:val="36"/>
          <w:rtl/>
        </w:rPr>
        <w:t xml:space="preserve">، </w:t>
      </w:r>
      <w:r w:rsidR="00866442" w:rsidRPr="00FD211F">
        <w:rPr>
          <w:sz w:val="36"/>
          <w:szCs w:val="36"/>
          <w:rtl/>
        </w:rPr>
        <w:t>كما انه لايرفع الاشكال الاول لانه لو انتزع المعنى العام من تلك المعاني الجزئي</w:t>
      </w:r>
      <w:r w:rsidR="00EC7EDF" w:rsidRPr="00FD211F">
        <w:rPr>
          <w:sz w:val="36"/>
          <w:szCs w:val="36"/>
          <w:rtl/>
        </w:rPr>
        <w:t xml:space="preserve">ة </w:t>
      </w:r>
      <w:r w:rsidR="00866442" w:rsidRPr="00FD211F">
        <w:rPr>
          <w:sz w:val="36"/>
          <w:szCs w:val="36"/>
          <w:rtl/>
        </w:rPr>
        <w:t>فيأتي اشكال انه كيف يمكن ان يحكي الجامع المنتزع عن الخصوصيات عن هذه الخصوصيات مع ان الجامع لاينتزع الا بالتجريد عن الخصوصيات مع إبقاء ما به الاشتراك بينها</w:t>
      </w:r>
      <w:r w:rsidR="00603323" w:rsidRPr="00FD211F">
        <w:rPr>
          <w:sz w:val="36"/>
          <w:szCs w:val="36"/>
          <w:rtl/>
        </w:rPr>
        <w:t xml:space="preserve">، </w:t>
      </w:r>
      <w:r w:rsidR="00866442" w:rsidRPr="00FD211F">
        <w:rPr>
          <w:sz w:val="36"/>
          <w:szCs w:val="36"/>
          <w:rtl/>
        </w:rPr>
        <w:t>فنحتاج في الجواب عنه بما مر من تفسير الفرد بالحص</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43"/>
      </w:r>
      <w:r w:rsidR="009C58C8" w:rsidRPr="00FD211F">
        <w:rPr>
          <w:rStyle w:val="a6"/>
          <w:sz w:val="36"/>
          <w:szCs w:val="36"/>
          <w:rtl/>
        </w:rPr>
        <w:t>)</w:t>
      </w:r>
      <w:r w:rsidR="00866442" w:rsidRPr="00FD211F">
        <w:rPr>
          <w:sz w:val="36"/>
          <w:szCs w:val="36"/>
          <w:rtl/>
        </w:rPr>
        <w:t xml:space="preserve">. </w:t>
      </w:r>
    </w:p>
    <w:p w14:paraId="7AD8A6F4" w14:textId="77777777" w:rsidR="007E28C3" w:rsidRPr="00FD211F" w:rsidRDefault="00675F18" w:rsidP="009C58C8">
      <w:pPr>
        <w:ind w:left="0" w:firstLine="227"/>
        <w:jc w:val="both"/>
        <w:rPr>
          <w:sz w:val="36"/>
          <w:szCs w:val="36"/>
          <w:rtl/>
        </w:rPr>
      </w:pPr>
      <w:r w:rsidRPr="00FD211F">
        <w:rPr>
          <w:sz w:val="36"/>
          <w:szCs w:val="36"/>
          <w:rtl/>
        </w:rPr>
        <w:t xml:space="preserve">اقول: الانسب ان يقال في الجواب </w:t>
      </w:r>
      <w:r w:rsidR="00E95E8D" w:rsidRPr="00FD211F">
        <w:rPr>
          <w:sz w:val="36"/>
          <w:szCs w:val="36"/>
          <w:rtl/>
        </w:rPr>
        <w:t>عن الوجه الثاني لاثبات استحال</w:t>
      </w:r>
      <w:r w:rsidR="00EC7EDF" w:rsidRPr="00FD211F">
        <w:rPr>
          <w:sz w:val="36"/>
          <w:szCs w:val="36"/>
          <w:rtl/>
        </w:rPr>
        <w:t xml:space="preserve">ة </w:t>
      </w:r>
      <w:r w:rsidR="00E95E8D" w:rsidRPr="00FD211F">
        <w:rPr>
          <w:sz w:val="36"/>
          <w:szCs w:val="36"/>
          <w:rtl/>
        </w:rPr>
        <w:t xml:space="preserve">القسم الثالث </w:t>
      </w:r>
      <w:r w:rsidRPr="00FD211F">
        <w:rPr>
          <w:sz w:val="36"/>
          <w:szCs w:val="36"/>
          <w:rtl/>
        </w:rPr>
        <w:t>بان المفهوم الجزئي</w:t>
      </w:r>
      <w:r w:rsidR="00C818FB" w:rsidRPr="00FD211F">
        <w:rPr>
          <w:sz w:val="36"/>
          <w:szCs w:val="36"/>
          <w:rtl/>
        </w:rPr>
        <w:t xml:space="preserve"> ليس مباينا للمفهوم الكلي</w:t>
      </w:r>
      <w:r w:rsidR="00603323" w:rsidRPr="00FD211F">
        <w:rPr>
          <w:sz w:val="36"/>
          <w:szCs w:val="36"/>
          <w:rtl/>
        </w:rPr>
        <w:t xml:space="preserve">، </w:t>
      </w:r>
      <w:r w:rsidR="00C818FB" w:rsidRPr="00FD211F">
        <w:rPr>
          <w:sz w:val="36"/>
          <w:szCs w:val="36"/>
          <w:rtl/>
        </w:rPr>
        <w:t>فانه نفس المفهوم الكلي المشار به الى وجود معين</w:t>
      </w:r>
      <w:r w:rsidR="00603323" w:rsidRPr="00FD211F">
        <w:rPr>
          <w:sz w:val="36"/>
          <w:szCs w:val="36"/>
          <w:rtl/>
        </w:rPr>
        <w:t xml:space="preserve">، </w:t>
      </w:r>
      <w:r w:rsidR="009A4A5A" w:rsidRPr="00FD211F">
        <w:rPr>
          <w:sz w:val="36"/>
          <w:szCs w:val="36"/>
          <w:rtl/>
        </w:rPr>
        <w:t>وعليه</w:t>
      </w:r>
      <w:r w:rsidR="00C818FB" w:rsidRPr="00FD211F">
        <w:rPr>
          <w:sz w:val="36"/>
          <w:szCs w:val="36"/>
          <w:rtl/>
        </w:rPr>
        <w:t xml:space="preserve"> فيمكن تصور مفهوم كلي ويشار به الى وجوداته المعين</w:t>
      </w:r>
      <w:r w:rsidR="00EC7EDF" w:rsidRPr="00FD211F">
        <w:rPr>
          <w:sz w:val="36"/>
          <w:szCs w:val="36"/>
          <w:rtl/>
        </w:rPr>
        <w:t>ة</w:t>
      </w:r>
      <w:r w:rsidR="00603323" w:rsidRPr="00FD211F">
        <w:rPr>
          <w:sz w:val="36"/>
          <w:szCs w:val="36"/>
          <w:rtl/>
        </w:rPr>
        <w:t xml:space="preserve">، </w:t>
      </w:r>
      <w:r w:rsidR="00C818FB" w:rsidRPr="00FD211F">
        <w:rPr>
          <w:sz w:val="36"/>
          <w:szCs w:val="36"/>
          <w:rtl/>
        </w:rPr>
        <w:t>فيوضع لفظ بإزاءها</w:t>
      </w:r>
      <w:r w:rsidR="00603323" w:rsidRPr="00FD211F">
        <w:rPr>
          <w:sz w:val="36"/>
          <w:szCs w:val="36"/>
          <w:rtl/>
        </w:rPr>
        <w:t xml:space="preserve">، </w:t>
      </w:r>
      <w:r w:rsidR="00866442" w:rsidRPr="00FD211F">
        <w:rPr>
          <w:sz w:val="36"/>
          <w:szCs w:val="36"/>
          <w:rtl/>
        </w:rPr>
        <w:t>سواء كان الموضوع له</w:t>
      </w:r>
      <w:r w:rsidR="003E67F6" w:rsidRPr="00FD211F">
        <w:rPr>
          <w:sz w:val="36"/>
          <w:szCs w:val="36"/>
          <w:rtl/>
        </w:rPr>
        <w:t xml:space="preserve"> المفهوم الجزئي كما هو مختار جماع</w:t>
      </w:r>
      <w:r w:rsidR="00EC7EDF" w:rsidRPr="00FD211F">
        <w:rPr>
          <w:sz w:val="36"/>
          <w:szCs w:val="36"/>
          <w:rtl/>
        </w:rPr>
        <w:t xml:space="preserve">ة </w:t>
      </w:r>
      <w:r w:rsidR="009A4A5A" w:rsidRPr="00FD211F">
        <w:rPr>
          <w:sz w:val="36"/>
          <w:szCs w:val="36"/>
          <w:rtl/>
        </w:rPr>
        <w:t>في وضع اسماء الأعلام</w:t>
      </w:r>
      <w:r w:rsidR="00603323" w:rsidRPr="00FD211F">
        <w:rPr>
          <w:sz w:val="36"/>
          <w:szCs w:val="36"/>
          <w:rtl/>
        </w:rPr>
        <w:t xml:space="preserve">، </w:t>
      </w:r>
      <w:r w:rsidR="003E67F6" w:rsidRPr="00FD211F">
        <w:rPr>
          <w:sz w:val="36"/>
          <w:szCs w:val="36"/>
          <w:rtl/>
        </w:rPr>
        <w:t xml:space="preserve">او الوجود الخارجي </w:t>
      </w:r>
      <w:r w:rsidR="009A4A5A" w:rsidRPr="00FD211F">
        <w:rPr>
          <w:sz w:val="36"/>
          <w:szCs w:val="36"/>
          <w:rtl/>
        </w:rPr>
        <w:t>على ما</w:t>
      </w:r>
      <w:r w:rsidR="003E67F6" w:rsidRPr="00FD211F">
        <w:rPr>
          <w:sz w:val="36"/>
          <w:szCs w:val="36"/>
          <w:rtl/>
        </w:rPr>
        <w:t xml:space="preserve"> هو المختار</w:t>
      </w:r>
      <w:r w:rsidR="009A4A5A" w:rsidRPr="00FD211F">
        <w:rPr>
          <w:sz w:val="36"/>
          <w:szCs w:val="36"/>
          <w:rtl/>
        </w:rPr>
        <w:t xml:space="preserve"> في أسماء الأعلام</w:t>
      </w:r>
      <w:r w:rsidR="00603323" w:rsidRPr="00FD211F">
        <w:rPr>
          <w:sz w:val="36"/>
          <w:szCs w:val="36"/>
          <w:rtl/>
        </w:rPr>
        <w:t xml:space="preserve">، </w:t>
      </w:r>
      <w:r w:rsidR="003E67F6" w:rsidRPr="00FD211F">
        <w:rPr>
          <w:sz w:val="36"/>
          <w:szCs w:val="36"/>
          <w:rtl/>
        </w:rPr>
        <w:t>ك</w:t>
      </w:r>
      <w:r w:rsidR="00C818FB" w:rsidRPr="00FD211F">
        <w:rPr>
          <w:sz w:val="36"/>
          <w:szCs w:val="36"/>
          <w:rtl/>
        </w:rPr>
        <w:t>م</w:t>
      </w:r>
      <w:r w:rsidR="003E67F6" w:rsidRPr="00FD211F">
        <w:rPr>
          <w:sz w:val="36"/>
          <w:szCs w:val="36"/>
          <w:rtl/>
        </w:rPr>
        <w:t>ا في م</w:t>
      </w:r>
      <w:r w:rsidR="00C818FB" w:rsidRPr="00FD211F">
        <w:rPr>
          <w:sz w:val="36"/>
          <w:szCs w:val="36"/>
          <w:rtl/>
        </w:rPr>
        <w:t xml:space="preserve">ثال تصور عنوان المولود في هذا اليوم </w:t>
      </w:r>
      <w:r w:rsidR="00866442" w:rsidRPr="00FD211F">
        <w:rPr>
          <w:sz w:val="36"/>
          <w:szCs w:val="36"/>
          <w:rtl/>
        </w:rPr>
        <w:t xml:space="preserve">لغرض </w:t>
      </w:r>
      <w:r w:rsidR="00C818FB" w:rsidRPr="00FD211F">
        <w:rPr>
          <w:sz w:val="36"/>
          <w:szCs w:val="36"/>
          <w:rtl/>
        </w:rPr>
        <w:t>وضع اسم "علي</w:t>
      </w:r>
      <w:r w:rsidR="00866442" w:rsidRPr="00FD211F">
        <w:rPr>
          <w:sz w:val="36"/>
          <w:szCs w:val="36"/>
          <w:rtl/>
        </w:rPr>
        <w:t>ّ</w:t>
      </w:r>
      <w:r w:rsidR="00C818FB" w:rsidRPr="00FD211F">
        <w:rPr>
          <w:sz w:val="36"/>
          <w:szCs w:val="36"/>
          <w:rtl/>
        </w:rPr>
        <w:t>" على</w:t>
      </w:r>
      <w:r w:rsidR="00866442" w:rsidRPr="00FD211F">
        <w:rPr>
          <w:sz w:val="36"/>
          <w:szCs w:val="36"/>
          <w:rtl/>
        </w:rPr>
        <w:t xml:space="preserve"> واقع المولود في هذا اليوم</w:t>
      </w:r>
      <w:r w:rsidR="00603323" w:rsidRPr="00FD211F">
        <w:rPr>
          <w:sz w:val="36"/>
          <w:szCs w:val="36"/>
          <w:rtl/>
        </w:rPr>
        <w:t xml:space="preserve">، </w:t>
      </w:r>
      <w:r w:rsidR="00C818FB" w:rsidRPr="00FD211F">
        <w:rPr>
          <w:sz w:val="36"/>
          <w:szCs w:val="36"/>
          <w:rtl/>
        </w:rPr>
        <w:t>وكذا تصور عنوان المنقوش في الدفتر لوضع لفظ بإزاء افراده</w:t>
      </w:r>
      <w:r w:rsidR="00603323" w:rsidRPr="00FD211F">
        <w:rPr>
          <w:sz w:val="36"/>
          <w:szCs w:val="36"/>
          <w:rtl/>
        </w:rPr>
        <w:t xml:space="preserve">، </w:t>
      </w:r>
      <w:r w:rsidR="00C818FB" w:rsidRPr="00FD211F">
        <w:rPr>
          <w:sz w:val="36"/>
          <w:szCs w:val="36"/>
          <w:rtl/>
        </w:rPr>
        <w:t>فانه حينما يتصور مفهوم كمفهوم المنقوش في الدفتر فكما يمكن</w:t>
      </w:r>
      <w:r w:rsidR="007E28C3" w:rsidRPr="00FD211F">
        <w:rPr>
          <w:sz w:val="36"/>
          <w:szCs w:val="36"/>
          <w:rtl/>
        </w:rPr>
        <w:t xml:space="preserve"> وضع لفظ</w:t>
      </w:r>
      <w:r w:rsidR="00E95E8D" w:rsidRPr="00FD211F">
        <w:rPr>
          <w:sz w:val="36"/>
          <w:szCs w:val="36"/>
          <w:rtl/>
        </w:rPr>
        <w:t>ٍ</w:t>
      </w:r>
      <w:r w:rsidR="007E28C3" w:rsidRPr="00FD211F">
        <w:rPr>
          <w:sz w:val="36"/>
          <w:szCs w:val="36"/>
          <w:rtl/>
        </w:rPr>
        <w:t xml:space="preserve"> بازاء</w:t>
      </w:r>
      <w:r w:rsidR="00C818FB" w:rsidRPr="00FD211F">
        <w:rPr>
          <w:sz w:val="36"/>
          <w:szCs w:val="36"/>
          <w:rtl/>
        </w:rPr>
        <w:t xml:space="preserve"> هذا المفهوم الكلي </w:t>
      </w:r>
      <w:r w:rsidR="007E28C3" w:rsidRPr="00FD211F">
        <w:rPr>
          <w:sz w:val="36"/>
          <w:szCs w:val="36"/>
          <w:rtl/>
        </w:rPr>
        <w:t>فيكون من الوضع العام والموضوع له العام</w:t>
      </w:r>
      <w:r w:rsidR="00603323" w:rsidRPr="00FD211F">
        <w:rPr>
          <w:sz w:val="36"/>
          <w:szCs w:val="36"/>
          <w:rtl/>
        </w:rPr>
        <w:t xml:space="preserve">، </w:t>
      </w:r>
      <w:r w:rsidR="007E28C3" w:rsidRPr="00FD211F">
        <w:rPr>
          <w:sz w:val="36"/>
          <w:szCs w:val="36"/>
          <w:rtl/>
        </w:rPr>
        <w:t>فكذلك يمكن وضع لفظ بازاء كل فرد من افراده بخصوصه</w:t>
      </w:r>
      <w:r w:rsidR="00603323" w:rsidRPr="00FD211F">
        <w:rPr>
          <w:sz w:val="36"/>
          <w:szCs w:val="36"/>
          <w:rtl/>
        </w:rPr>
        <w:t xml:space="preserve">، </w:t>
      </w:r>
      <w:r w:rsidR="007E28C3" w:rsidRPr="00FD211F">
        <w:rPr>
          <w:sz w:val="36"/>
          <w:szCs w:val="36"/>
          <w:rtl/>
        </w:rPr>
        <w:t>كما لو قال الواضع وضعت لفظ العين على المنقوش في الدفتر</w:t>
      </w:r>
      <w:r w:rsidR="00603323" w:rsidRPr="00FD211F">
        <w:rPr>
          <w:sz w:val="36"/>
          <w:szCs w:val="36"/>
          <w:rtl/>
        </w:rPr>
        <w:t xml:space="preserve">، </w:t>
      </w:r>
      <w:r w:rsidR="007E28C3" w:rsidRPr="00FD211F">
        <w:rPr>
          <w:sz w:val="36"/>
          <w:szCs w:val="36"/>
          <w:rtl/>
        </w:rPr>
        <w:t>فيكون من الوضع العام والموضوع له الخاص</w:t>
      </w:r>
      <w:r w:rsidR="00603323" w:rsidRPr="00FD211F">
        <w:rPr>
          <w:sz w:val="36"/>
          <w:szCs w:val="36"/>
          <w:rtl/>
        </w:rPr>
        <w:t xml:space="preserve">، </w:t>
      </w:r>
      <w:r w:rsidR="007E28C3" w:rsidRPr="00FD211F">
        <w:rPr>
          <w:sz w:val="36"/>
          <w:szCs w:val="36"/>
          <w:rtl/>
        </w:rPr>
        <w:t>من دون حاج</w:t>
      </w:r>
      <w:r w:rsidR="00EC7EDF" w:rsidRPr="00FD211F">
        <w:rPr>
          <w:sz w:val="36"/>
          <w:szCs w:val="36"/>
          <w:rtl/>
        </w:rPr>
        <w:t xml:space="preserve">ة </w:t>
      </w:r>
      <w:r w:rsidR="007E28C3" w:rsidRPr="00FD211F">
        <w:rPr>
          <w:sz w:val="36"/>
          <w:szCs w:val="36"/>
          <w:rtl/>
        </w:rPr>
        <w:t>الى لحاظ جامع انتزاعي كعنوان مصداق المنقوش في الدفتر ونحو ذلك</w:t>
      </w:r>
      <w:r w:rsidR="00443DFA" w:rsidRPr="00FD211F">
        <w:rPr>
          <w:sz w:val="36"/>
          <w:szCs w:val="36"/>
          <w:rtl/>
        </w:rPr>
        <w:t>.</w:t>
      </w:r>
    </w:p>
    <w:p w14:paraId="6489E97B" w14:textId="77777777" w:rsidR="00AE47A4" w:rsidRPr="00FD211F" w:rsidRDefault="009E7F91"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وقد ذكر في البحوث</w:t>
      </w:r>
      <w:r w:rsidR="00AE47A4" w:rsidRPr="00FD211F">
        <w:rPr>
          <w:sz w:val="36"/>
          <w:szCs w:val="36"/>
          <w:rtl/>
        </w:rPr>
        <w:t xml:space="preserve"> ان امكان الوضع العام والموضوع له الخاص بالطريق</w:t>
      </w:r>
      <w:r w:rsidR="00EC7EDF" w:rsidRPr="00FD211F">
        <w:rPr>
          <w:sz w:val="36"/>
          <w:szCs w:val="36"/>
          <w:rtl/>
        </w:rPr>
        <w:t xml:space="preserve">ة </w:t>
      </w:r>
      <w:r w:rsidR="00AE47A4" w:rsidRPr="00FD211F">
        <w:rPr>
          <w:sz w:val="36"/>
          <w:szCs w:val="36"/>
          <w:rtl/>
        </w:rPr>
        <w:t>المذكور</w:t>
      </w:r>
      <w:r w:rsidR="00EC7EDF" w:rsidRPr="00FD211F">
        <w:rPr>
          <w:sz w:val="36"/>
          <w:szCs w:val="36"/>
          <w:rtl/>
        </w:rPr>
        <w:t xml:space="preserve">ة </w:t>
      </w:r>
      <w:r w:rsidR="00AE47A4" w:rsidRPr="00FD211F">
        <w:rPr>
          <w:sz w:val="36"/>
          <w:szCs w:val="36"/>
          <w:rtl/>
        </w:rPr>
        <w:t>انما يعقل بناء على مسلك المشهور في حقيق</w:t>
      </w:r>
      <w:r w:rsidR="00EC7EDF" w:rsidRPr="00FD211F">
        <w:rPr>
          <w:sz w:val="36"/>
          <w:szCs w:val="36"/>
          <w:rtl/>
        </w:rPr>
        <w:t xml:space="preserve">ة </w:t>
      </w:r>
      <w:r w:rsidR="00AE47A4" w:rsidRPr="00FD211F">
        <w:rPr>
          <w:sz w:val="36"/>
          <w:szCs w:val="36"/>
          <w:rtl/>
        </w:rPr>
        <w:t>الوضع من كونه امرا اعتباريا او تعهدا نفسانيا</w:t>
      </w:r>
      <w:r w:rsidR="00603323" w:rsidRPr="00FD211F">
        <w:rPr>
          <w:sz w:val="36"/>
          <w:szCs w:val="36"/>
          <w:rtl/>
        </w:rPr>
        <w:t xml:space="preserve">، </w:t>
      </w:r>
      <w:r w:rsidR="00AE47A4" w:rsidRPr="00FD211F">
        <w:rPr>
          <w:sz w:val="36"/>
          <w:szCs w:val="36"/>
          <w:rtl/>
        </w:rPr>
        <w:t>واما بناء على المسلك الصحيح من كونه امرا واقعيا وهو القرن الأكيد بين اللفظ والمعنى خارجا فلابد للواضع لاجل تحقيق هذا الهدف من استحضار المعنى الخاص بنفسه لكي يحقق القرن الأكيد بينه وبين اللفظ</w:t>
      </w:r>
      <w:r w:rsidR="00603323" w:rsidRPr="00FD211F">
        <w:rPr>
          <w:sz w:val="36"/>
          <w:szCs w:val="36"/>
          <w:rtl/>
        </w:rPr>
        <w:t xml:space="preserve">، </w:t>
      </w:r>
      <w:r w:rsidR="00AE47A4" w:rsidRPr="00FD211F">
        <w:rPr>
          <w:sz w:val="36"/>
          <w:szCs w:val="36"/>
          <w:rtl/>
        </w:rPr>
        <w:t>فلايكفي في ذلك مجرد قول الواضع وضعت لفظ</w:t>
      </w:r>
      <w:r w:rsidR="00EC7EDF" w:rsidRPr="00FD211F">
        <w:rPr>
          <w:sz w:val="36"/>
          <w:szCs w:val="36"/>
          <w:rtl/>
        </w:rPr>
        <w:t xml:space="preserve">ة </w:t>
      </w:r>
      <w:r w:rsidR="00AE47A4" w:rsidRPr="00FD211F">
        <w:rPr>
          <w:sz w:val="36"/>
          <w:szCs w:val="36"/>
          <w:rtl/>
        </w:rPr>
        <w:t>من لواقع النسب</w:t>
      </w:r>
      <w:r w:rsidR="00EC7EDF" w:rsidRPr="00FD211F">
        <w:rPr>
          <w:sz w:val="36"/>
          <w:szCs w:val="36"/>
          <w:rtl/>
        </w:rPr>
        <w:t xml:space="preserve">ة </w:t>
      </w:r>
      <w:r w:rsidR="00AE47A4" w:rsidRPr="00FD211F">
        <w:rPr>
          <w:sz w:val="36"/>
          <w:szCs w:val="36"/>
          <w:rtl/>
        </w:rPr>
        <w:t>الابتدائي</w:t>
      </w:r>
      <w:r w:rsidR="00EC7EDF" w:rsidRPr="00FD211F">
        <w:rPr>
          <w:sz w:val="36"/>
          <w:szCs w:val="36"/>
          <w:rtl/>
        </w:rPr>
        <w:t xml:space="preserve">ة </w:t>
      </w:r>
      <w:r w:rsidR="00AE47A4" w:rsidRPr="00FD211F">
        <w:rPr>
          <w:sz w:val="36"/>
          <w:szCs w:val="36"/>
          <w:rtl/>
        </w:rPr>
        <w:t>في حصول القرن الأكيد بينهما</w:t>
      </w:r>
      <w:r w:rsidR="00603323" w:rsidRPr="00FD211F">
        <w:rPr>
          <w:sz w:val="36"/>
          <w:szCs w:val="36"/>
          <w:rtl/>
        </w:rPr>
        <w:t xml:space="preserve">، </w:t>
      </w:r>
      <w:r w:rsidR="00AE47A4" w:rsidRPr="00FD211F">
        <w:rPr>
          <w:sz w:val="36"/>
          <w:szCs w:val="36"/>
          <w:rtl/>
        </w:rPr>
        <w:t>بل لابد من استحضار واقع النسب</w:t>
      </w:r>
      <w:r w:rsidR="00EC7EDF" w:rsidRPr="00FD211F">
        <w:rPr>
          <w:sz w:val="36"/>
          <w:szCs w:val="36"/>
          <w:rtl/>
        </w:rPr>
        <w:t xml:space="preserve">ة </w:t>
      </w:r>
      <w:r w:rsidR="00AE47A4" w:rsidRPr="00FD211F">
        <w:rPr>
          <w:sz w:val="36"/>
          <w:szCs w:val="36"/>
          <w:rtl/>
        </w:rPr>
        <w:t>الابتدائي</w:t>
      </w:r>
      <w:r w:rsidR="00EC7EDF" w:rsidRPr="00FD211F">
        <w:rPr>
          <w:sz w:val="36"/>
          <w:szCs w:val="36"/>
          <w:rtl/>
        </w:rPr>
        <w:t xml:space="preserve">ة </w:t>
      </w:r>
      <w:r w:rsidR="00AE47A4" w:rsidRPr="00FD211F">
        <w:rPr>
          <w:sz w:val="36"/>
          <w:szCs w:val="36"/>
          <w:rtl/>
        </w:rPr>
        <w:t>في الذهن كي يتحقق الاقتران الاكيد بينه وبين لفظ</w:t>
      </w:r>
      <w:r w:rsidR="00EC7EDF" w:rsidRPr="00FD211F">
        <w:rPr>
          <w:sz w:val="36"/>
          <w:szCs w:val="36"/>
          <w:rtl/>
        </w:rPr>
        <w:t xml:space="preserve">ة </w:t>
      </w:r>
      <w:r w:rsidR="00AE47A4" w:rsidRPr="00FD211F">
        <w:rPr>
          <w:sz w:val="36"/>
          <w:szCs w:val="36"/>
          <w:rtl/>
        </w:rPr>
        <w:t>من</w:t>
      </w:r>
      <w:r w:rsidR="00603323" w:rsidRPr="00FD211F">
        <w:rPr>
          <w:sz w:val="36"/>
          <w:szCs w:val="36"/>
          <w:rtl/>
        </w:rPr>
        <w:t xml:space="preserve">، </w:t>
      </w:r>
      <w:r w:rsidR="00AE47A4" w:rsidRPr="00FD211F">
        <w:rPr>
          <w:sz w:val="36"/>
          <w:szCs w:val="36"/>
          <w:rtl/>
        </w:rPr>
        <w:t>ولايكفي تصور مفهوم النسب</w:t>
      </w:r>
      <w:r w:rsidR="00EC7EDF" w:rsidRPr="00FD211F">
        <w:rPr>
          <w:sz w:val="36"/>
          <w:szCs w:val="36"/>
          <w:rtl/>
        </w:rPr>
        <w:t xml:space="preserve">ة </w:t>
      </w:r>
      <w:r w:rsidR="00AE47A4" w:rsidRPr="00FD211F">
        <w:rPr>
          <w:sz w:val="36"/>
          <w:szCs w:val="36"/>
          <w:rtl/>
        </w:rPr>
        <w:t>الابتدائي</w:t>
      </w:r>
      <w:r w:rsidR="00EC7EDF" w:rsidRPr="00FD211F">
        <w:rPr>
          <w:sz w:val="36"/>
          <w:szCs w:val="36"/>
          <w:rtl/>
        </w:rPr>
        <w:t xml:space="preserve">ة </w:t>
      </w:r>
      <w:r w:rsidR="00AE47A4" w:rsidRPr="00FD211F">
        <w:rPr>
          <w:sz w:val="36"/>
          <w:szCs w:val="36"/>
          <w:rtl/>
        </w:rPr>
        <w:t>والذي لايكون نسب</w:t>
      </w:r>
      <w:r w:rsidR="00EC7EDF" w:rsidRPr="00FD211F">
        <w:rPr>
          <w:sz w:val="36"/>
          <w:szCs w:val="36"/>
          <w:rtl/>
        </w:rPr>
        <w:t xml:space="preserve">ة </w:t>
      </w:r>
      <w:r w:rsidR="00AE47A4" w:rsidRPr="00FD211F">
        <w:rPr>
          <w:sz w:val="36"/>
          <w:szCs w:val="36"/>
          <w:rtl/>
        </w:rPr>
        <w:t>ابتدائي</w:t>
      </w:r>
      <w:r w:rsidR="00EC7EDF" w:rsidRPr="00FD211F">
        <w:rPr>
          <w:sz w:val="36"/>
          <w:szCs w:val="36"/>
          <w:rtl/>
        </w:rPr>
        <w:t xml:space="preserve">ة </w:t>
      </w:r>
      <w:r w:rsidR="00AE47A4" w:rsidRPr="00FD211F">
        <w:rPr>
          <w:sz w:val="36"/>
          <w:szCs w:val="36"/>
          <w:rtl/>
        </w:rPr>
        <w:t>بالحمل الشايع.</w:t>
      </w:r>
    </w:p>
    <w:p w14:paraId="19CF03DB" w14:textId="77777777" w:rsidR="00AE47A4" w:rsidRPr="00FD211F" w:rsidRDefault="00AE47A4" w:rsidP="009C58C8">
      <w:pPr>
        <w:ind w:left="0" w:firstLine="227"/>
        <w:jc w:val="both"/>
        <w:rPr>
          <w:sz w:val="36"/>
          <w:szCs w:val="36"/>
          <w:rtl/>
        </w:rPr>
      </w:pPr>
      <w:bookmarkStart w:id="148" w:name="ق11"/>
      <w:bookmarkEnd w:id="148"/>
      <w:r w:rsidRPr="00FD211F">
        <w:rPr>
          <w:sz w:val="36"/>
          <w:szCs w:val="36"/>
          <w:rtl/>
        </w:rPr>
        <w:t>فالتوصل الى نتيج</w:t>
      </w:r>
      <w:r w:rsidR="00EC7EDF" w:rsidRPr="00FD211F">
        <w:rPr>
          <w:sz w:val="36"/>
          <w:szCs w:val="36"/>
          <w:rtl/>
        </w:rPr>
        <w:t xml:space="preserve">ة </w:t>
      </w:r>
      <w:r w:rsidRPr="00FD211F">
        <w:rPr>
          <w:sz w:val="36"/>
          <w:szCs w:val="36"/>
          <w:rtl/>
        </w:rPr>
        <w:t>الوضع العام والموضوع له الخاص بناء على مسلك القرن الأكيد انما يعقل عن طريق تكرر الاقتران بين اللفظ وبين المعاني الخاص</w:t>
      </w:r>
      <w:r w:rsidR="00EC7EDF" w:rsidRPr="00FD211F">
        <w:rPr>
          <w:sz w:val="36"/>
          <w:szCs w:val="36"/>
          <w:rtl/>
        </w:rPr>
        <w:t xml:space="preserve">ة </w:t>
      </w:r>
      <w:r w:rsidRPr="00FD211F">
        <w:rPr>
          <w:sz w:val="36"/>
          <w:szCs w:val="36"/>
          <w:rtl/>
        </w:rPr>
        <w:t>بنحو ينتج الاقتران بين اللفظ وبين كل فرد من تلك المعاني</w:t>
      </w:r>
      <w:r w:rsidR="00603323" w:rsidRPr="00FD211F">
        <w:rPr>
          <w:sz w:val="36"/>
          <w:szCs w:val="36"/>
          <w:rtl/>
        </w:rPr>
        <w:t xml:space="preserve">، </w:t>
      </w:r>
      <w:r w:rsidRPr="00FD211F">
        <w:rPr>
          <w:sz w:val="36"/>
          <w:szCs w:val="36"/>
          <w:rtl/>
        </w:rPr>
        <w:t>فيقال تار</w:t>
      </w:r>
      <w:r w:rsidR="00EC7EDF" w:rsidRPr="00FD211F">
        <w:rPr>
          <w:sz w:val="36"/>
          <w:szCs w:val="36"/>
          <w:rtl/>
        </w:rPr>
        <w:t xml:space="preserve">ة </w:t>
      </w:r>
      <w:r w:rsidRPr="00FD211F">
        <w:rPr>
          <w:sz w:val="36"/>
          <w:szCs w:val="36"/>
          <w:rtl/>
        </w:rPr>
        <w:t>سرت من البصر</w:t>
      </w:r>
      <w:r w:rsidR="00EC7EDF" w:rsidRPr="00FD211F">
        <w:rPr>
          <w:sz w:val="36"/>
          <w:szCs w:val="36"/>
          <w:rtl/>
        </w:rPr>
        <w:t xml:space="preserve">ة </w:t>
      </w:r>
      <w:r w:rsidRPr="00FD211F">
        <w:rPr>
          <w:sz w:val="36"/>
          <w:szCs w:val="36"/>
          <w:rtl/>
        </w:rPr>
        <w:t>ويقال أخرى ذهبت من قم ويقال ثالث</w:t>
      </w:r>
      <w:r w:rsidR="00EC7EDF" w:rsidRPr="00FD211F">
        <w:rPr>
          <w:sz w:val="36"/>
          <w:szCs w:val="36"/>
          <w:rtl/>
        </w:rPr>
        <w:t xml:space="preserve">ة </w:t>
      </w:r>
      <w:r w:rsidRPr="00FD211F">
        <w:rPr>
          <w:sz w:val="36"/>
          <w:szCs w:val="36"/>
          <w:rtl/>
        </w:rPr>
        <w:t>جاء عمرو من طهران فيكون الوضع في هذه الكلمات من الوضع الخاص والموضوع له الخاص حتى يحصل في الذهن حال</w:t>
      </w:r>
      <w:r w:rsidR="00EC7EDF" w:rsidRPr="00FD211F">
        <w:rPr>
          <w:sz w:val="36"/>
          <w:szCs w:val="36"/>
          <w:rtl/>
        </w:rPr>
        <w:t xml:space="preserve">ة </w:t>
      </w:r>
      <w:r w:rsidRPr="00FD211F">
        <w:rPr>
          <w:sz w:val="36"/>
          <w:szCs w:val="36"/>
          <w:rtl/>
        </w:rPr>
        <w:t>القرن الأكيد بين لفظ</w:t>
      </w:r>
      <w:r w:rsidR="00EC7EDF" w:rsidRPr="00FD211F">
        <w:rPr>
          <w:sz w:val="36"/>
          <w:szCs w:val="36"/>
          <w:rtl/>
        </w:rPr>
        <w:t xml:space="preserve">ة </w:t>
      </w:r>
      <w:r w:rsidRPr="00FD211F">
        <w:rPr>
          <w:sz w:val="36"/>
          <w:szCs w:val="36"/>
          <w:rtl/>
        </w:rPr>
        <w:t>من وبين طبيعي مفهومين اسميين اللذين يكونان طرفين لواقع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ة</w:t>
      </w:r>
      <w:r w:rsidR="00603323" w:rsidRPr="00FD211F">
        <w:rPr>
          <w:sz w:val="36"/>
          <w:szCs w:val="36"/>
          <w:rtl/>
        </w:rPr>
        <w:t xml:space="preserve">، </w:t>
      </w:r>
      <w:r w:rsidRPr="00FD211F">
        <w:rPr>
          <w:sz w:val="36"/>
          <w:szCs w:val="36"/>
          <w:rtl/>
        </w:rPr>
        <w:t>بحيث اذا سمع المخاطب "جئت من المسجد" انتقل منه الى هذا المعنى ايضا</w:t>
      </w:r>
      <w:r w:rsidR="00603323" w:rsidRPr="00FD211F">
        <w:rPr>
          <w:sz w:val="36"/>
          <w:szCs w:val="36"/>
          <w:rtl/>
        </w:rPr>
        <w:t xml:space="preserve">، </w:t>
      </w:r>
      <w:r w:rsidRPr="00FD211F">
        <w:rPr>
          <w:sz w:val="36"/>
          <w:szCs w:val="36"/>
          <w:rtl/>
        </w:rPr>
        <w:t>فبذلك تحصل نتيج</w:t>
      </w:r>
      <w:r w:rsidR="00EC7EDF" w:rsidRPr="00FD211F">
        <w:rPr>
          <w:sz w:val="36"/>
          <w:szCs w:val="36"/>
          <w:rtl/>
        </w:rPr>
        <w:t xml:space="preserve">ة </w:t>
      </w:r>
      <w:r w:rsidRPr="00FD211F">
        <w:rPr>
          <w:sz w:val="36"/>
          <w:szCs w:val="36"/>
          <w:rtl/>
        </w:rPr>
        <w:t>الوضع العام والموضوع له الخاص</w:t>
      </w:r>
      <w:r w:rsidR="00603323" w:rsidRPr="00FD211F">
        <w:rPr>
          <w:sz w:val="36"/>
          <w:szCs w:val="36"/>
          <w:rtl/>
        </w:rPr>
        <w:t xml:space="preserve">، </w:t>
      </w:r>
      <w:r w:rsidRPr="00FD211F">
        <w:rPr>
          <w:sz w:val="36"/>
          <w:szCs w:val="36"/>
          <w:rtl/>
        </w:rPr>
        <w:t>فيكون المقام نظير ما اذا افترضنا طائفتين فرأينا مر</w:t>
      </w:r>
      <w:r w:rsidR="00EC7EDF" w:rsidRPr="00FD211F">
        <w:rPr>
          <w:sz w:val="36"/>
          <w:szCs w:val="36"/>
          <w:rtl/>
        </w:rPr>
        <w:t xml:space="preserve">ة </w:t>
      </w:r>
      <w:r w:rsidRPr="00FD211F">
        <w:rPr>
          <w:sz w:val="36"/>
          <w:szCs w:val="36"/>
          <w:rtl/>
        </w:rPr>
        <w:t>فردا من الطائف</w:t>
      </w:r>
      <w:r w:rsidR="00EC7EDF" w:rsidRPr="00FD211F">
        <w:rPr>
          <w:sz w:val="36"/>
          <w:szCs w:val="36"/>
          <w:rtl/>
        </w:rPr>
        <w:t xml:space="preserve">ة </w:t>
      </w:r>
      <w:r w:rsidRPr="00FD211F">
        <w:rPr>
          <w:sz w:val="36"/>
          <w:szCs w:val="36"/>
          <w:rtl/>
        </w:rPr>
        <w:t>الأولى يقابل فردا من الطائف</w:t>
      </w:r>
      <w:r w:rsidR="00EC7EDF" w:rsidRPr="00FD211F">
        <w:rPr>
          <w:sz w:val="36"/>
          <w:szCs w:val="36"/>
          <w:rtl/>
        </w:rPr>
        <w:t xml:space="preserve">ة </w:t>
      </w:r>
      <w:r w:rsidRPr="00FD211F">
        <w:rPr>
          <w:sz w:val="36"/>
          <w:szCs w:val="36"/>
          <w:rtl/>
        </w:rPr>
        <w:t>الثاني</w:t>
      </w:r>
      <w:r w:rsidR="00EC7EDF" w:rsidRPr="00FD211F">
        <w:rPr>
          <w:sz w:val="36"/>
          <w:szCs w:val="36"/>
          <w:rtl/>
        </w:rPr>
        <w:t xml:space="preserve">ة </w:t>
      </w:r>
      <w:r w:rsidRPr="00FD211F">
        <w:rPr>
          <w:sz w:val="36"/>
          <w:szCs w:val="36"/>
          <w:rtl/>
        </w:rPr>
        <w:t>ورأينا مرّ</w:t>
      </w:r>
      <w:r w:rsidR="00EC7EDF" w:rsidRPr="00FD211F">
        <w:rPr>
          <w:sz w:val="36"/>
          <w:szCs w:val="36"/>
          <w:rtl/>
        </w:rPr>
        <w:t xml:space="preserve">ة </w:t>
      </w:r>
      <w:r w:rsidRPr="00FD211F">
        <w:rPr>
          <w:sz w:val="36"/>
          <w:szCs w:val="36"/>
          <w:rtl/>
        </w:rPr>
        <w:t>أخرى فردا آخر من الطائف</w:t>
      </w:r>
      <w:r w:rsidR="00EC7EDF" w:rsidRPr="00FD211F">
        <w:rPr>
          <w:sz w:val="36"/>
          <w:szCs w:val="36"/>
          <w:rtl/>
        </w:rPr>
        <w:t xml:space="preserve">ة </w:t>
      </w:r>
      <w:r w:rsidRPr="00FD211F">
        <w:rPr>
          <w:sz w:val="36"/>
          <w:szCs w:val="36"/>
          <w:rtl/>
        </w:rPr>
        <w:t>الأولى يقابل فردا آخر من الطائف</w:t>
      </w:r>
      <w:r w:rsidR="00EC7EDF" w:rsidRPr="00FD211F">
        <w:rPr>
          <w:sz w:val="36"/>
          <w:szCs w:val="36"/>
          <w:rtl/>
        </w:rPr>
        <w:t xml:space="preserve">ة </w:t>
      </w:r>
      <w:r w:rsidRPr="00FD211F">
        <w:rPr>
          <w:sz w:val="36"/>
          <w:szCs w:val="36"/>
          <w:rtl/>
        </w:rPr>
        <w:t>الثاني</w:t>
      </w:r>
      <w:r w:rsidR="00EC7EDF" w:rsidRPr="00FD211F">
        <w:rPr>
          <w:sz w:val="36"/>
          <w:szCs w:val="36"/>
          <w:rtl/>
        </w:rPr>
        <w:t xml:space="preserve">ة </w:t>
      </w:r>
      <w:r w:rsidRPr="00FD211F">
        <w:rPr>
          <w:sz w:val="36"/>
          <w:szCs w:val="36"/>
          <w:rtl/>
        </w:rPr>
        <w:t>وهكذا</w:t>
      </w:r>
      <w:r w:rsidR="00EC7EDF" w:rsidRPr="00FD211F">
        <w:rPr>
          <w:sz w:val="36"/>
          <w:szCs w:val="36"/>
          <w:rtl/>
        </w:rPr>
        <w:t>.</w:t>
      </w:r>
      <w:r w:rsidRPr="00FD211F">
        <w:rPr>
          <w:sz w:val="36"/>
          <w:szCs w:val="36"/>
          <w:rtl/>
        </w:rPr>
        <w:t>.. الى ان تحققت الاستجاب</w:t>
      </w:r>
      <w:r w:rsidR="00EC7EDF" w:rsidRPr="00FD211F">
        <w:rPr>
          <w:sz w:val="36"/>
          <w:szCs w:val="36"/>
          <w:rtl/>
        </w:rPr>
        <w:t xml:space="preserve">ة </w:t>
      </w:r>
      <w:r w:rsidRPr="00FD211F">
        <w:rPr>
          <w:sz w:val="36"/>
          <w:szCs w:val="36"/>
          <w:rtl/>
        </w:rPr>
        <w:t>الشرطي</w:t>
      </w:r>
      <w:r w:rsidR="00EC7EDF" w:rsidRPr="00FD211F">
        <w:rPr>
          <w:sz w:val="36"/>
          <w:szCs w:val="36"/>
          <w:rtl/>
        </w:rPr>
        <w:t xml:space="preserve">ة </w:t>
      </w:r>
      <w:r w:rsidRPr="00FD211F">
        <w:rPr>
          <w:sz w:val="36"/>
          <w:szCs w:val="36"/>
          <w:rtl/>
        </w:rPr>
        <w:t>في ذهننا بحيث لو تصورنا اي فرد من افراد الطائف</w:t>
      </w:r>
      <w:r w:rsidR="00EC7EDF" w:rsidRPr="00FD211F">
        <w:rPr>
          <w:sz w:val="36"/>
          <w:szCs w:val="36"/>
          <w:rtl/>
        </w:rPr>
        <w:t xml:space="preserve">ة </w:t>
      </w:r>
      <w:r w:rsidRPr="00FD211F">
        <w:rPr>
          <w:sz w:val="36"/>
          <w:szCs w:val="36"/>
          <w:rtl/>
        </w:rPr>
        <w:t>الأولى لانتقل ذهننا الى وجود فرد آخر من الطائف</w:t>
      </w:r>
      <w:r w:rsidR="00EC7EDF" w:rsidRPr="00FD211F">
        <w:rPr>
          <w:sz w:val="36"/>
          <w:szCs w:val="36"/>
          <w:rtl/>
        </w:rPr>
        <w:t xml:space="preserve">ة </w:t>
      </w:r>
      <w:r w:rsidRPr="00FD211F">
        <w:rPr>
          <w:sz w:val="36"/>
          <w:szCs w:val="36"/>
          <w:rtl/>
        </w:rPr>
        <w:t>الثاني</w:t>
      </w:r>
      <w:r w:rsidR="00EC7EDF" w:rsidRPr="00FD211F">
        <w:rPr>
          <w:sz w:val="36"/>
          <w:szCs w:val="36"/>
          <w:rtl/>
        </w:rPr>
        <w:t xml:space="preserve">ة </w:t>
      </w:r>
      <w:r w:rsidRPr="00FD211F">
        <w:rPr>
          <w:sz w:val="36"/>
          <w:szCs w:val="36"/>
          <w:rtl/>
        </w:rPr>
        <w:t>في قباله</w:t>
      </w:r>
      <w:r w:rsidR="009C58C8" w:rsidRPr="00FD211F">
        <w:rPr>
          <w:rStyle w:val="a6"/>
          <w:sz w:val="36"/>
          <w:szCs w:val="36"/>
          <w:rtl/>
        </w:rPr>
        <w:t>(</w:t>
      </w:r>
      <w:r w:rsidR="009C58C8" w:rsidRPr="00FD211F">
        <w:rPr>
          <w:rStyle w:val="a6"/>
          <w:sz w:val="36"/>
          <w:szCs w:val="36"/>
          <w:rtl/>
        </w:rPr>
        <w:footnoteReference w:id="144"/>
      </w:r>
      <w:r w:rsidR="009C58C8" w:rsidRPr="00FD211F">
        <w:rPr>
          <w:rStyle w:val="a6"/>
          <w:sz w:val="36"/>
          <w:szCs w:val="36"/>
          <w:rtl/>
        </w:rPr>
        <w:t>)</w:t>
      </w:r>
      <w:r w:rsidRPr="00FD211F">
        <w:rPr>
          <w:sz w:val="36"/>
          <w:szCs w:val="36"/>
          <w:rtl/>
        </w:rPr>
        <w:t>.</w:t>
      </w:r>
    </w:p>
    <w:p w14:paraId="35D398D0" w14:textId="77777777" w:rsidR="00AE47A4" w:rsidRPr="00FD211F" w:rsidRDefault="00AE47A4" w:rsidP="009C58C8">
      <w:pPr>
        <w:ind w:left="0" w:firstLine="227"/>
        <w:jc w:val="both"/>
        <w:rPr>
          <w:sz w:val="36"/>
          <w:szCs w:val="36"/>
          <w:rtl/>
        </w:rPr>
      </w:pPr>
      <w:r w:rsidRPr="00FD211F">
        <w:rPr>
          <w:sz w:val="36"/>
          <w:szCs w:val="36"/>
          <w:rtl/>
        </w:rPr>
        <w:t>وفيه: أنه يكفي في حصول الاقتران الأكيد لدى العالم بالوضع بين لفظ</w:t>
      </w:r>
      <w:r w:rsidR="00EC7EDF" w:rsidRPr="00FD211F">
        <w:rPr>
          <w:sz w:val="36"/>
          <w:szCs w:val="36"/>
          <w:rtl/>
        </w:rPr>
        <w:t xml:space="preserve">ة </w:t>
      </w:r>
      <w:r w:rsidR="00F9149B" w:rsidRPr="00FD211F">
        <w:rPr>
          <w:sz w:val="36"/>
          <w:szCs w:val="36"/>
          <w:rtl/>
        </w:rPr>
        <w:t>"</w:t>
      </w:r>
      <w:r w:rsidRPr="00FD211F">
        <w:rPr>
          <w:sz w:val="36"/>
          <w:szCs w:val="36"/>
          <w:rtl/>
        </w:rPr>
        <w:t>من</w:t>
      </w:r>
      <w:r w:rsidR="00F9149B" w:rsidRPr="00FD211F">
        <w:rPr>
          <w:sz w:val="36"/>
          <w:szCs w:val="36"/>
          <w:rtl/>
        </w:rPr>
        <w:t>"</w:t>
      </w:r>
      <w:r w:rsidRPr="00FD211F">
        <w:rPr>
          <w:sz w:val="36"/>
          <w:szCs w:val="36"/>
          <w:rtl/>
        </w:rPr>
        <w:t xml:space="preserve"> مثلا وواقع الن</w:t>
      </w:r>
      <w:r w:rsidR="00F9149B" w:rsidRPr="00FD211F">
        <w:rPr>
          <w:sz w:val="36"/>
          <w:szCs w:val="36"/>
          <w:rtl/>
        </w:rPr>
        <w:t>سب</w:t>
      </w:r>
      <w:r w:rsidR="00EC7EDF" w:rsidRPr="00FD211F">
        <w:rPr>
          <w:sz w:val="36"/>
          <w:szCs w:val="36"/>
          <w:rtl/>
        </w:rPr>
        <w:t xml:space="preserve">ة </w:t>
      </w:r>
      <w:r w:rsidR="00F9149B" w:rsidRPr="00FD211F">
        <w:rPr>
          <w:sz w:val="36"/>
          <w:szCs w:val="36"/>
          <w:rtl/>
        </w:rPr>
        <w:t>الابتدائي</w:t>
      </w:r>
      <w:r w:rsidR="00EC7EDF" w:rsidRPr="00FD211F">
        <w:rPr>
          <w:sz w:val="36"/>
          <w:szCs w:val="36"/>
          <w:rtl/>
        </w:rPr>
        <w:t xml:space="preserve">ة </w:t>
      </w:r>
      <w:r w:rsidR="00F9149B" w:rsidRPr="00FD211F">
        <w:rPr>
          <w:sz w:val="36"/>
          <w:szCs w:val="36"/>
          <w:rtl/>
        </w:rPr>
        <w:t>بمجرد قول الواضع"</w:t>
      </w:r>
      <w:r w:rsidRPr="00FD211F">
        <w:rPr>
          <w:sz w:val="36"/>
          <w:szCs w:val="36"/>
          <w:rtl/>
        </w:rPr>
        <w:t xml:space="preserve"> وضعت لفظ</w:t>
      </w:r>
      <w:r w:rsidR="00EC7EDF" w:rsidRPr="00FD211F">
        <w:rPr>
          <w:sz w:val="36"/>
          <w:szCs w:val="36"/>
          <w:rtl/>
        </w:rPr>
        <w:t xml:space="preserve">ة </w:t>
      </w:r>
      <w:r w:rsidRPr="00FD211F">
        <w:rPr>
          <w:sz w:val="36"/>
          <w:szCs w:val="36"/>
          <w:rtl/>
        </w:rPr>
        <w:t>من للدلال</w:t>
      </w:r>
      <w:r w:rsidR="00EC7EDF" w:rsidRPr="00FD211F">
        <w:rPr>
          <w:sz w:val="36"/>
          <w:szCs w:val="36"/>
          <w:rtl/>
        </w:rPr>
        <w:t xml:space="preserve">ة </w:t>
      </w:r>
      <w:r w:rsidRPr="00FD211F">
        <w:rPr>
          <w:sz w:val="36"/>
          <w:szCs w:val="36"/>
          <w:rtl/>
        </w:rPr>
        <w:t>على واقع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00F9149B" w:rsidRPr="00FD211F">
        <w:rPr>
          <w:sz w:val="36"/>
          <w:szCs w:val="36"/>
          <w:rtl/>
        </w:rPr>
        <w:t>"</w:t>
      </w:r>
      <w:r w:rsidRPr="00FD211F">
        <w:rPr>
          <w:sz w:val="36"/>
          <w:szCs w:val="36"/>
          <w:rtl/>
        </w:rPr>
        <w:t xml:space="preserve"> فلو سمع العالم بالوضع بعد ذلك من احد أنه قال</w:t>
      </w:r>
      <w:r w:rsidR="00F9149B" w:rsidRPr="00FD211F">
        <w:rPr>
          <w:sz w:val="36"/>
          <w:szCs w:val="36"/>
          <w:rtl/>
        </w:rPr>
        <w:t>"</w:t>
      </w:r>
      <w:r w:rsidRPr="00FD211F">
        <w:rPr>
          <w:sz w:val="36"/>
          <w:szCs w:val="36"/>
          <w:rtl/>
        </w:rPr>
        <w:t xml:space="preserve"> سرت من البصر</w:t>
      </w:r>
      <w:r w:rsidR="00EC7EDF" w:rsidRPr="00FD211F">
        <w:rPr>
          <w:sz w:val="36"/>
          <w:szCs w:val="36"/>
          <w:rtl/>
        </w:rPr>
        <w:t xml:space="preserve">ة </w:t>
      </w:r>
      <w:r w:rsidR="00F9149B" w:rsidRPr="00FD211F">
        <w:rPr>
          <w:sz w:val="36"/>
          <w:szCs w:val="36"/>
          <w:rtl/>
        </w:rPr>
        <w:t>"في</w:t>
      </w:r>
      <w:r w:rsidRPr="00FD211F">
        <w:rPr>
          <w:sz w:val="36"/>
          <w:szCs w:val="36"/>
          <w:rtl/>
        </w:rPr>
        <w:t>نقدح في ذهنه واقع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بين السير والبصر</w:t>
      </w:r>
      <w:r w:rsidR="00EC7EDF" w:rsidRPr="00FD211F">
        <w:rPr>
          <w:sz w:val="36"/>
          <w:szCs w:val="36"/>
          <w:rtl/>
        </w:rPr>
        <w:t>ة</w:t>
      </w:r>
      <w:r w:rsidR="00A61BAE" w:rsidRPr="00FD211F">
        <w:rPr>
          <w:sz w:val="36"/>
          <w:szCs w:val="36"/>
          <w:rtl/>
        </w:rPr>
        <w:t>.</w:t>
      </w:r>
    </w:p>
    <w:p w14:paraId="119A3C81" w14:textId="77777777" w:rsidR="00BB0EC6" w:rsidRPr="00FD211F" w:rsidRDefault="00AE47A4" w:rsidP="009C58C8">
      <w:pPr>
        <w:ind w:left="0" w:firstLine="227"/>
        <w:jc w:val="both"/>
        <w:rPr>
          <w:sz w:val="36"/>
          <w:szCs w:val="36"/>
          <w:rtl/>
        </w:rPr>
      </w:pPr>
      <w:bookmarkStart w:id="149" w:name="درس018"/>
      <w:bookmarkEnd w:id="149"/>
      <w:r w:rsidRPr="00FD211F">
        <w:rPr>
          <w:sz w:val="36"/>
          <w:szCs w:val="36"/>
          <w:rtl/>
        </w:rPr>
        <w:t>هذا</w:t>
      </w:r>
      <w:r w:rsidR="00603323" w:rsidRPr="00FD211F">
        <w:rPr>
          <w:sz w:val="36"/>
          <w:szCs w:val="36"/>
          <w:rtl/>
        </w:rPr>
        <w:t xml:space="preserve">، </w:t>
      </w:r>
      <w:r w:rsidRPr="00FD211F">
        <w:rPr>
          <w:sz w:val="36"/>
          <w:szCs w:val="36"/>
          <w:rtl/>
        </w:rPr>
        <w:t>واما ما ذكره المحقق الحائري</w:t>
      </w:r>
      <w:r w:rsidR="00A61BAE" w:rsidRPr="00FD211F">
        <w:rPr>
          <w:sz w:val="36"/>
          <w:szCs w:val="36"/>
          <w:rtl/>
        </w:rPr>
        <w:t xml:space="preserve"> </w:t>
      </w:r>
      <w:r w:rsidR="0024281C" w:rsidRPr="00FD211F">
        <w:rPr>
          <w:sz w:val="36"/>
          <w:szCs w:val="36"/>
          <w:rtl/>
        </w:rPr>
        <w:t>"قده"</w:t>
      </w:r>
      <w:r w:rsidR="00A61BAE" w:rsidRPr="00FD211F">
        <w:rPr>
          <w:sz w:val="36"/>
          <w:szCs w:val="36"/>
          <w:rtl/>
        </w:rPr>
        <w:t xml:space="preserve"> </w:t>
      </w:r>
      <w:r w:rsidRPr="00FD211F">
        <w:rPr>
          <w:sz w:val="36"/>
          <w:szCs w:val="36"/>
          <w:rtl/>
        </w:rPr>
        <w:t xml:space="preserve">من امكان القسم الرابع ايضا بدعوى </w:t>
      </w:r>
      <w:r w:rsidR="007B75C9" w:rsidRPr="00FD211F">
        <w:rPr>
          <w:sz w:val="36"/>
          <w:szCs w:val="36"/>
          <w:rtl/>
        </w:rPr>
        <w:t xml:space="preserve">أنه </w:t>
      </w:r>
      <w:r w:rsidRPr="00FD211F">
        <w:rPr>
          <w:sz w:val="36"/>
          <w:szCs w:val="36"/>
          <w:rtl/>
        </w:rPr>
        <w:t>كما يكون العام وجها اجماليا لأفراده لاتحادها خارجا فكذلك الخاص وجه اجمالي للعام لاتحادها خارجا ايضا</w:t>
      </w:r>
      <w:r w:rsidR="00603323" w:rsidRPr="00FD211F">
        <w:rPr>
          <w:sz w:val="36"/>
          <w:szCs w:val="36"/>
          <w:rtl/>
        </w:rPr>
        <w:t xml:space="preserve">، </w:t>
      </w:r>
      <w:r w:rsidRPr="00FD211F">
        <w:rPr>
          <w:sz w:val="36"/>
          <w:szCs w:val="36"/>
          <w:rtl/>
        </w:rPr>
        <w:t xml:space="preserve">نظير ما لو رأينا شبحا من بعيد </w:t>
      </w:r>
      <w:r w:rsidR="009977FE" w:rsidRPr="00FD211F">
        <w:rPr>
          <w:sz w:val="36"/>
          <w:szCs w:val="36"/>
          <w:rtl/>
        </w:rPr>
        <w:t>و</w:t>
      </w:r>
      <w:r w:rsidR="008D7B3D" w:rsidRPr="00FD211F">
        <w:rPr>
          <w:sz w:val="36"/>
          <w:szCs w:val="36"/>
          <w:rtl/>
        </w:rPr>
        <w:t xml:space="preserve"> لم‌</w:t>
      </w:r>
      <w:r w:rsidRPr="00FD211F">
        <w:rPr>
          <w:sz w:val="36"/>
          <w:szCs w:val="36"/>
          <w:rtl/>
        </w:rPr>
        <w:t xml:space="preserve">ندر انه جماد او نبات او حيوان ووضعنا لنوعه لفظا فهذا يكون </w:t>
      </w:r>
      <w:r w:rsidR="00BB0EC6" w:rsidRPr="00FD211F">
        <w:rPr>
          <w:sz w:val="36"/>
          <w:szCs w:val="36"/>
          <w:rtl/>
        </w:rPr>
        <w:t>من الوضع الخاص والموضوع له العام</w:t>
      </w:r>
      <w:r w:rsidR="009C58C8" w:rsidRPr="00FD211F">
        <w:rPr>
          <w:rStyle w:val="a6"/>
          <w:sz w:val="36"/>
          <w:szCs w:val="36"/>
          <w:rtl/>
        </w:rPr>
        <w:t>(</w:t>
      </w:r>
      <w:r w:rsidR="009C58C8" w:rsidRPr="00FD211F">
        <w:rPr>
          <w:rStyle w:val="a6"/>
          <w:sz w:val="36"/>
          <w:szCs w:val="36"/>
          <w:rtl/>
        </w:rPr>
        <w:footnoteReference w:id="145"/>
      </w:r>
      <w:r w:rsidR="009C58C8" w:rsidRPr="00FD211F">
        <w:rPr>
          <w:rStyle w:val="a6"/>
          <w:sz w:val="36"/>
          <w:szCs w:val="36"/>
          <w:rtl/>
        </w:rPr>
        <w:t>)</w:t>
      </w:r>
      <w:r w:rsidR="00BB0EC6" w:rsidRPr="00FD211F">
        <w:rPr>
          <w:sz w:val="36"/>
          <w:szCs w:val="36"/>
          <w:rtl/>
        </w:rPr>
        <w:t>.</w:t>
      </w:r>
      <w:r w:rsidRPr="00FD211F">
        <w:rPr>
          <w:sz w:val="36"/>
          <w:szCs w:val="36"/>
          <w:rtl/>
        </w:rPr>
        <w:t xml:space="preserve"> </w:t>
      </w:r>
    </w:p>
    <w:p w14:paraId="650FEBA4" w14:textId="77777777" w:rsidR="00AE47A4" w:rsidRPr="00FD211F" w:rsidRDefault="00AE47A4" w:rsidP="009C58C8">
      <w:pPr>
        <w:ind w:left="0" w:firstLine="227"/>
        <w:jc w:val="both"/>
        <w:rPr>
          <w:sz w:val="36"/>
          <w:szCs w:val="36"/>
          <w:rtl/>
        </w:rPr>
      </w:pPr>
      <w:r w:rsidRPr="00FD211F">
        <w:rPr>
          <w:sz w:val="36"/>
          <w:szCs w:val="36"/>
          <w:rtl/>
        </w:rPr>
        <w:t>ففيه: ان لحاظ الجزئي بمجرده لايكفي في وضع اللفظ بإزاء الكلي بعد ما</w:t>
      </w:r>
      <w:r w:rsidR="008D7B3D" w:rsidRPr="00FD211F">
        <w:rPr>
          <w:sz w:val="36"/>
          <w:szCs w:val="36"/>
          <w:rtl/>
        </w:rPr>
        <w:t xml:space="preserve"> لم‌</w:t>
      </w:r>
      <w:r w:rsidRPr="00FD211F">
        <w:rPr>
          <w:sz w:val="36"/>
          <w:szCs w:val="36"/>
          <w:rtl/>
        </w:rPr>
        <w:t>يكن الجزئي وجها للكلي ولو اجمالا</w:t>
      </w:r>
      <w:r w:rsidR="00603323" w:rsidRPr="00FD211F">
        <w:rPr>
          <w:sz w:val="36"/>
          <w:szCs w:val="36"/>
          <w:rtl/>
        </w:rPr>
        <w:t xml:space="preserve">، </w:t>
      </w:r>
      <w:r w:rsidRPr="00FD211F">
        <w:rPr>
          <w:sz w:val="36"/>
          <w:szCs w:val="36"/>
          <w:rtl/>
        </w:rPr>
        <w:t>والمثال الذي ذكره</w:t>
      </w:r>
      <w:r w:rsidR="00A61BAE" w:rsidRPr="00FD211F">
        <w:rPr>
          <w:sz w:val="36"/>
          <w:szCs w:val="36"/>
          <w:rtl/>
        </w:rPr>
        <w:t xml:space="preserve"> </w:t>
      </w:r>
      <w:r w:rsidR="0024281C" w:rsidRPr="00FD211F">
        <w:rPr>
          <w:sz w:val="36"/>
          <w:szCs w:val="36"/>
          <w:rtl/>
        </w:rPr>
        <w:t>"قده"</w:t>
      </w:r>
      <w:r w:rsidR="00A61BAE" w:rsidRPr="00FD211F">
        <w:rPr>
          <w:sz w:val="36"/>
          <w:szCs w:val="36"/>
          <w:rtl/>
        </w:rPr>
        <w:t xml:space="preserve"> </w:t>
      </w:r>
      <w:r w:rsidRPr="00FD211F">
        <w:rPr>
          <w:sz w:val="36"/>
          <w:szCs w:val="36"/>
          <w:rtl/>
        </w:rPr>
        <w:t>من فرض رؤي</w:t>
      </w:r>
      <w:r w:rsidR="00EC7EDF" w:rsidRPr="00FD211F">
        <w:rPr>
          <w:sz w:val="36"/>
          <w:szCs w:val="36"/>
          <w:rtl/>
        </w:rPr>
        <w:t xml:space="preserve">ة </w:t>
      </w:r>
      <w:r w:rsidRPr="00FD211F">
        <w:rPr>
          <w:sz w:val="36"/>
          <w:szCs w:val="36"/>
          <w:rtl/>
        </w:rPr>
        <w:t>شبحا من بعيد ووضع لفظ بازاء نوعه ليس من قبيل الوضع الخاص والموضوع العام</w:t>
      </w:r>
      <w:r w:rsidR="000C5BBA" w:rsidRPr="00FD211F">
        <w:rPr>
          <w:sz w:val="36"/>
          <w:szCs w:val="36"/>
          <w:rtl/>
        </w:rPr>
        <w:t xml:space="preserve"> لان المفروض هو لحاظ عنوان "نوع </w:t>
      </w:r>
      <w:r w:rsidRPr="00FD211F">
        <w:rPr>
          <w:sz w:val="36"/>
          <w:szCs w:val="36"/>
          <w:rtl/>
        </w:rPr>
        <w:t>هذا الشبح" مرآ</w:t>
      </w:r>
      <w:r w:rsidR="00EC7EDF" w:rsidRPr="00FD211F">
        <w:rPr>
          <w:sz w:val="36"/>
          <w:szCs w:val="36"/>
          <w:rtl/>
        </w:rPr>
        <w:t xml:space="preserve">ة </w:t>
      </w:r>
      <w:r w:rsidRPr="00FD211F">
        <w:rPr>
          <w:sz w:val="36"/>
          <w:szCs w:val="36"/>
          <w:rtl/>
        </w:rPr>
        <w:t>اجمالي</w:t>
      </w:r>
      <w:r w:rsidR="00EC7EDF" w:rsidRPr="00FD211F">
        <w:rPr>
          <w:sz w:val="36"/>
          <w:szCs w:val="36"/>
          <w:rtl/>
        </w:rPr>
        <w:t xml:space="preserve">ة </w:t>
      </w:r>
      <w:r w:rsidRPr="00FD211F">
        <w:rPr>
          <w:sz w:val="36"/>
          <w:szCs w:val="36"/>
          <w:rtl/>
        </w:rPr>
        <w:t>لواقع نوعه</w:t>
      </w:r>
      <w:r w:rsidR="00603323" w:rsidRPr="00FD211F">
        <w:rPr>
          <w:sz w:val="36"/>
          <w:szCs w:val="36"/>
          <w:rtl/>
        </w:rPr>
        <w:t xml:space="preserve">، </w:t>
      </w:r>
      <w:r w:rsidRPr="00FD211F">
        <w:rPr>
          <w:sz w:val="36"/>
          <w:szCs w:val="36"/>
          <w:rtl/>
        </w:rPr>
        <w:t>ولولا لحاظ هذا العنوان</w:t>
      </w:r>
      <w:r w:rsidR="008D7B3D" w:rsidRPr="00FD211F">
        <w:rPr>
          <w:sz w:val="36"/>
          <w:szCs w:val="36"/>
          <w:rtl/>
        </w:rPr>
        <w:t xml:space="preserve"> لم‌</w:t>
      </w:r>
      <w:r w:rsidRPr="00FD211F">
        <w:rPr>
          <w:sz w:val="36"/>
          <w:szCs w:val="36"/>
          <w:rtl/>
        </w:rPr>
        <w:t>يمكن الوضع بمجرد تصور نفس ذاك الشبح.</w:t>
      </w:r>
    </w:p>
    <w:p w14:paraId="2ECFD70F" w14:textId="77777777" w:rsidR="00556512" w:rsidRPr="00FD211F" w:rsidRDefault="00226A2D" w:rsidP="009C58C8">
      <w:pPr>
        <w:ind w:left="0" w:firstLine="227"/>
        <w:jc w:val="both"/>
        <w:rPr>
          <w:sz w:val="36"/>
          <w:szCs w:val="36"/>
          <w:rtl/>
        </w:rPr>
      </w:pPr>
      <w:r w:rsidRPr="00FD211F">
        <w:rPr>
          <w:b/>
          <w:bCs/>
          <w:sz w:val="36"/>
          <w:szCs w:val="36"/>
          <w:rtl/>
        </w:rPr>
        <w:t>تنبيه</w:t>
      </w:r>
      <w:r w:rsidR="00EC7EDF" w:rsidRPr="00FD211F">
        <w:rPr>
          <w:sz w:val="36"/>
          <w:szCs w:val="36"/>
          <w:rtl/>
        </w:rPr>
        <w:t>:</w:t>
      </w:r>
      <w:r w:rsidR="00556512" w:rsidRPr="00FD211F">
        <w:rPr>
          <w:sz w:val="36"/>
          <w:szCs w:val="36"/>
          <w:rtl/>
        </w:rPr>
        <w:t>قد يخطر بالبال عدم امكان افتراض الوضع العام والموضوع له الخاص في الوضع التعيني</w:t>
      </w:r>
      <w:r w:rsidR="00603323" w:rsidRPr="00FD211F">
        <w:rPr>
          <w:sz w:val="36"/>
          <w:szCs w:val="36"/>
          <w:rtl/>
        </w:rPr>
        <w:t xml:space="preserve">، </w:t>
      </w:r>
      <w:r w:rsidR="00556512" w:rsidRPr="00FD211F">
        <w:rPr>
          <w:sz w:val="36"/>
          <w:szCs w:val="36"/>
          <w:rtl/>
        </w:rPr>
        <w:t>حيث انه لايوجد فيه عملي</w:t>
      </w:r>
      <w:r w:rsidR="00EC7EDF" w:rsidRPr="00FD211F">
        <w:rPr>
          <w:sz w:val="36"/>
          <w:szCs w:val="36"/>
          <w:rtl/>
        </w:rPr>
        <w:t xml:space="preserve">ة </w:t>
      </w:r>
      <w:r w:rsidR="00556512" w:rsidRPr="00FD211F">
        <w:rPr>
          <w:sz w:val="36"/>
          <w:szCs w:val="36"/>
          <w:rtl/>
        </w:rPr>
        <w:t>وضع كي يقال بان الملحوظ حال عملي</w:t>
      </w:r>
      <w:r w:rsidR="00EC7EDF" w:rsidRPr="00FD211F">
        <w:rPr>
          <w:sz w:val="36"/>
          <w:szCs w:val="36"/>
          <w:rtl/>
        </w:rPr>
        <w:t xml:space="preserve">ة </w:t>
      </w:r>
      <w:r w:rsidR="00556512" w:rsidRPr="00FD211F">
        <w:rPr>
          <w:sz w:val="36"/>
          <w:szCs w:val="36"/>
          <w:rtl/>
        </w:rPr>
        <w:t>الوضع هو عنوان اجمالي قد وضع اللفظ بإزاء مصاديقه</w:t>
      </w:r>
      <w:r w:rsidR="00603323" w:rsidRPr="00FD211F">
        <w:rPr>
          <w:sz w:val="36"/>
          <w:szCs w:val="36"/>
          <w:rtl/>
        </w:rPr>
        <w:t xml:space="preserve">، </w:t>
      </w:r>
      <w:r w:rsidR="00556512" w:rsidRPr="00FD211F">
        <w:rPr>
          <w:sz w:val="36"/>
          <w:szCs w:val="36"/>
          <w:rtl/>
        </w:rPr>
        <w:t>وهذا وان كان صحيحا لكنه يتم في الوضع التعيني نتيج</w:t>
      </w:r>
      <w:r w:rsidR="00EC7EDF" w:rsidRPr="00FD211F">
        <w:rPr>
          <w:sz w:val="36"/>
          <w:szCs w:val="36"/>
          <w:rtl/>
        </w:rPr>
        <w:t xml:space="preserve">ة </w:t>
      </w:r>
      <w:r w:rsidR="00556512" w:rsidRPr="00FD211F">
        <w:rPr>
          <w:sz w:val="36"/>
          <w:szCs w:val="36"/>
          <w:rtl/>
        </w:rPr>
        <w:t>الوضع العام والموضوع له الخاص</w:t>
      </w:r>
      <w:r w:rsidR="00603323" w:rsidRPr="00FD211F">
        <w:rPr>
          <w:sz w:val="36"/>
          <w:szCs w:val="36"/>
          <w:rtl/>
        </w:rPr>
        <w:t xml:space="preserve">، </w:t>
      </w:r>
      <w:r w:rsidR="00C5686C" w:rsidRPr="00FD211F">
        <w:rPr>
          <w:sz w:val="36"/>
          <w:szCs w:val="36"/>
          <w:rtl/>
        </w:rPr>
        <w:t>اي بتكرر</w:t>
      </w:r>
      <w:r w:rsidR="000C5BBA" w:rsidRPr="00FD211F">
        <w:rPr>
          <w:sz w:val="36"/>
          <w:szCs w:val="36"/>
          <w:rtl/>
        </w:rPr>
        <w:t xml:space="preserve"> </w:t>
      </w:r>
      <w:r w:rsidR="00C5686C" w:rsidRPr="00FD211F">
        <w:rPr>
          <w:sz w:val="36"/>
          <w:szCs w:val="36"/>
          <w:rtl/>
        </w:rPr>
        <w:t>استعمال لفظ "من"</w:t>
      </w:r>
      <w:r w:rsidR="0024281C" w:rsidRPr="00FD211F">
        <w:rPr>
          <w:sz w:val="36"/>
          <w:szCs w:val="36"/>
          <w:rtl/>
        </w:rPr>
        <w:t xml:space="preserve"> </w:t>
      </w:r>
      <w:r w:rsidR="00C5686C" w:rsidRPr="00FD211F">
        <w:rPr>
          <w:sz w:val="36"/>
          <w:szCs w:val="36"/>
          <w:rtl/>
        </w:rPr>
        <w:t>مثلا</w:t>
      </w:r>
      <w:r w:rsidR="0024281C" w:rsidRPr="00FD211F">
        <w:rPr>
          <w:sz w:val="36"/>
          <w:szCs w:val="36"/>
          <w:rtl/>
        </w:rPr>
        <w:t xml:space="preserve"> </w:t>
      </w:r>
      <w:r w:rsidR="00C5686C" w:rsidRPr="00FD211F">
        <w:rPr>
          <w:sz w:val="36"/>
          <w:szCs w:val="36"/>
          <w:rtl/>
        </w:rPr>
        <w:t xml:space="preserve">في </w:t>
      </w:r>
      <w:r w:rsidR="00194A80" w:rsidRPr="00FD211F">
        <w:rPr>
          <w:sz w:val="36"/>
          <w:szCs w:val="36"/>
          <w:rtl/>
        </w:rPr>
        <w:t>عدد</w:t>
      </w:r>
      <w:r w:rsidR="0024281C" w:rsidRPr="00FD211F">
        <w:rPr>
          <w:sz w:val="36"/>
          <w:szCs w:val="36"/>
          <w:rtl/>
        </w:rPr>
        <w:t xml:space="preserve"> </w:t>
      </w:r>
      <w:r w:rsidR="00194A80" w:rsidRPr="00FD211F">
        <w:rPr>
          <w:sz w:val="36"/>
          <w:szCs w:val="36"/>
          <w:rtl/>
        </w:rPr>
        <w:t>من مصاديق النسب</w:t>
      </w:r>
      <w:r w:rsidR="00EC7EDF" w:rsidRPr="00FD211F">
        <w:rPr>
          <w:sz w:val="36"/>
          <w:szCs w:val="36"/>
          <w:rtl/>
        </w:rPr>
        <w:t xml:space="preserve">ة </w:t>
      </w:r>
      <w:r w:rsidR="00194A80" w:rsidRPr="00FD211F">
        <w:rPr>
          <w:sz w:val="36"/>
          <w:szCs w:val="36"/>
          <w:rtl/>
        </w:rPr>
        <w:t>الابتدائي</w:t>
      </w:r>
      <w:r w:rsidR="00EC7EDF" w:rsidRPr="00FD211F">
        <w:rPr>
          <w:sz w:val="36"/>
          <w:szCs w:val="36"/>
          <w:rtl/>
        </w:rPr>
        <w:t xml:space="preserve">ة </w:t>
      </w:r>
      <w:r w:rsidR="00194A80" w:rsidRPr="00FD211F">
        <w:rPr>
          <w:sz w:val="36"/>
          <w:szCs w:val="36"/>
          <w:rtl/>
        </w:rPr>
        <w:t>يحصل القرن الاكيد</w:t>
      </w:r>
      <w:r w:rsidR="000C5BBA" w:rsidRPr="00FD211F">
        <w:rPr>
          <w:sz w:val="36"/>
          <w:szCs w:val="36"/>
          <w:rtl/>
        </w:rPr>
        <w:t xml:space="preserve"> </w:t>
      </w:r>
      <w:r w:rsidR="00194A80" w:rsidRPr="00FD211F">
        <w:rPr>
          <w:sz w:val="36"/>
          <w:szCs w:val="36"/>
          <w:rtl/>
        </w:rPr>
        <w:t xml:space="preserve">بين </w:t>
      </w:r>
      <w:r w:rsidR="00C5686C" w:rsidRPr="00FD211F">
        <w:rPr>
          <w:sz w:val="36"/>
          <w:szCs w:val="36"/>
          <w:rtl/>
        </w:rPr>
        <w:t>لفظ</w:t>
      </w:r>
      <w:r w:rsidR="0024281C" w:rsidRPr="00FD211F">
        <w:rPr>
          <w:sz w:val="36"/>
          <w:szCs w:val="36"/>
          <w:rtl/>
        </w:rPr>
        <w:t xml:space="preserve"> </w:t>
      </w:r>
      <w:r w:rsidR="00194A80" w:rsidRPr="00FD211F">
        <w:rPr>
          <w:sz w:val="36"/>
          <w:szCs w:val="36"/>
          <w:rtl/>
        </w:rPr>
        <w:t>"من"</w:t>
      </w:r>
      <w:r w:rsidR="0024281C" w:rsidRPr="00FD211F">
        <w:rPr>
          <w:sz w:val="36"/>
          <w:szCs w:val="36"/>
          <w:rtl/>
        </w:rPr>
        <w:t xml:space="preserve"> </w:t>
      </w:r>
      <w:r w:rsidR="00194A80" w:rsidRPr="00FD211F">
        <w:rPr>
          <w:sz w:val="36"/>
          <w:szCs w:val="36"/>
          <w:rtl/>
        </w:rPr>
        <w:t>والنسب</w:t>
      </w:r>
      <w:r w:rsidR="00EC7EDF" w:rsidRPr="00FD211F">
        <w:rPr>
          <w:sz w:val="36"/>
          <w:szCs w:val="36"/>
          <w:rtl/>
        </w:rPr>
        <w:t xml:space="preserve">ة </w:t>
      </w:r>
      <w:r w:rsidR="00194A80" w:rsidRPr="00FD211F">
        <w:rPr>
          <w:sz w:val="36"/>
          <w:szCs w:val="36"/>
          <w:rtl/>
        </w:rPr>
        <w:t>الابتدائي</w:t>
      </w:r>
      <w:r w:rsidR="00EC7EDF" w:rsidRPr="00FD211F">
        <w:rPr>
          <w:sz w:val="36"/>
          <w:szCs w:val="36"/>
          <w:rtl/>
        </w:rPr>
        <w:t xml:space="preserve">ة </w:t>
      </w:r>
      <w:r w:rsidR="00194A80" w:rsidRPr="00FD211F">
        <w:rPr>
          <w:sz w:val="36"/>
          <w:szCs w:val="36"/>
          <w:rtl/>
        </w:rPr>
        <w:t>مطلقا</w:t>
      </w:r>
      <w:r w:rsidR="00556512" w:rsidRPr="00FD211F">
        <w:rPr>
          <w:sz w:val="36"/>
          <w:szCs w:val="36"/>
          <w:rtl/>
        </w:rPr>
        <w:t>.</w:t>
      </w:r>
    </w:p>
    <w:p w14:paraId="767A242D" w14:textId="77777777" w:rsidR="00AE47A4" w:rsidRPr="00FD211F" w:rsidRDefault="00AE47A4" w:rsidP="009C58C8">
      <w:pPr>
        <w:pStyle w:val="3"/>
        <w:ind w:firstLine="227"/>
        <w:jc w:val="both"/>
        <w:rPr>
          <w:rtl/>
        </w:rPr>
      </w:pPr>
      <w:bookmarkStart w:id="150" w:name="درس017"/>
      <w:bookmarkStart w:id="151" w:name="_Toc192092859"/>
      <w:bookmarkStart w:id="152" w:name="_Toc223890333"/>
      <w:bookmarkEnd w:id="150"/>
      <w:r w:rsidRPr="00FD211F">
        <w:rPr>
          <w:rtl/>
        </w:rPr>
        <w:t>وضع الحروف والهيئات</w:t>
      </w:r>
      <w:bookmarkEnd w:id="151"/>
      <w:bookmarkEnd w:id="152"/>
    </w:p>
    <w:p w14:paraId="46CAC85C" w14:textId="77777777" w:rsidR="003E3DBD" w:rsidRPr="00FD211F" w:rsidRDefault="003B4715" w:rsidP="009C58C8">
      <w:pPr>
        <w:ind w:left="0" w:firstLine="227"/>
        <w:jc w:val="both"/>
        <w:rPr>
          <w:sz w:val="36"/>
          <w:szCs w:val="36"/>
          <w:rtl/>
        </w:rPr>
      </w:pPr>
      <w:r w:rsidRPr="00FD211F">
        <w:rPr>
          <w:sz w:val="36"/>
          <w:szCs w:val="36"/>
          <w:rtl/>
        </w:rPr>
        <w:t xml:space="preserve">انه قد وقع الخلاف بين الاعلام في ان وضع الحروف والهيئات على معانيها هل هو من </w:t>
      </w:r>
      <w:r w:rsidR="00727EA9" w:rsidRPr="00FD211F">
        <w:rPr>
          <w:sz w:val="36"/>
          <w:szCs w:val="36"/>
          <w:rtl/>
        </w:rPr>
        <w:t xml:space="preserve">قبيل </w:t>
      </w:r>
      <w:r w:rsidRPr="00FD211F">
        <w:rPr>
          <w:sz w:val="36"/>
          <w:szCs w:val="36"/>
          <w:rtl/>
        </w:rPr>
        <w:t>الوضع العام والموضوع له العام</w:t>
      </w:r>
      <w:r w:rsidR="003E3DBD" w:rsidRPr="00FD211F">
        <w:rPr>
          <w:sz w:val="36"/>
          <w:szCs w:val="36"/>
          <w:rtl/>
        </w:rPr>
        <w:t xml:space="preserve"> </w:t>
      </w:r>
      <w:r w:rsidR="00C92775" w:rsidRPr="00FD211F">
        <w:rPr>
          <w:sz w:val="36"/>
          <w:szCs w:val="36"/>
          <w:rtl/>
        </w:rPr>
        <w:t>-</w:t>
      </w:r>
      <w:r w:rsidR="003E3DBD" w:rsidRPr="00FD211F">
        <w:rPr>
          <w:sz w:val="36"/>
          <w:szCs w:val="36"/>
          <w:rtl/>
        </w:rPr>
        <w:t>كما هو مختار صاحب الكفاي</w:t>
      </w:r>
      <w:r w:rsidR="00EC7EDF" w:rsidRPr="00FD211F">
        <w:rPr>
          <w:sz w:val="36"/>
          <w:szCs w:val="36"/>
          <w:rtl/>
        </w:rPr>
        <w:t xml:space="preserve">ة </w:t>
      </w:r>
      <w:r w:rsidR="003E3DBD" w:rsidRPr="00FD211F">
        <w:rPr>
          <w:sz w:val="36"/>
          <w:szCs w:val="36"/>
          <w:rtl/>
        </w:rPr>
        <w:t xml:space="preserve">والمحقق العراقي </w:t>
      </w:r>
      <w:r w:rsidR="00C92775" w:rsidRPr="00FD211F">
        <w:rPr>
          <w:sz w:val="36"/>
          <w:szCs w:val="36"/>
          <w:rtl/>
        </w:rPr>
        <w:t>"</w:t>
      </w:r>
      <w:r w:rsidR="003E3DBD" w:rsidRPr="00FD211F">
        <w:rPr>
          <w:sz w:val="36"/>
          <w:szCs w:val="36"/>
          <w:rtl/>
        </w:rPr>
        <w:t>قدهما</w:t>
      </w:r>
      <w:r w:rsidR="00C92775" w:rsidRPr="00FD211F">
        <w:rPr>
          <w:sz w:val="36"/>
          <w:szCs w:val="36"/>
          <w:rtl/>
        </w:rPr>
        <w:t>"-</w:t>
      </w:r>
      <w:r w:rsidR="00603323" w:rsidRPr="00FD211F">
        <w:rPr>
          <w:sz w:val="36"/>
          <w:szCs w:val="36"/>
          <w:rtl/>
        </w:rPr>
        <w:t xml:space="preserve">، </w:t>
      </w:r>
      <w:r w:rsidRPr="00FD211F">
        <w:rPr>
          <w:sz w:val="36"/>
          <w:szCs w:val="36"/>
          <w:rtl/>
        </w:rPr>
        <w:t xml:space="preserve">او من </w:t>
      </w:r>
      <w:r w:rsidR="00727EA9" w:rsidRPr="00FD211F">
        <w:rPr>
          <w:sz w:val="36"/>
          <w:szCs w:val="36"/>
          <w:rtl/>
        </w:rPr>
        <w:t xml:space="preserve">قبيل </w:t>
      </w:r>
      <w:r w:rsidRPr="00FD211F">
        <w:rPr>
          <w:sz w:val="36"/>
          <w:szCs w:val="36"/>
          <w:rtl/>
        </w:rPr>
        <w:t>الوضع العام والموضوع له الخاص</w:t>
      </w:r>
      <w:r w:rsidR="00C92775" w:rsidRPr="00FD211F">
        <w:rPr>
          <w:sz w:val="36"/>
          <w:szCs w:val="36"/>
          <w:rtl/>
        </w:rPr>
        <w:t>-</w:t>
      </w:r>
      <w:r w:rsidR="003E3DBD" w:rsidRPr="00FD211F">
        <w:rPr>
          <w:sz w:val="36"/>
          <w:szCs w:val="36"/>
          <w:rtl/>
        </w:rPr>
        <w:t xml:space="preserve"> كما عليه المشهور</w:t>
      </w:r>
      <w:r w:rsidR="00C92775" w:rsidRPr="00FD211F">
        <w:rPr>
          <w:sz w:val="36"/>
          <w:szCs w:val="36"/>
          <w:rtl/>
        </w:rPr>
        <w:t>-</w:t>
      </w:r>
      <w:r w:rsidR="00603323" w:rsidRPr="00FD211F">
        <w:rPr>
          <w:sz w:val="36"/>
          <w:szCs w:val="36"/>
          <w:rtl/>
        </w:rPr>
        <w:t xml:space="preserve">، </w:t>
      </w:r>
      <w:r w:rsidRPr="00FD211F">
        <w:rPr>
          <w:sz w:val="36"/>
          <w:szCs w:val="36"/>
          <w:rtl/>
        </w:rPr>
        <w:t>وتحقي</w:t>
      </w:r>
      <w:r w:rsidR="00727EA9" w:rsidRPr="00FD211F">
        <w:rPr>
          <w:sz w:val="36"/>
          <w:szCs w:val="36"/>
          <w:rtl/>
        </w:rPr>
        <w:t>ق الكلام في ذلك يتوقف اولا على معرف</w:t>
      </w:r>
      <w:r w:rsidR="00EC7EDF" w:rsidRPr="00FD211F">
        <w:rPr>
          <w:sz w:val="36"/>
          <w:szCs w:val="36"/>
          <w:rtl/>
        </w:rPr>
        <w:t xml:space="preserve">ة </w:t>
      </w:r>
      <w:r w:rsidRPr="00FD211F">
        <w:rPr>
          <w:sz w:val="36"/>
          <w:szCs w:val="36"/>
          <w:rtl/>
        </w:rPr>
        <w:t xml:space="preserve">معاني </w:t>
      </w:r>
      <w:r w:rsidR="003E3DBD" w:rsidRPr="00FD211F">
        <w:rPr>
          <w:sz w:val="36"/>
          <w:szCs w:val="36"/>
          <w:rtl/>
        </w:rPr>
        <w:t>الحروف</w:t>
      </w:r>
      <w:r w:rsidRPr="00FD211F">
        <w:rPr>
          <w:sz w:val="36"/>
          <w:szCs w:val="36"/>
          <w:rtl/>
        </w:rPr>
        <w:t xml:space="preserve"> والهيئات ثم التكلم في ان الموضوع له فيها هل يكون عاما او خاصا</w:t>
      </w:r>
      <w:r w:rsidR="00603323" w:rsidRPr="00FD211F">
        <w:rPr>
          <w:sz w:val="36"/>
          <w:szCs w:val="36"/>
          <w:rtl/>
        </w:rPr>
        <w:t xml:space="preserve">، </w:t>
      </w:r>
      <w:r w:rsidRPr="00FD211F">
        <w:rPr>
          <w:sz w:val="36"/>
          <w:szCs w:val="36"/>
          <w:rtl/>
        </w:rPr>
        <w:t>فيقع الكلام ف</w:t>
      </w:r>
      <w:r w:rsidR="00AE47A4" w:rsidRPr="00FD211F">
        <w:rPr>
          <w:sz w:val="36"/>
          <w:szCs w:val="36"/>
          <w:rtl/>
        </w:rPr>
        <w:t>ي</w:t>
      </w:r>
      <w:r w:rsidRPr="00FD211F">
        <w:rPr>
          <w:sz w:val="36"/>
          <w:szCs w:val="36"/>
          <w:rtl/>
        </w:rPr>
        <w:t xml:space="preserve"> مقامين</w:t>
      </w:r>
      <w:r w:rsidR="003E3DBD" w:rsidRPr="00FD211F">
        <w:rPr>
          <w:sz w:val="36"/>
          <w:szCs w:val="36"/>
          <w:rtl/>
        </w:rPr>
        <w:t>.</w:t>
      </w:r>
    </w:p>
    <w:p w14:paraId="6C754E8E" w14:textId="77777777" w:rsidR="003B4715" w:rsidRPr="00FD211F" w:rsidRDefault="003B4715" w:rsidP="009C58C8">
      <w:pPr>
        <w:pStyle w:val="3"/>
        <w:ind w:firstLine="227"/>
        <w:jc w:val="both"/>
        <w:rPr>
          <w:rtl/>
        </w:rPr>
      </w:pPr>
      <w:bookmarkStart w:id="153" w:name="_Toc192092860"/>
      <w:bookmarkStart w:id="154" w:name="_Toc223890334"/>
      <w:r w:rsidRPr="00FD211F">
        <w:rPr>
          <w:rtl/>
        </w:rPr>
        <w:t>المقام الاول</w:t>
      </w:r>
      <w:r w:rsidR="003E3DBD" w:rsidRPr="00FD211F">
        <w:rPr>
          <w:rtl/>
        </w:rPr>
        <w:t>:</w:t>
      </w:r>
      <w:r w:rsidR="00727EA9" w:rsidRPr="00FD211F">
        <w:rPr>
          <w:rtl/>
        </w:rPr>
        <w:t xml:space="preserve"> في</w:t>
      </w:r>
      <w:r w:rsidRPr="00FD211F">
        <w:rPr>
          <w:rtl/>
        </w:rPr>
        <w:t xml:space="preserve"> المعاني الحرفي</w:t>
      </w:r>
      <w:r w:rsidR="00EC7EDF" w:rsidRPr="00FD211F">
        <w:rPr>
          <w:rtl/>
        </w:rPr>
        <w:t xml:space="preserve">ة </w:t>
      </w:r>
      <w:r w:rsidRPr="00FD211F">
        <w:rPr>
          <w:rtl/>
        </w:rPr>
        <w:t>والهيئات</w:t>
      </w:r>
      <w:bookmarkEnd w:id="153"/>
      <w:bookmarkEnd w:id="154"/>
    </w:p>
    <w:p w14:paraId="6B539552" w14:textId="77777777" w:rsidR="003E3DBD" w:rsidRPr="00FD211F" w:rsidRDefault="003E3DBD" w:rsidP="009C58C8">
      <w:pPr>
        <w:ind w:left="0" w:firstLine="227"/>
        <w:jc w:val="both"/>
        <w:rPr>
          <w:sz w:val="36"/>
          <w:szCs w:val="36"/>
          <w:rtl/>
        </w:rPr>
      </w:pPr>
      <w:r w:rsidRPr="00FD211F">
        <w:rPr>
          <w:sz w:val="36"/>
          <w:szCs w:val="36"/>
          <w:rtl/>
        </w:rPr>
        <w:t>ول</w:t>
      </w:r>
      <w:r w:rsidR="00727EA9" w:rsidRPr="00FD211F">
        <w:rPr>
          <w:sz w:val="36"/>
          <w:szCs w:val="36"/>
          <w:rtl/>
        </w:rPr>
        <w:t>نبدأ بالبحث عن المعاني الحرفي</w:t>
      </w:r>
      <w:r w:rsidR="00EC7EDF" w:rsidRPr="00FD211F">
        <w:rPr>
          <w:sz w:val="36"/>
          <w:szCs w:val="36"/>
          <w:rtl/>
        </w:rPr>
        <w:t xml:space="preserve">ة </w:t>
      </w:r>
      <w:r w:rsidR="00727EA9" w:rsidRPr="00FD211F">
        <w:rPr>
          <w:sz w:val="36"/>
          <w:szCs w:val="36"/>
          <w:rtl/>
        </w:rPr>
        <w:t xml:space="preserve">ثم </w:t>
      </w:r>
      <w:r w:rsidRPr="00FD211F">
        <w:rPr>
          <w:sz w:val="36"/>
          <w:szCs w:val="36"/>
          <w:rtl/>
        </w:rPr>
        <w:t>الهيئات</w:t>
      </w:r>
    </w:p>
    <w:p w14:paraId="00944ED3" w14:textId="77777777" w:rsidR="007F5659" w:rsidRPr="00FD211F" w:rsidRDefault="007F5659" w:rsidP="009C58C8">
      <w:pPr>
        <w:pStyle w:val="3"/>
        <w:ind w:firstLine="227"/>
        <w:jc w:val="both"/>
        <w:rPr>
          <w:rtl/>
        </w:rPr>
      </w:pPr>
      <w:bookmarkStart w:id="155" w:name="_Toc192092861"/>
      <w:bookmarkStart w:id="156" w:name="_Toc223890335"/>
      <w:r w:rsidRPr="00FD211F">
        <w:rPr>
          <w:rtl/>
        </w:rPr>
        <w:t>المعاني الحرفي</w:t>
      </w:r>
      <w:r w:rsidR="00EC7EDF" w:rsidRPr="00FD211F">
        <w:rPr>
          <w:rtl/>
        </w:rPr>
        <w:t>ة</w:t>
      </w:r>
      <w:bookmarkEnd w:id="156"/>
      <w:r w:rsidR="00EC7EDF" w:rsidRPr="00FD211F">
        <w:rPr>
          <w:rtl/>
        </w:rPr>
        <w:t xml:space="preserve"> </w:t>
      </w:r>
      <w:bookmarkEnd w:id="155"/>
    </w:p>
    <w:p w14:paraId="54A094A5" w14:textId="77777777" w:rsidR="007F5659" w:rsidRPr="00FD211F" w:rsidRDefault="007F5659" w:rsidP="009C58C8">
      <w:pPr>
        <w:ind w:left="0" w:firstLine="227"/>
        <w:jc w:val="both"/>
        <w:rPr>
          <w:sz w:val="36"/>
          <w:szCs w:val="36"/>
          <w:rtl/>
        </w:rPr>
      </w:pPr>
      <w:r w:rsidRPr="00FD211F">
        <w:rPr>
          <w:sz w:val="36"/>
          <w:szCs w:val="36"/>
          <w:rtl/>
        </w:rPr>
        <w:t>حيث كان يذكر اهل اللغ</w:t>
      </w:r>
      <w:r w:rsidR="00EC7EDF" w:rsidRPr="00FD211F">
        <w:rPr>
          <w:sz w:val="36"/>
          <w:szCs w:val="36"/>
          <w:rtl/>
        </w:rPr>
        <w:t xml:space="preserve">ة </w:t>
      </w:r>
      <w:r w:rsidRPr="00FD211F">
        <w:rPr>
          <w:sz w:val="36"/>
          <w:szCs w:val="36"/>
          <w:rtl/>
        </w:rPr>
        <w:t xml:space="preserve">من قديم الزمان بإزاء كل </w:t>
      </w:r>
      <w:r w:rsidR="00727EA9" w:rsidRPr="00FD211F">
        <w:rPr>
          <w:sz w:val="36"/>
          <w:szCs w:val="36"/>
          <w:rtl/>
        </w:rPr>
        <w:t>حرف معنى</w:t>
      </w:r>
      <w:r w:rsidRPr="00FD211F">
        <w:rPr>
          <w:sz w:val="36"/>
          <w:szCs w:val="36"/>
          <w:rtl/>
        </w:rPr>
        <w:t xml:space="preserve"> معينا</w:t>
      </w:r>
      <w:r w:rsidR="00603323" w:rsidRPr="00FD211F">
        <w:rPr>
          <w:sz w:val="36"/>
          <w:szCs w:val="36"/>
          <w:rtl/>
        </w:rPr>
        <w:t xml:space="preserve">، </w:t>
      </w:r>
      <w:r w:rsidRPr="00FD211F">
        <w:rPr>
          <w:sz w:val="36"/>
          <w:szCs w:val="36"/>
          <w:rtl/>
        </w:rPr>
        <w:t>فيقولون مثلا ان "من" موضوع</w:t>
      </w:r>
      <w:r w:rsidR="00EC7EDF" w:rsidRPr="00FD211F">
        <w:rPr>
          <w:sz w:val="36"/>
          <w:szCs w:val="36"/>
          <w:rtl/>
        </w:rPr>
        <w:t xml:space="preserve">ة </w:t>
      </w:r>
      <w:r w:rsidRPr="00FD211F">
        <w:rPr>
          <w:sz w:val="36"/>
          <w:szCs w:val="36"/>
          <w:rtl/>
        </w:rPr>
        <w:t>للابتداء</w:t>
      </w:r>
      <w:r w:rsidR="00603323" w:rsidRPr="00FD211F">
        <w:rPr>
          <w:sz w:val="36"/>
          <w:szCs w:val="36"/>
          <w:rtl/>
        </w:rPr>
        <w:t xml:space="preserve">، </w:t>
      </w:r>
      <w:r w:rsidRPr="00FD211F">
        <w:rPr>
          <w:sz w:val="36"/>
          <w:szCs w:val="36"/>
          <w:rtl/>
        </w:rPr>
        <w:t>ولكن كان يلحظ عدم صح</w:t>
      </w:r>
      <w:r w:rsidR="00EC7EDF" w:rsidRPr="00FD211F">
        <w:rPr>
          <w:sz w:val="36"/>
          <w:szCs w:val="36"/>
          <w:rtl/>
        </w:rPr>
        <w:t xml:space="preserve">ة </w:t>
      </w:r>
      <w:r w:rsidRPr="00FD211F">
        <w:rPr>
          <w:sz w:val="36"/>
          <w:szCs w:val="36"/>
          <w:rtl/>
        </w:rPr>
        <w:t xml:space="preserve">استعمال احدهما في موضع الآخر </w:t>
      </w:r>
      <w:r w:rsidR="00185B8A" w:rsidRPr="00FD211F">
        <w:rPr>
          <w:sz w:val="36"/>
          <w:szCs w:val="36"/>
          <w:rtl/>
        </w:rPr>
        <w:t>غالبا</w:t>
      </w:r>
      <w:r w:rsidR="00603323" w:rsidRPr="00FD211F">
        <w:rPr>
          <w:sz w:val="36"/>
          <w:szCs w:val="36"/>
          <w:rtl/>
        </w:rPr>
        <w:t xml:space="preserve">، </w:t>
      </w:r>
      <w:r w:rsidR="00395CC8" w:rsidRPr="00FD211F">
        <w:rPr>
          <w:sz w:val="36"/>
          <w:szCs w:val="36"/>
          <w:rtl/>
        </w:rPr>
        <w:t xml:space="preserve">وان كان يصح </w:t>
      </w:r>
      <w:r w:rsidR="007B75C9" w:rsidRPr="00FD211F">
        <w:rPr>
          <w:sz w:val="36"/>
          <w:szCs w:val="36"/>
          <w:rtl/>
        </w:rPr>
        <w:t xml:space="preserve">ذلك </w:t>
      </w:r>
      <w:r w:rsidR="00395CC8" w:rsidRPr="00FD211F">
        <w:rPr>
          <w:sz w:val="36"/>
          <w:szCs w:val="36"/>
          <w:rtl/>
        </w:rPr>
        <w:t>في بعض الموارد</w:t>
      </w:r>
      <w:r w:rsidR="00480661" w:rsidRPr="00FD211F">
        <w:rPr>
          <w:sz w:val="36"/>
          <w:szCs w:val="36"/>
          <w:rtl/>
        </w:rPr>
        <w:t xml:space="preserve"> </w:t>
      </w:r>
      <w:r w:rsidR="00395CC8" w:rsidRPr="00FD211F">
        <w:rPr>
          <w:sz w:val="36"/>
          <w:szCs w:val="36"/>
          <w:rtl/>
        </w:rPr>
        <w:t>النادر</w:t>
      </w:r>
      <w:r w:rsidR="00EC7EDF" w:rsidRPr="00FD211F">
        <w:rPr>
          <w:sz w:val="36"/>
          <w:szCs w:val="36"/>
          <w:rtl/>
        </w:rPr>
        <w:t xml:space="preserve">ة </w:t>
      </w:r>
      <w:r w:rsidR="00395CC8" w:rsidRPr="00FD211F">
        <w:rPr>
          <w:sz w:val="36"/>
          <w:szCs w:val="36"/>
          <w:rtl/>
        </w:rPr>
        <w:t>كما في قولنا الجالس على السطح والجالس فوق السطح</w:t>
      </w:r>
      <w:r w:rsidR="00603323" w:rsidRPr="00FD211F">
        <w:rPr>
          <w:sz w:val="36"/>
          <w:szCs w:val="36"/>
          <w:rtl/>
        </w:rPr>
        <w:t xml:space="preserve">، </w:t>
      </w:r>
      <w:r w:rsidR="00395CC8" w:rsidRPr="00FD211F">
        <w:rPr>
          <w:sz w:val="36"/>
          <w:szCs w:val="36"/>
          <w:rtl/>
        </w:rPr>
        <w:t>او قولنا اخذت من الدارهم واخذت بعض الدراهم</w:t>
      </w:r>
      <w:r w:rsidR="00603323" w:rsidRPr="00FD211F">
        <w:rPr>
          <w:sz w:val="36"/>
          <w:szCs w:val="36"/>
          <w:rtl/>
        </w:rPr>
        <w:t xml:space="preserve">، </w:t>
      </w:r>
      <w:r w:rsidR="00395CC8" w:rsidRPr="00FD211F">
        <w:rPr>
          <w:sz w:val="36"/>
          <w:szCs w:val="36"/>
          <w:rtl/>
        </w:rPr>
        <w:t>اوقولنا زيد كالاسد وزيد مثل الاسد</w:t>
      </w:r>
      <w:r w:rsidR="00603323" w:rsidRPr="00FD211F">
        <w:rPr>
          <w:sz w:val="36"/>
          <w:szCs w:val="36"/>
          <w:rtl/>
        </w:rPr>
        <w:t xml:space="preserve">، </w:t>
      </w:r>
      <w:r w:rsidR="00395CC8" w:rsidRPr="00FD211F">
        <w:rPr>
          <w:sz w:val="36"/>
          <w:szCs w:val="36"/>
          <w:rtl/>
        </w:rPr>
        <w:t xml:space="preserve">وقولنا ليت الشباب </w:t>
      </w:r>
      <w:r w:rsidR="00185B8A" w:rsidRPr="00FD211F">
        <w:rPr>
          <w:sz w:val="36"/>
          <w:szCs w:val="36"/>
          <w:rtl/>
        </w:rPr>
        <w:t>يعود لنا واتمنى الشباب يعود لنا</w:t>
      </w:r>
      <w:r w:rsidR="00603323" w:rsidRPr="00FD211F">
        <w:rPr>
          <w:sz w:val="36"/>
          <w:szCs w:val="36"/>
          <w:rtl/>
        </w:rPr>
        <w:t xml:space="preserve">، </w:t>
      </w:r>
      <w:r w:rsidR="00185B8A" w:rsidRPr="00FD211F">
        <w:rPr>
          <w:sz w:val="36"/>
          <w:szCs w:val="36"/>
          <w:rtl/>
        </w:rPr>
        <w:t>ولكن المهم عدم صح</w:t>
      </w:r>
      <w:r w:rsidR="00EC7EDF" w:rsidRPr="00FD211F">
        <w:rPr>
          <w:sz w:val="36"/>
          <w:szCs w:val="36"/>
          <w:rtl/>
        </w:rPr>
        <w:t xml:space="preserve">ة </w:t>
      </w:r>
      <w:r w:rsidR="00185B8A" w:rsidRPr="00FD211F">
        <w:rPr>
          <w:sz w:val="36"/>
          <w:szCs w:val="36"/>
          <w:rtl/>
        </w:rPr>
        <w:t>استعمال الحرف مكان الاسم وبالعكس عاد</w:t>
      </w:r>
      <w:r w:rsidR="00EC7EDF" w:rsidRPr="00FD211F">
        <w:rPr>
          <w:sz w:val="36"/>
          <w:szCs w:val="36"/>
          <w:rtl/>
        </w:rPr>
        <w:t>ة</w:t>
      </w:r>
      <w:r w:rsidR="00603323" w:rsidRPr="00FD211F">
        <w:rPr>
          <w:sz w:val="36"/>
          <w:szCs w:val="36"/>
          <w:rtl/>
        </w:rPr>
        <w:t xml:space="preserve">، </w:t>
      </w:r>
      <w:r w:rsidRPr="00FD211F">
        <w:rPr>
          <w:sz w:val="36"/>
          <w:szCs w:val="36"/>
          <w:rtl/>
        </w:rPr>
        <w:t>فلايصح ان يقال</w:t>
      </w:r>
      <w:r w:rsidR="00185B8A" w:rsidRPr="00FD211F">
        <w:rPr>
          <w:sz w:val="36"/>
          <w:szCs w:val="36"/>
          <w:rtl/>
        </w:rPr>
        <w:t>" سرت</w:t>
      </w:r>
      <w:r w:rsidR="00603323" w:rsidRPr="00FD211F">
        <w:rPr>
          <w:sz w:val="36"/>
          <w:szCs w:val="36"/>
          <w:rtl/>
        </w:rPr>
        <w:t xml:space="preserve">، </w:t>
      </w:r>
      <w:r w:rsidR="00185B8A" w:rsidRPr="00FD211F">
        <w:rPr>
          <w:sz w:val="36"/>
          <w:szCs w:val="36"/>
          <w:rtl/>
        </w:rPr>
        <w:t>ابتداء</w:t>
      </w:r>
      <w:r w:rsidR="00603323" w:rsidRPr="00FD211F">
        <w:rPr>
          <w:sz w:val="36"/>
          <w:szCs w:val="36"/>
          <w:rtl/>
        </w:rPr>
        <w:t xml:space="preserve">، </w:t>
      </w:r>
      <w:r w:rsidR="00185B8A" w:rsidRPr="00FD211F">
        <w:rPr>
          <w:sz w:val="36"/>
          <w:szCs w:val="36"/>
          <w:rtl/>
        </w:rPr>
        <w:t>البصر</w:t>
      </w:r>
      <w:r w:rsidR="00EC7EDF" w:rsidRPr="00FD211F">
        <w:rPr>
          <w:sz w:val="36"/>
          <w:szCs w:val="36"/>
          <w:rtl/>
        </w:rPr>
        <w:t xml:space="preserve">ة </w:t>
      </w:r>
      <w:r w:rsidR="00185B8A" w:rsidRPr="00FD211F">
        <w:rPr>
          <w:sz w:val="36"/>
          <w:szCs w:val="36"/>
          <w:rtl/>
        </w:rPr>
        <w:t>"</w:t>
      </w:r>
      <w:r w:rsidR="00603323" w:rsidRPr="00FD211F">
        <w:rPr>
          <w:sz w:val="36"/>
          <w:szCs w:val="36"/>
          <w:rtl/>
        </w:rPr>
        <w:t xml:space="preserve">، </w:t>
      </w:r>
      <w:r w:rsidRPr="00FD211F">
        <w:rPr>
          <w:sz w:val="36"/>
          <w:szCs w:val="36"/>
          <w:rtl/>
        </w:rPr>
        <w:t xml:space="preserve">بدلا عن قولنا </w:t>
      </w:r>
      <w:r w:rsidR="00185B8A" w:rsidRPr="00FD211F">
        <w:rPr>
          <w:sz w:val="36"/>
          <w:szCs w:val="36"/>
          <w:rtl/>
        </w:rPr>
        <w:t>"</w:t>
      </w:r>
      <w:r w:rsidRPr="00FD211F">
        <w:rPr>
          <w:sz w:val="36"/>
          <w:szCs w:val="36"/>
          <w:rtl/>
        </w:rPr>
        <w:t>سرت من البصر</w:t>
      </w:r>
      <w:r w:rsidR="00EC7EDF" w:rsidRPr="00FD211F">
        <w:rPr>
          <w:sz w:val="36"/>
          <w:szCs w:val="36"/>
          <w:rtl/>
        </w:rPr>
        <w:t xml:space="preserve">ة </w:t>
      </w:r>
      <w:r w:rsidR="00185B8A" w:rsidRPr="00FD211F">
        <w:rPr>
          <w:sz w:val="36"/>
          <w:szCs w:val="36"/>
          <w:rtl/>
        </w:rPr>
        <w:t>"</w:t>
      </w:r>
      <w:r w:rsidRPr="00FD211F">
        <w:rPr>
          <w:sz w:val="36"/>
          <w:szCs w:val="36"/>
          <w:rtl/>
        </w:rPr>
        <w:t xml:space="preserve"> كما لايصح ان يقال</w:t>
      </w:r>
      <w:r w:rsidR="00185B8A" w:rsidRPr="00FD211F">
        <w:rPr>
          <w:sz w:val="36"/>
          <w:szCs w:val="36"/>
          <w:rtl/>
        </w:rPr>
        <w:t>"الى خير من من</w:t>
      </w:r>
      <w:r w:rsidR="00761E85" w:rsidRPr="00FD211F">
        <w:rPr>
          <w:sz w:val="36"/>
          <w:szCs w:val="36"/>
          <w:rtl/>
        </w:rPr>
        <w:t xml:space="preserve"> </w:t>
      </w:r>
      <w:r w:rsidR="00185B8A" w:rsidRPr="00FD211F">
        <w:rPr>
          <w:sz w:val="36"/>
          <w:szCs w:val="36"/>
          <w:rtl/>
        </w:rPr>
        <w:t>"</w:t>
      </w:r>
      <w:r w:rsidR="00603323" w:rsidRPr="00FD211F">
        <w:rPr>
          <w:sz w:val="36"/>
          <w:szCs w:val="36"/>
          <w:rtl/>
        </w:rPr>
        <w:t xml:space="preserve">، </w:t>
      </w:r>
      <w:r w:rsidRPr="00FD211F">
        <w:rPr>
          <w:sz w:val="36"/>
          <w:szCs w:val="36"/>
          <w:rtl/>
        </w:rPr>
        <w:t>ب</w:t>
      </w:r>
      <w:r w:rsidR="00727EA9" w:rsidRPr="00FD211F">
        <w:rPr>
          <w:sz w:val="36"/>
          <w:szCs w:val="36"/>
          <w:rtl/>
        </w:rPr>
        <w:t>دلا عن قولنا</w:t>
      </w:r>
      <w:r w:rsidR="00185B8A" w:rsidRPr="00FD211F">
        <w:rPr>
          <w:sz w:val="36"/>
          <w:szCs w:val="36"/>
          <w:rtl/>
        </w:rPr>
        <w:t xml:space="preserve">" </w:t>
      </w:r>
      <w:r w:rsidR="00761E85" w:rsidRPr="00FD211F">
        <w:rPr>
          <w:sz w:val="36"/>
          <w:szCs w:val="36"/>
          <w:rtl/>
        </w:rPr>
        <w:t>ال</w:t>
      </w:r>
      <w:r w:rsidR="00727EA9" w:rsidRPr="00FD211F">
        <w:rPr>
          <w:sz w:val="36"/>
          <w:szCs w:val="36"/>
          <w:rtl/>
        </w:rPr>
        <w:t>ا</w:t>
      </w:r>
      <w:r w:rsidRPr="00FD211F">
        <w:rPr>
          <w:sz w:val="36"/>
          <w:szCs w:val="36"/>
          <w:rtl/>
        </w:rPr>
        <w:t>نتهاء</w:t>
      </w:r>
      <w:r w:rsidR="00761E85" w:rsidRPr="00FD211F">
        <w:rPr>
          <w:sz w:val="36"/>
          <w:szCs w:val="36"/>
          <w:rtl/>
        </w:rPr>
        <w:t xml:space="preserve"> </w:t>
      </w:r>
      <w:r w:rsidR="00727EA9" w:rsidRPr="00FD211F">
        <w:rPr>
          <w:sz w:val="36"/>
          <w:szCs w:val="36"/>
          <w:rtl/>
        </w:rPr>
        <w:t>خير</w:t>
      </w:r>
      <w:r w:rsidR="00804DBF">
        <w:rPr>
          <w:rFonts w:hint="cs"/>
          <w:sz w:val="36"/>
          <w:szCs w:val="36"/>
          <w:rtl/>
        </w:rPr>
        <w:t xml:space="preserve"> </w:t>
      </w:r>
      <w:r w:rsidR="00727EA9" w:rsidRPr="00FD211F">
        <w:rPr>
          <w:sz w:val="36"/>
          <w:szCs w:val="36"/>
          <w:rtl/>
        </w:rPr>
        <w:t>من ا</w:t>
      </w:r>
      <w:r w:rsidR="00761E85" w:rsidRPr="00FD211F">
        <w:rPr>
          <w:sz w:val="36"/>
          <w:szCs w:val="36"/>
          <w:rtl/>
        </w:rPr>
        <w:t>لابتداء</w:t>
      </w:r>
      <w:r w:rsidR="00185B8A" w:rsidRPr="00FD211F">
        <w:rPr>
          <w:sz w:val="36"/>
          <w:szCs w:val="36"/>
          <w:rtl/>
        </w:rPr>
        <w:t>"</w:t>
      </w:r>
      <w:r w:rsidR="00727EA9" w:rsidRPr="00FD211F">
        <w:rPr>
          <w:sz w:val="36"/>
          <w:szCs w:val="36"/>
          <w:rtl/>
        </w:rPr>
        <w:t xml:space="preserve"> </w:t>
      </w:r>
      <w:r w:rsidRPr="00FD211F">
        <w:rPr>
          <w:sz w:val="36"/>
          <w:szCs w:val="36"/>
          <w:rtl/>
        </w:rPr>
        <w:t>فحاول الاعلام بيان الفرق بينهما في ضمن بحوث لفظي</w:t>
      </w:r>
      <w:r w:rsidR="00EC7EDF" w:rsidRPr="00FD211F">
        <w:rPr>
          <w:sz w:val="36"/>
          <w:szCs w:val="36"/>
          <w:rtl/>
        </w:rPr>
        <w:t xml:space="preserve">ة </w:t>
      </w:r>
      <w:r w:rsidRPr="00FD211F">
        <w:rPr>
          <w:sz w:val="36"/>
          <w:szCs w:val="36"/>
          <w:rtl/>
        </w:rPr>
        <w:t>تحليلي</w:t>
      </w:r>
      <w:r w:rsidR="00EC7EDF" w:rsidRPr="00FD211F">
        <w:rPr>
          <w:sz w:val="36"/>
          <w:szCs w:val="36"/>
          <w:rtl/>
        </w:rPr>
        <w:t>ة</w:t>
      </w:r>
      <w:r w:rsidR="00603323" w:rsidRPr="00FD211F">
        <w:rPr>
          <w:sz w:val="36"/>
          <w:szCs w:val="36"/>
          <w:rtl/>
        </w:rPr>
        <w:t xml:space="preserve">، </w:t>
      </w:r>
      <w:r w:rsidRPr="00FD211F">
        <w:rPr>
          <w:sz w:val="36"/>
          <w:szCs w:val="36"/>
          <w:rtl/>
        </w:rPr>
        <w:t>وقد اختلفوا في ذلك الى ثلاث مسالك رئيسي</w:t>
      </w:r>
      <w:r w:rsidR="00EC7EDF" w:rsidRPr="00FD211F">
        <w:rPr>
          <w:sz w:val="36"/>
          <w:szCs w:val="36"/>
          <w:rtl/>
        </w:rPr>
        <w:t>ة</w:t>
      </w:r>
      <w:r w:rsidR="00A61BAE" w:rsidRPr="00FD211F">
        <w:rPr>
          <w:sz w:val="36"/>
          <w:szCs w:val="36"/>
          <w:rtl/>
        </w:rPr>
        <w:t>.</w:t>
      </w:r>
    </w:p>
    <w:p w14:paraId="2F736D4A" w14:textId="77777777" w:rsidR="007F5659" w:rsidRPr="00FD211F" w:rsidRDefault="007F5659" w:rsidP="009C58C8">
      <w:pPr>
        <w:pStyle w:val="3"/>
        <w:ind w:firstLine="227"/>
        <w:jc w:val="both"/>
        <w:rPr>
          <w:rtl/>
        </w:rPr>
      </w:pPr>
      <w:bookmarkStart w:id="157" w:name="درس078"/>
      <w:bookmarkStart w:id="158" w:name="_Toc192092862"/>
      <w:bookmarkStart w:id="159" w:name="_Toc223890336"/>
      <w:bookmarkEnd w:id="157"/>
      <w:r w:rsidRPr="00FD211F">
        <w:rPr>
          <w:rtl/>
        </w:rPr>
        <w:t>مسلك العلامي</w:t>
      </w:r>
      <w:r w:rsidR="00EC7EDF" w:rsidRPr="00FD211F">
        <w:rPr>
          <w:rtl/>
        </w:rPr>
        <w:t>ة</w:t>
      </w:r>
      <w:bookmarkEnd w:id="159"/>
      <w:r w:rsidR="00EC7EDF" w:rsidRPr="00FD211F">
        <w:rPr>
          <w:rtl/>
        </w:rPr>
        <w:t xml:space="preserve"> </w:t>
      </w:r>
      <w:bookmarkEnd w:id="158"/>
    </w:p>
    <w:p w14:paraId="7A346BAC" w14:textId="77777777" w:rsidR="007F5659" w:rsidRPr="00FD211F" w:rsidRDefault="007F5659" w:rsidP="009C58C8">
      <w:pPr>
        <w:ind w:left="0" w:firstLine="227"/>
        <w:jc w:val="both"/>
        <w:rPr>
          <w:sz w:val="36"/>
          <w:szCs w:val="36"/>
          <w:rtl/>
        </w:rPr>
      </w:pPr>
      <w:r w:rsidRPr="00FD211F">
        <w:rPr>
          <w:b/>
          <w:bCs/>
          <w:sz w:val="36"/>
          <w:szCs w:val="36"/>
          <w:rtl/>
        </w:rPr>
        <w:t>المسلك الأول</w:t>
      </w:r>
      <w:r w:rsidRPr="00FD211F">
        <w:rPr>
          <w:sz w:val="36"/>
          <w:szCs w:val="36"/>
          <w:rtl/>
        </w:rPr>
        <w:t>: ان الحروف</w:t>
      </w:r>
      <w:r w:rsidR="008D7B3D" w:rsidRPr="00FD211F">
        <w:rPr>
          <w:sz w:val="36"/>
          <w:szCs w:val="36"/>
          <w:rtl/>
        </w:rPr>
        <w:t xml:space="preserve"> لم‌</w:t>
      </w:r>
      <w:r w:rsidRPr="00FD211F">
        <w:rPr>
          <w:sz w:val="36"/>
          <w:szCs w:val="36"/>
          <w:rtl/>
        </w:rPr>
        <w:t>توضع لمعنى وانما وضعت لتكون علام</w:t>
      </w:r>
      <w:r w:rsidR="00EC7EDF" w:rsidRPr="00FD211F">
        <w:rPr>
          <w:sz w:val="36"/>
          <w:szCs w:val="36"/>
          <w:rtl/>
        </w:rPr>
        <w:t xml:space="preserve">ة </w:t>
      </w:r>
      <w:r w:rsidRPr="00FD211F">
        <w:rPr>
          <w:sz w:val="36"/>
          <w:szCs w:val="36"/>
          <w:rtl/>
        </w:rPr>
        <w:t>على خصوصي</w:t>
      </w:r>
      <w:r w:rsidR="00EC7EDF" w:rsidRPr="00FD211F">
        <w:rPr>
          <w:sz w:val="36"/>
          <w:szCs w:val="36"/>
          <w:rtl/>
        </w:rPr>
        <w:t xml:space="preserve">ة </w:t>
      </w:r>
      <w:r w:rsidRPr="00FD211F">
        <w:rPr>
          <w:sz w:val="36"/>
          <w:szCs w:val="36"/>
          <w:rtl/>
        </w:rPr>
        <w:t>في مدخولاتها</w:t>
      </w:r>
      <w:r w:rsidR="00603323" w:rsidRPr="00FD211F">
        <w:rPr>
          <w:sz w:val="36"/>
          <w:szCs w:val="36"/>
          <w:rtl/>
        </w:rPr>
        <w:t xml:space="preserve">، </w:t>
      </w:r>
      <w:r w:rsidRPr="00FD211F">
        <w:rPr>
          <w:sz w:val="36"/>
          <w:szCs w:val="36"/>
          <w:rtl/>
        </w:rPr>
        <w:t>نظير حركات الإعراب التي</w:t>
      </w:r>
      <w:r w:rsidR="008D7B3D" w:rsidRPr="00FD211F">
        <w:rPr>
          <w:sz w:val="36"/>
          <w:szCs w:val="36"/>
          <w:rtl/>
        </w:rPr>
        <w:t xml:space="preserve"> لم‌</w:t>
      </w:r>
      <w:r w:rsidRPr="00FD211F">
        <w:rPr>
          <w:sz w:val="36"/>
          <w:szCs w:val="36"/>
          <w:rtl/>
        </w:rPr>
        <w:t>توضع لمعنى</w:t>
      </w:r>
      <w:r w:rsidR="00603323" w:rsidRPr="00FD211F">
        <w:rPr>
          <w:sz w:val="36"/>
          <w:szCs w:val="36"/>
          <w:rtl/>
        </w:rPr>
        <w:t xml:space="preserve">، </w:t>
      </w:r>
      <w:r w:rsidRPr="00FD211F">
        <w:rPr>
          <w:sz w:val="36"/>
          <w:szCs w:val="36"/>
          <w:rtl/>
        </w:rPr>
        <w:t>وانما وضعت لتكون قرين</w:t>
      </w:r>
      <w:r w:rsidR="00EC7EDF" w:rsidRPr="00FD211F">
        <w:rPr>
          <w:sz w:val="36"/>
          <w:szCs w:val="36"/>
          <w:rtl/>
        </w:rPr>
        <w:t xml:space="preserve">ة </w:t>
      </w:r>
      <w:r w:rsidRPr="00FD211F">
        <w:rPr>
          <w:sz w:val="36"/>
          <w:szCs w:val="36"/>
          <w:rtl/>
        </w:rPr>
        <w:t>على فاعلي</w:t>
      </w:r>
      <w:r w:rsidR="00EC7EDF" w:rsidRPr="00FD211F">
        <w:rPr>
          <w:sz w:val="36"/>
          <w:szCs w:val="36"/>
          <w:rtl/>
        </w:rPr>
        <w:t xml:space="preserve">ة </w:t>
      </w:r>
      <w:r w:rsidRPr="00FD211F">
        <w:rPr>
          <w:sz w:val="36"/>
          <w:szCs w:val="36"/>
          <w:rtl/>
        </w:rPr>
        <w:t>مدخولها او مفعوليته ونحو ذلك</w:t>
      </w:r>
      <w:r w:rsidR="00603323" w:rsidRPr="00FD211F">
        <w:rPr>
          <w:sz w:val="36"/>
          <w:szCs w:val="36"/>
          <w:rtl/>
        </w:rPr>
        <w:t xml:space="preserve">، </w:t>
      </w:r>
      <w:r w:rsidRPr="00FD211F">
        <w:rPr>
          <w:sz w:val="36"/>
          <w:szCs w:val="36"/>
          <w:rtl/>
        </w:rPr>
        <w:t>فلفظ</w:t>
      </w:r>
      <w:r w:rsidR="00EC7EDF" w:rsidRPr="00FD211F">
        <w:rPr>
          <w:sz w:val="36"/>
          <w:szCs w:val="36"/>
          <w:rtl/>
        </w:rPr>
        <w:t xml:space="preserve">ة </w:t>
      </w:r>
      <w:r w:rsidRPr="00FD211F">
        <w:rPr>
          <w:sz w:val="36"/>
          <w:szCs w:val="36"/>
          <w:rtl/>
        </w:rPr>
        <w:t>من مثلا</w:t>
      </w:r>
      <w:r w:rsidR="008D7B3D" w:rsidRPr="00FD211F">
        <w:rPr>
          <w:sz w:val="36"/>
          <w:szCs w:val="36"/>
          <w:rtl/>
        </w:rPr>
        <w:t xml:space="preserve"> لم‌</w:t>
      </w:r>
      <w:r w:rsidRPr="00FD211F">
        <w:rPr>
          <w:sz w:val="36"/>
          <w:szCs w:val="36"/>
          <w:rtl/>
        </w:rPr>
        <w:t>توضع بإزاء معنى خاص</w:t>
      </w:r>
      <w:r w:rsidR="00603323" w:rsidRPr="00FD211F">
        <w:rPr>
          <w:sz w:val="36"/>
          <w:szCs w:val="36"/>
          <w:rtl/>
        </w:rPr>
        <w:t xml:space="preserve">، </w:t>
      </w:r>
      <w:r w:rsidRPr="00FD211F">
        <w:rPr>
          <w:sz w:val="36"/>
          <w:szCs w:val="36"/>
          <w:rtl/>
        </w:rPr>
        <w:t>وانما وضعت لمجرد التنبيه على ان السير في قولنا سرت من البصر</w:t>
      </w:r>
      <w:r w:rsidR="00EC7EDF" w:rsidRPr="00FD211F">
        <w:rPr>
          <w:sz w:val="36"/>
          <w:szCs w:val="36"/>
          <w:rtl/>
        </w:rPr>
        <w:t xml:space="preserve">ة </w:t>
      </w:r>
      <w:r w:rsidRPr="00FD211F">
        <w:rPr>
          <w:sz w:val="36"/>
          <w:szCs w:val="36"/>
          <w:rtl/>
        </w:rPr>
        <w:t>مبتدأ به والبصر</w:t>
      </w:r>
      <w:r w:rsidR="00EC7EDF" w:rsidRPr="00FD211F">
        <w:rPr>
          <w:sz w:val="36"/>
          <w:szCs w:val="36"/>
          <w:rtl/>
        </w:rPr>
        <w:t xml:space="preserve">ة </w:t>
      </w:r>
      <w:r w:rsidRPr="00FD211F">
        <w:rPr>
          <w:sz w:val="36"/>
          <w:szCs w:val="36"/>
          <w:rtl/>
        </w:rPr>
        <w:t>مبتدأ منها.</w:t>
      </w:r>
    </w:p>
    <w:p w14:paraId="4813A3BD" w14:textId="77777777" w:rsidR="007F5659" w:rsidRPr="00FD211F" w:rsidRDefault="007F5659" w:rsidP="009C58C8">
      <w:pPr>
        <w:ind w:left="0" w:firstLine="227"/>
        <w:jc w:val="both"/>
        <w:rPr>
          <w:sz w:val="36"/>
          <w:szCs w:val="36"/>
          <w:rtl/>
        </w:rPr>
      </w:pPr>
      <w:r w:rsidRPr="00FD211F">
        <w:rPr>
          <w:sz w:val="36"/>
          <w:szCs w:val="36"/>
          <w:rtl/>
        </w:rPr>
        <w:t xml:space="preserve">واورد عليه الأعلام –ومنهم السيد الخوئي </w:t>
      </w:r>
      <w:r w:rsidR="00AB1B12" w:rsidRPr="00FD211F">
        <w:rPr>
          <w:sz w:val="36"/>
          <w:szCs w:val="36"/>
          <w:rtl/>
        </w:rPr>
        <w:t>"</w:t>
      </w:r>
      <w:r w:rsidRPr="00FD211F">
        <w:rPr>
          <w:sz w:val="36"/>
          <w:szCs w:val="36"/>
          <w:rtl/>
        </w:rPr>
        <w:t>قده</w:t>
      </w:r>
      <w:r w:rsidR="00AB1B12" w:rsidRPr="00FD211F">
        <w:rPr>
          <w:sz w:val="36"/>
          <w:szCs w:val="36"/>
          <w:rtl/>
        </w:rPr>
        <w:t>"</w:t>
      </w:r>
      <w:r w:rsidRPr="00FD211F">
        <w:rPr>
          <w:sz w:val="36"/>
          <w:szCs w:val="36"/>
          <w:rtl/>
        </w:rPr>
        <w:t>- بان هذه الخصوصيات التي دلت عليه الحروف وحركات الإعراب هي بعينها المعاني التي وضعت الحروف بإزائها</w:t>
      </w:r>
      <w:r w:rsidR="00603323" w:rsidRPr="00FD211F">
        <w:rPr>
          <w:sz w:val="36"/>
          <w:szCs w:val="36"/>
          <w:rtl/>
        </w:rPr>
        <w:t xml:space="preserve">، </w:t>
      </w:r>
      <w:r w:rsidRPr="00FD211F">
        <w:rPr>
          <w:sz w:val="36"/>
          <w:szCs w:val="36"/>
          <w:rtl/>
        </w:rPr>
        <w:t>اذ المفروض ان تلك المعاني ليست مما تدل عليه الأسماء</w:t>
      </w:r>
      <w:r w:rsidR="00603323" w:rsidRPr="00FD211F">
        <w:rPr>
          <w:sz w:val="36"/>
          <w:szCs w:val="36"/>
          <w:rtl/>
        </w:rPr>
        <w:t xml:space="preserve">، </w:t>
      </w:r>
      <w:r w:rsidRPr="00FD211F">
        <w:rPr>
          <w:sz w:val="36"/>
          <w:szCs w:val="36"/>
          <w:rtl/>
        </w:rPr>
        <w:t>فانحصر ان يكون الدال عليها هو الحروف</w:t>
      </w:r>
      <w:r w:rsidR="00603323" w:rsidRPr="00FD211F">
        <w:rPr>
          <w:sz w:val="36"/>
          <w:szCs w:val="36"/>
          <w:rtl/>
        </w:rPr>
        <w:t xml:space="preserve">، </w:t>
      </w:r>
      <w:r w:rsidRPr="00FD211F">
        <w:rPr>
          <w:sz w:val="36"/>
          <w:szCs w:val="36"/>
          <w:rtl/>
        </w:rPr>
        <w:t>وعليه فلامعنى للقول بانها</w:t>
      </w:r>
      <w:r w:rsidR="008D7B3D" w:rsidRPr="00FD211F">
        <w:rPr>
          <w:sz w:val="36"/>
          <w:szCs w:val="36"/>
          <w:rtl/>
        </w:rPr>
        <w:t xml:space="preserve"> لم‌</w:t>
      </w:r>
      <w:r w:rsidRPr="00FD211F">
        <w:rPr>
          <w:sz w:val="36"/>
          <w:szCs w:val="36"/>
          <w:rtl/>
        </w:rPr>
        <w:t>توضع لمعنى وانما وضعت لكذا</w:t>
      </w:r>
      <w:r w:rsidR="00603323" w:rsidRPr="00FD211F">
        <w:rPr>
          <w:sz w:val="36"/>
          <w:szCs w:val="36"/>
          <w:rtl/>
        </w:rPr>
        <w:t xml:space="preserve">، </w:t>
      </w:r>
      <w:r w:rsidRPr="00FD211F">
        <w:rPr>
          <w:sz w:val="36"/>
          <w:szCs w:val="36"/>
          <w:rtl/>
        </w:rPr>
        <w:t>بل هذا يشبه الجمع بين المتناقضين</w:t>
      </w:r>
      <w:r w:rsidR="00603323" w:rsidRPr="00FD211F">
        <w:rPr>
          <w:sz w:val="36"/>
          <w:szCs w:val="36"/>
          <w:rtl/>
        </w:rPr>
        <w:t xml:space="preserve">، </w:t>
      </w:r>
      <w:r w:rsidRPr="00FD211F">
        <w:rPr>
          <w:sz w:val="36"/>
          <w:szCs w:val="36"/>
          <w:rtl/>
        </w:rPr>
        <w:t>فبطلان هذا القول من الواضحات الأولي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46"/>
      </w:r>
      <w:r w:rsidR="009C58C8" w:rsidRPr="00FD211F">
        <w:rPr>
          <w:rStyle w:val="a6"/>
          <w:sz w:val="36"/>
          <w:szCs w:val="36"/>
          <w:rtl/>
        </w:rPr>
        <w:t>)</w:t>
      </w:r>
      <w:r w:rsidRPr="00FD211F">
        <w:rPr>
          <w:sz w:val="36"/>
          <w:szCs w:val="36"/>
          <w:rtl/>
        </w:rPr>
        <w:t>.</w:t>
      </w:r>
    </w:p>
    <w:p w14:paraId="347D660C" w14:textId="77777777" w:rsidR="00C57884" w:rsidRPr="00FD211F" w:rsidRDefault="007F5659" w:rsidP="009C58C8">
      <w:pPr>
        <w:ind w:left="0" w:firstLine="227"/>
        <w:jc w:val="both"/>
        <w:rPr>
          <w:sz w:val="36"/>
          <w:szCs w:val="36"/>
          <w:rtl/>
        </w:rPr>
      </w:pPr>
      <w:r w:rsidRPr="00FD211F">
        <w:rPr>
          <w:sz w:val="36"/>
          <w:szCs w:val="36"/>
          <w:rtl/>
        </w:rPr>
        <w:t>اقول: ان أريد من هذا المسلك عدم تأثير الحرف في تكوّن مدلول الجمل</w:t>
      </w:r>
      <w:r w:rsidR="00EC7EDF" w:rsidRPr="00FD211F">
        <w:rPr>
          <w:sz w:val="36"/>
          <w:szCs w:val="36"/>
          <w:rtl/>
        </w:rPr>
        <w:t xml:space="preserve">ة </w:t>
      </w:r>
      <w:r w:rsidRPr="00FD211F">
        <w:rPr>
          <w:sz w:val="36"/>
          <w:szCs w:val="36"/>
          <w:rtl/>
        </w:rPr>
        <w:t>فهو باطل جزما</w:t>
      </w:r>
      <w:r w:rsidR="00603323" w:rsidRPr="00FD211F">
        <w:rPr>
          <w:sz w:val="36"/>
          <w:szCs w:val="36"/>
          <w:rtl/>
        </w:rPr>
        <w:t xml:space="preserve">، </w:t>
      </w:r>
      <w:r w:rsidRPr="00FD211F">
        <w:rPr>
          <w:sz w:val="36"/>
          <w:szCs w:val="36"/>
          <w:rtl/>
        </w:rPr>
        <w:t>حيث ان لازمه عدم إخلال حذفه بالمعنى كما هو كذلك في حركات الاعراب</w:t>
      </w:r>
      <w:r w:rsidR="00603323" w:rsidRPr="00FD211F">
        <w:rPr>
          <w:sz w:val="36"/>
          <w:szCs w:val="36"/>
          <w:rtl/>
        </w:rPr>
        <w:t xml:space="preserve">، </w:t>
      </w:r>
      <w:r w:rsidRPr="00FD211F">
        <w:rPr>
          <w:sz w:val="36"/>
          <w:szCs w:val="36"/>
          <w:rtl/>
        </w:rPr>
        <w:t>وان اريد انه يكشف عن المراد الاستعمالي من مدخوله بان يكون السير مثلا في قولنا السير من البصر</w:t>
      </w:r>
      <w:r w:rsidR="00EC7EDF" w:rsidRPr="00FD211F">
        <w:rPr>
          <w:sz w:val="36"/>
          <w:szCs w:val="36"/>
          <w:rtl/>
        </w:rPr>
        <w:t xml:space="preserve">ة </w:t>
      </w:r>
      <w:r w:rsidRPr="00FD211F">
        <w:rPr>
          <w:sz w:val="36"/>
          <w:szCs w:val="36"/>
          <w:rtl/>
        </w:rPr>
        <w:t>مستعملا في السير الخاص فهو مستلزم للمجاز</w:t>
      </w:r>
      <w:r w:rsidR="00603323" w:rsidRPr="00FD211F">
        <w:rPr>
          <w:sz w:val="36"/>
          <w:szCs w:val="36"/>
          <w:rtl/>
        </w:rPr>
        <w:t xml:space="preserve">، </w:t>
      </w:r>
      <w:r w:rsidRPr="00FD211F">
        <w:rPr>
          <w:sz w:val="36"/>
          <w:szCs w:val="36"/>
          <w:rtl/>
        </w:rPr>
        <w:t>على انه خلاف الوجدان حيث</w:t>
      </w:r>
      <w:r w:rsidR="008D7B3D" w:rsidRPr="00FD211F">
        <w:rPr>
          <w:sz w:val="36"/>
          <w:szCs w:val="36"/>
          <w:rtl/>
        </w:rPr>
        <w:t xml:space="preserve"> لم‌</w:t>
      </w:r>
      <w:r w:rsidRPr="00FD211F">
        <w:rPr>
          <w:sz w:val="36"/>
          <w:szCs w:val="36"/>
          <w:rtl/>
        </w:rPr>
        <w:t>يستعمل لفظ السير الا في معناه الموضوع له</w:t>
      </w:r>
      <w:r w:rsidR="00603323" w:rsidRPr="00FD211F">
        <w:rPr>
          <w:sz w:val="36"/>
          <w:szCs w:val="36"/>
          <w:rtl/>
        </w:rPr>
        <w:t xml:space="preserve">، </w:t>
      </w:r>
      <w:r w:rsidRPr="00FD211F">
        <w:rPr>
          <w:sz w:val="36"/>
          <w:szCs w:val="36"/>
          <w:rtl/>
        </w:rPr>
        <w:t>وان اريد انه يكشف عن المراد الجدي من مدخوله ففيه ان الحرف مؤثر في تكون المدلول الاستعمالي للكلام</w:t>
      </w:r>
      <w:r w:rsidR="00603323" w:rsidRPr="00FD211F">
        <w:rPr>
          <w:sz w:val="36"/>
          <w:szCs w:val="36"/>
          <w:rtl/>
        </w:rPr>
        <w:t xml:space="preserve">، </w:t>
      </w:r>
      <w:r w:rsidRPr="00FD211F">
        <w:rPr>
          <w:sz w:val="36"/>
          <w:szCs w:val="36"/>
          <w:rtl/>
        </w:rPr>
        <w:t>وقد لايوجد في البين مراد جدي للمتكلم اصلا</w:t>
      </w:r>
      <w:r w:rsidR="00603323" w:rsidRPr="00FD211F">
        <w:rPr>
          <w:sz w:val="36"/>
          <w:szCs w:val="36"/>
          <w:rtl/>
        </w:rPr>
        <w:t xml:space="preserve">، </w:t>
      </w:r>
      <w:r w:rsidRPr="00FD211F">
        <w:rPr>
          <w:sz w:val="36"/>
          <w:szCs w:val="36"/>
          <w:rtl/>
        </w:rPr>
        <w:t>وعليه فلا اشكال</w:t>
      </w:r>
      <w:r w:rsidR="00C57884" w:rsidRPr="00FD211F">
        <w:rPr>
          <w:sz w:val="36"/>
          <w:szCs w:val="36"/>
          <w:rtl/>
        </w:rPr>
        <w:t xml:space="preserve"> في</w:t>
      </w:r>
      <w:r w:rsidRPr="00FD211F">
        <w:rPr>
          <w:sz w:val="36"/>
          <w:szCs w:val="36"/>
          <w:rtl/>
        </w:rPr>
        <w:t xml:space="preserve"> كون الحروف دخيل</w:t>
      </w:r>
      <w:r w:rsidR="00EC7EDF" w:rsidRPr="00FD211F">
        <w:rPr>
          <w:sz w:val="36"/>
          <w:szCs w:val="36"/>
          <w:rtl/>
        </w:rPr>
        <w:t xml:space="preserve">ة </w:t>
      </w:r>
      <w:r w:rsidRPr="00FD211F">
        <w:rPr>
          <w:sz w:val="36"/>
          <w:szCs w:val="36"/>
          <w:rtl/>
        </w:rPr>
        <w:t>في زياد</w:t>
      </w:r>
      <w:r w:rsidR="00EC7EDF" w:rsidRPr="00FD211F">
        <w:rPr>
          <w:sz w:val="36"/>
          <w:szCs w:val="36"/>
          <w:rtl/>
        </w:rPr>
        <w:t xml:space="preserve">ة </w:t>
      </w:r>
      <w:r w:rsidRPr="00FD211F">
        <w:rPr>
          <w:sz w:val="36"/>
          <w:szCs w:val="36"/>
          <w:rtl/>
        </w:rPr>
        <w:t>المعنى</w:t>
      </w:r>
      <w:r w:rsidR="00C57884" w:rsidRPr="00FD211F">
        <w:rPr>
          <w:sz w:val="36"/>
          <w:szCs w:val="36"/>
          <w:rtl/>
        </w:rPr>
        <w:t>.</w:t>
      </w:r>
    </w:p>
    <w:p w14:paraId="49C0B2C6" w14:textId="77777777" w:rsidR="007F5659" w:rsidRPr="00FD211F" w:rsidRDefault="007F5659" w:rsidP="009C58C8">
      <w:pPr>
        <w:ind w:left="0" w:firstLine="227"/>
        <w:jc w:val="both"/>
        <w:rPr>
          <w:sz w:val="36"/>
          <w:szCs w:val="36"/>
          <w:rtl/>
        </w:rPr>
      </w:pPr>
      <w:r w:rsidRPr="00FD211F">
        <w:rPr>
          <w:sz w:val="36"/>
          <w:szCs w:val="36"/>
          <w:rtl/>
        </w:rPr>
        <w:t>نعم يمكن ان يراد من هذا المسلك معنى معقول</w:t>
      </w:r>
      <w:r w:rsidR="00603323" w:rsidRPr="00FD211F">
        <w:rPr>
          <w:sz w:val="36"/>
          <w:szCs w:val="36"/>
          <w:rtl/>
        </w:rPr>
        <w:t xml:space="preserve">، </w:t>
      </w:r>
      <w:r w:rsidRPr="00FD211F">
        <w:rPr>
          <w:sz w:val="36"/>
          <w:szCs w:val="36"/>
          <w:rtl/>
        </w:rPr>
        <w:t>وهو انه لايكون بإزاء الحرف بخصوصها أي جزء من المعنى</w:t>
      </w:r>
      <w:r w:rsidR="00603323" w:rsidRPr="00FD211F">
        <w:rPr>
          <w:sz w:val="36"/>
          <w:szCs w:val="36"/>
          <w:rtl/>
        </w:rPr>
        <w:t xml:space="preserve">، </w:t>
      </w:r>
      <w:r w:rsidRPr="00FD211F">
        <w:rPr>
          <w:sz w:val="36"/>
          <w:szCs w:val="36"/>
          <w:rtl/>
        </w:rPr>
        <w:t>وانما تكون 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الحرف دال</w:t>
      </w:r>
      <w:r w:rsidR="00EC7EDF" w:rsidRPr="00FD211F">
        <w:rPr>
          <w:sz w:val="36"/>
          <w:szCs w:val="36"/>
          <w:rtl/>
        </w:rPr>
        <w:t xml:space="preserve">ة </w:t>
      </w:r>
      <w:r w:rsidRPr="00FD211F">
        <w:rPr>
          <w:sz w:val="36"/>
          <w:szCs w:val="36"/>
          <w:rtl/>
        </w:rPr>
        <w:t>على المعنى</w:t>
      </w:r>
      <w:r w:rsidR="00603323" w:rsidRPr="00FD211F">
        <w:rPr>
          <w:sz w:val="36"/>
          <w:szCs w:val="36"/>
          <w:rtl/>
        </w:rPr>
        <w:t xml:space="preserve">، </w:t>
      </w:r>
      <w:r w:rsidRPr="00FD211F">
        <w:rPr>
          <w:sz w:val="36"/>
          <w:szCs w:val="36"/>
          <w:rtl/>
        </w:rPr>
        <w:t>نظير حرف الالف في اسم الفاعل</w:t>
      </w:r>
      <w:r w:rsidR="00603323" w:rsidRPr="00FD211F">
        <w:rPr>
          <w:sz w:val="36"/>
          <w:szCs w:val="36"/>
          <w:rtl/>
        </w:rPr>
        <w:t xml:space="preserve">، </w:t>
      </w:r>
      <w:r w:rsidRPr="00FD211F">
        <w:rPr>
          <w:sz w:val="36"/>
          <w:szCs w:val="36"/>
          <w:rtl/>
        </w:rPr>
        <w:t>او حرف الميم والواو في اسم المفعول</w:t>
      </w:r>
      <w:r w:rsidR="00603323" w:rsidRPr="00FD211F">
        <w:rPr>
          <w:sz w:val="36"/>
          <w:szCs w:val="36"/>
          <w:rtl/>
        </w:rPr>
        <w:t xml:space="preserve">، </w:t>
      </w:r>
      <w:r w:rsidRPr="00FD211F">
        <w:rPr>
          <w:sz w:val="36"/>
          <w:szCs w:val="36"/>
          <w:rtl/>
        </w:rPr>
        <w:t>فانها وان أوجبت زياد</w:t>
      </w:r>
      <w:r w:rsidR="00EC7EDF" w:rsidRPr="00FD211F">
        <w:rPr>
          <w:sz w:val="36"/>
          <w:szCs w:val="36"/>
          <w:rtl/>
        </w:rPr>
        <w:t xml:space="preserve">ة </w:t>
      </w:r>
      <w:r w:rsidRPr="00FD211F">
        <w:rPr>
          <w:sz w:val="36"/>
          <w:szCs w:val="36"/>
          <w:rtl/>
        </w:rPr>
        <w:t>المعنى بلااشكال</w:t>
      </w:r>
      <w:r w:rsidR="00603323" w:rsidRPr="00FD211F">
        <w:rPr>
          <w:sz w:val="36"/>
          <w:szCs w:val="36"/>
          <w:rtl/>
        </w:rPr>
        <w:t xml:space="preserve">، </w:t>
      </w:r>
      <w:r w:rsidRPr="00FD211F">
        <w:rPr>
          <w:sz w:val="36"/>
          <w:szCs w:val="36"/>
          <w:rtl/>
        </w:rPr>
        <w:t>لكن الدال على المعنى هو مجموع الكلم</w:t>
      </w:r>
      <w:r w:rsidR="00EC7EDF" w:rsidRPr="00FD211F">
        <w:rPr>
          <w:sz w:val="36"/>
          <w:szCs w:val="36"/>
          <w:rtl/>
        </w:rPr>
        <w:t>ة</w:t>
      </w:r>
      <w:r w:rsidR="00603323" w:rsidRPr="00FD211F">
        <w:rPr>
          <w:sz w:val="36"/>
          <w:szCs w:val="36"/>
          <w:rtl/>
        </w:rPr>
        <w:t xml:space="preserve">، </w:t>
      </w:r>
      <w:r w:rsidRPr="00FD211F">
        <w:rPr>
          <w:sz w:val="36"/>
          <w:szCs w:val="36"/>
          <w:rtl/>
        </w:rPr>
        <w:t>والمدلول يكون بسيطا تصورا</w:t>
      </w:r>
      <w:r w:rsidR="00603323" w:rsidRPr="00FD211F">
        <w:rPr>
          <w:sz w:val="36"/>
          <w:szCs w:val="36"/>
          <w:rtl/>
        </w:rPr>
        <w:t xml:space="preserve">، </w:t>
      </w:r>
      <w:r w:rsidRPr="00FD211F">
        <w:rPr>
          <w:sz w:val="36"/>
          <w:szCs w:val="36"/>
          <w:rtl/>
        </w:rPr>
        <w:t>فكذا يقال في المقام بان الحرف في مثل قولنا: السير من البصر</w:t>
      </w:r>
      <w:r w:rsidR="00EC7EDF" w:rsidRPr="00FD211F">
        <w:rPr>
          <w:sz w:val="36"/>
          <w:szCs w:val="36"/>
          <w:rtl/>
        </w:rPr>
        <w:t xml:space="preserve">ة </w:t>
      </w:r>
      <w:r w:rsidRPr="00FD211F">
        <w:rPr>
          <w:sz w:val="36"/>
          <w:szCs w:val="36"/>
          <w:rtl/>
        </w:rPr>
        <w:t>وان اوجب زياد</w:t>
      </w:r>
      <w:r w:rsidR="00EC7EDF" w:rsidRPr="00FD211F">
        <w:rPr>
          <w:sz w:val="36"/>
          <w:szCs w:val="36"/>
          <w:rtl/>
        </w:rPr>
        <w:t xml:space="preserve">ة </w:t>
      </w:r>
      <w:r w:rsidRPr="00FD211F">
        <w:rPr>
          <w:sz w:val="36"/>
          <w:szCs w:val="36"/>
          <w:rtl/>
        </w:rPr>
        <w:t>المعنى على ما كان يستفاد من السير والبصر</w:t>
      </w:r>
      <w:r w:rsidR="00EC7EDF" w:rsidRPr="00FD211F">
        <w:rPr>
          <w:sz w:val="36"/>
          <w:szCs w:val="36"/>
          <w:rtl/>
        </w:rPr>
        <w:t>ة</w:t>
      </w:r>
      <w:r w:rsidR="00603323" w:rsidRPr="00FD211F">
        <w:rPr>
          <w:sz w:val="36"/>
          <w:szCs w:val="36"/>
          <w:rtl/>
        </w:rPr>
        <w:t xml:space="preserve">، </w:t>
      </w:r>
      <w:r w:rsidRPr="00FD211F">
        <w:rPr>
          <w:sz w:val="36"/>
          <w:szCs w:val="36"/>
          <w:rtl/>
        </w:rPr>
        <w:t>ولكن لايقع بإزاءه اي جزء من المعنى.</w:t>
      </w:r>
    </w:p>
    <w:p w14:paraId="00973CA9" w14:textId="77777777" w:rsidR="007F5659" w:rsidRPr="00FD211F" w:rsidRDefault="007F5659" w:rsidP="009C58C8">
      <w:pPr>
        <w:ind w:left="0" w:firstLine="227"/>
        <w:jc w:val="both"/>
        <w:rPr>
          <w:sz w:val="36"/>
          <w:szCs w:val="36"/>
          <w:rtl/>
        </w:rPr>
      </w:pPr>
      <w:r w:rsidRPr="00FD211F">
        <w:rPr>
          <w:sz w:val="36"/>
          <w:szCs w:val="36"/>
          <w:rtl/>
        </w:rPr>
        <w:t xml:space="preserve">وهذا هو الظاهر من المحقق الإيرواني </w:t>
      </w:r>
      <w:r w:rsidR="00395CC8" w:rsidRPr="00FD211F">
        <w:rPr>
          <w:sz w:val="36"/>
          <w:szCs w:val="36"/>
          <w:rtl/>
        </w:rPr>
        <w:t>"</w:t>
      </w:r>
      <w:r w:rsidRPr="00FD211F">
        <w:rPr>
          <w:sz w:val="36"/>
          <w:szCs w:val="36"/>
          <w:rtl/>
        </w:rPr>
        <w:t>قده</w:t>
      </w:r>
      <w:r w:rsidR="00395CC8" w:rsidRPr="00FD211F">
        <w:rPr>
          <w:sz w:val="36"/>
          <w:szCs w:val="36"/>
          <w:rtl/>
        </w:rPr>
        <w:t>"</w:t>
      </w:r>
      <w:r w:rsidR="00603323" w:rsidRPr="00FD211F">
        <w:rPr>
          <w:sz w:val="36"/>
          <w:szCs w:val="36"/>
          <w:rtl/>
        </w:rPr>
        <w:t xml:space="preserve">، </w:t>
      </w:r>
      <w:r w:rsidRPr="00FD211F">
        <w:rPr>
          <w:sz w:val="36"/>
          <w:szCs w:val="36"/>
          <w:rtl/>
        </w:rPr>
        <w:t>حيث قال: التحقيق ان الحروف لاوضع لها اصلا</w:t>
      </w:r>
      <w:r w:rsidR="00603323" w:rsidRPr="00FD211F">
        <w:rPr>
          <w:sz w:val="36"/>
          <w:szCs w:val="36"/>
          <w:rtl/>
        </w:rPr>
        <w:t xml:space="preserve">، </w:t>
      </w:r>
      <w:r w:rsidRPr="00FD211F">
        <w:rPr>
          <w:sz w:val="36"/>
          <w:szCs w:val="36"/>
          <w:rtl/>
        </w:rPr>
        <w:t>وانما الوضع للهيئات التركيبي</w:t>
      </w:r>
      <w:r w:rsidR="00EC7EDF" w:rsidRPr="00FD211F">
        <w:rPr>
          <w:sz w:val="36"/>
          <w:szCs w:val="36"/>
          <w:rtl/>
        </w:rPr>
        <w:t>ة</w:t>
      </w:r>
      <w:r w:rsidR="00603323" w:rsidRPr="00FD211F">
        <w:rPr>
          <w:sz w:val="36"/>
          <w:szCs w:val="36"/>
          <w:rtl/>
        </w:rPr>
        <w:t xml:space="preserve">، </w:t>
      </w:r>
      <w:r w:rsidRPr="00FD211F">
        <w:rPr>
          <w:sz w:val="36"/>
          <w:szCs w:val="36"/>
          <w:rtl/>
        </w:rPr>
        <w:t>فان المعنى المستفاد من 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الحرف مفهوم بسيط ينحل الى امور متعدد</w:t>
      </w:r>
      <w:r w:rsidR="00EC7EDF" w:rsidRPr="00FD211F">
        <w:rPr>
          <w:sz w:val="36"/>
          <w:szCs w:val="36"/>
          <w:rtl/>
        </w:rPr>
        <w:t xml:space="preserve">ة </w:t>
      </w:r>
      <w:r w:rsidRPr="00FD211F">
        <w:rPr>
          <w:sz w:val="36"/>
          <w:szCs w:val="36"/>
          <w:rtl/>
        </w:rPr>
        <w:t>من جملتها الربط</w:t>
      </w:r>
      <w:r w:rsidR="00603323" w:rsidRPr="00FD211F">
        <w:rPr>
          <w:sz w:val="36"/>
          <w:szCs w:val="36"/>
          <w:rtl/>
        </w:rPr>
        <w:t xml:space="preserve">، </w:t>
      </w:r>
      <w:r w:rsidRPr="00FD211F">
        <w:rPr>
          <w:sz w:val="36"/>
          <w:szCs w:val="36"/>
          <w:rtl/>
        </w:rPr>
        <w:t>ويتعلق الوضع بمفاهيم هي ذوات ربط في نفسها</w:t>
      </w:r>
      <w:r w:rsidR="00603323" w:rsidRPr="00FD211F">
        <w:rPr>
          <w:sz w:val="36"/>
          <w:szCs w:val="36"/>
          <w:rtl/>
        </w:rPr>
        <w:t xml:space="preserve">، </w:t>
      </w:r>
      <w:r w:rsidRPr="00FD211F">
        <w:rPr>
          <w:sz w:val="36"/>
          <w:szCs w:val="36"/>
          <w:rtl/>
        </w:rPr>
        <w:t>ولايمكن لحاظ الربط مستقلا كي يوضع بإزاءه الحرف</w:t>
      </w:r>
      <w:r w:rsidR="00603323" w:rsidRPr="00FD211F">
        <w:rPr>
          <w:sz w:val="36"/>
          <w:szCs w:val="36"/>
          <w:rtl/>
        </w:rPr>
        <w:t xml:space="preserve">، </w:t>
      </w:r>
      <w:r w:rsidRPr="00FD211F">
        <w:rPr>
          <w:sz w:val="36"/>
          <w:szCs w:val="36"/>
          <w:rtl/>
        </w:rPr>
        <w:t>فلم يكن حينئذ بدّ من انكار وضع الحروف والالتزام بالوضع للمركبات وضعا نوعيا غير الوضع المتعلق بموادّها</w:t>
      </w:r>
      <w:r w:rsidR="00603323" w:rsidRPr="00FD211F">
        <w:rPr>
          <w:sz w:val="36"/>
          <w:szCs w:val="36"/>
          <w:rtl/>
        </w:rPr>
        <w:t xml:space="preserve">، </w:t>
      </w:r>
      <w:r w:rsidRPr="00FD211F">
        <w:rPr>
          <w:sz w:val="36"/>
          <w:szCs w:val="36"/>
          <w:rtl/>
        </w:rPr>
        <w:t>وظني ان حسبان وضع الحروف ناش مما يرى من حصول الاختلاف في المعنى باختلافها فيظن استناد ذلك الى معنى الحروف</w:t>
      </w:r>
      <w:r w:rsidR="00603323" w:rsidRPr="00FD211F">
        <w:rPr>
          <w:sz w:val="36"/>
          <w:szCs w:val="36"/>
          <w:rtl/>
        </w:rPr>
        <w:t xml:space="preserve">، </w:t>
      </w:r>
      <w:r w:rsidRPr="00FD211F">
        <w:rPr>
          <w:sz w:val="36"/>
          <w:szCs w:val="36"/>
          <w:rtl/>
        </w:rPr>
        <w:t>غفل</w:t>
      </w:r>
      <w:r w:rsidR="00EC7EDF" w:rsidRPr="00FD211F">
        <w:rPr>
          <w:sz w:val="36"/>
          <w:szCs w:val="36"/>
          <w:rtl/>
        </w:rPr>
        <w:t xml:space="preserve">ة </w:t>
      </w:r>
      <w:r w:rsidRPr="00FD211F">
        <w:rPr>
          <w:sz w:val="36"/>
          <w:szCs w:val="36"/>
          <w:rtl/>
        </w:rPr>
        <w:t>عن ان ذلك غير معقول</w:t>
      </w:r>
      <w:r w:rsidR="00603323" w:rsidRPr="00FD211F">
        <w:rPr>
          <w:sz w:val="36"/>
          <w:szCs w:val="36"/>
          <w:rtl/>
        </w:rPr>
        <w:t xml:space="preserve">، </w:t>
      </w:r>
      <w:r w:rsidRPr="00FD211F">
        <w:rPr>
          <w:sz w:val="36"/>
          <w:szCs w:val="36"/>
          <w:rtl/>
        </w:rPr>
        <w:t>وانما الاختلاف المذكور ناش من اختلاف اوضاع المركبات بهيئاتها المتولد</w:t>
      </w:r>
      <w:r w:rsidR="00EC7EDF" w:rsidRPr="00FD211F">
        <w:rPr>
          <w:sz w:val="36"/>
          <w:szCs w:val="36"/>
          <w:rtl/>
        </w:rPr>
        <w:t xml:space="preserve">ة </w:t>
      </w:r>
      <w:r w:rsidRPr="00FD211F">
        <w:rPr>
          <w:sz w:val="36"/>
          <w:szCs w:val="36"/>
          <w:rtl/>
        </w:rPr>
        <w:t xml:space="preserve">من تخلل الحروف بلاوضع متعلق </w:t>
      </w:r>
      <w:r w:rsidR="00395CC8" w:rsidRPr="00FD211F">
        <w:rPr>
          <w:sz w:val="36"/>
          <w:szCs w:val="36"/>
          <w:rtl/>
        </w:rPr>
        <w:t>برقاب الحروف</w:t>
      </w:r>
      <w:r w:rsidR="00603323" w:rsidRPr="00FD211F">
        <w:rPr>
          <w:sz w:val="36"/>
          <w:szCs w:val="36"/>
          <w:rtl/>
        </w:rPr>
        <w:t xml:space="preserve">، </w:t>
      </w:r>
      <w:r w:rsidR="00395CC8" w:rsidRPr="00FD211F">
        <w:rPr>
          <w:sz w:val="36"/>
          <w:szCs w:val="36"/>
          <w:rtl/>
        </w:rPr>
        <w:t>ولعل هذا معنى قوله</w:t>
      </w:r>
      <w:r w:rsidRPr="00FD211F">
        <w:rPr>
          <w:sz w:val="36"/>
          <w:szCs w:val="36"/>
          <w:rtl/>
        </w:rPr>
        <w:t xml:space="preserve"> </w:t>
      </w:r>
      <w:r w:rsidR="007A4A0D" w:rsidRPr="00FD211F">
        <w:rPr>
          <w:sz w:val="36"/>
          <w:szCs w:val="36"/>
          <w:rtl/>
        </w:rPr>
        <w:t>(عليه‌السلام)</w:t>
      </w:r>
      <w:r w:rsidRPr="00FD211F">
        <w:rPr>
          <w:sz w:val="36"/>
          <w:szCs w:val="36"/>
          <w:rtl/>
        </w:rPr>
        <w:t>: الحرف ما اوجد معنى في غيره</w:t>
      </w:r>
      <w:r w:rsidR="00603323" w:rsidRPr="00FD211F">
        <w:rPr>
          <w:sz w:val="36"/>
          <w:szCs w:val="36"/>
          <w:rtl/>
        </w:rPr>
        <w:t xml:space="preserve">، </w:t>
      </w:r>
      <w:r w:rsidRPr="00FD211F">
        <w:rPr>
          <w:sz w:val="36"/>
          <w:szCs w:val="36"/>
          <w:rtl/>
        </w:rPr>
        <w:t>يعني اوجد معنى في متعلقاته بايجاده هيئ</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فيها</w:t>
      </w:r>
      <w:r w:rsidR="00603323" w:rsidRPr="00FD211F">
        <w:rPr>
          <w:sz w:val="36"/>
          <w:szCs w:val="36"/>
          <w:rtl/>
        </w:rPr>
        <w:t xml:space="preserve">، </w:t>
      </w:r>
      <w:r w:rsidRPr="00FD211F">
        <w:rPr>
          <w:sz w:val="36"/>
          <w:szCs w:val="36"/>
          <w:rtl/>
        </w:rPr>
        <w:t>كان لها بتلك الهيئات وضع يخصها</w:t>
      </w:r>
      <w:r w:rsidR="009C58C8" w:rsidRPr="00FD211F">
        <w:rPr>
          <w:rStyle w:val="a6"/>
          <w:sz w:val="36"/>
          <w:szCs w:val="36"/>
          <w:rtl/>
        </w:rPr>
        <w:t>(</w:t>
      </w:r>
      <w:r w:rsidR="009C58C8" w:rsidRPr="00FD211F">
        <w:rPr>
          <w:rStyle w:val="a6"/>
          <w:sz w:val="36"/>
          <w:szCs w:val="36"/>
          <w:rtl/>
        </w:rPr>
        <w:footnoteReference w:id="147"/>
      </w:r>
      <w:r w:rsidR="009C58C8" w:rsidRPr="00FD211F">
        <w:rPr>
          <w:rStyle w:val="a6"/>
          <w:sz w:val="36"/>
          <w:szCs w:val="36"/>
          <w:rtl/>
        </w:rPr>
        <w:t>)</w:t>
      </w:r>
      <w:r w:rsidRPr="00FD211F">
        <w:rPr>
          <w:sz w:val="36"/>
          <w:szCs w:val="36"/>
          <w:rtl/>
        </w:rPr>
        <w:t>.</w:t>
      </w:r>
    </w:p>
    <w:p w14:paraId="44FED3FF" w14:textId="77777777" w:rsidR="007F5659" w:rsidRPr="00FD211F" w:rsidRDefault="007F5659" w:rsidP="009C58C8">
      <w:pPr>
        <w:ind w:left="0" w:firstLine="227"/>
        <w:jc w:val="both"/>
        <w:rPr>
          <w:sz w:val="36"/>
          <w:szCs w:val="36"/>
          <w:rtl/>
        </w:rPr>
      </w:pPr>
      <w:r w:rsidRPr="00FD211F">
        <w:rPr>
          <w:sz w:val="36"/>
          <w:szCs w:val="36"/>
          <w:rtl/>
        </w:rPr>
        <w:t>فترى انه</w:t>
      </w:r>
      <w:r w:rsidR="00A61BAE" w:rsidRPr="00FD211F">
        <w:rPr>
          <w:sz w:val="36"/>
          <w:szCs w:val="36"/>
          <w:rtl/>
        </w:rPr>
        <w:t xml:space="preserve"> </w:t>
      </w:r>
      <w:r w:rsidR="0024281C" w:rsidRPr="00FD211F">
        <w:rPr>
          <w:sz w:val="36"/>
          <w:szCs w:val="36"/>
          <w:rtl/>
        </w:rPr>
        <w:t>"قده"</w:t>
      </w:r>
      <w:r w:rsidR="00A61BAE" w:rsidRPr="00FD211F">
        <w:rPr>
          <w:sz w:val="36"/>
          <w:szCs w:val="36"/>
          <w:rtl/>
        </w:rPr>
        <w:t xml:space="preserve"> </w:t>
      </w:r>
      <w:r w:rsidRPr="00FD211F">
        <w:rPr>
          <w:sz w:val="36"/>
          <w:szCs w:val="36"/>
          <w:rtl/>
        </w:rPr>
        <w:t>انكر وضع الحرف لمعنى وادعى وضع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الحرف على معنى بسيط</w:t>
      </w:r>
      <w:r w:rsidR="00603323" w:rsidRPr="00FD211F">
        <w:rPr>
          <w:sz w:val="36"/>
          <w:szCs w:val="36"/>
          <w:rtl/>
        </w:rPr>
        <w:t xml:space="preserve">، </w:t>
      </w:r>
      <w:r w:rsidRPr="00FD211F">
        <w:rPr>
          <w:sz w:val="36"/>
          <w:szCs w:val="36"/>
          <w:rtl/>
        </w:rPr>
        <w:t>وبالتالي يكون الدال على المعنى هو الجمل</w:t>
      </w:r>
      <w:r w:rsidR="00EC7EDF" w:rsidRPr="00FD211F">
        <w:rPr>
          <w:sz w:val="36"/>
          <w:szCs w:val="36"/>
          <w:rtl/>
        </w:rPr>
        <w:t xml:space="preserve">ة </w:t>
      </w:r>
      <w:r w:rsidRPr="00FD211F">
        <w:rPr>
          <w:sz w:val="36"/>
          <w:szCs w:val="36"/>
          <w:rtl/>
        </w:rPr>
        <w:t>بمجموعها</w:t>
      </w:r>
      <w:r w:rsidR="00603323" w:rsidRPr="00FD211F">
        <w:rPr>
          <w:sz w:val="36"/>
          <w:szCs w:val="36"/>
          <w:rtl/>
        </w:rPr>
        <w:t xml:space="preserve">، </w:t>
      </w:r>
      <w:r w:rsidRPr="00FD211F">
        <w:rPr>
          <w:sz w:val="36"/>
          <w:szCs w:val="36"/>
          <w:rtl/>
        </w:rPr>
        <w:t>ولايقع اي جزء من المعنى بازاء الحرف.</w:t>
      </w:r>
    </w:p>
    <w:p w14:paraId="7F17A4BE" w14:textId="77777777" w:rsidR="007F5659" w:rsidRPr="00FD211F" w:rsidRDefault="007F5659" w:rsidP="009C58C8">
      <w:pPr>
        <w:ind w:left="0" w:firstLine="227"/>
        <w:jc w:val="both"/>
        <w:rPr>
          <w:sz w:val="36"/>
          <w:szCs w:val="36"/>
          <w:rtl/>
        </w:rPr>
      </w:pPr>
      <w:r w:rsidRPr="00FD211F">
        <w:rPr>
          <w:sz w:val="36"/>
          <w:szCs w:val="36"/>
          <w:rtl/>
        </w:rPr>
        <w:t xml:space="preserve">وقد ينسب هذا القول الى الشيخ الرضي </w:t>
      </w:r>
      <w:r w:rsidR="00395CC8" w:rsidRPr="00FD211F">
        <w:rPr>
          <w:sz w:val="36"/>
          <w:szCs w:val="36"/>
          <w:rtl/>
        </w:rPr>
        <w:t>"ر</w:t>
      </w:r>
      <w:r w:rsidRPr="00FD211F">
        <w:rPr>
          <w:sz w:val="36"/>
          <w:szCs w:val="36"/>
          <w:rtl/>
        </w:rPr>
        <w:t>ه</w:t>
      </w:r>
      <w:r w:rsidR="00395CC8" w:rsidRPr="00FD211F">
        <w:rPr>
          <w:sz w:val="36"/>
          <w:szCs w:val="36"/>
          <w:rtl/>
        </w:rPr>
        <w:t>"</w:t>
      </w:r>
      <w:r w:rsidR="00603323" w:rsidRPr="00FD211F">
        <w:rPr>
          <w:sz w:val="36"/>
          <w:szCs w:val="36"/>
          <w:rtl/>
        </w:rPr>
        <w:t xml:space="preserve">، </w:t>
      </w:r>
      <w:r w:rsidRPr="00FD211F">
        <w:rPr>
          <w:sz w:val="36"/>
          <w:szCs w:val="36"/>
          <w:rtl/>
        </w:rPr>
        <w:t>ولكن لايظهر من كلامه ذلك</w:t>
      </w:r>
      <w:r w:rsidR="00603323" w:rsidRPr="00FD211F">
        <w:rPr>
          <w:sz w:val="36"/>
          <w:szCs w:val="36"/>
          <w:rtl/>
        </w:rPr>
        <w:t xml:space="preserve">، </w:t>
      </w:r>
      <w:r w:rsidRPr="00FD211F">
        <w:rPr>
          <w:sz w:val="36"/>
          <w:szCs w:val="36"/>
          <w:rtl/>
        </w:rPr>
        <w:t>حيث ذكر ان معنى "من" ومعنى لفظ الابتداء سواء</w:t>
      </w:r>
      <w:r w:rsidR="00603323" w:rsidRPr="00FD211F">
        <w:rPr>
          <w:sz w:val="36"/>
          <w:szCs w:val="36"/>
          <w:rtl/>
        </w:rPr>
        <w:t xml:space="preserve">، </w:t>
      </w:r>
      <w:r w:rsidRPr="00FD211F">
        <w:rPr>
          <w:sz w:val="36"/>
          <w:szCs w:val="36"/>
          <w:rtl/>
        </w:rPr>
        <w:t>الا ان الفرق بينهما ان لفظ الابتداء ليس مدلوله مدلول لفظ آخر</w:t>
      </w:r>
      <w:r w:rsidR="00603323" w:rsidRPr="00FD211F">
        <w:rPr>
          <w:sz w:val="36"/>
          <w:szCs w:val="36"/>
          <w:rtl/>
        </w:rPr>
        <w:t xml:space="preserve">، </w:t>
      </w:r>
      <w:r w:rsidRPr="00FD211F">
        <w:rPr>
          <w:sz w:val="36"/>
          <w:szCs w:val="36"/>
          <w:rtl/>
        </w:rPr>
        <w:t>بل مدلوله معناه الذي في نفسه مطابق</w:t>
      </w:r>
      <w:r w:rsidR="00EC7EDF" w:rsidRPr="00FD211F">
        <w:rPr>
          <w:sz w:val="36"/>
          <w:szCs w:val="36"/>
          <w:rtl/>
        </w:rPr>
        <w:t>ة</w:t>
      </w:r>
      <w:r w:rsidR="00603323" w:rsidRPr="00FD211F">
        <w:rPr>
          <w:sz w:val="36"/>
          <w:szCs w:val="36"/>
          <w:rtl/>
        </w:rPr>
        <w:t xml:space="preserve">، </w:t>
      </w:r>
      <w:r w:rsidRPr="00FD211F">
        <w:rPr>
          <w:sz w:val="36"/>
          <w:szCs w:val="36"/>
          <w:rtl/>
        </w:rPr>
        <w:t>ومعنى "من" مدلول لفظ آخر ينضاف ذلك المدلول الى ذلك اللفظ الاصلي</w:t>
      </w:r>
      <w:r w:rsidR="00603323" w:rsidRPr="00FD211F">
        <w:rPr>
          <w:sz w:val="36"/>
          <w:szCs w:val="36"/>
          <w:rtl/>
        </w:rPr>
        <w:t xml:space="preserve">، </w:t>
      </w:r>
      <w:r w:rsidRPr="00FD211F">
        <w:rPr>
          <w:sz w:val="36"/>
          <w:szCs w:val="36"/>
          <w:rtl/>
        </w:rPr>
        <w:t>فلهذا جاز الإخبار عن لفظ الابتداء نحو</w:t>
      </w:r>
      <w:r w:rsidR="00761E85" w:rsidRPr="00FD211F">
        <w:rPr>
          <w:sz w:val="36"/>
          <w:szCs w:val="36"/>
          <w:rtl/>
        </w:rPr>
        <w:t>"</w:t>
      </w:r>
      <w:r w:rsidRPr="00FD211F">
        <w:rPr>
          <w:sz w:val="36"/>
          <w:szCs w:val="36"/>
          <w:rtl/>
        </w:rPr>
        <w:t xml:space="preserve"> الا</w:t>
      </w:r>
      <w:r w:rsidR="00D116A3" w:rsidRPr="00FD211F">
        <w:rPr>
          <w:sz w:val="36"/>
          <w:szCs w:val="36"/>
          <w:rtl/>
        </w:rPr>
        <w:t>نتهاء</w:t>
      </w:r>
      <w:r w:rsidRPr="00FD211F">
        <w:rPr>
          <w:sz w:val="36"/>
          <w:szCs w:val="36"/>
          <w:rtl/>
        </w:rPr>
        <w:t xml:space="preserve"> خير من ا</w:t>
      </w:r>
      <w:r w:rsidR="00D116A3" w:rsidRPr="00FD211F">
        <w:rPr>
          <w:sz w:val="36"/>
          <w:szCs w:val="36"/>
          <w:rtl/>
        </w:rPr>
        <w:t>لابتداء</w:t>
      </w:r>
      <w:r w:rsidR="00761E85" w:rsidRPr="00FD211F">
        <w:rPr>
          <w:sz w:val="36"/>
          <w:szCs w:val="36"/>
          <w:rtl/>
        </w:rPr>
        <w:t>"</w:t>
      </w:r>
      <w:r w:rsidR="00603323" w:rsidRPr="00FD211F">
        <w:rPr>
          <w:sz w:val="36"/>
          <w:szCs w:val="36"/>
          <w:rtl/>
        </w:rPr>
        <w:t xml:space="preserve">، </w:t>
      </w:r>
      <w:r w:rsidR="009977FE" w:rsidRPr="00FD211F">
        <w:rPr>
          <w:sz w:val="36"/>
          <w:szCs w:val="36"/>
          <w:rtl/>
        </w:rPr>
        <w:t>و</w:t>
      </w:r>
      <w:r w:rsidR="008D7B3D" w:rsidRPr="00FD211F">
        <w:rPr>
          <w:sz w:val="36"/>
          <w:szCs w:val="36"/>
          <w:rtl/>
        </w:rPr>
        <w:t xml:space="preserve"> لم‌</w:t>
      </w:r>
      <w:r w:rsidRPr="00FD211F">
        <w:rPr>
          <w:sz w:val="36"/>
          <w:szCs w:val="36"/>
          <w:rtl/>
        </w:rPr>
        <w:t>يجز الإخبار عن لفظ</w:t>
      </w:r>
      <w:r w:rsidR="00EC7EDF" w:rsidRPr="00FD211F">
        <w:rPr>
          <w:sz w:val="36"/>
          <w:szCs w:val="36"/>
          <w:rtl/>
        </w:rPr>
        <w:t xml:space="preserve">ة </w:t>
      </w:r>
      <w:r w:rsidRPr="00FD211F">
        <w:rPr>
          <w:sz w:val="36"/>
          <w:szCs w:val="36"/>
          <w:rtl/>
        </w:rPr>
        <w:t xml:space="preserve">من لان الابتداء الذي هو مدلولها يكون في لفظ آخر فكيف يخبر عن لفظ ليس معناه فيه بل يكون في لفظٍ </w:t>
      </w:r>
      <w:r w:rsidR="00761E85" w:rsidRPr="00FD211F">
        <w:rPr>
          <w:sz w:val="36"/>
          <w:szCs w:val="36"/>
          <w:rtl/>
        </w:rPr>
        <w:t>آخر</w:t>
      </w:r>
      <w:r w:rsidR="00603323" w:rsidRPr="00FD211F">
        <w:rPr>
          <w:sz w:val="36"/>
          <w:szCs w:val="36"/>
          <w:rtl/>
        </w:rPr>
        <w:t xml:space="preserve">، </w:t>
      </w:r>
      <w:r w:rsidRPr="00FD211F">
        <w:rPr>
          <w:sz w:val="36"/>
          <w:szCs w:val="36"/>
          <w:rtl/>
        </w:rPr>
        <w:t>وانما يخبر عن ال</w:t>
      </w:r>
      <w:r w:rsidR="008D7B3D" w:rsidRPr="00FD211F">
        <w:rPr>
          <w:sz w:val="36"/>
          <w:szCs w:val="36"/>
          <w:rtl/>
        </w:rPr>
        <w:t xml:space="preserve">شيء </w:t>
      </w:r>
      <w:r w:rsidRPr="00FD211F">
        <w:rPr>
          <w:sz w:val="36"/>
          <w:szCs w:val="36"/>
          <w:rtl/>
        </w:rPr>
        <w:t>باعتبار المعنى الذي في نفسه مطابق</w:t>
      </w:r>
      <w:r w:rsidR="00EC7EDF" w:rsidRPr="00FD211F">
        <w:rPr>
          <w:sz w:val="36"/>
          <w:szCs w:val="36"/>
          <w:rtl/>
        </w:rPr>
        <w:t>ة</w:t>
      </w:r>
      <w:r w:rsidR="00603323" w:rsidRPr="00FD211F">
        <w:rPr>
          <w:sz w:val="36"/>
          <w:szCs w:val="36"/>
          <w:rtl/>
        </w:rPr>
        <w:t xml:space="preserve">، </w:t>
      </w:r>
      <w:r w:rsidRPr="00FD211F">
        <w:rPr>
          <w:sz w:val="36"/>
          <w:szCs w:val="36"/>
          <w:rtl/>
        </w:rPr>
        <w:t>فالحرف وحده لامعنى له اصلا</w:t>
      </w:r>
      <w:r w:rsidR="00603323" w:rsidRPr="00FD211F">
        <w:rPr>
          <w:sz w:val="36"/>
          <w:szCs w:val="36"/>
          <w:rtl/>
        </w:rPr>
        <w:t xml:space="preserve">، </w:t>
      </w:r>
      <w:r w:rsidRPr="00FD211F">
        <w:rPr>
          <w:sz w:val="36"/>
          <w:szCs w:val="36"/>
          <w:rtl/>
        </w:rPr>
        <w:t xml:space="preserve">اذ هو كالعلم المنصوب بجنب </w:t>
      </w:r>
      <w:r w:rsidR="008D7B3D" w:rsidRPr="00FD211F">
        <w:rPr>
          <w:sz w:val="36"/>
          <w:szCs w:val="36"/>
          <w:rtl/>
        </w:rPr>
        <w:t xml:space="preserve">شيء </w:t>
      </w:r>
      <w:r w:rsidRPr="00FD211F">
        <w:rPr>
          <w:sz w:val="36"/>
          <w:szCs w:val="36"/>
          <w:rtl/>
        </w:rPr>
        <w:t>ليدل على ان في ذلك ال</w:t>
      </w:r>
      <w:r w:rsidR="008D7B3D" w:rsidRPr="00FD211F">
        <w:rPr>
          <w:sz w:val="36"/>
          <w:szCs w:val="36"/>
          <w:rtl/>
        </w:rPr>
        <w:t xml:space="preserve">شيء </w:t>
      </w:r>
      <w:r w:rsidRPr="00FD211F">
        <w:rPr>
          <w:sz w:val="36"/>
          <w:szCs w:val="36"/>
          <w:rtl/>
        </w:rPr>
        <w:t>فائد</w:t>
      </w:r>
      <w:r w:rsidR="00EC7EDF" w:rsidRPr="00FD211F">
        <w:rPr>
          <w:sz w:val="36"/>
          <w:szCs w:val="36"/>
          <w:rtl/>
        </w:rPr>
        <w:t xml:space="preserve">ة </w:t>
      </w:r>
      <w:r w:rsidRPr="00FD211F">
        <w:rPr>
          <w:sz w:val="36"/>
          <w:szCs w:val="36"/>
          <w:rtl/>
        </w:rPr>
        <w:t>ما</w:t>
      </w:r>
      <w:r w:rsidR="00603323" w:rsidRPr="00FD211F">
        <w:rPr>
          <w:sz w:val="36"/>
          <w:szCs w:val="36"/>
          <w:rtl/>
        </w:rPr>
        <w:t xml:space="preserve">، </w:t>
      </w:r>
      <w:r w:rsidRPr="00FD211F">
        <w:rPr>
          <w:sz w:val="36"/>
          <w:szCs w:val="36"/>
          <w:rtl/>
        </w:rPr>
        <w:t>فاذا افرد عن ذلك ال</w:t>
      </w:r>
      <w:r w:rsidR="008D7B3D" w:rsidRPr="00FD211F">
        <w:rPr>
          <w:sz w:val="36"/>
          <w:szCs w:val="36"/>
          <w:rtl/>
        </w:rPr>
        <w:t xml:space="preserve">شيء </w:t>
      </w:r>
      <w:r w:rsidRPr="00FD211F">
        <w:rPr>
          <w:sz w:val="36"/>
          <w:szCs w:val="36"/>
          <w:rtl/>
        </w:rPr>
        <w:t>بقي غير دال على معنى اصلا</w:t>
      </w:r>
      <w:r w:rsidR="009C58C8" w:rsidRPr="00FD211F">
        <w:rPr>
          <w:rStyle w:val="a6"/>
          <w:sz w:val="36"/>
          <w:szCs w:val="36"/>
          <w:rtl/>
        </w:rPr>
        <w:t>(</w:t>
      </w:r>
      <w:r w:rsidR="009C58C8" w:rsidRPr="00FD211F">
        <w:rPr>
          <w:rStyle w:val="a6"/>
          <w:sz w:val="36"/>
          <w:szCs w:val="36"/>
          <w:rtl/>
        </w:rPr>
        <w:footnoteReference w:id="148"/>
      </w:r>
      <w:r w:rsidR="009C58C8" w:rsidRPr="00FD211F">
        <w:rPr>
          <w:rStyle w:val="a6"/>
          <w:sz w:val="36"/>
          <w:szCs w:val="36"/>
          <w:rtl/>
        </w:rPr>
        <w:t>)</w:t>
      </w:r>
      <w:r w:rsidRPr="00FD211F">
        <w:rPr>
          <w:sz w:val="36"/>
          <w:szCs w:val="36"/>
          <w:rtl/>
        </w:rPr>
        <w:t>.</w:t>
      </w:r>
    </w:p>
    <w:p w14:paraId="491800CA" w14:textId="77777777" w:rsidR="007F5659" w:rsidRPr="00FD211F" w:rsidRDefault="007F5659" w:rsidP="009C58C8">
      <w:pPr>
        <w:ind w:left="0" w:firstLine="227"/>
        <w:jc w:val="both"/>
        <w:rPr>
          <w:sz w:val="36"/>
          <w:szCs w:val="36"/>
          <w:rtl/>
        </w:rPr>
      </w:pPr>
      <w:r w:rsidRPr="00FD211F">
        <w:rPr>
          <w:sz w:val="36"/>
          <w:szCs w:val="36"/>
          <w:rtl/>
        </w:rPr>
        <w:t>فترى انه ذكر ان الحرف وحده ليس له معنى</w:t>
      </w:r>
      <w:r w:rsidR="00603323" w:rsidRPr="00FD211F">
        <w:rPr>
          <w:sz w:val="36"/>
          <w:szCs w:val="36"/>
          <w:rtl/>
        </w:rPr>
        <w:t xml:space="preserve">، </w:t>
      </w:r>
      <w:r w:rsidR="009977FE" w:rsidRPr="00FD211F">
        <w:rPr>
          <w:sz w:val="36"/>
          <w:szCs w:val="36"/>
          <w:rtl/>
        </w:rPr>
        <w:t>و</w:t>
      </w:r>
      <w:r w:rsidR="008D7B3D" w:rsidRPr="00FD211F">
        <w:rPr>
          <w:sz w:val="36"/>
          <w:szCs w:val="36"/>
          <w:rtl/>
        </w:rPr>
        <w:t xml:space="preserve"> لم‌</w:t>
      </w:r>
      <w:r w:rsidRPr="00FD211F">
        <w:rPr>
          <w:sz w:val="36"/>
          <w:szCs w:val="36"/>
          <w:rtl/>
        </w:rPr>
        <w:t>يد</w:t>
      </w:r>
      <w:r w:rsidR="00761E85" w:rsidRPr="00FD211F">
        <w:rPr>
          <w:sz w:val="36"/>
          <w:szCs w:val="36"/>
          <w:rtl/>
        </w:rPr>
        <w:t>ّ</w:t>
      </w:r>
      <w:r w:rsidRPr="00FD211F">
        <w:rPr>
          <w:sz w:val="36"/>
          <w:szCs w:val="36"/>
          <w:rtl/>
        </w:rPr>
        <w:t>ع ان الحرف اذا كان في ضمن الجمل</w:t>
      </w:r>
      <w:r w:rsidR="00EC7EDF" w:rsidRPr="00FD211F">
        <w:rPr>
          <w:sz w:val="36"/>
          <w:szCs w:val="36"/>
          <w:rtl/>
        </w:rPr>
        <w:t xml:space="preserve">ة </w:t>
      </w:r>
      <w:r w:rsidRPr="00FD211F">
        <w:rPr>
          <w:sz w:val="36"/>
          <w:szCs w:val="36"/>
          <w:rtl/>
        </w:rPr>
        <w:t>لايدل على معنى</w:t>
      </w:r>
      <w:r w:rsidR="00761E85" w:rsidRPr="00FD211F">
        <w:rPr>
          <w:sz w:val="36"/>
          <w:szCs w:val="36"/>
          <w:rtl/>
        </w:rPr>
        <w:t>ً</w:t>
      </w:r>
      <w:r w:rsidR="00603323" w:rsidRPr="00FD211F">
        <w:rPr>
          <w:sz w:val="36"/>
          <w:szCs w:val="36"/>
          <w:rtl/>
        </w:rPr>
        <w:t xml:space="preserve">، </w:t>
      </w:r>
      <w:r w:rsidRPr="00FD211F">
        <w:rPr>
          <w:sz w:val="36"/>
          <w:szCs w:val="36"/>
          <w:rtl/>
        </w:rPr>
        <w:t>فيمكن ان يختار ان</w:t>
      </w:r>
      <w:r w:rsidR="00761E85" w:rsidRPr="00FD211F">
        <w:rPr>
          <w:sz w:val="36"/>
          <w:szCs w:val="36"/>
          <w:rtl/>
        </w:rPr>
        <w:t>َّ</w:t>
      </w:r>
      <w:r w:rsidRPr="00FD211F">
        <w:rPr>
          <w:sz w:val="36"/>
          <w:szCs w:val="36"/>
          <w:rtl/>
        </w:rPr>
        <w:t xml:space="preserve"> بإزاءه معنى</w:t>
      </w:r>
      <w:r w:rsidR="00761E85" w:rsidRPr="00FD211F">
        <w:rPr>
          <w:sz w:val="36"/>
          <w:szCs w:val="36"/>
          <w:rtl/>
        </w:rPr>
        <w:t>ً</w:t>
      </w:r>
      <w:r w:rsidRPr="00FD211F">
        <w:rPr>
          <w:sz w:val="36"/>
          <w:szCs w:val="36"/>
          <w:rtl/>
        </w:rPr>
        <w:t xml:space="preserve"> غير مستقل</w:t>
      </w:r>
      <w:r w:rsidR="00603323" w:rsidRPr="00FD211F">
        <w:rPr>
          <w:sz w:val="36"/>
          <w:szCs w:val="36"/>
          <w:rtl/>
        </w:rPr>
        <w:t xml:space="preserve">، </w:t>
      </w:r>
      <w:r w:rsidRPr="00FD211F">
        <w:rPr>
          <w:sz w:val="36"/>
          <w:szCs w:val="36"/>
          <w:rtl/>
        </w:rPr>
        <w:t>وما ذكره من ان الحرف وحده ليس له معنى وان كان قد يناقش فيه</w:t>
      </w:r>
      <w:r w:rsidR="00603323" w:rsidRPr="00FD211F">
        <w:rPr>
          <w:sz w:val="36"/>
          <w:szCs w:val="36"/>
          <w:rtl/>
        </w:rPr>
        <w:t xml:space="preserve">، </w:t>
      </w:r>
      <w:r w:rsidRPr="00FD211F">
        <w:rPr>
          <w:sz w:val="36"/>
          <w:szCs w:val="36"/>
          <w:rtl/>
        </w:rPr>
        <w:t>حيث يقال بان انكار دلال</w:t>
      </w:r>
      <w:r w:rsidR="00EC7EDF" w:rsidRPr="00FD211F">
        <w:rPr>
          <w:sz w:val="36"/>
          <w:szCs w:val="36"/>
          <w:rtl/>
        </w:rPr>
        <w:t xml:space="preserve">ة </w:t>
      </w:r>
      <w:r w:rsidRPr="00FD211F">
        <w:rPr>
          <w:sz w:val="36"/>
          <w:szCs w:val="36"/>
          <w:rtl/>
        </w:rPr>
        <w:t>الحرف وحده على المعنى خلاف الوجدان العرفي</w:t>
      </w:r>
      <w:r w:rsidR="00603323" w:rsidRPr="00FD211F">
        <w:rPr>
          <w:sz w:val="36"/>
          <w:szCs w:val="36"/>
          <w:rtl/>
        </w:rPr>
        <w:t xml:space="preserve">، </w:t>
      </w:r>
      <w:r w:rsidRPr="00FD211F">
        <w:rPr>
          <w:sz w:val="36"/>
          <w:szCs w:val="36"/>
          <w:rtl/>
        </w:rPr>
        <w:t>فاننا لما نسمع لفظ</w:t>
      </w:r>
      <w:r w:rsidR="00EC7EDF" w:rsidRPr="00FD211F">
        <w:rPr>
          <w:sz w:val="36"/>
          <w:szCs w:val="36"/>
          <w:rtl/>
        </w:rPr>
        <w:t xml:space="preserve">ة </w:t>
      </w:r>
      <w:r w:rsidRPr="00FD211F">
        <w:rPr>
          <w:sz w:val="36"/>
          <w:szCs w:val="36"/>
          <w:rtl/>
        </w:rPr>
        <w:t>"من" وحدها يخطر ببالنا معنى</w:t>
      </w:r>
      <w:r w:rsidR="00603323" w:rsidRPr="00FD211F">
        <w:rPr>
          <w:sz w:val="36"/>
          <w:szCs w:val="36"/>
          <w:rtl/>
        </w:rPr>
        <w:t xml:space="preserve">، </w:t>
      </w:r>
      <w:r w:rsidRPr="00FD211F">
        <w:rPr>
          <w:sz w:val="36"/>
          <w:szCs w:val="36"/>
          <w:rtl/>
        </w:rPr>
        <w:t>كما اننا لو سمعنا لفظ</w:t>
      </w:r>
      <w:r w:rsidR="00EC7EDF" w:rsidRPr="00FD211F">
        <w:rPr>
          <w:sz w:val="36"/>
          <w:szCs w:val="36"/>
          <w:rtl/>
        </w:rPr>
        <w:t xml:space="preserve">ة </w:t>
      </w:r>
      <w:r w:rsidRPr="00FD211F">
        <w:rPr>
          <w:sz w:val="36"/>
          <w:szCs w:val="36"/>
          <w:rtl/>
        </w:rPr>
        <w:t>"في" يخطر ببالنا معنى آخر</w:t>
      </w:r>
      <w:r w:rsidR="00603323" w:rsidRPr="00FD211F">
        <w:rPr>
          <w:sz w:val="36"/>
          <w:szCs w:val="36"/>
          <w:rtl/>
        </w:rPr>
        <w:t xml:space="preserve">، </w:t>
      </w:r>
      <w:r w:rsidRPr="00FD211F">
        <w:rPr>
          <w:sz w:val="36"/>
          <w:szCs w:val="36"/>
          <w:rtl/>
        </w:rPr>
        <w:t>وكذا لفظ</w:t>
      </w:r>
      <w:r w:rsidR="00EC7EDF" w:rsidRPr="00FD211F">
        <w:rPr>
          <w:sz w:val="36"/>
          <w:szCs w:val="36"/>
          <w:rtl/>
        </w:rPr>
        <w:t xml:space="preserve">ة </w:t>
      </w:r>
      <w:r w:rsidRPr="00FD211F">
        <w:rPr>
          <w:sz w:val="36"/>
          <w:szCs w:val="36"/>
          <w:rtl/>
        </w:rPr>
        <w:t>ليت ولعل</w:t>
      </w:r>
      <w:r w:rsidR="00603323" w:rsidRPr="00FD211F">
        <w:rPr>
          <w:sz w:val="36"/>
          <w:szCs w:val="36"/>
          <w:rtl/>
        </w:rPr>
        <w:t xml:space="preserve">، </w:t>
      </w:r>
      <w:r w:rsidRPr="00FD211F">
        <w:rPr>
          <w:sz w:val="36"/>
          <w:szCs w:val="36"/>
          <w:rtl/>
        </w:rPr>
        <w:t>فإنّا اذا سمعناهما يخطر في ذهننا لكل منهما معنى يغاير معنى الآخر</w:t>
      </w:r>
      <w:r w:rsidR="00603323" w:rsidRPr="00FD211F">
        <w:rPr>
          <w:sz w:val="36"/>
          <w:szCs w:val="36"/>
          <w:rtl/>
        </w:rPr>
        <w:t xml:space="preserve">، </w:t>
      </w:r>
      <w:r w:rsidRPr="00FD211F">
        <w:rPr>
          <w:sz w:val="36"/>
          <w:szCs w:val="36"/>
          <w:rtl/>
        </w:rPr>
        <w:t xml:space="preserve">ولكنه يختلف مدعى الشيخ الرضي </w:t>
      </w:r>
      <w:r w:rsidR="00395CC8" w:rsidRPr="00FD211F">
        <w:rPr>
          <w:sz w:val="36"/>
          <w:szCs w:val="36"/>
          <w:rtl/>
        </w:rPr>
        <w:t>"ره "</w:t>
      </w:r>
      <w:r w:rsidRPr="00FD211F">
        <w:rPr>
          <w:sz w:val="36"/>
          <w:szCs w:val="36"/>
          <w:rtl/>
        </w:rPr>
        <w:t>عن مدعى من يرى عدم دلال</w:t>
      </w:r>
      <w:r w:rsidR="00EC7EDF" w:rsidRPr="00FD211F">
        <w:rPr>
          <w:sz w:val="36"/>
          <w:szCs w:val="36"/>
          <w:rtl/>
        </w:rPr>
        <w:t xml:space="preserve">ة </w:t>
      </w:r>
      <w:r w:rsidRPr="00FD211F">
        <w:rPr>
          <w:sz w:val="36"/>
          <w:szCs w:val="36"/>
          <w:rtl/>
        </w:rPr>
        <w:t>الحرف على المعنى مطلقا ولو كان في ضمن الجمل</w:t>
      </w:r>
      <w:r w:rsidR="00EC7EDF" w:rsidRPr="00FD211F">
        <w:rPr>
          <w:sz w:val="36"/>
          <w:szCs w:val="36"/>
          <w:rtl/>
        </w:rPr>
        <w:t>ة</w:t>
      </w:r>
      <w:r w:rsidR="00603323" w:rsidRPr="00FD211F">
        <w:rPr>
          <w:sz w:val="36"/>
          <w:szCs w:val="36"/>
          <w:rtl/>
        </w:rPr>
        <w:t xml:space="preserve">، </w:t>
      </w:r>
      <w:r w:rsidRPr="00FD211F">
        <w:rPr>
          <w:sz w:val="36"/>
          <w:szCs w:val="36"/>
          <w:rtl/>
        </w:rPr>
        <w:t>وانما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الحرف تدل على المعنى</w:t>
      </w:r>
      <w:r w:rsidR="00603323" w:rsidRPr="00FD211F">
        <w:rPr>
          <w:sz w:val="36"/>
          <w:szCs w:val="36"/>
          <w:rtl/>
        </w:rPr>
        <w:t xml:space="preserve">، </w:t>
      </w:r>
      <w:r w:rsidRPr="00FD211F">
        <w:rPr>
          <w:sz w:val="36"/>
          <w:szCs w:val="36"/>
          <w:rtl/>
        </w:rPr>
        <w:t xml:space="preserve">كما هو مختار المحقق الايرواني </w:t>
      </w:r>
      <w:r w:rsidR="00395CC8" w:rsidRPr="00FD211F">
        <w:rPr>
          <w:sz w:val="36"/>
          <w:szCs w:val="36"/>
          <w:rtl/>
        </w:rPr>
        <w:t>"</w:t>
      </w:r>
      <w:r w:rsidRPr="00FD211F">
        <w:rPr>
          <w:sz w:val="36"/>
          <w:szCs w:val="36"/>
          <w:rtl/>
        </w:rPr>
        <w:t>قده</w:t>
      </w:r>
      <w:r w:rsidR="00395CC8" w:rsidRPr="00FD211F">
        <w:rPr>
          <w:sz w:val="36"/>
          <w:szCs w:val="36"/>
          <w:rtl/>
        </w:rPr>
        <w:t>"</w:t>
      </w:r>
      <w:r w:rsidR="0082181C" w:rsidRPr="00FD211F">
        <w:rPr>
          <w:sz w:val="36"/>
          <w:szCs w:val="36"/>
          <w:rtl/>
        </w:rPr>
        <w:t xml:space="preserve"> مطلقا</w:t>
      </w:r>
      <w:r w:rsidR="00603323" w:rsidRPr="00FD211F">
        <w:rPr>
          <w:sz w:val="36"/>
          <w:szCs w:val="36"/>
          <w:rtl/>
        </w:rPr>
        <w:t xml:space="preserve">، </w:t>
      </w:r>
      <w:r w:rsidR="0082181C" w:rsidRPr="00FD211F">
        <w:rPr>
          <w:sz w:val="36"/>
          <w:szCs w:val="36"/>
          <w:rtl/>
        </w:rPr>
        <w:t>ومختار</w:t>
      </w:r>
      <w:r w:rsidR="00761E85" w:rsidRPr="00FD211F">
        <w:rPr>
          <w:sz w:val="36"/>
          <w:szCs w:val="36"/>
          <w:rtl/>
        </w:rPr>
        <w:t xml:space="preserve"> البحوث</w:t>
      </w:r>
      <w:r w:rsidRPr="00FD211F">
        <w:rPr>
          <w:sz w:val="36"/>
          <w:szCs w:val="36"/>
          <w:rtl/>
        </w:rPr>
        <w:t xml:space="preserve"> في</w:t>
      </w:r>
      <w:r w:rsidR="008D36E5" w:rsidRPr="00FD211F">
        <w:rPr>
          <w:sz w:val="36"/>
          <w:szCs w:val="36"/>
          <w:rtl/>
        </w:rPr>
        <w:t xml:space="preserve"> خصوص</w:t>
      </w:r>
      <w:r w:rsidRPr="00FD211F">
        <w:rPr>
          <w:sz w:val="36"/>
          <w:szCs w:val="36"/>
          <w:rtl/>
        </w:rPr>
        <w:t xml:space="preserve"> 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الحرف الدال على النسب الخارجي</w:t>
      </w:r>
      <w:r w:rsidR="00EC7EDF" w:rsidRPr="00FD211F">
        <w:rPr>
          <w:sz w:val="36"/>
          <w:szCs w:val="36"/>
          <w:rtl/>
        </w:rPr>
        <w:t xml:space="preserve">ة </w:t>
      </w:r>
      <w:r w:rsidRPr="00FD211F">
        <w:rPr>
          <w:sz w:val="36"/>
          <w:szCs w:val="36"/>
          <w:rtl/>
        </w:rPr>
        <w:t>كالنسب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 xml:space="preserve">في قولنا </w:t>
      </w:r>
      <w:r w:rsidR="00B21AF3" w:rsidRPr="00FD211F">
        <w:rPr>
          <w:sz w:val="36"/>
          <w:szCs w:val="36"/>
          <w:rtl/>
        </w:rPr>
        <w:t>"</w:t>
      </w:r>
      <w:r w:rsidRPr="00FD211F">
        <w:rPr>
          <w:sz w:val="36"/>
          <w:szCs w:val="36"/>
          <w:rtl/>
        </w:rPr>
        <w:t>السير من البصر</w:t>
      </w:r>
      <w:r w:rsidR="00EC7EDF" w:rsidRPr="00FD211F">
        <w:rPr>
          <w:sz w:val="36"/>
          <w:szCs w:val="36"/>
          <w:rtl/>
        </w:rPr>
        <w:t xml:space="preserve">ة </w:t>
      </w:r>
      <w:r w:rsidR="00B21AF3" w:rsidRPr="00FD211F">
        <w:rPr>
          <w:sz w:val="36"/>
          <w:szCs w:val="36"/>
          <w:rtl/>
        </w:rPr>
        <w:t>"</w:t>
      </w:r>
      <w:r w:rsidR="005127C9" w:rsidRPr="00FD211F">
        <w:rPr>
          <w:sz w:val="36"/>
          <w:szCs w:val="36"/>
          <w:rtl/>
        </w:rPr>
        <w:t>-في قبال الحرف الدال على النسب الذهني</w:t>
      </w:r>
      <w:r w:rsidR="00EC7EDF" w:rsidRPr="00FD211F">
        <w:rPr>
          <w:sz w:val="36"/>
          <w:szCs w:val="36"/>
          <w:rtl/>
        </w:rPr>
        <w:t xml:space="preserve">ة </w:t>
      </w:r>
      <w:r w:rsidR="005127C9" w:rsidRPr="00FD211F">
        <w:rPr>
          <w:sz w:val="36"/>
          <w:szCs w:val="36"/>
          <w:rtl/>
        </w:rPr>
        <w:t>كحرف</w:t>
      </w:r>
      <w:r w:rsidR="0024281C" w:rsidRPr="00FD211F">
        <w:rPr>
          <w:sz w:val="36"/>
          <w:szCs w:val="36"/>
          <w:rtl/>
        </w:rPr>
        <w:t xml:space="preserve"> </w:t>
      </w:r>
      <w:r w:rsidR="005127C9" w:rsidRPr="00FD211F">
        <w:rPr>
          <w:sz w:val="36"/>
          <w:szCs w:val="36"/>
          <w:rtl/>
        </w:rPr>
        <w:t>"بل"</w:t>
      </w:r>
      <w:r w:rsidR="0024281C" w:rsidRPr="00FD211F">
        <w:rPr>
          <w:sz w:val="36"/>
          <w:szCs w:val="36"/>
          <w:rtl/>
        </w:rPr>
        <w:t xml:space="preserve"> </w:t>
      </w:r>
      <w:r w:rsidR="005127C9" w:rsidRPr="00FD211F">
        <w:rPr>
          <w:sz w:val="36"/>
          <w:szCs w:val="36"/>
          <w:rtl/>
        </w:rPr>
        <w:t>الدال</w:t>
      </w:r>
      <w:r w:rsidR="008D36E5" w:rsidRPr="00FD211F">
        <w:rPr>
          <w:sz w:val="36"/>
          <w:szCs w:val="36"/>
          <w:rtl/>
        </w:rPr>
        <w:t>ّ</w:t>
      </w:r>
      <w:r w:rsidR="00EC7EDF" w:rsidRPr="00FD211F">
        <w:rPr>
          <w:sz w:val="36"/>
          <w:szCs w:val="36"/>
          <w:rtl/>
        </w:rPr>
        <w:t xml:space="preserve">ة </w:t>
      </w:r>
      <w:r w:rsidR="005127C9" w:rsidRPr="00FD211F">
        <w:rPr>
          <w:sz w:val="36"/>
          <w:szCs w:val="36"/>
          <w:rtl/>
        </w:rPr>
        <w:t>على النسب</w:t>
      </w:r>
      <w:r w:rsidR="00EC7EDF" w:rsidRPr="00FD211F">
        <w:rPr>
          <w:sz w:val="36"/>
          <w:szCs w:val="36"/>
          <w:rtl/>
        </w:rPr>
        <w:t xml:space="preserve">ة </w:t>
      </w:r>
      <w:r w:rsidR="005127C9" w:rsidRPr="00FD211F">
        <w:rPr>
          <w:sz w:val="36"/>
          <w:szCs w:val="36"/>
          <w:rtl/>
        </w:rPr>
        <w:t>الاضرابي</w:t>
      </w:r>
      <w:r w:rsidR="00EC7EDF" w:rsidRPr="00FD211F">
        <w:rPr>
          <w:sz w:val="36"/>
          <w:szCs w:val="36"/>
          <w:rtl/>
        </w:rPr>
        <w:t xml:space="preserve">ة </w:t>
      </w:r>
      <w:r w:rsidR="005127C9" w:rsidRPr="00FD211F">
        <w:rPr>
          <w:sz w:val="36"/>
          <w:szCs w:val="36"/>
          <w:rtl/>
        </w:rPr>
        <w:t xml:space="preserve">التي لاموطن لهاالاالذهن </w:t>
      </w:r>
      <w:r w:rsidR="00B21AF3" w:rsidRPr="00FD211F">
        <w:rPr>
          <w:sz w:val="36"/>
          <w:szCs w:val="36"/>
          <w:rtl/>
        </w:rPr>
        <w:t>-</w:t>
      </w:r>
      <w:r w:rsidR="00B23D8D" w:rsidRPr="00FD211F">
        <w:rPr>
          <w:sz w:val="36"/>
          <w:szCs w:val="36"/>
          <w:rtl/>
        </w:rPr>
        <w:t xml:space="preserve"> فالتزم ب</w:t>
      </w:r>
      <w:r w:rsidR="00B21AF3" w:rsidRPr="00FD211F">
        <w:rPr>
          <w:sz w:val="36"/>
          <w:szCs w:val="36"/>
          <w:rtl/>
        </w:rPr>
        <w:t>أن مدلول جمل</w:t>
      </w:r>
      <w:r w:rsidR="00EC7EDF" w:rsidRPr="00FD211F">
        <w:rPr>
          <w:sz w:val="36"/>
          <w:szCs w:val="36"/>
          <w:rtl/>
        </w:rPr>
        <w:t xml:space="preserve">ة </w:t>
      </w:r>
      <w:r w:rsidR="00B21AF3" w:rsidRPr="00FD211F">
        <w:rPr>
          <w:sz w:val="36"/>
          <w:szCs w:val="36"/>
          <w:rtl/>
        </w:rPr>
        <w:t>"السيرمن البصر</w:t>
      </w:r>
      <w:r w:rsidR="00EC7EDF" w:rsidRPr="00FD211F">
        <w:rPr>
          <w:sz w:val="36"/>
          <w:szCs w:val="36"/>
          <w:rtl/>
        </w:rPr>
        <w:t>ة</w:t>
      </w:r>
      <w:r w:rsidR="00B21AF3" w:rsidRPr="00FD211F">
        <w:rPr>
          <w:sz w:val="36"/>
          <w:szCs w:val="36"/>
          <w:rtl/>
        </w:rPr>
        <w:t>"</w:t>
      </w:r>
      <w:r w:rsidRPr="00FD211F">
        <w:rPr>
          <w:sz w:val="36"/>
          <w:szCs w:val="36"/>
          <w:rtl/>
        </w:rPr>
        <w:t xml:space="preserve"> </w:t>
      </w:r>
      <w:r w:rsidR="00B21AF3" w:rsidRPr="00FD211F">
        <w:rPr>
          <w:sz w:val="36"/>
          <w:szCs w:val="36"/>
          <w:rtl/>
        </w:rPr>
        <w:t>مثلا</w:t>
      </w:r>
      <w:r w:rsidRPr="00FD211F">
        <w:rPr>
          <w:sz w:val="36"/>
          <w:szCs w:val="36"/>
          <w:rtl/>
        </w:rPr>
        <w:t xml:space="preserve"> بسيط</w:t>
      </w:r>
      <w:r w:rsidR="00603323" w:rsidRPr="00FD211F">
        <w:rPr>
          <w:sz w:val="36"/>
          <w:szCs w:val="36"/>
          <w:rtl/>
        </w:rPr>
        <w:t xml:space="preserve">، </w:t>
      </w:r>
      <w:r w:rsidRPr="00FD211F">
        <w:rPr>
          <w:sz w:val="36"/>
          <w:szCs w:val="36"/>
          <w:rtl/>
        </w:rPr>
        <w:t>وانما يكون اشتماله على ثلاث</w:t>
      </w:r>
      <w:r w:rsidR="00EC7EDF" w:rsidRPr="00FD211F">
        <w:rPr>
          <w:sz w:val="36"/>
          <w:szCs w:val="36"/>
          <w:rtl/>
        </w:rPr>
        <w:t xml:space="preserve">ة </w:t>
      </w:r>
      <w:r w:rsidRPr="00FD211F">
        <w:rPr>
          <w:sz w:val="36"/>
          <w:szCs w:val="36"/>
          <w:rtl/>
        </w:rPr>
        <w:t>أجزاء بالتعمل والتحليل العقلي</w:t>
      </w:r>
      <w:r w:rsidR="00603323" w:rsidRPr="00FD211F">
        <w:rPr>
          <w:sz w:val="36"/>
          <w:szCs w:val="36"/>
          <w:rtl/>
        </w:rPr>
        <w:t xml:space="preserve">، </w:t>
      </w:r>
      <w:r w:rsidRPr="00FD211F">
        <w:rPr>
          <w:sz w:val="36"/>
          <w:szCs w:val="36"/>
          <w:rtl/>
        </w:rPr>
        <w:t>وتكون الجمل</w:t>
      </w:r>
      <w:r w:rsidR="00EC7EDF" w:rsidRPr="00FD211F">
        <w:rPr>
          <w:sz w:val="36"/>
          <w:szCs w:val="36"/>
          <w:rtl/>
        </w:rPr>
        <w:t xml:space="preserve">ة </w:t>
      </w:r>
      <w:r w:rsidRPr="00FD211F">
        <w:rPr>
          <w:sz w:val="36"/>
          <w:szCs w:val="36"/>
          <w:rtl/>
        </w:rPr>
        <w:t>بمجموعها دال</w:t>
      </w:r>
      <w:r w:rsidR="00EC7EDF" w:rsidRPr="00FD211F">
        <w:rPr>
          <w:sz w:val="36"/>
          <w:szCs w:val="36"/>
          <w:rtl/>
        </w:rPr>
        <w:t xml:space="preserve">ة </w:t>
      </w:r>
      <w:r w:rsidRPr="00FD211F">
        <w:rPr>
          <w:sz w:val="36"/>
          <w:szCs w:val="36"/>
          <w:rtl/>
        </w:rPr>
        <w:t>على هذا المعنى الذي هو حص</w:t>
      </w:r>
      <w:r w:rsidR="00EC7EDF" w:rsidRPr="00FD211F">
        <w:rPr>
          <w:sz w:val="36"/>
          <w:szCs w:val="36"/>
          <w:rtl/>
        </w:rPr>
        <w:t xml:space="preserve">ة </w:t>
      </w:r>
      <w:r w:rsidRPr="00FD211F">
        <w:rPr>
          <w:sz w:val="36"/>
          <w:szCs w:val="36"/>
          <w:rtl/>
        </w:rPr>
        <w:t>من السير</w:t>
      </w:r>
      <w:r w:rsidR="00603323" w:rsidRPr="00FD211F">
        <w:rPr>
          <w:sz w:val="36"/>
          <w:szCs w:val="36"/>
          <w:rtl/>
        </w:rPr>
        <w:t xml:space="preserve">، </w:t>
      </w:r>
      <w:r w:rsidRPr="00FD211F">
        <w:rPr>
          <w:sz w:val="36"/>
          <w:szCs w:val="36"/>
          <w:rtl/>
        </w:rPr>
        <w:t>وقد يوضع مكان الجمل</w:t>
      </w:r>
      <w:r w:rsidR="00EC7EDF" w:rsidRPr="00FD211F">
        <w:rPr>
          <w:sz w:val="36"/>
          <w:szCs w:val="36"/>
          <w:rtl/>
        </w:rPr>
        <w:t xml:space="preserve">ة </w:t>
      </w:r>
      <w:r w:rsidRPr="00FD211F">
        <w:rPr>
          <w:sz w:val="36"/>
          <w:szCs w:val="36"/>
          <w:rtl/>
        </w:rPr>
        <w:t>لفظ المفرد كما في لفظ الفانوس الذي</w:t>
      </w:r>
      <w:r w:rsidR="001E6FE9" w:rsidRPr="00FD211F">
        <w:rPr>
          <w:sz w:val="36"/>
          <w:szCs w:val="36"/>
          <w:rtl/>
        </w:rPr>
        <w:t xml:space="preserve"> قديقال بانه</w:t>
      </w:r>
      <w:r w:rsidR="00B253CE" w:rsidRPr="00FD211F">
        <w:rPr>
          <w:sz w:val="36"/>
          <w:szCs w:val="36"/>
          <w:rtl/>
        </w:rPr>
        <w:t xml:space="preserve"> </w:t>
      </w:r>
      <w:r w:rsidRPr="00FD211F">
        <w:rPr>
          <w:sz w:val="36"/>
          <w:szCs w:val="36"/>
          <w:rtl/>
        </w:rPr>
        <w:t>وضع مكان جمل</w:t>
      </w:r>
      <w:r w:rsidR="00EC7EDF" w:rsidRPr="00FD211F">
        <w:rPr>
          <w:sz w:val="36"/>
          <w:szCs w:val="36"/>
          <w:rtl/>
        </w:rPr>
        <w:t xml:space="preserve">ة </w:t>
      </w:r>
      <w:r w:rsidRPr="00FD211F">
        <w:rPr>
          <w:sz w:val="36"/>
          <w:szCs w:val="36"/>
          <w:rtl/>
        </w:rPr>
        <w:t>"نار في الزجاج".</w:t>
      </w:r>
    </w:p>
    <w:p w14:paraId="38E31149" w14:textId="77777777" w:rsidR="007F5659" w:rsidRPr="00FD211F" w:rsidRDefault="007F5659" w:rsidP="009C58C8">
      <w:pPr>
        <w:ind w:left="0" w:firstLine="227"/>
        <w:jc w:val="both"/>
        <w:rPr>
          <w:sz w:val="36"/>
          <w:szCs w:val="36"/>
          <w:rtl/>
        </w:rPr>
      </w:pPr>
      <w:r w:rsidRPr="00FD211F">
        <w:rPr>
          <w:sz w:val="36"/>
          <w:szCs w:val="36"/>
          <w:rtl/>
        </w:rPr>
        <w:t>فبناء على هذا التوجيه لمسلك العلامي</w:t>
      </w:r>
      <w:r w:rsidR="00EC7EDF" w:rsidRPr="00FD211F">
        <w:rPr>
          <w:sz w:val="36"/>
          <w:szCs w:val="36"/>
          <w:rtl/>
        </w:rPr>
        <w:t xml:space="preserve">ة </w:t>
      </w:r>
      <w:r w:rsidRPr="00FD211F">
        <w:rPr>
          <w:sz w:val="36"/>
          <w:szCs w:val="36"/>
          <w:rtl/>
        </w:rPr>
        <w:t>فلايكون بطلانه من الواضحات الاولي</w:t>
      </w:r>
      <w:r w:rsidR="00EC7EDF" w:rsidRPr="00FD211F">
        <w:rPr>
          <w:sz w:val="36"/>
          <w:szCs w:val="36"/>
          <w:rtl/>
        </w:rPr>
        <w:t>ة</w:t>
      </w:r>
      <w:r w:rsidR="00603323" w:rsidRPr="00FD211F">
        <w:rPr>
          <w:sz w:val="36"/>
          <w:szCs w:val="36"/>
          <w:rtl/>
        </w:rPr>
        <w:t xml:space="preserve">، </w:t>
      </w:r>
      <w:r w:rsidRPr="00FD211F">
        <w:rPr>
          <w:sz w:val="36"/>
          <w:szCs w:val="36"/>
          <w:rtl/>
        </w:rPr>
        <w:t>وسيأتي الكلام فيه ان شاء الله تعالى.</w:t>
      </w:r>
    </w:p>
    <w:p w14:paraId="7A1AF76E" w14:textId="77777777" w:rsidR="007F5659" w:rsidRPr="00FD211F" w:rsidRDefault="007F5659" w:rsidP="009C58C8">
      <w:pPr>
        <w:pStyle w:val="3"/>
        <w:ind w:firstLine="227"/>
        <w:jc w:val="both"/>
        <w:rPr>
          <w:rtl/>
        </w:rPr>
      </w:pPr>
      <w:bookmarkStart w:id="160" w:name="درس078دقيقه25"/>
      <w:bookmarkStart w:id="161" w:name="_Toc192092863"/>
      <w:bookmarkStart w:id="162" w:name="_Toc223890337"/>
      <w:bookmarkEnd w:id="160"/>
      <w:r w:rsidRPr="00FD211F">
        <w:rPr>
          <w:rtl/>
        </w:rPr>
        <w:t>مسلك الآلي</w:t>
      </w:r>
      <w:r w:rsidR="00EC7EDF" w:rsidRPr="00FD211F">
        <w:rPr>
          <w:rtl/>
        </w:rPr>
        <w:t>ة</w:t>
      </w:r>
      <w:bookmarkEnd w:id="162"/>
      <w:r w:rsidR="00EC7EDF" w:rsidRPr="00FD211F">
        <w:rPr>
          <w:rtl/>
        </w:rPr>
        <w:t xml:space="preserve"> </w:t>
      </w:r>
      <w:bookmarkEnd w:id="161"/>
    </w:p>
    <w:p w14:paraId="779335F6" w14:textId="77777777" w:rsidR="007F5659" w:rsidRPr="00FD211F" w:rsidRDefault="007F5659" w:rsidP="009C58C8">
      <w:pPr>
        <w:ind w:left="0" w:firstLine="227"/>
        <w:jc w:val="both"/>
        <w:rPr>
          <w:sz w:val="36"/>
          <w:szCs w:val="36"/>
          <w:rtl/>
        </w:rPr>
      </w:pPr>
      <w:r w:rsidRPr="00FD211F">
        <w:rPr>
          <w:b/>
          <w:bCs/>
          <w:sz w:val="36"/>
          <w:szCs w:val="36"/>
          <w:rtl/>
        </w:rPr>
        <w:t>المسلك الثاني</w:t>
      </w:r>
      <w:r w:rsidRPr="00FD211F">
        <w:rPr>
          <w:sz w:val="36"/>
          <w:szCs w:val="36"/>
          <w:rtl/>
        </w:rPr>
        <w:t>: اختار جماع</w:t>
      </w:r>
      <w:r w:rsidR="00EC7EDF" w:rsidRPr="00FD211F">
        <w:rPr>
          <w:sz w:val="36"/>
          <w:szCs w:val="36"/>
          <w:rtl/>
        </w:rPr>
        <w:t xml:space="preserve">ة </w:t>
      </w:r>
      <w:r w:rsidR="00991755" w:rsidRPr="00FD211F">
        <w:rPr>
          <w:sz w:val="36"/>
          <w:szCs w:val="36"/>
          <w:rtl/>
        </w:rPr>
        <w:t>-</w:t>
      </w:r>
      <w:r w:rsidRPr="00FD211F">
        <w:rPr>
          <w:sz w:val="36"/>
          <w:szCs w:val="36"/>
          <w:rtl/>
        </w:rPr>
        <w:t>منهم صاحب الكفاي</w:t>
      </w:r>
      <w:r w:rsidR="00EC7EDF" w:rsidRPr="00FD211F">
        <w:rPr>
          <w:sz w:val="36"/>
          <w:szCs w:val="36"/>
          <w:rtl/>
        </w:rPr>
        <w:t xml:space="preserve">ة </w:t>
      </w:r>
      <w:r w:rsidR="00AB1B12" w:rsidRPr="00FD211F">
        <w:rPr>
          <w:sz w:val="36"/>
          <w:szCs w:val="36"/>
          <w:rtl/>
        </w:rPr>
        <w:t>"</w:t>
      </w:r>
      <w:r w:rsidRPr="00FD211F">
        <w:rPr>
          <w:sz w:val="36"/>
          <w:szCs w:val="36"/>
          <w:rtl/>
        </w:rPr>
        <w:t>قده</w:t>
      </w:r>
      <w:r w:rsidR="00AB1B12" w:rsidRPr="00FD211F">
        <w:rPr>
          <w:sz w:val="36"/>
          <w:szCs w:val="36"/>
          <w:rtl/>
        </w:rPr>
        <w:t>"</w:t>
      </w:r>
      <w:r w:rsidRPr="00FD211F">
        <w:rPr>
          <w:sz w:val="36"/>
          <w:szCs w:val="36"/>
          <w:rtl/>
        </w:rPr>
        <w:t xml:space="preserve"> </w:t>
      </w:r>
      <w:r w:rsidR="00991755" w:rsidRPr="00FD211F">
        <w:rPr>
          <w:sz w:val="36"/>
          <w:szCs w:val="36"/>
          <w:rtl/>
        </w:rPr>
        <w:t>-</w:t>
      </w:r>
      <w:r w:rsidRPr="00FD211F">
        <w:rPr>
          <w:sz w:val="36"/>
          <w:szCs w:val="36"/>
          <w:rtl/>
        </w:rPr>
        <w:t>ان المعنى الحرفي والاسمي متحدان بالذات</w:t>
      </w:r>
      <w:r w:rsidR="00603323" w:rsidRPr="00FD211F">
        <w:rPr>
          <w:sz w:val="36"/>
          <w:szCs w:val="36"/>
          <w:rtl/>
        </w:rPr>
        <w:t xml:space="preserve">، </w:t>
      </w:r>
      <w:r w:rsidRPr="00FD211F">
        <w:rPr>
          <w:sz w:val="36"/>
          <w:szCs w:val="36"/>
          <w:rtl/>
        </w:rPr>
        <w:t>فلااختلاف في المعنى الموضوع له والمستعمل فيه للفظ</w:t>
      </w:r>
      <w:r w:rsidR="00EC7EDF" w:rsidRPr="00FD211F">
        <w:rPr>
          <w:sz w:val="36"/>
          <w:szCs w:val="36"/>
          <w:rtl/>
        </w:rPr>
        <w:t xml:space="preserve">ة </w:t>
      </w:r>
      <w:r w:rsidRPr="00FD211F">
        <w:rPr>
          <w:sz w:val="36"/>
          <w:szCs w:val="36"/>
          <w:rtl/>
        </w:rPr>
        <w:t>"من" و"الابتداء"</w:t>
      </w:r>
      <w:r w:rsidR="00603323" w:rsidRPr="00FD211F">
        <w:rPr>
          <w:sz w:val="36"/>
          <w:szCs w:val="36"/>
          <w:rtl/>
        </w:rPr>
        <w:t xml:space="preserve">، </w:t>
      </w:r>
      <w:r w:rsidRPr="00FD211F">
        <w:rPr>
          <w:sz w:val="36"/>
          <w:szCs w:val="36"/>
          <w:rtl/>
        </w:rPr>
        <w:t>وما يرى من عدم صح</w:t>
      </w:r>
      <w:r w:rsidR="00EC7EDF" w:rsidRPr="00FD211F">
        <w:rPr>
          <w:sz w:val="36"/>
          <w:szCs w:val="36"/>
          <w:rtl/>
        </w:rPr>
        <w:t xml:space="preserve">ة </w:t>
      </w:r>
      <w:r w:rsidRPr="00FD211F">
        <w:rPr>
          <w:sz w:val="36"/>
          <w:szCs w:val="36"/>
          <w:rtl/>
        </w:rPr>
        <w:t>استعمال احدهما في موضع الآخر فلأجل اشتراط الواضع ان يكون استعمال لفظ</w:t>
      </w:r>
      <w:r w:rsidR="00EC7EDF" w:rsidRPr="00FD211F">
        <w:rPr>
          <w:sz w:val="36"/>
          <w:szCs w:val="36"/>
          <w:rtl/>
        </w:rPr>
        <w:t xml:space="preserve">ة </w:t>
      </w:r>
      <w:r w:rsidR="00644493" w:rsidRPr="00FD211F">
        <w:rPr>
          <w:sz w:val="36"/>
          <w:szCs w:val="36"/>
          <w:rtl/>
        </w:rPr>
        <w:t>"</w:t>
      </w:r>
      <w:r w:rsidRPr="00FD211F">
        <w:rPr>
          <w:sz w:val="36"/>
          <w:szCs w:val="36"/>
          <w:rtl/>
        </w:rPr>
        <w:t>من</w:t>
      </w:r>
      <w:r w:rsidR="00644493" w:rsidRPr="00FD211F">
        <w:rPr>
          <w:sz w:val="36"/>
          <w:szCs w:val="36"/>
          <w:rtl/>
        </w:rPr>
        <w:t>"</w:t>
      </w:r>
      <w:r w:rsidRPr="00FD211F">
        <w:rPr>
          <w:sz w:val="36"/>
          <w:szCs w:val="36"/>
          <w:rtl/>
        </w:rPr>
        <w:t xml:space="preserve"> في معنى الابتداء مختصا بلحاظ هذا المعنى حال</w:t>
      </w:r>
      <w:r w:rsidR="00EC7EDF" w:rsidRPr="00FD211F">
        <w:rPr>
          <w:sz w:val="36"/>
          <w:szCs w:val="36"/>
          <w:rtl/>
        </w:rPr>
        <w:t xml:space="preserve">ة </w:t>
      </w:r>
      <w:r w:rsidRPr="00FD211F">
        <w:rPr>
          <w:sz w:val="36"/>
          <w:szCs w:val="36"/>
          <w:rtl/>
        </w:rPr>
        <w:t>لمعنى آخر</w:t>
      </w:r>
      <w:r w:rsidR="00603323" w:rsidRPr="00FD211F">
        <w:rPr>
          <w:sz w:val="36"/>
          <w:szCs w:val="36"/>
          <w:rtl/>
        </w:rPr>
        <w:t xml:space="preserve">، </w:t>
      </w:r>
      <w:r w:rsidRPr="00FD211F">
        <w:rPr>
          <w:sz w:val="36"/>
          <w:szCs w:val="36"/>
          <w:rtl/>
        </w:rPr>
        <w:t>كما انه اشترط الواضع ان يكون استعمال لفظ الابتداء مختصا بصور</w:t>
      </w:r>
      <w:r w:rsidR="00EC7EDF" w:rsidRPr="00FD211F">
        <w:rPr>
          <w:sz w:val="36"/>
          <w:szCs w:val="36"/>
          <w:rtl/>
        </w:rPr>
        <w:t xml:space="preserve">ة </w:t>
      </w:r>
      <w:r w:rsidRPr="00FD211F">
        <w:rPr>
          <w:sz w:val="36"/>
          <w:szCs w:val="36"/>
          <w:rtl/>
        </w:rPr>
        <w:t>لحاظ معناه مستقلا</w:t>
      </w:r>
      <w:r w:rsidR="00603323" w:rsidRPr="00FD211F">
        <w:rPr>
          <w:sz w:val="36"/>
          <w:szCs w:val="36"/>
          <w:rtl/>
        </w:rPr>
        <w:t xml:space="preserve">، </w:t>
      </w:r>
      <w:r w:rsidRPr="00FD211F">
        <w:rPr>
          <w:sz w:val="36"/>
          <w:szCs w:val="36"/>
          <w:rtl/>
        </w:rPr>
        <w:t>فالمتحصل ان اللحاظ الآلي والاستقلالي خارجان عن حريم المعنى</w:t>
      </w:r>
      <w:r w:rsidR="00603323" w:rsidRPr="00FD211F">
        <w:rPr>
          <w:sz w:val="36"/>
          <w:szCs w:val="36"/>
          <w:rtl/>
        </w:rPr>
        <w:t xml:space="preserve">، </w:t>
      </w:r>
      <w:r w:rsidRPr="00FD211F">
        <w:rPr>
          <w:sz w:val="36"/>
          <w:szCs w:val="36"/>
          <w:rtl/>
        </w:rPr>
        <w:t>وانما هما من شؤون الاستعمال.</w:t>
      </w:r>
    </w:p>
    <w:p w14:paraId="658A1A12" w14:textId="77777777" w:rsidR="007F5659" w:rsidRPr="00FD211F" w:rsidRDefault="007F5659" w:rsidP="009C58C8">
      <w:pPr>
        <w:ind w:left="0" w:firstLine="227"/>
        <w:jc w:val="both"/>
        <w:rPr>
          <w:sz w:val="36"/>
          <w:szCs w:val="36"/>
          <w:rtl/>
        </w:rPr>
      </w:pPr>
      <w:r w:rsidRPr="00FD211F">
        <w:rPr>
          <w:sz w:val="36"/>
          <w:szCs w:val="36"/>
          <w:rtl/>
        </w:rPr>
        <w:t>وقد يستظهر هذ</w:t>
      </w:r>
      <w:r w:rsidR="00395CC8" w:rsidRPr="00FD211F">
        <w:rPr>
          <w:sz w:val="36"/>
          <w:szCs w:val="36"/>
          <w:rtl/>
        </w:rPr>
        <w:t>ا المسلك من كلام الشيخ الرضي "ره"</w:t>
      </w:r>
      <w:r w:rsidRPr="00FD211F">
        <w:rPr>
          <w:sz w:val="36"/>
          <w:szCs w:val="36"/>
          <w:rtl/>
        </w:rPr>
        <w:t xml:space="preserve"> الذي نقلناه آنفا فراجع.</w:t>
      </w:r>
    </w:p>
    <w:p w14:paraId="7E17208B" w14:textId="77777777" w:rsidR="007F5659" w:rsidRPr="00FD211F" w:rsidRDefault="007F5659" w:rsidP="009C58C8">
      <w:pPr>
        <w:ind w:left="0" w:firstLine="227"/>
        <w:jc w:val="both"/>
        <w:rPr>
          <w:sz w:val="36"/>
          <w:szCs w:val="36"/>
          <w:rtl/>
        </w:rPr>
      </w:pPr>
      <w:r w:rsidRPr="00FD211F">
        <w:rPr>
          <w:sz w:val="36"/>
          <w:szCs w:val="36"/>
          <w:rtl/>
        </w:rPr>
        <w:t>وقد استدل صاحب الكفاي</w:t>
      </w:r>
      <w:r w:rsidR="00EC7EDF" w:rsidRPr="00FD211F">
        <w:rPr>
          <w:sz w:val="36"/>
          <w:szCs w:val="36"/>
          <w:rtl/>
        </w:rPr>
        <w:t xml:space="preserve">ة </w:t>
      </w:r>
      <w:r w:rsidR="00395CC8" w:rsidRPr="00FD211F">
        <w:rPr>
          <w:sz w:val="36"/>
          <w:szCs w:val="36"/>
          <w:rtl/>
        </w:rPr>
        <w:t>"</w:t>
      </w:r>
      <w:r w:rsidRPr="00FD211F">
        <w:rPr>
          <w:sz w:val="36"/>
          <w:szCs w:val="36"/>
          <w:rtl/>
        </w:rPr>
        <w:t>قده</w:t>
      </w:r>
      <w:r w:rsidR="00395CC8" w:rsidRPr="00FD211F">
        <w:rPr>
          <w:sz w:val="36"/>
          <w:szCs w:val="36"/>
          <w:rtl/>
        </w:rPr>
        <w:t>"</w:t>
      </w:r>
      <w:r w:rsidRPr="00FD211F">
        <w:rPr>
          <w:sz w:val="36"/>
          <w:szCs w:val="36"/>
          <w:rtl/>
        </w:rPr>
        <w:t xml:space="preserve"> على عدم امكان اخذ اللحاظ الآلي كاللحاظ الاستقلالي في المعنى الموضوع له والمستعمل فيه بوجوه:</w:t>
      </w:r>
    </w:p>
    <w:p w14:paraId="584865F0" w14:textId="77777777" w:rsidR="007F5659" w:rsidRPr="00FD211F" w:rsidRDefault="007F5659" w:rsidP="009C58C8">
      <w:pPr>
        <w:ind w:left="0" w:firstLine="227"/>
        <w:jc w:val="both"/>
        <w:rPr>
          <w:sz w:val="36"/>
          <w:szCs w:val="36"/>
          <w:rtl/>
        </w:rPr>
      </w:pPr>
      <w:r w:rsidRPr="00FD211F">
        <w:rPr>
          <w:b/>
          <w:bCs/>
          <w:sz w:val="36"/>
          <w:szCs w:val="36"/>
          <w:rtl/>
        </w:rPr>
        <w:t>الوجه الاول</w:t>
      </w:r>
      <w:r w:rsidRPr="00FD211F">
        <w:rPr>
          <w:sz w:val="36"/>
          <w:szCs w:val="36"/>
          <w:rtl/>
        </w:rPr>
        <w:t>: ان لحاظ المعنى في مقام الاستعمال مما لابد منه</w:t>
      </w:r>
      <w:r w:rsidR="00603323" w:rsidRPr="00FD211F">
        <w:rPr>
          <w:sz w:val="36"/>
          <w:szCs w:val="36"/>
          <w:rtl/>
        </w:rPr>
        <w:t xml:space="preserve">، </w:t>
      </w:r>
      <w:r w:rsidRPr="00FD211F">
        <w:rPr>
          <w:sz w:val="36"/>
          <w:szCs w:val="36"/>
          <w:rtl/>
        </w:rPr>
        <w:t>فلو أخذ اللحاظ في ذات المعنى لزم تعلق اللحاظ باللحاظ</w:t>
      </w:r>
      <w:r w:rsidR="00603323" w:rsidRPr="00FD211F">
        <w:rPr>
          <w:sz w:val="36"/>
          <w:szCs w:val="36"/>
          <w:rtl/>
        </w:rPr>
        <w:t xml:space="preserve">، </w:t>
      </w:r>
      <w:r w:rsidRPr="00FD211F">
        <w:rPr>
          <w:sz w:val="36"/>
          <w:szCs w:val="36"/>
          <w:rtl/>
        </w:rPr>
        <w:t>وهو باطل لان الالتزام بوجود لحاظين خلاف الوجدان</w:t>
      </w:r>
      <w:r w:rsidR="00603323" w:rsidRPr="00FD211F">
        <w:rPr>
          <w:sz w:val="36"/>
          <w:szCs w:val="36"/>
          <w:rtl/>
        </w:rPr>
        <w:t xml:space="preserve">، </w:t>
      </w:r>
      <w:r w:rsidRPr="00FD211F">
        <w:rPr>
          <w:sz w:val="36"/>
          <w:szCs w:val="36"/>
          <w:rtl/>
        </w:rPr>
        <w:t>والالتزام بلحاظ واحد يوجب الخلف</w:t>
      </w:r>
      <w:r w:rsidR="00603323" w:rsidRPr="00FD211F">
        <w:rPr>
          <w:sz w:val="36"/>
          <w:szCs w:val="36"/>
          <w:rtl/>
        </w:rPr>
        <w:t xml:space="preserve">، </w:t>
      </w:r>
      <w:r w:rsidRPr="00FD211F">
        <w:rPr>
          <w:sz w:val="36"/>
          <w:szCs w:val="36"/>
          <w:rtl/>
        </w:rPr>
        <w:t>اذ لازم اخذ اللحاظ في المعنى هو تقدم هذا اللحاظ رتب</w:t>
      </w:r>
      <w:r w:rsidR="00EC7EDF" w:rsidRPr="00FD211F">
        <w:rPr>
          <w:sz w:val="36"/>
          <w:szCs w:val="36"/>
          <w:rtl/>
        </w:rPr>
        <w:t xml:space="preserve">ة </w:t>
      </w:r>
      <w:r w:rsidRPr="00FD211F">
        <w:rPr>
          <w:sz w:val="36"/>
          <w:szCs w:val="36"/>
          <w:rtl/>
        </w:rPr>
        <w:t>على اللحاظ الذي يتعلق بالمعنى.</w:t>
      </w:r>
    </w:p>
    <w:p w14:paraId="6C7B8253" w14:textId="77777777" w:rsidR="007F5659" w:rsidRPr="00FD211F" w:rsidRDefault="007F5659" w:rsidP="009C58C8">
      <w:pPr>
        <w:ind w:left="0" w:firstLine="227"/>
        <w:jc w:val="both"/>
        <w:rPr>
          <w:sz w:val="36"/>
          <w:szCs w:val="36"/>
          <w:rtl/>
        </w:rPr>
      </w:pPr>
      <w:r w:rsidRPr="00FD211F">
        <w:rPr>
          <w:b/>
          <w:bCs/>
          <w:sz w:val="36"/>
          <w:szCs w:val="36"/>
          <w:rtl/>
        </w:rPr>
        <w:t>الوجه الثاني</w:t>
      </w:r>
      <w:r w:rsidRPr="00FD211F">
        <w:rPr>
          <w:sz w:val="36"/>
          <w:szCs w:val="36"/>
          <w:rtl/>
        </w:rPr>
        <w:t>: انه يلزم منه عدم امكان امتثال الأمر فيما لو امر المولى بالسير من البصر</w:t>
      </w:r>
      <w:r w:rsidR="00EC7EDF" w:rsidRPr="00FD211F">
        <w:rPr>
          <w:sz w:val="36"/>
          <w:szCs w:val="36"/>
          <w:rtl/>
        </w:rPr>
        <w:t xml:space="preserve">ة </w:t>
      </w:r>
      <w:r w:rsidRPr="00FD211F">
        <w:rPr>
          <w:sz w:val="36"/>
          <w:szCs w:val="36"/>
          <w:rtl/>
        </w:rPr>
        <w:t>مثلا</w:t>
      </w:r>
      <w:r w:rsidR="00603323" w:rsidRPr="00FD211F">
        <w:rPr>
          <w:sz w:val="36"/>
          <w:szCs w:val="36"/>
          <w:rtl/>
        </w:rPr>
        <w:t xml:space="preserve">، </w:t>
      </w:r>
      <w:r w:rsidRPr="00FD211F">
        <w:rPr>
          <w:sz w:val="36"/>
          <w:szCs w:val="36"/>
          <w:rtl/>
        </w:rPr>
        <w:t>حيث يكون السير مقيدا بالابتداء المقيد بكونه ملحوظا آليا في ذهن المولى</w:t>
      </w:r>
      <w:r w:rsidR="00603323" w:rsidRPr="00FD211F">
        <w:rPr>
          <w:sz w:val="36"/>
          <w:szCs w:val="36"/>
          <w:rtl/>
        </w:rPr>
        <w:t xml:space="preserve">، </w:t>
      </w:r>
      <w:r w:rsidRPr="00FD211F">
        <w:rPr>
          <w:sz w:val="36"/>
          <w:szCs w:val="36"/>
          <w:rtl/>
        </w:rPr>
        <w:t>فحينئذ لايمكن تحصيله في الخارج</w:t>
      </w:r>
      <w:r w:rsidR="00603323" w:rsidRPr="00FD211F">
        <w:rPr>
          <w:sz w:val="36"/>
          <w:szCs w:val="36"/>
          <w:rtl/>
        </w:rPr>
        <w:t xml:space="preserve">، </w:t>
      </w:r>
      <w:r w:rsidRPr="00FD211F">
        <w:rPr>
          <w:sz w:val="36"/>
          <w:szCs w:val="36"/>
          <w:rtl/>
        </w:rPr>
        <w:t>لان المقيد بأمر ذهني لايمكن تحققه في الخارج.</w:t>
      </w:r>
    </w:p>
    <w:p w14:paraId="594397B2" w14:textId="77777777" w:rsidR="007F5659" w:rsidRPr="00FD211F" w:rsidRDefault="007F5659" w:rsidP="00F32F17">
      <w:pPr>
        <w:ind w:left="0" w:firstLine="227"/>
        <w:jc w:val="both"/>
        <w:rPr>
          <w:sz w:val="36"/>
          <w:szCs w:val="36"/>
          <w:rtl/>
        </w:rPr>
      </w:pPr>
      <w:r w:rsidRPr="00FD211F">
        <w:rPr>
          <w:b/>
          <w:bCs/>
          <w:sz w:val="36"/>
          <w:szCs w:val="36"/>
          <w:rtl/>
        </w:rPr>
        <w:t>الوجه الثالث</w:t>
      </w:r>
      <w:r w:rsidRPr="00FD211F">
        <w:rPr>
          <w:sz w:val="36"/>
          <w:szCs w:val="36"/>
          <w:rtl/>
        </w:rPr>
        <w:t>: ان اخذ اللحاظ الآلي في المعنى الحرفي يستلزم اخذ اللحاظ الاستقلالي في المعنى الاسمي -والا لزم صح</w:t>
      </w:r>
      <w:r w:rsidR="00EC7EDF" w:rsidRPr="00FD211F">
        <w:rPr>
          <w:sz w:val="36"/>
          <w:szCs w:val="36"/>
          <w:rtl/>
        </w:rPr>
        <w:t xml:space="preserve">ة </w:t>
      </w:r>
      <w:r w:rsidRPr="00FD211F">
        <w:rPr>
          <w:sz w:val="36"/>
          <w:szCs w:val="36"/>
          <w:rtl/>
        </w:rPr>
        <w:t>استعمال لفظ</w:t>
      </w:r>
      <w:r w:rsidR="009F7151" w:rsidRPr="00FD211F">
        <w:rPr>
          <w:sz w:val="36"/>
          <w:szCs w:val="36"/>
          <w:rtl/>
        </w:rPr>
        <w:t>"</w:t>
      </w:r>
      <w:r w:rsidRPr="00FD211F">
        <w:rPr>
          <w:sz w:val="36"/>
          <w:szCs w:val="36"/>
          <w:rtl/>
        </w:rPr>
        <w:t xml:space="preserve"> الابتداء</w:t>
      </w:r>
      <w:r w:rsidR="009F7151" w:rsidRPr="00FD211F">
        <w:rPr>
          <w:sz w:val="36"/>
          <w:szCs w:val="36"/>
          <w:rtl/>
        </w:rPr>
        <w:t>"</w:t>
      </w:r>
      <w:r w:rsidRPr="00FD211F">
        <w:rPr>
          <w:sz w:val="36"/>
          <w:szCs w:val="36"/>
          <w:rtl/>
        </w:rPr>
        <w:t xml:space="preserve"> مكان لفظ</w:t>
      </w:r>
      <w:r w:rsidR="00EC7EDF" w:rsidRPr="00FD211F">
        <w:rPr>
          <w:sz w:val="36"/>
          <w:szCs w:val="36"/>
          <w:rtl/>
        </w:rPr>
        <w:t xml:space="preserve">ة </w:t>
      </w:r>
      <w:r w:rsidR="009F7151" w:rsidRPr="00FD211F">
        <w:rPr>
          <w:sz w:val="36"/>
          <w:szCs w:val="36"/>
          <w:rtl/>
        </w:rPr>
        <w:t>"</w:t>
      </w:r>
      <w:r w:rsidRPr="00FD211F">
        <w:rPr>
          <w:sz w:val="36"/>
          <w:szCs w:val="36"/>
          <w:rtl/>
        </w:rPr>
        <w:t>من</w:t>
      </w:r>
      <w:r w:rsidR="009F7151" w:rsidRPr="00FD211F">
        <w:rPr>
          <w:sz w:val="36"/>
          <w:szCs w:val="36"/>
          <w:rtl/>
        </w:rPr>
        <w:t>"</w:t>
      </w:r>
      <w:r w:rsidRPr="00FD211F">
        <w:rPr>
          <w:sz w:val="36"/>
          <w:szCs w:val="36"/>
          <w:rtl/>
        </w:rPr>
        <w:t>- ويلزم من ذلك كون الموضوع له في الأسماء جزئيا</w:t>
      </w:r>
      <w:r w:rsidR="00603323" w:rsidRPr="00FD211F">
        <w:rPr>
          <w:sz w:val="36"/>
          <w:szCs w:val="36"/>
          <w:rtl/>
        </w:rPr>
        <w:t xml:space="preserve">، </w:t>
      </w:r>
      <w:r w:rsidRPr="00FD211F">
        <w:rPr>
          <w:sz w:val="36"/>
          <w:szCs w:val="36"/>
          <w:rtl/>
        </w:rPr>
        <w:t>بعد افتراض تقومه بوجود اللحاظ</w:t>
      </w:r>
      <w:r w:rsidR="009C58C8" w:rsidRPr="00FD211F">
        <w:rPr>
          <w:rStyle w:val="a6"/>
          <w:sz w:val="36"/>
          <w:szCs w:val="36"/>
          <w:rtl/>
        </w:rPr>
        <w:t>(</w:t>
      </w:r>
      <w:r w:rsidR="009C58C8" w:rsidRPr="00FD211F">
        <w:rPr>
          <w:rStyle w:val="a6"/>
          <w:sz w:val="36"/>
          <w:szCs w:val="36"/>
          <w:rtl/>
        </w:rPr>
        <w:footnoteReference w:id="149"/>
      </w:r>
      <w:r w:rsidR="009C58C8" w:rsidRPr="00FD211F">
        <w:rPr>
          <w:rStyle w:val="a6"/>
          <w:sz w:val="36"/>
          <w:szCs w:val="36"/>
          <w:rtl/>
        </w:rPr>
        <w:t>)</w:t>
      </w:r>
      <w:r w:rsidRPr="00FD211F">
        <w:rPr>
          <w:sz w:val="36"/>
          <w:szCs w:val="36"/>
          <w:rtl/>
        </w:rPr>
        <w:t>.</w:t>
      </w:r>
    </w:p>
    <w:p w14:paraId="111F7716" w14:textId="77777777" w:rsidR="00EF2D37" w:rsidRPr="00FD211F" w:rsidRDefault="007F5659" w:rsidP="009C58C8">
      <w:pPr>
        <w:ind w:left="0" w:firstLine="227"/>
        <w:jc w:val="both"/>
        <w:rPr>
          <w:sz w:val="36"/>
          <w:szCs w:val="36"/>
          <w:rtl/>
        </w:rPr>
      </w:pPr>
      <w:r w:rsidRPr="00FD211F">
        <w:rPr>
          <w:sz w:val="36"/>
          <w:szCs w:val="36"/>
          <w:rtl/>
        </w:rPr>
        <w:t>ولكن يرد على الوجه الاول بانه لامانع من الالتزام بان الموضوع له للفظ</w:t>
      </w:r>
      <w:r w:rsidR="00EC7EDF" w:rsidRPr="00FD211F">
        <w:rPr>
          <w:sz w:val="36"/>
          <w:szCs w:val="36"/>
          <w:rtl/>
        </w:rPr>
        <w:t xml:space="preserve">ة </w:t>
      </w:r>
      <w:r w:rsidRPr="00FD211F">
        <w:rPr>
          <w:sz w:val="36"/>
          <w:szCs w:val="36"/>
          <w:rtl/>
        </w:rPr>
        <w:t>من مثلا هو معنى الابتداء الملحوظ آليّا</w:t>
      </w:r>
      <w:r w:rsidR="00603323" w:rsidRPr="00FD211F">
        <w:rPr>
          <w:sz w:val="36"/>
          <w:szCs w:val="36"/>
          <w:rtl/>
        </w:rPr>
        <w:t xml:space="preserve">، </w:t>
      </w:r>
      <w:r w:rsidRPr="00FD211F">
        <w:rPr>
          <w:sz w:val="36"/>
          <w:szCs w:val="36"/>
          <w:rtl/>
        </w:rPr>
        <w:t>ولكن يتعلق لحاظ المستعم</w:t>
      </w:r>
      <w:r w:rsidR="00EF2D37" w:rsidRPr="00FD211F">
        <w:rPr>
          <w:sz w:val="36"/>
          <w:szCs w:val="36"/>
          <w:rtl/>
        </w:rPr>
        <w:t>ِ</w:t>
      </w:r>
      <w:r w:rsidRPr="00FD211F">
        <w:rPr>
          <w:sz w:val="36"/>
          <w:szCs w:val="36"/>
          <w:rtl/>
        </w:rPr>
        <w:t xml:space="preserve">ل بذات معنى </w:t>
      </w:r>
      <w:r w:rsidR="00EF2D37" w:rsidRPr="00FD211F">
        <w:rPr>
          <w:sz w:val="36"/>
          <w:szCs w:val="36"/>
          <w:rtl/>
        </w:rPr>
        <w:t>الابتداء</w:t>
      </w:r>
      <w:r w:rsidR="00603323" w:rsidRPr="00FD211F">
        <w:rPr>
          <w:sz w:val="36"/>
          <w:szCs w:val="36"/>
          <w:rtl/>
        </w:rPr>
        <w:t xml:space="preserve">، </w:t>
      </w:r>
      <w:r w:rsidRPr="00FD211F">
        <w:rPr>
          <w:sz w:val="36"/>
          <w:szCs w:val="36"/>
          <w:rtl/>
        </w:rPr>
        <w:t>وحينئذ فان كان لحاظ</w:t>
      </w:r>
      <w:r w:rsidR="00C57884" w:rsidRPr="00FD211F">
        <w:rPr>
          <w:sz w:val="36"/>
          <w:szCs w:val="36"/>
          <w:rtl/>
        </w:rPr>
        <w:t>ه</w:t>
      </w:r>
      <w:r w:rsidRPr="00FD211F">
        <w:rPr>
          <w:sz w:val="36"/>
          <w:szCs w:val="36"/>
          <w:rtl/>
        </w:rPr>
        <w:t xml:space="preserve"> له آليا تحقق الجزء الثاني من المعنى الحرفي</w:t>
      </w:r>
      <w:r w:rsidR="00603323" w:rsidRPr="00FD211F">
        <w:rPr>
          <w:sz w:val="36"/>
          <w:szCs w:val="36"/>
          <w:rtl/>
        </w:rPr>
        <w:t xml:space="preserve">، </w:t>
      </w:r>
      <w:r w:rsidRPr="00FD211F">
        <w:rPr>
          <w:sz w:val="36"/>
          <w:szCs w:val="36"/>
          <w:rtl/>
        </w:rPr>
        <w:t>وهذا كاف في صح</w:t>
      </w:r>
      <w:r w:rsidR="00EC7EDF" w:rsidRPr="00FD211F">
        <w:rPr>
          <w:sz w:val="36"/>
          <w:szCs w:val="36"/>
          <w:rtl/>
        </w:rPr>
        <w:t xml:space="preserve">ة </w:t>
      </w:r>
      <w:r w:rsidRPr="00FD211F">
        <w:rPr>
          <w:sz w:val="36"/>
          <w:szCs w:val="36"/>
          <w:rtl/>
        </w:rPr>
        <w:t>الاستعمال بعد كون اللحاظ معلوما لدى المستعمل بالعلم الحضوري بل العلم الحصولي الإجمالي</w:t>
      </w:r>
      <w:r w:rsidR="00EF2D37" w:rsidRPr="00FD211F">
        <w:rPr>
          <w:sz w:val="36"/>
          <w:szCs w:val="36"/>
          <w:rtl/>
        </w:rPr>
        <w:t>.</w:t>
      </w:r>
    </w:p>
    <w:p w14:paraId="7F283E49" w14:textId="77777777" w:rsidR="00EF2D37" w:rsidRPr="00FD211F" w:rsidRDefault="007F5659" w:rsidP="009C58C8">
      <w:pPr>
        <w:ind w:left="0" w:firstLine="227"/>
        <w:jc w:val="both"/>
        <w:rPr>
          <w:sz w:val="36"/>
          <w:szCs w:val="36"/>
          <w:rtl/>
        </w:rPr>
      </w:pPr>
      <w:r w:rsidRPr="00FD211F">
        <w:rPr>
          <w:sz w:val="36"/>
          <w:szCs w:val="36"/>
          <w:rtl/>
        </w:rPr>
        <w:t>كما يرد على الوجه الثاني بانه لامانع من الأمر بإيجاد المعنى الملحوظ بالعرض في ذهن المولى</w:t>
      </w:r>
      <w:r w:rsidR="00603323" w:rsidRPr="00FD211F">
        <w:rPr>
          <w:sz w:val="36"/>
          <w:szCs w:val="36"/>
          <w:rtl/>
        </w:rPr>
        <w:t xml:space="preserve">، </w:t>
      </w:r>
      <w:r w:rsidRPr="00FD211F">
        <w:rPr>
          <w:sz w:val="36"/>
          <w:szCs w:val="36"/>
          <w:rtl/>
        </w:rPr>
        <w:t>فاذا سار المكلف من البصر</w:t>
      </w:r>
      <w:r w:rsidR="00EC7EDF" w:rsidRPr="00FD211F">
        <w:rPr>
          <w:sz w:val="36"/>
          <w:szCs w:val="36"/>
          <w:rtl/>
        </w:rPr>
        <w:t xml:space="preserve">ة </w:t>
      </w:r>
      <w:r w:rsidRPr="00FD211F">
        <w:rPr>
          <w:sz w:val="36"/>
          <w:szCs w:val="36"/>
          <w:rtl/>
        </w:rPr>
        <w:t>مثلا كان ابتداء سيره الذي هو موجود خارجا ملحوظا بالعرض للمولى</w:t>
      </w:r>
      <w:r w:rsidR="00603323" w:rsidRPr="00FD211F">
        <w:rPr>
          <w:sz w:val="36"/>
          <w:szCs w:val="36"/>
          <w:rtl/>
        </w:rPr>
        <w:t xml:space="preserve">، </w:t>
      </w:r>
      <w:r w:rsidRPr="00FD211F">
        <w:rPr>
          <w:sz w:val="36"/>
          <w:szCs w:val="36"/>
          <w:rtl/>
        </w:rPr>
        <w:t>نعم لو كان المراد هو الملحوظ بالذات تم الاشكال لعدم امكان امتثاله ابدا</w:t>
      </w:r>
      <w:r w:rsidR="00EF2D37" w:rsidRPr="00FD211F">
        <w:rPr>
          <w:sz w:val="36"/>
          <w:szCs w:val="36"/>
          <w:rtl/>
        </w:rPr>
        <w:t>.</w:t>
      </w:r>
    </w:p>
    <w:p w14:paraId="45EA78AC" w14:textId="77777777" w:rsidR="007F5659" w:rsidRPr="00FD211F" w:rsidRDefault="007F1237" w:rsidP="009C58C8">
      <w:pPr>
        <w:ind w:left="0" w:firstLine="227"/>
        <w:jc w:val="both"/>
        <w:rPr>
          <w:sz w:val="36"/>
          <w:szCs w:val="36"/>
          <w:rtl/>
        </w:rPr>
      </w:pPr>
      <w:r w:rsidRPr="00FD211F">
        <w:rPr>
          <w:sz w:val="36"/>
          <w:szCs w:val="36"/>
          <w:rtl/>
        </w:rPr>
        <w:t xml:space="preserve">كما يردعلى </w:t>
      </w:r>
      <w:r w:rsidR="007F5659" w:rsidRPr="00FD211F">
        <w:rPr>
          <w:sz w:val="36"/>
          <w:szCs w:val="36"/>
          <w:rtl/>
        </w:rPr>
        <w:t>الوجه الثالث</w:t>
      </w:r>
      <w:r w:rsidRPr="00FD211F">
        <w:rPr>
          <w:sz w:val="36"/>
          <w:szCs w:val="36"/>
          <w:rtl/>
        </w:rPr>
        <w:t xml:space="preserve">- </w:t>
      </w:r>
      <w:r w:rsidR="00EF2D37" w:rsidRPr="00FD211F">
        <w:rPr>
          <w:sz w:val="36"/>
          <w:szCs w:val="36"/>
          <w:rtl/>
        </w:rPr>
        <w:t>مضافا الى انه لامحذور في الالتزام به</w:t>
      </w:r>
      <w:r w:rsidRPr="00FD211F">
        <w:rPr>
          <w:sz w:val="36"/>
          <w:szCs w:val="36"/>
          <w:rtl/>
        </w:rPr>
        <w:t>-أنه</w:t>
      </w:r>
      <w:r w:rsidR="00EF2D37" w:rsidRPr="00FD211F">
        <w:rPr>
          <w:sz w:val="36"/>
          <w:szCs w:val="36"/>
          <w:rtl/>
        </w:rPr>
        <w:t xml:space="preserve"> يمكن ان يقال بوضع الاسم للمعنى المقيد بعدم اللحاظ الآلي</w:t>
      </w:r>
      <w:r w:rsidR="00603323" w:rsidRPr="00FD211F">
        <w:rPr>
          <w:sz w:val="36"/>
          <w:szCs w:val="36"/>
          <w:rtl/>
        </w:rPr>
        <w:t xml:space="preserve">، </w:t>
      </w:r>
      <w:r w:rsidR="00EF2D37" w:rsidRPr="00FD211F">
        <w:rPr>
          <w:sz w:val="36"/>
          <w:szCs w:val="36"/>
          <w:rtl/>
        </w:rPr>
        <w:t>فلايكون معنى الاسم مقيدا باللحاظ</w:t>
      </w:r>
      <w:r w:rsidR="00457299" w:rsidRPr="00FD211F">
        <w:rPr>
          <w:sz w:val="36"/>
          <w:szCs w:val="36"/>
          <w:rtl/>
        </w:rPr>
        <w:t xml:space="preserve"> كي يصير الموضوع له خاصا وجزئيا</w:t>
      </w:r>
      <w:r w:rsidR="007F5659" w:rsidRPr="00FD211F">
        <w:rPr>
          <w:sz w:val="36"/>
          <w:szCs w:val="36"/>
          <w:rtl/>
        </w:rPr>
        <w:t>.</w:t>
      </w:r>
    </w:p>
    <w:p w14:paraId="4F242597" w14:textId="77777777" w:rsidR="007F5659" w:rsidRPr="00FD211F" w:rsidRDefault="007F5659" w:rsidP="009C58C8">
      <w:pPr>
        <w:ind w:left="0" w:firstLine="227"/>
        <w:jc w:val="both"/>
        <w:rPr>
          <w:sz w:val="36"/>
          <w:szCs w:val="36"/>
          <w:rtl/>
        </w:rPr>
      </w:pPr>
      <w:bookmarkStart w:id="163" w:name="درس079"/>
      <w:bookmarkEnd w:id="163"/>
      <w:r w:rsidRPr="00FD211F">
        <w:rPr>
          <w:sz w:val="36"/>
          <w:szCs w:val="36"/>
          <w:rtl/>
        </w:rPr>
        <w:t>وكيف كان فقد اورد على مسلك صاحب الكفاي</w:t>
      </w:r>
      <w:r w:rsidR="00EC7EDF" w:rsidRPr="00FD211F">
        <w:rPr>
          <w:sz w:val="36"/>
          <w:szCs w:val="36"/>
          <w:rtl/>
        </w:rPr>
        <w:t xml:space="preserve">ة </w:t>
      </w:r>
      <w:r w:rsidR="00395CC8" w:rsidRPr="00FD211F">
        <w:rPr>
          <w:sz w:val="36"/>
          <w:szCs w:val="36"/>
          <w:rtl/>
        </w:rPr>
        <w:t>"</w:t>
      </w:r>
      <w:r w:rsidRPr="00FD211F">
        <w:rPr>
          <w:sz w:val="36"/>
          <w:szCs w:val="36"/>
          <w:rtl/>
        </w:rPr>
        <w:t>قده</w:t>
      </w:r>
      <w:r w:rsidR="00395CC8" w:rsidRPr="00FD211F">
        <w:rPr>
          <w:sz w:val="36"/>
          <w:szCs w:val="36"/>
          <w:rtl/>
        </w:rPr>
        <w:t>"</w:t>
      </w:r>
      <w:r w:rsidRPr="00FD211F">
        <w:rPr>
          <w:sz w:val="36"/>
          <w:szCs w:val="36"/>
          <w:rtl/>
        </w:rPr>
        <w:t xml:space="preserve"> عد</w:t>
      </w:r>
      <w:r w:rsidR="00EC7EDF" w:rsidRPr="00FD211F">
        <w:rPr>
          <w:sz w:val="36"/>
          <w:szCs w:val="36"/>
          <w:rtl/>
        </w:rPr>
        <w:t xml:space="preserve">ة </w:t>
      </w:r>
      <w:r w:rsidRPr="00FD211F">
        <w:rPr>
          <w:sz w:val="36"/>
          <w:szCs w:val="36"/>
          <w:rtl/>
        </w:rPr>
        <w:t>ايرادات:</w:t>
      </w:r>
    </w:p>
    <w:p w14:paraId="38C2FA28" w14:textId="77777777" w:rsidR="007F5659" w:rsidRPr="00FD211F" w:rsidRDefault="007F5659" w:rsidP="009C58C8">
      <w:pPr>
        <w:ind w:left="0" w:firstLine="227"/>
        <w:jc w:val="both"/>
        <w:rPr>
          <w:sz w:val="36"/>
          <w:szCs w:val="36"/>
          <w:rtl/>
        </w:rPr>
      </w:pPr>
      <w:r w:rsidRPr="00FD211F">
        <w:rPr>
          <w:sz w:val="36"/>
          <w:szCs w:val="36"/>
          <w:rtl/>
        </w:rPr>
        <w:t>1- ما ذكره المحقق الاصفهاني</w:t>
      </w:r>
      <w:r w:rsidR="00A61BAE" w:rsidRPr="00FD211F">
        <w:rPr>
          <w:sz w:val="36"/>
          <w:szCs w:val="36"/>
          <w:rtl/>
        </w:rPr>
        <w:t xml:space="preserve"> </w:t>
      </w:r>
      <w:r w:rsidR="005D03BA" w:rsidRPr="00FD211F">
        <w:rPr>
          <w:sz w:val="36"/>
          <w:szCs w:val="36"/>
          <w:rtl/>
        </w:rPr>
        <w:t>“قده”</w:t>
      </w:r>
      <w:r w:rsidR="00A61BAE" w:rsidRPr="00FD211F">
        <w:rPr>
          <w:sz w:val="36"/>
          <w:szCs w:val="36"/>
          <w:rtl/>
        </w:rPr>
        <w:t xml:space="preserve"> </w:t>
      </w:r>
      <w:r w:rsidRPr="00FD211F">
        <w:rPr>
          <w:sz w:val="36"/>
          <w:szCs w:val="36"/>
          <w:rtl/>
        </w:rPr>
        <w:t>من انه لو كان المعنى قابلا لكيفيتين في مرحل</w:t>
      </w:r>
      <w:r w:rsidR="00EC7EDF" w:rsidRPr="00FD211F">
        <w:rPr>
          <w:sz w:val="36"/>
          <w:szCs w:val="36"/>
          <w:rtl/>
        </w:rPr>
        <w:t xml:space="preserve">ة </w:t>
      </w:r>
      <w:r w:rsidRPr="00FD211F">
        <w:rPr>
          <w:sz w:val="36"/>
          <w:szCs w:val="36"/>
          <w:rtl/>
        </w:rPr>
        <w:t xml:space="preserve">وجوده الذهني </w:t>
      </w:r>
      <w:r w:rsidR="00EF2D37" w:rsidRPr="00FD211F">
        <w:rPr>
          <w:sz w:val="36"/>
          <w:szCs w:val="36"/>
          <w:rtl/>
        </w:rPr>
        <w:t xml:space="preserve">بان </w:t>
      </w:r>
      <w:r w:rsidRPr="00FD211F">
        <w:rPr>
          <w:sz w:val="36"/>
          <w:szCs w:val="36"/>
          <w:rtl/>
        </w:rPr>
        <w:t>يمكن وجود معنى الابتداء في الذهن تار</w:t>
      </w:r>
      <w:r w:rsidR="00EC7EDF" w:rsidRPr="00FD211F">
        <w:rPr>
          <w:sz w:val="36"/>
          <w:szCs w:val="36"/>
          <w:rtl/>
        </w:rPr>
        <w:t xml:space="preserve">ة </w:t>
      </w:r>
      <w:r w:rsidRPr="00FD211F">
        <w:rPr>
          <w:sz w:val="36"/>
          <w:szCs w:val="36"/>
          <w:rtl/>
        </w:rPr>
        <w:t>بنحو آلي وأخرى بنحو استقلالي كما هو مدعى صاحب الكفاي</w:t>
      </w:r>
      <w:r w:rsidR="00EC7EDF" w:rsidRPr="00FD211F">
        <w:rPr>
          <w:sz w:val="36"/>
          <w:szCs w:val="36"/>
          <w:rtl/>
        </w:rPr>
        <w:t xml:space="preserve">ة </w:t>
      </w:r>
      <w:r w:rsidRPr="00FD211F">
        <w:rPr>
          <w:sz w:val="36"/>
          <w:szCs w:val="36"/>
          <w:rtl/>
        </w:rPr>
        <w:t>فلابد ان يكون قابلا لكيفيتين في مرحل</w:t>
      </w:r>
      <w:r w:rsidR="00EC7EDF" w:rsidRPr="00FD211F">
        <w:rPr>
          <w:sz w:val="36"/>
          <w:szCs w:val="36"/>
          <w:rtl/>
        </w:rPr>
        <w:t xml:space="preserve">ة </w:t>
      </w:r>
      <w:r w:rsidRPr="00FD211F">
        <w:rPr>
          <w:sz w:val="36"/>
          <w:szCs w:val="36"/>
          <w:rtl/>
        </w:rPr>
        <w:t>وجوده الخارجي</w:t>
      </w:r>
      <w:r w:rsidR="00603323" w:rsidRPr="00FD211F">
        <w:rPr>
          <w:sz w:val="36"/>
          <w:szCs w:val="36"/>
          <w:rtl/>
        </w:rPr>
        <w:t xml:space="preserve">، </w:t>
      </w:r>
      <w:r w:rsidR="00EF2D37" w:rsidRPr="00FD211F">
        <w:rPr>
          <w:sz w:val="36"/>
          <w:szCs w:val="36"/>
          <w:rtl/>
        </w:rPr>
        <w:t>لان الوجود الذهني يجب ان يكون مطابقا مع الوجود الخارجي بينما</w:t>
      </w:r>
      <w:r w:rsidRPr="00FD211F">
        <w:rPr>
          <w:sz w:val="36"/>
          <w:szCs w:val="36"/>
          <w:rtl/>
        </w:rPr>
        <w:t xml:space="preserve"> ان المعنى الحرفي كالنسب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لايوجد في الخارج الا على نحو واحد</w:t>
      </w:r>
      <w:r w:rsidR="00603323" w:rsidRPr="00FD211F">
        <w:rPr>
          <w:sz w:val="36"/>
          <w:szCs w:val="36"/>
          <w:rtl/>
        </w:rPr>
        <w:t xml:space="preserve">، </w:t>
      </w:r>
      <w:r w:rsidRPr="00FD211F">
        <w:rPr>
          <w:sz w:val="36"/>
          <w:szCs w:val="36"/>
          <w:rtl/>
        </w:rPr>
        <w:t>وهو الوجود لافي نفسه</w:t>
      </w:r>
      <w:r w:rsidR="00603323" w:rsidRPr="00FD211F">
        <w:rPr>
          <w:sz w:val="36"/>
          <w:szCs w:val="36"/>
          <w:rtl/>
        </w:rPr>
        <w:t xml:space="preserve">، </w:t>
      </w:r>
      <w:r w:rsidR="00EF2D37" w:rsidRPr="00FD211F">
        <w:rPr>
          <w:sz w:val="36"/>
          <w:szCs w:val="36"/>
          <w:rtl/>
        </w:rPr>
        <w:t>فيجب ان يكون وجوده الذهني كذلك</w:t>
      </w:r>
      <w:r w:rsidR="00603323" w:rsidRPr="00FD211F">
        <w:rPr>
          <w:sz w:val="36"/>
          <w:szCs w:val="36"/>
          <w:rtl/>
        </w:rPr>
        <w:t xml:space="preserve">، </w:t>
      </w:r>
      <w:r w:rsidR="00EF2D37" w:rsidRPr="00FD211F">
        <w:rPr>
          <w:sz w:val="36"/>
          <w:szCs w:val="36"/>
          <w:rtl/>
        </w:rPr>
        <w:t>فلايعقل ان يوجد</w:t>
      </w:r>
      <w:r w:rsidRPr="00FD211F">
        <w:rPr>
          <w:sz w:val="36"/>
          <w:szCs w:val="36"/>
          <w:rtl/>
        </w:rPr>
        <w:t xml:space="preserve"> في الذهن بوجود مستقل</w:t>
      </w:r>
      <w:r w:rsidR="009C58C8" w:rsidRPr="00FD211F">
        <w:rPr>
          <w:rStyle w:val="a6"/>
          <w:sz w:val="36"/>
          <w:szCs w:val="36"/>
          <w:rtl/>
        </w:rPr>
        <w:t>(</w:t>
      </w:r>
      <w:r w:rsidR="009C58C8" w:rsidRPr="00FD211F">
        <w:rPr>
          <w:rStyle w:val="a6"/>
          <w:sz w:val="36"/>
          <w:szCs w:val="36"/>
          <w:rtl/>
        </w:rPr>
        <w:footnoteReference w:id="150"/>
      </w:r>
      <w:r w:rsidR="009C58C8" w:rsidRPr="00FD211F">
        <w:rPr>
          <w:rStyle w:val="a6"/>
          <w:sz w:val="36"/>
          <w:szCs w:val="36"/>
          <w:rtl/>
        </w:rPr>
        <w:t>)</w:t>
      </w:r>
      <w:r w:rsidRPr="00FD211F">
        <w:rPr>
          <w:sz w:val="36"/>
          <w:szCs w:val="36"/>
          <w:rtl/>
        </w:rPr>
        <w:t>.</w:t>
      </w:r>
    </w:p>
    <w:p w14:paraId="2B03A461" w14:textId="77777777" w:rsidR="007F5659" w:rsidRPr="00FD211F" w:rsidRDefault="007F5659" w:rsidP="009C58C8">
      <w:pPr>
        <w:ind w:left="0" w:firstLine="227"/>
        <w:jc w:val="both"/>
        <w:rPr>
          <w:sz w:val="36"/>
          <w:szCs w:val="36"/>
          <w:rtl/>
        </w:rPr>
      </w:pPr>
      <w:r w:rsidRPr="00FD211F">
        <w:rPr>
          <w:sz w:val="36"/>
          <w:szCs w:val="36"/>
          <w:rtl/>
        </w:rPr>
        <w:t>ويلاحظ عليه انه لاوجه لافتراض مطابق</w:t>
      </w:r>
      <w:r w:rsidR="00EC7EDF" w:rsidRPr="00FD211F">
        <w:rPr>
          <w:sz w:val="36"/>
          <w:szCs w:val="36"/>
          <w:rtl/>
        </w:rPr>
        <w:t xml:space="preserve">ة </w:t>
      </w:r>
      <w:r w:rsidRPr="00FD211F">
        <w:rPr>
          <w:sz w:val="36"/>
          <w:szCs w:val="36"/>
          <w:rtl/>
        </w:rPr>
        <w:t>عالم الذهن مع عالم ال</w:t>
      </w:r>
      <w:r w:rsidR="009D2AD4" w:rsidRPr="00FD211F">
        <w:rPr>
          <w:sz w:val="36"/>
          <w:szCs w:val="36"/>
          <w:rtl/>
        </w:rPr>
        <w:t>خارج</w:t>
      </w:r>
      <w:r w:rsidR="00797FF7" w:rsidRPr="00FD211F">
        <w:rPr>
          <w:sz w:val="36"/>
          <w:szCs w:val="36"/>
          <w:rtl/>
        </w:rPr>
        <w:t xml:space="preserve"> كما مر</w:t>
      </w:r>
      <w:r w:rsidR="00603323" w:rsidRPr="00FD211F">
        <w:rPr>
          <w:sz w:val="36"/>
          <w:szCs w:val="36"/>
          <w:rtl/>
        </w:rPr>
        <w:t xml:space="preserve">، </w:t>
      </w:r>
      <w:r w:rsidR="00797FF7" w:rsidRPr="00FD211F">
        <w:rPr>
          <w:sz w:val="36"/>
          <w:szCs w:val="36"/>
          <w:rtl/>
        </w:rPr>
        <w:t>فان الذهن قادر على ان يخلق معان مختلف</w:t>
      </w:r>
      <w:r w:rsidR="00EC7EDF" w:rsidRPr="00FD211F">
        <w:rPr>
          <w:sz w:val="36"/>
          <w:szCs w:val="36"/>
          <w:rtl/>
        </w:rPr>
        <w:t xml:space="preserve">ة </w:t>
      </w:r>
      <w:r w:rsidR="00797FF7" w:rsidRPr="00FD211F">
        <w:rPr>
          <w:sz w:val="36"/>
          <w:szCs w:val="36"/>
          <w:rtl/>
        </w:rPr>
        <w:t>عن حقيق</w:t>
      </w:r>
      <w:r w:rsidR="00EC7EDF" w:rsidRPr="00FD211F">
        <w:rPr>
          <w:sz w:val="36"/>
          <w:szCs w:val="36"/>
          <w:rtl/>
        </w:rPr>
        <w:t xml:space="preserve">ة </w:t>
      </w:r>
      <w:r w:rsidR="00797FF7" w:rsidRPr="00FD211F">
        <w:rPr>
          <w:sz w:val="36"/>
          <w:szCs w:val="36"/>
          <w:rtl/>
        </w:rPr>
        <w:t>واحد</w:t>
      </w:r>
      <w:r w:rsidR="00EC7EDF" w:rsidRPr="00FD211F">
        <w:rPr>
          <w:sz w:val="36"/>
          <w:szCs w:val="36"/>
          <w:rtl/>
        </w:rPr>
        <w:t>ة</w:t>
      </w:r>
      <w:r w:rsidR="00603323" w:rsidRPr="00FD211F">
        <w:rPr>
          <w:sz w:val="36"/>
          <w:szCs w:val="36"/>
          <w:rtl/>
        </w:rPr>
        <w:t xml:space="preserve">، </w:t>
      </w:r>
      <w:r w:rsidR="00797FF7" w:rsidRPr="00FD211F">
        <w:rPr>
          <w:sz w:val="36"/>
          <w:szCs w:val="36"/>
          <w:rtl/>
        </w:rPr>
        <w:t xml:space="preserve">كما انه اذا رأى من ليس ببصير فقد يتصور انه ليس ببصير على نحو </w:t>
      </w:r>
      <w:r w:rsidRPr="00FD211F">
        <w:rPr>
          <w:sz w:val="36"/>
          <w:szCs w:val="36"/>
          <w:rtl/>
        </w:rPr>
        <w:t>السالب</w:t>
      </w:r>
      <w:r w:rsidR="00EC7EDF" w:rsidRPr="00FD211F">
        <w:rPr>
          <w:sz w:val="36"/>
          <w:szCs w:val="36"/>
          <w:rtl/>
        </w:rPr>
        <w:t xml:space="preserve">ة </w:t>
      </w:r>
      <w:r w:rsidRPr="00FD211F">
        <w:rPr>
          <w:sz w:val="36"/>
          <w:szCs w:val="36"/>
          <w:rtl/>
        </w:rPr>
        <w:t>المحصل</w:t>
      </w:r>
      <w:r w:rsidR="00EC7EDF" w:rsidRPr="00FD211F">
        <w:rPr>
          <w:sz w:val="36"/>
          <w:szCs w:val="36"/>
          <w:rtl/>
        </w:rPr>
        <w:t xml:space="preserve">ة </w:t>
      </w:r>
      <w:r w:rsidRPr="00FD211F">
        <w:rPr>
          <w:sz w:val="36"/>
          <w:szCs w:val="36"/>
          <w:rtl/>
        </w:rPr>
        <w:t>وقد يتصور انه اعمى على نحو عدم الملك</w:t>
      </w:r>
      <w:r w:rsidR="00EC7EDF" w:rsidRPr="00FD211F">
        <w:rPr>
          <w:sz w:val="36"/>
          <w:szCs w:val="36"/>
          <w:rtl/>
        </w:rPr>
        <w:t xml:space="preserve">ة </w:t>
      </w:r>
      <w:r w:rsidRPr="00FD211F">
        <w:rPr>
          <w:sz w:val="36"/>
          <w:szCs w:val="36"/>
          <w:rtl/>
        </w:rPr>
        <w:t>وقد يتصور انه لابصير على نحو الموجب</w:t>
      </w:r>
      <w:r w:rsidR="00EC7EDF" w:rsidRPr="00FD211F">
        <w:rPr>
          <w:sz w:val="36"/>
          <w:szCs w:val="36"/>
          <w:rtl/>
        </w:rPr>
        <w:t xml:space="preserve">ة </w:t>
      </w:r>
      <w:r w:rsidR="00797FF7" w:rsidRPr="00FD211F">
        <w:rPr>
          <w:sz w:val="36"/>
          <w:szCs w:val="36"/>
          <w:rtl/>
        </w:rPr>
        <w:t>المعدول</w:t>
      </w:r>
      <w:r w:rsidR="00EC7EDF" w:rsidRPr="00FD211F">
        <w:rPr>
          <w:sz w:val="36"/>
          <w:szCs w:val="36"/>
          <w:rtl/>
        </w:rPr>
        <w:t xml:space="preserve">ة </w:t>
      </w:r>
      <w:r w:rsidR="00797FF7" w:rsidRPr="00FD211F">
        <w:rPr>
          <w:sz w:val="36"/>
          <w:szCs w:val="36"/>
          <w:rtl/>
        </w:rPr>
        <w:t>المحمول</w:t>
      </w:r>
      <w:r w:rsidR="00603323" w:rsidRPr="00FD211F">
        <w:rPr>
          <w:sz w:val="36"/>
          <w:szCs w:val="36"/>
          <w:rtl/>
        </w:rPr>
        <w:t xml:space="preserve">، </w:t>
      </w:r>
      <w:r w:rsidR="00797FF7" w:rsidRPr="00FD211F">
        <w:rPr>
          <w:sz w:val="36"/>
          <w:szCs w:val="36"/>
          <w:rtl/>
        </w:rPr>
        <w:t>ومما</w:t>
      </w:r>
      <w:r w:rsidR="00457299" w:rsidRPr="00FD211F">
        <w:rPr>
          <w:sz w:val="36"/>
          <w:szCs w:val="36"/>
          <w:rtl/>
        </w:rPr>
        <w:t xml:space="preserve"> يشهد على ذلك ان العرض يكون </w:t>
      </w:r>
      <w:r w:rsidR="00797FF7" w:rsidRPr="00FD211F">
        <w:rPr>
          <w:sz w:val="36"/>
          <w:szCs w:val="36"/>
          <w:rtl/>
        </w:rPr>
        <w:t>وجوده في الخارج محتاجا الى الموضوع لكن يوجد في الذهن مستقلا ولذا يقال عنه ان العرض وجوده في نفسه</w:t>
      </w:r>
      <w:r w:rsidRPr="00FD211F">
        <w:rPr>
          <w:sz w:val="36"/>
          <w:szCs w:val="36"/>
          <w:rtl/>
        </w:rPr>
        <w:t xml:space="preserve"> </w:t>
      </w:r>
      <w:r w:rsidR="0054486B" w:rsidRPr="00FD211F">
        <w:rPr>
          <w:sz w:val="36"/>
          <w:szCs w:val="36"/>
          <w:rtl/>
        </w:rPr>
        <w:t xml:space="preserve">لغيره </w:t>
      </w:r>
      <w:r w:rsidRPr="00FD211F">
        <w:rPr>
          <w:sz w:val="36"/>
          <w:szCs w:val="36"/>
          <w:rtl/>
        </w:rPr>
        <w:t xml:space="preserve">اي يكون </w:t>
      </w:r>
      <w:r w:rsidR="0054486B" w:rsidRPr="00FD211F">
        <w:rPr>
          <w:sz w:val="36"/>
          <w:szCs w:val="36"/>
          <w:rtl/>
        </w:rPr>
        <w:t>له مفهوم مستقل في الذهن وان كان وجوده في الخارج متقوما</w:t>
      </w:r>
      <w:r w:rsidR="00E23B14">
        <w:rPr>
          <w:rFonts w:hint="cs"/>
          <w:sz w:val="36"/>
          <w:szCs w:val="36"/>
          <w:rtl/>
        </w:rPr>
        <w:t xml:space="preserve"> </w:t>
      </w:r>
      <w:r w:rsidR="0054486B" w:rsidRPr="00FD211F">
        <w:rPr>
          <w:sz w:val="36"/>
          <w:szCs w:val="36"/>
          <w:rtl/>
        </w:rPr>
        <w:t>بالمحل</w:t>
      </w:r>
      <w:r w:rsidRPr="00FD211F">
        <w:rPr>
          <w:sz w:val="36"/>
          <w:szCs w:val="36"/>
          <w:rtl/>
        </w:rPr>
        <w:t xml:space="preserve">. </w:t>
      </w:r>
    </w:p>
    <w:p w14:paraId="45C5DA88" w14:textId="77777777" w:rsidR="000C5BBA" w:rsidRPr="00FD211F" w:rsidRDefault="00A553C2" w:rsidP="009C58C8">
      <w:pPr>
        <w:ind w:left="0" w:firstLine="227"/>
        <w:jc w:val="both"/>
        <w:rPr>
          <w:sz w:val="36"/>
          <w:szCs w:val="36"/>
          <w:rtl/>
        </w:rPr>
      </w:pPr>
      <w:r w:rsidRPr="00FD211F">
        <w:rPr>
          <w:sz w:val="36"/>
          <w:szCs w:val="36"/>
          <w:rtl/>
        </w:rPr>
        <w:t xml:space="preserve">نعم يظهر من ذيل كلامه </w:t>
      </w:r>
      <w:r w:rsidR="004F71A7" w:rsidRPr="00FD211F">
        <w:rPr>
          <w:sz w:val="36"/>
          <w:szCs w:val="36"/>
          <w:rtl/>
        </w:rPr>
        <w:t>"</w:t>
      </w:r>
      <w:r w:rsidRPr="00FD211F">
        <w:rPr>
          <w:sz w:val="36"/>
          <w:szCs w:val="36"/>
          <w:rtl/>
        </w:rPr>
        <w:t>قده</w:t>
      </w:r>
      <w:r w:rsidR="004F71A7" w:rsidRPr="00FD211F">
        <w:rPr>
          <w:sz w:val="36"/>
          <w:szCs w:val="36"/>
          <w:rtl/>
        </w:rPr>
        <w:t>"</w:t>
      </w:r>
      <w:r w:rsidRPr="00FD211F">
        <w:rPr>
          <w:sz w:val="36"/>
          <w:szCs w:val="36"/>
          <w:rtl/>
        </w:rPr>
        <w:t xml:space="preserve"> ان مقصوده هو</w:t>
      </w:r>
      <w:r w:rsidR="004F71A7" w:rsidRPr="00FD211F">
        <w:rPr>
          <w:sz w:val="36"/>
          <w:szCs w:val="36"/>
          <w:rtl/>
        </w:rPr>
        <w:t xml:space="preserve"> ان المعنى الحرفي يكون </w:t>
      </w:r>
      <w:r w:rsidRPr="00FD211F">
        <w:rPr>
          <w:sz w:val="36"/>
          <w:szCs w:val="36"/>
          <w:rtl/>
        </w:rPr>
        <w:t>نسب</w:t>
      </w:r>
      <w:r w:rsidR="00EC7EDF" w:rsidRPr="00FD211F">
        <w:rPr>
          <w:sz w:val="36"/>
          <w:szCs w:val="36"/>
          <w:rtl/>
        </w:rPr>
        <w:t xml:space="preserve">ة </w:t>
      </w:r>
      <w:r w:rsidRPr="00FD211F">
        <w:rPr>
          <w:sz w:val="36"/>
          <w:szCs w:val="36"/>
          <w:rtl/>
        </w:rPr>
        <w:t>وليس</w:t>
      </w:r>
      <w:r w:rsidR="00B253CE" w:rsidRPr="00FD211F">
        <w:rPr>
          <w:sz w:val="36"/>
          <w:szCs w:val="36"/>
          <w:rtl/>
        </w:rPr>
        <w:t xml:space="preserve"> </w:t>
      </w:r>
      <w:r w:rsidR="004F71A7" w:rsidRPr="00FD211F">
        <w:rPr>
          <w:sz w:val="36"/>
          <w:szCs w:val="36"/>
          <w:rtl/>
        </w:rPr>
        <w:t>ل</w:t>
      </w:r>
      <w:r w:rsidRPr="00FD211F">
        <w:rPr>
          <w:sz w:val="36"/>
          <w:szCs w:val="36"/>
          <w:rtl/>
        </w:rPr>
        <w:t>لنسب</w:t>
      </w:r>
      <w:r w:rsidR="00EC7EDF" w:rsidRPr="00FD211F">
        <w:rPr>
          <w:sz w:val="36"/>
          <w:szCs w:val="36"/>
          <w:rtl/>
        </w:rPr>
        <w:t xml:space="preserve">ة </w:t>
      </w:r>
      <w:r w:rsidR="004F71A7" w:rsidRPr="00FD211F">
        <w:rPr>
          <w:sz w:val="36"/>
          <w:szCs w:val="36"/>
          <w:rtl/>
        </w:rPr>
        <w:t xml:space="preserve">وجود نفسي في الخارج اصلا لأنها </w:t>
      </w:r>
      <w:r w:rsidRPr="00FD211F">
        <w:rPr>
          <w:sz w:val="36"/>
          <w:szCs w:val="36"/>
          <w:rtl/>
        </w:rPr>
        <w:t>غير مستقل</w:t>
      </w:r>
      <w:r w:rsidR="00EC7EDF" w:rsidRPr="00FD211F">
        <w:rPr>
          <w:sz w:val="36"/>
          <w:szCs w:val="36"/>
          <w:rtl/>
        </w:rPr>
        <w:t xml:space="preserve">ة </w:t>
      </w:r>
      <w:r w:rsidRPr="00FD211F">
        <w:rPr>
          <w:sz w:val="36"/>
          <w:szCs w:val="36"/>
          <w:rtl/>
        </w:rPr>
        <w:t xml:space="preserve">في ذاتها لتقوم </w:t>
      </w:r>
      <w:r w:rsidR="004F71A7" w:rsidRPr="00FD211F">
        <w:rPr>
          <w:sz w:val="36"/>
          <w:szCs w:val="36"/>
          <w:rtl/>
        </w:rPr>
        <w:t>ذاتها بطرفي النسب</w:t>
      </w:r>
      <w:r w:rsidR="00EC7EDF" w:rsidRPr="00FD211F">
        <w:rPr>
          <w:sz w:val="36"/>
          <w:szCs w:val="36"/>
          <w:rtl/>
        </w:rPr>
        <w:t>ة</w:t>
      </w:r>
      <w:r w:rsidR="00603323" w:rsidRPr="00FD211F">
        <w:rPr>
          <w:sz w:val="36"/>
          <w:szCs w:val="36"/>
          <w:rtl/>
        </w:rPr>
        <w:t xml:space="preserve">، </w:t>
      </w:r>
      <w:r w:rsidR="004F71A7" w:rsidRPr="00FD211F">
        <w:rPr>
          <w:sz w:val="36"/>
          <w:szCs w:val="36"/>
          <w:rtl/>
        </w:rPr>
        <w:t>بخلاف</w:t>
      </w:r>
      <w:r w:rsidRPr="00FD211F">
        <w:rPr>
          <w:sz w:val="36"/>
          <w:szCs w:val="36"/>
          <w:rtl/>
        </w:rPr>
        <w:t xml:space="preserve"> العرض فان العرض كالبياض مثلا مستقل في ذاته</w:t>
      </w:r>
      <w:r w:rsidR="00603323" w:rsidRPr="00FD211F">
        <w:rPr>
          <w:sz w:val="36"/>
          <w:szCs w:val="36"/>
          <w:rtl/>
        </w:rPr>
        <w:t xml:space="preserve">، </w:t>
      </w:r>
      <w:r w:rsidRPr="00FD211F">
        <w:rPr>
          <w:sz w:val="36"/>
          <w:szCs w:val="36"/>
          <w:rtl/>
        </w:rPr>
        <w:t>ولذلك يكون وجوده في نفسه وانما يحتاج في وجوده الخارجي الى المحل</w:t>
      </w:r>
      <w:r w:rsidR="00603323" w:rsidRPr="00FD211F">
        <w:rPr>
          <w:sz w:val="36"/>
          <w:szCs w:val="36"/>
          <w:rtl/>
        </w:rPr>
        <w:t xml:space="preserve">، </w:t>
      </w:r>
      <w:r w:rsidRPr="00FD211F">
        <w:rPr>
          <w:sz w:val="36"/>
          <w:szCs w:val="36"/>
          <w:rtl/>
        </w:rPr>
        <w:t>ولأجل</w:t>
      </w:r>
      <w:r w:rsidR="004F71A7" w:rsidRPr="00FD211F">
        <w:rPr>
          <w:sz w:val="36"/>
          <w:szCs w:val="36"/>
          <w:rtl/>
        </w:rPr>
        <w:t xml:space="preserve"> ذلك يمكن وجوده في الذهن مستقلا.</w:t>
      </w:r>
    </w:p>
    <w:p w14:paraId="525D5D36" w14:textId="77777777" w:rsidR="00A553C2" w:rsidRPr="00FD211F" w:rsidRDefault="00A553C2" w:rsidP="009C58C8">
      <w:pPr>
        <w:ind w:left="0" w:firstLine="227"/>
        <w:jc w:val="both"/>
        <w:rPr>
          <w:sz w:val="36"/>
          <w:szCs w:val="36"/>
          <w:rtl/>
        </w:rPr>
      </w:pPr>
      <w:r w:rsidRPr="00FD211F">
        <w:rPr>
          <w:sz w:val="36"/>
          <w:szCs w:val="36"/>
          <w:rtl/>
        </w:rPr>
        <w:t>ولكنك ترى انه لايشك</w:t>
      </w:r>
      <w:r w:rsidR="008D36E5" w:rsidRPr="00FD211F">
        <w:rPr>
          <w:sz w:val="36"/>
          <w:szCs w:val="36"/>
          <w:rtl/>
        </w:rPr>
        <w:t>ِّ</w:t>
      </w:r>
      <w:r w:rsidRPr="00FD211F">
        <w:rPr>
          <w:sz w:val="36"/>
          <w:szCs w:val="36"/>
          <w:rtl/>
        </w:rPr>
        <w:t>ل برهانا على خلاف ما يدعيه صاحب الكفاي</w:t>
      </w:r>
      <w:r w:rsidR="00EC7EDF" w:rsidRPr="00FD211F">
        <w:rPr>
          <w:sz w:val="36"/>
          <w:szCs w:val="36"/>
          <w:rtl/>
        </w:rPr>
        <w:t xml:space="preserve">ة </w:t>
      </w:r>
      <w:r w:rsidRPr="00FD211F">
        <w:rPr>
          <w:sz w:val="36"/>
          <w:szCs w:val="36"/>
          <w:rtl/>
        </w:rPr>
        <w:t>من ان النسبي</w:t>
      </w:r>
      <w:r w:rsidR="00EC7EDF" w:rsidRPr="00FD211F">
        <w:rPr>
          <w:sz w:val="36"/>
          <w:szCs w:val="36"/>
          <w:rtl/>
        </w:rPr>
        <w:t xml:space="preserve">ة </w:t>
      </w:r>
      <w:r w:rsidRPr="00FD211F">
        <w:rPr>
          <w:sz w:val="36"/>
          <w:szCs w:val="36"/>
          <w:rtl/>
        </w:rPr>
        <w:t>نشأت من كيفي</w:t>
      </w:r>
      <w:r w:rsidR="00EC7EDF" w:rsidRPr="00FD211F">
        <w:rPr>
          <w:sz w:val="36"/>
          <w:szCs w:val="36"/>
          <w:rtl/>
        </w:rPr>
        <w:t xml:space="preserve">ة </w:t>
      </w:r>
      <w:r w:rsidRPr="00FD211F">
        <w:rPr>
          <w:sz w:val="36"/>
          <w:szCs w:val="36"/>
          <w:rtl/>
        </w:rPr>
        <w:t>لحاظ المعنى</w:t>
      </w:r>
      <w:r w:rsidR="00603323" w:rsidRPr="00FD211F">
        <w:rPr>
          <w:sz w:val="36"/>
          <w:szCs w:val="36"/>
          <w:rtl/>
        </w:rPr>
        <w:t xml:space="preserve">، </w:t>
      </w:r>
      <w:r w:rsidRPr="00FD211F">
        <w:rPr>
          <w:sz w:val="36"/>
          <w:szCs w:val="36"/>
          <w:rtl/>
        </w:rPr>
        <w:t>والا فذات المعنى الحرفي كالمعنى الاسمي.</w:t>
      </w:r>
    </w:p>
    <w:p w14:paraId="62CDB73C" w14:textId="77777777" w:rsidR="007F5659" w:rsidRPr="00FD211F" w:rsidRDefault="007F5659" w:rsidP="009C58C8">
      <w:pPr>
        <w:ind w:left="0" w:firstLine="227"/>
        <w:jc w:val="both"/>
        <w:rPr>
          <w:sz w:val="36"/>
          <w:szCs w:val="36"/>
          <w:rtl/>
        </w:rPr>
      </w:pPr>
      <w:r w:rsidRPr="00FD211F">
        <w:rPr>
          <w:sz w:val="36"/>
          <w:szCs w:val="36"/>
          <w:rtl/>
        </w:rPr>
        <w:t xml:space="preserve">2- ما ذكره المحقق النائيني </w:t>
      </w:r>
      <w:r w:rsidR="00336998" w:rsidRPr="00FD211F">
        <w:rPr>
          <w:sz w:val="36"/>
          <w:szCs w:val="36"/>
          <w:rtl/>
        </w:rPr>
        <w:t>"</w:t>
      </w:r>
      <w:r w:rsidRPr="00FD211F">
        <w:rPr>
          <w:sz w:val="36"/>
          <w:szCs w:val="36"/>
          <w:rtl/>
        </w:rPr>
        <w:t>قده</w:t>
      </w:r>
      <w:r w:rsidR="00336998" w:rsidRPr="00FD211F">
        <w:rPr>
          <w:sz w:val="36"/>
          <w:szCs w:val="36"/>
          <w:rtl/>
        </w:rPr>
        <w:t>"</w:t>
      </w:r>
      <w:r w:rsidRPr="00FD211F">
        <w:rPr>
          <w:sz w:val="36"/>
          <w:szCs w:val="36"/>
          <w:rtl/>
        </w:rPr>
        <w:t xml:space="preserve"> من انه لو كان معنى الحرف والاسم واحدا فلاوجه للمنع من استعمال احدهما في موضع الآخر</w:t>
      </w:r>
      <w:r w:rsidR="00603323" w:rsidRPr="00FD211F">
        <w:rPr>
          <w:sz w:val="36"/>
          <w:szCs w:val="36"/>
          <w:rtl/>
        </w:rPr>
        <w:t xml:space="preserve">، </w:t>
      </w:r>
      <w:r w:rsidRPr="00FD211F">
        <w:rPr>
          <w:sz w:val="36"/>
          <w:szCs w:val="36"/>
          <w:rtl/>
        </w:rPr>
        <w:t>حتى لو اشترط الواضع عدم ذلك اذ لاملزم لرعاي</w:t>
      </w:r>
      <w:r w:rsidR="00EC7EDF" w:rsidRPr="00FD211F">
        <w:rPr>
          <w:sz w:val="36"/>
          <w:szCs w:val="36"/>
          <w:rtl/>
        </w:rPr>
        <w:t xml:space="preserve">ة </w:t>
      </w:r>
      <w:r w:rsidRPr="00FD211F">
        <w:rPr>
          <w:sz w:val="36"/>
          <w:szCs w:val="36"/>
          <w:rtl/>
        </w:rPr>
        <w:t>ما اشترطه الواضع</w:t>
      </w:r>
      <w:r w:rsidR="00603323" w:rsidRPr="00FD211F">
        <w:rPr>
          <w:sz w:val="36"/>
          <w:szCs w:val="36"/>
          <w:rtl/>
        </w:rPr>
        <w:t xml:space="preserve">، </w:t>
      </w:r>
      <w:r w:rsidRPr="00FD211F">
        <w:rPr>
          <w:sz w:val="36"/>
          <w:szCs w:val="36"/>
          <w:rtl/>
        </w:rPr>
        <w:t>بل لو فرض كون الواضع هو الله سبحانه الذي تجب طاعته</w:t>
      </w:r>
      <w:r w:rsidR="00603323" w:rsidRPr="00FD211F">
        <w:rPr>
          <w:sz w:val="36"/>
          <w:szCs w:val="36"/>
          <w:rtl/>
        </w:rPr>
        <w:t xml:space="preserve">، </w:t>
      </w:r>
      <w:r w:rsidRPr="00FD211F">
        <w:rPr>
          <w:sz w:val="36"/>
          <w:szCs w:val="36"/>
          <w:rtl/>
        </w:rPr>
        <w:t>فلايوجب التخلف عن شرطه اكثر من العصيان دون بطلان الاستعمال</w:t>
      </w:r>
      <w:r w:rsidR="009C58C8" w:rsidRPr="00FD211F">
        <w:rPr>
          <w:rStyle w:val="a6"/>
          <w:sz w:val="36"/>
          <w:szCs w:val="36"/>
          <w:rtl/>
        </w:rPr>
        <w:t>(</w:t>
      </w:r>
      <w:r w:rsidR="009C58C8" w:rsidRPr="00FD211F">
        <w:rPr>
          <w:rStyle w:val="a6"/>
          <w:sz w:val="36"/>
          <w:szCs w:val="36"/>
          <w:rtl/>
        </w:rPr>
        <w:footnoteReference w:id="151"/>
      </w:r>
      <w:r w:rsidR="009C58C8" w:rsidRPr="00FD211F">
        <w:rPr>
          <w:rStyle w:val="a6"/>
          <w:sz w:val="36"/>
          <w:szCs w:val="36"/>
          <w:rtl/>
        </w:rPr>
        <w:t>)</w:t>
      </w:r>
      <w:r w:rsidRPr="00FD211F">
        <w:rPr>
          <w:sz w:val="36"/>
          <w:szCs w:val="36"/>
          <w:rtl/>
        </w:rPr>
        <w:t>.</w:t>
      </w:r>
    </w:p>
    <w:p w14:paraId="08FB51BE" w14:textId="77777777" w:rsidR="007F5659" w:rsidRPr="00FD211F" w:rsidRDefault="00457299" w:rsidP="009C58C8">
      <w:pPr>
        <w:ind w:left="0" w:firstLine="227"/>
        <w:jc w:val="both"/>
        <w:rPr>
          <w:sz w:val="36"/>
          <w:szCs w:val="36"/>
          <w:rtl/>
        </w:rPr>
      </w:pPr>
      <w:r w:rsidRPr="00FD211F">
        <w:rPr>
          <w:sz w:val="36"/>
          <w:szCs w:val="36"/>
          <w:rtl/>
        </w:rPr>
        <w:t>وفيه</w:t>
      </w:r>
      <w:r w:rsidR="007F5659" w:rsidRPr="00FD211F">
        <w:rPr>
          <w:sz w:val="36"/>
          <w:szCs w:val="36"/>
          <w:rtl/>
        </w:rPr>
        <w:t xml:space="preserve"> ان مراد صاحب الكفاي</w:t>
      </w:r>
      <w:r w:rsidR="00EC7EDF" w:rsidRPr="00FD211F">
        <w:rPr>
          <w:sz w:val="36"/>
          <w:szCs w:val="36"/>
          <w:rtl/>
        </w:rPr>
        <w:t xml:space="preserve">ة </w:t>
      </w:r>
      <w:r w:rsidR="007F5659" w:rsidRPr="00FD211F">
        <w:rPr>
          <w:sz w:val="36"/>
          <w:szCs w:val="36"/>
          <w:rtl/>
        </w:rPr>
        <w:t>هو تقيد العلق</w:t>
      </w:r>
      <w:r w:rsidR="00EC7EDF" w:rsidRPr="00FD211F">
        <w:rPr>
          <w:sz w:val="36"/>
          <w:szCs w:val="36"/>
          <w:rtl/>
        </w:rPr>
        <w:t xml:space="preserve">ة </w:t>
      </w:r>
      <w:r w:rsidR="007F5659" w:rsidRPr="00FD211F">
        <w:rPr>
          <w:sz w:val="36"/>
          <w:szCs w:val="36"/>
          <w:rtl/>
        </w:rPr>
        <w:t>الوضعي</w:t>
      </w:r>
      <w:r w:rsidR="00EC7EDF" w:rsidRPr="00FD211F">
        <w:rPr>
          <w:sz w:val="36"/>
          <w:szCs w:val="36"/>
          <w:rtl/>
        </w:rPr>
        <w:t xml:space="preserve">ة </w:t>
      </w:r>
      <w:r w:rsidR="007F5659" w:rsidRPr="00FD211F">
        <w:rPr>
          <w:sz w:val="36"/>
          <w:szCs w:val="36"/>
          <w:rtl/>
        </w:rPr>
        <w:t>بين لفظ</w:t>
      </w:r>
      <w:r w:rsidR="00EC7EDF" w:rsidRPr="00FD211F">
        <w:rPr>
          <w:sz w:val="36"/>
          <w:szCs w:val="36"/>
          <w:rtl/>
        </w:rPr>
        <w:t xml:space="preserve">ة </w:t>
      </w:r>
      <w:r w:rsidR="00336998" w:rsidRPr="00FD211F">
        <w:rPr>
          <w:sz w:val="36"/>
          <w:szCs w:val="36"/>
          <w:rtl/>
        </w:rPr>
        <w:t>"</w:t>
      </w:r>
      <w:r w:rsidR="007F5659" w:rsidRPr="00FD211F">
        <w:rPr>
          <w:sz w:val="36"/>
          <w:szCs w:val="36"/>
          <w:rtl/>
        </w:rPr>
        <w:t>من</w:t>
      </w:r>
      <w:r w:rsidR="00336998" w:rsidRPr="00FD211F">
        <w:rPr>
          <w:sz w:val="36"/>
          <w:szCs w:val="36"/>
          <w:rtl/>
        </w:rPr>
        <w:t>"</w:t>
      </w:r>
      <w:r w:rsidR="007F5659" w:rsidRPr="00FD211F">
        <w:rPr>
          <w:sz w:val="36"/>
          <w:szCs w:val="36"/>
          <w:rtl/>
        </w:rPr>
        <w:t xml:space="preserve"> ومعنى الابتداء مثلا في الحال</w:t>
      </w:r>
      <w:r w:rsidR="00336998" w:rsidRPr="00FD211F">
        <w:rPr>
          <w:sz w:val="36"/>
          <w:szCs w:val="36"/>
          <w:rtl/>
        </w:rPr>
        <w:t xml:space="preserve"> الذي ي</w:t>
      </w:r>
      <w:r w:rsidR="007F5659" w:rsidRPr="00FD211F">
        <w:rPr>
          <w:sz w:val="36"/>
          <w:szCs w:val="36"/>
          <w:rtl/>
        </w:rPr>
        <w:t>ل</w:t>
      </w:r>
      <w:r w:rsidR="00336998" w:rsidRPr="00FD211F">
        <w:rPr>
          <w:sz w:val="36"/>
          <w:szCs w:val="36"/>
          <w:rtl/>
        </w:rPr>
        <w:t>حظ</w:t>
      </w:r>
      <w:r w:rsidR="007F5659" w:rsidRPr="00FD211F">
        <w:rPr>
          <w:sz w:val="36"/>
          <w:szCs w:val="36"/>
          <w:rtl/>
        </w:rPr>
        <w:t xml:space="preserve"> المستعمل </w:t>
      </w:r>
      <w:r w:rsidR="00336998" w:rsidRPr="00FD211F">
        <w:rPr>
          <w:sz w:val="36"/>
          <w:szCs w:val="36"/>
          <w:rtl/>
        </w:rPr>
        <w:t>الابتداء</w:t>
      </w:r>
      <w:r w:rsidR="00BA60F8" w:rsidRPr="00FD211F">
        <w:rPr>
          <w:sz w:val="36"/>
          <w:szCs w:val="36"/>
          <w:rtl/>
        </w:rPr>
        <w:t xml:space="preserve"> </w:t>
      </w:r>
      <w:r w:rsidR="007F5659" w:rsidRPr="00FD211F">
        <w:rPr>
          <w:sz w:val="36"/>
          <w:szCs w:val="36"/>
          <w:rtl/>
        </w:rPr>
        <w:t>حال</w:t>
      </w:r>
      <w:r w:rsidR="00EC7EDF" w:rsidRPr="00FD211F">
        <w:rPr>
          <w:sz w:val="36"/>
          <w:szCs w:val="36"/>
          <w:rtl/>
        </w:rPr>
        <w:t xml:space="preserve">ة </w:t>
      </w:r>
      <w:r w:rsidR="007F5659" w:rsidRPr="00FD211F">
        <w:rPr>
          <w:sz w:val="36"/>
          <w:szCs w:val="36"/>
          <w:rtl/>
        </w:rPr>
        <w:t>في غيره</w:t>
      </w:r>
      <w:r w:rsidR="00603323" w:rsidRPr="00FD211F">
        <w:rPr>
          <w:sz w:val="36"/>
          <w:szCs w:val="36"/>
          <w:rtl/>
        </w:rPr>
        <w:t xml:space="preserve">، </w:t>
      </w:r>
      <w:r w:rsidR="00BA60F8" w:rsidRPr="00FD211F">
        <w:rPr>
          <w:sz w:val="36"/>
          <w:szCs w:val="36"/>
          <w:rtl/>
        </w:rPr>
        <w:t xml:space="preserve">بنحو لو </w:t>
      </w:r>
      <w:r w:rsidR="007F5659" w:rsidRPr="00FD211F">
        <w:rPr>
          <w:sz w:val="36"/>
          <w:szCs w:val="36"/>
          <w:rtl/>
        </w:rPr>
        <w:t>استعمل احد لفظ</w:t>
      </w:r>
      <w:r w:rsidR="00EC7EDF" w:rsidRPr="00FD211F">
        <w:rPr>
          <w:sz w:val="36"/>
          <w:szCs w:val="36"/>
          <w:rtl/>
        </w:rPr>
        <w:t xml:space="preserve">ة </w:t>
      </w:r>
      <w:r w:rsidR="00432FC6" w:rsidRPr="00FD211F">
        <w:rPr>
          <w:sz w:val="36"/>
          <w:szCs w:val="36"/>
          <w:rtl/>
        </w:rPr>
        <w:t>"</w:t>
      </w:r>
      <w:r w:rsidR="007F5659" w:rsidRPr="00FD211F">
        <w:rPr>
          <w:sz w:val="36"/>
          <w:szCs w:val="36"/>
          <w:rtl/>
        </w:rPr>
        <w:t xml:space="preserve"> من</w:t>
      </w:r>
      <w:r w:rsidR="00432FC6" w:rsidRPr="00FD211F">
        <w:rPr>
          <w:sz w:val="36"/>
          <w:szCs w:val="36"/>
          <w:rtl/>
        </w:rPr>
        <w:t>"</w:t>
      </w:r>
      <w:r w:rsidR="007F5659" w:rsidRPr="00FD211F">
        <w:rPr>
          <w:sz w:val="36"/>
          <w:szCs w:val="36"/>
          <w:rtl/>
        </w:rPr>
        <w:t xml:space="preserve"> في معنى الابتداء مع لحاظه مستقلا كان اللفظ مهملا</w:t>
      </w:r>
      <w:r w:rsidR="00603323" w:rsidRPr="00FD211F">
        <w:rPr>
          <w:sz w:val="36"/>
          <w:szCs w:val="36"/>
          <w:rtl/>
        </w:rPr>
        <w:t xml:space="preserve">، </w:t>
      </w:r>
      <w:r w:rsidR="007F5659" w:rsidRPr="00FD211F">
        <w:rPr>
          <w:sz w:val="36"/>
          <w:szCs w:val="36"/>
          <w:rtl/>
        </w:rPr>
        <w:t>بل هذا التقييد يوجب الضيق التبعي في المعنى الموضوع له</w:t>
      </w:r>
      <w:r w:rsidR="00603323" w:rsidRPr="00FD211F">
        <w:rPr>
          <w:sz w:val="36"/>
          <w:szCs w:val="36"/>
          <w:rtl/>
        </w:rPr>
        <w:t xml:space="preserve">، </w:t>
      </w:r>
      <w:r w:rsidR="007F5659" w:rsidRPr="00FD211F">
        <w:rPr>
          <w:sz w:val="36"/>
          <w:szCs w:val="36"/>
          <w:rtl/>
        </w:rPr>
        <w:t>نظير اقتضاء تقيد الهيئ</w:t>
      </w:r>
      <w:r w:rsidR="00EC7EDF" w:rsidRPr="00FD211F">
        <w:rPr>
          <w:sz w:val="36"/>
          <w:szCs w:val="36"/>
          <w:rtl/>
        </w:rPr>
        <w:t xml:space="preserve">ة </w:t>
      </w:r>
      <w:r w:rsidR="007F5659" w:rsidRPr="00FD211F">
        <w:rPr>
          <w:sz w:val="36"/>
          <w:szCs w:val="36"/>
          <w:rtl/>
        </w:rPr>
        <w:t>في مثل "ان استطعت فحج" لتضيق الماد</w:t>
      </w:r>
      <w:r w:rsidR="00EC7EDF" w:rsidRPr="00FD211F">
        <w:rPr>
          <w:sz w:val="36"/>
          <w:szCs w:val="36"/>
          <w:rtl/>
        </w:rPr>
        <w:t xml:space="preserve">ة </w:t>
      </w:r>
      <w:r w:rsidR="007F5659" w:rsidRPr="00FD211F">
        <w:rPr>
          <w:sz w:val="36"/>
          <w:szCs w:val="36"/>
          <w:rtl/>
        </w:rPr>
        <w:t>تبعا وقهرا.</w:t>
      </w:r>
    </w:p>
    <w:p w14:paraId="2C7B8A71" w14:textId="77777777" w:rsidR="007F5659" w:rsidRPr="00FD211F" w:rsidRDefault="007F5659" w:rsidP="009C58C8">
      <w:pPr>
        <w:ind w:left="0" w:firstLine="227"/>
        <w:jc w:val="both"/>
        <w:rPr>
          <w:sz w:val="36"/>
          <w:szCs w:val="36"/>
          <w:rtl/>
        </w:rPr>
      </w:pPr>
      <w:r w:rsidRPr="00FD211F">
        <w:rPr>
          <w:sz w:val="36"/>
          <w:szCs w:val="36"/>
          <w:rtl/>
        </w:rPr>
        <w:t>نعم بناء على كون الوضع هو القرن الأكيد بين تصور اللفظ وا</w:t>
      </w:r>
      <w:r w:rsidR="00154CFA" w:rsidRPr="00FD211F">
        <w:rPr>
          <w:sz w:val="36"/>
          <w:szCs w:val="36"/>
          <w:rtl/>
        </w:rPr>
        <w:t>لمعنى</w:t>
      </w:r>
      <w:r w:rsidR="00603323" w:rsidRPr="00FD211F">
        <w:rPr>
          <w:sz w:val="36"/>
          <w:szCs w:val="36"/>
          <w:rtl/>
        </w:rPr>
        <w:t xml:space="preserve">، </w:t>
      </w:r>
      <w:r w:rsidRPr="00FD211F">
        <w:rPr>
          <w:sz w:val="36"/>
          <w:szCs w:val="36"/>
          <w:rtl/>
        </w:rPr>
        <w:t>فلايعقل اختصاص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بين اللفظ والمعنى بحال</w:t>
      </w:r>
      <w:r w:rsidR="00336998" w:rsidRPr="00FD211F">
        <w:rPr>
          <w:sz w:val="36"/>
          <w:szCs w:val="36"/>
          <w:rtl/>
        </w:rPr>
        <w:t>ٍ</w:t>
      </w:r>
      <w:r w:rsidRPr="00FD211F">
        <w:rPr>
          <w:sz w:val="36"/>
          <w:szCs w:val="36"/>
          <w:rtl/>
        </w:rPr>
        <w:t xml:space="preserve"> دون حال</w:t>
      </w:r>
      <w:r w:rsidR="00336998" w:rsidRPr="00FD211F">
        <w:rPr>
          <w:sz w:val="36"/>
          <w:szCs w:val="36"/>
          <w:rtl/>
        </w:rPr>
        <w:t>ٍ</w:t>
      </w:r>
      <w:r w:rsidR="00603323" w:rsidRPr="00FD211F">
        <w:rPr>
          <w:sz w:val="36"/>
          <w:szCs w:val="36"/>
          <w:rtl/>
        </w:rPr>
        <w:t xml:space="preserve">، </w:t>
      </w:r>
      <w:r w:rsidRPr="00FD211F">
        <w:rPr>
          <w:sz w:val="36"/>
          <w:szCs w:val="36"/>
          <w:rtl/>
        </w:rPr>
        <w:t>فان القرن الأكيد</w:t>
      </w:r>
      <w:r w:rsidR="00A553C2" w:rsidRPr="00FD211F">
        <w:rPr>
          <w:sz w:val="36"/>
          <w:szCs w:val="36"/>
          <w:rtl/>
        </w:rPr>
        <w:t xml:space="preserve"> بين تصور اللفظ وتصور المعنى</w:t>
      </w:r>
      <w:r w:rsidRPr="00FD211F">
        <w:rPr>
          <w:sz w:val="36"/>
          <w:szCs w:val="36"/>
          <w:rtl/>
        </w:rPr>
        <w:t xml:space="preserve"> يدور امره بين الوجود والعدم</w:t>
      </w:r>
      <w:r w:rsidR="00903665" w:rsidRPr="00FD211F">
        <w:rPr>
          <w:sz w:val="36"/>
          <w:szCs w:val="36"/>
          <w:rtl/>
        </w:rPr>
        <w:t xml:space="preserve"> اذلا</w:t>
      </w:r>
      <w:r w:rsidR="00154CFA" w:rsidRPr="00FD211F">
        <w:rPr>
          <w:sz w:val="36"/>
          <w:szCs w:val="36"/>
          <w:rtl/>
        </w:rPr>
        <w:t xml:space="preserve">يعقل </w:t>
      </w:r>
      <w:r w:rsidR="009866E3" w:rsidRPr="00FD211F">
        <w:rPr>
          <w:sz w:val="36"/>
          <w:szCs w:val="36"/>
          <w:rtl/>
        </w:rPr>
        <w:t>كون اللفظ سببا</w:t>
      </w:r>
      <w:r w:rsidR="006C550A" w:rsidRPr="00FD211F">
        <w:rPr>
          <w:sz w:val="36"/>
          <w:szCs w:val="36"/>
          <w:rtl/>
        </w:rPr>
        <w:t xml:space="preserve"> </w:t>
      </w:r>
      <w:r w:rsidR="009866E3" w:rsidRPr="00FD211F">
        <w:rPr>
          <w:sz w:val="36"/>
          <w:szCs w:val="36"/>
          <w:rtl/>
        </w:rPr>
        <w:t xml:space="preserve">للانتقال </w:t>
      </w:r>
      <w:r w:rsidR="00154CFA" w:rsidRPr="00FD211F">
        <w:rPr>
          <w:sz w:val="36"/>
          <w:szCs w:val="36"/>
          <w:rtl/>
        </w:rPr>
        <w:t>الى المعنى في حالٍ دون حالٍ الا</w:t>
      </w:r>
      <w:r w:rsidR="00BA60F8" w:rsidRPr="00FD211F">
        <w:rPr>
          <w:sz w:val="36"/>
          <w:szCs w:val="36"/>
          <w:rtl/>
        </w:rPr>
        <w:t xml:space="preserve"> </w:t>
      </w:r>
      <w:r w:rsidR="00154CFA" w:rsidRPr="00FD211F">
        <w:rPr>
          <w:sz w:val="36"/>
          <w:szCs w:val="36"/>
          <w:rtl/>
        </w:rPr>
        <w:t>أن يرجع الى تقييد</w:t>
      </w:r>
      <w:r w:rsidR="006C550A" w:rsidRPr="00FD211F">
        <w:rPr>
          <w:sz w:val="36"/>
          <w:szCs w:val="36"/>
          <w:rtl/>
        </w:rPr>
        <w:t xml:space="preserve"> </w:t>
      </w:r>
      <w:r w:rsidR="00154CFA" w:rsidRPr="00FD211F">
        <w:rPr>
          <w:sz w:val="36"/>
          <w:szCs w:val="36"/>
          <w:rtl/>
        </w:rPr>
        <w:t>الدال بكونه اللفظ المصحوب بالقرين</w:t>
      </w:r>
      <w:r w:rsidR="00EC7EDF" w:rsidRPr="00FD211F">
        <w:rPr>
          <w:sz w:val="36"/>
          <w:szCs w:val="36"/>
          <w:rtl/>
        </w:rPr>
        <w:t xml:space="preserve">ة </w:t>
      </w:r>
      <w:r w:rsidR="00154CFA" w:rsidRPr="00FD211F">
        <w:rPr>
          <w:sz w:val="36"/>
          <w:szCs w:val="36"/>
          <w:rtl/>
        </w:rPr>
        <w:t>ككونه في حال كذا</w:t>
      </w:r>
      <w:r w:rsidR="00603323" w:rsidRPr="00FD211F">
        <w:rPr>
          <w:sz w:val="36"/>
          <w:szCs w:val="36"/>
          <w:rtl/>
        </w:rPr>
        <w:t xml:space="preserve">، </w:t>
      </w:r>
      <w:r w:rsidRPr="00FD211F">
        <w:rPr>
          <w:sz w:val="36"/>
          <w:szCs w:val="36"/>
          <w:rtl/>
        </w:rPr>
        <w:t>و</w:t>
      </w:r>
      <w:r w:rsidR="00154CFA" w:rsidRPr="00FD211F">
        <w:rPr>
          <w:sz w:val="36"/>
          <w:szCs w:val="36"/>
          <w:rtl/>
        </w:rPr>
        <w:t>ه</w:t>
      </w:r>
      <w:r w:rsidRPr="00FD211F">
        <w:rPr>
          <w:sz w:val="36"/>
          <w:szCs w:val="36"/>
          <w:rtl/>
        </w:rPr>
        <w:t>كذا بناء على ما هو الصحيح من ان القرن الأكيد وان كان نتيج</w:t>
      </w:r>
      <w:r w:rsidR="00EC7EDF" w:rsidRPr="00FD211F">
        <w:rPr>
          <w:sz w:val="36"/>
          <w:szCs w:val="36"/>
          <w:rtl/>
        </w:rPr>
        <w:t xml:space="preserve">ة </w:t>
      </w:r>
      <w:r w:rsidRPr="00FD211F">
        <w:rPr>
          <w:sz w:val="36"/>
          <w:szCs w:val="36"/>
          <w:rtl/>
        </w:rPr>
        <w:t>الوضع لكنه هو</w:t>
      </w:r>
      <w:r w:rsidR="00A553C2" w:rsidRPr="00FD211F">
        <w:rPr>
          <w:sz w:val="36"/>
          <w:szCs w:val="36"/>
          <w:rtl/>
        </w:rPr>
        <w:t xml:space="preserve"> الذي يراد</w:t>
      </w:r>
      <w:r w:rsidRPr="00FD211F">
        <w:rPr>
          <w:sz w:val="36"/>
          <w:szCs w:val="36"/>
          <w:rtl/>
        </w:rPr>
        <w:t xml:space="preserve"> التوصل اليه من خلال الوضع</w:t>
      </w:r>
      <w:r w:rsidR="00603323" w:rsidRPr="00FD211F">
        <w:rPr>
          <w:sz w:val="36"/>
          <w:szCs w:val="36"/>
          <w:rtl/>
        </w:rPr>
        <w:t xml:space="preserve">، </w:t>
      </w:r>
      <w:r w:rsidRPr="00FD211F">
        <w:rPr>
          <w:sz w:val="36"/>
          <w:szCs w:val="36"/>
          <w:rtl/>
        </w:rPr>
        <w:t>فيلغو تقييد الوضع بما لاينحفظ في مقام القرن الأكيد</w:t>
      </w:r>
      <w:r w:rsidR="00603323" w:rsidRPr="00FD211F">
        <w:rPr>
          <w:sz w:val="36"/>
          <w:szCs w:val="36"/>
          <w:rtl/>
        </w:rPr>
        <w:t xml:space="preserve">، </w:t>
      </w:r>
      <w:r w:rsidR="00154CFA" w:rsidRPr="00FD211F">
        <w:rPr>
          <w:sz w:val="36"/>
          <w:szCs w:val="36"/>
          <w:rtl/>
        </w:rPr>
        <w:t>فلايصح حينئذ تقيد الوضع</w:t>
      </w:r>
      <w:r w:rsidRPr="00FD211F">
        <w:rPr>
          <w:sz w:val="36"/>
          <w:szCs w:val="36"/>
          <w:rtl/>
        </w:rPr>
        <w:t xml:space="preserve"> بحال دون حال.</w:t>
      </w:r>
    </w:p>
    <w:p w14:paraId="1A7ACF2B" w14:textId="77777777" w:rsidR="007F5659" w:rsidRPr="00FD211F" w:rsidRDefault="007F5659" w:rsidP="009C58C8">
      <w:pPr>
        <w:ind w:left="0" w:firstLine="227"/>
        <w:jc w:val="both"/>
        <w:rPr>
          <w:sz w:val="36"/>
          <w:szCs w:val="36"/>
          <w:rtl/>
        </w:rPr>
      </w:pPr>
      <w:r w:rsidRPr="00FD211F">
        <w:rPr>
          <w:sz w:val="36"/>
          <w:szCs w:val="36"/>
          <w:rtl/>
        </w:rPr>
        <w:t xml:space="preserve">3- ما اورده جمع من المحققين </w:t>
      </w:r>
      <w:r w:rsidR="00B47647" w:rsidRPr="00FD211F">
        <w:rPr>
          <w:sz w:val="36"/>
          <w:szCs w:val="36"/>
          <w:rtl/>
        </w:rPr>
        <w:t>-</w:t>
      </w:r>
      <w:r w:rsidRPr="00FD211F">
        <w:rPr>
          <w:sz w:val="36"/>
          <w:szCs w:val="36"/>
          <w:rtl/>
        </w:rPr>
        <w:t>منهم السيد الخوئي</w:t>
      </w:r>
      <w:r w:rsidR="00A61BAE" w:rsidRPr="00FD211F">
        <w:rPr>
          <w:sz w:val="36"/>
          <w:szCs w:val="36"/>
          <w:rtl/>
        </w:rPr>
        <w:t xml:space="preserve"> </w:t>
      </w:r>
      <w:r w:rsidR="0024281C" w:rsidRPr="00FD211F">
        <w:rPr>
          <w:sz w:val="36"/>
          <w:szCs w:val="36"/>
          <w:rtl/>
        </w:rPr>
        <w:t>"قده"</w:t>
      </w:r>
      <w:r w:rsidR="00A61BAE" w:rsidRPr="00FD211F">
        <w:rPr>
          <w:sz w:val="36"/>
          <w:szCs w:val="36"/>
          <w:rtl/>
        </w:rPr>
        <w:t xml:space="preserve"> </w:t>
      </w:r>
      <w:r w:rsidR="00B47647" w:rsidRPr="00FD211F">
        <w:rPr>
          <w:sz w:val="36"/>
          <w:szCs w:val="36"/>
          <w:rtl/>
        </w:rPr>
        <w:t>-</w:t>
      </w:r>
      <w:r w:rsidRPr="00FD211F">
        <w:rPr>
          <w:sz w:val="36"/>
          <w:szCs w:val="36"/>
          <w:rtl/>
        </w:rPr>
        <w:t>بانه بناء على مسلك صاحب الكفاي</w:t>
      </w:r>
      <w:r w:rsidR="00EC7EDF" w:rsidRPr="00FD211F">
        <w:rPr>
          <w:sz w:val="36"/>
          <w:szCs w:val="36"/>
          <w:rtl/>
        </w:rPr>
        <w:t>ة</w:t>
      </w:r>
      <w:r w:rsidR="008D7B3D" w:rsidRPr="00FD211F">
        <w:rPr>
          <w:sz w:val="36"/>
          <w:szCs w:val="36"/>
          <w:rtl/>
        </w:rPr>
        <w:t xml:space="preserve"> </w:t>
      </w:r>
      <w:r w:rsidR="0024281C" w:rsidRPr="00FD211F">
        <w:rPr>
          <w:sz w:val="36"/>
          <w:szCs w:val="36"/>
          <w:rtl/>
        </w:rPr>
        <w:t>"قده"</w:t>
      </w:r>
      <w:r w:rsidR="00A61BAE" w:rsidRPr="00FD211F">
        <w:rPr>
          <w:sz w:val="36"/>
          <w:szCs w:val="36"/>
          <w:rtl/>
        </w:rPr>
        <w:t xml:space="preserve"> </w:t>
      </w:r>
      <w:r w:rsidRPr="00FD211F">
        <w:rPr>
          <w:sz w:val="36"/>
          <w:szCs w:val="36"/>
          <w:rtl/>
        </w:rPr>
        <w:t>لايكون استعمال احدهما في موضع الآخر اسوء حالا من الاستعمال المجازي</w:t>
      </w:r>
      <w:r w:rsidR="00603323" w:rsidRPr="00FD211F">
        <w:rPr>
          <w:sz w:val="36"/>
          <w:szCs w:val="36"/>
          <w:rtl/>
        </w:rPr>
        <w:t xml:space="preserve">، </w:t>
      </w:r>
      <w:r w:rsidRPr="00FD211F">
        <w:rPr>
          <w:sz w:val="36"/>
          <w:szCs w:val="36"/>
          <w:rtl/>
        </w:rPr>
        <w:t>بل هو اولى بالجواز لكونه استعمالا في المعنى الموضوع له وانما تخلف فيه عن قرار الواضع</w:t>
      </w:r>
      <w:r w:rsidR="009C58C8" w:rsidRPr="00FD211F">
        <w:rPr>
          <w:rStyle w:val="a6"/>
          <w:sz w:val="36"/>
          <w:szCs w:val="36"/>
          <w:rtl/>
        </w:rPr>
        <w:t>(</w:t>
      </w:r>
      <w:r w:rsidR="009C58C8" w:rsidRPr="00FD211F">
        <w:rPr>
          <w:rStyle w:val="a6"/>
          <w:sz w:val="36"/>
          <w:szCs w:val="36"/>
          <w:rtl/>
        </w:rPr>
        <w:footnoteReference w:id="152"/>
      </w:r>
      <w:r w:rsidR="009C58C8" w:rsidRPr="00FD211F">
        <w:rPr>
          <w:rStyle w:val="a6"/>
          <w:sz w:val="36"/>
          <w:szCs w:val="36"/>
          <w:rtl/>
        </w:rPr>
        <w:t>)</w:t>
      </w:r>
      <w:r w:rsidRPr="00FD211F">
        <w:rPr>
          <w:sz w:val="36"/>
          <w:szCs w:val="36"/>
          <w:rtl/>
        </w:rPr>
        <w:t>.</w:t>
      </w:r>
    </w:p>
    <w:p w14:paraId="746A6E59" w14:textId="77777777" w:rsidR="00554FD3" w:rsidRPr="00FD211F" w:rsidRDefault="007F5659" w:rsidP="009C58C8">
      <w:pPr>
        <w:ind w:left="0" w:firstLine="227"/>
        <w:jc w:val="both"/>
        <w:rPr>
          <w:sz w:val="36"/>
          <w:szCs w:val="36"/>
          <w:rtl/>
        </w:rPr>
      </w:pPr>
      <w:r w:rsidRPr="00FD211F">
        <w:rPr>
          <w:sz w:val="36"/>
          <w:szCs w:val="36"/>
          <w:rtl/>
        </w:rPr>
        <w:t>و</w:t>
      </w:r>
      <w:r w:rsidR="00B47647" w:rsidRPr="00FD211F">
        <w:rPr>
          <w:sz w:val="36"/>
          <w:szCs w:val="36"/>
          <w:rtl/>
        </w:rPr>
        <w:t>ي</w:t>
      </w:r>
      <w:r w:rsidRPr="00FD211F">
        <w:rPr>
          <w:sz w:val="36"/>
          <w:szCs w:val="36"/>
          <w:rtl/>
        </w:rPr>
        <w:t>جاب عن ه</w:t>
      </w:r>
      <w:r w:rsidR="0054486B" w:rsidRPr="00FD211F">
        <w:rPr>
          <w:sz w:val="36"/>
          <w:szCs w:val="36"/>
          <w:rtl/>
        </w:rPr>
        <w:t>ذا ال</w:t>
      </w:r>
      <w:r w:rsidR="00B47647" w:rsidRPr="00FD211F">
        <w:rPr>
          <w:sz w:val="36"/>
          <w:szCs w:val="36"/>
          <w:rtl/>
        </w:rPr>
        <w:t>إيراد بعد</w:t>
      </w:r>
      <w:r w:rsidR="00EC7EDF" w:rsidRPr="00FD211F">
        <w:rPr>
          <w:sz w:val="36"/>
          <w:szCs w:val="36"/>
          <w:rtl/>
        </w:rPr>
        <w:t xml:space="preserve">ة </w:t>
      </w:r>
      <w:r w:rsidR="00B47647" w:rsidRPr="00FD211F">
        <w:rPr>
          <w:sz w:val="36"/>
          <w:szCs w:val="36"/>
          <w:rtl/>
        </w:rPr>
        <w:t>وجوه</w:t>
      </w:r>
      <w:r w:rsidR="00EC7EDF" w:rsidRPr="00FD211F">
        <w:rPr>
          <w:sz w:val="36"/>
          <w:szCs w:val="36"/>
          <w:rtl/>
        </w:rPr>
        <w:t>:</w:t>
      </w:r>
    </w:p>
    <w:p w14:paraId="32184258" w14:textId="77777777" w:rsidR="000C5BBA" w:rsidRPr="00FD211F" w:rsidRDefault="00554FD3" w:rsidP="009C58C8">
      <w:pPr>
        <w:ind w:left="0" w:firstLine="227"/>
        <w:jc w:val="both"/>
        <w:rPr>
          <w:sz w:val="36"/>
          <w:szCs w:val="36"/>
          <w:rtl/>
        </w:rPr>
      </w:pPr>
      <w:r w:rsidRPr="00FD211F">
        <w:rPr>
          <w:sz w:val="36"/>
          <w:szCs w:val="36"/>
          <w:rtl/>
        </w:rPr>
        <w:t>منها</w:t>
      </w:r>
      <w:r w:rsidR="00A64F3B" w:rsidRPr="00FD211F">
        <w:rPr>
          <w:sz w:val="36"/>
          <w:szCs w:val="36"/>
          <w:rtl/>
        </w:rPr>
        <w:t xml:space="preserve">: </w:t>
      </w:r>
      <w:r w:rsidRPr="00FD211F">
        <w:rPr>
          <w:sz w:val="36"/>
          <w:szCs w:val="36"/>
          <w:rtl/>
        </w:rPr>
        <w:t>ما</w:t>
      </w:r>
      <w:r w:rsidR="00A64F3B" w:rsidRPr="00FD211F">
        <w:rPr>
          <w:sz w:val="36"/>
          <w:szCs w:val="36"/>
          <w:rtl/>
        </w:rPr>
        <w:t xml:space="preserve"> </w:t>
      </w:r>
      <w:r w:rsidRPr="00FD211F">
        <w:rPr>
          <w:sz w:val="36"/>
          <w:szCs w:val="36"/>
          <w:rtl/>
        </w:rPr>
        <w:t xml:space="preserve">في البحوث من </w:t>
      </w:r>
      <w:r w:rsidR="007F5659" w:rsidRPr="00FD211F">
        <w:rPr>
          <w:sz w:val="36"/>
          <w:szCs w:val="36"/>
          <w:rtl/>
        </w:rPr>
        <w:t>انه في فرض عدم مراعا</w:t>
      </w:r>
      <w:r w:rsidR="00EC7EDF" w:rsidRPr="00FD211F">
        <w:rPr>
          <w:sz w:val="36"/>
          <w:szCs w:val="36"/>
          <w:rtl/>
        </w:rPr>
        <w:t xml:space="preserve">ة </w:t>
      </w:r>
      <w:r w:rsidR="007F5659" w:rsidRPr="00FD211F">
        <w:rPr>
          <w:sz w:val="36"/>
          <w:szCs w:val="36"/>
          <w:rtl/>
        </w:rPr>
        <w:t>قرار الوضع فيكون اللفظ مهملا فيختلف عن الاستعمال المجازي</w:t>
      </w:r>
      <w:r w:rsidR="00603323" w:rsidRPr="00FD211F">
        <w:rPr>
          <w:sz w:val="36"/>
          <w:szCs w:val="36"/>
          <w:rtl/>
        </w:rPr>
        <w:t xml:space="preserve">، </w:t>
      </w:r>
      <w:r w:rsidR="007F5659" w:rsidRPr="00FD211F">
        <w:rPr>
          <w:sz w:val="36"/>
          <w:szCs w:val="36"/>
          <w:rtl/>
        </w:rPr>
        <w:t xml:space="preserve">حيث ان شرط استعمال اللفظ في المعنى </w:t>
      </w:r>
      <w:r w:rsidR="00B47647" w:rsidRPr="00FD211F">
        <w:rPr>
          <w:sz w:val="36"/>
          <w:szCs w:val="36"/>
          <w:rtl/>
        </w:rPr>
        <w:t>المجازي ان يكون له</w:t>
      </w:r>
      <w:r w:rsidR="00B253CE" w:rsidRPr="00FD211F">
        <w:rPr>
          <w:sz w:val="36"/>
          <w:szCs w:val="36"/>
          <w:rtl/>
        </w:rPr>
        <w:t xml:space="preserve"> </w:t>
      </w:r>
      <w:r w:rsidR="00B47647" w:rsidRPr="00FD211F">
        <w:rPr>
          <w:sz w:val="36"/>
          <w:szCs w:val="36"/>
          <w:rtl/>
        </w:rPr>
        <w:t xml:space="preserve">معنى </w:t>
      </w:r>
      <w:r w:rsidR="0054486B" w:rsidRPr="00FD211F">
        <w:rPr>
          <w:sz w:val="36"/>
          <w:szCs w:val="36"/>
          <w:rtl/>
        </w:rPr>
        <w:t>حقيقي</w:t>
      </w:r>
      <w:r w:rsidR="00B47647" w:rsidRPr="00FD211F">
        <w:rPr>
          <w:sz w:val="36"/>
          <w:szCs w:val="36"/>
          <w:rtl/>
        </w:rPr>
        <w:t xml:space="preserve"> كي يستعمل بعلاقته في ذلك المعني المجازي</w:t>
      </w:r>
      <w:r w:rsidR="009C58C8" w:rsidRPr="00FD211F">
        <w:rPr>
          <w:rStyle w:val="a6"/>
          <w:sz w:val="36"/>
          <w:szCs w:val="36"/>
          <w:rtl/>
        </w:rPr>
        <w:t>(</w:t>
      </w:r>
      <w:r w:rsidR="009C58C8" w:rsidRPr="00FD211F">
        <w:rPr>
          <w:rStyle w:val="a6"/>
          <w:sz w:val="36"/>
          <w:szCs w:val="36"/>
          <w:rtl/>
        </w:rPr>
        <w:footnoteReference w:id="153"/>
      </w:r>
      <w:r w:rsidR="009C58C8" w:rsidRPr="00FD211F">
        <w:rPr>
          <w:rStyle w:val="a6"/>
          <w:sz w:val="36"/>
          <w:szCs w:val="36"/>
          <w:rtl/>
        </w:rPr>
        <w:t>)</w:t>
      </w:r>
      <w:r w:rsidR="00EC7EDF" w:rsidRPr="00FD211F">
        <w:rPr>
          <w:sz w:val="36"/>
          <w:szCs w:val="36"/>
          <w:rtl/>
        </w:rPr>
        <w:t>.</w:t>
      </w:r>
    </w:p>
    <w:p w14:paraId="67B6071A" w14:textId="77777777" w:rsidR="007F5659" w:rsidRPr="00FD211F" w:rsidRDefault="007F5659" w:rsidP="009C58C8">
      <w:pPr>
        <w:ind w:left="0" w:firstLine="227"/>
        <w:jc w:val="both"/>
        <w:rPr>
          <w:sz w:val="36"/>
          <w:szCs w:val="36"/>
          <w:rtl/>
        </w:rPr>
      </w:pPr>
      <w:r w:rsidRPr="00FD211F">
        <w:rPr>
          <w:sz w:val="36"/>
          <w:szCs w:val="36"/>
          <w:rtl/>
        </w:rPr>
        <w:t>ولكن يلاحظ على هذا الجواب انه يكفي في صح</w:t>
      </w:r>
      <w:r w:rsidR="00EC7EDF" w:rsidRPr="00FD211F">
        <w:rPr>
          <w:sz w:val="36"/>
          <w:szCs w:val="36"/>
          <w:rtl/>
        </w:rPr>
        <w:t xml:space="preserve">ة </w:t>
      </w:r>
      <w:r w:rsidRPr="00FD211F">
        <w:rPr>
          <w:sz w:val="36"/>
          <w:szCs w:val="36"/>
          <w:rtl/>
        </w:rPr>
        <w:t xml:space="preserve">الاستعمال المجازي وضع اللفظ </w:t>
      </w:r>
      <w:r w:rsidR="008D36E5" w:rsidRPr="00FD211F">
        <w:rPr>
          <w:sz w:val="36"/>
          <w:szCs w:val="36"/>
          <w:rtl/>
        </w:rPr>
        <w:t>ل</w:t>
      </w:r>
      <w:r w:rsidRPr="00FD211F">
        <w:rPr>
          <w:sz w:val="36"/>
          <w:szCs w:val="36"/>
          <w:rtl/>
        </w:rPr>
        <w:t>لمعنى ولو في بعض الحالات</w:t>
      </w:r>
      <w:r w:rsidR="00603323" w:rsidRPr="00FD211F">
        <w:rPr>
          <w:sz w:val="36"/>
          <w:szCs w:val="36"/>
          <w:rtl/>
        </w:rPr>
        <w:t xml:space="preserve">، </w:t>
      </w:r>
      <w:r w:rsidRPr="00FD211F">
        <w:rPr>
          <w:sz w:val="36"/>
          <w:szCs w:val="36"/>
          <w:rtl/>
        </w:rPr>
        <w:t>الا ترى</w:t>
      </w:r>
      <w:r w:rsidR="00B47647" w:rsidRPr="00FD211F">
        <w:rPr>
          <w:sz w:val="36"/>
          <w:szCs w:val="36"/>
          <w:rtl/>
        </w:rPr>
        <w:t xml:space="preserve"> </w:t>
      </w:r>
      <w:r w:rsidRPr="00FD211F">
        <w:rPr>
          <w:sz w:val="36"/>
          <w:szCs w:val="36"/>
          <w:rtl/>
        </w:rPr>
        <w:t>انه لو تعهد احد بانه متى وضع العمام</w:t>
      </w:r>
      <w:r w:rsidR="00EC7EDF" w:rsidRPr="00FD211F">
        <w:rPr>
          <w:sz w:val="36"/>
          <w:szCs w:val="36"/>
          <w:rtl/>
        </w:rPr>
        <w:t xml:space="preserve">ة </w:t>
      </w:r>
      <w:r w:rsidRPr="00FD211F">
        <w:rPr>
          <w:sz w:val="36"/>
          <w:szCs w:val="36"/>
          <w:rtl/>
        </w:rPr>
        <w:t>عن رأسه في الليل فيريد طلب الإتيان بالماء مثلا</w:t>
      </w:r>
      <w:r w:rsidR="00603323" w:rsidRPr="00FD211F">
        <w:rPr>
          <w:sz w:val="36"/>
          <w:szCs w:val="36"/>
          <w:rtl/>
        </w:rPr>
        <w:t xml:space="preserve">، </w:t>
      </w:r>
      <w:r w:rsidRPr="00FD211F">
        <w:rPr>
          <w:sz w:val="36"/>
          <w:szCs w:val="36"/>
          <w:rtl/>
        </w:rPr>
        <w:t>فلامانع من ان يضعها عن رأسه قُبيل الغروب لإبراز طلب الاتيان بالماء مع نصب قرين</w:t>
      </w:r>
      <w:r w:rsidR="00EC7EDF" w:rsidRPr="00FD211F">
        <w:rPr>
          <w:sz w:val="36"/>
          <w:szCs w:val="36"/>
          <w:rtl/>
        </w:rPr>
        <w:t xml:space="preserve">ة </w:t>
      </w:r>
      <w:r w:rsidRPr="00FD211F">
        <w:rPr>
          <w:sz w:val="36"/>
          <w:szCs w:val="36"/>
          <w:rtl/>
        </w:rPr>
        <w:t>على ذلك.</w:t>
      </w:r>
    </w:p>
    <w:p w14:paraId="4D3B682E" w14:textId="77777777" w:rsidR="007F5659" w:rsidRPr="00FD211F" w:rsidRDefault="007F5659" w:rsidP="009C58C8">
      <w:pPr>
        <w:ind w:left="0" w:firstLine="227"/>
        <w:jc w:val="both"/>
        <w:rPr>
          <w:sz w:val="36"/>
          <w:szCs w:val="36"/>
          <w:rtl/>
        </w:rPr>
      </w:pPr>
      <w:r w:rsidRPr="00FD211F">
        <w:rPr>
          <w:sz w:val="36"/>
          <w:szCs w:val="36"/>
          <w:rtl/>
        </w:rPr>
        <w:t>و</w:t>
      </w:r>
      <w:r w:rsidR="00554FD3" w:rsidRPr="00FD211F">
        <w:rPr>
          <w:sz w:val="36"/>
          <w:szCs w:val="36"/>
          <w:rtl/>
        </w:rPr>
        <w:t>منها</w:t>
      </w:r>
      <w:r w:rsidR="008744AF" w:rsidRPr="00FD211F">
        <w:rPr>
          <w:sz w:val="36"/>
          <w:szCs w:val="36"/>
          <w:rtl/>
        </w:rPr>
        <w:t>:</w:t>
      </w:r>
      <w:r w:rsidR="00554FD3" w:rsidRPr="00FD211F">
        <w:rPr>
          <w:sz w:val="36"/>
          <w:szCs w:val="36"/>
          <w:rtl/>
        </w:rPr>
        <w:t xml:space="preserve"> </w:t>
      </w:r>
      <w:r w:rsidR="00B61A7A" w:rsidRPr="00FD211F">
        <w:rPr>
          <w:sz w:val="36"/>
          <w:szCs w:val="36"/>
          <w:rtl/>
        </w:rPr>
        <w:t>ما قد</w:t>
      </w:r>
      <w:r w:rsidR="00BA60F8" w:rsidRPr="00FD211F">
        <w:rPr>
          <w:sz w:val="36"/>
          <w:szCs w:val="36"/>
          <w:rtl/>
        </w:rPr>
        <w:t xml:space="preserve"> </w:t>
      </w:r>
      <w:r w:rsidR="00B61A7A" w:rsidRPr="00FD211F">
        <w:rPr>
          <w:sz w:val="36"/>
          <w:szCs w:val="36"/>
          <w:rtl/>
        </w:rPr>
        <w:t>يقال</w:t>
      </w:r>
      <w:r w:rsidRPr="00FD211F">
        <w:rPr>
          <w:sz w:val="36"/>
          <w:szCs w:val="36"/>
          <w:rtl/>
        </w:rPr>
        <w:t xml:space="preserve"> من ان الملاك في صح</w:t>
      </w:r>
      <w:r w:rsidR="00EC7EDF" w:rsidRPr="00FD211F">
        <w:rPr>
          <w:sz w:val="36"/>
          <w:szCs w:val="36"/>
          <w:rtl/>
        </w:rPr>
        <w:t xml:space="preserve">ة </w:t>
      </w:r>
      <w:r w:rsidRPr="00FD211F">
        <w:rPr>
          <w:sz w:val="36"/>
          <w:szCs w:val="36"/>
          <w:rtl/>
        </w:rPr>
        <w:t>الاستعمال المجازي هو النظر العرفي</w:t>
      </w:r>
      <w:r w:rsidR="00603323" w:rsidRPr="00FD211F">
        <w:rPr>
          <w:sz w:val="36"/>
          <w:szCs w:val="36"/>
          <w:rtl/>
        </w:rPr>
        <w:t xml:space="preserve">، </w:t>
      </w:r>
      <w:r w:rsidRPr="00FD211F">
        <w:rPr>
          <w:sz w:val="36"/>
          <w:szCs w:val="36"/>
          <w:rtl/>
        </w:rPr>
        <w:t>والمعنى الحرفي والاسم</w:t>
      </w:r>
      <w:r w:rsidR="00B61A7A" w:rsidRPr="00FD211F">
        <w:rPr>
          <w:sz w:val="36"/>
          <w:szCs w:val="36"/>
          <w:rtl/>
        </w:rPr>
        <w:t>ي متباينان بالنظر الساذج العرفي وان كانا</w:t>
      </w:r>
      <w:r w:rsidR="00BA60F8" w:rsidRPr="00FD211F">
        <w:rPr>
          <w:sz w:val="36"/>
          <w:szCs w:val="36"/>
          <w:rtl/>
        </w:rPr>
        <w:t xml:space="preserve"> </w:t>
      </w:r>
      <w:r w:rsidR="00B61A7A" w:rsidRPr="00FD211F">
        <w:rPr>
          <w:sz w:val="36"/>
          <w:szCs w:val="36"/>
          <w:rtl/>
        </w:rPr>
        <w:t>متحدين بالنظر</w:t>
      </w:r>
      <w:r w:rsidR="00BA60F8" w:rsidRPr="00FD211F">
        <w:rPr>
          <w:sz w:val="36"/>
          <w:szCs w:val="36"/>
          <w:rtl/>
        </w:rPr>
        <w:t xml:space="preserve"> </w:t>
      </w:r>
      <w:r w:rsidR="00B61A7A" w:rsidRPr="00FD211F">
        <w:rPr>
          <w:sz w:val="36"/>
          <w:szCs w:val="36"/>
          <w:rtl/>
        </w:rPr>
        <w:t>العقلي</w:t>
      </w:r>
      <w:r w:rsidR="00603323" w:rsidRPr="00FD211F">
        <w:rPr>
          <w:sz w:val="36"/>
          <w:szCs w:val="36"/>
          <w:rtl/>
        </w:rPr>
        <w:t xml:space="preserve">، </w:t>
      </w:r>
      <w:r w:rsidRPr="00FD211F">
        <w:rPr>
          <w:sz w:val="36"/>
          <w:szCs w:val="36"/>
          <w:rtl/>
        </w:rPr>
        <w:t>فلايصح استعمال احدهما في موضع الآخر</w:t>
      </w:r>
      <w:r w:rsidR="00D21772" w:rsidRPr="00FD211F">
        <w:rPr>
          <w:sz w:val="36"/>
          <w:szCs w:val="36"/>
          <w:rtl/>
        </w:rPr>
        <w:t>لعدم العلاق</w:t>
      </w:r>
      <w:r w:rsidR="00EC7EDF" w:rsidRPr="00FD211F">
        <w:rPr>
          <w:sz w:val="36"/>
          <w:szCs w:val="36"/>
          <w:rtl/>
        </w:rPr>
        <w:t xml:space="preserve">ة </w:t>
      </w:r>
      <w:r w:rsidR="00D21772" w:rsidRPr="00FD211F">
        <w:rPr>
          <w:sz w:val="36"/>
          <w:szCs w:val="36"/>
          <w:rtl/>
        </w:rPr>
        <w:t>المصحح</w:t>
      </w:r>
      <w:r w:rsidR="00EC7EDF" w:rsidRPr="00FD211F">
        <w:rPr>
          <w:sz w:val="36"/>
          <w:szCs w:val="36"/>
          <w:rtl/>
        </w:rPr>
        <w:t xml:space="preserve">ة </w:t>
      </w:r>
      <w:r w:rsidR="00D21772" w:rsidRPr="00FD211F">
        <w:rPr>
          <w:sz w:val="36"/>
          <w:szCs w:val="36"/>
          <w:rtl/>
        </w:rPr>
        <w:t>له بعد</w:t>
      </w:r>
      <w:r w:rsidR="00BA60F8" w:rsidRPr="00FD211F">
        <w:rPr>
          <w:sz w:val="36"/>
          <w:szCs w:val="36"/>
          <w:rtl/>
        </w:rPr>
        <w:t xml:space="preserve"> </w:t>
      </w:r>
      <w:r w:rsidR="00D21772" w:rsidRPr="00FD211F">
        <w:rPr>
          <w:sz w:val="36"/>
          <w:szCs w:val="36"/>
          <w:rtl/>
        </w:rPr>
        <w:t>تباين المعنيين عرفا</w:t>
      </w:r>
      <w:r w:rsidR="009C58C8" w:rsidRPr="00FD211F">
        <w:rPr>
          <w:rStyle w:val="a6"/>
          <w:sz w:val="36"/>
          <w:szCs w:val="36"/>
          <w:rtl/>
        </w:rPr>
        <w:t>(</w:t>
      </w:r>
      <w:r w:rsidR="009C58C8" w:rsidRPr="00FD211F">
        <w:rPr>
          <w:rStyle w:val="a6"/>
          <w:sz w:val="36"/>
          <w:szCs w:val="36"/>
          <w:rtl/>
        </w:rPr>
        <w:footnoteReference w:id="154"/>
      </w:r>
      <w:r w:rsidR="009C58C8" w:rsidRPr="00FD211F">
        <w:rPr>
          <w:rStyle w:val="a6"/>
          <w:sz w:val="36"/>
          <w:szCs w:val="36"/>
          <w:rtl/>
        </w:rPr>
        <w:t>)</w:t>
      </w:r>
      <w:r w:rsidR="00D116A3" w:rsidRPr="00FD211F">
        <w:rPr>
          <w:sz w:val="36"/>
          <w:szCs w:val="36"/>
          <w:rtl/>
        </w:rPr>
        <w:t xml:space="preserve"> ولابأس بهذا الجواب</w:t>
      </w:r>
      <w:r w:rsidR="00C774D9" w:rsidRPr="00FD211F">
        <w:rPr>
          <w:sz w:val="36"/>
          <w:szCs w:val="36"/>
          <w:rtl/>
        </w:rPr>
        <w:t>.</w:t>
      </w:r>
    </w:p>
    <w:p w14:paraId="7B189096" w14:textId="77777777" w:rsidR="007F5659" w:rsidRPr="00FD211F" w:rsidRDefault="008744AF" w:rsidP="009C58C8">
      <w:pPr>
        <w:ind w:left="0" w:firstLine="227"/>
        <w:jc w:val="both"/>
        <w:rPr>
          <w:sz w:val="36"/>
          <w:szCs w:val="36"/>
          <w:rtl/>
        </w:rPr>
      </w:pPr>
      <w:r w:rsidRPr="00FD211F">
        <w:rPr>
          <w:sz w:val="36"/>
          <w:szCs w:val="36"/>
          <w:rtl/>
        </w:rPr>
        <w:t xml:space="preserve">ومنها: </w:t>
      </w:r>
      <w:r w:rsidR="007F5659" w:rsidRPr="00FD211F">
        <w:rPr>
          <w:sz w:val="36"/>
          <w:szCs w:val="36"/>
          <w:rtl/>
        </w:rPr>
        <w:t>انه بناء على كون الاستعمال المجازي بنحو المجاز الادعائي</w:t>
      </w:r>
      <w:r w:rsidR="00D116A3" w:rsidRPr="00FD211F">
        <w:rPr>
          <w:sz w:val="36"/>
          <w:szCs w:val="36"/>
          <w:rtl/>
        </w:rPr>
        <w:t xml:space="preserve"> </w:t>
      </w:r>
      <w:r w:rsidR="007F5659" w:rsidRPr="00FD211F">
        <w:rPr>
          <w:sz w:val="36"/>
          <w:szCs w:val="36"/>
          <w:rtl/>
        </w:rPr>
        <w:t>فيكون واضح الاندفاع</w:t>
      </w:r>
      <w:r w:rsidR="00603323" w:rsidRPr="00FD211F">
        <w:rPr>
          <w:sz w:val="36"/>
          <w:szCs w:val="36"/>
          <w:rtl/>
        </w:rPr>
        <w:t xml:space="preserve">، </w:t>
      </w:r>
      <w:r w:rsidR="007F5659" w:rsidRPr="00FD211F">
        <w:rPr>
          <w:sz w:val="36"/>
          <w:szCs w:val="36"/>
          <w:rtl/>
        </w:rPr>
        <w:t>اذ يكون بين استعمال الحرف مكان الاسم او بالعكس وبين الاستعمال المجازي فرقا واضحا.</w:t>
      </w:r>
    </w:p>
    <w:p w14:paraId="786FCF90" w14:textId="77777777" w:rsidR="007F5659" w:rsidRPr="00FD211F" w:rsidRDefault="007F5659" w:rsidP="00BA60F8">
      <w:pPr>
        <w:ind w:left="0" w:firstLine="227"/>
        <w:jc w:val="both"/>
        <w:rPr>
          <w:sz w:val="36"/>
          <w:szCs w:val="36"/>
          <w:rtl/>
        </w:rPr>
      </w:pPr>
      <w:r w:rsidRPr="00FD211F">
        <w:rPr>
          <w:sz w:val="36"/>
          <w:szCs w:val="36"/>
          <w:rtl/>
        </w:rPr>
        <w:t>4- ما ذكره السيد الخوئي</w:t>
      </w:r>
      <w:r w:rsidR="00A61BAE" w:rsidRPr="00FD211F">
        <w:rPr>
          <w:sz w:val="36"/>
          <w:szCs w:val="36"/>
          <w:rtl/>
        </w:rPr>
        <w:t xml:space="preserve"> </w:t>
      </w:r>
      <w:r w:rsidR="0024281C" w:rsidRPr="00FD211F">
        <w:rPr>
          <w:sz w:val="36"/>
          <w:szCs w:val="36"/>
          <w:rtl/>
        </w:rPr>
        <w:t>"قده"</w:t>
      </w:r>
      <w:r w:rsidR="00A61BAE" w:rsidRPr="00FD211F">
        <w:rPr>
          <w:sz w:val="36"/>
          <w:szCs w:val="36"/>
          <w:rtl/>
        </w:rPr>
        <w:t xml:space="preserve"> </w:t>
      </w:r>
      <w:r w:rsidRPr="00FD211F">
        <w:rPr>
          <w:sz w:val="36"/>
          <w:szCs w:val="36"/>
          <w:rtl/>
        </w:rPr>
        <w:t>من النقض بالعن</w:t>
      </w:r>
      <w:r w:rsidR="00432FC6" w:rsidRPr="00FD211F">
        <w:rPr>
          <w:sz w:val="36"/>
          <w:szCs w:val="36"/>
          <w:rtl/>
        </w:rPr>
        <w:t>اوين الطريقي</w:t>
      </w:r>
      <w:r w:rsidR="00EC7EDF" w:rsidRPr="00FD211F">
        <w:rPr>
          <w:sz w:val="36"/>
          <w:szCs w:val="36"/>
          <w:rtl/>
        </w:rPr>
        <w:t xml:space="preserve">ة </w:t>
      </w:r>
      <w:r w:rsidR="00432FC6" w:rsidRPr="00FD211F">
        <w:rPr>
          <w:sz w:val="36"/>
          <w:szCs w:val="36"/>
          <w:rtl/>
        </w:rPr>
        <w:t>كما في قوله تعالى</w:t>
      </w:r>
      <w:r w:rsidR="00BA60F8" w:rsidRPr="00FD211F">
        <w:rPr>
          <w:sz w:val="36"/>
          <w:szCs w:val="36"/>
          <w:rtl/>
        </w:rPr>
        <w:t xml:space="preserve"> </w:t>
      </w:r>
      <w:r w:rsidR="00432FC6" w:rsidRPr="00FD211F">
        <w:rPr>
          <w:sz w:val="36"/>
          <w:szCs w:val="36"/>
          <w:rtl/>
        </w:rPr>
        <w:t>"</w:t>
      </w:r>
      <w:r w:rsidRPr="00FD211F">
        <w:rPr>
          <w:sz w:val="36"/>
          <w:szCs w:val="36"/>
          <w:rtl/>
        </w:rPr>
        <w:t>فكلوا واشربوا حتى يتبين لكم الخيط الابيض من الخيط الاسود من الفجر</w:t>
      </w:r>
      <w:r w:rsidR="00432FC6" w:rsidRPr="00FD211F">
        <w:rPr>
          <w:sz w:val="36"/>
          <w:szCs w:val="36"/>
          <w:rtl/>
        </w:rPr>
        <w:t>"</w:t>
      </w:r>
      <w:r w:rsidRPr="00FD211F">
        <w:rPr>
          <w:sz w:val="36"/>
          <w:szCs w:val="36"/>
          <w:rtl/>
        </w:rPr>
        <w:t xml:space="preserve"> حيث ان تبين الخيط الابيض من الخيط الاسود لتحقق نفس الفجر ويكون تبينه طريقا محضا</w:t>
      </w:r>
      <w:r w:rsidR="00603323" w:rsidRPr="00FD211F">
        <w:rPr>
          <w:sz w:val="36"/>
          <w:szCs w:val="36"/>
          <w:rtl/>
        </w:rPr>
        <w:t xml:space="preserve">، </w:t>
      </w:r>
      <w:r w:rsidR="008D36E5" w:rsidRPr="00FD211F">
        <w:rPr>
          <w:sz w:val="36"/>
          <w:szCs w:val="36"/>
          <w:rtl/>
        </w:rPr>
        <w:t>(</w:t>
      </w:r>
      <w:r w:rsidRPr="00FD211F">
        <w:rPr>
          <w:sz w:val="36"/>
          <w:szCs w:val="36"/>
          <w:rtl/>
        </w:rPr>
        <w:t xml:space="preserve"> فلو أكل او شرب لأجل عدم تبين طلوع الفجر له ثم تبين له طلوع الفجر حين اكله وشربه حكم ببطلان صومه</w:t>
      </w:r>
      <w:r w:rsidR="00603323" w:rsidRPr="00FD211F">
        <w:rPr>
          <w:sz w:val="36"/>
          <w:szCs w:val="36"/>
          <w:rtl/>
        </w:rPr>
        <w:t xml:space="preserve">، </w:t>
      </w:r>
      <w:r w:rsidRPr="00FD211F">
        <w:rPr>
          <w:sz w:val="36"/>
          <w:szCs w:val="36"/>
          <w:rtl/>
        </w:rPr>
        <w:t>الا في مورد خاص وهو ما لو نظر الى الأفق فلم ير شيئا</w:t>
      </w:r>
      <w:r w:rsidR="00603323" w:rsidRPr="00FD211F">
        <w:rPr>
          <w:sz w:val="36"/>
          <w:szCs w:val="36"/>
          <w:rtl/>
        </w:rPr>
        <w:t xml:space="preserve">، </w:t>
      </w:r>
      <w:r w:rsidRPr="00FD211F">
        <w:rPr>
          <w:sz w:val="36"/>
          <w:szCs w:val="36"/>
          <w:rtl/>
        </w:rPr>
        <w:t>وذلك للنص الخاص</w:t>
      </w:r>
      <w:r w:rsidR="008D36E5" w:rsidRPr="00FD211F">
        <w:rPr>
          <w:sz w:val="36"/>
          <w:szCs w:val="36"/>
          <w:rtl/>
        </w:rPr>
        <w:t>)</w:t>
      </w:r>
      <w:r w:rsidR="009C58C8" w:rsidRPr="00FD211F">
        <w:rPr>
          <w:rStyle w:val="a6"/>
          <w:sz w:val="36"/>
          <w:szCs w:val="36"/>
          <w:rtl/>
        </w:rPr>
        <w:t>(</w:t>
      </w:r>
      <w:r w:rsidR="009C58C8" w:rsidRPr="00FD211F">
        <w:rPr>
          <w:rStyle w:val="a6"/>
          <w:sz w:val="36"/>
          <w:szCs w:val="36"/>
          <w:rtl/>
        </w:rPr>
        <w:footnoteReference w:id="155"/>
      </w:r>
      <w:r w:rsidR="009C58C8" w:rsidRPr="00FD211F">
        <w:rPr>
          <w:rStyle w:val="a6"/>
          <w:sz w:val="36"/>
          <w:szCs w:val="36"/>
          <w:rtl/>
        </w:rPr>
        <w:t>)</w:t>
      </w:r>
      <w:r w:rsidRPr="00FD211F">
        <w:rPr>
          <w:sz w:val="36"/>
          <w:szCs w:val="36"/>
          <w:rtl/>
        </w:rPr>
        <w:t>.</w:t>
      </w:r>
    </w:p>
    <w:p w14:paraId="747AB7ED" w14:textId="77777777" w:rsidR="007F5659" w:rsidRPr="00FD211F" w:rsidRDefault="007F5659" w:rsidP="009C58C8">
      <w:pPr>
        <w:ind w:left="0" w:firstLine="227"/>
        <w:jc w:val="both"/>
        <w:rPr>
          <w:sz w:val="36"/>
          <w:szCs w:val="36"/>
          <w:rtl/>
        </w:rPr>
      </w:pPr>
      <w:r w:rsidRPr="00FD211F">
        <w:rPr>
          <w:sz w:val="36"/>
          <w:szCs w:val="36"/>
          <w:rtl/>
        </w:rPr>
        <w:t>وفيه: ان المعنى الحرفي لابد ان يلحظ حال</w:t>
      </w:r>
      <w:r w:rsidR="00EC7EDF" w:rsidRPr="00FD211F">
        <w:rPr>
          <w:sz w:val="36"/>
          <w:szCs w:val="36"/>
          <w:rtl/>
        </w:rPr>
        <w:t xml:space="preserve">ة </w:t>
      </w:r>
      <w:r w:rsidRPr="00FD211F">
        <w:rPr>
          <w:sz w:val="36"/>
          <w:szCs w:val="36"/>
          <w:rtl/>
        </w:rPr>
        <w:t>لمفهوم آخر يكون مدخولا له او سابقا عليه</w:t>
      </w:r>
      <w:r w:rsidR="00603323" w:rsidRPr="00FD211F">
        <w:rPr>
          <w:sz w:val="36"/>
          <w:szCs w:val="36"/>
          <w:rtl/>
        </w:rPr>
        <w:t xml:space="preserve">، </w:t>
      </w:r>
      <w:r w:rsidRPr="00FD211F">
        <w:rPr>
          <w:sz w:val="36"/>
          <w:szCs w:val="36"/>
          <w:rtl/>
        </w:rPr>
        <w:t>وأما التبين في الآي</w:t>
      </w:r>
      <w:r w:rsidR="00EC7EDF" w:rsidRPr="00FD211F">
        <w:rPr>
          <w:sz w:val="36"/>
          <w:szCs w:val="36"/>
          <w:rtl/>
        </w:rPr>
        <w:t xml:space="preserve">ة </w:t>
      </w:r>
      <w:r w:rsidRPr="00FD211F">
        <w:rPr>
          <w:sz w:val="36"/>
          <w:szCs w:val="36"/>
          <w:rtl/>
        </w:rPr>
        <w:t>الكريم</w:t>
      </w:r>
      <w:r w:rsidR="00EC7EDF" w:rsidRPr="00FD211F">
        <w:rPr>
          <w:sz w:val="36"/>
          <w:szCs w:val="36"/>
          <w:rtl/>
        </w:rPr>
        <w:t xml:space="preserve">ة </w:t>
      </w:r>
      <w:r w:rsidRPr="00FD211F">
        <w:rPr>
          <w:sz w:val="36"/>
          <w:szCs w:val="36"/>
          <w:rtl/>
        </w:rPr>
        <w:t>فقد لوحظ في مقام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مستقلا</w:t>
      </w:r>
      <w:r w:rsidR="00603323" w:rsidRPr="00FD211F">
        <w:rPr>
          <w:sz w:val="36"/>
          <w:szCs w:val="36"/>
          <w:rtl/>
        </w:rPr>
        <w:t xml:space="preserve">، </w:t>
      </w:r>
      <w:r w:rsidRPr="00FD211F">
        <w:rPr>
          <w:sz w:val="36"/>
          <w:szCs w:val="36"/>
          <w:rtl/>
        </w:rPr>
        <w:t>لاحال</w:t>
      </w:r>
      <w:r w:rsidR="00EC7EDF" w:rsidRPr="00FD211F">
        <w:rPr>
          <w:sz w:val="36"/>
          <w:szCs w:val="36"/>
          <w:rtl/>
        </w:rPr>
        <w:t xml:space="preserve">ة </w:t>
      </w:r>
      <w:r w:rsidRPr="00FD211F">
        <w:rPr>
          <w:sz w:val="36"/>
          <w:szCs w:val="36"/>
          <w:rtl/>
        </w:rPr>
        <w:t>لمفهوم آخر</w:t>
      </w:r>
      <w:r w:rsidR="00603323" w:rsidRPr="00FD211F">
        <w:rPr>
          <w:sz w:val="36"/>
          <w:szCs w:val="36"/>
          <w:rtl/>
        </w:rPr>
        <w:t xml:space="preserve">، </w:t>
      </w:r>
      <w:r w:rsidRPr="00FD211F">
        <w:rPr>
          <w:sz w:val="36"/>
          <w:szCs w:val="36"/>
          <w:rtl/>
        </w:rPr>
        <w:t>نعم يستظهر منه العرف ان الحكم متعلق بواقع طلوع الفجر وانما اخذ العلم والتبين في الخطاب لانه طريق الى احراز موضوع الحكم</w:t>
      </w:r>
      <w:r w:rsidR="00603323" w:rsidRPr="00FD211F">
        <w:rPr>
          <w:sz w:val="36"/>
          <w:szCs w:val="36"/>
          <w:rtl/>
        </w:rPr>
        <w:t xml:space="preserve">، </w:t>
      </w:r>
      <w:r w:rsidRPr="00FD211F">
        <w:rPr>
          <w:sz w:val="36"/>
          <w:szCs w:val="36"/>
          <w:rtl/>
        </w:rPr>
        <w:t>فيكون نظير الأمر باكرام هذا الجالس</w:t>
      </w:r>
      <w:r w:rsidR="00603323" w:rsidRPr="00FD211F">
        <w:rPr>
          <w:sz w:val="36"/>
          <w:szCs w:val="36"/>
          <w:rtl/>
        </w:rPr>
        <w:t xml:space="preserve">، </w:t>
      </w:r>
      <w:r w:rsidRPr="00FD211F">
        <w:rPr>
          <w:sz w:val="36"/>
          <w:szCs w:val="36"/>
          <w:rtl/>
        </w:rPr>
        <w:t>حيث يراه العرف عنوانا مشيرا الى الموضوع الواقعي من دون خصوصي</w:t>
      </w:r>
      <w:r w:rsidR="00EC7EDF" w:rsidRPr="00FD211F">
        <w:rPr>
          <w:sz w:val="36"/>
          <w:szCs w:val="36"/>
          <w:rtl/>
        </w:rPr>
        <w:t xml:space="preserve">ة </w:t>
      </w:r>
      <w:r w:rsidRPr="00FD211F">
        <w:rPr>
          <w:sz w:val="36"/>
          <w:szCs w:val="36"/>
          <w:rtl/>
        </w:rPr>
        <w:t>لعنوان الجالس.</w:t>
      </w:r>
    </w:p>
    <w:p w14:paraId="22EEFF9A" w14:textId="77777777" w:rsidR="007F5659" w:rsidRPr="00FD211F" w:rsidRDefault="007F5659" w:rsidP="009C58C8">
      <w:pPr>
        <w:ind w:left="0" w:firstLine="227"/>
        <w:jc w:val="both"/>
        <w:rPr>
          <w:sz w:val="36"/>
          <w:szCs w:val="36"/>
          <w:rtl/>
        </w:rPr>
      </w:pPr>
      <w:r w:rsidRPr="00FD211F">
        <w:rPr>
          <w:sz w:val="36"/>
          <w:szCs w:val="36"/>
          <w:rtl/>
        </w:rPr>
        <w:t>5- ما ذكره السيد الخوئي</w:t>
      </w:r>
      <w:r w:rsidR="00A61BAE" w:rsidRPr="00FD211F">
        <w:rPr>
          <w:sz w:val="36"/>
          <w:szCs w:val="36"/>
          <w:rtl/>
        </w:rPr>
        <w:t xml:space="preserve"> </w:t>
      </w:r>
      <w:r w:rsidR="0024281C" w:rsidRPr="00FD211F">
        <w:rPr>
          <w:sz w:val="36"/>
          <w:szCs w:val="36"/>
          <w:rtl/>
        </w:rPr>
        <w:t>"قده"</w:t>
      </w:r>
      <w:r w:rsidR="00A61BAE" w:rsidRPr="00FD211F">
        <w:rPr>
          <w:sz w:val="36"/>
          <w:szCs w:val="36"/>
          <w:rtl/>
        </w:rPr>
        <w:t xml:space="preserve"> </w:t>
      </w:r>
      <w:r w:rsidRPr="00FD211F">
        <w:rPr>
          <w:sz w:val="36"/>
          <w:szCs w:val="36"/>
          <w:rtl/>
        </w:rPr>
        <w:t>في تعليق</w:t>
      </w:r>
      <w:r w:rsidR="00EC7EDF" w:rsidRPr="00FD211F">
        <w:rPr>
          <w:sz w:val="36"/>
          <w:szCs w:val="36"/>
          <w:rtl/>
        </w:rPr>
        <w:t xml:space="preserve">ة </w:t>
      </w:r>
      <w:r w:rsidRPr="00FD211F">
        <w:rPr>
          <w:sz w:val="36"/>
          <w:szCs w:val="36"/>
          <w:rtl/>
        </w:rPr>
        <w:t>اجود التقريرات من النقض بالمصدر حيث ان الفارق بينه وبين اسم المصدر انه لوحظ في المصدر حيثي</w:t>
      </w:r>
      <w:r w:rsidR="00EC7EDF" w:rsidRPr="00FD211F">
        <w:rPr>
          <w:sz w:val="36"/>
          <w:szCs w:val="36"/>
          <w:rtl/>
        </w:rPr>
        <w:t xml:space="preserve">ة </w:t>
      </w:r>
      <w:r w:rsidRPr="00FD211F">
        <w:rPr>
          <w:sz w:val="36"/>
          <w:szCs w:val="36"/>
          <w:rtl/>
        </w:rPr>
        <w:t>صدوره من الفاعل فيلزم كون المصدر معنى حرفيا</w:t>
      </w:r>
      <w:r w:rsidR="009C58C8" w:rsidRPr="00FD211F">
        <w:rPr>
          <w:rStyle w:val="a6"/>
          <w:sz w:val="36"/>
          <w:szCs w:val="36"/>
          <w:rtl/>
        </w:rPr>
        <w:t>(</w:t>
      </w:r>
      <w:r w:rsidR="009C58C8" w:rsidRPr="00FD211F">
        <w:rPr>
          <w:rStyle w:val="a6"/>
          <w:sz w:val="36"/>
          <w:szCs w:val="36"/>
          <w:rtl/>
        </w:rPr>
        <w:footnoteReference w:id="156"/>
      </w:r>
      <w:r w:rsidR="009C58C8" w:rsidRPr="00FD211F">
        <w:rPr>
          <w:rStyle w:val="a6"/>
          <w:sz w:val="36"/>
          <w:szCs w:val="36"/>
          <w:rtl/>
        </w:rPr>
        <w:t>)</w:t>
      </w:r>
      <w:r w:rsidRPr="00FD211F">
        <w:rPr>
          <w:sz w:val="36"/>
          <w:szCs w:val="36"/>
          <w:rtl/>
        </w:rPr>
        <w:t>.</w:t>
      </w:r>
    </w:p>
    <w:p w14:paraId="45D07E34" w14:textId="77777777" w:rsidR="007F5659" w:rsidRPr="00FD211F" w:rsidRDefault="007F5659" w:rsidP="009C58C8">
      <w:pPr>
        <w:ind w:left="0" w:firstLine="227"/>
        <w:jc w:val="both"/>
        <w:rPr>
          <w:sz w:val="36"/>
          <w:szCs w:val="36"/>
          <w:rtl/>
        </w:rPr>
      </w:pPr>
      <w:r w:rsidRPr="00FD211F">
        <w:rPr>
          <w:sz w:val="36"/>
          <w:szCs w:val="36"/>
          <w:rtl/>
        </w:rPr>
        <w:t>وفيه ان الاختلاف بين المصدر واسم المصدر ناش عن هيئتهما</w:t>
      </w:r>
      <w:r w:rsidR="00603323" w:rsidRPr="00FD211F">
        <w:rPr>
          <w:sz w:val="36"/>
          <w:szCs w:val="36"/>
          <w:rtl/>
        </w:rPr>
        <w:t xml:space="preserve">، </w:t>
      </w:r>
      <w:r w:rsidRPr="00FD211F">
        <w:rPr>
          <w:sz w:val="36"/>
          <w:szCs w:val="36"/>
          <w:rtl/>
        </w:rPr>
        <w:t>فيكون الدال على حيثي</w:t>
      </w:r>
      <w:r w:rsidR="00EC7EDF" w:rsidRPr="00FD211F">
        <w:rPr>
          <w:sz w:val="36"/>
          <w:szCs w:val="36"/>
          <w:rtl/>
        </w:rPr>
        <w:t xml:space="preserve">ة </w:t>
      </w:r>
      <w:r w:rsidRPr="00FD211F">
        <w:rPr>
          <w:sz w:val="36"/>
          <w:szCs w:val="36"/>
          <w:rtl/>
        </w:rPr>
        <w:t>الصدور من الفاعل هي هيئ</w:t>
      </w:r>
      <w:r w:rsidR="00EC7EDF" w:rsidRPr="00FD211F">
        <w:rPr>
          <w:sz w:val="36"/>
          <w:szCs w:val="36"/>
          <w:rtl/>
        </w:rPr>
        <w:t xml:space="preserve">ة </w:t>
      </w:r>
      <w:r w:rsidRPr="00FD211F">
        <w:rPr>
          <w:sz w:val="36"/>
          <w:szCs w:val="36"/>
          <w:rtl/>
        </w:rPr>
        <w:t>المصدر دون مادته</w:t>
      </w:r>
      <w:r w:rsidR="00603323" w:rsidRPr="00FD211F">
        <w:rPr>
          <w:sz w:val="36"/>
          <w:szCs w:val="36"/>
          <w:rtl/>
        </w:rPr>
        <w:t xml:space="preserve">، </w:t>
      </w:r>
      <w:r w:rsidRPr="00FD211F">
        <w:rPr>
          <w:sz w:val="36"/>
          <w:szCs w:val="36"/>
          <w:rtl/>
        </w:rPr>
        <w:t>ولااشكال في ان مدلول الهيئات معان حرفي</w:t>
      </w:r>
      <w:r w:rsidR="00EC7EDF" w:rsidRPr="00FD211F">
        <w:rPr>
          <w:sz w:val="36"/>
          <w:szCs w:val="36"/>
          <w:rtl/>
        </w:rPr>
        <w:t>ة</w:t>
      </w:r>
      <w:r w:rsidR="00A61BAE" w:rsidRPr="00FD211F">
        <w:rPr>
          <w:sz w:val="36"/>
          <w:szCs w:val="36"/>
          <w:rtl/>
        </w:rPr>
        <w:t>.</w:t>
      </w:r>
    </w:p>
    <w:p w14:paraId="6A8660C3" w14:textId="77777777" w:rsidR="007F5659" w:rsidRPr="00FD211F" w:rsidRDefault="007F5659" w:rsidP="009C58C8">
      <w:pPr>
        <w:ind w:left="0" w:firstLine="227"/>
        <w:jc w:val="both"/>
        <w:rPr>
          <w:sz w:val="36"/>
          <w:szCs w:val="36"/>
          <w:rtl/>
        </w:rPr>
      </w:pPr>
      <w:r w:rsidRPr="00FD211F">
        <w:rPr>
          <w:sz w:val="36"/>
          <w:szCs w:val="36"/>
          <w:rtl/>
        </w:rPr>
        <w:t xml:space="preserve">6- ما ذكره السيد الخوئي </w:t>
      </w:r>
      <w:r w:rsidR="00D21772" w:rsidRPr="00FD211F">
        <w:rPr>
          <w:sz w:val="36"/>
          <w:szCs w:val="36"/>
          <w:rtl/>
        </w:rPr>
        <w:t>"</w:t>
      </w:r>
      <w:r w:rsidRPr="00FD211F">
        <w:rPr>
          <w:sz w:val="36"/>
          <w:szCs w:val="36"/>
          <w:rtl/>
        </w:rPr>
        <w:t>قده</w:t>
      </w:r>
      <w:r w:rsidR="00D21772" w:rsidRPr="00FD211F">
        <w:rPr>
          <w:sz w:val="36"/>
          <w:szCs w:val="36"/>
          <w:rtl/>
        </w:rPr>
        <w:t>"</w:t>
      </w:r>
      <w:r w:rsidRPr="00FD211F">
        <w:rPr>
          <w:sz w:val="36"/>
          <w:szCs w:val="36"/>
          <w:rtl/>
        </w:rPr>
        <w:t xml:space="preserve"> </w:t>
      </w:r>
      <w:r w:rsidR="00D21772" w:rsidRPr="00FD211F">
        <w:rPr>
          <w:sz w:val="36"/>
          <w:szCs w:val="36"/>
          <w:rtl/>
        </w:rPr>
        <w:t>ايضا</w:t>
      </w:r>
      <w:r w:rsidR="00BA60F8" w:rsidRPr="00FD211F">
        <w:rPr>
          <w:sz w:val="36"/>
          <w:szCs w:val="36"/>
          <w:rtl/>
        </w:rPr>
        <w:t xml:space="preserve"> </w:t>
      </w:r>
      <w:r w:rsidRPr="00FD211F">
        <w:rPr>
          <w:sz w:val="36"/>
          <w:szCs w:val="36"/>
          <w:rtl/>
        </w:rPr>
        <w:t>من ان ما ذكره صاحب الكفاي</w:t>
      </w:r>
      <w:r w:rsidR="00EC7EDF" w:rsidRPr="00FD211F">
        <w:rPr>
          <w:sz w:val="36"/>
          <w:szCs w:val="36"/>
          <w:rtl/>
        </w:rPr>
        <w:t xml:space="preserve">ة </w:t>
      </w:r>
      <w:r w:rsidRPr="00FD211F">
        <w:rPr>
          <w:sz w:val="36"/>
          <w:szCs w:val="36"/>
          <w:rtl/>
        </w:rPr>
        <w:t>وغيره من كون المعنى الحرفي ملحوظا آليا غير متجه فانه كثيرا ما يكون الغرض الاصلي للتفهيم والتفهم هو المعنى الحرفي</w:t>
      </w:r>
      <w:r w:rsidR="00603323" w:rsidRPr="00FD211F">
        <w:rPr>
          <w:sz w:val="36"/>
          <w:szCs w:val="36"/>
          <w:rtl/>
        </w:rPr>
        <w:t xml:space="preserve">، </w:t>
      </w:r>
      <w:r w:rsidRPr="00FD211F">
        <w:rPr>
          <w:sz w:val="36"/>
          <w:szCs w:val="36"/>
          <w:rtl/>
        </w:rPr>
        <w:t>فقد يعلم بان زيدا قد جاء ولكن لايعلم انه هل جاء مع عمرو ام لا</w:t>
      </w:r>
      <w:r w:rsidR="00603323" w:rsidRPr="00FD211F">
        <w:rPr>
          <w:sz w:val="36"/>
          <w:szCs w:val="36"/>
          <w:rtl/>
        </w:rPr>
        <w:t xml:space="preserve">، </w:t>
      </w:r>
      <w:r w:rsidRPr="00FD211F">
        <w:rPr>
          <w:sz w:val="36"/>
          <w:szCs w:val="36"/>
          <w:rtl/>
        </w:rPr>
        <w:t>فيسأل عن ذلك</w:t>
      </w:r>
      <w:r w:rsidR="00603323" w:rsidRPr="00FD211F">
        <w:rPr>
          <w:sz w:val="36"/>
          <w:szCs w:val="36"/>
          <w:rtl/>
        </w:rPr>
        <w:t xml:space="preserve">، </w:t>
      </w:r>
      <w:r w:rsidRPr="00FD211F">
        <w:rPr>
          <w:sz w:val="36"/>
          <w:szCs w:val="36"/>
          <w:rtl/>
        </w:rPr>
        <w:t>فيجاب انه جاء مع عمرو</w:t>
      </w:r>
      <w:r w:rsidR="00603323" w:rsidRPr="00FD211F">
        <w:rPr>
          <w:sz w:val="36"/>
          <w:szCs w:val="36"/>
          <w:rtl/>
        </w:rPr>
        <w:t xml:space="preserve">، </w:t>
      </w:r>
      <w:r w:rsidRPr="00FD211F">
        <w:rPr>
          <w:sz w:val="36"/>
          <w:szCs w:val="36"/>
          <w:rtl/>
        </w:rPr>
        <w:t>وعليه فكيف يجتمع ذلك مع لحاظه آليا</w:t>
      </w:r>
      <w:r w:rsidR="009C58C8" w:rsidRPr="00FD211F">
        <w:rPr>
          <w:rStyle w:val="a6"/>
          <w:sz w:val="36"/>
          <w:szCs w:val="36"/>
          <w:rtl/>
        </w:rPr>
        <w:t>(</w:t>
      </w:r>
      <w:r w:rsidR="009C58C8" w:rsidRPr="00FD211F">
        <w:rPr>
          <w:rStyle w:val="a6"/>
          <w:sz w:val="36"/>
          <w:szCs w:val="36"/>
          <w:rtl/>
        </w:rPr>
        <w:footnoteReference w:id="157"/>
      </w:r>
      <w:r w:rsidR="009C58C8" w:rsidRPr="00FD211F">
        <w:rPr>
          <w:rStyle w:val="a6"/>
          <w:sz w:val="36"/>
          <w:szCs w:val="36"/>
          <w:rtl/>
        </w:rPr>
        <w:t>)</w:t>
      </w:r>
      <w:r w:rsidRPr="00FD211F">
        <w:rPr>
          <w:sz w:val="36"/>
          <w:szCs w:val="36"/>
          <w:rtl/>
        </w:rPr>
        <w:t>.</w:t>
      </w:r>
    </w:p>
    <w:p w14:paraId="403B0ACE" w14:textId="77777777" w:rsidR="001F33F2" w:rsidRPr="00FD211F" w:rsidRDefault="007F5659" w:rsidP="009C58C8">
      <w:pPr>
        <w:ind w:left="0" w:firstLine="227"/>
        <w:jc w:val="both"/>
        <w:rPr>
          <w:sz w:val="36"/>
          <w:szCs w:val="36"/>
          <w:rtl/>
        </w:rPr>
      </w:pPr>
      <w:r w:rsidRPr="00FD211F">
        <w:rPr>
          <w:sz w:val="36"/>
          <w:szCs w:val="36"/>
          <w:rtl/>
        </w:rPr>
        <w:t>ويلاحظ عليه: انه انما يتم هذا الايراد لو اريد من كون المعنى الحرفي ملحوظا آليا هو عدم كونه ملتفتا اليه تفصيلا</w:t>
      </w:r>
      <w:r w:rsidR="00603323" w:rsidRPr="00FD211F">
        <w:rPr>
          <w:sz w:val="36"/>
          <w:szCs w:val="36"/>
          <w:rtl/>
        </w:rPr>
        <w:t xml:space="preserve">، </w:t>
      </w:r>
      <w:r w:rsidRPr="00FD211F">
        <w:rPr>
          <w:sz w:val="36"/>
          <w:szCs w:val="36"/>
          <w:rtl/>
        </w:rPr>
        <w:t>ولكنه ليس كذلك</w:t>
      </w:r>
      <w:r w:rsidR="00603323" w:rsidRPr="00FD211F">
        <w:rPr>
          <w:sz w:val="36"/>
          <w:szCs w:val="36"/>
          <w:rtl/>
        </w:rPr>
        <w:t xml:space="preserve">، </w:t>
      </w:r>
      <w:r w:rsidRPr="00FD211F">
        <w:rPr>
          <w:sz w:val="36"/>
          <w:szCs w:val="36"/>
          <w:rtl/>
        </w:rPr>
        <w:t>بل المراد منه كونه ملحوظا بما هو حال</w:t>
      </w:r>
      <w:r w:rsidR="00EC7EDF" w:rsidRPr="00FD211F">
        <w:rPr>
          <w:sz w:val="36"/>
          <w:szCs w:val="36"/>
          <w:rtl/>
        </w:rPr>
        <w:t xml:space="preserve">ة </w:t>
      </w:r>
      <w:r w:rsidRPr="00FD211F">
        <w:rPr>
          <w:sz w:val="36"/>
          <w:szCs w:val="36"/>
          <w:rtl/>
        </w:rPr>
        <w:t>لمفهوم آخر</w:t>
      </w:r>
      <w:r w:rsidR="00603323" w:rsidRPr="00FD211F">
        <w:rPr>
          <w:sz w:val="36"/>
          <w:szCs w:val="36"/>
          <w:rtl/>
        </w:rPr>
        <w:t xml:space="preserve">، </w:t>
      </w:r>
      <w:r w:rsidRPr="00FD211F">
        <w:rPr>
          <w:sz w:val="36"/>
          <w:szCs w:val="36"/>
          <w:rtl/>
        </w:rPr>
        <w:t>لابما هو في نفسه كما صرح به صاحب الكفاي</w:t>
      </w:r>
      <w:r w:rsidR="00EC7EDF" w:rsidRPr="00FD211F">
        <w:rPr>
          <w:sz w:val="36"/>
          <w:szCs w:val="36"/>
          <w:rtl/>
        </w:rPr>
        <w:t xml:space="preserve">ة </w:t>
      </w:r>
      <w:r w:rsidR="005D03BA" w:rsidRPr="00FD211F">
        <w:rPr>
          <w:sz w:val="36"/>
          <w:szCs w:val="36"/>
          <w:rtl/>
        </w:rPr>
        <w:t>“قده”</w:t>
      </w:r>
      <w:r w:rsidR="00603323" w:rsidRPr="00FD211F">
        <w:rPr>
          <w:sz w:val="36"/>
          <w:szCs w:val="36"/>
          <w:rtl/>
        </w:rPr>
        <w:t xml:space="preserve">، </w:t>
      </w:r>
      <w:r w:rsidRPr="00FD211F">
        <w:rPr>
          <w:sz w:val="36"/>
          <w:szCs w:val="36"/>
          <w:rtl/>
        </w:rPr>
        <w:t>فالمعنى الحرفي وان كان مندكا وتابعا في وجوده الذهني للمفهوم الاسمي لكن يمكن تعلق الغرض الاصلي بتفهيمه وتفهمه.</w:t>
      </w:r>
    </w:p>
    <w:p w14:paraId="341A653E" w14:textId="77777777" w:rsidR="007F5659" w:rsidRPr="00FD211F" w:rsidRDefault="009F73AD" w:rsidP="009C58C8">
      <w:pPr>
        <w:ind w:left="0" w:firstLine="227"/>
        <w:jc w:val="both"/>
        <w:rPr>
          <w:sz w:val="36"/>
          <w:szCs w:val="36"/>
          <w:rtl/>
        </w:rPr>
      </w:pPr>
      <w:r w:rsidRPr="00FD211F">
        <w:rPr>
          <w:sz w:val="36"/>
          <w:szCs w:val="36"/>
          <w:rtl/>
        </w:rPr>
        <w:t>هذا</w:t>
      </w:r>
      <w:r w:rsidR="00BA60F8" w:rsidRPr="00FD211F">
        <w:rPr>
          <w:sz w:val="36"/>
          <w:szCs w:val="36"/>
          <w:rtl/>
        </w:rPr>
        <w:t xml:space="preserve"> </w:t>
      </w:r>
      <w:r w:rsidRPr="00FD211F">
        <w:rPr>
          <w:sz w:val="36"/>
          <w:szCs w:val="36"/>
          <w:rtl/>
        </w:rPr>
        <w:t>واما</w:t>
      </w:r>
      <w:r w:rsidR="00BA60F8" w:rsidRPr="00FD211F">
        <w:rPr>
          <w:sz w:val="36"/>
          <w:szCs w:val="36"/>
          <w:rtl/>
        </w:rPr>
        <w:t xml:space="preserve"> </w:t>
      </w:r>
      <w:r w:rsidRPr="00FD211F">
        <w:rPr>
          <w:sz w:val="36"/>
          <w:szCs w:val="36"/>
          <w:rtl/>
        </w:rPr>
        <w:t>ما</w:t>
      </w:r>
      <w:r w:rsidR="00BA60F8" w:rsidRPr="00FD211F">
        <w:rPr>
          <w:sz w:val="36"/>
          <w:szCs w:val="36"/>
          <w:rtl/>
        </w:rPr>
        <w:t xml:space="preserve"> </w:t>
      </w:r>
      <w:r w:rsidR="00107FC6" w:rsidRPr="00FD211F">
        <w:rPr>
          <w:sz w:val="36"/>
          <w:szCs w:val="36"/>
          <w:rtl/>
        </w:rPr>
        <w:t>حكي عن السيد</w:t>
      </w:r>
      <w:r w:rsidR="00BA60F8" w:rsidRPr="00FD211F">
        <w:rPr>
          <w:sz w:val="36"/>
          <w:szCs w:val="36"/>
          <w:rtl/>
        </w:rPr>
        <w:t xml:space="preserve"> </w:t>
      </w:r>
      <w:r w:rsidR="00107FC6" w:rsidRPr="00FD211F">
        <w:rPr>
          <w:sz w:val="36"/>
          <w:szCs w:val="36"/>
          <w:rtl/>
        </w:rPr>
        <w:t>الصدر</w:t>
      </w:r>
      <w:r w:rsidR="00BA60F8" w:rsidRPr="00FD211F">
        <w:rPr>
          <w:sz w:val="36"/>
          <w:szCs w:val="36"/>
          <w:rtl/>
        </w:rPr>
        <w:t xml:space="preserve"> </w:t>
      </w:r>
      <w:r w:rsidR="00107FC6" w:rsidRPr="00FD211F">
        <w:rPr>
          <w:sz w:val="36"/>
          <w:szCs w:val="36"/>
          <w:rtl/>
        </w:rPr>
        <w:t>"قده"</w:t>
      </w:r>
      <w:r w:rsidR="00BA60F8" w:rsidRPr="00FD211F">
        <w:rPr>
          <w:sz w:val="36"/>
          <w:szCs w:val="36"/>
          <w:rtl/>
        </w:rPr>
        <w:t xml:space="preserve"> </w:t>
      </w:r>
      <w:r w:rsidRPr="00FD211F">
        <w:rPr>
          <w:sz w:val="36"/>
          <w:szCs w:val="36"/>
          <w:rtl/>
        </w:rPr>
        <w:t xml:space="preserve">من </w:t>
      </w:r>
      <w:r w:rsidR="00107FC6" w:rsidRPr="00FD211F">
        <w:rPr>
          <w:sz w:val="36"/>
          <w:szCs w:val="36"/>
          <w:rtl/>
        </w:rPr>
        <w:t>أنه</w:t>
      </w:r>
      <w:r w:rsidRPr="00FD211F">
        <w:rPr>
          <w:sz w:val="36"/>
          <w:szCs w:val="36"/>
          <w:rtl/>
        </w:rPr>
        <w:t xml:space="preserve"> حيث لايمكن لحاظ المعنى الحرفي مستقلا</w:t>
      </w:r>
      <w:r w:rsidR="00603323" w:rsidRPr="00FD211F">
        <w:rPr>
          <w:sz w:val="36"/>
          <w:szCs w:val="36"/>
          <w:rtl/>
        </w:rPr>
        <w:t xml:space="preserve">، </w:t>
      </w:r>
      <w:r w:rsidR="00107FC6" w:rsidRPr="00FD211F">
        <w:rPr>
          <w:sz w:val="36"/>
          <w:szCs w:val="36"/>
          <w:rtl/>
        </w:rPr>
        <w:t>ففي الامثل</w:t>
      </w:r>
      <w:r w:rsidR="00EC7EDF" w:rsidRPr="00FD211F">
        <w:rPr>
          <w:sz w:val="36"/>
          <w:szCs w:val="36"/>
          <w:rtl/>
        </w:rPr>
        <w:t xml:space="preserve">ة </w:t>
      </w:r>
      <w:r w:rsidR="00107FC6" w:rsidRPr="00FD211F">
        <w:rPr>
          <w:sz w:val="36"/>
          <w:szCs w:val="36"/>
          <w:rtl/>
        </w:rPr>
        <w:t>التي يكون الغرض الاصلي للتفهيم والتفهم هوالمعنى الحرفي فاما</w:t>
      </w:r>
      <w:r w:rsidR="00BA60F8" w:rsidRPr="00FD211F">
        <w:rPr>
          <w:sz w:val="36"/>
          <w:szCs w:val="36"/>
          <w:rtl/>
        </w:rPr>
        <w:t xml:space="preserve"> </w:t>
      </w:r>
      <w:r w:rsidR="00107FC6" w:rsidRPr="00FD211F">
        <w:rPr>
          <w:sz w:val="36"/>
          <w:szCs w:val="36"/>
          <w:rtl/>
        </w:rPr>
        <w:t>ان يكون الملحوظ مفهوما</w:t>
      </w:r>
      <w:r w:rsidR="0024281C" w:rsidRPr="00FD211F">
        <w:rPr>
          <w:sz w:val="36"/>
          <w:szCs w:val="36"/>
          <w:rtl/>
        </w:rPr>
        <w:t xml:space="preserve"> </w:t>
      </w:r>
      <w:r w:rsidR="00107FC6" w:rsidRPr="00FD211F">
        <w:rPr>
          <w:sz w:val="36"/>
          <w:szCs w:val="36"/>
          <w:rtl/>
        </w:rPr>
        <w:t>اسميا</w:t>
      </w:r>
      <w:r w:rsidR="0024281C" w:rsidRPr="00FD211F">
        <w:rPr>
          <w:sz w:val="36"/>
          <w:szCs w:val="36"/>
          <w:rtl/>
        </w:rPr>
        <w:t xml:space="preserve"> </w:t>
      </w:r>
      <w:r w:rsidR="00107FC6" w:rsidRPr="00FD211F">
        <w:rPr>
          <w:sz w:val="36"/>
          <w:szCs w:val="36"/>
          <w:rtl/>
        </w:rPr>
        <w:t>منتزعا</w:t>
      </w:r>
      <w:r w:rsidR="00BA60F8" w:rsidRPr="00FD211F">
        <w:rPr>
          <w:sz w:val="36"/>
          <w:szCs w:val="36"/>
          <w:rtl/>
        </w:rPr>
        <w:t xml:space="preserve"> </w:t>
      </w:r>
      <w:r w:rsidR="00107FC6" w:rsidRPr="00FD211F">
        <w:rPr>
          <w:sz w:val="36"/>
          <w:szCs w:val="36"/>
          <w:rtl/>
        </w:rPr>
        <w:t>عن المعنى الحرفي فيكون الملحوظ في قوله</w:t>
      </w:r>
      <w:r w:rsidR="0024281C" w:rsidRPr="00FD211F">
        <w:rPr>
          <w:sz w:val="36"/>
          <w:szCs w:val="36"/>
          <w:rtl/>
        </w:rPr>
        <w:t xml:space="preserve"> </w:t>
      </w:r>
      <w:r w:rsidR="00107FC6" w:rsidRPr="00FD211F">
        <w:rPr>
          <w:sz w:val="36"/>
          <w:szCs w:val="36"/>
          <w:rtl/>
        </w:rPr>
        <w:t>"هل جاء</w:t>
      </w:r>
      <w:r w:rsidR="0024281C" w:rsidRPr="00FD211F">
        <w:rPr>
          <w:sz w:val="36"/>
          <w:szCs w:val="36"/>
          <w:rtl/>
        </w:rPr>
        <w:t xml:space="preserve"> </w:t>
      </w:r>
      <w:r w:rsidR="00107FC6" w:rsidRPr="00FD211F">
        <w:rPr>
          <w:sz w:val="36"/>
          <w:szCs w:val="36"/>
          <w:rtl/>
        </w:rPr>
        <w:t>زيد</w:t>
      </w:r>
      <w:r w:rsidR="0024281C" w:rsidRPr="00FD211F">
        <w:rPr>
          <w:sz w:val="36"/>
          <w:szCs w:val="36"/>
          <w:rtl/>
        </w:rPr>
        <w:t xml:space="preserve"> </w:t>
      </w:r>
      <w:r w:rsidR="00107FC6" w:rsidRPr="00FD211F">
        <w:rPr>
          <w:sz w:val="36"/>
          <w:szCs w:val="36"/>
          <w:rtl/>
        </w:rPr>
        <w:t>مع عمرو"</w:t>
      </w:r>
      <w:r w:rsidR="0024281C" w:rsidRPr="00FD211F">
        <w:rPr>
          <w:sz w:val="36"/>
          <w:szCs w:val="36"/>
          <w:rtl/>
        </w:rPr>
        <w:t xml:space="preserve"> </w:t>
      </w:r>
      <w:r w:rsidR="00107FC6" w:rsidRPr="00FD211F">
        <w:rPr>
          <w:sz w:val="36"/>
          <w:szCs w:val="36"/>
          <w:rtl/>
        </w:rPr>
        <w:t>أنه هل كان مجيئه مقترنا</w:t>
      </w:r>
      <w:r w:rsidR="0024281C" w:rsidRPr="00FD211F">
        <w:rPr>
          <w:sz w:val="36"/>
          <w:szCs w:val="36"/>
          <w:rtl/>
        </w:rPr>
        <w:t xml:space="preserve"> </w:t>
      </w:r>
      <w:r w:rsidR="00107FC6" w:rsidRPr="00FD211F">
        <w:rPr>
          <w:sz w:val="36"/>
          <w:szCs w:val="36"/>
          <w:rtl/>
        </w:rPr>
        <w:t>مع مجيئ عمرو</w:t>
      </w:r>
      <w:r w:rsidR="00603323" w:rsidRPr="00FD211F">
        <w:rPr>
          <w:sz w:val="36"/>
          <w:szCs w:val="36"/>
          <w:rtl/>
        </w:rPr>
        <w:t xml:space="preserve">، </w:t>
      </w:r>
      <w:r w:rsidR="00107FC6" w:rsidRPr="00FD211F">
        <w:rPr>
          <w:sz w:val="36"/>
          <w:szCs w:val="36"/>
          <w:rtl/>
        </w:rPr>
        <w:t>او</w:t>
      </w:r>
      <w:r w:rsidR="00BA60F8" w:rsidRPr="00FD211F">
        <w:rPr>
          <w:sz w:val="36"/>
          <w:szCs w:val="36"/>
          <w:rtl/>
        </w:rPr>
        <w:t xml:space="preserve"> </w:t>
      </w:r>
      <w:r w:rsidR="00107FC6" w:rsidRPr="00FD211F">
        <w:rPr>
          <w:sz w:val="36"/>
          <w:szCs w:val="36"/>
          <w:rtl/>
        </w:rPr>
        <w:t>يحمل على انه يسئل عن وجود حص</w:t>
      </w:r>
      <w:r w:rsidR="00EC7EDF" w:rsidRPr="00FD211F">
        <w:rPr>
          <w:sz w:val="36"/>
          <w:szCs w:val="36"/>
          <w:rtl/>
        </w:rPr>
        <w:t xml:space="preserve">ة </w:t>
      </w:r>
      <w:r w:rsidR="00107FC6" w:rsidRPr="00FD211F">
        <w:rPr>
          <w:sz w:val="36"/>
          <w:szCs w:val="36"/>
          <w:rtl/>
        </w:rPr>
        <w:t>من المجيئ وهو المجيئ مع عمر</w:t>
      </w:r>
      <w:r w:rsidR="00A00356" w:rsidRPr="00FD211F">
        <w:rPr>
          <w:sz w:val="36"/>
          <w:szCs w:val="36"/>
          <w:rtl/>
        </w:rPr>
        <w:t>و</w:t>
      </w:r>
      <w:r w:rsidR="009C58C8" w:rsidRPr="00FD211F">
        <w:rPr>
          <w:rStyle w:val="a6"/>
          <w:sz w:val="36"/>
          <w:szCs w:val="36"/>
          <w:rtl/>
        </w:rPr>
        <w:t>(</w:t>
      </w:r>
      <w:r w:rsidR="009C58C8" w:rsidRPr="00FD211F">
        <w:rPr>
          <w:rStyle w:val="a6"/>
          <w:sz w:val="36"/>
          <w:szCs w:val="36"/>
          <w:rtl/>
        </w:rPr>
        <w:footnoteReference w:id="158"/>
      </w:r>
      <w:r w:rsidR="009C58C8" w:rsidRPr="00FD211F">
        <w:rPr>
          <w:rStyle w:val="a6"/>
          <w:sz w:val="36"/>
          <w:szCs w:val="36"/>
          <w:rtl/>
        </w:rPr>
        <w:t>)</w:t>
      </w:r>
      <w:r w:rsidR="0024281C" w:rsidRPr="00FD211F">
        <w:rPr>
          <w:sz w:val="36"/>
          <w:szCs w:val="36"/>
          <w:rtl/>
        </w:rPr>
        <w:t xml:space="preserve"> </w:t>
      </w:r>
      <w:r w:rsidR="001F33F2" w:rsidRPr="00FD211F">
        <w:rPr>
          <w:sz w:val="36"/>
          <w:szCs w:val="36"/>
          <w:rtl/>
        </w:rPr>
        <w:t>فهو</w:t>
      </w:r>
      <w:r w:rsidRPr="00FD211F">
        <w:rPr>
          <w:sz w:val="36"/>
          <w:szCs w:val="36"/>
          <w:rtl/>
        </w:rPr>
        <w:t xml:space="preserve"> خلاف المرتكز</w:t>
      </w:r>
      <w:r w:rsidR="00BA60F8" w:rsidRPr="00FD211F">
        <w:rPr>
          <w:sz w:val="36"/>
          <w:szCs w:val="36"/>
          <w:rtl/>
        </w:rPr>
        <w:t xml:space="preserve"> </w:t>
      </w:r>
      <w:r w:rsidRPr="00FD211F">
        <w:rPr>
          <w:sz w:val="36"/>
          <w:szCs w:val="36"/>
          <w:rtl/>
        </w:rPr>
        <w:t>العرفي</w:t>
      </w:r>
      <w:r w:rsidR="001F33F2" w:rsidRPr="00FD211F">
        <w:rPr>
          <w:sz w:val="36"/>
          <w:szCs w:val="36"/>
          <w:rtl/>
        </w:rPr>
        <w:t>.</w:t>
      </w:r>
      <w:r w:rsidRPr="00FD211F">
        <w:rPr>
          <w:sz w:val="36"/>
          <w:szCs w:val="36"/>
          <w:rtl/>
        </w:rPr>
        <w:t xml:space="preserve"> </w:t>
      </w:r>
    </w:p>
    <w:p w14:paraId="73AABE48" w14:textId="77777777" w:rsidR="007F5659" w:rsidRPr="00FD211F" w:rsidRDefault="007F5659" w:rsidP="009C58C8">
      <w:pPr>
        <w:ind w:left="0" w:firstLine="227"/>
        <w:jc w:val="both"/>
        <w:rPr>
          <w:sz w:val="36"/>
          <w:szCs w:val="36"/>
          <w:rtl/>
        </w:rPr>
      </w:pPr>
      <w:r w:rsidRPr="00FD211F">
        <w:rPr>
          <w:sz w:val="36"/>
          <w:szCs w:val="36"/>
          <w:rtl/>
        </w:rPr>
        <w:t xml:space="preserve">7- انه بناء على عدم </w:t>
      </w:r>
      <w:r w:rsidR="00184C09" w:rsidRPr="00FD211F">
        <w:rPr>
          <w:sz w:val="36"/>
          <w:szCs w:val="36"/>
          <w:rtl/>
        </w:rPr>
        <w:t>تبعي</w:t>
      </w:r>
      <w:r w:rsidR="00EC7EDF" w:rsidRPr="00FD211F">
        <w:rPr>
          <w:sz w:val="36"/>
          <w:szCs w:val="36"/>
          <w:rtl/>
        </w:rPr>
        <w:t xml:space="preserve">ة </w:t>
      </w:r>
      <w:r w:rsidR="00184C09" w:rsidRPr="00FD211F">
        <w:rPr>
          <w:sz w:val="36"/>
          <w:szCs w:val="36"/>
          <w:rtl/>
        </w:rPr>
        <w:t>الدلال</w:t>
      </w:r>
      <w:r w:rsidR="00EC7EDF" w:rsidRPr="00FD211F">
        <w:rPr>
          <w:sz w:val="36"/>
          <w:szCs w:val="36"/>
          <w:rtl/>
        </w:rPr>
        <w:t xml:space="preserve">ة </w:t>
      </w:r>
      <w:r w:rsidR="00184C09" w:rsidRPr="00FD211F">
        <w:rPr>
          <w:sz w:val="36"/>
          <w:szCs w:val="36"/>
          <w:rtl/>
        </w:rPr>
        <w:t>الوضعي</w:t>
      </w:r>
      <w:r w:rsidR="00EC7EDF" w:rsidRPr="00FD211F">
        <w:rPr>
          <w:sz w:val="36"/>
          <w:szCs w:val="36"/>
          <w:rtl/>
        </w:rPr>
        <w:t xml:space="preserve">ة </w:t>
      </w:r>
      <w:r w:rsidRPr="00FD211F">
        <w:rPr>
          <w:sz w:val="36"/>
          <w:szCs w:val="36"/>
          <w:rtl/>
        </w:rPr>
        <w:t>للإراد</w:t>
      </w:r>
      <w:r w:rsidR="00EC7EDF" w:rsidRPr="00FD211F">
        <w:rPr>
          <w:sz w:val="36"/>
          <w:szCs w:val="36"/>
          <w:rtl/>
        </w:rPr>
        <w:t xml:space="preserve">ة </w:t>
      </w:r>
      <w:r w:rsidRPr="00FD211F">
        <w:rPr>
          <w:sz w:val="36"/>
          <w:szCs w:val="36"/>
          <w:rtl/>
        </w:rPr>
        <w:t>كما هو مختار صاحب الكفاي</w:t>
      </w:r>
      <w:r w:rsidR="00EC7EDF" w:rsidRPr="00FD211F">
        <w:rPr>
          <w:sz w:val="36"/>
          <w:szCs w:val="36"/>
          <w:rtl/>
        </w:rPr>
        <w:t xml:space="preserve">ة </w:t>
      </w:r>
      <w:r w:rsidR="00184C09" w:rsidRPr="00FD211F">
        <w:rPr>
          <w:sz w:val="36"/>
          <w:szCs w:val="36"/>
          <w:rtl/>
        </w:rPr>
        <w:t>"قده"</w:t>
      </w:r>
      <w:r w:rsidRPr="00FD211F">
        <w:rPr>
          <w:sz w:val="36"/>
          <w:szCs w:val="36"/>
          <w:rtl/>
        </w:rPr>
        <w:t xml:space="preserve"> فلو سمع من تموج الهواء او من النائم جمل</w:t>
      </w:r>
      <w:r w:rsidR="00EC7EDF" w:rsidRPr="00FD211F">
        <w:rPr>
          <w:sz w:val="36"/>
          <w:szCs w:val="36"/>
          <w:rtl/>
        </w:rPr>
        <w:t xml:space="preserve">ة </w:t>
      </w:r>
      <w:r w:rsidRPr="00FD211F">
        <w:rPr>
          <w:sz w:val="36"/>
          <w:szCs w:val="36"/>
          <w:rtl/>
        </w:rPr>
        <w:t>السير من البصر</w:t>
      </w:r>
      <w:r w:rsidR="00EC7EDF" w:rsidRPr="00FD211F">
        <w:rPr>
          <w:sz w:val="36"/>
          <w:szCs w:val="36"/>
          <w:rtl/>
        </w:rPr>
        <w:t>ة</w:t>
      </w:r>
      <w:r w:rsidR="00603323" w:rsidRPr="00FD211F">
        <w:rPr>
          <w:sz w:val="36"/>
          <w:szCs w:val="36"/>
          <w:rtl/>
        </w:rPr>
        <w:t xml:space="preserve">، </w:t>
      </w:r>
      <w:r w:rsidRPr="00FD211F">
        <w:rPr>
          <w:sz w:val="36"/>
          <w:szCs w:val="36"/>
          <w:rtl/>
        </w:rPr>
        <w:t>فلااشكال في انها تدل على معنى مغاير</w:t>
      </w:r>
      <w:r w:rsidR="00B253CE" w:rsidRPr="00FD211F">
        <w:rPr>
          <w:sz w:val="36"/>
          <w:szCs w:val="36"/>
          <w:rtl/>
        </w:rPr>
        <w:t xml:space="preserve"> </w:t>
      </w:r>
      <w:r w:rsidRPr="00FD211F">
        <w:rPr>
          <w:sz w:val="36"/>
          <w:szCs w:val="36"/>
          <w:rtl/>
        </w:rPr>
        <w:t xml:space="preserve">لما لو سمع منه </w:t>
      </w:r>
      <w:r w:rsidR="009421D7" w:rsidRPr="00FD211F">
        <w:rPr>
          <w:sz w:val="36"/>
          <w:szCs w:val="36"/>
          <w:rtl/>
        </w:rPr>
        <w:t>"</w:t>
      </w:r>
      <w:r w:rsidRPr="00FD211F">
        <w:rPr>
          <w:sz w:val="36"/>
          <w:szCs w:val="36"/>
          <w:rtl/>
        </w:rPr>
        <w:t>السير</w:t>
      </w:r>
      <w:r w:rsidR="00603323" w:rsidRPr="00FD211F">
        <w:rPr>
          <w:sz w:val="36"/>
          <w:szCs w:val="36"/>
          <w:rtl/>
        </w:rPr>
        <w:t xml:space="preserve">، </w:t>
      </w:r>
      <w:r w:rsidR="00332BB4" w:rsidRPr="00FD211F">
        <w:rPr>
          <w:sz w:val="36"/>
          <w:szCs w:val="36"/>
          <w:rtl/>
        </w:rPr>
        <w:t>الابتدا</w:t>
      </w:r>
      <w:r w:rsidR="00603323" w:rsidRPr="00FD211F">
        <w:rPr>
          <w:sz w:val="36"/>
          <w:szCs w:val="36"/>
          <w:rtl/>
        </w:rPr>
        <w:t xml:space="preserve">، </w:t>
      </w:r>
      <w:r w:rsidRPr="00FD211F">
        <w:rPr>
          <w:sz w:val="36"/>
          <w:szCs w:val="36"/>
          <w:rtl/>
        </w:rPr>
        <w:t>البصر</w:t>
      </w:r>
      <w:r w:rsidR="00EC7EDF" w:rsidRPr="00FD211F">
        <w:rPr>
          <w:sz w:val="36"/>
          <w:szCs w:val="36"/>
          <w:rtl/>
        </w:rPr>
        <w:t>ة</w:t>
      </w:r>
      <w:r w:rsidR="009421D7" w:rsidRPr="00FD211F">
        <w:rPr>
          <w:sz w:val="36"/>
          <w:szCs w:val="36"/>
          <w:rtl/>
        </w:rPr>
        <w:t>"</w:t>
      </w:r>
      <w:r w:rsidRPr="00FD211F">
        <w:rPr>
          <w:sz w:val="36"/>
          <w:szCs w:val="36"/>
          <w:rtl/>
        </w:rPr>
        <w:t xml:space="preserve"> فهذا يدل على اختلاف المعنيين</w:t>
      </w:r>
      <w:r w:rsidR="00332BB4" w:rsidRPr="00FD211F">
        <w:rPr>
          <w:sz w:val="36"/>
          <w:szCs w:val="36"/>
          <w:rtl/>
        </w:rPr>
        <w:t xml:space="preserve"> في حد</w:t>
      </w:r>
      <w:r w:rsidR="00BA60F8" w:rsidRPr="00FD211F">
        <w:rPr>
          <w:sz w:val="36"/>
          <w:szCs w:val="36"/>
          <w:rtl/>
        </w:rPr>
        <w:t xml:space="preserve"> </w:t>
      </w:r>
      <w:r w:rsidR="00332BB4" w:rsidRPr="00FD211F">
        <w:rPr>
          <w:sz w:val="36"/>
          <w:szCs w:val="36"/>
          <w:rtl/>
        </w:rPr>
        <w:t>ذاتهما</w:t>
      </w:r>
      <w:r w:rsidR="00603323" w:rsidRPr="00FD211F">
        <w:rPr>
          <w:sz w:val="36"/>
          <w:szCs w:val="36"/>
          <w:rtl/>
        </w:rPr>
        <w:t xml:space="preserve">، </w:t>
      </w:r>
      <w:r w:rsidR="00332BB4" w:rsidRPr="00FD211F">
        <w:rPr>
          <w:sz w:val="36"/>
          <w:szCs w:val="36"/>
          <w:rtl/>
        </w:rPr>
        <w:t>بعد</w:t>
      </w:r>
      <w:r w:rsidRPr="00FD211F">
        <w:rPr>
          <w:sz w:val="36"/>
          <w:szCs w:val="36"/>
          <w:rtl/>
        </w:rPr>
        <w:t xml:space="preserve"> فرض عدم لحاظ المتكلم للمعنى ابدا</w:t>
      </w:r>
      <w:r w:rsidR="00603323" w:rsidRPr="00FD211F">
        <w:rPr>
          <w:sz w:val="36"/>
          <w:szCs w:val="36"/>
          <w:rtl/>
        </w:rPr>
        <w:t xml:space="preserve">، </w:t>
      </w:r>
      <w:r w:rsidRPr="00FD211F">
        <w:rPr>
          <w:sz w:val="36"/>
          <w:szCs w:val="36"/>
          <w:rtl/>
        </w:rPr>
        <w:t>فضلا عن كون لحاظه آليا او استقلاليا.</w:t>
      </w:r>
    </w:p>
    <w:p w14:paraId="7852CA49" w14:textId="77777777" w:rsidR="007F5659" w:rsidRPr="00FD211F" w:rsidRDefault="007F5659" w:rsidP="009C58C8">
      <w:pPr>
        <w:ind w:left="0" w:firstLine="227"/>
        <w:jc w:val="both"/>
        <w:rPr>
          <w:sz w:val="36"/>
          <w:szCs w:val="36"/>
          <w:rtl/>
        </w:rPr>
      </w:pPr>
      <w:r w:rsidRPr="00FD211F">
        <w:rPr>
          <w:sz w:val="36"/>
          <w:szCs w:val="36"/>
          <w:rtl/>
        </w:rPr>
        <w:t>8- ان المعنى الحرفي مما يحتاج اليه في ايجاد الربط بين مفردات الجمل</w:t>
      </w:r>
      <w:r w:rsidR="00EC7EDF" w:rsidRPr="00FD211F">
        <w:rPr>
          <w:sz w:val="36"/>
          <w:szCs w:val="36"/>
          <w:rtl/>
        </w:rPr>
        <w:t>ة</w:t>
      </w:r>
      <w:r w:rsidR="00603323" w:rsidRPr="00FD211F">
        <w:rPr>
          <w:sz w:val="36"/>
          <w:szCs w:val="36"/>
          <w:rtl/>
        </w:rPr>
        <w:t xml:space="preserve">، </w:t>
      </w:r>
      <w:r w:rsidRPr="00FD211F">
        <w:rPr>
          <w:sz w:val="36"/>
          <w:szCs w:val="36"/>
          <w:rtl/>
        </w:rPr>
        <w:t>فلابد ان يكو</w:t>
      </w:r>
      <w:r w:rsidR="00530045" w:rsidRPr="00FD211F">
        <w:rPr>
          <w:sz w:val="36"/>
          <w:szCs w:val="36"/>
          <w:rtl/>
        </w:rPr>
        <w:t xml:space="preserve">ن المعنى الحرفي عين الربط والا </w:t>
      </w:r>
      <w:r w:rsidRPr="00FD211F">
        <w:rPr>
          <w:sz w:val="36"/>
          <w:szCs w:val="36"/>
          <w:rtl/>
        </w:rPr>
        <w:t>احتاج الى رابط آخر يربطه بمفردات الجمل</w:t>
      </w:r>
      <w:r w:rsidR="00EC7EDF" w:rsidRPr="00FD211F">
        <w:rPr>
          <w:sz w:val="36"/>
          <w:szCs w:val="36"/>
          <w:rtl/>
        </w:rPr>
        <w:t>ة</w:t>
      </w:r>
      <w:r w:rsidR="00603323" w:rsidRPr="00FD211F">
        <w:rPr>
          <w:sz w:val="36"/>
          <w:szCs w:val="36"/>
          <w:rtl/>
        </w:rPr>
        <w:t xml:space="preserve">، </w:t>
      </w:r>
      <w:r w:rsidRPr="00FD211F">
        <w:rPr>
          <w:sz w:val="36"/>
          <w:szCs w:val="36"/>
          <w:rtl/>
        </w:rPr>
        <w:t>وأما المفهوم الاسمي كمفهوم الابتداء فلايمكن ان يكون رابطا بين مفردات الجمل</w:t>
      </w:r>
      <w:r w:rsidR="00EC7EDF" w:rsidRPr="00FD211F">
        <w:rPr>
          <w:sz w:val="36"/>
          <w:szCs w:val="36"/>
          <w:rtl/>
        </w:rPr>
        <w:t>ة</w:t>
      </w:r>
      <w:r w:rsidR="00603323" w:rsidRPr="00FD211F">
        <w:rPr>
          <w:sz w:val="36"/>
          <w:szCs w:val="36"/>
          <w:rtl/>
        </w:rPr>
        <w:t xml:space="preserve">، </w:t>
      </w:r>
      <w:r w:rsidRPr="00FD211F">
        <w:rPr>
          <w:sz w:val="36"/>
          <w:szCs w:val="36"/>
          <w:rtl/>
        </w:rPr>
        <w:t>وهذا يكشف عن مغاير</w:t>
      </w:r>
      <w:r w:rsidR="00EC7EDF" w:rsidRPr="00FD211F">
        <w:rPr>
          <w:sz w:val="36"/>
          <w:szCs w:val="36"/>
          <w:rtl/>
        </w:rPr>
        <w:t xml:space="preserve">ة </w:t>
      </w:r>
      <w:r w:rsidRPr="00FD211F">
        <w:rPr>
          <w:sz w:val="36"/>
          <w:szCs w:val="36"/>
          <w:rtl/>
        </w:rPr>
        <w:t>المعنى الحرفي مع المعنى الاسمي ذاتا.</w:t>
      </w:r>
    </w:p>
    <w:p w14:paraId="1B2755B9" w14:textId="77777777" w:rsidR="007F5659" w:rsidRPr="00FD211F" w:rsidRDefault="00505CC0" w:rsidP="009C58C8">
      <w:pPr>
        <w:pStyle w:val="3"/>
        <w:ind w:firstLine="227"/>
        <w:jc w:val="both"/>
        <w:rPr>
          <w:rtl/>
        </w:rPr>
      </w:pPr>
      <w:bookmarkStart w:id="164" w:name="درس080"/>
      <w:bookmarkStart w:id="165" w:name="_Toc192092864"/>
      <w:bookmarkStart w:id="166" w:name="_Toc223890338"/>
      <w:bookmarkEnd w:id="164"/>
      <w:r w:rsidRPr="00FD211F">
        <w:rPr>
          <w:rtl/>
        </w:rPr>
        <w:t>اختلاف</w:t>
      </w:r>
      <w:r w:rsidR="007F5659" w:rsidRPr="00FD211F">
        <w:rPr>
          <w:rtl/>
        </w:rPr>
        <w:t xml:space="preserve"> المعنى الحرفي والاسمي</w:t>
      </w:r>
      <w:bookmarkEnd w:id="165"/>
      <w:bookmarkEnd w:id="166"/>
      <w:r w:rsidR="007F5659" w:rsidRPr="00FD211F">
        <w:rPr>
          <w:rtl/>
        </w:rPr>
        <w:t xml:space="preserve"> </w:t>
      </w:r>
    </w:p>
    <w:p w14:paraId="4F104FC8" w14:textId="77777777" w:rsidR="007F5659" w:rsidRPr="00FD211F" w:rsidRDefault="007F5659" w:rsidP="009C58C8">
      <w:pPr>
        <w:ind w:left="0" w:firstLine="227"/>
        <w:jc w:val="both"/>
        <w:rPr>
          <w:sz w:val="36"/>
          <w:szCs w:val="36"/>
          <w:rtl/>
        </w:rPr>
      </w:pPr>
      <w:r w:rsidRPr="00FD211F">
        <w:rPr>
          <w:b/>
          <w:bCs/>
          <w:sz w:val="36"/>
          <w:szCs w:val="36"/>
          <w:rtl/>
        </w:rPr>
        <w:t>المسلك الثالث</w:t>
      </w:r>
      <w:r w:rsidRPr="00FD211F">
        <w:rPr>
          <w:sz w:val="36"/>
          <w:szCs w:val="36"/>
          <w:rtl/>
        </w:rPr>
        <w:t xml:space="preserve">: وهو </w:t>
      </w:r>
      <w:r w:rsidR="00505CC0" w:rsidRPr="00FD211F">
        <w:rPr>
          <w:sz w:val="36"/>
          <w:szCs w:val="36"/>
          <w:rtl/>
        </w:rPr>
        <w:t>اختلاف</w:t>
      </w:r>
      <w:r w:rsidRPr="00FD211F">
        <w:rPr>
          <w:sz w:val="36"/>
          <w:szCs w:val="36"/>
          <w:rtl/>
        </w:rPr>
        <w:t xml:space="preserve"> المعنى الحرفي والاسمي</w:t>
      </w:r>
      <w:r w:rsidR="00603323" w:rsidRPr="00FD211F">
        <w:rPr>
          <w:sz w:val="36"/>
          <w:szCs w:val="36"/>
          <w:rtl/>
        </w:rPr>
        <w:t xml:space="preserve">، </w:t>
      </w:r>
      <w:r w:rsidRPr="00FD211F">
        <w:rPr>
          <w:sz w:val="36"/>
          <w:szCs w:val="36"/>
          <w:rtl/>
        </w:rPr>
        <w:t>فقد اختلف اصحاب هذا المسلك في تصويره على اقوال.</w:t>
      </w:r>
    </w:p>
    <w:p w14:paraId="3FD180A0" w14:textId="77777777" w:rsidR="007F5659" w:rsidRPr="00FD211F" w:rsidRDefault="007F5659" w:rsidP="009C58C8">
      <w:pPr>
        <w:pStyle w:val="3"/>
        <w:ind w:firstLine="227"/>
        <w:jc w:val="both"/>
        <w:rPr>
          <w:rtl/>
        </w:rPr>
      </w:pPr>
      <w:bookmarkStart w:id="167" w:name="_Toc192092865"/>
      <w:bookmarkStart w:id="168" w:name="_Toc223890339"/>
      <w:r w:rsidRPr="00FD211F">
        <w:rPr>
          <w:rtl/>
        </w:rPr>
        <w:t>1- ايجادي</w:t>
      </w:r>
      <w:r w:rsidR="00EC7EDF" w:rsidRPr="00FD211F">
        <w:rPr>
          <w:rtl/>
        </w:rPr>
        <w:t xml:space="preserve">ة </w:t>
      </w:r>
      <w:r w:rsidRPr="00FD211F">
        <w:rPr>
          <w:rtl/>
        </w:rPr>
        <w:t>الحروف</w:t>
      </w:r>
      <w:bookmarkEnd w:id="167"/>
      <w:bookmarkEnd w:id="168"/>
    </w:p>
    <w:p w14:paraId="63405337" w14:textId="77777777" w:rsidR="00E129D6" w:rsidRPr="00FD211F" w:rsidRDefault="007F5659" w:rsidP="009C58C8">
      <w:pPr>
        <w:ind w:left="0" w:firstLine="227"/>
        <w:jc w:val="both"/>
        <w:rPr>
          <w:sz w:val="36"/>
          <w:szCs w:val="36"/>
          <w:rtl/>
        </w:rPr>
      </w:pPr>
      <w:r w:rsidRPr="00FD211F">
        <w:rPr>
          <w:b/>
          <w:bCs/>
          <w:sz w:val="36"/>
          <w:szCs w:val="36"/>
          <w:rtl/>
        </w:rPr>
        <w:t>القول الأول</w:t>
      </w:r>
      <w:r w:rsidRPr="00FD211F">
        <w:rPr>
          <w:sz w:val="36"/>
          <w:szCs w:val="36"/>
          <w:rtl/>
        </w:rPr>
        <w:t>: ما اختاره المحقق النائيني</w:t>
      </w:r>
      <w:r w:rsidR="00A61BAE" w:rsidRPr="00FD211F">
        <w:rPr>
          <w:sz w:val="36"/>
          <w:szCs w:val="36"/>
          <w:rtl/>
        </w:rPr>
        <w:t xml:space="preserve"> </w:t>
      </w:r>
      <w:r w:rsidR="0024281C" w:rsidRPr="00FD211F">
        <w:rPr>
          <w:sz w:val="36"/>
          <w:szCs w:val="36"/>
          <w:rtl/>
        </w:rPr>
        <w:t>"قده"</w:t>
      </w:r>
      <w:r w:rsidR="00A61BAE" w:rsidRPr="00FD211F">
        <w:rPr>
          <w:sz w:val="36"/>
          <w:szCs w:val="36"/>
          <w:rtl/>
        </w:rPr>
        <w:t xml:space="preserve"> </w:t>
      </w:r>
      <w:r w:rsidRPr="00FD211F">
        <w:rPr>
          <w:sz w:val="36"/>
          <w:szCs w:val="36"/>
          <w:rtl/>
        </w:rPr>
        <w:t>من كون المعنى الحرفي ايجاديا والمعنى الاسمي اخطاريا</w:t>
      </w:r>
      <w:r w:rsidR="00603323" w:rsidRPr="00FD211F">
        <w:rPr>
          <w:sz w:val="36"/>
          <w:szCs w:val="36"/>
          <w:rtl/>
        </w:rPr>
        <w:t xml:space="preserve">، </w:t>
      </w:r>
      <w:r w:rsidRPr="00FD211F">
        <w:rPr>
          <w:sz w:val="36"/>
          <w:szCs w:val="36"/>
          <w:rtl/>
        </w:rPr>
        <w:t xml:space="preserve">فانه عند التلفظ بالأسماء </w:t>
      </w:r>
      <w:r w:rsidR="00D21772" w:rsidRPr="00FD211F">
        <w:rPr>
          <w:sz w:val="36"/>
          <w:szCs w:val="36"/>
          <w:rtl/>
        </w:rPr>
        <w:t>-</w:t>
      </w:r>
      <w:r w:rsidR="00C17867" w:rsidRPr="00FD211F">
        <w:rPr>
          <w:sz w:val="36"/>
          <w:szCs w:val="36"/>
          <w:rtl/>
        </w:rPr>
        <w:t>كلفظ الماء</w:t>
      </w:r>
      <w:r w:rsidR="00D21772" w:rsidRPr="00FD211F">
        <w:rPr>
          <w:sz w:val="36"/>
          <w:szCs w:val="36"/>
          <w:rtl/>
        </w:rPr>
        <w:t>-</w:t>
      </w:r>
      <w:r w:rsidRPr="00FD211F">
        <w:rPr>
          <w:sz w:val="36"/>
          <w:szCs w:val="36"/>
          <w:rtl/>
        </w:rPr>
        <w:t>يخطر معانيها في الذهن</w:t>
      </w:r>
      <w:r w:rsidR="00603323" w:rsidRPr="00FD211F">
        <w:rPr>
          <w:sz w:val="36"/>
          <w:szCs w:val="36"/>
          <w:rtl/>
        </w:rPr>
        <w:t xml:space="preserve">، </w:t>
      </w:r>
      <w:r w:rsidRPr="00FD211F">
        <w:rPr>
          <w:sz w:val="36"/>
          <w:szCs w:val="36"/>
          <w:rtl/>
        </w:rPr>
        <w:t>سواء كانت في ضمن تركيب كلامي ام كانت وحدها</w:t>
      </w:r>
      <w:r w:rsidR="00603323" w:rsidRPr="00FD211F">
        <w:rPr>
          <w:sz w:val="36"/>
          <w:szCs w:val="36"/>
          <w:rtl/>
        </w:rPr>
        <w:t xml:space="preserve">، </w:t>
      </w:r>
      <w:r w:rsidRPr="00FD211F">
        <w:rPr>
          <w:sz w:val="36"/>
          <w:szCs w:val="36"/>
          <w:rtl/>
        </w:rPr>
        <w:t xml:space="preserve">بخلاف الحروف فانها بنفسها لاتوجب خطور معانيها في </w:t>
      </w:r>
      <w:r w:rsidR="00C17867" w:rsidRPr="00FD211F">
        <w:rPr>
          <w:sz w:val="36"/>
          <w:szCs w:val="36"/>
          <w:rtl/>
        </w:rPr>
        <w:t>ذهن المخاطب مالم تكن في ضمن تركيب كلامي</w:t>
      </w:r>
      <w:r w:rsidR="00603323" w:rsidRPr="00FD211F">
        <w:rPr>
          <w:sz w:val="36"/>
          <w:szCs w:val="36"/>
          <w:rtl/>
        </w:rPr>
        <w:t xml:space="preserve">، </w:t>
      </w:r>
      <w:r w:rsidRPr="00FD211F">
        <w:rPr>
          <w:sz w:val="36"/>
          <w:szCs w:val="36"/>
          <w:rtl/>
        </w:rPr>
        <w:t xml:space="preserve">والحروف </w:t>
      </w:r>
      <w:r w:rsidR="00E4389F" w:rsidRPr="00FD211F">
        <w:rPr>
          <w:sz w:val="36"/>
          <w:szCs w:val="36"/>
          <w:rtl/>
        </w:rPr>
        <w:t>باجمعها</w:t>
      </w:r>
      <w:r w:rsidR="0024281C" w:rsidRPr="00FD211F">
        <w:rPr>
          <w:sz w:val="36"/>
          <w:szCs w:val="36"/>
          <w:rtl/>
        </w:rPr>
        <w:t xml:space="preserve"> </w:t>
      </w:r>
      <w:r w:rsidR="00E4389F" w:rsidRPr="00FD211F">
        <w:rPr>
          <w:sz w:val="36"/>
          <w:szCs w:val="36"/>
          <w:rtl/>
        </w:rPr>
        <w:t>ايجادي</w:t>
      </w:r>
      <w:r w:rsidR="00EC7EDF" w:rsidRPr="00FD211F">
        <w:rPr>
          <w:sz w:val="36"/>
          <w:szCs w:val="36"/>
          <w:rtl/>
        </w:rPr>
        <w:t xml:space="preserve">ة </w:t>
      </w:r>
      <w:r w:rsidR="00E4389F" w:rsidRPr="00FD211F">
        <w:rPr>
          <w:sz w:val="36"/>
          <w:szCs w:val="36"/>
          <w:rtl/>
        </w:rPr>
        <w:t>بمعنى انها</w:t>
      </w:r>
      <w:r w:rsidR="0024281C" w:rsidRPr="00FD211F">
        <w:rPr>
          <w:sz w:val="36"/>
          <w:szCs w:val="36"/>
          <w:rtl/>
        </w:rPr>
        <w:t xml:space="preserve"> </w:t>
      </w:r>
      <w:r w:rsidR="00E4389F" w:rsidRPr="00FD211F">
        <w:rPr>
          <w:sz w:val="36"/>
          <w:szCs w:val="36"/>
          <w:rtl/>
        </w:rPr>
        <w:t>توجد</w:t>
      </w:r>
      <w:r w:rsidR="0024281C" w:rsidRPr="00FD211F">
        <w:rPr>
          <w:sz w:val="36"/>
          <w:szCs w:val="36"/>
          <w:rtl/>
        </w:rPr>
        <w:t xml:space="preserve"> </w:t>
      </w:r>
      <w:r w:rsidR="00E4389F" w:rsidRPr="00FD211F">
        <w:rPr>
          <w:sz w:val="36"/>
          <w:szCs w:val="36"/>
          <w:rtl/>
        </w:rPr>
        <w:t>الربط الكلامي بين مفهومين لاربط بينهما</w:t>
      </w:r>
      <w:r w:rsidR="0024281C" w:rsidRPr="00FD211F">
        <w:rPr>
          <w:sz w:val="36"/>
          <w:szCs w:val="36"/>
          <w:rtl/>
        </w:rPr>
        <w:t xml:space="preserve"> </w:t>
      </w:r>
      <w:r w:rsidR="00E4389F" w:rsidRPr="00FD211F">
        <w:rPr>
          <w:sz w:val="36"/>
          <w:szCs w:val="36"/>
          <w:rtl/>
        </w:rPr>
        <w:t>كلفظ زيد</w:t>
      </w:r>
      <w:r w:rsidR="0024281C" w:rsidRPr="00FD211F">
        <w:rPr>
          <w:sz w:val="36"/>
          <w:szCs w:val="36"/>
          <w:rtl/>
        </w:rPr>
        <w:t xml:space="preserve"> </w:t>
      </w:r>
      <w:r w:rsidR="00E4389F" w:rsidRPr="00FD211F">
        <w:rPr>
          <w:sz w:val="36"/>
          <w:szCs w:val="36"/>
          <w:rtl/>
        </w:rPr>
        <w:t>والدار</w:t>
      </w:r>
      <w:r w:rsidR="00603323" w:rsidRPr="00FD211F">
        <w:rPr>
          <w:sz w:val="36"/>
          <w:szCs w:val="36"/>
          <w:rtl/>
        </w:rPr>
        <w:t xml:space="preserve">، </w:t>
      </w:r>
      <w:r w:rsidR="00E4389F" w:rsidRPr="00FD211F">
        <w:rPr>
          <w:sz w:val="36"/>
          <w:szCs w:val="36"/>
          <w:rtl/>
        </w:rPr>
        <w:t>فكلم</w:t>
      </w:r>
      <w:r w:rsidR="00EC7EDF" w:rsidRPr="00FD211F">
        <w:rPr>
          <w:sz w:val="36"/>
          <w:szCs w:val="36"/>
          <w:rtl/>
        </w:rPr>
        <w:t xml:space="preserve">ة </w:t>
      </w:r>
      <w:r w:rsidR="00E4389F" w:rsidRPr="00FD211F">
        <w:rPr>
          <w:sz w:val="36"/>
          <w:szCs w:val="36"/>
          <w:rtl/>
        </w:rPr>
        <w:t>"في"</w:t>
      </w:r>
      <w:r w:rsidR="0024281C" w:rsidRPr="00FD211F">
        <w:rPr>
          <w:sz w:val="36"/>
          <w:szCs w:val="36"/>
          <w:rtl/>
        </w:rPr>
        <w:t xml:space="preserve"> </w:t>
      </w:r>
      <w:r w:rsidR="00E4389F" w:rsidRPr="00FD211F">
        <w:rPr>
          <w:sz w:val="36"/>
          <w:szCs w:val="36"/>
          <w:rtl/>
        </w:rPr>
        <w:t>توجد</w:t>
      </w:r>
      <w:r w:rsidR="0024281C" w:rsidRPr="00FD211F">
        <w:rPr>
          <w:sz w:val="36"/>
          <w:szCs w:val="36"/>
          <w:rtl/>
        </w:rPr>
        <w:t xml:space="preserve"> </w:t>
      </w:r>
      <w:r w:rsidR="00E4389F" w:rsidRPr="00FD211F">
        <w:rPr>
          <w:sz w:val="36"/>
          <w:szCs w:val="36"/>
          <w:rtl/>
        </w:rPr>
        <w:t>الربط الظرفي بينهما</w:t>
      </w:r>
      <w:r w:rsidR="0024281C" w:rsidRPr="00FD211F">
        <w:rPr>
          <w:sz w:val="36"/>
          <w:szCs w:val="36"/>
          <w:rtl/>
        </w:rPr>
        <w:t xml:space="preserve"> </w:t>
      </w:r>
      <w:r w:rsidR="00E4389F" w:rsidRPr="00FD211F">
        <w:rPr>
          <w:sz w:val="36"/>
          <w:szCs w:val="36"/>
          <w:rtl/>
        </w:rPr>
        <w:t>في مقام الاستعمال وهذه النسب</w:t>
      </w:r>
      <w:r w:rsidR="00EC7EDF" w:rsidRPr="00FD211F">
        <w:rPr>
          <w:sz w:val="36"/>
          <w:szCs w:val="36"/>
          <w:rtl/>
        </w:rPr>
        <w:t xml:space="preserve">ة </w:t>
      </w:r>
      <w:r w:rsidR="00E4389F" w:rsidRPr="00FD211F">
        <w:rPr>
          <w:sz w:val="36"/>
          <w:szCs w:val="36"/>
          <w:rtl/>
        </w:rPr>
        <w:t>الظرفي</w:t>
      </w:r>
      <w:r w:rsidR="00EC7EDF" w:rsidRPr="00FD211F">
        <w:rPr>
          <w:sz w:val="36"/>
          <w:szCs w:val="36"/>
          <w:rtl/>
        </w:rPr>
        <w:t xml:space="preserve">ة </w:t>
      </w:r>
      <w:r w:rsidR="009D5C10" w:rsidRPr="00FD211F">
        <w:rPr>
          <w:sz w:val="36"/>
          <w:szCs w:val="36"/>
          <w:rtl/>
        </w:rPr>
        <w:t>الكلامي</w:t>
      </w:r>
      <w:r w:rsidR="00EC7EDF" w:rsidRPr="00FD211F">
        <w:rPr>
          <w:sz w:val="36"/>
          <w:szCs w:val="36"/>
          <w:rtl/>
        </w:rPr>
        <w:t xml:space="preserve">ة </w:t>
      </w:r>
      <w:r w:rsidR="009D5C10" w:rsidRPr="00FD211F">
        <w:rPr>
          <w:sz w:val="36"/>
          <w:szCs w:val="36"/>
          <w:rtl/>
        </w:rPr>
        <w:t>تحكي عن النسب</w:t>
      </w:r>
      <w:r w:rsidR="00EC7EDF" w:rsidRPr="00FD211F">
        <w:rPr>
          <w:sz w:val="36"/>
          <w:szCs w:val="36"/>
          <w:rtl/>
        </w:rPr>
        <w:t xml:space="preserve">ة </w:t>
      </w:r>
      <w:r w:rsidR="009D5C10" w:rsidRPr="00FD211F">
        <w:rPr>
          <w:sz w:val="36"/>
          <w:szCs w:val="36"/>
          <w:rtl/>
        </w:rPr>
        <w:t>الظرفي</w:t>
      </w:r>
      <w:r w:rsidR="00EC7EDF" w:rsidRPr="00FD211F">
        <w:rPr>
          <w:sz w:val="36"/>
          <w:szCs w:val="36"/>
          <w:rtl/>
        </w:rPr>
        <w:t xml:space="preserve">ة </w:t>
      </w:r>
      <w:r w:rsidR="009D5C10" w:rsidRPr="00FD211F">
        <w:rPr>
          <w:sz w:val="36"/>
          <w:szCs w:val="36"/>
          <w:rtl/>
        </w:rPr>
        <w:t>الخارجي</w:t>
      </w:r>
      <w:r w:rsidR="00EC7EDF" w:rsidRPr="00FD211F">
        <w:rPr>
          <w:sz w:val="36"/>
          <w:szCs w:val="36"/>
          <w:rtl/>
        </w:rPr>
        <w:t xml:space="preserve">ة </w:t>
      </w:r>
      <w:r w:rsidR="009D5C10" w:rsidRPr="00FD211F">
        <w:rPr>
          <w:sz w:val="36"/>
          <w:szCs w:val="36"/>
          <w:rtl/>
        </w:rPr>
        <w:t>فتطابقها</w:t>
      </w:r>
      <w:r w:rsidR="00D90A61" w:rsidRPr="00FD211F">
        <w:rPr>
          <w:sz w:val="36"/>
          <w:szCs w:val="36"/>
          <w:rtl/>
        </w:rPr>
        <w:t xml:space="preserve"> </w:t>
      </w:r>
      <w:r w:rsidR="009D5C10" w:rsidRPr="00FD211F">
        <w:rPr>
          <w:sz w:val="36"/>
          <w:szCs w:val="36"/>
          <w:rtl/>
        </w:rPr>
        <w:t>فيما</w:t>
      </w:r>
      <w:r w:rsidR="00D90A61" w:rsidRPr="00FD211F">
        <w:rPr>
          <w:sz w:val="36"/>
          <w:szCs w:val="36"/>
          <w:rtl/>
        </w:rPr>
        <w:t xml:space="preserve"> </w:t>
      </w:r>
      <w:r w:rsidR="009D5C10" w:rsidRPr="00FD211F">
        <w:rPr>
          <w:sz w:val="36"/>
          <w:szCs w:val="36"/>
          <w:rtl/>
        </w:rPr>
        <w:t>كان</w:t>
      </w:r>
      <w:r w:rsidR="00E859D7" w:rsidRPr="00FD211F">
        <w:rPr>
          <w:sz w:val="36"/>
          <w:szCs w:val="36"/>
          <w:rtl/>
        </w:rPr>
        <w:t xml:space="preserve"> الخبر</w:t>
      </w:r>
      <w:r w:rsidR="0024281C" w:rsidRPr="00FD211F">
        <w:rPr>
          <w:sz w:val="36"/>
          <w:szCs w:val="36"/>
          <w:rtl/>
        </w:rPr>
        <w:t xml:space="preserve"> </w:t>
      </w:r>
      <w:r w:rsidR="00E859D7" w:rsidRPr="00FD211F">
        <w:rPr>
          <w:sz w:val="36"/>
          <w:szCs w:val="36"/>
          <w:rtl/>
        </w:rPr>
        <w:t>صادقا</w:t>
      </w:r>
      <w:r w:rsidR="0024281C" w:rsidRPr="00FD211F">
        <w:rPr>
          <w:sz w:val="36"/>
          <w:szCs w:val="36"/>
          <w:rtl/>
        </w:rPr>
        <w:t xml:space="preserve"> </w:t>
      </w:r>
      <w:r w:rsidR="00E859D7" w:rsidRPr="00FD211F">
        <w:rPr>
          <w:sz w:val="36"/>
          <w:szCs w:val="36"/>
          <w:rtl/>
        </w:rPr>
        <w:t>وتخالفها</w:t>
      </w:r>
      <w:r w:rsidR="0024281C" w:rsidRPr="00FD211F">
        <w:rPr>
          <w:sz w:val="36"/>
          <w:szCs w:val="36"/>
          <w:rtl/>
        </w:rPr>
        <w:t xml:space="preserve"> </w:t>
      </w:r>
      <w:r w:rsidR="00E859D7" w:rsidRPr="00FD211F">
        <w:rPr>
          <w:sz w:val="36"/>
          <w:szCs w:val="36"/>
          <w:rtl/>
        </w:rPr>
        <w:t>فيماكان</w:t>
      </w:r>
      <w:r w:rsidR="00B253CE" w:rsidRPr="00FD211F">
        <w:rPr>
          <w:sz w:val="36"/>
          <w:szCs w:val="36"/>
          <w:rtl/>
        </w:rPr>
        <w:t xml:space="preserve"> </w:t>
      </w:r>
      <w:r w:rsidR="009D5C10" w:rsidRPr="00FD211F">
        <w:rPr>
          <w:sz w:val="36"/>
          <w:szCs w:val="36"/>
          <w:rtl/>
        </w:rPr>
        <w:t>الخبركاذبا</w:t>
      </w:r>
      <w:r w:rsidR="00EC7EDF" w:rsidRPr="00FD211F">
        <w:rPr>
          <w:sz w:val="36"/>
          <w:szCs w:val="36"/>
          <w:rtl/>
        </w:rPr>
        <w:t xml:space="preserve"> و</w:t>
      </w:r>
      <w:r w:rsidR="009D5C10" w:rsidRPr="00FD211F">
        <w:rPr>
          <w:sz w:val="36"/>
          <w:szCs w:val="36"/>
          <w:rtl/>
        </w:rPr>
        <w:t>المطابق</w:t>
      </w:r>
      <w:r w:rsidR="00EC7EDF" w:rsidRPr="00FD211F">
        <w:rPr>
          <w:sz w:val="36"/>
          <w:szCs w:val="36"/>
          <w:rtl/>
        </w:rPr>
        <w:t xml:space="preserve">ة </w:t>
      </w:r>
      <w:r w:rsidR="009D5C10" w:rsidRPr="00FD211F">
        <w:rPr>
          <w:sz w:val="36"/>
          <w:szCs w:val="36"/>
          <w:rtl/>
        </w:rPr>
        <w:t>بينهما</w:t>
      </w:r>
      <w:r w:rsidR="00D90A61" w:rsidRPr="00FD211F">
        <w:rPr>
          <w:sz w:val="36"/>
          <w:szCs w:val="36"/>
          <w:rtl/>
        </w:rPr>
        <w:t xml:space="preserve"> </w:t>
      </w:r>
      <w:r w:rsidR="009D5C10" w:rsidRPr="00FD211F">
        <w:rPr>
          <w:sz w:val="36"/>
          <w:szCs w:val="36"/>
          <w:rtl/>
        </w:rPr>
        <w:t>لي</w:t>
      </w:r>
      <w:r w:rsidR="0058005C" w:rsidRPr="00FD211F">
        <w:rPr>
          <w:sz w:val="36"/>
          <w:szCs w:val="36"/>
          <w:rtl/>
        </w:rPr>
        <w:t>ست</w:t>
      </w:r>
      <w:r w:rsidR="00D90A61" w:rsidRPr="00FD211F">
        <w:rPr>
          <w:sz w:val="36"/>
          <w:szCs w:val="36"/>
          <w:rtl/>
        </w:rPr>
        <w:t xml:space="preserve"> </w:t>
      </w:r>
      <w:r w:rsidRPr="00FD211F">
        <w:rPr>
          <w:sz w:val="36"/>
          <w:szCs w:val="36"/>
          <w:rtl/>
        </w:rPr>
        <w:t>كمطابق</w:t>
      </w:r>
      <w:r w:rsidR="00EC7EDF" w:rsidRPr="00FD211F">
        <w:rPr>
          <w:sz w:val="36"/>
          <w:szCs w:val="36"/>
          <w:rtl/>
        </w:rPr>
        <w:t xml:space="preserve">ة </w:t>
      </w:r>
      <w:r w:rsidRPr="00FD211F">
        <w:rPr>
          <w:sz w:val="36"/>
          <w:szCs w:val="36"/>
          <w:rtl/>
        </w:rPr>
        <w:t>الكلي وفرده</w:t>
      </w:r>
      <w:r w:rsidR="00603323" w:rsidRPr="00FD211F">
        <w:rPr>
          <w:sz w:val="36"/>
          <w:szCs w:val="36"/>
          <w:rtl/>
        </w:rPr>
        <w:t xml:space="preserve">، </w:t>
      </w:r>
      <w:r w:rsidRPr="00FD211F">
        <w:rPr>
          <w:sz w:val="36"/>
          <w:szCs w:val="36"/>
          <w:rtl/>
        </w:rPr>
        <w:t>بل كمطابق</w:t>
      </w:r>
      <w:r w:rsidR="00EC7EDF" w:rsidRPr="00FD211F">
        <w:rPr>
          <w:sz w:val="36"/>
          <w:szCs w:val="36"/>
          <w:rtl/>
        </w:rPr>
        <w:t xml:space="preserve">ة </w:t>
      </w:r>
      <w:r w:rsidRPr="00FD211F">
        <w:rPr>
          <w:sz w:val="36"/>
          <w:szCs w:val="36"/>
          <w:rtl/>
        </w:rPr>
        <w:t>فرد مع فرد آخر بحيث تكون النسب</w:t>
      </w:r>
      <w:r w:rsidR="00EC7EDF" w:rsidRPr="00FD211F">
        <w:rPr>
          <w:sz w:val="36"/>
          <w:szCs w:val="36"/>
          <w:rtl/>
        </w:rPr>
        <w:t xml:space="preserve">ة </w:t>
      </w:r>
      <w:r w:rsidRPr="00FD211F">
        <w:rPr>
          <w:sz w:val="36"/>
          <w:szCs w:val="36"/>
          <w:rtl/>
        </w:rPr>
        <w:t>بينهما كنسب</w:t>
      </w:r>
      <w:r w:rsidR="00EC7EDF" w:rsidRPr="00FD211F">
        <w:rPr>
          <w:sz w:val="36"/>
          <w:szCs w:val="36"/>
          <w:rtl/>
        </w:rPr>
        <w:t xml:space="preserve">ة </w:t>
      </w:r>
      <w:r w:rsidRPr="00FD211F">
        <w:rPr>
          <w:sz w:val="36"/>
          <w:szCs w:val="36"/>
          <w:rtl/>
        </w:rPr>
        <w:t>الظل مع ذي الظل</w:t>
      </w:r>
      <w:r w:rsidR="00603323" w:rsidRPr="00FD211F">
        <w:rPr>
          <w:sz w:val="36"/>
          <w:szCs w:val="36"/>
          <w:rtl/>
        </w:rPr>
        <w:t xml:space="preserve">، </w:t>
      </w:r>
      <w:r w:rsidRPr="00FD211F">
        <w:rPr>
          <w:sz w:val="36"/>
          <w:szCs w:val="36"/>
          <w:rtl/>
        </w:rPr>
        <w:t>فالمعنى الحرفي هو النسب</w:t>
      </w:r>
      <w:r w:rsidR="00EC7EDF" w:rsidRPr="00FD211F">
        <w:rPr>
          <w:sz w:val="36"/>
          <w:szCs w:val="36"/>
          <w:rtl/>
        </w:rPr>
        <w:t xml:space="preserve">ة </w:t>
      </w:r>
      <w:r w:rsidRPr="00FD211F">
        <w:rPr>
          <w:sz w:val="36"/>
          <w:szCs w:val="36"/>
          <w:rtl/>
        </w:rPr>
        <w:t>الظلي</w:t>
      </w:r>
      <w:r w:rsidR="00EC7EDF" w:rsidRPr="00FD211F">
        <w:rPr>
          <w:sz w:val="36"/>
          <w:szCs w:val="36"/>
          <w:rtl/>
        </w:rPr>
        <w:t xml:space="preserve">ة </w:t>
      </w:r>
      <w:r w:rsidRPr="00FD211F">
        <w:rPr>
          <w:sz w:val="36"/>
          <w:szCs w:val="36"/>
          <w:rtl/>
        </w:rPr>
        <w:t>الكلامي</w:t>
      </w:r>
      <w:r w:rsidR="00EC7EDF" w:rsidRPr="00FD211F">
        <w:rPr>
          <w:sz w:val="36"/>
          <w:szCs w:val="36"/>
          <w:rtl/>
        </w:rPr>
        <w:t xml:space="preserve">ة </w:t>
      </w:r>
      <w:r w:rsidRPr="00FD211F">
        <w:rPr>
          <w:sz w:val="36"/>
          <w:szCs w:val="36"/>
          <w:rtl/>
        </w:rPr>
        <w:t>التي قد تطا</w:t>
      </w:r>
      <w:r w:rsidR="00E129D6" w:rsidRPr="00FD211F">
        <w:rPr>
          <w:sz w:val="36"/>
          <w:szCs w:val="36"/>
          <w:rtl/>
        </w:rPr>
        <w:t>بق النسب</w:t>
      </w:r>
      <w:r w:rsidR="00EC7EDF" w:rsidRPr="00FD211F">
        <w:rPr>
          <w:sz w:val="36"/>
          <w:szCs w:val="36"/>
          <w:rtl/>
        </w:rPr>
        <w:t xml:space="preserve">ة </w:t>
      </w:r>
      <w:r w:rsidR="00E129D6" w:rsidRPr="00FD211F">
        <w:rPr>
          <w:sz w:val="36"/>
          <w:szCs w:val="36"/>
          <w:rtl/>
        </w:rPr>
        <w:t>الخارجي</w:t>
      </w:r>
      <w:r w:rsidR="00EC7EDF" w:rsidRPr="00FD211F">
        <w:rPr>
          <w:sz w:val="36"/>
          <w:szCs w:val="36"/>
          <w:rtl/>
        </w:rPr>
        <w:t xml:space="preserve">ة </w:t>
      </w:r>
      <w:r w:rsidR="00E129D6" w:rsidRPr="00FD211F">
        <w:rPr>
          <w:sz w:val="36"/>
          <w:szCs w:val="36"/>
          <w:rtl/>
        </w:rPr>
        <w:t>وقد تخالفها.</w:t>
      </w:r>
    </w:p>
    <w:p w14:paraId="35C53DB2" w14:textId="77777777" w:rsidR="007F5659" w:rsidRPr="00FD211F" w:rsidRDefault="007F5659" w:rsidP="009C58C8">
      <w:pPr>
        <w:ind w:left="0" w:firstLine="227"/>
        <w:jc w:val="both"/>
        <w:rPr>
          <w:sz w:val="36"/>
          <w:szCs w:val="36"/>
          <w:rtl/>
        </w:rPr>
      </w:pPr>
      <w:r w:rsidRPr="00FD211F">
        <w:rPr>
          <w:sz w:val="36"/>
          <w:szCs w:val="36"/>
          <w:rtl/>
        </w:rPr>
        <w:t>وظهر من ذلك ان المعاني الحرفي</w:t>
      </w:r>
      <w:r w:rsidR="00EC7EDF" w:rsidRPr="00FD211F">
        <w:rPr>
          <w:sz w:val="36"/>
          <w:szCs w:val="36"/>
          <w:rtl/>
        </w:rPr>
        <w:t xml:space="preserve">ة </w:t>
      </w:r>
      <w:r w:rsidRPr="00FD211F">
        <w:rPr>
          <w:sz w:val="36"/>
          <w:szCs w:val="36"/>
          <w:rtl/>
        </w:rPr>
        <w:t>معان غير مستقل</w:t>
      </w:r>
      <w:r w:rsidR="00EC7EDF" w:rsidRPr="00FD211F">
        <w:rPr>
          <w:sz w:val="36"/>
          <w:szCs w:val="36"/>
          <w:rtl/>
        </w:rPr>
        <w:t xml:space="preserve">ة </w:t>
      </w:r>
      <w:r w:rsidRPr="00FD211F">
        <w:rPr>
          <w:sz w:val="36"/>
          <w:szCs w:val="36"/>
          <w:rtl/>
        </w:rPr>
        <w:t>في نفسها لتقوم ذاته</w:t>
      </w:r>
      <w:r w:rsidR="00E129D6" w:rsidRPr="00FD211F">
        <w:rPr>
          <w:sz w:val="36"/>
          <w:szCs w:val="36"/>
          <w:rtl/>
        </w:rPr>
        <w:t>ا بالمفاهيم الاسمي</w:t>
      </w:r>
      <w:r w:rsidR="00EC7EDF" w:rsidRPr="00FD211F">
        <w:rPr>
          <w:sz w:val="36"/>
          <w:szCs w:val="36"/>
          <w:rtl/>
        </w:rPr>
        <w:t xml:space="preserve">ة </w:t>
      </w:r>
      <w:r w:rsidR="00E129D6" w:rsidRPr="00FD211F">
        <w:rPr>
          <w:sz w:val="36"/>
          <w:szCs w:val="36"/>
          <w:rtl/>
        </w:rPr>
        <w:t>الاستقلالي</w:t>
      </w:r>
      <w:r w:rsidR="00EC7EDF" w:rsidRPr="00FD211F">
        <w:rPr>
          <w:sz w:val="36"/>
          <w:szCs w:val="36"/>
          <w:rtl/>
        </w:rPr>
        <w:t xml:space="preserve">ة </w:t>
      </w:r>
      <w:r w:rsidRPr="00FD211F">
        <w:rPr>
          <w:sz w:val="36"/>
          <w:szCs w:val="36"/>
          <w:rtl/>
        </w:rPr>
        <w:t>فالمعنى الحرفي في عالم الذهن كالعرض في عالم الخارج</w:t>
      </w:r>
      <w:r w:rsidR="00603323" w:rsidRPr="00FD211F">
        <w:rPr>
          <w:sz w:val="36"/>
          <w:szCs w:val="36"/>
          <w:rtl/>
        </w:rPr>
        <w:t xml:space="preserve">، </w:t>
      </w:r>
      <w:r w:rsidRPr="00FD211F">
        <w:rPr>
          <w:sz w:val="36"/>
          <w:szCs w:val="36"/>
          <w:rtl/>
        </w:rPr>
        <w:t>فكما ان العرض في عالم الخارج ليس له استقلال في الوجود</w:t>
      </w:r>
      <w:r w:rsidR="00603323" w:rsidRPr="00FD211F">
        <w:rPr>
          <w:sz w:val="36"/>
          <w:szCs w:val="36"/>
          <w:rtl/>
        </w:rPr>
        <w:t xml:space="preserve">، </w:t>
      </w:r>
      <w:r w:rsidRPr="00FD211F">
        <w:rPr>
          <w:sz w:val="36"/>
          <w:szCs w:val="36"/>
          <w:rtl/>
        </w:rPr>
        <w:t>لتقوم وجوده بوجود موضوعه فكذلك المعنى الحرفي ليس له استقلال في عالم الذهن لتقومه بمفهوم آخر</w:t>
      </w:r>
      <w:r w:rsidR="00603323" w:rsidRPr="00FD211F">
        <w:rPr>
          <w:sz w:val="36"/>
          <w:szCs w:val="36"/>
          <w:rtl/>
        </w:rPr>
        <w:t xml:space="preserve">، </w:t>
      </w:r>
      <w:r w:rsidRPr="00FD211F">
        <w:rPr>
          <w:sz w:val="36"/>
          <w:szCs w:val="36"/>
          <w:rtl/>
        </w:rPr>
        <w:t>ولذا لو سُمع</w:t>
      </w:r>
      <w:r w:rsidR="00137E7C" w:rsidRPr="00FD211F">
        <w:rPr>
          <w:sz w:val="36"/>
          <w:szCs w:val="36"/>
          <w:rtl/>
        </w:rPr>
        <w:t>ت</w:t>
      </w:r>
      <w:r w:rsidRPr="00FD211F">
        <w:rPr>
          <w:sz w:val="36"/>
          <w:szCs w:val="36"/>
          <w:rtl/>
        </w:rPr>
        <w:t xml:space="preserve"> لفظ</w:t>
      </w:r>
      <w:r w:rsidR="00EC7EDF" w:rsidRPr="00FD211F">
        <w:rPr>
          <w:sz w:val="36"/>
          <w:szCs w:val="36"/>
          <w:rtl/>
        </w:rPr>
        <w:t xml:space="preserve">ة </w:t>
      </w:r>
      <w:r w:rsidRPr="00FD211F">
        <w:rPr>
          <w:sz w:val="36"/>
          <w:szCs w:val="36"/>
          <w:rtl/>
        </w:rPr>
        <w:t>"في" وحدها من دون ذكر طرفيها فلايخطر اي معنى منها في الذهن</w:t>
      </w:r>
      <w:r w:rsidR="00603323" w:rsidRPr="00FD211F">
        <w:rPr>
          <w:sz w:val="36"/>
          <w:szCs w:val="36"/>
          <w:rtl/>
        </w:rPr>
        <w:t xml:space="preserve">، </w:t>
      </w:r>
      <w:r w:rsidRPr="00FD211F">
        <w:rPr>
          <w:sz w:val="36"/>
          <w:szCs w:val="36"/>
          <w:rtl/>
        </w:rPr>
        <w:t>فلاواقع للمعاني الحرفي</w:t>
      </w:r>
      <w:r w:rsidR="00EC7EDF" w:rsidRPr="00FD211F">
        <w:rPr>
          <w:sz w:val="36"/>
          <w:szCs w:val="36"/>
          <w:rtl/>
        </w:rPr>
        <w:t xml:space="preserve">ة </w:t>
      </w:r>
      <w:r w:rsidRPr="00FD211F">
        <w:rPr>
          <w:sz w:val="36"/>
          <w:szCs w:val="36"/>
          <w:rtl/>
        </w:rPr>
        <w:t>في غير التراكيب الكلامي</w:t>
      </w:r>
      <w:r w:rsidR="00EC7EDF" w:rsidRPr="00FD211F">
        <w:rPr>
          <w:sz w:val="36"/>
          <w:szCs w:val="36"/>
          <w:rtl/>
        </w:rPr>
        <w:t xml:space="preserve">ة </w:t>
      </w:r>
      <w:r w:rsidRPr="00FD211F">
        <w:rPr>
          <w:sz w:val="36"/>
          <w:szCs w:val="36"/>
          <w:rtl/>
        </w:rPr>
        <w:t>بخلاف المفاهيم الاسمي</w:t>
      </w:r>
      <w:r w:rsidR="00EC7EDF" w:rsidRPr="00FD211F">
        <w:rPr>
          <w:sz w:val="36"/>
          <w:szCs w:val="36"/>
          <w:rtl/>
        </w:rPr>
        <w:t>ة</w:t>
      </w:r>
      <w:r w:rsidR="00603323" w:rsidRPr="00FD211F">
        <w:rPr>
          <w:sz w:val="36"/>
          <w:szCs w:val="36"/>
          <w:rtl/>
        </w:rPr>
        <w:t xml:space="preserve">، </w:t>
      </w:r>
      <w:r w:rsidRPr="00FD211F">
        <w:rPr>
          <w:sz w:val="36"/>
          <w:szCs w:val="36"/>
          <w:rtl/>
        </w:rPr>
        <w:t>فانها مفاهيم متقرر</w:t>
      </w:r>
      <w:r w:rsidR="00EC7EDF" w:rsidRPr="00FD211F">
        <w:rPr>
          <w:sz w:val="36"/>
          <w:szCs w:val="36"/>
          <w:rtl/>
        </w:rPr>
        <w:t xml:space="preserve">ة </w:t>
      </w:r>
      <w:r w:rsidRPr="00FD211F">
        <w:rPr>
          <w:sz w:val="36"/>
          <w:szCs w:val="36"/>
          <w:rtl/>
        </w:rPr>
        <w:t>في عالم مفهوميتها</w:t>
      </w:r>
      <w:r w:rsidR="00603323" w:rsidRPr="00FD211F">
        <w:rPr>
          <w:sz w:val="36"/>
          <w:szCs w:val="36"/>
          <w:rtl/>
        </w:rPr>
        <w:t xml:space="preserve">، </w:t>
      </w:r>
      <w:r w:rsidRPr="00FD211F">
        <w:rPr>
          <w:sz w:val="36"/>
          <w:szCs w:val="36"/>
          <w:rtl/>
        </w:rPr>
        <w:t>سواء استعمل اللفظ فيها ام لا</w:t>
      </w:r>
      <w:r w:rsidR="00603323" w:rsidRPr="00FD211F">
        <w:rPr>
          <w:sz w:val="36"/>
          <w:szCs w:val="36"/>
          <w:rtl/>
        </w:rPr>
        <w:t xml:space="preserve">، </w:t>
      </w:r>
      <w:r w:rsidRPr="00FD211F">
        <w:rPr>
          <w:sz w:val="36"/>
          <w:szCs w:val="36"/>
          <w:rtl/>
        </w:rPr>
        <w:t>ومن جه</w:t>
      </w:r>
      <w:r w:rsidR="00EC7EDF" w:rsidRPr="00FD211F">
        <w:rPr>
          <w:sz w:val="36"/>
          <w:szCs w:val="36"/>
          <w:rtl/>
        </w:rPr>
        <w:t xml:space="preserve">ة </w:t>
      </w:r>
      <w:r w:rsidRPr="00FD211F">
        <w:rPr>
          <w:sz w:val="36"/>
          <w:szCs w:val="36"/>
          <w:rtl/>
        </w:rPr>
        <w:t>أخرى ان المعنى الحرفي غير ملتفت اليه حال الاستعمال</w:t>
      </w:r>
      <w:r w:rsidR="00603323" w:rsidRPr="00FD211F">
        <w:rPr>
          <w:sz w:val="36"/>
          <w:szCs w:val="36"/>
          <w:rtl/>
        </w:rPr>
        <w:t xml:space="preserve">، </w:t>
      </w:r>
      <w:r w:rsidRPr="00FD211F">
        <w:rPr>
          <w:sz w:val="36"/>
          <w:szCs w:val="36"/>
          <w:rtl/>
        </w:rPr>
        <w:t>وان الملتفت اليه هي المعاني الاسمي</w:t>
      </w:r>
      <w:r w:rsidR="00EC7EDF" w:rsidRPr="00FD211F">
        <w:rPr>
          <w:sz w:val="36"/>
          <w:szCs w:val="36"/>
          <w:rtl/>
        </w:rPr>
        <w:t xml:space="preserve">ة </w:t>
      </w:r>
      <w:r w:rsidRPr="00FD211F">
        <w:rPr>
          <w:sz w:val="36"/>
          <w:szCs w:val="36"/>
          <w:rtl/>
        </w:rPr>
        <w:t>الاستقلالي</w:t>
      </w:r>
      <w:r w:rsidR="00EC7EDF" w:rsidRPr="00FD211F">
        <w:rPr>
          <w:sz w:val="36"/>
          <w:szCs w:val="36"/>
          <w:rtl/>
        </w:rPr>
        <w:t>ة</w:t>
      </w:r>
      <w:r w:rsidR="00A61BAE" w:rsidRPr="00FD211F">
        <w:rPr>
          <w:sz w:val="36"/>
          <w:szCs w:val="36"/>
          <w:rtl/>
        </w:rPr>
        <w:t>.</w:t>
      </w:r>
    </w:p>
    <w:p w14:paraId="6ADCB1E6" w14:textId="77777777" w:rsidR="00E129D6" w:rsidRPr="00FD211F" w:rsidRDefault="007F5659" w:rsidP="009C58C8">
      <w:pPr>
        <w:ind w:left="0" w:firstLine="227"/>
        <w:jc w:val="both"/>
        <w:rPr>
          <w:sz w:val="36"/>
          <w:szCs w:val="36"/>
          <w:rtl/>
        </w:rPr>
      </w:pPr>
      <w:r w:rsidRPr="00FD211F">
        <w:rPr>
          <w:sz w:val="36"/>
          <w:szCs w:val="36"/>
          <w:rtl/>
        </w:rPr>
        <w:t>ثم ان الفرق بين معنى لفظ النسب</w:t>
      </w:r>
      <w:r w:rsidR="00EC7EDF" w:rsidRPr="00FD211F">
        <w:rPr>
          <w:sz w:val="36"/>
          <w:szCs w:val="36"/>
          <w:rtl/>
        </w:rPr>
        <w:t xml:space="preserve">ة </w:t>
      </w:r>
      <w:r w:rsidRPr="00FD211F">
        <w:rPr>
          <w:sz w:val="36"/>
          <w:szCs w:val="36"/>
          <w:rtl/>
        </w:rPr>
        <w:t>والربط وبين معنى الحروف هو الفرق بين المفهوم والحقيق</w:t>
      </w:r>
      <w:r w:rsidR="00EC7EDF" w:rsidRPr="00FD211F">
        <w:rPr>
          <w:sz w:val="36"/>
          <w:szCs w:val="36"/>
          <w:rtl/>
        </w:rPr>
        <w:t>ة</w:t>
      </w:r>
      <w:r w:rsidR="00603323" w:rsidRPr="00FD211F">
        <w:rPr>
          <w:sz w:val="36"/>
          <w:szCs w:val="36"/>
          <w:rtl/>
        </w:rPr>
        <w:t xml:space="preserve">، </w:t>
      </w:r>
      <w:r w:rsidRPr="00FD211F">
        <w:rPr>
          <w:sz w:val="36"/>
          <w:szCs w:val="36"/>
          <w:rtl/>
        </w:rPr>
        <w:t>فكما ان الانسان قد يحتاج الى حقيق</w:t>
      </w:r>
      <w:r w:rsidR="00EC7EDF" w:rsidRPr="00FD211F">
        <w:rPr>
          <w:sz w:val="36"/>
          <w:szCs w:val="36"/>
          <w:rtl/>
        </w:rPr>
        <w:t xml:space="preserve">ة </w:t>
      </w:r>
      <w:r w:rsidRPr="00FD211F">
        <w:rPr>
          <w:sz w:val="36"/>
          <w:szCs w:val="36"/>
          <w:rtl/>
        </w:rPr>
        <w:t>الماء مثلا فلايفيده تصور المفهوم</w:t>
      </w:r>
      <w:r w:rsidR="00603323" w:rsidRPr="00FD211F">
        <w:rPr>
          <w:sz w:val="36"/>
          <w:szCs w:val="36"/>
          <w:rtl/>
        </w:rPr>
        <w:t xml:space="preserve">، </w:t>
      </w:r>
      <w:r w:rsidRPr="00FD211F">
        <w:rPr>
          <w:sz w:val="36"/>
          <w:szCs w:val="36"/>
          <w:rtl/>
        </w:rPr>
        <w:t>كذلك قد يحتاج الى مفهوم الماء فلايفيده الحقيق</w:t>
      </w:r>
      <w:r w:rsidR="00EC7EDF" w:rsidRPr="00FD211F">
        <w:rPr>
          <w:sz w:val="36"/>
          <w:szCs w:val="36"/>
          <w:rtl/>
        </w:rPr>
        <w:t>ة</w:t>
      </w:r>
      <w:r w:rsidR="00603323" w:rsidRPr="00FD211F">
        <w:rPr>
          <w:sz w:val="36"/>
          <w:szCs w:val="36"/>
          <w:rtl/>
        </w:rPr>
        <w:t xml:space="preserve">، </w:t>
      </w:r>
      <w:r w:rsidRPr="00FD211F">
        <w:rPr>
          <w:sz w:val="36"/>
          <w:szCs w:val="36"/>
          <w:rtl/>
        </w:rPr>
        <w:t>كما اذا سئل عن الماء الخارجي انه ما هو؟ فانه لايفيد بحال السائل إتيان ماء آخر في الخارج</w:t>
      </w:r>
      <w:r w:rsidR="00603323" w:rsidRPr="00FD211F">
        <w:rPr>
          <w:sz w:val="36"/>
          <w:szCs w:val="36"/>
          <w:rtl/>
        </w:rPr>
        <w:t xml:space="preserve">، </w:t>
      </w:r>
      <w:r w:rsidRPr="00FD211F">
        <w:rPr>
          <w:sz w:val="36"/>
          <w:szCs w:val="36"/>
          <w:rtl/>
        </w:rPr>
        <w:t>بل لابد من الجواب بانه ماء</w:t>
      </w:r>
      <w:r w:rsidR="00603323" w:rsidRPr="00FD211F">
        <w:rPr>
          <w:sz w:val="36"/>
          <w:szCs w:val="36"/>
          <w:rtl/>
        </w:rPr>
        <w:t xml:space="preserve">، </w:t>
      </w:r>
      <w:r w:rsidRPr="00FD211F">
        <w:rPr>
          <w:sz w:val="36"/>
          <w:szCs w:val="36"/>
          <w:rtl/>
        </w:rPr>
        <w:t>فلايغني كل من المفهوم</w:t>
      </w:r>
      <w:r w:rsidR="00EF5210" w:rsidRPr="00FD211F">
        <w:rPr>
          <w:sz w:val="36"/>
          <w:szCs w:val="36"/>
          <w:rtl/>
        </w:rPr>
        <w:t xml:space="preserve"> او الحقيق</w:t>
      </w:r>
      <w:r w:rsidR="00EC7EDF" w:rsidRPr="00FD211F">
        <w:rPr>
          <w:sz w:val="36"/>
          <w:szCs w:val="36"/>
          <w:rtl/>
        </w:rPr>
        <w:t xml:space="preserve">ة </w:t>
      </w:r>
      <w:r w:rsidR="00EF5210" w:rsidRPr="00FD211F">
        <w:rPr>
          <w:sz w:val="36"/>
          <w:szCs w:val="36"/>
          <w:rtl/>
        </w:rPr>
        <w:t>عن الآخر</w:t>
      </w:r>
      <w:r w:rsidR="00603323" w:rsidRPr="00FD211F">
        <w:rPr>
          <w:sz w:val="36"/>
          <w:szCs w:val="36"/>
          <w:rtl/>
        </w:rPr>
        <w:t xml:space="preserve">، </w:t>
      </w:r>
      <w:r w:rsidR="00EF5210" w:rsidRPr="00FD211F">
        <w:rPr>
          <w:sz w:val="36"/>
          <w:szCs w:val="36"/>
          <w:rtl/>
        </w:rPr>
        <w:t>فكذلك قد ن</w:t>
      </w:r>
      <w:r w:rsidRPr="00FD211F">
        <w:rPr>
          <w:sz w:val="36"/>
          <w:szCs w:val="36"/>
          <w:rtl/>
        </w:rPr>
        <w:t>حتاج الى حقيق</w:t>
      </w:r>
      <w:r w:rsidR="00EC7EDF" w:rsidRPr="00FD211F">
        <w:rPr>
          <w:sz w:val="36"/>
          <w:szCs w:val="36"/>
          <w:rtl/>
        </w:rPr>
        <w:t xml:space="preserve">ة </w:t>
      </w:r>
      <w:r w:rsidRPr="00FD211F">
        <w:rPr>
          <w:sz w:val="36"/>
          <w:szCs w:val="36"/>
          <w:rtl/>
        </w:rPr>
        <w:t>الربط بين كلمتين فلايفيد قولنا</w:t>
      </w:r>
      <w:r w:rsidR="0024281C" w:rsidRPr="00FD211F">
        <w:rPr>
          <w:sz w:val="36"/>
          <w:szCs w:val="36"/>
          <w:rtl/>
        </w:rPr>
        <w:t xml:space="preserve"> </w:t>
      </w:r>
      <w:r w:rsidR="00EF5210" w:rsidRPr="00FD211F">
        <w:rPr>
          <w:sz w:val="36"/>
          <w:szCs w:val="36"/>
          <w:rtl/>
        </w:rPr>
        <w:t>"</w:t>
      </w:r>
      <w:r w:rsidRPr="00FD211F">
        <w:rPr>
          <w:sz w:val="36"/>
          <w:szCs w:val="36"/>
          <w:rtl/>
        </w:rPr>
        <w:t>زيد الربط الدار</w:t>
      </w:r>
      <w:r w:rsidR="00EF5210" w:rsidRPr="00FD211F">
        <w:rPr>
          <w:sz w:val="36"/>
          <w:szCs w:val="36"/>
          <w:rtl/>
        </w:rPr>
        <w:t>"</w:t>
      </w:r>
      <w:r w:rsidR="00603323" w:rsidRPr="00FD211F">
        <w:rPr>
          <w:sz w:val="36"/>
          <w:szCs w:val="36"/>
          <w:rtl/>
        </w:rPr>
        <w:t xml:space="preserve">، </w:t>
      </w:r>
      <w:r w:rsidR="00EF5210" w:rsidRPr="00FD211F">
        <w:rPr>
          <w:sz w:val="36"/>
          <w:szCs w:val="36"/>
          <w:rtl/>
        </w:rPr>
        <w:t>كما قد ن</w:t>
      </w:r>
      <w:r w:rsidRPr="00FD211F">
        <w:rPr>
          <w:sz w:val="36"/>
          <w:szCs w:val="36"/>
          <w:rtl/>
        </w:rPr>
        <w:t>حتا</w:t>
      </w:r>
      <w:r w:rsidR="00EF5210" w:rsidRPr="00FD211F">
        <w:rPr>
          <w:sz w:val="36"/>
          <w:szCs w:val="36"/>
          <w:rtl/>
        </w:rPr>
        <w:t>ج الى مفهوم الربط فلايفيد قولنا</w:t>
      </w:r>
      <w:r w:rsidR="0024281C" w:rsidRPr="00FD211F">
        <w:rPr>
          <w:sz w:val="36"/>
          <w:szCs w:val="36"/>
          <w:rtl/>
        </w:rPr>
        <w:t xml:space="preserve"> </w:t>
      </w:r>
      <w:r w:rsidR="00EF5210" w:rsidRPr="00FD211F">
        <w:rPr>
          <w:sz w:val="36"/>
          <w:szCs w:val="36"/>
          <w:rtl/>
        </w:rPr>
        <w:t>"</w:t>
      </w:r>
      <w:r w:rsidRPr="00FD211F">
        <w:rPr>
          <w:sz w:val="36"/>
          <w:szCs w:val="36"/>
          <w:rtl/>
        </w:rPr>
        <w:t>في متقوم</w:t>
      </w:r>
      <w:r w:rsidR="00EC7EDF" w:rsidRPr="00FD211F">
        <w:rPr>
          <w:sz w:val="36"/>
          <w:szCs w:val="36"/>
          <w:rtl/>
        </w:rPr>
        <w:t xml:space="preserve">ة </w:t>
      </w:r>
      <w:r w:rsidRPr="00FD211F">
        <w:rPr>
          <w:sz w:val="36"/>
          <w:szCs w:val="36"/>
          <w:rtl/>
        </w:rPr>
        <w:t>بطرفين</w:t>
      </w:r>
      <w:r w:rsidR="00EF5210" w:rsidRPr="00FD211F">
        <w:rPr>
          <w:sz w:val="36"/>
          <w:szCs w:val="36"/>
          <w:rtl/>
        </w:rPr>
        <w:t>"</w:t>
      </w:r>
      <w:r w:rsidR="00603323" w:rsidRPr="00FD211F">
        <w:rPr>
          <w:sz w:val="36"/>
          <w:szCs w:val="36"/>
          <w:rtl/>
        </w:rPr>
        <w:t xml:space="preserve">، </w:t>
      </w:r>
      <w:r w:rsidR="00EF5210" w:rsidRPr="00FD211F">
        <w:rPr>
          <w:sz w:val="36"/>
          <w:szCs w:val="36"/>
          <w:rtl/>
        </w:rPr>
        <w:t>بل لابد ان يقال</w:t>
      </w:r>
      <w:r w:rsidR="0024281C" w:rsidRPr="00FD211F">
        <w:rPr>
          <w:sz w:val="36"/>
          <w:szCs w:val="36"/>
          <w:rtl/>
        </w:rPr>
        <w:t xml:space="preserve"> </w:t>
      </w:r>
      <w:r w:rsidR="00EF5210" w:rsidRPr="00FD211F">
        <w:rPr>
          <w:sz w:val="36"/>
          <w:szCs w:val="36"/>
          <w:rtl/>
        </w:rPr>
        <w:t>"</w:t>
      </w:r>
      <w:r w:rsidRPr="00FD211F">
        <w:rPr>
          <w:sz w:val="36"/>
          <w:szCs w:val="36"/>
          <w:rtl/>
        </w:rPr>
        <w:t>ان الربط الظرفي</w:t>
      </w:r>
      <w:r w:rsidR="00B253CE" w:rsidRPr="00FD211F">
        <w:rPr>
          <w:sz w:val="36"/>
          <w:szCs w:val="36"/>
          <w:rtl/>
        </w:rPr>
        <w:t xml:space="preserve"> </w:t>
      </w:r>
      <w:r w:rsidRPr="00FD211F">
        <w:rPr>
          <w:sz w:val="36"/>
          <w:szCs w:val="36"/>
          <w:rtl/>
        </w:rPr>
        <w:t>غاي</w:t>
      </w:r>
      <w:r w:rsidR="00EC7EDF" w:rsidRPr="00FD211F">
        <w:rPr>
          <w:sz w:val="36"/>
          <w:szCs w:val="36"/>
          <w:rtl/>
        </w:rPr>
        <w:t xml:space="preserve">ة </w:t>
      </w:r>
      <w:r w:rsidRPr="00FD211F">
        <w:rPr>
          <w:sz w:val="36"/>
          <w:szCs w:val="36"/>
          <w:rtl/>
        </w:rPr>
        <w:t>البينون</w:t>
      </w:r>
      <w:r w:rsidR="00EC7EDF" w:rsidRPr="00FD211F">
        <w:rPr>
          <w:sz w:val="36"/>
          <w:szCs w:val="36"/>
          <w:rtl/>
        </w:rPr>
        <w:t xml:space="preserve">ة </w:t>
      </w:r>
      <w:r w:rsidRPr="00FD211F">
        <w:rPr>
          <w:sz w:val="36"/>
          <w:szCs w:val="36"/>
          <w:rtl/>
        </w:rPr>
        <w:t>بينهما لايصح استعمال احدهما في موضع الآخر</w:t>
      </w:r>
      <w:r w:rsidR="0058005C" w:rsidRPr="00FD211F">
        <w:rPr>
          <w:sz w:val="36"/>
          <w:szCs w:val="36"/>
          <w:rtl/>
        </w:rPr>
        <w:t>.</w:t>
      </w:r>
    </w:p>
    <w:p w14:paraId="2FA1B566" w14:textId="77777777" w:rsidR="007F5659" w:rsidRPr="00FD211F" w:rsidRDefault="0058005C" w:rsidP="009C58C8">
      <w:pPr>
        <w:ind w:left="0" w:firstLine="227"/>
        <w:jc w:val="both"/>
        <w:rPr>
          <w:sz w:val="36"/>
          <w:szCs w:val="36"/>
          <w:rtl/>
        </w:rPr>
      </w:pPr>
      <w:r w:rsidRPr="00FD211F">
        <w:rPr>
          <w:sz w:val="36"/>
          <w:szCs w:val="36"/>
          <w:rtl/>
        </w:rPr>
        <w:t>وماذكرناه من كون الحروف بأجمعها</w:t>
      </w:r>
      <w:r w:rsidR="00CF23C1" w:rsidRPr="00FD211F">
        <w:rPr>
          <w:sz w:val="36"/>
          <w:szCs w:val="36"/>
          <w:rtl/>
        </w:rPr>
        <w:t xml:space="preserve"> </w:t>
      </w:r>
      <w:r w:rsidRPr="00FD211F">
        <w:rPr>
          <w:sz w:val="36"/>
          <w:szCs w:val="36"/>
          <w:rtl/>
        </w:rPr>
        <w:t>ايجادي</w:t>
      </w:r>
      <w:r w:rsidR="00EC7EDF" w:rsidRPr="00FD211F">
        <w:rPr>
          <w:sz w:val="36"/>
          <w:szCs w:val="36"/>
          <w:rtl/>
        </w:rPr>
        <w:t xml:space="preserve">ة </w:t>
      </w:r>
      <w:r w:rsidR="001F278C" w:rsidRPr="00FD211F">
        <w:rPr>
          <w:sz w:val="36"/>
          <w:szCs w:val="36"/>
          <w:rtl/>
        </w:rPr>
        <w:t>لاينافي انقسامها</w:t>
      </w:r>
      <w:r w:rsidR="00CF23C1" w:rsidRPr="00FD211F">
        <w:rPr>
          <w:sz w:val="36"/>
          <w:szCs w:val="36"/>
          <w:rtl/>
        </w:rPr>
        <w:t xml:space="preserve"> </w:t>
      </w:r>
      <w:r w:rsidR="001F278C" w:rsidRPr="00FD211F">
        <w:rPr>
          <w:sz w:val="36"/>
          <w:szCs w:val="36"/>
          <w:rtl/>
        </w:rPr>
        <w:t>بلحاظ آخر</w:t>
      </w:r>
      <w:r w:rsidR="00CF23C1" w:rsidRPr="00FD211F">
        <w:rPr>
          <w:sz w:val="36"/>
          <w:szCs w:val="36"/>
          <w:rtl/>
        </w:rPr>
        <w:t xml:space="preserve"> </w:t>
      </w:r>
      <w:r w:rsidR="001F278C" w:rsidRPr="00FD211F">
        <w:rPr>
          <w:sz w:val="36"/>
          <w:szCs w:val="36"/>
          <w:rtl/>
        </w:rPr>
        <w:t>الى حروف نسبي</w:t>
      </w:r>
      <w:r w:rsidR="00EC7EDF" w:rsidRPr="00FD211F">
        <w:rPr>
          <w:sz w:val="36"/>
          <w:szCs w:val="36"/>
          <w:rtl/>
        </w:rPr>
        <w:t xml:space="preserve">ة </w:t>
      </w:r>
      <w:r w:rsidR="001F278C" w:rsidRPr="00FD211F">
        <w:rPr>
          <w:sz w:val="36"/>
          <w:szCs w:val="36"/>
          <w:rtl/>
        </w:rPr>
        <w:t>وهي ماتحكي عن النسب الخارجي</w:t>
      </w:r>
      <w:r w:rsidR="00EC7EDF" w:rsidRPr="00FD211F">
        <w:rPr>
          <w:sz w:val="36"/>
          <w:szCs w:val="36"/>
          <w:rtl/>
        </w:rPr>
        <w:t xml:space="preserve">ة </w:t>
      </w:r>
      <w:r w:rsidR="001F278C" w:rsidRPr="00FD211F">
        <w:rPr>
          <w:sz w:val="36"/>
          <w:szCs w:val="36"/>
          <w:rtl/>
        </w:rPr>
        <w:t>كحروف الجروحروف ا</w:t>
      </w:r>
      <w:r w:rsidR="006F7487" w:rsidRPr="00FD211F">
        <w:rPr>
          <w:sz w:val="36"/>
          <w:szCs w:val="36"/>
          <w:rtl/>
        </w:rPr>
        <w:t>نشائي</w:t>
      </w:r>
      <w:r w:rsidR="00EC7EDF" w:rsidRPr="00FD211F">
        <w:rPr>
          <w:sz w:val="36"/>
          <w:szCs w:val="36"/>
          <w:rtl/>
        </w:rPr>
        <w:t xml:space="preserve">ة </w:t>
      </w:r>
      <w:r w:rsidR="001F278C" w:rsidRPr="00FD211F">
        <w:rPr>
          <w:sz w:val="36"/>
          <w:szCs w:val="36"/>
          <w:rtl/>
        </w:rPr>
        <w:t>كحروف التشبيه والنداء</w:t>
      </w:r>
      <w:r w:rsidR="00CF23C1" w:rsidRPr="00FD211F">
        <w:rPr>
          <w:sz w:val="36"/>
          <w:szCs w:val="36"/>
          <w:rtl/>
        </w:rPr>
        <w:t xml:space="preserve"> </w:t>
      </w:r>
      <w:r w:rsidR="001F278C" w:rsidRPr="00FD211F">
        <w:rPr>
          <w:sz w:val="36"/>
          <w:szCs w:val="36"/>
          <w:rtl/>
        </w:rPr>
        <w:t>والتمني ونحوها</w:t>
      </w:r>
      <w:r w:rsidR="00CF23C1" w:rsidRPr="00FD211F">
        <w:rPr>
          <w:sz w:val="36"/>
          <w:szCs w:val="36"/>
          <w:rtl/>
        </w:rPr>
        <w:t xml:space="preserve"> </w:t>
      </w:r>
      <w:r w:rsidR="001F278C" w:rsidRPr="00FD211F">
        <w:rPr>
          <w:sz w:val="36"/>
          <w:szCs w:val="36"/>
          <w:rtl/>
        </w:rPr>
        <w:t>فانهافي مقام الاستعمال توجد</w:t>
      </w:r>
      <w:r w:rsidR="00CF23C1" w:rsidRPr="00FD211F">
        <w:rPr>
          <w:sz w:val="36"/>
          <w:szCs w:val="36"/>
          <w:rtl/>
        </w:rPr>
        <w:t xml:space="preserve"> </w:t>
      </w:r>
      <w:r w:rsidR="001F278C" w:rsidRPr="00FD211F">
        <w:rPr>
          <w:sz w:val="36"/>
          <w:szCs w:val="36"/>
          <w:rtl/>
        </w:rPr>
        <w:t>فردا</w:t>
      </w:r>
      <w:r w:rsidR="00CF23C1" w:rsidRPr="00FD211F">
        <w:rPr>
          <w:sz w:val="36"/>
          <w:szCs w:val="36"/>
          <w:rtl/>
        </w:rPr>
        <w:t xml:space="preserve"> </w:t>
      </w:r>
      <w:r w:rsidR="001F278C" w:rsidRPr="00FD211F">
        <w:rPr>
          <w:sz w:val="36"/>
          <w:szCs w:val="36"/>
          <w:rtl/>
        </w:rPr>
        <w:t>منها</w:t>
      </w:r>
      <w:r w:rsidR="00CF23C1" w:rsidRPr="00FD211F">
        <w:rPr>
          <w:sz w:val="36"/>
          <w:szCs w:val="36"/>
          <w:rtl/>
        </w:rPr>
        <w:t xml:space="preserve"> </w:t>
      </w:r>
      <w:r w:rsidR="00BA44BD" w:rsidRPr="00FD211F">
        <w:rPr>
          <w:sz w:val="36"/>
          <w:szCs w:val="36"/>
          <w:rtl/>
        </w:rPr>
        <w:t>في الخارج فاذا</w:t>
      </w:r>
      <w:r w:rsidR="00CF23C1" w:rsidRPr="00FD211F">
        <w:rPr>
          <w:sz w:val="36"/>
          <w:szCs w:val="36"/>
          <w:rtl/>
        </w:rPr>
        <w:t xml:space="preserve"> </w:t>
      </w:r>
      <w:r w:rsidR="00BA44BD" w:rsidRPr="00FD211F">
        <w:rPr>
          <w:sz w:val="36"/>
          <w:szCs w:val="36"/>
          <w:rtl/>
        </w:rPr>
        <w:t>قيل "زيدكالاسد"</w:t>
      </w:r>
      <w:r w:rsidR="00CF23C1" w:rsidRPr="00FD211F">
        <w:rPr>
          <w:sz w:val="36"/>
          <w:szCs w:val="36"/>
          <w:rtl/>
        </w:rPr>
        <w:t xml:space="preserve"> </w:t>
      </w:r>
      <w:r w:rsidR="00BA44BD" w:rsidRPr="00FD211F">
        <w:rPr>
          <w:sz w:val="36"/>
          <w:szCs w:val="36"/>
          <w:rtl/>
        </w:rPr>
        <w:t>فيوجد</w:t>
      </w:r>
      <w:r w:rsidR="00CF23C1" w:rsidRPr="00FD211F">
        <w:rPr>
          <w:sz w:val="36"/>
          <w:szCs w:val="36"/>
          <w:rtl/>
        </w:rPr>
        <w:t xml:space="preserve"> </w:t>
      </w:r>
      <w:r w:rsidR="00BA44BD" w:rsidRPr="00FD211F">
        <w:rPr>
          <w:sz w:val="36"/>
          <w:szCs w:val="36"/>
          <w:rtl/>
        </w:rPr>
        <w:t>تشبيه بهذا</w:t>
      </w:r>
      <w:r w:rsidR="00CF23C1" w:rsidRPr="00FD211F">
        <w:rPr>
          <w:sz w:val="36"/>
          <w:szCs w:val="36"/>
          <w:rtl/>
        </w:rPr>
        <w:t xml:space="preserve"> </w:t>
      </w:r>
      <w:r w:rsidR="00BA44BD" w:rsidRPr="00FD211F">
        <w:rPr>
          <w:sz w:val="36"/>
          <w:szCs w:val="36"/>
          <w:rtl/>
        </w:rPr>
        <w:t>الاستعمال</w:t>
      </w:r>
      <w:r w:rsidR="009C58C8" w:rsidRPr="00FD211F">
        <w:rPr>
          <w:rStyle w:val="a6"/>
          <w:sz w:val="36"/>
          <w:szCs w:val="36"/>
          <w:rtl/>
        </w:rPr>
        <w:t>(</w:t>
      </w:r>
      <w:r w:rsidR="009C58C8" w:rsidRPr="00FD211F">
        <w:rPr>
          <w:rStyle w:val="a6"/>
          <w:sz w:val="36"/>
          <w:szCs w:val="36"/>
          <w:rtl/>
        </w:rPr>
        <w:footnoteReference w:id="159"/>
      </w:r>
      <w:r w:rsidR="009C58C8" w:rsidRPr="00FD211F">
        <w:rPr>
          <w:rStyle w:val="a6"/>
          <w:sz w:val="36"/>
          <w:szCs w:val="36"/>
          <w:rtl/>
        </w:rPr>
        <w:t>)</w:t>
      </w:r>
      <w:r w:rsidR="007F5659" w:rsidRPr="00FD211F">
        <w:rPr>
          <w:sz w:val="36"/>
          <w:szCs w:val="36"/>
          <w:rtl/>
        </w:rPr>
        <w:t xml:space="preserve">. </w:t>
      </w:r>
    </w:p>
    <w:p w14:paraId="69B8D2CF" w14:textId="77777777" w:rsidR="007F5659" w:rsidRPr="00FD211F" w:rsidRDefault="007F5659" w:rsidP="009C58C8">
      <w:pPr>
        <w:ind w:left="0" w:firstLine="227"/>
        <w:jc w:val="both"/>
        <w:rPr>
          <w:sz w:val="36"/>
          <w:szCs w:val="36"/>
          <w:rtl/>
        </w:rPr>
      </w:pPr>
      <w:r w:rsidRPr="00FD211F">
        <w:rPr>
          <w:sz w:val="36"/>
          <w:szCs w:val="36"/>
          <w:rtl/>
        </w:rPr>
        <w:t>وقد فهم جماع</w:t>
      </w:r>
      <w:r w:rsidR="00EC7EDF" w:rsidRPr="00FD211F">
        <w:rPr>
          <w:sz w:val="36"/>
          <w:szCs w:val="36"/>
          <w:rtl/>
        </w:rPr>
        <w:t xml:space="preserve">ة </w:t>
      </w:r>
      <w:r w:rsidR="00E129D6" w:rsidRPr="00FD211F">
        <w:rPr>
          <w:sz w:val="36"/>
          <w:szCs w:val="36"/>
          <w:rtl/>
        </w:rPr>
        <w:t>-</w:t>
      </w:r>
      <w:r w:rsidRPr="00FD211F">
        <w:rPr>
          <w:sz w:val="36"/>
          <w:szCs w:val="36"/>
          <w:rtl/>
        </w:rPr>
        <w:t xml:space="preserve"> منهم السيد الخوئي </w:t>
      </w:r>
      <w:r w:rsidR="00AB1B12" w:rsidRPr="00FD211F">
        <w:rPr>
          <w:sz w:val="36"/>
          <w:szCs w:val="36"/>
          <w:rtl/>
        </w:rPr>
        <w:t>"</w:t>
      </w:r>
      <w:r w:rsidRPr="00FD211F">
        <w:rPr>
          <w:sz w:val="36"/>
          <w:szCs w:val="36"/>
          <w:rtl/>
        </w:rPr>
        <w:t>قده</w:t>
      </w:r>
      <w:r w:rsidR="00AB1B12" w:rsidRPr="00FD211F">
        <w:rPr>
          <w:sz w:val="36"/>
          <w:szCs w:val="36"/>
          <w:rtl/>
        </w:rPr>
        <w:t>"</w:t>
      </w:r>
      <w:r w:rsidR="00E129D6" w:rsidRPr="00FD211F">
        <w:rPr>
          <w:sz w:val="36"/>
          <w:szCs w:val="36"/>
          <w:rtl/>
        </w:rPr>
        <w:t>-</w:t>
      </w:r>
      <w:r w:rsidRPr="00FD211F">
        <w:rPr>
          <w:sz w:val="36"/>
          <w:szCs w:val="36"/>
          <w:rtl/>
        </w:rPr>
        <w:t xml:space="preserve"> من كلامه انه يدعي وضع الحروف لايج</w:t>
      </w:r>
      <w:r w:rsidR="001F278C" w:rsidRPr="00FD211F">
        <w:rPr>
          <w:sz w:val="36"/>
          <w:szCs w:val="36"/>
          <w:rtl/>
        </w:rPr>
        <w:t xml:space="preserve">اد الربط </w:t>
      </w:r>
      <w:r w:rsidRPr="00FD211F">
        <w:rPr>
          <w:sz w:val="36"/>
          <w:szCs w:val="36"/>
          <w:rtl/>
        </w:rPr>
        <w:t>الكلامي وانه لاواقع لها في غير التركيب الكلامي</w:t>
      </w:r>
      <w:r w:rsidR="00603323" w:rsidRPr="00FD211F">
        <w:rPr>
          <w:sz w:val="36"/>
          <w:szCs w:val="36"/>
          <w:rtl/>
        </w:rPr>
        <w:t xml:space="preserve">، </w:t>
      </w:r>
      <w:r w:rsidRPr="00FD211F">
        <w:rPr>
          <w:sz w:val="36"/>
          <w:szCs w:val="36"/>
          <w:rtl/>
        </w:rPr>
        <w:t>فأوردوا عليه بانه لااشكال في تحقق الربط في الكلام بواسط</w:t>
      </w:r>
      <w:r w:rsidR="00EC7EDF" w:rsidRPr="00FD211F">
        <w:rPr>
          <w:sz w:val="36"/>
          <w:szCs w:val="36"/>
          <w:rtl/>
        </w:rPr>
        <w:t xml:space="preserve">ة </w:t>
      </w:r>
      <w:r w:rsidRPr="00FD211F">
        <w:rPr>
          <w:sz w:val="36"/>
          <w:szCs w:val="36"/>
          <w:rtl/>
        </w:rPr>
        <w:t>الحروف وانه لولاها لما كانت</w:t>
      </w:r>
      <w:r w:rsidR="00EF5210" w:rsidRPr="00FD211F">
        <w:rPr>
          <w:sz w:val="36"/>
          <w:szCs w:val="36"/>
          <w:rtl/>
        </w:rPr>
        <w:t xml:space="preserve"> مفردات</w:t>
      </w:r>
      <w:r w:rsidRPr="00FD211F">
        <w:rPr>
          <w:sz w:val="36"/>
          <w:szCs w:val="36"/>
          <w:rtl/>
        </w:rPr>
        <w:t xml:space="preserve"> الجمل</w:t>
      </w:r>
      <w:r w:rsidR="00EC7EDF" w:rsidRPr="00FD211F">
        <w:rPr>
          <w:sz w:val="36"/>
          <w:szCs w:val="36"/>
          <w:rtl/>
        </w:rPr>
        <w:t xml:space="preserve">ة </w:t>
      </w:r>
      <w:r w:rsidRPr="00FD211F">
        <w:rPr>
          <w:sz w:val="36"/>
          <w:szCs w:val="36"/>
          <w:rtl/>
        </w:rPr>
        <w:t>مر</w:t>
      </w:r>
      <w:r w:rsidR="00EF5210" w:rsidRPr="00FD211F">
        <w:rPr>
          <w:sz w:val="36"/>
          <w:szCs w:val="36"/>
          <w:rtl/>
        </w:rPr>
        <w:t>تبطا</w:t>
      </w:r>
      <w:r w:rsidR="00CF23C1" w:rsidRPr="00FD211F">
        <w:rPr>
          <w:sz w:val="36"/>
          <w:szCs w:val="36"/>
          <w:rtl/>
        </w:rPr>
        <w:t xml:space="preserve"> </w:t>
      </w:r>
      <w:r w:rsidR="00EF5210" w:rsidRPr="00FD211F">
        <w:rPr>
          <w:sz w:val="36"/>
          <w:szCs w:val="36"/>
          <w:rtl/>
        </w:rPr>
        <w:t>بعضها</w:t>
      </w:r>
      <w:r w:rsidR="00CF23C1" w:rsidRPr="00FD211F">
        <w:rPr>
          <w:sz w:val="36"/>
          <w:szCs w:val="36"/>
          <w:rtl/>
        </w:rPr>
        <w:t xml:space="preserve"> </w:t>
      </w:r>
      <w:r w:rsidR="00EF5210" w:rsidRPr="00FD211F">
        <w:rPr>
          <w:sz w:val="36"/>
          <w:szCs w:val="36"/>
          <w:rtl/>
        </w:rPr>
        <w:t>ببعض</w:t>
      </w:r>
      <w:r w:rsidR="00603323" w:rsidRPr="00FD211F">
        <w:rPr>
          <w:sz w:val="36"/>
          <w:szCs w:val="36"/>
          <w:rtl/>
        </w:rPr>
        <w:t xml:space="preserve">، </w:t>
      </w:r>
      <w:r w:rsidRPr="00FD211F">
        <w:rPr>
          <w:sz w:val="36"/>
          <w:szCs w:val="36"/>
          <w:rtl/>
        </w:rPr>
        <w:t>الا ان الرب</w:t>
      </w:r>
      <w:r w:rsidR="00EF5210" w:rsidRPr="00FD211F">
        <w:rPr>
          <w:sz w:val="36"/>
          <w:szCs w:val="36"/>
          <w:rtl/>
        </w:rPr>
        <w:t>ط المذكور انما هو من جه</w:t>
      </w:r>
      <w:r w:rsidR="00EC7EDF" w:rsidRPr="00FD211F">
        <w:rPr>
          <w:sz w:val="36"/>
          <w:szCs w:val="36"/>
          <w:rtl/>
        </w:rPr>
        <w:t xml:space="preserve">ة </w:t>
      </w:r>
      <w:r w:rsidR="00EF5210" w:rsidRPr="00FD211F">
        <w:rPr>
          <w:sz w:val="36"/>
          <w:szCs w:val="36"/>
          <w:rtl/>
        </w:rPr>
        <w:t>دلال</w:t>
      </w:r>
      <w:r w:rsidR="00EC7EDF" w:rsidRPr="00FD211F">
        <w:rPr>
          <w:sz w:val="36"/>
          <w:szCs w:val="36"/>
          <w:rtl/>
        </w:rPr>
        <w:t xml:space="preserve">ة </w:t>
      </w:r>
      <w:r w:rsidR="00EF5210" w:rsidRPr="00FD211F">
        <w:rPr>
          <w:sz w:val="36"/>
          <w:szCs w:val="36"/>
          <w:rtl/>
        </w:rPr>
        <w:t>الحروف</w:t>
      </w:r>
      <w:r w:rsidRPr="00FD211F">
        <w:rPr>
          <w:sz w:val="36"/>
          <w:szCs w:val="36"/>
          <w:rtl/>
        </w:rPr>
        <w:t xml:space="preserve"> على معانيها التي وضعت لها</w:t>
      </w:r>
      <w:r w:rsidR="00603323" w:rsidRPr="00FD211F">
        <w:rPr>
          <w:sz w:val="36"/>
          <w:szCs w:val="36"/>
          <w:rtl/>
        </w:rPr>
        <w:t xml:space="preserve">، </w:t>
      </w:r>
      <w:r w:rsidRPr="00FD211F">
        <w:rPr>
          <w:sz w:val="36"/>
          <w:szCs w:val="36"/>
          <w:rtl/>
        </w:rPr>
        <w:t>والكلام فعلا في تشخيص تلك المعاني التي بوجود الدال عليها يكون الكلام بعضه مربوطا ببعض</w:t>
      </w:r>
      <w:r w:rsidR="00603323" w:rsidRPr="00FD211F">
        <w:rPr>
          <w:sz w:val="36"/>
          <w:szCs w:val="36"/>
          <w:rtl/>
        </w:rPr>
        <w:t xml:space="preserve">، </w:t>
      </w:r>
      <w:r w:rsidRPr="00FD211F">
        <w:rPr>
          <w:sz w:val="36"/>
          <w:szCs w:val="36"/>
          <w:rtl/>
        </w:rPr>
        <w:t>فعدم كون معاني الحروف اخطاري</w:t>
      </w:r>
      <w:r w:rsidR="00EC7EDF" w:rsidRPr="00FD211F">
        <w:rPr>
          <w:sz w:val="36"/>
          <w:szCs w:val="36"/>
          <w:rtl/>
        </w:rPr>
        <w:t xml:space="preserve">ة </w:t>
      </w:r>
      <w:r w:rsidRPr="00FD211F">
        <w:rPr>
          <w:sz w:val="36"/>
          <w:szCs w:val="36"/>
          <w:rtl/>
        </w:rPr>
        <w:t>لايساوق عدم معنى لها غير ايجاد الربط الكلامي</w:t>
      </w:r>
      <w:r w:rsidR="00603323" w:rsidRPr="00FD211F">
        <w:rPr>
          <w:sz w:val="36"/>
          <w:szCs w:val="36"/>
          <w:rtl/>
        </w:rPr>
        <w:t xml:space="preserve">، </w:t>
      </w:r>
      <w:r w:rsidRPr="00FD211F">
        <w:rPr>
          <w:sz w:val="36"/>
          <w:szCs w:val="36"/>
          <w:rtl/>
        </w:rPr>
        <w:t>وانما يعني عدم كون معانيها استقلالي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60"/>
      </w:r>
      <w:r w:rsidR="009C58C8" w:rsidRPr="00FD211F">
        <w:rPr>
          <w:rStyle w:val="a6"/>
          <w:sz w:val="36"/>
          <w:szCs w:val="36"/>
          <w:rtl/>
        </w:rPr>
        <w:t>)</w:t>
      </w:r>
      <w:r w:rsidRPr="00FD211F">
        <w:rPr>
          <w:sz w:val="36"/>
          <w:szCs w:val="36"/>
          <w:rtl/>
        </w:rPr>
        <w:t>.</w:t>
      </w:r>
    </w:p>
    <w:p w14:paraId="727C3759" w14:textId="77777777" w:rsidR="007F5659" w:rsidRPr="00FD211F" w:rsidRDefault="007F5659" w:rsidP="009C58C8">
      <w:pPr>
        <w:ind w:left="0" w:firstLine="227"/>
        <w:jc w:val="both"/>
        <w:rPr>
          <w:sz w:val="36"/>
          <w:szCs w:val="36"/>
          <w:rtl/>
        </w:rPr>
      </w:pPr>
      <w:r w:rsidRPr="00FD211F">
        <w:rPr>
          <w:sz w:val="36"/>
          <w:szCs w:val="36"/>
          <w:rtl/>
        </w:rPr>
        <w:t>ولكن لايبعد ا</w:t>
      </w:r>
      <w:r w:rsidR="00CF23C1" w:rsidRPr="00FD211F">
        <w:rPr>
          <w:sz w:val="36"/>
          <w:szCs w:val="36"/>
          <w:rtl/>
        </w:rPr>
        <w:t xml:space="preserve">ن يكون مراده </w:t>
      </w:r>
      <w:r w:rsidRPr="00FD211F">
        <w:rPr>
          <w:sz w:val="36"/>
          <w:szCs w:val="36"/>
          <w:rtl/>
        </w:rPr>
        <w:t>ان المعنى الحرفي -الذي لااشكال في كونه ثابتا في الذهن قبل التلفظ بالكلام- من سنخ الوجود ولاتقرر له الا في مرحل</w:t>
      </w:r>
      <w:r w:rsidR="00EC7EDF" w:rsidRPr="00FD211F">
        <w:rPr>
          <w:sz w:val="36"/>
          <w:szCs w:val="36"/>
          <w:rtl/>
        </w:rPr>
        <w:t xml:space="preserve">ة </w:t>
      </w:r>
      <w:r w:rsidRPr="00FD211F">
        <w:rPr>
          <w:sz w:val="36"/>
          <w:szCs w:val="36"/>
          <w:rtl/>
        </w:rPr>
        <w:t>الوجود الذهني لمدلول الكلام</w:t>
      </w:r>
      <w:r w:rsidR="00603323" w:rsidRPr="00FD211F">
        <w:rPr>
          <w:sz w:val="36"/>
          <w:szCs w:val="36"/>
          <w:rtl/>
        </w:rPr>
        <w:t xml:space="preserve">، </w:t>
      </w:r>
      <w:r w:rsidRPr="00FD211F">
        <w:rPr>
          <w:sz w:val="36"/>
          <w:szCs w:val="36"/>
          <w:rtl/>
        </w:rPr>
        <w:t>بينما ان المعنى الاسمي له تقرر</w:t>
      </w:r>
      <w:r w:rsidR="00297753" w:rsidRPr="00FD211F">
        <w:rPr>
          <w:sz w:val="36"/>
          <w:szCs w:val="36"/>
          <w:rtl/>
        </w:rPr>
        <w:t xml:space="preserve"> في مرتب</w:t>
      </w:r>
      <w:r w:rsidR="00EC7EDF" w:rsidRPr="00FD211F">
        <w:rPr>
          <w:sz w:val="36"/>
          <w:szCs w:val="36"/>
          <w:rtl/>
        </w:rPr>
        <w:t xml:space="preserve">ة </w:t>
      </w:r>
      <w:r w:rsidRPr="00FD211F">
        <w:rPr>
          <w:sz w:val="36"/>
          <w:szCs w:val="36"/>
          <w:rtl/>
        </w:rPr>
        <w:t>سابق</w:t>
      </w:r>
      <w:r w:rsidR="00EC7EDF" w:rsidRPr="00FD211F">
        <w:rPr>
          <w:sz w:val="36"/>
          <w:szCs w:val="36"/>
          <w:rtl/>
        </w:rPr>
        <w:t xml:space="preserve">ة </w:t>
      </w:r>
      <w:r w:rsidRPr="00FD211F">
        <w:rPr>
          <w:sz w:val="36"/>
          <w:szCs w:val="36"/>
          <w:rtl/>
        </w:rPr>
        <w:t>وبقطع النظر عن مرحل</w:t>
      </w:r>
      <w:r w:rsidR="00EC7EDF" w:rsidRPr="00FD211F">
        <w:rPr>
          <w:sz w:val="36"/>
          <w:szCs w:val="36"/>
          <w:rtl/>
        </w:rPr>
        <w:t xml:space="preserve">ة </w:t>
      </w:r>
      <w:r w:rsidRPr="00FD211F">
        <w:rPr>
          <w:sz w:val="36"/>
          <w:szCs w:val="36"/>
          <w:rtl/>
        </w:rPr>
        <w:t>الوجود الذهني.</w:t>
      </w:r>
    </w:p>
    <w:p w14:paraId="22643D9B" w14:textId="77777777" w:rsidR="007F5659" w:rsidRPr="00FD211F" w:rsidRDefault="007F5659" w:rsidP="009C58C8">
      <w:pPr>
        <w:ind w:left="0" w:firstLine="227"/>
        <w:jc w:val="both"/>
        <w:rPr>
          <w:sz w:val="36"/>
          <w:szCs w:val="36"/>
          <w:rtl/>
        </w:rPr>
      </w:pPr>
      <w:r w:rsidRPr="00FD211F">
        <w:rPr>
          <w:sz w:val="36"/>
          <w:szCs w:val="36"/>
          <w:rtl/>
        </w:rPr>
        <w:t xml:space="preserve">وقد ذكر في </w:t>
      </w:r>
      <w:r w:rsidR="00E129D6" w:rsidRPr="00FD211F">
        <w:rPr>
          <w:sz w:val="36"/>
          <w:szCs w:val="36"/>
          <w:rtl/>
        </w:rPr>
        <w:t xml:space="preserve">البحوث في </w:t>
      </w:r>
      <w:r w:rsidRPr="00FD211F">
        <w:rPr>
          <w:sz w:val="36"/>
          <w:szCs w:val="36"/>
          <w:rtl/>
        </w:rPr>
        <w:t xml:space="preserve">توضيح ذلك </w:t>
      </w:r>
      <w:r w:rsidR="00E129D6" w:rsidRPr="00FD211F">
        <w:rPr>
          <w:sz w:val="36"/>
          <w:szCs w:val="36"/>
          <w:rtl/>
        </w:rPr>
        <w:t>أ</w:t>
      </w:r>
      <w:r w:rsidRPr="00FD211F">
        <w:rPr>
          <w:sz w:val="36"/>
          <w:szCs w:val="36"/>
          <w:rtl/>
        </w:rPr>
        <w:t>ن للمعنى الحرفي ثلاث خصوصيات:</w:t>
      </w:r>
    </w:p>
    <w:p w14:paraId="7A9C28EA" w14:textId="77777777" w:rsidR="007F5659" w:rsidRPr="00FD211F" w:rsidRDefault="007F5659" w:rsidP="009C58C8">
      <w:pPr>
        <w:ind w:left="0" w:firstLine="227"/>
        <w:jc w:val="both"/>
        <w:rPr>
          <w:sz w:val="36"/>
          <w:szCs w:val="36"/>
          <w:rtl/>
        </w:rPr>
      </w:pPr>
      <w:r w:rsidRPr="00FD211F">
        <w:rPr>
          <w:b/>
          <w:bCs/>
          <w:sz w:val="36"/>
          <w:szCs w:val="36"/>
          <w:rtl/>
        </w:rPr>
        <w:t>الاولى</w:t>
      </w:r>
      <w:r w:rsidRPr="00FD211F">
        <w:rPr>
          <w:sz w:val="36"/>
          <w:szCs w:val="36"/>
          <w:rtl/>
        </w:rPr>
        <w:t>: انه حينما نواجه نارا في الموقد فننتزع مفهوما بإزاء النار ومفهوما بإزاء الموقد وهما مفهومان اسمييان</w:t>
      </w:r>
      <w:r w:rsidR="00603323" w:rsidRPr="00FD211F">
        <w:rPr>
          <w:sz w:val="36"/>
          <w:szCs w:val="36"/>
          <w:rtl/>
        </w:rPr>
        <w:t xml:space="preserve">، </w:t>
      </w:r>
      <w:r w:rsidRPr="00FD211F">
        <w:rPr>
          <w:sz w:val="36"/>
          <w:szCs w:val="36"/>
          <w:rtl/>
        </w:rPr>
        <w:t>وحيث ان الغرض تعلق بامكان الحكم على الخارج بتوسط ما هو عنوان له وعينه بالحمل الاولي وبالنظر التصوري</w:t>
      </w:r>
      <w:r w:rsidR="00603323" w:rsidRPr="00FD211F">
        <w:rPr>
          <w:sz w:val="36"/>
          <w:szCs w:val="36"/>
          <w:rtl/>
        </w:rPr>
        <w:t xml:space="preserve">، </w:t>
      </w:r>
      <w:r w:rsidRPr="00FD211F">
        <w:rPr>
          <w:sz w:val="36"/>
          <w:szCs w:val="36"/>
          <w:rtl/>
        </w:rPr>
        <w:t>فيترتب هذا الغرض على حصول مفهومهما في الذهن من دون حاج</w:t>
      </w:r>
      <w:r w:rsidR="00EC7EDF" w:rsidRPr="00FD211F">
        <w:rPr>
          <w:sz w:val="36"/>
          <w:szCs w:val="36"/>
          <w:rtl/>
        </w:rPr>
        <w:t xml:space="preserve">ة </w:t>
      </w:r>
      <w:r w:rsidRPr="00FD211F">
        <w:rPr>
          <w:sz w:val="36"/>
          <w:szCs w:val="36"/>
          <w:rtl/>
        </w:rPr>
        <w:t>الى ان يكون المفهوم المزبور نارا او موقدا بالحمل الشائع</w:t>
      </w:r>
      <w:r w:rsidR="00603323" w:rsidRPr="00FD211F">
        <w:rPr>
          <w:sz w:val="36"/>
          <w:szCs w:val="36"/>
          <w:rtl/>
        </w:rPr>
        <w:t xml:space="preserve">، </w:t>
      </w:r>
      <w:r w:rsidRPr="00FD211F">
        <w:rPr>
          <w:sz w:val="36"/>
          <w:szCs w:val="36"/>
          <w:rtl/>
        </w:rPr>
        <w:t>واما الربط الظرفي الخارجي بينهما فتار</w:t>
      </w:r>
      <w:r w:rsidR="00EC7EDF" w:rsidRPr="00FD211F">
        <w:rPr>
          <w:sz w:val="36"/>
          <w:szCs w:val="36"/>
          <w:rtl/>
        </w:rPr>
        <w:t xml:space="preserve">ة </w:t>
      </w:r>
      <w:r w:rsidRPr="00FD211F">
        <w:rPr>
          <w:sz w:val="36"/>
          <w:szCs w:val="36"/>
          <w:rtl/>
        </w:rPr>
        <w:t>يتعلق الغرض بإحضار عنوان حاك عنه في الذهن فحسب للحكم عليه مثلا</w:t>
      </w:r>
      <w:r w:rsidR="00603323" w:rsidRPr="00FD211F">
        <w:rPr>
          <w:sz w:val="36"/>
          <w:szCs w:val="36"/>
          <w:rtl/>
        </w:rPr>
        <w:t xml:space="preserve">، </w:t>
      </w:r>
      <w:r w:rsidRPr="00FD211F">
        <w:rPr>
          <w:sz w:val="36"/>
          <w:szCs w:val="36"/>
          <w:rtl/>
        </w:rPr>
        <w:t>فحينئذ ينتزع الذهن عنوان الربط الظرفي بينهما</w:t>
      </w:r>
      <w:r w:rsidR="00603323" w:rsidRPr="00FD211F">
        <w:rPr>
          <w:sz w:val="36"/>
          <w:szCs w:val="36"/>
          <w:rtl/>
        </w:rPr>
        <w:t xml:space="preserve">، </w:t>
      </w:r>
      <w:r w:rsidRPr="00FD211F">
        <w:rPr>
          <w:sz w:val="36"/>
          <w:szCs w:val="36"/>
          <w:rtl/>
        </w:rPr>
        <w:t>فيقال مثلا الربط الظرفي موجود بين ال</w:t>
      </w:r>
      <w:r w:rsidR="00FE1280" w:rsidRPr="00FD211F">
        <w:rPr>
          <w:sz w:val="36"/>
          <w:szCs w:val="36"/>
          <w:rtl/>
        </w:rPr>
        <w:t>ن</w:t>
      </w:r>
      <w:r w:rsidRPr="00FD211F">
        <w:rPr>
          <w:sz w:val="36"/>
          <w:szCs w:val="36"/>
          <w:rtl/>
        </w:rPr>
        <w:t>ار والموقد</w:t>
      </w:r>
      <w:r w:rsidR="00603323" w:rsidRPr="00FD211F">
        <w:rPr>
          <w:sz w:val="36"/>
          <w:szCs w:val="36"/>
          <w:rtl/>
        </w:rPr>
        <w:t xml:space="preserve">، </w:t>
      </w:r>
      <w:r w:rsidRPr="00FD211F">
        <w:rPr>
          <w:sz w:val="36"/>
          <w:szCs w:val="36"/>
          <w:rtl/>
        </w:rPr>
        <w:t>وتار</w:t>
      </w:r>
      <w:r w:rsidR="00EC7EDF" w:rsidRPr="00FD211F">
        <w:rPr>
          <w:sz w:val="36"/>
          <w:szCs w:val="36"/>
          <w:rtl/>
        </w:rPr>
        <w:t xml:space="preserve">ة </w:t>
      </w:r>
      <w:r w:rsidRPr="00FD211F">
        <w:rPr>
          <w:sz w:val="36"/>
          <w:szCs w:val="36"/>
          <w:rtl/>
        </w:rPr>
        <w:t>أخرى يتعلق الغرض بتحقق الربط الحقيقي بين مفهوم النار ومفهوم الموقد في الذهن</w:t>
      </w:r>
      <w:r w:rsidR="00603323" w:rsidRPr="00FD211F">
        <w:rPr>
          <w:sz w:val="36"/>
          <w:szCs w:val="36"/>
          <w:rtl/>
        </w:rPr>
        <w:t xml:space="preserve">، </w:t>
      </w:r>
      <w:r w:rsidRPr="00FD211F">
        <w:rPr>
          <w:sz w:val="36"/>
          <w:szCs w:val="36"/>
          <w:rtl/>
        </w:rPr>
        <w:t>وحينئذ فلايكفي إحضار مفهوم الربط</w:t>
      </w:r>
      <w:r w:rsidR="00603323" w:rsidRPr="00FD211F">
        <w:rPr>
          <w:sz w:val="36"/>
          <w:szCs w:val="36"/>
          <w:rtl/>
        </w:rPr>
        <w:t xml:space="preserve">، </w:t>
      </w:r>
      <w:r w:rsidRPr="00FD211F">
        <w:rPr>
          <w:sz w:val="36"/>
          <w:szCs w:val="36"/>
          <w:rtl/>
        </w:rPr>
        <w:t>فانه ربط بالحمل الأولي ونحن نحتاج الى ما يربط بينهما واقعا وبالحمل الشائع</w:t>
      </w:r>
      <w:r w:rsidR="00603323" w:rsidRPr="00FD211F">
        <w:rPr>
          <w:sz w:val="36"/>
          <w:szCs w:val="36"/>
          <w:rtl/>
        </w:rPr>
        <w:t xml:space="preserve">، </w:t>
      </w:r>
      <w:r w:rsidRPr="00FD211F">
        <w:rPr>
          <w:sz w:val="36"/>
          <w:szCs w:val="36"/>
          <w:rtl/>
        </w:rPr>
        <w:t>فالربط بين مفهوم النار ومفهوم الموقد الموجودين في الذهن يكون بسبب واقع الربط</w:t>
      </w:r>
      <w:r w:rsidR="00603323" w:rsidRPr="00FD211F">
        <w:rPr>
          <w:sz w:val="36"/>
          <w:szCs w:val="36"/>
          <w:rtl/>
        </w:rPr>
        <w:t xml:space="preserve">، </w:t>
      </w:r>
      <w:r w:rsidRPr="00FD211F">
        <w:rPr>
          <w:sz w:val="36"/>
          <w:szCs w:val="36"/>
          <w:rtl/>
        </w:rPr>
        <w:t>كما هو كذلك في الربط بين النار والموقد الخارجيين</w:t>
      </w:r>
      <w:r w:rsidR="00603323" w:rsidRPr="00FD211F">
        <w:rPr>
          <w:sz w:val="36"/>
          <w:szCs w:val="36"/>
          <w:rtl/>
        </w:rPr>
        <w:t xml:space="preserve">، </w:t>
      </w:r>
      <w:r w:rsidRPr="00FD211F">
        <w:rPr>
          <w:sz w:val="36"/>
          <w:szCs w:val="36"/>
          <w:rtl/>
        </w:rPr>
        <w:t>غاي</w:t>
      </w:r>
      <w:r w:rsidR="00EC7EDF" w:rsidRPr="00FD211F">
        <w:rPr>
          <w:sz w:val="36"/>
          <w:szCs w:val="36"/>
          <w:rtl/>
        </w:rPr>
        <w:t xml:space="preserve">ة </w:t>
      </w:r>
      <w:r w:rsidRPr="00FD211F">
        <w:rPr>
          <w:sz w:val="36"/>
          <w:szCs w:val="36"/>
          <w:rtl/>
        </w:rPr>
        <w:t>الأمر ان المرتبطين في الاول موجودان ذهنا وفي الثاني موجودان خارجا</w:t>
      </w:r>
      <w:r w:rsidR="00603323" w:rsidRPr="00FD211F">
        <w:rPr>
          <w:sz w:val="36"/>
          <w:szCs w:val="36"/>
          <w:rtl/>
        </w:rPr>
        <w:t xml:space="preserve">، </w:t>
      </w:r>
      <w:r w:rsidRPr="00FD211F">
        <w:rPr>
          <w:sz w:val="36"/>
          <w:szCs w:val="36"/>
          <w:rtl/>
        </w:rPr>
        <w:t>اما الربط بينهما فحقيقي في كلا الموردين</w:t>
      </w:r>
      <w:r w:rsidR="00603323" w:rsidRPr="00FD211F">
        <w:rPr>
          <w:sz w:val="36"/>
          <w:szCs w:val="36"/>
          <w:rtl/>
        </w:rPr>
        <w:t xml:space="preserve">، </w:t>
      </w:r>
      <w:r w:rsidRPr="00FD211F">
        <w:rPr>
          <w:sz w:val="36"/>
          <w:szCs w:val="36"/>
          <w:rtl/>
        </w:rPr>
        <w:t>ومعنى ذلك ان الحروف موضوع</w:t>
      </w:r>
      <w:r w:rsidR="00EC7EDF" w:rsidRPr="00FD211F">
        <w:rPr>
          <w:sz w:val="36"/>
          <w:szCs w:val="36"/>
          <w:rtl/>
        </w:rPr>
        <w:t xml:space="preserve">ة </w:t>
      </w:r>
      <w:r w:rsidRPr="00FD211F">
        <w:rPr>
          <w:sz w:val="36"/>
          <w:szCs w:val="36"/>
          <w:rtl/>
        </w:rPr>
        <w:t>بإزاء واقع النسب</w:t>
      </w:r>
      <w:r w:rsidR="00EC7EDF" w:rsidRPr="00FD211F">
        <w:rPr>
          <w:sz w:val="36"/>
          <w:szCs w:val="36"/>
          <w:rtl/>
        </w:rPr>
        <w:t xml:space="preserve">ة </w:t>
      </w:r>
      <w:r w:rsidRPr="00FD211F">
        <w:rPr>
          <w:sz w:val="36"/>
          <w:szCs w:val="36"/>
          <w:rtl/>
        </w:rPr>
        <w:t>والربط دون مفهومها لعدم وفاءه بالغرض المتعلق بايجاد الربط بين مفهومين ذهنيين.</w:t>
      </w:r>
    </w:p>
    <w:p w14:paraId="53DA8F65" w14:textId="77777777" w:rsidR="007F5659" w:rsidRPr="00FD211F" w:rsidRDefault="007F5659" w:rsidP="009C58C8">
      <w:pPr>
        <w:ind w:left="0" w:firstLine="227"/>
        <w:jc w:val="both"/>
        <w:rPr>
          <w:sz w:val="36"/>
          <w:szCs w:val="36"/>
          <w:rtl/>
        </w:rPr>
      </w:pP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sz w:val="36"/>
          <w:szCs w:val="36"/>
          <w:rtl/>
        </w:rPr>
        <w:t xml:space="preserve"> ان المعنى الحرفي ليس له تقرر ذاتي الا في طول وجوده</w:t>
      </w:r>
      <w:r w:rsidR="00603323" w:rsidRPr="00FD211F">
        <w:rPr>
          <w:sz w:val="36"/>
          <w:szCs w:val="36"/>
          <w:rtl/>
        </w:rPr>
        <w:t xml:space="preserve">، </w:t>
      </w:r>
      <w:r w:rsidRPr="00FD211F">
        <w:rPr>
          <w:sz w:val="36"/>
          <w:szCs w:val="36"/>
          <w:rtl/>
        </w:rPr>
        <w:t>بخلاف المعنى الإسمي</w:t>
      </w:r>
      <w:r w:rsidR="00603323" w:rsidRPr="00FD211F">
        <w:rPr>
          <w:sz w:val="36"/>
          <w:szCs w:val="36"/>
          <w:rtl/>
        </w:rPr>
        <w:t xml:space="preserve">، </w:t>
      </w:r>
      <w:r w:rsidRPr="00FD211F">
        <w:rPr>
          <w:sz w:val="36"/>
          <w:szCs w:val="36"/>
          <w:rtl/>
        </w:rPr>
        <w:t>توضيح ذلك: انه في مثال النار في الموقد يكون في البين ثلاث نسب ظرفي</w:t>
      </w:r>
      <w:r w:rsidR="00EC7EDF" w:rsidRPr="00FD211F">
        <w:rPr>
          <w:sz w:val="36"/>
          <w:szCs w:val="36"/>
          <w:rtl/>
        </w:rPr>
        <w:t>ة</w:t>
      </w:r>
      <w:r w:rsidR="00603323" w:rsidRPr="00FD211F">
        <w:rPr>
          <w:sz w:val="36"/>
          <w:szCs w:val="36"/>
          <w:rtl/>
        </w:rPr>
        <w:t xml:space="preserve">، </w:t>
      </w:r>
      <w:r w:rsidRPr="00FD211F">
        <w:rPr>
          <w:sz w:val="36"/>
          <w:szCs w:val="36"/>
          <w:rtl/>
        </w:rPr>
        <w:t>اولها في الخارج وثانيها في ذهن المتكلم وثالثها في ذهن السامع وكل منها متقوم بوجود طرفيها</w:t>
      </w:r>
      <w:r w:rsidR="00603323" w:rsidRPr="00FD211F">
        <w:rPr>
          <w:sz w:val="36"/>
          <w:szCs w:val="36"/>
          <w:rtl/>
        </w:rPr>
        <w:t xml:space="preserve">، </w:t>
      </w:r>
      <w:r w:rsidRPr="00FD211F">
        <w:rPr>
          <w:sz w:val="36"/>
          <w:szCs w:val="36"/>
          <w:rtl/>
        </w:rPr>
        <w:t>فالنسب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الموجود</w:t>
      </w:r>
      <w:r w:rsidR="00EC7EDF" w:rsidRPr="00FD211F">
        <w:rPr>
          <w:sz w:val="36"/>
          <w:szCs w:val="36"/>
          <w:rtl/>
        </w:rPr>
        <w:t xml:space="preserve">ة </w:t>
      </w:r>
      <w:r w:rsidRPr="00FD211F">
        <w:rPr>
          <w:sz w:val="36"/>
          <w:szCs w:val="36"/>
          <w:rtl/>
        </w:rPr>
        <w:t>في الخارج متقوم</w:t>
      </w:r>
      <w:r w:rsidR="00EC7EDF" w:rsidRPr="00FD211F">
        <w:rPr>
          <w:sz w:val="36"/>
          <w:szCs w:val="36"/>
          <w:rtl/>
        </w:rPr>
        <w:t xml:space="preserve">ة </w:t>
      </w:r>
      <w:r w:rsidRPr="00FD211F">
        <w:rPr>
          <w:sz w:val="36"/>
          <w:szCs w:val="36"/>
          <w:rtl/>
        </w:rPr>
        <w:t>في ذاتها بوجود النار والموقد الخارجيين والنسب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الموجود</w:t>
      </w:r>
      <w:r w:rsidR="00EC7EDF" w:rsidRPr="00FD211F">
        <w:rPr>
          <w:sz w:val="36"/>
          <w:szCs w:val="36"/>
          <w:rtl/>
        </w:rPr>
        <w:t xml:space="preserve">ة </w:t>
      </w:r>
      <w:r w:rsidRPr="00FD211F">
        <w:rPr>
          <w:sz w:val="36"/>
          <w:szCs w:val="36"/>
          <w:rtl/>
        </w:rPr>
        <w:t>في ذهن المتكلم متقوم</w:t>
      </w:r>
      <w:r w:rsidR="00EC7EDF" w:rsidRPr="00FD211F">
        <w:rPr>
          <w:sz w:val="36"/>
          <w:szCs w:val="36"/>
          <w:rtl/>
        </w:rPr>
        <w:t xml:space="preserve">ة </w:t>
      </w:r>
      <w:r w:rsidRPr="00FD211F">
        <w:rPr>
          <w:sz w:val="36"/>
          <w:szCs w:val="36"/>
          <w:rtl/>
        </w:rPr>
        <w:t>في ذاتها بوجود مفهوم النار والموقد في ذهنه</w:t>
      </w:r>
      <w:r w:rsidR="00603323" w:rsidRPr="00FD211F">
        <w:rPr>
          <w:sz w:val="36"/>
          <w:szCs w:val="36"/>
          <w:rtl/>
        </w:rPr>
        <w:t xml:space="preserve">، </w:t>
      </w:r>
      <w:r w:rsidRPr="00FD211F">
        <w:rPr>
          <w:sz w:val="36"/>
          <w:szCs w:val="36"/>
          <w:rtl/>
        </w:rPr>
        <w:t>وهكذا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الموجود</w:t>
      </w:r>
      <w:r w:rsidR="00EC7EDF" w:rsidRPr="00FD211F">
        <w:rPr>
          <w:sz w:val="36"/>
          <w:szCs w:val="36"/>
          <w:rtl/>
        </w:rPr>
        <w:t xml:space="preserve">ة </w:t>
      </w:r>
      <w:r w:rsidRPr="00FD211F">
        <w:rPr>
          <w:sz w:val="36"/>
          <w:szCs w:val="36"/>
          <w:rtl/>
        </w:rPr>
        <w:t>في ذهن السامع متقوم</w:t>
      </w:r>
      <w:r w:rsidR="00EC7EDF" w:rsidRPr="00FD211F">
        <w:rPr>
          <w:sz w:val="36"/>
          <w:szCs w:val="36"/>
          <w:rtl/>
        </w:rPr>
        <w:t xml:space="preserve">ة </w:t>
      </w:r>
      <w:r w:rsidRPr="00FD211F">
        <w:rPr>
          <w:sz w:val="36"/>
          <w:szCs w:val="36"/>
          <w:rtl/>
        </w:rPr>
        <w:t>في ذاتها بوجود مفهوم النار والموقد في ذهنه</w:t>
      </w:r>
      <w:r w:rsidR="00603323" w:rsidRPr="00FD211F">
        <w:rPr>
          <w:sz w:val="36"/>
          <w:szCs w:val="36"/>
          <w:rtl/>
        </w:rPr>
        <w:t xml:space="preserve">، </w:t>
      </w:r>
      <w:r w:rsidRPr="00FD211F">
        <w:rPr>
          <w:sz w:val="36"/>
          <w:szCs w:val="36"/>
          <w:rtl/>
        </w:rPr>
        <w:t>فلو اريد إلغاء خصوصي</w:t>
      </w:r>
      <w:r w:rsidR="00EC7EDF" w:rsidRPr="00FD211F">
        <w:rPr>
          <w:sz w:val="36"/>
          <w:szCs w:val="36"/>
          <w:rtl/>
        </w:rPr>
        <w:t xml:space="preserve">ة </w:t>
      </w:r>
      <w:r w:rsidRPr="00FD211F">
        <w:rPr>
          <w:sz w:val="36"/>
          <w:szCs w:val="36"/>
          <w:rtl/>
        </w:rPr>
        <w:t>تقومها بهما انعدم ذاتها</w:t>
      </w:r>
      <w:r w:rsidR="00603323" w:rsidRPr="00FD211F">
        <w:rPr>
          <w:sz w:val="36"/>
          <w:szCs w:val="36"/>
          <w:rtl/>
        </w:rPr>
        <w:t xml:space="preserve">، </w:t>
      </w:r>
      <w:r w:rsidRPr="00FD211F">
        <w:rPr>
          <w:sz w:val="36"/>
          <w:szCs w:val="36"/>
          <w:rtl/>
        </w:rPr>
        <w:t>فلايتصور جامع ذاتي بين هذه النسب لانه يعتبر في الجامع الذاتي ان ينحفظ الذاتي بين الأفراد مع الغاء خصوصياتها الفردي</w:t>
      </w:r>
      <w:r w:rsidR="00EC7EDF" w:rsidRPr="00FD211F">
        <w:rPr>
          <w:sz w:val="36"/>
          <w:szCs w:val="36"/>
          <w:rtl/>
        </w:rPr>
        <w:t>ة</w:t>
      </w:r>
      <w:r w:rsidR="00A61BAE" w:rsidRPr="00FD211F">
        <w:rPr>
          <w:sz w:val="36"/>
          <w:szCs w:val="36"/>
          <w:rtl/>
        </w:rPr>
        <w:t>.</w:t>
      </w:r>
    </w:p>
    <w:p w14:paraId="02BBEF3C" w14:textId="77777777" w:rsidR="007F5659" w:rsidRPr="00FD211F" w:rsidRDefault="007F5659" w:rsidP="009C58C8">
      <w:pPr>
        <w:ind w:left="0" w:firstLine="227"/>
        <w:jc w:val="both"/>
        <w:rPr>
          <w:sz w:val="36"/>
          <w:szCs w:val="36"/>
          <w:rtl/>
        </w:rPr>
      </w:pPr>
      <w:r w:rsidRPr="00FD211F">
        <w:rPr>
          <w:sz w:val="36"/>
          <w:szCs w:val="36"/>
          <w:rtl/>
        </w:rPr>
        <w:t>ودعوى ان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بين طبيعي النار وطبيعي الموقد جامع للنسب الثلاث المذكور</w:t>
      </w:r>
      <w:r w:rsidR="00EC7EDF" w:rsidRPr="00FD211F">
        <w:rPr>
          <w:sz w:val="36"/>
          <w:szCs w:val="36"/>
          <w:rtl/>
        </w:rPr>
        <w:t xml:space="preserve">ة </w:t>
      </w:r>
      <w:r w:rsidRPr="00FD211F">
        <w:rPr>
          <w:sz w:val="36"/>
          <w:szCs w:val="36"/>
          <w:rtl/>
        </w:rPr>
        <w:t>فغير متجه</w:t>
      </w:r>
      <w:r w:rsidR="00EC7EDF" w:rsidRPr="00FD211F">
        <w:rPr>
          <w:sz w:val="36"/>
          <w:szCs w:val="36"/>
          <w:rtl/>
        </w:rPr>
        <w:t>ة</w:t>
      </w:r>
      <w:r w:rsidR="00603323" w:rsidRPr="00FD211F">
        <w:rPr>
          <w:sz w:val="36"/>
          <w:szCs w:val="36"/>
          <w:rtl/>
        </w:rPr>
        <w:t xml:space="preserve">، </w:t>
      </w:r>
      <w:r w:rsidRPr="00FD211F">
        <w:rPr>
          <w:sz w:val="36"/>
          <w:szCs w:val="36"/>
          <w:rtl/>
        </w:rPr>
        <w:t>لان واقع النسب</w:t>
      </w:r>
      <w:r w:rsidR="00EC7EDF" w:rsidRPr="00FD211F">
        <w:rPr>
          <w:sz w:val="36"/>
          <w:szCs w:val="36"/>
          <w:rtl/>
        </w:rPr>
        <w:t xml:space="preserve">ة </w:t>
      </w:r>
      <w:r w:rsidRPr="00FD211F">
        <w:rPr>
          <w:sz w:val="36"/>
          <w:szCs w:val="36"/>
          <w:rtl/>
        </w:rPr>
        <w:t>متقوم بوجود الطرفين والنسب</w:t>
      </w:r>
      <w:r w:rsidR="00EC7EDF" w:rsidRPr="00FD211F">
        <w:rPr>
          <w:sz w:val="36"/>
          <w:szCs w:val="36"/>
          <w:rtl/>
        </w:rPr>
        <w:t xml:space="preserve">ة </w:t>
      </w:r>
      <w:r w:rsidRPr="00FD211F">
        <w:rPr>
          <w:sz w:val="36"/>
          <w:szCs w:val="36"/>
          <w:rtl/>
        </w:rPr>
        <w:t>بين المفهومين الموجودين في ذهن المتكلم متقوم بوجودهما في ذهنه</w:t>
      </w:r>
      <w:r w:rsidR="00603323" w:rsidRPr="00FD211F">
        <w:rPr>
          <w:sz w:val="36"/>
          <w:szCs w:val="36"/>
          <w:rtl/>
        </w:rPr>
        <w:t xml:space="preserve">، </w:t>
      </w:r>
      <w:r w:rsidRPr="00FD211F">
        <w:rPr>
          <w:sz w:val="36"/>
          <w:szCs w:val="36"/>
          <w:rtl/>
        </w:rPr>
        <w:t>والنسب</w:t>
      </w:r>
      <w:r w:rsidR="00EC7EDF" w:rsidRPr="00FD211F">
        <w:rPr>
          <w:sz w:val="36"/>
          <w:szCs w:val="36"/>
          <w:rtl/>
        </w:rPr>
        <w:t xml:space="preserve">ة </w:t>
      </w:r>
      <w:r w:rsidRPr="00FD211F">
        <w:rPr>
          <w:sz w:val="36"/>
          <w:szCs w:val="36"/>
          <w:rtl/>
        </w:rPr>
        <w:t>بين المفهومين الموجودين في ذهن السامع متقوم</w:t>
      </w:r>
      <w:r w:rsidR="00EC7EDF" w:rsidRPr="00FD211F">
        <w:rPr>
          <w:sz w:val="36"/>
          <w:szCs w:val="36"/>
          <w:rtl/>
        </w:rPr>
        <w:t xml:space="preserve">ة </w:t>
      </w:r>
      <w:r w:rsidRPr="00FD211F">
        <w:rPr>
          <w:sz w:val="36"/>
          <w:szCs w:val="36"/>
          <w:rtl/>
        </w:rPr>
        <w:t>بوجودهما في ذهنه</w:t>
      </w:r>
      <w:r w:rsidR="00603323" w:rsidRPr="00FD211F">
        <w:rPr>
          <w:sz w:val="36"/>
          <w:szCs w:val="36"/>
          <w:rtl/>
        </w:rPr>
        <w:t xml:space="preserve">، </w:t>
      </w:r>
      <w:r w:rsidRPr="00FD211F">
        <w:rPr>
          <w:sz w:val="36"/>
          <w:szCs w:val="36"/>
          <w:rtl/>
        </w:rPr>
        <w:t>والنسب</w:t>
      </w:r>
      <w:r w:rsidR="00EC7EDF" w:rsidRPr="00FD211F">
        <w:rPr>
          <w:sz w:val="36"/>
          <w:szCs w:val="36"/>
          <w:rtl/>
        </w:rPr>
        <w:t xml:space="preserve">ة </w:t>
      </w:r>
      <w:r w:rsidRPr="00FD211F">
        <w:rPr>
          <w:sz w:val="36"/>
          <w:szCs w:val="36"/>
          <w:rtl/>
        </w:rPr>
        <w:t>الخارجي</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متقوم</w:t>
      </w:r>
      <w:r w:rsidR="00EC7EDF" w:rsidRPr="00FD211F">
        <w:rPr>
          <w:sz w:val="36"/>
          <w:szCs w:val="36"/>
          <w:rtl/>
        </w:rPr>
        <w:t xml:space="preserve">ة </w:t>
      </w:r>
      <w:r w:rsidRPr="00FD211F">
        <w:rPr>
          <w:sz w:val="36"/>
          <w:szCs w:val="36"/>
          <w:rtl/>
        </w:rPr>
        <w:t>بوجود النار والموقد الخارجيين</w:t>
      </w:r>
      <w:r w:rsidR="00603323" w:rsidRPr="00FD211F">
        <w:rPr>
          <w:sz w:val="36"/>
          <w:szCs w:val="36"/>
          <w:rtl/>
        </w:rPr>
        <w:t xml:space="preserve">، </w:t>
      </w:r>
      <w:r w:rsidRPr="00FD211F">
        <w:rPr>
          <w:sz w:val="36"/>
          <w:szCs w:val="36"/>
          <w:rtl/>
        </w:rPr>
        <w:t>نعم يمكن انتزاع جامع عنواني لتلك النسب ولكنه ليس نسب</w:t>
      </w:r>
      <w:r w:rsidR="00EC7EDF" w:rsidRPr="00FD211F">
        <w:rPr>
          <w:sz w:val="36"/>
          <w:szCs w:val="36"/>
          <w:rtl/>
        </w:rPr>
        <w:t xml:space="preserve">ة </w:t>
      </w:r>
      <w:r w:rsidRPr="00FD211F">
        <w:rPr>
          <w:sz w:val="36"/>
          <w:szCs w:val="36"/>
          <w:rtl/>
        </w:rPr>
        <w:t>بالحمل الشائع</w:t>
      </w:r>
      <w:r w:rsidR="00603323" w:rsidRPr="00FD211F">
        <w:rPr>
          <w:sz w:val="36"/>
          <w:szCs w:val="36"/>
          <w:rtl/>
        </w:rPr>
        <w:t xml:space="preserve">، </w:t>
      </w:r>
      <w:r w:rsidRPr="00FD211F">
        <w:rPr>
          <w:sz w:val="36"/>
          <w:szCs w:val="36"/>
          <w:rtl/>
        </w:rPr>
        <w:t>هذا في المعنى الحرفي</w:t>
      </w:r>
      <w:r w:rsidR="00603323" w:rsidRPr="00FD211F">
        <w:rPr>
          <w:sz w:val="36"/>
          <w:szCs w:val="36"/>
          <w:rtl/>
        </w:rPr>
        <w:t xml:space="preserve">، </w:t>
      </w:r>
      <w:r w:rsidRPr="00FD211F">
        <w:rPr>
          <w:sz w:val="36"/>
          <w:szCs w:val="36"/>
          <w:rtl/>
        </w:rPr>
        <w:t>وأما المعنى الإسمي كالنار فحيث يبقى ذاته مع تجريده عن الوجود وعدم لحاظه معه</w:t>
      </w:r>
      <w:r w:rsidR="00603323" w:rsidRPr="00FD211F">
        <w:rPr>
          <w:sz w:val="36"/>
          <w:szCs w:val="36"/>
          <w:rtl/>
        </w:rPr>
        <w:t xml:space="preserve">، </w:t>
      </w:r>
      <w:r w:rsidRPr="00FD211F">
        <w:rPr>
          <w:sz w:val="36"/>
          <w:szCs w:val="36"/>
          <w:rtl/>
        </w:rPr>
        <w:t>فله تقرر ماهوي في المرتب</w:t>
      </w:r>
      <w:r w:rsidR="00EC7EDF" w:rsidRPr="00FD211F">
        <w:rPr>
          <w:sz w:val="36"/>
          <w:szCs w:val="36"/>
          <w:rtl/>
        </w:rPr>
        <w:t xml:space="preserve">ة </w:t>
      </w:r>
      <w:r w:rsidRPr="00FD211F">
        <w:rPr>
          <w:sz w:val="36"/>
          <w:szCs w:val="36"/>
          <w:rtl/>
        </w:rPr>
        <w:t>السابق</w:t>
      </w:r>
      <w:r w:rsidR="00EC7EDF" w:rsidRPr="00FD211F">
        <w:rPr>
          <w:sz w:val="36"/>
          <w:szCs w:val="36"/>
          <w:rtl/>
        </w:rPr>
        <w:t xml:space="preserve">ة </w:t>
      </w:r>
      <w:r w:rsidRPr="00FD211F">
        <w:rPr>
          <w:sz w:val="36"/>
          <w:szCs w:val="36"/>
          <w:rtl/>
        </w:rPr>
        <w:t>على وجوده.</w:t>
      </w:r>
    </w:p>
    <w:p w14:paraId="7ED58698" w14:textId="77777777" w:rsidR="007F5659" w:rsidRPr="00FD211F" w:rsidRDefault="007F5659" w:rsidP="009C58C8">
      <w:pPr>
        <w:ind w:left="0" w:firstLine="227"/>
        <w:jc w:val="both"/>
        <w:rPr>
          <w:sz w:val="36"/>
          <w:szCs w:val="36"/>
          <w:rtl/>
        </w:rPr>
      </w:pP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Pr="00FD211F">
        <w:rPr>
          <w:sz w:val="36"/>
          <w:szCs w:val="36"/>
          <w:rtl/>
        </w:rPr>
        <w:t xml:space="preserve"> ان المعنى الحرفي الموجود في ذهن المتكلم والذي هو رابط بين النار والموقد الموجودين في ذهن</w:t>
      </w:r>
      <w:r w:rsidR="00E859D7" w:rsidRPr="00FD211F">
        <w:rPr>
          <w:sz w:val="36"/>
          <w:szCs w:val="36"/>
          <w:rtl/>
        </w:rPr>
        <w:t>ه حيث لايمكن التحفظ على ذاته ب</w:t>
      </w:r>
      <w:r w:rsidRPr="00FD211F">
        <w:rPr>
          <w:sz w:val="36"/>
          <w:szCs w:val="36"/>
          <w:rtl/>
        </w:rPr>
        <w:t>لحاظه مجردا عن تعلقه بطرفيه الموجودين في ذهن المتكلم</w:t>
      </w:r>
      <w:r w:rsidR="00603323" w:rsidRPr="00FD211F">
        <w:rPr>
          <w:sz w:val="36"/>
          <w:szCs w:val="36"/>
          <w:rtl/>
        </w:rPr>
        <w:t xml:space="preserve">، </w:t>
      </w:r>
      <w:r w:rsidRPr="00FD211F">
        <w:rPr>
          <w:sz w:val="36"/>
          <w:szCs w:val="36"/>
          <w:rtl/>
        </w:rPr>
        <w:t>فلايمكن لحاظه كعنوان منطبق على الخارج انطباق الكلي على فرده</w:t>
      </w:r>
      <w:r w:rsidR="00603323" w:rsidRPr="00FD211F">
        <w:rPr>
          <w:sz w:val="36"/>
          <w:szCs w:val="36"/>
          <w:rtl/>
        </w:rPr>
        <w:t xml:space="preserve">، </w:t>
      </w:r>
      <w:r w:rsidRPr="00FD211F">
        <w:rPr>
          <w:sz w:val="36"/>
          <w:szCs w:val="36"/>
          <w:rtl/>
        </w:rPr>
        <w:t>فعليه تكون حكايته عن الخارج من سنخ حكاي</w:t>
      </w:r>
      <w:r w:rsidR="00EC7EDF" w:rsidRPr="00FD211F">
        <w:rPr>
          <w:sz w:val="36"/>
          <w:szCs w:val="36"/>
          <w:rtl/>
        </w:rPr>
        <w:t xml:space="preserve">ة </w:t>
      </w:r>
      <w:r w:rsidRPr="00FD211F">
        <w:rPr>
          <w:sz w:val="36"/>
          <w:szCs w:val="36"/>
          <w:rtl/>
        </w:rPr>
        <w:t>الفرد المماثل عن حكاي</w:t>
      </w:r>
      <w:r w:rsidR="00EC7EDF" w:rsidRPr="00FD211F">
        <w:rPr>
          <w:sz w:val="36"/>
          <w:szCs w:val="36"/>
          <w:rtl/>
        </w:rPr>
        <w:t xml:space="preserve">ة </w:t>
      </w:r>
      <w:r w:rsidRPr="00FD211F">
        <w:rPr>
          <w:sz w:val="36"/>
          <w:szCs w:val="36"/>
          <w:rtl/>
        </w:rPr>
        <w:t>فرد مماثل آخر</w:t>
      </w:r>
      <w:r w:rsidR="00603323" w:rsidRPr="00FD211F">
        <w:rPr>
          <w:sz w:val="36"/>
          <w:szCs w:val="36"/>
          <w:rtl/>
        </w:rPr>
        <w:t xml:space="preserve">، </w:t>
      </w:r>
      <w:r w:rsidRPr="00FD211F">
        <w:rPr>
          <w:sz w:val="36"/>
          <w:szCs w:val="36"/>
          <w:rtl/>
        </w:rPr>
        <w:t>حيث انه يلحظ طرفاه الموجودان في الذهن فانيين في الخارج ويرى بالنظر التصوري اتحادهما مع الخارج فبتبع ذلك يرى النسب</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متحد</w:t>
      </w:r>
      <w:r w:rsidR="00EC7EDF" w:rsidRPr="00FD211F">
        <w:rPr>
          <w:sz w:val="36"/>
          <w:szCs w:val="36"/>
          <w:rtl/>
        </w:rPr>
        <w:t xml:space="preserve">ة </w:t>
      </w:r>
      <w:r w:rsidRPr="00FD211F">
        <w:rPr>
          <w:sz w:val="36"/>
          <w:szCs w:val="36"/>
          <w:rtl/>
        </w:rPr>
        <w:t>مع النسب</w:t>
      </w:r>
      <w:r w:rsidR="00EC7EDF" w:rsidRPr="00FD211F">
        <w:rPr>
          <w:sz w:val="36"/>
          <w:szCs w:val="36"/>
          <w:rtl/>
        </w:rPr>
        <w:t xml:space="preserve">ة </w:t>
      </w:r>
      <w:r w:rsidRPr="00FD211F">
        <w:rPr>
          <w:sz w:val="36"/>
          <w:szCs w:val="36"/>
          <w:rtl/>
        </w:rPr>
        <w:t>الخارجي</w:t>
      </w:r>
      <w:r w:rsidR="00EC7EDF" w:rsidRPr="00FD211F">
        <w:rPr>
          <w:sz w:val="36"/>
          <w:szCs w:val="36"/>
          <w:rtl/>
        </w:rPr>
        <w:t>ة</w:t>
      </w:r>
      <w:r w:rsidR="00603323" w:rsidRPr="00FD211F">
        <w:rPr>
          <w:sz w:val="36"/>
          <w:szCs w:val="36"/>
          <w:rtl/>
        </w:rPr>
        <w:t xml:space="preserve">، </w:t>
      </w:r>
      <w:r w:rsidRPr="00FD211F">
        <w:rPr>
          <w:sz w:val="36"/>
          <w:szCs w:val="36"/>
          <w:rtl/>
        </w:rPr>
        <w:t>حيث لاتتعدد النسب</w:t>
      </w:r>
      <w:r w:rsidR="00EC7EDF" w:rsidRPr="00FD211F">
        <w:rPr>
          <w:sz w:val="36"/>
          <w:szCs w:val="36"/>
          <w:rtl/>
        </w:rPr>
        <w:t xml:space="preserve">ة </w:t>
      </w:r>
      <w:r w:rsidRPr="00FD211F">
        <w:rPr>
          <w:sz w:val="36"/>
          <w:szCs w:val="36"/>
          <w:rtl/>
        </w:rPr>
        <w:t>الا بتعدد اطرافها</w:t>
      </w:r>
      <w:r w:rsidR="00603323" w:rsidRPr="00FD211F">
        <w:rPr>
          <w:sz w:val="36"/>
          <w:szCs w:val="36"/>
          <w:rtl/>
        </w:rPr>
        <w:t xml:space="preserve">، </w:t>
      </w:r>
      <w:r w:rsidRPr="00FD211F">
        <w:rPr>
          <w:sz w:val="36"/>
          <w:szCs w:val="36"/>
          <w:rtl/>
        </w:rPr>
        <w:t>ولكن الوجود الذهني لمفهوم النار حيث كان يمكن التحفظ على ذاته ولو مع تجريده عقلا عن وجوده الذهني فهو بالنظر التصديقي اي مع الالتفات الى تلبسه بالوجود الذهني وان كان غير الخارج</w:t>
      </w:r>
      <w:r w:rsidR="00603323" w:rsidRPr="00FD211F">
        <w:rPr>
          <w:sz w:val="36"/>
          <w:szCs w:val="36"/>
          <w:rtl/>
        </w:rPr>
        <w:t xml:space="preserve">، </w:t>
      </w:r>
      <w:r w:rsidRPr="00FD211F">
        <w:rPr>
          <w:sz w:val="36"/>
          <w:szCs w:val="36"/>
          <w:rtl/>
        </w:rPr>
        <w:t>لكنه بالنظر التصوري اي مع عدم لحاظ تلبسه بالوجود الذهني ولحاظه لحاظا فنائيا تصوريا يكون منطبقا على الخارج انطباق العنوان على معنونه</w:t>
      </w:r>
      <w:r w:rsidR="00603323" w:rsidRPr="00FD211F">
        <w:rPr>
          <w:sz w:val="36"/>
          <w:szCs w:val="36"/>
          <w:rtl/>
        </w:rPr>
        <w:t xml:space="preserve">، </w:t>
      </w:r>
      <w:r w:rsidRPr="00FD211F">
        <w:rPr>
          <w:sz w:val="36"/>
          <w:szCs w:val="36"/>
          <w:rtl/>
        </w:rPr>
        <w:t>فيكون بهذا النظر التصوري من قبيل انطباق الكلي على فرده</w:t>
      </w:r>
      <w:r w:rsidR="009C58C8" w:rsidRPr="00FD211F">
        <w:rPr>
          <w:rStyle w:val="a6"/>
          <w:sz w:val="36"/>
          <w:szCs w:val="36"/>
          <w:rtl/>
        </w:rPr>
        <w:t>(</w:t>
      </w:r>
      <w:r w:rsidR="009C58C8" w:rsidRPr="00FD211F">
        <w:rPr>
          <w:rStyle w:val="a6"/>
          <w:sz w:val="36"/>
          <w:szCs w:val="36"/>
          <w:rtl/>
        </w:rPr>
        <w:footnoteReference w:id="161"/>
      </w:r>
      <w:r w:rsidR="009C58C8" w:rsidRPr="00FD211F">
        <w:rPr>
          <w:rStyle w:val="a6"/>
          <w:sz w:val="36"/>
          <w:szCs w:val="36"/>
          <w:rtl/>
        </w:rPr>
        <w:t>)</w:t>
      </w:r>
      <w:r w:rsidRPr="00FD211F">
        <w:rPr>
          <w:sz w:val="36"/>
          <w:szCs w:val="36"/>
          <w:rtl/>
        </w:rPr>
        <w:t>.</w:t>
      </w:r>
    </w:p>
    <w:p w14:paraId="60995F18" w14:textId="77777777" w:rsidR="000C5BBA" w:rsidRPr="00FD211F" w:rsidRDefault="007F5659" w:rsidP="00251CB6">
      <w:pPr>
        <w:ind w:left="0" w:firstLine="227"/>
        <w:jc w:val="both"/>
        <w:rPr>
          <w:sz w:val="36"/>
          <w:szCs w:val="36"/>
          <w:rtl/>
        </w:rPr>
      </w:pPr>
      <w:r w:rsidRPr="00FD211F">
        <w:rPr>
          <w:sz w:val="36"/>
          <w:szCs w:val="36"/>
          <w:rtl/>
        </w:rPr>
        <w:t>والحاصل ان الظاهر من كلام المحقق النائيني</w:t>
      </w:r>
      <w:r w:rsidR="00A61BAE" w:rsidRPr="00FD211F">
        <w:rPr>
          <w:sz w:val="36"/>
          <w:szCs w:val="36"/>
          <w:rtl/>
        </w:rPr>
        <w:t xml:space="preserve"> </w:t>
      </w:r>
      <w:r w:rsidR="00251CB6" w:rsidRPr="00FD211F">
        <w:rPr>
          <w:sz w:val="36"/>
          <w:szCs w:val="36"/>
          <w:rtl/>
        </w:rPr>
        <w:t>"</w:t>
      </w:r>
      <w:r w:rsidR="005D03BA" w:rsidRPr="00FD211F">
        <w:rPr>
          <w:sz w:val="36"/>
          <w:szCs w:val="36"/>
          <w:rtl/>
        </w:rPr>
        <w:t>قده</w:t>
      </w:r>
      <w:r w:rsidR="00251CB6" w:rsidRPr="00FD211F">
        <w:rPr>
          <w:sz w:val="36"/>
          <w:szCs w:val="36"/>
          <w:rtl/>
        </w:rPr>
        <w:t>"</w:t>
      </w:r>
      <w:r w:rsidR="00A61BAE" w:rsidRPr="00FD211F">
        <w:rPr>
          <w:sz w:val="36"/>
          <w:szCs w:val="36"/>
          <w:rtl/>
        </w:rPr>
        <w:t xml:space="preserve"> </w:t>
      </w:r>
      <w:r w:rsidRPr="00FD211F">
        <w:rPr>
          <w:sz w:val="36"/>
          <w:szCs w:val="36"/>
          <w:rtl/>
        </w:rPr>
        <w:t>ان مقصوده كون المعنى الحرفي من سنخ الوجود الذهني لاالمفهوم</w:t>
      </w:r>
      <w:r w:rsidR="00603323" w:rsidRPr="00FD211F">
        <w:rPr>
          <w:sz w:val="36"/>
          <w:szCs w:val="36"/>
          <w:rtl/>
        </w:rPr>
        <w:t xml:space="preserve">، </w:t>
      </w:r>
      <w:r w:rsidRPr="00FD211F">
        <w:rPr>
          <w:sz w:val="36"/>
          <w:szCs w:val="36"/>
          <w:rtl/>
        </w:rPr>
        <w:t>وليس مقصوده كون الحرف موجدا للربط الكلامي فحسب</w:t>
      </w:r>
      <w:r w:rsidR="00603323" w:rsidRPr="00FD211F">
        <w:rPr>
          <w:sz w:val="36"/>
          <w:szCs w:val="36"/>
          <w:rtl/>
        </w:rPr>
        <w:t xml:space="preserve">، </w:t>
      </w:r>
      <w:r w:rsidRPr="00FD211F">
        <w:rPr>
          <w:sz w:val="36"/>
          <w:szCs w:val="36"/>
          <w:rtl/>
        </w:rPr>
        <w:t>وبذلك يندفع جمل</w:t>
      </w:r>
      <w:r w:rsidR="00EC7EDF" w:rsidRPr="00FD211F">
        <w:rPr>
          <w:sz w:val="36"/>
          <w:szCs w:val="36"/>
          <w:rtl/>
        </w:rPr>
        <w:t xml:space="preserve">ة </w:t>
      </w:r>
      <w:r w:rsidRPr="00FD211F">
        <w:rPr>
          <w:sz w:val="36"/>
          <w:szCs w:val="36"/>
          <w:rtl/>
        </w:rPr>
        <w:t>من الإيرادت عليه.</w:t>
      </w:r>
    </w:p>
    <w:p w14:paraId="76E1FF72" w14:textId="77777777" w:rsidR="00346CE0" w:rsidRPr="00FD211F" w:rsidRDefault="00346CE0" w:rsidP="009C58C8">
      <w:pPr>
        <w:pStyle w:val="a4"/>
        <w:ind w:left="0" w:firstLine="227"/>
        <w:jc w:val="both"/>
        <w:rPr>
          <w:sz w:val="36"/>
          <w:szCs w:val="36"/>
          <w:rtl/>
        </w:rPr>
      </w:pPr>
      <w:r w:rsidRPr="00FD211F">
        <w:rPr>
          <w:sz w:val="36"/>
          <w:szCs w:val="36"/>
          <w:rtl/>
        </w:rPr>
        <w:t>منها: ما ذكره المحقق العراقي</w:t>
      </w:r>
      <w:r w:rsidR="00A61BAE" w:rsidRPr="00FD211F">
        <w:rPr>
          <w:sz w:val="36"/>
          <w:szCs w:val="36"/>
          <w:rtl/>
        </w:rPr>
        <w:t xml:space="preserve"> </w:t>
      </w:r>
      <w:r w:rsidR="0024281C" w:rsidRPr="00FD211F">
        <w:rPr>
          <w:sz w:val="36"/>
          <w:szCs w:val="36"/>
          <w:rtl/>
        </w:rPr>
        <w:t>"قده"</w:t>
      </w:r>
      <w:r w:rsidR="00A61BAE" w:rsidRPr="00FD211F">
        <w:rPr>
          <w:sz w:val="36"/>
          <w:szCs w:val="36"/>
          <w:rtl/>
        </w:rPr>
        <w:t xml:space="preserve"> </w:t>
      </w:r>
      <w:r w:rsidR="007D1FF7" w:rsidRPr="00FD211F">
        <w:rPr>
          <w:sz w:val="36"/>
          <w:szCs w:val="36"/>
          <w:rtl/>
        </w:rPr>
        <w:t xml:space="preserve">ومحصله </w:t>
      </w:r>
      <w:r w:rsidRPr="00FD211F">
        <w:rPr>
          <w:sz w:val="36"/>
          <w:szCs w:val="36"/>
          <w:rtl/>
        </w:rPr>
        <w:t>انه ان كان المتكلم بجمل</w:t>
      </w:r>
      <w:r w:rsidR="00EC7EDF" w:rsidRPr="00FD211F">
        <w:rPr>
          <w:sz w:val="36"/>
          <w:szCs w:val="36"/>
          <w:rtl/>
        </w:rPr>
        <w:t xml:space="preserve">ة </w:t>
      </w:r>
      <w:r w:rsidRPr="00FD211F">
        <w:rPr>
          <w:sz w:val="36"/>
          <w:szCs w:val="36"/>
          <w:rtl/>
        </w:rPr>
        <w:t>النار في الموقد قد تصور قبل التلفظ بلفظ</w:t>
      </w:r>
      <w:r w:rsidR="00EC7EDF" w:rsidRPr="00FD211F">
        <w:rPr>
          <w:sz w:val="36"/>
          <w:szCs w:val="36"/>
          <w:rtl/>
        </w:rPr>
        <w:t xml:space="preserve">ة </w:t>
      </w:r>
      <w:r w:rsidRPr="00FD211F">
        <w:rPr>
          <w:sz w:val="36"/>
          <w:szCs w:val="36"/>
          <w:rtl/>
        </w:rPr>
        <w:t>"في" مفهوم النار لابشرط عن ارتباطه بالموقد</w:t>
      </w:r>
      <w:r w:rsidR="00603323" w:rsidRPr="00FD211F">
        <w:rPr>
          <w:sz w:val="36"/>
          <w:szCs w:val="36"/>
          <w:rtl/>
        </w:rPr>
        <w:t xml:space="preserve">، </w:t>
      </w:r>
      <w:r w:rsidRPr="00FD211F">
        <w:rPr>
          <w:sz w:val="36"/>
          <w:szCs w:val="36"/>
          <w:rtl/>
        </w:rPr>
        <w:t>فلابد من تبدل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المطلق</w:t>
      </w:r>
      <w:r w:rsidR="00EC7EDF" w:rsidRPr="00FD211F">
        <w:rPr>
          <w:sz w:val="36"/>
          <w:szCs w:val="36"/>
          <w:rtl/>
        </w:rPr>
        <w:t xml:space="preserve">ة </w:t>
      </w:r>
      <w:r w:rsidRPr="00FD211F">
        <w:rPr>
          <w:sz w:val="36"/>
          <w:szCs w:val="36"/>
          <w:rtl/>
        </w:rPr>
        <w:t>للنار الى صور</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أخرى مقيد</w:t>
      </w:r>
      <w:r w:rsidR="00EC7EDF" w:rsidRPr="00FD211F">
        <w:rPr>
          <w:sz w:val="36"/>
          <w:szCs w:val="36"/>
          <w:rtl/>
        </w:rPr>
        <w:t xml:space="preserve">ة </w:t>
      </w:r>
      <w:r w:rsidRPr="00FD211F">
        <w:rPr>
          <w:sz w:val="36"/>
          <w:szCs w:val="36"/>
          <w:rtl/>
        </w:rPr>
        <w:t>حينما اراد ايجاد تقيده بالارتباط بالموقد بلفظ</w:t>
      </w:r>
      <w:r w:rsidR="00EC7EDF" w:rsidRPr="00FD211F">
        <w:rPr>
          <w:sz w:val="36"/>
          <w:szCs w:val="36"/>
          <w:rtl/>
        </w:rPr>
        <w:t xml:space="preserve">ة </w:t>
      </w:r>
      <w:r w:rsidRPr="00FD211F">
        <w:rPr>
          <w:sz w:val="36"/>
          <w:szCs w:val="36"/>
          <w:rtl/>
        </w:rPr>
        <w:t>"في" وهذا خلاف الوجدان</w:t>
      </w:r>
      <w:r w:rsidR="00603323" w:rsidRPr="00FD211F">
        <w:rPr>
          <w:sz w:val="36"/>
          <w:szCs w:val="36"/>
          <w:rtl/>
        </w:rPr>
        <w:t xml:space="preserve">، </w:t>
      </w:r>
      <w:r w:rsidRPr="00FD211F">
        <w:rPr>
          <w:sz w:val="36"/>
          <w:szCs w:val="36"/>
          <w:rtl/>
        </w:rPr>
        <w:t>وان كان قد تصور مفهوم النار المتقيد بارتباطه بالموقد فيكون ايجاد الارتباط بلفظ</w:t>
      </w:r>
      <w:r w:rsidR="00EC7EDF" w:rsidRPr="00FD211F">
        <w:rPr>
          <w:sz w:val="36"/>
          <w:szCs w:val="36"/>
          <w:rtl/>
        </w:rPr>
        <w:t xml:space="preserve">ة </w:t>
      </w:r>
      <w:r w:rsidR="00CF23C1" w:rsidRPr="00FD211F">
        <w:rPr>
          <w:sz w:val="36"/>
          <w:szCs w:val="36"/>
          <w:rtl/>
        </w:rPr>
        <w:t>"</w:t>
      </w:r>
      <w:r w:rsidRPr="00FD211F">
        <w:rPr>
          <w:sz w:val="36"/>
          <w:szCs w:val="36"/>
          <w:rtl/>
        </w:rPr>
        <w:t>في</w:t>
      </w:r>
      <w:r w:rsidR="00CF23C1" w:rsidRPr="00FD211F">
        <w:rPr>
          <w:sz w:val="36"/>
          <w:szCs w:val="36"/>
          <w:rtl/>
        </w:rPr>
        <w:t>"</w:t>
      </w:r>
      <w:r w:rsidRPr="00FD211F">
        <w:rPr>
          <w:sz w:val="36"/>
          <w:szCs w:val="36"/>
          <w:rtl/>
        </w:rPr>
        <w:t xml:space="preserve"> تحصيلا للحاصل</w:t>
      </w:r>
      <w:r w:rsidR="00603323" w:rsidRPr="00FD211F">
        <w:rPr>
          <w:sz w:val="36"/>
          <w:szCs w:val="36"/>
          <w:rtl/>
        </w:rPr>
        <w:t xml:space="preserve">، </w:t>
      </w:r>
      <w:r w:rsidRPr="00FD211F">
        <w:rPr>
          <w:sz w:val="36"/>
          <w:szCs w:val="36"/>
          <w:rtl/>
        </w:rPr>
        <w:t>وعليه فلايمكن ان يكون لفظ</w:t>
      </w:r>
      <w:r w:rsidR="00EC7EDF" w:rsidRPr="00FD211F">
        <w:rPr>
          <w:sz w:val="36"/>
          <w:szCs w:val="36"/>
          <w:rtl/>
        </w:rPr>
        <w:t xml:space="preserve">ة </w:t>
      </w:r>
      <w:r w:rsidRPr="00FD211F">
        <w:rPr>
          <w:sz w:val="36"/>
          <w:szCs w:val="36"/>
          <w:rtl/>
        </w:rPr>
        <w:t>"في" موجد</w:t>
      </w:r>
      <w:r w:rsidR="00EC7EDF" w:rsidRPr="00FD211F">
        <w:rPr>
          <w:sz w:val="36"/>
          <w:szCs w:val="36"/>
          <w:rtl/>
        </w:rPr>
        <w:t xml:space="preserve">ة </w:t>
      </w:r>
      <w:r w:rsidRPr="00FD211F">
        <w:rPr>
          <w:sz w:val="36"/>
          <w:szCs w:val="36"/>
          <w:rtl/>
        </w:rPr>
        <w:t>للارتباط بين النار والموقد</w:t>
      </w:r>
      <w:r w:rsidR="009C58C8" w:rsidRPr="00FD211F">
        <w:rPr>
          <w:rStyle w:val="a6"/>
          <w:sz w:val="36"/>
          <w:szCs w:val="36"/>
          <w:rtl/>
        </w:rPr>
        <w:t>(</w:t>
      </w:r>
      <w:r w:rsidR="009C58C8" w:rsidRPr="00FD211F">
        <w:rPr>
          <w:rStyle w:val="a6"/>
          <w:sz w:val="36"/>
          <w:szCs w:val="36"/>
          <w:rtl/>
        </w:rPr>
        <w:footnoteReference w:id="162"/>
      </w:r>
      <w:r w:rsidR="009C58C8" w:rsidRPr="00FD211F">
        <w:rPr>
          <w:rStyle w:val="a6"/>
          <w:sz w:val="36"/>
          <w:szCs w:val="36"/>
          <w:rtl/>
        </w:rPr>
        <w:t>)</w:t>
      </w:r>
      <w:r w:rsidRPr="00FD211F">
        <w:rPr>
          <w:sz w:val="36"/>
          <w:szCs w:val="36"/>
          <w:rtl/>
        </w:rPr>
        <w:t>.</w:t>
      </w:r>
    </w:p>
    <w:p w14:paraId="5711AF8D" w14:textId="77777777" w:rsidR="000C5BBA" w:rsidRPr="00FD211F" w:rsidRDefault="000D6D3A" w:rsidP="009C58C8">
      <w:pPr>
        <w:pStyle w:val="a4"/>
        <w:ind w:left="0" w:firstLine="227"/>
        <w:jc w:val="both"/>
        <w:rPr>
          <w:sz w:val="36"/>
          <w:szCs w:val="36"/>
          <w:rtl/>
        </w:rPr>
      </w:pPr>
      <w:r w:rsidRPr="00FD211F">
        <w:rPr>
          <w:sz w:val="36"/>
          <w:szCs w:val="36"/>
          <w:rtl/>
        </w:rPr>
        <w:t>وفيه أن</w:t>
      </w:r>
      <w:r w:rsidR="001A680D" w:rsidRPr="00FD211F">
        <w:rPr>
          <w:sz w:val="36"/>
          <w:szCs w:val="36"/>
          <w:rtl/>
        </w:rPr>
        <w:t xml:space="preserve"> ما ذكره </w:t>
      </w:r>
      <w:r w:rsidRPr="00FD211F">
        <w:rPr>
          <w:sz w:val="36"/>
          <w:szCs w:val="36"/>
          <w:rtl/>
        </w:rPr>
        <w:t>مبني</w:t>
      </w:r>
      <w:r w:rsidR="00346CE0" w:rsidRPr="00FD211F">
        <w:rPr>
          <w:sz w:val="36"/>
          <w:szCs w:val="36"/>
          <w:rtl/>
        </w:rPr>
        <w:t xml:space="preserve"> على اراد</w:t>
      </w:r>
      <w:r w:rsidR="00EC7EDF" w:rsidRPr="00FD211F">
        <w:rPr>
          <w:sz w:val="36"/>
          <w:szCs w:val="36"/>
          <w:rtl/>
        </w:rPr>
        <w:t xml:space="preserve">ة </w:t>
      </w:r>
      <w:r w:rsidR="00346CE0" w:rsidRPr="00FD211F">
        <w:rPr>
          <w:sz w:val="36"/>
          <w:szCs w:val="36"/>
          <w:rtl/>
        </w:rPr>
        <w:t xml:space="preserve">المحقق النائيني </w:t>
      </w:r>
      <w:r w:rsidR="006E55E2" w:rsidRPr="00FD211F">
        <w:rPr>
          <w:sz w:val="36"/>
          <w:szCs w:val="36"/>
          <w:rtl/>
        </w:rPr>
        <w:t>"قده"</w:t>
      </w:r>
      <w:r w:rsidR="0024281C" w:rsidRPr="00FD211F">
        <w:rPr>
          <w:sz w:val="36"/>
          <w:szCs w:val="36"/>
          <w:rtl/>
        </w:rPr>
        <w:t xml:space="preserve"> </w:t>
      </w:r>
      <w:r w:rsidR="006E55E2" w:rsidRPr="00FD211F">
        <w:rPr>
          <w:sz w:val="36"/>
          <w:szCs w:val="36"/>
          <w:rtl/>
        </w:rPr>
        <w:t>كون</w:t>
      </w:r>
      <w:r w:rsidR="00B253CE" w:rsidRPr="00FD211F">
        <w:rPr>
          <w:sz w:val="36"/>
          <w:szCs w:val="36"/>
          <w:rtl/>
        </w:rPr>
        <w:t xml:space="preserve"> </w:t>
      </w:r>
      <w:r w:rsidR="00346CE0" w:rsidRPr="00FD211F">
        <w:rPr>
          <w:sz w:val="36"/>
          <w:szCs w:val="36"/>
          <w:rtl/>
        </w:rPr>
        <w:t>الحرف موج</w:t>
      </w:r>
      <w:r w:rsidRPr="00FD211F">
        <w:rPr>
          <w:sz w:val="36"/>
          <w:szCs w:val="36"/>
          <w:rtl/>
        </w:rPr>
        <w:t>دا للربط الكلامي</w:t>
      </w:r>
      <w:r w:rsidR="00603323" w:rsidRPr="00FD211F">
        <w:rPr>
          <w:sz w:val="36"/>
          <w:szCs w:val="36"/>
          <w:rtl/>
        </w:rPr>
        <w:t xml:space="preserve">، </w:t>
      </w:r>
      <w:r w:rsidRPr="00FD211F">
        <w:rPr>
          <w:sz w:val="36"/>
          <w:szCs w:val="36"/>
          <w:rtl/>
        </w:rPr>
        <w:t>وأما بناء على</w:t>
      </w:r>
      <w:r w:rsidR="00B253CE" w:rsidRPr="00FD211F">
        <w:rPr>
          <w:sz w:val="36"/>
          <w:szCs w:val="36"/>
          <w:rtl/>
        </w:rPr>
        <w:t xml:space="preserve"> </w:t>
      </w:r>
      <w:r w:rsidRPr="00FD211F">
        <w:rPr>
          <w:sz w:val="36"/>
          <w:szCs w:val="36"/>
          <w:rtl/>
        </w:rPr>
        <w:t>ال</w:t>
      </w:r>
      <w:r w:rsidR="00346CE0" w:rsidRPr="00FD211F">
        <w:rPr>
          <w:sz w:val="36"/>
          <w:szCs w:val="36"/>
          <w:rtl/>
        </w:rPr>
        <w:t xml:space="preserve">تقريب </w:t>
      </w:r>
      <w:r w:rsidRPr="00FD211F">
        <w:rPr>
          <w:sz w:val="36"/>
          <w:szCs w:val="36"/>
          <w:rtl/>
        </w:rPr>
        <w:t xml:space="preserve">الذي ذكرناه </w:t>
      </w:r>
      <w:r w:rsidR="008042A8" w:rsidRPr="00FD211F">
        <w:rPr>
          <w:sz w:val="36"/>
          <w:szCs w:val="36"/>
          <w:rtl/>
        </w:rPr>
        <w:t>–</w:t>
      </w:r>
      <w:r w:rsidR="0024281C" w:rsidRPr="00FD211F">
        <w:rPr>
          <w:sz w:val="36"/>
          <w:szCs w:val="36"/>
          <w:rtl/>
        </w:rPr>
        <w:t xml:space="preserve"> </w:t>
      </w:r>
      <w:r w:rsidR="008042A8" w:rsidRPr="00FD211F">
        <w:rPr>
          <w:sz w:val="36"/>
          <w:szCs w:val="36"/>
          <w:rtl/>
        </w:rPr>
        <w:t>من الحرف دال على معنى من سنخ الوجود الذهني -</w:t>
      </w:r>
      <w:r w:rsidR="00346CE0" w:rsidRPr="00FD211F">
        <w:rPr>
          <w:sz w:val="36"/>
          <w:szCs w:val="36"/>
          <w:rtl/>
        </w:rPr>
        <w:t>فلايرد عليه هذا الاشكال</w:t>
      </w:r>
      <w:r w:rsidR="00603323" w:rsidRPr="00FD211F">
        <w:rPr>
          <w:sz w:val="36"/>
          <w:szCs w:val="36"/>
          <w:rtl/>
        </w:rPr>
        <w:t xml:space="preserve">، </w:t>
      </w:r>
      <w:r w:rsidR="00346CE0" w:rsidRPr="00FD211F">
        <w:rPr>
          <w:sz w:val="36"/>
          <w:szCs w:val="36"/>
          <w:rtl/>
        </w:rPr>
        <w:t>هذا مضافا الى انه يكفي حين التلفظ بلفظ النار تصور الماهي</w:t>
      </w:r>
      <w:r w:rsidR="00EC7EDF" w:rsidRPr="00FD211F">
        <w:rPr>
          <w:sz w:val="36"/>
          <w:szCs w:val="36"/>
          <w:rtl/>
        </w:rPr>
        <w:t xml:space="preserve">ة </w:t>
      </w:r>
      <w:r w:rsidR="00346CE0" w:rsidRPr="00FD211F">
        <w:rPr>
          <w:sz w:val="36"/>
          <w:szCs w:val="36"/>
          <w:rtl/>
        </w:rPr>
        <w:t>المهمل</w:t>
      </w:r>
      <w:r w:rsidR="00EC7EDF" w:rsidRPr="00FD211F">
        <w:rPr>
          <w:sz w:val="36"/>
          <w:szCs w:val="36"/>
          <w:rtl/>
        </w:rPr>
        <w:t xml:space="preserve">ة </w:t>
      </w:r>
      <w:r w:rsidR="00346CE0" w:rsidRPr="00FD211F">
        <w:rPr>
          <w:sz w:val="36"/>
          <w:szCs w:val="36"/>
          <w:rtl/>
        </w:rPr>
        <w:t xml:space="preserve">للنار اي لحاظ هذا المفهوم مع عدم لحاظ </w:t>
      </w:r>
      <w:r w:rsidR="008D7B3D" w:rsidRPr="00FD211F">
        <w:rPr>
          <w:sz w:val="36"/>
          <w:szCs w:val="36"/>
          <w:rtl/>
        </w:rPr>
        <w:t xml:space="preserve">شيء </w:t>
      </w:r>
      <w:r w:rsidR="00346CE0" w:rsidRPr="00FD211F">
        <w:rPr>
          <w:sz w:val="36"/>
          <w:szCs w:val="36"/>
          <w:rtl/>
        </w:rPr>
        <w:t>آخر معه</w:t>
      </w:r>
      <w:r w:rsidR="00603323" w:rsidRPr="00FD211F">
        <w:rPr>
          <w:sz w:val="36"/>
          <w:szCs w:val="36"/>
          <w:rtl/>
        </w:rPr>
        <w:t xml:space="preserve">، </w:t>
      </w:r>
      <w:r w:rsidR="00346CE0" w:rsidRPr="00FD211F">
        <w:rPr>
          <w:sz w:val="36"/>
          <w:szCs w:val="36"/>
          <w:rtl/>
        </w:rPr>
        <w:t xml:space="preserve">فلامانع حينئذ من لحاظ </w:t>
      </w:r>
      <w:r w:rsidR="008D7B3D" w:rsidRPr="00FD211F">
        <w:rPr>
          <w:sz w:val="36"/>
          <w:szCs w:val="36"/>
          <w:rtl/>
        </w:rPr>
        <w:t xml:space="preserve">شيء </w:t>
      </w:r>
      <w:r w:rsidR="00346CE0" w:rsidRPr="00FD211F">
        <w:rPr>
          <w:sz w:val="36"/>
          <w:szCs w:val="36"/>
          <w:rtl/>
        </w:rPr>
        <w:t>آخر معه بعد ذلك</w:t>
      </w:r>
      <w:r w:rsidR="00603323" w:rsidRPr="00FD211F">
        <w:rPr>
          <w:sz w:val="36"/>
          <w:szCs w:val="36"/>
          <w:rtl/>
        </w:rPr>
        <w:t xml:space="preserve">، </w:t>
      </w:r>
      <w:r w:rsidR="00346CE0" w:rsidRPr="00FD211F">
        <w:rPr>
          <w:sz w:val="36"/>
          <w:szCs w:val="36"/>
          <w:rtl/>
        </w:rPr>
        <w:t>حيث انه لايخل بما كان سابقا من لحاظ ذات المعنى.</w:t>
      </w:r>
    </w:p>
    <w:p w14:paraId="5C8886DE" w14:textId="77777777" w:rsidR="000D6D3A" w:rsidRPr="00FD211F" w:rsidRDefault="00346CE0" w:rsidP="009C58C8">
      <w:pPr>
        <w:pStyle w:val="a4"/>
        <w:ind w:left="0" w:firstLine="227"/>
        <w:jc w:val="both"/>
        <w:rPr>
          <w:sz w:val="36"/>
          <w:szCs w:val="36"/>
          <w:rtl/>
        </w:rPr>
      </w:pPr>
      <w:r w:rsidRPr="00FD211F">
        <w:rPr>
          <w:sz w:val="36"/>
          <w:szCs w:val="36"/>
          <w:rtl/>
        </w:rPr>
        <w:t xml:space="preserve">منها: ما حكي عنه ايضا </w:t>
      </w:r>
      <w:r w:rsidR="00EB7112" w:rsidRPr="00FD211F">
        <w:rPr>
          <w:sz w:val="36"/>
          <w:szCs w:val="36"/>
          <w:rtl/>
        </w:rPr>
        <w:t>في بدايع الافكار</w:t>
      </w:r>
      <w:r w:rsidR="00BA60F8" w:rsidRPr="00FD211F">
        <w:rPr>
          <w:sz w:val="36"/>
          <w:szCs w:val="36"/>
          <w:rtl/>
        </w:rPr>
        <w:t xml:space="preserve"> </w:t>
      </w:r>
      <w:r w:rsidRPr="00FD211F">
        <w:rPr>
          <w:sz w:val="36"/>
          <w:szCs w:val="36"/>
          <w:rtl/>
        </w:rPr>
        <w:t>من ان وضع الهيئات على وزان وضع الحروف</w:t>
      </w:r>
      <w:r w:rsidR="00603323" w:rsidRPr="00FD211F">
        <w:rPr>
          <w:sz w:val="36"/>
          <w:szCs w:val="36"/>
          <w:rtl/>
        </w:rPr>
        <w:t xml:space="preserve">، </w:t>
      </w:r>
      <w:r w:rsidRPr="00FD211F">
        <w:rPr>
          <w:sz w:val="36"/>
          <w:szCs w:val="36"/>
          <w:rtl/>
        </w:rPr>
        <w:t>وعلى تقدير الالتزام بايجادي</w:t>
      </w:r>
      <w:r w:rsidR="00EC7EDF" w:rsidRPr="00FD211F">
        <w:rPr>
          <w:sz w:val="36"/>
          <w:szCs w:val="36"/>
          <w:rtl/>
        </w:rPr>
        <w:t xml:space="preserve">ة </w:t>
      </w:r>
      <w:r w:rsidRPr="00FD211F">
        <w:rPr>
          <w:sz w:val="36"/>
          <w:szCs w:val="36"/>
          <w:rtl/>
        </w:rPr>
        <w:t>الحروف لمعانيها في الكلام يلزم محذور عقلي في الهيئات</w:t>
      </w:r>
      <w:r w:rsidR="00603323" w:rsidRPr="00FD211F">
        <w:rPr>
          <w:sz w:val="36"/>
          <w:szCs w:val="36"/>
          <w:rtl/>
        </w:rPr>
        <w:t xml:space="preserve">، </w:t>
      </w:r>
      <w:r w:rsidRPr="00FD211F">
        <w:rPr>
          <w:sz w:val="36"/>
          <w:szCs w:val="36"/>
          <w:rtl/>
        </w:rPr>
        <w:t>وهو ان</w:t>
      </w:r>
      <w:r w:rsidR="000D6D3A" w:rsidRPr="00FD211F">
        <w:rPr>
          <w:sz w:val="36"/>
          <w:szCs w:val="36"/>
          <w:rtl/>
        </w:rPr>
        <w:t>ه يوجد</w:t>
      </w:r>
      <w:r w:rsidRPr="00FD211F">
        <w:rPr>
          <w:sz w:val="36"/>
          <w:szCs w:val="36"/>
          <w:rtl/>
        </w:rPr>
        <w:t xml:space="preserve"> في مثل "اضرب" اربع مراتب:</w:t>
      </w:r>
    </w:p>
    <w:p w14:paraId="7CAAD9E5" w14:textId="77777777" w:rsidR="000D6D3A" w:rsidRPr="00FD211F" w:rsidRDefault="00416B5E" w:rsidP="009C58C8">
      <w:pPr>
        <w:pStyle w:val="a4"/>
        <w:ind w:left="0" w:firstLine="227"/>
        <w:jc w:val="both"/>
        <w:rPr>
          <w:sz w:val="36"/>
          <w:szCs w:val="36"/>
          <w:rtl/>
        </w:rPr>
      </w:pPr>
      <w:r w:rsidRPr="00FD211F">
        <w:rPr>
          <w:sz w:val="36"/>
          <w:szCs w:val="36"/>
          <w:rtl/>
        </w:rPr>
        <w:t>1-</w:t>
      </w:r>
      <w:r w:rsidR="00346CE0" w:rsidRPr="00FD211F">
        <w:rPr>
          <w:sz w:val="36"/>
          <w:szCs w:val="36"/>
          <w:rtl/>
        </w:rPr>
        <w:t>مرتب</w:t>
      </w:r>
      <w:r w:rsidR="00EC7EDF" w:rsidRPr="00FD211F">
        <w:rPr>
          <w:sz w:val="36"/>
          <w:szCs w:val="36"/>
          <w:rtl/>
        </w:rPr>
        <w:t xml:space="preserve">ة </w:t>
      </w:r>
      <w:r w:rsidR="00346CE0" w:rsidRPr="00FD211F">
        <w:rPr>
          <w:sz w:val="36"/>
          <w:szCs w:val="36"/>
          <w:rtl/>
        </w:rPr>
        <w:t xml:space="preserve">معنى </w:t>
      </w:r>
      <w:r w:rsidRPr="00FD211F">
        <w:rPr>
          <w:sz w:val="36"/>
          <w:szCs w:val="36"/>
          <w:rtl/>
        </w:rPr>
        <w:t>ماد</w:t>
      </w:r>
      <w:r w:rsidR="00EC7EDF" w:rsidRPr="00FD211F">
        <w:rPr>
          <w:sz w:val="36"/>
          <w:szCs w:val="36"/>
          <w:rtl/>
        </w:rPr>
        <w:t xml:space="preserve">ة </w:t>
      </w:r>
      <w:r w:rsidRPr="00FD211F">
        <w:rPr>
          <w:sz w:val="36"/>
          <w:szCs w:val="36"/>
          <w:rtl/>
        </w:rPr>
        <w:t>الضرب.</w:t>
      </w:r>
    </w:p>
    <w:p w14:paraId="417631EF" w14:textId="77777777" w:rsidR="00416B5E" w:rsidRPr="00FD211F" w:rsidRDefault="00416B5E" w:rsidP="009C58C8">
      <w:pPr>
        <w:pStyle w:val="a4"/>
        <w:ind w:left="0" w:firstLine="227"/>
        <w:jc w:val="both"/>
        <w:rPr>
          <w:sz w:val="36"/>
          <w:szCs w:val="36"/>
          <w:rtl/>
        </w:rPr>
      </w:pPr>
      <w:r w:rsidRPr="00FD211F">
        <w:rPr>
          <w:sz w:val="36"/>
          <w:szCs w:val="36"/>
          <w:rtl/>
        </w:rPr>
        <w:t>2-</w:t>
      </w:r>
      <w:r w:rsidR="00346CE0" w:rsidRPr="00FD211F">
        <w:rPr>
          <w:sz w:val="36"/>
          <w:szCs w:val="36"/>
          <w:rtl/>
        </w:rPr>
        <w:t>مرتب</w:t>
      </w:r>
      <w:r w:rsidR="00EC7EDF" w:rsidRPr="00FD211F">
        <w:rPr>
          <w:sz w:val="36"/>
          <w:szCs w:val="36"/>
          <w:rtl/>
        </w:rPr>
        <w:t xml:space="preserve">ة </w:t>
      </w:r>
      <w:r w:rsidR="00346CE0" w:rsidRPr="00FD211F">
        <w:rPr>
          <w:sz w:val="36"/>
          <w:szCs w:val="36"/>
          <w:rtl/>
        </w:rPr>
        <w:t>لفظ ماد</w:t>
      </w:r>
      <w:r w:rsidR="00EC7EDF" w:rsidRPr="00FD211F">
        <w:rPr>
          <w:sz w:val="36"/>
          <w:szCs w:val="36"/>
          <w:rtl/>
        </w:rPr>
        <w:t xml:space="preserve">ة </w:t>
      </w:r>
      <w:r w:rsidR="00346CE0" w:rsidRPr="00FD211F">
        <w:rPr>
          <w:sz w:val="36"/>
          <w:szCs w:val="36"/>
          <w:rtl/>
        </w:rPr>
        <w:t>الضرب وهذه المرتب</w:t>
      </w:r>
      <w:r w:rsidR="00EC7EDF" w:rsidRPr="00FD211F">
        <w:rPr>
          <w:sz w:val="36"/>
          <w:szCs w:val="36"/>
          <w:rtl/>
        </w:rPr>
        <w:t xml:space="preserve">ة </w:t>
      </w:r>
      <w:r w:rsidRPr="00FD211F">
        <w:rPr>
          <w:sz w:val="36"/>
          <w:szCs w:val="36"/>
          <w:rtl/>
        </w:rPr>
        <w:t>متأخر</w:t>
      </w:r>
      <w:r w:rsidR="00EC7EDF" w:rsidRPr="00FD211F">
        <w:rPr>
          <w:sz w:val="36"/>
          <w:szCs w:val="36"/>
          <w:rtl/>
        </w:rPr>
        <w:t xml:space="preserve">ة </w:t>
      </w:r>
      <w:r w:rsidRPr="00FD211F">
        <w:rPr>
          <w:sz w:val="36"/>
          <w:szCs w:val="36"/>
          <w:rtl/>
        </w:rPr>
        <w:t>عن مرتب</w:t>
      </w:r>
      <w:r w:rsidR="00EC7EDF" w:rsidRPr="00FD211F">
        <w:rPr>
          <w:sz w:val="36"/>
          <w:szCs w:val="36"/>
          <w:rtl/>
        </w:rPr>
        <w:t xml:space="preserve">ة </w:t>
      </w:r>
      <w:r w:rsidRPr="00FD211F">
        <w:rPr>
          <w:sz w:val="36"/>
          <w:szCs w:val="36"/>
          <w:rtl/>
        </w:rPr>
        <w:t>معنى ماد</w:t>
      </w:r>
      <w:r w:rsidR="00EC7EDF" w:rsidRPr="00FD211F">
        <w:rPr>
          <w:sz w:val="36"/>
          <w:szCs w:val="36"/>
          <w:rtl/>
        </w:rPr>
        <w:t xml:space="preserve">ة </w:t>
      </w:r>
      <w:r w:rsidRPr="00FD211F">
        <w:rPr>
          <w:sz w:val="36"/>
          <w:szCs w:val="36"/>
          <w:rtl/>
        </w:rPr>
        <w:t>الضرب تأخر</w:t>
      </w:r>
      <w:r w:rsidR="00346CE0" w:rsidRPr="00FD211F">
        <w:rPr>
          <w:sz w:val="36"/>
          <w:szCs w:val="36"/>
          <w:rtl/>
        </w:rPr>
        <w:t>الدال عن مدلوله</w:t>
      </w:r>
      <w:r w:rsidR="00EC7EDF" w:rsidRPr="00FD211F">
        <w:rPr>
          <w:sz w:val="36"/>
          <w:szCs w:val="36"/>
          <w:rtl/>
        </w:rPr>
        <w:t>.</w:t>
      </w:r>
    </w:p>
    <w:p w14:paraId="6E666E85" w14:textId="77777777" w:rsidR="00416B5E" w:rsidRPr="00FD211F" w:rsidRDefault="00416B5E" w:rsidP="009C58C8">
      <w:pPr>
        <w:pStyle w:val="a4"/>
        <w:ind w:left="0" w:firstLine="227"/>
        <w:jc w:val="both"/>
        <w:rPr>
          <w:sz w:val="36"/>
          <w:szCs w:val="36"/>
          <w:rtl/>
        </w:rPr>
      </w:pPr>
      <w:r w:rsidRPr="00FD211F">
        <w:rPr>
          <w:sz w:val="36"/>
          <w:szCs w:val="36"/>
          <w:rtl/>
        </w:rPr>
        <w:t>3-</w:t>
      </w:r>
      <w:r w:rsidR="00346CE0" w:rsidRPr="00FD211F">
        <w:rPr>
          <w:sz w:val="36"/>
          <w:szCs w:val="36"/>
          <w:rtl/>
        </w:rPr>
        <w:t>مرتب</w:t>
      </w:r>
      <w:r w:rsidR="00EC7EDF" w:rsidRPr="00FD211F">
        <w:rPr>
          <w:sz w:val="36"/>
          <w:szCs w:val="36"/>
          <w:rtl/>
        </w:rPr>
        <w:t xml:space="preserve">ة </w:t>
      </w:r>
      <w:r w:rsidR="00346CE0" w:rsidRPr="00FD211F">
        <w:rPr>
          <w:sz w:val="36"/>
          <w:szCs w:val="36"/>
          <w:rtl/>
        </w:rPr>
        <w:t>هيئ</w:t>
      </w:r>
      <w:r w:rsidR="00EC7EDF" w:rsidRPr="00FD211F">
        <w:rPr>
          <w:sz w:val="36"/>
          <w:szCs w:val="36"/>
          <w:rtl/>
        </w:rPr>
        <w:t xml:space="preserve">ة </w:t>
      </w:r>
      <w:r w:rsidR="00346CE0" w:rsidRPr="00FD211F">
        <w:rPr>
          <w:sz w:val="36"/>
          <w:szCs w:val="36"/>
          <w:rtl/>
        </w:rPr>
        <w:t>الأمر وهي متأخر</w:t>
      </w:r>
      <w:r w:rsidR="00EC7EDF" w:rsidRPr="00FD211F">
        <w:rPr>
          <w:sz w:val="36"/>
          <w:szCs w:val="36"/>
          <w:rtl/>
        </w:rPr>
        <w:t xml:space="preserve">ة </w:t>
      </w:r>
      <w:r w:rsidR="00346CE0" w:rsidRPr="00FD211F">
        <w:rPr>
          <w:sz w:val="36"/>
          <w:szCs w:val="36"/>
          <w:rtl/>
        </w:rPr>
        <w:t>عن الماد</w:t>
      </w:r>
      <w:r w:rsidR="00EC7EDF" w:rsidRPr="00FD211F">
        <w:rPr>
          <w:sz w:val="36"/>
          <w:szCs w:val="36"/>
          <w:rtl/>
        </w:rPr>
        <w:t xml:space="preserve">ة </w:t>
      </w:r>
      <w:r w:rsidR="00346CE0" w:rsidRPr="00FD211F">
        <w:rPr>
          <w:sz w:val="36"/>
          <w:szCs w:val="36"/>
          <w:rtl/>
        </w:rPr>
        <w:t>تأخر العارض عن معروضه</w:t>
      </w:r>
      <w:r w:rsidR="00EC7EDF" w:rsidRPr="00FD211F">
        <w:rPr>
          <w:sz w:val="36"/>
          <w:szCs w:val="36"/>
          <w:rtl/>
        </w:rPr>
        <w:t>.</w:t>
      </w:r>
    </w:p>
    <w:p w14:paraId="6AAAD635" w14:textId="77777777" w:rsidR="00346CE0" w:rsidRPr="00FD211F" w:rsidRDefault="00416B5E" w:rsidP="009C58C8">
      <w:pPr>
        <w:pStyle w:val="a4"/>
        <w:ind w:left="0" w:firstLine="227"/>
        <w:jc w:val="both"/>
        <w:rPr>
          <w:sz w:val="36"/>
          <w:szCs w:val="36"/>
          <w:rtl/>
        </w:rPr>
      </w:pPr>
      <w:r w:rsidRPr="00FD211F">
        <w:rPr>
          <w:sz w:val="36"/>
          <w:szCs w:val="36"/>
          <w:rtl/>
        </w:rPr>
        <w:t>4-</w:t>
      </w:r>
      <w:r w:rsidR="00346CE0" w:rsidRPr="00FD211F">
        <w:rPr>
          <w:sz w:val="36"/>
          <w:szCs w:val="36"/>
          <w:rtl/>
        </w:rPr>
        <w:t>مرتب</w:t>
      </w:r>
      <w:r w:rsidR="00EC7EDF" w:rsidRPr="00FD211F">
        <w:rPr>
          <w:sz w:val="36"/>
          <w:szCs w:val="36"/>
          <w:rtl/>
        </w:rPr>
        <w:t xml:space="preserve">ة </w:t>
      </w:r>
      <w:r w:rsidR="00346CE0" w:rsidRPr="00FD211F">
        <w:rPr>
          <w:sz w:val="36"/>
          <w:szCs w:val="36"/>
          <w:rtl/>
        </w:rPr>
        <w:t>معنى الهيئ</w:t>
      </w:r>
      <w:r w:rsidR="00EC7EDF" w:rsidRPr="00FD211F">
        <w:rPr>
          <w:sz w:val="36"/>
          <w:szCs w:val="36"/>
          <w:rtl/>
        </w:rPr>
        <w:t xml:space="preserve">ة </w:t>
      </w:r>
      <w:r w:rsidR="00346CE0" w:rsidRPr="00FD211F">
        <w:rPr>
          <w:sz w:val="36"/>
          <w:szCs w:val="36"/>
          <w:rtl/>
        </w:rPr>
        <w:t>اي الطلب الإنشائي</w:t>
      </w:r>
      <w:r w:rsidR="00603323" w:rsidRPr="00FD211F">
        <w:rPr>
          <w:sz w:val="36"/>
          <w:szCs w:val="36"/>
          <w:rtl/>
        </w:rPr>
        <w:t xml:space="preserve">، </w:t>
      </w:r>
      <w:r w:rsidR="00346CE0" w:rsidRPr="00FD211F">
        <w:rPr>
          <w:sz w:val="36"/>
          <w:szCs w:val="36"/>
          <w:rtl/>
        </w:rPr>
        <w:t>وهي متأخر</w:t>
      </w:r>
      <w:r w:rsidR="00EC7EDF" w:rsidRPr="00FD211F">
        <w:rPr>
          <w:sz w:val="36"/>
          <w:szCs w:val="36"/>
          <w:rtl/>
        </w:rPr>
        <w:t xml:space="preserve">ة </w:t>
      </w:r>
      <w:r w:rsidR="00346CE0" w:rsidRPr="00FD211F">
        <w:rPr>
          <w:sz w:val="36"/>
          <w:szCs w:val="36"/>
          <w:rtl/>
        </w:rPr>
        <w:t>عن الهيئ</w:t>
      </w:r>
      <w:r w:rsidR="00EC7EDF" w:rsidRPr="00FD211F">
        <w:rPr>
          <w:sz w:val="36"/>
          <w:szCs w:val="36"/>
          <w:rtl/>
        </w:rPr>
        <w:t xml:space="preserve">ة </w:t>
      </w:r>
      <w:r w:rsidR="00346CE0" w:rsidRPr="00FD211F">
        <w:rPr>
          <w:sz w:val="36"/>
          <w:szCs w:val="36"/>
          <w:rtl/>
        </w:rPr>
        <w:t>تأخر المعلول عن علته</w:t>
      </w:r>
      <w:r w:rsidR="00603323" w:rsidRPr="00FD211F">
        <w:rPr>
          <w:sz w:val="36"/>
          <w:szCs w:val="36"/>
          <w:rtl/>
        </w:rPr>
        <w:t xml:space="preserve">، </w:t>
      </w:r>
      <w:r w:rsidR="00346CE0" w:rsidRPr="00FD211F">
        <w:rPr>
          <w:sz w:val="36"/>
          <w:szCs w:val="36"/>
          <w:rtl/>
        </w:rPr>
        <w:t>وحيث ان معنى الهيئ</w:t>
      </w:r>
      <w:r w:rsidR="00EC7EDF" w:rsidRPr="00FD211F">
        <w:rPr>
          <w:sz w:val="36"/>
          <w:szCs w:val="36"/>
          <w:rtl/>
        </w:rPr>
        <w:t xml:space="preserve">ة </w:t>
      </w:r>
      <w:r w:rsidR="00346CE0" w:rsidRPr="00FD211F">
        <w:rPr>
          <w:sz w:val="36"/>
          <w:szCs w:val="36"/>
          <w:rtl/>
        </w:rPr>
        <w:t>موجود</w:t>
      </w:r>
      <w:r w:rsidR="00EC7EDF" w:rsidRPr="00FD211F">
        <w:rPr>
          <w:sz w:val="36"/>
          <w:szCs w:val="36"/>
          <w:rtl/>
        </w:rPr>
        <w:t xml:space="preserve">ة </w:t>
      </w:r>
      <w:r w:rsidR="00346CE0" w:rsidRPr="00FD211F">
        <w:rPr>
          <w:sz w:val="36"/>
          <w:szCs w:val="36"/>
          <w:rtl/>
        </w:rPr>
        <w:t>في ضمن معنى الماد</w:t>
      </w:r>
      <w:r w:rsidR="00EC7EDF" w:rsidRPr="00FD211F">
        <w:rPr>
          <w:sz w:val="36"/>
          <w:szCs w:val="36"/>
          <w:rtl/>
        </w:rPr>
        <w:t xml:space="preserve">ة </w:t>
      </w:r>
      <w:r w:rsidR="00346CE0" w:rsidRPr="00FD211F">
        <w:rPr>
          <w:sz w:val="36"/>
          <w:szCs w:val="36"/>
          <w:rtl/>
        </w:rPr>
        <w:t>لعدم استقلالها فهو من مشخصات وجود معنى الماد</w:t>
      </w:r>
      <w:r w:rsidR="00EC7EDF" w:rsidRPr="00FD211F">
        <w:rPr>
          <w:sz w:val="36"/>
          <w:szCs w:val="36"/>
          <w:rtl/>
        </w:rPr>
        <w:t xml:space="preserve">ة </w:t>
      </w:r>
      <w:r w:rsidR="00346CE0" w:rsidRPr="00FD211F">
        <w:rPr>
          <w:sz w:val="36"/>
          <w:szCs w:val="36"/>
          <w:rtl/>
        </w:rPr>
        <w:t>في ضمن "اضرب"</w:t>
      </w:r>
      <w:r w:rsidR="00603323" w:rsidRPr="00FD211F">
        <w:rPr>
          <w:sz w:val="36"/>
          <w:szCs w:val="36"/>
          <w:rtl/>
        </w:rPr>
        <w:t xml:space="preserve">، </w:t>
      </w:r>
      <w:r w:rsidR="00346CE0" w:rsidRPr="00FD211F">
        <w:rPr>
          <w:sz w:val="36"/>
          <w:szCs w:val="36"/>
          <w:rtl/>
        </w:rPr>
        <w:t>ويكون مقوما له</w:t>
      </w:r>
      <w:r w:rsidR="00603323" w:rsidRPr="00FD211F">
        <w:rPr>
          <w:sz w:val="36"/>
          <w:szCs w:val="36"/>
          <w:rtl/>
        </w:rPr>
        <w:t xml:space="preserve">، </w:t>
      </w:r>
      <w:r w:rsidR="00346CE0" w:rsidRPr="00FD211F">
        <w:rPr>
          <w:sz w:val="36"/>
          <w:szCs w:val="36"/>
          <w:rtl/>
        </w:rPr>
        <w:t>وحينئذ فلابد ان يكون في مرتبته فيلزم حينئذ تقدم معنى الهيئ</w:t>
      </w:r>
      <w:r w:rsidR="00EC7EDF" w:rsidRPr="00FD211F">
        <w:rPr>
          <w:sz w:val="36"/>
          <w:szCs w:val="36"/>
          <w:rtl/>
        </w:rPr>
        <w:t xml:space="preserve">ة </w:t>
      </w:r>
      <w:r w:rsidR="00346CE0" w:rsidRPr="00FD211F">
        <w:rPr>
          <w:sz w:val="36"/>
          <w:szCs w:val="36"/>
          <w:rtl/>
        </w:rPr>
        <w:t>على نفسه بثلاث رتب</w:t>
      </w:r>
      <w:r w:rsidR="00603323" w:rsidRPr="00FD211F">
        <w:rPr>
          <w:sz w:val="36"/>
          <w:szCs w:val="36"/>
          <w:rtl/>
        </w:rPr>
        <w:t xml:space="preserve">، </w:t>
      </w:r>
      <w:r w:rsidR="00346CE0" w:rsidRPr="00FD211F">
        <w:rPr>
          <w:sz w:val="36"/>
          <w:szCs w:val="36"/>
          <w:rtl/>
        </w:rPr>
        <w:t>وتقدم ال</w:t>
      </w:r>
      <w:r w:rsidR="008D7B3D" w:rsidRPr="00FD211F">
        <w:rPr>
          <w:sz w:val="36"/>
          <w:szCs w:val="36"/>
          <w:rtl/>
        </w:rPr>
        <w:t xml:space="preserve">شيء </w:t>
      </w:r>
      <w:r w:rsidR="00346CE0" w:rsidRPr="00FD211F">
        <w:rPr>
          <w:sz w:val="36"/>
          <w:szCs w:val="36"/>
          <w:rtl/>
        </w:rPr>
        <w:t>على نفسه محال</w:t>
      </w:r>
      <w:r w:rsidR="00603323" w:rsidRPr="00FD211F">
        <w:rPr>
          <w:sz w:val="36"/>
          <w:szCs w:val="36"/>
          <w:rtl/>
        </w:rPr>
        <w:t xml:space="preserve">، </w:t>
      </w:r>
      <w:r w:rsidR="00346CE0" w:rsidRPr="00FD211F">
        <w:rPr>
          <w:sz w:val="36"/>
          <w:szCs w:val="36"/>
          <w:rtl/>
        </w:rPr>
        <w:t>وكذا يلزم تقدمه عن مرتب</w:t>
      </w:r>
      <w:r w:rsidR="00EC7EDF" w:rsidRPr="00FD211F">
        <w:rPr>
          <w:sz w:val="36"/>
          <w:szCs w:val="36"/>
          <w:rtl/>
        </w:rPr>
        <w:t xml:space="preserve">ة </w:t>
      </w:r>
      <w:r w:rsidR="00346CE0" w:rsidRPr="00FD211F">
        <w:rPr>
          <w:sz w:val="36"/>
          <w:szCs w:val="36"/>
          <w:rtl/>
        </w:rPr>
        <w:t>علته اي هيئ</w:t>
      </w:r>
      <w:r w:rsidR="00EC7EDF" w:rsidRPr="00FD211F">
        <w:rPr>
          <w:sz w:val="36"/>
          <w:szCs w:val="36"/>
          <w:rtl/>
        </w:rPr>
        <w:t xml:space="preserve">ة </w:t>
      </w:r>
      <w:r w:rsidR="00346CE0" w:rsidRPr="00FD211F">
        <w:rPr>
          <w:sz w:val="36"/>
          <w:szCs w:val="36"/>
          <w:rtl/>
        </w:rPr>
        <w:t>الأمر برتبتين</w:t>
      </w:r>
      <w:r w:rsidR="00603323" w:rsidRPr="00FD211F">
        <w:rPr>
          <w:sz w:val="36"/>
          <w:szCs w:val="36"/>
          <w:rtl/>
        </w:rPr>
        <w:t xml:space="preserve">، </w:t>
      </w:r>
      <w:r w:rsidR="00346CE0" w:rsidRPr="00FD211F">
        <w:rPr>
          <w:sz w:val="36"/>
          <w:szCs w:val="36"/>
          <w:rtl/>
        </w:rPr>
        <w:t>وهذا خلف.</w:t>
      </w:r>
    </w:p>
    <w:p w14:paraId="36E88CB1" w14:textId="77777777" w:rsidR="00EB7112" w:rsidRPr="00FD211F" w:rsidRDefault="008042A8" w:rsidP="009C58C8">
      <w:pPr>
        <w:pStyle w:val="a4"/>
        <w:ind w:left="0" w:firstLine="227"/>
        <w:jc w:val="both"/>
        <w:rPr>
          <w:sz w:val="36"/>
          <w:szCs w:val="36"/>
          <w:rtl/>
        </w:rPr>
      </w:pPr>
      <w:r w:rsidRPr="00FD211F">
        <w:rPr>
          <w:sz w:val="36"/>
          <w:szCs w:val="36"/>
          <w:rtl/>
        </w:rPr>
        <w:t xml:space="preserve">وفيه اولا: انه مبني على </w:t>
      </w:r>
      <w:r w:rsidR="00346CE0" w:rsidRPr="00FD211F">
        <w:rPr>
          <w:sz w:val="36"/>
          <w:szCs w:val="36"/>
          <w:rtl/>
        </w:rPr>
        <w:t>تفسير</w:t>
      </w:r>
      <w:r w:rsidRPr="00FD211F">
        <w:rPr>
          <w:sz w:val="36"/>
          <w:szCs w:val="36"/>
          <w:rtl/>
        </w:rPr>
        <w:t>ه لكلا</w:t>
      </w:r>
      <w:r w:rsidR="00B0004D" w:rsidRPr="00FD211F">
        <w:rPr>
          <w:sz w:val="36"/>
          <w:szCs w:val="36"/>
          <w:rtl/>
        </w:rPr>
        <w:t xml:space="preserve">م المحقق النائيني </w:t>
      </w:r>
      <w:r w:rsidR="009A1C92" w:rsidRPr="00FD211F">
        <w:rPr>
          <w:sz w:val="36"/>
          <w:szCs w:val="36"/>
          <w:rtl/>
        </w:rPr>
        <w:t>من ان الحرف ليس له معنى وانما يوجد</w:t>
      </w:r>
      <w:r w:rsidR="00BA60F8" w:rsidRPr="00FD211F">
        <w:rPr>
          <w:sz w:val="36"/>
          <w:szCs w:val="36"/>
          <w:rtl/>
        </w:rPr>
        <w:t xml:space="preserve"> </w:t>
      </w:r>
      <w:r w:rsidR="009A1C92" w:rsidRPr="00FD211F">
        <w:rPr>
          <w:sz w:val="36"/>
          <w:szCs w:val="36"/>
          <w:rtl/>
        </w:rPr>
        <w:t>الربط الكلامي فحسب</w:t>
      </w:r>
      <w:r w:rsidR="00603323" w:rsidRPr="00FD211F">
        <w:rPr>
          <w:sz w:val="36"/>
          <w:szCs w:val="36"/>
          <w:rtl/>
        </w:rPr>
        <w:t xml:space="preserve">، </w:t>
      </w:r>
      <w:r w:rsidR="00346CE0" w:rsidRPr="00FD211F">
        <w:rPr>
          <w:sz w:val="36"/>
          <w:szCs w:val="36"/>
          <w:rtl/>
        </w:rPr>
        <w:t>ولايتم بناء على التقريب الذي ذكرناه</w:t>
      </w:r>
      <w:r w:rsidR="00603323" w:rsidRPr="00FD211F">
        <w:rPr>
          <w:sz w:val="36"/>
          <w:szCs w:val="36"/>
          <w:rtl/>
        </w:rPr>
        <w:t xml:space="preserve">، </w:t>
      </w:r>
      <w:r w:rsidR="00346CE0" w:rsidRPr="00FD211F">
        <w:rPr>
          <w:sz w:val="36"/>
          <w:szCs w:val="36"/>
          <w:rtl/>
        </w:rPr>
        <w:t>فانه بناء على هذا التقريب يكون لفظ</w:t>
      </w:r>
      <w:r w:rsidR="00EC7EDF" w:rsidRPr="00FD211F">
        <w:rPr>
          <w:sz w:val="36"/>
          <w:szCs w:val="36"/>
          <w:rtl/>
        </w:rPr>
        <w:t xml:space="preserve">ة </w:t>
      </w:r>
      <w:r w:rsidR="00346CE0" w:rsidRPr="00FD211F">
        <w:rPr>
          <w:sz w:val="36"/>
          <w:szCs w:val="36"/>
          <w:rtl/>
        </w:rPr>
        <w:t>"اضرب" حاكي</w:t>
      </w:r>
      <w:r w:rsidR="00EC7EDF" w:rsidRPr="00FD211F">
        <w:rPr>
          <w:sz w:val="36"/>
          <w:szCs w:val="36"/>
          <w:rtl/>
        </w:rPr>
        <w:t xml:space="preserve">ة </w:t>
      </w:r>
      <w:r w:rsidR="00346CE0" w:rsidRPr="00FD211F">
        <w:rPr>
          <w:sz w:val="36"/>
          <w:szCs w:val="36"/>
          <w:rtl/>
        </w:rPr>
        <w:t>عن ماد</w:t>
      </w:r>
      <w:r w:rsidR="00EC7EDF" w:rsidRPr="00FD211F">
        <w:rPr>
          <w:sz w:val="36"/>
          <w:szCs w:val="36"/>
          <w:rtl/>
        </w:rPr>
        <w:t xml:space="preserve">ة </w:t>
      </w:r>
      <w:r w:rsidR="00346CE0" w:rsidRPr="00FD211F">
        <w:rPr>
          <w:sz w:val="36"/>
          <w:szCs w:val="36"/>
          <w:rtl/>
        </w:rPr>
        <w:t>الضرب المتقيد</w:t>
      </w:r>
      <w:r w:rsidR="00EC7EDF" w:rsidRPr="00FD211F">
        <w:rPr>
          <w:sz w:val="36"/>
          <w:szCs w:val="36"/>
          <w:rtl/>
        </w:rPr>
        <w:t xml:space="preserve">ة </w:t>
      </w:r>
      <w:r w:rsidR="00346CE0" w:rsidRPr="00FD211F">
        <w:rPr>
          <w:sz w:val="36"/>
          <w:szCs w:val="36"/>
          <w:rtl/>
        </w:rPr>
        <w:t>بالنسب</w:t>
      </w:r>
      <w:r w:rsidR="00EC7EDF" w:rsidRPr="00FD211F">
        <w:rPr>
          <w:sz w:val="36"/>
          <w:szCs w:val="36"/>
          <w:rtl/>
        </w:rPr>
        <w:t xml:space="preserve">ة </w:t>
      </w:r>
      <w:r w:rsidR="00346CE0" w:rsidRPr="00FD211F">
        <w:rPr>
          <w:sz w:val="36"/>
          <w:szCs w:val="36"/>
          <w:rtl/>
        </w:rPr>
        <w:t>الطلبي</w:t>
      </w:r>
      <w:r w:rsidR="00EC7EDF" w:rsidRPr="00FD211F">
        <w:rPr>
          <w:sz w:val="36"/>
          <w:szCs w:val="36"/>
          <w:rtl/>
        </w:rPr>
        <w:t>ة</w:t>
      </w:r>
      <w:r w:rsidR="00603323" w:rsidRPr="00FD211F">
        <w:rPr>
          <w:sz w:val="36"/>
          <w:szCs w:val="36"/>
          <w:rtl/>
        </w:rPr>
        <w:t xml:space="preserve">، </w:t>
      </w:r>
      <w:r w:rsidR="00346CE0" w:rsidRPr="00FD211F">
        <w:rPr>
          <w:sz w:val="36"/>
          <w:szCs w:val="36"/>
          <w:rtl/>
        </w:rPr>
        <w:t xml:space="preserve">وليس </w:t>
      </w:r>
      <w:r w:rsidR="008D7B3D" w:rsidRPr="00FD211F">
        <w:rPr>
          <w:sz w:val="36"/>
          <w:szCs w:val="36"/>
          <w:rtl/>
        </w:rPr>
        <w:t xml:space="preserve">شيء </w:t>
      </w:r>
      <w:r w:rsidR="00346CE0" w:rsidRPr="00FD211F">
        <w:rPr>
          <w:sz w:val="36"/>
          <w:szCs w:val="36"/>
          <w:rtl/>
        </w:rPr>
        <w:t>من مدلولها الموجود في ذهن المتك</w:t>
      </w:r>
      <w:r w:rsidR="00EB7112" w:rsidRPr="00FD211F">
        <w:rPr>
          <w:sz w:val="36"/>
          <w:szCs w:val="36"/>
          <w:rtl/>
        </w:rPr>
        <w:t>لم متأخرا عن ماد</w:t>
      </w:r>
      <w:r w:rsidR="00EC7EDF" w:rsidRPr="00FD211F">
        <w:rPr>
          <w:sz w:val="36"/>
          <w:szCs w:val="36"/>
          <w:rtl/>
        </w:rPr>
        <w:t xml:space="preserve">ة </w:t>
      </w:r>
      <w:r w:rsidR="00EB7112" w:rsidRPr="00FD211F">
        <w:rPr>
          <w:sz w:val="36"/>
          <w:szCs w:val="36"/>
          <w:rtl/>
        </w:rPr>
        <w:t>اللفظ وهيئته.</w:t>
      </w:r>
    </w:p>
    <w:p w14:paraId="126A2930" w14:textId="77777777" w:rsidR="00346CE0" w:rsidRPr="00FD211F" w:rsidRDefault="00346CE0" w:rsidP="009C58C8">
      <w:pPr>
        <w:pStyle w:val="a4"/>
        <w:ind w:left="0" w:firstLine="227"/>
        <w:jc w:val="both"/>
        <w:rPr>
          <w:sz w:val="36"/>
          <w:szCs w:val="36"/>
          <w:rtl/>
        </w:rPr>
      </w:pPr>
      <w:r w:rsidRPr="00FD211F">
        <w:rPr>
          <w:sz w:val="36"/>
          <w:szCs w:val="36"/>
          <w:rtl/>
        </w:rPr>
        <w:t>وثان</w:t>
      </w:r>
      <w:r w:rsidR="009A1C92" w:rsidRPr="00FD211F">
        <w:rPr>
          <w:sz w:val="36"/>
          <w:szCs w:val="36"/>
          <w:rtl/>
        </w:rPr>
        <w:t>يا: لايتم هذا الاشكال حتى على تفسيره</w:t>
      </w:r>
      <w:r w:rsidR="00603323" w:rsidRPr="00FD211F">
        <w:rPr>
          <w:sz w:val="36"/>
          <w:szCs w:val="36"/>
          <w:rtl/>
        </w:rPr>
        <w:t xml:space="preserve">، </w:t>
      </w:r>
      <w:r w:rsidRPr="00FD211F">
        <w:rPr>
          <w:sz w:val="36"/>
          <w:szCs w:val="36"/>
          <w:rtl/>
        </w:rPr>
        <w:t>لان ما هو في المرتب</w:t>
      </w:r>
      <w:r w:rsidR="00EC7EDF" w:rsidRPr="00FD211F">
        <w:rPr>
          <w:sz w:val="36"/>
          <w:szCs w:val="36"/>
          <w:rtl/>
        </w:rPr>
        <w:t xml:space="preserve">ة </w:t>
      </w:r>
      <w:r w:rsidRPr="00FD211F">
        <w:rPr>
          <w:sz w:val="36"/>
          <w:szCs w:val="36"/>
          <w:rtl/>
        </w:rPr>
        <w:t>الاولى هو معنى الماد</w:t>
      </w:r>
      <w:r w:rsidR="00EC7EDF" w:rsidRPr="00FD211F">
        <w:rPr>
          <w:sz w:val="36"/>
          <w:szCs w:val="36"/>
          <w:rtl/>
        </w:rPr>
        <w:t xml:space="preserve">ة </w:t>
      </w:r>
      <w:r w:rsidRPr="00FD211F">
        <w:rPr>
          <w:sz w:val="36"/>
          <w:szCs w:val="36"/>
          <w:rtl/>
        </w:rPr>
        <w:t>بذاته</w:t>
      </w:r>
      <w:r w:rsidR="00603323" w:rsidRPr="00FD211F">
        <w:rPr>
          <w:sz w:val="36"/>
          <w:szCs w:val="36"/>
          <w:rtl/>
        </w:rPr>
        <w:t xml:space="preserve">، </w:t>
      </w:r>
      <w:r w:rsidRPr="00FD211F">
        <w:rPr>
          <w:sz w:val="36"/>
          <w:szCs w:val="36"/>
          <w:rtl/>
        </w:rPr>
        <w:t>وما هو في المرتب</w:t>
      </w:r>
      <w:r w:rsidR="00EC7EDF" w:rsidRPr="00FD211F">
        <w:rPr>
          <w:sz w:val="36"/>
          <w:szCs w:val="36"/>
          <w:rtl/>
        </w:rPr>
        <w:t xml:space="preserve">ة </w:t>
      </w:r>
      <w:r w:rsidRPr="00FD211F">
        <w:rPr>
          <w:sz w:val="36"/>
          <w:szCs w:val="36"/>
          <w:rtl/>
        </w:rPr>
        <w:t>الرابع</w:t>
      </w:r>
      <w:r w:rsidR="00EC7EDF" w:rsidRPr="00FD211F">
        <w:rPr>
          <w:sz w:val="36"/>
          <w:szCs w:val="36"/>
          <w:rtl/>
        </w:rPr>
        <w:t xml:space="preserve">ة </w:t>
      </w:r>
      <w:r w:rsidRPr="00FD211F">
        <w:rPr>
          <w:sz w:val="36"/>
          <w:szCs w:val="36"/>
          <w:rtl/>
        </w:rPr>
        <w:t>هو معنى الماد</w:t>
      </w:r>
      <w:r w:rsidR="00EC7EDF" w:rsidRPr="00FD211F">
        <w:rPr>
          <w:sz w:val="36"/>
          <w:szCs w:val="36"/>
          <w:rtl/>
        </w:rPr>
        <w:t xml:space="preserve">ة </w:t>
      </w:r>
      <w:r w:rsidRPr="00FD211F">
        <w:rPr>
          <w:sz w:val="36"/>
          <w:szCs w:val="36"/>
          <w:rtl/>
        </w:rPr>
        <w:t>المتقيد بمعنى الهيئ</w:t>
      </w:r>
      <w:r w:rsidR="00EC7EDF" w:rsidRPr="00FD211F">
        <w:rPr>
          <w:sz w:val="36"/>
          <w:szCs w:val="36"/>
          <w:rtl/>
        </w:rPr>
        <w:t>ة</w:t>
      </w:r>
      <w:r w:rsidR="00603323" w:rsidRPr="00FD211F">
        <w:rPr>
          <w:sz w:val="36"/>
          <w:szCs w:val="36"/>
          <w:rtl/>
        </w:rPr>
        <w:t xml:space="preserve">، </w:t>
      </w:r>
      <w:r w:rsidRPr="00FD211F">
        <w:rPr>
          <w:sz w:val="36"/>
          <w:szCs w:val="36"/>
          <w:rtl/>
        </w:rPr>
        <w:t>فما في المرتب</w:t>
      </w:r>
      <w:r w:rsidR="00EC7EDF" w:rsidRPr="00FD211F">
        <w:rPr>
          <w:sz w:val="36"/>
          <w:szCs w:val="36"/>
          <w:rtl/>
        </w:rPr>
        <w:t xml:space="preserve">ة </w:t>
      </w:r>
      <w:r w:rsidRPr="00FD211F">
        <w:rPr>
          <w:sz w:val="36"/>
          <w:szCs w:val="36"/>
          <w:rtl/>
        </w:rPr>
        <w:t>الأولى ليس متقوما بمعنى الهيئ</w:t>
      </w:r>
      <w:r w:rsidR="00EC7EDF" w:rsidRPr="00FD211F">
        <w:rPr>
          <w:sz w:val="36"/>
          <w:szCs w:val="36"/>
          <w:rtl/>
        </w:rPr>
        <w:t xml:space="preserve">ة </w:t>
      </w:r>
      <w:r w:rsidRPr="00FD211F">
        <w:rPr>
          <w:sz w:val="36"/>
          <w:szCs w:val="36"/>
          <w:rtl/>
        </w:rPr>
        <w:t>حتى يلزم الخلف.</w:t>
      </w:r>
    </w:p>
    <w:p w14:paraId="0DBAC379" w14:textId="77777777" w:rsidR="00346CE0" w:rsidRPr="00FD211F" w:rsidRDefault="00346CE0" w:rsidP="009C58C8">
      <w:pPr>
        <w:pStyle w:val="a4"/>
        <w:ind w:left="0" w:firstLine="227"/>
        <w:jc w:val="both"/>
        <w:rPr>
          <w:sz w:val="36"/>
          <w:szCs w:val="36"/>
          <w:rtl/>
        </w:rPr>
      </w:pPr>
      <w:r w:rsidRPr="00FD211F">
        <w:rPr>
          <w:sz w:val="36"/>
          <w:szCs w:val="36"/>
          <w:rtl/>
        </w:rPr>
        <w:t>ومنها: ما حكي عنه ايضا</w:t>
      </w:r>
      <w:r w:rsidR="00BA60F8" w:rsidRPr="00FD211F">
        <w:rPr>
          <w:sz w:val="36"/>
          <w:szCs w:val="36"/>
          <w:rtl/>
        </w:rPr>
        <w:t xml:space="preserve"> </w:t>
      </w:r>
      <w:r w:rsidR="00EB7112" w:rsidRPr="00FD211F">
        <w:rPr>
          <w:sz w:val="36"/>
          <w:szCs w:val="36"/>
          <w:rtl/>
        </w:rPr>
        <w:t>في بدايع الافكار</w:t>
      </w:r>
      <w:r w:rsidRPr="00FD211F">
        <w:rPr>
          <w:sz w:val="36"/>
          <w:szCs w:val="36"/>
          <w:rtl/>
        </w:rPr>
        <w:t xml:space="preserve"> من انه ل</w:t>
      </w:r>
      <w:r w:rsidR="009977FE" w:rsidRPr="00FD211F">
        <w:rPr>
          <w:sz w:val="36"/>
          <w:szCs w:val="36"/>
          <w:rtl/>
        </w:rPr>
        <w:t>و</w:t>
      </w:r>
      <w:r w:rsidR="008D7B3D" w:rsidRPr="00FD211F">
        <w:rPr>
          <w:sz w:val="36"/>
          <w:szCs w:val="36"/>
          <w:rtl/>
        </w:rPr>
        <w:t xml:space="preserve"> لم‌</w:t>
      </w:r>
      <w:r w:rsidRPr="00FD211F">
        <w:rPr>
          <w:sz w:val="36"/>
          <w:szCs w:val="36"/>
          <w:rtl/>
        </w:rPr>
        <w:t>تكن الحروف دال</w:t>
      </w:r>
      <w:r w:rsidR="00EC7EDF" w:rsidRPr="00FD211F">
        <w:rPr>
          <w:sz w:val="36"/>
          <w:szCs w:val="36"/>
          <w:rtl/>
        </w:rPr>
        <w:t xml:space="preserve">ة </w:t>
      </w:r>
      <w:r w:rsidRPr="00FD211F">
        <w:rPr>
          <w:sz w:val="36"/>
          <w:szCs w:val="36"/>
          <w:rtl/>
        </w:rPr>
        <w:t>على معنى بل كانت موجود</w:t>
      </w:r>
      <w:r w:rsidR="00EC7EDF" w:rsidRPr="00FD211F">
        <w:rPr>
          <w:sz w:val="36"/>
          <w:szCs w:val="36"/>
          <w:rtl/>
        </w:rPr>
        <w:t xml:space="preserve">ة </w:t>
      </w:r>
      <w:r w:rsidRPr="00FD211F">
        <w:rPr>
          <w:sz w:val="36"/>
          <w:szCs w:val="36"/>
          <w:rtl/>
        </w:rPr>
        <w:t>للربط الكلامي فقط فلايوجد دال يدل على النسب</w:t>
      </w:r>
      <w:r w:rsidR="00EC7EDF" w:rsidRPr="00FD211F">
        <w:rPr>
          <w:sz w:val="36"/>
          <w:szCs w:val="36"/>
          <w:rtl/>
        </w:rPr>
        <w:t xml:space="preserve">ة </w:t>
      </w:r>
      <w:r w:rsidRPr="00FD211F">
        <w:rPr>
          <w:sz w:val="36"/>
          <w:szCs w:val="36"/>
          <w:rtl/>
        </w:rPr>
        <w:t>الخارجي</w:t>
      </w:r>
      <w:r w:rsidR="00EC7EDF" w:rsidRPr="00FD211F">
        <w:rPr>
          <w:sz w:val="36"/>
          <w:szCs w:val="36"/>
          <w:rtl/>
        </w:rPr>
        <w:t xml:space="preserve">ة </w:t>
      </w:r>
      <w:r w:rsidRPr="00FD211F">
        <w:rPr>
          <w:sz w:val="36"/>
          <w:szCs w:val="36"/>
          <w:rtl/>
        </w:rPr>
        <w:t>بين زيد والدار في قولنا زيد في الدار</w:t>
      </w:r>
      <w:r w:rsidR="00603323" w:rsidRPr="00FD211F">
        <w:rPr>
          <w:sz w:val="36"/>
          <w:szCs w:val="36"/>
          <w:rtl/>
        </w:rPr>
        <w:t xml:space="preserve">، </w:t>
      </w:r>
      <w:r w:rsidRPr="00FD211F">
        <w:rPr>
          <w:sz w:val="36"/>
          <w:szCs w:val="36"/>
          <w:rtl/>
        </w:rPr>
        <w:t>وهذا يوجب نقص الكلام بلحاظ دلالته على المدلول بالعرض</w:t>
      </w:r>
      <w:r w:rsidR="00EC7EDF" w:rsidRPr="00FD211F">
        <w:rPr>
          <w:sz w:val="36"/>
          <w:szCs w:val="36"/>
          <w:rtl/>
        </w:rPr>
        <w:t>.</w:t>
      </w:r>
    </w:p>
    <w:p w14:paraId="50E9B2CD" w14:textId="77777777" w:rsidR="00346CE0" w:rsidRPr="00FD211F" w:rsidRDefault="00346CE0" w:rsidP="009C58C8">
      <w:pPr>
        <w:pStyle w:val="a4"/>
        <w:ind w:left="0" w:firstLine="227"/>
        <w:jc w:val="both"/>
        <w:rPr>
          <w:sz w:val="36"/>
          <w:szCs w:val="36"/>
          <w:rtl/>
        </w:rPr>
      </w:pPr>
      <w:r w:rsidRPr="00FD211F">
        <w:rPr>
          <w:sz w:val="36"/>
          <w:szCs w:val="36"/>
          <w:rtl/>
        </w:rPr>
        <w:t>وفيه مضافا الى عدم ورود هذا الاشكال على التقريب الذي ذكرناه</w:t>
      </w:r>
      <w:r w:rsidR="00603323" w:rsidRPr="00FD211F">
        <w:rPr>
          <w:sz w:val="36"/>
          <w:szCs w:val="36"/>
          <w:rtl/>
        </w:rPr>
        <w:t xml:space="preserve">، </w:t>
      </w:r>
      <w:r w:rsidRPr="00FD211F">
        <w:rPr>
          <w:sz w:val="36"/>
          <w:szCs w:val="36"/>
          <w:rtl/>
        </w:rPr>
        <w:t>فقد يجاب عنه بان الربط الظرفي الكلامي يحكي عن الربط الظرفي الخارجي على نحو حكاي</w:t>
      </w:r>
      <w:r w:rsidR="00EC7EDF" w:rsidRPr="00FD211F">
        <w:rPr>
          <w:sz w:val="36"/>
          <w:szCs w:val="36"/>
          <w:rtl/>
        </w:rPr>
        <w:t xml:space="preserve">ة </w:t>
      </w:r>
      <w:r w:rsidRPr="00FD211F">
        <w:rPr>
          <w:sz w:val="36"/>
          <w:szCs w:val="36"/>
          <w:rtl/>
        </w:rPr>
        <w:t>الفرد المماثل عن مماثله وان</w:t>
      </w:r>
      <w:r w:rsidR="008D7B3D" w:rsidRPr="00FD211F">
        <w:rPr>
          <w:sz w:val="36"/>
          <w:szCs w:val="36"/>
          <w:rtl/>
        </w:rPr>
        <w:t xml:space="preserve"> لم‌</w:t>
      </w:r>
      <w:r w:rsidRPr="00FD211F">
        <w:rPr>
          <w:sz w:val="36"/>
          <w:szCs w:val="36"/>
          <w:rtl/>
        </w:rPr>
        <w:t>يكن على نحو حكاي</w:t>
      </w:r>
      <w:r w:rsidR="00EC7EDF" w:rsidRPr="00FD211F">
        <w:rPr>
          <w:sz w:val="36"/>
          <w:szCs w:val="36"/>
          <w:rtl/>
        </w:rPr>
        <w:t xml:space="preserve">ة </w:t>
      </w:r>
      <w:r w:rsidRPr="00FD211F">
        <w:rPr>
          <w:sz w:val="36"/>
          <w:szCs w:val="36"/>
          <w:rtl/>
        </w:rPr>
        <w:t>المفهوم الذهني عن مصداقه.</w:t>
      </w:r>
    </w:p>
    <w:p w14:paraId="307D4501" w14:textId="77777777" w:rsidR="00726162" w:rsidRPr="00FD211F" w:rsidRDefault="00346CE0" w:rsidP="009C58C8">
      <w:pPr>
        <w:pStyle w:val="a4"/>
        <w:ind w:left="0" w:firstLine="227"/>
        <w:jc w:val="both"/>
        <w:rPr>
          <w:sz w:val="36"/>
          <w:szCs w:val="36"/>
          <w:rtl/>
        </w:rPr>
      </w:pPr>
      <w:r w:rsidRPr="00FD211F">
        <w:rPr>
          <w:sz w:val="36"/>
          <w:szCs w:val="36"/>
          <w:rtl/>
        </w:rPr>
        <w:t xml:space="preserve">ومنها: ما حكي عنه ايضا </w:t>
      </w:r>
      <w:r w:rsidR="00EB7112" w:rsidRPr="00FD211F">
        <w:rPr>
          <w:sz w:val="36"/>
          <w:szCs w:val="36"/>
          <w:rtl/>
        </w:rPr>
        <w:t>في بدايع الافكار</w:t>
      </w:r>
      <w:r w:rsidRPr="00FD211F">
        <w:rPr>
          <w:sz w:val="36"/>
          <w:szCs w:val="36"/>
          <w:rtl/>
        </w:rPr>
        <w:t>من انه في مثل قول الآمر: "سِر من البصر</w:t>
      </w:r>
      <w:r w:rsidR="00EC7EDF" w:rsidRPr="00FD211F">
        <w:rPr>
          <w:sz w:val="36"/>
          <w:szCs w:val="36"/>
          <w:rtl/>
        </w:rPr>
        <w:t xml:space="preserve">ة </w:t>
      </w:r>
      <w:r w:rsidRPr="00FD211F">
        <w:rPr>
          <w:sz w:val="36"/>
          <w:szCs w:val="36"/>
          <w:rtl/>
        </w:rPr>
        <w:t>" فحيث فرض كون الربط الابتدائي إيجاديا فيكون في صقع ايجاد الطلب ويتحد معه رتب</w:t>
      </w:r>
      <w:r w:rsidR="00EC7EDF" w:rsidRPr="00FD211F">
        <w:rPr>
          <w:sz w:val="36"/>
          <w:szCs w:val="36"/>
          <w:rtl/>
        </w:rPr>
        <w:t>ة</w:t>
      </w:r>
      <w:r w:rsidR="00603323" w:rsidRPr="00FD211F">
        <w:rPr>
          <w:sz w:val="36"/>
          <w:szCs w:val="36"/>
          <w:rtl/>
        </w:rPr>
        <w:t xml:space="preserve">، </w:t>
      </w:r>
      <w:r w:rsidRPr="00FD211F">
        <w:rPr>
          <w:sz w:val="36"/>
          <w:szCs w:val="36"/>
          <w:rtl/>
        </w:rPr>
        <w:t>وحيث انه داخل في المطلوب لافتراض كونه قيدا فيه</w:t>
      </w:r>
      <w:r w:rsidR="00603323" w:rsidRPr="00FD211F">
        <w:rPr>
          <w:sz w:val="36"/>
          <w:szCs w:val="36"/>
          <w:rtl/>
        </w:rPr>
        <w:t xml:space="preserve">، </w:t>
      </w:r>
      <w:r w:rsidRPr="00FD211F">
        <w:rPr>
          <w:sz w:val="36"/>
          <w:szCs w:val="36"/>
          <w:rtl/>
        </w:rPr>
        <w:t>والمطلوب متقدم على الطلب رتب</w:t>
      </w:r>
      <w:r w:rsidR="00EC7EDF" w:rsidRPr="00FD211F">
        <w:rPr>
          <w:sz w:val="36"/>
          <w:szCs w:val="36"/>
          <w:rtl/>
        </w:rPr>
        <w:t xml:space="preserve">ة </w:t>
      </w:r>
      <w:r w:rsidRPr="00FD211F">
        <w:rPr>
          <w:sz w:val="36"/>
          <w:szCs w:val="36"/>
          <w:rtl/>
        </w:rPr>
        <w:t>تقدم المعروض على عارضه</w:t>
      </w:r>
      <w:r w:rsidR="00603323" w:rsidRPr="00FD211F">
        <w:rPr>
          <w:sz w:val="36"/>
          <w:szCs w:val="36"/>
          <w:rtl/>
        </w:rPr>
        <w:t xml:space="preserve">، </w:t>
      </w:r>
      <w:r w:rsidRPr="00FD211F">
        <w:rPr>
          <w:sz w:val="36"/>
          <w:szCs w:val="36"/>
          <w:rtl/>
        </w:rPr>
        <w:t>فيلزم كون الربط الابتدائي في رتب</w:t>
      </w:r>
      <w:r w:rsidR="00EC7EDF" w:rsidRPr="00FD211F">
        <w:rPr>
          <w:sz w:val="36"/>
          <w:szCs w:val="36"/>
          <w:rtl/>
        </w:rPr>
        <w:t xml:space="preserve">ة </w:t>
      </w:r>
      <w:r w:rsidRPr="00FD211F">
        <w:rPr>
          <w:sz w:val="36"/>
          <w:szCs w:val="36"/>
          <w:rtl/>
        </w:rPr>
        <w:t>المطلوب مع انا فرضنا كونه في رتب</w:t>
      </w:r>
      <w:r w:rsidR="00EC7EDF" w:rsidRPr="00FD211F">
        <w:rPr>
          <w:sz w:val="36"/>
          <w:szCs w:val="36"/>
          <w:rtl/>
        </w:rPr>
        <w:t xml:space="preserve">ة </w:t>
      </w:r>
      <w:r w:rsidRPr="00FD211F">
        <w:rPr>
          <w:sz w:val="36"/>
          <w:szCs w:val="36"/>
          <w:rtl/>
        </w:rPr>
        <w:t>الطلب الذي هو متأخر عن ا</w:t>
      </w:r>
      <w:r w:rsidR="00EB7112" w:rsidRPr="00FD211F">
        <w:rPr>
          <w:sz w:val="36"/>
          <w:szCs w:val="36"/>
          <w:rtl/>
        </w:rPr>
        <w:t>لمطلوب</w:t>
      </w:r>
      <w:r w:rsidR="00603323" w:rsidRPr="00FD211F">
        <w:rPr>
          <w:sz w:val="36"/>
          <w:szCs w:val="36"/>
          <w:rtl/>
        </w:rPr>
        <w:t xml:space="preserve">، </w:t>
      </w:r>
      <w:r w:rsidR="00EB7112" w:rsidRPr="00FD211F">
        <w:rPr>
          <w:sz w:val="36"/>
          <w:szCs w:val="36"/>
          <w:rtl/>
        </w:rPr>
        <w:t>وهذا خلف</w:t>
      </w:r>
      <w:r w:rsidR="00EC7EDF" w:rsidRPr="00FD211F">
        <w:rPr>
          <w:sz w:val="36"/>
          <w:szCs w:val="36"/>
          <w:rtl/>
        </w:rPr>
        <w:t>.</w:t>
      </w:r>
      <w:r w:rsidR="00B253CE" w:rsidRPr="00FD211F">
        <w:rPr>
          <w:sz w:val="36"/>
          <w:szCs w:val="36"/>
          <w:rtl/>
        </w:rPr>
        <w:t xml:space="preserve"> </w:t>
      </w:r>
    </w:p>
    <w:p w14:paraId="50CD0BBB" w14:textId="77777777" w:rsidR="00EB7112" w:rsidRPr="00FD211F" w:rsidRDefault="00726162" w:rsidP="009C58C8">
      <w:pPr>
        <w:pStyle w:val="a4"/>
        <w:ind w:left="0" w:firstLine="227"/>
        <w:jc w:val="both"/>
        <w:rPr>
          <w:sz w:val="36"/>
          <w:szCs w:val="36"/>
          <w:rtl/>
        </w:rPr>
      </w:pPr>
      <w:r w:rsidRPr="00FD211F">
        <w:rPr>
          <w:sz w:val="36"/>
          <w:szCs w:val="36"/>
          <w:rtl/>
        </w:rPr>
        <w:t xml:space="preserve">وفيه </w:t>
      </w:r>
      <w:r w:rsidRPr="00FD211F">
        <w:rPr>
          <w:b/>
          <w:bCs/>
          <w:sz w:val="36"/>
          <w:szCs w:val="36"/>
          <w:rtl/>
        </w:rPr>
        <w:t>اولا</w:t>
      </w:r>
      <w:r w:rsidRPr="00FD211F">
        <w:rPr>
          <w:sz w:val="36"/>
          <w:szCs w:val="36"/>
          <w:rtl/>
        </w:rPr>
        <w:t xml:space="preserve">: انه مبني على تفسيره المتقدم لكلام المحقق النائيني </w:t>
      </w:r>
      <w:r w:rsidR="00AB1B12" w:rsidRPr="00FD211F">
        <w:rPr>
          <w:sz w:val="36"/>
          <w:szCs w:val="36"/>
          <w:rtl/>
        </w:rPr>
        <w:t>"</w:t>
      </w:r>
      <w:r w:rsidRPr="00FD211F">
        <w:rPr>
          <w:sz w:val="36"/>
          <w:szCs w:val="36"/>
          <w:rtl/>
        </w:rPr>
        <w:t>قده</w:t>
      </w:r>
      <w:r w:rsidR="00AB1B12" w:rsidRPr="00FD211F">
        <w:rPr>
          <w:sz w:val="36"/>
          <w:szCs w:val="36"/>
          <w:rtl/>
        </w:rPr>
        <w:t>"</w:t>
      </w:r>
      <w:r w:rsidRPr="00FD211F">
        <w:rPr>
          <w:sz w:val="36"/>
          <w:szCs w:val="36"/>
          <w:rtl/>
        </w:rPr>
        <w:t xml:space="preserve"> الذي مرالنقاش فيه</w:t>
      </w:r>
      <w:r w:rsidR="00EC7EDF" w:rsidRPr="00FD211F">
        <w:rPr>
          <w:sz w:val="36"/>
          <w:szCs w:val="36"/>
          <w:rtl/>
        </w:rPr>
        <w:t>.</w:t>
      </w:r>
    </w:p>
    <w:p w14:paraId="6547F300" w14:textId="77777777" w:rsidR="00EB7112" w:rsidRPr="00FD211F" w:rsidRDefault="00346CE0" w:rsidP="009C58C8">
      <w:pPr>
        <w:ind w:left="0" w:firstLine="227"/>
        <w:jc w:val="both"/>
        <w:rPr>
          <w:sz w:val="36"/>
          <w:szCs w:val="36"/>
          <w:rtl/>
        </w:rPr>
      </w:pPr>
      <w:r w:rsidRPr="00FD211F">
        <w:rPr>
          <w:b/>
          <w:bCs/>
          <w:sz w:val="36"/>
          <w:szCs w:val="36"/>
          <w:rtl/>
        </w:rPr>
        <w:t>وثانيا</w:t>
      </w:r>
      <w:r w:rsidRPr="00FD211F">
        <w:rPr>
          <w:sz w:val="36"/>
          <w:szCs w:val="36"/>
          <w:rtl/>
        </w:rPr>
        <w:t>: ان ما هو قيد المطلوب هو الربط الابتدائي الخارجي بين السير والبصر</w:t>
      </w:r>
      <w:r w:rsidR="00EC7EDF" w:rsidRPr="00FD211F">
        <w:rPr>
          <w:sz w:val="36"/>
          <w:szCs w:val="36"/>
          <w:rtl/>
        </w:rPr>
        <w:t>ة</w:t>
      </w:r>
      <w:r w:rsidR="00603323" w:rsidRPr="00FD211F">
        <w:rPr>
          <w:sz w:val="36"/>
          <w:szCs w:val="36"/>
          <w:rtl/>
        </w:rPr>
        <w:t xml:space="preserve">، </w:t>
      </w:r>
      <w:r w:rsidRPr="00FD211F">
        <w:rPr>
          <w:sz w:val="36"/>
          <w:szCs w:val="36"/>
          <w:rtl/>
        </w:rPr>
        <w:t>فانه هو الذي يريد المولى من المكلف ان يوجده</w:t>
      </w:r>
      <w:r w:rsidR="00603323" w:rsidRPr="00FD211F">
        <w:rPr>
          <w:sz w:val="36"/>
          <w:szCs w:val="36"/>
          <w:rtl/>
        </w:rPr>
        <w:t xml:space="preserve">، </w:t>
      </w:r>
      <w:r w:rsidRPr="00FD211F">
        <w:rPr>
          <w:sz w:val="36"/>
          <w:szCs w:val="36"/>
          <w:rtl/>
        </w:rPr>
        <w:t>فلاعلاق</w:t>
      </w:r>
      <w:r w:rsidR="00EC7EDF" w:rsidRPr="00FD211F">
        <w:rPr>
          <w:sz w:val="36"/>
          <w:szCs w:val="36"/>
          <w:rtl/>
        </w:rPr>
        <w:t xml:space="preserve">ة </w:t>
      </w:r>
      <w:r w:rsidRPr="00FD211F">
        <w:rPr>
          <w:sz w:val="36"/>
          <w:szCs w:val="36"/>
          <w:rtl/>
        </w:rPr>
        <w:t>له بايجاد الربط الكلامي الذي هو في صقع الطلب</w:t>
      </w:r>
      <w:r w:rsidR="00603323" w:rsidRPr="00FD211F">
        <w:rPr>
          <w:sz w:val="36"/>
          <w:szCs w:val="36"/>
          <w:rtl/>
        </w:rPr>
        <w:t xml:space="preserve">، </w:t>
      </w:r>
      <w:r w:rsidRPr="00FD211F">
        <w:rPr>
          <w:sz w:val="36"/>
          <w:szCs w:val="36"/>
          <w:rtl/>
        </w:rPr>
        <w:t>فانه فعل المولى نفسه بما انه متكلم بهذا الكلام</w:t>
      </w:r>
      <w:r w:rsidR="00EC7EDF" w:rsidRPr="00FD211F">
        <w:rPr>
          <w:sz w:val="36"/>
          <w:szCs w:val="36"/>
          <w:rtl/>
        </w:rPr>
        <w:t>.</w:t>
      </w:r>
    </w:p>
    <w:p w14:paraId="144240B0" w14:textId="77777777" w:rsidR="00EB7112" w:rsidRPr="00FD211F" w:rsidRDefault="00346CE0" w:rsidP="009C58C8">
      <w:pPr>
        <w:ind w:left="0" w:firstLine="227"/>
        <w:jc w:val="both"/>
        <w:rPr>
          <w:sz w:val="36"/>
          <w:szCs w:val="36"/>
          <w:rtl/>
        </w:rPr>
      </w:pPr>
      <w:r w:rsidRPr="00FD211F">
        <w:rPr>
          <w:b/>
          <w:bCs/>
          <w:sz w:val="36"/>
          <w:szCs w:val="36"/>
          <w:rtl/>
        </w:rPr>
        <w:t>وثالثا</w:t>
      </w:r>
      <w:r w:rsidRPr="00FD211F">
        <w:rPr>
          <w:sz w:val="36"/>
          <w:szCs w:val="36"/>
          <w:rtl/>
        </w:rPr>
        <w:t>: ان كون إيجاد الربط الابتدائي في صقع إيجاد الطلب لايقتضي اتحادهما في الرتب</w:t>
      </w:r>
      <w:r w:rsidR="00EC7EDF" w:rsidRPr="00FD211F">
        <w:rPr>
          <w:sz w:val="36"/>
          <w:szCs w:val="36"/>
          <w:rtl/>
        </w:rPr>
        <w:t xml:space="preserve">ة </w:t>
      </w:r>
      <w:r w:rsidRPr="00FD211F">
        <w:rPr>
          <w:sz w:val="36"/>
          <w:szCs w:val="36"/>
          <w:rtl/>
        </w:rPr>
        <w:t>وانما يقتضي تقارنهما زمانا</w:t>
      </w:r>
      <w:r w:rsidR="00EC7EDF" w:rsidRPr="00FD211F">
        <w:rPr>
          <w:sz w:val="36"/>
          <w:szCs w:val="36"/>
          <w:rtl/>
        </w:rPr>
        <w:t>.</w:t>
      </w:r>
    </w:p>
    <w:p w14:paraId="4CB852D0" w14:textId="77777777" w:rsidR="00346CE0" w:rsidRPr="00FD211F" w:rsidRDefault="00346CE0" w:rsidP="009C58C8">
      <w:pPr>
        <w:ind w:left="0" w:firstLine="227"/>
        <w:jc w:val="both"/>
        <w:rPr>
          <w:sz w:val="36"/>
          <w:szCs w:val="36"/>
          <w:rtl/>
        </w:rPr>
      </w:pPr>
      <w:r w:rsidRPr="00FD211F">
        <w:rPr>
          <w:b/>
          <w:bCs/>
          <w:sz w:val="36"/>
          <w:szCs w:val="36"/>
          <w:rtl/>
        </w:rPr>
        <w:t>ورابعا</w:t>
      </w:r>
      <w:r w:rsidRPr="00FD211F">
        <w:rPr>
          <w:sz w:val="36"/>
          <w:szCs w:val="36"/>
          <w:rtl/>
        </w:rPr>
        <w:t>: ان كون الربط الابتدائي في رتب</w:t>
      </w:r>
      <w:r w:rsidR="00EC7EDF" w:rsidRPr="00FD211F">
        <w:rPr>
          <w:sz w:val="36"/>
          <w:szCs w:val="36"/>
          <w:rtl/>
        </w:rPr>
        <w:t xml:space="preserve">ة </w:t>
      </w:r>
      <w:r w:rsidRPr="00FD211F">
        <w:rPr>
          <w:sz w:val="36"/>
          <w:szCs w:val="36"/>
          <w:rtl/>
        </w:rPr>
        <w:t>الطلب لايقتضي تأخر الربط الابتدائي عن المطلوب الا بناء على ما قد يدعى من ان المساوي مع المتأخر متأخر</w:t>
      </w:r>
      <w:r w:rsidR="00603323" w:rsidRPr="00FD211F">
        <w:rPr>
          <w:sz w:val="36"/>
          <w:szCs w:val="36"/>
          <w:rtl/>
        </w:rPr>
        <w:t xml:space="preserve">، </w:t>
      </w:r>
      <w:r w:rsidRPr="00FD211F">
        <w:rPr>
          <w:sz w:val="36"/>
          <w:szCs w:val="36"/>
          <w:rtl/>
        </w:rPr>
        <w:t>وهو غير صحيح</w:t>
      </w:r>
      <w:r w:rsidR="00603323" w:rsidRPr="00FD211F">
        <w:rPr>
          <w:sz w:val="36"/>
          <w:szCs w:val="36"/>
          <w:rtl/>
        </w:rPr>
        <w:t xml:space="preserve">، </w:t>
      </w:r>
      <w:r w:rsidRPr="00FD211F">
        <w:rPr>
          <w:sz w:val="36"/>
          <w:szCs w:val="36"/>
          <w:rtl/>
        </w:rPr>
        <w:t>لان التقدم والتأخر الرتبي لايكون جزافا وانما يتبع الملاك</w:t>
      </w:r>
      <w:r w:rsidR="00603323" w:rsidRPr="00FD211F">
        <w:rPr>
          <w:sz w:val="36"/>
          <w:szCs w:val="36"/>
          <w:rtl/>
        </w:rPr>
        <w:t xml:space="preserve">، </w:t>
      </w:r>
      <w:r w:rsidRPr="00FD211F">
        <w:rPr>
          <w:sz w:val="36"/>
          <w:szCs w:val="36"/>
          <w:rtl/>
        </w:rPr>
        <w:t>فالحرار</w:t>
      </w:r>
      <w:r w:rsidR="00EC7EDF" w:rsidRPr="00FD211F">
        <w:rPr>
          <w:sz w:val="36"/>
          <w:szCs w:val="36"/>
          <w:rtl/>
        </w:rPr>
        <w:t xml:space="preserve">ة </w:t>
      </w:r>
      <w:r w:rsidRPr="00FD211F">
        <w:rPr>
          <w:sz w:val="36"/>
          <w:szCs w:val="36"/>
          <w:rtl/>
        </w:rPr>
        <w:t>متأخر</w:t>
      </w:r>
      <w:r w:rsidR="00EC7EDF" w:rsidRPr="00FD211F">
        <w:rPr>
          <w:sz w:val="36"/>
          <w:szCs w:val="36"/>
          <w:rtl/>
        </w:rPr>
        <w:t xml:space="preserve">ة </w:t>
      </w:r>
      <w:r w:rsidRPr="00FD211F">
        <w:rPr>
          <w:sz w:val="36"/>
          <w:szCs w:val="36"/>
          <w:rtl/>
        </w:rPr>
        <w:t>عن النار تأخر المعلول عن علته</w:t>
      </w:r>
      <w:r w:rsidR="00603323" w:rsidRPr="00FD211F">
        <w:rPr>
          <w:sz w:val="36"/>
          <w:szCs w:val="36"/>
          <w:rtl/>
        </w:rPr>
        <w:t xml:space="preserve">، </w:t>
      </w:r>
      <w:r w:rsidRPr="00FD211F">
        <w:rPr>
          <w:sz w:val="36"/>
          <w:szCs w:val="36"/>
          <w:rtl/>
        </w:rPr>
        <w:t>ولكنه لايقتضي تأخر البرود</w:t>
      </w:r>
      <w:r w:rsidR="00EC7EDF" w:rsidRPr="00FD211F">
        <w:rPr>
          <w:sz w:val="36"/>
          <w:szCs w:val="36"/>
          <w:rtl/>
        </w:rPr>
        <w:t xml:space="preserve">ة </w:t>
      </w:r>
      <w:r w:rsidRPr="00FD211F">
        <w:rPr>
          <w:sz w:val="36"/>
          <w:szCs w:val="36"/>
          <w:rtl/>
        </w:rPr>
        <w:t>ايضا -التي هي متحد</w:t>
      </w:r>
      <w:r w:rsidR="00EC7EDF" w:rsidRPr="00FD211F">
        <w:rPr>
          <w:sz w:val="36"/>
          <w:szCs w:val="36"/>
          <w:rtl/>
        </w:rPr>
        <w:t xml:space="preserve">ة </w:t>
      </w:r>
      <w:r w:rsidRPr="00FD211F">
        <w:rPr>
          <w:sz w:val="36"/>
          <w:szCs w:val="36"/>
          <w:rtl/>
        </w:rPr>
        <w:t>رتب</w:t>
      </w:r>
      <w:r w:rsidR="00EC7EDF" w:rsidRPr="00FD211F">
        <w:rPr>
          <w:sz w:val="36"/>
          <w:szCs w:val="36"/>
          <w:rtl/>
        </w:rPr>
        <w:t xml:space="preserve">ة </w:t>
      </w:r>
      <w:r w:rsidRPr="00FD211F">
        <w:rPr>
          <w:sz w:val="36"/>
          <w:szCs w:val="36"/>
          <w:rtl/>
        </w:rPr>
        <w:t>مع الحرار</w:t>
      </w:r>
      <w:r w:rsidR="00EC7EDF" w:rsidRPr="00FD211F">
        <w:rPr>
          <w:sz w:val="36"/>
          <w:szCs w:val="36"/>
          <w:rtl/>
        </w:rPr>
        <w:t xml:space="preserve">ة </w:t>
      </w:r>
      <w:r w:rsidRPr="00FD211F">
        <w:rPr>
          <w:sz w:val="36"/>
          <w:szCs w:val="36"/>
          <w:rtl/>
        </w:rPr>
        <w:t>- عن النار رتب</w:t>
      </w:r>
      <w:r w:rsidR="00EC7EDF" w:rsidRPr="00FD211F">
        <w:rPr>
          <w:sz w:val="36"/>
          <w:szCs w:val="36"/>
          <w:rtl/>
        </w:rPr>
        <w:t>ة</w:t>
      </w:r>
      <w:r w:rsidR="00603323" w:rsidRPr="00FD211F">
        <w:rPr>
          <w:sz w:val="36"/>
          <w:szCs w:val="36"/>
          <w:rtl/>
        </w:rPr>
        <w:t xml:space="preserve">، </w:t>
      </w:r>
      <w:r w:rsidRPr="00FD211F">
        <w:rPr>
          <w:sz w:val="36"/>
          <w:szCs w:val="36"/>
          <w:rtl/>
        </w:rPr>
        <w:t>لعدم اي ملاك يقتضي ذلك.</w:t>
      </w:r>
    </w:p>
    <w:p w14:paraId="564DDC37" w14:textId="77777777" w:rsidR="00E20179" w:rsidRPr="00FD211F" w:rsidRDefault="00EB7112" w:rsidP="009C58C8">
      <w:pPr>
        <w:ind w:left="0" w:firstLine="227"/>
        <w:jc w:val="both"/>
        <w:rPr>
          <w:sz w:val="36"/>
          <w:szCs w:val="36"/>
          <w:rtl/>
        </w:rPr>
      </w:pPr>
      <w:r w:rsidRPr="00FD211F">
        <w:rPr>
          <w:sz w:val="36"/>
          <w:szCs w:val="36"/>
          <w:rtl/>
        </w:rPr>
        <w:t xml:space="preserve">والحاصل </w:t>
      </w:r>
      <w:r w:rsidR="008042A8" w:rsidRPr="00FD211F">
        <w:rPr>
          <w:sz w:val="36"/>
          <w:szCs w:val="36"/>
          <w:rtl/>
        </w:rPr>
        <w:t>أنه بناء على التقريب الذي ذكرناه لكلام المحقق النائيني"</w:t>
      </w:r>
      <w:r w:rsidR="007A4A0D" w:rsidRPr="00FD211F">
        <w:rPr>
          <w:sz w:val="36"/>
          <w:szCs w:val="36"/>
          <w:rtl/>
        </w:rPr>
        <w:t xml:space="preserve"> “قده” </w:t>
      </w:r>
      <w:r w:rsidR="008042A8" w:rsidRPr="00FD211F">
        <w:rPr>
          <w:sz w:val="36"/>
          <w:szCs w:val="36"/>
          <w:rtl/>
        </w:rPr>
        <w:t>"</w:t>
      </w:r>
      <w:r w:rsidR="00E20179" w:rsidRPr="00FD211F">
        <w:rPr>
          <w:sz w:val="36"/>
          <w:szCs w:val="36"/>
          <w:rtl/>
        </w:rPr>
        <w:t>من ان الحرف تدل على معنى من سنخ الوجودالذهني لايردعليه ايّ من الايرادات السابق</w:t>
      </w:r>
      <w:r w:rsidR="00EC7EDF" w:rsidRPr="00FD211F">
        <w:rPr>
          <w:sz w:val="36"/>
          <w:szCs w:val="36"/>
          <w:rtl/>
        </w:rPr>
        <w:t>ة</w:t>
      </w:r>
      <w:r w:rsidR="00A61BAE" w:rsidRPr="00FD211F">
        <w:rPr>
          <w:sz w:val="36"/>
          <w:szCs w:val="36"/>
          <w:rtl/>
        </w:rPr>
        <w:t>.</w:t>
      </w:r>
    </w:p>
    <w:p w14:paraId="0405FDFB" w14:textId="77777777" w:rsidR="007F5659" w:rsidRPr="00FD211F" w:rsidRDefault="00481F56" w:rsidP="00251CB6">
      <w:pPr>
        <w:ind w:left="0" w:firstLine="227"/>
        <w:jc w:val="both"/>
        <w:rPr>
          <w:sz w:val="36"/>
          <w:szCs w:val="36"/>
          <w:rtl/>
        </w:rPr>
      </w:pPr>
      <w:r w:rsidRPr="00FD211F">
        <w:rPr>
          <w:sz w:val="36"/>
          <w:szCs w:val="36"/>
          <w:rtl/>
        </w:rPr>
        <w:t>نعم يرد على ماذكره المحقق النائيني "قده"</w:t>
      </w:r>
      <w:r w:rsidR="007F5659" w:rsidRPr="00FD211F">
        <w:rPr>
          <w:sz w:val="36"/>
          <w:szCs w:val="36"/>
          <w:rtl/>
        </w:rPr>
        <w:t xml:space="preserve"> </w:t>
      </w:r>
      <w:r w:rsidR="007F5659" w:rsidRPr="00FD211F">
        <w:rPr>
          <w:b/>
          <w:bCs/>
          <w:sz w:val="36"/>
          <w:szCs w:val="36"/>
          <w:rtl/>
        </w:rPr>
        <w:t>اولا</w:t>
      </w:r>
      <w:r w:rsidR="007F5659" w:rsidRPr="00FD211F">
        <w:rPr>
          <w:sz w:val="36"/>
          <w:szCs w:val="36"/>
          <w:rtl/>
        </w:rPr>
        <w:t>: ان الوجدان اصدق شاهد على ان المعنى الحرفي من سنخ المفهوم الذي يطرأ عليه الوجود الذهني</w:t>
      </w:r>
      <w:r w:rsidR="00603323" w:rsidRPr="00FD211F">
        <w:rPr>
          <w:sz w:val="36"/>
          <w:szCs w:val="36"/>
          <w:rtl/>
        </w:rPr>
        <w:t xml:space="preserve">، </w:t>
      </w:r>
      <w:r w:rsidR="007F5659" w:rsidRPr="00FD211F">
        <w:rPr>
          <w:sz w:val="36"/>
          <w:szCs w:val="36"/>
          <w:rtl/>
        </w:rPr>
        <w:t>ولاينافي ذلك افتراض كونه مفهوما غير مستقل</w:t>
      </w:r>
      <w:r w:rsidR="00603323" w:rsidRPr="00FD211F">
        <w:rPr>
          <w:sz w:val="36"/>
          <w:szCs w:val="36"/>
          <w:rtl/>
        </w:rPr>
        <w:t xml:space="preserve">، </w:t>
      </w:r>
      <w:r w:rsidR="007F5659" w:rsidRPr="00FD211F">
        <w:rPr>
          <w:sz w:val="36"/>
          <w:szCs w:val="36"/>
          <w:rtl/>
        </w:rPr>
        <w:t>فمفهوم جمل</w:t>
      </w:r>
      <w:r w:rsidR="00EC7EDF" w:rsidRPr="00FD211F">
        <w:rPr>
          <w:sz w:val="36"/>
          <w:szCs w:val="36"/>
          <w:rtl/>
        </w:rPr>
        <w:t xml:space="preserve">ة </w:t>
      </w:r>
      <w:r w:rsidR="007F5659" w:rsidRPr="00FD211F">
        <w:rPr>
          <w:sz w:val="36"/>
          <w:szCs w:val="36"/>
          <w:rtl/>
        </w:rPr>
        <w:t>"السير من البصر</w:t>
      </w:r>
      <w:r w:rsidR="00EC7EDF" w:rsidRPr="00FD211F">
        <w:rPr>
          <w:sz w:val="36"/>
          <w:szCs w:val="36"/>
          <w:rtl/>
        </w:rPr>
        <w:t>ة</w:t>
      </w:r>
      <w:r w:rsidR="007F5659" w:rsidRPr="00FD211F">
        <w:rPr>
          <w:sz w:val="36"/>
          <w:szCs w:val="36"/>
          <w:rtl/>
        </w:rPr>
        <w:t>" لايتعدد بتعدد وجوده الذهني تار</w:t>
      </w:r>
      <w:r w:rsidR="00EC7EDF" w:rsidRPr="00FD211F">
        <w:rPr>
          <w:sz w:val="36"/>
          <w:szCs w:val="36"/>
          <w:rtl/>
        </w:rPr>
        <w:t xml:space="preserve">ة </w:t>
      </w:r>
      <w:r w:rsidR="007F5659" w:rsidRPr="00FD211F">
        <w:rPr>
          <w:sz w:val="36"/>
          <w:szCs w:val="36"/>
          <w:rtl/>
        </w:rPr>
        <w:t>في ذهن المتكلم واخرى في ذهن السامع بعد افتراض عدم تغير طرفي هذا المعنى الحرفي وهو مفهوم السير ومفهوم البصر</w:t>
      </w:r>
      <w:r w:rsidR="00EC7EDF" w:rsidRPr="00FD211F">
        <w:rPr>
          <w:sz w:val="36"/>
          <w:szCs w:val="36"/>
          <w:rtl/>
        </w:rPr>
        <w:t>ة</w:t>
      </w:r>
      <w:r w:rsidR="00603323" w:rsidRPr="00FD211F">
        <w:rPr>
          <w:sz w:val="36"/>
          <w:szCs w:val="36"/>
          <w:rtl/>
        </w:rPr>
        <w:t xml:space="preserve">، </w:t>
      </w:r>
      <w:r w:rsidR="007F5659" w:rsidRPr="00FD211F">
        <w:rPr>
          <w:sz w:val="36"/>
          <w:szCs w:val="36"/>
          <w:rtl/>
        </w:rPr>
        <w:t>ومما يؤيد ذلك استبعاد كون هذه الجمل</w:t>
      </w:r>
      <w:r w:rsidR="00EC7EDF" w:rsidRPr="00FD211F">
        <w:rPr>
          <w:sz w:val="36"/>
          <w:szCs w:val="36"/>
          <w:rtl/>
        </w:rPr>
        <w:t xml:space="preserve">ة </w:t>
      </w:r>
      <w:r w:rsidR="007F5659" w:rsidRPr="00FD211F">
        <w:rPr>
          <w:sz w:val="36"/>
          <w:szCs w:val="36"/>
          <w:rtl/>
        </w:rPr>
        <w:t>خالي</w:t>
      </w:r>
      <w:r w:rsidR="00EC7EDF" w:rsidRPr="00FD211F">
        <w:rPr>
          <w:sz w:val="36"/>
          <w:szCs w:val="36"/>
          <w:rtl/>
        </w:rPr>
        <w:t xml:space="preserve">ة </w:t>
      </w:r>
      <w:r w:rsidR="007F5659" w:rsidRPr="00FD211F">
        <w:rPr>
          <w:sz w:val="36"/>
          <w:szCs w:val="36"/>
          <w:rtl/>
        </w:rPr>
        <w:t>عما يربط بين مفرداتها في مرتب</w:t>
      </w:r>
      <w:r w:rsidR="00EC7EDF" w:rsidRPr="00FD211F">
        <w:rPr>
          <w:sz w:val="36"/>
          <w:szCs w:val="36"/>
          <w:rtl/>
        </w:rPr>
        <w:t xml:space="preserve">ة </w:t>
      </w:r>
      <w:r w:rsidR="007F5659" w:rsidRPr="00FD211F">
        <w:rPr>
          <w:sz w:val="36"/>
          <w:szCs w:val="36"/>
          <w:rtl/>
        </w:rPr>
        <w:t>تقررها المفهومي.</w:t>
      </w:r>
    </w:p>
    <w:p w14:paraId="74ED2B0C" w14:textId="77777777" w:rsidR="007F5659" w:rsidRPr="00FD211F" w:rsidRDefault="00437BC0" w:rsidP="009C58C8">
      <w:pPr>
        <w:ind w:left="0" w:firstLine="227"/>
        <w:jc w:val="both"/>
        <w:rPr>
          <w:sz w:val="36"/>
          <w:szCs w:val="36"/>
          <w:rtl/>
        </w:rPr>
      </w:pPr>
      <w:r w:rsidRPr="00FD211F">
        <w:rPr>
          <w:b/>
          <w:bCs/>
          <w:sz w:val="36"/>
          <w:szCs w:val="36"/>
          <w:rtl/>
        </w:rPr>
        <w:t>وثانيا</w:t>
      </w:r>
      <w:r w:rsidR="007F5659" w:rsidRPr="00FD211F">
        <w:rPr>
          <w:sz w:val="36"/>
          <w:szCs w:val="36"/>
          <w:rtl/>
        </w:rPr>
        <w:t>: ان تقسيمه الحروف الى حروف إنشائي</w:t>
      </w:r>
      <w:r w:rsidR="00EC7EDF" w:rsidRPr="00FD211F">
        <w:rPr>
          <w:sz w:val="36"/>
          <w:szCs w:val="36"/>
          <w:rtl/>
        </w:rPr>
        <w:t xml:space="preserve">ة </w:t>
      </w:r>
      <w:r w:rsidR="007F5659" w:rsidRPr="00FD211F">
        <w:rPr>
          <w:sz w:val="36"/>
          <w:szCs w:val="36"/>
          <w:rtl/>
        </w:rPr>
        <w:t>وحروف نسبي</w:t>
      </w:r>
      <w:r w:rsidR="00EC7EDF" w:rsidRPr="00FD211F">
        <w:rPr>
          <w:sz w:val="36"/>
          <w:szCs w:val="36"/>
          <w:rtl/>
        </w:rPr>
        <w:t xml:space="preserve">ة </w:t>
      </w:r>
      <w:r w:rsidR="007F5659" w:rsidRPr="00FD211F">
        <w:rPr>
          <w:sz w:val="36"/>
          <w:szCs w:val="36"/>
          <w:rtl/>
        </w:rPr>
        <w:t>تحكي عن النسب الخارجي</w:t>
      </w:r>
      <w:r w:rsidR="00EC7EDF" w:rsidRPr="00FD211F">
        <w:rPr>
          <w:sz w:val="36"/>
          <w:szCs w:val="36"/>
          <w:rtl/>
        </w:rPr>
        <w:t xml:space="preserve">ة </w:t>
      </w:r>
      <w:r w:rsidR="007F5659" w:rsidRPr="00FD211F">
        <w:rPr>
          <w:sz w:val="36"/>
          <w:szCs w:val="36"/>
          <w:rtl/>
        </w:rPr>
        <w:t>تقسيم ناقص</w:t>
      </w:r>
      <w:r w:rsidR="00603323" w:rsidRPr="00FD211F">
        <w:rPr>
          <w:sz w:val="36"/>
          <w:szCs w:val="36"/>
          <w:rtl/>
        </w:rPr>
        <w:t xml:space="preserve">، </w:t>
      </w:r>
      <w:r w:rsidR="007F5659" w:rsidRPr="00FD211F">
        <w:rPr>
          <w:sz w:val="36"/>
          <w:szCs w:val="36"/>
          <w:rtl/>
        </w:rPr>
        <w:t>لانتقاضه بمثل لام التعريف في قولنا "الرجل" فانها ليست انشائي</w:t>
      </w:r>
      <w:r w:rsidR="00EC7EDF" w:rsidRPr="00FD211F">
        <w:rPr>
          <w:sz w:val="36"/>
          <w:szCs w:val="36"/>
          <w:rtl/>
        </w:rPr>
        <w:t xml:space="preserve">ة </w:t>
      </w:r>
      <w:r w:rsidR="007F5659" w:rsidRPr="00FD211F">
        <w:rPr>
          <w:sz w:val="36"/>
          <w:szCs w:val="36"/>
          <w:rtl/>
        </w:rPr>
        <w:t>ولاحاكي</w:t>
      </w:r>
      <w:r w:rsidR="00EC7EDF" w:rsidRPr="00FD211F">
        <w:rPr>
          <w:sz w:val="36"/>
          <w:szCs w:val="36"/>
          <w:rtl/>
        </w:rPr>
        <w:t xml:space="preserve">ة </w:t>
      </w:r>
      <w:r w:rsidR="007F5659" w:rsidRPr="00FD211F">
        <w:rPr>
          <w:sz w:val="36"/>
          <w:szCs w:val="36"/>
          <w:rtl/>
        </w:rPr>
        <w:t>عن ا</w:t>
      </w:r>
      <w:r w:rsidR="006F7487" w:rsidRPr="00FD211F">
        <w:rPr>
          <w:sz w:val="36"/>
          <w:szCs w:val="36"/>
          <w:rtl/>
        </w:rPr>
        <w:t>لنسب</w:t>
      </w:r>
      <w:r w:rsidR="00EC7EDF" w:rsidRPr="00FD211F">
        <w:rPr>
          <w:sz w:val="36"/>
          <w:szCs w:val="36"/>
          <w:rtl/>
        </w:rPr>
        <w:t xml:space="preserve">ة </w:t>
      </w:r>
      <w:r w:rsidR="006F7487" w:rsidRPr="00FD211F">
        <w:rPr>
          <w:sz w:val="36"/>
          <w:szCs w:val="36"/>
          <w:rtl/>
        </w:rPr>
        <w:t>بين الشيئين</w:t>
      </w:r>
      <w:r w:rsidR="00603323" w:rsidRPr="00FD211F">
        <w:rPr>
          <w:sz w:val="36"/>
          <w:szCs w:val="36"/>
          <w:rtl/>
        </w:rPr>
        <w:t xml:space="preserve">، </w:t>
      </w:r>
      <w:r w:rsidR="006F7487" w:rsidRPr="00FD211F">
        <w:rPr>
          <w:sz w:val="36"/>
          <w:szCs w:val="36"/>
          <w:rtl/>
        </w:rPr>
        <w:t>نعم لاينتقض</w:t>
      </w:r>
      <w:r w:rsidR="007F5659" w:rsidRPr="00FD211F">
        <w:rPr>
          <w:sz w:val="36"/>
          <w:szCs w:val="36"/>
          <w:rtl/>
        </w:rPr>
        <w:t xml:space="preserve"> بمثل حروف العطف كالواو (مثل قو</w:t>
      </w:r>
      <w:r w:rsidR="00481F56" w:rsidRPr="00FD211F">
        <w:rPr>
          <w:sz w:val="36"/>
          <w:szCs w:val="36"/>
          <w:rtl/>
        </w:rPr>
        <w:t>لنا الحرار</w:t>
      </w:r>
      <w:r w:rsidR="00EC7EDF" w:rsidRPr="00FD211F">
        <w:rPr>
          <w:sz w:val="36"/>
          <w:szCs w:val="36"/>
          <w:rtl/>
        </w:rPr>
        <w:t xml:space="preserve">ة </w:t>
      </w:r>
      <w:r w:rsidR="00481F56" w:rsidRPr="00FD211F">
        <w:rPr>
          <w:sz w:val="36"/>
          <w:szCs w:val="36"/>
          <w:rtl/>
        </w:rPr>
        <w:t>والبرود</w:t>
      </w:r>
      <w:r w:rsidR="00EC7EDF" w:rsidRPr="00FD211F">
        <w:rPr>
          <w:sz w:val="36"/>
          <w:szCs w:val="36"/>
          <w:rtl/>
        </w:rPr>
        <w:t xml:space="preserve">ة </w:t>
      </w:r>
      <w:r w:rsidR="00481F56" w:rsidRPr="00FD211F">
        <w:rPr>
          <w:sz w:val="36"/>
          <w:szCs w:val="36"/>
          <w:rtl/>
        </w:rPr>
        <w:t>لاتجتمعان) وأو</w:t>
      </w:r>
      <w:r w:rsidR="00EC7EDF" w:rsidRPr="00FD211F">
        <w:rPr>
          <w:sz w:val="36"/>
          <w:szCs w:val="36"/>
          <w:rtl/>
        </w:rPr>
        <w:t xml:space="preserve"> و</w:t>
      </w:r>
      <w:r w:rsidR="00481F56" w:rsidRPr="00FD211F">
        <w:rPr>
          <w:sz w:val="36"/>
          <w:szCs w:val="36"/>
          <w:rtl/>
        </w:rPr>
        <w:t>الفاء</w:t>
      </w:r>
      <w:r w:rsidR="00EC7EDF" w:rsidRPr="00FD211F">
        <w:rPr>
          <w:sz w:val="36"/>
          <w:szCs w:val="36"/>
          <w:rtl/>
        </w:rPr>
        <w:t xml:space="preserve"> و</w:t>
      </w:r>
      <w:r w:rsidR="007F5659" w:rsidRPr="00FD211F">
        <w:rPr>
          <w:sz w:val="36"/>
          <w:szCs w:val="36"/>
          <w:rtl/>
        </w:rPr>
        <w:t>ثم</w:t>
      </w:r>
      <w:r w:rsidR="00603323" w:rsidRPr="00FD211F">
        <w:rPr>
          <w:sz w:val="36"/>
          <w:szCs w:val="36"/>
          <w:rtl/>
        </w:rPr>
        <w:t xml:space="preserve">، </w:t>
      </w:r>
      <w:r w:rsidR="007F5659" w:rsidRPr="00FD211F">
        <w:rPr>
          <w:sz w:val="36"/>
          <w:szCs w:val="36"/>
          <w:rtl/>
        </w:rPr>
        <w:t xml:space="preserve">فانها </w:t>
      </w:r>
      <w:r w:rsidR="006F7487" w:rsidRPr="00FD211F">
        <w:rPr>
          <w:sz w:val="36"/>
          <w:szCs w:val="36"/>
          <w:rtl/>
        </w:rPr>
        <w:t xml:space="preserve">وان كانت </w:t>
      </w:r>
      <w:r w:rsidR="007F5659" w:rsidRPr="00FD211F">
        <w:rPr>
          <w:sz w:val="36"/>
          <w:szCs w:val="36"/>
          <w:rtl/>
        </w:rPr>
        <w:t xml:space="preserve">لاتحكي عن نسب </w:t>
      </w:r>
      <w:r w:rsidR="00581DF3" w:rsidRPr="00FD211F">
        <w:rPr>
          <w:sz w:val="36"/>
          <w:szCs w:val="36"/>
          <w:rtl/>
        </w:rPr>
        <w:t>خارجي</w:t>
      </w:r>
      <w:r w:rsidR="00EC7EDF" w:rsidRPr="00FD211F">
        <w:rPr>
          <w:sz w:val="36"/>
          <w:szCs w:val="36"/>
          <w:rtl/>
        </w:rPr>
        <w:t xml:space="preserve">ة </w:t>
      </w:r>
      <w:r w:rsidR="00581DF3" w:rsidRPr="00FD211F">
        <w:rPr>
          <w:sz w:val="36"/>
          <w:szCs w:val="36"/>
          <w:rtl/>
        </w:rPr>
        <w:t>الا انها انشائي</w:t>
      </w:r>
      <w:r w:rsidR="00EC7EDF" w:rsidRPr="00FD211F">
        <w:rPr>
          <w:sz w:val="36"/>
          <w:szCs w:val="36"/>
          <w:rtl/>
        </w:rPr>
        <w:t xml:space="preserve">ة </w:t>
      </w:r>
      <w:r w:rsidR="00581DF3" w:rsidRPr="00FD211F">
        <w:rPr>
          <w:sz w:val="36"/>
          <w:szCs w:val="36"/>
          <w:rtl/>
        </w:rPr>
        <w:t>لانها توجد فردا من العطف</w:t>
      </w:r>
      <w:r w:rsidR="00EC7EDF" w:rsidRPr="00FD211F">
        <w:rPr>
          <w:sz w:val="36"/>
          <w:szCs w:val="36"/>
          <w:rtl/>
        </w:rPr>
        <w:t>.</w:t>
      </w:r>
    </w:p>
    <w:p w14:paraId="49995349" w14:textId="77777777" w:rsidR="007F5659" w:rsidRPr="00FD211F" w:rsidRDefault="00437BC0" w:rsidP="009C58C8">
      <w:pPr>
        <w:ind w:left="0" w:firstLine="227"/>
        <w:jc w:val="both"/>
        <w:rPr>
          <w:sz w:val="36"/>
          <w:szCs w:val="36"/>
          <w:rtl/>
        </w:rPr>
      </w:pPr>
      <w:r w:rsidRPr="00FD211F">
        <w:rPr>
          <w:b/>
          <w:bCs/>
          <w:sz w:val="36"/>
          <w:szCs w:val="36"/>
          <w:rtl/>
        </w:rPr>
        <w:t>وثالثا</w:t>
      </w:r>
      <w:r w:rsidR="007F5659" w:rsidRPr="00FD211F">
        <w:rPr>
          <w:sz w:val="36"/>
          <w:szCs w:val="36"/>
          <w:rtl/>
        </w:rPr>
        <w:t xml:space="preserve">: ما </w:t>
      </w:r>
      <w:r w:rsidR="00481F56" w:rsidRPr="00FD211F">
        <w:rPr>
          <w:sz w:val="36"/>
          <w:szCs w:val="36"/>
          <w:rtl/>
        </w:rPr>
        <w:t xml:space="preserve">حكي عن </w:t>
      </w:r>
      <w:r w:rsidR="007F5659" w:rsidRPr="00FD211F">
        <w:rPr>
          <w:sz w:val="36"/>
          <w:szCs w:val="36"/>
          <w:rtl/>
        </w:rPr>
        <w:t>بعض الساد</w:t>
      </w:r>
      <w:r w:rsidR="00EC7EDF" w:rsidRPr="00FD211F">
        <w:rPr>
          <w:sz w:val="36"/>
          <w:szCs w:val="36"/>
          <w:rtl/>
        </w:rPr>
        <w:t xml:space="preserve">ة </w:t>
      </w:r>
      <w:r w:rsidR="007F5659" w:rsidRPr="00FD211F">
        <w:rPr>
          <w:sz w:val="36"/>
          <w:szCs w:val="36"/>
          <w:rtl/>
        </w:rPr>
        <w:t xml:space="preserve">الأعلام </w:t>
      </w:r>
      <w:r w:rsidR="0024281C" w:rsidRPr="00FD211F">
        <w:rPr>
          <w:sz w:val="36"/>
          <w:szCs w:val="36"/>
          <w:rtl/>
        </w:rPr>
        <w:t>"</w:t>
      </w:r>
      <w:r w:rsidR="007A4A0D" w:rsidRPr="00FD211F">
        <w:rPr>
          <w:sz w:val="36"/>
          <w:szCs w:val="36"/>
          <w:rtl/>
        </w:rPr>
        <w:t>دام‌ظله</w:t>
      </w:r>
      <w:r w:rsidR="0024281C" w:rsidRPr="00FD211F">
        <w:rPr>
          <w:sz w:val="36"/>
          <w:szCs w:val="36"/>
          <w:rtl/>
        </w:rPr>
        <w:t>"</w:t>
      </w:r>
      <w:r w:rsidR="007F5659" w:rsidRPr="00FD211F">
        <w:rPr>
          <w:sz w:val="36"/>
          <w:szCs w:val="36"/>
          <w:rtl/>
        </w:rPr>
        <w:t xml:space="preserve"> من ان الحروف الإنشائي</w:t>
      </w:r>
      <w:r w:rsidR="00EC7EDF" w:rsidRPr="00FD211F">
        <w:rPr>
          <w:sz w:val="36"/>
          <w:szCs w:val="36"/>
          <w:rtl/>
        </w:rPr>
        <w:t xml:space="preserve">ة </w:t>
      </w:r>
      <w:r w:rsidR="007F5659" w:rsidRPr="00FD211F">
        <w:rPr>
          <w:sz w:val="36"/>
          <w:szCs w:val="36"/>
          <w:rtl/>
        </w:rPr>
        <w:t>مثل ليت ولعل لاتوجد الربط الكلام</w:t>
      </w:r>
      <w:r w:rsidR="006C2D50" w:rsidRPr="00FD211F">
        <w:rPr>
          <w:sz w:val="36"/>
          <w:szCs w:val="36"/>
          <w:rtl/>
        </w:rPr>
        <w:t>ي</w:t>
      </w:r>
      <w:r w:rsidR="00603323" w:rsidRPr="00FD211F">
        <w:rPr>
          <w:sz w:val="36"/>
          <w:szCs w:val="36"/>
          <w:rtl/>
        </w:rPr>
        <w:t xml:space="preserve">، </w:t>
      </w:r>
      <w:r w:rsidR="006C2D50" w:rsidRPr="00FD211F">
        <w:rPr>
          <w:sz w:val="36"/>
          <w:szCs w:val="36"/>
          <w:rtl/>
        </w:rPr>
        <w:t>وانما هيئ</w:t>
      </w:r>
      <w:r w:rsidR="00EC7EDF" w:rsidRPr="00FD211F">
        <w:rPr>
          <w:sz w:val="36"/>
          <w:szCs w:val="36"/>
          <w:rtl/>
        </w:rPr>
        <w:t xml:space="preserve">ة </w:t>
      </w:r>
      <w:r w:rsidR="006C2D50" w:rsidRPr="00FD211F">
        <w:rPr>
          <w:sz w:val="36"/>
          <w:szCs w:val="36"/>
          <w:rtl/>
        </w:rPr>
        <w:t>الجمل</w:t>
      </w:r>
      <w:r w:rsidR="00EC7EDF" w:rsidRPr="00FD211F">
        <w:rPr>
          <w:sz w:val="36"/>
          <w:szCs w:val="36"/>
          <w:rtl/>
        </w:rPr>
        <w:t xml:space="preserve">ة </w:t>
      </w:r>
      <w:r w:rsidR="006C2D50" w:rsidRPr="00FD211F">
        <w:rPr>
          <w:sz w:val="36"/>
          <w:szCs w:val="36"/>
          <w:rtl/>
        </w:rPr>
        <w:t>توجد ذلك</w:t>
      </w:r>
      <w:r w:rsidR="00603323" w:rsidRPr="00FD211F">
        <w:rPr>
          <w:sz w:val="36"/>
          <w:szCs w:val="36"/>
          <w:rtl/>
        </w:rPr>
        <w:t xml:space="preserve">، </w:t>
      </w:r>
      <w:r w:rsidR="006C2D50" w:rsidRPr="00FD211F">
        <w:rPr>
          <w:sz w:val="36"/>
          <w:szCs w:val="36"/>
          <w:rtl/>
        </w:rPr>
        <w:t>فانه لايحسّ وجدانا بال</w:t>
      </w:r>
      <w:r w:rsidR="007F5659" w:rsidRPr="00FD211F">
        <w:rPr>
          <w:sz w:val="36"/>
          <w:szCs w:val="36"/>
          <w:rtl/>
        </w:rPr>
        <w:t xml:space="preserve">فرق بين قولنا </w:t>
      </w:r>
      <w:r w:rsidR="006C2D50" w:rsidRPr="00FD211F">
        <w:rPr>
          <w:sz w:val="36"/>
          <w:szCs w:val="36"/>
          <w:rtl/>
        </w:rPr>
        <w:t>"</w:t>
      </w:r>
      <w:r w:rsidR="007F5659" w:rsidRPr="00FD211F">
        <w:rPr>
          <w:sz w:val="36"/>
          <w:szCs w:val="36"/>
          <w:rtl/>
        </w:rPr>
        <w:t xml:space="preserve">ليت زيدا قائم </w:t>
      </w:r>
      <w:r w:rsidR="006C2D50" w:rsidRPr="00FD211F">
        <w:rPr>
          <w:sz w:val="36"/>
          <w:szCs w:val="36"/>
          <w:rtl/>
        </w:rPr>
        <w:t>"</w:t>
      </w:r>
      <w:r w:rsidR="007F5659" w:rsidRPr="00FD211F">
        <w:rPr>
          <w:sz w:val="36"/>
          <w:szCs w:val="36"/>
          <w:rtl/>
        </w:rPr>
        <w:t xml:space="preserve">وبين قولنا </w:t>
      </w:r>
      <w:r w:rsidR="006C2D50" w:rsidRPr="00FD211F">
        <w:rPr>
          <w:sz w:val="36"/>
          <w:szCs w:val="36"/>
          <w:rtl/>
        </w:rPr>
        <w:t>"</w:t>
      </w:r>
      <w:r w:rsidR="007F5659" w:rsidRPr="00FD211F">
        <w:rPr>
          <w:sz w:val="36"/>
          <w:szCs w:val="36"/>
          <w:rtl/>
        </w:rPr>
        <w:t>أتمنى ان زيدا قائم</w:t>
      </w:r>
      <w:r w:rsidR="006C2D50" w:rsidRPr="00FD211F">
        <w:rPr>
          <w:sz w:val="36"/>
          <w:szCs w:val="36"/>
          <w:rtl/>
        </w:rPr>
        <w:t>"</w:t>
      </w:r>
      <w:r w:rsidR="00603323" w:rsidRPr="00FD211F">
        <w:rPr>
          <w:sz w:val="36"/>
          <w:szCs w:val="36"/>
          <w:rtl/>
        </w:rPr>
        <w:t xml:space="preserve">، </w:t>
      </w:r>
      <w:r w:rsidR="007F5659" w:rsidRPr="00FD211F">
        <w:rPr>
          <w:sz w:val="36"/>
          <w:szCs w:val="36"/>
          <w:rtl/>
        </w:rPr>
        <w:t>ولابأس بما أفاده.</w:t>
      </w:r>
    </w:p>
    <w:p w14:paraId="1A1CEEF7" w14:textId="77777777" w:rsidR="007F5659" w:rsidRPr="00FD211F" w:rsidRDefault="004B6276" w:rsidP="009C58C8">
      <w:pPr>
        <w:ind w:left="0" w:firstLine="227"/>
        <w:jc w:val="both"/>
        <w:rPr>
          <w:sz w:val="36"/>
          <w:szCs w:val="36"/>
          <w:rtl/>
        </w:rPr>
      </w:pPr>
      <w:r w:rsidRPr="00FD211F">
        <w:rPr>
          <w:b/>
          <w:bCs/>
          <w:sz w:val="36"/>
          <w:szCs w:val="36"/>
          <w:rtl/>
        </w:rPr>
        <w:t>ورابعا</w:t>
      </w:r>
      <w:r w:rsidR="007F5659" w:rsidRPr="00FD211F">
        <w:rPr>
          <w:sz w:val="36"/>
          <w:szCs w:val="36"/>
          <w:rtl/>
        </w:rPr>
        <w:t>: ما ذك</w:t>
      </w:r>
      <w:r w:rsidR="006C2D50" w:rsidRPr="00FD211F">
        <w:rPr>
          <w:sz w:val="36"/>
          <w:szCs w:val="36"/>
          <w:rtl/>
        </w:rPr>
        <w:t xml:space="preserve">ره السيد الخوئي </w:t>
      </w:r>
      <w:r w:rsidR="000F66F2" w:rsidRPr="00FD211F">
        <w:rPr>
          <w:sz w:val="36"/>
          <w:szCs w:val="36"/>
          <w:rtl/>
        </w:rPr>
        <w:t>"</w:t>
      </w:r>
      <w:r w:rsidR="006C2D50" w:rsidRPr="00FD211F">
        <w:rPr>
          <w:sz w:val="36"/>
          <w:szCs w:val="36"/>
          <w:rtl/>
        </w:rPr>
        <w:t>قده</w:t>
      </w:r>
      <w:r w:rsidR="000F66F2" w:rsidRPr="00FD211F">
        <w:rPr>
          <w:sz w:val="36"/>
          <w:szCs w:val="36"/>
          <w:rtl/>
        </w:rPr>
        <w:t>"</w:t>
      </w:r>
      <w:r w:rsidR="006C2D50" w:rsidRPr="00FD211F">
        <w:rPr>
          <w:sz w:val="36"/>
          <w:szCs w:val="36"/>
          <w:rtl/>
        </w:rPr>
        <w:t xml:space="preserve"> من ان ما قال</w:t>
      </w:r>
      <w:r w:rsidR="007F5659" w:rsidRPr="00FD211F">
        <w:rPr>
          <w:sz w:val="36"/>
          <w:szCs w:val="36"/>
          <w:rtl/>
        </w:rPr>
        <w:t>ه المحقق النائيني</w:t>
      </w:r>
      <w:r w:rsidR="008F14E7" w:rsidRPr="00FD211F">
        <w:rPr>
          <w:sz w:val="36"/>
          <w:szCs w:val="36"/>
          <w:rtl/>
        </w:rPr>
        <w:t xml:space="preserve"> "قده"</w:t>
      </w:r>
      <w:r w:rsidR="000F66F2" w:rsidRPr="00FD211F">
        <w:rPr>
          <w:sz w:val="36"/>
          <w:szCs w:val="36"/>
          <w:rtl/>
        </w:rPr>
        <w:t>-</w:t>
      </w:r>
      <w:r w:rsidR="007F5659" w:rsidRPr="00FD211F">
        <w:rPr>
          <w:sz w:val="36"/>
          <w:szCs w:val="36"/>
          <w:rtl/>
        </w:rPr>
        <w:t xml:space="preserve"> وفاقا للمشهور</w:t>
      </w:r>
      <w:r w:rsidR="000F66F2" w:rsidRPr="00FD211F">
        <w:rPr>
          <w:sz w:val="36"/>
          <w:szCs w:val="36"/>
          <w:rtl/>
        </w:rPr>
        <w:t>-</w:t>
      </w:r>
      <w:r w:rsidR="007F5659" w:rsidRPr="00FD211F">
        <w:rPr>
          <w:sz w:val="36"/>
          <w:szCs w:val="36"/>
          <w:rtl/>
        </w:rPr>
        <w:t xml:space="preserve"> من كون المعنى الحرفي ملحوظا آليا مخالف للوجدان</w:t>
      </w:r>
      <w:r w:rsidR="00603323" w:rsidRPr="00FD211F">
        <w:rPr>
          <w:sz w:val="36"/>
          <w:szCs w:val="36"/>
          <w:rtl/>
        </w:rPr>
        <w:t xml:space="preserve">، </w:t>
      </w:r>
      <w:r w:rsidR="007F5659" w:rsidRPr="00FD211F">
        <w:rPr>
          <w:sz w:val="36"/>
          <w:szCs w:val="36"/>
          <w:rtl/>
        </w:rPr>
        <w:t>حيث انه قد يتعلق الغرض الاصلي في التفهيم والتفهم بنفس هذا المعنى الحرفي</w:t>
      </w:r>
      <w:r w:rsidR="00603323" w:rsidRPr="00FD211F">
        <w:rPr>
          <w:sz w:val="36"/>
          <w:szCs w:val="36"/>
          <w:rtl/>
        </w:rPr>
        <w:t xml:space="preserve">، </w:t>
      </w:r>
      <w:r w:rsidR="007F5659" w:rsidRPr="00FD211F">
        <w:rPr>
          <w:sz w:val="36"/>
          <w:szCs w:val="36"/>
          <w:rtl/>
        </w:rPr>
        <w:t xml:space="preserve">كما في قولنا </w:t>
      </w:r>
      <w:r w:rsidR="000F66F2" w:rsidRPr="00FD211F">
        <w:rPr>
          <w:sz w:val="36"/>
          <w:szCs w:val="36"/>
          <w:rtl/>
        </w:rPr>
        <w:t>-</w:t>
      </w:r>
      <w:r w:rsidR="007F5659" w:rsidRPr="00FD211F">
        <w:rPr>
          <w:sz w:val="36"/>
          <w:szCs w:val="36"/>
          <w:rtl/>
        </w:rPr>
        <w:t>ركب زيد على الداب</w:t>
      </w:r>
      <w:r w:rsidR="00EC7EDF" w:rsidRPr="00FD211F">
        <w:rPr>
          <w:sz w:val="36"/>
          <w:szCs w:val="36"/>
          <w:rtl/>
        </w:rPr>
        <w:t xml:space="preserve">ة </w:t>
      </w:r>
      <w:r w:rsidR="000F66F2" w:rsidRPr="00FD211F">
        <w:rPr>
          <w:sz w:val="36"/>
          <w:szCs w:val="36"/>
          <w:rtl/>
        </w:rPr>
        <w:t>-</w:t>
      </w:r>
      <w:r w:rsidR="007F5659" w:rsidRPr="00FD211F">
        <w:rPr>
          <w:sz w:val="36"/>
          <w:szCs w:val="36"/>
          <w:rtl/>
        </w:rPr>
        <w:t xml:space="preserve"> في مقام الجواب عن السؤال عن كيفي</w:t>
      </w:r>
      <w:r w:rsidR="00EC7EDF" w:rsidRPr="00FD211F">
        <w:rPr>
          <w:sz w:val="36"/>
          <w:szCs w:val="36"/>
          <w:rtl/>
        </w:rPr>
        <w:t xml:space="preserve">ة </w:t>
      </w:r>
      <w:r w:rsidR="007F5659" w:rsidRPr="00FD211F">
        <w:rPr>
          <w:sz w:val="36"/>
          <w:szCs w:val="36"/>
          <w:rtl/>
        </w:rPr>
        <w:t>ركوب زيد</w:t>
      </w:r>
      <w:r w:rsidR="009C58C8" w:rsidRPr="00FD211F">
        <w:rPr>
          <w:rStyle w:val="a6"/>
          <w:sz w:val="36"/>
          <w:szCs w:val="36"/>
          <w:rtl/>
        </w:rPr>
        <w:t>(</w:t>
      </w:r>
      <w:r w:rsidR="009C58C8" w:rsidRPr="00FD211F">
        <w:rPr>
          <w:rStyle w:val="a6"/>
          <w:sz w:val="36"/>
          <w:szCs w:val="36"/>
          <w:rtl/>
        </w:rPr>
        <w:footnoteReference w:id="163"/>
      </w:r>
      <w:r w:rsidR="009C58C8" w:rsidRPr="00FD211F">
        <w:rPr>
          <w:rStyle w:val="a6"/>
          <w:sz w:val="36"/>
          <w:szCs w:val="36"/>
          <w:rtl/>
        </w:rPr>
        <w:t>)</w:t>
      </w:r>
      <w:r w:rsidR="007F5659" w:rsidRPr="00FD211F">
        <w:rPr>
          <w:sz w:val="36"/>
          <w:szCs w:val="36"/>
          <w:rtl/>
        </w:rPr>
        <w:t>.</w:t>
      </w:r>
    </w:p>
    <w:p w14:paraId="63082C3B" w14:textId="77777777" w:rsidR="000C5BBA" w:rsidRPr="00FD211F" w:rsidRDefault="007F5659" w:rsidP="009C58C8">
      <w:pPr>
        <w:ind w:left="0" w:firstLine="227"/>
        <w:jc w:val="both"/>
        <w:rPr>
          <w:sz w:val="36"/>
          <w:szCs w:val="36"/>
          <w:rtl/>
        </w:rPr>
      </w:pPr>
      <w:r w:rsidRPr="00FD211F">
        <w:rPr>
          <w:sz w:val="36"/>
          <w:szCs w:val="36"/>
          <w:rtl/>
        </w:rPr>
        <w:t>وفيه ما مر من ان كون المعنى الحرفي معنى اندكاكيا متقوما بوجود الطرفين لاينافي ت</w:t>
      </w:r>
      <w:r w:rsidR="000F66F2" w:rsidRPr="00FD211F">
        <w:rPr>
          <w:sz w:val="36"/>
          <w:szCs w:val="36"/>
          <w:rtl/>
        </w:rPr>
        <w:t>علق الغرض الاصلي بتفهيمه وتفهمه.</w:t>
      </w:r>
    </w:p>
    <w:p w14:paraId="4B95BD9B" w14:textId="77777777" w:rsidR="007F5659" w:rsidRPr="00FD211F" w:rsidRDefault="007F5659" w:rsidP="009C58C8">
      <w:pPr>
        <w:ind w:left="0" w:firstLine="227"/>
        <w:jc w:val="both"/>
        <w:rPr>
          <w:sz w:val="36"/>
          <w:szCs w:val="36"/>
          <w:rtl/>
        </w:rPr>
      </w:pPr>
      <w:r w:rsidRPr="00FD211F">
        <w:rPr>
          <w:sz w:val="36"/>
          <w:szCs w:val="36"/>
          <w:rtl/>
        </w:rPr>
        <w:t xml:space="preserve">وأما ما ذكره بعض الأعلام </w:t>
      </w:r>
      <w:r w:rsidR="006C2D50" w:rsidRPr="00FD211F">
        <w:rPr>
          <w:sz w:val="36"/>
          <w:szCs w:val="36"/>
          <w:rtl/>
        </w:rPr>
        <w:t>"قده"</w:t>
      </w:r>
      <w:r w:rsidRPr="00FD211F">
        <w:rPr>
          <w:sz w:val="36"/>
          <w:szCs w:val="36"/>
          <w:rtl/>
        </w:rPr>
        <w:t xml:space="preserve"> بانه في هذا المثال (اي قولنا ركب زيد على الداب</w:t>
      </w:r>
      <w:r w:rsidR="00EC7EDF" w:rsidRPr="00FD211F">
        <w:rPr>
          <w:sz w:val="36"/>
          <w:szCs w:val="36"/>
          <w:rtl/>
        </w:rPr>
        <w:t xml:space="preserve">ة </w:t>
      </w:r>
      <w:r w:rsidRPr="00FD211F">
        <w:rPr>
          <w:sz w:val="36"/>
          <w:szCs w:val="36"/>
          <w:rtl/>
        </w:rPr>
        <w:t>) يكون السؤال في الحقيق</w:t>
      </w:r>
      <w:r w:rsidR="00EC7EDF" w:rsidRPr="00FD211F">
        <w:rPr>
          <w:sz w:val="36"/>
          <w:szCs w:val="36"/>
          <w:rtl/>
        </w:rPr>
        <w:t xml:space="preserve">ة </w:t>
      </w:r>
      <w:r w:rsidRPr="00FD211F">
        <w:rPr>
          <w:sz w:val="36"/>
          <w:szCs w:val="36"/>
          <w:rtl/>
        </w:rPr>
        <w:t>عن الطرف الآخر للنسب</w:t>
      </w:r>
      <w:r w:rsidR="00EC7EDF" w:rsidRPr="00FD211F">
        <w:rPr>
          <w:sz w:val="36"/>
          <w:szCs w:val="36"/>
          <w:rtl/>
        </w:rPr>
        <w:t xml:space="preserve">ة </w:t>
      </w:r>
      <w:r w:rsidRPr="00FD211F">
        <w:rPr>
          <w:sz w:val="36"/>
          <w:szCs w:val="36"/>
          <w:rtl/>
        </w:rPr>
        <w:t>اي ما ركب عليه زيد</w:t>
      </w:r>
      <w:r w:rsidR="00603323" w:rsidRPr="00FD211F">
        <w:rPr>
          <w:sz w:val="36"/>
          <w:szCs w:val="36"/>
          <w:rtl/>
        </w:rPr>
        <w:t xml:space="preserve">، </w:t>
      </w:r>
      <w:r w:rsidRPr="00FD211F">
        <w:rPr>
          <w:sz w:val="36"/>
          <w:szCs w:val="36"/>
          <w:rtl/>
        </w:rPr>
        <w:t>لاعن نفس النسب</w:t>
      </w:r>
      <w:r w:rsidR="00EC7EDF" w:rsidRPr="00FD211F">
        <w:rPr>
          <w:sz w:val="36"/>
          <w:szCs w:val="36"/>
          <w:rtl/>
        </w:rPr>
        <w:t>ة</w:t>
      </w:r>
      <w:r w:rsidR="00603323" w:rsidRPr="00FD211F">
        <w:rPr>
          <w:sz w:val="36"/>
          <w:szCs w:val="36"/>
          <w:rtl/>
        </w:rPr>
        <w:t xml:space="preserve">، </w:t>
      </w:r>
      <w:r w:rsidRPr="00FD211F">
        <w:rPr>
          <w:sz w:val="36"/>
          <w:szCs w:val="36"/>
          <w:rtl/>
        </w:rPr>
        <w:t>نعم هناك مثال آخر أقرب للاستشهاد</w:t>
      </w:r>
      <w:r w:rsidR="00603323" w:rsidRPr="00FD211F">
        <w:rPr>
          <w:sz w:val="36"/>
          <w:szCs w:val="36"/>
          <w:rtl/>
        </w:rPr>
        <w:t xml:space="preserve">، </w:t>
      </w:r>
      <w:r w:rsidRPr="00FD211F">
        <w:rPr>
          <w:sz w:val="36"/>
          <w:szCs w:val="36"/>
          <w:rtl/>
        </w:rPr>
        <w:t xml:space="preserve">وهو ما اذا رأينا شخصا في </w:t>
      </w:r>
      <w:r w:rsidR="000F66F2" w:rsidRPr="00FD211F">
        <w:rPr>
          <w:sz w:val="36"/>
          <w:szCs w:val="36"/>
          <w:rtl/>
        </w:rPr>
        <w:t>ال</w:t>
      </w:r>
      <w:r w:rsidRPr="00FD211F">
        <w:rPr>
          <w:sz w:val="36"/>
          <w:szCs w:val="36"/>
          <w:rtl/>
        </w:rPr>
        <w:t>طريق بين البصر</w:t>
      </w:r>
      <w:r w:rsidR="00EC7EDF" w:rsidRPr="00FD211F">
        <w:rPr>
          <w:sz w:val="36"/>
          <w:szCs w:val="36"/>
          <w:rtl/>
        </w:rPr>
        <w:t xml:space="preserve">ة </w:t>
      </w:r>
      <w:r w:rsidRPr="00FD211F">
        <w:rPr>
          <w:sz w:val="36"/>
          <w:szCs w:val="36"/>
          <w:rtl/>
        </w:rPr>
        <w:t>والكوف</w:t>
      </w:r>
      <w:r w:rsidR="00EC7EDF" w:rsidRPr="00FD211F">
        <w:rPr>
          <w:sz w:val="36"/>
          <w:szCs w:val="36"/>
          <w:rtl/>
        </w:rPr>
        <w:t xml:space="preserve">ة </w:t>
      </w:r>
      <w:r w:rsidR="009977FE" w:rsidRPr="00FD211F">
        <w:rPr>
          <w:sz w:val="36"/>
          <w:szCs w:val="36"/>
          <w:rtl/>
        </w:rPr>
        <w:t>و</w:t>
      </w:r>
      <w:r w:rsidR="008D7B3D" w:rsidRPr="00FD211F">
        <w:rPr>
          <w:sz w:val="36"/>
          <w:szCs w:val="36"/>
          <w:rtl/>
        </w:rPr>
        <w:t xml:space="preserve"> لم‌</w:t>
      </w:r>
      <w:r w:rsidRPr="00FD211F">
        <w:rPr>
          <w:sz w:val="36"/>
          <w:szCs w:val="36"/>
          <w:rtl/>
        </w:rPr>
        <w:t>نعلم انه</w:t>
      </w:r>
      <w:r w:rsidR="000F66F2" w:rsidRPr="00FD211F">
        <w:rPr>
          <w:sz w:val="36"/>
          <w:szCs w:val="36"/>
          <w:rtl/>
        </w:rPr>
        <w:t xml:space="preserve"> آت من البصر</w:t>
      </w:r>
      <w:r w:rsidR="00EC7EDF" w:rsidRPr="00FD211F">
        <w:rPr>
          <w:sz w:val="36"/>
          <w:szCs w:val="36"/>
          <w:rtl/>
        </w:rPr>
        <w:t xml:space="preserve">ة </w:t>
      </w:r>
      <w:r w:rsidR="000F66F2" w:rsidRPr="00FD211F">
        <w:rPr>
          <w:sz w:val="36"/>
          <w:szCs w:val="36"/>
          <w:rtl/>
        </w:rPr>
        <w:t>ام ذاهب اليها</w:t>
      </w:r>
      <w:r w:rsidRPr="00FD211F">
        <w:rPr>
          <w:sz w:val="36"/>
          <w:szCs w:val="36"/>
          <w:rtl/>
        </w:rPr>
        <w:t xml:space="preserve"> فسئل</w:t>
      </w:r>
      <w:r w:rsidR="000F66F2" w:rsidRPr="00FD211F">
        <w:rPr>
          <w:sz w:val="36"/>
          <w:szCs w:val="36"/>
          <w:rtl/>
        </w:rPr>
        <w:t>ناه"</w:t>
      </w:r>
      <w:r w:rsidRPr="00FD211F">
        <w:rPr>
          <w:sz w:val="36"/>
          <w:szCs w:val="36"/>
          <w:rtl/>
        </w:rPr>
        <w:t xml:space="preserve"> امن البصر</w:t>
      </w:r>
      <w:r w:rsidR="00EC7EDF" w:rsidRPr="00FD211F">
        <w:rPr>
          <w:sz w:val="36"/>
          <w:szCs w:val="36"/>
          <w:rtl/>
        </w:rPr>
        <w:t xml:space="preserve">ة </w:t>
      </w:r>
      <w:r w:rsidRPr="00FD211F">
        <w:rPr>
          <w:sz w:val="36"/>
          <w:szCs w:val="36"/>
          <w:rtl/>
        </w:rPr>
        <w:t>ام اليها</w:t>
      </w:r>
      <w:r w:rsidR="000F66F2" w:rsidRPr="00FD211F">
        <w:rPr>
          <w:sz w:val="36"/>
          <w:szCs w:val="36"/>
          <w:rtl/>
        </w:rPr>
        <w:t>"</w:t>
      </w:r>
      <w:r w:rsidR="00603323" w:rsidRPr="00FD211F">
        <w:rPr>
          <w:sz w:val="36"/>
          <w:szCs w:val="36"/>
          <w:rtl/>
        </w:rPr>
        <w:t xml:space="preserve">، </w:t>
      </w:r>
      <w:r w:rsidRPr="00FD211F">
        <w:rPr>
          <w:sz w:val="36"/>
          <w:szCs w:val="36"/>
          <w:rtl/>
        </w:rPr>
        <w:t>فان السؤال ههنا يتعين ان يكون عن النسب</w:t>
      </w:r>
      <w:r w:rsidR="00EC7EDF" w:rsidRPr="00FD211F">
        <w:rPr>
          <w:sz w:val="36"/>
          <w:szCs w:val="36"/>
          <w:rtl/>
        </w:rPr>
        <w:t xml:space="preserve">ة </w:t>
      </w:r>
      <w:r w:rsidRPr="00FD211F">
        <w:rPr>
          <w:sz w:val="36"/>
          <w:szCs w:val="36"/>
          <w:rtl/>
        </w:rPr>
        <w:t>بين السير والبصر</w:t>
      </w:r>
      <w:r w:rsidR="00EC7EDF" w:rsidRPr="00FD211F">
        <w:rPr>
          <w:sz w:val="36"/>
          <w:szCs w:val="36"/>
          <w:rtl/>
        </w:rPr>
        <w:t xml:space="preserve">ة </w:t>
      </w:r>
      <w:r w:rsidRPr="00FD211F">
        <w:rPr>
          <w:sz w:val="36"/>
          <w:szCs w:val="36"/>
          <w:rtl/>
        </w:rPr>
        <w:t>وانه</w:t>
      </w:r>
      <w:r w:rsidR="000F66F2" w:rsidRPr="00FD211F">
        <w:rPr>
          <w:sz w:val="36"/>
          <w:szCs w:val="36"/>
          <w:rtl/>
        </w:rPr>
        <w:t>ا هي</w:t>
      </w:r>
      <w:r w:rsidRPr="00FD211F">
        <w:rPr>
          <w:sz w:val="36"/>
          <w:szCs w:val="36"/>
          <w:rtl/>
        </w:rPr>
        <w:t xml:space="preserve">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او الانتهائي</w:t>
      </w:r>
      <w:r w:rsidR="00EC7EDF" w:rsidRPr="00FD211F">
        <w:rPr>
          <w:sz w:val="36"/>
          <w:szCs w:val="36"/>
          <w:rtl/>
        </w:rPr>
        <w:t>ة</w:t>
      </w:r>
      <w:r w:rsidR="00603323" w:rsidRPr="00FD211F">
        <w:rPr>
          <w:sz w:val="36"/>
          <w:szCs w:val="36"/>
          <w:rtl/>
        </w:rPr>
        <w:t xml:space="preserve">، </w:t>
      </w:r>
      <w:r w:rsidRPr="00FD211F">
        <w:rPr>
          <w:sz w:val="36"/>
          <w:szCs w:val="36"/>
          <w:rtl/>
        </w:rPr>
        <w:t>لاعن احد طرفيه</w:t>
      </w:r>
      <w:r w:rsidR="000F66F2" w:rsidRPr="00FD211F">
        <w:rPr>
          <w:sz w:val="36"/>
          <w:szCs w:val="36"/>
          <w:rtl/>
        </w:rPr>
        <w:t>ا لكونه معلوما</w:t>
      </w:r>
      <w:r w:rsidRPr="00FD211F">
        <w:rPr>
          <w:sz w:val="36"/>
          <w:szCs w:val="36"/>
          <w:rtl/>
        </w:rPr>
        <w:t xml:space="preserve"> والمجهول هو النسب</w:t>
      </w:r>
      <w:r w:rsidR="00EC7EDF" w:rsidRPr="00FD211F">
        <w:rPr>
          <w:sz w:val="36"/>
          <w:szCs w:val="36"/>
          <w:rtl/>
        </w:rPr>
        <w:t xml:space="preserve">ة </w:t>
      </w:r>
      <w:r w:rsidRPr="00FD211F">
        <w:rPr>
          <w:sz w:val="36"/>
          <w:szCs w:val="36"/>
          <w:rtl/>
        </w:rPr>
        <w:t>ولكن هذا المثال قابل للمناقش</w:t>
      </w:r>
      <w:r w:rsidR="00EC7EDF" w:rsidRPr="00FD211F">
        <w:rPr>
          <w:sz w:val="36"/>
          <w:szCs w:val="36"/>
          <w:rtl/>
        </w:rPr>
        <w:t xml:space="preserve">ة </w:t>
      </w:r>
      <w:r w:rsidRPr="00FD211F">
        <w:rPr>
          <w:sz w:val="36"/>
          <w:szCs w:val="36"/>
          <w:rtl/>
        </w:rPr>
        <w:t>ايضا بوجهين:</w:t>
      </w:r>
    </w:p>
    <w:p w14:paraId="4A97CBE8" w14:textId="77777777" w:rsidR="007F5659" w:rsidRPr="00FD211F" w:rsidRDefault="007F5659" w:rsidP="009C58C8">
      <w:pPr>
        <w:ind w:left="0" w:firstLine="227"/>
        <w:jc w:val="both"/>
        <w:rPr>
          <w:sz w:val="36"/>
          <w:szCs w:val="36"/>
          <w:rtl/>
        </w:rPr>
      </w:pPr>
      <w:r w:rsidRPr="00FD211F">
        <w:rPr>
          <w:sz w:val="36"/>
          <w:szCs w:val="36"/>
          <w:rtl/>
        </w:rPr>
        <w:t>الاول: ما هو المقرر في علم العربي</w:t>
      </w:r>
      <w:r w:rsidR="00EC7EDF" w:rsidRPr="00FD211F">
        <w:rPr>
          <w:sz w:val="36"/>
          <w:szCs w:val="36"/>
          <w:rtl/>
        </w:rPr>
        <w:t>ة</w:t>
      </w:r>
      <w:r w:rsidR="00603323" w:rsidRPr="00FD211F">
        <w:rPr>
          <w:sz w:val="36"/>
          <w:szCs w:val="36"/>
          <w:rtl/>
        </w:rPr>
        <w:t xml:space="preserve">، </w:t>
      </w:r>
      <w:r w:rsidRPr="00FD211F">
        <w:rPr>
          <w:sz w:val="36"/>
          <w:szCs w:val="36"/>
          <w:rtl/>
        </w:rPr>
        <w:t>من تعلق الجار بعامل مقدر</w:t>
      </w:r>
      <w:r w:rsidR="00603323" w:rsidRPr="00FD211F">
        <w:rPr>
          <w:sz w:val="36"/>
          <w:szCs w:val="36"/>
          <w:rtl/>
        </w:rPr>
        <w:t xml:space="preserve">، </w:t>
      </w:r>
      <w:r w:rsidRPr="00FD211F">
        <w:rPr>
          <w:sz w:val="36"/>
          <w:szCs w:val="36"/>
          <w:rtl/>
        </w:rPr>
        <w:t>فالسؤال عنه لاعن النسب</w:t>
      </w:r>
      <w:r w:rsidR="00EC7EDF" w:rsidRPr="00FD211F">
        <w:rPr>
          <w:sz w:val="36"/>
          <w:szCs w:val="36"/>
          <w:rtl/>
        </w:rPr>
        <w:t>ة</w:t>
      </w:r>
      <w:r w:rsidR="00603323" w:rsidRPr="00FD211F">
        <w:rPr>
          <w:sz w:val="36"/>
          <w:szCs w:val="36"/>
          <w:rtl/>
        </w:rPr>
        <w:t xml:space="preserve">، </w:t>
      </w:r>
      <w:r w:rsidRPr="00FD211F">
        <w:rPr>
          <w:sz w:val="36"/>
          <w:szCs w:val="36"/>
          <w:rtl/>
        </w:rPr>
        <w:t>فيكون السؤال في قو</w:t>
      </w:r>
      <w:r w:rsidR="00EC7EDF" w:rsidRPr="00FD211F">
        <w:rPr>
          <w:sz w:val="36"/>
          <w:szCs w:val="36"/>
          <w:rtl/>
        </w:rPr>
        <w:t xml:space="preserve">ة </w:t>
      </w:r>
      <w:r w:rsidR="000F66F2" w:rsidRPr="00FD211F">
        <w:rPr>
          <w:sz w:val="36"/>
          <w:szCs w:val="36"/>
          <w:rtl/>
        </w:rPr>
        <w:t>أن يقال"</w:t>
      </w:r>
      <w:r w:rsidRPr="00FD211F">
        <w:rPr>
          <w:sz w:val="36"/>
          <w:szCs w:val="36"/>
          <w:rtl/>
        </w:rPr>
        <w:t xml:space="preserve"> اتجيئ من البصر</w:t>
      </w:r>
      <w:r w:rsidR="00EC7EDF" w:rsidRPr="00FD211F">
        <w:rPr>
          <w:sz w:val="36"/>
          <w:szCs w:val="36"/>
          <w:rtl/>
        </w:rPr>
        <w:t xml:space="preserve">ة </w:t>
      </w:r>
      <w:r w:rsidRPr="00FD211F">
        <w:rPr>
          <w:sz w:val="36"/>
          <w:szCs w:val="36"/>
          <w:rtl/>
        </w:rPr>
        <w:t>ام تذهب اليها</w:t>
      </w:r>
      <w:r w:rsidR="000F66F2" w:rsidRPr="00FD211F">
        <w:rPr>
          <w:sz w:val="36"/>
          <w:szCs w:val="36"/>
          <w:rtl/>
        </w:rPr>
        <w:t>"</w:t>
      </w:r>
      <w:r w:rsidRPr="00FD211F">
        <w:rPr>
          <w:sz w:val="36"/>
          <w:szCs w:val="36"/>
          <w:rtl/>
        </w:rPr>
        <w:t>.</w:t>
      </w:r>
    </w:p>
    <w:p w14:paraId="3C767300" w14:textId="77777777" w:rsidR="007F5659" w:rsidRPr="00FD211F" w:rsidRDefault="007F5659" w:rsidP="009C58C8">
      <w:pPr>
        <w:ind w:left="0" w:firstLine="227"/>
        <w:jc w:val="both"/>
        <w:rPr>
          <w:sz w:val="36"/>
          <w:szCs w:val="36"/>
          <w:rtl/>
        </w:rPr>
      </w:pPr>
      <w:r w:rsidRPr="00FD211F">
        <w:rPr>
          <w:sz w:val="36"/>
          <w:szCs w:val="36"/>
          <w:rtl/>
        </w:rPr>
        <w:t>الثاني: انه بعد ما عرفت ان النسب</w:t>
      </w:r>
      <w:r w:rsidR="00EC7EDF" w:rsidRPr="00FD211F">
        <w:rPr>
          <w:sz w:val="36"/>
          <w:szCs w:val="36"/>
          <w:rtl/>
        </w:rPr>
        <w:t xml:space="preserve">ة </w:t>
      </w:r>
      <w:r w:rsidRPr="00FD211F">
        <w:rPr>
          <w:sz w:val="36"/>
          <w:szCs w:val="36"/>
          <w:rtl/>
        </w:rPr>
        <w:t>من المعاني الآلي</w:t>
      </w:r>
      <w:r w:rsidR="00EC7EDF" w:rsidRPr="00FD211F">
        <w:rPr>
          <w:sz w:val="36"/>
          <w:szCs w:val="36"/>
          <w:rtl/>
        </w:rPr>
        <w:t xml:space="preserve">ة </w:t>
      </w:r>
      <w:r w:rsidRPr="00FD211F">
        <w:rPr>
          <w:sz w:val="36"/>
          <w:szCs w:val="36"/>
          <w:rtl/>
        </w:rPr>
        <w:t>المغفول</w:t>
      </w:r>
      <w:r w:rsidR="00EC7EDF" w:rsidRPr="00FD211F">
        <w:rPr>
          <w:sz w:val="36"/>
          <w:szCs w:val="36"/>
          <w:rtl/>
        </w:rPr>
        <w:t xml:space="preserve">ة </w:t>
      </w:r>
      <w:r w:rsidRPr="00FD211F">
        <w:rPr>
          <w:sz w:val="36"/>
          <w:szCs w:val="36"/>
          <w:rtl/>
        </w:rPr>
        <w:t>عنها حال الاستعمال امتنع ان يتعلق به الالتفات واللحاظ الاستقلالي فلابد من حمل ما ظاهره تعلق الالتفات بالنسب</w:t>
      </w:r>
      <w:r w:rsidR="00EC7EDF" w:rsidRPr="00FD211F">
        <w:rPr>
          <w:sz w:val="36"/>
          <w:szCs w:val="36"/>
          <w:rtl/>
        </w:rPr>
        <w:t xml:space="preserve">ة </w:t>
      </w:r>
      <w:r w:rsidRPr="00FD211F">
        <w:rPr>
          <w:sz w:val="36"/>
          <w:szCs w:val="36"/>
          <w:rtl/>
        </w:rPr>
        <w:t>على غير ظاهره –كأن يكون الملحوظ هو العنوان الانتزاعي كعنوان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مثلا-</w:t>
      </w:r>
      <w:r w:rsidR="009C58C8" w:rsidRPr="00FD211F">
        <w:rPr>
          <w:rStyle w:val="a6"/>
          <w:sz w:val="36"/>
          <w:szCs w:val="36"/>
          <w:rtl/>
        </w:rPr>
        <w:t>(</w:t>
      </w:r>
      <w:r w:rsidR="009C58C8" w:rsidRPr="00FD211F">
        <w:rPr>
          <w:rStyle w:val="a6"/>
          <w:sz w:val="36"/>
          <w:szCs w:val="36"/>
          <w:rtl/>
        </w:rPr>
        <w:footnoteReference w:id="164"/>
      </w:r>
      <w:r w:rsidR="009C58C8" w:rsidRPr="00FD211F">
        <w:rPr>
          <w:rStyle w:val="a6"/>
          <w:sz w:val="36"/>
          <w:szCs w:val="36"/>
          <w:rtl/>
        </w:rPr>
        <w:t>)</w:t>
      </w:r>
      <w:r w:rsidRPr="00FD211F">
        <w:rPr>
          <w:sz w:val="36"/>
          <w:szCs w:val="36"/>
          <w:rtl/>
        </w:rPr>
        <w:t>.</w:t>
      </w:r>
    </w:p>
    <w:p w14:paraId="27269A2C" w14:textId="77777777" w:rsidR="007F5659" w:rsidRPr="00FD211F" w:rsidRDefault="007F5659" w:rsidP="009C58C8">
      <w:pPr>
        <w:ind w:left="0" w:firstLine="227"/>
        <w:jc w:val="both"/>
        <w:rPr>
          <w:sz w:val="36"/>
          <w:szCs w:val="36"/>
          <w:rtl/>
        </w:rPr>
      </w:pPr>
      <w:r w:rsidRPr="00FD211F">
        <w:rPr>
          <w:sz w:val="36"/>
          <w:szCs w:val="36"/>
          <w:rtl/>
        </w:rPr>
        <w:t>وفيه ان هذين الوجهين خلاف الفهم العرفي جدا</w:t>
      </w:r>
      <w:r w:rsidR="00603323" w:rsidRPr="00FD211F">
        <w:rPr>
          <w:sz w:val="36"/>
          <w:szCs w:val="36"/>
          <w:rtl/>
        </w:rPr>
        <w:t xml:space="preserve">، </w:t>
      </w:r>
      <w:r w:rsidRPr="00FD211F">
        <w:rPr>
          <w:sz w:val="36"/>
          <w:szCs w:val="36"/>
          <w:rtl/>
        </w:rPr>
        <w:t xml:space="preserve">فانه لايخطر بالبال عند سماع مثل قوله </w:t>
      </w:r>
      <w:r w:rsidR="006C2D50" w:rsidRPr="00FD211F">
        <w:rPr>
          <w:sz w:val="36"/>
          <w:szCs w:val="36"/>
          <w:rtl/>
        </w:rPr>
        <w:t>"</w:t>
      </w:r>
      <w:r w:rsidRPr="00FD211F">
        <w:rPr>
          <w:sz w:val="36"/>
          <w:szCs w:val="36"/>
          <w:rtl/>
        </w:rPr>
        <w:t>ركب زيد على الداب</w:t>
      </w:r>
      <w:r w:rsidR="00EC7EDF" w:rsidRPr="00FD211F">
        <w:rPr>
          <w:sz w:val="36"/>
          <w:szCs w:val="36"/>
          <w:rtl/>
        </w:rPr>
        <w:t xml:space="preserve">ة </w:t>
      </w:r>
      <w:r w:rsidR="006C2D50" w:rsidRPr="00FD211F">
        <w:rPr>
          <w:sz w:val="36"/>
          <w:szCs w:val="36"/>
          <w:rtl/>
        </w:rPr>
        <w:t>" او قول</w:t>
      </w:r>
      <w:r w:rsidRPr="00FD211F">
        <w:rPr>
          <w:sz w:val="36"/>
          <w:szCs w:val="36"/>
          <w:rtl/>
        </w:rPr>
        <w:t>ه</w:t>
      </w:r>
      <w:r w:rsidR="006C2D50" w:rsidRPr="00FD211F">
        <w:rPr>
          <w:sz w:val="36"/>
          <w:szCs w:val="36"/>
          <w:rtl/>
        </w:rPr>
        <w:t>"</w:t>
      </w:r>
      <w:r w:rsidRPr="00FD211F">
        <w:rPr>
          <w:sz w:val="36"/>
          <w:szCs w:val="36"/>
          <w:rtl/>
        </w:rPr>
        <w:t xml:space="preserve"> أمن البصر</w:t>
      </w:r>
      <w:r w:rsidR="00EC7EDF" w:rsidRPr="00FD211F">
        <w:rPr>
          <w:sz w:val="36"/>
          <w:szCs w:val="36"/>
          <w:rtl/>
        </w:rPr>
        <w:t xml:space="preserve">ة </w:t>
      </w:r>
      <w:r w:rsidRPr="00FD211F">
        <w:rPr>
          <w:sz w:val="36"/>
          <w:szCs w:val="36"/>
          <w:rtl/>
        </w:rPr>
        <w:t>ام اليها</w:t>
      </w:r>
      <w:r w:rsidR="006C2D50" w:rsidRPr="00FD211F">
        <w:rPr>
          <w:sz w:val="36"/>
          <w:szCs w:val="36"/>
          <w:rtl/>
        </w:rPr>
        <w:t>"</w:t>
      </w:r>
      <w:r w:rsidRPr="00FD211F">
        <w:rPr>
          <w:sz w:val="36"/>
          <w:szCs w:val="36"/>
          <w:rtl/>
        </w:rPr>
        <w:t xml:space="preserve"> او قوله </w:t>
      </w:r>
      <w:r w:rsidR="006C2D50" w:rsidRPr="00FD211F">
        <w:rPr>
          <w:sz w:val="36"/>
          <w:szCs w:val="36"/>
          <w:rtl/>
        </w:rPr>
        <w:t>"</w:t>
      </w:r>
      <w:r w:rsidRPr="00FD211F">
        <w:rPr>
          <w:sz w:val="36"/>
          <w:szCs w:val="36"/>
          <w:rtl/>
        </w:rPr>
        <w:t>هذا عليك لا لك</w:t>
      </w:r>
      <w:r w:rsidR="006C2D50" w:rsidRPr="00FD211F">
        <w:rPr>
          <w:sz w:val="36"/>
          <w:szCs w:val="36"/>
          <w:rtl/>
        </w:rPr>
        <w:t>"</w:t>
      </w:r>
      <w:r w:rsidR="00603323" w:rsidRPr="00FD211F">
        <w:rPr>
          <w:sz w:val="36"/>
          <w:szCs w:val="36"/>
          <w:rtl/>
        </w:rPr>
        <w:t xml:space="preserve">، </w:t>
      </w:r>
      <w:r w:rsidRPr="00FD211F">
        <w:rPr>
          <w:sz w:val="36"/>
          <w:szCs w:val="36"/>
          <w:rtl/>
        </w:rPr>
        <w:t>المعنى المقدر او العنوان الانتزاعي.</w:t>
      </w:r>
    </w:p>
    <w:p w14:paraId="0EF5554A" w14:textId="77777777" w:rsidR="007F5659" w:rsidRPr="00FD211F" w:rsidRDefault="007F5659" w:rsidP="009C58C8">
      <w:pPr>
        <w:pStyle w:val="3"/>
        <w:ind w:firstLine="227"/>
        <w:jc w:val="both"/>
        <w:rPr>
          <w:rtl/>
        </w:rPr>
      </w:pPr>
      <w:bookmarkStart w:id="169" w:name="درس081دقيقه35"/>
      <w:bookmarkStart w:id="170" w:name="_Toc192092866"/>
      <w:bookmarkStart w:id="171" w:name="_Toc223890340"/>
      <w:bookmarkEnd w:id="169"/>
      <w:r w:rsidRPr="00FD211F">
        <w:rPr>
          <w:rtl/>
        </w:rPr>
        <w:t>2- وضع الحروف للوجود الرابط</w:t>
      </w:r>
      <w:bookmarkEnd w:id="170"/>
      <w:bookmarkEnd w:id="171"/>
    </w:p>
    <w:p w14:paraId="74D5C069" w14:textId="77777777" w:rsidR="006C2D50" w:rsidRPr="00FD211F" w:rsidRDefault="007F5659" w:rsidP="009C58C8">
      <w:pPr>
        <w:ind w:left="0" w:firstLine="227"/>
        <w:jc w:val="both"/>
        <w:rPr>
          <w:sz w:val="36"/>
          <w:szCs w:val="36"/>
          <w:rtl/>
        </w:rPr>
      </w:pPr>
      <w:r w:rsidRPr="00FD211F">
        <w:rPr>
          <w:b/>
          <w:bCs/>
          <w:sz w:val="36"/>
          <w:szCs w:val="36"/>
          <w:rtl/>
        </w:rPr>
        <w:t>القول الثاني</w:t>
      </w:r>
      <w:r w:rsidRPr="00FD211F">
        <w:rPr>
          <w:sz w:val="36"/>
          <w:szCs w:val="36"/>
          <w:rtl/>
        </w:rPr>
        <w:t>: ما نسب الى المحقق الاصفهاني</w:t>
      </w:r>
      <w:r w:rsidR="00A61BAE" w:rsidRPr="00FD211F">
        <w:rPr>
          <w:sz w:val="36"/>
          <w:szCs w:val="36"/>
          <w:rtl/>
        </w:rPr>
        <w:t xml:space="preserve"> </w:t>
      </w:r>
      <w:r w:rsidR="0024281C" w:rsidRPr="00FD211F">
        <w:rPr>
          <w:sz w:val="36"/>
          <w:szCs w:val="36"/>
          <w:rtl/>
        </w:rPr>
        <w:t>"قده"</w:t>
      </w:r>
      <w:r w:rsidR="00A61BAE" w:rsidRPr="00FD211F">
        <w:rPr>
          <w:sz w:val="36"/>
          <w:szCs w:val="36"/>
          <w:rtl/>
        </w:rPr>
        <w:t xml:space="preserve"> </w:t>
      </w:r>
      <w:r w:rsidR="00FA0C08" w:rsidRPr="00FD211F">
        <w:rPr>
          <w:sz w:val="36"/>
          <w:szCs w:val="36"/>
          <w:rtl/>
        </w:rPr>
        <w:t>من أ</w:t>
      </w:r>
      <w:r w:rsidRPr="00FD211F">
        <w:rPr>
          <w:sz w:val="36"/>
          <w:szCs w:val="36"/>
          <w:rtl/>
        </w:rPr>
        <w:t>نه ادعى وضع الحروف للوجود الرابط الخارجي</w:t>
      </w:r>
      <w:r w:rsidR="00603323" w:rsidRPr="00FD211F">
        <w:rPr>
          <w:sz w:val="36"/>
          <w:szCs w:val="36"/>
          <w:rtl/>
        </w:rPr>
        <w:t xml:space="preserve">، </w:t>
      </w:r>
      <w:r w:rsidRPr="00FD211F">
        <w:rPr>
          <w:sz w:val="36"/>
          <w:szCs w:val="36"/>
          <w:rtl/>
        </w:rPr>
        <w:t>بيان ذلك ان الفلاسف</w:t>
      </w:r>
      <w:r w:rsidR="00EC7EDF" w:rsidRPr="00FD211F">
        <w:rPr>
          <w:sz w:val="36"/>
          <w:szCs w:val="36"/>
          <w:rtl/>
        </w:rPr>
        <w:t xml:space="preserve">ة </w:t>
      </w:r>
      <w:r w:rsidRPr="00FD211F">
        <w:rPr>
          <w:sz w:val="36"/>
          <w:szCs w:val="36"/>
          <w:rtl/>
        </w:rPr>
        <w:t>قسّموا وجود الممكنات الى ثلاث</w:t>
      </w:r>
      <w:r w:rsidR="00EC7EDF" w:rsidRPr="00FD211F">
        <w:rPr>
          <w:sz w:val="36"/>
          <w:szCs w:val="36"/>
          <w:rtl/>
        </w:rPr>
        <w:t xml:space="preserve">ة </w:t>
      </w:r>
      <w:commentRangeStart w:id="172"/>
      <w:r w:rsidRPr="00FD211F">
        <w:rPr>
          <w:sz w:val="36"/>
          <w:szCs w:val="36"/>
          <w:rtl/>
        </w:rPr>
        <w:t>اقسام</w:t>
      </w:r>
      <w:commentRangeEnd w:id="172"/>
      <w:r w:rsidR="005F7510">
        <w:rPr>
          <w:rStyle w:val="ab"/>
          <w:rtl/>
        </w:rPr>
        <w:commentReference w:id="172"/>
      </w:r>
      <w:r w:rsidR="006C2D50" w:rsidRPr="00FD211F">
        <w:rPr>
          <w:sz w:val="36"/>
          <w:szCs w:val="36"/>
          <w:rtl/>
        </w:rPr>
        <w:t>.</w:t>
      </w:r>
    </w:p>
    <w:p w14:paraId="474375C1" w14:textId="77777777" w:rsidR="006C2D50" w:rsidRPr="00FD211F" w:rsidRDefault="0099047F" w:rsidP="009C58C8">
      <w:pPr>
        <w:ind w:left="0" w:firstLine="227"/>
        <w:jc w:val="both"/>
        <w:rPr>
          <w:sz w:val="36"/>
          <w:szCs w:val="36"/>
          <w:rtl/>
        </w:rPr>
      </w:pPr>
      <w:r w:rsidRPr="00FD211F">
        <w:rPr>
          <w:sz w:val="36"/>
          <w:szCs w:val="36"/>
          <w:rtl/>
        </w:rPr>
        <w:t>1-</w:t>
      </w:r>
      <w:r w:rsidR="00B67257" w:rsidRPr="00FD211F">
        <w:rPr>
          <w:sz w:val="36"/>
          <w:szCs w:val="36"/>
          <w:rtl/>
        </w:rPr>
        <w:t xml:space="preserve">ما كان وجوده </w:t>
      </w:r>
      <w:r w:rsidR="007F5659" w:rsidRPr="00FD211F">
        <w:rPr>
          <w:sz w:val="36"/>
          <w:szCs w:val="36"/>
          <w:rtl/>
        </w:rPr>
        <w:t xml:space="preserve">في نفسه </w:t>
      </w:r>
      <w:r w:rsidR="00B67257" w:rsidRPr="00FD211F">
        <w:rPr>
          <w:sz w:val="36"/>
          <w:szCs w:val="36"/>
          <w:rtl/>
        </w:rPr>
        <w:t xml:space="preserve">ولنفسه </w:t>
      </w:r>
      <w:r w:rsidR="003B24CF" w:rsidRPr="00FD211F">
        <w:rPr>
          <w:sz w:val="36"/>
          <w:szCs w:val="36"/>
          <w:rtl/>
        </w:rPr>
        <w:t>وهو وجود الجوهر</w:t>
      </w:r>
      <w:r w:rsidR="00603323" w:rsidRPr="00FD211F">
        <w:rPr>
          <w:sz w:val="36"/>
          <w:szCs w:val="36"/>
          <w:rtl/>
        </w:rPr>
        <w:t xml:space="preserve">، </w:t>
      </w:r>
      <w:r w:rsidR="003B24CF" w:rsidRPr="00FD211F">
        <w:rPr>
          <w:sz w:val="36"/>
          <w:szCs w:val="36"/>
          <w:rtl/>
        </w:rPr>
        <w:t>فان وجوده</w:t>
      </w:r>
      <w:r w:rsidR="007D1FF7" w:rsidRPr="00FD211F">
        <w:rPr>
          <w:sz w:val="36"/>
          <w:szCs w:val="36"/>
          <w:rtl/>
        </w:rPr>
        <w:t xml:space="preserve"> يكون </w:t>
      </w:r>
      <w:r w:rsidR="003B24CF" w:rsidRPr="00FD211F">
        <w:rPr>
          <w:sz w:val="36"/>
          <w:szCs w:val="36"/>
          <w:rtl/>
        </w:rPr>
        <w:t>في نفسه حيث يمكن تصوره في الذهن باستقلاله</w:t>
      </w:r>
      <w:r w:rsidR="00603323" w:rsidRPr="00FD211F">
        <w:rPr>
          <w:sz w:val="36"/>
          <w:szCs w:val="36"/>
          <w:rtl/>
        </w:rPr>
        <w:t xml:space="preserve">، </w:t>
      </w:r>
      <w:r w:rsidR="003B24CF" w:rsidRPr="00FD211F">
        <w:rPr>
          <w:sz w:val="36"/>
          <w:szCs w:val="36"/>
          <w:rtl/>
        </w:rPr>
        <w:t>كما</w:t>
      </w:r>
      <w:r w:rsidR="009E2E30" w:rsidRPr="00FD211F">
        <w:rPr>
          <w:sz w:val="36"/>
          <w:szCs w:val="36"/>
          <w:rtl/>
        </w:rPr>
        <w:t xml:space="preserve"> </w:t>
      </w:r>
      <w:r w:rsidR="003B24CF" w:rsidRPr="00FD211F">
        <w:rPr>
          <w:sz w:val="36"/>
          <w:szCs w:val="36"/>
          <w:rtl/>
        </w:rPr>
        <w:t>ان</w:t>
      </w:r>
      <w:r w:rsidR="00B253CE" w:rsidRPr="00FD211F">
        <w:rPr>
          <w:sz w:val="36"/>
          <w:szCs w:val="36"/>
          <w:rtl/>
        </w:rPr>
        <w:t xml:space="preserve"> </w:t>
      </w:r>
      <w:r w:rsidR="007F5659" w:rsidRPr="00FD211F">
        <w:rPr>
          <w:sz w:val="36"/>
          <w:szCs w:val="36"/>
          <w:rtl/>
        </w:rPr>
        <w:t>وجوده</w:t>
      </w:r>
      <w:r w:rsidR="007D1FF7" w:rsidRPr="00FD211F">
        <w:rPr>
          <w:sz w:val="36"/>
          <w:szCs w:val="36"/>
          <w:rtl/>
        </w:rPr>
        <w:t xml:space="preserve"> يكون</w:t>
      </w:r>
      <w:r w:rsidR="007F5659" w:rsidRPr="00FD211F">
        <w:rPr>
          <w:sz w:val="36"/>
          <w:szCs w:val="36"/>
          <w:rtl/>
        </w:rPr>
        <w:t xml:space="preserve"> لنفسه حي</w:t>
      </w:r>
      <w:r w:rsidR="003B24CF" w:rsidRPr="00FD211F">
        <w:rPr>
          <w:sz w:val="36"/>
          <w:szCs w:val="36"/>
          <w:rtl/>
        </w:rPr>
        <w:t>ث لايحتاج الى موضوع</w:t>
      </w:r>
      <w:r w:rsidR="00EC7EDF" w:rsidRPr="00FD211F">
        <w:rPr>
          <w:sz w:val="36"/>
          <w:szCs w:val="36"/>
          <w:rtl/>
        </w:rPr>
        <w:t>.</w:t>
      </w:r>
    </w:p>
    <w:p w14:paraId="02093F77" w14:textId="77777777" w:rsidR="000C5BBA" w:rsidRPr="00FD211F" w:rsidRDefault="0099047F" w:rsidP="009C58C8">
      <w:pPr>
        <w:ind w:left="0" w:firstLine="227"/>
        <w:jc w:val="both"/>
        <w:rPr>
          <w:sz w:val="36"/>
          <w:szCs w:val="36"/>
          <w:rtl/>
        </w:rPr>
      </w:pPr>
      <w:r w:rsidRPr="00FD211F">
        <w:rPr>
          <w:sz w:val="36"/>
          <w:szCs w:val="36"/>
          <w:rtl/>
        </w:rPr>
        <w:t>2-</w:t>
      </w:r>
      <w:r w:rsidR="007F5659" w:rsidRPr="00FD211F">
        <w:rPr>
          <w:sz w:val="36"/>
          <w:szCs w:val="36"/>
          <w:rtl/>
        </w:rPr>
        <w:t>ما كان وجوده في نفسه ولغيره وهو وجود العرض</w:t>
      </w:r>
      <w:r w:rsidR="00603323" w:rsidRPr="00FD211F">
        <w:rPr>
          <w:sz w:val="36"/>
          <w:szCs w:val="36"/>
          <w:rtl/>
        </w:rPr>
        <w:t xml:space="preserve">، </w:t>
      </w:r>
      <w:r w:rsidR="003B24CF" w:rsidRPr="00FD211F">
        <w:rPr>
          <w:sz w:val="36"/>
          <w:szCs w:val="36"/>
          <w:rtl/>
        </w:rPr>
        <w:t>فان وجوده</w:t>
      </w:r>
      <w:r w:rsidR="007D1FF7" w:rsidRPr="00FD211F">
        <w:rPr>
          <w:sz w:val="36"/>
          <w:szCs w:val="36"/>
          <w:rtl/>
        </w:rPr>
        <w:t xml:space="preserve"> يكون</w:t>
      </w:r>
      <w:r w:rsidR="003B24CF" w:rsidRPr="00FD211F">
        <w:rPr>
          <w:sz w:val="36"/>
          <w:szCs w:val="36"/>
          <w:rtl/>
        </w:rPr>
        <w:t xml:space="preserve"> </w:t>
      </w:r>
      <w:r w:rsidR="007D1FF7" w:rsidRPr="00FD211F">
        <w:rPr>
          <w:sz w:val="36"/>
          <w:szCs w:val="36"/>
          <w:rtl/>
        </w:rPr>
        <w:t xml:space="preserve">في </w:t>
      </w:r>
      <w:r w:rsidR="003B24CF" w:rsidRPr="00FD211F">
        <w:rPr>
          <w:sz w:val="36"/>
          <w:szCs w:val="36"/>
          <w:rtl/>
        </w:rPr>
        <w:t>نفسه حيث يمكن تصوره في الذهن باستقلاله</w:t>
      </w:r>
      <w:r w:rsidR="00603323" w:rsidRPr="00FD211F">
        <w:rPr>
          <w:sz w:val="36"/>
          <w:szCs w:val="36"/>
          <w:rtl/>
        </w:rPr>
        <w:t xml:space="preserve">، </w:t>
      </w:r>
      <w:r w:rsidR="007D1FF7" w:rsidRPr="00FD211F">
        <w:rPr>
          <w:sz w:val="36"/>
          <w:szCs w:val="36"/>
          <w:rtl/>
        </w:rPr>
        <w:t>كما أن</w:t>
      </w:r>
      <w:r w:rsidR="003B24CF" w:rsidRPr="00FD211F">
        <w:rPr>
          <w:sz w:val="36"/>
          <w:szCs w:val="36"/>
          <w:rtl/>
        </w:rPr>
        <w:t xml:space="preserve"> </w:t>
      </w:r>
      <w:r w:rsidR="00687AF6" w:rsidRPr="00FD211F">
        <w:rPr>
          <w:sz w:val="36"/>
          <w:szCs w:val="36"/>
          <w:rtl/>
        </w:rPr>
        <w:t xml:space="preserve">وجوده لغيره حيث </w:t>
      </w:r>
      <w:r w:rsidR="007F5659" w:rsidRPr="00FD211F">
        <w:rPr>
          <w:sz w:val="36"/>
          <w:szCs w:val="36"/>
          <w:rtl/>
        </w:rPr>
        <w:t>ان وجوده ف</w:t>
      </w:r>
      <w:r w:rsidR="00687AF6" w:rsidRPr="00FD211F">
        <w:rPr>
          <w:sz w:val="36"/>
          <w:szCs w:val="36"/>
          <w:rtl/>
        </w:rPr>
        <w:t>ي الخارج يحتاج الى وجود موضوعه</w:t>
      </w:r>
      <w:r w:rsidR="00603323" w:rsidRPr="00FD211F">
        <w:rPr>
          <w:sz w:val="36"/>
          <w:szCs w:val="36"/>
          <w:rtl/>
        </w:rPr>
        <w:t xml:space="preserve">، </w:t>
      </w:r>
      <w:r w:rsidR="007F5659" w:rsidRPr="00FD211F">
        <w:rPr>
          <w:sz w:val="36"/>
          <w:szCs w:val="36"/>
          <w:rtl/>
        </w:rPr>
        <w:t xml:space="preserve">ويسمى </w:t>
      </w:r>
      <w:r w:rsidR="00687AF6" w:rsidRPr="00FD211F">
        <w:rPr>
          <w:sz w:val="36"/>
          <w:szCs w:val="36"/>
          <w:rtl/>
        </w:rPr>
        <w:t xml:space="preserve">العرض </w:t>
      </w:r>
      <w:r w:rsidR="007F5659" w:rsidRPr="00FD211F">
        <w:rPr>
          <w:sz w:val="36"/>
          <w:szCs w:val="36"/>
          <w:rtl/>
        </w:rPr>
        <w:t>بالوجود الرابطي في الاصطلاح</w:t>
      </w:r>
      <w:r w:rsidR="009E2E30" w:rsidRPr="00FD211F">
        <w:rPr>
          <w:sz w:val="36"/>
          <w:szCs w:val="36"/>
          <w:rtl/>
        </w:rPr>
        <w:t>.</w:t>
      </w:r>
      <w:r w:rsidR="007F5659" w:rsidRPr="00FD211F">
        <w:rPr>
          <w:sz w:val="36"/>
          <w:szCs w:val="36"/>
          <w:rtl/>
        </w:rPr>
        <w:t xml:space="preserve"> </w:t>
      </w:r>
    </w:p>
    <w:p w14:paraId="37D45D3F" w14:textId="77777777" w:rsidR="007F5659" w:rsidRPr="00FD211F" w:rsidRDefault="0099047F" w:rsidP="009C58C8">
      <w:pPr>
        <w:ind w:left="0" w:firstLine="227"/>
        <w:jc w:val="both"/>
        <w:rPr>
          <w:sz w:val="36"/>
          <w:szCs w:val="36"/>
          <w:rtl/>
        </w:rPr>
      </w:pPr>
      <w:r w:rsidRPr="00FD211F">
        <w:rPr>
          <w:sz w:val="36"/>
          <w:szCs w:val="36"/>
          <w:rtl/>
        </w:rPr>
        <w:t>3-</w:t>
      </w:r>
      <w:r w:rsidR="000938D5" w:rsidRPr="00FD211F">
        <w:rPr>
          <w:sz w:val="36"/>
          <w:szCs w:val="36"/>
          <w:rtl/>
        </w:rPr>
        <w:t xml:space="preserve"> </w:t>
      </w:r>
      <w:r w:rsidR="00B67257" w:rsidRPr="00FD211F">
        <w:rPr>
          <w:sz w:val="36"/>
          <w:szCs w:val="36"/>
          <w:rtl/>
        </w:rPr>
        <w:t xml:space="preserve">ما كان وجوده </w:t>
      </w:r>
      <w:r w:rsidR="007F5659" w:rsidRPr="00FD211F">
        <w:rPr>
          <w:sz w:val="36"/>
          <w:szCs w:val="36"/>
          <w:rtl/>
        </w:rPr>
        <w:t xml:space="preserve">في </w:t>
      </w:r>
      <w:commentRangeStart w:id="173"/>
      <w:r w:rsidR="007F5659" w:rsidRPr="00FD211F">
        <w:rPr>
          <w:sz w:val="36"/>
          <w:szCs w:val="36"/>
          <w:rtl/>
        </w:rPr>
        <w:t>غيره</w:t>
      </w:r>
      <w:commentRangeEnd w:id="173"/>
      <w:r w:rsidR="00ED5DFC">
        <w:rPr>
          <w:rStyle w:val="ab"/>
          <w:rtl/>
        </w:rPr>
        <w:commentReference w:id="173"/>
      </w:r>
      <w:r w:rsidR="007F5659" w:rsidRPr="00FD211F">
        <w:rPr>
          <w:sz w:val="36"/>
          <w:szCs w:val="36"/>
          <w:rtl/>
        </w:rPr>
        <w:t xml:space="preserve"> و</w:t>
      </w:r>
      <w:r w:rsidR="00B67257" w:rsidRPr="00FD211F">
        <w:rPr>
          <w:sz w:val="36"/>
          <w:szCs w:val="36"/>
          <w:rtl/>
        </w:rPr>
        <w:t>لغيره و</w:t>
      </w:r>
      <w:r w:rsidR="007F5659" w:rsidRPr="00FD211F">
        <w:rPr>
          <w:sz w:val="36"/>
          <w:szCs w:val="36"/>
          <w:rtl/>
        </w:rPr>
        <w:t>هو الوجود الرابط</w:t>
      </w:r>
      <w:r w:rsidR="00603323" w:rsidRPr="00FD211F">
        <w:rPr>
          <w:sz w:val="36"/>
          <w:szCs w:val="36"/>
          <w:rtl/>
        </w:rPr>
        <w:t xml:space="preserve">، </w:t>
      </w:r>
      <w:r w:rsidR="007F5659" w:rsidRPr="00FD211F">
        <w:rPr>
          <w:sz w:val="36"/>
          <w:szCs w:val="36"/>
          <w:rtl/>
        </w:rPr>
        <w:t>ففي مثال بياض الجسم يوجد جوهر وهو الجسم وعرض وهو البياض ووجود رابط بينهما</w:t>
      </w:r>
      <w:r w:rsidR="00603323" w:rsidRPr="00FD211F">
        <w:rPr>
          <w:sz w:val="36"/>
          <w:szCs w:val="36"/>
          <w:rtl/>
        </w:rPr>
        <w:t xml:space="preserve">، </w:t>
      </w:r>
      <w:r w:rsidR="007F5659" w:rsidRPr="00FD211F">
        <w:rPr>
          <w:sz w:val="36"/>
          <w:szCs w:val="36"/>
          <w:rtl/>
        </w:rPr>
        <w:t>وهذ</w:t>
      </w:r>
      <w:r w:rsidR="00687AF6" w:rsidRPr="00FD211F">
        <w:rPr>
          <w:sz w:val="36"/>
          <w:szCs w:val="36"/>
          <w:rtl/>
        </w:rPr>
        <w:t>ا الوجود الرابط لايوجد</w:t>
      </w:r>
      <w:r w:rsidR="00B253CE" w:rsidRPr="00FD211F">
        <w:rPr>
          <w:sz w:val="36"/>
          <w:szCs w:val="36"/>
          <w:rtl/>
        </w:rPr>
        <w:t xml:space="preserve"> </w:t>
      </w:r>
      <w:r w:rsidR="007F5659" w:rsidRPr="00FD211F">
        <w:rPr>
          <w:sz w:val="36"/>
          <w:szCs w:val="36"/>
          <w:rtl/>
        </w:rPr>
        <w:t>الا بتبع وجود طرفيه</w:t>
      </w:r>
      <w:r w:rsidR="00603323" w:rsidRPr="00FD211F">
        <w:rPr>
          <w:sz w:val="36"/>
          <w:szCs w:val="36"/>
          <w:rtl/>
        </w:rPr>
        <w:t xml:space="preserve">، </w:t>
      </w:r>
      <w:r w:rsidR="007F5659" w:rsidRPr="00FD211F">
        <w:rPr>
          <w:sz w:val="36"/>
          <w:szCs w:val="36"/>
          <w:rtl/>
        </w:rPr>
        <w:t>والفرق بين الوجود الرابط وبين الوجود الرابطي هو ان الوجود الرابط بذاته متقوم بطرفيه لابوجوده فقط</w:t>
      </w:r>
      <w:r w:rsidR="00603323" w:rsidRPr="00FD211F">
        <w:rPr>
          <w:sz w:val="36"/>
          <w:szCs w:val="36"/>
          <w:rtl/>
        </w:rPr>
        <w:t xml:space="preserve">، </w:t>
      </w:r>
      <w:r w:rsidR="007F5659" w:rsidRPr="00FD211F">
        <w:rPr>
          <w:sz w:val="36"/>
          <w:szCs w:val="36"/>
          <w:rtl/>
        </w:rPr>
        <w:t>واما الوجود الرابطي فان ذاته غير متقوم</w:t>
      </w:r>
      <w:r w:rsidR="00EC7EDF" w:rsidRPr="00FD211F">
        <w:rPr>
          <w:sz w:val="36"/>
          <w:szCs w:val="36"/>
          <w:rtl/>
        </w:rPr>
        <w:t xml:space="preserve">ة </w:t>
      </w:r>
      <w:r w:rsidR="007F5659" w:rsidRPr="00FD211F">
        <w:rPr>
          <w:sz w:val="36"/>
          <w:szCs w:val="36"/>
          <w:rtl/>
        </w:rPr>
        <w:t>بطرفيه حيث توجد في الذهن مستقلا</w:t>
      </w:r>
      <w:r w:rsidR="00603323" w:rsidRPr="00FD211F">
        <w:rPr>
          <w:sz w:val="36"/>
          <w:szCs w:val="36"/>
          <w:rtl/>
        </w:rPr>
        <w:t xml:space="preserve">، </w:t>
      </w:r>
      <w:r w:rsidR="007F5659" w:rsidRPr="00FD211F">
        <w:rPr>
          <w:sz w:val="36"/>
          <w:szCs w:val="36"/>
          <w:rtl/>
        </w:rPr>
        <w:t>وانما يلزم قيام وجوده الخارجي بالجوهر</w:t>
      </w:r>
      <w:r w:rsidR="00603323" w:rsidRPr="00FD211F">
        <w:rPr>
          <w:sz w:val="36"/>
          <w:szCs w:val="36"/>
          <w:rtl/>
        </w:rPr>
        <w:t xml:space="preserve">، </w:t>
      </w:r>
      <w:r w:rsidR="007F5659" w:rsidRPr="00FD211F">
        <w:rPr>
          <w:sz w:val="36"/>
          <w:szCs w:val="36"/>
          <w:rtl/>
        </w:rPr>
        <w:t>وقد وضعت الاسماء على الجواهر والأعراض (وكذا على العناوين الانتزاعي</w:t>
      </w:r>
      <w:r w:rsidR="00EC7EDF" w:rsidRPr="00FD211F">
        <w:rPr>
          <w:sz w:val="36"/>
          <w:szCs w:val="36"/>
          <w:rtl/>
        </w:rPr>
        <w:t xml:space="preserve">ة </w:t>
      </w:r>
      <w:r w:rsidR="007F5659" w:rsidRPr="00FD211F">
        <w:rPr>
          <w:sz w:val="36"/>
          <w:szCs w:val="36"/>
          <w:rtl/>
        </w:rPr>
        <w:t>كعنوان النسب</w:t>
      </w:r>
      <w:r w:rsidR="00EC7EDF" w:rsidRPr="00FD211F">
        <w:rPr>
          <w:sz w:val="36"/>
          <w:szCs w:val="36"/>
          <w:rtl/>
        </w:rPr>
        <w:t xml:space="preserve">ة </w:t>
      </w:r>
      <w:r w:rsidR="007F5659" w:rsidRPr="00FD211F">
        <w:rPr>
          <w:sz w:val="36"/>
          <w:szCs w:val="36"/>
          <w:rtl/>
        </w:rPr>
        <w:t>والربط) واما الحروف فقد وضعت للكون الرابط.</w:t>
      </w:r>
    </w:p>
    <w:p w14:paraId="690A0963" w14:textId="77777777" w:rsidR="007F5659" w:rsidRPr="00FD211F" w:rsidRDefault="007F5659" w:rsidP="009C58C8">
      <w:pPr>
        <w:ind w:left="0" w:firstLine="227"/>
        <w:jc w:val="both"/>
        <w:rPr>
          <w:sz w:val="36"/>
          <w:szCs w:val="36"/>
          <w:rtl/>
        </w:rPr>
      </w:pPr>
      <w:r w:rsidRPr="00FD211F">
        <w:rPr>
          <w:sz w:val="36"/>
          <w:szCs w:val="36"/>
          <w:rtl/>
        </w:rPr>
        <w:t>وقد اورد السيد الخوئي</w:t>
      </w:r>
      <w:r w:rsidR="00A61BAE" w:rsidRPr="00FD211F">
        <w:rPr>
          <w:sz w:val="36"/>
          <w:szCs w:val="36"/>
          <w:rtl/>
        </w:rPr>
        <w:t xml:space="preserve"> </w:t>
      </w:r>
      <w:r w:rsidR="00FA7964" w:rsidRPr="00FD211F">
        <w:rPr>
          <w:sz w:val="36"/>
          <w:szCs w:val="36"/>
          <w:rtl/>
        </w:rPr>
        <w:t>"قده"</w:t>
      </w:r>
      <w:r w:rsidR="00A61BAE" w:rsidRPr="00FD211F">
        <w:rPr>
          <w:sz w:val="36"/>
          <w:szCs w:val="36"/>
          <w:rtl/>
        </w:rPr>
        <w:t xml:space="preserve"> </w:t>
      </w:r>
      <w:r w:rsidRPr="00FD211F">
        <w:rPr>
          <w:sz w:val="36"/>
          <w:szCs w:val="36"/>
          <w:rtl/>
        </w:rPr>
        <w:t xml:space="preserve">عليه </w:t>
      </w:r>
      <w:r w:rsidRPr="00FD211F">
        <w:rPr>
          <w:b/>
          <w:bCs/>
          <w:sz w:val="36"/>
          <w:szCs w:val="36"/>
          <w:rtl/>
        </w:rPr>
        <w:t>اولا</w:t>
      </w:r>
      <w:r w:rsidRPr="00FD211F">
        <w:rPr>
          <w:sz w:val="36"/>
          <w:szCs w:val="36"/>
          <w:rtl/>
        </w:rPr>
        <w:t>: بانه لايمكن ان يكون الموضوع له هو الوجود الرابط الخارجي</w:t>
      </w:r>
      <w:r w:rsidR="00603323" w:rsidRPr="00FD211F">
        <w:rPr>
          <w:sz w:val="36"/>
          <w:szCs w:val="36"/>
          <w:rtl/>
        </w:rPr>
        <w:t xml:space="preserve">، </w:t>
      </w:r>
      <w:r w:rsidRPr="00FD211F">
        <w:rPr>
          <w:sz w:val="36"/>
          <w:szCs w:val="36"/>
          <w:rtl/>
        </w:rPr>
        <w:t>حيث انه لابد ان يكون المعنى الموضوع له مفهوما قابلا للانتقال الى الذهن</w:t>
      </w:r>
      <w:r w:rsidR="00603323" w:rsidRPr="00FD211F">
        <w:rPr>
          <w:sz w:val="36"/>
          <w:szCs w:val="36"/>
          <w:rtl/>
        </w:rPr>
        <w:t xml:space="preserve">، </w:t>
      </w:r>
      <w:r w:rsidRPr="00FD211F">
        <w:rPr>
          <w:sz w:val="36"/>
          <w:szCs w:val="36"/>
          <w:rtl/>
        </w:rPr>
        <w:t>والوجود الخارجي لايمكن انتقاله الى الذهن</w:t>
      </w:r>
      <w:r w:rsidR="00603323" w:rsidRPr="00FD211F">
        <w:rPr>
          <w:sz w:val="36"/>
          <w:szCs w:val="36"/>
          <w:rtl/>
        </w:rPr>
        <w:t xml:space="preserve">، </w:t>
      </w:r>
      <w:r w:rsidR="00222B4E" w:rsidRPr="00FD211F">
        <w:rPr>
          <w:sz w:val="36"/>
          <w:szCs w:val="36"/>
          <w:rtl/>
        </w:rPr>
        <w:t>اذ</w:t>
      </w:r>
      <w:r w:rsidR="000938D5" w:rsidRPr="00FD211F">
        <w:rPr>
          <w:sz w:val="36"/>
          <w:szCs w:val="36"/>
          <w:rtl/>
        </w:rPr>
        <w:t xml:space="preserve"> </w:t>
      </w:r>
      <w:r w:rsidR="00222B4E" w:rsidRPr="00FD211F">
        <w:rPr>
          <w:sz w:val="36"/>
          <w:szCs w:val="36"/>
          <w:rtl/>
        </w:rPr>
        <w:t>كيف يعرض الوجود</w:t>
      </w:r>
      <w:r w:rsidR="000938D5" w:rsidRPr="00FD211F">
        <w:rPr>
          <w:sz w:val="36"/>
          <w:szCs w:val="36"/>
          <w:rtl/>
        </w:rPr>
        <w:t xml:space="preserve"> </w:t>
      </w:r>
      <w:r w:rsidR="00222B4E" w:rsidRPr="00FD211F">
        <w:rPr>
          <w:sz w:val="36"/>
          <w:szCs w:val="36"/>
          <w:rtl/>
        </w:rPr>
        <w:t>الذهني للوجود</w:t>
      </w:r>
      <w:r w:rsidR="009E2E30" w:rsidRPr="00FD211F">
        <w:rPr>
          <w:sz w:val="36"/>
          <w:szCs w:val="36"/>
          <w:rtl/>
        </w:rPr>
        <w:t xml:space="preserve"> </w:t>
      </w:r>
      <w:r w:rsidR="00222B4E" w:rsidRPr="00FD211F">
        <w:rPr>
          <w:sz w:val="36"/>
          <w:szCs w:val="36"/>
          <w:rtl/>
        </w:rPr>
        <w:t>الخارجي مع انهما</w:t>
      </w:r>
      <w:r w:rsidR="009E2E30" w:rsidRPr="00FD211F">
        <w:rPr>
          <w:sz w:val="36"/>
          <w:szCs w:val="36"/>
          <w:rtl/>
        </w:rPr>
        <w:t xml:space="preserve"> </w:t>
      </w:r>
      <w:r w:rsidR="00222B4E" w:rsidRPr="00FD211F">
        <w:rPr>
          <w:sz w:val="36"/>
          <w:szCs w:val="36"/>
          <w:rtl/>
        </w:rPr>
        <w:t>متقابلان</w:t>
      </w:r>
      <w:r w:rsidR="00EC7EDF" w:rsidRPr="00FD211F">
        <w:rPr>
          <w:sz w:val="36"/>
          <w:szCs w:val="36"/>
          <w:rtl/>
        </w:rPr>
        <w:t xml:space="preserve"> و</w:t>
      </w:r>
      <w:r w:rsidRPr="00FD211F">
        <w:rPr>
          <w:sz w:val="36"/>
          <w:szCs w:val="36"/>
          <w:rtl/>
        </w:rPr>
        <w:t>المقابل لايقبل المقابل</w:t>
      </w:r>
      <w:r w:rsidR="00603323" w:rsidRPr="00FD211F">
        <w:rPr>
          <w:sz w:val="36"/>
          <w:szCs w:val="36"/>
          <w:rtl/>
        </w:rPr>
        <w:t xml:space="preserve">، </w:t>
      </w:r>
      <w:r w:rsidRPr="00FD211F">
        <w:rPr>
          <w:sz w:val="36"/>
          <w:szCs w:val="36"/>
          <w:rtl/>
        </w:rPr>
        <w:t>كما انه لايمكن ان يكون الموضوع له هو الوجود الذهني لامتناع وجوده ثانيا في الذهن لان المماثل لايقبل المماثل.</w:t>
      </w:r>
    </w:p>
    <w:p w14:paraId="41170118" w14:textId="77777777" w:rsidR="007F5659" w:rsidRPr="00FD211F" w:rsidRDefault="007F5659" w:rsidP="009C58C8">
      <w:pPr>
        <w:ind w:left="0" w:firstLine="227"/>
        <w:jc w:val="both"/>
        <w:rPr>
          <w:sz w:val="36"/>
          <w:szCs w:val="36"/>
          <w:rtl/>
        </w:rPr>
      </w:pPr>
      <w:r w:rsidRPr="00FD211F">
        <w:rPr>
          <w:b/>
          <w:bCs/>
          <w:sz w:val="36"/>
          <w:szCs w:val="36"/>
          <w:rtl/>
        </w:rPr>
        <w:t>وثانيا</w:t>
      </w:r>
      <w:r w:rsidRPr="00FD211F">
        <w:rPr>
          <w:sz w:val="36"/>
          <w:szCs w:val="36"/>
          <w:rtl/>
        </w:rPr>
        <w:t xml:space="preserve">: انه لو كان </w:t>
      </w:r>
      <w:r w:rsidR="001B3112" w:rsidRPr="00FD211F">
        <w:rPr>
          <w:sz w:val="36"/>
          <w:szCs w:val="36"/>
          <w:rtl/>
        </w:rPr>
        <w:t>الأمر</w:t>
      </w:r>
      <w:r w:rsidRPr="00FD211F">
        <w:rPr>
          <w:sz w:val="36"/>
          <w:szCs w:val="36"/>
          <w:rtl/>
        </w:rPr>
        <w:t xml:space="preserve"> كما ذكره لزم عدم صح</w:t>
      </w:r>
      <w:r w:rsidR="00EC7EDF" w:rsidRPr="00FD211F">
        <w:rPr>
          <w:sz w:val="36"/>
          <w:szCs w:val="36"/>
          <w:rtl/>
        </w:rPr>
        <w:t xml:space="preserve">ة </w:t>
      </w:r>
      <w:r w:rsidRPr="00FD211F">
        <w:rPr>
          <w:sz w:val="36"/>
          <w:szCs w:val="36"/>
          <w:rtl/>
        </w:rPr>
        <w:t>استعمال الحروف في موارد يستحيل فيها الوجود الرابط الخارجي كما في قولنا الوجود لله تعالى واجب</w:t>
      </w:r>
      <w:r w:rsidR="00603323" w:rsidRPr="00FD211F">
        <w:rPr>
          <w:sz w:val="36"/>
          <w:szCs w:val="36"/>
          <w:rtl/>
        </w:rPr>
        <w:t xml:space="preserve">، </w:t>
      </w:r>
      <w:r w:rsidRPr="00FD211F">
        <w:rPr>
          <w:sz w:val="36"/>
          <w:szCs w:val="36"/>
          <w:rtl/>
        </w:rPr>
        <w:t>وحيث لايحتمل الفرق بين المراد منها وبين المراد من سائر الاستعمالات فالمعنى في الجميع واحد</w:t>
      </w:r>
      <w:r w:rsidR="00603323" w:rsidRPr="00FD211F">
        <w:rPr>
          <w:sz w:val="36"/>
          <w:szCs w:val="36"/>
          <w:rtl/>
        </w:rPr>
        <w:t xml:space="preserve">، </w:t>
      </w:r>
      <w:r w:rsidRPr="00FD211F">
        <w:rPr>
          <w:sz w:val="36"/>
          <w:szCs w:val="36"/>
          <w:rtl/>
        </w:rPr>
        <w:t>ولايمكن ان يكون</w:t>
      </w:r>
      <w:r w:rsidR="00B253CE" w:rsidRPr="00FD211F">
        <w:rPr>
          <w:sz w:val="36"/>
          <w:szCs w:val="36"/>
          <w:rtl/>
        </w:rPr>
        <w:t xml:space="preserve"> </w:t>
      </w:r>
      <w:r w:rsidRPr="00FD211F">
        <w:rPr>
          <w:sz w:val="36"/>
          <w:szCs w:val="36"/>
          <w:rtl/>
        </w:rPr>
        <w:t>هو الوجود الرابط الخارجي.</w:t>
      </w:r>
    </w:p>
    <w:p w14:paraId="2A91BF4D" w14:textId="77777777" w:rsidR="007F5659" w:rsidRPr="00FD211F" w:rsidRDefault="007F5659" w:rsidP="009C58C8">
      <w:pPr>
        <w:ind w:left="0" w:firstLine="227"/>
        <w:jc w:val="both"/>
        <w:rPr>
          <w:sz w:val="36"/>
          <w:szCs w:val="36"/>
          <w:rtl/>
        </w:rPr>
      </w:pPr>
      <w:r w:rsidRPr="00FD211F">
        <w:rPr>
          <w:b/>
          <w:bCs/>
          <w:sz w:val="36"/>
          <w:szCs w:val="36"/>
          <w:rtl/>
        </w:rPr>
        <w:t>وثالثا</w:t>
      </w:r>
      <w:r w:rsidRPr="00FD211F">
        <w:rPr>
          <w:sz w:val="36"/>
          <w:szCs w:val="36"/>
          <w:rtl/>
        </w:rPr>
        <w:t>: انه لاموجب للالتزام بالوجود الرابط الخارجي</w:t>
      </w:r>
      <w:r w:rsidR="00603323" w:rsidRPr="00FD211F">
        <w:rPr>
          <w:sz w:val="36"/>
          <w:szCs w:val="36"/>
          <w:rtl/>
        </w:rPr>
        <w:t xml:space="preserve">، </w:t>
      </w:r>
      <w:r w:rsidRPr="00FD211F">
        <w:rPr>
          <w:sz w:val="36"/>
          <w:szCs w:val="36"/>
          <w:rtl/>
        </w:rPr>
        <w:t>لعدم برهان يقتضي ذلك عدا ما يقال من انه قد يعلم بوجود جوهر وعرض</w:t>
      </w:r>
      <w:r w:rsidR="00603323" w:rsidRPr="00FD211F">
        <w:rPr>
          <w:sz w:val="36"/>
          <w:szCs w:val="36"/>
          <w:rtl/>
        </w:rPr>
        <w:t xml:space="preserve">، </w:t>
      </w:r>
      <w:r w:rsidRPr="00FD211F">
        <w:rPr>
          <w:sz w:val="36"/>
          <w:szCs w:val="36"/>
          <w:rtl/>
        </w:rPr>
        <w:t xml:space="preserve">ويشك في وجود العرض لذلك الجوهر فحيث يلزم تغاير المعلوم والمشكوك فيلزم </w:t>
      </w:r>
      <w:r w:rsidR="00773413" w:rsidRPr="00FD211F">
        <w:rPr>
          <w:sz w:val="36"/>
          <w:szCs w:val="36"/>
          <w:rtl/>
        </w:rPr>
        <w:t>ان ي</w:t>
      </w:r>
      <w:r w:rsidRPr="00FD211F">
        <w:rPr>
          <w:sz w:val="36"/>
          <w:szCs w:val="36"/>
          <w:rtl/>
        </w:rPr>
        <w:t>كون وجود العرض للجوهر غير وجود الجوهر ووجود العرض</w:t>
      </w:r>
      <w:r w:rsidR="00603323" w:rsidRPr="00FD211F">
        <w:rPr>
          <w:sz w:val="36"/>
          <w:szCs w:val="36"/>
          <w:rtl/>
        </w:rPr>
        <w:t xml:space="preserve">، </w:t>
      </w:r>
      <w:r w:rsidRPr="00FD211F">
        <w:rPr>
          <w:sz w:val="36"/>
          <w:szCs w:val="36"/>
          <w:rtl/>
        </w:rPr>
        <w:t>ولكنه مخدوش لان اللازم تغاير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للمعلوم والمشكوك</w:t>
      </w:r>
      <w:r w:rsidR="00603323" w:rsidRPr="00FD211F">
        <w:rPr>
          <w:sz w:val="36"/>
          <w:szCs w:val="36"/>
          <w:rtl/>
        </w:rPr>
        <w:t xml:space="preserve">، </w:t>
      </w:r>
      <w:r w:rsidRPr="00FD211F">
        <w:rPr>
          <w:sz w:val="36"/>
          <w:szCs w:val="36"/>
          <w:rtl/>
        </w:rPr>
        <w:t>الاترى انه قد يشك في وجود وصف له تعالى فيكون ذاته تعالى معلوما ووصفه مشكوكا مع كون اوصافه عين ذاته</w:t>
      </w:r>
      <w:r w:rsidR="00603323" w:rsidRPr="00FD211F">
        <w:rPr>
          <w:sz w:val="36"/>
          <w:szCs w:val="36"/>
          <w:rtl/>
        </w:rPr>
        <w:t xml:space="preserve">، </w:t>
      </w:r>
      <w:r w:rsidRPr="00FD211F">
        <w:rPr>
          <w:sz w:val="36"/>
          <w:szCs w:val="36"/>
          <w:rtl/>
        </w:rPr>
        <w:t xml:space="preserve">وكذا قد يعلم بوجود </w:t>
      </w:r>
      <w:r w:rsidR="008D7B3D" w:rsidRPr="00FD211F">
        <w:rPr>
          <w:sz w:val="36"/>
          <w:szCs w:val="36"/>
          <w:rtl/>
        </w:rPr>
        <w:t xml:space="preserve">شيء </w:t>
      </w:r>
      <w:r w:rsidRPr="00FD211F">
        <w:rPr>
          <w:sz w:val="36"/>
          <w:szCs w:val="36"/>
          <w:rtl/>
        </w:rPr>
        <w:t>ولايعلم ماهيته مع ان الوجود والماهي</w:t>
      </w:r>
      <w:r w:rsidR="00EC7EDF" w:rsidRPr="00FD211F">
        <w:rPr>
          <w:sz w:val="36"/>
          <w:szCs w:val="36"/>
          <w:rtl/>
        </w:rPr>
        <w:t xml:space="preserve">ة </w:t>
      </w:r>
      <w:r w:rsidRPr="00FD211F">
        <w:rPr>
          <w:sz w:val="36"/>
          <w:szCs w:val="36"/>
          <w:rtl/>
        </w:rPr>
        <w:t>متحدان خارجا</w:t>
      </w:r>
      <w:r w:rsidR="00603323" w:rsidRPr="00FD211F">
        <w:rPr>
          <w:sz w:val="36"/>
          <w:szCs w:val="36"/>
          <w:rtl/>
        </w:rPr>
        <w:t xml:space="preserve">، </w:t>
      </w:r>
      <w:r w:rsidRPr="00FD211F">
        <w:rPr>
          <w:sz w:val="36"/>
          <w:szCs w:val="36"/>
          <w:rtl/>
        </w:rPr>
        <w:t>ولايتحقق وجود رابط بينهما</w:t>
      </w:r>
      <w:r w:rsidR="009C58C8" w:rsidRPr="00FD211F">
        <w:rPr>
          <w:rStyle w:val="a6"/>
          <w:sz w:val="36"/>
          <w:szCs w:val="36"/>
          <w:rtl/>
        </w:rPr>
        <w:t>(</w:t>
      </w:r>
      <w:r w:rsidR="009C58C8" w:rsidRPr="00FD211F">
        <w:rPr>
          <w:rStyle w:val="a6"/>
          <w:sz w:val="36"/>
          <w:szCs w:val="36"/>
          <w:rtl/>
        </w:rPr>
        <w:footnoteReference w:id="165"/>
      </w:r>
      <w:r w:rsidR="009C58C8" w:rsidRPr="00FD211F">
        <w:rPr>
          <w:rStyle w:val="a6"/>
          <w:sz w:val="36"/>
          <w:szCs w:val="36"/>
          <w:rtl/>
        </w:rPr>
        <w:t>)</w:t>
      </w:r>
      <w:r w:rsidRPr="00FD211F">
        <w:rPr>
          <w:sz w:val="36"/>
          <w:szCs w:val="36"/>
          <w:rtl/>
        </w:rPr>
        <w:t>.</w:t>
      </w:r>
    </w:p>
    <w:p w14:paraId="3464AEB0" w14:textId="77777777" w:rsidR="000C5BBA" w:rsidRPr="00FD211F" w:rsidRDefault="007F5659" w:rsidP="00251CB6">
      <w:pPr>
        <w:ind w:left="0" w:firstLine="227"/>
        <w:jc w:val="both"/>
        <w:rPr>
          <w:sz w:val="36"/>
          <w:szCs w:val="36"/>
          <w:rtl/>
        </w:rPr>
      </w:pPr>
      <w:bookmarkStart w:id="174" w:name="درس082"/>
      <w:bookmarkEnd w:id="174"/>
      <w:r w:rsidRPr="00FD211F">
        <w:rPr>
          <w:sz w:val="36"/>
          <w:szCs w:val="36"/>
          <w:rtl/>
        </w:rPr>
        <w:t>اقول</w:t>
      </w:r>
      <w:r w:rsidR="008D4CEB" w:rsidRPr="00FD211F">
        <w:rPr>
          <w:sz w:val="36"/>
          <w:szCs w:val="36"/>
          <w:rtl/>
        </w:rPr>
        <w:t>:</w:t>
      </w:r>
      <w:r w:rsidRPr="00FD211F">
        <w:rPr>
          <w:sz w:val="36"/>
          <w:szCs w:val="36"/>
          <w:rtl/>
        </w:rPr>
        <w:t xml:space="preserve"> يرد على ما ذكره السيد الخوئي </w:t>
      </w:r>
      <w:r w:rsidR="00687AF6" w:rsidRPr="00FD211F">
        <w:rPr>
          <w:sz w:val="36"/>
          <w:szCs w:val="36"/>
          <w:rtl/>
        </w:rPr>
        <w:t>"قده" أن من لاحظ كلمات المحقق الاص</w:t>
      </w:r>
      <w:r w:rsidRPr="00FD211F">
        <w:rPr>
          <w:sz w:val="36"/>
          <w:szCs w:val="36"/>
          <w:rtl/>
        </w:rPr>
        <w:t>فهاني</w:t>
      </w:r>
      <w:r w:rsidR="00A61BAE" w:rsidRPr="00FD211F">
        <w:rPr>
          <w:sz w:val="36"/>
          <w:szCs w:val="36"/>
          <w:rtl/>
        </w:rPr>
        <w:t xml:space="preserve"> </w:t>
      </w:r>
      <w:r w:rsidR="00251CB6" w:rsidRPr="00FD211F">
        <w:rPr>
          <w:sz w:val="36"/>
          <w:szCs w:val="36"/>
          <w:rtl/>
        </w:rPr>
        <w:t>"قده"</w:t>
      </w:r>
      <w:r w:rsidR="00A61BAE" w:rsidRPr="00FD211F">
        <w:rPr>
          <w:sz w:val="36"/>
          <w:szCs w:val="36"/>
          <w:rtl/>
        </w:rPr>
        <w:t xml:space="preserve"> </w:t>
      </w:r>
      <w:r w:rsidR="00687AF6" w:rsidRPr="00FD211F">
        <w:rPr>
          <w:sz w:val="36"/>
          <w:szCs w:val="36"/>
          <w:rtl/>
        </w:rPr>
        <w:t>يشاهد انه يرى ان وضع الحروف بإ</w:t>
      </w:r>
      <w:r w:rsidRPr="00FD211F">
        <w:rPr>
          <w:sz w:val="36"/>
          <w:szCs w:val="36"/>
          <w:rtl/>
        </w:rPr>
        <w:t>زاء واقع النسب</w:t>
      </w:r>
      <w:r w:rsidR="00EC7EDF" w:rsidRPr="00FD211F">
        <w:rPr>
          <w:sz w:val="36"/>
          <w:szCs w:val="36"/>
          <w:rtl/>
        </w:rPr>
        <w:t xml:space="preserve">ة </w:t>
      </w:r>
      <w:r w:rsidRPr="00FD211F">
        <w:rPr>
          <w:sz w:val="36"/>
          <w:szCs w:val="36"/>
          <w:rtl/>
        </w:rPr>
        <w:t>والربط المتقوم ذاته بوجود طرفيه خارجا او ذهنا من دون اخذ وجود طرفيه في الخارج او الذهن في المعنى</w:t>
      </w:r>
      <w:r w:rsidR="00603323" w:rsidRPr="00FD211F">
        <w:rPr>
          <w:sz w:val="36"/>
          <w:szCs w:val="36"/>
          <w:rtl/>
        </w:rPr>
        <w:t xml:space="preserve">، </w:t>
      </w:r>
      <w:r w:rsidR="00687AF6" w:rsidRPr="00FD211F">
        <w:rPr>
          <w:sz w:val="36"/>
          <w:szCs w:val="36"/>
          <w:rtl/>
        </w:rPr>
        <w:t>فقد ذكر مانصه</w:t>
      </w:r>
      <w:r w:rsidR="003C0BE8" w:rsidRPr="00FD211F">
        <w:rPr>
          <w:sz w:val="36"/>
          <w:szCs w:val="36"/>
          <w:rtl/>
        </w:rPr>
        <w:t>:</w:t>
      </w:r>
    </w:p>
    <w:p w14:paraId="158E54E1" w14:textId="77777777" w:rsidR="000C5BBA" w:rsidRPr="00FD211F" w:rsidRDefault="007F5659" w:rsidP="009C58C8">
      <w:pPr>
        <w:ind w:left="0" w:firstLine="227"/>
        <w:jc w:val="both"/>
        <w:rPr>
          <w:sz w:val="36"/>
          <w:szCs w:val="36"/>
          <w:rtl/>
        </w:rPr>
      </w:pPr>
      <w:r w:rsidRPr="00FD211F">
        <w:rPr>
          <w:sz w:val="36"/>
          <w:szCs w:val="36"/>
          <w:rtl/>
        </w:rPr>
        <w:t>ان الفرق بين المعنى الاسمي والحرفي كالفرق بين الوجود المحمولي والوجود الرابط</w:t>
      </w:r>
      <w:r w:rsidR="00603323" w:rsidRPr="00FD211F">
        <w:rPr>
          <w:sz w:val="36"/>
          <w:szCs w:val="36"/>
          <w:rtl/>
        </w:rPr>
        <w:t xml:space="preserve">، </w:t>
      </w:r>
      <w:r w:rsidRPr="00FD211F">
        <w:rPr>
          <w:sz w:val="36"/>
          <w:szCs w:val="36"/>
          <w:rtl/>
        </w:rPr>
        <w:t>وهذا لاينافي ما اخترناه من ان طرفي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طبيعي اللفظ وطبيعي المعنى</w:t>
      </w:r>
      <w:r w:rsidR="00603323" w:rsidRPr="00FD211F">
        <w:rPr>
          <w:sz w:val="36"/>
          <w:szCs w:val="36"/>
          <w:rtl/>
        </w:rPr>
        <w:t xml:space="preserve">، </w:t>
      </w:r>
      <w:r w:rsidRPr="00FD211F">
        <w:rPr>
          <w:sz w:val="36"/>
          <w:szCs w:val="36"/>
          <w:rtl/>
        </w:rPr>
        <w:t>دون الموجود الذهني او الخارجي منهما لان الوضع للانتقال وهو نحو وجود ادراكي والمماثل لايقبل المماثل والمقابل لايقبل المقابل</w:t>
      </w:r>
      <w:r w:rsidR="00603323" w:rsidRPr="00FD211F">
        <w:rPr>
          <w:sz w:val="36"/>
          <w:szCs w:val="36"/>
          <w:rtl/>
        </w:rPr>
        <w:t xml:space="preserve">، </w:t>
      </w:r>
      <w:r w:rsidRPr="00FD211F">
        <w:rPr>
          <w:sz w:val="36"/>
          <w:szCs w:val="36"/>
          <w:rtl/>
        </w:rPr>
        <w:t>فان المراد هناك عدم دخل الوجود العيني والوجود الذهني في الموضوع والموضوع له وان كان الموضوع له ماهي</w:t>
      </w:r>
      <w:r w:rsidR="00EC7EDF" w:rsidRPr="00FD211F">
        <w:rPr>
          <w:sz w:val="36"/>
          <w:szCs w:val="36"/>
          <w:rtl/>
        </w:rPr>
        <w:t xml:space="preserve">ة </w:t>
      </w:r>
      <w:r w:rsidRPr="00FD211F">
        <w:rPr>
          <w:sz w:val="36"/>
          <w:szCs w:val="36"/>
          <w:rtl/>
        </w:rPr>
        <w:t>شخصي</w:t>
      </w:r>
      <w:r w:rsidR="00EC7EDF" w:rsidRPr="00FD211F">
        <w:rPr>
          <w:sz w:val="36"/>
          <w:szCs w:val="36"/>
          <w:rtl/>
        </w:rPr>
        <w:t xml:space="preserve">ة </w:t>
      </w:r>
      <w:r w:rsidRPr="00FD211F">
        <w:rPr>
          <w:sz w:val="36"/>
          <w:szCs w:val="36"/>
          <w:rtl/>
        </w:rPr>
        <w:t>كما في الاعلام</w:t>
      </w:r>
      <w:r w:rsidR="00603323" w:rsidRPr="00FD211F">
        <w:rPr>
          <w:sz w:val="36"/>
          <w:szCs w:val="36"/>
          <w:rtl/>
        </w:rPr>
        <w:t xml:space="preserve">، </w:t>
      </w:r>
      <w:r w:rsidRPr="00FD211F">
        <w:rPr>
          <w:sz w:val="36"/>
          <w:szCs w:val="36"/>
          <w:rtl/>
        </w:rPr>
        <w:t>فالنسب</w:t>
      </w:r>
      <w:r w:rsidR="00EC7EDF" w:rsidRPr="00FD211F">
        <w:rPr>
          <w:sz w:val="36"/>
          <w:szCs w:val="36"/>
          <w:rtl/>
        </w:rPr>
        <w:t xml:space="preserve">ة </w:t>
      </w:r>
      <w:r w:rsidRPr="00FD211F">
        <w:rPr>
          <w:sz w:val="36"/>
          <w:szCs w:val="36"/>
          <w:rtl/>
        </w:rPr>
        <w:t>الحقيقي</w:t>
      </w:r>
      <w:r w:rsidR="00EC7EDF" w:rsidRPr="00FD211F">
        <w:rPr>
          <w:sz w:val="36"/>
          <w:szCs w:val="36"/>
          <w:rtl/>
        </w:rPr>
        <w:t xml:space="preserve">ة </w:t>
      </w:r>
      <w:r w:rsidRPr="00FD211F">
        <w:rPr>
          <w:sz w:val="36"/>
          <w:szCs w:val="36"/>
          <w:rtl/>
        </w:rPr>
        <w:t>وان كانت متقوم</w:t>
      </w:r>
      <w:r w:rsidR="00EC7EDF" w:rsidRPr="00FD211F">
        <w:rPr>
          <w:sz w:val="36"/>
          <w:szCs w:val="36"/>
          <w:rtl/>
        </w:rPr>
        <w:t xml:space="preserve">ة </w:t>
      </w:r>
      <w:r w:rsidRPr="00FD211F">
        <w:rPr>
          <w:sz w:val="36"/>
          <w:szCs w:val="36"/>
          <w:rtl/>
        </w:rPr>
        <w:t>بطرفيها الموجودين عينا او ذهنا الا ان الموضوع له ذات تلك النسب</w:t>
      </w:r>
      <w:r w:rsidR="00EC7EDF" w:rsidRPr="00FD211F">
        <w:rPr>
          <w:sz w:val="36"/>
          <w:szCs w:val="36"/>
          <w:rtl/>
        </w:rPr>
        <w:t xml:space="preserve">ة </w:t>
      </w:r>
      <w:r w:rsidRPr="00FD211F">
        <w:rPr>
          <w:sz w:val="36"/>
          <w:szCs w:val="36"/>
          <w:rtl/>
        </w:rPr>
        <w:t>المتقوم</w:t>
      </w:r>
      <w:r w:rsidR="00EC7EDF" w:rsidRPr="00FD211F">
        <w:rPr>
          <w:sz w:val="36"/>
          <w:szCs w:val="36"/>
          <w:rtl/>
        </w:rPr>
        <w:t xml:space="preserve">ة </w:t>
      </w:r>
      <w:r w:rsidRPr="00FD211F">
        <w:rPr>
          <w:sz w:val="36"/>
          <w:szCs w:val="36"/>
          <w:rtl/>
        </w:rPr>
        <w:t>بهما من دون دخل لوجود طرفيها في كونها طرف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وان كان لهما دخل في ثبوتها في حد ذاتها</w:t>
      </w:r>
      <w:r w:rsidR="00603323" w:rsidRPr="00FD211F">
        <w:rPr>
          <w:sz w:val="36"/>
          <w:szCs w:val="36"/>
          <w:rtl/>
        </w:rPr>
        <w:t xml:space="preserve">، </w:t>
      </w:r>
      <w:r w:rsidRPr="00FD211F">
        <w:rPr>
          <w:sz w:val="36"/>
          <w:szCs w:val="36"/>
          <w:rtl/>
        </w:rPr>
        <w:t>فلاينتقل اليها الا بالانتقال الى طرفيها</w:t>
      </w:r>
      <w:r w:rsidR="009C58C8" w:rsidRPr="00FD211F">
        <w:rPr>
          <w:rStyle w:val="a6"/>
          <w:sz w:val="36"/>
          <w:szCs w:val="36"/>
          <w:rtl/>
        </w:rPr>
        <w:t>(</w:t>
      </w:r>
      <w:r w:rsidR="009C58C8" w:rsidRPr="00FD211F">
        <w:rPr>
          <w:rStyle w:val="a6"/>
          <w:sz w:val="36"/>
          <w:szCs w:val="36"/>
          <w:rtl/>
        </w:rPr>
        <w:footnoteReference w:id="166"/>
      </w:r>
      <w:r w:rsidR="009C58C8" w:rsidRPr="00FD211F">
        <w:rPr>
          <w:rStyle w:val="a6"/>
          <w:sz w:val="36"/>
          <w:szCs w:val="36"/>
          <w:rtl/>
        </w:rPr>
        <w:t>)</w:t>
      </w:r>
      <w:r w:rsidR="00222B4E" w:rsidRPr="00FD211F">
        <w:rPr>
          <w:sz w:val="36"/>
          <w:szCs w:val="36"/>
          <w:rtl/>
        </w:rPr>
        <w:t>.</w:t>
      </w:r>
    </w:p>
    <w:p w14:paraId="105B0565" w14:textId="77777777" w:rsidR="009F4708" w:rsidRPr="00FD211F" w:rsidRDefault="00F32151" w:rsidP="009C58C8">
      <w:pPr>
        <w:ind w:left="0" w:firstLine="227"/>
        <w:jc w:val="both"/>
        <w:rPr>
          <w:sz w:val="36"/>
          <w:szCs w:val="36"/>
          <w:rtl/>
        </w:rPr>
      </w:pPr>
      <w:r w:rsidRPr="00FD211F">
        <w:rPr>
          <w:sz w:val="36"/>
          <w:szCs w:val="36"/>
          <w:rtl/>
        </w:rPr>
        <w:t>ولذا</w:t>
      </w:r>
      <w:r w:rsidR="007F5659" w:rsidRPr="00FD211F">
        <w:rPr>
          <w:sz w:val="36"/>
          <w:szCs w:val="36"/>
          <w:rtl/>
        </w:rPr>
        <w:t xml:space="preserve"> ذكر ان المعنى الحرفي نظير الوجود الرابط</w:t>
      </w:r>
      <w:r w:rsidR="00603323" w:rsidRPr="00FD211F">
        <w:rPr>
          <w:sz w:val="36"/>
          <w:szCs w:val="36"/>
          <w:rtl/>
        </w:rPr>
        <w:t xml:space="preserve">، </w:t>
      </w:r>
      <w:r w:rsidR="009977FE" w:rsidRPr="00FD211F">
        <w:rPr>
          <w:sz w:val="36"/>
          <w:szCs w:val="36"/>
          <w:rtl/>
        </w:rPr>
        <w:t>و</w:t>
      </w:r>
      <w:r w:rsidR="008D7B3D" w:rsidRPr="00FD211F">
        <w:rPr>
          <w:sz w:val="36"/>
          <w:szCs w:val="36"/>
          <w:rtl/>
        </w:rPr>
        <w:t xml:space="preserve"> لم‌</w:t>
      </w:r>
      <w:r w:rsidR="007F5659" w:rsidRPr="00FD211F">
        <w:rPr>
          <w:sz w:val="36"/>
          <w:szCs w:val="36"/>
          <w:rtl/>
        </w:rPr>
        <w:t>يقل</w:t>
      </w:r>
      <w:r w:rsidRPr="00FD211F">
        <w:rPr>
          <w:sz w:val="36"/>
          <w:szCs w:val="36"/>
          <w:rtl/>
        </w:rPr>
        <w:t xml:space="preserve"> انه عينه</w:t>
      </w:r>
      <w:r w:rsidR="00603323" w:rsidRPr="00FD211F">
        <w:rPr>
          <w:sz w:val="36"/>
          <w:szCs w:val="36"/>
          <w:rtl/>
        </w:rPr>
        <w:t xml:space="preserve">، </w:t>
      </w:r>
      <w:r w:rsidRPr="00FD211F">
        <w:rPr>
          <w:sz w:val="36"/>
          <w:szCs w:val="36"/>
          <w:rtl/>
        </w:rPr>
        <w:t>كما</w:t>
      </w:r>
      <w:r w:rsidR="00FB1195" w:rsidRPr="00FD211F">
        <w:rPr>
          <w:sz w:val="36"/>
          <w:szCs w:val="36"/>
          <w:rtl/>
        </w:rPr>
        <w:t xml:space="preserve"> صرح</w:t>
      </w:r>
      <w:r w:rsidR="00B253CE" w:rsidRPr="00FD211F">
        <w:rPr>
          <w:sz w:val="36"/>
          <w:szCs w:val="36"/>
          <w:rtl/>
        </w:rPr>
        <w:t xml:space="preserve"> </w:t>
      </w:r>
      <w:r w:rsidR="00FB1195" w:rsidRPr="00FD211F">
        <w:rPr>
          <w:sz w:val="36"/>
          <w:szCs w:val="36"/>
          <w:rtl/>
        </w:rPr>
        <w:t>في حاشيته على الكفاي</w:t>
      </w:r>
      <w:r w:rsidR="00EC7EDF" w:rsidRPr="00FD211F">
        <w:rPr>
          <w:sz w:val="36"/>
          <w:szCs w:val="36"/>
          <w:rtl/>
        </w:rPr>
        <w:t xml:space="preserve">ة </w:t>
      </w:r>
      <w:r w:rsidR="00FB1195" w:rsidRPr="00FD211F">
        <w:rPr>
          <w:sz w:val="36"/>
          <w:szCs w:val="36"/>
          <w:rtl/>
        </w:rPr>
        <w:t>ان الوجود</w:t>
      </w:r>
      <w:r w:rsidR="005452B3" w:rsidRPr="00FD211F">
        <w:rPr>
          <w:sz w:val="36"/>
          <w:szCs w:val="36"/>
          <w:rtl/>
        </w:rPr>
        <w:t xml:space="preserve"> </w:t>
      </w:r>
      <w:r w:rsidR="00FB1195" w:rsidRPr="00FD211F">
        <w:rPr>
          <w:sz w:val="36"/>
          <w:szCs w:val="36"/>
          <w:rtl/>
        </w:rPr>
        <w:t>الرابط يختص بمفاد</w:t>
      </w:r>
      <w:r w:rsidR="005452B3" w:rsidRPr="00FD211F">
        <w:rPr>
          <w:sz w:val="36"/>
          <w:szCs w:val="36"/>
          <w:rtl/>
        </w:rPr>
        <w:t xml:space="preserve"> </w:t>
      </w:r>
      <w:r w:rsidR="00FB1195" w:rsidRPr="00FD211F">
        <w:rPr>
          <w:sz w:val="36"/>
          <w:szCs w:val="36"/>
          <w:rtl/>
        </w:rPr>
        <w:t xml:space="preserve">الهليات </w:t>
      </w:r>
      <w:r w:rsidRPr="00FD211F">
        <w:rPr>
          <w:sz w:val="36"/>
          <w:szCs w:val="36"/>
          <w:rtl/>
        </w:rPr>
        <w:t>المركب</w:t>
      </w:r>
      <w:r w:rsidR="00EC7EDF" w:rsidRPr="00FD211F">
        <w:rPr>
          <w:sz w:val="36"/>
          <w:szCs w:val="36"/>
          <w:rtl/>
        </w:rPr>
        <w:t xml:space="preserve">ة </w:t>
      </w:r>
      <w:r w:rsidRPr="00FD211F">
        <w:rPr>
          <w:sz w:val="36"/>
          <w:szCs w:val="36"/>
          <w:rtl/>
        </w:rPr>
        <w:t>الايجابي</w:t>
      </w:r>
      <w:r w:rsidR="00EC7EDF" w:rsidRPr="00FD211F">
        <w:rPr>
          <w:sz w:val="36"/>
          <w:szCs w:val="36"/>
          <w:rtl/>
        </w:rPr>
        <w:t xml:space="preserve">ة </w:t>
      </w:r>
      <w:r w:rsidRPr="00FD211F">
        <w:rPr>
          <w:sz w:val="36"/>
          <w:szCs w:val="36"/>
          <w:rtl/>
        </w:rPr>
        <w:t>ولكن في نفس الوقت التزم بثبوت النسب</w:t>
      </w:r>
      <w:r w:rsidR="00EC7EDF" w:rsidRPr="00FD211F">
        <w:rPr>
          <w:sz w:val="36"/>
          <w:szCs w:val="36"/>
          <w:rtl/>
        </w:rPr>
        <w:t xml:space="preserve">ة </w:t>
      </w:r>
      <w:r w:rsidRPr="00FD211F">
        <w:rPr>
          <w:sz w:val="36"/>
          <w:szCs w:val="36"/>
          <w:rtl/>
        </w:rPr>
        <w:t>في مفاد</w:t>
      </w:r>
      <w:r w:rsidR="009E2E30" w:rsidRPr="00FD211F">
        <w:rPr>
          <w:sz w:val="36"/>
          <w:szCs w:val="36"/>
          <w:rtl/>
        </w:rPr>
        <w:t xml:space="preserve"> </w:t>
      </w:r>
      <w:r w:rsidRPr="00FD211F">
        <w:rPr>
          <w:sz w:val="36"/>
          <w:szCs w:val="36"/>
          <w:rtl/>
        </w:rPr>
        <w:t>الهليات البسيط</w:t>
      </w:r>
      <w:r w:rsidR="00EC7EDF" w:rsidRPr="00FD211F">
        <w:rPr>
          <w:sz w:val="36"/>
          <w:szCs w:val="36"/>
          <w:rtl/>
        </w:rPr>
        <w:t>ة</w:t>
      </w:r>
      <w:r w:rsidR="00603323" w:rsidRPr="00FD211F">
        <w:rPr>
          <w:sz w:val="36"/>
          <w:szCs w:val="36"/>
          <w:rtl/>
        </w:rPr>
        <w:t xml:space="preserve">، </w:t>
      </w:r>
      <w:r w:rsidR="001944C8" w:rsidRPr="00FD211F">
        <w:rPr>
          <w:sz w:val="36"/>
          <w:szCs w:val="36"/>
          <w:rtl/>
        </w:rPr>
        <w:t>وهذا</w:t>
      </w:r>
      <w:r w:rsidR="00DF0A11">
        <w:rPr>
          <w:rFonts w:hint="cs"/>
          <w:sz w:val="36"/>
          <w:szCs w:val="36"/>
          <w:rtl/>
        </w:rPr>
        <w:t xml:space="preserve"> </w:t>
      </w:r>
      <w:r w:rsidR="001944C8" w:rsidRPr="00FD211F">
        <w:rPr>
          <w:sz w:val="36"/>
          <w:szCs w:val="36"/>
          <w:rtl/>
        </w:rPr>
        <w:t>يدل على انه يرى الفرق بين الوجود</w:t>
      </w:r>
      <w:r w:rsidR="009E2E30" w:rsidRPr="00FD211F">
        <w:rPr>
          <w:sz w:val="36"/>
          <w:szCs w:val="36"/>
          <w:rtl/>
        </w:rPr>
        <w:t xml:space="preserve"> </w:t>
      </w:r>
      <w:r w:rsidR="001944C8" w:rsidRPr="00FD211F">
        <w:rPr>
          <w:sz w:val="36"/>
          <w:szCs w:val="36"/>
          <w:rtl/>
        </w:rPr>
        <w:t>الرابط والنسب</w:t>
      </w:r>
      <w:r w:rsidR="00EC7EDF" w:rsidRPr="00FD211F">
        <w:rPr>
          <w:sz w:val="36"/>
          <w:szCs w:val="36"/>
          <w:rtl/>
        </w:rPr>
        <w:t xml:space="preserve">ة </w:t>
      </w:r>
      <w:r w:rsidR="009C7982" w:rsidRPr="00FD211F">
        <w:rPr>
          <w:sz w:val="36"/>
          <w:szCs w:val="36"/>
          <w:rtl/>
        </w:rPr>
        <w:t>كما</w:t>
      </w:r>
      <w:r w:rsidR="005452B3" w:rsidRPr="00FD211F">
        <w:rPr>
          <w:sz w:val="36"/>
          <w:szCs w:val="36"/>
          <w:rtl/>
        </w:rPr>
        <w:t xml:space="preserve"> </w:t>
      </w:r>
      <w:r w:rsidR="009C7982" w:rsidRPr="00FD211F">
        <w:rPr>
          <w:sz w:val="36"/>
          <w:szCs w:val="36"/>
          <w:rtl/>
        </w:rPr>
        <w:t>ذكر</w:t>
      </w:r>
      <w:r w:rsidR="009E2E30" w:rsidRPr="00FD211F">
        <w:rPr>
          <w:sz w:val="36"/>
          <w:szCs w:val="36"/>
          <w:rtl/>
        </w:rPr>
        <w:t xml:space="preserve"> </w:t>
      </w:r>
      <w:r w:rsidR="009C7982" w:rsidRPr="00FD211F">
        <w:rPr>
          <w:sz w:val="36"/>
          <w:szCs w:val="36"/>
          <w:rtl/>
        </w:rPr>
        <w:t>ان النسب</w:t>
      </w:r>
      <w:r w:rsidR="00EC7EDF" w:rsidRPr="00FD211F">
        <w:rPr>
          <w:sz w:val="36"/>
          <w:szCs w:val="36"/>
          <w:rtl/>
        </w:rPr>
        <w:t xml:space="preserve">ة </w:t>
      </w:r>
      <w:r w:rsidR="004B69BC" w:rsidRPr="00FD211F">
        <w:rPr>
          <w:sz w:val="36"/>
          <w:szCs w:val="36"/>
          <w:rtl/>
        </w:rPr>
        <w:t>في الهلي</w:t>
      </w:r>
      <w:r w:rsidR="00EC7EDF" w:rsidRPr="00FD211F">
        <w:rPr>
          <w:sz w:val="36"/>
          <w:szCs w:val="36"/>
          <w:rtl/>
        </w:rPr>
        <w:t xml:space="preserve">ة </w:t>
      </w:r>
      <w:r w:rsidR="004B69BC" w:rsidRPr="00FD211F">
        <w:rPr>
          <w:sz w:val="36"/>
          <w:szCs w:val="36"/>
          <w:rtl/>
        </w:rPr>
        <w:t>المركب</w:t>
      </w:r>
      <w:r w:rsidR="00EC7EDF" w:rsidRPr="00FD211F">
        <w:rPr>
          <w:sz w:val="36"/>
          <w:szCs w:val="36"/>
          <w:rtl/>
        </w:rPr>
        <w:t xml:space="preserve">ة </w:t>
      </w:r>
      <w:r w:rsidR="004B69BC" w:rsidRPr="00FD211F">
        <w:rPr>
          <w:sz w:val="36"/>
          <w:szCs w:val="36"/>
          <w:rtl/>
        </w:rPr>
        <w:t>الايجابي</w:t>
      </w:r>
      <w:r w:rsidR="00EC7EDF" w:rsidRPr="00FD211F">
        <w:rPr>
          <w:sz w:val="36"/>
          <w:szCs w:val="36"/>
          <w:rtl/>
        </w:rPr>
        <w:t xml:space="preserve">ة </w:t>
      </w:r>
      <w:r w:rsidR="004B69BC" w:rsidRPr="00FD211F">
        <w:rPr>
          <w:sz w:val="36"/>
          <w:szCs w:val="36"/>
          <w:rtl/>
        </w:rPr>
        <w:t xml:space="preserve">بمعنى </w:t>
      </w:r>
      <w:r w:rsidR="0092644F" w:rsidRPr="00FD211F">
        <w:rPr>
          <w:sz w:val="36"/>
          <w:szCs w:val="36"/>
          <w:rtl/>
        </w:rPr>
        <w:t>"</w:t>
      </w:r>
      <w:r w:rsidR="004B69BC" w:rsidRPr="00FD211F">
        <w:rPr>
          <w:sz w:val="36"/>
          <w:szCs w:val="36"/>
          <w:rtl/>
        </w:rPr>
        <w:t>ثبوت</w:t>
      </w:r>
      <w:r w:rsidR="00FA7964" w:rsidRPr="00FD211F">
        <w:rPr>
          <w:sz w:val="36"/>
          <w:szCs w:val="36"/>
          <w:rtl/>
        </w:rPr>
        <w:t xml:space="preserve"> شيء</w:t>
      </w:r>
      <w:r w:rsidR="009E2E30" w:rsidRPr="00FD211F">
        <w:rPr>
          <w:sz w:val="36"/>
          <w:szCs w:val="36"/>
          <w:rtl/>
        </w:rPr>
        <w:t xml:space="preserve"> لشيء</w:t>
      </w:r>
      <w:r w:rsidR="0092644F" w:rsidRPr="00FD211F">
        <w:rPr>
          <w:sz w:val="36"/>
          <w:szCs w:val="36"/>
          <w:rtl/>
        </w:rPr>
        <w:t>"</w:t>
      </w:r>
      <w:r w:rsidR="004B69BC" w:rsidRPr="00FD211F">
        <w:rPr>
          <w:sz w:val="36"/>
          <w:szCs w:val="36"/>
          <w:rtl/>
        </w:rPr>
        <w:t xml:space="preserve"> </w:t>
      </w:r>
      <w:r w:rsidR="0092644F" w:rsidRPr="00FD211F">
        <w:rPr>
          <w:sz w:val="36"/>
          <w:szCs w:val="36"/>
          <w:rtl/>
        </w:rPr>
        <w:t>وفي الهلي</w:t>
      </w:r>
      <w:r w:rsidR="00EC7EDF" w:rsidRPr="00FD211F">
        <w:rPr>
          <w:sz w:val="36"/>
          <w:szCs w:val="36"/>
          <w:rtl/>
        </w:rPr>
        <w:t xml:space="preserve">ة </w:t>
      </w:r>
      <w:r w:rsidR="0092644F" w:rsidRPr="00FD211F">
        <w:rPr>
          <w:sz w:val="36"/>
          <w:szCs w:val="36"/>
          <w:rtl/>
        </w:rPr>
        <w:t>البسيط</w:t>
      </w:r>
      <w:r w:rsidR="00EC7EDF" w:rsidRPr="00FD211F">
        <w:rPr>
          <w:sz w:val="36"/>
          <w:szCs w:val="36"/>
          <w:rtl/>
        </w:rPr>
        <w:t xml:space="preserve">ة </w:t>
      </w:r>
      <w:r w:rsidR="0092644F" w:rsidRPr="00FD211F">
        <w:rPr>
          <w:sz w:val="36"/>
          <w:szCs w:val="36"/>
          <w:rtl/>
        </w:rPr>
        <w:t>بمعنى "كون هذا</w:t>
      </w:r>
      <w:r w:rsidR="005452B3" w:rsidRPr="00FD211F">
        <w:rPr>
          <w:sz w:val="36"/>
          <w:szCs w:val="36"/>
          <w:rtl/>
        </w:rPr>
        <w:t xml:space="preserve"> </w:t>
      </w:r>
      <w:r w:rsidR="0092644F" w:rsidRPr="00FD211F">
        <w:rPr>
          <w:sz w:val="36"/>
          <w:szCs w:val="36"/>
          <w:rtl/>
        </w:rPr>
        <w:t>ذاك" كما</w:t>
      </w:r>
      <w:r w:rsidR="009E2E30" w:rsidRPr="00FD211F">
        <w:rPr>
          <w:sz w:val="36"/>
          <w:szCs w:val="36"/>
          <w:rtl/>
        </w:rPr>
        <w:t xml:space="preserve"> </w:t>
      </w:r>
      <w:r w:rsidR="00077B74" w:rsidRPr="00FD211F">
        <w:rPr>
          <w:sz w:val="36"/>
          <w:szCs w:val="36"/>
          <w:rtl/>
        </w:rPr>
        <w:t>ان النسب</w:t>
      </w:r>
      <w:r w:rsidR="00EC7EDF" w:rsidRPr="00FD211F">
        <w:rPr>
          <w:sz w:val="36"/>
          <w:szCs w:val="36"/>
          <w:rtl/>
        </w:rPr>
        <w:t xml:space="preserve">ة </w:t>
      </w:r>
      <w:r w:rsidR="00077B74" w:rsidRPr="00FD211F">
        <w:rPr>
          <w:sz w:val="36"/>
          <w:szCs w:val="36"/>
          <w:rtl/>
        </w:rPr>
        <w:t>قد</w:t>
      </w:r>
      <w:r w:rsidR="005452B3" w:rsidRPr="00FD211F">
        <w:rPr>
          <w:sz w:val="36"/>
          <w:szCs w:val="36"/>
          <w:rtl/>
        </w:rPr>
        <w:t xml:space="preserve"> </w:t>
      </w:r>
      <w:r w:rsidR="00077B74" w:rsidRPr="00FD211F">
        <w:rPr>
          <w:sz w:val="36"/>
          <w:szCs w:val="36"/>
          <w:rtl/>
        </w:rPr>
        <w:t>تكون من النسب الخاص</w:t>
      </w:r>
      <w:r w:rsidR="00EC7EDF" w:rsidRPr="00FD211F">
        <w:rPr>
          <w:sz w:val="36"/>
          <w:szCs w:val="36"/>
          <w:rtl/>
        </w:rPr>
        <w:t xml:space="preserve">ة </w:t>
      </w:r>
      <w:r w:rsidR="00077B74" w:rsidRPr="00FD211F">
        <w:rPr>
          <w:sz w:val="36"/>
          <w:szCs w:val="36"/>
          <w:rtl/>
        </w:rPr>
        <w:t>المقوم</w:t>
      </w:r>
      <w:r w:rsidR="00EC7EDF" w:rsidRPr="00FD211F">
        <w:rPr>
          <w:sz w:val="36"/>
          <w:szCs w:val="36"/>
          <w:rtl/>
        </w:rPr>
        <w:t xml:space="preserve">ة </w:t>
      </w:r>
      <w:r w:rsidR="00077B74" w:rsidRPr="00FD211F">
        <w:rPr>
          <w:sz w:val="36"/>
          <w:szCs w:val="36"/>
          <w:rtl/>
        </w:rPr>
        <w:t>للاعراض</w:t>
      </w:r>
      <w:r w:rsidR="00B253CE" w:rsidRPr="00FD211F">
        <w:rPr>
          <w:sz w:val="36"/>
          <w:szCs w:val="36"/>
          <w:rtl/>
        </w:rPr>
        <w:t xml:space="preserve"> </w:t>
      </w:r>
      <w:r w:rsidR="00077B74" w:rsidRPr="00FD211F">
        <w:rPr>
          <w:sz w:val="36"/>
          <w:szCs w:val="36"/>
          <w:rtl/>
        </w:rPr>
        <w:t>النسبي</w:t>
      </w:r>
      <w:r w:rsidR="00EC7EDF" w:rsidRPr="00FD211F">
        <w:rPr>
          <w:sz w:val="36"/>
          <w:szCs w:val="36"/>
          <w:rtl/>
        </w:rPr>
        <w:t xml:space="preserve">ة </w:t>
      </w:r>
      <w:r w:rsidR="00077B74" w:rsidRPr="00FD211F">
        <w:rPr>
          <w:sz w:val="36"/>
          <w:szCs w:val="36"/>
          <w:rtl/>
        </w:rPr>
        <w:t>ككون ال</w:t>
      </w:r>
      <w:r w:rsidR="00251CB6" w:rsidRPr="00FD211F">
        <w:rPr>
          <w:sz w:val="36"/>
          <w:szCs w:val="36"/>
          <w:rtl/>
        </w:rPr>
        <w:t xml:space="preserve">شيء </w:t>
      </w:r>
      <w:r w:rsidR="00077B74" w:rsidRPr="00FD211F">
        <w:rPr>
          <w:sz w:val="36"/>
          <w:szCs w:val="36"/>
          <w:rtl/>
        </w:rPr>
        <w:t>في المكان اوفي الزمان او</w:t>
      </w:r>
      <w:r w:rsidR="00DF0A11">
        <w:rPr>
          <w:rFonts w:hint="cs"/>
          <w:sz w:val="36"/>
          <w:szCs w:val="36"/>
          <w:rtl/>
        </w:rPr>
        <w:t xml:space="preserve"> </w:t>
      </w:r>
      <w:r w:rsidR="00077B74" w:rsidRPr="00FD211F">
        <w:rPr>
          <w:sz w:val="36"/>
          <w:szCs w:val="36"/>
          <w:rtl/>
        </w:rPr>
        <w:t>غير</w:t>
      </w:r>
      <w:r w:rsidR="00DF0A11">
        <w:rPr>
          <w:rFonts w:hint="cs"/>
          <w:sz w:val="36"/>
          <w:szCs w:val="36"/>
          <w:rtl/>
        </w:rPr>
        <w:t xml:space="preserve"> </w:t>
      </w:r>
      <w:r w:rsidR="00077B74" w:rsidRPr="00FD211F">
        <w:rPr>
          <w:sz w:val="36"/>
          <w:szCs w:val="36"/>
          <w:rtl/>
        </w:rPr>
        <w:t>ذلك</w:t>
      </w:r>
      <w:r w:rsidR="009C58C8" w:rsidRPr="00FD211F">
        <w:rPr>
          <w:rStyle w:val="a6"/>
          <w:sz w:val="36"/>
          <w:szCs w:val="36"/>
          <w:rtl/>
        </w:rPr>
        <w:t>(</w:t>
      </w:r>
      <w:r w:rsidR="009C58C8" w:rsidRPr="00FD211F">
        <w:rPr>
          <w:rStyle w:val="a6"/>
          <w:sz w:val="36"/>
          <w:szCs w:val="36"/>
          <w:rtl/>
        </w:rPr>
        <w:footnoteReference w:id="167"/>
      </w:r>
      <w:r w:rsidR="009C58C8" w:rsidRPr="00FD211F">
        <w:rPr>
          <w:rStyle w:val="a6"/>
          <w:sz w:val="36"/>
          <w:szCs w:val="36"/>
          <w:rtl/>
        </w:rPr>
        <w:t>)</w:t>
      </w:r>
      <w:r w:rsidR="00DF0A11">
        <w:rPr>
          <w:rFonts w:hint="cs"/>
          <w:sz w:val="36"/>
          <w:szCs w:val="36"/>
          <w:rtl/>
        </w:rPr>
        <w:t xml:space="preserve"> </w:t>
      </w:r>
      <w:r w:rsidR="007F5659" w:rsidRPr="00FD211F">
        <w:rPr>
          <w:sz w:val="36"/>
          <w:szCs w:val="36"/>
          <w:rtl/>
        </w:rPr>
        <w:t>و</w:t>
      </w:r>
      <w:r w:rsidR="00DF0A11">
        <w:rPr>
          <w:rFonts w:hint="cs"/>
          <w:sz w:val="36"/>
          <w:szCs w:val="36"/>
          <w:rtl/>
        </w:rPr>
        <w:t xml:space="preserve"> </w:t>
      </w:r>
      <w:r w:rsidR="007F5659" w:rsidRPr="00FD211F">
        <w:rPr>
          <w:sz w:val="36"/>
          <w:szCs w:val="36"/>
          <w:rtl/>
        </w:rPr>
        <w:t>عليه فالاشكالات الثلاث</w:t>
      </w:r>
      <w:r w:rsidR="00EC7EDF" w:rsidRPr="00FD211F">
        <w:rPr>
          <w:sz w:val="36"/>
          <w:szCs w:val="36"/>
          <w:rtl/>
        </w:rPr>
        <w:t xml:space="preserve">ة </w:t>
      </w:r>
      <w:r w:rsidR="007F5659" w:rsidRPr="00FD211F">
        <w:rPr>
          <w:sz w:val="36"/>
          <w:szCs w:val="36"/>
          <w:rtl/>
        </w:rPr>
        <w:t>مندفع</w:t>
      </w:r>
      <w:r w:rsidR="00EC7EDF" w:rsidRPr="00FD211F">
        <w:rPr>
          <w:sz w:val="36"/>
          <w:szCs w:val="36"/>
          <w:rtl/>
        </w:rPr>
        <w:t xml:space="preserve">ة </w:t>
      </w:r>
      <w:r w:rsidR="007F5659" w:rsidRPr="00FD211F">
        <w:rPr>
          <w:sz w:val="36"/>
          <w:szCs w:val="36"/>
          <w:rtl/>
        </w:rPr>
        <w:t>من اصلها.</w:t>
      </w:r>
    </w:p>
    <w:p w14:paraId="0EEABC60" w14:textId="77777777" w:rsidR="007F5659" w:rsidRPr="00FD211F" w:rsidRDefault="007F5659" w:rsidP="009C58C8">
      <w:pPr>
        <w:ind w:left="0" w:firstLine="227"/>
        <w:jc w:val="both"/>
        <w:rPr>
          <w:sz w:val="36"/>
          <w:szCs w:val="36"/>
          <w:rtl/>
        </w:rPr>
      </w:pPr>
      <w:r w:rsidRPr="00FD211F">
        <w:rPr>
          <w:sz w:val="36"/>
          <w:szCs w:val="36"/>
          <w:rtl/>
        </w:rPr>
        <w:t>ولو كان مقصود المحقق الاصفهاني</w:t>
      </w:r>
      <w:r w:rsidR="00AD2CCA" w:rsidRPr="00FD211F">
        <w:rPr>
          <w:sz w:val="36"/>
          <w:szCs w:val="36"/>
          <w:rtl/>
        </w:rPr>
        <w:t>"قده"</w:t>
      </w:r>
      <w:r w:rsidRPr="00FD211F">
        <w:rPr>
          <w:sz w:val="36"/>
          <w:szCs w:val="36"/>
          <w:rtl/>
        </w:rPr>
        <w:t xml:space="preserve"> وضع ال</w:t>
      </w:r>
      <w:r w:rsidR="00AD2CCA" w:rsidRPr="00FD211F">
        <w:rPr>
          <w:sz w:val="36"/>
          <w:szCs w:val="36"/>
          <w:rtl/>
        </w:rPr>
        <w:t>حروف للوجود الرابط الخارجي ورد</w:t>
      </w:r>
      <w:r w:rsidRPr="00FD211F">
        <w:rPr>
          <w:sz w:val="36"/>
          <w:szCs w:val="36"/>
          <w:rtl/>
        </w:rPr>
        <w:t xml:space="preserve"> عليه اشكالات اشدّ من ذلك</w:t>
      </w:r>
      <w:r w:rsidR="00603323" w:rsidRPr="00FD211F">
        <w:rPr>
          <w:sz w:val="36"/>
          <w:szCs w:val="36"/>
          <w:rtl/>
        </w:rPr>
        <w:t xml:space="preserve">، </w:t>
      </w:r>
      <w:r w:rsidRPr="00FD211F">
        <w:rPr>
          <w:sz w:val="36"/>
          <w:szCs w:val="36"/>
          <w:rtl/>
        </w:rPr>
        <w:t>لعدم تصور وجود رابط خارجي في القضي</w:t>
      </w:r>
      <w:r w:rsidR="00EC7EDF" w:rsidRPr="00FD211F">
        <w:rPr>
          <w:sz w:val="36"/>
          <w:szCs w:val="36"/>
          <w:rtl/>
        </w:rPr>
        <w:t xml:space="preserve">ة </w:t>
      </w:r>
      <w:r w:rsidRPr="00FD211F">
        <w:rPr>
          <w:sz w:val="36"/>
          <w:szCs w:val="36"/>
          <w:rtl/>
        </w:rPr>
        <w:t>السالب</w:t>
      </w:r>
      <w:r w:rsidR="00EC7EDF" w:rsidRPr="00FD211F">
        <w:rPr>
          <w:sz w:val="36"/>
          <w:szCs w:val="36"/>
          <w:rtl/>
        </w:rPr>
        <w:t xml:space="preserve">ة </w:t>
      </w:r>
      <w:r w:rsidRPr="00FD211F">
        <w:rPr>
          <w:sz w:val="36"/>
          <w:szCs w:val="36"/>
          <w:rtl/>
        </w:rPr>
        <w:t>كقولنا زيد ليس في الدار او لارجل في الدار</w:t>
      </w:r>
      <w:r w:rsidR="00603323" w:rsidRPr="00FD211F">
        <w:rPr>
          <w:sz w:val="36"/>
          <w:szCs w:val="36"/>
          <w:rtl/>
        </w:rPr>
        <w:t xml:space="preserve">، </w:t>
      </w:r>
      <w:r w:rsidRPr="00FD211F">
        <w:rPr>
          <w:sz w:val="36"/>
          <w:szCs w:val="36"/>
          <w:rtl/>
        </w:rPr>
        <w:t>وكذا قولنا العدم ثابت للعنقاء والامتناع ثابت للدور</w:t>
      </w:r>
      <w:r w:rsidR="00603323" w:rsidRPr="00FD211F">
        <w:rPr>
          <w:sz w:val="36"/>
          <w:szCs w:val="36"/>
          <w:rtl/>
        </w:rPr>
        <w:t xml:space="preserve">، </w:t>
      </w:r>
      <w:r w:rsidRPr="00FD211F">
        <w:rPr>
          <w:sz w:val="36"/>
          <w:szCs w:val="36"/>
          <w:rtl/>
        </w:rPr>
        <w:t>بل يلزم كون الإخبار الكاذب بكون زيد في الدار مهملا ل</w:t>
      </w:r>
      <w:r w:rsidR="0064462F" w:rsidRPr="00FD211F">
        <w:rPr>
          <w:sz w:val="36"/>
          <w:szCs w:val="36"/>
          <w:rtl/>
        </w:rPr>
        <w:t>انتفاء</w:t>
      </w:r>
      <w:r w:rsidRPr="00FD211F">
        <w:rPr>
          <w:sz w:val="36"/>
          <w:szCs w:val="36"/>
          <w:rtl/>
        </w:rPr>
        <w:t xml:space="preserve"> معناه وهو الوجود الرابط الخارجي</w:t>
      </w:r>
      <w:r w:rsidR="00603323" w:rsidRPr="00FD211F">
        <w:rPr>
          <w:sz w:val="36"/>
          <w:szCs w:val="36"/>
          <w:rtl/>
        </w:rPr>
        <w:t xml:space="preserve">، </w:t>
      </w:r>
      <w:r w:rsidRPr="00FD211F">
        <w:rPr>
          <w:sz w:val="36"/>
          <w:szCs w:val="36"/>
          <w:rtl/>
        </w:rPr>
        <w:t>وهذا واضح البطلان.</w:t>
      </w:r>
    </w:p>
    <w:p w14:paraId="5E4969B1" w14:textId="77777777" w:rsidR="007F5659" w:rsidRPr="00FD211F" w:rsidRDefault="007F5659" w:rsidP="009E2E30">
      <w:pPr>
        <w:ind w:left="0" w:firstLine="227"/>
        <w:jc w:val="both"/>
        <w:rPr>
          <w:sz w:val="36"/>
          <w:szCs w:val="36"/>
          <w:rtl/>
        </w:rPr>
      </w:pPr>
      <w:r w:rsidRPr="00FD211F">
        <w:rPr>
          <w:sz w:val="36"/>
          <w:szCs w:val="36"/>
          <w:rtl/>
        </w:rPr>
        <w:t>هذا ولابأس ان نذكر باختصار ما هو المختار حول ثبوت الوجود الرابط في الخارج فنقول: انه لادليل على ثبوت الوجود الرابط بين العرض ومحله</w:t>
      </w:r>
      <w:r w:rsidR="00603323" w:rsidRPr="00FD211F">
        <w:rPr>
          <w:sz w:val="36"/>
          <w:szCs w:val="36"/>
          <w:rtl/>
        </w:rPr>
        <w:t xml:space="preserve">، </w:t>
      </w:r>
      <w:r w:rsidRPr="00FD211F">
        <w:rPr>
          <w:sz w:val="36"/>
          <w:szCs w:val="36"/>
          <w:rtl/>
        </w:rPr>
        <w:t>فان وجود العرض سنخ وجود متقوم بم</w:t>
      </w:r>
      <w:r w:rsidR="0064462F" w:rsidRPr="00FD211F">
        <w:rPr>
          <w:sz w:val="36"/>
          <w:szCs w:val="36"/>
          <w:rtl/>
        </w:rPr>
        <w:t>حله</w:t>
      </w:r>
      <w:r w:rsidR="00603323" w:rsidRPr="00FD211F">
        <w:rPr>
          <w:sz w:val="36"/>
          <w:szCs w:val="36"/>
          <w:rtl/>
        </w:rPr>
        <w:t xml:space="preserve">، </w:t>
      </w:r>
      <w:r w:rsidRPr="00FD211F">
        <w:rPr>
          <w:sz w:val="36"/>
          <w:szCs w:val="36"/>
          <w:rtl/>
        </w:rPr>
        <w:t>فلاحاج</w:t>
      </w:r>
      <w:r w:rsidR="00EC7EDF" w:rsidRPr="00FD211F">
        <w:rPr>
          <w:sz w:val="36"/>
          <w:szCs w:val="36"/>
          <w:rtl/>
        </w:rPr>
        <w:t xml:space="preserve">ة </w:t>
      </w:r>
      <w:r w:rsidRPr="00FD211F">
        <w:rPr>
          <w:sz w:val="36"/>
          <w:szCs w:val="36"/>
          <w:rtl/>
        </w:rPr>
        <w:t>الى وجود رابط يربط بينهما</w:t>
      </w:r>
      <w:r w:rsidR="00603323" w:rsidRPr="00FD211F">
        <w:rPr>
          <w:sz w:val="36"/>
          <w:szCs w:val="36"/>
          <w:rtl/>
        </w:rPr>
        <w:t xml:space="preserve">، </w:t>
      </w:r>
      <w:r w:rsidRPr="00FD211F">
        <w:rPr>
          <w:sz w:val="36"/>
          <w:szCs w:val="36"/>
          <w:rtl/>
        </w:rPr>
        <w:t>نعم الربط بين العرض ومحله ثابت في عالم الواقع الذي هو اوسع من عالم الوجود</w:t>
      </w:r>
      <w:r w:rsidR="00603323" w:rsidRPr="00FD211F">
        <w:rPr>
          <w:sz w:val="36"/>
          <w:szCs w:val="36"/>
          <w:rtl/>
        </w:rPr>
        <w:t xml:space="preserve">، </w:t>
      </w:r>
      <w:r w:rsidR="00773413" w:rsidRPr="00FD211F">
        <w:rPr>
          <w:sz w:val="36"/>
          <w:szCs w:val="36"/>
          <w:rtl/>
        </w:rPr>
        <w:t>والشاهد</w:t>
      </w:r>
      <w:r w:rsidR="009E2E30" w:rsidRPr="00FD211F">
        <w:rPr>
          <w:sz w:val="36"/>
          <w:szCs w:val="36"/>
          <w:rtl/>
        </w:rPr>
        <w:t xml:space="preserve"> </w:t>
      </w:r>
      <w:r w:rsidR="00773413" w:rsidRPr="00FD211F">
        <w:rPr>
          <w:sz w:val="36"/>
          <w:szCs w:val="36"/>
          <w:rtl/>
        </w:rPr>
        <w:t>على ان عالم الواقع اوسع من عالم الوجود انه يصح ان يقال</w:t>
      </w:r>
      <w:r w:rsidR="009E2E30" w:rsidRPr="00FD211F">
        <w:rPr>
          <w:sz w:val="36"/>
          <w:szCs w:val="36"/>
          <w:rtl/>
        </w:rPr>
        <w:t xml:space="preserve"> </w:t>
      </w:r>
      <w:r w:rsidR="00773413" w:rsidRPr="00FD211F">
        <w:rPr>
          <w:sz w:val="36"/>
          <w:szCs w:val="36"/>
          <w:rtl/>
        </w:rPr>
        <w:t>"</w:t>
      </w:r>
      <w:r w:rsidRPr="00FD211F">
        <w:rPr>
          <w:sz w:val="36"/>
          <w:szCs w:val="36"/>
          <w:rtl/>
        </w:rPr>
        <w:t>عدم العنقاء له واقعي</w:t>
      </w:r>
      <w:r w:rsidR="00EC7EDF" w:rsidRPr="00FD211F">
        <w:rPr>
          <w:sz w:val="36"/>
          <w:szCs w:val="36"/>
          <w:rtl/>
        </w:rPr>
        <w:t>ة</w:t>
      </w:r>
      <w:r w:rsidR="00773413" w:rsidRPr="00FD211F">
        <w:rPr>
          <w:sz w:val="36"/>
          <w:szCs w:val="36"/>
          <w:rtl/>
        </w:rPr>
        <w:t>"</w:t>
      </w:r>
      <w:r w:rsidRPr="00FD211F">
        <w:rPr>
          <w:sz w:val="36"/>
          <w:szCs w:val="36"/>
          <w:rtl/>
        </w:rPr>
        <w:t xml:space="preserve"> ولا</w:t>
      </w:r>
      <w:r w:rsidR="00773413" w:rsidRPr="00FD211F">
        <w:rPr>
          <w:sz w:val="36"/>
          <w:szCs w:val="36"/>
          <w:rtl/>
        </w:rPr>
        <w:t xml:space="preserve">يصح ان </w:t>
      </w:r>
      <w:r w:rsidRPr="00FD211F">
        <w:rPr>
          <w:sz w:val="36"/>
          <w:szCs w:val="36"/>
          <w:rtl/>
        </w:rPr>
        <w:t xml:space="preserve">يقال </w:t>
      </w:r>
      <w:r w:rsidR="00773413" w:rsidRPr="00FD211F">
        <w:rPr>
          <w:sz w:val="36"/>
          <w:szCs w:val="36"/>
          <w:rtl/>
        </w:rPr>
        <w:t>"</w:t>
      </w:r>
      <w:r w:rsidRPr="00FD211F">
        <w:rPr>
          <w:sz w:val="36"/>
          <w:szCs w:val="36"/>
          <w:rtl/>
        </w:rPr>
        <w:t>عدم العنقاء له وجود</w:t>
      </w:r>
      <w:r w:rsidR="00773413" w:rsidRPr="00FD211F">
        <w:rPr>
          <w:sz w:val="36"/>
          <w:szCs w:val="36"/>
          <w:rtl/>
        </w:rPr>
        <w:t>"</w:t>
      </w:r>
      <w:r w:rsidR="009E2E30" w:rsidRPr="00FD211F">
        <w:rPr>
          <w:sz w:val="36"/>
          <w:szCs w:val="36"/>
          <w:rtl/>
        </w:rPr>
        <w:t xml:space="preserve"> </w:t>
      </w:r>
      <w:r w:rsidR="00773413" w:rsidRPr="00FD211F">
        <w:rPr>
          <w:sz w:val="36"/>
          <w:szCs w:val="36"/>
          <w:rtl/>
        </w:rPr>
        <w:t>كما</w:t>
      </w:r>
      <w:r w:rsidR="00FA7964" w:rsidRPr="00FD211F">
        <w:rPr>
          <w:sz w:val="36"/>
          <w:szCs w:val="36"/>
          <w:rtl/>
        </w:rPr>
        <w:t xml:space="preserve"> </w:t>
      </w:r>
      <w:r w:rsidR="00773413" w:rsidRPr="00FD211F">
        <w:rPr>
          <w:sz w:val="36"/>
          <w:szCs w:val="36"/>
          <w:rtl/>
        </w:rPr>
        <w:t>ان صدق قولنا "اجتماع النقيضين ممتنع"</w:t>
      </w:r>
      <w:r w:rsidR="009E2E30" w:rsidRPr="00FD211F">
        <w:rPr>
          <w:sz w:val="36"/>
          <w:szCs w:val="36"/>
          <w:rtl/>
        </w:rPr>
        <w:t xml:space="preserve"> </w:t>
      </w:r>
      <w:r w:rsidR="00773413" w:rsidRPr="00FD211F">
        <w:rPr>
          <w:sz w:val="36"/>
          <w:szCs w:val="36"/>
          <w:rtl/>
        </w:rPr>
        <w:t>يكون بلحاظ مطابقته مع عالم الواقع</w:t>
      </w:r>
      <w:r w:rsidR="00447EBE" w:rsidRPr="00FD211F">
        <w:rPr>
          <w:sz w:val="36"/>
          <w:szCs w:val="36"/>
          <w:rtl/>
        </w:rPr>
        <w:t>،</w:t>
      </w:r>
      <w:r w:rsidR="00B253CE" w:rsidRPr="00FD211F">
        <w:rPr>
          <w:sz w:val="36"/>
          <w:szCs w:val="36"/>
          <w:rtl/>
        </w:rPr>
        <w:t xml:space="preserve"> </w:t>
      </w:r>
      <w:r w:rsidRPr="00FD211F">
        <w:rPr>
          <w:sz w:val="36"/>
          <w:szCs w:val="36"/>
          <w:rtl/>
        </w:rPr>
        <w:t>و</w:t>
      </w:r>
      <w:r w:rsidR="00773413" w:rsidRPr="00FD211F">
        <w:rPr>
          <w:sz w:val="36"/>
          <w:szCs w:val="36"/>
          <w:rtl/>
        </w:rPr>
        <w:t>حينئذ</w:t>
      </w:r>
      <w:r w:rsidR="00FA7964" w:rsidRPr="00FD211F">
        <w:rPr>
          <w:sz w:val="36"/>
          <w:szCs w:val="36"/>
          <w:rtl/>
        </w:rPr>
        <w:t xml:space="preserve"> </w:t>
      </w:r>
      <w:r w:rsidR="00773413" w:rsidRPr="00FD211F">
        <w:rPr>
          <w:sz w:val="36"/>
          <w:szCs w:val="36"/>
          <w:rtl/>
        </w:rPr>
        <w:t xml:space="preserve">فنقول </w:t>
      </w:r>
      <w:r w:rsidRPr="00FD211F">
        <w:rPr>
          <w:sz w:val="36"/>
          <w:szCs w:val="36"/>
          <w:rtl/>
        </w:rPr>
        <w:t xml:space="preserve">ارتباط العرض بمحله </w:t>
      </w:r>
      <w:r w:rsidR="0064462F" w:rsidRPr="00FD211F">
        <w:rPr>
          <w:sz w:val="36"/>
          <w:szCs w:val="36"/>
          <w:rtl/>
        </w:rPr>
        <w:t>ليس له وجود وانما له واقعي</w:t>
      </w:r>
      <w:r w:rsidR="00EC7EDF" w:rsidRPr="00FD211F">
        <w:rPr>
          <w:sz w:val="36"/>
          <w:szCs w:val="36"/>
          <w:rtl/>
        </w:rPr>
        <w:t>ة</w:t>
      </w:r>
      <w:r w:rsidR="00603323" w:rsidRPr="00FD211F">
        <w:rPr>
          <w:sz w:val="36"/>
          <w:szCs w:val="36"/>
          <w:rtl/>
        </w:rPr>
        <w:t xml:space="preserve">، </w:t>
      </w:r>
      <w:r w:rsidR="00C06850" w:rsidRPr="00FD211F">
        <w:rPr>
          <w:sz w:val="36"/>
          <w:szCs w:val="36"/>
          <w:rtl/>
        </w:rPr>
        <w:t>وهذا</w:t>
      </w:r>
      <w:r w:rsidR="00FA7964" w:rsidRPr="00FD211F">
        <w:rPr>
          <w:sz w:val="36"/>
          <w:szCs w:val="36"/>
          <w:rtl/>
        </w:rPr>
        <w:t xml:space="preserve"> </w:t>
      </w:r>
      <w:r w:rsidR="00C06850" w:rsidRPr="00FD211F">
        <w:rPr>
          <w:sz w:val="36"/>
          <w:szCs w:val="36"/>
          <w:rtl/>
        </w:rPr>
        <w:t>الارتباط يكون ثابتا</w:t>
      </w:r>
      <w:r w:rsidR="00FA7964" w:rsidRPr="00FD211F">
        <w:rPr>
          <w:sz w:val="36"/>
          <w:szCs w:val="36"/>
          <w:rtl/>
        </w:rPr>
        <w:t xml:space="preserve"> </w:t>
      </w:r>
      <w:r w:rsidR="00C06850" w:rsidRPr="00FD211F">
        <w:rPr>
          <w:sz w:val="36"/>
          <w:szCs w:val="36"/>
          <w:rtl/>
        </w:rPr>
        <w:t>في عالم الواقع بين المحمول والموضوع حتى في الممتنعات</w:t>
      </w:r>
      <w:r w:rsidR="00603323" w:rsidRPr="00FD211F">
        <w:rPr>
          <w:sz w:val="36"/>
          <w:szCs w:val="36"/>
          <w:rtl/>
        </w:rPr>
        <w:t xml:space="preserve">، </w:t>
      </w:r>
      <w:r w:rsidRPr="00FD211F">
        <w:rPr>
          <w:sz w:val="36"/>
          <w:szCs w:val="36"/>
          <w:rtl/>
        </w:rPr>
        <w:t>فيقال</w:t>
      </w:r>
      <w:r w:rsidR="009E2E30" w:rsidRPr="00FD211F">
        <w:rPr>
          <w:sz w:val="36"/>
          <w:szCs w:val="36"/>
          <w:rtl/>
        </w:rPr>
        <w:t xml:space="preserve"> </w:t>
      </w:r>
      <w:r w:rsidR="00C06850" w:rsidRPr="00FD211F">
        <w:rPr>
          <w:sz w:val="36"/>
          <w:szCs w:val="36"/>
          <w:rtl/>
        </w:rPr>
        <w:t>"</w:t>
      </w:r>
      <w:r w:rsidRPr="00FD211F">
        <w:rPr>
          <w:sz w:val="36"/>
          <w:szCs w:val="36"/>
          <w:rtl/>
        </w:rPr>
        <w:t>ثبوت الامتناع لاجتماع النقيضين بديهي</w:t>
      </w:r>
      <w:r w:rsidR="00C06850" w:rsidRPr="00FD211F">
        <w:rPr>
          <w:sz w:val="36"/>
          <w:szCs w:val="36"/>
          <w:rtl/>
        </w:rPr>
        <w:t>"</w:t>
      </w:r>
      <w:r w:rsidRPr="00FD211F">
        <w:rPr>
          <w:sz w:val="36"/>
          <w:szCs w:val="36"/>
          <w:rtl/>
        </w:rPr>
        <w:t>.</w:t>
      </w:r>
    </w:p>
    <w:p w14:paraId="41689BB2" w14:textId="77777777" w:rsidR="00703B6C" w:rsidRPr="00FD211F" w:rsidRDefault="006804B8" w:rsidP="009C58C8">
      <w:pPr>
        <w:ind w:left="0" w:firstLine="227"/>
        <w:jc w:val="both"/>
        <w:rPr>
          <w:sz w:val="36"/>
          <w:szCs w:val="36"/>
          <w:rtl/>
        </w:rPr>
      </w:pPr>
      <w:r w:rsidRPr="00FD211F">
        <w:rPr>
          <w:sz w:val="36"/>
          <w:szCs w:val="36"/>
          <w:rtl/>
        </w:rPr>
        <w:t>نعم بالنسب</w:t>
      </w:r>
      <w:r w:rsidR="00EC7EDF" w:rsidRPr="00FD211F">
        <w:rPr>
          <w:sz w:val="36"/>
          <w:szCs w:val="36"/>
          <w:rtl/>
        </w:rPr>
        <w:t xml:space="preserve">ة </w:t>
      </w:r>
      <w:r w:rsidRPr="00FD211F">
        <w:rPr>
          <w:sz w:val="36"/>
          <w:szCs w:val="36"/>
          <w:rtl/>
        </w:rPr>
        <w:t xml:space="preserve">الى </w:t>
      </w:r>
      <w:r w:rsidR="007F5659" w:rsidRPr="00FD211F">
        <w:rPr>
          <w:sz w:val="36"/>
          <w:szCs w:val="36"/>
          <w:rtl/>
        </w:rPr>
        <w:t>الاعراض النسبي</w:t>
      </w:r>
      <w:r w:rsidR="00EC7EDF" w:rsidRPr="00FD211F">
        <w:rPr>
          <w:sz w:val="36"/>
          <w:szCs w:val="36"/>
          <w:rtl/>
        </w:rPr>
        <w:t xml:space="preserve">ة </w:t>
      </w:r>
      <w:r w:rsidR="007F5659" w:rsidRPr="00FD211F">
        <w:rPr>
          <w:sz w:val="36"/>
          <w:szCs w:val="36"/>
          <w:rtl/>
        </w:rPr>
        <w:t>فقد ذكر</w:t>
      </w:r>
      <w:r w:rsidRPr="00FD211F">
        <w:rPr>
          <w:sz w:val="36"/>
          <w:szCs w:val="36"/>
          <w:rtl/>
        </w:rPr>
        <w:t>وا</w:t>
      </w:r>
      <w:r w:rsidR="00FA7964" w:rsidRPr="00FD211F">
        <w:rPr>
          <w:sz w:val="36"/>
          <w:szCs w:val="36"/>
          <w:rtl/>
        </w:rPr>
        <w:t xml:space="preserve"> </w:t>
      </w:r>
      <w:r w:rsidR="00703B6C" w:rsidRPr="00FD211F">
        <w:rPr>
          <w:sz w:val="36"/>
          <w:szCs w:val="36"/>
          <w:rtl/>
        </w:rPr>
        <w:t xml:space="preserve">في </w:t>
      </w:r>
      <w:r w:rsidR="008A3272" w:rsidRPr="00FD211F">
        <w:rPr>
          <w:sz w:val="36"/>
          <w:szCs w:val="36"/>
          <w:rtl/>
        </w:rPr>
        <w:t>ا</w:t>
      </w:r>
      <w:r w:rsidR="00703B6C" w:rsidRPr="00FD211F">
        <w:rPr>
          <w:sz w:val="36"/>
          <w:szCs w:val="36"/>
          <w:rtl/>
        </w:rPr>
        <w:t>لفلسف</w:t>
      </w:r>
      <w:r w:rsidR="00EC7EDF" w:rsidRPr="00FD211F">
        <w:rPr>
          <w:sz w:val="36"/>
          <w:szCs w:val="36"/>
          <w:rtl/>
        </w:rPr>
        <w:t xml:space="preserve">ة </w:t>
      </w:r>
      <w:r w:rsidR="007F5659" w:rsidRPr="00FD211F">
        <w:rPr>
          <w:sz w:val="36"/>
          <w:szCs w:val="36"/>
          <w:rtl/>
        </w:rPr>
        <w:t>بانه</w:t>
      </w:r>
      <w:r w:rsidR="008A3272" w:rsidRPr="00FD211F">
        <w:rPr>
          <w:sz w:val="36"/>
          <w:szCs w:val="36"/>
          <w:rtl/>
        </w:rPr>
        <w:t>ا ناشئ</w:t>
      </w:r>
      <w:r w:rsidR="00EC7EDF" w:rsidRPr="00FD211F">
        <w:rPr>
          <w:sz w:val="36"/>
          <w:szCs w:val="36"/>
          <w:rtl/>
        </w:rPr>
        <w:t xml:space="preserve">ة </w:t>
      </w:r>
      <w:r w:rsidR="008A3272" w:rsidRPr="00FD211F">
        <w:rPr>
          <w:sz w:val="36"/>
          <w:szCs w:val="36"/>
          <w:rtl/>
        </w:rPr>
        <w:t xml:space="preserve">من </w:t>
      </w:r>
      <w:r w:rsidR="00197AE2" w:rsidRPr="00FD211F">
        <w:rPr>
          <w:sz w:val="36"/>
          <w:szCs w:val="36"/>
          <w:rtl/>
        </w:rPr>
        <w:t>النسب</w:t>
      </w:r>
      <w:r w:rsidR="00EC7EDF" w:rsidRPr="00FD211F">
        <w:rPr>
          <w:sz w:val="36"/>
          <w:szCs w:val="36"/>
          <w:rtl/>
        </w:rPr>
        <w:t xml:space="preserve">ة </w:t>
      </w:r>
      <w:r w:rsidR="00197AE2" w:rsidRPr="00FD211F">
        <w:rPr>
          <w:sz w:val="36"/>
          <w:szCs w:val="36"/>
          <w:rtl/>
        </w:rPr>
        <w:t>الخارجي</w:t>
      </w:r>
      <w:r w:rsidR="00EC7EDF" w:rsidRPr="00FD211F">
        <w:rPr>
          <w:sz w:val="36"/>
          <w:szCs w:val="36"/>
          <w:rtl/>
        </w:rPr>
        <w:t xml:space="preserve">ة </w:t>
      </w:r>
      <w:r w:rsidR="00197AE2" w:rsidRPr="00FD211F">
        <w:rPr>
          <w:sz w:val="36"/>
          <w:szCs w:val="36"/>
          <w:rtl/>
        </w:rPr>
        <w:t xml:space="preserve">بين </w:t>
      </w:r>
      <w:r w:rsidR="008A3272" w:rsidRPr="00FD211F">
        <w:rPr>
          <w:sz w:val="36"/>
          <w:szCs w:val="36"/>
          <w:rtl/>
        </w:rPr>
        <w:t>شيئين</w:t>
      </w:r>
      <w:r w:rsidR="00603323" w:rsidRPr="00FD211F">
        <w:rPr>
          <w:sz w:val="36"/>
          <w:szCs w:val="36"/>
          <w:rtl/>
        </w:rPr>
        <w:t xml:space="preserve">، </w:t>
      </w:r>
      <w:r w:rsidR="008A3272" w:rsidRPr="00FD211F">
        <w:rPr>
          <w:sz w:val="36"/>
          <w:szCs w:val="36"/>
          <w:rtl/>
        </w:rPr>
        <w:t>فعرض الاين مثلا</w:t>
      </w:r>
      <w:r w:rsidR="009E2E30" w:rsidRPr="00FD211F">
        <w:rPr>
          <w:sz w:val="36"/>
          <w:szCs w:val="36"/>
          <w:rtl/>
        </w:rPr>
        <w:t xml:space="preserve"> </w:t>
      </w:r>
      <w:r w:rsidR="008A3272" w:rsidRPr="00FD211F">
        <w:rPr>
          <w:sz w:val="36"/>
          <w:szCs w:val="36"/>
          <w:rtl/>
        </w:rPr>
        <w:t>يكون ناشئا</w:t>
      </w:r>
      <w:r w:rsidR="00703B6C" w:rsidRPr="00FD211F">
        <w:rPr>
          <w:sz w:val="36"/>
          <w:szCs w:val="36"/>
          <w:rtl/>
        </w:rPr>
        <w:t xml:space="preserve"> </w:t>
      </w:r>
      <w:r w:rsidR="008A3272" w:rsidRPr="00FD211F">
        <w:rPr>
          <w:sz w:val="36"/>
          <w:szCs w:val="36"/>
          <w:rtl/>
        </w:rPr>
        <w:t>من النسب</w:t>
      </w:r>
      <w:r w:rsidR="00EC7EDF" w:rsidRPr="00FD211F">
        <w:rPr>
          <w:sz w:val="36"/>
          <w:szCs w:val="36"/>
          <w:rtl/>
        </w:rPr>
        <w:t xml:space="preserve">ة </w:t>
      </w:r>
      <w:r w:rsidR="008A3272" w:rsidRPr="00FD211F">
        <w:rPr>
          <w:sz w:val="36"/>
          <w:szCs w:val="36"/>
          <w:rtl/>
        </w:rPr>
        <w:t>الظرفي</w:t>
      </w:r>
      <w:r w:rsidR="00EC7EDF" w:rsidRPr="00FD211F">
        <w:rPr>
          <w:sz w:val="36"/>
          <w:szCs w:val="36"/>
          <w:rtl/>
        </w:rPr>
        <w:t xml:space="preserve">ة </w:t>
      </w:r>
      <w:r w:rsidR="008A3272" w:rsidRPr="00FD211F">
        <w:rPr>
          <w:sz w:val="36"/>
          <w:szCs w:val="36"/>
          <w:rtl/>
        </w:rPr>
        <w:t>الخارجي</w:t>
      </w:r>
      <w:r w:rsidR="00EC7EDF" w:rsidRPr="00FD211F">
        <w:rPr>
          <w:sz w:val="36"/>
          <w:szCs w:val="36"/>
          <w:rtl/>
        </w:rPr>
        <w:t xml:space="preserve">ة </w:t>
      </w:r>
      <w:r w:rsidR="008A3272" w:rsidRPr="00FD211F">
        <w:rPr>
          <w:sz w:val="36"/>
          <w:szCs w:val="36"/>
          <w:rtl/>
        </w:rPr>
        <w:t xml:space="preserve">بين </w:t>
      </w:r>
      <w:r w:rsidR="00197AE2" w:rsidRPr="00FD211F">
        <w:rPr>
          <w:sz w:val="36"/>
          <w:szCs w:val="36"/>
          <w:rtl/>
        </w:rPr>
        <w:t xml:space="preserve">زيد وبين </w:t>
      </w:r>
      <w:r w:rsidR="007F5659" w:rsidRPr="00FD211F">
        <w:rPr>
          <w:sz w:val="36"/>
          <w:szCs w:val="36"/>
          <w:rtl/>
        </w:rPr>
        <w:t>الدار</w:t>
      </w:r>
      <w:r w:rsidR="00703B6C" w:rsidRPr="00FD211F">
        <w:rPr>
          <w:sz w:val="36"/>
          <w:szCs w:val="36"/>
          <w:rtl/>
        </w:rPr>
        <w:t xml:space="preserve"> فيحصل من هذه النسب</w:t>
      </w:r>
      <w:r w:rsidR="00EC7EDF" w:rsidRPr="00FD211F">
        <w:rPr>
          <w:sz w:val="36"/>
          <w:szCs w:val="36"/>
          <w:rtl/>
        </w:rPr>
        <w:t xml:space="preserve">ة </w:t>
      </w:r>
      <w:r w:rsidR="00703B6C" w:rsidRPr="00FD211F">
        <w:rPr>
          <w:sz w:val="36"/>
          <w:szCs w:val="36"/>
          <w:rtl/>
        </w:rPr>
        <w:t>هيئ</w:t>
      </w:r>
      <w:r w:rsidR="00EC7EDF" w:rsidRPr="00FD211F">
        <w:rPr>
          <w:sz w:val="36"/>
          <w:szCs w:val="36"/>
          <w:rtl/>
        </w:rPr>
        <w:t xml:space="preserve">ة </w:t>
      </w:r>
      <w:r w:rsidR="007F5659" w:rsidRPr="00FD211F">
        <w:rPr>
          <w:sz w:val="36"/>
          <w:szCs w:val="36"/>
          <w:rtl/>
        </w:rPr>
        <w:t>قائم</w:t>
      </w:r>
      <w:r w:rsidR="00EC7EDF" w:rsidRPr="00FD211F">
        <w:rPr>
          <w:sz w:val="36"/>
          <w:szCs w:val="36"/>
          <w:rtl/>
        </w:rPr>
        <w:t xml:space="preserve">ة </w:t>
      </w:r>
      <w:r w:rsidR="00703B6C" w:rsidRPr="00FD211F">
        <w:rPr>
          <w:sz w:val="36"/>
          <w:szCs w:val="36"/>
          <w:rtl/>
        </w:rPr>
        <w:t>بزيد وهي</w:t>
      </w:r>
      <w:r w:rsidR="007F5659" w:rsidRPr="00FD211F">
        <w:rPr>
          <w:sz w:val="36"/>
          <w:szCs w:val="36"/>
          <w:rtl/>
        </w:rPr>
        <w:t xml:space="preserve"> كونه مظروفا للدار</w:t>
      </w:r>
      <w:r w:rsidR="00603323" w:rsidRPr="00FD211F">
        <w:rPr>
          <w:sz w:val="36"/>
          <w:szCs w:val="36"/>
          <w:rtl/>
        </w:rPr>
        <w:t xml:space="preserve">، </w:t>
      </w:r>
      <w:r w:rsidR="00222B4E" w:rsidRPr="00FD211F">
        <w:rPr>
          <w:sz w:val="36"/>
          <w:szCs w:val="36"/>
          <w:rtl/>
        </w:rPr>
        <w:t>وهذا</w:t>
      </w:r>
      <w:r w:rsidR="005452B3" w:rsidRPr="00FD211F">
        <w:rPr>
          <w:sz w:val="36"/>
          <w:szCs w:val="36"/>
          <w:rtl/>
        </w:rPr>
        <w:t xml:space="preserve"> </w:t>
      </w:r>
      <w:r w:rsidR="00222B4E" w:rsidRPr="00FD211F">
        <w:rPr>
          <w:sz w:val="36"/>
          <w:szCs w:val="36"/>
          <w:rtl/>
        </w:rPr>
        <w:t>هو</w:t>
      </w:r>
      <w:r w:rsidR="00EA2C26" w:rsidRPr="00FD211F">
        <w:rPr>
          <w:sz w:val="36"/>
          <w:szCs w:val="36"/>
          <w:rtl/>
        </w:rPr>
        <w:t xml:space="preserve"> </w:t>
      </w:r>
      <w:r w:rsidR="00222B4E" w:rsidRPr="00FD211F">
        <w:rPr>
          <w:sz w:val="36"/>
          <w:szCs w:val="36"/>
          <w:rtl/>
        </w:rPr>
        <w:t>عرض الاين</w:t>
      </w:r>
      <w:r w:rsidR="00603323" w:rsidRPr="00FD211F">
        <w:rPr>
          <w:sz w:val="36"/>
          <w:szCs w:val="36"/>
          <w:rtl/>
        </w:rPr>
        <w:t xml:space="preserve">، </w:t>
      </w:r>
      <w:r w:rsidR="00B52AE9" w:rsidRPr="00FD211F">
        <w:rPr>
          <w:sz w:val="36"/>
          <w:szCs w:val="36"/>
          <w:rtl/>
        </w:rPr>
        <w:t>وان تم ما ذكروه فلابد ان يلتزم بحدوث</w:t>
      </w:r>
      <w:r w:rsidR="007F5659" w:rsidRPr="00FD211F">
        <w:rPr>
          <w:sz w:val="36"/>
          <w:szCs w:val="36"/>
          <w:rtl/>
        </w:rPr>
        <w:t xml:space="preserve"> عرض قائم بالدار</w:t>
      </w:r>
      <w:r w:rsidR="00B52AE9" w:rsidRPr="00FD211F">
        <w:rPr>
          <w:sz w:val="36"/>
          <w:szCs w:val="36"/>
          <w:rtl/>
        </w:rPr>
        <w:t xml:space="preserve"> أيضا</w:t>
      </w:r>
      <w:r w:rsidR="007F5659" w:rsidRPr="00FD211F">
        <w:rPr>
          <w:sz w:val="36"/>
          <w:szCs w:val="36"/>
          <w:rtl/>
        </w:rPr>
        <w:t xml:space="preserve"> وهو كونه ظرفا لزيد</w:t>
      </w:r>
      <w:r w:rsidR="009C58C8" w:rsidRPr="00FD211F">
        <w:rPr>
          <w:rStyle w:val="a6"/>
          <w:sz w:val="36"/>
          <w:szCs w:val="36"/>
          <w:rtl/>
        </w:rPr>
        <w:t>(</w:t>
      </w:r>
      <w:r w:rsidR="009C58C8" w:rsidRPr="00FD211F">
        <w:rPr>
          <w:rStyle w:val="a6"/>
          <w:sz w:val="36"/>
          <w:szCs w:val="36"/>
          <w:rtl/>
        </w:rPr>
        <w:footnoteReference w:id="168"/>
      </w:r>
      <w:r w:rsidR="009C58C8" w:rsidRPr="00FD211F">
        <w:rPr>
          <w:rStyle w:val="a6"/>
          <w:sz w:val="36"/>
          <w:szCs w:val="36"/>
          <w:rtl/>
        </w:rPr>
        <w:t>)</w:t>
      </w:r>
      <w:r w:rsidR="00703B6C" w:rsidRPr="00FD211F">
        <w:rPr>
          <w:sz w:val="36"/>
          <w:szCs w:val="36"/>
          <w:rtl/>
        </w:rPr>
        <w:t xml:space="preserve">. </w:t>
      </w:r>
    </w:p>
    <w:p w14:paraId="6529C0D2" w14:textId="77777777" w:rsidR="000C5BBA" w:rsidRPr="00FD211F" w:rsidRDefault="00703B6C" w:rsidP="009C58C8">
      <w:pPr>
        <w:ind w:left="0" w:firstLine="227"/>
        <w:jc w:val="both"/>
        <w:rPr>
          <w:sz w:val="36"/>
          <w:szCs w:val="36"/>
          <w:rtl/>
        </w:rPr>
      </w:pPr>
      <w:r w:rsidRPr="00FD211F">
        <w:rPr>
          <w:sz w:val="36"/>
          <w:szCs w:val="36"/>
          <w:rtl/>
        </w:rPr>
        <w:t>فبناء على ذلك قد وجد في</w:t>
      </w:r>
      <w:r w:rsidR="00B253CE" w:rsidRPr="00FD211F">
        <w:rPr>
          <w:sz w:val="36"/>
          <w:szCs w:val="36"/>
          <w:rtl/>
        </w:rPr>
        <w:t xml:space="preserve"> </w:t>
      </w:r>
      <w:r w:rsidR="007F5659" w:rsidRPr="00FD211F">
        <w:rPr>
          <w:sz w:val="36"/>
          <w:szCs w:val="36"/>
          <w:rtl/>
        </w:rPr>
        <w:t xml:space="preserve">مثال </w:t>
      </w:r>
      <w:r w:rsidRPr="00FD211F">
        <w:rPr>
          <w:sz w:val="36"/>
          <w:szCs w:val="36"/>
          <w:rtl/>
        </w:rPr>
        <w:t xml:space="preserve">كون زيد في الدار </w:t>
      </w:r>
      <w:r w:rsidR="007F5659" w:rsidRPr="00FD211F">
        <w:rPr>
          <w:sz w:val="36"/>
          <w:szCs w:val="36"/>
          <w:rtl/>
        </w:rPr>
        <w:t>خمس</w:t>
      </w:r>
      <w:r w:rsidR="00EC7EDF" w:rsidRPr="00FD211F">
        <w:rPr>
          <w:sz w:val="36"/>
          <w:szCs w:val="36"/>
          <w:rtl/>
        </w:rPr>
        <w:t xml:space="preserve">ة </w:t>
      </w:r>
      <w:r w:rsidR="007F5659" w:rsidRPr="00FD211F">
        <w:rPr>
          <w:sz w:val="36"/>
          <w:szCs w:val="36"/>
          <w:rtl/>
        </w:rPr>
        <w:t>أشياء</w:t>
      </w:r>
      <w:r w:rsidR="00603323" w:rsidRPr="00FD211F">
        <w:rPr>
          <w:sz w:val="36"/>
          <w:szCs w:val="36"/>
          <w:rtl/>
        </w:rPr>
        <w:t xml:space="preserve">، </w:t>
      </w:r>
      <w:r w:rsidRPr="00FD211F">
        <w:rPr>
          <w:sz w:val="36"/>
          <w:szCs w:val="36"/>
          <w:rtl/>
        </w:rPr>
        <w:t>اي وجد زيد والدار ووجدت النسب</w:t>
      </w:r>
      <w:r w:rsidR="00EC7EDF" w:rsidRPr="00FD211F">
        <w:rPr>
          <w:sz w:val="36"/>
          <w:szCs w:val="36"/>
          <w:rtl/>
        </w:rPr>
        <w:t xml:space="preserve">ة </w:t>
      </w:r>
      <w:r w:rsidRPr="00FD211F">
        <w:rPr>
          <w:sz w:val="36"/>
          <w:szCs w:val="36"/>
          <w:rtl/>
        </w:rPr>
        <w:t>ال</w:t>
      </w:r>
      <w:r w:rsidR="00DB45F7" w:rsidRPr="00FD211F">
        <w:rPr>
          <w:sz w:val="36"/>
          <w:szCs w:val="36"/>
          <w:rtl/>
        </w:rPr>
        <w:t>ظ</w:t>
      </w:r>
      <w:r w:rsidRPr="00FD211F">
        <w:rPr>
          <w:sz w:val="36"/>
          <w:szCs w:val="36"/>
          <w:rtl/>
        </w:rPr>
        <w:t>رفي</w:t>
      </w:r>
      <w:r w:rsidR="00EC7EDF" w:rsidRPr="00FD211F">
        <w:rPr>
          <w:sz w:val="36"/>
          <w:szCs w:val="36"/>
          <w:rtl/>
        </w:rPr>
        <w:t xml:space="preserve">ة </w:t>
      </w:r>
      <w:r w:rsidRPr="00FD211F">
        <w:rPr>
          <w:sz w:val="36"/>
          <w:szCs w:val="36"/>
          <w:rtl/>
        </w:rPr>
        <w:t>بينهم</w:t>
      </w:r>
      <w:r w:rsidR="006832F2" w:rsidRPr="00FD211F">
        <w:rPr>
          <w:sz w:val="36"/>
          <w:szCs w:val="36"/>
          <w:rtl/>
        </w:rPr>
        <w:t>ا كما وجدت هيئ</w:t>
      </w:r>
      <w:r w:rsidR="00EC7EDF" w:rsidRPr="00FD211F">
        <w:rPr>
          <w:sz w:val="36"/>
          <w:szCs w:val="36"/>
          <w:rtl/>
        </w:rPr>
        <w:t xml:space="preserve">ة </w:t>
      </w:r>
      <w:r w:rsidR="006832F2" w:rsidRPr="00FD211F">
        <w:rPr>
          <w:sz w:val="36"/>
          <w:szCs w:val="36"/>
          <w:rtl/>
        </w:rPr>
        <w:t>في زيد وتسمى بعرض الأين و</w:t>
      </w:r>
      <w:r w:rsidRPr="00FD211F">
        <w:rPr>
          <w:sz w:val="36"/>
          <w:szCs w:val="36"/>
          <w:rtl/>
        </w:rPr>
        <w:t>وجدت هيئ</w:t>
      </w:r>
      <w:r w:rsidR="00EC7EDF" w:rsidRPr="00FD211F">
        <w:rPr>
          <w:sz w:val="36"/>
          <w:szCs w:val="36"/>
          <w:rtl/>
        </w:rPr>
        <w:t xml:space="preserve">ة </w:t>
      </w:r>
      <w:r w:rsidRPr="00FD211F">
        <w:rPr>
          <w:sz w:val="36"/>
          <w:szCs w:val="36"/>
          <w:rtl/>
        </w:rPr>
        <w:t>في الدار</w:t>
      </w:r>
      <w:r w:rsidR="00EA2C26" w:rsidRPr="00FD211F">
        <w:rPr>
          <w:sz w:val="36"/>
          <w:szCs w:val="36"/>
          <w:rtl/>
        </w:rPr>
        <w:t>.</w:t>
      </w:r>
    </w:p>
    <w:p w14:paraId="0DD72B3C" w14:textId="77777777" w:rsidR="00F23AA2" w:rsidRPr="00FD211F" w:rsidRDefault="007F5659" w:rsidP="009C58C8">
      <w:pPr>
        <w:ind w:left="0" w:firstLine="227"/>
        <w:jc w:val="both"/>
        <w:rPr>
          <w:sz w:val="36"/>
          <w:szCs w:val="36"/>
          <w:rtl/>
        </w:rPr>
      </w:pPr>
      <w:r w:rsidRPr="00FD211F">
        <w:rPr>
          <w:sz w:val="36"/>
          <w:szCs w:val="36"/>
          <w:rtl/>
        </w:rPr>
        <w:t>و</w:t>
      </w:r>
      <w:r w:rsidR="00237810" w:rsidRPr="00FD211F">
        <w:rPr>
          <w:sz w:val="36"/>
          <w:szCs w:val="36"/>
          <w:rtl/>
        </w:rPr>
        <w:t>نح</w:t>
      </w:r>
      <w:r w:rsidR="006804B8" w:rsidRPr="00FD211F">
        <w:rPr>
          <w:sz w:val="36"/>
          <w:szCs w:val="36"/>
          <w:rtl/>
        </w:rPr>
        <w:t xml:space="preserve">ن وان </w:t>
      </w:r>
      <w:r w:rsidR="0024541C" w:rsidRPr="00FD211F">
        <w:rPr>
          <w:sz w:val="36"/>
          <w:szCs w:val="36"/>
          <w:rtl/>
        </w:rPr>
        <w:t xml:space="preserve">كنا </w:t>
      </w:r>
      <w:r w:rsidR="001478F5" w:rsidRPr="00FD211F">
        <w:rPr>
          <w:sz w:val="36"/>
          <w:szCs w:val="36"/>
          <w:rtl/>
        </w:rPr>
        <w:t>لانعترف ب</w:t>
      </w:r>
      <w:r w:rsidR="006804B8" w:rsidRPr="00FD211F">
        <w:rPr>
          <w:sz w:val="36"/>
          <w:szCs w:val="36"/>
          <w:rtl/>
        </w:rPr>
        <w:t>الوجود التكوينى للعرض النسبي كعرض الاين</w:t>
      </w:r>
      <w:r w:rsidR="009C58C8" w:rsidRPr="00FD211F">
        <w:rPr>
          <w:rStyle w:val="a6"/>
          <w:sz w:val="36"/>
          <w:szCs w:val="36"/>
          <w:rtl/>
        </w:rPr>
        <w:t>(</w:t>
      </w:r>
      <w:r w:rsidR="009C58C8" w:rsidRPr="00FD211F">
        <w:rPr>
          <w:rStyle w:val="a6"/>
          <w:sz w:val="36"/>
          <w:szCs w:val="36"/>
          <w:rtl/>
        </w:rPr>
        <w:footnoteReference w:id="169"/>
      </w:r>
      <w:r w:rsidR="009C58C8" w:rsidRPr="00FD211F">
        <w:rPr>
          <w:rStyle w:val="a6"/>
          <w:sz w:val="36"/>
          <w:szCs w:val="36"/>
          <w:rtl/>
        </w:rPr>
        <w:t>)</w:t>
      </w:r>
      <w:r w:rsidR="00603323" w:rsidRPr="00FD211F">
        <w:rPr>
          <w:sz w:val="36"/>
          <w:szCs w:val="36"/>
          <w:rtl/>
        </w:rPr>
        <w:t xml:space="preserve">، </w:t>
      </w:r>
      <w:r w:rsidR="0024541C" w:rsidRPr="00FD211F">
        <w:rPr>
          <w:sz w:val="36"/>
          <w:szCs w:val="36"/>
          <w:rtl/>
        </w:rPr>
        <w:t>فلاتوجد هيئ</w:t>
      </w:r>
      <w:r w:rsidR="00EC7EDF" w:rsidRPr="00FD211F">
        <w:rPr>
          <w:sz w:val="36"/>
          <w:szCs w:val="36"/>
          <w:rtl/>
        </w:rPr>
        <w:t xml:space="preserve">ة </w:t>
      </w:r>
      <w:r w:rsidR="0024541C" w:rsidRPr="00FD211F">
        <w:rPr>
          <w:sz w:val="36"/>
          <w:szCs w:val="36"/>
          <w:rtl/>
        </w:rPr>
        <w:t>في زيد حين كونه في الدار زائدا على وجوده ووجود الدار</w:t>
      </w:r>
      <w:r w:rsidR="00FA7964" w:rsidRPr="00FD211F">
        <w:rPr>
          <w:sz w:val="36"/>
          <w:szCs w:val="36"/>
          <w:rtl/>
        </w:rPr>
        <w:t xml:space="preserve"> </w:t>
      </w:r>
      <w:r w:rsidR="0024541C" w:rsidRPr="00FD211F">
        <w:rPr>
          <w:sz w:val="36"/>
          <w:szCs w:val="36"/>
          <w:rtl/>
        </w:rPr>
        <w:t>ووجود النسب</w:t>
      </w:r>
      <w:r w:rsidR="00EC7EDF" w:rsidRPr="00FD211F">
        <w:rPr>
          <w:sz w:val="36"/>
          <w:szCs w:val="36"/>
          <w:rtl/>
        </w:rPr>
        <w:t xml:space="preserve">ة </w:t>
      </w:r>
      <w:r w:rsidR="0024541C" w:rsidRPr="00FD211F">
        <w:rPr>
          <w:sz w:val="36"/>
          <w:szCs w:val="36"/>
          <w:rtl/>
        </w:rPr>
        <w:t>الظرفي</w:t>
      </w:r>
      <w:r w:rsidR="00EC7EDF" w:rsidRPr="00FD211F">
        <w:rPr>
          <w:sz w:val="36"/>
          <w:szCs w:val="36"/>
          <w:rtl/>
        </w:rPr>
        <w:t xml:space="preserve">ة </w:t>
      </w:r>
      <w:r w:rsidR="0024541C" w:rsidRPr="00FD211F">
        <w:rPr>
          <w:sz w:val="36"/>
          <w:szCs w:val="36"/>
          <w:rtl/>
        </w:rPr>
        <w:t>بينهما والتي يعبر عنها بكونه في الدار</w:t>
      </w:r>
      <w:r w:rsidR="00603323" w:rsidRPr="00FD211F">
        <w:rPr>
          <w:sz w:val="36"/>
          <w:szCs w:val="36"/>
          <w:rtl/>
        </w:rPr>
        <w:t xml:space="preserve">، </w:t>
      </w:r>
      <w:r w:rsidR="00B14B0A" w:rsidRPr="00FD211F">
        <w:rPr>
          <w:sz w:val="36"/>
          <w:szCs w:val="36"/>
          <w:rtl/>
        </w:rPr>
        <w:t>لكن نقبل بشهاد</w:t>
      </w:r>
      <w:r w:rsidR="00EC7EDF" w:rsidRPr="00FD211F">
        <w:rPr>
          <w:sz w:val="36"/>
          <w:szCs w:val="36"/>
          <w:rtl/>
        </w:rPr>
        <w:t xml:space="preserve">ة </w:t>
      </w:r>
      <w:r w:rsidR="00B14B0A" w:rsidRPr="00FD211F">
        <w:rPr>
          <w:sz w:val="36"/>
          <w:szCs w:val="36"/>
          <w:rtl/>
        </w:rPr>
        <w:t xml:space="preserve">الوجدان </w:t>
      </w:r>
      <w:r w:rsidR="000A3FB1" w:rsidRPr="00FD211F">
        <w:rPr>
          <w:sz w:val="36"/>
          <w:szCs w:val="36"/>
          <w:rtl/>
        </w:rPr>
        <w:t>وجو</w:t>
      </w:r>
      <w:r w:rsidR="0024541C" w:rsidRPr="00FD211F">
        <w:rPr>
          <w:sz w:val="36"/>
          <w:szCs w:val="36"/>
          <w:rtl/>
        </w:rPr>
        <w:t>د</w:t>
      </w:r>
      <w:r w:rsidR="00FA7964" w:rsidRPr="00FD211F">
        <w:rPr>
          <w:sz w:val="36"/>
          <w:szCs w:val="36"/>
          <w:rtl/>
        </w:rPr>
        <w:t xml:space="preserve"> </w:t>
      </w:r>
      <w:r w:rsidR="00AD27F7" w:rsidRPr="00FD211F">
        <w:rPr>
          <w:sz w:val="36"/>
          <w:szCs w:val="36"/>
          <w:rtl/>
        </w:rPr>
        <w:t>هذه</w:t>
      </w:r>
      <w:r w:rsidR="00B253CE" w:rsidRPr="00FD211F">
        <w:rPr>
          <w:sz w:val="36"/>
          <w:szCs w:val="36"/>
          <w:rtl/>
        </w:rPr>
        <w:t xml:space="preserve"> </w:t>
      </w:r>
      <w:r w:rsidR="0024541C" w:rsidRPr="00FD211F">
        <w:rPr>
          <w:sz w:val="36"/>
          <w:szCs w:val="36"/>
          <w:rtl/>
        </w:rPr>
        <w:t>النس</w:t>
      </w:r>
      <w:r w:rsidR="006804B8" w:rsidRPr="00FD211F">
        <w:rPr>
          <w:sz w:val="36"/>
          <w:szCs w:val="36"/>
          <w:rtl/>
        </w:rPr>
        <w:t>ب</w:t>
      </w:r>
      <w:r w:rsidR="00EC7EDF" w:rsidRPr="00FD211F">
        <w:rPr>
          <w:sz w:val="36"/>
          <w:szCs w:val="36"/>
          <w:rtl/>
        </w:rPr>
        <w:t xml:space="preserve">ة </w:t>
      </w:r>
      <w:r w:rsidR="006804B8" w:rsidRPr="00FD211F">
        <w:rPr>
          <w:sz w:val="36"/>
          <w:szCs w:val="36"/>
          <w:rtl/>
        </w:rPr>
        <w:t>الظرفي</w:t>
      </w:r>
      <w:r w:rsidR="00EC7EDF" w:rsidRPr="00FD211F">
        <w:rPr>
          <w:sz w:val="36"/>
          <w:szCs w:val="36"/>
          <w:rtl/>
        </w:rPr>
        <w:t xml:space="preserve">ة </w:t>
      </w:r>
      <w:r w:rsidR="00AD27F7" w:rsidRPr="00FD211F">
        <w:rPr>
          <w:sz w:val="36"/>
          <w:szCs w:val="36"/>
          <w:rtl/>
        </w:rPr>
        <w:t>كوجود رابط بين زيد والدار</w:t>
      </w:r>
      <w:r w:rsidR="00B14B0A" w:rsidRPr="00FD211F">
        <w:rPr>
          <w:sz w:val="36"/>
          <w:szCs w:val="36"/>
          <w:rtl/>
        </w:rPr>
        <w:t xml:space="preserve"> بحيث يكون هذا الوجود الرابط زائدا على وجود زيد والدار ومغايرا لوجودهما</w:t>
      </w:r>
      <w:r w:rsidR="00AD27F7" w:rsidRPr="00FD211F">
        <w:rPr>
          <w:sz w:val="36"/>
          <w:szCs w:val="36"/>
          <w:rtl/>
        </w:rPr>
        <w:t xml:space="preserve"> </w:t>
      </w:r>
      <w:r w:rsidR="0054274C" w:rsidRPr="00FD211F">
        <w:rPr>
          <w:sz w:val="36"/>
          <w:szCs w:val="36"/>
          <w:rtl/>
        </w:rPr>
        <w:t>ودعوى أن</w:t>
      </w:r>
      <w:r w:rsidR="00CF1B28" w:rsidRPr="00FD211F">
        <w:rPr>
          <w:sz w:val="36"/>
          <w:szCs w:val="36"/>
          <w:rtl/>
        </w:rPr>
        <w:t xml:space="preserve"> وجود زيد في الدار</w:t>
      </w:r>
      <w:r w:rsidR="00904CAB">
        <w:rPr>
          <w:rFonts w:hint="cs"/>
          <w:sz w:val="36"/>
          <w:szCs w:val="36"/>
          <w:rtl/>
        </w:rPr>
        <w:t xml:space="preserve"> </w:t>
      </w:r>
      <w:r w:rsidR="0054274C" w:rsidRPr="00FD211F">
        <w:rPr>
          <w:sz w:val="36"/>
          <w:szCs w:val="36"/>
          <w:rtl/>
        </w:rPr>
        <w:t>مثلا</w:t>
      </w:r>
      <w:r w:rsidR="00CF1B28" w:rsidRPr="00FD211F">
        <w:rPr>
          <w:sz w:val="36"/>
          <w:szCs w:val="36"/>
          <w:rtl/>
        </w:rPr>
        <w:t xml:space="preserve"> </w:t>
      </w:r>
      <w:r w:rsidR="0054274C" w:rsidRPr="00FD211F">
        <w:rPr>
          <w:sz w:val="36"/>
          <w:szCs w:val="36"/>
          <w:rtl/>
        </w:rPr>
        <w:t>تطور من تطو</w:t>
      </w:r>
      <w:r w:rsidR="00CF1B28" w:rsidRPr="00FD211F">
        <w:rPr>
          <w:sz w:val="36"/>
          <w:szCs w:val="36"/>
          <w:rtl/>
        </w:rPr>
        <w:t>ر</w:t>
      </w:r>
      <w:r w:rsidR="0054274C" w:rsidRPr="00FD211F">
        <w:rPr>
          <w:sz w:val="36"/>
          <w:szCs w:val="36"/>
          <w:rtl/>
        </w:rPr>
        <w:t>ات</w:t>
      </w:r>
      <w:r w:rsidR="00B253CE" w:rsidRPr="00FD211F">
        <w:rPr>
          <w:sz w:val="36"/>
          <w:szCs w:val="36"/>
          <w:rtl/>
        </w:rPr>
        <w:t xml:space="preserve"> </w:t>
      </w:r>
      <w:r w:rsidR="00CF1B28" w:rsidRPr="00FD211F">
        <w:rPr>
          <w:sz w:val="36"/>
          <w:szCs w:val="36"/>
          <w:rtl/>
        </w:rPr>
        <w:t>وجوده</w:t>
      </w:r>
      <w:r w:rsidR="00603323" w:rsidRPr="00FD211F">
        <w:rPr>
          <w:sz w:val="36"/>
          <w:szCs w:val="36"/>
          <w:rtl/>
        </w:rPr>
        <w:t xml:space="preserve">، </w:t>
      </w:r>
      <w:r w:rsidR="0054274C" w:rsidRPr="00FD211F">
        <w:rPr>
          <w:sz w:val="36"/>
          <w:szCs w:val="36"/>
          <w:rtl/>
        </w:rPr>
        <w:t>ك</w:t>
      </w:r>
      <w:r w:rsidR="00CF1B28" w:rsidRPr="00FD211F">
        <w:rPr>
          <w:sz w:val="36"/>
          <w:szCs w:val="36"/>
          <w:rtl/>
        </w:rPr>
        <w:t>وجوده في زمان كذا</w:t>
      </w:r>
      <w:r w:rsidR="00603323" w:rsidRPr="00FD211F">
        <w:rPr>
          <w:sz w:val="36"/>
          <w:szCs w:val="36"/>
          <w:rtl/>
        </w:rPr>
        <w:t xml:space="preserve">، </w:t>
      </w:r>
      <w:r w:rsidR="0054274C" w:rsidRPr="00FD211F">
        <w:rPr>
          <w:sz w:val="36"/>
          <w:szCs w:val="36"/>
          <w:rtl/>
        </w:rPr>
        <w:t>فليس له وجود مغاير لوجود زيد ووجود الدار</w:t>
      </w:r>
      <w:r w:rsidR="00603323" w:rsidRPr="00FD211F">
        <w:rPr>
          <w:sz w:val="36"/>
          <w:szCs w:val="36"/>
          <w:rtl/>
        </w:rPr>
        <w:t xml:space="preserve">، </w:t>
      </w:r>
      <w:r w:rsidR="0054274C" w:rsidRPr="00FD211F">
        <w:rPr>
          <w:sz w:val="36"/>
          <w:szCs w:val="36"/>
          <w:rtl/>
        </w:rPr>
        <w:t xml:space="preserve">خلاف الوجدان الفطري </w:t>
      </w:r>
      <w:commentRangeStart w:id="175"/>
      <w:r w:rsidR="0054274C" w:rsidRPr="00FD211F">
        <w:rPr>
          <w:sz w:val="36"/>
          <w:szCs w:val="36"/>
          <w:rtl/>
        </w:rPr>
        <w:t>والعرفي</w:t>
      </w:r>
      <w:commentRangeEnd w:id="175"/>
      <w:r w:rsidR="00904CAB">
        <w:rPr>
          <w:rStyle w:val="ab"/>
          <w:rtl/>
        </w:rPr>
        <w:commentReference w:id="175"/>
      </w:r>
      <w:r w:rsidR="00603323" w:rsidRPr="00FD211F">
        <w:rPr>
          <w:sz w:val="36"/>
          <w:szCs w:val="36"/>
          <w:rtl/>
        </w:rPr>
        <w:t xml:space="preserve">، </w:t>
      </w:r>
      <w:r w:rsidR="0054274C" w:rsidRPr="00FD211F">
        <w:rPr>
          <w:sz w:val="36"/>
          <w:szCs w:val="36"/>
          <w:rtl/>
        </w:rPr>
        <w:t>كدعوى كونه ثابتا في ع</w:t>
      </w:r>
      <w:r w:rsidR="00EF0293" w:rsidRPr="00FD211F">
        <w:rPr>
          <w:sz w:val="36"/>
          <w:szCs w:val="36"/>
          <w:rtl/>
        </w:rPr>
        <w:t>ا</w:t>
      </w:r>
      <w:r w:rsidR="0054274C" w:rsidRPr="00FD211F">
        <w:rPr>
          <w:sz w:val="36"/>
          <w:szCs w:val="36"/>
          <w:rtl/>
        </w:rPr>
        <w:t xml:space="preserve">لم الواقع دون عالم الوجود التكويني نظير كون وجوده </w:t>
      </w:r>
      <w:r w:rsidR="001478F5" w:rsidRPr="00FD211F">
        <w:rPr>
          <w:sz w:val="36"/>
          <w:szCs w:val="36"/>
          <w:rtl/>
        </w:rPr>
        <w:t>مقارنا لحادث كذا</w:t>
      </w:r>
      <w:r w:rsidR="00FA7964" w:rsidRPr="00FD211F">
        <w:rPr>
          <w:sz w:val="36"/>
          <w:szCs w:val="36"/>
          <w:rtl/>
        </w:rPr>
        <w:t xml:space="preserve"> </w:t>
      </w:r>
      <w:r w:rsidR="001478F5" w:rsidRPr="00FD211F">
        <w:rPr>
          <w:sz w:val="36"/>
          <w:szCs w:val="36"/>
          <w:rtl/>
        </w:rPr>
        <w:t>او</w:t>
      </w:r>
      <w:r w:rsidR="00B129DF" w:rsidRPr="00FD211F">
        <w:rPr>
          <w:sz w:val="36"/>
          <w:szCs w:val="36"/>
          <w:rtl/>
        </w:rPr>
        <w:t xml:space="preserve">بعد حادث كذا </w:t>
      </w:r>
      <w:r w:rsidR="001478F5" w:rsidRPr="00FD211F">
        <w:rPr>
          <w:sz w:val="36"/>
          <w:szCs w:val="36"/>
          <w:rtl/>
        </w:rPr>
        <w:t>ا</w:t>
      </w:r>
      <w:r w:rsidR="00B129DF" w:rsidRPr="00FD211F">
        <w:rPr>
          <w:sz w:val="36"/>
          <w:szCs w:val="36"/>
          <w:rtl/>
        </w:rPr>
        <w:t xml:space="preserve">وقبل حادث </w:t>
      </w:r>
      <w:r w:rsidR="0054274C" w:rsidRPr="00FD211F">
        <w:rPr>
          <w:sz w:val="36"/>
          <w:szCs w:val="36"/>
          <w:rtl/>
        </w:rPr>
        <w:t>كذا</w:t>
      </w:r>
      <w:r w:rsidR="00EC7EDF" w:rsidRPr="00FD211F">
        <w:rPr>
          <w:sz w:val="36"/>
          <w:szCs w:val="36"/>
          <w:rtl/>
        </w:rPr>
        <w:t>.</w:t>
      </w:r>
    </w:p>
    <w:p w14:paraId="12A24257" w14:textId="77777777" w:rsidR="007F0539" w:rsidRPr="00FD211F" w:rsidRDefault="000363AC" w:rsidP="009C58C8">
      <w:pPr>
        <w:ind w:left="0" w:firstLine="227"/>
        <w:jc w:val="both"/>
        <w:rPr>
          <w:sz w:val="36"/>
          <w:szCs w:val="36"/>
          <w:rtl/>
        </w:rPr>
      </w:pPr>
      <w:r w:rsidRPr="00FD211F">
        <w:rPr>
          <w:sz w:val="36"/>
          <w:szCs w:val="36"/>
          <w:rtl/>
        </w:rPr>
        <w:t>وكيف كان ف</w:t>
      </w:r>
      <w:r w:rsidR="007F5659" w:rsidRPr="00FD211F">
        <w:rPr>
          <w:sz w:val="36"/>
          <w:szCs w:val="36"/>
          <w:rtl/>
        </w:rPr>
        <w:t xml:space="preserve">قد تحصل مما ذكرناه ان مقصود المحقق الاصفهاني </w:t>
      </w:r>
      <w:r w:rsidR="0005046C" w:rsidRPr="00FD211F">
        <w:rPr>
          <w:sz w:val="36"/>
          <w:szCs w:val="36"/>
          <w:rtl/>
        </w:rPr>
        <w:t>"</w:t>
      </w:r>
      <w:r w:rsidR="007F5659" w:rsidRPr="00FD211F">
        <w:rPr>
          <w:sz w:val="36"/>
          <w:szCs w:val="36"/>
          <w:rtl/>
        </w:rPr>
        <w:t>قده</w:t>
      </w:r>
      <w:r w:rsidR="0005046C" w:rsidRPr="00FD211F">
        <w:rPr>
          <w:sz w:val="36"/>
          <w:szCs w:val="36"/>
          <w:rtl/>
        </w:rPr>
        <w:t>"</w:t>
      </w:r>
      <w:r w:rsidR="007F5659" w:rsidRPr="00FD211F">
        <w:rPr>
          <w:sz w:val="36"/>
          <w:szCs w:val="36"/>
          <w:rtl/>
        </w:rPr>
        <w:t xml:space="preserve"> هو وضع الحروف لواقع </w:t>
      </w:r>
      <w:r w:rsidR="007F0539" w:rsidRPr="00FD211F">
        <w:rPr>
          <w:sz w:val="36"/>
          <w:szCs w:val="36"/>
          <w:rtl/>
        </w:rPr>
        <w:t>النسب</w:t>
      </w:r>
      <w:r w:rsidR="00EC7EDF" w:rsidRPr="00FD211F">
        <w:rPr>
          <w:sz w:val="36"/>
          <w:szCs w:val="36"/>
          <w:rtl/>
        </w:rPr>
        <w:t xml:space="preserve">ة </w:t>
      </w:r>
      <w:r w:rsidR="007F0539" w:rsidRPr="00FD211F">
        <w:rPr>
          <w:sz w:val="36"/>
          <w:szCs w:val="36"/>
          <w:rtl/>
        </w:rPr>
        <w:t>لاالوجود الرابط الخارجي</w:t>
      </w:r>
      <w:r w:rsidR="00EC7EDF" w:rsidRPr="00FD211F">
        <w:rPr>
          <w:sz w:val="36"/>
          <w:szCs w:val="36"/>
          <w:rtl/>
        </w:rPr>
        <w:t>.</w:t>
      </w:r>
    </w:p>
    <w:p w14:paraId="75D7B727" w14:textId="77777777" w:rsidR="007F5659" w:rsidRPr="00FD211F" w:rsidRDefault="007F0539" w:rsidP="00251CB6">
      <w:pPr>
        <w:ind w:left="0" w:firstLine="227"/>
        <w:jc w:val="both"/>
        <w:rPr>
          <w:sz w:val="36"/>
          <w:szCs w:val="36"/>
          <w:rtl/>
        </w:rPr>
      </w:pPr>
      <w:r w:rsidRPr="00FD211F">
        <w:rPr>
          <w:sz w:val="36"/>
          <w:szCs w:val="36"/>
          <w:rtl/>
        </w:rPr>
        <w:t>ولكن يرد</w:t>
      </w:r>
      <w:r w:rsidR="00251CB6" w:rsidRPr="00FD211F">
        <w:rPr>
          <w:sz w:val="36"/>
          <w:szCs w:val="36"/>
          <w:rtl/>
        </w:rPr>
        <w:t xml:space="preserve"> </w:t>
      </w:r>
      <w:r w:rsidRPr="00FD211F">
        <w:rPr>
          <w:sz w:val="36"/>
          <w:szCs w:val="36"/>
          <w:rtl/>
        </w:rPr>
        <w:t xml:space="preserve">عليه </w:t>
      </w:r>
      <w:r w:rsidR="007F5659" w:rsidRPr="00FD211F">
        <w:rPr>
          <w:sz w:val="36"/>
          <w:szCs w:val="36"/>
          <w:rtl/>
        </w:rPr>
        <w:t>ان م</w:t>
      </w:r>
      <w:r w:rsidR="008818AD" w:rsidRPr="00FD211F">
        <w:rPr>
          <w:sz w:val="36"/>
          <w:szCs w:val="36"/>
          <w:rtl/>
        </w:rPr>
        <w:t>ا ذكره لايتم في جميع الحروف كحر</w:t>
      </w:r>
      <w:r w:rsidR="007F5659" w:rsidRPr="00FD211F">
        <w:rPr>
          <w:sz w:val="36"/>
          <w:szCs w:val="36"/>
          <w:rtl/>
        </w:rPr>
        <w:t xml:space="preserve">ف </w:t>
      </w:r>
      <w:r w:rsidR="008818AD" w:rsidRPr="00FD211F">
        <w:rPr>
          <w:sz w:val="36"/>
          <w:szCs w:val="36"/>
          <w:rtl/>
        </w:rPr>
        <w:t>الاستفهام و</w:t>
      </w:r>
      <w:r w:rsidR="007F5659" w:rsidRPr="00FD211F">
        <w:rPr>
          <w:sz w:val="36"/>
          <w:szCs w:val="36"/>
          <w:rtl/>
        </w:rPr>
        <w:t>التمني والترجي والن</w:t>
      </w:r>
      <w:r w:rsidR="00071250" w:rsidRPr="00FD211F">
        <w:rPr>
          <w:sz w:val="36"/>
          <w:szCs w:val="36"/>
          <w:rtl/>
        </w:rPr>
        <w:t>داء</w:t>
      </w:r>
      <w:r w:rsidR="00FA7964" w:rsidRPr="00FD211F">
        <w:rPr>
          <w:sz w:val="36"/>
          <w:szCs w:val="36"/>
          <w:rtl/>
        </w:rPr>
        <w:t xml:space="preserve"> </w:t>
      </w:r>
      <w:r w:rsidR="00A4259F" w:rsidRPr="00FD211F">
        <w:rPr>
          <w:sz w:val="36"/>
          <w:szCs w:val="36"/>
          <w:rtl/>
        </w:rPr>
        <w:t>وال</w:t>
      </w:r>
      <w:r w:rsidR="008818AD" w:rsidRPr="00FD211F">
        <w:rPr>
          <w:sz w:val="36"/>
          <w:szCs w:val="36"/>
          <w:rtl/>
        </w:rPr>
        <w:t>قس</w:t>
      </w:r>
      <w:r w:rsidR="00A4259F" w:rsidRPr="00FD211F">
        <w:rPr>
          <w:sz w:val="36"/>
          <w:szCs w:val="36"/>
          <w:rtl/>
        </w:rPr>
        <w:t>م</w:t>
      </w:r>
      <w:r w:rsidR="008818AD" w:rsidRPr="00FD211F">
        <w:rPr>
          <w:sz w:val="36"/>
          <w:szCs w:val="36"/>
          <w:rtl/>
        </w:rPr>
        <w:t xml:space="preserve"> ونحو</w:t>
      </w:r>
      <w:r w:rsidR="00FA7964" w:rsidRPr="00FD211F">
        <w:rPr>
          <w:sz w:val="36"/>
          <w:szCs w:val="36"/>
          <w:rtl/>
        </w:rPr>
        <w:t xml:space="preserve"> </w:t>
      </w:r>
      <w:r w:rsidR="008818AD" w:rsidRPr="00FD211F">
        <w:rPr>
          <w:sz w:val="36"/>
          <w:szCs w:val="36"/>
          <w:rtl/>
        </w:rPr>
        <w:t>ذلك</w:t>
      </w:r>
      <w:r w:rsidR="00603323" w:rsidRPr="00FD211F">
        <w:rPr>
          <w:sz w:val="36"/>
          <w:szCs w:val="36"/>
          <w:rtl/>
        </w:rPr>
        <w:t xml:space="preserve">، </w:t>
      </w:r>
      <w:r w:rsidR="00071250" w:rsidRPr="00FD211F">
        <w:rPr>
          <w:sz w:val="36"/>
          <w:szCs w:val="36"/>
          <w:rtl/>
        </w:rPr>
        <w:t>فانها غير موضوع</w:t>
      </w:r>
      <w:r w:rsidR="00EC7EDF" w:rsidRPr="00FD211F">
        <w:rPr>
          <w:sz w:val="36"/>
          <w:szCs w:val="36"/>
          <w:rtl/>
        </w:rPr>
        <w:t xml:space="preserve">ة </w:t>
      </w:r>
      <w:r w:rsidR="00071250" w:rsidRPr="00FD211F">
        <w:rPr>
          <w:sz w:val="36"/>
          <w:szCs w:val="36"/>
          <w:rtl/>
        </w:rPr>
        <w:t>للنسب</w:t>
      </w:r>
      <w:r w:rsidR="00EC7EDF" w:rsidRPr="00FD211F">
        <w:rPr>
          <w:sz w:val="36"/>
          <w:szCs w:val="36"/>
          <w:rtl/>
        </w:rPr>
        <w:t xml:space="preserve">ة </w:t>
      </w:r>
      <w:r w:rsidR="008818AD" w:rsidRPr="00FD211F">
        <w:rPr>
          <w:sz w:val="36"/>
          <w:szCs w:val="36"/>
          <w:rtl/>
        </w:rPr>
        <w:t>وانما</w:t>
      </w:r>
      <w:r w:rsidR="00FA7964" w:rsidRPr="00FD211F">
        <w:rPr>
          <w:sz w:val="36"/>
          <w:szCs w:val="36"/>
          <w:rtl/>
        </w:rPr>
        <w:t xml:space="preserve"> </w:t>
      </w:r>
      <w:r w:rsidR="008818AD" w:rsidRPr="00FD211F">
        <w:rPr>
          <w:sz w:val="36"/>
          <w:szCs w:val="36"/>
          <w:rtl/>
        </w:rPr>
        <w:t>وضعت لايجاد</w:t>
      </w:r>
      <w:r w:rsidR="00FA7964" w:rsidRPr="00FD211F">
        <w:rPr>
          <w:sz w:val="36"/>
          <w:szCs w:val="36"/>
          <w:rtl/>
        </w:rPr>
        <w:t xml:space="preserve"> </w:t>
      </w:r>
      <w:r w:rsidR="008818AD" w:rsidRPr="00FD211F">
        <w:rPr>
          <w:sz w:val="36"/>
          <w:szCs w:val="36"/>
          <w:rtl/>
        </w:rPr>
        <w:t>مصداق لجمل</w:t>
      </w:r>
      <w:r w:rsidR="00EC7EDF" w:rsidRPr="00FD211F">
        <w:rPr>
          <w:sz w:val="36"/>
          <w:szCs w:val="36"/>
          <w:rtl/>
        </w:rPr>
        <w:t xml:space="preserve">ة </w:t>
      </w:r>
      <w:r w:rsidR="008818AD" w:rsidRPr="00FD211F">
        <w:rPr>
          <w:sz w:val="36"/>
          <w:szCs w:val="36"/>
          <w:rtl/>
        </w:rPr>
        <w:t>من العناوين</w:t>
      </w:r>
      <w:r w:rsidR="00603323" w:rsidRPr="00FD211F">
        <w:rPr>
          <w:sz w:val="36"/>
          <w:szCs w:val="36"/>
          <w:rtl/>
        </w:rPr>
        <w:t xml:space="preserve">، </w:t>
      </w:r>
      <w:r w:rsidR="008818AD" w:rsidRPr="00FD211F">
        <w:rPr>
          <w:sz w:val="36"/>
          <w:szCs w:val="36"/>
          <w:rtl/>
        </w:rPr>
        <w:t>فحرف "هل"</w:t>
      </w:r>
      <w:r w:rsidR="00251CB6" w:rsidRPr="00FD211F">
        <w:rPr>
          <w:sz w:val="36"/>
          <w:szCs w:val="36"/>
          <w:rtl/>
        </w:rPr>
        <w:t xml:space="preserve"> </w:t>
      </w:r>
      <w:r w:rsidR="00A64519" w:rsidRPr="00FD211F">
        <w:rPr>
          <w:sz w:val="36"/>
          <w:szCs w:val="36"/>
          <w:rtl/>
        </w:rPr>
        <w:t>وضع لايجاد</w:t>
      </w:r>
      <w:r w:rsidR="00FA7964" w:rsidRPr="00FD211F">
        <w:rPr>
          <w:sz w:val="36"/>
          <w:szCs w:val="36"/>
          <w:rtl/>
        </w:rPr>
        <w:t xml:space="preserve"> </w:t>
      </w:r>
      <w:r w:rsidR="00A64519" w:rsidRPr="00FD211F">
        <w:rPr>
          <w:sz w:val="36"/>
          <w:szCs w:val="36"/>
          <w:rtl/>
        </w:rPr>
        <w:t>مصداق الاستفهام وحرف "ليت"</w:t>
      </w:r>
      <w:r w:rsidR="00251CB6" w:rsidRPr="00FD211F">
        <w:rPr>
          <w:sz w:val="36"/>
          <w:szCs w:val="36"/>
          <w:rtl/>
        </w:rPr>
        <w:t xml:space="preserve"> </w:t>
      </w:r>
      <w:r w:rsidR="00A64519" w:rsidRPr="00FD211F">
        <w:rPr>
          <w:sz w:val="36"/>
          <w:szCs w:val="36"/>
          <w:rtl/>
        </w:rPr>
        <w:t>وضع لايجاد</w:t>
      </w:r>
      <w:r w:rsidR="00FA7964" w:rsidRPr="00FD211F">
        <w:rPr>
          <w:sz w:val="36"/>
          <w:szCs w:val="36"/>
          <w:rtl/>
        </w:rPr>
        <w:t xml:space="preserve"> </w:t>
      </w:r>
      <w:r w:rsidR="00A64519" w:rsidRPr="00FD211F">
        <w:rPr>
          <w:sz w:val="36"/>
          <w:szCs w:val="36"/>
          <w:rtl/>
        </w:rPr>
        <w:t>التمني النشائي اوفقل لابراز</w:t>
      </w:r>
      <w:r w:rsidR="00FA7964" w:rsidRPr="00FD211F">
        <w:rPr>
          <w:sz w:val="36"/>
          <w:szCs w:val="36"/>
          <w:rtl/>
        </w:rPr>
        <w:t xml:space="preserve"> </w:t>
      </w:r>
      <w:r w:rsidR="00A64519" w:rsidRPr="00FD211F">
        <w:rPr>
          <w:sz w:val="36"/>
          <w:szCs w:val="36"/>
          <w:rtl/>
        </w:rPr>
        <w:t xml:space="preserve">التمني </w:t>
      </w:r>
      <w:r w:rsidR="007F5659" w:rsidRPr="00FD211F">
        <w:rPr>
          <w:sz w:val="36"/>
          <w:szCs w:val="36"/>
          <w:rtl/>
        </w:rPr>
        <w:t xml:space="preserve">وكذا لام </w:t>
      </w:r>
      <w:r w:rsidR="003B02B4" w:rsidRPr="00FD211F">
        <w:rPr>
          <w:sz w:val="36"/>
          <w:szCs w:val="36"/>
          <w:rtl/>
        </w:rPr>
        <w:t>التعريف</w:t>
      </w:r>
      <w:r w:rsidR="008D7B3D" w:rsidRPr="00FD211F">
        <w:rPr>
          <w:sz w:val="36"/>
          <w:szCs w:val="36"/>
          <w:rtl/>
        </w:rPr>
        <w:t xml:space="preserve"> لم‌</w:t>
      </w:r>
      <w:r w:rsidR="00A64519" w:rsidRPr="00FD211F">
        <w:rPr>
          <w:sz w:val="36"/>
          <w:szCs w:val="36"/>
          <w:rtl/>
        </w:rPr>
        <w:t>توضع للنسب</w:t>
      </w:r>
      <w:r w:rsidR="00EC7EDF" w:rsidRPr="00FD211F">
        <w:rPr>
          <w:sz w:val="36"/>
          <w:szCs w:val="36"/>
          <w:rtl/>
        </w:rPr>
        <w:t xml:space="preserve">ة </w:t>
      </w:r>
      <w:r w:rsidR="00A64519" w:rsidRPr="00FD211F">
        <w:rPr>
          <w:sz w:val="36"/>
          <w:szCs w:val="36"/>
          <w:rtl/>
        </w:rPr>
        <w:t>لتقوم النسب</w:t>
      </w:r>
      <w:r w:rsidR="00EC7EDF" w:rsidRPr="00FD211F">
        <w:rPr>
          <w:sz w:val="36"/>
          <w:szCs w:val="36"/>
          <w:rtl/>
        </w:rPr>
        <w:t xml:space="preserve">ة </w:t>
      </w:r>
      <w:r w:rsidR="00A64519" w:rsidRPr="00FD211F">
        <w:rPr>
          <w:sz w:val="36"/>
          <w:szCs w:val="36"/>
          <w:rtl/>
        </w:rPr>
        <w:t>بطرفين</w:t>
      </w:r>
      <w:r w:rsidR="00603323" w:rsidRPr="00FD211F">
        <w:rPr>
          <w:sz w:val="36"/>
          <w:szCs w:val="36"/>
          <w:rtl/>
        </w:rPr>
        <w:t xml:space="preserve">، </w:t>
      </w:r>
      <w:r w:rsidR="00A4259F" w:rsidRPr="00FD211F">
        <w:rPr>
          <w:sz w:val="36"/>
          <w:szCs w:val="36"/>
          <w:rtl/>
        </w:rPr>
        <w:t>مضافا</w:t>
      </w:r>
      <w:r w:rsidR="00FA7964" w:rsidRPr="00FD211F">
        <w:rPr>
          <w:sz w:val="36"/>
          <w:szCs w:val="36"/>
          <w:rtl/>
        </w:rPr>
        <w:t xml:space="preserve"> </w:t>
      </w:r>
      <w:r w:rsidR="00A4259F" w:rsidRPr="00FD211F">
        <w:rPr>
          <w:sz w:val="36"/>
          <w:szCs w:val="36"/>
          <w:rtl/>
        </w:rPr>
        <w:t>الى</w:t>
      </w:r>
      <w:r w:rsidR="00A64519" w:rsidRPr="00FD211F">
        <w:rPr>
          <w:sz w:val="36"/>
          <w:szCs w:val="36"/>
          <w:rtl/>
        </w:rPr>
        <w:t xml:space="preserve"> ماسيأتي من ان </w:t>
      </w:r>
      <w:r w:rsidR="00726162" w:rsidRPr="00FD211F">
        <w:rPr>
          <w:sz w:val="36"/>
          <w:szCs w:val="36"/>
          <w:rtl/>
        </w:rPr>
        <w:t>حرف</w:t>
      </w:r>
      <w:r w:rsidR="00251CB6" w:rsidRPr="00FD211F">
        <w:rPr>
          <w:sz w:val="36"/>
          <w:szCs w:val="36"/>
          <w:rtl/>
        </w:rPr>
        <w:t xml:space="preserve"> </w:t>
      </w:r>
      <w:r w:rsidR="00726162" w:rsidRPr="00FD211F">
        <w:rPr>
          <w:sz w:val="36"/>
          <w:szCs w:val="36"/>
          <w:rtl/>
        </w:rPr>
        <w:t>"في"</w:t>
      </w:r>
      <w:r w:rsidR="00251CB6" w:rsidRPr="00FD211F">
        <w:rPr>
          <w:sz w:val="36"/>
          <w:szCs w:val="36"/>
          <w:rtl/>
        </w:rPr>
        <w:t xml:space="preserve"> </w:t>
      </w:r>
      <w:r w:rsidR="00726162" w:rsidRPr="00FD211F">
        <w:rPr>
          <w:sz w:val="36"/>
          <w:szCs w:val="36"/>
          <w:rtl/>
        </w:rPr>
        <w:t>مثلا</w:t>
      </w:r>
      <w:r w:rsidR="00FA7964" w:rsidRPr="00FD211F">
        <w:rPr>
          <w:sz w:val="36"/>
          <w:szCs w:val="36"/>
          <w:rtl/>
        </w:rPr>
        <w:t xml:space="preserve"> </w:t>
      </w:r>
      <w:r w:rsidR="00726162" w:rsidRPr="00FD211F">
        <w:rPr>
          <w:sz w:val="36"/>
          <w:szCs w:val="36"/>
          <w:rtl/>
        </w:rPr>
        <w:t>وضع للدلال</w:t>
      </w:r>
      <w:r w:rsidR="00EC7EDF" w:rsidRPr="00FD211F">
        <w:rPr>
          <w:sz w:val="36"/>
          <w:szCs w:val="36"/>
          <w:rtl/>
        </w:rPr>
        <w:t xml:space="preserve">ة </w:t>
      </w:r>
      <w:r w:rsidR="00726162" w:rsidRPr="00FD211F">
        <w:rPr>
          <w:sz w:val="36"/>
          <w:szCs w:val="36"/>
          <w:rtl/>
        </w:rPr>
        <w:t>على النسب</w:t>
      </w:r>
      <w:r w:rsidR="00EC7EDF" w:rsidRPr="00FD211F">
        <w:rPr>
          <w:sz w:val="36"/>
          <w:szCs w:val="36"/>
          <w:rtl/>
        </w:rPr>
        <w:t xml:space="preserve">ة </w:t>
      </w:r>
      <w:r w:rsidR="00726162" w:rsidRPr="00FD211F">
        <w:rPr>
          <w:sz w:val="36"/>
          <w:szCs w:val="36"/>
          <w:rtl/>
        </w:rPr>
        <w:t>الظرفي</w:t>
      </w:r>
      <w:r w:rsidR="00EC7EDF" w:rsidRPr="00FD211F">
        <w:rPr>
          <w:sz w:val="36"/>
          <w:szCs w:val="36"/>
          <w:rtl/>
        </w:rPr>
        <w:t xml:space="preserve">ة </w:t>
      </w:r>
      <w:r w:rsidR="00726162" w:rsidRPr="00FD211F">
        <w:rPr>
          <w:sz w:val="36"/>
          <w:szCs w:val="36"/>
          <w:rtl/>
        </w:rPr>
        <w:t>الخارجي</w:t>
      </w:r>
      <w:r w:rsidR="00EC7EDF" w:rsidRPr="00FD211F">
        <w:rPr>
          <w:sz w:val="36"/>
          <w:szCs w:val="36"/>
          <w:rtl/>
        </w:rPr>
        <w:t xml:space="preserve">ة </w:t>
      </w:r>
      <w:r w:rsidR="00726162" w:rsidRPr="00FD211F">
        <w:rPr>
          <w:sz w:val="36"/>
          <w:szCs w:val="36"/>
          <w:rtl/>
        </w:rPr>
        <w:t>دون النسب</w:t>
      </w:r>
      <w:r w:rsidR="00EC7EDF" w:rsidRPr="00FD211F">
        <w:rPr>
          <w:sz w:val="36"/>
          <w:szCs w:val="36"/>
          <w:rtl/>
        </w:rPr>
        <w:t xml:space="preserve">ة </w:t>
      </w:r>
      <w:r w:rsidR="00726162" w:rsidRPr="00FD211F">
        <w:rPr>
          <w:sz w:val="36"/>
          <w:szCs w:val="36"/>
          <w:rtl/>
        </w:rPr>
        <w:t>الذهني</w:t>
      </w:r>
      <w:r w:rsidR="00EC7EDF" w:rsidRPr="00FD211F">
        <w:rPr>
          <w:sz w:val="36"/>
          <w:szCs w:val="36"/>
          <w:rtl/>
        </w:rPr>
        <w:t>ة</w:t>
      </w:r>
      <w:r w:rsidR="00A61BAE" w:rsidRPr="00FD211F">
        <w:rPr>
          <w:sz w:val="36"/>
          <w:szCs w:val="36"/>
          <w:rtl/>
        </w:rPr>
        <w:t>.</w:t>
      </w:r>
      <w:bookmarkStart w:id="176" w:name="درس083"/>
      <w:bookmarkEnd w:id="176"/>
    </w:p>
    <w:p w14:paraId="6F9A522B" w14:textId="77777777" w:rsidR="007F5659" w:rsidRPr="00FD211F" w:rsidRDefault="007F5659" w:rsidP="009C58C8">
      <w:pPr>
        <w:pStyle w:val="3"/>
        <w:ind w:firstLine="227"/>
        <w:jc w:val="both"/>
        <w:rPr>
          <w:rtl/>
        </w:rPr>
      </w:pPr>
      <w:bookmarkStart w:id="177" w:name="درس083دقيقه22"/>
      <w:bookmarkStart w:id="178" w:name="_Toc192092867"/>
      <w:bookmarkStart w:id="179" w:name="_Toc223890341"/>
      <w:bookmarkEnd w:id="177"/>
      <w:r w:rsidRPr="00FD211F">
        <w:rPr>
          <w:rtl/>
        </w:rPr>
        <w:t>وضع الحروف للتضييق</w:t>
      </w:r>
      <w:bookmarkEnd w:id="178"/>
      <w:bookmarkEnd w:id="179"/>
    </w:p>
    <w:p w14:paraId="0E4F3755" w14:textId="77777777" w:rsidR="007F5659" w:rsidRPr="00FD211F" w:rsidRDefault="007F5659" w:rsidP="009C58C8">
      <w:pPr>
        <w:ind w:left="0" w:firstLine="227"/>
        <w:jc w:val="both"/>
        <w:rPr>
          <w:sz w:val="36"/>
          <w:szCs w:val="36"/>
          <w:rtl/>
        </w:rPr>
      </w:pPr>
      <w:r w:rsidRPr="00FD211F">
        <w:rPr>
          <w:b/>
          <w:bCs/>
          <w:sz w:val="36"/>
          <w:szCs w:val="36"/>
          <w:rtl/>
        </w:rPr>
        <w:t>القول الثالث</w:t>
      </w:r>
      <w:r w:rsidR="00633760" w:rsidRPr="00FD211F">
        <w:rPr>
          <w:b/>
          <w:bCs/>
          <w:sz w:val="36"/>
          <w:szCs w:val="36"/>
          <w:rtl/>
        </w:rPr>
        <w:t>:</w:t>
      </w:r>
      <w:r w:rsidRPr="00FD211F">
        <w:rPr>
          <w:sz w:val="36"/>
          <w:szCs w:val="36"/>
          <w:rtl/>
        </w:rPr>
        <w:t xml:space="preserve"> ما اختاره السيد الخوئي </w:t>
      </w:r>
      <w:r w:rsidR="00AB1B12" w:rsidRPr="00FD211F">
        <w:rPr>
          <w:sz w:val="36"/>
          <w:szCs w:val="36"/>
          <w:rtl/>
        </w:rPr>
        <w:t>"</w:t>
      </w:r>
      <w:r w:rsidRPr="00FD211F">
        <w:rPr>
          <w:sz w:val="36"/>
          <w:szCs w:val="36"/>
          <w:rtl/>
        </w:rPr>
        <w:t>قده</w:t>
      </w:r>
      <w:r w:rsidR="00AB1B12" w:rsidRPr="00FD211F">
        <w:rPr>
          <w:sz w:val="36"/>
          <w:szCs w:val="36"/>
          <w:rtl/>
        </w:rPr>
        <w:t>"</w:t>
      </w:r>
      <w:r w:rsidRPr="00FD211F">
        <w:rPr>
          <w:sz w:val="36"/>
          <w:szCs w:val="36"/>
          <w:rtl/>
        </w:rPr>
        <w:t xml:space="preserve"> من ان الحروف الداخل</w:t>
      </w:r>
      <w:r w:rsidR="00EC7EDF" w:rsidRPr="00FD211F">
        <w:rPr>
          <w:sz w:val="36"/>
          <w:szCs w:val="36"/>
          <w:rtl/>
        </w:rPr>
        <w:t xml:space="preserve">ة </w:t>
      </w:r>
      <w:r w:rsidRPr="00FD211F">
        <w:rPr>
          <w:sz w:val="36"/>
          <w:szCs w:val="36"/>
          <w:rtl/>
        </w:rPr>
        <w:t>على المركبات الناقص</w:t>
      </w:r>
      <w:r w:rsidR="00EC7EDF" w:rsidRPr="00FD211F">
        <w:rPr>
          <w:sz w:val="36"/>
          <w:szCs w:val="36"/>
          <w:rtl/>
        </w:rPr>
        <w:t xml:space="preserve">ة </w:t>
      </w:r>
      <w:r w:rsidRPr="00FD211F">
        <w:rPr>
          <w:sz w:val="36"/>
          <w:szCs w:val="36"/>
          <w:rtl/>
        </w:rPr>
        <w:t>والمعاني الاخطاري</w:t>
      </w:r>
      <w:r w:rsidR="00EC7EDF" w:rsidRPr="00FD211F">
        <w:rPr>
          <w:sz w:val="36"/>
          <w:szCs w:val="36"/>
          <w:rtl/>
        </w:rPr>
        <w:t xml:space="preserve">ة </w:t>
      </w:r>
      <w:r w:rsidRPr="00FD211F">
        <w:rPr>
          <w:sz w:val="36"/>
          <w:szCs w:val="36"/>
          <w:rtl/>
        </w:rPr>
        <w:t>موضوع</w:t>
      </w:r>
      <w:r w:rsidR="00EC7EDF" w:rsidRPr="00FD211F">
        <w:rPr>
          <w:sz w:val="36"/>
          <w:szCs w:val="36"/>
          <w:rtl/>
        </w:rPr>
        <w:t xml:space="preserve">ة </w:t>
      </w:r>
      <w:r w:rsidRPr="00FD211F">
        <w:rPr>
          <w:sz w:val="36"/>
          <w:szCs w:val="36"/>
          <w:rtl/>
        </w:rPr>
        <w:t>بإزاء التحصيص والتضييق فانه ربما يتحقق غرض المتكلم بابراز تضييق المعنى الاسمي</w:t>
      </w:r>
      <w:r w:rsidR="00603323" w:rsidRPr="00FD211F">
        <w:rPr>
          <w:sz w:val="36"/>
          <w:szCs w:val="36"/>
          <w:rtl/>
        </w:rPr>
        <w:t xml:space="preserve">، </w:t>
      </w:r>
      <w:r w:rsidRPr="00FD211F">
        <w:rPr>
          <w:sz w:val="36"/>
          <w:szCs w:val="36"/>
          <w:rtl/>
        </w:rPr>
        <w:t>وحيث لايمكن ابرازه باللفظ الموضوع على المعنى الاسمي فلابد من ابرازه بالحرف فجمل</w:t>
      </w:r>
      <w:r w:rsidR="00EC7EDF" w:rsidRPr="00FD211F">
        <w:rPr>
          <w:sz w:val="36"/>
          <w:szCs w:val="36"/>
          <w:rtl/>
        </w:rPr>
        <w:t xml:space="preserve">ة </w:t>
      </w:r>
      <w:r w:rsidR="00911CF2" w:rsidRPr="00FD211F">
        <w:rPr>
          <w:sz w:val="36"/>
          <w:szCs w:val="36"/>
          <w:rtl/>
        </w:rPr>
        <w:t>"</w:t>
      </w:r>
      <w:r w:rsidRPr="00FD211F">
        <w:rPr>
          <w:sz w:val="36"/>
          <w:szCs w:val="36"/>
          <w:rtl/>
        </w:rPr>
        <w:t>الجالس على المنبر</w:t>
      </w:r>
      <w:r w:rsidR="0073111C" w:rsidRPr="00FD211F">
        <w:rPr>
          <w:sz w:val="36"/>
          <w:szCs w:val="36"/>
          <w:rtl/>
        </w:rPr>
        <w:t>"</w:t>
      </w:r>
      <w:r w:rsidRPr="00FD211F">
        <w:rPr>
          <w:sz w:val="36"/>
          <w:szCs w:val="36"/>
          <w:rtl/>
        </w:rPr>
        <w:t xml:space="preserve"> او</w:t>
      </w:r>
      <w:r w:rsidR="0073111C" w:rsidRPr="00FD211F">
        <w:rPr>
          <w:sz w:val="36"/>
          <w:szCs w:val="36"/>
          <w:rtl/>
        </w:rPr>
        <w:t>"</w:t>
      </w:r>
      <w:r w:rsidR="001E370E" w:rsidRPr="00FD211F">
        <w:rPr>
          <w:sz w:val="36"/>
          <w:szCs w:val="36"/>
          <w:rtl/>
        </w:rPr>
        <w:t xml:space="preserve"> الجالس </w:t>
      </w:r>
      <w:r w:rsidRPr="00FD211F">
        <w:rPr>
          <w:sz w:val="36"/>
          <w:szCs w:val="36"/>
          <w:rtl/>
        </w:rPr>
        <w:t>في الدار</w:t>
      </w:r>
      <w:r w:rsidR="0073111C" w:rsidRPr="00FD211F">
        <w:rPr>
          <w:sz w:val="36"/>
          <w:szCs w:val="36"/>
          <w:rtl/>
        </w:rPr>
        <w:t>"</w:t>
      </w:r>
      <w:r w:rsidRPr="00FD211F">
        <w:rPr>
          <w:sz w:val="36"/>
          <w:szCs w:val="36"/>
          <w:rtl/>
        </w:rPr>
        <w:t xml:space="preserve"> مبرز</w:t>
      </w:r>
      <w:r w:rsidR="00EC7EDF" w:rsidRPr="00FD211F">
        <w:rPr>
          <w:sz w:val="36"/>
          <w:szCs w:val="36"/>
          <w:rtl/>
        </w:rPr>
        <w:t xml:space="preserve">ة </w:t>
      </w:r>
      <w:r w:rsidRPr="00FD211F">
        <w:rPr>
          <w:sz w:val="36"/>
          <w:szCs w:val="36"/>
          <w:rtl/>
        </w:rPr>
        <w:t>بنحو تعدد الدال والمدلول للمعنى الاسمي المضيق والمحصص</w:t>
      </w:r>
      <w:r w:rsidR="00603323" w:rsidRPr="00FD211F">
        <w:rPr>
          <w:sz w:val="36"/>
          <w:szCs w:val="36"/>
          <w:rtl/>
        </w:rPr>
        <w:t xml:space="preserve">، </w:t>
      </w:r>
      <w:r w:rsidRPr="00FD211F">
        <w:rPr>
          <w:sz w:val="36"/>
          <w:szCs w:val="36"/>
          <w:rtl/>
        </w:rPr>
        <w:t>او فقل مبرز</w:t>
      </w:r>
      <w:r w:rsidR="00EC7EDF" w:rsidRPr="00FD211F">
        <w:rPr>
          <w:sz w:val="36"/>
          <w:szCs w:val="36"/>
          <w:rtl/>
        </w:rPr>
        <w:t xml:space="preserve">ة </w:t>
      </w:r>
      <w:r w:rsidRPr="00FD211F">
        <w:rPr>
          <w:sz w:val="36"/>
          <w:szCs w:val="36"/>
          <w:rtl/>
        </w:rPr>
        <w:t>للحص</w:t>
      </w:r>
      <w:r w:rsidR="00EC7EDF" w:rsidRPr="00FD211F">
        <w:rPr>
          <w:sz w:val="36"/>
          <w:szCs w:val="36"/>
          <w:rtl/>
        </w:rPr>
        <w:t>ة</w:t>
      </w:r>
      <w:r w:rsidR="00603323" w:rsidRPr="00FD211F">
        <w:rPr>
          <w:sz w:val="36"/>
          <w:szCs w:val="36"/>
          <w:rtl/>
        </w:rPr>
        <w:t xml:space="preserve">، </w:t>
      </w:r>
      <w:r w:rsidRPr="00FD211F">
        <w:rPr>
          <w:sz w:val="36"/>
          <w:szCs w:val="36"/>
          <w:rtl/>
        </w:rPr>
        <w:t>فالحرف ما دل على معنى قائم بغيره</w:t>
      </w:r>
      <w:r w:rsidR="00603323" w:rsidRPr="00FD211F">
        <w:rPr>
          <w:sz w:val="36"/>
          <w:szCs w:val="36"/>
          <w:rtl/>
        </w:rPr>
        <w:t xml:space="preserve">، </w:t>
      </w:r>
      <w:r w:rsidRPr="00FD211F">
        <w:rPr>
          <w:sz w:val="36"/>
          <w:szCs w:val="36"/>
          <w:rtl/>
        </w:rPr>
        <w:t>وهذا المعنى هو تضيق المعنى الاسمي</w:t>
      </w:r>
      <w:r w:rsidR="00603323" w:rsidRPr="00FD211F">
        <w:rPr>
          <w:sz w:val="36"/>
          <w:szCs w:val="36"/>
          <w:rtl/>
        </w:rPr>
        <w:t xml:space="preserve">، </w:t>
      </w:r>
      <w:r w:rsidRPr="00FD211F">
        <w:rPr>
          <w:sz w:val="36"/>
          <w:szCs w:val="36"/>
          <w:rtl/>
        </w:rPr>
        <w:t xml:space="preserve">واختلاف معاني الحروف </w:t>
      </w:r>
      <w:r w:rsidR="0073111C" w:rsidRPr="00FD211F">
        <w:rPr>
          <w:sz w:val="36"/>
          <w:szCs w:val="36"/>
          <w:rtl/>
        </w:rPr>
        <w:t xml:space="preserve">ينشأمن </w:t>
      </w:r>
      <w:r w:rsidRPr="00FD211F">
        <w:rPr>
          <w:sz w:val="36"/>
          <w:szCs w:val="36"/>
          <w:rtl/>
        </w:rPr>
        <w:t>اختلاف انحاء التضييق</w:t>
      </w:r>
      <w:r w:rsidR="00603323" w:rsidRPr="00FD211F">
        <w:rPr>
          <w:sz w:val="36"/>
          <w:szCs w:val="36"/>
          <w:rtl/>
        </w:rPr>
        <w:t xml:space="preserve">، </w:t>
      </w:r>
      <w:r w:rsidRPr="00FD211F">
        <w:rPr>
          <w:sz w:val="36"/>
          <w:szCs w:val="36"/>
          <w:rtl/>
        </w:rPr>
        <w:t>فحرف</w:t>
      </w:r>
      <w:r w:rsidR="0073111C" w:rsidRPr="00FD211F">
        <w:rPr>
          <w:sz w:val="36"/>
          <w:szCs w:val="36"/>
          <w:rtl/>
        </w:rPr>
        <w:t>"</w:t>
      </w:r>
      <w:r w:rsidRPr="00FD211F">
        <w:rPr>
          <w:sz w:val="36"/>
          <w:szCs w:val="36"/>
          <w:rtl/>
        </w:rPr>
        <w:t xml:space="preserve"> من</w:t>
      </w:r>
      <w:r w:rsidR="0073111C" w:rsidRPr="00FD211F">
        <w:rPr>
          <w:sz w:val="36"/>
          <w:szCs w:val="36"/>
          <w:rtl/>
        </w:rPr>
        <w:t>"</w:t>
      </w:r>
      <w:r w:rsidRPr="00FD211F">
        <w:rPr>
          <w:sz w:val="36"/>
          <w:szCs w:val="36"/>
          <w:rtl/>
        </w:rPr>
        <w:t xml:space="preserve"> دال على التضييق الابتدائي وحرف </w:t>
      </w:r>
      <w:r w:rsidR="0073111C" w:rsidRPr="00FD211F">
        <w:rPr>
          <w:sz w:val="36"/>
          <w:szCs w:val="36"/>
          <w:rtl/>
        </w:rPr>
        <w:t>"</w:t>
      </w:r>
      <w:r w:rsidRPr="00FD211F">
        <w:rPr>
          <w:sz w:val="36"/>
          <w:szCs w:val="36"/>
          <w:rtl/>
        </w:rPr>
        <w:t>على</w:t>
      </w:r>
      <w:r w:rsidR="0073111C" w:rsidRPr="00FD211F">
        <w:rPr>
          <w:sz w:val="36"/>
          <w:szCs w:val="36"/>
          <w:rtl/>
        </w:rPr>
        <w:t>"</w:t>
      </w:r>
      <w:r w:rsidR="00FA7964" w:rsidRPr="00FD211F">
        <w:rPr>
          <w:sz w:val="36"/>
          <w:szCs w:val="36"/>
          <w:rtl/>
        </w:rPr>
        <w:t xml:space="preserve"> </w:t>
      </w:r>
      <w:r w:rsidRPr="00FD211F">
        <w:rPr>
          <w:sz w:val="36"/>
          <w:szCs w:val="36"/>
          <w:rtl/>
        </w:rPr>
        <w:t>دال على التضييق الاستعلائي وحرف</w:t>
      </w:r>
      <w:r w:rsidR="0073111C" w:rsidRPr="00FD211F">
        <w:rPr>
          <w:sz w:val="36"/>
          <w:szCs w:val="36"/>
          <w:rtl/>
        </w:rPr>
        <w:t>"</w:t>
      </w:r>
      <w:r w:rsidRPr="00FD211F">
        <w:rPr>
          <w:sz w:val="36"/>
          <w:szCs w:val="36"/>
          <w:rtl/>
        </w:rPr>
        <w:t xml:space="preserve"> في</w:t>
      </w:r>
      <w:r w:rsidR="0073111C" w:rsidRPr="00FD211F">
        <w:rPr>
          <w:sz w:val="36"/>
          <w:szCs w:val="36"/>
          <w:rtl/>
        </w:rPr>
        <w:t>"</w:t>
      </w:r>
      <w:r w:rsidRPr="00FD211F">
        <w:rPr>
          <w:sz w:val="36"/>
          <w:szCs w:val="36"/>
          <w:rtl/>
        </w:rPr>
        <w:t xml:space="preserve"> دال على التضييق الأيني</w:t>
      </w:r>
      <w:r w:rsidR="00603323" w:rsidRPr="00FD211F">
        <w:rPr>
          <w:sz w:val="36"/>
          <w:szCs w:val="36"/>
          <w:rtl/>
        </w:rPr>
        <w:t xml:space="preserve">، </w:t>
      </w:r>
      <w:r w:rsidRPr="00FD211F">
        <w:rPr>
          <w:sz w:val="36"/>
          <w:szCs w:val="36"/>
          <w:rtl/>
        </w:rPr>
        <w:t>وهذا التقريب يأتي حتى في مثل قولنا</w:t>
      </w:r>
      <w:r w:rsidR="0073111C" w:rsidRPr="00FD211F">
        <w:rPr>
          <w:sz w:val="36"/>
          <w:szCs w:val="36"/>
          <w:rtl/>
        </w:rPr>
        <w:t>"</w:t>
      </w:r>
      <w:r w:rsidRPr="00FD211F">
        <w:rPr>
          <w:sz w:val="36"/>
          <w:szCs w:val="36"/>
          <w:rtl/>
        </w:rPr>
        <w:t xml:space="preserve"> الوجود لله واجب</w:t>
      </w:r>
      <w:r w:rsidR="0073111C" w:rsidRPr="00FD211F">
        <w:rPr>
          <w:sz w:val="36"/>
          <w:szCs w:val="36"/>
          <w:rtl/>
        </w:rPr>
        <w:t>"</w:t>
      </w:r>
      <w:r w:rsidR="00603323" w:rsidRPr="00FD211F">
        <w:rPr>
          <w:sz w:val="36"/>
          <w:szCs w:val="36"/>
          <w:rtl/>
        </w:rPr>
        <w:t xml:space="preserve">، </w:t>
      </w:r>
      <w:r w:rsidRPr="00FD211F">
        <w:rPr>
          <w:sz w:val="36"/>
          <w:szCs w:val="36"/>
          <w:rtl/>
        </w:rPr>
        <w:t>حيث ان اللام جيئ به لتضييق المفهوم الاسمي للوجود</w:t>
      </w:r>
      <w:r w:rsidR="00603323" w:rsidRPr="00FD211F">
        <w:rPr>
          <w:sz w:val="36"/>
          <w:szCs w:val="36"/>
          <w:rtl/>
        </w:rPr>
        <w:t xml:space="preserve">، </w:t>
      </w:r>
      <w:r w:rsidRPr="00FD211F">
        <w:rPr>
          <w:sz w:val="36"/>
          <w:szCs w:val="36"/>
          <w:rtl/>
        </w:rPr>
        <w:t>هذا واما الحروف الداخل</w:t>
      </w:r>
      <w:r w:rsidR="00EC7EDF" w:rsidRPr="00FD211F">
        <w:rPr>
          <w:sz w:val="36"/>
          <w:szCs w:val="36"/>
          <w:rtl/>
        </w:rPr>
        <w:t xml:space="preserve">ة </w:t>
      </w:r>
      <w:r w:rsidRPr="00FD211F">
        <w:rPr>
          <w:sz w:val="36"/>
          <w:szCs w:val="36"/>
          <w:rtl/>
        </w:rPr>
        <w:t>على المركبات التام</w:t>
      </w:r>
      <w:r w:rsidR="00EC7EDF" w:rsidRPr="00FD211F">
        <w:rPr>
          <w:sz w:val="36"/>
          <w:szCs w:val="36"/>
          <w:rtl/>
        </w:rPr>
        <w:t xml:space="preserve">ة </w:t>
      </w:r>
      <w:r w:rsidRPr="00FD211F">
        <w:rPr>
          <w:sz w:val="36"/>
          <w:szCs w:val="36"/>
          <w:rtl/>
        </w:rPr>
        <w:t>كحرف التمني والترجي فهي كالجمل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موضوع</w:t>
      </w:r>
      <w:r w:rsidR="00EC7EDF" w:rsidRPr="00FD211F">
        <w:rPr>
          <w:sz w:val="36"/>
          <w:szCs w:val="36"/>
          <w:rtl/>
        </w:rPr>
        <w:t xml:space="preserve">ة </w:t>
      </w:r>
      <w:r w:rsidRPr="00FD211F">
        <w:rPr>
          <w:sz w:val="36"/>
          <w:szCs w:val="36"/>
          <w:rtl/>
        </w:rPr>
        <w:t>لإبراز امر نفساني غير قصد الإخبار والحكاي</w:t>
      </w:r>
      <w:r w:rsidR="00EC7EDF" w:rsidRPr="00FD211F">
        <w:rPr>
          <w:sz w:val="36"/>
          <w:szCs w:val="36"/>
          <w:rtl/>
        </w:rPr>
        <w:t>ة</w:t>
      </w:r>
      <w:r w:rsidR="00603323" w:rsidRPr="00FD211F">
        <w:rPr>
          <w:sz w:val="36"/>
          <w:szCs w:val="36"/>
          <w:rtl/>
        </w:rPr>
        <w:t xml:space="preserve">، </w:t>
      </w:r>
      <w:r w:rsidRPr="00FD211F">
        <w:rPr>
          <w:sz w:val="36"/>
          <w:szCs w:val="36"/>
          <w:rtl/>
        </w:rPr>
        <w:t>ومن هذا القبيل حرف النداء فانه وضع لإبراز قصد النداء وضم المنادى اليه يوجب كون الكلام تاما يصح السكوت عليه</w:t>
      </w:r>
      <w:r w:rsidR="009C58C8" w:rsidRPr="00FD211F">
        <w:rPr>
          <w:rStyle w:val="a6"/>
          <w:sz w:val="36"/>
          <w:szCs w:val="36"/>
          <w:rtl/>
        </w:rPr>
        <w:t>(</w:t>
      </w:r>
      <w:r w:rsidR="009C58C8" w:rsidRPr="00FD211F">
        <w:rPr>
          <w:rStyle w:val="a6"/>
          <w:sz w:val="36"/>
          <w:szCs w:val="36"/>
          <w:rtl/>
        </w:rPr>
        <w:footnoteReference w:id="170"/>
      </w:r>
      <w:r w:rsidR="009C58C8" w:rsidRPr="00FD211F">
        <w:rPr>
          <w:rStyle w:val="a6"/>
          <w:sz w:val="36"/>
          <w:szCs w:val="36"/>
          <w:rtl/>
        </w:rPr>
        <w:t>)</w:t>
      </w:r>
      <w:r w:rsidRPr="00FD211F">
        <w:rPr>
          <w:sz w:val="36"/>
          <w:szCs w:val="36"/>
          <w:rtl/>
        </w:rPr>
        <w:t>.</w:t>
      </w:r>
    </w:p>
    <w:p w14:paraId="100A6729" w14:textId="77777777" w:rsidR="007F5659" w:rsidRPr="00FD211F" w:rsidRDefault="00E94A02" w:rsidP="009C58C8">
      <w:pPr>
        <w:ind w:left="0" w:firstLine="227"/>
        <w:jc w:val="both"/>
        <w:rPr>
          <w:sz w:val="36"/>
          <w:szCs w:val="36"/>
          <w:rtl/>
        </w:rPr>
      </w:pPr>
      <w:r w:rsidRPr="00FD211F">
        <w:rPr>
          <w:sz w:val="36"/>
          <w:szCs w:val="36"/>
          <w:rtl/>
        </w:rPr>
        <w:t>اقول</w:t>
      </w:r>
      <w:r w:rsidR="00EC7EDF" w:rsidRPr="00FD211F">
        <w:rPr>
          <w:sz w:val="36"/>
          <w:szCs w:val="36"/>
          <w:rtl/>
        </w:rPr>
        <w:t>:</w:t>
      </w:r>
      <w:r w:rsidR="00EF0293" w:rsidRPr="00FD211F">
        <w:rPr>
          <w:sz w:val="36"/>
          <w:szCs w:val="36"/>
          <w:rtl/>
        </w:rPr>
        <w:t>إ</w:t>
      </w:r>
      <w:r w:rsidR="007F5659" w:rsidRPr="00FD211F">
        <w:rPr>
          <w:sz w:val="36"/>
          <w:szCs w:val="36"/>
          <w:rtl/>
        </w:rPr>
        <w:t>ن ما ذكره</w:t>
      </w:r>
      <w:r w:rsidR="00422690" w:rsidRPr="00FD211F">
        <w:rPr>
          <w:sz w:val="36"/>
          <w:szCs w:val="36"/>
          <w:rtl/>
        </w:rPr>
        <w:t>-</w:t>
      </w:r>
      <w:r w:rsidR="007F5659" w:rsidRPr="00FD211F">
        <w:rPr>
          <w:sz w:val="36"/>
          <w:szCs w:val="36"/>
          <w:rtl/>
        </w:rPr>
        <w:t xml:space="preserve"> من كون الحروف الداخل</w:t>
      </w:r>
      <w:r w:rsidR="00EC7EDF" w:rsidRPr="00FD211F">
        <w:rPr>
          <w:sz w:val="36"/>
          <w:szCs w:val="36"/>
          <w:rtl/>
        </w:rPr>
        <w:t xml:space="preserve">ة </w:t>
      </w:r>
      <w:r w:rsidR="007F5659" w:rsidRPr="00FD211F">
        <w:rPr>
          <w:sz w:val="36"/>
          <w:szCs w:val="36"/>
          <w:rtl/>
        </w:rPr>
        <w:t>على المركبات الناقص</w:t>
      </w:r>
      <w:r w:rsidR="00EC7EDF" w:rsidRPr="00FD211F">
        <w:rPr>
          <w:sz w:val="36"/>
          <w:szCs w:val="36"/>
          <w:rtl/>
        </w:rPr>
        <w:t xml:space="preserve">ة </w:t>
      </w:r>
      <w:r w:rsidR="007F5659" w:rsidRPr="00FD211F">
        <w:rPr>
          <w:sz w:val="36"/>
          <w:szCs w:val="36"/>
          <w:rtl/>
        </w:rPr>
        <w:t>موضوع</w:t>
      </w:r>
      <w:r w:rsidR="00EC7EDF" w:rsidRPr="00FD211F">
        <w:rPr>
          <w:sz w:val="36"/>
          <w:szCs w:val="36"/>
          <w:rtl/>
        </w:rPr>
        <w:t xml:space="preserve">ة </w:t>
      </w:r>
      <w:r w:rsidR="00422690" w:rsidRPr="00FD211F">
        <w:rPr>
          <w:sz w:val="36"/>
          <w:szCs w:val="36"/>
          <w:rtl/>
        </w:rPr>
        <w:t xml:space="preserve">للتضييق -منقوض بمثل حروف التفسير </w:t>
      </w:r>
      <w:r w:rsidR="007F5659" w:rsidRPr="00FD211F">
        <w:rPr>
          <w:sz w:val="36"/>
          <w:szCs w:val="36"/>
          <w:rtl/>
        </w:rPr>
        <w:t xml:space="preserve">مثل </w:t>
      </w:r>
      <w:r w:rsidR="00422690" w:rsidRPr="00FD211F">
        <w:rPr>
          <w:sz w:val="36"/>
          <w:szCs w:val="36"/>
          <w:rtl/>
        </w:rPr>
        <w:t>اي في قولنا" زيد اي زيد بن عمرو "وكذا</w:t>
      </w:r>
      <w:r w:rsidR="00FA7964" w:rsidRPr="00FD211F">
        <w:rPr>
          <w:sz w:val="36"/>
          <w:szCs w:val="36"/>
          <w:rtl/>
        </w:rPr>
        <w:t xml:space="preserve"> </w:t>
      </w:r>
      <w:r w:rsidR="00422690" w:rsidRPr="00FD211F">
        <w:rPr>
          <w:sz w:val="36"/>
          <w:szCs w:val="36"/>
          <w:rtl/>
        </w:rPr>
        <w:t>منقوض بمثل "</w:t>
      </w:r>
      <w:r w:rsidR="007F5659" w:rsidRPr="00FD211F">
        <w:rPr>
          <w:sz w:val="36"/>
          <w:szCs w:val="36"/>
          <w:rtl/>
        </w:rPr>
        <w:t>او</w:t>
      </w:r>
      <w:r w:rsidR="00422690" w:rsidRPr="00FD211F">
        <w:rPr>
          <w:sz w:val="36"/>
          <w:szCs w:val="36"/>
          <w:rtl/>
        </w:rPr>
        <w:t>"</w:t>
      </w:r>
      <w:r w:rsidR="007F5659" w:rsidRPr="00FD211F">
        <w:rPr>
          <w:sz w:val="36"/>
          <w:szCs w:val="36"/>
          <w:rtl/>
        </w:rPr>
        <w:t xml:space="preserve"> ف</w:t>
      </w:r>
      <w:r w:rsidR="00422690" w:rsidRPr="00FD211F">
        <w:rPr>
          <w:sz w:val="36"/>
          <w:szCs w:val="36"/>
          <w:rtl/>
        </w:rPr>
        <w:t>ي قولنا" اكرم زيدا او عمروا"</w:t>
      </w:r>
      <w:r w:rsidR="00FA7964" w:rsidRPr="00FD211F">
        <w:rPr>
          <w:sz w:val="36"/>
          <w:szCs w:val="36"/>
          <w:rtl/>
        </w:rPr>
        <w:t xml:space="preserve"> </w:t>
      </w:r>
      <w:r w:rsidR="00C05A25" w:rsidRPr="00FD211F">
        <w:rPr>
          <w:sz w:val="36"/>
          <w:szCs w:val="36"/>
          <w:rtl/>
        </w:rPr>
        <w:t>فانه يفيدالتوسع</w:t>
      </w:r>
      <w:r w:rsidR="00EC7EDF" w:rsidRPr="00FD211F">
        <w:rPr>
          <w:sz w:val="36"/>
          <w:szCs w:val="36"/>
          <w:rtl/>
        </w:rPr>
        <w:t>ة</w:t>
      </w:r>
      <w:r w:rsidR="00603323" w:rsidRPr="00FD211F">
        <w:rPr>
          <w:sz w:val="36"/>
          <w:szCs w:val="36"/>
          <w:rtl/>
        </w:rPr>
        <w:t xml:space="preserve">، </w:t>
      </w:r>
      <w:r w:rsidR="007F5659" w:rsidRPr="00FD211F">
        <w:rPr>
          <w:sz w:val="36"/>
          <w:szCs w:val="36"/>
          <w:rtl/>
        </w:rPr>
        <w:t>وقد لايكون للتوسع</w:t>
      </w:r>
      <w:r w:rsidR="00EC7EDF" w:rsidRPr="00FD211F">
        <w:rPr>
          <w:sz w:val="36"/>
          <w:szCs w:val="36"/>
          <w:rtl/>
        </w:rPr>
        <w:t xml:space="preserve">ة </w:t>
      </w:r>
      <w:r w:rsidR="007F5659" w:rsidRPr="00FD211F">
        <w:rPr>
          <w:sz w:val="36"/>
          <w:szCs w:val="36"/>
          <w:rtl/>
        </w:rPr>
        <w:t>ولاالتضييق كما في ما المصدري</w:t>
      </w:r>
      <w:r w:rsidR="00EC7EDF" w:rsidRPr="00FD211F">
        <w:rPr>
          <w:sz w:val="36"/>
          <w:szCs w:val="36"/>
          <w:rtl/>
        </w:rPr>
        <w:t xml:space="preserve">ة </w:t>
      </w:r>
      <w:r w:rsidR="007F5659" w:rsidRPr="00FD211F">
        <w:rPr>
          <w:sz w:val="36"/>
          <w:szCs w:val="36"/>
          <w:rtl/>
        </w:rPr>
        <w:t>في قوله تعالى: "وضاقت عليهم الارض بما رحبت" اي برحبها او في نون التأكيد كما في "ليضربن زيد".</w:t>
      </w:r>
    </w:p>
    <w:p w14:paraId="7A245AF8" w14:textId="77777777" w:rsidR="007F5659" w:rsidRPr="00FD211F" w:rsidRDefault="007F5659" w:rsidP="009C58C8">
      <w:pPr>
        <w:ind w:left="0" w:firstLine="227"/>
        <w:jc w:val="both"/>
        <w:rPr>
          <w:sz w:val="36"/>
          <w:szCs w:val="36"/>
          <w:rtl/>
        </w:rPr>
      </w:pPr>
      <w:r w:rsidRPr="00FD211F">
        <w:rPr>
          <w:sz w:val="36"/>
          <w:szCs w:val="36"/>
          <w:rtl/>
        </w:rPr>
        <w:t>وكذا ما ذكره من ان الحروف الداخل</w:t>
      </w:r>
      <w:r w:rsidR="00EC7EDF" w:rsidRPr="00FD211F">
        <w:rPr>
          <w:sz w:val="36"/>
          <w:szCs w:val="36"/>
          <w:rtl/>
        </w:rPr>
        <w:t xml:space="preserve">ة </w:t>
      </w:r>
      <w:r w:rsidRPr="00FD211F">
        <w:rPr>
          <w:sz w:val="36"/>
          <w:szCs w:val="36"/>
          <w:rtl/>
        </w:rPr>
        <w:t>على الجمل التام</w:t>
      </w:r>
      <w:r w:rsidR="00EC7EDF" w:rsidRPr="00FD211F">
        <w:rPr>
          <w:sz w:val="36"/>
          <w:szCs w:val="36"/>
          <w:rtl/>
        </w:rPr>
        <w:t xml:space="preserve">ة </w:t>
      </w:r>
      <w:r w:rsidRPr="00FD211F">
        <w:rPr>
          <w:sz w:val="36"/>
          <w:szCs w:val="36"/>
          <w:rtl/>
        </w:rPr>
        <w:t>تكون موضوع</w:t>
      </w:r>
      <w:r w:rsidR="00EC7EDF" w:rsidRPr="00FD211F">
        <w:rPr>
          <w:sz w:val="36"/>
          <w:szCs w:val="36"/>
          <w:rtl/>
        </w:rPr>
        <w:t xml:space="preserve">ة </w:t>
      </w:r>
      <w:r w:rsidRPr="00FD211F">
        <w:rPr>
          <w:sz w:val="36"/>
          <w:szCs w:val="36"/>
          <w:rtl/>
        </w:rPr>
        <w:t>لإبراز امر ن</w:t>
      </w:r>
      <w:r w:rsidR="0068196C" w:rsidRPr="00FD211F">
        <w:rPr>
          <w:sz w:val="36"/>
          <w:szCs w:val="36"/>
          <w:rtl/>
        </w:rPr>
        <w:t>فساني غير قصد الإخبار والحكاي</w:t>
      </w:r>
      <w:r w:rsidR="00EC7EDF" w:rsidRPr="00FD211F">
        <w:rPr>
          <w:sz w:val="36"/>
          <w:szCs w:val="36"/>
          <w:rtl/>
        </w:rPr>
        <w:t xml:space="preserve">ة </w:t>
      </w:r>
      <w:r w:rsidRPr="00FD211F">
        <w:rPr>
          <w:sz w:val="36"/>
          <w:szCs w:val="36"/>
          <w:rtl/>
        </w:rPr>
        <w:t>منقوض بأدا</w:t>
      </w:r>
      <w:r w:rsidR="00EC7EDF" w:rsidRPr="00FD211F">
        <w:rPr>
          <w:sz w:val="36"/>
          <w:szCs w:val="36"/>
          <w:rtl/>
        </w:rPr>
        <w:t xml:space="preserve">ة </w:t>
      </w:r>
      <w:r w:rsidRPr="00FD211F">
        <w:rPr>
          <w:sz w:val="36"/>
          <w:szCs w:val="36"/>
          <w:rtl/>
        </w:rPr>
        <w:t>الشرط كقولنا "ان كانت الشمس طالع</w:t>
      </w:r>
      <w:r w:rsidR="00EC7EDF" w:rsidRPr="00FD211F">
        <w:rPr>
          <w:sz w:val="36"/>
          <w:szCs w:val="36"/>
          <w:rtl/>
        </w:rPr>
        <w:t xml:space="preserve">ة </w:t>
      </w:r>
      <w:r w:rsidRPr="00FD211F">
        <w:rPr>
          <w:sz w:val="36"/>
          <w:szCs w:val="36"/>
          <w:rtl/>
        </w:rPr>
        <w:t>فالنهار موجود"</w:t>
      </w:r>
      <w:r w:rsidR="00603323" w:rsidRPr="00FD211F">
        <w:rPr>
          <w:sz w:val="36"/>
          <w:szCs w:val="36"/>
          <w:rtl/>
        </w:rPr>
        <w:t xml:space="preserve">، </w:t>
      </w:r>
      <w:r w:rsidRPr="00FD211F">
        <w:rPr>
          <w:sz w:val="36"/>
          <w:szCs w:val="36"/>
          <w:rtl/>
        </w:rPr>
        <w:t>وكذا قولنا "اما زيد فعالم" وقولنا "لارجل قائم"</w:t>
      </w:r>
      <w:r w:rsidR="00603323" w:rsidRPr="00FD211F">
        <w:rPr>
          <w:sz w:val="36"/>
          <w:szCs w:val="36"/>
          <w:rtl/>
        </w:rPr>
        <w:t xml:space="preserve">، </w:t>
      </w:r>
      <w:r w:rsidRPr="00FD211F">
        <w:rPr>
          <w:sz w:val="36"/>
          <w:szCs w:val="36"/>
          <w:rtl/>
        </w:rPr>
        <w:t>وكذا حرف التصديق مثل بلى ونعم.</w:t>
      </w:r>
    </w:p>
    <w:p w14:paraId="5FC2DC72" w14:textId="77777777" w:rsidR="00FA7964" w:rsidRPr="00FD211F" w:rsidRDefault="00C05A25" w:rsidP="009C58C8">
      <w:pPr>
        <w:ind w:left="0" w:firstLine="227"/>
        <w:jc w:val="both"/>
        <w:rPr>
          <w:sz w:val="36"/>
          <w:szCs w:val="36"/>
          <w:rtl/>
        </w:rPr>
      </w:pPr>
      <w:r w:rsidRPr="00FD211F">
        <w:rPr>
          <w:sz w:val="36"/>
          <w:szCs w:val="36"/>
          <w:rtl/>
        </w:rPr>
        <w:t>نعم الظاهر</w:t>
      </w:r>
      <w:r w:rsidR="00FA7964" w:rsidRPr="00FD211F">
        <w:rPr>
          <w:sz w:val="36"/>
          <w:szCs w:val="36"/>
          <w:rtl/>
        </w:rPr>
        <w:t xml:space="preserve"> </w:t>
      </w:r>
      <w:r w:rsidRPr="00FD211F">
        <w:rPr>
          <w:sz w:val="36"/>
          <w:szCs w:val="36"/>
          <w:rtl/>
        </w:rPr>
        <w:t>أنه لايرد</w:t>
      </w:r>
      <w:r w:rsidR="00251CB6" w:rsidRPr="00FD211F">
        <w:rPr>
          <w:sz w:val="36"/>
          <w:szCs w:val="36"/>
          <w:rtl/>
        </w:rPr>
        <w:t xml:space="preserve"> </w:t>
      </w:r>
      <w:r w:rsidRPr="00FD211F">
        <w:rPr>
          <w:sz w:val="36"/>
          <w:szCs w:val="36"/>
          <w:rtl/>
        </w:rPr>
        <w:t>عليه النقض بمثل حرف الواو</w:t>
      </w:r>
      <w:r w:rsidR="00FA7964" w:rsidRPr="00FD211F">
        <w:rPr>
          <w:sz w:val="36"/>
          <w:szCs w:val="36"/>
          <w:rtl/>
        </w:rPr>
        <w:t xml:space="preserve"> </w:t>
      </w:r>
      <w:r w:rsidRPr="00FD211F">
        <w:rPr>
          <w:sz w:val="36"/>
          <w:szCs w:val="36"/>
          <w:rtl/>
        </w:rPr>
        <w:t>في قولنا</w:t>
      </w:r>
      <w:r w:rsidR="00FA7964" w:rsidRPr="00FD211F">
        <w:rPr>
          <w:sz w:val="36"/>
          <w:szCs w:val="36"/>
          <w:rtl/>
        </w:rPr>
        <w:t xml:space="preserve"> </w:t>
      </w:r>
      <w:r w:rsidRPr="00FD211F">
        <w:rPr>
          <w:sz w:val="36"/>
          <w:szCs w:val="36"/>
          <w:rtl/>
        </w:rPr>
        <w:t>"الحرار</w:t>
      </w:r>
      <w:r w:rsidR="00EC7EDF" w:rsidRPr="00FD211F">
        <w:rPr>
          <w:sz w:val="36"/>
          <w:szCs w:val="36"/>
          <w:rtl/>
        </w:rPr>
        <w:t xml:space="preserve">ة </w:t>
      </w:r>
      <w:r w:rsidRPr="00FD211F">
        <w:rPr>
          <w:sz w:val="36"/>
          <w:szCs w:val="36"/>
          <w:rtl/>
        </w:rPr>
        <w:t>والبرود</w:t>
      </w:r>
      <w:r w:rsidR="00EC7EDF" w:rsidRPr="00FD211F">
        <w:rPr>
          <w:sz w:val="36"/>
          <w:szCs w:val="36"/>
          <w:rtl/>
        </w:rPr>
        <w:t xml:space="preserve">ة </w:t>
      </w:r>
      <w:r w:rsidR="0068196C" w:rsidRPr="00FD211F">
        <w:rPr>
          <w:sz w:val="36"/>
          <w:szCs w:val="36"/>
          <w:rtl/>
        </w:rPr>
        <w:t>لايجتمعان"</w:t>
      </w:r>
      <w:r w:rsidR="00FA7964" w:rsidRPr="00FD211F">
        <w:rPr>
          <w:sz w:val="36"/>
          <w:szCs w:val="36"/>
          <w:rtl/>
        </w:rPr>
        <w:t xml:space="preserve"> </w:t>
      </w:r>
      <w:r w:rsidR="0068196C" w:rsidRPr="00FD211F">
        <w:rPr>
          <w:sz w:val="36"/>
          <w:szCs w:val="36"/>
          <w:rtl/>
        </w:rPr>
        <w:t>فانه يمكن</w:t>
      </w:r>
      <w:r w:rsidRPr="00FD211F">
        <w:rPr>
          <w:sz w:val="36"/>
          <w:szCs w:val="36"/>
          <w:rtl/>
        </w:rPr>
        <w:t xml:space="preserve"> أن يجيب عنه بأنه</w:t>
      </w:r>
      <w:r w:rsidR="008D7B3D" w:rsidRPr="00FD211F">
        <w:rPr>
          <w:sz w:val="36"/>
          <w:szCs w:val="36"/>
          <w:rtl/>
        </w:rPr>
        <w:t xml:space="preserve"> لم‌</w:t>
      </w:r>
      <w:r w:rsidRPr="00FD211F">
        <w:rPr>
          <w:sz w:val="36"/>
          <w:szCs w:val="36"/>
          <w:rtl/>
        </w:rPr>
        <w:t xml:space="preserve">يجئ </w:t>
      </w:r>
      <w:r w:rsidR="00452E24" w:rsidRPr="00FD211F">
        <w:rPr>
          <w:sz w:val="36"/>
          <w:szCs w:val="36"/>
          <w:rtl/>
        </w:rPr>
        <w:t>بحرف الواو</w:t>
      </w:r>
      <w:r w:rsidR="00FA7964" w:rsidRPr="00FD211F">
        <w:rPr>
          <w:sz w:val="36"/>
          <w:szCs w:val="36"/>
          <w:rtl/>
        </w:rPr>
        <w:t xml:space="preserve"> </w:t>
      </w:r>
      <w:r w:rsidRPr="00FD211F">
        <w:rPr>
          <w:sz w:val="36"/>
          <w:szCs w:val="36"/>
          <w:rtl/>
        </w:rPr>
        <w:t>بغرض تضييق الحرار</w:t>
      </w:r>
      <w:r w:rsidR="00EC7EDF" w:rsidRPr="00FD211F">
        <w:rPr>
          <w:sz w:val="36"/>
          <w:szCs w:val="36"/>
          <w:rtl/>
        </w:rPr>
        <w:t xml:space="preserve">ة </w:t>
      </w:r>
      <w:r w:rsidR="00452E24" w:rsidRPr="00FD211F">
        <w:rPr>
          <w:sz w:val="36"/>
          <w:szCs w:val="36"/>
          <w:rtl/>
        </w:rPr>
        <w:t>بل بغرض تضييق اجتماع الحرار</w:t>
      </w:r>
      <w:r w:rsidR="00EC7EDF" w:rsidRPr="00FD211F">
        <w:rPr>
          <w:sz w:val="36"/>
          <w:szCs w:val="36"/>
          <w:rtl/>
        </w:rPr>
        <w:t xml:space="preserve">ة </w:t>
      </w:r>
      <w:r w:rsidR="00452E24" w:rsidRPr="00FD211F">
        <w:rPr>
          <w:sz w:val="36"/>
          <w:szCs w:val="36"/>
          <w:rtl/>
        </w:rPr>
        <w:t>حيث</w:t>
      </w:r>
      <w:r w:rsidR="00FA7964" w:rsidRPr="00FD211F">
        <w:rPr>
          <w:sz w:val="36"/>
          <w:szCs w:val="36"/>
          <w:rtl/>
        </w:rPr>
        <w:t xml:space="preserve"> أنه مطلق بلحاظ اجتماعها مع أيّ شيء </w:t>
      </w:r>
      <w:r w:rsidR="00452E24" w:rsidRPr="00FD211F">
        <w:rPr>
          <w:sz w:val="36"/>
          <w:szCs w:val="36"/>
          <w:rtl/>
        </w:rPr>
        <w:t>آخر</w:t>
      </w:r>
      <w:r w:rsidR="00FA7964" w:rsidRPr="00FD211F">
        <w:rPr>
          <w:sz w:val="36"/>
          <w:szCs w:val="36"/>
          <w:rtl/>
        </w:rPr>
        <w:t xml:space="preserve"> </w:t>
      </w:r>
      <w:r w:rsidR="00452E24" w:rsidRPr="00FD211F">
        <w:rPr>
          <w:sz w:val="36"/>
          <w:szCs w:val="36"/>
          <w:rtl/>
        </w:rPr>
        <w:t>فاريد</w:t>
      </w:r>
      <w:r w:rsidR="00FA7964" w:rsidRPr="00FD211F">
        <w:rPr>
          <w:sz w:val="36"/>
          <w:szCs w:val="36"/>
          <w:rtl/>
        </w:rPr>
        <w:t xml:space="preserve"> </w:t>
      </w:r>
      <w:r w:rsidR="00452E24" w:rsidRPr="00FD211F">
        <w:rPr>
          <w:sz w:val="36"/>
          <w:szCs w:val="36"/>
          <w:rtl/>
        </w:rPr>
        <w:t>تضييقه باجتماعها</w:t>
      </w:r>
      <w:r w:rsidR="00FA7964" w:rsidRPr="00FD211F">
        <w:rPr>
          <w:sz w:val="36"/>
          <w:szCs w:val="36"/>
          <w:rtl/>
        </w:rPr>
        <w:t xml:space="preserve"> </w:t>
      </w:r>
      <w:r w:rsidR="00452E24" w:rsidRPr="00FD211F">
        <w:rPr>
          <w:sz w:val="36"/>
          <w:szCs w:val="36"/>
          <w:rtl/>
        </w:rPr>
        <w:t>مع البرود</w:t>
      </w:r>
      <w:r w:rsidR="00EC7EDF" w:rsidRPr="00FD211F">
        <w:rPr>
          <w:sz w:val="36"/>
          <w:szCs w:val="36"/>
          <w:rtl/>
        </w:rPr>
        <w:t xml:space="preserve">ة </w:t>
      </w:r>
      <w:r w:rsidR="00452E24" w:rsidRPr="00FD211F">
        <w:rPr>
          <w:sz w:val="36"/>
          <w:szCs w:val="36"/>
          <w:rtl/>
        </w:rPr>
        <w:t>والشاهد</w:t>
      </w:r>
      <w:r w:rsidR="00FA7964" w:rsidRPr="00FD211F">
        <w:rPr>
          <w:sz w:val="36"/>
          <w:szCs w:val="36"/>
          <w:rtl/>
        </w:rPr>
        <w:t xml:space="preserve"> </w:t>
      </w:r>
      <w:r w:rsidR="00452E24" w:rsidRPr="00FD211F">
        <w:rPr>
          <w:sz w:val="36"/>
          <w:szCs w:val="36"/>
          <w:rtl/>
        </w:rPr>
        <w:t>عليه أنه لايتحقق معنى للواو</w:t>
      </w:r>
      <w:r w:rsidR="00FA7964" w:rsidRPr="00FD211F">
        <w:rPr>
          <w:sz w:val="36"/>
          <w:szCs w:val="36"/>
          <w:rtl/>
        </w:rPr>
        <w:t xml:space="preserve"> </w:t>
      </w:r>
      <w:r w:rsidR="00772440" w:rsidRPr="00FD211F">
        <w:rPr>
          <w:sz w:val="36"/>
          <w:szCs w:val="36"/>
          <w:rtl/>
        </w:rPr>
        <w:t>اذا</w:t>
      </w:r>
      <w:r w:rsidR="00FA7964" w:rsidRPr="00FD211F">
        <w:rPr>
          <w:sz w:val="36"/>
          <w:szCs w:val="36"/>
          <w:rtl/>
        </w:rPr>
        <w:t xml:space="preserve"> </w:t>
      </w:r>
      <w:r w:rsidR="00772440" w:rsidRPr="00FD211F">
        <w:rPr>
          <w:sz w:val="36"/>
          <w:szCs w:val="36"/>
          <w:rtl/>
        </w:rPr>
        <w:t>اكتفي بقوله "الحرار</w:t>
      </w:r>
      <w:r w:rsidR="00EC7EDF" w:rsidRPr="00FD211F">
        <w:rPr>
          <w:sz w:val="36"/>
          <w:szCs w:val="36"/>
          <w:rtl/>
        </w:rPr>
        <w:t xml:space="preserve">ة </w:t>
      </w:r>
      <w:r w:rsidR="00772440" w:rsidRPr="00FD211F">
        <w:rPr>
          <w:sz w:val="36"/>
          <w:szCs w:val="36"/>
          <w:rtl/>
        </w:rPr>
        <w:t>والبرود</w:t>
      </w:r>
      <w:r w:rsidR="00EC7EDF" w:rsidRPr="00FD211F">
        <w:rPr>
          <w:sz w:val="36"/>
          <w:szCs w:val="36"/>
          <w:rtl/>
        </w:rPr>
        <w:t xml:space="preserve">ة </w:t>
      </w:r>
      <w:r w:rsidR="00772440" w:rsidRPr="00FD211F">
        <w:rPr>
          <w:sz w:val="36"/>
          <w:szCs w:val="36"/>
          <w:rtl/>
        </w:rPr>
        <w:t>"</w:t>
      </w:r>
      <w:r w:rsidRPr="00FD211F">
        <w:rPr>
          <w:sz w:val="36"/>
          <w:szCs w:val="36"/>
          <w:rtl/>
        </w:rPr>
        <w:t>و</w:t>
      </w:r>
      <w:r w:rsidR="00772440" w:rsidRPr="00FD211F">
        <w:rPr>
          <w:sz w:val="36"/>
          <w:szCs w:val="36"/>
          <w:rtl/>
        </w:rPr>
        <w:t>كذا</w:t>
      </w:r>
      <w:r w:rsidR="00FA7964" w:rsidRPr="00FD211F">
        <w:rPr>
          <w:sz w:val="36"/>
          <w:szCs w:val="36"/>
          <w:rtl/>
        </w:rPr>
        <w:t xml:space="preserve"> </w:t>
      </w:r>
      <w:r w:rsidR="00772440" w:rsidRPr="00FD211F">
        <w:rPr>
          <w:sz w:val="36"/>
          <w:szCs w:val="36"/>
          <w:rtl/>
        </w:rPr>
        <w:t>لايرد</w:t>
      </w:r>
      <w:r w:rsidR="00FA7964" w:rsidRPr="00FD211F">
        <w:rPr>
          <w:sz w:val="36"/>
          <w:szCs w:val="36"/>
          <w:rtl/>
        </w:rPr>
        <w:t xml:space="preserve"> </w:t>
      </w:r>
      <w:r w:rsidR="00772440" w:rsidRPr="00FD211F">
        <w:rPr>
          <w:sz w:val="36"/>
          <w:szCs w:val="36"/>
          <w:rtl/>
        </w:rPr>
        <w:t xml:space="preserve">عليه النقض بمثل حرف </w:t>
      </w:r>
      <w:r w:rsidRPr="00FD211F">
        <w:rPr>
          <w:sz w:val="36"/>
          <w:szCs w:val="36"/>
          <w:rtl/>
        </w:rPr>
        <w:t>الإضراب</w:t>
      </w:r>
      <w:r w:rsidR="00312F2B" w:rsidRPr="00FD211F">
        <w:rPr>
          <w:sz w:val="36"/>
          <w:szCs w:val="36"/>
          <w:rtl/>
        </w:rPr>
        <w:t xml:space="preserve"> في </w:t>
      </w:r>
      <w:r w:rsidR="00772440" w:rsidRPr="00FD211F">
        <w:rPr>
          <w:sz w:val="36"/>
          <w:szCs w:val="36"/>
          <w:rtl/>
        </w:rPr>
        <w:t>قولنا</w:t>
      </w:r>
      <w:r w:rsidRPr="00FD211F">
        <w:rPr>
          <w:sz w:val="36"/>
          <w:szCs w:val="36"/>
          <w:rtl/>
        </w:rPr>
        <w:t xml:space="preserve"> </w:t>
      </w:r>
      <w:r w:rsidR="00772440" w:rsidRPr="00FD211F">
        <w:rPr>
          <w:sz w:val="36"/>
          <w:szCs w:val="36"/>
          <w:rtl/>
        </w:rPr>
        <w:t>"اكرم زيدا بل عمروا"</w:t>
      </w:r>
      <w:r w:rsidR="00FA7964" w:rsidRPr="00FD211F">
        <w:rPr>
          <w:sz w:val="36"/>
          <w:szCs w:val="36"/>
          <w:rtl/>
        </w:rPr>
        <w:t xml:space="preserve"> </w:t>
      </w:r>
      <w:r w:rsidR="00312F2B" w:rsidRPr="00FD211F">
        <w:rPr>
          <w:sz w:val="36"/>
          <w:szCs w:val="36"/>
          <w:rtl/>
        </w:rPr>
        <w:t>فانه ليس من الحروف الداخل</w:t>
      </w:r>
      <w:r w:rsidR="00EC7EDF" w:rsidRPr="00FD211F">
        <w:rPr>
          <w:sz w:val="36"/>
          <w:szCs w:val="36"/>
          <w:rtl/>
        </w:rPr>
        <w:t xml:space="preserve">ة </w:t>
      </w:r>
      <w:r w:rsidR="00312F2B" w:rsidRPr="00FD211F">
        <w:rPr>
          <w:sz w:val="36"/>
          <w:szCs w:val="36"/>
          <w:rtl/>
        </w:rPr>
        <w:t>على المركبات الناقص</w:t>
      </w:r>
      <w:r w:rsidR="00EC7EDF" w:rsidRPr="00FD211F">
        <w:rPr>
          <w:sz w:val="36"/>
          <w:szCs w:val="36"/>
          <w:rtl/>
        </w:rPr>
        <w:t xml:space="preserve">ة </w:t>
      </w:r>
      <w:r w:rsidR="00312F2B" w:rsidRPr="00FD211F">
        <w:rPr>
          <w:sz w:val="36"/>
          <w:szCs w:val="36"/>
          <w:rtl/>
        </w:rPr>
        <w:t>حقيق</w:t>
      </w:r>
      <w:r w:rsidR="00EC7EDF" w:rsidRPr="00FD211F">
        <w:rPr>
          <w:sz w:val="36"/>
          <w:szCs w:val="36"/>
          <w:rtl/>
        </w:rPr>
        <w:t xml:space="preserve">ة </w:t>
      </w:r>
      <w:r w:rsidR="008E32AB" w:rsidRPr="00FD211F">
        <w:rPr>
          <w:sz w:val="36"/>
          <w:szCs w:val="36"/>
          <w:rtl/>
        </w:rPr>
        <w:t>ولذا</w:t>
      </w:r>
      <w:r w:rsidR="00FA7964" w:rsidRPr="00FD211F">
        <w:rPr>
          <w:sz w:val="36"/>
          <w:szCs w:val="36"/>
          <w:rtl/>
        </w:rPr>
        <w:t xml:space="preserve"> </w:t>
      </w:r>
      <w:r w:rsidR="008E32AB" w:rsidRPr="00FD211F">
        <w:rPr>
          <w:sz w:val="36"/>
          <w:szCs w:val="36"/>
          <w:rtl/>
        </w:rPr>
        <w:t>لايصح ان يقال "زيد</w:t>
      </w:r>
      <w:r w:rsidR="00FA7964" w:rsidRPr="00FD211F">
        <w:rPr>
          <w:sz w:val="36"/>
          <w:szCs w:val="36"/>
          <w:rtl/>
        </w:rPr>
        <w:t xml:space="preserve"> </w:t>
      </w:r>
      <w:r w:rsidR="008E32AB" w:rsidRPr="00FD211F">
        <w:rPr>
          <w:sz w:val="36"/>
          <w:szCs w:val="36"/>
          <w:rtl/>
        </w:rPr>
        <w:t>بل عمرو"</w:t>
      </w:r>
      <w:r w:rsidR="00FA7964" w:rsidRPr="00FD211F">
        <w:rPr>
          <w:sz w:val="36"/>
          <w:szCs w:val="36"/>
          <w:rtl/>
        </w:rPr>
        <w:t xml:space="preserve"> </w:t>
      </w:r>
      <w:r w:rsidR="008E32AB" w:rsidRPr="00FD211F">
        <w:rPr>
          <w:sz w:val="36"/>
          <w:szCs w:val="36"/>
          <w:rtl/>
        </w:rPr>
        <w:t>فمعنى تلك الجمل</w:t>
      </w:r>
      <w:r w:rsidR="00EC7EDF" w:rsidRPr="00FD211F">
        <w:rPr>
          <w:sz w:val="36"/>
          <w:szCs w:val="36"/>
          <w:rtl/>
        </w:rPr>
        <w:t xml:space="preserve">ة </w:t>
      </w:r>
      <w:r w:rsidR="0068196C" w:rsidRPr="00FD211F">
        <w:rPr>
          <w:sz w:val="36"/>
          <w:szCs w:val="36"/>
          <w:rtl/>
        </w:rPr>
        <w:t>"</w:t>
      </w:r>
      <w:r w:rsidR="008E32AB" w:rsidRPr="00FD211F">
        <w:rPr>
          <w:sz w:val="36"/>
          <w:szCs w:val="36"/>
          <w:rtl/>
        </w:rPr>
        <w:t>أنه جاء</w:t>
      </w:r>
      <w:r w:rsidR="00FA7964" w:rsidRPr="00FD211F">
        <w:rPr>
          <w:sz w:val="36"/>
          <w:szCs w:val="36"/>
          <w:rtl/>
        </w:rPr>
        <w:t xml:space="preserve"> </w:t>
      </w:r>
      <w:r w:rsidR="008E32AB" w:rsidRPr="00FD211F">
        <w:rPr>
          <w:sz w:val="36"/>
          <w:szCs w:val="36"/>
          <w:rtl/>
        </w:rPr>
        <w:t>زيد</w:t>
      </w:r>
      <w:r w:rsidR="00FA7964" w:rsidRPr="00FD211F">
        <w:rPr>
          <w:sz w:val="36"/>
          <w:szCs w:val="36"/>
          <w:rtl/>
        </w:rPr>
        <w:t xml:space="preserve"> </w:t>
      </w:r>
      <w:r w:rsidR="008E32AB" w:rsidRPr="00FD211F">
        <w:rPr>
          <w:sz w:val="36"/>
          <w:szCs w:val="36"/>
          <w:rtl/>
        </w:rPr>
        <w:t>بل جاء</w:t>
      </w:r>
      <w:r w:rsidR="00FA7964" w:rsidRPr="00FD211F">
        <w:rPr>
          <w:sz w:val="36"/>
          <w:szCs w:val="36"/>
          <w:rtl/>
        </w:rPr>
        <w:t xml:space="preserve"> </w:t>
      </w:r>
      <w:r w:rsidR="008E32AB" w:rsidRPr="00FD211F">
        <w:rPr>
          <w:sz w:val="36"/>
          <w:szCs w:val="36"/>
          <w:rtl/>
        </w:rPr>
        <w:t>عمرو</w:t>
      </w:r>
      <w:r w:rsidR="0068196C" w:rsidRPr="00FD211F">
        <w:rPr>
          <w:sz w:val="36"/>
          <w:szCs w:val="36"/>
          <w:rtl/>
        </w:rPr>
        <w:t>"</w:t>
      </w:r>
      <w:r w:rsidR="00FA7964" w:rsidRPr="00FD211F">
        <w:rPr>
          <w:sz w:val="36"/>
          <w:szCs w:val="36"/>
          <w:rtl/>
        </w:rPr>
        <w:t xml:space="preserve"> </w:t>
      </w:r>
      <w:r w:rsidR="008E32AB" w:rsidRPr="00FD211F">
        <w:rPr>
          <w:sz w:val="36"/>
          <w:szCs w:val="36"/>
          <w:rtl/>
        </w:rPr>
        <w:t>فيمكن للسيد</w:t>
      </w:r>
      <w:r w:rsidR="00FA7964" w:rsidRPr="00FD211F">
        <w:rPr>
          <w:sz w:val="36"/>
          <w:szCs w:val="36"/>
          <w:rtl/>
        </w:rPr>
        <w:t xml:space="preserve"> </w:t>
      </w:r>
      <w:r w:rsidR="008E32AB" w:rsidRPr="00FD211F">
        <w:rPr>
          <w:sz w:val="36"/>
          <w:szCs w:val="36"/>
          <w:rtl/>
        </w:rPr>
        <w:t>الخوئي</w:t>
      </w:r>
      <w:r w:rsidR="00FA7964" w:rsidRPr="00FD211F">
        <w:rPr>
          <w:sz w:val="36"/>
          <w:szCs w:val="36"/>
          <w:rtl/>
        </w:rPr>
        <w:t xml:space="preserve"> </w:t>
      </w:r>
      <w:r w:rsidR="0068196C" w:rsidRPr="00FD211F">
        <w:rPr>
          <w:sz w:val="36"/>
          <w:szCs w:val="36"/>
          <w:rtl/>
        </w:rPr>
        <w:t>"قده"</w:t>
      </w:r>
      <w:r w:rsidR="008E32AB" w:rsidRPr="00FD211F">
        <w:rPr>
          <w:sz w:val="36"/>
          <w:szCs w:val="36"/>
          <w:rtl/>
        </w:rPr>
        <w:t xml:space="preserve"> ان يدعي </w:t>
      </w:r>
      <w:r w:rsidR="0068196C" w:rsidRPr="00FD211F">
        <w:rPr>
          <w:sz w:val="36"/>
          <w:szCs w:val="36"/>
          <w:rtl/>
        </w:rPr>
        <w:t>ان حرف "بل"</w:t>
      </w:r>
      <w:r w:rsidR="00FA7964" w:rsidRPr="00FD211F">
        <w:rPr>
          <w:sz w:val="36"/>
          <w:szCs w:val="36"/>
          <w:rtl/>
        </w:rPr>
        <w:t xml:space="preserve"> </w:t>
      </w:r>
      <w:r w:rsidR="0068196C" w:rsidRPr="00FD211F">
        <w:rPr>
          <w:sz w:val="36"/>
          <w:szCs w:val="36"/>
          <w:rtl/>
        </w:rPr>
        <w:t>وضع لابراز</w:t>
      </w:r>
      <w:r w:rsidR="00FA7964" w:rsidRPr="00FD211F">
        <w:rPr>
          <w:sz w:val="36"/>
          <w:szCs w:val="36"/>
          <w:rtl/>
        </w:rPr>
        <w:t xml:space="preserve"> </w:t>
      </w:r>
      <w:r w:rsidR="0068196C" w:rsidRPr="00FD211F">
        <w:rPr>
          <w:sz w:val="36"/>
          <w:szCs w:val="36"/>
          <w:rtl/>
        </w:rPr>
        <w:t>قصد</w:t>
      </w:r>
      <w:r w:rsidR="00FA7964" w:rsidRPr="00FD211F">
        <w:rPr>
          <w:sz w:val="36"/>
          <w:szCs w:val="36"/>
          <w:rtl/>
        </w:rPr>
        <w:t xml:space="preserve"> </w:t>
      </w:r>
      <w:r w:rsidR="0068196C" w:rsidRPr="00FD211F">
        <w:rPr>
          <w:sz w:val="36"/>
          <w:szCs w:val="36"/>
          <w:rtl/>
        </w:rPr>
        <w:t>الاضراب</w:t>
      </w:r>
      <w:r w:rsidR="00603323" w:rsidRPr="00FD211F">
        <w:rPr>
          <w:sz w:val="36"/>
          <w:szCs w:val="36"/>
          <w:rtl/>
        </w:rPr>
        <w:t xml:space="preserve">، </w:t>
      </w:r>
      <w:r w:rsidR="008E32AB" w:rsidRPr="00FD211F">
        <w:rPr>
          <w:sz w:val="36"/>
          <w:szCs w:val="36"/>
          <w:rtl/>
        </w:rPr>
        <w:t>على وزان سائر</w:t>
      </w:r>
      <w:r w:rsidR="00FA7964" w:rsidRPr="00FD211F">
        <w:rPr>
          <w:sz w:val="36"/>
          <w:szCs w:val="36"/>
          <w:rtl/>
        </w:rPr>
        <w:t xml:space="preserve"> </w:t>
      </w:r>
      <w:r w:rsidR="008E32AB" w:rsidRPr="00FD211F">
        <w:rPr>
          <w:sz w:val="36"/>
          <w:szCs w:val="36"/>
          <w:rtl/>
        </w:rPr>
        <w:t>الحروف الداخل</w:t>
      </w:r>
      <w:r w:rsidR="00EC7EDF" w:rsidRPr="00FD211F">
        <w:rPr>
          <w:sz w:val="36"/>
          <w:szCs w:val="36"/>
          <w:rtl/>
        </w:rPr>
        <w:t xml:space="preserve">ة </w:t>
      </w:r>
      <w:r w:rsidR="008E32AB" w:rsidRPr="00FD211F">
        <w:rPr>
          <w:sz w:val="36"/>
          <w:szCs w:val="36"/>
          <w:rtl/>
        </w:rPr>
        <w:t>على المركبات التام</w:t>
      </w:r>
      <w:r w:rsidR="00EC7EDF" w:rsidRPr="00FD211F">
        <w:rPr>
          <w:sz w:val="36"/>
          <w:szCs w:val="36"/>
          <w:rtl/>
        </w:rPr>
        <w:t>ة</w:t>
      </w:r>
      <w:r w:rsidR="00603323" w:rsidRPr="00FD211F">
        <w:rPr>
          <w:sz w:val="36"/>
          <w:szCs w:val="36"/>
          <w:rtl/>
        </w:rPr>
        <w:t xml:space="preserve">، </w:t>
      </w:r>
      <w:r w:rsidR="008E32AB" w:rsidRPr="00FD211F">
        <w:rPr>
          <w:sz w:val="36"/>
          <w:szCs w:val="36"/>
          <w:rtl/>
        </w:rPr>
        <w:t>فلايرد</w:t>
      </w:r>
      <w:r w:rsidR="00FA7964" w:rsidRPr="00FD211F">
        <w:rPr>
          <w:sz w:val="36"/>
          <w:szCs w:val="36"/>
          <w:rtl/>
        </w:rPr>
        <w:t xml:space="preserve"> </w:t>
      </w:r>
      <w:r w:rsidR="008E32AB" w:rsidRPr="00FD211F">
        <w:rPr>
          <w:sz w:val="36"/>
          <w:szCs w:val="36"/>
          <w:rtl/>
        </w:rPr>
        <w:t>عليه ان حرف "بل"</w:t>
      </w:r>
      <w:r w:rsidR="00FA7964" w:rsidRPr="00FD211F">
        <w:rPr>
          <w:sz w:val="36"/>
          <w:szCs w:val="36"/>
          <w:rtl/>
        </w:rPr>
        <w:t xml:space="preserve"> </w:t>
      </w:r>
      <w:r w:rsidR="008E32AB" w:rsidRPr="00FD211F">
        <w:rPr>
          <w:sz w:val="36"/>
          <w:szCs w:val="36"/>
          <w:rtl/>
        </w:rPr>
        <w:t>يفيد</w:t>
      </w:r>
      <w:r w:rsidR="00FA7964" w:rsidRPr="00FD211F">
        <w:rPr>
          <w:sz w:val="36"/>
          <w:szCs w:val="36"/>
          <w:rtl/>
        </w:rPr>
        <w:t xml:space="preserve"> </w:t>
      </w:r>
      <w:r w:rsidR="008E32AB" w:rsidRPr="00FD211F">
        <w:rPr>
          <w:sz w:val="36"/>
          <w:szCs w:val="36"/>
          <w:rtl/>
        </w:rPr>
        <w:t>التوسع</w:t>
      </w:r>
      <w:r w:rsidR="00EC7EDF" w:rsidRPr="00FD211F">
        <w:rPr>
          <w:sz w:val="36"/>
          <w:szCs w:val="36"/>
          <w:rtl/>
        </w:rPr>
        <w:t xml:space="preserve">ة </w:t>
      </w:r>
      <w:r w:rsidR="008E32AB" w:rsidRPr="00FD211F">
        <w:rPr>
          <w:sz w:val="36"/>
          <w:szCs w:val="36"/>
          <w:rtl/>
        </w:rPr>
        <w:t>لاالتضييق</w:t>
      </w:r>
      <w:r w:rsidR="00FA7964" w:rsidRPr="00FD211F">
        <w:rPr>
          <w:sz w:val="36"/>
          <w:szCs w:val="36"/>
          <w:rtl/>
        </w:rPr>
        <w:t>.</w:t>
      </w:r>
    </w:p>
    <w:p w14:paraId="518FE119" w14:textId="77777777" w:rsidR="00C05A25" w:rsidRPr="00FD211F" w:rsidRDefault="00C05A25" w:rsidP="009C58C8">
      <w:pPr>
        <w:ind w:left="0" w:firstLine="227"/>
        <w:jc w:val="both"/>
        <w:rPr>
          <w:sz w:val="36"/>
          <w:szCs w:val="36"/>
          <w:rtl/>
        </w:rPr>
      </w:pPr>
      <w:r w:rsidRPr="00FD211F">
        <w:rPr>
          <w:sz w:val="36"/>
          <w:szCs w:val="36"/>
          <w:rtl/>
        </w:rPr>
        <w:t>و</w:t>
      </w:r>
      <w:r w:rsidR="002D1703" w:rsidRPr="00FD211F">
        <w:rPr>
          <w:sz w:val="36"/>
          <w:szCs w:val="36"/>
          <w:rtl/>
        </w:rPr>
        <w:t xml:space="preserve">بذلك تبين الجواب عن النقض عليه </w:t>
      </w:r>
      <w:r w:rsidR="0073111C" w:rsidRPr="00FD211F">
        <w:rPr>
          <w:sz w:val="36"/>
          <w:szCs w:val="36"/>
          <w:rtl/>
        </w:rPr>
        <w:t>بمثل "اكلت السمك</w:t>
      </w:r>
      <w:r w:rsidR="00EC7EDF" w:rsidRPr="00FD211F">
        <w:rPr>
          <w:sz w:val="36"/>
          <w:szCs w:val="36"/>
          <w:rtl/>
        </w:rPr>
        <w:t xml:space="preserve">ة </w:t>
      </w:r>
      <w:r w:rsidR="0073111C" w:rsidRPr="00FD211F">
        <w:rPr>
          <w:sz w:val="36"/>
          <w:szCs w:val="36"/>
          <w:rtl/>
        </w:rPr>
        <w:t xml:space="preserve">حتى رأسها"حيث </w:t>
      </w:r>
      <w:r w:rsidR="00EF0293" w:rsidRPr="00FD211F">
        <w:rPr>
          <w:sz w:val="36"/>
          <w:szCs w:val="36"/>
          <w:rtl/>
        </w:rPr>
        <w:t>إ</w:t>
      </w:r>
      <w:r w:rsidR="002D1703" w:rsidRPr="00FD211F">
        <w:rPr>
          <w:sz w:val="36"/>
          <w:szCs w:val="36"/>
          <w:rtl/>
        </w:rPr>
        <w:t>ن حرف"حتى"</w:t>
      </w:r>
      <w:r w:rsidR="00FA7964" w:rsidRPr="00FD211F">
        <w:rPr>
          <w:sz w:val="36"/>
          <w:szCs w:val="36"/>
          <w:rtl/>
        </w:rPr>
        <w:t xml:space="preserve"> </w:t>
      </w:r>
      <w:r w:rsidR="002D1703" w:rsidRPr="00FD211F">
        <w:rPr>
          <w:sz w:val="36"/>
          <w:szCs w:val="36"/>
          <w:rtl/>
        </w:rPr>
        <w:t>في هذه الجمل</w:t>
      </w:r>
      <w:r w:rsidR="00EC7EDF" w:rsidRPr="00FD211F">
        <w:rPr>
          <w:sz w:val="36"/>
          <w:szCs w:val="36"/>
          <w:rtl/>
        </w:rPr>
        <w:t xml:space="preserve">ة </w:t>
      </w:r>
      <w:r w:rsidR="00312F2B" w:rsidRPr="00FD211F">
        <w:rPr>
          <w:sz w:val="36"/>
          <w:szCs w:val="36"/>
          <w:rtl/>
        </w:rPr>
        <w:t>يفيد</w:t>
      </w:r>
      <w:r w:rsidR="00FA7964" w:rsidRPr="00FD211F">
        <w:rPr>
          <w:sz w:val="36"/>
          <w:szCs w:val="36"/>
          <w:rtl/>
        </w:rPr>
        <w:t xml:space="preserve"> </w:t>
      </w:r>
      <w:r w:rsidR="00312F2B" w:rsidRPr="00FD211F">
        <w:rPr>
          <w:sz w:val="36"/>
          <w:szCs w:val="36"/>
          <w:rtl/>
        </w:rPr>
        <w:t>التوسع</w:t>
      </w:r>
      <w:r w:rsidR="00EC7EDF" w:rsidRPr="00FD211F">
        <w:rPr>
          <w:sz w:val="36"/>
          <w:szCs w:val="36"/>
          <w:rtl/>
        </w:rPr>
        <w:t xml:space="preserve">ة </w:t>
      </w:r>
      <w:r w:rsidR="002D1703" w:rsidRPr="00FD211F">
        <w:rPr>
          <w:sz w:val="36"/>
          <w:szCs w:val="36"/>
          <w:rtl/>
        </w:rPr>
        <w:t>لاالتضييق</w:t>
      </w:r>
      <w:r w:rsidR="00603323" w:rsidRPr="00FD211F">
        <w:rPr>
          <w:sz w:val="36"/>
          <w:szCs w:val="36"/>
          <w:rtl/>
        </w:rPr>
        <w:t xml:space="preserve">، </w:t>
      </w:r>
      <w:r w:rsidR="0073111C" w:rsidRPr="00FD211F">
        <w:rPr>
          <w:sz w:val="36"/>
          <w:szCs w:val="36"/>
          <w:rtl/>
        </w:rPr>
        <w:t>فان بامكان السيدالخوئي أن يقول ان</w:t>
      </w:r>
      <w:r w:rsidR="00B253CE" w:rsidRPr="00FD211F">
        <w:rPr>
          <w:sz w:val="36"/>
          <w:szCs w:val="36"/>
          <w:rtl/>
        </w:rPr>
        <w:t xml:space="preserve"> </w:t>
      </w:r>
      <w:r w:rsidR="0073111C" w:rsidRPr="00FD211F">
        <w:rPr>
          <w:sz w:val="36"/>
          <w:szCs w:val="36"/>
          <w:rtl/>
        </w:rPr>
        <w:t>حرف "حتى "داخل في الحقيق</w:t>
      </w:r>
      <w:r w:rsidR="00EC7EDF" w:rsidRPr="00FD211F">
        <w:rPr>
          <w:sz w:val="36"/>
          <w:szCs w:val="36"/>
          <w:rtl/>
        </w:rPr>
        <w:t xml:space="preserve">ة </w:t>
      </w:r>
      <w:r w:rsidR="0073111C" w:rsidRPr="00FD211F">
        <w:rPr>
          <w:sz w:val="36"/>
          <w:szCs w:val="36"/>
          <w:rtl/>
        </w:rPr>
        <w:t>على المركب ال</w:t>
      </w:r>
      <w:r w:rsidR="00FF5CE1" w:rsidRPr="00FD211F">
        <w:rPr>
          <w:sz w:val="36"/>
          <w:szCs w:val="36"/>
          <w:rtl/>
        </w:rPr>
        <w:t xml:space="preserve">تام </w:t>
      </w:r>
      <w:r w:rsidR="005A7E44" w:rsidRPr="00FD211F">
        <w:rPr>
          <w:sz w:val="36"/>
          <w:szCs w:val="36"/>
          <w:rtl/>
        </w:rPr>
        <w:t>فيكون لابراز</w:t>
      </w:r>
      <w:r w:rsidR="00FA7964" w:rsidRPr="00FD211F">
        <w:rPr>
          <w:sz w:val="36"/>
          <w:szCs w:val="36"/>
          <w:rtl/>
        </w:rPr>
        <w:t xml:space="preserve"> </w:t>
      </w:r>
      <w:r w:rsidR="005A7E44" w:rsidRPr="00FD211F">
        <w:rPr>
          <w:sz w:val="36"/>
          <w:szCs w:val="36"/>
          <w:rtl/>
        </w:rPr>
        <w:t>قصد</w:t>
      </w:r>
      <w:r w:rsidR="00FA7964" w:rsidRPr="00FD211F">
        <w:rPr>
          <w:sz w:val="36"/>
          <w:szCs w:val="36"/>
          <w:rtl/>
        </w:rPr>
        <w:t xml:space="preserve"> </w:t>
      </w:r>
      <w:r w:rsidR="005A7E44" w:rsidRPr="00FD211F">
        <w:rPr>
          <w:sz w:val="36"/>
          <w:szCs w:val="36"/>
          <w:rtl/>
        </w:rPr>
        <w:t>الاضراب</w:t>
      </w:r>
      <w:r w:rsidR="00603323" w:rsidRPr="00FD211F">
        <w:rPr>
          <w:sz w:val="36"/>
          <w:szCs w:val="36"/>
          <w:rtl/>
        </w:rPr>
        <w:t xml:space="preserve">، </w:t>
      </w:r>
      <w:r w:rsidR="005A7E44" w:rsidRPr="00FD211F">
        <w:rPr>
          <w:sz w:val="36"/>
          <w:szCs w:val="36"/>
          <w:rtl/>
        </w:rPr>
        <w:t>بل يمكن أن يدعى ان السمك</w:t>
      </w:r>
      <w:r w:rsidR="00EC7EDF" w:rsidRPr="00FD211F">
        <w:rPr>
          <w:sz w:val="36"/>
          <w:szCs w:val="36"/>
          <w:rtl/>
        </w:rPr>
        <w:t xml:space="preserve">ة </w:t>
      </w:r>
      <w:r w:rsidR="005A7E44" w:rsidRPr="00FD211F">
        <w:rPr>
          <w:sz w:val="36"/>
          <w:szCs w:val="36"/>
          <w:rtl/>
        </w:rPr>
        <w:t>من حيث المدلول الوضعي تصلح أن تنطبق على السمك</w:t>
      </w:r>
      <w:r w:rsidR="00EC7EDF" w:rsidRPr="00FD211F">
        <w:rPr>
          <w:sz w:val="36"/>
          <w:szCs w:val="36"/>
          <w:rtl/>
        </w:rPr>
        <w:t xml:space="preserve">ة </w:t>
      </w:r>
      <w:r w:rsidR="005A7E44" w:rsidRPr="00FD211F">
        <w:rPr>
          <w:sz w:val="36"/>
          <w:szCs w:val="36"/>
          <w:rtl/>
        </w:rPr>
        <w:t>ماعدا</w:t>
      </w:r>
      <w:r w:rsidR="00FA7964" w:rsidRPr="00FD211F">
        <w:rPr>
          <w:sz w:val="36"/>
          <w:szCs w:val="36"/>
          <w:rtl/>
        </w:rPr>
        <w:t xml:space="preserve"> </w:t>
      </w:r>
      <w:r w:rsidR="005A7E44" w:rsidRPr="00FD211F">
        <w:rPr>
          <w:sz w:val="36"/>
          <w:szCs w:val="36"/>
          <w:rtl/>
        </w:rPr>
        <w:t>رأسها كما تصلح أن تنطبق عليها</w:t>
      </w:r>
      <w:r w:rsidR="00904CAB">
        <w:rPr>
          <w:rFonts w:hint="cs"/>
          <w:sz w:val="36"/>
          <w:szCs w:val="36"/>
          <w:rtl/>
        </w:rPr>
        <w:t xml:space="preserve"> </w:t>
      </w:r>
      <w:r w:rsidR="005A7E44" w:rsidRPr="00FD211F">
        <w:rPr>
          <w:sz w:val="36"/>
          <w:szCs w:val="36"/>
          <w:rtl/>
        </w:rPr>
        <w:t>مع رأسها</w:t>
      </w:r>
      <w:r w:rsidR="00FA7964" w:rsidRPr="00FD211F">
        <w:rPr>
          <w:sz w:val="36"/>
          <w:szCs w:val="36"/>
          <w:rtl/>
        </w:rPr>
        <w:t xml:space="preserve"> فجيئ بحرف "</w:t>
      </w:r>
      <w:r w:rsidR="005A7E44" w:rsidRPr="00FD211F">
        <w:rPr>
          <w:sz w:val="36"/>
          <w:szCs w:val="36"/>
          <w:rtl/>
        </w:rPr>
        <w:t>حتى"</w:t>
      </w:r>
      <w:r w:rsidR="00FA7964" w:rsidRPr="00FD211F">
        <w:rPr>
          <w:sz w:val="36"/>
          <w:szCs w:val="36"/>
          <w:rtl/>
        </w:rPr>
        <w:t xml:space="preserve"> </w:t>
      </w:r>
      <w:r w:rsidR="008B286D" w:rsidRPr="00FD211F">
        <w:rPr>
          <w:sz w:val="36"/>
          <w:szCs w:val="36"/>
          <w:rtl/>
        </w:rPr>
        <w:t>لتضييقها</w:t>
      </w:r>
      <w:r w:rsidR="00FA7964" w:rsidRPr="00FD211F">
        <w:rPr>
          <w:sz w:val="36"/>
          <w:szCs w:val="36"/>
          <w:rtl/>
        </w:rPr>
        <w:t xml:space="preserve"> </w:t>
      </w:r>
      <w:r w:rsidR="008B286D" w:rsidRPr="00FD211F">
        <w:rPr>
          <w:sz w:val="36"/>
          <w:szCs w:val="36"/>
          <w:rtl/>
        </w:rPr>
        <w:t>ف</w:t>
      </w:r>
      <w:r w:rsidR="0068196C" w:rsidRPr="00FD211F">
        <w:rPr>
          <w:sz w:val="36"/>
          <w:szCs w:val="36"/>
          <w:rtl/>
        </w:rPr>
        <w:t xml:space="preserve">ي </w:t>
      </w:r>
      <w:r w:rsidR="008B286D" w:rsidRPr="00FD211F">
        <w:rPr>
          <w:sz w:val="36"/>
          <w:szCs w:val="36"/>
          <w:rtl/>
        </w:rPr>
        <w:t>خصوص الثاني</w:t>
      </w:r>
      <w:r w:rsidR="00603323" w:rsidRPr="00FD211F">
        <w:rPr>
          <w:sz w:val="36"/>
          <w:szCs w:val="36"/>
          <w:rtl/>
        </w:rPr>
        <w:t xml:space="preserve">، </w:t>
      </w:r>
      <w:r w:rsidR="007D7D5F" w:rsidRPr="00FD211F">
        <w:rPr>
          <w:sz w:val="36"/>
          <w:szCs w:val="36"/>
          <w:rtl/>
        </w:rPr>
        <w:t>وهكذا</w:t>
      </w:r>
      <w:r w:rsidR="00FA7964" w:rsidRPr="00FD211F">
        <w:rPr>
          <w:sz w:val="36"/>
          <w:szCs w:val="36"/>
          <w:rtl/>
        </w:rPr>
        <w:t xml:space="preserve"> </w:t>
      </w:r>
      <w:r w:rsidR="007D7D5F" w:rsidRPr="00FD211F">
        <w:rPr>
          <w:sz w:val="36"/>
          <w:szCs w:val="36"/>
          <w:rtl/>
        </w:rPr>
        <w:t>في العطف اوالاستئناف في مثل قولنا</w:t>
      </w:r>
      <w:r w:rsidR="00FA7964" w:rsidRPr="00FD211F">
        <w:rPr>
          <w:sz w:val="36"/>
          <w:szCs w:val="36"/>
          <w:rtl/>
        </w:rPr>
        <w:t xml:space="preserve"> </w:t>
      </w:r>
      <w:r w:rsidR="007D7D5F" w:rsidRPr="00FD211F">
        <w:rPr>
          <w:sz w:val="36"/>
          <w:szCs w:val="36"/>
          <w:rtl/>
        </w:rPr>
        <w:t>"جاء</w:t>
      </w:r>
      <w:r w:rsidR="0068196C" w:rsidRPr="00FD211F">
        <w:rPr>
          <w:sz w:val="36"/>
          <w:szCs w:val="36"/>
          <w:rtl/>
        </w:rPr>
        <w:t xml:space="preserve"> </w:t>
      </w:r>
      <w:r w:rsidR="007D7D5F" w:rsidRPr="00FD211F">
        <w:rPr>
          <w:sz w:val="36"/>
          <w:szCs w:val="36"/>
          <w:rtl/>
        </w:rPr>
        <w:t>زيد</w:t>
      </w:r>
      <w:r w:rsidR="0068196C" w:rsidRPr="00FD211F">
        <w:rPr>
          <w:sz w:val="36"/>
          <w:szCs w:val="36"/>
          <w:rtl/>
        </w:rPr>
        <w:t xml:space="preserve"> </w:t>
      </w:r>
      <w:r w:rsidR="007D7D5F" w:rsidRPr="00FD211F">
        <w:rPr>
          <w:sz w:val="36"/>
          <w:szCs w:val="36"/>
          <w:rtl/>
        </w:rPr>
        <w:t>وجاء</w:t>
      </w:r>
      <w:r w:rsidR="0068196C" w:rsidRPr="00FD211F">
        <w:rPr>
          <w:sz w:val="36"/>
          <w:szCs w:val="36"/>
          <w:rtl/>
        </w:rPr>
        <w:t xml:space="preserve"> </w:t>
      </w:r>
      <w:r w:rsidR="007D7D5F" w:rsidRPr="00FD211F">
        <w:rPr>
          <w:sz w:val="36"/>
          <w:szCs w:val="36"/>
          <w:rtl/>
        </w:rPr>
        <w:t>عمرو"</w:t>
      </w:r>
      <w:r w:rsidR="00FA7964" w:rsidRPr="00FD211F">
        <w:rPr>
          <w:sz w:val="36"/>
          <w:szCs w:val="36"/>
          <w:rtl/>
        </w:rPr>
        <w:t xml:space="preserve"> </w:t>
      </w:r>
      <w:r w:rsidR="007D7D5F" w:rsidRPr="00FD211F">
        <w:rPr>
          <w:sz w:val="36"/>
          <w:szCs w:val="36"/>
          <w:rtl/>
        </w:rPr>
        <w:t>يكون حرف العطف او</w:t>
      </w:r>
      <w:r w:rsidR="00FA7964" w:rsidRPr="00FD211F">
        <w:rPr>
          <w:sz w:val="36"/>
          <w:szCs w:val="36"/>
          <w:rtl/>
        </w:rPr>
        <w:t xml:space="preserve"> </w:t>
      </w:r>
      <w:r w:rsidR="007D7D5F" w:rsidRPr="00FD211F">
        <w:rPr>
          <w:sz w:val="36"/>
          <w:szCs w:val="36"/>
          <w:rtl/>
        </w:rPr>
        <w:t>الاستئناف داخلا</w:t>
      </w:r>
      <w:r w:rsidR="0068196C" w:rsidRPr="00FD211F">
        <w:rPr>
          <w:sz w:val="36"/>
          <w:szCs w:val="36"/>
          <w:rtl/>
        </w:rPr>
        <w:t xml:space="preserve"> </w:t>
      </w:r>
      <w:r w:rsidR="007D7D5F" w:rsidRPr="00FD211F">
        <w:rPr>
          <w:sz w:val="36"/>
          <w:szCs w:val="36"/>
          <w:rtl/>
        </w:rPr>
        <w:t>على المركب التام فيدل على قصد</w:t>
      </w:r>
      <w:r w:rsidR="0068196C" w:rsidRPr="00FD211F">
        <w:rPr>
          <w:sz w:val="36"/>
          <w:szCs w:val="36"/>
          <w:rtl/>
        </w:rPr>
        <w:t xml:space="preserve"> </w:t>
      </w:r>
      <w:r w:rsidR="007D7D5F" w:rsidRPr="00FD211F">
        <w:rPr>
          <w:sz w:val="36"/>
          <w:szCs w:val="36"/>
          <w:rtl/>
        </w:rPr>
        <w:t xml:space="preserve">ابراز العطف او الاستئناف. </w:t>
      </w:r>
    </w:p>
    <w:p w14:paraId="17BB5433" w14:textId="77777777" w:rsidR="000C5BBA" w:rsidRPr="00FD211F" w:rsidRDefault="007F5659" w:rsidP="00251CB6">
      <w:pPr>
        <w:ind w:left="0" w:firstLine="227"/>
        <w:jc w:val="both"/>
        <w:rPr>
          <w:sz w:val="36"/>
          <w:szCs w:val="36"/>
          <w:rtl/>
        </w:rPr>
      </w:pPr>
      <w:r w:rsidRPr="00FD211F">
        <w:rPr>
          <w:sz w:val="36"/>
          <w:szCs w:val="36"/>
          <w:rtl/>
        </w:rPr>
        <w:t>ثم ان من الغريب ما ذكره</w:t>
      </w:r>
      <w:r w:rsidR="00A61BAE" w:rsidRPr="00FD211F">
        <w:rPr>
          <w:sz w:val="36"/>
          <w:szCs w:val="36"/>
          <w:rtl/>
        </w:rPr>
        <w:t xml:space="preserve"> </w:t>
      </w:r>
      <w:r w:rsidR="00251CB6" w:rsidRPr="00FD211F">
        <w:rPr>
          <w:sz w:val="36"/>
          <w:szCs w:val="36"/>
          <w:rtl/>
        </w:rPr>
        <w:t>"قده"</w:t>
      </w:r>
      <w:r w:rsidR="00A61BAE" w:rsidRPr="00FD211F">
        <w:rPr>
          <w:sz w:val="36"/>
          <w:szCs w:val="36"/>
          <w:rtl/>
        </w:rPr>
        <w:t xml:space="preserve"> </w:t>
      </w:r>
      <w:r w:rsidRPr="00FD211F">
        <w:rPr>
          <w:sz w:val="36"/>
          <w:szCs w:val="36"/>
          <w:rtl/>
        </w:rPr>
        <w:t xml:space="preserve">من ان هذا القول الذي اختاره </w:t>
      </w:r>
      <w:r w:rsidR="00633760" w:rsidRPr="00FD211F">
        <w:rPr>
          <w:sz w:val="36"/>
          <w:szCs w:val="36"/>
          <w:rtl/>
        </w:rPr>
        <w:t>انماهو</w:t>
      </w:r>
      <w:r w:rsidRPr="00FD211F">
        <w:rPr>
          <w:sz w:val="36"/>
          <w:szCs w:val="36"/>
          <w:rtl/>
        </w:rPr>
        <w:t>من ثمرات مسلكه في الوضع من كونه التعهد بعدم استعمال اللفظ الا عند اراد</w:t>
      </w:r>
      <w:r w:rsidR="00EC7EDF" w:rsidRPr="00FD211F">
        <w:rPr>
          <w:sz w:val="36"/>
          <w:szCs w:val="36"/>
          <w:rtl/>
        </w:rPr>
        <w:t xml:space="preserve">ة </w:t>
      </w:r>
      <w:r w:rsidRPr="00FD211F">
        <w:rPr>
          <w:sz w:val="36"/>
          <w:szCs w:val="36"/>
          <w:rtl/>
        </w:rPr>
        <w:t>تفهيم معنى معين</w:t>
      </w:r>
      <w:r w:rsidR="00603323" w:rsidRPr="00FD211F">
        <w:rPr>
          <w:sz w:val="36"/>
          <w:szCs w:val="36"/>
          <w:rtl/>
        </w:rPr>
        <w:t xml:space="preserve">، </w:t>
      </w:r>
      <w:r w:rsidRPr="00FD211F">
        <w:rPr>
          <w:sz w:val="36"/>
          <w:szCs w:val="36"/>
          <w:rtl/>
        </w:rPr>
        <w:t>فحيث يتعلق الغرض بتفهيم الحص</w:t>
      </w:r>
      <w:r w:rsidR="00EC7EDF" w:rsidRPr="00FD211F">
        <w:rPr>
          <w:sz w:val="36"/>
          <w:szCs w:val="36"/>
          <w:rtl/>
        </w:rPr>
        <w:t xml:space="preserve">ة </w:t>
      </w:r>
      <w:r w:rsidRPr="00FD211F">
        <w:rPr>
          <w:sz w:val="36"/>
          <w:szCs w:val="36"/>
          <w:rtl/>
        </w:rPr>
        <w:t>من المعنى الإسمي او ابراز الأمر النفساني فيتعهد الواضع بذكر الحروف عند تفهيمها</w:t>
      </w:r>
      <w:r w:rsidR="009C58C8" w:rsidRPr="00FD211F">
        <w:rPr>
          <w:rStyle w:val="a6"/>
          <w:sz w:val="36"/>
          <w:szCs w:val="36"/>
          <w:rtl/>
        </w:rPr>
        <w:t>(</w:t>
      </w:r>
      <w:r w:rsidR="009C58C8" w:rsidRPr="00FD211F">
        <w:rPr>
          <w:rStyle w:val="a6"/>
          <w:sz w:val="36"/>
          <w:szCs w:val="36"/>
          <w:rtl/>
        </w:rPr>
        <w:footnoteReference w:id="171"/>
      </w:r>
      <w:r w:rsidR="009C58C8" w:rsidRPr="00FD211F">
        <w:rPr>
          <w:rStyle w:val="a6"/>
          <w:sz w:val="36"/>
          <w:szCs w:val="36"/>
          <w:rtl/>
        </w:rPr>
        <w:t>)</w:t>
      </w:r>
      <w:r w:rsidR="00633760" w:rsidRPr="00FD211F">
        <w:rPr>
          <w:sz w:val="36"/>
          <w:szCs w:val="36"/>
          <w:rtl/>
        </w:rPr>
        <w:t>.</w:t>
      </w:r>
    </w:p>
    <w:p w14:paraId="0899F362" w14:textId="77777777" w:rsidR="00E94A02" w:rsidRPr="00FD211F" w:rsidRDefault="00633760" w:rsidP="009C58C8">
      <w:pPr>
        <w:ind w:left="0" w:firstLine="227"/>
        <w:jc w:val="both"/>
        <w:rPr>
          <w:sz w:val="36"/>
          <w:szCs w:val="36"/>
          <w:rtl/>
        </w:rPr>
      </w:pPr>
      <w:r w:rsidRPr="00FD211F">
        <w:rPr>
          <w:sz w:val="36"/>
          <w:szCs w:val="36"/>
          <w:rtl/>
        </w:rPr>
        <w:t>فانه لاتوجد أ</w:t>
      </w:r>
      <w:r w:rsidR="007D7D5F" w:rsidRPr="00FD211F">
        <w:rPr>
          <w:sz w:val="36"/>
          <w:szCs w:val="36"/>
          <w:rtl/>
        </w:rPr>
        <w:t>ي</w:t>
      </w:r>
      <w:r w:rsidR="00EC7EDF" w:rsidRPr="00FD211F">
        <w:rPr>
          <w:sz w:val="36"/>
          <w:szCs w:val="36"/>
          <w:rtl/>
        </w:rPr>
        <w:t xml:space="preserve">ة </w:t>
      </w:r>
      <w:r w:rsidR="007D7D5F" w:rsidRPr="00FD211F">
        <w:rPr>
          <w:sz w:val="36"/>
          <w:szCs w:val="36"/>
          <w:rtl/>
        </w:rPr>
        <w:t>علاق</w:t>
      </w:r>
      <w:r w:rsidR="00EC7EDF" w:rsidRPr="00FD211F">
        <w:rPr>
          <w:sz w:val="36"/>
          <w:szCs w:val="36"/>
          <w:rtl/>
        </w:rPr>
        <w:t xml:space="preserve">ة </w:t>
      </w:r>
      <w:r w:rsidR="007D7D5F" w:rsidRPr="00FD211F">
        <w:rPr>
          <w:sz w:val="36"/>
          <w:szCs w:val="36"/>
          <w:rtl/>
        </w:rPr>
        <w:t xml:space="preserve">بين </w:t>
      </w:r>
      <w:r w:rsidR="007F5659" w:rsidRPr="00FD211F">
        <w:rPr>
          <w:sz w:val="36"/>
          <w:szCs w:val="36"/>
          <w:rtl/>
        </w:rPr>
        <w:t>تفسير حقيق</w:t>
      </w:r>
      <w:r w:rsidR="00EC7EDF" w:rsidRPr="00FD211F">
        <w:rPr>
          <w:sz w:val="36"/>
          <w:szCs w:val="36"/>
          <w:rtl/>
        </w:rPr>
        <w:t xml:space="preserve">ة </w:t>
      </w:r>
      <w:r w:rsidR="007F5659" w:rsidRPr="00FD211F">
        <w:rPr>
          <w:sz w:val="36"/>
          <w:szCs w:val="36"/>
          <w:rtl/>
        </w:rPr>
        <w:t xml:space="preserve">الوضع </w:t>
      </w:r>
      <w:r w:rsidR="007D7D5F" w:rsidRPr="00FD211F">
        <w:rPr>
          <w:sz w:val="36"/>
          <w:szCs w:val="36"/>
          <w:rtl/>
        </w:rPr>
        <w:t>وبين</w:t>
      </w:r>
      <w:r w:rsidR="00B253CE" w:rsidRPr="00FD211F">
        <w:rPr>
          <w:sz w:val="36"/>
          <w:szCs w:val="36"/>
          <w:rtl/>
        </w:rPr>
        <w:t xml:space="preserve"> </w:t>
      </w:r>
      <w:r w:rsidR="007F5659" w:rsidRPr="00FD211F">
        <w:rPr>
          <w:sz w:val="36"/>
          <w:szCs w:val="36"/>
          <w:rtl/>
        </w:rPr>
        <w:t>اختيار هذا القول في تفسير المعنى الحرفي</w:t>
      </w:r>
      <w:r w:rsidR="00603323" w:rsidRPr="00FD211F">
        <w:rPr>
          <w:sz w:val="36"/>
          <w:szCs w:val="36"/>
          <w:rtl/>
        </w:rPr>
        <w:t xml:space="preserve">، </w:t>
      </w:r>
      <w:r w:rsidR="007F5659" w:rsidRPr="00FD211F">
        <w:rPr>
          <w:sz w:val="36"/>
          <w:szCs w:val="36"/>
          <w:rtl/>
        </w:rPr>
        <w:t>فان تفهيم المقاصد بال</w:t>
      </w:r>
      <w:r w:rsidR="0050102E" w:rsidRPr="00FD211F">
        <w:rPr>
          <w:sz w:val="36"/>
          <w:szCs w:val="36"/>
          <w:rtl/>
        </w:rPr>
        <w:t>ألفاظ ممالابدمنه ومن جمل</w:t>
      </w:r>
      <w:r w:rsidR="00EC7EDF" w:rsidRPr="00FD211F">
        <w:rPr>
          <w:sz w:val="36"/>
          <w:szCs w:val="36"/>
          <w:rtl/>
        </w:rPr>
        <w:t xml:space="preserve">ة </w:t>
      </w:r>
      <w:r w:rsidR="0050102E" w:rsidRPr="00FD211F">
        <w:rPr>
          <w:sz w:val="36"/>
          <w:szCs w:val="36"/>
          <w:rtl/>
        </w:rPr>
        <w:t>الالفاظ الحروف</w:t>
      </w:r>
      <w:r w:rsidR="00603323" w:rsidRPr="00FD211F">
        <w:rPr>
          <w:sz w:val="36"/>
          <w:szCs w:val="36"/>
          <w:rtl/>
        </w:rPr>
        <w:t xml:space="preserve">، </w:t>
      </w:r>
      <w:r w:rsidR="007F5659" w:rsidRPr="00FD211F">
        <w:rPr>
          <w:sz w:val="36"/>
          <w:szCs w:val="36"/>
          <w:rtl/>
        </w:rPr>
        <w:t>ولايؤثر في ذلك اختلاف المسالك في تفسير حقيق</w:t>
      </w:r>
      <w:r w:rsidR="00EC7EDF" w:rsidRPr="00FD211F">
        <w:rPr>
          <w:sz w:val="36"/>
          <w:szCs w:val="36"/>
          <w:rtl/>
        </w:rPr>
        <w:t xml:space="preserve">ة </w:t>
      </w:r>
      <w:r w:rsidR="007F5659" w:rsidRPr="00FD211F">
        <w:rPr>
          <w:sz w:val="36"/>
          <w:szCs w:val="36"/>
          <w:rtl/>
        </w:rPr>
        <w:t>الوضع</w:t>
      </w:r>
      <w:r w:rsidR="0050102E" w:rsidRPr="00FD211F">
        <w:rPr>
          <w:sz w:val="36"/>
          <w:szCs w:val="36"/>
          <w:rtl/>
        </w:rPr>
        <w:t xml:space="preserve"> فيمكن أن يختار شخص مسلك الفرن الاكيد</w:t>
      </w:r>
      <w:r w:rsidR="00EC7EDF" w:rsidRPr="00FD211F">
        <w:rPr>
          <w:sz w:val="36"/>
          <w:szCs w:val="36"/>
          <w:rtl/>
        </w:rPr>
        <w:t>.</w:t>
      </w:r>
    </w:p>
    <w:p w14:paraId="151ABBB0" w14:textId="77777777" w:rsidR="00904CAB" w:rsidRDefault="00E94A02" w:rsidP="009C58C8">
      <w:pPr>
        <w:ind w:left="0" w:firstLine="227"/>
        <w:jc w:val="both"/>
        <w:rPr>
          <w:rFonts w:hint="cs"/>
          <w:sz w:val="36"/>
          <w:szCs w:val="36"/>
          <w:rtl/>
        </w:rPr>
      </w:pPr>
      <w:r w:rsidRPr="00FD211F">
        <w:rPr>
          <w:sz w:val="36"/>
          <w:szCs w:val="36"/>
          <w:rtl/>
        </w:rPr>
        <w:t>ثم انه اورد</w:t>
      </w:r>
      <w:r w:rsidR="00251CB6" w:rsidRPr="00FD211F">
        <w:rPr>
          <w:sz w:val="36"/>
          <w:szCs w:val="36"/>
          <w:rtl/>
        </w:rPr>
        <w:t xml:space="preserve"> </w:t>
      </w:r>
      <w:r w:rsidRPr="00FD211F">
        <w:rPr>
          <w:sz w:val="36"/>
          <w:szCs w:val="36"/>
          <w:rtl/>
        </w:rPr>
        <w:t>في البحوث على ماذكره السيد الخوئي "قده"</w:t>
      </w:r>
      <w:r w:rsidR="00251CB6" w:rsidRPr="00FD211F">
        <w:rPr>
          <w:sz w:val="36"/>
          <w:szCs w:val="36"/>
          <w:rtl/>
        </w:rPr>
        <w:t xml:space="preserve"> </w:t>
      </w:r>
      <w:r w:rsidRPr="00FD211F">
        <w:rPr>
          <w:sz w:val="36"/>
          <w:szCs w:val="36"/>
          <w:rtl/>
        </w:rPr>
        <w:t>بان تضييق مفهوم بمفهوم آخر لايمكن الا بايقاع نسب</w:t>
      </w:r>
      <w:r w:rsidR="00EC7EDF" w:rsidRPr="00FD211F">
        <w:rPr>
          <w:sz w:val="36"/>
          <w:szCs w:val="36"/>
          <w:rtl/>
        </w:rPr>
        <w:t xml:space="preserve">ة </w:t>
      </w:r>
      <w:r w:rsidRPr="00FD211F">
        <w:rPr>
          <w:sz w:val="36"/>
          <w:szCs w:val="36"/>
          <w:rtl/>
        </w:rPr>
        <w:t>بينهما</w:t>
      </w:r>
      <w:r w:rsidR="00603323" w:rsidRPr="00FD211F">
        <w:rPr>
          <w:sz w:val="36"/>
          <w:szCs w:val="36"/>
          <w:rtl/>
        </w:rPr>
        <w:t xml:space="preserve">، </w:t>
      </w:r>
      <w:r w:rsidRPr="00FD211F">
        <w:rPr>
          <w:sz w:val="36"/>
          <w:szCs w:val="36"/>
          <w:rtl/>
        </w:rPr>
        <w:t>فان كان الحرف دالا على هذه النسب</w:t>
      </w:r>
      <w:r w:rsidR="00EC7EDF" w:rsidRPr="00FD211F">
        <w:rPr>
          <w:sz w:val="36"/>
          <w:szCs w:val="36"/>
          <w:rtl/>
        </w:rPr>
        <w:t xml:space="preserve">ة </w:t>
      </w:r>
      <w:r w:rsidRPr="00FD211F">
        <w:rPr>
          <w:sz w:val="36"/>
          <w:szCs w:val="36"/>
          <w:rtl/>
        </w:rPr>
        <w:t>فهو المطلوب</w:t>
      </w:r>
      <w:r w:rsidR="00603323" w:rsidRPr="00FD211F">
        <w:rPr>
          <w:sz w:val="36"/>
          <w:szCs w:val="36"/>
          <w:rtl/>
        </w:rPr>
        <w:t xml:space="preserve">، </w:t>
      </w:r>
      <w:r w:rsidRPr="00FD211F">
        <w:rPr>
          <w:sz w:val="36"/>
          <w:szCs w:val="36"/>
          <w:rtl/>
        </w:rPr>
        <w:t>وان كان الحرف دالا على التضييق الذي هو نتيج</w:t>
      </w:r>
      <w:r w:rsidR="00EC7EDF" w:rsidRPr="00FD211F">
        <w:rPr>
          <w:sz w:val="36"/>
          <w:szCs w:val="36"/>
          <w:rtl/>
        </w:rPr>
        <w:t xml:space="preserve">ة </w:t>
      </w:r>
      <w:r w:rsidRPr="00FD211F">
        <w:rPr>
          <w:sz w:val="36"/>
          <w:szCs w:val="36"/>
          <w:rtl/>
        </w:rPr>
        <w:t>النسب</w:t>
      </w:r>
      <w:r w:rsidR="00EC7EDF" w:rsidRPr="00FD211F">
        <w:rPr>
          <w:sz w:val="36"/>
          <w:szCs w:val="36"/>
          <w:rtl/>
        </w:rPr>
        <w:t xml:space="preserve">ة </w:t>
      </w:r>
      <w:r w:rsidRPr="00FD211F">
        <w:rPr>
          <w:sz w:val="36"/>
          <w:szCs w:val="36"/>
          <w:rtl/>
        </w:rPr>
        <w:t>فيلزم منه عدم وجود دال مطابقي على النسب</w:t>
      </w:r>
      <w:r w:rsidR="00EC7EDF" w:rsidRPr="00FD211F">
        <w:rPr>
          <w:sz w:val="36"/>
          <w:szCs w:val="36"/>
          <w:rtl/>
        </w:rPr>
        <w:t xml:space="preserve">ة </w:t>
      </w:r>
      <w:r w:rsidRPr="00FD211F">
        <w:rPr>
          <w:sz w:val="36"/>
          <w:szCs w:val="36"/>
          <w:rtl/>
        </w:rPr>
        <w:t>وهذا خلاف المرتكز العرفي</w:t>
      </w:r>
      <w:r w:rsidR="009C58C8" w:rsidRPr="00FD211F">
        <w:rPr>
          <w:rStyle w:val="a6"/>
          <w:sz w:val="36"/>
          <w:szCs w:val="36"/>
          <w:rtl/>
        </w:rPr>
        <w:t>(</w:t>
      </w:r>
      <w:r w:rsidR="009C58C8" w:rsidRPr="00FD211F">
        <w:rPr>
          <w:rStyle w:val="a6"/>
          <w:sz w:val="36"/>
          <w:szCs w:val="36"/>
          <w:rtl/>
        </w:rPr>
        <w:footnoteReference w:id="172"/>
      </w:r>
      <w:r w:rsidR="009C58C8" w:rsidRPr="00FD211F">
        <w:rPr>
          <w:rStyle w:val="a6"/>
          <w:sz w:val="36"/>
          <w:szCs w:val="36"/>
          <w:rtl/>
        </w:rPr>
        <w:t>)</w:t>
      </w:r>
      <w:r w:rsidRPr="00FD211F">
        <w:rPr>
          <w:sz w:val="36"/>
          <w:szCs w:val="36"/>
          <w:rtl/>
        </w:rPr>
        <w:t>.</w:t>
      </w:r>
    </w:p>
    <w:p w14:paraId="3D9F148C" w14:textId="77777777" w:rsidR="00E94A02" w:rsidRPr="00FD211F" w:rsidRDefault="00E94A02" w:rsidP="00904CAB">
      <w:pPr>
        <w:ind w:left="0" w:firstLine="227"/>
        <w:jc w:val="both"/>
        <w:rPr>
          <w:sz w:val="36"/>
          <w:szCs w:val="36"/>
          <w:rtl/>
        </w:rPr>
      </w:pPr>
      <w:r w:rsidRPr="00FD211F">
        <w:rPr>
          <w:sz w:val="36"/>
          <w:szCs w:val="36"/>
          <w:rtl/>
        </w:rPr>
        <w:t>وماذكره وان كان موافقا للوجدان بالنسب</w:t>
      </w:r>
      <w:r w:rsidR="00EC7EDF" w:rsidRPr="00FD211F">
        <w:rPr>
          <w:sz w:val="36"/>
          <w:szCs w:val="36"/>
          <w:rtl/>
        </w:rPr>
        <w:t xml:space="preserve">ة </w:t>
      </w:r>
      <w:r w:rsidR="001E370E" w:rsidRPr="00FD211F">
        <w:rPr>
          <w:sz w:val="36"/>
          <w:szCs w:val="36"/>
          <w:rtl/>
        </w:rPr>
        <w:t>الى الحروف</w:t>
      </w:r>
      <w:r w:rsidR="00AA4B81" w:rsidRPr="00FD211F">
        <w:rPr>
          <w:sz w:val="36"/>
          <w:szCs w:val="36"/>
          <w:rtl/>
        </w:rPr>
        <w:t xml:space="preserve"> </w:t>
      </w:r>
      <w:r w:rsidR="001E370E" w:rsidRPr="00FD211F">
        <w:rPr>
          <w:sz w:val="36"/>
          <w:szCs w:val="36"/>
          <w:rtl/>
        </w:rPr>
        <w:t>فان "على"</w:t>
      </w:r>
      <w:r w:rsidR="00904CAB">
        <w:rPr>
          <w:rFonts w:hint="cs"/>
          <w:sz w:val="36"/>
          <w:szCs w:val="36"/>
          <w:rtl/>
        </w:rPr>
        <w:t xml:space="preserve"> </w:t>
      </w:r>
      <w:r w:rsidR="001E370E" w:rsidRPr="00FD211F">
        <w:rPr>
          <w:sz w:val="36"/>
          <w:szCs w:val="36"/>
          <w:rtl/>
        </w:rPr>
        <w:t>في قولنا</w:t>
      </w:r>
      <w:r w:rsidR="00904CAB">
        <w:rPr>
          <w:rFonts w:hint="cs"/>
          <w:sz w:val="36"/>
          <w:szCs w:val="36"/>
          <w:rtl/>
        </w:rPr>
        <w:t xml:space="preserve"> </w:t>
      </w:r>
      <w:r w:rsidR="001E370E" w:rsidRPr="00FD211F">
        <w:rPr>
          <w:sz w:val="36"/>
          <w:szCs w:val="36"/>
          <w:rtl/>
        </w:rPr>
        <w:t>"الجالس على المنبر"</w:t>
      </w:r>
      <w:r w:rsidR="00904CAB">
        <w:rPr>
          <w:rFonts w:hint="cs"/>
          <w:sz w:val="36"/>
          <w:szCs w:val="36"/>
          <w:rtl/>
        </w:rPr>
        <w:t xml:space="preserve"> </w:t>
      </w:r>
      <w:r w:rsidR="000F3FBE" w:rsidRPr="00FD211F">
        <w:rPr>
          <w:sz w:val="36"/>
          <w:szCs w:val="36"/>
          <w:rtl/>
        </w:rPr>
        <w:t>تدل على النسب</w:t>
      </w:r>
      <w:r w:rsidR="00EC7EDF" w:rsidRPr="00FD211F">
        <w:rPr>
          <w:sz w:val="36"/>
          <w:szCs w:val="36"/>
          <w:rtl/>
        </w:rPr>
        <w:t xml:space="preserve">ة </w:t>
      </w:r>
      <w:r w:rsidR="000F3FBE" w:rsidRPr="00FD211F">
        <w:rPr>
          <w:sz w:val="36"/>
          <w:szCs w:val="36"/>
          <w:rtl/>
        </w:rPr>
        <w:t>الاستعلائي</w:t>
      </w:r>
      <w:r w:rsidR="00EC7EDF" w:rsidRPr="00FD211F">
        <w:rPr>
          <w:sz w:val="36"/>
          <w:szCs w:val="36"/>
          <w:rtl/>
        </w:rPr>
        <w:t xml:space="preserve">ة </w:t>
      </w:r>
      <w:r w:rsidR="000F3FBE" w:rsidRPr="00FD211F">
        <w:rPr>
          <w:sz w:val="36"/>
          <w:szCs w:val="36"/>
          <w:rtl/>
        </w:rPr>
        <w:t>اولاً وفي طول ذلك توجب التضييق</w:t>
      </w:r>
      <w:r w:rsidR="00B51933" w:rsidRPr="00FD211F">
        <w:rPr>
          <w:sz w:val="36"/>
          <w:szCs w:val="36"/>
          <w:rtl/>
        </w:rPr>
        <w:t xml:space="preserve"> في مفهوم الجالس ولكن</w:t>
      </w:r>
      <w:r w:rsidR="000F3FBE" w:rsidRPr="00FD211F">
        <w:rPr>
          <w:sz w:val="36"/>
          <w:szCs w:val="36"/>
          <w:rtl/>
        </w:rPr>
        <w:t xml:space="preserve"> ماذكره في البحوث من أن تضييق مفهوم بمفهوم آخر لايمكن الا بايقاع نسب</w:t>
      </w:r>
      <w:r w:rsidR="00EC7EDF" w:rsidRPr="00FD211F">
        <w:rPr>
          <w:sz w:val="36"/>
          <w:szCs w:val="36"/>
          <w:rtl/>
        </w:rPr>
        <w:t xml:space="preserve">ة </w:t>
      </w:r>
      <w:r w:rsidR="000F3FBE" w:rsidRPr="00FD211F">
        <w:rPr>
          <w:sz w:val="36"/>
          <w:szCs w:val="36"/>
          <w:rtl/>
        </w:rPr>
        <w:t>بينهما</w:t>
      </w:r>
      <w:r w:rsidR="001E370E" w:rsidRPr="00FD211F">
        <w:rPr>
          <w:sz w:val="36"/>
          <w:szCs w:val="36"/>
          <w:rtl/>
        </w:rPr>
        <w:t xml:space="preserve"> </w:t>
      </w:r>
      <w:r w:rsidR="000F3FBE" w:rsidRPr="00FD211F">
        <w:rPr>
          <w:sz w:val="36"/>
          <w:szCs w:val="36"/>
          <w:rtl/>
        </w:rPr>
        <w:t>ف</w:t>
      </w:r>
      <w:r w:rsidR="00B51933" w:rsidRPr="00FD211F">
        <w:rPr>
          <w:sz w:val="36"/>
          <w:szCs w:val="36"/>
          <w:rtl/>
        </w:rPr>
        <w:t xml:space="preserve">سيأتي الكلام عنه عند البحث عن وضع </w:t>
      </w:r>
      <w:r w:rsidR="000F3FBE" w:rsidRPr="00FD211F">
        <w:rPr>
          <w:sz w:val="36"/>
          <w:szCs w:val="36"/>
          <w:rtl/>
        </w:rPr>
        <w:t>الجمل</w:t>
      </w:r>
      <w:r w:rsidR="00EC7EDF" w:rsidRPr="00FD211F">
        <w:rPr>
          <w:sz w:val="36"/>
          <w:szCs w:val="36"/>
          <w:rtl/>
        </w:rPr>
        <w:t xml:space="preserve">ة </w:t>
      </w:r>
      <w:r w:rsidR="00B51933" w:rsidRPr="00FD211F">
        <w:rPr>
          <w:sz w:val="36"/>
          <w:szCs w:val="36"/>
          <w:rtl/>
        </w:rPr>
        <w:t>الناقص</w:t>
      </w:r>
      <w:r w:rsidR="00EC7EDF" w:rsidRPr="00FD211F">
        <w:rPr>
          <w:sz w:val="36"/>
          <w:szCs w:val="36"/>
          <w:rtl/>
        </w:rPr>
        <w:t xml:space="preserve">ة </w:t>
      </w:r>
      <w:r w:rsidR="00B51933" w:rsidRPr="00FD211F">
        <w:rPr>
          <w:sz w:val="36"/>
          <w:szCs w:val="36"/>
          <w:rtl/>
        </w:rPr>
        <w:t>كالجمل</w:t>
      </w:r>
      <w:r w:rsidR="00EC7EDF" w:rsidRPr="00FD211F">
        <w:rPr>
          <w:sz w:val="36"/>
          <w:szCs w:val="36"/>
          <w:rtl/>
        </w:rPr>
        <w:t xml:space="preserve">ة </w:t>
      </w:r>
      <w:r w:rsidR="00B51933" w:rsidRPr="00FD211F">
        <w:rPr>
          <w:sz w:val="36"/>
          <w:szCs w:val="36"/>
          <w:rtl/>
        </w:rPr>
        <w:t>الوصفي</w:t>
      </w:r>
      <w:r w:rsidR="00EC7EDF" w:rsidRPr="00FD211F">
        <w:rPr>
          <w:sz w:val="36"/>
          <w:szCs w:val="36"/>
          <w:rtl/>
        </w:rPr>
        <w:t>ة</w:t>
      </w:r>
      <w:r w:rsidR="00A61BAE" w:rsidRPr="00FD211F">
        <w:rPr>
          <w:sz w:val="36"/>
          <w:szCs w:val="36"/>
          <w:rtl/>
        </w:rPr>
        <w:t>.</w:t>
      </w:r>
    </w:p>
    <w:p w14:paraId="1AE40EE3" w14:textId="77777777" w:rsidR="007F5659" w:rsidRPr="00FD211F" w:rsidRDefault="007F5659" w:rsidP="009C58C8">
      <w:pPr>
        <w:pStyle w:val="3"/>
        <w:ind w:firstLine="227"/>
        <w:jc w:val="both"/>
        <w:rPr>
          <w:rtl/>
        </w:rPr>
      </w:pPr>
      <w:bookmarkStart w:id="180" w:name="درس083دقيقه37"/>
      <w:bookmarkStart w:id="181" w:name="_Toc192092868"/>
      <w:bookmarkStart w:id="182" w:name="_Toc223890342"/>
      <w:bookmarkEnd w:id="180"/>
      <w:r w:rsidRPr="00FD211F">
        <w:rPr>
          <w:rtl/>
        </w:rPr>
        <w:t>وضع الحروف بإزاء الأعراض النسبي</w:t>
      </w:r>
      <w:r w:rsidR="00EC7EDF" w:rsidRPr="00FD211F">
        <w:rPr>
          <w:rtl/>
        </w:rPr>
        <w:t>ة</w:t>
      </w:r>
      <w:bookmarkEnd w:id="182"/>
      <w:r w:rsidR="00EC7EDF" w:rsidRPr="00FD211F">
        <w:rPr>
          <w:rtl/>
        </w:rPr>
        <w:t xml:space="preserve"> </w:t>
      </w:r>
      <w:bookmarkEnd w:id="181"/>
    </w:p>
    <w:p w14:paraId="3A1BCDA4" w14:textId="77777777" w:rsidR="00161200" w:rsidRPr="00FD211F" w:rsidRDefault="007F5659" w:rsidP="009C58C8">
      <w:pPr>
        <w:ind w:left="0" w:firstLine="227"/>
        <w:jc w:val="both"/>
        <w:rPr>
          <w:sz w:val="36"/>
          <w:szCs w:val="36"/>
          <w:rtl/>
        </w:rPr>
      </w:pPr>
      <w:r w:rsidRPr="00FD211F">
        <w:rPr>
          <w:b/>
          <w:bCs/>
          <w:sz w:val="36"/>
          <w:szCs w:val="36"/>
          <w:rtl/>
        </w:rPr>
        <w:t>القول الرابع</w:t>
      </w:r>
      <w:r w:rsidRPr="00FD211F">
        <w:rPr>
          <w:sz w:val="36"/>
          <w:szCs w:val="36"/>
          <w:rtl/>
        </w:rPr>
        <w:t xml:space="preserve">: ما نسب </w:t>
      </w:r>
      <w:r w:rsidR="007020BB" w:rsidRPr="00FD211F">
        <w:rPr>
          <w:sz w:val="36"/>
          <w:szCs w:val="36"/>
          <w:rtl/>
        </w:rPr>
        <w:t>في بدايع الافكار</w:t>
      </w:r>
      <w:r w:rsidR="00811D64" w:rsidRPr="00FD211F">
        <w:rPr>
          <w:sz w:val="36"/>
          <w:szCs w:val="36"/>
          <w:rtl/>
        </w:rPr>
        <w:t xml:space="preserve"> </w:t>
      </w:r>
      <w:r w:rsidRPr="00FD211F">
        <w:rPr>
          <w:sz w:val="36"/>
          <w:szCs w:val="36"/>
          <w:rtl/>
        </w:rPr>
        <w:t xml:space="preserve">الى المحقق العراقي </w:t>
      </w:r>
      <w:r w:rsidR="00AB1B12" w:rsidRPr="00FD211F">
        <w:rPr>
          <w:sz w:val="36"/>
          <w:szCs w:val="36"/>
          <w:rtl/>
        </w:rPr>
        <w:t>"</w:t>
      </w:r>
      <w:r w:rsidRPr="00FD211F">
        <w:rPr>
          <w:sz w:val="36"/>
          <w:szCs w:val="36"/>
          <w:rtl/>
        </w:rPr>
        <w:t>قده</w:t>
      </w:r>
      <w:r w:rsidR="00AB1B12" w:rsidRPr="00FD211F">
        <w:rPr>
          <w:sz w:val="36"/>
          <w:szCs w:val="36"/>
          <w:rtl/>
        </w:rPr>
        <w:t>"</w:t>
      </w:r>
      <w:r w:rsidRPr="00FD211F">
        <w:rPr>
          <w:sz w:val="36"/>
          <w:szCs w:val="36"/>
          <w:rtl/>
        </w:rPr>
        <w:t xml:space="preserve"> من ان الحروف موضوع</w:t>
      </w:r>
      <w:r w:rsidR="00EC7EDF" w:rsidRPr="00FD211F">
        <w:rPr>
          <w:sz w:val="36"/>
          <w:szCs w:val="36"/>
          <w:rtl/>
        </w:rPr>
        <w:t xml:space="preserve">ة </w:t>
      </w:r>
      <w:r w:rsidRPr="00FD211F">
        <w:rPr>
          <w:sz w:val="36"/>
          <w:szCs w:val="36"/>
          <w:rtl/>
        </w:rPr>
        <w:t>بإزاء الأعراض النسبي</w:t>
      </w:r>
      <w:r w:rsidR="00EC7EDF" w:rsidRPr="00FD211F">
        <w:rPr>
          <w:sz w:val="36"/>
          <w:szCs w:val="36"/>
          <w:rtl/>
        </w:rPr>
        <w:t xml:space="preserve">ة </w:t>
      </w:r>
      <w:r w:rsidRPr="00FD211F">
        <w:rPr>
          <w:sz w:val="36"/>
          <w:szCs w:val="36"/>
          <w:rtl/>
        </w:rPr>
        <w:t>بتقريب ان سير</w:t>
      </w:r>
      <w:r w:rsidR="00EC7EDF" w:rsidRPr="00FD211F">
        <w:rPr>
          <w:sz w:val="36"/>
          <w:szCs w:val="36"/>
          <w:rtl/>
        </w:rPr>
        <w:t xml:space="preserve">ة </w:t>
      </w:r>
      <w:r w:rsidRPr="00FD211F">
        <w:rPr>
          <w:sz w:val="36"/>
          <w:szCs w:val="36"/>
          <w:rtl/>
        </w:rPr>
        <w:t xml:space="preserve">العقلاء وضع الالفاظ بازاء المقولات </w:t>
      </w:r>
      <w:r w:rsidR="00161200" w:rsidRPr="00FD211F">
        <w:rPr>
          <w:sz w:val="36"/>
          <w:szCs w:val="36"/>
          <w:rtl/>
        </w:rPr>
        <w:t>فلامقولة الّا وقد وضع بإزائها</w:t>
      </w:r>
      <w:r w:rsidR="00904CAB">
        <w:rPr>
          <w:rFonts w:hint="cs"/>
          <w:sz w:val="36"/>
          <w:szCs w:val="36"/>
          <w:rtl/>
        </w:rPr>
        <w:t xml:space="preserve"> </w:t>
      </w:r>
      <w:r w:rsidR="00251CB6" w:rsidRPr="00FD211F">
        <w:rPr>
          <w:sz w:val="36"/>
          <w:szCs w:val="36"/>
          <w:rtl/>
        </w:rPr>
        <w:t xml:space="preserve">شيء </w:t>
      </w:r>
      <w:r w:rsidRPr="00FD211F">
        <w:rPr>
          <w:sz w:val="36"/>
          <w:szCs w:val="36"/>
          <w:rtl/>
        </w:rPr>
        <w:t>فالأسماء موضوع</w:t>
      </w:r>
      <w:r w:rsidR="00EC7EDF" w:rsidRPr="00FD211F">
        <w:rPr>
          <w:sz w:val="36"/>
          <w:szCs w:val="36"/>
          <w:rtl/>
        </w:rPr>
        <w:t xml:space="preserve">ة </w:t>
      </w:r>
      <w:r w:rsidRPr="00FD211F">
        <w:rPr>
          <w:sz w:val="36"/>
          <w:szCs w:val="36"/>
          <w:rtl/>
        </w:rPr>
        <w:t>للجواهر والأعراض غير النسبي</w:t>
      </w:r>
      <w:r w:rsidR="00EC7EDF" w:rsidRPr="00FD211F">
        <w:rPr>
          <w:sz w:val="36"/>
          <w:szCs w:val="36"/>
          <w:rtl/>
        </w:rPr>
        <w:t>ة</w:t>
      </w:r>
      <w:r w:rsidR="00161200" w:rsidRPr="00FD211F">
        <w:rPr>
          <w:sz w:val="36"/>
          <w:szCs w:val="36"/>
          <w:rtl/>
        </w:rPr>
        <w:t>.</w:t>
      </w:r>
      <w:r w:rsidRPr="00FD211F">
        <w:rPr>
          <w:sz w:val="36"/>
          <w:szCs w:val="36"/>
          <w:rtl/>
        </w:rPr>
        <w:t xml:space="preserve"> </w:t>
      </w:r>
    </w:p>
    <w:p w14:paraId="57ACE8BD" w14:textId="77777777" w:rsidR="007F5659" w:rsidRPr="00FD211F" w:rsidRDefault="007F5659" w:rsidP="009C58C8">
      <w:pPr>
        <w:ind w:left="0" w:firstLine="227"/>
        <w:jc w:val="both"/>
        <w:rPr>
          <w:sz w:val="36"/>
          <w:szCs w:val="36"/>
          <w:rtl/>
        </w:rPr>
      </w:pPr>
      <w:r w:rsidRPr="00FD211F">
        <w:rPr>
          <w:sz w:val="36"/>
          <w:szCs w:val="36"/>
          <w:rtl/>
        </w:rPr>
        <w:t>وأما الأعراض النسبي</w:t>
      </w:r>
      <w:r w:rsidR="00EC7EDF" w:rsidRPr="00FD211F">
        <w:rPr>
          <w:sz w:val="36"/>
          <w:szCs w:val="36"/>
          <w:rtl/>
        </w:rPr>
        <w:t xml:space="preserve">ة </w:t>
      </w:r>
      <w:r w:rsidRPr="00FD211F">
        <w:rPr>
          <w:sz w:val="36"/>
          <w:szCs w:val="36"/>
          <w:rtl/>
        </w:rPr>
        <w:t>-كمقول</w:t>
      </w:r>
      <w:r w:rsidR="00EC7EDF" w:rsidRPr="00FD211F">
        <w:rPr>
          <w:sz w:val="36"/>
          <w:szCs w:val="36"/>
          <w:rtl/>
        </w:rPr>
        <w:t xml:space="preserve">ة </w:t>
      </w:r>
      <w:r w:rsidRPr="00FD211F">
        <w:rPr>
          <w:sz w:val="36"/>
          <w:szCs w:val="36"/>
          <w:rtl/>
        </w:rPr>
        <w:t>الأين التي هي هيئ</w:t>
      </w:r>
      <w:r w:rsidR="00EC7EDF" w:rsidRPr="00FD211F">
        <w:rPr>
          <w:sz w:val="36"/>
          <w:szCs w:val="36"/>
          <w:rtl/>
        </w:rPr>
        <w:t xml:space="preserve">ة </w:t>
      </w:r>
      <w:r w:rsidRPr="00FD211F">
        <w:rPr>
          <w:sz w:val="36"/>
          <w:szCs w:val="36"/>
          <w:rtl/>
        </w:rPr>
        <w:t>حاصل</w:t>
      </w:r>
      <w:r w:rsidR="00EC7EDF" w:rsidRPr="00FD211F">
        <w:rPr>
          <w:sz w:val="36"/>
          <w:szCs w:val="36"/>
          <w:rtl/>
        </w:rPr>
        <w:t xml:space="preserve">ة </w:t>
      </w:r>
      <w:r w:rsidR="00161200" w:rsidRPr="00FD211F">
        <w:rPr>
          <w:sz w:val="36"/>
          <w:szCs w:val="36"/>
          <w:rtl/>
        </w:rPr>
        <w:t>لزيد مثلا</w:t>
      </w:r>
      <w:r w:rsidRPr="00FD211F">
        <w:rPr>
          <w:sz w:val="36"/>
          <w:szCs w:val="36"/>
          <w:rtl/>
        </w:rPr>
        <w:t xml:space="preserve"> </w:t>
      </w:r>
      <w:r w:rsidR="00161200" w:rsidRPr="00FD211F">
        <w:rPr>
          <w:sz w:val="36"/>
          <w:szCs w:val="36"/>
          <w:rtl/>
        </w:rPr>
        <w:t xml:space="preserve">وتنشأ هذه الهيئة </w:t>
      </w:r>
      <w:r w:rsidRPr="00FD211F">
        <w:rPr>
          <w:sz w:val="36"/>
          <w:szCs w:val="36"/>
          <w:rtl/>
        </w:rPr>
        <w:t>عن وجود نسب</w:t>
      </w:r>
      <w:r w:rsidR="00EC7EDF" w:rsidRPr="00FD211F">
        <w:rPr>
          <w:sz w:val="36"/>
          <w:szCs w:val="36"/>
          <w:rtl/>
        </w:rPr>
        <w:t xml:space="preserve">ة </w:t>
      </w:r>
      <w:r w:rsidRPr="00FD211F">
        <w:rPr>
          <w:sz w:val="36"/>
          <w:szCs w:val="36"/>
          <w:rtl/>
        </w:rPr>
        <w:t>ظرفي</w:t>
      </w:r>
      <w:r w:rsidR="00EC7EDF" w:rsidRPr="00FD211F">
        <w:rPr>
          <w:sz w:val="36"/>
          <w:szCs w:val="36"/>
          <w:rtl/>
        </w:rPr>
        <w:t xml:space="preserve">ة </w:t>
      </w:r>
      <w:r w:rsidR="00161200" w:rsidRPr="00FD211F">
        <w:rPr>
          <w:sz w:val="36"/>
          <w:szCs w:val="36"/>
          <w:rtl/>
        </w:rPr>
        <w:t>بين زيد وبين الدار</w:t>
      </w:r>
      <w:r w:rsidRPr="00FD211F">
        <w:rPr>
          <w:sz w:val="36"/>
          <w:szCs w:val="36"/>
          <w:rtl/>
        </w:rPr>
        <w:t>- فلابد ان يكون الدال عليها هي الحروف</w:t>
      </w:r>
      <w:r w:rsidR="00603323" w:rsidRPr="00FD211F">
        <w:rPr>
          <w:sz w:val="36"/>
          <w:szCs w:val="36"/>
          <w:rtl/>
        </w:rPr>
        <w:t xml:space="preserve">، </w:t>
      </w:r>
      <w:r w:rsidRPr="00FD211F">
        <w:rPr>
          <w:sz w:val="36"/>
          <w:szCs w:val="36"/>
          <w:rtl/>
        </w:rPr>
        <w:t>فان قولنا "زيد في الدار" يدل على مقول</w:t>
      </w:r>
      <w:r w:rsidR="00EC7EDF" w:rsidRPr="00FD211F">
        <w:rPr>
          <w:sz w:val="36"/>
          <w:szCs w:val="36"/>
          <w:rtl/>
        </w:rPr>
        <w:t xml:space="preserve">ة </w:t>
      </w:r>
      <w:r w:rsidRPr="00FD211F">
        <w:rPr>
          <w:sz w:val="36"/>
          <w:szCs w:val="36"/>
          <w:rtl/>
        </w:rPr>
        <w:t>الأين وعلى ربطها بالطرفين</w:t>
      </w:r>
      <w:r w:rsidR="00603323" w:rsidRPr="00FD211F">
        <w:rPr>
          <w:sz w:val="36"/>
          <w:szCs w:val="36"/>
          <w:rtl/>
        </w:rPr>
        <w:t xml:space="preserve">، </w:t>
      </w:r>
      <w:r w:rsidRPr="00FD211F">
        <w:rPr>
          <w:sz w:val="36"/>
          <w:szCs w:val="36"/>
          <w:rtl/>
        </w:rPr>
        <w:t>وحيث لايحتمل ان تكون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دال</w:t>
      </w:r>
      <w:r w:rsidR="00EC7EDF" w:rsidRPr="00FD211F">
        <w:rPr>
          <w:sz w:val="36"/>
          <w:szCs w:val="36"/>
          <w:rtl/>
        </w:rPr>
        <w:t xml:space="preserve">ة </w:t>
      </w:r>
      <w:r w:rsidRPr="00FD211F">
        <w:rPr>
          <w:sz w:val="36"/>
          <w:szCs w:val="36"/>
          <w:rtl/>
        </w:rPr>
        <w:t>على مقول</w:t>
      </w:r>
      <w:r w:rsidR="00EC7EDF" w:rsidRPr="00FD211F">
        <w:rPr>
          <w:sz w:val="36"/>
          <w:szCs w:val="36"/>
          <w:rtl/>
        </w:rPr>
        <w:t xml:space="preserve">ة </w:t>
      </w:r>
      <w:r w:rsidRPr="00FD211F">
        <w:rPr>
          <w:sz w:val="36"/>
          <w:szCs w:val="36"/>
          <w:rtl/>
        </w:rPr>
        <w:t xml:space="preserve">الأين ويكون حرف </w:t>
      </w:r>
      <w:r w:rsidR="00161200" w:rsidRPr="00FD211F">
        <w:rPr>
          <w:sz w:val="36"/>
          <w:szCs w:val="36"/>
          <w:rtl/>
        </w:rPr>
        <w:t>"</w:t>
      </w:r>
      <w:r w:rsidRPr="00FD211F">
        <w:rPr>
          <w:sz w:val="36"/>
          <w:szCs w:val="36"/>
          <w:rtl/>
        </w:rPr>
        <w:t>في</w:t>
      </w:r>
      <w:r w:rsidR="00161200" w:rsidRPr="00FD211F">
        <w:rPr>
          <w:sz w:val="36"/>
          <w:szCs w:val="36"/>
          <w:rtl/>
        </w:rPr>
        <w:t>"</w:t>
      </w:r>
      <w:r w:rsidRPr="00FD211F">
        <w:rPr>
          <w:sz w:val="36"/>
          <w:szCs w:val="36"/>
          <w:rtl/>
        </w:rPr>
        <w:t xml:space="preserve"> دالا على الربط فلابد ان يكون حرف </w:t>
      </w:r>
      <w:r w:rsidR="00161200" w:rsidRPr="00FD211F">
        <w:rPr>
          <w:sz w:val="36"/>
          <w:szCs w:val="36"/>
          <w:rtl/>
        </w:rPr>
        <w:t>"</w:t>
      </w:r>
      <w:r w:rsidRPr="00FD211F">
        <w:rPr>
          <w:sz w:val="36"/>
          <w:szCs w:val="36"/>
          <w:rtl/>
        </w:rPr>
        <w:t>في</w:t>
      </w:r>
      <w:r w:rsidR="00161200" w:rsidRPr="00FD211F">
        <w:rPr>
          <w:sz w:val="36"/>
          <w:szCs w:val="36"/>
          <w:rtl/>
        </w:rPr>
        <w:t>"</w:t>
      </w:r>
      <w:r w:rsidRPr="00FD211F">
        <w:rPr>
          <w:sz w:val="36"/>
          <w:szCs w:val="36"/>
          <w:rtl/>
        </w:rPr>
        <w:t xml:space="preserve"> دالا على مقول</w:t>
      </w:r>
      <w:r w:rsidR="00EC7EDF" w:rsidRPr="00FD211F">
        <w:rPr>
          <w:sz w:val="36"/>
          <w:szCs w:val="36"/>
          <w:rtl/>
        </w:rPr>
        <w:t xml:space="preserve">ة </w:t>
      </w:r>
      <w:r w:rsidRPr="00FD211F">
        <w:rPr>
          <w:sz w:val="36"/>
          <w:szCs w:val="36"/>
          <w:rtl/>
        </w:rPr>
        <w:t>الأين وهيئ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دال</w:t>
      </w:r>
      <w:r w:rsidR="00EC7EDF" w:rsidRPr="00FD211F">
        <w:rPr>
          <w:sz w:val="36"/>
          <w:szCs w:val="36"/>
          <w:rtl/>
        </w:rPr>
        <w:t xml:space="preserve">ة </w:t>
      </w:r>
      <w:r w:rsidRPr="00FD211F">
        <w:rPr>
          <w:sz w:val="36"/>
          <w:szCs w:val="36"/>
          <w:rtl/>
        </w:rPr>
        <w:t>على الربط.</w:t>
      </w:r>
    </w:p>
    <w:p w14:paraId="1F698489" w14:textId="77777777" w:rsidR="007F5659" w:rsidRPr="00FD211F" w:rsidRDefault="00161200" w:rsidP="009C58C8">
      <w:pPr>
        <w:ind w:left="0" w:firstLine="227"/>
        <w:jc w:val="both"/>
        <w:rPr>
          <w:sz w:val="36"/>
          <w:szCs w:val="36"/>
          <w:rtl/>
        </w:rPr>
      </w:pPr>
      <w:r w:rsidRPr="00FD211F">
        <w:rPr>
          <w:sz w:val="36"/>
          <w:szCs w:val="36"/>
          <w:rtl/>
        </w:rPr>
        <w:t>و</w:t>
      </w:r>
      <w:r w:rsidR="007F5659" w:rsidRPr="00FD211F">
        <w:rPr>
          <w:sz w:val="36"/>
          <w:szCs w:val="36"/>
          <w:rtl/>
        </w:rPr>
        <w:t>ي</w:t>
      </w:r>
      <w:r w:rsidR="007020BB" w:rsidRPr="00FD211F">
        <w:rPr>
          <w:sz w:val="36"/>
          <w:szCs w:val="36"/>
          <w:rtl/>
        </w:rPr>
        <w:t>ردعلى ماذكره</w:t>
      </w:r>
      <w:r w:rsidR="007F5659" w:rsidRPr="00FD211F">
        <w:rPr>
          <w:sz w:val="36"/>
          <w:szCs w:val="36"/>
          <w:rtl/>
        </w:rPr>
        <w:t xml:space="preserve"> </w:t>
      </w:r>
      <w:r w:rsidR="007F5659" w:rsidRPr="00FD211F">
        <w:rPr>
          <w:b/>
          <w:bCs/>
          <w:sz w:val="36"/>
          <w:szCs w:val="36"/>
          <w:rtl/>
        </w:rPr>
        <w:t>اولا</w:t>
      </w:r>
      <w:r w:rsidR="007F5659" w:rsidRPr="00FD211F">
        <w:rPr>
          <w:sz w:val="36"/>
          <w:szCs w:val="36"/>
          <w:rtl/>
        </w:rPr>
        <w:t>: النقض بمثل قولنا</w:t>
      </w:r>
      <w:r w:rsidRPr="00FD211F">
        <w:rPr>
          <w:sz w:val="36"/>
          <w:szCs w:val="36"/>
          <w:rtl/>
        </w:rPr>
        <w:t>"</w:t>
      </w:r>
      <w:r w:rsidR="007F5659" w:rsidRPr="00FD211F">
        <w:rPr>
          <w:sz w:val="36"/>
          <w:szCs w:val="36"/>
          <w:rtl/>
        </w:rPr>
        <w:t xml:space="preserve"> الجسم له البياض</w:t>
      </w:r>
      <w:r w:rsidRPr="00FD211F">
        <w:rPr>
          <w:sz w:val="36"/>
          <w:szCs w:val="36"/>
          <w:rtl/>
        </w:rPr>
        <w:t>"</w:t>
      </w:r>
      <w:r w:rsidR="007F5659" w:rsidRPr="00FD211F">
        <w:rPr>
          <w:sz w:val="36"/>
          <w:szCs w:val="36"/>
          <w:rtl/>
        </w:rPr>
        <w:t xml:space="preserve"> فان البياض من مقول</w:t>
      </w:r>
      <w:r w:rsidR="00EC7EDF" w:rsidRPr="00FD211F">
        <w:rPr>
          <w:sz w:val="36"/>
          <w:szCs w:val="36"/>
          <w:rtl/>
        </w:rPr>
        <w:t xml:space="preserve">ة </w:t>
      </w:r>
      <w:r w:rsidR="007F5659" w:rsidRPr="00FD211F">
        <w:rPr>
          <w:sz w:val="36"/>
          <w:szCs w:val="36"/>
          <w:rtl/>
        </w:rPr>
        <w:t>الكيف وليس من الأعراض النسبي</w:t>
      </w:r>
      <w:r w:rsidR="00EC7EDF" w:rsidRPr="00FD211F">
        <w:rPr>
          <w:sz w:val="36"/>
          <w:szCs w:val="36"/>
          <w:rtl/>
        </w:rPr>
        <w:t xml:space="preserve">ة </w:t>
      </w:r>
      <w:r w:rsidR="007F5659" w:rsidRPr="00FD211F">
        <w:rPr>
          <w:sz w:val="36"/>
          <w:szCs w:val="36"/>
          <w:rtl/>
        </w:rPr>
        <w:t>فلابد ان يدل اللام في هذا المثال على الربط بين البياض والجسم</w:t>
      </w:r>
      <w:r w:rsidR="00603323" w:rsidRPr="00FD211F">
        <w:rPr>
          <w:sz w:val="36"/>
          <w:szCs w:val="36"/>
          <w:rtl/>
        </w:rPr>
        <w:t xml:space="preserve">، </w:t>
      </w:r>
      <w:r w:rsidR="007F5659" w:rsidRPr="00FD211F">
        <w:rPr>
          <w:sz w:val="36"/>
          <w:szCs w:val="36"/>
          <w:rtl/>
        </w:rPr>
        <w:t>وقد يستعمل فيما يمتنع</w:t>
      </w:r>
      <w:r w:rsidR="00C92097" w:rsidRPr="00FD211F">
        <w:rPr>
          <w:sz w:val="36"/>
          <w:szCs w:val="36"/>
          <w:rtl/>
        </w:rPr>
        <w:t xml:space="preserve"> فيه</w:t>
      </w:r>
      <w:r w:rsidR="007F5659" w:rsidRPr="00FD211F">
        <w:rPr>
          <w:sz w:val="36"/>
          <w:szCs w:val="36"/>
          <w:rtl/>
        </w:rPr>
        <w:t xml:space="preserve"> العرض النسبي كقولنا </w:t>
      </w:r>
      <w:r w:rsidR="00C92097" w:rsidRPr="00FD211F">
        <w:rPr>
          <w:sz w:val="36"/>
          <w:szCs w:val="36"/>
          <w:rtl/>
        </w:rPr>
        <w:t>"الوجود</w:t>
      </w:r>
      <w:r w:rsidR="00904CAB">
        <w:rPr>
          <w:rFonts w:hint="cs"/>
          <w:sz w:val="36"/>
          <w:szCs w:val="36"/>
          <w:rtl/>
        </w:rPr>
        <w:t xml:space="preserve"> </w:t>
      </w:r>
      <w:r w:rsidR="00C92097" w:rsidRPr="00FD211F">
        <w:rPr>
          <w:sz w:val="36"/>
          <w:szCs w:val="36"/>
          <w:rtl/>
        </w:rPr>
        <w:t>لله و</w:t>
      </w:r>
      <w:r w:rsidR="007F5659" w:rsidRPr="00FD211F">
        <w:rPr>
          <w:sz w:val="36"/>
          <w:szCs w:val="36"/>
          <w:rtl/>
        </w:rPr>
        <w:t>اجب</w:t>
      </w:r>
      <w:r w:rsidR="00C92097" w:rsidRPr="00FD211F">
        <w:rPr>
          <w:sz w:val="36"/>
          <w:szCs w:val="36"/>
          <w:rtl/>
        </w:rPr>
        <w:t>"</w:t>
      </w:r>
      <w:r w:rsidR="007F5659" w:rsidRPr="00FD211F">
        <w:rPr>
          <w:sz w:val="36"/>
          <w:szCs w:val="36"/>
          <w:rtl/>
        </w:rPr>
        <w:t xml:space="preserve"> ولايشاهد في ذلك أي</w:t>
      </w:r>
      <w:r w:rsidR="00EC7EDF" w:rsidRPr="00FD211F">
        <w:rPr>
          <w:sz w:val="36"/>
          <w:szCs w:val="36"/>
          <w:rtl/>
        </w:rPr>
        <w:t xml:space="preserve">ة </w:t>
      </w:r>
      <w:r w:rsidR="007F5659" w:rsidRPr="00FD211F">
        <w:rPr>
          <w:sz w:val="36"/>
          <w:szCs w:val="36"/>
          <w:rtl/>
        </w:rPr>
        <w:t>عناي</w:t>
      </w:r>
      <w:r w:rsidR="00EC7EDF" w:rsidRPr="00FD211F">
        <w:rPr>
          <w:sz w:val="36"/>
          <w:szCs w:val="36"/>
          <w:rtl/>
        </w:rPr>
        <w:t xml:space="preserve">ة </w:t>
      </w:r>
      <w:r w:rsidR="007F5659" w:rsidRPr="00FD211F">
        <w:rPr>
          <w:sz w:val="36"/>
          <w:szCs w:val="36"/>
          <w:rtl/>
        </w:rPr>
        <w:t>ومجاز</w:t>
      </w:r>
      <w:r w:rsidR="00603323" w:rsidRPr="00FD211F">
        <w:rPr>
          <w:sz w:val="36"/>
          <w:szCs w:val="36"/>
          <w:rtl/>
        </w:rPr>
        <w:t xml:space="preserve">، </w:t>
      </w:r>
      <w:r w:rsidR="007F5659" w:rsidRPr="00FD211F">
        <w:rPr>
          <w:sz w:val="36"/>
          <w:szCs w:val="36"/>
          <w:rtl/>
        </w:rPr>
        <w:t>وكذا يرد عليه النقض بمثل حروف العطف والإضراب والاستثناء والتفسير والتأكيد والقسم فانه يستحيل استعمالها في الأعراض النسبي</w:t>
      </w:r>
      <w:r w:rsidR="00EC7EDF" w:rsidRPr="00FD211F">
        <w:rPr>
          <w:sz w:val="36"/>
          <w:szCs w:val="36"/>
          <w:rtl/>
        </w:rPr>
        <w:t>ة</w:t>
      </w:r>
      <w:r w:rsidR="00A61BAE" w:rsidRPr="00FD211F">
        <w:rPr>
          <w:sz w:val="36"/>
          <w:szCs w:val="36"/>
          <w:rtl/>
        </w:rPr>
        <w:t>.</w:t>
      </w:r>
    </w:p>
    <w:p w14:paraId="2E0E487F" w14:textId="77777777" w:rsidR="007F5659" w:rsidRPr="00FD211F" w:rsidRDefault="007F5659" w:rsidP="00904CAB">
      <w:pPr>
        <w:ind w:left="0" w:firstLine="227"/>
        <w:jc w:val="both"/>
        <w:rPr>
          <w:sz w:val="36"/>
          <w:szCs w:val="36"/>
          <w:rtl/>
        </w:rPr>
      </w:pPr>
      <w:r w:rsidRPr="00FD211F">
        <w:rPr>
          <w:b/>
          <w:bCs/>
          <w:sz w:val="36"/>
          <w:szCs w:val="36"/>
          <w:rtl/>
        </w:rPr>
        <w:t>وثانيا</w:t>
      </w:r>
      <w:r w:rsidRPr="00FD211F">
        <w:rPr>
          <w:sz w:val="36"/>
          <w:szCs w:val="36"/>
          <w:rtl/>
        </w:rPr>
        <w:t>: انه ان اراد لزوم وضع اللفظ بإزاء الأعراض النسبي</w:t>
      </w:r>
      <w:r w:rsidR="00EC7EDF" w:rsidRPr="00FD211F">
        <w:rPr>
          <w:sz w:val="36"/>
          <w:szCs w:val="36"/>
          <w:rtl/>
        </w:rPr>
        <w:t xml:space="preserve">ة </w:t>
      </w:r>
      <w:r w:rsidRPr="00FD211F">
        <w:rPr>
          <w:sz w:val="36"/>
          <w:szCs w:val="36"/>
          <w:rtl/>
        </w:rPr>
        <w:t>فلاينحصر بالحرف</w:t>
      </w:r>
      <w:r w:rsidR="00603323" w:rsidRPr="00FD211F">
        <w:rPr>
          <w:sz w:val="36"/>
          <w:szCs w:val="36"/>
          <w:rtl/>
        </w:rPr>
        <w:t xml:space="preserve">، </w:t>
      </w:r>
      <w:r w:rsidRPr="00FD211F">
        <w:rPr>
          <w:sz w:val="36"/>
          <w:szCs w:val="36"/>
          <w:rtl/>
        </w:rPr>
        <w:t>فقد وضع بإزائها أسماء كالظرفي</w:t>
      </w:r>
      <w:r w:rsidR="00EC7EDF" w:rsidRPr="00FD211F">
        <w:rPr>
          <w:sz w:val="36"/>
          <w:szCs w:val="36"/>
          <w:rtl/>
        </w:rPr>
        <w:t xml:space="preserve">ة </w:t>
      </w:r>
      <w:r w:rsidRPr="00FD211F">
        <w:rPr>
          <w:sz w:val="36"/>
          <w:szCs w:val="36"/>
          <w:rtl/>
        </w:rPr>
        <w:t>والمظروفي</w:t>
      </w:r>
      <w:r w:rsidR="00EC7EDF" w:rsidRPr="00FD211F">
        <w:rPr>
          <w:sz w:val="36"/>
          <w:szCs w:val="36"/>
          <w:rtl/>
        </w:rPr>
        <w:t>ة</w:t>
      </w:r>
      <w:r w:rsidR="00603323" w:rsidRPr="00FD211F">
        <w:rPr>
          <w:sz w:val="36"/>
          <w:szCs w:val="36"/>
          <w:rtl/>
        </w:rPr>
        <w:t xml:space="preserve">، </w:t>
      </w:r>
      <w:r w:rsidRPr="00FD211F">
        <w:rPr>
          <w:sz w:val="36"/>
          <w:szCs w:val="36"/>
          <w:rtl/>
        </w:rPr>
        <w:t>وان اراد دلال</w:t>
      </w:r>
      <w:r w:rsidR="00EC7EDF" w:rsidRPr="00FD211F">
        <w:rPr>
          <w:sz w:val="36"/>
          <w:szCs w:val="36"/>
          <w:rtl/>
        </w:rPr>
        <w:t xml:space="preserve">ة </w:t>
      </w:r>
      <w:r w:rsidRPr="00FD211F">
        <w:rPr>
          <w:sz w:val="36"/>
          <w:szCs w:val="36"/>
          <w:rtl/>
        </w:rPr>
        <w:t>قولنا</w:t>
      </w:r>
      <w:r w:rsidR="00904CAB">
        <w:rPr>
          <w:rFonts w:hint="cs"/>
          <w:sz w:val="36"/>
          <w:szCs w:val="36"/>
          <w:rtl/>
        </w:rPr>
        <w:t xml:space="preserve"> </w:t>
      </w:r>
      <w:r w:rsidR="00C92097" w:rsidRPr="00FD211F">
        <w:rPr>
          <w:sz w:val="36"/>
          <w:szCs w:val="36"/>
          <w:rtl/>
        </w:rPr>
        <w:t>"</w:t>
      </w:r>
      <w:r w:rsidRPr="00FD211F">
        <w:rPr>
          <w:sz w:val="36"/>
          <w:szCs w:val="36"/>
          <w:rtl/>
        </w:rPr>
        <w:t>زيد في الدار</w:t>
      </w:r>
      <w:r w:rsidR="00C92097" w:rsidRPr="00FD211F">
        <w:rPr>
          <w:sz w:val="36"/>
          <w:szCs w:val="36"/>
          <w:rtl/>
        </w:rPr>
        <w:t>"</w:t>
      </w:r>
      <w:r w:rsidRPr="00FD211F">
        <w:rPr>
          <w:sz w:val="36"/>
          <w:szCs w:val="36"/>
          <w:rtl/>
        </w:rPr>
        <w:t xml:space="preserve"> على العرض النسبي فلابد ان يكون الدال عليه هو الحرف</w:t>
      </w:r>
      <w:r w:rsidR="00603323" w:rsidRPr="00FD211F">
        <w:rPr>
          <w:sz w:val="36"/>
          <w:szCs w:val="36"/>
          <w:rtl/>
        </w:rPr>
        <w:t xml:space="preserve">، </w:t>
      </w:r>
      <w:r w:rsidRPr="00FD211F">
        <w:rPr>
          <w:sz w:val="36"/>
          <w:szCs w:val="36"/>
          <w:rtl/>
        </w:rPr>
        <w:t>والدال على الربط هو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ففيه انه لايفهم من هذه الجمل</w:t>
      </w:r>
      <w:r w:rsidR="00EC7EDF" w:rsidRPr="00FD211F">
        <w:rPr>
          <w:sz w:val="36"/>
          <w:szCs w:val="36"/>
          <w:rtl/>
        </w:rPr>
        <w:t xml:space="preserve">ة </w:t>
      </w:r>
      <w:r w:rsidRPr="00FD211F">
        <w:rPr>
          <w:sz w:val="36"/>
          <w:szCs w:val="36"/>
          <w:rtl/>
        </w:rPr>
        <w:t>العرض النسبي مطابق</w:t>
      </w:r>
      <w:r w:rsidR="00EC7EDF" w:rsidRPr="00FD211F">
        <w:rPr>
          <w:sz w:val="36"/>
          <w:szCs w:val="36"/>
          <w:rtl/>
        </w:rPr>
        <w:t xml:space="preserve">ة </w:t>
      </w:r>
      <w:r w:rsidRPr="00FD211F">
        <w:rPr>
          <w:sz w:val="36"/>
          <w:szCs w:val="36"/>
          <w:rtl/>
        </w:rPr>
        <w:t>وانما يفهم نفس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بين زيد والدار.</w:t>
      </w:r>
    </w:p>
    <w:p w14:paraId="750009F9" w14:textId="77777777" w:rsidR="007F5659" w:rsidRPr="00FD211F" w:rsidRDefault="007F5659" w:rsidP="009C58C8">
      <w:pPr>
        <w:ind w:left="0" w:firstLine="227"/>
        <w:jc w:val="both"/>
        <w:rPr>
          <w:sz w:val="36"/>
          <w:szCs w:val="36"/>
          <w:rtl/>
        </w:rPr>
      </w:pPr>
      <w:r w:rsidRPr="00FD211F">
        <w:rPr>
          <w:sz w:val="36"/>
          <w:szCs w:val="36"/>
          <w:rtl/>
        </w:rPr>
        <w:t>هذا ولايخفى ان ظاهر كلامه في مقالات الاصول هو وضع الحروف بازاء نفس النسب دون الأعراض النسبي</w:t>
      </w:r>
      <w:r w:rsidR="00EC7EDF" w:rsidRPr="00FD211F">
        <w:rPr>
          <w:sz w:val="36"/>
          <w:szCs w:val="36"/>
          <w:rtl/>
        </w:rPr>
        <w:t xml:space="preserve">ة </w:t>
      </w:r>
      <w:r w:rsidRPr="00FD211F">
        <w:rPr>
          <w:sz w:val="36"/>
          <w:szCs w:val="36"/>
          <w:rtl/>
        </w:rPr>
        <w:t>الناشئ</w:t>
      </w:r>
      <w:r w:rsidR="00EC7EDF" w:rsidRPr="00FD211F">
        <w:rPr>
          <w:sz w:val="36"/>
          <w:szCs w:val="36"/>
          <w:rtl/>
        </w:rPr>
        <w:t xml:space="preserve">ة </w:t>
      </w:r>
      <w:r w:rsidRPr="00FD211F">
        <w:rPr>
          <w:sz w:val="36"/>
          <w:szCs w:val="36"/>
          <w:rtl/>
        </w:rPr>
        <w:t>منها</w:t>
      </w:r>
      <w:r w:rsidR="009C58C8" w:rsidRPr="00FD211F">
        <w:rPr>
          <w:rStyle w:val="a6"/>
          <w:sz w:val="36"/>
          <w:szCs w:val="36"/>
          <w:rtl/>
        </w:rPr>
        <w:t>(</w:t>
      </w:r>
      <w:r w:rsidR="009C58C8" w:rsidRPr="00FD211F">
        <w:rPr>
          <w:rStyle w:val="a6"/>
          <w:sz w:val="36"/>
          <w:szCs w:val="36"/>
          <w:rtl/>
        </w:rPr>
        <w:footnoteReference w:id="173"/>
      </w:r>
      <w:r w:rsidR="009C58C8" w:rsidRPr="00FD211F">
        <w:rPr>
          <w:rStyle w:val="a6"/>
          <w:sz w:val="36"/>
          <w:szCs w:val="36"/>
          <w:rtl/>
        </w:rPr>
        <w:t>)</w:t>
      </w:r>
      <w:r w:rsidR="00603323" w:rsidRPr="00FD211F">
        <w:rPr>
          <w:sz w:val="36"/>
          <w:szCs w:val="36"/>
          <w:rtl/>
        </w:rPr>
        <w:t xml:space="preserve">، </w:t>
      </w:r>
      <w:r w:rsidRPr="00FD211F">
        <w:rPr>
          <w:sz w:val="36"/>
          <w:szCs w:val="36"/>
          <w:rtl/>
        </w:rPr>
        <w:t>فيرجع الى ما ذكرناه في تقريب القول الاول والثاني.</w:t>
      </w:r>
    </w:p>
    <w:p w14:paraId="1D8B8D7F" w14:textId="77777777" w:rsidR="007F5659" w:rsidRPr="00FD211F" w:rsidRDefault="007F5659" w:rsidP="009C58C8">
      <w:pPr>
        <w:pStyle w:val="3"/>
        <w:ind w:firstLine="227"/>
        <w:jc w:val="both"/>
        <w:rPr>
          <w:rtl/>
        </w:rPr>
      </w:pPr>
      <w:bookmarkStart w:id="183" w:name="درس084"/>
      <w:bookmarkStart w:id="184" w:name="_Toc192092869"/>
      <w:bookmarkStart w:id="185" w:name="_Toc223890343"/>
      <w:bookmarkEnd w:id="183"/>
      <w:r w:rsidRPr="00FD211F">
        <w:rPr>
          <w:rtl/>
        </w:rPr>
        <w:t>اختلاف المعنى الحرفي والاسمي باللفّ والنشر</w:t>
      </w:r>
      <w:bookmarkEnd w:id="184"/>
      <w:bookmarkEnd w:id="185"/>
    </w:p>
    <w:p w14:paraId="0DBFF451" w14:textId="77777777" w:rsidR="007F5659" w:rsidRPr="00FD211F" w:rsidRDefault="007F5659" w:rsidP="00251CB6">
      <w:pPr>
        <w:ind w:left="0" w:firstLine="227"/>
        <w:jc w:val="both"/>
        <w:rPr>
          <w:sz w:val="36"/>
          <w:szCs w:val="36"/>
          <w:rtl/>
        </w:rPr>
      </w:pPr>
      <w:r w:rsidRPr="00FD211F">
        <w:rPr>
          <w:b/>
          <w:bCs/>
          <w:sz w:val="36"/>
          <w:szCs w:val="36"/>
          <w:rtl/>
        </w:rPr>
        <w:t>القول الخامس</w:t>
      </w:r>
      <w:r w:rsidR="00C92097" w:rsidRPr="00FD211F">
        <w:rPr>
          <w:b/>
          <w:bCs/>
          <w:sz w:val="36"/>
          <w:szCs w:val="36"/>
          <w:rtl/>
        </w:rPr>
        <w:t>:</w:t>
      </w:r>
      <w:r w:rsidRPr="00FD211F">
        <w:rPr>
          <w:sz w:val="36"/>
          <w:szCs w:val="36"/>
          <w:rtl/>
        </w:rPr>
        <w:t>ما حكي عن بعض الساد</w:t>
      </w:r>
      <w:r w:rsidR="00EC7EDF" w:rsidRPr="00FD211F">
        <w:rPr>
          <w:sz w:val="36"/>
          <w:szCs w:val="36"/>
          <w:rtl/>
        </w:rPr>
        <w:t xml:space="preserve">ة </w:t>
      </w:r>
      <w:r w:rsidRPr="00FD211F">
        <w:rPr>
          <w:sz w:val="36"/>
          <w:szCs w:val="36"/>
          <w:rtl/>
        </w:rPr>
        <w:t>الاعلام</w:t>
      </w:r>
      <w:r w:rsidR="007A4A0D" w:rsidRPr="00FD211F">
        <w:rPr>
          <w:sz w:val="36"/>
          <w:szCs w:val="36"/>
          <w:rtl/>
        </w:rPr>
        <w:t xml:space="preserve"> </w:t>
      </w:r>
      <w:r w:rsidR="00251CB6" w:rsidRPr="00FD211F">
        <w:rPr>
          <w:sz w:val="36"/>
          <w:szCs w:val="36"/>
          <w:rtl/>
        </w:rPr>
        <w:t>"</w:t>
      </w:r>
      <w:r w:rsidR="007A4A0D" w:rsidRPr="00FD211F">
        <w:rPr>
          <w:sz w:val="36"/>
          <w:szCs w:val="36"/>
          <w:rtl/>
        </w:rPr>
        <w:t>دام‌ظله</w:t>
      </w:r>
      <w:r w:rsidR="00251CB6" w:rsidRPr="00FD211F">
        <w:rPr>
          <w:sz w:val="36"/>
          <w:szCs w:val="36"/>
          <w:rtl/>
        </w:rPr>
        <w:t>"</w:t>
      </w:r>
      <w:r w:rsidR="007A4A0D" w:rsidRPr="00FD211F">
        <w:rPr>
          <w:sz w:val="36"/>
          <w:szCs w:val="36"/>
          <w:rtl/>
        </w:rPr>
        <w:t xml:space="preserve"> </w:t>
      </w:r>
      <w:r w:rsidRPr="00FD211F">
        <w:rPr>
          <w:sz w:val="36"/>
          <w:szCs w:val="36"/>
          <w:rtl/>
        </w:rPr>
        <w:t>من ان الاختلاف بين المعنى الحرفي والاسمي انما هو في كون المعنى الحرفي بنحو الإجمال واللفّ والاندماج وكون المعنى الاسمي بنحو التفصيل والنشر والانبساط</w:t>
      </w:r>
      <w:r w:rsidR="00603323" w:rsidRPr="00FD211F">
        <w:rPr>
          <w:sz w:val="36"/>
          <w:szCs w:val="36"/>
          <w:rtl/>
        </w:rPr>
        <w:t xml:space="preserve">، </w:t>
      </w:r>
      <w:r w:rsidRPr="00FD211F">
        <w:rPr>
          <w:sz w:val="36"/>
          <w:szCs w:val="36"/>
          <w:rtl/>
        </w:rPr>
        <w:t>وتوضيح ذلك ان الذهن لما يتصور الخارج فقد يتصوره بصور مختلف</w:t>
      </w:r>
      <w:r w:rsidR="00EC7EDF" w:rsidRPr="00FD211F">
        <w:rPr>
          <w:sz w:val="36"/>
          <w:szCs w:val="36"/>
          <w:rtl/>
        </w:rPr>
        <w:t xml:space="preserve">ة </w:t>
      </w:r>
      <w:r w:rsidRPr="00FD211F">
        <w:rPr>
          <w:sz w:val="36"/>
          <w:szCs w:val="36"/>
          <w:rtl/>
        </w:rPr>
        <w:t>على نحو التكثر الإدراكي</w:t>
      </w:r>
      <w:r w:rsidR="00603323" w:rsidRPr="00FD211F">
        <w:rPr>
          <w:sz w:val="36"/>
          <w:szCs w:val="36"/>
          <w:rtl/>
        </w:rPr>
        <w:t xml:space="preserve">، </w:t>
      </w:r>
      <w:r w:rsidRPr="00FD211F">
        <w:rPr>
          <w:sz w:val="36"/>
          <w:szCs w:val="36"/>
          <w:rtl/>
        </w:rPr>
        <w:t>وهذا نظير الاختلاف بين</w:t>
      </w:r>
      <w:r w:rsidR="00C92097" w:rsidRPr="00FD211F">
        <w:rPr>
          <w:sz w:val="36"/>
          <w:szCs w:val="36"/>
          <w:rtl/>
        </w:rPr>
        <w:t>"</w:t>
      </w:r>
      <w:r w:rsidRPr="00FD211F">
        <w:rPr>
          <w:sz w:val="36"/>
          <w:szCs w:val="36"/>
          <w:rtl/>
        </w:rPr>
        <w:t xml:space="preserve"> ليس ببصير</w:t>
      </w:r>
      <w:r w:rsidR="00C92097" w:rsidRPr="00FD211F">
        <w:rPr>
          <w:sz w:val="36"/>
          <w:szCs w:val="36"/>
          <w:rtl/>
        </w:rPr>
        <w:t>"</w:t>
      </w:r>
      <w:r w:rsidRPr="00FD211F">
        <w:rPr>
          <w:sz w:val="36"/>
          <w:szCs w:val="36"/>
          <w:rtl/>
        </w:rPr>
        <w:t xml:space="preserve"> و</w:t>
      </w:r>
      <w:r w:rsidR="00C92097" w:rsidRPr="00FD211F">
        <w:rPr>
          <w:sz w:val="36"/>
          <w:szCs w:val="36"/>
          <w:rtl/>
        </w:rPr>
        <w:t>"</w:t>
      </w:r>
      <w:r w:rsidRPr="00FD211F">
        <w:rPr>
          <w:sz w:val="36"/>
          <w:szCs w:val="36"/>
          <w:rtl/>
        </w:rPr>
        <w:t>الأعمى</w:t>
      </w:r>
      <w:r w:rsidR="00C92097" w:rsidRPr="00FD211F">
        <w:rPr>
          <w:sz w:val="36"/>
          <w:szCs w:val="36"/>
          <w:rtl/>
        </w:rPr>
        <w:t>"</w:t>
      </w:r>
      <w:r w:rsidRPr="00FD211F">
        <w:rPr>
          <w:sz w:val="36"/>
          <w:szCs w:val="36"/>
          <w:rtl/>
        </w:rPr>
        <w:t xml:space="preserve"> و</w:t>
      </w:r>
      <w:r w:rsidR="00C92097" w:rsidRPr="00FD211F">
        <w:rPr>
          <w:sz w:val="36"/>
          <w:szCs w:val="36"/>
          <w:rtl/>
        </w:rPr>
        <w:t>"</w:t>
      </w:r>
      <w:r w:rsidRPr="00FD211F">
        <w:rPr>
          <w:sz w:val="36"/>
          <w:szCs w:val="36"/>
          <w:rtl/>
        </w:rPr>
        <w:t>لابصير</w:t>
      </w:r>
      <w:r w:rsidR="00C92097" w:rsidRPr="00FD211F">
        <w:rPr>
          <w:sz w:val="36"/>
          <w:szCs w:val="36"/>
          <w:rtl/>
        </w:rPr>
        <w:t>"</w:t>
      </w:r>
      <w:r w:rsidR="00603323" w:rsidRPr="00FD211F">
        <w:rPr>
          <w:sz w:val="36"/>
          <w:szCs w:val="36"/>
          <w:rtl/>
        </w:rPr>
        <w:t xml:space="preserve">، </w:t>
      </w:r>
      <w:r w:rsidRPr="00FD211F">
        <w:rPr>
          <w:sz w:val="36"/>
          <w:szCs w:val="36"/>
          <w:rtl/>
        </w:rPr>
        <w:t>وعليه فلو رأينا زيدا في الدار فقد نتصور الربط الظرفي بينهما بصور</w:t>
      </w:r>
      <w:r w:rsidR="00EC7EDF" w:rsidRPr="00FD211F">
        <w:rPr>
          <w:sz w:val="36"/>
          <w:szCs w:val="36"/>
          <w:rtl/>
        </w:rPr>
        <w:t xml:space="preserve">ة </w:t>
      </w:r>
      <w:r w:rsidRPr="00FD211F">
        <w:rPr>
          <w:sz w:val="36"/>
          <w:szCs w:val="36"/>
          <w:rtl/>
        </w:rPr>
        <w:t>تفصيلي</w:t>
      </w:r>
      <w:r w:rsidR="00EC7EDF" w:rsidRPr="00FD211F">
        <w:rPr>
          <w:sz w:val="36"/>
          <w:szCs w:val="36"/>
          <w:rtl/>
        </w:rPr>
        <w:t xml:space="preserve">ة </w:t>
      </w:r>
      <w:r w:rsidRPr="00FD211F">
        <w:rPr>
          <w:sz w:val="36"/>
          <w:szCs w:val="36"/>
          <w:rtl/>
        </w:rPr>
        <w:t>فنقول</w:t>
      </w:r>
      <w:r w:rsidR="00C92097" w:rsidRPr="00FD211F">
        <w:rPr>
          <w:sz w:val="36"/>
          <w:szCs w:val="36"/>
          <w:rtl/>
        </w:rPr>
        <w:t>"</w:t>
      </w:r>
      <w:r w:rsidRPr="00FD211F">
        <w:rPr>
          <w:sz w:val="36"/>
          <w:szCs w:val="36"/>
          <w:rtl/>
        </w:rPr>
        <w:t xml:space="preserve"> الظرفي</w:t>
      </w:r>
      <w:r w:rsidR="00EC7EDF" w:rsidRPr="00FD211F">
        <w:rPr>
          <w:sz w:val="36"/>
          <w:szCs w:val="36"/>
          <w:rtl/>
        </w:rPr>
        <w:t xml:space="preserve">ة </w:t>
      </w:r>
      <w:r w:rsidRPr="00FD211F">
        <w:rPr>
          <w:sz w:val="36"/>
          <w:szCs w:val="36"/>
          <w:rtl/>
        </w:rPr>
        <w:t>والمظروفي</w:t>
      </w:r>
      <w:r w:rsidR="00EC7EDF" w:rsidRPr="00FD211F">
        <w:rPr>
          <w:sz w:val="36"/>
          <w:szCs w:val="36"/>
          <w:rtl/>
        </w:rPr>
        <w:t xml:space="preserve">ة </w:t>
      </w:r>
      <w:r w:rsidRPr="00FD211F">
        <w:rPr>
          <w:sz w:val="36"/>
          <w:szCs w:val="36"/>
          <w:rtl/>
        </w:rPr>
        <w:t>متحقق</w:t>
      </w:r>
      <w:r w:rsidR="00EC7EDF" w:rsidRPr="00FD211F">
        <w:rPr>
          <w:sz w:val="36"/>
          <w:szCs w:val="36"/>
          <w:rtl/>
        </w:rPr>
        <w:t xml:space="preserve">ة </w:t>
      </w:r>
      <w:r w:rsidRPr="00FD211F">
        <w:rPr>
          <w:sz w:val="36"/>
          <w:szCs w:val="36"/>
          <w:rtl/>
        </w:rPr>
        <w:t>بين زيد والدار</w:t>
      </w:r>
      <w:r w:rsidR="00C92097" w:rsidRPr="00FD211F">
        <w:rPr>
          <w:sz w:val="36"/>
          <w:szCs w:val="36"/>
          <w:rtl/>
        </w:rPr>
        <w:t>"</w:t>
      </w:r>
      <w:r w:rsidRPr="00FD211F">
        <w:rPr>
          <w:sz w:val="36"/>
          <w:szCs w:val="36"/>
          <w:rtl/>
        </w:rPr>
        <w:t xml:space="preserve"> او</w:t>
      </w:r>
      <w:r w:rsidR="00C92097" w:rsidRPr="00FD211F">
        <w:rPr>
          <w:sz w:val="36"/>
          <w:szCs w:val="36"/>
          <w:rtl/>
        </w:rPr>
        <w:t>نقول "</w:t>
      </w:r>
      <w:r w:rsidRPr="00FD211F">
        <w:rPr>
          <w:sz w:val="36"/>
          <w:szCs w:val="36"/>
          <w:rtl/>
        </w:rPr>
        <w:t xml:space="preserve"> ان الدار احتوت على زيد</w:t>
      </w:r>
      <w:r w:rsidR="00C92097" w:rsidRPr="00FD211F">
        <w:rPr>
          <w:sz w:val="36"/>
          <w:szCs w:val="36"/>
          <w:rtl/>
        </w:rPr>
        <w:t>"</w:t>
      </w:r>
      <w:r w:rsidR="007969F0" w:rsidRPr="00FD211F">
        <w:rPr>
          <w:sz w:val="36"/>
          <w:szCs w:val="36"/>
          <w:rtl/>
        </w:rPr>
        <w:t xml:space="preserve"> </w:t>
      </w:r>
      <w:r w:rsidRPr="00FD211F">
        <w:rPr>
          <w:sz w:val="36"/>
          <w:szCs w:val="36"/>
          <w:rtl/>
        </w:rPr>
        <w:t>او</w:t>
      </w:r>
      <w:r w:rsidR="007969F0" w:rsidRPr="00FD211F">
        <w:rPr>
          <w:sz w:val="36"/>
          <w:szCs w:val="36"/>
          <w:rtl/>
        </w:rPr>
        <w:t xml:space="preserve"> </w:t>
      </w:r>
      <w:r w:rsidR="00C92097" w:rsidRPr="00FD211F">
        <w:rPr>
          <w:sz w:val="36"/>
          <w:szCs w:val="36"/>
          <w:rtl/>
        </w:rPr>
        <w:t>"</w:t>
      </w:r>
      <w:r w:rsidRPr="00FD211F">
        <w:rPr>
          <w:sz w:val="36"/>
          <w:szCs w:val="36"/>
          <w:rtl/>
        </w:rPr>
        <w:t>ان زيدا داخل الدار</w:t>
      </w:r>
      <w:r w:rsidR="00C92097" w:rsidRPr="00FD211F">
        <w:rPr>
          <w:sz w:val="36"/>
          <w:szCs w:val="36"/>
          <w:rtl/>
        </w:rPr>
        <w:t>"</w:t>
      </w:r>
      <w:r w:rsidR="00603323" w:rsidRPr="00FD211F">
        <w:rPr>
          <w:sz w:val="36"/>
          <w:szCs w:val="36"/>
          <w:rtl/>
        </w:rPr>
        <w:t xml:space="preserve">، </w:t>
      </w:r>
      <w:r w:rsidRPr="00FD211F">
        <w:rPr>
          <w:sz w:val="36"/>
          <w:szCs w:val="36"/>
          <w:rtl/>
        </w:rPr>
        <w:t>وقد نتصوره بصور</w:t>
      </w:r>
      <w:r w:rsidR="00EC7EDF" w:rsidRPr="00FD211F">
        <w:rPr>
          <w:sz w:val="36"/>
          <w:szCs w:val="36"/>
          <w:rtl/>
        </w:rPr>
        <w:t xml:space="preserve">ة </w:t>
      </w:r>
      <w:r w:rsidRPr="00FD211F">
        <w:rPr>
          <w:sz w:val="36"/>
          <w:szCs w:val="36"/>
          <w:rtl/>
        </w:rPr>
        <w:t>مجمل</w:t>
      </w:r>
      <w:r w:rsidR="00EC7EDF" w:rsidRPr="00FD211F">
        <w:rPr>
          <w:sz w:val="36"/>
          <w:szCs w:val="36"/>
          <w:rtl/>
        </w:rPr>
        <w:t xml:space="preserve">ة </w:t>
      </w:r>
      <w:r w:rsidRPr="00FD211F">
        <w:rPr>
          <w:sz w:val="36"/>
          <w:szCs w:val="36"/>
          <w:rtl/>
        </w:rPr>
        <w:t>ومندمج</w:t>
      </w:r>
      <w:r w:rsidR="00EC7EDF" w:rsidRPr="00FD211F">
        <w:rPr>
          <w:sz w:val="36"/>
          <w:szCs w:val="36"/>
          <w:rtl/>
        </w:rPr>
        <w:t xml:space="preserve">ة </w:t>
      </w:r>
      <w:r w:rsidRPr="00FD211F">
        <w:rPr>
          <w:sz w:val="36"/>
          <w:szCs w:val="36"/>
          <w:rtl/>
        </w:rPr>
        <w:t xml:space="preserve">فنقول </w:t>
      </w:r>
      <w:r w:rsidR="00C92097" w:rsidRPr="00FD211F">
        <w:rPr>
          <w:sz w:val="36"/>
          <w:szCs w:val="36"/>
          <w:rtl/>
        </w:rPr>
        <w:t>"</w:t>
      </w:r>
      <w:r w:rsidRPr="00FD211F">
        <w:rPr>
          <w:sz w:val="36"/>
          <w:szCs w:val="36"/>
          <w:rtl/>
        </w:rPr>
        <w:t>زيد في الدار</w:t>
      </w:r>
      <w:r w:rsidR="00C92097" w:rsidRPr="00FD211F">
        <w:rPr>
          <w:sz w:val="36"/>
          <w:szCs w:val="36"/>
          <w:rtl/>
        </w:rPr>
        <w:t>"</w:t>
      </w:r>
      <w:r w:rsidR="00603323" w:rsidRPr="00FD211F">
        <w:rPr>
          <w:sz w:val="36"/>
          <w:szCs w:val="36"/>
          <w:rtl/>
        </w:rPr>
        <w:t xml:space="preserve">، </w:t>
      </w:r>
      <w:r w:rsidRPr="00FD211F">
        <w:rPr>
          <w:sz w:val="36"/>
          <w:szCs w:val="36"/>
          <w:rtl/>
        </w:rPr>
        <w:t>وليس الاختلاف بين الصورتين الا بالإجمال والتفصيل</w:t>
      </w:r>
      <w:r w:rsidR="00603323" w:rsidRPr="00FD211F">
        <w:rPr>
          <w:sz w:val="36"/>
          <w:szCs w:val="36"/>
          <w:rtl/>
        </w:rPr>
        <w:t xml:space="preserve">، </w:t>
      </w:r>
      <w:r w:rsidRPr="00FD211F">
        <w:rPr>
          <w:sz w:val="36"/>
          <w:szCs w:val="36"/>
          <w:rtl/>
        </w:rPr>
        <w:t>نظير الاختلاف بين مفهوم الانسان ومفهوم الحيوان الناطق وان شئت فلاحظ دلال</w:t>
      </w:r>
      <w:r w:rsidR="00EC7EDF" w:rsidRPr="00FD211F">
        <w:rPr>
          <w:sz w:val="36"/>
          <w:szCs w:val="36"/>
          <w:rtl/>
        </w:rPr>
        <w:t xml:space="preserve">ة </w:t>
      </w:r>
      <w:r w:rsidRPr="00FD211F">
        <w:rPr>
          <w:sz w:val="36"/>
          <w:szCs w:val="36"/>
          <w:rtl/>
        </w:rPr>
        <w:t>الفعل مثل</w:t>
      </w:r>
      <w:r w:rsidR="00C92097" w:rsidRPr="00FD211F">
        <w:rPr>
          <w:sz w:val="36"/>
          <w:szCs w:val="36"/>
          <w:rtl/>
        </w:rPr>
        <w:t>" ضَرَبَ"</w:t>
      </w:r>
      <w:r w:rsidRPr="00FD211F">
        <w:rPr>
          <w:sz w:val="36"/>
          <w:szCs w:val="36"/>
          <w:rtl/>
        </w:rPr>
        <w:t xml:space="preserve"> حيث ان دلالتها</w:t>
      </w:r>
      <w:r w:rsidR="00C92097" w:rsidRPr="00FD211F">
        <w:rPr>
          <w:sz w:val="36"/>
          <w:szCs w:val="36"/>
          <w:rtl/>
        </w:rPr>
        <w:t xml:space="preserve"> على</w:t>
      </w:r>
      <w:r w:rsidR="00B253CE" w:rsidRPr="00FD211F">
        <w:rPr>
          <w:sz w:val="36"/>
          <w:szCs w:val="36"/>
          <w:rtl/>
        </w:rPr>
        <w:t xml:space="preserve"> </w:t>
      </w:r>
      <w:r w:rsidRPr="00FD211F">
        <w:rPr>
          <w:sz w:val="36"/>
          <w:szCs w:val="36"/>
          <w:rtl/>
        </w:rPr>
        <w:t>الضرب دلال</w:t>
      </w:r>
      <w:r w:rsidR="00EC7EDF" w:rsidRPr="00FD211F">
        <w:rPr>
          <w:sz w:val="36"/>
          <w:szCs w:val="36"/>
          <w:rtl/>
        </w:rPr>
        <w:t xml:space="preserve">ة </w:t>
      </w:r>
      <w:r w:rsidRPr="00FD211F">
        <w:rPr>
          <w:sz w:val="36"/>
          <w:szCs w:val="36"/>
          <w:rtl/>
        </w:rPr>
        <w:t>تفصيلي</w:t>
      </w:r>
      <w:r w:rsidR="00EC7EDF" w:rsidRPr="00FD211F">
        <w:rPr>
          <w:sz w:val="36"/>
          <w:szCs w:val="36"/>
          <w:rtl/>
        </w:rPr>
        <w:t xml:space="preserve">ة </w:t>
      </w:r>
      <w:r w:rsidRPr="00FD211F">
        <w:rPr>
          <w:sz w:val="36"/>
          <w:szCs w:val="36"/>
          <w:rtl/>
        </w:rPr>
        <w:t>ودلالتها على صدوره في الزمان الماضي من المفرد المذكر دلال</w:t>
      </w:r>
      <w:r w:rsidR="00EC7EDF" w:rsidRPr="00FD211F">
        <w:rPr>
          <w:sz w:val="36"/>
          <w:szCs w:val="36"/>
          <w:rtl/>
        </w:rPr>
        <w:t xml:space="preserve">ة </w:t>
      </w:r>
      <w:r w:rsidRPr="00FD211F">
        <w:rPr>
          <w:sz w:val="36"/>
          <w:szCs w:val="36"/>
          <w:rtl/>
        </w:rPr>
        <w:t>اجمالي</w:t>
      </w:r>
      <w:r w:rsidR="00EC7EDF" w:rsidRPr="00FD211F">
        <w:rPr>
          <w:sz w:val="36"/>
          <w:szCs w:val="36"/>
          <w:rtl/>
        </w:rPr>
        <w:t xml:space="preserve">ة </w:t>
      </w:r>
      <w:r w:rsidRPr="00FD211F">
        <w:rPr>
          <w:sz w:val="36"/>
          <w:szCs w:val="36"/>
          <w:rtl/>
        </w:rPr>
        <w:t>ومندمج</w:t>
      </w:r>
      <w:r w:rsidR="00EC7EDF" w:rsidRPr="00FD211F">
        <w:rPr>
          <w:sz w:val="36"/>
          <w:szCs w:val="36"/>
          <w:rtl/>
        </w:rPr>
        <w:t>ة</w:t>
      </w:r>
      <w:r w:rsidR="00A61BAE" w:rsidRPr="00FD211F">
        <w:rPr>
          <w:sz w:val="36"/>
          <w:szCs w:val="36"/>
          <w:rtl/>
        </w:rPr>
        <w:t>.</w:t>
      </w:r>
    </w:p>
    <w:p w14:paraId="180C7D3A" w14:textId="77777777" w:rsidR="007F5659" w:rsidRPr="00FD211F" w:rsidRDefault="007F5659" w:rsidP="009C58C8">
      <w:pPr>
        <w:ind w:left="0" w:firstLine="227"/>
        <w:jc w:val="both"/>
        <w:rPr>
          <w:sz w:val="36"/>
          <w:szCs w:val="36"/>
          <w:rtl/>
        </w:rPr>
      </w:pPr>
      <w:r w:rsidRPr="00FD211F">
        <w:rPr>
          <w:sz w:val="36"/>
          <w:szCs w:val="36"/>
          <w:rtl/>
        </w:rPr>
        <w:t>وما يقال من انه لايمكن وضع الأسماء مكان الحروف ولاالعكس</w:t>
      </w:r>
      <w:r w:rsidR="00603323" w:rsidRPr="00FD211F">
        <w:rPr>
          <w:sz w:val="36"/>
          <w:szCs w:val="36"/>
          <w:rtl/>
        </w:rPr>
        <w:t xml:space="preserve">، </w:t>
      </w:r>
      <w:r w:rsidRPr="00FD211F">
        <w:rPr>
          <w:sz w:val="36"/>
          <w:szCs w:val="36"/>
          <w:rtl/>
        </w:rPr>
        <w:t>فلايمكن ان يكون اختلاف معناهما بمجرد الاجمال والتفصيل</w:t>
      </w:r>
      <w:r w:rsidR="00603323" w:rsidRPr="00FD211F">
        <w:rPr>
          <w:sz w:val="36"/>
          <w:szCs w:val="36"/>
          <w:rtl/>
        </w:rPr>
        <w:t xml:space="preserve">، </w:t>
      </w:r>
      <w:r w:rsidRPr="00FD211F">
        <w:rPr>
          <w:sz w:val="36"/>
          <w:szCs w:val="36"/>
          <w:rtl/>
        </w:rPr>
        <w:t>فغير تام</w:t>
      </w:r>
      <w:r w:rsidR="00603323" w:rsidRPr="00FD211F">
        <w:rPr>
          <w:sz w:val="36"/>
          <w:szCs w:val="36"/>
          <w:rtl/>
        </w:rPr>
        <w:t xml:space="preserve">، </w:t>
      </w:r>
      <w:r w:rsidRPr="00FD211F">
        <w:rPr>
          <w:sz w:val="36"/>
          <w:szCs w:val="36"/>
          <w:rtl/>
        </w:rPr>
        <w:t xml:space="preserve">فانه </w:t>
      </w:r>
      <w:r w:rsidR="001C1332" w:rsidRPr="00FD211F">
        <w:rPr>
          <w:sz w:val="36"/>
          <w:szCs w:val="36"/>
          <w:rtl/>
        </w:rPr>
        <w:t>كمايصح ان يقال</w:t>
      </w:r>
      <w:r w:rsidR="00B253CE" w:rsidRPr="00FD211F">
        <w:rPr>
          <w:sz w:val="36"/>
          <w:szCs w:val="36"/>
          <w:rtl/>
        </w:rPr>
        <w:t xml:space="preserve"> </w:t>
      </w:r>
      <w:r w:rsidRPr="00FD211F">
        <w:rPr>
          <w:sz w:val="36"/>
          <w:szCs w:val="36"/>
          <w:rtl/>
        </w:rPr>
        <w:t>"زي</w:t>
      </w:r>
      <w:r w:rsidR="001C1332" w:rsidRPr="00FD211F">
        <w:rPr>
          <w:sz w:val="36"/>
          <w:szCs w:val="36"/>
          <w:rtl/>
        </w:rPr>
        <w:t>د في الدار</w:t>
      </w:r>
      <w:r w:rsidR="00603323" w:rsidRPr="00FD211F">
        <w:rPr>
          <w:sz w:val="36"/>
          <w:szCs w:val="36"/>
          <w:rtl/>
        </w:rPr>
        <w:t xml:space="preserve">، </w:t>
      </w:r>
      <w:r w:rsidR="001C1332" w:rsidRPr="00FD211F">
        <w:rPr>
          <w:sz w:val="36"/>
          <w:szCs w:val="36"/>
          <w:rtl/>
        </w:rPr>
        <w:t>زيد على السطح</w:t>
      </w:r>
      <w:r w:rsidR="00603323" w:rsidRPr="00FD211F">
        <w:rPr>
          <w:sz w:val="36"/>
          <w:szCs w:val="36"/>
          <w:rtl/>
        </w:rPr>
        <w:t xml:space="preserve">، </w:t>
      </w:r>
      <w:r w:rsidR="001C1332" w:rsidRPr="00FD211F">
        <w:rPr>
          <w:sz w:val="36"/>
          <w:szCs w:val="36"/>
          <w:rtl/>
        </w:rPr>
        <w:t>ليت زيدا قائم</w:t>
      </w:r>
      <w:r w:rsidR="00603323" w:rsidRPr="00FD211F">
        <w:rPr>
          <w:sz w:val="36"/>
          <w:szCs w:val="36"/>
          <w:rtl/>
        </w:rPr>
        <w:t xml:space="preserve">، </w:t>
      </w:r>
      <w:r w:rsidR="001C1332" w:rsidRPr="00FD211F">
        <w:rPr>
          <w:sz w:val="36"/>
          <w:szCs w:val="36"/>
          <w:rtl/>
        </w:rPr>
        <w:t>زيد كالأسد</w:t>
      </w:r>
      <w:r w:rsidR="00603323" w:rsidRPr="00FD211F">
        <w:rPr>
          <w:sz w:val="36"/>
          <w:szCs w:val="36"/>
          <w:rtl/>
        </w:rPr>
        <w:t xml:space="preserve">، </w:t>
      </w:r>
      <w:r w:rsidR="001C1332" w:rsidRPr="00FD211F">
        <w:rPr>
          <w:sz w:val="36"/>
          <w:szCs w:val="36"/>
          <w:rtl/>
        </w:rPr>
        <w:t>اخذت من الدراهم "يصح أن</w:t>
      </w:r>
      <w:r w:rsidR="00A85427" w:rsidRPr="00FD211F">
        <w:rPr>
          <w:sz w:val="36"/>
          <w:szCs w:val="36"/>
          <w:rtl/>
        </w:rPr>
        <w:t xml:space="preserve"> تبدل هذه الجمل بجمل أخرى بأن </w:t>
      </w:r>
      <w:r w:rsidR="001C1332" w:rsidRPr="00FD211F">
        <w:rPr>
          <w:sz w:val="36"/>
          <w:szCs w:val="36"/>
          <w:rtl/>
        </w:rPr>
        <w:t>يقال</w:t>
      </w:r>
      <w:r w:rsidR="007969F0" w:rsidRPr="00FD211F">
        <w:rPr>
          <w:sz w:val="36"/>
          <w:szCs w:val="36"/>
          <w:rtl/>
        </w:rPr>
        <w:t xml:space="preserve"> </w:t>
      </w:r>
      <w:r w:rsidR="001C1332" w:rsidRPr="00FD211F">
        <w:rPr>
          <w:sz w:val="36"/>
          <w:szCs w:val="36"/>
          <w:rtl/>
        </w:rPr>
        <w:t>"</w:t>
      </w:r>
      <w:r w:rsidR="00C92097" w:rsidRPr="00FD211F">
        <w:rPr>
          <w:sz w:val="36"/>
          <w:szCs w:val="36"/>
          <w:rtl/>
        </w:rPr>
        <w:t>زيد</w:t>
      </w:r>
      <w:r w:rsidRPr="00FD211F">
        <w:rPr>
          <w:sz w:val="36"/>
          <w:szCs w:val="36"/>
          <w:rtl/>
        </w:rPr>
        <w:t xml:space="preserve"> داخل الدار</w:t>
      </w:r>
      <w:r w:rsidR="00603323" w:rsidRPr="00FD211F">
        <w:rPr>
          <w:sz w:val="36"/>
          <w:szCs w:val="36"/>
          <w:rtl/>
        </w:rPr>
        <w:t xml:space="preserve">، </w:t>
      </w:r>
      <w:r w:rsidR="001C1332" w:rsidRPr="00FD211F">
        <w:rPr>
          <w:sz w:val="36"/>
          <w:szCs w:val="36"/>
          <w:rtl/>
        </w:rPr>
        <w:t>زيد</w:t>
      </w:r>
      <w:r w:rsidRPr="00FD211F">
        <w:rPr>
          <w:sz w:val="36"/>
          <w:szCs w:val="36"/>
          <w:rtl/>
        </w:rPr>
        <w:t xml:space="preserve"> فوق السطح</w:t>
      </w:r>
      <w:r w:rsidR="00603323" w:rsidRPr="00FD211F">
        <w:rPr>
          <w:sz w:val="36"/>
          <w:szCs w:val="36"/>
          <w:rtl/>
        </w:rPr>
        <w:t xml:space="preserve">، </w:t>
      </w:r>
      <w:r w:rsidRPr="00FD211F">
        <w:rPr>
          <w:sz w:val="36"/>
          <w:szCs w:val="36"/>
          <w:rtl/>
        </w:rPr>
        <w:t xml:space="preserve">اتمنى </w:t>
      </w:r>
      <w:r w:rsidR="00A85427" w:rsidRPr="00FD211F">
        <w:rPr>
          <w:sz w:val="36"/>
          <w:szCs w:val="36"/>
          <w:rtl/>
        </w:rPr>
        <w:t xml:space="preserve">أن </w:t>
      </w:r>
      <w:r w:rsidRPr="00FD211F">
        <w:rPr>
          <w:sz w:val="36"/>
          <w:szCs w:val="36"/>
          <w:rtl/>
        </w:rPr>
        <w:t>زيدا قائم</w:t>
      </w:r>
      <w:r w:rsidR="00603323" w:rsidRPr="00FD211F">
        <w:rPr>
          <w:sz w:val="36"/>
          <w:szCs w:val="36"/>
          <w:rtl/>
        </w:rPr>
        <w:t xml:space="preserve">، </w:t>
      </w:r>
      <w:r w:rsidR="001C1332" w:rsidRPr="00FD211F">
        <w:rPr>
          <w:sz w:val="36"/>
          <w:szCs w:val="36"/>
          <w:rtl/>
        </w:rPr>
        <w:t>زيد مثل الأسد</w:t>
      </w:r>
      <w:r w:rsidR="00603323" w:rsidRPr="00FD211F">
        <w:rPr>
          <w:sz w:val="36"/>
          <w:szCs w:val="36"/>
          <w:rtl/>
        </w:rPr>
        <w:t xml:space="preserve">، </w:t>
      </w:r>
      <w:r w:rsidR="001C1332" w:rsidRPr="00FD211F">
        <w:rPr>
          <w:sz w:val="36"/>
          <w:szCs w:val="36"/>
          <w:rtl/>
        </w:rPr>
        <w:t xml:space="preserve">اخذت بعض الدراهم </w:t>
      </w:r>
      <w:r w:rsidR="00C92097" w:rsidRPr="00FD211F">
        <w:rPr>
          <w:sz w:val="36"/>
          <w:szCs w:val="36"/>
          <w:rtl/>
        </w:rPr>
        <w:t>"</w:t>
      </w:r>
      <w:r w:rsidR="00A85427" w:rsidRPr="00FD211F">
        <w:rPr>
          <w:sz w:val="36"/>
          <w:szCs w:val="36"/>
          <w:rtl/>
        </w:rPr>
        <w:t xml:space="preserve"> وهكذا يصح أن</w:t>
      </w:r>
      <w:r w:rsidRPr="00FD211F">
        <w:rPr>
          <w:sz w:val="36"/>
          <w:szCs w:val="36"/>
          <w:rtl/>
        </w:rPr>
        <w:t xml:space="preserve"> </w:t>
      </w:r>
      <w:r w:rsidR="001C1332" w:rsidRPr="00FD211F">
        <w:rPr>
          <w:sz w:val="36"/>
          <w:szCs w:val="36"/>
          <w:rtl/>
        </w:rPr>
        <w:t>ت</w:t>
      </w:r>
      <w:r w:rsidRPr="00FD211F">
        <w:rPr>
          <w:sz w:val="36"/>
          <w:szCs w:val="36"/>
          <w:rtl/>
        </w:rPr>
        <w:t>بد</w:t>
      </w:r>
      <w:r w:rsidR="001C1332" w:rsidRPr="00FD211F">
        <w:rPr>
          <w:sz w:val="36"/>
          <w:szCs w:val="36"/>
          <w:rtl/>
        </w:rPr>
        <w:t>َّ</w:t>
      </w:r>
      <w:r w:rsidRPr="00FD211F">
        <w:rPr>
          <w:sz w:val="36"/>
          <w:szCs w:val="36"/>
          <w:rtl/>
        </w:rPr>
        <w:t>ل</w:t>
      </w:r>
      <w:r w:rsidR="001C1332" w:rsidRPr="00FD211F">
        <w:rPr>
          <w:sz w:val="36"/>
          <w:szCs w:val="36"/>
          <w:rtl/>
        </w:rPr>
        <w:t xml:space="preserve"> كلم</w:t>
      </w:r>
      <w:r w:rsidR="00EC7EDF" w:rsidRPr="00FD211F">
        <w:rPr>
          <w:sz w:val="36"/>
          <w:szCs w:val="36"/>
          <w:rtl/>
        </w:rPr>
        <w:t xml:space="preserve">ة </w:t>
      </w:r>
      <w:r w:rsidR="00C92097" w:rsidRPr="00FD211F">
        <w:rPr>
          <w:sz w:val="36"/>
          <w:szCs w:val="36"/>
          <w:rtl/>
        </w:rPr>
        <w:t>"</w:t>
      </w:r>
      <w:r w:rsidRPr="00FD211F">
        <w:rPr>
          <w:sz w:val="36"/>
          <w:szCs w:val="36"/>
          <w:rtl/>
        </w:rPr>
        <w:t xml:space="preserve"> أي</w:t>
      </w:r>
      <w:r w:rsidR="00C92097" w:rsidRPr="00FD211F">
        <w:rPr>
          <w:sz w:val="36"/>
          <w:szCs w:val="36"/>
          <w:rtl/>
        </w:rPr>
        <w:t>"</w:t>
      </w:r>
      <w:r w:rsidR="00B253CE" w:rsidRPr="00FD211F">
        <w:rPr>
          <w:sz w:val="36"/>
          <w:szCs w:val="36"/>
          <w:rtl/>
        </w:rPr>
        <w:t xml:space="preserve"> </w:t>
      </w:r>
      <w:r w:rsidR="001C1332" w:rsidRPr="00FD211F">
        <w:rPr>
          <w:sz w:val="36"/>
          <w:szCs w:val="36"/>
          <w:rtl/>
        </w:rPr>
        <w:t>بكلم</w:t>
      </w:r>
      <w:r w:rsidR="00EC7EDF" w:rsidRPr="00FD211F">
        <w:rPr>
          <w:sz w:val="36"/>
          <w:szCs w:val="36"/>
          <w:rtl/>
        </w:rPr>
        <w:t xml:space="preserve">ة </w:t>
      </w:r>
      <w:r w:rsidR="00C92097" w:rsidRPr="00FD211F">
        <w:rPr>
          <w:sz w:val="36"/>
          <w:szCs w:val="36"/>
          <w:rtl/>
        </w:rPr>
        <w:t>"</w:t>
      </w:r>
      <w:r w:rsidRPr="00FD211F">
        <w:rPr>
          <w:sz w:val="36"/>
          <w:szCs w:val="36"/>
          <w:rtl/>
        </w:rPr>
        <w:t xml:space="preserve"> أعني</w:t>
      </w:r>
      <w:r w:rsidR="00C92097" w:rsidRPr="00FD211F">
        <w:rPr>
          <w:sz w:val="36"/>
          <w:szCs w:val="36"/>
          <w:rtl/>
        </w:rPr>
        <w:t>"</w:t>
      </w:r>
      <w:r w:rsidR="00603323" w:rsidRPr="00FD211F">
        <w:rPr>
          <w:sz w:val="36"/>
          <w:szCs w:val="36"/>
          <w:rtl/>
        </w:rPr>
        <w:t xml:space="preserve">، </w:t>
      </w:r>
      <w:r w:rsidRPr="00FD211F">
        <w:rPr>
          <w:sz w:val="36"/>
          <w:szCs w:val="36"/>
          <w:rtl/>
        </w:rPr>
        <w:t>ولايوجد فرق في هذه الأمثل</w:t>
      </w:r>
      <w:r w:rsidR="00EC7EDF" w:rsidRPr="00FD211F">
        <w:rPr>
          <w:sz w:val="36"/>
          <w:szCs w:val="36"/>
          <w:rtl/>
        </w:rPr>
        <w:t xml:space="preserve">ة </w:t>
      </w:r>
      <w:r w:rsidRPr="00FD211F">
        <w:rPr>
          <w:sz w:val="36"/>
          <w:szCs w:val="36"/>
          <w:rtl/>
        </w:rPr>
        <w:t>بين معنى الحروف والاسماء الا بالاجمال والتفصيل</w:t>
      </w:r>
      <w:r w:rsidR="00603323" w:rsidRPr="00FD211F">
        <w:rPr>
          <w:sz w:val="36"/>
          <w:szCs w:val="36"/>
          <w:rtl/>
        </w:rPr>
        <w:t xml:space="preserve">، </w:t>
      </w:r>
      <w:r w:rsidRPr="00FD211F">
        <w:rPr>
          <w:sz w:val="36"/>
          <w:szCs w:val="36"/>
          <w:rtl/>
        </w:rPr>
        <w:t>و</w:t>
      </w:r>
      <w:r w:rsidR="00A85427" w:rsidRPr="00FD211F">
        <w:rPr>
          <w:sz w:val="36"/>
          <w:szCs w:val="36"/>
          <w:rtl/>
        </w:rPr>
        <w:t xml:space="preserve">يكون </w:t>
      </w:r>
      <w:r w:rsidRPr="00FD211F">
        <w:rPr>
          <w:sz w:val="36"/>
          <w:szCs w:val="36"/>
          <w:rtl/>
        </w:rPr>
        <w:t>اختيار الحروف عاد</w:t>
      </w:r>
      <w:r w:rsidR="00EC7EDF" w:rsidRPr="00FD211F">
        <w:rPr>
          <w:sz w:val="36"/>
          <w:szCs w:val="36"/>
          <w:rtl/>
        </w:rPr>
        <w:t xml:space="preserve">ة </w:t>
      </w:r>
      <w:r w:rsidRPr="00FD211F">
        <w:rPr>
          <w:sz w:val="36"/>
          <w:szCs w:val="36"/>
          <w:rtl/>
        </w:rPr>
        <w:t>لأجل ان استخدام الحروف اسهل</w:t>
      </w:r>
      <w:r w:rsidR="00603323" w:rsidRPr="00FD211F">
        <w:rPr>
          <w:sz w:val="36"/>
          <w:szCs w:val="36"/>
          <w:rtl/>
        </w:rPr>
        <w:t xml:space="preserve">، </w:t>
      </w:r>
      <w:r w:rsidRPr="00FD211F">
        <w:rPr>
          <w:sz w:val="36"/>
          <w:szCs w:val="36"/>
          <w:rtl/>
        </w:rPr>
        <w:t>والاّ فكان يمكن ان يقال بدل سرت من البصر</w:t>
      </w:r>
      <w:r w:rsidR="00EC7EDF" w:rsidRPr="00FD211F">
        <w:rPr>
          <w:sz w:val="36"/>
          <w:szCs w:val="36"/>
          <w:rtl/>
        </w:rPr>
        <w:t xml:space="preserve">ة </w:t>
      </w:r>
      <w:r w:rsidRPr="00FD211F">
        <w:rPr>
          <w:sz w:val="36"/>
          <w:szCs w:val="36"/>
          <w:rtl/>
        </w:rPr>
        <w:t>انه كان مبتدأ سيري البصر</w:t>
      </w:r>
      <w:r w:rsidR="00EC7EDF" w:rsidRPr="00FD211F">
        <w:rPr>
          <w:sz w:val="36"/>
          <w:szCs w:val="36"/>
          <w:rtl/>
        </w:rPr>
        <w:t>ة</w:t>
      </w:r>
      <w:r w:rsidR="00603323" w:rsidRPr="00FD211F">
        <w:rPr>
          <w:sz w:val="36"/>
          <w:szCs w:val="36"/>
          <w:rtl/>
        </w:rPr>
        <w:t xml:space="preserve">، </w:t>
      </w:r>
      <w:r w:rsidRPr="00FD211F">
        <w:rPr>
          <w:sz w:val="36"/>
          <w:szCs w:val="36"/>
          <w:rtl/>
        </w:rPr>
        <w:t>ولكنه خلاف الطريق</w:t>
      </w:r>
      <w:r w:rsidR="00EC7EDF" w:rsidRPr="00FD211F">
        <w:rPr>
          <w:sz w:val="36"/>
          <w:szCs w:val="36"/>
          <w:rtl/>
        </w:rPr>
        <w:t xml:space="preserve">ة </w:t>
      </w:r>
      <w:r w:rsidRPr="00FD211F">
        <w:rPr>
          <w:sz w:val="36"/>
          <w:szCs w:val="36"/>
          <w:rtl/>
        </w:rPr>
        <w:t>الاعتيادي</w:t>
      </w:r>
      <w:r w:rsidR="00EC7EDF" w:rsidRPr="00FD211F">
        <w:rPr>
          <w:sz w:val="36"/>
          <w:szCs w:val="36"/>
          <w:rtl/>
        </w:rPr>
        <w:t xml:space="preserve">ة </w:t>
      </w:r>
      <w:r w:rsidRPr="00FD211F">
        <w:rPr>
          <w:sz w:val="36"/>
          <w:szCs w:val="36"/>
          <w:rtl/>
        </w:rPr>
        <w:t>من انتخاب الاسهل</w:t>
      </w:r>
      <w:r w:rsidR="00603323" w:rsidRPr="00FD211F">
        <w:rPr>
          <w:sz w:val="36"/>
          <w:szCs w:val="36"/>
          <w:rtl/>
        </w:rPr>
        <w:t xml:space="preserve">، </w:t>
      </w:r>
      <w:r w:rsidRPr="00FD211F">
        <w:rPr>
          <w:sz w:val="36"/>
          <w:szCs w:val="36"/>
          <w:rtl/>
        </w:rPr>
        <w:t>فما يقال من عدم استغناء اي</w:t>
      </w:r>
      <w:r w:rsidR="00EC7EDF" w:rsidRPr="00FD211F">
        <w:rPr>
          <w:sz w:val="36"/>
          <w:szCs w:val="36"/>
          <w:rtl/>
        </w:rPr>
        <w:t xml:space="preserve">ة </w:t>
      </w:r>
      <w:r w:rsidRPr="00FD211F">
        <w:rPr>
          <w:sz w:val="36"/>
          <w:szCs w:val="36"/>
          <w:rtl/>
        </w:rPr>
        <w:t>لغ</w:t>
      </w:r>
      <w:r w:rsidR="00EC7EDF" w:rsidRPr="00FD211F">
        <w:rPr>
          <w:sz w:val="36"/>
          <w:szCs w:val="36"/>
          <w:rtl/>
        </w:rPr>
        <w:t xml:space="preserve">ة </w:t>
      </w:r>
      <w:r w:rsidRPr="00FD211F">
        <w:rPr>
          <w:sz w:val="36"/>
          <w:szCs w:val="36"/>
          <w:rtl/>
        </w:rPr>
        <w:t>من الحروف لعدم بديل لها فغير متجه</w:t>
      </w:r>
      <w:r w:rsidR="00603323" w:rsidRPr="00FD211F">
        <w:rPr>
          <w:sz w:val="36"/>
          <w:szCs w:val="36"/>
          <w:rtl/>
        </w:rPr>
        <w:t xml:space="preserve">، </w:t>
      </w:r>
      <w:r w:rsidR="009F1241" w:rsidRPr="00FD211F">
        <w:rPr>
          <w:sz w:val="36"/>
          <w:szCs w:val="36"/>
          <w:rtl/>
        </w:rPr>
        <w:t xml:space="preserve">ثم نقل عن </w:t>
      </w:r>
      <w:r w:rsidRPr="00FD211F">
        <w:rPr>
          <w:sz w:val="36"/>
          <w:szCs w:val="36"/>
          <w:rtl/>
        </w:rPr>
        <w:t>كتاب</w:t>
      </w:r>
      <w:r w:rsidR="00932285" w:rsidRPr="00FD211F">
        <w:rPr>
          <w:sz w:val="36"/>
          <w:szCs w:val="36"/>
          <w:rtl/>
        </w:rPr>
        <w:t xml:space="preserve"> </w:t>
      </w:r>
      <w:r w:rsidRPr="00FD211F">
        <w:rPr>
          <w:sz w:val="36"/>
          <w:szCs w:val="36"/>
          <w:rtl/>
        </w:rPr>
        <w:t>قص</w:t>
      </w:r>
      <w:r w:rsidR="00EC7EDF" w:rsidRPr="00FD211F">
        <w:rPr>
          <w:sz w:val="36"/>
          <w:szCs w:val="36"/>
          <w:rtl/>
        </w:rPr>
        <w:t xml:space="preserve">ة </w:t>
      </w:r>
      <w:r w:rsidRPr="00FD211F">
        <w:rPr>
          <w:sz w:val="36"/>
          <w:szCs w:val="36"/>
          <w:rtl/>
        </w:rPr>
        <w:t>الحضار</w:t>
      </w:r>
      <w:r w:rsidR="00EC7EDF" w:rsidRPr="00FD211F">
        <w:rPr>
          <w:sz w:val="36"/>
          <w:szCs w:val="36"/>
          <w:rtl/>
        </w:rPr>
        <w:t xml:space="preserve">ة </w:t>
      </w:r>
      <w:r w:rsidRPr="00FD211F">
        <w:rPr>
          <w:sz w:val="36"/>
          <w:szCs w:val="36"/>
          <w:rtl/>
        </w:rPr>
        <w:t>ان اللغ</w:t>
      </w:r>
      <w:r w:rsidR="00EC7EDF" w:rsidRPr="00FD211F">
        <w:rPr>
          <w:sz w:val="36"/>
          <w:szCs w:val="36"/>
          <w:rtl/>
        </w:rPr>
        <w:t xml:space="preserve">ة </w:t>
      </w:r>
      <w:r w:rsidRPr="00FD211F">
        <w:rPr>
          <w:sz w:val="36"/>
          <w:szCs w:val="36"/>
          <w:rtl/>
        </w:rPr>
        <w:t>الصيني</w:t>
      </w:r>
      <w:r w:rsidR="00EC7EDF" w:rsidRPr="00FD211F">
        <w:rPr>
          <w:sz w:val="36"/>
          <w:szCs w:val="36"/>
          <w:rtl/>
        </w:rPr>
        <w:t xml:space="preserve">ة </w:t>
      </w:r>
      <w:r w:rsidRPr="00FD211F">
        <w:rPr>
          <w:sz w:val="36"/>
          <w:szCs w:val="36"/>
          <w:rtl/>
        </w:rPr>
        <w:t>فاقد</w:t>
      </w:r>
      <w:r w:rsidR="00EC7EDF" w:rsidRPr="00FD211F">
        <w:rPr>
          <w:sz w:val="36"/>
          <w:szCs w:val="36"/>
          <w:rtl/>
        </w:rPr>
        <w:t xml:space="preserve">ة </w:t>
      </w:r>
      <w:r w:rsidRPr="00FD211F">
        <w:rPr>
          <w:sz w:val="36"/>
          <w:szCs w:val="36"/>
          <w:rtl/>
        </w:rPr>
        <w:t>للحروف</w:t>
      </w:r>
      <w:r w:rsidR="009C58C8" w:rsidRPr="00FD211F">
        <w:rPr>
          <w:rStyle w:val="a6"/>
          <w:sz w:val="36"/>
          <w:szCs w:val="36"/>
          <w:rtl/>
        </w:rPr>
        <w:t>(</w:t>
      </w:r>
      <w:r w:rsidR="009C58C8" w:rsidRPr="00FD211F">
        <w:rPr>
          <w:rStyle w:val="a6"/>
          <w:sz w:val="36"/>
          <w:szCs w:val="36"/>
          <w:rtl/>
        </w:rPr>
        <w:footnoteReference w:id="174"/>
      </w:r>
      <w:r w:rsidR="009C58C8" w:rsidRPr="00FD211F">
        <w:rPr>
          <w:rStyle w:val="a6"/>
          <w:sz w:val="36"/>
          <w:szCs w:val="36"/>
          <w:rtl/>
        </w:rPr>
        <w:t>)</w:t>
      </w:r>
      <w:r w:rsidRPr="00FD211F">
        <w:rPr>
          <w:sz w:val="36"/>
          <w:szCs w:val="36"/>
          <w:rtl/>
        </w:rPr>
        <w:t>.</w:t>
      </w:r>
    </w:p>
    <w:p w14:paraId="322CDD95" w14:textId="77777777" w:rsidR="007F5659" w:rsidRPr="00FD211F" w:rsidRDefault="007F5659" w:rsidP="009C58C8">
      <w:pPr>
        <w:ind w:left="0" w:firstLine="227"/>
        <w:jc w:val="both"/>
        <w:rPr>
          <w:sz w:val="36"/>
          <w:szCs w:val="36"/>
          <w:rtl/>
        </w:rPr>
      </w:pPr>
      <w:r w:rsidRPr="00FD211F">
        <w:rPr>
          <w:sz w:val="36"/>
          <w:szCs w:val="36"/>
          <w:rtl/>
        </w:rPr>
        <w:t>وما قد يرى من انه قد لايستعمل الاسم مكان الحرف او بالعكس فلاينافي ذلك</w:t>
      </w:r>
      <w:r w:rsidR="00603323" w:rsidRPr="00FD211F">
        <w:rPr>
          <w:sz w:val="36"/>
          <w:szCs w:val="36"/>
          <w:rtl/>
        </w:rPr>
        <w:t xml:space="preserve">، </w:t>
      </w:r>
      <w:r w:rsidRPr="00FD211F">
        <w:rPr>
          <w:sz w:val="36"/>
          <w:szCs w:val="36"/>
          <w:rtl/>
        </w:rPr>
        <w:t>الا ترى ان الإنس والبشر مترادفان ولكن لايستعمل الإنس الا في قبال الجنّ والبشر في قبال الملك</w:t>
      </w:r>
      <w:r w:rsidR="00603323" w:rsidRPr="00FD211F">
        <w:rPr>
          <w:sz w:val="36"/>
          <w:szCs w:val="36"/>
          <w:rtl/>
        </w:rPr>
        <w:t xml:space="preserve">، </w:t>
      </w:r>
      <w:r w:rsidRPr="00FD211F">
        <w:rPr>
          <w:sz w:val="36"/>
          <w:szCs w:val="36"/>
          <w:rtl/>
        </w:rPr>
        <w:t>فالمتحصل انه لااختلاف بين المعنى الحرفي والاسمي الا بالإجمال والتفصيل</w:t>
      </w:r>
      <w:r w:rsidR="00603323" w:rsidRPr="00FD211F">
        <w:rPr>
          <w:sz w:val="36"/>
          <w:szCs w:val="36"/>
          <w:rtl/>
        </w:rPr>
        <w:t xml:space="preserve">، </w:t>
      </w:r>
      <w:r w:rsidRPr="00FD211F">
        <w:rPr>
          <w:sz w:val="36"/>
          <w:szCs w:val="36"/>
          <w:rtl/>
        </w:rPr>
        <w:t>نعم الظاهر ان حروف النداء ليست موضوع</w:t>
      </w:r>
      <w:r w:rsidR="00EC7EDF" w:rsidRPr="00FD211F">
        <w:rPr>
          <w:sz w:val="36"/>
          <w:szCs w:val="36"/>
          <w:rtl/>
        </w:rPr>
        <w:t xml:space="preserve">ة </w:t>
      </w:r>
      <w:r w:rsidRPr="00FD211F">
        <w:rPr>
          <w:sz w:val="36"/>
          <w:szCs w:val="36"/>
          <w:rtl/>
        </w:rPr>
        <w:t>لأي معنى</w:t>
      </w:r>
      <w:r w:rsidR="00603323" w:rsidRPr="00FD211F">
        <w:rPr>
          <w:sz w:val="36"/>
          <w:szCs w:val="36"/>
          <w:rtl/>
        </w:rPr>
        <w:t xml:space="preserve">، </w:t>
      </w:r>
      <w:r w:rsidRPr="00FD211F">
        <w:rPr>
          <w:sz w:val="36"/>
          <w:szCs w:val="36"/>
          <w:rtl/>
        </w:rPr>
        <w:t>وانما هي ادا</w:t>
      </w:r>
      <w:r w:rsidR="00EC7EDF" w:rsidRPr="00FD211F">
        <w:rPr>
          <w:sz w:val="36"/>
          <w:szCs w:val="36"/>
          <w:rtl/>
        </w:rPr>
        <w:t xml:space="preserve">ة </w:t>
      </w:r>
      <w:r w:rsidRPr="00FD211F">
        <w:rPr>
          <w:sz w:val="36"/>
          <w:szCs w:val="36"/>
          <w:rtl/>
        </w:rPr>
        <w:t>لإيجاد النداء والتنبيه التكويني.</w:t>
      </w:r>
    </w:p>
    <w:p w14:paraId="7E3D69DA" w14:textId="77777777" w:rsidR="007F5659" w:rsidRPr="00FD211F" w:rsidRDefault="007F5659" w:rsidP="009C58C8">
      <w:pPr>
        <w:ind w:left="0" w:firstLine="227"/>
        <w:jc w:val="both"/>
        <w:rPr>
          <w:sz w:val="36"/>
          <w:szCs w:val="36"/>
          <w:rtl/>
        </w:rPr>
      </w:pPr>
      <w:r w:rsidRPr="00FD211F">
        <w:rPr>
          <w:sz w:val="36"/>
          <w:szCs w:val="36"/>
          <w:rtl/>
        </w:rPr>
        <w:t>ويمكن ان يقال بان الحرف متخذ من الإسم فبعد نحت الإسم واختصاره صار معناها مختصرا ومجملا بالتبع فصار حرفا</w:t>
      </w:r>
      <w:r w:rsidR="00603323" w:rsidRPr="00FD211F">
        <w:rPr>
          <w:sz w:val="36"/>
          <w:szCs w:val="36"/>
          <w:rtl/>
        </w:rPr>
        <w:t xml:space="preserve">، </w:t>
      </w:r>
      <w:r w:rsidRPr="00FD211F">
        <w:rPr>
          <w:sz w:val="36"/>
          <w:szCs w:val="36"/>
          <w:rtl/>
        </w:rPr>
        <w:t>فتكون نسب</w:t>
      </w:r>
      <w:r w:rsidR="00EC7EDF" w:rsidRPr="00FD211F">
        <w:rPr>
          <w:sz w:val="36"/>
          <w:szCs w:val="36"/>
          <w:rtl/>
        </w:rPr>
        <w:t xml:space="preserve">ة </w:t>
      </w:r>
      <w:r w:rsidRPr="00FD211F">
        <w:rPr>
          <w:sz w:val="36"/>
          <w:szCs w:val="36"/>
          <w:rtl/>
        </w:rPr>
        <w:t>الحرف الى الاسم كنسب</w:t>
      </w:r>
      <w:r w:rsidR="00EC7EDF" w:rsidRPr="00FD211F">
        <w:rPr>
          <w:sz w:val="36"/>
          <w:szCs w:val="36"/>
          <w:rtl/>
        </w:rPr>
        <w:t xml:space="preserve">ة </w:t>
      </w:r>
      <w:r w:rsidRPr="00FD211F">
        <w:rPr>
          <w:sz w:val="36"/>
          <w:szCs w:val="36"/>
          <w:rtl/>
        </w:rPr>
        <w:t xml:space="preserve">ما يكتب كرمز نظير </w:t>
      </w:r>
      <w:r w:rsidR="007020BB" w:rsidRPr="00FD211F">
        <w:rPr>
          <w:sz w:val="36"/>
          <w:szCs w:val="36"/>
          <w:rtl/>
        </w:rPr>
        <w:t>"</w:t>
      </w:r>
      <w:r w:rsidRPr="00FD211F">
        <w:rPr>
          <w:sz w:val="36"/>
          <w:szCs w:val="36"/>
          <w:rtl/>
        </w:rPr>
        <w:t>د</w:t>
      </w:r>
      <w:r w:rsidR="007020BB" w:rsidRPr="00FD211F">
        <w:rPr>
          <w:sz w:val="36"/>
          <w:szCs w:val="36"/>
          <w:rtl/>
        </w:rPr>
        <w:t>"</w:t>
      </w:r>
      <w:r w:rsidRPr="00FD211F">
        <w:rPr>
          <w:sz w:val="36"/>
          <w:szCs w:val="36"/>
          <w:rtl/>
        </w:rPr>
        <w:t xml:space="preserve"> الذي يكتب مكان</w:t>
      </w:r>
      <w:r w:rsidR="007020BB" w:rsidRPr="00FD211F">
        <w:rPr>
          <w:sz w:val="36"/>
          <w:szCs w:val="36"/>
          <w:rtl/>
        </w:rPr>
        <w:t>"</w:t>
      </w:r>
      <w:r w:rsidRPr="00FD211F">
        <w:rPr>
          <w:sz w:val="36"/>
          <w:szCs w:val="36"/>
          <w:rtl/>
        </w:rPr>
        <w:t xml:space="preserve"> الدكتور</w:t>
      </w:r>
      <w:r w:rsidR="007020BB" w:rsidRPr="00FD211F">
        <w:rPr>
          <w:sz w:val="36"/>
          <w:szCs w:val="36"/>
          <w:rtl/>
        </w:rPr>
        <w:t>"</w:t>
      </w:r>
      <w:r w:rsidR="00603323" w:rsidRPr="00FD211F">
        <w:rPr>
          <w:sz w:val="36"/>
          <w:szCs w:val="36"/>
          <w:rtl/>
        </w:rPr>
        <w:t xml:space="preserve">، </w:t>
      </w:r>
      <w:r w:rsidRPr="00FD211F">
        <w:rPr>
          <w:sz w:val="36"/>
          <w:szCs w:val="36"/>
          <w:rtl/>
        </w:rPr>
        <w:t xml:space="preserve">فلفظ </w:t>
      </w:r>
      <w:r w:rsidR="007020BB" w:rsidRPr="00FD211F">
        <w:rPr>
          <w:sz w:val="36"/>
          <w:szCs w:val="36"/>
          <w:rtl/>
        </w:rPr>
        <w:t>"</w:t>
      </w:r>
      <w:r w:rsidRPr="00FD211F">
        <w:rPr>
          <w:sz w:val="36"/>
          <w:szCs w:val="36"/>
          <w:rtl/>
        </w:rPr>
        <w:t>على</w:t>
      </w:r>
      <w:r w:rsidR="007020BB" w:rsidRPr="00FD211F">
        <w:rPr>
          <w:sz w:val="36"/>
          <w:szCs w:val="36"/>
          <w:rtl/>
        </w:rPr>
        <w:t>"</w:t>
      </w:r>
      <w:r w:rsidRPr="00FD211F">
        <w:rPr>
          <w:sz w:val="36"/>
          <w:szCs w:val="36"/>
          <w:rtl/>
        </w:rPr>
        <w:t xml:space="preserve"> قد يكون مأخوذا من لفظ العلوّ</w:t>
      </w:r>
      <w:r w:rsidR="00603323" w:rsidRPr="00FD211F">
        <w:rPr>
          <w:sz w:val="36"/>
          <w:szCs w:val="36"/>
          <w:rtl/>
        </w:rPr>
        <w:t xml:space="preserve">، </w:t>
      </w:r>
      <w:r w:rsidRPr="00FD211F">
        <w:rPr>
          <w:sz w:val="36"/>
          <w:szCs w:val="36"/>
          <w:rtl/>
        </w:rPr>
        <w:t xml:space="preserve">وكذا </w:t>
      </w:r>
      <w:r w:rsidR="007020BB" w:rsidRPr="00FD211F">
        <w:rPr>
          <w:sz w:val="36"/>
          <w:szCs w:val="36"/>
          <w:rtl/>
        </w:rPr>
        <w:t>"</w:t>
      </w:r>
      <w:r w:rsidRPr="00FD211F">
        <w:rPr>
          <w:sz w:val="36"/>
          <w:szCs w:val="36"/>
          <w:rtl/>
        </w:rPr>
        <w:t>حاشا</w:t>
      </w:r>
      <w:r w:rsidR="007020BB" w:rsidRPr="00FD211F">
        <w:rPr>
          <w:sz w:val="36"/>
          <w:szCs w:val="36"/>
          <w:rtl/>
        </w:rPr>
        <w:t>"</w:t>
      </w:r>
      <w:r w:rsidRPr="00FD211F">
        <w:rPr>
          <w:sz w:val="36"/>
          <w:szCs w:val="36"/>
          <w:rtl/>
        </w:rPr>
        <w:t xml:space="preserve"> و</w:t>
      </w:r>
      <w:r w:rsidR="007020BB" w:rsidRPr="00FD211F">
        <w:rPr>
          <w:sz w:val="36"/>
          <w:szCs w:val="36"/>
          <w:rtl/>
        </w:rPr>
        <w:t>"</w:t>
      </w:r>
      <w:r w:rsidRPr="00FD211F">
        <w:rPr>
          <w:sz w:val="36"/>
          <w:szCs w:val="36"/>
          <w:rtl/>
        </w:rPr>
        <w:t>عدا</w:t>
      </w:r>
      <w:r w:rsidR="007020BB" w:rsidRPr="00FD211F">
        <w:rPr>
          <w:sz w:val="36"/>
          <w:szCs w:val="36"/>
          <w:rtl/>
        </w:rPr>
        <w:t>"</w:t>
      </w:r>
      <w:r w:rsidRPr="00FD211F">
        <w:rPr>
          <w:sz w:val="36"/>
          <w:szCs w:val="36"/>
          <w:rtl/>
        </w:rPr>
        <w:t xml:space="preserve"> اصلهما من الفعل وكذا </w:t>
      </w:r>
      <w:r w:rsidR="007020BB" w:rsidRPr="00FD211F">
        <w:rPr>
          <w:sz w:val="36"/>
          <w:szCs w:val="36"/>
          <w:rtl/>
        </w:rPr>
        <w:t>"س"</w:t>
      </w:r>
      <w:r w:rsidRPr="00FD211F">
        <w:rPr>
          <w:sz w:val="36"/>
          <w:szCs w:val="36"/>
          <w:rtl/>
        </w:rPr>
        <w:t xml:space="preserve"> مخفف </w:t>
      </w:r>
      <w:r w:rsidR="007020BB" w:rsidRPr="00FD211F">
        <w:rPr>
          <w:sz w:val="36"/>
          <w:szCs w:val="36"/>
          <w:rtl/>
        </w:rPr>
        <w:t>"</w:t>
      </w:r>
      <w:r w:rsidRPr="00FD211F">
        <w:rPr>
          <w:sz w:val="36"/>
          <w:szCs w:val="36"/>
          <w:rtl/>
        </w:rPr>
        <w:t>سوف</w:t>
      </w:r>
      <w:r w:rsidR="007020BB" w:rsidRPr="00FD211F">
        <w:rPr>
          <w:sz w:val="36"/>
          <w:szCs w:val="36"/>
          <w:rtl/>
        </w:rPr>
        <w:t>"</w:t>
      </w:r>
      <w:r w:rsidRPr="00FD211F">
        <w:rPr>
          <w:sz w:val="36"/>
          <w:szCs w:val="36"/>
          <w:rtl/>
        </w:rPr>
        <w:t xml:space="preserve"> الذي اصله من التسويف</w:t>
      </w:r>
      <w:r w:rsidR="00603323" w:rsidRPr="00FD211F">
        <w:rPr>
          <w:sz w:val="36"/>
          <w:szCs w:val="36"/>
          <w:rtl/>
        </w:rPr>
        <w:t xml:space="preserve">، </w:t>
      </w:r>
      <w:r w:rsidRPr="00FD211F">
        <w:rPr>
          <w:sz w:val="36"/>
          <w:szCs w:val="36"/>
          <w:rtl/>
        </w:rPr>
        <w:t>وهذا الاختصار اوجب غموض المعنى واندماجه</w:t>
      </w:r>
      <w:r w:rsidR="00603323" w:rsidRPr="00FD211F">
        <w:rPr>
          <w:sz w:val="36"/>
          <w:szCs w:val="36"/>
          <w:rtl/>
        </w:rPr>
        <w:t xml:space="preserve">، </w:t>
      </w:r>
      <w:r w:rsidRPr="00FD211F">
        <w:rPr>
          <w:sz w:val="36"/>
          <w:szCs w:val="36"/>
          <w:rtl/>
        </w:rPr>
        <w:t xml:space="preserve">وكذا </w:t>
      </w:r>
      <w:r w:rsidR="007020BB" w:rsidRPr="00FD211F">
        <w:rPr>
          <w:sz w:val="36"/>
          <w:szCs w:val="36"/>
          <w:rtl/>
        </w:rPr>
        <w:t>"</w:t>
      </w:r>
      <w:r w:rsidRPr="00FD211F">
        <w:rPr>
          <w:sz w:val="36"/>
          <w:szCs w:val="36"/>
          <w:rtl/>
        </w:rPr>
        <w:t xml:space="preserve">ليس </w:t>
      </w:r>
      <w:r w:rsidR="007020BB" w:rsidRPr="00FD211F">
        <w:rPr>
          <w:sz w:val="36"/>
          <w:szCs w:val="36"/>
          <w:rtl/>
        </w:rPr>
        <w:t>"الذي يقال بكونه حرفا لافعلا</w:t>
      </w:r>
      <w:r w:rsidR="00603323" w:rsidRPr="00FD211F">
        <w:rPr>
          <w:sz w:val="36"/>
          <w:szCs w:val="36"/>
          <w:rtl/>
        </w:rPr>
        <w:t xml:space="preserve">، </w:t>
      </w:r>
      <w:r w:rsidR="007020BB" w:rsidRPr="00FD211F">
        <w:rPr>
          <w:sz w:val="36"/>
          <w:szCs w:val="36"/>
          <w:rtl/>
        </w:rPr>
        <w:t>فانه</w:t>
      </w:r>
      <w:r w:rsidRPr="00FD211F">
        <w:rPr>
          <w:sz w:val="36"/>
          <w:szCs w:val="36"/>
          <w:rtl/>
        </w:rPr>
        <w:t xml:space="preserve"> مأخوذ من </w:t>
      </w:r>
      <w:r w:rsidR="007020BB" w:rsidRPr="00FD211F">
        <w:rPr>
          <w:sz w:val="36"/>
          <w:szCs w:val="36"/>
          <w:rtl/>
        </w:rPr>
        <w:t>"</w:t>
      </w:r>
      <w:r w:rsidRPr="00FD211F">
        <w:rPr>
          <w:sz w:val="36"/>
          <w:szCs w:val="36"/>
          <w:rtl/>
        </w:rPr>
        <w:t>لاأيس</w:t>
      </w:r>
      <w:r w:rsidR="007020BB" w:rsidRPr="00FD211F">
        <w:rPr>
          <w:sz w:val="36"/>
          <w:szCs w:val="36"/>
          <w:rtl/>
        </w:rPr>
        <w:t>"</w:t>
      </w:r>
      <w:r w:rsidRPr="00FD211F">
        <w:rPr>
          <w:sz w:val="36"/>
          <w:szCs w:val="36"/>
          <w:rtl/>
        </w:rPr>
        <w:t xml:space="preserve"> اي</w:t>
      </w:r>
      <w:r w:rsidR="007C7BD6" w:rsidRPr="00FD211F">
        <w:rPr>
          <w:sz w:val="36"/>
          <w:szCs w:val="36"/>
          <w:rtl/>
        </w:rPr>
        <w:t xml:space="preserve"> </w:t>
      </w:r>
      <w:r w:rsidR="007020BB" w:rsidRPr="00FD211F">
        <w:rPr>
          <w:sz w:val="36"/>
          <w:szCs w:val="36"/>
          <w:rtl/>
        </w:rPr>
        <w:t>"</w:t>
      </w:r>
      <w:r w:rsidRPr="00FD211F">
        <w:rPr>
          <w:sz w:val="36"/>
          <w:szCs w:val="36"/>
          <w:rtl/>
        </w:rPr>
        <w:t>لاوجود</w:t>
      </w:r>
      <w:r w:rsidR="007020BB" w:rsidRPr="00FD211F">
        <w:rPr>
          <w:sz w:val="36"/>
          <w:szCs w:val="36"/>
          <w:rtl/>
        </w:rPr>
        <w:t>"</w:t>
      </w:r>
      <w:r w:rsidRPr="00FD211F">
        <w:rPr>
          <w:sz w:val="36"/>
          <w:szCs w:val="36"/>
          <w:rtl/>
        </w:rPr>
        <w:t xml:space="preserve"> على ما نقله في لسان العرب عن الخليل</w:t>
      </w:r>
      <w:r w:rsidR="00603323" w:rsidRPr="00FD211F">
        <w:rPr>
          <w:sz w:val="36"/>
          <w:szCs w:val="36"/>
          <w:rtl/>
        </w:rPr>
        <w:t xml:space="preserve">، </w:t>
      </w:r>
      <w:r w:rsidRPr="00FD211F">
        <w:rPr>
          <w:sz w:val="36"/>
          <w:szCs w:val="36"/>
          <w:rtl/>
        </w:rPr>
        <w:t>وهذا النحت والاختصار للأسماء مما يرى في اللغات كثيرا</w:t>
      </w:r>
      <w:r w:rsidR="00603323" w:rsidRPr="00FD211F">
        <w:rPr>
          <w:sz w:val="36"/>
          <w:szCs w:val="36"/>
          <w:rtl/>
        </w:rPr>
        <w:t xml:space="preserve">، </w:t>
      </w:r>
      <w:r w:rsidRPr="00FD211F">
        <w:rPr>
          <w:sz w:val="36"/>
          <w:szCs w:val="36"/>
          <w:rtl/>
        </w:rPr>
        <w:t>فترى انه يقال في اللغ</w:t>
      </w:r>
      <w:r w:rsidR="00EC7EDF" w:rsidRPr="00FD211F">
        <w:rPr>
          <w:sz w:val="36"/>
          <w:szCs w:val="36"/>
          <w:rtl/>
        </w:rPr>
        <w:t xml:space="preserve">ة </w:t>
      </w:r>
      <w:r w:rsidRPr="00FD211F">
        <w:rPr>
          <w:sz w:val="36"/>
          <w:szCs w:val="36"/>
          <w:rtl/>
        </w:rPr>
        <w:t>الدارج</w:t>
      </w:r>
      <w:r w:rsidR="00EC7EDF" w:rsidRPr="00FD211F">
        <w:rPr>
          <w:sz w:val="36"/>
          <w:szCs w:val="36"/>
          <w:rtl/>
        </w:rPr>
        <w:t xml:space="preserve">ة </w:t>
      </w:r>
      <w:r w:rsidR="007F0539" w:rsidRPr="00FD211F">
        <w:rPr>
          <w:sz w:val="36"/>
          <w:szCs w:val="36"/>
          <w:rtl/>
        </w:rPr>
        <w:t>"</w:t>
      </w:r>
      <w:r w:rsidRPr="00FD211F">
        <w:rPr>
          <w:sz w:val="36"/>
          <w:szCs w:val="36"/>
          <w:rtl/>
        </w:rPr>
        <w:t xml:space="preserve"> شسمك</w:t>
      </w:r>
      <w:r w:rsidR="007F0539" w:rsidRPr="00FD211F">
        <w:rPr>
          <w:sz w:val="36"/>
          <w:szCs w:val="36"/>
          <w:rtl/>
        </w:rPr>
        <w:t>"</w:t>
      </w:r>
      <w:r w:rsidRPr="00FD211F">
        <w:rPr>
          <w:sz w:val="36"/>
          <w:szCs w:val="36"/>
          <w:rtl/>
        </w:rPr>
        <w:t xml:space="preserve"> وهو مختصر </w:t>
      </w:r>
      <w:r w:rsidR="007F0539" w:rsidRPr="00FD211F">
        <w:rPr>
          <w:sz w:val="36"/>
          <w:szCs w:val="36"/>
          <w:rtl/>
        </w:rPr>
        <w:t>"</w:t>
      </w:r>
      <w:r w:rsidRPr="00FD211F">
        <w:rPr>
          <w:sz w:val="36"/>
          <w:szCs w:val="36"/>
          <w:rtl/>
        </w:rPr>
        <w:t xml:space="preserve">أي </w:t>
      </w:r>
      <w:r w:rsidR="008D7B3D" w:rsidRPr="00FD211F">
        <w:rPr>
          <w:sz w:val="36"/>
          <w:szCs w:val="36"/>
          <w:rtl/>
        </w:rPr>
        <w:t xml:space="preserve">شيء </w:t>
      </w:r>
      <w:r w:rsidRPr="00FD211F">
        <w:rPr>
          <w:sz w:val="36"/>
          <w:szCs w:val="36"/>
          <w:rtl/>
        </w:rPr>
        <w:t>اسمك</w:t>
      </w:r>
      <w:r w:rsidR="007F0539" w:rsidRPr="00FD211F">
        <w:rPr>
          <w:sz w:val="36"/>
          <w:szCs w:val="36"/>
          <w:rtl/>
        </w:rPr>
        <w:t>"</w:t>
      </w:r>
      <w:r w:rsidR="00603323" w:rsidRPr="00FD211F">
        <w:rPr>
          <w:sz w:val="36"/>
          <w:szCs w:val="36"/>
          <w:rtl/>
        </w:rPr>
        <w:t xml:space="preserve">، </w:t>
      </w:r>
      <w:r w:rsidRPr="00FD211F">
        <w:rPr>
          <w:sz w:val="36"/>
          <w:szCs w:val="36"/>
          <w:rtl/>
        </w:rPr>
        <w:t>او يقال</w:t>
      </w:r>
      <w:r w:rsidR="007F0539" w:rsidRPr="00FD211F">
        <w:rPr>
          <w:sz w:val="36"/>
          <w:szCs w:val="36"/>
          <w:rtl/>
        </w:rPr>
        <w:t>"</w:t>
      </w:r>
      <w:r w:rsidRPr="00FD211F">
        <w:rPr>
          <w:sz w:val="36"/>
          <w:szCs w:val="36"/>
          <w:rtl/>
        </w:rPr>
        <w:t xml:space="preserve"> هسه</w:t>
      </w:r>
      <w:r w:rsidR="007F0539" w:rsidRPr="00FD211F">
        <w:rPr>
          <w:sz w:val="36"/>
          <w:szCs w:val="36"/>
          <w:rtl/>
        </w:rPr>
        <w:t>"</w:t>
      </w:r>
      <w:r w:rsidRPr="00FD211F">
        <w:rPr>
          <w:sz w:val="36"/>
          <w:szCs w:val="36"/>
          <w:rtl/>
        </w:rPr>
        <w:t xml:space="preserve"> وهو مختصر</w:t>
      </w:r>
      <w:r w:rsidR="007F0539" w:rsidRPr="00FD211F">
        <w:rPr>
          <w:sz w:val="36"/>
          <w:szCs w:val="36"/>
          <w:rtl/>
        </w:rPr>
        <w:t>"</w:t>
      </w:r>
      <w:r w:rsidRPr="00FD211F">
        <w:rPr>
          <w:sz w:val="36"/>
          <w:szCs w:val="36"/>
          <w:rtl/>
        </w:rPr>
        <w:t xml:space="preserve"> هذه الساع</w:t>
      </w:r>
      <w:r w:rsidR="00EC7EDF" w:rsidRPr="00FD211F">
        <w:rPr>
          <w:sz w:val="36"/>
          <w:szCs w:val="36"/>
          <w:rtl/>
        </w:rPr>
        <w:t xml:space="preserve">ة </w:t>
      </w:r>
      <w:r w:rsidR="007F0539" w:rsidRPr="00FD211F">
        <w:rPr>
          <w:sz w:val="36"/>
          <w:szCs w:val="36"/>
          <w:rtl/>
        </w:rPr>
        <w:t>"</w:t>
      </w:r>
      <w:r w:rsidR="00603323" w:rsidRPr="00FD211F">
        <w:rPr>
          <w:sz w:val="36"/>
          <w:szCs w:val="36"/>
          <w:rtl/>
        </w:rPr>
        <w:t xml:space="preserve">، </w:t>
      </w:r>
      <w:r w:rsidRPr="00FD211F">
        <w:rPr>
          <w:sz w:val="36"/>
          <w:szCs w:val="36"/>
          <w:rtl/>
        </w:rPr>
        <w:t>وهكذا.</w:t>
      </w:r>
    </w:p>
    <w:p w14:paraId="1512D067" w14:textId="77777777" w:rsidR="007F5659" w:rsidRPr="00FD211F" w:rsidRDefault="007F5659" w:rsidP="00251CB6">
      <w:pPr>
        <w:ind w:left="0" w:firstLine="227"/>
        <w:jc w:val="both"/>
        <w:rPr>
          <w:sz w:val="36"/>
          <w:szCs w:val="36"/>
          <w:rtl/>
        </w:rPr>
      </w:pPr>
      <w:r w:rsidRPr="00FD211F">
        <w:rPr>
          <w:sz w:val="36"/>
          <w:szCs w:val="36"/>
          <w:rtl/>
        </w:rPr>
        <w:t>ويلاحظ عليه: ان دعوى كون الاختلاف بين المعنى الحرفي والاسمي بمجرد الاجمال والتفصيل مما لايمكن المساعد</w:t>
      </w:r>
      <w:r w:rsidR="00EC7EDF" w:rsidRPr="00FD211F">
        <w:rPr>
          <w:sz w:val="36"/>
          <w:szCs w:val="36"/>
          <w:rtl/>
        </w:rPr>
        <w:t xml:space="preserve">ة </w:t>
      </w:r>
      <w:r w:rsidRPr="00FD211F">
        <w:rPr>
          <w:sz w:val="36"/>
          <w:szCs w:val="36"/>
          <w:rtl/>
        </w:rPr>
        <w:t>عليه</w:t>
      </w:r>
      <w:r w:rsidR="00603323" w:rsidRPr="00FD211F">
        <w:rPr>
          <w:sz w:val="36"/>
          <w:szCs w:val="36"/>
          <w:rtl/>
        </w:rPr>
        <w:t xml:space="preserve">، </w:t>
      </w:r>
      <w:r w:rsidRPr="00FD211F">
        <w:rPr>
          <w:sz w:val="36"/>
          <w:szCs w:val="36"/>
          <w:rtl/>
        </w:rPr>
        <w:t>وقياسه بموارد نحت الالفاظ مثل ما ذكر من الأمثل</w:t>
      </w:r>
      <w:r w:rsidR="00EC7EDF" w:rsidRPr="00FD211F">
        <w:rPr>
          <w:sz w:val="36"/>
          <w:szCs w:val="36"/>
          <w:rtl/>
        </w:rPr>
        <w:t xml:space="preserve">ة </w:t>
      </w:r>
      <w:r w:rsidRPr="00FD211F">
        <w:rPr>
          <w:sz w:val="36"/>
          <w:szCs w:val="36"/>
          <w:rtl/>
        </w:rPr>
        <w:t>الموجود</w:t>
      </w:r>
      <w:r w:rsidR="00EC7EDF" w:rsidRPr="00FD211F">
        <w:rPr>
          <w:sz w:val="36"/>
          <w:szCs w:val="36"/>
          <w:rtl/>
        </w:rPr>
        <w:t xml:space="preserve">ة </w:t>
      </w:r>
      <w:r w:rsidRPr="00FD211F">
        <w:rPr>
          <w:sz w:val="36"/>
          <w:szCs w:val="36"/>
          <w:rtl/>
        </w:rPr>
        <w:t>في اللغ</w:t>
      </w:r>
      <w:r w:rsidR="00EC7EDF" w:rsidRPr="00FD211F">
        <w:rPr>
          <w:sz w:val="36"/>
          <w:szCs w:val="36"/>
          <w:rtl/>
        </w:rPr>
        <w:t xml:space="preserve">ة </w:t>
      </w:r>
      <w:r w:rsidRPr="00FD211F">
        <w:rPr>
          <w:sz w:val="36"/>
          <w:szCs w:val="36"/>
          <w:rtl/>
        </w:rPr>
        <w:t>ا</w:t>
      </w:r>
      <w:r w:rsidR="007020BB" w:rsidRPr="00FD211F">
        <w:rPr>
          <w:sz w:val="36"/>
          <w:szCs w:val="36"/>
          <w:rtl/>
        </w:rPr>
        <w:t>لدارج</w:t>
      </w:r>
      <w:r w:rsidR="00EC7EDF" w:rsidRPr="00FD211F">
        <w:rPr>
          <w:sz w:val="36"/>
          <w:szCs w:val="36"/>
          <w:rtl/>
        </w:rPr>
        <w:t xml:space="preserve">ة </w:t>
      </w:r>
      <w:r w:rsidR="007020BB" w:rsidRPr="00FD211F">
        <w:rPr>
          <w:sz w:val="36"/>
          <w:szCs w:val="36"/>
          <w:rtl/>
        </w:rPr>
        <w:t>كقولهم "شسمك"</w:t>
      </w:r>
      <w:r w:rsidRPr="00FD211F">
        <w:rPr>
          <w:sz w:val="36"/>
          <w:szCs w:val="36"/>
          <w:rtl/>
        </w:rPr>
        <w:t xml:space="preserve"> او الرموز مثل ما يكتب بدل </w:t>
      </w:r>
      <w:r w:rsidR="007020BB" w:rsidRPr="00FD211F">
        <w:rPr>
          <w:sz w:val="36"/>
          <w:szCs w:val="36"/>
          <w:rtl/>
        </w:rPr>
        <w:t>"</w:t>
      </w:r>
      <w:r w:rsidRPr="00FD211F">
        <w:rPr>
          <w:sz w:val="36"/>
          <w:szCs w:val="36"/>
          <w:rtl/>
        </w:rPr>
        <w:t>الدكتور</w:t>
      </w:r>
      <w:r w:rsidR="00B179A2" w:rsidRPr="00FD211F">
        <w:rPr>
          <w:sz w:val="36"/>
          <w:szCs w:val="36"/>
          <w:rtl/>
        </w:rPr>
        <w:t>"</w:t>
      </w:r>
      <w:r w:rsidRPr="00FD211F">
        <w:rPr>
          <w:sz w:val="36"/>
          <w:szCs w:val="36"/>
          <w:rtl/>
        </w:rPr>
        <w:t xml:space="preserve"> د</w:t>
      </w:r>
      <w:r w:rsidR="00B179A2" w:rsidRPr="00FD211F">
        <w:rPr>
          <w:sz w:val="36"/>
          <w:szCs w:val="36"/>
          <w:rtl/>
        </w:rPr>
        <w:t>"</w:t>
      </w:r>
      <w:r w:rsidRPr="00FD211F">
        <w:rPr>
          <w:sz w:val="36"/>
          <w:szCs w:val="36"/>
          <w:rtl/>
        </w:rPr>
        <w:t xml:space="preserve"> قياس مع الفارق</w:t>
      </w:r>
      <w:r w:rsidR="00603323" w:rsidRPr="00FD211F">
        <w:rPr>
          <w:sz w:val="36"/>
          <w:szCs w:val="36"/>
          <w:rtl/>
        </w:rPr>
        <w:t xml:space="preserve">، </w:t>
      </w:r>
      <w:r w:rsidRPr="00FD211F">
        <w:rPr>
          <w:sz w:val="36"/>
          <w:szCs w:val="36"/>
          <w:rtl/>
        </w:rPr>
        <w:t>فان المعنى في هذه الالفاظ</w:t>
      </w:r>
      <w:r w:rsidR="008D7B3D" w:rsidRPr="00FD211F">
        <w:rPr>
          <w:sz w:val="36"/>
          <w:szCs w:val="36"/>
          <w:rtl/>
        </w:rPr>
        <w:t xml:space="preserve"> لم‌</w:t>
      </w:r>
      <w:r w:rsidRPr="00FD211F">
        <w:rPr>
          <w:sz w:val="36"/>
          <w:szCs w:val="36"/>
          <w:rtl/>
        </w:rPr>
        <w:t>يتغير ابدا وانما الاختصار في الالفاظ فحسب</w:t>
      </w:r>
      <w:r w:rsidR="00603323" w:rsidRPr="00FD211F">
        <w:rPr>
          <w:sz w:val="36"/>
          <w:szCs w:val="36"/>
          <w:rtl/>
        </w:rPr>
        <w:t xml:space="preserve">، </w:t>
      </w:r>
      <w:r w:rsidRPr="00FD211F">
        <w:rPr>
          <w:sz w:val="36"/>
          <w:szCs w:val="36"/>
          <w:rtl/>
        </w:rPr>
        <w:t>وهذا بخلاف الحروف والاسماء</w:t>
      </w:r>
      <w:r w:rsidR="00603323" w:rsidRPr="00FD211F">
        <w:rPr>
          <w:sz w:val="36"/>
          <w:szCs w:val="36"/>
          <w:rtl/>
        </w:rPr>
        <w:t xml:space="preserve">، </w:t>
      </w:r>
      <w:r w:rsidRPr="00FD211F">
        <w:rPr>
          <w:sz w:val="36"/>
          <w:szCs w:val="36"/>
          <w:rtl/>
        </w:rPr>
        <w:t>فان المعنى مهما صار مجملا ومندمجا فلايوجب ذلك صلاحيته لإيجاد الربط بين مفردات الجمل</w:t>
      </w:r>
      <w:r w:rsidR="00EC7EDF" w:rsidRPr="00FD211F">
        <w:rPr>
          <w:sz w:val="36"/>
          <w:szCs w:val="36"/>
          <w:rtl/>
        </w:rPr>
        <w:t>ة</w:t>
      </w:r>
      <w:r w:rsidR="00603323" w:rsidRPr="00FD211F">
        <w:rPr>
          <w:sz w:val="36"/>
          <w:szCs w:val="36"/>
          <w:rtl/>
        </w:rPr>
        <w:t xml:space="preserve">، </w:t>
      </w:r>
      <w:r w:rsidRPr="00FD211F">
        <w:rPr>
          <w:sz w:val="36"/>
          <w:szCs w:val="36"/>
          <w:rtl/>
        </w:rPr>
        <w:t>ولذلك ترى ان مفهوم الانسان نسبته الى مفهوم الحيوان الناطق نسب</w:t>
      </w:r>
      <w:r w:rsidR="00EC7EDF" w:rsidRPr="00FD211F">
        <w:rPr>
          <w:sz w:val="36"/>
          <w:szCs w:val="36"/>
          <w:rtl/>
        </w:rPr>
        <w:t xml:space="preserve">ة </w:t>
      </w:r>
      <w:r w:rsidRPr="00FD211F">
        <w:rPr>
          <w:sz w:val="36"/>
          <w:szCs w:val="36"/>
          <w:rtl/>
        </w:rPr>
        <w:t>المجمل الى المفصل</w:t>
      </w:r>
      <w:r w:rsidR="00603323" w:rsidRPr="00FD211F">
        <w:rPr>
          <w:sz w:val="36"/>
          <w:szCs w:val="36"/>
          <w:rtl/>
        </w:rPr>
        <w:t xml:space="preserve">، </w:t>
      </w:r>
      <w:r w:rsidRPr="00FD211F">
        <w:rPr>
          <w:sz w:val="36"/>
          <w:szCs w:val="36"/>
          <w:rtl/>
        </w:rPr>
        <w:t>ولكن لايمكن ايجاد الربط بين مفردات الجمل</w:t>
      </w:r>
      <w:r w:rsidR="00EC7EDF" w:rsidRPr="00FD211F">
        <w:rPr>
          <w:sz w:val="36"/>
          <w:szCs w:val="36"/>
          <w:rtl/>
        </w:rPr>
        <w:t xml:space="preserve">ة </w:t>
      </w:r>
      <w:r w:rsidRPr="00FD211F">
        <w:rPr>
          <w:sz w:val="36"/>
          <w:szCs w:val="36"/>
          <w:rtl/>
        </w:rPr>
        <w:t>بلفظ الإنسان.</w:t>
      </w:r>
    </w:p>
    <w:p w14:paraId="0DD1AACE" w14:textId="77777777" w:rsidR="007F5659" w:rsidRPr="00FD211F" w:rsidRDefault="007F5659" w:rsidP="009C58C8">
      <w:pPr>
        <w:ind w:left="0" w:firstLine="227"/>
        <w:jc w:val="both"/>
        <w:rPr>
          <w:sz w:val="36"/>
          <w:szCs w:val="36"/>
          <w:rtl/>
        </w:rPr>
      </w:pPr>
      <w:r w:rsidRPr="00FD211F">
        <w:rPr>
          <w:sz w:val="36"/>
          <w:szCs w:val="36"/>
          <w:rtl/>
        </w:rPr>
        <w:t>واما ما ذكره من النقض بالإنس والبشر حيث ان معناهما واحد ولكن لايعهد استعمال احدهما مكان الآخر</w:t>
      </w:r>
      <w:r w:rsidR="00603323" w:rsidRPr="00FD211F">
        <w:rPr>
          <w:sz w:val="36"/>
          <w:szCs w:val="36"/>
          <w:rtl/>
        </w:rPr>
        <w:t xml:space="preserve">، </w:t>
      </w:r>
      <w:r w:rsidRPr="00FD211F">
        <w:rPr>
          <w:sz w:val="36"/>
          <w:szCs w:val="36"/>
          <w:rtl/>
        </w:rPr>
        <w:t>فلايكشف عدم صح</w:t>
      </w:r>
      <w:r w:rsidR="00EC7EDF" w:rsidRPr="00FD211F">
        <w:rPr>
          <w:sz w:val="36"/>
          <w:szCs w:val="36"/>
          <w:rtl/>
        </w:rPr>
        <w:t xml:space="preserve">ة </w:t>
      </w:r>
      <w:r w:rsidRPr="00FD211F">
        <w:rPr>
          <w:sz w:val="36"/>
          <w:szCs w:val="36"/>
          <w:rtl/>
        </w:rPr>
        <w:t>استعمال الحرف مكان الإسم او بالعكس عن اختلاف معناهما لأكثر من الاجمال والتفصيل</w:t>
      </w:r>
      <w:r w:rsidR="00603323" w:rsidRPr="00FD211F">
        <w:rPr>
          <w:sz w:val="36"/>
          <w:szCs w:val="36"/>
          <w:rtl/>
        </w:rPr>
        <w:t xml:space="preserve">، </w:t>
      </w:r>
      <w:r w:rsidRPr="00FD211F">
        <w:rPr>
          <w:sz w:val="36"/>
          <w:szCs w:val="36"/>
          <w:rtl/>
        </w:rPr>
        <w:t>ففيه ان عدم معهودي</w:t>
      </w:r>
      <w:r w:rsidR="00EC7EDF" w:rsidRPr="00FD211F">
        <w:rPr>
          <w:sz w:val="36"/>
          <w:szCs w:val="36"/>
          <w:rtl/>
        </w:rPr>
        <w:t xml:space="preserve">ة </w:t>
      </w:r>
      <w:r w:rsidRPr="00FD211F">
        <w:rPr>
          <w:sz w:val="36"/>
          <w:szCs w:val="36"/>
          <w:rtl/>
        </w:rPr>
        <w:t>استعمال لفظ الإنس مكان البشر او بالعكس لوتم فهو ناش عن الأنس الذهني</w:t>
      </w:r>
      <w:r w:rsidR="00603323" w:rsidRPr="00FD211F">
        <w:rPr>
          <w:sz w:val="36"/>
          <w:szCs w:val="36"/>
          <w:rtl/>
        </w:rPr>
        <w:t xml:space="preserve">، </w:t>
      </w:r>
      <w:r w:rsidRPr="00FD211F">
        <w:rPr>
          <w:sz w:val="36"/>
          <w:szCs w:val="36"/>
          <w:rtl/>
        </w:rPr>
        <w:t>وهذا لايجعل الاستعمال غلطا</w:t>
      </w:r>
      <w:r w:rsidR="00603323" w:rsidRPr="00FD211F">
        <w:rPr>
          <w:sz w:val="36"/>
          <w:szCs w:val="36"/>
          <w:rtl/>
        </w:rPr>
        <w:t xml:space="preserve">، </w:t>
      </w:r>
      <w:r w:rsidRPr="00FD211F">
        <w:rPr>
          <w:sz w:val="36"/>
          <w:szCs w:val="36"/>
          <w:rtl/>
        </w:rPr>
        <w:t>بينما ان استعمال الحرف مكان الإسم او بالعكس من أفحش الأغلاط</w:t>
      </w:r>
      <w:r w:rsidR="00603323" w:rsidRPr="00FD211F">
        <w:rPr>
          <w:sz w:val="36"/>
          <w:szCs w:val="36"/>
          <w:rtl/>
        </w:rPr>
        <w:t xml:space="preserve">، </w:t>
      </w:r>
      <w:r w:rsidRPr="00FD211F">
        <w:rPr>
          <w:sz w:val="36"/>
          <w:szCs w:val="36"/>
          <w:rtl/>
        </w:rPr>
        <w:t>ومجرد امكان استعمال احدهما في موضع الآخر أحيانا لايجدي شيئا</w:t>
      </w:r>
      <w:r w:rsidR="00603323" w:rsidRPr="00FD211F">
        <w:rPr>
          <w:sz w:val="36"/>
          <w:szCs w:val="36"/>
          <w:rtl/>
        </w:rPr>
        <w:t xml:space="preserve">، </w:t>
      </w:r>
      <w:r w:rsidRPr="00FD211F">
        <w:rPr>
          <w:sz w:val="36"/>
          <w:szCs w:val="36"/>
          <w:rtl/>
        </w:rPr>
        <w:t>فان قولنا</w:t>
      </w:r>
      <w:r w:rsidR="00B179A2" w:rsidRPr="00FD211F">
        <w:rPr>
          <w:sz w:val="36"/>
          <w:szCs w:val="36"/>
          <w:rtl/>
        </w:rPr>
        <w:t>"</w:t>
      </w:r>
      <w:r w:rsidRPr="00FD211F">
        <w:rPr>
          <w:sz w:val="36"/>
          <w:szCs w:val="36"/>
          <w:rtl/>
        </w:rPr>
        <w:t xml:space="preserve"> زيد مثل الأسد</w:t>
      </w:r>
      <w:r w:rsidR="00B179A2" w:rsidRPr="00FD211F">
        <w:rPr>
          <w:sz w:val="36"/>
          <w:szCs w:val="36"/>
          <w:rtl/>
        </w:rPr>
        <w:t>"</w:t>
      </w:r>
      <w:r w:rsidRPr="00FD211F">
        <w:rPr>
          <w:sz w:val="36"/>
          <w:szCs w:val="36"/>
          <w:rtl/>
        </w:rPr>
        <w:t xml:space="preserve"> بدل </w:t>
      </w:r>
      <w:r w:rsidR="00B179A2" w:rsidRPr="00FD211F">
        <w:rPr>
          <w:sz w:val="36"/>
          <w:szCs w:val="36"/>
          <w:rtl/>
        </w:rPr>
        <w:t>"</w:t>
      </w:r>
      <w:r w:rsidRPr="00FD211F">
        <w:rPr>
          <w:sz w:val="36"/>
          <w:szCs w:val="36"/>
          <w:rtl/>
        </w:rPr>
        <w:t>زيد كالاسد</w:t>
      </w:r>
      <w:r w:rsidR="00B179A2" w:rsidRPr="00FD211F">
        <w:rPr>
          <w:sz w:val="36"/>
          <w:szCs w:val="36"/>
          <w:rtl/>
        </w:rPr>
        <w:t>"</w:t>
      </w:r>
      <w:r w:rsidRPr="00FD211F">
        <w:rPr>
          <w:sz w:val="36"/>
          <w:szCs w:val="36"/>
          <w:rtl/>
        </w:rPr>
        <w:t xml:space="preserve"> لايعني ان معنى الكاف والمثل واحد تماما والاختلاف بينهما بالإجمال والتفصيل</w:t>
      </w:r>
      <w:r w:rsidR="00603323" w:rsidRPr="00FD211F">
        <w:rPr>
          <w:sz w:val="36"/>
          <w:szCs w:val="36"/>
          <w:rtl/>
        </w:rPr>
        <w:t xml:space="preserve">، </w:t>
      </w:r>
      <w:r w:rsidRPr="00FD211F">
        <w:rPr>
          <w:sz w:val="36"/>
          <w:szCs w:val="36"/>
          <w:rtl/>
        </w:rPr>
        <w:t xml:space="preserve">فانك ترى انه لايمكن ان يوضع الكاف مكان مثل في قوله </w:t>
      </w:r>
      <w:r w:rsidR="007A4A0D" w:rsidRPr="00FD211F">
        <w:rPr>
          <w:sz w:val="36"/>
          <w:szCs w:val="36"/>
          <w:rtl/>
        </w:rPr>
        <w:t>(عليه‌السلام)</w:t>
      </w:r>
      <w:r w:rsidRPr="00FD211F">
        <w:rPr>
          <w:sz w:val="36"/>
          <w:szCs w:val="36"/>
          <w:rtl/>
        </w:rPr>
        <w:t>: مثلي لايبايع مثله</w:t>
      </w:r>
      <w:r w:rsidR="00603323" w:rsidRPr="00FD211F">
        <w:rPr>
          <w:sz w:val="36"/>
          <w:szCs w:val="36"/>
          <w:rtl/>
        </w:rPr>
        <w:t xml:space="preserve">، </w:t>
      </w:r>
      <w:r w:rsidRPr="00FD211F">
        <w:rPr>
          <w:sz w:val="36"/>
          <w:szCs w:val="36"/>
          <w:rtl/>
        </w:rPr>
        <w:t>ومن الواضح وجدانا انه لو كان المعنى واحدا أمكن وضع أحد اللفظين مكان الآخر</w:t>
      </w:r>
      <w:r w:rsidR="00603323" w:rsidRPr="00FD211F">
        <w:rPr>
          <w:sz w:val="36"/>
          <w:szCs w:val="36"/>
          <w:rtl/>
        </w:rPr>
        <w:t xml:space="preserve">، </w:t>
      </w:r>
      <w:r w:rsidRPr="00FD211F">
        <w:rPr>
          <w:sz w:val="36"/>
          <w:szCs w:val="36"/>
          <w:rtl/>
        </w:rPr>
        <w:t>والفرق بين قولنا</w:t>
      </w:r>
      <w:r w:rsidR="00B179A2" w:rsidRPr="00FD211F">
        <w:rPr>
          <w:sz w:val="36"/>
          <w:szCs w:val="36"/>
          <w:rtl/>
        </w:rPr>
        <w:t>"</w:t>
      </w:r>
      <w:r w:rsidRPr="00FD211F">
        <w:rPr>
          <w:sz w:val="36"/>
          <w:szCs w:val="36"/>
          <w:rtl/>
        </w:rPr>
        <w:t xml:space="preserve"> زيد مثل الأسد </w:t>
      </w:r>
      <w:r w:rsidR="00B179A2" w:rsidRPr="00FD211F">
        <w:rPr>
          <w:sz w:val="36"/>
          <w:szCs w:val="36"/>
          <w:rtl/>
        </w:rPr>
        <w:t>"</w:t>
      </w:r>
      <w:r w:rsidRPr="00FD211F">
        <w:rPr>
          <w:sz w:val="36"/>
          <w:szCs w:val="36"/>
          <w:rtl/>
        </w:rPr>
        <w:t>و</w:t>
      </w:r>
      <w:r w:rsidR="00B179A2" w:rsidRPr="00FD211F">
        <w:rPr>
          <w:sz w:val="36"/>
          <w:szCs w:val="36"/>
          <w:rtl/>
        </w:rPr>
        <w:t>"</w:t>
      </w:r>
      <w:r w:rsidRPr="00FD211F">
        <w:rPr>
          <w:sz w:val="36"/>
          <w:szCs w:val="36"/>
          <w:rtl/>
        </w:rPr>
        <w:t>زيد كالأسد</w:t>
      </w:r>
      <w:r w:rsidR="00B179A2" w:rsidRPr="00FD211F">
        <w:rPr>
          <w:sz w:val="36"/>
          <w:szCs w:val="36"/>
          <w:rtl/>
        </w:rPr>
        <w:t>"</w:t>
      </w:r>
      <w:r w:rsidRPr="00FD211F">
        <w:rPr>
          <w:sz w:val="36"/>
          <w:szCs w:val="36"/>
          <w:rtl/>
        </w:rPr>
        <w:t xml:space="preserve"> أن النسب</w:t>
      </w:r>
      <w:r w:rsidR="00EC7EDF" w:rsidRPr="00FD211F">
        <w:rPr>
          <w:sz w:val="36"/>
          <w:szCs w:val="36"/>
          <w:rtl/>
        </w:rPr>
        <w:t xml:space="preserve">ة </w:t>
      </w:r>
      <w:r w:rsidRPr="00FD211F">
        <w:rPr>
          <w:sz w:val="36"/>
          <w:szCs w:val="36"/>
          <w:rtl/>
        </w:rPr>
        <w:t>في الأول حملي</w:t>
      </w:r>
      <w:r w:rsidR="00EC7EDF" w:rsidRPr="00FD211F">
        <w:rPr>
          <w:sz w:val="36"/>
          <w:szCs w:val="36"/>
          <w:rtl/>
        </w:rPr>
        <w:t xml:space="preserve">ة </w:t>
      </w:r>
      <w:r w:rsidRPr="00FD211F">
        <w:rPr>
          <w:sz w:val="36"/>
          <w:szCs w:val="36"/>
          <w:rtl/>
        </w:rPr>
        <w:t>لاتحاد الموضوع والمحمول</w:t>
      </w:r>
      <w:r w:rsidR="00603323" w:rsidRPr="00FD211F">
        <w:rPr>
          <w:sz w:val="36"/>
          <w:szCs w:val="36"/>
          <w:rtl/>
        </w:rPr>
        <w:t xml:space="preserve">، </w:t>
      </w:r>
      <w:r w:rsidRPr="00FD211F">
        <w:rPr>
          <w:sz w:val="36"/>
          <w:szCs w:val="36"/>
          <w:rtl/>
        </w:rPr>
        <w:t>وهذه النسب</w:t>
      </w:r>
      <w:r w:rsidR="00EC7EDF" w:rsidRPr="00FD211F">
        <w:rPr>
          <w:sz w:val="36"/>
          <w:szCs w:val="36"/>
          <w:rtl/>
        </w:rPr>
        <w:t xml:space="preserve">ة </w:t>
      </w:r>
      <w:r w:rsidRPr="00FD211F">
        <w:rPr>
          <w:sz w:val="36"/>
          <w:szCs w:val="36"/>
          <w:rtl/>
        </w:rPr>
        <w:t>مستفاد</w:t>
      </w:r>
      <w:r w:rsidR="00EC7EDF" w:rsidRPr="00FD211F">
        <w:rPr>
          <w:sz w:val="36"/>
          <w:szCs w:val="36"/>
          <w:rtl/>
        </w:rPr>
        <w:t xml:space="preserve">ة </w:t>
      </w:r>
      <w:r w:rsidRPr="00FD211F">
        <w:rPr>
          <w:sz w:val="36"/>
          <w:szCs w:val="36"/>
          <w:rtl/>
        </w:rPr>
        <w:t>من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ومعناها حرفي أيضا</w:t>
      </w:r>
      <w:r w:rsidR="00603323" w:rsidRPr="00FD211F">
        <w:rPr>
          <w:sz w:val="36"/>
          <w:szCs w:val="36"/>
          <w:rtl/>
        </w:rPr>
        <w:t xml:space="preserve">، </w:t>
      </w:r>
      <w:r w:rsidRPr="00FD211F">
        <w:rPr>
          <w:sz w:val="36"/>
          <w:szCs w:val="36"/>
          <w:rtl/>
        </w:rPr>
        <w:t>بينما ان النسب</w:t>
      </w:r>
      <w:r w:rsidR="00EC7EDF" w:rsidRPr="00FD211F">
        <w:rPr>
          <w:sz w:val="36"/>
          <w:szCs w:val="36"/>
          <w:rtl/>
        </w:rPr>
        <w:t xml:space="preserve">ة </w:t>
      </w:r>
      <w:r w:rsidRPr="00FD211F">
        <w:rPr>
          <w:sz w:val="36"/>
          <w:szCs w:val="36"/>
          <w:rtl/>
        </w:rPr>
        <w:t>في الثاني نسب</w:t>
      </w:r>
      <w:r w:rsidR="00EC7EDF" w:rsidRPr="00FD211F">
        <w:rPr>
          <w:sz w:val="36"/>
          <w:szCs w:val="36"/>
          <w:rtl/>
        </w:rPr>
        <w:t xml:space="preserve">ة </w:t>
      </w:r>
      <w:r w:rsidRPr="00FD211F">
        <w:rPr>
          <w:sz w:val="36"/>
          <w:szCs w:val="36"/>
          <w:rtl/>
        </w:rPr>
        <w:t>تشبيهي</w:t>
      </w:r>
      <w:r w:rsidR="00EC7EDF" w:rsidRPr="00FD211F">
        <w:rPr>
          <w:sz w:val="36"/>
          <w:szCs w:val="36"/>
          <w:rtl/>
        </w:rPr>
        <w:t xml:space="preserve">ة </w:t>
      </w:r>
      <w:r w:rsidRPr="00FD211F">
        <w:rPr>
          <w:sz w:val="36"/>
          <w:szCs w:val="36"/>
          <w:rtl/>
        </w:rPr>
        <w:t>مستفاد</w:t>
      </w:r>
      <w:r w:rsidR="00EC7EDF" w:rsidRPr="00FD211F">
        <w:rPr>
          <w:sz w:val="36"/>
          <w:szCs w:val="36"/>
          <w:rtl/>
        </w:rPr>
        <w:t xml:space="preserve">ة </w:t>
      </w:r>
      <w:r w:rsidRPr="00FD211F">
        <w:rPr>
          <w:sz w:val="36"/>
          <w:szCs w:val="36"/>
          <w:rtl/>
        </w:rPr>
        <w:t>من نفس حرف الكاف</w:t>
      </w:r>
      <w:r w:rsidR="00603323" w:rsidRPr="00FD211F">
        <w:rPr>
          <w:sz w:val="36"/>
          <w:szCs w:val="36"/>
          <w:rtl/>
        </w:rPr>
        <w:t xml:space="preserve">، </w:t>
      </w:r>
      <w:r w:rsidRPr="00FD211F">
        <w:rPr>
          <w:sz w:val="36"/>
          <w:szCs w:val="36"/>
          <w:rtl/>
        </w:rPr>
        <w:t>وهكذا الفرق بين قولنا</w:t>
      </w:r>
      <w:r w:rsidR="00B179A2" w:rsidRPr="00FD211F">
        <w:rPr>
          <w:sz w:val="36"/>
          <w:szCs w:val="36"/>
          <w:rtl/>
        </w:rPr>
        <w:t>"</w:t>
      </w:r>
      <w:r w:rsidRPr="00FD211F">
        <w:rPr>
          <w:sz w:val="36"/>
          <w:szCs w:val="36"/>
          <w:rtl/>
        </w:rPr>
        <w:t xml:space="preserve"> زيد فوق السطح </w:t>
      </w:r>
      <w:r w:rsidR="00B179A2" w:rsidRPr="00FD211F">
        <w:rPr>
          <w:sz w:val="36"/>
          <w:szCs w:val="36"/>
          <w:rtl/>
        </w:rPr>
        <w:t>"</w:t>
      </w:r>
      <w:r w:rsidRPr="00FD211F">
        <w:rPr>
          <w:sz w:val="36"/>
          <w:szCs w:val="36"/>
          <w:rtl/>
        </w:rPr>
        <w:t>و</w:t>
      </w:r>
      <w:r w:rsidR="00B179A2" w:rsidRPr="00FD211F">
        <w:rPr>
          <w:sz w:val="36"/>
          <w:szCs w:val="36"/>
          <w:rtl/>
        </w:rPr>
        <w:t>"</w:t>
      </w:r>
      <w:r w:rsidRPr="00FD211F">
        <w:rPr>
          <w:sz w:val="36"/>
          <w:szCs w:val="36"/>
          <w:rtl/>
        </w:rPr>
        <w:t>زيد على السطح</w:t>
      </w:r>
      <w:r w:rsidR="00B179A2" w:rsidRPr="00FD211F">
        <w:rPr>
          <w:sz w:val="36"/>
          <w:szCs w:val="36"/>
          <w:rtl/>
        </w:rPr>
        <w:t>"</w:t>
      </w:r>
      <w:r w:rsidRPr="00FD211F">
        <w:rPr>
          <w:sz w:val="36"/>
          <w:szCs w:val="36"/>
          <w:rtl/>
        </w:rPr>
        <w:t>.</w:t>
      </w:r>
    </w:p>
    <w:p w14:paraId="3F925AD5" w14:textId="77777777" w:rsidR="007F5659" w:rsidRPr="00FD211F" w:rsidRDefault="007F5659" w:rsidP="009C58C8">
      <w:pPr>
        <w:ind w:left="0" w:firstLine="227"/>
        <w:jc w:val="both"/>
        <w:rPr>
          <w:sz w:val="36"/>
          <w:szCs w:val="36"/>
          <w:rtl/>
        </w:rPr>
      </w:pPr>
      <w:r w:rsidRPr="00FD211F">
        <w:rPr>
          <w:sz w:val="36"/>
          <w:szCs w:val="36"/>
          <w:rtl/>
        </w:rPr>
        <w:t>ومما يشهد على ما ذكرناه ان استعمال حروف العطف والاستثناء والإضراب ونحو ذلك لإيجاد العطف والإضراب والاستثناء</w:t>
      </w:r>
      <w:r w:rsidR="00603323" w:rsidRPr="00FD211F">
        <w:rPr>
          <w:sz w:val="36"/>
          <w:szCs w:val="36"/>
          <w:rtl/>
        </w:rPr>
        <w:t xml:space="preserve">، </w:t>
      </w:r>
      <w:r w:rsidRPr="00FD211F">
        <w:rPr>
          <w:sz w:val="36"/>
          <w:szCs w:val="36"/>
          <w:rtl/>
        </w:rPr>
        <w:t>بخلاف مفهوم العطف والإضراب والاستثناء</w:t>
      </w:r>
      <w:r w:rsidR="00603323" w:rsidRPr="00FD211F">
        <w:rPr>
          <w:sz w:val="36"/>
          <w:szCs w:val="36"/>
          <w:rtl/>
        </w:rPr>
        <w:t xml:space="preserve">، </w:t>
      </w:r>
      <w:r w:rsidRPr="00FD211F">
        <w:rPr>
          <w:sz w:val="36"/>
          <w:szCs w:val="36"/>
          <w:rtl/>
        </w:rPr>
        <w:t xml:space="preserve">وهكذا وضع </w:t>
      </w:r>
      <w:r w:rsidR="0013577D" w:rsidRPr="00FD211F">
        <w:rPr>
          <w:sz w:val="36"/>
          <w:szCs w:val="36"/>
          <w:rtl/>
        </w:rPr>
        <w:t>"</w:t>
      </w:r>
      <w:r w:rsidRPr="00FD211F">
        <w:rPr>
          <w:sz w:val="36"/>
          <w:szCs w:val="36"/>
          <w:rtl/>
        </w:rPr>
        <w:t>ليت</w:t>
      </w:r>
      <w:r w:rsidR="0013577D" w:rsidRPr="00FD211F">
        <w:rPr>
          <w:sz w:val="36"/>
          <w:szCs w:val="36"/>
          <w:rtl/>
        </w:rPr>
        <w:t>"</w:t>
      </w:r>
      <w:r w:rsidRPr="00FD211F">
        <w:rPr>
          <w:sz w:val="36"/>
          <w:szCs w:val="36"/>
          <w:rtl/>
        </w:rPr>
        <w:t xml:space="preserve"> لإبراز التمني بينما ان</w:t>
      </w:r>
      <w:r w:rsidR="00EA4271" w:rsidRPr="00FD211F">
        <w:rPr>
          <w:sz w:val="36"/>
          <w:szCs w:val="36"/>
          <w:rtl/>
        </w:rPr>
        <w:t xml:space="preserve"> </w:t>
      </w:r>
      <w:r w:rsidR="0013577D" w:rsidRPr="00FD211F">
        <w:rPr>
          <w:sz w:val="36"/>
          <w:szCs w:val="36"/>
          <w:rtl/>
        </w:rPr>
        <w:t>"</w:t>
      </w:r>
      <w:r w:rsidRPr="00FD211F">
        <w:rPr>
          <w:sz w:val="36"/>
          <w:szCs w:val="36"/>
          <w:rtl/>
        </w:rPr>
        <w:t>أتمنى</w:t>
      </w:r>
      <w:r w:rsidR="0013577D" w:rsidRPr="00FD211F">
        <w:rPr>
          <w:sz w:val="36"/>
          <w:szCs w:val="36"/>
          <w:rtl/>
        </w:rPr>
        <w:t>"</w:t>
      </w:r>
      <w:r w:rsidR="008D7B3D" w:rsidRPr="00FD211F">
        <w:rPr>
          <w:sz w:val="36"/>
          <w:szCs w:val="36"/>
          <w:rtl/>
        </w:rPr>
        <w:t xml:space="preserve"> لم‌</w:t>
      </w:r>
      <w:r w:rsidRPr="00FD211F">
        <w:rPr>
          <w:sz w:val="36"/>
          <w:szCs w:val="36"/>
          <w:rtl/>
        </w:rPr>
        <w:t>يوضع لذلك</w:t>
      </w:r>
      <w:r w:rsidR="00603323" w:rsidRPr="00FD211F">
        <w:rPr>
          <w:sz w:val="36"/>
          <w:szCs w:val="36"/>
          <w:rtl/>
        </w:rPr>
        <w:t xml:space="preserve">، </w:t>
      </w:r>
      <w:r w:rsidRPr="00FD211F">
        <w:rPr>
          <w:sz w:val="36"/>
          <w:szCs w:val="36"/>
          <w:rtl/>
        </w:rPr>
        <w:t>وان كان قد يستعمل في مقام ابراز التمني.</w:t>
      </w:r>
    </w:p>
    <w:p w14:paraId="6CB3677B" w14:textId="77777777" w:rsidR="007F5659" w:rsidRPr="00FD211F" w:rsidRDefault="007F5659" w:rsidP="009C58C8">
      <w:pPr>
        <w:pStyle w:val="3"/>
        <w:ind w:firstLine="227"/>
        <w:jc w:val="both"/>
        <w:rPr>
          <w:rtl/>
        </w:rPr>
      </w:pPr>
      <w:bookmarkStart w:id="186" w:name="درس084دقيقه31"/>
      <w:bookmarkStart w:id="187" w:name="_Toc192092870"/>
      <w:bookmarkStart w:id="188" w:name="_Toc223890344"/>
      <w:bookmarkEnd w:id="186"/>
      <w:r w:rsidRPr="00FD211F">
        <w:rPr>
          <w:rtl/>
        </w:rPr>
        <w:t>وضع الحروف للدلال</w:t>
      </w:r>
      <w:r w:rsidR="00EC7EDF" w:rsidRPr="00FD211F">
        <w:rPr>
          <w:rtl/>
        </w:rPr>
        <w:t xml:space="preserve">ة </w:t>
      </w:r>
      <w:r w:rsidRPr="00FD211F">
        <w:rPr>
          <w:rtl/>
        </w:rPr>
        <w:t>على خصوصي</w:t>
      </w:r>
      <w:r w:rsidR="00EC7EDF" w:rsidRPr="00FD211F">
        <w:rPr>
          <w:rtl/>
        </w:rPr>
        <w:t xml:space="preserve">ة </w:t>
      </w:r>
      <w:r w:rsidRPr="00FD211F">
        <w:rPr>
          <w:rtl/>
        </w:rPr>
        <w:t>في طرفها</w:t>
      </w:r>
      <w:bookmarkEnd w:id="187"/>
      <w:bookmarkEnd w:id="188"/>
    </w:p>
    <w:p w14:paraId="3995CC2D" w14:textId="77777777" w:rsidR="007F5659" w:rsidRPr="00FD211F" w:rsidRDefault="007F5659" w:rsidP="009C58C8">
      <w:pPr>
        <w:ind w:left="0" w:firstLine="227"/>
        <w:jc w:val="both"/>
        <w:rPr>
          <w:sz w:val="36"/>
          <w:szCs w:val="36"/>
          <w:rtl/>
        </w:rPr>
      </w:pPr>
      <w:r w:rsidRPr="00FD211F">
        <w:rPr>
          <w:b/>
          <w:bCs/>
          <w:sz w:val="36"/>
          <w:szCs w:val="36"/>
          <w:rtl/>
        </w:rPr>
        <w:t>القول السادس</w:t>
      </w:r>
      <w:r w:rsidRPr="00FD211F">
        <w:rPr>
          <w:sz w:val="36"/>
          <w:szCs w:val="36"/>
          <w:rtl/>
        </w:rPr>
        <w:t xml:space="preserve">: ما اختاره شيخنا الاستاذ </w:t>
      </w:r>
      <w:r w:rsidR="00AB1B12" w:rsidRPr="00FD211F">
        <w:rPr>
          <w:sz w:val="36"/>
          <w:szCs w:val="36"/>
          <w:rtl/>
        </w:rPr>
        <w:t>"</w:t>
      </w:r>
      <w:r w:rsidRPr="00FD211F">
        <w:rPr>
          <w:sz w:val="36"/>
          <w:szCs w:val="36"/>
          <w:rtl/>
        </w:rPr>
        <w:t>قده</w:t>
      </w:r>
      <w:r w:rsidR="00AB1B12" w:rsidRPr="00FD211F">
        <w:rPr>
          <w:sz w:val="36"/>
          <w:szCs w:val="36"/>
          <w:rtl/>
        </w:rPr>
        <w:t>"</w:t>
      </w:r>
      <w:r w:rsidR="002C1829" w:rsidRPr="00FD211F">
        <w:rPr>
          <w:sz w:val="36"/>
          <w:szCs w:val="36"/>
          <w:rtl/>
        </w:rPr>
        <w:t xml:space="preserve"> من ان الحروف موضوع</w:t>
      </w:r>
      <w:r w:rsidR="00EC7EDF" w:rsidRPr="00FD211F">
        <w:rPr>
          <w:sz w:val="36"/>
          <w:szCs w:val="36"/>
          <w:rtl/>
        </w:rPr>
        <w:t xml:space="preserve">ة </w:t>
      </w:r>
      <w:r w:rsidR="002C1829" w:rsidRPr="00FD211F">
        <w:rPr>
          <w:sz w:val="36"/>
          <w:szCs w:val="36"/>
          <w:rtl/>
        </w:rPr>
        <w:t>ل</w:t>
      </w:r>
      <w:r w:rsidRPr="00FD211F">
        <w:rPr>
          <w:sz w:val="36"/>
          <w:szCs w:val="36"/>
          <w:rtl/>
        </w:rPr>
        <w:t>لدلال</w:t>
      </w:r>
      <w:r w:rsidR="00EC7EDF" w:rsidRPr="00FD211F">
        <w:rPr>
          <w:sz w:val="36"/>
          <w:szCs w:val="36"/>
          <w:rtl/>
        </w:rPr>
        <w:t xml:space="preserve">ة </w:t>
      </w:r>
      <w:r w:rsidRPr="00FD211F">
        <w:rPr>
          <w:sz w:val="36"/>
          <w:szCs w:val="36"/>
          <w:rtl/>
        </w:rPr>
        <w:t>على واقع خصوصي</w:t>
      </w:r>
      <w:r w:rsidR="00EC7EDF" w:rsidRPr="00FD211F">
        <w:rPr>
          <w:sz w:val="36"/>
          <w:szCs w:val="36"/>
          <w:rtl/>
        </w:rPr>
        <w:t xml:space="preserve">ة </w:t>
      </w:r>
      <w:r w:rsidRPr="00FD211F">
        <w:rPr>
          <w:sz w:val="36"/>
          <w:szCs w:val="36"/>
          <w:rtl/>
        </w:rPr>
        <w:t>في طرفها</w:t>
      </w:r>
      <w:r w:rsidR="00603323" w:rsidRPr="00FD211F">
        <w:rPr>
          <w:sz w:val="36"/>
          <w:szCs w:val="36"/>
          <w:rtl/>
        </w:rPr>
        <w:t xml:space="preserve">، </w:t>
      </w:r>
      <w:r w:rsidRPr="00FD211F">
        <w:rPr>
          <w:sz w:val="36"/>
          <w:szCs w:val="36"/>
          <w:rtl/>
        </w:rPr>
        <w:t>ف</w:t>
      </w:r>
      <w:r w:rsidR="006954A6" w:rsidRPr="00FD211F">
        <w:rPr>
          <w:sz w:val="36"/>
          <w:szCs w:val="36"/>
          <w:rtl/>
        </w:rPr>
        <w:t xml:space="preserve">يدلّ </w:t>
      </w:r>
      <w:r w:rsidRPr="00FD211F">
        <w:rPr>
          <w:sz w:val="36"/>
          <w:szCs w:val="36"/>
          <w:rtl/>
        </w:rPr>
        <w:t>حرف</w:t>
      </w:r>
      <w:r w:rsidR="002C1829" w:rsidRPr="00FD211F">
        <w:rPr>
          <w:sz w:val="36"/>
          <w:szCs w:val="36"/>
          <w:rtl/>
        </w:rPr>
        <w:t>"</w:t>
      </w:r>
      <w:r w:rsidRPr="00FD211F">
        <w:rPr>
          <w:sz w:val="36"/>
          <w:szCs w:val="36"/>
          <w:rtl/>
        </w:rPr>
        <w:t xml:space="preserve"> في</w:t>
      </w:r>
      <w:r w:rsidR="002C1829" w:rsidRPr="00FD211F">
        <w:rPr>
          <w:sz w:val="36"/>
          <w:szCs w:val="36"/>
          <w:rtl/>
        </w:rPr>
        <w:t>"</w:t>
      </w:r>
      <w:r w:rsidRPr="00FD211F">
        <w:rPr>
          <w:sz w:val="36"/>
          <w:szCs w:val="36"/>
          <w:rtl/>
        </w:rPr>
        <w:t xml:space="preserve"> على ظرفي</w:t>
      </w:r>
      <w:r w:rsidR="00EC7EDF" w:rsidRPr="00FD211F">
        <w:rPr>
          <w:sz w:val="36"/>
          <w:szCs w:val="36"/>
          <w:rtl/>
        </w:rPr>
        <w:t xml:space="preserve">ة </w:t>
      </w:r>
      <w:r w:rsidRPr="00FD211F">
        <w:rPr>
          <w:sz w:val="36"/>
          <w:szCs w:val="36"/>
          <w:rtl/>
        </w:rPr>
        <w:t>احد طرفيها ومظروفي</w:t>
      </w:r>
      <w:r w:rsidR="00EC7EDF" w:rsidRPr="00FD211F">
        <w:rPr>
          <w:sz w:val="36"/>
          <w:szCs w:val="36"/>
          <w:rtl/>
        </w:rPr>
        <w:t xml:space="preserve">ة </w:t>
      </w:r>
      <w:r w:rsidRPr="00FD211F">
        <w:rPr>
          <w:sz w:val="36"/>
          <w:szCs w:val="36"/>
          <w:rtl/>
        </w:rPr>
        <w:t>الطرف الآخر</w:t>
      </w:r>
      <w:r w:rsidR="00603323" w:rsidRPr="00FD211F">
        <w:rPr>
          <w:sz w:val="36"/>
          <w:szCs w:val="36"/>
          <w:rtl/>
        </w:rPr>
        <w:t xml:space="preserve">، </w:t>
      </w:r>
      <w:r w:rsidRPr="00FD211F">
        <w:rPr>
          <w:sz w:val="36"/>
          <w:szCs w:val="36"/>
          <w:rtl/>
        </w:rPr>
        <w:t xml:space="preserve">وكذا </w:t>
      </w:r>
      <w:r w:rsidR="006954A6" w:rsidRPr="00FD211F">
        <w:rPr>
          <w:sz w:val="36"/>
          <w:szCs w:val="36"/>
          <w:rtl/>
        </w:rPr>
        <w:t xml:space="preserve">يدلّ </w:t>
      </w:r>
      <w:r w:rsidRPr="00FD211F">
        <w:rPr>
          <w:sz w:val="36"/>
          <w:szCs w:val="36"/>
          <w:rtl/>
        </w:rPr>
        <w:t>حرف العطف عل</w:t>
      </w:r>
      <w:r w:rsidR="006954A6" w:rsidRPr="00FD211F">
        <w:rPr>
          <w:sz w:val="36"/>
          <w:szCs w:val="36"/>
          <w:rtl/>
        </w:rPr>
        <w:t>ي</w:t>
      </w:r>
      <w:r w:rsidRPr="00FD211F">
        <w:rPr>
          <w:sz w:val="36"/>
          <w:szCs w:val="36"/>
          <w:rtl/>
        </w:rPr>
        <w:t xml:space="preserve"> كون ما قبله معطوفا عليه وكون ما بعده معطوفا</w:t>
      </w:r>
      <w:r w:rsidR="00603323" w:rsidRPr="00FD211F">
        <w:rPr>
          <w:sz w:val="36"/>
          <w:szCs w:val="36"/>
          <w:rtl/>
        </w:rPr>
        <w:t xml:space="preserve">، </w:t>
      </w:r>
      <w:r w:rsidRPr="00FD211F">
        <w:rPr>
          <w:sz w:val="36"/>
          <w:szCs w:val="36"/>
          <w:rtl/>
        </w:rPr>
        <w:t>وهكذا</w:t>
      </w:r>
      <w:r w:rsidR="00603323" w:rsidRPr="00FD211F">
        <w:rPr>
          <w:sz w:val="36"/>
          <w:szCs w:val="36"/>
          <w:rtl/>
        </w:rPr>
        <w:t xml:space="preserve">، </w:t>
      </w:r>
      <w:r w:rsidRPr="00FD211F">
        <w:rPr>
          <w:sz w:val="36"/>
          <w:szCs w:val="36"/>
          <w:rtl/>
        </w:rPr>
        <w:t>وليس المراد ان لفظ</w:t>
      </w:r>
      <w:r w:rsidR="00EC7EDF" w:rsidRPr="00FD211F">
        <w:rPr>
          <w:sz w:val="36"/>
          <w:szCs w:val="36"/>
          <w:rtl/>
        </w:rPr>
        <w:t xml:space="preserve">ة </w:t>
      </w:r>
      <w:r w:rsidR="006B6E9C" w:rsidRPr="00FD211F">
        <w:rPr>
          <w:sz w:val="36"/>
          <w:szCs w:val="36"/>
          <w:rtl/>
        </w:rPr>
        <w:t>"</w:t>
      </w:r>
      <w:r w:rsidRPr="00FD211F">
        <w:rPr>
          <w:sz w:val="36"/>
          <w:szCs w:val="36"/>
          <w:rtl/>
        </w:rPr>
        <w:t>في</w:t>
      </w:r>
      <w:r w:rsidR="006B6E9C" w:rsidRPr="00FD211F">
        <w:rPr>
          <w:sz w:val="36"/>
          <w:szCs w:val="36"/>
          <w:rtl/>
        </w:rPr>
        <w:t>"</w:t>
      </w:r>
      <w:r w:rsidRPr="00FD211F">
        <w:rPr>
          <w:sz w:val="36"/>
          <w:szCs w:val="36"/>
          <w:rtl/>
        </w:rPr>
        <w:t xml:space="preserve"> مثلا ترادف لفظ</w:t>
      </w:r>
      <w:r w:rsidR="006B6E9C" w:rsidRPr="00FD211F">
        <w:rPr>
          <w:sz w:val="36"/>
          <w:szCs w:val="36"/>
          <w:rtl/>
        </w:rPr>
        <w:t>"</w:t>
      </w:r>
      <w:r w:rsidRPr="00FD211F">
        <w:rPr>
          <w:sz w:val="36"/>
          <w:szCs w:val="36"/>
          <w:rtl/>
        </w:rPr>
        <w:t xml:space="preserve"> الظرف</w:t>
      </w:r>
      <w:r w:rsidR="006B6E9C" w:rsidRPr="00FD211F">
        <w:rPr>
          <w:sz w:val="36"/>
          <w:szCs w:val="36"/>
          <w:rtl/>
        </w:rPr>
        <w:t>"</w:t>
      </w:r>
      <w:r w:rsidRPr="00FD211F">
        <w:rPr>
          <w:sz w:val="36"/>
          <w:szCs w:val="36"/>
          <w:rtl/>
        </w:rPr>
        <w:t xml:space="preserve"> بل يراد ان لفظ</w:t>
      </w:r>
      <w:r w:rsidR="00EC7EDF" w:rsidRPr="00FD211F">
        <w:rPr>
          <w:sz w:val="36"/>
          <w:szCs w:val="36"/>
          <w:rtl/>
        </w:rPr>
        <w:t xml:space="preserve">ة </w:t>
      </w:r>
      <w:r w:rsidR="006B6E9C" w:rsidRPr="00FD211F">
        <w:rPr>
          <w:sz w:val="36"/>
          <w:szCs w:val="36"/>
          <w:rtl/>
        </w:rPr>
        <w:t>"</w:t>
      </w:r>
      <w:r w:rsidRPr="00FD211F">
        <w:rPr>
          <w:sz w:val="36"/>
          <w:szCs w:val="36"/>
          <w:rtl/>
        </w:rPr>
        <w:t>في</w:t>
      </w:r>
      <w:r w:rsidR="006B6E9C" w:rsidRPr="00FD211F">
        <w:rPr>
          <w:sz w:val="36"/>
          <w:szCs w:val="36"/>
          <w:rtl/>
        </w:rPr>
        <w:t>"</w:t>
      </w:r>
      <w:r w:rsidRPr="00FD211F">
        <w:rPr>
          <w:sz w:val="36"/>
          <w:szCs w:val="36"/>
          <w:rtl/>
        </w:rPr>
        <w:t xml:space="preserve"> وضعت لتدلّ على ان مدخولها موصوف خارجا بكونه ظرفا لشيئ</w:t>
      </w:r>
      <w:r w:rsidR="00603323" w:rsidRPr="00FD211F">
        <w:rPr>
          <w:sz w:val="36"/>
          <w:szCs w:val="36"/>
          <w:rtl/>
        </w:rPr>
        <w:t xml:space="preserve">، </w:t>
      </w:r>
      <w:r w:rsidRPr="00FD211F">
        <w:rPr>
          <w:sz w:val="36"/>
          <w:szCs w:val="36"/>
          <w:rtl/>
        </w:rPr>
        <w:t>فكما ان حركات الاعراب موضوع</w:t>
      </w:r>
      <w:r w:rsidR="00EC7EDF" w:rsidRPr="00FD211F">
        <w:rPr>
          <w:sz w:val="36"/>
          <w:szCs w:val="36"/>
          <w:rtl/>
        </w:rPr>
        <w:t xml:space="preserve">ة </w:t>
      </w:r>
      <w:r w:rsidRPr="00FD211F">
        <w:rPr>
          <w:sz w:val="36"/>
          <w:szCs w:val="36"/>
          <w:rtl/>
        </w:rPr>
        <w:t>لتدل على ان معنى مدخولها بحسب الخارج متصف بكونه مصداقا للفاعل او المفعول او غيرها فكذلك الحروف موضوع</w:t>
      </w:r>
      <w:r w:rsidR="00EC7EDF" w:rsidRPr="00FD211F">
        <w:rPr>
          <w:sz w:val="36"/>
          <w:szCs w:val="36"/>
          <w:rtl/>
        </w:rPr>
        <w:t xml:space="preserve">ة </w:t>
      </w:r>
      <w:r w:rsidRPr="00FD211F">
        <w:rPr>
          <w:sz w:val="36"/>
          <w:szCs w:val="36"/>
          <w:rtl/>
        </w:rPr>
        <w:t>لتدل على خصوصي</w:t>
      </w:r>
      <w:r w:rsidR="00EC7EDF" w:rsidRPr="00FD211F">
        <w:rPr>
          <w:sz w:val="36"/>
          <w:szCs w:val="36"/>
          <w:rtl/>
        </w:rPr>
        <w:t xml:space="preserve">ة </w:t>
      </w:r>
      <w:r w:rsidRPr="00FD211F">
        <w:rPr>
          <w:sz w:val="36"/>
          <w:szCs w:val="36"/>
          <w:rtl/>
        </w:rPr>
        <w:t>في مدخولها بحسب الخارج</w:t>
      </w:r>
      <w:r w:rsidR="00603323" w:rsidRPr="00FD211F">
        <w:rPr>
          <w:sz w:val="36"/>
          <w:szCs w:val="36"/>
          <w:rtl/>
        </w:rPr>
        <w:t xml:space="preserve">، </w:t>
      </w:r>
      <w:r w:rsidRPr="00FD211F">
        <w:rPr>
          <w:sz w:val="36"/>
          <w:szCs w:val="36"/>
          <w:rtl/>
        </w:rPr>
        <w:t>والحاصل ان الاسماء موضوع</w:t>
      </w:r>
      <w:r w:rsidR="00EC7EDF" w:rsidRPr="00FD211F">
        <w:rPr>
          <w:sz w:val="36"/>
          <w:szCs w:val="36"/>
          <w:rtl/>
        </w:rPr>
        <w:t xml:space="preserve">ة </w:t>
      </w:r>
      <w:r w:rsidRPr="00FD211F">
        <w:rPr>
          <w:sz w:val="36"/>
          <w:szCs w:val="36"/>
          <w:rtl/>
        </w:rPr>
        <w:t>للعناوين والحروف موضوع</w:t>
      </w:r>
      <w:r w:rsidR="00EC7EDF" w:rsidRPr="00FD211F">
        <w:rPr>
          <w:sz w:val="36"/>
          <w:szCs w:val="36"/>
          <w:rtl/>
        </w:rPr>
        <w:t xml:space="preserve">ة </w:t>
      </w:r>
      <w:r w:rsidRPr="00FD211F">
        <w:rPr>
          <w:sz w:val="36"/>
          <w:szCs w:val="36"/>
          <w:rtl/>
        </w:rPr>
        <w:t>لتدل على اتصاف مدخولاتها بالعناوين</w:t>
      </w:r>
      <w:r w:rsidR="009C58C8" w:rsidRPr="00FD211F">
        <w:rPr>
          <w:rStyle w:val="a6"/>
          <w:sz w:val="36"/>
          <w:szCs w:val="36"/>
          <w:rtl/>
        </w:rPr>
        <w:t>(</w:t>
      </w:r>
      <w:r w:rsidR="009C58C8" w:rsidRPr="00FD211F">
        <w:rPr>
          <w:rStyle w:val="a6"/>
          <w:sz w:val="36"/>
          <w:szCs w:val="36"/>
          <w:rtl/>
        </w:rPr>
        <w:footnoteReference w:id="175"/>
      </w:r>
      <w:r w:rsidR="009C58C8" w:rsidRPr="00FD211F">
        <w:rPr>
          <w:rStyle w:val="a6"/>
          <w:sz w:val="36"/>
          <w:szCs w:val="36"/>
          <w:rtl/>
        </w:rPr>
        <w:t>)</w:t>
      </w:r>
      <w:r w:rsidRPr="00FD211F">
        <w:rPr>
          <w:sz w:val="36"/>
          <w:szCs w:val="36"/>
          <w:rtl/>
        </w:rPr>
        <w:t>.</w:t>
      </w:r>
    </w:p>
    <w:p w14:paraId="42C6A2CE" w14:textId="77777777" w:rsidR="006954A6" w:rsidRPr="00FD211F" w:rsidRDefault="007F5659" w:rsidP="009C58C8">
      <w:pPr>
        <w:ind w:left="0" w:firstLine="227"/>
        <w:jc w:val="both"/>
        <w:rPr>
          <w:sz w:val="36"/>
          <w:szCs w:val="36"/>
          <w:rtl/>
        </w:rPr>
      </w:pPr>
      <w:r w:rsidRPr="00FD211F">
        <w:rPr>
          <w:sz w:val="36"/>
          <w:szCs w:val="36"/>
          <w:rtl/>
        </w:rPr>
        <w:t>ويلاحظ عليه: ان تشبيه الحروف بحركات الاعراب غير تامّ</w:t>
      </w:r>
      <w:r w:rsidR="00603323" w:rsidRPr="00FD211F">
        <w:rPr>
          <w:sz w:val="36"/>
          <w:szCs w:val="36"/>
          <w:rtl/>
        </w:rPr>
        <w:t xml:space="preserve">، </w:t>
      </w:r>
      <w:r w:rsidRPr="00FD211F">
        <w:rPr>
          <w:sz w:val="36"/>
          <w:szCs w:val="36"/>
          <w:rtl/>
        </w:rPr>
        <w:t>لعدم اختلال المعنى الاستعمالي بفقد الحركات الاعرابي</w:t>
      </w:r>
      <w:r w:rsidR="00EC7EDF" w:rsidRPr="00FD211F">
        <w:rPr>
          <w:sz w:val="36"/>
          <w:szCs w:val="36"/>
          <w:rtl/>
        </w:rPr>
        <w:t xml:space="preserve">ة </w:t>
      </w:r>
      <w:r w:rsidRPr="00FD211F">
        <w:rPr>
          <w:sz w:val="36"/>
          <w:szCs w:val="36"/>
          <w:rtl/>
        </w:rPr>
        <w:t>بينما ان المعنى الحرفي مما يحتاج ا</w:t>
      </w:r>
      <w:r w:rsidR="006954A6" w:rsidRPr="00FD211F">
        <w:rPr>
          <w:sz w:val="36"/>
          <w:szCs w:val="36"/>
          <w:rtl/>
        </w:rPr>
        <w:t>ليه في تكوّن المراد الاستعمالي.</w:t>
      </w:r>
    </w:p>
    <w:p w14:paraId="5960851D" w14:textId="77777777" w:rsidR="007F5659" w:rsidRPr="00FD211F" w:rsidRDefault="007F5659" w:rsidP="009C58C8">
      <w:pPr>
        <w:ind w:left="0" w:firstLine="227"/>
        <w:jc w:val="both"/>
        <w:rPr>
          <w:sz w:val="36"/>
          <w:szCs w:val="36"/>
          <w:rtl/>
        </w:rPr>
      </w:pPr>
      <w:r w:rsidRPr="00FD211F">
        <w:rPr>
          <w:sz w:val="36"/>
          <w:szCs w:val="36"/>
          <w:rtl/>
        </w:rPr>
        <w:t>وما ذكره من دلال</w:t>
      </w:r>
      <w:r w:rsidR="00EC7EDF" w:rsidRPr="00FD211F">
        <w:rPr>
          <w:sz w:val="36"/>
          <w:szCs w:val="36"/>
          <w:rtl/>
        </w:rPr>
        <w:t xml:space="preserve">ة </w:t>
      </w:r>
      <w:r w:rsidRPr="00FD211F">
        <w:rPr>
          <w:sz w:val="36"/>
          <w:szCs w:val="36"/>
          <w:rtl/>
        </w:rPr>
        <w:t>لفظ</w:t>
      </w:r>
      <w:r w:rsidR="006954A6" w:rsidRPr="00FD211F">
        <w:rPr>
          <w:sz w:val="36"/>
          <w:szCs w:val="36"/>
          <w:rtl/>
        </w:rPr>
        <w:t>"</w:t>
      </w:r>
      <w:r w:rsidRPr="00FD211F">
        <w:rPr>
          <w:sz w:val="36"/>
          <w:szCs w:val="36"/>
          <w:rtl/>
        </w:rPr>
        <w:t xml:space="preserve"> في</w:t>
      </w:r>
      <w:r w:rsidR="006954A6" w:rsidRPr="00FD211F">
        <w:rPr>
          <w:sz w:val="36"/>
          <w:szCs w:val="36"/>
          <w:rtl/>
        </w:rPr>
        <w:t>"</w:t>
      </w:r>
      <w:r w:rsidRPr="00FD211F">
        <w:rPr>
          <w:sz w:val="36"/>
          <w:szCs w:val="36"/>
          <w:rtl/>
        </w:rPr>
        <w:t xml:space="preserve"> مثلا على واقع ظرفي</w:t>
      </w:r>
      <w:r w:rsidR="00EC7EDF" w:rsidRPr="00FD211F">
        <w:rPr>
          <w:sz w:val="36"/>
          <w:szCs w:val="36"/>
          <w:rtl/>
        </w:rPr>
        <w:t xml:space="preserve">ة </w:t>
      </w:r>
      <w:r w:rsidRPr="00FD211F">
        <w:rPr>
          <w:sz w:val="36"/>
          <w:szCs w:val="36"/>
          <w:rtl/>
        </w:rPr>
        <w:t>مدخوله فان أريد منه الدلال</w:t>
      </w:r>
      <w:r w:rsidR="00EC7EDF" w:rsidRPr="00FD211F">
        <w:rPr>
          <w:sz w:val="36"/>
          <w:szCs w:val="36"/>
          <w:rtl/>
        </w:rPr>
        <w:t xml:space="preserve">ة </w:t>
      </w:r>
      <w:r w:rsidRPr="00FD211F">
        <w:rPr>
          <w:sz w:val="36"/>
          <w:szCs w:val="36"/>
          <w:rtl/>
        </w:rPr>
        <w:t>على الحص</w:t>
      </w:r>
      <w:r w:rsidR="00EC7EDF" w:rsidRPr="00FD211F">
        <w:rPr>
          <w:sz w:val="36"/>
          <w:szCs w:val="36"/>
          <w:rtl/>
        </w:rPr>
        <w:t xml:space="preserve">ة </w:t>
      </w:r>
      <w:r w:rsidRPr="00FD211F">
        <w:rPr>
          <w:sz w:val="36"/>
          <w:szCs w:val="36"/>
          <w:rtl/>
        </w:rPr>
        <w:t>فقولنا</w:t>
      </w:r>
      <w:r w:rsidR="007F0277" w:rsidRPr="00FD211F">
        <w:rPr>
          <w:sz w:val="36"/>
          <w:szCs w:val="36"/>
          <w:rtl/>
        </w:rPr>
        <w:t>"</w:t>
      </w:r>
      <w:r w:rsidRPr="00FD211F">
        <w:rPr>
          <w:sz w:val="36"/>
          <w:szCs w:val="36"/>
          <w:rtl/>
        </w:rPr>
        <w:t xml:space="preserve"> الجالس في الدار</w:t>
      </w:r>
      <w:r w:rsidR="007F0277" w:rsidRPr="00FD211F">
        <w:rPr>
          <w:sz w:val="36"/>
          <w:szCs w:val="36"/>
          <w:rtl/>
        </w:rPr>
        <w:t>"</w:t>
      </w:r>
      <w:r w:rsidRPr="00FD211F">
        <w:rPr>
          <w:sz w:val="36"/>
          <w:szCs w:val="36"/>
          <w:rtl/>
        </w:rPr>
        <w:t xml:space="preserve"> يدل على حص</w:t>
      </w:r>
      <w:r w:rsidR="00EC7EDF" w:rsidRPr="00FD211F">
        <w:rPr>
          <w:sz w:val="36"/>
          <w:szCs w:val="36"/>
          <w:rtl/>
        </w:rPr>
        <w:t xml:space="preserve">ة </w:t>
      </w:r>
      <w:r w:rsidRPr="00FD211F">
        <w:rPr>
          <w:sz w:val="36"/>
          <w:szCs w:val="36"/>
          <w:rtl/>
        </w:rPr>
        <w:t>من الجالس</w:t>
      </w:r>
      <w:r w:rsidR="00603323" w:rsidRPr="00FD211F">
        <w:rPr>
          <w:sz w:val="36"/>
          <w:szCs w:val="36"/>
          <w:rtl/>
        </w:rPr>
        <w:t xml:space="preserve">، </w:t>
      </w:r>
      <w:r w:rsidRPr="00FD211F">
        <w:rPr>
          <w:sz w:val="36"/>
          <w:szCs w:val="36"/>
          <w:rtl/>
        </w:rPr>
        <w:t>ف</w:t>
      </w:r>
      <w:r w:rsidR="006954A6" w:rsidRPr="00FD211F">
        <w:rPr>
          <w:sz w:val="36"/>
          <w:szCs w:val="36"/>
          <w:rtl/>
        </w:rPr>
        <w:t>فيه</w:t>
      </w:r>
      <w:r w:rsidR="00B253CE" w:rsidRPr="00FD211F">
        <w:rPr>
          <w:sz w:val="36"/>
          <w:szCs w:val="36"/>
          <w:rtl/>
        </w:rPr>
        <w:t xml:space="preserve"> </w:t>
      </w:r>
      <w:r w:rsidRPr="00FD211F">
        <w:rPr>
          <w:sz w:val="36"/>
          <w:szCs w:val="36"/>
          <w:rtl/>
        </w:rPr>
        <w:t>ان التحصيص ناش من ايقاع النسب</w:t>
      </w:r>
      <w:r w:rsidR="00EC7EDF" w:rsidRPr="00FD211F">
        <w:rPr>
          <w:sz w:val="36"/>
          <w:szCs w:val="36"/>
          <w:rtl/>
        </w:rPr>
        <w:t xml:space="preserve">ة </w:t>
      </w:r>
      <w:r w:rsidRPr="00FD211F">
        <w:rPr>
          <w:sz w:val="36"/>
          <w:szCs w:val="36"/>
          <w:rtl/>
        </w:rPr>
        <w:t>بين مفهومين اسميين</w:t>
      </w:r>
      <w:r w:rsidR="00603323" w:rsidRPr="00FD211F">
        <w:rPr>
          <w:sz w:val="36"/>
          <w:szCs w:val="36"/>
          <w:rtl/>
        </w:rPr>
        <w:t xml:space="preserve">، </w:t>
      </w:r>
      <w:r w:rsidRPr="00FD211F">
        <w:rPr>
          <w:sz w:val="36"/>
          <w:szCs w:val="36"/>
          <w:rtl/>
        </w:rPr>
        <w:t>وان اريد منه دلالته على ظرفي</w:t>
      </w:r>
      <w:r w:rsidR="00EC7EDF" w:rsidRPr="00FD211F">
        <w:rPr>
          <w:sz w:val="36"/>
          <w:szCs w:val="36"/>
          <w:rtl/>
        </w:rPr>
        <w:t xml:space="preserve">ة </w:t>
      </w:r>
      <w:r w:rsidRPr="00FD211F">
        <w:rPr>
          <w:sz w:val="36"/>
          <w:szCs w:val="36"/>
          <w:rtl/>
        </w:rPr>
        <w:t xml:space="preserve">مدخوله خارجا ففيه ان مثل </w:t>
      </w:r>
      <w:r w:rsidR="007F0277" w:rsidRPr="00FD211F">
        <w:rPr>
          <w:sz w:val="36"/>
          <w:szCs w:val="36"/>
          <w:rtl/>
        </w:rPr>
        <w:t>"</w:t>
      </w:r>
      <w:r w:rsidRPr="00FD211F">
        <w:rPr>
          <w:sz w:val="36"/>
          <w:szCs w:val="36"/>
          <w:rtl/>
        </w:rPr>
        <w:t>قولنا الجالس في الدار</w:t>
      </w:r>
      <w:r w:rsidR="007F0277" w:rsidRPr="00FD211F">
        <w:rPr>
          <w:sz w:val="36"/>
          <w:szCs w:val="36"/>
          <w:rtl/>
        </w:rPr>
        <w:t>"</w:t>
      </w:r>
      <w:r w:rsidRPr="00FD211F">
        <w:rPr>
          <w:sz w:val="36"/>
          <w:szCs w:val="36"/>
          <w:rtl/>
        </w:rPr>
        <w:t xml:space="preserve"> جمل</w:t>
      </w:r>
      <w:r w:rsidR="00EC7EDF" w:rsidRPr="00FD211F">
        <w:rPr>
          <w:sz w:val="36"/>
          <w:szCs w:val="36"/>
          <w:rtl/>
        </w:rPr>
        <w:t xml:space="preserve">ة </w:t>
      </w:r>
      <w:r w:rsidRPr="00FD211F">
        <w:rPr>
          <w:sz w:val="36"/>
          <w:szCs w:val="36"/>
          <w:rtl/>
        </w:rPr>
        <w:t>ناقص</w:t>
      </w:r>
      <w:r w:rsidR="00EC7EDF" w:rsidRPr="00FD211F">
        <w:rPr>
          <w:sz w:val="36"/>
          <w:szCs w:val="36"/>
          <w:rtl/>
        </w:rPr>
        <w:t xml:space="preserve">ة </w:t>
      </w:r>
      <w:r w:rsidRPr="00FD211F">
        <w:rPr>
          <w:sz w:val="36"/>
          <w:szCs w:val="36"/>
          <w:rtl/>
        </w:rPr>
        <w:t>لاتحكي عن وجود مدلولها في الخارج</w:t>
      </w:r>
      <w:r w:rsidR="00603323" w:rsidRPr="00FD211F">
        <w:rPr>
          <w:sz w:val="36"/>
          <w:szCs w:val="36"/>
          <w:rtl/>
        </w:rPr>
        <w:t xml:space="preserve">، </w:t>
      </w:r>
      <w:r w:rsidRPr="00FD211F">
        <w:rPr>
          <w:sz w:val="36"/>
          <w:szCs w:val="36"/>
          <w:rtl/>
        </w:rPr>
        <w:t xml:space="preserve">مضافا الى ان </w:t>
      </w:r>
      <w:r w:rsidR="006954A6" w:rsidRPr="00FD211F">
        <w:rPr>
          <w:sz w:val="36"/>
          <w:szCs w:val="36"/>
          <w:rtl/>
        </w:rPr>
        <w:t>مثل حرف العطف لايوجب ت</w:t>
      </w:r>
      <w:r w:rsidRPr="00FD211F">
        <w:rPr>
          <w:sz w:val="36"/>
          <w:szCs w:val="36"/>
          <w:rtl/>
        </w:rPr>
        <w:t>حقق واقع المعطوفي</w:t>
      </w:r>
      <w:r w:rsidR="00EC7EDF" w:rsidRPr="00FD211F">
        <w:rPr>
          <w:sz w:val="36"/>
          <w:szCs w:val="36"/>
          <w:rtl/>
        </w:rPr>
        <w:t xml:space="preserve">ة </w:t>
      </w:r>
      <w:r w:rsidRPr="00FD211F">
        <w:rPr>
          <w:sz w:val="36"/>
          <w:szCs w:val="36"/>
          <w:rtl/>
        </w:rPr>
        <w:t>الا بعد ثبوت نسب</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عطفي</w:t>
      </w:r>
      <w:r w:rsidR="00EC7EDF" w:rsidRPr="00FD211F">
        <w:rPr>
          <w:sz w:val="36"/>
          <w:szCs w:val="36"/>
          <w:rtl/>
        </w:rPr>
        <w:t xml:space="preserve">ة </w:t>
      </w:r>
      <w:r w:rsidRPr="00FD211F">
        <w:rPr>
          <w:sz w:val="36"/>
          <w:szCs w:val="36"/>
          <w:rtl/>
        </w:rPr>
        <w:t>بين الجملتين</w:t>
      </w:r>
      <w:r w:rsidR="00603323" w:rsidRPr="00FD211F">
        <w:rPr>
          <w:sz w:val="36"/>
          <w:szCs w:val="36"/>
          <w:rtl/>
        </w:rPr>
        <w:t xml:space="preserve">، </w:t>
      </w:r>
      <w:r w:rsidRPr="00FD211F">
        <w:rPr>
          <w:sz w:val="36"/>
          <w:szCs w:val="36"/>
          <w:rtl/>
        </w:rPr>
        <w:t>فحرف العطف يكون دالا على هذه النسب</w:t>
      </w:r>
      <w:r w:rsidR="00EC7EDF" w:rsidRPr="00FD211F">
        <w:rPr>
          <w:sz w:val="36"/>
          <w:szCs w:val="36"/>
          <w:rtl/>
        </w:rPr>
        <w:t>ة</w:t>
      </w:r>
      <w:r w:rsidR="00603323" w:rsidRPr="00FD211F">
        <w:rPr>
          <w:sz w:val="36"/>
          <w:szCs w:val="36"/>
          <w:rtl/>
        </w:rPr>
        <w:t xml:space="preserve">، </w:t>
      </w:r>
      <w:r w:rsidRPr="00FD211F">
        <w:rPr>
          <w:sz w:val="36"/>
          <w:szCs w:val="36"/>
          <w:rtl/>
        </w:rPr>
        <w:t>وبتبع ذلك يتحقق واقع المعطوفي</w:t>
      </w:r>
      <w:r w:rsidR="00EC7EDF" w:rsidRPr="00FD211F">
        <w:rPr>
          <w:sz w:val="36"/>
          <w:szCs w:val="36"/>
          <w:rtl/>
        </w:rPr>
        <w:t xml:space="preserve">ة </w:t>
      </w:r>
      <w:r w:rsidRPr="00FD211F">
        <w:rPr>
          <w:sz w:val="36"/>
          <w:szCs w:val="36"/>
          <w:rtl/>
        </w:rPr>
        <w:t>في الجمل</w:t>
      </w:r>
      <w:r w:rsidR="00EC7EDF" w:rsidRPr="00FD211F">
        <w:rPr>
          <w:sz w:val="36"/>
          <w:szCs w:val="36"/>
          <w:rtl/>
        </w:rPr>
        <w:t>ة</w:t>
      </w:r>
      <w:r w:rsidR="00A61BAE" w:rsidRPr="00FD211F">
        <w:rPr>
          <w:sz w:val="36"/>
          <w:szCs w:val="36"/>
          <w:rtl/>
        </w:rPr>
        <w:t>.</w:t>
      </w:r>
    </w:p>
    <w:p w14:paraId="66DF7FED" w14:textId="77777777" w:rsidR="007F5659" w:rsidRPr="00FD211F" w:rsidRDefault="007F5659" w:rsidP="009C58C8">
      <w:pPr>
        <w:pStyle w:val="3"/>
        <w:ind w:firstLine="227"/>
        <w:jc w:val="both"/>
        <w:rPr>
          <w:rtl/>
        </w:rPr>
      </w:pPr>
      <w:bookmarkStart w:id="189" w:name="درس085"/>
      <w:bookmarkStart w:id="190" w:name="_Toc192092871"/>
      <w:bookmarkStart w:id="191" w:name="_Toc223890345"/>
      <w:bookmarkEnd w:id="189"/>
      <w:r w:rsidRPr="00FD211F">
        <w:rPr>
          <w:rtl/>
        </w:rPr>
        <w:t>التفصيل بين الحروف الدال</w:t>
      </w:r>
      <w:r w:rsidR="00EC7EDF" w:rsidRPr="00FD211F">
        <w:rPr>
          <w:rtl/>
        </w:rPr>
        <w:t xml:space="preserve">ة </w:t>
      </w:r>
      <w:r w:rsidRPr="00FD211F">
        <w:rPr>
          <w:rtl/>
        </w:rPr>
        <w:t>على النسب الأولي</w:t>
      </w:r>
      <w:r w:rsidR="00EC7EDF" w:rsidRPr="00FD211F">
        <w:rPr>
          <w:rtl/>
        </w:rPr>
        <w:t xml:space="preserve">ة </w:t>
      </w:r>
      <w:r w:rsidRPr="00FD211F">
        <w:rPr>
          <w:rtl/>
        </w:rPr>
        <w:t>والثانوي</w:t>
      </w:r>
      <w:r w:rsidR="00EC7EDF" w:rsidRPr="00FD211F">
        <w:rPr>
          <w:rtl/>
        </w:rPr>
        <w:t>ة</w:t>
      </w:r>
      <w:bookmarkEnd w:id="191"/>
      <w:r w:rsidR="00EC7EDF" w:rsidRPr="00FD211F">
        <w:rPr>
          <w:rtl/>
        </w:rPr>
        <w:t xml:space="preserve"> </w:t>
      </w:r>
      <w:bookmarkEnd w:id="190"/>
    </w:p>
    <w:p w14:paraId="273B917F" w14:textId="77777777" w:rsidR="006954A6" w:rsidRPr="00FD211F" w:rsidRDefault="007F5659" w:rsidP="009C58C8">
      <w:pPr>
        <w:ind w:left="0" w:firstLine="227"/>
        <w:jc w:val="both"/>
        <w:rPr>
          <w:sz w:val="36"/>
          <w:szCs w:val="36"/>
          <w:rtl/>
        </w:rPr>
      </w:pPr>
      <w:r w:rsidRPr="00FD211F">
        <w:rPr>
          <w:b/>
          <w:bCs/>
          <w:sz w:val="36"/>
          <w:szCs w:val="36"/>
          <w:rtl/>
        </w:rPr>
        <w:t>القول السابع</w:t>
      </w:r>
      <w:r w:rsidRPr="00FD211F">
        <w:rPr>
          <w:sz w:val="36"/>
          <w:szCs w:val="36"/>
          <w:rtl/>
        </w:rPr>
        <w:t xml:space="preserve">: ما اختاره السيد الصدر </w:t>
      </w:r>
      <w:r w:rsidR="00AB1B12" w:rsidRPr="00FD211F">
        <w:rPr>
          <w:sz w:val="36"/>
          <w:szCs w:val="36"/>
          <w:rtl/>
        </w:rPr>
        <w:t>"</w:t>
      </w:r>
      <w:r w:rsidRPr="00FD211F">
        <w:rPr>
          <w:sz w:val="36"/>
          <w:szCs w:val="36"/>
          <w:rtl/>
        </w:rPr>
        <w:t>قده</w:t>
      </w:r>
      <w:r w:rsidR="00AB1B12" w:rsidRPr="00FD211F">
        <w:rPr>
          <w:sz w:val="36"/>
          <w:szCs w:val="36"/>
          <w:rtl/>
        </w:rPr>
        <w:t>"</w:t>
      </w:r>
      <w:r w:rsidRPr="00FD211F">
        <w:rPr>
          <w:sz w:val="36"/>
          <w:szCs w:val="36"/>
          <w:rtl/>
        </w:rPr>
        <w:t xml:space="preserve"> من التفصيل بين الحروف الدال</w:t>
      </w:r>
      <w:r w:rsidR="00EC7EDF" w:rsidRPr="00FD211F">
        <w:rPr>
          <w:sz w:val="36"/>
          <w:szCs w:val="36"/>
          <w:rtl/>
        </w:rPr>
        <w:t xml:space="preserve">ة </w:t>
      </w:r>
      <w:r w:rsidRPr="00FD211F">
        <w:rPr>
          <w:sz w:val="36"/>
          <w:szCs w:val="36"/>
          <w:rtl/>
        </w:rPr>
        <w:t>على النسب الأولي</w:t>
      </w:r>
      <w:r w:rsidR="00EC7EDF" w:rsidRPr="00FD211F">
        <w:rPr>
          <w:sz w:val="36"/>
          <w:szCs w:val="36"/>
          <w:rtl/>
        </w:rPr>
        <w:t xml:space="preserve">ة </w:t>
      </w:r>
      <w:r w:rsidRPr="00FD211F">
        <w:rPr>
          <w:sz w:val="36"/>
          <w:szCs w:val="36"/>
          <w:rtl/>
        </w:rPr>
        <w:t>والحروف الدال</w:t>
      </w:r>
      <w:r w:rsidR="00EC7EDF" w:rsidRPr="00FD211F">
        <w:rPr>
          <w:sz w:val="36"/>
          <w:szCs w:val="36"/>
          <w:rtl/>
        </w:rPr>
        <w:t xml:space="preserve">ة </w:t>
      </w:r>
      <w:r w:rsidRPr="00FD211F">
        <w:rPr>
          <w:sz w:val="36"/>
          <w:szCs w:val="36"/>
          <w:rtl/>
        </w:rPr>
        <w:t>على النسب الثانوي</w:t>
      </w:r>
      <w:r w:rsidR="00EC7EDF" w:rsidRPr="00FD211F">
        <w:rPr>
          <w:sz w:val="36"/>
          <w:szCs w:val="36"/>
          <w:rtl/>
        </w:rPr>
        <w:t>ة</w:t>
      </w:r>
      <w:r w:rsidR="00603323" w:rsidRPr="00FD211F">
        <w:rPr>
          <w:sz w:val="36"/>
          <w:szCs w:val="36"/>
          <w:rtl/>
        </w:rPr>
        <w:t xml:space="preserve">، </w:t>
      </w:r>
      <w:r w:rsidRPr="00FD211F">
        <w:rPr>
          <w:sz w:val="36"/>
          <w:szCs w:val="36"/>
          <w:rtl/>
        </w:rPr>
        <w:t>والمراد من النسب الاولي</w:t>
      </w:r>
      <w:r w:rsidR="00EC7EDF" w:rsidRPr="00FD211F">
        <w:rPr>
          <w:sz w:val="36"/>
          <w:szCs w:val="36"/>
          <w:rtl/>
        </w:rPr>
        <w:t xml:space="preserve">ة </w:t>
      </w:r>
      <w:r w:rsidRPr="00FD211F">
        <w:rPr>
          <w:sz w:val="36"/>
          <w:szCs w:val="36"/>
          <w:rtl/>
        </w:rPr>
        <w:t>هي النسب التي توجد في الخارج كالنسب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 xml:space="preserve">بين الجلوس والدار في قولنا </w:t>
      </w:r>
      <w:r w:rsidR="004B6276" w:rsidRPr="00FD211F">
        <w:rPr>
          <w:sz w:val="36"/>
          <w:szCs w:val="36"/>
          <w:rtl/>
        </w:rPr>
        <w:t>"</w:t>
      </w:r>
      <w:r w:rsidRPr="00FD211F">
        <w:rPr>
          <w:sz w:val="36"/>
          <w:szCs w:val="36"/>
          <w:rtl/>
        </w:rPr>
        <w:t>الجلوس في الدار</w:t>
      </w:r>
      <w:r w:rsidR="004B6276" w:rsidRPr="00FD211F">
        <w:rPr>
          <w:sz w:val="36"/>
          <w:szCs w:val="36"/>
          <w:rtl/>
        </w:rPr>
        <w:t>"</w:t>
      </w:r>
      <w:r w:rsidR="00603323" w:rsidRPr="00FD211F">
        <w:rPr>
          <w:sz w:val="36"/>
          <w:szCs w:val="36"/>
          <w:rtl/>
        </w:rPr>
        <w:t xml:space="preserve">، </w:t>
      </w:r>
      <w:r w:rsidR="006954A6" w:rsidRPr="00FD211F">
        <w:rPr>
          <w:sz w:val="36"/>
          <w:szCs w:val="36"/>
          <w:rtl/>
        </w:rPr>
        <w:t>كم</w:t>
      </w:r>
      <w:r w:rsidRPr="00FD211F">
        <w:rPr>
          <w:sz w:val="36"/>
          <w:szCs w:val="36"/>
          <w:rtl/>
        </w:rPr>
        <w:t>ا</w:t>
      </w:r>
      <w:r w:rsidR="006954A6" w:rsidRPr="00FD211F">
        <w:rPr>
          <w:sz w:val="36"/>
          <w:szCs w:val="36"/>
          <w:rtl/>
        </w:rPr>
        <w:t xml:space="preserve"> أن ا</w:t>
      </w:r>
      <w:r w:rsidRPr="00FD211F">
        <w:rPr>
          <w:sz w:val="36"/>
          <w:szCs w:val="36"/>
          <w:rtl/>
        </w:rPr>
        <w:t>لمراد من النسب</w:t>
      </w:r>
      <w:r w:rsidR="00EC7EDF" w:rsidRPr="00FD211F">
        <w:rPr>
          <w:sz w:val="36"/>
          <w:szCs w:val="36"/>
          <w:rtl/>
        </w:rPr>
        <w:t xml:space="preserve">ة </w:t>
      </w:r>
      <w:r w:rsidRPr="00FD211F">
        <w:rPr>
          <w:sz w:val="36"/>
          <w:szCs w:val="36"/>
          <w:rtl/>
        </w:rPr>
        <w:t>الثانوي</w:t>
      </w:r>
      <w:r w:rsidR="00EC7EDF" w:rsidRPr="00FD211F">
        <w:rPr>
          <w:sz w:val="36"/>
          <w:szCs w:val="36"/>
          <w:rtl/>
        </w:rPr>
        <w:t xml:space="preserve">ة </w:t>
      </w:r>
      <w:r w:rsidRPr="00FD211F">
        <w:rPr>
          <w:sz w:val="36"/>
          <w:szCs w:val="36"/>
          <w:rtl/>
        </w:rPr>
        <w:t>ما يكون موطنها هو الذهن دون الخارج كالنسب</w:t>
      </w:r>
      <w:r w:rsidR="00EC7EDF" w:rsidRPr="00FD211F">
        <w:rPr>
          <w:sz w:val="36"/>
          <w:szCs w:val="36"/>
          <w:rtl/>
        </w:rPr>
        <w:t xml:space="preserve">ة </w:t>
      </w:r>
      <w:r w:rsidRPr="00FD211F">
        <w:rPr>
          <w:sz w:val="36"/>
          <w:szCs w:val="36"/>
          <w:rtl/>
        </w:rPr>
        <w:t>الإضرابي</w:t>
      </w:r>
      <w:r w:rsidR="00EC7EDF" w:rsidRPr="00FD211F">
        <w:rPr>
          <w:sz w:val="36"/>
          <w:szCs w:val="36"/>
          <w:rtl/>
        </w:rPr>
        <w:t xml:space="preserve">ة </w:t>
      </w:r>
      <w:r w:rsidRPr="00FD211F">
        <w:rPr>
          <w:sz w:val="36"/>
          <w:szCs w:val="36"/>
          <w:rtl/>
        </w:rPr>
        <w:t>والعطفي</w:t>
      </w:r>
      <w:r w:rsidR="00EC7EDF" w:rsidRPr="00FD211F">
        <w:rPr>
          <w:sz w:val="36"/>
          <w:szCs w:val="36"/>
          <w:rtl/>
        </w:rPr>
        <w:t xml:space="preserve">ة </w:t>
      </w:r>
      <w:r w:rsidRPr="00FD211F">
        <w:rPr>
          <w:sz w:val="36"/>
          <w:szCs w:val="36"/>
          <w:rtl/>
        </w:rPr>
        <w:t>والاس</w:t>
      </w:r>
      <w:r w:rsidR="006954A6" w:rsidRPr="00FD211F">
        <w:rPr>
          <w:sz w:val="36"/>
          <w:szCs w:val="36"/>
          <w:rtl/>
        </w:rPr>
        <w:t>تثنائي</w:t>
      </w:r>
      <w:r w:rsidR="00EC7EDF" w:rsidRPr="00FD211F">
        <w:rPr>
          <w:sz w:val="36"/>
          <w:szCs w:val="36"/>
          <w:rtl/>
        </w:rPr>
        <w:t xml:space="preserve">ة </w:t>
      </w:r>
      <w:r w:rsidR="006954A6" w:rsidRPr="00FD211F">
        <w:rPr>
          <w:sz w:val="36"/>
          <w:szCs w:val="36"/>
          <w:rtl/>
        </w:rPr>
        <w:t>والتأكيدي</w:t>
      </w:r>
      <w:r w:rsidR="00EC7EDF" w:rsidRPr="00FD211F">
        <w:rPr>
          <w:sz w:val="36"/>
          <w:szCs w:val="36"/>
          <w:rtl/>
        </w:rPr>
        <w:t xml:space="preserve">ة </w:t>
      </w:r>
      <w:r w:rsidR="006954A6" w:rsidRPr="00FD211F">
        <w:rPr>
          <w:sz w:val="36"/>
          <w:szCs w:val="36"/>
          <w:rtl/>
        </w:rPr>
        <w:t>وما شابه ذلك.</w:t>
      </w:r>
    </w:p>
    <w:p w14:paraId="33498C48" w14:textId="77777777" w:rsidR="007F5659" w:rsidRPr="00FD211F" w:rsidRDefault="007F5659" w:rsidP="00251CB6">
      <w:pPr>
        <w:ind w:left="0" w:firstLine="227"/>
        <w:jc w:val="both"/>
        <w:rPr>
          <w:sz w:val="36"/>
          <w:szCs w:val="36"/>
          <w:rtl/>
        </w:rPr>
      </w:pPr>
      <w:r w:rsidRPr="00FD211F">
        <w:rPr>
          <w:sz w:val="36"/>
          <w:szCs w:val="36"/>
          <w:rtl/>
        </w:rPr>
        <w:t>ففي الحروف الدال</w:t>
      </w:r>
      <w:r w:rsidR="00EC7EDF" w:rsidRPr="00FD211F">
        <w:rPr>
          <w:sz w:val="36"/>
          <w:szCs w:val="36"/>
          <w:rtl/>
        </w:rPr>
        <w:t xml:space="preserve">ة </w:t>
      </w:r>
      <w:r w:rsidRPr="00FD211F">
        <w:rPr>
          <w:sz w:val="36"/>
          <w:szCs w:val="36"/>
          <w:rtl/>
        </w:rPr>
        <w:t>عل النسب الأولي</w:t>
      </w:r>
      <w:r w:rsidR="00EC7EDF" w:rsidRPr="00FD211F">
        <w:rPr>
          <w:sz w:val="36"/>
          <w:szCs w:val="36"/>
          <w:rtl/>
        </w:rPr>
        <w:t xml:space="preserve">ة </w:t>
      </w:r>
      <w:r w:rsidRPr="00FD211F">
        <w:rPr>
          <w:sz w:val="36"/>
          <w:szCs w:val="36"/>
          <w:rtl/>
        </w:rPr>
        <w:t>لايمكن الالتزام بوضعها لواقع النسب</w:t>
      </w:r>
      <w:r w:rsidR="00EC7EDF" w:rsidRPr="00FD211F">
        <w:rPr>
          <w:sz w:val="36"/>
          <w:szCs w:val="36"/>
          <w:rtl/>
        </w:rPr>
        <w:t xml:space="preserve">ة </w:t>
      </w:r>
      <w:r w:rsidRPr="00FD211F">
        <w:rPr>
          <w:sz w:val="36"/>
          <w:szCs w:val="36"/>
          <w:rtl/>
        </w:rPr>
        <w:t>وانما تكون 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عليها موضوع</w:t>
      </w:r>
      <w:r w:rsidR="00EC7EDF" w:rsidRPr="00FD211F">
        <w:rPr>
          <w:sz w:val="36"/>
          <w:szCs w:val="36"/>
          <w:rtl/>
        </w:rPr>
        <w:t xml:space="preserve">ة </w:t>
      </w:r>
      <w:r w:rsidRPr="00FD211F">
        <w:rPr>
          <w:sz w:val="36"/>
          <w:szCs w:val="36"/>
          <w:rtl/>
        </w:rPr>
        <w:t>بالوضع النوعي على مفهوم يكون بسيطا تصورا</w:t>
      </w:r>
      <w:r w:rsidR="00603323" w:rsidRPr="00FD211F">
        <w:rPr>
          <w:sz w:val="36"/>
          <w:szCs w:val="36"/>
          <w:rtl/>
        </w:rPr>
        <w:t xml:space="preserve">، </w:t>
      </w:r>
      <w:r w:rsidRPr="00FD211F">
        <w:rPr>
          <w:sz w:val="36"/>
          <w:szCs w:val="36"/>
          <w:rtl/>
        </w:rPr>
        <w:t>فالموجود في الذهن في قولنا</w:t>
      </w:r>
      <w:r w:rsidR="00251CB6" w:rsidRPr="00FD211F">
        <w:rPr>
          <w:sz w:val="36"/>
          <w:szCs w:val="36"/>
          <w:rtl/>
        </w:rPr>
        <w:t xml:space="preserve"> </w:t>
      </w:r>
      <w:r w:rsidR="0013577D" w:rsidRPr="00FD211F">
        <w:rPr>
          <w:sz w:val="36"/>
          <w:szCs w:val="36"/>
          <w:rtl/>
        </w:rPr>
        <w:t>"</w:t>
      </w:r>
      <w:r w:rsidRPr="00FD211F">
        <w:rPr>
          <w:sz w:val="36"/>
          <w:szCs w:val="36"/>
          <w:rtl/>
        </w:rPr>
        <w:t>الجلوس في الدار</w:t>
      </w:r>
      <w:r w:rsidR="0013577D" w:rsidRPr="00FD211F">
        <w:rPr>
          <w:sz w:val="36"/>
          <w:szCs w:val="36"/>
          <w:rtl/>
        </w:rPr>
        <w:t>"</w:t>
      </w:r>
      <w:r w:rsidRPr="00FD211F">
        <w:rPr>
          <w:sz w:val="36"/>
          <w:szCs w:val="36"/>
          <w:rtl/>
        </w:rPr>
        <w:t xml:space="preserve"> هو مفهوم افرادي يكون حص</w:t>
      </w:r>
      <w:r w:rsidR="00EC7EDF" w:rsidRPr="00FD211F">
        <w:rPr>
          <w:sz w:val="36"/>
          <w:szCs w:val="36"/>
          <w:rtl/>
        </w:rPr>
        <w:t xml:space="preserve">ة </w:t>
      </w:r>
      <w:r w:rsidRPr="00FD211F">
        <w:rPr>
          <w:sz w:val="36"/>
          <w:szCs w:val="36"/>
          <w:rtl/>
        </w:rPr>
        <w:t>من طبيعي الجلوس</w:t>
      </w:r>
      <w:r w:rsidR="00603323" w:rsidRPr="00FD211F">
        <w:rPr>
          <w:sz w:val="36"/>
          <w:szCs w:val="36"/>
          <w:rtl/>
        </w:rPr>
        <w:t xml:space="preserve">، </w:t>
      </w:r>
      <w:r w:rsidRPr="00FD211F">
        <w:rPr>
          <w:sz w:val="36"/>
          <w:szCs w:val="36"/>
          <w:rtl/>
        </w:rPr>
        <w:t>وان كان ينحل بالتعمل والتحليل العقلي الى ثلاث</w:t>
      </w:r>
      <w:r w:rsidR="00EC7EDF" w:rsidRPr="00FD211F">
        <w:rPr>
          <w:sz w:val="36"/>
          <w:szCs w:val="36"/>
          <w:rtl/>
        </w:rPr>
        <w:t xml:space="preserve">ة </w:t>
      </w:r>
      <w:r w:rsidRPr="00FD211F">
        <w:rPr>
          <w:sz w:val="36"/>
          <w:szCs w:val="36"/>
          <w:rtl/>
        </w:rPr>
        <w:t>اجزاء: مفهوم الجلوس ومفهوم الدار ونسب</w:t>
      </w:r>
      <w:r w:rsidR="00EC7EDF" w:rsidRPr="00FD211F">
        <w:rPr>
          <w:sz w:val="36"/>
          <w:szCs w:val="36"/>
          <w:rtl/>
        </w:rPr>
        <w:t xml:space="preserve">ة </w:t>
      </w:r>
      <w:r w:rsidRPr="00FD211F">
        <w:rPr>
          <w:sz w:val="36"/>
          <w:szCs w:val="36"/>
          <w:rtl/>
        </w:rPr>
        <w:t>ظرفي</w:t>
      </w:r>
      <w:r w:rsidR="00EC7EDF" w:rsidRPr="00FD211F">
        <w:rPr>
          <w:sz w:val="36"/>
          <w:szCs w:val="36"/>
          <w:rtl/>
        </w:rPr>
        <w:t xml:space="preserve">ة </w:t>
      </w:r>
      <w:r w:rsidRPr="00FD211F">
        <w:rPr>
          <w:sz w:val="36"/>
          <w:szCs w:val="36"/>
          <w:rtl/>
        </w:rPr>
        <w:t>بينهما</w:t>
      </w:r>
      <w:r w:rsidR="00603323" w:rsidRPr="00FD211F">
        <w:rPr>
          <w:sz w:val="36"/>
          <w:szCs w:val="36"/>
          <w:rtl/>
        </w:rPr>
        <w:t xml:space="preserve">، </w:t>
      </w:r>
      <w:r w:rsidRPr="00FD211F">
        <w:rPr>
          <w:sz w:val="36"/>
          <w:szCs w:val="36"/>
          <w:rtl/>
        </w:rPr>
        <w:t>وهذه النسب</w:t>
      </w:r>
      <w:r w:rsidR="00EC7EDF" w:rsidRPr="00FD211F">
        <w:rPr>
          <w:sz w:val="36"/>
          <w:szCs w:val="36"/>
          <w:rtl/>
        </w:rPr>
        <w:t xml:space="preserve">ة </w:t>
      </w:r>
      <w:r w:rsidRPr="00FD211F">
        <w:rPr>
          <w:sz w:val="36"/>
          <w:szCs w:val="36"/>
          <w:rtl/>
        </w:rPr>
        <w:t>نسب</w:t>
      </w:r>
      <w:r w:rsidR="00EC7EDF" w:rsidRPr="00FD211F">
        <w:rPr>
          <w:sz w:val="36"/>
          <w:szCs w:val="36"/>
          <w:rtl/>
        </w:rPr>
        <w:t xml:space="preserve">ة </w:t>
      </w:r>
      <w:r w:rsidRPr="00FD211F">
        <w:rPr>
          <w:sz w:val="36"/>
          <w:szCs w:val="36"/>
          <w:rtl/>
        </w:rPr>
        <w:t>تحليلي</w:t>
      </w:r>
      <w:r w:rsidR="00EC7EDF" w:rsidRPr="00FD211F">
        <w:rPr>
          <w:sz w:val="36"/>
          <w:szCs w:val="36"/>
          <w:rtl/>
        </w:rPr>
        <w:t xml:space="preserve">ة </w:t>
      </w:r>
      <w:r w:rsidRPr="00FD211F">
        <w:rPr>
          <w:sz w:val="36"/>
          <w:szCs w:val="36"/>
          <w:rtl/>
        </w:rPr>
        <w:t>لانسب</w:t>
      </w:r>
      <w:r w:rsidR="00EC7EDF" w:rsidRPr="00FD211F">
        <w:rPr>
          <w:sz w:val="36"/>
          <w:szCs w:val="36"/>
          <w:rtl/>
        </w:rPr>
        <w:t xml:space="preserve">ة </w:t>
      </w:r>
      <w:r w:rsidRPr="00FD211F">
        <w:rPr>
          <w:sz w:val="36"/>
          <w:szCs w:val="36"/>
          <w:rtl/>
        </w:rPr>
        <w:t>حقيقي</w:t>
      </w:r>
      <w:r w:rsidR="00EC7EDF" w:rsidRPr="00FD211F">
        <w:rPr>
          <w:sz w:val="36"/>
          <w:szCs w:val="36"/>
          <w:rtl/>
        </w:rPr>
        <w:t xml:space="preserve">ة </w:t>
      </w:r>
      <w:r w:rsidRPr="00FD211F">
        <w:rPr>
          <w:sz w:val="36"/>
          <w:szCs w:val="36"/>
          <w:rtl/>
        </w:rPr>
        <w:t>بين مفهومين موجودين في الذهن</w:t>
      </w:r>
      <w:r w:rsidR="00603323" w:rsidRPr="00FD211F">
        <w:rPr>
          <w:sz w:val="36"/>
          <w:szCs w:val="36"/>
          <w:rtl/>
        </w:rPr>
        <w:t xml:space="preserve">، </w:t>
      </w:r>
      <w:r w:rsidRPr="00FD211F">
        <w:rPr>
          <w:sz w:val="36"/>
          <w:szCs w:val="36"/>
          <w:rtl/>
        </w:rPr>
        <w:t>وقد يوضع لفظ مفرد بإزاء هذه الحص</w:t>
      </w:r>
      <w:r w:rsidR="00EC7EDF" w:rsidRPr="00FD211F">
        <w:rPr>
          <w:sz w:val="36"/>
          <w:szCs w:val="36"/>
          <w:rtl/>
        </w:rPr>
        <w:t xml:space="preserve">ة </w:t>
      </w:r>
      <w:r w:rsidRPr="00FD211F">
        <w:rPr>
          <w:sz w:val="36"/>
          <w:szCs w:val="36"/>
          <w:rtl/>
        </w:rPr>
        <w:t>كما يقال بدل النار في الزجاج "الفانوس"</w:t>
      </w:r>
      <w:r w:rsidR="00603323" w:rsidRPr="00FD211F">
        <w:rPr>
          <w:sz w:val="36"/>
          <w:szCs w:val="36"/>
          <w:rtl/>
        </w:rPr>
        <w:t xml:space="preserve">، </w:t>
      </w:r>
      <w:r w:rsidRPr="00FD211F">
        <w:rPr>
          <w:sz w:val="36"/>
          <w:szCs w:val="36"/>
          <w:rtl/>
        </w:rPr>
        <w:t>ولو كان كل من مفهوم الجلوس والدار موجودين في الذهن فيحتاج الى نسب</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تربط بينهما</w:t>
      </w:r>
      <w:r w:rsidR="00603323" w:rsidRPr="00FD211F">
        <w:rPr>
          <w:sz w:val="36"/>
          <w:szCs w:val="36"/>
          <w:rtl/>
        </w:rPr>
        <w:t xml:space="preserve">، </w:t>
      </w:r>
      <w:r w:rsidRPr="00FD211F">
        <w:rPr>
          <w:sz w:val="36"/>
          <w:szCs w:val="36"/>
          <w:rtl/>
        </w:rPr>
        <w:t>وحيث لايمكن ان تكون هذه النسب</w:t>
      </w:r>
      <w:r w:rsidR="00EC7EDF" w:rsidRPr="00FD211F">
        <w:rPr>
          <w:sz w:val="36"/>
          <w:szCs w:val="36"/>
          <w:rtl/>
        </w:rPr>
        <w:t xml:space="preserve">ة </w:t>
      </w:r>
      <w:r w:rsidRPr="00FD211F">
        <w:rPr>
          <w:sz w:val="36"/>
          <w:szCs w:val="36"/>
          <w:rtl/>
        </w:rPr>
        <w:t>نسب</w:t>
      </w:r>
      <w:r w:rsidR="00EC7EDF" w:rsidRPr="00FD211F">
        <w:rPr>
          <w:sz w:val="36"/>
          <w:szCs w:val="36"/>
          <w:rtl/>
        </w:rPr>
        <w:t xml:space="preserve">ة </w:t>
      </w:r>
      <w:r w:rsidRPr="00FD211F">
        <w:rPr>
          <w:sz w:val="36"/>
          <w:szCs w:val="36"/>
          <w:rtl/>
        </w:rPr>
        <w:t>ظرفي</w:t>
      </w:r>
      <w:r w:rsidR="00EC7EDF" w:rsidRPr="00FD211F">
        <w:rPr>
          <w:sz w:val="36"/>
          <w:szCs w:val="36"/>
          <w:rtl/>
        </w:rPr>
        <w:t xml:space="preserve">ة </w:t>
      </w:r>
      <w:r w:rsidRPr="00FD211F">
        <w:rPr>
          <w:sz w:val="36"/>
          <w:szCs w:val="36"/>
          <w:rtl/>
        </w:rPr>
        <w:t>بين مفهوم الجلوس ومفهوم الدار</w:t>
      </w:r>
      <w:r w:rsidR="00603323" w:rsidRPr="00FD211F">
        <w:rPr>
          <w:sz w:val="36"/>
          <w:szCs w:val="36"/>
          <w:rtl/>
        </w:rPr>
        <w:t xml:space="preserve">، </w:t>
      </w:r>
      <w:r w:rsidRPr="00FD211F">
        <w:rPr>
          <w:sz w:val="36"/>
          <w:szCs w:val="36"/>
          <w:rtl/>
        </w:rPr>
        <w:t>فان موطن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هو الخارج لاالذهن</w:t>
      </w:r>
      <w:r w:rsidR="00603323" w:rsidRPr="00FD211F">
        <w:rPr>
          <w:sz w:val="36"/>
          <w:szCs w:val="36"/>
          <w:rtl/>
        </w:rPr>
        <w:t xml:space="preserve">، </w:t>
      </w:r>
      <w:r w:rsidRPr="00FD211F">
        <w:rPr>
          <w:sz w:val="36"/>
          <w:szCs w:val="36"/>
          <w:rtl/>
        </w:rPr>
        <w:t>وليس مفهوم الجلوس داخلا في مفهوم الدار</w:t>
      </w:r>
      <w:r w:rsidR="00603323" w:rsidRPr="00FD211F">
        <w:rPr>
          <w:sz w:val="36"/>
          <w:szCs w:val="36"/>
          <w:rtl/>
        </w:rPr>
        <w:t xml:space="preserve">، </w:t>
      </w:r>
      <w:r w:rsidRPr="00FD211F">
        <w:rPr>
          <w:sz w:val="36"/>
          <w:szCs w:val="36"/>
          <w:rtl/>
        </w:rPr>
        <w:t>كما ان مفهوم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مفهوم اسمي لايمكن ان يربط بين مفهوم الجلوس والدار في الذهن</w:t>
      </w:r>
      <w:r w:rsidR="00603323" w:rsidRPr="00FD211F">
        <w:rPr>
          <w:sz w:val="36"/>
          <w:szCs w:val="36"/>
          <w:rtl/>
        </w:rPr>
        <w:t xml:space="preserve">، </w:t>
      </w:r>
      <w:r w:rsidRPr="00FD211F">
        <w:rPr>
          <w:sz w:val="36"/>
          <w:szCs w:val="36"/>
          <w:rtl/>
        </w:rPr>
        <w:t>فلابد ان تكون النسب</w:t>
      </w:r>
      <w:r w:rsidR="00EC7EDF" w:rsidRPr="00FD211F">
        <w:rPr>
          <w:sz w:val="36"/>
          <w:szCs w:val="36"/>
          <w:rtl/>
        </w:rPr>
        <w:t xml:space="preserve">ة </w:t>
      </w:r>
      <w:r w:rsidRPr="00FD211F">
        <w:rPr>
          <w:sz w:val="36"/>
          <w:szCs w:val="36"/>
          <w:rtl/>
        </w:rPr>
        <w:t>التي تربط بين مفهوم الجلوس والدار نسب</w:t>
      </w:r>
      <w:r w:rsidR="00EC7EDF" w:rsidRPr="00FD211F">
        <w:rPr>
          <w:sz w:val="36"/>
          <w:szCs w:val="36"/>
          <w:rtl/>
        </w:rPr>
        <w:t xml:space="preserve">ة </w:t>
      </w:r>
      <w:r w:rsidRPr="00FD211F">
        <w:rPr>
          <w:sz w:val="36"/>
          <w:szCs w:val="36"/>
          <w:rtl/>
        </w:rPr>
        <w:t>أخرى غير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كنسب</w:t>
      </w:r>
      <w:r w:rsidR="00EC7EDF" w:rsidRPr="00FD211F">
        <w:rPr>
          <w:sz w:val="36"/>
          <w:szCs w:val="36"/>
          <w:rtl/>
        </w:rPr>
        <w:t xml:space="preserve">ة </w:t>
      </w:r>
      <w:r w:rsidRPr="00FD211F">
        <w:rPr>
          <w:sz w:val="36"/>
          <w:szCs w:val="36"/>
          <w:rtl/>
        </w:rPr>
        <w:t>المقارن</w:t>
      </w:r>
      <w:r w:rsidR="00EC7EDF" w:rsidRPr="00FD211F">
        <w:rPr>
          <w:sz w:val="36"/>
          <w:szCs w:val="36"/>
          <w:rtl/>
        </w:rPr>
        <w:t xml:space="preserve">ة </w:t>
      </w:r>
      <w:r w:rsidRPr="00FD211F">
        <w:rPr>
          <w:sz w:val="36"/>
          <w:szCs w:val="36"/>
          <w:rtl/>
        </w:rPr>
        <w:t>بين مفهوم الجلوس والدار</w:t>
      </w:r>
      <w:r w:rsidR="00603323" w:rsidRPr="00FD211F">
        <w:rPr>
          <w:sz w:val="36"/>
          <w:szCs w:val="36"/>
          <w:rtl/>
        </w:rPr>
        <w:t xml:space="preserve">، </w:t>
      </w:r>
      <w:r w:rsidRPr="00FD211F">
        <w:rPr>
          <w:sz w:val="36"/>
          <w:szCs w:val="36"/>
          <w:rtl/>
        </w:rPr>
        <w:t>والنسب</w:t>
      </w:r>
      <w:r w:rsidR="00EC7EDF" w:rsidRPr="00FD211F">
        <w:rPr>
          <w:sz w:val="36"/>
          <w:szCs w:val="36"/>
          <w:rtl/>
        </w:rPr>
        <w:t xml:space="preserve">ة </w:t>
      </w:r>
      <w:r w:rsidRPr="00FD211F">
        <w:rPr>
          <w:sz w:val="36"/>
          <w:szCs w:val="36"/>
          <w:rtl/>
        </w:rPr>
        <w:t>غير الظرفي</w:t>
      </w:r>
      <w:r w:rsidR="00EC7EDF" w:rsidRPr="00FD211F">
        <w:rPr>
          <w:sz w:val="36"/>
          <w:szCs w:val="36"/>
          <w:rtl/>
        </w:rPr>
        <w:t xml:space="preserve">ة </w:t>
      </w:r>
      <w:r w:rsidRPr="00FD211F">
        <w:rPr>
          <w:sz w:val="36"/>
          <w:szCs w:val="36"/>
          <w:rtl/>
        </w:rPr>
        <w:t>لايمكن ان تحكي عن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الخارجي</w:t>
      </w:r>
      <w:r w:rsidR="00EC7EDF" w:rsidRPr="00FD211F">
        <w:rPr>
          <w:sz w:val="36"/>
          <w:szCs w:val="36"/>
          <w:rtl/>
        </w:rPr>
        <w:t>ة</w:t>
      </w:r>
      <w:r w:rsidR="00A61BAE" w:rsidRPr="00FD211F">
        <w:rPr>
          <w:sz w:val="36"/>
          <w:szCs w:val="36"/>
          <w:rtl/>
        </w:rPr>
        <w:t>.</w:t>
      </w:r>
    </w:p>
    <w:p w14:paraId="27976326" w14:textId="77777777" w:rsidR="007F5659" w:rsidRPr="00FD211F" w:rsidRDefault="007F5659" w:rsidP="009C58C8">
      <w:pPr>
        <w:ind w:left="0" w:firstLine="227"/>
        <w:jc w:val="both"/>
        <w:rPr>
          <w:sz w:val="36"/>
          <w:szCs w:val="36"/>
          <w:rtl/>
        </w:rPr>
      </w:pPr>
      <w:r w:rsidRPr="00FD211F">
        <w:rPr>
          <w:sz w:val="36"/>
          <w:szCs w:val="36"/>
          <w:rtl/>
        </w:rPr>
        <w:t>نعم لامانع من ان يقال بان حرف في مثلا تدل على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لكنه ليس لها وجود ذهني الا بالتحليل والتعمل العقلي</w:t>
      </w:r>
      <w:r w:rsidR="00603323" w:rsidRPr="00FD211F">
        <w:rPr>
          <w:sz w:val="36"/>
          <w:szCs w:val="36"/>
          <w:rtl/>
        </w:rPr>
        <w:t xml:space="preserve">، </w:t>
      </w:r>
      <w:r w:rsidRPr="00FD211F">
        <w:rPr>
          <w:sz w:val="36"/>
          <w:szCs w:val="36"/>
          <w:rtl/>
        </w:rPr>
        <w:t>والموجود ذهنا مفهوم بسيط تصوري نظير مفهوم الانسان الذي هو بسيط تصورا وانما ينحل بالتعمل العقلي الى جنس وفصل</w:t>
      </w:r>
      <w:r w:rsidR="00603323" w:rsidRPr="00FD211F">
        <w:rPr>
          <w:sz w:val="36"/>
          <w:szCs w:val="36"/>
          <w:rtl/>
        </w:rPr>
        <w:t xml:space="preserve">، </w:t>
      </w:r>
      <w:r w:rsidRPr="00FD211F">
        <w:rPr>
          <w:sz w:val="36"/>
          <w:szCs w:val="36"/>
          <w:rtl/>
        </w:rPr>
        <w:t>ولأجل ذلك لاتكون 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الحروف الدال</w:t>
      </w:r>
      <w:r w:rsidR="00EC7EDF" w:rsidRPr="00FD211F">
        <w:rPr>
          <w:sz w:val="36"/>
          <w:szCs w:val="36"/>
          <w:rtl/>
        </w:rPr>
        <w:t xml:space="preserve">ة </w:t>
      </w:r>
      <w:r w:rsidRPr="00FD211F">
        <w:rPr>
          <w:sz w:val="36"/>
          <w:szCs w:val="36"/>
          <w:rtl/>
        </w:rPr>
        <w:t>على النسب الأولي</w:t>
      </w:r>
      <w:r w:rsidR="00EC7EDF" w:rsidRPr="00FD211F">
        <w:rPr>
          <w:sz w:val="36"/>
          <w:szCs w:val="36"/>
          <w:rtl/>
        </w:rPr>
        <w:t xml:space="preserve">ة </w:t>
      </w:r>
      <w:r w:rsidRPr="00FD211F">
        <w:rPr>
          <w:sz w:val="36"/>
          <w:szCs w:val="36"/>
          <w:rtl/>
        </w:rPr>
        <w:t>الا</w:t>
      </w:r>
      <w:r w:rsidR="007C0B13" w:rsidRPr="00FD211F">
        <w:rPr>
          <w:sz w:val="36"/>
          <w:szCs w:val="36"/>
          <w:rtl/>
        </w:rPr>
        <w:t xml:space="preserve"> جمل</w:t>
      </w:r>
      <w:r w:rsidR="00EC7EDF" w:rsidRPr="00FD211F">
        <w:rPr>
          <w:sz w:val="36"/>
          <w:szCs w:val="36"/>
          <w:rtl/>
        </w:rPr>
        <w:t xml:space="preserve">ة </w:t>
      </w:r>
      <w:r w:rsidR="007C0B13" w:rsidRPr="00FD211F">
        <w:rPr>
          <w:sz w:val="36"/>
          <w:szCs w:val="36"/>
          <w:rtl/>
        </w:rPr>
        <w:t>ناقص</w:t>
      </w:r>
      <w:r w:rsidR="00EC7EDF" w:rsidRPr="00FD211F">
        <w:rPr>
          <w:sz w:val="36"/>
          <w:szCs w:val="36"/>
          <w:rtl/>
        </w:rPr>
        <w:t xml:space="preserve">ة </w:t>
      </w:r>
      <w:r w:rsidR="007C0B13" w:rsidRPr="00FD211F">
        <w:rPr>
          <w:sz w:val="36"/>
          <w:szCs w:val="36"/>
          <w:rtl/>
        </w:rPr>
        <w:t>لدلالتها على مفهوم مفرد</w:t>
      </w:r>
      <w:r w:rsidRPr="00FD211F">
        <w:rPr>
          <w:sz w:val="36"/>
          <w:szCs w:val="36"/>
          <w:rtl/>
        </w:rPr>
        <w:t xml:space="preserve"> بسيط.</w:t>
      </w:r>
    </w:p>
    <w:p w14:paraId="75C37D19" w14:textId="77777777" w:rsidR="007F5659" w:rsidRPr="00FD211F" w:rsidRDefault="007F5659" w:rsidP="009C58C8">
      <w:pPr>
        <w:ind w:left="0" w:firstLine="227"/>
        <w:jc w:val="both"/>
        <w:rPr>
          <w:sz w:val="36"/>
          <w:szCs w:val="36"/>
          <w:rtl/>
        </w:rPr>
      </w:pPr>
      <w:r w:rsidRPr="00FD211F">
        <w:rPr>
          <w:sz w:val="36"/>
          <w:szCs w:val="36"/>
          <w:rtl/>
        </w:rPr>
        <w:t>واما قولنا</w:t>
      </w:r>
      <w:r w:rsidR="007C0B13" w:rsidRPr="00FD211F">
        <w:rPr>
          <w:sz w:val="36"/>
          <w:szCs w:val="36"/>
          <w:rtl/>
        </w:rPr>
        <w:t>"</w:t>
      </w:r>
      <w:r w:rsidRPr="00FD211F">
        <w:rPr>
          <w:sz w:val="36"/>
          <w:szCs w:val="36"/>
          <w:rtl/>
        </w:rPr>
        <w:t xml:space="preserve"> زيد في الدار</w:t>
      </w:r>
      <w:r w:rsidR="007C0B13" w:rsidRPr="00FD211F">
        <w:rPr>
          <w:sz w:val="36"/>
          <w:szCs w:val="36"/>
          <w:rtl/>
        </w:rPr>
        <w:t>"</w:t>
      </w:r>
      <w:r w:rsidRPr="00FD211F">
        <w:rPr>
          <w:sz w:val="36"/>
          <w:szCs w:val="36"/>
          <w:rtl/>
        </w:rPr>
        <w:t xml:space="preserve"> فهو وان كان جمل</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لكنه لأجل ان الجارّ والمجرور متعلق بكائن المقدر كما ذكره علماء الأدب فهو في قو</w:t>
      </w:r>
      <w:r w:rsidR="00EC7EDF" w:rsidRPr="00FD211F">
        <w:rPr>
          <w:sz w:val="36"/>
          <w:szCs w:val="36"/>
          <w:rtl/>
        </w:rPr>
        <w:t xml:space="preserve">ة </w:t>
      </w:r>
      <w:r w:rsidRPr="00FD211F">
        <w:rPr>
          <w:sz w:val="36"/>
          <w:szCs w:val="36"/>
          <w:rtl/>
        </w:rPr>
        <w:t>ان يقال</w:t>
      </w:r>
      <w:r w:rsidR="007C0B13" w:rsidRPr="00FD211F">
        <w:rPr>
          <w:sz w:val="36"/>
          <w:szCs w:val="36"/>
          <w:rtl/>
        </w:rPr>
        <w:t>"</w:t>
      </w:r>
      <w:r w:rsidRPr="00FD211F">
        <w:rPr>
          <w:sz w:val="36"/>
          <w:szCs w:val="36"/>
          <w:rtl/>
        </w:rPr>
        <w:t xml:space="preserve"> زيد كائن في الدار</w:t>
      </w:r>
      <w:r w:rsidR="007C0B13" w:rsidRPr="00FD211F">
        <w:rPr>
          <w:sz w:val="36"/>
          <w:szCs w:val="36"/>
          <w:rtl/>
        </w:rPr>
        <w:t>"</w:t>
      </w:r>
      <w:r w:rsidR="00603323" w:rsidRPr="00FD211F">
        <w:rPr>
          <w:sz w:val="36"/>
          <w:szCs w:val="36"/>
          <w:rtl/>
        </w:rPr>
        <w:t xml:space="preserve">، </w:t>
      </w:r>
      <w:r w:rsidRPr="00FD211F">
        <w:rPr>
          <w:sz w:val="36"/>
          <w:szCs w:val="36"/>
          <w:rtl/>
        </w:rPr>
        <w:t>فالمحمول وهو كائن في الدار جمل</w:t>
      </w:r>
      <w:r w:rsidR="00EC7EDF" w:rsidRPr="00FD211F">
        <w:rPr>
          <w:sz w:val="36"/>
          <w:szCs w:val="36"/>
          <w:rtl/>
        </w:rPr>
        <w:t xml:space="preserve">ة </w:t>
      </w:r>
      <w:r w:rsidRPr="00FD211F">
        <w:rPr>
          <w:sz w:val="36"/>
          <w:szCs w:val="36"/>
          <w:rtl/>
        </w:rPr>
        <w:t>ناقص</w:t>
      </w:r>
      <w:r w:rsidR="00EC7EDF" w:rsidRPr="00FD211F">
        <w:rPr>
          <w:sz w:val="36"/>
          <w:szCs w:val="36"/>
          <w:rtl/>
        </w:rPr>
        <w:t>ة</w:t>
      </w:r>
      <w:r w:rsidR="00603323" w:rsidRPr="00FD211F">
        <w:rPr>
          <w:sz w:val="36"/>
          <w:szCs w:val="36"/>
          <w:rtl/>
        </w:rPr>
        <w:t xml:space="preserve">، </w:t>
      </w:r>
      <w:r w:rsidRPr="00FD211F">
        <w:rPr>
          <w:sz w:val="36"/>
          <w:szCs w:val="36"/>
          <w:rtl/>
        </w:rPr>
        <w:t>والنسب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 زيد وبين كائن في الدار هي التي جعلت الجمل</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والنسب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موطنها الذهن لاالخارج</w:t>
      </w:r>
      <w:r w:rsidR="00603323" w:rsidRPr="00FD211F">
        <w:rPr>
          <w:sz w:val="36"/>
          <w:szCs w:val="36"/>
          <w:rtl/>
        </w:rPr>
        <w:t xml:space="preserve">، </w:t>
      </w:r>
      <w:r w:rsidRPr="00FD211F">
        <w:rPr>
          <w:sz w:val="36"/>
          <w:szCs w:val="36"/>
          <w:rtl/>
        </w:rPr>
        <w:t>فان الخارج موطن العيني</w:t>
      </w:r>
      <w:r w:rsidR="00EC7EDF" w:rsidRPr="00FD211F">
        <w:rPr>
          <w:sz w:val="36"/>
          <w:szCs w:val="36"/>
          <w:rtl/>
        </w:rPr>
        <w:t xml:space="preserve">ة </w:t>
      </w:r>
      <w:r w:rsidRPr="00FD211F">
        <w:rPr>
          <w:sz w:val="36"/>
          <w:szCs w:val="36"/>
          <w:rtl/>
        </w:rPr>
        <w:t>بين الموضوع والمحمول</w:t>
      </w:r>
      <w:r w:rsidR="00603323" w:rsidRPr="00FD211F">
        <w:rPr>
          <w:sz w:val="36"/>
          <w:szCs w:val="36"/>
          <w:rtl/>
        </w:rPr>
        <w:t xml:space="preserve">، </w:t>
      </w:r>
      <w:r w:rsidRPr="00FD211F">
        <w:rPr>
          <w:sz w:val="36"/>
          <w:szCs w:val="36"/>
          <w:rtl/>
        </w:rPr>
        <w:t>وأما النسب</w:t>
      </w:r>
      <w:r w:rsidR="00EC7EDF" w:rsidRPr="00FD211F">
        <w:rPr>
          <w:sz w:val="36"/>
          <w:szCs w:val="36"/>
          <w:rtl/>
        </w:rPr>
        <w:t xml:space="preserve">ة </w:t>
      </w:r>
      <w:r w:rsidRPr="00FD211F">
        <w:rPr>
          <w:sz w:val="36"/>
          <w:szCs w:val="36"/>
          <w:rtl/>
        </w:rPr>
        <w:t>الحملي</w:t>
      </w:r>
      <w:r w:rsidR="00EC7EDF" w:rsidRPr="00FD211F">
        <w:rPr>
          <w:sz w:val="36"/>
          <w:szCs w:val="36"/>
          <w:rtl/>
        </w:rPr>
        <w:t xml:space="preserve">ة </w:t>
      </w:r>
      <w:r w:rsidRPr="00FD211F">
        <w:rPr>
          <w:sz w:val="36"/>
          <w:szCs w:val="36"/>
          <w:rtl/>
        </w:rPr>
        <w:t>والتصادقي</w:t>
      </w:r>
      <w:r w:rsidR="00EC7EDF" w:rsidRPr="00FD211F">
        <w:rPr>
          <w:sz w:val="36"/>
          <w:szCs w:val="36"/>
          <w:rtl/>
        </w:rPr>
        <w:t xml:space="preserve">ة </w:t>
      </w:r>
      <w:r w:rsidRPr="00FD211F">
        <w:rPr>
          <w:sz w:val="36"/>
          <w:szCs w:val="36"/>
          <w:rtl/>
        </w:rPr>
        <w:t>فهي عملي</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تربط بين مفهومين موجودين في الذهن.</w:t>
      </w:r>
    </w:p>
    <w:p w14:paraId="67A30F2E" w14:textId="77777777" w:rsidR="007F5659" w:rsidRPr="00FD211F" w:rsidRDefault="007F5659" w:rsidP="009C58C8">
      <w:pPr>
        <w:ind w:left="0" w:firstLine="227"/>
        <w:jc w:val="both"/>
        <w:rPr>
          <w:sz w:val="36"/>
          <w:szCs w:val="36"/>
          <w:rtl/>
        </w:rPr>
      </w:pPr>
      <w:r w:rsidRPr="00FD211F">
        <w:rPr>
          <w:sz w:val="36"/>
          <w:szCs w:val="36"/>
          <w:rtl/>
        </w:rPr>
        <w:t>فتحصل ان الحروف الدال</w:t>
      </w:r>
      <w:r w:rsidR="00EC7EDF" w:rsidRPr="00FD211F">
        <w:rPr>
          <w:sz w:val="36"/>
          <w:szCs w:val="36"/>
          <w:rtl/>
        </w:rPr>
        <w:t xml:space="preserve">ة </w:t>
      </w:r>
      <w:r w:rsidRPr="00FD211F">
        <w:rPr>
          <w:sz w:val="36"/>
          <w:szCs w:val="36"/>
          <w:rtl/>
        </w:rPr>
        <w:t>على النسب الأولي</w:t>
      </w:r>
      <w:r w:rsidR="00EC7EDF" w:rsidRPr="00FD211F">
        <w:rPr>
          <w:sz w:val="36"/>
          <w:szCs w:val="36"/>
          <w:rtl/>
        </w:rPr>
        <w:t xml:space="preserve">ة </w:t>
      </w:r>
      <w:r w:rsidRPr="00FD211F">
        <w:rPr>
          <w:sz w:val="36"/>
          <w:szCs w:val="36"/>
          <w:rtl/>
        </w:rPr>
        <w:t>تدل على النسب التحليلي</w:t>
      </w:r>
      <w:r w:rsidR="00EC7EDF" w:rsidRPr="00FD211F">
        <w:rPr>
          <w:sz w:val="36"/>
          <w:szCs w:val="36"/>
          <w:rtl/>
        </w:rPr>
        <w:t xml:space="preserve">ة </w:t>
      </w:r>
      <w:r w:rsidRPr="00FD211F">
        <w:rPr>
          <w:sz w:val="36"/>
          <w:szCs w:val="36"/>
          <w:rtl/>
        </w:rPr>
        <w:t>وهذا عاد</w:t>
      </w:r>
      <w:r w:rsidR="00EC7EDF" w:rsidRPr="00FD211F">
        <w:rPr>
          <w:sz w:val="36"/>
          <w:szCs w:val="36"/>
          <w:rtl/>
        </w:rPr>
        <w:t xml:space="preserve">ة </w:t>
      </w:r>
      <w:r w:rsidRPr="00FD211F">
        <w:rPr>
          <w:sz w:val="36"/>
          <w:szCs w:val="36"/>
          <w:rtl/>
        </w:rPr>
        <w:t>يكون بين طرفين</w:t>
      </w:r>
      <w:r w:rsidR="00603323" w:rsidRPr="00FD211F">
        <w:rPr>
          <w:sz w:val="36"/>
          <w:szCs w:val="36"/>
          <w:rtl/>
        </w:rPr>
        <w:t xml:space="preserve">، </w:t>
      </w:r>
      <w:r w:rsidRPr="00FD211F">
        <w:rPr>
          <w:sz w:val="36"/>
          <w:szCs w:val="36"/>
          <w:rtl/>
        </w:rPr>
        <w:t xml:space="preserve">ولكنه قد يكون المعنى الحرفي متعلقا بطرف واحد مثل لام الجنس والتعريف في ضمن قولنا </w:t>
      </w:r>
      <w:r w:rsidR="007F0277" w:rsidRPr="00FD211F">
        <w:rPr>
          <w:sz w:val="36"/>
          <w:szCs w:val="36"/>
          <w:rtl/>
        </w:rPr>
        <w:t>"</w:t>
      </w:r>
      <w:r w:rsidRPr="00FD211F">
        <w:rPr>
          <w:sz w:val="36"/>
          <w:szCs w:val="36"/>
          <w:rtl/>
        </w:rPr>
        <w:t>الرجل</w:t>
      </w:r>
      <w:r w:rsidR="007F0277" w:rsidRPr="00FD211F">
        <w:rPr>
          <w:sz w:val="36"/>
          <w:szCs w:val="36"/>
          <w:rtl/>
        </w:rPr>
        <w:t>"</w:t>
      </w:r>
      <w:r w:rsidRPr="00FD211F">
        <w:rPr>
          <w:sz w:val="36"/>
          <w:szCs w:val="36"/>
          <w:rtl/>
        </w:rPr>
        <w:t>.</w:t>
      </w:r>
    </w:p>
    <w:p w14:paraId="758A5583" w14:textId="77777777" w:rsidR="000C5BBA" w:rsidRPr="00FD211F" w:rsidRDefault="007F5659" w:rsidP="009C58C8">
      <w:pPr>
        <w:ind w:left="0" w:firstLine="227"/>
        <w:jc w:val="both"/>
        <w:rPr>
          <w:sz w:val="36"/>
          <w:szCs w:val="36"/>
          <w:rtl/>
        </w:rPr>
      </w:pPr>
      <w:r w:rsidRPr="00FD211F">
        <w:rPr>
          <w:sz w:val="36"/>
          <w:szCs w:val="36"/>
          <w:rtl/>
        </w:rPr>
        <w:t>هذا كله في الحروف الدال</w:t>
      </w:r>
      <w:r w:rsidR="00EC7EDF" w:rsidRPr="00FD211F">
        <w:rPr>
          <w:sz w:val="36"/>
          <w:szCs w:val="36"/>
          <w:rtl/>
        </w:rPr>
        <w:t xml:space="preserve">ة </w:t>
      </w:r>
      <w:r w:rsidRPr="00FD211F">
        <w:rPr>
          <w:sz w:val="36"/>
          <w:szCs w:val="36"/>
          <w:rtl/>
        </w:rPr>
        <w:t>على النسب الأولي</w:t>
      </w:r>
      <w:r w:rsidR="00EC7EDF" w:rsidRPr="00FD211F">
        <w:rPr>
          <w:sz w:val="36"/>
          <w:szCs w:val="36"/>
          <w:rtl/>
        </w:rPr>
        <w:t>ة</w:t>
      </w:r>
      <w:r w:rsidR="00603323" w:rsidRPr="00FD211F">
        <w:rPr>
          <w:sz w:val="36"/>
          <w:szCs w:val="36"/>
          <w:rtl/>
        </w:rPr>
        <w:t xml:space="preserve">، </w:t>
      </w:r>
      <w:r w:rsidRPr="00FD211F">
        <w:rPr>
          <w:sz w:val="36"/>
          <w:szCs w:val="36"/>
          <w:rtl/>
        </w:rPr>
        <w:t>واما الحروف الدال</w:t>
      </w:r>
      <w:r w:rsidR="00EC7EDF" w:rsidRPr="00FD211F">
        <w:rPr>
          <w:sz w:val="36"/>
          <w:szCs w:val="36"/>
          <w:rtl/>
        </w:rPr>
        <w:t xml:space="preserve">ة </w:t>
      </w:r>
      <w:r w:rsidRPr="00FD211F">
        <w:rPr>
          <w:sz w:val="36"/>
          <w:szCs w:val="36"/>
          <w:rtl/>
        </w:rPr>
        <w:t>على النسب الثانوي</w:t>
      </w:r>
      <w:r w:rsidR="00EC7EDF" w:rsidRPr="00FD211F">
        <w:rPr>
          <w:sz w:val="36"/>
          <w:szCs w:val="36"/>
          <w:rtl/>
        </w:rPr>
        <w:t xml:space="preserve">ة </w:t>
      </w:r>
      <w:r w:rsidRPr="00FD211F">
        <w:rPr>
          <w:sz w:val="36"/>
          <w:szCs w:val="36"/>
          <w:rtl/>
        </w:rPr>
        <w:t>التي لاموطن لها الا الذهن كحروف العطف والاستثناء والإضراب ونحو ذلك</w:t>
      </w:r>
      <w:r w:rsidR="00603323" w:rsidRPr="00FD211F">
        <w:rPr>
          <w:sz w:val="36"/>
          <w:szCs w:val="36"/>
          <w:rtl/>
        </w:rPr>
        <w:t xml:space="preserve">، </w:t>
      </w:r>
      <w:r w:rsidRPr="00FD211F">
        <w:rPr>
          <w:sz w:val="36"/>
          <w:szCs w:val="36"/>
          <w:rtl/>
        </w:rPr>
        <w:t>فالموضوع له لهذه الحروف واقع النسب</w:t>
      </w:r>
      <w:r w:rsidR="00EC7EDF" w:rsidRPr="00FD211F">
        <w:rPr>
          <w:sz w:val="36"/>
          <w:szCs w:val="36"/>
          <w:rtl/>
        </w:rPr>
        <w:t xml:space="preserve">ة </w:t>
      </w:r>
      <w:r w:rsidRPr="00FD211F">
        <w:rPr>
          <w:sz w:val="36"/>
          <w:szCs w:val="36"/>
          <w:rtl/>
        </w:rPr>
        <w:t>والذي فرضنا كونه موجودا في الذهن</w:t>
      </w:r>
      <w:r w:rsidR="009C58C8" w:rsidRPr="00FD211F">
        <w:rPr>
          <w:rStyle w:val="a6"/>
          <w:sz w:val="36"/>
          <w:szCs w:val="36"/>
          <w:rtl/>
        </w:rPr>
        <w:t>(</w:t>
      </w:r>
      <w:r w:rsidR="009C58C8" w:rsidRPr="00FD211F">
        <w:rPr>
          <w:rStyle w:val="a6"/>
          <w:sz w:val="36"/>
          <w:szCs w:val="36"/>
          <w:rtl/>
        </w:rPr>
        <w:footnoteReference w:id="176"/>
      </w:r>
      <w:r w:rsidR="009C58C8" w:rsidRPr="00FD211F">
        <w:rPr>
          <w:rStyle w:val="a6"/>
          <w:sz w:val="36"/>
          <w:szCs w:val="36"/>
          <w:rtl/>
        </w:rPr>
        <w:t>)</w:t>
      </w:r>
    </w:p>
    <w:p w14:paraId="56FF81D1" w14:textId="77777777" w:rsidR="007F5659" w:rsidRPr="00FD211F" w:rsidRDefault="007F5659" w:rsidP="009C58C8">
      <w:pPr>
        <w:ind w:left="0" w:firstLine="227"/>
        <w:jc w:val="both"/>
        <w:rPr>
          <w:sz w:val="36"/>
          <w:szCs w:val="36"/>
          <w:rtl/>
        </w:rPr>
      </w:pPr>
      <w:r w:rsidRPr="00FD211F">
        <w:rPr>
          <w:sz w:val="36"/>
          <w:szCs w:val="36"/>
          <w:rtl/>
        </w:rPr>
        <w:t>اقول: ان ما ذكره</w:t>
      </w:r>
      <w:r w:rsidR="00B253CE" w:rsidRPr="00FD211F">
        <w:rPr>
          <w:sz w:val="36"/>
          <w:szCs w:val="36"/>
          <w:rtl/>
        </w:rPr>
        <w:t xml:space="preserve"> </w:t>
      </w:r>
      <w:r w:rsidRPr="00FD211F">
        <w:rPr>
          <w:sz w:val="36"/>
          <w:szCs w:val="36"/>
          <w:rtl/>
        </w:rPr>
        <w:t xml:space="preserve">من كون مدلول الجالس في الدار مثلا مفهوما بسيطا تصورا </w:t>
      </w:r>
      <w:r w:rsidR="006954A6" w:rsidRPr="00FD211F">
        <w:rPr>
          <w:sz w:val="36"/>
          <w:szCs w:val="36"/>
          <w:rtl/>
        </w:rPr>
        <w:t xml:space="preserve">فهو </w:t>
      </w:r>
      <w:r w:rsidRPr="00FD211F">
        <w:rPr>
          <w:sz w:val="36"/>
          <w:szCs w:val="36"/>
          <w:rtl/>
        </w:rPr>
        <w:t>خلاف الوجدان</w:t>
      </w:r>
      <w:r w:rsidR="00603323" w:rsidRPr="00FD211F">
        <w:rPr>
          <w:sz w:val="36"/>
          <w:szCs w:val="36"/>
          <w:rtl/>
        </w:rPr>
        <w:t xml:space="preserve">، </w:t>
      </w:r>
      <w:r w:rsidRPr="00FD211F">
        <w:rPr>
          <w:sz w:val="36"/>
          <w:szCs w:val="36"/>
          <w:rtl/>
        </w:rPr>
        <w:t>فإننا لما نتصور شيئين مختلفين ليس احدهما وصفا للآخر كما في هذا المثال فإننا نتصور كلا</w:t>
      </w:r>
      <w:r w:rsidR="006954A6" w:rsidRPr="00FD211F">
        <w:rPr>
          <w:sz w:val="36"/>
          <w:szCs w:val="36"/>
          <w:rtl/>
        </w:rPr>
        <w:t>ً</w:t>
      </w:r>
      <w:r w:rsidRPr="00FD211F">
        <w:rPr>
          <w:sz w:val="36"/>
          <w:szCs w:val="36"/>
          <w:rtl/>
        </w:rPr>
        <w:t xml:space="preserve"> من هذين المفهومين في</w:t>
      </w:r>
      <w:r w:rsidR="00B63002" w:rsidRPr="00FD211F">
        <w:rPr>
          <w:sz w:val="36"/>
          <w:szCs w:val="36"/>
          <w:rtl/>
        </w:rPr>
        <w:t xml:space="preserve"> حد ذاتهما مثل ما لو تصورناهما</w:t>
      </w:r>
      <w:r w:rsidR="00B253CE" w:rsidRPr="00FD211F">
        <w:rPr>
          <w:sz w:val="36"/>
          <w:szCs w:val="36"/>
          <w:rtl/>
        </w:rPr>
        <w:t xml:space="preserve"> </w:t>
      </w:r>
      <w:r w:rsidRPr="00FD211F">
        <w:rPr>
          <w:sz w:val="36"/>
          <w:szCs w:val="36"/>
          <w:rtl/>
        </w:rPr>
        <w:t>م</w:t>
      </w:r>
      <w:r w:rsidR="00B63002" w:rsidRPr="00FD211F">
        <w:rPr>
          <w:sz w:val="36"/>
          <w:szCs w:val="36"/>
          <w:rtl/>
        </w:rPr>
        <w:t>ن</w:t>
      </w:r>
      <w:r w:rsidRPr="00FD211F">
        <w:rPr>
          <w:sz w:val="36"/>
          <w:szCs w:val="36"/>
          <w:rtl/>
        </w:rPr>
        <w:t>فرد</w:t>
      </w:r>
      <w:r w:rsidR="00B63002" w:rsidRPr="00FD211F">
        <w:rPr>
          <w:sz w:val="36"/>
          <w:szCs w:val="36"/>
          <w:rtl/>
        </w:rPr>
        <w:t>ين</w:t>
      </w:r>
      <w:r w:rsidR="00603323" w:rsidRPr="00FD211F">
        <w:rPr>
          <w:sz w:val="36"/>
          <w:szCs w:val="36"/>
          <w:rtl/>
        </w:rPr>
        <w:t xml:space="preserve">، </w:t>
      </w:r>
      <w:r w:rsidRPr="00FD211F">
        <w:rPr>
          <w:sz w:val="36"/>
          <w:szCs w:val="36"/>
          <w:rtl/>
        </w:rPr>
        <w:t xml:space="preserve">فالمتصور في قولنا </w:t>
      </w:r>
      <w:r w:rsidR="007C0B13" w:rsidRPr="00FD211F">
        <w:rPr>
          <w:sz w:val="36"/>
          <w:szCs w:val="36"/>
          <w:rtl/>
        </w:rPr>
        <w:t>"</w:t>
      </w:r>
      <w:r w:rsidRPr="00FD211F">
        <w:rPr>
          <w:sz w:val="36"/>
          <w:szCs w:val="36"/>
          <w:rtl/>
        </w:rPr>
        <w:t>الجالس في الدار</w:t>
      </w:r>
      <w:r w:rsidR="007C0B13" w:rsidRPr="00FD211F">
        <w:rPr>
          <w:sz w:val="36"/>
          <w:szCs w:val="36"/>
          <w:rtl/>
        </w:rPr>
        <w:t>"</w:t>
      </w:r>
      <w:r w:rsidRPr="00FD211F">
        <w:rPr>
          <w:sz w:val="36"/>
          <w:szCs w:val="36"/>
          <w:rtl/>
        </w:rPr>
        <w:t xml:space="preserve"> لايقل</w:t>
      </w:r>
      <w:r w:rsidR="00B63002" w:rsidRPr="00FD211F">
        <w:rPr>
          <w:sz w:val="36"/>
          <w:szCs w:val="36"/>
          <w:rtl/>
        </w:rPr>
        <w:t>ّ</w:t>
      </w:r>
      <w:r w:rsidRPr="00FD211F">
        <w:rPr>
          <w:sz w:val="36"/>
          <w:szCs w:val="36"/>
          <w:rtl/>
        </w:rPr>
        <w:t xml:space="preserve"> </w:t>
      </w:r>
      <w:r w:rsidR="007C0B13" w:rsidRPr="00FD211F">
        <w:rPr>
          <w:sz w:val="36"/>
          <w:szCs w:val="36"/>
          <w:rtl/>
        </w:rPr>
        <w:t>وجدانا</w:t>
      </w:r>
      <w:r w:rsidRPr="00FD211F">
        <w:rPr>
          <w:sz w:val="36"/>
          <w:szCs w:val="36"/>
          <w:rtl/>
        </w:rPr>
        <w:t>عن المتصور في قولنا "الجالس</w:t>
      </w:r>
      <w:r w:rsidR="00603323" w:rsidRPr="00FD211F">
        <w:rPr>
          <w:sz w:val="36"/>
          <w:szCs w:val="36"/>
          <w:rtl/>
        </w:rPr>
        <w:t xml:space="preserve">، </w:t>
      </w:r>
      <w:r w:rsidRPr="00FD211F">
        <w:rPr>
          <w:sz w:val="36"/>
          <w:szCs w:val="36"/>
          <w:rtl/>
        </w:rPr>
        <w:t>الدا</w:t>
      </w:r>
      <w:r w:rsidR="007C0B13" w:rsidRPr="00FD211F">
        <w:rPr>
          <w:sz w:val="36"/>
          <w:szCs w:val="36"/>
          <w:rtl/>
        </w:rPr>
        <w:t>ر"</w:t>
      </w:r>
      <w:r w:rsidR="00603323" w:rsidRPr="00FD211F">
        <w:rPr>
          <w:sz w:val="36"/>
          <w:szCs w:val="36"/>
          <w:rtl/>
        </w:rPr>
        <w:t xml:space="preserve">، </w:t>
      </w:r>
      <w:r w:rsidRPr="00FD211F">
        <w:rPr>
          <w:sz w:val="36"/>
          <w:szCs w:val="36"/>
          <w:rtl/>
        </w:rPr>
        <w:t>وعليه فلابد من وجود نسب</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تربط بين مفهوم الجالس ومفهوم الدار الموجودين في الذهن وهذه النسب</w:t>
      </w:r>
      <w:r w:rsidR="00EC7EDF" w:rsidRPr="00FD211F">
        <w:rPr>
          <w:sz w:val="36"/>
          <w:szCs w:val="36"/>
          <w:rtl/>
        </w:rPr>
        <w:t xml:space="preserve">ة </w:t>
      </w:r>
      <w:r w:rsidRPr="00FD211F">
        <w:rPr>
          <w:sz w:val="36"/>
          <w:szCs w:val="36"/>
          <w:rtl/>
        </w:rPr>
        <w:t>وان</w:t>
      </w:r>
      <w:r w:rsidR="008D7B3D" w:rsidRPr="00FD211F">
        <w:rPr>
          <w:sz w:val="36"/>
          <w:szCs w:val="36"/>
          <w:rtl/>
        </w:rPr>
        <w:t xml:space="preserve"> لم‌</w:t>
      </w:r>
      <w:r w:rsidRPr="00FD211F">
        <w:rPr>
          <w:sz w:val="36"/>
          <w:szCs w:val="36"/>
          <w:rtl/>
        </w:rPr>
        <w:t>تكن نسب</w:t>
      </w:r>
      <w:r w:rsidR="00EC7EDF" w:rsidRPr="00FD211F">
        <w:rPr>
          <w:sz w:val="36"/>
          <w:szCs w:val="36"/>
          <w:rtl/>
        </w:rPr>
        <w:t xml:space="preserve">ة </w:t>
      </w:r>
      <w:r w:rsidRPr="00FD211F">
        <w:rPr>
          <w:sz w:val="36"/>
          <w:szCs w:val="36"/>
          <w:rtl/>
        </w:rPr>
        <w:t>ظرفي</w:t>
      </w:r>
      <w:r w:rsidR="00EC7EDF" w:rsidRPr="00FD211F">
        <w:rPr>
          <w:sz w:val="36"/>
          <w:szCs w:val="36"/>
          <w:rtl/>
        </w:rPr>
        <w:t xml:space="preserve">ة </w:t>
      </w:r>
      <w:r w:rsidRPr="00FD211F">
        <w:rPr>
          <w:sz w:val="36"/>
          <w:szCs w:val="36"/>
          <w:rtl/>
        </w:rPr>
        <w:t>بالحمل الشائع لكن لابرهان على امتناع كونها نسب</w:t>
      </w:r>
      <w:r w:rsidR="00EC7EDF" w:rsidRPr="00FD211F">
        <w:rPr>
          <w:sz w:val="36"/>
          <w:szCs w:val="36"/>
          <w:rtl/>
        </w:rPr>
        <w:t xml:space="preserve">ة </w:t>
      </w:r>
      <w:r w:rsidRPr="00FD211F">
        <w:rPr>
          <w:sz w:val="36"/>
          <w:szCs w:val="36"/>
          <w:rtl/>
        </w:rPr>
        <w:t>مسانخ</w:t>
      </w:r>
      <w:r w:rsidR="00EC7EDF" w:rsidRPr="00FD211F">
        <w:rPr>
          <w:sz w:val="36"/>
          <w:szCs w:val="36"/>
          <w:rtl/>
        </w:rPr>
        <w:t xml:space="preserve">ة </w:t>
      </w:r>
      <w:r w:rsidRPr="00FD211F">
        <w:rPr>
          <w:sz w:val="36"/>
          <w:szCs w:val="36"/>
          <w:rtl/>
        </w:rPr>
        <w:t>لها كمسانخ</w:t>
      </w:r>
      <w:r w:rsidR="00EC7EDF" w:rsidRPr="00FD211F">
        <w:rPr>
          <w:sz w:val="36"/>
          <w:szCs w:val="36"/>
          <w:rtl/>
        </w:rPr>
        <w:t xml:space="preserve">ة </w:t>
      </w:r>
      <w:r w:rsidRPr="00FD211F">
        <w:rPr>
          <w:sz w:val="36"/>
          <w:szCs w:val="36"/>
          <w:rtl/>
        </w:rPr>
        <w:t>الظل مع ذي الظل والصور</w:t>
      </w:r>
      <w:r w:rsidR="00EC7EDF" w:rsidRPr="00FD211F">
        <w:rPr>
          <w:sz w:val="36"/>
          <w:szCs w:val="36"/>
          <w:rtl/>
        </w:rPr>
        <w:t xml:space="preserve">ة </w:t>
      </w:r>
      <w:r w:rsidRPr="00FD211F">
        <w:rPr>
          <w:sz w:val="36"/>
          <w:szCs w:val="36"/>
          <w:rtl/>
        </w:rPr>
        <w:t>المرتسم</w:t>
      </w:r>
      <w:r w:rsidR="00EC7EDF" w:rsidRPr="00FD211F">
        <w:rPr>
          <w:sz w:val="36"/>
          <w:szCs w:val="36"/>
          <w:rtl/>
        </w:rPr>
        <w:t xml:space="preserve">ة </w:t>
      </w:r>
      <w:r w:rsidRPr="00FD211F">
        <w:rPr>
          <w:sz w:val="36"/>
          <w:szCs w:val="36"/>
          <w:rtl/>
        </w:rPr>
        <w:t>في المرآ</w:t>
      </w:r>
      <w:r w:rsidR="00EC7EDF" w:rsidRPr="00FD211F">
        <w:rPr>
          <w:sz w:val="36"/>
          <w:szCs w:val="36"/>
          <w:rtl/>
        </w:rPr>
        <w:t xml:space="preserve">ة </w:t>
      </w:r>
      <w:r w:rsidRPr="00FD211F">
        <w:rPr>
          <w:sz w:val="36"/>
          <w:szCs w:val="36"/>
          <w:rtl/>
        </w:rPr>
        <w:t>مع ذي الصور</w:t>
      </w:r>
      <w:r w:rsidR="00EC7EDF" w:rsidRPr="00FD211F">
        <w:rPr>
          <w:sz w:val="36"/>
          <w:szCs w:val="36"/>
          <w:rtl/>
        </w:rPr>
        <w:t>ة</w:t>
      </w:r>
      <w:r w:rsidR="00603323" w:rsidRPr="00FD211F">
        <w:rPr>
          <w:sz w:val="36"/>
          <w:szCs w:val="36"/>
          <w:rtl/>
        </w:rPr>
        <w:t xml:space="preserve">، </w:t>
      </w:r>
      <w:r w:rsidRPr="00FD211F">
        <w:rPr>
          <w:sz w:val="36"/>
          <w:szCs w:val="36"/>
          <w:rtl/>
        </w:rPr>
        <w:t>فان المرآ</w:t>
      </w:r>
      <w:r w:rsidR="00EC7EDF" w:rsidRPr="00FD211F">
        <w:rPr>
          <w:sz w:val="36"/>
          <w:szCs w:val="36"/>
          <w:rtl/>
        </w:rPr>
        <w:t xml:space="preserve">ة </w:t>
      </w:r>
      <w:r w:rsidRPr="00FD211F">
        <w:rPr>
          <w:sz w:val="36"/>
          <w:szCs w:val="36"/>
          <w:rtl/>
        </w:rPr>
        <w:t>قد تحكي عن الجالس فقط وقد تحكي عن الدار فقط وقد تحكي عن الجالس في الدار تماما</w:t>
      </w:r>
      <w:r w:rsidR="00603323" w:rsidRPr="00FD211F">
        <w:rPr>
          <w:sz w:val="36"/>
          <w:szCs w:val="36"/>
          <w:rtl/>
        </w:rPr>
        <w:t xml:space="preserve">، </w:t>
      </w:r>
      <w:r w:rsidRPr="00FD211F">
        <w:rPr>
          <w:sz w:val="36"/>
          <w:szCs w:val="36"/>
          <w:rtl/>
        </w:rPr>
        <w:t>والصور</w:t>
      </w:r>
      <w:r w:rsidR="00EC7EDF" w:rsidRPr="00FD211F">
        <w:rPr>
          <w:sz w:val="36"/>
          <w:szCs w:val="36"/>
          <w:rtl/>
        </w:rPr>
        <w:t xml:space="preserve">ة </w:t>
      </w:r>
      <w:r w:rsidRPr="00FD211F">
        <w:rPr>
          <w:sz w:val="36"/>
          <w:szCs w:val="36"/>
          <w:rtl/>
        </w:rPr>
        <w:t>المرتسم</w:t>
      </w:r>
      <w:r w:rsidR="00EC7EDF" w:rsidRPr="00FD211F">
        <w:rPr>
          <w:sz w:val="36"/>
          <w:szCs w:val="36"/>
          <w:rtl/>
        </w:rPr>
        <w:t xml:space="preserve">ة </w:t>
      </w:r>
      <w:r w:rsidRPr="00FD211F">
        <w:rPr>
          <w:sz w:val="36"/>
          <w:szCs w:val="36"/>
          <w:rtl/>
        </w:rPr>
        <w:t>في المرآ</w:t>
      </w:r>
      <w:r w:rsidR="00EC7EDF" w:rsidRPr="00FD211F">
        <w:rPr>
          <w:sz w:val="36"/>
          <w:szCs w:val="36"/>
          <w:rtl/>
        </w:rPr>
        <w:t xml:space="preserve">ة </w:t>
      </w:r>
      <w:r w:rsidRPr="00FD211F">
        <w:rPr>
          <w:sz w:val="36"/>
          <w:szCs w:val="36"/>
          <w:rtl/>
        </w:rPr>
        <w:t>وان</w:t>
      </w:r>
      <w:r w:rsidR="008D7B3D" w:rsidRPr="00FD211F">
        <w:rPr>
          <w:sz w:val="36"/>
          <w:szCs w:val="36"/>
          <w:rtl/>
        </w:rPr>
        <w:t xml:space="preserve"> لم‌</w:t>
      </w:r>
      <w:r w:rsidRPr="00FD211F">
        <w:rPr>
          <w:sz w:val="36"/>
          <w:szCs w:val="36"/>
          <w:rtl/>
        </w:rPr>
        <w:t>تشتمل على نسب</w:t>
      </w:r>
      <w:r w:rsidR="00EC7EDF" w:rsidRPr="00FD211F">
        <w:rPr>
          <w:sz w:val="36"/>
          <w:szCs w:val="36"/>
          <w:rtl/>
        </w:rPr>
        <w:t xml:space="preserve">ة </w:t>
      </w:r>
      <w:r w:rsidRPr="00FD211F">
        <w:rPr>
          <w:sz w:val="36"/>
          <w:szCs w:val="36"/>
          <w:rtl/>
        </w:rPr>
        <w:t>ظرفي</w:t>
      </w:r>
      <w:r w:rsidR="00EC7EDF" w:rsidRPr="00FD211F">
        <w:rPr>
          <w:sz w:val="36"/>
          <w:szCs w:val="36"/>
          <w:rtl/>
        </w:rPr>
        <w:t xml:space="preserve">ة </w:t>
      </w:r>
      <w:r w:rsidRPr="00FD211F">
        <w:rPr>
          <w:sz w:val="36"/>
          <w:szCs w:val="36"/>
          <w:rtl/>
        </w:rPr>
        <w:t>بالحمل الشائع</w:t>
      </w:r>
      <w:r w:rsidR="00603323" w:rsidRPr="00FD211F">
        <w:rPr>
          <w:sz w:val="36"/>
          <w:szCs w:val="36"/>
          <w:rtl/>
        </w:rPr>
        <w:t xml:space="preserve">، </w:t>
      </w:r>
      <w:r w:rsidRPr="00FD211F">
        <w:rPr>
          <w:sz w:val="36"/>
          <w:szCs w:val="36"/>
          <w:rtl/>
        </w:rPr>
        <w:t>ولكنها تشتمل على ما يصلح ان يحكي عنها.</w:t>
      </w:r>
    </w:p>
    <w:p w14:paraId="23241940" w14:textId="77777777" w:rsidR="00A11BE0" w:rsidRPr="00FD211F" w:rsidRDefault="007F5659" w:rsidP="009C58C8">
      <w:pPr>
        <w:ind w:left="0" w:firstLine="227"/>
        <w:jc w:val="both"/>
        <w:rPr>
          <w:sz w:val="36"/>
          <w:szCs w:val="36"/>
          <w:rtl/>
        </w:rPr>
      </w:pPr>
      <w:r w:rsidRPr="00FD211F">
        <w:rPr>
          <w:sz w:val="36"/>
          <w:szCs w:val="36"/>
          <w:rtl/>
        </w:rPr>
        <w:t>واما ما ذكره في جمل</w:t>
      </w:r>
      <w:r w:rsidR="00EC7EDF" w:rsidRPr="00FD211F">
        <w:rPr>
          <w:sz w:val="36"/>
          <w:szCs w:val="36"/>
          <w:rtl/>
        </w:rPr>
        <w:t xml:space="preserve">ة </w:t>
      </w:r>
      <w:r w:rsidR="007C0B13" w:rsidRPr="00FD211F">
        <w:rPr>
          <w:sz w:val="36"/>
          <w:szCs w:val="36"/>
          <w:rtl/>
        </w:rPr>
        <w:t>"</w:t>
      </w:r>
      <w:r w:rsidRPr="00FD211F">
        <w:rPr>
          <w:sz w:val="36"/>
          <w:szCs w:val="36"/>
          <w:rtl/>
        </w:rPr>
        <w:t>زيد في الدار</w:t>
      </w:r>
      <w:r w:rsidR="007C0B13" w:rsidRPr="00FD211F">
        <w:rPr>
          <w:sz w:val="36"/>
          <w:szCs w:val="36"/>
          <w:rtl/>
        </w:rPr>
        <w:t>"</w:t>
      </w:r>
      <w:r w:rsidRPr="00FD211F">
        <w:rPr>
          <w:sz w:val="36"/>
          <w:szCs w:val="36"/>
          <w:rtl/>
        </w:rPr>
        <w:t xml:space="preserve"> من كونه في قو</w:t>
      </w:r>
      <w:r w:rsidR="00EC7EDF" w:rsidRPr="00FD211F">
        <w:rPr>
          <w:sz w:val="36"/>
          <w:szCs w:val="36"/>
          <w:rtl/>
        </w:rPr>
        <w:t xml:space="preserve">ة </w:t>
      </w:r>
      <w:r w:rsidR="007C0B13" w:rsidRPr="00FD211F">
        <w:rPr>
          <w:sz w:val="36"/>
          <w:szCs w:val="36"/>
          <w:rtl/>
        </w:rPr>
        <w:t>"</w:t>
      </w:r>
      <w:r w:rsidRPr="00FD211F">
        <w:rPr>
          <w:sz w:val="36"/>
          <w:szCs w:val="36"/>
          <w:rtl/>
        </w:rPr>
        <w:t>زيد كائن في الدار</w:t>
      </w:r>
      <w:r w:rsidR="007C0B13" w:rsidRPr="00FD211F">
        <w:rPr>
          <w:sz w:val="36"/>
          <w:szCs w:val="36"/>
          <w:rtl/>
        </w:rPr>
        <w:t>"</w:t>
      </w:r>
      <w:r w:rsidRPr="00FD211F">
        <w:rPr>
          <w:sz w:val="36"/>
          <w:szCs w:val="36"/>
          <w:rtl/>
        </w:rPr>
        <w:t xml:space="preserve"> كما اتفق عليه علماء الأدب</w:t>
      </w:r>
      <w:r w:rsidR="00603323" w:rsidRPr="00FD211F">
        <w:rPr>
          <w:sz w:val="36"/>
          <w:szCs w:val="36"/>
          <w:rtl/>
        </w:rPr>
        <w:t xml:space="preserve">، </w:t>
      </w:r>
      <w:r w:rsidRPr="00FD211F">
        <w:rPr>
          <w:sz w:val="36"/>
          <w:szCs w:val="36"/>
          <w:rtl/>
        </w:rPr>
        <w:t>فلايخلو من إشكال</w:t>
      </w:r>
      <w:r w:rsidR="00603323" w:rsidRPr="00FD211F">
        <w:rPr>
          <w:sz w:val="36"/>
          <w:szCs w:val="36"/>
          <w:rtl/>
        </w:rPr>
        <w:t xml:space="preserve">، </w:t>
      </w:r>
      <w:r w:rsidRPr="00FD211F">
        <w:rPr>
          <w:sz w:val="36"/>
          <w:szCs w:val="36"/>
          <w:rtl/>
        </w:rPr>
        <w:t>والظاهر -كما افاده السيد الإمام</w:t>
      </w:r>
      <w:r w:rsidR="008F14E7" w:rsidRPr="00FD211F">
        <w:rPr>
          <w:sz w:val="36"/>
          <w:szCs w:val="36"/>
          <w:rtl/>
        </w:rPr>
        <w:t xml:space="preserve"> "قده"</w:t>
      </w:r>
      <w:r w:rsidRPr="00FD211F">
        <w:rPr>
          <w:sz w:val="36"/>
          <w:szCs w:val="36"/>
          <w:rtl/>
        </w:rPr>
        <w:t>- ان جمل</w:t>
      </w:r>
      <w:r w:rsidR="00EC7EDF" w:rsidRPr="00FD211F">
        <w:rPr>
          <w:sz w:val="36"/>
          <w:szCs w:val="36"/>
          <w:rtl/>
        </w:rPr>
        <w:t xml:space="preserve">ة </w:t>
      </w:r>
      <w:r w:rsidRPr="00FD211F">
        <w:rPr>
          <w:sz w:val="36"/>
          <w:szCs w:val="36"/>
          <w:rtl/>
        </w:rPr>
        <w:t>زيد في الدار لاتشتمل على نسب</w:t>
      </w:r>
      <w:r w:rsidR="00EC7EDF" w:rsidRPr="00FD211F">
        <w:rPr>
          <w:sz w:val="36"/>
          <w:szCs w:val="36"/>
          <w:rtl/>
        </w:rPr>
        <w:t xml:space="preserve">ة </w:t>
      </w:r>
      <w:r w:rsidRPr="00FD211F">
        <w:rPr>
          <w:sz w:val="36"/>
          <w:szCs w:val="36"/>
          <w:rtl/>
        </w:rPr>
        <w:t>حملي</w:t>
      </w:r>
      <w:r w:rsidR="00EC7EDF" w:rsidRPr="00FD211F">
        <w:rPr>
          <w:sz w:val="36"/>
          <w:szCs w:val="36"/>
          <w:rtl/>
        </w:rPr>
        <w:t xml:space="preserve">ة </w:t>
      </w:r>
      <w:r w:rsidRPr="00FD211F">
        <w:rPr>
          <w:sz w:val="36"/>
          <w:szCs w:val="36"/>
          <w:rtl/>
        </w:rPr>
        <w:t>لعدم اتحاد زيد والدار بخلاف قولنا زيد قائم</w:t>
      </w:r>
      <w:r w:rsidR="00603323" w:rsidRPr="00FD211F">
        <w:rPr>
          <w:sz w:val="36"/>
          <w:szCs w:val="36"/>
          <w:rtl/>
        </w:rPr>
        <w:t xml:space="preserve">، </w:t>
      </w:r>
      <w:r w:rsidRPr="00FD211F">
        <w:rPr>
          <w:sz w:val="36"/>
          <w:szCs w:val="36"/>
          <w:rtl/>
        </w:rPr>
        <w:t>بل تشتمل على نسب</w:t>
      </w:r>
      <w:r w:rsidR="00EC7EDF" w:rsidRPr="00FD211F">
        <w:rPr>
          <w:sz w:val="36"/>
          <w:szCs w:val="36"/>
          <w:rtl/>
        </w:rPr>
        <w:t xml:space="preserve">ة </w:t>
      </w:r>
      <w:r w:rsidRPr="00FD211F">
        <w:rPr>
          <w:sz w:val="36"/>
          <w:szCs w:val="36"/>
          <w:rtl/>
        </w:rPr>
        <w:t>ظرفي</w:t>
      </w:r>
      <w:r w:rsidR="00EC7EDF" w:rsidRPr="00FD211F">
        <w:rPr>
          <w:sz w:val="36"/>
          <w:szCs w:val="36"/>
          <w:rtl/>
        </w:rPr>
        <w:t xml:space="preserve">ة </w:t>
      </w:r>
      <w:r w:rsidRPr="00FD211F">
        <w:rPr>
          <w:sz w:val="36"/>
          <w:szCs w:val="36"/>
          <w:rtl/>
        </w:rPr>
        <w:t>تصديقي</w:t>
      </w:r>
      <w:r w:rsidR="00EC7EDF" w:rsidRPr="00FD211F">
        <w:rPr>
          <w:sz w:val="36"/>
          <w:szCs w:val="36"/>
          <w:rtl/>
        </w:rPr>
        <w:t>ة</w:t>
      </w:r>
      <w:r w:rsidR="00603323" w:rsidRPr="00FD211F">
        <w:rPr>
          <w:sz w:val="36"/>
          <w:szCs w:val="36"/>
          <w:rtl/>
        </w:rPr>
        <w:t xml:space="preserve">، </w:t>
      </w:r>
      <w:r w:rsidRPr="00FD211F">
        <w:rPr>
          <w:sz w:val="36"/>
          <w:szCs w:val="36"/>
          <w:rtl/>
        </w:rPr>
        <w:t>والشاهد على ذلك -مضافا الى عدم احساسنا بوجداننا العرفي أيّ تقدير لمفهوم اسمي مثل كائن- ان ترجم</w:t>
      </w:r>
      <w:r w:rsidR="00EC7EDF" w:rsidRPr="00FD211F">
        <w:rPr>
          <w:sz w:val="36"/>
          <w:szCs w:val="36"/>
          <w:rtl/>
        </w:rPr>
        <w:t xml:space="preserve">ة </w:t>
      </w:r>
      <w:r w:rsidR="007C0B13" w:rsidRPr="00FD211F">
        <w:rPr>
          <w:sz w:val="36"/>
          <w:szCs w:val="36"/>
          <w:rtl/>
        </w:rPr>
        <w:t>"</w:t>
      </w:r>
      <w:r w:rsidRPr="00FD211F">
        <w:rPr>
          <w:sz w:val="36"/>
          <w:szCs w:val="36"/>
          <w:rtl/>
        </w:rPr>
        <w:t xml:space="preserve"> زيد في الدار</w:t>
      </w:r>
      <w:r w:rsidR="007C0B13" w:rsidRPr="00FD211F">
        <w:rPr>
          <w:sz w:val="36"/>
          <w:szCs w:val="36"/>
          <w:rtl/>
        </w:rPr>
        <w:t>"</w:t>
      </w:r>
      <w:r w:rsidRPr="00FD211F">
        <w:rPr>
          <w:sz w:val="36"/>
          <w:szCs w:val="36"/>
          <w:rtl/>
        </w:rPr>
        <w:t xml:space="preserve"> </w:t>
      </w:r>
      <w:r w:rsidR="00B63002" w:rsidRPr="00FD211F">
        <w:rPr>
          <w:sz w:val="36"/>
          <w:szCs w:val="36"/>
          <w:rtl/>
        </w:rPr>
        <w:t xml:space="preserve">تكون </w:t>
      </w:r>
      <w:r w:rsidRPr="00FD211F">
        <w:rPr>
          <w:sz w:val="36"/>
          <w:szCs w:val="36"/>
          <w:rtl/>
        </w:rPr>
        <w:t>بالفارسي</w:t>
      </w:r>
      <w:r w:rsidR="00EC7EDF" w:rsidRPr="00FD211F">
        <w:rPr>
          <w:sz w:val="36"/>
          <w:szCs w:val="36"/>
          <w:rtl/>
        </w:rPr>
        <w:t xml:space="preserve">ة </w:t>
      </w:r>
      <w:r w:rsidRPr="00FD211F">
        <w:rPr>
          <w:sz w:val="36"/>
          <w:szCs w:val="36"/>
          <w:rtl/>
        </w:rPr>
        <w:t>"زيد در خانه است" ولو صح ما ذكروه من التقدير لكان يلزم ان يقال "زيد در خانه هست" فان الفرق بين "است" و"هست" هو الفرق بين الكون الرابط والكون المحمولي</w:t>
      </w:r>
      <w:r w:rsidR="00603323" w:rsidRPr="00FD211F">
        <w:rPr>
          <w:sz w:val="36"/>
          <w:szCs w:val="36"/>
          <w:rtl/>
        </w:rPr>
        <w:t xml:space="preserve">، </w:t>
      </w:r>
      <w:r w:rsidRPr="00FD211F">
        <w:rPr>
          <w:sz w:val="36"/>
          <w:szCs w:val="36"/>
          <w:rtl/>
        </w:rPr>
        <w:t>فلو لزم تقدير مفهوم اسمي يكون طرفا للحرف</w:t>
      </w:r>
      <w:r w:rsidR="008D7B3D" w:rsidRPr="00FD211F">
        <w:rPr>
          <w:sz w:val="36"/>
          <w:szCs w:val="36"/>
          <w:rtl/>
        </w:rPr>
        <w:t xml:space="preserve"> لم‌</w:t>
      </w:r>
      <w:r w:rsidRPr="00FD211F">
        <w:rPr>
          <w:sz w:val="36"/>
          <w:szCs w:val="36"/>
          <w:rtl/>
        </w:rPr>
        <w:t>يصح ان يعبر عنه بما يرادف الكون الرابط</w:t>
      </w:r>
      <w:r w:rsidR="00603323" w:rsidRPr="00FD211F">
        <w:rPr>
          <w:sz w:val="36"/>
          <w:szCs w:val="36"/>
          <w:rtl/>
        </w:rPr>
        <w:t xml:space="preserve">، </w:t>
      </w:r>
      <w:r w:rsidRPr="00FD211F">
        <w:rPr>
          <w:sz w:val="36"/>
          <w:szCs w:val="36"/>
          <w:rtl/>
        </w:rPr>
        <w:t>لانه مفهوم حرفي ايضا</w:t>
      </w:r>
      <w:r w:rsidR="00A11BE0" w:rsidRPr="00FD211F">
        <w:rPr>
          <w:sz w:val="36"/>
          <w:szCs w:val="36"/>
          <w:rtl/>
        </w:rPr>
        <w:t>.</w:t>
      </w:r>
    </w:p>
    <w:p w14:paraId="3AE97C6D" w14:textId="77777777" w:rsidR="007F5659" w:rsidRPr="00FD211F" w:rsidRDefault="007F5659" w:rsidP="009C58C8">
      <w:pPr>
        <w:ind w:left="0" w:firstLine="227"/>
        <w:jc w:val="both"/>
        <w:rPr>
          <w:sz w:val="36"/>
          <w:szCs w:val="36"/>
          <w:rtl/>
        </w:rPr>
      </w:pPr>
      <w:r w:rsidRPr="00FD211F">
        <w:rPr>
          <w:sz w:val="36"/>
          <w:szCs w:val="36"/>
          <w:rtl/>
        </w:rPr>
        <w:t>وعلي</w:t>
      </w:r>
      <w:r w:rsidR="00B63002" w:rsidRPr="00FD211F">
        <w:rPr>
          <w:sz w:val="36"/>
          <w:szCs w:val="36"/>
          <w:rtl/>
        </w:rPr>
        <w:t>ه فيمكن ان يقال بأ</w:t>
      </w:r>
      <w:r w:rsidRPr="00FD211F">
        <w:rPr>
          <w:sz w:val="36"/>
          <w:szCs w:val="36"/>
          <w:rtl/>
        </w:rPr>
        <w:t>ن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في قولنا</w:t>
      </w:r>
      <w:r w:rsidR="007C0B13" w:rsidRPr="00FD211F">
        <w:rPr>
          <w:sz w:val="36"/>
          <w:szCs w:val="36"/>
          <w:rtl/>
        </w:rPr>
        <w:t>"</w:t>
      </w:r>
      <w:r w:rsidRPr="00FD211F">
        <w:rPr>
          <w:sz w:val="36"/>
          <w:szCs w:val="36"/>
          <w:rtl/>
        </w:rPr>
        <w:t xml:space="preserve"> زيد في الدار </w:t>
      </w:r>
      <w:r w:rsidR="007C0B13" w:rsidRPr="00FD211F">
        <w:rPr>
          <w:sz w:val="36"/>
          <w:szCs w:val="36"/>
          <w:rtl/>
        </w:rPr>
        <w:t>"</w:t>
      </w:r>
      <w:r w:rsidRPr="00FD211F">
        <w:rPr>
          <w:sz w:val="36"/>
          <w:szCs w:val="36"/>
          <w:rtl/>
        </w:rPr>
        <w:t>او كلم</w:t>
      </w:r>
      <w:r w:rsidR="00EC7EDF" w:rsidRPr="00FD211F">
        <w:rPr>
          <w:sz w:val="36"/>
          <w:szCs w:val="36"/>
          <w:rtl/>
        </w:rPr>
        <w:t xml:space="preserve">ة </w:t>
      </w:r>
      <w:r w:rsidR="007C0B13" w:rsidRPr="00FD211F">
        <w:rPr>
          <w:sz w:val="36"/>
          <w:szCs w:val="36"/>
          <w:rtl/>
        </w:rPr>
        <w:t>"</w:t>
      </w:r>
      <w:r w:rsidRPr="00FD211F">
        <w:rPr>
          <w:sz w:val="36"/>
          <w:szCs w:val="36"/>
          <w:rtl/>
        </w:rPr>
        <w:t xml:space="preserve">است </w:t>
      </w:r>
      <w:r w:rsidR="007C0B13" w:rsidRPr="00FD211F">
        <w:rPr>
          <w:sz w:val="36"/>
          <w:szCs w:val="36"/>
          <w:rtl/>
        </w:rPr>
        <w:t>"</w:t>
      </w:r>
      <w:r w:rsidRPr="00FD211F">
        <w:rPr>
          <w:sz w:val="36"/>
          <w:szCs w:val="36"/>
          <w:rtl/>
        </w:rPr>
        <w:t>في قولنا "زيد در خانه است" تدل على وجود نسب</w:t>
      </w:r>
      <w:r w:rsidR="00EC7EDF" w:rsidRPr="00FD211F">
        <w:rPr>
          <w:sz w:val="36"/>
          <w:szCs w:val="36"/>
          <w:rtl/>
        </w:rPr>
        <w:t xml:space="preserve">ة </w:t>
      </w:r>
      <w:r w:rsidRPr="00FD211F">
        <w:rPr>
          <w:sz w:val="36"/>
          <w:szCs w:val="36"/>
          <w:rtl/>
        </w:rPr>
        <w:t>ظرفي</w:t>
      </w:r>
      <w:r w:rsidR="00EC7EDF" w:rsidRPr="00FD211F">
        <w:rPr>
          <w:sz w:val="36"/>
          <w:szCs w:val="36"/>
          <w:rtl/>
        </w:rPr>
        <w:t xml:space="preserve">ة </w:t>
      </w:r>
      <w:r w:rsidRPr="00FD211F">
        <w:rPr>
          <w:sz w:val="36"/>
          <w:szCs w:val="36"/>
          <w:rtl/>
        </w:rPr>
        <w:t>بين زيد والدار خارجا</w:t>
      </w:r>
      <w:r w:rsidR="00603323" w:rsidRPr="00FD211F">
        <w:rPr>
          <w:sz w:val="36"/>
          <w:szCs w:val="36"/>
          <w:rtl/>
        </w:rPr>
        <w:t xml:space="preserve">، </w:t>
      </w:r>
      <w:r w:rsidRPr="00FD211F">
        <w:rPr>
          <w:sz w:val="36"/>
          <w:szCs w:val="36"/>
          <w:rtl/>
        </w:rPr>
        <w:t>وهذا لاينافي كون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تصوري</w:t>
      </w:r>
      <w:r w:rsidR="00EC7EDF" w:rsidRPr="00FD211F">
        <w:rPr>
          <w:sz w:val="36"/>
          <w:szCs w:val="36"/>
          <w:rtl/>
        </w:rPr>
        <w:t xml:space="preserve">ة </w:t>
      </w:r>
      <w:r w:rsidRPr="00FD211F">
        <w:rPr>
          <w:sz w:val="36"/>
          <w:szCs w:val="36"/>
          <w:rtl/>
        </w:rPr>
        <w:t>بمعنى انه لو سمع اللفظ من تموج الهواء مثلا انتقل الذهن من تصور اللفظ الى تصور المعنى</w:t>
      </w:r>
      <w:r w:rsidR="00603323" w:rsidRPr="00FD211F">
        <w:rPr>
          <w:sz w:val="36"/>
          <w:szCs w:val="36"/>
          <w:rtl/>
        </w:rPr>
        <w:t xml:space="preserve">، </w:t>
      </w:r>
      <w:r w:rsidRPr="00FD211F">
        <w:rPr>
          <w:sz w:val="36"/>
          <w:szCs w:val="36"/>
          <w:rtl/>
        </w:rPr>
        <w:t>فانه لو سمع من تموج الهواء جمل</w:t>
      </w:r>
      <w:r w:rsidR="00EC7EDF" w:rsidRPr="00FD211F">
        <w:rPr>
          <w:sz w:val="36"/>
          <w:szCs w:val="36"/>
          <w:rtl/>
        </w:rPr>
        <w:t xml:space="preserve">ة </w:t>
      </w:r>
      <w:r w:rsidRPr="00FD211F">
        <w:rPr>
          <w:sz w:val="36"/>
          <w:szCs w:val="36"/>
          <w:rtl/>
        </w:rPr>
        <w:t>زيد في الدار انتقل الذهن الى صور</w:t>
      </w:r>
      <w:r w:rsidR="00EC7EDF" w:rsidRPr="00FD211F">
        <w:rPr>
          <w:sz w:val="36"/>
          <w:szCs w:val="36"/>
          <w:rtl/>
        </w:rPr>
        <w:t xml:space="preserve">ة </w:t>
      </w:r>
      <w:r w:rsidRPr="00FD211F">
        <w:rPr>
          <w:sz w:val="36"/>
          <w:szCs w:val="36"/>
          <w:rtl/>
        </w:rPr>
        <w:t>وجود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بينهما.</w:t>
      </w:r>
    </w:p>
    <w:p w14:paraId="2A5722B6" w14:textId="77777777" w:rsidR="0045248F" w:rsidRPr="00FD211F" w:rsidRDefault="0045248F" w:rsidP="009C58C8">
      <w:pPr>
        <w:pStyle w:val="3"/>
        <w:ind w:firstLine="227"/>
        <w:jc w:val="both"/>
        <w:rPr>
          <w:rtl/>
        </w:rPr>
      </w:pPr>
      <w:bookmarkStart w:id="192" w:name="_Toc223890346"/>
      <w:r w:rsidRPr="00FD211F">
        <w:rPr>
          <w:rtl/>
        </w:rPr>
        <w:t>القول بوضع الحروف للدلال</w:t>
      </w:r>
      <w:r w:rsidR="00EC7EDF" w:rsidRPr="00FD211F">
        <w:rPr>
          <w:rtl/>
        </w:rPr>
        <w:t xml:space="preserve">ة </w:t>
      </w:r>
      <w:r w:rsidRPr="00FD211F">
        <w:rPr>
          <w:rtl/>
        </w:rPr>
        <w:t>على النسب الخارجي</w:t>
      </w:r>
      <w:r w:rsidR="00EC7EDF" w:rsidRPr="00FD211F">
        <w:rPr>
          <w:rtl/>
        </w:rPr>
        <w:t>ة</w:t>
      </w:r>
      <w:bookmarkEnd w:id="192"/>
      <w:r w:rsidR="00EC7EDF" w:rsidRPr="00FD211F">
        <w:rPr>
          <w:rtl/>
        </w:rPr>
        <w:t xml:space="preserve"> </w:t>
      </w:r>
    </w:p>
    <w:p w14:paraId="6BDB7409" w14:textId="77777777" w:rsidR="006A5ACB" w:rsidRPr="00FD211F" w:rsidRDefault="006E7E24" w:rsidP="009C58C8">
      <w:pPr>
        <w:ind w:left="0" w:firstLine="227"/>
        <w:jc w:val="both"/>
        <w:rPr>
          <w:sz w:val="36"/>
          <w:szCs w:val="36"/>
          <w:rtl/>
        </w:rPr>
      </w:pPr>
      <w:r w:rsidRPr="00FD211F">
        <w:rPr>
          <w:b/>
          <w:bCs/>
          <w:sz w:val="36"/>
          <w:szCs w:val="36"/>
          <w:rtl/>
        </w:rPr>
        <w:t>القول الثامن</w:t>
      </w:r>
      <w:r w:rsidR="0045248F" w:rsidRPr="00FD211F">
        <w:rPr>
          <w:sz w:val="36"/>
          <w:szCs w:val="36"/>
          <w:rtl/>
        </w:rPr>
        <w:t>:ما</w:t>
      </w:r>
      <w:r w:rsidR="00251CB6" w:rsidRPr="00FD211F">
        <w:rPr>
          <w:sz w:val="36"/>
          <w:szCs w:val="36"/>
          <w:rtl/>
        </w:rPr>
        <w:t xml:space="preserve"> </w:t>
      </w:r>
      <w:r w:rsidR="0045248F" w:rsidRPr="00FD211F">
        <w:rPr>
          <w:sz w:val="36"/>
          <w:szCs w:val="36"/>
          <w:rtl/>
        </w:rPr>
        <w:t>اخترناه في الدور</w:t>
      </w:r>
      <w:r w:rsidR="00EC7EDF" w:rsidRPr="00FD211F">
        <w:rPr>
          <w:sz w:val="36"/>
          <w:szCs w:val="36"/>
          <w:rtl/>
        </w:rPr>
        <w:t xml:space="preserve">ة </w:t>
      </w:r>
      <w:r w:rsidR="0045248F" w:rsidRPr="00FD211F">
        <w:rPr>
          <w:sz w:val="36"/>
          <w:szCs w:val="36"/>
          <w:rtl/>
        </w:rPr>
        <w:t>السابق</w:t>
      </w:r>
      <w:r w:rsidR="00EC7EDF" w:rsidRPr="00FD211F">
        <w:rPr>
          <w:sz w:val="36"/>
          <w:szCs w:val="36"/>
          <w:rtl/>
        </w:rPr>
        <w:t xml:space="preserve">ة </w:t>
      </w:r>
      <w:r w:rsidR="006A5ACB" w:rsidRPr="00FD211F">
        <w:rPr>
          <w:sz w:val="36"/>
          <w:szCs w:val="36"/>
          <w:rtl/>
        </w:rPr>
        <w:t>من</w:t>
      </w:r>
      <w:r w:rsidR="0045248F" w:rsidRPr="00FD211F">
        <w:rPr>
          <w:sz w:val="36"/>
          <w:szCs w:val="36"/>
          <w:rtl/>
        </w:rPr>
        <w:t xml:space="preserve"> أنه بناء</w:t>
      </w:r>
      <w:r w:rsidR="00251CB6" w:rsidRPr="00FD211F">
        <w:rPr>
          <w:sz w:val="36"/>
          <w:szCs w:val="36"/>
          <w:rtl/>
        </w:rPr>
        <w:t xml:space="preserve"> </w:t>
      </w:r>
      <w:r w:rsidR="0045248F" w:rsidRPr="00FD211F">
        <w:rPr>
          <w:sz w:val="36"/>
          <w:szCs w:val="36"/>
          <w:rtl/>
        </w:rPr>
        <w:t>على ما</w:t>
      </w:r>
      <w:r w:rsidR="00251CB6" w:rsidRPr="00FD211F">
        <w:rPr>
          <w:sz w:val="36"/>
          <w:szCs w:val="36"/>
          <w:rtl/>
        </w:rPr>
        <w:t xml:space="preserve"> </w:t>
      </w:r>
      <w:r w:rsidR="0045248F" w:rsidRPr="00FD211F">
        <w:rPr>
          <w:sz w:val="36"/>
          <w:szCs w:val="36"/>
          <w:rtl/>
        </w:rPr>
        <w:t>ذهبنا</w:t>
      </w:r>
      <w:r w:rsidR="00251CB6" w:rsidRPr="00FD211F">
        <w:rPr>
          <w:sz w:val="36"/>
          <w:szCs w:val="36"/>
          <w:rtl/>
        </w:rPr>
        <w:t xml:space="preserve"> </w:t>
      </w:r>
      <w:r w:rsidR="0045248F" w:rsidRPr="00FD211F">
        <w:rPr>
          <w:sz w:val="36"/>
          <w:szCs w:val="36"/>
          <w:rtl/>
        </w:rPr>
        <w:t xml:space="preserve">اليه من </w:t>
      </w:r>
      <w:r w:rsidR="006A5ACB" w:rsidRPr="00FD211F">
        <w:rPr>
          <w:sz w:val="36"/>
          <w:szCs w:val="36"/>
          <w:rtl/>
        </w:rPr>
        <w:t>ان الموضوع له للالفاظ كلفظ الماء مثلا ما هو بالحمل الشائع ماء</w:t>
      </w:r>
      <w:r w:rsidR="00603323" w:rsidRPr="00FD211F">
        <w:rPr>
          <w:sz w:val="36"/>
          <w:szCs w:val="36"/>
          <w:rtl/>
        </w:rPr>
        <w:t xml:space="preserve">، </w:t>
      </w:r>
      <w:r w:rsidR="006A5ACB" w:rsidRPr="00FD211F">
        <w:rPr>
          <w:sz w:val="36"/>
          <w:szCs w:val="36"/>
          <w:rtl/>
        </w:rPr>
        <w:t>لصح</w:t>
      </w:r>
      <w:r w:rsidR="00EC7EDF" w:rsidRPr="00FD211F">
        <w:rPr>
          <w:sz w:val="36"/>
          <w:szCs w:val="36"/>
          <w:rtl/>
        </w:rPr>
        <w:t xml:space="preserve">ة </w:t>
      </w:r>
      <w:r w:rsidR="006A5ACB" w:rsidRPr="00FD211F">
        <w:rPr>
          <w:sz w:val="36"/>
          <w:szCs w:val="36"/>
          <w:rtl/>
        </w:rPr>
        <w:t>سلبه بما له من المعنى المرتكز عن مفهوم الماء الموجود في الذهن</w:t>
      </w:r>
      <w:r w:rsidR="00603323" w:rsidRPr="00FD211F">
        <w:rPr>
          <w:sz w:val="36"/>
          <w:szCs w:val="36"/>
          <w:rtl/>
        </w:rPr>
        <w:t xml:space="preserve">، </w:t>
      </w:r>
      <w:r w:rsidR="00B63002" w:rsidRPr="00FD211F">
        <w:rPr>
          <w:sz w:val="36"/>
          <w:szCs w:val="36"/>
          <w:rtl/>
        </w:rPr>
        <w:t>فان أبيت عن ذلك فلااقل من ان الموضوع له للف</w:t>
      </w:r>
      <w:r w:rsidR="006A5ACB" w:rsidRPr="00FD211F">
        <w:rPr>
          <w:sz w:val="36"/>
          <w:szCs w:val="36"/>
          <w:rtl/>
        </w:rPr>
        <w:t>ظ</w:t>
      </w:r>
      <w:r w:rsidR="00B63002" w:rsidRPr="00FD211F">
        <w:rPr>
          <w:sz w:val="36"/>
          <w:szCs w:val="36"/>
          <w:rtl/>
        </w:rPr>
        <w:t xml:space="preserve"> الماء</w:t>
      </w:r>
      <w:r w:rsidR="006A5ACB" w:rsidRPr="00FD211F">
        <w:rPr>
          <w:sz w:val="36"/>
          <w:szCs w:val="36"/>
          <w:rtl/>
        </w:rPr>
        <w:t xml:space="preserve"> بالنظر العرفي</w:t>
      </w:r>
      <w:r w:rsidR="00B63002" w:rsidRPr="00FD211F">
        <w:rPr>
          <w:sz w:val="36"/>
          <w:szCs w:val="36"/>
          <w:rtl/>
        </w:rPr>
        <w:t xml:space="preserve"> هو مايكون بالحمل الشايع ماء</w:t>
      </w:r>
      <w:r w:rsidR="00603323" w:rsidRPr="00FD211F">
        <w:rPr>
          <w:sz w:val="36"/>
          <w:szCs w:val="36"/>
          <w:rtl/>
        </w:rPr>
        <w:t xml:space="preserve">، </w:t>
      </w:r>
      <w:r w:rsidR="006A5ACB" w:rsidRPr="00FD211F">
        <w:rPr>
          <w:sz w:val="36"/>
          <w:szCs w:val="36"/>
          <w:rtl/>
        </w:rPr>
        <w:t>وان كان الموضوع له بالنظر العقلي هو ذات المفهوم الذي قد يوجد في الذهن</w:t>
      </w:r>
      <w:r w:rsidR="00603323" w:rsidRPr="00FD211F">
        <w:rPr>
          <w:sz w:val="36"/>
          <w:szCs w:val="36"/>
          <w:rtl/>
        </w:rPr>
        <w:t xml:space="preserve">، </w:t>
      </w:r>
      <w:r w:rsidR="006A5ACB" w:rsidRPr="00FD211F">
        <w:rPr>
          <w:sz w:val="36"/>
          <w:szCs w:val="36"/>
          <w:rtl/>
        </w:rPr>
        <w:t xml:space="preserve">فيكون مدلول </w:t>
      </w:r>
      <w:r w:rsidR="00B63002" w:rsidRPr="00FD211F">
        <w:rPr>
          <w:sz w:val="36"/>
          <w:szCs w:val="36"/>
          <w:rtl/>
        </w:rPr>
        <w:t>ال</w:t>
      </w:r>
      <w:r w:rsidR="006A5ACB" w:rsidRPr="00FD211F">
        <w:rPr>
          <w:sz w:val="36"/>
          <w:szCs w:val="36"/>
          <w:rtl/>
        </w:rPr>
        <w:t>لفظ عرفا هو ما يكون بالحمل الشائع</w:t>
      </w:r>
      <w:r w:rsidR="00603323" w:rsidRPr="00FD211F">
        <w:rPr>
          <w:sz w:val="36"/>
          <w:szCs w:val="36"/>
          <w:rtl/>
        </w:rPr>
        <w:t xml:space="preserve">، </w:t>
      </w:r>
      <w:r w:rsidR="00B63002" w:rsidRPr="00FD211F">
        <w:rPr>
          <w:sz w:val="36"/>
          <w:szCs w:val="36"/>
          <w:rtl/>
        </w:rPr>
        <w:t>اي ما لو وجد يكون موطن</w:t>
      </w:r>
      <w:r w:rsidR="00B253CE" w:rsidRPr="00FD211F">
        <w:rPr>
          <w:sz w:val="36"/>
          <w:szCs w:val="36"/>
          <w:rtl/>
        </w:rPr>
        <w:t xml:space="preserve"> </w:t>
      </w:r>
      <w:r w:rsidR="006A5ACB" w:rsidRPr="00FD211F">
        <w:rPr>
          <w:sz w:val="36"/>
          <w:szCs w:val="36"/>
          <w:rtl/>
        </w:rPr>
        <w:t>وجوده الخارج وان</w:t>
      </w:r>
      <w:r w:rsidR="008D7B3D" w:rsidRPr="00FD211F">
        <w:rPr>
          <w:sz w:val="36"/>
          <w:szCs w:val="36"/>
          <w:rtl/>
        </w:rPr>
        <w:t xml:space="preserve"> لم‌</w:t>
      </w:r>
      <w:r w:rsidR="006A5ACB" w:rsidRPr="00FD211F">
        <w:rPr>
          <w:sz w:val="36"/>
          <w:szCs w:val="36"/>
          <w:rtl/>
        </w:rPr>
        <w:t>يوجد في الخارج ابدا كال</w:t>
      </w:r>
      <w:r w:rsidR="00B63002" w:rsidRPr="00FD211F">
        <w:rPr>
          <w:sz w:val="36"/>
          <w:szCs w:val="36"/>
          <w:rtl/>
        </w:rPr>
        <w:t>عنقاء</w:t>
      </w:r>
      <w:r w:rsidR="00603323" w:rsidRPr="00FD211F">
        <w:rPr>
          <w:sz w:val="36"/>
          <w:szCs w:val="36"/>
          <w:rtl/>
        </w:rPr>
        <w:t xml:space="preserve">، </w:t>
      </w:r>
      <w:r w:rsidR="00B63002" w:rsidRPr="00FD211F">
        <w:rPr>
          <w:sz w:val="36"/>
          <w:szCs w:val="36"/>
          <w:rtl/>
        </w:rPr>
        <w:t>بل ولو امتنع وجوده ك</w:t>
      </w:r>
      <w:r w:rsidR="0045248F" w:rsidRPr="00FD211F">
        <w:rPr>
          <w:sz w:val="36"/>
          <w:szCs w:val="36"/>
          <w:rtl/>
        </w:rPr>
        <w:t>الدور.</w:t>
      </w:r>
      <w:r w:rsidR="006A5ACB" w:rsidRPr="00FD211F">
        <w:rPr>
          <w:sz w:val="36"/>
          <w:szCs w:val="36"/>
          <w:rtl/>
        </w:rPr>
        <w:t xml:space="preserve"> </w:t>
      </w:r>
    </w:p>
    <w:p w14:paraId="5CFF67E4" w14:textId="77777777" w:rsidR="006A5ACB" w:rsidRPr="00FD211F" w:rsidRDefault="006A5ACB" w:rsidP="00251CB6">
      <w:pPr>
        <w:ind w:left="0" w:firstLine="227"/>
        <w:jc w:val="both"/>
        <w:rPr>
          <w:sz w:val="36"/>
          <w:szCs w:val="36"/>
          <w:rtl/>
        </w:rPr>
      </w:pPr>
      <w:r w:rsidRPr="00FD211F">
        <w:rPr>
          <w:sz w:val="36"/>
          <w:szCs w:val="36"/>
          <w:rtl/>
        </w:rPr>
        <w:t>فنقول في المقام انه كمايكون الموضوع له للفظ الجلوس والدارفي قولنا</w:t>
      </w:r>
      <w:r w:rsidR="00251CB6" w:rsidRPr="00FD211F">
        <w:rPr>
          <w:sz w:val="36"/>
          <w:szCs w:val="36"/>
          <w:rtl/>
        </w:rPr>
        <w:t xml:space="preserve"> </w:t>
      </w:r>
      <w:r w:rsidRPr="00FD211F">
        <w:rPr>
          <w:sz w:val="36"/>
          <w:szCs w:val="36"/>
          <w:rtl/>
        </w:rPr>
        <w:t>"الجلوس في الدار" هو ما يكون جلوسا ودارا بالحمل الشائع</w:t>
      </w:r>
      <w:r w:rsidR="00603323" w:rsidRPr="00FD211F">
        <w:rPr>
          <w:sz w:val="36"/>
          <w:szCs w:val="36"/>
          <w:rtl/>
        </w:rPr>
        <w:t xml:space="preserve">، </w:t>
      </w:r>
      <w:r w:rsidRPr="00FD211F">
        <w:rPr>
          <w:sz w:val="36"/>
          <w:szCs w:val="36"/>
          <w:rtl/>
        </w:rPr>
        <w:t>فكذلك الموضوع له للفظ</w:t>
      </w:r>
      <w:r w:rsidR="00EC7EDF" w:rsidRPr="00FD211F">
        <w:rPr>
          <w:sz w:val="36"/>
          <w:szCs w:val="36"/>
          <w:rtl/>
        </w:rPr>
        <w:t xml:space="preserve">ة </w:t>
      </w:r>
      <w:r w:rsidR="00B63002" w:rsidRPr="00FD211F">
        <w:rPr>
          <w:sz w:val="36"/>
          <w:szCs w:val="36"/>
          <w:rtl/>
        </w:rPr>
        <w:t>"</w:t>
      </w:r>
      <w:r w:rsidRPr="00FD211F">
        <w:rPr>
          <w:sz w:val="36"/>
          <w:szCs w:val="36"/>
          <w:rtl/>
        </w:rPr>
        <w:t>في</w:t>
      </w:r>
      <w:r w:rsidR="00B63002" w:rsidRPr="00FD211F">
        <w:rPr>
          <w:sz w:val="36"/>
          <w:szCs w:val="36"/>
          <w:rtl/>
        </w:rPr>
        <w:t>"</w:t>
      </w:r>
      <w:r w:rsidRPr="00FD211F">
        <w:rPr>
          <w:sz w:val="36"/>
          <w:szCs w:val="36"/>
          <w:rtl/>
        </w:rPr>
        <w:t xml:space="preserve"> عرفا هو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الخارجي</w:t>
      </w:r>
      <w:r w:rsidR="00EC7EDF" w:rsidRPr="00FD211F">
        <w:rPr>
          <w:sz w:val="36"/>
          <w:szCs w:val="36"/>
          <w:rtl/>
        </w:rPr>
        <w:t>ة</w:t>
      </w:r>
      <w:r w:rsidR="00603323" w:rsidRPr="00FD211F">
        <w:rPr>
          <w:sz w:val="36"/>
          <w:szCs w:val="36"/>
          <w:rtl/>
        </w:rPr>
        <w:t xml:space="preserve">، </w:t>
      </w:r>
      <w:r w:rsidRPr="00FD211F">
        <w:rPr>
          <w:sz w:val="36"/>
          <w:szCs w:val="36"/>
          <w:rtl/>
        </w:rPr>
        <w:t>فانها هي التي تدل عليها لفظ</w:t>
      </w:r>
      <w:r w:rsidR="00EC7EDF" w:rsidRPr="00FD211F">
        <w:rPr>
          <w:sz w:val="36"/>
          <w:szCs w:val="36"/>
          <w:rtl/>
        </w:rPr>
        <w:t xml:space="preserve">ة </w:t>
      </w:r>
      <w:r w:rsidR="00251CB6" w:rsidRPr="00FD211F">
        <w:rPr>
          <w:sz w:val="36"/>
          <w:szCs w:val="36"/>
          <w:rtl/>
        </w:rPr>
        <w:t>"</w:t>
      </w:r>
      <w:r w:rsidRPr="00FD211F">
        <w:rPr>
          <w:sz w:val="36"/>
          <w:szCs w:val="36"/>
          <w:rtl/>
        </w:rPr>
        <w:t>في"</w:t>
      </w:r>
      <w:r w:rsidR="00603323" w:rsidRPr="00FD211F">
        <w:rPr>
          <w:sz w:val="36"/>
          <w:szCs w:val="36"/>
          <w:rtl/>
        </w:rPr>
        <w:t xml:space="preserve">، </w:t>
      </w:r>
      <w:r w:rsidRPr="00FD211F">
        <w:rPr>
          <w:sz w:val="36"/>
          <w:szCs w:val="36"/>
          <w:rtl/>
        </w:rPr>
        <w:t>دون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الذهني</w:t>
      </w:r>
      <w:r w:rsidR="00EC7EDF" w:rsidRPr="00FD211F">
        <w:rPr>
          <w:sz w:val="36"/>
          <w:szCs w:val="36"/>
          <w:rtl/>
        </w:rPr>
        <w:t>ة</w:t>
      </w:r>
      <w:r w:rsidR="00A61BAE" w:rsidRPr="00FD211F">
        <w:rPr>
          <w:sz w:val="36"/>
          <w:szCs w:val="36"/>
          <w:rtl/>
        </w:rPr>
        <w:t>.</w:t>
      </w:r>
    </w:p>
    <w:p w14:paraId="4D4181F3" w14:textId="77777777" w:rsidR="008E5E88" w:rsidRPr="00FD211F" w:rsidRDefault="008E5E88" w:rsidP="009C58C8">
      <w:pPr>
        <w:ind w:left="0" w:firstLine="227"/>
        <w:jc w:val="both"/>
        <w:rPr>
          <w:sz w:val="36"/>
          <w:szCs w:val="36"/>
          <w:rtl/>
        </w:rPr>
      </w:pPr>
      <w:r w:rsidRPr="00FD211F">
        <w:rPr>
          <w:sz w:val="36"/>
          <w:szCs w:val="36"/>
          <w:rtl/>
        </w:rPr>
        <w:t>هذاولكن يوجد هنا</w:t>
      </w:r>
      <w:r w:rsidR="00533898" w:rsidRPr="00FD211F">
        <w:rPr>
          <w:sz w:val="36"/>
          <w:szCs w:val="36"/>
          <w:rtl/>
        </w:rPr>
        <w:t>ثلاث</w:t>
      </w:r>
      <w:r w:rsidR="00EC7EDF" w:rsidRPr="00FD211F">
        <w:rPr>
          <w:sz w:val="36"/>
          <w:szCs w:val="36"/>
          <w:rtl/>
        </w:rPr>
        <w:t xml:space="preserve">ة </w:t>
      </w:r>
      <w:r w:rsidR="00533898" w:rsidRPr="00FD211F">
        <w:rPr>
          <w:sz w:val="36"/>
          <w:szCs w:val="36"/>
          <w:rtl/>
        </w:rPr>
        <w:t>اشكالات</w:t>
      </w:r>
      <w:r w:rsidRPr="00FD211F">
        <w:rPr>
          <w:sz w:val="36"/>
          <w:szCs w:val="36"/>
          <w:rtl/>
        </w:rPr>
        <w:t>:</w:t>
      </w:r>
    </w:p>
    <w:p w14:paraId="6523253C" w14:textId="77777777" w:rsidR="006A5ACB" w:rsidRPr="00FD211F" w:rsidRDefault="008E5E88" w:rsidP="009C58C8">
      <w:pPr>
        <w:ind w:left="0" w:firstLine="227"/>
        <w:jc w:val="both"/>
        <w:rPr>
          <w:sz w:val="36"/>
          <w:szCs w:val="36"/>
          <w:rtl/>
        </w:rPr>
      </w:pPr>
      <w:r w:rsidRPr="00FD211F">
        <w:rPr>
          <w:b/>
          <w:bCs/>
          <w:sz w:val="36"/>
          <w:szCs w:val="36"/>
          <w:rtl/>
        </w:rPr>
        <w:t>ا</w:t>
      </w:r>
      <w:r w:rsidR="00533898" w:rsidRPr="00FD211F">
        <w:rPr>
          <w:b/>
          <w:bCs/>
          <w:sz w:val="36"/>
          <w:szCs w:val="36"/>
          <w:rtl/>
        </w:rPr>
        <w:t>لاول</w:t>
      </w:r>
      <w:r w:rsidR="00EC7EDF" w:rsidRPr="00FD211F">
        <w:rPr>
          <w:sz w:val="36"/>
          <w:szCs w:val="36"/>
          <w:rtl/>
        </w:rPr>
        <w:t>:</w:t>
      </w:r>
      <w:r w:rsidR="006A5ACB" w:rsidRPr="00FD211F">
        <w:rPr>
          <w:sz w:val="36"/>
          <w:szCs w:val="36"/>
          <w:rtl/>
        </w:rPr>
        <w:t xml:space="preserve"> انه لو كان الموضوع له لقولنا "زيد في الدار" هو ثبوت النسب</w:t>
      </w:r>
      <w:r w:rsidR="00EC7EDF" w:rsidRPr="00FD211F">
        <w:rPr>
          <w:sz w:val="36"/>
          <w:szCs w:val="36"/>
          <w:rtl/>
        </w:rPr>
        <w:t xml:space="preserve">ة </w:t>
      </w:r>
      <w:r w:rsidR="006A5ACB" w:rsidRPr="00FD211F">
        <w:rPr>
          <w:sz w:val="36"/>
          <w:szCs w:val="36"/>
          <w:rtl/>
        </w:rPr>
        <w:t>الظرفي</w:t>
      </w:r>
      <w:r w:rsidR="00EC7EDF" w:rsidRPr="00FD211F">
        <w:rPr>
          <w:sz w:val="36"/>
          <w:szCs w:val="36"/>
          <w:rtl/>
        </w:rPr>
        <w:t xml:space="preserve">ة </w:t>
      </w:r>
      <w:r w:rsidR="006A5ACB" w:rsidRPr="00FD211F">
        <w:rPr>
          <w:sz w:val="36"/>
          <w:szCs w:val="36"/>
          <w:rtl/>
        </w:rPr>
        <w:t>الخارجي</w:t>
      </w:r>
      <w:r w:rsidR="00EC7EDF" w:rsidRPr="00FD211F">
        <w:rPr>
          <w:sz w:val="36"/>
          <w:szCs w:val="36"/>
          <w:rtl/>
        </w:rPr>
        <w:t xml:space="preserve">ة </w:t>
      </w:r>
      <w:r w:rsidR="006A5ACB" w:rsidRPr="00FD211F">
        <w:rPr>
          <w:sz w:val="36"/>
          <w:szCs w:val="36"/>
          <w:rtl/>
        </w:rPr>
        <w:t>بين زيد والدار فيلزم منه ان يكون الاخبارالكاذب كلاما مهملا لعدم ثبوت معناه وهذاباطل جزما.</w:t>
      </w:r>
    </w:p>
    <w:p w14:paraId="10586676" w14:textId="77777777" w:rsidR="006A5ACB" w:rsidRPr="00FD211F" w:rsidRDefault="00533898" w:rsidP="00E96B73">
      <w:pPr>
        <w:ind w:left="0" w:firstLine="227"/>
        <w:jc w:val="both"/>
        <w:rPr>
          <w:sz w:val="36"/>
          <w:szCs w:val="36"/>
          <w:rtl/>
        </w:rPr>
      </w:pPr>
      <w:r w:rsidRPr="00FD211F">
        <w:rPr>
          <w:sz w:val="36"/>
          <w:szCs w:val="36"/>
          <w:rtl/>
        </w:rPr>
        <w:t xml:space="preserve">وفيه </w:t>
      </w:r>
      <w:r w:rsidR="006A5ACB" w:rsidRPr="00FD211F">
        <w:rPr>
          <w:sz w:val="36"/>
          <w:szCs w:val="36"/>
          <w:rtl/>
        </w:rPr>
        <w:t>ان المعنى المستعمل فيه الذي ينحفظ في الكلام الكاذب والصادق هو الصور</w:t>
      </w:r>
      <w:r w:rsidR="00EC7EDF" w:rsidRPr="00FD211F">
        <w:rPr>
          <w:sz w:val="36"/>
          <w:szCs w:val="36"/>
          <w:rtl/>
        </w:rPr>
        <w:t xml:space="preserve">ة </w:t>
      </w:r>
      <w:r w:rsidR="006A5ACB" w:rsidRPr="00FD211F">
        <w:rPr>
          <w:sz w:val="36"/>
          <w:szCs w:val="36"/>
          <w:rtl/>
        </w:rPr>
        <w:t>الذهني</w:t>
      </w:r>
      <w:r w:rsidR="00EC7EDF" w:rsidRPr="00FD211F">
        <w:rPr>
          <w:sz w:val="36"/>
          <w:szCs w:val="36"/>
          <w:rtl/>
        </w:rPr>
        <w:t xml:space="preserve">ة </w:t>
      </w:r>
      <w:r w:rsidR="006A5ACB" w:rsidRPr="00FD211F">
        <w:rPr>
          <w:sz w:val="36"/>
          <w:szCs w:val="36"/>
          <w:rtl/>
        </w:rPr>
        <w:t>الموجود</w:t>
      </w:r>
      <w:r w:rsidR="00EC7EDF" w:rsidRPr="00FD211F">
        <w:rPr>
          <w:sz w:val="36"/>
          <w:szCs w:val="36"/>
          <w:rtl/>
        </w:rPr>
        <w:t xml:space="preserve">ة </w:t>
      </w:r>
      <w:r w:rsidR="006A5ACB" w:rsidRPr="00FD211F">
        <w:rPr>
          <w:sz w:val="36"/>
          <w:szCs w:val="36"/>
          <w:rtl/>
        </w:rPr>
        <w:t>في ذهن المتكلم</w:t>
      </w:r>
      <w:r w:rsidR="00603323" w:rsidRPr="00FD211F">
        <w:rPr>
          <w:sz w:val="36"/>
          <w:szCs w:val="36"/>
          <w:rtl/>
        </w:rPr>
        <w:t xml:space="preserve">، </w:t>
      </w:r>
      <w:r w:rsidR="006A5ACB" w:rsidRPr="00FD211F">
        <w:rPr>
          <w:sz w:val="36"/>
          <w:szCs w:val="36"/>
          <w:rtl/>
        </w:rPr>
        <w:t>وهذالاينافي</w:t>
      </w:r>
      <w:r w:rsidR="00B253CE" w:rsidRPr="00FD211F">
        <w:rPr>
          <w:sz w:val="36"/>
          <w:szCs w:val="36"/>
          <w:rtl/>
        </w:rPr>
        <w:t xml:space="preserve"> </w:t>
      </w:r>
      <w:r w:rsidR="006A5ACB" w:rsidRPr="00FD211F">
        <w:rPr>
          <w:sz w:val="36"/>
          <w:szCs w:val="36"/>
          <w:rtl/>
        </w:rPr>
        <w:t>ان يكون قوله" زيد في الدار"قد</w:t>
      </w:r>
      <w:r w:rsidR="00A223C4" w:rsidRPr="00FD211F">
        <w:rPr>
          <w:sz w:val="36"/>
          <w:szCs w:val="36"/>
          <w:rtl/>
        </w:rPr>
        <w:t xml:space="preserve"> وضع لإ</w:t>
      </w:r>
      <w:r w:rsidR="008D7B3D" w:rsidRPr="00FD211F">
        <w:rPr>
          <w:sz w:val="36"/>
          <w:szCs w:val="36"/>
          <w:rtl/>
        </w:rPr>
        <w:t>راءة</w:t>
      </w:r>
      <w:r w:rsidR="00EC7EDF" w:rsidRPr="00FD211F">
        <w:rPr>
          <w:sz w:val="36"/>
          <w:szCs w:val="36"/>
          <w:rtl/>
        </w:rPr>
        <w:t xml:space="preserve"> </w:t>
      </w:r>
      <w:r w:rsidR="006A5ACB" w:rsidRPr="00FD211F">
        <w:rPr>
          <w:sz w:val="36"/>
          <w:szCs w:val="36"/>
          <w:rtl/>
        </w:rPr>
        <w:t>ثبوت النسب</w:t>
      </w:r>
      <w:r w:rsidR="00EC7EDF" w:rsidRPr="00FD211F">
        <w:rPr>
          <w:sz w:val="36"/>
          <w:szCs w:val="36"/>
          <w:rtl/>
        </w:rPr>
        <w:t xml:space="preserve">ة </w:t>
      </w:r>
      <w:r w:rsidR="006A5ACB" w:rsidRPr="00FD211F">
        <w:rPr>
          <w:sz w:val="36"/>
          <w:szCs w:val="36"/>
          <w:rtl/>
        </w:rPr>
        <w:t>الظرفي</w:t>
      </w:r>
      <w:r w:rsidR="00EC7EDF" w:rsidRPr="00FD211F">
        <w:rPr>
          <w:sz w:val="36"/>
          <w:szCs w:val="36"/>
          <w:rtl/>
        </w:rPr>
        <w:t xml:space="preserve">ة </w:t>
      </w:r>
      <w:r w:rsidR="006A5ACB" w:rsidRPr="00FD211F">
        <w:rPr>
          <w:sz w:val="36"/>
          <w:szCs w:val="36"/>
          <w:rtl/>
        </w:rPr>
        <w:t>الخارجي</w:t>
      </w:r>
      <w:r w:rsidR="00EC7EDF" w:rsidRPr="00FD211F">
        <w:rPr>
          <w:sz w:val="36"/>
          <w:szCs w:val="36"/>
          <w:rtl/>
        </w:rPr>
        <w:t xml:space="preserve">ة </w:t>
      </w:r>
      <w:r w:rsidR="00A223C4" w:rsidRPr="00FD211F">
        <w:rPr>
          <w:sz w:val="36"/>
          <w:szCs w:val="36"/>
          <w:rtl/>
        </w:rPr>
        <w:t>الى المخاطب وليكون علام</w:t>
      </w:r>
      <w:r w:rsidR="00EC7EDF" w:rsidRPr="00FD211F">
        <w:rPr>
          <w:sz w:val="36"/>
          <w:szCs w:val="36"/>
          <w:rtl/>
        </w:rPr>
        <w:t xml:space="preserve">ة </w:t>
      </w:r>
      <w:r w:rsidR="00A223C4" w:rsidRPr="00FD211F">
        <w:rPr>
          <w:sz w:val="36"/>
          <w:szCs w:val="36"/>
          <w:rtl/>
        </w:rPr>
        <w:t>عليه</w:t>
      </w:r>
      <w:r w:rsidR="006A5ACB" w:rsidRPr="00FD211F">
        <w:rPr>
          <w:sz w:val="36"/>
          <w:szCs w:val="36"/>
          <w:rtl/>
        </w:rPr>
        <w:t xml:space="preserve"> وتخلف ذي العلام</w:t>
      </w:r>
      <w:r w:rsidR="00EC7EDF" w:rsidRPr="00FD211F">
        <w:rPr>
          <w:sz w:val="36"/>
          <w:szCs w:val="36"/>
          <w:rtl/>
        </w:rPr>
        <w:t xml:space="preserve">ة </w:t>
      </w:r>
      <w:r w:rsidR="006A5ACB" w:rsidRPr="00FD211F">
        <w:rPr>
          <w:sz w:val="36"/>
          <w:szCs w:val="36"/>
          <w:rtl/>
        </w:rPr>
        <w:t>لايوجب اهمال العلام</w:t>
      </w:r>
      <w:r w:rsidR="00EC7EDF" w:rsidRPr="00FD211F">
        <w:rPr>
          <w:sz w:val="36"/>
          <w:szCs w:val="36"/>
          <w:rtl/>
        </w:rPr>
        <w:t>ة</w:t>
      </w:r>
      <w:r w:rsidR="00603323" w:rsidRPr="00FD211F">
        <w:rPr>
          <w:sz w:val="36"/>
          <w:szCs w:val="36"/>
          <w:rtl/>
        </w:rPr>
        <w:t xml:space="preserve">، </w:t>
      </w:r>
      <w:r w:rsidR="006A5ACB" w:rsidRPr="00FD211F">
        <w:rPr>
          <w:sz w:val="36"/>
          <w:szCs w:val="36"/>
          <w:rtl/>
        </w:rPr>
        <w:t>وحينئذ فيقال ان لفظ</w:t>
      </w:r>
      <w:r w:rsidR="00E96B73">
        <w:rPr>
          <w:sz w:val="36"/>
          <w:szCs w:val="36"/>
          <w:rtl/>
        </w:rPr>
        <w:t>ة</w:t>
      </w:r>
      <w:r w:rsidR="00E96B73">
        <w:rPr>
          <w:rFonts w:hint="cs"/>
          <w:sz w:val="36"/>
          <w:szCs w:val="36"/>
          <w:rtl/>
        </w:rPr>
        <w:t xml:space="preserve"> "</w:t>
      </w:r>
      <w:r w:rsidR="006A5ACB" w:rsidRPr="00FD211F">
        <w:rPr>
          <w:sz w:val="36"/>
          <w:szCs w:val="36"/>
          <w:rtl/>
        </w:rPr>
        <w:t>م</w:t>
      </w:r>
      <w:r w:rsidR="00E96B73">
        <w:rPr>
          <w:rFonts w:hint="cs"/>
          <w:sz w:val="36"/>
          <w:szCs w:val="36"/>
          <w:rtl/>
        </w:rPr>
        <w:t>ِ</w:t>
      </w:r>
      <w:r w:rsidR="006A5ACB" w:rsidRPr="00FD211F">
        <w:rPr>
          <w:sz w:val="36"/>
          <w:szCs w:val="36"/>
          <w:rtl/>
        </w:rPr>
        <w:t>ن"</w:t>
      </w:r>
      <w:r w:rsidR="00E96B73">
        <w:rPr>
          <w:rFonts w:hint="cs"/>
          <w:sz w:val="36"/>
          <w:szCs w:val="36"/>
          <w:rtl/>
        </w:rPr>
        <w:t xml:space="preserve"> </w:t>
      </w:r>
      <w:r w:rsidR="006A5ACB" w:rsidRPr="00FD211F">
        <w:rPr>
          <w:sz w:val="36"/>
          <w:szCs w:val="36"/>
          <w:rtl/>
        </w:rPr>
        <w:t>ولفظ</w:t>
      </w:r>
      <w:r w:rsidR="00EC7EDF" w:rsidRPr="00FD211F">
        <w:rPr>
          <w:sz w:val="36"/>
          <w:szCs w:val="36"/>
          <w:rtl/>
        </w:rPr>
        <w:t xml:space="preserve">ة </w:t>
      </w:r>
      <w:r w:rsidR="006A5ACB" w:rsidRPr="00FD211F">
        <w:rPr>
          <w:sz w:val="36"/>
          <w:szCs w:val="36"/>
          <w:rtl/>
        </w:rPr>
        <w:t>"الابتداء" وضعتا للحكاي</w:t>
      </w:r>
      <w:r w:rsidR="00EC7EDF" w:rsidRPr="00FD211F">
        <w:rPr>
          <w:sz w:val="36"/>
          <w:szCs w:val="36"/>
          <w:rtl/>
        </w:rPr>
        <w:t xml:space="preserve">ة </w:t>
      </w:r>
      <w:r w:rsidR="006A5ACB" w:rsidRPr="00FD211F">
        <w:rPr>
          <w:sz w:val="36"/>
          <w:szCs w:val="36"/>
          <w:rtl/>
        </w:rPr>
        <w:t>عن النسب</w:t>
      </w:r>
      <w:r w:rsidR="00EC7EDF" w:rsidRPr="00FD211F">
        <w:rPr>
          <w:sz w:val="36"/>
          <w:szCs w:val="36"/>
          <w:rtl/>
        </w:rPr>
        <w:t xml:space="preserve">ة </w:t>
      </w:r>
      <w:r w:rsidR="006A5ACB" w:rsidRPr="00FD211F">
        <w:rPr>
          <w:sz w:val="36"/>
          <w:szCs w:val="36"/>
          <w:rtl/>
        </w:rPr>
        <w:t>الظرفي</w:t>
      </w:r>
      <w:r w:rsidR="00EC7EDF" w:rsidRPr="00FD211F">
        <w:rPr>
          <w:sz w:val="36"/>
          <w:szCs w:val="36"/>
          <w:rtl/>
        </w:rPr>
        <w:t xml:space="preserve">ة </w:t>
      </w:r>
      <w:r w:rsidR="006A5ACB" w:rsidRPr="00FD211F">
        <w:rPr>
          <w:sz w:val="36"/>
          <w:szCs w:val="36"/>
          <w:rtl/>
        </w:rPr>
        <w:t>الخارجي</w:t>
      </w:r>
      <w:r w:rsidR="00EC7EDF" w:rsidRPr="00FD211F">
        <w:rPr>
          <w:sz w:val="36"/>
          <w:szCs w:val="36"/>
          <w:rtl/>
        </w:rPr>
        <w:t>ة</w:t>
      </w:r>
      <w:r w:rsidR="00603323" w:rsidRPr="00FD211F">
        <w:rPr>
          <w:sz w:val="36"/>
          <w:szCs w:val="36"/>
          <w:rtl/>
        </w:rPr>
        <w:t xml:space="preserve">، </w:t>
      </w:r>
      <w:r w:rsidR="006A5ACB" w:rsidRPr="00FD211F">
        <w:rPr>
          <w:sz w:val="36"/>
          <w:szCs w:val="36"/>
          <w:rtl/>
        </w:rPr>
        <w:t>والاختلاف بينهما في المستعمل فيه بالذات وهو الصور</w:t>
      </w:r>
      <w:r w:rsidR="00EC7EDF" w:rsidRPr="00FD211F">
        <w:rPr>
          <w:sz w:val="36"/>
          <w:szCs w:val="36"/>
          <w:rtl/>
        </w:rPr>
        <w:t xml:space="preserve">ة </w:t>
      </w:r>
      <w:r w:rsidR="006A5ACB" w:rsidRPr="00FD211F">
        <w:rPr>
          <w:sz w:val="36"/>
          <w:szCs w:val="36"/>
          <w:rtl/>
        </w:rPr>
        <w:t>الذهني</w:t>
      </w:r>
      <w:r w:rsidR="00EC7EDF" w:rsidRPr="00FD211F">
        <w:rPr>
          <w:sz w:val="36"/>
          <w:szCs w:val="36"/>
          <w:rtl/>
        </w:rPr>
        <w:t xml:space="preserve">ة </w:t>
      </w:r>
      <w:r w:rsidR="006A5ACB" w:rsidRPr="00FD211F">
        <w:rPr>
          <w:sz w:val="36"/>
          <w:szCs w:val="36"/>
          <w:rtl/>
        </w:rPr>
        <w:t>الحاكي</w:t>
      </w:r>
      <w:r w:rsidR="00EC7EDF" w:rsidRPr="00FD211F">
        <w:rPr>
          <w:sz w:val="36"/>
          <w:szCs w:val="36"/>
          <w:rtl/>
        </w:rPr>
        <w:t xml:space="preserve">ة </w:t>
      </w:r>
      <w:r w:rsidR="006A5ACB" w:rsidRPr="00FD211F">
        <w:rPr>
          <w:sz w:val="36"/>
          <w:szCs w:val="36"/>
          <w:rtl/>
        </w:rPr>
        <w:t>عن الخارج.</w:t>
      </w:r>
    </w:p>
    <w:p w14:paraId="2A5F736B" w14:textId="77777777" w:rsidR="006A5ACB" w:rsidRPr="00FD211F" w:rsidRDefault="00533898" w:rsidP="009C58C8">
      <w:pPr>
        <w:ind w:left="0" w:firstLine="227"/>
        <w:jc w:val="both"/>
        <w:rPr>
          <w:sz w:val="36"/>
          <w:szCs w:val="36"/>
          <w:rtl/>
        </w:rPr>
      </w:pPr>
      <w:r w:rsidRPr="00FD211F">
        <w:rPr>
          <w:b/>
          <w:bCs/>
          <w:sz w:val="36"/>
          <w:szCs w:val="36"/>
          <w:rtl/>
        </w:rPr>
        <w:t>الثاني</w:t>
      </w:r>
      <w:r w:rsidRPr="00FD211F">
        <w:rPr>
          <w:sz w:val="36"/>
          <w:szCs w:val="36"/>
          <w:rtl/>
        </w:rPr>
        <w:t xml:space="preserve">:انه </w:t>
      </w:r>
      <w:r w:rsidR="006A5ACB" w:rsidRPr="00FD211F">
        <w:rPr>
          <w:sz w:val="36"/>
          <w:szCs w:val="36"/>
          <w:rtl/>
        </w:rPr>
        <w:t>قد</w:t>
      </w:r>
      <w:r w:rsidR="007C7BD6" w:rsidRPr="00FD211F">
        <w:rPr>
          <w:sz w:val="36"/>
          <w:szCs w:val="36"/>
          <w:rtl/>
        </w:rPr>
        <w:t xml:space="preserve"> </w:t>
      </w:r>
      <w:r w:rsidR="006A5ACB" w:rsidRPr="00FD211F">
        <w:rPr>
          <w:sz w:val="36"/>
          <w:szCs w:val="36"/>
          <w:rtl/>
        </w:rPr>
        <w:t>لاتكون هناك نسب</w:t>
      </w:r>
      <w:r w:rsidR="00EC7EDF" w:rsidRPr="00FD211F">
        <w:rPr>
          <w:sz w:val="36"/>
          <w:szCs w:val="36"/>
          <w:rtl/>
        </w:rPr>
        <w:t xml:space="preserve">ة </w:t>
      </w:r>
      <w:r w:rsidR="006A5ACB" w:rsidRPr="00FD211F">
        <w:rPr>
          <w:sz w:val="36"/>
          <w:szCs w:val="36"/>
          <w:rtl/>
        </w:rPr>
        <w:t>خارجي</w:t>
      </w:r>
      <w:r w:rsidR="00EC7EDF" w:rsidRPr="00FD211F">
        <w:rPr>
          <w:sz w:val="36"/>
          <w:szCs w:val="36"/>
          <w:rtl/>
        </w:rPr>
        <w:t xml:space="preserve">ة </w:t>
      </w:r>
      <w:r w:rsidR="006A5ACB" w:rsidRPr="00FD211F">
        <w:rPr>
          <w:sz w:val="36"/>
          <w:szCs w:val="36"/>
          <w:rtl/>
        </w:rPr>
        <w:t>في موارد</w:t>
      </w:r>
      <w:r w:rsidR="007C7BD6" w:rsidRPr="00FD211F">
        <w:rPr>
          <w:sz w:val="36"/>
          <w:szCs w:val="36"/>
          <w:rtl/>
        </w:rPr>
        <w:t xml:space="preserve"> </w:t>
      </w:r>
      <w:r w:rsidR="006A5ACB" w:rsidRPr="00FD211F">
        <w:rPr>
          <w:sz w:val="36"/>
          <w:szCs w:val="36"/>
          <w:rtl/>
        </w:rPr>
        <w:t>استعمال الحروف كما</w:t>
      </w:r>
      <w:r w:rsidR="007C7BD6" w:rsidRPr="00FD211F">
        <w:rPr>
          <w:sz w:val="36"/>
          <w:szCs w:val="36"/>
          <w:rtl/>
        </w:rPr>
        <w:t xml:space="preserve"> </w:t>
      </w:r>
      <w:r w:rsidR="006A5ACB" w:rsidRPr="00FD211F">
        <w:rPr>
          <w:sz w:val="36"/>
          <w:szCs w:val="36"/>
          <w:rtl/>
        </w:rPr>
        <w:t>لو</w:t>
      </w:r>
      <w:r w:rsidR="007C7BD6" w:rsidRPr="00FD211F">
        <w:rPr>
          <w:sz w:val="36"/>
          <w:szCs w:val="36"/>
          <w:rtl/>
        </w:rPr>
        <w:t xml:space="preserve"> </w:t>
      </w:r>
      <w:r w:rsidR="006A5ACB" w:rsidRPr="00FD211F">
        <w:rPr>
          <w:sz w:val="36"/>
          <w:szCs w:val="36"/>
          <w:rtl/>
        </w:rPr>
        <w:t>استعملت في موارد استحال</w:t>
      </w:r>
      <w:r w:rsidR="00EC7EDF" w:rsidRPr="00FD211F">
        <w:rPr>
          <w:sz w:val="36"/>
          <w:szCs w:val="36"/>
          <w:rtl/>
        </w:rPr>
        <w:t xml:space="preserve">ة </w:t>
      </w:r>
      <w:r w:rsidR="006A5ACB" w:rsidRPr="00FD211F">
        <w:rPr>
          <w:sz w:val="36"/>
          <w:szCs w:val="36"/>
          <w:rtl/>
        </w:rPr>
        <w:t xml:space="preserve">الوجود الرابط كما في قولنا </w:t>
      </w:r>
      <w:r w:rsidR="007C0B13" w:rsidRPr="00FD211F">
        <w:rPr>
          <w:sz w:val="36"/>
          <w:szCs w:val="36"/>
          <w:rtl/>
        </w:rPr>
        <w:t>"</w:t>
      </w:r>
      <w:r w:rsidR="006A5ACB" w:rsidRPr="00FD211F">
        <w:rPr>
          <w:sz w:val="36"/>
          <w:szCs w:val="36"/>
          <w:rtl/>
        </w:rPr>
        <w:t>الوجود ثابت لله تعالى</w:t>
      </w:r>
      <w:r w:rsidR="007C0B13" w:rsidRPr="00FD211F">
        <w:rPr>
          <w:sz w:val="36"/>
          <w:szCs w:val="36"/>
          <w:rtl/>
        </w:rPr>
        <w:t>"</w:t>
      </w:r>
      <w:r w:rsidR="006A5ACB" w:rsidRPr="00FD211F">
        <w:rPr>
          <w:sz w:val="36"/>
          <w:szCs w:val="36"/>
          <w:rtl/>
        </w:rPr>
        <w:t xml:space="preserve"> او</w:t>
      </w:r>
      <w:r w:rsidR="007C0B13" w:rsidRPr="00FD211F">
        <w:rPr>
          <w:sz w:val="36"/>
          <w:szCs w:val="36"/>
          <w:rtl/>
        </w:rPr>
        <w:t>"</w:t>
      </w:r>
      <w:r w:rsidR="006A5ACB" w:rsidRPr="00FD211F">
        <w:rPr>
          <w:sz w:val="36"/>
          <w:szCs w:val="36"/>
          <w:rtl/>
        </w:rPr>
        <w:t xml:space="preserve"> ان الامتناع ثابت لاجتماع النقيضين</w:t>
      </w:r>
      <w:r w:rsidR="007C0B13" w:rsidRPr="00FD211F">
        <w:rPr>
          <w:sz w:val="36"/>
          <w:szCs w:val="36"/>
          <w:rtl/>
        </w:rPr>
        <w:t>"</w:t>
      </w:r>
      <w:r w:rsidR="00603323" w:rsidRPr="00FD211F">
        <w:rPr>
          <w:sz w:val="36"/>
          <w:szCs w:val="36"/>
          <w:rtl/>
        </w:rPr>
        <w:t xml:space="preserve">، </w:t>
      </w:r>
    </w:p>
    <w:p w14:paraId="2ADB8C57" w14:textId="77777777" w:rsidR="000C5BBA" w:rsidRPr="00FD211F" w:rsidRDefault="00533898" w:rsidP="009C58C8">
      <w:pPr>
        <w:ind w:left="0" w:firstLine="227"/>
        <w:jc w:val="both"/>
        <w:rPr>
          <w:sz w:val="36"/>
          <w:szCs w:val="36"/>
          <w:rtl/>
        </w:rPr>
      </w:pPr>
      <w:r w:rsidRPr="00FD211F">
        <w:rPr>
          <w:sz w:val="36"/>
          <w:szCs w:val="36"/>
          <w:rtl/>
        </w:rPr>
        <w:t xml:space="preserve">وفيه ان </w:t>
      </w:r>
      <w:r w:rsidR="006A5ACB" w:rsidRPr="00FD211F">
        <w:rPr>
          <w:sz w:val="36"/>
          <w:szCs w:val="36"/>
          <w:rtl/>
        </w:rPr>
        <w:t>المهم هو ثبوت الوجود الرابط في عالم الواقع ولو بالنظر العرفي الساذج</w:t>
      </w:r>
      <w:r w:rsidR="00603323" w:rsidRPr="00FD211F">
        <w:rPr>
          <w:sz w:val="36"/>
          <w:szCs w:val="36"/>
          <w:rtl/>
        </w:rPr>
        <w:t xml:space="preserve">، </w:t>
      </w:r>
      <w:r w:rsidR="006A5ACB" w:rsidRPr="00FD211F">
        <w:rPr>
          <w:sz w:val="36"/>
          <w:szCs w:val="36"/>
          <w:rtl/>
        </w:rPr>
        <w:t xml:space="preserve">وهو كذلك في </w:t>
      </w:r>
      <w:r w:rsidRPr="00FD211F">
        <w:rPr>
          <w:sz w:val="36"/>
          <w:szCs w:val="36"/>
          <w:rtl/>
        </w:rPr>
        <w:t>هذين المثالين.</w:t>
      </w:r>
    </w:p>
    <w:p w14:paraId="43A3AF7C" w14:textId="77777777" w:rsidR="00506197" w:rsidRPr="00FD211F" w:rsidRDefault="00533898" w:rsidP="009C58C8">
      <w:pPr>
        <w:ind w:left="0" w:firstLine="227"/>
        <w:jc w:val="both"/>
        <w:rPr>
          <w:sz w:val="36"/>
          <w:szCs w:val="36"/>
          <w:rtl/>
        </w:rPr>
      </w:pPr>
      <w:r w:rsidRPr="00FD211F">
        <w:rPr>
          <w:b/>
          <w:bCs/>
          <w:sz w:val="36"/>
          <w:szCs w:val="36"/>
          <w:rtl/>
        </w:rPr>
        <w:t>الثالث</w:t>
      </w:r>
      <w:r w:rsidR="00EC7EDF" w:rsidRPr="00FD211F">
        <w:rPr>
          <w:sz w:val="36"/>
          <w:szCs w:val="36"/>
          <w:rtl/>
        </w:rPr>
        <w:t>:</w:t>
      </w:r>
      <w:r w:rsidRPr="00FD211F">
        <w:rPr>
          <w:sz w:val="36"/>
          <w:szCs w:val="36"/>
          <w:rtl/>
        </w:rPr>
        <w:t>انه قد لاتحكي 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الحرف عن وجود النسب</w:t>
      </w:r>
      <w:r w:rsidR="00EC7EDF" w:rsidRPr="00FD211F">
        <w:rPr>
          <w:sz w:val="36"/>
          <w:szCs w:val="36"/>
          <w:rtl/>
        </w:rPr>
        <w:t xml:space="preserve">ة </w:t>
      </w:r>
      <w:r w:rsidRPr="00FD211F">
        <w:rPr>
          <w:sz w:val="36"/>
          <w:szCs w:val="36"/>
          <w:rtl/>
        </w:rPr>
        <w:t>الخارجي</w:t>
      </w:r>
      <w:r w:rsidR="00EC7EDF" w:rsidRPr="00FD211F">
        <w:rPr>
          <w:sz w:val="36"/>
          <w:szCs w:val="36"/>
          <w:rtl/>
        </w:rPr>
        <w:t xml:space="preserve">ة </w:t>
      </w:r>
      <w:r w:rsidR="00506197" w:rsidRPr="00FD211F">
        <w:rPr>
          <w:sz w:val="36"/>
          <w:szCs w:val="36"/>
          <w:rtl/>
        </w:rPr>
        <w:t>كمافي الجمل</w:t>
      </w:r>
      <w:r w:rsidR="00EC7EDF" w:rsidRPr="00FD211F">
        <w:rPr>
          <w:sz w:val="36"/>
          <w:szCs w:val="36"/>
          <w:rtl/>
        </w:rPr>
        <w:t xml:space="preserve">ة </w:t>
      </w:r>
      <w:r w:rsidR="00506197" w:rsidRPr="00FD211F">
        <w:rPr>
          <w:sz w:val="36"/>
          <w:szCs w:val="36"/>
          <w:rtl/>
        </w:rPr>
        <w:t>الناقص</w:t>
      </w:r>
      <w:r w:rsidR="00EC7EDF" w:rsidRPr="00FD211F">
        <w:rPr>
          <w:sz w:val="36"/>
          <w:szCs w:val="36"/>
          <w:rtl/>
        </w:rPr>
        <w:t xml:space="preserve">ة </w:t>
      </w:r>
      <w:r w:rsidR="00506197" w:rsidRPr="00FD211F">
        <w:rPr>
          <w:sz w:val="36"/>
          <w:szCs w:val="36"/>
          <w:rtl/>
        </w:rPr>
        <w:t>مثل "الجال</w:t>
      </w:r>
      <w:r w:rsidR="002A24F6" w:rsidRPr="00FD211F">
        <w:rPr>
          <w:sz w:val="36"/>
          <w:szCs w:val="36"/>
          <w:rtl/>
        </w:rPr>
        <w:t>س على المنبر "فكيف يدّعى دلال</w:t>
      </w:r>
      <w:r w:rsidR="00EC7EDF" w:rsidRPr="00FD211F">
        <w:rPr>
          <w:sz w:val="36"/>
          <w:szCs w:val="36"/>
          <w:rtl/>
        </w:rPr>
        <w:t xml:space="preserve">ة </w:t>
      </w:r>
      <w:r w:rsidR="002A24F6" w:rsidRPr="00FD211F">
        <w:rPr>
          <w:sz w:val="36"/>
          <w:szCs w:val="36"/>
          <w:rtl/>
        </w:rPr>
        <w:t>لفظ</w:t>
      </w:r>
      <w:r w:rsidR="00506197" w:rsidRPr="00FD211F">
        <w:rPr>
          <w:sz w:val="36"/>
          <w:szCs w:val="36"/>
          <w:rtl/>
        </w:rPr>
        <w:t xml:space="preserve"> "على "في هذه الجمل</w:t>
      </w:r>
      <w:r w:rsidR="00EC7EDF" w:rsidRPr="00FD211F">
        <w:rPr>
          <w:sz w:val="36"/>
          <w:szCs w:val="36"/>
          <w:rtl/>
        </w:rPr>
        <w:t xml:space="preserve">ة </w:t>
      </w:r>
      <w:r w:rsidR="00506197" w:rsidRPr="00FD211F">
        <w:rPr>
          <w:sz w:val="36"/>
          <w:szCs w:val="36"/>
          <w:rtl/>
        </w:rPr>
        <w:t>على النسب</w:t>
      </w:r>
      <w:r w:rsidR="00EC7EDF" w:rsidRPr="00FD211F">
        <w:rPr>
          <w:sz w:val="36"/>
          <w:szCs w:val="36"/>
          <w:rtl/>
        </w:rPr>
        <w:t xml:space="preserve">ة </w:t>
      </w:r>
      <w:r w:rsidR="002A24F6" w:rsidRPr="00FD211F">
        <w:rPr>
          <w:sz w:val="36"/>
          <w:szCs w:val="36"/>
          <w:rtl/>
        </w:rPr>
        <w:t>الخارجي</w:t>
      </w:r>
      <w:r w:rsidR="00EC7EDF" w:rsidRPr="00FD211F">
        <w:rPr>
          <w:sz w:val="36"/>
          <w:szCs w:val="36"/>
          <w:rtl/>
        </w:rPr>
        <w:t xml:space="preserve">ة </w:t>
      </w:r>
      <w:r w:rsidR="00506197" w:rsidRPr="00FD211F">
        <w:rPr>
          <w:sz w:val="36"/>
          <w:szCs w:val="36"/>
          <w:rtl/>
        </w:rPr>
        <w:t>الاستعلائي</w:t>
      </w:r>
      <w:r w:rsidR="00EC7EDF" w:rsidRPr="00FD211F">
        <w:rPr>
          <w:sz w:val="36"/>
          <w:szCs w:val="36"/>
          <w:rtl/>
        </w:rPr>
        <w:t>ة</w:t>
      </w:r>
      <w:r w:rsidR="00A61BAE" w:rsidRPr="00FD211F">
        <w:rPr>
          <w:sz w:val="36"/>
          <w:szCs w:val="36"/>
          <w:rtl/>
        </w:rPr>
        <w:t>.</w:t>
      </w:r>
    </w:p>
    <w:p w14:paraId="799005A1" w14:textId="77777777" w:rsidR="000C5BBA" w:rsidRPr="00FD211F" w:rsidRDefault="002A24F6" w:rsidP="00E96B73">
      <w:pPr>
        <w:ind w:left="0" w:firstLine="227"/>
        <w:jc w:val="both"/>
        <w:rPr>
          <w:sz w:val="36"/>
          <w:szCs w:val="36"/>
          <w:rtl/>
        </w:rPr>
      </w:pPr>
      <w:r w:rsidRPr="00FD211F">
        <w:rPr>
          <w:sz w:val="36"/>
          <w:szCs w:val="36"/>
          <w:rtl/>
        </w:rPr>
        <w:t>وفيه أن المدعى هو كون لفظ</w:t>
      </w:r>
      <w:r w:rsidR="00506197" w:rsidRPr="00FD211F">
        <w:rPr>
          <w:sz w:val="36"/>
          <w:szCs w:val="36"/>
          <w:rtl/>
        </w:rPr>
        <w:t xml:space="preserve"> "على"</w:t>
      </w:r>
      <w:r w:rsidR="00E96B73">
        <w:rPr>
          <w:rFonts w:hint="cs"/>
          <w:sz w:val="36"/>
          <w:szCs w:val="36"/>
          <w:rtl/>
        </w:rPr>
        <w:t xml:space="preserve"> </w:t>
      </w:r>
      <w:r w:rsidRPr="00FD211F">
        <w:rPr>
          <w:sz w:val="36"/>
          <w:szCs w:val="36"/>
          <w:rtl/>
        </w:rPr>
        <w:t>في هذه الجمل</w:t>
      </w:r>
      <w:r w:rsidR="00EC7EDF" w:rsidRPr="00FD211F">
        <w:rPr>
          <w:sz w:val="36"/>
          <w:szCs w:val="36"/>
          <w:rtl/>
        </w:rPr>
        <w:t xml:space="preserve">ة </w:t>
      </w:r>
      <w:r w:rsidRPr="00FD211F">
        <w:rPr>
          <w:sz w:val="36"/>
          <w:szCs w:val="36"/>
          <w:rtl/>
        </w:rPr>
        <w:t>دالّاًتصورياً على النسب</w:t>
      </w:r>
      <w:r w:rsidR="00EC7EDF" w:rsidRPr="00FD211F">
        <w:rPr>
          <w:sz w:val="36"/>
          <w:szCs w:val="36"/>
          <w:rtl/>
        </w:rPr>
        <w:t xml:space="preserve">ة </w:t>
      </w:r>
      <w:r w:rsidRPr="00FD211F">
        <w:rPr>
          <w:sz w:val="36"/>
          <w:szCs w:val="36"/>
          <w:rtl/>
        </w:rPr>
        <w:t>الخارجي</w:t>
      </w:r>
      <w:r w:rsidR="00EC7EDF" w:rsidRPr="00FD211F">
        <w:rPr>
          <w:sz w:val="36"/>
          <w:szCs w:val="36"/>
          <w:rtl/>
        </w:rPr>
        <w:t xml:space="preserve">ة </w:t>
      </w:r>
      <w:r w:rsidRPr="00FD211F">
        <w:rPr>
          <w:sz w:val="36"/>
          <w:szCs w:val="36"/>
          <w:rtl/>
        </w:rPr>
        <w:t>الاستعلائي</w:t>
      </w:r>
      <w:r w:rsidR="00EC7EDF" w:rsidRPr="00FD211F">
        <w:rPr>
          <w:sz w:val="36"/>
          <w:szCs w:val="36"/>
          <w:rtl/>
        </w:rPr>
        <w:t xml:space="preserve">ة </w:t>
      </w:r>
      <w:r w:rsidRPr="00FD211F">
        <w:rPr>
          <w:sz w:val="36"/>
          <w:szCs w:val="36"/>
          <w:rtl/>
        </w:rPr>
        <w:t>كماأن لفظ</w:t>
      </w:r>
      <w:r w:rsidR="00E96B73">
        <w:rPr>
          <w:rFonts w:hint="cs"/>
          <w:sz w:val="36"/>
          <w:szCs w:val="36"/>
          <w:rtl/>
        </w:rPr>
        <w:t xml:space="preserve"> </w:t>
      </w:r>
      <w:r w:rsidRPr="00FD211F">
        <w:rPr>
          <w:sz w:val="36"/>
          <w:szCs w:val="36"/>
          <w:rtl/>
        </w:rPr>
        <w:t>"الجالس" دال تصوري على ماهو بالحمل الشايع جالس</w:t>
      </w:r>
      <w:r w:rsidR="00603323" w:rsidRPr="00FD211F">
        <w:rPr>
          <w:sz w:val="36"/>
          <w:szCs w:val="36"/>
          <w:rtl/>
        </w:rPr>
        <w:t xml:space="preserve">، </w:t>
      </w:r>
      <w:r w:rsidRPr="00FD211F">
        <w:rPr>
          <w:sz w:val="36"/>
          <w:szCs w:val="36"/>
          <w:rtl/>
        </w:rPr>
        <w:t>والمراد من كونه دالا تصوريا عدم كونه حاكيا عن وجوده في الخارج بخلاف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حيث تكون دلالتها تصديقي</w:t>
      </w:r>
      <w:r w:rsidR="00EC7EDF" w:rsidRPr="00FD211F">
        <w:rPr>
          <w:sz w:val="36"/>
          <w:szCs w:val="36"/>
          <w:rtl/>
        </w:rPr>
        <w:t xml:space="preserve">ة </w:t>
      </w:r>
      <w:r w:rsidRPr="00FD211F">
        <w:rPr>
          <w:sz w:val="36"/>
          <w:szCs w:val="36"/>
          <w:rtl/>
        </w:rPr>
        <w:t>اي تدل عل</w:t>
      </w:r>
      <w:r w:rsidR="00882E03" w:rsidRPr="00FD211F">
        <w:rPr>
          <w:sz w:val="36"/>
          <w:szCs w:val="36"/>
          <w:rtl/>
        </w:rPr>
        <w:t>ى</w:t>
      </w:r>
      <w:r w:rsidR="00EC7EDF" w:rsidRPr="00FD211F">
        <w:rPr>
          <w:sz w:val="36"/>
          <w:szCs w:val="36"/>
          <w:rtl/>
        </w:rPr>
        <w:t xml:space="preserve"> </w:t>
      </w:r>
      <w:r w:rsidRPr="00FD211F">
        <w:rPr>
          <w:sz w:val="36"/>
          <w:szCs w:val="36"/>
          <w:rtl/>
        </w:rPr>
        <w:t>ثبوت المحمول للموضوع خارجا</w:t>
      </w:r>
      <w:r w:rsidR="00882E03" w:rsidRPr="00FD211F">
        <w:rPr>
          <w:sz w:val="36"/>
          <w:szCs w:val="36"/>
          <w:rtl/>
        </w:rPr>
        <w:t>.</w:t>
      </w:r>
      <w:r w:rsidRPr="00FD211F">
        <w:rPr>
          <w:sz w:val="36"/>
          <w:szCs w:val="36"/>
          <w:rtl/>
        </w:rPr>
        <w:t xml:space="preserve"> </w:t>
      </w:r>
    </w:p>
    <w:p w14:paraId="2534ECAC" w14:textId="77777777" w:rsidR="006A5ACB" w:rsidRPr="00FD211F" w:rsidRDefault="004B4C53" w:rsidP="009C58C8">
      <w:pPr>
        <w:ind w:left="0" w:firstLine="227"/>
        <w:jc w:val="both"/>
        <w:rPr>
          <w:sz w:val="36"/>
          <w:szCs w:val="36"/>
          <w:rtl/>
        </w:rPr>
      </w:pPr>
      <w:r w:rsidRPr="00FD211F">
        <w:rPr>
          <w:sz w:val="36"/>
          <w:szCs w:val="36"/>
          <w:rtl/>
        </w:rPr>
        <w:t>ونحن وان اختر</w:t>
      </w:r>
      <w:r w:rsidR="0037152E" w:rsidRPr="00FD211F">
        <w:rPr>
          <w:sz w:val="36"/>
          <w:szCs w:val="36"/>
          <w:rtl/>
        </w:rPr>
        <w:t>نا</w:t>
      </w:r>
      <w:r w:rsidRPr="00FD211F">
        <w:rPr>
          <w:sz w:val="36"/>
          <w:szCs w:val="36"/>
          <w:rtl/>
        </w:rPr>
        <w:t xml:space="preserve"> في الدور</w:t>
      </w:r>
      <w:r w:rsidR="00EC7EDF" w:rsidRPr="00FD211F">
        <w:rPr>
          <w:sz w:val="36"/>
          <w:szCs w:val="36"/>
          <w:rtl/>
        </w:rPr>
        <w:t xml:space="preserve">ة </w:t>
      </w:r>
      <w:r w:rsidRPr="00FD211F">
        <w:rPr>
          <w:sz w:val="36"/>
          <w:szCs w:val="36"/>
          <w:rtl/>
        </w:rPr>
        <w:t>السابق</w:t>
      </w:r>
      <w:r w:rsidR="00EC7EDF" w:rsidRPr="00FD211F">
        <w:rPr>
          <w:sz w:val="36"/>
          <w:szCs w:val="36"/>
          <w:rtl/>
        </w:rPr>
        <w:t xml:space="preserve">ة </w:t>
      </w:r>
      <w:r w:rsidR="0037152E" w:rsidRPr="00FD211F">
        <w:rPr>
          <w:sz w:val="36"/>
          <w:szCs w:val="36"/>
          <w:rtl/>
        </w:rPr>
        <w:t>هذا القول في المعنى الحرفي</w:t>
      </w:r>
      <w:r w:rsidR="00603323" w:rsidRPr="00FD211F">
        <w:rPr>
          <w:sz w:val="36"/>
          <w:szCs w:val="36"/>
          <w:rtl/>
        </w:rPr>
        <w:t xml:space="preserve">، </w:t>
      </w:r>
      <w:r w:rsidRPr="00FD211F">
        <w:rPr>
          <w:sz w:val="36"/>
          <w:szCs w:val="36"/>
          <w:rtl/>
        </w:rPr>
        <w:t>ولكن عدلناعنه في هذه الدور</w:t>
      </w:r>
      <w:r w:rsidR="00EC7EDF" w:rsidRPr="00FD211F">
        <w:rPr>
          <w:sz w:val="36"/>
          <w:szCs w:val="36"/>
          <w:rtl/>
        </w:rPr>
        <w:t xml:space="preserve">ة </w:t>
      </w:r>
      <w:r w:rsidR="0037152E" w:rsidRPr="00FD211F">
        <w:rPr>
          <w:sz w:val="36"/>
          <w:szCs w:val="36"/>
          <w:rtl/>
        </w:rPr>
        <w:t>الى القول ال</w:t>
      </w:r>
      <w:r w:rsidR="00A66EA5" w:rsidRPr="00FD211F">
        <w:rPr>
          <w:sz w:val="36"/>
          <w:szCs w:val="36"/>
          <w:rtl/>
        </w:rPr>
        <w:t>تاسع</w:t>
      </w:r>
      <w:r w:rsidR="0037152E" w:rsidRPr="00FD211F">
        <w:rPr>
          <w:sz w:val="36"/>
          <w:szCs w:val="36"/>
          <w:rtl/>
        </w:rPr>
        <w:t xml:space="preserve"> </w:t>
      </w:r>
      <w:r w:rsidRPr="00FD211F">
        <w:rPr>
          <w:sz w:val="36"/>
          <w:szCs w:val="36"/>
          <w:rtl/>
        </w:rPr>
        <w:t>حيث رأيناعدم استيعاب هذاالقول لجميع اقسام الحروف</w:t>
      </w:r>
      <w:r w:rsidR="00EC7EDF" w:rsidRPr="00FD211F">
        <w:rPr>
          <w:sz w:val="36"/>
          <w:szCs w:val="36"/>
          <w:rtl/>
        </w:rPr>
        <w:t>.</w:t>
      </w:r>
      <w:r w:rsidRPr="00FD211F">
        <w:rPr>
          <w:sz w:val="36"/>
          <w:szCs w:val="36"/>
          <w:rtl/>
        </w:rPr>
        <w:t xml:space="preserve"> </w:t>
      </w:r>
    </w:p>
    <w:p w14:paraId="7A684DA2" w14:textId="77777777" w:rsidR="007F5659" w:rsidRPr="00FD211F" w:rsidRDefault="007F5659" w:rsidP="009C58C8">
      <w:pPr>
        <w:pStyle w:val="3"/>
        <w:ind w:firstLine="227"/>
        <w:jc w:val="both"/>
        <w:rPr>
          <w:rtl/>
        </w:rPr>
      </w:pPr>
      <w:bookmarkStart w:id="193" w:name="درس085دقيقة33"/>
      <w:bookmarkStart w:id="194" w:name="_Toc192092872"/>
      <w:bookmarkStart w:id="195" w:name="_Toc223890347"/>
      <w:bookmarkEnd w:id="193"/>
      <w:r w:rsidRPr="00FD211F">
        <w:rPr>
          <w:rtl/>
        </w:rPr>
        <w:t>المختار في المعنى الحرفي</w:t>
      </w:r>
      <w:bookmarkEnd w:id="194"/>
      <w:bookmarkEnd w:id="195"/>
    </w:p>
    <w:p w14:paraId="0E77472D" w14:textId="77777777" w:rsidR="007F5659" w:rsidRPr="00FD211F" w:rsidRDefault="007F0539" w:rsidP="009C58C8">
      <w:pPr>
        <w:ind w:left="0" w:firstLine="227"/>
        <w:jc w:val="both"/>
        <w:rPr>
          <w:sz w:val="36"/>
          <w:szCs w:val="36"/>
          <w:rtl/>
        </w:rPr>
      </w:pPr>
      <w:r w:rsidRPr="00FD211F">
        <w:rPr>
          <w:b/>
          <w:bCs/>
          <w:sz w:val="36"/>
          <w:szCs w:val="36"/>
          <w:rtl/>
        </w:rPr>
        <w:t>القول التاسع</w:t>
      </w:r>
      <w:r w:rsidR="00EC7EDF" w:rsidRPr="00FD211F">
        <w:rPr>
          <w:sz w:val="36"/>
          <w:szCs w:val="36"/>
          <w:rtl/>
        </w:rPr>
        <w:t>:</w:t>
      </w:r>
      <w:r w:rsidR="007F5659" w:rsidRPr="00FD211F">
        <w:rPr>
          <w:sz w:val="36"/>
          <w:szCs w:val="36"/>
          <w:rtl/>
        </w:rPr>
        <w:t xml:space="preserve"> ان الحروف ليست على نسق واحد</w:t>
      </w:r>
      <w:r w:rsidR="00603323" w:rsidRPr="00FD211F">
        <w:rPr>
          <w:sz w:val="36"/>
          <w:szCs w:val="36"/>
          <w:rtl/>
        </w:rPr>
        <w:t xml:space="preserve">، </w:t>
      </w:r>
      <w:r w:rsidR="007F5659" w:rsidRPr="00FD211F">
        <w:rPr>
          <w:sz w:val="36"/>
          <w:szCs w:val="36"/>
          <w:rtl/>
        </w:rPr>
        <w:t xml:space="preserve">بل هي تنقسم الى </w:t>
      </w:r>
      <w:r w:rsidR="00562634" w:rsidRPr="00FD211F">
        <w:rPr>
          <w:sz w:val="36"/>
          <w:szCs w:val="36"/>
          <w:rtl/>
        </w:rPr>
        <w:t>ثلاث</w:t>
      </w:r>
      <w:r w:rsidR="00EC7EDF" w:rsidRPr="00FD211F">
        <w:rPr>
          <w:sz w:val="36"/>
          <w:szCs w:val="36"/>
          <w:rtl/>
        </w:rPr>
        <w:t xml:space="preserve">ة </w:t>
      </w:r>
      <w:r w:rsidR="007F5659" w:rsidRPr="00FD211F">
        <w:rPr>
          <w:sz w:val="36"/>
          <w:szCs w:val="36"/>
          <w:rtl/>
        </w:rPr>
        <w:t>اقسام:</w:t>
      </w:r>
    </w:p>
    <w:p w14:paraId="10F23EA0" w14:textId="77777777" w:rsidR="000C5BBA" w:rsidRPr="00FD211F" w:rsidRDefault="00EF0ACE" w:rsidP="009C58C8">
      <w:pPr>
        <w:ind w:left="0" w:firstLine="227"/>
        <w:jc w:val="both"/>
        <w:rPr>
          <w:sz w:val="36"/>
          <w:szCs w:val="36"/>
          <w:rtl/>
        </w:rPr>
      </w:pPr>
      <w:r w:rsidRPr="00FD211F">
        <w:rPr>
          <w:sz w:val="36"/>
          <w:szCs w:val="36"/>
          <w:rtl/>
        </w:rPr>
        <w:t>1-</w:t>
      </w:r>
      <w:r w:rsidR="007F5659" w:rsidRPr="00FD211F">
        <w:rPr>
          <w:sz w:val="36"/>
          <w:szCs w:val="36"/>
          <w:rtl/>
        </w:rPr>
        <w:t xml:space="preserve"> ما كانت موضوع</w:t>
      </w:r>
      <w:r w:rsidR="00EC7EDF" w:rsidRPr="00FD211F">
        <w:rPr>
          <w:sz w:val="36"/>
          <w:szCs w:val="36"/>
          <w:rtl/>
        </w:rPr>
        <w:t xml:space="preserve">ة </w:t>
      </w:r>
      <w:r w:rsidR="007F5659" w:rsidRPr="00FD211F">
        <w:rPr>
          <w:sz w:val="36"/>
          <w:szCs w:val="36"/>
          <w:rtl/>
        </w:rPr>
        <w:t>بإزاء مفهوم مندكّ في مفهومين مستقلين كحروف الجرّ</w:t>
      </w:r>
      <w:r w:rsidR="009C58C8" w:rsidRPr="00FD211F">
        <w:rPr>
          <w:rStyle w:val="a6"/>
          <w:sz w:val="36"/>
          <w:szCs w:val="36"/>
          <w:rtl/>
        </w:rPr>
        <w:t>(</w:t>
      </w:r>
      <w:r w:rsidR="009C58C8" w:rsidRPr="00FD211F">
        <w:rPr>
          <w:rStyle w:val="a6"/>
          <w:sz w:val="36"/>
          <w:szCs w:val="36"/>
          <w:rtl/>
        </w:rPr>
        <w:footnoteReference w:id="177"/>
      </w:r>
      <w:r w:rsidR="009C58C8" w:rsidRPr="00FD211F">
        <w:rPr>
          <w:rStyle w:val="a6"/>
          <w:sz w:val="36"/>
          <w:szCs w:val="36"/>
          <w:rtl/>
        </w:rPr>
        <w:t>)</w:t>
      </w:r>
      <w:r w:rsidR="00603323" w:rsidRPr="00FD211F">
        <w:rPr>
          <w:sz w:val="36"/>
          <w:szCs w:val="36"/>
          <w:rtl/>
        </w:rPr>
        <w:t xml:space="preserve">، </w:t>
      </w:r>
      <w:r w:rsidR="007F5659" w:rsidRPr="00FD211F">
        <w:rPr>
          <w:sz w:val="36"/>
          <w:szCs w:val="36"/>
          <w:rtl/>
        </w:rPr>
        <w:t xml:space="preserve">فحرف </w:t>
      </w:r>
      <w:r w:rsidR="003535EB" w:rsidRPr="00FD211F">
        <w:rPr>
          <w:sz w:val="36"/>
          <w:szCs w:val="36"/>
          <w:rtl/>
        </w:rPr>
        <w:t>"</w:t>
      </w:r>
      <w:r w:rsidR="007F5659" w:rsidRPr="00FD211F">
        <w:rPr>
          <w:sz w:val="36"/>
          <w:szCs w:val="36"/>
          <w:rtl/>
        </w:rPr>
        <w:t>في</w:t>
      </w:r>
      <w:r w:rsidR="003535EB" w:rsidRPr="00FD211F">
        <w:rPr>
          <w:sz w:val="36"/>
          <w:szCs w:val="36"/>
          <w:rtl/>
        </w:rPr>
        <w:t>"</w:t>
      </w:r>
      <w:r w:rsidR="007F5659" w:rsidRPr="00FD211F">
        <w:rPr>
          <w:sz w:val="36"/>
          <w:szCs w:val="36"/>
          <w:rtl/>
        </w:rPr>
        <w:t xml:space="preserve"> مثلا في قولنا </w:t>
      </w:r>
      <w:r w:rsidR="00562FF8" w:rsidRPr="00FD211F">
        <w:rPr>
          <w:sz w:val="36"/>
          <w:szCs w:val="36"/>
          <w:rtl/>
        </w:rPr>
        <w:t>"</w:t>
      </w:r>
      <w:r w:rsidR="007F5659" w:rsidRPr="00FD211F">
        <w:rPr>
          <w:sz w:val="36"/>
          <w:szCs w:val="36"/>
          <w:rtl/>
        </w:rPr>
        <w:t>الجالس في الدار</w:t>
      </w:r>
      <w:r w:rsidR="00562FF8" w:rsidRPr="00FD211F">
        <w:rPr>
          <w:sz w:val="36"/>
          <w:szCs w:val="36"/>
          <w:rtl/>
        </w:rPr>
        <w:t>"</w:t>
      </w:r>
      <w:r w:rsidR="007F5659" w:rsidRPr="00FD211F">
        <w:rPr>
          <w:sz w:val="36"/>
          <w:szCs w:val="36"/>
          <w:rtl/>
        </w:rPr>
        <w:t xml:space="preserve"> وان كان موضوعا للدلال</w:t>
      </w:r>
      <w:r w:rsidR="00EC7EDF" w:rsidRPr="00FD211F">
        <w:rPr>
          <w:sz w:val="36"/>
          <w:szCs w:val="36"/>
          <w:rtl/>
        </w:rPr>
        <w:t xml:space="preserve">ة </w:t>
      </w:r>
      <w:r w:rsidR="007F5659" w:rsidRPr="00FD211F">
        <w:rPr>
          <w:sz w:val="36"/>
          <w:szCs w:val="36"/>
          <w:rtl/>
        </w:rPr>
        <w:t>على النسب</w:t>
      </w:r>
      <w:r w:rsidR="00EC7EDF" w:rsidRPr="00FD211F">
        <w:rPr>
          <w:sz w:val="36"/>
          <w:szCs w:val="36"/>
          <w:rtl/>
        </w:rPr>
        <w:t xml:space="preserve">ة </w:t>
      </w:r>
      <w:r w:rsidR="007F5659" w:rsidRPr="00FD211F">
        <w:rPr>
          <w:sz w:val="36"/>
          <w:szCs w:val="36"/>
          <w:rtl/>
        </w:rPr>
        <w:t>الظرفي</w:t>
      </w:r>
      <w:r w:rsidR="00EC7EDF" w:rsidRPr="00FD211F">
        <w:rPr>
          <w:sz w:val="36"/>
          <w:szCs w:val="36"/>
          <w:rtl/>
        </w:rPr>
        <w:t xml:space="preserve">ة </w:t>
      </w:r>
      <w:r w:rsidR="007F5659" w:rsidRPr="00FD211F">
        <w:rPr>
          <w:sz w:val="36"/>
          <w:szCs w:val="36"/>
          <w:rtl/>
        </w:rPr>
        <w:t>الخارجي</w:t>
      </w:r>
      <w:r w:rsidR="00EC7EDF" w:rsidRPr="00FD211F">
        <w:rPr>
          <w:sz w:val="36"/>
          <w:szCs w:val="36"/>
          <w:rtl/>
        </w:rPr>
        <w:t>ة</w:t>
      </w:r>
      <w:r w:rsidR="00603323" w:rsidRPr="00FD211F">
        <w:rPr>
          <w:sz w:val="36"/>
          <w:szCs w:val="36"/>
          <w:rtl/>
        </w:rPr>
        <w:t xml:space="preserve">، </w:t>
      </w:r>
      <w:r w:rsidR="007F5659" w:rsidRPr="00FD211F">
        <w:rPr>
          <w:sz w:val="36"/>
          <w:szCs w:val="36"/>
          <w:rtl/>
        </w:rPr>
        <w:t>لكن النسب</w:t>
      </w:r>
      <w:r w:rsidR="00EC7EDF" w:rsidRPr="00FD211F">
        <w:rPr>
          <w:sz w:val="36"/>
          <w:szCs w:val="36"/>
          <w:rtl/>
        </w:rPr>
        <w:t xml:space="preserve">ة </w:t>
      </w:r>
      <w:r w:rsidR="007F5659" w:rsidRPr="00FD211F">
        <w:rPr>
          <w:sz w:val="36"/>
          <w:szCs w:val="36"/>
          <w:rtl/>
        </w:rPr>
        <w:t>الظرفي</w:t>
      </w:r>
      <w:r w:rsidR="00EC7EDF" w:rsidRPr="00FD211F">
        <w:rPr>
          <w:sz w:val="36"/>
          <w:szCs w:val="36"/>
          <w:rtl/>
        </w:rPr>
        <w:t xml:space="preserve">ة </w:t>
      </w:r>
      <w:r w:rsidR="007F5659" w:rsidRPr="00FD211F">
        <w:rPr>
          <w:sz w:val="36"/>
          <w:szCs w:val="36"/>
          <w:rtl/>
        </w:rPr>
        <w:t>الخارجي</w:t>
      </w:r>
      <w:r w:rsidR="00EC7EDF" w:rsidRPr="00FD211F">
        <w:rPr>
          <w:sz w:val="36"/>
          <w:szCs w:val="36"/>
          <w:rtl/>
        </w:rPr>
        <w:t xml:space="preserve">ة </w:t>
      </w:r>
      <w:r w:rsidR="007F5659" w:rsidRPr="00FD211F">
        <w:rPr>
          <w:sz w:val="36"/>
          <w:szCs w:val="36"/>
          <w:rtl/>
        </w:rPr>
        <w:t>كما يمكن تصورها بصور</w:t>
      </w:r>
      <w:r w:rsidR="00EC7EDF" w:rsidRPr="00FD211F">
        <w:rPr>
          <w:sz w:val="36"/>
          <w:szCs w:val="36"/>
          <w:rtl/>
        </w:rPr>
        <w:t xml:space="preserve">ة </w:t>
      </w:r>
      <w:r w:rsidR="007F5659" w:rsidRPr="00FD211F">
        <w:rPr>
          <w:sz w:val="36"/>
          <w:szCs w:val="36"/>
          <w:rtl/>
        </w:rPr>
        <w:t>مستقل</w:t>
      </w:r>
      <w:r w:rsidR="00EC7EDF" w:rsidRPr="00FD211F">
        <w:rPr>
          <w:sz w:val="36"/>
          <w:szCs w:val="36"/>
          <w:rtl/>
        </w:rPr>
        <w:t xml:space="preserve">ة </w:t>
      </w:r>
      <w:r w:rsidR="007F5659" w:rsidRPr="00FD211F">
        <w:rPr>
          <w:sz w:val="36"/>
          <w:szCs w:val="36"/>
          <w:rtl/>
        </w:rPr>
        <w:t>كعنوان النسب</w:t>
      </w:r>
      <w:r w:rsidR="00EC7EDF" w:rsidRPr="00FD211F">
        <w:rPr>
          <w:sz w:val="36"/>
          <w:szCs w:val="36"/>
          <w:rtl/>
        </w:rPr>
        <w:t xml:space="preserve">ة </w:t>
      </w:r>
      <w:r w:rsidR="007F5659" w:rsidRPr="00FD211F">
        <w:rPr>
          <w:sz w:val="36"/>
          <w:szCs w:val="36"/>
          <w:rtl/>
        </w:rPr>
        <w:t>الظرفي</w:t>
      </w:r>
      <w:r w:rsidR="00EC7EDF" w:rsidRPr="00FD211F">
        <w:rPr>
          <w:sz w:val="36"/>
          <w:szCs w:val="36"/>
          <w:rtl/>
        </w:rPr>
        <w:t xml:space="preserve">ة </w:t>
      </w:r>
      <w:r w:rsidR="007F5659" w:rsidRPr="00FD211F">
        <w:rPr>
          <w:sz w:val="36"/>
          <w:szCs w:val="36"/>
          <w:rtl/>
        </w:rPr>
        <w:t>كذلك يمكن تصورها بصور</w:t>
      </w:r>
      <w:r w:rsidR="00EC7EDF" w:rsidRPr="00FD211F">
        <w:rPr>
          <w:sz w:val="36"/>
          <w:szCs w:val="36"/>
          <w:rtl/>
        </w:rPr>
        <w:t xml:space="preserve">ة </w:t>
      </w:r>
      <w:r w:rsidR="007F5659" w:rsidRPr="00FD211F">
        <w:rPr>
          <w:sz w:val="36"/>
          <w:szCs w:val="36"/>
          <w:rtl/>
        </w:rPr>
        <w:t>غير مستقل</w:t>
      </w:r>
      <w:r w:rsidR="00EC7EDF" w:rsidRPr="00FD211F">
        <w:rPr>
          <w:sz w:val="36"/>
          <w:szCs w:val="36"/>
          <w:rtl/>
        </w:rPr>
        <w:t xml:space="preserve">ة </w:t>
      </w:r>
      <w:r w:rsidR="007F5659" w:rsidRPr="00FD211F">
        <w:rPr>
          <w:sz w:val="36"/>
          <w:szCs w:val="36"/>
          <w:rtl/>
        </w:rPr>
        <w:t>اي مندكّ</w:t>
      </w:r>
      <w:r w:rsidR="00EC7EDF" w:rsidRPr="00FD211F">
        <w:rPr>
          <w:sz w:val="36"/>
          <w:szCs w:val="36"/>
          <w:rtl/>
        </w:rPr>
        <w:t xml:space="preserve">ة </w:t>
      </w:r>
      <w:r w:rsidR="007F5659" w:rsidRPr="00FD211F">
        <w:rPr>
          <w:sz w:val="36"/>
          <w:szCs w:val="36"/>
          <w:rtl/>
        </w:rPr>
        <w:t>في مفهوم الجالس والدار</w:t>
      </w:r>
      <w:r w:rsidR="00603323" w:rsidRPr="00FD211F">
        <w:rPr>
          <w:sz w:val="36"/>
          <w:szCs w:val="36"/>
          <w:rtl/>
        </w:rPr>
        <w:t xml:space="preserve">، </w:t>
      </w:r>
      <w:r w:rsidR="007F5659" w:rsidRPr="00FD211F">
        <w:rPr>
          <w:sz w:val="36"/>
          <w:szCs w:val="36"/>
          <w:rtl/>
        </w:rPr>
        <w:t>وهي وان</w:t>
      </w:r>
      <w:r w:rsidR="008D7B3D" w:rsidRPr="00FD211F">
        <w:rPr>
          <w:sz w:val="36"/>
          <w:szCs w:val="36"/>
          <w:rtl/>
        </w:rPr>
        <w:t xml:space="preserve"> لم‌</w:t>
      </w:r>
      <w:r w:rsidR="007F5659" w:rsidRPr="00FD211F">
        <w:rPr>
          <w:sz w:val="36"/>
          <w:szCs w:val="36"/>
          <w:rtl/>
        </w:rPr>
        <w:t>تخرج عن سنخ المفاهيم لكنها لمكان تعلقها واندكاكها في الطرفين يصلح ان يكون رابطا بينهما</w:t>
      </w:r>
      <w:r w:rsidR="00562FF8" w:rsidRPr="00FD211F">
        <w:rPr>
          <w:sz w:val="36"/>
          <w:szCs w:val="36"/>
          <w:rtl/>
        </w:rPr>
        <w:t xml:space="preserve"> في الكلام</w:t>
      </w:r>
      <w:r w:rsidR="00603323" w:rsidRPr="00FD211F">
        <w:rPr>
          <w:sz w:val="36"/>
          <w:szCs w:val="36"/>
          <w:rtl/>
        </w:rPr>
        <w:t xml:space="preserve">، </w:t>
      </w:r>
      <w:r w:rsidR="00562FF8" w:rsidRPr="00FD211F">
        <w:rPr>
          <w:sz w:val="36"/>
          <w:szCs w:val="36"/>
          <w:rtl/>
        </w:rPr>
        <w:t>وامامايقال من</w:t>
      </w:r>
      <w:r w:rsidR="007F5659" w:rsidRPr="00FD211F">
        <w:rPr>
          <w:sz w:val="36"/>
          <w:szCs w:val="36"/>
          <w:rtl/>
        </w:rPr>
        <w:t xml:space="preserve"> ان لازم عدم استقلال المعنى الحرفي ان لاينسبق اي معنى في الذهن بسماع الحرف وحده</w:t>
      </w:r>
      <w:r w:rsidR="00603323" w:rsidRPr="00FD211F">
        <w:rPr>
          <w:sz w:val="36"/>
          <w:szCs w:val="36"/>
          <w:rtl/>
        </w:rPr>
        <w:t xml:space="preserve">، </w:t>
      </w:r>
      <w:r w:rsidR="007F5659" w:rsidRPr="00FD211F">
        <w:rPr>
          <w:sz w:val="36"/>
          <w:szCs w:val="36"/>
          <w:rtl/>
        </w:rPr>
        <w:t>مع كونه خلاف الوجدان</w:t>
      </w:r>
      <w:r w:rsidR="00603323" w:rsidRPr="00FD211F">
        <w:rPr>
          <w:sz w:val="36"/>
          <w:szCs w:val="36"/>
          <w:rtl/>
        </w:rPr>
        <w:t xml:space="preserve">، </w:t>
      </w:r>
      <w:r w:rsidR="00562FF8" w:rsidRPr="00FD211F">
        <w:rPr>
          <w:sz w:val="36"/>
          <w:szCs w:val="36"/>
          <w:rtl/>
        </w:rPr>
        <w:t>ف</w:t>
      </w:r>
      <w:r w:rsidR="00A66EA5" w:rsidRPr="00FD211F">
        <w:rPr>
          <w:sz w:val="36"/>
          <w:szCs w:val="36"/>
          <w:rtl/>
        </w:rPr>
        <w:t xml:space="preserve">سيأتي </w:t>
      </w:r>
      <w:r w:rsidR="00562FF8" w:rsidRPr="00FD211F">
        <w:rPr>
          <w:sz w:val="36"/>
          <w:szCs w:val="36"/>
          <w:rtl/>
        </w:rPr>
        <w:t>الجواب عن هذه الشبه</w:t>
      </w:r>
      <w:r w:rsidR="00EC7EDF" w:rsidRPr="00FD211F">
        <w:rPr>
          <w:sz w:val="36"/>
          <w:szCs w:val="36"/>
          <w:rtl/>
        </w:rPr>
        <w:t>ة</w:t>
      </w:r>
      <w:r w:rsidR="00A66EA5" w:rsidRPr="00FD211F">
        <w:rPr>
          <w:sz w:val="36"/>
          <w:szCs w:val="36"/>
          <w:rtl/>
        </w:rPr>
        <w:t xml:space="preserve"> قريبا.</w:t>
      </w:r>
      <w:r w:rsidR="00EC7EDF" w:rsidRPr="00FD211F">
        <w:rPr>
          <w:sz w:val="36"/>
          <w:szCs w:val="36"/>
          <w:rtl/>
        </w:rPr>
        <w:t xml:space="preserve"> </w:t>
      </w:r>
    </w:p>
    <w:p w14:paraId="38593939" w14:textId="77777777" w:rsidR="007F5659" w:rsidRPr="00FD211F" w:rsidRDefault="00EF0ACE" w:rsidP="009C58C8">
      <w:pPr>
        <w:ind w:left="0" w:firstLine="227"/>
        <w:jc w:val="both"/>
        <w:rPr>
          <w:sz w:val="36"/>
          <w:szCs w:val="36"/>
          <w:rtl/>
        </w:rPr>
      </w:pPr>
      <w:r w:rsidRPr="00FD211F">
        <w:rPr>
          <w:sz w:val="36"/>
          <w:szCs w:val="36"/>
          <w:rtl/>
        </w:rPr>
        <w:t>2-</w:t>
      </w:r>
      <w:r w:rsidR="007F5659" w:rsidRPr="00FD211F">
        <w:rPr>
          <w:sz w:val="36"/>
          <w:szCs w:val="36"/>
          <w:rtl/>
        </w:rPr>
        <w:t xml:space="preserve"> ما كان موضوعا بإزاء مفهوم مندك في مفهوم اسمي واحد نظير لام التعريف والجنس</w:t>
      </w:r>
      <w:r w:rsidR="00603323" w:rsidRPr="00FD211F">
        <w:rPr>
          <w:sz w:val="36"/>
          <w:szCs w:val="36"/>
          <w:rtl/>
        </w:rPr>
        <w:t xml:space="preserve">، </w:t>
      </w:r>
      <w:r w:rsidR="007F5659" w:rsidRPr="00FD211F">
        <w:rPr>
          <w:sz w:val="36"/>
          <w:szCs w:val="36"/>
          <w:rtl/>
        </w:rPr>
        <w:t>وكذا</w:t>
      </w:r>
      <w:r w:rsidR="00BE624F" w:rsidRPr="00FD211F">
        <w:rPr>
          <w:sz w:val="36"/>
          <w:szCs w:val="36"/>
          <w:rtl/>
        </w:rPr>
        <w:t>"</w:t>
      </w:r>
      <w:r w:rsidR="007F5659" w:rsidRPr="00FD211F">
        <w:rPr>
          <w:sz w:val="36"/>
          <w:szCs w:val="36"/>
          <w:rtl/>
        </w:rPr>
        <w:t xml:space="preserve"> ربّ</w:t>
      </w:r>
      <w:r w:rsidR="00BE624F" w:rsidRPr="00FD211F">
        <w:rPr>
          <w:sz w:val="36"/>
          <w:szCs w:val="36"/>
          <w:rtl/>
        </w:rPr>
        <w:t>"</w:t>
      </w:r>
      <w:r w:rsidR="007F5659" w:rsidRPr="00FD211F">
        <w:rPr>
          <w:sz w:val="36"/>
          <w:szCs w:val="36"/>
          <w:rtl/>
        </w:rPr>
        <w:t xml:space="preserve"> بناء على كونه حرفا.</w:t>
      </w:r>
    </w:p>
    <w:p w14:paraId="51F502EB" w14:textId="77777777" w:rsidR="007F5659" w:rsidRPr="00FD211F" w:rsidRDefault="00EF0ACE" w:rsidP="009C58C8">
      <w:pPr>
        <w:ind w:left="0" w:firstLine="227"/>
        <w:jc w:val="both"/>
        <w:rPr>
          <w:sz w:val="36"/>
          <w:szCs w:val="36"/>
          <w:rtl/>
        </w:rPr>
      </w:pPr>
      <w:r w:rsidRPr="00FD211F">
        <w:rPr>
          <w:sz w:val="36"/>
          <w:szCs w:val="36"/>
          <w:rtl/>
        </w:rPr>
        <w:t>3-</w:t>
      </w:r>
      <w:r w:rsidR="007F5659" w:rsidRPr="00FD211F">
        <w:rPr>
          <w:sz w:val="36"/>
          <w:szCs w:val="36"/>
          <w:rtl/>
        </w:rPr>
        <w:t xml:space="preserve"> ما وضع كآل</w:t>
      </w:r>
      <w:r w:rsidR="00EC7EDF" w:rsidRPr="00FD211F">
        <w:rPr>
          <w:sz w:val="36"/>
          <w:szCs w:val="36"/>
          <w:rtl/>
        </w:rPr>
        <w:t xml:space="preserve">ة </w:t>
      </w:r>
      <w:r w:rsidR="007F5659" w:rsidRPr="00FD211F">
        <w:rPr>
          <w:sz w:val="36"/>
          <w:szCs w:val="36"/>
          <w:rtl/>
        </w:rPr>
        <w:t>لإيجاد مصداق لجمل</w:t>
      </w:r>
      <w:r w:rsidR="00EC7EDF" w:rsidRPr="00FD211F">
        <w:rPr>
          <w:sz w:val="36"/>
          <w:szCs w:val="36"/>
          <w:rtl/>
        </w:rPr>
        <w:t xml:space="preserve">ة </w:t>
      </w:r>
      <w:r w:rsidR="007F5659" w:rsidRPr="00FD211F">
        <w:rPr>
          <w:sz w:val="36"/>
          <w:szCs w:val="36"/>
          <w:rtl/>
        </w:rPr>
        <w:t>من العناوين</w:t>
      </w:r>
      <w:r w:rsidR="00603323" w:rsidRPr="00FD211F">
        <w:rPr>
          <w:sz w:val="36"/>
          <w:szCs w:val="36"/>
          <w:rtl/>
        </w:rPr>
        <w:t xml:space="preserve">، </w:t>
      </w:r>
      <w:r w:rsidR="007F5659" w:rsidRPr="00FD211F">
        <w:rPr>
          <w:sz w:val="36"/>
          <w:szCs w:val="36"/>
          <w:rtl/>
        </w:rPr>
        <w:t>فحرف</w:t>
      </w:r>
      <w:r w:rsidR="00B23722" w:rsidRPr="00FD211F">
        <w:rPr>
          <w:sz w:val="36"/>
          <w:szCs w:val="36"/>
          <w:rtl/>
        </w:rPr>
        <w:t>"</w:t>
      </w:r>
      <w:r w:rsidR="007F5659" w:rsidRPr="00FD211F">
        <w:rPr>
          <w:sz w:val="36"/>
          <w:szCs w:val="36"/>
          <w:rtl/>
        </w:rPr>
        <w:t xml:space="preserve"> هل</w:t>
      </w:r>
      <w:r w:rsidR="00B23722" w:rsidRPr="00FD211F">
        <w:rPr>
          <w:sz w:val="36"/>
          <w:szCs w:val="36"/>
          <w:rtl/>
        </w:rPr>
        <w:t>"</w:t>
      </w:r>
      <w:r w:rsidR="007F5659" w:rsidRPr="00FD211F">
        <w:rPr>
          <w:sz w:val="36"/>
          <w:szCs w:val="36"/>
          <w:rtl/>
        </w:rPr>
        <w:t xml:space="preserve"> مثلا موضوع لإيجاد الاستفهام</w:t>
      </w:r>
      <w:r w:rsidR="00603323" w:rsidRPr="00FD211F">
        <w:rPr>
          <w:sz w:val="36"/>
          <w:szCs w:val="36"/>
          <w:rtl/>
        </w:rPr>
        <w:t xml:space="preserve">، </w:t>
      </w:r>
      <w:r w:rsidR="007F5659" w:rsidRPr="00FD211F">
        <w:rPr>
          <w:sz w:val="36"/>
          <w:szCs w:val="36"/>
          <w:rtl/>
        </w:rPr>
        <w:t>والفرق بينه وبين مفهوم الاستفهام هو الفرق بين كل مصداق مع مفهومه</w:t>
      </w:r>
      <w:r w:rsidR="00603323" w:rsidRPr="00FD211F">
        <w:rPr>
          <w:sz w:val="36"/>
          <w:szCs w:val="36"/>
          <w:rtl/>
        </w:rPr>
        <w:t xml:space="preserve">، </w:t>
      </w:r>
      <w:r w:rsidR="007F5659" w:rsidRPr="00FD211F">
        <w:rPr>
          <w:sz w:val="36"/>
          <w:szCs w:val="36"/>
          <w:rtl/>
        </w:rPr>
        <w:t>وكذا وضع حرف</w:t>
      </w:r>
      <w:r w:rsidR="00B23722" w:rsidRPr="00FD211F">
        <w:rPr>
          <w:sz w:val="36"/>
          <w:szCs w:val="36"/>
          <w:rtl/>
        </w:rPr>
        <w:t>"</w:t>
      </w:r>
      <w:r w:rsidR="007F5659" w:rsidRPr="00FD211F">
        <w:rPr>
          <w:sz w:val="36"/>
          <w:szCs w:val="36"/>
          <w:rtl/>
        </w:rPr>
        <w:t>ليت</w:t>
      </w:r>
      <w:r w:rsidR="00B23722" w:rsidRPr="00FD211F">
        <w:rPr>
          <w:sz w:val="36"/>
          <w:szCs w:val="36"/>
          <w:rtl/>
        </w:rPr>
        <w:t>"</w:t>
      </w:r>
      <w:r w:rsidR="007F5659" w:rsidRPr="00FD211F">
        <w:rPr>
          <w:sz w:val="36"/>
          <w:szCs w:val="36"/>
          <w:rtl/>
        </w:rPr>
        <w:t xml:space="preserve"> لإيجاد التمني الإنشائي او فقل لابراز التمني</w:t>
      </w:r>
      <w:r w:rsidR="00603323" w:rsidRPr="00FD211F">
        <w:rPr>
          <w:sz w:val="36"/>
          <w:szCs w:val="36"/>
          <w:rtl/>
        </w:rPr>
        <w:t xml:space="preserve">، </w:t>
      </w:r>
      <w:r w:rsidR="007F5659" w:rsidRPr="00FD211F">
        <w:rPr>
          <w:sz w:val="36"/>
          <w:szCs w:val="36"/>
          <w:rtl/>
        </w:rPr>
        <w:t>وكذا وضع حرف العطف لإيجاد العطف بين الجملتين</w:t>
      </w:r>
      <w:r w:rsidR="00603323" w:rsidRPr="00FD211F">
        <w:rPr>
          <w:sz w:val="36"/>
          <w:szCs w:val="36"/>
          <w:rtl/>
        </w:rPr>
        <w:t xml:space="preserve">، </w:t>
      </w:r>
      <w:r w:rsidR="007F5659" w:rsidRPr="00FD211F">
        <w:rPr>
          <w:sz w:val="36"/>
          <w:szCs w:val="36"/>
          <w:rtl/>
        </w:rPr>
        <w:t>وحرف التفسير لإيجاد التفسير</w:t>
      </w:r>
      <w:r w:rsidR="00603323" w:rsidRPr="00FD211F">
        <w:rPr>
          <w:sz w:val="36"/>
          <w:szCs w:val="36"/>
          <w:rtl/>
        </w:rPr>
        <w:t xml:space="preserve">، </w:t>
      </w:r>
      <w:r w:rsidR="007F5659" w:rsidRPr="00FD211F">
        <w:rPr>
          <w:sz w:val="36"/>
          <w:szCs w:val="36"/>
          <w:rtl/>
        </w:rPr>
        <w:t xml:space="preserve">وحرف </w:t>
      </w:r>
      <w:r w:rsidR="00B23722" w:rsidRPr="00FD211F">
        <w:rPr>
          <w:sz w:val="36"/>
          <w:szCs w:val="36"/>
          <w:rtl/>
        </w:rPr>
        <w:t>"</w:t>
      </w:r>
      <w:r w:rsidR="007F5659" w:rsidRPr="00FD211F">
        <w:rPr>
          <w:sz w:val="36"/>
          <w:szCs w:val="36"/>
          <w:rtl/>
        </w:rPr>
        <w:t>بلى</w:t>
      </w:r>
      <w:r w:rsidR="00B23722" w:rsidRPr="00FD211F">
        <w:rPr>
          <w:sz w:val="36"/>
          <w:szCs w:val="36"/>
          <w:rtl/>
        </w:rPr>
        <w:t>"</w:t>
      </w:r>
      <w:r w:rsidR="007F5659" w:rsidRPr="00FD211F">
        <w:rPr>
          <w:sz w:val="36"/>
          <w:szCs w:val="36"/>
          <w:rtl/>
        </w:rPr>
        <w:t xml:space="preserve"> و</w:t>
      </w:r>
      <w:r w:rsidR="00B23722" w:rsidRPr="00FD211F">
        <w:rPr>
          <w:sz w:val="36"/>
          <w:szCs w:val="36"/>
          <w:rtl/>
        </w:rPr>
        <w:t>"</w:t>
      </w:r>
      <w:r w:rsidR="007F5659" w:rsidRPr="00FD211F">
        <w:rPr>
          <w:sz w:val="36"/>
          <w:szCs w:val="36"/>
          <w:rtl/>
        </w:rPr>
        <w:t>نعم</w:t>
      </w:r>
      <w:r w:rsidR="00B23722" w:rsidRPr="00FD211F">
        <w:rPr>
          <w:sz w:val="36"/>
          <w:szCs w:val="36"/>
          <w:rtl/>
        </w:rPr>
        <w:t>"</w:t>
      </w:r>
      <w:r w:rsidR="007F5659" w:rsidRPr="00FD211F">
        <w:rPr>
          <w:sz w:val="36"/>
          <w:szCs w:val="36"/>
          <w:rtl/>
        </w:rPr>
        <w:t xml:space="preserve"> لإيجاد التصديق</w:t>
      </w:r>
      <w:r w:rsidR="00603323" w:rsidRPr="00FD211F">
        <w:rPr>
          <w:sz w:val="36"/>
          <w:szCs w:val="36"/>
          <w:rtl/>
        </w:rPr>
        <w:t xml:space="preserve">، </w:t>
      </w:r>
      <w:r w:rsidR="007F5659" w:rsidRPr="00FD211F">
        <w:rPr>
          <w:sz w:val="36"/>
          <w:szCs w:val="36"/>
          <w:rtl/>
        </w:rPr>
        <w:t>ووضعت حروف القسم لإيجاد القسم وهكذا</w:t>
      </w:r>
      <w:r w:rsidR="00603323" w:rsidRPr="00FD211F">
        <w:rPr>
          <w:sz w:val="36"/>
          <w:szCs w:val="36"/>
          <w:rtl/>
        </w:rPr>
        <w:t xml:space="preserve">، </w:t>
      </w:r>
      <w:r w:rsidR="007F5659" w:rsidRPr="00FD211F">
        <w:rPr>
          <w:sz w:val="36"/>
          <w:szCs w:val="36"/>
          <w:rtl/>
        </w:rPr>
        <w:t>وهذه الحروف لمكان عدم استقلال معناها ايضا توجد الربط بين الجمل</w:t>
      </w:r>
      <w:r w:rsidR="00603323" w:rsidRPr="00FD211F">
        <w:rPr>
          <w:sz w:val="36"/>
          <w:szCs w:val="36"/>
          <w:rtl/>
        </w:rPr>
        <w:t xml:space="preserve">، </w:t>
      </w:r>
      <w:r w:rsidR="007F5659" w:rsidRPr="00FD211F">
        <w:rPr>
          <w:sz w:val="36"/>
          <w:szCs w:val="36"/>
          <w:rtl/>
        </w:rPr>
        <w:t>ولايخفى ان كون هذا القسم من الحروف إيجادي</w:t>
      </w:r>
      <w:r w:rsidR="00EC7EDF" w:rsidRPr="00FD211F">
        <w:rPr>
          <w:sz w:val="36"/>
          <w:szCs w:val="36"/>
          <w:rtl/>
        </w:rPr>
        <w:t xml:space="preserve">ة </w:t>
      </w:r>
      <w:r w:rsidR="007F5659" w:rsidRPr="00FD211F">
        <w:rPr>
          <w:sz w:val="36"/>
          <w:szCs w:val="36"/>
          <w:rtl/>
        </w:rPr>
        <w:t>لاينافي ان كون العلق</w:t>
      </w:r>
      <w:r w:rsidR="00EC7EDF" w:rsidRPr="00FD211F">
        <w:rPr>
          <w:sz w:val="36"/>
          <w:szCs w:val="36"/>
          <w:rtl/>
        </w:rPr>
        <w:t xml:space="preserve">ة </w:t>
      </w:r>
      <w:r w:rsidR="007F5659" w:rsidRPr="00FD211F">
        <w:rPr>
          <w:sz w:val="36"/>
          <w:szCs w:val="36"/>
          <w:rtl/>
        </w:rPr>
        <w:t>الوضعي</w:t>
      </w:r>
      <w:r w:rsidR="00EC7EDF" w:rsidRPr="00FD211F">
        <w:rPr>
          <w:sz w:val="36"/>
          <w:szCs w:val="36"/>
          <w:rtl/>
        </w:rPr>
        <w:t xml:space="preserve">ة </w:t>
      </w:r>
      <w:r w:rsidR="007F5659" w:rsidRPr="00FD211F">
        <w:rPr>
          <w:sz w:val="36"/>
          <w:szCs w:val="36"/>
          <w:rtl/>
        </w:rPr>
        <w:t xml:space="preserve">او نتيجتها هو القرن الأكيد بحيث لو سمعت هذه الحروف من </w:t>
      </w:r>
      <w:r w:rsidR="00BE624F" w:rsidRPr="00FD211F">
        <w:rPr>
          <w:sz w:val="36"/>
          <w:szCs w:val="36"/>
          <w:rtl/>
        </w:rPr>
        <w:t>نائم</w:t>
      </w:r>
      <w:r w:rsidR="007F5659" w:rsidRPr="00FD211F">
        <w:rPr>
          <w:sz w:val="36"/>
          <w:szCs w:val="36"/>
          <w:rtl/>
        </w:rPr>
        <w:t xml:space="preserve"> أيضا ف</w:t>
      </w:r>
      <w:r w:rsidR="00BE624F" w:rsidRPr="00FD211F">
        <w:rPr>
          <w:sz w:val="36"/>
          <w:szCs w:val="36"/>
          <w:rtl/>
        </w:rPr>
        <w:t>ينتقل ذهن السامع الى المعنى</w:t>
      </w:r>
      <w:r w:rsidR="00603323" w:rsidRPr="00FD211F">
        <w:rPr>
          <w:sz w:val="36"/>
          <w:szCs w:val="36"/>
          <w:rtl/>
        </w:rPr>
        <w:t xml:space="preserve">، </w:t>
      </w:r>
      <w:r w:rsidR="00BE624F" w:rsidRPr="00FD211F">
        <w:rPr>
          <w:sz w:val="36"/>
          <w:szCs w:val="36"/>
          <w:rtl/>
        </w:rPr>
        <w:t xml:space="preserve">كما لو سمع </w:t>
      </w:r>
      <w:r w:rsidRPr="00FD211F">
        <w:rPr>
          <w:sz w:val="36"/>
          <w:szCs w:val="36"/>
          <w:rtl/>
        </w:rPr>
        <w:t>جمل</w:t>
      </w:r>
      <w:r w:rsidR="00EC7EDF" w:rsidRPr="00FD211F">
        <w:rPr>
          <w:sz w:val="36"/>
          <w:szCs w:val="36"/>
          <w:rtl/>
        </w:rPr>
        <w:t xml:space="preserve">ة </w:t>
      </w:r>
      <w:r w:rsidRPr="00FD211F">
        <w:rPr>
          <w:sz w:val="36"/>
          <w:szCs w:val="36"/>
          <w:rtl/>
        </w:rPr>
        <w:t>"ليت زيدا قائم "ف</w:t>
      </w:r>
      <w:r w:rsidR="00BE624F" w:rsidRPr="00FD211F">
        <w:rPr>
          <w:sz w:val="36"/>
          <w:szCs w:val="36"/>
          <w:rtl/>
        </w:rPr>
        <w:t xml:space="preserve">انه </w:t>
      </w:r>
      <w:r w:rsidRPr="00FD211F">
        <w:rPr>
          <w:sz w:val="36"/>
          <w:szCs w:val="36"/>
          <w:rtl/>
        </w:rPr>
        <w:t xml:space="preserve">ينقدح في </w:t>
      </w:r>
      <w:r w:rsidR="007F5659" w:rsidRPr="00FD211F">
        <w:rPr>
          <w:sz w:val="36"/>
          <w:szCs w:val="36"/>
          <w:rtl/>
        </w:rPr>
        <w:t>ذهن</w:t>
      </w:r>
      <w:r w:rsidRPr="00FD211F">
        <w:rPr>
          <w:sz w:val="36"/>
          <w:szCs w:val="36"/>
          <w:rtl/>
        </w:rPr>
        <w:t>ه صور</w:t>
      </w:r>
      <w:r w:rsidR="00EC7EDF" w:rsidRPr="00FD211F">
        <w:rPr>
          <w:sz w:val="36"/>
          <w:szCs w:val="36"/>
          <w:rtl/>
        </w:rPr>
        <w:t xml:space="preserve">ة </w:t>
      </w:r>
      <w:r w:rsidR="007F5659" w:rsidRPr="00FD211F">
        <w:rPr>
          <w:sz w:val="36"/>
          <w:szCs w:val="36"/>
          <w:rtl/>
        </w:rPr>
        <w:t>ايجاد ا</w:t>
      </w:r>
      <w:r w:rsidRPr="00FD211F">
        <w:rPr>
          <w:sz w:val="36"/>
          <w:szCs w:val="36"/>
          <w:rtl/>
        </w:rPr>
        <w:t>لتمني الإنشائي</w:t>
      </w:r>
      <w:r w:rsidR="007F5659" w:rsidRPr="00FD211F">
        <w:rPr>
          <w:sz w:val="36"/>
          <w:szCs w:val="36"/>
          <w:rtl/>
        </w:rPr>
        <w:t>.</w:t>
      </w:r>
    </w:p>
    <w:p w14:paraId="3F7DC897" w14:textId="77777777" w:rsidR="007F5659" w:rsidRPr="00FD211F" w:rsidRDefault="00562634" w:rsidP="009C58C8">
      <w:pPr>
        <w:ind w:left="0" w:firstLine="227"/>
        <w:jc w:val="both"/>
        <w:rPr>
          <w:sz w:val="36"/>
          <w:szCs w:val="36"/>
          <w:rtl/>
        </w:rPr>
      </w:pPr>
      <w:r w:rsidRPr="00FD211F">
        <w:rPr>
          <w:sz w:val="36"/>
          <w:szCs w:val="36"/>
          <w:rtl/>
        </w:rPr>
        <w:t xml:space="preserve">وقد يذكر للمعنى الحرفي قسم رابع وهو </w:t>
      </w:r>
      <w:r w:rsidR="007F5659" w:rsidRPr="00FD211F">
        <w:rPr>
          <w:sz w:val="36"/>
          <w:szCs w:val="36"/>
          <w:rtl/>
        </w:rPr>
        <w:t>ما يكون موجدا ل</w:t>
      </w:r>
      <w:r w:rsidR="008D7B3D" w:rsidRPr="00FD211F">
        <w:rPr>
          <w:sz w:val="36"/>
          <w:szCs w:val="36"/>
          <w:rtl/>
        </w:rPr>
        <w:t xml:space="preserve">شيء </w:t>
      </w:r>
      <w:r w:rsidR="007F5659" w:rsidRPr="00FD211F">
        <w:rPr>
          <w:sz w:val="36"/>
          <w:szCs w:val="36"/>
          <w:rtl/>
        </w:rPr>
        <w:t>تكوينا من دون أي</w:t>
      </w:r>
      <w:r w:rsidR="00EC7EDF" w:rsidRPr="00FD211F">
        <w:rPr>
          <w:sz w:val="36"/>
          <w:szCs w:val="36"/>
          <w:rtl/>
        </w:rPr>
        <w:t xml:space="preserve">ة </w:t>
      </w:r>
      <w:r w:rsidR="007F5659" w:rsidRPr="00FD211F">
        <w:rPr>
          <w:sz w:val="36"/>
          <w:szCs w:val="36"/>
          <w:rtl/>
        </w:rPr>
        <w:t>علق</w:t>
      </w:r>
      <w:r w:rsidR="00EC7EDF" w:rsidRPr="00FD211F">
        <w:rPr>
          <w:sz w:val="36"/>
          <w:szCs w:val="36"/>
          <w:rtl/>
        </w:rPr>
        <w:t xml:space="preserve">ة </w:t>
      </w:r>
      <w:r w:rsidR="007F5659" w:rsidRPr="00FD211F">
        <w:rPr>
          <w:sz w:val="36"/>
          <w:szCs w:val="36"/>
          <w:rtl/>
        </w:rPr>
        <w:t>وضعي</w:t>
      </w:r>
      <w:r w:rsidR="00EC7EDF" w:rsidRPr="00FD211F">
        <w:rPr>
          <w:sz w:val="36"/>
          <w:szCs w:val="36"/>
          <w:rtl/>
        </w:rPr>
        <w:t>ة</w:t>
      </w:r>
      <w:r w:rsidR="00603323" w:rsidRPr="00FD211F">
        <w:rPr>
          <w:sz w:val="36"/>
          <w:szCs w:val="36"/>
          <w:rtl/>
        </w:rPr>
        <w:t xml:space="preserve">، </w:t>
      </w:r>
      <w:r w:rsidR="007F5659" w:rsidRPr="00FD211F">
        <w:rPr>
          <w:sz w:val="36"/>
          <w:szCs w:val="36"/>
          <w:rtl/>
        </w:rPr>
        <w:t>كما التزم به بعض الساد</w:t>
      </w:r>
      <w:r w:rsidR="00EC7EDF" w:rsidRPr="00FD211F">
        <w:rPr>
          <w:sz w:val="36"/>
          <w:szCs w:val="36"/>
          <w:rtl/>
        </w:rPr>
        <w:t xml:space="preserve">ة </w:t>
      </w:r>
      <w:r w:rsidR="007F5659" w:rsidRPr="00FD211F">
        <w:rPr>
          <w:sz w:val="36"/>
          <w:szCs w:val="36"/>
          <w:rtl/>
        </w:rPr>
        <w:t>الأ</w:t>
      </w:r>
      <w:r w:rsidR="00562FF8" w:rsidRPr="00FD211F">
        <w:rPr>
          <w:sz w:val="36"/>
          <w:szCs w:val="36"/>
          <w:rtl/>
        </w:rPr>
        <w:t>علام</w:t>
      </w:r>
      <w:r w:rsidR="007A4A0D" w:rsidRPr="00FD211F">
        <w:rPr>
          <w:sz w:val="36"/>
          <w:szCs w:val="36"/>
          <w:rtl/>
        </w:rPr>
        <w:t xml:space="preserve"> </w:t>
      </w:r>
      <w:r w:rsidR="007C7BD6" w:rsidRPr="00FD211F">
        <w:rPr>
          <w:sz w:val="36"/>
          <w:szCs w:val="36"/>
          <w:rtl/>
        </w:rPr>
        <w:t>"</w:t>
      </w:r>
      <w:r w:rsidR="007A4A0D" w:rsidRPr="00FD211F">
        <w:rPr>
          <w:sz w:val="36"/>
          <w:szCs w:val="36"/>
          <w:rtl/>
        </w:rPr>
        <w:t>دام‌ظله</w:t>
      </w:r>
      <w:r w:rsidR="007C7BD6" w:rsidRPr="00FD211F">
        <w:rPr>
          <w:sz w:val="36"/>
          <w:szCs w:val="36"/>
          <w:rtl/>
        </w:rPr>
        <w:t>"</w:t>
      </w:r>
      <w:r w:rsidR="007A4A0D" w:rsidRPr="00FD211F">
        <w:rPr>
          <w:sz w:val="36"/>
          <w:szCs w:val="36"/>
          <w:rtl/>
        </w:rPr>
        <w:t xml:space="preserve"> </w:t>
      </w:r>
      <w:r w:rsidR="00562FF8" w:rsidRPr="00FD211F">
        <w:rPr>
          <w:sz w:val="36"/>
          <w:szCs w:val="36"/>
          <w:rtl/>
        </w:rPr>
        <w:t>ومال اليه في البحوث</w:t>
      </w:r>
      <w:r w:rsidR="007F5659" w:rsidRPr="00FD211F">
        <w:rPr>
          <w:sz w:val="36"/>
          <w:szCs w:val="36"/>
          <w:rtl/>
        </w:rPr>
        <w:t xml:space="preserve"> فيكون حرف </w:t>
      </w:r>
      <w:r w:rsidR="00562FF8" w:rsidRPr="00FD211F">
        <w:rPr>
          <w:sz w:val="36"/>
          <w:szCs w:val="36"/>
          <w:rtl/>
        </w:rPr>
        <w:t>"</w:t>
      </w:r>
      <w:r w:rsidR="007F5659" w:rsidRPr="00FD211F">
        <w:rPr>
          <w:sz w:val="36"/>
          <w:szCs w:val="36"/>
          <w:rtl/>
        </w:rPr>
        <w:t>يا</w:t>
      </w:r>
      <w:r w:rsidR="00562FF8" w:rsidRPr="00FD211F">
        <w:rPr>
          <w:sz w:val="36"/>
          <w:szCs w:val="36"/>
          <w:rtl/>
        </w:rPr>
        <w:t>"</w:t>
      </w:r>
      <w:r w:rsidR="007F5659" w:rsidRPr="00FD211F">
        <w:rPr>
          <w:sz w:val="36"/>
          <w:szCs w:val="36"/>
          <w:rtl/>
        </w:rPr>
        <w:t xml:space="preserve"> في قولنا يا زيد موجدا للنداء التكويني كسائر الاصوات</w:t>
      </w:r>
      <w:r w:rsidR="00603323" w:rsidRPr="00FD211F">
        <w:rPr>
          <w:sz w:val="36"/>
          <w:szCs w:val="36"/>
          <w:rtl/>
        </w:rPr>
        <w:t xml:space="preserve">، </w:t>
      </w:r>
      <w:r w:rsidR="007F5659" w:rsidRPr="00FD211F">
        <w:rPr>
          <w:sz w:val="36"/>
          <w:szCs w:val="36"/>
          <w:rtl/>
        </w:rPr>
        <w:t>وانما الفرق بينه وبين سائر الأحرف في وضع هيئ</w:t>
      </w:r>
      <w:r w:rsidR="00EC7EDF" w:rsidRPr="00FD211F">
        <w:rPr>
          <w:sz w:val="36"/>
          <w:szCs w:val="36"/>
          <w:rtl/>
        </w:rPr>
        <w:t xml:space="preserve">ة </w:t>
      </w:r>
      <w:r w:rsidR="007F5659" w:rsidRPr="00FD211F">
        <w:rPr>
          <w:sz w:val="36"/>
          <w:szCs w:val="36"/>
          <w:rtl/>
        </w:rPr>
        <w:t>الجمل</w:t>
      </w:r>
      <w:r w:rsidR="00EC7EDF" w:rsidRPr="00FD211F">
        <w:rPr>
          <w:sz w:val="36"/>
          <w:szCs w:val="36"/>
          <w:rtl/>
        </w:rPr>
        <w:t xml:space="preserve">ة </w:t>
      </w:r>
      <w:r w:rsidR="007F5659" w:rsidRPr="00FD211F">
        <w:rPr>
          <w:sz w:val="36"/>
          <w:szCs w:val="36"/>
          <w:rtl/>
        </w:rPr>
        <w:t>المشتمل</w:t>
      </w:r>
      <w:r w:rsidR="00EC7EDF" w:rsidRPr="00FD211F">
        <w:rPr>
          <w:sz w:val="36"/>
          <w:szCs w:val="36"/>
          <w:rtl/>
        </w:rPr>
        <w:t xml:space="preserve">ة </w:t>
      </w:r>
      <w:r w:rsidR="007F5659" w:rsidRPr="00FD211F">
        <w:rPr>
          <w:sz w:val="36"/>
          <w:szCs w:val="36"/>
          <w:rtl/>
        </w:rPr>
        <w:t>عليه على كون مدخوله هو المنادى</w:t>
      </w:r>
      <w:r w:rsidR="00603323" w:rsidRPr="00FD211F">
        <w:rPr>
          <w:sz w:val="36"/>
          <w:szCs w:val="36"/>
          <w:rtl/>
        </w:rPr>
        <w:t xml:space="preserve">، </w:t>
      </w:r>
      <w:r w:rsidR="007F5659" w:rsidRPr="00FD211F">
        <w:rPr>
          <w:sz w:val="36"/>
          <w:szCs w:val="36"/>
          <w:rtl/>
        </w:rPr>
        <w:t>وبذلك اتضح الفرق بين هذا القسم والقسم السابق</w:t>
      </w:r>
      <w:r w:rsidR="00603323" w:rsidRPr="00FD211F">
        <w:rPr>
          <w:sz w:val="36"/>
          <w:szCs w:val="36"/>
          <w:rtl/>
        </w:rPr>
        <w:t xml:space="preserve">، </w:t>
      </w:r>
      <w:r w:rsidR="007F5659" w:rsidRPr="00FD211F">
        <w:rPr>
          <w:sz w:val="36"/>
          <w:szCs w:val="36"/>
          <w:rtl/>
        </w:rPr>
        <w:t>حيث ان الحروف في القسم السابق كانت موضوع</w:t>
      </w:r>
      <w:r w:rsidR="00EC7EDF" w:rsidRPr="00FD211F">
        <w:rPr>
          <w:sz w:val="36"/>
          <w:szCs w:val="36"/>
          <w:rtl/>
        </w:rPr>
        <w:t xml:space="preserve">ة </w:t>
      </w:r>
      <w:r w:rsidR="007F5659" w:rsidRPr="00FD211F">
        <w:rPr>
          <w:sz w:val="36"/>
          <w:szCs w:val="36"/>
          <w:rtl/>
        </w:rPr>
        <w:t>لإيجاد معاني خاص</w:t>
      </w:r>
      <w:r w:rsidR="00EC7EDF" w:rsidRPr="00FD211F">
        <w:rPr>
          <w:sz w:val="36"/>
          <w:szCs w:val="36"/>
          <w:rtl/>
        </w:rPr>
        <w:t>ة</w:t>
      </w:r>
      <w:r w:rsidR="00603323" w:rsidRPr="00FD211F">
        <w:rPr>
          <w:sz w:val="36"/>
          <w:szCs w:val="36"/>
          <w:rtl/>
        </w:rPr>
        <w:t xml:space="preserve">، </w:t>
      </w:r>
      <w:r w:rsidR="007F5659" w:rsidRPr="00FD211F">
        <w:rPr>
          <w:sz w:val="36"/>
          <w:szCs w:val="36"/>
          <w:rtl/>
        </w:rPr>
        <w:t>وأما حرف النداء فلايكون موضوعا لأي معنى.</w:t>
      </w:r>
    </w:p>
    <w:p w14:paraId="57850CD0" w14:textId="77777777" w:rsidR="007F5659" w:rsidRPr="00FD211F" w:rsidRDefault="007F5659"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ولكن الظاهر ان حرف النداء داخل في القسم السابق</w:t>
      </w:r>
      <w:r w:rsidR="00603323" w:rsidRPr="00FD211F">
        <w:rPr>
          <w:sz w:val="36"/>
          <w:szCs w:val="36"/>
          <w:rtl/>
        </w:rPr>
        <w:t xml:space="preserve">، </w:t>
      </w:r>
      <w:r w:rsidRPr="00FD211F">
        <w:rPr>
          <w:sz w:val="36"/>
          <w:szCs w:val="36"/>
          <w:rtl/>
        </w:rPr>
        <w:t>فهو موضوع لإيجاد النداء الإنشائي</w:t>
      </w:r>
      <w:r w:rsidR="00603323" w:rsidRPr="00FD211F">
        <w:rPr>
          <w:sz w:val="36"/>
          <w:szCs w:val="36"/>
          <w:rtl/>
        </w:rPr>
        <w:t xml:space="preserve">، </w:t>
      </w:r>
      <w:r w:rsidRPr="00FD211F">
        <w:rPr>
          <w:sz w:val="36"/>
          <w:szCs w:val="36"/>
          <w:rtl/>
        </w:rPr>
        <w:t>وقد لايكون استخدام حرف النداء في اللفظ بل يكون في الكتاب</w:t>
      </w:r>
      <w:r w:rsidR="00EC7EDF" w:rsidRPr="00FD211F">
        <w:rPr>
          <w:sz w:val="36"/>
          <w:szCs w:val="36"/>
          <w:rtl/>
        </w:rPr>
        <w:t>ة</w:t>
      </w:r>
      <w:r w:rsidR="00603323" w:rsidRPr="00FD211F">
        <w:rPr>
          <w:sz w:val="36"/>
          <w:szCs w:val="36"/>
          <w:rtl/>
        </w:rPr>
        <w:t xml:space="preserve">، </w:t>
      </w:r>
      <w:r w:rsidRPr="00FD211F">
        <w:rPr>
          <w:sz w:val="36"/>
          <w:szCs w:val="36"/>
          <w:rtl/>
        </w:rPr>
        <w:t>كما قد يكون مقد</w:t>
      </w:r>
      <w:r w:rsidR="007C0B13" w:rsidRPr="00FD211F">
        <w:rPr>
          <w:sz w:val="36"/>
          <w:szCs w:val="36"/>
          <w:rtl/>
        </w:rPr>
        <w:t xml:space="preserve">را مثل ماوردفي </w:t>
      </w:r>
      <w:r w:rsidR="00E14FCA" w:rsidRPr="00FD211F">
        <w:rPr>
          <w:sz w:val="36"/>
          <w:szCs w:val="36"/>
          <w:rtl/>
        </w:rPr>
        <w:t>قوله تعالى</w:t>
      </w:r>
      <w:r w:rsidR="007C7BD6" w:rsidRPr="00FD211F">
        <w:rPr>
          <w:sz w:val="36"/>
          <w:szCs w:val="36"/>
          <w:rtl/>
        </w:rPr>
        <w:t xml:space="preserve"> </w:t>
      </w:r>
      <w:r w:rsidR="00E14FCA" w:rsidRPr="00FD211F">
        <w:rPr>
          <w:sz w:val="36"/>
          <w:szCs w:val="36"/>
          <w:rtl/>
        </w:rPr>
        <w:t>"</w:t>
      </w:r>
      <w:r w:rsidRPr="00FD211F">
        <w:rPr>
          <w:sz w:val="36"/>
          <w:szCs w:val="36"/>
          <w:rtl/>
        </w:rPr>
        <w:t>يوسف اعرض عن هذا</w:t>
      </w:r>
      <w:r w:rsidR="00E14FCA" w:rsidRPr="00FD211F">
        <w:rPr>
          <w:sz w:val="36"/>
          <w:szCs w:val="36"/>
          <w:rtl/>
        </w:rPr>
        <w:t>"</w:t>
      </w:r>
      <w:r w:rsidR="00603323" w:rsidRPr="00FD211F">
        <w:rPr>
          <w:sz w:val="36"/>
          <w:szCs w:val="36"/>
          <w:rtl/>
        </w:rPr>
        <w:t xml:space="preserve">، </w:t>
      </w:r>
      <w:r w:rsidRPr="00FD211F">
        <w:rPr>
          <w:sz w:val="36"/>
          <w:szCs w:val="36"/>
          <w:rtl/>
        </w:rPr>
        <w:t>فلايكون نداء حقيقيا</w:t>
      </w:r>
      <w:r w:rsidR="00603323" w:rsidRPr="00FD211F">
        <w:rPr>
          <w:sz w:val="36"/>
          <w:szCs w:val="36"/>
          <w:rtl/>
        </w:rPr>
        <w:t xml:space="preserve">، </w:t>
      </w:r>
      <w:r w:rsidRPr="00FD211F">
        <w:rPr>
          <w:sz w:val="36"/>
          <w:szCs w:val="36"/>
          <w:rtl/>
        </w:rPr>
        <w:t>وكذلك ترى ان حرف</w:t>
      </w:r>
      <w:r w:rsidR="007C7BD6" w:rsidRPr="00FD211F">
        <w:rPr>
          <w:sz w:val="36"/>
          <w:szCs w:val="36"/>
          <w:rtl/>
        </w:rPr>
        <w:t xml:space="preserve"> </w:t>
      </w:r>
      <w:r w:rsidR="00E14FCA" w:rsidRPr="00FD211F">
        <w:rPr>
          <w:sz w:val="36"/>
          <w:szCs w:val="36"/>
          <w:rtl/>
        </w:rPr>
        <w:t>"</w:t>
      </w:r>
      <w:r w:rsidRPr="00FD211F">
        <w:rPr>
          <w:sz w:val="36"/>
          <w:szCs w:val="36"/>
          <w:rtl/>
        </w:rPr>
        <w:t>يا</w:t>
      </w:r>
      <w:r w:rsidR="00E14FCA" w:rsidRPr="00FD211F">
        <w:rPr>
          <w:sz w:val="36"/>
          <w:szCs w:val="36"/>
          <w:rtl/>
        </w:rPr>
        <w:t>" في قوله تعالى</w:t>
      </w:r>
      <w:r w:rsidR="007C7BD6" w:rsidRPr="00FD211F">
        <w:rPr>
          <w:sz w:val="36"/>
          <w:szCs w:val="36"/>
          <w:rtl/>
        </w:rPr>
        <w:t xml:space="preserve"> </w:t>
      </w:r>
      <w:r w:rsidR="00E14FCA" w:rsidRPr="00FD211F">
        <w:rPr>
          <w:sz w:val="36"/>
          <w:szCs w:val="36"/>
          <w:rtl/>
        </w:rPr>
        <w:t>"</w:t>
      </w:r>
      <w:r w:rsidRPr="00FD211F">
        <w:rPr>
          <w:sz w:val="36"/>
          <w:szCs w:val="36"/>
          <w:rtl/>
        </w:rPr>
        <w:t>يا حسر</w:t>
      </w:r>
      <w:r w:rsidR="00EC7EDF" w:rsidRPr="00FD211F">
        <w:rPr>
          <w:sz w:val="36"/>
          <w:szCs w:val="36"/>
          <w:rtl/>
        </w:rPr>
        <w:t xml:space="preserve">ة </w:t>
      </w:r>
      <w:r w:rsidRPr="00FD211F">
        <w:rPr>
          <w:sz w:val="36"/>
          <w:szCs w:val="36"/>
          <w:rtl/>
        </w:rPr>
        <w:t>على العباد ما يأتيهم من رسول الا كانوا به يستهزؤ</w:t>
      </w:r>
      <w:r w:rsidR="00DB7126" w:rsidRPr="00FD211F">
        <w:rPr>
          <w:sz w:val="36"/>
          <w:szCs w:val="36"/>
          <w:rtl/>
        </w:rPr>
        <w:t>ون</w:t>
      </w:r>
      <w:r w:rsidR="00E14FCA" w:rsidRPr="00FD211F">
        <w:rPr>
          <w:sz w:val="36"/>
          <w:szCs w:val="36"/>
          <w:rtl/>
        </w:rPr>
        <w:t>"</w:t>
      </w:r>
      <w:r w:rsidR="008D7B3D" w:rsidRPr="00FD211F">
        <w:rPr>
          <w:sz w:val="36"/>
          <w:szCs w:val="36"/>
          <w:rtl/>
        </w:rPr>
        <w:t xml:space="preserve"> لم‌</w:t>
      </w:r>
      <w:r w:rsidR="00DB7126" w:rsidRPr="00FD211F">
        <w:rPr>
          <w:sz w:val="36"/>
          <w:szCs w:val="36"/>
          <w:rtl/>
        </w:rPr>
        <w:t>يستعم</w:t>
      </w:r>
      <w:r w:rsidR="00BA4CE6" w:rsidRPr="00FD211F">
        <w:rPr>
          <w:sz w:val="36"/>
          <w:szCs w:val="36"/>
          <w:rtl/>
        </w:rPr>
        <w:t>ل في النداء الحقيقي</w:t>
      </w:r>
      <w:r w:rsidR="00603323" w:rsidRPr="00FD211F">
        <w:rPr>
          <w:sz w:val="36"/>
          <w:szCs w:val="36"/>
          <w:rtl/>
        </w:rPr>
        <w:t xml:space="preserve">، </w:t>
      </w:r>
      <w:r w:rsidR="00BA4CE6" w:rsidRPr="00FD211F">
        <w:rPr>
          <w:sz w:val="36"/>
          <w:szCs w:val="36"/>
          <w:rtl/>
        </w:rPr>
        <w:t xml:space="preserve">وسوف نواصل الكلام </w:t>
      </w:r>
      <w:r w:rsidR="00DB7126" w:rsidRPr="00FD211F">
        <w:rPr>
          <w:sz w:val="36"/>
          <w:szCs w:val="36"/>
          <w:rtl/>
        </w:rPr>
        <w:t>حول حرف النداء وجمل</w:t>
      </w:r>
      <w:r w:rsidR="00EC7EDF" w:rsidRPr="00FD211F">
        <w:rPr>
          <w:sz w:val="36"/>
          <w:szCs w:val="36"/>
          <w:rtl/>
        </w:rPr>
        <w:t xml:space="preserve">ة </w:t>
      </w:r>
      <w:r w:rsidR="00DB7126" w:rsidRPr="00FD211F">
        <w:rPr>
          <w:sz w:val="36"/>
          <w:szCs w:val="36"/>
          <w:rtl/>
        </w:rPr>
        <w:t>النداء في المستقبل ان شاء الله تعالى.</w:t>
      </w:r>
    </w:p>
    <w:p w14:paraId="26497E1A" w14:textId="77777777" w:rsidR="000C5BBA" w:rsidRPr="00FD211F" w:rsidRDefault="00BE624F" w:rsidP="009C58C8">
      <w:pPr>
        <w:pStyle w:val="3"/>
        <w:ind w:firstLine="227"/>
        <w:jc w:val="both"/>
        <w:rPr>
          <w:rtl/>
        </w:rPr>
      </w:pPr>
      <w:bookmarkStart w:id="196" w:name="_Toc223890348"/>
      <w:r w:rsidRPr="00FD211F">
        <w:rPr>
          <w:rtl/>
        </w:rPr>
        <w:t>شبه</w:t>
      </w:r>
      <w:r w:rsidR="00EC7EDF" w:rsidRPr="00FD211F">
        <w:rPr>
          <w:rtl/>
        </w:rPr>
        <w:t xml:space="preserve">ة </w:t>
      </w:r>
      <w:r w:rsidRPr="00FD211F">
        <w:rPr>
          <w:rtl/>
        </w:rPr>
        <w:t>وجواب</w:t>
      </w:r>
      <w:bookmarkEnd w:id="196"/>
    </w:p>
    <w:p w14:paraId="6C776C8E" w14:textId="77777777" w:rsidR="00300AE8" w:rsidRPr="00FD211F" w:rsidRDefault="00300AE8" w:rsidP="00251CB6">
      <w:pPr>
        <w:ind w:left="0" w:firstLine="227"/>
        <w:jc w:val="both"/>
        <w:rPr>
          <w:sz w:val="36"/>
          <w:szCs w:val="36"/>
          <w:rtl/>
        </w:rPr>
      </w:pPr>
      <w:r w:rsidRPr="00FD211F">
        <w:rPr>
          <w:sz w:val="36"/>
          <w:szCs w:val="36"/>
          <w:rtl/>
        </w:rPr>
        <w:t>انه توجد هناشبه</w:t>
      </w:r>
      <w:r w:rsidR="00EC7EDF" w:rsidRPr="00FD211F">
        <w:rPr>
          <w:sz w:val="36"/>
          <w:szCs w:val="36"/>
          <w:rtl/>
        </w:rPr>
        <w:t xml:space="preserve">ة </w:t>
      </w:r>
      <w:r w:rsidRPr="00FD211F">
        <w:rPr>
          <w:sz w:val="36"/>
          <w:szCs w:val="36"/>
          <w:rtl/>
        </w:rPr>
        <w:t>قوي</w:t>
      </w:r>
      <w:r w:rsidR="00EC7EDF" w:rsidRPr="00FD211F">
        <w:rPr>
          <w:sz w:val="36"/>
          <w:szCs w:val="36"/>
          <w:rtl/>
        </w:rPr>
        <w:t xml:space="preserve">ة </w:t>
      </w:r>
      <w:r w:rsidRPr="00FD211F">
        <w:rPr>
          <w:sz w:val="36"/>
          <w:szCs w:val="36"/>
          <w:rtl/>
        </w:rPr>
        <w:t xml:space="preserve">فيما ذكره المحقق النائيني </w:t>
      </w:r>
      <w:r w:rsidR="00EC7EDF" w:rsidRPr="00FD211F">
        <w:rPr>
          <w:sz w:val="36"/>
          <w:szCs w:val="36"/>
          <w:rtl/>
        </w:rPr>
        <w:t xml:space="preserve">"قده" </w:t>
      </w:r>
      <w:r w:rsidRPr="00FD211F">
        <w:rPr>
          <w:sz w:val="36"/>
          <w:szCs w:val="36"/>
          <w:rtl/>
        </w:rPr>
        <w:t>وفاقا للمشهور- من ان المعنى الحرفي لايوجد في الذهن الا متقوما بوجود طرفيه ذهنا</w:t>
      </w:r>
      <w:r w:rsidR="00603323" w:rsidRPr="00FD211F">
        <w:rPr>
          <w:sz w:val="36"/>
          <w:szCs w:val="36"/>
          <w:rtl/>
        </w:rPr>
        <w:t xml:space="preserve">، </w:t>
      </w:r>
      <w:r w:rsidRPr="00FD211F">
        <w:rPr>
          <w:sz w:val="36"/>
          <w:szCs w:val="36"/>
          <w:rtl/>
        </w:rPr>
        <w:t>فالحرف وحده لامعنى له - وهي انه خلاف الوجدان</w:t>
      </w:r>
      <w:r w:rsidR="00603323" w:rsidRPr="00FD211F">
        <w:rPr>
          <w:sz w:val="36"/>
          <w:szCs w:val="36"/>
          <w:rtl/>
        </w:rPr>
        <w:t xml:space="preserve">، </w:t>
      </w:r>
      <w:r w:rsidRPr="00FD211F">
        <w:rPr>
          <w:sz w:val="36"/>
          <w:szCs w:val="36"/>
          <w:rtl/>
        </w:rPr>
        <w:t>فلو بدأ شخصان بالكلام فقال احدهما: "ِمن" وقال الثاني: "في" فنحسّ بالفرق بين معناهما</w:t>
      </w:r>
      <w:r w:rsidR="00603323" w:rsidRPr="00FD211F">
        <w:rPr>
          <w:sz w:val="36"/>
          <w:szCs w:val="36"/>
          <w:rtl/>
        </w:rPr>
        <w:t xml:space="preserve">، </w:t>
      </w:r>
      <w:r w:rsidR="00462E6F" w:rsidRPr="00FD211F">
        <w:rPr>
          <w:sz w:val="36"/>
          <w:szCs w:val="36"/>
          <w:rtl/>
        </w:rPr>
        <w:t>ولو قبل ان يكمِّلا</w:t>
      </w:r>
      <w:r w:rsidR="007C7BD6" w:rsidRPr="00FD211F">
        <w:rPr>
          <w:sz w:val="36"/>
          <w:szCs w:val="36"/>
          <w:rtl/>
        </w:rPr>
        <w:t xml:space="preserve"> </w:t>
      </w:r>
      <w:r w:rsidR="00462E6F" w:rsidRPr="00FD211F">
        <w:rPr>
          <w:sz w:val="36"/>
          <w:szCs w:val="36"/>
          <w:rtl/>
        </w:rPr>
        <w:t>كلامهما</w:t>
      </w:r>
      <w:r w:rsidRPr="00FD211F">
        <w:rPr>
          <w:sz w:val="36"/>
          <w:szCs w:val="36"/>
          <w:rtl/>
        </w:rPr>
        <w:t xml:space="preserve"> بان يقول الأول</w:t>
      </w:r>
      <w:r w:rsidR="00462E6F" w:rsidRPr="00FD211F">
        <w:rPr>
          <w:sz w:val="36"/>
          <w:szCs w:val="36"/>
          <w:rtl/>
        </w:rPr>
        <w:t xml:space="preserve"> مثلا</w:t>
      </w:r>
      <w:r w:rsidR="00251CB6" w:rsidRPr="00FD211F">
        <w:rPr>
          <w:sz w:val="36"/>
          <w:szCs w:val="36"/>
          <w:rtl/>
        </w:rPr>
        <w:t xml:space="preserve"> </w:t>
      </w:r>
      <w:r w:rsidR="00462E6F" w:rsidRPr="00FD211F">
        <w:rPr>
          <w:sz w:val="36"/>
          <w:szCs w:val="36"/>
          <w:rtl/>
        </w:rPr>
        <w:t>"</w:t>
      </w:r>
      <w:r w:rsidRPr="00FD211F">
        <w:rPr>
          <w:sz w:val="36"/>
          <w:szCs w:val="36"/>
          <w:rtl/>
        </w:rPr>
        <w:t>من البصر</w:t>
      </w:r>
      <w:r w:rsidR="00EC7EDF" w:rsidRPr="00FD211F">
        <w:rPr>
          <w:sz w:val="36"/>
          <w:szCs w:val="36"/>
          <w:rtl/>
        </w:rPr>
        <w:t xml:space="preserve">ة </w:t>
      </w:r>
      <w:r w:rsidRPr="00FD211F">
        <w:rPr>
          <w:sz w:val="36"/>
          <w:szCs w:val="36"/>
          <w:rtl/>
        </w:rPr>
        <w:t>خرجت</w:t>
      </w:r>
      <w:r w:rsidR="00462E6F" w:rsidRPr="00FD211F">
        <w:rPr>
          <w:sz w:val="36"/>
          <w:szCs w:val="36"/>
          <w:rtl/>
        </w:rPr>
        <w:t>" ويقول الثاني</w:t>
      </w:r>
      <w:r w:rsidR="00251CB6" w:rsidRPr="00FD211F">
        <w:rPr>
          <w:sz w:val="36"/>
          <w:szCs w:val="36"/>
          <w:rtl/>
        </w:rPr>
        <w:t xml:space="preserve"> </w:t>
      </w:r>
      <w:r w:rsidR="00462E6F" w:rsidRPr="00FD211F">
        <w:rPr>
          <w:sz w:val="36"/>
          <w:szCs w:val="36"/>
          <w:rtl/>
        </w:rPr>
        <w:t>"</w:t>
      </w:r>
      <w:r w:rsidRPr="00FD211F">
        <w:rPr>
          <w:sz w:val="36"/>
          <w:szCs w:val="36"/>
          <w:rtl/>
        </w:rPr>
        <w:t>في البصر</w:t>
      </w:r>
      <w:r w:rsidR="00EC7EDF" w:rsidRPr="00FD211F">
        <w:rPr>
          <w:sz w:val="36"/>
          <w:szCs w:val="36"/>
          <w:rtl/>
        </w:rPr>
        <w:t xml:space="preserve">ة </w:t>
      </w:r>
      <w:r w:rsidRPr="00FD211F">
        <w:rPr>
          <w:sz w:val="36"/>
          <w:szCs w:val="36"/>
          <w:rtl/>
        </w:rPr>
        <w:t>دخلت</w:t>
      </w:r>
      <w:r w:rsidR="00462E6F" w:rsidRPr="00FD211F">
        <w:rPr>
          <w:sz w:val="36"/>
          <w:szCs w:val="36"/>
          <w:rtl/>
        </w:rPr>
        <w:t>" ف</w:t>
      </w:r>
      <w:r w:rsidRPr="00FD211F">
        <w:rPr>
          <w:sz w:val="36"/>
          <w:szCs w:val="36"/>
          <w:rtl/>
        </w:rPr>
        <w:t>لو قال الثاني حرفا مرادفا للفظ</w:t>
      </w:r>
      <w:r w:rsidR="00EC7EDF" w:rsidRPr="00FD211F">
        <w:rPr>
          <w:sz w:val="36"/>
          <w:szCs w:val="36"/>
          <w:rtl/>
        </w:rPr>
        <w:t xml:space="preserve">ة </w:t>
      </w:r>
      <w:r w:rsidR="00251CB6" w:rsidRPr="00FD211F">
        <w:rPr>
          <w:sz w:val="36"/>
          <w:szCs w:val="36"/>
          <w:rtl/>
        </w:rPr>
        <w:t>"</w:t>
      </w:r>
      <w:r w:rsidRPr="00FD211F">
        <w:rPr>
          <w:sz w:val="36"/>
          <w:szCs w:val="36"/>
          <w:rtl/>
        </w:rPr>
        <w:t>من" كأن قال بالفارسي</w:t>
      </w:r>
      <w:r w:rsidR="00EC7EDF" w:rsidRPr="00FD211F">
        <w:rPr>
          <w:sz w:val="36"/>
          <w:szCs w:val="36"/>
          <w:rtl/>
        </w:rPr>
        <w:t xml:space="preserve">ة </w:t>
      </w:r>
      <w:r w:rsidRPr="00FD211F">
        <w:rPr>
          <w:sz w:val="36"/>
          <w:szCs w:val="36"/>
          <w:rtl/>
        </w:rPr>
        <w:t>"از" فإنا نحسّ بوحد</w:t>
      </w:r>
      <w:r w:rsidR="00EC7EDF" w:rsidRPr="00FD211F">
        <w:rPr>
          <w:sz w:val="36"/>
          <w:szCs w:val="36"/>
          <w:rtl/>
        </w:rPr>
        <w:t xml:space="preserve">ة </w:t>
      </w:r>
      <w:r w:rsidRPr="00FD211F">
        <w:rPr>
          <w:sz w:val="36"/>
          <w:szCs w:val="36"/>
          <w:rtl/>
        </w:rPr>
        <w:t>معناه مع معنى لفظ</w:t>
      </w:r>
      <w:r w:rsidR="00EC7EDF" w:rsidRPr="00FD211F">
        <w:rPr>
          <w:sz w:val="36"/>
          <w:szCs w:val="36"/>
          <w:rtl/>
        </w:rPr>
        <w:t xml:space="preserve">ة </w:t>
      </w:r>
      <w:r w:rsidR="00462E6F" w:rsidRPr="00FD211F">
        <w:rPr>
          <w:sz w:val="36"/>
          <w:szCs w:val="36"/>
          <w:rtl/>
        </w:rPr>
        <w:t>"</w:t>
      </w:r>
      <w:r w:rsidRPr="00FD211F">
        <w:rPr>
          <w:sz w:val="36"/>
          <w:szCs w:val="36"/>
          <w:rtl/>
        </w:rPr>
        <w:t>من</w:t>
      </w:r>
      <w:r w:rsidR="00462E6F" w:rsidRPr="00FD211F">
        <w:rPr>
          <w:sz w:val="36"/>
          <w:szCs w:val="36"/>
          <w:rtl/>
        </w:rPr>
        <w:t>"</w:t>
      </w:r>
      <w:r w:rsidRPr="00FD211F">
        <w:rPr>
          <w:sz w:val="36"/>
          <w:szCs w:val="36"/>
          <w:rtl/>
        </w:rPr>
        <w:t xml:space="preserve"> وكذا لو سمعنا من احدهما لفظ</w:t>
      </w:r>
      <w:r w:rsidR="00EC7EDF" w:rsidRPr="00FD211F">
        <w:rPr>
          <w:sz w:val="36"/>
          <w:szCs w:val="36"/>
          <w:rtl/>
        </w:rPr>
        <w:t xml:space="preserve">ة </w:t>
      </w:r>
      <w:r w:rsidR="00462E6F" w:rsidRPr="00FD211F">
        <w:rPr>
          <w:sz w:val="36"/>
          <w:szCs w:val="36"/>
          <w:rtl/>
        </w:rPr>
        <w:t>"</w:t>
      </w:r>
      <w:r w:rsidRPr="00FD211F">
        <w:rPr>
          <w:sz w:val="36"/>
          <w:szCs w:val="36"/>
          <w:rtl/>
        </w:rPr>
        <w:t>من</w:t>
      </w:r>
      <w:r w:rsidR="00462E6F" w:rsidRPr="00FD211F">
        <w:rPr>
          <w:sz w:val="36"/>
          <w:szCs w:val="36"/>
          <w:rtl/>
        </w:rPr>
        <w:t>"</w:t>
      </w:r>
      <w:r w:rsidRPr="00FD211F">
        <w:rPr>
          <w:sz w:val="36"/>
          <w:szCs w:val="36"/>
          <w:rtl/>
        </w:rPr>
        <w:t xml:space="preserve"> ومن الآخر لفظ</w:t>
      </w:r>
      <w:r w:rsidR="00EC7EDF" w:rsidRPr="00FD211F">
        <w:rPr>
          <w:sz w:val="36"/>
          <w:szCs w:val="36"/>
          <w:rtl/>
        </w:rPr>
        <w:t xml:space="preserve">ة </w:t>
      </w:r>
      <w:r w:rsidR="00462E6F" w:rsidRPr="00FD211F">
        <w:rPr>
          <w:sz w:val="36"/>
          <w:szCs w:val="36"/>
          <w:rtl/>
        </w:rPr>
        <w:t>"</w:t>
      </w:r>
      <w:r w:rsidRPr="00FD211F">
        <w:rPr>
          <w:sz w:val="36"/>
          <w:szCs w:val="36"/>
          <w:rtl/>
        </w:rPr>
        <w:t>الابتداء</w:t>
      </w:r>
      <w:r w:rsidR="00462E6F" w:rsidRPr="00FD211F">
        <w:rPr>
          <w:sz w:val="36"/>
          <w:szCs w:val="36"/>
          <w:rtl/>
        </w:rPr>
        <w:t>"</w:t>
      </w:r>
      <w:r w:rsidRPr="00FD211F">
        <w:rPr>
          <w:sz w:val="36"/>
          <w:szCs w:val="36"/>
          <w:rtl/>
        </w:rPr>
        <w:t xml:space="preserve"> فنفهم الفرق بينهما</w:t>
      </w:r>
      <w:r w:rsidR="00603323" w:rsidRPr="00FD211F">
        <w:rPr>
          <w:sz w:val="36"/>
          <w:szCs w:val="36"/>
          <w:rtl/>
        </w:rPr>
        <w:t xml:space="preserve">، </w:t>
      </w:r>
      <w:r w:rsidRPr="00FD211F">
        <w:rPr>
          <w:sz w:val="36"/>
          <w:szCs w:val="36"/>
          <w:rtl/>
        </w:rPr>
        <w:t>ولانعتبر الحرف في هذه الموارد كسائر الالفاظ الم</w:t>
      </w:r>
      <w:r w:rsidR="00462E6F" w:rsidRPr="00FD211F">
        <w:rPr>
          <w:sz w:val="36"/>
          <w:szCs w:val="36"/>
          <w:rtl/>
        </w:rPr>
        <w:t>همل</w:t>
      </w:r>
      <w:r w:rsidR="00EC7EDF" w:rsidRPr="00FD211F">
        <w:rPr>
          <w:sz w:val="36"/>
          <w:szCs w:val="36"/>
          <w:rtl/>
        </w:rPr>
        <w:t xml:space="preserve">ة </w:t>
      </w:r>
      <w:r w:rsidR="00462E6F" w:rsidRPr="00FD211F">
        <w:rPr>
          <w:sz w:val="36"/>
          <w:szCs w:val="36"/>
          <w:rtl/>
        </w:rPr>
        <w:t>التي لايخطر اي معنى منها</w:t>
      </w:r>
      <w:r w:rsidR="007C7BD6" w:rsidRPr="00FD211F">
        <w:rPr>
          <w:sz w:val="36"/>
          <w:szCs w:val="36"/>
          <w:rtl/>
        </w:rPr>
        <w:t xml:space="preserve"> </w:t>
      </w:r>
      <w:r w:rsidR="00462E6F" w:rsidRPr="00FD211F">
        <w:rPr>
          <w:sz w:val="36"/>
          <w:szCs w:val="36"/>
          <w:rtl/>
        </w:rPr>
        <w:t>الى</w:t>
      </w:r>
      <w:r w:rsidRPr="00FD211F">
        <w:rPr>
          <w:sz w:val="36"/>
          <w:szCs w:val="36"/>
          <w:rtl/>
        </w:rPr>
        <w:t xml:space="preserve"> الذهن</w:t>
      </w:r>
      <w:r w:rsidR="00EC7EDF" w:rsidRPr="00FD211F">
        <w:rPr>
          <w:sz w:val="36"/>
          <w:szCs w:val="36"/>
          <w:rtl/>
        </w:rPr>
        <w:t>.</w:t>
      </w:r>
    </w:p>
    <w:p w14:paraId="3C8C7DDF" w14:textId="77777777" w:rsidR="00300AE8" w:rsidRPr="00FD211F" w:rsidRDefault="00300AE8" w:rsidP="009C58C8">
      <w:pPr>
        <w:ind w:left="0" w:firstLine="227"/>
        <w:jc w:val="both"/>
        <w:rPr>
          <w:sz w:val="36"/>
          <w:szCs w:val="36"/>
          <w:rtl/>
        </w:rPr>
      </w:pPr>
      <w:r w:rsidRPr="00FD211F">
        <w:rPr>
          <w:sz w:val="36"/>
          <w:szCs w:val="36"/>
          <w:rtl/>
        </w:rPr>
        <w:t>والجواب عن هذه الشبه</w:t>
      </w:r>
      <w:r w:rsidR="00EC7EDF" w:rsidRPr="00FD211F">
        <w:rPr>
          <w:sz w:val="36"/>
          <w:szCs w:val="36"/>
          <w:rtl/>
        </w:rPr>
        <w:t xml:space="preserve">ة </w:t>
      </w:r>
      <w:r w:rsidRPr="00FD211F">
        <w:rPr>
          <w:sz w:val="36"/>
          <w:szCs w:val="36"/>
          <w:rtl/>
        </w:rPr>
        <w:t>يكون بأحد</w:t>
      </w:r>
      <w:r w:rsidR="007C7BD6" w:rsidRPr="00FD211F">
        <w:rPr>
          <w:sz w:val="36"/>
          <w:szCs w:val="36"/>
          <w:rtl/>
        </w:rPr>
        <w:t xml:space="preserve"> </w:t>
      </w:r>
      <w:r w:rsidRPr="00FD211F">
        <w:rPr>
          <w:sz w:val="36"/>
          <w:szCs w:val="36"/>
          <w:rtl/>
        </w:rPr>
        <w:t>وجهين:</w:t>
      </w:r>
    </w:p>
    <w:p w14:paraId="74C59845" w14:textId="77777777" w:rsidR="00300AE8" w:rsidRPr="00FD211F" w:rsidRDefault="00300AE8" w:rsidP="009C58C8">
      <w:pPr>
        <w:ind w:left="0" w:firstLine="227"/>
        <w:jc w:val="both"/>
        <w:rPr>
          <w:sz w:val="36"/>
          <w:szCs w:val="36"/>
          <w:rtl/>
        </w:rPr>
      </w:pPr>
      <w:r w:rsidRPr="00FD211F">
        <w:rPr>
          <w:sz w:val="36"/>
          <w:szCs w:val="36"/>
          <w:rtl/>
        </w:rPr>
        <w:t>1- ان يقال بان كون المفهوم غير مستقل في ذاته ومندك في الطرفين لايعني الا كون اكتماله بحاج</w:t>
      </w:r>
      <w:r w:rsidR="00EC7EDF" w:rsidRPr="00FD211F">
        <w:rPr>
          <w:sz w:val="36"/>
          <w:szCs w:val="36"/>
          <w:rtl/>
        </w:rPr>
        <w:t xml:space="preserve">ة </w:t>
      </w:r>
      <w:r w:rsidRPr="00FD211F">
        <w:rPr>
          <w:sz w:val="36"/>
          <w:szCs w:val="36"/>
          <w:rtl/>
        </w:rPr>
        <w:t>اليهما</w:t>
      </w:r>
      <w:r w:rsidR="00603323" w:rsidRPr="00FD211F">
        <w:rPr>
          <w:sz w:val="36"/>
          <w:szCs w:val="36"/>
          <w:rtl/>
        </w:rPr>
        <w:t xml:space="preserve">، </w:t>
      </w:r>
      <w:r w:rsidRPr="00FD211F">
        <w:rPr>
          <w:sz w:val="36"/>
          <w:szCs w:val="36"/>
          <w:rtl/>
        </w:rPr>
        <w:t>لا عدم امكان وجوده في الذهن بشكل ناقص</w:t>
      </w:r>
      <w:r w:rsidR="00603323" w:rsidRPr="00FD211F">
        <w:rPr>
          <w:sz w:val="36"/>
          <w:szCs w:val="36"/>
          <w:rtl/>
        </w:rPr>
        <w:t xml:space="preserve">، </w:t>
      </w:r>
      <w:r w:rsidRPr="00FD211F">
        <w:rPr>
          <w:sz w:val="36"/>
          <w:szCs w:val="36"/>
          <w:rtl/>
        </w:rPr>
        <w:t>وهذا نظير مسلك المشهور من دلال</w:t>
      </w:r>
      <w:r w:rsidR="00EC7EDF" w:rsidRPr="00FD211F">
        <w:rPr>
          <w:sz w:val="36"/>
          <w:szCs w:val="36"/>
          <w:rtl/>
        </w:rPr>
        <w:t xml:space="preserve">ة </w:t>
      </w:r>
      <w:r w:rsidRPr="00FD211F">
        <w:rPr>
          <w:sz w:val="36"/>
          <w:szCs w:val="36"/>
          <w:rtl/>
        </w:rPr>
        <w:t>هيئ</w:t>
      </w:r>
      <w:r w:rsidR="00EC7EDF" w:rsidRPr="00FD211F">
        <w:rPr>
          <w:sz w:val="36"/>
          <w:szCs w:val="36"/>
          <w:rtl/>
        </w:rPr>
        <w:t xml:space="preserve">ة </w:t>
      </w:r>
      <w:r w:rsidRPr="00FD211F">
        <w:rPr>
          <w:sz w:val="36"/>
          <w:szCs w:val="36"/>
          <w:rtl/>
        </w:rPr>
        <w:t>الفعل كقولنا ضرب على المبدأ والنسب</w:t>
      </w:r>
      <w:r w:rsidR="00EC7EDF" w:rsidRPr="00FD211F">
        <w:rPr>
          <w:sz w:val="36"/>
          <w:szCs w:val="36"/>
          <w:rtl/>
        </w:rPr>
        <w:t xml:space="preserve">ة </w:t>
      </w:r>
      <w:r w:rsidRPr="00FD211F">
        <w:rPr>
          <w:sz w:val="36"/>
          <w:szCs w:val="36"/>
          <w:rtl/>
        </w:rPr>
        <w:t>الصدوري</w:t>
      </w:r>
      <w:r w:rsidR="00EC7EDF" w:rsidRPr="00FD211F">
        <w:rPr>
          <w:sz w:val="36"/>
          <w:szCs w:val="36"/>
          <w:rtl/>
        </w:rPr>
        <w:t xml:space="preserve">ة </w:t>
      </w:r>
      <w:r w:rsidRPr="00FD211F">
        <w:rPr>
          <w:sz w:val="36"/>
          <w:szCs w:val="36"/>
          <w:rtl/>
        </w:rPr>
        <w:t>من دون ان تدل على الطرف الآخر وهو الفاعل</w:t>
      </w:r>
      <w:r w:rsidR="00603323" w:rsidRPr="00FD211F">
        <w:rPr>
          <w:sz w:val="36"/>
          <w:szCs w:val="36"/>
          <w:rtl/>
        </w:rPr>
        <w:t xml:space="preserve">، </w:t>
      </w:r>
      <w:r w:rsidRPr="00FD211F">
        <w:rPr>
          <w:sz w:val="36"/>
          <w:szCs w:val="36"/>
          <w:rtl/>
        </w:rPr>
        <w:t>ولكنه لايعني عدم امكان تصور معنى الفعل من دون ذكر فاعل له</w:t>
      </w:r>
      <w:r w:rsidR="00603323" w:rsidRPr="00FD211F">
        <w:rPr>
          <w:sz w:val="36"/>
          <w:szCs w:val="36"/>
          <w:rtl/>
        </w:rPr>
        <w:t xml:space="preserve">، </w:t>
      </w:r>
      <w:r w:rsidRPr="00FD211F">
        <w:rPr>
          <w:sz w:val="36"/>
          <w:szCs w:val="36"/>
          <w:rtl/>
        </w:rPr>
        <w:t>وانما معناه بقاءه مفهوما ناقصا وعدم اكتماله ما</w:t>
      </w:r>
      <w:r w:rsidR="008D7B3D" w:rsidRPr="00FD211F">
        <w:rPr>
          <w:sz w:val="36"/>
          <w:szCs w:val="36"/>
          <w:rtl/>
        </w:rPr>
        <w:t xml:space="preserve"> لم‌</w:t>
      </w:r>
      <w:r w:rsidRPr="00FD211F">
        <w:rPr>
          <w:sz w:val="36"/>
          <w:szCs w:val="36"/>
          <w:rtl/>
        </w:rPr>
        <w:t>ينضم اليه ذكر الفاعل.</w:t>
      </w:r>
    </w:p>
    <w:p w14:paraId="5B6F7B1D" w14:textId="77777777" w:rsidR="00300AE8" w:rsidRPr="00FD211F" w:rsidRDefault="00300AE8" w:rsidP="009C58C8">
      <w:pPr>
        <w:ind w:left="0" w:firstLine="227"/>
        <w:jc w:val="both"/>
        <w:rPr>
          <w:sz w:val="36"/>
          <w:szCs w:val="36"/>
          <w:rtl/>
        </w:rPr>
      </w:pPr>
      <w:bookmarkStart w:id="197" w:name="رابطي"/>
      <w:bookmarkEnd w:id="197"/>
      <w:r w:rsidRPr="00FD211F">
        <w:rPr>
          <w:sz w:val="36"/>
          <w:szCs w:val="36"/>
          <w:rtl/>
        </w:rPr>
        <w:t>ولكن الظاهر عدم تمامي</w:t>
      </w:r>
      <w:r w:rsidR="00EC7EDF" w:rsidRPr="00FD211F">
        <w:rPr>
          <w:sz w:val="36"/>
          <w:szCs w:val="36"/>
          <w:rtl/>
        </w:rPr>
        <w:t xml:space="preserve">ة </w:t>
      </w:r>
      <w:r w:rsidRPr="00FD211F">
        <w:rPr>
          <w:sz w:val="36"/>
          <w:szCs w:val="36"/>
          <w:rtl/>
        </w:rPr>
        <w:t>هذا الجواب لان المعنى الحرفي اذا كان هو واقع النسب</w:t>
      </w:r>
      <w:r w:rsidR="00EC7EDF" w:rsidRPr="00FD211F">
        <w:rPr>
          <w:sz w:val="36"/>
          <w:szCs w:val="36"/>
          <w:rtl/>
        </w:rPr>
        <w:t xml:space="preserve">ة </w:t>
      </w:r>
      <w:r w:rsidRPr="00FD211F">
        <w:rPr>
          <w:sz w:val="36"/>
          <w:szCs w:val="36"/>
          <w:rtl/>
        </w:rPr>
        <w:t>فلايمكن ان يوجد في الذهن من دون وجود طرفيه</w:t>
      </w:r>
      <w:r w:rsidR="00603323" w:rsidRPr="00FD211F">
        <w:rPr>
          <w:sz w:val="36"/>
          <w:szCs w:val="36"/>
          <w:rtl/>
        </w:rPr>
        <w:t xml:space="preserve">، </w:t>
      </w:r>
      <w:r w:rsidRPr="00FD211F">
        <w:rPr>
          <w:sz w:val="36"/>
          <w:szCs w:val="36"/>
          <w:rtl/>
        </w:rPr>
        <w:t>فانه نظير الكون الرابط الذي يكون فرض وجوده من دون وجود طرفيه خلف كون حقيقته الربط.</w:t>
      </w:r>
    </w:p>
    <w:p w14:paraId="5ED2DEAD" w14:textId="77777777" w:rsidR="00300AE8" w:rsidRPr="00FD211F" w:rsidRDefault="00300AE8" w:rsidP="009C58C8">
      <w:pPr>
        <w:ind w:left="0" w:firstLine="227"/>
        <w:jc w:val="both"/>
        <w:rPr>
          <w:sz w:val="36"/>
          <w:szCs w:val="36"/>
          <w:rtl/>
        </w:rPr>
      </w:pPr>
      <w:bookmarkStart w:id="198" w:name="درس081"/>
      <w:bookmarkEnd w:id="198"/>
      <w:r w:rsidRPr="00FD211F">
        <w:rPr>
          <w:sz w:val="36"/>
          <w:szCs w:val="36"/>
          <w:rtl/>
        </w:rPr>
        <w:t>2-لايبعد ان يقال بان سماع الحرف وحده يوجب توجه النفس الى معلوماته السابق</w:t>
      </w:r>
      <w:r w:rsidR="00EC7EDF" w:rsidRPr="00FD211F">
        <w:rPr>
          <w:sz w:val="36"/>
          <w:szCs w:val="36"/>
          <w:rtl/>
        </w:rPr>
        <w:t xml:space="preserve">ة </w:t>
      </w:r>
      <w:r w:rsidRPr="00FD211F">
        <w:rPr>
          <w:sz w:val="36"/>
          <w:szCs w:val="36"/>
          <w:rtl/>
        </w:rPr>
        <w:t>من الجمل المشتمل</w:t>
      </w:r>
      <w:r w:rsidR="00EC7EDF" w:rsidRPr="00FD211F">
        <w:rPr>
          <w:sz w:val="36"/>
          <w:szCs w:val="36"/>
          <w:rtl/>
        </w:rPr>
        <w:t xml:space="preserve">ة </w:t>
      </w:r>
      <w:r w:rsidRPr="00FD211F">
        <w:rPr>
          <w:sz w:val="36"/>
          <w:szCs w:val="36"/>
          <w:rtl/>
        </w:rPr>
        <w:t>على هذا الحرف إجمالا</w:t>
      </w:r>
      <w:r w:rsidR="00603323" w:rsidRPr="00FD211F">
        <w:rPr>
          <w:sz w:val="36"/>
          <w:szCs w:val="36"/>
          <w:rtl/>
        </w:rPr>
        <w:t xml:space="preserve">، </w:t>
      </w:r>
      <w:r w:rsidRPr="00FD211F">
        <w:rPr>
          <w:sz w:val="36"/>
          <w:szCs w:val="36"/>
          <w:rtl/>
        </w:rPr>
        <w:t>فحينما يسمع لفظ "من"</w:t>
      </w:r>
      <w:r w:rsidR="00EC7EDF" w:rsidRPr="00FD211F">
        <w:rPr>
          <w:sz w:val="36"/>
          <w:szCs w:val="36"/>
          <w:rtl/>
        </w:rPr>
        <w:t xml:space="preserve"> و</w:t>
      </w:r>
      <w:r w:rsidRPr="00FD211F">
        <w:rPr>
          <w:sz w:val="36"/>
          <w:szCs w:val="36"/>
          <w:rtl/>
        </w:rPr>
        <w:t>لفظ "از" فيلتفت اجمالا الى الجمل المشتمل</w:t>
      </w:r>
      <w:r w:rsidR="00EC7EDF" w:rsidRPr="00FD211F">
        <w:rPr>
          <w:sz w:val="36"/>
          <w:szCs w:val="36"/>
          <w:rtl/>
        </w:rPr>
        <w:t xml:space="preserve">ة </w:t>
      </w:r>
      <w:r w:rsidRPr="00FD211F">
        <w:rPr>
          <w:sz w:val="36"/>
          <w:szCs w:val="36"/>
          <w:rtl/>
        </w:rPr>
        <w:t>عليهما فيحس بارتكازه بوحد</w:t>
      </w:r>
      <w:r w:rsidR="00EC7EDF" w:rsidRPr="00FD211F">
        <w:rPr>
          <w:sz w:val="36"/>
          <w:szCs w:val="36"/>
          <w:rtl/>
        </w:rPr>
        <w:t xml:space="preserve">ة </w:t>
      </w:r>
      <w:r w:rsidRPr="00FD211F">
        <w:rPr>
          <w:sz w:val="36"/>
          <w:szCs w:val="36"/>
          <w:rtl/>
        </w:rPr>
        <w:t>معناهما من دون ان يخطر في ذهنه اي معنى تفصيلا.</w:t>
      </w:r>
    </w:p>
    <w:p w14:paraId="5AB57634" w14:textId="77777777" w:rsidR="00300AE8" w:rsidRPr="00FD211F" w:rsidRDefault="00300AE8" w:rsidP="009C58C8">
      <w:pPr>
        <w:ind w:left="0" w:firstLine="227"/>
        <w:jc w:val="both"/>
        <w:rPr>
          <w:sz w:val="36"/>
          <w:szCs w:val="36"/>
          <w:rtl/>
        </w:rPr>
      </w:pPr>
      <w:r w:rsidRPr="00FD211F">
        <w:rPr>
          <w:sz w:val="36"/>
          <w:szCs w:val="36"/>
          <w:rtl/>
        </w:rPr>
        <w:t>وان شئت قلت انه لما يسمع حرف "في" مثلا فيخطر بذهن السامع كونه موضوعا للربط الذهني الظرفي بين مفهومين</w:t>
      </w:r>
      <w:r w:rsidR="00603323" w:rsidRPr="00FD211F">
        <w:rPr>
          <w:sz w:val="36"/>
          <w:szCs w:val="36"/>
          <w:rtl/>
        </w:rPr>
        <w:t xml:space="preserve">، </w:t>
      </w:r>
      <w:r w:rsidRPr="00FD211F">
        <w:rPr>
          <w:sz w:val="36"/>
          <w:szCs w:val="36"/>
          <w:rtl/>
        </w:rPr>
        <w:t>ولما يسمع حرف "من" فيخطر بباله انه موضوع للربط الذهني الابتدائي</w:t>
      </w:r>
      <w:r w:rsidR="00603323" w:rsidRPr="00FD211F">
        <w:rPr>
          <w:sz w:val="36"/>
          <w:szCs w:val="36"/>
          <w:rtl/>
        </w:rPr>
        <w:t xml:space="preserve">، </w:t>
      </w:r>
      <w:r w:rsidRPr="00FD211F">
        <w:rPr>
          <w:sz w:val="36"/>
          <w:szCs w:val="36"/>
          <w:rtl/>
        </w:rPr>
        <w:t>فما يخطر بالذهن ليس هو واقع النسب</w:t>
      </w:r>
      <w:r w:rsidR="00EC7EDF" w:rsidRPr="00FD211F">
        <w:rPr>
          <w:sz w:val="36"/>
          <w:szCs w:val="36"/>
          <w:rtl/>
        </w:rPr>
        <w:t xml:space="preserve">ة </w:t>
      </w:r>
      <w:r w:rsidRPr="00FD211F">
        <w:rPr>
          <w:sz w:val="36"/>
          <w:szCs w:val="36"/>
          <w:rtl/>
        </w:rPr>
        <w:t>وانما هو عنوان انتزاعي مشير اليه.</w:t>
      </w:r>
    </w:p>
    <w:p w14:paraId="7E847D2E" w14:textId="77777777" w:rsidR="00556BC0" w:rsidRPr="00FD211F" w:rsidRDefault="00556BC0" w:rsidP="009C58C8">
      <w:pPr>
        <w:pStyle w:val="3"/>
        <w:ind w:firstLine="227"/>
        <w:jc w:val="both"/>
        <w:rPr>
          <w:rtl/>
        </w:rPr>
      </w:pPr>
      <w:bookmarkStart w:id="199" w:name="درس086"/>
      <w:bookmarkStart w:id="200" w:name="_Toc192092873"/>
      <w:bookmarkStart w:id="201" w:name="_Toc223890349"/>
      <w:bookmarkEnd w:id="199"/>
      <w:r w:rsidRPr="00FD211F">
        <w:rPr>
          <w:rtl/>
        </w:rPr>
        <w:t>الهيئات</w:t>
      </w:r>
      <w:bookmarkEnd w:id="200"/>
      <w:bookmarkEnd w:id="201"/>
    </w:p>
    <w:p w14:paraId="3BC35B2D" w14:textId="77777777" w:rsidR="000C5BBA" w:rsidRPr="00FD211F" w:rsidRDefault="00556BC0" w:rsidP="00251CB6">
      <w:pPr>
        <w:ind w:left="0" w:firstLine="227"/>
        <w:jc w:val="both"/>
        <w:rPr>
          <w:sz w:val="36"/>
          <w:szCs w:val="36"/>
          <w:rtl/>
        </w:rPr>
      </w:pPr>
      <w:r w:rsidRPr="00FD211F">
        <w:rPr>
          <w:sz w:val="36"/>
          <w:szCs w:val="36"/>
          <w:rtl/>
        </w:rPr>
        <w:t>والمراد من الهيئ</w:t>
      </w:r>
      <w:r w:rsidR="00EC7EDF" w:rsidRPr="00FD211F">
        <w:rPr>
          <w:sz w:val="36"/>
          <w:szCs w:val="36"/>
          <w:rtl/>
        </w:rPr>
        <w:t xml:space="preserve">ة </w:t>
      </w:r>
      <w:r w:rsidR="001A42D0" w:rsidRPr="00FD211F">
        <w:rPr>
          <w:sz w:val="36"/>
          <w:szCs w:val="36"/>
          <w:rtl/>
        </w:rPr>
        <w:t>التركيب الخاص من كلمات او حروف م</w:t>
      </w:r>
      <w:r w:rsidRPr="00FD211F">
        <w:rPr>
          <w:sz w:val="36"/>
          <w:szCs w:val="36"/>
          <w:rtl/>
        </w:rPr>
        <w:t xml:space="preserve">ما يوجب </w:t>
      </w:r>
      <w:r w:rsidR="001A42D0" w:rsidRPr="00FD211F">
        <w:rPr>
          <w:sz w:val="36"/>
          <w:szCs w:val="36"/>
          <w:rtl/>
        </w:rPr>
        <w:t>هذ</w:t>
      </w:r>
      <w:r w:rsidR="00264BAF" w:rsidRPr="00FD211F">
        <w:rPr>
          <w:sz w:val="36"/>
          <w:szCs w:val="36"/>
          <w:rtl/>
        </w:rPr>
        <w:t>ا</w:t>
      </w:r>
      <w:r w:rsidR="000C5BBA" w:rsidRPr="00FD211F">
        <w:rPr>
          <w:sz w:val="36"/>
          <w:szCs w:val="36"/>
          <w:rtl/>
        </w:rPr>
        <w:t xml:space="preserve"> </w:t>
      </w:r>
      <w:r w:rsidR="00264BAF" w:rsidRPr="00FD211F">
        <w:rPr>
          <w:sz w:val="36"/>
          <w:szCs w:val="36"/>
          <w:rtl/>
        </w:rPr>
        <w:t>التركيب م</w:t>
      </w:r>
      <w:r w:rsidRPr="00FD211F">
        <w:rPr>
          <w:sz w:val="36"/>
          <w:szCs w:val="36"/>
          <w:rtl/>
        </w:rPr>
        <w:t>عنى جديد</w:t>
      </w:r>
      <w:r w:rsidR="00264BAF" w:rsidRPr="00FD211F">
        <w:rPr>
          <w:sz w:val="36"/>
          <w:szCs w:val="36"/>
          <w:rtl/>
        </w:rPr>
        <w:t>ا</w:t>
      </w:r>
      <w:r w:rsidR="0033185E" w:rsidRPr="00FD211F">
        <w:rPr>
          <w:sz w:val="36"/>
          <w:szCs w:val="36"/>
          <w:rtl/>
        </w:rPr>
        <w:t xml:space="preserve"> مع افتراض كون معنى الماد</w:t>
      </w:r>
      <w:r w:rsidR="00EC7EDF" w:rsidRPr="00FD211F">
        <w:rPr>
          <w:sz w:val="36"/>
          <w:szCs w:val="36"/>
          <w:rtl/>
        </w:rPr>
        <w:t xml:space="preserve">ة </w:t>
      </w:r>
      <w:r w:rsidR="0033185E" w:rsidRPr="00FD211F">
        <w:rPr>
          <w:sz w:val="36"/>
          <w:szCs w:val="36"/>
          <w:rtl/>
        </w:rPr>
        <w:t>مشتركا</w:t>
      </w:r>
      <w:r w:rsidR="007C7BD6" w:rsidRPr="00FD211F">
        <w:rPr>
          <w:sz w:val="36"/>
          <w:szCs w:val="36"/>
          <w:rtl/>
        </w:rPr>
        <w:t xml:space="preserve"> </w:t>
      </w:r>
      <w:r w:rsidR="0033185E" w:rsidRPr="00FD211F">
        <w:rPr>
          <w:sz w:val="36"/>
          <w:szCs w:val="36"/>
          <w:rtl/>
        </w:rPr>
        <w:t>وسيالا</w:t>
      </w:r>
      <w:r w:rsidRPr="00FD211F">
        <w:rPr>
          <w:sz w:val="36"/>
          <w:szCs w:val="36"/>
          <w:rtl/>
        </w:rPr>
        <w:t xml:space="preserve"> في هيئاتها ال</w:t>
      </w:r>
      <w:r w:rsidR="00462E6F" w:rsidRPr="00FD211F">
        <w:rPr>
          <w:sz w:val="36"/>
          <w:szCs w:val="36"/>
          <w:rtl/>
        </w:rPr>
        <w:t>مختلف</w:t>
      </w:r>
      <w:r w:rsidR="00EC7EDF" w:rsidRPr="00FD211F">
        <w:rPr>
          <w:sz w:val="36"/>
          <w:szCs w:val="36"/>
          <w:rtl/>
        </w:rPr>
        <w:t>ة</w:t>
      </w:r>
      <w:r w:rsidR="00603323" w:rsidRPr="00FD211F">
        <w:rPr>
          <w:sz w:val="36"/>
          <w:szCs w:val="36"/>
          <w:rtl/>
        </w:rPr>
        <w:t xml:space="preserve">، </w:t>
      </w:r>
      <w:r w:rsidR="00462E6F" w:rsidRPr="00FD211F">
        <w:rPr>
          <w:sz w:val="36"/>
          <w:szCs w:val="36"/>
          <w:rtl/>
        </w:rPr>
        <w:t>فمثل</w:t>
      </w:r>
      <w:r w:rsidR="00251CB6" w:rsidRPr="00FD211F">
        <w:rPr>
          <w:sz w:val="36"/>
          <w:szCs w:val="36"/>
          <w:rtl/>
        </w:rPr>
        <w:t xml:space="preserve"> </w:t>
      </w:r>
      <w:r w:rsidR="0033185E" w:rsidRPr="00FD211F">
        <w:rPr>
          <w:sz w:val="36"/>
          <w:szCs w:val="36"/>
          <w:rtl/>
        </w:rPr>
        <w:t>"</w:t>
      </w:r>
      <w:r w:rsidR="00462E6F" w:rsidRPr="00FD211F">
        <w:rPr>
          <w:sz w:val="36"/>
          <w:szCs w:val="36"/>
          <w:rtl/>
        </w:rPr>
        <w:t>بِرّ</w:t>
      </w:r>
      <w:r w:rsidR="0033185E" w:rsidRPr="00FD211F">
        <w:rPr>
          <w:sz w:val="36"/>
          <w:szCs w:val="36"/>
          <w:rtl/>
        </w:rPr>
        <w:t>"</w:t>
      </w:r>
      <w:r w:rsidR="00462E6F" w:rsidRPr="00FD211F">
        <w:rPr>
          <w:sz w:val="36"/>
          <w:szCs w:val="36"/>
          <w:rtl/>
        </w:rPr>
        <w:t xml:space="preserve"> و</w:t>
      </w:r>
      <w:r w:rsidR="0033185E" w:rsidRPr="00FD211F">
        <w:rPr>
          <w:sz w:val="36"/>
          <w:szCs w:val="36"/>
          <w:rtl/>
        </w:rPr>
        <w:t>"</w:t>
      </w:r>
      <w:r w:rsidR="00462E6F" w:rsidRPr="00FD211F">
        <w:rPr>
          <w:sz w:val="36"/>
          <w:szCs w:val="36"/>
          <w:rtl/>
        </w:rPr>
        <w:t>بُرّ</w:t>
      </w:r>
      <w:r w:rsidR="0033185E" w:rsidRPr="00FD211F">
        <w:rPr>
          <w:sz w:val="36"/>
          <w:szCs w:val="36"/>
          <w:rtl/>
        </w:rPr>
        <w:t>"</w:t>
      </w:r>
      <w:r w:rsidR="00462E6F" w:rsidRPr="00FD211F">
        <w:rPr>
          <w:sz w:val="36"/>
          <w:szCs w:val="36"/>
          <w:rtl/>
        </w:rPr>
        <w:t xml:space="preserve"> حيث لايكون </w:t>
      </w:r>
      <w:r w:rsidRPr="00FD211F">
        <w:rPr>
          <w:sz w:val="36"/>
          <w:szCs w:val="36"/>
          <w:rtl/>
        </w:rPr>
        <w:t>معنى ا</w:t>
      </w:r>
      <w:r w:rsidR="00462E6F" w:rsidRPr="00FD211F">
        <w:rPr>
          <w:sz w:val="36"/>
          <w:szCs w:val="36"/>
          <w:rtl/>
        </w:rPr>
        <w:t>لماد</w:t>
      </w:r>
      <w:r w:rsidR="00EC7EDF" w:rsidRPr="00FD211F">
        <w:rPr>
          <w:sz w:val="36"/>
          <w:szCs w:val="36"/>
          <w:rtl/>
        </w:rPr>
        <w:t xml:space="preserve">ة </w:t>
      </w:r>
      <w:r w:rsidR="00462E6F" w:rsidRPr="00FD211F">
        <w:rPr>
          <w:sz w:val="36"/>
          <w:szCs w:val="36"/>
          <w:rtl/>
        </w:rPr>
        <w:t>فيهما</w:t>
      </w:r>
      <w:r w:rsidR="000C5BBA" w:rsidRPr="00FD211F">
        <w:rPr>
          <w:sz w:val="36"/>
          <w:szCs w:val="36"/>
          <w:rtl/>
        </w:rPr>
        <w:t xml:space="preserve"> </w:t>
      </w:r>
      <w:r w:rsidR="0033185E" w:rsidRPr="00FD211F">
        <w:rPr>
          <w:sz w:val="36"/>
          <w:szCs w:val="36"/>
          <w:rtl/>
        </w:rPr>
        <w:t>مشتركا</w:t>
      </w:r>
      <w:r w:rsidR="007C7BD6" w:rsidRPr="00FD211F">
        <w:rPr>
          <w:sz w:val="36"/>
          <w:szCs w:val="36"/>
          <w:rtl/>
        </w:rPr>
        <w:t xml:space="preserve"> </w:t>
      </w:r>
      <w:r w:rsidR="0033185E" w:rsidRPr="00FD211F">
        <w:rPr>
          <w:sz w:val="36"/>
          <w:szCs w:val="36"/>
          <w:rtl/>
        </w:rPr>
        <w:t>و</w:t>
      </w:r>
      <w:r w:rsidR="00462E6F" w:rsidRPr="00FD211F">
        <w:rPr>
          <w:sz w:val="36"/>
          <w:szCs w:val="36"/>
          <w:rtl/>
        </w:rPr>
        <w:t>سيالا</w:t>
      </w:r>
      <w:r w:rsidR="0033185E" w:rsidRPr="00FD211F">
        <w:rPr>
          <w:sz w:val="36"/>
          <w:szCs w:val="36"/>
          <w:rtl/>
        </w:rPr>
        <w:t xml:space="preserve"> فلايدخلان في تعريف الهيئ</w:t>
      </w:r>
      <w:r w:rsidR="00EC7EDF" w:rsidRPr="00FD211F">
        <w:rPr>
          <w:sz w:val="36"/>
          <w:szCs w:val="36"/>
          <w:rtl/>
        </w:rPr>
        <w:t>ة</w:t>
      </w:r>
      <w:r w:rsidR="00A61BAE" w:rsidRPr="00FD211F">
        <w:rPr>
          <w:sz w:val="36"/>
          <w:szCs w:val="36"/>
          <w:rtl/>
        </w:rPr>
        <w:t>.</w:t>
      </w:r>
    </w:p>
    <w:p w14:paraId="508DA4CA" w14:textId="77777777" w:rsidR="00556BC0" w:rsidRPr="00FD211F" w:rsidRDefault="00556BC0" w:rsidP="009C58C8">
      <w:pPr>
        <w:ind w:left="0" w:firstLine="227"/>
        <w:jc w:val="both"/>
        <w:rPr>
          <w:sz w:val="36"/>
          <w:szCs w:val="36"/>
          <w:rtl/>
        </w:rPr>
      </w:pPr>
      <w:r w:rsidRPr="00FD211F">
        <w:rPr>
          <w:sz w:val="36"/>
          <w:szCs w:val="36"/>
          <w:rtl/>
        </w:rPr>
        <w:t>والهيئ</w:t>
      </w:r>
      <w:r w:rsidR="00EC7EDF" w:rsidRPr="00FD211F">
        <w:rPr>
          <w:sz w:val="36"/>
          <w:szCs w:val="36"/>
          <w:rtl/>
        </w:rPr>
        <w:t xml:space="preserve">ة </w:t>
      </w:r>
      <w:r w:rsidRPr="00FD211F">
        <w:rPr>
          <w:sz w:val="36"/>
          <w:szCs w:val="36"/>
          <w:rtl/>
        </w:rPr>
        <w:t>قد تكون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وقد تكون هيئ</w:t>
      </w:r>
      <w:r w:rsidR="00EC7EDF" w:rsidRPr="00FD211F">
        <w:rPr>
          <w:sz w:val="36"/>
          <w:szCs w:val="36"/>
          <w:rtl/>
        </w:rPr>
        <w:t xml:space="preserve">ة </w:t>
      </w:r>
      <w:r w:rsidRPr="00FD211F">
        <w:rPr>
          <w:sz w:val="36"/>
          <w:szCs w:val="36"/>
          <w:rtl/>
        </w:rPr>
        <w:t>المفرد</w:t>
      </w:r>
      <w:r w:rsidR="00603323" w:rsidRPr="00FD211F">
        <w:rPr>
          <w:sz w:val="36"/>
          <w:szCs w:val="36"/>
          <w:rtl/>
        </w:rPr>
        <w:t xml:space="preserve">، </w:t>
      </w:r>
      <w:r w:rsidRPr="00FD211F">
        <w:rPr>
          <w:sz w:val="36"/>
          <w:szCs w:val="36"/>
          <w:rtl/>
        </w:rPr>
        <w:t>ويقع الكلام فعلا في هيئ</w:t>
      </w:r>
      <w:r w:rsidR="00EC7EDF" w:rsidRPr="00FD211F">
        <w:rPr>
          <w:sz w:val="36"/>
          <w:szCs w:val="36"/>
          <w:rtl/>
        </w:rPr>
        <w:t xml:space="preserve">ة </w:t>
      </w:r>
      <w:r w:rsidRPr="00FD211F">
        <w:rPr>
          <w:sz w:val="36"/>
          <w:szCs w:val="36"/>
          <w:rtl/>
        </w:rPr>
        <w:t>الجمل</w:t>
      </w:r>
      <w:r w:rsidR="00EC7EDF" w:rsidRPr="00FD211F">
        <w:rPr>
          <w:sz w:val="36"/>
          <w:szCs w:val="36"/>
          <w:rtl/>
        </w:rPr>
        <w:t>ة</w:t>
      </w:r>
      <w:r w:rsidR="00A61BAE" w:rsidRPr="00FD211F">
        <w:rPr>
          <w:sz w:val="36"/>
          <w:szCs w:val="36"/>
          <w:rtl/>
        </w:rPr>
        <w:t>.</w:t>
      </w:r>
    </w:p>
    <w:p w14:paraId="64F7B23F" w14:textId="77777777" w:rsidR="00556BC0" w:rsidRPr="00FD211F" w:rsidRDefault="00556BC0" w:rsidP="009C58C8">
      <w:pPr>
        <w:pStyle w:val="3"/>
        <w:ind w:firstLine="227"/>
        <w:jc w:val="both"/>
        <w:rPr>
          <w:rtl/>
        </w:rPr>
      </w:pPr>
      <w:bookmarkStart w:id="202" w:name="_Toc192092874"/>
      <w:bookmarkStart w:id="203" w:name="_Toc223890350"/>
      <w:r w:rsidRPr="00FD211F">
        <w:rPr>
          <w:rtl/>
        </w:rPr>
        <w:t>هيئ</w:t>
      </w:r>
      <w:r w:rsidR="00EC7EDF" w:rsidRPr="00FD211F">
        <w:rPr>
          <w:rtl/>
        </w:rPr>
        <w:t xml:space="preserve">ة </w:t>
      </w:r>
      <w:r w:rsidRPr="00FD211F">
        <w:rPr>
          <w:rtl/>
        </w:rPr>
        <w:t>الجمل</w:t>
      </w:r>
      <w:r w:rsidR="00EC7EDF" w:rsidRPr="00FD211F">
        <w:rPr>
          <w:rtl/>
        </w:rPr>
        <w:t>ة</w:t>
      </w:r>
      <w:bookmarkEnd w:id="203"/>
      <w:r w:rsidR="00EC7EDF" w:rsidRPr="00FD211F">
        <w:rPr>
          <w:rtl/>
        </w:rPr>
        <w:t xml:space="preserve"> </w:t>
      </w:r>
      <w:bookmarkEnd w:id="202"/>
    </w:p>
    <w:p w14:paraId="0D7E0510" w14:textId="77777777" w:rsidR="00556BC0" w:rsidRPr="00FD211F" w:rsidRDefault="00556BC0" w:rsidP="009C58C8">
      <w:pPr>
        <w:ind w:left="0" w:firstLine="227"/>
        <w:jc w:val="both"/>
        <w:rPr>
          <w:sz w:val="36"/>
          <w:szCs w:val="36"/>
          <w:rtl/>
        </w:rPr>
      </w:pPr>
      <w:r w:rsidRPr="00FD211F">
        <w:rPr>
          <w:sz w:val="36"/>
          <w:szCs w:val="36"/>
          <w:rtl/>
        </w:rPr>
        <w:t>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هي الهيئ</w:t>
      </w:r>
      <w:r w:rsidR="00EC7EDF" w:rsidRPr="00FD211F">
        <w:rPr>
          <w:sz w:val="36"/>
          <w:szCs w:val="36"/>
          <w:rtl/>
        </w:rPr>
        <w:t xml:space="preserve">ة </w:t>
      </w:r>
      <w:r w:rsidRPr="00FD211F">
        <w:rPr>
          <w:sz w:val="36"/>
          <w:szCs w:val="36"/>
          <w:rtl/>
        </w:rPr>
        <w:t>القائم</w:t>
      </w:r>
      <w:r w:rsidR="00EC7EDF" w:rsidRPr="00FD211F">
        <w:rPr>
          <w:sz w:val="36"/>
          <w:szCs w:val="36"/>
          <w:rtl/>
        </w:rPr>
        <w:t xml:space="preserve">ة </w:t>
      </w:r>
      <w:r w:rsidRPr="00FD211F">
        <w:rPr>
          <w:sz w:val="36"/>
          <w:szCs w:val="36"/>
          <w:rtl/>
        </w:rPr>
        <w:t>بكلمتين او اكثر</w:t>
      </w:r>
      <w:r w:rsidR="00603323" w:rsidRPr="00FD211F">
        <w:rPr>
          <w:sz w:val="36"/>
          <w:szCs w:val="36"/>
          <w:rtl/>
        </w:rPr>
        <w:t xml:space="preserve">، </w:t>
      </w:r>
      <w:r w:rsidRPr="00FD211F">
        <w:rPr>
          <w:sz w:val="36"/>
          <w:szCs w:val="36"/>
          <w:rtl/>
        </w:rPr>
        <w:t>بحيث تكون هذه الهيئ</w:t>
      </w:r>
      <w:r w:rsidR="00EC7EDF" w:rsidRPr="00FD211F">
        <w:rPr>
          <w:sz w:val="36"/>
          <w:szCs w:val="36"/>
          <w:rtl/>
        </w:rPr>
        <w:t xml:space="preserve">ة </w:t>
      </w:r>
      <w:r w:rsidRPr="00FD211F">
        <w:rPr>
          <w:sz w:val="36"/>
          <w:szCs w:val="36"/>
          <w:rtl/>
        </w:rPr>
        <w:t>موجب</w:t>
      </w:r>
      <w:r w:rsidR="00EC7EDF" w:rsidRPr="00FD211F">
        <w:rPr>
          <w:sz w:val="36"/>
          <w:szCs w:val="36"/>
          <w:rtl/>
        </w:rPr>
        <w:t xml:space="preserve">ة </w:t>
      </w:r>
      <w:r w:rsidRPr="00FD211F">
        <w:rPr>
          <w:sz w:val="36"/>
          <w:szCs w:val="36"/>
          <w:rtl/>
        </w:rPr>
        <w:t>لحدوث معنى جديد</w:t>
      </w:r>
      <w:r w:rsidR="00603323" w:rsidRPr="00FD211F">
        <w:rPr>
          <w:sz w:val="36"/>
          <w:szCs w:val="36"/>
          <w:rtl/>
        </w:rPr>
        <w:t xml:space="preserve">، </w:t>
      </w:r>
      <w:r w:rsidRPr="00FD211F">
        <w:rPr>
          <w:sz w:val="36"/>
          <w:szCs w:val="36"/>
          <w:rtl/>
        </w:rPr>
        <w:t>وهيئ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قد تكون ناقص</w:t>
      </w:r>
      <w:r w:rsidR="00EC7EDF" w:rsidRPr="00FD211F">
        <w:rPr>
          <w:sz w:val="36"/>
          <w:szCs w:val="36"/>
          <w:rtl/>
        </w:rPr>
        <w:t xml:space="preserve">ة </w:t>
      </w:r>
      <w:r w:rsidRPr="00FD211F">
        <w:rPr>
          <w:sz w:val="36"/>
          <w:szCs w:val="36"/>
          <w:rtl/>
        </w:rPr>
        <w:t>وقد تكون تام</w:t>
      </w:r>
      <w:r w:rsidR="00EC7EDF" w:rsidRPr="00FD211F">
        <w:rPr>
          <w:sz w:val="36"/>
          <w:szCs w:val="36"/>
          <w:rtl/>
        </w:rPr>
        <w:t>ة</w:t>
      </w:r>
      <w:r w:rsidR="00A61BAE" w:rsidRPr="00FD211F">
        <w:rPr>
          <w:sz w:val="36"/>
          <w:szCs w:val="36"/>
          <w:rtl/>
        </w:rPr>
        <w:t>.</w:t>
      </w:r>
    </w:p>
    <w:p w14:paraId="3694F90D" w14:textId="77777777" w:rsidR="000C5BBA" w:rsidRPr="00FD211F" w:rsidRDefault="00556BC0" w:rsidP="009C58C8">
      <w:pPr>
        <w:pStyle w:val="3"/>
        <w:ind w:firstLine="227"/>
        <w:jc w:val="both"/>
        <w:rPr>
          <w:rtl/>
        </w:rPr>
      </w:pPr>
      <w:bookmarkStart w:id="204" w:name="_Toc192092875"/>
      <w:bookmarkStart w:id="205" w:name="_Toc223890351"/>
      <w:r w:rsidRPr="00FD211F">
        <w:rPr>
          <w:rtl/>
        </w:rPr>
        <w:t>هيئ</w:t>
      </w:r>
      <w:r w:rsidR="00EC7EDF" w:rsidRPr="00FD211F">
        <w:rPr>
          <w:rtl/>
        </w:rPr>
        <w:t xml:space="preserve">ة </w:t>
      </w:r>
      <w:r w:rsidRPr="00FD211F">
        <w:rPr>
          <w:rtl/>
        </w:rPr>
        <w:t>الجمل</w:t>
      </w:r>
      <w:r w:rsidR="00EC7EDF" w:rsidRPr="00FD211F">
        <w:rPr>
          <w:rtl/>
        </w:rPr>
        <w:t xml:space="preserve">ة </w:t>
      </w:r>
      <w:r w:rsidRPr="00FD211F">
        <w:rPr>
          <w:rtl/>
        </w:rPr>
        <w:t>الناقص</w:t>
      </w:r>
      <w:r w:rsidR="00EC7EDF" w:rsidRPr="00FD211F">
        <w:rPr>
          <w:rtl/>
        </w:rPr>
        <w:t>ة</w:t>
      </w:r>
      <w:bookmarkEnd w:id="205"/>
      <w:r w:rsidR="00EC7EDF" w:rsidRPr="00FD211F">
        <w:rPr>
          <w:rtl/>
        </w:rPr>
        <w:t xml:space="preserve"> </w:t>
      </w:r>
      <w:bookmarkEnd w:id="204"/>
    </w:p>
    <w:p w14:paraId="0C233115" w14:textId="77777777" w:rsidR="000C5BBA" w:rsidRPr="00FD211F" w:rsidRDefault="00556BC0" w:rsidP="009C58C8">
      <w:pPr>
        <w:ind w:left="0" w:firstLine="227"/>
        <w:jc w:val="both"/>
        <w:rPr>
          <w:sz w:val="36"/>
          <w:szCs w:val="36"/>
          <w:rtl/>
        </w:rPr>
      </w:pPr>
      <w:r w:rsidRPr="00FD211F">
        <w:rPr>
          <w:sz w:val="36"/>
          <w:szCs w:val="36"/>
          <w:rtl/>
        </w:rPr>
        <w:t>والمراد من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الناقص</w:t>
      </w:r>
      <w:r w:rsidR="00EC7EDF" w:rsidRPr="00FD211F">
        <w:rPr>
          <w:sz w:val="36"/>
          <w:szCs w:val="36"/>
          <w:rtl/>
        </w:rPr>
        <w:t xml:space="preserve">ة </w:t>
      </w:r>
      <w:r w:rsidRPr="00FD211F">
        <w:rPr>
          <w:sz w:val="36"/>
          <w:szCs w:val="36"/>
          <w:rtl/>
        </w:rPr>
        <w:t>ما لايصح السكوت عليها كالج</w:t>
      </w:r>
      <w:r w:rsidR="008E5D3D" w:rsidRPr="00FD211F">
        <w:rPr>
          <w:sz w:val="36"/>
          <w:szCs w:val="36"/>
          <w:rtl/>
        </w:rPr>
        <w:t>مل</w:t>
      </w:r>
      <w:r w:rsidR="00EC7EDF" w:rsidRPr="00FD211F">
        <w:rPr>
          <w:sz w:val="36"/>
          <w:szCs w:val="36"/>
          <w:rtl/>
        </w:rPr>
        <w:t xml:space="preserve">ة </w:t>
      </w:r>
      <w:r w:rsidR="008E5D3D" w:rsidRPr="00FD211F">
        <w:rPr>
          <w:sz w:val="36"/>
          <w:szCs w:val="36"/>
          <w:rtl/>
        </w:rPr>
        <w:t>الوصفي</w:t>
      </w:r>
      <w:r w:rsidR="00EC7EDF" w:rsidRPr="00FD211F">
        <w:rPr>
          <w:sz w:val="36"/>
          <w:szCs w:val="36"/>
          <w:rtl/>
        </w:rPr>
        <w:t xml:space="preserve">ة </w:t>
      </w:r>
      <w:r w:rsidR="008E5D3D" w:rsidRPr="00FD211F">
        <w:rPr>
          <w:sz w:val="36"/>
          <w:szCs w:val="36"/>
          <w:rtl/>
        </w:rPr>
        <w:t>او جمل</w:t>
      </w:r>
      <w:r w:rsidR="00EC7EDF" w:rsidRPr="00FD211F">
        <w:rPr>
          <w:sz w:val="36"/>
          <w:szCs w:val="36"/>
          <w:rtl/>
        </w:rPr>
        <w:t xml:space="preserve">ة </w:t>
      </w:r>
      <w:r w:rsidR="008E5D3D" w:rsidRPr="00FD211F">
        <w:rPr>
          <w:sz w:val="36"/>
          <w:szCs w:val="36"/>
          <w:rtl/>
        </w:rPr>
        <w:t>الإضاف</w:t>
      </w:r>
      <w:r w:rsidR="00EC7EDF" w:rsidRPr="00FD211F">
        <w:rPr>
          <w:sz w:val="36"/>
          <w:szCs w:val="36"/>
          <w:rtl/>
        </w:rPr>
        <w:t>ة</w:t>
      </w:r>
      <w:r w:rsidR="00603323" w:rsidRPr="00FD211F">
        <w:rPr>
          <w:sz w:val="36"/>
          <w:szCs w:val="36"/>
          <w:rtl/>
        </w:rPr>
        <w:t xml:space="preserve">، </w:t>
      </w:r>
      <w:r w:rsidR="008E5D3D" w:rsidRPr="00FD211F">
        <w:rPr>
          <w:sz w:val="36"/>
          <w:szCs w:val="36"/>
          <w:rtl/>
        </w:rPr>
        <w:t>وقد</w:t>
      </w:r>
      <w:r w:rsidR="003A219C" w:rsidRPr="00FD211F">
        <w:rPr>
          <w:sz w:val="36"/>
          <w:szCs w:val="36"/>
          <w:rtl/>
        </w:rPr>
        <w:t xml:space="preserve"> ذكر</w:t>
      </w:r>
      <w:r w:rsidR="00B609B8" w:rsidRPr="00FD211F">
        <w:rPr>
          <w:sz w:val="36"/>
          <w:szCs w:val="36"/>
          <w:rtl/>
        </w:rPr>
        <w:t xml:space="preserve">ت </w:t>
      </w:r>
      <w:r w:rsidR="003A219C" w:rsidRPr="00FD211F">
        <w:rPr>
          <w:sz w:val="36"/>
          <w:szCs w:val="36"/>
          <w:rtl/>
        </w:rPr>
        <w:t xml:space="preserve">في مقام </w:t>
      </w:r>
      <w:r w:rsidR="008E5D3D" w:rsidRPr="00FD211F">
        <w:rPr>
          <w:sz w:val="36"/>
          <w:szCs w:val="36"/>
          <w:rtl/>
        </w:rPr>
        <w:t>تفسير</w:t>
      </w:r>
      <w:r w:rsidR="007C7BD6" w:rsidRPr="00FD211F">
        <w:rPr>
          <w:sz w:val="36"/>
          <w:szCs w:val="36"/>
          <w:rtl/>
        </w:rPr>
        <w:t xml:space="preserve"> </w:t>
      </w:r>
      <w:r w:rsidR="008E5D3D" w:rsidRPr="00FD211F">
        <w:rPr>
          <w:sz w:val="36"/>
          <w:szCs w:val="36"/>
          <w:rtl/>
        </w:rPr>
        <w:t>نكت</w:t>
      </w:r>
      <w:r w:rsidR="00EC7EDF" w:rsidRPr="00FD211F">
        <w:rPr>
          <w:sz w:val="36"/>
          <w:szCs w:val="36"/>
          <w:rtl/>
        </w:rPr>
        <w:t xml:space="preserve">ة </w:t>
      </w:r>
      <w:r w:rsidR="008E5D3D" w:rsidRPr="00FD211F">
        <w:rPr>
          <w:sz w:val="36"/>
          <w:szCs w:val="36"/>
          <w:rtl/>
        </w:rPr>
        <w:t>الفرق بين الجمل</w:t>
      </w:r>
      <w:r w:rsidR="00EC7EDF" w:rsidRPr="00FD211F">
        <w:rPr>
          <w:sz w:val="36"/>
          <w:szCs w:val="36"/>
          <w:rtl/>
        </w:rPr>
        <w:t xml:space="preserve">ة </w:t>
      </w:r>
      <w:r w:rsidR="008E5D3D" w:rsidRPr="00FD211F">
        <w:rPr>
          <w:sz w:val="36"/>
          <w:szCs w:val="36"/>
          <w:rtl/>
        </w:rPr>
        <w:t>الناقص</w:t>
      </w:r>
      <w:r w:rsidR="00EC7EDF" w:rsidRPr="00FD211F">
        <w:rPr>
          <w:sz w:val="36"/>
          <w:szCs w:val="36"/>
          <w:rtl/>
        </w:rPr>
        <w:t xml:space="preserve">ة </w:t>
      </w:r>
      <w:r w:rsidR="008E5D3D" w:rsidRPr="00FD211F">
        <w:rPr>
          <w:sz w:val="36"/>
          <w:szCs w:val="36"/>
          <w:rtl/>
        </w:rPr>
        <w:t>والجمل</w:t>
      </w:r>
      <w:r w:rsidR="00EC7EDF" w:rsidRPr="00FD211F">
        <w:rPr>
          <w:sz w:val="36"/>
          <w:szCs w:val="36"/>
          <w:rtl/>
        </w:rPr>
        <w:t xml:space="preserve">ة </w:t>
      </w:r>
      <w:r w:rsidR="008E5D3D" w:rsidRPr="00FD211F">
        <w:rPr>
          <w:sz w:val="36"/>
          <w:szCs w:val="36"/>
          <w:rtl/>
        </w:rPr>
        <w:t>التام</w:t>
      </w:r>
      <w:r w:rsidR="00EC7EDF" w:rsidRPr="00FD211F">
        <w:rPr>
          <w:sz w:val="36"/>
          <w:szCs w:val="36"/>
          <w:rtl/>
        </w:rPr>
        <w:t xml:space="preserve">ة </w:t>
      </w:r>
      <w:r w:rsidR="00B609B8" w:rsidRPr="00FD211F">
        <w:rPr>
          <w:sz w:val="36"/>
          <w:szCs w:val="36"/>
          <w:rtl/>
        </w:rPr>
        <w:t>عد</w:t>
      </w:r>
      <w:r w:rsidR="00EC7EDF" w:rsidRPr="00FD211F">
        <w:rPr>
          <w:sz w:val="36"/>
          <w:szCs w:val="36"/>
          <w:rtl/>
        </w:rPr>
        <w:t xml:space="preserve">ة </w:t>
      </w:r>
      <w:r w:rsidR="00B609B8" w:rsidRPr="00FD211F">
        <w:rPr>
          <w:sz w:val="36"/>
          <w:szCs w:val="36"/>
          <w:rtl/>
        </w:rPr>
        <w:t>وجو</w:t>
      </w:r>
      <w:r w:rsidR="00EC7EDF" w:rsidRPr="00FD211F">
        <w:rPr>
          <w:sz w:val="36"/>
          <w:szCs w:val="36"/>
          <w:rtl/>
        </w:rPr>
        <w:t>ة</w:t>
      </w:r>
      <w:r w:rsidR="00057D31" w:rsidRPr="00FD211F">
        <w:rPr>
          <w:sz w:val="36"/>
          <w:szCs w:val="36"/>
          <w:rtl/>
        </w:rPr>
        <w:t>:</w:t>
      </w:r>
    </w:p>
    <w:p w14:paraId="3D1E9F70" w14:textId="77777777" w:rsidR="00556BC0" w:rsidRPr="00FD211F" w:rsidRDefault="00B609B8" w:rsidP="009C58C8">
      <w:pPr>
        <w:ind w:left="0" w:firstLine="227"/>
        <w:jc w:val="both"/>
        <w:rPr>
          <w:sz w:val="36"/>
          <w:szCs w:val="36"/>
          <w:rtl/>
        </w:rPr>
      </w:pPr>
      <w:r w:rsidRPr="00FD211F">
        <w:rPr>
          <w:b/>
          <w:bCs/>
          <w:sz w:val="36"/>
          <w:szCs w:val="36"/>
          <w:rtl/>
        </w:rPr>
        <w:t>الوجه الاول</w:t>
      </w:r>
      <w:r w:rsidR="00EC7EDF" w:rsidRPr="00FD211F">
        <w:rPr>
          <w:sz w:val="36"/>
          <w:szCs w:val="36"/>
          <w:rtl/>
        </w:rPr>
        <w:t>:</w:t>
      </w:r>
      <w:r w:rsidR="004142E8" w:rsidRPr="00FD211F">
        <w:rPr>
          <w:sz w:val="36"/>
          <w:szCs w:val="36"/>
          <w:rtl/>
        </w:rPr>
        <w:t xml:space="preserve">مانسب الى المشهور من </w:t>
      </w:r>
      <w:r w:rsidR="003A219C" w:rsidRPr="00FD211F">
        <w:rPr>
          <w:sz w:val="36"/>
          <w:szCs w:val="36"/>
          <w:rtl/>
        </w:rPr>
        <w:t>أ</w:t>
      </w:r>
      <w:r w:rsidR="00556BC0" w:rsidRPr="00FD211F">
        <w:rPr>
          <w:sz w:val="36"/>
          <w:szCs w:val="36"/>
          <w:rtl/>
        </w:rPr>
        <w:t>ن هيئ</w:t>
      </w:r>
      <w:r w:rsidR="00EC7EDF" w:rsidRPr="00FD211F">
        <w:rPr>
          <w:sz w:val="36"/>
          <w:szCs w:val="36"/>
          <w:rtl/>
        </w:rPr>
        <w:t xml:space="preserve">ة </w:t>
      </w:r>
      <w:r w:rsidR="00556BC0" w:rsidRPr="00FD211F">
        <w:rPr>
          <w:sz w:val="36"/>
          <w:szCs w:val="36"/>
          <w:rtl/>
        </w:rPr>
        <w:t>الجمل</w:t>
      </w:r>
      <w:r w:rsidR="00EC7EDF" w:rsidRPr="00FD211F">
        <w:rPr>
          <w:sz w:val="36"/>
          <w:szCs w:val="36"/>
          <w:rtl/>
        </w:rPr>
        <w:t xml:space="preserve">ة </w:t>
      </w:r>
      <w:r w:rsidR="00556BC0" w:rsidRPr="00FD211F">
        <w:rPr>
          <w:sz w:val="36"/>
          <w:szCs w:val="36"/>
          <w:rtl/>
        </w:rPr>
        <w:t>الناقص</w:t>
      </w:r>
      <w:r w:rsidR="00EC7EDF" w:rsidRPr="00FD211F">
        <w:rPr>
          <w:sz w:val="36"/>
          <w:szCs w:val="36"/>
          <w:rtl/>
        </w:rPr>
        <w:t xml:space="preserve">ة </w:t>
      </w:r>
      <w:r w:rsidR="00556BC0" w:rsidRPr="00FD211F">
        <w:rPr>
          <w:sz w:val="36"/>
          <w:szCs w:val="36"/>
          <w:rtl/>
        </w:rPr>
        <w:t>موضوع</w:t>
      </w:r>
      <w:r w:rsidR="00EC7EDF" w:rsidRPr="00FD211F">
        <w:rPr>
          <w:sz w:val="36"/>
          <w:szCs w:val="36"/>
          <w:rtl/>
        </w:rPr>
        <w:t xml:space="preserve">ة </w:t>
      </w:r>
      <w:r w:rsidR="00556BC0" w:rsidRPr="00FD211F">
        <w:rPr>
          <w:sz w:val="36"/>
          <w:szCs w:val="36"/>
          <w:rtl/>
        </w:rPr>
        <w:t>بإزاء النسب</w:t>
      </w:r>
      <w:r w:rsidR="00EC7EDF" w:rsidRPr="00FD211F">
        <w:rPr>
          <w:sz w:val="36"/>
          <w:szCs w:val="36"/>
          <w:rtl/>
        </w:rPr>
        <w:t xml:space="preserve">ة </w:t>
      </w:r>
      <w:r w:rsidR="00556BC0" w:rsidRPr="00FD211F">
        <w:rPr>
          <w:sz w:val="36"/>
          <w:szCs w:val="36"/>
          <w:rtl/>
        </w:rPr>
        <w:t>الناقص</w:t>
      </w:r>
      <w:r w:rsidR="00EC7EDF" w:rsidRPr="00FD211F">
        <w:rPr>
          <w:sz w:val="36"/>
          <w:szCs w:val="36"/>
          <w:rtl/>
        </w:rPr>
        <w:t>ة</w:t>
      </w:r>
      <w:r w:rsidR="00603323" w:rsidRPr="00FD211F">
        <w:rPr>
          <w:sz w:val="36"/>
          <w:szCs w:val="36"/>
          <w:rtl/>
        </w:rPr>
        <w:t xml:space="preserve">، </w:t>
      </w:r>
      <w:r w:rsidR="00556BC0" w:rsidRPr="00FD211F">
        <w:rPr>
          <w:sz w:val="36"/>
          <w:szCs w:val="36"/>
          <w:rtl/>
        </w:rPr>
        <w:t>ومقصودهم منها هي النسب</w:t>
      </w:r>
      <w:r w:rsidR="00EC7EDF" w:rsidRPr="00FD211F">
        <w:rPr>
          <w:sz w:val="36"/>
          <w:szCs w:val="36"/>
          <w:rtl/>
        </w:rPr>
        <w:t xml:space="preserve">ة </w:t>
      </w:r>
      <w:r w:rsidR="00556BC0" w:rsidRPr="00FD211F">
        <w:rPr>
          <w:sz w:val="36"/>
          <w:szCs w:val="36"/>
          <w:rtl/>
        </w:rPr>
        <w:t xml:space="preserve">التي لاتدل على وجود </w:t>
      </w:r>
      <w:r w:rsidR="008D7B3D" w:rsidRPr="00FD211F">
        <w:rPr>
          <w:sz w:val="36"/>
          <w:szCs w:val="36"/>
          <w:rtl/>
        </w:rPr>
        <w:t xml:space="preserve">شيء </w:t>
      </w:r>
      <w:r w:rsidR="00556BC0" w:rsidRPr="00FD211F">
        <w:rPr>
          <w:sz w:val="36"/>
          <w:szCs w:val="36"/>
          <w:rtl/>
        </w:rPr>
        <w:t>في الخارج</w:t>
      </w:r>
      <w:r w:rsidR="00603323" w:rsidRPr="00FD211F">
        <w:rPr>
          <w:sz w:val="36"/>
          <w:szCs w:val="36"/>
          <w:rtl/>
        </w:rPr>
        <w:t xml:space="preserve">، </w:t>
      </w:r>
      <w:r w:rsidR="00556BC0" w:rsidRPr="00FD211F">
        <w:rPr>
          <w:sz w:val="36"/>
          <w:szCs w:val="36"/>
          <w:rtl/>
        </w:rPr>
        <w:t>فتكون نسب</w:t>
      </w:r>
      <w:r w:rsidR="00EC7EDF" w:rsidRPr="00FD211F">
        <w:rPr>
          <w:sz w:val="36"/>
          <w:szCs w:val="36"/>
          <w:rtl/>
        </w:rPr>
        <w:t xml:space="preserve">ة </w:t>
      </w:r>
      <w:r w:rsidR="00556BC0" w:rsidRPr="00FD211F">
        <w:rPr>
          <w:sz w:val="36"/>
          <w:szCs w:val="36"/>
          <w:rtl/>
        </w:rPr>
        <w:t>تصوري</w:t>
      </w:r>
      <w:r w:rsidR="00EC7EDF" w:rsidRPr="00FD211F">
        <w:rPr>
          <w:sz w:val="36"/>
          <w:szCs w:val="36"/>
          <w:rtl/>
        </w:rPr>
        <w:t xml:space="preserve">ة </w:t>
      </w:r>
      <w:r w:rsidR="00556BC0" w:rsidRPr="00FD211F">
        <w:rPr>
          <w:sz w:val="36"/>
          <w:szCs w:val="36"/>
          <w:rtl/>
        </w:rPr>
        <w:t>في قبال النسب</w:t>
      </w:r>
      <w:r w:rsidR="00EC7EDF" w:rsidRPr="00FD211F">
        <w:rPr>
          <w:sz w:val="36"/>
          <w:szCs w:val="36"/>
          <w:rtl/>
        </w:rPr>
        <w:t xml:space="preserve">ة </w:t>
      </w:r>
      <w:r w:rsidR="0033185E" w:rsidRPr="00FD211F">
        <w:rPr>
          <w:sz w:val="36"/>
          <w:szCs w:val="36"/>
          <w:rtl/>
        </w:rPr>
        <w:t>التصديقي</w:t>
      </w:r>
      <w:r w:rsidR="00EC7EDF" w:rsidRPr="00FD211F">
        <w:rPr>
          <w:sz w:val="36"/>
          <w:szCs w:val="36"/>
          <w:rtl/>
        </w:rPr>
        <w:t xml:space="preserve">ة </w:t>
      </w:r>
      <w:r w:rsidR="0033185E" w:rsidRPr="00FD211F">
        <w:rPr>
          <w:sz w:val="36"/>
          <w:szCs w:val="36"/>
          <w:rtl/>
        </w:rPr>
        <w:t>اي</w:t>
      </w:r>
      <w:r w:rsidR="00556BC0" w:rsidRPr="00FD211F">
        <w:rPr>
          <w:sz w:val="36"/>
          <w:szCs w:val="36"/>
          <w:rtl/>
        </w:rPr>
        <w:t xml:space="preserve"> التي تدل على وجود </w:t>
      </w:r>
      <w:r w:rsidR="008D7B3D" w:rsidRPr="00FD211F">
        <w:rPr>
          <w:sz w:val="36"/>
          <w:szCs w:val="36"/>
          <w:rtl/>
        </w:rPr>
        <w:t xml:space="preserve">شيء </w:t>
      </w:r>
      <w:r w:rsidR="00556BC0" w:rsidRPr="00FD211F">
        <w:rPr>
          <w:sz w:val="36"/>
          <w:szCs w:val="36"/>
          <w:rtl/>
        </w:rPr>
        <w:t xml:space="preserve">في الخارج كما في قولنا </w:t>
      </w:r>
      <w:r w:rsidR="0033185E" w:rsidRPr="00FD211F">
        <w:rPr>
          <w:sz w:val="36"/>
          <w:szCs w:val="36"/>
          <w:rtl/>
        </w:rPr>
        <w:t>"</w:t>
      </w:r>
      <w:r w:rsidR="00556BC0" w:rsidRPr="00FD211F">
        <w:rPr>
          <w:sz w:val="36"/>
          <w:szCs w:val="36"/>
          <w:rtl/>
        </w:rPr>
        <w:t>زيد قائم</w:t>
      </w:r>
      <w:r w:rsidR="0033185E" w:rsidRPr="00FD211F">
        <w:rPr>
          <w:sz w:val="36"/>
          <w:szCs w:val="36"/>
          <w:rtl/>
        </w:rPr>
        <w:t>"</w:t>
      </w:r>
      <w:r w:rsidR="00556BC0" w:rsidRPr="00FD211F">
        <w:rPr>
          <w:sz w:val="36"/>
          <w:szCs w:val="36"/>
          <w:rtl/>
        </w:rPr>
        <w:t>.</w:t>
      </w:r>
    </w:p>
    <w:p w14:paraId="5AD756FD" w14:textId="77777777" w:rsidR="001737D5" w:rsidRPr="00FD211F" w:rsidRDefault="004142E8" w:rsidP="009C58C8">
      <w:pPr>
        <w:ind w:left="0" w:firstLine="227"/>
        <w:jc w:val="both"/>
        <w:rPr>
          <w:sz w:val="36"/>
          <w:szCs w:val="36"/>
          <w:rtl/>
        </w:rPr>
      </w:pPr>
      <w:r w:rsidRPr="00FD211F">
        <w:rPr>
          <w:b/>
          <w:bCs/>
          <w:sz w:val="36"/>
          <w:szCs w:val="36"/>
          <w:rtl/>
        </w:rPr>
        <w:t>الوجه الثاني</w:t>
      </w:r>
      <w:r w:rsidR="00EC7EDF" w:rsidRPr="00FD211F">
        <w:rPr>
          <w:sz w:val="36"/>
          <w:szCs w:val="36"/>
          <w:rtl/>
        </w:rPr>
        <w:t>:</w:t>
      </w:r>
      <w:r w:rsidR="001737D5" w:rsidRPr="00FD211F">
        <w:rPr>
          <w:sz w:val="36"/>
          <w:szCs w:val="36"/>
          <w:rtl/>
        </w:rPr>
        <w:t xml:space="preserve"> ماذكره السيد الخوئي "قده" من ان هيئ</w:t>
      </w:r>
      <w:r w:rsidR="00EC7EDF" w:rsidRPr="00FD211F">
        <w:rPr>
          <w:sz w:val="36"/>
          <w:szCs w:val="36"/>
          <w:rtl/>
        </w:rPr>
        <w:t xml:space="preserve">ة </w:t>
      </w:r>
      <w:r w:rsidR="001737D5" w:rsidRPr="00FD211F">
        <w:rPr>
          <w:sz w:val="36"/>
          <w:szCs w:val="36"/>
          <w:rtl/>
        </w:rPr>
        <w:t>الجمل</w:t>
      </w:r>
      <w:r w:rsidR="00EC7EDF" w:rsidRPr="00FD211F">
        <w:rPr>
          <w:sz w:val="36"/>
          <w:szCs w:val="36"/>
          <w:rtl/>
        </w:rPr>
        <w:t xml:space="preserve">ة </w:t>
      </w:r>
      <w:r w:rsidR="001737D5" w:rsidRPr="00FD211F">
        <w:rPr>
          <w:sz w:val="36"/>
          <w:szCs w:val="36"/>
          <w:rtl/>
        </w:rPr>
        <w:t>الناقص</w:t>
      </w:r>
      <w:r w:rsidR="00EC7EDF" w:rsidRPr="00FD211F">
        <w:rPr>
          <w:sz w:val="36"/>
          <w:szCs w:val="36"/>
          <w:rtl/>
        </w:rPr>
        <w:t xml:space="preserve">ة </w:t>
      </w:r>
      <w:r w:rsidR="001737D5" w:rsidRPr="00FD211F">
        <w:rPr>
          <w:sz w:val="36"/>
          <w:szCs w:val="36"/>
          <w:rtl/>
        </w:rPr>
        <w:t>موضوع</w:t>
      </w:r>
      <w:r w:rsidR="00EC7EDF" w:rsidRPr="00FD211F">
        <w:rPr>
          <w:sz w:val="36"/>
          <w:szCs w:val="36"/>
          <w:rtl/>
        </w:rPr>
        <w:t xml:space="preserve">ة </w:t>
      </w:r>
      <w:r w:rsidR="001737D5" w:rsidRPr="00FD211F">
        <w:rPr>
          <w:sz w:val="36"/>
          <w:szCs w:val="36"/>
          <w:rtl/>
        </w:rPr>
        <w:t>لإفاد</w:t>
      </w:r>
      <w:r w:rsidR="00EC7EDF" w:rsidRPr="00FD211F">
        <w:rPr>
          <w:sz w:val="36"/>
          <w:szCs w:val="36"/>
          <w:rtl/>
        </w:rPr>
        <w:t xml:space="preserve">ة </w:t>
      </w:r>
      <w:r w:rsidR="001737D5" w:rsidRPr="00FD211F">
        <w:rPr>
          <w:sz w:val="36"/>
          <w:szCs w:val="36"/>
          <w:rtl/>
        </w:rPr>
        <w:t>التضييق في المعنى الاسمي فقولنا" ضربٌ شديدٌ" او" ضربُ زيدٍ" دال على حص</w:t>
      </w:r>
      <w:r w:rsidR="00EC7EDF" w:rsidRPr="00FD211F">
        <w:rPr>
          <w:sz w:val="36"/>
          <w:szCs w:val="36"/>
          <w:rtl/>
        </w:rPr>
        <w:t xml:space="preserve">ة </w:t>
      </w:r>
      <w:r w:rsidR="001737D5" w:rsidRPr="00FD211F">
        <w:rPr>
          <w:sz w:val="36"/>
          <w:szCs w:val="36"/>
          <w:rtl/>
        </w:rPr>
        <w:t>خاص</w:t>
      </w:r>
      <w:r w:rsidR="00EC7EDF" w:rsidRPr="00FD211F">
        <w:rPr>
          <w:sz w:val="36"/>
          <w:szCs w:val="36"/>
          <w:rtl/>
        </w:rPr>
        <w:t xml:space="preserve">ة </w:t>
      </w:r>
      <w:r w:rsidR="001737D5" w:rsidRPr="00FD211F">
        <w:rPr>
          <w:sz w:val="36"/>
          <w:szCs w:val="36"/>
          <w:rtl/>
        </w:rPr>
        <w:t>من الضرب</w:t>
      </w:r>
      <w:r w:rsidR="00603323" w:rsidRPr="00FD211F">
        <w:rPr>
          <w:sz w:val="36"/>
          <w:szCs w:val="36"/>
          <w:rtl/>
        </w:rPr>
        <w:t xml:space="preserve">، </w:t>
      </w:r>
      <w:r w:rsidR="001737D5" w:rsidRPr="00FD211F">
        <w:rPr>
          <w:sz w:val="36"/>
          <w:szCs w:val="36"/>
          <w:rtl/>
        </w:rPr>
        <w:t>نظير ما ذكره في الحروف الداخل</w:t>
      </w:r>
      <w:r w:rsidR="00EC7EDF" w:rsidRPr="00FD211F">
        <w:rPr>
          <w:sz w:val="36"/>
          <w:szCs w:val="36"/>
          <w:rtl/>
        </w:rPr>
        <w:t xml:space="preserve">ة </w:t>
      </w:r>
      <w:r w:rsidR="001737D5" w:rsidRPr="00FD211F">
        <w:rPr>
          <w:sz w:val="36"/>
          <w:szCs w:val="36"/>
          <w:rtl/>
        </w:rPr>
        <w:t>على المركبات الناقص</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78"/>
      </w:r>
      <w:r w:rsidR="009C58C8" w:rsidRPr="00FD211F">
        <w:rPr>
          <w:rStyle w:val="a6"/>
          <w:sz w:val="36"/>
          <w:szCs w:val="36"/>
          <w:rtl/>
        </w:rPr>
        <w:t>)</w:t>
      </w:r>
      <w:r w:rsidR="001737D5" w:rsidRPr="00FD211F">
        <w:rPr>
          <w:sz w:val="36"/>
          <w:szCs w:val="36"/>
          <w:rtl/>
        </w:rPr>
        <w:t>.</w:t>
      </w:r>
    </w:p>
    <w:p w14:paraId="123116CF" w14:textId="77777777" w:rsidR="000C5BBA" w:rsidRPr="00FD211F" w:rsidRDefault="001737D5" w:rsidP="00F93A2F">
      <w:pPr>
        <w:ind w:left="0" w:firstLine="227"/>
        <w:jc w:val="both"/>
        <w:rPr>
          <w:sz w:val="36"/>
          <w:szCs w:val="36"/>
          <w:rtl/>
        </w:rPr>
      </w:pPr>
      <w:r w:rsidRPr="00FD211F">
        <w:rPr>
          <w:sz w:val="36"/>
          <w:szCs w:val="36"/>
          <w:rtl/>
        </w:rPr>
        <w:t>ولكن ماذكره منقوض بالوصف التوضيحي مثل قولنا "زيد العالم"</w:t>
      </w:r>
      <w:r w:rsidR="00F93A2F">
        <w:rPr>
          <w:rFonts w:hint="cs"/>
          <w:sz w:val="36"/>
          <w:szCs w:val="36"/>
          <w:rtl/>
        </w:rPr>
        <w:t xml:space="preserve"> </w:t>
      </w:r>
      <w:r w:rsidRPr="00FD211F">
        <w:rPr>
          <w:sz w:val="36"/>
          <w:szCs w:val="36"/>
          <w:rtl/>
        </w:rPr>
        <w:t>فانه لامعنى لتضييق الموصوف فيه بعدأن كان جزئيا وكذا قولنا "العالم الاعم من العادل والفاسق"</w:t>
      </w:r>
      <w:r w:rsidR="00811D64" w:rsidRPr="00FD211F">
        <w:rPr>
          <w:sz w:val="36"/>
          <w:szCs w:val="36"/>
          <w:rtl/>
        </w:rPr>
        <w:t xml:space="preserve"> فان الوصف فيه بص</w:t>
      </w:r>
      <w:r w:rsidRPr="00FD211F">
        <w:rPr>
          <w:sz w:val="36"/>
          <w:szCs w:val="36"/>
          <w:rtl/>
        </w:rPr>
        <w:t>دد التأكيد على التوسع</w:t>
      </w:r>
      <w:r w:rsidR="00EC7EDF" w:rsidRPr="00FD211F">
        <w:rPr>
          <w:sz w:val="36"/>
          <w:szCs w:val="36"/>
          <w:rtl/>
        </w:rPr>
        <w:t xml:space="preserve">ة </w:t>
      </w:r>
      <w:r w:rsidR="00811D64" w:rsidRPr="00FD211F">
        <w:rPr>
          <w:sz w:val="36"/>
          <w:szCs w:val="36"/>
          <w:rtl/>
        </w:rPr>
        <w:t>وليس للتضييق.</w:t>
      </w:r>
      <w:r w:rsidRPr="00FD211F">
        <w:rPr>
          <w:sz w:val="36"/>
          <w:szCs w:val="36"/>
          <w:rtl/>
        </w:rPr>
        <w:t xml:space="preserve"> </w:t>
      </w:r>
    </w:p>
    <w:p w14:paraId="0044B016" w14:textId="77777777" w:rsidR="000C5BBA" w:rsidRPr="00FD211F" w:rsidRDefault="001737D5" w:rsidP="009C58C8">
      <w:pPr>
        <w:ind w:left="0" w:firstLine="227"/>
        <w:jc w:val="both"/>
        <w:rPr>
          <w:sz w:val="36"/>
          <w:szCs w:val="36"/>
          <w:rtl/>
        </w:rPr>
      </w:pPr>
      <w:r w:rsidRPr="00FD211F">
        <w:rPr>
          <w:sz w:val="36"/>
          <w:szCs w:val="36"/>
          <w:rtl/>
        </w:rPr>
        <w:t>وقد اورد عليه في البحوث بأن تضييق مفهوم لمفهوم آخر لايكون الا في طول ايقاع نسب</w:t>
      </w:r>
      <w:r w:rsidR="00EC7EDF" w:rsidRPr="00FD211F">
        <w:rPr>
          <w:sz w:val="36"/>
          <w:szCs w:val="36"/>
          <w:rtl/>
        </w:rPr>
        <w:t xml:space="preserve">ة </w:t>
      </w:r>
      <w:r w:rsidRPr="00FD211F">
        <w:rPr>
          <w:sz w:val="36"/>
          <w:szCs w:val="36"/>
          <w:rtl/>
        </w:rPr>
        <w:t>بينهما فلابد من وجود دال على هذه النسب</w:t>
      </w:r>
      <w:r w:rsidR="00EC7EDF" w:rsidRPr="00FD211F">
        <w:rPr>
          <w:sz w:val="36"/>
          <w:szCs w:val="36"/>
          <w:rtl/>
        </w:rPr>
        <w:t xml:space="preserve">ة </w:t>
      </w:r>
      <w:r w:rsidRPr="00FD211F">
        <w:rPr>
          <w:sz w:val="36"/>
          <w:szCs w:val="36"/>
          <w:rtl/>
        </w:rPr>
        <w:t>عرفا</w:t>
      </w:r>
      <w:r w:rsidR="00603323" w:rsidRPr="00FD211F">
        <w:rPr>
          <w:sz w:val="36"/>
          <w:szCs w:val="36"/>
          <w:rtl/>
        </w:rPr>
        <w:t xml:space="preserve">، </w:t>
      </w:r>
      <w:r w:rsidRPr="00FD211F">
        <w:rPr>
          <w:sz w:val="36"/>
          <w:szCs w:val="36"/>
          <w:rtl/>
        </w:rPr>
        <w:t>وليس الدال عليها غير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الناقص</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79"/>
      </w:r>
      <w:r w:rsidR="009C58C8" w:rsidRPr="00FD211F">
        <w:rPr>
          <w:rStyle w:val="a6"/>
          <w:sz w:val="36"/>
          <w:szCs w:val="36"/>
          <w:rtl/>
        </w:rPr>
        <w:t>)</w:t>
      </w:r>
      <w:r w:rsidRPr="00FD211F">
        <w:rPr>
          <w:sz w:val="36"/>
          <w:szCs w:val="36"/>
          <w:rtl/>
        </w:rPr>
        <w:t xml:space="preserve">.وسيأتي الكلام فيه </w:t>
      </w:r>
    </w:p>
    <w:p w14:paraId="6623E7E6" w14:textId="77777777" w:rsidR="000C5BBA" w:rsidRPr="00FD211F" w:rsidRDefault="001737D5" w:rsidP="009C58C8">
      <w:pPr>
        <w:ind w:left="0" w:firstLine="227"/>
        <w:jc w:val="both"/>
        <w:rPr>
          <w:sz w:val="36"/>
          <w:szCs w:val="36"/>
          <w:rtl/>
        </w:rPr>
      </w:pPr>
      <w:r w:rsidRPr="00FD211F">
        <w:rPr>
          <w:b/>
          <w:bCs/>
          <w:sz w:val="36"/>
          <w:szCs w:val="36"/>
          <w:rtl/>
        </w:rPr>
        <w:t>الوجه الثالث</w:t>
      </w:r>
      <w:r w:rsidR="00EC7EDF" w:rsidRPr="00FD211F">
        <w:rPr>
          <w:sz w:val="36"/>
          <w:szCs w:val="36"/>
          <w:rtl/>
        </w:rPr>
        <w:t>:</w:t>
      </w:r>
      <w:r w:rsidR="00251CB6" w:rsidRPr="00FD211F">
        <w:rPr>
          <w:sz w:val="36"/>
          <w:szCs w:val="36"/>
          <w:rtl/>
        </w:rPr>
        <w:t xml:space="preserve"> </w:t>
      </w:r>
      <w:r w:rsidRPr="00FD211F">
        <w:rPr>
          <w:sz w:val="36"/>
          <w:szCs w:val="36"/>
          <w:rtl/>
        </w:rPr>
        <w:t>م</w:t>
      </w:r>
      <w:r w:rsidR="004142E8" w:rsidRPr="00FD211F">
        <w:rPr>
          <w:sz w:val="36"/>
          <w:szCs w:val="36"/>
          <w:rtl/>
        </w:rPr>
        <w:t>ا</w:t>
      </w:r>
      <w:r w:rsidR="00251CB6" w:rsidRPr="00FD211F">
        <w:rPr>
          <w:sz w:val="36"/>
          <w:szCs w:val="36"/>
          <w:rtl/>
        </w:rPr>
        <w:t xml:space="preserve"> </w:t>
      </w:r>
      <w:r w:rsidR="00E62E35" w:rsidRPr="00FD211F">
        <w:rPr>
          <w:sz w:val="36"/>
          <w:szCs w:val="36"/>
          <w:rtl/>
        </w:rPr>
        <w:t>ذكر</w:t>
      </w:r>
      <w:r w:rsidR="004142E8" w:rsidRPr="00FD211F">
        <w:rPr>
          <w:sz w:val="36"/>
          <w:szCs w:val="36"/>
          <w:rtl/>
        </w:rPr>
        <w:t>ه</w:t>
      </w:r>
      <w:r w:rsidR="00E62E35" w:rsidRPr="00FD211F">
        <w:rPr>
          <w:sz w:val="36"/>
          <w:szCs w:val="36"/>
          <w:rtl/>
        </w:rPr>
        <w:t xml:space="preserve"> المحقق العراقي </w:t>
      </w:r>
      <w:r w:rsidR="003C6F1E" w:rsidRPr="00FD211F">
        <w:rPr>
          <w:sz w:val="36"/>
          <w:szCs w:val="36"/>
          <w:rtl/>
        </w:rPr>
        <w:t>"</w:t>
      </w:r>
      <w:r w:rsidR="00E62E35" w:rsidRPr="00FD211F">
        <w:rPr>
          <w:sz w:val="36"/>
          <w:szCs w:val="36"/>
          <w:rtl/>
        </w:rPr>
        <w:t>ق</w:t>
      </w:r>
      <w:r w:rsidR="00530ADC" w:rsidRPr="00FD211F">
        <w:rPr>
          <w:sz w:val="36"/>
          <w:szCs w:val="36"/>
          <w:rtl/>
        </w:rPr>
        <w:t>ده</w:t>
      </w:r>
      <w:r w:rsidR="003C6F1E" w:rsidRPr="00FD211F">
        <w:rPr>
          <w:sz w:val="36"/>
          <w:szCs w:val="36"/>
          <w:rtl/>
        </w:rPr>
        <w:t>"</w:t>
      </w:r>
      <w:r w:rsidR="004142E8" w:rsidRPr="00FD211F">
        <w:rPr>
          <w:sz w:val="36"/>
          <w:szCs w:val="36"/>
          <w:rtl/>
        </w:rPr>
        <w:t>من</w:t>
      </w:r>
      <w:r w:rsidR="003A219C" w:rsidRPr="00FD211F">
        <w:rPr>
          <w:sz w:val="36"/>
          <w:szCs w:val="36"/>
          <w:rtl/>
        </w:rPr>
        <w:t xml:space="preserve"> ان</w:t>
      </w:r>
      <w:r w:rsidR="00530ADC" w:rsidRPr="00FD211F">
        <w:rPr>
          <w:sz w:val="36"/>
          <w:szCs w:val="36"/>
          <w:rtl/>
        </w:rPr>
        <w:t xml:space="preserve"> الفرق بين الجمل</w:t>
      </w:r>
      <w:r w:rsidR="00EC7EDF" w:rsidRPr="00FD211F">
        <w:rPr>
          <w:sz w:val="36"/>
          <w:szCs w:val="36"/>
          <w:rtl/>
        </w:rPr>
        <w:t xml:space="preserve">ة </w:t>
      </w:r>
      <w:r w:rsidR="00530ADC" w:rsidRPr="00FD211F">
        <w:rPr>
          <w:sz w:val="36"/>
          <w:szCs w:val="36"/>
          <w:rtl/>
        </w:rPr>
        <w:t>الوصفي</w:t>
      </w:r>
      <w:r w:rsidR="00EC7EDF" w:rsidRPr="00FD211F">
        <w:rPr>
          <w:sz w:val="36"/>
          <w:szCs w:val="36"/>
          <w:rtl/>
        </w:rPr>
        <w:t xml:space="preserve">ة </w:t>
      </w:r>
      <w:r w:rsidR="00530ADC" w:rsidRPr="00FD211F">
        <w:rPr>
          <w:sz w:val="36"/>
          <w:szCs w:val="36"/>
          <w:rtl/>
        </w:rPr>
        <w:t>مثل "</w:t>
      </w:r>
      <w:r w:rsidR="00E62E35" w:rsidRPr="00FD211F">
        <w:rPr>
          <w:sz w:val="36"/>
          <w:szCs w:val="36"/>
          <w:rtl/>
        </w:rPr>
        <w:t>زيد العالم</w:t>
      </w:r>
      <w:r w:rsidR="00530ADC" w:rsidRPr="00FD211F">
        <w:rPr>
          <w:sz w:val="36"/>
          <w:szCs w:val="36"/>
          <w:rtl/>
        </w:rPr>
        <w:t>"</w:t>
      </w:r>
      <w:r w:rsidR="00E62E35" w:rsidRPr="00FD211F">
        <w:rPr>
          <w:sz w:val="36"/>
          <w:szCs w:val="36"/>
          <w:rtl/>
        </w:rPr>
        <w:t xml:space="preserve"> والجمل</w:t>
      </w:r>
      <w:r w:rsidR="00EC7EDF" w:rsidRPr="00FD211F">
        <w:rPr>
          <w:sz w:val="36"/>
          <w:szCs w:val="36"/>
          <w:rtl/>
        </w:rPr>
        <w:t xml:space="preserve">ة </w:t>
      </w:r>
      <w:r w:rsidR="00E62E35" w:rsidRPr="00FD211F">
        <w:rPr>
          <w:sz w:val="36"/>
          <w:szCs w:val="36"/>
          <w:rtl/>
        </w:rPr>
        <w:t>الخبري</w:t>
      </w:r>
      <w:r w:rsidR="00EC7EDF" w:rsidRPr="00FD211F">
        <w:rPr>
          <w:sz w:val="36"/>
          <w:szCs w:val="36"/>
          <w:rtl/>
        </w:rPr>
        <w:t xml:space="preserve">ة </w:t>
      </w:r>
      <w:r w:rsidR="00530ADC" w:rsidRPr="00FD211F">
        <w:rPr>
          <w:sz w:val="36"/>
          <w:szCs w:val="36"/>
          <w:rtl/>
        </w:rPr>
        <w:t>مثل "</w:t>
      </w:r>
      <w:r w:rsidR="00E62E35" w:rsidRPr="00FD211F">
        <w:rPr>
          <w:sz w:val="36"/>
          <w:szCs w:val="36"/>
          <w:rtl/>
        </w:rPr>
        <w:t>زيد عالم</w:t>
      </w:r>
      <w:r w:rsidR="003A219C" w:rsidRPr="00FD211F">
        <w:rPr>
          <w:sz w:val="36"/>
          <w:szCs w:val="36"/>
          <w:rtl/>
        </w:rPr>
        <w:t>"</w:t>
      </w:r>
      <w:r w:rsidR="0052345A" w:rsidRPr="00FD211F">
        <w:rPr>
          <w:sz w:val="36"/>
          <w:szCs w:val="36"/>
          <w:rtl/>
        </w:rPr>
        <w:t xml:space="preserve"> </w:t>
      </w:r>
      <w:r w:rsidR="003A219C" w:rsidRPr="00FD211F">
        <w:rPr>
          <w:sz w:val="36"/>
          <w:szCs w:val="36"/>
          <w:rtl/>
        </w:rPr>
        <w:t>هو</w:t>
      </w:r>
      <w:r w:rsidR="00E62E35" w:rsidRPr="00FD211F">
        <w:rPr>
          <w:sz w:val="36"/>
          <w:szCs w:val="36"/>
          <w:rtl/>
        </w:rPr>
        <w:t xml:space="preserve"> ان </w:t>
      </w:r>
      <w:r w:rsidR="00530ADC" w:rsidRPr="00FD211F">
        <w:rPr>
          <w:sz w:val="36"/>
          <w:szCs w:val="36"/>
          <w:rtl/>
        </w:rPr>
        <w:t>الجمل</w:t>
      </w:r>
      <w:r w:rsidR="00EC7EDF" w:rsidRPr="00FD211F">
        <w:rPr>
          <w:sz w:val="36"/>
          <w:szCs w:val="36"/>
          <w:rtl/>
        </w:rPr>
        <w:t xml:space="preserve">ة </w:t>
      </w:r>
      <w:r w:rsidR="00AA4B71" w:rsidRPr="00FD211F">
        <w:rPr>
          <w:sz w:val="36"/>
          <w:szCs w:val="36"/>
          <w:rtl/>
        </w:rPr>
        <w:t>الوصفي</w:t>
      </w:r>
      <w:r w:rsidR="00EC7EDF" w:rsidRPr="00FD211F">
        <w:rPr>
          <w:sz w:val="36"/>
          <w:szCs w:val="36"/>
          <w:rtl/>
        </w:rPr>
        <w:t xml:space="preserve">ة </w:t>
      </w:r>
      <w:r w:rsidR="00E62E35" w:rsidRPr="00FD211F">
        <w:rPr>
          <w:sz w:val="36"/>
          <w:szCs w:val="36"/>
          <w:rtl/>
        </w:rPr>
        <w:t>تحكي عن نسب</w:t>
      </w:r>
      <w:r w:rsidR="00EC7EDF" w:rsidRPr="00FD211F">
        <w:rPr>
          <w:sz w:val="36"/>
          <w:szCs w:val="36"/>
          <w:rtl/>
        </w:rPr>
        <w:t xml:space="preserve">ة </w:t>
      </w:r>
      <w:r w:rsidR="00E62E35" w:rsidRPr="00FD211F">
        <w:rPr>
          <w:sz w:val="36"/>
          <w:szCs w:val="36"/>
          <w:rtl/>
        </w:rPr>
        <w:t>ذهني</w:t>
      </w:r>
      <w:r w:rsidR="00EC7EDF" w:rsidRPr="00FD211F">
        <w:rPr>
          <w:sz w:val="36"/>
          <w:szCs w:val="36"/>
          <w:rtl/>
        </w:rPr>
        <w:t xml:space="preserve">ة </w:t>
      </w:r>
      <w:r w:rsidR="00E62E35" w:rsidRPr="00FD211F">
        <w:rPr>
          <w:sz w:val="36"/>
          <w:szCs w:val="36"/>
          <w:rtl/>
        </w:rPr>
        <w:t>ثابت</w:t>
      </w:r>
      <w:r w:rsidR="00EC7EDF" w:rsidRPr="00FD211F">
        <w:rPr>
          <w:sz w:val="36"/>
          <w:szCs w:val="36"/>
          <w:rtl/>
        </w:rPr>
        <w:t xml:space="preserve">ة </w:t>
      </w:r>
      <w:r w:rsidR="00E62E35" w:rsidRPr="00FD211F">
        <w:rPr>
          <w:sz w:val="36"/>
          <w:szCs w:val="36"/>
          <w:rtl/>
        </w:rPr>
        <w:t>بين ال</w:t>
      </w:r>
      <w:r w:rsidR="003C6F1E" w:rsidRPr="00FD211F">
        <w:rPr>
          <w:sz w:val="36"/>
          <w:szCs w:val="36"/>
          <w:rtl/>
        </w:rPr>
        <w:t>وصف والموصوف</w:t>
      </w:r>
      <w:r w:rsidR="00603323" w:rsidRPr="00FD211F">
        <w:rPr>
          <w:sz w:val="36"/>
          <w:szCs w:val="36"/>
          <w:rtl/>
        </w:rPr>
        <w:t xml:space="preserve">، </w:t>
      </w:r>
      <w:r w:rsidR="003C6F1E" w:rsidRPr="00FD211F">
        <w:rPr>
          <w:sz w:val="36"/>
          <w:szCs w:val="36"/>
          <w:rtl/>
        </w:rPr>
        <w:t>فيكون مدلولها</w:t>
      </w:r>
      <w:r w:rsidR="00E62E35" w:rsidRPr="00FD211F">
        <w:rPr>
          <w:sz w:val="36"/>
          <w:szCs w:val="36"/>
          <w:rtl/>
        </w:rPr>
        <w:t xml:space="preserve"> النسب</w:t>
      </w:r>
      <w:r w:rsidR="00EC7EDF" w:rsidRPr="00FD211F">
        <w:rPr>
          <w:sz w:val="36"/>
          <w:szCs w:val="36"/>
          <w:rtl/>
        </w:rPr>
        <w:t xml:space="preserve">ة </w:t>
      </w:r>
      <w:r w:rsidR="007B2E78" w:rsidRPr="00FD211F">
        <w:rPr>
          <w:sz w:val="36"/>
          <w:szCs w:val="36"/>
          <w:rtl/>
        </w:rPr>
        <w:t>الثابت</w:t>
      </w:r>
      <w:r w:rsidR="00EC7EDF" w:rsidRPr="00FD211F">
        <w:rPr>
          <w:sz w:val="36"/>
          <w:szCs w:val="36"/>
          <w:rtl/>
        </w:rPr>
        <w:t xml:space="preserve">ة </w:t>
      </w:r>
      <w:r w:rsidR="0052345A" w:rsidRPr="00FD211F">
        <w:rPr>
          <w:sz w:val="36"/>
          <w:szCs w:val="36"/>
          <w:rtl/>
        </w:rPr>
        <w:t>-</w:t>
      </w:r>
      <w:r w:rsidR="007B2E78" w:rsidRPr="00FD211F">
        <w:rPr>
          <w:sz w:val="36"/>
          <w:szCs w:val="36"/>
          <w:rtl/>
        </w:rPr>
        <w:t xml:space="preserve">اوفقل </w:t>
      </w:r>
      <w:r w:rsidR="0052345A" w:rsidRPr="00FD211F">
        <w:rPr>
          <w:sz w:val="36"/>
          <w:szCs w:val="36"/>
          <w:rtl/>
        </w:rPr>
        <w:t>ان مدلولها</w:t>
      </w:r>
      <w:r w:rsidR="00F93A2F">
        <w:rPr>
          <w:rFonts w:hint="cs"/>
          <w:sz w:val="36"/>
          <w:szCs w:val="36"/>
          <w:rtl/>
        </w:rPr>
        <w:t xml:space="preserve"> </w:t>
      </w:r>
      <w:r w:rsidR="007B2E78" w:rsidRPr="00FD211F">
        <w:rPr>
          <w:sz w:val="36"/>
          <w:szCs w:val="36"/>
          <w:rtl/>
        </w:rPr>
        <w:t>وقوع النسب</w:t>
      </w:r>
      <w:r w:rsidR="00EC7EDF" w:rsidRPr="00FD211F">
        <w:rPr>
          <w:sz w:val="36"/>
          <w:szCs w:val="36"/>
          <w:rtl/>
        </w:rPr>
        <w:t xml:space="preserve">ة </w:t>
      </w:r>
      <w:r w:rsidR="00E62E35" w:rsidRPr="00FD211F">
        <w:rPr>
          <w:sz w:val="36"/>
          <w:szCs w:val="36"/>
          <w:rtl/>
        </w:rPr>
        <w:t>فارغ</w:t>
      </w:r>
      <w:r w:rsidR="0052345A" w:rsidRPr="00FD211F">
        <w:rPr>
          <w:sz w:val="36"/>
          <w:szCs w:val="36"/>
          <w:rtl/>
        </w:rPr>
        <w:t xml:space="preserve">ا </w:t>
      </w:r>
      <w:r w:rsidR="007B2E78" w:rsidRPr="00FD211F">
        <w:rPr>
          <w:sz w:val="36"/>
          <w:szCs w:val="36"/>
          <w:rtl/>
        </w:rPr>
        <w:t>عن ايقاع</w:t>
      </w:r>
      <w:r w:rsidR="00AA4B71" w:rsidRPr="00FD211F">
        <w:rPr>
          <w:sz w:val="36"/>
          <w:szCs w:val="36"/>
          <w:rtl/>
        </w:rPr>
        <w:t>ها</w:t>
      </w:r>
      <w:r w:rsidR="0052345A" w:rsidRPr="00FD211F">
        <w:rPr>
          <w:sz w:val="36"/>
          <w:szCs w:val="36"/>
          <w:rtl/>
        </w:rPr>
        <w:t>-</w:t>
      </w:r>
      <w:r w:rsidR="00AA4B71" w:rsidRPr="00FD211F">
        <w:rPr>
          <w:sz w:val="36"/>
          <w:szCs w:val="36"/>
          <w:rtl/>
        </w:rPr>
        <w:t xml:space="preserve"> ولكن الجمل</w:t>
      </w:r>
      <w:r w:rsidR="00EC7EDF" w:rsidRPr="00FD211F">
        <w:rPr>
          <w:sz w:val="36"/>
          <w:szCs w:val="36"/>
          <w:rtl/>
        </w:rPr>
        <w:t xml:space="preserve">ة </w:t>
      </w:r>
      <w:r w:rsidR="00AA4B71" w:rsidRPr="00FD211F">
        <w:rPr>
          <w:sz w:val="36"/>
          <w:szCs w:val="36"/>
          <w:rtl/>
        </w:rPr>
        <w:t>الخبري</w:t>
      </w:r>
      <w:r w:rsidR="00EC7EDF" w:rsidRPr="00FD211F">
        <w:rPr>
          <w:sz w:val="36"/>
          <w:szCs w:val="36"/>
          <w:rtl/>
        </w:rPr>
        <w:t xml:space="preserve">ة </w:t>
      </w:r>
      <w:r w:rsidR="007B2E78" w:rsidRPr="00FD211F">
        <w:rPr>
          <w:sz w:val="36"/>
          <w:szCs w:val="36"/>
          <w:rtl/>
        </w:rPr>
        <w:t xml:space="preserve">تحكي عن ايقاع </w:t>
      </w:r>
      <w:r w:rsidR="00E62E35" w:rsidRPr="00FD211F">
        <w:rPr>
          <w:sz w:val="36"/>
          <w:szCs w:val="36"/>
          <w:rtl/>
        </w:rPr>
        <w:t>النسب</w:t>
      </w:r>
      <w:r w:rsidR="00EC7EDF" w:rsidRPr="00FD211F">
        <w:rPr>
          <w:sz w:val="36"/>
          <w:szCs w:val="36"/>
          <w:rtl/>
        </w:rPr>
        <w:t xml:space="preserve">ة </w:t>
      </w:r>
      <w:r w:rsidR="00E62E35" w:rsidRPr="00FD211F">
        <w:rPr>
          <w:sz w:val="36"/>
          <w:szCs w:val="36"/>
          <w:rtl/>
        </w:rPr>
        <w:t>الذهني</w:t>
      </w:r>
      <w:r w:rsidR="00EC7EDF" w:rsidRPr="00FD211F">
        <w:rPr>
          <w:sz w:val="36"/>
          <w:szCs w:val="36"/>
          <w:rtl/>
        </w:rPr>
        <w:t xml:space="preserve">ة </w:t>
      </w:r>
      <w:r w:rsidR="007B2E78" w:rsidRPr="00FD211F">
        <w:rPr>
          <w:sz w:val="36"/>
          <w:szCs w:val="36"/>
          <w:rtl/>
        </w:rPr>
        <w:t>وايجادها</w:t>
      </w:r>
      <w:r w:rsidR="00E62E35" w:rsidRPr="00FD211F">
        <w:rPr>
          <w:sz w:val="36"/>
          <w:szCs w:val="36"/>
          <w:rtl/>
        </w:rPr>
        <w:t xml:space="preserve"> بين الموضوع والمحمول</w:t>
      </w:r>
      <w:r w:rsidR="00603323" w:rsidRPr="00FD211F">
        <w:rPr>
          <w:sz w:val="36"/>
          <w:szCs w:val="36"/>
          <w:rtl/>
        </w:rPr>
        <w:t xml:space="preserve">، </w:t>
      </w:r>
      <w:r w:rsidR="00E62E35" w:rsidRPr="00FD211F">
        <w:rPr>
          <w:sz w:val="36"/>
          <w:szCs w:val="36"/>
          <w:rtl/>
        </w:rPr>
        <w:t>حيث يلحظ الموضوع عاريا عن اي</w:t>
      </w:r>
      <w:r w:rsidR="00EC7EDF" w:rsidRPr="00FD211F">
        <w:rPr>
          <w:sz w:val="36"/>
          <w:szCs w:val="36"/>
          <w:rtl/>
        </w:rPr>
        <w:t xml:space="preserve">ة </w:t>
      </w:r>
      <w:r w:rsidR="00E62E35" w:rsidRPr="00FD211F">
        <w:rPr>
          <w:sz w:val="36"/>
          <w:szCs w:val="36"/>
          <w:rtl/>
        </w:rPr>
        <w:t>نسب</w:t>
      </w:r>
      <w:r w:rsidR="00EC7EDF" w:rsidRPr="00FD211F">
        <w:rPr>
          <w:sz w:val="36"/>
          <w:szCs w:val="36"/>
          <w:rtl/>
        </w:rPr>
        <w:t xml:space="preserve">ة </w:t>
      </w:r>
      <w:r w:rsidR="00E62E35" w:rsidRPr="00FD211F">
        <w:rPr>
          <w:sz w:val="36"/>
          <w:szCs w:val="36"/>
          <w:rtl/>
        </w:rPr>
        <w:t>ثم يوقع بينه وبين المحمول نسب</w:t>
      </w:r>
      <w:r w:rsidR="00EC7EDF" w:rsidRPr="00FD211F">
        <w:rPr>
          <w:sz w:val="36"/>
          <w:szCs w:val="36"/>
          <w:rtl/>
        </w:rPr>
        <w:t xml:space="preserve">ة </w:t>
      </w:r>
      <w:r w:rsidR="00E62E35" w:rsidRPr="00FD211F">
        <w:rPr>
          <w:sz w:val="36"/>
          <w:szCs w:val="36"/>
          <w:rtl/>
        </w:rPr>
        <w:t>حملي</w:t>
      </w:r>
      <w:r w:rsidR="00EC7EDF" w:rsidRPr="00FD211F">
        <w:rPr>
          <w:sz w:val="36"/>
          <w:szCs w:val="36"/>
          <w:rtl/>
        </w:rPr>
        <w:t>ة</w:t>
      </w:r>
      <w:r w:rsidR="00603323" w:rsidRPr="00FD211F">
        <w:rPr>
          <w:sz w:val="36"/>
          <w:szCs w:val="36"/>
          <w:rtl/>
        </w:rPr>
        <w:t xml:space="preserve">، </w:t>
      </w:r>
      <w:r w:rsidR="00E62E35" w:rsidRPr="00FD211F">
        <w:rPr>
          <w:sz w:val="36"/>
          <w:szCs w:val="36"/>
          <w:rtl/>
        </w:rPr>
        <w:t>وحيث ان وجود النسب</w:t>
      </w:r>
      <w:r w:rsidR="00EC7EDF" w:rsidRPr="00FD211F">
        <w:rPr>
          <w:sz w:val="36"/>
          <w:szCs w:val="36"/>
          <w:rtl/>
        </w:rPr>
        <w:t xml:space="preserve">ة </w:t>
      </w:r>
      <w:r w:rsidR="00E62E35" w:rsidRPr="00FD211F">
        <w:rPr>
          <w:sz w:val="36"/>
          <w:szCs w:val="36"/>
          <w:rtl/>
        </w:rPr>
        <w:t>فرع ايجادها ومتأخر عنه رتب</w:t>
      </w:r>
      <w:r w:rsidR="00EC7EDF" w:rsidRPr="00FD211F">
        <w:rPr>
          <w:sz w:val="36"/>
          <w:szCs w:val="36"/>
          <w:rtl/>
        </w:rPr>
        <w:t xml:space="preserve">ة </w:t>
      </w:r>
      <w:r w:rsidR="00E62E35" w:rsidRPr="00FD211F">
        <w:rPr>
          <w:sz w:val="36"/>
          <w:szCs w:val="36"/>
          <w:rtl/>
        </w:rPr>
        <w:t>فالجمل</w:t>
      </w:r>
      <w:r w:rsidR="00EC7EDF" w:rsidRPr="00FD211F">
        <w:rPr>
          <w:sz w:val="36"/>
          <w:szCs w:val="36"/>
          <w:rtl/>
        </w:rPr>
        <w:t xml:space="preserve">ة </w:t>
      </w:r>
      <w:r w:rsidR="00E62E35" w:rsidRPr="00FD211F">
        <w:rPr>
          <w:sz w:val="36"/>
          <w:szCs w:val="36"/>
          <w:rtl/>
        </w:rPr>
        <w:t>الوصفي</w:t>
      </w:r>
      <w:r w:rsidR="00EC7EDF" w:rsidRPr="00FD211F">
        <w:rPr>
          <w:sz w:val="36"/>
          <w:szCs w:val="36"/>
          <w:rtl/>
        </w:rPr>
        <w:t xml:space="preserve">ة </w:t>
      </w:r>
      <w:r w:rsidR="00E62E35" w:rsidRPr="00FD211F">
        <w:rPr>
          <w:sz w:val="36"/>
          <w:szCs w:val="36"/>
          <w:rtl/>
        </w:rPr>
        <w:t>متأخر</w:t>
      </w:r>
      <w:r w:rsidR="00EC7EDF" w:rsidRPr="00FD211F">
        <w:rPr>
          <w:sz w:val="36"/>
          <w:szCs w:val="36"/>
          <w:rtl/>
        </w:rPr>
        <w:t xml:space="preserve">ة </w:t>
      </w:r>
      <w:r w:rsidR="00E62E35" w:rsidRPr="00FD211F">
        <w:rPr>
          <w:sz w:val="36"/>
          <w:szCs w:val="36"/>
          <w:rtl/>
        </w:rPr>
        <w:t>رتب</w:t>
      </w:r>
      <w:r w:rsidR="00EC7EDF" w:rsidRPr="00FD211F">
        <w:rPr>
          <w:sz w:val="36"/>
          <w:szCs w:val="36"/>
          <w:rtl/>
        </w:rPr>
        <w:t xml:space="preserve">ة </w:t>
      </w:r>
      <w:r w:rsidR="00E62E35" w:rsidRPr="00FD211F">
        <w:rPr>
          <w:sz w:val="36"/>
          <w:szCs w:val="36"/>
          <w:rtl/>
        </w:rPr>
        <w:t>عن الجمل</w:t>
      </w:r>
      <w:r w:rsidR="00EC7EDF" w:rsidRPr="00FD211F">
        <w:rPr>
          <w:sz w:val="36"/>
          <w:szCs w:val="36"/>
          <w:rtl/>
        </w:rPr>
        <w:t xml:space="preserve">ة </w:t>
      </w:r>
      <w:r w:rsidR="00E62E35" w:rsidRPr="00FD211F">
        <w:rPr>
          <w:sz w:val="36"/>
          <w:szCs w:val="36"/>
          <w:rtl/>
        </w:rPr>
        <w:t>الحملي</w:t>
      </w:r>
      <w:r w:rsidR="00EC7EDF" w:rsidRPr="00FD211F">
        <w:rPr>
          <w:sz w:val="36"/>
          <w:szCs w:val="36"/>
          <w:rtl/>
        </w:rPr>
        <w:t xml:space="preserve">ة </w:t>
      </w:r>
      <w:r w:rsidR="00E62E35" w:rsidRPr="00FD211F">
        <w:rPr>
          <w:sz w:val="36"/>
          <w:szCs w:val="36"/>
          <w:rtl/>
        </w:rPr>
        <w:t>تأخر الوجود عن الإيجاد</w:t>
      </w:r>
      <w:r w:rsidR="00603323" w:rsidRPr="00FD211F">
        <w:rPr>
          <w:sz w:val="36"/>
          <w:szCs w:val="36"/>
          <w:rtl/>
        </w:rPr>
        <w:t xml:space="preserve">، </w:t>
      </w:r>
      <w:r w:rsidR="00E62E35" w:rsidRPr="00FD211F">
        <w:rPr>
          <w:sz w:val="36"/>
          <w:szCs w:val="36"/>
          <w:rtl/>
        </w:rPr>
        <w:t>فتكون الجمل</w:t>
      </w:r>
      <w:r w:rsidR="00EC7EDF" w:rsidRPr="00FD211F">
        <w:rPr>
          <w:sz w:val="36"/>
          <w:szCs w:val="36"/>
          <w:rtl/>
        </w:rPr>
        <w:t xml:space="preserve">ة </w:t>
      </w:r>
      <w:r w:rsidR="00E62E35" w:rsidRPr="00FD211F">
        <w:rPr>
          <w:sz w:val="36"/>
          <w:szCs w:val="36"/>
          <w:rtl/>
        </w:rPr>
        <w:t>الوصفي</w:t>
      </w:r>
      <w:r w:rsidR="00EC7EDF" w:rsidRPr="00FD211F">
        <w:rPr>
          <w:sz w:val="36"/>
          <w:szCs w:val="36"/>
          <w:rtl/>
        </w:rPr>
        <w:t xml:space="preserve">ة </w:t>
      </w:r>
      <w:r w:rsidR="00E62E35" w:rsidRPr="00FD211F">
        <w:rPr>
          <w:sz w:val="36"/>
          <w:szCs w:val="36"/>
          <w:rtl/>
        </w:rPr>
        <w:t>من نتائج الجمل</w:t>
      </w:r>
      <w:r w:rsidR="00EC7EDF" w:rsidRPr="00FD211F">
        <w:rPr>
          <w:sz w:val="36"/>
          <w:szCs w:val="36"/>
          <w:rtl/>
        </w:rPr>
        <w:t xml:space="preserve">ة </w:t>
      </w:r>
      <w:r w:rsidR="00E62E35" w:rsidRPr="00FD211F">
        <w:rPr>
          <w:sz w:val="36"/>
          <w:szCs w:val="36"/>
          <w:rtl/>
        </w:rPr>
        <w:t>الحملي</w:t>
      </w:r>
      <w:r w:rsidR="00EC7EDF" w:rsidRPr="00FD211F">
        <w:rPr>
          <w:sz w:val="36"/>
          <w:szCs w:val="36"/>
          <w:rtl/>
        </w:rPr>
        <w:t>ة</w:t>
      </w:r>
      <w:r w:rsidR="00603323" w:rsidRPr="00FD211F">
        <w:rPr>
          <w:sz w:val="36"/>
          <w:szCs w:val="36"/>
          <w:rtl/>
        </w:rPr>
        <w:t xml:space="preserve">، </w:t>
      </w:r>
      <w:r w:rsidR="00E62E35" w:rsidRPr="00FD211F">
        <w:rPr>
          <w:sz w:val="36"/>
          <w:szCs w:val="36"/>
          <w:rtl/>
        </w:rPr>
        <w:t>ولعله لأجل ذلك قيل</w:t>
      </w:r>
      <w:r w:rsidR="003C6F1E" w:rsidRPr="00FD211F">
        <w:rPr>
          <w:sz w:val="36"/>
          <w:szCs w:val="36"/>
          <w:rtl/>
        </w:rPr>
        <w:t>"</w:t>
      </w:r>
      <w:r w:rsidR="00E62E35" w:rsidRPr="00FD211F">
        <w:rPr>
          <w:sz w:val="36"/>
          <w:szCs w:val="36"/>
          <w:rtl/>
        </w:rPr>
        <w:t xml:space="preserve"> ان الاوصاف قبل العلم</w:t>
      </w:r>
      <w:r w:rsidR="00E6638C" w:rsidRPr="00FD211F">
        <w:rPr>
          <w:sz w:val="36"/>
          <w:szCs w:val="36"/>
          <w:rtl/>
        </w:rPr>
        <w:t xml:space="preserve"> بها أ</w:t>
      </w:r>
      <w:r w:rsidR="00E62E35" w:rsidRPr="00FD211F">
        <w:rPr>
          <w:sz w:val="36"/>
          <w:szCs w:val="36"/>
          <w:rtl/>
        </w:rPr>
        <w:t>خبار</w:t>
      </w:r>
      <w:r w:rsidR="00603323" w:rsidRPr="00FD211F">
        <w:rPr>
          <w:sz w:val="36"/>
          <w:szCs w:val="36"/>
          <w:rtl/>
        </w:rPr>
        <w:t xml:space="preserve">، </w:t>
      </w:r>
      <w:r w:rsidR="00E6638C" w:rsidRPr="00FD211F">
        <w:rPr>
          <w:sz w:val="36"/>
          <w:szCs w:val="36"/>
          <w:rtl/>
        </w:rPr>
        <w:t>والأ</w:t>
      </w:r>
      <w:r w:rsidR="00E62E35" w:rsidRPr="00FD211F">
        <w:rPr>
          <w:sz w:val="36"/>
          <w:szCs w:val="36"/>
          <w:rtl/>
        </w:rPr>
        <w:t>خبار بعد العلم بها اوصاف</w:t>
      </w:r>
      <w:r w:rsidR="003C6F1E" w:rsidRPr="00FD211F">
        <w:rPr>
          <w:sz w:val="36"/>
          <w:szCs w:val="36"/>
          <w:rtl/>
        </w:rPr>
        <w:t>".</w:t>
      </w:r>
    </w:p>
    <w:p w14:paraId="0A844D55" w14:textId="77777777" w:rsidR="000C5BBA" w:rsidRPr="00FD211F" w:rsidRDefault="00E62E35" w:rsidP="009C58C8">
      <w:pPr>
        <w:pStyle w:val="a4"/>
        <w:ind w:left="0" w:firstLine="227"/>
        <w:jc w:val="both"/>
        <w:rPr>
          <w:sz w:val="36"/>
          <w:szCs w:val="36"/>
          <w:rtl/>
        </w:rPr>
      </w:pPr>
      <w:r w:rsidRPr="00FD211F">
        <w:rPr>
          <w:sz w:val="36"/>
          <w:szCs w:val="36"/>
          <w:rtl/>
        </w:rPr>
        <w:t>ثم قال</w:t>
      </w:r>
      <w:r w:rsidR="007C7BD6" w:rsidRPr="00FD211F">
        <w:rPr>
          <w:sz w:val="36"/>
          <w:szCs w:val="36"/>
          <w:rtl/>
        </w:rPr>
        <w:t xml:space="preserve"> "قده"</w:t>
      </w:r>
      <w:r w:rsidR="00A61BAE" w:rsidRPr="00FD211F">
        <w:rPr>
          <w:sz w:val="36"/>
          <w:szCs w:val="36"/>
          <w:rtl/>
        </w:rPr>
        <w:t xml:space="preserve"> </w:t>
      </w:r>
      <w:r w:rsidR="00E6638C" w:rsidRPr="00FD211F">
        <w:rPr>
          <w:sz w:val="36"/>
          <w:szCs w:val="36"/>
          <w:rtl/>
        </w:rPr>
        <w:t>ان المحكي في ا</w:t>
      </w:r>
      <w:r w:rsidRPr="00FD211F">
        <w:rPr>
          <w:sz w:val="36"/>
          <w:szCs w:val="36"/>
          <w:rtl/>
        </w:rPr>
        <w:t>لجمل</w:t>
      </w:r>
      <w:r w:rsidR="00EC7EDF" w:rsidRPr="00FD211F">
        <w:rPr>
          <w:sz w:val="36"/>
          <w:szCs w:val="36"/>
          <w:rtl/>
        </w:rPr>
        <w:t xml:space="preserve">ة </w:t>
      </w:r>
      <w:r w:rsidRPr="00FD211F">
        <w:rPr>
          <w:sz w:val="36"/>
          <w:szCs w:val="36"/>
          <w:rtl/>
        </w:rPr>
        <w:t>الوصفي</w:t>
      </w:r>
      <w:r w:rsidR="00EC7EDF" w:rsidRPr="00FD211F">
        <w:rPr>
          <w:sz w:val="36"/>
          <w:szCs w:val="36"/>
          <w:rtl/>
        </w:rPr>
        <w:t xml:space="preserve">ة </w:t>
      </w:r>
      <w:r w:rsidRPr="00FD211F">
        <w:rPr>
          <w:sz w:val="36"/>
          <w:szCs w:val="36"/>
          <w:rtl/>
        </w:rPr>
        <w:t>لايقتضي الوج</w:t>
      </w:r>
      <w:r w:rsidR="00E6638C" w:rsidRPr="00FD211F">
        <w:rPr>
          <w:sz w:val="36"/>
          <w:szCs w:val="36"/>
          <w:rtl/>
        </w:rPr>
        <w:t>ود الخارجي بخلاف الجمل</w:t>
      </w:r>
      <w:r w:rsidR="00EC7EDF" w:rsidRPr="00FD211F">
        <w:rPr>
          <w:sz w:val="36"/>
          <w:szCs w:val="36"/>
          <w:rtl/>
        </w:rPr>
        <w:t xml:space="preserve">ة </w:t>
      </w:r>
      <w:r w:rsidR="00E6638C" w:rsidRPr="00FD211F">
        <w:rPr>
          <w:sz w:val="36"/>
          <w:szCs w:val="36"/>
          <w:rtl/>
        </w:rPr>
        <w:t>الخبري</w:t>
      </w:r>
      <w:r w:rsidR="00EC7EDF" w:rsidRPr="00FD211F">
        <w:rPr>
          <w:sz w:val="36"/>
          <w:szCs w:val="36"/>
          <w:rtl/>
        </w:rPr>
        <w:t xml:space="preserve">ة </w:t>
      </w:r>
      <w:r w:rsidR="001907F8" w:rsidRPr="00FD211F">
        <w:rPr>
          <w:sz w:val="36"/>
          <w:szCs w:val="36"/>
          <w:rtl/>
        </w:rPr>
        <w:t>فقولنا</w:t>
      </w:r>
      <w:r w:rsidR="007C7BD6" w:rsidRPr="00FD211F">
        <w:rPr>
          <w:sz w:val="36"/>
          <w:szCs w:val="36"/>
          <w:rtl/>
        </w:rPr>
        <w:t xml:space="preserve"> </w:t>
      </w:r>
      <w:r w:rsidR="001907F8" w:rsidRPr="00FD211F">
        <w:rPr>
          <w:sz w:val="36"/>
          <w:szCs w:val="36"/>
          <w:rtl/>
        </w:rPr>
        <w:t>"زيد</w:t>
      </w:r>
      <w:r w:rsidR="007C7BD6" w:rsidRPr="00FD211F">
        <w:rPr>
          <w:sz w:val="36"/>
          <w:szCs w:val="36"/>
          <w:rtl/>
        </w:rPr>
        <w:t xml:space="preserve"> </w:t>
      </w:r>
      <w:r w:rsidR="001907F8" w:rsidRPr="00FD211F">
        <w:rPr>
          <w:sz w:val="36"/>
          <w:szCs w:val="36"/>
          <w:rtl/>
        </w:rPr>
        <w:t>قائم"</w:t>
      </w:r>
      <w:r w:rsidR="007C7BD6" w:rsidRPr="00FD211F">
        <w:rPr>
          <w:sz w:val="36"/>
          <w:szCs w:val="36"/>
          <w:rtl/>
        </w:rPr>
        <w:t xml:space="preserve"> </w:t>
      </w:r>
      <w:r w:rsidR="001907F8" w:rsidRPr="00FD211F">
        <w:rPr>
          <w:sz w:val="36"/>
          <w:szCs w:val="36"/>
          <w:rtl/>
        </w:rPr>
        <w:t>يحكي عن النسب</w:t>
      </w:r>
      <w:r w:rsidR="00EC7EDF" w:rsidRPr="00FD211F">
        <w:rPr>
          <w:sz w:val="36"/>
          <w:szCs w:val="36"/>
          <w:rtl/>
        </w:rPr>
        <w:t xml:space="preserve">ة </w:t>
      </w:r>
      <w:r w:rsidR="001907F8" w:rsidRPr="00FD211F">
        <w:rPr>
          <w:sz w:val="36"/>
          <w:szCs w:val="36"/>
          <w:rtl/>
        </w:rPr>
        <w:t>الخارجي</w:t>
      </w:r>
      <w:r w:rsidR="00EC7EDF" w:rsidRPr="00FD211F">
        <w:rPr>
          <w:sz w:val="36"/>
          <w:szCs w:val="36"/>
          <w:rtl/>
        </w:rPr>
        <w:t xml:space="preserve">ة </w:t>
      </w:r>
      <w:r w:rsidR="001907F8" w:rsidRPr="00FD211F">
        <w:rPr>
          <w:sz w:val="36"/>
          <w:szCs w:val="36"/>
          <w:rtl/>
        </w:rPr>
        <w:t>بين زيد</w:t>
      </w:r>
      <w:r w:rsidR="007C7BD6" w:rsidRPr="00FD211F">
        <w:rPr>
          <w:sz w:val="36"/>
          <w:szCs w:val="36"/>
          <w:rtl/>
        </w:rPr>
        <w:t xml:space="preserve"> </w:t>
      </w:r>
      <w:r w:rsidR="001907F8" w:rsidRPr="00FD211F">
        <w:rPr>
          <w:sz w:val="36"/>
          <w:szCs w:val="36"/>
          <w:rtl/>
        </w:rPr>
        <w:t>والقيام بخلاف قولنا</w:t>
      </w:r>
      <w:r w:rsidR="007C7BD6" w:rsidRPr="00FD211F">
        <w:rPr>
          <w:sz w:val="36"/>
          <w:szCs w:val="36"/>
          <w:rtl/>
        </w:rPr>
        <w:t xml:space="preserve"> </w:t>
      </w:r>
      <w:r w:rsidR="001907F8" w:rsidRPr="00FD211F">
        <w:rPr>
          <w:sz w:val="36"/>
          <w:szCs w:val="36"/>
          <w:rtl/>
        </w:rPr>
        <w:t>"زيدالقائم"</w:t>
      </w:r>
      <w:r w:rsidR="00603323" w:rsidRPr="00FD211F">
        <w:rPr>
          <w:sz w:val="36"/>
          <w:szCs w:val="36"/>
          <w:rtl/>
        </w:rPr>
        <w:t xml:space="preserve">، </w:t>
      </w:r>
      <w:r w:rsidRPr="00FD211F">
        <w:rPr>
          <w:sz w:val="36"/>
          <w:szCs w:val="36"/>
          <w:rtl/>
        </w:rPr>
        <w:t>ولذا يقال</w:t>
      </w:r>
      <w:r w:rsidR="003C6F1E" w:rsidRPr="00FD211F">
        <w:rPr>
          <w:sz w:val="36"/>
          <w:szCs w:val="36"/>
          <w:rtl/>
        </w:rPr>
        <w:t>"</w:t>
      </w:r>
      <w:r w:rsidRPr="00FD211F">
        <w:rPr>
          <w:sz w:val="36"/>
          <w:szCs w:val="36"/>
          <w:rtl/>
        </w:rPr>
        <w:t xml:space="preserve"> زيد القائم موجود</w:t>
      </w:r>
      <w:r w:rsidR="003C6F1E" w:rsidRPr="00FD211F">
        <w:rPr>
          <w:sz w:val="36"/>
          <w:szCs w:val="36"/>
          <w:rtl/>
        </w:rPr>
        <w:t>"</w:t>
      </w:r>
      <w:r w:rsidRPr="00FD211F">
        <w:rPr>
          <w:sz w:val="36"/>
          <w:szCs w:val="36"/>
          <w:rtl/>
        </w:rPr>
        <w:t xml:space="preserve"> او</w:t>
      </w:r>
      <w:r w:rsidR="003C6F1E" w:rsidRPr="00FD211F">
        <w:rPr>
          <w:sz w:val="36"/>
          <w:szCs w:val="36"/>
          <w:rtl/>
        </w:rPr>
        <w:t>يقال</w:t>
      </w:r>
      <w:r w:rsidR="007C7BD6" w:rsidRPr="00FD211F">
        <w:rPr>
          <w:sz w:val="36"/>
          <w:szCs w:val="36"/>
          <w:rtl/>
        </w:rPr>
        <w:t xml:space="preserve"> </w:t>
      </w:r>
      <w:r w:rsidR="003C6F1E" w:rsidRPr="00FD211F">
        <w:rPr>
          <w:sz w:val="36"/>
          <w:szCs w:val="36"/>
          <w:rtl/>
        </w:rPr>
        <w:t>"</w:t>
      </w:r>
      <w:r w:rsidRPr="00FD211F">
        <w:rPr>
          <w:sz w:val="36"/>
          <w:szCs w:val="36"/>
          <w:rtl/>
        </w:rPr>
        <w:t>زيد القائم ليس بموجود</w:t>
      </w:r>
      <w:r w:rsidR="003C6F1E" w:rsidRPr="00FD211F">
        <w:rPr>
          <w:sz w:val="36"/>
          <w:szCs w:val="36"/>
          <w:rtl/>
        </w:rPr>
        <w:t>"</w:t>
      </w:r>
      <w:r w:rsidRPr="00FD211F">
        <w:rPr>
          <w:sz w:val="36"/>
          <w:szCs w:val="36"/>
          <w:rtl/>
        </w:rPr>
        <w:t xml:space="preserve"> ولكن لايقال</w:t>
      </w:r>
      <w:r w:rsidR="003C6F1E" w:rsidRPr="00FD211F">
        <w:rPr>
          <w:sz w:val="36"/>
          <w:szCs w:val="36"/>
          <w:rtl/>
        </w:rPr>
        <w:t>"</w:t>
      </w:r>
      <w:r w:rsidRPr="00FD211F">
        <w:rPr>
          <w:sz w:val="36"/>
          <w:szCs w:val="36"/>
          <w:rtl/>
        </w:rPr>
        <w:t xml:space="preserve"> زيد قائم</w:t>
      </w:r>
      <w:r w:rsidR="00603323" w:rsidRPr="00FD211F">
        <w:rPr>
          <w:sz w:val="36"/>
          <w:szCs w:val="36"/>
          <w:rtl/>
        </w:rPr>
        <w:t xml:space="preserve">، </w:t>
      </w:r>
      <w:r w:rsidRPr="00FD211F">
        <w:rPr>
          <w:sz w:val="36"/>
          <w:szCs w:val="36"/>
          <w:rtl/>
        </w:rPr>
        <w:t>موجود</w:t>
      </w:r>
      <w:r w:rsidR="003C6F1E" w:rsidRPr="00FD211F">
        <w:rPr>
          <w:sz w:val="36"/>
          <w:szCs w:val="36"/>
          <w:rtl/>
        </w:rPr>
        <w:t>"</w:t>
      </w:r>
      <w:r w:rsidRPr="00FD211F">
        <w:rPr>
          <w:sz w:val="36"/>
          <w:szCs w:val="36"/>
          <w:rtl/>
        </w:rPr>
        <w:t xml:space="preserve"> او</w:t>
      </w:r>
      <w:r w:rsidR="007C7BD6" w:rsidRPr="00FD211F">
        <w:rPr>
          <w:sz w:val="36"/>
          <w:szCs w:val="36"/>
          <w:rtl/>
        </w:rPr>
        <w:t xml:space="preserve"> </w:t>
      </w:r>
      <w:r w:rsidR="003C6F1E" w:rsidRPr="00FD211F">
        <w:rPr>
          <w:sz w:val="36"/>
          <w:szCs w:val="36"/>
          <w:rtl/>
        </w:rPr>
        <w:t>"زيدقائم</w:t>
      </w:r>
      <w:r w:rsidR="00603323" w:rsidRPr="00FD211F">
        <w:rPr>
          <w:sz w:val="36"/>
          <w:szCs w:val="36"/>
          <w:rtl/>
        </w:rPr>
        <w:t xml:space="preserve">، </w:t>
      </w:r>
      <w:r w:rsidRPr="00FD211F">
        <w:rPr>
          <w:sz w:val="36"/>
          <w:szCs w:val="36"/>
          <w:rtl/>
        </w:rPr>
        <w:t>ليس بموجود</w:t>
      </w:r>
      <w:r w:rsidR="003C6F1E" w:rsidRPr="00FD211F">
        <w:rPr>
          <w:sz w:val="36"/>
          <w:szCs w:val="36"/>
          <w:rtl/>
        </w:rPr>
        <w:t>"</w:t>
      </w:r>
      <w:r w:rsidRPr="00FD211F">
        <w:rPr>
          <w:sz w:val="36"/>
          <w:szCs w:val="36"/>
          <w:rtl/>
        </w:rPr>
        <w:t xml:space="preserve"> نعم يقال</w:t>
      </w:r>
      <w:r w:rsidR="007C7BD6" w:rsidRPr="00FD211F">
        <w:rPr>
          <w:sz w:val="36"/>
          <w:szCs w:val="36"/>
          <w:rtl/>
        </w:rPr>
        <w:t xml:space="preserve"> </w:t>
      </w:r>
      <w:r w:rsidR="003C6F1E" w:rsidRPr="00FD211F">
        <w:rPr>
          <w:sz w:val="36"/>
          <w:szCs w:val="36"/>
          <w:rtl/>
        </w:rPr>
        <w:t>"</w:t>
      </w:r>
      <w:r w:rsidRPr="00FD211F">
        <w:rPr>
          <w:sz w:val="36"/>
          <w:szCs w:val="36"/>
          <w:rtl/>
        </w:rPr>
        <w:t>زيد قائم</w:t>
      </w:r>
      <w:r w:rsidR="00603323" w:rsidRPr="00FD211F">
        <w:rPr>
          <w:sz w:val="36"/>
          <w:szCs w:val="36"/>
          <w:rtl/>
        </w:rPr>
        <w:t xml:space="preserve">، </w:t>
      </w:r>
      <w:r w:rsidRPr="00FD211F">
        <w:rPr>
          <w:sz w:val="36"/>
          <w:szCs w:val="36"/>
          <w:rtl/>
        </w:rPr>
        <w:t xml:space="preserve">مطابق للواقع </w:t>
      </w:r>
      <w:r w:rsidR="003C6F1E" w:rsidRPr="00FD211F">
        <w:rPr>
          <w:sz w:val="36"/>
          <w:szCs w:val="36"/>
          <w:rtl/>
        </w:rPr>
        <w:t>"</w:t>
      </w:r>
      <w:r w:rsidR="007C7BD6" w:rsidRPr="00FD211F">
        <w:rPr>
          <w:sz w:val="36"/>
          <w:szCs w:val="36"/>
          <w:rtl/>
        </w:rPr>
        <w:t xml:space="preserve"> </w:t>
      </w:r>
      <w:r w:rsidRPr="00FD211F">
        <w:rPr>
          <w:sz w:val="36"/>
          <w:szCs w:val="36"/>
          <w:rtl/>
        </w:rPr>
        <w:t>او</w:t>
      </w:r>
      <w:r w:rsidR="007C7BD6" w:rsidRPr="00FD211F">
        <w:rPr>
          <w:sz w:val="36"/>
          <w:szCs w:val="36"/>
          <w:rtl/>
        </w:rPr>
        <w:t xml:space="preserve"> </w:t>
      </w:r>
      <w:r w:rsidR="003C6F1E" w:rsidRPr="00FD211F">
        <w:rPr>
          <w:sz w:val="36"/>
          <w:szCs w:val="36"/>
          <w:rtl/>
        </w:rPr>
        <w:t>"زيدقائم</w:t>
      </w:r>
      <w:r w:rsidR="00603323" w:rsidRPr="00FD211F">
        <w:rPr>
          <w:sz w:val="36"/>
          <w:szCs w:val="36"/>
          <w:rtl/>
        </w:rPr>
        <w:t xml:space="preserve">، </w:t>
      </w:r>
      <w:r w:rsidR="003C6F1E" w:rsidRPr="00FD211F">
        <w:rPr>
          <w:sz w:val="36"/>
          <w:szCs w:val="36"/>
          <w:rtl/>
        </w:rPr>
        <w:t>مخالف للواقع"</w:t>
      </w:r>
      <w:r w:rsidR="00EC7EDF" w:rsidRPr="00FD211F">
        <w:rPr>
          <w:sz w:val="36"/>
          <w:szCs w:val="36"/>
          <w:rtl/>
        </w:rPr>
        <w:t>.</w:t>
      </w:r>
    </w:p>
    <w:p w14:paraId="10977186" w14:textId="77777777" w:rsidR="00E62E35" w:rsidRPr="00FD211F" w:rsidRDefault="00E62E35" w:rsidP="009C58C8">
      <w:pPr>
        <w:pStyle w:val="a4"/>
        <w:ind w:left="0" w:firstLine="227"/>
        <w:jc w:val="both"/>
        <w:rPr>
          <w:sz w:val="36"/>
          <w:szCs w:val="36"/>
          <w:rtl/>
        </w:rPr>
      </w:pPr>
      <w:r w:rsidRPr="00FD211F">
        <w:rPr>
          <w:sz w:val="36"/>
          <w:szCs w:val="36"/>
          <w:rtl/>
        </w:rPr>
        <w:t>ومن ثم يكون مرتب</w:t>
      </w:r>
      <w:r w:rsidR="00EC7EDF" w:rsidRPr="00FD211F">
        <w:rPr>
          <w:sz w:val="36"/>
          <w:szCs w:val="36"/>
          <w:rtl/>
        </w:rPr>
        <w:t xml:space="preserve">ة </w:t>
      </w:r>
      <w:r w:rsidRPr="00FD211F">
        <w:rPr>
          <w:sz w:val="36"/>
          <w:szCs w:val="36"/>
          <w:rtl/>
        </w:rPr>
        <w:t>التقييد في الجمل</w:t>
      </w:r>
      <w:r w:rsidR="00EC7EDF" w:rsidRPr="00FD211F">
        <w:rPr>
          <w:sz w:val="36"/>
          <w:szCs w:val="36"/>
          <w:rtl/>
        </w:rPr>
        <w:t xml:space="preserve">ة </w:t>
      </w:r>
      <w:r w:rsidRPr="00FD211F">
        <w:rPr>
          <w:sz w:val="36"/>
          <w:szCs w:val="36"/>
          <w:rtl/>
        </w:rPr>
        <w:t>الوصفي</w:t>
      </w:r>
      <w:r w:rsidR="00EC7EDF" w:rsidRPr="00FD211F">
        <w:rPr>
          <w:sz w:val="36"/>
          <w:szCs w:val="36"/>
          <w:rtl/>
        </w:rPr>
        <w:t xml:space="preserve">ة </w:t>
      </w:r>
      <w:r w:rsidRPr="00FD211F">
        <w:rPr>
          <w:sz w:val="36"/>
          <w:szCs w:val="36"/>
          <w:rtl/>
        </w:rPr>
        <w:t>هو رتب</w:t>
      </w:r>
      <w:r w:rsidR="00EC7EDF" w:rsidRPr="00FD211F">
        <w:rPr>
          <w:sz w:val="36"/>
          <w:szCs w:val="36"/>
          <w:rtl/>
        </w:rPr>
        <w:t xml:space="preserve">ة </w:t>
      </w:r>
      <w:r w:rsidRPr="00FD211F">
        <w:rPr>
          <w:sz w:val="36"/>
          <w:szCs w:val="36"/>
          <w:rtl/>
        </w:rPr>
        <w:t>ذات الماهي</w:t>
      </w:r>
      <w:r w:rsidR="00EC7EDF" w:rsidRPr="00FD211F">
        <w:rPr>
          <w:sz w:val="36"/>
          <w:szCs w:val="36"/>
          <w:rtl/>
        </w:rPr>
        <w:t xml:space="preserve">ة </w:t>
      </w:r>
      <w:r w:rsidRPr="00FD211F">
        <w:rPr>
          <w:sz w:val="36"/>
          <w:szCs w:val="36"/>
          <w:rtl/>
        </w:rPr>
        <w:t>القابل</w:t>
      </w:r>
      <w:r w:rsidR="00EC7EDF" w:rsidRPr="00FD211F">
        <w:rPr>
          <w:sz w:val="36"/>
          <w:szCs w:val="36"/>
          <w:rtl/>
        </w:rPr>
        <w:t xml:space="preserve">ة </w:t>
      </w:r>
      <w:r w:rsidRPr="00FD211F">
        <w:rPr>
          <w:sz w:val="36"/>
          <w:szCs w:val="36"/>
          <w:rtl/>
        </w:rPr>
        <w:t>للوج</w:t>
      </w:r>
      <w:r w:rsidR="00C40203" w:rsidRPr="00FD211F">
        <w:rPr>
          <w:sz w:val="36"/>
          <w:szCs w:val="36"/>
          <w:rtl/>
        </w:rPr>
        <w:t>ود والعدم واما في الجمل</w:t>
      </w:r>
      <w:r w:rsidR="00EC7EDF" w:rsidRPr="00FD211F">
        <w:rPr>
          <w:sz w:val="36"/>
          <w:szCs w:val="36"/>
          <w:rtl/>
        </w:rPr>
        <w:t xml:space="preserve">ة </w:t>
      </w:r>
      <w:r w:rsidR="00C40203" w:rsidRPr="00FD211F">
        <w:rPr>
          <w:sz w:val="36"/>
          <w:szCs w:val="36"/>
          <w:rtl/>
        </w:rPr>
        <w:t>الخبري</w:t>
      </w:r>
      <w:r w:rsidR="00EC7EDF" w:rsidRPr="00FD211F">
        <w:rPr>
          <w:sz w:val="36"/>
          <w:szCs w:val="36"/>
          <w:rtl/>
        </w:rPr>
        <w:t xml:space="preserve">ة </w:t>
      </w:r>
      <w:r w:rsidRPr="00FD211F">
        <w:rPr>
          <w:sz w:val="36"/>
          <w:szCs w:val="36"/>
          <w:rtl/>
        </w:rPr>
        <w:t>فالتقييد واقع في مرتب</w:t>
      </w:r>
      <w:r w:rsidR="00EC7EDF" w:rsidRPr="00FD211F">
        <w:rPr>
          <w:sz w:val="36"/>
          <w:szCs w:val="36"/>
          <w:rtl/>
        </w:rPr>
        <w:t xml:space="preserve">ة </w:t>
      </w:r>
      <w:r w:rsidRPr="00FD211F">
        <w:rPr>
          <w:sz w:val="36"/>
          <w:szCs w:val="36"/>
          <w:rtl/>
        </w:rPr>
        <w:t>وجود الماهي</w:t>
      </w:r>
      <w:r w:rsidR="00EC7EDF" w:rsidRPr="00FD211F">
        <w:rPr>
          <w:sz w:val="36"/>
          <w:szCs w:val="36"/>
          <w:rtl/>
        </w:rPr>
        <w:t xml:space="preserve">ة </w:t>
      </w:r>
      <w:r w:rsidRPr="00FD211F">
        <w:rPr>
          <w:sz w:val="36"/>
          <w:szCs w:val="36"/>
          <w:rtl/>
        </w:rPr>
        <w:t xml:space="preserve">كقولنا </w:t>
      </w:r>
      <w:r w:rsidR="00530ADC" w:rsidRPr="00FD211F">
        <w:rPr>
          <w:sz w:val="36"/>
          <w:szCs w:val="36"/>
          <w:rtl/>
        </w:rPr>
        <w:t>"</w:t>
      </w:r>
      <w:r w:rsidRPr="00FD211F">
        <w:rPr>
          <w:sz w:val="36"/>
          <w:szCs w:val="36"/>
          <w:rtl/>
        </w:rPr>
        <w:t>اذا كانت المرأ</w:t>
      </w:r>
      <w:r w:rsidR="00EC7EDF" w:rsidRPr="00FD211F">
        <w:rPr>
          <w:sz w:val="36"/>
          <w:szCs w:val="36"/>
          <w:rtl/>
        </w:rPr>
        <w:t xml:space="preserve">ة </w:t>
      </w:r>
      <w:r w:rsidRPr="00FD211F">
        <w:rPr>
          <w:sz w:val="36"/>
          <w:szCs w:val="36"/>
          <w:rtl/>
        </w:rPr>
        <w:t>قرشي</w:t>
      </w:r>
      <w:r w:rsidR="00EC7EDF" w:rsidRPr="00FD211F">
        <w:rPr>
          <w:sz w:val="36"/>
          <w:szCs w:val="36"/>
          <w:rtl/>
        </w:rPr>
        <w:t xml:space="preserve">ة </w:t>
      </w:r>
      <w:r w:rsidRPr="00FD211F">
        <w:rPr>
          <w:sz w:val="36"/>
          <w:szCs w:val="36"/>
          <w:rtl/>
        </w:rPr>
        <w:t>فهي تحيض الى ستين سن</w:t>
      </w:r>
      <w:r w:rsidR="00EC7EDF" w:rsidRPr="00FD211F">
        <w:rPr>
          <w:sz w:val="36"/>
          <w:szCs w:val="36"/>
          <w:rtl/>
        </w:rPr>
        <w:t>ة</w:t>
      </w:r>
      <w:r w:rsidR="00530ADC" w:rsidRPr="00FD211F">
        <w:rPr>
          <w:sz w:val="36"/>
          <w:szCs w:val="36"/>
          <w:rtl/>
        </w:rPr>
        <w:t>"</w:t>
      </w:r>
      <w:r w:rsidR="00603323" w:rsidRPr="00FD211F">
        <w:rPr>
          <w:sz w:val="36"/>
          <w:szCs w:val="36"/>
          <w:rtl/>
        </w:rPr>
        <w:t xml:space="preserve">، </w:t>
      </w:r>
      <w:r w:rsidRPr="00FD211F">
        <w:rPr>
          <w:sz w:val="36"/>
          <w:szCs w:val="36"/>
          <w:rtl/>
        </w:rPr>
        <w:t>ولازم ذلك انه يكون نقيض القرشي</w:t>
      </w:r>
      <w:r w:rsidR="00EC7EDF" w:rsidRPr="00FD211F">
        <w:rPr>
          <w:sz w:val="36"/>
          <w:szCs w:val="36"/>
          <w:rtl/>
        </w:rPr>
        <w:t xml:space="preserve">ة </w:t>
      </w:r>
      <w:r w:rsidRPr="00FD211F">
        <w:rPr>
          <w:sz w:val="36"/>
          <w:szCs w:val="36"/>
          <w:rtl/>
        </w:rPr>
        <w:t>الواقع</w:t>
      </w:r>
      <w:r w:rsidR="00EC7EDF" w:rsidRPr="00FD211F">
        <w:rPr>
          <w:sz w:val="36"/>
          <w:szCs w:val="36"/>
          <w:rtl/>
        </w:rPr>
        <w:t xml:space="preserve">ة </w:t>
      </w:r>
      <w:r w:rsidRPr="00FD211F">
        <w:rPr>
          <w:sz w:val="36"/>
          <w:szCs w:val="36"/>
          <w:rtl/>
        </w:rPr>
        <w:t>في مرتب</w:t>
      </w:r>
      <w:r w:rsidR="00EC7EDF" w:rsidRPr="00FD211F">
        <w:rPr>
          <w:sz w:val="36"/>
          <w:szCs w:val="36"/>
          <w:rtl/>
        </w:rPr>
        <w:t xml:space="preserve">ة </w:t>
      </w:r>
      <w:r w:rsidRPr="00FD211F">
        <w:rPr>
          <w:sz w:val="36"/>
          <w:szCs w:val="36"/>
          <w:rtl/>
        </w:rPr>
        <w:t>وجود المرأ</w:t>
      </w:r>
      <w:r w:rsidR="00EC7EDF" w:rsidRPr="00FD211F">
        <w:rPr>
          <w:sz w:val="36"/>
          <w:szCs w:val="36"/>
          <w:rtl/>
        </w:rPr>
        <w:t>ة</w:t>
      </w:r>
      <w:r w:rsidR="00603323" w:rsidRPr="00FD211F">
        <w:rPr>
          <w:sz w:val="36"/>
          <w:szCs w:val="36"/>
          <w:rtl/>
        </w:rPr>
        <w:t xml:space="preserve">، </w:t>
      </w:r>
      <w:r w:rsidRPr="00FD211F">
        <w:rPr>
          <w:sz w:val="36"/>
          <w:szCs w:val="36"/>
          <w:rtl/>
        </w:rPr>
        <w:t>عدم القرشي</w:t>
      </w:r>
      <w:r w:rsidR="00EC7EDF" w:rsidRPr="00FD211F">
        <w:rPr>
          <w:sz w:val="36"/>
          <w:szCs w:val="36"/>
          <w:rtl/>
        </w:rPr>
        <w:t xml:space="preserve">ة </w:t>
      </w:r>
      <w:r w:rsidRPr="00FD211F">
        <w:rPr>
          <w:sz w:val="36"/>
          <w:szCs w:val="36"/>
          <w:rtl/>
        </w:rPr>
        <w:t>في مرتب</w:t>
      </w:r>
      <w:r w:rsidR="00EC7EDF" w:rsidRPr="00FD211F">
        <w:rPr>
          <w:sz w:val="36"/>
          <w:szCs w:val="36"/>
          <w:rtl/>
        </w:rPr>
        <w:t xml:space="preserve">ة </w:t>
      </w:r>
      <w:r w:rsidRPr="00FD211F">
        <w:rPr>
          <w:sz w:val="36"/>
          <w:szCs w:val="36"/>
          <w:rtl/>
        </w:rPr>
        <w:t>وجود المرأ</w:t>
      </w:r>
      <w:r w:rsidR="00EC7EDF" w:rsidRPr="00FD211F">
        <w:rPr>
          <w:sz w:val="36"/>
          <w:szCs w:val="36"/>
          <w:rtl/>
        </w:rPr>
        <w:t xml:space="preserve">ة </w:t>
      </w:r>
      <w:r w:rsidRPr="00FD211F">
        <w:rPr>
          <w:sz w:val="36"/>
          <w:szCs w:val="36"/>
          <w:rtl/>
        </w:rPr>
        <w:t>أيضا</w:t>
      </w:r>
      <w:r w:rsidR="00603323" w:rsidRPr="00FD211F">
        <w:rPr>
          <w:sz w:val="36"/>
          <w:szCs w:val="36"/>
          <w:rtl/>
        </w:rPr>
        <w:t xml:space="preserve">، </w:t>
      </w:r>
      <w:r w:rsidRPr="00FD211F">
        <w:rPr>
          <w:sz w:val="36"/>
          <w:szCs w:val="36"/>
          <w:rtl/>
        </w:rPr>
        <w:t>للزوم كون النقيضين في مرتب</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003C6F1E" w:rsidRPr="00FD211F">
        <w:rPr>
          <w:sz w:val="36"/>
          <w:szCs w:val="36"/>
          <w:rtl/>
        </w:rPr>
        <w:t>والالزم ارتفاع النقيضين عن المرتب</w:t>
      </w:r>
      <w:r w:rsidR="00EC7EDF" w:rsidRPr="00FD211F">
        <w:rPr>
          <w:sz w:val="36"/>
          <w:szCs w:val="36"/>
          <w:rtl/>
        </w:rPr>
        <w:t xml:space="preserve">ة </w:t>
      </w:r>
      <w:r w:rsidR="003C6F1E" w:rsidRPr="00FD211F">
        <w:rPr>
          <w:sz w:val="36"/>
          <w:szCs w:val="36"/>
          <w:rtl/>
        </w:rPr>
        <w:t>وهومحال</w:t>
      </w:r>
      <w:r w:rsidR="00603323" w:rsidRPr="00FD211F">
        <w:rPr>
          <w:sz w:val="36"/>
          <w:szCs w:val="36"/>
          <w:rtl/>
        </w:rPr>
        <w:t xml:space="preserve">، </w:t>
      </w:r>
      <w:r w:rsidRPr="00FD211F">
        <w:rPr>
          <w:sz w:val="36"/>
          <w:szCs w:val="36"/>
          <w:rtl/>
        </w:rPr>
        <w:t>وحينئذ فاستصحاب عدم القرشي</w:t>
      </w:r>
      <w:r w:rsidR="00EC7EDF" w:rsidRPr="00FD211F">
        <w:rPr>
          <w:sz w:val="36"/>
          <w:szCs w:val="36"/>
          <w:rtl/>
        </w:rPr>
        <w:t xml:space="preserve">ة </w:t>
      </w:r>
      <w:r w:rsidRPr="00FD211F">
        <w:rPr>
          <w:sz w:val="36"/>
          <w:szCs w:val="36"/>
          <w:rtl/>
        </w:rPr>
        <w:t>قبل مرتب</w:t>
      </w:r>
      <w:r w:rsidR="00EC7EDF" w:rsidRPr="00FD211F">
        <w:rPr>
          <w:sz w:val="36"/>
          <w:szCs w:val="36"/>
          <w:rtl/>
        </w:rPr>
        <w:t xml:space="preserve">ة </w:t>
      </w:r>
      <w:r w:rsidRPr="00FD211F">
        <w:rPr>
          <w:sz w:val="36"/>
          <w:szCs w:val="36"/>
          <w:rtl/>
        </w:rPr>
        <w:t>وجود المرأ</w:t>
      </w:r>
      <w:r w:rsidR="00EC7EDF" w:rsidRPr="00FD211F">
        <w:rPr>
          <w:sz w:val="36"/>
          <w:szCs w:val="36"/>
          <w:rtl/>
        </w:rPr>
        <w:t xml:space="preserve">ة </w:t>
      </w:r>
      <w:r w:rsidRPr="00FD211F">
        <w:rPr>
          <w:sz w:val="36"/>
          <w:szCs w:val="36"/>
          <w:rtl/>
        </w:rPr>
        <w:t>بنحو العدم الأزلي لايجدي لإثبات عدم قرشيتها في مرتب</w:t>
      </w:r>
      <w:r w:rsidR="00EC7EDF" w:rsidRPr="00FD211F">
        <w:rPr>
          <w:sz w:val="36"/>
          <w:szCs w:val="36"/>
          <w:rtl/>
        </w:rPr>
        <w:t xml:space="preserve">ة </w:t>
      </w:r>
      <w:r w:rsidRPr="00FD211F">
        <w:rPr>
          <w:sz w:val="36"/>
          <w:szCs w:val="36"/>
          <w:rtl/>
        </w:rPr>
        <w:t>وجودها</w:t>
      </w:r>
      <w:r w:rsidR="00603323" w:rsidRPr="00FD211F">
        <w:rPr>
          <w:sz w:val="36"/>
          <w:szCs w:val="36"/>
          <w:rtl/>
        </w:rPr>
        <w:t xml:space="preserve">، </w:t>
      </w:r>
      <w:r w:rsidRPr="00FD211F">
        <w:rPr>
          <w:sz w:val="36"/>
          <w:szCs w:val="36"/>
          <w:rtl/>
        </w:rPr>
        <w:t>لانه يكون من الاصل المثبت فلايجري استصحاب العدم الأزلي في قوله: اذا كانت المرأ</w:t>
      </w:r>
      <w:r w:rsidR="00EC7EDF" w:rsidRPr="00FD211F">
        <w:rPr>
          <w:sz w:val="36"/>
          <w:szCs w:val="36"/>
          <w:rtl/>
        </w:rPr>
        <w:t xml:space="preserve">ة </w:t>
      </w:r>
      <w:r w:rsidRPr="00FD211F">
        <w:rPr>
          <w:sz w:val="36"/>
          <w:szCs w:val="36"/>
          <w:rtl/>
        </w:rPr>
        <w:t>قرشي</w:t>
      </w:r>
      <w:r w:rsidR="00EC7EDF" w:rsidRPr="00FD211F">
        <w:rPr>
          <w:sz w:val="36"/>
          <w:szCs w:val="36"/>
          <w:rtl/>
        </w:rPr>
        <w:t xml:space="preserve">ة </w:t>
      </w:r>
      <w:r w:rsidRPr="00FD211F">
        <w:rPr>
          <w:sz w:val="36"/>
          <w:szCs w:val="36"/>
          <w:rtl/>
        </w:rPr>
        <w:t>فهي تحيض الى ستين سن</w:t>
      </w:r>
      <w:r w:rsidR="00EC7EDF" w:rsidRPr="00FD211F">
        <w:rPr>
          <w:sz w:val="36"/>
          <w:szCs w:val="36"/>
          <w:rtl/>
        </w:rPr>
        <w:t xml:space="preserve">ة </w:t>
      </w:r>
      <w:r w:rsidRPr="00FD211F">
        <w:rPr>
          <w:sz w:val="36"/>
          <w:szCs w:val="36"/>
          <w:rtl/>
        </w:rPr>
        <w:t>بخلاف ما لو قال اذا وجدت المرأ</w:t>
      </w:r>
      <w:r w:rsidR="00EC7EDF" w:rsidRPr="00FD211F">
        <w:rPr>
          <w:sz w:val="36"/>
          <w:szCs w:val="36"/>
          <w:rtl/>
        </w:rPr>
        <w:t xml:space="preserve">ة </w:t>
      </w:r>
      <w:r w:rsidRPr="00FD211F">
        <w:rPr>
          <w:sz w:val="36"/>
          <w:szCs w:val="36"/>
          <w:rtl/>
        </w:rPr>
        <w:t>القرشي</w:t>
      </w:r>
      <w:r w:rsidR="00EC7EDF" w:rsidRPr="00FD211F">
        <w:rPr>
          <w:sz w:val="36"/>
          <w:szCs w:val="36"/>
          <w:rtl/>
        </w:rPr>
        <w:t xml:space="preserve">ة </w:t>
      </w:r>
      <w:r w:rsidRPr="00FD211F">
        <w:rPr>
          <w:sz w:val="36"/>
          <w:szCs w:val="36"/>
          <w:rtl/>
        </w:rPr>
        <w:t>فهي تحيض الى ستين سن</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80"/>
      </w:r>
      <w:r w:rsidR="009C58C8" w:rsidRPr="00FD211F">
        <w:rPr>
          <w:rStyle w:val="a6"/>
          <w:sz w:val="36"/>
          <w:szCs w:val="36"/>
          <w:rtl/>
        </w:rPr>
        <w:t>)</w:t>
      </w:r>
      <w:r w:rsidRPr="00FD211F">
        <w:rPr>
          <w:sz w:val="36"/>
          <w:szCs w:val="36"/>
          <w:rtl/>
        </w:rPr>
        <w:t>.</w:t>
      </w:r>
    </w:p>
    <w:p w14:paraId="1CEAEBA3" w14:textId="77777777" w:rsidR="000C5BBA" w:rsidRPr="00FD211F" w:rsidRDefault="00E62E35" w:rsidP="009C58C8">
      <w:pPr>
        <w:pStyle w:val="a4"/>
        <w:ind w:left="0" w:firstLine="227"/>
        <w:jc w:val="both"/>
        <w:rPr>
          <w:sz w:val="36"/>
          <w:szCs w:val="36"/>
          <w:rtl/>
        </w:rPr>
      </w:pPr>
      <w:r w:rsidRPr="00FD211F">
        <w:rPr>
          <w:sz w:val="36"/>
          <w:szCs w:val="36"/>
          <w:rtl/>
        </w:rPr>
        <w:t>واورد عليه في البحوث بانه لو اراد من كون مدلول الجمل</w:t>
      </w:r>
      <w:r w:rsidR="00EC7EDF" w:rsidRPr="00FD211F">
        <w:rPr>
          <w:sz w:val="36"/>
          <w:szCs w:val="36"/>
          <w:rtl/>
        </w:rPr>
        <w:t xml:space="preserve">ة </w:t>
      </w:r>
      <w:r w:rsidRPr="00FD211F">
        <w:rPr>
          <w:sz w:val="36"/>
          <w:szCs w:val="36"/>
          <w:rtl/>
        </w:rPr>
        <w:t>الوصفي</w:t>
      </w:r>
      <w:r w:rsidR="00EC7EDF" w:rsidRPr="00FD211F">
        <w:rPr>
          <w:sz w:val="36"/>
          <w:szCs w:val="36"/>
          <w:rtl/>
        </w:rPr>
        <w:t xml:space="preserve">ة </w:t>
      </w:r>
      <w:r w:rsidRPr="00FD211F">
        <w:rPr>
          <w:sz w:val="36"/>
          <w:szCs w:val="36"/>
          <w:rtl/>
        </w:rPr>
        <w:t>هو ال</w:t>
      </w:r>
      <w:r w:rsidR="005A36FA" w:rsidRPr="00FD211F">
        <w:rPr>
          <w:sz w:val="36"/>
          <w:szCs w:val="36"/>
          <w:rtl/>
        </w:rPr>
        <w:t>نسب</w:t>
      </w:r>
      <w:r w:rsidR="00EC7EDF" w:rsidRPr="00FD211F">
        <w:rPr>
          <w:sz w:val="36"/>
          <w:szCs w:val="36"/>
          <w:rtl/>
        </w:rPr>
        <w:t xml:space="preserve">ة </w:t>
      </w:r>
      <w:r w:rsidR="005A36FA" w:rsidRPr="00FD211F">
        <w:rPr>
          <w:sz w:val="36"/>
          <w:szCs w:val="36"/>
          <w:rtl/>
        </w:rPr>
        <w:t>الثابت</w:t>
      </w:r>
      <w:r w:rsidR="00EC7EDF" w:rsidRPr="00FD211F">
        <w:rPr>
          <w:sz w:val="36"/>
          <w:szCs w:val="36"/>
          <w:rtl/>
        </w:rPr>
        <w:t xml:space="preserve">ة </w:t>
      </w:r>
      <w:r w:rsidR="005A36FA" w:rsidRPr="00FD211F">
        <w:rPr>
          <w:sz w:val="36"/>
          <w:szCs w:val="36"/>
          <w:rtl/>
        </w:rPr>
        <w:t>ومدلول الجمل</w:t>
      </w:r>
      <w:r w:rsidR="00EC7EDF" w:rsidRPr="00FD211F">
        <w:rPr>
          <w:sz w:val="36"/>
          <w:szCs w:val="36"/>
          <w:rtl/>
        </w:rPr>
        <w:t xml:space="preserve">ة </w:t>
      </w:r>
      <w:r w:rsidR="005A36FA" w:rsidRPr="00FD211F">
        <w:rPr>
          <w:sz w:val="36"/>
          <w:szCs w:val="36"/>
          <w:rtl/>
        </w:rPr>
        <w:t>الخبر</w:t>
      </w:r>
      <w:r w:rsidRPr="00FD211F">
        <w:rPr>
          <w:sz w:val="36"/>
          <w:szCs w:val="36"/>
          <w:rtl/>
        </w:rPr>
        <w:t>ي</w:t>
      </w:r>
      <w:r w:rsidR="00EC7EDF" w:rsidRPr="00FD211F">
        <w:rPr>
          <w:sz w:val="36"/>
          <w:szCs w:val="36"/>
          <w:rtl/>
        </w:rPr>
        <w:t xml:space="preserve">ة </w:t>
      </w:r>
      <w:r w:rsidRPr="00FD211F">
        <w:rPr>
          <w:sz w:val="36"/>
          <w:szCs w:val="36"/>
          <w:rtl/>
        </w:rPr>
        <w:t>هو ايقاع النسب</w:t>
      </w:r>
      <w:r w:rsidR="00EC7EDF" w:rsidRPr="00FD211F">
        <w:rPr>
          <w:sz w:val="36"/>
          <w:szCs w:val="36"/>
          <w:rtl/>
        </w:rPr>
        <w:t>ة</w:t>
      </w:r>
      <w:r w:rsidR="00603323" w:rsidRPr="00FD211F">
        <w:rPr>
          <w:sz w:val="36"/>
          <w:szCs w:val="36"/>
          <w:rtl/>
        </w:rPr>
        <w:t xml:space="preserve">، </w:t>
      </w:r>
      <w:r w:rsidRPr="00FD211F">
        <w:rPr>
          <w:sz w:val="36"/>
          <w:szCs w:val="36"/>
          <w:rtl/>
        </w:rPr>
        <w:t>كون النسب</w:t>
      </w:r>
      <w:r w:rsidR="00EC7EDF" w:rsidRPr="00FD211F">
        <w:rPr>
          <w:sz w:val="36"/>
          <w:szCs w:val="36"/>
          <w:rtl/>
        </w:rPr>
        <w:t xml:space="preserve">ة </w:t>
      </w:r>
      <w:r w:rsidRPr="00FD211F">
        <w:rPr>
          <w:sz w:val="36"/>
          <w:szCs w:val="36"/>
          <w:rtl/>
        </w:rPr>
        <w:t>في الاولى تحليلي</w:t>
      </w:r>
      <w:r w:rsidR="00EC7EDF" w:rsidRPr="00FD211F">
        <w:rPr>
          <w:sz w:val="36"/>
          <w:szCs w:val="36"/>
          <w:rtl/>
        </w:rPr>
        <w:t xml:space="preserve">ة </w:t>
      </w:r>
      <w:r w:rsidRPr="00FD211F">
        <w:rPr>
          <w:sz w:val="36"/>
          <w:szCs w:val="36"/>
          <w:rtl/>
        </w:rPr>
        <w:t>وفي الثاني</w:t>
      </w:r>
      <w:r w:rsidR="00EC7EDF" w:rsidRPr="00FD211F">
        <w:rPr>
          <w:sz w:val="36"/>
          <w:szCs w:val="36"/>
          <w:rtl/>
        </w:rPr>
        <w:t xml:space="preserve">ة </w:t>
      </w:r>
      <w:r w:rsidRPr="00FD211F">
        <w:rPr>
          <w:sz w:val="36"/>
          <w:szCs w:val="36"/>
          <w:rtl/>
        </w:rPr>
        <w:t>واقعي</w:t>
      </w:r>
      <w:r w:rsidR="00EC7EDF" w:rsidRPr="00FD211F">
        <w:rPr>
          <w:sz w:val="36"/>
          <w:szCs w:val="36"/>
          <w:rtl/>
        </w:rPr>
        <w:t xml:space="preserve">ة </w:t>
      </w:r>
      <w:r w:rsidR="005A36FA" w:rsidRPr="00FD211F">
        <w:rPr>
          <w:sz w:val="36"/>
          <w:szCs w:val="36"/>
          <w:rtl/>
        </w:rPr>
        <w:t>–كماسيأتي توضيحه -</w:t>
      </w:r>
      <w:r w:rsidRPr="00FD211F">
        <w:rPr>
          <w:sz w:val="36"/>
          <w:szCs w:val="36"/>
          <w:rtl/>
        </w:rPr>
        <w:t>فهو متين</w:t>
      </w:r>
      <w:r w:rsidR="00603323" w:rsidRPr="00FD211F">
        <w:rPr>
          <w:sz w:val="36"/>
          <w:szCs w:val="36"/>
          <w:rtl/>
        </w:rPr>
        <w:t xml:space="preserve">، </w:t>
      </w:r>
      <w:r w:rsidRPr="00FD211F">
        <w:rPr>
          <w:sz w:val="36"/>
          <w:szCs w:val="36"/>
          <w:rtl/>
        </w:rPr>
        <w:t>ولكنه لايناسبه التعبير بدلال</w:t>
      </w:r>
      <w:r w:rsidR="00EC7EDF" w:rsidRPr="00FD211F">
        <w:rPr>
          <w:sz w:val="36"/>
          <w:szCs w:val="36"/>
          <w:rtl/>
        </w:rPr>
        <w:t xml:space="preserve">ة </w:t>
      </w:r>
      <w:r w:rsidRPr="00FD211F">
        <w:rPr>
          <w:sz w:val="36"/>
          <w:szCs w:val="36"/>
          <w:rtl/>
        </w:rPr>
        <w:t>الأولى على نسب</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ثابت</w:t>
      </w:r>
      <w:r w:rsidR="00EC7EDF" w:rsidRPr="00FD211F">
        <w:rPr>
          <w:sz w:val="36"/>
          <w:szCs w:val="36"/>
          <w:rtl/>
        </w:rPr>
        <w:t xml:space="preserve">ة </w:t>
      </w:r>
      <w:r w:rsidRPr="00FD211F">
        <w:rPr>
          <w:sz w:val="36"/>
          <w:szCs w:val="36"/>
          <w:rtl/>
        </w:rPr>
        <w:t>ودلال</w:t>
      </w:r>
      <w:r w:rsidR="00EC7EDF" w:rsidRPr="00FD211F">
        <w:rPr>
          <w:sz w:val="36"/>
          <w:szCs w:val="36"/>
          <w:rtl/>
        </w:rPr>
        <w:t xml:space="preserve">ة </w:t>
      </w:r>
      <w:r w:rsidRPr="00FD211F">
        <w:rPr>
          <w:sz w:val="36"/>
          <w:szCs w:val="36"/>
          <w:rtl/>
        </w:rPr>
        <w:t>الثاني</w:t>
      </w:r>
      <w:r w:rsidR="00EC7EDF" w:rsidRPr="00FD211F">
        <w:rPr>
          <w:sz w:val="36"/>
          <w:szCs w:val="36"/>
          <w:rtl/>
        </w:rPr>
        <w:t xml:space="preserve">ة </w:t>
      </w:r>
      <w:r w:rsidRPr="00FD211F">
        <w:rPr>
          <w:sz w:val="36"/>
          <w:szCs w:val="36"/>
          <w:rtl/>
        </w:rPr>
        <w:t>على اثبات النسب</w:t>
      </w:r>
      <w:r w:rsidR="00EC7EDF" w:rsidRPr="00FD211F">
        <w:rPr>
          <w:sz w:val="36"/>
          <w:szCs w:val="36"/>
          <w:rtl/>
        </w:rPr>
        <w:t xml:space="preserve">ة </w:t>
      </w:r>
      <w:r w:rsidRPr="00FD211F">
        <w:rPr>
          <w:sz w:val="36"/>
          <w:szCs w:val="36"/>
          <w:rtl/>
        </w:rPr>
        <w:t>وايقاعها</w:t>
      </w:r>
      <w:r w:rsidR="00603323" w:rsidRPr="00FD211F">
        <w:rPr>
          <w:sz w:val="36"/>
          <w:szCs w:val="36"/>
          <w:rtl/>
        </w:rPr>
        <w:t xml:space="preserve">، </w:t>
      </w:r>
      <w:r w:rsidRPr="00FD211F">
        <w:rPr>
          <w:sz w:val="36"/>
          <w:szCs w:val="36"/>
          <w:rtl/>
        </w:rPr>
        <w:t>فانه لو فرض اشتمال الجمل</w:t>
      </w:r>
      <w:r w:rsidR="00EC7EDF" w:rsidRPr="00FD211F">
        <w:rPr>
          <w:sz w:val="36"/>
          <w:szCs w:val="36"/>
          <w:rtl/>
        </w:rPr>
        <w:t xml:space="preserve">ة </w:t>
      </w:r>
      <w:r w:rsidRPr="00FD211F">
        <w:rPr>
          <w:sz w:val="36"/>
          <w:szCs w:val="36"/>
          <w:rtl/>
        </w:rPr>
        <w:t>على واقع النسب</w:t>
      </w:r>
      <w:r w:rsidR="00EC7EDF" w:rsidRPr="00FD211F">
        <w:rPr>
          <w:sz w:val="36"/>
          <w:szCs w:val="36"/>
          <w:rtl/>
        </w:rPr>
        <w:t xml:space="preserve">ة </w:t>
      </w:r>
      <w:r w:rsidRPr="00FD211F">
        <w:rPr>
          <w:sz w:val="36"/>
          <w:szCs w:val="36"/>
          <w:rtl/>
        </w:rPr>
        <w:t>فلامحيص من صيرورتها جمل</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بعد الإتيان بطرفيها</w:t>
      </w:r>
      <w:r w:rsidR="00603323" w:rsidRPr="00FD211F">
        <w:rPr>
          <w:sz w:val="36"/>
          <w:szCs w:val="36"/>
          <w:rtl/>
        </w:rPr>
        <w:t xml:space="preserve">، </w:t>
      </w:r>
      <w:r w:rsidRPr="00FD211F">
        <w:rPr>
          <w:sz w:val="36"/>
          <w:szCs w:val="36"/>
          <w:rtl/>
        </w:rPr>
        <w:t>ولايختلف في ذلك كون المحكي ف</w:t>
      </w:r>
      <w:r w:rsidR="001907F8" w:rsidRPr="00FD211F">
        <w:rPr>
          <w:sz w:val="36"/>
          <w:szCs w:val="36"/>
          <w:rtl/>
        </w:rPr>
        <w:t>يها وجود النسب</w:t>
      </w:r>
      <w:r w:rsidR="00EC7EDF" w:rsidRPr="00FD211F">
        <w:rPr>
          <w:sz w:val="36"/>
          <w:szCs w:val="36"/>
          <w:rtl/>
        </w:rPr>
        <w:t xml:space="preserve">ة </w:t>
      </w:r>
      <w:r w:rsidR="001907F8" w:rsidRPr="00FD211F">
        <w:rPr>
          <w:sz w:val="36"/>
          <w:szCs w:val="36"/>
          <w:rtl/>
        </w:rPr>
        <w:t>او ايجاد النسب</w:t>
      </w:r>
      <w:r w:rsidR="00EC7EDF" w:rsidRPr="00FD211F">
        <w:rPr>
          <w:sz w:val="36"/>
          <w:szCs w:val="36"/>
          <w:rtl/>
        </w:rPr>
        <w:t>ة</w:t>
      </w:r>
      <w:r w:rsidR="00A61BAE" w:rsidRPr="00FD211F">
        <w:rPr>
          <w:sz w:val="36"/>
          <w:szCs w:val="36"/>
          <w:rtl/>
        </w:rPr>
        <w:t>.</w:t>
      </w:r>
    </w:p>
    <w:p w14:paraId="7B5E8A67" w14:textId="77777777" w:rsidR="00E62E35" w:rsidRPr="00FD211F" w:rsidRDefault="00E62E35" w:rsidP="009C58C8">
      <w:pPr>
        <w:pStyle w:val="a4"/>
        <w:ind w:left="0" w:firstLine="227"/>
        <w:jc w:val="both"/>
        <w:rPr>
          <w:sz w:val="36"/>
          <w:szCs w:val="36"/>
          <w:rtl/>
        </w:rPr>
      </w:pPr>
      <w:r w:rsidRPr="00FD211F">
        <w:rPr>
          <w:sz w:val="36"/>
          <w:szCs w:val="36"/>
          <w:rtl/>
        </w:rPr>
        <w:t xml:space="preserve">وان اراد </w:t>
      </w:r>
      <w:r w:rsidR="00B609B8" w:rsidRPr="00FD211F">
        <w:rPr>
          <w:sz w:val="36"/>
          <w:szCs w:val="36"/>
          <w:rtl/>
        </w:rPr>
        <w:t>من وقوع النسب</w:t>
      </w:r>
      <w:r w:rsidR="00EC7EDF" w:rsidRPr="00FD211F">
        <w:rPr>
          <w:sz w:val="36"/>
          <w:szCs w:val="36"/>
          <w:rtl/>
        </w:rPr>
        <w:t xml:space="preserve">ة </w:t>
      </w:r>
      <w:r w:rsidR="00B609B8" w:rsidRPr="00FD211F">
        <w:rPr>
          <w:sz w:val="36"/>
          <w:szCs w:val="36"/>
          <w:rtl/>
        </w:rPr>
        <w:t>هو وجودها</w:t>
      </w:r>
      <w:r w:rsidR="00B253CE" w:rsidRPr="00FD211F">
        <w:rPr>
          <w:sz w:val="36"/>
          <w:szCs w:val="36"/>
          <w:rtl/>
        </w:rPr>
        <w:t xml:space="preserve"> </w:t>
      </w:r>
      <w:r w:rsidRPr="00FD211F">
        <w:rPr>
          <w:sz w:val="36"/>
          <w:szCs w:val="36"/>
          <w:rtl/>
        </w:rPr>
        <w:t>في الذهن ومن ايقاعها هو ايجادها في الذهن</w:t>
      </w:r>
      <w:r w:rsidR="00603323" w:rsidRPr="00FD211F">
        <w:rPr>
          <w:sz w:val="36"/>
          <w:szCs w:val="36"/>
          <w:rtl/>
        </w:rPr>
        <w:t xml:space="preserve">، </w:t>
      </w:r>
      <w:r w:rsidRPr="00FD211F">
        <w:rPr>
          <w:sz w:val="36"/>
          <w:szCs w:val="36"/>
          <w:rtl/>
        </w:rPr>
        <w:t>ف</w:t>
      </w:r>
      <w:r w:rsidR="001907F8" w:rsidRPr="00FD211F">
        <w:rPr>
          <w:sz w:val="36"/>
          <w:szCs w:val="36"/>
          <w:rtl/>
        </w:rPr>
        <w:t>يدعي هو أن الجمل</w:t>
      </w:r>
      <w:r w:rsidR="00EC7EDF" w:rsidRPr="00FD211F">
        <w:rPr>
          <w:sz w:val="36"/>
          <w:szCs w:val="36"/>
          <w:rtl/>
        </w:rPr>
        <w:t xml:space="preserve">ة </w:t>
      </w:r>
      <w:r w:rsidRPr="00FD211F">
        <w:rPr>
          <w:sz w:val="36"/>
          <w:szCs w:val="36"/>
          <w:rtl/>
        </w:rPr>
        <w:t>الوصفي</w:t>
      </w:r>
      <w:r w:rsidR="00EC7EDF" w:rsidRPr="00FD211F">
        <w:rPr>
          <w:sz w:val="36"/>
          <w:szCs w:val="36"/>
          <w:rtl/>
        </w:rPr>
        <w:t xml:space="preserve">ة </w:t>
      </w:r>
      <w:r w:rsidRPr="00FD211F">
        <w:rPr>
          <w:sz w:val="36"/>
          <w:szCs w:val="36"/>
          <w:rtl/>
        </w:rPr>
        <w:t>تدل على وجود النسب</w:t>
      </w:r>
      <w:r w:rsidR="00EC7EDF" w:rsidRPr="00FD211F">
        <w:rPr>
          <w:sz w:val="36"/>
          <w:szCs w:val="36"/>
          <w:rtl/>
        </w:rPr>
        <w:t xml:space="preserve">ة </w:t>
      </w:r>
      <w:r w:rsidRPr="00FD211F">
        <w:rPr>
          <w:sz w:val="36"/>
          <w:szCs w:val="36"/>
          <w:rtl/>
        </w:rPr>
        <w:t>بالدلال</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و</w:t>
      </w:r>
      <w:r w:rsidR="001907F8" w:rsidRPr="00FD211F">
        <w:rPr>
          <w:sz w:val="36"/>
          <w:szCs w:val="36"/>
          <w:rtl/>
        </w:rPr>
        <w:t>الجمل</w:t>
      </w:r>
      <w:r w:rsidR="00EC7EDF" w:rsidRPr="00FD211F">
        <w:rPr>
          <w:sz w:val="36"/>
          <w:szCs w:val="36"/>
          <w:rtl/>
        </w:rPr>
        <w:t xml:space="preserve">ة </w:t>
      </w:r>
      <w:r w:rsidR="001907F8" w:rsidRPr="00FD211F">
        <w:rPr>
          <w:sz w:val="36"/>
          <w:szCs w:val="36"/>
          <w:rtl/>
        </w:rPr>
        <w:t>الخبري</w:t>
      </w:r>
      <w:r w:rsidR="00EC7EDF" w:rsidRPr="00FD211F">
        <w:rPr>
          <w:sz w:val="36"/>
          <w:szCs w:val="36"/>
          <w:rtl/>
        </w:rPr>
        <w:t xml:space="preserve">ة </w:t>
      </w:r>
      <w:r w:rsidR="001907F8" w:rsidRPr="00FD211F">
        <w:rPr>
          <w:sz w:val="36"/>
          <w:szCs w:val="36"/>
          <w:rtl/>
        </w:rPr>
        <w:t>تدل على ايجاد النسب</w:t>
      </w:r>
      <w:r w:rsidR="00EC7EDF" w:rsidRPr="00FD211F">
        <w:rPr>
          <w:sz w:val="36"/>
          <w:szCs w:val="36"/>
          <w:rtl/>
        </w:rPr>
        <w:t xml:space="preserve">ة </w:t>
      </w:r>
      <w:r w:rsidR="001907F8" w:rsidRPr="00FD211F">
        <w:rPr>
          <w:sz w:val="36"/>
          <w:szCs w:val="36"/>
          <w:rtl/>
        </w:rPr>
        <w:t>بالدلال</w:t>
      </w:r>
      <w:r w:rsidR="00EC7EDF" w:rsidRPr="00FD211F">
        <w:rPr>
          <w:sz w:val="36"/>
          <w:szCs w:val="36"/>
          <w:rtl/>
        </w:rPr>
        <w:t xml:space="preserve">ة </w:t>
      </w:r>
      <w:r w:rsidR="001907F8" w:rsidRPr="00FD211F">
        <w:rPr>
          <w:sz w:val="36"/>
          <w:szCs w:val="36"/>
          <w:rtl/>
        </w:rPr>
        <w:t>التصوري</w:t>
      </w:r>
      <w:r w:rsidR="00EC7EDF" w:rsidRPr="00FD211F">
        <w:rPr>
          <w:sz w:val="36"/>
          <w:szCs w:val="36"/>
          <w:rtl/>
        </w:rPr>
        <w:t>ة</w:t>
      </w:r>
      <w:r w:rsidR="00603323" w:rsidRPr="00FD211F">
        <w:rPr>
          <w:sz w:val="36"/>
          <w:szCs w:val="36"/>
          <w:rtl/>
        </w:rPr>
        <w:t xml:space="preserve">، </w:t>
      </w:r>
      <w:r w:rsidRPr="00FD211F">
        <w:rPr>
          <w:sz w:val="36"/>
          <w:szCs w:val="36"/>
          <w:rtl/>
        </w:rPr>
        <w:t xml:space="preserve">ففيه ان المدلول </w:t>
      </w:r>
      <w:r w:rsidR="009C0855" w:rsidRPr="00FD211F">
        <w:rPr>
          <w:sz w:val="36"/>
          <w:szCs w:val="36"/>
          <w:rtl/>
        </w:rPr>
        <w:t>لكلتا</w:t>
      </w:r>
      <w:r w:rsidR="00F52491">
        <w:rPr>
          <w:rFonts w:hint="cs"/>
          <w:sz w:val="36"/>
          <w:szCs w:val="36"/>
          <w:rtl/>
        </w:rPr>
        <w:t xml:space="preserve"> </w:t>
      </w:r>
      <w:r w:rsidR="009C0855" w:rsidRPr="00FD211F">
        <w:rPr>
          <w:sz w:val="36"/>
          <w:szCs w:val="36"/>
          <w:rtl/>
        </w:rPr>
        <w:t xml:space="preserve">الجملتين </w:t>
      </w:r>
      <w:r w:rsidRPr="00FD211F">
        <w:rPr>
          <w:sz w:val="36"/>
          <w:szCs w:val="36"/>
          <w:rtl/>
        </w:rPr>
        <w:t>هو ذات النسب</w:t>
      </w:r>
      <w:r w:rsidR="00EC7EDF" w:rsidRPr="00FD211F">
        <w:rPr>
          <w:sz w:val="36"/>
          <w:szCs w:val="36"/>
          <w:rtl/>
        </w:rPr>
        <w:t xml:space="preserve">ة </w:t>
      </w:r>
      <w:r w:rsidRPr="00FD211F">
        <w:rPr>
          <w:sz w:val="36"/>
          <w:szCs w:val="36"/>
          <w:rtl/>
        </w:rPr>
        <w:t>بلااخذ الوجود او الايجاد فيه فلابد من تصو</w:t>
      </w:r>
      <w:r w:rsidR="009C0855" w:rsidRPr="00FD211F">
        <w:rPr>
          <w:sz w:val="36"/>
          <w:szCs w:val="36"/>
          <w:rtl/>
        </w:rPr>
        <w:t>ير فرق بين ذات النسب</w:t>
      </w:r>
      <w:r w:rsidR="00EC7EDF" w:rsidRPr="00FD211F">
        <w:rPr>
          <w:sz w:val="36"/>
          <w:szCs w:val="36"/>
          <w:rtl/>
        </w:rPr>
        <w:t xml:space="preserve">ة </w:t>
      </w:r>
      <w:r w:rsidR="009C0855" w:rsidRPr="00FD211F">
        <w:rPr>
          <w:sz w:val="36"/>
          <w:szCs w:val="36"/>
          <w:rtl/>
        </w:rPr>
        <w:t>في الجمل</w:t>
      </w:r>
      <w:r w:rsidR="00EC7EDF" w:rsidRPr="00FD211F">
        <w:rPr>
          <w:sz w:val="36"/>
          <w:szCs w:val="36"/>
          <w:rtl/>
        </w:rPr>
        <w:t xml:space="preserve">ة </w:t>
      </w:r>
      <w:r w:rsidR="009C0855" w:rsidRPr="00FD211F">
        <w:rPr>
          <w:sz w:val="36"/>
          <w:szCs w:val="36"/>
          <w:rtl/>
        </w:rPr>
        <w:t>الخبري</w:t>
      </w:r>
      <w:r w:rsidR="00EC7EDF" w:rsidRPr="00FD211F">
        <w:rPr>
          <w:sz w:val="36"/>
          <w:szCs w:val="36"/>
          <w:rtl/>
        </w:rPr>
        <w:t xml:space="preserve">ة </w:t>
      </w:r>
      <w:r w:rsidR="009C0855" w:rsidRPr="00FD211F">
        <w:rPr>
          <w:sz w:val="36"/>
          <w:szCs w:val="36"/>
          <w:rtl/>
        </w:rPr>
        <w:t>حيث تكون تام</w:t>
      </w:r>
      <w:r w:rsidR="00EC7EDF" w:rsidRPr="00FD211F">
        <w:rPr>
          <w:sz w:val="36"/>
          <w:szCs w:val="36"/>
          <w:rtl/>
        </w:rPr>
        <w:t xml:space="preserve">ة </w:t>
      </w:r>
      <w:r w:rsidR="009C0855" w:rsidRPr="00FD211F">
        <w:rPr>
          <w:sz w:val="36"/>
          <w:szCs w:val="36"/>
          <w:rtl/>
        </w:rPr>
        <w:t>وبين ذات النسب</w:t>
      </w:r>
      <w:r w:rsidR="00EC7EDF" w:rsidRPr="00FD211F">
        <w:rPr>
          <w:sz w:val="36"/>
          <w:szCs w:val="36"/>
          <w:rtl/>
        </w:rPr>
        <w:t xml:space="preserve">ة </w:t>
      </w:r>
      <w:r w:rsidR="009C0855" w:rsidRPr="00FD211F">
        <w:rPr>
          <w:sz w:val="36"/>
          <w:szCs w:val="36"/>
          <w:rtl/>
        </w:rPr>
        <w:t>في الجمل</w:t>
      </w:r>
      <w:r w:rsidR="00EC7EDF" w:rsidRPr="00FD211F">
        <w:rPr>
          <w:sz w:val="36"/>
          <w:szCs w:val="36"/>
          <w:rtl/>
        </w:rPr>
        <w:t xml:space="preserve">ة </w:t>
      </w:r>
      <w:r w:rsidR="009C0855" w:rsidRPr="00FD211F">
        <w:rPr>
          <w:sz w:val="36"/>
          <w:szCs w:val="36"/>
          <w:rtl/>
        </w:rPr>
        <w:t>الوصفي</w:t>
      </w:r>
      <w:r w:rsidR="00EC7EDF" w:rsidRPr="00FD211F">
        <w:rPr>
          <w:sz w:val="36"/>
          <w:szCs w:val="36"/>
          <w:rtl/>
        </w:rPr>
        <w:t xml:space="preserve">ة </w:t>
      </w:r>
      <w:r w:rsidR="009C0855" w:rsidRPr="00FD211F">
        <w:rPr>
          <w:sz w:val="36"/>
          <w:szCs w:val="36"/>
          <w:rtl/>
        </w:rPr>
        <w:t>حيث تكون ناقص</w:t>
      </w:r>
      <w:r w:rsidR="00EC7EDF" w:rsidRPr="00FD211F">
        <w:rPr>
          <w:sz w:val="36"/>
          <w:szCs w:val="36"/>
          <w:rtl/>
        </w:rPr>
        <w:t>ة</w:t>
      </w:r>
      <w:r w:rsidR="00A61BAE" w:rsidRPr="00FD211F">
        <w:rPr>
          <w:sz w:val="36"/>
          <w:szCs w:val="36"/>
          <w:rtl/>
        </w:rPr>
        <w:t>.</w:t>
      </w:r>
    </w:p>
    <w:p w14:paraId="74F0887A" w14:textId="77777777" w:rsidR="008B29B8" w:rsidRPr="00FD211F" w:rsidRDefault="0052345A" w:rsidP="009C58C8">
      <w:pPr>
        <w:pStyle w:val="a4"/>
        <w:ind w:left="0" w:firstLine="227"/>
        <w:jc w:val="both"/>
        <w:rPr>
          <w:sz w:val="36"/>
          <w:szCs w:val="36"/>
          <w:rtl/>
        </w:rPr>
      </w:pPr>
      <w:r w:rsidRPr="00FD211F">
        <w:rPr>
          <w:sz w:val="36"/>
          <w:szCs w:val="36"/>
          <w:rtl/>
        </w:rPr>
        <w:t>واما ما ذكر</w:t>
      </w:r>
      <w:r w:rsidR="009C0855" w:rsidRPr="00FD211F">
        <w:rPr>
          <w:sz w:val="36"/>
          <w:szCs w:val="36"/>
          <w:rtl/>
        </w:rPr>
        <w:t xml:space="preserve"> من كون النسب</w:t>
      </w:r>
      <w:r w:rsidR="00EC7EDF" w:rsidRPr="00FD211F">
        <w:rPr>
          <w:sz w:val="36"/>
          <w:szCs w:val="36"/>
          <w:rtl/>
        </w:rPr>
        <w:t xml:space="preserve">ة </w:t>
      </w:r>
      <w:r w:rsidR="009C0855" w:rsidRPr="00FD211F">
        <w:rPr>
          <w:sz w:val="36"/>
          <w:szCs w:val="36"/>
          <w:rtl/>
        </w:rPr>
        <w:t>في الجمل</w:t>
      </w:r>
      <w:r w:rsidR="00EC7EDF" w:rsidRPr="00FD211F">
        <w:rPr>
          <w:sz w:val="36"/>
          <w:szCs w:val="36"/>
          <w:rtl/>
        </w:rPr>
        <w:t xml:space="preserve">ة </w:t>
      </w:r>
      <w:r w:rsidR="009C0855" w:rsidRPr="00FD211F">
        <w:rPr>
          <w:sz w:val="36"/>
          <w:szCs w:val="36"/>
          <w:rtl/>
        </w:rPr>
        <w:t>الخبري</w:t>
      </w:r>
      <w:r w:rsidR="00EC7EDF" w:rsidRPr="00FD211F">
        <w:rPr>
          <w:sz w:val="36"/>
          <w:szCs w:val="36"/>
          <w:rtl/>
        </w:rPr>
        <w:t xml:space="preserve">ة </w:t>
      </w:r>
      <w:r w:rsidR="00E62E35" w:rsidRPr="00FD211F">
        <w:rPr>
          <w:sz w:val="36"/>
          <w:szCs w:val="36"/>
          <w:rtl/>
        </w:rPr>
        <w:t>مقتضي</w:t>
      </w:r>
      <w:r w:rsidR="00EC7EDF" w:rsidRPr="00FD211F">
        <w:rPr>
          <w:sz w:val="36"/>
          <w:szCs w:val="36"/>
          <w:rtl/>
        </w:rPr>
        <w:t xml:space="preserve">ة </w:t>
      </w:r>
      <w:r w:rsidR="00E62E35" w:rsidRPr="00FD211F">
        <w:rPr>
          <w:sz w:val="36"/>
          <w:szCs w:val="36"/>
          <w:rtl/>
        </w:rPr>
        <w:t>للوجود الخارجي ولذا لايمكن ان يقال</w:t>
      </w:r>
      <w:r w:rsidR="00251CB6" w:rsidRPr="00FD211F">
        <w:rPr>
          <w:sz w:val="36"/>
          <w:szCs w:val="36"/>
          <w:rtl/>
        </w:rPr>
        <w:t xml:space="preserve"> </w:t>
      </w:r>
      <w:r w:rsidRPr="00FD211F">
        <w:rPr>
          <w:sz w:val="36"/>
          <w:szCs w:val="36"/>
          <w:rtl/>
        </w:rPr>
        <w:t>"</w:t>
      </w:r>
      <w:r w:rsidR="00B51933" w:rsidRPr="00FD211F">
        <w:rPr>
          <w:sz w:val="36"/>
          <w:szCs w:val="36"/>
          <w:rtl/>
        </w:rPr>
        <w:t>(</w:t>
      </w:r>
      <w:r w:rsidR="00E62E35" w:rsidRPr="00FD211F">
        <w:rPr>
          <w:sz w:val="36"/>
          <w:szCs w:val="36"/>
          <w:rtl/>
        </w:rPr>
        <w:t xml:space="preserve"> زيد قائم</w:t>
      </w:r>
      <w:r w:rsidR="00B51933" w:rsidRPr="00FD211F">
        <w:rPr>
          <w:sz w:val="36"/>
          <w:szCs w:val="36"/>
          <w:rtl/>
        </w:rPr>
        <w:t>)</w:t>
      </w:r>
      <w:r w:rsidR="00E62E35" w:rsidRPr="00FD211F">
        <w:rPr>
          <w:sz w:val="36"/>
          <w:szCs w:val="36"/>
          <w:rtl/>
        </w:rPr>
        <w:t xml:space="preserve"> موجود</w:t>
      </w:r>
      <w:r w:rsidRPr="00FD211F">
        <w:rPr>
          <w:sz w:val="36"/>
          <w:szCs w:val="36"/>
          <w:rtl/>
        </w:rPr>
        <w:t>"</w:t>
      </w:r>
      <w:r w:rsidR="00E62E35" w:rsidRPr="00FD211F">
        <w:rPr>
          <w:sz w:val="36"/>
          <w:szCs w:val="36"/>
          <w:rtl/>
        </w:rPr>
        <w:t xml:space="preserve"> او</w:t>
      </w:r>
      <w:r w:rsidRPr="00FD211F">
        <w:rPr>
          <w:sz w:val="36"/>
          <w:szCs w:val="36"/>
          <w:rtl/>
        </w:rPr>
        <w:t>يقال</w:t>
      </w:r>
      <w:r w:rsidR="00251CB6" w:rsidRPr="00FD211F">
        <w:rPr>
          <w:sz w:val="36"/>
          <w:szCs w:val="36"/>
          <w:rtl/>
        </w:rPr>
        <w:t xml:space="preserve"> </w:t>
      </w:r>
      <w:r w:rsidRPr="00FD211F">
        <w:rPr>
          <w:sz w:val="36"/>
          <w:szCs w:val="36"/>
          <w:rtl/>
        </w:rPr>
        <w:t>"</w:t>
      </w:r>
      <w:r w:rsidR="00B51933" w:rsidRPr="00FD211F">
        <w:rPr>
          <w:sz w:val="36"/>
          <w:szCs w:val="36"/>
          <w:rtl/>
        </w:rPr>
        <w:t>(</w:t>
      </w:r>
      <w:r w:rsidRPr="00FD211F">
        <w:rPr>
          <w:sz w:val="36"/>
          <w:szCs w:val="36"/>
          <w:rtl/>
        </w:rPr>
        <w:t>زيد قائم</w:t>
      </w:r>
      <w:r w:rsidR="00B51933" w:rsidRPr="00FD211F">
        <w:rPr>
          <w:sz w:val="36"/>
          <w:szCs w:val="36"/>
          <w:rtl/>
        </w:rPr>
        <w:t>)</w:t>
      </w:r>
      <w:r w:rsidR="00E62E35" w:rsidRPr="00FD211F">
        <w:rPr>
          <w:sz w:val="36"/>
          <w:szCs w:val="36"/>
          <w:rtl/>
        </w:rPr>
        <w:t xml:space="preserve"> ليس بموجود</w:t>
      </w:r>
      <w:r w:rsidRPr="00FD211F">
        <w:rPr>
          <w:sz w:val="36"/>
          <w:szCs w:val="36"/>
          <w:rtl/>
        </w:rPr>
        <w:t>"</w:t>
      </w:r>
      <w:r w:rsidR="008B29B8" w:rsidRPr="00FD211F">
        <w:rPr>
          <w:sz w:val="36"/>
          <w:szCs w:val="36"/>
          <w:rtl/>
        </w:rPr>
        <w:t>.</w:t>
      </w:r>
      <w:r w:rsidR="00E62E35" w:rsidRPr="00FD211F">
        <w:rPr>
          <w:sz w:val="36"/>
          <w:szCs w:val="36"/>
          <w:rtl/>
        </w:rPr>
        <w:t xml:space="preserve"> </w:t>
      </w:r>
    </w:p>
    <w:p w14:paraId="4AB0A249" w14:textId="77777777" w:rsidR="008B29B8" w:rsidRPr="00FD211F" w:rsidRDefault="00E62E35" w:rsidP="009C58C8">
      <w:pPr>
        <w:pStyle w:val="a4"/>
        <w:ind w:left="0" w:firstLine="227"/>
        <w:jc w:val="both"/>
        <w:rPr>
          <w:sz w:val="36"/>
          <w:szCs w:val="36"/>
          <w:rtl/>
        </w:rPr>
      </w:pPr>
      <w:r w:rsidRPr="00FD211F">
        <w:rPr>
          <w:sz w:val="36"/>
          <w:szCs w:val="36"/>
          <w:rtl/>
        </w:rPr>
        <w:t xml:space="preserve">فيرد عليه </w:t>
      </w:r>
      <w:r w:rsidR="008B29B8" w:rsidRPr="00FD211F">
        <w:rPr>
          <w:sz w:val="36"/>
          <w:szCs w:val="36"/>
          <w:rtl/>
        </w:rPr>
        <w:t>اولا:</w:t>
      </w:r>
      <w:r w:rsidR="00251CB6" w:rsidRPr="00FD211F">
        <w:rPr>
          <w:sz w:val="36"/>
          <w:szCs w:val="36"/>
          <w:rtl/>
        </w:rPr>
        <w:t xml:space="preserve"> </w:t>
      </w:r>
      <w:r w:rsidRPr="00FD211F">
        <w:rPr>
          <w:sz w:val="36"/>
          <w:szCs w:val="36"/>
          <w:rtl/>
        </w:rPr>
        <w:t xml:space="preserve">النقض بقولنا "ما قام زيد" او "ما زيد قائم" حيث ان النفي </w:t>
      </w:r>
      <w:r w:rsidR="009C0855" w:rsidRPr="00FD211F">
        <w:rPr>
          <w:sz w:val="36"/>
          <w:szCs w:val="36"/>
          <w:rtl/>
        </w:rPr>
        <w:t>عرض على النسب</w:t>
      </w:r>
      <w:r w:rsidR="00EC7EDF" w:rsidRPr="00FD211F">
        <w:rPr>
          <w:sz w:val="36"/>
          <w:szCs w:val="36"/>
          <w:rtl/>
        </w:rPr>
        <w:t xml:space="preserve">ة </w:t>
      </w:r>
      <w:r w:rsidR="009C0855" w:rsidRPr="00FD211F">
        <w:rPr>
          <w:sz w:val="36"/>
          <w:szCs w:val="36"/>
          <w:rtl/>
        </w:rPr>
        <w:t>في القضي</w:t>
      </w:r>
      <w:r w:rsidR="00EC7EDF" w:rsidRPr="00FD211F">
        <w:rPr>
          <w:sz w:val="36"/>
          <w:szCs w:val="36"/>
          <w:rtl/>
        </w:rPr>
        <w:t xml:space="preserve">ة </w:t>
      </w:r>
      <w:r w:rsidR="009C0855" w:rsidRPr="00FD211F">
        <w:rPr>
          <w:sz w:val="36"/>
          <w:szCs w:val="36"/>
          <w:rtl/>
        </w:rPr>
        <w:t>الخبري</w:t>
      </w:r>
      <w:r w:rsidR="00EC7EDF" w:rsidRPr="00FD211F">
        <w:rPr>
          <w:sz w:val="36"/>
          <w:szCs w:val="36"/>
          <w:rtl/>
        </w:rPr>
        <w:t>ة</w:t>
      </w:r>
      <w:r w:rsidR="00A61BAE" w:rsidRPr="00FD211F">
        <w:rPr>
          <w:sz w:val="36"/>
          <w:szCs w:val="36"/>
          <w:rtl/>
        </w:rPr>
        <w:t>.</w:t>
      </w:r>
      <w:r w:rsidRPr="00FD211F">
        <w:rPr>
          <w:sz w:val="36"/>
          <w:szCs w:val="36"/>
          <w:rtl/>
        </w:rPr>
        <w:t xml:space="preserve"> </w:t>
      </w:r>
    </w:p>
    <w:p w14:paraId="754EAEFF" w14:textId="77777777" w:rsidR="000C5BBA" w:rsidRPr="00FD211F" w:rsidRDefault="008B29B8" w:rsidP="00251CB6">
      <w:pPr>
        <w:pStyle w:val="a4"/>
        <w:ind w:left="0" w:firstLine="227"/>
        <w:jc w:val="both"/>
        <w:rPr>
          <w:sz w:val="36"/>
          <w:szCs w:val="36"/>
          <w:rtl/>
        </w:rPr>
      </w:pPr>
      <w:r w:rsidRPr="00FD211F">
        <w:rPr>
          <w:sz w:val="36"/>
          <w:szCs w:val="36"/>
          <w:rtl/>
        </w:rPr>
        <w:t>وثانيا:</w:t>
      </w:r>
      <w:r w:rsidR="00E62E35" w:rsidRPr="00FD211F">
        <w:rPr>
          <w:sz w:val="36"/>
          <w:szCs w:val="36"/>
          <w:rtl/>
        </w:rPr>
        <w:t xml:space="preserve"> لو كان مقصوده من كون المحكي الوجود الخارجي للنسب</w:t>
      </w:r>
      <w:r w:rsidR="00EC7EDF" w:rsidRPr="00FD211F">
        <w:rPr>
          <w:sz w:val="36"/>
          <w:szCs w:val="36"/>
          <w:rtl/>
        </w:rPr>
        <w:t xml:space="preserve">ة </w:t>
      </w:r>
      <w:r w:rsidR="00E62E35" w:rsidRPr="00FD211F">
        <w:rPr>
          <w:sz w:val="36"/>
          <w:szCs w:val="36"/>
          <w:rtl/>
        </w:rPr>
        <w:t>هو اخذ مفهوم الوجود في النسب</w:t>
      </w:r>
      <w:r w:rsidR="00EC7EDF" w:rsidRPr="00FD211F">
        <w:rPr>
          <w:sz w:val="36"/>
          <w:szCs w:val="36"/>
          <w:rtl/>
        </w:rPr>
        <w:t>ة</w:t>
      </w:r>
      <w:r w:rsidR="00603323" w:rsidRPr="00FD211F">
        <w:rPr>
          <w:sz w:val="36"/>
          <w:szCs w:val="36"/>
          <w:rtl/>
        </w:rPr>
        <w:t xml:space="preserve">، </w:t>
      </w:r>
      <w:r w:rsidRPr="00FD211F">
        <w:rPr>
          <w:sz w:val="36"/>
          <w:szCs w:val="36"/>
          <w:rtl/>
        </w:rPr>
        <w:t>-</w:t>
      </w:r>
      <w:r w:rsidR="00E62E35" w:rsidRPr="00FD211F">
        <w:rPr>
          <w:sz w:val="36"/>
          <w:szCs w:val="36"/>
          <w:rtl/>
        </w:rPr>
        <w:t>فمع غمض العين عن كونه خلاف الوجدان</w:t>
      </w:r>
      <w:r w:rsidRPr="00FD211F">
        <w:rPr>
          <w:sz w:val="36"/>
          <w:szCs w:val="36"/>
          <w:rtl/>
        </w:rPr>
        <w:t>-</w:t>
      </w:r>
      <w:r w:rsidR="00E62E35" w:rsidRPr="00FD211F">
        <w:rPr>
          <w:sz w:val="36"/>
          <w:szCs w:val="36"/>
          <w:rtl/>
        </w:rPr>
        <w:t xml:space="preserve"> </w:t>
      </w:r>
      <w:r w:rsidR="009C0855" w:rsidRPr="00FD211F">
        <w:rPr>
          <w:sz w:val="36"/>
          <w:szCs w:val="36"/>
          <w:rtl/>
        </w:rPr>
        <w:t>ف</w:t>
      </w:r>
      <w:r w:rsidR="00E62E35" w:rsidRPr="00FD211F">
        <w:rPr>
          <w:sz w:val="36"/>
          <w:szCs w:val="36"/>
          <w:rtl/>
        </w:rPr>
        <w:t>يمكن اخذه في الجمل</w:t>
      </w:r>
      <w:r w:rsidR="00EC7EDF" w:rsidRPr="00FD211F">
        <w:rPr>
          <w:sz w:val="36"/>
          <w:szCs w:val="36"/>
          <w:rtl/>
        </w:rPr>
        <w:t xml:space="preserve">ة </w:t>
      </w:r>
      <w:r w:rsidR="00E62E35" w:rsidRPr="00FD211F">
        <w:rPr>
          <w:sz w:val="36"/>
          <w:szCs w:val="36"/>
          <w:rtl/>
        </w:rPr>
        <w:t>الوصفي</w:t>
      </w:r>
      <w:r w:rsidR="00EC7EDF" w:rsidRPr="00FD211F">
        <w:rPr>
          <w:sz w:val="36"/>
          <w:szCs w:val="36"/>
          <w:rtl/>
        </w:rPr>
        <w:t xml:space="preserve">ة </w:t>
      </w:r>
      <w:r w:rsidR="00E62E35" w:rsidRPr="00FD211F">
        <w:rPr>
          <w:sz w:val="36"/>
          <w:szCs w:val="36"/>
          <w:rtl/>
        </w:rPr>
        <w:t>ايضا</w:t>
      </w:r>
      <w:r w:rsidR="00603323" w:rsidRPr="00FD211F">
        <w:rPr>
          <w:sz w:val="36"/>
          <w:szCs w:val="36"/>
          <w:rtl/>
        </w:rPr>
        <w:t xml:space="preserve">، </w:t>
      </w:r>
      <w:r w:rsidR="00E62E35" w:rsidRPr="00FD211F">
        <w:rPr>
          <w:sz w:val="36"/>
          <w:szCs w:val="36"/>
          <w:rtl/>
        </w:rPr>
        <w:t>فيقال</w:t>
      </w:r>
      <w:r w:rsidR="009C0855" w:rsidRPr="00FD211F">
        <w:rPr>
          <w:sz w:val="36"/>
          <w:szCs w:val="36"/>
          <w:rtl/>
        </w:rPr>
        <w:t>"</w:t>
      </w:r>
      <w:r w:rsidR="00E62E35" w:rsidRPr="00FD211F">
        <w:rPr>
          <w:sz w:val="36"/>
          <w:szCs w:val="36"/>
          <w:rtl/>
        </w:rPr>
        <w:t xml:space="preserve"> قيام زيد الموجود</w:t>
      </w:r>
      <w:r w:rsidR="009C0855" w:rsidRPr="00FD211F">
        <w:rPr>
          <w:sz w:val="36"/>
          <w:szCs w:val="36"/>
          <w:rtl/>
        </w:rPr>
        <w:t>"</w:t>
      </w:r>
      <w:r w:rsidRPr="00FD211F">
        <w:rPr>
          <w:sz w:val="36"/>
          <w:szCs w:val="36"/>
          <w:rtl/>
        </w:rPr>
        <w:t>.</w:t>
      </w:r>
    </w:p>
    <w:p w14:paraId="669C5CBA" w14:textId="77777777" w:rsidR="008B29B8" w:rsidRPr="00FD211F" w:rsidRDefault="00E62E35" w:rsidP="009C58C8">
      <w:pPr>
        <w:pStyle w:val="a4"/>
        <w:ind w:left="0" w:firstLine="227"/>
        <w:jc w:val="both"/>
        <w:rPr>
          <w:sz w:val="36"/>
          <w:szCs w:val="36"/>
          <w:rtl/>
        </w:rPr>
      </w:pPr>
      <w:r w:rsidRPr="00FD211F">
        <w:rPr>
          <w:sz w:val="36"/>
          <w:szCs w:val="36"/>
          <w:rtl/>
        </w:rPr>
        <w:t>ولو كان مراده اخذ واقع الوجود ف</w:t>
      </w:r>
      <w:r w:rsidR="008B29B8" w:rsidRPr="00FD211F">
        <w:rPr>
          <w:sz w:val="36"/>
          <w:szCs w:val="36"/>
          <w:rtl/>
        </w:rPr>
        <w:t>ي النسب</w:t>
      </w:r>
      <w:r w:rsidR="00EC7EDF" w:rsidRPr="00FD211F">
        <w:rPr>
          <w:sz w:val="36"/>
          <w:szCs w:val="36"/>
          <w:rtl/>
        </w:rPr>
        <w:t>ة</w:t>
      </w:r>
      <w:r w:rsidR="00603323" w:rsidRPr="00FD211F">
        <w:rPr>
          <w:sz w:val="36"/>
          <w:szCs w:val="36"/>
          <w:rtl/>
        </w:rPr>
        <w:t xml:space="preserve">، </w:t>
      </w:r>
      <w:r w:rsidRPr="00FD211F">
        <w:rPr>
          <w:sz w:val="36"/>
          <w:szCs w:val="36"/>
          <w:rtl/>
        </w:rPr>
        <w:t>ففيه</w:t>
      </w:r>
      <w:r w:rsidR="008B29B8" w:rsidRPr="00FD211F">
        <w:rPr>
          <w:sz w:val="36"/>
          <w:szCs w:val="36"/>
          <w:rtl/>
        </w:rPr>
        <w:t xml:space="preserve"> اولا:</w:t>
      </w:r>
      <w:r w:rsidRPr="00FD211F">
        <w:rPr>
          <w:sz w:val="36"/>
          <w:szCs w:val="36"/>
          <w:rtl/>
        </w:rPr>
        <w:t xml:space="preserve"> انه لايعقل اخذ واقع الوجود في المعنى الموضوع له</w:t>
      </w:r>
      <w:r w:rsidR="00603323" w:rsidRPr="00FD211F">
        <w:rPr>
          <w:sz w:val="36"/>
          <w:szCs w:val="36"/>
          <w:rtl/>
        </w:rPr>
        <w:t xml:space="preserve">، </w:t>
      </w:r>
      <w:r w:rsidRPr="00FD211F">
        <w:rPr>
          <w:sz w:val="36"/>
          <w:szCs w:val="36"/>
          <w:rtl/>
        </w:rPr>
        <w:t>لان الوضع هو القرن الأكيد بين تصور اللفظ وتصور المعنى</w:t>
      </w:r>
      <w:r w:rsidR="00EC7EDF" w:rsidRPr="00FD211F">
        <w:rPr>
          <w:sz w:val="36"/>
          <w:szCs w:val="36"/>
          <w:rtl/>
        </w:rPr>
        <w:t>.</w:t>
      </w:r>
    </w:p>
    <w:p w14:paraId="179E4196" w14:textId="77777777" w:rsidR="000C5BBA" w:rsidRPr="00FD211F" w:rsidRDefault="008B29B8" w:rsidP="009C58C8">
      <w:pPr>
        <w:pStyle w:val="a4"/>
        <w:ind w:left="0" w:firstLine="227"/>
        <w:jc w:val="both"/>
        <w:rPr>
          <w:sz w:val="36"/>
          <w:szCs w:val="36"/>
          <w:rtl/>
        </w:rPr>
      </w:pPr>
      <w:r w:rsidRPr="00FD211F">
        <w:rPr>
          <w:sz w:val="36"/>
          <w:szCs w:val="36"/>
          <w:rtl/>
        </w:rPr>
        <w:t>وثانيا:</w:t>
      </w:r>
      <w:r w:rsidR="00E62E35" w:rsidRPr="00FD211F">
        <w:rPr>
          <w:sz w:val="36"/>
          <w:szCs w:val="36"/>
          <w:rtl/>
        </w:rPr>
        <w:t xml:space="preserve"> انه </w:t>
      </w:r>
      <w:r w:rsidRPr="00FD211F">
        <w:rPr>
          <w:sz w:val="36"/>
          <w:szCs w:val="36"/>
          <w:rtl/>
        </w:rPr>
        <w:t>يلزم اهمال الكلام في صور</w:t>
      </w:r>
      <w:r w:rsidR="00EC7EDF" w:rsidRPr="00FD211F">
        <w:rPr>
          <w:sz w:val="36"/>
          <w:szCs w:val="36"/>
          <w:rtl/>
        </w:rPr>
        <w:t xml:space="preserve">ة </w:t>
      </w:r>
      <w:r w:rsidRPr="00FD211F">
        <w:rPr>
          <w:sz w:val="36"/>
          <w:szCs w:val="36"/>
          <w:rtl/>
        </w:rPr>
        <w:t>الكذب لأنه لو كان واقع الوجود هو المعنى الموضوع له فمع انتفائه يلزم أن يكون الكلام بلامعنى</w:t>
      </w:r>
      <w:r w:rsidR="00EC7EDF" w:rsidRPr="00FD211F">
        <w:rPr>
          <w:sz w:val="36"/>
          <w:szCs w:val="36"/>
          <w:rtl/>
        </w:rPr>
        <w:t>.</w:t>
      </w:r>
    </w:p>
    <w:p w14:paraId="2D46CE31" w14:textId="77777777" w:rsidR="00E62E35" w:rsidRPr="00FD211F" w:rsidRDefault="00E62E35" w:rsidP="009C58C8">
      <w:pPr>
        <w:pStyle w:val="a4"/>
        <w:ind w:left="0" w:firstLine="227"/>
        <w:jc w:val="both"/>
        <w:rPr>
          <w:sz w:val="36"/>
          <w:szCs w:val="36"/>
          <w:rtl/>
        </w:rPr>
      </w:pPr>
      <w:r w:rsidRPr="00FD211F">
        <w:rPr>
          <w:sz w:val="36"/>
          <w:szCs w:val="36"/>
          <w:rtl/>
        </w:rPr>
        <w:t>ولو كان مراده ان المدل</w:t>
      </w:r>
      <w:r w:rsidR="009C0855" w:rsidRPr="00FD211F">
        <w:rPr>
          <w:sz w:val="36"/>
          <w:szCs w:val="36"/>
          <w:rtl/>
        </w:rPr>
        <w:t>ول بالذات يلحظ في الجمل</w:t>
      </w:r>
      <w:r w:rsidR="00EC7EDF" w:rsidRPr="00FD211F">
        <w:rPr>
          <w:sz w:val="36"/>
          <w:szCs w:val="36"/>
          <w:rtl/>
        </w:rPr>
        <w:t xml:space="preserve">ة </w:t>
      </w:r>
      <w:r w:rsidR="009C0855" w:rsidRPr="00FD211F">
        <w:rPr>
          <w:sz w:val="36"/>
          <w:szCs w:val="36"/>
          <w:rtl/>
        </w:rPr>
        <w:t>الخبري</w:t>
      </w:r>
      <w:r w:rsidR="00EC7EDF" w:rsidRPr="00FD211F">
        <w:rPr>
          <w:sz w:val="36"/>
          <w:szCs w:val="36"/>
          <w:rtl/>
        </w:rPr>
        <w:t xml:space="preserve">ة </w:t>
      </w:r>
      <w:r w:rsidRPr="00FD211F">
        <w:rPr>
          <w:sz w:val="36"/>
          <w:szCs w:val="36"/>
          <w:rtl/>
        </w:rPr>
        <w:t>فانيا في الخارج</w:t>
      </w:r>
      <w:r w:rsidR="00603323" w:rsidRPr="00FD211F">
        <w:rPr>
          <w:sz w:val="36"/>
          <w:szCs w:val="36"/>
          <w:rtl/>
        </w:rPr>
        <w:t xml:space="preserve">، </w:t>
      </w:r>
      <w:r w:rsidRPr="00FD211F">
        <w:rPr>
          <w:sz w:val="36"/>
          <w:szCs w:val="36"/>
          <w:rtl/>
        </w:rPr>
        <w:t>ف</w:t>
      </w:r>
      <w:r w:rsidR="008B29B8" w:rsidRPr="00FD211F">
        <w:rPr>
          <w:sz w:val="36"/>
          <w:szCs w:val="36"/>
          <w:rtl/>
        </w:rPr>
        <w:t>فيه</w:t>
      </w:r>
      <w:r w:rsidR="00B609B8" w:rsidRPr="00FD211F">
        <w:rPr>
          <w:sz w:val="36"/>
          <w:szCs w:val="36"/>
          <w:rtl/>
        </w:rPr>
        <w:t xml:space="preserve"> ان الأمر في الجمل</w:t>
      </w:r>
      <w:r w:rsidR="00EC7EDF" w:rsidRPr="00FD211F">
        <w:rPr>
          <w:sz w:val="36"/>
          <w:szCs w:val="36"/>
          <w:rtl/>
        </w:rPr>
        <w:t xml:space="preserve">ة </w:t>
      </w:r>
      <w:r w:rsidR="00B609B8" w:rsidRPr="00FD211F">
        <w:rPr>
          <w:sz w:val="36"/>
          <w:szCs w:val="36"/>
          <w:rtl/>
        </w:rPr>
        <w:t>الوصفي</w:t>
      </w:r>
      <w:r w:rsidR="00EC7EDF" w:rsidRPr="00FD211F">
        <w:rPr>
          <w:sz w:val="36"/>
          <w:szCs w:val="36"/>
          <w:rtl/>
        </w:rPr>
        <w:t xml:space="preserve">ة </w:t>
      </w:r>
      <w:r w:rsidR="00B609B8" w:rsidRPr="00FD211F">
        <w:rPr>
          <w:sz w:val="36"/>
          <w:szCs w:val="36"/>
          <w:rtl/>
        </w:rPr>
        <w:t>اوأ</w:t>
      </w:r>
      <w:r w:rsidR="009C0855" w:rsidRPr="00FD211F">
        <w:rPr>
          <w:sz w:val="36"/>
          <w:szCs w:val="36"/>
          <w:rtl/>
        </w:rPr>
        <w:t>ي</w:t>
      </w:r>
      <w:r w:rsidR="00EC7EDF" w:rsidRPr="00FD211F">
        <w:rPr>
          <w:sz w:val="36"/>
          <w:szCs w:val="36"/>
          <w:rtl/>
        </w:rPr>
        <w:t xml:space="preserve">ة </w:t>
      </w:r>
      <w:r w:rsidR="009C0855" w:rsidRPr="00FD211F">
        <w:rPr>
          <w:sz w:val="36"/>
          <w:szCs w:val="36"/>
          <w:rtl/>
        </w:rPr>
        <w:t>جمل</w:t>
      </w:r>
      <w:r w:rsidR="00EC7EDF" w:rsidRPr="00FD211F">
        <w:rPr>
          <w:sz w:val="36"/>
          <w:szCs w:val="36"/>
          <w:rtl/>
        </w:rPr>
        <w:t xml:space="preserve">ة </w:t>
      </w:r>
      <w:r w:rsidR="009C0855" w:rsidRPr="00FD211F">
        <w:rPr>
          <w:sz w:val="36"/>
          <w:szCs w:val="36"/>
          <w:rtl/>
        </w:rPr>
        <w:t>ناقص</w:t>
      </w:r>
      <w:r w:rsidR="00EC7EDF" w:rsidRPr="00FD211F">
        <w:rPr>
          <w:sz w:val="36"/>
          <w:szCs w:val="36"/>
          <w:rtl/>
        </w:rPr>
        <w:t xml:space="preserve">ة </w:t>
      </w:r>
      <w:r w:rsidR="009C0855" w:rsidRPr="00FD211F">
        <w:rPr>
          <w:sz w:val="36"/>
          <w:szCs w:val="36"/>
          <w:rtl/>
        </w:rPr>
        <w:t>آخرى</w:t>
      </w:r>
      <w:r w:rsidRPr="00FD211F">
        <w:rPr>
          <w:sz w:val="36"/>
          <w:szCs w:val="36"/>
          <w:rtl/>
        </w:rPr>
        <w:t xml:space="preserve"> ايضا </w:t>
      </w:r>
      <w:r w:rsidR="009C0855" w:rsidRPr="00FD211F">
        <w:rPr>
          <w:sz w:val="36"/>
          <w:szCs w:val="36"/>
          <w:rtl/>
        </w:rPr>
        <w:t>كذلك</w:t>
      </w:r>
      <w:r w:rsidR="00603323" w:rsidRPr="00FD211F">
        <w:rPr>
          <w:sz w:val="36"/>
          <w:szCs w:val="36"/>
          <w:rtl/>
        </w:rPr>
        <w:t xml:space="preserve">، </w:t>
      </w:r>
      <w:r w:rsidR="009C0855" w:rsidRPr="00FD211F">
        <w:rPr>
          <w:sz w:val="36"/>
          <w:szCs w:val="36"/>
          <w:rtl/>
        </w:rPr>
        <w:t xml:space="preserve">كما في قولنا </w:t>
      </w:r>
      <w:r w:rsidR="008B29B8" w:rsidRPr="00FD211F">
        <w:rPr>
          <w:sz w:val="36"/>
          <w:szCs w:val="36"/>
          <w:rtl/>
        </w:rPr>
        <w:t>"</w:t>
      </w:r>
      <w:r w:rsidR="009C0855" w:rsidRPr="00FD211F">
        <w:rPr>
          <w:sz w:val="36"/>
          <w:szCs w:val="36"/>
          <w:rtl/>
        </w:rPr>
        <w:t>قيام زيد</w:t>
      </w:r>
      <w:r w:rsidR="008B29B8" w:rsidRPr="00FD211F">
        <w:rPr>
          <w:sz w:val="36"/>
          <w:szCs w:val="36"/>
          <w:rtl/>
        </w:rPr>
        <w:t xml:space="preserve">" فانه يلحظ فانيا في الخارج ولذا يحمل عليه الحكم الشرعي فيقال </w:t>
      </w:r>
      <w:r w:rsidR="002C26FC" w:rsidRPr="00FD211F">
        <w:rPr>
          <w:sz w:val="36"/>
          <w:szCs w:val="36"/>
          <w:rtl/>
        </w:rPr>
        <w:t>انه حرام مثلا</w:t>
      </w:r>
      <w:r w:rsidR="00603323" w:rsidRPr="00FD211F">
        <w:rPr>
          <w:sz w:val="36"/>
          <w:szCs w:val="36"/>
          <w:rtl/>
        </w:rPr>
        <w:t xml:space="preserve">، </w:t>
      </w:r>
      <w:r w:rsidRPr="00FD211F">
        <w:rPr>
          <w:sz w:val="36"/>
          <w:szCs w:val="36"/>
          <w:rtl/>
        </w:rPr>
        <w:t>نعم يمكن دعوى</w:t>
      </w:r>
      <w:r w:rsidR="009C0855" w:rsidRPr="00FD211F">
        <w:rPr>
          <w:sz w:val="36"/>
          <w:szCs w:val="36"/>
          <w:rtl/>
        </w:rPr>
        <w:t xml:space="preserve"> انه لما كان مفاد الجمل</w:t>
      </w:r>
      <w:r w:rsidR="00EC7EDF" w:rsidRPr="00FD211F">
        <w:rPr>
          <w:sz w:val="36"/>
          <w:szCs w:val="36"/>
          <w:rtl/>
        </w:rPr>
        <w:t xml:space="preserve">ة </w:t>
      </w:r>
      <w:r w:rsidR="009C0855" w:rsidRPr="00FD211F">
        <w:rPr>
          <w:sz w:val="36"/>
          <w:szCs w:val="36"/>
          <w:rtl/>
        </w:rPr>
        <w:t>الخبري</w:t>
      </w:r>
      <w:r w:rsidR="00EC7EDF" w:rsidRPr="00FD211F">
        <w:rPr>
          <w:sz w:val="36"/>
          <w:szCs w:val="36"/>
          <w:rtl/>
        </w:rPr>
        <w:t xml:space="preserve">ة </w:t>
      </w:r>
      <w:r w:rsidRPr="00FD211F">
        <w:rPr>
          <w:sz w:val="36"/>
          <w:szCs w:val="36"/>
          <w:rtl/>
        </w:rPr>
        <w:t>هو واقع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فهو يقتضي بنفسه كون النظر التصوري الى الخارج</w:t>
      </w:r>
      <w:r w:rsidR="00603323" w:rsidRPr="00FD211F">
        <w:rPr>
          <w:sz w:val="36"/>
          <w:szCs w:val="36"/>
          <w:rtl/>
        </w:rPr>
        <w:t xml:space="preserve">، </w:t>
      </w:r>
      <w:r w:rsidRPr="00FD211F">
        <w:rPr>
          <w:sz w:val="36"/>
          <w:szCs w:val="36"/>
          <w:rtl/>
        </w:rPr>
        <w:t>لان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تعني إفناء المفهومين في معنون واحد والا</w:t>
      </w:r>
      <w:r w:rsidR="008D7B3D" w:rsidRPr="00FD211F">
        <w:rPr>
          <w:sz w:val="36"/>
          <w:szCs w:val="36"/>
          <w:rtl/>
        </w:rPr>
        <w:t xml:space="preserve"> لم‌</w:t>
      </w:r>
      <w:r w:rsidRPr="00FD211F">
        <w:rPr>
          <w:sz w:val="36"/>
          <w:szCs w:val="36"/>
          <w:rtl/>
        </w:rPr>
        <w:t>يعقل تصور التصادق</w:t>
      </w:r>
      <w:r w:rsidR="00603323" w:rsidRPr="00FD211F">
        <w:rPr>
          <w:sz w:val="36"/>
          <w:szCs w:val="36"/>
          <w:rtl/>
        </w:rPr>
        <w:t xml:space="preserve">، </w:t>
      </w:r>
      <w:r w:rsidRPr="00FD211F">
        <w:rPr>
          <w:sz w:val="36"/>
          <w:szCs w:val="36"/>
          <w:rtl/>
        </w:rPr>
        <w:t>وهذا بخلاف الجمل</w:t>
      </w:r>
      <w:r w:rsidR="00EC7EDF" w:rsidRPr="00FD211F">
        <w:rPr>
          <w:sz w:val="36"/>
          <w:szCs w:val="36"/>
          <w:rtl/>
        </w:rPr>
        <w:t xml:space="preserve">ة </w:t>
      </w:r>
      <w:r w:rsidRPr="00FD211F">
        <w:rPr>
          <w:sz w:val="36"/>
          <w:szCs w:val="36"/>
          <w:rtl/>
        </w:rPr>
        <w:t>الوصفي</w:t>
      </w:r>
      <w:r w:rsidR="00EC7EDF" w:rsidRPr="00FD211F">
        <w:rPr>
          <w:sz w:val="36"/>
          <w:szCs w:val="36"/>
          <w:rtl/>
        </w:rPr>
        <w:t>ة</w:t>
      </w:r>
      <w:r w:rsidR="00603323" w:rsidRPr="00FD211F">
        <w:rPr>
          <w:sz w:val="36"/>
          <w:szCs w:val="36"/>
          <w:rtl/>
        </w:rPr>
        <w:t xml:space="preserve">، </w:t>
      </w:r>
      <w:r w:rsidRPr="00FD211F">
        <w:rPr>
          <w:sz w:val="36"/>
          <w:szCs w:val="36"/>
          <w:rtl/>
        </w:rPr>
        <w:t>حيث لاتشتمل على واقع النسب</w:t>
      </w:r>
      <w:r w:rsidR="00EC7EDF" w:rsidRPr="00FD211F">
        <w:rPr>
          <w:sz w:val="36"/>
          <w:szCs w:val="36"/>
          <w:rtl/>
        </w:rPr>
        <w:t xml:space="preserve">ة </w:t>
      </w:r>
      <w:r w:rsidRPr="00FD211F">
        <w:rPr>
          <w:sz w:val="36"/>
          <w:szCs w:val="36"/>
          <w:rtl/>
        </w:rPr>
        <w:t>التصادقي</w:t>
      </w:r>
      <w:r w:rsidR="00EC7EDF" w:rsidRPr="00FD211F">
        <w:rPr>
          <w:sz w:val="36"/>
          <w:szCs w:val="36"/>
          <w:rtl/>
        </w:rPr>
        <w:t>ة</w:t>
      </w:r>
      <w:r w:rsidR="00603323" w:rsidRPr="00FD211F">
        <w:rPr>
          <w:sz w:val="36"/>
          <w:szCs w:val="36"/>
          <w:rtl/>
        </w:rPr>
        <w:t xml:space="preserve">، </w:t>
      </w:r>
      <w:r w:rsidRPr="00FD211F">
        <w:rPr>
          <w:sz w:val="36"/>
          <w:szCs w:val="36"/>
          <w:rtl/>
        </w:rPr>
        <w:t>ولكن لي</w:t>
      </w:r>
      <w:r w:rsidR="009C0855" w:rsidRPr="00FD211F">
        <w:rPr>
          <w:sz w:val="36"/>
          <w:szCs w:val="36"/>
          <w:rtl/>
        </w:rPr>
        <w:t>ست نتيج</w:t>
      </w:r>
      <w:r w:rsidR="00EC7EDF" w:rsidRPr="00FD211F">
        <w:rPr>
          <w:sz w:val="36"/>
          <w:szCs w:val="36"/>
          <w:rtl/>
        </w:rPr>
        <w:t xml:space="preserve">ة </w:t>
      </w:r>
      <w:r w:rsidR="009C0855" w:rsidRPr="00FD211F">
        <w:rPr>
          <w:sz w:val="36"/>
          <w:szCs w:val="36"/>
          <w:rtl/>
        </w:rPr>
        <w:t>ذلك إباء الجمل</w:t>
      </w:r>
      <w:r w:rsidR="00EC7EDF" w:rsidRPr="00FD211F">
        <w:rPr>
          <w:sz w:val="36"/>
          <w:szCs w:val="36"/>
          <w:rtl/>
        </w:rPr>
        <w:t xml:space="preserve">ة </w:t>
      </w:r>
      <w:r w:rsidR="009C0855" w:rsidRPr="00FD211F">
        <w:rPr>
          <w:sz w:val="36"/>
          <w:szCs w:val="36"/>
          <w:rtl/>
        </w:rPr>
        <w:t>الخبري</w:t>
      </w:r>
      <w:r w:rsidR="00EC7EDF" w:rsidRPr="00FD211F">
        <w:rPr>
          <w:sz w:val="36"/>
          <w:szCs w:val="36"/>
          <w:rtl/>
        </w:rPr>
        <w:t xml:space="preserve">ة </w:t>
      </w:r>
      <w:r w:rsidRPr="00FD211F">
        <w:rPr>
          <w:sz w:val="36"/>
          <w:szCs w:val="36"/>
          <w:rtl/>
        </w:rPr>
        <w:t>عن عروض النفي عليها</w:t>
      </w:r>
      <w:r w:rsidR="00603323" w:rsidRPr="00FD211F">
        <w:rPr>
          <w:sz w:val="36"/>
          <w:szCs w:val="36"/>
          <w:rtl/>
        </w:rPr>
        <w:t xml:space="preserve">، </w:t>
      </w:r>
      <w:r w:rsidRPr="00FD211F">
        <w:rPr>
          <w:sz w:val="36"/>
          <w:szCs w:val="36"/>
          <w:rtl/>
        </w:rPr>
        <w:t xml:space="preserve">اذ ليس معنى كون النظر التصوري فيها الى الخارج </w:t>
      </w:r>
      <w:r w:rsidR="00C40203" w:rsidRPr="00FD211F">
        <w:rPr>
          <w:sz w:val="36"/>
          <w:szCs w:val="36"/>
          <w:rtl/>
        </w:rPr>
        <w:t>هو</w:t>
      </w:r>
      <w:r w:rsidRPr="00FD211F">
        <w:rPr>
          <w:sz w:val="36"/>
          <w:szCs w:val="36"/>
          <w:rtl/>
        </w:rPr>
        <w:t>التصديق بالوجود.</w:t>
      </w:r>
    </w:p>
    <w:p w14:paraId="1060F835" w14:textId="77777777" w:rsidR="00E62E35" w:rsidRPr="00FD211F" w:rsidRDefault="00E62E35" w:rsidP="00251CB6">
      <w:pPr>
        <w:ind w:left="0" w:firstLine="227"/>
        <w:jc w:val="both"/>
        <w:rPr>
          <w:sz w:val="36"/>
          <w:szCs w:val="36"/>
          <w:rtl/>
        </w:rPr>
      </w:pPr>
      <w:r w:rsidRPr="00FD211F">
        <w:rPr>
          <w:sz w:val="36"/>
          <w:szCs w:val="36"/>
          <w:rtl/>
        </w:rPr>
        <w:t xml:space="preserve">ويرد على ما ذكره اخيرا </w:t>
      </w:r>
      <w:r w:rsidR="00C40203" w:rsidRPr="00FD211F">
        <w:rPr>
          <w:sz w:val="36"/>
          <w:szCs w:val="36"/>
          <w:rtl/>
        </w:rPr>
        <w:t>-</w:t>
      </w:r>
      <w:r w:rsidRPr="00FD211F">
        <w:rPr>
          <w:sz w:val="36"/>
          <w:szCs w:val="36"/>
          <w:rtl/>
        </w:rPr>
        <w:t>من ك</w:t>
      </w:r>
      <w:r w:rsidR="00C40203" w:rsidRPr="00FD211F">
        <w:rPr>
          <w:sz w:val="36"/>
          <w:szCs w:val="36"/>
          <w:rtl/>
        </w:rPr>
        <w:t>ون التقييد في الجمل</w:t>
      </w:r>
      <w:r w:rsidR="00EC7EDF" w:rsidRPr="00FD211F">
        <w:rPr>
          <w:sz w:val="36"/>
          <w:szCs w:val="36"/>
          <w:rtl/>
        </w:rPr>
        <w:t xml:space="preserve">ة </w:t>
      </w:r>
      <w:r w:rsidR="00C40203" w:rsidRPr="00FD211F">
        <w:rPr>
          <w:sz w:val="36"/>
          <w:szCs w:val="36"/>
          <w:rtl/>
        </w:rPr>
        <w:t>الخبري</w:t>
      </w:r>
      <w:r w:rsidR="00EC7EDF" w:rsidRPr="00FD211F">
        <w:rPr>
          <w:sz w:val="36"/>
          <w:szCs w:val="36"/>
          <w:rtl/>
        </w:rPr>
        <w:t xml:space="preserve">ة </w:t>
      </w:r>
      <w:r w:rsidR="00C40203" w:rsidRPr="00FD211F">
        <w:rPr>
          <w:sz w:val="36"/>
          <w:szCs w:val="36"/>
          <w:rtl/>
        </w:rPr>
        <w:t>عارضاعلى مرتب</w:t>
      </w:r>
      <w:r w:rsidR="00EC7EDF" w:rsidRPr="00FD211F">
        <w:rPr>
          <w:sz w:val="36"/>
          <w:szCs w:val="36"/>
          <w:rtl/>
        </w:rPr>
        <w:t xml:space="preserve">ة </w:t>
      </w:r>
      <w:r w:rsidR="00C40203" w:rsidRPr="00FD211F">
        <w:rPr>
          <w:sz w:val="36"/>
          <w:szCs w:val="36"/>
          <w:rtl/>
        </w:rPr>
        <w:t>وجود الموضوع-</w:t>
      </w:r>
      <w:r w:rsidR="00B253CE" w:rsidRPr="00FD211F">
        <w:rPr>
          <w:sz w:val="36"/>
          <w:szCs w:val="36"/>
          <w:rtl/>
        </w:rPr>
        <w:t xml:space="preserve"> </w:t>
      </w:r>
      <w:r w:rsidRPr="00FD211F">
        <w:rPr>
          <w:sz w:val="36"/>
          <w:szCs w:val="36"/>
          <w:rtl/>
        </w:rPr>
        <w:t>النقض بقولنا</w:t>
      </w:r>
      <w:r w:rsidR="00C40203" w:rsidRPr="00FD211F">
        <w:rPr>
          <w:sz w:val="36"/>
          <w:szCs w:val="36"/>
          <w:rtl/>
        </w:rPr>
        <w:t>"</w:t>
      </w:r>
      <w:r w:rsidRPr="00FD211F">
        <w:rPr>
          <w:sz w:val="36"/>
          <w:szCs w:val="36"/>
          <w:rtl/>
        </w:rPr>
        <w:t xml:space="preserve"> الانسان ممكن</w:t>
      </w:r>
      <w:r w:rsidR="00C40203" w:rsidRPr="00FD211F">
        <w:rPr>
          <w:sz w:val="36"/>
          <w:szCs w:val="36"/>
          <w:rtl/>
        </w:rPr>
        <w:t>"</w:t>
      </w:r>
      <w:r w:rsidRPr="00FD211F">
        <w:rPr>
          <w:sz w:val="36"/>
          <w:szCs w:val="36"/>
          <w:rtl/>
        </w:rPr>
        <w:t xml:space="preserve"> او</w:t>
      </w:r>
      <w:r w:rsidR="00C40203" w:rsidRPr="00FD211F">
        <w:rPr>
          <w:sz w:val="36"/>
          <w:szCs w:val="36"/>
          <w:rtl/>
        </w:rPr>
        <w:t>قولنا</w:t>
      </w:r>
      <w:r w:rsidR="00251CB6" w:rsidRPr="00FD211F">
        <w:rPr>
          <w:sz w:val="36"/>
          <w:szCs w:val="36"/>
          <w:rtl/>
        </w:rPr>
        <w:t xml:space="preserve"> </w:t>
      </w:r>
      <w:r w:rsidR="00C40203" w:rsidRPr="00FD211F">
        <w:rPr>
          <w:sz w:val="36"/>
          <w:szCs w:val="36"/>
          <w:rtl/>
        </w:rPr>
        <w:t>"</w:t>
      </w:r>
      <w:r w:rsidRPr="00FD211F">
        <w:rPr>
          <w:sz w:val="36"/>
          <w:szCs w:val="36"/>
          <w:rtl/>
        </w:rPr>
        <w:t>اذا كان الانسان ممكنا</w:t>
      </w:r>
      <w:r w:rsidR="00C40203" w:rsidRPr="00FD211F">
        <w:rPr>
          <w:sz w:val="36"/>
          <w:szCs w:val="36"/>
          <w:rtl/>
        </w:rPr>
        <w:t>"</w:t>
      </w:r>
      <w:r w:rsidRPr="00FD211F">
        <w:rPr>
          <w:sz w:val="36"/>
          <w:szCs w:val="36"/>
          <w:rtl/>
        </w:rPr>
        <w:t xml:space="preserve"> فا</w:t>
      </w:r>
      <w:r w:rsidR="00C40203" w:rsidRPr="00FD211F">
        <w:rPr>
          <w:sz w:val="36"/>
          <w:szCs w:val="36"/>
          <w:rtl/>
        </w:rPr>
        <w:t>ن التقييد عارض لمرتب</w:t>
      </w:r>
      <w:r w:rsidR="00EC7EDF" w:rsidRPr="00FD211F">
        <w:rPr>
          <w:sz w:val="36"/>
          <w:szCs w:val="36"/>
          <w:rtl/>
        </w:rPr>
        <w:t xml:space="preserve">ة </w:t>
      </w:r>
      <w:r w:rsidR="00C40203" w:rsidRPr="00FD211F">
        <w:rPr>
          <w:sz w:val="36"/>
          <w:szCs w:val="36"/>
          <w:rtl/>
        </w:rPr>
        <w:t>ذات الموضوع لأن الامكان من عوارض الماهي</w:t>
      </w:r>
      <w:r w:rsidR="00EC7EDF" w:rsidRPr="00FD211F">
        <w:rPr>
          <w:sz w:val="36"/>
          <w:szCs w:val="36"/>
          <w:rtl/>
        </w:rPr>
        <w:t xml:space="preserve">ة </w:t>
      </w:r>
      <w:r w:rsidRPr="00FD211F">
        <w:rPr>
          <w:sz w:val="36"/>
          <w:szCs w:val="36"/>
          <w:rtl/>
        </w:rPr>
        <w:t>فليست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بمعنى عروض المحمول لمرتب</w:t>
      </w:r>
      <w:r w:rsidR="00EC7EDF" w:rsidRPr="00FD211F">
        <w:rPr>
          <w:sz w:val="36"/>
          <w:szCs w:val="36"/>
          <w:rtl/>
        </w:rPr>
        <w:t xml:space="preserve">ة </w:t>
      </w:r>
      <w:r w:rsidRPr="00FD211F">
        <w:rPr>
          <w:sz w:val="36"/>
          <w:szCs w:val="36"/>
          <w:rtl/>
        </w:rPr>
        <w:t>وجود الموضوع</w:t>
      </w:r>
      <w:r w:rsidR="00603323" w:rsidRPr="00FD211F">
        <w:rPr>
          <w:sz w:val="36"/>
          <w:szCs w:val="36"/>
          <w:rtl/>
        </w:rPr>
        <w:t xml:space="preserve">، </w:t>
      </w:r>
      <w:r w:rsidRPr="00FD211F">
        <w:rPr>
          <w:sz w:val="36"/>
          <w:szCs w:val="36"/>
          <w:rtl/>
        </w:rPr>
        <w:t>و</w:t>
      </w:r>
      <w:r w:rsidR="00C40203" w:rsidRPr="00FD211F">
        <w:rPr>
          <w:sz w:val="36"/>
          <w:szCs w:val="36"/>
          <w:rtl/>
        </w:rPr>
        <w:t>أما</w:t>
      </w:r>
      <w:r w:rsidRPr="00FD211F">
        <w:rPr>
          <w:sz w:val="36"/>
          <w:szCs w:val="36"/>
          <w:rtl/>
        </w:rPr>
        <w:t xml:space="preserve">دعوى ظهور مثل قوله </w:t>
      </w:r>
      <w:r w:rsidR="00C40203" w:rsidRPr="00FD211F">
        <w:rPr>
          <w:sz w:val="36"/>
          <w:szCs w:val="36"/>
          <w:rtl/>
        </w:rPr>
        <w:t>"</w:t>
      </w:r>
      <w:r w:rsidRPr="00FD211F">
        <w:rPr>
          <w:sz w:val="36"/>
          <w:szCs w:val="36"/>
          <w:rtl/>
        </w:rPr>
        <w:t>اذا كان الماء كرا</w:t>
      </w:r>
      <w:r w:rsidR="00C40203" w:rsidRPr="00FD211F">
        <w:rPr>
          <w:sz w:val="36"/>
          <w:szCs w:val="36"/>
          <w:rtl/>
        </w:rPr>
        <w:t>"</w:t>
      </w:r>
      <w:r w:rsidR="00251CB6" w:rsidRPr="00FD211F">
        <w:rPr>
          <w:sz w:val="36"/>
          <w:szCs w:val="36"/>
          <w:rtl/>
        </w:rPr>
        <w:t xml:space="preserve"> </w:t>
      </w:r>
      <w:r w:rsidRPr="00FD211F">
        <w:rPr>
          <w:sz w:val="36"/>
          <w:szCs w:val="36"/>
          <w:rtl/>
        </w:rPr>
        <w:t>او</w:t>
      </w:r>
      <w:r w:rsidR="00C40203" w:rsidRPr="00FD211F">
        <w:rPr>
          <w:sz w:val="36"/>
          <w:szCs w:val="36"/>
          <w:rtl/>
        </w:rPr>
        <w:t>قوله</w:t>
      </w:r>
      <w:r w:rsidR="00251CB6" w:rsidRPr="00FD211F">
        <w:rPr>
          <w:sz w:val="36"/>
          <w:szCs w:val="36"/>
          <w:rtl/>
        </w:rPr>
        <w:t xml:space="preserve"> </w:t>
      </w:r>
      <w:r w:rsidR="00C40203" w:rsidRPr="00FD211F">
        <w:rPr>
          <w:sz w:val="36"/>
          <w:szCs w:val="36"/>
          <w:rtl/>
        </w:rPr>
        <w:t>"</w:t>
      </w:r>
      <w:r w:rsidRPr="00FD211F">
        <w:rPr>
          <w:sz w:val="36"/>
          <w:szCs w:val="36"/>
          <w:rtl/>
        </w:rPr>
        <w:t>اذا كانت المرأ</w:t>
      </w:r>
      <w:r w:rsidR="00EC7EDF" w:rsidRPr="00FD211F">
        <w:rPr>
          <w:sz w:val="36"/>
          <w:szCs w:val="36"/>
          <w:rtl/>
        </w:rPr>
        <w:t xml:space="preserve">ة </w:t>
      </w:r>
      <w:r w:rsidR="00C40203" w:rsidRPr="00FD211F">
        <w:rPr>
          <w:sz w:val="36"/>
          <w:szCs w:val="36"/>
          <w:rtl/>
        </w:rPr>
        <w:t>قرشي</w:t>
      </w:r>
      <w:r w:rsidR="00EC7EDF" w:rsidRPr="00FD211F">
        <w:rPr>
          <w:sz w:val="36"/>
          <w:szCs w:val="36"/>
          <w:rtl/>
        </w:rPr>
        <w:t xml:space="preserve">ة </w:t>
      </w:r>
      <w:r w:rsidR="00C40203" w:rsidRPr="00FD211F">
        <w:rPr>
          <w:sz w:val="36"/>
          <w:szCs w:val="36"/>
          <w:rtl/>
        </w:rPr>
        <w:t>"في كون التقييد عارضا</w:t>
      </w:r>
      <w:r w:rsidR="00251CB6" w:rsidRPr="00FD211F">
        <w:rPr>
          <w:sz w:val="36"/>
          <w:szCs w:val="36"/>
          <w:rtl/>
        </w:rPr>
        <w:t xml:space="preserve"> </w:t>
      </w:r>
      <w:r w:rsidR="00C40203" w:rsidRPr="00FD211F">
        <w:rPr>
          <w:sz w:val="36"/>
          <w:szCs w:val="36"/>
          <w:rtl/>
        </w:rPr>
        <w:t xml:space="preserve">على </w:t>
      </w:r>
      <w:r w:rsidRPr="00FD211F">
        <w:rPr>
          <w:sz w:val="36"/>
          <w:szCs w:val="36"/>
          <w:rtl/>
        </w:rPr>
        <w:t>مرتب</w:t>
      </w:r>
      <w:r w:rsidR="00EC7EDF" w:rsidRPr="00FD211F">
        <w:rPr>
          <w:sz w:val="36"/>
          <w:szCs w:val="36"/>
          <w:rtl/>
        </w:rPr>
        <w:t xml:space="preserve">ة </w:t>
      </w:r>
      <w:r w:rsidRPr="00FD211F">
        <w:rPr>
          <w:sz w:val="36"/>
          <w:szCs w:val="36"/>
          <w:rtl/>
        </w:rPr>
        <w:t>وجود الموضوع</w:t>
      </w:r>
      <w:r w:rsidR="00C40203" w:rsidRPr="00FD211F">
        <w:rPr>
          <w:sz w:val="36"/>
          <w:szCs w:val="36"/>
          <w:rtl/>
        </w:rPr>
        <w:t xml:space="preserve"> ففيه أنه على تقدير قبول ذلك</w:t>
      </w:r>
      <w:r w:rsidRPr="00FD211F">
        <w:rPr>
          <w:sz w:val="36"/>
          <w:szCs w:val="36"/>
          <w:rtl/>
        </w:rPr>
        <w:t xml:space="preserve"> فانما </w:t>
      </w:r>
      <w:r w:rsidR="00C40203" w:rsidRPr="00FD211F">
        <w:rPr>
          <w:sz w:val="36"/>
          <w:szCs w:val="36"/>
          <w:rtl/>
        </w:rPr>
        <w:t>هو ل</w:t>
      </w:r>
      <w:r w:rsidRPr="00FD211F">
        <w:rPr>
          <w:sz w:val="36"/>
          <w:szCs w:val="36"/>
          <w:rtl/>
        </w:rPr>
        <w:t>خصوصي</w:t>
      </w:r>
      <w:r w:rsidR="00EC7EDF" w:rsidRPr="00FD211F">
        <w:rPr>
          <w:sz w:val="36"/>
          <w:szCs w:val="36"/>
          <w:rtl/>
        </w:rPr>
        <w:t xml:space="preserve">ة </w:t>
      </w:r>
      <w:r w:rsidR="00E557D2" w:rsidRPr="00FD211F">
        <w:rPr>
          <w:sz w:val="36"/>
          <w:szCs w:val="36"/>
          <w:rtl/>
        </w:rPr>
        <w:t>المورد</w:t>
      </w:r>
      <w:r w:rsidR="00603323" w:rsidRPr="00FD211F">
        <w:rPr>
          <w:sz w:val="36"/>
          <w:szCs w:val="36"/>
          <w:rtl/>
        </w:rPr>
        <w:t xml:space="preserve">، </w:t>
      </w:r>
      <w:r w:rsidR="00E557D2" w:rsidRPr="00FD211F">
        <w:rPr>
          <w:sz w:val="36"/>
          <w:szCs w:val="36"/>
          <w:rtl/>
        </w:rPr>
        <w:t>حيث تكون الكري</w:t>
      </w:r>
      <w:r w:rsidR="00EC7EDF" w:rsidRPr="00FD211F">
        <w:rPr>
          <w:sz w:val="36"/>
          <w:szCs w:val="36"/>
          <w:rtl/>
        </w:rPr>
        <w:t xml:space="preserve">ة </w:t>
      </w:r>
      <w:r w:rsidR="00E557D2" w:rsidRPr="00FD211F">
        <w:rPr>
          <w:sz w:val="36"/>
          <w:szCs w:val="36"/>
          <w:rtl/>
        </w:rPr>
        <w:t>من عوارض وجود الماء</w:t>
      </w:r>
      <w:r w:rsidR="007C7BD6" w:rsidRPr="00FD211F">
        <w:rPr>
          <w:sz w:val="36"/>
          <w:szCs w:val="36"/>
          <w:rtl/>
        </w:rPr>
        <w:t xml:space="preserve"> </w:t>
      </w:r>
      <w:r w:rsidR="00E557D2" w:rsidRPr="00FD211F">
        <w:rPr>
          <w:sz w:val="36"/>
          <w:szCs w:val="36"/>
          <w:rtl/>
        </w:rPr>
        <w:t xml:space="preserve">لامن عوارض ذاته وماهيته </w:t>
      </w:r>
      <w:r w:rsidRPr="00FD211F">
        <w:rPr>
          <w:sz w:val="36"/>
          <w:szCs w:val="36"/>
          <w:rtl/>
        </w:rPr>
        <w:t>و</w:t>
      </w:r>
      <w:r w:rsidR="00E557D2" w:rsidRPr="00FD211F">
        <w:rPr>
          <w:sz w:val="36"/>
          <w:szCs w:val="36"/>
          <w:rtl/>
        </w:rPr>
        <w:t>هكذا</w:t>
      </w:r>
      <w:r w:rsidR="007C7BD6" w:rsidRPr="00FD211F">
        <w:rPr>
          <w:sz w:val="36"/>
          <w:szCs w:val="36"/>
          <w:rtl/>
        </w:rPr>
        <w:t xml:space="preserve"> </w:t>
      </w:r>
      <w:r w:rsidR="00E557D2" w:rsidRPr="00FD211F">
        <w:rPr>
          <w:sz w:val="36"/>
          <w:szCs w:val="36"/>
          <w:rtl/>
        </w:rPr>
        <w:t>القرشي</w:t>
      </w:r>
      <w:r w:rsidR="00EC7EDF" w:rsidRPr="00FD211F">
        <w:rPr>
          <w:sz w:val="36"/>
          <w:szCs w:val="36"/>
          <w:rtl/>
        </w:rPr>
        <w:t xml:space="preserve">ة </w:t>
      </w:r>
      <w:r w:rsidR="00E557D2" w:rsidRPr="00FD211F">
        <w:rPr>
          <w:sz w:val="36"/>
          <w:szCs w:val="36"/>
          <w:rtl/>
        </w:rPr>
        <w:t>من عوارض وجودالمرئ</w:t>
      </w:r>
      <w:r w:rsidR="00EC7EDF" w:rsidRPr="00FD211F">
        <w:rPr>
          <w:sz w:val="36"/>
          <w:szCs w:val="36"/>
          <w:rtl/>
        </w:rPr>
        <w:t xml:space="preserve">ة </w:t>
      </w:r>
      <w:r w:rsidR="00E557D2" w:rsidRPr="00FD211F">
        <w:rPr>
          <w:sz w:val="36"/>
          <w:szCs w:val="36"/>
          <w:rtl/>
        </w:rPr>
        <w:t>لا</w:t>
      </w:r>
      <w:r w:rsidR="002C26FC" w:rsidRPr="00FD211F">
        <w:rPr>
          <w:sz w:val="36"/>
          <w:szCs w:val="36"/>
          <w:rtl/>
        </w:rPr>
        <w:t xml:space="preserve">من عوارض </w:t>
      </w:r>
      <w:r w:rsidR="00E557D2" w:rsidRPr="00FD211F">
        <w:rPr>
          <w:sz w:val="36"/>
          <w:szCs w:val="36"/>
          <w:rtl/>
        </w:rPr>
        <w:t>ذاتها</w:t>
      </w:r>
      <w:r w:rsidRPr="00FD211F">
        <w:rPr>
          <w:sz w:val="36"/>
          <w:szCs w:val="36"/>
          <w:rtl/>
        </w:rPr>
        <w:t>.</w:t>
      </w:r>
      <w:r w:rsidR="009C58C8" w:rsidRPr="00FD211F">
        <w:rPr>
          <w:rStyle w:val="a6"/>
          <w:sz w:val="36"/>
          <w:szCs w:val="36"/>
          <w:rtl/>
        </w:rPr>
        <w:t>(</w:t>
      </w:r>
      <w:r w:rsidR="009C58C8" w:rsidRPr="00FD211F">
        <w:rPr>
          <w:rStyle w:val="a6"/>
          <w:sz w:val="36"/>
          <w:szCs w:val="36"/>
          <w:rtl/>
        </w:rPr>
        <w:footnoteReference w:id="181"/>
      </w:r>
      <w:r w:rsidR="009C58C8" w:rsidRPr="00FD211F">
        <w:rPr>
          <w:rStyle w:val="a6"/>
          <w:sz w:val="36"/>
          <w:szCs w:val="36"/>
          <w:rtl/>
        </w:rPr>
        <w:t>)</w:t>
      </w:r>
    </w:p>
    <w:p w14:paraId="731ECAE3" w14:textId="77777777" w:rsidR="00493BB3" w:rsidRPr="00FD211F" w:rsidRDefault="00C40203" w:rsidP="009C58C8">
      <w:pPr>
        <w:ind w:left="0" w:firstLine="227"/>
        <w:jc w:val="both"/>
        <w:rPr>
          <w:sz w:val="36"/>
          <w:szCs w:val="36"/>
          <w:rtl/>
        </w:rPr>
      </w:pPr>
      <w:r w:rsidRPr="00FD211F">
        <w:rPr>
          <w:sz w:val="36"/>
          <w:szCs w:val="36"/>
          <w:rtl/>
        </w:rPr>
        <w:t>و</w:t>
      </w:r>
      <w:r w:rsidR="00DD76D0" w:rsidRPr="00FD211F">
        <w:rPr>
          <w:sz w:val="36"/>
          <w:szCs w:val="36"/>
          <w:rtl/>
        </w:rPr>
        <w:t>ما</w:t>
      </w:r>
      <w:r w:rsidR="00251CB6" w:rsidRPr="00FD211F">
        <w:rPr>
          <w:sz w:val="36"/>
          <w:szCs w:val="36"/>
          <w:rtl/>
        </w:rPr>
        <w:t xml:space="preserve"> </w:t>
      </w:r>
      <w:r w:rsidR="00DD76D0" w:rsidRPr="00FD211F">
        <w:rPr>
          <w:sz w:val="36"/>
          <w:szCs w:val="36"/>
          <w:rtl/>
        </w:rPr>
        <w:t>افاده</w:t>
      </w:r>
      <w:r w:rsidRPr="00FD211F">
        <w:rPr>
          <w:sz w:val="36"/>
          <w:szCs w:val="36"/>
          <w:rtl/>
        </w:rPr>
        <w:t xml:space="preserve"> </w:t>
      </w:r>
      <w:r w:rsidR="003A219C" w:rsidRPr="00FD211F">
        <w:rPr>
          <w:sz w:val="36"/>
          <w:szCs w:val="36"/>
          <w:rtl/>
        </w:rPr>
        <w:t xml:space="preserve">في البحوث </w:t>
      </w:r>
      <w:r w:rsidR="00CA49CB" w:rsidRPr="00FD211F">
        <w:rPr>
          <w:sz w:val="36"/>
          <w:szCs w:val="36"/>
          <w:rtl/>
        </w:rPr>
        <w:t xml:space="preserve">تام </w:t>
      </w:r>
      <w:r w:rsidRPr="00FD211F">
        <w:rPr>
          <w:sz w:val="36"/>
          <w:szCs w:val="36"/>
          <w:rtl/>
        </w:rPr>
        <w:t>جد</w:t>
      </w:r>
      <w:r w:rsidR="002C26FC" w:rsidRPr="00FD211F">
        <w:rPr>
          <w:sz w:val="36"/>
          <w:szCs w:val="36"/>
          <w:rtl/>
        </w:rPr>
        <w:t>ا</w:t>
      </w:r>
      <w:r w:rsidR="00CA49CB" w:rsidRPr="00FD211F">
        <w:rPr>
          <w:sz w:val="36"/>
          <w:szCs w:val="36"/>
          <w:rtl/>
        </w:rPr>
        <w:t xml:space="preserve"> </w:t>
      </w:r>
      <w:r w:rsidR="002C26FC" w:rsidRPr="00FD211F">
        <w:rPr>
          <w:sz w:val="36"/>
          <w:szCs w:val="36"/>
          <w:rtl/>
        </w:rPr>
        <w:t>عدا</w:t>
      </w:r>
      <w:r w:rsidR="00CA49CB" w:rsidRPr="00FD211F">
        <w:rPr>
          <w:sz w:val="36"/>
          <w:szCs w:val="36"/>
          <w:rtl/>
        </w:rPr>
        <w:t xml:space="preserve"> ما</w:t>
      </w:r>
      <w:r w:rsidR="00251CB6" w:rsidRPr="00FD211F">
        <w:rPr>
          <w:sz w:val="36"/>
          <w:szCs w:val="36"/>
          <w:rtl/>
        </w:rPr>
        <w:t xml:space="preserve"> </w:t>
      </w:r>
      <w:r w:rsidR="00CA49CB" w:rsidRPr="00FD211F">
        <w:rPr>
          <w:sz w:val="36"/>
          <w:szCs w:val="36"/>
          <w:rtl/>
        </w:rPr>
        <w:t>اورده على دعوى دلال</w:t>
      </w:r>
      <w:r w:rsidR="00EC7EDF" w:rsidRPr="00FD211F">
        <w:rPr>
          <w:sz w:val="36"/>
          <w:szCs w:val="36"/>
          <w:rtl/>
        </w:rPr>
        <w:t xml:space="preserve">ة </w:t>
      </w:r>
      <w:r w:rsidR="002C26FC" w:rsidRPr="00FD211F">
        <w:rPr>
          <w:sz w:val="36"/>
          <w:szCs w:val="36"/>
          <w:rtl/>
        </w:rPr>
        <w:t>الجمل</w:t>
      </w:r>
      <w:r w:rsidR="00EC7EDF" w:rsidRPr="00FD211F">
        <w:rPr>
          <w:sz w:val="36"/>
          <w:szCs w:val="36"/>
          <w:rtl/>
        </w:rPr>
        <w:t xml:space="preserve">ة </w:t>
      </w:r>
      <w:r w:rsidR="002C26FC" w:rsidRPr="00FD211F">
        <w:rPr>
          <w:sz w:val="36"/>
          <w:szCs w:val="36"/>
          <w:rtl/>
        </w:rPr>
        <w:t>التام</w:t>
      </w:r>
      <w:r w:rsidR="00EC7EDF" w:rsidRPr="00FD211F">
        <w:rPr>
          <w:sz w:val="36"/>
          <w:szCs w:val="36"/>
          <w:rtl/>
        </w:rPr>
        <w:t xml:space="preserve">ة </w:t>
      </w:r>
      <w:r w:rsidR="001D734A" w:rsidRPr="00FD211F">
        <w:rPr>
          <w:sz w:val="36"/>
          <w:szCs w:val="36"/>
          <w:rtl/>
        </w:rPr>
        <w:t xml:space="preserve">على </w:t>
      </w:r>
      <w:r w:rsidR="007766A5" w:rsidRPr="00FD211F">
        <w:rPr>
          <w:sz w:val="36"/>
          <w:szCs w:val="36"/>
          <w:rtl/>
        </w:rPr>
        <w:t>اتحاد</w:t>
      </w:r>
      <w:r w:rsidR="00CA49CB" w:rsidRPr="00FD211F">
        <w:rPr>
          <w:sz w:val="36"/>
          <w:szCs w:val="36"/>
          <w:rtl/>
        </w:rPr>
        <w:t xml:space="preserve"> </w:t>
      </w:r>
      <w:r w:rsidR="007766A5" w:rsidRPr="00FD211F">
        <w:rPr>
          <w:sz w:val="36"/>
          <w:szCs w:val="36"/>
          <w:rtl/>
        </w:rPr>
        <w:t>ا</w:t>
      </w:r>
      <w:r w:rsidR="001D734A" w:rsidRPr="00FD211F">
        <w:rPr>
          <w:sz w:val="36"/>
          <w:szCs w:val="36"/>
          <w:rtl/>
        </w:rPr>
        <w:t>لموضوع</w:t>
      </w:r>
      <w:r w:rsidR="007766A5" w:rsidRPr="00FD211F">
        <w:rPr>
          <w:sz w:val="36"/>
          <w:szCs w:val="36"/>
          <w:rtl/>
        </w:rPr>
        <w:t xml:space="preserve"> والمحمول </w:t>
      </w:r>
      <w:r w:rsidR="001D734A" w:rsidRPr="00FD211F">
        <w:rPr>
          <w:sz w:val="36"/>
          <w:szCs w:val="36"/>
          <w:rtl/>
        </w:rPr>
        <w:t>خارجا</w:t>
      </w:r>
      <w:r w:rsidR="00603323" w:rsidRPr="00FD211F">
        <w:rPr>
          <w:sz w:val="36"/>
          <w:szCs w:val="36"/>
          <w:rtl/>
        </w:rPr>
        <w:t xml:space="preserve">، </w:t>
      </w:r>
      <w:r w:rsidR="007766A5" w:rsidRPr="00FD211F">
        <w:rPr>
          <w:sz w:val="36"/>
          <w:szCs w:val="36"/>
          <w:rtl/>
        </w:rPr>
        <w:t>فان الظاهر أن الذي وضعت الجمل</w:t>
      </w:r>
      <w:r w:rsidR="00EC7EDF" w:rsidRPr="00FD211F">
        <w:rPr>
          <w:sz w:val="36"/>
          <w:szCs w:val="36"/>
          <w:rtl/>
        </w:rPr>
        <w:t xml:space="preserve">ة </w:t>
      </w:r>
      <w:r w:rsidR="007766A5" w:rsidRPr="00FD211F">
        <w:rPr>
          <w:sz w:val="36"/>
          <w:szCs w:val="36"/>
          <w:rtl/>
        </w:rPr>
        <w:t>التام</w:t>
      </w:r>
      <w:r w:rsidR="00EC7EDF" w:rsidRPr="00FD211F">
        <w:rPr>
          <w:sz w:val="36"/>
          <w:szCs w:val="36"/>
          <w:rtl/>
        </w:rPr>
        <w:t xml:space="preserve">ة </w:t>
      </w:r>
      <w:r w:rsidR="007766A5" w:rsidRPr="00FD211F">
        <w:rPr>
          <w:sz w:val="36"/>
          <w:szCs w:val="36"/>
          <w:rtl/>
        </w:rPr>
        <w:t>لتكون علام</w:t>
      </w:r>
      <w:r w:rsidR="00EC7EDF" w:rsidRPr="00FD211F">
        <w:rPr>
          <w:sz w:val="36"/>
          <w:szCs w:val="36"/>
          <w:rtl/>
        </w:rPr>
        <w:t xml:space="preserve">ة </w:t>
      </w:r>
      <w:r w:rsidR="007766A5" w:rsidRPr="00FD211F">
        <w:rPr>
          <w:sz w:val="36"/>
          <w:szCs w:val="36"/>
          <w:rtl/>
        </w:rPr>
        <w:t>عليه وان كان هو واقع الاتحاد بين الموضوع والمحمول خارجا</w:t>
      </w:r>
      <w:r w:rsidR="00603323" w:rsidRPr="00FD211F">
        <w:rPr>
          <w:sz w:val="36"/>
          <w:szCs w:val="36"/>
          <w:rtl/>
        </w:rPr>
        <w:t xml:space="preserve">، </w:t>
      </w:r>
      <w:r w:rsidR="007766A5" w:rsidRPr="00FD211F">
        <w:rPr>
          <w:sz w:val="36"/>
          <w:szCs w:val="36"/>
          <w:rtl/>
        </w:rPr>
        <w:t>لكن حيث أن المستعمل فيه بالذات هو الحكم النفساني باتحاد الموضوع والمحمول خارجا</w:t>
      </w:r>
      <w:r w:rsidR="00603323" w:rsidRPr="00FD211F">
        <w:rPr>
          <w:sz w:val="36"/>
          <w:szCs w:val="36"/>
          <w:rtl/>
        </w:rPr>
        <w:t xml:space="preserve">، </w:t>
      </w:r>
      <w:r w:rsidR="007766A5" w:rsidRPr="00FD211F">
        <w:rPr>
          <w:sz w:val="36"/>
          <w:szCs w:val="36"/>
          <w:rtl/>
        </w:rPr>
        <w:t>وقد يعبر عنه بالنسب</w:t>
      </w:r>
      <w:r w:rsidR="00EC7EDF" w:rsidRPr="00FD211F">
        <w:rPr>
          <w:sz w:val="36"/>
          <w:szCs w:val="36"/>
          <w:rtl/>
        </w:rPr>
        <w:t xml:space="preserve">ة </w:t>
      </w:r>
      <w:r w:rsidR="007766A5" w:rsidRPr="00FD211F">
        <w:rPr>
          <w:sz w:val="36"/>
          <w:szCs w:val="36"/>
          <w:rtl/>
        </w:rPr>
        <w:t>الحملي</w:t>
      </w:r>
      <w:r w:rsidR="00EC7EDF" w:rsidRPr="00FD211F">
        <w:rPr>
          <w:sz w:val="36"/>
          <w:szCs w:val="36"/>
          <w:rtl/>
        </w:rPr>
        <w:t xml:space="preserve">ة </w:t>
      </w:r>
      <w:r w:rsidR="007766A5" w:rsidRPr="00FD211F">
        <w:rPr>
          <w:sz w:val="36"/>
          <w:szCs w:val="36"/>
          <w:rtl/>
        </w:rPr>
        <w:t>او النسب</w:t>
      </w:r>
      <w:r w:rsidR="00EC7EDF" w:rsidRPr="00FD211F">
        <w:rPr>
          <w:sz w:val="36"/>
          <w:szCs w:val="36"/>
          <w:rtl/>
        </w:rPr>
        <w:t xml:space="preserve">ة </w:t>
      </w:r>
      <w:r w:rsidR="007766A5" w:rsidRPr="00FD211F">
        <w:rPr>
          <w:sz w:val="36"/>
          <w:szCs w:val="36"/>
          <w:rtl/>
        </w:rPr>
        <w:t>التصادقي</w:t>
      </w:r>
      <w:r w:rsidR="00EC7EDF" w:rsidRPr="00FD211F">
        <w:rPr>
          <w:sz w:val="36"/>
          <w:szCs w:val="36"/>
          <w:rtl/>
        </w:rPr>
        <w:t>ة</w:t>
      </w:r>
      <w:r w:rsidR="00603323" w:rsidRPr="00FD211F">
        <w:rPr>
          <w:sz w:val="36"/>
          <w:szCs w:val="36"/>
          <w:rtl/>
        </w:rPr>
        <w:t xml:space="preserve">، </w:t>
      </w:r>
      <w:r w:rsidR="000F79A2" w:rsidRPr="00FD211F">
        <w:rPr>
          <w:sz w:val="36"/>
          <w:szCs w:val="36"/>
          <w:rtl/>
        </w:rPr>
        <w:t>ف</w:t>
      </w:r>
      <w:r w:rsidR="007766A5" w:rsidRPr="00FD211F">
        <w:rPr>
          <w:sz w:val="36"/>
          <w:szCs w:val="36"/>
          <w:rtl/>
        </w:rPr>
        <w:t>بعد انحفاظ المستعمل فيه بالذات في القضي</w:t>
      </w:r>
      <w:r w:rsidR="00EC7EDF" w:rsidRPr="00FD211F">
        <w:rPr>
          <w:sz w:val="36"/>
          <w:szCs w:val="36"/>
          <w:rtl/>
        </w:rPr>
        <w:t xml:space="preserve">ة </w:t>
      </w:r>
      <w:r w:rsidR="007766A5" w:rsidRPr="00FD211F">
        <w:rPr>
          <w:sz w:val="36"/>
          <w:szCs w:val="36"/>
          <w:rtl/>
        </w:rPr>
        <w:t>الكاذب</w:t>
      </w:r>
      <w:r w:rsidR="00EC7EDF" w:rsidRPr="00FD211F">
        <w:rPr>
          <w:sz w:val="36"/>
          <w:szCs w:val="36"/>
          <w:rtl/>
        </w:rPr>
        <w:t xml:space="preserve">ة </w:t>
      </w:r>
      <w:r w:rsidR="007766A5" w:rsidRPr="00FD211F">
        <w:rPr>
          <w:sz w:val="36"/>
          <w:szCs w:val="36"/>
          <w:rtl/>
        </w:rPr>
        <w:t>فلايكون الكلام مهملا</w:t>
      </w:r>
      <w:r w:rsidR="00603323" w:rsidRPr="00FD211F">
        <w:rPr>
          <w:sz w:val="36"/>
          <w:szCs w:val="36"/>
          <w:rtl/>
        </w:rPr>
        <w:t xml:space="preserve">، </w:t>
      </w:r>
      <w:r w:rsidR="007766A5" w:rsidRPr="00FD211F">
        <w:rPr>
          <w:sz w:val="36"/>
          <w:szCs w:val="36"/>
          <w:rtl/>
        </w:rPr>
        <w:t>ولايوجب انتفاء ذي العلام</w:t>
      </w:r>
      <w:r w:rsidR="00EC7EDF" w:rsidRPr="00FD211F">
        <w:rPr>
          <w:sz w:val="36"/>
          <w:szCs w:val="36"/>
          <w:rtl/>
        </w:rPr>
        <w:t xml:space="preserve">ة </w:t>
      </w:r>
      <w:r w:rsidR="007766A5" w:rsidRPr="00FD211F">
        <w:rPr>
          <w:sz w:val="36"/>
          <w:szCs w:val="36"/>
          <w:rtl/>
        </w:rPr>
        <w:t>اهمال العلام</w:t>
      </w:r>
      <w:r w:rsidR="00EC7EDF" w:rsidRPr="00FD211F">
        <w:rPr>
          <w:sz w:val="36"/>
          <w:szCs w:val="36"/>
          <w:rtl/>
        </w:rPr>
        <w:t>ة</w:t>
      </w:r>
      <w:r w:rsidR="00A61BAE" w:rsidRPr="00FD211F">
        <w:rPr>
          <w:sz w:val="36"/>
          <w:szCs w:val="36"/>
          <w:rtl/>
        </w:rPr>
        <w:t>.</w:t>
      </w:r>
    </w:p>
    <w:p w14:paraId="7F5A6B29" w14:textId="77777777" w:rsidR="007C7BD6" w:rsidRPr="00FD211F" w:rsidRDefault="004142E8" w:rsidP="009C58C8">
      <w:pPr>
        <w:ind w:left="0" w:firstLine="227"/>
        <w:jc w:val="both"/>
        <w:rPr>
          <w:sz w:val="36"/>
          <w:szCs w:val="36"/>
          <w:rtl/>
        </w:rPr>
      </w:pPr>
      <w:r w:rsidRPr="00FD211F">
        <w:rPr>
          <w:b/>
          <w:bCs/>
          <w:sz w:val="36"/>
          <w:szCs w:val="36"/>
          <w:rtl/>
        </w:rPr>
        <w:t>الوجه ال</w:t>
      </w:r>
      <w:r w:rsidR="001737D5" w:rsidRPr="00FD211F">
        <w:rPr>
          <w:b/>
          <w:bCs/>
          <w:sz w:val="36"/>
          <w:szCs w:val="36"/>
          <w:rtl/>
        </w:rPr>
        <w:t>رابع</w:t>
      </w:r>
      <w:r w:rsidR="00EC7EDF" w:rsidRPr="00FD211F">
        <w:rPr>
          <w:sz w:val="36"/>
          <w:szCs w:val="36"/>
          <w:rtl/>
        </w:rPr>
        <w:t>:</w:t>
      </w:r>
      <w:r w:rsidR="00E55749" w:rsidRPr="00FD211F">
        <w:rPr>
          <w:sz w:val="36"/>
          <w:szCs w:val="36"/>
          <w:rtl/>
        </w:rPr>
        <w:t xml:space="preserve"> </w:t>
      </w:r>
      <w:r w:rsidRPr="00FD211F">
        <w:rPr>
          <w:sz w:val="36"/>
          <w:szCs w:val="36"/>
          <w:rtl/>
        </w:rPr>
        <w:t>ما</w:t>
      </w:r>
      <w:r w:rsidR="00E55749" w:rsidRPr="00FD211F">
        <w:rPr>
          <w:sz w:val="36"/>
          <w:szCs w:val="36"/>
          <w:rtl/>
        </w:rPr>
        <w:t xml:space="preserve"> </w:t>
      </w:r>
      <w:r w:rsidR="003A219C" w:rsidRPr="00FD211F">
        <w:rPr>
          <w:sz w:val="36"/>
          <w:szCs w:val="36"/>
          <w:rtl/>
        </w:rPr>
        <w:t>ذكر</w:t>
      </w:r>
      <w:r w:rsidRPr="00FD211F">
        <w:rPr>
          <w:sz w:val="36"/>
          <w:szCs w:val="36"/>
          <w:rtl/>
        </w:rPr>
        <w:t>ه</w:t>
      </w:r>
      <w:r w:rsidR="003A219C" w:rsidRPr="00FD211F">
        <w:rPr>
          <w:sz w:val="36"/>
          <w:szCs w:val="36"/>
          <w:rtl/>
        </w:rPr>
        <w:t xml:space="preserve"> </w:t>
      </w:r>
      <w:r w:rsidR="00E62E35" w:rsidRPr="00FD211F">
        <w:rPr>
          <w:sz w:val="36"/>
          <w:szCs w:val="36"/>
          <w:rtl/>
        </w:rPr>
        <w:t>في البحوث</w:t>
      </w:r>
      <w:r w:rsidRPr="00FD211F">
        <w:rPr>
          <w:sz w:val="36"/>
          <w:szCs w:val="36"/>
          <w:rtl/>
        </w:rPr>
        <w:t xml:space="preserve"> من</w:t>
      </w:r>
      <w:r w:rsidR="00B253CE" w:rsidRPr="00FD211F">
        <w:rPr>
          <w:sz w:val="36"/>
          <w:szCs w:val="36"/>
          <w:rtl/>
        </w:rPr>
        <w:t xml:space="preserve"> </w:t>
      </w:r>
      <w:r w:rsidR="00556BC0" w:rsidRPr="00FD211F">
        <w:rPr>
          <w:sz w:val="36"/>
          <w:szCs w:val="36"/>
          <w:rtl/>
        </w:rPr>
        <w:t>ان النسب</w:t>
      </w:r>
      <w:r w:rsidR="00EC7EDF" w:rsidRPr="00FD211F">
        <w:rPr>
          <w:sz w:val="36"/>
          <w:szCs w:val="36"/>
          <w:rtl/>
        </w:rPr>
        <w:t xml:space="preserve">ة </w:t>
      </w:r>
      <w:r w:rsidR="00556BC0" w:rsidRPr="00FD211F">
        <w:rPr>
          <w:sz w:val="36"/>
          <w:szCs w:val="36"/>
          <w:rtl/>
        </w:rPr>
        <w:t>في الجمل</w:t>
      </w:r>
      <w:r w:rsidR="00EC7EDF" w:rsidRPr="00FD211F">
        <w:rPr>
          <w:sz w:val="36"/>
          <w:szCs w:val="36"/>
          <w:rtl/>
        </w:rPr>
        <w:t xml:space="preserve">ة </w:t>
      </w:r>
      <w:r w:rsidR="00556BC0" w:rsidRPr="00FD211F">
        <w:rPr>
          <w:sz w:val="36"/>
          <w:szCs w:val="36"/>
          <w:rtl/>
        </w:rPr>
        <w:t>الناقص</w:t>
      </w:r>
      <w:r w:rsidR="00EC7EDF" w:rsidRPr="00FD211F">
        <w:rPr>
          <w:sz w:val="36"/>
          <w:szCs w:val="36"/>
          <w:rtl/>
        </w:rPr>
        <w:t xml:space="preserve">ة </w:t>
      </w:r>
      <w:r w:rsidR="00556BC0" w:rsidRPr="00FD211F">
        <w:rPr>
          <w:sz w:val="36"/>
          <w:szCs w:val="36"/>
          <w:rtl/>
        </w:rPr>
        <w:t>تحليلي</w:t>
      </w:r>
      <w:r w:rsidR="00EC7EDF" w:rsidRPr="00FD211F">
        <w:rPr>
          <w:sz w:val="36"/>
          <w:szCs w:val="36"/>
          <w:rtl/>
        </w:rPr>
        <w:t xml:space="preserve">ة </w:t>
      </w:r>
      <w:r w:rsidR="00863693" w:rsidRPr="00FD211F">
        <w:rPr>
          <w:sz w:val="36"/>
          <w:szCs w:val="36"/>
          <w:rtl/>
        </w:rPr>
        <w:t>دائما</w:t>
      </w:r>
      <w:r w:rsidR="00556BC0" w:rsidRPr="00FD211F">
        <w:rPr>
          <w:sz w:val="36"/>
          <w:szCs w:val="36"/>
          <w:rtl/>
        </w:rPr>
        <w:t xml:space="preserve"> فقولنا</w:t>
      </w:r>
      <w:r w:rsidR="00DD76D0" w:rsidRPr="00FD211F">
        <w:rPr>
          <w:sz w:val="36"/>
          <w:szCs w:val="36"/>
          <w:rtl/>
        </w:rPr>
        <w:t>"</w:t>
      </w:r>
      <w:r w:rsidR="00556BC0" w:rsidRPr="00FD211F">
        <w:rPr>
          <w:sz w:val="36"/>
          <w:szCs w:val="36"/>
          <w:rtl/>
        </w:rPr>
        <w:t xml:space="preserve"> ضرب</w:t>
      </w:r>
      <w:r w:rsidR="00863693" w:rsidRPr="00FD211F">
        <w:rPr>
          <w:sz w:val="36"/>
          <w:szCs w:val="36"/>
          <w:rtl/>
        </w:rPr>
        <w:t>ُ</w:t>
      </w:r>
      <w:r w:rsidR="00556BC0" w:rsidRPr="00FD211F">
        <w:rPr>
          <w:sz w:val="36"/>
          <w:szCs w:val="36"/>
          <w:rtl/>
        </w:rPr>
        <w:t xml:space="preserve"> زيد</w:t>
      </w:r>
      <w:r w:rsidR="00863693" w:rsidRPr="00FD211F">
        <w:rPr>
          <w:sz w:val="36"/>
          <w:szCs w:val="36"/>
          <w:rtl/>
        </w:rPr>
        <w:t>ٍ</w:t>
      </w:r>
      <w:r w:rsidR="00DD76D0" w:rsidRPr="00FD211F">
        <w:rPr>
          <w:sz w:val="36"/>
          <w:szCs w:val="36"/>
          <w:rtl/>
        </w:rPr>
        <w:t>"</w:t>
      </w:r>
      <w:r w:rsidR="00556BC0" w:rsidRPr="00FD211F">
        <w:rPr>
          <w:sz w:val="36"/>
          <w:szCs w:val="36"/>
          <w:rtl/>
        </w:rPr>
        <w:t xml:space="preserve"> دال على حص</w:t>
      </w:r>
      <w:r w:rsidR="00EC7EDF" w:rsidRPr="00FD211F">
        <w:rPr>
          <w:sz w:val="36"/>
          <w:szCs w:val="36"/>
          <w:rtl/>
        </w:rPr>
        <w:t xml:space="preserve">ة </w:t>
      </w:r>
      <w:r w:rsidR="00556BC0" w:rsidRPr="00FD211F">
        <w:rPr>
          <w:sz w:val="36"/>
          <w:szCs w:val="36"/>
          <w:rtl/>
        </w:rPr>
        <w:t>خاص</w:t>
      </w:r>
      <w:r w:rsidR="00EC7EDF" w:rsidRPr="00FD211F">
        <w:rPr>
          <w:sz w:val="36"/>
          <w:szCs w:val="36"/>
          <w:rtl/>
        </w:rPr>
        <w:t xml:space="preserve">ة </w:t>
      </w:r>
      <w:r w:rsidR="00556BC0" w:rsidRPr="00FD211F">
        <w:rPr>
          <w:sz w:val="36"/>
          <w:szCs w:val="36"/>
          <w:rtl/>
        </w:rPr>
        <w:t>من الضرب</w:t>
      </w:r>
      <w:r w:rsidR="00603323" w:rsidRPr="00FD211F">
        <w:rPr>
          <w:sz w:val="36"/>
          <w:szCs w:val="36"/>
          <w:rtl/>
        </w:rPr>
        <w:t xml:space="preserve">، </w:t>
      </w:r>
      <w:r w:rsidR="00556BC0" w:rsidRPr="00FD211F">
        <w:rPr>
          <w:sz w:val="36"/>
          <w:szCs w:val="36"/>
          <w:rtl/>
        </w:rPr>
        <w:t xml:space="preserve">فمدلوله يكون </w:t>
      </w:r>
      <w:r w:rsidR="00863693" w:rsidRPr="00FD211F">
        <w:rPr>
          <w:sz w:val="36"/>
          <w:szCs w:val="36"/>
          <w:rtl/>
        </w:rPr>
        <w:t xml:space="preserve">بسيطا تصورا وان كان ينحل بالتحليل </w:t>
      </w:r>
      <w:r w:rsidR="00556BC0" w:rsidRPr="00FD211F">
        <w:rPr>
          <w:sz w:val="36"/>
          <w:szCs w:val="36"/>
          <w:rtl/>
        </w:rPr>
        <w:t>العقلي الى ثلاث</w:t>
      </w:r>
      <w:r w:rsidR="00EC7EDF" w:rsidRPr="00FD211F">
        <w:rPr>
          <w:sz w:val="36"/>
          <w:szCs w:val="36"/>
          <w:rtl/>
        </w:rPr>
        <w:t xml:space="preserve">ة </w:t>
      </w:r>
      <w:r w:rsidR="00556BC0" w:rsidRPr="00FD211F">
        <w:rPr>
          <w:sz w:val="36"/>
          <w:szCs w:val="36"/>
          <w:rtl/>
        </w:rPr>
        <w:t>أجزاء</w:t>
      </w:r>
      <w:r w:rsidR="00603323" w:rsidRPr="00FD211F">
        <w:rPr>
          <w:sz w:val="36"/>
          <w:szCs w:val="36"/>
          <w:rtl/>
        </w:rPr>
        <w:t xml:space="preserve">، </w:t>
      </w:r>
      <w:r w:rsidR="00863693" w:rsidRPr="00FD211F">
        <w:rPr>
          <w:sz w:val="36"/>
          <w:szCs w:val="36"/>
          <w:rtl/>
        </w:rPr>
        <w:t>والا</w:t>
      </w:r>
      <w:r w:rsidR="00556BC0" w:rsidRPr="00FD211F">
        <w:rPr>
          <w:sz w:val="36"/>
          <w:szCs w:val="36"/>
          <w:rtl/>
        </w:rPr>
        <w:t xml:space="preserve"> </w:t>
      </w:r>
      <w:r w:rsidR="00863693" w:rsidRPr="00FD211F">
        <w:rPr>
          <w:sz w:val="36"/>
          <w:szCs w:val="36"/>
          <w:rtl/>
        </w:rPr>
        <w:t>ف</w:t>
      </w:r>
      <w:r w:rsidR="00556BC0" w:rsidRPr="00FD211F">
        <w:rPr>
          <w:sz w:val="36"/>
          <w:szCs w:val="36"/>
          <w:rtl/>
        </w:rPr>
        <w:t>لو فرض وجود كل من مفهوم الضرب ومفهوم زيد في الذهن فلابد من فرض نسب</w:t>
      </w:r>
      <w:r w:rsidR="00EC7EDF" w:rsidRPr="00FD211F">
        <w:rPr>
          <w:sz w:val="36"/>
          <w:szCs w:val="36"/>
          <w:rtl/>
        </w:rPr>
        <w:t xml:space="preserve">ة </w:t>
      </w:r>
      <w:r w:rsidR="00556BC0" w:rsidRPr="00FD211F">
        <w:rPr>
          <w:sz w:val="36"/>
          <w:szCs w:val="36"/>
          <w:rtl/>
        </w:rPr>
        <w:t>ذهني</w:t>
      </w:r>
      <w:r w:rsidR="00EC7EDF" w:rsidRPr="00FD211F">
        <w:rPr>
          <w:sz w:val="36"/>
          <w:szCs w:val="36"/>
          <w:rtl/>
        </w:rPr>
        <w:t xml:space="preserve">ة </w:t>
      </w:r>
      <w:r w:rsidR="00556BC0" w:rsidRPr="00FD211F">
        <w:rPr>
          <w:sz w:val="36"/>
          <w:szCs w:val="36"/>
          <w:rtl/>
        </w:rPr>
        <w:t>يربط بينهما</w:t>
      </w:r>
      <w:r w:rsidR="00603323" w:rsidRPr="00FD211F">
        <w:rPr>
          <w:sz w:val="36"/>
          <w:szCs w:val="36"/>
          <w:rtl/>
        </w:rPr>
        <w:t xml:space="preserve">، </w:t>
      </w:r>
      <w:r w:rsidR="00556BC0" w:rsidRPr="00FD211F">
        <w:rPr>
          <w:sz w:val="36"/>
          <w:szCs w:val="36"/>
          <w:rtl/>
        </w:rPr>
        <w:t>ولايمكن ان تكون هذه النسب</w:t>
      </w:r>
      <w:r w:rsidR="00EC7EDF" w:rsidRPr="00FD211F">
        <w:rPr>
          <w:sz w:val="36"/>
          <w:szCs w:val="36"/>
          <w:rtl/>
        </w:rPr>
        <w:t xml:space="preserve">ة </w:t>
      </w:r>
      <w:r w:rsidR="00556BC0" w:rsidRPr="00FD211F">
        <w:rPr>
          <w:sz w:val="36"/>
          <w:szCs w:val="36"/>
          <w:rtl/>
        </w:rPr>
        <w:t>واقع النسب</w:t>
      </w:r>
      <w:r w:rsidR="00EC7EDF" w:rsidRPr="00FD211F">
        <w:rPr>
          <w:sz w:val="36"/>
          <w:szCs w:val="36"/>
          <w:rtl/>
        </w:rPr>
        <w:t xml:space="preserve">ة </w:t>
      </w:r>
      <w:r w:rsidR="00556BC0" w:rsidRPr="00FD211F">
        <w:rPr>
          <w:sz w:val="36"/>
          <w:szCs w:val="36"/>
          <w:rtl/>
        </w:rPr>
        <w:t>الصدوري</w:t>
      </w:r>
      <w:r w:rsidR="00EC7EDF" w:rsidRPr="00FD211F">
        <w:rPr>
          <w:sz w:val="36"/>
          <w:szCs w:val="36"/>
          <w:rtl/>
        </w:rPr>
        <w:t xml:space="preserve">ة </w:t>
      </w:r>
      <w:r w:rsidR="00556BC0" w:rsidRPr="00FD211F">
        <w:rPr>
          <w:sz w:val="36"/>
          <w:szCs w:val="36"/>
          <w:rtl/>
        </w:rPr>
        <w:t>بين مفهوم الضرب ومفهوم زيد</w:t>
      </w:r>
      <w:r w:rsidR="00603323" w:rsidRPr="00FD211F">
        <w:rPr>
          <w:sz w:val="36"/>
          <w:szCs w:val="36"/>
          <w:rtl/>
        </w:rPr>
        <w:t xml:space="preserve">، </w:t>
      </w:r>
      <w:r w:rsidR="00556BC0" w:rsidRPr="00FD211F">
        <w:rPr>
          <w:sz w:val="36"/>
          <w:szCs w:val="36"/>
          <w:rtl/>
        </w:rPr>
        <w:t>لانهما كيفان نفسيان موجودان في النفس وليس احدهما صادرا من الآخر</w:t>
      </w:r>
      <w:r w:rsidR="00603323" w:rsidRPr="00FD211F">
        <w:rPr>
          <w:sz w:val="36"/>
          <w:szCs w:val="36"/>
          <w:rtl/>
        </w:rPr>
        <w:t xml:space="preserve">، </w:t>
      </w:r>
      <w:r w:rsidR="00556BC0" w:rsidRPr="00FD211F">
        <w:rPr>
          <w:sz w:val="36"/>
          <w:szCs w:val="36"/>
          <w:rtl/>
        </w:rPr>
        <w:t>كما ان مفهوم النسب</w:t>
      </w:r>
      <w:r w:rsidR="00EC7EDF" w:rsidRPr="00FD211F">
        <w:rPr>
          <w:sz w:val="36"/>
          <w:szCs w:val="36"/>
          <w:rtl/>
        </w:rPr>
        <w:t xml:space="preserve">ة </w:t>
      </w:r>
      <w:r w:rsidR="00556BC0" w:rsidRPr="00FD211F">
        <w:rPr>
          <w:sz w:val="36"/>
          <w:szCs w:val="36"/>
          <w:rtl/>
        </w:rPr>
        <w:t>الذهني</w:t>
      </w:r>
      <w:r w:rsidR="00EC7EDF" w:rsidRPr="00FD211F">
        <w:rPr>
          <w:sz w:val="36"/>
          <w:szCs w:val="36"/>
          <w:rtl/>
        </w:rPr>
        <w:t xml:space="preserve">ة </w:t>
      </w:r>
      <w:r w:rsidR="00556BC0" w:rsidRPr="00FD211F">
        <w:rPr>
          <w:sz w:val="36"/>
          <w:szCs w:val="36"/>
          <w:rtl/>
        </w:rPr>
        <w:t>لايصلح للربط بينهما</w:t>
      </w:r>
      <w:r w:rsidR="00603323" w:rsidRPr="00FD211F">
        <w:rPr>
          <w:sz w:val="36"/>
          <w:szCs w:val="36"/>
          <w:rtl/>
        </w:rPr>
        <w:t xml:space="preserve">، </w:t>
      </w:r>
      <w:r w:rsidR="00556BC0" w:rsidRPr="00FD211F">
        <w:rPr>
          <w:sz w:val="36"/>
          <w:szCs w:val="36"/>
          <w:rtl/>
        </w:rPr>
        <w:t>فلابد ان تكون واقع نسب</w:t>
      </w:r>
      <w:r w:rsidR="00EC7EDF" w:rsidRPr="00FD211F">
        <w:rPr>
          <w:sz w:val="36"/>
          <w:szCs w:val="36"/>
          <w:rtl/>
        </w:rPr>
        <w:t xml:space="preserve">ة </w:t>
      </w:r>
      <w:r w:rsidR="00556BC0" w:rsidRPr="00FD211F">
        <w:rPr>
          <w:sz w:val="36"/>
          <w:szCs w:val="36"/>
          <w:rtl/>
        </w:rPr>
        <w:t>أخرى كنسب</w:t>
      </w:r>
      <w:r w:rsidR="00EC7EDF" w:rsidRPr="00FD211F">
        <w:rPr>
          <w:sz w:val="36"/>
          <w:szCs w:val="36"/>
          <w:rtl/>
        </w:rPr>
        <w:t xml:space="preserve">ة </w:t>
      </w:r>
      <w:r w:rsidR="00556BC0" w:rsidRPr="00FD211F">
        <w:rPr>
          <w:sz w:val="36"/>
          <w:szCs w:val="36"/>
          <w:rtl/>
        </w:rPr>
        <w:t>المقارن</w:t>
      </w:r>
      <w:r w:rsidR="00EC7EDF" w:rsidRPr="00FD211F">
        <w:rPr>
          <w:sz w:val="36"/>
          <w:szCs w:val="36"/>
          <w:rtl/>
        </w:rPr>
        <w:t xml:space="preserve">ة </w:t>
      </w:r>
      <w:r w:rsidR="00556BC0" w:rsidRPr="00FD211F">
        <w:rPr>
          <w:sz w:val="36"/>
          <w:szCs w:val="36"/>
          <w:rtl/>
        </w:rPr>
        <w:t>بين المفهومين</w:t>
      </w:r>
      <w:r w:rsidR="00603323" w:rsidRPr="00FD211F">
        <w:rPr>
          <w:sz w:val="36"/>
          <w:szCs w:val="36"/>
          <w:rtl/>
        </w:rPr>
        <w:t xml:space="preserve">، </w:t>
      </w:r>
      <w:r w:rsidR="00863693" w:rsidRPr="00FD211F">
        <w:rPr>
          <w:sz w:val="36"/>
          <w:szCs w:val="36"/>
          <w:rtl/>
        </w:rPr>
        <w:t>حيث يوجد</w:t>
      </w:r>
      <w:r w:rsidR="00251CB6" w:rsidRPr="00FD211F">
        <w:rPr>
          <w:sz w:val="36"/>
          <w:szCs w:val="36"/>
          <w:rtl/>
        </w:rPr>
        <w:t xml:space="preserve"> </w:t>
      </w:r>
      <w:r w:rsidR="00863693" w:rsidRPr="00FD211F">
        <w:rPr>
          <w:sz w:val="36"/>
          <w:szCs w:val="36"/>
          <w:rtl/>
        </w:rPr>
        <w:t>المفهومان في الذهن متقارنين</w:t>
      </w:r>
      <w:r w:rsidR="00603323" w:rsidRPr="00FD211F">
        <w:rPr>
          <w:sz w:val="36"/>
          <w:szCs w:val="36"/>
          <w:rtl/>
        </w:rPr>
        <w:t xml:space="preserve">، </w:t>
      </w:r>
      <w:r w:rsidR="00556BC0" w:rsidRPr="00FD211F">
        <w:rPr>
          <w:sz w:val="36"/>
          <w:szCs w:val="36"/>
          <w:rtl/>
        </w:rPr>
        <w:t>و</w:t>
      </w:r>
      <w:r w:rsidR="00863693" w:rsidRPr="00FD211F">
        <w:rPr>
          <w:sz w:val="36"/>
          <w:szCs w:val="36"/>
          <w:rtl/>
        </w:rPr>
        <w:t xml:space="preserve">لكن </w:t>
      </w:r>
      <w:r w:rsidR="00556BC0" w:rsidRPr="00FD211F">
        <w:rPr>
          <w:sz w:val="36"/>
          <w:szCs w:val="36"/>
          <w:rtl/>
        </w:rPr>
        <w:t>هذه النسب</w:t>
      </w:r>
      <w:r w:rsidR="00EC7EDF" w:rsidRPr="00FD211F">
        <w:rPr>
          <w:sz w:val="36"/>
          <w:szCs w:val="36"/>
          <w:rtl/>
        </w:rPr>
        <w:t xml:space="preserve">ة </w:t>
      </w:r>
      <w:r w:rsidR="00556BC0" w:rsidRPr="00FD211F">
        <w:rPr>
          <w:sz w:val="36"/>
          <w:szCs w:val="36"/>
          <w:rtl/>
        </w:rPr>
        <w:t>لاتصلح ان تحكي عن النسب</w:t>
      </w:r>
      <w:r w:rsidR="00EC7EDF" w:rsidRPr="00FD211F">
        <w:rPr>
          <w:sz w:val="36"/>
          <w:szCs w:val="36"/>
          <w:rtl/>
        </w:rPr>
        <w:t xml:space="preserve">ة </w:t>
      </w:r>
      <w:r w:rsidR="00556BC0" w:rsidRPr="00FD211F">
        <w:rPr>
          <w:sz w:val="36"/>
          <w:szCs w:val="36"/>
          <w:rtl/>
        </w:rPr>
        <w:t>الصدوري</w:t>
      </w:r>
      <w:r w:rsidR="00EC7EDF" w:rsidRPr="00FD211F">
        <w:rPr>
          <w:sz w:val="36"/>
          <w:szCs w:val="36"/>
          <w:rtl/>
        </w:rPr>
        <w:t xml:space="preserve">ة </w:t>
      </w:r>
      <w:r w:rsidR="00556BC0" w:rsidRPr="00FD211F">
        <w:rPr>
          <w:sz w:val="36"/>
          <w:szCs w:val="36"/>
          <w:rtl/>
        </w:rPr>
        <w:t>الخارجي</w:t>
      </w:r>
      <w:r w:rsidR="00EC7EDF" w:rsidRPr="00FD211F">
        <w:rPr>
          <w:sz w:val="36"/>
          <w:szCs w:val="36"/>
          <w:rtl/>
        </w:rPr>
        <w:t>ة</w:t>
      </w:r>
      <w:r w:rsidR="00603323" w:rsidRPr="00FD211F">
        <w:rPr>
          <w:sz w:val="36"/>
          <w:szCs w:val="36"/>
          <w:rtl/>
        </w:rPr>
        <w:t xml:space="preserve">، </w:t>
      </w:r>
      <w:r w:rsidR="00556BC0" w:rsidRPr="00FD211F">
        <w:rPr>
          <w:sz w:val="36"/>
          <w:szCs w:val="36"/>
          <w:rtl/>
        </w:rPr>
        <w:t>فيتعين ان يكون الموجود في الذهن واحدا تصورا وهو حص</w:t>
      </w:r>
      <w:r w:rsidR="00EC7EDF" w:rsidRPr="00FD211F">
        <w:rPr>
          <w:sz w:val="36"/>
          <w:szCs w:val="36"/>
          <w:rtl/>
        </w:rPr>
        <w:t xml:space="preserve">ة </w:t>
      </w:r>
      <w:r w:rsidR="00556BC0" w:rsidRPr="00FD211F">
        <w:rPr>
          <w:sz w:val="36"/>
          <w:szCs w:val="36"/>
          <w:rtl/>
        </w:rPr>
        <w:t>خاص</w:t>
      </w:r>
      <w:r w:rsidR="00EC7EDF" w:rsidRPr="00FD211F">
        <w:rPr>
          <w:sz w:val="36"/>
          <w:szCs w:val="36"/>
          <w:rtl/>
        </w:rPr>
        <w:t xml:space="preserve">ة </w:t>
      </w:r>
      <w:r w:rsidR="00556BC0" w:rsidRPr="00FD211F">
        <w:rPr>
          <w:sz w:val="36"/>
          <w:szCs w:val="36"/>
          <w:rtl/>
        </w:rPr>
        <w:t>من الضرب</w:t>
      </w:r>
      <w:r w:rsidR="00603323" w:rsidRPr="00FD211F">
        <w:rPr>
          <w:sz w:val="36"/>
          <w:szCs w:val="36"/>
          <w:rtl/>
        </w:rPr>
        <w:t xml:space="preserve">، </w:t>
      </w:r>
      <w:r w:rsidR="00556BC0" w:rsidRPr="00FD211F">
        <w:rPr>
          <w:sz w:val="36"/>
          <w:szCs w:val="36"/>
          <w:rtl/>
        </w:rPr>
        <w:t>وكذا قولنا</w:t>
      </w:r>
      <w:r w:rsidR="00863693" w:rsidRPr="00FD211F">
        <w:rPr>
          <w:sz w:val="36"/>
          <w:szCs w:val="36"/>
          <w:rtl/>
        </w:rPr>
        <w:t>"</w:t>
      </w:r>
      <w:r w:rsidR="00556BC0" w:rsidRPr="00FD211F">
        <w:rPr>
          <w:sz w:val="36"/>
          <w:szCs w:val="36"/>
          <w:rtl/>
        </w:rPr>
        <w:t xml:space="preserve"> الرجل العالم</w:t>
      </w:r>
      <w:r w:rsidR="00863693" w:rsidRPr="00FD211F">
        <w:rPr>
          <w:sz w:val="36"/>
          <w:szCs w:val="36"/>
          <w:rtl/>
        </w:rPr>
        <w:t>"</w:t>
      </w:r>
      <w:r w:rsidR="00556BC0" w:rsidRPr="00FD211F">
        <w:rPr>
          <w:sz w:val="36"/>
          <w:szCs w:val="36"/>
          <w:rtl/>
        </w:rPr>
        <w:t xml:space="preserve"> دال على حص</w:t>
      </w:r>
      <w:r w:rsidR="00EC7EDF" w:rsidRPr="00FD211F">
        <w:rPr>
          <w:sz w:val="36"/>
          <w:szCs w:val="36"/>
          <w:rtl/>
        </w:rPr>
        <w:t xml:space="preserve">ة </w:t>
      </w:r>
      <w:r w:rsidR="00556BC0" w:rsidRPr="00FD211F">
        <w:rPr>
          <w:sz w:val="36"/>
          <w:szCs w:val="36"/>
          <w:rtl/>
        </w:rPr>
        <w:t>خاص</w:t>
      </w:r>
      <w:r w:rsidR="00EC7EDF" w:rsidRPr="00FD211F">
        <w:rPr>
          <w:sz w:val="36"/>
          <w:szCs w:val="36"/>
          <w:rtl/>
        </w:rPr>
        <w:t xml:space="preserve">ة </w:t>
      </w:r>
      <w:r w:rsidR="00556BC0" w:rsidRPr="00FD211F">
        <w:rPr>
          <w:sz w:val="36"/>
          <w:szCs w:val="36"/>
          <w:rtl/>
        </w:rPr>
        <w:t>من الرجل</w:t>
      </w:r>
      <w:r w:rsidR="00603323" w:rsidRPr="00FD211F">
        <w:rPr>
          <w:sz w:val="36"/>
          <w:szCs w:val="36"/>
          <w:rtl/>
        </w:rPr>
        <w:t xml:space="preserve">، </w:t>
      </w:r>
      <w:r w:rsidR="00556BC0" w:rsidRPr="00FD211F">
        <w:rPr>
          <w:sz w:val="36"/>
          <w:szCs w:val="36"/>
          <w:rtl/>
        </w:rPr>
        <w:t>ومدلوله مفهوم بسيط تصورا وان كان منحلا عقلا الى ثلاث</w:t>
      </w:r>
      <w:r w:rsidR="00EC7EDF" w:rsidRPr="00FD211F">
        <w:rPr>
          <w:sz w:val="36"/>
          <w:szCs w:val="36"/>
          <w:rtl/>
        </w:rPr>
        <w:t xml:space="preserve">ة </w:t>
      </w:r>
      <w:r w:rsidR="00556BC0" w:rsidRPr="00FD211F">
        <w:rPr>
          <w:sz w:val="36"/>
          <w:szCs w:val="36"/>
          <w:rtl/>
        </w:rPr>
        <w:t>اجزاء</w:t>
      </w:r>
      <w:r w:rsidR="00603323" w:rsidRPr="00FD211F">
        <w:rPr>
          <w:sz w:val="36"/>
          <w:szCs w:val="36"/>
          <w:rtl/>
        </w:rPr>
        <w:t xml:space="preserve">، </w:t>
      </w:r>
      <w:r w:rsidR="00863693" w:rsidRPr="00FD211F">
        <w:rPr>
          <w:sz w:val="36"/>
          <w:szCs w:val="36"/>
          <w:rtl/>
        </w:rPr>
        <w:t>وهي</w:t>
      </w:r>
      <w:r w:rsidR="00B253CE" w:rsidRPr="00FD211F">
        <w:rPr>
          <w:sz w:val="36"/>
          <w:szCs w:val="36"/>
          <w:rtl/>
        </w:rPr>
        <w:t xml:space="preserve"> </w:t>
      </w:r>
      <w:r w:rsidR="00556BC0" w:rsidRPr="00FD211F">
        <w:rPr>
          <w:sz w:val="36"/>
          <w:szCs w:val="36"/>
          <w:rtl/>
        </w:rPr>
        <w:t>مفهوم الرجل ومفهوم العالم والنسب</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 xml:space="preserve">ة </w:t>
      </w:r>
      <w:r w:rsidR="00556BC0" w:rsidRPr="00FD211F">
        <w:rPr>
          <w:sz w:val="36"/>
          <w:szCs w:val="36"/>
          <w:rtl/>
        </w:rPr>
        <w:t>بينهما</w:t>
      </w:r>
      <w:r w:rsidR="007C7BD6" w:rsidRPr="00FD211F">
        <w:rPr>
          <w:sz w:val="36"/>
          <w:szCs w:val="36"/>
          <w:rtl/>
        </w:rPr>
        <w:t>.</w:t>
      </w:r>
    </w:p>
    <w:p w14:paraId="4ACDF81C" w14:textId="77777777" w:rsidR="003E740D" w:rsidRPr="00FD211F" w:rsidRDefault="00556BC0" w:rsidP="00E55749">
      <w:pPr>
        <w:ind w:left="0" w:firstLine="227"/>
        <w:jc w:val="both"/>
        <w:rPr>
          <w:sz w:val="36"/>
          <w:szCs w:val="36"/>
          <w:rtl/>
        </w:rPr>
      </w:pPr>
      <w:r w:rsidRPr="00FD211F">
        <w:rPr>
          <w:sz w:val="36"/>
          <w:szCs w:val="36"/>
          <w:rtl/>
        </w:rPr>
        <w:t>وهذه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نسب</w:t>
      </w:r>
      <w:r w:rsidR="00EC7EDF" w:rsidRPr="00FD211F">
        <w:rPr>
          <w:sz w:val="36"/>
          <w:szCs w:val="36"/>
          <w:rtl/>
        </w:rPr>
        <w:t xml:space="preserve">ة </w:t>
      </w:r>
      <w:r w:rsidRPr="00FD211F">
        <w:rPr>
          <w:sz w:val="36"/>
          <w:szCs w:val="36"/>
          <w:rtl/>
        </w:rPr>
        <w:t>تحليلي</w:t>
      </w:r>
      <w:r w:rsidR="00EC7EDF" w:rsidRPr="00FD211F">
        <w:rPr>
          <w:sz w:val="36"/>
          <w:szCs w:val="36"/>
          <w:rtl/>
        </w:rPr>
        <w:t xml:space="preserve">ة </w:t>
      </w:r>
      <w:r w:rsidRPr="00FD211F">
        <w:rPr>
          <w:sz w:val="36"/>
          <w:szCs w:val="36"/>
          <w:rtl/>
        </w:rPr>
        <w:t>وليست نسب</w:t>
      </w:r>
      <w:r w:rsidR="00EC7EDF" w:rsidRPr="00FD211F">
        <w:rPr>
          <w:sz w:val="36"/>
          <w:szCs w:val="36"/>
          <w:rtl/>
        </w:rPr>
        <w:t xml:space="preserve">ة </w:t>
      </w:r>
      <w:r w:rsidRPr="00FD211F">
        <w:rPr>
          <w:sz w:val="36"/>
          <w:szCs w:val="36"/>
          <w:rtl/>
        </w:rPr>
        <w:t>واقعي</w:t>
      </w:r>
      <w:r w:rsidR="00EC7EDF" w:rsidRPr="00FD211F">
        <w:rPr>
          <w:sz w:val="36"/>
          <w:szCs w:val="36"/>
          <w:rtl/>
        </w:rPr>
        <w:t>ة</w:t>
      </w:r>
      <w:r w:rsidR="00603323" w:rsidRPr="00FD211F">
        <w:rPr>
          <w:sz w:val="36"/>
          <w:szCs w:val="36"/>
          <w:rtl/>
        </w:rPr>
        <w:t xml:space="preserve">، </w:t>
      </w:r>
      <w:r w:rsidRPr="00FD211F">
        <w:rPr>
          <w:sz w:val="36"/>
          <w:szCs w:val="36"/>
          <w:rtl/>
        </w:rPr>
        <w:t>فانها متحصل</w:t>
      </w:r>
      <w:r w:rsidR="00EC7EDF" w:rsidRPr="00FD211F">
        <w:rPr>
          <w:sz w:val="36"/>
          <w:szCs w:val="36"/>
          <w:rtl/>
        </w:rPr>
        <w:t xml:space="preserve">ة </w:t>
      </w:r>
      <w:r w:rsidRPr="00FD211F">
        <w:rPr>
          <w:sz w:val="36"/>
          <w:szCs w:val="36"/>
          <w:rtl/>
        </w:rPr>
        <w:t>من واقع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 xml:space="preserve">بين المفهومين في قولنا </w:t>
      </w:r>
      <w:r w:rsidR="00863693" w:rsidRPr="00FD211F">
        <w:rPr>
          <w:sz w:val="36"/>
          <w:szCs w:val="36"/>
          <w:rtl/>
        </w:rPr>
        <w:t>"</w:t>
      </w:r>
      <w:r w:rsidRPr="00FD211F">
        <w:rPr>
          <w:sz w:val="36"/>
          <w:szCs w:val="36"/>
          <w:rtl/>
        </w:rPr>
        <w:t>الرجل عالم</w:t>
      </w:r>
      <w:r w:rsidR="00863693" w:rsidRPr="00FD211F">
        <w:rPr>
          <w:sz w:val="36"/>
          <w:szCs w:val="36"/>
          <w:rtl/>
        </w:rPr>
        <w:t>"</w:t>
      </w:r>
      <w:r w:rsidR="00ED058E" w:rsidRPr="00FD211F">
        <w:rPr>
          <w:sz w:val="36"/>
          <w:szCs w:val="36"/>
          <w:rtl/>
        </w:rPr>
        <w:t>،</w:t>
      </w:r>
      <w:r w:rsidRPr="00FD211F">
        <w:rPr>
          <w:sz w:val="36"/>
          <w:szCs w:val="36"/>
          <w:rtl/>
        </w:rPr>
        <w:t xml:space="preserve"> وموطن هذه النسب</w:t>
      </w:r>
      <w:r w:rsidR="00EC7EDF" w:rsidRPr="00FD211F">
        <w:rPr>
          <w:sz w:val="36"/>
          <w:szCs w:val="36"/>
          <w:rtl/>
        </w:rPr>
        <w:t xml:space="preserve">ة </w:t>
      </w:r>
      <w:r w:rsidRPr="00FD211F">
        <w:rPr>
          <w:sz w:val="36"/>
          <w:szCs w:val="36"/>
          <w:rtl/>
        </w:rPr>
        <w:t>الواقعي</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هو الذهن لا</w:t>
      </w:r>
      <w:r w:rsidR="00E55749" w:rsidRPr="00FD211F">
        <w:rPr>
          <w:sz w:val="36"/>
          <w:szCs w:val="36"/>
          <w:rtl/>
        </w:rPr>
        <w:t xml:space="preserve"> </w:t>
      </w:r>
      <w:r w:rsidRPr="00FD211F">
        <w:rPr>
          <w:sz w:val="36"/>
          <w:szCs w:val="36"/>
          <w:rtl/>
        </w:rPr>
        <w:t>الخارج لان ما في الخارج هو وجود واحد يكون رجلا عالما</w:t>
      </w:r>
      <w:r w:rsidR="00603323" w:rsidRPr="00FD211F">
        <w:rPr>
          <w:sz w:val="36"/>
          <w:szCs w:val="36"/>
          <w:rtl/>
        </w:rPr>
        <w:t xml:space="preserve">، </w:t>
      </w:r>
      <w:r w:rsidRPr="00FD211F">
        <w:rPr>
          <w:sz w:val="36"/>
          <w:szCs w:val="36"/>
          <w:rtl/>
        </w:rPr>
        <w:t>وليس بينهما الا العيني</w:t>
      </w:r>
      <w:r w:rsidR="00EC7EDF" w:rsidRPr="00FD211F">
        <w:rPr>
          <w:sz w:val="36"/>
          <w:szCs w:val="36"/>
          <w:rtl/>
        </w:rPr>
        <w:t xml:space="preserve">ة </w:t>
      </w:r>
      <w:r w:rsidRPr="00FD211F">
        <w:rPr>
          <w:sz w:val="36"/>
          <w:szCs w:val="36"/>
          <w:rtl/>
        </w:rPr>
        <w:t>الخارجي</w:t>
      </w:r>
      <w:r w:rsidR="00EC7EDF" w:rsidRPr="00FD211F">
        <w:rPr>
          <w:sz w:val="36"/>
          <w:szCs w:val="36"/>
          <w:rtl/>
        </w:rPr>
        <w:t xml:space="preserve">ة </w:t>
      </w:r>
      <w:r w:rsidRPr="00FD211F">
        <w:rPr>
          <w:sz w:val="36"/>
          <w:szCs w:val="36"/>
          <w:rtl/>
        </w:rPr>
        <w:t>دون النسب</w:t>
      </w:r>
      <w:r w:rsidR="00EC7EDF" w:rsidRPr="00FD211F">
        <w:rPr>
          <w:sz w:val="36"/>
          <w:szCs w:val="36"/>
          <w:rtl/>
        </w:rPr>
        <w:t xml:space="preserve">ة </w:t>
      </w:r>
      <w:r w:rsidRPr="00FD211F">
        <w:rPr>
          <w:sz w:val="36"/>
          <w:szCs w:val="36"/>
          <w:rtl/>
        </w:rPr>
        <w:t>التصادقي</w:t>
      </w:r>
      <w:r w:rsidR="00EC7EDF" w:rsidRPr="00FD211F">
        <w:rPr>
          <w:sz w:val="36"/>
          <w:szCs w:val="36"/>
          <w:rtl/>
        </w:rPr>
        <w:t>ة</w:t>
      </w:r>
      <w:r w:rsidR="00603323" w:rsidRPr="00FD211F">
        <w:rPr>
          <w:sz w:val="36"/>
          <w:szCs w:val="36"/>
          <w:rtl/>
        </w:rPr>
        <w:t xml:space="preserve">، </w:t>
      </w:r>
      <w:r w:rsidRPr="00FD211F">
        <w:rPr>
          <w:sz w:val="36"/>
          <w:szCs w:val="36"/>
          <w:rtl/>
        </w:rPr>
        <w:t>فالذهن يمكن ان يتصور قضي</w:t>
      </w:r>
      <w:r w:rsidR="00EC7EDF" w:rsidRPr="00FD211F">
        <w:rPr>
          <w:sz w:val="36"/>
          <w:szCs w:val="36"/>
          <w:rtl/>
        </w:rPr>
        <w:t xml:space="preserve">ة </w:t>
      </w:r>
      <w:r w:rsidR="00863693" w:rsidRPr="00FD211F">
        <w:rPr>
          <w:sz w:val="36"/>
          <w:szCs w:val="36"/>
          <w:rtl/>
        </w:rPr>
        <w:t>"</w:t>
      </w:r>
      <w:r w:rsidRPr="00FD211F">
        <w:rPr>
          <w:sz w:val="36"/>
          <w:szCs w:val="36"/>
          <w:rtl/>
        </w:rPr>
        <w:t>الرجل عالم</w:t>
      </w:r>
      <w:r w:rsidR="00863693" w:rsidRPr="00FD211F">
        <w:rPr>
          <w:sz w:val="36"/>
          <w:szCs w:val="36"/>
          <w:rtl/>
        </w:rPr>
        <w:t>"</w:t>
      </w:r>
      <w:r w:rsidRPr="00FD211F">
        <w:rPr>
          <w:sz w:val="36"/>
          <w:szCs w:val="36"/>
          <w:rtl/>
        </w:rPr>
        <w:t xml:space="preserve"> ويحصل لديه صور</w:t>
      </w:r>
      <w:r w:rsidR="00EC7EDF" w:rsidRPr="00FD211F">
        <w:rPr>
          <w:sz w:val="36"/>
          <w:szCs w:val="36"/>
          <w:rtl/>
        </w:rPr>
        <w:t xml:space="preserve">ة </w:t>
      </w:r>
      <w:r w:rsidRPr="00FD211F">
        <w:rPr>
          <w:sz w:val="36"/>
          <w:szCs w:val="36"/>
          <w:rtl/>
        </w:rPr>
        <w:t>حكائي</w:t>
      </w:r>
      <w:r w:rsidR="00EC7EDF" w:rsidRPr="00FD211F">
        <w:rPr>
          <w:sz w:val="36"/>
          <w:szCs w:val="36"/>
          <w:rtl/>
        </w:rPr>
        <w:t xml:space="preserve">ة </w:t>
      </w:r>
      <w:r w:rsidRPr="00FD211F">
        <w:rPr>
          <w:sz w:val="36"/>
          <w:szCs w:val="36"/>
          <w:rtl/>
        </w:rPr>
        <w:t>عن واقع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بما لها من طرفين</w:t>
      </w:r>
      <w:r w:rsidR="00603323" w:rsidRPr="00FD211F">
        <w:rPr>
          <w:sz w:val="36"/>
          <w:szCs w:val="36"/>
          <w:rtl/>
        </w:rPr>
        <w:t xml:space="preserve">، </w:t>
      </w:r>
      <w:r w:rsidRPr="00FD211F">
        <w:rPr>
          <w:sz w:val="36"/>
          <w:szCs w:val="36"/>
          <w:rtl/>
        </w:rPr>
        <w:t>وهذه الصور</w:t>
      </w:r>
      <w:r w:rsidR="00EC7EDF" w:rsidRPr="00FD211F">
        <w:rPr>
          <w:sz w:val="36"/>
          <w:szCs w:val="36"/>
          <w:rtl/>
        </w:rPr>
        <w:t xml:space="preserve">ة </w:t>
      </w:r>
      <w:r w:rsidRPr="00FD211F">
        <w:rPr>
          <w:sz w:val="36"/>
          <w:szCs w:val="36"/>
          <w:rtl/>
        </w:rPr>
        <w:t>الحكائي</w:t>
      </w:r>
      <w:r w:rsidR="00EC7EDF" w:rsidRPr="00FD211F">
        <w:rPr>
          <w:sz w:val="36"/>
          <w:szCs w:val="36"/>
          <w:rtl/>
        </w:rPr>
        <w:t xml:space="preserve">ة </w:t>
      </w:r>
      <w:r w:rsidRPr="00FD211F">
        <w:rPr>
          <w:sz w:val="36"/>
          <w:szCs w:val="36"/>
          <w:rtl/>
        </w:rPr>
        <w:t>هي التي يدل عليها الجمل</w:t>
      </w:r>
      <w:r w:rsidR="00EC7EDF" w:rsidRPr="00FD211F">
        <w:rPr>
          <w:sz w:val="36"/>
          <w:szCs w:val="36"/>
          <w:rtl/>
        </w:rPr>
        <w:t xml:space="preserve">ة </w:t>
      </w:r>
      <w:r w:rsidRPr="00FD211F">
        <w:rPr>
          <w:sz w:val="36"/>
          <w:szCs w:val="36"/>
          <w:rtl/>
        </w:rPr>
        <w:t>الوصفي</w:t>
      </w:r>
      <w:r w:rsidR="00EC7EDF" w:rsidRPr="00FD211F">
        <w:rPr>
          <w:sz w:val="36"/>
          <w:szCs w:val="36"/>
          <w:rtl/>
        </w:rPr>
        <w:t xml:space="preserve">ة </w:t>
      </w:r>
      <w:r w:rsidRPr="00FD211F">
        <w:rPr>
          <w:sz w:val="36"/>
          <w:szCs w:val="36"/>
          <w:rtl/>
        </w:rPr>
        <w:t>في قولنا</w:t>
      </w:r>
      <w:r w:rsidR="00E55749" w:rsidRPr="00FD211F">
        <w:rPr>
          <w:sz w:val="36"/>
          <w:szCs w:val="36"/>
          <w:rtl/>
        </w:rPr>
        <w:t xml:space="preserve"> </w:t>
      </w:r>
      <w:r w:rsidR="00863693" w:rsidRPr="00FD211F">
        <w:rPr>
          <w:sz w:val="36"/>
          <w:szCs w:val="36"/>
          <w:rtl/>
        </w:rPr>
        <w:t>"</w:t>
      </w:r>
      <w:r w:rsidRPr="00FD211F">
        <w:rPr>
          <w:sz w:val="36"/>
          <w:szCs w:val="36"/>
          <w:rtl/>
        </w:rPr>
        <w:t>الرجل العالم</w:t>
      </w:r>
      <w:r w:rsidR="00863693" w:rsidRPr="00FD211F">
        <w:rPr>
          <w:sz w:val="36"/>
          <w:szCs w:val="36"/>
          <w:rtl/>
        </w:rPr>
        <w:t>"</w:t>
      </w:r>
      <w:r w:rsidR="00603323" w:rsidRPr="00FD211F">
        <w:rPr>
          <w:sz w:val="36"/>
          <w:szCs w:val="36"/>
          <w:rtl/>
        </w:rPr>
        <w:t xml:space="preserve">، </w:t>
      </w:r>
      <w:r w:rsidRPr="00FD211F">
        <w:rPr>
          <w:sz w:val="36"/>
          <w:szCs w:val="36"/>
          <w:rtl/>
        </w:rPr>
        <w:t>فتكون الجمل</w:t>
      </w:r>
      <w:r w:rsidR="00EC7EDF" w:rsidRPr="00FD211F">
        <w:rPr>
          <w:sz w:val="36"/>
          <w:szCs w:val="36"/>
          <w:rtl/>
        </w:rPr>
        <w:t xml:space="preserve">ة </w:t>
      </w:r>
      <w:r w:rsidRPr="00FD211F">
        <w:rPr>
          <w:sz w:val="36"/>
          <w:szCs w:val="36"/>
          <w:rtl/>
        </w:rPr>
        <w:t>الوصفي</w:t>
      </w:r>
      <w:r w:rsidR="00EC7EDF" w:rsidRPr="00FD211F">
        <w:rPr>
          <w:sz w:val="36"/>
          <w:szCs w:val="36"/>
          <w:rtl/>
        </w:rPr>
        <w:t xml:space="preserve">ة </w:t>
      </w:r>
      <w:r w:rsidRPr="00FD211F">
        <w:rPr>
          <w:sz w:val="36"/>
          <w:szCs w:val="36"/>
          <w:rtl/>
        </w:rPr>
        <w:t>متأخر</w:t>
      </w:r>
      <w:r w:rsidR="00EC7EDF" w:rsidRPr="00FD211F">
        <w:rPr>
          <w:sz w:val="36"/>
          <w:szCs w:val="36"/>
          <w:rtl/>
        </w:rPr>
        <w:t xml:space="preserve">ة </w:t>
      </w:r>
      <w:r w:rsidRPr="00FD211F">
        <w:rPr>
          <w:sz w:val="36"/>
          <w:szCs w:val="36"/>
          <w:rtl/>
        </w:rPr>
        <w:t>رتب</w:t>
      </w:r>
      <w:r w:rsidR="00EC7EDF" w:rsidRPr="00FD211F">
        <w:rPr>
          <w:sz w:val="36"/>
          <w:szCs w:val="36"/>
          <w:rtl/>
        </w:rPr>
        <w:t xml:space="preserve">ة </w:t>
      </w:r>
      <w:r w:rsidRPr="00FD211F">
        <w:rPr>
          <w:sz w:val="36"/>
          <w:szCs w:val="36"/>
          <w:rtl/>
        </w:rPr>
        <w:t>عن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تأخر الحاكي التصوري عن محكيه</w:t>
      </w:r>
      <w:r w:rsidR="00603323" w:rsidRPr="00FD211F">
        <w:rPr>
          <w:sz w:val="36"/>
          <w:szCs w:val="36"/>
          <w:rtl/>
        </w:rPr>
        <w:t xml:space="preserve">، </w:t>
      </w:r>
      <w:r w:rsidRPr="00FD211F">
        <w:rPr>
          <w:sz w:val="36"/>
          <w:szCs w:val="36"/>
          <w:rtl/>
        </w:rPr>
        <w:t>كما ان جمل</w:t>
      </w:r>
      <w:r w:rsidR="00EC7EDF" w:rsidRPr="00FD211F">
        <w:rPr>
          <w:sz w:val="36"/>
          <w:szCs w:val="36"/>
          <w:rtl/>
        </w:rPr>
        <w:t xml:space="preserve">ة </w:t>
      </w:r>
      <w:r w:rsidRPr="00FD211F">
        <w:rPr>
          <w:sz w:val="36"/>
          <w:szCs w:val="36"/>
          <w:rtl/>
        </w:rPr>
        <w:t>الاضاف</w:t>
      </w:r>
      <w:r w:rsidR="00EC7EDF" w:rsidRPr="00FD211F">
        <w:rPr>
          <w:sz w:val="36"/>
          <w:szCs w:val="36"/>
          <w:rtl/>
        </w:rPr>
        <w:t xml:space="preserve">ة </w:t>
      </w:r>
      <w:r w:rsidRPr="00FD211F">
        <w:rPr>
          <w:sz w:val="36"/>
          <w:szCs w:val="36"/>
          <w:rtl/>
        </w:rPr>
        <w:t>-كقولنا ضربُ زيدٍ- متأخر</w:t>
      </w:r>
      <w:r w:rsidR="00EC7EDF" w:rsidRPr="00FD211F">
        <w:rPr>
          <w:sz w:val="36"/>
          <w:szCs w:val="36"/>
          <w:rtl/>
        </w:rPr>
        <w:t xml:space="preserve">ة </w:t>
      </w:r>
      <w:r w:rsidRPr="00FD211F">
        <w:rPr>
          <w:sz w:val="36"/>
          <w:szCs w:val="36"/>
          <w:rtl/>
        </w:rPr>
        <w:t>تصورا عن الضرب الخارجي الصادر عن زيد</w:t>
      </w:r>
      <w:r w:rsidR="003E740D" w:rsidRPr="00FD211F">
        <w:rPr>
          <w:sz w:val="36"/>
          <w:szCs w:val="36"/>
          <w:rtl/>
        </w:rPr>
        <w:t>.</w:t>
      </w:r>
    </w:p>
    <w:p w14:paraId="5AB41985" w14:textId="77777777" w:rsidR="000C5BBA" w:rsidRPr="00FD211F" w:rsidRDefault="00556BC0" w:rsidP="00E55749">
      <w:pPr>
        <w:ind w:left="0" w:firstLine="227"/>
        <w:jc w:val="both"/>
        <w:rPr>
          <w:sz w:val="36"/>
          <w:szCs w:val="36"/>
          <w:rtl/>
        </w:rPr>
      </w:pPr>
      <w:r w:rsidRPr="00FD211F">
        <w:rPr>
          <w:sz w:val="36"/>
          <w:szCs w:val="36"/>
          <w:rtl/>
        </w:rPr>
        <w:t>ولعله لأجل ذلك قيل</w:t>
      </w:r>
      <w:r w:rsidR="00E55749" w:rsidRPr="00FD211F">
        <w:rPr>
          <w:sz w:val="36"/>
          <w:szCs w:val="36"/>
          <w:rtl/>
        </w:rPr>
        <w:t xml:space="preserve"> "</w:t>
      </w:r>
      <w:r w:rsidRPr="00FD211F">
        <w:rPr>
          <w:sz w:val="36"/>
          <w:szCs w:val="36"/>
          <w:rtl/>
        </w:rPr>
        <w:t>ان الا</w:t>
      </w:r>
      <w:r w:rsidR="002D35AA" w:rsidRPr="00FD211F">
        <w:rPr>
          <w:sz w:val="36"/>
          <w:szCs w:val="36"/>
          <w:rtl/>
        </w:rPr>
        <w:t>وصاف قبل العلم بها أخبار والأ</w:t>
      </w:r>
      <w:r w:rsidRPr="00FD211F">
        <w:rPr>
          <w:sz w:val="36"/>
          <w:szCs w:val="36"/>
          <w:rtl/>
        </w:rPr>
        <w:t>خبار بعد العلم بها اوصاف</w:t>
      </w:r>
      <w:r w:rsidR="002D35AA" w:rsidRPr="00FD211F">
        <w:rPr>
          <w:sz w:val="36"/>
          <w:szCs w:val="36"/>
          <w:rtl/>
        </w:rPr>
        <w:t>"</w:t>
      </w:r>
      <w:r w:rsidR="00603323" w:rsidRPr="00FD211F">
        <w:rPr>
          <w:sz w:val="36"/>
          <w:szCs w:val="36"/>
          <w:rtl/>
        </w:rPr>
        <w:t xml:space="preserve">، </w:t>
      </w:r>
      <w:r w:rsidR="00E557D2" w:rsidRPr="00FD211F">
        <w:rPr>
          <w:sz w:val="36"/>
          <w:szCs w:val="36"/>
          <w:rtl/>
        </w:rPr>
        <w:t xml:space="preserve">وعليه </w:t>
      </w:r>
      <w:r w:rsidRPr="00FD211F">
        <w:rPr>
          <w:sz w:val="36"/>
          <w:szCs w:val="36"/>
          <w:rtl/>
        </w:rPr>
        <w:t>فحيث كان قولنا</w:t>
      </w:r>
      <w:r w:rsidR="00E55749" w:rsidRPr="00FD211F">
        <w:rPr>
          <w:sz w:val="36"/>
          <w:szCs w:val="36"/>
          <w:rtl/>
        </w:rPr>
        <w:t xml:space="preserve"> </w:t>
      </w:r>
      <w:r w:rsidR="002D35AA" w:rsidRPr="00FD211F">
        <w:rPr>
          <w:sz w:val="36"/>
          <w:szCs w:val="36"/>
          <w:rtl/>
        </w:rPr>
        <w:t>"</w:t>
      </w:r>
      <w:r w:rsidRPr="00FD211F">
        <w:rPr>
          <w:sz w:val="36"/>
          <w:szCs w:val="36"/>
          <w:rtl/>
        </w:rPr>
        <w:t>الرجل عالم</w:t>
      </w:r>
      <w:r w:rsidR="002D35AA" w:rsidRPr="00FD211F">
        <w:rPr>
          <w:sz w:val="36"/>
          <w:szCs w:val="36"/>
          <w:rtl/>
        </w:rPr>
        <w:t>"</w:t>
      </w:r>
      <w:r w:rsidRPr="00FD211F">
        <w:rPr>
          <w:sz w:val="36"/>
          <w:szCs w:val="36"/>
          <w:rtl/>
        </w:rPr>
        <w:t xml:space="preserve"> مشتملا على واقع النسب</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فلامحال</w:t>
      </w:r>
      <w:r w:rsidR="00EC7EDF" w:rsidRPr="00FD211F">
        <w:rPr>
          <w:sz w:val="36"/>
          <w:szCs w:val="36"/>
          <w:rtl/>
        </w:rPr>
        <w:t xml:space="preserve">ة </w:t>
      </w:r>
      <w:r w:rsidRPr="00FD211F">
        <w:rPr>
          <w:sz w:val="36"/>
          <w:szCs w:val="36"/>
          <w:rtl/>
        </w:rPr>
        <w:t>تكون النسب</w:t>
      </w:r>
      <w:r w:rsidR="00EC7EDF" w:rsidRPr="00FD211F">
        <w:rPr>
          <w:sz w:val="36"/>
          <w:szCs w:val="36"/>
          <w:rtl/>
        </w:rPr>
        <w:t xml:space="preserve">ة </w:t>
      </w:r>
      <w:r w:rsidRPr="00FD211F">
        <w:rPr>
          <w:sz w:val="36"/>
          <w:szCs w:val="36"/>
          <w:rtl/>
        </w:rPr>
        <w:t>تام</w:t>
      </w:r>
      <w:r w:rsidR="00EC7EDF" w:rsidRPr="00FD211F">
        <w:rPr>
          <w:sz w:val="36"/>
          <w:szCs w:val="36"/>
          <w:rtl/>
        </w:rPr>
        <w:t>ة</w:t>
      </w:r>
      <w:r w:rsidR="00603323" w:rsidRPr="00FD211F">
        <w:rPr>
          <w:sz w:val="36"/>
          <w:szCs w:val="36"/>
          <w:rtl/>
        </w:rPr>
        <w:t xml:space="preserve">، </w:t>
      </w:r>
      <w:r w:rsidRPr="00FD211F">
        <w:rPr>
          <w:sz w:val="36"/>
          <w:szCs w:val="36"/>
          <w:rtl/>
        </w:rPr>
        <w:t>بمعنى انه لو أتي بطرفيها صح السكوت على هذه الجمل</w:t>
      </w:r>
      <w:r w:rsidR="00EC7EDF" w:rsidRPr="00FD211F">
        <w:rPr>
          <w:sz w:val="36"/>
          <w:szCs w:val="36"/>
          <w:rtl/>
        </w:rPr>
        <w:t>ة</w:t>
      </w:r>
      <w:r w:rsidR="00603323" w:rsidRPr="00FD211F">
        <w:rPr>
          <w:sz w:val="36"/>
          <w:szCs w:val="36"/>
          <w:rtl/>
        </w:rPr>
        <w:t xml:space="preserve">، </w:t>
      </w:r>
      <w:r w:rsidRPr="00FD211F">
        <w:rPr>
          <w:sz w:val="36"/>
          <w:szCs w:val="36"/>
          <w:rtl/>
        </w:rPr>
        <w:t>ولكن حينما تتحول هذه الجمل</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بتعم</w:t>
      </w:r>
      <w:r w:rsidR="00E55749" w:rsidRPr="00FD211F">
        <w:rPr>
          <w:sz w:val="36"/>
          <w:szCs w:val="36"/>
          <w:rtl/>
        </w:rPr>
        <w:t>ّ</w:t>
      </w:r>
      <w:r w:rsidRPr="00FD211F">
        <w:rPr>
          <w:sz w:val="36"/>
          <w:szCs w:val="36"/>
          <w:rtl/>
        </w:rPr>
        <w:t xml:space="preserve">ل الذهن الى </w:t>
      </w:r>
      <w:r w:rsidR="00E557D2" w:rsidRPr="00FD211F">
        <w:rPr>
          <w:sz w:val="36"/>
          <w:szCs w:val="36"/>
          <w:rtl/>
        </w:rPr>
        <w:t>صور</w:t>
      </w:r>
      <w:r w:rsidR="00EC7EDF" w:rsidRPr="00FD211F">
        <w:rPr>
          <w:sz w:val="36"/>
          <w:szCs w:val="36"/>
          <w:rtl/>
        </w:rPr>
        <w:t xml:space="preserve">ة </w:t>
      </w:r>
      <w:r w:rsidR="00E557D2" w:rsidRPr="00FD211F">
        <w:rPr>
          <w:sz w:val="36"/>
          <w:szCs w:val="36"/>
          <w:rtl/>
        </w:rPr>
        <w:t>أخرى متحصل</w:t>
      </w:r>
      <w:r w:rsidR="00EC7EDF" w:rsidRPr="00FD211F">
        <w:rPr>
          <w:sz w:val="36"/>
          <w:szCs w:val="36"/>
          <w:rtl/>
        </w:rPr>
        <w:t xml:space="preserve">ة </w:t>
      </w:r>
      <w:r w:rsidR="00E557D2" w:rsidRPr="00FD211F">
        <w:rPr>
          <w:sz w:val="36"/>
          <w:szCs w:val="36"/>
          <w:rtl/>
        </w:rPr>
        <w:t>منها وهي</w:t>
      </w:r>
      <w:r w:rsidR="001F2B31" w:rsidRPr="00FD211F">
        <w:rPr>
          <w:sz w:val="36"/>
          <w:szCs w:val="36"/>
          <w:rtl/>
        </w:rPr>
        <w:t xml:space="preserve"> مدلول الجمل</w:t>
      </w:r>
      <w:r w:rsidR="00EC7EDF" w:rsidRPr="00FD211F">
        <w:rPr>
          <w:sz w:val="36"/>
          <w:szCs w:val="36"/>
          <w:rtl/>
        </w:rPr>
        <w:t xml:space="preserve">ة </w:t>
      </w:r>
      <w:r w:rsidR="001F2B31" w:rsidRPr="00FD211F">
        <w:rPr>
          <w:sz w:val="36"/>
          <w:szCs w:val="36"/>
          <w:rtl/>
        </w:rPr>
        <w:t>الوصفي</w:t>
      </w:r>
      <w:r w:rsidR="00EC7EDF" w:rsidRPr="00FD211F">
        <w:rPr>
          <w:sz w:val="36"/>
          <w:szCs w:val="36"/>
          <w:rtl/>
        </w:rPr>
        <w:t xml:space="preserve">ة </w:t>
      </w:r>
      <w:r w:rsidR="001F2B31" w:rsidRPr="00FD211F">
        <w:rPr>
          <w:sz w:val="36"/>
          <w:szCs w:val="36"/>
          <w:rtl/>
        </w:rPr>
        <w:t xml:space="preserve">اي </w:t>
      </w:r>
      <w:r w:rsidRPr="00FD211F">
        <w:rPr>
          <w:sz w:val="36"/>
          <w:szCs w:val="36"/>
          <w:rtl/>
        </w:rPr>
        <w:t xml:space="preserve">قولنا </w:t>
      </w:r>
      <w:r w:rsidR="00E557D2" w:rsidRPr="00FD211F">
        <w:rPr>
          <w:sz w:val="36"/>
          <w:szCs w:val="36"/>
          <w:rtl/>
        </w:rPr>
        <w:t>"</w:t>
      </w:r>
      <w:r w:rsidRPr="00FD211F">
        <w:rPr>
          <w:sz w:val="36"/>
          <w:szCs w:val="36"/>
          <w:rtl/>
        </w:rPr>
        <w:t>الرجل العالم</w:t>
      </w:r>
      <w:r w:rsidR="00E557D2" w:rsidRPr="00FD211F">
        <w:rPr>
          <w:sz w:val="36"/>
          <w:szCs w:val="36"/>
          <w:rtl/>
        </w:rPr>
        <w:t>"</w:t>
      </w:r>
      <w:r w:rsidRPr="00FD211F">
        <w:rPr>
          <w:sz w:val="36"/>
          <w:szCs w:val="36"/>
          <w:rtl/>
        </w:rPr>
        <w:t xml:space="preserve"> </w:t>
      </w:r>
      <w:r w:rsidR="00E557D2" w:rsidRPr="00FD211F">
        <w:rPr>
          <w:sz w:val="36"/>
          <w:szCs w:val="36"/>
          <w:rtl/>
        </w:rPr>
        <w:t>فتكون موجود</w:t>
      </w:r>
      <w:r w:rsidR="00EC7EDF" w:rsidRPr="00FD211F">
        <w:rPr>
          <w:sz w:val="36"/>
          <w:szCs w:val="36"/>
          <w:rtl/>
        </w:rPr>
        <w:t xml:space="preserve">ة </w:t>
      </w:r>
      <w:r w:rsidR="00E557D2" w:rsidRPr="00FD211F">
        <w:rPr>
          <w:sz w:val="36"/>
          <w:szCs w:val="36"/>
          <w:rtl/>
        </w:rPr>
        <w:t>بوجود ذهني واحد وتشتمل</w:t>
      </w:r>
      <w:r w:rsidRPr="00FD211F">
        <w:rPr>
          <w:sz w:val="36"/>
          <w:szCs w:val="36"/>
          <w:rtl/>
        </w:rPr>
        <w:t xml:space="preserve"> على نسب</w:t>
      </w:r>
      <w:r w:rsidR="00EC7EDF" w:rsidRPr="00FD211F">
        <w:rPr>
          <w:sz w:val="36"/>
          <w:szCs w:val="36"/>
          <w:rtl/>
        </w:rPr>
        <w:t xml:space="preserve">ة </w:t>
      </w:r>
      <w:r w:rsidRPr="00FD211F">
        <w:rPr>
          <w:sz w:val="36"/>
          <w:szCs w:val="36"/>
          <w:rtl/>
        </w:rPr>
        <w:t>تحليلي</w:t>
      </w:r>
      <w:r w:rsidR="00EC7EDF" w:rsidRPr="00FD211F">
        <w:rPr>
          <w:sz w:val="36"/>
          <w:szCs w:val="36"/>
          <w:rtl/>
        </w:rPr>
        <w:t xml:space="preserve">ة </w:t>
      </w:r>
      <w:r w:rsidRPr="00FD211F">
        <w:rPr>
          <w:sz w:val="36"/>
          <w:szCs w:val="36"/>
          <w:rtl/>
        </w:rPr>
        <w:t>تصادقي</w:t>
      </w:r>
      <w:r w:rsidR="00EC7EDF" w:rsidRPr="00FD211F">
        <w:rPr>
          <w:sz w:val="36"/>
          <w:szCs w:val="36"/>
          <w:rtl/>
        </w:rPr>
        <w:t>ة</w:t>
      </w:r>
      <w:r w:rsidR="00603323" w:rsidRPr="00FD211F">
        <w:rPr>
          <w:sz w:val="36"/>
          <w:szCs w:val="36"/>
          <w:rtl/>
        </w:rPr>
        <w:t xml:space="preserve">، </w:t>
      </w:r>
      <w:r w:rsidRPr="00FD211F">
        <w:rPr>
          <w:sz w:val="36"/>
          <w:szCs w:val="36"/>
          <w:rtl/>
        </w:rPr>
        <w:t>فتنقلب الى جمل</w:t>
      </w:r>
      <w:r w:rsidR="00EC7EDF" w:rsidRPr="00FD211F">
        <w:rPr>
          <w:sz w:val="36"/>
          <w:szCs w:val="36"/>
          <w:rtl/>
        </w:rPr>
        <w:t xml:space="preserve">ة </w:t>
      </w:r>
      <w:r w:rsidRPr="00FD211F">
        <w:rPr>
          <w:sz w:val="36"/>
          <w:szCs w:val="36"/>
          <w:rtl/>
        </w:rPr>
        <w:t>ناقص</w:t>
      </w:r>
      <w:r w:rsidR="00EC7EDF" w:rsidRPr="00FD211F">
        <w:rPr>
          <w:sz w:val="36"/>
          <w:szCs w:val="36"/>
          <w:rtl/>
        </w:rPr>
        <w:t xml:space="preserve">ة </w:t>
      </w:r>
      <w:r w:rsidRPr="00FD211F">
        <w:rPr>
          <w:sz w:val="36"/>
          <w:szCs w:val="36"/>
          <w:rtl/>
        </w:rPr>
        <w:t>لان معنى كون نسبتها تحليلي</w:t>
      </w:r>
      <w:r w:rsidR="00EC7EDF" w:rsidRPr="00FD211F">
        <w:rPr>
          <w:sz w:val="36"/>
          <w:szCs w:val="36"/>
          <w:rtl/>
        </w:rPr>
        <w:t xml:space="preserve">ة </w:t>
      </w:r>
      <w:r w:rsidRPr="00FD211F">
        <w:rPr>
          <w:sz w:val="36"/>
          <w:szCs w:val="36"/>
          <w:rtl/>
        </w:rPr>
        <w:t>ان مدلولها ح</w:t>
      </w:r>
      <w:r w:rsidR="00E557D2" w:rsidRPr="00FD211F">
        <w:rPr>
          <w:sz w:val="36"/>
          <w:szCs w:val="36"/>
          <w:rtl/>
        </w:rPr>
        <w:t>ص</w:t>
      </w:r>
      <w:r w:rsidR="00EC7EDF" w:rsidRPr="00FD211F">
        <w:rPr>
          <w:sz w:val="36"/>
          <w:szCs w:val="36"/>
          <w:rtl/>
        </w:rPr>
        <w:t xml:space="preserve">ة </w:t>
      </w:r>
      <w:r w:rsidR="00E557D2" w:rsidRPr="00FD211F">
        <w:rPr>
          <w:sz w:val="36"/>
          <w:szCs w:val="36"/>
          <w:rtl/>
        </w:rPr>
        <w:t>من المعنى الاسمي</w:t>
      </w:r>
      <w:r w:rsidR="00603323" w:rsidRPr="00FD211F">
        <w:rPr>
          <w:sz w:val="36"/>
          <w:szCs w:val="36"/>
          <w:rtl/>
        </w:rPr>
        <w:t xml:space="preserve">، </w:t>
      </w:r>
      <w:r w:rsidR="00E557D2" w:rsidRPr="00FD211F">
        <w:rPr>
          <w:sz w:val="36"/>
          <w:szCs w:val="36"/>
          <w:rtl/>
        </w:rPr>
        <w:t>فيكون</w:t>
      </w:r>
      <w:r w:rsidRPr="00FD211F">
        <w:rPr>
          <w:sz w:val="36"/>
          <w:szCs w:val="36"/>
          <w:rtl/>
        </w:rPr>
        <w:t xml:space="preserve"> بسيطا تصورا وان كان مركبا تحليلا</w:t>
      </w:r>
      <w:r w:rsidR="00603323" w:rsidRPr="00FD211F">
        <w:rPr>
          <w:sz w:val="36"/>
          <w:szCs w:val="36"/>
          <w:rtl/>
        </w:rPr>
        <w:t xml:space="preserve">، </w:t>
      </w:r>
      <w:r w:rsidR="00357CE9" w:rsidRPr="00FD211F">
        <w:rPr>
          <w:sz w:val="36"/>
          <w:szCs w:val="36"/>
          <w:rtl/>
        </w:rPr>
        <w:t>ولذا</w:t>
      </w:r>
      <w:r w:rsidR="00811D64" w:rsidRPr="00FD211F">
        <w:rPr>
          <w:sz w:val="36"/>
          <w:szCs w:val="36"/>
          <w:rtl/>
        </w:rPr>
        <w:t xml:space="preserve"> </w:t>
      </w:r>
      <w:r w:rsidR="00357CE9" w:rsidRPr="00FD211F">
        <w:rPr>
          <w:sz w:val="36"/>
          <w:szCs w:val="36"/>
          <w:rtl/>
        </w:rPr>
        <w:t>لايصح السكوت على الجمل</w:t>
      </w:r>
      <w:r w:rsidR="00EC7EDF" w:rsidRPr="00FD211F">
        <w:rPr>
          <w:sz w:val="36"/>
          <w:szCs w:val="36"/>
          <w:rtl/>
        </w:rPr>
        <w:t xml:space="preserve">ة </w:t>
      </w:r>
      <w:r w:rsidR="00357CE9" w:rsidRPr="00FD211F">
        <w:rPr>
          <w:sz w:val="36"/>
          <w:szCs w:val="36"/>
          <w:rtl/>
        </w:rPr>
        <w:t>الوصفي</w:t>
      </w:r>
      <w:r w:rsidR="00EC7EDF" w:rsidRPr="00FD211F">
        <w:rPr>
          <w:sz w:val="36"/>
          <w:szCs w:val="36"/>
          <w:rtl/>
        </w:rPr>
        <w:t xml:space="preserve">ة </w:t>
      </w:r>
      <w:r w:rsidRPr="00FD211F">
        <w:rPr>
          <w:sz w:val="36"/>
          <w:szCs w:val="36"/>
          <w:rtl/>
        </w:rPr>
        <w:t>و</w:t>
      </w:r>
      <w:r w:rsidR="00357CE9" w:rsidRPr="00FD211F">
        <w:rPr>
          <w:sz w:val="36"/>
          <w:szCs w:val="36"/>
          <w:rtl/>
        </w:rPr>
        <w:t>هكذا</w:t>
      </w:r>
      <w:r w:rsidR="00811D64" w:rsidRPr="00FD211F">
        <w:rPr>
          <w:sz w:val="36"/>
          <w:szCs w:val="36"/>
          <w:rtl/>
        </w:rPr>
        <w:t xml:space="preserve"> </w:t>
      </w:r>
      <w:r w:rsidRPr="00FD211F">
        <w:rPr>
          <w:sz w:val="36"/>
          <w:szCs w:val="36"/>
          <w:rtl/>
        </w:rPr>
        <w:t>جمل</w:t>
      </w:r>
      <w:r w:rsidR="00EC7EDF" w:rsidRPr="00FD211F">
        <w:rPr>
          <w:sz w:val="36"/>
          <w:szCs w:val="36"/>
          <w:rtl/>
        </w:rPr>
        <w:t xml:space="preserve">ة </w:t>
      </w:r>
      <w:r w:rsidRPr="00FD211F">
        <w:rPr>
          <w:sz w:val="36"/>
          <w:szCs w:val="36"/>
          <w:rtl/>
        </w:rPr>
        <w:t>الاضاف</w:t>
      </w:r>
      <w:r w:rsidR="00EC7EDF" w:rsidRPr="00FD211F">
        <w:rPr>
          <w:sz w:val="36"/>
          <w:szCs w:val="36"/>
          <w:rtl/>
        </w:rPr>
        <w:t>ة</w:t>
      </w:r>
      <w:r w:rsidR="00603323" w:rsidRPr="00FD211F">
        <w:rPr>
          <w:sz w:val="36"/>
          <w:szCs w:val="36"/>
          <w:rtl/>
        </w:rPr>
        <w:t xml:space="preserve">، </w:t>
      </w:r>
      <w:r w:rsidRPr="00FD211F">
        <w:rPr>
          <w:sz w:val="36"/>
          <w:szCs w:val="36"/>
          <w:rtl/>
        </w:rPr>
        <w:t>وهذا سر كونهما جملتين ناقصتين</w:t>
      </w:r>
      <w:r w:rsidR="00603323" w:rsidRPr="00FD211F">
        <w:rPr>
          <w:sz w:val="36"/>
          <w:szCs w:val="36"/>
          <w:rtl/>
        </w:rPr>
        <w:t xml:space="preserve">، </w:t>
      </w:r>
      <w:r w:rsidRPr="00FD211F">
        <w:rPr>
          <w:sz w:val="36"/>
          <w:szCs w:val="36"/>
          <w:rtl/>
        </w:rPr>
        <w:t>وان كان بينهما فرق من ناحي</w:t>
      </w:r>
      <w:r w:rsidR="00EC7EDF" w:rsidRPr="00FD211F">
        <w:rPr>
          <w:sz w:val="36"/>
          <w:szCs w:val="36"/>
          <w:rtl/>
        </w:rPr>
        <w:t xml:space="preserve">ة </w:t>
      </w:r>
      <w:r w:rsidRPr="00FD211F">
        <w:rPr>
          <w:sz w:val="36"/>
          <w:szCs w:val="36"/>
          <w:rtl/>
        </w:rPr>
        <w:t>ان موطن واقع النسب</w:t>
      </w:r>
      <w:r w:rsidR="00EC7EDF" w:rsidRPr="00FD211F">
        <w:rPr>
          <w:sz w:val="36"/>
          <w:szCs w:val="36"/>
          <w:rtl/>
        </w:rPr>
        <w:t xml:space="preserve">ة </w:t>
      </w:r>
      <w:r w:rsidRPr="00FD211F">
        <w:rPr>
          <w:sz w:val="36"/>
          <w:szCs w:val="36"/>
          <w:rtl/>
        </w:rPr>
        <w:t>التي تحصّل منها النسب</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في جمل</w:t>
      </w:r>
      <w:r w:rsidR="00EC7EDF" w:rsidRPr="00FD211F">
        <w:rPr>
          <w:sz w:val="36"/>
          <w:szCs w:val="36"/>
          <w:rtl/>
        </w:rPr>
        <w:t xml:space="preserve">ة </w:t>
      </w:r>
      <w:r w:rsidRPr="00FD211F">
        <w:rPr>
          <w:sz w:val="36"/>
          <w:szCs w:val="36"/>
          <w:rtl/>
        </w:rPr>
        <w:t>الاضاف</w:t>
      </w:r>
      <w:r w:rsidR="00EC7EDF" w:rsidRPr="00FD211F">
        <w:rPr>
          <w:sz w:val="36"/>
          <w:szCs w:val="36"/>
          <w:rtl/>
        </w:rPr>
        <w:t xml:space="preserve">ة </w:t>
      </w:r>
      <w:r w:rsidRPr="00FD211F">
        <w:rPr>
          <w:sz w:val="36"/>
          <w:szCs w:val="36"/>
          <w:rtl/>
        </w:rPr>
        <w:t>هو الخارج</w:t>
      </w:r>
      <w:r w:rsidR="00603323" w:rsidRPr="00FD211F">
        <w:rPr>
          <w:sz w:val="36"/>
          <w:szCs w:val="36"/>
          <w:rtl/>
        </w:rPr>
        <w:t xml:space="preserve">، </w:t>
      </w:r>
      <w:r w:rsidRPr="00FD211F">
        <w:rPr>
          <w:sz w:val="36"/>
          <w:szCs w:val="36"/>
          <w:rtl/>
        </w:rPr>
        <w:t>مثل النسب</w:t>
      </w:r>
      <w:r w:rsidR="00EC7EDF" w:rsidRPr="00FD211F">
        <w:rPr>
          <w:sz w:val="36"/>
          <w:szCs w:val="36"/>
          <w:rtl/>
        </w:rPr>
        <w:t xml:space="preserve">ة </w:t>
      </w:r>
      <w:r w:rsidRPr="00FD211F">
        <w:rPr>
          <w:sz w:val="36"/>
          <w:szCs w:val="36"/>
          <w:rtl/>
        </w:rPr>
        <w:t>الصدوري</w:t>
      </w:r>
      <w:r w:rsidR="00EC7EDF" w:rsidRPr="00FD211F">
        <w:rPr>
          <w:sz w:val="36"/>
          <w:szCs w:val="36"/>
          <w:rtl/>
        </w:rPr>
        <w:t xml:space="preserve">ة </w:t>
      </w:r>
      <w:r w:rsidRPr="00FD211F">
        <w:rPr>
          <w:sz w:val="36"/>
          <w:szCs w:val="36"/>
          <w:rtl/>
        </w:rPr>
        <w:t>الخارجي</w:t>
      </w:r>
      <w:r w:rsidR="00EC7EDF" w:rsidRPr="00FD211F">
        <w:rPr>
          <w:sz w:val="36"/>
          <w:szCs w:val="36"/>
          <w:rtl/>
        </w:rPr>
        <w:t xml:space="preserve">ة </w:t>
      </w:r>
      <w:r w:rsidRPr="00FD211F">
        <w:rPr>
          <w:sz w:val="36"/>
          <w:szCs w:val="36"/>
          <w:rtl/>
        </w:rPr>
        <w:t>بين الضرب وزيد</w:t>
      </w:r>
      <w:r w:rsidR="00603323" w:rsidRPr="00FD211F">
        <w:rPr>
          <w:sz w:val="36"/>
          <w:szCs w:val="36"/>
          <w:rtl/>
        </w:rPr>
        <w:t xml:space="preserve">، </w:t>
      </w:r>
      <w:r w:rsidRPr="00FD211F">
        <w:rPr>
          <w:sz w:val="36"/>
          <w:szCs w:val="36"/>
          <w:rtl/>
        </w:rPr>
        <w:t>وأما موطن واقع النسب</w:t>
      </w:r>
      <w:r w:rsidR="00EC7EDF" w:rsidRPr="00FD211F">
        <w:rPr>
          <w:sz w:val="36"/>
          <w:szCs w:val="36"/>
          <w:rtl/>
        </w:rPr>
        <w:t xml:space="preserve">ة </w:t>
      </w:r>
      <w:r w:rsidRPr="00FD211F">
        <w:rPr>
          <w:sz w:val="36"/>
          <w:szCs w:val="36"/>
          <w:rtl/>
        </w:rPr>
        <w:t>التي تحصلت منها النسب</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في الجمل</w:t>
      </w:r>
      <w:r w:rsidR="00EC7EDF" w:rsidRPr="00FD211F">
        <w:rPr>
          <w:sz w:val="36"/>
          <w:szCs w:val="36"/>
          <w:rtl/>
        </w:rPr>
        <w:t xml:space="preserve">ة </w:t>
      </w:r>
      <w:r w:rsidRPr="00FD211F">
        <w:rPr>
          <w:sz w:val="36"/>
          <w:szCs w:val="36"/>
          <w:rtl/>
        </w:rPr>
        <w:t>الوصفي</w:t>
      </w:r>
      <w:r w:rsidR="00EC7EDF" w:rsidRPr="00FD211F">
        <w:rPr>
          <w:sz w:val="36"/>
          <w:szCs w:val="36"/>
          <w:rtl/>
        </w:rPr>
        <w:t xml:space="preserve">ة </w:t>
      </w:r>
      <w:r w:rsidRPr="00FD211F">
        <w:rPr>
          <w:sz w:val="36"/>
          <w:szCs w:val="36"/>
          <w:rtl/>
        </w:rPr>
        <w:t>هو واقع النسب</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التصادقي</w:t>
      </w:r>
      <w:r w:rsidR="00EC7EDF" w:rsidRPr="00FD211F">
        <w:rPr>
          <w:sz w:val="36"/>
          <w:szCs w:val="36"/>
          <w:rtl/>
        </w:rPr>
        <w:t>ة</w:t>
      </w:r>
      <w:r w:rsidR="00A61BAE" w:rsidRPr="00FD211F">
        <w:rPr>
          <w:sz w:val="36"/>
          <w:szCs w:val="36"/>
          <w:rtl/>
        </w:rPr>
        <w:t>.</w:t>
      </w:r>
      <w:r w:rsidR="009C58C8" w:rsidRPr="00FD211F">
        <w:rPr>
          <w:rStyle w:val="a6"/>
          <w:sz w:val="36"/>
          <w:szCs w:val="36"/>
          <w:rtl/>
        </w:rPr>
        <w:t>(</w:t>
      </w:r>
      <w:r w:rsidR="009C58C8" w:rsidRPr="00FD211F">
        <w:rPr>
          <w:rStyle w:val="a6"/>
          <w:sz w:val="36"/>
          <w:szCs w:val="36"/>
          <w:rtl/>
        </w:rPr>
        <w:footnoteReference w:id="182"/>
      </w:r>
      <w:r w:rsidR="009C58C8" w:rsidRPr="00FD211F">
        <w:rPr>
          <w:rStyle w:val="a6"/>
          <w:sz w:val="36"/>
          <w:szCs w:val="36"/>
          <w:rtl/>
        </w:rPr>
        <w:t>)</w:t>
      </w:r>
    </w:p>
    <w:p w14:paraId="4A43EADE" w14:textId="77777777" w:rsidR="00C55BC6" w:rsidRPr="00FD211F" w:rsidRDefault="00357CE9" w:rsidP="00E55749">
      <w:pPr>
        <w:ind w:left="0" w:firstLine="227"/>
        <w:jc w:val="both"/>
        <w:rPr>
          <w:sz w:val="36"/>
          <w:szCs w:val="36"/>
          <w:rtl/>
        </w:rPr>
      </w:pPr>
      <w:r w:rsidRPr="00FD211F">
        <w:rPr>
          <w:sz w:val="36"/>
          <w:szCs w:val="36"/>
          <w:rtl/>
        </w:rPr>
        <w:t>و</w:t>
      </w:r>
      <w:r w:rsidR="00556BC0" w:rsidRPr="00FD211F">
        <w:rPr>
          <w:sz w:val="36"/>
          <w:szCs w:val="36"/>
          <w:rtl/>
        </w:rPr>
        <w:t>يلاحظ عليه</w:t>
      </w:r>
      <w:r w:rsidR="0043719C" w:rsidRPr="00FD211F">
        <w:rPr>
          <w:sz w:val="36"/>
          <w:szCs w:val="36"/>
          <w:rtl/>
        </w:rPr>
        <w:t xml:space="preserve"> </w:t>
      </w:r>
      <w:r w:rsidR="0043719C" w:rsidRPr="00FD211F">
        <w:rPr>
          <w:b/>
          <w:bCs/>
          <w:sz w:val="36"/>
          <w:szCs w:val="36"/>
          <w:rtl/>
        </w:rPr>
        <w:t>اولا</w:t>
      </w:r>
      <w:r w:rsidR="003E740D" w:rsidRPr="00FD211F">
        <w:rPr>
          <w:sz w:val="36"/>
          <w:szCs w:val="36"/>
          <w:rtl/>
        </w:rPr>
        <w:t>:</w:t>
      </w:r>
      <w:r w:rsidR="00556BC0" w:rsidRPr="00FD211F">
        <w:rPr>
          <w:sz w:val="36"/>
          <w:szCs w:val="36"/>
          <w:rtl/>
        </w:rPr>
        <w:t xml:space="preserve"> ان لازم ذلك انه كما تكون الجمل</w:t>
      </w:r>
      <w:r w:rsidR="00EC7EDF" w:rsidRPr="00FD211F">
        <w:rPr>
          <w:sz w:val="36"/>
          <w:szCs w:val="36"/>
          <w:rtl/>
        </w:rPr>
        <w:t xml:space="preserve">ة </w:t>
      </w:r>
      <w:r w:rsidR="00556BC0" w:rsidRPr="00FD211F">
        <w:rPr>
          <w:sz w:val="36"/>
          <w:szCs w:val="36"/>
          <w:rtl/>
        </w:rPr>
        <w:t>المشتمل</w:t>
      </w:r>
      <w:r w:rsidR="00EC7EDF" w:rsidRPr="00FD211F">
        <w:rPr>
          <w:sz w:val="36"/>
          <w:szCs w:val="36"/>
          <w:rtl/>
        </w:rPr>
        <w:t xml:space="preserve">ة </w:t>
      </w:r>
      <w:r w:rsidR="00556BC0" w:rsidRPr="00FD211F">
        <w:rPr>
          <w:sz w:val="36"/>
          <w:szCs w:val="36"/>
          <w:rtl/>
        </w:rPr>
        <w:t>على النسب</w:t>
      </w:r>
      <w:r w:rsidR="00EC7EDF" w:rsidRPr="00FD211F">
        <w:rPr>
          <w:sz w:val="36"/>
          <w:szCs w:val="36"/>
          <w:rtl/>
        </w:rPr>
        <w:t xml:space="preserve">ة </w:t>
      </w:r>
      <w:r w:rsidR="00556BC0" w:rsidRPr="00FD211F">
        <w:rPr>
          <w:sz w:val="36"/>
          <w:szCs w:val="36"/>
          <w:rtl/>
        </w:rPr>
        <w:t>الظرفي</w:t>
      </w:r>
      <w:r w:rsidR="00EC7EDF" w:rsidRPr="00FD211F">
        <w:rPr>
          <w:sz w:val="36"/>
          <w:szCs w:val="36"/>
          <w:rtl/>
        </w:rPr>
        <w:t xml:space="preserve">ة </w:t>
      </w:r>
      <w:r w:rsidR="00556BC0" w:rsidRPr="00FD211F">
        <w:rPr>
          <w:sz w:val="36"/>
          <w:szCs w:val="36"/>
          <w:rtl/>
        </w:rPr>
        <w:t>التحليلي</w:t>
      </w:r>
      <w:r w:rsidR="00EC7EDF" w:rsidRPr="00FD211F">
        <w:rPr>
          <w:sz w:val="36"/>
          <w:szCs w:val="36"/>
          <w:rtl/>
        </w:rPr>
        <w:t xml:space="preserve">ة </w:t>
      </w:r>
      <w:r w:rsidR="00556BC0" w:rsidRPr="00FD211F">
        <w:rPr>
          <w:sz w:val="36"/>
          <w:szCs w:val="36"/>
          <w:rtl/>
        </w:rPr>
        <w:t>مثلا كقولنا</w:t>
      </w:r>
      <w:r w:rsidR="00E55749" w:rsidRPr="00FD211F">
        <w:rPr>
          <w:sz w:val="36"/>
          <w:szCs w:val="36"/>
          <w:rtl/>
        </w:rPr>
        <w:t xml:space="preserve"> </w:t>
      </w:r>
      <w:r w:rsidR="002D35AA" w:rsidRPr="00FD211F">
        <w:rPr>
          <w:sz w:val="36"/>
          <w:szCs w:val="36"/>
          <w:rtl/>
        </w:rPr>
        <w:t>"الجالس في الدار"</w:t>
      </w:r>
      <w:r w:rsidR="00E55749" w:rsidRPr="00FD211F">
        <w:rPr>
          <w:sz w:val="36"/>
          <w:szCs w:val="36"/>
          <w:rtl/>
        </w:rPr>
        <w:t xml:space="preserve"> </w:t>
      </w:r>
      <w:r w:rsidR="00556BC0" w:rsidRPr="00FD211F">
        <w:rPr>
          <w:sz w:val="36"/>
          <w:szCs w:val="36"/>
          <w:rtl/>
        </w:rPr>
        <w:t>حاكي</w:t>
      </w:r>
      <w:r w:rsidR="00EC7EDF" w:rsidRPr="00FD211F">
        <w:rPr>
          <w:sz w:val="36"/>
          <w:szCs w:val="36"/>
          <w:rtl/>
        </w:rPr>
        <w:t xml:space="preserve">ة </w:t>
      </w:r>
      <w:r w:rsidR="00556BC0" w:rsidRPr="00FD211F">
        <w:rPr>
          <w:sz w:val="36"/>
          <w:szCs w:val="36"/>
          <w:rtl/>
        </w:rPr>
        <w:t>تصورا عن النسب</w:t>
      </w:r>
      <w:r w:rsidR="00EC7EDF" w:rsidRPr="00FD211F">
        <w:rPr>
          <w:sz w:val="36"/>
          <w:szCs w:val="36"/>
          <w:rtl/>
        </w:rPr>
        <w:t xml:space="preserve">ة </w:t>
      </w:r>
      <w:r w:rsidR="00556BC0" w:rsidRPr="00FD211F">
        <w:rPr>
          <w:sz w:val="36"/>
          <w:szCs w:val="36"/>
          <w:rtl/>
        </w:rPr>
        <w:t>الظرفي</w:t>
      </w:r>
      <w:r w:rsidR="00EC7EDF" w:rsidRPr="00FD211F">
        <w:rPr>
          <w:sz w:val="36"/>
          <w:szCs w:val="36"/>
          <w:rtl/>
        </w:rPr>
        <w:t xml:space="preserve">ة </w:t>
      </w:r>
      <w:r w:rsidR="00556BC0" w:rsidRPr="00FD211F">
        <w:rPr>
          <w:sz w:val="36"/>
          <w:szCs w:val="36"/>
          <w:rtl/>
        </w:rPr>
        <w:t>الخارجي</w:t>
      </w:r>
      <w:r w:rsidR="00EC7EDF" w:rsidRPr="00FD211F">
        <w:rPr>
          <w:sz w:val="36"/>
          <w:szCs w:val="36"/>
          <w:rtl/>
        </w:rPr>
        <w:t xml:space="preserve">ة </w:t>
      </w:r>
      <w:r w:rsidR="00556BC0" w:rsidRPr="00FD211F">
        <w:rPr>
          <w:sz w:val="36"/>
          <w:szCs w:val="36"/>
          <w:rtl/>
        </w:rPr>
        <w:t>بطرفيها</w:t>
      </w:r>
      <w:r w:rsidR="00603323" w:rsidRPr="00FD211F">
        <w:rPr>
          <w:sz w:val="36"/>
          <w:szCs w:val="36"/>
          <w:rtl/>
        </w:rPr>
        <w:t xml:space="preserve">، </w:t>
      </w:r>
      <w:r w:rsidR="00556BC0" w:rsidRPr="00FD211F">
        <w:rPr>
          <w:sz w:val="36"/>
          <w:szCs w:val="36"/>
          <w:rtl/>
        </w:rPr>
        <w:t>وكذا جمل</w:t>
      </w:r>
      <w:r w:rsidR="00EC7EDF" w:rsidRPr="00FD211F">
        <w:rPr>
          <w:sz w:val="36"/>
          <w:szCs w:val="36"/>
          <w:rtl/>
        </w:rPr>
        <w:t xml:space="preserve">ة </w:t>
      </w:r>
      <w:r w:rsidR="00556BC0" w:rsidRPr="00FD211F">
        <w:rPr>
          <w:sz w:val="36"/>
          <w:szCs w:val="36"/>
          <w:rtl/>
        </w:rPr>
        <w:t>الإضاف</w:t>
      </w:r>
      <w:r w:rsidR="00EC7EDF" w:rsidRPr="00FD211F">
        <w:rPr>
          <w:sz w:val="36"/>
          <w:szCs w:val="36"/>
          <w:rtl/>
        </w:rPr>
        <w:t xml:space="preserve">ة </w:t>
      </w:r>
      <w:r w:rsidR="00556BC0" w:rsidRPr="00FD211F">
        <w:rPr>
          <w:sz w:val="36"/>
          <w:szCs w:val="36"/>
          <w:rtl/>
        </w:rPr>
        <w:t xml:space="preserve">في قولنا </w:t>
      </w:r>
      <w:r w:rsidR="002D35AA" w:rsidRPr="00FD211F">
        <w:rPr>
          <w:sz w:val="36"/>
          <w:szCs w:val="36"/>
          <w:rtl/>
        </w:rPr>
        <w:t>"</w:t>
      </w:r>
      <w:r w:rsidR="00556BC0" w:rsidRPr="00FD211F">
        <w:rPr>
          <w:sz w:val="36"/>
          <w:szCs w:val="36"/>
          <w:rtl/>
        </w:rPr>
        <w:t>ضرب</w:t>
      </w:r>
      <w:r w:rsidR="002D35AA" w:rsidRPr="00FD211F">
        <w:rPr>
          <w:sz w:val="36"/>
          <w:szCs w:val="36"/>
          <w:rtl/>
        </w:rPr>
        <w:t>ُ</w:t>
      </w:r>
      <w:r w:rsidR="00556BC0" w:rsidRPr="00FD211F">
        <w:rPr>
          <w:sz w:val="36"/>
          <w:szCs w:val="36"/>
          <w:rtl/>
        </w:rPr>
        <w:t xml:space="preserve"> زيد</w:t>
      </w:r>
      <w:r w:rsidR="002D35AA" w:rsidRPr="00FD211F">
        <w:rPr>
          <w:sz w:val="36"/>
          <w:szCs w:val="36"/>
          <w:rtl/>
        </w:rPr>
        <w:t>ٍ"</w:t>
      </w:r>
      <w:r w:rsidR="00556BC0" w:rsidRPr="00FD211F">
        <w:rPr>
          <w:sz w:val="36"/>
          <w:szCs w:val="36"/>
          <w:rtl/>
        </w:rPr>
        <w:t xml:space="preserve"> حاكي</w:t>
      </w:r>
      <w:r w:rsidR="00EC7EDF" w:rsidRPr="00FD211F">
        <w:rPr>
          <w:sz w:val="36"/>
          <w:szCs w:val="36"/>
          <w:rtl/>
        </w:rPr>
        <w:t xml:space="preserve">ة </w:t>
      </w:r>
      <w:r w:rsidR="00556BC0" w:rsidRPr="00FD211F">
        <w:rPr>
          <w:sz w:val="36"/>
          <w:szCs w:val="36"/>
          <w:rtl/>
        </w:rPr>
        <w:t>عن النسب</w:t>
      </w:r>
      <w:r w:rsidR="00EC7EDF" w:rsidRPr="00FD211F">
        <w:rPr>
          <w:sz w:val="36"/>
          <w:szCs w:val="36"/>
          <w:rtl/>
        </w:rPr>
        <w:t xml:space="preserve">ة </w:t>
      </w:r>
      <w:r w:rsidR="00556BC0" w:rsidRPr="00FD211F">
        <w:rPr>
          <w:sz w:val="36"/>
          <w:szCs w:val="36"/>
          <w:rtl/>
        </w:rPr>
        <w:t>الصدوري</w:t>
      </w:r>
      <w:r w:rsidR="00EC7EDF" w:rsidRPr="00FD211F">
        <w:rPr>
          <w:sz w:val="36"/>
          <w:szCs w:val="36"/>
          <w:rtl/>
        </w:rPr>
        <w:t xml:space="preserve">ة </w:t>
      </w:r>
      <w:r w:rsidR="00556BC0" w:rsidRPr="00FD211F">
        <w:rPr>
          <w:sz w:val="36"/>
          <w:szCs w:val="36"/>
          <w:rtl/>
        </w:rPr>
        <w:t>الخارجي</w:t>
      </w:r>
      <w:r w:rsidR="00EC7EDF" w:rsidRPr="00FD211F">
        <w:rPr>
          <w:sz w:val="36"/>
          <w:szCs w:val="36"/>
          <w:rtl/>
        </w:rPr>
        <w:t xml:space="preserve">ة </w:t>
      </w:r>
      <w:r w:rsidR="00556BC0" w:rsidRPr="00FD211F">
        <w:rPr>
          <w:sz w:val="36"/>
          <w:szCs w:val="36"/>
          <w:rtl/>
        </w:rPr>
        <w:t>بين الضرب وزيد فكذلك تكون الجمل</w:t>
      </w:r>
      <w:r w:rsidR="00EC7EDF" w:rsidRPr="00FD211F">
        <w:rPr>
          <w:sz w:val="36"/>
          <w:szCs w:val="36"/>
          <w:rtl/>
        </w:rPr>
        <w:t xml:space="preserve">ة </w:t>
      </w:r>
      <w:r w:rsidR="00556BC0" w:rsidRPr="00FD211F">
        <w:rPr>
          <w:sz w:val="36"/>
          <w:szCs w:val="36"/>
          <w:rtl/>
        </w:rPr>
        <w:t>الوصفي</w:t>
      </w:r>
      <w:r w:rsidR="00EC7EDF" w:rsidRPr="00FD211F">
        <w:rPr>
          <w:sz w:val="36"/>
          <w:szCs w:val="36"/>
          <w:rtl/>
        </w:rPr>
        <w:t xml:space="preserve">ة </w:t>
      </w:r>
      <w:r w:rsidR="001F2B31" w:rsidRPr="00FD211F">
        <w:rPr>
          <w:sz w:val="36"/>
          <w:szCs w:val="36"/>
          <w:rtl/>
        </w:rPr>
        <w:t>حاكي</w:t>
      </w:r>
      <w:r w:rsidR="00EC7EDF" w:rsidRPr="00FD211F">
        <w:rPr>
          <w:sz w:val="36"/>
          <w:szCs w:val="36"/>
          <w:rtl/>
        </w:rPr>
        <w:t xml:space="preserve">ة </w:t>
      </w:r>
      <w:r w:rsidR="001F2B31" w:rsidRPr="00FD211F">
        <w:rPr>
          <w:sz w:val="36"/>
          <w:szCs w:val="36"/>
          <w:rtl/>
        </w:rPr>
        <w:t>تصورا عن</w:t>
      </w:r>
      <w:r w:rsidR="00556BC0" w:rsidRPr="00FD211F">
        <w:rPr>
          <w:sz w:val="36"/>
          <w:szCs w:val="36"/>
          <w:rtl/>
        </w:rPr>
        <w:t xml:space="preserve"> النسب</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 xml:space="preserve">ة </w:t>
      </w:r>
      <w:r w:rsidR="00556BC0" w:rsidRPr="00FD211F">
        <w:rPr>
          <w:sz w:val="36"/>
          <w:szCs w:val="36"/>
          <w:rtl/>
        </w:rPr>
        <w:t>الموجود</w:t>
      </w:r>
      <w:r w:rsidR="00EC7EDF" w:rsidRPr="00FD211F">
        <w:rPr>
          <w:sz w:val="36"/>
          <w:szCs w:val="36"/>
          <w:rtl/>
        </w:rPr>
        <w:t xml:space="preserve">ة </w:t>
      </w:r>
      <w:r w:rsidR="00556BC0" w:rsidRPr="00FD211F">
        <w:rPr>
          <w:sz w:val="36"/>
          <w:szCs w:val="36"/>
          <w:rtl/>
        </w:rPr>
        <w:t>في 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ة</w:t>
      </w:r>
      <w:r w:rsidR="00603323" w:rsidRPr="00FD211F">
        <w:rPr>
          <w:sz w:val="36"/>
          <w:szCs w:val="36"/>
          <w:rtl/>
        </w:rPr>
        <w:t xml:space="preserve">، </w:t>
      </w:r>
      <w:r w:rsidR="00556BC0" w:rsidRPr="00FD211F">
        <w:rPr>
          <w:sz w:val="36"/>
          <w:szCs w:val="36"/>
          <w:rtl/>
        </w:rPr>
        <w:t>مع انه خلاف الوجدان حيث لايحصل في ذهن المخاطب عند سماع الجمل</w:t>
      </w:r>
      <w:r w:rsidR="00EC7EDF" w:rsidRPr="00FD211F">
        <w:rPr>
          <w:sz w:val="36"/>
          <w:szCs w:val="36"/>
          <w:rtl/>
        </w:rPr>
        <w:t xml:space="preserve">ة </w:t>
      </w:r>
      <w:r w:rsidR="00556BC0" w:rsidRPr="00FD211F">
        <w:rPr>
          <w:sz w:val="36"/>
          <w:szCs w:val="36"/>
          <w:rtl/>
        </w:rPr>
        <w:t>الوصفي</w:t>
      </w:r>
      <w:r w:rsidR="00EC7EDF" w:rsidRPr="00FD211F">
        <w:rPr>
          <w:sz w:val="36"/>
          <w:szCs w:val="36"/>
          <w:rtl/>
        </w:rPr>
        <w:t xml:space="preserve">ة </w:t>
      </w:r>
      <w:r w:rsidR="00556BC0" w:rsidRPr="00FD211F">
        <w:rPr>
          <w:sz w:val="36"/>
          <w:szCs w:val="36"/>
          <w:rtl/>
        </w:rPr>
        <w:t>صور</w:t>
      </w:r>
      <w:r w:rsidR="00EC7EDF" w:rsidRPr="00FD211F">
        <w:rPr>
          <w:sz w:val="36"/>
          <w:szCs w:val="36"/>
          <w:rtl/>
        </w:rPr>
        <w:t xml:space="preserve">ة </w:t>
      </w:r>
      <w:r w:rsidR="00556BC0" w:rsidRPr="00FD211F">
        <w:rPr>
          <w:sz w:val="36"/>
          <w:szCs w:val="36"/>
          <w:rtl/>
        </w:rPr>
        <w:t>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ة</w:t>
      </w:r>
      <w:r w:rsidR="00603323" w:rsidRPr="00FD211F">
        <w:rPr>
          <w:sz w:val="36"/>
          <w:szCs w:val="36"/>
          <w:rtl/>
        </w:rPr>
        <w:t xml:space="preserve">، </w:t>
      </w:r>
      <w:r w:rsidR="00556BC0" w:rsidRPr="00FD211F">
        <w:rPr>
          <w:sz w:val="36"/>
          <w:szCs w:val="36"/>
          <w:rtl/>
        </w:rPr>
        <w:t>بل يرى العرف مفاد الجمل</w:t>
      </w:r>
      <w:r w:rsidR="00EC7EDF" w:rsidRPr="00FD211F">
        <w:rPr>
          <w:sz w:val="36"/>
          <w:szCs w:val="36"/>
          <w:rtl/>
        </w:rPr>
        <w:t xml:space="preserve">ة </w:t>
      </w:r>
      <w:r w:rsidR="00556BC0" w:rsidRPr="00FD211F">
        <w:rPr>
          <w:sz w:val="36"/>
          <w:szCs w:val="36"/>
          <w:rtl/>
        </w:rPr>
        <w:t>الوصفي</w:t>
      </w:r>
      <w:r w:rsidR="00EC7EDF" w:rsidRPr="00FD211F">
        <w:rPr>
          <w:sz w:val="36"/>
          <w:szCs w:val="36"/>
          <w:rtl/>
        </w:rPr>
        <w:t xml:space="preserve">ة </w:t>
      </w:r>
      <w:r w:rsidR="00556BC0" w:rsidRPr="00FD211F">
        <w:rPr>
          <w:sz w:val="36"/>
          <w:szCs w:val="36"/>
          <w:rtl/>
        </w:rPr>
        <w:t>في قبال 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ة</w:t>
      </w:r>
      <w:r w:rsidR="00A61BAE" w:rsidRPr="00FD211F">
        <w:rPr>
          <w:sz w:val="36"/>
          <w:szCs w:val="36"/>
          <w:rtl/>
        </w:rPr>
        <w:t>.</w:t>
      </w:r>
      <w:r w:rsidR="00C55BC6" w:rsidRPr="00FD211F">
        <w:rPr>
          <w:sz w:val="36"/>
          <w:szCs w:val="36"/>
          <w:rtl/>
        </w:rPr>
        <w:t xml:space="preserve"> </w:t>
      </w:r>
    </w:p>
    <w:p w14:paraId="2A96218A" w14:textId="77777777" w:rsidR="000C5BBA" w:rsidRPr="00FD211F" w:rsidRDefault="0043719C" w:rsidP="00E55749">
      <w:pPr>
        <w:ind w:left="0" w:firstLine="227"/>
        <w:jc w:val="both"/>
        <w:rPr>
          <w:sz w:val="36"/>
          <w:szCs w:val="36"/>
          <w:rtl/>
        </w:rPr>
      </w:pPr>
      <w:r w:rsidRPr="00FD211F">
        <w:rPr>
          <w:b/>
          <w:bCs/>
          <w:sz w:val="36"/>
          <w:szCs w:val="36"/>
          <w:rtl/>
        </w:rPr>
        <w:t>وثانيا</w:t>
      </w:r>
      <w:r w:rsidRPr="00FD211F">
        <w:rPr>
          <w:sz w:val="36"/>
          <w:szCs w:val="36"/>
          <w:rtl/>
        </w:rPr>
        <w:t>: ان ما ادعاه من كون مدلول الجمل</w:t>
      </w:r>
      <w:r w:rsidR="00EC7EDF" w:rsidRPr="00FD211F">
        <w:rPr>
          <w:sz w:val="36"/>
          <w:szCs w:val="36"/>
          <w:rtl/>
        </w:rPr>
        <w:t xml:space="preserve">ة </w:t>
      </w:r>
      <w:r w:rsidRPr="00FD211F">
        <w:rPr>
          <w:sz w:val="36"/>
          <w:szCs w:val="36"/>
          <w:rtl/>
        </w:rPr>
        <w:t>الناقص</w:t>
      </w:r>
      <w:r w:rsidR="00EC7EDF" w:rsidRPr="00FD211F">
        <w:rPr>
          <w:sz w:val="36"/>
          <w:szCs w:val="36"/>
          <w:rtl/>
        </w:rPr>
        <w:t xml:space="preserve">ة </w:t>
      </w:r>
      <w:r w:rsidRPr="00FD211F">
        <w:rPr>
          <w:sz w:val="36"/>
          <w:szCs w:val="36"/>
          <w:rtl/>
        </w:rPr>
        <w:t>بسيطا تصورا خلاف الوجدان فاننا حينما نتصور</w:t>
      </w:r>
      <w:r w:rsidR="00BF0A5B" w:rsidRPr="00FD211F">
        <w:rPr>
          <w:sz w:val="36"/>
          <w:szCs w:val="36"/>
          <w:rtl/>
        </w:rPr>
        <w:t xml:space="preserve"> </w:t>
      </w:r>
      <w:r w:rsidR="00C352A1" w:rsidRPr="00FD211F">
        <w:rPr>
          <w:sz w:val="36"/>
          <w:szCs w:val="36"/>
          <w:rtl/>
        </w:rPr>
        <w:t>الجمل</w:t>
      </w:r>
      <w:r w:rsidR="00EC7EDF" w:rsidRPr="00FD211F">
        <w:rPr>
          <w:sz w:val="36"/>
          <w:szCs w:val="36"/>
          <w:rtl/>
        </w:rPr>
        <w:t xml:space="preserve">ة </w:t>
      </w:r>
      <w:r w:rsidR="00C352A1" w:rsidRPr="00FD211F">
        <w:rPr>
          <w:sz w:val="36"/>
          <w:szCs w:val="36"/>
          <w:rtl/>
        </w:rPr>
        <w:t>الوصفي</w:t>
      </w:r>
      <w:r w:rsidR="00EC7EDF" w:rsidRPr="00FD211F">
        <w:rPr>
          <w:sz w:val="36"/>
          <w:szCs w:val="36"/>
          <w:rtl/>
        </w:rPr>
        <w:t xml:space="preserve">ة </w:t>
      </w:r>
      <w:r w:rsidR="00C352A1" w:rsidRPr="00FD211F">
        <w:rPr>
          <w:sz w:val="36"/>
          <w:szCs w:val="36"/>
          <w:rtl/>
        </w:rPr>
        <w:t>ك</w:t>
      </w:r>
      <w:r w:rsidRPr="00FD211F">
        <w:rPr>
          <w:sz w:val="36"/>
          <w:szCs w:val="36"/>
          <w:rtl/>
        </w:rPr>
        <w:t xml:space="preserve">مفهوم </w:t>
      </w:r>
      <w:r w:rsidR="00C352A1" w:rsidRPr="00FD211F">
        <w:rPr>
          <w:sz w:val="36"/>
          <w:szCs w:val="36"/>
          <w:rtl/>
        </w:rPr>
        <w:t>"</w:t>
      </w:r>
      <w:r w:rsidRPr="00FD211F">
        <w:rPr>
          <w:sz w:val="36"/>
          <w:szCs w:val="36"/>
          <w:rtl/>
        </w:rPr>
        <w:t>الانسان الاسود</w:t>
      </w:r>
      <w:r w:rsidR="00C352A1" w:rsidRPr="00FD211F">
        <w:rPr>
          <w:sz w:val="36"/>
          <w:szCs w:val="36"/>
          <w:rtl/>
        </w:rPr>
        <w:t>"</w:t>
      </w:r>
      <w:r w:rsidR="00E55749" w:rsidRPr="00FD211F">
        <w:rPr>
          <w:sz w:val="36"/>
          <w:szCs w:val="36"/>
          <w:rtl/>
        </w:rPr>
        <w:t xml:space="preserve"> </w:t>
      </w:r>
      <w:r w:rsidR="00C352A1" w:rsidRPr="00FD211F">
        <w:rPr>
          <w:sz w:val="36"/>
          <w:szCs w:val="36"/>
          <w:rtl/>
        </w:rPr>
        <w:t>فهو وان لوحظ فانيا في معنون واحد لكن من حيث المفهومي</w:t>
      </w:r>
      <w:r w:rsidR="00EC7EDF" w:rsidRPr="00FD211F">
        <w:rPr>
          <w:sz w:val="36"/>
          <w:szCs w:val="36"/>
          <w:rtl/>
        </w:rPr>
        <w:t xml:space="preserve">ة </w:t>
      </w:r>
      <w:r w:rsidR="00C352A1" w:rsidRPr="00FD211F">
        <w:rPr>
          <w:sz w:val="36"/>
          <w:szCs w:val="36"/>
          <w:rtl/>
        </w:rPr>
        <w:t>لايقل عن تصور مفهوم الانسان والاسود مستقلا</w:t>
      </w:r>
      <w:r w:rsidR="00603323" w:rsidRPr="00FD211F">
        <w:rPr>
          <w:sz w:val="36"/>
          <w:szCs w:val="36"/>
          <w:rtl/>
        </w:rPr>
        <w:t xml:space="preserve">، </w:t>
      </w:r>
      <w:r w:rsidR="00C352A1" w:rsidRPr="00FD211F">
        <w:rPr>
          <w:sz w:val="36"/>
          <w:szCs w:val="36"/>
          <w:rtl/>
        </w:rPr>
        <w:t>و</w:t>
      </w:r>
      <w:r w:rsidR="001B3112" w:rsidRPr="00FD211F">
        <w:rPr>
          <w:sz w:val="36"/>
          <w:szCs w:val="36"/>
          <w:rtl/>
        </w:rPr>
        <w:t>الأمر</w:t>
      </w:r>
      <w:r w:rsidR="00C352A1" w:rsidRPr="00FD211F">
        <w:rPr>
          <w:sz w:val="36"/>
          <w:szCs w:val="36"/>
          <w:rtl/>
        </w:rPr>
        <w:t xml:space="preserve"> في جمل</w:t>
      </w:r>
      <w:r w:rsidR="00EC7EDF" w:rsidRPr="00FD211F">
        <w:rPr>
          <w:sz w:val="36"/>
          <w:szCs w:val="36"/>
          <w:rtl/>
        </w:rPr>
        <w:t xml:space="preserve">ة </w:t>
      </w:r>
      <w:r w:rsidR="00C352A1" w:rsidRPr="00FD211F">
        <w:rPr>
          <w:sz w:val="36"/>
          <w:szCs w:val="36"/>
          <w:rtl/>
        </w:rPr>
        <w:t>الاضاف</w:t>
      </w:r>
      <w:r w:rsidR="00EC7EDF" w:rsidRPr="00FD211F">
        <w:rPr>
          <w:sz w:val="36"/>
          <w:szCs w:val="36"/>
          <w:rtl/>
        </w:rPr>
        <w:t xml:space="preserve">ة </w:t>
      </w:r>
      <w:r w:rsidR="00C352A1" w:rsidRPr="00FD211F">
        <w:rPr>
          <w:sz w:val="36"/>
          <w:szCs w:val="36"/>
          <w:rtl/>
        </w:rPr>
        <w:t xml:space="preserve">ونحوها اوضح </w:t>
      </w:r>
      <w:r w:rsidR="00390439" w:rsidRPr="00FD211F">
        <w:rPr>
          <w:sz w:val="36"/>
          <w:szCs w:val="36"/>
          <w:rtl/>
        </w:rPr>
        <w:t>بعد</w:t>
      </w:r>
      <w:r w:rsidR="00E55749" w:rsidRPr="00FD211F">
        <w:rPr>
          <w:sz w:val="36"/>
          <w:szCs w:val="36"/>
          <w:rtl/>
        </w:rPr>
        <w:t xml:space="preserve"> </w:t>
      </w:r>
      <w:r w:rsidR="00390439" w:rsidRPr="00FD211F">
        <w:rPr>
          <w:sz w:val="36"/>
          <w:szCs w:val="36"/>
          <w:rtl/>
        </w:rPr>
        <w:t>عدم لحاظها فاني</w:t>
      </w:r>
      <w:r w:rsidR="00EC7EDF" w:rsidRPr="00FD211F">
        <w:rPr>
          <w:sz w:val="36"/>
          <w:szCs w:val="36"/>
          <w:rtl/>
        </w:rPr>
        <w:t xml:space="preserve">ة </w:t>
      </w:r>
      <w:r w:rsidR="00390439" w:rsidRPr="00FD211F">
        <w:rPr>
          <w:sz w:val="36"/>
          <w:szCs w:val="36"/>
          <w:rtl/>
        </w:rPr>
        <w:t xml:space="preserve">في </w:t>
      </w:r>
      <w:r w:rsidR="00C352A1" w:rsidRPr="00FD211F">
        <w:rPr>
          <w:sz w:val="36"/>
          <w:szCs w:val="36"/>
          <w:rtl/>
        </w:rPr>
        <w:t>معنون واحد</w:t>
      </w:r>
      <w:r w:rsidR="00603323" w:rsidRPr="00FD211F">
        <w:rPr>
          <w:sz w:val="36"/>
          <w:szCs w:val="36"/>
          <w:rtl/>
        </w:rPr>
        <w:t xml:space="preserve">، </w:t>
      </w:r>
      <w:r w:rsidR="00A87B69" w:rsidRPr="00FD211F">
        <w:rPr>
          <w:sz w:val="36"/>
          <w:szCs w:val="36"/>
          <w:rtl/>
        </w:rPr>
        <w:t>كما</w:t>
      </w:r>
      <w:r w:rsidR="0083259B" w:rsidRPr="00FD211F">
        <w:rPr>
          <w:sz w:val="36"/>
          <w:szCs w:val="36"/>
          <w:rtl/>
        </w:rPr>
        <w:t xml:space="preserve"> </w:t>
      </w:r>
      <w:r w:rsidR="00A87B69" w:rsidRPr="00FD211F">
        <w:rPr>
          <w:sz w:val="36"/>
          <w:szCs w:val="36"/>
          <w:rtl/>
        </w:rPr>
        <w:t>في قولنا</w:t>
      </w:r>
      <w:r w:rsidR="0083259B" w:rsidRPr="00FD211F">
        <w:rPr>
          <w:sz w:val="36"/>
          <w:szCs w:val="36"/>
          <w:rtl/>
        </w:rPr>
        <w:t xml:space="preserve"> </w:t>
      </w:r>
      <w:r w:rsidR="00A87B69" w:rsidRPr="00FD211F">
        <w:rPr>
          <w:sz w:val="36"/>
          <w:szCs w:val="36"/>
          <w:rtl/>
        </w:rPr>
        <w:t>"ضربُ</w:t>
      </w:r>
      <w:r w:rsidR="0083259B" w:rsidRPr="00FD211F">
        <w:rPr>
          <w:sz w:val="36"/>
          <w:szCs w:val="36"/>
          <w:rtl/>
        </w:rPr>
        <w:t xml:space="preserve"> </w:t>
      </w:r>
      <w:r w:rsidR="00A87B69" w:rsidRPr="00FD211F">
        <w:rPr>
          <w:sz w:val="36"/>
          <w:szCs w:val="36"/>
          <w:rtl/>
        </w:rPr>
        <w:t>زيدٍ</w:t>
      </w:r>
      <w:r w:rsidR="00B253CE" w:rsidRPr="00FD211F">
        <w:rPr>
          <w:sz w:val="36"/>
          <w:szCs w:val="36"/>
          <w:rtl/>
        </w:rPr>
        <w:t xml:space="preserve"> </w:t>
      </w:r>
      <w:r w:rsidR="00C352A1" w:rsidRPr="00FD211F">
        <w:rPr>
          <w:sz w:val="36"/>
          <w:szCs w:val="36"/>
          <w:rtl/>
        </w:rPr>
        <w:t>عمراً"</w:t>
      </w:r>
      <w:r w:rsidRPr="00FD211F">
        <w:rPr>
          <w:sz w:val="36"/>
          <w:szCs w:val="36"/>
          <w:rtl/>
        </w:rPr>
        <w:t xml:space="preserve"> </w:t>
      </w:r>
      <w:r w:rsidR="00390439" w:rsidRPr="00FD211F">
        <w:rPr>
          <w:sz w:val="36"/>
          <w:szCs w:val="36"/>
          <w:rtl/>
        </w:rPr>
        <w:t>ويشهد على ما ذكرناه ما</w:t>
      </w:r>
      <w:r w:rsidR="0083259B" w:rsidRPr="00FD211F">
        <w:rPr>
          <w:sz w:val="36"/>
          <w:szCs w:val="36"/>
          <w:rtl/>
        </w:rPr>
        <w:t xml:space="preserve"> </w:t>
      </w:r>
      <w:r w:rsidR="00390439" w:rsidRPr="00FD211F">
        <w:rPr>
          <w:sz w:val="36"/>
          <w:szCs w:val="36"/>
          <w:rtl/>
        </w:rPr>
        <w:t>لو كان الوصف جمل</w:t>
      </w:r>
      <w:r w:rsidR="00EC7EDF" w:rsidRPr="00FD211F">
        <w:rPr>
          <w:sz w:val="36"/>
          <w:szCs w:val="36"/>
          <w:rtl/>
        </w:rPr>
        <w:t xml:space="preserve">ة </w:t>
      </w:r>
      <w:r w:rsidR="00390439" w:rsidRPr="00FD211F">
        <w:rPr>
          <w:sz w:val="36"/>
          <w:szCs w:val="36"/>
          <w:rtl/>
        </w:rPr>
        <w:t>ك</w:t>
      </w:r>
      <w:r w:rsidRPr="00FD211F">
        <w:rPr>
          <w:sz w:val="36"/>
          <w:szCs w:val="36"/>
          <w:rtl/>
        </w:rPr>
        <w:t>قولنا</w:t>
      </w:r>
      <w:r w:rsidR="0083259B" w:rsidRPr="00FD211F">
        <w:rPr>
          <w:sz w:val="36"/>
          <w:szCs w:val="36"/>
          <w:rtl/>
        </w:rPr>
        <w:t xml:space="preserve"> </w:t>
      </w:r>
      <w:r w:rsidRPr="00FD211F">
        <w:rPr>
          <w:sz w:val="36"/>
          <w:szCs w:val="36"/>
          <w:rtl/>
        </w:rPr>
        <w:t>"الانسان الذي</w:t>
      </w:r>
      <w:r w:rsidR="00390439" w:rsidRPr="00FD211F">
        <w:rPr>
          <w:sz w:val="36"/>
          <w:szCs w:val="36"/>
          <w:rtl/>
        </w:rPr>
        <w:t xml:space="preserve"> هو</w:t>
      </w:r>
      <w:r w:rsidRPr="00FD211F">
        <w:rPr>
          <w:sz w:val="36"/>
          <w:szCs w:val="36"/>
          <w:rtl/>
        </w:rPr>
        <w:t xml:space="preserve"> عالم"</w:t>
      </w:r>
      <w:r w:rsidR="00603323" w:rsidRPr="00FD211F">
        <w:rPr>
          <w:sz w:val="36"/>
          <w:szCs w:val="36"/>
          <w:rtl/>
        </w:rPr>
        <w:t xml:space="preserve">، </w:t>
      </w:r>
      <w:r w:rsidR="00390439" w:rsidRPr="00FD211F">
        <w:rPr>
          <w:sz w:val="36"/>
          <w:szCs w:val="36"/>
          <w:rtl/>
        </w:rPr>
        <w:t>فانه لايمكن الالتزام بكون مدلول الجمل</w:t>
      </w:r>
      <w:r w:rsidR="00EC7EDF" w:rsidRPr="00FD211F">
        <w:rPr>
          <w:sz w:val="36"/>
          <w:szCs w:val="36"/>
          <w:rtl/>
        </w:rPr>
        <w:t xml:space="preserve">ة </w:t>
      </w:r>
      <w:r w:rsidR="00390439" w:rsidRPr="00FD211F">
        <w:rPr>
          <w:sz w:val="36"/>
          <w:szCs w:val="36"/>
          <w:rtl/>
        </w:rPr>
        <w:t>الوصفي</w:t>
      </w:r>
      <w:r w:rsidR="00EC7EDF" w:rsidRPr="00FD211F">
        <w:rPr>
          <w:sz w:val="36"/>
          <w:szCs w:val="36"/>
          <w:rtl/>
        </w:rPr>
        <w:t xml:space="preserve">ة </w:t>
      </w:r>
      <w:r w:rsidR="00390439" w:rsidRPr="00FD211F">
        <w:rPr>
          <w:sz w:val="36"/>
          <w:szCs w:val="36"/>
          <w:rtl/>
        </w:rPr>
        <w:t>في مثلها</w:t>
      </w:r>
      <w:r w:rsidR="00556693" w:rsidRPr="00FD211F">
        <w:rPr>
          <w:sz w:val="36"/>
          <w:szCs w:val="36"/>
          <w:rtl/>
        </w:rPr>
        <w:t xml:space="preserve"> </w:t>
      </w:r>
      <w:r w:rsidR="00390439" w:rsidRPr="00FD211F">
        <w:rPr>
          <w:sz w:val="36"/>
          <w:szCs w:val="36"/>
          <w:rtl/>
        </w:rPr>
        <w:t>بسيطا تصوريا</w:t>
      </w:r>
      <w:r w:rsidR="00556693" w:rsidRPr="00FD211F">
        <w:rPr>
          <w:sz w:val="36"/>
          <w:szCs w:val="36"/>
          <w:rtl/>
        </w:rPr>
        <w:t xml:space="preserve"> </w:t>
      </w:r>
      <w:r w:rsidR="00390439" w:rsidRPr="00FD211F">
        <w:rPr>
          <w:sz w:val="36"/>
          <w:szCs w:val="36"/>
          <w:rtl/>
        </w:rPr>
        <w:t>بعد كون الوصف فيها جمل</w:t>
      </w:r>
      <w:r w:rsidR="00EC7EDF" w:rsidRPr="00FD211F">
        <w:rPr>
          <w:sz w:val="36"/>
          <w:szCs w:val="36"/>
          <w:rtl/>
        </w:rPr>
        <w:t xml:space="preserve">ة </w:t>
      </w:r>
      <w:r w:rsidR="00390439" w:rsidRPr="00FD211F">
        <w:rPr>
          <w:sz w:val="36"/>
          <w:szCs w:val="36"/>
          <w:rtl/>
        </w:rPr>
        <w:t>تام</w:t>
      </w:r>
      <w:r w:rsidR="00EC7EDF" w:rsidRPr="00FD211F">
        <w:rPr>
          <w:sz w:val="36"/>
          <w:szCs w:val="36"/>
          <w:rtl/>
        </w:rPr>
        <w:t xml:space="preserve">ة </w:t>
      </w:r>
      <w:r w:rsidR="00390439" w:rsidRPr="00FD211F">
        <w:rPr>
          <w:sz w:val="36"/>
          <w:szCs w:val="36"/>
          <w:rtl/>
        </w:rPr>
        <w:t>اذ لايصح التوصيف</w:t>
      </w:r>
      <w:r w:rsidR="00B253CE" w:rsidRPr="00FD211F">
        <w:rPr>
          <w:sz w:val="36"/>
          <w:szCs w:val="36"/>
          <w:rtl/>
        </w:rPr>
        <w:t xml:space="preserve"> </w:t>
      </w:r>
      <w:r w:rsidR="00390439" w:rsidRPr="00FD211F">
        <w:rPr>
          <w:sz w:val="36"/>
          <w:szCs w:val="36"/>
          <w:rtl/>
        </w:rPr>
        <w:t>بالجمل</w:t>
      </w:r>
      <w:r w:rsidR="00EC7EDF" w:rsidRPr="00FD211F">
        <w:rPr>
          <w:sz w:val="36"/>
          <w:szCs w:val="36"/>
          <w:rtl/>
        </w:rPr>
        <w:t xml:space="preserve">ة </w:t>
      </w:r>
      <w:r w:rsidR="00390439" w:rsidRPr="00FD211F">
        <w:rPr>
          <w:sz w:val="36"/>
          <w:szCs w:val="36"/>
          <w:rtl/>
        </w:rPr>
        <w:t>الناقص</w:t>
      </w:r>
      <w:r w:rsidR="00EC7EDF" w:rsidRPr="00FD211F">
        <w:rPr>
          <w:sz w:val="36"/>
          <w:szCs w:val="36"/>
          <w:rtl/>
        </w:rPr>
        <w:t>ة</w:t>
      </w:r>
      <w:r w:rsidR="00603323" w:rsidRPr="00FD211F">
        <w:rPr>
          <w:sz w:val="36"/>
          <w:szCs w:val="36"/>
          <w:rtl/>
        </w:rPr>
        <w:t xml:space="preserve">، </w:t>
      </w:r>
      <w:r w:rsidR="00390439" w:rsidRPr="00FD211F">
        <w:rPr>
          <w:sz w:val="36"/>
          <w:szCs w:val="36"/>
          <w:rtl/>
        </w:rPr>
        <w:t xml:space="preserve">فلايصح أن يقال "الانسان الذي </w:t>
      </w:r>
      <w:r w:rsidR="00C55BC6" w:rsidRPr="00FD211F">
        <w:rPr>
          <w:sz w:val="36"/>
          <w:szCs w:val="36"/>
          <w:rtl/>
        </w:rPr>
        <w:t>هو العالم"</w:t>
      </w:r>
      <w:r w:rsidR="00E55749" w:rsidRPr="00FD211F">
        <w:rPr>
          <w:sz w:val="36"/>
          <w:szCs w:val="36"/>
          <w:rtl/>
        </w:rPr>
        <w:t xml:space="preserve"> </w:t>
      </w:r>
      <w:r w:rsidR="00C55BC6" w:rsidRPr="00FD211F">
        <w:rPr>
          <w:sz w:val="36"/>
          <w:szCs w:val="36"/>
          <w:rtl/>
        </w:rPr>
        <w:t>او يقال "الانسان الذي ابوه العالم ".</w:t>
      </w:r>
    </w:p>
    <w:p w14:paraId="5C916B45" w14:textId="77777777" w:rsidR="00F812A2" w:rsidRPr="00FD211F" w:rsidRDefault="0043719C" w:rsidP="009C58C8">
      <w:pPr>
        <w:ind w:left="0" w:firstLine="227"/>
        <w:jc w:val="both"/>
        <w:rPr>
          <w:sz w:val="36"/>
          <w:szCs w:val="36"/>
          <w:rtl/>
        </w:rPr>
      </w:pPr>
      <w:r w:rsidRPr="00FD211F">
        <w:rPr>
          <w:b/>
          <w:bCs/>
          <w:sz w:val="36"/>
          <w:szCs w:val="36"/>
          <w:rtl/>
        </w:rPr>
        <w:t>الوجه الخامس</w:t>
      </w:r>
      <w:r w:rsidRPr="00FD211F">
        <w:rPr>
          <w:sz w:val="36"/>
          <w:szCs w:val="36"/>
          <w:rtl/>
        </w:rPr>
        <w:t>:</w:t>
      </w:r>
      <w:r w:rsidR="004C665E" w:rsidRPr="00FD211F">
        <w:rPr>
          <w:sz w:val="36"/>
          <w:szCs w:val="36"/>
          <w:rtl/>
        </w:rPr>
        <w:t xml:space="preserve"> </w:t>
      </w:r>
      <w:r w:rsidR="00550624" w:rsidRPr="00FD211F">
        <w:rPr>
          <w:sz w:val="36"/>
          <w:szCs w:val="36"/>
          <w:rtl/>
        </w:rPr>
        <w:t>ما</w:t>
      </w:r>
      <w:r w:rsidR="00E55749" w:rsidRPr="00FD211F">
        <w:rPr>
          <w:sz w:val="36"/>
          <w:szCs w:val="36"/>
          <w:rtl/>
        </w:rPr>
        <w:t xml:space="preserve"> </w:t>
      </w:r>
      <w:r w:rsidR="00550624" w:rsidRPr="00FD211F">
        <w:rPr>
          <w:sz w:val="36"/>
          <w:szCs w:val="36"/>
          <w:rtl/>
        </w:rPr>
        <w:t>هو</w:t>
      </w:r>
      <w:r w:rsidR="00E55749" w:rsidRPr="00FD211F">
        <w:rPr>
          <w:sz w:val="36"/>
          <w:szCs w:val="36"/>
          <w:rtl/>
        </w:rPr>
        <w:t xml:space="preserve"> </w:t>
      </w:r>
      <w:r w:rsidR="00357CE9" w:rsidRPr="00FD211F">
        <w:rPr>
          <w:sz w:val="36"/>
          <w:szCs w:val="36"/>
          <w:rtl/>
        </w:rPr>
        <w:t>المختار من أ</w:t>
      </w:r>
      <w:r w:rsidR="00556BC0" w:rsidRPr="00FD211F">
        <w:rPr>
          <w:sz w:val="36"/>
          <w:szCs w:val="36"/>
          <w:rtl/>
        </w:rPr>
        <w:t>ن الجمل</w:t>
      </w:r>
      <w:r w:rsidR="00EC7EDF" w:rsidRPr="00FD211F">
        <w:rPr>
          <w:sz w:val="36"/>
          <w:szCs w:val="36"/>
          <w:rtl/>
        </w:rPr>
        <w:t xml:space="preserve">ة </w:t>
      </w:r>
      <w:r w:rsidR="00407C50" w:rsidRPr="00FD211F">
        <w:rPr>
          <w:sz w:val="36"/>
          <w:szCs w:val="36"/>
          <w:rtl/>
        </w:rPr>
        <w:t>الوصفي</w:t>
      </w:r>
      <w:r w:rsidR="00EC7EDF" w:rsidRPr="00FD211F">
        <w:rPr>
          <w:sz w:val="36"/>
          <w:szCs w:val="36"/>
          <w:rtl/>
        </w:rPr>
        <w:t xml:space="preserve">ة </w:t>
      </w:r>
      <w:r w:rsidR="00407C50" w:rsidRPr="00FD211F">
        <w:rPr>
          <w:sz w:val="36"/>
          <w:szCs w:val="36"/>
          <w:rtl/>
        </w:rPr>
        <w:t>تدل على الهوهوي</w:t>
      </w:r>
      <w:r w:rsidR="00EC7EDF" w:rsidRPr="00FD211F">
        <w:rPr>
          <w:sz w:val="36"/>
          <w:szCs w:val="36"/>
          <w:rtl/>
        </w:rPr>
        <w:t xml:space="preserve">ة </w:t>
      </w:r>
      <w:r w:rsidR="00407C50" w:rsidRPr="00FD211F">
        <w:rPr>
          <w:sz w:val="36"/>
          <w:szCs w:val="36"/>
          <w:rtl/>
        </w:rPr>
        <w:t>التصوري</w:t>
      </w:r>
      <w:r w:rsidR="00EC7EDF" w:rsidRPr="00FD211F">
        <w:rPr>
          <w:sz w:val="36"/>
          <w:szCs w:val="36"/>
          <w:rtl/>
        </w:rPr>
        <w:t xml:space="preserve">ة </w:t>
      </w:r>
      <w:r w:rsidR="00407C50" w:rsidRPr="00FD211F">
        <w:rPr>
          <w:sz w:val="36"/>
          <w:szCs w:val="36"/>
          <w:rtl/>
        </w:rPr>
        <w:t xml:space="preserve">بين الوصف والموصوف </w:t>
      </w:r>
      <w:r w:rsidR="007C1B8B" w:rsidRPr="00FD211F">
        <w:rPr>
          <w:sz w:val="36"/>
          <w:szCs w:val="36"/>
          <w:rtl/>
        </w:rPr>
        <w:t>اي تدل على ذات الهوهوي</w:t>
      </w:r>
      <w:r w:rsidR="00EC7EDF" w:rsidRPr="00FD211F">
        <w:rPr>
          <w:sz w:val="36"/>
          <w:szCs w:val="36"/>
          <w:rtl/>
        </w:rPr>
        <w:t xml:space="preserve">ة </w:t>
      </w:r>
      <w:r w:rsidR="007C1B8B" w:rsidRPr="00FD211F">
        <w:rPr>
          <w:sz w:val="36"/>
          <w:szCs w:val="36"/>
          <w:rtl/>
        </w:rPr>
        <w:t>والاتحاد</w:t>
      </w:r>
      <w:r w:rsidR="00556693" w:rsidRPr="00FD211F">
        <w:rPr>
          <w:sz w:val="36"/>
          <w:szCs w:val="36"/>
          <w:rtl/>
        </w:rPr>
        <w:t xml:space="preserve"> </w:t>
      </w:r>
      <w:r w:rsidR="007C1B8B" w:rsidRPr="00FD211F">
        <w:rPr>
          <w:sz w:val="36"/>
          <w:szCs w:val="36"/>
          <w:rtl/>
        </w:rPr>
        <w:t>بينهما من دون دلالتها</w:t>
      </w:r>
      <w:r w:rsidR="00E55749" w:rsidRPr="00FD211F">
        <w:rPr>
          <w:sz w:val="36"/>
          <w:szCs w:val="36"/>
          <w:rtl/>
        </w:rPr>
        <w:t xml:space="preserve"> </w:t>
      </w:r>
      <w:r w:rsidR="007C1B8B" w:rsidRPr="00FD211F">
        <w:rPr>
          <w:sz w:val="36"/>
          <w:szCs w:val="36"/>
          <w:rtl/>
        </w:rPr>
        <w:t>على تحقق</w:t>
      </w:r>
      <w:r w:rsidR="00B253CE" w:rsidRPr="00FD211F">
        <w:rPr>
          <w:sz w:val="36"/>
          <w:szCs w:val="36"/>
          <w:rtl/>
        </w:rPr>
        <w:t xml:space="preserve"> </w:t>
      </w:r>
      <w:r w:rsidR="007C1B8B" w:rsidRPr="00FD211F">
        <w:rPr>
          <w:sz w:val="36"/>
          <w:szCs w:val="36"/>
          <w:rtl/>
        </w:rPr>
        <w:t>هذه الهوهوي</w:t>
      </w:r>
      <w:r w:rsidR="00EC7EDF" w:rsidRPr="00FD211F">
        <w:rPr>
          <w:sz w:val="36"/>
          <w:szCs w:val="36"/>
          <w:rtl/>
        </w:rPr>
        <w:t xml:space="preserve">ة </w:t>
      </w:r>
      <w:r w:rsidR="007C1B8B" w:rsidRPr="00FD211F">
        <w:rPr>
          <w:sz w:val="36"/>
          <w:szCs w:val="36"/>
          <w:rtl/>
        </w:rPr>
        <w:t>خارجا</w:t>
      </w:r>
      <w:r w:rsidR="00E55749" w:rsidRPr="00FD211F">
        <w:rPr>
          <w:sz w:val="36"/>
          <w:szCs w:val="36"/>
          <w:rtl/>
        </w:rPr>
        <w:t xml:space="preserve"> </w:t>
      </w:r>
      <w:r w:rsidR="007C1B8B" w:rsidRPr="00FD211F">
        <w:rPr>
          <w:sz w:val="36"/>
          <w:szCs w:val="36"/>
          <w:rtl/>
        </w:rPr>
        <w:t>بينما أن الجمل</w:t>
      </w:r>
      <w:r w:rsidR="00EC7EDF" w:rsidRPr="00FD211F">
        <w:rPr>
          <w:sz w:val="36"/>
          <w:szCs w:val="36"/>
          <w:rtl/>
        </w:rPr>
        <w:t xml:space="preserve">ة </w:t>
      </w:r>
      <w:r w:rsidR="007C1B8B" w:rsidRPr="00FD211F">
        <w:rPr>
          <w:sz w:val="36"/>
          <w:szCs w:val="36"/>
          <w:rtl/>
        </w:rPr>
        <w:t>الحملي</w:t>
      </w:r>
      <w:r w:rsidR="00EC7EDF" w:rsidRPr="00FD211F">
        <w:rPr>
          <w:sz w:val="36"/>
          <w:szCs w:val="36"/>
          <w:rtl/>
        </w:rPr>
        <w:t xml:space="preserve">ة </w:t>
      </w:r>
      <w:r w:rsidR="005004E1" w:rsidRPr="00FD211F">
        <w:rPr>
          <w:sz w:val="36"/>
          <w:szCs w:val="36"/>
          <w:rtl/>
        </w:rPr>
        <w:t>الخبري</w:t>
      </w:r>
      <w:r w:rsidR="00EC7EDF" w:rsidRPr="00FD211F">
        <w:rPr>
          <w:sz w:val="36"/>
          <w:szCs w:val="36"/>
          <w:rtl/>
        </w:rPr>
        <w:t xml:space="preserve">ة </w:t>
      </w:r>
      <w:r w:rsidR="005004E1" w:rsidRPr="00FD211F">
        <w:rPr>
          <w:sz w:val="36"/>
          <w:szCs w:val="36"/>
          <w:rtl/>
        </w:rPr>
        <w:t>تدل على الهوهوي</w:t>
      </w:r>
      <w:r w:rsidR="00EC7EDF" w:rsidRPr="00FD211F">
        <w:rPr>
          <w:sz w:val="36"/>
          <w:szCs w:val="36"/>
          <w:rtl/>
        </w:rPr>
        <w:t xml:space="preserve">ة </w:t>
      </w:r>
      <w:r w:rsidR="005004E1" w:rsidRPr="00FD211F">
        <w:rPr>
          <w:sz w:val="36"/>
          <w:szCs w:val="36"/>
          <w:rtl/>
        </w:rPr>
        <w:t>التصديقي</w:t>
      </w:r>
      <w:r w:rsidR="00EC7EDF" w:rsidRPr="00FD211F">
        <w:rPr>
          <w:sz w:val="36"/>
          <w:szCs w:val="36"/>
          <w:rtl/>
        </w:rPr>
        <w:t xml:space="preserve">ة </w:t>
      </w:r>
      <w:r w:rsidR="005004E1" w:rsidRPr="00FD211F">
        <w:rPr>
          <w:sz w:val="36"/>
          <w:szCs w:val="36"/>
          <w:rtl/>
        </w:rPr>
        <w:t>اي على تحقق الهوهوي</w:t>
      </w:r>
      <w:r w:rsidR="00EC7EDF" w:rsidRPr="00FD211F">
        <w:rPr>
          <w:sz w:val="36"/>
          <w:szCs w:val="36"/>
          <w:rtl/>
        </w:rPr>
        <w:t xml:space="preserve">ة </w:t>
      </w:r>
      <w:r w:rsidR="005004E1" w:rsidRPr="00FD211F">
        <w:rPr>
          <w:sz w:val="36"/>
          <w:szCs w:val="36"/>
          <w:rtl/>
        </w:rPr>
        <w:t>خارجا</w:t>
      </w:r>
      <w:r w:rsidR="00603323" w:rsidRPr="00FD211F">
        <w:rPr>
          <w:sz w:val="36"/>
          <w:szCs w:val="36"/>
          <w:rtl/>
        </w:rPr>
        <w:t xml:space="preserve">، </w:t>
      </w:r>
      <w:r w:rsidR="00D27471" w:rsidRPr="00FD211F">
        <w:rPr>
          <w:sz w:val="36"/>
          <w:szCs w:val="36"/>
          <w:rtl/>
        </w:rPr>
        <w:t xml:space="preserve">وان </w:t>
      </w:r>
      <w:r w:rsidR="00170FE7" w:rsidRPr="00FD211F">
        <w:rPr>
          <w:sz w:val="36"/>
          <w:szCs w:val="36"/>
          <w:rtl/>
        </w:rPr>
        <w:t>شئت قلت ان الجمل</w:t>
      </w:r>
      <w:r w:rsidR="00EC7EDF" w:rsidRPr="00FD211F">
        <w:rPr>
          <w:sz w:val="36"/>
          <w:szCs w:val="36"/>
          <w:rtl/>
        </w:rPr>
        <w:t xml:space="preserve">ة </w:t>
      </w:r>
      <w:r w:rsidR="00170FE7" w:rsidRPr="00FD211F">
        <w:rPr>
          <w:sz w:val="36"/>
          <w:szCs w:val="36"/>
          <w:rtl/>
        </w:rPr>
        <w:t>الوصفي</w:t>
      </w:r>
      <w:r w:rsidR="00EC7EDF" w:rsidRPr="00FD211F">
        <w:rPr>
          <w:sz w:val="36"/>
          <w:szCs w:val="36"/>
          <w:rtl/>
        </w:rPr>
        <w:t xml:space="preserve">ة </w:t>
      </w:r>
      <w:r w:rsidR="00170FE7" w:rsidRPr="00FD211F">
        <w:rPr>
          <w:sz w:val="36"/>
          <w:szCs w:val="36"/>
          <w:rtl/>
        </w:rPr>
        <w:t>وضعت</w:t>
      </w:r>
      <w:r w:rsidR="00F812A2" w:rsidRPr="00FD211F">
        <w:rPr>
          <w:sz w:val="36"/>
          <w:szCs w:val="36"/>
          <w:rtl/>
        </w:rPr>
        <w:t xml:space="preserve"> ل</w:t>
      </w:r>
      <w:r w:rsidR="00170FE7" w:rsidRPr="00FD211F">
        <w:rPr>
          <w:sz w:val="36"/>
          <w:szCs w:val="36"/>
          <w:rtl/>
        </w:rPr>
        <w:t xml:space="preserve">واقع التوصيف </w:t>
      </w:r>
      <w:r w:rsidR="00F812A2" w:rsidRPr="00FD211F">
        <w:rPr>
          <w:sz w:val="36"/>
          <w:szCs w:val="36"/>
          <w:rtl/>
        </w:rPr>
        <w:t xml:space="preserve">فيكون مدلولها </w:t>
      </w:r>
      <w:r w:rsidR="00D27471" w:rsidRPr="00FD211F">
        <w:rPr>
          <w:sz w:val="36"/>
          <w:szCs w:val="36"/>
          <w:rtl/>
        </w:rPr>
        <w:t>حص</w:t>
      </w:r>
      <w:r w:rsidR="00EC7EDF" w:rsidRPr="00FD211F">
        <w:rPr>
          <w:sz w:val="36"/>
          <w:szCs w:val="36"/>
          <w:rtl/>
        </w:rPr>
        <w:t xml:space="preserve">ة </w:t>
      </w:r>
      <w:r w:rsidR="00D27471" w:rsidRPr="00FD211F">
        <w:rPr>
          <w:sz w:val="36"/>
          <w:szCs w:val="36"/>
          <w:rtl/>
        </w:rPr>
        <w:t xml:space="preserve">من </w:t>
      </w:r>
      <w:r w:rsidR="00F812A2" w:rsidRPr="00FD211F">
        <w:rPr>
          <w:sz w:val="36"/>
          <w:szCs w:val="36"/>
          <w:rtl/>
        </w:rPr>
        <w:t>الموصوف</w:t>
      </w:r>
      <w:r w:rsidR="00603323" w:rsidRPr="00FD211F">
        <w:rPr>
          <w:sz w:val="36"/>
          <w:szCs w:val="36"/>
          <w:rtl/>
        </w:rPr>
        <w:t xml:space="preserve">، </w:t>
      </w:r>
      <w:r w:rsidR="00D27471" w:rsidRPr="00FD211F">
        <w:rPr>
          <w:sz w:val="36"/>
          <w:szCs w:val="36"/>
          <w:rtl/>
        </w:rPr>
        <w:t>فقولنا "الانسان العالم"</w:t>
      </w:r>
      <w:r w:rsidR="00556693" w:rsidRPr="00FD211F">
        <w:rPr>
          <w:sz w:val="36"/>
          <w:szCs w:val="36"/>
          <w:rtl/>
        </w:rPr>
        <w:t xml:space="preserve"> </w:t>
      </w:r>
      <w:r w:rsidR="00D27471" w:rsidRPr="00FD211F">
        <w:rPr>
          <w:sz w:val="36"/>
          <w:szCs w:val="36"/>
          <w:rtl/>
        </w:rPr>
        <w:t>تدل على حص</w:t>
      </w:r>
      <w:r w:rsidR="00EC7EDF" w:rsidRPr="00FD211F">
        <w:rPr>
          <w:sz w:val="36"/>
          <w:szCs w:val="36"/>
          <w:rtl/>
        </w:rPr>
        <w:t xml:space="preserve">ة </w:t>
      </w:r>
      <w:r w:rsidR="00D27471" w:rsidRPr="00FD211F">
        <w:rPr>
          <w:sz w:val="36"/>
          <w:szCs w:val="36"/>
          <w:rtl/>
        </w:rPr>
        <w:t>من الانسان</w:t>
      </w:r>
      <w:r w:rsidR="00EC7EDF" w:rsidRPr="00FD211F">
        <w:rPr>
          <w:sz w:val="36"/>
          <w:szCs w:val="36"/>
          <w:rtl/>
        </w:rPr>
        <w:t>.</w:t>
      </w:r>
    </w:p>
    <w:p w14:paraId="51CD227D" w14:textId="77777777" w:rsidR="000C5BBA" w:rsidRPr="00FD211F" w:rsidRDefault="00F812A2" w:rsidP="009C58C8">
      <w:pPr>
        <w:ind w:left="0" w:firstLine="227"/>
        <w:jc w:val="both"/>
        <w:rPr>
          <w:sz w:val="36"/>
          <w:szCs w:val="36"/>
          <w:rtl/>
        </w:rPr>
      </w:pPr>
      <w:r w:rsidRPr="00FD211F">
        <w:rPr>
          <w:sz w:val="36"/>
          <w:szCs w:val="36"/>
          <w:rtl/>
        </w:rPr>
        <w:t>واما</w:t>
      </w:r>
      <w:r w:rsidR="00556693" w:rsidRPr="00FD211F">
        <w:rPr>
          <w:sz w:val="36"/>
          <w:szCs w:val="36"/>
          <w:rtl/>
        </w:rPr>
        <w:t xml:space="preserve"> </w:t>
      </w:r>
      <w:r w:rsidRPr="00FD211F">
        <w:rPr>
          <w:sz w:val="36"/>
          <w:szCs w:val="36"/>
          <w:rtl/>
        </w:rPr>
        <w:t>جمل</w:t>
      </w:r>
      <w:r w:rsidR="00EC7EDF" w:rsidRPr="00FD211F">
        <w:rPr>
          <w:sz w:val="36"/>
          <w:szCs w:val="36"/>
          <w:rtl/>
        </w:rPr>
        <w:t xml:space="preserve">ة </w:t>
      </w:r>
      <w:r w:rsidRPr="00FD211F">
        <w:rPr>
          <w:sz w:val="36"/>
          <w:szCs w:val="36"/>
          <w:rtl/>
        </w:rPr>
        <w:t>الاضاف</w:t>
      </w:r>
      <w:r w:rsidR="00EC7EDF" w:rsidRPr="00FD211F">
        <w:rPr>
          <w:sz w:val="36"/>
          <w:szCs w:val="36"/>
          <w:rtl/>
        </w:rPr>
        <w:t xml:space="preserve">ة </w:t>
      </w:r>
      <w:r w:rsidRPr="00FD211F">
        <w:rPr>
          <w:sz w:val="36"/>
          <w:szCs w:val="36"/>
          <w:rtl/>
        </w:rPr>
        <w:t>ك</w:t>
      </w:r>
      <w:r w:rsidR="00D27471" w:rsidRPr="00FD211F">
        <w:rPr>
          <w:sz w:val="36"/>
          <w:szCs w:val="36"/>
          <w:rtl/>
        </w:rPr>
        <w:t>قولنا "ضرب زيد</w:t>
      </w:r>
      <w:r w:rsidRPr="00FD211F">
        <w:rPr>
          <w:sz w:val="36"/>
          <w:szCs w:val="36"/>
          <w:rtl/>
        </w:rPr>
        <w:t>ٍ</w:t>
      </w:r>
      <w:r w:rsidR="00D27471" w:rsidRPr="00FD211F">
        <w:rPr>
          <w:sz w:val="36"/>
          <w:szCs w:val="36"/>
          <w:rtl/>
        </w:rPr>
        <w:t>"</w:t>
      </w:r>
      <w:r w:rsidRPr="00FD211F">
        <w:rPr>
          <w:sz w:val="36"/>
          <w:szCs w:val="36"/>
          <w:rtl/>
        </w:rPr>
        <w:t xml:space="preserve"> فتدل</w:t>
      </w:r>
      <w:r w:rsidR="00B253CE" w:rsidRPr="00FD211F">
        <w:rPr>
          <w:sz w:val="36"/>
          <w:szCs w:val="36"/>
          <w:rtl/>
        </w:rPr>
        <w:t xml:space="preserve"> </w:t>
      </w:r>
      <w:r w:rsidR="00556BC0" w:rsidRPr="00FD211F">
        <w:rPr>
          <w:sz w:val="36"/>
          <w:szCs w:val="36"/>
          <w:rtl/>
        </w:rPr>
        <w:t xml:space="preserve">على </w:t>
      </w:r>
      <w:r w:rsidRPr="00FD211F">
        <w:rPr>
          <w:sz w:val="36"/>
          <w:szCs w:val="36"/>
          <w:rtl/>
        </w:rPr>
        <w:t>ال</w:t>
      </w:r>
      <w:r w:rsidR="00556BC0" w:rsidRPr="00FD211F">
        <w:rPr>
          <w:sz w:val="36"/>
          <w:szCs w:val="36"/>
          <w:rtl/>
        </w:rPr>
        <w:t>نسب</w:t>
      </w:r>
      <w:r w:rsidR="00EC7EDF" w:rsidRPr="00FD211F">
        <w:rPr>
          <w:sz w:val="36"/>
          <w:szCs w:val="36"/>
          <w:rtl/>
        </w:rPr>
        <w:t xml:space="preserve">ة </w:t>
      </w:r>
      <w:r w:rsidRPr="00FD211F">
        <w:rPr>
          <w:sz w:val="36"/>
          <w:szCs w:val="36"/>
          <w:rtl/>
        </w:rPr>
        <w:t>ال</w:t>
      </w:r>
      <w:r w:rsidR="00556BC0" w:rsidRPr="00FD211F">
        <w:rPr>
          <w:sz w:val="36"/>
          <w:szCs w:val="36"/>
          <w:rtl/>
        </w:rPr>
        <w:t>تصوري</w:t>
      </w:r>
      <w:r w:rsidR="00EC7EDF" w:rsidRPr="00FD211F">
        <w:rPr>
          <w:sz w:val="36"/>
          <w:szCs w:val="36"/>
          <w:rtl/>
        </w:rPr>
        <w:t xml:space="preserve">ة </w:t>
      </w:r>
      <w:r w:rsidRPr="00FD211F">
        <w:rPr>
          <w:sz w:val="36"/>
          <w:szCs w:val="36"/>
          <w:rtl/>
        </w:rPr>
        <w:t>بين المضاف والمضاف اليه او</w:t>
      </w:r>
      <w:r w:rsidR="00BF0A5B" w:rsidRPr="00FD211F">
        <w:rPr>
          <w:sz w:val="36"/>
          <w:szCs w:val="36"/>
          <w:rtl/>
        </w:rPr>
        <w:t xml:space="preserve"> </w:t>
      </w:r>
      <w:r w:rsidRPr="00FD211F">
        <w:rPr>
          <w:sz w:val="36"/>
          <w:szCs w:val="36"/>
          <w:rtl/>
        </w:rPr>
        <w:t>فقل وضعت لواقع</w:t>
      </w:r>
      <w:r w:rsidR="00B253CE" w:rsidRPr="00FD211F">
        <w:rPr>
          <w:sz w:val="36"/>
          <w:szCs w:val="36"/>
          <w:rtl/>
        </w:rPr>
        <w:t xml:space="preserve"> </w:t>
      </w:r>
      <w:r w:rsidRPr="00FD211F">
        <w:rPr>
          <w:sz w:val="36"/>
          <w:szCs w:val="36"/>
          <w:rtl/>
        </w:rPr>
        <w:t>الاضاف</w:t>
      </w:r>
      <w:r w:rsidR="00EC7EDF" w:rsidRPr="00FD211F">
        <w:rPr>
          <w:sz w:val="36"/>
          <w:szCs w:val="36"/>
          <w:rtl/>
        </w:rPr>
        <w:t xml:space="preserve">ة </w:t>
      </w:r>
      <w:r w:rsidR="00B23722" w:rsidRPr="00FD211F">
        <w:rPr>
          <w:sz w:val="36"/>
          <w:szCs w:val="36"/>
          <w:rtl/>
        </w:rPr>
        <w:t>فيكون مدلول قولنا</w:t>
      </w:r>
      <w:r w:rsidR="00556693" w:rsidRPr="00FD211F">
        <w:rPr>
          <w:sz w:val="36"/>
          <w:szCs w:val="36"/>
          <w:rtl/>
        </w:rPr>
        <w:t xml:space="preserve"> </w:t>
      </w:r>
      <w:r w:rsidR="00B23722" w:rsidRPr="00FD211F">
        <w:rPr>
          <w:sz w:val="36"/>
          <w:szCs w:val="36"/>
          <w:rtl/>
        </w:rPr>
        <w:t>"ضربُ زيدٍ" حص</w:t>
      </w:r>
      <w:r w:rsidR="00EC7EDF" w:rsidRPr="00FD211F">
        <w:rPr>
          <w:sz w:val="36"/>
          <w:szCs w:val="36"/>
          <w:rtl/>
        </w:rPr>
        <w:t xml:space="preserve">ة </w:t>
      </w:r>
      <w:r w:rsidR="00B23722" w:rsidRPr="00FD211F">
        <w:rPr>
          <w:sz w:val="36"/>
          <w:szCs w:val="36"/>
          <w:rtl/>
        </w:rPr>
        <w:t>من الضرب</w:t>
      </w:r>
      <w:r w:rsidR="00EC7EDF" w:rsidRPr="00FD211F">
        <w:rPr>
          <w:sz w:val="36"/>
          <w:szCs w:val="36"/>
          <w:rtl/>
        </w:rPr>
        <w:t>.</w:t>
      </w:r>
    </w:p>
    <w:p w14:paraId="45B0E8E1" w14:textId="77777777" w:rsidR="003C69E1" w:rsidRPr="00FD211F" w:rsidRDefault="003C69E1" w:rsidP="00BF0A5B">
      <w:pPr>
        <w:ind w:left="0" w:firstLine="227"/>
        <w:jc w:val="both"/>
        <w:rPr>
          <w:sz w:val="36"/>
          <w:szCs w:val="36"/>
          <w:rtl/>
        </w:rPr>
      </w:pPr>
      <w:r w:rsidRPr="00FD211F">
        <w:rPr>
          <w:sz w:val="36"/>
          <w:szCs w:val="36"/>
          <w:rtl/>
        </w:rPr>
        <w:t>و قد يقال انه انما تنشأ تمامية الجملة وكونها مما يصح السكوت عليها من دلالة الجملة على وجود المحمول</w:t>
      </w:r>
      <w:r w:rsidR="00603323" w:rsidRPr="00FD211F">
        <w:rPr>
          <w:sz w:val="36"/>
          <w:szCs w:val="36"/>
          <w:rtl/>
        </w:rPr>
        <w:t xml:space="preserve">، </w:t>
      </w:r>
      <w:r w:rsidRPr="00FD211F">
        <w:rPr>
          <w:sz w:val="36"/>
          <w:szCs w:val="36"/>
          <w:rtl/>
        </w:rPr>
        <w:t>فتمامية الكلام انما</w:t>
      </w:r>
      <w:r w:rsidR="00BF0A5B" w:rsidRPr="00FD211F">
        <w:rPr>
          <w:sz w:val="36"/>
          <w:szCs w:val="36"/>
          <w:rtl/>
        </w:rPr>
        <w:t xml:space="preserve"> </w:t>
      </w:r>
      <w:r w:rsidRPr="00FD211F">
        <w:rPr>
          <w:sz w:val="36"/>
          <w:szCs w:val="36"/>
          <w:rtl/>
        </w:rPr>
        <w:t>هي بالافادة</w:t>
      </w:r>
      <w:r w:rsidR="00603323" w:rsidRPr="00FD211F">
        <w:rPr>
          <w:sz w:val="36"/>
          <w:szCs w:val="36"/>
          <w:rtl/>
        </w:rPr>
        <w:t xml:space="preserve">، </w:t>
      </w:r>
      <w:r w:rsidRPr="00FD211F">
        <w:rPr>
          <w:sz w:val="36"/>
          <w:szCs w:val="36"/>
          <w:rtl/>
        </w:rPr>
        <w:t>والافادة انما تحصل بالكشف</w:t>
      </w:r>
      <w:r w:rsidR="00603323" w:rsidRPr="00FD211F">
        <w:rPr>
          <w:sz w:val="36"/>
          <w:szCs w:val="36"/>
          <w:rtl/>
        </w:rPr>
        <w:t xml:space="preserve">، </w:t>
      </w:r>
      <w:r w:rsidRPr="00FD211F">
        <w:rPr>
          <w:sz w:val="36"/>
          <w:szCs w:val="36"/>
          <w:rtl/>
        </w:rPr>
        <w:t>لابعرض صورةٍما</w:t>
      </w:r>
      <w:r w:rsidR="00603323" w:rsidRPr="00FD211F">
        <w:rPr>
          <w:sz w:val="36"/>
          <w:szCs w:val="36"/>
          <w:rtl/>
        </w:rPr>
        <w:t xml:space="preserve">، </w:t>
      </w:r>
      <w:r w:rsidRPr="00FD211F">
        <w:rPr>
          <w:sz w:val="36"/>
          <w:szCs w:val="36"/>
          <w:rtl/>
        </w:rPr>
        <w:t>والكشف انما يكون بمرآتية الكلام للواقع والخارج فيفيد فائدة يصح معها السكوت عليه</w:t>
      </w:r>
      <w:r w:rsidR="00603323" w:rsidRPr="00FD211F">
        <w:rPr>
          <w:sz w:val="36"/>
          <w:szCs w:val="36"/>
          <w:rtl/>
        </w:rPr>
        <w:t xml:space="preserve">، </w:t>
      </w:r>
      <w:r w:rsidRPr="00FD211F">
        <w:rPr>
          <w:sz w:val="36"/>
          <w:szCs w:val="36"/>
          <w:rtl/>
        </w:rPr>
        <w:t>فالنسبة لاتنقسم الى نسبة تامة وناقصة بل هي ناقصة أبدا</w:t>
      </w:r>
      <w:r w:rsidR="00603323" w:rsidRPr="00FD211F">
        <w:rPr>
          <w:sz w:val="36"/>
          <w:szCs w:val="36"/>
          <w:rtl/>
        </w:rPr>
        <w:t xml:space="preserve">، </w:t>
      </w:r>
      <w:r w:rsidR="00BA13EB" w:rsidRPr="00FD211F">
        <w:rPr>
          <w:sz w:val="36"/>
          <w:szCs w:val="36"/>
          <w:rtl/>
        </w:rPr>
        <w:t>ويمكن أن</w:t>
      </w:r>
      <w:r w:rsidRPr="00FD211F">
        <w:rPr>
          <w:sz w:val="36"/>
          <w:szCs w:val="36"/>
          <w:rtl/>
        </w:rPr>
        <w:t xml:space="preserve"> يقرَّب ذلك بأن جملة واحدة قد تكون تامة مثل قولنا "يأتي زيد غدا"</w:t>
      </w:r>
      <w:r w:rsidR="00BF0A5B" w:rsidRPr="00FD211F">
        <w:rPr>
          <w:sz w:val="36"/>
          <w:szCs w:val="36"/>
          <w:rtl/>
        </w:rPr>
        <w:t xml:space="preserve"> </w:t>
      </w:r>
      <w:r w:rsidRPr="00FD211F">
        <w:rPr>
          <w:sz w:val="36"/>
          <w:szCs w:val="36"/>
          <w:rtl/>
        </w:rPr>
        <w:t>وأخرى ناقصة كما لو وقعت هذه الجملة شرطا للجزاء كقولنا "ان يأت زيد غدا فهو خير له"</w:t>
      </w:r>
      <w:r w:rsidR="00BF0A5B" w:rsidRPr="00FD211F">
        <w:rPr>
          <w:sz w:val="36"/>
          <w:szCs w:val="36"/>
          <w:rtl/>
        </w:rPr>
        <w:t xml:space="preserve"> </w:t>
      </w:r>
      <w:r w:rsidRPr="00FD211F">
        <w:rPr>
          <w:sz w:val="36"/>
          <w:szCs w:val="36"/>
          <w:rtl/>
        </w:rPr>
        <w:t>فكيف تكون الجملة الواحدة المشتملة على النسبة متضمنة للنسبة التامة تارة وللنسبة الناقصة أخرى</w:t>
      </w:r>
      <w:r w:rsidR="00C774D9" w:rsidRPr="00FD211F">
        <w:rPr>
          <w:sz w:val="36"/>
          <w:szCs w:val="36"/>
          <w:rtl/>
        </w:rPr>
        <w:t>.</w:t>
      </w:r>
    </w:p>
    <w:p w14:paraId="2EE2E6EA" w14:textId="77777777" w:rsidR="003C69E1" w:rsidRPr="00FD211F" w:rsidRDefault="003C69E1" w:rsidP="009C58C8">
      <w:pPr>
        <w:ind w:left="0" w:firstLine="227"/>
        <w:jc w:val="both"/>
        <w:rPr>
          <w:sz w:val="36"/>
          <w:szCs w:val="36"/>
          <w:rtl/>
        </w:rPr>
      </w:pPr>
      <w:r w:rsidRPr="00FD211F">
        <w:rPr>
          <w:sz w:val="36"/>
          <w:szCs w:val="36"/>
          <w:rtl/>
        </w:rPr>
        <w:t xml:space="preserve">والحاصل أن حقيقة التصديق ليست ماجرى عليه المناطقة من انه الحكم والاذعان بثبوت </w:t>
      </w:r>
      <w:r w:rsidR="00251CB6" w:rsidRPr="00FD211F">
        <w:rPr>
          <w:sz w:val="36"/>
          <w:szCs w:val="36"/>
          <w:rtl/>
        </w:rPr>
        <w:t xml:space="preserve">شيء </w:t>
      </w:r>
      <w:r w:rsidRPr="00FD211F">
        <w:rPr>
          <w:sz w:val="36"/>
          <w:szCs w:val="36"/>
          <w:rtl/>
        </w:rPr>
        <w:t>ل</w:t>
      </w:r>
      <w:r w:rsidR="00251CB6" w:rsidRPr="00FD211F">
        <w:rPr>
          <w:sz w:val="36"/>
          <w:szCs w:val="36"/>
          <w:rtl/>
        </w:rPr>
        <w:t xml:space="preserve">شيء </w:t>
      </w:r>
      <w:r w:rsidRPr="00FD211F">
        <w:rPr>
          <w:sz w:val="36"/>
          <w:szCs w:val="36"/>
          <w:rtl/>
        </w:rPr>
        <w:t>او انتفاءه عنه ومورده النسب التامة</w:t>
      </w:r>
      <w:r w:rsidR="00603323" w:rsidRPr="00FD211F">
        <w:rPr>
          <w:sz w:val="36"/>
          <w:szCs w:val="36"/>
          <w:rtl/>
        </w:rPr>
        <w:t xml:space="preserve">، </w:t>
      </w:r>
      <w:r w:rsidRPr="00FD211F">
        <w:rPr>
          <w:sz w:val="36"/>
          <w:szCs w:val="36"/>
          <w:rtl/>
        </w:rPr>
        <w:t>بل الصحيح أنه العلم بالوجود من خلال مرآتية الصورة الذهنية للخارج وراء الذهن– اوفقل: مرآتيتها للواقع كي يشمل مثل قولنا"العنقاء معدوم "او" ان الانسان حيوان ناطق"حيث أن مطابَقهما عالم الوافع لا الخارج -</w:t>
      </w:r>
      <w:r w:rsidR="00603323" w:rsidRPr="00FD211F">
        <w:rPr>
          <w:sz w:val="36"/>
          <w:szCs w:val="36"/>
          <w:rtl/>
        </w:rPr>
        <w:t xml:space="preserve">، </w:t>
      </w:r>
      <w:r w:rsidRPr="00FD211F">
        <w:rPr>
          <w:sz w:val="36"/>
          <w:szCs w:val="36"/>
          <w:rtl/>
        </w:rPr>
        <w:t>فاذا قلت "زيد قائم "فكون القضية تصديقية باعتبار كون المحمول "اي القائم"</w:t>
      </w:r>
      <w:r w:rsidR="00251CB6" w:rsidRPr="00FD211F">
        <w:rPr>
          <w:sz w:val="36"/>
          <w:szCs w:val="36"/>
          <w:rtl/>
        </w:rPr>
        <w:t xml:space="preserve"> </w:t>
      </w:r>
      <w:r w:rsidRPr="00FD211F">
        <w:rPr>
          <w:sz w:val="36"/>
          <w:szCs w:val="36"/>
          <w:rtl/>
        </w:rPr>
        <w:t>فانيا من خلال الاشارة الذهنية الى واقع وراء الذهن</w:t>
      </w:r>
      <w:r w:rsidR="00603323" w:rsidRPr="00FD211F">
        <w:rPr>
          <w:sz w:val="36"/>
          <w:szCs w:val="36"/>
          <w:rtl/>
        </w:rPr>
        <w:t xml:space="preserve">، </w:t>
      </w:r>
      <w:r w:rsidRPr="00FD211F">
        <w:rPr>
          <w:sz w:val="36"/>
          <w:szCs w:val="36"/>
          <w:rtl/>
        </w:rPr>
        <w:t>نعم اذا اخطرت الجملة التامة في الذهن على سبيل استفهام مضمر كما لوخطر ببالك "جاء زيد؟"اي هل جاء زيد</w:t>
      </w:r>
      <w:r w:rsidR="00603323" w:rsidRPr="00FD211F">
        <w:rPr>
          <w:sz w:val="36"/>
          <w:szCs w:val="36"/>
          <w:rtl/>
        </w:rPr>
        <w:t xml:space="preserve">، </w:t>
      </w:r>
      <w:r w:rsidRPr="00FD211F">
        <w:rPr>
          <w:sz w:val="36"/>
          <w:szCs w:val="36"/>
          <w:rtl/>
        </w:rPr>
        <w:t>او على سبيل التأمل في مدلولها فيكون الحال فيها كحال التلفظ بلفظ "ضَرَبَ" للتأمل في معناه</w:t>
      </w:r>
      <w:r w:rsidR="00C774D9" w:rsidRPr="00FD211F">
        <w:rPr>
          <w:sz w:val="36"/>
          <w:szCs w:val="36"/>
          <w:rtl/>
        </w:rPr>
        <w:t>.</w:t>
      </w:r>
    </w:p>
    <w:p w14:paraId="51C17D6B" w14:textId="77777777" w:rsidR="003C69E1" w:rsidRPr="00FD211F" w:rsidRDefault="003C69E1" w:rsidP="00614B7C">
      <w:pPr>
        <w:ind w:left="0" w:firstLine="227"/>
        <w:jc w:val="both"/>
        <w:rPr>
          <w:sz w:val="36"/>
          <w:szCs w:val="36"/>
          <w:rtl/>
        </w:rPr>
      </w:pPr>
      <w:r w:rsidRPr="00FD211F">
        <w:rPr>
          <w:sz w:val="36"/>
          <w:szCs w:val="36"/>
          <w:rtl/>
        </w:rPr>
        <w:t>ولايخفى ان العلم التصديقي</w:t>
      </w:r>
      <w:r w:rsidR="00106ABF" w:rsidRPr="00FD211F">
        <w:rPr>
          <w:sz w:val="36"/>
          <w:szCs w:val="36"/>
          <w:rtl/>
        </w:rPr>
        <w:t xml:space="preserve"> يمتاز عن العلم التصوري</w:t>
      </w:r>
      <w:r w:rsidRPr="00FD211F">
        <w:rPr>
          <w:sz w:val="36"/>
          <w:szCs w:val="36"/>
          <w:rtl/>
        </w:rPr>
        <w:t xml:space="preserve"> بان له معلوما بالذات ومعلوما بالعرض</w:t>
      </w:r>
      <w:r w:rsidR="00603323" w:rsidRPr="00FD211F">
        <w:rPr>
          <w:sz w:val="36"/>
          <w:szCs w:val="36"/>
          <w:rtl/>
        </w:rPr>
        <w:t xml:space="preserve">، </w:t>
      </w:r>
      <w:r w:rsidRPr="00FD211F">
        <w:rPr>
          <w:sz w:val="36"/>
          <w:szCs w:val="36"/>
          <w:rtl/>
        </w:rPr>
        <w:t>واما</w:t>
      </w:r>
      <w:r w:rsidR="00BF0A5B" w:rsidRPr="00FD211F">
        <w:rPr>
          <w:sz w:val="36"/>
          <w:szCs w:val="36"/>
          <w:rtl/>
        </w:rPr>
        <w:t xml:space="preserve"> </w:t>
      </w:r>
      <w:r w:rsidRPr="00FD211F">
        <w:rPr>
          <w:sz w:val="36"/>
          <w:szCs w:val="36"/>
          <w:rtl/>
        </w:rPr>
        <w:t>العلم التصوري فليس فيه الا</w:t>
      </w:r>
      <w:r w:rsidR="00BF0A5B" w:rsidRPr="00FD211F">
        <w:rPr>
          <w:sz w:val="36"/>
          <w:szCs w:val="36"/>
          <w:rtl/>
        </w:rPr>
        <w:t xml:space="preserve"> </w:t>
      </w:r>
      <w:r w:rsidRPr="00FD211F">
        <w:rPr>
          <w:sz w:val="36"/>
          <w:szCs w:val="36"/>
          <w:rtl/>
        </w:rPr>
        <w:t>المعلوم بالذات</w:t>
      </w:r>
      <w:r w:rsidR="00603323" w:rsidRPr="00FD211F">
        <w:rPr>
          <w:sz w:val="36"/>
          <w:szCs w:val="36"/>
          <w:rtl/>
        </w:rPr>
        <w:t xml:space="preserve">، </w:t>
      </w:r>
      <w:r w:rsidRPr="00FD211F">
        <w:rPr>
          <w:sz w:val="36"/>
          <w:szCs w:val="36"/>
          <w:rtl/>
        </w:rPr>
        <w:t>اذ ليس هو الا</w:t>
      </w:r>
      <w:r w:rsidR="00BF0A5B" w:rsidRPr="00FD211F">
        <w:rPr>
          <w:sz w:val="36"/>
          <w:szCs w:val="36"/>
          <w:rtl/>
        </w:rPr>
        <w:t xml:space="preserve"> </w:t>
      </w:r>
      <w:r w:rsidRPr="00FD211F">
        <w:rPr>
          <w:sz w:val="36"/>
          <w:szCs w:val="36"/>
          <w:rtl/>
        </w:rPr>
        <w:t>مجرد صورة ذهنية محضة</w:t>
      </w:r>
      <w:r w:rsidR="00603323" w:rsidRPr="00FD211F">
        <w:rPr>
          <w:sz w:val="36"/>
          <w:szCs w:val="36"/>
          <w:rtl/>
        </w:rPr>
        <w:t xml:space="preserve">، </w:t>
      </w:r>
      <w:r w:rsidRPr="00FD211F">
        <w:rPr>
          <w:sz w:val="36"/>
          <w:szCs w:val="36"/>
          <w:rtl/>
        </w:rPr>
        <w:t>ولذا لايكون في التصور بما</w:t>
      </w:r>
      <w:r w:rsidR="00BF0A5B" w:rsidRPr="00FD211F">
        <w:rPr>
          <w:sz w:val="36"/>
          <w:szCs w:val="36"/>
          <w:rtl/>
        </w:rPr>
        <w:t xml:space="preserve"> </w:t>
      </w:r>
      <w:r w:rsidRPr="00FD211F">
        <w:rPr>
          <w:sz w:val="36"/>
          <w:szCs w:val="36"/>
          <w:rtl/>
        </w:rPr>
        <w:t>هو تصور خطاء ولاصواب لانهما من شؤون القضايا التصديقية</w:t>
      </w:r>
      <w:r w:rsidR="00106ABF" w:rsidRPr="00FD211F">
        <w:rPr>
          <w:sz w:val="36"/>
          <w:szCs w:val="36"/>
          <w:rtl/>
        </w:rPr>
        <w:t>.</w:t>
      </w:r>
      <w:r w:rsidRPr="00FD211F">
        <w:rPr>
          <w:sz w:val="36"/>
          <w:szCs w:val="36"/>
          <w:rtl/>
        </w:rPr>
        <w:t xml:space="preserve"> </w:t>
      </w:r>
    </w:p>
    <w:p w14:paraId="06F5469E" w14:textId="77777777" w:rsidR="003C69E1" w:rsidRPr="00FD211F" w:rsidRDefault="003C69E1" w:rsidP="009C58C8">
      <w:pPr>
        <w:ind w:left="0" w:firstLine="227"/>
        <w:jc w:val="both"/>
        <w:rPr>
          <w:sz w:val="36"/>
          <w:szCs w:val="36"/>
          <w:rtl/>
        </w:rPr>
      </w:pPr>
      <w:r w:rsidRPr="00FD211F">
        <w:rPr>
          <w:sz w:val="36"/>
          <w:szCs w:val="36"/>
          <w:rtl/>
        </w:rPr>
        <w:t>ثم ذكر ان مورد التصديق لاينحصر</w:t>
      </w:r>
      <w:r w:rsidR="00106ABF" w:rsidRPr="00FD211F">
        <w:rPr>
          <w:sz w:val="36"/>
          <w:szCs w:val="36"/>
          <w:rtl/>
        </w:rPr>
        <w:t xml:space="preserve"> </w:t>
      </w:r>
      <w:r w:rsidRPr="00FD211F">
        <w:rPr>
          <w:sz w:val="36"/>
          <w:szCs w:val="36"/>
          <w:rtl/>
        </w:rPr>
        <w:t>بالجملة التامة</w:t>
      </w:r>
      <w:r w:rsidR="00603323" w:rsidRPr="00FD211F">
        <w:rPr>
          <w:sz w:val="36"/>
          <w:szCs w:val="36"/>
          <w:rtl/>
        </w:rPr>
        <w:t xml:space="preserve">، </w:t>
      </w:r>
      <w:r w:rsidRPr="00FD211F">
        <w:rPr>
          <w:sz w:val="36"/>
          <w:szCs w:val="36"/>
          <w:rtl/>
        </w:rPr>
        <w:t>بل حتى المفردات والجمل الناقصة اذا لوحظت مرأة للخارج كانت الصورة تصديقية</w:t>
      </w:r>
      <w:r w:rsidR="00603323" w:rsidRPr="00FD211F">
        <w:rPr>
          <w:sz w:val="36"/>
          <w:szCs w:val="36"/>
          <w:rtl/>
        </w:rPr>
        <w:t xml:space="preserve">، </w:t>
      </w:r>
      <w:r w:rsidRPr="00FD211F">
        <w:rPr>
          <w:sz w:val="36"/>
          <w:szCs w:val="36"/>
          <w:rtl/>
        </w:rPr>
        <w:t>بل الامر في اسماء الاعلام كذلك دائما</w:t>
      </w:r>
      <w:r w:rsidR="00603323" w:rsidRPr="00FD211F">
        <w:rPr>
          <w:sz w:val="36"/>
          <w:szCs w:val="36"/>
          <w:rtl/>
        </w:rPr>
        <w:t xml:space="preserve">، </w:t>
      </w:r>
      <w:r w:rsidRPr="00FD211F">
        <w:rPr>
          <w:sz w:val="36"/>
          <w:szCs w:val="36"/>
          <w:rtl/>
        </w:rPr>
        <w:t>لانها لاتنفك عن اشارة الى واقع بعينه</w:t>
      </w:r>
      <w:r w:rsidR="00603323" w:rsidRPr="00FD211F">
        <w:rPr>
          <w:sz w:val="36"/>
          <w:szCs w:val="36"/>
          <w:rtl/>
        </w:rPr>
        <w:t xml:space="preserve">، </w:t>
      </w:r>
      <w:r w:rsidRPr="00FD211F">
        <w:rPr>
          <w:sz w:val="36"/>
          <w:szCs w:val="36"/>
          <w:rtl/>
        </w:rPr>
        <w:t>وهذا لايخلو عن تصديق</w:t>
      </w:r>
      <w:r w:rsidR="00603323" w:rsidRPr="00FD211F">
        <w:rPr>
          <w:sz w:val="36"/>
          <w:szCs w:val="36"/>
          <w:rtl/>
        </w:rPr>
        <w:t xml:space="preserve">، </w:t>
      </w:r>
      <w:r w:rsidRPr="00FD211F">
        <w:rPr>
          <w:sz w:val="36"/>
          <w:szCs w:val="36"/>
          <w:rtl/>
        </w:rPr>
        <w:t>ومن هنا تبين أن المفهوم لايكون جزئيا الامن خلال اشارة ذهنية</w:t>
      </w:r>
      <w:r w:rsidR="00603323" w:rsidRPr="00FD211F">
        <w:rPr>
          <w:sz w:val="36"/>
          <w:szCs w:val="36"/>
          <w:rtl/>
        </w:rPr>
        <w:t xml:space="preserve">، </w:t>
      </w:r>
      <w:r w:rsidRPr="00FD211F">
        <w:rPr>
          <w:sz w:val="36"/>
          <w:szCs w:val="36"/>
          <w:rtl/>
        </w:rPr>
        <w:t>وحينئذ يكون حالة تصديقية</w:t>
      </w:r>
      <w:r w:rsidR="00603323" w:rsidRPr="00FD211F">
        <w:rPr>
          <w:sz w:val="36"/>
          <w:szCs w:val="36"/>
          <w:rtl/>
        </w:rPr>
        <w:t xml:space="preserve">، </w:t>
      </w:r>
      <w:r w:rsidRPr="00FD211F">
        <w:rPr>
          <w:sz w:val="36"/>
          <w:szCs w:val="36"/>
          <w:rtl/>
        </w:rPr>
        <w:t>فالتصور بما هو تصور لايكون الاكليا.</w:t>
      </w:r>
      <w:r w:rsidR="00614B7C">
        <w:rPr>
          <w:rFonts w:hint="cs"/>
          <w:sz w:val="36"/>
          <w:szCs w:val="36"/>
          <w:rtl/>
        </w:rPr>
        <w:t xml:space="preserve"> ** آدرس؟؟</w:t>
      </w:r>
      <w:r w:rsidRPr="00FD211F">
        <w:rPr>
          <w:sz w:val="36"/>
          <w:szCs w:val="36"/>
          <w:rtl/>
        </w:rPr>
        <w:t xml:space="preserve"> </w:t>
      </w:r>
    </w:p>
    <w:p w14:paraId="0AA2DF96" w14:textId="77777777" w:rsidR="00CF6E3C" w:rsidRPr="00FD211F" w:rsidRDefault="003C69E1" w:rsidP="009C58C8">
      <w:pPr>
        <w:ind w:left="0" w:firstLine="227"/>
        <w:jc w:val="both"/>
        <w:rPr>
          <w:sz w:val="36"/>
          <w:szCs w:val="36"/>
          <w:rtl/>
        </w:rPr>
      </w:pPr>
      <w:r w:rsidRPr="00FD211F">
        <w:rPr>
          <w:sz w:val="36"/>
          <w:szCs w:val="36"/>
          <w:rtl/>
        </w:rPr>
        <w:t>ويلاحظ عليه</w:t>
      </w:r>
      <w:r w:rsidR="00D85AA6" w:rsidRPr="00FD211F">
        <w:rPr>
          <w:sz w:val="36"/>
          <w:szCs w:val="36"/>
          <w:rtl/>
        </w:rPr>
        <w:t>:</w:t>
      </w:r>
      <w:r w:rsidRPr="00FD211F">
        <w:rPr>
          <w:sz w:val="36"/>
          <w:szCs w:val="36"/>
          <w:rtl/>
        </w:rPr>
        <w:t xml:space="preserve"> </w:t>
      </w:r>
      <w:r w:rsidR="00315D3C" w:rsidRPr="00FD211F">
        <w:rPr>
          <w:sz w:val="36"/>
          <w:szCs w:val="36"/>
          <w:rtl/>
        </w:rPr>
        <w:t>انه ل</w:t>
      </w:r>
      <w:r w:rsidR="00823064" w:rsidRPr="00FD211F">
        <w:rPr>
          <w:sz w:val="36"/>
          <w:szCs w:val="36"/>
          <w:rtl/>
        </w:rPr>
        <w:t>ا وجه</w:t>
      </w:r>
      <w:r w:rsidR="00315D3C" w:rsidRPr="00FD211F">
        <w:rPr>
          <w:sz w:val="36"/>
          <w:szCs w:val="36"/>
          <w:rtl/>
        </w:rPr>
        <w:t xml:space="preserve"> ل</w:t>
      </w:r>
      <w:r w:rsidRPr="00FD211F">
        <w:rPr>
          <w:sz w:val="36"/>
          <w:szCs w:val="36"/>
          <w:rtl/>
        </w:rPr>
        <w:t xml:space="preserve">انكار النسبة التامة </w:t>
      </w:r>
      <w:r w:rsidR="00315D3C" w:rsidRPr="00FD211F">
        <w:rPr>
          <w:sz w:val="36"/>
          <w:szCs w:val="36"/>
          <w:rtl/>
        </w:rPr>
        <w:t>وهي التي لو</w:t>
      </w:r>
      <w:r w:rsidR="00106ABF" w:rsidRPr="00FD211F">
        <w:rPr>
          <w:sz w:val="36"/>
          <w:szCs w:val="36"/>
          <w:rtl/>
        </w:rPr>
        <w:t xml:space="preserve"> </w:t>
      </w:r>
      <w:r w:rsidR="00315D3C" w:rsidRPr="00FD211F">
        <w:rPr>
          <w:sz w:val="36"/>
          <w:szCs w:val="36"/>
          <w:rtl/>
        </w:rPr>
        <w:t>جيئ في الكلام بطرفيها صح السكوت عليه</w:t>
      </w:r>
      <w:r w:rsidR="00603323" w:rsidRPr="00FD211F">
        <w:rPr>
          <w:sz w:val="36"/>
          <w:szCs w:val="36"/>
          <w:rtl/>
        </w:rPr>
        <w:t xml:space="preserve">، </w:t>
      </w:r>
      <w:r w:rsidR="00315D3C" w:rsidRPr="00FD211F">
        <w:rPr>
          <w:sz w:val="36"/>
          <w:szCs w:val="36"/>
          <w:rtl/>
        </w:rPr>
        <w:t>والنسبة التامة لاتحكي</w:t>
      </w:r>
      <w:r w:rsidR="00823064" w:rsidRPr="00FD211F">
        <w:rPr>
          <w:sz w:val="36"/>
          <w:szCs w:val="36"/>
          <w:rtl/>
        </w:rPr>
        <w:t xml:space="preserve"> دائما</w:t>
      </w:r>
      <w:r w:rsidR="00C7588D" w:rsidRPr="00FD211F">
        <w:rPr>
          <w:sz w:val="36"/>
          <w:szCs w:val="36"/>
          <w:rtl/>
        </w:rPr>
        <w:t xml:space="preserve"> </w:t>
      </w:r>
      <w:r w:rsidR="00315D3C" w:rsidRPr="00FD211F">
        <w:rPr>
          <w:sz w:val="36"/>
          <w:szCs w:val="36"/>
          <w:rtl/>
        </w:rPr>
        <w:t xml:space="preserve">عن وجود المحمول للموضوع </w:t>
      </w:r>
      <w:r w:rsidR="00BA13EB" w:rsidRPr="00FD211F">
        <w:rPr>
          <w:sz w:val="36"/>
          <w:szCs w:val="36"/>
          <w:rtl/>
        </w:rPr>
        <w:t>فان</w:t>
      </w:r>
      <w:r w:rsidR="00823064" w:rsidRPr="00FD211F">
        <w:rPr>
          <w:sz w:val="36"/>
          <w:szCs w:val="36"/>
          <w:rtl/>
        </w:rPr>
        <w:t xml:space="preserve"> </w:t>
      </w:r>
      <w:r w:rsidR="00642D7A" w:rsidRPr="00FD211F">
        <w:rPr>
          <w:sz w:val="36"/>
          <w:szCs w:val="36"/>
          <w:rtl/>
        </w:rPr>
        <w:t>حرف الاستثناء يدل على النسبة التامة الاستثنائية</w:t>
      </w:r>
      <w:r w:rsidR="00603323" w:rsidRPr="00FD211F">
        <w:rPr>
          <w:sz w:val="36"/>
          <w:szCs w:val="36"/>
          <w:rtl/>
        </w:rPr>
        <w:t xml:space="preserve">، </w:t>
      </w:r>
      <w:r w:rsidR="00642D7A" w:rsidRPr="00FD211F">
        <w:rPr>
          <w:sz w:val="36"/>
          <w:szCs w:val="36"/>
          <w:rtl/>
        </w:rPr>
        <w:t>والوجه في كونها تامة أنه لوجيئ بطرفيها لصح السكوت عليه</w:t>
      </w:r>
      <w:r w:rsidR="00603323" w:rsidRPr="00FD211F">
        <w:rPr>
          <w:sz w:val="36"/>
          <w:szCs w:val="36"/>
          <w:rtl/>
        </w:rPr>
        <w:t xml:space="preserve">، </w:t>
      </w:r>
      <w:r w:rsidR="00D4157A" w:rsidRPr="00FD211F">
        <w:rPr>
          <w:sz w:val="36"/>
          <w:szCs w:val="36"/>
          <w:rtl/>
        </w:rPr>
        <w:t>وهكذا حرف الاضراب وماشابه ذلك</w:t>
      </w:r>
      <w:r w:rsidR="00603323" w:rsidRPr="00FD211F">
        <w:rPr>
          <w:sz w:val="36"/>
          <w:szCs w:val="36"/>
          <w:rtl/>
        </w:rPr>
        <w:t xml:space="preserve">، </w:t>
      </w:r>
      <w:r w:rsidR="00D4157A" w:rsidRPr="00FD211F">
        <w:rPr>
          <w:sz w:val="36"/>
          <w:szCs w:val="36"/>
          <w:rtl/>
        </w:rPr>
        <w:t>نعم قد</w:t>
      </w:r>
      <w:r w:rsidR="00BF0A5B" w:rsidRPr="00FD211F">
        <w:rPr>
          <w:sz w:val="36"/>
          <w:szCs w:val="36"/>
          <w:rtl/>
        </w:rPr>
        <w:t xml:space="preserve"> </w:t>
      </w:r>
      <w:r w:rsidR="00D4157A" w:rsidRPr="00FD211F">
        <w:rPr>
          <w:sz w:val="36"/>
          <w:szCs w:val="36"/>
          <w:rtl/>
        </w:rPr>
        <w:t>مر أن الجملة الحملية الخبرية مثلا تدل على الهوهوية التصديقية اي على تحقق اتحاد الموضوع والمحمول خارجا</w:t>
      </w:r>
      <w:r w:rsidR="00603323" w:rsidRPr="00FD211F">
        <w:rPr>
          <w:sz w:val="36"/>
          <w:szCs w:val="36"/>
          <w:rtl/>
        </w:rPr>
        <w:t xml:space="preserve">، </w:t>
      </w:r>
      <w:r w:rsidR="00FC0B65" w:rsidRPr="00FD211F">
        <w:rPr>
          <w:sz w:val="36"/>
          <w:szCs w:val="36"/>
          <w:rtl/>
        </w:rPr>
        <w:t>ولكن المستعمل فيه بالذات الذي يكون محفوظا في م</w:t>
      </w:r>
      <w:r w:rsidR="00A54A52" w:rsidRPr="00FD211F">
        <w:rPr>
          <w:sz w:val="36"/>
          <w:szCs w:val="36"/>
          <w:rtl/>
        </w:rPr>
        <w:t>و</w:t>
      </w:r>
      <w:r w:rsidR="00FC0B65" w:rsidRPr="00FD211F">
        <w:rPr>
          <w:sz w:val="36"/>
          <w:szCs w:val="36"/>
          <w:rtl/>
        </w:rPr>
        <w:t>رد الكذب ايضا هو الحكم الذهني</w:t>
      </w:r>
      <w:r w:rsidR="00A54A52" w:rsidRPr="00FD211F">
        <w:rPr>
          <w:sz w:val="36"/>
          <w:szCs w:val="36"/>
          <w:rtl/>
        </w:rPr>
        <w:t xml:space="preserve"> الاستعمالي</w:t>
      </w:r>
      <w:r w:rsidR="00C7588D" w:rsidRPr="00FD211F">
        <w:rPr>
          <w:sz w:val="36"/>
          <w:szCs w:val="36"/>
          <w:rtl/>
        </w:rPr>
        <w:t xml:space="preserve"> </w:t>
      </w:r>
      <w:r w:rsidR="00FC0B65" w:rsidRPr="00FD211F">
        <w:rPr>
          <w:sz w:val="36"/>
          <w:szCs w:val="36"/>
          <w:rtl/>
        </w:rPr>
        <w:t>باتحاد الموضوع والمحمول ويعبر عنه بالنسبة التصادقية</w:t>
      </w:r>
      <w:r w:rsidR="00603323" w:rsidRPr="00FD211F">
        <w:rPr>
          <w:sz w:val="36"/>
          <w:szCs w:val="36"/>
          <w:rtl/>
        </w:rPr>
        <w:t xml:space="preserve">، </w:t>
      </w:r>
      <w:r w:rsidR="00BA13EB" w:rsidRPr="00FD211F">
        <w:rPr>
          <w:sz w:val="36"/>
          <w:szCs w:val="36"/>
          <w:rtl/>
        </w:rPr>
        <w:t>ولاريب في أن موطن هذه النسبة الذهن</w:t>
      </w:r>
      <w:r w:rsidR="00603323" w:rsidRPr="00FD211F">
        <w:rPr>
          <w:sz w:val="36"/>
          <w:szCs w:val="36"/>
          <w:rtl/>
        </w:rPr>
        <w:t xml:space="preserve">، </w:t>
      </w:r>
      <w:r w:rsidR="00FC0B65" w:rsidRPr="00FD211F">
        <w:rPr>
          <w:sz w:val="36"/>
          <w:szCs w:val="36"/>
          <w:rtl/>
        </w:rPr>
        <w:t xml:space="preserve">ومن الواضح انه لايساوق الحكم الفعلي باتحاد الموضوع والمحمول لوحود مدلول هذه الجملة في موارد استعمالها بداعي التأكد من معناها او وقوعها صلة موصول </w:t>
      </w:r>
      <w:r w:rsidR="00A54A52" w:rsidRPr="00FD211F">
        <w:rPr>
          <w:sz w:val="36"/>
          <w:szCs w:val="36"/>
          <w:rtl/>
        </w:rPr>
        <w:t>كقولنا "الذي ابوه قائم "او وصفافي الجملة الوصفي</w:t>
      </w:r>
      <w:r w:rsidR="00D85AA6" w:rsidRPr="00FD211F">
        <w:rPr>
          <w:sz w:val="36"/>
          <w:szCs w:val="36"/>
          <w:rtl/>
        </w:rPr>
        <w:t>ة كقولنا "رجل ابوه قائم"كما سيأتي توضيحه في معنى الجملة الخبرية.</w:t>
      </w:r>
      <w:r w:rsidR="00C7588D" w:rsidRPr="00FD211F">
        <w:rPr>
          <w:sz w:val="36"/>
          <w:szCs w:val="36"/>
          <w:rtl/>
        </w:rPr>
        <w:t xml:space="preserve"> </w:t>
      </w:r>
    </w:p>
    <w:p w14:paraId="25683C36" w14:textId="77777777" w:rsidR="003C69E1" w:rsidRPr="00FD211F" w:rsidRDefault="00CF6E3C" w:rsidP="009C58C8">
      <w:pPr>
        <w:ind w:left="0" w:firstLine="227"/>
        <w:jc w:val="both"/>
        <w:rPr>
          <w:sz w:val="36"/>
          <w:szCs w:val="36"/>
          <w:rtl/>
        </w:rPr>
      </w:pPr>
      <w:r w:rsidRPr="00FD211F">
        <w:rPr>
          <w:sz w:val="36"/>
          <w:szCs w:val="36"/>
          <w:rtl/>
        </w:rPr>
        <w:t>واما ماذكر من</w:t>
      </w:r>
      <w:r w:rsidR="00BF23F6" w:rsidRPr="00FD211F">
        <w:rPr>
          <w:sz w:val="36"/>
          <w:szCs w:val="36"/>
          <w:rtl/>
        </w:rPr>
        <w:t xml:space="preserve"> اشتمال اسم العلم ونحوه على التصديق فغريب</w:t>
      </w:r>
      <w:r w:rsidR="00603323" w:rsidRPr="00FD211F">
        <w:rPr>
          <w:sz w:val="36"/>
          <w:szCs w:val="36"/>
          <w:rtl/>
        </w:rPr>
        <w:t xml:space="preserve">، </w:t>
      </w:r>
      <w:r w:rsidR="00BF23F6" w:rsidRPr="00FD211F">
        <w:rPr>
          <w:sz w:val="36"/>
          <w:szCs w:val="36"/>
          <w:rtl/>
        </w:rPr>
        <w:t>فان</w:t>
      </w:r>
      <w:r w:rsidR="00C7588D" w:rsidRPr="00FD211F">
        <w:rPr>
          <w:sz w:val="36"/>
          <w:szCs w:val="36"/>
          <w:rtl/>
        </w:rPr>
        <w:t xml:space="preserve"> </w:t>
      </w:r>
      <w:r w:rsidR="00BF23F6" w:rsidRPr="00FD211F">
        <w:rPr>
          <w:sz w:val="36"/>
          <w:szCs w:val="36"/>
          <w:rtl/>
        </w:rPr>
        <w:t>لازمه</w:t>
      </w:r>
      <w:r w:rsidR="00C7588D" w:rsidRPr="00FD211F">
        <w:rPr>
          <w:sz w:val="36"/>
          <w:szCs w:val="36"/>
          <w:rtl/>
        </w:rPr>
        <w:t xml:space="preserve"> </w:t>
      </w:r>
      <w:r w:rsidR="00BF23F6" w:rsidRPr="00FD211F">
        <w:rPr>
          <w:sz w:val="36"/>
          <w:szCs w:val="36"/>
          <w:rtl/>
        </w:rPr>
        <w:t>كونه كالجملة التامة مما</w:t>
      </w:r>
      <w:r w:rsidR="00BF0A5B" w:rsidRPr="00FD211F">
        <w:rPr>
          <w:sz w:val="36"/>
          <w:szCs w:val="36"/>
          <w:rtl/>
        </w:rPr>
        <w:t xml:space="preserve"> </w:t>
      </w:r>
      <w:r w:rsidR="00BF23F6" w:rsidRPr="00FD211F">
        <w:rPr>
          <w:sz w:val="36"/>
          <w:szCs w:val="36"/>
          <w:rtl/>
        </w:rPr>
        <w:t>يصح السكوت عليه بعد ما</w:t>
      </w:r>
      <w:r w:rsidR="00BF0A5B" w:rsidRPr="00FD211F">
        <w:rPr>
          <w:sz w:val="36"/>
          <w:szCs w:val="36"/>
          <w:rtl/>
        </w:rPr>
        <w:t xml:space="preserve"> </w:t>
      </w:r>
      <w:r w:rsidR="00BF23F6" w:rsidRPr="00FD211F">
        <w:rPr>
          <w:sz w:val="36"/>
          <w:szCs w:val="36"/>
          <w:rtl/>
        </w:rPr>
        <w:t>ذكر من أن منشأ صحة السكوت على الجملة التامة اشتمالها للتصديق</w:t>
      </w:r>
      <w:r w:rsidR="00603323" w:rsidRPr="00FD211F">
        <w:rPr>
          <w:sz w:val="36"/>
          <w:szCs w:val="36"/>
          <w:rtl/>
        </w:rPr>
        <w:t xml:space="preserve">، </w:t>
      </w:r>
      <w:r w:rsidR="00BF23F6" w:rsidRPr="00FD211F">
        <w:rPr>
          <w:sz w:val="36"/>
          <w:szCs w:val="36"/>
          <w:rtl/>
        </w:rPr>
        <w:t xml:space="preserve">والحل هو انه وان صح ان </w:t>
      </w:r>
      <w:r w:rsidR="00483F7B" w:rsidRPr="00FD211F">
        <w:rPr>
          <w:sz w:val="36"/>
          <w:szCs w:val="36"/>
          <w:rtl/>
        </w:rPr>
        <w:t>الجزئية انما</w:t>
      </w:r>
      <w:r w:rsidR="00BF0A5B" w:rsidRPr="00FD211F">
        <w:rPr>
          <w:sz w:val="36"/>
          <w:szCs w:val="36"/>
          <w:rtl/>
        </w:rPr>
        <w:t xml:space="preserve"> </w:t>
      </w:r>
      <w:r w:rsidR="00483F7B" w:rsidRPr="00FD211F">
        <w:rPr>
          <w:sz w:val="36"/>
          <w:szCs w:val="36"/>
          <w:rtl/>
        </w:rPr>
        <w:t>تكون بالاشارة بالمفهوم الي واقع الوجود الخارجي حيث ان التشخص لايكون الا بالوجود</w:t>
      </w:r>
      <w:r w:rsidR="00603323" w:rsidRPr="00FD211F">
        <w:rPr>
          <w:sz w:val="36"/>
          <w:szCs w:val="36"/>
          <w:rtl/>
        </w:rPr>
        <w:t xml:space="preserve">، </w:t>
      </w:r>
      <w:r w:rsidR="00483F7B" w:rsidRPr="00FD211F">
        <w:rPr>
          <w:sz w:val="36"/>
          <w:szCs w:val="36"/>
          <w:rtl/>
        </w:rPr>
        <w:t>والا</w:t>
      </w:r>
      <w:r w:rsidR="00BF0A5B" w:rsidRPr="00FD211F">
        <w:rPr>
          <w:sz w:val="36"/>
          <w:szCs w:val="36"/>
          <w:rtl/>
        </w:rPr>
        <w:t xml:space="preserve"> </w:t>
      </w:r>
      <w:r w:rsidR="00483F7B" w:rsidRPr="00FD211F">
        <w:rPr>
          <w:sz w:val="36"/>
          <w:szCs w:val="36"/>
          <w:rtl/>
        </w:rPr>
        <w:t>فتقييد المفهوم</w:t>
      </w:r>
      <w:r w:rsidR="00C7588D" w:rsidRPr="00FD211F">
        <w:rPr>
          <w:sz w:val="36"/>
          <w:szCs w:val="36"/>
          <w:rtl/>
        </w:rPr>
        <w:t xml:space="preserve"> </w:t>
      </w:r>
      <w:r w:rsidR="00483F7B" w:rsidRPr="00FD211F">
        <w:rPr>
          <w:sz w:val="36"/>
          <w:szCs w:val="36"/>
          <w:rtl/>
        </w:rPr>
        <w:t>الكلى بمفهوم كلي آخر لايخرجه عن الكلية وان اوجب انحصار مصداقه بفرد واحد كما حقق في بحث العلم الاجمالي</w:t>
      </w:r>
      <w:r w:rsidR="00603323" w:rsidRPr="00FD211F">
        <w:rPr>
          <w:sz w:val="36"/>
          <w:szCs w:val="36"/>
          <w:rtl/>
        </w:rPr>
        <w:t xml:space="preserve">، </w:t>
      </w:r>
      <w:r w:rsidR="00483F7B" w:rsidRPr="00FD211F">
        <w:rPr>
          <w:sz w:val="36"/>
          <w:szCs w:val="36"/>
          <w:rtl/>
        </w:rPr>
        <w:t>لكن الاشارة الذهنية الى الوجود</w:t>
      </w:r>
      <w:r w:rsidR="00F7585F" w:rsidRPr="00FD211F">
        <w:rPr>
          <w:sz w:val="36"/>
          <w:szCs w:val="36"/>
          <w:rtl/>
        </w:rPr>
        <w:t>لات</w:t>
      </w:r>
      <w:r w:rsidR="00483F7B" w:rsidRPr="00FD211F">
        <w:rPr>
          <w:sz w:val="36"/>
          <w:szCs w:val="36"/>
          <w:rtl/>
        </w:rPr>
        <w:t>عني</w:t>
      </w:r>
      <w:r w:rsidR="00F7585F" w:rsidRPr="00FD211F">
        <w:rPr>
          <w:sz w:val="36"/>
          <w:szCs w:val="36"/>
          <w:rtl/>
        </w:rPr>
        <w:t xml:space="preserve"> الا تصور</w:t>
      </w:r>
      <w:r w:rsidR="00BF0A5B" w:rsidRPr="00FD211F">
        <w:rPr>
          <w:sz w:val="36"/>
          <w:szCs w:val="36"/>
          <w:rtl/>
        </w:rPr>
        <w:t xml:space="preserve"> </w:t>
      </w:r>
      <w:r w:rsidR="00F7585F" w:rsidRPr="00FD211F">
        <w:rPr>
          <w:sz w:val="36"/>
          <w:szCs w:val="36"/>
          <w:rtl/>
        </w:rPr>
        <w:t>المفهوم فانيا في وجود معين واين هذا من وجود مفهومين في الذهن والتصديق باتحادهما الذي هومدلول الجملة التامة</w:t>
      </w:r>
      <w:r w:rsidR="00C774D9" w:rsidRPr="00FD211F">
        <w:rPr>
          <w:sz w:val="36"/>
          <w:szCs w:val="36"/>
          <w:rtl/>
        </w:rPr>
        <w:t>.</w:t>
      </w:r>
      <w:r w:rsidR="00483F7B" w:rsidRPr="00FD211F">
        <w:rPr>
          <w:sz w:val="36"/>
          <w:szCs w:val="36"/>
          <w:rtl/>
        </w:rPr>
        <w:t xml:space="preserve"> التصديق بالوجود </w:t>
      </w:r>
      <w:r w:rsidR="00F7585F" w:rsidRPr="00FD211F">
        <w:rPr>
          <w:sz w:val="36"/>
          <w:szCs w:val="36"/>
          <w:rtl/>
        </w:rPr>
        <w:t>او الحكاية عنه</w:t>
      </w:r>
      <w:r w:rsidR="00C7588D" w:rsidRPr="00FD211F">
        <w:rPr>
          <w:sz w:val="36"/>
          <w:szCs w:val="36"/>
          <w:rtl/>
        </w:rPr>
        <w:t xml:space="preserve"> </w:t>
      </w:r>
    </w:p>
    <w:p w14:paraId="2ADA985E" w14:textId="77777777" w:rsidR="00556BC0" w:rsidRPr="00FD211F" w:rsidRDefault="00556BC0" w:rsidP="009C58C8">
      <w:pPr>
        <w:pStyle w:val="3"/>
        <w:ind w:firstLine="227"/>
        <w:jc w:val="both"/>
        <w:rPr>
          <w:rtl/>
        </w:rPr>
      </w:pPr>
      <w:bookmarkStart w:id="206" w:name="درس087"/>
      <w:bookmarkStart w:id="207" w:name="_Toc192092876"/>
      <w:bookmarkStart w:id="208" w:name="_Toc223890352"/>
      <w:bookmarkEnd w:id="206"/>
      <w:r w:rsidRPr="00FD211F">
        <w:rPr>
          <w:rtl/>
        </w:rPr>
        <w:t>الفارق بين جمل</w:t>
      </w:r>
      <w:r w:rsidR="00EC7EDF" w:rsidRPr="00FD211F">
        <w:rPr>
          <w:rtl/>
        </w:rPr>
        <w:t xml:space="preserve">ة </w:t>
      </w:r>
      <w:r w:rsidRPr="00FD211F">
        <w:rPr>
          <w:rtl/>
        </w:rPr>
        <w:t>الإضاف</w:t>
      </w:r>
      <w:r w:rsidR="00EC7EDF" w:rsidRPr="00FD211F">
        <w:rPr>
          <w:rtl/>
        </w:rPr>
        <w:t xml:space="preserve">ة </w:t>
      </w:r>
      <w:r w:rsidRPr="00FD211F">
        <w:rPr>
          <w:rtl/>
        </w:rPr>
        <w:t>والجارّ والمجرور</w:t>
      </w:r>
      <w:bookmarkEnd w:id="207"/>
      <w:bookmarkEnd w:id="208"/>
    </w:p>
    <w:p w14:paraId="1F142332" w14:textId="77777777" w:rsidR="00556BC0" w:rsidRPr="00FD211F" w:rsidRDefault="00556BC0" w:rsidP="009C58C8">
      <w:pPr>
        <w:ind w:left="0" w:firstLine="227"/>
        <w:jc w:val="both"/>
        <w:rPr>
          <w:sz w:val="36"/>
          <w:szCs w:val="36"/>
          <w:rtl/>
        </w:rPr>
      </w:pPr>
      <w:r w:rsidRPr="00FD211F">
        <w:rPr>
          <w:sz w:val="36"/>
          <w:szCs w:val="36"/>
          <w:rtl/>
        </w:rPr>
        <w:t>قد يحاول إرجاع مدلول جمل</w:t>
      </w:r>
      <w:r w:rsidR="00EC7EDF" w:rsidRPr="00FD211F">
        <w:rPr>
          <w:sz w:val="36"/>
          <w:szCs w:val="36"/>
          <w:rtl/>
        </w:rPr>
        <w:t xml:space="preserve">ة </w:t>
      </w:r>
      <w:r w:rsidRPr="00FD211F">
        <w:rPr>
          <w:sz w:val="36"/>
          <w:szCs w:val="36"/>
          <w:rtl/>
        </w:rPr>
        <w:t>الإضاف</w:t>
      </w:r>
      <w:r w:rsidR="00EC7EDF" w:rsidRPr="00FD211F">
        <w:rPr>
          <w:sz w:val="36"/>
          <w:szCs w:val="36"/>
          <w:rtl/>
        </w:rPr>
        <w:t xml:space="preserve">ة </w:t>
      </w:r>
      <w:r w:rsidRPr="00FD211F">
        <w:rPr>
          <w:sz w:val="36"/>
          <w:szCs w:val="36"/>
          <w:rtl/>
        </w:rPr>
        <w:t>الى مدلول الجارّ والمجرور</w:t>
      </w:r>
      <w:r w:rsidR="00603323" w:rsidRPr="00FD211F">
        <w:rPr>
          <w:sz w:val="36"/>
          <w:szCs w:val="36"/>
          <w:rtl/>
        </w:rPr>
        <w:t xml:space="preserve">، </w:t>
      </w:r>
      <w:r w:rsidRPr="00FD211F">
        <w:rPr>
          <w:sz w:val="36"/>
          <w:szCs w:val="36"/>
          <w:rtl/>
        </w:rPr>
        <w:t>فقد يدعى ان حرف الجرّ في قو</w:t>
      </w:r>
      <w:r w:rsidR="00EC7EDF" w:rsidRPr="00FD211F">
        <w:rPr>
          <w:sz w:val="36"/>
          <w:szCs w:val="36"/>
          <w:rtl/>
        </w:rPr>
        <w:t xml:space="preserve">ة </w:t>
      </w:r>
      <w:r w:rsidRPr="00FD211F">
        <w:rPr>
          <w:sz w:val="36"/>
          <w:szCs w:val="36"/>
          <w:rtl/>
        </w:rPr>
        <w:t>معنى الإضاف</w:t>
      </w:r>
      <w:r w:rsidR="00EC7EDF" w:rsidRPr="00FD211F">
        <w:rPr>
          <w:sz w:val="36"/>
          <w:szCs w:val="36"/>
          <w:rtl/>
        </w:rPr>
        <w:t xml:space="preserve">ة </w:t>
      </w:r>
      <w:r w:rsidRPr="00FD211F">
        <w:rPr>
          <w:sz w:val="36"/>
          <w:szCs w:val="36"/>
          <w:rtl/>
        </w:rPr>
        <w:t>فيمكن التوصل بحرف الجر لأفاد</w:t>
      </w:r>
      <w:r w:rsidR="00EC7EDF" w:rsidRPr="00FD211F">
        <w:rPr>
          <w:sz w:val="36"/>
          <w:szCs w:val="36"/>
          <w:rtl/>
        </w:rPr>
        <w:t xml:space="preserve">ة </w:t>
      </w:r>
      <w:r w:rsidRPr="00FD211F">
        <w:rPr>
          <w:sz w:val="36"/>
          <w:szCs w:val="36"/>
          <w:rtl/>
        </w:rPr>
        <w:t>معنى الإضاف</w:t>
      </w:r>
      <w:r w:rsidR="00EC7EDF" w:rsidRPr="00FD211F">
        <w:rPr>
          <w:sz w:val="36"/>
          <w:szCs w:val="36"/>
          <w:rtl/>
        </w:rPr>
        <w:t xml:space="preserve">ة </w:t>
      </w:r>
      <w:r w:rsidRPr="00FD211F">
        <w:rPr>
          <w:sz w:val="36"/>
          <w:szCs w:val="36"/>
          <w:rtl/>
        </w:rPr>
        <w:t>فيما</w:t>
      </w:r>
      <w:r w:rsidR="008D7B3D" w:rsidRPr="00FD211F">
        <w:rPr>
          <w:sz w:val="36"/>
          <w:szCs w:val="36"/>
          <w:rtl/>
        </w:rPr>
        <w:t xml:space="preserve"> لم‌</w:t>
      </w:r>
      <w:r w:rsidRPr="00FD211F">
        <w:rPr>
          <w:sz w:val="36"/>
          <w:szCs w:val="36"/>
          <w:rtl/>
        </w:rPr>
        <w:t>يمكن إضاف</w:t>
      </w:r>
      <w:r w:rsidR="00EC7EDF" w:rsidRPr="00FD211F">
        <w:rPr>
          <w:sz w:val="36"/>
          <w:szCs w:val="36"/>
          <w:rtl/>
        </w:rPr>
        <w:t xml:space="preserve">ة </w:t>
      </w:r>
      <w:r w:rsidRPr="00FD211F">
        <w:rPr>
          <w:sz w:val="36"/>
          <w:szCs w:val="36"/>
          <w:rtl/>
        </w:rPr>
        <w:t>اللفظ بنفسه</w:t>
      </w:r>
      <w:r w:rsidR="00603323" w:rsidRPr="00FD211F">
        <w:rPr>
          <w:sz w:val="36"/>
          <w:szCs w:val="36"/>
          <w:rtl/>
        </w:rPr>
        <w:t xml:space="preserve">، </w:t>
      </w:r>
      <w:r w:rsidRPr="00FD211F">
        <w:rPr>
          <w:sz w:val="36"/>
          <w:szCs w:val="36"/>
          <w:rtl/>
        </w:rPr>
        <w:t>ففي قولنا "سافرت من البصر</w:t>
      </w:r>
      <w:r w:rsidR="00EC7EDF" w:rsidRPr="00FD211F">
        <w:rPr>
          <w:sz w:val="36"/>
          <w:szCs w:val="36"/>
          <w:rtl/>
        </w:rPr>
        <w:t xml:space="preserve">ة </w:t>
      </w:r>
      <w:r w:rsidRPr="00FD211F">
        <w:rPr>
          <w:sz w:val="36"/>
          <w:szCs w:val="36"/>
          <w:rtl/>
        </w:rPr>
        <w:t>" حيث ان "سافرت" فعل من الأفعال فلاتضاف ابدا فاستعين بلفظ</w:t>
      </w:r>
      <w:r w:rsidR="00EC7EDF" w:rsidRPr="00FD211F">
        <w:rPr>
          <w:sz w:val="36"/>
          <w:szCs w:val="36"/>
          <w:rtl/>
        </w:rPr>
        <w:t xml:space="preserve">ة </w:t>
      </w:r>
      <w:r w:rsidR="00C1586F" w:rsidRPr="00FD211F">
        <w:rPr>
          <w:sz w:val="36"/>
          <w:szCs w:val="36"/>
          <w:rtl/>
        </w:rPr>
        <w:t>"</w:t>
      </w:r>
      <w:r w:rsidRPr="00FD211F">
        <w:rPr>
          <w:sz w:val="36"/>
          <w:szCs w:val="36"/>
          <w:rtl/>
        </w:rPr>
        <w:t xml:space="preserve"> من</w:t>
      </w:r>
      <w:r w:rsidR="00C1586F" w:rsidRPr="00FD211F">
        <w:rPr>
          <w:sz w:val="36"/>
          <w:szCs w:val="36"/>
          <w:rtl/>
        </w:rPr>
        <w:t>"</w:t>
      </w:r>
      <w:r w:rsidR="00A87B69" w:rsidRPr="00FD211F">
        <w:rPr>
          <w:sz w:val="36"/>
          <w:szCs w:val="36"/>
          <w:rtl/>
        </w:rPr>
        <w:t xml:space="preserve"> لايجاد</w:t>
      </w:r>
      <w:r w:rsidRPr="00FD211F">
        <w:rPr>
          <w:sz w:val="36"/>
          <w:szCs w:val="36"/>
          <w:rtl/>
        </w:rPr>
        <w:t xml:space="preserve"> معنى الإضاف</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183"/>
      </w:r>
      <w:r w:rsidR="009C58C8" w:rsidRPr="00FD211F">
        <w:rPr>
          <w:rStyle w:val="a6"/>
          <w:sz w:val="36"/>
          <w:szCs w:val="36"/>
          <w:rtl/>
        </w:rPr>
        <w:t>)</w:t>
      </w:r>
      <w:r w:rsidRPr="00FD211F">
        <w:rPr>
          <w:sz w:val="36"/>
          <w:szCs w:val="36"/>
          <w:rtl/>
        </w:rPr>
        <w:t>.</w:t>
      </w:r>
    </w:p>
    <w:p w14:paraId="6296EEDB" w14:textId="77777777" w:rsidR="00556BC0" w:rsidRPr="00FD211F" w:rsidRDefault="00556BC0" w:rsidP="009C58C8">
      <w:pPr>
        <w:ind w:left="0" w:firstLine="227"/>
        <w:jc w:val="both"/>
        <w:rPr>
          <w:sz w:val="36"/>
          <w:szCs w:val="36"/>
          <w:rtl/>
        </w:rPr>
      </w:pPr>
      <w:r w:rsidRPr="00FD211F">
        <w:rPr>
          <w:sz w:val="36"/>
          <w:szCs w:val="36"/>
          <w:rtl/>
        </w:rPr>
        <w:t>و قد ذكر في البحوث ان الوجدان اللغوي حاكم ب</w:t>
      </w:r>
      <w:r w:rsidR="00A87B69" w:rsidRPr="00FD211F">
        <w:rPr>
          <w:sz w:val="36"/>
          <w:szCs w:val="36"/>
          <w:rtl/>
        </w:rPr>
        <w:t xml:space="preserve">وجود فرق </w:t>
      </w:r>
      <w:r w:rsidRPr="00FD211F">
        <w:rPr>
          <w:sz w:val="36"/>
          <w:szCs w:val="36"/>
          <w:rtl/>
        </w:rPr>
        <w:t>جوهري بين معنى الإضاف</w:t>
      </w:r>
      <w:r w:rsidR="00EC7EDF" w:rsidRPr="00FD211F">
        <w:rPr>
          <w:sz w:val="36"/>
          <w:szCs w:val="36"/>
          <w:rtl/>
        </w:rPr>
        <w:t xml:space="preserve">ة </w:t>
      </w:r>
      <w:r w:rsidRPr="00FD211F">
        <w:rPr>
          <w:sz w:val="36"/>
          <w:szCs w:val="36"/>
          <w:rtl/>
        </w:rPr>
        <w:t>وحروف الجرّ</w:t>
      </w:r>
      <w:r w:rsidR="00603323" w:rsidRPr="00FD211F">
        <w:rPr>
          <w:sz w:val="36"/>
          <w:szCs w:val="36"/>
          <w:rtl/>
        </w:rPr>
        <w:t xml:space="preserve">، </w:t>
      </w:r>
      <w:r w:rsidRPr="00FD211F">
        <w:rPr>
          <w:sz w:val="36"/>
          <w:szCs w:val="36"/>
          <w:rtl/>
        </w:rPr>
        <w:t>ويشهد على ذلك اربع</w:t>
      </w:r>
      <w:r w:rsidR="00EC7EDF" w:rsidRPr="00FD211F">
        <w:rPr>
          <w:sz w:val="36"/>
          <w:szCs w:val="36"/>
          <w:rtl/>
        </w:rPr>
        <w:t xml:space="preserve">ة </w:t>
      </w:r>
      <w:r w:rsidRPr="00FD211F">
        <w:rPr>
          <w:sz w:val="36"/>
          <w:szCs w:val="36"/>
          <w:rtl/>
        </w:rPr>
        <w:t>أمور:</w:t>
      </w:r>
    </w:p>
    <w:p w14:paraId="53564284" w14:textId="77777777" w:rsidR="00556BC0" w:rsidRPr="00FD211F" w:rsidRDefault="00556BC0" w:rsidP="009C58C8">
      <w:pPr>
        <w:ind w:left="0" w:firstLine="227"/>
        <w:jc w:val="both"/>
        <w:rPr>
          <w:sz w:val="36"/>
          <w:szCs w:val="36"/>
          <w:rtl/>
        </w:rPr>
      </w:pPr>
      <w:r w:rsidRPr="00FD211F">
        <w:rPr>
          <w:sz w:val="36"/>
          <w:szCs w:val="36"/>
          <w:rtl/>
        </w:rPr>
        <w:t>1- انه لايصح الإضاف</w:t>
      </w:r>
      <w:r w:rsidR="00EC7EDF" w:rsidRPr="00FD211F">
        <w:rPr>
          <w:sz w:val="36"/>
          <w:szCs w:val="36"/>
          <w:rtl/>
        </w:rPr>
        <w:t xml:space="preserve">ة </w:t>
      </w:r>
      <w:r w:rsidRPr="00FD211F">
        <w:rPr>
          <w:sz w:val="36"/>
          <w:szCs w:val="36"/>
          <w:rtl/>
        </w:rPr>
        <w:t>في مثل "سفرك اطول من س</w:t>
      </w:r>
      <w:r w:rsidR="00A87B69" w:rsidRPr="00FD211F">
        <w:rPr>
          <w:sz w:val="36"/>
          <w:szCs w:val="36"/>
          <w:rtl/>
        </w:rPr>
        <w:t>فري" او "زيد قائم في الدار"</w:t>
      </w:r>
      <w:r w:rsidR="00603323" w:rsidRPr="00FD211F">
        <w:rPr>
          <w:sz w:val="36"/>
          <w:szCs w:val="36"/>
          <w:rtl/>
        </w:rPr>
        <w:t xml:space="preserve">، </w:t>
      </w:r>
      <w:r w:rsidR="00A87B69" w:rsidRPr="00FD211F">
        <w:rPr>
          <w:sz w:val="36"/>
          <w:szCs w:val="36"/>
          <w:rtl/>
        </w:rPr>
        <w:t>فلا</w:t>
      </w:r>
      <w:r w:rsidRPr="00FD211F">
        <w:rPr>
          <w:sz w:val="36"/>
          <w:szCs w:val="36"/>
          <w:rtl/>
        </w:rPr>
        <w:t xml:space="preserve"> يقال </w:t>
      </w:r>
      <w:r w:rsidR="00A87B69" w:rsidRPr="00FD211F">
        <w:rPr>
          <w:sz w:val="36"/>
          <w:szCs w:val="36"/>
          <w:rtl/>
        </w:rPr>
        <w:t>"</w:t>
      </w:r>
      <w:r w:rsidRPr="00FD211F">
        <w:rPr>
          <w:sz w:val="36"/>
          <w:szCs w:val="36"/>
          <w:rtl/>
        </w:rPr>
        <w:t>سفرك اطول سفري</w:t>
      </w:r>
      <w:r w:rsidR="00A87B69" w:rsidRPr="00FD211F">
        <w:rPr>
          <w:sz w:val="36"/>
          <w:szCs w:val="36"/>
          <w:rtl/>
        </w:rPr>
        <w:t>"</w:t>
      </w:r>
      <w:r w:rsidRPr="00FD211F">
        <w:rPr>
          <w:sz w:val="36"/>
          <w:szCs w:val="36"/>
          <w:rtl/>
        </w:rPr>
        <w:t xml:space="preserve"> </w:t>
      </w:r>
      <w:r w:rsidR="00A87B69" w:rsidRPr="00FD211F">
        <w:rPr>
          <w:sz w:val="36"/>
          <w:szCs w:val="36"/>
          <w:rtl/>
        </w:rPr>
        <w:t>كما لايقال "</w:t>
      </w:r>
      <w:r w:rsidRPr="00FD211F">
        <w:rPr>
          <w:sz w:val="36"/>
          <w:szCs w:val="36"/>
          <w:rtl/>
        </w:rPr>
        <w:t>زيد قائم الدار</w:t>
      </w:r>
      <w:r w:rsidR="00A87B69" w:rsidRPr="00FD211F">
        <w:rPr>
          <w:sz w:val="36"/>
          <w:szCs w:val="36"/>
          <w:rtl/>
        </w:rPr>
        <w:t>"</w:t>
      </w:r>
      <w:r w:rsidRPr="00FD211F">
        <w:rPr>
          <w:sz w:val="36"/>
          <w:szCs w:val="36"/>
          <w:rtl/>
        </w:rPr>
        <w:t>.</w:t>
      </w:r>
    </w:p>
    <w:p w14:paraId="2F429E91" w14:textId="77777777" w:rsidR="00556BC0" w:rsidRPr="00FD211F" w:rsidRDefault="00556BC0" w:rsidP="009C58C8">
      <w:pPr>
        <w:ind w:left="0" w:firstLine="227"/>
        <w:jc w:val="both"/>
        <w:rPr>
          <w:sz w:val="36"/>
          <w:szCs w:val="36"/>
          <w:rtl/>
        </w:rPr>
      </w:pPr>
      <w:r w:rsidRPr="00FD211F">
        <w:rPr>
          <w:sz w:val="36"/>
          <w:szCs w:val="36"/>
          <w:rtl/>
        </w:rPr>
        <w:t>2- انه لو امكن تطبيق هذه النظري</w:t>
      </w:r>
      <w:r w:rsidR="00EC7EDF" w:rsidRPr="00FD211F">
        <w:rPr>
          <w:sz w:val="36"/>
          <w:szCs w:val="36"/>
          <w:rtl/>
        </w:rPr>
        <w:t xml:space="preserve">ة </w:t>
      </w:r>
      <w:r w:rsidRPr="00FD211F">
        <w:rPr>
          <w:sz w:val="36"/>
          <w:szCs w:val="36"/>
          <w:rtl/>
        </w:rPr>
        <w:t>في مثال سافرت من البصر</w:t>
      </w:r>
      <w:r w:rsidR="00EC7EDF" w:rsidRPr="00FD211F">
        <w:rPr>
          <w:sz w:val="36"/>
          <w:szCs w:val="36"/>
          <w:rtl/>
        </w:rPr>
        <w:t>ة</w:t>
      </w:r>
      <w:r w:rsidR="00603323" w:rsidRPr="00FD211F">
        <w:rPr>
          <w:sz w:val="36"/>
          <w:szCs w:val="36"/>
          <w:rtl/>
        </w:rPr>
        <w:t xml:space="preserve">، </w:t>
      </w:r>
      <w:r w:rsidRPr="00FD211F">
        <w:rPr>
          <w:sz w:val="36"/>
          <w:szCs w:val="36"/>
          <w:rtl/>
        </w:rPr>
        <w:t>لكنها لاتنطبق على اكثر حروف الجر ككاف التشبيه وحاشا وعدا وخلا ورُبّ وغيرها</w:t>
      </w:r>
      <w:r w:rsidR="00603323" w:rsidRPr="00FD211F">
        <w:rPr>
          <w:sz w:val="36"/>
          <w:szCs w:val="36"/>
          <w:rtl/>
        </w:rPr>
        <w:t xml:space="preserve">، </w:t>
      </w:r>
      <w:r w:rsidRPr="00FD211F">
        <w:rPr>
          <w:sz w:val="36"/>
          <w:szCs w:val="36"/>
          <w:rtl/>
        </w:rPr>
        <w:t>بل مثل حرف حاشا يعطي معنى الاستثناء وهو مناف للإضاف</w:t>
      </w:r>
      <w:r w:rsidR="00EC7EDF" w:rsidRPr="00FD211F">
        <w:rPr>
          <w:sz w:val="36"/>
          <w:szCs w:val="36"/>
          <w:rtl/>
        </w:rPr>
        <w:t>ة</w:t>
      </w:r>
      <w:r w:rsidR="00A61BAE" w:rsidRPr="00FD211F">
        <w:rPr>
          <w:sz w:val="36"/>
          <w:szCs w:val="36"/>
          <w:rtl/>
        </w:rPr>
        <w:t>.</w:t>
      </w:r>
    </w:p>
    <w:p w14:paraId="29C9E7A2" w14:textId="77777777" w:rsidR="00556BC0" w:rsidRPr="00FD211F" w:rsidRDefault="00556BC0" w:rsidP="009C58C8">
      <w:pPr>
        <w:ind w:left="0" w:firstLine="227"/>
        <w:jc w:val="both"/>
        <w:rPr>
          <w:sz w:val="36"/>
          <w:szCs w:val="36"/>
          <w:rtl/>
        </w:rPr>
      </w:pPr>
      <w:r w:rsidRPr="00FD211F">
        <w:rPr>
          <w:sz w:val="36"/>
          <w:szCs w:val="36"/>
          <w:rtl/>
        </w:rPr>
        <w:t>3- انه يشترط كون المضاف في الإضاف</w:t>
      </w:r>
      <w:r w:rsidR="00EC7EDF" w:rsidRPr="00FD211F">
        <w:rPr>
          <w:sz w:val="36"/>
          <w:szCs w:val="36"/>
          <w:rtl/>
        </w:rPr>
        <w:t xml:space="preserve">ة </w:t>
      </w:r>
      <w:r w:rsidRPr="00FD211F">
        <w:rPr>
          <w:sz w:val="36"/>
          <w:szCs w:val="36"/>
          <w:rtl/>
        </w:rPr>
        <w:t>المعنوي</w:t>
      </w:r>
      <w:r w:rsidR="00EC7EDF" w:rsidRPr="00FD211F">
        <w:rPr>
          <w:sz w:val="36"/>
          <w:szCs w:val="36"/>
          <w:rtl/>
        </w:rPr>
        <w:t xml:space="preserve">ة </w:t>
      </w:r>
      <w:r w:rsidRPr="00FD211F">
        <w:rPr>
          <w:sz w:val="36"/>
          <w:szCs w:val="36"/>
          <w:rtl/>
        </w:rPr>
        <w:t>نكر</w:t>
      </w:r>
      <w:r w:rsidR="00EC7EDF" w:rsidRPr="00FD211F">
        <w:rPr>
          <w:sz w:val="36"/>
          <w:szCs w:val="36"/>
          <w:rtl/>
        </w:rPr>
        <w:t xml:space="preserve">ة </w:t>
      </w:r>
      <w:r w:rsidRPr="00FD211F">
        <w:rPr>
          <w:sz w:val="36"/>
          <w:szCs w:val="36"/>
          <w:rtl/>
        </w:rPr>
        <w:t>بخلاف ما يتعلق به حرف الجرّ</w:t>
      </w:r>
      <w:r w:rsidR="00603323" w:rsidRPr="00FD211F">
        <w:rPr>
          <w:sz w:val="36"/>
          <w:szCs w:val="36"/>
          <w:rtl/>
        </w:rPr>
        <w:t xml:space="preserve">، </w:t>
      </w:r>
      <w:r w:rsidRPr="00FD211F">
        <w:rPr>
          <w:sz w:val="36"/>
          <w:szCs w:val="36"/>
          <w:rtl/>
        </w:rPr>
        <w:t>ولذا لايمكن تبديل قولنا</w:t>
      </w:r>
      <w:r w:rsidR="00556693" w:rsidRPr="00FD211F">
        <w:rPr>
          <w:sz w:val="36"/>
          <w:szCs w:val="36"/>
          <w:rtl/>
        </w:rPr>
        <w:t xml:space="preserve"> </w:t>
      </w:r>
      <w:r w:rsidR="00A26285" w:rsidRPr="00FD211F">
        <w:rPr>
          <w:sz w:val="36"/>
          <w:szCs w:val="36"/>
          <w:rtl/>
        </w:rPr>
        <w:t>"</w:t>
      </w:r>
      <w:r w:rsidRPr="00FD211F">
        <w:rPr>
          <w:sz w:val="36"/>
          <w:szCs w:val="36"/>
          <w:rtl/>
        </w:rPr>
        <w:t>زيد في هذه الدار</w:t>
      </w:r>
      <w:r w:rsidR="00A26285" w:rsidRPr="00FD211F">
        <w:rPr>
          <w:sz w:val="36"/>
          <w:szCs w:val="36"/>
          <w:rtl/>
        </w:rPr>
        <w:t>"</w:t>
      </w:r>
      <w:r w:rsidRPr="00FD211F">
        <w:rPr>
          <w:sz w:val="36"/>
          <w:szCs w:val="36"/>
          <w:rtl/>
        </w:rPr>
        <w:t xml:space="preserve"> الى "زيد هذه الدار".</w:t>
      </w:r>
    </w:p>
    <w:p w14:paraId="41C80C37" w14:textId="77777777" w:rsidR="00556BC0" w:rsidRPr="00FD211F" w:rsidRDefault="00556BC0" w:rsidP="009C58C8">
      <w:pPr>
        <w:ind w:left="0" w:firstLine="227"/>
        <w:jc w:val="both"/>
        <w:rPr>
          <w:sz w:val="36"/>
          <w:szCs w:val="36"/>
          <w:rtl/>
        </w:rPr>
      </w:pPr>
      <w:r w:rsidRPr="00FD211F">
        <w:rPr>
          <w:sz w:val="36"/>
          <w:szCs w:val="36"/>
          <w:rtl/>
        </w:rPr>
        <w:t>4- ان جمل</w:t>
      </w:r>
      <w:r w:rsidR="00EC7EDF" w:rsidRPr="00FD211F">
        <w:rPr>
          <w:sz w:val="36"/>
          <w:szCs w:val="36"/>
          <w:rtl/>
        </w:rPr>
        <w:t xml:space="preserve">ة </w:t>
      </w:r>
      <w:r w:rsidRPr="00FD211F">
        <w:rPr>
          <w:sz w:val="36"/>
          <w:szCs w:val="36"/>
          <w:rtl/>
        </w:rPr>
        <w:t>الإضاف</w:t>
      </w:r>
      <w:r w:rsidR="00EC7EDF" w:rsidRPr="00FD211F">
        <w:rPr>
          <w:sz w:val="36"/>
          <w:szCs w:val="36"/>
          <w:rtl/>
        </w:rPr>
        <w:t xml:space="preserve">ة </w:t>
      </w:r>
      <w:r w:rsidRPr="00FD211F">
        <w:rPr>
          <w:sz w:val="36"/>
          <w:szCs w:val="36"/>
          <w:rtl/>
        </w:rPr>
        <w:t>في قولنا</w:t>
      </w:r>
      <w:r w:rsidR="00A26285" w:rsidRPr="00FD211F">
        <w:rPr>
          <w:sz w:val="36"/>
          <w:szCs w:val="36"/>
          <w:rtl/>
        </w:rPr>
        <w:t>"</w:t>
      </w:r>
      <w:r w:rsidRPr="00FD211F">
        <w:rPr>
          <w:sz w:val="36"/>
          <w:szCs w:val="36"/>
          <w:rtl/>
        </w:rPr>
        <w:t xml:space="preserve"> ضربُ زيدٍ</w:t>
      </w:r>
      <w:r w:rsidR="00A26285" w:rsidRPr="00FD211F">
        <w:rPr>
          <w:sz w:val="36"/>
          <w:szCs w:val="36"/>
          <w:rtl/>
        </w:rPr>
        <w:t>"</w:t>
      </w:r>
      <w:r w:rsidRPr="00FD211F">
        <w:rPr>
          <w:sz w:val="36"/>
          <w:szCs w:val="36"/>
          <w:rtl/>
        </w:rPr>
        <w:t xml:space="preserve"> تدلّ على أصل النسب</w:t>
      </w:r>
      <w:r w:rsidR="00EC7EDF" w:rsidRPr="00FD211F">
        <w:rPr>
          <w:sz w:val="36"/>
          <w:szCs w:val="36"/>
          <w:rtl/>
        </w:rPr>
        <w:t xml:space="preserve">ة </w:t>
      </w:r>
      <w:r w:rsidRPr="00FD211F">
        <w:rPr>
          <w:sz w:val="36"/>
          <w:szCs w:val="36"/>
          <w:rtl/>
        </w:rPr>
        <w:t>بين الضرب وبين زيد</w:t>
      </w:r>
      <w:r w:rsidR="00603323" w:rsidRPr="00FD211F">
        <w:rPr>
          <w:sz w:val="36"/>
          <w:szCs w:val="36"/>
          <w:rtl/>
        </w:rPr>
        <w:t xml:space="preserve">، </w:t>
      </w:r>
      <w:r w:rsidRPr="00FD211F">
        <w:rPr>
          <w:sz w:val="36"/>
          <w:szCs w:val="36"/>
          <w:rtl/>
        </w:rPr>
        <w:t>بينما ان الجارّ والمجرور في قولنا</w:t>
      </w:r>
      <w:r w:rsidR="00556693" w:rsidRPr="00FD211F">
        <w:rPr>
          <w:sz w:val="36"/>
          <w:szCs w:val="36"/>
          <w:rtl/>
        </w:rPr>
        <w:t xml:space="preserve"> </w:t>
      </w:r>
      <w:r w:rsidR="00A26285" w:rsidRPr="00FD211F">
        <w:rPr>
          <w:sz w:val="36"/>
          <w:szCs w:val="36"/>
          <w:rtl/>
        </w:rPr>
        <w:t>"</w:t>
      </w:r>
      <w:r w:rsidRPr="00FD211F">
        <w:rPr>
          <w:sz w:val="36"/>
          <w:szCs w:val="36"/>
          <w:rtl/>
        </w:rPr>
        <w:t>الضرب لزيد</w:t>
      </w:r>
      <w:r w:rsidR="00A26285" w:rsidRPr="00FD211F">
        <w:rPr>
          <w:sz w:val="36"/>
          <w:szCs w:val="36"/>
          <w:rtl/>
        </w:rPr>
        <w:t>"</w:t>
      </w:r>
      <w:r w:rsidRPr="00FD211F">
        <w:rPr>
          <w:sz w:val="36"/>
          <w:szCs w:val="36"/>
          <w:rtl/>
        </w:rPr>
        <w:t xml:space="preserve"> </w:t>
      </w:r>
      <w:r w:rsidR="00A26285" w:rsidRPr="00FD211F">
        <w:rPr>
          <w:sz w:val="36"/>
          <w:szCs w:val="36"/>
          <w:rtl/>
        </w:rPr>
        <w:t>ا</w:t>
      </w:r>
      <w:r w:rsidRPr="00FD211F">
        <w:rPr>
          <w:sz w:val="36"/>
          <w:szCs w:val="36"/>
          <w:rtl/>
        </w:rPr>
        <w:t>و</w:t>
      </w:r>
      <w:r w:rsidR="00A26285" w:rsidRPr="00FD211F">
        <w:rPr>
          <w:sz w:val="36"/>
          <w:szCs w:val="36"/>
          <w:rtl/>
        </w:rPr>
        <w:t>قولنا</w:t>
      </w:r>
      <w:r w:rsidR="00556693" w:rsidRPr="00FD211F">
        <w:rPr>
          <w:sz w:val="36"/>
          <w:szCs w:val="36"/>
          <w:rtl/>
        </w:rPr>
        <w:t xml:space="preserve"> </w:t>
      </w:r>
      <w:r w:rsidR="00A26285" w:rsidRPr="00FD211F">
        <w:rPr>
          <w:sz w:val="36"/>
          <w:szCs w:val="36"/>
          <w:rtl/>
        </w:rPr>
        <w:t>"</w:t>
      </w:r>
      <w:r w:rsidRPr="00FD211F">
        <w:rPr>
          <w:sz w:val="36"/>
          <w:szCs w:val="36"/>
          <w:rtl/>
        </w:rPr>
        <w:t>الضرب على زيد</w:t>
      </w:r>
      <w:r w:rsidR="00A26285" w:rsidRPr="00FD211F">
        <w:rPr>
          <w:sz w:val="36"/>
          <w:szCs w:val="36"/>
          <w:rtl/>
        </w:rPr>
        <w:t>"</w:t>
      </w:r>
      <w:r w:rsidRPr="00FD211F">
        <w:rPr>
          <w:sz w:val="36"/>
          <w:szCs w:val="36"/>
          <w:rtl/>
        </w:rPr>
        <w:t xml:space="preserve"> يدل على نسب</w:t>
      </w:r>
      <w:r w:rsidR="00EC7EDF" w:rsidRPr="00FD211F">
        <w:rPr>
          <w:sz w:val="36"/>
          <w:szCs w:val="36"/>
          <w:rtl/>
        </w:rPr>
        <w:t xml:space="preserve">ة </w:t>
      </w:r>
      <w:r w:rsidRPr="00FD211F">
        <w:rPr>
          <w:sz w:val="36"/>
          <w:szCs w:val="36"/>
          <w:rtl/>
        </w:rPr>
        <w:t>خاص</w:t>
      </w:r>
      <w:r w:rsidR="00EC7EDF" w:rsidRPr="00FD211F">
        <w:rPr>
          <w:sz w:val="36"/>
          <w:szCs w:val="36"/>
          <w:rtl/>
        </w:rPr>
        <w:t>ة</w:t>
      </w:r>
      <w:r w:rsidR="00A61BAE" w:rsidRPr="00FD211F">
        <w:rPr>
          <w:sz w:val="36"/>
          <w:szCs w:val="36"/>
          <w:rtl/>
        </w:rPr>
        <w:t>.</w:t>
      </w:r>
    </w:p>
    <w:p w14:paraId="32897612" w14:textId="77777777" w:rsidR="000C5BBA" w:rsidRPr="00FD211F" w:rsidRDefault="00556BC0" w:rsidP="009C58C8">
      <w:pPr>
        <w:ind w:left="0" w:firstLine="227"/>
        <w:jc w:val="both"/>
        <w:rPr>
          <w:sz w:val="36"/>
          <w:szCs w:val="36"/>
          <w:rtl/>
        </w:rPr>
      </w:pPr>
      <w:r w:rsidRPr="00FD211F">
        <w:rPr>
          <w:sz w:val="36"/>
          <w:szCs w:val="36"/>
          <w:rtl/>
        </w:rPr>
        <w:t xml:space="preserve">وحينئذ فلابد من تبيين </w:t>
      </w:r>
      <w:r w:rsidR="00A26285" w:rsidRPr="00FD211F">
        <w:rPr>
          <w:sz w:val="36"/>
          <w:szCs w:val="36"/>
          <w:rtl/>
        </w:rPr>
        <w:t>الف</w:t>
      </w:r>
      <w:r w:rsidRPr="00FD211F">
        <w:rPr>
          <w:sz w:val="36"/>
          <w:szCs w:val="36"/>
          <w:rtl/>
        </w:rPr>
        <w:t xml:space="preserve">رق </w:t>
      </w:r>
      <w:r w:rsidR="00A26285" w:rsidRPr="00FD211F">
        <w:rPr>
          <w:sz w:val="36"/>
          <w:szCs w:val="36"/>
          <w:rtl/>
        </w:rPr>
        <w:t>ال</w:t>
      </w:r>
      <w:r w:rsidRPr="00FD211F">
        <w:rPr>
          <w:sz w:val="36"/>
          <w:szCs w:val="36"/>
          <w:rtl/>
        </w:rPr>
        <w:t>جوهري بين معنى الإضاف</w:t>
      </w:r>
      <w:r w:rsidR="00EC7EDF" w:rsidRPr="00FD211F">
        <w:rPr>
          <w:sz w:val="36"/>
          <w:szCs w:val="36"/>
          <w:rtl/>
        </w:rPr>
        <w:t xml:space="preserve">ة </w:t>
      </w:r>
      <w:r w:rsidRPr="00FD211F">
        <w:rPr>
          <w:sz w:val="36"/>
          <w:szCs w:val="36"/>
          <w:rtl/>
        </w:rPr>
        <w:t>وحرف الجر</w:t>
      </w:r>
      <w:r w:rsidR="00603323" w:rsidRPr="00FD211F">
        <w:rPr>
          <w:sz w:val="36"/>
          <w:szCs w:val="36"/>
          <w:rtl/>
        </w:rPr>
        <w:t xml:space="preserve">، </w:t>
      </w:r>
      <w:r w:rsidRPr="00FD211F">
        <w:rPr>
          <w:sz w:val="36"/>
          <w:szCs w:val="36"/>
          <w:rtl/>
        </w:rPr>
        <w:t>وان كنا لاننكر وجود اثر مشترك بينهما وهو افاد</w:t>
      </w:r>
      <w:r w:rsidR="00EC7EDF" w:rsidRPr="00FD211F">
        <w:rPr>
          <w:sz w:val="36"/>
          <w:szCs w:val="36"/>
          <w:rtl/>
        </w:rPr>
        <w:t xml:space="preserve">ة </w:t>
      </w:r>
      <w:r w:rsidRPr="00FD211F">
        <w:rPr>
          <w:sz w:val="36"/>
          <w:szCs w:val="36"/>
          <w:rtl/>
        </w:rPr>
        <w:t>تضييق المعنى الا</w:t>
      </w:r>
      <w:r w:rsidR="00C7185F" w:rsidRPr="00FD211F">
        <w:rPr>
          <w:sz w:val="36"/>
          <w:szCs w:val="36"/>
          <w:rtl/>
        </w:rPr>
        <w:t>سمي.</w:t>
      </w:r>
    </w:p>
    <w:p w14:paraId="5E834D14" w14:textId="77777777" w:rsidR="00556BC0" w:rsidRPr="00FD211F" w:rsidRDefault="00EC7EDF" w:rsidP="009C58C8">
      <w:pPr>
        <w:ind w:left="0" w:firstLine="227"/>
        <w:jc w:val="both"/>
        <w:rPr>
          <w:sz w:val="36"/>
          <w:szCs w:val="36"/>
          <w:rtl/>
        </w:rPr>
      </w:pPr>
      <w:r w:rsidRPr="00FD211F">
        <w:rPr>
          <w:sz w:val="36"/>
          <w:szCs w:val="36"/>
          <w:rtl/>
        </w:rPr>
        <w:t>و</w:t>
      </w:r>
      <w:r w:rsidR="00556BC0" w:rsidRPr="00FD211F">
        <w:rPr>
          <w:sz w:val="36"/>
          <w:szCs w:val="36"/>
          <w:rtl/>
        </w:rPr>
        <w:t>يمكن ان يذكر خمس</w:t>
      </w:r>
      <w:r w:rsidRPr="00FD211F">
        <w:rPr>
          <w:sz w:val="36"/>
          <w:szCs w:val="36"/>
          <w:rtl/>
        </w:rPr>
        <w:t xml:space="preserve">ة </w:t>
      </w:r>
      <w:r w:rsidR="00556BC0" w:rsidRPr="00FD211F">
        <w:rPr>
          <w:sz w:val="36"/>
          <w:szCs w:val="36"/>
          <w:rtl/>
        </w:rPr>
        <w:t>اوج</w:t>
      </w:r>
      <w:r w:rsidR="00B8119D" w:rsidRPr="00FD211F">
        <w:rPr>
          <w:sz w:val="36"/>
          <w:szCs w:val="36"/>
          <w:rtl/>
        </w:rPr>
        <w:t>ه لبيان الفرق بين معناهما</w:t>
      </w:r>
      <w:r w:rsidRPr="00FD211F">
        <w:rPr>
          <w:sz w:val="36"/>
          <w:szCs w:val="36"/>
          <w:rtl/>
        </w:rPr>
        <w:t>:</w:t>
      </w:r>
    </w:p>
    <w:p w14:paraId="6E30EF79" w14:textId="77777777" w:rsidR="00556BC0" w:rsidRPr="00FD211F" w:rsidRDefault="002D2DBE" w:rsidP="009C58C8">
      <w:pPr>
        <w:ind w:left="0" w:firstLine="227"/>
        <w:jc w:val="both"/>
        <w:rPr>
          <w:sz w:val="36"/>
          <w:szCs w:val="36"/>
          <w:rtl/>
        </w:rPr>
      </w:pPr>
      <w:r w:rsidRPr="00FD211F">
        <w:rPr>
          <w:b/>
          <w:bCs/>
          <w:sz w:val="36"/>
          <w:szCs w:val="36"/>
          <w:rtl/>
        </w:rPr>
        <w:t>الوجه الاول</w:t>
      </w:r>
      <w:r w:rsidRPr="00FD211F">
        <w:rPr>
          <w:sz w:val="36"/>
          <w:szCs w:val="36"/>
          <w:rtl/>
        </w:rPr>
        <w:t>:</w:t>
      </w:r>
      <w:r w:rsidR="00556BC0" w:rsidRPr="00FD211F">
        <w:rPr>
          <w:sz w:val="36"/>
          <w:szCs w:val="36"/>
          <w:rtl/>
        </w:rPr>
        <w:t xml:space="preserve"> الإضاف</w:t>
      </w:r>
      <w:r w:rsidR="00EC7EDF" w:rsidRPr="00FD211F">
        <w:rPr>
          <w:sz w:val="36"/>
          <w:szCs w:val="36"/>
          <w:rtl/>
        </w:rPr>
        <w:t xml:space="preserve">ة </w:t>
      </w:r>
      <w:r w:rsidR="00556BC0" w:rsidRPr="00FD211F">
        <w:rPr>
          <w:sz w:val="36"/>
          <w:szCs w:val="36"/>
          <w:rtl/>
        </w:rPr>
        <w:t>موضوع</w:t>
      </w:r>
      <w:r w:rsidR="00EC7EDF" w:rsidRPr="00FD211F">
        <w:rPr>
          <w:sz w:val="36"/>
          <w:szCs w:val="36"/>
          <w:rtl/>
        </w:rPr>
        <w:t xml:space="preserve">ة </w:t>
      </w:r>
      <w:r w:rsidR="00556BC0" w:rsidRPr="00FD211F">
        <w:rPr>
          <w:sz w:val="36"/>
          <w:szCs w:val="36"/>
          <w:rtl/>
        </w:rPr>
        <w:t>لافاد</w:t>
      </w:r>
      <w:r w:rsidR="00EC7EDF" w:rsidRPr="00FD211F">
        <w:rPr>
          <w:sz w:val="36"/>
          <w:szCs w:val="36"/>
          <w:rtl/>
        </w:rPr>
        <w:t xml:space="preserve">ة </w:t>
      </w:r>
      <w:r w:rsidR="00556BC0" w:rsidRPr="00FD211F">
        <w:rPr>
          <w:sz w:val="36"/>
          <w:szCs w:val="36"/>
          <w:rtl/>
        </w:rPr>
        <w:t>تضييق المعنى الاسمي للمضاف فماء الكوز حص</w:t>
      </w:r>
      <w:r w:rsidR="00EC7EDF" w:rsidRPr="00FD211F">
        <w:rPr>
          <w:sz w:val="36"/>
          <w:szCs w:val="36"/>
          <w:rtl/>
        </w:rPr>
        <w:t xml:space="preserve">ة </w:t>
      </w:r>
      <w:r w:rsidR="00556BC0" w:rsidRPr="00FD211F">
        <w:rPr>
          <w:sz w:val="36"/>
          <w:szCs w:val="36"/>
          <w:rtl/>
        </w:rPr>
        <w:t>خاص</w:t>
      </w:r>
      <w:r w:rsidR="00EC7EDF" w:rsidRPr="00FD211F">
        <w:rPr>
          <w:sz w:val="36"/>
          <w:szCs w:val="36"/>
          <w:rtl/>
        </w:rPr>
        <w:t xml:space="preserve">ة </w:t>
      </w:r>
      <w:r w:rsidR="00556BC0" w:rsidRPr="00FD211F">
        <w:rPr>
          <w:sz w:val="36"/>
          <w:szCs w:val="36"/>
          <w:rtl/>
        </w:rPr>
        <w:t>من الماء</w:t>
      </w:r>
      <w:r w:rsidR="00603323" w:rsidRPr="00FD211F">
        <w:rPr>
          <w:sz w:val="36"/>
          <w:szCs w:val="36"/>
          <w:rtl/>
        </w:rPr>
        <w:t xml:space="preserve">، </w:t>
      </w:r>
      <w:r w:rsidR="00556BC0" w:rsidRPr="00FD211F">
        <w:rPr>
          <w:sz w:val="36"/>
          <w:szCs w:val="36"/>
          <w:rtl/>
        </w:rPr>
        <w:t>واما حرف الجر فهو موضوع لإفاد</w:t>
      </w:r>
      <w:r w:rsidR="00EC7EDF" w:rsidRPr="00FD211F">
        <w:rPr>
          <w:sz w:val="36"/>
          <w:szCs w:val="36"/>
          <w:rtl/>
        </w:rPr>
        <w:t xml:space="preserve">ة </w:t>
      </w:r>
      <w:r w:rsidR="00556BC0" w:rsidRPr="00FD211F">
        <w:rPr>
          <w:sz w:val="36"/>
          <w:szCs w:val="36"/>
          <w:rtl/>
        </w:rPr>
        <w:t>نسب</w:t>
      </w:r>
      <w:r w:rsidR="00EC7EDF" w:rsidRPr="00FD211F">
        <w:rPr>
          <w:sz w:val="36"/>
          <w:szCs w:val="36"/>
          <w:rtl/>
        </w:rPr>
        <w:t xml:space="preserve">ة </w:t>
      </w:r>
      <w:r w:rsidR="00556BC0" w:rsidRPr="00FD211F">
        <w:rPr>
          <w:sz w:val="36"/>
          <w:szCs w:val="36"/>
          <w:rtl/>
        </w:rPr>
        <w:t>معين</w:t>
      </w:r>
      <w:r w:rsidR="00EC7EDF" w:rsidRPr="00FD211F">
        <w:rPr>
          <w:sz w:val="36"/>
          <w:szCs w:val="36"/>
          <w:rtl/>
        </w:rPr>
        <w:t xml:space="preserve">ة </w:t>
      </w:r>
      <w:r w:rsidR="00556BC0" w:rsidRPr="00FD211F">
        <w:rPr>
          <w:sz w:val="36"/>
          <w:szCs w:val="36"/>
          <w:rtl/>
        </w:rPr>
        <w:t>خارجي</w:t>
      </w:r>
      <w:r w:rsidR="00EC7EDF" w:rsidRPr="00FD211F">
        <w:rPr>
          <w:sz w:val="36"/>
          <w:szCs w:val="36"/>
          <w:rtl/>
        </w:rPr>
        <w:t xml:space="preserve">ة </w:t>
      </w:r>
      <w:r w:rsidR="00556BC0" w:rsidRPr="00FD211F">
        <w:rPr>
          <w:sz w:val="36"/>
          <w:szCs w:val="36"/>
          <w:rtl/>
        </w:rPr>
        <w:t xml:space="preserve">بين طرفيها كقولنا </w:t>
      </w:r>
      <w:r w:rsidR="00A26285" w:rsidRPr="00FD211F">
        <w:rPr>
          <w:sz w:val="36"/>
          <w:szCs w:val="36"/>
          <w:rtl/>
        </w:rPr>
        <w:t>"</w:t>
      </w:r>
      <w:r w:rsidR="00556BC0" w:rsidRPr="00FD211F">
        <w:rPr>
          <w:sz w:val="36"/>
          <w:szCs w:val="36"/>
          <w:rtl/>
        </w:rPr>
        <w:t>زيد كالأسد</w:t>
      </w:r>
      <w:r w:rsidR="00A26285" w:rsidRPr="00FD211F">
        <w:rPr>
          <w:sz w:val="36"/>
          <w:szCs w:val="36"/>
          <w:rtl/>
        </w:rPr>
        <w:t>"</w:t>
      </w:r>
      <w:r w:rsidR="00556BC0" w:rsidRPr="00FD211F">
        <w:rPr>
          <w:sz w:val="36"/>
          <w:szCs w:val="36"/>
          <w:rtl/>
        </w:rPr>
        <w:t>.</w:t>
      </w:r>
    </w:p>
    <w:p w14:paraId="665FF4C8" w14:textId="77777777" w:rsidR="003B5A95" w:rsidRPr="00FD211F" w:rsidRDefault="00556BC0" w:rsidP="009C58C8">
      <w:pPr>
        <w:ind w:left="0" w:firstLine="227"/>
        <w:jc w:val="both"/>
        <w:rPr>
          <w:sz w:val="36"/>
          <w:szCs w:val="36"/>
          <w:rtl/>
        </w:rPr>
      </w:pPr>
      <w:r w:rsidRPr="00FD211F">
        <w:rPr>
          <w:sz w:val="36"/>
          <w:szCs w:val="36"/>
          <w:rtl/>
        </w:rPr>
        <w:t>واورد عليه في البحوث ان تضييق مفهوم بمفهوم آخر لايحصل الا في طول تحقق نسب</w:t>
      </w:r>
      <w:r w:rsidR="00EC7EDF" w:rsidRPr="00FD211F">
        <w:rPr>
          <w:sz w:val="36"/>
          <w:szCs w:val="36"/>
          <w:rtl/>
        </w:rPr>
        <w:t xml:space="preserve">ة </w:t>
      </w:r>
      <w:r w:rsidRPr="00FD211F">
        <w:rPr>
          <w:sz w:val="36"/>
          <w:szCs w:val="36"/>
          <w:rtl/>
        </w:rPr>
        <w:t>بينهما</w:t>
      </w:r>
      <w:r w:rsidR="00603323" w:rsidRPr="00FD211F">
        <w:rPr>
          <w:sz w:val="36"/>
          <w:szCs w:val="36"/>
          <w:rtl/>
        </w:rPr>
        <w:t xml:space="preserve">، </w:t>
      </w:r>
      <w:r w:rsidRPr="00FD211F">
        <w:rPr>
          <w:sz w:val="36"/>
          <w:szCs w:val="36"/>
          <w:rtl/>
        </w:rPr>
        <w:t>فان التزم بدلال</w:t>
      </w:r>
      <w:r w:rsidR="00EC7EDF" w:rsidRPr="00FD211F">
        <w:rPr>
          <w:sz w:val="36"/>
          <w:szCs w:val="36"/>
          <w:rtl/>
        </w:rPr>
        <w:t xml:space="preserve">ة </w:t>
      </w:r>
      <w:r w:rsidRPr="00FD211F">
        <w:rPr>
          <w:sz w:val="36"/>
          <w:szCs w:val="36"/>
          <w:rtl/>
        </w:rPr>
        <w:t>الإضاف</w:t>
      </w:r>
      <w:r w:rsidR="00EC7EDF" w:rsidRPr="00FD211F">
        <w:rPr>
          <w:sz w:val="36"/>
          <w:szCs w:val="36"/>
          <w:rtl/>
        </w:rPr>
        <w:t xml:space="preserve">ة </w:t>
      </w:r>
      <w:r w:rsidRPr="00FD211F">
        <w:rPr>
          <w:sz w:val="36"/>
          <w:szCs w:val="36"/>
          <w:rtl/>
        </w:rPr>
        <w:t>على نسب</w:t>
      </w:r>
      <w:r w:rsidR="00EC7EDF" w:rsidRPr="00FD211F">
        <w:rPr>
          <w:sz w:val="36"/>
          <w:szCs w:val="36"/>
          <w:rtl/>
        </w:rPr>
        <w:t xml:space="preserve">ة </w:t>
      </w:r>
      <w:r w:rsidRPr="00FD211F">
        <w:rPr>
          <w:sz w:val="36"/>
          <w:szCs w:val="36"/>
          <w:rtl/>
        </w:rPr>
        <w:t>ولو بان تدل على اصل النسب</w:t>
      </w:r>
      <w:r w:rsidR="00EC7EDF" w:rsidRPr="00FD211F">
        <w:rPr>
          <w:sz w:val="36"/>
          <w:szCs w:val="36"/>
          <w:rtl/>
        </w:rPr>
        <w:t xml:space="preserve">ة </w:t>
      </w:r>
      <w:r w:rsidRPr="00FD211F">
        <w:rPr>
          <w:sz w:val="36"/>
          <w:szCs w:val="36"/>
          <w:rtl/>
        </w:rPr>
        <w:t>دون نوعيتها فيرد عليه اننا نرى عدم صح</w:t>
      </w:r>
      <w:r w:rsidR="00EC7EDF" w:rsidRPr="00FD211F">
        <w:rPr>
          <w:sz w:val="36"/>
          <w:szCs w:val="36"/>
          <w:rtl/>
        </w:rPr>
        <w:t xml:space="preserve">ة </w:t>
      </w:r>
      <w:r w:rsidRPr="00FD211F">
        <w:rPr>
          <w:sz w:val="36"/>
          <w:szCs w:val="36"/>
          <w:rtl/>
        </w:rPr>
        <w:t>الإضاف</w:t>
      </w:r>
      <w:r w:rsidR="00EC7EDF" w:rsidRPr="00FD211F">
        <w:rPr>
          <w:sz w:val="36"/>
          <w:szCs w:val="36"/>
          <w:rtl/>
        </w:rPr>
        <w:t xml:space="preserve">ة </w:t>
      </w:r>
      <w:r w:rsidRPr="00FD211F">
        <w:rPr>
          <w:sz w:val="36"/>
          <w:szCs w:val="36"/>
          <w:rtl/>
        </w:rPr>
        <w:t>في</w:t>
      </w:r>
      <w:r w:rsidR="00A26285" w:rsidRPr="00FD211F">
        <w:rPr>
          <w:sz w:val="36"/>
          <w:szCs w:val="36"/>
          <w:rtl/>
        </w:rPr>
        <w:t>"</w:t>
      </w:r>
      <w:r w:rsidRPr="00FD211F">
        <w:rPr>
          <w:sz w:val="36"/>
          <w:szCs w:val="36"/>
          <w:rtl/>
        </w:rPr>
        <w:t>زيد قائم في الدار</w:t>
      </w:r>
      <w:r w:rsidR="00A26285" w:rsidRPr="00FD211F">
        <w:rPr>
          <w:sz w:val="36"/>
          <w:szCs w:val="36"/>
          <w:rtl/>
        </w:rPr>
        <w:t>"</w:t>
      </w:r>
      <w:r w:rsidRPr="00FD211F">
        <w:rPr>
          <w:sz w:val="36"/>
          <w:szCs w:val="36"/>
          <w:rtl/>
        </w:rPr>
        <w:t xml:space="preserve"> مع صحتها في الماء في الكوز مع اشتراكهما في ثبوت نسب</w:t>
      </w:r>
      <w:r w:rsidR="00EC7EDF" w:rsidRPr="00FD211F">
        <w:rPr>
          <w:sz w:val="36"/>
          <w:szCs w:val="36"/>
          <w:rtl/>
        </w:rPr>
        <w:t xml:space="preserve">ة </w:t>
      </w:r>
      <w:r w:rsidRPr="00FD211F">
        <w:rPr>
          <w:sz w:val="36"/>
          <w:szCs w:val="36"/>
          <w:rtl/>
        </w:rPr>
        <w:t>خارجي</w:t>
      </w:r>
      <w:r w:rsidR="00EC7EDF" w:rsidRPr="00FD211F">
        <w:rPr>
          <w:sz w:val="36"/>
          <w:szCs w:val="36"/>
          <w:rtl/>
        </w:rPr>
        <w:t xml:space="preserve">ة </w:t>
      </w:r>
      <w:r w:rsidRPr="00FD211F">
        <w:rPr>
          <w:sz w:val="36"/>
          <w:szCs w:val="36"/>
          <w:rtl/>
        </w:rPr>
        <w:t>بين الطرفين</w:t>
      </w:r>
      <w:r w:rsidR="009C58C8" w:rsidRPr="00FD211F">
        <w:rPr>
          <w:rStyle w:val="a6"/>
          <w:sz w:val="36"/>
          <w:szCs w:val="36"/>
          <w:rtl/>
        </w:rPr>
        <w:t>(</w:t>
      </w:r>
      <w:r w:rsidR="009C58C8" w:rsidRPr="00FD211F">
        <w:rPr>
          <w:rStyle w:val="a6"/>
          <w:sz w:val="36"/>
          <w:szCs w:val="36"/>
          <w:rtl/>
        </w:rPr>
        <w:footnoteReference w:id="184"/>
      </w:r>
      <w:r w:rsidR="009C58C8" w:rsidRPr="00FD211F">
        <w:rPr>
          <w:rStyle w:val="a6"/>
          <w:sz w:val="36"/>
          <w:szCs w:val="36"/>
          <w:rtl/>
        </w:rPr>
        <w:t>)</w:t>
      </w:r>
      <w:r w:rsidRPr="00FD211F">
        <w:rPr>
          <w:sz w:val="36"/>
          <w:szCs w:val="36"/>
          <w:rtl/>
        </w:rPr>
        <w:t>.</w:t>
      </w:r>
    </w:p>
    <w:p w14:paraId="0A3E985E" w14:textId="77777777" w:rsidR="000C5BBA" w:rsidRPr="00FD211F" w:rsidRDefault="003B5A95" w:rsidP="009C58C8">
      <w:pPr>
        <w:ind w:left="0" w:firstLine="227"/>
        <w:jc w:val="both"/>
        <w:rPr>
          <w:sz w:val="36"/>
          <w:szCs w:val="36"/>
          <w:rtl/>
        </w:rPr>
      </w:pPr>
      <w:r w:rsidRPr="00FD211F">
        <w:rPr>
          <w:sz w:val="36"/>
          <w:szCs w:val="36"/>
          <w:rtl/>
        </w:rPr>
        <w:t>اقول</w:t>
      </w:r>
      <w:r w:rsidR="00EC7EDF" w:rsidRPr="00FD211F">
        <w:rPr>
          <w:sz w:val="36"/>
          <w:szCs w:val="36"/>
          <w:rtl/>
        </w:rPr>
        <w:t>:</w:t>
      </w:r>
      <w:r w:rsidR="002F684B" w:rsidRPr="00FD211F">
        <w:rPr>
          <w:sz w:val="36"/>
          <w:szCs w:val="36"/>
          <w:rtl/>
        </w:rPr>
        <w:t>الظاهر</w:t>
      </w:r>
      <w:r w:rsidR="00B253CE" w:rsidRPr="00FD211F">
        <w:rPr>
          <w:sz w:val="36"/>
          <w:szCs w:val="36"/>
          <w:rtl/>
        </w:rPr>
        <w:t xml:space="preserve"> </w:t>
      </w:r>
      <w:r w:rsidR="002F684B" w:rsidRPr="00FD211F">
        <w:rPr>
          <w:sz w:val="36"/>
          <w:szCs w:val="36"/>
          <w:rtl/>
        </w:rPr>
        <w:t>تمامي</w:t>
      </w:r>
      <w:r w:rsidR="00EC7EDF" w:rsidRPr="00FD211F">
        <w:rPr>
          <w:sz w:val="36"/>
          <w:szCs w:val="36"/>
          <w:rtl/>
        </w:rPr>
        <w:t xml:space="preserve">ة </w:t>
      </w:r>
      <w:r w:rsidR="002F684B" w:rsidRPr="00FD211F">
        <w:rPr>
          <w:sz w:val="36"/>
          <w:szCs w:val="36"/>
          <w:rtl/>
        </w:rPr>
        <w:t>هذاالوجه</w:t>
      </w:r>
      <w:r w:rsidR="00B253CE" w:rsidRPr="00FD211F">
        <w:rPr>
          <w:sz w:val="36"/>
          <w:szCs w:val="36"/>
          <w:rtl/>
        </w:rPr>
        <w:t xml:space="preserve"> </w:t>
      </w:r>
      <w:r w:rsidR="002F684B" w:rsidRPr="00FD211F">
        <w:rPr>
          <w:sz w:val="36"/>
          <w:szCs w:val="36"/>
          <w:rtl/>
        </w:rPr>
        <w:t>للفرق بين الاضاف</w:t>
      </w:r>
      <w:r w:rsidR="00EC7EDF" w:rsidRPr="00FD211F">
        <w:rPr>
          <w:sz w:val="36"/>
          <w:szCs w:val="36"/>
          <w:rtl/>
        </w:rPr>
        <w:t xml:space="preserve">ة </w:t>
      </w:r>
      <w:r w:rsidR="002F684B" w:rsidRPr="00FD211F">
        <w:rPr>
          <w:sz w:val="36"/>
          <w:szCs w:val="36"/>
          <w:rtl/>
        </w:rPr>
        <w:t>وحرف الجرّ</w:t>
      </w:r>
      <w:r w:rsidR="00603323" w:rsidRPr="00FD211F">
        <w:rPr>
          <w:sz w:val="36"/>
          <w:szCs w:val="36"/>
          <w:rtl/>
        </w:rPr>
        <w:t xml:space="preserve">، </w:t>
      </w:r>
      <w:r w:rsidR="002F684B" w:rsidRPr="00FD211F">
        <w:rPr>
          <w:sz w:val="36"/>
          <w:szCs w:val="36"/>
          <w:rtl/>
        </w:rPr>
        <w:t>ولكن بتعديل يسير</w:t>
      </w:r>
      <w:r w:rsidR="00603323" w:rsidRPr="00FD211F">
        <w:rPr>
          <w:sz w:val="36"/>
          <w:szCs w:val="36"/>
          <w:rtl/>
        </w:rPr>
        <w:t xml:space="preserve">، </w:t>
      </w:r>
      <w:r w:rsidR="002F684B" w:rsidRPr="00FD211F">
        <w:rPr>
          <w:sz w:val="36"/>
          <w:szCs w:val="36"/>
          <w:rtl/>
        </w:rPr>
        <w:t>وهو</w:t>
      </w:r>
      <w:r w:rsidR="00B253CE" w:rsidRPr="00FD211F">
        <w:rPr>
          <w:sz w:val="36"/>
          <w:szCs w:val="36"/>
          <w:rtl/>
        </w:rPr>
        <w:t xml:space="preserve"> </w:t>
      </w:r>
      <w:r w:rsidR="00F71BE0" w:rsidRPr="00FD211F">
        <w:rPr>
          <w:sz w:val="36"/>
          <w:szCs w:val="36"/>
          <w:rtl/>
        </w:rPr>
        <w:t>ان حروف الجر تدل على النسب الخاص</w:t>
      </w:r>
      <w:r w:rsidR="00EC7EDF" w:rsidRPr="00FD211F">
        <w:rPr>
          <w:sz w:val="36"/>
          <w:szCs w:val="36"/>
          <w:rtl/>
        </w:rPr>
        <w:t>ة</w:t>
      </w:r>
      <w:r w:rsidR="00603323" w:rsidRPr="00FD211F">
        <w:rPr>
          <w:sz w:val="36"/>
          <w:szCs w:val="36"/>
          <w:rtl/>
        </w:rPr>
        <w:t xml:space="preserve">، </w:t>
      </w:r>
      <w:r w:rsidR="00F71BE0" w:rsidRPr="00FD211F">
        <w:rPr>
          <w:sz w:val="36"/>
          <w:szCs w:val="36"/>
          <w:rtl/>
        </w:rPr>
        <w:t xml:space="preserve">بينماأن </w:t>
      </w:r>
      <w:r w:rsidR="002F684B" w:rsidRPr="00FD211F">
        <w:rPr>
          <w:sz w:val="36"/>
          <w:szCs w:val="36"/>
          <w:rtl/>
        </w:rPr>
        <w:t>الإضاف</w:t>
      </w:r>
      <w:r w:rsidR="00EC7EDF" w:rsidRPr="00FD211F">
        <w:rPr>
          <w:sz w:val="36"/>
          <w:szCs w:val="36"/>
          <w:rtl/>
        </w:rPr>
        <w:t xml:space="preserve">ة </w:t>
      </w:r>
      <w:r w:rsidR="0099565C" w:rsidRPr="00FD211F">
        <w:rPr>
          <w:sz w:val="36"/>
          <w:szCs w:val="36"/>
          <w:rtl/>
        </w:rPr>
        <w:t>تفيد</w:t>
      </w:r>
      <w:r w:rsidR="002F684B" w:rsidRPr="00FD211F">
        <w:rPr>
          <w:sz w:val="36"/>
          <w:szCs w:val="36"/>
          <w:rtl/>
        </w:rPr>
        <w:t xml:space="preserve">أصل الربط بين المضاف والمضاف اليه </w:t>
      </w:r>
      <w:r w:rsidR="0099565C" w:rsidRPr="00FD211F">
        <w:rPr>
          <w:sz w:val="36"/>
          <w:szCs w:val="36"/>
          <w:rtl/>
        </w:rPr>
        <w:t xml:space="preserve">وفي طول </w:t>
      </w:r>
      <w:r w:rsidR="00F71BE0" w:rsidRPr="00FD211F">
        <w:rPr>
          <w:sz w:val="36"/>
          <w:szCs w:val="36"/>
          <w:rtl/>
        </w:rPr>
        <w:t>افاد</w:t>
      </w:r>
      <w:r w:rsidR="00EC7EDF" w:rsidRPr="00FD211F">
        <w:rPr>
          <w:sz w:val="36"/>
          <w:szCs w:val="36"/>
          <w:rtl/>
        </w:rPr>
        <w:t xml:space="preserve">ة </w:t>
      </w:r>
      <w:r w:rsidR="00F71BE0" w:rsidRPr="00FD211F">
        <w:rPr>
          <w:sz w:val="36"/>
          <w:szCs w:val="36"/>
          <w:rtl/>
        </w:rPr>
        <w:t>الربط يحصل التضييق للمضاف</w:t>
      </w:r>
      <w:r w:rsidR="00603323" w:rsidRPr="00FD211F">
        <w:rPr>
          <w:sz w:val="36"/>
          <w:szCs w:val="36"/>
          <w:rtl/>
        </w:rPr>
        <w:t xml:space="preserve">، </w:t>
      </w:r>
      <w:r w:rsidR="00F71BE0" w:rsidRPr="00FD211F">
        <w:rPr>
          <w:sz w:val="36"/>
          <w:szCs w:val="36"/>
          <w:rtl/>
        </w:rPr>
        <w:t>وتكون استفاد</w:t>
      </w:r>
      <w:r w:rsidR="00EC7EDF" w:rsidRPr="00FD211F">
        <w:rPr>
          <w:sz w:val="36"/>
          <w:szCs w:val="36"/>
          <w:rtl/>
        </w:rPr>
        <w:t xml:space="preserve">ة </w:t>
      </w:r>
      <w:r w:rsidR="00F71BE0" w:rsidRPr="00FD211F">
        <w:rPr>
          <w:sz w:val="36"/>
          <w:szCs w:val="36"/>
          <w:rtl/>
        </w:rPr>
        <w:t>خصوصيات الربط من سائر القرائن</w:t>
      </w:r>
      <w:r w:rsidR="00603323" w:rsidRPr="00FD211F">
        <w:rPr>
          <w:sz w:val="36"/>
          <w:szCs w:val="36"/>
          <w:rtl/>
        </w:rPr>
        <w:t xml:space="preserve">، </w:t>
      </w:r>
      <w:r w:rsidR="00F71BE0" w:rsidRPr="00FD211F">
        <w:rPr>
          <w:sz w:val="36"/>
          <w:szCs w:val="36"/>
          <w:rtl/>
        </w:rPr>
        <w:t>فالمستفاد من اضاف</w:t>
      </w:r>
      <w:r w:rsidR="00EC7EDF" w:rsidRPr="00FD211F">
        <w:rPr>
          <w:sz w:val="36"/>
          <w:szCs w:val="36"/>
          <w:rtl/>
        </w:rPr>
        <w:t xml:space="preserve">ة </w:t>
      </w:r>
      <w:r w:rsidR="00F71BE0" w:rsidRPr="00FD211F">
        <w:rPr>
          <w:sz w:val="36"/>
          <w:szCs w:val="36"/>
          <w:rtl/>
        </w:rPr>
        <w:t xml:space="preserve">الفعل </w:t>
      </w:r>
      <w:r w:rsidR="00A211AD" w:rsidRPr="00FD211F">
        <w:rPr>
          <w:sz w:val="36"/>
          <w:szCs w:val="36"/>
          <w:rtl/>
        </w:rPr>
        <w:t>الى فاعله واضاف</w:t>
      </w:r>
      <w:r w:rsidR="00EC7EDF" w:rsidRPr="00FD211F">
        <w:rPr>
          <w:sz w:val="36"/>
          <w:szCs w:val="36"/>
          <w:rtl/>
        </w:rPr>
        <w:t xml:space="preserve">ة </w:t>
      </w:r>
      <w:r w:rsidR="00A211AD" w:rsidRPr="00FD211F">
        <w:rPr>
          <w:sz w:val="36"/>
          <w:szCs w:val="36"/>
          <w:rtl/>
        </w:rPr>
        <w:t>الفعل الى مفعوله</w:t>
      </w:r>
      <w:r w:rsidR="00FA7964" w:rsidRPr="00FD211F">
        <w:rPr>
          <w:sz w:val="36"/>
          <w:szCs w:val="36"/>
          <w:rtl/>
        </w:rPr>
        <w:t xml:space="preserve"> شيء</w:t>
      </w:r>
      <w:r w:rsidR="00A211AD" w:rsidRPr="00FD211F">
        <w:rPr>
          <w:sz w:val="36"/>
          <w:szCs w:val="36"/>
          <w:rtl/>
        </w:rPr>
        <w:t>واحد</w:t>
      </w:r>
      <w:r w:rsidR="00603323" w:rsidRPr="00FD211F">
        <w:rPr>
          <w:sz w:val="36"/>
          <w:szCs w:val="36"/>
          <w:rtl/>
        </w:rPr>
        <w:t xml:space="preserve">، </w:t>
      </w:r>
      <w:r w:rsidR="00A211AD" w:rsidRPr="00FD211F">
        <w:rPr>
          <w:sz w:val="36"/>
          <w:szCs w:val="36"/>
          <w:rtl/>
        </w:rPr>
        <w:t>وهو الربط وان كان الظاهر عند عدم القرين</w:t>
      </w:r>
      <w:r w:rsidR="00EC7EDF" w:rsidRPr="00FD211F">
        <w:rPr>
          <w:sz w:val="36"/>
          <w:szCs w:val="36"/>
          <w:rtl/>
        </w:rPr>
        <w:t xml:space="preserve">ة </w:t>
      </w:r>
      <w:r w:rsidR="00A211AD" w:rsidRPr="00FD211F">
        <w:rPr>
          <w:sz w:val="36"/>
          <w:szCs w:val="36"/>
          <w:rtl/>
        </w:rPr>
        <w:t>هوالاضاف</w:t>
      </w:r>
      <w:r w:rsidR="00EC7EDF" w:rsidRPr="00FD211F">
        <w:rPr>
          <w:sz w:val="36"/>
          <w:szCs w:val="36"/>
          <w:rtl/>
        </w:rPr>
        <w:t xml:space="preserve">ة </w:t>
      </w:r>
      <w:r w:rsidR="00A211AD" w:rsidRPr="00FD211F">
        <w:rPr>
          <w:sz w:val="36"/>
          <w:szCs w:val="36"/>
          <w:rtl/>
        </w:rPr>
        <w:t>الى الفاعل</w:t>
      </w:r>
      <w:r w:rsidR="00603323" w:rsidRPr="00FD211F">
        <w:rPr>
          <w:sz w:val="36"/>
          <w:szCs w:val="36"/>
          <w:rtl/>
        </w:rPr>
        <w:t xml:space="preserve">، </w:t>
      </w:r>
      <w:r w:rsidR="00A211AD" w:rsidRPr="00FD211F">
        <w:rPr>
          <w:sz w:val="36"/>
          <w:szCs w:val="36"/>
          <w:rtl/>
        </w:rPr>
        <w:t>لكنه ليس مدلول جمل</w:t>
      </w:r>
      <w:r w:rsidR="00EC7EDF" w:rsidRPr="00FD211F">
        <w:rPr>
          <w:sz w:val="36"/>
          <w:szCs w:val="36"/>
          <w:rtl/>
        </w:rPr>
        <w:t xml:space="preserve">ة </w:t>
      </w:r>
      <w:r w:rsidR="00A211AD" w:rsidRPr="00FD211F">
        <w:rPr>
          <w:sz w:val="36"/>
          <w:szCs w:val="36"/>
          <w:rtl/>
        </w:rPr>
        <w:t>الاضاف</w:t>
      </w:r>
      <w:r w:rsidR="00EC7EDF" w:rsidRPr="00FD211F">
        <w:rPr>
          <w:sz w:val="36"/>
          <w:szCs w:val="36"/>
          <w:rtl/>
        </w:rPr>
        <w:t xml:space="preserve">ة </w:t>
      </w:r>
      <w:r w:rsidR="0052345A" w:rsidRPr="00FD211F">
        <w:rPr>
          <w:sz w:val="36"/>
          <w:szCs w:val="36"/>
          <w:rtl/>
        </w:rPr>
        <w:t>وانماهو مستفاد من الدالّ الآخر وهوالسكوت عن القرين</w:t>
      </w:r>
      <w:r w:rsidR="00EC7EDF" w:rsidRPr="00FD211F">
        <w:rPr>
          <w:sz w:val="36"/>
          <w:szCs w:val="36"/>
          <w:rtl/>
        </w:rPr>
        <w:t>ة</w:t>
      </w:r>
      <w:r w:rsidR="00A61BAE" w:rsidRPr="00FD211F">
        <w:rPr>
          <w:sz w:val="36"/>
          <w:szCs w:val="36"/>
          <w:rtl/>
        </w:rPr>
        <w:t>.</w:t>
      </w:r>
      <w:r w:rsidR="00A211AD" w:rsidRPr="00FD211F">
        <w:rPr>
          <w:sz w:val="36"/>
          <w:szCs w:val="36"/>
          <w:rtl/>
        </w:rPr>
        <w:t xml:space="preserve"> </w:t>
      </w:r>
    </w:p>
    <w:p w14:paraId="1E67FD5B" w14:textId="77777777" w:rsidR="007507EB" w:rsidRPr="00FD211F" w:rsidRDefault="007507EB" w:rsidP="009C58C8">
      <w:pPr>
        <w:ind w:left="0" w:firstLine="227"/>
        <w:jc w:val="both"/>
        <w:rPr>
          <w:sz w:val="36"/>
          <w:szCs w:val="36"/>
          <w:rtl/>
        </w:rPr>
      </w:pPr>
      <w:r w:rsidRPr="00FD211F">
        <w:rPr>
          <w:sz w:val="36"/>
          <w:szCs w:val="36"/>
          <w:rtl/>
        </w:rPr>
        <w:t>واماعدم الإضاف</w:t>
      </w:r>
      <w:r w:rsidR="00EC7EDF" w:rsidRPr="00FD211F">
        <w:rPr>
          <w:sz w:val="36"/>
          <w:szCs w:val="36"/>
          <w:rtl/>
        </w:rPr>
        <w:t xml:space="preserve">ة </w:t>
      </w:r>
      <w:r w:rsidRPr="00FD211F">
        <w:rPr>
          <w:sz w:val="36"/>
          <w:szCs w:val="36"/>
          <w:rtl/>
        </w:rPr>
        <w:t xml:space="preserve">في قولنا" زيد قائم في الدار" فالظاهرانه </w:t>
      </w:r>
      <w:r w:rsidR="005010FA" w:rsidRPr="00FD211F">
        <w:rPr>
          <w:sz w:val="36"/>
          <w:szCs w:val="36"/>
          <w:rtl/>
        </w:rPr>
        <w:t>ليس الا</w:t>
      </w:r>
      <w:r w:rsidR="00234148" w:rsidRPr="00FD211F">
        <w:rPr>
          <w:sz w:val="36"/>
          <w:szCs w:val="36"/>
          <w:rtl/>
        </w:rPr>
        <w:t>لاجل عدم تعارف</w:t>
      </w:r>
      <w:r w:rsidR="00BC2D91" w:rsidRPr="00FD211F">
        <w:rPr>
          <w:sz w:val="36"/>
          <w:szCs w:val="36"/>
          <w:rtl/>
        </w:rPr>
        <w:t>ها ومعهوديتها</w:t>
      </w:r>
      <w:r w:rsidR="00603323" w:rsidRPr="00FD211F">
        <w:rPr>
          <w:sz w:val="36"/>
          <w:szCs w:val="36"/>
          <w:rtl/>
        </w:rPr>
        <w:t xml:space="preserve">، </w:t>
      </w:r>
      <w:r w:rsidRPr="00FD211F">
        <w:rPr>
          <w:sz w:val="36"/>
          <w:szCs w:val="36"/>
          <w:rtl/>
        </w:rPr>
        <w:t>والا</w:t>
      </w:r>
      <w:r w:rsidR="00556693" w:rsidRPr="00FD211F">
        <w:rPr>
          <w:sz w:val="36"/>
          <w:szCs w:val="36"/>
          <w:rtl/>
        </w:rPr>
        <w:t xml:space="preserve"> </w:t>
      </w:r>
      <w:r w:rsidRPr="00FD211F">
        <w:rPr>
          <w:sz w:val="36"/>
          <w:szCs w:val="36"/>
          <w:rtl/>
        </w:rPr>
        <w:t xml:space="preserve">فأيّ فرق بينه وبين </w:t>
      </w:r>
      <w:r w:rsidR="00234148" w:rsidRPr="00FD211F">
        <w:rPr>
          <w:sz w:val="36"/>
          <w:szCs w:val="36"/>
          <w:rtl/>
        </w:rPr>
        <w:t xml:space="preserve">مثال </w:t>
      </w:r>
      <w:r w:rsidRPr="00FD211F">
        <w:rPr>
          <w:sz w:val="36"/>
          <w:szCs w:val="36"/>
          <w:rtl/>
        </w:rPr>
        <w:t>"زيد جالس السفين</w:t>
      </w:r>
      <w:r w:rsidR="00EC7EDF" w:rsidRPr="00FD211F">
        <w:rPr>
          <w:sz w:val="36"/>
          <w:szCs w:val="36"/>
          <w:rtl/>
        </w:rPr>
        <w:t xml:space="preserve">ة </w:t>
      </w:r>
      <w:r w:rsidRPr="00FD211F">
        <w:rPr>
          <w:sz w:val="36"/>
          <w:szCs w:val="36"/>
          <w:rtl/>
        </w:rPr>
        <w:t>"</w:t>
      </w:r>
      <w:r w:rsidR="00603323" w:rsidRPr="00FD211F">
        <w:rPr>
          <w:sz w:val="36"/>
          <w:szCs w:val="36"/>
          <w:rtl/>
        </w:rPr>
        <w:t xml:space="preserve">، </w:t>
      </w:r>
      <w:r w:rsidRPr="00FD211F">
        <w:rPr>
          <w:sz w:val="36"/>
          <w:szCs w:val="36"/>
          <w:rtl/>
        </w:rPr>
        <w:t>ولعل وجه عدم</w:t>
      </w:r>
      <w:r w:rsidR="00BC2D91" w:rsidRPr="00FD211F">
        <w:rPr>
          <w:sz w:val="36"/>
          <w:szCs w:val="36"/>
          <w:rtl/>
        </w:rPr>
        <w:t xml:space="preserve"> تعارفها</w:t>
      </w:r>
      <w:r w:rsidRPr="00FD211F">
        <w:rPr>
          <w:sz w:val="36"/>
          <w:szCs w:val="36"/>
          <w:rtl/>
        </w:rPr>
        <w:t xml:space="preserve"> </w:t>
      </w:r>
      <w:r w:rsidR="00BC2D91" w:rsidRPr="00FD211F">
        <w:rPr>
          <w:sz w:val="36"/>
          <w:szCs w:val="36"/>
          <w:rtl/>
        </w:rPr>
        <w:t>أ</w:t>
      </w:r>
      <w:r w:rsidRPr="00FD211F">
        <w:rPr>
          <w:sz w:val="36"/>
          <w:szCs w:val="36"/>
          <w:rtl/>
        </w:rPr>
        <w:t>ن</w:t>
      </w:r>
      <w:r w:rsidR="005010FA" w:rsidRPr="00FD211F">
        <w:rPr>
          <w:sz w:val="36"/>
          <w:szCs w:val="36"/>
          <w:rtl/>
        </w:rPr>
        <w:t>ه</w:t>
      </w:r>
      <w:r w:rsidRPr="00FD211F">
        <w:rPr>
          <w:sz w:val="36"/>
          <w:szCs w:val="36"/>
          <w:rtl/>
        </w:rPr>
        <w:t xml:space="preserve"> </w:t>
      </w:r>
      <w:r w:rsidR="00BC2D91" w:rsidRPr="00FD211F">
        <w:rPr>
          <w:sz w:val="36"/>
          <w:szCs w:val="36"/>
          <w:rtl/>
        </w:rPr>
        <w:t>اذا قيل "زيد</w:t>
      </w:r>
      <w:r w:rsidRPr="00FD211F">
        <w:rPr>
          <w:sz w:val="36"/>
          <w:szCs w:val="36"/>
          <w:rtl/>
        </w:rPr>
        <w:t xml:space="preserve"> قائم الدار</w:t>
      </w:r>
      <w:r w:rsidR="00BC2D91" w:rsidRPr="00FD211F">
        <w:rPr>
          <w:sz w:val="36"/>
          <w:szCs w:val="36"/>
          <w:rtl/>
        </w:rPr>
        <w:t xml:space="preserve">"اشتبه </w:t>
      </w:r>
      <w:r w:rsidRPr="00FD211F">
        <w:rPr>
          <w:sz w:val="36"/>
          <w:szCs w:val="36"/>
          <w:rtl/>
        </w:rPr>
        <w:t>بالوصف بحال المتعلق</w:t>
      </w:r>
      <w:r w:rsidR="00BC2D91" w:rsidRPr="00FD211F">
        <w:rPr>
          <w:sz w:val="36"/>
          <w:szCs w:val="36"/>
          <w:rtl/>
        </w:rPr>
        <w:t xml:space="preserve"> كقولنا</w:t>
      </w:r>
      <w:r w:rsidR="00B253CE" w:rsidRPr="00FD211F">
        <w:rPr>
          <w:sz w:val="36"/>
          <w:szCs w:val="36"/>
          <w:rtl/>
        </w:rPr>
        <w:t xml:space="preserve"> </w:t>
      </w:r>
      <w:r w:rsidRPr="00FD211F">
        <w:rPr>
          <w:sz w:val="36"/>
          <w:szCs w:val="36"/>
          <w:rtl/>
        </w:rPr>
        <w:t>" زيد قائم الأب"</w:t>
      </w:r>
      <w:r w:rsidR="00BC2D91" w:rsidRPr="00FD211F">
        <w:rPr>
          <w:sz w:val="36"/>
          <w:szCs w:val="36"/>
          <w:rtl/>
        </w:rPr>
        <w:t>اوأن وجهه أن الاضاف</w:t>
      </w:r>
      <w:r w:rsidR="00EC7EDF" w:rsidRPr="00FD211F">
        <w:rPr>
          <w:sz w:val="36"/>
          <w:szCs w:val="36"/>
          <w:rtl/>
        </w:rPr>
        <w:t xml:space="preserve">ة </w:t>
      </w:r>
      <w:r w:rsidR="00BC2D91" w:rsidRPr="00FD211F">
        <w:rPr>
          <w:sz w:val="36"/>
          <w:szCs w:val="36"/>
          <w:rtl/>
        </w:rPr>
        <w:t>لاتدل الاع</w:t>
      </w:r>
      <w:r w:rsidR="003C2864" w:rsidRPr="00FD211F">
        <w:rPr>
          <w:sz w:val="36"/>
          <w:szCs w:val="36"/>
          <w:rtl/>
        </w:rPr>
        <w:t xml:space="preserve">لى اصل الربط فلاتفي بالمقصود في المثال من </w:t>
      </w:r>
      <w:r w:rsidR="00BC2D91" w:rsidRPr="00FD211F">
        <w:rPr>
          <w:sz w:val="36"/>
          <w:szCs w:val="36"/>
          <w:rtl/>
        </w:rPr>
        <w:t>افاد</w:t>
      </w:r>
      <w:r w:rsidR="00EC7EDF" w:rsidRPr="00FD211F">
        <w:rPr>
          <w:sz w:val="36"/>
          <w:szCs w:val="36"/>
          <w:rtl/>
        </w:rPr>
        <w:t xml:space="preserve">ة </w:t>
      </w:r>
      <w:r w:rsidR="003C2864" w:rsidRPr="00FD211F">
        <w:rPr>
          <w:sz w:val="36"/>
          <w:szCs w:val="36"/>
          <w:rtl/>
        </w:rPr>
        <w:t>النسب</w:t>
      </w:r>
      <w:r w:rsidR="00EC7EDF" w:rsidRPr="00FD211F">
        <w:rPr>
          <w:sz w:val="36"/>
          <w:szCs w:val="36"/>
          <w:rtl/>
        </w:rPr>
        <w:t xml:space="preserve">ة </w:t>
      </w:r>
      <w:r w:rsidR="003C2864" w:rsidRPr="00FD211F">
        <w:rPr>
          <w:sz w:val="36"/>
          <w:szCs w:val="36"/>
          <w:rtl/>
        </w:rPr>
        <w:t>الظرفي</w:t>
      </w:r>
      <w:r w:rsidR="00EC7EDF" w:rsidRPr="00FD211F">
        <w:rPr>
          <w:sz w:val="36"/>
          <w:szCs w:val="36"/>
          <w:rtl/>
        </w:rPr>
        <w:t xml:space="preserve">ة </w:t>
      </w:r>
      <w:r w:rsidR="005010FA" w:rsidRPr="00FD211F">
        <w:rPr>
          <w:sz w:val="36"/>
          <w:szCs w:val="36"/>
          <w:rtl/>
        </w:rPr>
        <w:t>وسيأتي أن الوجه الخامس الذي اختاره في البحوث</w:t>
      </w:r>
      <w:r w:rsidR="0099565C" w:rsidRPr="00FD211F">
        <w:rPr>
          <w:sz w:val="36"/>
          <w:szCs w:val="36"/>
          <w:rtl/>
        </w:rPr>
        <w:t xml:space="preserve"> ايضا لايفسر وجه عدم الاضاف</w:t>
      </w:r>
      <w:r w:rsidR="00EC7EDF" w:rsidRPr="00FD211F">
        <w:rPr>
          <w:sz w:val="36"/>
          <w:szCs w:val="36"/>
          <w:rtl/>
        </w:rPr>
        <w:t xml:space="preserve">ة </w:t>
      </w:r>
      <w:r w:rsidR="0099565C" w:rsidRPr="00FD211F">
        <w:rPr>
          <w:sz w:val="36"/>
          <w:szCs w:val="36"/>
          <w:rtl/>
        </w:rPr>
        <w:t>فيه</w:t>
      </w:r>
      <w:r w:rsidR="00EC7EDF" w:rsidRPr="00FD211F">
        <w:rPr>
          <w:sz w:val="36"/>
          <w:szCs w:val="36"/>
          <w:rtl/>
        </w:rPr>
        <w:t>.</w:t>
      </w:r>
    </w:p>
    <w:p w14:paraId="166F502C" w14:textId="77777777" w:rsidR="00556BC0" w:rsidRPr="00FD211F" w:rsidRDefault="002D2DBE" w:rsidP="009C58C8">
      <w:pPr>
        <w:ind w:left="0" w:firstLine="227"/>
        <w:jc w:val="both"/>
        <w:rPr>
          <w:sz w:val="36"/>
          <w:szCs w:val="36"/>
          <w:rtl/>
        </w:rPr>
      </w:pPr>
      <w:r w:rsidRPr="00FD211F">
        <w:rPr>
          <w:b/>
          <w:bCs/>
          <w:sz w:val="36"/>
          <w:szCs w:val="36"/>
          <w:rtl/>
        </w:rPr>
        <w:t>ا</w:t>
      </w:r>
      <w:r w:rsidR="00C7185F" w:rsidRPr="00FD211F">
        <w:rPr>
          <w:b/>
          <w:bCs/>
          <w:sz w:val="36"/>
          <w:szCs w:val="36"/>
          <w:rtl/>
        </w:rPr>
        <w:t>ل</w:t>
      </w:r>
      <w:r w:rsidRPr="00FD211F">
        <w:rPr>
          <w:b/>
          <w:bCs/>
          <w:sz w:val="36"/>
          <w:szCs w:val="36"/>
          <w:rtl/>
        </w:rPr>
        <w:t>وجه الثاني</w:t>
      </w:r>
      <w:r w:rsidRPr="00FD211F">
        <w:rPr>
          <w:sz w:val="36"/>
          <w:szCs w:val="36"/>
          <w:rtl/>
        </w:rPr>
        <w:t>:</w:t>
      </w:r>
      <w:r w:rsidR="00556BC0" w:rsidRPr="00FD211F">
        <w:rPr>
          <w:sz w:val="36"/>
          <w:szCs w:val="36"/>
          <w:rtl/>
        </w:rPr>
        <w:t xml:space="preserve"> ان الإضاف</w:t>
      </w:r>
      <w:r w:rsidR="00EC7EDF" w:rsidRPr="00FD211F">
        <w:rPr>
          <w:sz w:val="36"/>
          <w:szCs w:val="36"/>
          <w:rtl/>
        </w:rPr>
        <w:t xml:space="preserve">ة </w:t>
      </w:r>
      <w:r w:rsidR="00556BC0" w:rsidRPr="00FD211F">
        <w:rPr>
          <w:sz w:val="36"/>
          <w:szCs w:val="36"/>
          <w:rtl/>
        </w:rPr>
        <w:t>تدل على خصوصي</w:t>
      </w:r>
      <w:r w:rsidR="00EC7EDF" w:rsidRPr="00FD211F">
        <w:rPr>
          <w:sz w:val="36"/>
          <w:szCs w:val="36"/>
          <w:rtl/>
        </w:rPr>
        <w:t xml:space="preserve">ة </w:t>
      </w:r>
      <w:r w:rsidR="00556BC0" w:rsidRPr="00FD211F">
        <w:rPr>
          <w:sz w:val="36"/>
          <w:szCs w:val="36"/>
          <w:rtl/>
        </w:rPr>
        <w:t>قائم</w:t>
      </w:r>
      <w:r w:rsidR="00EC7EDF" w:rsidRPr="00FD211F">
        <w:rPr>
          <w:sz w:val="36"/>
          <w:szCs w:val="36"/>
          <w:rtl/>
        </w:rPr>
        <w:t xml:space="preserve">ة </w:t>
      </w:r>
      <w:r w:rsidR="00556BC0" w:rsidRPr="00FD211F">
        <w:rPr>
          <w:sz w:val="36"/>
          <w:szCs w:val="36"/>
          <w:rtl/>
        </w:rPr>
        <w:t>في المضاف</w:t>
      </w:r>
      <w:r w:rsidR="00603323" w:rsidRPr="00FD211F">
        <w:rPr>
          <w:sz w:val="36"/>
          <w:szCs w:val="36"/>
          <w:rtl/>
        </w:rPr>
        <w:t xml:space="preserve">، </w:t>
      </w:r>
      <w:r w:rsidR="00556BC0" w:rsidRPr="00FD211F">
        <w:rPr>
          <w:sz w:val="36"/>
          <w:szCs w:val="36"/>
          <w:rtl/>
        </w:rPr>
        <w:t>فان اللحاظ في الاضاف</w:t>
      </w:r>
      <w:r w:rsidR="00EC7EDF" w:rsidRPr="00FD211F">
        <w:rPr>
          <w:sz w:val="36"/>
          <w:szCs w:val="36"/>
          <w:rtl/>
        </w:rPr>
        <w:t xml:space="preserve">ة </w:t>
      </w:r>
      <w:r w:rsidR="00556BC0" w:rsidRPr="00FD211F">
        <w:rPr>
          <w:sz w:val="36"/>
          <w:szCs w:val="36"/>
          <w:rtl/>
        </w:rPr>
        <w:t>ينصب على مفهوم واحد وهو المضاف بما هو منسوب بالمضاف اليه</w:t>
      </w:r>
      <w:r w:rsidR="00603323" w:rsidRPr="00FD211F">
        <w:rPr>
          <w:sz w:val="36"/>
          <w:szCs w:val="36"/>
          <w:rtl/>
        </w:rPr>
        <w:t xml:space="preserve">، </w:t>
      </w:r>
      <w:r w:rsidR="00556BC0" w:rsidRPr="00FD211F">
        <w:rPr>
          <w:sz w:val="36"/>
          <w:szCs w:val="36"/>
          <w:rtl/>
        </w:rPr>
        <w:t>فالنسب</w:t>
      </w:r>
      <w:r w:rsidR="00EC7EDF" w:rsidRPr="00FD211F">
        <w:rPr>
          <w:sz w:val="36"/>
          <w:szCs w:val="36"/>
          <w:rtl/>
        </w:rPr>
        <w:t xml:space="preserve">ة </w:t>
      </w:r>
      <w:r w:rsidR="00556BC0" w:rsidRPr="00FD211F">
        <w:rPr>
          <w:sz w:val="36"/>
          <w:szCs w:val="36"/>
          <w:rtl/>
        </w:rPr>
        <w:t>الاضاف</w:t>
      </w:r>
      <w:r w:rsidR="00EC7EDF" w:rsidRPr="00FD211F">
        <w:rPr>
          <w:sz w:val="36"/>
          <w:szCs w:val="36"/>
          <w:rtl/>
        </w:rPr>
        <w:t xml:space="preserve">ة </w:t>
      </w:r>
      <w:r w:rsidR="00556BC0" w:rsidRPr="00FD211F">
        <w:rPr>
          <w:sz w:val="36"/>
          <w:szCs w:val="36"/>
          <w:rtl/>
        </w:rPr>
        <w:t>تعطي للمضاف حال</w:t>
      </w:r>
      <w:r w:rsidR="00EC7EDF" w:rsidRPr="00FD211F">
        <w:rPr>
          <w:sz w:val="36"/>
          <w:szCs w:val="36"/>
          <w:rtl/>
        </w:rPr>
        <w:t xml:space="preserve">ة </w:t>
      </w:r>
      <w:r w:rsidR="00556BC0" w:rsidRPr="00FD211F">
        <w:rPr>
          <w:sz w:val="36"/>
          <w:szCs w:val="36"/>
          <w:rtl/>
        </w:rPr>
        <w:t>التحصص والانتساب الى المضاف اليه</w:t>
      </w:r>
      <w:r w:rsidR="00603323" w:rsidRPr="00FD211F">
        <w:rPr>
          <w:sz w:val="36"/>
          <w:szCs w:val="36"/>
          <w:rtl/>
        </w:rPr>
        <w:t xml:space="preserve">، </w:t>
      </w:r>
      <w:r w:rsidR="00556BC0" w:rsidRPr="00FD211F">
        <w:rPr>
          <w:sz w:val="36"/>
          <w:szCs w:val="36"/>
          <w:rtl/>
        </w:rPr>
        <w:t>واما معنى حرف الجرّ فهو قائم بطرفين فيلحظ الطرفان والنسب</w:t>
      </w:r>
      <w:r w:rsidR="00EC7EDF" w:rsidRPr="00FD211F">
        <w:rPr>
          <w:sz w:val="36"/>
          <w:szCs w:val="36"/>
          <w:rtl/>
        </w:rPr>
        <w:t xml:space="preserve">ة </w:t>
      </w:r>
      <w:r w:rsidR="00556BC0" w:rsidRPr="00FD211F">
        <w:rPr>
          <w:sz w:val="36"/>
          <w:szCs w:val="36"/>
          <w:rtl/>
        </w:rPr>
        <w:t>الخاص</w:t>
      </w:r>
      <w:r w:rsidR="00EC7EDF" w:rsidRPr="00FD211F">
        <w:rPr>
          <w:sz w:val="36"/>
          <w:szCs w:val="36"/>
          <w:rtl/>
        </w:rPr>
        <w:t xml:space="preserve">ة </w:t>
      </w:r>
      <w:r w:rsidR="00556BC0" w:rsidRPr="00FD211F">
        <w:rPr>
          <w:sz w:val="36"/>
          <w:szCs w:val="36"/>
          <w:rtl/>
        </w:rPr>
        <w:t>بينهما.</w:t>
      </w:r>
    </w:p>
    <w:p w14:paraId="47635FBB" w14:textId="77777777" w:rsidR="003B5A95" w:rsidRPr="00FD211F" w:rsidRDefault="00556BC0" w:rsidP="009C58C8">
      <w:pPr>
        <w:ind w:left="0" w:firstLine="227"/>
        <w:jc w:val="both"/>
        <w:rPr>
          <w:sz w:val="36"/>
          <w:szCs w:val="36"/>
          <w:rtl/>
        </w:rPr>
      </w:pPr>
      <w:r w:rsidRPr="00FD211F">
        <w:rPr>
          <w:sz w:val="36"/>
          <w:szCs w:val="36"/>
          <w:rtl/>
        </w:rPr>
        <w:t xml:space="preserve">واورد عليه في البحوث </w:t>
      </w:r>
      <w:r w:rsidRPr="00FD211F">
        <w:rPr>
          <w:b/>
          <w:bCs/>
          <w:sz w:val="36"/>
          <w:szCs w:val="36"/>
          <w:rtl/>
        </w:rPr>
        <w:t>اولا</w:t>
      </w:r>
      <w:r w:rsidRPr="00FD211F">
        <w:rPr>
          <w:sz w:val="36"/>
          <w:szCs w:val="36"/>
          <w:rtl/>
        </w:rPr>
        <w:t xml:space="preserve"> انه ان كان المقصود كون المفهوم في جمل</w:t>
      </w:r>
      <w:r w:rsidR="00EC7EDF" w:rsidRPr="00FD211F">
        <w:rPr>
          <w:sz w:val="36"/>
          <w:szCs w:val="36"/>
          <w:rtl/>
        </w:rPr>
        <w:t xml:space="preserve">ة </w:t>
      </w:r>
      <w:r w:rsidRPr="00FD211F">
        <w:rPr>
          <w:sz w:val="36"/>
          <w:szCs w:val="36"/>
          <w:rtl/>
        </w:rPr>
        <w:t>الإضاف</w:t>
      </w:r>
      <w:r w:rsidR="00EC7EDF" w:rsidRPr="00FD211F">
        <w:rPr>
          <w:sz w:val="36"/>
          <w:szCs w:val="36"/>
          <w:rtl/>
        </w:rPr>
        <w:t xml:space="preserve">ة </w:t>
      </w:r>
      <w:r w:rsidRPr="00FD211F">
        <w:rPr>
          <w:sz w:val="36"/>
          <w:szCs w:val="36"/>
          <w:rtl/>
        </w:rPr>
        <w:t>بسيطا تصورا فهذا مما لابد من الالتزام به في جميع الجمل المشتمل</w:t>
      </w:r>
      <w:r w:rsidR="00EC7EDF" w:rsidRPr="00FD211F">
        <w:rPr>
          <w:sz w:val="36"/>
          <w:szCs w:val="36"/>
          <w:rtl/>
        </w:rPr>
        <w:t xml:space="preserve">ة </w:t>
      </w:r>
      <w:r w:rsidRPr="00FD211F">
        <w:rPr>
          <w:sz w:val="36"/>
          <w:szCs w:val="36"/>
          <w:rtl/>
        </w:rPr>
        <w:t>على النسب الأولي</w:t>
      </w:r>
      <w:r w:rsidR="00EC7EDF" w:rsidRPr="00FD211F">
        <w:rPr>
          <w:sz w:val="36"/>
          <w:szCs w:val="36"/>
          <w:rtl/>
        </w:rPr>
        <w:t>ة</w:t>
      </w:r>
      <w:r w:rsidR="00603323" w:rsidRPr="00FD211F">
        <w:rPr>
          <w:sz w:val="36"/>
          <w:szCs w:val="36"/>
          <w:rtl/>
        </w:rPr>
        <w:t xml:space="preserve">، </w:t>
      </w:r>
      <w:r w:rsidRPr="00FD211F">
        <w:rPr>
          <w:sz w:val="36"/>
          <w:szCs w:val="36"/>
          <w:rtl/>
        </w:rPr>
        <w:t>حتى ما كانت مدلول</w:t>
      </w:r>
      <w:r w:rsidR="00EC7EDF" w:rsidRPr="00FD211F">
        <w:rPr>
          <w:sz w:val="36"/>
          <w:szCs w:val="36"/>
          <w:rtl/>
        </w:rPr>
        <w:t xml:space="preserve">ة </w:t>
      </w:r>
      <w:r w:rsidRPr="00FD211F">
        <w:rPr>
          <w:sz w:val="36"/>
          <w:szCs w:val="36"/>
          <w:rtl/>
        </w:rPr>
        <w:t>للحروف ومنها حرف الجر</w:t>
      </w:r>
      <w:r w:rsidR="00603323" w:rsidRPr="00FD211F">
        <w:rPr>
          <w:sz w:val="36"/>
          <w:szCs w:val="36"/>
          <w:rtl/>
        </w:rPr>
        <w:t xml:space="preserve">، </w:t>
      </w:r>
      <w:r w:rsidRPr="00FD211F">
        <w:rPr>
          <w:sz w:val="36"/>
          <w:szCs w:val="36"/>
          <w:rtl/>
        </w:rPr>
        <w:t>وان كان المقصود بساطته حتى بعد التحليل العقلي فهو خلاف الوجدان لتحليل جمل</w:t>
      </w:r>
      <w:r w:rsidR="00EC7EDF" w:rsidRPr="00FD211F">
        <w:rPr>
          <w:sz w:val="36"/>
          <w:szCs w:val="36"/>
          <w:rtl/>
        </w:rPr>
        <w:t xml:space="preserve">ة </w:t>
      </w:r>
      <w:r w:rsidRPr="00FD211F">
        <w:rPr>
          <w:sz w:val="36"/>
          <w:szCs w:val="36"/>
          <w:rtl/>
        </w:rPr>
        <w:t>الإضاف</w:t>
      </w:r>
      <w:r w:rsidR="00EC7EDF" w:rsidRPr="00FD211F">
        <w:rPr>
          <w:sz w:val="36"/>
          <w:szCs w:val="36"/>
          <w:rtl/>
        </w:rPr>
        <w:t xml:space="preserve">ة </w:t>
      </w:r>
      <w:r w:rsidRPr="00FD211F">
        <w:rPr>
          <w:sz w:val="36"/>
          <w:szCs w:val="36"/>
          <w:rtl/>
        </w:rPr>
        <w:t>الى ثلاث</w:t>
      </w:r>
      <w:r w:rsidR="00EC7EDF" w:rsidRPr="00FD211F">
        <w:rPr>
          <w:sz w:val="36"/>
          <w:szCs w:val="36"/>
          <w:rtl/>
        </w:rPr>
        <w:t xml:space="preserve">ة </w:t>
      </w:r>
      <w:r w:rsidRPr="00FD211F">
        <w:rPr>
          <w:sz w:val="36"/>
          <w:szCs w:val="36"/>
          <w:rtl/>
        </w:rPr>
        <w:t>أجزاء</w:t>
      </w:r>
      <w:r w:rsidR="00C7185F" w:rsidRPr="00FD211F">
        <w:rPr>
          <w:sz w:val="36"/>
          <w:szCs w:val="36"/>
          <w:rtl/>
        </w:rPr>
        <w:t>.</w:t>
      </w:r>
    </w:p>
    <w:p w14:paraId="4A5C682B" w14:textId="77777777" w:rsidR="003B5A95" w:rsidRPr="00FD211F" w:rsidRDefault="00556BC0" w:rsidP="009C58C8">
      <w:pPr>
        <w:ind w:left="0" w:firstLine="227"/>
        <w:jc w:val="both"/>
        <w:rPr>
          <w:sz w:val="36"/>
          <w:szCs w:val="36"/>
          <w:rtl/>
        </w:rPr>
      </w:pPr>
      <w:r w:rsidRPr="00FD211F">
        <w:rPr>
          <w:b/>
          <w:bCs/>
          <w:sz w:val="36"/>
          <w:szCs w:val="36"/>
          <w:rtl/>
        </w:rPr>
        <w:t>وثانيا</w:t>
      </w:r>
      <w:r w:rsidRPr="00FD211F">
        <w:rPr>
          <w:sz w:val="36"/>
          <w:szCs w:val="36"/>
          <w:rtl/>
        </w:rPr>
        <w:t xml:space="preserve"> انه اذا كان يمكن للذهن ان يلحظ خصوصي</w:t>
      </w:r>
      <w:r w:rsidR="00EC7EDF" w:rsidRPr="00FD211F">
        <w:rPr>
          <w:sz w:val="36"/>
          <w:szCs w:val="36"/>
          <w:rtl/>
        </w:rPr>
        <w:t xml:space="preserve">ة </w:t>
      </w:r>
      <w:r w:rsidRPr="00FD211F">
        <w:rPr>
          <w:sz w:val="36"/>
          <w:szCs w:val="36"/>
          <w:rtl/>
        </w:rPr>
        <w:t>انتساب احد طرفي النسب</w:t>
      </w:r>
      <w:r w:rsidR="00EC7EDF" w:rsidRPr="00FD211F">
        <w:rPr>
          <w:sz w:val="36"/>
          <w:szCs w:val="36"/>
          <w:rtl/>
        </w:rPr>
        <w:t xml:space="preserve">ة </w:t>
      </w:r>
      <w:r w:rsidRPr="00FD211F">
        <w:rPr>
          <w:sz w:val="36"/>
          <w:szCs w:val="36"/>
          <w:rtl/>
        </w:rPr>
        <w:t>الخارجي</w:t>
      </w:r>
      <w:r w:rsidR="00EC7EDF" w:rsidRPr="00FD211F">
        <w:rPr>
          <w:sz w:val="36"/>
          <w:szCs w:val="36"/>
          <w:rtl/>
        </w:rPr>
        <w:t xml:space="preserve">ة </w:t>
      </w:r>
      <w:r w:rsidRPr="00FD211F">
        <w:rPr>
          <w:sz w:val="36"/>
          <w:szCs w:val="36"/>
          <w:rtl/>
        </w:rPr>
        <w:t>بما هي خصوصي</w:t>
      </w:r>
      <w:r w:rsidR="00EC7EDF" w:rsidRPr="00FD211F">
        <w:rPr>
          <w:sz w:val="36"/>
          <w:szCs w:val="36"/>
          <w:rtl/>
        </w:rPr>
        <w:t xml:space="preserve">ة </w:t>
      </w:r>
      <w:r w:rsidRPr="00FD211F">
        <w:rPr>
          <w:sz w:val="36"/>
          <w:szCs w:val="36"/>
          <w:rtl/>
        </w:rPr>
        <w:t>له من دون لحاظ كونها قائم</w:t>
      </w:r>
      <w:r w:rsidR="00EC7EDF" w:rsidRPr="00FD211F">
        <w:rPr>
          <w:sz w:val="36"/>
          <w:szCs w:val="36"/>
          <w:rtl/>
        </w:rPr>
        <w:t xml:space="preserve">ة </w:t>
      </w:r>
      <w:r w:rsidRPr="00FD211F">
        <w:rPr>
          <w:sz w:val="36"/>
          <w:szCs w:val="36"/>
          <w:rtl/>
        </w:rPr>
        <w:t>بالطرفين</w:t>
      </w:r>
      <w:r w:rsidR="00603323" w:rsidRPr="00FD211F">
        <w:rPr>
          <w:sz w:val="36"/>
          <w:szCs w:val="36"/>
          <w:rtl/>
        </w:rPr>
        <w:t xml:space="preserve">، </w:t>
      </w:r>
      <w:r w:rsidRPr="00FD211F">
        <w:rPr>
          <w:sz w:val="36"/>
          <w:szCs w:val="36"/>
          <w:rtl/>
        </w:rPr>
        <w:t>فلماذا</w:t>
      </w:r>
      <w:r w:rsidR="008D7B3D" w:rsidRPr="00FD211F">
        <w:rPr>
          <w:sz w:val="36"/>
          <w:szCs w:val="36"/>
          <w:rtl/>
        </w:rPr>
        <w:t xml:space="preserve"> لم‌</w:t>
      </w:r>
      <w:r w:rsidRPr="00FD211F">
        <w:rPr>
          <w:sz w:val="36"/>
          <w:szCs w:val="36"/>
          <w:rtl/>
        </w:rPr>
        <w:t>يصح ذلك في جميع موارد النسب</w:t>
      </w:r>
      <w:r w:rsidR="00EC7EDF" w:rsidRPr="00FD211F">
        <w:rPr>
          <w:sz w:val="36"/>
          <w:szCs w:val="36"/>
          <w:rtl/>
        </w:rPr>
        <w:t xml:space="preserve">ة </w:t>
      </w:r>
      <w:r w:rsidRPr="00FD211F">
        <w:rPr>
          <w:sz w:val="36"/>
          <w:szCs w:val="36"/>
          <w:rtl/>
        </w:rPr>
        <w:t>الخارجي</w:t>
      </w:r>
      <w:r w:rsidR="00EC7EDF" w:rsidRPr="00FD211F">
        <w:rPr>
          <w:sz w:val="36"/>
          <w:szCs w:val="36"/>
          <w:rtl/>
        </w:rPr>
        <w:t xml:space="preserve">ة </w:t>
      </w:r>
      <w:r w:rsidRPr="00FD211F">
        <w:rPr>
          <w:sz w:val="36"/>
          <w:szCs w:val="36"/>
          <w:rtl/>
        </w:rPr>
        <w:t>كما في</w:t>
      </w:r>
      <w:r w:rsidR="00A66EA5" w:rsidRPr="00FD211F">
        <w:rPr>
          <w:sz w:val="36"/>
          <w:szCs w:val="36"/>
          <w:rtl/>
        </w:rPr>
        <w:t>"</w:t>
      </w:r>
      <w:r w:rsidRPr="00FD211F">
        <w:rPr>
          <w:sz w:val="36"/>
          <w:szCs w:val="36"/>
          <w:rtl/>
        </w:rPr>
        <w:t xml:space="preserve"> زيد قائم في الدار</w:t>
      </w:r>
      <w:r w:rsidR="00A66EA5" w:rsidRPr="00FD211F">
        <w:rPr>
          <w:sz w:val="36"/>
          <w:szCs w:val="36"/>
          <w:rtl/>
        </w:rPr>
        <w:t>"</w:t>
      </w:r>
      <w:r w:rsidR="009C58C8" w:rsidRPr="00FD211F">
        <w:rPr>
          <w:rStyle w:val="a6"/>
          <w:sz w:val="36"/>
          <w:szCs w:val="36"/>
          <w:rtl/>
        </w:rPr>
        <w:t>(</w:t>
      </w:r>
      <w:r w:rsidR="009C58C8" w:rsidRPr="00FD211F">
        <w:rPr>
          <w:rStyle w:val="a6"/>
          <w:sz w:val="36"/>
          <w:szCs w:val="36"/>
          <w:rtl/>
        </w:rPr>
        <w:footnoteReference w:id="185"/>
      </w:r>
      <w:r w:rsidR="009C58C8" w:rsidRPr="00FD211F">
        <w:rPr>
          <w:rStyle w:val="a6"/>
          <w:sz w:val="36"/>
          <w:szCs w:val="36"/>
          <w:rtl/>
        </w:rPr>
        <w:t>)</w:t>
      </w:r>
      <w:r w:rsidRPr="00FD211F">
        <w:rPr>
          <w:sz w:val="36"/>
          <w:szCs w:val="36"/>
          <w:rtl/>
        </w:rPr>
        <w:t>.</w:t>
      </w:r>
    </w:p>
    <w:p w14:paraId="56150E4A" w14:textId="77777777" w:rsidR="00556BC0" w:rsidRPr="00FD211F" w:rsidRDefault="003B5A95" w:rsidP="009C58C8">
      <w:pPr>
        <w:ind w:left="0" w:firstLine="227"/>
        <w:jc w:val="both"/>
        <w:rPr>
          <w:sz w:val="36"/>
          <w:szCs w:val="36"/>
          <w:rtl/>
        </w:rPr>
      </w:pPr>
      <w:r w:rsidRPr="00FD211F">
        <w:rPr>
          <w:sz w:val="36"/>
          <w:szCs w:val="36"/>
          <w:rtl/>
        </w:rPr>
        <w:t>اقول</w:t>
      </w:r>
      <w:r w:rsidR="0022780E" w:rsidRPr="00FD211F">
        <w:rPr>
          <w:sz w:val="36"/>
          <w:szCs w:val="36"/>
          <w:rtl/>
        </w:rPr>
        <w:t>:ذكرنا سابقاان مدلول الجمل</w:t>
      </w:r>
      <w:r w:rsidR="00EC7EDF" w:rsidRPr="00FD211F">
        <w:rPr>
          <w:sz w:val="36"/>
          <w:szCs w:val="36"/>
          <w:rtl/>
        </w:rPr>
        <w:t xml:space="preserve">ة </w:t>
      </w:r>
      <w:r w:rsidR="0022780E" w:rsidRPr="00FD211F">
        <w:rPr>
          <w:sz w:val="36"/>
          <w:szCs w:val="36"/>
          <w:rtl/>
        </w:rPr>
        <w:t>ولوكانت ناقص</w:t>
      </w:r>
      <w:r w:rsidR="00EC7EDF" w:rsidRPr="00FD211F">
        <w:rPr>
          <w:sz w:val="36"/>
          <w:szCs w:val="36"/>
          <w:rtl/>
        </w:rPr>
        <w:t xml:space="preserve">ة </w:t>
      </w:r>
      <w:r w:rsidR="0022780E" w:rsidRPr="00FD211F">
        <w:rPr>
          <w:sz w:val="36"/>
          <w:szCs w:val="36"/>
          <w:rtl/>
        </w:rPr>
        <w:t>مركب تصوري بلافرق بين جمل</w:t>
      </w:r>
      <w:r w:rsidR="00EC7EDF" w:rsidRPr="00FD211F">
        <w:rPr>
          <w:sz w:val="36"/>
          <w:szCs w:val="36"/>
          <w:rtl/>
        </w:rPr>
        <w:t xml:space="preserve">ة </w:t>
      </w:r>
      <w:r w:rsidR="0022780E" w:rsidRPr="00FD211F">
        <w:rPr>
          <w:sz w:val="36"/>
          <w:szCs w:val="36"/>
          <w:rtl/>
        </w:rPr>
        <w:t>الاضاف</w:t>
      </w:r>
      <w:r w:rsidR="00EC7EDF" w:rsidRPr="00FD211F">
        <w:rPr>
          <w:sz w:val="36"/>
          <w:szCs w:val="36"/>
          <w:rtl/>
        </w:rPr>
        <w:t xml:space="preserve">ة </w:t>
      </w:r>
      <w:r w:rsidR="0022780E" w:rsidRPr="00FD211F">
        <w:rPr>
          <w:sz w:val="36"/>
          <w:szCs w:val="36"/>
          <w:rtl/>
        </w:rPr>
        <w:t>او الجار والمجرور</w:t>
      </w:r>
      <w:r w:rsidR="00603323" w:rsidRPr="00FD211F">
        <w:rPr>
          <w:sz w:val="36"/>
          <w:szCs w:val="36"/>
          <w:rtl/>
        </w:rPr>
        <w:t xml:space="preserve">، </w:t>
      </w:r>
      <w:r w:rsidR="0022780E" w:rsidRPr="00FD211F">
        <w:rPr>
          <w:sz w:val="36"/>
          <w:szCs w:val="36"/>
          <w:rtl/>
        </w:rPr>
        <w:t>كما أنه لايعقل لحاظ النسب</w:t>
      </w:r>
      <w:r w:rsidR="00EC7EDF" w:rsidRPr="00FD211F">
        <w:rPr>
          <w:sz w:val="36"/>
          <w:szCs w:val="36"/>
          <w:rtl/>
        </w:rPr>
        <w:t xml:space="preserve">ة </w:t>
      </w:r>
      <w:r w:rsidR="0022780E" w:rsidRPr="00FD211F">
        <w:rPr>
          <w:sz w:val="36"/>
          <w:szCs w:val="36"/>
          <w:rtl/>
        </w:rPr>
        <w:t xml:space="preserve">مع احد طرفيها دون الآخر </w:t>
      </w:r>
      <w:r w:rsidR="0022380C" w:rsidRPr="00FD211F">
        <w:rPr>
          <w:sz w:val="36"/>
          <w:szCs w:val="36"/>
          <w:rtl/>
        </w:rPr>
        <w:t>فهذا الوجه الثاني غير متجه.</w:t>
      </w:r>
      <w:r w:rsidR="00B253CE" w:rsidRPr="00FD211F">
        <w:rPr>
          <w:sz w:val="36"/>
          <w:szCs w:val="36"/>
          <w:rtl/>
        </w:rPr>
        <w:t xml:space="preserve"> </w:t>
      </w:r>
    </w:p>
    <w:p w14:paraId="00D21077" w14:textId="77777777" w:rsidR="00556BC0" w:rsidRPr="00FD211F" w:rsidRDefault="002D2DBE" w:rsidP="009C58C8">
      <w:pPr>
        <w:ind w:left="0" w:firstLine="227"/>
        <w:jc w:val="both"/>
        <w:rPr>
          <w:sz w:val="36"/>
          <w:szCs w:val="36"/>
          <w:rtl/>
        </w:rPr>
      </w:pPr>
      <w:r w:rsidRPr="00FD211F">
        <w:rPr>
          <w:b/>
          <w:bCs/>
          <w:sz w:val="36"/>
          <w:szCs w:val="36"/>
          <w:rtl/>
        </w:rPr>
        <w:t>الوجه الثالث</w:t>
      </w:r>
      <w:r w:rsidRPr="00FD211F">
        <w:rPr>
          <w:sz w:val="36"/>
          <w:szCs w:val="36"/>
          <w:rtl/>
        </w:rPr>
        <w:t>:</w:t>
      </w:r>
      <w:r w:rsidR="00556BC0" w:rsidRPr="00FD211F">
        <w:rPr>
          <w:sz w:val="36"/>
          <w:szCs w:val="36"/>
          <w:rtl/>
        </w:rPr>
        <w:t xml:space="preserve"> ان حروف الجرّ تدل على معانيها بنحو النسب</w:t>
      </w:r>
      <w:r w:rsidR="00EC7EDF" w:rsidRPr="00FD211F">
        <w:rPr>
          <w:sz w:val="36"/>
          <w:szCs w:val="36"/>
          <w:rtl/>
        </w:rPr>
        <w:t xml:space="preserve">ة </w:t>
      </w:r>
      <w:r w:rsidR="00556BC0" w:rsidRPr="00FD211F">
        <w:rPr>
          <w:sz w:val="36"/>
          <w:szCs w:val="36"/>
          <w:rtl/>
        </w:rPr>
        <w:t>التام</w:t>
      </w:r>
      <w:r w:rsidR="00EC7EDF" w:rsidRPr="00FD211F">
        <w:rPr>
          <w:sz w:val="36"/>
          <w:szCs w:val="36"/>
          <w:rtl/>
        </w:rPr>
        <w:t xml:space="preserve">ة </w:t>
      </w:r>
      <w:r w:rsidR="00556BC0" w:rsidRPr="00FD211F">
        <w:rPr>
          <w:sz w:val="36"/>
          <w:szCs w:val="36"/>
          <w:rtl/>
        </w:rPr>
        <w:t>مثل "الغلام لزيد"</w:t>
      </w:r>
      <w:r w:rsidR="00EC7EDF" w:rsidRPr="00FD211F">
        <w:rPr>
          <w:sz w:val="36"/>
          <w:szCs w:val="36"/>
          <w:rtl/>
        </w:rPr>
        <w:t xml:space="preserve"> و</w:t>
      </w:r>
      <w:r w:rsidR="00556BC0" w:rsidRPr="00FD211F">
        <w:rPr>
          <w:sz w:val="36"/>
          <w:szCs w:val="36"/>
          <w:rtl/>
        </w:rPr>
        <w:t>"الخاتم من فض</w:t>
      </w:r>
      <w:r w:rsidR="00EC7EDF" w:rsidRPr="00FD211F">
        <w:rPr>
          <w:sz w:val="36"/>
          <w:szCs w:val="36"/>
          <w:rtl/>
        </w:rPr>
        <w:t xml:space="preserve">ة </w:t>
      </w:r>
      <w:r w:rsidR="00556BC0" w:rsidRPr="00FD211F">
        <w:rPr>
          <w:sz w:val="36"/>
          <w:szCs w:val="36"/>
          <w:rtl/>
        </w:rPr>
        <w:t>" ثم ينتنزع الذهن من هذه القضي</w:t>
      </w:r>
      <w:r w:rsidR="00EC7EDF" w:rsidRPr="00FD211F">
        <w:rPr>
          <w:sz w:val="36"/>
          <w:szCs w:val="36"/>
          <w:rtl/>
        </w:rPr>
        <w:t xml:space="preserve">ة </w:t>
      </w:r>
      <w:r w:rsidR="00556BC0" w:rsidRPr="00FD211F">
        <w:rPr>
          <w:sz w:val="36"/>
          <w:szCs w:val="36"/>
          <w:rtl/>
        </w:rPr>
        <w:t>صور</w:t>
      </w:r>
      <w:r w:rsidR="00EC7EDF" w:rsidRPr="00FD211F">
        <w:rPr>
          <w:sz w:val="36"/>
          <w:szCs w:val="36"/>
          <w:rtl/>
        </w:rPr>
        <w:t xml:space="preserve">ة </w:t>
      </w:r>
      <w:r w:rsidR="00556BC0" w:rsidRPr="00FD211F">
        <w:rPr>
          <w:sz w:val="36"/>
          <w:szCs w:val="36"/>
          <w:rtl/>
        </w:rPr>
        <w:t>مشتمل</w:t>
      </w:r>
      <w:r w:rsidR="00EC7EDF" w:rsidRPr="00FD211F">
        <w:rPr>
          <w:sz w:val="36"/>
          <w:szCs w:val="36"/>
          <w:rtl/>
        </w:rPr>
        <w:t xml:space="preserve">ة </w:t>
      </w:r>
      <w:r w:rsidR="00556BC0" w:rsidRPr="00FD211F">
        <w:rPr>
          <w:sz w:val="36"/>
          <w:szCs w:val="36"/>
          <w:rtl/>
        </w:rPr>
        <w:t>على النسب</w:t>
      </w:r>
      <w:r w:rsidR="00EC7EDF" w:rsidRPr="00FD211F">
        <w:rPr>
          <w:sz w:val="36"/>
          <w:szCs w:val="36"/>
          <w:rtl/>
        </w:rPr>
        <w:t xml:space="preserve">ة </w:t>
      </w:r>
      <w:r w:rsidR="00556BC0" w:rsidRPr="00FD211F">
        <w:rPr>
          <w:sz w:val="36"/>
          <w:szCs w:val="36"/>
          <w:rtl/>
        </w:rPr>
        <w:t>التحليلي</w:t>
      </w:r>
      <w:r w:rsidR="00EC7EDF" w:rsidRPr="00FD211F">
        <w:rPr>
          <w:sz w:val="36"/>
          <w:szCs w:val="36"/>
          <w:rtl/>
        </w:rPr>
        <w:t xml:space="preserve">ة </w:t>
      </w:r>
      <w:r w:rsidR="00556BC0" w:rsidRPr="00FD211F">
        <w:rPr>
          <w:sz w:val="36"/>
          <w:szCs w:val="36"/>
          <w:rtl/>
        </w:rPr>
        <w:t>و</w:t>
      </w:r>
      <w:r w:rsidR="002A3EE1" w:rsidRPr="00FD211F">
        <w:rPr>
          <w:sz w:val="36"/>
          <w:szCs w:val="36"/>
          <w:rtl/>
        </w:rPr>
        <w:t xml:space="preserve">تكون </w:t>
      </w:r>
      <w:r w:rsidR="00556BC0" w:rsidRPr="00FD211F">
        <w:rPr>
          <w:sz w:val="36"/>
          <w:szCs w:val="36"/>
          <w:rtl/>
        </w:rPr>
        <w:t>هي مفاد جمل</w:t>
      </w:r>
      <w:r w:rsidR="00EC7EDF" w:rsidRPr="00FD211F">
        <w:rPr>
          <w:sz w:val="36"/>
          <w:szCs w:val="36"/>
          <w:rtl/>
        </w:rPr>
        <w:t xml:space="preserve">ة </w:t>
      </w:r>
      <w:r w:rsidR="00556BC0" w:rsidRPr="00FD211F">
        <w:rPr>
          <w:sz w:val="36"/>
          <w:szCs w:val="36"/>
          <w:rtl/>
        </w:rPr>
        <w:t>الإضاف</w:t>
      </w:r>
      <w:r w:rsidR="00EC7EDF" w:rsidRPr="00FD211F">
        <w:rPr>
          <w:sz w:val="36"/>
          <w:szCs w:val="36"/>
          <w:rtl/>
        </w:rPr>
        <w:t>ة</w:t>
      </w:r>
      <w:r w:rsidR="00603323" w:rsidRPr="00FD211F">
        <w:rPr>
          <w:sz w:val="36"/>
          <w:szCs w:val="36"/>
          <w:rtl/>
        </w:rPr>
        <w:t xml:space="preserve">، </w:t>
      </w:r>
      <w:r w:rsidR="00556BC0" w:rsidRPr="00FD211F">
        <w:rPr>
          <w:sz w:val="36"/>
          <w:szCs w:val="36"/>
          <w:rtl/>
        </w:rPr>
        <w:t>فيقال</w:t>
      </w:r>
      <w:r w:rsidR="002A3EE1" w:rsidRPr="00FD211F">
        <w:rPr>
          <w:sz w:val="36"/>
          <w:szCs w:val="36"/>
          <w:rtl/>
        </w:rPr>
        <w:t>"</w:t>
      </w:r>
      <w:r w:rsidR="00556BC0" w:rsidRPr="00FD211F">
        <w:rPr>
          <w:sz w:val="36"/>
          <w:szCs w:val="36"/>
          <w:rtl/>
        </w:rPr>
        <w:t xml:space="preserve"> غلام زيد</w:t>
      </w:r>
      <w:r w:rsidR="002A3EE1" w:rsidRPr="00FD211F">
        <w:rPr>
          <w:sz w:val="36"/>
          <w:szCs w:val="36"/>
          <w:rtl/>
        </w:rPr>
        <w:t>"</w:t>
      </w:r>
      <w:r w:rsidR="00556BC0" w:rsidRPr="00FD211F">
        <w:rPr>
          <w:sz w:val="36"/>
          <w:szCs w:val="36"/>
          <w:rtl/>
        </w:rPr>
        <w:t xml:space="preserve"> و</w:t>
      </w:r>
      <w:r w:rsidR="002A3EE1" w:rsidRPr="00FD211F">
        <w:rPr>
          <w:sz w:val="36"/>
          <w:szCs w:val="36"/>
          <w:rtl/>
        </w:rPr>
        <w:t>"</w:t>
      </w:r>
      <w:r w:rsidR="00556BC0" w:rsidRPr="00FD211F">
        <w:rPr>
          <w:sz w:val="36"/>
          <w:szCs w:val="36"/>
          <w:rtl/>
        </w:rPr>
        <w:t>خاتم فض</w:t>
      </w:r>
      <w:r w:rsidR="00EC7EDF" w:rsidRPr="00FD211F">
        <w:rPr>
          <w:sz w:val="36"/>
          <w:szCs w:val="36"/>
          <w:rtl/>
        </w:rPr>
        <w:t xml:space="preserve">ة </w:t>
      </w:r>
      <w:r w:rsidR="002A3EE1" w:rsidRPr="00FD211F">
        <w:rPr>
          <w:sz w:val="36"/>
          <w:szCs w:val="36"/>
          <w:rtl/>
        </w:rPr>
        <w:t>"</w:t>
      </w:r>
      <w:r w:rsidR="00603323" w:rsidRPr="00FD211F">
        <w:rPr>
          <w:sz w:val="36"/>
          <w:szCs w:val="36"/>
          <w:rtl/>
        </w:rPr>
        <w:t xml:space="preserve">، </w:t>
      </w:r>
      <w:r w:rsidR="00556BC0" w:rsidRPr="00FD211F">
        <w:rPr>
          <w:sz w:val="36"/>
          <w:szCs w:val="36"/>
          <w:rtl/>
        </w:rPr>
        <w:t>فتكون جمل</w:t>
      </w:r>
      <w:r w:rsidR="00EC7EDF" w:rsidRPr="00FD211F">
        <w:rPr>
          <w:sz w:val="36"/>
          <w:szCs w:val="36"/>
          <w:rtl/>
        </w:rPr>
        <w:t xml:space="preserve">ة </w:t>
      </w:r>
      <w:r w:rsidR="00556BC0" w:rsidRPr="00FD211F">
        <w:rPr>
          <w:sz w:val="36"/>
          <w:szCs w:val="36"/>
          <w:rtl/>
        </w:rPr>
        <w:t>الاضاف</w:t>
      </w:r>
      <w:r w:rsidR="00EC7EDF" w:rsidRPr="00FD211F">
        <w:rPr>
          <w:sz w:val="36"/>
          <w:szCs w:val="36"/>
          <w:rtl/>
        </w:rPr>
        <w:t xml:space="preserve">ة </w:t>
      </w:r>
      <w:r w:rsidR="00556BC0" w:rsidRPr="00FD211F">
        <w:rPr>
          <w:sz w:val="36"/>
          <w:szCs w:val="36"/>
          <w:rtl/>
        </w:rPr>
        <w:t>متحصل</w:t>
      </w:r>
      <w:r w:rsidR="00EC7EDF" w:rsidRPr="00FD211F">
        <w:rPr>
          <w:sz w:val="36"/>
          <w:szCs w:val="36"/>
          <w:rtl/>
        </w:rPr>
        <w:t xml:space="preserve">ة </w:t>
      </w:r>
      <w:r w:rsidR="00556BC0" w:rsidRPr="00FD211F">
        <w:rPr>
          <w:sz w:val="36"/>
          <w:szCs w:val="36"/>
          <w:rtl/>
        </w:rPr>
        <w:t>من الجار والمجروز نظير ما مر من كون الجمل</w:t>
      </w:r>
      <w:r w:rsidR="00EC7EDF" w:rsidRPr="00FD211F">
        <w:rPr>
          <w:sz w:val="36"/>
          <w:szCs w:val="36"/>
          <w:rtl/>
        </w:rPr>
        <w:t xml:space="preserve">ة </w:t>
      </w:r>
      <w:r w:rsidR="00556BC0" w:rsidRPr="00FD211F">
        <w:rPr>
          <w:sz w:val="36"/>
          <w:szCs w:val="36"/>
          <w:rtl/>
        </w:rPr>
        <w:t>الوصفي</w:t>
      </w:r>
      <w:r w:rsidR="00EC7EDF" w:rsidRPr="00FD211F">
        <w:rPr>
          <w:sz w:val="36"/>
          <w:szCs w:val="36"/>
          <w:rtl/>
        </w:rPr>
        <w:t xml:space="preserve">ة </w:t>
      </w:r>
      <w:r w:rsidR="00556BC0" w:rsidRPr="00FD211F">
        <w:rPr>
          <w:sz w:val="36"/>
          <w:szCs w:val="36"/>
          <w:rtl/>
        </w:rPr>
        <w:t>متحصل</w:t>
      </w:r>
      <w:r w:rsidR="00EC7EDF" w:rsidRPr="00FD211F">
        <w:rPr>
          <w:sz w:val="36"/>
          <w:szCs w:val="36"/>
          <w:rtl/>
        </w:rPr>
        <w:t xml:space="preserve">ة </w:t>
      </w:r>
      <w:r w:rsidR="00556BC0" w:rsidRPr="00FD211F">
        <w:rPr>
          <w:sz w:val="36"/>
          <w:szCs w:val="36"/>
          <w:rtl/>
        </w:rPr>
        <w:t>من 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ة</w:t>
      </w:r>
      <w:r w:rsidR="00A61BAE" w:rsidRPr="00FD211F">
        <w:rPr>
          <w:sz w:val="36"/>
          <w:szCs w:val="36"/>
          <w:rtl/>
        </w:rPr>
        <w:t>.</w:t>
      </w:r>
    </w:p>
    <w:p w14:paraId="15CE6812" w14:textId="77777777" w:rsidR="000C5BBA" w:rsidRPr="00FD211F" w:rsidRDefault="00556BC0" w:rsidP="009C58C8">
      <w:pPr>
        <w:ind w:left="0" w:firstLine="227"/>
        <w:jc w:val="both"/>
        <w:rPr>
          <w:sz w:val="36"/>
          <w:szCs w:val="36"/>
          <w:rtl/>
        </w:rPr>
      </w:pPr>
      <w:r w:rsidRPr="00FD211F">
        <w:rPr>
          <w:sz w:val="36"/>
          <w:szCs w:val="36"/>
          <w:rtl/>
        </w:rPr>
        <w:t xml:space="preserve">واورد عليه في البحوث </w:t>
      </w:r>
      <w:r w:rsidRPr="00FD211F">
        <w:rPr>
          <w:b/>
          <w:bCs/>
          <w:sz w:val="36"/>
          <w:szCs w:val="36"/>
          <w:rtl/>
        </w:rPr>
        <w:t>اولا</w:t>
      </w:r>
      <w:r w:rsidRPr="00FD211F">
        <w:rPr>
          <w:sz w:val="36"/>
          <w:szCs w:val="36"/>
          <w:rtl/>
        </w:rPr>
        <w:t xml:space="preserve">: انه لابد من ان يكون متعلق الحرف في مثل قولنا </w:t>
      </w:r>
      <w:r w:rsidR="00AB33DD" w:rsidRPr="00FD211F">
        <w:rPr>
          <w:sz w:val="36"/>
          <w:szCs w:val="36"/>
          <w:rtl/>
        </w:rPr>
        <w:t>"</w:t>
      </w:r>
      <w:r w:rsidRPr="00FD211F">
        <w:rPr>
          <w:sz w:val="36"/>
          <w:szCs w:val="36"/>
          <w:rtl/>
        </w:rPr>
        <w:t>الغلام لزيد</w:t>
      </w:r>
      <w:r w:rsidR="00AB33DD" w:rsidRPr="00FD211F">
        <w:rPr>
          <w:sz w:val="36"/>
          <w:szCs w:val="36"/>
          <w:rtl/>
        </w:rPr>
        <w:t>"</w:t>
      </w:r>
      <w:r w:rsidRPr="00FD211F">
        <w:rPr>
          <w:sz w:val="36"/>
          <w:szCs w:val="36"/>
          <w:rtl/>
        </w:rPr>
        <w:t xml:space="preserve"> هو كائن او مستقرّ على ما اتفق عليه النحا</w:t>
      </w:r>
      <w:r w:rsidR="00EC7EDF" w:rsidRPr="00FD211F">
        <w:rPr>
          <w:sz w:val="36"/>
          <w:szCs w:val="36"/>
          <w:rtl/>
        </w:rPr>
        <w:t xml:space="preserve">ة </w:t>
      </w:r>
      <w:r w:rsidRPr="00FD211F">
        <w:rPr>
          <w:sz w:val="36"/>
          <w:szCs w:val="36"/>
          <w:rtl/>
        </w:rPr>
        <w:t>ويقتضيه البرهان</w:t>
      </w:r>
      <w:r w:rsidR="00603323" w:rsidRPr="00FD211F">
        <w:rPr>
          <w:sz w:val="36"/>
          <w:szCs w:val="36"/>
          <w:rtl/>
        </w:rPr>
        <w:t xml:space="preserve">، </w:t>
      </w:r>
      <w:r w:rsidRPr="00FD211F">
        <w:rPr>
          <w:sz w:val="36"/>
          <w:szCs w:val="36"/>
          <w:rtl/>
        </w:rPr>
        <w:t>فانه لما كانت معاني تلك الحروف نسبا تحليلي</w:t>
      </w:r>
      <w:r w:rsidR="00EC7EDF" w:rsidRPr="00FD211F">
        <w:rPr>
          <w:sz w:val="36"/>
          <w:szCs w:val="36"/>
          <w:rtl/>
        </w:rPr>
        <w:t xml:space="preserve">ة </w:t>
      </w:r>
      <w:r w:rsidRPr="00FD211F">
        <w:rPr>
          <w:sz w:val="36"/>
          <w:szCs w:val="36"/>
          <w:rtl/>
        </w:rPr>
        <w:t>لتحصلها من النسب الخارجي</w:t>
      </w:r>
      <w:r w:rsidR="00EC7EDF" w:rsidRPr="00FD211F">
        <w:rPr>
          <w:sz w:val="36"/>
          <w:szCs w:val="36"/>
          <w:rtl/>
        </w:rPr>
        <w:t xml:space="preserve">ة </w:t>
      </w:r>
      <w:r w:rsidRPr="00FD211F">
        <w:rPr>
          <w:sz w:val="36"/>
          <w:szCs w:val="36"/>
          <w:rtl/>
        </w:rPr>
        <w:t>فاطرافها موجود</w:t>
      </w:r>
      <w:r w:rsidR="00EC7EDF" w:rsidRPr="00FD211F">
        <w:rPr>
          <w:sz w:val="36"/>
          <w:szCs w:val="36"/>
          <w:rtl/>
        </w:rPr>
        <w:t xml:space="preserve">ة </w:t>
      </w:r>
      <w:r w:rsidRPr="00FD211F">
        <w:rPr>
          <w:sz w:val="36"/>
          <w:szCs w:val="36"/>
          <w:rtl/>
        </w:rPr>
        <w:t>في الذهن بوجود واحد</w:t>
      </w:r>
      <w:r w:rsidR="00603323" w:rsidRPr="00FD211F">
        <w:rPr>
          <w:sz w:val="36"/>
          <w:szCs w:val="36"/>
          <w:rtl/>
        </w:rPr>
        <w:t xml:space="preserve">، </w:t>
      </w:r>
      <w:r w:rsidRPr="00FD211F">
        <w:rPr>
          <w:sz w:val="36"/>
          <w:szCs w:val="36"/>
          <w:rtl/>
        </w:rPr>
        <w:t>فلايمكن ان يكون طرف حرف اللام في هذا المثال هو الغلام</w:t>
      </w:r>
      <w:r w:rsidR="00603323" w:rsidRPr="00FD211F">
        <w:rPr>
          <w:sz w:val="36"/>
          <w:szCs w:val="36"/>
          <w:rtl/>
        </w:rPr>
        <w:t xml:space="preserve">، </w:t>
      </w:r>
      <w:r w:rsidRPr="00FD211F">
        <w:rPr>
          <w:sz w:val="36"/>
          <w:szCs w:val="36"/>
          <w:rtl/>
        </w:rPr>
        <w:t>فانه طرف للنسب</w:t>
      </w:r>
      <w:r w:rsidR="00EC7EDF" w:rsidRPr="00FD211F">
        <w:rPr>
          <w:sz w:val="36"/>
          <w:szCs w:val="36"/>
          <w:rtl/>
        </w:rPr>
        <w:t xml:space="preserve">ة </w:t>
      </w:r>
      <w:r w:rsidRPr="00FD211F">
        <w:rPr>
          <w:sz w:val="36"/>
          <w:szCs w:val="36"/>
          <w:rtl/>
        </w:rPr>
        <w:t>التام</w:t>
      </w:r>
      <w:r w:rsidR="00EC7EDF" w:rsidRPr="00FD211F">
        <w:rPr>
          <w:sz w:val="36"/>
          <w:szCs w:val="36"/>
          <w:rtl/>
        </w:rPr>
        <w:t>ة</w:t>
      </w:r>
      <w:r w:rsidR="00603323" w:rsidRPr="00FD211F">
        <w:rPr>
          <w:sz w:val="36"/>
          <w:szCs w:val="36"/>
          <w:rtl/>
        </w:rPr>
        <w:t xml:space="preserve">، </w:t>
      </w:r>
      <w:r w:rsidRPr="00FD211F">
        <w:rPr>
          <w:sz w:val="36"/>
          <w:szCs w:val="36"/>
          <w:rtl/>
        </w:rPr>
        <w:t>ويعني ذلك لحاظه مجردا والحكم عليه</w:t>
      </w:r>
      <w:r w:rsidR="00C7185F" w:rsidRPr="00FD211F">
        <w:rPr>
          <w:sz w:val="36"/>
          <w:szCs w:val="36"/>
          <w:rtl/>
        </w:rPr>
        <w:t>.</w:t>
      </w:r>
    </w:p>
    <w:p w14:paraId="2A7B2EEB" w14:textId="77777777" w:rsidR="000C5BBA" w:rsidRPr="00FD211F" w:rsidRDefault="00556BC0" w:rsidP="009C58C8">
      <w:pPr>
        <w:ind w:left="0" w:firstLine="227"/>
        <w:jc w:val="both"/>
        <w:rPr>
          <w:sz w:val="36"/>
          <w:szCs w:val="36"/>
          <w:rtl/>
        </w:rPr>
      </w:pPr>
      <w:r w:rsidRPr="00FD211F">
        <w:rPr>
          <w:b/>
          <w:bCs/>
          <w:sz w:val="36"/>
          <w:szCs w:val="36"/>
          <w:rtl/>
        </w:rPr>
        <w:t>وثانيا</w:t>
      </w:r>
      <w:r w:rsidRPr="00FD211F">
        <w:rPr>
          <w:sz w:val="36"/>
          <w:szCs w:val="36"/>
          <w:rtl/>
        </w:rPr>
        <w:t>: انه في مثل</w:t>
      </w:r>
      <w:r w:rsidR="002A3EE1" w:rsidRPr="00FD211F">
        <w:rPr>
          <w:sz w:val="36"/>
          <w:szCs w:val="36"/>
          <w:rtl/>
        </w:rPr>
        <w:t xml:space="preserve"> جمل</w:t>
      </w:r>
      <w:r w:rsidR="00EC7EDF" w:rsidRPr="00FD211F">
        <w:rPr>
          <w:sz w:val="36"/>
          <w:szCs w:val="36"/>
          <w:rtl/>
        </w:rPr>
        <w:t xml:space="preserve">ة </w:t>
      </w:r>
      <w:r w:rsidR="00AB33DD" w:rsidRPr="00FD211F">
        <w:rPr>
          <w:sz w:val="36"/>
          <w:szCs w:val="36"/>
          <w:rtl/>
        </w:rPr>
        <w:t>"</w:t>
      </w:r>
      <w:r w:rsidRPr="00FD211F">
        <w:rPr>
          <w:sz w:val="36"/>
          <w:szCs w:val="36"/>
          <w:rtl/>
        </w:rPr>
        <w:t>مررت بزيد</w:t>
      </w:r>
      <w:r w:rsidR="00AB33DD" w:rsidRPr="00FD211F">
        <w:rPr>
          <w:sz w:val="36"/>
          <w:szCs w:val="36"/>
          <w:rtl/>
        </w:rPr>
        <w:t>"</w:t>
      </w:r>
      <w:r w:rsidRPr="00FD211F">
        <w:rPr>
          <w:sz w:val="36"/>
          <w:szCs w:val="36"/>
          <w:rtl/>
        </w:rPr>
        <w:t xml:space="preserve"> يلزم تعدد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002A3EE1" w:rsidRPr="00FD211F">
        <w:rPr>
          <w:sz w:val="36"/>
          <w:szCs w:val="36"/>
          <w:rtl/>
        </w:rPr>
        <w:t>-لأجل أنهاجمل</w:t>
      </w:r>
      <w:r w:rsidR="00EC7EDF" w:rsidRPr="00FD211F">
        <w:rPr>
          <w:sz w:val="36"/>
          <w:szCs w:val="36"/>
          <w:rtl/>
        </w:rPr>
        <w:t xml:space="preserve">ة </w:t>
      </w:r>
      <w:r w:rsidR="002A3EE1" w:rsidRPr="00FD211F">
        <w:rPr>
          <w:sz w:val="36"/>
          <w:szCs w:val="36"/>
          <w:rtl/>
        </w:rPr>
        <w:t>خبري</w:t>
      </w:r>
      <w:r w:rsidR="00EC7EDF" w:rsidRPr="00FD211F">
        <w:rPr>
          <w:sz w:val="36"/>
          <w:szCs w:val="36"/>
          <w:rtl/>
        </w:rPr>
        <w:t xml:space="preserve">ة </w:t>
      </w:r>
      <w:r w:rsidR="002A3EE1" w:rsidRPr="00FD211F">
        <w:rPr>
          <w:sz w:val="36"/>
          <w:szCs w:val="36"/>
          <w:rtl/>
        </w:rPr>
        <w:t>وفي نفس الوقت جمل</w:t>
      </w:r>
      <w:r w:rsidR="00EC7EDF" w:rsidRPr="00FD211F">
        <w:rPr>
          <w:sz w:val="36"/>
          <w:szCs w:val="36"/>
          <w:rtl/>
        </w:rPr>
        <w:t xml:space="preserve">ة </w:t>
      </w:r>
      <w:r w:rsidR="002A3EE1" w:rsidRPr="00FD211F">
        <w:rPr>
          <w:sz w:val="36"/>
          <w:szCs w:val="36"/>
          <w:rtl/>
        </w:rPr>
        <w:t>جار ومجرور -</w:t>
      </w:r>
      <w:r w:rsidRPr="00FD211F">
        <w:rPr>
          <w:sz w:val="36"/>
          <w:szCs w:val="36"/>
          <w:rtl/>
        </w:rPr>
        <w:t xml:space="preserve"> وهو خلاف الوجدان</w:t>
      </w:r>
      <w:r w:rsidR="00EC7EDF" w:rsidRPr="00FD211F">
        <w:rPr>
          <w:sz w:val="36"/>
          <w:szCs w:val="36"/>
          <w:rtl/>
        </w:rPr>
        <w:t>.</w:t>
      </w:r>
    </w:p>
    <w:p w14:paraId="52C3AB13" w14:textId="77777777" w:rsidR="003B5A95" w:rsidRPr="00FD211F" w:rsidRDefault="00556BC0" w:rsidP="009C58C8">
      <w:pPr>
        <w:ind w:left="0" w:firstLine="227"/>
        <w:jc w:val="both"/>
        <w:rPr>
          <w:sz w:val="36"/>
          <w:szCs w:val="36"/>
          <w:rtl/>
        </w:rPr>
      </w:pPr>
      <w:r w:rsidRPr="00FD211F">
        <w:rPr>
          <w:b/>
          <w:bCs/>
          <w:sz w:val="36"/>
          <w:szCs w:val="36"/>
          <w:rtl/>
        </w:rPr>
        <w:t>وثالثا</w:t>
      </w:r>
      <w:r w:rsidRPr="00FD211F">
        <w:rPr>
          <w:sz w:val="36"/>
          <w:szCs w:val="36"/>
          <w:rtl/>
        </w:rPr>
        <w:t>: انه لايعطي جوابا عن مشكل</w:t>
      </w:r>
      <w:r w:rsidR="00EC7EDF" w:rsidRPr="00FD211F">
        <w:rPr>
          <w:sz w:val="36"/>
          <w:szCs w:val="36"/>
          <w:rtl/>
        </w:rPr>
        <w:t xml:space="preserve">ة </w:t>
      </w:r>
      <w:r w:rsidRPr="00FD211F">
        <w:rPr>
          <w:sz w:val="36"/>
          <w:szCs w:val="36"/>
          <w:rtl/>
        </w:rPr>
        <w:t>عدم صح</w:t>
      </w:r>
      <w:r w:rsidR="00EC7EDF" w:rsidRPr="00FD211F">
        <w:rPr>
          <w:sz w:val="36"/>
          <w:szCs w:val="36"/>
          <w:rtl/>
        </w:rPr>
        <w:t xml:space="preserve">ة </w:t>
      </w:r>
      <w:r w:rsidRPr="00FD211F">
        <w:rPr>
          <w:sz w:val="36"/>
          <w:szCs w:val="36"/>
          <w:rtl/>
        </w:rPr>
        <w:t>الإضاف</w:t>
      </w:r>
      <w:r w:rsidR="00EC7EDF" w:rsidRPr="00FD211F">
        <w:rPr>
          <w:sz w:val="36"/>
          <w:szCs w:val="36"/>
          <w:rtl/>
        </w:rPr>
        <w:t xml:space="preserve">ة </w:t>
      </w:r>
      <w:r w:rsidRPr="00FD211F">
        <w:rPr>
          <w:sz w:val="36"/>
          <w:szCs w:val="36"/>
          <w:rtl/>
        </w:rPr>
        <w:t xml:space="preserve">في بعض موارد الاشتمال على حرف الجرّ مثل </w:t>
      </w:r>
      <w:r w:rsidR="00A66EA5" w:rsidRPr="00FD211F">
        <w:rPr>
          <w:sz w:val="36"/>
          <w:szCs w:val="36"/>
          <w:rtl/>
        </w:rPr>
        <w:t>"</w:t>
      </w:r>
      <w:r w:rsidRPr="00FD211F">
        <w:rPr>
          <w:sz w:val="36"/>
          <w:szCs w:val="36"/>
          <w:rtl/>
        </w:rPr>
        <w:t>زيد قائم في الدار</w:t>
      </w:r>
      <w:r w:rsidR="00A66EA5" w:rsidRPr="00FD211F">
        <w:rPr>
          <w:sz w:val="36"/>
          <w:szCs w:val="36"/>
          <w:rtl/>
        </w:rPr>
        <w:t>"</w:t>
      </w:r>
      <w:r w:rsidR="009C58C8" w:rsidRPr="00FD211F">
        <w:rPr>
          <w:rStyle w:val="a6"/>
          <w:sz w:val="36"/>
          <w:szCs w:val="36"/>
          <w:rtl/>
        </w:rPr>
        <w:t>(</w:t>
      </w:r>
      <w:r w:rsidR="009C58C8" w:rsidRPr="00FD211F">
        <w:rPr>
          <w:rStyle w:val="a6"/>
          <w:sz w:val="36"/>
          <w:szCs w:val="36"/>
          <w:rtl/>
        </w:rPr>
        <w:footnoteReference w:id="186"/>
      </w:r>
      <w:r w:rsidR="009C58C8" w:rsidRPr="00FD211F">
        <w:rPr>
          <w:rStyle w:val="a6"/>
          <w:sz w:val="36"/>
          <w:szCs w:val="36"/>
          <w:rtl/>
        </w:rPr>
        <w:t>)</w:t>
      </w:r>
      <w:r w:rsidRPr="00FD211F">
        <w:rPr>
          <w:sz w:val="36"/>
          <w:szCs w:val="36"/>
          <w:rtl/>
        </w:rPr>
        <w:t>.</w:t>
      </w:r>
    </w:p>
    <w:p w14:paraId="3786D4DA" w14:textId="77777777" w:rsidR="00556BC0" w:rsidRPr="00FD211F" w:rsidRDefault="003B5A95" w:rsidP="009C58C8">
      <w:pPr>
        <w:ind w:left="0" w:firstLine="227"/>
        <w:jc w:val="both"/>
        <w:rPr>
          <w:sz w:val="36"/>
          <w:szCs w:val="36"/>
          <w:rtl/>
        </w:rPr>
      </w:pPr>
      <w:r w:rsidRPr="00FD211F">
        <w:rPr>
          <w:sz w:val="36"/>
          <w:szCs w:val="36"/>
          <w:rtl/>
        </w:rPr>
        <w:t>اقول</w:t>
      </w:r>
      <w:r w:rsidR="002A3EE1" w:rsidRPr="00FD211F">
        <w:rPr>
          <w:sz w:val="36"/>
          <w:szCs w:val="36"/>
          <w:rtl/>
        </w:rPr>
        <w:t>:المهم في الجواب عن هذاالوجه ان جمل</w:t>
      </w:r>
      <w:r w:rsidR="00EC7EDF" w:rsidRPr="00FD211F">
        <w:rPr>
          <w:sz w:val="36"/>
          <w:szCs w:val="36"/>
          <w:rtl/>
        </w:rPr>
        <w:t xml:space="preserve">ة </w:t>
      </w:r>
      <w:r w:rsidR="002A3EE1" w:rsidRPr="00FD211F">
        <w:rPr>
          <w:sz w:val="36"/>
          <w:szCs w:val="36"/>
          <w:rtl/>
        </w:rPr>
        <w:t xml:space="preserve">الجار والمجرور </w:t>
      </w:r>
      <w:r w:rsidR="00AB7EFD" w:rsidRPr="00FD211F">
        <w:rPr>
          <w:sz w:val="36"/>
          <w:szCs w:val="36"/>
          <w:rtl/>
        </w:rPr>
        <w:t>قدتكون جمل</w:t>
      </w:r>
      <w:r w:rsidR="00EC7EDF" w:rsidRPr="00FD211F">
        <w:rPr>
          <w:sz w:val="36"/>
          <w:szCs w:val="36"/>
          <w:rtl/>
        </w:rPr>
        <w:t xml:space="preserve">ة </w:t>
      </w:r>
      <w:r w:rsidR="00AB7EFD" w:rsidRPr="00FD211F">
        <w:rPr>
          <w:sz w:val="36"/>
          <w:szCs w:val="36"/>
          <w:rtl/>
        </w:rPr>
        <w:t>ناقص</w:t>
      </w:r>
      <w:r w:rsidR="00EC7EDF" w:rsidRPr="00FD211F">
        <w:rPr>
          <w:sz w:val="36"/>
          <w:szCs w:val="36"/>
          <w:rtl/>
        </w:rPr>
        <w:t xml:space="preserve">ة </w:t>
      </w:r>
      <w:r w:rsidR="00AB7EFD" w:rsidRPr="00FD211F">
        <w:rPr>
          <w:sz w:val="36"/>
          <w:szCs w:val="36"/>
          <w:rtl/>
        </w:rPr>
        <w:t>كقولنا</w:t>
      </w:r>
      <w:r w:rsidR="002B1EA9" w:rsidRPr="00FD211F">
        <w:rPr>
          <w:sz w:val="36"/>
          <w:szCs w:val="36"/>
          <w:rtl/>
        </w:rPr>
        <w:t xml:space="preserve"> </w:t>
      </w:r>
      <w:r w:rsidR="00AB7EFD" w:rsidRPr="00FD211F">
        <w:rPr>
          <w:sz w:val="36"/>
          <w:szCs w:val="36"/>
          <w:rtl/>
        </w:rPr>
        <w:t xml:space="preserve">"الجلوس على السطح "واما قولنا" زيد في الدار" </w:t>
      </w:r>
      <w:r w:rsidR="00DB3466" w:rsidRPr="00FD211F">
        <w:rPr>
          <w:sz w:val="36"/>
          <w:szCs w:val="36"/>
          <w:rtl/>
        </w:rPr>
        <w:t>فقد مر الكلام في مدلولها في بحث المعنى الحرفي</w:t>
      </w:r>
      <w:r w:rsidR="00EC7EDF" w:rsidRPr="00FD211F">
        <w:rPr>
          <w:sz w:val="36"/>
          <w:szCs w:val="36"/>
          <w:rtl/>
        </w:rPr>
        <w:t>.</w:t>
      </w:r>
    </w:p>
    <w:p w14:paraId="4AA0825E" w14:textId="77777777" w:rsidR="00556BC0" w:rsidRPr="00FD211F" w:rsidRDefault="002D2DBE" w:rsidP="009C58C8">
      <w:pPr>
        <w:ind w:left="0" w:firstLine="227"/>
        <w:jc w:val="both"/>
        <w:rPr>
          <w:sz w:val="36"/>
          <w:szCs w:val="36"/>
          <w:rtl/>
        </w:rPr>
      </w:pPr>
      <w:r w:rsidRPr="00FD211F">
        <w:rPr>
          <w:b/>
          <w:bCs/>
          <w:sz w:val="36"/>
          <w:szCs w:val="36"/>
          <w:rtl/>
        </w:rPr>
        <w:t>الوجه الرابع</w:t>
      </w:r>
      <w:r w:rsidRPr="00FD211F">
        <w:rPr>
          <w:sz w:val="36"/>
          <w:szCs w:val="36"/>
          <w:rtl/>
        </w:rPr>
        <w:t>:</w:t>
      </w:r>
      <w:r w:rsidR="00556BC0" w:rsidRPr="00FD211F">
        <w:rPr>
          <w:sz w:val="36"/>
          <w:szCs w:val="36"/>
          <w:rtl/>
        </w:rPr>
        <w:t xml:space="preserve"> ان حروف الجرّ موضوع</w:t>
      </w:r>
      <w:r w:rsidR="00EC7EDF" w:rsidRPr="00FD211F">
        <w:rPr>
          <w:sz w:val="36"/>
          <w:szCs w:val="36"/>
          <w:rtl/>
        </w:rPr>
        <w:t xml:space="preserve">ة </w:t>
      </w:r>
      <w:r w:rsidR="00556BC0" w:rsidRPr="00FD211F">
        <w:rPr>
          <w:sz w:val="36"/>
          <w:szCs w:val="36"/>
          <w:rtl/>
        </w:rPr>
        <w:t>لتقييد النسب</w:t>
      </w:r>
      <w:r w:rsidR="00EC7EDF" w:rsidRPr="00FD211F">
        <w:rPr>
          <w:sz w:val="36"/>
          <w:szCs w:val="36"/>
          <w:rtl/>
        </w:rPr>
        <w:t xml:space="preserve">ة </w:t>
      </w:r>
      <w:r w:rsidR="00556BC0" w:rsidRPr="00FD211F">
        <w:rPr>
          <w:sz w:val="36"/>
          <w:szCs w:val="36"/>
          <w:rtl/>
        </w:rPr>
        <w:t>التام</w:t>
      </w:r>
      <w:r w:rsidR="00EC7EDF" w:rsidRPr="00FD211F">
        <w:rPr>
          <w:sz w:val="36"/>
          <w:szCs w:val="36"/>
          <w:rtl/>
        </w:rPr>
        <w:t xml:space="preserve">ة </w:t>
      </w:r>
      <w:r w:rsidR="00556BC0" w:rsidRPr="00FD211F">
        <w:rPr>
          <w:sz w:val="36"/>
          <w:szCs w:val="36"/>
          <w:rtl/>
        </w:rPr>
        <w:t>ولكن الإضاف</w:t>
      </w:r>
      <w:r w:rsidR="00EC7EDF" w:rsidRPr="00FD211F">
        <w:rPr>
          <w:sz w:val="36"/>
          <w:szCs w:val="36"/>
          <w:rtl/>
        </w:rPr>
        <w:t xml:space="preserve">ة </w:t>
      </w:r>
      <w:r w:rsidR="00556BC0" w:rsidRPr="00FD211F">
        <w:rPr>
          <w:sz w:val="36"/>
          <w:szCs w:val="36"/>
          <w:rtl/>
        </w:rPr>
        <w:t>موضوع</w:t>
      </w:r>
      <w:r w:rsidR="00EC7EDF" w:rsidRPr="00FD211F">
        <w:rPr>
          <w:sz w:val="36"/>
          <w:szCs w:val="36"/>
          <w:rtl/>
        </w:rPr>
        <w:t xml:space="preserve">ة </w:t>
      </w:r>
      <w:r w:rsidR="00556BC0" w:rsidRPr="00FD211F">
        <w:rPr>
          <w:sz w:val="36"/>
          <w:szCs w:val="36"/>
          <w:rtl/>
        </w:rPr>
        <w:t>لتقييد المفاهيم المفرد</w:t>
      </w:r>
      <w:r w:rsidR="00EC7EDF" w:rsidRPr="00FD211F">
        <w:rPr>
          <w:sz w:val="36"/>
          <w:szCs w:val="36"/>
          <w:rtl/>
        </w:rPr>
        <w:t>ة</w:t>
      </w:r>
      <w:r w:rsidR="00603323" w:rsidRPr="00FD211F">
        <w:rPr>
          <w:sz w:val="36"/>
          <w:szCs w:val="36"/>
          <w:rtl/>
        </w:rPr>
        <w:t xml:space="preserve">، </w:t>
      </w:r>
      <w:r w:rsidR="00556BC0" w:rsidRPr="00FD211F">
        <w:rPr>
          <w:sz w:val="36"/>
          <w:szCs w:val="36"/>
          <w:rtl/>
        </w:rPr>
        <w:t>فحرف الجرّ في قولنا</w:t>
      </w:r>
      <w:r w:rsidR="00A66EA5" w:rsidRPr="00FD211F">
        <w:rPr>
          <w:sz w:val="36"/>
          <w:szCs w:val="36"/>
          <w:rtl/>
        </w:rPr>
        <w:t>"</w:t>
      </w:r>
      <w:r w:rsidR="00556BC0" w:rsidRPr="00FD211F">
        <w:rPr>
          <w:sz w:val="36"/>
          <w:szCs w:val="36"/>
          <w:rtl/>
        </w:rPr>
        <w:t xml:space="preserve"> زيد قائم في الدار</w:t>
      </w:r>
      <w:r w:rsidR="00A66EA5" w:rsidRPr="00FD211F">
        <w:rPr>
          <w:sz w:val="36"/>
          <w:szCs w:val="36"/>
          <w:rtl/>
        </w:rPr>
        <w:t>"</w:t>
      </w:r>
      <w:r w:rsidR="00556BC0" w:rsidRPr="00FD211F">
        <w:rPr>
          <w:sz w:val="36"/>
          <w:szCs w:val="36"/>
          <w:rtl/>
        </w:rPr>
        <w:t xml:space="preserve"> مقيد</w:t>
      </w:r>
      <w:r w:rsidR="00EC7EDF" w:rsidRPr="00FD211F">
        <w:rPr>
          <w:sz w:val="36"/>
          <w:szCs w:val="36"/>
          <w:rtl/>
        </w:rPr>
        <w:t xml:space="preserve"> </w:t>
      </w:r>
      <w:r w:rsidR="00556BC0" w:rsidRPr="00FD211F">
        <w:rPr>
          <w:sz w:val="36"/>
          <w:szCs w:val="36"/>
          <w:rtl/>
        </w:rPr>
        <w:t>للنسب</w:t>
      </w:r>
      <w:r w:rsidR="00EC7EDF" w:rsidRPr="00FD211F">
        <w:rPr>
          <w:sz w:val="36"/>
          <w:szCs w:val="36"/>
          <w:rtl/>
        </w:rPr>
        <w:t xml:space="preserve">ة </w:t>
      </w:r>
      <w:r w:rsidR="00556BC0" w:rsidRPr="00FD211F">
        <w:rPr>
          <w:sz w:val="36"/>
          <w:szCs w:val="36"/>
          <w:rtl/>
        </w:rPr>
        <w:t>الحملي</w:t>
      </w:r>
      <w:r w:rsidR="00EC7EDF" w:rsidRPr="00FD211F">
        <w:rPr>
          <w:sz w:val="36"/>
          <w:szCs w:val="36"/>
          <w:rtl/>
        </w:rPr>
        <w:t xml:space="preserve">ة </w:t>
      </w:r>
      <w:r w:rsidR="00556BC0" w:rsidRPr="00FD211F">
        <w:rPr>
          <w:sz w:val="36"/>
          <w:szCs w:val="36"/>
          <w:rtl/>
        </w:rPr>
        <w:t>بين زيد وقائم</w:t>
      </w:r>
      <w:r w:rsidR="00603323" w:rsidRPr="00FD211F">
        <w:rPr>
          <w:sz w:val="36"/>
          <w:szCs w:val="36"/>
          <w:rtl/>
        </w:rPr>
        <w:t xml:space="preserve">، </w:t>
      </w:r>
      <w:r w:rsidR="00556BC0" w:rsidRPr="00FD211F">
        <w:rPr>
          <w:sz w:val="36"/>
          <w:szCs w:val="36"/>
          <w:rtl/>
        </w:rPr>
        <w:t>اذ لايمكن تقييد الموضوع</w:t>
      </w:r>
      <w:r w:rsidR="00603323" w:rsidRPr="00FD211F">
        <w:rPr>
          <w:sz w:val="36"/>
          <w:szCs w:val="36"/>
          <w:rtl/>
        </w:rPr>
        <w:t xml:space="preserve">، </w:t>
      </w:r>
      <w:r w:rsidR="00556BC0" w:rsidRPr="00FD211F">
        <w:rPr>
          <w:sz w:val="36"/>
          <w:szCs w:val="36"/>
          <w:rtl/>
        </w:rPr>
        <w:t>ووجه عدم صح</w:t>
      </w:r>
      <w:r w:rsidR="00EC7EDF" w:rsidRPr="00FD211F">
        <w:rPr>
          <w:sz w:val="36"/>
          <w:szCs w:val="36"/>
          <w:rtl/>
        </w:rPr>
        <w:t xml:space="preserve">ة </w:t>
      </w:r>
      <w:r w:rsidR="00556BC0" w:rsidRPr="00FD211F">
        <w:rPr>
          <w:sz w:val="36"/>
          <w:szCs w:val="36"/>
          <w:rtl/>
        </w:rPr>
        <w:t>الإضاف</w:t>
      </w:r>
      <w:r w:rsidR="00EC7EDF" w:rsidRPr="00FD211F">
        <w:rPr>
          <w:sz w:val="36"/>
          <w:szCs w:val="36"/>
          <w:rtl/>
        </w:rPr>
        <w:t xml:space="preserve">ة </w:t>
      </w:r>
      <w:r w:rsidR="00556BC0" w:rsidRPr="00FD211F">
        <w:rPr>
          <w:sz w:val="36"/>
          <w:szCs w:val="36"/>
          <w:rtl/>
        </w:rPr>
        <w:t>في مثله ان الإضاف</w:t>
      </w:r>
      <w:r w:rsidR="00EC7EDF" w:rsidRPr="00FD211F">
        <w:rPr>
          <w:sz w:val="36"/>
          <w:szCs w:val="36"/>
          <w:rtl/>
        </w:rPr>
        <w:t xml:space="preserve">ة </w:t>
      </w:r>
      <w:r w:rsidR="00556BC0" w:rsidRPr="00FD211F">
        <w:rPr>
          <w:sz w:val="36"/>
          <w:szCs w:val="36"/>
          <w:rtl/>
        </w:rPr>
        <w:t>تخلّ بغرض تقييد النسب</w:t>
      </w:r>
      <w:r w:rsidR="00EC7EDF" w:rsidRPr="00FD211F">
        <w:rPr>
          <w:sz w:val="36"/>
          <w:szCs w:val="36"/>
          <w:rtl/>
        </w:rPr>
        <w:t xml:space="preserve">ة </w:t>
      </w:r>
      <w:r w:rsidR="00556BC0" w:rsidRPr="00FD211F">
        <w:rPr>
          <w:sz w:val="36"/>
          <w:szCs w:val="36"/>
          <w:rtl/>
        </w:rPr>
        <w:t>الحملي</w:t>
      </w:r>
      <w:r w:rsidR="00EC7EDF" w:rsidRPr="00FD211F">
        <w:rPr>
          <w:sz w:val="36"/>
          <w:szCs w:val="36"/>
          <w:rtl/>
        </w:rPr>
        <w:t>ة</w:t>
      </w:r>
      <w:r w:rsidR="00A61BAE" w:rsidRPr="00FD211F">
        <w:rPr>
          <w:sz w:val="36"/>
          <w:szCs w:val="36"/>
          <w:rtl/>
        </w:rPr>
        <w:t>.</w:t>
      </w:r>
    </w:p>
    <w:p w14:paraId="0AB61B74" w14:textId="77777777" w:rsidR="001D5BF0" w:rsidRPr="00FD211F" w:rsidRDefault="00556BC0" w:rsidP="009C58C8">
      <w:pPr>
        <w:ind w:left="0" w:firstLine="227"/>
        <w:jc w:val="both"/>
        <w:rPr>
          <w:sz w:val="36"/>
          <w:szCs w:val="36"/>
          <w:rtl/>
        </w:rPr>
      </w:pPr>
      <w:r w:rsidRPr="00FD211F">
        <w:rPr>
          <w:sz w:val="36"/>
          <w:szCs w:val="36"/>
          <w:rtl/>
        </w:rPr>
        <w:t>واو</w:t>
      </w:r>
      <w:r w:rsidR="00FA7073" w:rsidRPr="00FD211F">
        <w:rPr>
          <w:sz w:val="36"/>
          <w:szCs w:val="36"/>
          <w:rtl/>
        </w:rPr>
        <w:t>رد عليه في البحوث ثلاث ايرادت</w:t>
      </w:r>
      <w:r w:rsidR="00EC7EDF" w:rsidRPr="00FD211F">
        <w:rPr>
          <w:sz w:val="36"/>
          <w:szCs w:val="36"/>
          <w:rtl/>
        </w:rPr>
        <w:t>.</w:t>
      </w:r>
    </w:p>
    <w:p w14:paraId="0747F9AD" w14:textId="77777777" w:rsidR="00556BC0" w:rsidRPr="00FD211F" w:rsidRDefault="001D5BF0" w:rsidP="009C58C8">
      <w:pPr>
        <w:ind w:left="0" w:firstLine="227"/>
        <w:jc w:val="both"/>
        <w:rPr>
          <w:sz w:val="36"/>
          <w:szCs w:val="36"/>
          <w:rtl/>
        </w:rPr>
      </w:pPr>
      <w:r w:rsidRPr="00FD211F">
        <w:rPr>
          <w:sz w:val="36"/>
          <w:szCs w:val="36"/>
          <w:rtl/>
        </w:rPr>
        <w:t>1- النق</w:t>
      </w:r>
      <w:r w:rsidR="00556BC0" w:rsidRPr="00FD211F">
        <w:rPr>
          <w:sz w:val="36"/>
          <w:szCs w:val="36"/>
          <w:rtl/>
        </w:rPr>
        <w:t>ض</w:t>
      </w:r>
      <w:r w:rsidR="00A66EA5" w:rsidRPr="00FD211F">
        <w:rPr>
          <w:sz w:val="36"/>
          <w:szCs w:val="36"/>
          <w:rtl/>
        </w:rPr>
        <w:t xml:space="preserve"> بموارد تعلق حرف الجرّ بالمصدر مثل "</w:t>
      </w:r>
      <w:r w:rsidR="00556BC0" w:rsidRPr="00FD211F">
        <w:rPr>
          <w:sz w:val="36"/>
          <w:szCs w:val="36"/>
          <w:rtl/>
        </w:rPr>
        <w:t>الجلوس في الدار</w:t>
      </w:r>
      <w:r w:rsidR="00A66EA5" w:rsidRPr="00FD211F">
        <w:rPr>
          <w:sz w:val="36"/>
          <w:szCs w:val="36"/>
          <w:rtl/>
        </w:rPr>
        <w:t>"</w:t>
      </w:r>
      <w:r w:rsidR="00556BC0" w:rsidRPr="00FD211F">
        <w:rPr>
          <w:sz w:val="36"/>
          <w:szCs w:val="36"/>
          <w:rtl/>
        </w:rPr>
        <w:t xml:space="preserve"> </w:t>
      </w:r>
      <w:r w:rsidR="00A66EA5" w:rsidRPr="00FD211F">
        <w:rPr>
          <w:sz w:val="36"/>
          <w:szCs w:val="36"/>
          <w:rtl/>
        </w:rPr>
        <w:t>اوالمشتق مثل "</w:t>
      </w:r>
      <w:r w:rsidR="00556BC0" w:rsidRPr="00FD211F">
        <w:rPr>
          <w:sz w:val="36"/>
          <w:szCs w:val="36"/>
          <w:rtl/>
        </w:rPr>
        <w:t xml:space="preserve"> الجالس في الدار</w:t>
      </w:r>
      <w:r w:rsidR="00A66EA5" w:rsidRPr="00FD211F">
        <w:rPr>
          <w:sz w:val="36"/>
          <w:szCs w:val="36"/>
          <w:rtl/>
        </w:rPr>
        <w:t>"</w:t>
      </w:r>
      <w:r w:rsidR="00556BC0" w:rsidRPr="00FD211F">
        <w:rPr>
          <w:sz w:val="36"/>
          <w:szCs w:val="36"/>
          <w:rtl/>
        </w:rPr>
        <w:t xml:space="preserve"> فانها لاتتضمن نسب</w:t>
      </w:r>
      <w:r w:rsidR="00EC7EDF" w:rsidRPr="00FD211F">
        <w:rPr>
          <w:sz w:val="36"/>
          <w:szCs w:val="36"/>
          <w:rtl/>
        </w:rPr>
        <w:t xml:space="preserve">ة </w:t>
      </w:r>
      <w:r w:rsidR="00556BC0" w:rsidRPr="00FD211F">
        <w:rPr>
          <w:sz w:val="36"/>
          <w:szCs w:val="36"/>
          <w:rtl/>
        </w:rPr>
        <w:t>تام</w:t>
      </w:r>
      <w:r w:rsidR="00EC7EDF" w:rsidRPr="00FD211F">
        <w:rPr>
          <w:sz w:val="36"/>
          <w:szCs w:val="36"/>
          <w:rtl/>
        </w:rPr>
        <w:t>ة</w:t>
      </w:r>
      <w:r w:rsidR="00603323" w:rsidRPr="00FD211F">
        <w:rPr>
          <w:sz w:val="36"/>
          <w:szCs w:val="36"/>
          <w:rtl/>
        </w:rPr>
        <w:t xml:space="preserve">، </w:t>
      </w:r>
      <w:r w:rsidR="00556BC0" w:rsidRPr="00FD211F">
        <w:rPr>
          <w:sz w:val="36"/>
          <w:szCs w:val="36"/>
          <w:rtl/>
        </w:rPr>
        <w:t>و</w:t>
      </w:r>
      <w:r w:rsidRPr="00FD211F">
        <w:rPr>
          <w:sz w:val="36"/>
          <w:szCs w:val="36"/>
          <w:rtl/>
        </w:rPr>
        <w:t xml:space="preserve">لاتتم </w:t>
      </w:r>
      <w:r w:rsidR="00556BC0" w:rsidRPr="00FD211F">
        <w:rPr>
          <w:sz w:val="36"/>
          <w:szCs w:val="36"/>
          <w:rtl/>
        </w:rPr>
        <w:t>دعوى ان الاوصاف تستبطن الإخبار فيمكن اقتناص نسب</w:t>
      </w:r>
      <w:r w:rsidR="00EC7EDF" w:rsidRPr="00FD211F">
        <w:rPr>
          <w:sz w:val="36"/>
          <w:szCs w:val="36"/>
          <w:rtl/>
        </w:rPr>
        <w:t xml:space="preserve">ة </w:t>
      </w:r>
      <w:r w:rsidR="00556BC0" w:rsidRPr="00FD211F">
        <w:rPr>
          <w:sz w:val="36"/>
          <w:szCs w:val="36"/>
          <w:rtl/>
        </w:rPr>
        <w:t>تام</w:t>
      </w:r>
      <w:r w:rsidR="00EC7EDF" w:rsidRPr="00FD211F">
        <w:rPr>
          <w:sz w:val="36"/>
          <w:szCs w:val="36"/>
          <w:rtl/>
        </w:rPr>
        <w:t xml:space="preserve">ة </w:t>
      </w:r>
      <w:r w:rsidR="00556BC0" w:rsidRPr="00FD211F">
        <w:rPr>
          <w:sz w:val="36"/>
          <w:szCs w:val="36"/>
          <w:rtl/>
        </w:rPr>
        <w:t>من الاوصاف</w:t>
      </w:r>
      <w:r w:rsidR="00603323" w:rsidRPr="00FD211F">
        <w:rPr>
          <w:sz w:val="36"/>
          <w:szCs w:val="36"/>
          <w:rtl/>
        </w:rPr>
        <w:t xml:space="preserve">، </w:t>
      </w:r>
      <w:r w:rsidR="00556BC0" w:rsidRPr="00FD211F">
        <w:rPr>
          <w:sz w:val="36"/>
          <w:szCs w:val="36"/>
          <w:rtl/>
        </w:rPr>
        <w:t>لعدم جريانه</w:t>
      </w:r>
      <w:r w:rsidRPr="00FD211F">
        <w:rPr>
          <w:sz w:val="36"/>
          <w:szCs w:val="36"/>
          <w:rtl/>
        </w:rPr>
        <w:t>ا</w:t>
      </w:r>
      <w:r w:rsidR="00556BC0" w:rsidRPr="00FD211F">
        <w:rPr>
          <w:sz w:val="36"/>
          <w:szCs w:val="36"/>
          <w:rtl/>
        </w:rPr>
        <w:t xml:space="preserve"> في المصدر كقولنا الجلوس في الدار</w:t>
      </w:r>
      <w:r w:rsidR="00603323" w:rsidRPr="00FD211F">
        <w:rPr>
          <w:sz w:val="36"/>
          <w:szCs w:val="36"/>
          <w:rtl/>
        </w:rPr>
        <w:t xml:space="preserve">، </w:t>
      </w:r>
      <w:r w:rsidR="00556BC0" w:rsidRPr="00FD211F">
        <w:rPr>
          <w:sz w:val="36"/>
          <w:szCs w:val="36"/>
          <w:rtl/>
        </w:rPr>
        <w:t>حيث انه لااشكال في عدم تحصله عن 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ة</w:t>
      </w:r>
      <w:r w:rsidR="00603323" w:rsidRPr="00FD211F">
        <w:rPr>
          <w:sz w:val="36"/>
          <w:szCs w:val="36"/>
          <w:rtl/>
        </w:rPr>
        <w:t xml:space="preserve">، </w:t>
      </w:r>
      <w:r w:rsidR="00556BC0" w:rsidRPr="00FD211F">
        <w:rPr>
          <w:sz w:val="36"/>
          <w:szCs w:val="36"/>
          <w:rtl/>
        </w:rPr>
        <w:t>على انه لايختص الاستبطان بالنسب</w:t>
      </w:r>
      <w:r w:rsidR="00EC7EDF" w:rsidRPr="00FD211F">
        <w:rPr>
          <w:sz w:val="36"/>
          <w:szCs w:val="36"/>
          <w:rtl/>
        </w:rPr>
        <w:t xml:space="preserve">ة </w:t>
      </w:r>
      <w:r w:rsidR="00556BC0" w:rsidRPr="00FD211F">
        <w:rPr>
          <w:sz w:val="36"/>
          <w:szCs w:val="36"/>
          <w:rtl/>
        </w:rPr>
        <w:t>التام</w:t>
      </w:r>
      <w:r w:rsidR="00EC7EDF" w:rsidRPr="00FD211F">
        <w:rPr>
          <w:sz w:val="36"/>
          <w:szCs w:val="36"/>
          <w:rtl/>
        </w:rPr>
        <w:t xml:space="preserve">ة </w:t>
      </w:r>
      <w:r w:rsidR="00556BC0" w:rsidRPr="00FD211F">
        <w:rPr>
          <w:sz w:val="36"/>
          <w:szCs w:val="36"/>
          <w:rtl/>
        </w:rPr>
        <w:t>في المشتقات</w:t>
      </w:r>
      <w:r w:rsidR="00603323" w:rsidRPr="00FD211F">
        <w:rPr>
          <w:sz w:val="36"/>
          <w:szCs w:val="36"/>
          <w:rtl/>
        </w:rPr>
        <w:t xml:space="preserve">، </w:t>
      </w:r>
      <w:r w:rsidR="00556BC0" w:rsidRPr="00FD211F">
        <w:rPr>
          <w:sz w:val="36"/>
          <w:szCs w:val="36"/>
          <w:rtl/>
        </w:rPr>
        <w:t>بل هو ثابت في مطلق القيود المأخوذ</w:t>
      </w:r>
      <w:r w:rsidR="00EC7EDF" w:rsidRPr="00FD211F">
        <w:rPr>
          <w:sz w:val="36"/>
          <w:szCs w:val="36"/>
          <w:rtl/>
        </w:rPr>
        <w:t xml:space="preserve">ة </w:t>
      </w:r>
      <w:r w:rsidR="00556BC0" w:rsidRPr="00FD211F">
        <w:rPr>
          <w:sz w:val="36"/>
          <w:szCs w:val="36"/>
          <w:rtl/>
        </w:rPr>
        <w:t>في اطراف نسب</w:t>
      </w:r>
      <w:r w:rsidR="00EC7EDF" w:rsidRPr="00FD211F">
        <w:rPr>
          <w:sz w:val="36"/>
          <w:szCs w:val="36"/>
          <w:rtl/>
        </w:rPr>
        <w:t xml:space="preserve">ة </w:t>
      </w:r>
      <w:r w:rsidR="00556BC0" w:rsidRPr="00FD211F">
        <w:rPr>
          <w:sz w:val="36"/>
          <w:szCs w:val="36"/>
          <w:rtl/>
        </w:rPr>
        <w:t>تام</w:t>
      </w:r>
      <w:r w:rsidR="00EC7EDF" w:rsidRPr="00FD211F">
        <w:rPr>
          <w:sz w:val="36"/>
          <w:szCs w:val="36"/>
          <w:rtl/>
        </w:rPr>
        <w:t xml:space="preserve">ة </w:t>
      </w:r>
      <w:r w:rsidR="00556BC0" w:rsidRPr="00FD211F">
        <w:rPr>
          <w:sz w:val="36"/>
          <w:szCs w:val="36"/>
          <w:rtl/>
        </w:rPr>
        <w:t>كما في الإضاف</w:t>
      </w:r>
      <w:r w:rsidR="00EC7EDF" w:rsidRPr="00FD211F">
        <w:rPr>
          <w:sz w:val="36"/>
          <w:szCs w:val="36"/>
          <w:rtl/>
        </w:rPr>
        <w:t>ة</w:t>
      </w:r>
      <w:r w:rsidR="00603323" w:rsidRPr="00FD211F">
        <w:rPr>
          <w:sz w:val="36"/>
          <w:szCs w:val="36"/>
          <w:rtl/>
        </w:rPr>
        <w:t xml:space="preserve">، </w:t>
      </w:r>
      <w:r w:rsidR="00556BC0" w:rsidRPr="00FD211F">
        <w:rPr>
          <w:sz w:val="36"/>
          <w:szCs w:val="36"/>
          <w:rtl/>
        </w:rPr>
        <w:t>فلماذا لايصلح للحرف ان تقيد تلك النسب التام</w:t>
      </w:r>
      <w:r w:rsidR="00EC7EDF" w:rsidRPr="00FD211F">
        <w:rPr>
          <w:sz w:val="36"/>
          <w:szCs w:val="36"/>
          <w:rtl/>
        </w:rPr>
        <w:t xml:space="preserve">ة </w:t>
      </w:r>
      <w:r w:rsidR="00556BC0" w:rsidRPr="00FD211F">
        <w:rPr>
          <w:sz w:val="36"/>
          <w:szCs w:val="36"/>
          <w:rtl/>
        </w:rPr>
        <w:t>المستبطن</w:t>
      </w:r>
      <w:r w:rsidR="00EC7EDF" w:rsidRPr="00FD211F">
        <w:rPr>
          <w:sz w:val="36"/>
          <w:szCs w:val="36"/>
          <w:rtl/>
        </w:rPr>
        <w:t>ة</w:t>
      </w:r>
      <w:r w:rsidR="00A61BAE" w:rsidRPr="00FD211F">
        <w:rPr>
          <w:sz w:val="36"/>
          <w:szCs w:val="36"/>
          <w:rtl/>
        </w:rPr>
        <w:t>.</w:t>
      </w:r>
    </w:p>
    <w:p w14:paraId="6F420EBA" w14:textId="77777777" w:rsidR="00556BC0" w:rsidRPr="00FD211F" w:rsidRDefault="00FA7073" w:rsidP="009C58C8">
      <w:pPr>
        <w:ind w:left="0" w:firstLine="227"/>
        <w:jc w:val="both"/>
        <w:rPr>
          <w:sz w:val="36"/>
          <w:szCs w:val="36"/>
          <w:rtl/>
        </w:rPr>
      </w:pPr>
      <w:r w:rsidRPr="00FD211F">
        <w:rPr>
          <w:sz w:val="36"/>
          <w:szCs w:val="36"/>
          <w:rtl/>
        </w:rPr>
        <w:t>2-</w:t>
      </w:r>
      <w:r w:rsidR="00556BC0" w:rsidRPr="00FD211F">
        <w:rPr>
          <w:sz w:val="36"/>
          <w:szCs w:val="36"/>
          <w:rtl/>
        </w:rPr>
        <w:t xml:space="preserve"> ان حرف الجر مما لايتعلق بغير المعنى الحدثي</w:t>
      </w:r>
      <w:r w:rsidR="00603323" w:rsidRPr="00FD211F">
        <w:rPr>
          <w:sz w:val="36"/>
          <w:szCs w:val="36"/>
          <w:rtl/>
        </w:rPr>
        <w:t xml:space="preserve">، </w:t>
      </w:r>
      <w:r w:rsidR="00556BC0" w:rsidRPr="00FD211F">
        <w:rPr>
          <w:sz w:val="36"/>
          <w:szCs w:val="36"/>
          <w:rtl/>
        </w:rPr>
        <w:t>فلو كان طرفا النسب</w:t>
      </w:r>
      <w:r w:rsidR="00EC7EDF" w:rsidRPr="00FD211F">
        <w:rPr>
          <w:sz w:val="36"/>
          <w:szCs w:val="36"/>
          <w:rtl/>
        </w:rPr>
        <w:t xml:space="preserve">ة </w:t>
      </w:r>
      <w:r w:rsidR="00556BC0" w:rsidRPr="00FD211F">
        <w:rPr>
          <w:sz w:val="36"/>
          <w:szCs w:val="36"/>
          <w:rtl/>
        </w:rPr>
        <w:t>التام</w:t>
      </w:r>
      <w:r w:rsidR="00EC7EDF" w:rsidRPr="00FD211F">
        <w:rPr>
          <w:sz w:val="36"/>
          <w:szCs w:val="36"/>
          <w:rtl/>
        </w:rPr>
        <w:t xml:space="preserve">ة </w:t>
      </w:r>
      <w:r w:rsidR="00556BC0" w:rsidRPr="00FD211F">
        <w:rPr>
          <w:sz w:val="36"/>
          <w:szCs w:val="36"/>
          <w:rtl/>
        </w:rPr>
        <w:t>غير مشتملين على المعنى الحدثي</w:t>
      </w:r>
      <w:r w:rsidR="008D7B3D" w:rsidRPr="00FD211F">
        <w:rPr>
          <w:sz w:val="36"/>
          <w:szCs w:val="36"/>
          <w:rtl/>
        </w:rPr>
        <w:t xml:space="preserve"> لم‌</w:t>
      </w:r>
      <w:r w:rsidR="00556BC0" w:rsidRPr="00FD211F">
        <w:rPr>
          <w:sz w:val="36"/>
          <w:szCs w:val="36"/>
          <w:rtl/>
        </w:rPr>
        <w:t xml:space="preserve">يصح الإتيان بحرف الجرّ كما في </w:t>
      </w:r>
      <w:r w:rsidR="001D5BF0" w:rsidRPr="00FD211F">
        <w:rPr>
          <w:sz w:val="36"/>
          <w:szCs w:val="36"/>
          <w:rtl/>
        </w:rPr>
        <w:t>"</w:t>
      </w:r>
      <w:r w:rsidR="00556BC0" w:rsidRPr="00FD211F">
        <w:rPr>
          <w:sz w:val="36"/>
          <w:szCs w:val="36"/>
          <w:rtl/>
        </w:rPr>
        <w:t>زيد انسان</w:t>
      </w:r>
      <w:r w:rsidR="001D5BF0" w:rsidRPr="00FD211F">
        <w:rPr>
          <w:sz w:val="36"/>
          <w:szCs w:val="36"/>
          <w:rtl/>
        </w:rPr>
        <w:t>"</w:t>
      </w:r>
      <w:r w:rsidR="00556BC0" w:rsidRPr="00FD211F">
        <w:rPr>
          <w:sz w:val="36"/>
          <w:szCs w:val="36"/>
          <w:rtl/>
        </w:rPr>
        <w:t xml:space="preserve"> فليس الفرق بين الإضاف</w:t>
      </w:r>
      <w:r w:rsidR="00EC7EDF" w:rsidRPr="00FD211F">
        <w:rPr>
          <w:sz w:val="36"/>
          <w:szCs w:val="36"/>
          <w:rtl/>
        </w:rPr>
        <w:t xml:space="preserve">ة </w:t>
      </w:r>
      <w:r w:rsidR="00556BC0" w:rsidRPr="00FD211F">
        <w:rPr>
          <w:sz w:val="36"/>
          <w:szCs w:val="36"/>
          <w:rtl/>
        </w:rPr>
        <w:t>وحرف الجر كون حرف الجر مقيدا للنسب</w:t>
      </w:r>
      <w:r w:rsidR="00EC7EDF" w:rsidRPr="00FD211F">
        <w:rPr>
          <w:sz w:val="36"/>
          <w:szCs w:val="36"/>
          <w:rtl/>
        </w:rPr>
        <w:t xml:space="preserve">ة </w:t>
      </w:r>
      <w:r w:rsidR="00556BC0" w:rsidRPr="00FD211F">
        <w:rPr>
          <w:sz w:val="36"/>
          <w:szCs w:val="36"/>
          <w:rtl/>
        </w:rPr>
        <w:t>التام</w:t>
      </w:r>
      <w:r w:rsidR="00EC7EDF" w:rsidRPr="00FD211F">
        <w:rPr>
          <w:sz w:val="36"/>
          <w:szCs w:val="36"/>
          <w:rtl/>
        </w:rPr>
        <w:t xml:space="preserve">ة </w:t>
      </w:r>
      <w:r w:rsidR="00556BC0" w:rsidRPr="00FD211F">
        <w:rPr>
          <w:sz w:val="36"/>
          <w:szCs w:val="36"/>
          <w:rtl/>
        </w:rPr>
        <w:t>بل هناك خصوصي</w:t>
      </w:r>
      <w:r w:rsidR="00EC7EDF" w:rsidRPr="00FD211F">
        <w:rPr>
          <w:sz w:val="36"/>
          <w:szCs w:val="36"/>
          <w:rtl/>
        </w:rPr>
        <w:t xml:space="preserve">ة </w:t>
      </w:r>
      <w:r w:rsidR="00556BC0" w:rsidRPr="00FD211F">
        <w:rPr>
          <w:sz w:val="36"/>
          <w:szCs w:val="36"/>
          <w:rtl/>
        </w:rPr>
        <w:t>تقتضي اختصاص حرف الجر بالمعنى الحدثي.</w:t>
      </w:r>
    </w:p>
    <w:p w14:paraId="543BEE34" w14:textId="77777777" w:rsidR="003B5A95" w:rsidRPr="00FD211F" w:rsidRDefault="002D2DBE" w:rsidP="009C58C8">
      <w:pPr>
        <w:ind w:left="0" w:firstLine="227"/>
        <w:jc w:val="both"/>
        <w:rPr>
          <w:sz w:val="36"/>
          <w:szCs w:val="36"/>
          <w:rtl/>
        </w:rPr>
      </w:pPr>
      <w:r w:rsidRPr="00FD211F">
        <w:rPr>
          <w:sz w:val="36"/>
          <w:szCs w:val="36"/>
          <w:rtl/>
        </w:rPr>
        <w:t>3-</w:t>
      </w:r>
      <w:r w:rsidR="00556BC0" w:rsidRPr="00FD211F">
        <w:rPr>
          <w:sz w:val="36"/>
          <w:szCs w:val="36"/>
          <w:rtl/>
        </w:rPr>
        <w:t xml:space="preserve"> ان النسب</w:t>
      </w:r>
      <w:r w:rsidR="00EC7EDF" w:rsidRPr="00FD211F">
        <w:rPr>
          <w:sz w:val="36"/>
          <w:szCs w:val="36"/>
          <w:rtl/>
        </w:rPr>
        <w:t xml:space="preserve">ة </w:t>
      </w:r>
      <w:r w:rsidR="00556BC0" w:rsidRPr="00FD211F">
        <w:rPr>
          <w:sz w:val="36"/>
          <w:szCs w:val="36"/>
          <w:rtl/>
        </w:rPr>
        <w:t>التام</w:t>
      </w:r>
      <w:r w:rsidR="00EC7EDF" w:rsidRPr="00FD211F">
        <w:rPr>
          <w:sz w:val="36"/>
          <w:szCs w:val="36"/>
          <w:rtl/>
        </w:rPr>
        <w:t xml:space="preserve">ة </w:t>
      </w:r>
      <w:r w:rsidR="00556BC0" w:rsidRPr="00FD211F">
        <w:rPr>
          <w:sz w:val="36"/>
          <w:szCs w:val="36"/>
          <w:rtl/>
        </w:rPr>
        <w:t>لايعقل ان تكون طرفا للنسب</w:t>
      </w:r>
      <w:r w:rsidR="00EC7EDF" w:rsidRPr="00FD211F">
        <w:rPr>
          <w:sz w:val="36"/>
          <w:szCs w:val="36"/>
          <w:rtl/>
        </w:rPr>
        <w:t xml:space="preserve">ة </w:t>
      </w:r>
      <w:r w:rsidR="00556BC0" w:rsidRPr="00FD211F">
        <w:rPr>
          <w:sz w:val="36"/>
          <w:szCs w:val="36"/>
          <w:rtl/>
        </w:rPr>
        <w:t>الناقص</w:t>
      </w:r>
      <w:r w:rsidR="00EC7EDF" w:rsidRPr="00FD211F">
        <w:rPr>
          <w:sz w:val="36"/>
          <w:szCs w:val="36"/>
          <w:rtl/>
        </w:rPr>
        <w:t>ة</w:t>
      </w:r>
      <w:r w:rsidR="00603323" w:rsidRPr="00FD211F">
        <w:rPr>
          <w:sz w:val="36"/>
          <w:szCs w:val="36"/>
          <w:rtl/>
        </w:rPr>
        <w:t xml:space="preserve">، </w:t>
      </w:r>
      <w:r w:rsidR="00556BC0" w:rsidRPr="00FD211F">
        <w:rPr>
          <w:sz w:val="36"/>
          <w:szCs w:val="36"/>
          <w:rtl/>
        </w:rPr>
        <w:t>لان النسب</w:t>
      </w:r>
      <w:r w:rsidR="00EC7EDF" w:rsidRPr="00FD211F">
        <w:rPr>
          <w:sz w:val="36"/>
          <w:szCs w:val="36"/>
          <w:rtl/>
        </w:rPr>
        <w:t xml:space="preserve">ة </w:t>
      </w:r>
      <w:r w:rsidR="00556BC0" w:rsidRPr="00FD211F">
        <w:rPr>
          <w:sz w:val="36"/>
          <w:szCs w:val="36"/>
          <w:rtl/>
        </w:rPr>
        <w:t>الناقص</w:t>
      </w:r>
      <w:r w:rsidR="00EC7EDF" w:rsidRPr="00FD211F">
        <w:rPr>
          <w:sz w:val="36"/>
          <w:szCs w:val="36"/>
          <w:rtl/>
        </w:rPr>
        <w:t xml:space="preserve">ة </w:t>
      </w:r>
      <w:r w:rsidR="00556BC0" w:rsidRPr="00FD211F">
        <w:rPr>
          <w:sz w:val="36"/>
          <w:szCs w:val="36"/>
          <w:rtl/>
        </w:rPr>
        <w:t>تحليلي</w:t>
      </w:r>
      <w:r w:rsidR="00EC7EDF" w:rsidRPr="00FD211F">
        <w:rPr>
          <w:sz w:val="36"/>
          <w:szCs w:val="36"/>
          <w:rtl/>
        </w:rPr>
        <w:t xml:space="preserve">ة </w:t>
      </w:r>
      <w:r w:rsidR="00556BC0" w:rsidRPr="00FD211F">
        <w:rPr>
          <w:sz w:val="36"/>
          <w:szCs w:val="36"/>
          <w:rtl/>
        </w:rPr>
        <w:t>وتكون بطرفيها موجود</w:t>
      </w:r>
      <w:r w:rsidR="00EC7EDF" w:rsidRPr="00FD211F">
        <w:rPr>
          <w:sz w:val="36"/>
          <w:szCs w:val="36"/>
          <w:rtl/>
        </w:rPr>
        <w:t xml:space="preserve">ة </w:t>
      </w:r>
      <w:r w:rsidR="00556BC0" w:rsidRPr="00FD211F">
        <w:rPr>
          <w:sz w:val="36"/>
          <w:szCs w:val="36"/>
          <w:rtl/>
        </w:rPr>
        <w:t>في الذهن بوجود واحد بنحو</w:t>
      </w:r>
      <w:r w:rsidR="00603323" w:rsidRPr="00FD211F">
        <w:rPr>
          <w:sz w:val="36"/>
          <w:szCs w:val="36"/>
          <w:rtl/>
        </w:rPr>
        <w:t xml:space="preserve">، </w:t>
      </w:r>
      <w:r w:rsidR="00556BC0" w:rsidRPr="00FD211F">
        <w:rPr>
          <w:sz w:val="36"/>
          <w:szCs w:val="36"/>
          <w:rtl/>
        </w:rPr>
        <w:t>وحينئذ فهذه الحص</w:t>
      </w:r>
      <w:r w:rsidR="00EC7EDF" w:rsidRPr="00FD211F">
        <w:rPr>
          <w:sz w:val="36"/>
          <w:szCs w:val="36"/>
          <w:rtl/>
        </w:rPr>
        <w:t xml:space="preserve">ة </w:t>
      </w:r>
      <w:r w:rsidR="00556BC0" w:rsidRPr="00FD211F">
        <w:rPr>
          <w:sz w:val="36"/>
          <w:szCs w:val="36"/>
          <w:rtl/>
        </w:rPr>
        <w:t>الموجود</w:t>
      </w:r>
      <w:r w:rsidR="00EC7EDF" w:rsidRPr="00FD211F">
        <w:rPr>
          <w:sz w:val="36"/>
          <w:szCs w:val="36"/>
          <w:rtl/>
        </w:rPr>
        <w:t xml:space="preserve">ة </w:t>
      </w:r>
      <w:r w:rsidR="00556BC0" w:rsidRPr="00FD211F">
        <w:rPr>
          <w:sz w:val="36"/>
          <w:szCs w:val="36"/>
          <w:rtl/>
        </w:rPr>
        <w:t>ذهنا إما ان تكون هي النسب</w:t>
      </w:r>
      <w:r w:rsidR="00EC7EDF" w:rsidRPr="00FD211F">
        <w:rPr>
          <w:sz w:val="36"/>
          <w:szCs w:val="36"/>
          <w:rtl/>
        </w:rPr>
        <w:t xml:space="preserve">ة </w:t>
      </w:r>
      <w:r w:rsidR="00556BC0" w:rsidRPr="00FD211F">
        <w:rPr>
          <w:sz w:val="36"/>
          <w:szCs w:val="36"/>
          <w:rtl/>
        </w:rPr>
        <w:t>التام</w:t>
      </w:r>
      <w:r w:rsidR="00EC7EDF" w:rsidRPr="00FD211F">
        <w:rPr>
          <w:sz w:val="36"/>
          <w:szCs w:val="36"/>
          <w:rtl/>
        </w:rPr>
        <w:t xml:space="preserve">ة </w:t>
      </w:r>
      <w:r w:rsidR="00556BC0" w:rsidRPr="00FD211F">
        <w:rPr>
          <w:sz w:val="36"/>
          <w:szCs w:val="36"/>
          <w:rtl/>
        </w:rPr>
        <w:t>مقيد</w:t>
      </w:r>
      <w:r w:rsidR="00EC7EDF" w:rsidRPr="00FD211F">
        <w:rPr>
          <w:sz w:val="36"/>
          <w:szCs w:val="36"/>
          <w:rtl/>
        </w:rPr>
        <w:t xml:space="preserve">ة </w:t>
      </w:r>
      <w:r w:rsidR="00556BC0" w:rsidRPr="00FD211F">
        <w:rPr>
          <w:sz w:val="36"/>
          <w:szCs w:val="36"/>
          <w:rtl/>
        </w:rPr>
        <w:t xml:space="preserve">ويكون الدال في مثال </w:t>
      </w:r>
      <w:r w:rsidR="00AB33DD" w:rsidRPr="00FD211F">
        <w:rPr>
          <w:sz w:val="36"/>
          <w:szCs w:val="36"/>
          <w:rtl/>
        </w:rPr>
        <w:t>"</w:t>
      </w:r>
      <w:r w:rsidR="00556BC0" w:rsidRPr="00FD211F">
        <w:rPr>
          <w:sz w:val="36"/>
          <w:szCs w:val="36"/>
          <w:rtl/>
        </w:rPr>
        <w:t>زيد قائم في الدار</w:t>
      </w:r>
      <w:r w:rsidR="00AB33DD" w:rsidRPr="00FD211F">
        <w:rPr>
          <w:sz w:val="36"/>
          <w:szCs w:val="36"/>
          <w:rtl/>
        </w:rPr>
        <w:t>"</w:t>
      </w:r>
      <w:r w:rsidR="00556BC0" w:rsidRPr="00FD211F">
        <w:rPr>
          <w:sz w:val="36"/>
          <w:szCs w:val="36"/>
          <w:rtl/>
        </w:rPr>
        <w:t xml:space="preserve"> قيدا لها فيلزم كون المعنى الإسمي مقوما لماهي</w:t>
      </w:r>
      <w:r w:rsidR="00EC7EDF" w:rsidRPr="00FD211F">
        <w:rPr>
          <w:sz w:val="36"/>
          <w:szCs w:val="36"/>
          <w:rtl/>
        </w:rPr>
        <w:t xml:space="preserve">ة </w:t>
      </w:r>
      <w:r w:rsidR="00556BC0" w:rsidRPr="00FD211F">
        <w:rPr>
          <w:sz w:val="36"/>
          <w:szCs w:val="36"/>
          <w:rtl/>
        </w:rPr>
        <w:t>النسب</w:t>
      </w:r>
      <w:r w:rsidR="00EC7EDF" w:rsidRPr="00FD211F">
        <w:rPr>
          <w:sz w:val="36"/>
          <w:szCs w:val="36"/>
          <w:rtl/>
        </w:rPr>
        <w:t xml:space="preserve">ة </w:t>
      </w:r>
      <w:r w:rsidR="00556BC0" w:rsidRPr="00FD211F">
        <w:rPr>
          <w:sz w:val="36"/>
          <w:szCs w:val="36"/>
          <w:rtl/>
        </w:rPr>
        <w:t>التام</w:t>
      </w:r>
      <w:r w:rsidR="00EC7EDF" w:rsidRPr="00FD211F">
        <w:rPr>
          <w:sz w:val="36"/>
          <w:szCs w:val="36"/>
          <w:rtl/>
        </w:rPr>
        <w:t xml:space="preserve">ة </w:t>
      </w:r>
      <w:r w:rsidR="00556BC0" w:rsidRPr="00FD211F">
        <w:rPr>
          <w:sz w:val="36"/>
          <w:szCs w:val="36"/>
          <w:rtl/>
        </w:rPr>
        <w:t>التي هي وجود رابط وان كان المقيد هو مفهوم الدار وتكون النسب</w:t>
      </w:r>
      <w:r w:rsidR="00EC7EDF" w:rsidRPr="00FD211F">
        <w:rPr>
          <w:sz w:val="36"/>
          <w:szCs w:val="36"/>
          <w:rtl/>
        </w:rPr>
        <w:t xml:space="preserve">ة </w:t>
      </w:r>
      <w:r w:rsidR="00556BC0" w:rsidRPr="00FD211F">
        <w:rPr>
          <w:sz w:val="36"/>
          <w:szCs w:val="36"/>
          <w:rtl/>
        </w:rPr>
        <w:t>التام</w:t>
      </w:r>
      <w:r w:rsidR="00EC7EDF" w:rsidRPr="00FD211F">
        <w:rPr>
          <w:sz w:val="36"/>
          <w:szCs w:val="36"/>
          <w:rtl/>
        </w:rPr>
        <w:t xml:space="preserve">ة </w:t>
      </w:r>
      <w:r w:rsidR="00556BC0" w:rsidRPr="00FD211F">
        <w:rPr>
          <w:sz w:val="36"/>
          <w:szCs w:val="36"/>
          <w:rtl/>
        </w:rPr>
        <w:t>قيدا له فيلزم كون الحص</w:t>
      </w:r>
      <w:r w:rsidR="00EC7EDF" w:rsidRPr="00FD211F">
        <w:rPr>
          <w:sz w:val="36"/>
          <w:szCs w:val="36"/>
          <w:rtl/>
        </w:rPr>
        <w:t xml:space="preserve">ة </w:t>
      </w:r>
      <w:r w:rsidR="00556BC0" w:rsidRPr="00FD211F">
        <w:rPr>
          <w:sz w:val="36"/>
          <w:szCs w:val="36"/>
          <w:rtl/>
        </w:rPr>
        <w:t>مما لايصح السكوت عليها</w:t>
      </w:r>
      <w:r w:rsidR="00603323" w:rsidRPr="00FD211F">
        <w:rPr>
          <w:sz w:val="36"/>
          <w:szCs w:val="36"/>
          <w:rtl/>
        </w:rPr>
        <w:t xml:space="preserve">، </w:t>
      </w:r>
      <w:r w:rsidR="00556BC0" w:rsidRPr="00FD211F">
        <w:rPr>
          <w:sz w:val="36"/>
          <w:szCs w:val="36"/>
          <w:rtl/>
        </w:rPr>
        <w:t>لانها تكون حص</w:t>
      </w:r>
      <w:r w:rsidR="00EC7EDF" w:rsidRPr="00FD211F">
        <w:rPr>
          <w:sz w:val="36"/>
          <w:szCs w:val="36"/>
          <w:rtl/>
        </w:rPr>
        <w:t xml:space="preserve">ة </w:t>
      </w:r>
      <w:r w:rsidR="00556BC0" w:rsidRPr="00FD211F">
        <w:rPr>
          <w:sz w:val="36"/>
          <w:szCs w:val="36"/>
          <w:rtl/>
        </w:rPr>
        <w:t>خاص</w:t>
      </w:r>
      <w:r w:rsidR="00EC7EDF" w:rsidRPr="00FD211F">
        <w:rPr>
          <w:sz w:val="36"/>
          <w:szCs w:val="36"/>
          <w:rtl/>
        </w:rPr>
        <w:t xml:space="preserve">ة </w:t>
      </w:r>
      <w:r w:rsidR="00556BC0" w:rsidRPr="00FD211F">
        <w:rPr>
          <w:sz w:val="36"/>
          <w:szCs w:val="36"/>
          <w:rtl/>
        </w:rPr>
        <w:t>من الدار</w:t>
      </w:r>
      <w:r w:rsidR="003B5A95" w:rsidRPr="00FD211F">
        <w:rPr>
          <w:sz w:val="36"/>
          <w:szCs w:val="36"/>
          <w:rtl/>
        </w:rPr>
        <w:t>.</w:t>
      </w:r>
    </w:p>
    <w:p w14:paraId="1A2E2BD1" w14:textId="77777777" w:rsidR="001D5BF0" w:rsidRPr="00FD211F" w:rsidRDefault="003B5A95" w:rsidP="009C58C8">
      <w:pPr>
        <w:ind w:left="0" w:firstLine="227"/>
        <w:jc w:val="both"/>
        <w:rPr>
          <w:sz w:val="36"/>
          <w:szCs w:val="36"/>
          <w:rtl/>
        </w:rPr>
      </w:pPr>
      <w:r w:rsidRPr="00FD211F">
        <w:rPr>
          <w:sz w:val="36"/>
          <w:szCs w:val="36"/>
          <w:rtl/>
        </w:rPr>
        <w:t>ثم</w:t>
      </w:r>
      <w:r w:rsidR="00B253CE" w:rsidRPr="00FD211F">
        <w:rPr>
          <w:sz w:val="36"/>
          <w:szCs w:val="36"/>
          <w:rtl/>
        </w:rPr>
        <w:t xml:space="preserve"> </w:t>
      </w:r>
      <w:r w:rsidRPr="00FD211F">
        <w:rPr>
          <w:sz w:val="36"/>
          <w:szCs w:val="36"/>
          <w:rtl/>
        </w:rPr>
        <w:t>ذكر انه حتى لو افترض ان طرف النسب</w:t>
      </w:r>
      <w:r w:rsidR="00EC7EDF" w:rsidRPr="00FD211F">
        <w:rPr>
          <w:sz w:val="36"/>
          <w:szCs w:val="36"/>
          <w:rtl/>
        </w:rPr>
        <w:t xml:space="preserve">ة </w:t>
      </w:r>
      <w:r w:rsidRPr="00FD211F">
        <w:rPr>
          <w:sz w:val="36"/>
          <w:szCs w:val="36"/>
          <w:rtl/>
        </w:rPr>
        <w:t>في حرف الجر هو النسب</w:t>
      </w:r>
      <w:r w:rsidR="00EC7EDF" w:rsidRPr="00FD211F">
        <w:rPr>
          <w:sz w:val="36"/>
          <w:szCs w:val="36"/>
          <w:rtl/>
        </w:rPr>
        <w:t xml:space="preserve">ة </w:t>
      </w:r>
      <w:r w:rsidRPr="00FD211F">
        <w:rPr>
          <w:sz w:val="36"/>
          <w:szCs w:val="36"/>
          <w:rtl/>
        </w:rPr>
        <w:t>الناقص</w:t>
      </w:r>
      <w:r w:rsidR="00EC7EDF" w:rsidRPr="00FD211F">
        <w:rPr>
          <w:sz w:val="36"/>
          <w:szCs w:val="36"/>
          <w:rtl/>
        </w:rPr>
        <w:t xml:space="preserve">ة </w:t>
      </w:r>
      <w:r w:rsidRPr="00FD211F">
        <w:rPr>
          <w:sz w:val="36"/>
          <w:szCs w:val="36"/>
          <w:rtl/>
        </w:rPr>
        <w:t>المستفاد</w:t>
      </w:r>
      <w:r w:rsidR="00EC7EDF" w:rsidRPr="00FD211F">
        <w:rPr>
          <w:sz w:val="36"/>
          <w:szCs w:val="36"/>
          <w:rtl/>
        </w:rPr>
        <w:t xml:space="preserve">ة </w:t>
      </w:r>
      <w:r w:rsidRPr="00FD211F">
        <w:rPr>
          <w:sz w:val="36"/>
          <w:szCs w:val="36"/>
          <w:rtl/>
        </w:rPr>
        <w:t>من هيئ</w:t>
      </w:r>
      <w:r w:rsidR="00EC7EDF" w:rsidRPr="00FD211F">
        <w:rPr>
          <w:sz w:val="36"/>
          <w:szCs w:val="36"/>
          <w:rtl/>
        </w:rPr>
        <w:t xml:space="preserve">ة </w:t>
      </w:r>
      <w:r w:rsidRPr="00FD211F">
        <w:rPr>
          <w:sz w:val="36"/>
          <w:szCs w:val="36"/>
          <w:rtl/>
        </w:rPr>
        <w:t>المشتقات او الافعال فيجري هذا الإشكال ايضا</w:t>
      </w:r>
      <w:r w:rsidR="00603323" w:rsidRPr="00FD211F">
        <w:rPr>
          <w:sz w:val="36"/>
          <w:szCs w:val="36"/>
          <w:rtl/>
        </w:rPr>
        <w:t xml:space="preserve">، </w:t>
      </w:r>
      <w:r w:rsidRPr="00FD211F">
        <w:rPr>
          <w:sz w:val="36"/>
          <w:szCs w:val="36"/>
          <w:rtl/>
        </w:rPr>
        <w:t>نعم لامانع من كون طرف نسب</w:t>
      </w:r>
      <w:r w:rsidR="00EC7EDF" w:rsidRPr="00FD211F">
        <w:rPr>
          <w:sz w:val="36"/>
          <w:szCs w:val="36"/>
          <w:rtl/>
        </w:rPr>
        <w:t xml:space="preserve">ة </w:t>
      </w:r>
      <w:r w:rsidRPr="00FD211F">
        <w:rPr>
          <w:sz w:val="36"/>
          <w:szCs w:val="36"/>
          <w:rtl/>
        </w:rPr>
        <w:t>حرف الجرّ هو الحص</w:t>
      </w:r>
      <w:r w:rsidR="00EC7EDF" w:rsidRPr="00FD211F">
        <w:rPr>
          <w:sz w:val="36"/>
          <w:szCs w:val="36"/>
          <w:rtl/>
        </w:rPr>
        <w:t xml:space="preserve">ة </w:t>
      </w:r>
      <w:r w:rsidRPr="00FD211F">
        <w:rPr>
          <w:sz w:val="36"/>
          <w:szCs w:val="36"/>
          <w:rtl/>
        </w:rPr>
        <w:t>المنتسب</w:t>
      </w:r>
      <w:r w:rsidR="00EC7EDF" w:rsidRPr="00FD211F">
        <w:rPr>
          <w:sz w:val="36"/>
          <w:szCs w:val="36"/>
          <w:rtl/>
        </w:rPr>
        <w:t xml:space="preserve">ة </w:t>
      </w:r>
      <w:r w:rsidRPr="00FD211F">
        <w:rPr>
          <w:sz w:val="36"/>
          <w:szCs w:val="36"/>
          <w:rtl/>
        </w:rPr>
        <w:t>كقولنا" الجلوس في الدار على الكرسيّ"</w:t>
      </w:r>
      <w:r w:rsidR="009C58C8" w:rsidRPr="00FD211F">
        <w:rPr>
          <w:rStyle w:val="a6"/>
          <w:sz w:val="36"/>
          <w:szCs w:val="36"/>
          <w:rtl/>
        </w:rPr>
        <w:t>(</w:t>
      </w:r>
      <w:r w:rsidR="009C58C8" w:rsidRPr="00FD211F">
        <w:rPr>
          <w:rStyle w:val="a6"/>
          <w:sz w:val="36"/>
          <w:szCs w:val="36"/>
          <w:rtl/>
        </w:rPr>
        <w:footnoteReference w:id="187"/>
      </w:r>
      <w:r w:rsidR="009C58C8" w:rsidRPr="00FD211F">
        <w:rPr>
          <w:rStyle w:val="a6"/>
          <w:sz w:val="36"/>
          <w:szCs w:val="36"/>
          <w:rtl/>
        </w:rPr>
        <w:t>)</w:t>
      </w:r>
      <w:r w:rsidR="00556BC0" w:rsidRPr="00FD211F">
        <w:rPr>
          <w:sz w:val="36"/>
          <w:szCs w:val="36"/>
          <w:rtl/>
        </w:rPr>
        <w:t>.</w:t>
      </w:r>
      <w:r w:rsidR="001D5BF0" w:rsidRPr="00FD211F">
        <w:rPr>
          <w:sz w:val="36"/>
          <w:szCs w:val="36"/>
          <w:rtl/>
        </w:rPr>
        <w:t xml:space="preserve"> </w:t>
      </w:r>
    </w:p>
    <w:p w14:paraId="7853AC1E" w14:textId="77777777" w:rsidR="00C7185F" w:rsidRPr="00FD211F" w:rsidRDefault="001D5BF0" w:rsidP="009C58C8">
      <w:pPr>
        <w:ind w:left="0" w:firstLine="227"/>
        <w:jc w:val="both"/>
        <w:rPr>
          <w:sz w:val="36"/>
          <w:szCs w:val="36"/>
          <w:rtl/>
        </w:rPr>
      </w:pPr>
      <w:r w:rsidRPr="00FD211F">
        <w:rPr>
          <w:sz w:val="36"/>
          <w:szCs w:val="36"/>
          <w:rtl/>
        </w:rPr>
        <w:t>اقول</w:t>
      </w:r>
      <w:r w:rsidR="00EC7EDF" w:rsidRPr="00FD211F">
        <w:rPr>
          <w:sz w:val="36"/>
          <w:szCs w:val="36"/>
          <w:rtl/>
        </w:rPr>
        <w:t>:</w:t>
      </w:r>
      <w:r w:rsidR="00C7185F" w:rsidRPr="00FD211F">
        <w:rPr>
          <w:sz w:val="36"/>
          <w:szCs w:val="36"/>
          <w:rtl/>
        </w:rPr>
        <w:t xml:space="preserve">اماايراده الاول ففيه أنه </w:t>
      </w:r>
      <w:r w:rsidRPr="00FD211F">
        <w:rPr>
          <w:sz w:val="36"/>
          <w:szCs w:val="36"/>
          <w:rtl/>
        </w:rPr>
        <w:t>لو تم دعوى استبطان الجمل</w:t>
      </w:r>
      <w:r w:rsidR="00EC7EDF" w:rsidRPr="00FD211F">
        <w:rPr>
          <w:sz w:val="36"/>
          <w:szCs w:val="36"/>
          <w:rtl/>
        </w:rPr>
        <w:t xml:space="preserve">ة </w:t>
      </w:r>
      <w:r w:rsidRPr="00FD211F">
        <w:rPr>
          <w:sz w:val="36"/>
          <w:szCs w:val="36"/>
          <w:rtl/>
        </w:rPr>
        <w:t>الوصفي</w:t>
      </w:r>
      <w:r w:rsidR="00EC7EDF" w:rsidRPr="00FD211F">
        <w:rPr>
          <w:sz w:val="36"/>
          <w:szCs w:val="36"/>
          <w:rtl/>
        </w:rPr>
        <w:t xml:space="preserve">ة </w:t>
      </w:r>
      <w:r w:rsidRPr="00FD211F">
        <w:rPr>
          <w:sz w:val="36"/>
          <w:szCs w:val="36"/>
          <w:rtl/>
        </w:rPr>
        <w:t>للنسب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بتقريب كونها متحصل</w:t>
      </w:r>
      <w:r w:rsidR="00EC7EDF" w:rsidRPr="00FD211F">
        <w:rPr>
          <w:sz w:val="36"/>
          <w:szCs w:val="36"/>
          <w:rtl/>
        </w:rPr>
        <w:t xml:space="preserve">ة </w:t>
      </w:r>
      <w:r w:rsidRPr="00FD211F">
        <w:rPr>
          <w:sz w:val="36"/>
          <w:szCs w:val="36"/>
          <w:rtl/>
        </w:rPr>
        <w:t>من واقع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التي يشتمل عليها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فانما يتم ذلك في الوصف المعتمد على الموصوف حيث يشتمل على نسب</w:t>
      </w:r>
      <w:r w:rsidR="00EC7EDF" w:rsidRPr="00FD211F">
        <w:rPr>
          <w:sz w:val="36"/>
          <w:szCs w:val="36"/>
          <w:rtl/>
        </w:rPr>
        <w:t xml:space="preserve">ة </w:t>
      </w:r>
      <w:r w:rsidRPr="00FD211F">
        <w:rPr>
          <w:sz w:val="36"/>
          <w:szCs w:val="36"/>
          <w:rtl/>
        </w:rPr>
        <w:t>تحليلي</w:t>
      </w:r>
      <w:r w:rsidR="00EC7EDF" w:rsidRPr="00FD211F">
        <w:rPr>
          <w:sz w:val="36"/>
          <w:szCs w:val="36"/>
          <w:rtl/>
        </w:rPr>
        <w:t xml:space="preserve">ة </w:t>
      </w:r>
      <w:r w:rsidRPr="00FD211F">
        <w:rPr>
          <w:sz w:val="36"/>
          <w:szCs w:val="36"/>
          <w:rtl/>
        </w:rPr>
        <w:t>تصادقي</w:t>
      </w:r>
      <w:r w:rsidR="00EC7EDF" w:rsidRPr="00FD211F">
        <w:rPr>
          <w:sz w:val="36"/>
          <w:szCs w:val="36"/>
          <w:rtl/>
        </w:rPr>
        <w:t xml:space="preserve">ة </w:t>
      </w:r>
      <w:r w:rsidRPr="00FD211F">
        <w:rPr>
          <w:sz w:val="36"/>
          <w:szCs w:val="36"/>
          <w:rtl/>
        </w:rPr>
        <w:t>بينهما لامثل قولنا "الجالس في الدار "ولامثل" الجلوس في الدار"</w:t>
      </w:r>
      <w:r w:rsidR="00603323" w:rsidRPr="00FD211F">
        <w:rPr>
          <w:sz w:val="36"/>
          <w:szCs w:val="36"/>
          <w:rtl/>
        </w:rPr>
        <w:t xml:space="preserve">، </w:t>
      </w:r>
      <w:r w:rsidRPr="00FD211F">
        <w:rPr>
          <w:sz w:val="36"/>
          <w:szCs w:val="36"/>
          <w:rtl/>
        </w:rPr>
        <w:t>بل في مثل" الرجل الجالس في الدار" يكون استبطان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 الرجل والجالس دون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بين الجالس والدار لتحصلها من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الخارجي</w:t>
      </w:r>
      <w:r w:rsidR="00EC7EDF" w:rsidRPr="00FD211F">
        <w:rPr>
          <w:sz w:val="36"/>
          <w:szCs w:val="36"/>
          <w:rtl/>
        </w:rPr>
        <w:t>ة</w:t>
      </w:r>
      <w:r w:rsidR="00603323" w:rsidRPr="00FD211F">
        <w:rPr>
          <w:sz w:val="36"/>
          <w:szCs w:val="36"/>
          <w:rtl/>
        </w:rPr>
        <w:t xml:space="preserve">، </w:t>
      </w:r>
      <w:r w:rsidRPr="00FD211F">
        <w:rPr>
          <w:sz w:val="36"/>
          <w:szCs w:val="36"/>
          <w:rtl/>
        </w:rPr>
        <w:t xml:space="preserve">نعم يمكن ان يقال في مثل </w:t>
      </w:r>
      <w:r w:rsidR="00AB33DD" w:rsidRPr="00FD211F">
        <w:rPr>
          <w:sz w:val="36"/>
          <w:szCs w:val="36"/>
          <w:rtl/>
        </w:rPr>
        <w:t>"</w:t>
      </w:r>
      <w:r w:rsidRPr="00FD211F">
        <w:rPr>
          <w:sz w:val="36"/>
          <w:szCs w:val="36"/>
          <w:rtl/>
        </w:rPr>
        <w:t xml:space="preserve">جاء غلام زيد </w:t>
      </w:r>
      <w:r w:rsidR="00AB33DD" w:rsidRPr="00FD211F">
        <w:rPr>
          <w:sz w:val="36"/>
          <w:szCs w:val="36"/>
          <w:rtl/>
        </w:rPr>
        <w:t>"</w:t>
      </w:r>
      <w:r w:rsidRPr="00FD211F">
        <w:rPr>
          <w:sz w:val="36"/>
          <w:szCs w:val="36"/>
          <w:rtl/>
        </w:rPr>
        <w:t>ان جمل</w:t>
      </w:r>
      <w:r w:rsidR="00EC7EDF" w:rsidRPr="00FD211F">
        <w:rPr>
          <w:sz w:val="36"/>
          <w:szCs w:val="36"/>
          <w:rtl/>
        </w:rPr>
        <w:t xml:space="preserve">ة </w:t>
      </w:r>
      <w:r w:rsidRPr="00FD211F">
        <w:rPr>
          <w:sz w:val="36"/>
          <w:szCs w:val="36"/>
          <w:rtl/>
        </w:rPr>
        <w:t>الإضاف</w:t>
      </w:r>
      <w:r w:rsidR="00EC7EDF" w:rsidRPr="00FD211F">
        <w:rPr>
          <w:sz w:val="36"/>
          <w:szCs w:val="36"/>
          <w:rtl/>
        </w:rPr>
        <w:t xml:space="preserve">ة </w:t>
      </w:r>
      <w:r w:rsidRPr="00FD211F">
        <w:rPr>
          <w:sz w:val="36"/>
          <w:szCs w:val="36"/>
          <w:rtl/>
        </w:rPr>
        <w:t>تستبطن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حيث ان مرجعها الى انه جاء غلام وكان غلام زيد</w:t>
      </w:r>
      <w:r w:rsidR="00603323" w:rsidRPr="00FD211F">
        <w:rPr>
          <w:sz w:val="36"/>
          <w:szCs w:val="36"/>
          <w:rtl/>
        </w:rPr>
        <w:t xml:space="preserve">، </w:t>
      </w:r>
      <w:r w:rsidRPr="00FD211F">
        <w:rPr>
          <w:sz w:val="36"/>
          <w:szCs w:val="36"/>
          <w:rtl/>
        </w:rPr>
        <w:t>هذا ولايخفى انه لاوجه لانكار تقييد النسب</w:t>
      </w:r>
      <w:r w:rsidR="00EC7EDF" w:rsidRPr="00FD211F">
        <w:rPr>
          <w:sz w:val="36"/>
          <w:szCs w:val="36"/>
          <w:rtl/>
        </w:rPr>
        <w:t xml:space="preserve">ة </w:t>
      </w:r>
      <w:r w:rsidRPr="00FD211F">
        <w:rPr>
          <w:sz w:val="36"/>
          <w:szCs w:val="36"/>
          <w:rtl/>
        </w:rPr>
        <w:t>المستفاد</w:t>
      </w:r>
      <w:r w:rsidR="00EC7EDF" w:rsidRPr="00FD211F">
        <w:rPr>
          <w:sz w:val="36"/>
          <w:szCs w:val="36"/>
          <w:rtl/>
        </w:rPr>
        <w:t xml:space="preserve">ة </w:t>
      </w:r>
      <w:r w:rsidRPr="00FD211F">
        <w:rPr>
          <w:sz w:val="36"/>
          <w:szCs w:val="36"/>
          <w:rtl/>
        </w:rPr>
        <w:t>من جمل</w:t>
      </w:r>
      <w:r w:rsidR="00EC7EDF" w:rsidRPr="00FD211F">
        <w:rPr>
          <w:sz w:val="36"/>
          <w:szCs w:val="36"/>
          <w:rtl/>
        </w:rPr>
        <w:t xml:space="preserve">ة </w:t>
      </w:r>
      <w:r w:rsidRPr="00FD211F">
        <w:rPr>
          <w:sz w:val="36"/>
          <w:szCs w:val="36"/>
          <w:rtl/>
        </w:rPr>
        <w:t>الاضاف</w:t>
      </w:r>
      <w:r w:rsidR="00EC7EDF" w:rsidRPr="00FD211F">
        <w:rPr>
          <w:sz w:val="36"/>
          <w:szCs w:val="36"/>
          <w:rtl/>
        </w:rPr>
        <w:t xml:space="preserve">ة </w:t>
      </w:r>
      <w:r w:rsidRPr="00FD211F">
        <w:rPr>
          <w:sz w:val="36"/>
          <w:szCs w:val="36"/>
          <w:rtl/>
        </w:rPr>
        <w:t>كما يقال" عبد زيد في السن</w:t>
      </w:r>
      <w:r w:rsidR="00EC7EDF" w:rsidRPr="00FD211F">
        <w:rPr>
          <w:sz w:val="36"/>
          <w:szCs w:val="36"/>
          <w:rtl/>
        </w:rPr>
        <w:t xml:space="preserve">ة </w:t>
      </w:r>
      <w:r w:rsidRPr="00FD211F">
        <w:rPr>
          <w:sz w:val="36"/>
          <w:szCs w:val="36"/>
          <w:rtl/>
        </w:rPr>
        <w:t>السابق</w:t>
      </w:r>
      <w:r w:rsidR="00EC7EDF" w:rsidRPr="00FD211F">
        <w:rPr>
          <w:sz w:val="36"/>
          <w:szCs w:val="36"/>
          <w:rtl/>
        </w:rPr>
        <w:t xml:space="preserve">ة </w:t>
      </w:r>
      <w:r w:rsidRPr="00FD211F">
        <w:rPr>
          <w:sz w:val="36"/>
          <w:szCs w:val="36"/>
          <w:rtl/>
        </w:rPr>
        <w:t>" فان الظاهر كون الجار والمجرور متعلقا بالنسب</w:t>
      </w:r>
      <w:r w:rsidR="00EC7EDF" w:rsidRPr="00FD211F">
        <w:rPr>
          <w:sz w:val="36"/>
          <w:szCs w:val="36"/>
          <w:rtl/>
        </w:rPr>
        <w:t xml:space="preserve">ة </w:t>
      </w:r>
      <w:r w:rsidRPr="00FD211F">
        <w:rPr>
          <w:sz w:val="36"/>
          <w:szCs w:val="36"/>
          <w:rtl/>
        </w:rPr>
        <w:t>المستفاد</w:t>
      </w:r>
      <w:r w:rsidR="00EC7EDF" w:rsidRPr="00FD211F">
        <w:rPr>
          <w:sz w:val="36"/>
          <w:szCs w:val="36"/>
          <w:rtl/>
        </w:rPr>
        <w:t xml:space="preserve">ة </w:t>
      </w:r>
      <w:r w:rsidRPr="00FD211F">
        <w:rPr>
          <w:sz w:val="36"/>
          <w:szCs w:val="36"/>
          <w:rtl/>
        </w:rPr>
        <w:t>من جمل</w:t>
      </w:r>
      <w:r w:rsidR="00EC7EDF" w:rsidRPr="00FD211F">
        <w:rPr>
          <w:sz w:val="36"/>
          <w:szCs w:val="36"/>
          <w:rtl/>
        </w:rPr>
        <w:t xml:space="preserve">ة </w:t>
      </w:r>
      <w:r w:rsidRPr="00FD211F">
        <w:rPr>
          <w:sz w:val="36"/>
          <w:szCs w:val="36"/>
          <w:rtl/>
        </w:rPr>
        <w:t>الاضاف</w:t>
      </w:r>
      <w:r w:rsidR="00EC7EDF" w:rsidRPr="00FD211F">
        <w:rPr>
          <w:sz w:val="36"/>
          <w:szCs w:val="36"/>
          <w:rtl/>
        </w:rPr>
        <w:t>ة</w:t>
      </w:r>
      <w:r w:rsidR="00A61BAE" w:rsidRPr="00FD211F">
        <w:rPr>
          <w:sz w:val="36"/>
          <w:szCs w:val="36"/>
          <w:rtl/>
        </w:rPr>
        <w:t>.</w:t>
      </w:r>
    </w:p>
    <w:p w14:paraId="3CFEE7C5" w14:textId="77777777" w:rsidR="000C5BBA" w:rsidRPr="00FD211F" w:rsidRDefault="00C7185F" w:rsidP="009C58C8">
      <w:pPr>
        <w:ind w:left="0" w:firstLine="227"/>
        <w:jc w:val="both"/>
        <w:rPr>
          <w:sz w:val="36"/>
          <w:szCs w:val="36"/>
          <w:rtl/>
        </w:rPr>
      </w:pPr>
      <w:r w:rsidRPr="00FD211F">
        <w:rPr>
          <w:sz w:val="36"/>
          <w:szCs w:val="36"/>
          <w:rtl/>
        </w:rPr>
        <w:t>واما</w:t>
      </w:r>
      <w:r w:rsidR="00BF0A5B" w:rsidRPr="00FD211F">
        <w:rPr>
          <w:sz w:val="36"/>
          <w:szCs w:val="36"/>
          <w:rtl/>
        </w:rPr>
        <w:t xml:space="preserve"> </w:t>
      </w:r>
      <w:r w:rsidRPr="00FD211F">
        <w:rPr>
          <w:sz w:val="36"/>
          <w:szCs w:val="36"/>
          <w:rtl/>
        </w:rPr>
        <w:t>ايراده الثاني ففيه أنه لاوجه</w:t>
      </w:r>
      <w:r w:rsidR="001D5BF0" w:rsidRPr="00FD211F">
        <w:rPr>
          <w:sz w:val="36"/>
          <w:szCs w:val="36"/>
          <w:rtl/>
        </w:rPr>
        <w:t xml:space="preserve"> للمنع عن تعلق حرف الجرّ بغير المعنى الحدثي</w:t>
      </w:r>
      <w:r w:rsidR="00603323" w:rsidRPr="00FD211F">
        <w:rPr>
          <w:sz w:val="36"/>
          <w:szCs w:val="36"/>
          <w:rtl/>
        </w:rPr>
        <w:t xml:space="preserve">، </w:t>
      </w:r>
      <w:r w:rsidR="001D5BF0" w:rsidRPr="00FD211F">
        <w:rPr>
          <w:sz w:val="36"/>
          <w:szCs w:val="36"/>
          <w:rtl/>
        </w:rPr>
        <w:t>فيقال</w:t>
      </w:r>
      <w:r w:rsidR="002F684B" w:rsidRPr="00FD211F">
        <w:rPr>
          <w:sz w:val="36"/>
          <w:szCs w:val="36"/>
          <w:rtl/>
        </w:rPr>
        <w:t>"</w:t>
      </w:r>
      <w:r w:rsidR="001D5BF0" w:rsidRPr="00FD211F">
        <w:rPr>
          <w:sz w:val="36"/>
          <w:szCs w:val="36"/>
          <w:rtl/>
        </w:rPr>
        <w:t xml:space="preserve"> زيد انسان في الأرض</w:t>
      </w:r>
      <w:r w:rsidR="002F684B" w:rsidRPr="00FD211F">
        <w:rPr>
          <w:sz w:val="36"/>
          <w:szCs w:val="36"/>
          <w:rtl/>
        </w:rPr>
        <w:t>"</w:t>
      </w:r>
      <w:r w:rsidR="00603323" w:rsidRPr="00FD211F">
        <w:rPr>
          <w:sz w:val="36"/>
          <w:szCs w:val="36"/>
          <w:rtl/>
        </w:rPr>
        <w:t xml:space="preserve">، </w:t>
      </w:r>
      <w:r w:rsidR="001D5BF0" w:rsidRPr="00FD211F">
        <w:rPr>
          <w:sz w:val="36"/>
          <w:szCs w:val="36"/>
          <w:rtl/>
        </w:rPr>
        <w:t>فان مفاده ان كونه انسانا يختص بما لو كا</w:t>
      </w:r>
      <w:r w:rsidR="002F684B" w:rsidRPr="00FD211F">
        <w:rPr>
          <w:sz w:val="36"/>
          <w:szCs w:val="36"/>
          <w:rtl/>
        </w:rPr>
        <w:t>ن في الأرض وهذا يعني كون الظرف قيدا للنسب</w:t>
      </w:r>
      <w:r w:rsidR="00EC7EDF" w:rsidRPr="00FD211F">
        <w:rPr>
          <w:sz w:val="36"/>
          <w:szCs w:val="36"/>
          <w:rtl/>
        </w:rPr>
        <w:t xml:space="preserve">ة </w:t>
      </w:r>
      <w:r w:rsidR="001D5BF0" w:rsidRPr="00FD211F">
        <w:rPr>
          <w:sz w:val="36"/>
          <w:szCs w:val="36"/>
          <w:rtl/>
        </w:rPr>
        <w:t>دون الموضوع او المحمول</w:t>
      </w:r>
      <w:r w:rsidR="00603323" w:rsidRPr="00FD211F">
        <w:rPr>
          <w:sz w:val="36"/>
          <w:szCs w:val="36"/>
          <w:rtl/>
        </w:rPr>
        <w:t xml:space="preserve">، </w:t>
      </w:r>
      <w:r w:rsidR="003B5A95" w:rsidRPr="00FD211F">
        <w:rPr>
          <w:sz w:val="36"/>
          <w:szCs w:val="36"/>
          <w:rtl/>
        </w:rPr>
        <w:t>وكذايقال</w:t>
      </w:r>
      <w:r w:rsidR="002F684B" w:rsidRPr="00FD211F">
        <w:rPr>
          <w:sz w:val="36"/>
          <w:szCs w:val="36"/>
          <w:rtl/>
        </w:rPr>
        <w:t xml:space="preserve"> "هذا زيدفي رأيي"</w:t>
      </w:r>
      <w:r w:rsidR="001D5BF0" w:rsidRPr="00FD211F">
        <w:rPr>
          <w:sz w:val="36"/>
          <w:szCs w:val="36"/>
          <w:rtl/>
        </w:rPr>
        <w:t>.</w:t>
      </w:r>
    </w:p>
    <w:p w14:paraId="1A0E4790" w14:textId="77777777" w:rsidR="002D2DBE" w:rsidRPr="00FD211F" w:rsidRDefault="00C7185F" w:rsidP="009C58C8">
      <w:pPr>
        <w:ind w:left="0" w:firstLine="227"/>
        <w:jc w:val="both"/>
        <w:rPr>
          <w:sz w:val="36"/>
          <w:szCs w:val="36"/>
          <w:rtl/>
        </w:rPr>
      </w:pPr>
      <w:r w:rsidRPr="00FD211F">
        <w:rPr>
          <w:sz w:val="36"/>
          <w:szCs w:val="36"/>
          <w:rtl/>
        </w:rPr>
        <w:t>واما</w:t>
      </w:r>
      <w:r w:rsidR="00BF0A5B" w:rsidRPr="00FD211F">
        <w:rPr>
          <w:sz w:val="36"/>
          <w:szCs w:val="36"/>
          <w:rtl/>
        </w:rPr>
        <w:t xml:space="preserve"> </w:t>
      </w:r>
      <w:r w:rsidRPr="00FD211F">
        <w:rPr>
          <w:sz w:val="36"/>
          <w:szCs w:val="36"/>
          <w:rtl/>
        </w:rPr>
        <w:t>ايراده الثالث ففيه اولا</w:t>
      </w:r>
      <w:r w:rsidR="00EC7EDF" w:rsidRPr="00FD211F">
        <w:rPr>
          <w:sz w:val="36"/>
          <w:szCs w:val="36"/>
          <w:rtl/>
        </w:rPr>
        <w:t>:</w:t>
      </w:r>
      <w:r w:rsidRPr="00FD211F">
        <w:rPr>
          <w:sz w:val="36"/>
          <w:szCs w:val="36"/>
          <w:rtl/>
        </w:rPr>
        <w:t xml:space="preserve">انه </w:t>
      </w:r>
      <w:r w:rsidR="002D2DBE" w:rsidRPr="00FD211F">
        <w:rPr>
          <w:sz w:val="36"/>
          <w:szCs w:val="36"/>
          <w:rtl/>
        </w:rPr>
        <w:t>لايرى وجدانا اي مانع من كون الجار والمجرور في قولنا "زيد قائم في الدار" قيدا للنسب</w:t>
      </w:r>
      <w:r w:rsidR="00EC7EDF" w:rsidRPr="00FD211F">
        <w:rPr>
          <w:sz w:val="36"/>
          <w:szCs w:val="36"/>
          <w:rtl/>
        </w:rPr>
        <w:t xml:space="preserve">ة </w:t>
      </w:r>
      <w:r w:rsidR="002D2DBE" w:rsidRPr="00FD211F">
        <w:rPr>
          <w:sz w:val="36"/>
          <w:szCs w:val="36"/>
          <w:rtl/>
        </w:rPr>
        <w:t>التام</w:t>
      </w:r>
      <w:r w:rsidR="00EC7EDF" w:rsidRPr="00FD211F">
        <w:rPr>
          <w:sz w:val="36"/>
          <w:szCs w:val="36"/>
          <w:rtl/>
        </w:rPr>
        <w:t>ة</w:t>
      </w:r>
      <w:r w:rsidR="00603323" w:rsidRPr="00FD211F">
        <w:rPr>
          <w:sz w:val="36"/>
          <w:szCs w:val="36"/>
          <w:rtl/>
        </w:rPr>
        <w:t xml:space="preserve">، </w:t>
      </w:r>
      <w:r w:rsidR="002D2DBE" w:rsidRPr="00FD211F">
        <w:rPr>
          <w:sz w:val="36"/>
          <w:szCs w:val="36"/>
          <w:rtl/>
        </w:rPr>
        <w:t>ومعناه الحكم بكون زيد قائما في خصوص ما لو كان في الدار</w:t>
      </w:r>
      <w:r w:rsidR="00603323" w:rsidRPr="00FD211F">
        <w:rPr>
          <w:sz w:val="36"/>
          <w:szCs w:val="36"/>
          <w:rtl/>
        </w:rPr>
        <w:t xml:space="preserve">، </w:t>
      </w:r>
      <w:r w:rsidRPr="00FD211F">
        <w:rPr>
          <w:sz w:val="36"/>
          <w:szCs w:val="36"/>
          <w:rtl/>
        </w:rPr>
        <w:t xml:space="preserve">وثانيا: </w:t>
      </w:r>
      <w:r w:rsidR="002D2DBE" w:rsidRPr="00FD211F">
        <w:rPr>
          <w:sz w:val="36"/>
          <w:szCs w:val="36"/>
          <w:rtl/>
        </w:rPr>
        <w:t>اننا لانفهم وجه الاشكال على كون المقيد هو الدار وقيدها النسب</w:t>
      </w:r>
      <w:r w:rsidR="00EC7EDF" w:rsidRPr="00FD211F">
        <w:rPr>
          <w:sz w:val="36"/>
          <w:szCs w:val="36"/>
          <w:rtl/>
        </w:rPr>
        <w:t xml:space="preserve">ة </w:t>
      </w:r>
      <w:r w:rsidR="002D2DBE" w:rsidRPr="00FD211F">
        <w:rPr>
          <w:sz w:val="36"/>
          <w:szCs w:val="36"/>
          <w:rtl/>
        </w:rPr>
        <w:t>الناقص</w:t>
      </w:r>
      <w:r w:rsidR="00EC7EDF" w:rsidRPr="00FD211F">
        <w:rPr>
          <w:sz w:val="36"/>
          <w:szCs w:val="36"/>
          <w:rtl/>
        </w:rPr>
        <w:t xml:space="preserve">ة </w:t>
      </w:r>
      <w:r w:rsidR="002D2DBE" w:rsidRPr="00FD211F">
        <w:rPr>
          <w:sz w:val="36"/>
          <w:szCs w:val="36"/>
          <w:rtl/>
        </w:rPr>
        <w:t>المستفاد</w:t>
      </w:r>
      <w:r w:rsidR="00EC7EDF" w:rsidRPr="00FD211F">
        <w:rPr>
          <w:sz w:val="36"/>
          <w:szCs w:val="36"/>
          <w:rtl/>
        </w:rPr>
        <w:t xml:space="preserve">ة </w:t>
      </w:r>
      <w:r w:rsidR="002D2DBE" w:rsidRPr="00FD211F">
        <w:rPr>
          <w:sz w:val="36"/>
          <w:szCs w:val="36"/>
          <w:rtl/>
        </w:rPr>
        <w:t>من الشتق</w:t>
      </w:r>
      <w:r w:rsidR="00603323" w:rsidRPr="00FD211F">
        <w:rPr>
          <w:sz w:val="36"/>
          <w:szCs w:val="36"/>
          <w:rtl/>
        </w:rPr>
        <w:t xml:space="preserve">، </w:t>
      </w:r>
      <w:r w:rsidR="002D2DBE" w:rsidRPr="00FD211F">
        <w:rPr>
          <w:sz w:val="36"/>
          <w:szCs w:val="36"/>
          <w:rtl/>
        </w:rPr>
        <w:t>فانه لايتوجه عليه محذور لزوم خروج الجمل</w:t>
      </w:r>
      <w:r w:rsidR="00EC7EDF" w:rsidRPr="00FD211F">
        <w:rPr>
          <w:sz w:val="36"/>
          <w:szCs w:val="36"/>
          <w:rtl/>
        </w:rPr>
        <w:t xml:space="preserve">ة </w:t>
      </w:r>
      <w:r w:rsidR="002D2DBE" w:rsidRPr="00FD211F">
        <w:rPr>
          <w:sz w:val="36"/>
          <w:szCs w:val="36"/>
          <w:rtl/>
        </w:rPr>
        <w:t>عن كونها تام</w:t>
      </w:r>
      <w:r w:rsidR="00EC7EDF" w:rsidRPr="00FD211F">
        <w:rPr>
          <w:sz w:val="36"/>
          <w:szCs w:val="36"/>
          <w:rtl/>
        </w:rPr>
        <w:t>ة</w:t>
      </w:r>
      <w:r w:rsidR="00A61BAE" w:rsidRPr="00FD211F">
        <w:rPr>
          <w:sz w:val="36"/>
          <w:szCs w:val="36"/>
          <w:rtl/>
        </w:rPr>
        <w:t>.</w:t>
      </w:r>
    </w:p>
    <w:p w14:paraId="30DC0E5E" w14:textId="77777777" w:rsidR="000C5BBA" w:rsidRPr="00FD211F" w:rsidRDefault="00457B7F" w:rsidP="009C58C8">
      <w:pPr>
        <w:ind w:left="0" w:firstLine="227"/>
        <w:jc w:val="both"/>
        <w:rPr>
          <w:sz w:val="36"/>
          <w:szCs w:val="36"/>
          <w:rtl/>
        </w:rPr>
      </w:pPr>
      <w:bookmarkStart w:id="209" w:name="درس088"/>
      <w:bookmarkEnd w:id="209"/>
      <w:r w:rsidRPr="00FD211F">
        <w:rPr>
          <w:b/>
          <w:bCs/>
          <w:sz w:val="36"/>
          <w:szCs w:val="36"/>
          <w:rtl/>
        </w:rPr>
        <w:t>الوجه الخامس</w:t>
      </w:r>
      <w:r w:rsidRPr="00FD211F">
        <w:rPr>
          <w:sz w:val="36"/>
          <w:szCs w:val="36"/>
          <w:rtl/>
        </w:rPr>
        <w:t xml:space="preserve"> </w:t>
      </w:r>
      <w:r w:rsidR="003B5A95" w:rsidRPr="00FD211F">
        <w:rPr>
          <w:sz w:val="36"/>
          <w:szCs w:val="36"/>
          <w:rtl/>
        </w:rPr>
        <w:t>–</w:t>
      </w:r>
      <w:r w:rsidR="002F684B" w:rsidRPr="00FD211F">
        <w:rPr>
          <w:sz w:val="36"/>
          <w:szCs w:val="36"/>
          <w:rtl/>
        </w:rPr>
        <w:t>وهومختار</w:t>
      </w:r>
      <w:r w:rsidR="003B5A95" w:rsidRPr="00FD211F">
        <w:rPr>
          <w:sz w:val="36"/>
          <w:szCs w:val="36"/>
          <w:rtl/>
        </w:rPr>
        <w:t xml:space="preserve"> البحوث-</w:t>
      </w:r>
      <w:r w:rsidRPr="00FD211F">
        <w:rPr>
          <w:sz w:val="36"/>
          <w:szCs w:val="36"/>
          <w:rtl/>
        </w:rPr>
        <w:t>:</w:t>
      </w:r>
      <w:r w:rsidR="00556BC0" w:rsidRPr="00FD211F">
        <w:rPr>
          <w:sz w:val="36"/>
          <w:szCs w:val="36"/>
          <w:rtl/>
        </w:rPr>
        <w:t xml:space="preserve"> ان حرف الجر مختص بتقييد المعاني الحدثي</w:t>
      </w:r>
      <w:r w:rsidR="00EC7EDF" w:rsidRPr="00FD211F">
        <w:rPr>
          <w:sz w:val="36"/>
          <w:szCs w:val="36"/>
          <w:rtl/>
        </w:rPr>
        <w:t xml:space="preserve">ة </w:t>
      </w:r>
      <w:r w:rsidR="00556BC0" w:rsidRPr="00FD211F">
        <w:rPr>
          <w:sz w:val="36"/>
          <w:szCs w:val="36"/>
          <w:rtl/>
        </w:rPr>
        <w:t>والإضاف</w:t>
      </w:r>
      <w:r w:rsidR="00EC7EDF" w:rsidRPr="00FD211F">
        <w:rPr>
          <w:sz w:val="36"/>
          <w:szCs w:val="36"/>
          <w:rtl/>
        </w:rPr>
        <w:t xml:space="preserve">ة </w:t>
      </w:r>
      <w:r w:rsidR="00556BC0" w:rsidRPr="00FD211F">
        <w:rPr>
          <w:sz w:val="36"/>
          <w:szCs w:val="36"/>
          <w:rtl/>
        </w:rPr>
        <w:t>اعم منه</w:t>
      </w:r>
      <w:r w:rsidR="00603323" w:rsidRPr="00FD211F">
        <w:rPr>
          <w:sz w:val="36"/>
          <w:szCs w:val="36"/>
          <w:rtl/>
        </w:rPr>
        <w:t xml:space="preserve">، </w:t>
      </w:r>
      <w:r w:rsidR="00556BC0" w:rsidRPr="00FD211F">
        <w:rPr>
          <w:sz w:val="36"/>
          <w:szCs w:val="36"/>
          <w:rtl/>
        </w:rPr>
        <w:t>فيقال ضارب زيد كما يقال غلام زيد وهذا ليس تعبدا محضا</w:t>
      </w:r>
      <w:r w:rsidR="00603323" w:rsidRPr="00FD211F">
        <w:rPr>
          <w:sz w:val="36"/>
          <w:szCs w:val="36"/>
          <w:rtl/>
        </w:rPr>
        <w:t xml:space="preserve">، </w:t>
      </w:r>
      <w:r w:rsidR="00556BC0" w:rsidRPr="00FD211F">
        <w:rPr>
          <w:sz w:val="36"/>
          <w:szCs w:val="36"/>
          <w:rtl/>
        </w:rPr>
        <w:t>بل يمكن توجيهه بان الذات لما كان</w:t>
      </w:r>
      <w:r w:rsidRPr="00FD211F">
        <w:rPr>
          <w:sz w:val="36"/>
          <w:szCs w:val="36"/>
          <w:rtl/>
        </w:rPr>
        <w:t>ت مستقل</w:t>
      </w:r>
      <w:r w:rsidR="00EC7EDF" w:rsidRPr="00FD211F">
        <w:rPr>
          <w:sz w:val="36"/>
          <w:szCs w:val="36"/>
          <w:rtl/>
        </w:rPr>
        <w:t xml:space="preserve">ة </w:t>
      </w:r>
      <w:r w:rsidR="00556BC0" w:rsidRPr="00FD211F">
        <w:rPr>
          <w:sz w:val="36"/>
          <w:szCs w:val="36"/>
          <w:rtl/>
        </w:rPr>
        <w:t>ف</w:t>
      </w:r>
      <w:r w:rsidRPr="00FD211F">
        <w:rPr>
          <w:sz w:val="36"/>
          <w:szCs w:val="36"/>
          <w:rtl/>
        </w:rPr>
        <w:t>ي الوجود والوجود عين التشخص فهي</w:t>
      </w:r>
      <w:r w:rsidR="00556BC0" w:rsidRPr="00FD211F">
        <w:rPr>
          <w:sz w:val="36"/>
          <w:szCs w:val="36"/>
          <w:rtl/>
        </w:rPr>
        <w:t xml:space="preserve"> متشخص</w:t>
      </w:r>
      <w:r w:rsidR="00EC7EDF" w:rsidRPr="00FD211F">
        <w:rPr>
          <w:sz w:val="36"/>
          <w:szCs w:val="36"/>
          <w:rtl/>
        </w:rPr>
        <w:t xml:space="preserve">ة </w:t>
      </w:r>
      <w:r w:rsidR="008E06FF" w:rsidRPr="00FD211F">
        <w:rPr>
          <w:sz w:val="36"/>
          <w:szCs w:val="36"/>
          <w:rtl/>
        </w:rPr>
        <w:t xml:space="preserve">في حد </w:t>
      </w:r>
      <w:r w:rsidR="00556BC0" w:rsidRPr="00FD211F">
        <w:rPr>
          <w:sz w:val="36"/>
          <w:szCs w:val="36"/>
          <w:rtl/>
        </w:rPr>
        <w:t>ذاته</w:t>
      </w:r>
      <w:r w:rsidR="008E06FF" w:rsidRPr="00FD211F">
        <w:rPr>
          <w:sz w:val="36"/>
          <w:szCs w:val="36"/>
          <w:rtl/>
        </w:rPr>
        <w:t>ا</w:t>
      </w:r>
      <w:r w:rsidR="00603323" w:rsidRPr="00FD211F">
        <w:rPr>
          <w:sz w:val="36"/>
          <w:szCs w:val="36"/>
          <w:rtl/>
        </w:rPr>
        <w:t xml:space="preserve">، </w:t>
      </w:r>
      <w:r w:rsidR="00556BC0" w:rsidRPr="00FD211F">
        <w:rPr>
          <w:sz w:val="36"/>
          <w:szCs w:val="36"/>
          <w:rtl/>
        </w:rPr>
        <w:t>ولكن الحدث يكون تشخصه بلحاظ نوع علاقته باطرافه</w:t>
      </w:r>
      <w:r w:rsidR="00603323" w:rsidRPr="00FD211F">
        <w:rPr>
          <w:sz w:val="36"/>
          <w:szCs w:val="36"/>
          <w:rtl/>
        </w:rPr>
        <w:t xml:space="preserve">، </w:t>
      </w:r>
      <w:r w:rsidR="00556BC0" w:rsidRPr="00FD211F">
        <w:rPr>
          <w:sz w:val="36"/>
          <w:szCs w:val="36"/>
          <w:rtl/>
        </w:rPr>
        <w:t xml:space="preserve">فتشخص الضرب بكونه </w:t>
      </w:r>
      <w:r w:rsidRPr="00FD211F">
        <w:rPr>
          <w:sz w:val="36"/>
          <w:szCs w:val="36"/>
          <w:rtl/>
        </w:rPr>
        <w:t>صادرا</w:t>
      </w:r>
      <w:r w:rsidR="00556BC0" w:rsidRPr="00FD211F">
        <w:rPr>
          <w:sz w:val="36"/>
          <w:szCs w:val="36"/>
          <w:rtl/>
        </w:rPr>
        <w:t>من زيد وعلى عمرو وبالعصا م</w:t>
      </w:r>
      <w:r w:rsidRPr="00FD211F">
        <w:rPr>
          <w:sz w:val="36"/>
          <w:szCs w:val="36"/>
          <w:rtl/>
        </w:rPr>
        <w:t>ثلا</w:t>
      </w:r>
      <w:r w:rsidR="00603323" w:rsidRPr="00FD211F">
        <w:rPr>
          <w:sz w:val="36"/>
          <w:szCs w:val="36"/>
          <w:rtl/>
        </w:rPr>
        <w:t xml:space="preserve">، </w:t>
      </w:r>
      <w:r w:rsidRPr="00FD211F">
        <w:rPr>
          <w:sz w:val="36"/>
          <w:szCs w:val="36"/>
          <w:rtl/>
        </w:rPr>
        <w:t>وحينئذ فيستعان بحروف الجر ل</w:t>
      </w:r>
      <w:r w:rsidR="00556BC0" w:rsidRPr="00FD211F">
        <w:rPr>
          <w:sz w:val="36"/>
          <w:szCs w:val="36"/>
          <w:rtl/>
        </w:rPr>
        <w:t>افاد</w:t>
      </w:r>
      <w:r w:rsidR="00EC7EDF" w:rsidRPr="00FD211F">
        <w:rPr>
          <w:sz w:val="36"/>
          <w:szCs w:val="36"/>
          <w:rtl/>
        </w:rPr>
        <w:t xml:space="preserve">ة </w:t>
      </w:r>
      <w:r w:rsidR="00556BC0" w:rsidRPr="00FD211F">
        <w:rPr>
          <w:sz w:val="36"/>
          <w:szCs w:val="36"/>
          <w:rtl/>
        </w:rPr>
        <w:t>تشخصه ببيان نوع علاقته باطرافه كما قد يستعان</w:t>
      </w:r>
      <w:r w:rsidRPr="00FD211F">
        <w:rPr>
          <w:sz w:val="36"/>
          <w:szCs w:val="36"/>
          <w:rtl/>
        </w:rPr>
        <w:t>بهيئ</w:t>
      </w:r>
      <w:r w:rsidR="00EC7EDF" w:rsidRPr="00FD211F">
        <w:rPr>
          <w:sz w:val="36"/>
          <w:szCs w:val="36"/>
          <w:rtl/>
        </w:rPr>
        <w:t xml:space="preserve">ة </w:t>
      </w:r>
      <w:r w:rsidRPr="00FD211F">
        <w:rPr>
          <w:sz w:val="36"/>
          <w:szCs w:val="36"/>
          <w:rtl/>
        </w:rPr>
        <w:t>المشتقات لافاد</w:t>
      </w:r>
      <w:r w:rsidR="00EC7EDF" w:rsidRPr="00FD211F">
        <w:rPr>
          <w:sz w:val="36"/>
          <w:szCs w:val="36"/>
          <w:rtl/>
        </w:rPr>
        <w:t xml:space="preserve">ة </w:t>
      </w:r>
      <w:r w:rsidRPr="00FD211F">
        <w:rPr>
          <w:sz w:val="36"/>
          <w:szCs w:val="36"/>
          <w:rtl/>
        </w:rPr>
        <w:t>تشخصه</w:t>
      </w:r>
      <w:r w:rsidR="00603323" w:rsidRPr="00FD211F">
        <w:rPr>
          <w:sz w:val="36"/>
          <w:szCs w:val="36"/>
          <w:rtl/>
        </w:rPr>
        <w:t xml:space="preserve">، </w:t>
      </w:r>
      <w:r w:rsidR="00556BC0" w:rsidRPr="00FD211F">
        <w:rPr>
          <w:sz w:val="36"/>
          <w:szCs w:val="36"/>
          <w:rtl/>
        </w:rPr>
        <w:t>فليس حرف الجر لمجرد تضييق المعنى الحدثي كما في الاضاف</w:t>
      </w:r>
      <w:r w:rsidR="00EC7EDF" w:rsidRPr="00FD211F">
        <w:rPr>
          <w:sz w:val="36"/>
          <w:szCs w:val="36"/>
          <w:rtl/>
        </w:rPr>
        <w:t>ة</w:t>
      </w:r>
      <w:r w:rsidR="00603323" w:rsidRPr="00FD211F">
        <w:rPr>
          <w:sz w:val="36"/>
          <w:szCs w:val="36"/>
          <w:rtl/>
        </w:rPr>
        <w:t xml:space="preserve">، </w:t>
      </w:r>
      <w:r w:rsidR="00556BC0" w:rsidRPr="00FD211F">
        <w:rPr>
          <w:sz w:val="36"/>
          <w:szCs w:val="36"/>
          <w:rtl/>
        </w:rPr>
        <w:t>وان كان معناه مستتبعا لذلك</w:t>
      </w:r>
      <w:r w:rsidR="00603323" w:rsidRPr="00FD211F">
        <w:rPr>
          <w:sz w:val="36"/>
          <w:szCs w:val="36"/>
          <w:rtl/>
        </w:rPr>
        <w:t xml:space="preserve">، </w:t>
      </w:r>
      <w:r w:rsidR="00556BC0" w:rsidRPr="00FD211F">
        <w:rPr>
          <w:sz w:val="36"/>
          <w:szCs w:val="36"/>
          <w:rtl/>
        </w:rPr>
        <w:t>بل هو لإفاد</w:t>
      </w:r>
      <w:r w:rsidR="00EC7EDF" w:rsidRPr="00FD211F">
        <w:rPr>
          <w:sz w:val="36"/>
          <w:szCs w:val="36"/>
          <w:rtl/>
        </w:rPr>
        <w:t xml:space="preserve">ة </w:t>
      </w:r>
      <w:r w:rsidR="00556BC0" w:rsidRPr="00FD211F">
        <w:rPr>
          <w:sz w:val="36"/>
          <w:szCs w:val="36"/>
          <w:rtl/>
        </w:rPr>
        <w:t>تشخص المعنى</w:t>
      </w:r>
      <w:r w:rsidR="00603323" w:rsidRPr="00FD211F">
        <w:rPr>
          <w:sz w:val="36"/>
          <w:szCs w:val="36"/>
          <w:rtl/>
        </w:rPr>
        <w:t xml:space="preserve">، </w:t>
      </w:r>
      <w:r w:rsidR="00556BC0" w:rsidRPr="00FD211F">
        <w:rPr>
          <w:sz w:val="36"/>
          <w:szCs w:val="36"/>
          <w:rtl/>
        </w:rPr>
        <w:t xml:space="preserve">ومن هنا يدل على نوع </w:t>
      </w:r>
      <w:r w:rsidR="005039F0" w:rsidRPr="00FD211F">
        <w:rPr>
          <w:sz w:val="36"/>
          <w:szCs w:val="36"/>
          <w:rtl/>
        </w:rPr>
        <w:t>النسب</w:t>
      </w:r>
      <w:r w:rsidR="00EC7EDF" w:rsidRPr="00FD211F">
        <w:rPr>
          <w:sz w:val="36"/>
          <w:szCs w:val="36"/>
          <w:rtl/>
        </w:rPr>
        <w:t xml:space="preserve">ة </w:t>
      </w:r>
      <w:r w:rsidR="00556BC0" w:rsidRPr="00FD211F">
        <w:rPr>
          <w:sz w:val="36"/>
          <w:szCs w:val="36"/>
          <w:rtl/>
        </w:rPr>
        <w:t>زائدا على اصلها</w:t>
      </w:r>
      <w:r w:rsidR="00603323" w:rsidRPr="00FD211F">
        <w:rPr>
          <w:sz w:val="36"/>
          <w:szCs w:val="36"/>
          <w:rtl/>
        </w:rPr>
        <w:t xml:space="preserve">، </w:t>
      </w:r>
      <w:r w:rsidR="00556BC0" w:rsidRPr="00FD211F">
        <w:rPr>
          <w:sz w:val="36"/>
          <w:szCs w:val="36"/>
          <w:rtl/>
        </w:rPr>
        <w:t>ومن الواضح ان الذات متشخص</w:t>
      </w:r>
      <w:r w:rsidR="00EC7EDF" w:rsidRPr="00FD211F">
        <w:rPr>
          <w:sz w:val="36"/>
          <w:szCs w:val="36"/>
          <w:rtl/>
        </w:rPr>
        <w:t xml:space="preserve">ة </w:t>
      </w:r>
      <w:r w:rsidR="00556BC0" w:rsidRPr="00FD211F">
        <w:rPr>
          <w:sz w:val="36"/>
          <w:szCs w:val="36"/>
          <w:rtl/>
        </w:rPr>
        <w:t>بقطع</w:t>
      </w:r>
      <w:r w:rsidR="007F7849" w:rsidRPr="00FD211F">
        <w:rPr>
          <w:sz w:val="36"/>
          <w:szCs w:val="36"/>
          <w:rtl/>
        </w:rPr>
        <w:t xml:space="preserve"> النظر عن علاقتها باطرافها</w:t>
      </w:r>
      <w:r w:rsidR="00603323" w:rsidRPr="00FD211F">
        <w:rPr>
          <w:sz w:val="36"/>
          <w:szCs w:val="36"/>
          <w:rtl/>
        </w:rPr>
        <w:t xml:space="preserve">، </w:t>
      </w:r>
      <w:r w:rsidR="007F7849" w:rsidRPr="00FD211F">
        <w:rPr>
          <w:sz w:val="36"/>
          <w:szCs w:val="36"/>
          <w:rtl/>
        </w:rPr>
        <w:t>فلات</w:t>
      </w:r>
      <w:r w:rsidR="00556BC0" w:rsidRPr="00FD211F">
        <w:rPr>
          <w:sz w:val="36"/>
          <w:szCs w:val="36"/>
          <w:rtl/>
        </w:rPr>
        <w:t>حتاج في تشخصه</w:t>
      </w:r>
      <w:r w:rsidR="008E06FF" w:rsidRPr="00FD211F">
        <w:rPr>
          <w:sz w:val="36"/>
          <w:szCs w:val="36"/>
          <w:rtl/>
        </w:rPr>
        <w:t>ا</w:t>
      </w:r>
      <w:r w:rsidR="00556BC0" w:rsidRPr="00FD211F">
        <w:rPr>
          <w:sz w:val="36"/>
          <w:szCs w:val="36"/>
          <w:rtl/>
        </w:rPr>
        <w:t xml:space="preserve"> الى ما يدل على نوعي</w:t>
      </w:r>
      <w:r w:rsidR="00EC7EDF" w:rsidRPr="00FD211F">
        <w:rPr>
          <w:sz w:val="36"/>
          <w:szCs w:val="36"/>
          <w:rtl/>
        </w:rPr>
        <w:t xml:space="preserve">ة </w:t>
      </w:r>
      <w:r w:rsidR="00556BC0" w:rsidRPr="00FD211F">
        <w:rPr>
          <w:sz w:val="36"/>
          <w:szCs w:val="36"/>
          <w:rtl/>
        </w:rPr>
        <w:t>نسبته</w:t>
      </w:r>
      <w:r w:rsidR="008E06FF" w:rsidRPr="00FD211F">
        <w:rPr>
          <w:sz w:val="36"/>
          <w:szCs w:val="36"/>
          <w:rtl/>
        </w:rPr>
        <w:t>ا</w:t>
      </w:r>
      <w:r w:rsidR="00556BC0" w:rsidRPr="00FD211F">
        <w:rPr>
          <w:sz w:val="36"/>
          <w:szCs w:val="36"/>
          <w:rtl/>
        </w:rPr>
        <w:t xml:space="preserve"> باطرافه</w:t>
      </w:r>
      <w:r w:rsidR="008E06FF" w:rsidRPr="00FD211F">
        <w:rPr>
          <w:sz w:val="36"/>
          <w:szCs w:val="36"/>
          <w:rtl/>
        </w:rPr>
        <w:t>ا</w:t>
      </w:r>
      <w:r w:rsidR="00603323" w:rsidRPr="00FD211F">
        <w:rPr>
          <w:sz w:val="36"/>
          <w:szCs w:val="36"/>
          <w:rtl/>
        </w:rPr>
        <w:t xml:space="preserve">، </w:t>
      </w:r>
      <w:r w:rsidR="00556BC0" w:rsidRPr="00FD211F">
        <w:rPr>
          <w:sz w:val="36"/>
          <w:szCs w:val="36"/>
          <w:rtl/>
        </w:rPr>
        <w:t xml:space="preserve">ولاجل ذلك لابد في مثل </w:t>
      </w:r>
      <w:r w:rsidR="008E06FF" w:rsidRPr="00FD211F">
        <w:rPr>
          <w:sz w:val="36"/>
          <w:szCs w:val="36"/>
          <w:rtl/>
        </w:rPr>
        <w:t>"</w:t>
      </w:r>
      <w:r w:rsidR="00556BC0" w:rsidRPr="00FD211F">
        <w:rPr>
          <w:sz w:val="36"/>
          <w:szCs w:val="36"/>
          <w:rtl/>
        </w:rPr>
        <w:t>هذا غلام لزيد</w:t>
      </w:r>
      <w:r w:rsidR="008E06FF" w:rsidRPr="00FD211F">
        <w:rPr>
          <w:sz w:val="36"/>
          <w:szCs w:val="36"/>
          <w:rtl/>
        </w:rPr>
        <w:t>"</w:t>
      </w:r>
      <w:r w:rsidR="00556BC0" w:rsidRPr="00FD211F">
        <w:rPr>
          <w:sz w:val="36"/>
          <w:szCs w:val="36"/>
          <w:rtl/>
        </w:rPr>
        <w:t xml:space="preserve"> اما من تقدير </w:t>
      </w:r>
      <w:r w:rsidR="008E06FF" w:rsidRPr="00FD211F">
        <w:rPr>
          <w:sz w:val="36"/>
          <w:szCs w:val="36"/>
          <w:rtl/>
        </w:rPr>
        <w:t>"</w:t>
      </w:r>
      <w:r w:rsidR="00556BC0" w:rsidRPr="00FD211F">
        <w:rPr>
          <w:sz w:val="36"/>
          <w:szCs w:val="36"/>
          <w:rtl/>
        </w:rPr>
        <w:t>كائن</w:t>
      </w:r>
      <w:r w:rsidR="008E06FF" w:rsidRPr="00FD211F">
        <w:rPr>
          <w:sz w:val="36"/>
          <w:szCs w:val="36"/>
          <w:rtl/>
        </w:rPr>
        <w:t>"</w:t>
      </w:r>
      <w:r w:rsidR="00556BC0" w:rsidRPr="00FD211F">
        <w:rPr>
          <w:sz w:val="36"/>
          <w:szCs w:val="36"/>
          <w:rtl/>
        </w:rPr>
        <w:t xml:space="preserve"> او تأويل </w:t>
      </w:r>
      <w:r w:rsidR="008E06FF" w:rsidRPr="00FD211F">
        <w:rPr>
          <w:sz w:val="36"/>
          <w:szCs w:val="36"/>
          <w:rtl/>
        </w:rPr>
        <w:t>"</w:t>
      </w:r>
      <w:r w:rsidR="00556BC0" w:rsidRPr="00FD211F">
        <w:rPr>
          <w:sz w:val="36"/>
          <w:szCs w:val="36"/>
          <w:rtl/>
        </w:rPr>
        <w:t>غلام</w:t>
      </w:r>
      <w:r w:rsidR="008E06FF" w:rsidRPr="00FD211F">
        <w:rPr>
          <w:sz w:val="36"/>
          <w:szCs w:val="36"/>
          <w:rtl/>
        </w:rPr>
        <w:t>"</w:t>
      </w:r>
      <w:r w:rsidR="00556BC0" w:rsidRPr="00FD211F">
        <w:rPr>
          <w:sz w:val="36"/>
          <w:szCs w:val="36"/>
          <w:rtl/>
        </w:rPr>
        <w:t xml:space="preserve"> الى معنى حدثي مثل</w:t>
      </w:r>
      <w:r w:rsidR="008E06FF" w:rsidRPr="00FD211F">
        <w:rPr>
          <w:sz w:val="36"/>
          <w:szCs w:val="36"/>
          <w:rtl/>
        </w:rPr>
        <w:t>"</w:t>
      </w:r>
      <w:r w:rsidR="00556BC0" w:rsidRPr="00FD211F">
        <w:rPr>
          <w:sz w:val="36"/>
          <w:szCs w:val="36"/>
          <w:rtl/>
        </w:rPr>
        <w:t xml:space="preserve"> مملوك</w:t>
      </w:r>
      <w:r w:rsidR="008E06FF" w:rsidRPr="00FD211F">
        <w:rPr>
          <w:sz w:val="36"/>
          <w:szCs w:val="36"/>
          <w:rtl/>
        </w:rPr>
        <w:t>".</w:t>
      </w:r>
    </w:p>
    <w:p w14:paraId="052008B0" w14:textId="77777777" w:rsidR="00556BC0" w:rsidRPr="00FD211F" w:rsidRDefault="00556BC0" w:rsidP="009C58C8">
      <w:pPr>
        <w:ind w:left="0" w:firstLine="227"/>
        <w:jc w:val="both"/>
        <w:rPr>
          <w:sz w:val="36"/>
          <w:szCs w:val="36"/>
          <w:rtl/>
        </w:rPr>
      </w:pPr>
      <w:r w:rsidRPr="00FD211F">
        <w:rPr>
          <w:sz w:val="36"/>
          <w:szCs w:val="36"/>
          <w:rtl/>
        </w:rPr>
        <w:t xml:space="preserve">وبهذا البيان ثبت الفرق الدقيق بين </w:t>
      </w:r>
      <w:r w:rsidR="008E06FF" w:rsidRPr="00FD211F">
        <w:rPr>
          <w:sz w:val="36"/>
          <w:szCs w:val="36"/>
          <w:rtl/>
        </w:rPr>
        <w:t>"</w:t>
      </w:r>
      <w:r w:rsidRPr="00FD211F">
        <w:rPr>
          <w:sz w:val="36"/>
          <w:szCs w:val="36"/>
          <w:rtl/>
        </w:rPr>
        <w:t>هذا ضارب زيد</w:t>
      </w:r>
      <w:r w:rsidR="008E06FF" w:rsidRPr="00FD211F">
        <w:rPr>
          <w:sz w:val="36"/>
          <w:szCs w:val="36"/>
          <w:rtl/>
        </w:rPr>
        <w:t>"</w:t>
      </w:r>
      <w:r w:rsidRPr="00FD211F">
        <w:rPr>
          <w:sz w:val="36"/>
          <w:szCs w:val="36"/>
          <w:rtl/>
        </w:rPr>
        <w:t xml:space="preserve"> و</w:t>
      </w:r>
      <w:r w:rsidR="008E06FF" w:rsidRPr="00FD211F">
        <w:rPr>
          <w:sz w:val="36"/>
          <w:szCs w:val="36"/>
          <w:rtl/>
        </w:rPr>
        <w:t>"</w:t>
      </w:r>
      <w:r w:rsidRPr="00FD211F">
        <w:rPr>
          <w:sz w:val="36"/>
          <w:szCs w:val="36"/>
          <w:rtl/>
        </w:rPr>
        <w:t>هذا ضارب لزيد</w:t>
      </w:r>
      <w:r w:rsidR="008E06FF" w:rsidRPr="00FD211F">
        <w:rPr>
          <w:sz w:val="36"/>
          <w:szCs w:val="36"/>
          <w:rtl/>
        </w:rPr>
        <w:t>"</w:t>
      </w:r>
      <w:r w:rsidR="00603323" w:rsidRPr="00FD211F">
        <w:rPr>
          <w:sz w:val="36"/>
          <w:szCs w:val="36"/>
          <w:rtl/>
        </w:rPr>
        <w:t xml:space="preserve">، </w:t>
      </w:r>
      <w:r w:rsidRPr="00FD211F">
        <w:rPr>
          <w:sz w:val="36"/>
          <w:szCs w:val="36"/>
          <w:rtl/>
        </w:rPr>
        <w:t>رغم التشابه الشديد بينهما الموهم لوحد</w:t>
      </w:r>
      <w:r w:rsidR="00EC7EDF" w:rsidRPr="00FD211F">
        <w:rPr>
          <w:sz w:val="36"/>
          <w:szCs w:val="36"/>
          <w:rtl/>
        </w:rPr>
        <w:t xml:space="preserve">ة </w:t>
      </w:r>
      <w:r w:rsidRPr="00FD211F">
        <w:rPr>
          <w:sz w:val="36"/>
          <w:szCs w:val="36"/>
          <w:rtl/>
        </w:rPr>
        <w:t>معناهما</w:t>
      </w:r>
      <w:r w:rsidR="00603323" w:rsidRPr="00FD211F">
        <w:rPr>
          <w:sz w:val="36"/>
          <w:szCs w:val="36"/>
          <w:rtl/>
        </w:rPr>
        <w:t xml:space="preserve">، </w:t>
      </w:r>
      <w:r w:rsidRPr="00FD211F">
        <w:rPr>
          <w:sz w:val="36"/>
          <w:szCs w:val="36"/>
          <w:rtl/>
        </w:rPr>
        <w:t>فان</w:t>
      </w:r>
      <w:r w:rsidR="008E06FF" w:rsidRPr="00FD211F">
        <w:rPr>
          <w:sz w:val="36"/>
          <w:szCs w:val="36"/>
          <w:rtl/>
        </w:rPr>
        <w:t>"</w:t>
      </w:r>
      <w:r w:rsidRPr="00FD211F">
        <w:rPr>
          <w:sz w:val="36"/>
          <w:szCs w:val="36"/>
          <w:rtl/>
        </w:rPr>
        <w:t xml:space="preserve"> ضارب زيد</w:t>
      </w:r>
      <w:r w:rsidR="008E06FF" w:rsidRPr="00FD211F">
        <w:rPr>
          <w:sz w:val="36"/>
          <w:szCs w:val="36"/>
          <w:rtl/>
        </w:rPr>
        <w:t>"</w:t>
      </w:r>
      <w:r w:rsidRPr="00FD211F">
        <w:rPr>
          <w:sz w:val="36"/>
          <w:szCs w:val="36"/>
          <w:rtl/>
        </w:rPr>
        <w:t xml:space="preserve"> لايدل على خصوصي</w:t>
      </w:r>
      <w:r w:rsidR="00EC7EDF" w:rsidRPr="00FD211F">
        <w:rPr>
          <w:sz w:val="36"/>
          <w:szCs w:val="36"/>
          <w:rtl/>
        </w:rPr>
        <w:t xml:space="preserve">ة </w:t>
      </w:r>
      <w:r w:rsidRPr="00FD211F">
        <w:rPr>
          <w:sz w:val="36"/>
          <w:szCs w:val="36"/>
          <w:rtl/>
        </w:rPr>
        <w:t>مشخص</w:t>
      </w:r>
      <w:r w:rsidR="00EC7EDF" w:rsidRPr="00FD211F">
        <w:rPr>
          <w:sz w:val="36"/>
          <w:szCs w:val="36"/>
          <w:rtl/>
        </w:rPr>
        <w:t xml:space="preserve">ة </w:t>
      </w:r>
      <w:r w:rsidRPr="00FD211F">
        <w:rPr>
          <w:sz w:val="36"/>
          <w:szCs w:val="36"/>
          <w:rtl/>
        </w:rPr>
        <w:t>للضارب</w:t>
      </w:r>
      <w:r w:rsidR="00603323" w:rsidRPr="00FD211F">
        <w:rPr>
          <w:sz w:val="36"/>
          <w:szCs w:val="36"/>
          <w:rtl/>
        </w:rPr>
        <w:t xml:space="preserve">، </w:t>
      </w:r>
      <w:r w:rsidRPr="00FD211F">
        <w:rPr>
          <w:sz w:val="36"/>
          <w:szCs w:val="36"/>
          <w:rtl/>
        </w:rPr>
        <w:t>فانه مشخص في نفسه بالإشار</w:t>
      </w:r>
      <w:r w:rsidR="00EC7EDF" w:rsidRPr="00FD211F">
        <w:rPr>
          <w:sz w:val="36"/>
          <w:szCs w:val="36"/>
          <w:rtl/>
        </w:rPr>
        <w:t xml:space="preserve">ة </w:t>
      </w:r>
      <w:r w:rsidRPr="00FD211F">
        <w:rPr>
          <w:sz w:val="36"/>
          <w:szCs w:val="36"/>
          <w:rtl/>
        </w:rPr>
        <w:t>اليه</w:t>
      </w:r>
      <w:r w:rsidR="00603323" w:rsidRPr="00FD211F">
        <w:rPr>
          <w:sz w:val="36"/>
          <w:szCs w:val="36"/>
          <w:rtl/>
        </w:rPr>
        <w:t xml:space="preserve">، </w:t>
      </w:r>
      <w:r w:rsidRPr="00FD211F">
        <w:rPr>
          <w:sz w:val="36"/>
          <w:szCs w:val="36"/>
          <w:rtl/>
        </w:rPr>
        <w:t>ولايدل على خصوصي</w:t>
      </w:r>
      <w:r w:rsidR="00EC7EDF" w:rsidRPr="00FD211F">
        <w:rPr>
          <w:sz w:val="36"/>
          <w:szCs w:val="36"/>
          <w:rtl/>
        </w:rPr>
        <w:t xml:space="preserve">ة </w:t>
      </w:r>
      <w:r w:rsidRPr="00FD211F">
        <w:rPr>
          <w:sz w:val="36"/>
          <w:szCs w:val="36"/>
          <w:rtl/>
        </w:rPr>
        <w:t>مشخص</w:t>
      </w:r>
      <w:r w:rsidR="00EC7EDF" w:rsidRPr="00FD211F">
        <w:rPr>
          <w:sz w:val="36"/>
          <w:szCs w:val="36"/>
          <w:rtl/>
        </w:rPr>
        <w:t xml:space="preserve">ة </w:t>
      </w:r>
      <w:r w:rsidRPr="00FD211F">
        <w:rPr>
          <w:sz w:val="36"/>
          <w:szCs w:val="36"/>
          <w:rtl/>
        </w:rPr>
        <w:t>لضربه</w:t>
      </w:r>
      <w:r w:rsidR="00603323" w:rsidRPr="00FD211F">
        <w:rPr>
          <w:sz w:val="36"/>
          <w:szCs w:val="36"/>
          <w:rtl/>
        </w:rPr>
        <w:t xml:space="preserve">، </w:t>
      </w:r>
      <w:r w:rsidRPr="00FD211F">
        <w:rPr>
          <w:sz w:val="36"/>
          <w:szCs w:val="36"/>
          <w:rtl/>
        </w:rPr>
        <w:t>لان المضاف هو الضارب لاضربه وانما يدل على تحصيصه وتضييقه في حص</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منه</w:t>
      </w:r>
      <w:r w:rsidR="00603323" w:rsidRPr="00FD211F">
        <w:rPr>
          <w:sz w:val="36"/>
          <w:szCs w:val="36"/>
          <w:rtl/>
        </w:rPr>
        <w:t xml:space="preserve">، </w:t>
      </w:r>
      <w:r w:rsidRPr="00FD211F">
        <w:rPr>
          <w:sz w:val="36"/>
          <w:szCs w:val="36"/>
          <w:rtl/>
        </w:rPr>
        <w:t>بينما يدل "ضاربٌ لزيد" على خصوصي</w:t>
      </w:r>
      <w:r w:rsidR="00EC7EDF" w:rsidRPr="00FD211F">
        <w:rPr>
          <w:sz w:val="36"/>
          <w:szCs w:val="36"/>
          <w:rtl/>
        </w:rPr>
        <w:t xml:space="preserve">ة </w:t>
      </w:r>
      <w:r w:rsidRPr="00FD211F">
        <w:rPr>
          <w:sz w:val="36"/>
          <w:szCs w:val="36"/>
          <w:rtl/>
        </w:rPr>
        <w:t>للضرب الصادر من الضرب فتشخصه من ناحي</w:t>
      </w:r>
      <w:r w:rsidR="00EC7EDF" w:rsidRPr="00FD211F">
        <w:rPr>
          <w:sz w:val="36"/>
          <w:szCs w:val="36"/>
          <w:rtl/>
        </w:rPr>
        <w:t xml:space="preserve">ة </w:t>
      </w:r>
      <w:r w:rsidRPr="00FD211F">
        <w:rPr>
          <w:sz w:val="36"/>
          <w:szCs w:val="36"/>
          <w:rtl/>
        </w:rPr>
        <w:t>وقع عليه الضرب</w:t>
      </w:r>
      <w:r w:rsidR="009C58C8" w:rsidRPr="00FD211F">
        <w:rPr>
          <w:rStyle w:val="a6"/>
          <w:sz w:val="36"/>
          <w:szCs w:val="36"/>
          <w:rtl/>
        </w:rPr>
        <w:t>(</w:t>
      </w:r>
      <w:r w:rsidR="009C58C8" w:rsidRPr="00FD211F">
        <w:rPr>
          <w:rStyle w:val="a6"/>
          <w:sz w:val="36"/>
          <w:szCs w:val="36"/>
          <w:rtl/>
        </w:rPr>
        <w:footnoteReference w:id="188"/>
      </w:r>
      <w:r w:rsidR="009C58C8" w:rsidRPr="00FD211F">
        <w:rPr>
          <w:rStyle w:val="a6"/>
          <w:sz w:val="36"/>
          <w:szCs w:val="36"/>
          <w:rtl/>
        </w:rPr>
        <w:t>)</w:t>
      </w:r>
      <w:r w:rsidRPr="00FD211F">
        <w:rPr>
          <w:sz w:val="36"/>
          <w:szCs w:val="36"/>
          <w:rtl/>
        </w:rPr>
        <w:t>.</w:t>
      </w:r>
    </w:p>
    <w:p w14:paraId="38FA07ED" w14:textId="77777777" w:rsidR="005010FA" w:rsidRPr="00FD211F" w:rsidRDefault="003B5A95" w:rsidP="009C58C8">
      <w:pPr>
        <w:ind w:left="0" w:firstLine="227"/>
        <w:jc w:val="both"/>
        <w:rPr>
          <w:sz w:val="36"/>
          <w:szCs w:val="36"/>
          <w:rtl/>
        </w:rPr>
      </w:pPr>
      <w:r w:rsidRPr="00FD211F">
        <w:rPr>
          <w:sz w:val="36"/>
          <w:szCs w:val="36"/>
          <w:rtl/>
        </w:rPr>
        <w:t xml:space="preserve">ويردعليه </w:t>
      </w:r>
      <w:r w:rsidR="00556BC0" w:rsidRPr="00FD211F">
        <w:rPr>
          <w:b/>
          <w:bCs/>
          <w:sz w:val="36"/>
          <w:szCs w:val="36"/>
          <w:rtl/>
        </w:rPr>
        <w:t>اولا</w:t>
      </w:r>
      <w:r w:rsidR="00556BC0" w:rsidRPr="00FD211F">
        <w:rPr>
          <w:sz w:val="36"/>
          <w:szCs w:val="36"/>
          <w:rtl/>
        </w:rPr>
        <w:t>: انه</w:t>
      </w:r>
      <w:r w:rsidR="008D7B3D" w:rsidRPr="00FD211F">
        <w:rPr>
          <w:sz w:val="36"/>
          <w:szCs w:val="36"/>
          <w:rtl/>
        </w:rPr>
        <w:t xml:space="preserve"> لم‌</w:t>
      </w:r>
      <w:r w:rsidR="00556BC0" w:rsidRPr="00FD211F">
        <w:rPr>
          <w:sz w:val="36"/>
          <w:szCs w:val="36"/>
          <w:rtl/>
        </w:rPr>
        <w:t>يفسر لنا وجه عدم ا</w:t>
      </w:r>
      <w:r w:rsidR="00EA3A64" w:rsidRPr="00FD211F">
        <w:rPr>
          <w:sz w:val="36"/>
          <w:szCs w:val="36"/>
          <w:rtl/>
        </w:rPr>
        <w:t>لا</w:t>
      </w:r>
      <w:r w:rsidR="00556BC0" w:rsidRPr="00FD211F">
        <w:rPr>
          <w:sz w:val="36"/>
          <w:szCs w:val="36"/>
          <w:rtl/>
        </w:rPr>
        <w:t>ضاف</w:t>
      </w:r>
      <w:r w:rsidR="00EC7EDF" w:rsidRPr="00FD211F">
        <w:rPr>
          <w:sz w:val="36"/>
          <w:szCs w:val="36"/>
          <w:rtl/>
        </w:rPr>
        <w:t xml:space="preserve">ة </w:t>
      </w:r>
      <w:r w:rsidR="00556BC0" w:rsidRPr="00FD211F">
        <w:rPr>
          <w:sz w:val="36"/>
          <w:szCs w:val="36"/>
          <w:rtl/>
        </w:rPr>
        <w:t>في قولنا</w:t>
      </w:r>
      <w:r w:rsidR="00457B7F" w:rsidRPr="00FD211F">
        <w:rPr>
          <w:sz w:val="36"/>
          <w:szCs w:val="36"/>
          <w:rtl/>
        </w:rPr>
        <w:t>"</w:t>
      </w:r>
      <w:r w:rsidR="00556BC0" w:rsidRPr="00FD211F">
        <w:rPr>
          <w:sz w:val="36"/>
          <w:szCs w:val="36"/>
          <w:rtl/>
        </w:rPr>
        <w:t xml:space="preserve"> زيد قائم في الدار</w:t>
      </w:r>
      <w:r w:rsidR="00457B7F" w:rsidRPr="00FD211F">
        <w:rPr>
          <w:sz w:val="36"/>
          <w:szCs w:val="36"/>
          <w:rtl/>
        </w:rPr>
        <w:t>"</w:t>
      </w:r>
      <w:r w:rsidR="00603323" w:rsidRPr="00FD211F">
        <w:rPr>
          <w:sz w:val="36"/>
          <w:szCs w:val="36"/>
          <w:rtl/>
        </w:rPr>
        <w:t xml:space="preserve">، </w:t>
      </w:r>
      <w:r w:rsidR="00EA3A64" w:rsidRPr="00FD211F">
        <w:rPr>
          <w:sz w:val="36"/>
          <w:szCs w:val="36"/>
          <w:rtl/>
        </w:rPr>
        <w:t>وكذاقولنا</w:t>
      </w:r>
      <w:r w:rsidR="002B1EA9" w:rsidRPr="00FD211F">
        <w:rPr>
          <w:sz w:val="36"/>
          <w:szCs w:val="36"/>
          <w:rtl/>
        </w:rPr>
        <w:t xml:space="preserve"> </w:t>
      </w:r>
      <w:r w:rsidR="00457B7F" w:rsidRPr="00FD211F">
        <w:rPr>
          <w:sz w:val="36"/>
          <w:szCs w:val="36"/>
          <w:rtl/>
        </w:rPr>
        <w:t>"</w:t>
      </w:r>
      <w:r w:rsidR="00556BC0" w:rsidRPr="00FD211F">
        <w:rPr>
          <w:sz w:val="36"/>
          <w:szCs w:val="36"/>
          <w:rtl/>
        </w:rPr>
        <w:t>سفرك اطول من سفري</w:t>
      </w:r>
      <w:r w:rsidR="00457B7F" w:rsidRPr="00FD211F">
        <w:rPr>
          <w:sz w:val="36"/>
          <w:szCs w:val="36"/>
          <w:rtl/>
        </w:rPr>
        <w:t>"</w:t>
      </w:r>
      <w:r w:rsidR="00603323" w:rsidRPr="00FD211F">
        <w:rPr>
          <w:sz w:val="36"/>
          <w:szCs w:val="36"/>
          <w:rtl/>
        </w:rPr>
        <w:t xml:space="preserve">، </w:t>
      </w:r>
      <w:r w:rsidR="00556BC0" w:rsidRPr="00FD211F">
        <w:rPr>
          <w:sz w:val="36"/>
          <w:szCs w:val="36"/>
          <w:rtl/>
        </w:rPr>
        <w:t>فل</w:t>
      </w:r>
      <w:r w:rsidR="00EA3A64" w:rsidRPr="00FD211F">
        <w:rPr>
          <w:sz w:val="36"/>
          <w:szCs w:val="36"/>
          <w:rtl/>
        </w:rPr>
        <w:t>ِ</w:t>
      </w:r>
      <w:r w:rsidR="00556BC0" w:rsidRPr="00FD211F">
        <w:rPr>
          <w:sz w:val="36"/>
          <w:szCs w:val="36"/>
          <w:rtl/>
        </w:rPr>
        <w:t>م</w:t>
      </w:r>
      <w:r w:rsidR="00EA3A64" w:rsidRPr="00FD211F">
        <w:rPr>
          <w:sz w:val="36"/>
          <w:szCs w:val="36"/>
          <w:rtl/>
        </w:rPr>
        <w:t>َ</w:t>
      </w:r>
      <w:r w:rsidR="00556BC0" w:rsidRPr="00FD211F">
        <w:rPr>
          <w:sz w:val="36"/>
          <w:szCs w:val="36"/>
          <w:rtl/>
        </w:rPr>
        <w:t xml:space="preserve"> لايصح</w:t>
      </w:r>
      <w:r w:rsidR="00EA3A64" w:rsidRPr="00FD211F">
        <w:rPr>
          <w:sz w:val="36"/>
          <w:szCs w:val="36"/>
          <w:rtl/>
        </w:rPr>
        <w:t>ُّ</w:t>
      </w:r>
      <w:r w:rsidR="00556BC0" w:rsidRPr="00FD211F">
        <w:rPr>
          <w:sz w:val="36"/>
          <w:szCs w:val="36"/>
          <w:rtl/>
        </w:rPr>
        <w:t xml:space="preserve"> الإضاف</w:t>
      </w:r>
      <w:r w:rsidR="00EC7EDF" w:rsidRPr="00FD211F">
        <w:rPr>
          <w:sz w:val="36"/>
          <w:szCs w:val="36"/>
          <w:rtl/>
        </w:rPr>
        <w:t xml:space="preserve">ة </w:t>
      </w:r>
      <w:r w:rsidR="007F7849" w:rsidRPr="00FD211F">
        <w:rPr>
          <w:sz w:val="36"/>
          <w:szCs w:val="36"/>
          <w:rtl/>
        </w:rPr>
        <w:t>فيهما</w:t>
      </w:r>
      <w:r w:rsidR="00EA3A64" w:rsidRPr="00FD211F">
        <w:rPr>
          <w:sz w:val="36"/>
          <w:szCs w:val="36"/>
          <w:rtl/>
        </w:rPr>
        <w:t xml:space="preserve"> </w:t>
      </w:r>
      <w:r w:rsidR="007F7849" w:rsidRPr="00FD211F">
        <w:rPr>
          <w:sz w:val="36"/>
          <w:szCs w:val="36"/>
          <w:rtl/>
        </w:rPr>
        <w:t>لغرض تضييق المضاف وتحصيصه بحص</w:t>
      </w:r>
      <w:r w:rsidR="00EC7EDF" w:rsidRPr="00FD211F">
        <w:rPr>
          <w:sz w:val="36"/>
          <w:szCs w:val="36"/>
          <w:rtl/>
        </w:rPr>
        <w:t xml:space="preserve">ة </w:t>
      </w:r>
      <w:r w:rsidR="007F7849" w:rsidRPr="00FD211F">
        <w:rPr>
          <w:sz w:val="36"/>
          <w:szCs w:val="36"/>
          <w:rtl/>
        </w:rPr>
        <w:t>خاص</w:t>
      </w:r>
      <w:r w:rsidR="00EC7EDF" w:rsidRPr="00FD211F">
        <w:rPr>
          <w:sz w:val="36"/>
          <w:szCs w:val="36"/>
          <w:rtl/>
        </w:rPr>
        <w:t xml:space="preserve">ة </w:t>
      </w:r>
      <w:r w:rsidR="007F7849" w:rsidRPr="00FD211F">
        <w:rPr>
          <w:sz w:val="36"/>
          <w:szCs w:val="36"/>
          <w:rtl/>
        </w:rPr>
        <w:t>منه -من دون ان</w:t>
      </w:r>
      <w:r w:rsidR="00B253CE" w:rsidRPr="00FD211F">
        <w:rPr>
          <w:sz w:val="36"/>
          <w:szCs w:val="36"/>
          <w:rtl/>
        </w:rPr>
        <w:t xml:space="preserve"> </w:t>
      </w:r>
      <w:r w:rsidR="00556BC0" w:rsidRPr="00FD211F">
        <w:rPr>
          <w:sz w:val="36"/>
          <w:szCs w:val="36"/>
          <w:rtl/>
        </w:rPr>
        <w:t>ير</w:t>
      </w:r>
      <w:r w:rsidR="007F7849" w:rsidRPr="00FD211F">
        <w:rPr>
          <w:sz w:val="36"/>
          <w:szCs w:val="36"/>
          <w:rtl/>
        </w:rPr>
        <w:t>ي</w:t>
      </w:r>
      <w:r w:rsidR="00556BC0" w:rsidRPr="00FD211F">
        <w:rPr>
          <w:sz w:val="36"/>
          <w:szCs w:val="36"/>
          <w:rtl/>
        </w:rPr>
        <w:t>د المتكل</w:t>
      </w:r>
      <w:r w:rsidR="008153C3" w:rsidRPr="00FD211F">
        <w:rPr>
          <w:sz w:val="36"/>
          <w:szCs w:val="36"/>
          <w:rtl/>
        </w:rPr>
        <w:t>م افاد</w:t>
      </w:r>
      <w:r w:rsidR="00EC7EDF" w:rsidRPr="00FD211F">
        <w:rPr>
          <w:sz w:val="36"/>
          <w:szCs w:val="36"/>
          <w:rtl/>
        </w:rPr>
        <w:t xml:space="preserve">ة </w:t>
      </w:r>
      <w:r w:rsidR="008153C3" w:rsidRPr="00FD211F">
        <w:rPr>
          <w:sz w:val="36"/>
          <w:szCs w:val="36"/>
          <w:rtl/>
        </w:rPr>
        <w:t>تشخصه بلحاظ نوع علاقته باطرافه</w:t>
      </w:r>
      <w:r w:rsidR="007F7849" w:rsidRPr="00FD211F">
        <w:rPr>
          <w:sz w:val="36"/>
          <w:szCs w:val="36"/>
          <w:rtl/>
        </w:rPr>
        <w:t>- فيكون نظير قولنا</w:t>
      </w:r>
      <w:r w:rsidR="00EA3A64" w:rsidRPr="00FD211F">
        <w:rPr>
          <w:sz w:val="36"/>
          <w:szCs w:val="36"/>
          <w:rtl/>
        </w:rPr>
        <w:t>"</w:t>
      </w:r>
      <w:r w:rsidR="007F7849" w:rsidRPr="00FD211F">
        <w:rPr>
          <w:sz w:val="36"/>
          <w:szCs w:val="36"/>
          <w:rtl/>
        </w:rPr>
        <w:t xml:space="preserve"> ضرب</w:t>
      </w:r>
      <w:r w:rsidR="00EA3A64" w:rsidRPr="00FD211F">
        <w:rPr>
          <w:sz w:val="36"/>
          <w:szCs w:val="36"/>
          <w:rtl/>
        </w:rPr>
        <w:t>ُ</w:t>
      </w:r>
      <w:r w:rsidR="007F7849" w:rsidRPr="00FD211F">
        <w:rPr>
          <w:sz w:val="36"/>
          <w:szCs w:val="36"/>
          <w:rtl/>
        </w:rPr>
        <w:t xml:space="preserve"> زيدٍ</w:t>
      </w:r>
      <w:r w:rsidR="00EA3A64" w:rsidRPr="00FD211F">
        <w:rPr>
          <w:sz w:val="36"/>
          <w:szCs w:val="36"/>
          <w:rtl/>
        </w:rPr>
        <w:t>"</w:t>
      </w:r>
      <w:r w:rsidR="007F7849" w:rsidRPr="00FD211F">
        <w:rPr>
          <w:sz w:val="36"/>
          <w:szCs w:val="36"/>
          <w:rtl/>
        </w:rPr>
        <w:t>.</w:t>
      </w:r>
      <w:r w:rsidR="00556BC0" w:rsidRPr="00FD211F">
        <w:rPr>
          <w:sz w:val="36"/>
          <w:szCs w:val="36"/>
          <w:rtl/>
        </w:rPr>
        <w:t xml:space="preserve"> </w:t>
      </w:r>
    </w:p>
    <w:p w14:paraId="6B0EED94" w14:textId="77777777" w:rsidR="007F7849" w:rsidRPr="00FD211F" w:rsidRDefault="005010FA" w:rsidP="009C58C8">
      <w:pPr>
        <w:ind w:left="0" w:firstLine="227"/>
        <w:jc w:val="both"/>
        <w:rPr>
          <w:sz w:val="36"/>
          <w:szCs w:val="36"/>
          <w:rtl/>
        </w:rPr>
      </w:pPr>
      <w:r w:rsidRPr="00FD211F">
        <w:rPr>
          <w:sz w:val="36"/>
          <w:szCs w:val="36"/>
          <w:rtl/>
        </w:rPr>
        <w:t>و</w:t>
      </w:r>
      <w:r w:rsidR="00EA3A64" w:rsidRPr="00FD211F">
        <w:rPr>
          <w:sz w:val="36"/>
          <w:szCs w:val="36"/>
          <w:rtl/>
        </w:rPr>
        <w:t xml:space="preserve">قدذكرنا ان الظاهر أنه لا </w:t>
      </w:r>
      <w:r w:rsidRPr="00FD211F">
        <w:rPr>
          <w:sz w:val="36"/>
          <w:szCs w:val="36"/>
          <w:rtl/>
        </w:rPr>
        <w:t>منشأ</w:t>
      </w:r>
      <w:r w:rsidR="002B1EA9" w:rsidRPr="00FD211F">
        <w:rPr>
          <w:sz w:val="36"/>
          <w:szCs w:val="36"/>
          <w:rtl/>
        </w:rPr>
        <w:t xml:space="preserve"> </w:t>
      </w:r>
      <w:r w:rsidRPr="00FD211F">
        <w:rPr>
          <w:sz w:val="36"/>
          <w:szCs w:val="36"/>
          <w:rtl/>
        </w:rPr>
        <w:t>لعدم الاضاف</w:t>
      </w:r>
      <w:r w:rsidR="00EC7EDF" w:rsidRPr="00FD211F">
        <w:rPr>
          <w:sz w:val="36"/>
          <w:szCs w:val="36"/>
          <w:rtl/>
        </w:rPr>
        <w:t xml:space="preserve">ة </w:t>
      </w:r>
      <w:r w:rsidRPr="00FD211F">
        <w:rPr>
          <w:sz w:val="36"/>
          <w:szCs w:val="36"/>
          <w:rtl/>
        </w:rPr>
        <w:t>في</w:t>
      </w:r>
      <w:r w:rsidR="00A00E9C" w:rsidRPr="00FD211F">
        <w:rPr>
          <w:sz w:val="36"/>
          <w:szCs w:val="36"/>
          <w:rtl/>
        </w:rPr>
        <w:t xml:space="preserve"> "زيد قائم في الدار"</w:t>
      </w:r>
      <w:r w:rsidR="002B1EA9" w:rsidRPr="00FD211F">
        <w:rPr>
          <w:sz w:val="36"/>
          <w:szCs w:val="36"/>
          <w:rtl/>
        </w:rPr>
        <w:t xml:space="preserve"> </w:t>
      </w:r>
      <w:r w:rsidR="00A00E9C" w:rsidRPr="00FD211F">
        <w:rPr>
          <w:sz w:val="36"/>
          <w:szCs w:val="36"/>
          <w:rtl/>
        </w:rPr>
        <w:t>الاعدم كون الاضاف</w:t>
      </w:r>
      <w:r w:rsidR="00EC7EDF" w:rsidRPr="00FD211F">
        <w:rPr>
          <w:sz w:val="36"/>
          <w:szCs w:val="36"/>
          <w:rtl/>
        </w:rPr>
        <w:t xml:space="preserve">ة </w:t>
      </w:r>
      <w:r w:rsidR="00A00E9C" w:rsidRPr="00FD211F">
        <w:rPr>
          <w:sz w:val="36"/>
          <w:szCs w:val="36"/>
          <w:rtl/>
        </w:rPr>
        <w:t>فيه</w:t>
      </w:r>
      <w:r w:rsidRPr="00FD211F">
        <w:rPr>
          <w:sz w:val="36"/>
          <w:szCs w:val="36"/>
          <w:rtl/>
        </w:rPr>
        <w:t xml:space="preserve"> معهودا</w:t>
      </w:r>
      <w:r w:rsidR="00603323" w:rsidRPr="00FD211F">
        <w:rPr>
          <w:sz w:val="36"/>
          <w:szCs w:val="36"/>
          <w:rtl/>
        </w:rPr>
        <w:t xml:space="preserve">، </w:t>
      </w:r>
      <w:r w:rsidRPr="00FD211F">
        <w:rPr>
          <w:sz w:val="36"/>
          <w:szCs w:val="36"/>
          <w:rtl/>
        </w:rPr>
        <w:t>والافأيّ فرق بينه وبين قولهم "زيد جالس السفين</w:t>
      </w:r>
      <w:r w:rsidR="00EC7EDF" w:rsidRPr="00FD211F">
        <w:rPr>
          <w:sz w:val="36"/>
          <w:szCs w:val="36"/>
          <w:rtl/>
        </w:rPr>
        <w:t>ة</w:t>
      </w:r>
      <w:r w:rsidRPr="00FD211F">
        <w:rPr>
          <w:sz w:val="36"/>
          <w:szCs w:val="36"/>
          <w:rtl/>
        </w:rPr>
        <w:t>"</w:t>
      </w:r>
      <w:r w:rsidR="00603323" w:rsidRPr="00FD211F">
        <w:rPr>
          <w:sz w:val="36"/>
          <w:szCs w:val="36"/>
          <w:rtl/>
        </w:rPr>
        <w:t xml:space="preserve">، </w:t>
      </w:r>
      <w:r w:rsidRPr="00FD211F">
        <w:rPr>
          <w:sz w:val="36"/>
          <w:szCs w:val="36"/>
          <w:rtl/>
        </w:rPr>
        <w:t xml:space="preserve">ولعل وجه عدم معهوديته ان التعبير بان زيدا قائم الدار </w:t>
      </w:r>
      <w:r w:rsidR="00A00E9C" w:rsidRPr="00FD211F">
        <w:rPr>
          <w:sz w:val="36"/>
          <w:szCs w:val="36"/>
          <w:rtl/>
        </w:rPr>
        <w:t xml:space="preserve">يشتبه </w:t>
      </w:r>
      <w:r w:rsidRPr="00FD211F">
        <w:rPr>
          <w:sz w:val="36"/>
          <w:szCs w:val="36"/>
          <w:rtl/>
        </w:rPr>
        <w:t>بالوصف بحال المتعلق</w:t>
      </w:r>
      <w:r w:rsidR="00603323" w:rsidRPr="00FD211F">
        <w:rPr>
          <w:sz w:val="36"/>
          <w:szCs w:val="36"/>
          <w:rtl/>
        </w:rPr>
        <w:t xml:space="preserve">، </w:t>
      </w:r>
      <w:r w:rsidRPr="00FD211F">
        <w:rPr>
          <w:sz w:val="36"/>
          <w:szCs w:val="36"/>
          <w:rtl/>
        </w:rPr>
        <w:t>نظير ما يقال" زيد قائم الأب"</w:t>
      </w:r>
      <w:r w:rsidR="00603323" w:rsidRPr="00FD211F">
        <w:rPr>
          <w:sz w:val="36"/>
          <w:szCs w:val="36"/>
          <w:rtl/>
        </w:rPr>
        <w:t xml:space="preserve">، </w:t>
      </w:r>
      <w:r w:rsidR="00A00E9C" w:rsidRPr="00FD211F">
        <w:rPr>
          <w:sz w:val="36"/>
          <w:szCs w:val="36"/>
          <w:rtl/>
        </w:rPr>
        <w:t>او أن الاضاف</w:t>
      </w:r>
      <w:r w:rsidR="00EC7EDF" w:rsidRPr="00FD211F">
        <w:rPr>
          <w:sz w:val="36"/>
          <w:szCs w:val="36"/>
          <w:rtl/>
        </w:rPr>
        <w:t xml:space="preserve">ة </w:t>
      </w:r>
      <w:r w:rsidR="00A00E9C" w:rsidRPr="00FD211F">
        <w:rPr>
          <w:sz w:val="36"/>
          <w:szCs w:val="36"/>
          <w:rtl/>
        </w:rPr>
        <w:t>لاتفي بافاد</w:t>
      </w:r>
      <w:r w:rsidR="00EC7EDF" w:rsidRPr="00FD211F">
        <w:rPr>
          <w:sz w:val="36"/>
          <w:szCs w:val="36"/>
          <w:rtl/>
        </w:rPr>
        <w:t xml:space="preserve">ة </w:t>
      </w:r>
      <w:r w:rsidR="00A00E9C" w:rsidRPr="00FD211F">
        <w:rPr>
          <w:sz w:val="36"/>
          <w:szCs w:val="36"/>
          <w:rtl/>
        </w:rPr>
        <w:t>النسب</w:t>
      </w:r>
      <w:r w:rsidR="00EC7EDF" w:rsidRPr="00FD211F">
        <w:rPr>
          <w:sz w:val="36"/>
          <w:szCs w:val="36"/>
          <w:rtl/>
        </w:rPr>
        <w:t xml:space="preserve">ة </w:t>
      </w:r>
      <w:r w:rsidR="00A00E9C" w:rsidRPr="00FD211F">
        <w:rPr>
          <w:sz w:val="36"/>
          <w:szCs w:val="36"/>
          <w:rtl/>
        </w:rPr>
        <w:t>الظرفي</w:t>
      </w:r>
      <w:r w:rsidR="00EC7EDF" w:rsidRPr="00FD211F">
        <w:rPr>
          <w:sz w:val="36"/>
          <w:szCs w:val="36"/>
          <w:rtl/>
        </w:rPr>
        <w:t xml:space="preserve">ة </w:t>
      </w:r>
      <w:r w:rsidR="00A00E9C" w:rsidRPr="00FD211F">
        <w:rPr>
          <w:sz w:val="36"/>
          <w:szCs w:val="36"/>
          <w:rtl/>
        </w:rPr>
        <w:t xml:space="preserve">اذ لاتدل على نوع الربط بين المضاف والمضاف اليه </w:t>
      </w:r>
      <w:r w:rsidRPr="00FD211F">
        <w:rPr>
          <w:sz w:val="36"/>
          <w:szCs w:val="36"/>
          <w:rtl/>
        </w:rPr>
        <w:t>وأما في مثل "سفرك اطول</w:t>
      </w:r>
      <w:r w:rsidR="00A00E9C" w:rsidRPr="00FD211F">
        <w:rPr>
          <w:sz w:val="36"/>
          <w:szCs w:val="36"/>
          <w:rtl/>
        </w:rPr>
        <w:t xml:space="preserve"> من سفري" فوجه عدم اضافته أ</w:t>
      </w:r>
      <w:r w:rsidRPr="00FD211F">
        <w:rPr>
          <w:sz w:val="36"/>
          <w:szCs w:val="36"/>
          <w:rtl/>
        </w:rPr>
        <w:t>ن</w:t>
      </w:r>
      <w:r w:rsidR="00A00E9C" w:rsidRPr="00FD211F">
        <w:rPr>
          <w:sz w:val="36"/>
          <w:szCs w:val="36"/>
          <w:rtl/>
        </w:rPr>
        <w:t xml:space="preserve">ه لو قيل "سفرك </w:t>
      </w:r>
      <w:r w:rsidRPr="00FD211F">
        <w:rPr>
          <w:sz w:val="36"/>
          <w:szCs w:val="36"/>
          <w:rtl/>
        </w:rPr>
        <w:t>اطول سفري</w:t>
      </w:r>
      <w:r w:rsidR="00A00E9C" w:rsidRPr="00FD211F">
        <w:rPr>
          <w:sz w:val="36"/>
          <w:szCs w:val="36"/>
          <w:rtl/>
        </w:rPr>
        <w:t>" كا</w:t>
      </w:r>
      <w:r w:rsidRPr="00FD211F">
        <w:rPr>
          <w:sz w:val="36"/>
          <w:szCs w:val="36"/>
          <w:rtl/>
        </w:rPr>
        <w:t xml:space="preserve">ن </w:t>
      </w:r>
      <w:r w:rsidR="00A00E9C" w:rsidRPr="00FD211F">
        <w:rPr>
          <w:sz w:val="36"/>
          <w:szCs w:val="36"/>
          <w:rtl/>
        </w:rPr>
        <w:t xml:space="preserve">معناه ان </w:t>
      </w:r>
      <w:r w:rsidRPr="00FD211F">
        <w:rPr>
          <w:sz w:val="36"/>
          <w:szCs w:val="36"/>
          <w:rtl/>
        </w:rPr>
        <w:t>هذا السفرللمخاطب من جمل</w:t>
      </w:r>
      <w:r w:rsidR="00EC7EDF" w:rsidRPr="00FD211F">
        <w:rPr>
          <w:sz w:val="36"/>
          <w:szCs w:val="36"/>
          <w:rtl/>
        </w:rPr>
        <w:t xml:space="preserve">ة </w:t>
      </w:r>
      <w:r w:rsidRPr="00FD211F">
        <w:rPr>
          <w:sz w:val="36"/>
          <w:szCs w:val="36"/>
          <w:rtl/>
        </w:rPr>
        <w:t>اسفار المتكلم وانه من اطولها.</w:t>
      </w:r>
    </w:p>
    <w:p w14:paraId="36BD48D8" w14:textId="77777777" w:rsidR="00556BC0" w:rsidRPr="00FD211F" w:rsidRDefault="00556BC0" w:rsidP="009C58C8">
      <w:pPr>
        <w:ind w:left="0" w:firstLine="227"/>
        <w:jc w:val="both"/>
        <w:rPr>
          <w:sz w:val="36"/>
          <w:szCs w:val="36"/>
          <w:rtl/>
        </w:rPr>
      </w:pPr>
      <w:r w:rsidRPr="00FD211F">
        <w:rPr>
          <w:b/>
          <w:bCs/>
          <w:sz w:val="36"/>
          <w:szCs w:val="36"/>
          <w:rtl/>
        </w:rPr>
        <w:t>وثانيا</w:t>
      </w:r>
      <w:r w:rsidRPr="00FD211F">
        <w:rPr>
          <w:sz w:val="36"/>
          <w:szCs w:val="36"/>
          <w:rtl/>
        </w:rPr>
        <w:t>: ان ما ذكره من لزوم تعلق حرف الجر بالمعنى الحدثي فلم يتضح وجهه</w:t>
      </w:r>
      <w:r w:rsidR="00603323" w:rsidRPr="00FD211F">
        <w:rPr>
          <w:sz w:val="36"/>
          <w:szCs w:val="36"/>
          <w:rtl/>
        </w:rPr>
        <w:t xml:space="preserve">، </w:t>
      </w:r>
      <w:r w:rsidRPr="00FD211F">
        <w:rPr>
          <w:sz w:val="36"/>
          <w:szCs w:val="36"/>
          <w:rtl/>
        </w:rPr>
        <w:t xml:space="preserve">فانه لايرى وجه وجدانا للتقدير في قولنا </w:t>
      </w:r>
      <w:r w:rsidR="00AB33DD" w:rsidRPr="00FD211F">
        <w:rPr>
          <w:sz w:val="36"/>
          <w:szCs w:val="36"/>
          <w:rtl/>
        </w:rPr>
        <w:t>"</w:t>
      </w:r>
      <w:r w:rsidRPr="00FD211F">
        <w:rPr>
          <w:sz w:val="36"/>
          <w:szCs w:val="36"/>
          <w:rtl/>
        </w:rPr>
        <w:t>البياض لهذا الجسم</w:t>
      </w:r>
      <w:r w:rsidR="00AB33DD" w:rsidRPr="00FD211F">
        <w:rPr>
          <w:sz w:val="36"/>
          <w:szCs w:val="36"/>
          <w:rtl/>
        </w:rPr>
        <w:t>"</w:t>
      </w:r>
      <w:r w:rsidRPr="00FD211F">
        <w:rPr>
          <w:sz w:val="36"/>
          <w:szCs w:val="36"/>
          <w:rtl/>
        </w:rPr>
        <w:t xml:space="preserve"> او</w:t>
      </w:r>
      <w:r w:rsidR="00AB33DD" w:rsidRPr="00FD211F">
        <w:rPr>
          <w:sz w:val="36"/>
          <w:szCs w:val="36"/>
          <w:rtl/>
        </w:rPr>
        <w:t>قولنا"</w:t>
      </w:r>
      <w:r w:rsidRPr="00FD211F">
        <w:rPr>
          <w:sz w:val="36"/>
          <w:szCs w:val="36"/>
          <w:rtl/>
        </w:rPr>
        <w:t xml:space="preserve"> رجل في الدار</w:t>
      </w:r>
      <w:r w:rsidR="00AB33DD" w:rsidRPr="00FD211F">
        <w:rPr>
          <w:sz w:val="36"/>
          <w:szCs w:val="36"/>
          <w:rtl/>
        </w:rPr>
        <w:t>"</w:t>
      </w:r>
      <w:r w:rsidRPr="00FD211F">
        <w:rPr>
          <w:sz w:val="36"/>
          <w:szCs w:val="36"/>
          <w:rtl/>
        </w:rPr>
        <w:t xml:space="preserve"> (مردى در خانه).</w:t>
      </w:r>
    </w:p>
    <w:p w14:paraId="16A04689" w14:textId="77777777" w:rsidR="00556BC0" w:rsidRPr="00FD211F" w:rsidRDefault="00556BC0" w:rsidP="009C58C8">
      <w:pPr>
        <w:pStyle w:val="3"/>
        <w:ind w:firstLine="227"/>
        <w:jc w:val="both"/>
        <w:rPr>
          <w:rtl/>
        </w:rPr>
      </w:pPr>
      <w:bookmarkStart w:id="210" w:name="درس088دقيقه25"/>
      <w:bookmarkStart w:id="211" w:name="_Toc192092877"/>
      <w:bookmarkStart w:id="212" w:name="_Toc223890353"/>
      <w:bookmarkEnd w:id="210"/>
      <w:r w:rsidRPr="00FD211F">
        <w:rPr>
          <w:rtl/>
        </w:rPr>
        <w:t>هيئ</w:t>
      </w:r>
      <w:r w:rsidR="00EC7EDF" w:rsidRPr="00FD211F">
        <w:rPr>
          <w:rtl/>
        </w:rPr>
        <w:t xml:space="preserve">ة </w:t>
      </w:r>
      <w:r w:rsidRPr="00FD211F">
        <w:rPr>
          <w:rtl/>
        </w:rPr>
        <w:t>الجمل</w:t>
      </w:r>
      <w:r w:rsidR="00EC7EDF" w:rsidRPr="00FD211F">
        <w:rPr>
          <w:rtl/>
        </w:rPr>
        <w:t xml:space="preserve">ة </w:t>
      </w:r>
      <w:r w:rsidRPr="00FD211F">
        <w:rPr>
          <w:rtl/>
        </w:rPr>
        <w:t>التام</w:t>
      </w:r>
      <w:r w:rsidR="00EC7EDF" w:rsidRPr="00FD211F">
        <w:rPr>
          <w:rtl/>
        </w:rPr>
        <w:t>ة</w:t>
      </w:r>
      <w:bookmarkEnd w:id="211"/>
      <w:bookmarkEnd w:id="212"/>
      <w:r w:rsidR="00EC7EDF" w:rsidRPr="00FD211F">
        <w:rPr>
          <w:rtl/>
        </w:rPr>
        <w:t xml:space="preserve"> </w:t>
      </w:r>
    </w:p>
    <w:p w14:paraId="1DBEB4DD" w14:textId="77777777" w:rsidR="00556BC0" w:rsidRPr="00FD211F" w:rsidRDefault="00556BC0" w:rsidP="009C58C8">
      <w:pPr>
        <w:pStyle w:val="3"/>
        <w:ind w:firstLine="227"/>
        <w:jc w:val="both"/>
        <w:rPr>
          <w:rtl/>
        </w:rPr>
      </w:pPr>
      <w:bookmarkStart w:id="213" w:name="_Toc192092878"/>
      <w:bookmarkStart w:id="214" w:name="_Toc223890354"/>
      <w:r w:rsidRPr="00FD211F">
        <w:rPr>
          <w:rtl/>
        </w:rPr>
        <w:t>1- الجمل</w:t>
      </w:r>
      <w:r w:rsidR="00EC7EDF" w:rsidRPr="00FD211F">
        <w:rPr>
          <w:rtl/>
        </w:rPr>
        <w:t xml:space="preserve">ة </w:t>
      </w:r>
      <w:r w:rsidRPr="00FD211F">
        <w:rPr>
          <w:rtl/>
        </w:rPr>
        <w:t>الخبري</w:t>
      </w:r>
      <w:r w:rsidR="00EC7EDF" w:rsidRPr="00FD211F">
        <w:rPr>
          <w:rtl/>
        </w:rPr>
        <w:t>ة</w:t>
      </w:r>
      <w:bookmarkEnd w:id="214"/>
      <w:r w:rsidR="00EC7EDF" w:rsidRPr="00FD211F">
        <w:rPr>
          <w:rtl/>
        </w:rPr>
        <w:t xml:space="preserve"> </w:t>
      </w:r>
      <w:bookmarkEnd w:id="213"/>
    </w:p>
    <w:p w14:paraId="382D3384" w14:textId="77777777" w:rsidR="004664E1" w:rsidRPr="00FD211F" w:rsidRDefault="00583A76" w:rsidP="009C58C8">
      <w:pPr>
        <w:ind w:left="0" w:firstLine="227"/>
        <w:jc w:val="both"/>
        <w:rPr>
          <w:sz w:val="36"/>
          <w:szCs w:val="36"/>
          <w:rtl/>
        </w:rPr>
      </w:pPr>
      <w:r w:rsidRPr="00FD211F">
        <w:rPr>
          <w:sz w:val="36"/>
          <w:szCs w:val="36"/>
          <w:rtl/>
        </w:rPr>
        <w:t>وقد</w:t>
      </w:r>
      <w:r w:rsidR="00BC52A4" w:rsidRPr="00FD211F">
        <w:rPr>
          <w:sz w:val="36"/>
          <w:szCs w:val="36"/>
          <w:rtl/>
        </w:rPr>
        <w:t>وقع الخلاف في معنى الجمل</w:t>
      </w:r>
      <w:r w:rsidR="00EC7EDF" w:rsidRPr="00FD211F">
        <w:rPr>
          <w:sz w:val="36"/>
          <w:szCs w:val="36"/>
          <w:rtl/>
        </w:rPr>
        <w:t xml:space="preserve">ة </w:t>
      </w:r>
      <w:r w:rsidR="00BC52A4" w:rsidRPr="00FD211F">
        <w:rPr>
          <w:sz w:val="36"/>
          <w:szCs w:val="36"/>
          <w:rtl/>
        </w:rPr>
        <w:t>الخبري</w:t>
      </w:r>
      <w:r w:rsidR="00EC7EDF" w:rsidRPr="00FD211F">
        <w:rPr>
          <w:sz w:val="36"/>
          <w:szCs w:val="36"/>
          <w:rtl/>
        </w:rPr>
        <w:t xml:space="preserve">ة </w:t>
      </w:r>
      <w:r w:rsidR="00BC52A4" w:rsidRPr="00FD211F">
        <w:rPr>
          <w:sz w:val="36"/>
          <w:szCs w:val="36"/>
          <w:rtl/>
        </w:rPr>
        <w:t>ف</w:t>
      </w:r>
      <w:r w:rsidR="0068414A" w:rsidRPr="00FD211F">
        <w:rPr>
          <w:sz w:val="36"/>
          <w:szCs w:val="36"/>
          <w:rtl/>
        </w:rPr>
        <w:t>نسب الي</w:t>
      </w:r>
      <w:r w:rsidRPr="00FD211F">
        <w:rPr>
          <w:sz w:val="36"/>
          <w:szCs w:val="36"/>
          <w:rtl/>
        </w:rPr>
        <w:t xml:space="preserve"> </w:t>
      </w:r>
      <w:r w:rsidR="00556BC0" w:rsidRPr="00FD211F">
        <w:rPr>
          <w:sz w:val="36"/>
          <w:szCs w:val="36"/>
          <w:rtl/>
        </w:rPr>
        <w:t>المشهور ان 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 xml:space="preserve">ة </w:t>
      </w:r>
      <w:r w:rsidR="00556BC0" w:rsidRPr="00FD211F">
        <w:rPr>
          <w:sz w:val="36"/>
          <w:szCs w:val="36"/>
          <w:rtl/>
        </w:rPr>
        <w:t>موضوع</w:t>
      </w:r>
      <w:r w:rsidR="00EC7EDF" w:rsidRPr="00FD211F">
        <w:rPr>
          <w:sz w:val="36"/>
          <w:szCs w:val="36"/>
          <w:rtl/>
        </w:rPr>
        <w:t xml:space="preserve">ة </w:t>
      </w:r>
      <w:r w:rsidR="00556BC0" w:rsidRPr="00FD211F">
        <w:rPr>
          <w:sz w:val="36"/>
          <w:szCs w:val="36"/>
          <w:rtl/>
        </w:rPr>
        <w:t>للدلال</w:t>
      </w:r>
      <w:r w:rsidR="00EC7EDF" w:rsidRPr="00FD211F">
        <w:rPr>
          <w:sz w:val="36"/>
          <w:szCs w:val="36"/>
          <w:rtl/>
        </w:rPr>
        <w:t xml:space="preserve">ة </w:t>
      </w:r>
      <w:r w:rsidR="00556BC0" w:rsidRPr="00FD211F">
        <w:rPr>
          <w:sz w:val="36"/>
          <w:szCs w:val="36"/>
          <w:rtl/>
        </w:rPr>
        <w:t>على ثبوت النسب</w:t>
      </w:r>
      <w:r w:rsidR="00EC7EDF" w:rsidRPr="00FD211F">
        <w:rPr>
          <w:sz w:val="36"/>
          <w:szCs w:val="36"/>
          <w:rtl/>
        </w:rPr>
        <w:t xml:space="preserve">ة </w:t>
      </w:r>
      <w:r w:rsidR="0068414A" w:rsidRPr="00FD211F">
        <w:rPr>
          <w:sz w:val="36"/>
          <w:szCs w:val="36"/>
          <w:rtl/>
        </w:rPr>
        <w:t>الخارجي</w:t>
      </w:r>
      <w:r w:rsidR="00EC7EDF" w:rsidRPr="00FD211F">
        <w:rPr>
          <w:sz w:val="36"/>
          <w:szCs w:val="36"/>
          <w:rtl/>
        </w:rPr>
        <w:t xml:space="preserve">ة </w:t>
      </w:r>
      <w:r w:rsidR="00556BC0" w:rsidRPr="00FD211F">
        <w:rPr>
          <w:sz w:val="36"/>
          <w:szCs w:val="36"/>
          <w:rtl/>
        </w:rPr>
        <w:t xml:space="preserve">بين الموضوع والمحمول </w:t>
      </w:r>
      <w:r w:rsidR="00771991" w:rsidRPr="00FD211F">
        <w:rPr>
          <w:sz w:val="36"/>
          <w:szCs w:val="36"/>
          <w:rtl/>
        </w:rPr>
        <w:t>(فيما لو كانت الجمل</w:t>
      </w:r>
      <w:r w:rsidR="00EC7EDF" w:rsidRPr="00FD211F">
        <w:rPr>
          <w:sz w:val="36"/>
          <w:szCs w:val="36"/>
          <w:rtl/>
        </w:rPr>
        <w:t xml:space="preserve">ة </w:t>
      </w:r>
      <w:r w:rsidR="00771991" w:rsidRPr="00FD211F">
        <w:rPr>
          <w:sz w:val="36"/>
          <w:szCs w:val="36"/>
          <w:rtl/>
        </w:rPr>
        <w:t>الخبري</w:t>
      </w:r>
      <w:r w:rsidR="00EC7EDF" w:rsidRPr="00FD211F">
        <w:rPr>
          <w:sz w:val="36"/>
          <w:szCs w:val="36"/>
          <w:rtl/>
        </w:rPr>
        <w:t xml:space="preserve">ة </w:t>
      </w:r>
      <w:r w:rsidR="00771991" w:rsidRPr="00FD211F">
        <w:rPr>
          <w:sz w:val="36"/>
          <w:szCs w:val="36"/>
          <w:rtl/>
        </w:rPr>
        <w:t>موجب</w:t>
      </w:r>
      <w:r w:rsidR="00EC7EDF" w:rsidRPr="00FD211F">
        <w:rPr>
          <w:sz w:val="36"/>
          <w:szCs w:val="36"/>
          <w:rtl/>
        </w:rPr>
        <w:t xml:space="preserve">ة </w:t>
      </w:r>
      <w:r w:rsidR="00771991" w:rsidRPr="00FD211F">
        <w:rPr>
          <w:sz w:val="36"/>
          <w:szCs w:val="36"/>
          <w:rtl/>
        </w:rPr>
        <w:t>)</w:t>
      </w:r>
      <w:r w:rsidR="00556BC0" w:rsidRPr="00FD211F">
        <w:rPr>
          <w:sz w:val="36"/>
          <w:szCs w:val="36"/>
          <w:rtl/>
        </w:rPr>
        <w:t>او عدم ثبوت تلك النسب</w:t>
      </w:r>
      <w:r w:rsidR="00EC7EDF" w:rsidRPr="00FD211F">
        <w:rPr>
          <w:sz w:val="36"/>
          <w:szCs w:val="36"/>
          <w:rtl/>
        </w:rPr>
        <w:t xml:space="preserve">ة </w:t>
      </w:r>
      <w:r w:rsidR="00771991" w:rsidRPr="00FD211F">
        <w:rPr>
          <w:sz w:val="36"/>
          <w:szCs w:val="36"/>
          <w:rtl/>
        </w:rPr>
        <w:t>(</w:t>
      </w:r>
      <w:r w:rsidR="00556BC0" w:rsidRPr="00FD211F">
        <w:rPr>
          <w:sz w:val="36"/>
          <w:szCs w:val="36"/>
          <w:rtl/>
        </w:rPr>
        <w:t>في</w:t>
      </w:r>
      <w:r w:rsidR="00771991" w:rsidRPr="00FD211F">
        <w:rPr>
          <w:sz w:val="36"/>
          <w:szCs w:val="36"/>
          <w:rtl/>
        </w:rPr>
        <w:t>ما لو كانت الجمل</w:t>
      </w:r>
      <w:r w:rsidR="00EC7EDF" w:rsidRPr="00FD211F">
        <w:rPr>
          <w:sz w:val="36"/>
          <w:szCs w:val="36"/>
          <w:rtl/>
        </w:rPr>
        <w:t xml:space="preserve">ة </w:t>
      </w:r>
      <w:r w:rsidR="00771991" w:rsidRPr="00FD211F">
        <w:rPr>
          <w:sz w:val="36"/>
          <w:szCs w:val="36"/>
          <w:rtl/>
        </w:rPr>
        <w:t>الخبري</w:t>
      </w:r>
      <w:r w:rsidR="00EC7EDF" w:rsidRPr="00FD211F">
        <w:rPr>
          <w:sz w:val="36"/>
          <w:szCs w:val="36"/>
          <w:rtl/>
        </w:rPr>
        <w:t xml:space="preserve">ة </w:t>
      </w:r>
      <w:r w:rsidR="00771991" w:rsidRPr="00FD211F">
        <w:rPr>
          <w:sz w:val="36"/>
          <w:szCs w:val="36"/>
          <w:rtl/>
        </w:rPr>
        <w:t>نافي</w:t>
      </w:r>
      <w:r w:rsidR="00EC7EDF" w:rsidRPr="00FD211F">
        <w:rPr>
          <w:sz w:val="36"/>
          <w:szCs w:val="36"/>
          <w:rtl/>
        </w:rPr>
        <w:t xml:space="preserve">ة </w:t>
      </w:r>
      <w:r w:rsidR="00771991" w:rsidRPr="00FD211F">
        <w:rPr>
          <w:sz w:val="36"/>
          <w:szCs w:val="36"/>
          <w:rtl/>
        </w:rPr>
        <w:t>)</w:t>
      </w:r>
      <w:r w:rsidR="00556BC0" w:rsidRPr="00FD211F">
        <w:rPr>
          <w:sz w:val="36"/>
          <w:szCs w:val="36"/>
          <w:rtl/>
        </w:rPr>
        <w:t xml:space="preserve"> كما ان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موضوع</w:t>
      </w:r>
      <w:r w:rsidR="00EC7EDF" w:rsidRPr="00FD211F">
        <w:rPr>
          <w:sz w:val="36"/>
          <w:szCs w:val="36"/>
          <w:rtl/>
        </w:rPr>
        <w:t xml:space="preserve">ة </w:t>
      </w:r>
      <w:r w:rsidRPr="00FD211F">
        <w:rPr>
          <w:sz w:val="36"/>
          <w:szCs w:val="36"/>
          <w:rtl/>
        </w:rPr>
        <w:t>لإيجاد ال</w:t>
      </w:r>
      <w:r w:rsidR="004664E1" w:rsidRPr="00FD211F">
        <w:rPr>
          <w:sz w:val="36"/>
          <w:szCs w:val="36"/>
          <w:rtl/>
        </w:rPr>
        <w:t>معنى</w:t>
      </w:r>
      <w:r w:rsidR="00603323" w:rsidRPr="00FD211F">
        <w:rPr>
          <w:sz w:val="36"/>
          <w:szCs w:val="36"/>
          <w:rtl/>
        </w:rPr>
        <w:t xml:space="preserve">، </w:t>
      </w:r>
      <w:r w:rsidR="00454DFE" w:rsidRPr="00FD211F">
        <w:rPr>
          <w:sz w:val="36"/>
          <w:szCs w:val="36"/>
          <w:rtl/>
        </w:rPr>
        <w:t>فقولنا "زيدقائم"يدل على ثبوت القيام لزيد</w:t>
      </w:r>
      <w:r w:rsidR="00B253CE" w:rsidRPr="00FD211F">
        <w:rPr>
          <w:sz w:val="36"/>
          <w:szCs w:val="36"/>
          <w:rtl/>
        </w:rPr>
        <w:t xml:space="preserve"> </w:t>
      </w:r>
      <w:r w:rsidR="004664E1" w:rsidRPr="00FD211F">
        <w:rPr>
          <w:sz w:val="36"/>
          <w:szCs w:val="36"/>
          <w:rtl/>
        </w:rPr>
        <w:t>واما قولنا "ليت</w:t>
      </w:r>
      <w:r w:rsidR="00454DFE" w:rsidRPr="00FD211F">
        <w:rPr>
          <w:sz w:val="36"/>
          <w:szCs w:val="36"/>
          <w:rtl/>
        </w:rPr>
        <w:t xml:space="preserve"> زيد</w:t>
      </w:r>
      <w:r w:rsidR="004664E1" w:rsidRPr="00FD211F">
        <w:rPr>
          <w:sz w:val="36"/>
          <w:szCs w:val="36"/>
          <w:rtl/>
        </w:rPr>
        <w:t>ا</w:t>
      </w:r>
      <w:r w:rsidR="00454DFE" w:rsidRPr="00FD211F">
        <w:rPr>
          <w:sz w:val="36"/>
          <w:szCs w:val="36"/>
          <w:rtl/>
        </w:rPr>
        <w:t xml:space="preserve"> قائم "فيوجد ال</w:t>
      </w:r>
      <w:r w:rsidR="004664E1" w:rsidRPr="00FD211F">
        <w:rPr>
          <w:sz w:val="36"/>
          <w:szCs w:val="36"/>
          <w:rtl/>
        </w:rPr>
        <w:t>تمنى بالوجود الانشائي</w:t>
      </w:r>
      <w:r w:rsidR="00EC7EDF" w:rsidRPr="00FD211F">
        <w:rPr>
          <w:sz w:val="36"/>
          <w:szCs w:val="36"/>
          <w:rtl/>
        </w:rPr>
        <w:t>.</w:t>
      </w:r>
    </w:p>
    <w:p w14:paraId="391E0F64" w14:textId="77777777" w:rsidR="000C5BBA" w:rsidRPr="00FD211F" w:rsidRDefault="004664E1" w:rsidP="009C58C8">
      <w:pPr>
        <w:ind w:left="0" w:firstLine="227"/>
        <w:jc w:val="both"/>
        <w:rPr>
          <w:sz w:val="36"/>
          <w:szCs w:val="36"/>
          <w:rtl/>
        </w:rPr>
      </w:pPr>
      <w:r w:rsidRPr="00FD211F">
        <w:rPr>
          <w:sz w:val="36"/>
          <w:szCs w:val="36"/>
          <w:rtl/>
        </w:rPr>
        <w:t>وقداورد عليه بعد</w:t>
      </w:r>
      <w:r w:rsidR="00EC7EDF" w:rsidRPr="00FD211F">
        <w:rPr>
          <w:sz w:val="36"/>
          <w:szCs w:val="36"/>
          <w:rtl/>
        </w:rPr>
        <w:t xml:space="preserve">ة </w:t>
      </w:r>
      <w:r w:rsidRPr="00FD211F">
        <w:rPr>
          <w:sz w:val="36"/>
          <w:szCs w:val="36"/>
          <w:rtl/>
        </w:rPr>
        <w:t>ايرادات</w:t>
      </w:r>
      <w:r w:rsidR="002B1EA9" w:rsidRPr="00FD211F">
        <w:rPr>
          <w:sz w:val="36"/>
          <w:szCs w:val="36"/>
          <w:rtl/>
        </w:rPr>
        <w:t>:</w:t>
      </w:r>
    </w:p>
    <w:p w14:paraId="51415142" w14:textId="77777777" w:rsidR="004664E1" w:rsidRPr="00FD211F" w:rsidRDefault="004664E1" w:rsidP="009C58C8">
      <w:pPr>
        <w:ind w:left="0" w:firstLine="227"/>
        <w:jc w:val="both"/>
        <w:rPr>
          <w:sz w:val="36"/>
          <w:szCs w:val="36"/>
          <w:rtl/>
        </w:rPr>
      </w:pPr>
      <w:r w:rsidRPr="00FD211F">
        <w:rPr>
          <w:sz w:val="36"/>
          <w:szCs w:val="36"/>
          <w:rtl/>
        </w:rPr>
        <w:t>1- ما</w:t>
      </w:r>
      <w:r w:rsidR="00811D64" w:rsidRPr="00FD211F">
        <w:rPr>
          <w:sz w:val="36"/>
          <w:szCs w:val="36"/>
          <w:rtl/>
        </w:rPr>
        <w:t xml:space="preserve"> </w:t>
      </w:r>
      <w:r w:rsidRPr="00FD211F">
        <w:rPr>
          <w:sz w:val="36"/>
          <w:szCs w:val="36"/>
          <w:rtl/>
        </w:rPr>
        <w:t>اورده السيد الخوئي "قده"من النقض بمثل قولنا "شريك البارئ ممتنع" و"العنقاء ممكن" فانه لايعقل فيهما ثبوت النسب</w:t>
      </w:r>
      <w:r w:rsidR="00EC7EDF" w:rsidRPr="00FD211F">
        <w:rPr>
          <w:sz w:val="36"/>
          <w:szCs w:val="36"/>
          <w:rtl/>
        </w:rPr>
        <w:t xml:space="preserve">ة </w:t>
      </w:r>
      <w:r w:rsidRPr="00FD211F">
        <w:rPr>
          <w:sz w:val="36"/>
          <w:szCs w:val="36"/>
          <w:rtl/>
        </w:rPr>
        <w:t>الخارجي</w:t>
      </w:r>
      <w:r w:rsidR="00EC7EDF" w:rsidRPr="00FD211F">
        <w:rPr>
          <w:sz w:val="36"/>
          <w:szCs w:val="36"/>
          <w:rtl/>
        </w:rPr>
        <w:t xml:space="preserve">ة </w:t>
      </w:r>
      <w:r w:rsidRPr="00FD211F">
        <w:rPr>
          <w:sz w:val="36"/>
          <w:szCs w:val="36"/>
          <w:rtl/>
        </w:rPr>
        <w:t>بين الموضوع والمحمول لان ثبوت النسب</w:t>
      </w:r>
      <w:r w:rsidR="00EC7EDF" w:rsidRPr="00FD211F">
        <w:rPr>
          <w:sz w:val="36"/>
          <w:szCs w:val="36"/>
          <w:rtl/>
        </w:rPr>
        <w:t xml:space="preserve">ة </w:t>
      </w:r>
      <w:r w:rsidRPr="00FD211F">
        <w:rPr>
          <w:sz w:val="36"/>
          <w:szCs w:val="36"/>
          <w:rtl/>
        </w:rPr>
        <w:t>فرع ثبوت الطرفين خارجا</w:t>
      </w:r>
      <w:r w:rsidR="00603323" w:rsidRPr="00FD211F">
        <w:rPr>
          <w:sz w:val="36"/>
          <w:szCs w:val="36"/>
          <w:rtl/>
        </w:rPr>
        <w:t xml:space="preserve">، </w:t>
      </w:r>
      <w:r w:rsidRPr="00FD211F">
        <w:rPr>
          <w:sz w:val="36"/>
          <w:szCs w:val="36"/>
          <w:rtl/>
        </w:rPr>
        <w:t>وحيث لايحتمل الفرق بين معنى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في هذين المثالين وبين معناها في سائر الأمثل</w:t>
      </w:r>
      <w:r w:rsidR="00EC7EDF" w:rsidRPr="00FD211F">
        <w:rPr>
          <w:sz w:val="36"/>
          <w:szCs w:val="36"/>
          <w:rtl/>
        </w:rPr>
        <w:t xml:space="preserve">ة </w:t>
      </w:r>
      <w:r w:rsidRPr="00FD211F">
        <w:rPr>
          <w:sz w:val="36"/>
          <w:szCs w:val="36"/>
          <w:rtl/>
        </w:rPr>
        <w:t>فيتعين ان يكون معناها مطلقاغير ثبوت النسب</w:t>
      </w:r>
      <w:r w:rsidR="00EC7EDF" w:rsidRPr="00FD211F">
        <w:rPr>
          <w:sz w:val="36"/>
          <w:szCs w:val="36"/>
          <w:rtl/>
        </w:rPr>
        <w:t xml:space="preserve">ة </w:t>
      </w:r>
      <w:r w:rsidR="00AD482D" w:rsidRPr="00FD211F">
        <w:rPr>
          <w:sz w:val="36"/>
          <w:szCs w:val="36"/>
          <w:rtl/>
        </w:rPr>
        <w:t>ومن هنا اختار "قده"</w:t>
      </w:r>
      <w:r w:rsidR="002B1EA9" w:rsidRPr="00FD211F">
        <w:rPr>
          <w:sz w:val="36"/>
          <w:szCs w:val="36"/>
          <w:rtl/>
        </w:rPr>
        <w:t xml:space="preserve"> </w:t>
      </w:r>
      <w:r w:rsidR="00AD482D" w:rsidRPr="00FD211F">
        <w:rPr>
          <w:sz w:val="36"/>
          <w:szCs w:val="36"/>
          <w:rtl/>
        </w:rPr>
        <w:t>قولا</w:t>
      </w:r>
      <w:r w:rsidR="002B1EA9" w:rsidRPr="00FD211F">
        <w:rPr>
          <w:sz w:val="36"/>
          <w:szCs w:val="36"/>
          <w:rtl/>
        </w:rPr>
        <w:t xml:space="preserve"> </w:t>
      </w:r>
      <w:r w:rsidR="00AD482D" w:rsidRPr="00FD211F">
        <w:rPr>
          <w:sz w:val="36"/>
          <w:szCs w:val="36"/>
          <w:rtl/>
        </w:rPr>
        <w:t>ثانيا وهو</w:t>
      </w:r>
      <w:r w:rsidR="00BC52A4" w:rsidRPr="00FD211F">
        <w:rPr>
          <w:sz w:val="36"/>
          <w:szCs w:val="36"/>
          <w:rtl/>
        </w:rPr>
        <w:t xml:space="preserve"> ان الجمل</w:t>
      </w:r>
      <w:r w:rsidR="00EC7EDF" w:rsidRPr="00FD211F">
        <w:rPr>
          <w:sz w:val="36"/>
          <w:szCs w:val="36"/>
          <w:rtl/>
        </w:rPr>
        <w:t xml:space="preserve">ة </w:t>
      </w:r>
      <w:r w:rsidR="00BC52A4" w:rsidRPr="00FD211F">
        <w:rPr>
          <w:sz w:val="36"/>
          <w:szCs w:val="36"/>
          <w:rtl/>
        </w:rPr>
        <w:t>الخبري</w:t>
      </w:r>
      <w:r w:rsidR="00EC7EDF" w:rsidRPr="00FD211F">
        <w:rPr>
          <w:sz w:val="36"/>
          <w:szCs w:val="36"/>
          <w:rtl/>
        </w:rPr>
        <w:t xml:space="preserve">ة </w:t>
      </w:r>
      <w:r w:rsidR="00BC52A4" w:rsidRPr="00FD211F">
        <w:rPr>
          <w:sz w:val="36"/>
          <w:szCs w:val="36"/>
          <w:rtl/>
        </w:rPr>
        <w:t>موضوع</w:t>
      </w:r>
      <w:r w:rsidR="00EC7EDF" w:rsidRPr="00FD211F">
        <w:rPr>
          <w:sz w:val="36"/>
          <w:szCs w:val="36"/>
          <w:rtl/>
        </w:rPr>
        <w:t xml:space="preserve">ة </w:t>
      </w:r>
      <w:r w:rsidR="00BC52A4" w:rsidRPr="00FD211F">
        <w:rPr>
          <w:sz w:val="36"/>
          <w:szCs w:val="36"/>
          <w:rtl/>
        </w:rPr>
        <w:t>لإبراز قصد الإخبار والجمل</w:t>
      </w:r>
      <w:r w:rsidR="00EC7EDF" w:rsidRPr="00FD211F">
        <w:rPr>
          <w:sz w:val="36"/>
          <w:szCs w:val="36"/>
          <w:rtl/>
        </w:rPr>
        <w:t xml:space="preserve">ة </w:t>
      </w:r>
      <w:r w:rsidR="00BC52A4" w:rsidRPr="00FD211F">
        <w:rPr>
          <w:sz w:val="36"/>
          <w:szCs w:val="36"/>
          <w:rtl/>
        </w:rPr>
        <w:t>الإنشائي</w:t>
      </w:r>
      <w:r w:rsidR="00EC7EDF" w:rsidRPr="00FD211F">
        <w:rPr>
          <w:sz w:val="36"/>
          <w:szCs w:val="36"/>
          <w:rtl/>
        </w:rPr>
        <w:t xml:space="preserve">ة </w:t>
      </w:r>
      <w:r w:rsidR="00BC52A4" w:rsidRPr="00FD211F">
        <w:rPr>
          <w:sz w:val="36"/>
          <w:szCs w:val="36"/>
          <w:rtl/>
        </w:rPr>
        <w:t>موضوع</w:t>
      </w:r>
      <w:r w:rsidR="00EC7EDF" w:rsidRPr="00FD211F">
        <w:rPr>
          <w:sz w:val="36"/>
          <w:szCs w:val="36"/>
          <w:rtl/>
        </w:rPr>
        <w:t xml:space="preserve">ة </w:t>
      </w:r>
      <w:r w:rsidR="00BC52A4" w:rsidRPr="00FD211F">
        <w:rPr>
          <w:sz w:val="36"/>
          <w:szCs w:val="36"/>
          <w:rtl/>
        </w:rPr>
        <w:t>لإبراز أمر نفساني غير قصد الإخبار</w:t>
      </w:r>
      <w:r w:rsidR="00603323" w:rsidRPr="00FD211F">
        <w:rPr>
          <w:sz w:val="36"/>
          <w:szCs w:val="36"/>
          <w:rtl/>
        </w:rPr>
        <w:t xml:space="preserve">، </w:t>
      </w:r>
      <w:r w:rsidR="00BC52A4" w:rsidRPr="00FD211F">
        <w:rPr>
          <w:sz w:val="36"/>
          <w:szCs w:val="36"/>
          <w:rtl/>
        </w:rPr>
        <w:t>مثل صيغ</w:t>
      </w:r>
      <w:r w:rsidR="00EC7EDF" w:rsidRPr="00FD211F">
        <w:rPr>
          <w:sz w:val="36"/>
          <w:szCs w:val="36"/>
          <w:rtl/>
        </w:rPr>
        <w:t xml:space="preserve">ة </w:t>
      </w:r>
      <w:r w:rsidR="00BC52A4" w:rsidRPr="00FD211F">
        <w:rPr>
          <w:sz w:val="36"/>
          <w:szCs w:val="36"/>
          <w:rtl/>
        </w:rPr>
        <w:t>الإمر حيث انها موضوع</w:t>
      </w:r>
      <w:r w:rsidR="00EC7EDF" w:rsidRPr="00FD211F">
        <w:rPr>
          <w:sz w:val="36"/>
          <w:szCs w:val="36"/>
          <w:rtl/>
        </w:rPr>
        <w:t xml:space="preserve">ة </w:t>
      </w:r>
      <w:r w:rsidR="00BC52A4" w:rsidRPr="00FD211F">
        <w:rPr>
          <w:sz w:val="36"/>
          <w:szCs w:val="36"/>
          <w:rtl/>
        </w:rPr>
        <w:t>لإبراز اعتبار الفعل على ذم</w:t>
      </w:r>
      <w:r w:rsidR="00EC7EDF" w:rsidRPr="00FD211F">
        <w:rPr>
          <w:sz w:val="36"/>
          <w:szCs w:val="36"/>
          <w:rtl/>
        </w:rPr>
        <w:t xml:space="preserve">ة </w:t>
      </w:r>
      <w:r w:rsidR="00BC52A4" w:rsidRPr="00FD211F">
        <w:rPr>
          <w:sz w:val="36"/>
          <w:szCs w:val="36"/>
          <w:rtl/>
        </w:rPr>
        <w:t>المخاطب وجمل</w:t>
      </w:r>
      <w:r w:rsidR="00EC7EDF" w:rsidRPr="00FD211F">
        <w:rPr>
          <w:sz w:val="36"/>
          <w:szCs w:val="36"/>
          <w:rtl/>
        </w:rPr>
        <w:t xml:space="preserve">ة </w:t>
      </w:r>
      <w:r w:rsidR="00BC52A4" w:rsidRPr="00FD211F">
        <w:rPr>
          <w:sz w:val="36"/>
          <w:szCs w:val="36"/>
          <w:rtl/>
        </w:rPr>
        <w:t>الاستفهام موضوع</w:t>
      </w:r>
      <w:r w:rsidR="00EC7EDF" w:rsidRPr="00FD211F">
        <w:rPr>
          <w:sz w:val="36"/>
          <w:szCs w:val="36"/>
          <w:rtl/>
        </w:rPr>
        <w:t xml:space="preserve">ة </w:t>
      </w:r>
      <w:r w:rsidR="00BC52A4" w:rsidRPr="00FD211F">
        <w:rPr>
          <w:sz w:val="36"/>
          <w:szCs w:val="36"/>
          <w:rtl/>
        </w:rPr>
        <w:t>لابراز قصد الاستفهام وهكذا</w:t>
      </w:r>
      <w:r w:rsidRPr="00FD211F">
        <w:rPr>
          <w:sz w:val="36"/>
          <w:szCs w:val="36"/>
          <w:rtl/>
        </w:rPr>
        <w:t>.</w:t>
      </w:r>
      <w:r w:rsidR="009C58C8" w:rsidRPr="00FD211F">
        <w:rPr>
          <w:rStyle w:val="a6"/>
          <w:sz w:val="36"/>
          <w:szCs w:val="36"/>
          <w:rtl/>
        </w:rPr>
        <w:t>(</w:t>
      </w:r>
      <w:r w:rsidR="009C58C8" w:rsidRPr="00FD211F">
        <w:rPr>
          <w:rStyle w:val="a6"/>
          <w:sz w:val="36"/>
          <w:szCs w:val="36"/>
          <w:rtl/>
        </w:rPr>
        <w:footnoteReference w:id="189"/>
      </w:r>
      <w:r w:rsidR="009C58C8" w:rsidRPr="00FD211F">
        <w:rPr>
          <w:rStyle w:val="a6"/>
          <w:sz w:val="36"/>
          <w:szCs w:val="36"/>
          <w:rtl/>
        </w:rPr>
        <w:t>)</w:t>
      </w:r>
    </w:p>
    <w:p w14:paraId="51D73A53" w14:textId="77777777" w:rsidR="00566B24" w:rsidRPr="00FD211F" w:rsidRDefault="009A3BD3" w:rsidP="009C58C8">
      <w:pPr>
        <w:ind w:left="0" w:firstLine="227"/>
        <w:jc w:val="both"/>
        <w:rPr>
          <w:sz w:val="36"/>
          <w:szCs w:val="36"/>
          <w:rtl/>
        </w:rPr>
      </w:pPr>
      <w:r w:rsidRPr="00FD211F">
        <w:rPr>
          <w:sz w:val="36"/>
          <w:szCs w:val="36"/>
          <w:rtl/>
        </w:rPr>
        <w:t>وفيه أن</w:t>
      </w:r>
      <w:r w:rsidR="0068414A" w:rsidRPr="00FD211F">
        <w:rPr>
          <w:sz w:val="36"/>
          <w:szCs w:val="36"/>
          <w:rtl/>
        </w:rPr>
        <w:t xml:space="preserve"> </w:t>
      </w:r>
      <w:r w:rsidRPr="00FD211F">
        <w:rPr>
          <w:sz w:val="36"/>
          <w:szCs w:val="36"/>
          <w:rtl/>
        </w:rPr>
        <w:t>الظاهر كون مقصود المشهور</w:t>
      </w:r>
      <w:r w:rsidR="0032096C" w:rsidRPr="00FD211F">
        <w:rPr>
          <w:sz w:val="36"/>
          <w:szCs w:val="36"/>
          <w:rtl/>
        </w:rPr>
        <w:t xml:space="preserve"> </w:t>
      </w:r>
      <w:r w:rsidRPr="00FD211F">
        <w:rPr>
          <w:sz w:val="36"/>
          <w:szCs w:val="36"/>
          <w:rtl/>
        </w:rPr>
        <w:t>من النسب</w:t>
      </w:r>
      <w:r w:rsidR="00EC7EDF" w:rsidRPr="00FD211F">
        <w:rPr>
          <w:sz w:val="36"/>
          <w:szCs w:val="36"/>
          <w:rtl/>
        </w:rPr>
        <w:t xml:space="preserve">ة </w:t>
      </w:r>
      <w:r w:rsidRPr="00FD211F">
        <w:rPr>
          <w:sz w:val="36"/>
          <w:szCs w:val="36"/>
          <w:rtl/>
        </w:rPr>
        <w:t>التي</w:t>
      </w:r>
      <w:r w:rsidR="00566B24" w:rsidRPr="00FD211F">
        <w:rPr>
          <w:sz w:val="36"/>
          <w:szCs w:val="36"/>
          <w:rtl/>
        </w:rPr>
        <w:t xml:space="preserve"> تدل عليها الجمل</w:t>
      </w:r>
      <w:r w:rsidR="00EC7EDF" w:rsidRPr="00FD211F">
        <w:rPr>
          <w:sz w:val="36"/>
          <w:szCs w:val="36"/>
          <w:rtl/>
        </w:rPr>
        <w:t xml:space="preserve">ة </w:t>
      </w:r>
      <w:r w:rsidR="00566B24" w:rsidRPr="00FD211F">
        <w:rPr>
          <w:sz w:val="36"/>
          <w:szCs w:val="36"/>
          <w:rtl/>
        </w:rPr>
        <w:t>الخبري</w:t>
      </w:r>
      <w:r w:rsidR="00EC7EDF" w:rsidRPr="00FD211F">
        <w:rPr>
          <w:sz w:val="36"/>
          <w:szCs w:val="36"/>
          <w:rtl/>
        </w:rPr>
        <w:t xml:space="preserve">ة </w:t>
      </w:r>
      <w:r w:rsidR="00566B24" w:rsidRPr="00FD211F">
        <w:rPr>
          <w:sz w:val="36"/>
          <w:szCs w:val="36"/>
          <w:rtl/>
        </w:rPr>
        <w:t>هي</w:t>
      </w:r>
      <w:r w:rsidR="00B253CE" w:rsidRPr="00FD211F">
        <w:rPr>
          <w:sz w:val="36"/>
          <w:szCs w:val="36"/>
          <w:rtl/>
        </w:rPr>
        <w:t xml:space="preserve"> </w:t>
      </w:r>
      <w:r w:rsidRPr="00FD211F">
        <w:rPr>
          <w:sz w:val="36"/>
          <w:szCs w:val="36"/>
          <w:rtl/>
        </w:rPr>
        <w:t>النسب</w:t>
      </w:r>
      <w:r w:rsidR="00EC7EDF" w:rsidRPr="00FD211F">
        <w:rPr>
          <w:sz w:val="36"/>
          <w:szCs w:val="36"/>
          <w:rtl/>
        </w:rPr>
        <w:t xml:space="preserve">ة </w:t>
      </w:r>
      <w:r w:rsidRPr="00FD211F">
        <w:rPr>
          <w:sz w:val="36"/>
          <w:szCs w:val="36"/>
          <w:rtl/>
        </w:rPr>
        <w:t>الثابت</w:t>
      </w:r>
      <w:r w:rsidR="00EC7EDF" w:rsidRPr="00FD211F">
        <w:rPr>
          <w:sz w:val="36"/>
          <w:szCs w:val="36"/>
          <w:rtl/>
        </w:rPr>
        <w:t xml:space="preserve">ة </w:t>
      </w:r>
      <w:r w:rsidRPr="00FD211F">
        <w:rPr>
          <w:sz w:val="36"/>
          <w:szCs w:val="36"/>
          <w:rtl/>
        </w:rPr>
        <w:t>في ع</w:t>
      </w:r>
      <w:r w:rsidR="00527AD1" w:rsidRPr="00FD211F">
        <w:rPr>
          <w:sz w:val="36"/>
          <w:szCs w:val="36"/>
          <w:rtl/>
        </w:rPr>
        <w:t>ا</w:t>
      </w:r>
      <w:r w:rsidR="00566B24" w:rsidRPr="00FD211F">
        <w:rPr>
          <w:sz w:val="36"/>
          <w:szCs w:val="36"/>
          <w:rtl/>
        </w:rPr>
        <w:t>لم الواقع الذي هو اوسع من عالم الوجود</w:t>
      </w:r>
      <w:r w:rsidR="00B253CE" w:rsidRPr="00FD211F">
        <w:rPr>
          <w:sz w:val="36"/>
          <w:szCs w:val="36"/>
          <w:rtl/>
        </w:rPr>
        <w:t xml:space="preserve"> </w:t>
      </w:r>
      <w:r w:rsidR="00566B24" w:rsidRPr="00FD211F">
        <w:rPr>
          <w:sz w:val="36"/>
          <w:szCs w:val="36"/>
          <w:rtl/>
        </w:rPr>
        <w:t xml:space="preserve">فالمحكي في </w:t>
      </w:r>
      <w:r w:rsidR="00DC68AC" w:rsidRPr="00FD211F">
        <w:rPr>
          <w:sz w:val="36"/>
          <w:szCs w:val="36"/>
          <w:rtl/>
        </w:rPr>
        <w:t>مثل قولنا "شريك الباري ممتنع والعنقاء ممكن "</w:t>
      </w:r>
      <w:r w:rsidR="00566B24" w:rsidRPr="00FD211F">
        <w:rPr>
          <w:sz w:val="36"/>
          <w:szCs w:val="36"/>
          <w:rtl/>
        </w:rPr>
        <w:t>هو ثبوت النسب</w:t>
      </w:r>
      <w:r w:rsidR="00EC7EDF" w:rsidRPr="00FD211F">
        <w:rPr>
          <w:sz w:val="36"/>
          <w:szCs w:val="36"/>
          <w:rtl/>
        </w:rPr>
        <w:t xml:space="preserve">ة </w:t>
      </w:r>
      <w:r w:rsidR="00566B24" w:rsidRPr="00FD211F">
        <w:rPr>
          <w:sz w:val="36"/>
          <w:szCs w:val="36"/>
          <w:rtl/>
        </w:rPr>
        <w:t>في الموطن المناسب</w:t>
      </w:r>
      <w:r w:rsidR="0032096C" w:rsidRPr="00FD211F">
        <w:rPr>
          <w:sz w:val="36"/>
          <w:szCs w:val="36"/>
          <w:rtl/>
        </w:rPr>
        <w:t xml:space="preserve"> لها</w:t>
      </w:r>
      <w:r w:rsidR="00566B24" w:rsidRPr="00FD211F">
        <w:rPr>
          <w:sz w:val="36"/>
          <w:szCs w:val="36"/>
          <w:rtl/>
        </w:rPr>
        <w:t xml:space="preserve"> وهو</w:t>
      </w:r>
      <w:r w:rsidR="0032096C" w:rsidRPr="00FD211F">
        <w:rPr>
          <w:sz w:val="36"/>
          <w:szCs w:val="36"/>
          <w:rtl/>
        </w:rPr>
        <w:t xml:space="preserve"> عالم</w:t>
      </w:r>
      <w:r w:rsidR="00566B24" w:rsidRPr="00FD211F">
        <w:rPr>
          <w:sz w:val="36"/>
          <w:szCs w:val="36"/>
          <w:rtl/>
        </w:rPr>
        <w:t xml:space="preserve"> الواقع</w:t>
      </w:r>
      <w:r w:rsidR="0032096C" w:rsidRPr="00FD211F">
        <w:rPr>
          <w:sz w:val="36"/>
          <w:szCs w:val="36"/>
          <w:rtl/>
        </w:rPr>
        <w:t>.</w:t>
      </w:r>
    </w:p>
    <w:p w14:paraId="48E56AD4" w14:textId="77777777" w:rsidR="0068414A" w:rsidRPr="00FD211F" w:rsidRDefault="00DC68AC" w:rsidP="009C58C8">
      <w:pPr>
        <w:ind w:left="0" w:firstLine="227"/>
        <w:jc w:val="both"/>
        <w:rPr>
          <w:sz w:val="36"/>
          <w:szCs w:val="36"/>
          <w:rtl/>
        </w:rPr>
      </w:pPr>
      <w:r w:rsidRPr="00FD211F">
        <w:rPr>
          <w:sz w:val="36"/>
          <w:szCs w:val="36"/>
          <w:rtl/>
        </w:rPr>
        <w:t xml:space="preserve">ولايخفى </w:t>
      </w:r>
      <w:r w:rsidR="00166DFC" w:rsidRPr="00FD211F">
        <w:rPr>
          <w:sz w:val="36"/>
          <w:szCs w:val="36"/>
          <w:rtl/>
        </w:rPr>
        <w:t>ان</w:t>
      </w:r>
      <w:r w:rsidRPr="00FD211F">
        <w:rPr>
          <w:sz w:val="36"/>
          <w:szCs w:val="36"/>
          <w:rtl/>
        </w:rPr>
        <w:t xml:space="preserve"> عدوله من قول المشهور الى القول</w:t>
      </w:r>
      <w:r w:rsidR="00B253CE" w:rsidRPr="00FD211F">
        <w:rPr>
          <w:sz w:val="36"/>
          <w:szCs w:val="36"/>
          <w:rtl/>
        </w:rPr>
        <w:t xml:space="preserve"> </w:t>
      </w:r>
      <w:r w:rsidR="009A3BD3" w:rsidRPr="00FD211F">
        <w:rPr>
          <w:sz w:val="36"/>
          <w:szCs w:val="36"/>
          <w:rtl/>
        </w:rPr>
        <w:t>بوضع</w:t>
      </w:r>
      <w:r w:rsidR="00B253CE" w:rsidRPr="00FD211F">
        <w:rPr>
          <w:sz w:val="36"/>
          <w:szCs w:val="36"/>
          <w:rtl/>
        </w:rPr>
        <w:t xml:space="preserve"> </w:t>
      </w:r>
      <w:r w:rsidR="0068414A" w:rsidRPr="00FD211F">
        <w:rPr>
          <w:sz w:val="36"/>
          <w:szCs w:val="36"/>
          <w:rtl/>
        </w:rPr>
        <w:t>الجمل</w:t>
      </w:r>
      <w:r w:rsidR="00EC7EDF" w:rsidRPr="00FD211F">
        <w:rPr>
          <w:sz w:val="36"/>
          <w:szCs w:val="36"/>
          <w:rtl/>
        </w:rPr>
        <w:t xml:space="preserve">ة </w:t>
      </w:r>
      <w:r w:rsidR="0068414A" w:rsidRPr="00FD211F">
        <w:rPr>
          <w:sz w:val="36"/>
          <w:szCs w:val="36"/>
          <w:rtl/>
        </w:rPr>
        <w:t>الخبر</w:t>
      </w:r>
      <w:r w:rsidRPr="00FD211F">
        <w:rPr>
          <w:sz w:val="36"/>
          <w:szCs w:val="36"/>
          <w:rtl/>
        </w:rPr>
        <w:t>ي</w:t>
      </w:r>
      <w:r w:rsidR="00EC7EDF" w:rsidRPr="00FD211F">
        <w:rPr>
          <w:sz w:val="36"/>
          <w:szCs w:val="36"/>
          <w:rtl/>
        </w:rPr>
        <w:t xml:space="preserve">ة </w:t>
      </w:r>
      <w:r w:rsidRPr="00FD211F">
        <w:rPr>
          <w:sz w:val="36"/>
          <w:szCs w:val="36"/>
          <w:rtl/>
        </w:rPr>
        <w:t>لإبراز قصد الإخبار</w:t>
      </w:r>
      <w:r w:rsidR="00BF0A5B" w:rsidRPr="00FD211F">
        <w:rPr>
          <w:sz w:val="36"/>
          <w:szCs w:val="36"/>
          <w:rtl/>
        </w:rPr>
        <w:t xml:space="preserve"> </w:t>
      </w:r>
      <w:r w:rsidR="00166DFC" w:rsidRPr="00FD211F">
        <w:rPr>
          <w:sz w:val="36"/>
          <w:szCs w:val="36"/>
          <w:rtl/>
        </w:rPr>
        <w:t>لايوجب اندفاع النقض</w:t>
      </w:r>
      <w:r w:rsidR="00B253CE" w:rsidRPr="00FD211F">
        <w:rPr>
          <w:sz w:val="36"/>
          <w:szCs w:val="36"/>
          <w:rtl/>
        </w:rPr>
        <w:t xml:space="preserve"> </w:t>
      </w:r>
      <w:r w:rsidRPr="00FD211F">
        <w:rPr>
          <w:sz w:val="36"/>
          <w:szCs w:val="36"/>
          <w:rtl/>
        </w:rPr>
        <w:t>اذ</w:t>
      </w:r>
      <w:r w:rsidR="0068414A" w:rsidRPr="00FD211F">
        <w:rPr>
          <w:sz w:val="36"/>
          <w:szCs w:val="36"/>
          <w:rtl/>
        </w:rPr>
        <w:t xml:space="preserve"> </w:t>
      </w:r>
      <w:r w:rsidRPr="00FD211F">
        <w:rPr>
          <w:sz w:val="36"/>
          <w:szCs w:val="36"/>
          <w:rtl/>
        </w:rPr>
        <w:t>المخبر به على ايّ حال هو ثبوت النسب</w:t>
      </w:r>
      <w:r w:rsidR="00EC7EDF" w:rsidRPr="00FD211F">
        <w:rPr>
          <w:sz w:val="36"/>
          <w:szCs w:val="36"/>
          <w:rtl/>
        </w:rPr>
        <w:t xml:space="preserve">ة </w:t>
      </w:r>
      <w:r w:rsidRPr="00FD211F">
        <w:rPr>
          <w:sz w:val="36"/>
          <w:szCs w:val="36"/>
          <w:rtl/>
        </w:rPr>
        <w:t xml:space="preserve">فلابد من الجواب عن النقض </w:t>
      </w:r>
      <w:r w:rsidR="00166DFC" w:rsidRPr="00FD211F">
        <w:rPr>
          <w:sz w:val="36"/>
          <w:szCs w:val="36"/>
          <w:rtl/>
        </w:rPr>
        <w:t>بماذكرناه</w:t>
      </w:r>
      <w:r w:rsidR="00603323" w:rsidRPr="00FD211F">
        <w:rPr>
          <w:sz w:val="36"/>
          <w:szCs w:val="36"/>
          <w:rtl/>
        </w:rPr>
        <w:t xml:space="preserve">، </w:t>
      </w:r>
      <w:r w:rsidR="00166DFC" w:rsidRPr="00FD211F">
        <w:rPr>
          <w:sz w:val="36"/>
          <w:szCs w:val="36"/>
          <w:rtl/>
        </w:rPr>
        <w:t>فاذا</w:t>
      </w:r>
      <w:r w:rsidR="0032096C" w:rsidRPr="00FD211F">
        <w:rPr>
          <w:sz w:val="36"/>
          <w:szCs w:val="36"/>
          <w:rtl/>
        </w:rPr>
        <w:t xml:space="preserve"> </w:t>
      </w:r>
      <w:r w:rsidR="00166DFC" w:rsidRPr="00FD211F">
        <w:rPr>
          <w:sz w:val="36"/>
          <w:szCs w:val="36"/>
          <w:rtl/>
        </w:rPr>
        <w:t>تم هذ االجواب</w:t>
      </w:r>
      <w:r w:rsidR="0068414A" w:rsidRPr="00FD211F">
        <w:rPr>
          <w:sz w:val="36"/>
          <w:szCs w:val="36"/>
          <w:rtl/>
        </w:rPr>
        <w:t xml:space="preserve"> فيمكن ان يلتزم بان الموضوع له لهيئ</w:t>
      </w:r>
      <w:r w:rsidR="00EC7EDF" w:rsidRPr="00FD211F">
        <w:rPr>
          <w:sz w:val="36"/>
          <w:szCs w:val="36"/>
          <w:rtl/>
        </w:rPr>
        <w:t xml:space="preserve">ة </w:t>
      </w:r>
      <w:r w:rsidR="0068414A" w:rsidRPr="00FD211F">
        <w:rPr>
          <w:sz w:val="36"/>
          <w:szCs w:val="36"/>
          <w:rtl/>
        </w:rPr>
        <w:t>الجمل</w:t>
      </w:r>
      <w:r w:rsidR="00EC7EDF" w:rsidRPr="00FD211F">
        <w:rPr>
          <w:sz w:val="36"/>
          <w:szCs w:val="36"/>
          <w:rtl/>
        </w:rPr>
        <w:t xml:space="preserve">ة </w:t>
      </w:r>
      <w:r w:rsidR="0068414A" w:rsidRPr="00FD211F">
        <w:rPr>
          <w:sz w:val="36"/>
          <w:szCs w:val="36"/>
          <w:rtl/>
        </w:rPr>
        <w:t>الخبري</w:t>
      </w:r>
      <w:r w:rsidR="00EC7EDF" w:rsidRPr="00FD211F">
        <w:rPr>
          <w:sz w:val="36"/>
          <w:szCs w:val="36"/>
          <w:rtl/>
        </w:rPr>
        <w:t xml:space="preserve">ة </w:t>
      </w:r>
      <w:r w:rsidR="0068414A" w:rsidRPr="00FD211F">
        <w:rPr>
          <w:sz w:val="36"/>
          <w:szCs w:val="36"/>
          <w:rtl/>
        </w:rPr>
        <w:t>هو هذا المخبر به لاابراز قصد الإخبار عنه</w:t>
      </w:r>
      <w:r w:rsidR="002B1EA9" w:rsidRPr="00FD211F">
        <w:rPr>
          <w:sz w:val="36"/>
          <w:szCs w:val="36"/>
          <w:rtl/>
        </w:rPr>
        <w:t>.</w:t>
      </w:r>
    </w:p>
    <w:p w14:paraId="24401757" w14:textId="77777777" w:rsidR="00801A26" w:rsidRPr="00FD211F" w:rsidRDefault="00166DFC" w:rsidP="009C58C8">
      <w:pPr>
        <w:ind w:left="0" w:firstLine="227"/>
        <w:jc w:val="both"/>
        <w:rPr>
          <w:sz w:val="36"/>
          <w:szCs w:val="36"/>
          <w:rtl/>
        </w:rPr>
      </w:pPr>
      <w:r w:rsidRPr="00FD211F">
        <w:rPr>
          <w:sz w:val="36"/>
          <w:szCs w:val="36"/>
          <w:rtl/>
        </w:rPr>
        <w:t>2-</w:t>
      </w:r>
      <w:r w:rsidR="0032096C" w:rsidRPr="00FD211F">
        <w:rPr>
          <w:sz w:val="36"/>
          <w:szCs w:val="36"/>
          <w:rtl/>
        </w:rPr>
        <w:t xml:space="preserve"> </w:t>
      </w:r>
      <w:r w:rsidRPr="00FD211F">
        <w:rPr>
          <w:sz w:val="36"/>
          <w:szCs w:val="36"/>
          <w:rtl/>
        </w:rPr>
        <w:t>ما</w:t>
      </w:r>
      <w:r w:rsidR="0032096C" w:rsidRPr="00FD211F">
        <w:rPr>
          <w:sz w:val="36"/>
          <w:szCs w:val="36"/>
          <w:rtl/>
        </w:rPr>
        <w:t xml:space="preserve"> </w:t>
      </w:r>
      <w:r w:rsidRPr="00FD211F">
        <w:rPr>
          <w:sz w:val="36"/>
          <w:szCs w:val="36"/>
          <w:rtl/>
        </w:rPr>
        <w:t>قد يورد النقض ب</w:t>
      </w:r>
      <w:r w:rsidR="0068414A" w:rsidRPr="00FD211F">
        <w:rPr>
          <w:sz w:val="36"/>
          <w:szCs w:val="36"/>
          <w:rtl/>
        </w:rPr>
        <w:t>ا</w:t>
      </w:r>
      <w:r w:rsidRPr="00FD211F">
        <w:rPr>
          <w:sz w:val="36"/>
          <w:szCs w:val="36"/>
          <w:rtl/>
        </w:rPr>
        <w:t>لقضايا الحملي</w:t>
      </w:r>
      <w:r w:rsidR="00EC7EDF" w:rsidRPr="00FD211F">
        <w:rPr>
          <w:sz w:val="36"/>
          <w:szCs w:val="36"/>
          <w:rtl/>
        </w:rPr>
        <w:t xml:space="preserve">ة </w:t>
      </w:r>
      <w:r w:rsidR="00874D47" w:rsidRPr="00FD211F">
        <w:rPr>
          <w:sz w:val="36"/>
          <w:szCs w:val="36"/>
          <w:rtl/>
        </w:rPr>
        <w:t>مثل قولنا "زيد عالم"</w:t>
      </w:r>
      <w:r w:rsidR="0032096C" w:rsidRPr="00FD211F">
        <w:rPr>
          <w:sz w:val="36"/>
          <w:szCs w:val="36"/>
          <w:rtl/>
        </w:rPr>
        <w:t xml:space="preserve"> </w:t>
      </w:r>
      <w:r w:rsidR="00874D47" w:rsidRPr="00FD211F">
        <w:rPr>
          <w:sz w:val="36"/>
          <w:szCs w:val="36"/>
          <w:rtl/>
        </w:rPr>
        <w:t>حيث لاتوجد بينهما نسب</w:t>
      </w:r>
      <w:r w:rsidR="00EC7EDF" w:rsidRPr="00FD211F">
        <w:rPr>
          <w:sz w:val="36"/>
          <w:szCs w:val="36"/>
          <w:rtl/>
        </w:rPr>
        <w:t xml:space="preserve">ة </w:t>
      </w:r>
      <w:r w:rsidR="00874D47" w:rsidRPr="00FD211F">
        <w:rPr>
          <w:sz w:val="36"/>
          <w:szCs w:val="36"/>
          <w:rtl/>
        </w:rPr>
        <w:t>وانما يكون بينهما الاتحاد والهوهوي</w:t>
      </w:r>
      <w:r w:rsidR="00EC7EDF" w:rsidRPr="00FD211F">
        <w:rPr>
          <w:sz w:val="36"/>
          <w:szCs w:val="36"/>
          <w:rtl/>
        </w:rPr>
        <w:t>ة</w:t>
      </w:r>
      <w:r w:rsidR="00A61BAE" w:rsidRPr="00FD211F">
        <w:rPr>
          <w:sz w:val="36"/>
          <w:szCs w:val="36"/>
          <w:rtl/>
        </w:rPr>
        <w:t>.</w:t>
      </w:r>
    </w:p>
    <w:p w14:paraId="49CC33A8" w14:textId="77777777" w:rsidR="0068414A" w:rsidRPr="00FD211F" w:rsidRDefault="00801A26" w:rsidP="009C58C8">
      <w:pPr>
        <w:ind w:left="0" w:firstLine="227"/>
        <w:jc w:val="both"/>
        <w:rPr>
          <w:sz w:val="36"/>
          <w:szCs w:val="36"/>
          <w:rtl/>
        </w:rPr>
      </w:pPr>
      <w:r w:rsidRPr="00FD211F">
        <w:rPr>
          <w:sz w:val="36"/>
          <w:szCs w:val="36"/>
          <w:rtl/>
        </w:rPr>
        <w:t>وقد</w:t>
      </w:r>
      <w:r w:rsidR="002B1EA9" w:rsidRPr="00FD211F">
        <w:rPr>
          <w:sz w:val="36"/>
          <w:szCs w:val="36"/>
          <w:rtl/>
        </w:rPr>
        <w:t xml:space="preserve"> </w:t>
      </w:r>
      <w:r w:rsidR="00574753" w:rsidRPr="00FD211F">
        <w:rPr>
          <w:sz w:val="36"/>
          <w:szCs w:val="36"/>
          <w:rtl/>
        </w:rPr>
        <w:t>ا</w:t>
      </w:r>
      <w:r w:rsidRPr="00FD211F">
        <w:rPr>
          <w:sz w:val="36"/>
          <w:szCs w:val="36"/>
          <w:rtl/>
        </w:rPr>
        <w:t xml:space="preserve">جاب </w:t>
      </w:r>
      <w:r w:rsidR="00574753" w:rsidRPr="00FD211F">
        <w:rPr>
          <w:sz w:val="36"/>
          <w:szCs w:val="36"/>
          <w:rtl/>
        </w:rPr>
        <w:t xml:space="preserve">في البحوث </w:t>
      </w:r>
      <w:r w:rsidRPr="00FD211F">
        <w:rPr>
          <w:sz w:val="36"/>
          <w:szCs w:val="36"/>
          <w:rtl/>
        </w:rPr>
        <w:t>عن هذين النقضين</w:t>
      </w:r>
      <w:r w:rsidR="00B253CE" w:rsidRPr="00FD211F">
        <w:rPr>
          <w:sz w:val="36"/>
          <w:szCs w:val="36"/>
          <w:rtl/>
        </w:rPr>
        <w:t xml:space="preserve"> </w:t>
      </w:r>
      <w:r w:rsidR="0068414A" w:rsidRPr="00FD211F">
        <w:rPr>
          <w:sz w:val="36"/>
          <w:szCs w:val="36"/>
          <w:rtl/>
        </w:rPr>
        <w:t>بان المشهور لايقولون بوضع هيئ</w:t>
      </w:r>
      <w:r w:rsidR="00EC7EDF" w:rsidRPr="00FD211F">
        <w:rPr>
          <w:sz w:val="36"/>
          <w:szCs w:val="36"/>
          <w:rtl/>
        </w:rPr>
        <w:t xml:space="preserve">ة </w:t>
      </w:r>
      <w:r w:rsidR="0068414A" w:rsidRPr="00FD211F">
        <w:rPr>
          <w:sz w:val="36"/>
          <w:szCs w:val="36"/>
          <w:rtl/>
        </w:rPr>
        <w:t>الجمل</w:t>
      </w:r>
      <w:r w:rsidR="00EC7EDF" w:rsidRPr="00FD211F">
        <w:rPr>
          <w:sz w:val="36"/>
          <w:szCs w:val="36"/>
          <w:rtl/>
        </w:rPr>
        <w:t xml:space="preserve">ة </w:t>
      </w:r>
      <w:r w:rsidR="0068414A" w:rsidRPr="00FD211F">
        <w:rPr>
          <w:sz w:val="36"/>
          <w:szCs w:val="36"/>
          <w:rtl/>
        </w:rPr>
        <w:t>الخبري</w:t>
      </w:r>
      <w:r w:rsidR="00EC7EDF" w:rsidRPr="00FD211F">
        <w:rPr>
          <w:sz w:val="36"/>
          <w:szCs w:val="36"/>
          <w:rtl/>
        </w:rPr>
        <w:t xml:space="preserve">ة </w:t>
      </w:r>
      <w:r w:rsidR="0068414A" w:rsidRPr="00FD211F">
        <w:rPr>
          <w:sz w:val="36"/>
          <w:szCs w:val="36"/>
          <w:rtl/>
        </w:rPr>
        <w:t>بإزاء النسب</w:t>
      </w:r>
      <w:r w:rsidR="00EC7EDF" w:rsidRPr="00FD211F">
        <w:rPr>
          <w:sz w:val="36"/>
          <w:szCs w:val="36"/>
          <w:rtl/>
        </w:rPr>
        <w:t xml:space="preserve">ة </w:t>
      </w:r>
      <w:r w:rsidR="0068414A" w:rsidRPr="00FD211F">
        <w:rPr>
          <w:sz w:val="36"/>
          <w:szCs w:val="36"/>
          <w:rtl/>
        </w:rPr>
        <w:t>الخارجي</w:t>
      </w:r>
      <w:r w:rsidR="00EC7EDF" w:rsidRPr="00FD211F">
        <w:rPr>
          <w:sz w:val="36"/>
          <w:szCs w:val="36"/>
          <w:rtl/>
        </w:rPr>
        <w:t>ة</w:t>
      </w:r>
      <w:r w:rsidR="00603323" w:rsidRPr="00FD211F">
        <w:rPr>
          <w:sz w:val="36"/>
          <w:szCs w:val="36"/>
          <w:rtl/>
        </w:rPr>
        <w:t xml:space="preserve">، </w:t>
      </w:r>
      <w:r w:rsidR="0068414A" w:rsidRPr="00FD211F">
        <w:rPr>
          <w:sz w:val="36"/>
          <w:szCs w:val="36"/>
          <w:rtl/>
        </w:rPr>
        <w:t>بل يقولون بوضعها بإزاء النسب</w:t>
      </w:r>
      <w:r w:rsidR="00EC7EDF" w:rsidRPr="00FD211F">
        <w:rPr>
          <w:sz w:val="36"/>
          <w:szCs w:val="36"/>
          <w:rtl/>
        </w:rPr>
        <w:t xml:space="preserve">ة </w:t>
      </w:r>
      <w:r w:rsidR="0068414A" w:rsidRPr="00FD211F">
        <w:rPr>
          <w:sz w:val="36"/>
          <w:szCs w:val="36"/>
          <w:rtl/>
        </w:rPr>
        <w:t>الذهني</w:t>
      </w:r>
      <w:r w:rsidR="00EC7EDF" w:rsidRPr="00FD211F">
        <w:rPr>
          <w:sz w:val="36"/>
          <w:szCs w:val="36"/>
          <w:rtl/>
        </w:rPr>
        <w:t>ة</w:t>
      </w:r>
      <w:r w:rsidR="00603323" w:rsidRPr="00FD211F">
        <w:rPr>
          <w:sz w:val="36"/>
          <w:szCs w:val="36"/>
          <w:rtl/>
        </w:rPr>
        <w:t xml:space="preserve">، </w:t>
      </w:r>
      <w:r w:rsidR="0068414A" w:rsidRPr="00FD211F">
        <w:rPr>
          <w:sz w:val="36"/>
          <w:szCs w:val="36"/>
          <w:rtl/>
        </w:rPr>
        <w:t>وهي موجود</w:t>
      </w:r>
      <w:r w:rsidR="00EC7EDF" w:rsidRPr="00FD211F">
        <w:rPr>
          <w:sz w:val="36"/>
          <w:szCs w:val="36"/>
          <w:rtl/>
        </w:rPr>
        <w:t xml:space="preserve">ة </w:t>
      </w:r>
      <w:r w:rsidR="0068414A" w:rsidRPr="00FD211F">
        <w:rPr>
          <w:sz w:val="36"/>
          <w:szCs w:val="36"/>
          <w:rtl/>
        </w:rPr>
        <w:t xml:space="preserve">في </w:t>
      </w:r>
      <w:r w:rsidRPr="00FD211F">
        <w:rPr>
          <w:sz w:val="36"/>
          <w:szCs w:val="36"/>
          <w:rtl/>
        </w:rPr>
        <w:t>جميع هذه الموارد</w:t>
      </w:r>
      <w:r w:rsidR="009C58C8" w:rsidRPr="00FD211F">
        <w:rPr>
          <w:rStyle w:val="a6"/>
          <w:sz w:val="36"/>
          <w:szCs w:val="36"/>
          <w:rtl/>
        </w:rPr>
        <w:t>(</w:t>
      </w:r>
      <w:r w:rsidR="009C58C8" w:rsidRPr="00FD211F">
        <w:rPr>
          <w:rStyle w:val="a6"/>
          <w:sz w:val="36"/>
          <w:szCs w:val="36"/>
          <w:rtl/>
        </w:rPr>
        <w:footnoteReference w:id="190"/>
      </w:r>
      <w:r w:rsidR="009C58C8" w:rsidRPr="00FD211F">
        <w:rPr>
          <w:rStyle w:val="a6"/>
          <w:sz w:val="36"/>
          <w:szCs w:val="36"/>
          <w:rtl/>
        </w:rPr>
        <w:t>)</w:t>
      </w:r>
      <w:r w:rsidR="0068414A" w:rsidRPr="00FD211F">
        <w:rPr>
          <w:sz w:val="36"/>
          <w:szCs w:val="36"/>
          <w:rtl/>
        </w:rPr>
        <w:t>.</w:t>
      </w:r>
    </w:p>
    <w:p w14:paraId="39E67FB6" w14:textId="77777777" w:rsidR="00556BC0" w:rsidRPr="00FD211F" w:rsidRDefault="00783988" w:rsidP="009C58C8">
      <w:pPr>
        <w:ind w:left="0" w:firstLine="227"/>
        <w:jc w:val="both"/>
        <w:rPr>
          <w:sz w:val="36"/>
          <w:szCs w:val="36"/>
          <w:rtl/>
          <w:lang w:bidi="fa-IR"/>
        </w:rPr>
      </w:pPr>
      <w:r w:rsidRPr="00FD211F">
        <w:rPr>
          <w:sz w:val="36"/>
          <w:szCs w:val="36"/>
          <w:rtl/>
        </w:rPr>
        <w:t>وسيأتي تحقيقه</w:t>
      </w:r>
      <w:r w:rsidR="007766A5" w:rsidRPr="00FD211F">
        <w:rPr>
          <w:sz w:val="36"/>
          <w:szCs w:val="36"/>
          <w:rtl/>
        </w:rPr>
        <w:t xml:space="preserve"> قريبا</w:t>
      </w:r>
      <w:r w:rsidR="00EC7EDF" w:rsidRPr="00FD211F">
        <w:rPr>
          <w:sz w:val="36"/>
          <w:szCs w:val="36"/>
          <w:rtl/>
        </w:rPr>
        <w:t>.</w:t>
      </w:r>
    </w:p>
    <w:p w14:paraId="5ABE2E20" w14:textId="77777777" w:rsidR="00556BC0" w:rsidRPr="00FD211F" w:rsidRDefault="00A13414" w:rsidP="009C58C8">
      <w:pPr>
        <w:ind w:left="0" w:firstLine="227"/>
        <w:jc w:val="both"/>
        <w:rPr>
          <w:sz w:val="36"/>
          <w:szCs w:val="36"/>
          <w:rtl/>
        </w:rPr>
      </w:pPr>
      <w:r w:rsidRPr="00FD211F">
        <w:rPr>
          <w:sz w:val="36"/>
          <w:szCs w:val="36"/>
          <w:rtl/>
        </w:rPr>
        <w:t>3</w:t>
      </w:r>
      <w:r w:rsidR="00556BC0" w:rsidRPr="00FD211F">
        <w:rPr>
          <w:sz w:val="36"/>
          <w:szCs w:val="36"/>
          <w:rtl/>
        </w:rPr>
        <w:t>-</w:t>
      </w:r>
      <w:r w:rsidRPr="00FD211F">
        <w:rPr>
          <w:sz w:val="36"/>
          <w:szCs w:val="36"/>
          <w:rtl/>
        </w:rPr>
        <w:t>ماذكره السيد الخوئي "قده"</w:t>
      </w:r>
      <w:r w:rsidR="002B1EA9" w:rsidRPr="00FD211F">
        <w:rPr>
          <w:sz w:val="36"/>
          <w:szCs w:val="36"/>
          <w:rtl/>
        </w:rPr>
        <w:t xml:space="preserve"> </w:t>
      </w:r>
      <w:r w:rsidRPr="00FD211F">
        <w:rPr>
          <w:sz w:val="36"/>
          <w:szCs w:val="36"/>
          <w:rtl/>
        </w:rPr>
        <w:t>ايضا</w:t>
      </w:r>
      <w:r w:rsidR="002B1EA9" w:rsidRPr="00FD211F">
        <w:rPr>
          <w:sz w:val="36"/>
          <w:szCs w:val="36"/>
          <w:rtl/>
        </w:rPr>
        <w:t xml:space="preserve"> </w:t>
      </w:r>
      <w:r w:rsidRPr="00FD211F">
        <w:rPr>
          <w:sz w:val="36"/>
          <w:szCs w:val="36"/>
          <w:rtl/>
        </w:rPr>
        <w:t>من</w:t>
      </w:r>
      <w:r w:rsidR="00556BC0" w:rsidRPr="00FD211F">
        <w:rPr>
          <w:sz w:val="36"/>
          <w:szCs w:val="36"/>
          <w:rtl/>
        </w:rPr>
        <w:t xml:space="preserve"> ان المسل</w:t>
      </w:r>
      <w:r w:rsidR="003C2864" w:rsidRPr="00FD211F">
        <w:rPr>
          <w:sz w:val="36"/>
          <w:szCs w:val="36"/>
          <w:rtl/>
        </w:rPr>
        <w:t>ك الصحيح في تفسير حقيق</w:t>
      </w:r>
      <w:r w:rsidR="00EC7EDF" w:rsidRPr="00FD211F">
        <w:rPr>
          <w:sz w:val="36"/>
          <w:szCs w:val="36"/>
          <w:rtl/>
        </w:rPr>
        <w:t xml:space="preserve">ة </w:t>
      </w:r>
      <w:r w:rsidR="003C2864" w:rsidRPr="00FD211F">
        <w:rPr>
          <w:sz w:val="36"/>
          <w:szCs w:val="36"/>
          <w:rtl/>
        </w:rPr>
        <w:t>الوضع حيث</w:t>
      </w:r>
      <w:r w:rsidR="00B253CE" w:rsidRPr="00FD211F">
        <w:rPr>
          <w:sz w:val="36"/>
          <w:szCs w:val="36"/>
          <w:rtl/>
        </w:rPr>
        <w:t xml:space="preserve"> </w:t>
      </w:r>
      <w:r w:rsidR="00556BC0" w:rsidRPr="00FD211F">
        <w:rPr>
          <w:sz w:val="36"/>
          <w:szCs w:val="36"/>
          <w:rtl/>
        </w:rPr>
        <w:t>كان</w:t>
      </w:r>
      <w:r w:rsidR="003C2864" w:rsidRPr="00FD211F">
        <w:rPr>
          <w:sz w:val="36"/>
          <w:szCs w:val="36"/>
          <w:rtl/>
        </w:rPr>
        <w:t xml:space="preserve"> هو</w:t>
      </w:r>
      <w:r w:rsidR="00556BC0" w:rsidRPr="00FD211F">
        <w:rPr>
          <w:sz w:val="36"/>
          <w:szCs w:val="36"/>
          <w:rtl/>
        </w:rPr>
        <w:t>مسلك التعهد</w:t>
      </w:r>
      <w:r w:rsidR="00603323" w:rsidRPr="00FD211F">
        <w:rPr>
          <w:sz w:val="36"/>
          <w:szCs w:val="36"/>
          <w:rtl/>
        </w:rPr>
        <w:t xml:space="preserve">، </w:t>
      </w:r>
      <w:r w:rsidR="00556BC0" w:rsidRPr="00FD211F">
        <w:rPr>
          <w:sz w:val="36"/>
          <w:szCs w:val="36"/>
          <w:rtl/>
        </w:rPr>
        <w:t>ولايعقل ت</w:t>
      </w:r>
      <w:r w:rsidR="003C2864" w:rsidRPr="00FD211F">
        <w:rPr>
          <w:sz w:val="36"/>
          <w:szCs w:val="36"/>
          <w:rtl/>
        </w:rPr>
        <w:t>علق التعهد بما يكون خارجا عن ا</w:t>
      </w:r>
      <w:r w:rsidR="00556BC0" w:rsidRPr="00FD211F">
        <w:rPr>
          <w:sz w:val="36"/>
          <w:szCs w:val="36"/>
          <w:rtl/>
        </w:rPr>
        <w:t>ختيار</w:t>
      </w:r>
      <w:r w:rsidR="003C2864" w:rsidRPr="00FD211F">
        <w:rPr>
          <w:sz w:val="36"/>
          <w:szCs w:val="36"/>
          <w:rtl/>
        </w:rPr>
        <w:t>المتعهد</w:t>
      </w:r>
      <w:r w:rsidR="00603323" w:rsidRPr="00FD211F">
        <w:rPr>
          <w:sz w:val="36"/>
          <w:szCs w:val="36"/>
          <w:rtl/>
        </w:rPr>
        <w:t xml:space="preserve">، </w:t>
      </w:r>
      <w:r w:rsidR="00556BC0" w:rsidRPr="00FD211F">
        <w:rPr>
          <w:sz w:val="36"/>
          <w:szCs w:val="36"/>
          <w:rtl/>
        </w:rPr>
        <w:t>فلامعنى لكون الموضوع له هو ثبوت النسب</w:t>
      </w:r>
      <w:r w:rsidR="00EC7EDF" w:rsidRPr="00FD211F">
        <w:rPr>
          <w:sz w:val="36"/>
          <w:szCs w:val="36"/>
          <w:rtl/>
        </w:rPr>
        <w:t xml:space="preserve">ة </w:t>
      </w:r>
      <w:r w:rsidR="00556BC0" w:rsidRPr="00FD211F">
        <w:rPr>
          <w:sz w:val="36"/>
          <w:szCs w:val="36"/>
          <w:rtl/>
        </w:rPr>
        <w:t>الخارجي</w:t>
      </w:r>
      <w:r w:rsidR="00EC7EDF" w:rsidRPr="00FD211F">
        <w:rPr>
          <w:sz w:val="36"/>
          <w:szCs w:val="36"/>
          <w:rtl/>
        </w:rPr>
        <w:t xml:space="preserve">ة </w:t>
      </w:r>
      <w:r w:rsidR="00556BC0" w:rsidRPr="00FD211F">
        <w:rPr>
          <w:sz w:val="36"/>
          <w:szCs w:val="36"/>
          <w:rtl/>
        </w:rPr>
        <w:t>وعدمه لخروجهما عن اختبار المستعمل</w:t>
      </w:r>
      <w:r w:rsidR="00603323" w:rsidRPr="00FD211F">
        <w:rPr>
          <w:sz w:val="36"/>
          <w:szCs w:val="36"/>
          <w:rtl/>
        </w:rPr>
        <w:t xml:space="preserve">، </w:t>
      </w:r>
      <w:r w:rsidR="00556BC0" w:rsidRPr="00FD211F">
        <w:rPr>
          <w:sz w:val="36"/>
          <w:szCs w:val="36"/>
          <w:rtl/>
        </w:rPr>
        <w:t>فلابد ان يكون الموضوع له هو قصد الإخبار.</w:t>
      </w:r>
      <w:r w:rsidR="009C58C8" w:rsidRPr="00FD211F">
        <w:rPr>
          <w:rStyle w:val="a6"/>
          <w:sz w:val="36"/>
          <w:szCs w:val="36"/>
          <w:rtl/>
        </w:rPr>
        <w:t>(</w:t>
      </w:r>
      <w:r w:rsidR="009C58C8" w:rsidRPr="00FD211F">
        <w:rPr>
          <w:rStyle w:val="a6"/>
          <w:sz w:val="36"/>
          <w:szCs w:val="36"/>
          <w:rtl/>
        </w:rPr>
        <w:footnoteReference w:id="191"/>
      </w:r>
      <w:r w:rsidR="009C58C8" w:rsidRPr="00FD211F">
        <w:rPr>
          <w:rStyle w:val="a6"/>
          <w:sz w:val="36"/>
          <w:szCs w:val="36"/>
          <w:rtl/>
        </w:rPr>
        <w:t>)</w:t>
      </w:r>
    </w:p>
    <w:p w14:paraId="4CFC66A1" w14:textId="77777777" w:rsidR="000C5BBA" w:rsidRPr="00FD211F" w:rsidRDefault="00253B84" w:rsidP="009C58C8">
      <w:pPr>
        <w:ind w:left="0" w:firstLine="227"/>
        <w:jc w:val="both"/>
        <w:rPr>
          <w:sz w:val="36"/>
          <w:szCs w:val="36"/>
          <w:rtl/>
        </w:rPr>
      </w:pPr>
      <w:r w:rsidRPr="00FD211F">
        <w:rPr>
          <w:sz w:val="36"/>
          <w:szCs w:val="36"/>
          <w:rtl/>
        </w:rPr>
        <w:t>وفيه</w:t>
      </w:r>
      <w:r w:rsidR="00556BC0" w:rsidRPr="00FD211F">
        <w:rPr>
          <w:sz w:val="36"/>
          <w:szCs w:val="36"/>
          <w:rtl/>
        </w:rPr>
        <w:t xml:space="preserve"> ان مسلك التعهد لايقتضي اكث</w:t>
      </w:r>
      <w:r w:rsidR="00A13414" w:rsidRPr="00FD211F">
        <w:rPr>
          <w:sz w:val="36"/>
          <w:szCs w:val="36"/>
          <w:rtl/>
        </w:rPr>
        <w:t>ر من التزام الواضع</w:t>
      </w:r>
      <w:r w:rsidR="00B253CE" w:rsidRPr="00FD211F">
        <w:rPr>
          <w:sz w:val="36"/>
          <w:szCs w:val="36"/>
          <w:rtl/>
        </w:rPr>
        <w:t xml:space="preserve"> </w:t>
      </w:r>
      <w:r w:rsidR="00A13414" w:rsidRPr="00FD211F">
        <w:rPr>
          <w:sz w:val="36"/>
          <w:szCs w:val="36"/>
          <w:rtl/>
        </w:rPr>
        <w:t>بانه لايتلفظ ب</w:t>
      </w:r>
      <w:r w:rsidR="00556BC0" w:rsidRPr="00FD211F">
        <w:rPr>
          <w:sz w:val="36"/>
          <w:szCs w:val="36"/>
          <w:rtl/>
        </w:rPr>
        <w:t>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 xml:space="preserve">ة </w:t>
      </w:r>
      <w:r w:rsidR="00556BC0" w:rsidRPr="00FD211F">
        <w:rPr>
          <w:sz w:val="36"/>
          <w:szCs w:val="36"/>
          <w:rtl/>
        </w:rPr>
        <w:t>الا اذا اراد تفهيم ثبوت النسب</w:t>
      </w:r>
      <w:r w:rsidR="00EC7EDF" w:rsidRPr="00FD211F">
        <w:rPr>
          <w:sz w:val="36"/>
          <w:szCs w:val="36"/>
          <w:rtl/>
        </w:rPr>
        <w:t xml:space="preserve">ة </w:t>
      </w:r>
      <w:r w:rsidR="00556BC0" w:rsidRPr="00FD211F">
        <w:rPr>
          <w:sz w:val="36"/>
          <w:szCs w:val="36"/>
          <w:rtl/>
        </w:rPr>
        <w:t>الخارجي</w:t>
      </w:r>
      <w:r w:rsidR="00EC7EDF" w:rsidRPr="00FD211F">
        <w:rPr>
          <w:sz w:val="36"/>
          <w:szCs w:val="36"/>
          <w:rtl/>
        </w:rPr>
        <w:t>ة</w:t>
      </w:r>
      <w:r w:rsidR="00603323" w:rsidRPr="00FD211F">
        <w:rPr>
          <w:sz w:val="36"/>
          <w:szCs w:val="36"/>
          <w:rtl/>
        </w:rPr>
        <w:t xml:space="preserve">، </w:t>
      </w:r>
      <w:r w:rsidR="00556BC0" w:rsidRPr="00FD211F">
        <w:rPr>
          <w:sz w:val="36"/>
          <w:szCs w:val="36"/>
          <w:rtl/>
        </w:rPr>
        <w:t>وقد مر منه</w:t>
      </w:r>
      <w:r w:rsidR="00A61BAE" w:rsidRPr="00FD211F">
        <w:rPr>
          <w:sz w:val="36"/>
          <w:szCs w:val="36"/>
          <w:rtl/>
        </w:rPr>
        <w:t xml:space="preserve"> </w:t>
      </w:r>
      <w:r w:rsidR="0032096C" w:rsidRPr="00FD211F">
        <w:rPr>
          <w:sz w:val="36"/>
          <w:szCs w:val="36"/>
          <w:rtl/>
        </w:rPr>
        <w:t>"</w:t>
      </w:r>
      <w:r w:rsidR="005D03BA" w:rsidRPr="00FD211F">
        <w:rPr>
          <w:sz w:val="36"/>
          <w:szCs w:val="36"/>
          <w:rtl/>
        </w:rPr>
        <w:t>قده</w:t>
      </w:r>
      <w:r w:rsidR="0032096C" w:rsidRPr="00FD211F">
        <w:rPr>
          <w:sz w:val="36"/>
          <w:szCs w:val="36"/>
          <w:rtl/>
        </w:rPr>
        <w:t>"</w:t>
      </w:r>
      <w:r w:rsidR="00A61BAE" w:rsidRPr="00FD211F">
        <w:rPr>
          <w:sz w:val="36"/>
          <w:szCs w:val="36"/>
          <w:rtl/>
        </w:rPr>
        <w:t xml:space="preserve"> </w:t>
      </w:r>
      <w:r w:rsidR="00556BC0" w:rsidRPr="00FD211F">
        <w:rPr>
          <w:sz w:val="36"/>
          <w:szCs w:val="36"/>
          <w:rtl/>
        </w:rPr>
        <w:t>ان اراد</w:t>
      </w:r>
      <w:r w:rsidR="00EC7EDF" w:rsidRPr="00FD211F">
        <w:rPr>
          <w:sz w:val="36"/>
          <w:szCs w:val="36"/>
          <w:rtl/>
        </w:rPr>
        <w:t xml:space="preserve">ة </w:t>
      </w:r>
      <w:r w:rsidR="00556BC0" w:rsidRPr="00FD211F">
        <w:rPr>
          <w:sz w:val="36"/>
          <w:szCs w:val="36"/>
          <w:rtl/>
        </w:rPr>
        <w:t>ال</w:t>
      </w:r>
      <w:r w:rsidR="003C2864" w:rsidRPr="00FD211F">
        <w:rPr>
          <w:sz w:val="36"/>
          <w:szCs w:val="36"/>
          <w:rtl/>
        </w:rPr>
        <w:t xml:space="preserve">تفهيم </w:t>
      </w:r>
      <w:r w:rsidR="00556BC0" w:rsidRPr="00FD211F">
        <w:rPr>
          <w:sz w:val="36"/>
          <w:szCs w:val="36"/>
          <w:rtl/>
        </w:rPr>
        <w:t>ليست داخل</w:t>
      </w:r>
      <w:r w:rsidR="00EC7EDF" w:rsidRPr="00FD211F">
        <w:rPr>
          <w:sz w:val="36"/>
          <w:szCs w:val="36"/>
          <w:rtl/>
        </w:rPr>
        <w:t xml:space="preserve">ة </w:t>
      </w:r>
      <w:r w:rsidR="00556BC0" w:rsidRPr="00FD211F">
        <w:rPr>
          <w:sz w:val="36"/>
          <w:szCs w:val="36"/>
          <w:rtl/>
        </w:rPr>
        <w:t>في المعنى الموضوع له</w:t>
      </w:r>
      <w:r w:rsidR="00EC7EDF" w:rsidRPr="00FD211F">
        <w:rPr>
          <w:sz w:val="36"/>
          <w:szCs w:val="36"/>
          <w:rtl/>
        </w:rPr>
        <w:t>.</w:t>
      </w:r>
    </w:p>
    <w:p w14:paraId="09FA02A3" w14:textId="77777777" w:rsidR="00556BC0" w:rsidRPr="00FD211F" w:rsidRDefault="00556BC0" w:rsidP="009C58C8">
      <w:pPr>
        <w:ind w:left="0" w:firstLine="227"/>
        <w:jc w:val="both"/>
        <w:rPr>
          <w:sz w:val="36"/>
          <w:szCs w:val="36"/>
          <w:rtl/>
        </w:rPr>
      </w:pPr>
      <w:r w:rsidRPr="00FD211F">
        <w:rPr>
          <w:sz w:val="36"/>
          <w:szCs w:val="36"/>
          <w:rtl/>
        </w:rPr>
        <w:t>ولو تم اشكاله في المقام لزم عدم وضع الألفاظ لذوات معانيها حتى في</w:t>
      </w:r>
      <w:r w:rsidR="00B57E29" w:rsidRPr="00FD211F">
        <w:rPr>
          <w:sz w:val="36"/>
          <w:szCs w:val="36"/>
          <w:rtl/>
        </w:rPr>
        <w:t xml:space="preserve"> الالفاظ</w:t>
      </w:r>
      <w:r w:rsidR="00B253CE" w:rsidRPr="00FD211F">
        <w:rPr>
          <w:sz w:val="36"/>
          <w:szCs w:val="36"/>
          <w:rtl/>
        </w:rPr>
        <w:t xml:space="preserve"> </w:t>
      </w:r>
      <w:r w:rsidR="00B57E29" w:rsidRPr="00FD211F">
        <w:rPr>
          <w:sz w:val="36"/>
          <w:szCs w:val="36"/>
          <w:rtl/>
        </w:rPr>
        <w:t>المفرد</w:t>
      </w:r>
      <w:r w:rsidR="00EC7EDF" w:rsidRPr="00FD211F">
        <w:rPr>
          <w:sz w:val="36"/>
          <w:szCs w:val="36"/>
          <w:rtl/>
        </w:rPr>
        <w:t>ة</w:t>
      </w:r>
      <w:r w:rsidR="00603323" w:rsidRPr="00FD211F">
        <w:rPr>
          <w:sz w:val="36"/>
          <w:szCs w:val="36"/>
          <w:rtl/>
        </w:rPr>
        <w:t xml:space="preserve">، </w:t>
      </w:r>
      <w:r w:rsidR="00A00E9C" w:rsidRPr="00FD211F">
        <w:rPr>
          <w:sz w:val="36"/>
          <w:szCs w:val="36"/>
          <w:rtl/>
        </w:rPr>
        <w:t xml:space="preserve">فكان لابد ان </w:t>
      </w:r>
      <w:r w:rsidRPr="00FD211F">
        <w:rPr>
          <w:sz w:val="36"/>
          <w:szCs w:val="36"/>
          <w:rtl/>
        </w:rPr>
        <w:t xml:space="preserve">يكون لفظ الماء </w:t>
      </w:r>
      <w:r w:rsidR="00B57E29" w:rsidRPr="00FD211F">
        <w:rPr>
          <w:sz w:val="36"/>
          <w:szCs w:val="36"/>
          <w:rtl/>
        </w:rPr>
        <w:t xml:space="preserve">مثلا </w:t>
      </w:r>
      <w:r w:rsidRPr="00FD211F">
        <w:rPr>
          <w:sz w:val="36"/>
          <w:szCs w:val="36"/>
          <w:rtl/>
        </w:rPr>
        <w:t>موضوعا لإراد</w:t>
      </w:r>
      <w:r w:rsidR="00EC7EDF" w:rsidRPr="00FD211F">
        <w:rPr>
          <w:sz w:val="36"/>
          <w:szCs w:val="36"/>
          <w:rtl/>
        </w:rPr>
        <w:t xml:space="preserve">ة </w:t>
      </w:r>
      <w:r w:rsidRPr="00FD211F">
        <w:rPr>
          <w:sz w:val="36"/>
          <w:szCs w:val="36"/>
          <w:rtl/>
        </w:rPr>
        <w:t>تفهيم معناه مع انه خل</w:t>
      </w:r>
      <w:r w:rsidR="005744AC" w:rsidRPr="00FD211F">
        <w:rPr>
          <w:sz w:val="36"/>
          <w:szCs w:val="36"/>
          <w:rtl/>
        </w:rPr>
        <w:t>اف الوجدان</w:t>
      </w:r>
      <w:r w:rsidR="00603323" w:rsidRPr="00FD211F">
        <w:rPr>
          <w:sz w:val="36"/>
          <w:szCs w:val="36"/>
          <w:rtl/>
        </w:rPr>
        <w:t xml:space="preserve">، </w:t>
      </w:r>
      <w:r w:rsidR="005744AC" w:rsidRPr="00FD211F">
        <w:rPr>
          <w:sz w:val="36"/>
          <w:szCs w:val="36"/>
          <w:rtl/>
        </w:rPr>
        <w:t>ولايتبادر من اللفظ</w:t>
      </w:r>
      <w:r w:rsidR="00603323" w:rsidRPr="00FD211F">
        <w:rPr>
          <w:sz w:val="36"/>
          <w:szCs w:val="36"/>
          <w:rtl/>
        </w:rPr>
        <w:t xml:space="preserve">، </w:t>
      </w:r>
      <w:r w:rsidRPr="00FD211F">
        <w:rPr>
          <w:sz w:val="36"/>
          <w:szCs w:val="36"/>
          <w:rtl/>
        </w:rPr>
        <w:t>كما انه لايتبادر قصد الإخبار من الجمل</w:t>
      </w:r>
      <w:r w:rsidR="00EC7EDF" w:rsidRPr="00FD211F">
        <w:rPr>
          <w:sz w:val="36"/>
          <w:szCs w:val="36"/>
          <w:rtl/>
        </w:rPr>
        <w:t xml:space="preserve">ة </w:t>
      </w:r>
      <w:r w:rsidRPr="00FD211F">
        <w:rPr>
          <w:sz w:val="36"/>
          <w:szCs w:val="36"/>
          <w:rtl/>
        </w:rPr>
        <w:t>الخبري</w:t>
      </w:r>
      <w:r w:rsidR="00EC7EDF" w:rsidRPr="00FD211F">
        <w:rPr>
          <w:sz w:val="36"/>
          <w:szCs w:val="36"/>
          <w:rtl/>
        </w:rPr>
        <w:t>ة</w:t>
      </w:r>
      <w:r w:rsidR="00A61BAE" w:rsidRPr="00FD211F">
        <w:rPr>
          <w:sz w:val="36"/>
          <w:szCs w:val="36"/>
          <w:rtl/>
        </w:rPr>
        <w:t>.</w:t>
      </w:r>
    </w:p>
    <w:p w14:paraId="5743DA04" w14:textId="77777777" w:rsidR="00556BC0" w:rsidRPr="00FD211F" w:rsidRDefault="005744AC" w:rsidP="009C58C8">
      <w:pPr>
        <w:ind w:left="0" w:firstLine="227"/>
        <w:jc w:val="both"/>
        <w:rPr>
          <w:sz w:val="36"/>
          <w:szCs w:val="36"/>
          <w:rtl/>
        </w:rPr>
      </w:pPr>
      <w:bookmarkStart w:id="215" w:name="درس089"/>
      <w:bookmarkEnd w:id="215"/>
      <w:r w:rsidRPr="00FD211F">
        <w:rPr>
          <w:sz w:val="36"/>
          <w:szCs w:val="36"/>
          <w:rtl/>
        </w:rPr>
        <w:t>4</w:t>
      </w:r>
      <w:r w:rsidR="00556BC0" w:rsidRPr="00FD211F">
        <w:rPr>
          <w:sz w:val="36"/>
          <w:szCs w:val="36"/>
          <w:rtl/>
        </w:rPr>
        <w:t>-</w:t>
      </w:r>
      <w:r w:rsidRPr="00FD211F">
        <w:rPr>
          <w:sz w:val="36"/>
          <w:szCs w:val="36"/>
          <w:rtl/>
        </w:rPr>
        <w:t>ماذكره ايضامن</w:t>
      </w:r>
      <w:r w:rsidR="00B253CE" w:rsidRPr="00FD211F">
        <w:rPr>
          <w:sz w:val="36"/>
          <w:szCs w:val="36"/>
          <w:rtl/>
        </w:rPr>
        <w:t xml:space="preserve"> </w:t>
      </w:r>
      <w:r w:rsidR="00556BC0" w:rsidRPr="00FD211F">
        <w:rPr>
          <w:sz w:val="36"/>
          <w:szCs w:val="36"/>
          <w:rtl/>
        </w:rPr>
        <w:t>ان دلال</w:t>
      </w:r>
      <w:r w:rsidR="00EC7EDF" w:rsidRPr="00FD211F">
        <w:rPr>
          <w:sz w:val="36"/>
          <w:szCs w:val="36"/>
          <w:rtl/>
        </w:rPr>
        <w:t xml:space="preserve">ة </w:t>
      </w:r>
      <w:r w:rsidR="00556BC0" w:rsidRPr="00FD211F">
        <w:rPr>
          <w:sz w:val="36"/>
          <w:szCs w:val="36"/>
          <w:rtl/>
        </w:rPr>
        <w:t>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 xml:space="preserve">ة </w:t>
      </w:r>
      <w:r w:rsidR="00556BC0" w:rsidRPr="00FD211F">
        <w:rPr>
          <w:sz w:val="36"/>
          <w:szCs w:val="36"/>
          <w:rtl/>
        </w:rPr>
        <w:t>لما كانت تصديقي</w:t>
      </w:r>
      <w:r w:rsidR="00EC7EDF" w:rsidRPr="00FD211F">
        <w:rPr>
          <w:sz w:val="36"/>
          <w:szCs w:val="36"/>
          <w:rtl/>
        </w:rPr>
        <w:t xml:space="preserve">ة </w:t>
      </w:r>
      <w:r w:rsidR="00556BC0" w:rsidRPr="00FD211F">
        <w:rPr>
          <w:sz w:val="36"/>
          <w:szCs w:val="36"/>
          <w:rtl/>
        </w:rPr>
        <w:t>لاتصوري</w:t>
      </w:r>
      <w:r w:rsidR="00EC7EDF" w:rsidRPr="00FD211F">
        <w:rPr>
          <w:sz w:val="36"/>
          <w:szCs w:val="36"/>
          <w:rtl/>
        </w:rPr>
        <w:t xml:space="preserve">ة </w:t>
      </w:r>
      <w:r w:rsidR="00556BC0" w:rsidRPr="00FD211F">
        <w:rPr>
          <w:sz w:val="36"/>
          <w:szCs w:val="36"/>
          <w:rtl/>
        </w:rPr>
        <w:t>فلابد ان يحصل</w:t>
      </w:r>
      <w:r w:rsidR="003C2864" w:rsidRPr="00FD211F">
        <w:rPr>
          <w:sz w:val="36"/>
          <w:szCs w:val="36"/>
          <w:rtl/>
        </w:rPr>
        <w:t xml:space="preserve"> للسامع</w:t>
      </w:r>
      <w:r w:rsidR="00B253CE" w:rsidRPr="00FD211F">
        <w:rPr>
          <w:sz w:val="36"/>
          <w:szCs w:val="36"/>
          <w:rtl/>
        </w:rPr>
        <w:t xml:space="preserve"> </w:t>
      </w:r>
      <w:r w:rsidR="00556BC0" w:rsidRPr="00FD211F">
        <w:rPr>
          <w:sz w:val="36"/>
          <w:szCs w:val="36"/>
          <w:rtl/>
        </w:rPr>
        <w:t>التصديق بمفادها بمجرد سماعها</w:t>
      </w:r>
      <w:r w:rsidR="00603323" w:rsidRPr="00FD211F">
        <w:rPr>
          <w:sz w:val="36"/>
          <w:szCs w:val="36"/>
          <w:rtl/>
        </w:rPr>
        <w:t xml:space="preserve">، </w:t>
      </w:r>
      <w:r w:rsidR="00556BC0" w:rsidRPr="00FD211F">
        <w:rPr>
          <w:sz w:val="36"/>
          <w:szCs w:val="36"/>
          <w:rtl/>
        </w:rPr>
        <w:t>والا</w:t>
      </w:r>
      <w:r w:rsidR="008D7B3D" w:rsidRPr="00FD211F">
        <w:rPr>
          <w:sz w:val="36"/>
          <w:szCs w:val="36"/>
          <w:rtl/>
        </w:rPr>
        <w:t xml:space="preserve"> لم‌</w:t>
      </w:r>
      <w:r w:rsidR="00556BC0" w:rsidRPr="00FD211F">
        <w:rPr>
          <w:sz w:val="36"/>
          <w:szCs w:val="36"/>
          <w:rtl/>
        </w:rPr>
        <w:t>تحصل نتيج</w:t>
      </w:r>
      <w:r w:rsidR="00EC7EDF" w:rsidRPr="00FD211F">
        <w:rPr>
          <w:sz w:val="36"/>
          <w:szCs w:val="36"/>
          <w:rtl/>
        </w:rPr>
        <w:t xml:space="preserve">ة </w:t>
      </w:r>
      <w:r w:rsidR="00556BC0" w:rsidRPr="00FD211F">
        <w:rPr>
          <w:sz w:val="36"/>
          <w:szCs w:val="36"/>
          <w:rtl/>
        </w:rPr>
        <w:t>الوضع فيصير لغوا بعد ان كان الوضع بغرض تصديق السامع بمفادها</w:t>
      </w:r>
      <w:r w:rsidR="00603323" w:rsidRPr="00FD211F">
        <w:rPr>
          <w:sz w:val="36"/>
          <w:szCs w:val="36"/>
          <w:rtl/>
        </w:rPr>
        <w:t xml:space="preserve">، </w:t>
      </w:r>
      <w:r w:rsidR="00556BC0" w:rsidRPr="00FD211F">
        <w:rPr>
          <w:sz w:val="36"/>
          <w:szCs w:val="36"/>
          <w:rtl/>
        </w:rPr>
        <w:t>وحيث انه لاريب في عدم تصديق السامع لثبوت النسب</w:t>
      </w:r>
      <w:r w:rsidR="00EC7EDF" w:rsidRPr="00FD211F">
        <w:rPr>
          <w:sz w:val="36"/>
          <w:szCs w:val="36"/>
          <w:rtl/>
        </w:rPr>
        <w:t xml:space="preserve">ة </w:t>
      </w:r>
      <w:r w:rsidR="00556BC0" w:rsidRPr="00FD211F">
        <w:rPr>
          <w:sz w:val="36"/>
          <w:szCs w:val="36"/>
          <w:rtl/>
        </w:rPr>
        <w:t>الخارجي</w:t>
      </w:r>
      <w:r w:rsidR="00EC7EDF" w:rsidRPr="00FD211F">
        <w:rPr>
          <w:sz w:val="36"/>
          <w:szCs w:val="36"/>
          <w:rtl/>
        </w:rPr>
        <w:t xml:space="preserve">ة </w:t>
      </w:r>
      <w:r w:rsidR="00556BC0" w:rsidRPr="00FD211F">
        <w:rPr>
          <w:sz w:val="36"/>
          <w:szCs w:val="36"/>
          <w:rtl/>
        </w:rPr>
        <w:t>بمجرد سماع 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 xml:space="preserve">ة </w:t>
      </w:r>
      <w:r w:rsidR="00556BC0" w:rsidRPr="00FD211F">
        <w:rPr>
          <w:sz w:val="36"/>
          <w:szCs w:val="36"/>
          <w:rtl/>
        </w:rPr>
        <w:t xml:space="preserve">من المتكلم لاعلما ولاظنا </w:t>
      </w:r>
      <w:r w:rsidR="003C2864" w:rsidRPr="00FD211F">
        <w:rPr>
          <w:sz w:val="36"/>
          <w:szCs w:val="36"/>
          <w:rtl/>
        </w:rPr>
        <w:t>مالم يكن ثق</w:t>
      </w:r>
      <w:r w:rsidR="00EC7EDF" w:rsidRPr="00FD211F">
        <w:rPr>
          <w:sz w:val="36"/>
          <w:szCs w:val="36"/>
          <w:rtl/>
        </w:rPr>
        <w:t xml:space="preserve">ة </w:t>
      </w:r>
      <w:r w:rsidR="003C2864" w:rsidRPr="00FD211F">
        <w:rPr>
          <w:sz w:val="36"/>
          <w:szCs w:val="36"/>
          <w:rtl/>
        </w:rPr>
        <w:t>يوجب قوله العلم</w:t>
      </w:r>
      <w:r w:rsidR="00556BC0" w:rsidRPr="00FD211F">
        <w:rPr>
          <w:sz w:val="36"/>
          <w:szCs w:val="36"/>
          <w:rtl/>
        </w:rPr>
        <w:t xml:space="preserve"> او الظن</w:t>
      </w:r>
      <w:r w:rsidR="00603323" w:rsidRPr="00FD211F">
        <w:rPr>
          <w:sz w:val="36"/>
          <w:szCs w:val="36"/>
          <w:rtl/>
        </w:rPr>
        <w:t xml:space="preserve">، </w:t>
      </w:r>
      <w:r w:rsidR="00556BC0" w:rsidRPr="00FD211F">
        <w:rPr>
          <w:sz w:val="36"/>
          <w:szCs w:val="36"/>
          <w:rtl/>
        </w:rPr>
        <w:t>فلابد ان يكون معنى 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 xml:space="preserve">ة </w:t>
      </w:r>
      <w:r w:rsidR="00556BC0" w:rsidRPr="00FD211F">
        <w:rPr>
          <w:sz w:val="36"/>
          <w:szCs w:val="36"/>
          <w:rtl/>
        </w:rPr>
        <w:t>قصد الإخب</w:t>
      </w:r>
      <w:r w:rsidR="00F55A6F" w:rsidRPr="00FD211F">
        <w:rPr>
          <w:sz w:val="36"/>
          <w:szCs w:val="36"/>
          <w:rtl/>
        </w:rPr>
        <w:t>ار عن ثبوت النسب</w:t>
      </w:r>
      <w:r w:rsidR="00EC7EDF" w:rsidRPr="00FD211F">
        <w:rPr>
          <w:sz w:val="36"/>
          <w:szCs w:val="36"/>
          <w:rtl/>
        </w:rPr>
        <w:t xml:space="preserve">ة </w:t>
      </w:r>
      <w:r w:rsidR="00F55A6F" w:rsidRPr="00FD211F">
        <w:rPr>
          <w:sz w:val="36"/>
          <w:szCs w:val="36"/>
          <w:rtl/>
        </w:rPr>
        <w:t>الخارجي</w:t>
      </w:r>
      <w:r w:rsidR="00EC7EDF" w:rsidRPr="00FD211F">
        <w:rPr>
          <w:sz w:val="36"/>
          <w:szCs w:val="36"/>
          <w:rtl/>
        </w:rPr>
        <w:t>ة</w:t>
      </w:r>
      <w:r w:rsidR="00603323" w:rsidRPr="00FD211F">
        <w:rPr>
          <w:sz w:val="36"/>
          <w:szCs w:val="36"/>
          <w:rtl/>
        </w:rPr>
        <w:t xml:space="preserve">، </w:t>
      </w:r>
      <w:r w:rsidR="00F55A6F" w:rsidRPr="00FD211F">
        <w:rPr>
          <w:sz w:val="36"/>
          <w:szCs w:val="36"/>
          <w:rtl/>
        </w:rPr>
        <w:t>وقصد المتكلم للإخبار</w:t>
      </w:r>
      <w:r w:rsidR="00556BC0" w:rsidRPr="00FD211F">
        <w:rPr>
          <w:sz w:val="36"/>
          <w:szCs w:val="36"/>
          <w:rtl/>
        </w:rPr>
        <w:t xml:space="preserve">مما يحصل التصديق به </w:t>
      </w:r>
      <w:r w:rsidR="00F55A6F" w:rsidRPr="00FD211F">
        <w:rPr>
          <w:sz w:val="36"/>
          <w:szCs w:val="36"/>
          <w:rtl/>
        </w:rPr>
        <w:t xml:space="preserve">للسامع </w:t>
      </w:r>
      <w:r w:rsidR="00556BC0" w:rsidRPr="00FD211F">
        <w:rPr>
          <w:sz w:val="36"/>
          <w:szCs w:val="36"/>
          <w:rtl/>
        </w:rPr>
        <w:t>ولو</w:t>
      </w:r>
      <w:r w:rsidR="00F55A6F" w:rsidRPr="00FD211F">
        <w:rPr>
          <w:sz w:val="36"/>
          <w:szCs w:val="36"/>
          <w:rtl/>
        </w:rPr>
        <w:t>تصديقا</w:t>
      </w:r>
      <w:r w:rsidR="002B1EA9" w:rsidRPr="00FD211F">
        <w:rPr>
          <w:sz w:val="36"/>
          <w:szCs w:val="36"/>
          <w:rtl/>
        </w:rPr>
        <w:t xml:space="preserve"> </w:t>
      </w:r>
      <w:r w:rsidR="00556BC0" w:rsidRPr="00FD211F">
        <w:rPr>
          <w:sz w:val="36"/>
          <w:szCs w:val="36"/>
          <w:rtl/>
        </w:rPr>
        <w:t>ظن</w:t>
      </w:r>
      <w:r w:rsidR="00F55A6F" w:rsidRPr="00FD211F">
        <w:rPr>
          <w:sz w:val="36"/>
          <w:szCs w:val="36"/>
          <w:rtl/>
        </w:rPr>
        <w:t>يا</w:t>
      </w:r>
      <w:r w:rsidR="002B1EA9" w:rsidRPr="00FD211F">
        <w:rPr>
          <w:sz w:val="36"/>
          <w:szCs w:val="36"/>
          <w:rtl/>
        </w:rPr>
        <w:t xml:space="preserve"> </w:t>
      </w:r>
      <w:r w:rsidR="00F55A6F" w:rsidRPr="00FD211F">
        <w:rPr>
          <w:sz w:val="36"/>
          <w:szCs w:val="36"/>
          <w:rtl/>
        </w:rPr>
        <w:t xml:space="preserve">بمجرد </w:t>
      </w:r>
      <w:r w:rsidR="00556BC0" w:rsidRPr="00FD211F">
        <w:rPr>
          <w:sz w:val="36"/>
          <w:szCs w:val="36"/>
          <w:rtl/>
        </w:rPr>
        <w:t>سماع</w:t>
      </w:r>
      <w:r w:rsidR="00F55A6F" w:rsidRPr="00FD211F">
        <w:rPr>
          <w:sz w:val="36"/>
          <w:szCs w:val="36"/>
          <w:rtl/>
        </w:rPr>
        <w:t xml:space="preserve"> الجمل</w:t>
      </w:r>
      <w:r w:rsidR="00EC7EDF" w:rsidRPr="00FD211F">
        <w:rPr>
          <w:sz w:val="36"/>
          <w:szCs w:val="36"/>
          <w:rtl/>
        </w:rPr>
        <w:t xml:space="preserve">ة </w:t>
      </w:r>
      <w:r w:rsidR="00F55A6F" w:rsidRPr="00FD211F">
        <w:rPr>
          <w:sz w:val="36"/>
          <w:szCs w:val="36"/>
          <w:rtl/>
        </w:rPr>
        <w:t>الخبري</w:t>
      </w:r>
      <w:r w:rsidR="00EC7EDF" w:rsidRPr="00FD211F">
        <w:rPr>
          <w:sz w:val="36"/>
          <w:szCs w:val="36"/>
          <w:rtl/>
        </w:rPr>
        <w:t>ة</w:t>
      </w:r>
      <w:r w:rsidR="00A61BAE" w:rsidRPr="00FD211F">
        <w:rPr>
          <w:sz w:val="36"/>
          <w:szCs w:val="36"/>
          <w:rtl/>
        </w:rPr>
        <w:t>.</w:t>
      </w:r>
      <w:r w:rsidR="009C58C8" w:rsidRPr="00FD211F">
        <w:rPr>
          <w:rStyle w:val="a6"/>
          <w:sz w:val="36"/>
          <w:szCs w:val="36"/>
          <w:rtl/>
        </w:rPr>
        <w:t>(</w:t>
      </w:r>
      <w:r w:rsidR="009C58C8" w:rsidRPr="00FD211F">
        <w:rPr>
          <w:rStyle w:val="a6"/>
          <w:sz w:val="36"/>
          <w:szCs w:val="36"/>
          <w:rtl/>
        </w:rPr>
        <w:footnoteReference w:id="192"/>
      </w:r>
      <w:r w:rsidR="009C58C8" w:rsidRPr="00FD211F">
        <w:rPr>
          <w:rStyle w:val="a6"/>
          <w:sz w:val="36"/>
          <w:szCs w:val="36"/>
          <w:rtl/>
        </w:rPr>
        <w:t>)</w:t>
      </w:r>
    </w:p>
    <w:p w14:paraId="610FAB23" w14:textId="77777777" w:rsidR="003961B6" w:rsidRPr="00FD211F" w:rsidRDefault="00556BC0" w:rsidP="009C58C8">
      <w:pPr>
        <w:ind w:left="0" w:firstLine="227"/>
        <w:jc w:val="both"/>
        <w:rPr>
          <w:sz w:val="36"/>
          <w:szCs w:val="36"/>
          <w:rtl/>
        </w:rPr>
      </w:pPr>
      <w:r w:rsidRPr="00FD211F">
        <w:rPr>
          <w:sz w:val="36"/>
          <w:szCs w:val="36"/>
          <w:rtl/>
        </w:rPr>
        <w:t>وفيه: ان المراد من كون دلال</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تصديقي</w:t>
      </w:r>
      <w:r w:rsidR="00EC7EDF" w:rsidRPr="00FD211F">
        <w:rPr>
          <w:sz w:val="36"/>
          <w:szCs w:val="36"/>
          <w:rtl/>
        </w:rPr>
        <w:t xml:space="preserve">ة </w:t>
      </w:r>
      <w:r w:rsidRPr="00FD211F">
        <w:rPr>
          <w:sz w:val="36"/>
          <w:szCs w:val="36"/>
          <w:rtl/>
        </w:rPr>
        <w:t>هو ان مدلولها تحقق النسب</w:t>
      </w:r>
      <w:r w:rsidR="00EC7EDF" w:rsidRPr="00FD211F">
        <w:rPr>
          <w:sz w:val="36"/>
          <w:szCs w:val="36"/>
          <w:rtl/>
        </w:rPr>
        <w:t xml:space="preserve">ة </w:t>
      </w:r>
      <w:r w:rsidRPr="00FD211F">
        <w:rPr>
          <w:sz w:val="36"/>
          <w:szCs w:val="36"/>
          <w:rtl/>
        </w:rPr>
        <w:t>بين الموضوع والمحمول خارجا</w:t>
      </w:r>
      <w:r w:rsidR="00603323" w:rsidRPr="00FD211F">
        <w:rPr>
          <w:sz w:val="36"/>
          <w:szCs w:val="36"/>
          <w:rtl/>
        </w:rPr>
        <w:t xml:space="preserve">، </w:t>
      </w:r>
      <w:r w:rsidRPr="00FD211F">
        <w:rPr>
          <w:sz w:val="36"/>
          <w:szCs w:val="36"/>
          <w:rtl/>
        </w:rPr>
        <w:t>حتى لو صدر</w:t>
      </w:r>
      <w:r w:rsidR="00526C9C" w:rsidRPr="00FD211F">
        <w:rPr>
          <w:sz w:val="36"/>
          <w:szCs w:val="36"/>
          <w:rtl/>
        </w:rPr>
        <w:t>ت</w:t>
      </w:r>
      <w:r w:rsidRPr="00FD211F">
        <w:rPr>
          <w:sz w:val="36"/>
          <w:szCs w:val="36"/>
          <w:rtl/>
        </w:rPr>
        <w:t xml:space="preserve"> هذه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من متكلم غير ملتفت كالنائم</w:t>
      </w:r>
      <w:r w:rsidR="00603323" w:rsidRPr="00FD211F">
        <w:rPr>
          <w:sz w:val="36"/>
          <w:szCs w:val="36"/>
          <w:rtl/>
        </w:rPr>
        <w:t xml:space="preserve">، </w:t>
      </w:r>
      <w:r w:rsidRPr="00FD211F">
        <w:rPr>
          <w:sz w:val="36"/>
          <w:szCs w:val="36"/>
          <w:rtl/>
        </w:rPr>
        <w:t>يعني هذه الجمل</w:t>
      </w:r>
      <w:r w:rsidR="00EC7EDF" w:rsidRPr="00FD211F">
        <w:rPr>
          <w:sz w:val="36"/>
          <w:szCs w:val="36"/>
          <w:rtl/>
        </w:rPr>
        <w:t xml:space="preserve">ة </w:t>
      </w:r>
      <w:r w:rsidRPr="00FD211F">
        <w:rPr>
          <w:sz w:val="36"/>
          <w:szCs w:val="36"/>
          <w:rtl/>
        </w:rPr>
        <w:t>جعلت علام</w:t>
      </w:r>
      <w:r w:rsidR="00EC7EDF" w:rsidRPr="00FD211F">
        <w:rPr>
          <w:sz w:val="36"/>
          <w:szCs w:val="36"/>
          <w:rtl/>
        </w:rPr>
        <w:t xml:space="preserve">ة </w:t>
      </w:r>
      <w:r w:rsidRPr="00FD211F">
        <w:rPr>
          <w:sz w:val="36"/>
          <w:szCs w:val="36"/>
          <w:rtl/>
        </w:rPr>
        <w:t>على تحقق النسب</w:t>
      </w:r>
      <w:r w:rsidR="00EC7EDF" w:rsidRPr="00FD211F">
        <w:rPr>
          <w:sz w:val="36"/>
          <w:szCs w:val="36"/>
          <w:rtl/>
        </w:rPr>
        <w:t xml:space="preserve">ة </w:t>
      </w:r>
      <w:r w:rsidRPr="00FD211F">
        <w:rPr>
          <w:sz w:val="36"/>
          <w:szCs w:val="36"/>
          <w:rtl/>
        </w:rPr>
        <w:t>الخارجي</w:t>
      </w:r>
      <w:r w:rsidR="00EC7EDF" w:rsidRPr="00FD211F">
        <w:rPr>
          <w:sz w:val="36"/>
          <w:szCs w:val="36"/>
          <w:rtl/>
        </w:rPr>
        <w:t xml:space="preserve">ة </w:t>
      </w:r>
      <w:r w:rsidRPr="00FD211F">
        <w:rPr>
          <w:sz w:val="36"/>
          <w:szCs w:val="36"/>
          <w:rtl/>
        </w:rPr>
        <w:t>بحيث لو قصد تفهيمها أبرز بها</w:t>
      </w:r>
      <w:r w:rsidR="003961B6" w:rsidRPr="00FD211F">
        <w:rPr>
          <w:sz w:val="36"/>
          <w:szCs w:val="36"/>
          <w:rtl/>
        </w:rPr>
        <w:t>.</w:t>
      </w:r>
    </w:p>
    <w:p w14:paraId="312535D5" w14:textId="77777777" w:rsidR="000C5BBA" w:rsidRPr="00FD211F" w:rsidRDefault="00556BC0" w:rsidP="009C58C8">
      <w:pPr>
        <w:ind w:left="0" w:firstLine="227"/>
        <w:jc w:val="both"/>
        <w:rPr>
          <w:sz w:val="36"/>
          <w:szCs w:val="36"/>
          <w:rtl/>
        </w:rPr>
      </w:pPr>
      <w:r w:rsidRPr="00FD211F">
        <w:rPr>
          <w:sz w:val="36"/>
          <w:szCs w:val="36"/>
          <w:rtl/>
        </w:rPr>
        <w:t>هذا وقد اورد عليه في البحوث بانه بناء على مسلك التعهد فالدلال</w:t>
      </w:r>
      <w:r w:rsidR="00EC7EDF" w:rsidRPr="00FD211F">
        <w:rPr>
          <w:sz w:val="36"/>
          <w:szCs w:val="36"/>
          <w:rtl/>
        </w:rPr>
        <w:t xml:space="preserve">ة </w:t>
      </w:r>
      <w:r w:rsidRPr="00FD211F">
        <w:rPr>
          <w:sz w:val="36"/>
          <w:szCs w:val="36"/>
          <w:rtl/>
        </w:rPr>
        <w:t>تصديقي</w:t>
      </w:r>
      <w:r w:rsidR="00EC7EDF" w:rsidRPr="00FD211F">
        <w:rPr>
          <w:sz w:val="36"/>
          <w:szCs w:val="36"/>
          <w:rtl/>
        </w:rPr>
        <w:t xml:space="preserve">ة </w:t>
      </w:r>
      <w:r w:rsidRPr="00FD211F">
        <w:rPr>
          <w:sz w:val="36"/>
          <w:szCs w:val="36"/>
          <w:rtl/>
        </w:rPr>
        <w:t>دائما حتى في الألفا</w:t>
      </w:r>
      <w:r w:rsidR="00B57E29" w:rsidRPr="00FD211F">
        <w:rPr>
          <w:sz w:val="36"/>
          <w:szCs w:val="36"/>
          <w:rtl/>
        </w:rPr>
        <w:t>ظ المفرد</w:t>
      </w:r>
      <w:r w:rsidR="00EC7EDF" w:rsidRPr="00FD211F">
        <w:rPr>
          <w:sz w:val="36"/>
          <w:szCs w:val="36"/>
          <w:rtl/>
        </w:rPr>
        <w:t xml:space="preserve">ة </w:t>
      </w:r>
      <w:r w:rsidR="00B57E29" w:rsidRPr="00FD211F">
        <w:rPr>
          <w:sz w:val="36"/>
          <w:szCs w:val="36"/>
          <w:rtl/>
        </w:rPr>
        <w:t>بلحاظ انها تدل على قصد</w:t>
      </w:r>
      <w:r w:rsidRPr="00FD211F">
        <w:rPr>
          <w:sz w:val="36"/>
          <w:szCs w:val="36"/>
          <w:rtl/>
        </w:rPr>
        <w:t xml:space="preserve"> تفهيم المعنى</w:t>
      </w:r>
      <w:r w:rsidR="00603323" w:rsidRPr="00FD211F">
        <w:rPr>
          <w:sz w:val="36"/>
          <w:szCs w:val="36"/>
          <w:rtl/>
        </w:rPr>
        <w:t xml:space="preserve">، </w:t>
      </w:r>
      <w:r w:rsidRPr="00FD211F">
        <w:rPr>
          <w:sz w:val="36"/>
          <w:szCs w:val="36"/>
          <w:rtl/>
        </w:rPr>
        <w:t>غاي</w:t>
      </w:r>
      <w:r w:rsidR="00440E5F" w:rsidRPr="00FD211F">
        <w:rPr>
          <w:sz w:val="36"/>
          <w:szCs w:val="36"/>
          <w:rtl/>
        </w:rPr>
        <w:t xml:space="preserve">ته ان المشهور يلتزمون هنا بان مدلول </w:t>
      </w:r>
      <w:r w:rsidRPr="00FD211F">
        <w:rPr>
          <w:sz w:val="36"/>
          <w:szCs w:val="36"/>
          <w:rtl/>
        </w:rPr>
        <w:t>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هو قصد اخطار النسب</w:t>
      </w:r>
      <w:r w:rsidR="00EC7EDF" w:rsidRPr="00FD211F">
        <w:rPr>
          <w:sz w:val="36"/>
          <w:szCs w:val="36"/>
          <w:rtl/>
        </w:rPr>
        <w:t xml:space="preserve">ة </w:t>
      </w:r>
      <w:r w:rsidRPr="00FD211F">
        <w:rPr>
          <w:sz w:val="36"/>
          <w:szCs w:val="36"/>
          <w:rtl/>
        </w:rPr>
        <w:t>في ذهن المخاطب</w:t>
      </w:r>
      <w:r w:rsidR="00603323" w:rsidRPr="00FD211F">
        <w:rPr>
          <w:sz w:val="36"/>
          <w:szCs w:val="36"/>
          <w:rtl/>
        </w:rPr>
        <w:t xml:space="preserve">، </w:t>
      </w:r>
      <w:r w:rsidRPr="00FD211F">
        <w:rPr>
          <w:sz w:val="36"/>
          <w:szCs w:val="36"/>
          <w:rtl/>
        </w:rPr>
        <w:t>ويكون قصد الإخبار عنها مستفادا من الظهور الحالي العقلائي</w:t>
      </w:r>
      <w:r w:rsidR="00603323" w:rsidRPr="00FD211F">
        <w:rPr>
          <w:sz w:val="36"/>
          <w:szCs w:val="36"/>
          <w:rtl/>
        </w:rPr>
        <w:t xml:space="preserve">، </w:t>
      </w:r>
      <w:r w:rsidRPr="00FD211F">
        <w:rPr>
          <w:sz w:val="36"/>
          <w:szCs w:val="36"/>
          <w:rtl/>
        </w:rPr>
        <w:t xml:space="preserve">بينما </w:t>
      </w:r>
      <w:r w:rsidR="00440E5F" w:rsidRPr="00FD211F">
        <w:rPr>
          <w:sz w:val="36"/>
          <w:szCs w:val="36"/>
          <w:rtl/>
        </w:rPr>
        <w:t xml:space="preserve">أن السيد الخوئي </w:t>
      </w:r>
      <w:r w:rsidR="00AB1B12" w:rsidRPr="00FD211F">
        <w:rPr>
          <w:sz w:val="36"/>
          <w:szCs w:val="36"/>
          <w:rtl/>
        </w:rPr>
        <w:t>"</w:t>
      </w:r>
      <w:r w:rsidR="00440E5F" w:rsidRPr="00FD211F">
        <w:rPr>
          <w:sz w:val="36"/>
          <w:szCs w:val="36"/>
          <w:rtl/>
        </w:rPr>
        <w:t>قده</w:t>
      </w:r>
      <w:r w:rsidR="00AB1B12" w:rsidRPr="00FD211F">
        <w:rPr>
          <w:sz w:val="36"/>
          <w:szCs w:val="36"/>
          <w:rtl/>
        </w:rPr>
        <w:t>"</w:t>
      </w:r>
      <w:r w:rsidR="00440E5F" w:rsidRPr="00FD211F">
        <w:rPr>
          <w:sz w:val="36"/>
          <w:szCs w:val="36"/>
          <w:rtl/>
        </w:rPr>
        <w:t xml:space="preserve"> يدعي ان </w:t>
      </w:r>
      <w:r w:rsidRPr="00FD211F">
        <w:rPr>
          <w:sz w:val="36"/>
          <w:szCs w:val="36"/>
          <w:rtl/>
        </w:rPr>
        <w:t xml:space="preserve">مدلول </w:t>
      </w:r>
      <w:r w:rsidR="00440E5F" w:rsidRPr="00FD211F">
        <w:rPr>
          <w:sz w:val="36"/>
          <w:szCs w:val="36"/>
          <w:rtl/>
        </w:rPr>
        <w:t>الجمل</w:t>
      </w:r>
      <w:r w:rsidR="00EC7EDF" w:rsidRPr="00FD211F">
        <w:rPr>
          <w:sz w:val="36"/>
          <w:szCs w:val="36"/>
          <w:rtl/>
        </w:rPr>
        <w:t xml:space="preserve">ة </w:t>
      </w:r>
      <w:r w:rsidR="00440E5F" w:rsidRPr="00FD211F">
        <w:rPr>
          <w:sz w:val="36"/>
          <w:szCs w:val="36"/>
          <w:rtl/>
        </w:rPr>
        <w:t>الخبري</w:t>
      </w:r>
      <w:r w:rsidR="00EC7EDF" w:rsidRPr="00FD211F">
        <w:rPr>
          <w:sz w:val="36"/>
          <w:szCs w:val="36"/>
          <w:rtl/>
        </w:rPr>
        <w:t xml:space="preserve">ة </w:t>
      </w:r>
      <w:r w:rsidR="00440E5F" w:rsidRPr="00FD211F">
        <w:rPr>
          <w:sz w:val="36"/>
          <w:szCs w:val="36"/>
          <w:rtl/>
        </w:rPr>
        <w:t>هو قصد الإخبار.</w:t>
      </w:r>
    </w:p>
    <w:p w14:paraId="7B8EF73B" w14:textId="77777777" w:rsidR="00F55A6F" w:rsidRPr="00FD211F" w:rsidRDefault="00440E5F" w:rsidP="009C58C8">
      <w:pPr>
        <w:ind w:left="0" w:firstLine="227"/>
        <w:jc w:val="both"/>
        <w:rPr>
          <w:sz w:val="36"/>
          <w:szCs w:val="36"/>
          <w:rtl/>
        </w:rPr>
      </w:pPr>
      <w:r w:rsidRPr="00FD211F">
        <w:rPr>
          <w:sz w:val="36"/>
          <w:szCs w:val="36"/>
          <w:rtl/>
        </w:rPr>
        <w:t>وأما بناء على سائر المسالك في تفسير حقيق</w:t>
      </w:r>
      <w:r w:rsidR="00EC7EDF" w:rsidRPr="00FD211F">
        <w:rPr>
          <w:sz w:val="36"/>
          <w:szCs w:val="36"/>
          <w:rtl/>
        </w:rPr>
        <w:t xml:space="preserve">ة </w:t>
      </w:r>
      <w:r w:rsidRPr="00FD211F">
        <w:rPr>
          <w:sz w:val="36"/>
          <w:szCs w:val="36"/>
          <w:rtl/>
        </w:rPr>
        <w:t>الوضع</w:t>
      </w:r>
      <w:r w:rsidR="00B253CE" w:rsidRPr="00FD211F">
        <w:rPr>
          <w:sz w:val="36"/>
          <w:szCs w:val="36"/>
          <w:rtl/>
        </w:rPr>
        <w:t xml:space="preserve"> </w:t>
      </w:r>
      <w:r w:rsidR="00526C9C" w:rsidRPr="00FD211F">
        <w:rPr>
          <w:sz w:val="36"/>
          <w:szCs w:val="36"/>
          <w:rtl/>
        </w:rPr>
        <w:t>فالدلال</w:t>
      </w:r>
      <w:r w:rsidR="00EC7EDF" w:rsidRPr="00FD211F">
        <w:rPr>
          <w:sz w:val="36"/>
          <w:szCs w:val="36"/>
          <w:rtl/>
        </w:rPr>
        <w:t xml:space="preserve">ة </w:t>
      </w:r>
      <w:r w:rsidR="00526C9C" w:rsidRPr="00FD211F">
        <w:rPr>
          <w:sz w:val="36"/>
          <w:szCs w:val="36"/>
          <w:rtl/>
        </w:rPr>
        <w:t>الوضعي</w:t>
      </w:r>
      <w:r w:rsidR="00EC7EDF" w:rsidRPr="00FD211F">
        <w:rPr>
          <w:sz w:val="36"/>
          <w:szCs w:val="36"/>
          <w:rtl/>
        </w:rPr>
        <w:t xml:space="preserve">ة </w:t>
      </w:r>
      <w:r w:rsidR="00526C9C" w:rsidRPr="00FD211F">
        <w:rPr>
          <w:sz w:val="36"/>
          <w:szCs w:val="36"/>
          <w:rtl/>
        </w:rPr>
        <w:t>تصوري</w:t>
      </w:r>
      <w:r w:rsidR="00EC7EDF" w:rsidRPr="00FD211F">
        <w:rPr>
          <w:sz w:val="36"/>
          <w:szCs w:val="36"/>
          <w:rtl/>
        </w:rPr>
        <w:t xml:space="preserve">ة </w:t>
      </w:r>
      <w:r w:rsidR="00526C9C" w:rsidRPr="00FD211F">
        <w:rPr>
          <w:sz w:val="36"/>
          <w:szCs w:val="36"/>
          <w:rtl/>
        </w:rPr>
        <w:t>دائما</w:t>
      </w:r>
      <w:r w:rsidR="00556BC0" w:rsidRPr="00FD211F">
        <w:rPr>
          <w:sz w:val="36"/>
          <w:szCs w:val="36"/>
          <w:rtl/>
        </w:rPr>
        <w:t xml:space="preserve"> حتى في 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ة</w:t>
      </w:r>
      <w:r w:rsidR="00603323" w:rsidRPr="00FD211F">
        <w:rPr>
          <w:sz w:val="36"/>
          <w:szCs w:val="36"/>
          <w:rtl/>
        </w:rPr>
        <w:t xml:space="preserve">، </w:t>
      </w:r>
      <w:r w:rsidR="00556BC0" w:rsidRPr="00FD211F">
        <w:rPr>
          <w:sz w:val="36"/>
          <w:szCs w:val="36"/>
          <w:rtl/>
        </w:rPr>
        <w:t>لان سماعها يوجب تصور المعنى</w:t>
      </w:r>
      <w:r w:rsidR="00603323" w:rsidRPr="00FD211F">
        <w:rPr>
          <w:sz w:val="36"/>
          <w:szCs w:val="36"/>
          <w:rtl/>
        </w:rPr>
        <w:t xml:space="preserve">، </w:t>
      </w:r>
      <w:r w:rsidR="00556BC0" w:rsidRPr="00FD211F">
        <w:rPr>
          <w:sz w:val="36"/>
          <w:szCs w:val="36"/>
          <w:rtl/>
        </w:rPr>
        <w:t>واما كون المتكلم بها قاصدا للإخبار فيستفاد من الظهور الحالي العقلائي</w:t>
      </w:r>
      <w:r w:rsidR="009C58C8" w:rsidRPr="00FD211F">
        <w:rPr>
          <w:rStyle w:val="a6"/>
          <w:sz w:val="36"/>
          <w:szCs w:val="36"/>
          <w:rtl/>
        </w:rPr>
        <w:t>(</w:t>
      </w:r>
      <w:r w:rsidR="009C58C8" w:rsidRPr="00FD211F">
        <w:rPr>
          <w:rStyle w:val="a6"/>
          <w:sz w:val="36"/>
          <w:szCs w:val="36"/>
          <w:rtl/>
        </w:rPr>
        <w:footnoteReference w:id="193"/>
      </w:r>
      <w:r w:rsidR="009C58C8" w:rsidRPr="00FD211F">
        <w:rPr>
          <w:rStyle w:val="a6"/>
          <w:sz w:val="36"/>
          <w:szCs w:val="36"/>
          <w:rtl/>
        </w:rPr>
        <w:t>)</w:t>
      </w:r>
      <w:r w:rsidR="00F55A6F" w:rsidRPr="00FD211F">
        <w:rPr>
          <w:sz w:val="36"/>
          <w:szCs w:val="36"/>
          <w:rtl/>
        </w:rPr>
        <w:t>.</w:t>
      </w:r>
    </w:p>
    <w:p w14:paraId="36AF7DE2" w14:textId="77777777" w:rsidR="00556BC0" w:rsidRPr="00FD211F" w:rsidRDefault="0091613A" w:rsidP="009C58C8">
      <w:pPr>
        <w:ind w:left="0" w:firstLine="227"/>
        <w:jc w:val="both"/>
        <w:rPr>
          <w:sz w:val="36"/>
          <w:szCs w:val="36"/>
          <w:rtl/>
        </w:rPr>
      </w:pPr>
      <w:r w:rsidRPr="00FD211F">
        <w:rPr>
          <w:sz w:val="36"/>
          <w:szCs w:val="36"/>
          <w:rtl/>
        </w:rPr>
        <w:t>وفيه ان مراد السيد الخوئي "قده"من الدلال</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005C7179" w:rsidRPr="00FD211F">
        <w:rPr>
          <w:sz w:val="36"/>
          <w:szCs w:val="36"/>
          <w:rtl/>
        </w:rPr>
        <w:t>كما ذكرناهي الحكاي</w:t>
      </w:r>
      <w:r w:rsidR="00EC7EDF" w:rsidRPr="00FD211F">
        <w:rPr>
          <w:sz w:val="36"/>
          <w:szCs w:val="36"/>
          <w:rtl/>
        </w:rPr>
        <w:t xml:space="preserve">ة </w:t>
      </w:r>
      <w:r w:rsidR="005C7179" w:rsidRPr="00FD211F">
        <w:rPr>
          <w:sz w:val="36"/>
          <w:szCs w:val="36"/>
          <w:rtl/>
        </w:rPr>
        <w:t>عن النسب</w:t>
      </w:r>
      <w:r w:rsidR="00EC7EDF" w:rsidRPr="00FD211F">
        <w:rPr>
          <w:sz w:val="36"/>
          <w:szCs w:val="36"/>
          <w:rtl/>
        </w:rPr>
        <w:t xml:space="preserve">ة </w:t>
      </w:r>
      <w:r w:rsidR="005C7179" w:rsidRPr="00FD211F">
        <w:rPr>
          <w:sz w:val="36"/>
          <w:szCs w:val="36"/>
          <w:rtl/>
        </w:rPr>
        <w:t>الخارجي</w:t>
      </w:r>
      <w:r w:rsidR="00EC7EDF" w:rsidRPr="00FD211F">
        <w:rPr>
          <w:sz w:val="36"/>
          <w:szCs w:val="36"/>
          <w:rtl/>
        </w:rPr>
        <w:t xml:space="preserve">ة </w:t>
      </w:r>
      <w:r w:rsidR="005C7179" w:rsidRPr="00FD211F">
        <w:rPr>
          <w:sz w:val="36"/>
          <w:szCs w:val="36"/>
          <w:rtl/>
        </w:rPr>
        <w:t>ومن الواضح اختلاف الالفاظ المفرد</w:t>
      </w:r>
      <w:r w:rsidR="00EC7EDF" w:rsidRPr="00FD211F">
        <w:rPr>
          <w:sz w:val="36"/>
          <w:szCs w:val="36"/>
          <w:rtl/>
        </w:rPr>
        <w:t xml:space="preserve">ة </w:t>
      </w:r>
      <w:r w:rsidR="005C7179" w:rsidRPr="00FD211F">
        <w:rPr>
          <w:sz w:val="36"/>
          <w:szCs w:val="36"/>
          <w:rtl/>
        </w:rPr>
        <w:t>والجمل الخبري</w:t>
      </w:r>
      <w:r w:rsidR="00EC7EDF" w:rsidRPr="00FD211F">
        <w:rPr>
          <w:sz w:val="36"/>
          <w:szCs w:val="36"/>
          <w:rtl/>
        </w:rPr>
        <w:t xml:space="preserve">ة </w:t>
      </w:r>
      <w:r w:rsidR="005C7179" w:rsidRPr="00FD211F">
        <w:rPr>
          <w:sz w:val="36"/>
          <w:szCs w:val="36"/>
          <w:rtl/>
        </w:rPr>
        <w:t>في ذلك على جميع المسالك في حقيق</w:t>
      </w:r>
      <w:r w:rsidR="00EC7EDF" w:rsidRPr="00FD211F">
        <w:rPr>
          <w:sz w:val="36"/>
          <w:szCs w:val="36"/>
          <w:rtl/>
        </w:rPr>
        <w:t xml:space="preserve">ة </w:t>
      </w:r>
      <w:r w:rsidR="005C7179" w:rsidRPr="00FD211F">
        <w:rPr>
          <w:sz w:val="36"/>
          <w:szCs w:val="36"/>
          <w:rtl/>
        </w:rPr>
        <w:t>الوضع</w:t>
      </w:r>
      <w:r w:rsidR="00EC7EDF" w:rsidRPr="00FD211F">
        <w:rPr>
          <w:sz w:val="36"/>
          <w:szCs w:val="36"/>
          <w:rtl/>
        </w:rPr>
        <w:t>.</w:t>
      </w:r>
    </w:p>
    <w:p w14:paraId="057D0CDD" w14:textId="77777777" w:rsidR="000C5BBA" w:rsidRPr="00FD211F" w:rsidRDefault="005744AC" w:rsidP="009C58C8">
      <w:pPr>
        <w:ind w:left="0" w:firstLine="227"/>
        <w:jc w:val="both"/>
        <w:rPr>
          <w:sz w:val="36"/>
          <w:szCs w:val="36"/>
          <w:rtl/>
        </w:rPr>
      </w:pPr>
      <w:r w:rsidRPr="00FD211F">
        <w:rPr>
          <w:sz w:val="36"/>
          <w:szCs w:val="36"/>
          <w:rtl/>
        </w:rPr>
        <w:t>5</w:t>
      </w:r>
      <w:r w:rsidR="001B6593" w:rsidRPr="00FD211F">
        <w:rPr>
          <w:sz w:val="36"/>
          <w:szCs w:val="36"/>
          <w:rtl/>
        </w:rPr>
        <w:t>- ما حكاه السيد الصدر</w:t>
      </w:r>
      <w:r w:rsidR="00556BC0" w:rsidRPr="00FD211F">
        <w:rPr>
          <w:sz w:val="36"/>
          <w:szCs w:val="36"/>
          <w:rtl/>
        </w:rPr>
        <w:t xml:space="preserve"> عن السيد الخوئي </w:t>
      </w:r>
      <w:r w:rsidR="00820114" w:rsidRPr="00FD211F">
        <w:rPr>
          <w:sz w:val="36"/>
          <w:szCs w:val="36"/>
          <w:rtl/>
        </w:rPr>
        <w:t>"</w:t>
      </w:r>
      <w:r w:rsidR="00556BC0" w:rsidRPr="00FD211F">
        <w:rPr>
          <w:sz w:val="36"/>
          <w:szCs w:val="36"/>
          <w:rtl/>
        </w:rPr>
        <w:t>قده</w:t>
      </w:r>
      <w:r w:rsidR="001B6593" w:rsidRPr="00FD211F">
        <w:rPr>
          <w:sz w:val="36"/>
          <w:szCs w:val="36"/>
          <w:rtl/>
        </w:rPr>
        <w:t>ما</w:t>
      </w:r>
      <w:r w:rsidR="00556BC0" w:rsidRPr="00FD211F">
        <w:rPr>
          <w:sz w:val="36"/>
          <w:szCs w:val="36"/>
          <w:rtl/>
        </w:rPr>
        <w:t xml:space="preserve"> </w:t>
      </w:r>
      <w:r w:rsidR="00820114" w:rsidRPr="00FD211F">
        <w:rPr>
          <w:sz w:val="36"/>
          <w:szCs w:val="36"/>
          <w:rtl/>
        </w:rPr>
        <w:t>" من</w:t>
      </w:r>
      <w:r w:rsidR="00556BC0" w:rsidRPr="00FD211F">
        <w:rPr>
          <w:sz w:val="36"/>
          <w:szCs w:val="36"/>
          <w:rtl/>
        </w:rPr>
        <w:t xml:space="preserve"> انه بناء على مسلك المشهور لافارق بين الجمل</w:t>
      </w:r>
      <w:r w:rsidR="00EC7EDF" w:rsidRPr="00FD211F">
        <w:rPr>
          <w:sz w:val="36"/>
          <w:szCs w:val="36"/>
          <w:rtl/>
        </w:rPr>
        <w:t xml:space="preserve">ة </w:t>
      </w:r>
      <w:r w:rsidR="00556BC0" w:rsidRPr="00FD211F">
        <w:rPr>
          <w:sz w:val="36"/>
          <w:szCs w:val="36"/>
          <w:rtl/>
        </w:rPr>
        <w:t>الناقص</w:t>
      </w:r>
      <w:r w:rsidR="00EC7EDF" w:rsidRPr="00FD211F">
        <w:rPr>
          <w:sz w:val="36"/>
          <w:szCs w:val="36"/>
          <w:rtl/>
        </w:rPr>
        <w:t xml:space="preserve">ة </w:t>
      </w:r>
      <w:r w:rsidR="00556BC0" w:rsidRPr="00FD211F">
        <w:rPr>
          <w:sz w:val="36"/>
          <w:szCs w:val="36"/>
          <w:rtl/>
        </w:rPr>
        <w:t>والتام</w:t>
      </w:r>
      <w:r w:rsidR="00EC7EDF" w:rsidRPr="00FD211F">
        <w:rPr>
          <w:sz w:val="36"/>
          <w:szCs w:val="36"/>
          <w:rtl/>
        </w:rPr>
        <w:t>ة</w:t>
      </w:r>
      <w:r w:rsidR="00603323" w:rsidRPr="00FD211F">
        <w:rPr>
          <w:sz w:val="36"/>
          <w:szCs w:val="36"/>
          <w:rtl/>
        </w:rPr>
        <w:t xml:space="preserve">، </w:t>
      </w:r>
      <w:r w:rsidR="00556BC0" w:rsidRPr="00FD211F">
        <w:rPr>
          <w:sz w:val="36"/>
          <w:szCs w:val="36"/>
          <w:rtl/>
        </w:rPr>
        <w:t>و</w:t>
      </w:r>
      <w:r w:rsidR="00820114" w:rsidRPr="00FD211F">
        <w:rPr>
          <w:sz w:val="36"/>
          <w:szCs w:val="36"/>
          <w:rtl/>
        </w:rPr>
        <w:t>اما</w:t>
      </w:r>
      <w:r w:rsidR="00556BC0" w:rsidRPr="00FD211F">
        <w:rPr>
          <w:sz w:val="36"/>
          <w:szCs w:val="36"/>
          <w:rtl/>
        </w:rPr>
        <w:t>دعوى ان النسب</w:t>
      </w:r>
      <w:r w:rsidR="00EC7EDF" w:rsidRPr="00FD211F">
        <w:rPr>
          <w:sz w:val="36"/>
          <w:szCs w:val="36"/>
          <w:rtl/>
        </w:rPr>
        <w:t xml:space="preserve">ة </w:t>
      </w:r>
      <w:r w:rsidR="00556BC0" w:rsidRPr="00FD211F">
        <w:rPr>
          <w:sz w:val="36"/>
          <w:szCs w:val="36"/>
          <w:rtl/>
        </w:rPr>
        <w:t>في الجمل</w:t>
      </w:r>
      <w:r w:rsidR="00EC7EDF" w:rsidRPr="00FD211F">
        <w:rPr>
          <w:sz w:val="36"/>
          <w:szCs w:val="36"/>
          <w:rtl/>
        </w:rPr>
        <w:t xml:space="preserve">ة </w:t>
      </w:r>
      <w:r w:rsidR="00556BC0" w:rsidRPr="00FD211F">
        <w:rPr>
          <w:sz w:val="36"/>
          <w:szCs w:val="36"/>
          <w:rtl/>
        </w:rPr>
        <w:t>الناقص</w:t>
      </w:r>
      <w:r w:rsidR="00EC7EDF" w:rsidRPr="00FD211F">
        <w:rPr>
          <w:sz w:val="36"/>
          <w:szCs w:val="36"/>
          <w:rtl/>
        </w:rPr>
        <w:t xml:space="preserve">ة </w:t>
      </w:r>
      <w:r w:rsidR="00556BC0" w:rsidRPr="00FD211F">
        <w:rPr>
          <w:sz w:val="36"/>
          <w:szCs w:val="36"/>
          <w:rtl/>
        </w:rPr>
        <w:t>ناقص</w:t>
      </w:r>
      <w:r w:rsidR="00EC7EDF" w:rsidRPr="00FD211F">
        <w:rPr>
          <w:sz w:val="36"/>
          <w:szCs w:val="36"/>
          <w:rtl/>
        </w:rPr>
        <w:t xml:space="preserve">ة </w:t>
      </w:r>
      <w:r w:rsidR="00556BC0" w:rsidRPr="00FD211F">
        <w:rPr>
          <w:sz w:val="36"/>
          <w:szCs w:val="36"/>
          <w:rtl/>
        </w:rPr>
        <w:t>وفي الجمل</w:t>
      </w:r>
      <w:r w:rsidR="00EC7EDF" w:rsidRPr="00FD211F">
        <w:rPr>
          <w:sz w:val="36"/>
          <w:szCs w:val="36"/>
          <w:rtl/>
        </w:rPr>
        <w:t xml:space="preserve">ة </w:t>
      </w:r>
      <w:r w:rsidR="00556BC0" w:rsidRPr="00FD211F">
        <w:rPr>
          <w:sz w:val="36"/>
          <w:szCs w:val="36"/>
          <w:rtl/>
        </w:rPr>
        <w:t>التام</w:t>
      </w:r>
      <w:r w:rsidR="00EC7EDF" w:rsidRPr="00FD211F">
        <w:rPr>
          <w:sz w:val="36"/>
          <w:szCs w:val="36"/>
          <w:rtl/>
        </w:rPr>
        <w:t xml:space="preserve">ة </w:t>
      </w:r>
      <w:r w:rsidR="00556BC0" w:rsidRPr="00FD211F">
        <w:rPr>
          <w:sz w:val="36"/>
          <w:szCs w:val="36"/>
          <w:rtl/>
        </w:rPr>
        <w:t>تام</w:t>
      </w:r>
      <w:r w:rsidR="00EC7EDF" w:rsidRPr="00FD211F">
        <w:rPr>
          <w:sz w:val="36"/>
          <w:szCs w:val="36"/>
          <w:rtl/>
        </w:rPr>
        <w:t xml:space="preserve">ة </w:t>
      </w:r>
      <w:r w:rsidR="00556BC0" w:rsidRPr="00FD211F">
        <w:rPr>
          <w:sz w:val="36"/>
          <w:szCs w:val="36"/>
          <w:rtl/>
        </w:rPr>
        <w:t>فليس لها معنى محصل</w:t>
      </w:r>
      <w:r w:rsidR="00603323" w:rsidRPr="00FD211F">
        <w:rPr>
          <w:sz w:val="36"/>
          <w:szCs w:val="36"/>
          <w:rtl/>
        </w:rPr>
        <w:t xml:space="preserve">، </w:t>
      </w:r>
      <w:r w:rsidR="00556BC0" w:rsidRPr="00FD211F">
        <w:rPr>
          <w:sz w:val="36"/>
          <w:szCs w:val="36"/>
          <w:rtl/>
        </w:rPr>
        <w:t>لعدم قبول النسب</w:t>
      </w:r>
      <w:r w:rsidR="00EC7EDF" w:rsidRPr="00FD211F">
        <w:rPr>
          <w:sz w:val="36"/>
          <w:szCs w:val="36"/>
          <w:rtl/>
        </w:rPr>
        <w:t xml:space="preserve">ة </w:t>
      </w:r>
      <w:r w:rsidR="00556BC0" w:rsidRPr="00FD211F">
        <w:rPr>
          <w:sz w:val="36"/>
          <w:szCs w:val="36"/>
          <w:rtl/>
        </w:rPr>
        <w:t>للتمامي</w:t>
      </w:r>
      <w:r w:rsidR="00EC7EDF" w:rsidRPr="00FD211F">
        <w:rPr>
          <w:sz w:val="36"/>
          <w:szCs w:val="36"/>
          <w:rtl/>
        </w:rPr>
        <w:t xml:space="preserve">ة </w:t>
      </w:r>
      <w:r w:rsidR="00556BC0" w:rsidRPr="00FD211F">
        <w:rPr>
          <w:sz w:val="36"/>
          <w:szCs w:val="36"/>
          <w:rtl/>
        </w:rPr>
        <w:t>والنقصان</w:t>
      </w:r>
      <w:r w:rsidR="00603323" w:rsidRPr="00FD211F">
        <w:rPr>
          <w:sz w:val="36"/>
          <w:szCs w:val="36"/>
          <w:rtl/>
        </w:rPr>
        <w:t xml:space="preserve">، </w:t>
      </w:r>
      <w:r w:rsidR="00556BC0" w:rsidRPr="00FD211F">
        <w:rPr>
          <w:sz w:val="36"/>
          <w:szCs w:val="36"/>
          <w:rtl/>
        </w:rPr>
        <w:t>فيتعين ان يكون الفارق بينهما هو قصد الإخبار في ا</w:t>
      </w:r>
      <w:r w:rsidR="002D5C8E" w:rsidRPr="00FD211F">
        <w:rPr>
          <w:sz w:val="36"/>
          <w:szCs w:val="36"/>
          <w:rtl/>
        </w:rPr>
        <w:t>لجمل</w:t>
      </w:r>
      <w:r w:rsidR="00EC7EDF" w:rsidRPr="00FD211F">
        <w:rPr>
          <w:sz w:val="36"/>
          <w:szCs w:val="36"/>
          <w:rtl/>
        </w:rPr>
        <w:t xml:space="preserve">ة </w:t>
      </w:r>
      <w:r w:rsidR="002D5C8E" w:rsidRPr="00FD211F">
        <w:rPr>
          <w:sz w:val="36"/>
          <w:szCs w:val="36"/>
          <w:rtl/>
        </w:rPr>
        <w:t>التام</w:t>
      </w:r>
      <w:r w:rsidR="00EC7EDF" w:rsidRPr="00FD211F">
        <w:rPr>
          <w:sz w:val="36"/>
          <w:szCs w:val="36"/>
          <w:rtl/>
        </w:rPr>
        <w:t xml:space="preserve">ة </w:t>
      </w:r>
      <w:r w:rsidR="002D5C8E" w:rsidRPr="00FD211F">
        <w:rPr>
          <w:sz w:val="36"/>
          <w:szCs w:val="36"/>
          <w:rtl/>
        </w:rPr>
        <w:t>دون الجمل</w:t>
      </w:r>
      <w:r w:rsidR="00EC7EDF" w:rsidRPr="00FD211F">
        <w:rPr>
          <w:sz w:val="36"/>
          <w:szCs w:val="36"/>
          <w:rtl/>
        </w:rPr>
        <w:t xml:space="preserve">ة </w:t>
      </w:r>
      <w:r w:rsidR="002D5C8E" w:rsidRPr="00FD211F">
        <w:rPr>
          <w:sz w:val="36"/>
          <w:szCs w:val="36"/>
          <w:rtl/>
        </w:rPr>
        <w:t>الناقص</w:t>
      </w:r>
      <w:r w:rsidR="00EC7EDF" w:rsidRPr="00FD211F">
        <w:rPr>
          <w:sz w:val="36"/>
          <w:szCs w:val="36"/>
          <w:rtl/>
        </w:rPr>
        <w:t>ة</w:t>
      </w:r>
      <w:r w:rsidR="00A61BAE" w:rsidRPr="00FD211F">
        <w:rPr>
          <w:sz w:val="36"/>
          <w:szCs w:val="36"/>
          <w:rtl/>
        </w:rPr>
        <w:t>.</w:t>
      </w:r>
    </w:p>
    <w:p w14:paraId="296331E2" w14:textId="77777777" w:rsidR="000C5BBA" w:rsidRPr="00FD211F" w:rsidRDefault="001B6593" w:rsidP="009C58C8">
      <w:pPr>
        <w:ind w:left="0" w:firstLine="227"/>
        <w:jc w:val="both"/>
        <w:rPr>
          <w:sz w:val="36"/>
          <w:szCs w:val="36"/>
          <w:rtl/>
        </w:rPr>
      </w:pPr>
      <w:r w:rsidRPr="00FD211F">
        <w:rPr>
          <w:sz w:val="36"/>
          <w:szCs w:val="36"/>
          <w:rtl/>
        </w:rPr>
        <w:t>وذكرالسيد الصدر"قده"</w:t>
      </w:r>
      <w:r w:rsidR="00556BC0" w:rsidRPr="00FD211F">
        <w:rPr>
          <w:sz w:val="36"/>
          <w:szCs w:val="36"/>
          <w:rtl/>
        </w:rPr>
        <w:t xml:space="preserve"> انه وان كان احس</w:t>
      </w:r>
      <w:r w:rsidR="00216D8E" w:rsidRPr="00FD211F">
        <w:rPr>
          <w:sz w:val="36"/>
          <w:szCs w:val="36"/>
          <w:rtl/>
        </w:rPr>
        <w:t>ن</w:t>
      </w:r>
      <w:r w:rsidR="006D62E8" w:rsidRPr="00FD211F">
        <w:rPr>
          <w:sz w:val="36"/>
          <w:szCs w:val="36"/>
          <w:rtl/>
        </w:rPr>
        <w:t xml:space="preserve"> الاشكالات لكنه يتوجه عليه النقض ب</w:t>
      </w:r>
      <w:r w:rsidR="00556BC0" w:rsidRPr="00FD211F">
        <w:rPr>
          <w:sz w:val="36"/>
          <w:szCs w:val="36"/>
          <w:rtl/>
        </w:rPr>
        <w:t>مدخول ادا</w:t>
      </w:r>
      <w:r w:rsidR="00EC7EDF" w:rsidRPr="00FD211F">
        <w:rPr>
          <w:sz w:val="36"/>
          <w:szCs w:val="36"/>
          <w:rtl/>
        </w:rPr>
        <w:t xml:space="preserve">ة </w:t>
      </w:r>
      <w:r w:rsidR="00556BC0" w:rsidRPr="00FD211F">
        <w:rPr>
          <w:sz w:val="36"/>
          <w:szCs w:val="36"/>
          <w:rtl/>
        </w:rPr>
        <w:t>الاستفهام كقولنا</w:t>
      </w:r>
      <w:r w:rsidR="002B1EA9" w:rsidRPr="00FD211F">
        <w:rPr>
          <w:sz w:val="36"/>
          <w:szCs w:val="36"/>
          <w:rtl/>
        </w:rPr>
        <w:t xml:space="preserve"> </w:t>
      </w:r>
      <w:r w:rsidR="006D62E8" w:rsidRPr="00FD211F">
        <w:rPr>
          <w:sz w:val="36"/>
          <w:szCs w:val="36"/>
          <w:rtl/>
        </w:rPr>
        <w:t>"</w:t>
      </w:r>
      <w:r w:rsidR="00556BC0" w:rsidRPr="00FD211F">
        <w:rPr>
          <w:sz w:val="36"/>
          <w:szCs w:val="36"/>
          <w:rtl/>
        </w:rPr>
        <w:t>هل زيد عالم</w:t>
      </w:r>
      <w:r w:rsidR="002B1EA9" w:rsidRPr="00FD211F">
        <w:rPr>
          <w:sz w:val="36"/>
          <w:szCs w:val="36"/>
          <w:rtl/>
        </w:rPr>
        <w:t>"</w:t>
      </w:r>
      <w:r w:rsidR="00556BC0" w:rsidRPr="00FD211F">
        <w:rPr>
          <w:sz w:val="36"/>
          <w:szCs w:val="36"/>
          <w:rtl/>
        </w:rPr>
        <w:t xml:space="preserve"> </w:t>
      </w:r>
      <w:r w:rsidR="006D62E8" w:rsidRPr="00FD211F">
        <w:rPr>
          <w:sz w:val="36"/>
          <w:szCs w:val="36"/>
          <w:rtl/>
        </w:rPr>
        <w:t xml:space="preserve">فانه </w:t>
      </w:r>
      <w:r w:rsidR="00556BC0" w:rsidRPr="00FD211F">
        <w:rPr>
          <w:sz w:val="36"/>
          <w:szCs w:val="36"/>
          <w:rtl/>
        </w:rPr>
        <w:t>خال عن قصد الاخبار بلااشكال</w:t>
      </w:r>
      <w:r w:rsidR="00603323" w:rsidRPr="00FD211F">
        <w:rPr>
          <w:sz w:val="36"/>
          <w:szCs w:val="36"/>
          <w:rtl/>
        </w:rPr>
        <w:t xml:space="preserve">، </w:t>
      </w:r>
      <w:r w:rsidR="00556BC0" w:rsidRPr="00FD211F">
        <w:rPr>
          <w:sz w:val="36"/>
          <w:szCs w:val="36"/>
          <w:rtl/>
        </w:rPr>
        <w:t>ولكنه يختلف مدلوله عن الجمل</w:t>
      </w:r>
      <w:r w:rsidR="00EC7EDF" w:rsidRPr="00FD211F">
        <w:rPr>
          <w:sz w:val="36"/>
          <w:szCs w:val="36"/>
          <w:rtl/>
        </w:rPr>
        <w:t xml:space="preserve">ة </w:t>
      </w:r>
      <w:r w:rsidR="00556BC0" w:rsidRPr="00FD211F">
        <w:rPr>
          <w:sz w:val="36"/>
          <w:szCs w:val="36"/>
          <w:rtl/>
        </w:rPr>
        <w:t>الناقص</w:t>
      </w:r>
      <w:r w:rsidR="00EC7EDF" w:rsidRPr="00FD211F">
        <w:rPr>
          <w:sz w:val="36"/>
          <w:szCs w:val="36"/>
          <w:rtl/>
        </w:rPr>
        <w:t xml:space="preserve">ة </w:t>
      </w:r>
      <w:r w:rsidR="00556BC0" w:rsidRPr="00FD211F">
        <w:rPr>
          <w:sz w:val="36"/>
          <w:szCs w:val="36"/>
          <w:rtl/>
        </w:rPr>
        <w:t xml:space="preserve">فلايقال </w:t>
      </w:r>
      <w:r w:rsidR="006D62E8" w:rsidRPr="00FD211F">
        <w:rPr>
          <w:sz w:val="36"/>
          <w:szCs w:val="36"/>
          <w:rtl/>
        </w:rPr>
        <w:t>"</w:t>
      </w:r>
      <w:r w:rsidR="00556BC0" w:rsidRPr="00FD211F">
        <w:rPr>
          <w:sz w:val="36"/>
          <w:szCs w:val="36"/>
          <w:rtl/>
        </w:rPr>
        <w:t>هل زيد العالم</w:t>
      </w:r>
      <w:r w:rsidR="006D62E8" w:rsidRPr="00FD211F">
        <w:rPr>
          <w:sz w:val="36"/>
          <w:szCs w:val="36"/>
          <w:rtl/>
        </w:rPr>
        <w:t>"</w:t>
      </w:r>
      <w:r w:rsidR="00603323" w:rsidRPr="00FD211F">
        <w:rPr>
          <w:sz w:val="36"/>
          <w:szCs w:val="36"/>
          <w:rtl/>
        </w:rPr>
        <w:t xml:space="preserve">، </w:t>
      </w:r>
      <w:r w:rsidR="00556BC0" w:rsidRPr="00FD211F">
        <w:rPr>
          <w:sz w:val="36"/>
          <w:szCs w:val="36"/>
          <w:rtl/>
        </w:rPr>
        <w:t>و</w:t>
      </w:r>
      <w:r w:rsidR="006D62E8" w:rsidRPr="00FD211F">
        <w:rPr>
          <w:sz w:val="36"/>
          <w:szCs w:val="36"/>
          <w:rtl/>
        </w:rPr>
        <w:t>ه</w:t>
      </w:r>
      <w:r w:rsidR="00556BC0" w:rsidRPr="00FD211F">
        <w:rPr>
          <w:sz w:val="36"/>
          <w:szCs w:val="36"/>
          <w:rtl/>
        </w:rPr>
        <w:t xml:space="preserve">كذا </w:t>
      </w:r>
      <w:r w:rsidR="001B3112" w:rsidRPr="00FD211F">
        <w:rPr>
          <w:sz w:val="36"/>
          <w:szCs w:val="36"/>
          <w:rtl/>
        </w:rPr>
        <w:t>الأمر</w:t>
      </w:r>
      <w:r w:rsidR="002B1EA9" w:rsidRPr="00FD211F">
        <w:rPr>
          <w:sz w:val="36"/>
          <w:szCs w:val="36"/>
          <w:rtl/>
        </w:rPr>
        <w:t xml:space="preserve"> </w:t>
      </w:r>
      <w:r w:rsidR="006D62E8" w:rsidRPr="00FD211F">
        <w:rPr>
          <w:sz w:val="36"/>
          <w:szCs w:val="36"/>
          <w:rtl/>
        </w:rPr>
        <w:t xml:space="preserve">في </w:t>
      </w:r>
      <w:r w:rsidR="00556BC0" w:rsidRPr="00FD211F">
        <w:rPr>
          <w:sz w:val="36"/>
          <w:szCs w:val="36"/>
          <w:rtl/>
        </w:rPr>
        <w:t>جمل</w:t>
      </w:r>
      <w:r w:rsidR="00EC7EDF" w:rsidRPr="00FD211F">
        <w:rPr>
          <w:sz w:val="36"/>
          <w:szCs w:val="36"/>
          <w:rtl/>
        </w:rPr>
        <w:t xml:space="preserve">ة </w:t>
      </w:r>
      <w:r w:rsidR="00556BC0" w:rsidRPr="00FD211F">
        <w:rPr>
          <w:sz w:val="36"/>
          <w:szCs w:val="36"/>
          <w:rtl/>
        </w:rPr>
        <w:t>الشرط.</w:t>
      </w:r>
    </w:p>
    <w:p w14:paraId="5D7D7C66" w14:textId="77777777" w:rsidR="006D62E8" w:rsidRPr="00FD211F" w:rsidRDefault="005C7179" w:rsidP="009C58C8">
      <w:pPr>
        <w:ind w:left="0" w:firstLine="227"/>
        <w:jc w:val="both"/>
        <w:rPr>
          <w:sz w:val="36"/>
          <w:szCs w:val="36"/>
          <w:rtl/>
        </w:rPr>
      </w:pPr>
      <w:r w:rsidRPr="00FD211F">
        <w:rPr>
          <w:sz w:val="36"/>
          <w:szCs w:val="36"/>
          <w:rtl/>
        </w:rPr>
        <w:t>وقد</w:t>
      </w:r>
      <w:r w:rsidR="001B6593" w:rsidRPr="00FD211F">
        <w:rPr>
          <w:sz w:val="36"/>
          <w:szCs w:val="36"/>
          <w:rtl/>
        </w:rPr>
        <w:t>اجاب</w:t>
      </w:r>
      <w:r w:rsidRPr="00FD211F">
        <w:rPr>
          <w:sz w:val="36"/>
          <w:szCs w:val="36"/>
          <w:rtl/>
        </w:rPr>
        <w:t xml:space="preserve"> السيد الخوئي</w:t>
      </w:r>
      <w:r w:rsidR="00A61BAE" w:rsidRPr="00FD211F">
        <w:rPr>
          <w:sz w:val="36"/>
          <w:szCs w:val="36"/>
          <w:rtl/>
        </w:rPr>
        <w:t xml:space="preserve"> </w:t>
      </w:r>
      <w:r w:rsidR="002B1EA9" w:rsidRPr="00FD211F">
        <w:rPr>
          <w:sz w:val="36"/>
          <w:szCs w:val="36"/>
          <w:rtl/>
        </w:rPr>
        <w:t>"قده"</w:t>
      </w:r>
      <w:r w:rsidR="00A61BAE" w:rsidRPr="00FD211F">
        <w:rPr>
          <w:sz w:val="36"/>
          <w:szCs w:val="36"/>
          <w:rtl/>
        </w:rPr>
        <w:t xml:space="preserve"> </w:t>
      </w:r>
      <w:r w:rsidR="006D62E8" w:rsidRPr="00FD211F">
        <w:rPr>
          <w:sz w:val="36"/>
          <w:szCs w:val="36"/>
          <w:rtl/>
        </w:rPr>
        <w:t>عن هذا النقض</w:t>
      </w:r>
      <w:r w:rsidR="00556BC0" w:rsidRPr="00FD211F">
        <w:rPr>
          <w:sz w:val="36"/>
          <w:szCs w:val="36"/>
          <w:rtl/>
        </w:rPr>
        <w:t xml:space="preserve"> بان جمل</w:t>
      </w:r>
      <w:r w:rsidR="00EC7EDF" w:rsidRPr="00FD211F">
        <w:rPr>
          <w:sz w:val="36"/>
          <w:szCs w:val="36"/>
          <w:rtl/>
        </w:rPr>
        <w:t xml:space="preserve">ة </w:t>
      </w:r>
      <w:r w:rsidR="00556BC0" w:rsidRPr="00FD211F">
        <w:rPr>
          <w:sz w:val="36"/>
          <w:szCs w:val="36"/>
          <w:rtl/>
        </w:rPr>
        <w:t>الاستفهام موضوع</w:t>
      </w:r>
      <w:r w:rsidR="00EC7EDF" w:rsidRPr="00FD211F">
        <w:rPr>
          <w:sz w:val="36"/>
          <w:szCs w:val="36"/>
          <w:rtl/>
        </w:rPr>
        <w:t xml:space="preserve">ة </w:t>
      </w:r>
      <w:r w:rsidR="00556BC0" w:rsidRPr="00FD211F">
        <w:rPr>
          <w:sz w:val="36"/>
          <w:szCs w:val="36"/>
          <w:rtl/>
        </w:rPr>
        <w:t>بوضع مستقل على ابراز قصد الاستفهام فيك</w:t>
      </w:r>
      <w:r w:rsidR="006D62E8" w:rsidRPr="00FD211F">
        <w:rPr>
          <w:sz w:val="36"/>
          <w:szCs w:val="36"/>
          <w:rtl/>
        </w:rPr>
        <w:t>ون وضعها غير وضع الجمل</w:t>
      </w:r>
      <w:r w:rsidR="00EC7EDF" w:rsidRPr="00FD211F">
        <w:rPr>
          <w:sz w:val="36"/>
          <w:szCs w:val="36"/>
          <w:rtl/>
        </w:rPr>
        <w:t xml:space="preserve">ة </w:t>
      </w:r>
      <w:r w:rsidR="006D62E8" w:rsidRPr="00FD211F">
        <w:rPr>
          <w:sz w:val="36"/>
          <w:szCs w:val="36"/>
          <w:rtl/>
        </w:rPr>
        <w:t>الخبري</w:t>
      </w:r>
      <w:r w:rsidR="00EC7EDF" w:rsidRPr="00FD211F">
        <w:rPr>
          <w:sz w:val="36"/>
          <w:szCs w:val="36"/>
          <w:rtl/>
        </w:rPr>
        <w:t>ة</w:t>
      </w:r>
      <w:r w:rsidR="00A61BAE" w:rsidRPr="00FD211F">
        <w:rPr>
          <w:sz w:val="36"/>
          <w:szCs w:val="36"/>
          <w:rtl/>
        </w:rPr>
        <w:t>.</w:t>
      </w:r>
    </w:p>
    <w:p w14:paraId="321A31F8" w14:textId="77777777" w:rsidR="000C5BBA" w:rsidRPr="00FD211F" w:rsidRDefault="002712DF" w:rsidP="009C58C8">
      <w:pPr>
        <w:ind w:left="0" w:firstLine="227"/>
        <w:jc w:val="both"/>
        <w:rPr>
          <w:sz w:val="36"/>
          <w:szCs w:val="36"/>
          <w:rtl/>
        </w:rPr>
      </w:pPr>
      <w:r w:rsidRPr="00FD211F">
        <w:rPr>
          <w:sz w:val="36"/>
          <w:szCs w:val="36"/>
          <w:rtl/>
        </w:rPr>
        <w:t>ويرد</w:t>
      </w:r>
      <w:r w:rsidR="001B6593" w:rsidRPr="00FD211F">
        <w:rPr>
          <w:sz w:val="36"/>
          <w:szCs w:val="36"/>
          <w:rtl/>
        </w:rPr>
        <w:t xml:space="preserve"> </w:t>
      </w:r>
      <w:r w:rsidR="005C7179" w:rsidRPr="00FD211F">
        <w:rPr>
          <w:sz w:val="36"/>
          <w:szCs w:val="36"/>
          <w:rtl/>
        </w:rPr>
        <w:t>علي هذا</w:t>
      </w:r>
      <w:r w:rsidR="00BF0A5B" w:rsidRPr="00FD211F">
        <w:rPr>
          <w:sz w:val="36"/>
          <w:szCs w:val="36"/>
          <w:rtl/>
        </w:rPr>
        <w:t xml:space="preserve"> </w:t>
      </w:r>
      <w:r w:rsidR="005C7179" w:rsidRPr="00FD211F">
        <w:rPr>
          <w:sz w:val="36"/>
          <w:szCs w:val="36"/>
          <w:rtl/>
        </w:rPr>
        <w:t xml:space="preserve">الجواب </w:t>
      </w:r>
      <w:r w:rsidR="00556BC0" w:rsidRPr="00FD211F">
        <w:rPr>
          <w:sz w:val="36"/>
          <w:szCs w:val="36"/>
          <w:rtl/>
        </w:rPr>
        <w:t>انه حينما</w:t>
      </w:r>
      <w:r w:rsidR="006D62E8" w:rsidRPr="00FD211F">
        <w:rPr>
          <w:sz w:val="36"/>
          <w:szCs w:val="36"/>
          <w:rtl/>
        </w:rPr>
        <w:t xml:space="preserve"> يج</w:t>
      </w:r>
      <w:r w:rsidR="008D7966" w:rsidRPr="00FD211F">
        <w:rPr>
          <w:sz w:val="36"/>
          <w:szCs w:val="36"/>
          <w:rtl/>
        </w:rPr>
        <w:t>ا</w:t>
      </w:r>
      <w:r w:rsidR="006D62E8" w:rsidRPr="00FD211F">
        <w:rPr>
          <w:sz w:val="36"/>
          <w:szCs w:val="36"/>
          <w:rtl/>
        </w:rPr>
        <w:t xml:space="preserve">ب </w:t>
      </w:r>
      <w:r w:rsidR="00556BC0" w:rsidRPr="00FD211F">
        <w:rPr>
          <w:sz w:val="36"/>
          <w:szCs w:val="36"/>
          <w:rtl/>
        </w:rPr>
        <w:t xml:space="preserve">عن الاستفهام </w:t>
      </w:r>
      <w:r w:rsidR="008D7966" w:rsidRPr="00FD211F">
        <w:rPr>
          <w:sz w:val="36"/>
          <w:szCs w:val="36"/>
          <w:rtl/>
        </w:rPr>
        <w:t>فيقال "</w:t>
      </w:r>
      <w:r w:rsidR="00556BC0" w:rsidRPr="00FD211F">
        <w:rPr>
          <w:sz w:val="36"/>
          <w:szCs w:val="36"/>
          <w:rtl/>
        </w:rPr>
        <w:t>نعم</w:t>
      </w:r>
      <w:r w:rsidR="008D7966" w:rsidRPr="00FD211F">
        <w:rPr>
          <w:sz w:val="36"/>
          <w:szCs w:val="36"/>
          <w:rtl/>
        </w:rPr>
        <w:t>"</w:t>
      </w:r>
      <w:r w:rsidR="00556BC0" w:rsidRPr="00FD211F">
        <w:rPr>
          <w:sz w:val="36"/>
          <w:szCs w:val="36"/>
          <w:rtl/>
        </w:rPr>
        <w:t xml:space="preserve"> فلااشكال في انه يصد</w:t>
      </w:r>
      <w:r w:rsidR="008D7966" w:rsidRPr="00FD211F">
        <w:rPr>
          <w:sz w:val="36"/>
          <w:szCs w:val="36"/>
          <w:rtl/>
        </w:rPr>
        <w:t>ّق</w:t>
      </w:r>
      <w:r w:rsidR="002D5C8E" w:rsidRPr="00FD211F">
        <w:rPr>
          <w:sz w:val="36"/>
          <w:szCs w:val="36"/>
          <w:rtl/>
        </w:rPr>
        <w:t xml:space="preserve"> ثبوت النسب</w:t>
      </w:r>
      <w:r w:rsidR="00EC7EDF" w:rsidRPr="00FD211F">
        <w:rPr>
          <w:sz w:val="36"/>
          <w:szCs w:val="36"/>
          <w:rtl/>
        </w:rPr>
        <w:t xml:space="preserve">ة </w:t>
      </w:r>
      <w:r w:rsidR="008D7966" w:rsidRPr="00FD211F">
        <w:rPr>
          <w:sz w:val="36"/>
          <w:szCs w:val="36"/>
          <w:rtl/>
        </w:rPr>
        <w:t>كماانه لو قيل "لا"فينكرثبوت النسب</w:t>
      </w:r>
      <w:r w:rsidR="00EC7EDF" w:rsidRPr="00FD211F">
        <w:rPr>
          <w:sz w:val="36"/>
          <w:szCs w:val="36"/>
          <w:rtl/>
        </w:rPr>
        <w:t>ة</w:t>
      </w:r>
      <w:r w:rsidR="00603323" w:rsidRPr="00FD211F">
        <w:rPr>
          <w:sz w:val="36"/>
          <w:szCs w:val="36"/>
          <w:rtl/>
        </w:rPr>
        <w:t xml:space="preserve">، </w:t>
      </w:r>
      <w:r w:rsidR="00556BC0" w:rsidRPr="00FD211F">
        <w:rPr>
          <w:sz w:val="36"/>
          <w:szCs w:val="36"/>
          <w:rtl/>
        </w:rPr>
        <w:t>وحيث ان ظاهر</w:t>
      </w:r>
      <w:r w:rsidR="002D5C8E" w:rsidRPr="00FD211F">
        <w:rPr>
          <w:sz w:val="36"/>
          <w:szCs w:val="36"/>
          <w:rtl/>
        </w:rPr>
        <w:t>"</w:t>
      </w:r>
      <w:r w:rsidR="00556BC0" w:rsidRPr="00FD211F">
        <w:rPr>
          <w:sz w:val="36"/>
          <w:szCs w:val="36"/>
          <w:rtl/>
        </w:rPr>
        <w:t xml:space="preserve"> نعم</w:t>
      </w:r>
      <w:r w:rsidR="002D5C8E" w:rsidRPr="00FD211F">
        <w:rPr>
          <w:sz w:val="36"/>
          <w:szCs w:val="36"/>
          <w:rtl/>
        </w:rPr>
        <w:t>"</w:t>
      </w:r>
      <w:r w:rsidR="00556BC0" w:rsidRPr="00FD211F">
        <w:rPr>
          <w:sz w:val="36"/>
          <w:szCs w:val="36"/>
          <w:rtl/>
        </w:rPr>
        <w:t xml:space="preserve"> هو تصديق نفس</w:t>
      </w:r>
      <w:r w:rsidR="008D7966" w:rsidRPr="00FD211F">
        <w:rPr>
          <w:sz w:val="36"/>
          <w:szCs w:val="36"/>
          <w:rtl/>
        </w:rPr>
        <w:t xml:space="preserve"> الجمل</w:t>
      </w:r>
      <w:r w:rsidR="00EC7EDF" w:rsidRPr="00FD211F">
        <w:rPr>
          <w:sz w:val="36"/>
          <w:szCs w:val="36"/>
          <w:rtl/>
        </w:rPr>
        <w:t xml:space="preserve">ة </w:t>
      </w:r>
      <w:r w:rsidR="008D7966" w:rsidRPr="00FD211F">
        <w:rPr>
          <w:sz w:val="36"/>
          <w:szCs w:val="36"/>
          <w:rtl/>
        </w:rPr>
        <w:t>التي</w:t>
      </w:r>
      <w:r w:rsidR="00B253CE" w:rsidRPr="00FD211F">
        <w:rPr>
          <w:sz w:val="36"/>
          <w:szCs w:val="36"/>
          <w:rtl/>
        </w:rPr>
        <w:t xml:space="preserve"> </w:t>
      </w:r>
      <w:r w:rsidR="008D7966" w:rsidRPr="00FD211F">
        <w:rPr>
          <w:sz w:val="36"/>
          <w:szCs w:val="36"/>
          <w:rtl/>
        </w:rPr>
        <w:t>يدخ</w:t>
      </w:r>
      <w:r w:rsidR="00556BC0" w:rsidRPr="00FD211F">
        <w:rPr>
          <w:sz w:val="36"/>
          <w:szCs w:val="36"/>
          <w:rtl/>
        </w:rPr>
        <w:t>ل</w:t>
      </w:r>
      <w:r w:rsidR="008D7966" w:rsidRPr="00FD211F">
        <w:rPr>
          <w:sz w:val="36"/>
          <w:szCs w:val="36"/>
          <w:rtl/>
        </w:rPr>
        <w:t>ها</w:t>
      </w:r>
      <w:r w:rsidR="00556BC0" w:rsidRPr="00FD211F">
        <w:rPr>
          <w:sz w:val="36"/>
          <w:szCs w:val="36"/>
          <w:rtl/>
        </w:rPr>
        <w:t xml:space="preserve"> ادا</w:t>
      </w:r>
      <w:r w:rsidR="00EC7EDF" w:rsidRPr="00FD211F">
        <w:rPr>
          <w:sz w:val="36"/>
          <w:szCs w:val="36"/>
          <w:rtl/>
        </w:rPr>
        <w:t xml:space="preserve">ة </w:t>
      </w:r>
      <w:r w:rsidR="00556BC0" w:rsidRPr="00FD211F">
        <w:rPr>
          <w:sz w:val="36"/>
          <w:szCs w:val="36"/>
          <w:rtl/>
        </w:rPr>
        <w:t>الاستفهام فيعلم ان مفاده</w:t>
      </w:r>
      <w:r w:rsidR="008D7966" w:rsidRPr="00FD211F">
        <w:rPr>
          <w:sz w:val="36"/>
          <w:szCs w:val="36"/>
          <w:rtl/>
        </w:rPr>
        <w:t>ذه الجمل</w:t>
      </w:r>
      <w:r w:rsidR="00EC7EDF" w:rsidRPr="00FD211F">
        <w:rPr>
          <w:sz w:val="36"/>
          <w:szCs w:val="36"/>
          <w:rtl/>
        </w:rPr>
        <w:t xml:space="preserve">ة </w:t>
      </w:r>
      <w:r w:rsidR="00556BC0" w:rsidRPr="00FD211F">
        <w:rPr>
          <w:sz w:val="36"/>
          <w:szCs w:val="36"/>
          <w:rtl/>
        </w:rPr>
        <w:t>ثبوت النسب</w:t>
      </w:r>
      <w:r w:rsidR="00EC7EDF" w:rsidRPr="00FD211F">
        <w:rPr>
          <w:sz w:val="36"/>
          <w:szCs w:val="36"/>
          <w:rtl/>
        </w:rPr>
        <w:t>ة</w:t>
      </w:r>
      <w:r w:rsidR="00603323" w:rsidRPr="00FD211F">
        <w:rPr>
          <w:sz w:val="36"/>
          <w:szCs w:val="36"/>
          <w:rtl/>
        </w:rPr>
        <w:t xml:space="preserve">، </w:t>
      </w:r>
      <w:r w:rsidR="008D7966" w:rsidRPr="00FD211F">
        <w:rPr>
          <w:sz w:val="36"/>
          <w:szCs w:val="36"/>
          <w:rtl/>
        </w:rPr>
        <w:t>بينما ان لازم كلام السيدالخوئي "قده"</w:t>
      </w:r>
      <w:r w:rsidR="00556BC0" w:rsidRPr="00FD211F">
        <w:rPr>
          <w:sz w:val="36"/>
          <w:szCs w:val="36"/>
          <w:rtl/>
        </w:rPr>
        <w:t xml:space="preserve"> هو ان يكون</w:t>
      </w:r>
      <w:r w:rsidR="00574753" w:rsidRPr="00FD211F">
        <w:rPr>
          <w:sz w:val="36"/>
          <w:szCs w:val="36"/>
          <w:rtl/>
        </w:rPr>
        <w:t>"</w:t>
      </w:r>
      <w:r w:rsidR="00556BC0" w:rsidRPr="00FD211F">
        <w:rPr>
          <w:sz w:val="36"/>
          <w:szCs w:val="36"/>
          <w:rtl/>
        </w:rPr>
        <w:t xml:space="preserve"> نعم</w:t>
      </w:r>
      <w:r w:rsidR="00574753" w:rsidRPr="00FD211F">
        <w:rPr>
          <w:sz w:val="36"/>
          <w:szCs w:val="36"/>
          <w:rtl/>
        </w:rPr>
        <w:t>"</w:t>
      </w:r>
      <w:r w:rsidR="00556BC0" w:rsidRPr="00FD211F">
        <w:rPr>
          <w:sz w:val="36"/>
          <w:szCs w:val="36"/>
          <w:rtl/>
        </w:rPr>
        <w:t xml:space="preserve"> في قو</w:t>
      </w:r>
      <w:r w:rsidR="00EC7EDF" w:rsidRPr="00FD211F">
        <w:rPr>
          <w:sz w:val="36"/>
          <w:szCs w:val="36"/>
          <w:rtl/>
        </w:rPr>
        <w:t xml:space="preserve">ة </w:t>
      </w:r>
      <w:r w:rsidR="00556BC0" w:rsidRPr="00FD211F">
        <w:rPr>
          <w:sz w:val="36"/>
          <w:szCs w:val="36"/>
          <w:rtl/>
        </w:rPr>
        <w:t>تكرار الجمل</w:t>
      </w:r>
      <w:r w:rsidR="00EC7EDF" w:rsidRPr="00FD211F">
        <w:rPr>
          <w:sz w:val="36"/>
          <w:szCs w:val="36"/>
          <w:rtl/>
        </w:rPr>
        <w:t xml:space="preserve">ة </w:t>
      </w:r>
      <w:r w:rsidR="00556BC0" w:rsidRPr="00FD211F">
        <w:rPr>
          <w:sz w:val="36"/>
          <w:szCs w:val="36"/>
          <w:rtl/>
        </w:rPr>
        <w:t>مع</w:t>
      </w:r>
      <w:r w:rsidR="008D7966" w:rsidRPr="00FD211F">
        <w:rPr>
          <w:sz w:val="36"/>
          <w:szCs w:val="36"/>
          <w:rtl/>
        </w:rPr>
        <w:t xml:space="preserve"> استعمالها في قصد الحكاي</w:t>
      </w:r>
      <w:r w:rsidR="00EC7EDF" w:rsidRPr="00FD211F">
        <w:rPr>
          <w:sz w:val="36"/>
          <w:szCs w:val="36"/>
          <w:rtl/>
        </w:rPr>
        <w:t xml:space="preserve">ة </w:t>
      </w:r>
      <w:r w:rsidR="008D7966" w:rsidRPr="00FD211F">
        <w:rPr>
          <w:sz w:val="36"/>
          <w:szCs w:val="36"/>
          <w:rtl/>
        </w:rPr>
        <w:t>بينما</w:t>
      </w:r>
      <w:r w:rsidR="002D5C8E" w:rsidRPr="00FD211F">
        <w:rPr>
          <w:sz w:val="36"/>
          <w:szCs w:val="36"/>
          <w:rtl/>
        </w:rPr>
        <w:t xml:space="preserve"> ان المستفهم</w:t>
      </w:r>
      <w:r w:rsidR="00556BC0" w:rsidRPr="00FD211F">
        <w:rPr>
          <w:sz w:val="36"/>
          <w:szCs w:val="36"/>
          <w:rtl/>
        </w:rPr>
        <w:t xml:space="preserve"> استعملها لإبراز الاستفهام</w:t>
      </w:r>
      <w:r w:rsidR="00603323" w:rsidRPr="00FD211F">
        <w:rPr>
          <w:sz w:val="36"/>
          <w:szCs w:val="36"/>
          <w:rtl/>
        </w:rPr>
        <w:t xml:space="preserve">، </w:t>
      </w:r>
      <w:r w:rsidR="00556BC0" w:rsidRPr="00FD211F">
        <w:rPr>
          <w:sz w:val="36"/>
          <w:szCs w:val="36"/>
          <w:rtl/>
        </w:rPr>
        <w:t>وهذا خلاف الظاهر لانه نظير</w:t>
      </w:r>
      <w:r w:rsidR="002B1EA9" w:rsidRPr="00FD211F">
        <w:rPr>
          <w:sz w:val="36"/>
          <w:szCs w:val="36"/>
          <w:rtl/>
        </w:rPr>
        <w:t xml:space="preserve"> </w:t>
      </w:r>
      <w:r w:rsidR="008D7966" w:rsidRPr="00FD211F">
        <w:rPr>
          <w:sz w:val="36"/>
          <w:szCs w:val="36"/>
          <w:rtl/>
        </w:rPr>
        <w:t>ما</w:t>
      </w:r>
      <w:r w:rsidR="00556BC0" w:rsidRPr="00FD211F">
        <w:rPr>
          <w:sz w:val="36"/>
          <w:szCs w:val="36"/>
          <w:rtl/>
        </w:rPr>
        <w:t xml:space="preserve"> لو </w:t>
      </w:r>
      <w:r w:rsidR="007548A4" w:rsidRPr="00FD211F">
        <w:rPr>
          <w:sz w:val="36"/>
          <w:szCs w:val="36"/>
          <w:rtl/>
        </w:rPr>
        <w:t>ي</w:t>
      </w:r>
      <w:r w:rsidR="00556BC0" w:rsidRPr="00FD211F">
        <w:rPr>
          <w:sz w:val="36"/>
          <w:szCs w:val="36"/>
          <w:rtl/>
        </w:rPr>
        <w:t xml:space="preserve">سأل سائل </w:t>
      </w:r>
      <w:r w:rsidR="008D7966" w:rsidRPr="00FD211F">
        <w:rPr>
          <w:sz w:val="36"/>
          <w:szCs w:val="36"/>
          <w:rtl/>
        </w:rPr>
        <w:t>"</w:t>
      </w:r>
      <w:r w:rsidR="00556BC0" w:rsidRPr="00FD211F">
        <w:rPr>
          <w:sz w:val="36"/>
          <w:szCs w:val="36"/>
          <w:rtl/>
        </w:rPr>
        <w:t>هل جاء زيد</w:t>
      </w:r>
      <w:r w:rsidR="008D7966" w:rsidRPr="00FD211F">
        <w:rPr>
          <w:sz w:val="36"/>
          <w:szCs w:val="36"/>
          <w:rtl/>
        </w:rPr>
        <w:t>"</w:t>
      </w:r>
      <w:r w:rsidR="00556BC0" w:rsidRPr="00FD211F">
        <w:rPr>
          <w:sz w:val="36"/>
          <w:szCs w:val="36"/>
          <w:rtl/>
        </w:rPr>
        <w:t xml:space="preserve"> ويقصد به زيد</w:t>
      </w:r>
      <w:r w:rsidR="008D7966" w:rsidRPr="00FD211F">
        <w:rPr>
          <w:sz w:val="36"/>
          <w:szCs w:val="36"/>
          <w:rtl/>
        </w:rPr>
        <w:t>ا العالم فيجي</w:t>
      </w:r>
      <w:r w:rsidR="00556BC0" w:rsidRPr="00FD211F">
        <w:rPr>
          <w:sz w:val="36"/>
          <w:szCs w:val="36"/>
          <w:rtl/>
        </w:rPr>
        <w:t>ب</w:t>
      </w:r>
      <w:r w:rsidR="008D7966" w:rsidRPr="00FD211F">
        <w:rPr>
          <w:sz w:val="36"/>
          <w:szCs w:val="36"/>
          <w:rtl/>
        </w:rPr>
        <w:t xml:space="preserve"> المسئول "</w:t>
      </w:r>
      <w:r w:rsidR="00556BC0" w:rsidRPr="00FD211F">
        <w:rPr>
          <w:sz w:val="36"/>
          <w:szCs w:val="36"/>
          <w:rtl/>
        </w:rPr>
        <w:t xml:space="preserve"> نعم</w:t>
      </w:r>
      <w:r w:rsidR="008D7966" w:rsidRPr="00FD211F">
        <w:rPr>
          <w:sz w:val="36"/>
          <w:szCs w:val="36"/>
          <w:rtl/>
        </w:rPr>
        <w:t>" ويريد به انه جاء زيد الجاهل</w:t>
      </w:r>
      <w:r w:rsidR="009C58C8" w:rsidRPr="00FD211F">
        <w:rPr>
          <w:rStyle w:val="a6"/>
          <w:sz w:val="36"/>
          <w:szCs w:val="36"/>
          <w:rtl/>
        </w:rPr>
        <w:t>(</w:t>
      </w:r>
      <w:r w:rsidR="009C58C8" w:rsidRPr="00FD211F">
        <w:rPr>
          <w:rStyle w:val="a6"/>
          <w:sz w:val="36"/>
          <w:szCs w:val="36"/>
          <w:rtl/>
        </w:rPr>
        <w:footnoteReference w:id="194"/>
      </w:r>
      <w:r w:rsidR="009C58C8" w:rsidRPr="00FD211F">
        <w:rPr>
          <w:rStyle w:val="a6"/>
          <w:sz w:val="36"/>
          <w:szCs w:val="36"/>
          <w:rtl/>
        </w:rPr>
        <w:t>)</w:t>
      </w:r>
      <w:r w:rsidR="008D7966" w:rsidRPr="00FD211F">
        <w:rPr>
          <w:sz w:val="36"/>
          <w:szCs w:val="36"/>
          <w:rtl/>
        </w:rPr>
        <w:t>.</w:t>
      </w:r>
    </w:p>
    <w:p w14:paraId="31FBB390" w14:textId="77777777" w:rsidR="00556BC0" w:rsidRPr="00FD211F" w:rsidRDefault="00556BC0" w:rsidP="009C58C8">
      <w:pPr>
        <w:ind w:left="0" w:firstLine="227"/>
        <w:jc w:val="both"/>
        <w:rPr>
          <w:sz w:val="36"/>
          <w:szCs w:val="36"/>
          <w:rtl/>
        </w:rPr>
      </w:pPr>
      <w:r w:rsidRPr="00FD211F">
        <w:rPr>
          <w:sz w:val="36"/>
          <w:szCs w:val="36"/>
          <w:rtl/>
        </w:rPr>
        <w:t>هذا مضافا الى امكان تبديل النقض بنقض آخر</w:t>
      </w:r>
      <w:r w:rsidR="002B1EA9" w:rsidRPr="00FD211F">
        <w:rPr>
          <w:sz w:val="36"/>
          <w:szCs w:val="36"/>
          <w:rtl/>
        </w:rPr>
        <w:t xml:space="preserve"> </w:t>
      </w:r>
      <w:r w:rsidR="008D7966" w:rsidRPr="00FD211F">
        <w:rPr>
          <w:sz w:val="36"/>
          <w:szCs w:val="36"/>
          <w:rtl/>
        </w:rPr>
        <w:t>وهو</w:t>
      </w:r>
      <w:r w:rsidRPr="00FD211F">
        <w:rPr>
          <w:sz w:val="36"/>
          <w:szCs w:val="36"/>
          <w:rtl/>
        </w:rPr>
        <w:t xml:space="preserve"> ان</w:t>
      </w:r>
      <w:r w:rsidR="008D7966" w:rsidRPr="00FD211F">
        <w:rPr>
          <w:sz w:val="36"/>
          <w:szCs w:val="36"/>
          <w:rtl/>
        </w:rPr>
        <w:t>ه في</w:t>
      </w:r>
      <w:r w:rsidRPr="00FD211F">
        <w:rPr>
          <w:sz w:val="36"/>
          <w:szCs w:val="36"/>
          <w:rtl/>
        </w:rPr>
        <w:t xml:space="preserve"> قولنا</w:t>
      </w:r>
      <w:r w:rsidR="002B1EA9" w:rsidRPr="00FD211F">
        <w:rPr>
          <w:sz w:val="36"/>
          <w:szCs w:val="36"/>
          <w:rtl/>
        </w:rPr>
        <w:t xml:space="preserve"> </w:t>
      </w:r>
      <w:r w:rsidR="008D7966" w:rsidRPr="00FD211F">
        <w:rPr>
          <w:sz w:val="36"/>
          <w:szCs w:val="36"/>
          <w:rtl/>
        </w:rPr>
        <w:t>"</w:t>
      </w:r>
      <w:r w:rsidRPr="00FD211F">
        <w:rPr>
          <w:sz w:val="36"/>
          <w:szCs w:val="36"/>
          <w:rtl/>
        </w:rPr>
        <w:t>أ</w:t>
      </w:r>
      <w:r w:rsidR="00F55A6F" w:rsidRPr="00FD211F">
        <w:rPr>
          <w:sz w:val="36"/>
          <w:szCs w:val="36"/>
          <w:rtl/>
        </w:rPr>
        <w:t>َ</w:t>
      </w:r>
      <w:r w:rsidRPr="00FD211F">
        <w:rPr>
          <w:sz w:val="36"/>
          <w:szCs w:val="36"/>
          <w:rtl/>
        </w:rPr>
        <w:t>خب</w:t>
      </w:r>
      <w:r w:rsidR="00F55A6F" w:rsidRPr="00FD211F">
        <w:rPr>
          <w:sz w:val="36"/>
          <w:szCs w:val="36"/>
          <w:rtl/>
        </w:rPr>
        <w:t>َ</w:t>
      </w:r>
      <w:r w:rsidRPr="00FD211F">
        <w:rPr>
          <w:sz w:val="36"/>
          <w:szCs w:val="36"/>
          <w:rtl/>
        </w:rPr>
        <w:t>رت</w:t>
      </w:r>
      <w:r w:rsidR="00F55A6F" w:rsidRPr="00FD211F">
        <w:rPr>
          <w:sz w:val="36"/>
          <w:szCs w:val="36"/>
          <w:rtl/>
        </w:rPr>
        <w:t>ُ أ</w:t>
      </w:r>
      <w:r w:rsidRPr="00FD211F">
        <w:rPr>
          <w:sz w:val="36"/>
          <w:szCs w:val="36"/>
          <w:rtl/>
        </w:rPr>
        <w:t>ن زيدا قائم</w:t>
      </w:r>
      <w:r w:rsidR="008D7966" w:rsidRPr="00FD211F">
        <w:rPr>
          <w:sz w:val="36"/>
          <w:szCs w:val="36"/>
          <w:rtl/>
        </w:rPr>
        <w:t>"</w:t>
      </w:r>
      <w:r w:rsidR="00F55A6F" w:rsidRPr="00FD211F">
        <w:rPr>
          <w:sz w:val="36"/>
          <w:szCs w:val="36"/>
          <w:rtl/>
        </w:rPr>
        <w:t>او قولنا</w:t>
      </w:r>
      <w:r w:rsidR="002B1EA9" w:rsidRPr="00FD211F">
        <w:rPr>
          <w:sz w:val="36"/>
          <w:szCs w:val="36"/>
          <w:rtl/>
        </w:rPr>
        <w:t xml:space="preserve"> </w:t>
      </w:r>
      <w:r w:rsidR="00F55A6F" w:rsidRPr="00FD211F">
        <w:rPr>
          <w:sz w:val="36"/>
          <w:szCs w:val="36"/>
          <w:rtl/>
        </w:rPr>
        <w:t>"أحكي لك أن زيدا قائم"</w:t>
      </w:r>
      <w:r w:rsidRPr="00FD211F">
        <w:rPr>
          <w:sz w:val="36"/>
          <w:szCs w:val="36"/>
          <w:rtl/>
        </w:rPr>
        <w:t xml:space="preserve"> لايكون المقصود منه الإخبار عن قصد الإخبار</w:t>
      </w:r>
      <w:r w:rsidR="00603323" w:rsidRPr="00FD211F">
        <w:rPr>
          <w:sz w:val="36"/>
          <w:szCs w:val="36"/>
          <w:rtl/>
        </w:rPr>
        <w:t xml:space="preserve">، </w:t>
      </w:r>
      <w:r w:rsidRPr="00FD211F">
        <w:rPr>
          <w:sz w:val="36"/>
          <w:szCs w:val="36"/>
          <w:rtl/>
        </w:rPr>
        <w:t>بل المقصود منه الاخبار عن نفس ثب</w:t>
      </w:r>
      <w:r w:rsidR="002C0FA4" w:rsidRPr="00FD211F">
        <w:rPr>
          <w:sz w:val="36"/>
          <w:szCs w:val="36"/>
          <w:rtl/>
        </w:rPr>
        <w:t>وت قيام زيد</w:t>
      </w:r>
      <w:r w:rsidR="00603323" w:rsidRPr="00FD211F">
        <w:rPr>
          <w:sz w:val="36"/>
          <w:szCs w:val="36"/>
          <w:rtl/>
        </w:rPr>
        <w:t xml:space="preserve">، </w:t>
      </w:r>
      <w:r w:rsidR="002C0FA4" w:rsidRPr="00FD211F">
        <w:rPr>
          <w:sz w:val="36"/>
          <w:szCs w:val="36"/>
          <w:rtl/>
        </w:rPr>
        <w:t>ولااشكال في أن</w:t>
      </w:r>
      <w:r w:rsidRPr="00FD211F">
        <w:rPr>
          <w:sz w:val="36"/>
          <w:szCs w:val="36"/>
          <w:rtl/>
        </w:rPr>
        <w:t xml:space="preserve"> هيئات الأفعال</w:t>
      </w:r>
      <w:r w:rsidR="002C0FA4" w:rsidRPr="00FD211F">
        <w:rPr>
          <w:sz w:val="36"/>
          <w:szCs w:val="36"/>
          <w:rtl/>
        </w:rPr>
        <w:t xml:space="preserve"> قدوضعت لمعانيها</w:t>
      </w:r>
      <w:r w:rsidRPr="00FD211F">
        <w:rPr>
          <w:sz w:val="36"/>
          <w:szCs w:val="36"/>
          <w:rtl/>
        </w:rPr>
        <w:t xml:space="preserve"> بوضع نوعي</w:t>
      </w:r>
      <w:r w:rsidR="002C0FA4" w:rsidRPr="00FD211F">
        <w:rPr>
          <w:sz w:val="36"/>
          <w:szCs w:val="36"/>
          <w:rtl/>
        </w:rPr>
        <w:t xml:space="preserve"> من دون لحاظ </w:t>
      </w:r>
      <w:r w:rsidRPr="00FD211F">
        <w:rPr>
          <w:sz w:val="36"/>
          <w:szCs w:val="36"/>
          <w:rtl/>
        </w:rPr>
        <w:t>المواد التي ت</w:t>
      </w:r>
      <w:r w:rsidR="002C0FA4" w:rsidRPr="00FD211F">
        <w:rPr>
          <w:sz w:val="36"/>
          <w:szCs w:val="36"/>
          <w:rtl/>
        </w:rPr>
        <w:t>عرضهاتلك الهيئات فليس لهيئ</w:t>
      </w:r>
      <w:r w:rsidR="00EC7EDF" w:rsidRPr="00FD211F">
        <w:rPr>
          <w:sz w:val="36"/>
          <w:szCs w:val="36"/>
          <w:rtl/>
        </w:rPr>
        <w:t xml:space="preserve">ة </w:t>
      </w:r>
      <w:r w:rsidR="002C0FA4" w:rsidRPr="00FD211F">
        <w:rPr>
          <w:sz w:val="36"/>
          <w:szCs w:val="36"/>
          <w:rtl/>
        </w:rPr>
        <w:t>"أخبرت"</w:t>
      </w:r>
      <w:r w:rsidR="002B1EA9" w:rsidRPr="00FD211F">
        <w:rPr>
          <w:sz w:val="36"/>
          <w:szCs w:val="36"/>
          <w:rtl/>
        </w:rPr>
        <w:t xml:space="preserve"> </w:t>
      </w:r>
      <w:r w:rsidR="002C0FA4" w:rsidRPr="00FD211F">
        <w:rPr>
          <w:sz w:val="36"/>
          <w:szCs w:val="36"/>
          <w:rtl/>
        </w:rPr>
        <w:t>وضع خاص مستقل حتى يد</w:t>
      </w:r>
      <w:r w:rsidR="007548A4" w:rsidRPr="00FD211F">
        <w:rPr>
          <w:sz w:val="36"/>
          <w:szCs w:val="36"/>
          <w:rtl/>
        </w:rPr>
        <w:t>ّ</w:t>
      </w:r>
      <w:r w:rsidR="002C0FA4" w:rsidRPr="00FD211F">
        <w:rPr>
          <w:sz w:val="36"/>
          <w:szCs w:val="36"/>
          <w:rtl/>
        </w:rPr>
        <w:t xml:space="preserve">عى </w:t>
      </w:r>
      <w:r w:rsidR="007548A4" w:rsidRPr="00FD211F">
        <w:rPr>
          <w:sz w:val="36"/>
          <w:szCs w:val="36"/>
          <w:rtl/>
        </w:rPr>
        <w:t xml:space="preserve">ان </w:t>
      </w:r>
      <w:r w:rsidR="002C0FA4" w:rsidRPr="00FD211F">
        <w:rPr>
          <w:sz w:val="36"/>
          <w:szCs w:val="36"/>
          <w:rtl/>
        </w:rPr>
        <w:t>هيئ</w:t>
      </w:r>
      <w:r w:rsidR="00EC7EDF" w:rsidRPr="00FD211F">
        <w:rPr>
          <w:sz w:val="36"/>
          <w:szCs w:val="36"/>
          <w:rtl/>
        </w:rPr>
        <w:t xml:space="preserve">ة </w:t>
      </w:r>
      <w:r w:rsidR="002C0FA4" w:rsidRPr="00FD211F">
        <w:rPr>
          <w:sz w:val="36"/>
          <w:szCs w:val="36"/>
          <w:rtl/>
        </w:rPr>
        <w:t>"اخبرت"مع الجمل</w:t>
      </w:r>
      <w:r w:rsidR="00EC7EDF" w:rsidRPr="00FD211F">
        <w:rPr>
          <w:sz w:val="36"/>
          <w:szCs w:val="36"/>
          <w:rtl/>
        </w:rPr>
        <w:t xml:space="preserve">ة </w:t>
      </w:r>
      <w:r w:rsidR="002C0FA4" w:rsidRPr="00FD211F">
        <w:rPr>
          <w:sz w:val="36"/>
          <w:szCs w:val="36"/>
          <w:rtl/>
        </w:rPr>
        <w:t>الخبري</w:t>
      </w:r>
      <w:r w:rsidR="00EC7EDF" w:rsidRPr="00FD211F">
        <w:rPr>
          <w:sz w:val="36"/>
          <w:szCs w:val="36"/>
          <w:rtl/>
        </w:rPr>
        <w:t xml:space="preserve">ة </w:t>
      </w:r>
      <w:r w:rsidR="002C0FA4" w:rsidRPr="00FD211F">
        <w:rPr>
          <w:sz w:val="36"/>
          <w:szCs w:val="36"/>
          <w:rtl/>
        </w:rPr>
        <w:t>التي تكون مفعولا</w:t>
      </w:r>
      <w:r w:rsidR="002B1EA9" w:rsidRPr="00FD211F">
        <w:rPr>
          <w:sz w:val="36"/>
          <w:szCs w:val="36"/>
          <w:rtl/>
        </w:rPr>
        <w:t xml:space="preserve"> </w:t>
      </w:r>
      <w:r w:rsidR="002C0FA4" w:rsidRPr="00FD211F">
        <w:rPr>
          <w:sz w:val="36"/>
          <w:szCs w:val="36"/>
          <w:rtl/>
        </w:rPr>
        <w:t>لها</w:t>
      </w:r>
      <w:r w:rsidR="002B1EA9" w:rsidRPr="00FD211F">
        <w:rPr>
          <w:sz w:val="36"/>
          <w:szCs w:val="36"/>
          <w:rtl/>
        </w:rPr>
        <w:t xml:space="preserve"> </w:t>
      </w:r>
      <w:r w:rsidR="007548A4" w:rsidRPr="00FD211F">
        <w:rPr>
          <w:sz w:val="36"/>
          <w:szCs w:val="36"/>
          <w:rtl/>
        </w:rPr>
        <w:t>قد</w:t>
      </w:r>
      <w:r w:rsidR="002B1EA9" w:rsidRPr="00FD211F">
        <w:rPr>
          <w:sz w:val="36"/>
          <w:szCs w:val="36"/>
          <w:rtl/>
        </w:rPr>
        <w:t xml:space="preserve"> </w:t>
      </w:r>
      <w:r w:rsidR="007548A4" w:rsidRPr="00FD211F">
        <w:rPr>
          <w:sz w:val="36"/>
          <w:szCs w:val="36"/>
          <w:rtl/>
        </w:rPr>
        <w:t xml:space="preserve">وضعت </w:t>
      </w:r>
      <w:r w:rsidR="002C0FA4" w:rsidRPr="00FD211F">
        <w:rPr>
          <w:sz w:val="36"/>
          <w:szCs w:val="36"/>
          <w:rtl/>
        </w:rPr>
        <w:t>على قصد</w:t>
      </w:r>
      <w:r w:rsidR="002B1EA9" w:rsidRPr="00FD211F">
        <w:rPr>
          <w:sz w:val="36"/>
          <w:szCs w:val="36"/>
          <w:rtl/>
        </w:rPr>
        <w:t xml:space="preserve"> </w:t>
      </w:r>
      <w:r w:rsidR="002C0FA4" w:rsidRPr="00FD211F">
        <w:rPr>
          <w:sz w:val="36"/>
          <w:szCs w:val="36"/>
          <w:rtl/>
        </w:rPr>
        <w:t>الاخبار</w:t>
      </w:r>
      <w:r w:rsidR="002B1EA9" w:rsidRPr="00FD211F">
        <w:rPr>
          <w:sz w:val="36"/>
          <w:szCs w:val="36"/>
          <w:rtl/>
        </w:rPr>
        <w:t xml:space="preserve"> </w:t>
      </w:r>
      <w:r w:rsidR="00BD2349" w:rsidRPr="00FD211F">
        <w:rPr>
          <w:sz w:val="36"/>
          <w:szCs w:val="36"/>
          <w:rtl/>
        </w:rPr>
        <w:t>من دون ان توضع هيئ</w:t>
      </w:r>
      <w:r w:rsidR="00EC7EDF" w:rsidRPr="00FD211F">
        <w:rPr>
          <w:sz w:val="36"/>
          <w:szCs w:val="36"/>
          <w:rtl/>
        </w:rPr>
        <w:t xml:space="preserve">ة </w:t>
      </w:r>
      <w:r w:rsidR="00BD2349" w:rsidRPr="00FD211F">
        <w:rPr>
          <w:sz w:val="36"/>
          <w:szCs w:val="36"/>
          <w:rtl/>
        </w:rPr>
        <w:t>الجمل</w:t>
      </w:r>
      <w:r w:rsidR="00EC7EDF" w:rsidRPr="00FD211F">
        <w:rPr>
          <w:sz w:val="36"/>
          <w:szCs w:val="36"/>
          <w:rtl/>
        </w:rPr>
        <w:t xml:space="preserve">ة </w:t>
      </w:r>
      <w:r w:rsidR="00BD2349" w:rsidRPr="00FD211F">
        <w:rPr>
          <w:sz w:val="36"/>
          <w:szCs w:val="36"/>
          <w:rtl/>
        </w:rPr>
        <w:t>التي تكون مفعولا</w:t>
      </w:r>
      <w:r w:rsidR="002B1EA9" w:rsidRPr="00FD211F">
        <w:rPr>
          <w:sz w:val="36"/>
          <w:szCs w:val="36"/>
          <w:rtl/>
        </w:rPr>
        <w:t xml:space="preserve"> </w:t>
      </w:r>
      <w:r w:rsidR="00BD2349" w:rsidRPr="00FD211F">
        <w:rPr>
          <w:sz w:val="36"/>
          <w:szCs w:val="36"/>
          <w:rtl/>
        </w:rPr>
        <w:t>لها</w:t>
      </w:r>
      <w:r w:rsidR="002B1EA9" w:rsidRPr="00FD211F">
        <w:rPr>
          <w:sz w:val="36"/>
          <w:szCs w:val="36"/>
          <w:rtl/>
        </w:rPr>
        <w:t xml:space="preserve"> </w:t>
      </w:r>
      <w:r w:rsidR="00BD2349" w:rsidRPr="00FD211F">
        <w:rPr>
          <w:sz w:val="36"/>
          <w:szCs w:val="36"/>
          <w:rtl/>
        </w:rPr>
        <w:t>على قصد</w:t>
      </w:r>
      <w:r w:rsidR="002B1EA9" w:rsidRPr="00FD211F">
        <w:rPr>
          <w:sz w:val="36"/>
          <w:szCs w:val="36"/>
          <w:rtl/>
        </w:rPr>
        <w:t xml:space="preserve"> </w:t>
      </w:r>
      <w:r w:rsidR="00BD2349" w:rsidRPr="00FD211F">
        <w:rPr>
          <w:sz w:val="36"/>
          <w:szCs w:val="36"/>
          <w:rtl/>
        </w:rPr>
        <w:t>الاخبار</w:t>
      </w:r>
      <w:r w:rsidR="009C58C8" w:rsidRPr="00FD211F">
        <w:rPr>
          <w:rStyle w:val="a6"/>
          <w:sz w:val="36"/>
          <w:szCs w:val="36"/>
          <w:rtl/>
        </w:rPr>
        <w:t>(</w:t>
      </w:r>
      <w:r w:rsidR="009C58C8" w:rsidRPr="00FD211F">
        <w:rPr>
          <w:rStyle w:val="a6"/>
          <w:sz w:val="36"/>
          <w:szCs w:val="36"/>
          <w:rtl/>
        </w:rPr>
        <w:footnoteReference w:id="195"/>
      </w:r>
      <w:r w:rsidR="009C58C8" w:rsidRPr="00FD211F">
        <w:rPr>
          <w:rStyle w:val="a6"/>
          <w:sz w:val="36"/>
          <w:szCs w:val="36"/>
          <w:rtl/>
        </w:rPr>
        <w:t>)</w:t>
      </w:r>
      <w:r w:rsidRPr="00FD211F">
        <w:rPr>
          <w:sz w:val="36"/>
          <w:szCs w:val="36"/>
          <w:rtl/>
        </w:rPr>
        <w:t xml:space="preserve">. </w:t>
      </w:r>
    </w:p>
    <w:p w14:paraId="20246532" w14:textId="77777777" w:rsidR="00556BC0" w:rsidRPr="00FD211F" w:rsidRDefault="00574753" w:rsidP="009C58C8">
      <w:pPr>
        <w:ind w:left="0" w:firstLine="227"/>
        <w:jc w:val="both"/>
        <w:rPr>
          <w:sz w:val="36"/>
          <w:szCs w:val="36"/>
          <w:rtl/>
        </w:rPr>
      </w:pPr>
      <w:r w:rsidRPr="00FD211F">
        <w:rPr>
          <w:sz w:val="36"/>
          <w:szCs w:val="36"/>
          <w:rtl/>
        </w:rPr>
        <w:t>ثم انه اخ</w:t>
      </w:r>
      <w:r w:rsidR="009A0B1E" w:rsidRPr="00FD211F">
        <w:rPr>
          <w:sz w:val="36"/>
          <w:szCs w:val="36"/>
          <w:rtl/>
        </w:rPr>
        <w:t>تار السيد الصدر "قده"</w:t>
      </w:r>
      <w:r w:rsidRPr="00FD211F">
        <w:rPr>
          <w:sz w:val="36"/>
          <w:szCs w:val="36"/>
          <w:rtl/>
        </w:rPr>
        <w:t xml:space="preserve"> </w:t>
      </w:r>
      <w:r w:rsidR="009D0801" w:rsidRPr="00FD211F">
        <w:rPr>
          <w:sz w:val="36"/>
          <w:szCs w:val="36"/>
          <w:rtl/>
        </w:rPr>
        <w:t>قول</w:t>
      </w:r>
      <w:r w:rsidRPr="00FD211F">
        <w:rPr>
          <w:sz w:val="36"/>
          <w:szCs w:val="36"/>
          <w:rtl/>
        </w:rPr>
        <w:t xml:space="preserve">ا </w:t>
      </w:r>
      <w:r w:rsidR="009D0801" w:rsidRPr="00FD211F">
        <w:rPr>
          <w:sz w:val="36"/>
          <w:szCs w:val="36"/>
          <w:rtl/>
        </w:rPr>
        <w:t>ثالث</w:t>
      </w:r>
      <w:r w:rsidRPr="00FD211F">
        <w:rPr>
          <w:sz w:val="36"/>
          <w:szCs w:val="36"/>
          <w:rtl/>
        </w:rPr>
        <w:t>ا</w:t>
      </w:r>
      <w:r w:rsidR="00F55A6F" w:rsidRPr="00FD211F">
        <w:rPr>
          <w:sz w:val="36"/>
          <w:szCs w:val="36"/>
          <w:rtl/>
        </w:rPr>
        <w:t xml:space="preserve"> </w:t>
      </w:r>
      <w:r w:rsidRPr="00FD211F">
        <w:rPr>
          <w:sz w:val="36"/>
          <w:szCs w:val="36"/>
          <w:rtl/>
        </w:rPr>
        <w:t>وهو</w:t>
      </w:r>
      <w:r w:rsidR="009D0801" w:rsidRPr="00FD211F">
        <w:rPr>
          <w:sz w:val="36"/>
          <w:szCs w:val="36"/>
          <w:rtl/>
        </w:rPr>
        <w:t xml:space="preserve"> ان </w:t>
      </w:r>
      <w:r w:rsidR="00556BC0" w:rsidRPr="00FD211F">
        <w:rPr>
          <w:sz w:val="36"/>
          <w:szCs w:val="36"/>
          <w:rtl/>
        </w:rPr>
        <w:t>الصحيح ان منشأ كون قولنا "زيد عالم" جمل</w:t>
      </w:r>
      <w:r w:rsidR="00EC7EDF" w:rsidRPr="00FD211F">
        <w:rPr>
          <w:sz w:val="36"/>
          <w:szCs w:val="36"/>
          <w:rtl/>
        </w:rPr>
        <w:t xml:space="preserve">ة </w:t>
      </w:r>
      <w:r w:rsidR="00556BC0" w:rsidRPr="00FD211F">
        <w:rPr>
          <w:sz w:val="36"/>
          <w:szCs w:val="36"/>
          <w:rtl/>
        </w:rPr>
        <w:t>تام</w:t>
      </w:r>
      <w:r w:rsidR="00EC7EDF" w:rsidRPr="00FD211F">
        <w:rPr>
          <w:sz w:val="36"/>
          <w:szCs w:val="36"/>
          <w:rtl/>
        </w:rPr>
        <w:t xml:space="preserve">ة </w:t>
      </w:r>
      <w:r w:rsidR="00BD2349" w:rsidRPr="00FD211F">
        <w:rPr>
          <w:sz w:val="36"/>
          <w:szCs w:val="36"/>
          <w:rtl/>
        </w:rPr>
        <w:t>هو</w:t>
      </w:r>
      <w:r w:rsidR="00556BC0" w:rsidRPr="00FD211F">
        <w:rPr>
          <w:sz w:val="36"/>
          <w:szCs w:val="36"/>
          <w:rtl/>
        </w:rPr>
        <w:t>اشتماله على واقع النسب</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 xml:space="preserve">ة </w:t>
      </w:r>
      <w:r w:rsidR="00EF5A70" w:rsidRPr="00FD211F">
        <w:rPr>
          <w:sz w:val="36"/>
          <w:szCs w:val="36"/>
          <w:rtl/>
        </w:rPr>
        <w:t>وهوالموضوع له لهيئ</w:t>
      </w:r>
      <w:r w:rsidR="00EC7EDF" w:rsidRPr="00FD211F">
        <w:rPr>
          <w:sz w:val="36"/>
          <w:szCs w:val="36"/>
          <w:rtl/>
        </w:rPr>
        <w:t xml:space="preserve">ة </w:t>
      </w:r>
      <w:r w:rsidR="00EF5A70" w:rsidRPr="00FD211F">
        <w:rPr>
          <w:sz w:val="36"/>
          <w:szCs w:val="36"/>
          <w:rtl/>
        </w:rPr>
        <w:t>الجمل</w:t>
      </w:r>
      <w:r w:rsidR="00EC7EDF" w:rsidRPr="00FD211F">
        <w:rPr>
          <w:sz w:val="36"/>
          <w:szCs w:val="36"/>
          <w:rtl/>
        </w:rPr>
        <w:t xml:space="preserve">ة </w:t>
      </w:r>
      <w:r w:rsidR="00EF5A70" w:rsidRPr="00FD211F">
        <w:rPr>
          <w:sz w:val="36"/>
          <w:szCs w:val="36"/>
          <w:rtl/>
        </w:rPr>
        <w:t>الخبري</w:t>
      </w:r>
      <w:r w:rsidR="00EC7EDF" w:rsidRPr="00FD211F">
        <w:rPr>
          <w:sz w:val="36"/>
          <w:szCs w:val="36"/>
          <w:rtl/>
        </w:rPr>
        <w:t>ة</w:t>
      </w:r>
      <w:r w:rsidR="00603323" w:rsidRPr="00FD211F">
        <w:rPr>
          <w:sz w:val="36"/>
          <w:szCs w:val="36"/>
          <w:rtl/>
        </w:rPr>
        <w:t xml:space="preserve">، </w:t>
      </w:r>
      <w:r w:rsidR="00556BC0" w:rsidRPr="00FD211F">
        <w:rPr>
          <w:sz w:val="36"/>
          <w:szCs w:val="36"/>
          <w:rtl/>
        </w:rPr>
        <w:t>بخلاف قولنا "زيد العالم"</w:t>
      </w:r>
      <w:r w:rsidR="00603323" w:rsidRPr="00FD211F">
        <w:rPr>
          <w:sz w:val="36"/>
          <w:szCs w:val="36"/>
          <w:rtl/>
        </w:rPr>
        <w:t xml:space="preserve">، </w:t>
      </w:r>
      <w:r w:rsidR="00556BC0" w:rsidRPr="00FD211F">
        <w:rPr>
          <w:sz w:val="36"/>
          <w:szCs w:val="36"/>
          <w:rtl/>
        </w:rPr>
        <w:t>فانه مشتمل على النسب</w:t>
      </w:r>
      <w:r w:rsidR="00EC7EDF" w:rsidRPr="00FD211F">
        <w:rPr>
          <w:sz w:val="36"/>
          <w:szCs w:val="36"/>
          <w:rtl/>
        </w:rPr>
        <w:t xml:space="preserve">ة </w:t>
      </w:r>
      <w:r w:rsidR="00556BC0" w:rsidRPr="00FD211F">
        <w:rPr>
          <w:sz w:val="36"/>
          <w:szCs w:val="36"/>
          <w:rtl/>
        </w:rPr>
        <w:t>التحليلي</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ة</w:t>
      </w:r>
      <w:r w:rsidR="00603323" w:rsidRPr="00FD211F">
        <w:rPr>
          <w:sz w:val="36"/>
          <w:szCs w:val="36"/>
          <w:rtl/>
        </w:rPr>
        <w:t xml:space="preserve">، </w:t>
      </w:r>
      <w:r w:rsidR="00BD2349" w:rsidRPr="00FD211F">
        <w:rPr>
          <w:sz w:val="36"/>
          <w:szCs w:val="36"/>
          <w:rtl/>
        </w:rPr>
        <w:t>حيث ان الجمل</w:t>
      </w:r>
      <w:r w:rsidR="00EC7EDF" w:rsidRPr="00FD211F">
        <w:rPr>
          <w:sz w:val="36"/>
          <w:szCs w:val="36"/>
          <w:rtl/>
        </w:rPr>
        <w:t xml:space="preserve">ة </w:t>
      </w:r>
      <w:r w:rsidR="001D5BF0" w:rsidRPr="00FD211F">
        <w:rPr>
          <w:sz w:val="36"/>
          <w:szCs w:val="36"/>
          <w:rtl/>
        </w:rPr>
        <w:t>الوصفي</w:t>
      </w:r>
      <w:r w:rsidR="00EC7EDF" w:rsidRPr="00FD211F">
        <w:rPr>
          <w:sz w:val="36"/>
          <w:szCs w:val="36"/>
          <w:rtl/>
        </w:rPr>
        <w:t xml:space="preserve">ة </w:t>
      </w:r>
      <w:r w:rsidR="001D5BF0" w:rsidRPr="00FD211F">
        <w:rPr>
          <w:sz w:val="36"/>
          <w:szCs w:val="36"/>
          <w:rtl/>
        </w:rPr>
        <w:t xml:space="preserve">ذات مفهوم </w:t>
      </w:r>
      <w:r w:rsidR="00771991" w:rsidRPr="00FD211F">
        <w:rPr>
          <w:sz w:val="36"/>
          <w:szCs w:val="36"/>
          <w:rtl/>
        </w:rPr>
        <w:t>مفردبسيط</w:t>
      </w:r>
      <w:r w:rsidR="001D5BF0" w:rsidRPr="00FD211F">
        <w:rPr>
          <w:sz w:val="36"/>
          <w:szCs w:val="36"/>
          <w:rtl/>
        </w:rPr>
        <w:t xml:space="preserve"> </w:t>
      </w:r>
      <w:r w:rsidR="00771991" w:rsidRPr="00FD211F">
        <w:rPr>
          <w:sz w:val="36"/>
          <w:szCs w:val="36"/>
          <w:rtl/>
        </w:rPr>
        <w:t xml:space="preserve">وان كان ينحل بالتعمل العقلي الى </w:t>
      </w:r>
      <w:r w:rsidR="00BD2349" w:rsidRPr="00FD211F">
        <w:rPr>
          <w:sz w:val="36"/>
          <w:szCs w:val="36"/>
          <w:rtl/>
        </w:rPr>
        <w:t>ثلاث</w:t>
      </w:r>
      <w:r w:rsidR="00EC7EDF" w:rsidRPr="00FD211F">
        <w:rPr>
          <w:sz w:val="36"/>
          <w:szCs w:val="36"/>
          <w:rtl/>
        </w:rPr>
        <w:t xml:space="preserve">ة </w:t>
      </w:r>
      <w:r w:rsidR="00BD2349" w:rsidRPr="00FD211F">
        <w:rPr>
          <w:sz w:val="36"/>
          <w:szCs w:val="36"/>
          <w:rtl/>
        </w:rPr>
        <w:t>اجزاء:الموصوف</w:t>
      </w:r>
      <w:r w:rsidR="00603323" w:rsidRPr="00FD211F">
        <w:rPr>
          <w:sz w:val="36"/>
          <w:szCs w:val="36"/>
          <w:rtl/>
        </w:rPr>
        <w:t xml:space="preserve">، </w:t>
      </w:r>
      <w:r w:rsidR="00EF5A70" w:rsidRPr="00FD211F">
        <w:rPr>
          <w:sz w:val="36"/>
          <w:szCs w:val="36"/>
          <w:rtl/>
        </w:rPr>
        <w:t>الوصف</w:t>
      </w:r>
      <w:r w:rsidR="00603323" w:rsidRPr="00FD211F">
        <w:rPr>
          <w:sz w:val="36"/>
          <w:szCs w:val="36"/>
          <w:rtl/>
        </w:rPr>
        <w:t xml:space="preserve">، </w:t>
      </w:r>
      <w:r w:rsidR="00EF5A70" w:rsidRPr="00FD211F">
        <w:rPr>
          <w:sz w:val="36"/>
          <w:szCs w:val="36"/>
          <w:rtl/>
        </w:rPr>
        <w:t>النسب</w:t>
      </w:r>
      <w:r w:rsidR="00EC7EDF" w:rsidRPr="00FD211F">
        <w:rPr>
          <w:sz w:val="36"/>
          <w:szCs w:val="36"/>
          <w:rtl/>
        </w:rPr>
        <w:t xml:space="preserve">ة </w:t>
      </w:r>
      <w:r w:rsidR="00EF5A70" w:rsidRPr="00FD211F">
        <w:rPr>
          <w:sz w:val="36"/>
          <w:szCs w:val="36"/>
          <w:rtl/>
        </w:rPr>
        <w:t>التحليلي</w:t>
      </w:r>
      <w:r w:rsidR="00EC7EDF" w:rsidRPr="00FD211F">
        <w:rPr>
          <w:sz w:val="36"/>
          <w:szCs w:val="36"/>
          <w:rtl/>
        </w:rPr>
        <w:t xml:space="preserve">ة </w:t>
      </w:r>
      <w:r w:rsidR="00EF5A70" w:rsidRPr="00FD211F">
        <w:rPr>
          <w:sz w:val="36"/>
          <w:szCs w:val="36"/>
          <w:rtl/>
        </w:rPr>
        <w:t>التصادقي</w:t>
      </w:r>
      <w:r w:rsidR="00EC7EDF" w:rsidRPr="00FD211F">
        <w:rPr>
          <w:sz w:val="36"/>
          <w:szCs w:val="36"/>
          <w:rtl/>
        </w:rPr>
        <w:t>ة</w:t>
      </w:r>
      <w:r w:rsidR="00A61BAE" w:rsidRPr="00FD211F">
        <w:rPr>
          <w:sz w:val="36"/>
          <w:szCs w:val="36"/>
          <w:rtl/>
        </w:rPr>
        <w:t>.</w:t>
      </w:r>
    </w:p>
    <w:p w14:paraId="2F4AE663" w14:textId="77777777" w:rsidR="00556BC0" w:rsidRPr="00FD211F" w:rsidRDefault="00556BC0" w:rsidP="009C58C8">
      <w:pPr>
        <w:ind w:left="0" w:firstLine="227"/>
        <w:jc w:val="both"/>
        <w:rPr>
          <w:sz w:val="36"/>
          <w:szCs w:val="36"/>
          <w:rtl/>
        </w:rPr>
      </w:pPr>
      <w:r w:rsidRPr="00FD211F">
        <w:rPr>
          <w:sz w:val="36"/>
          <w:szCs w:val="36"/>
          <w:rtl/>
        </w:rPr>
        <w:t>ان قلت: لما كان الواقع الذي يلحظ الجمل</w:t>
      </w:r>
      <w:r w:rsidR="00EC7EDF" w:rsidRPr="00FD211F">
        <w:rPr>
          <w:sz w:val="36"/>
          <w:szCs w:val="36"/>
          <w:rtl/>
        </w:rPr>
        <w:t xml:space="preserve">ة </w:t>
      </w:r>
      <w:r w:rsidRPr="00FD211F">
        <w:rPr>
          <w:sz w:val="36"/>
          <w:szCs w:val="36"/>
          <w:rtl/>
        </w:rPr>
        <w:t>فاني</w:t>
      </w:r>
      <w:r w:rsidR="00EC7EDF" w:rsidRPr="00FD211F">
        <w:rPr>
          <w:sz w:val="36"/>
          <w:szCs w:val="36"/>
          <w:rtl/>
        </w:rPr>
        <w:t xml:space="preserve">ة </w:t>
      </w:r>
      <w:r w:rsidRPr="00FD211F">
        <w:rPr>
          <w:sz w:val="36"/>
          <w:szCs w:val="36"/>
          <w:rtl/>
        </w:rPr>
        <w:t>فيه فاقدا للنسب</w:t>
      </w:r>
      <w:r w:rsidR="00EC7EDF" w:rsidRPr="00FD211F">
        <w:rPr>
          <w:sz w:val="36"/>
          <w:szCs w:val="36"/>
          <w:rtl/>
        </w:rPr>
        <w:t xml:space="preserve">ة </w:t>
      </w:r>
      <w:r w:rsidRPr="00FD211F">
        <w:rPr>
          <w:sz w:val="36"/>
          <w:szCs w:val="36"/>
          <w:rtl/>
        </w:rPr>
        <w:t>التصادقي</w:t>
      </w:r>
      <w:r w:rsidR="00EC7EDF" w:rsidRPr="00FD211F">
        <w:rPr>
          <w:sz w:val="36"/>
          <w:szCs w:val="36"/>
          <w:rtl/>
        </w:rPr>
        <w:t>ة</w:t>
      </w:r>
      <w:r w:rsidR="00603323" w:rsidRPr="00FD211F">
        <w:rPr>
          <w:sz w:val="36"/>
          <w:szCs w:val="36"/>
          <w:rtl/>
        </w:rPr>
        <w:t xml:space="preserve">، </w:t>
      </w:r>
      <w:r w:rsidRPr="00FD211F">
        <w:rPr>
          <w:sz w:val="36"/>
          <w:szCs w:val="36"/>
          <w:rtl/>
        </w:rPr>
        <w:t>لان ما في الواقع انما هو وجود واحد يكون زيدا وعالما</w:t>
      </w:r>
      <w:r w:rsidR="00603323" w:rsidRPr="00FD211F">
        <w:rPr>
          <w:sz w:val="36"/>
          <w:szCs w:val="36"/>
          <w:rtl/>
        </w:rPr>
        <w:t xml:space="preserve">، </w:t>
      </w:r>
      <w:r w:rsidRPr="00FD211F">
        <w:rPr>
          <w:sz w:val="36"/>
          <w:szCs w:val="36"/>
          <w:rtl/>
        </w:rPr>
        <w:t>فكيف يلحظ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الموجود</w:t>
      </w:r>
      <w:r w:rsidR="00EC7EDF" w:rsidRPr="00FD211F">
        <w:rPr>
          <w:sz w:val="36"/>
          <w:szCs w:val="36"/>
          <w:rtl/>
        </w:rPr>
        <w:t xml:space="preserve">ة </w:t>
      </w:r>
      <w:r w:rsidRPr="00FD211F">
        <w:rPr>
          <w:sz w:val="36"/>
          <w:szCs w:val="36"/>
          <w:rtl/>
        </w:rPr>
        <w:t>في الذهن فاني</w:t>
      </w:r>
      <w:r w:rsidR="00EC7EDF" w:rsidRPr="00FD211F">
        <w:rPr>
          <w:sz w:val="36"/>
          <w:szCs w:val="36"/>
          <w:rtl/>
        </w:rPr>
        <w:t xml:space="preserve">ة </w:t>
      </w:r>
      <w:r w:rsidRPr="00FD211F">
        <w:rPr>
          <w:sz w:val="36"/>
          <w:szCs w:val="36"/>
          <w:rtl/>
        </w:rPr>
        <w:t>في الخارج بعد ان</w:t>
      </w:r>
      <w:r w:rsidR="008D7B3D" w:rsidRPr="00FD211F">
        <w:rPr>
          <w:sz w:val="36"/>
          <w:szCs w:val="36"/>
          <w:rtl/>
        </w:rPr>
        <w:t xml:space="preserve"> لم‌</w:t>
      </w:r>
      <w:r w:rsidRPr="00FD211F">
        <w:rPr>
          <w:sz w:val="36"/>
          <w:szCs w:val="36"/>
          <w:rtl/>
        </w:rPr>
        <w:t>يكن لها مطابق خارجا</w:t>
      </w:r>
      <w:r w:rsidR="00603323" w:rsidRPr="00FD211F">
        <w:rPr>
          <w:sz w:val="36"/>
          <w:szCs w:val="36"/>
          <w:rtl/>
        </w:rPr>
        <w:t xml:space="preserve">، </w:t>
      </w:r>
      <w:r w:rsidRPr="00FD211F">
        <w:rPr>
          <w:sz w:val="36"/>
          <w:szCs w:val="36"/>
          <w:rtl/>
        </w:rPr>
        <w:t>وان شئت قلت انه بعد ان</w:t>
      </w:r>
      <w:r w:rsidR="008D7B3D" w:rsidRPr="00FD211F">
        <w:rPr>
          <w:sz w:val="36"/>
          <w:szCs w:val="36"/>
          <w:rtl/>
        </w:rPr>
        <w:t xml:space="preserve"> لم‌</w:t>
      </w:r>
      <w:r w:rsidRPr="00FD211F">
        <w:rPr>
          <w:sz w:val="36"/>
          <w:szCs w:val="36"/>
          <w:rtl/>
        </w:rPr>
        <w:t>تكن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خصوصي</w:t>
      </w:r>
      <w:r w:rsidR="00EC7EDF" w:rsidRPr="00FD211F">
        <w:rPr>
          <w:sz w:val="36"/>
          <w:szCs w:val="36"/>
          <w:rtl/>
        </w:rPr>
        <w:t xml:space="preserve">ة </w:t>
      </w:r>
      <w:r w:rsidRPr="00FD211F">
        <w:rPr>
          <w:sz w:val="36"/>
          <w:szCs w:val="36"/>
          <w:rtl/>
        </w:rPr>
        <w:t>في الواقع الملحوظ لعدم مطابق لها خارجا</w:t>
      </w:r>
      <w:r w:rsidR="00603323" w:rsidRPr="00FD211F">
        <w:rPr>
          <w:sz w:val="36"/>
          <w:szCs w:val="36"/>
          <w:rtl/>
        </w:rPr>
        <w:t xml:space="preserve">، </w:t>
      </w:r>
      <w:r w:rsidRPr="00FD211F">
        <w:rPr>
          <w:sz w:val="36"/>
          <w:szCs w:val="36"/>
          <w:rtl/>
        </w:rPr>
        <w:t>فلابد ان تكون خصوصي</w:t>
      </w:r>
      <w:r w:rsidR="00EC7EDF" w:rsidRPr="00FD211F">
        <w:rPr>
          <w:sz w:val="36"/>
          <w:szCs w:val="36"/>
          <w:rtl/>
        </w:rPr>
        <w:t xml:space="preserve">ة </w:t>
      </w:r>
      <w:r w:rsidRPr="00FD211F">
        <w:rPr>
          <w:sz w:val="36"/>
          <w:szCs w:val="36"/>
          <w:rtl/>
        </w:rPr>
        <w:t>في نفس اللحاظ</w:t>
      </w:r>
      <w:r w:rsidR="00603323" w:rsidRPr="00FD211F">
        <w:rPr>
          <w:sz w:val="36"/>
          <w:szCs w:val="36"/>
          <w:rtl/>
        </w:rPr>
        <w:t xml:space="preserve">، </w:t>
      </w:r>
      <w:r w:rsidRPr="00FD211F">
        <w:rPr>
          <w:sz w:val="36"/>
          <w:szCs w:val="36"/>
          <w:rtl/>
        </w:rPr>
        <w:t>فلازمه ان لايلتفت الذهن بالنظر التصوري الاولي اليه</w:t>
      </w:r>
      <w:r w:rsidR="00603323" w:rsidRPr="00FD211F">
        <w:rPr>
          <w:sz w:val="36"/>
          <w:szCs w:val="36"/>
          <w:rtl/>
        </w:rPr>
        <w:t xml:space="preserve">، </w:t>
      </w:r>
      <w:r w:rsidRPr="00FD211F">
        <w:rPr>
          <w:sz w:val="36"/>
          <w:szCs w:val="36"/>
          <w:rtl/>
        </w:rPr>
        <w:t>مع انه ليس كذلك.</w:t>
      </w:r>
    </w:p>
    <w:p w14:paraId="677538C8" w14:textId="77777777" w:rsidR="00EF5A70" w:rsidRPr="00FD211F" w:rsidRDefault="00556BC0" w:rsidP="009C58C8">
      <w:pPr>
        <w:ind w:left="0" w:firstLine="227"/>
        <w:jc w:val="both"/>
        <w:rPr>
          <w:sz w:val="36"/>
          <w:szCs w:val="36"/>
          <w:rtl/>
        </w:rPr>
      </w:pPr>
      <w:r w:rsidRPr="00FD211F">
        <w:rPr>
          <w:sz w:val="36"/>
          <w:szCs w:val="36"/>
          <w:rtl/>
        </w:rPr>
        <w:t>قلت: انه وان</w:t>
      </w:r>
      <w:r w:rsidR="008D7B3D" w:rsidRPr="00FD211F">
        <w:rPr>
          <w:sz w:val="36"/>
          <w:szCs w:val="36"/>
          <w:rtl/>
        </w:rPr>
        <w:t xml:space="preserve"> لم‌</w:t>
      </w:r>
      <w:r w:rsidRPr="00FD211F">
        <w:rPr>
          <w:sz w:val="36"/>
          <w:szCs w:val="36"/>
          <w:rtl/>
        </w:rPr>
        <w:t>تكن للنسب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خصوصي</w:t>
      </w:r>
      <w:r w:rsidR="00EC7EDF" w:rsidRPr="00FD211F">
        <w:rPr>
          <w:sz w:val="36"/>
          <w:szCs w:val="36"/>
          <w:rtl/>
        </w:rPr>
        <w:t xml:space="preserve">ة </w:t>
      </w:r>
      <w:r w:rsidRPr="00FD211F">
        <w:rPr>
          <w:sz w:val="36"/>
          <w:szCs w:val="36"/>
          <w:rtl/>
        </w:rPr>
        <w:t>في الواقع الملحوظ</w:t>
      </w:r>
      <w:r w:rsidR="00603323" w:rsidRPr="00FD211F">
        <w:rPr>
          <w:sz w:val="36"/>
          <w:szCs w:val="36"/>
          <w:rtl/>
        </w:rPr>
        <w:t xml:space="preserve">، </w:t>
      </w:r>
      <w:r w:rsidRPr="00FD211F">
        <w:rPr>
          <w:sz w:val="36"/>
          <w:szCs w:val="36"/>
          <w:rtl/>
        </w:rPr>
        <w:t>وانما هي خصوصي</w:t>
      </w:r>
      <w:r w:rsidR="00EC7EDF" w:rsidRPr="00FD211F">
        <w:rPr>
          <w:sz w:val="36"/>
          <w:szCs w:val="36"/>
          <w:rtl/>
        </w:rPr>
        <w:t xml:space="preserve">ة </w:t>
      </w:r>
      <w:r w:rsidRPr="00FD211F">
        <w:rPr>
          <w:sz w:val="36"/>
          <w:szCs w:val="36"/>
          <w:rtl/>
        </w:rPr>
        <w:t>قائم</w:t>
      </w:r>
      <w:r w:rsidR="00EC7EDF" w:rsidRPr="00FD211F">
        <w:rPr>
          <w:sz w:val="36"/>
          <w:szCs w:val="36"/>
          <w:rtl/>
        </w:rPr>
        <w:t xml:space="preserve">ة </w:t>
      </w:r>
      <w:r w:rsidRPr="00FD211F">
        <w:rPr>
          <w:sz w:val="36"/>
          <w:szCs w:val="36"/>
          <w:rtl/>
        </w:rPr>
        <w:t>في اللحاظ ولكن لابما انه موجود ذهني</w:t>
      </w:r>
      <w:r w:rsidR="00603323" w:rsidRPr="00FD211F">
        <w:rPr>
          <w:sz w:val="36"/>
          <w:szCs w:val="36"/>
          <w:rtl/>
        </w:rPr>
        <w:t xml:space="preserve">، </w:t>
      </w:r>
      <w:r w:rsidRPr="00FD211F">
        <w:rPr>
          <w:sz w:val="36"/>
          <w:szCs w:val="36"/>
          <w:rtl/>
        </w:rPr>
        <w:t>حتى يقال بانه لايلتفت اليه الا بالنظر التصديقي والثانوي</w:t>
      </w:r>
      <w:r w:rsidR="00603323" w:rsidRPr="00FD211F">
        <w:rPr>
          <w:sz w:val="36"/>
          <w:szCs w:val="36"/>
          <w:rtl/>
        </w:rPr>
        <w:t xml:space="preserve">، </w:t>
      </w:r>
      <w:r w:rsidRPr="00FD211F">
        <w:rPr>
          <w:sz w:val="36"/>
          <w:szCs w:val="36"/>
          <w:rtl/>
        </w:rPr>
        <w:t>بل هي قائم</w:t>
      </w:r>
      <w:r w:rsidR="00EC7EDF" w:rsidRPr="00FD211F">
        <w:rPr>
          <w:sz w:val="36"/>
          <w:szCs w:val="36"/>
          <w:rtl/>
        </w:rPr>
        <w:t xml:space="preserve">ة </w:t>
      </w:r>
      <w:r w:rsidRPr="00FD211F">
        <w:rPr>
          <w:sz w:val="36"/>
          <w:szCs w:val="36"/>
          <w:rtl/>
        </w:rPr>
        <w:t>باللحاظ من حيث اراءته وكشفه عن الواقع مثل خصوصي</w:t>
      </w:r>
      <w:r w:rsidR="00EC7EDF" w:rsidRPr="00FD211F">
        <w:rPr>
          <w:sz w:val="36"/>
          <w:szCs w:val="36"/>
          <w:rtl/>
        </w:rPr>
        <w:t xml:space="preserve">ة </w:t>
      </w:r>
      <w:r w:rsidRPr="00FD211F">
        <w:rPr>
          <w:sz w:val="36"/>
          <w:szCs w:val="36"/>
          <w:rtl/>
        </w:rPr>
        <w:t>إفناء اللحاظ في الخارج</w:t>
      </w:r>
      <w:r w:rsidR="00603323" w:rsidRPr="00FD211F">
        <w:rPr>
          <w:sz w:val="36"/>
          <w:szCs w:val="36"/>
          <w:rtl/>
        </w:rPr>
        <w:t xml:space="preserve">، </w:t>
      </w:r>
      <w:r w:rsidRPr="00FD211F">
        <w:rPr>
          <w:sz w:val="36"/>
          <w:szCs w:val="36"/>
          <w:rtl/>
        </w:rPr>
        <w:t>فانه ليس خصوصي</w:t>
      </w:r>
      <w:r w:rsidR="00EC7EDF" w:rsidRPr="00FD211F">
        <w:rPr>
          <w:sz w:val="36"/>
          <w:szCs w:val="36"/>
          <w:rtl/>
        </w:rPr>
        <w:t xml:space="preserve">ة </w:t>
      </w:r>
      <w:r w:rsidRPr="00FD211F">
        <w:rPr>
          <w:sz w:val="36"/>
          <w:szCs w:val="36"/>
          <w:rtl/>
        </w:rPr>
        <w:t>في الواقع الملحوظ</w:t>
      </w:r>
      <w:r w:rsidR="00603323" w:rsidRPr="00FD211F">
        <w:rPr>
          <w:sz w:val="36"/>
          <w:szCs w:val="36"/>
          <w:rtl/>
        </w:rPr>
        <w:t xml:space="preserve">، </w:t>
      </w:r>
      <w:r w:rsidRPr="00FD211F">
        <w:rPr>
          <w:sz w:val="36"/>
          <w:szCs w:val="36"/>
          <w:rtl/>
        </w:rPr>
        <w:t>-والا لامكن ان يبقى بعد اخذه ايضا صالحا للإفناء وعدمه كما في سائر موارد اخذ خصوصي</w:t>
      </w:r>
      <w:r w:rsidR="00EC7EDF" w:rsidRPr="00FD211F">
        <w:rPr>
          <w:sz w:val="36"/>
          <w:szCs w:val="36"/>
          <w:rtl/>
        </w:rPr>
        <w:t xml:space="preserve">ة </w:t>
      </w:r>
      <w:r w:rsidRPr="00FD211F">
        <w:rPr>
          <w:sz w:val="36"/>
          <w:szCs w:val="36"/>
          <w:rtl/>
        </w:rPr>
        <w:t>مفهومي</w:t>
      </w:r>
      <w:r w:rsidR="00EC7EDF" w:rsidRPr="00FD211F">
        <w:rPr>
          <w:sz w:val="36"/>
          <w:szCs w:val="36"/>
          <w:rtl/>
        </w:rPr>
        <w:t xml:space="preserve">ة </w:t>
      </w:r>
      <w:r w:rsidRPr="00FD211F">
        <w:rPr>
          <w:sz w:val="36"/>
          <w:szCs w:val="36"/>
          <w:rtl/>
        </w:rPr>
        <w:t>مضافا الى مفهوم آخر- ولكنه ملحوظ بنفس اللحاظ</w:t>
      </w:r>
      <w:r w:rsidR="00603323" w:rsidRPr="00FD211F">
        <w:rPr>
          <w:sz w:val="36"/>
          <w:szCs w:val="36"/>
          <w:rtl/>
        </w:rPr>
        <w:t xml:space="preserve">، </w:t>
      </w:r>
      <w:r w:rsidRPr="00FD211F">
        <w:rPr>
          <w:sz w:val="36"/>
          <w:szCs w:val="36"/>
          <w:rtl/>
        </w:rPr>
        <w:t>ومن هذا القبيل خصوصي</w:t>
      </w:r>
      <w:r w:rsidR="00EC7EDF" w:rsidRPr="00FD211F">
        <w:rPr>
          <w:sz w:val="36"/>
          <w:szCs w:val="36"/>
          <w:rtl/>
        </w:rPr>
        <w:t xml:space="preserve">ة </w:t>
      </w:r>
      <w:r w:rsidRPr="00FD211F">
        <w:rPr>
          <w:sz w:val="36"/>
          <w:szCs w:val="36"/>
          <w:rtl/>
        </w:rPr>
        <w:t>تصادق الإراءتين في لحاظ الموضوع ولحاظ المحمول</w:t>
      </w:r>
      <w:r w:rsidR="00603323" w:rsidRPr="00FD211F">
        <w:rPr>
          <w:sz w:val="36"/>
          <w:szCs w:val="36"/>
          <w:rtl/>
        </w:rPr>
        <w:t xml:space="preserve">، </w:t>
      </w:r>
      <w:r w:rsidRPr="00FD211F">
        <w:rPr>
          <w:sz w:val="36"/>
          <w:szCs w:val="36"/>
          <w:rtl/>
        </w:rPr>
        <w:t>حيث يكون ما يرى من الملحوظ بالعرض في المحمول نفس ما يرى من الملحوظ بالعرض في الموضوع</w:t>
      </w:r>
      <w:r w:rsidR="00603323" w:rsidRPr="00FD211F">
        <w:rPr>
          <w:sz w:val="36"/>
          <w:szCs w:val="36"/>
          <w:rtl/>
        </w:rPr>
        <w:t xml:space="preserve">، </w:t>
      </w:r>
      <w:r w:rsidRPr="00FD211F">
        <w:rPr>
          <w:sz w:val="36"/>
          <w:szCs w:val="36"/>
          <w:rtl/>
        </w:rPr>
        <w:t>وهذه خصوصي</w:t>
      </w:r>
      <w:r w:rsidR="00EC7EDF" w:rsidRPr="00FD211F">
        <w:rPr>
          <w:sz w:val="36"/>
          <w:szCs w:val="36"/>
          <w:rtl/>
        </w:rPr>
        <w:t xml:space="preserve">ة </w:t>
      </w:r>
      <w:r w:rsidRPr="00FD211F">
        <w:rPr>
          <w:sz w:val="36"/>
          <w:szCs w:val="36"/>
          <w:rtl/>
        </w:rPr>
        <w:t>في كيفي</w:t>
      </w:r>
      <w:r w:rsidR="00EC7EDF" w:rsidRPr="00FD211F">
        <w:rPr>
          <w:sz w:val="36"/>
          <w:szCs w:val="36"/>
          <w:rtl/>
        </w:rPr>
        <w:t xml:space="preserve">ة </w:t>
      </w:r>
      <w:r w:rsidRPr="00FD211F">
        <w:rPr>
          <w:sz w:val="36"/>
          <w:szCs w:val="36"/>
          <w:rtl/>
        </w:rPr>
        <w:t>إفناء المحمول في الملحوظ بالعرض</w:t>
      </w:r>
      <w:r w:rsidR="00603323" w:rsidRPr="00FD211F">
        <w:rPr>
          <w:sz w:val="36"/>
          <w:szCs w:val="36"/>
          <w:rtl/>
        </w:rPr>
        <w:t xml:space="preserve">، </w:t>
      </w:r>
      <w:r w:rsidRPr="00FD211F">
        <w:rPr>
          <w:sz w:val="36"/>
          <w:szCs w:val="36"/>
          <w:rtl/>
        </w:rPr>
        <w:t>فكما ان رؤي</w:t>
      </w:r>
      <w:r w:rsidR="00EC7EDF" w:rsidRPr="00FD211F">
        <w:rPr>
          <w:sz w:val="36"/>
          <w:szCs w:val="36"/>
          <w:rtl/>
        </w:rPr>
        <w:t xml:space="preserve">ة </w:t>
      </w:r>
      <w:r w:rsidRPr="00FD211F">
        <w:rPr>
          <w:sz w:val="36"/>
          <w:szCs w:val="36"/>
          <w:rtl/>
        </w:rPr>
        <w:t>اللحاظ فانيا لايحتاج الى لحاظ آخر كذلك رؤي</w:t>
      </w:r>
      <w:r w:rsidR="00EC7EDF" w:rsidRPr="00FD211F">
        <w:rPr>
          <w:sz w:val="36"/>
          <w:szCs w:val="36"/>
          <w:rtl/>
        </w:rPr>
        <w:t xml:space="preserve">ة </w:t>
      </w:r>
      <w:r w:rsidRPr="00FD211F">
        <w:rPr>
          <w:sz w:val="36"/>
          <w:szCs w:val="36"/>
          <w:rtl/>
        </w:rPr>
        <w:t>اللحاظين متصادقين في مقام الفناء</w:t>
      </w:r>
      <w:r w:rsidR="00603323" w:rsidRPr="00FD211F">
        <w:rPr>
          <w:sz w:val="36"/>
          <w:szCs w:val="36"/>
          <w:rtl/>
        </w:rPr>
        <w:t xml:space="preserve">، </w:t>
      </w:r>
      <w:r w:rsidRPr="00FD211F">
        <w:rPr>
          <w:sz w:val="36"/>
          <w:szCs w:val="36"/>
          <w:rtl/>
        </w:rPr>
        <w:t>فبدلاً من ان يفني كلا منهما في امر مستقل عن الآخريفنييان معا في امر واحد</w:t>
      </w:r>
      <w:r w:rsidR="009C58C8" w:rsidRPr="00FD211F">
        <w:rPr>
          <w:rStyle w:val="a6"/>
          <w:sz w:val="36"/>
          <w:szCs w:val="36"/>
          <w:rtl/>
        </w:rPr>
        <w:t>(</w:t>
      </w:r>
      <w:r w:rsidR="009C58C8" w:rsidRPr="00FD211F">
        <w:rPr>
          <w:rStyle w:val="a6"/>
          <w:sz w:val="36"/>
          <w:szCs w:val="36"/>
          <w:rtl/>
        </w:rPr>
        <w:footnoteReference w:id="196"/>
      </w:r>
      <w:r w:rsidR="009C58C8" w:rsidRPr="00FD211F">
        <w:rPr>
          <w:rStyle w:val="a6"/>
          <w:sz w:val="36"/>
          <w:szCs w:val="36"/>
          <w:rtl/>
        </w:rPr>
        <w:t>)</w:t>
      </w:r>
    </w:p>
    <w:p w14:paraId="1710422D" w14:textId="77777777" w:rsidR="00BD2349" w:rsidRPr="00FD211F" w:rsidRDefault="00EF5A70" w:rsidP="009C58C8">
      <w:pPr>
        <w:ind w:left="0" w:firstLine="227"/>
        <w:jc w:val="both"/>
        <w:rPr>
          <w:sz w:val="36"/>
          <w:szCs w:val="36"/>
          <w:rtl/>
        </w:rPr>
      </w:pPr>
      <w:r w:rsidRPr="00FD211F">
        <w:rPr>
          <w:sz w:val="36"/>
          <w:szCs w:val="36"/>
          <w:rtl/>
        </w:rPr>
        <w:t>اقول</w:t>
      </w:r>
      <w:r w:rsidR="00EC7EDF" w:rsidRPr="00FD211F">
        <w:rPr>
          <w:sz w:val="36"/>
          <w:szCs w:val="36"/>
          <w:rtl/>
        </w:rPr>
        <w:t>:</w:t>
      </w:r>
      <w:r w:rsidR="009D0801" w:rsidRPr="00FD211F">
        <w:rPr>
          <w:sz w:val="36"/>
          <w:szCs w:val="36"/>
          <w:rtl/>
        </w:rPr>
        <w:t xml:space="preserve"> يرد</w:t>
      </w:r>
      <w:r w:rsidRPr="00FD211F">
        <w:rPr>
          <w:sz w:val="36"/>
          <w:szCs w:val="36"/>
          <w:rtl/>
        </w:rPr>
        <w:t xml:space="preserve"> علي</w:t>
      </w:r>
      <w:r w:rsidR="00BD2349" w:rsidRPr="00FD211F">
        <w:rPr>
          <w:sz w:val="36"/>
          <w:szCs w:val="36"/>
          <w:rtl/>
        </w:rPr>
        <w:t xml:space="preserve"> </w:t>
      </w:r>
      <w:r w:rsidR="00AD482D" w:rsidRPr="00FD211F">
        <w:rPr>
          <w:sz w:val="36"/>
          <w:szCs w:val="36"/>
          <w:rtl/>
        </w:rPr>
        <w:t xml:space="preserve">ماذكره </w:t>
      </w:r>
      <w:r w:rsidR="00EC7EDF" w:rsidRPr="00FD211F">
        <w:rPr>
          <w:sz w:val="36"/>
          <w:szCs w:val="36"/>
          <w:rtl/>
        </w:rPr>
        <w:t xml:space="preserve">"قده" </w:t>
      </w:r>
      <w:r w:rsidR="009D0801" w:rsidRPr="00FD211F">
        <w:rPr>
          <w:sz w:val="36"/>
          <w:szCs w:val="36"/>
          <w:rtl/>
        </w:rPr>
        <w:t>-</w:t>
      </w:r>
      <w:r w:rsidRPr="00FD211F">
        <w:rPr>
          <w:sz w:val="36"/>
          <w:szCs w:val="36"/>
          <w:rtl/>
        </w:rPr>
        <w:t>من ان منشأالفرق بين الجمل</w:t>
      </w:r>
      <w:r w:rsidR="00EC7EDF" w:rsidRPr="00FD211F">
        <w:rPr>
          <w:sz w:val="36"/>
          <w:szCs w:val="36"/>
          <w:rtl/>
        </w:rPr>
        <w:t xml:space="preserve">ة </w:t>
      </w:r>
      <w:r w:rsidRPr="00FD211F">
        <w:rPr>
          <w:sz w:val="36"/>
          <w:szCs w:val="36"/>
          <w:rtl/>
        </w:rPr>
        <w:t>الوصفي</w:t>
      </w:r>
      <w:r w:rsidR="00EC7EDF" w:rsidRPr="00FD211F">
        <w:rPr>
          <w:sz w:val="36"/>
          <w:szCs w:val="36"/>
          <w:rtl/>
        </w:rPr>
        <w:t xml:space="preserve">ة </w:t>
      </w:r>
      <w:r w:rsidRPr="00FD211F">
        <w:rPr>
          <w:sz w:val="36"/>
          <w:szCs w:val="36"/>
          <w:rtl/>
        </w:rPr>
        <w:t>والجمل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00B82C62" w:rsidRPr="00FD211F">
        <w:rPr>
          <w:sz w:val="36"/>
          <w:szCs w:val="36"/>
          <w:rtl/>
        </w:rPr>
        <w:t xml:space="preserve">هواشنمال </w:t>
      </w:r>
      <w:r w:rsidRPr="00FD211F">
        <w:rPr>
          <w:sz w:val="36"/>
          <w:szCs w:val="36"/>
          <w:rtl/>
        </w:rPr>
        <w:t>الثاني</w:t>
      </w:r>
      <w:r w:rsidR="00EC7EDF" w:rsidRPr="00FD211F">
        <w:rPr>
          <w:sz w:val="36"/>
          <w:szCs w:val="36"/>
          <w:rtl/>
        </w:rPr>
        <w:t xml:space="preserve">ة </w:t>
      </w:r>
      <w:r w:rsidRPr="00FD211F">
        <w:rPr>
          <w:sz w:val="36"/>
          <w:szCs w:val="36"/>
          <w:rtl/>
        </w:rPr>
        <w:t>على واقع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بينماان الاولى لاتشتمل الاعلى النسب</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009D0801" w:rsidRPr="00FD211F">
        <w:rPr>
          <w:sz w:val="36"/>
          <w:szCs w:val="36"/>
          <w:rtl/>
        </w:rPr>
        <w:t xml:space="preserve">-النقض </w:t>
      </w:r>
      <w:r w:rsidR="00BD2349" w:rsidRPr="00FD211F">
        <w:rPr>
          <w:sz w:val="36"/>
          <w:szCs w:val="36"/>
          <w:rtl/>
        </w:rPr>
        <w:t>بما</w:t>
      </w:r>
      <w:r w:rsidR="009D0801" w:rsidRPr="00FD211F">
        <w:rPr>
          <w:sz w:val="36"/>
          <w:szCs w:val="36"/>
          <w:rtl/>
        </w:rPr>
        <w:t xml:space="preserve"> </w:t>
      </w:r>
      <w:r w:rsidR="00B82C62" w:rsidRPr="00FD211F">
        <w:rPr>
          <w:sz w:val="36"/>
          <w:szCs w:val="36"/>
          <w:rtl/>
        </w:rPr>
        <w:t>لو</w:t>
      </w:r>
      <w:r w:rsidR="009D0801" w:rsidRPr="00FD211F">
        <w:rPr>
          <w:sz w:val="36"/>
          <w:szCs w:val="36"/>
          <w:rtl/>
        </w:rPr>
        <w:t>كان الوصف جمل</w:t>
      </w:r>
      <w:r w:rsidR="00EC7EDF" w:rsidRPr="00FD211F">
        <w:rPr>
          <w:sz w:val="36"/>
          <w:szCs w:val="36"/>
          <w:rtl/>
        </w:rPr>
        <w:t xml:space="preserve">ة </w:t>
      </w:r>
      <w:r w:rsidR="009D0801" w:rsidRPr="00FD211F">
        <w:rPr>
          <w:sz w:val="36"/>
          <w:szCs w:val="36"/>
          <w:rtl/>
        </w:rPr>
        <w:t>تام</w:t>
      </w:r>
      <w:r w:rsidR="00EC7EDF" w:rsidRPr="00FD211F">
        <w:rPr>
          <w:sz w:val="36"/>
          <w:szCs w:val="36"/>
          <w:rtl/>
        </w:rPr>
        <w:t xml:space="preserve">ة </w:t>
      </w:r>
      <w:r w:rsidR="009D0801" w:rsidRPr="00FD211F">
        <w:rPr>
          <w:sz w:val="36"/>
          <w:szCs w:val="36"/>
          <w:rtl/>
        </w:rPr>
        <w:t>كقولنا "رجل</w:t>
      </w:r>
      <w:r w:rsidR="00BD2349" w:rsidRPr="00FD211F">
        <w:rPr>
          <w:sz w:val="36"/>
          <w:szCs w:val="36"/>
          <w:rtl/>
        </w:rPr>
        <w:t xml:space="preserve"> ابوه عالم"</w:t>
      </w:r>
      <w:r w:rsidR="00603323" w:rsidRPr="00FD211F">
        <w:rPr>
          <w:sz w:val="36"/>
          <w:szCs w:val="36"/>
          <w:rtl/>
        </w:rPr>
        <w:t xml:space="preserve">، </w:t>
      </w:r>
      <w:r w:rsidR="00BD2349" w:rsidRPr="00FD211F">
        <w:rPr>
          <w:sz w:val="36"/>
          <w:szCs w:val="36"/>
          <w:rtl/>
        </w:rPr>
        <w:t>فان الالتزام بكون الجمل</w:t>
      </w:r>
      <w:r w:rsidR="00EC7EDF" w:rsidRPr="00FD211F">
        <w:rPr>
          <w:sz w:val="36"/>
          <w:szCs w:val="36"/>
          <w:rtl/>
        </w:rPr>
        <w:t xml:space="preserve">ة </w:t>
      </w:r>
      <w:r w:rsidR="00BD2349" w:rsidRPr="00FD211F">
        <w:rPr>
          <w:sz w:val="36"/>
          <w:szCs w:val="36"/>
          <w:rtl/>
        </w:rPr>
        <w:t>الوصفي</w:t>
      </w:r>
      <w:r w:rsidR="00EC7EDF" w:rsidRPr="00FD211F">
        <w:rPr>
          <w:sz w:val="36"/>
          <w:szCs w:val="36"/>
          <w:rtl/>
        </w:rPr>
        <w:t xml:space="preserve">ة </w:t>
      </w:r>
      <w:r w:rsidR="00BD2349" w:rsidRPr="00FD211F">
        <w:rPr>
          <w:sz w:val="36"/>
          <w:szCs w:val="36"/>
          <w:rtl/>
        </w:rPr>
        <w:t>مفهوما بسيطا تصورا لايجتمع مع التزامه بكون الجمل</w:t>
      </w:r>
      <w:r w:rsidR="00EC7EDF" w:rsidRPr="00FD211F">
        <w:rPr>
          <w:sz w:val="36"/>
          <w:szCs w:val="36"/>
          <w:rtl/>
        </w:rPr>
        <w:t xml:space="preserve">ة </w:t>
      </w:r>
      <w:r w:rsidR="00BD2349" w:rsidRPr="00FD211F">
        <w:rPr>
          <w:sz w:val="36"/>
          <w:szCs w:val="36"/>
          <w:rtl/>
        </w:rPr>
        <w:t>التام</w:t>
      </w:r>
      <w:r w:rsidR="00EC7EDF" w:rsidRPr="00FD211F">
        <w:rPr>
          <w:sz w:val="36"/>
          <w:szCs w:val="36"/>
          <w:rtl/>
        </w:rPr>
        <w:t xml:space="preserve">ة </w:t>
      </w:r>
      <w:r w:rsidR="00BD2349" w:rsidRPr="00FD211F">
        <w:rPr>
          <w:sz w:val="36"/>
          <w:szCs w:val="36"/>
          <w:rtl/>
        </w:rPr>
        <w:t>مركب</w:t>
      </w:r>
      <w:r w:rsidR="00EC7EDF" w:rsidRPr="00FD211F">
        <w:rPr>
          <w:sz w:val="36"/>
          <w:szCs w:val="36"/>
          <w:rtl/>
        </w:rPr>
        <w:t xml:space="preserve">ة </w:t>
      </w:r>
      <w:r w:rsidR="00BD2349" w:rsidRPr="00FD211F">
        <w:rPr>
          <w:sz w:val="36"/>
          <w:szCs w:val="36"/>
          <w:rtl/>
        </w:rPr>
        <w:t>من مفهومين مستقلين يربط بينهما واقع النسب</w:t>
      </w:r>
      <w:r w:rsidR="00EC7EDF" w:rsidRPr="00FD211F">
        <w:rPr>
          <w:sz w:val="36"/>
          <w:szCs w:val="36"/>
          <w:rtl/>
        </w:rPr>
        <w:t xml:space="preserve">ة </w:t>
      </w:r>
      <w:r w:rsidR="00BD2349" w:rsidRPr="00FD211F">
        <w:rPr>
          <w:sz w:val="36"/>
          <w:szCs w:val="36"/>
          <w:rtl/>
        </w:rPr>
        <w:t>التصادقي</w:t>
      </w:r>
      <w:r w:rsidR="00EC7EDF" w:rsidRPr="00FD211F">
        <w:rPr>
          <w:sz w:val="36"/>
          <w:szCs w:val="36"/>
          <w:rtl/>
        </w:rPr>
        <w:t>ة</w:t>
      </w:r>
      <w:r w:rsidR="00603323" w:rsidRPr="00FD211F">
        <w:rPr>
          <w:sz w:val="36"/>
          <w:szCs w:val="36"/>
          <w:rtl/>
        </w:rPr>
        <w:t xml:space="preserve">، </w:t>
      </w:r>
      <w:r w:rsidR="00BD2349" w:rsidRPr="00FD211F">
        <w:rPr>
          <w:sz w:val="36"/>
          <w:szCs w:val="36"/>
          <w:rtl/>
        </w:rPr>
        <w:t>فانه لايمكن ان يكون مفهوم الجمل</w:t>
      </w:r>
      <w:r w:rsidR="00EC7EDF" w:rsidRPr="00FD211F">
        <w:rPr>
          <w:sz w:val="36"/>
          <w:szCs w:val="36"/>
          <w:rtl/>
        </w:rPr>
        <w:t xml:space="preserve">ة </w:t>
      </w:r>
      <w:r w:rsidR="00BD2349" w:rsidRPr="00FD211F">
        <w:rPr>
          <w:sz w:val="36"/>
          <w:szCs w:val="36"/>
          <w:rtl/>
        </w:rPr>
        <w:t>الوصفي</w:t>
      </w:r>
      <w:r w:rsidR="00EC7EDF" w:rsidRPr="00FD211F">
        <w:rPr>
          <w:sz w:val="36"/>
          <w:szCs w:val="36"/>
          <w:rtl/>
        </w:rPr>
        <w:t xml:space="preserve">ة </w:t>
      </w:r>
      <w:r w:rsidR="00BD2349" w:rsidRPr="00FD211F">
        <w:rPr>
          <w:sz w:val="36"/>
          <w:szCs w:val="36"/>
          <w:rtl/>
        </w:rPr>
        <w:t>بسيطا مع كون وصفها مركبا</w:t>
      </w:r>
      <w:r w:rsidR="00603323" w:rsidRPr="00FD211F">
        <w:rPr>
          <w:sz w:val="36"/>
          <w:szCs w:val="36"/>
          <w:rtl/>
        </w:rPr>
        <w:t xml:space="preserve">، </w:t>
      </w:r>
      <w:r w:rsidR="00BD2349" w:rsidRPr="00FD211F">
        <w:rPr>
          <w:sz w:val="36"/>
          <w:szCs w:val="36"/>
          <w:rtl/>
        </w:rPr>
        <w:t>ولاتتم دعوى ان الوصف هنا قد تحوّل الى جمل</w:t>
      </w:r>
      <w:r w:rsidR="00EC7EDF" w:rsidRPr="00FD211F">
        <w:rPr>
          <w:sz w:val="36"/>
          <w:szCs w:val="36"/>
          <w:rtl/>
        </w:rPr>
        <w:t xml:space="preserve">ة </w:t>
      </w:r>
      <w:r w:rsidR="00BD2349" w:rsidRPr="00FD211F">
        <w:rPr>
          <w:sz w:val="36"/>
          <w:szCs w:val="36"/>
          <w:rtl/>
        </w:rPr>
        <w:t>ناقص</w:t>
      </w:r>
      <w:r w:rsidR="00EC7EDF" w:rsidRPr="00FD211F">
        <w:rPr>
          <w:sz w:val="36"/>
          <w:szCs w:val="36"/>
          <w:rtl/>
        </w:rPr>
        <w:t>ة</w:t>
      </w:r>
      <w:r w:rsidR="00603323" w:rsidRPr="00FD211F">
        <w:rPr>
          <w:sz w:val="36"/>
          <w:szCs w:val="36"/>
          <w:rtl/>
        </w:rPr>
        <w:t xml:space="preserve">، </w:t>
      </w:r>
      <w:r w:rsidR="00BD2349" w:rsidRPr="00FD211F">
        <w:rPr>
          <w:sz w:val="36"/>
          <w:szCs w:val="36"/>
          <w:rtl/>
        </w:rPr>
        <w:t>فان لازمه صح</w:t>
      </w:r>
      <w:r w:rsidR="00EC7EDF" w:rsidRPr="00FD211F">
        <w:rPr>
          <w:sz w:val="36"/>
          <w:szCs w:val="36"/>
          <w:rtl/>
        </w:rPr>
        <w:t xml:space="preserve">ة </w:t>
      </w:r>
      <w:r w:rsidR="00D00BEA" w:rsidRPr="00FD211F">
        <w:rPr>
          <w:sz w:val="36"/>
          <w:szCs w:val="36"/>
          <w:rtl/>
        </w:rPr>
        <w:t xml:space="preserve">استبدالها بجملة ناقصة كأن </w:t>
      </w:r>
      <w:r w:rsidR="00BD2349" w:rsidRPr="00FD211F">
        <w:rPr>
          <w:sz w:val="36"/>
          <w:szCs w:val="36"/>
          <w:rtl/>
        </w:rPr>
        <w:t>يقال "رجل ابوه العالم".</w:t>
      </w:r>
    </w:p>
    <w:p w14:paraId="65C772F1" w14:textId="77777777" w:rsidR="000C5BBA" w:rsidRPr="00FD211F" w:rsidRDefault="009A0B1E" w:rsidP="009C58C8">
      <w:pPr>
        <w:ind w:left="0" w:firstLine="227"/>
        <w:jc w:val="both"/>
        <w:rPr>
          <w:sz w:val="36"/>
          <w:szCs w:val="36"/>
          <w:rtl/>
        </w:rPr>
      </w:pPr>
      <w:r w:rsidRPr="00FD211F">
        <w:rPr>
          <w:sz w:val="36"/>
          <w:szCs w:val="36"/>
          <w:rtl/>
        </w:rPr>
        <w:t>هذاوقد اختار</w:t>
      </w:r>
      <w:r w:rsidR="00556BC0" w:rsidRPr="00FD211F">
        <w:rPr>
          <w:sz w:val="36"/>
          <w:szCs w:val="36"/>
          <w:rtl/>
        </w:rPr>
        <w:t xml:space="preserve"> السيد الإمام </w:t>
      </w:r>
      <w:r w:rsidR="009D0801" w:rsidRPr="00FD211F">
        <w:rPr>
          <w:sz w:val="36"/>
          <w:szCs w:val="36"/>
          <w:rtl/>
        </w:rPr>
        <w:t>"</w:t>
      </w:r>
      <w:r w:rsidR="00556BC0" w:rsidRPr="00FD211F">
        <w:rPr>
          <w:sz w:val="36"/>
          <w:szCs w:val="36"/>
          <w:rtl/>
        </w:rPr>
        <w:t>قده</w:t>
      </w:r>
      <w:r w:rsidR="009D0801" w:rsidRPr="00FD211F">
        <w:rPr>
          <w:sz w:val="36"/>
          <w:szCs w:val="36"/>
          <w:rtl/>
        </w:rPr>
        <w:t>"</w:t>
      </w:r>
      <w:r w:rsidR="00891854" w:rsidRPr="00FD211F">
        <w:rPr>
          <w:sz w:val="36"/>
          <w:szCs w:val="36"/>
          <w:rtl/>
        </w:rPr>
        <w:t xml:space="preserve"> </w:t>
      </w:r>
      <w:r w:rsidRPr="00FD211F">
        <w:rPr>
          <w:sz w:val="36"/>
          <w:szCs w:val="36"/>
          <w:rtl/>
        </w:rPr>
        <w:t>في معنى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قولا رابعاوهو</w:t>
      </w:r>
      <w:r w:rsidR="009D0801" w:rsidRPr="00FD211F">
        <w:rPr>
          <w:sz w:val="36"/>
          <w:szCs w:val="36"/>
          <w:rtl/>
        </w:rPr>
        <w:t xml:space="preserve"> </w:t>
      </w:r>
      <w:r w:rsidR="00556BC0" w:rsidRPr="00FD211F">
        <w:rPr>
          <w:sz w:val="36"/>
          <w:szCs w:val="36"/>
          <w:rtl/>
        </w:rPr>
        <w:t>ان 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 xml:space="preserve">ة </w:t>
      </w:r>
      <w:r w:rsidR="00556BC0" w:rsidRPr="00FD211F">
        <w:rPr>
          <w:sz w:val="36"/>
          <w:szCs w:val="36"/>
          <w:rtl/>
        </w:rPr>
        <w:t xml:space="preserve">في مثل قولنا </w:t>
      </w:r>
      <w:r w:rsidRPr="00FD211F">
        <w:rPr>
          <w:sz w:val="36"/>
          <w:szCs w:val="36"/>
          <w:rtl/>
        </w:rPr>
        <w:t>"</w:t>
      </w:r>
      <w:r w:rsidR="00556BC0" w:rsidRPr="00FD211F">
        <w:rPr>
          <w:sz w:val="36"/>
          <w:szCs w:val="36"/>
          <w:rtl/>
        </w:rPr>
        <w:t>زيد عالم</w:t>
      </w:r>
      <w:r w:rsidRPr="00FD211F">
        <w:rPr>
          <w:sz w:val="36"/>
          <w:szCs w:val="36"/>
          <w:rtl/>
        </w:rPr>
        <w:t>" قدوض</w:t>
      </w:r>
      <w:r w:rsidR="00556BC0" w:rsidRPr="00FD211F">
        <w:rPr>
          <w:sz w:val="36"/>
          <w:szCs w:val="36"/>
          <w:rtl/>
        </w:rPr>
        <w:t>ع</w:t>
      </w:r>
      <w:r w:rsidRPr="00FD211F">
        <w:rPr>
          <w:sz w:val="36"/>
          <w:szCs w:val="36"/>
          <w:rtl/>
        </w:rPr>
        <w:t>ت</w:t>
      </w:r>
      <w:r w:rsidR="00556BC0" w:rsidRPr="00FD211F">
        <w:rPr>
          <w:sz w:val="36"/>
          <w:szCs w:val="36"/>
          <w:rtl/>
        </w:rPr>
        <w:t xml:space="preserve"> للدلال</w:t>
      </w:r>
      <w:r w:rsidR="00EC7EDF" w:rsidRPr="00FD211F">
        <w:rPr>
          <w:sz w:val="36"/>
          <w:szCs w:val="36"/>
          <w:rtl/>
        </w:rPr>
        <w:t xml:space="preserve">ة </w:t>
      </w:r>
      <w:r w:rsidR="00556BC0" w:rsidRPr="00FD211F">
        <w:rPr>
          <w:sz w:val="36"/>
          <w:szCs w:val="36"/>
          <w:rtl/>
        </w:rPr>
        <w:t>على الهوهوي</w:t>
      </w:r>
      <w:r w:rsidR="00EC7EDF" w:rsidRPr="00FD211F">
        <w:rPr>
          <w:sz w:val="36"/>
          <w:szCs w:val="36"/>
          <w:rtl/>
        </w:rPr>
        <w:t xml:space="preserve">ة </w:t>
      </w:r>
      <w:r w:rsidR="00556BC0" w:rsidRPr="00FD211F">
        <w:rPr>
          <w:sz w:val="36"/>
          <w:szCs w:val="36"/>
          <w:rtl/>
        </w:rPr>
        <w:t>التصديقي</w:t>
      </w:r>
      <w:r w:rsidR="00EC7EDF" w:rsidRPr="00FD211F">
        <w:rPr>
          <w:sz w:val="36"/>
          <w:szCs w:val="36"/>
          <w:rtl/>
        </w:rPr>
        <w:t xml:space="preserve">ة </w:t>
      </w:r>
      <w:r w:rsidR="00556BC0" w:rsidRPr="00FD211F">
        <w:rPr>
          <w:sz w:val="36"/>
          <w:szCs w:val="36"/>
          <w:rtl/>
        </w:rPr>
        <w:t>بين الموضوع والمحمول</w:t>
      </w:r>
      <w:r w:rsidR="00603323" w:rsidRPr="00FD211F">
        <w:rPr>
          <w:sz w:val="36"/>
          <w:szCs w:val="36"/>
          <w:rtl/>
        </w:rPr>
        <w:t xml:space="preserve">، </w:t>
      </w:r>
      <w:r w:rsidR="00C40998" w:rsidRPr="00FD211F">
        <w:rPr>
          <w:sz w:val="36"/>
          <w:szCs w:val="36"/>
          <w:rtl/>
        </w:rPr>
        <w:t>اي على ثبوت الاتحادبينهما</w:t>
      </w:r>
      <w:r w:rsidR="00556BC0" w:rsidRPr="00FD211F">
        <w:rPr>
          <w:sz w:val="36"/>
          <w:szCs w:val="36"/>
          <w:rtl/>
        </w:rPr>
        <w:t xml:space="preserve"> كما ان قولنا</w:t>
      </w:r>
      <w:r w:rsidR="00B82C62" w:rsidRPr="00FD211F">
        <w:rPr>
          <w:sz w:val="36"/>
          <w:szCs w:val="36"/>
          <w:rtl/>
        </w:rPr>
        <w:t>"</w:t>
      </w:r>
      <w:r w:rsidR="00556BC0" w:rsidRPr="00FD211F">
        <w:rPr>
          <w:sz w:val="36"/>
          <w:szCs w:val="36"/>
          <w:rtl/>
        </w:rPr>
        <w:t xml:space="preserve"> زيد في الدار</w:t>
      </w:r>
      <w:r w:rsidR="00B82C62" w:rsidRPr="00FD211F">
        <w:rPr>
          <w:sz w:val="36"/>
          <w:szCs w:val="36"/>
          <w:rtl/>
        </w:rPr>
        <w:t>"</w:t>
      </w:r>
      <w:r w:rsidR="00556BC0" w:rsidRPr="00FD211F">
        <w:rPr>
          <w:sz w:val="36"/>
          <w:szCs w:val="36"/>
          <w:rtl/>
        </w:rPr>
        <w:t xml:space="preserve"> موضوع للدلال</w:t>
      </w:r>
      <w:r w:rsidR="00EC7EDF" w:rsidRPr="00FD211F">
        <w:rPr>
          <w:sz w:val="36"/>
          <w:szCs w:val="36"/>
          <w:rtl/>
        </w:rPr>
        <w:t xml:space="preserve">ة </w:t>
      </w:r>
      <w:r w:rsidR="00556BC0" w:rsidRPr="00FD211F">
        <w:rPr>
          <w:sz w:val="36"/>
          <w:szCs w:val="36"/>
          <w:rtl/>
        </w:rPr>
        <w:t>على النسب</w:t>
      </w:r>
      <w:r w:rsidR="00EC7EDF" w:rsidRPr="00FD211F">
        <w:rPr>
          <w:sz w:val="36"/>
          <w:szCs w:val="36"/>
          <w:rtl/>
        </w:rPr>
        <w:t xml:space="preserve">ة </w:t>
      </w:r>
      <w:r w:rsidR="00556BC0" w:rsidRPr="00FD211F">
        <w:rPr>
          <w:sz w:val="36"/>
          <w:szCs w:val="36"/>
          <w:rtl/>
        </w:rPr>
        <w:t>الظرفي</w:t>
      </w:r>
      <w:r w:rsidR="00EC7EDF" w:rsidRPr="00FD211F">
        <w:rPr>
          <w:sz w:val="36"/>
          <w:szCs w:val="36"/>
          <w:rtl/>
        </w:rPr>
        <w:t xml:space="preserve">ة </w:t>
      </w:r>
      <w:r w:rsidR="00556BC0" w:rsidRPr="00FD211F">
        <w:rPr>
          <w:sz w:val="36"/>
          <w:szCs w:val="36"/>
          <w:rtl/>
        </w:rPr>
        <w:t>التصديقي</w:t>
      </w:r>
      <w:r w:rsidR="00EC7EDF" w:rsidRPr="00FD211F">
        <w:rPr>
          <w:sz w:val="36"/>
          <w:szCs w:val="36"/>
          <w:rtl/>
        </w:rPr>
        <w:t>ة</w:t>
      </w:r>
      <w:r w:rsidR="00603323" w:rsidRPr="00FD211F">
        <w:rPr>
          <w:sz w:val="36"/>
          <w:szCs w:val="36"/>
          <w:rtl/>
        </w:rPr>
        <w:t xml:space="preserve">، </w:t>
      </w:r>
      <w:r w:rsidR="00C40998" w:rsidRPr="00FD211F">
        <w:rPr>
          <w:sz w:val="36"/>
          <w:szCs w:val="36"/>
          <w:rtl/>
        </w:rPr>
        <w:t>و</w:t>
      </w:r>
      <w:r w:rsidR="00A76414" w:rsidRPr="00FD211F">
        <w:rPr>
          <w:sz w:val="36"/>
          <w:szCs w:val="36"/>
          <w:rtl/>
        </w:rPr>
        <w:t>ما اختاره صاحب الفصول</w:t>
      </w:r>
      <w:r w:rsidR="00B82C62" w:rsidRPr="00FD211F">
        <w:rPr>
          <w:sz w:val="36"/>
          <w:szCs w:val="36"/>
          <w:rtl/>
        </w:rPr>
        <w:t>"ره"</w:t>
      </w:r>
      <w:r w:rsidR="00A76414" w:rsidRPr="00FD211F">
        <w:rPr>
          <w:sz w:val="36"/>
          <w:szCs w:val="36"/>
          <w:rtl/>
        </w:rPr>
        <w:t xml:space="preserve"> من كون الجمل</w:t>
      </w:r>
      <w:r w:rsidR="00EC7EDF" w:rsidRPr="00FD211F">
        <w:rPr>
          <w:sz w:val="36"/>
          <w:szCs w:val="36"/>
          <w:rtl/>
        </w:rPr>
        <w:t xml:space="preserve">ة </w:t>
      </w:r>
      <w:r w:rsidR="00A76414" w:rsidRPr="00FD211F">
        <w:rPr>
          <w:sz w:val="36"/>
          <w:szCs w:val="36"/>
          <w:rtl/>
        </w:rPr>
        <w:t>الخبري</w:t>
      </w:r>
      <w:r w:rsidR="00EC7EDF" w:rsidRPr="00FD211F">
        <w:rPr>
          <w:sz w:val="36"/>
          <w:szCs w:val="36"/>
          <w:rtl/>
        </w:rPr>
        <w:t xml:space="preserve">ة </w:t>
      </w:r>
      <w:r w:rsidR="00A76414" w:rsidRPr="00FD211F">
        <w:rPr>
          <w:sz w:val="36"/>
          <w:szCs w:val="36"/>
          <w:rtl/>
        </w:rPr>
        <w:t>موضوع</w:t>
      </w:r>
      <w:r w:rsidR="00EC7EDF" w:rsidRPr="00FD211F">
        <w:rPr>
          <w:sz w:val="36"/>
          <w:szCs w:val="36"/>
          <w:rtl/>
        </w:rPr>
        <w:t xml:space="preserve">ة </w:t>
      </w:r>
      <w:r w:rsidR="00A76414" w:rsidRPr="00FD211F">
        <w:rPr>
          <w:sz w:val="36"/>
          <w:szCs w:val="36"/>
          <w:rtl/>
        </w:rPr>
        <w:t>للنسب</w:t>
      </w:r>
      <w:r w:rsidR="00EC7EDF" w:rsidRPr="00FD211F">
        <w:rPr>
          <w:sz w:val="36"/>
          <w:szCs w:val="36"/>
          <w:rtl/>
        </w:rPr>
        <w:t xml:space="preserve">ة </w:t>
      </w:r>
      <w:r w:rsidR="00A76414" w:rsidRPr="00FD211F">
        <w:rPr>
          <w:sz w:val="36"/>
          <w:szCs w:val="36"/>
          <w:rtl/>
        </w:rPr>
        <w:t>الذهني</w:t>
      </w:r>
      <w:r w:rsidR="00EC7EDF" w:rsidRPr="00FD211F">
        <w:rPr>
          <w:sz w:val="36"/>
          <w:szCs w:val="36"/>
          <w:rtl/>
        </w:rPr>
        <w:t xml:space="preserve">ة </w:t>
      </w:r>
      <w:r w:rsidR="00A76414" w:rsidRPr="00FD211F">
        <w:rPr>
          <w:sz w:val="36"/>
          <w:szCs w:val="36"/>
          <w:rtl/>
        </w:rPr>
        <w:t xml:space="preserve">من حيث كشفها عن الواقع </w:t>
      </w:r>
      <w:r w:rsidR="00B82C62" w:rsidRPr="00FD211F">
        <w:rPr>
          <w:sz w:val="36"/>
          <w:szCs w:val="36"/>
          <w:rtl/>
        </w:rPr>
        <w:t xml:space="preserve">لايخلو من </w:t>
      </w:r>
      <w:r w:rsidR="00A76414" w:rsidRPr="00FD211F">
        <w:rPr>
          <w:sz w:val="36"/>
          <w:szCs w:val="36"/>
          <w:rtl/>
        </w:rPr>
        <w:t>تكلف وتعسف</w:t>
      </w:r>
      <w:r w:rsidR="00603323" w:rsidRPr="00FD211F">
        <w:rPr>
          <w:sz w:val="36"/>
          <w:szCs w:val="36"/>
          <w:rtl/>
        </w:rPr>
        <w:t xml:space="preserve">، </w:t>
      </w:r>
      <w:r w:rsidR="00A76414" w:rsidRPr="00FD211F">
        <w:rPr>
          <w:sz w:val="36"/>
          <w:szCs w:val="36"/>
          <w:rtl/>
        </w:rPr>
        <w:t>اذ المتبادر من الالفاظ انما هو نفس الحقائق الواقعي</w:t>
      </w:r>
      <w:r w:rsidR="00EC7EDF" w:rsidRPr="00FD211F">
        <w:rPr>
          <w:sz w:val="36"/>
          <w:szCs w:val="36"/>
          <w:rtl/>
        </w:rPr>
        <w:t>ة</w:t>
      </w:r>
      <w:r w:rsidR="00603323" w:rsidRPr="00FD211F">
        <w:rPr>
          <w:sz w:val="36"/>
          <w:szCs w:val="36"/>
          <w:rtl/>
        </w:rPr>
        <w:t xml:space="preserve">، </w:t>
      </w:r>
      <w:r w:rsidR="00A76414" w:rsidRPr="00FD211F">
        <w:rPr>
          <w:sz w:val="36"/>
          <w:szCs w:val="36"/>
          <w:rtl/>
        </w:rPr>
        <w:t>ودعوى انه لو كانت الجمل موضوع</w:t>
      </w:r>
      <w:r w:rsidR="00EC7EDF" w:rsidRPr="00FD211F">
        <w:rPr>
          <w:sz w:val="36"/>
          <w:szCs w:val="36"/>
          <w:rtl/>
        </w:rPr>
        <w:t xml:space="preserve">ة </w:t>
      </w:r>
      <w:r w:rsidR="00A76414" w:rsidRPr="00FD211F">
        <w:rPr>
          <w:sz w:val="36"/>
          <w:szCs w:val="36"/>
          <w:rtl/>
        </w:rPr>
        <w:t>للنسب الواقعي</w:t>
      </w:r>
      <w:r w:rsidR="00EC7EDF" w:rsidRPr="00FD211F">
        <w:rPr>
          <w:sz w:val="36"/>
          <w:szCs w:val="36"/>
          <w:rtl/>
        </w:rPr>
        <w:t xml:space="preserve">ة </w:t>
      </w:r>
      <w:r w:rsidR="00A76414" w:rsidRPr="00FD211F">
        <w:rPr>
          <w:sz w:val="36"/>
          <w:szCs w:val="36"/>
          <w:rtl/>
        </w:rPr>
        <w:t>لما كان لها معنى في الأخبار الكاذب</w:t>
      </w:r>
      <w:r w:rsidR="00EC7EDF" w:rsidRPr="00FD211F">
        <w:rPr>
          <w:sz w:val="36"/>
          <w:szCs w:val="36"/>
          <w:rtl/>
        </w:rPr>
        <w:t xml:space="preserve">ة </w:t>
      </w:r>
      <w:r w:rsidR="00A76414" w:rsidRPr="00FD211F">
        <w:rPr>
          <w:sz w:val="36"/>
          <w:szCs w:val="36"/>
          <w:rtl/>
        </w:rPr>
        <w:t>لانتفاء النسب</w:t>
      </w:r>
      <w:r w:rsidR="00EC7EDF" w:rsidRPr="00FD211F">
        <w:rPr>
          <w:sz w:val="36"/>
          <w:szCs w:val="36"/>
          <w:rtl/>
        </w:rPr>
        <w:t xml:space="preserve">ة </w:t>
      </w:r>
      <w:r w:rsidR="00A76414" w:rsidRPr="00FD211F">
        <w:rPr>
          <w:sz w:val="36"/>
          <w:szCs w:val="36"/>
          <w:rtl/>
        </w:rPr>
        <w:t>الخارجي</w:t>
      </w:r>
      <w:r w:rsidR="00EC7EDF" w:rsidRPr="00FD211F">
        <w:rPr>
          <w:sz w:val="36"/>
          <w:szCs w:val="36"/>
          <w:rtl/>
        </w:rPr>
        <w:t xml:space="preserve">ة </w:t>
      </w:r>
      <w:r w:rsidR="00A76414" w:rsidRPr="00FD211F">
        <w:rPr>
          <w:sz w:val="36"/>
          <w:szCs w:val="36"/>
          <w:rtl/>
        </w:rPr>
        <w:t>حينئذ</w:t>
      </w:r>
      <w:r w:rsidR="00603323" w:rsidRPr="00FD211F">
        <w:rPr>
          <w:sz w:val="36"/>
          <w:szCs w:val="36"/>
          <w:rtl/>
        </w:rPr>
        <w:t xml:space="preserve">، </w:t>
      </w:r>
      <w:r w:rsidR="00A76414" w:rsidRPr="00FD211F">
        <w:rPr>
          <w:sz w:val="36"/>
          <w:szCs w:val="36"/>
          <w:rtl/>
        </w:rPr>
        <w:t>فغير متجه</w:t>
      </w:r>
      <w:r w:rsidR="00603323" w:rsidRPr="00FD211F">
        <w:rPr>
          <w:sz w:val="36"/>
          <w:szCs w:val="36"/>
          <w:rtl/>
        </w:rPr>
        <w:t xml:space="preserve">، </w:t>
      </w:r>
      <w:r w:rsidR="00A76414" w:rsidRPr="00FD211F">
        <w:rPr>
          <w:sz w:val="36"/>
          <w:szCs w:val="36"/>
          <w:rtl/>
        </w:rPr>
        <w:t>لان الاستعمال مرجعه الى ا</w:t>
      </w:r>
      <w:r w:rsidR="008D7B3D" w:rsidRPr="00FD211F">
        <w:rPr>
          <w:sz w:val="36"/>
          <w:szCs w:val="36"/>
          <w:rtl/>
        </w:rPr>
        <w:t>راءة</w:t>
      </w:r>
      <w:r w:rsidR="00EC7EDF" w:rsidRPr="00FD211F">
        <w:rPr>
          <w:sz w:val="36"/>
          <w:szCs w:val="36"/>
          <w:rtl/>
        </w:rPr>
        <w:t xml:space="preserve"> </w:t>
      </w:r>
      <w:r w:rsidR="00A76414" w:rsidRPr="00FD211F">
        <w:rPr>
          <w:sz w:val="36"/>
          <w:szCs w:val="36"/>
          <w:rtl/>
        </w:rPr>
        <w:t>المعنى للمخاطب ولايلزم ان يكون المنتقل اليه موجودا في الخارج بل قد يمتنع وجوده في الخارج كما في قولنا شريك البارئ ممتنع</w:t>
      </w:r>
      <w:r w:rsidR="009C58C8" w:rsidRPr="00FD211F">
        <w:rPr>
          <w:rStyle w:val="a6"/>
          <w:sz w:val="36"/>
          <w:szCs w:val="36"/>
          <w:rtl/>
        </w:rPr>
        <w:t>(</w:t>
      </w:r>
      <w:r w:rsidR="009C58C8" w:rsidRPr="00FD211F">
        <w:rPr>
          <w:rStyle w:val="a6"/>
          <w:sz w:val="36"/>
          <w:szCs w:val="36"/>
          <w:rtl/>
        </w:rPr>
        <w:footnoteReference w:id="197"/>
      </w:r>
      <w:r w:rsidR="009C58C8" w:rsidRPr="00FD211F">
        <w:rPr>
          <w:rStyle w:val="a6"/>
          <w:sz w:val="36"/>
          <w:szCs w:val="36"/>
          <w:rtl/>
        </w:rPr>
        <w:t>)</w:t>
      </w:r>
      <w:r w:rsidR="00A76414" w:rsidRPr="00FD211F">
        <w:rPr>
          <w:sz w:val="36"/>
          <w:szCs w:val="36"/>
          <w:rtl/>
        </w:rPr>
        <w:t>.</w:t>
      </w:r>
    </w:p>
    <w:p w14:paraId="2F91630A" w14:textId="77777777" w:rsidR="00556BC0" w:rsidRPr="00FD211F" w:rsidRDefault="00EC7EDF" w:rsidP="009C58C8">
      <w:pPr>
        <w:ind w:left="0" w:firstLine="227"/>
        <w:jc w:val="both"/>
        <w:rPr>
          <w:sz w:val="36"/>
          <w:szCs w:val="36"/>
          <w:rtl/>
        </w:rPr>
      </w:pPr>
      <w:r w:rsidRPr="00FD211F">
        <w:rPr>
          <w:sz w:val="36"/>
          <w:szCs w:val="36"/>
          <w:rtl/>
        </w:rPr>
        <w:t>و</w:t>
      </w:r>
      <w:r w:rsidR="00556BC0" w:rsidRPr="00FD211F">
        <w:rPr>
          <w:sz w:val="36"/>
          <w:szCs w:val="36"/>
          <w:rtl/>
        </w:rPr>
        <w:t>قد يورد عليه بايرادين:</w:t>
      </w:r>
    </w:p>
    <w:p w14:paraId="77914827" w14:textId="77777777" w:rsidR="00556BC0" w:rsidRPr="00FD211F" w:rsidRDefault="00556BC0" w:rsidP="009C58C8">
      <w:pPr>
        <w:ind w:left="0" w:firstLine="227"/>
        <w:jc w:val="both"/>
        <w:rPr>
          <w:sz w:val="36"/>
          <w:szCs w:val="36"/>
          <w:rtl/>
        </w:rPr>
      </w:pPr>
      <w:r w:rsidRPr="00FD211F">
        <w:rPr>
          <w:sz w:val="36"/>
          <w:szCs w:val="36"/>
          <w:rtl/>
        </w:rPr>
        <w:t>1- ما يقال من ان</w:t>
      </w:r>
      <w:r w:rsidR="009D0801" w:rsidRPr="00FD211F">
        <w:rPr>
          <w:sz w:val="36"/>
          <w:szCs w:val="36"/>
          <w:rtl/>
        </w:rPr>
        <w:t xml:space="preserve">ه في </w:t>
      </w:r>
      <w:r w:rsidRPr="00FD211F">
        <w:rPr>
          <w:sz w:val="36"/>
          <w:szCs w:val="36"/>
          <w:rtl/>
        </w:rPr>
        <w:t>الجمل</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الواقع</w:t>
      </w:r>
      <w:r w:rsidR="00EC7EDF" w:rsidRPr="00FD211F">
        <w:rPr>
          <w:sz w:val="36"/>
          <w:szCs w:val="36"/>
          <w:rtl/>
        </w:rPr>
        <w:t xml:space="preserve">ة </w:t>
      </w:r>
      <w:r w:rsidRPr="00FD211F">
        <w:rPr>
          <w:sz w:val="36"/>
          <w:szCs w:val="36"/>
          <w:rtl/>
        </w:rPr>
        <w:t>عقيب ادا</w:t>
      </w:r>
      <w:r w:rsidR="00EC7EDF" w:rsidRPr="00FD211F">
        <w:rPr>
          <w:sz w:val="36"/>
          <w:szCs w:val="36"/>
          <w:rtl/>
        </w:rPr>
        <w:t xml:space="preserve">ة </w:t>
      </w:r>
      <w:r w:rsidRPr="00FD211F">
        <w:rPr>
          <w:sz w:val="36"/>
          <w:szCs w:val="36"/>
          <w:rtl/>
        </w:rPr>
        <w:t>الشرط او الاستفهام او الواقع</w:t>
      </w:r>
      <w:r w:rsidR="00EC7EDF" w:rsidRPr="00FD211F">
        <w:rPr>
          <w:sz w:val="36"/>
          <w:szCs w:val="36"/>
          <w:rtl/>
        </w:rPr>
        <w:t xml:space="preserve">ة </w:t>
      </w:r>
      <w:r w:rsidRPr="00FD211F">
        <w:rPr>
          <w:sz w:val="36"/>
          <w:szCs w:val="36"/>
          <w:rtl/>
        </w:rPr>
        <w:t xml:space="preserve">وصفا كقولنا </w:t>
      </w:r>
      <w:r w:rsidR="009D0801" w:rsidRPr="00FD211F">
        <w:rPr>
          <w:sz w:val="36"/>
          <w:szCs w:val="36"/>
          <w:rtl/>
        </w:rPr>
        <w:t>"</w:t>
      </w:r>
      <w:r w:rsidRPr="00FD211F">
        <w:rPr>
          <w:sz w:val="36"/>
          <w:szCs w:val="36"/>
          <w:rtl/>
        </w:rPr>
        <w:t>اكرم رجلا ابوه عالم</w:t>
      </w:r>
      <w:r w:rsidR="009D0801" w:rsidRPr="00FD211F">
        <w:rPr>
          <w:sz w:val="36"/>
          <w:szCs w:val="36"/>
          <w:rtl/>
        </w:rPr>
        <w:t xml:space="preserve">" </w:t>
      </w:r>
      <w:r w:rsidR="00FB59BC" w:rsidRPr="00FD211F">
        <w:rPr>
          <w:sz w:val="36"/>
          <w:szCs w:val="36"/>
          <w:rtl/>
        </w:rPr>
        <w:t>فانه لاتوجد</w:t>
      </w:r>
      <w:r w:rsidR="00891854" w:rsidRPr="00FD211F">
        <w:rPr>
          <w:sz w:val="36"/>
          <w:szCs w:val="36"/>
          <w:rtl/>
        </w:rPr>
        <w:t xml:space="preserve"> </w:t>
      </w:r>
      <w:r w:rsidR="00FB59BC" w:rsidRPr="00FD211F">
        <w:rPr>
          <w:sz w:val="36"/>
          <w:szCs w:val="36"/>
          <w:rtl/>
        </w:rPr>
        <w:t>فيها</w:t>
      </w:r>
      <w:r w:rsidR="00891854" w:rsidRPr="00FD211F">
        <w:rPr>
          <w:sz w:val="36"/>
          <w:szCs w:val="36"/>
          <w:rtl/>
        </w:rPr>
        <w:t xml:space="preserve"> </w:t>
      </w:r>
      <w:r w:rsidRPr="00FD211F">
        <w:rPr>
          <w:sz w:val="36"/>
          <w:szCs w:val="36"/>
          <w:rtl/>
        </w:rPr>
        <w:t>دلال</w:t>
      </w:r>
      <w:r w:rsidR="00EC7EDF" w:rsidRPr="00FD211F">
        <w:rPr>
          <w:sz w:val="36"/>
          <w:szCs w:val="36"/>
          <w:rtl/>
        </w:rPr>
        <w:t xml:space="preserve">ة </w:t>
      </w:r>
      <w:r w:rsidRPr="00FD211F">
        <w:rPr>
          <w:sz w:val="36"/>
          <w:szCs w:val="36"/>
          <w:rtl/>
        </w:rPr>
        <w:t>على تحقق الهوهوي</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بين الموضوع والمحمول</w:t>
      </w:r>
      <w:r w:rsidR="00603323" w:rsidRPr="00FD211F">
        <w:rPr>
          <w:sz w:val="36"/>
          <w:szCs w:val="36"/>
          <w:rtl/>
        </w:rPr>
        <w:t xml:space="preserve">، </w:t>
      </w:r>
      <w:r w:rsidR="00FB59BC" w:rsidRPr="00FD211F">
        <w:rPr>
          <w:sz w:val="36"/>
          <w:szCs w:val="36"/>
          <w:rtl/>
        </w:rPr>
        <w:t>فكيف يدعى وضع الجمل</w:t>
      </w:r>
      <w:r w:rsidR="00EC7EDF" w:rsidRPr="00FD211F">
        <w:rPr>
          <w:sz w:val="36"/>
          <w:szCs w:val="36"/>
          <w:rtl/>
        </w:rPr>
        <w:t xml:space="preserve">ة </w:t>
      </w:r>
      <w:r w:rsidR="00FB59BC" w:rsidRPr="00FD211F">
        <w:rPr>
          <w:sz w:val="36"/>
          <w:szCs w:val="36"/>
          <w:rtl/>
        </w:rPr>
        <w:t>الخبري</w:t>
      </w:r>
      <w:r w:rsidR="00EC7EDF" w:rsidRPr="00FD211F">
        <w:rPr>
          <w:sz w:val="36"/>
          <w:szCs w:val="36"/>
          <w:rtl/>
        </w:rPr>
        <w:t xml:space="preserve">ة </w:t>
      </w:r>
      <w:r w:rsidR="00FB59BC" w:rsidRPr="00FD211F">
        <w:rPr>
          <w:sz w:val="36"/>
          <w:szCs w:val="36"/>
          <w:rtl/>
        </w:rPr>
        <w:t>على الهوهوي</w:t>
      </w:r>
      <w:r w:rsidR="00EC7EDF" w:rsidRPr="00FD211F">
        <w:rPr>
          <w:sz w:val="36"/>
          <w:szCs w:val="36"/>
          <w:rtl/>
        </w:rPr>
        <w:t xml:space="preserve">ة </w:t>
      </w:r>
      <w:r w:rsidR="00FB59BC" w:rsidRPr="00FD211F">
        <w:rPr>
          <w:sz w:val="36"/>
          <w:szCs w:val="36"/>
          <w:rtl/>
        </w:rPr>
        <w:t>التصديقي</w:t>
      </w:r>
      <w:r w:rsidR="00EC7EDF" w:rsidRPr="00FD211F">
        <w:rPr>
          <w:sz w:val="36"/>
          <w:szCs w:val="36"/>
          <w:rtl/>
        </w:rPr>
        <w:t>ة</w:t>
      </w:r>
      <w:r w:rsidR="00603323" w:rsidRPr="00FD211F">
        <w:rPr>
          <w:sz w:val="36"/>
          <w:szCs w:val="36"/>
          <w:rtl/>
        </w:rPr>
        <w:t xml:space="preserve">، </w:t>
      </w:r>
      <w:r w:rsidRPr="00FD211F">
        <w:rPr>
          <w:sz w:val="36"/>
          <w:szCs w:val="36"/>
          <w:rtl/>
        </w:rPr>
        <w:t>و</w:t>
      </w:r>
      <w:r w:rsidR="009D0801" w:rsidRPr="00FD211F">
        <w:rPr>
          <w:sz w:val="36"/>
          <w:szCs w:val="36"/>
          <w:rtl/>
        </w:rPr>
        <w:t>اما</w:t>
      </w:r>
      <w:r w:rsidR="00891854" w:rsidRPr="00FD211F">
        <w:rPr>
          <w:sz w:val="36"/>
          <w:szCs w:val="36"/>
          <w:rtl/>
        </w:rPr>
        <w:t xml:space="preserve"> </w:t>
      </w:r>
      <w:r w:rsidRPr="00FD211F">
        <w:rPr>
          <w:sz w:val="36"/>
          <w:szCs w:val="36"/>
          <w:rtl/>
        </w:rPr>
        <w:t>الالتزام بتحولها عن جمل</w:t>
      </w:r>
      <w:r w:rsidR="00EC7EDF" w:rsidRPr="00FD211F">
        <w:rPr>
          <w:sz w:val="36"/>
          <w:szCs w:val="36"/>
          <w:rtl/>
        </w:rPr>
        <w:t xml:space="preserve">ة </w:t>
      </w:r>
      <w:r w:rsidR="00FB59BC" w:rsidRPr="00FD211F">
        <w:rPr>
          <w:sz w:val="36"/>
          <w:szCs w:val="36"/>
          <w:rtl/>
        </w:rPr>
        <w:t>تام</w:t>
      </w:r>
      <w:r w:rsidR="00EC7EDF" w:rsidRPr="00FD211F">
        <w:rPr>
          <w:sz w:val="36"/>
          <w:szCs w:val="36"/>
          <w:rtl/>
        </w:rPr>
        <w:t xml:space="preserve">ة </w:t>
      </w:r>
      <w:r w:rsidR="00FB59BC" w:rsidRPr="00FD211F">
        <w:rPr>
          <w:sz w:val="36"/>
          <w:szCs w:val="36"/>
          <w:rtl/>
        </w:rPr>
        <w:t>الى جمل</w:t>
      </w:r>
      <w:r w:rsidR="00EC7EDF" w:rsidRPr="00FD211F">
        <w:rPr>
          <w:sz w:val="36"/>
          <w:szCs w:val="36"/>
          <w:rtl/>
        </w:rPr>
        <w:t xml:space="preserve">ة </w:t>
      </w:r>
      <w:r w:rsidR="00FB59BC" w:rsidRPr="00FD211F">
        <w:rPr>
          <w:sz w:val="36"/>
          <w:szCs w:val="36"/>
          <w:rtl/>
        </w:rPr>
        <w:t>ناقص</w:t>
      </w:r>
      <w:r w:rsidR="00EC7EDF" w:rsidRPr="00FD211F">
        <w:rPr>
          <w:sz w:val="36"/>
          <w:szCs w:val="36"/>
          <w:rtl/>
        </w:rPr>
        <w:t xml:space="preserve">ة </w:t>
      </w:r>
      <w:r w:rsidR="00FB59BC" w:rsidRPr="00FD211F">
        <w:rPr>
          <w:sz w:val="36"/>
          <w:szCs w:val="36"/>
          <w:rtl/>
        </w:rPr>
        <w:t>بمجرد وقوع</w:t>
      </w:r>
      <w:r w:rsidRPr="00FD211F">
        <w:rPr>
          <w:sz w:val="36"/>
          <w:szCs w:val="36"/>
          <w:rtl/>
        </w:rPr>
        <w:t>ها عقيب ادا</w:t>
      </w:r>
      <w:r w:rsidR="00EC7EDF" w:rsidRPr="00FD211F">
        <w:rPr>
          <w:sz w:val="36"/>
          <w:szCs w:val="36"/>
          <w:rtl/>
        </w:rPr>
        <w:t xml:space="preserve">ة </w:t>
      </w:r>
      <w:r w:rsidRPr="00FD211F">
        <w:rPr>
          <w:sz w:val="36"/>
          <w:szCs w:val="36"/>
          <w:rtl/>
        </w:rPr>
        <w:t xml:space="preserve">الشرط او الاستفهام او وقوعها وصفا </w:t>
      </w:r>
      <w:r w:rsidR="009D0801" w:rsidRPr="00FD211F">
        <w:rPr>
          <w:sz w:val="36"/>
          <w:szCs w:val="36"/>
          <w:rtl/>
        </w:rPr>
        <w:t>ف</w:t>
      </w:r>
      <w:r w:rsidR="00FB59BC" w:rsidRPr="00FD211F">
        <w:rPr>
          <w:sz w:val="36"/>
          <w:szCs w:val="36"/>
          <w:rtl/>
        </w:rPr>
        <w:t>غير متجه لوضوح</w:t>
      </w:r>
      <w:r w:rsidRPr="00FD211F">
        <w:rPr>
          <w:sz w:val="36"/>
          <w:szCs w:val="36"/>
          <w:rtl/>
        </w:rPr>
        <w:t xml:space="preserve"> الفرق بينها وبين الجمل</w:t>
      </w:r>
      <w:r w:rsidR="00EC7EDF" w:rsidRPr="00FD211F">
        <w:rPr>
          <w:sz w:val="36"/>
          <w:szCs w:val="36"/>
          <w:rtl/>
        </w:rPr>
        <w:t xml:space="preserve">ة </w:t>
      </w:r>
      <w:r w:rsidRPr="00FD211F">
        <w:rPr>
          <w:sz w:val="36"/>
          <w:szCs w:val="36"/>
          <w:rtl/>
        </w:rPr>
        <w:t>الناقص</w:t>
      </w:r>
      <w:r w:rsidR="00EC7EDF" w:rsidRPr="00FD211F">
        <w:rPr>
          <w:sz w:val="36"/>
          <w:szCs w:val="36"/>
          <w:rtl/>
        </w:rPr>
        <w:t>ة</w:t>
      </w:r>
      <w:r w:rsidR="00603323" w:rsidRPr="00FD211F">
        <w:rPr>
          <w:sz w:val="36"/>
          <w:szCs w:val="36"/>
          <w:rtl/>
        </w:rPr>
        <w:t xml:space="preserve">، </w:t>
      </w:r>
      <w:r w:rsidRPr="00FD211F">
        <w:rPr>
          <w:sz w:val="36"/>
          <w:szCs w:val="36"/>
          <w:rtl/>
        </w:rPr>
        <w:t>ولذا لايصح استبدالها بها</w:t>
      </w:r>
      <w:r w:rsidR="00603323" w:rsidRPr="00FD211F">
        <w:rPr>
          <w:sz w:val="36"/>
          <w:szCs w:val="36"/>
          <w:rtl/>
        </w:rPr>
        <w:t xml:space="preserve">، </w:t>
      </w:r>
      <w:r w:rsidRPr="00FD211F">
        <w:rPr>
          <w:sz w:val="36"/>
          <w:szCs w:val="36"/>
          <w:rtl/>
        </w:rPr>
        <w:t>فلايق</w:t>
      </w:r>
      <w:r w:rsidR="009D0801" w:rsidRPr="00FD211F">
        <w:rPr>
          <w:sz w:val="36"/>
          <w:szCs w:val="36"/>
          <w:rtl/>
        </w:rPr>
        <w:t>ال مثلا "</w:t>
      </w:r>
      <w:r w:rsidR="00FB59BC" w:rsidRPr="00FD211F">
        <w:rPr>
          <w:sz w:val="36"/>
          <w:szCs w:val="36"/>
          <w:rtl/>
        </w:rPr>
        <w:t>أ</w:t>
      </w:r>
      <w:r w:rsidR="009D0801" w:rsidRPr="00FD211F">
        <w:rPr>
          <w:sz w:val="36"/>
          <w:szCs w:val="36"/>
          <w:rtl/>
        </w:rPr>
        <w:t>كرم رجلا ابوه العالم"</w:t>
      </w:r>
      <w:r w:rsidR="00603323" w:rsidRPr="00FD211F">
        <w:rPr>
          <w:sz w:val="36"/>
          <w:szCs w:val="36"/>
          <w:rtl/>
        </w:rPr>
        <w:t xml:space="preserve">، </w:t>
      </w:r>
      <w:r w:rsidRPr="00FD211F">
        <w:rPr>
          <w:sz w:val="36"/>
          <w:szCs w:val="36"/>
          <w:rtl/>
        </w:rPr>
        <w:t>كما لايقال بالفارسي</w:t>
      </w:r>
      <w:r w:rsidR="00EC7EDF" w:rsidRPr="00FD211F">
        <w:rPr>
          <w:sz w:val="36"/>
          <w:szCs w:val="36"/>
          <w:rtl/>
        </w:rPr>
        <w:t xml:space="preserve">ة </w:t>
      </w:r>
      <w:r w:rsidR="009D0801" w:rsidRPr="00FD211F">
        <w:rPr>
          <w:sz w:val="36"/>
          <w:szCs w:val="36"/>
          <w:rtl/>
        </w:rPr>
        <w:t>"</w:t>
      </w:r>
      <w:r w:rsidR="006C31B3" w:rsidRPr="00FD211F">
        <w:rPr>
          <w:sz w:val="36"/>
          <w:szCs w:val="36"/>
          <w:rtl/>
        </w:rPr>
        <w:t>اكرام كن</w:t>
      </w:r>
      <w:r w:rsidRPr="00FD211F">
        <w:rPr>
          <w:sz w:val="36"/>
          <w:szCs w:val="36"/>
          <w:rtl/>
        </w:rPr>
        <w:t xml:space="preserve"> مردى </w:t>
      </w:r>
      <w:r w:rsidR="006C31B3" w:rsidRPr="00FD211F">
        <w:rPr>
          <w:sz w:val="36"/>
          <w:szCs w:val="36"/>
          <w:rtl/>
        </w:rPr>
        <w:t>را</w:t>
      </w:r>
      <w:r w:rsidRPr="00FD211F">
        <w:rPr>
          <w:sz w:val="36"/>
          <w:szCs w:val="36"/>
          <w:rtl/>
        </w:rPr>
        <w:t xml:space="preserve">كه پدر عالمش </w:t>
      </w:r>
      <w:r w:rsidR="009D0801" w:rsidRPr="00FD211F">
        <w:rPr>
          <w:sz w:val="36"/>
          <w:szCs w:val="36"/>
          <w:rtl/>
        </w:rPr>
        <w:t>"</w:t>
      </w:r>
      <w:r w:rsidRPr="00FD211F">
        <w:rPr>
          <w:sz w:val="36"/>
          <w:szCs w:val="36"/>
          <w:rtl/>
        </w:rPr>
        <w:t xml:space="preserve">بل يقال </w:t>
      </w:r>
      <w:r w:rsidR="009D0801" w:rsidRPr="00FD211F">
        <w:rPr>
          <w:sz w:val="36"/>
          <w:szCs w:val="36"/>
          <w:rtl/>
        </w:rPr>
        <w:t>"</w:t>
      </w:r>
      <w:r w:rsidR="006C31B3" w:rsidRPr="00FD211F">
        <w:rPr>
          <w:sz w:val="36"/>
          <w:szCs w:val="36"/>
          <w:rtl/>
        </w:rPr>
        <w:t xml:space="preserve">اكرام كن </w:t>
      </w:r>
      <w:r w:rsidRPr="00FD211F">
        <w:rPr>
          <w:sz w:val="36"/>
          <w:szCs w:val="36"/>
          <w:rtl/>
        </w:rPr>
        <w:t xml:space="preserve">مردى </w:t>
      </w:r>
      <w:r w:rsidR="006C31B3" w:rsidRPr="00FD211F">
        <w:rPr>
          <w:sz w:val="36"/>
          <w:szCs w:val="36"/>
          <w:rtl/>
        </w:rPr>
        <w:t>را</w:t>
      </w:r>
      <w:r w:rsidRPr="00FD211F">
        <w:rPr>
          <w:sz w:val="36"/>
          <w:szCs w:val="36"/>
          <w:rtl/>
        </w:rPr>
        <w:t>كه پدرش عالم است</w:t>
      </w:r>
      <w:r w:rsidR="009D0801" w:rsidRPr="00FD211F">
        <w:rPr>
          <w:sz w:val="36"/>
          <w:szCs w:val="36"/>
          <w:rtl/>
        </w:rPr>
        <w:t>"</w:t>
      </w:r>
      <w:r w:rsidRPr="00FD211F">
        <w:rPr>
          <w:sz w:val="36"/>
          <w:szCs w:val="36"/>
          <w:rtl/>
        </w:rPr>
        <w:t xml:space="preserve"> نعم يصحّ في التوصيف ان يقال</w:t>
      </w:r>
      <w:r w:rsidR="00FB59BC" w:rsidRPr="00FD211F">
        <w:rPr>
          <w:sz w:val="36"/>
          <w:szCs w:val="36"/>
          <w:rtl/>
        </w:rPr>
        <w:t>"</w:t>
      </w:r>
      <w:r w:rsidRPr="00FD211F">
        <w:rPr>
          <w:sz w:val="36"/>
          <w:szCs w:val="36"/>
          <w:rtl/>
        </w:rPr>
        <w:t xml:space="preserve"> ا</w:t>
      </w:r>
      <w:r w:rsidR="00FB59BC" w:rsidRPr="00FD211F">
        <w:rPr>
          <w:sz w:val="36"/>
          <w:szCs w:val="36"/>
          <w:rtl/>
        </w:rPr>
        <w:t>كرم رجلا عالم الأب</w:t>
      </w:r>
      <w:r w:rsidRPr="00FD211F">
        <w:rPr>
          <w:sz w:val="36"/>
          <w:szCs w:val="36"/>
          <w:rtl/>
        </w:rPr>
        <w:t xml:space="preserve"> ولكنه غير ما هو المفروض</w:t>
      </w:r>
      <w:r w:rsidR="006C31B3" w:rsidRPr="00FD211F">
        <w:rPr>
          <w:sz w:val="36"/>
          <w:szCs w:val="36"/>
          <w:rtl/>
        </w:rPr>
        <w:t xml:space="preserve"> في المقام</w:t>
      </w:r>
      <w:r w:rsidRPr="00FD211F">
        <w:rPr>
          <w:sz w:val="36"/>
          <w:szCs w:val="36"/>
          <w:rtl/>
        </w:rPr>
        <w:t>.</w:t>
      </w:r>
    </w:p>
    <w:p w14:paraId="1B89F1FD" w14:textId="77777777" w:rsidR="00556BC0" w:rsidRPr="00FD211F" w:rsidRDefault="00556BC0" w:rsidP="009C58C8">
      <w:pPr>
        <w:ind w:left="0" w:firstLine="227"/>
        <w:jc w:val="both"/>
        <w:rPr>
          <w:sz w:val="36"/>
          <w:szCs w:val="36"/>
          <w:rtl/>
        </w:rPr>
      </w:pPr>
      <w:r w:rsidRPr="00FD211F">
        <w:rPr>
          <w:sz w:val="36"/>
          <w:szCs w:val="36"/>
          <w:rtl/>
        </w:rPr>
        <w:t>2- لو كان المستعمل فيه في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الهوهوي</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وتحقق الاتحاد خارجا بين الموضوع والمحمول فيلزم اهمال القضي</w:t>
      </w:r>
      <w:r w:rsidR="00EC7EDF" w:rsidRPr="00FD211F">
        <w:rPr>
          <w:sz w:val="36"/>
          <w:szCs w:val="36"/>
          <w:rtl/>
        </w:rPr>
        <w:t xml:space="preserve">ة </w:t>
      </w:r>
      <w:r w:rsidRPr="00FD211F">
        <w:rPr>
          <w:sz w:val="36"/>
          <w:szCs w:val="36"/>
          <w:rtl/>
        </w:rPr>
        <w:t>الكاذب</w:t>
      </w:r>
      <w:r w:rsidR="00EC7EDF" w:rsidRPr="00FD211F">
        <w:rPr>
          <w:sz w:val="36"/>
          <w:szCs w:val="36"/>
          <w:rtl/>
        </w:rPr>
        <w:t xml:space="preserve">ة </w:t>
      </w:r>
      <w:r w:rsidRPr="00FD211F">
        <w:rPr>
          <w:sz w:val="36"/>
          <w:szCs w:val="36"/>
          <w:rtl/>
        </w:rPr>
        <w:t>حيث ان عدم تحقق الاتحاد خارجا بين موضوعها ومحمولها يساوق انتفاء معناها الاستعمالي</w:t>
      </w:r>
      <w:r w:rsidR="00603323" w:rsidRPr="00FD211F">
        <w:rPr>
          <w:sz w:val="36"/>
          <w:szCs w:val="36"/>
          <w:rtl/>
        </w:rPr>
        <w:t xml:space="preserve">، </w:t>
      </w:r>
      <w:r w:rsidRPr="00FD211F">
        <w:rPr>
          <w:sz w:val="36"/>
          <w:szCs w:val="36"/>
          <w:rtl/>
        </w:rPr>
        <w:t>وكل كلام</w:t>
      </w:r>
      <w:r w:rsidR="008D7B3D" w:rsidRPr="00FD211F">
        <w:rPr>
          <w:sz w:val="36"/>
          <w:szCs w:val="36"/>
          <w:rtl/>
        </w:rPr>
        <w:t xml:space="preserve"> لم‌</w:t>
      </w:r>
      <w:r w:rsidRPr="00FD211F">
        <w:rPr>
          <w:sz w:val="36"/>
          <w:szCs w:val="36"/>
          <w:rtl/>
        </w:rPr>
        <w:t>يكن له مدلول استعمالي فهو مهمل</w:t>
      </w:r>
      <w:r w:rsidR="00603323" w:rsidRPr="00FD211F">
        <w:rPr>
          <w:sz w:val="36"/>
          <w:szCs w:val="36"/>
          <w:rtl/>
        </w:rPr>
        <w:t xml:space="preserve">، </w:t>
      </w:r>
      <w:r w:rsidRPr="00FD211F">
        <w:rPr>
          <w:sz w:val="36"/>
          <w:szCs w:val="36"/>
          <w:rtl/>
        </w:rPr>
        <w:t>فلابد ان تكون القضي</w:t>
      </w:r>
      <w:r w:rsidR="00EC7EDF" w:rsidRPr="00FD211F">
        <w:rPr>
          <w:sz w:val="36"/>
          <w:szCs w:val="36"/>
          <w:rtl/>
        </w:rPr>
        <w:t xml:space="preserve">ة </w:t>
      </w:r>
      <w:r w:rsidRPr="00FD211F">
        <w:rPr>
          <w:sz w:val="36"/>
          <w:szCs w:val="36"/>
          <w:rtl/>
        </w:rPr>
        <w:t>الكاذب</w:t>
      </w:r>
      <w:r w:rsidR="00EC7EDF" w:rsidRPr="00FD211F">
        <w:rPr>
          <w:sz w:val="36"/>
          <w:szCs w:val="36"/>
          <w:rtl/>
        </w:rPr>
        <w:t xml:space="preserve">ة </w:t>
      </w:r>
      <w:r w:rsidRPr="00FD211F">
        <w:rPr>
          <w:sz w:val="36"/>
          <w:szCs w:val="36"/>
          <w:rtl/>
        </w:rPr>
        <w:t>مهمل</w:t>
      </w:r>
      <w:r w:rsidR="00EC7EDF" w:rsidRPr="00FD211F">
        <w:rPr>
          <w:sz w:val="36"/>
          <w:szCs w:val="36"/>
          <w:rtl/>
        </w:rPr>
        <w:t>ة</w:t>
      </w:r>
      <w:r w:rsidR="00603323" w:rsidRPr="00FD211F">
        <w:rPr>
          <w:sz w:val="36"/>
          <w:szCs w:val="36"/>
          <w:rtl/>
        </w:rPr>
        <w:t xml:space="preserve">، </w:t>
      </w:r>
      <w:r w:rsidRPr="00FD211F">
        <w:rPr>
          <w:sz w:val="36"/>
          <w:szCs w:val="36"/>
          <w:rtl/>
        </w:rPr>
        <w:t>وهذا مما لايمكن الالتزام به.</w:t>
      </w:r>
    </w:p>
    <w:p w14:paraId="16152718" w14:textId="77777777" w:rsidR="00556BC0" w:rsidRPr="00FD211F" w:rsidRDefault="00556BC0" w:rsidP="009C58C8">
      <w:pPr>
        <w:ind w:left="0" w:firstLine="227"/>
        <w:jc w:val="both"/>
        <w:rPr>
          <w:sz w:val="36"/>
          <w:szCs w:val="36"/>
          <w:rtl/>
        </w:rPr>
      </w:pPr>
      <w:r w:rsidRPr="00FD211F">
        <w:rPr>
          <w:sz w:val="36"/>
          <w:szCs w:val="36"/>
          <w:rtl/>
        </w:rPr>
        <w:t>ويمكن ان يجاب عن الإيراد الأول بان الموضوع له لهيئ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اي ما جعلت علام</w:t>
      </w:r>
      <w:r w:rsidR="00EC7EDF" w:rsidRPr="00FD211F">
        <w:rPr>
          <w:sz w:val="36"/>
          <w:szCs w:val="36"/>
          <w:rtl/>
        </w:rPr>
        <w:t xml:space="preserve">ة </w:t>
      </w:r>
      <w:r w:rsidRPr="00FD211F">
        <w:rPr>
          <w:sz w:val="36"/>
          <w:szCs w:val="36"/>
          <w:rtl/>
        </w:rPr>
        <w:t>عليه وان ك</w:t>
      </w:r>
      <w:r w:rsidR="00C40998" w:rsidRPr="00FD211F">
        <w:rPr>
          <w:sz w:val="36"/>
          <w:szCs w:val="36"/>
          <w:rtl/>
        </w:rPr>
        <w:t>ان هو الهوهوي</w:t>
      </w:r>
      <w:r w:rsidR="00EC7EDF" w:rsidRPr="00FD211F">
        <w:rPr>
          <w:sz w:val="36"/>
          <w:szCs w:val="36"/>
          <w:rtl/>
        </w:rPr>
        <w:t xml:space="preserve">ة </w:t>
      </w:r>
      <w:r w:rsidR="00C40998" w:rsidRPr="00FD211F">
        <w:rPr>
          <w:sz w:val="36"/>
          <w:szCs w:val="36"/>
          <w:rtl/>
        </w:rPr>
        <w:t>التصديقي</w:t>
      </w:r>
      <w:r w:rsidR="00EC7EDF" w:rsidRPr="00FD211F">
        <w:rPr>
          <w:sz w:val="36"/>
          <w:szCs w:val="36"/>
          <w:rtl/>
        </w:rPr>
        <w:t xml:space="preserve">ة </w:t>
      </w:r>
      <w:r w:rsidR="00C40998" w:rsidRPr="00FD211F">
        <w:rPr>
          <w:sz w:val="36"/>
          <w:szCs w:val="36"/>
          <w:rtl/>
        </w:rPr>
        <w:t>اي</w:t>
      </w:r>
      <w:r w:rsidR="00B253CE" w:rsidRPr="00FD211F">
        <w:rPr>
          <w:sz w:val="36"/>
          <w:szCs w:val="36"/>
          <w:rtl/>
        </w:rPr>
        <w:t xml:space="preserve"> </w:t>
      </w:r>
      <w:r w:rsidR="00C40998" w:rsidRPr="00FD211F">
        <w:rPr>
          <w:sz w:val="36"/>
          <w:szCs w:val="36"/>
          <w:rtl/>
        </w:rPr>
        <w:t xml:space="preserve">ثبوت </w:t>
      </w:r>
      <w:r w:rsidRPr="00FD211F">
        <w:rPr>
          <w:sz w:val="36"/>
          <w:szCs w:val="36"/>
          <w:rtl/>
        </w:rPr>
        <w:t>الاتحاد بين الموضوع والمحمول خارجا فيكون هذا هو المدلول التصوري لها</w:t>
      </w:r>
      <w:r w:rsidR="00603323" w:rsidRPr="00FD211F">
        <w:rPr>
          <w:sz w:val="36"/>
          <w:szCs w:val="36"/>
          <w:rtl/>
        </w:rPr>
        <w:t xml:space="preserve">، </w:t>
      </w:r>
      <w:r w:rsidRPr="00FD211F">
        <w:rPr>
          <w:sz w:val="36"/>
          <w:szCs w:val="36"/>
          <w:rtl/>
        </w:rPr>
        <w:t>ولكن قد يخبر عنه كما في الجمل</w:t>
      </w:r>
      <w:r w:rsidR="00EC7EDF" w:rsidRPr="00FD211F">
        <w:rPr>
          <w:sz w:val="36"/>
          <w:szCs w:val="36"/>
          <w:rtl/>
        </w:rPr>
        <w:t xml:space="preserve">ة </w:t>
      </w:r>
      <w:r w:rsidRPr="00FD211F">
        <w:rPr>
          <w:sz w:val="36"/>
          <w:szCs w:val="36"/>
          <w:rtl/>
        </w:rPr>
        <w:t>الخبري</w:t>
      </w:r>
      <w:r w:rsidR="00EC7EDF" w:rsidRPr="00FD211F">
        <w:rPr>
          <w:sz w:val="36"/>
          <w:szCs w:val="36"/>
          <w:rtl/>
        </w:rPr>
        <w:t>ة</w:t>
      </w:r>
      <w:r w:rsidR="00603323" w:rsidRPr="00FD211F">
        <w:rPr>
          <w:sz w:val="36"/>
          <w:szCs w:val="36"/>
          <w:rtl/>
        </w:rPr>
        <w:t xml:space="preserve">، </w:t>
      </w:r>
      <w:r w:rsidRPr="00FD211F">
        <w:rPr>
          <w:sz w:val="36"/>
          <w:szCs w:val="36"/>
          <w:rtl/>
        </w:rPr>
        <w:t>او يسأل عنه كما في الجمل</w:t>
      </w:r>
      <w:r w:rsidR="00EC7EDF" w:rsidRPr="00FD211F">
        <w:rPr>
          <w:sz w:val="36"/>
          <w:szCs w:val="36"/>
          <w:rtl/>
        </w:rPr>
        <w:t xml:space="preserve">ة </w:t>
      </w:r>
      <w:r w:rsidRPr="00FD211F">
        <w:rPr>
          <w:sz w:val="36"/>
          <w:szCs w:val="36"/>
          <w:rtl/>
        </w:rPr>
        <w:t>الاستفهامي</w:t>
      </w:r>
      <w:r w:rsidR="00EC7EDF" w:rsidRPr="00FD211F">
        <w:rPr>
          <w:sz w:val="36"/>
          <w:szCs w:val="36"/>
          <w:rtl/>
        </w:rPr>
        <w:t>ة</w:t>
      </w:r>
      <w:r w:rsidR="00603323" w:rsidRPr="00FD211F">
        <w:rPr>
          <w:sz w:val="36"/>
          <w:szCs w:val="36"/>
          <w:rtl/>
        </w:rPr>
        <w:t xml:space="preserve">، </w:t>
      </w:r>
      <w:r w:rsidRPr="00FD211F">
        <w:rPr>
          <w:sz w:val="36"/>
          <w:szCs w:val="36"/>
          <w:rtl/>
        </w:rPr>
        <w:t xml:space="preserve">او يعلق عليه أمرٌ كما في </w:t>
      </w:r>
      <w:r w:rsidR="0070316A" w:rsidRPr="00FD211F">
        <w:rPr>
          <w:sz w:val="36"/>
          <w:szCs w:val="36"/>
          <w:rtl/>
        </w:rPr>
        <w:t>ال</w:t>
      </w:r>
      <w:r w:rsidRPr="00FD211F">
        <w:rPr>
          <w:sz w:val="36"/>
          <w:szCs w:val="36"/>
          <w:rtl/>
        </w:rPr>
        <w:t>جمل</w:t>
      </w:r>
      <w:r w:rsidR="00EC7EDF" w:rsidRPr="00FD211F">
        <w:rPr>
          <w:sz w:val="36"/>
          <w:szCs w:val="36"/>
          <w:rtl/>
        </w:rPr>
        <w:t xml:space="preserve">ة </w:t>
      </w:r>
      <w:r w:rsidR="0070316A" w:rsidRPr="00FD211F">
        <w:rPr>
          <w:sz w:val="36"/>
          <w:szCs w:val="36"/>
          <w:rtl/>
        </w:rPr>
        <w:t>التي دخل عليها ادا</w:t>
      </w:r>
      <w:r w:rsidR="00EC7EDF" w:rsidRPr="00FD211F">
        <w:rPr>
          <w:sz w:val="36"/>
          <w:szCs w:val="36"/>
          <w:rtl/>
        </w:rPr>
        <w:t xml:space="preserve">ة </w:t>
      </w:r>
      <w:r w:rsidRPr="00FD211F">
        <w:rPr>
          <w:sz w:val="36"/>
          <w:szCs w:val="36"/>
          <w:rtl/>
        </w:rPr>
        <w:t>الشرط</w:t>
      </w:r>
      <w:r w:rsidR="00603323" w:rsidRPr="00FD211F">
        <w:rPr>
          <w:sz w:val="36"/>
          <w:szCs w:val="36"/>
          <w:rtl/>
        </w:rPr>
        <w:t xml:space="preserve">، </w:t>
      </w:r>
      <w:r w:rsidRPr="00FD211F">
        <w:rPr>
          <w:sz w:val="36"/>
          <w:szCs w:val="36"/>
          <w:rtl/>
        </w:rPr>
        <w:t>او يقع وصفا الا ان المدلول التصوري لهيئ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واحد دائما.</w:t>
      </w:r>
    </w:p>
    <w:p w14:paraId="44896F54" w14:textId="77777777" w:rsidR="00556BC0" w:rsidRPr="00FD211F" w:rsidRDefault="00556BC0" w:rsidP="009C58C8">
      <w:pPr>
        <w:ind w:left="0" w:firstLine="227"/>
        <w:jc w:val="both"/>
        <w:rPr>
          <w:sz w:val="36"/>
          <w:szCs w:val="36"/>
          <w:rtl/>
        </w:rPr>
      </w:pPr>
      <w:bookmarkStart w:id="216" w:name="درس090"/>
      <w:bookmarkEnd w:id="216"/>
      <w:r w:rsidRPr="00FD211F">
        <w:rPr>
          <w:sz w:val="36"/>
          <w:szCs w:val="36"/>
          <w:rtl/>
        </w:rPr>
        <w:t>كما انه يمكن ان يجاب عن الايراد الثاني بان الذي وضع الهيئ</w:t>
      </w:r>
      <w:r w:rsidR="00EC7EDF" w:rsidRPr="00FD211F">
        <w:rPr>
          <w:sz w:val="36"/>
          <w:szCs w:val="36"/>
          <w:rtl/>
        </w:rPr>
        <w:t xml:space="preserve">ة </w:t>
      </w:r>
      <w:r w:rsidRPr="00FD211F">
        <w:rPr>
          <w:sz w:val="36"/>
          <w:szCs w:val="36"/>
          <w:rtl/>
        </w:rPr>
        <w:t>لتكون علام</w:t>
      </w:r>
      <w:r w:rsidR="00EC7EDF" w:rsidRPr="00FD211F">
        <w:rPr>
          <w:sz w:val="36"/>
          <w:szCs w:val="36"/>
          <w:rtl/>
        </w:rPr>
        <w:t xml:space="preserve">ة </w:t>
      </w:r>
      <w:r w:rsidRPr="00FD211F">
        <w:rPr>
          <w:sz w:val="36"/>
          <w:szCs w:val="36"/>
          <w:rtl/>
        </w:rPr>
        <w:t>عليه وان كان هو واقع الاتحاد بين الموضوع والمحمول خارجا</w:t>
      </w:r>
      <w:r w:rsidR="00603323" w:rsidRPr="00FD211F">
        <w:rPr>
          <w:sz w:val="36"/>
          <w:szCs w:val="36"/>
          <w:rtl/>
        </w:rPr>
        <w:t xml:space="preserve">، </w:t>
      </w:r>
      <w:r w:rsidRPr="00FD211F">
        <w:rPr>
          <w:sz w:val="36"/>
          <w:szCs w:val="36"/>
          <w:rtl/>
        </w:rPr>
        <w:t>لكن المستعمل فيه بالذات هو الحكم النفساني باتحاد الموضوع والمحمول خارجا</w:t>
      </w:r>
      <w:r w:rsidR="00603323" w:rsidRPr="00FD211F">
        <w:rPr>
          <w:sz w:val="36"/>
          <w:szCs w:val="36"/>
          <w:rtl/>
        </w:rPr>
        <w:t xml:space="preserve">، </w:t>
      </w:r>
      <w:r w:rsidRPr="00FD211F">
        <w:rPr>
          <w:sz w:val="36"/>
          <w:szCs w:val="36"/>
          <w:rtl/>
        </w:rPr>
        <w:t>وقد يعبر عنه بالنسب</w:t>
      </w:r>
      <w:r w:rsidR="00EC7EDF" w:rsidRPr="00FD211F">
        <w:rPr>
          <w:sz w:val="36"/>
          <w:szCs w:val="36"/>
          <w:rtl/>
        </w:rPr>
        <w:t xml:space="preserve">ة </w:t>
      </w:r>
      <w:r w:rsidRPr="00FD211F">
        <w:rPr>
          <w:sz w:val="36"/>
          <w:szCs w:val="36"/>
          <w:rtl/>
        </w:rPr>
        <w:t>الحملي</w:t>
      </w:r>
      <w:r w:rsidR="00EC7EDF" w:rsidRPr="00FD211F">
        <w:rPr>
          <w:sz w:val="36"/>
          <w:szCs w:val="36"/>
          <w:rtl/>
        </w:rPr>
        <w:t xml:space="preserve">ة </w:t>
      </w:r>
      <w:r w:rsidRPr="00FD211F">
        <w:rPr>
          <w:sz w:val="36"/>
          <w:szCs w:val="36"/>
          <w:rtl/>
        </w:rPr>
        <w:t>او النسب</w:t>
      </w:r>
      <w:r w:rsidR="00EC7EDF" w:rsidRPr="00FD211F">
        <w:rPr>
          <w:sz w:val="36"/>
          <w:szCs w:val="36"/>
          <w:rtl/>
        </w:rPr>
        <w:t xml:space="preserve">ة </w:t>
      </w:r>
      <w:r w:rsidRPr="00FD211F">
        <w:rPr>
          <w:sz w:val="36"/>
          <w:szCs w:val="36"/>
          <w:rtl/>
        </w:rPr>
        <w:t>التصادقي</w:t>
      </w:r>
      <w:r w:rsidR="00EC7EDF" w:rsidRPr="00FD211F">
        <w:rPr>
          <w:sz w:val="36"/>
          <w:szCs w:val="36"/>
          <w:rtl/>
        </w:rPr>
        <w:t>ة</w:t>
      </w:r>
      <w:r w:rsidR="00603323" w:rsidRPr="00FD211F">
        <w:rPr>
          <w:sz w:val="36"/>
          <w:szCs w:val="36"/>
          <w:rtl/>
        </w:rPr>
        <w:t xml:space="preserve">، </w:t>
      </w:r>
      <w:r w:rsidRPr="00FD211F">
        <w:rPr>
          <w:sz w:val="36"/>
          <w:szCs w:val="36"/>
          <w:rtl/>
        </w:rPr>
        <w:t>وبعد انحفاظ المستعمل فيه بالذات في القضي</w:t>
      </w:r>
      <w:r w:rsidR="00EC7EDF" w:rsidRPr="00FD211F">
        <w:rPr>
          <w:sz w:val="36"/>
          <w:szCs w:val="36"/>
          <w:rtl/>
        </w:rPr>
        <w:t xml:space="preserve">ة </w:t>
      </w:r>
      <w:r w:rsidRPr="00FD211F">
        <w:rPr>
          <w:sz w:val="36"/>
          <w:szCs w:val="36"/>
          <w:rtl/>
        </w:rPr>
        <w:t>الكاذب</w:t>
      </w:r>
      <w:r w:rsidR="00EC7EDF" w:rsidRPr="00FD211F">
        <w:rPr>
          <w:sz w:val="36"/>
          <w:szCs w:val="36"/>
          <w:rtl/>
        </w:rPr>
        <w:t xml:space="preserve">ة </w:t>
      </w:r>
      <w:r w:rsidRPr="00FD211F">
        <w:rPr>
          <w:sz w:val="36"/>
          <w:szCs w:val="36"/>
          <w:rtl/>
        </w:rPr>
        <w:t>فلايكون الكلام مهملا</w:t>
      </w:r>
      <w:r w:rsidR="00603323" w:rsidRPr="00FD211F">
        <w:rPr>
          <w:sz w:val="36"/>
          <w:szCs w:val="36"/>
          <w:rtl/>
        </w:rPr>
        <w:t xml:space="preserve">، </w:t>
      </w:r>
      <w:r w:rsidRPr="00FD211F">
        <w:rPr>
          <w:sz w:val="36"/>
          <w:szCs w:val="36"/>
          <w:rtl/>
        </w:rPr>
        <w:t>ولايوجب انتفاء ذي العلام</w:t>
      </w:r>
      <w:r w:rsidR="00EC7EDF" w:rsidRPr="00FD211F">
        <w:rPr>
          <w:sz w:val="36"/>
          <w:szCs w:val="36"/>
          <w:rtl/>
        </w:rPr>
        <w:t xml:space="preserve">ة </w:t>
      </w:r>
      <w:r w:rsidRPr="00FD211F">
        <w:rPr>
          <w:sz w:val="36"/>
          <w:szCs w:val="36"/>
          <w:rtl/>
        </w:rPr>
        <w:t>اهمال العلام</w:t>
      </w:r>
      <w:r w:rsidR="00EC7EDF" w:rsidRPr="00FD211F">
        <w:rPr>
          <w:sz w:val="36"/>
          <w:szCs w:val="36"/>
          <w:rtl/>
        </w:rPr>
        <w:t>ة</w:t>
      </w:r>
      <w:r w:rsidR="00603323" w:rsidRPr="00FD211F">
        <w:rPr>
          <w:sz w:val="36"/>
          <w:szCs w:val="36"/>
          <w:rtl/>
        </w:rPr>
        <w:t xml:space="preserve">، </w:t>
      </w:r>
      <w:r w:rsidR="00FB59BC" w:rsidRPr="00FD211F">
        <w:rPr>
          <w:sz w:val="36"/>
          <w:szCs w:val="36"/>
          <w:rtl/>
        </w:rPr>
        <w:t>فلايبعد</w:t>
      </w:r>
      <w:r w:rsidR="00891854" w:rsidRPr="00FD211F">
        <w:rPr>
          <w:sz w:val="36"/>
          <w:szCs w:val="36"/>
          <w:rtl/>
        </w:rPr>
        <w:t xml:space="preserve"> </w:t>
      </w:r>
      <w:r w:rsidR="00FB59BC" w:rsidRPr="00FD211F">
        <w:rPr>
          <w:sz w:val="36"/>
          <w:szCs w:val="36"/>
          <w:rtl/>
        </w:rPr>
        <w:t>تمامي</w:t>
      </w:r>
      <w:r w:rsidR="00EC7EDF" w:rsidRPr="00FD211F">
        <w:rPr>
          <w:sz w:val="36"/>
          <w:szCs w:val="36"/>
          <w:rtl/>
        </w:rPr>
        <w:t xml:space="preserve">ة </w:t>
      </w:r>
      <w:r w:rsidR="00FB59BC" w:rsidRPr="00FD211F">
        <w:rPr>
          <w:sz w:val="36"/>
          <w:szCs w:val="36"/>
          <w:rtl/>
        </w:rPr>
        <w:t>القول الرابع</w:t>
      </w:r>
      <w:r w:rsidR="00EC7EDF" w:rsidRPr="00FD211F">
        <w:rPr>
          <w:sz w:val="36"/>
          <w:szCs w:val="36"/>
          <w:rtl/>
        </w:rPr>
        <w:t>.</w:t>
      </w:r>
    </w:p>
    <w:p w14:paraId="6780B86A" w14:textId="77777777" w:rsidR="000C5BBA" w:rsidRPr="00FD211F" w:rsidRDefault="00C84562" w:rsidP="009C58C8">
      <w:pPr>
        <w:ind w:left="0" w:firstLine="227"/>
        <w:jc w:val="both"/>
        <w:rPr>
          <w:sz w:val="36"/>
          <w:szCs w:val="36"/>
          <w:rtl/>
        </w:rPr>
      </w:pPr>
      <w:r w:rsidRPr="00FD211F">
        <w:rPr>
          <w:b/>
          <w:bCs/>
          <w:sz w:val="36"/>
          <w:szCs w:val="36"/>
          <w:rtl/>
        </w:rPr>
        <w:t>تنبيه</w:t>
      </w:r>
      <w:r w:rsidR="00856647" w:rsidRPr="00FD211F">
        <w:rPr>
          <w:sz w:val="36"/>
          <w:szCs w:val="36"/>
          <w:rtl/>
        </w:rPr>
        <w:t>:</w:t>
      </w:r>
      <w:r w:rsidR="004211C4" w:rsidRPr="00FD211F">
        <w:rPr>
          <w:sz w:val="36"/>
          <w:szCs w:val="36"/>
          <w:rtl/>
        </w:rPr>
        <w:t>حكي عن</w:t>
      </w:r>
      <w:r w:rsidRPr="00FD211F">
        <w:rPr>
          <w:sz w:val="36"/>
          <w:szCs w:val="36"/>
          <w:rtl/>
        </w:rPr>
        <w:t xml:space="preserve"> بعض الساد</w:t>
      </w:r>
      <w:r w:rsidR="00EC7EDF" w:rsidRPr="00FD211F">
        <w:rPr>
          <w:sz w:val="36"/>
          <w:szCs w:val="36"/>
          <w:rtl/>
        </w:rPr>
        <w:t xml:space="preserve">ة </w:t>
      </w:r>
      <w:r w:rsidRPr="00FD211F">
        <w:rPr>
          <w:sz w:val="36"/>
          <w:szCs w:val="36"/>
          <w:rtl/>
        </w:rPr>
        <w:t xml:space="preserve">الأعلام </w:t>
      </w:r>
      <w:r w:rsidR="004211C4" w:rsidRPr="00FD211F">
        <w:rPr>
          <w:sz w:val="36"/>
          <w:szCs w:val="36"/>
          <w:rtl/>
        </w:rPr>
        <w:t>"</w:t>
      </w:r>
      <w:r w:rsidRPr="00FD211F">
        <w:rPr>
          <w:sz w:val="36"/>
          <w:szCs w:val="36"/>
          <w:rtl/>
        </w:rPr>
        <w:t>دام ظله</w:t>
      </w:r>
      <w:r w:rsidR="004211C4" w:rsidRPr="00FD211F">
        <w:rPr>
          <w:sz w:val="36"/>
          <w:szCs w:val="36"/>
          <w:rtl/>
        </w:rPr>
        <w:t>"</w:t>
      </w:r>
      <w:r w:rsidR="008B2FDE" w:rsidRPr="00FD211F">
        <w:rPr>
          <w:sz w:val="36"/>
          <w:szCs w:val="36"/>
          <w:rtl/>
        </w:rPr>
        <w:t>:</w:t>
      </w:r>
      <w:r w:rsidRPr="00FD211F">
        <w:rPr>
          <w:sz w:val="36"/>
          <w:szCs w:val="36"/>
          <w:rtl/>
        </w:rPr>
        <w:t xml:space="preserve"> ان الجمل</w:t>
      </w:r>
      <w:r w:rsidR="00EC7EDF" w:rsidRPr="00FD211F">
        <w:rPr>
          <w:sz w:val="36"/>
          <w:szCs w:val="36"/>
          <w:rtl/>
        </w:rPr>
        <w:t xml:space="preserve">ة </w:t>
      </w:r>
      <w:r w:rsidRPr="00FD211F">
        <w:rPr>
          <w:sz w:val="36"/>
          <w:szCs w:val="36"/>
          <w:rtl/>
        </w:rPr>
        <w:t>الإسنادي</w:t>
      </w:r>
      <w:r w:rsidR="00EC7EDF" w:rsidRPr="00FD211F">
        <w:rPr>
          <w:sz w:val="36"/>
          <w:szCs w:val="36"/>
          <w:rtl/>
        </w:rPr>
        <w:t xml:space="preserve">ة </w:t>
      </w:r>
      <w:r w:rsidRPr="00FD211F">
        <w:rPr>
          <w:sz w:val="36"/>
          <w:szCs w:val="36"/>
          <w:rtl/>
        </w:rPr>
        <w:t>في اللغ</w:t>
      </w:r>
      <w:r w:rsidR="00EC7EDF" w:rsidRPr="00FD211F">
        <w:rPr>
          <w:sz w:val="36"/>
          <w:szCs w:val="36"/>
          <w:rtl/>
        </w:rPr>
        <w:t xml:space="preserve">ة </w:t>
      </w:r>
      <w:r w:rsidRPr="00FD211F">
        <w:rPr>
          <w:sz w:val="36"/>
          <w:szCs w:val="36"/>
          <w:rtl/>
        </w:rPr>
        <w:t>العربي</w:t>
      </w:r>
      <w:r w:rsidR="00EC7EDF" w:rsidRPr="00FD211F">
        <w:rPr>
          <w:sz w:val="36"/>
          <w:szCs w:val="36"/>
          <w:rtl/>
        </w:rPr>
        <w:t xml:space="preserve">ة </w:t>
      </w:r>
      <w:r w:rsidRPr="00FD211F">
        <w:rPr>
          <w:sz w:val="36"/>
          <w:szCs w:val="36"/>
          <w:rtl/>
        </w:rPr>
        <w:t xml:space="preserve">في قولنا "زيد قائم" لاتشتمل </w:t>
      </w:r>
      <w:r w:rsidR="006D13EF" w:rsidRPr="00FD211F">
        <w:rPr>
          <w:sz w:val="36"/>
          <w:szCs w:val="36"/>
          <w:rtl/>
        </w:rPr>
        <w:t xml:space="preserve">الا </w:t>
      </w:r>
      <w:r w:rsidRPr="00FD211F">
        <w:rPr>
          <w:sz w:val="36"/>
          <w:szCs w:val="36"/>
          <w:rtl/>
        </w:rPr>
        <w:t>على موضوع ومحمول</w:t>
      </w:r>
      <w:r w:rsidR="00603323" w:rsidRPr="00FD211F">
        <w:rPr>
          <w:sz w:val="36"/>
          <w:szCs w:val="36"/>
          <w:rtl/>
        </w:rPr>
        <w:t xml:space="preserve">، </w:t>
      </w:r>
      <w:r w:rsidR="008B2FDE" w:rsidRPr="00FD211F">
        <w:rPr>
          <w:sz w:val="36"/>
          <w:szCs w:val="36"/>
          <w:rtl/>
        </w:rPr>
        <w:t>فتدل على كون النسب</w:t>
      </w:r>
      <w:r w:rsidR="00EC7EDF" w:rsidRPr="00FD211F">
        <w:rPr>
          <w:sz w:val="36"/>
          <w:szCs w:val="36"/>
          <w:rtl/>
        </w:rPr>
        <w:t xml:space="preserve">ة </w:t>
      </w:r>
      <w:r w:rsidR="008B2FDE" w:rsidRPr="00FD211F">
        <w:rPr>
          <w:sz w:val="36"/>
          <w:szCs w:val="36"/>
          <w:rtl/>
        </w:rPr>
        <w:t>الإسنادي</w:t>
      </w:r>
      <w:r w:rsidR="00EC7EDF" w:rsidRPr="00FD211F">
        <w:rPr>
          <w:sz w:val="36"/>
          <w:szCs w:val="36"/>
          <w:rtl/>
        </w:rPr>
        <w:t xml:space="preserve">ة </w:t>
      </w:r>
      <w:r w:rsidR="008B2FDE" w:rsidRPr="00FD211F">
        <w:rPr>
          <w:sz w:val="36"/>
          <w:szCs w:val="36"/>
          <w:rtl/>
        </w:rPr>
        <w:t>فيها بمعنى اتحاد الطرفين وجودا</w:t>
      </w:r>
      <w:r w:rsidR="00603323" w:rsidRPr="00FD211F">
        <w:rPr>
          <w:sz w:val="36"/>
          <w:szCs w:val="36"/>
          <w:rtl/>
        </w:rPr>
        <w:t xml:space="preserve">، </w:t>
      </w:r>
      <w:r w:rsidR="008B2FDE" w:rsidRPr="00FD211F">
        <w:rPr>
          <w:sz w:val="36"/>
          <w:szCs w:val="36"/>
          <w:rtl/>
        </w:rPr>
        <w:t>بينما أنه في اللغ</w:t>
      </w:r>
      <w:r w:rsidR="00EC7EDF" w:rsidRPr="00FD211F">
        <w:rPr>
          <w:sz w:val="36"/>
          <w:szCs w:val="36"/>
          <w:rtl/>
        </w:rPr>
        <w:t xml:space="preserve">ة </w:t>
      </w:r>
      <w:r w:rsidR="008B2FDE" w:rsidRPr="00FD211F">
        <w:rPr>
          <w:sz w:val="36"/>
          <w:szCs w:val="36"/>
          <w:rtl/>
        </w:rPr>
        <w:t>الفارسي</w:t>
      </w:r>
      <w:r w:rsidR="00EC7EDF" w:rsidRPr="00FD211F">
        <w:rPr>
          <w:sz w:val="36"/>
          <w:szCs w:val="36"/>
          <w:rtl/>
        </w:rPr>
        <w:t xml:space="preserve">ة </w:t>
      </w:r>
      <w:r w:rsidR="008B2FDE" w:rsidRPr="00FD211F">
        <w:rPr>
          <w:sz w:val="36"/>
          <w:szCs w:val="36"/>
          <w:rtl/>
        </w:rPr>
        <w:t>تستخدم كلم</w:t>
      </w:r>
      <w:r w:rsidR="00EC7EDF" w:rsidRPr="00FD211F">
        <w:rPr>
          <w:sz w:val="36"/>
          <w:szCs w:val="36"/>
          <w:rtl/>
        </w:rPr>
        <w:t xml:space="preserve">ة </w:t>
      </w:r>
      <w:r w:rsidR="008B2FDE" w:rsidRPr="00FD211F">
        <w:rPr>
          <w:sz w:val="36"/>
          <w:szCs w:val="36"/>
          <w:rtl/>
        </w:rPr>
        <w:t>"است" وفي اللغ</w:t>
      </w:r>
      <w:r w:rsidR="00EC7EDF" w:rsidRPr="00FD211F">
        <w:rPr>
          <w:sz w:val="36"/>
          <w:szCs w:val="36"/>
          <w:rtl/>
        </w:rPr>
        <w:t xml:space="preserve">ة </w:t>
      </w:r>
      <w:r w:rsidR="008B2FDE" w:rsidRPr="00FD211F">
        <w:rPr>
          <w:sz w:val="36"/>
          <w:szCs w:val="36"/>
          <w:rtl/>
        </w:rPr>
        <w:t>اليوناني</w:t>
      </w:r>
      <w:r w:rsidR="00EC7EDF" w:rsidRPr="00FD211F">
        <w:rPr>
          <w:sz w:val="36"/>
          <w:szCs w:val="36"/>
          <w:rtl/>
        </w:rPr>
        <w:t xml:space="preserve">ة </w:t>
      </w:r>
      <w:r w:rsidR="008B2FDE" w:rsidRPr="00FD211F">
        <w:rPr>
          <w:sz w:val="36"/>
          <w:szCs w:val="36"/>
          <w:rtl/>
        </w:rPr>
        <w:t>"استين" وهذا يدلّ على كون مفهوم الجمل</w:t>
      </w:r>
      <w:r w:rsidR="00EC7EDF" w:rsidRPr="00FD211F">
        <w:rPr>
          <w:sz w:val="36"/>
          <w:szCs w:val="36"/>
          <w:rtl/>
        </w:rPr>
        <w:t xml:space="preserve">ة </w:t>
      </w:r>
      <w:r w:rsidR="008B2FDE" w:rsidRPr="00FD211F">
        <w:rPr>
          <w:sz w:val="36"/>
          <w:szCs w:val="36"/>
          <w:rtl/>
        </w:rPr>
        <w:t>الإسنادي</w:t>
      </w:r>
      <w:r w:rsidR="00EC7EDF" w:rsidRPr="00FD211F">
        <w:rPr>
          <w:sz w:val="36"/>
          <w:szCs w:val="36"/>
          <w:rtl/>
        </w:rPr>
        <w:t xml:space="preserve">ة </w:t>
      </w:r>
      <w:r w:rsidR="008B2FDE" w:rsidRPr="00FD211F">
        <w:rPr>
          <w:sz w:val="36"/>
          <w:szCs w:val="36"/>
          <w:rtl/>
        </w:rPr>
        <w:t>في الفكر الفارسي واليوناني عبار</w:t>
      </w:r>
      <w:r w:rsidR="00EC7EDF" w:rsidRPr="00FD211F">
        <w:rPr>
          <w:sz w:val="36"/>
          <w:szCs w:val="36"/>
          <w:rtl/>
        </w:rPr>
        <w:t xml:space="preserve">ة </w:t>
      </w:r>
      <w:r w:rsidR="008B2FDE" w:rsidRPr="00FD211F">
        <w:rPr>
          <w:sz w:val="36"/>
          <w:szCs w:val="36"/>
          <w:rtl/>
        </w:rPr>
        <w:t xml:space="preserve">عن ثبوت </w:t>
      </w:r>
      <w:r w:rsidR="008D7B3D" w:rsidRPr="00FD211F">
        <w:rPr>
          <w:sz w:val="36"/>
          <w:szCs w:val="36"/>
          <w:rtl/>
        </w:rPr>
        <w:t xml:space="preserve">شيء </w:t>
      </w:r>
      <w:r w:rsidR="008B2FDE" w:rsidRPr="00FD211F">
        <w:rPr>
          <w:sz w:val="36"/>
          <w:szCs w:val="36"/>
          <w:rtl/>
        </w:rPr>
        <w:t>لشيئ</w:t>
      </w:r>
      <w:r w:rsidR="00603323" w:rsidRPr="00FD211F">
        <w:rPr>
          <w:sz w:val="36"/>
          <w:szCs w:val="36"/>
          <w:rtl/>
        </w:rPr>
        <w:t xml:space="preserve">، </w:t>
      </w:r>
      <w:r w:rsidR="008B2FDE" w:rsidRPr="00FD211F">
        <w:rPr>
          <w:sz w:val="36"/>
          <w:szCs w:val="36"/>
          <w:rtl/>
        </w:rPr>
        <w:t>فمعنى "زيد قائم است" ثبوت القيام لزيد</w:t>
      </w:r>
      <w:r w:rsidR="00603323" w:rsidRPr="00FD211F">
        <w:rPr>
          <w:sz w:val="36"/>
          <w:szCs w:val="36"/>
          <w:rtl/>
        </w:rPr>
        <w:t xml:space="preserve">، </w:t>
      </w:r>
      <w:r w:rsidR="008B2FDE" w:rsidRPr="00FD211F">
        <w:rPr>
          <w:sz w:val="36"/>
          <w:szCs w:val="36"/>
          <w:rtl/>
        </w:rPr>
        <w:t>وهذا المفهوم يحتفظ فيه على الإثنيني</w:t>
      </w:r>
      <w:r w:rsidR="00EC7EDF" w:rsidRPr="00FD211F">
        <w:rPr>
          <w:sz w:val="36"/>
          <w:szCs w:val="36"/>
          <w:rtl/>
        </w:rPr>
        <w:t xml:space="preserve">ة </w:t>
      </w:r>
      <w:r w:rsidR="008B2FDE" w:rsidRPr="00FD211F">
        <w:rPr>
          <w:sz w:val="36"/>
          <w:szCs w:val="36"/>
          <w:rtl/>
        </w:rPr>
        <w:t>بين الموضوع والمحمول</w:t>
      </w:r>
      <w:r w:rsidR="00603323" w:rsidRPr="00FD211F">
        <w:rPr>
          <w:sz w:val="36"/>
          <w:szCs w:val="36"/>
          <w:rtl/>
        </w:rPr>
        <w:t xml:space="preserve">، </w:t>
      </w:r>
      <w:r w:rsidR="008B2FDE" w:rsidRPr="00FD211F">
        <w:rPr>
          <w:sz w:val="36"/>
          <w:szCs w:val="36"/>
          <w:rtl/>
        </w:rPr>
        <w:t>بخلاف المفهوم العر</w:t>
      </w:r>
      <w:r w:rsidR="006D13EF" w:rsidRPr="00FD211F">
        <w:rPr>
          <w:sz w:val="36"/>
          <w:szCs w:val="36"/>
          <w:rtl/>
        </w:rPr>
        <w:t>بي</w:t>
      </w:r>
      <w:r w:rsidR="008B2FDE" w:rsidRPr="00FD211F">
        <w:rPr>
          <w:sz w:val="36"/>
          <w:szCs w:val="36"/>
          <w:rtl/>
        </w:rPr>
        <w:t xml:space="preserve"> الذي يعكس الوحد</w:t>
      </w:r>
      <w:r w:rsidR="00EC7EDF" w:rsidRPr="00FD211F">
        <w:rPr>
          <w:sz w:val="36"/>
          <w:szCs w:val="36"/>
          <w:rtl/>
        </w:rPr>
        <w:t xml:space="preserve">ة </w:t>
      </w:r>
      <w:r w:rsidR="008B2FDE" w:rsidRPr="00FD211F">
        <w:rPr>
          <w:sz w:val="36"/>
          <w:szCs w:val="36"/>
          <w:rtl/>
        </w:rPr>
        <w:t>والاندماج</w:t>
      </w:r>
      <w:r w:rsidR="009C58C8" w:rsidRPr="00FD211F">
        <w:rPr>
          <w:rStyle w:val="a6"/>
          <w:sz w:val="36"/>
          <w:szCs w:val="36"/>
          <w:rtl/>
        </w:rPr>
        <w:t>(</w:t>
      </w:r>
      <w:r w:rsidR="009C58C8" w:rsidRPr="00FD211F">
        <w:rPr>
          <w:rStyle w:val="a6"/>
          <w:sz w:val="36"/>
          <w:szCs w:val="36"/>
          <w:rtl/>
        </w:rPr>
        <w:footnoteReference w:id="198"/>
      </w:r>
      <w:r w:rsidR="009C58C8" w:rsidRPr="00FD211F">
        <w:rPr>
          <w:rStyle w:val="a6"/>
          <w:sz w:val="36"/>
          <w:szCs w:val="36"/>
          <w:rtl/>
        </w:rPr>
        <w:t>)</w:t>
      </w:r>
      <w:r w:rsidR="004211C4" w:rsidRPr="00FD211F">
        <w:rPr>
          <w:sz w:val="36"/>
          <w:szCs w:val="36"/>
          <w:rtl/>
        </w:rPr>
        <w:t>.</w:t>
      </w:r>
    </w:p>
    <w:p w14:paraId="502F9E9D" w14:textId="77777777" w:rsidR="00C84562" w:rsidRPr="00FD211F" w:rsidRDefault="006D13EF" w:rsidP="009C58C8">
      <w:pPr>
        <w:ind w:left="0" w:firstLine="227"/>
        <w:jc w:val="both"/>
        <w:rPr>
          <w:sz w:val="36"/>
          <w:szCs w:val="36"/>
          <w:rtl/>
        </w:rPr>
      </w:pPr>
      <w:r w:rsidRPr="00FD211F">
        <w:rPr>
          <w:sz w:val="36"/>
          <w:szCs w:val="36"/>
          <w:rtl/>
        </w:rPr>
        <w:t>اقول:</w:t>
      </w:r>
      <w:r w:rsidR="00A76414" w:rsidRPr="00FD211F">
        <w:rPr>
          <w:sz w:val="36"/>
          <w:szCs w:val="36"/>
          <w:rtl/>
        </w:rPr>
        <w:t xml:space="preserve"> الظاهر عدم اختلاف بين هذه اللغات</w:t>
      </w:r>
      <w:r w:rsidR="00603323" w:rsidRPr="00FD211F">
        <w:rPr>
          <w:sz w:val="36"/>
          <w:szCs w:val="36"/>
          <w:rtl/>
        </w:rPr>
        <w:t xml:space="preserve">، </w:t>
      </w:r>
      <w:r w:rsidR="00A76414" w:rsidRPr="00FD211F">
        <w:rPr>
          <w:sz w:val="36"/>
          <w:szCs w:val="36"/>
          <w:rtl/>
        </w:rPr>
        <w:t>فان كلم</w:t>
      </w:r>
      <w:r w:rsidR="00EC7EDF" w:rsidRPr="00FD211F">
        <w:rPr>
          <w:sz w:val="36"/>
          <w:szCs w:val="36"/>
          <w:rtl/>
        </w:rPr>
        <w:t xml:space="preserve">ة </w:t>
      </w:r>
      <w:r w:rsidR="00A76414" w:rsidRPr="00FD211F">
        <w:rPr>
          <w:sz w:val="36"/>
          <w:szCs w:val="36"/>
          <w:rtl/>
        </w:rPr>
        <w:t>"است" تدل على الاتحاد بين الموضوع والمحمول.</w:t>
      </w:r>
    </w:p>
    <w:p w14:paraId="4DE4BA49" w14:textId="77777777" w:rsidR="00556BC0" w:rsidRPr="00FD211F" w:rsidRDefault="00556BC0" w:rsidP="009C58C8">
      <w:pPr>
        <w:pStyle w:val="3"/>
        <w:ind w:firstLine="227"/>
        <w:jc w:val="both"/>
        <w:rPr>
          <w:rtl/>
        </w:rPr>
      </w:pPr>
      <w:bookmarkStart w:id="217" w:name="درس090دقيقه8"/>
      <w:bookmarkStart w:id="218" w:name="_Toc192092879"/>
      <w:bookmarkStart w:id="219" w:name="_Toc223890355"/>
      <w:bookmarkEnd w:id="217"/>
      <w:r w:rsidRPr="00FD211F">
        <w:rPr>
          <w:rtl/>
        </w:rPr>
        <w:t>انحاء الجمل</w:t>
      </w:r>
      <w:r w:rsidR="00EC7EDF" w:rsidRPr="00FD211F">
        <w:rPr>
          <w:rtl/>
        </w:rPr>
        <w:t xml:space="preserve">ة </w:t>
      </w:r>
      <w:r w:rsidRPr="00FD211F">
        <w:rPr>
          <w:rtl/>
        </w:rPr>
        <w:t>الخبري</w:t>
      </w:r>
      <w:r w:rsidR="00EC7EDF" w:rsidRPr="00FD211F">
        <w:rPr>
          <w:rtl/>
        </w:rPr>
        <w:t>ة</w:t>
      </w:r>
      <w:bookmarkEnd w:id="219"/>
      <w:r w:rsidR="00EC7EDF" w:rsidRPr="00FD211F">
        <w:rPr>
          <w:rtl/>
        </w:rPr>
        <w:t xml:space="preserve"> </w:t>
      </w:r>
      <w:bookmarkEnd w:id="218"/>
    </w:p>
    <w:p w14:paraId="5ACB66C6" w14:textId="77777777" w:rsidR="006C31B3" w:rsidRPr="00FD211F" w:rsidRDefault="00556BC0" w:rsidP="009C58C8">
      <w:pPr>
        <w:ind w:left="0" w:firstLine="227"/>
        <w:jc w:val="both"/>
        <w:rPr>
          <w:sz w:val="36"/>
          <w:szCs w:val="36"/>
          <w:rtl/>
        </w:rPr>
      </w:pPr>
      <w:r w:rsidRPr="00FD211F">
        <w:rPr>
          <w:sz w:val="36"/>
          <w:szCs w:val="36"/>
          <w:rtl/>
        </w:rPr>
        <w:t>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قد تكون اسمي</w:t>
      </w:r>
      <w:r w:rsidR="00EC7EDF" w:rsidRPr="00FD211F">
        <w:rPr>
          <w:sz w:val="36"/>
          <w:szCs w:val="36"/>
          <w:rtl/>
        </w:rPr>
        <w:t xml:space="preserve">ة </w:t>
      </w:r>
      <w:r w:rsidRPr="00FD211F">
        <w:rPr>
          <w:sz w:val="36"/>
          <w:szCs w:val="36"/>
          <w:rtl/>
        </w:rPr>
        <w:t>مثل "الرجل ضارب"</w:t>
      </w:r>
      <w:r w:rsidR="00603323" w:rsidRPr="00FD211F">
        <w:rPr>
          <w:sz w:val="36"/>
          <w:szCs w:val="36"/>
          <w:rtl/>
        </w:rPr>
        <w:t xml:space="preserve">، </w:t>
      </w:r>
      <w:r w:rsidRPr="00FD211F">
        <w:rPr>
          <w:sz w:val="36"/>
          <w:szCs w:val="36"/>
          <w:rtl/>
        </w:rPr>
        <w:t>وقد تكون فعلي</w:t>
      </w:r>
      <w:r w:rsidR="00EC7EDF" w:rsidRPr="00FD211F">
        <w:rPr>
          <w:sz w:val="36"/>
          <w:szCs w:val="36"/>
          <w:rtl/>
        </w:rPr>
        <w:t xml:space="preserve">ة </w:t>
      </w:r>
      <w:r w:rsidRPr="00FD211F">
        <w:rPr>
          <w:sz w:val="36"/>
          <w:szCs w:val="36"/>
          <w:rtl/>
        </w:rPr>
        <w:t>مثل"ضرب الرجل" وقد تكون مزدوج</w:t>
      </w:r>
      <w:r w:rsidR="00EC7EDF" w:rsidRPr="00FD211F">
        <w:rPr>
          <w:sz w:val="36"/>
          <w:szCs w:val="36"/>
          <w:rtl/>
        </w:rPr>
        <w:t xml:space="preserve">ة </w:t>
      </w:r>
      <w:r w:rsidRPr="00FD211F">
        <w:rPr>
          <w:sz w:val="36"/>
          <w:szCs w:val="36"/>
          <w:rtl/>
        </w:rPr>
        <w:t>اي مركب</w:t>
      </w:r>
      <w:r w:rsidR="00EC7EDF" w:rsidRPr="00FD211F">
        <w:rPr>
          <w:sz w:val="36"/>
          <w:szCs w:val="36"/>
          <w:rtl/>
        </w:rPr>
        <w:t xml:space="preserve">ة </w:t>
      </w:r>
      <w:r w:rsidRPr="00FD211F">
        <w:rPr>
          <w:sz w:val="36"/>
          <w:szCs w:val="36"/>
          <w:rtl/>
        </w:rPr>
        <w:t>من جمل</w:t>
      </w:r>
      <w:r w:rsidR="00EC7EDF" w:rsidRPr="00FD211F">
        <w:rPr>
          <w:sz w:val="36"/>
          <w:szCs w:val="36"/>
          <w:rtl/>
        </w:rPr>
        <w:t xml:space="preserve">ة </w:t>
      </w:r>
      <w:r w:rsidRPr="00FD211F">
        <w:rPr>
          <w:sz w:val="36"/>
          <w:szCs w:val="36"/>
          <w:rtl/>
        </w:rPr>
        <w:t>اسمي</w:t>
      </w:r>
      <w:r w:rsidR="00EC7EDF" w:rsidRPr="00FD211F">
        <w:rPr>
          <w:sz w:val="36"/>
          <w:szCs w:val="36"/>
          <w:rtl/>
        </w:rPr>
        <w:t xml:space="preserve">ة </w:t>
      </w:r>
      <w:r w:rsidRPr="00FD211F">
        <w:rPr>
          <w:sz w:val="36"/>
          <w:szCs w:val="36"/>
          <w:rtl/>
        </w:rPr>
        <w:t>وفعلي</w:t>
      </w:r>
      <w:r w:rsidR="00EC7EDF" w:rsidRPr="00FD211F">
        <w:rPr>
          <w:sz w:val="36"/>
          <w:szCs w:val="36"/>
          <w:rtl/>
        </w:rPr>
        <w:t>ة</w:t>
      </w:r>
      <w:r w:rsidR="00603323" w:rsidRPr="00FD211F">
        <w:rPr>
          <w:sz w:val="36"/>
          <w:szCs w:val="36"/>
          <w:rtl/>
        </w:rPr>
        <w:t xml:space="preserve">، </w:t>
      </w:r>
      <w:r w:rsidRPr="00FD211F">
        <w:rPr>
          <w:sz w:val="36"/>
          <w:szCs w:val="36"/>
          <w:rtl/>
        </w:rPr>
        <w:t>وهي الجمل</w:t>
      </w:r>
      <w:r w:rsidR="00EC7EDF" w:rsidRPr="00FD211F">
        <w:rPr>
          <w:sz w:val="36"/>
          <w:szCs w:val="36"/>
          <w:rtl/>
        </w:rPr>
        <w:t xml:space="preserve">ة </w:t>
      </w:r>
      <w:r w:rsidRPr="00FD211F">
        <w:rPr>
          <w:sz w:val="36"/>
          <w:szCs w:val="36"/>
          <w:rtl/>
        </w:rPr>
        <w:t>الاسمي</w:t>
      </w:r>
      <w:r w:rsidR="00EC7EDF" w:rsidRPr="00FD211F">
        <w:rPr>
          <w:sz w:val="36"/>
          <w:szCs w:val="36"/>
          <w:rtl/>
        </w:rPr>
        <w:t xml:space="preserve">ة </w:t>
      </w:r>
      <w:r w:rsidRPr="00FD211F">
        <w:rPr>
          <w:sz w:val="36"/>
          <w:szCs w:val="36"/>
          <w:rtl/>
        </w:rPr>
        <w:t>التي يكون ا</w:t>
      </w:r>
      <w:r w:rsidR="006C31B3" w:rsidRPr="00FD211F">
        <w:rPr>
          <w:sz w:val="36"/>
          <w:szCs w:val="36"/>
          <w:rtl/>
        </w:rPr>
        <w:t>لخبر فيها فعلا مثل "الرجل ضرب".</w:t>
      </w:r>
    </w:p>
    <w:p w14:paraId="4832951E" w14:textId="77777777" w:rsidR="00556BC0" w:rsidRPr="00FD211F" w:rsidRDefault="00556BC0" w:rsidP="009C58C8">
      <w:pPr>
        <w:ind w:left="0" w:firstLine="227"/>
        <w:jc w:val="both"/>
        <w:rPr>
          <w:sz w:val="36"/>
          <w:szCs w:val="36"/>
          <w:rtl/>
        </w:rPr>
      </w:pPr>
      <w:r w:rsidRPr="00FD211F">
        <w:rPr>
          <w:sz w:val="36"/>
          <w:szCs w:val="36"/>
          <w:rtl/>
        </w:rPr>
        <w:t>فذكر في البحوث ان مدلول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في جميعها هو النسب</w:t>
      </w:r>
      <w:r w:rsidR="00EC7EDF" w:rsidRPr="00FD211F">
        <w:rPr>
          <w:sz w:val="36"/>
          <w:szCs w:val="36"/>
          <w:rtl/>
        </w:rPr>
        <w:t xml:space="preserve">ة </w:t>
      </w:r>
      <w:r w:rsidRPr="00FD211F">
        <w:rPr>
          <w:sz w:val="36"/>
          <w:szCs w:val="36"/>
          <w:rtl/>
        </w:rPr>
        <w:t>التصادقي</w:t>
      </w:r>
      <w:r w:rsidR="00EC7EDF" w:rsidRPr="00FD211F">
        <w:rPr>
          <w:sz w:val="36"/>
          <w:szCs w:val="36"/>
          <w:rtl/>
        </w:rPr>
        <w:t>ة</w:t>
      </w:r>
      <w:r w:rsidR="00603323" w:rsidRPr="00FD211F">
        <w:rPr>
          <w:sz w:val="36"/>
          <w:szCs w:val="36"/>
          <w:rtl/>
        </w:rPr>
        <w:t xml:space="preserve">، </w:t>
      </w:r>
      <w:r w:rsidRPr="00FD211F">
        <w:rPr>
          <w:sz w:val="36"/>
          <w:szCs w:val="36"/>
          <w:rtl/>
        </w:rPr>
        <w:t>غاي</w:t>
      </w:r>
      <w:r w:rsidR="00EC7EDF" w:rsidRPr="00FD211F">
        <w:rPr>
          <w:sz w:val="36"/>
          <w:szCs w:val="36"/>
          <w:rtl/>
        </w:rPr>
        <w:t xml:space="preserve">ة </w:t>
      </w:r>
      <w:r w:rsidRPr="00FD211F">
        <w:rPr>
          <w:sz w:val="36"/>
          <w:szCs w:val="36"/>
          <w:rtl/>
        </w:rPr>
        <w:t>الأمر ان التصادق في الجمل</w:t>
      </w:r>
      <w:r w:rsidR="00EC7EDF" w:rsidRPr="00FD211F">
        <w:rPr>
          <w:sz w:val="36"/>
          <w:szCs w:val="36"/>
          <w:rtl/>
        </w:rPr>
        <w:t xml:space="preserve">ة </w:t>
      </w:r>
      <w:r w:rsidRPr="00FD211F">
        <w:rPr>
          <w:sz w:val="36"/>
          <w:szCs w:val="36"/>
          <w:rtl/>
        </w:rPr>
        <w:t>الاسمي</w:t>
      </w:r>
      <w:r w:rsidR="00EC7EDF" w:rsidRPr="00FD211F">
        <w:rPr>
          <w:sz w:val="36"/>
          <w:szCs w:val="36"/>
          <w:rtl/>
        </w:rPr>
        <w:t xml:space="preserve">ة </w:t>
      </w:r>
      <w:r w:rsidRPr="00FD211F">
        <w:rPr>
          <w:sz w:val="36"/>
          <w:szCs w:val="36"/>
          <w:rtl/>
        </w:rPr>
        <w:t>يرجع الى انطباق الموضوع والمحمول على واقع واحد</w:t>
      </w:r>
      <w:r w:rsidR="00603323" w:rsidRPr="00FD211F">
        <w:rPr>
          <w:sz w:val="36"/>
          <w:szCs w:val="36"/>
          <w:rtl/>
        </w:rPr>
        <w:t xml:space="preserve">، </w:t>
      </w:r>
      <w:r w:rsidRPr="00FD211F">
        <w:rPr>
          <w:sz w:val="36"/>
          <w:szCs w:val="36"/>
          <w:rtl/>
        </w:rPr>
        <w:t>والتصادق في الجمل</w:t>
      </w:r>
      <w:r w:rsidR="00EC7EDF" w:rsidRPr="00FD211F">
        <w:rPr>
          <w:sz w:val="36"/>
          <w:szCs w:val="36"/>
          <w:rtl/>
        </w:rPr>
        <w:t xml:space="preserve">ة </w:t>
      </w:r>
      <w:r w:rsidRPr="00FD211F">
        <w:rPr>
          <w:sz w:val="36"/>
          <w:szCs w:val="36"/>
          <w:rtl/>
        </w:rPr>
        <w:t>الفعلي</w:t>
      </w:r>
      <w:r w:rsidR="00EC7EDF" w:rsidRPr="00FD211F">
        <w:rPr>
          <w:sz w:val="36"/>
          <w:szCs w:val="36"/>
          <w:rtl/>
        </w:rPr>
        <w:t xml:space="preserve">ة </w:t>
      </w:r>
      <w:r w:rsidRPr="00FD211F">
        <w:rPr>
          <w:sz w:val="36"/>
          <w:szCs w:val="36"/>
          <w:rtl/>
        </w:rPr>
        <w:t>يرجع الى انطباقهما على مركز واحد مركب من العرض ومحله</w:t>
      </w:r>
      <w:r w:rsidR="00603323" w:rsidRPr="00FD211F">
        <w:rPr>
          <w:sz w:val="36"/>
          <w:szCs w:val="36"/>
          <w:rtl/>
        </w:rPr>
        <w:t xml:space="preserve">، </w:t>
      </w:r>
      <w:r w:rsidRPr="00FD211F">
        <w:rPr>
          <w:sz w:val="36"/>
          <w:szCs w:val="36"/>
          <w:rtl/>
        </w:rPr>
        <w:t>فالضرب والرجل مفهومان</w:t>
      </w:r>
      <w:r w:rsidR="00603323" w:rsidRPr="00FD211F">
        <w:rPr>
          <w:sz w:val="36"/>
          <w:szCs w:val="36"/>
          <w:rtl/>
        </w:rPr>
        <w:t xml:space="preserve">، </w:t>
      </w:r>
      <w:r w:rsidRPr="00FD211F">
        <w:rPr>
          <w:sz w:val="36"/>
          <w:szCs w:val="36"/>
          <w:rtl/>
        </w:rPr>
        <w:t>فقد يلحظ</w:t>
      </w:r>
      <w:r w:rsidR="0070316A" w:rsidRPr="00FD211F">
        <w:rPr>
          <w:sz w:val="36"/>
          <w:szCs w:val="36"/>
          <w:rtl/>
        </w:rPr>
        <w:t xml:space="preserve"> كل من</w:t>
      </w:r>
      <w:r w:rsidRPr="00FD211F">
        <w:rPr>
          <w:sz w:val="36"/>
          <w:szCs w:val="36"/>
          <w:rtl/>
        </w:rPr>
        <w:t xml:space="preserve"> مفهوم الضرب ومفهوم الرجل فانيا في</w:t>
      </w:r>
      <w:r w:rsidR="0070316A" w:rsidRPr="00FD211F">
        <w:rPr>
          <w:sz w:val="36"/>
          <w:szCs w:val="36"/>
          <w:rtl/>
        </w:rPr>
        <w:t xml:space="preserve"> معنى غير واقع طرفا ل</w:t>
      </w:r>
      <w:r w:rsidRPr="00FD211F">
        <w:rPr>
          <w:sz w:val="36"/>
          <w:szCs w:val="36"/>
          <w:rtl/>
        </w:rPr>
        <w:t>لحادث</w:t>
      </w:r>
      <w:r w:rsidR="00EC7EDF" w:rsidRPr="00FD211F">
        <w:rPr>
          <w:sz w:val="36"/>
          <w:szCs w:val="36"/>
          <w:rtl/>
        </w:rPr>
        <w:t xml:space="preserve">ة </w:t>
      </w:r>
      <w:r w:rsidRPr="00FD211F">
        <w:rPr>
          <w:sz w:val="36"/>
          <w:szCs w:val="36"/>
          <w:rtl/>
        </w:rPr>
        <w:t>وفي مثل ذلك لاربط ولاتصادق بين المفه</w:t>
      </w:r>
      <w:r w:rsidR="0070316A" w:rsidRPr="00FD211F">
        <w:rPr>
          <w:sz w:val="36"/>
          <w:szCs w:val="36"/>
          <w:rtl/>
        </w:rPr>
        <w:t>ومين</w:t>
      </w:r>
      <w:r w:rsidR="00603323" w:rsidRPr="00FD211F">
        <w:rPr>
          <w:sz w:val="36"/>
          <w:szCs w:val="36"/>
          <w:rtl/>
        </w:rPr>
        <w:t xml:space="preserve">، </w:t>
      </w:r>
      <w:r w:rsidR="0070316A" w:rsidRPr="00FD211F">
        <w:rPr>
          <w:sz w:val="36"/>
          <w:szCs w:val="36"/>
          <w:rtl/>
        </w:rPr>
        <w:t>وقد يلحظ مفهوم الضرب فانيا</w:t>
      </w:r>
      <w:r w:rsidRPr="00FD211F">
        <w:rPr>
          <w:sz w:val="36"/>
          <w:szCs w:val="36"/>
          <w:rtl/>
        </w:rPr>
        <w:t xml:space="preserve"> في حادث</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Pr="00FD211F">
        <w:rPr>
          <w:sz w:val="36"/>
          <w:szCs w:val="36"/>
          <w:rtl/>
        </w:rPr>
        <w:t>ومفهوم الرجل فانيا في طرف تلك الحادث</w:t>
      </w:r>
      <w:r w:rsidR="00EC7EDF" w:rsidRPr="00FD211F">
        <w:rPr>
          <w:sz w:val="36"/>
          <w:szCs w:val="36"/>
          <w:rtl/>
        </w:rPr>
        <w:t>ة</w:t>
      </w:r>
      <w:r w:rsidR="00603323" w:rsidRPr="00FD211F">
        <w:rPr>
          <w:sz w:val="36"/>
          <w:szCs w:val="36"/>
          <w:rtl/>
        </w:rPr>
        <w:t xml:space="preserve">، </w:t>
      </w:r>
      <w:r w:rsidRPr="00FD211F">
        <w:rPr>
          <w:sz w:val="36"/>
          <w:szCs w:val="36"/>
          <w:rtl/>
        </w:rPr>
        <w:t>فيكون بينهما ارتباط وتصادق على واقع</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Pr="00FD211F">
        <w:rPr>
          <w:sz w:val="36"/>
          <w:szCs w:val="36"/>
          <w:rtl/>
        </w:rPr>
        <w:t>في الخارج مركب</w:t>
      </w:r>
      <w:r w:rsidR="00EC7EDF" w:rsidRPr="00FD211F">
        <w:rPr>
          <w:sz w:val="36"/>
          <w:szCs w:val="36"/>
          <w:rtl/>
        </w:rPr>
        <w:t xml:space="preserve">ة </w:t>
      </w:r>
      <w:r w:rsidRPr="00FD211F">
        <w:rPr>
          <w:sz w:val="36"/>
          <w:szCs w:val="36"/>
          <w:rtl/>
        </w:rPr>
        <w:t>من العرض ومحله</w:t>
      </w:r>
      <w:r w:rsidR="00603323" w:rsidRPr="00FD211F">
        <w:rPr>
          <w:sz w:val="36"/>
          <w:szCs w:val="36"/>
          <w:rtl/>
        </w:rPr>
        <w:t xml:space="preserve">، </w:t>
      </w:r>
      <w:r w:rsidRPr="00FD211F">
        <w:rPr>
          <w:sz w:val="36"/>
          <w:szCs w:val="36"/>
          <w:rtl/>
        </w:rPr>
        <w:t>وهذا هو مفاد الجمل</w:t>
      </w:r>
      <w:r w:rsidR="00EC7EDF" w:rsidRPr="00FD211F">
        <w:rPr>
          <w:sz w:val="36"/>
          <w:szCs w:val="36"/>
          <w:rtl/>
        </w:rPr>
        <w:t xml:space="preserve">ة </w:t>
      </w:r>
      <w:r w:rsidRPr="00FD211F">
        <w:rPr>
          <w:sz w:val="36"/>
          <w:szCs w:val="36"/>
          <w:rtl/>
        </w:rPr>
        <w:t>الفعلي</w:t>
      </w:r>
      <w:r w:rsidR="00EC7EDF" w:rsidRPr="00FD211F">
        <w:rPr>
          <w:sz w:val="36"/>
          <w:szCs w:val="36"/>
          <w:rtl/>
        </w:rPr>
        <w:t>ة</w:t>
      </w:r>
      <w:r w:rsidR="00603323" w:rsidRPr="00FD211F">
        <w:rPr>
          <w:sz w:val="36"/>
          <w:szCs w:val="36"/>
          <w:rtl/>
        </w:rPr>
        <w:t xml:space="preserve">، </w:t>
      </w:r>
      <w:r w:rsidRPr="00FD211F">
        <w:rPr>
          <w:sz w:val="36"/>
          <w:szCs w:val="36"/>
          <w:rtl/>
        </w:rPr>
        <w:t>فالتصادق دائما يكون بافتراض نحو وحد</w:t>
      </w:r>
      <w:r w:rsidR="00EC7EDF" w:rsidRPr="00FD211F">
        <w:rPr>
          <w:sz w:val="36"/>
          <w:szCs w:val="36"/>
          <w:rtl/>
        </w:rPr>
        <w:t xml:space="preserve">ة </w:t>
      </w:r>
      <w:r w:rsidRPr="00FD211F">
        <w:rPr>
          <w:sz w:val="36"/>
          <w:szCs w:val="36"/>
          <w:rtl/>
        </w:rPr>
        <w:t>في المشار اليه في المفهومين</w:t>
      </w:r>
      <w:r w:rsidR="00603323" w:rsidRPr="00FD211F">
        <w:rPr>
          <w:sz w:val="36"/>
          <w:szCs w:val="36"/>
          <w:rtl/>
        </w:rPr>
        <w:t xml:space="preserve">، </w:t>
      </w:r>
      <w:r w:rsidRPr="00FD211F">
        <w:rPr>
          <w:sz w:val="36"/>
          <w:szCs w:val="36"/>
          <w:rtl/>
        </w:rPr>
        <w:t>فان كانت الوحد</w:t>
      </w:r>
      <w:r w:rsidR="00EC7EDF" w:rsidRPr="00FD211F">
        <w:rPr>
          <w:sz w:val="36"/>
          <w:szCs w:val="36"/>
          <w:rtl/>
        </w:rPr>
        <w:t xml:space="preserve">ة </w:t>
      </w:r>
      <w:r w:rsidRPr="00FD211F">
        <w:rPr>
          <w:sz w:val="36"/>
          <w:szCs w:val="36"/>
          <w:rtl/>
        </w:rPr>
        <w:t>ذاتي</w:t>
      </w:r>
      <w:r w:rsidR="00EC7EDF" w:rsidRPr="00FD211F">
        <w:rPr>
          <w:sz w:val="36"/>
          <w:szCs w:val="36"/>
          <w:rtl/>
        </w:rPr>
        <w:t xml:space="preserve">ة </w:t>
      </w:r>
      <w:r w:rsidRPr="00FD211F">
        <w:rPr>
          <w:sz w:val="36"/>
          <w:szCs w:val="36"/>
          <w:rtl/>
        </w:rPr>
        <w:t>كان من باب الحمل كما هو الحال في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الاسمي</w:t>
      </w:r>
      <w:r w:rsidR="00EC7EDF" w:rsidRPr="00FD211F">
        <w:rPr>
          <w:sz w:val="36"/>
          <w:szCs w:val="36"/>
          <w:rtl/>
        </w:rPr>
        <w:t>ة</w:t>
      </w:r>
      <w:r w:rsidR="00603323" w:rsidRPr="00FD211F">
        <w:rPr>
          <w:sz w:val="36"/>
          <w:szCs w:val="36"/>
          <w:rtl/>
        </w:rPr>
        <w:t xml:space="preserve">، </w:t>
      </w:r>
      <w:r w:rsidRPr="00FD211F">
        <w:rPr>
          <w:sz w:val="36"/>
          <w:szCs w:val="36"/>
          <w:rtl/>
        </w:rPr>
        <w:t>وان كانت وحد</w:t>
      </w:r>
      <w:r w:rsidR="00EC7EDF" w:rsidRPr="00FD211F">
        <w:rPr>
          <w:sz w:val="36"/>
          <w:szCs w:val="36"/>
          <w:rtl/>
        </w:rPr>
        <w:t xml:space="preserve">ة </w:t>
      </w:r>
      <w:r w:rsidRPr="00FD211F">
        <w:rPr>
          <w:sz w:val="36"/>
          <w:szCs w:val="36"/>
          <w:rtl/>
        </w:rPr>
        <w:t>في الواقع</w:t>
      </w:r>
      <w:r w:rsidR="00EC7EDF" w:rsidRPr="00FD211F">
        <w:rPr>
          <w:sz w:val="36"/>
          <w:szCs w:val="36"/>
          <w:rtl/>
        </w:rPr>
        <w:t xml:space="preserve">ة </w:t>
      </w:r>
      <w:r w:rsidRPr="00FD211F">
        <w:rPr>
          <w:sz w:val="36"/>
          <w:szCs w:val="36"/>
          <w:rtl/>
        </w:rPr>
        <w:t>كان من باب الاسناد كما هو الحال في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الفعلي</w:t>
      </w:r>
      <w:r w:rsidR="00EC7EDF" w:rsidRPr="00FD211F">
        <w:rPr>
          <w:sz w:val="36"/>
          <w:szCs w:val="36"/>
          <w:rtl/>
        </w:rPr>
        <w:t>ة</w:t>
      </w:r>
      <w:r w:rsidR="00603323" w:rsidRPr="00FD211F">
        <w:rPr>
          <w:sz w:val="36"/>
          <w:szCs w:val="36"/>
          <w:rtl/>
        </w:rPr>
        <w:t xml:space="preserve">، </w:t>
      </w:r>
      <w:r w:rsidRPr="00FD211F">
        <w:rPr>
          <w:sz w:val="36"/>
          <w:szCs w:val="36"/>
          <w:rtl/>
        </w:rPr>
        <w:t>نعم يقع الكلام في ان واقع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التي هو مدلول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الفعلي</w:t>
      </w:r>
      <w:r w:rsidR="00EC7EDF" w:rsidRPr="00FD211F">
        <w:rPr>
          <w:sz w:val="36"/>
          <w:szCs w:val="36"/>
          <w:rtl/>
        </w:rPr>
        <w:t xml:space="preserve">ة </w:t>
      </w:r>
      <w:r w:rsidRPr="00FD211F">
        <w:rPr>
          <w:sz w:val="36"/>
          <w:szCs w:val="36"/>
          <w:rtl/>
        </w:rPr>
        <w:t>هل هو مدلول لهيئ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او مدلول لهيئ</w:t>
      </w:r>
      <w:r w:rsidR="00EC7EDF" w:rsidRPr="00FD211F">
        <w:rPr>
          <w:sz w:val="36"/>
          <w:szCs w:val="36"/>
          <w:rtl/>
        </w:rPr>
        <w:t xml:space="preserve">ة </w:t>
      </w:r>
      <w:r w:rsidRPr="00FD211F">
        <w:rPr>
          <w:sz w:val="36"/>
          <w:szCs w:val="36"/>
          <w:rtl/>
        </w:rPr>
        <w:t>الفعل نفسها</w:t>
      </w:r>
      <w:r w:rsidR="00603323" w:rsidRPr="00FD211F">
        <w:rPr>
          <w:sz w:val="36"/>
          <w:szCs w:val="36"/>
          <w:rtl/>
        </w:rPr>
        <w:t xml:space="preserve">، </w:t>
      </w:r>
      <w:r w:rsidRPr="00FD211F">
        <w:rPr>
          <w:sz w:val="36"/>
          <w:szCs w:val="36"/>
          <w:rtl/>
        </w:rPr>
        <w:t>وهذا ما سيأتي الكلام عنه عند البحث عن معنى هيئ</w:t>
      </w:r>
      <w:r w:rsidR="00EC7EDF" w:rsidRPr="00FD211F">
        <w:rPr>
          <w:sz w:val="36"/>
          <w:szCs w:val="36"/>
          <w:rtl/>
        </w:rPr>
        <w:t xml:space="preserve">ة </w:t>
      </w:r>
      <w:r w:rsidRPr="00FD211F">
        <w:rPr>
          <w:sz w:val="36"/>
          <w:szCs w:val="36"/>
          <w:rtl/>
        </w:rPr>
        <w:t>الفعل.</w:t>
      </w:r>
    </w:p>
    <w:p w14:paraId="578F7BE9" w14:textId="77777777" w:rsidR="000C5BBA" w:rsidRPr="00FD211F" w:rsidRDefault="00556BC0" w:rsidP="009C58C8">
      <w:pPr>
        <w:ind w:left="0" w:firstLine="227"/>
        <w:jc w:val="both"/>
        <w:rPr>
          <w:sz w:val="36"/>
          <w:szCs w:val="36"/>
          <w:rtl/>
        </w:rPr>
      </w:pPr>
      <w:r w:rsidRPr="00FD211F">
        <w:rPr>
          <w:sz w:val="36"/>
          <w:szCs w:val="36"/>
          <w:rtl/>
        </w:rPr>
        <w:t>وأما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المزدوج</w:t>
      </w:r>
      <w:r w:rsidR="00EC7EDF" w:rsidRPr="00FD211F">
        <w:rPr>
          <w:sz w:val="36"/>
          <w:szCs w:val="36"/>
          <w:rtl/>
        </w:rPr>
        <w:t xml:space="preserve">ة </w:t>
      </w:r>
      <w:r w:rsidRPr="00FD211F">
        <w:rPr>
          <w:sz w:val="36"/>
          <w:szCs w:val="36"/>
          <w:rtl/>
        </w:rPr>
        <w:t>فالمشهور بل</w:t>
      </w:r>
      <w:r w:rsidR="00B82C62" w:rsidRPr="00FD211F">
        <w:rPr>
          <w:sz w:val="36"/>
          <w:szCs w:val="36"/>
          <w:rtl/>
        </w:rPr>
        <w:t xml:space="preserve"> المتفق عليه بين علماء العربي</w:t>
      </w:r>
      <w:r w:rsidR="00EC7EDF" w:rsidRPr="00FD211F">
        <w:rPr>
          <w:sz w:val="36"/>
          <w:szCs w:val="36"/>
          <w:rtl/>
        </w:rPr>
        <w:t xml:space="preserve">ة </w:t>
      </w:r>
      <w:r w:rsidR="00B82C62" w:rsidRPr="00FD211F">
        <w:rPr>
          <w:sz w:val="36"/>
          <w:szCs w:val="36"/>
          <w:rtl/>
        </w:rPr>
        <w:t>أ</w:t>
      </w:r>
      <w:r w:rsidRPr="00FD211F">
        <w:rPr>
          <w:sz w:val="36"/>
          <w:szCs w:val="36"/>
          <w:rtl/>
        </w:rPr>
        <w:t>ن الجمل</w:t>
      </w:r>
      <w:r w:rsidR="00EC7EDF" w:rsidRPr="00FD211F">
        <w:rPr>
          <w:sz w:val="36"/>
          <w:szCs w:val="36"/>
          <w:rtl/>
        </w:rPr>
        <w:t xml:space="preserve">ة </w:t>
      </w:r>
      <w:r w:rsidRPr="00FD211F">
        <w:rPr>
          <w:sz w:val="36"/>
          <w:szCs w:val="36"/>
          <w:rtl/>
        </w:rPr>
        <w:t>المزدوج</w:t>
      </w:r>
      <w:r w:rsidR="00EC7EDF" w:rsidRPr="00FD211F">
        <w:rPr>
          <w:sz w:val="36"/>
          <w:szCs w:val="36"/>
          <w:rtl/>
        </w:rPr>
        <w:t xml:space="preserve">ة </w:t>
      </w:r>
      <w:r w:rsidRPr="00FD211F">
        <w:rPr>
          <w:sz w:val="36"/>
          <w:szCs w:val="36"/>
          <w:rtl/>
        </w:rPr>
        <w:t>مركب</w:t>
      </w:r>
      <w:r w:rsidR="00EC7EDF" w:rsidRPr="00FD211F">
        <w:rPr>
          <w:sz w:val="36"/>
          <w:szCs w:val="36"/>
          <w:rtl/>
        </w:rPr>
        <w:t xml:space="preserve">ة </w:t>
      </w:r>
      <w:r w:rsidRPr="00FD211F">
        <w:rPr>
          <w:sz w:val="36"/>
          <w:szCs w:val="36"/>
          <w:rtl/>
        </w:rPr>
        <w:t>من جملتين</w:t>
      </w:r>
      <w:r w:rsidR="00B253CE" w:rsidRPr="00FD211F">
        <w:rPr>
          <w:sz w:val="36"/>
          <w:szCs w:val="36"/>
          <w:rtl/>
        </w:rPr>
        <w:t xml:space="preserve"> </w:t>
      </w:r>
      <w:r w:rsidR="00B82C62" w:rsidRPr="00FD211F">
        <w:rPr>
          <w:sz w:val="36"/>
          <w:szCs w:val="36"/>
          <w:rtl/>
        </w:rPr>
        <w:t>فتقع ال</w:t>
      </w:r>
      <w:r w:rsidRPr="00FD211F">
        <w:rPr>
          <w:sz w:val="36"/>
          <w:szCs w:val="36"/>
          <w:rtl/>
        </w:rPr>
        <w:t>جمل</w:t>
      </w:r>
      <w:r w:rsidR="00EC7EDF" w:rsidRPr="00FD211F">
        <w:rPr>
          <w:sz w:val="36"/>
          <w:szCs w:val="36"/>
          <w:rtl/>
        </w:rPr>
        <w:t xml:space="preserve">ة </w:t>
      </w:r>
      <w:r w:rsidR="00B82C62" w:rsidRPr="00FD211F">
        <w:rPr>
          <w:sz w:val="36"/>
          <w:szCs w:val="36"/>
          <w:rtl/>
        </w:rPr>
        <w:t>ال</w:t>
      </w:r>
      <w:r w:rsidRPr="00FD211F">
        <w:rPr>
          <w:sz w:val="36"/>
          <w:szCs w:val="36"/>
          <w:rtl/>
        </w:rPr>
        <w:t>صغري محمولا داخل الجمل</w:t>
      </w:r>
      <w:r w:rsidR="00EC7EDF" w:rsidRPr="00FD211F">
        <w:rPr>
          <w:sz w:val="36"/>
          <w:szCs w:val="36"/>
          <w:rtl/>
        </w:rPr>
        <w:t xml:space="preserve">ة </w:t>
      </w:r>
      <w:r w:rsidRPr="00FD211F">
        <w:rPr>
          <w:sz w:val="36"/>
          <w:szCs w:val="36"/>
          <w:rtl/>
        </w:rPr>
        <w:t xml:space="preserve">الكبرى على حد قولنا </w:t>
      </w:r>
      <w:r w:rsidR="00B82C62" w:rsidRPr="00FD211F">
        <w:rPr>
          <w:sz w:val="36"/>
          <w:szCs w:val="36"/>
          <w:rtl/>
        </w:rPr>
        <w:t>"</w:t>
      </w:r>
      <w:r w:rsidRPr="00FD211F">
        <w:rPr>
          <w:sz w:val="36"/>
          <w:szCs w:val="36"/>
          <w:rtl/>
        </w:rPr>
        <w:t>زيد ابوه عالم</w:t>
      </w:r>
      <w:r w:rsidR="00B82C62" w:rsidRPr="00FD211F">
        <w:rPr>
          <w:sz w:val="36"/>
          <w:szCs w:val="36"/>
          <w:rtl/>
        </w:rPr>
        <w:t>"</w:t>
      </w:r>
      <w:r w:rsidR="00603323" w:rsidRPr="00FD211F">
        <w:rPr>
          <w:sz w:val="36"/>
          <w:szCs w:val="36"/>
          <w:rtl/>
        </w:rPr>
        <w:t xml:space="preserve">، </w:t>
      </w:r>
      <w:r w:rsidRPr="00FD211F">
        <w:rPr>
          <w:sz w:val="36"/>
          <w:szCs w:val="36"/>
          <w:rtl/>
        </w:rPr>
        <w:t>وذلك باعتبار ان الفاعل لابد وان يتأخر عن الفعل فيذكر بعده</w:t>
      </w:r>
      <w:r w:rsidR="00B82C62" w:rsidRPr="00FD211F">
        <w:rPr>
          <w:sz w:val="36"/>
          <w:szCs w:val="36"/>
          <w:rtl/>
        </w:rPr>
        <w:t xml:space="preserve"> اما </w:t>
      </w:r>
      <w:r w:rsidRPr="00FD211F">
        <w:rPr>
          <w:sz w:val="36"/>
          <w:szCs w:val="36"/>
          <w:rtl/>
        </w:rPr>
        <w:t>صر</w:t>
      </w:r>
      <w:r w:rsidR="00985520" w:rsidRPr="00FD211F">
        <w:rPr>
          <w:sz w:val="36"/>
          <w:szCs w:val="36"/>
          <w:rtl/>
        </w:rPr>
        <w:t>يحا او بضمير يرجع الى ما قبله</w:t>
      </w:r>
      <w:r w:rsidR="00603323" w:rsidRPr="00FD211F">
        <w:rPr>
          <w:sz w:val="36"/>
          <w:szCs w:val="36"/>
          <w:rtl/>
        </w:rPr>
        <w:t xml:space="preserve">، </w:t>
      </w:r>
      <w:r w:rsidR="00B82C62" w:rsidRPr="00FD211F">
        <w:rPr>
          <w:sz w:val="36"/>
          <w:szCs w:val="36"/>
          <w:rtl/>
        </w:rPr>
        <w:t>فقولنا "زيد ضرب" يكون بمعنى</w:t>
      </w:r>
      <w:r w:rsidR="00B253CE" w:rsidRPr="00FD211F">
        <w:rPr>
          <w:sz w:val="36"/>
          <w:szCs w:val="36"/>
          <w:rtl/>
        </w:rPr>
        <w:t xml:space="preserve"> </w:t>
      </w:r>
      <w:r w:rsidR="00B82C62" w:rsidRPr="00FD211F">
        <w:rPr>
          <w:sz w:val="36"/>
          <w:szCs w:val="36"/>
          <w:rtl/>
        </w:rPr>
        <w:t>"زيد ضرب هو".</w:t>
      </w:r>
    </w:p>
    <w:p w14:paraId="36917595" w14:textId="77777777" w:rsidR="00556BC0" w:rsidRPr="00FD211F" w:rsidRDefault="00556BC0" w:rsidP="009C58C8">
      <w:pPr>
        <w:ind w:left="0" w:firstLine="227"/>
        <w:jc w:val="both"/>
        <w:rPr>
          <w:sz w:val="36"/>
          <w:szCs w:val="36"/>
          <w:rtl/>
        </w:rPr>
      </w:pPr>
      <w:r w:rsidRPr="00FD211F">
        <w:rPr>
          <w:sz w:val="36"/>
          <w:szCs w:val="36"/>
          <w:rtl/>
        </w:rPr>
        <w:t xml:space="preserve">وفي قبال ذلك اتجاه جديد من قبل بعض الباحثين </w:t>
      </w:r>
      <w:r w:rsidR="00D00BEA" w:rsidRPr="00FD211F">
        <w:rPr>
          <w:sz w:val="36"/>
          <w:szCs w:val="36"/>
          <w:rtl/>
        </w:rPr>
        <w:t>حيث اختار أن</w:t>
      </w:r>
      <w:r w:rsidRPr="00FD211F">
        <w:rPr>
          <w:sz w:val="36"/>
          <w:szCs w:val="36"/>
          <w:rtl/>
        </w:rPr>
        <w:t xml:space="preserve"> الجمل</w:t>
      </w:r>
      <w:r w:rsidR="00EC7EDF" w:rsidRPr="00FD211F">
        <w:rPr>
          <w:sz w:val="36"/>
          <w:szCs w:val="36"/>
          <w:rtl/>
        </w:rPr>
        <w:t xml:space="preserve">ة </w:t>
      </w:r>
      <w:r w:rsidRPr="00FD211F">
        <w:rPr>
          <w:sz w:val="36"/>
          <w:szCs w:val="36"/>
          <w:rtl/>
        </w:rPr>
        <w:t>المزدوج</w:t>
      </w:r>
      <w:r w:rsidR="00EC7EDF" w:rsidRPr="00FD211F">
        <w:rPr>
          <w:sz w:val="36"/>
          <w:szCs w:val="36"/>
          <w:rtl/>
        </w:rPr>
        <w:t xml:space="preserve">ة </w:t>
      </w:r>
      <w:r w:rsidRPr="00FD211F">
        <w:rPr>
          <w:sz w:val="36"/>
          <w:szCs w:val="36"/>
          <w:rtl/>
        </w:rPr>
        <w:t>جمل</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Pr="00FD211F">
        <w:rPr>
          <w:sz w:val="36"/>
          <w:szCs w:val="36"/>
          <w:rtl/>
        </w:rPr>
        <w:t>فعلي</w:t>
      </w:r>
      <w:r w:rsidR="00EC7EDF" w:rsidRPr="00FD211F">
        <w:rPr>
          <w:sz w:val="36"/>
          <w:szCs w:val="36"/>
          <w:rtl/>
        </w:rPr>
        <w:t xml:space="preserve">ة </w:t>
      </w:r>
      <w:r w:rsidRPr="00FD211F">
        <w:rPr>
          <w:sz w:val="36"/>
          <w:szCs w:val="36"/>
          <w:rtl/>
        </w:rPr>
        <w:t>تقدم فيها الفاعل على الفعل</w:t>
      </w:r>
      <w:r w:rsidR="00603323" w:rsidRPr="00FD211F">
        <w:rPr>
          <w:sz w:val="36"/>
          <w:szCs w:val="36"/>
          <w:rtl/>
        </w:rPr>
        <w:t xml:space="preserve">، </w:t>
      </w:r>
      <w:r w:rsidRPr="00FD211F">
        <w:rPr>
          <w:sz w:val="36"/>
          <w:szCs w:val="36"/>
          <w:rtl/>
        </w:rPr>
        <w:t>فجمل</w:t>
      </w:r>
      <w:r w:rsidR="00EC7EDF" w:rsidRPr="00FD211F">
        <w:rPr>
          <w:sz w:val="36"/>
          <w:szCs w:val="36"/>
          <w:rtl/>
        </w:rPr>
        <w:t xml:space="preserve">ة </w:t>
      </w:r>
      <w:r w:rsidRPr="00FD211F">
        <w:rPr>
          <w:sz w:val="36"/>
          <w:szCs w:val="36"/>
          <w:rtl/>
        </w:rPr>
        <w:t>"زيد ضرب" هو نفس جمل</w:t>
      </w:r>
      <w:r w:rsidR="00EC7EDF" w:rsidRPr="00FD211F">
        <w:rPr>
          <w:sz w:val="36"/>
          <w:szCs w:val="36"/>
          <w:rtl/>
        </w:rPr>
        <w:t xml:space="preserve">ة </w:t>
      </w:r>
      <w:r w:rsidRPr="00FD211F">
        <w:rPr>
          <w:sz w:val="36"/>
          <w:szCs w:val="36"/>
          <w:rtl/>
        </w:rPr>
        <w:t>"ضرب زيد" وذلك لانه لايحصل بتقديم الفاعل على الفعل أيّ</w:t>
      </w:r>
      <w:r w:rsidR="00EC7EDF" w:rsidRPr="00FD211F">
        <w:rPr>
          <w:sz w:val="36"/>
          <w:szCs w:val="36"/>
          <w:rtl/>
        </w:rPr>
        <w:t xml:space="preserve">ة </w:t>
      </w:r>
      <w:r w:rsidRPr="00FD211F">
        <w:rPr>
          <w:sz w:val="36"/>
          <w:szCs w:val="36"/>
          <w:rtl/>
        </w:rPr>
        <w:t>حال</w:t>
      </w:r>
      <w:r w:rsidR="00EC7EDF" w:rsidRPr="00FD211F">
        <w:rPr>
          <w:sz w:val="36"/>
          <w:szCs w:val="36"/>
          <w:rtl/>
        </w:rPr>
        <w:t xml:space="preserve">ة </w:t>
      </w:r>
      <w:r w:rsidRPr="00FD211F">
        <w:rPr>
          <w:sz w:val="36"/>
          <w:szCs w:val="36"/>
          <w:rtl/>
        </w:rPr>
        <w:t>جديد</w:t>
      </w:r>
      <w:r w:rsidR="00EC7EDF" w:rsidRPr="00FD211F">
        <w:rPr>
          <w:sz w:val="36"/>
          <w:szCs w:val="36"/>
          <w:rtl/>
        </w:rPr>
        <w:t>ة</w:t>
      </w:r>
      <w:r w:rsidR="00603323" w:rsidRPr="00FD211F">
        <w:rPr>
          <w:sz w:val="36"/>
          <w:szCs w:val="36"/>
          <w:rtl/>
        </w:rPr>
        <w:t xml:space="preserve">، </w:t>
      </w:r>
      <w:r w:rsidRPr="00FD211F">
        <w:rPr>
          <w:sz w:val="36"/>
          <w:szCs w:val="36"/>
          <w:rtl/>
        </w:rPr>
        <w:t>من طبيع</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او معناها عدا تقديم المسند اليه</w:t>
      </w:r>
      <w:r w:rsidR="009C58C8" w:rsidRPr="00FD211F">
        <w:rPr>
          <w:rStyle w:val="a6"/>
          <w:sz w:val="36"/>
          <w:szCs w:val="36"/>
          <w:rtl/>
        </w:rPr>
        <w:t>(</w:t>
      </w:r>
      <w:r w:rsidR="009C58C8" w:rsidRPr="00FD211F">
        <w:rPr>
          <w:rStyle w:val="a6"/>
          <w:sz w:val="36"/>
          <w:szCs w:val="36"/>
          <w:rtl/>
        </w:rPr>
        <w:footnoteReference w:id="199"/>
      </w:r>
      <w:r w:rsidR="009C58C8" w:rsidRPr="00FD211F">
        <w:rPr>
          <w:rStyle w:val="a6"/>
          <w:sz w:val="36"/>
          <w:szCs w:val="36"/>
          <w:rtl/>
        </w:rPr>
        <w:t>)</w:t>
      </w:r>
      <w:r w:rsidRPr="00FD211F">
        <w:rPr>
          <w:sz w:val="36"/>
          <w:szCs w:val="36"/>
          <w:rtl/>
        </w:rPr>
        <w:t>.</w:t>
      </w:r>
    </w:p>
    <w:p w14:paraId="0558AA1A" w14:textId="77777777" w:rsidR="000C5BBA" w:rsidRPr="00FD211F" w:rsidRDefault="00556BC0" w:rsidP="009C58C8">
      <w:pPr>
        <w:ind w:left="0" w:firstLine="227"/>
        <w:jc w:val="both"/>
        <w:rPr>
          <w:sz w:val="36"/>
          <w:szCs w:val="36"/>
          <w:rtl/>
        </w:rPr>
      </w:pPr>
      <w:r w:rsidRPr="00FD211F">
        <w:rPr>
          <w:sz w:val="36"/>
          <w:szCs w:val="36"/>
          <w:rtl/>
        </w:rPr>
        <w:t>ولكن هذا القول</w:t>
      </w:r>
      <w:r w:rsidR="00303487" w:rsidRPr="00FD211F">
        <w:rPr>
          <w:sz w:val="36"/>
          <w:szCs w:val="36"/>
          <w:rtl/>
        </w:rPr>
        <w:t xml:space="preserve"> الجديد</w:t>
      </w:r>
      <w:r w:rsidR="00B253CE" w:rsidRPr="00FD211F">
        <w:rPr>
          <w:sz w:val="36"/>
          <w:szCs w:val="36"/>
          <w:rtl/>
        </w:rPr>
        <w:t xml:space="preserve"> </w:t>
      </w:r>
      <w:r w:rsidRPr="00FD211F">
        <w:rPr>
          <w:sz w:val="36"/>
          <w:szCs w:val="36"/>
          <w:rtl/>
        </w:rPr>
        <w:t xml:space="preserve">يواجهنا مع </w:t>
      </w:r>
      <w:r w:rsidR="00303487" w:rsidRPr="00FD211F">
        <w:rPr>
          <w:sz w:val="36"/>
          <w:szCs w:val="36"/>
          <w:rtl/>
        </w:rPr>
        <w:t>عد</w:t>
      </w:r>
      <w:r w:rsidR="00EC7EDF" w:rsidRPr="00FD211F">
        <w:rPr>
          <w:sz w:val="36"/>
          <w:szCs w:val="36"/>
          <w:rtl/>
        </w:rPr>
        <w:t xml:space="preserve">ة </w:t>
      </w:r>
      <w:r w:rsidR="00303487" w:rsidRPr="00FD211F">
        <w:rPr>
          <w:sz w:val="36"/>
          <w:szCs w:val="36"/>
          <w:rtl/>
        </w:rPr>
        <w:t>اسئل</w:t>
      </w:r>
      <w:r w:rsidR="00EC7EDF" w:rsidRPr="00FD211F">
        <w:rPr>
          <w:sz w:val="36"/>
          <w:szCs w:val="36"/>
          <w:rtl/>
        </w:rPr>
        <w:t xml:space="preserve">ة </w:t>
      </w:r>
      <w:r w:rsidR="00303487" w:rsidRPr="00FD211F">
        <w:rPr>
          <w:sz w:val="36"/>
          <w:szCs w:val="36"/>
          <w:rtl/>
        </w:rPr>
        <w:t>لايمكن الإجاب</w:t>
      </w:r>
      <w:r w:rsidR="00EC7EDF" w:rsidRPr="00FD211F">
        <w:rPr>
          <w:sz w:val="36"/>
          <w:szCs w:val="36"/>
          <w:rtl/>
        </w:rPr>
        <w:t xml:space="preserve">ة </w:t>
      </w:r>
      <w:r w:rsidR="00303487" w:rsidRPr="00FD211F">
        <w:rPr>
          <w:sz w:val="36"/>
          <w:szCs w:val="36"/>
          <w:rtl/>
        </w:rPr>
        <w:t>عنها</w:t>
      </w:r>
      <w:r w:rsidR="00603323" w:rsidRPr="00FD211F">
        <w:rPr>
          <w:sz w:val="36"/>
          <w:szCs w:val="36"/>
          <w:rtl/>
        </w:rPr>
        <w:t xml:space="preserve">، </w:t>
      </w:r>
      <w:r w:rsidR="00303487" w:rsidRPr="00FD211F">
        <w:rPr>
          <w:sz w:val="36"/>
          <w:szCs w:val="36"/>
          <w:rtl/>
        </w:rPr>
        <w:t>ف</w:t>
      </w:r>
      <w:r w:rsidRPr="00FD211F">
        <w:rPr>
          <w:sz w:val="36"/>
          <w:szCs w:val="36"/>
          <w:rtl/>
        </w:rPr>
        <w:t xml:space="preserve">كيف نفسر </w:t>
      </w:r>
      <w:r w:rsidR="00303487" w:rsidRPr="00FD211F">
        <w:rPr>
          <w:sz w:val="36"/>
          <w:szCs w:val="36"/>
          <w:rtl/>
        </w:rPr>
        <w:t xml:space="preserve">عدم </w:t>
      </w:r>
      <w:r w:rsidRPr="00FD211F">
        <w:rPr>
          <w:sz w:val="36"/>
          <w:szCs w:val="36"/>
          <w:rtl/>
        </w:rPr>
        <w:t>صح</w:t>
      </w:r>
      <w:r w:rsidR="00EC7EDF" w:rsidRPr="00FD211F">
        <w:rPr>
          <w:sz w:val="36"/>
          <w:szCs w:val="36"/>
          <w:rtl/>
        </w:rPr>
        <w:t xml:space="preserve">ة </w:t>
      </w:r>
      <w:r w:rsidR="00303487" w:rsidRPr="00FD211F">
        <w:rPr>
          <w:sz w:val="36"/>
          <w:szCs w:val="36"/>
          <w:rtl/>
        </w:rPr>
        <w:t xml:space="preserve">ان </w:t>
      </w:r>
      <w:r w:rsidR="003160AF" w:rsidRPr="00FD211F">
        <w:rPr>
          <w:sz w:val="36"/>
          <w:szCs w:val="36"/>
          <w:rtl/>
        </w:rPr>
        <w:t>يقال" الناس ذهب"</w:t>
      </w:r>
      <w:r w:rsidR="00303487" w:rsidRPr="00FD211F">
        <w:rPr>
          <w:sz w:val="36"/>
          <w:szCs w:val="36"/>
          <w:rtl/>
        </w:rPr>
        <w:t>-كما يقال "ذهب الناس" -</w:t>
      </w:r>
      <w:r w:rsidR="00603323" w:rsidRPr="00FD211F">
        <w:rPr>
          <w:sz w:val="36"/>
          <w:szCs w:val="36"/>
          <w:rtl/>
        </w:rPr>
        <w:t xml:space="preserve">، </w:t>
      </w:r>
      <w:r w:rsidR="00303487" w:rsidRPr="00FD211F">
        <w:rPr>
          <w:sz w:val="36"/>
          <w:szCs w:val="36"/>
          <w:rtl/>
        </w:rPr>
        <w:t xml:space="preserve">بل لابد </w:t>
      </w:r>
      <w:r w:rsidR="003160AF" w:rsidRPr="00FD211F">
        <w:rPr>
          <w:sz w:val="36"/>
          <w:szCs w:val="36"/>
          <w:rtl/>
        </w:rPr>
        <w:t>ان يقال "</w:t>
      </w:r>
      <w:r w:rsidRPr="00FD211F">
        <w:rPr>
          <w:sz w:val="36"/>
          <w:szCs w:val="36"/>
          <w:rtl/>
        </w:rPr>
        <w:t>الناس ذهبوا</w:t>
      </w:r>
      <w:r w:rsidR="003160AF" w:rsidRPr="00FD211F">
        <w:rPr>
          <w:sz w:val="36"/>
          <w:szCs w:val="36"/>
          <w:rtl/>
        </w:rPr>
        <w:t>"</w:t>
      </w:r>
      <w:r w:rsidRPr="00FD211F">
        <w:rPr>
          <w:sz w:val="36"/>
          <w:szCs w:val="36"/>
          <w:rtl/>
        </w:rPr>
        <w:t xml:space="preserve"> وكذا</w:t>
      </w:r>
      <w:r w:rsidR="00303487" w:rsidRPr="00FD211F">
        <w:rPr>
          <w:sz w:val="36"/>
          <w:szCs w:val="36"/>
          <w:rtl/>
        </w:rPr>
        <w:t>عدم صح</w:t>
      </w:r>
      <w:r w:rsidR="00EC7EDF" w:rsidRPr="00FD211F">
        <w:rPr>
          <w:sz w:val="36"/>
          <w:szCs w:val="36"/>
          <w:rtl/>
        </w:rPr>
        <w:t xml:space="preserve">ة </w:t>
      </w:r>
      <w:r w:rsidR="00303487" w:rsidRPr="00FD211F">
        <w:rPr>
          <w:sz w:val="36"/>
          <w:szCs w:val="36"/>
          <w:rtl/>
        </w:rPr>
        <w:t>ان يقال "محمد وعلي جاء" كمايقا</w:t>
      </w:r>
      <w:r w:rsidR="003160AF" w:rsidRPr="00FD211F">
        <w:rPr>
          <w:sz w:val="36"/>
          <w:szCs w:val="36"/>
          <w:rtl/>
        </w:rPr>
        <w:t>ل"</w:t>
      </w:r>
      <w:r w:rsidRPr="00FD211F">
        <w:rPr>
          <w:sz w:val="36"/>
          <w:szCs w:val="36"/>
          <w:rtl/>
        </w:rPr>
        <w:t xml:space="preserve"> جاء محمد وعلي</w:t>
      </w:r>
      <w:r w:rsidR="003160AF" w:rsidRPr="00FD211F">
        <w:rPr>
          <w:sz w:val="36"/>
          <w:szCs w:val="36"/>
          <w:rtl/>
        </w:rPr>
        <w:t>"</w:t>
      </w:r>
      <w:r w:rsidR="00303487" w:rsidRPr="00FD211F">
        <w:rPr>
          <w:sz w:val="36"/>
          <w:szCs w:val="36"/>
          <w:rtl/>
        </w:rPr>
        <w:t xml:space="preserve"> </w:t>
      </w:r>
      <w:r w:rsidRPr="00FD211F">
        <w:rPr>
          <w:sz w:val="36"/>
          <w:szCs w:val="36"/>
          <w:rtl/>
        </w:rPr>
        <w:t xml:space="preserve">بل الصحيح </w:t>
      </w:r>
      <w:r w:rsidR="003160AF" w:rsidRPr="00FD211F">
        <w:rPr>
          <w:sz w:val="36"/>
          <w:szCs w:val="36"/>
          <w:rtl/>
        </w:rPr>
        <w:t>ان يقال"</w:t>
      </w:r>
      <w:r w:rsidRPr="00FD211F">
        <w:rPr>
          <w:sz w:val="36"/>
          <w:szCs w:val="36"/>
          <w:rtl/>
        </w:rPr>
        <w:t>محمد وعلي جاءا</w:t>
      </w:r>
      <w:r w:rsidR="003160AF" w:rsidRPr="00FD211F">
        <w:rPr>
          <w:sz w:val="36"/>
          <w:szCs w:val="36"/>
          <w:rtl/>
        </w:rPr>
        <w:t>"</w:t>
      </w:r>
      <w:r w:rsidRPr="00FD211F">
        <w:rPr>
          <w:sz w:val="36"/>
          <w:szCs w:val="36"/>
          <w:rtl/>
        </w:rPr>
        <w:t xml:space="preserve"> وكذا صح</w:t>
      </w:r>
      <w:r w:rsidR="00EC7EDF" w:rsidRPr="00FD211F">
        <w:rPr>
          <w:sz w:val="36"/>
          <w:szCs w:val="36"/>
          <w:rtl/>
        </w:rPr>
        <w:t xml:space="preserve">ة </w:t>
      </w:r>
      <w:r w:rsidRPr="00FD211F">
        <w:rPr>
          <w:sz w:val="36"/>
          <w:szCs w:val="36"/>
          <w:rtl/>
        </w:rPr>
        <w:t xml:space="preserve">قولنا </w:t>
      </w:r>
      <w:r w:rsidR="003160AF" w:rsidRPr="00FD211F">
        <w:rPr>
          <w:sz w:val="36"/>
          <w:szCs w:val="36"/>
          <w:rtl/>
        </w:rPr>
        <w:t>"</w:t>
      </w:r>
      <w:r w:rsidRPr="00FD211F">
        <w:rPr>
          <w:sz w:val="36"/>
          <w:szCs w:val="36"/>
          <w:rtl/>
        </w:rPr>
        <w:t>طلع الشمس</w:t>
      </w:r>
      <w:r w:rsidR="003160AF" w:rsidRPr="00FD211F">
        <w:rPr>
          <w:sz w:val="36"/>
          <w:szCs w:val="36"/>
          <w:rtl/>
        </w:rPr>
        <w:t>"</w:t>
      </w:r>
      <w:r w:rsidRPr="00FD211F">
        <w:rPr>
          <w:sz w:val="36"/>
          <w:szCs w:val="36"/>
          <w:rtl/>
        </w:rPr>
        <w:t xml:space="preserve"> وعدم صح</w:t>
      </w:r>
      <w:r w:rsidR="00EC7EDF" w:rsidRPr="00FD211F">
        <w:rPr>
          <w:sz w:val="36"/>
          <w:szCs w:val="36"/>
          <w:rtl/>
        </w:rPr>
        <w:t xml:space="preserve">ة </w:t>
      </w:r>
      <w:r w:rsidR="003160AF" w:rsidRPr="00FD211F">
        <w:rPr>
          <w:sz w:val="36"/>
          <w:szCs w:val="36"/>
          <w:rtl/>
        </w:rPr>
        <w:t>"</w:t>
      </w:r>
      <w:r w:rsidRPr="00FD211F">
        <w:rPr>
          <w:sz w:val="36"/>
          <w:szCs w:val="36"/>
          <w:rtl/>
        </w:rPr>
        <w:t xml:space="preserve">الشمس طلع </w:t>
      </w:r>
      <w:r w:rsidR="003160AF" w:rsidRPr="00FD211F">
        <w:rPr>
          <w:sz w:val="36"/>
          <w:szCs w:val="36"/>
          <w:rtl/>
        </w:rPr>
        <w:t>"</w:t>
      </w:r>
      <w:r w:rsidRPr="00FD211F">
        <w:rPr>
          <w:sz w:val="36"/>
          <w:szCs w:val="36"/>
          <w:rtl/>
        </w:rPr>
        <w:t xml:space="preserve">بل الصحيح </w:t>
      </w:r>
      <w:r w:rsidR="003160AF" w:rsidRPr="00FD211F">
        <w:rPr>
          <w:sz w:val="36"/>
          <w:szCs w:val="36"/>
          <w:rtl/>
        </w:rPr>
        <w:t>"</w:t>
      </w:r>
      <w:r w:rsidRPr="00FD211F">
        <w:rPr>
          <w:sz w:val="36"/>
          <w:szCs w:val="36"/>
          <w:rtl/>
        </w:rPr>
        <w:t>الشمس طلعت</w:t>
      </w:r>
      <w:r w:rsidR="003160AF" w:rsidRPr="00FD211F">
        <w:rPr>
          <w:sz w:val="36"/>
          <w:szCs w:val="36"/>
          <w:rtl/>
        </w:rPr>
        <w:t>"</w:t>
      </w:r>
      <w:r w:rsidRPr="00FD211F">
        <w:rPr>
          <w:sz w:val="36"/>
          <w:szCs w:val="36"/>
          <w:rtl/>
        </w:rPr>
        <w:t xml:space="preserve"> و</w:t>
      </w:r>
      <w:r w:rsidR="003160AF" w:rsidRPr="00FD211F">
        <w:rPr>
          <w:sz w:val="36"/>
          <w:szCs w:val="36"/>
          <w:rtl/>
        </w:rPr>
        <w:t>كذا</w:t>
      </w:r>
      <w:r w:rsidR="00303487" w:rsidRPr="00FD211F">
        <w:rPr>
          <w:sz w:val="36"/>
          <w:szCs w:val="36"/>
          <w:rtl/>
        </w:rPr>
        <w:t xml:space="preserve"> عدم صح</w:t>
      </w:r>
      <w:r w:rsidR="00EC7EDF" w:rsidRPr="00FD211F">
        <w:rPr>
          <w:sz w:val="36"/>
          <w:szCs w:val="36"/>
          <w:rtl/>
        </w:rPr>
        <w:t xml:space="preserve">ة </w:t>
      </w:r>
      <w:r w:rsidR="00303487" w:rsidRPr="00FD211F">
        <w:rPr>
          <w:sz w:val="36"/>
          <w:szCs w:val="36"/>
          <w:rtl/>
        </w:rPr>
        <w:t>ان يقال</w:t>
      </w:r>
      <w:r w:rsidR="00B253CE" w:rsidRPr="00FD211F">
        <w:rPr>
          <w:sz w:val="36"/>
          <w:szCs w:val="36"/>
          <w:rtl/>
        </w:rPr>
        <w:t xml:space="preserve"> </w:t>
      </w:r>
      <w:r w:rsidR="00303487" w:rsidRPr="00FD211F">
        <w:rPr>
          <w:sz w:val="36"/>
          <w:szCs w:val="36"/>
          <w:rtl/>
        </w:rPr>
        <w:t>"رجل جاء"</w:t>
      </w:r>
      <w:r w:rsidR="00BF0A5B" w:rsidRPr="00FD211F">
        <w:rPr>
          <w:sz w:val="36"/>
          <w:szCs w:val="36"/>
          <w:rtl/>
        </w:rPr>
        <w:t xml:space="preserve"> </w:t>
      </w:r>
      <w:r w:rsidR="00303487" w:rsidRPr="00FD211F">
        <w:rPr>
          <w:sz w:val="36"/>
          <w:szCs w:val="36"/>
          <w:rtl/>
        </w:rPr>
        <w:t>كما يقال</w:t>
      </w:r>
      <w:r w:rsidR="00BF0A5B" w:rsidRPr="00FD211F">
        <w:rPr>
          <w:sz w:val="36"/>
          <w:szCs w:val="36"/>
          <w:rtl/>
        </w:rPr>
        <w:t xml:space="preserve"> </w:t>
      </w:r>
      <w:r w:rsidR="003160AF" w:rsidRPr="00FD211F">
        <w:rPr>
          <w:sz w:val="36"/>
          <w:szCs w:val="36"/>
          <w:rtl/>
        </w:rPr>
        <w:t>"</w:t>
      </w:r>
      <w:r w:rsidRPr="00FD211F">
        <w:rPr>
          <w:sz w:val="36"/>
          <w:szCs w:val="36"/>
          <w:rtl/>
        </w:rPr>
        <w:t>جاء رجل</w:t>
      </w:r>
      <w:r w:rsidR="003160AF" w:rsidRPr="00FD211F">
        <w:rPr>
          <w:sz w:val="36"/>
          <w:szCs w:val="36"/>
          <w:rtl/>
        </w:rPr>
        <w:t>"</w:t>
      </w:r>
      <w:r w:rsidR="00603323" w:rsidRPr="00FD211F">
        <w:rPr>
          <w:sz w:val="36"/>
          <w:szCs w:val="36"/>
          <w:rtl/>
        </w:rPr>
        <w:t xml:space="preserve">، </w:t>
      </w:r>
      <w:r w:rsidRPr="00FD211F">
        <w:rPr>
          <w:sz w:val="36"/>
          <w:szCs w:val="36"/>
          <w:rtl/>
        </w:rPr>
        <w:t>فلو كان الفرق مجرد تقدم الفاعل وتأخره فلانستطيع ان نفسر هذه الفوارق مادام</w:t>
      </w:r>
      <w:r w:rsidR="00303487" w:rsidRPr="00FD211F">
        <w:rPr>
          <w:sz w:val="36"/>
          <w:szCs w:val="36"/>
          <w:rtl/>
        </w:rPr>
        <w:t xml:space="preserve"> جوهر العلاق</w:t>
      </w:r>
      <w:r w:rsidR="00EC7EDF" w:rsidRPr="00FD211F">
        <w:rPr>
          <w:sz w:val="36"/>
          <w:szCs w:val="36"/>
          <w:rtl/>
        </w:rPr>
        <w:t xml:space="preserve">ة </w:t>
      </w:r>
      <w:r w:rsidR="00303487" w:rsidRPr="00FD211F">
        <w:rPr>
          <w:sz w:val="36"/>
          <w:szCs w:val="36"/>
          <w:rtl/>
        </w:rPr>
        <w:t>المعنوي</w:t>
      </w:r>
      <w:r w:rsidR="00EC7EDF" w:rsidRPr="00FD211F">
        <w:rPr>
          <w:sz w:val="36"/>
          <w:szCs w:val="36"/>
          <w:rtl/>
        </w:rPr>
        <w:t xml:space="preserve">ة </w:t>
      </w:r>
      <w:r w:rsidR="00303487" w:rsidRPr="00FD211F">
        <w:rPr>
          <w:sz w:val="36"/>
          <w:szCs w:val="36"/>
          <w:rtl/>
        </w:rPr>
        <w:t>واحد</w:t>
      </w:r>
      <w:r w:rsidR="00603323" w:rsidRPr="00FD211F">
        <w:rPr>
          <w:sz w:val="36"/>
          <w:szCs w:val="36"/>
          <w:rtl/>
        </w:rPr>
        <w:t xml:space="preserve">، </w:t>
      </w:r>
      <w:r w:rsidR="00303487" w:rsidRPr="00FD211F">
        <w:rPr>
          <w:sz w:val="36"/>
          <w:szCs w:val="36"/>
          <w:rtl/>
        </w:rPr>
        <w:t>و</w:t>
      </w:r>
      <w:r w:rsidRPr="00FD211F">
        <w:rPr>
          <w:sz w:val="36"/>
          <w:szCs w:val="36"/>
          <w:rtl/>
        </w:rPr>
        <w:t>كون</w:t>
      </w:r>
      <w:r w:rsidR="00303487" w:rsidRPr="00FD211F">
        <w:rPr>
          <w:sz w:val="36"/>
          <w:szCs w:val="36"/>
          <w:rtl/>
        </w:rPr>
        <w:t>ها مجرد فوارق تعبدي</w:t>
      </w:r>
      <w:r w:rsidR="00EC7EDF" w:rsidRPr="00FD211F">
        <w:rPr>
          <w:sz w:val="36"/>
          <w:szCs w:val="36"/>
          <w:rtl/>
        </w:rPr>
        <w:t xml:space="preserve">ة </w:t>
      </w:r>
      <w:r w:rsidR="00303487" w:rsidRPr="00FD211F">
        <w:rPr>
          <w:sz w:val="36"/>
          <w:szCs w:val="36"/>
          <w:rtl/>
        </w:rPr>
        <w:t>محض</w:t>
      </w:r>
      <w:r w:rsidR="00EC7EDF" w:rsidRPr="00FD211F">
        <w:rPr>
          <w:sz w:val="36"/>
          <w:szCs w:val="36"/>
          <w:rtl/>
        </w:rPr>
        <w:t xml:space="preserve">ة </w:t>
      </w:r>
      <w:r w:rsidR="00E21730" w:rsidRPr="00FD211F">
        <w:rPr>
          <w:sz w:val="36"/>
          <w:szCs w:val="36"/>
          <w:rtl/>
        </w:rPr>
        <w:t>خلاف</w:t>
      </w:r>
      <w:r w:rsidR="003160AF" w:rsidRPr="00FD211F">
        <w:rPr>
          <w:sz w:val="36"/>
          <w:szCs w:val="36"/>
          <w:rtl/>
        </w:rPr>
        <w:t xml:space="preserve"> الظاهر</w:t>
      </w:r>
      <w:r w:rsidR="00603323" w:rsidRPr="00FD211F">
        <w:rPr>
          <w:sz w:val="36"/>
          <w:szCs w:val="36"/>
          <w:rtl/>
        </w:rPr>
        <w:t xml:space="preserve">، </w:t>
      </w:r>
      <w:r w:rsidRPr="00FD211F">
        <w:rPr>
          <w:sz w:val="36"/>
          <w:szCs w:val="36"/>
          <w:rtl/>
        </w:rPr>
        <w:t>بخلاف ما اذا افترضنا تغير جوهر العلاق</w:t>
      </w:r>
      <w:r w:rsidR="00EC7EDF" w:rsidRPr="00FD211F">
        <w:rPr>
          <w:sz w:val="36"/>
          <w:szCs w:val="36"/>
          <w:rtl/>
        </w:rPr>
        <w:t xml:space="preserve">ة </w:t>
      </w:r>
      <w:r w:rsidRPr="00FD211F">
        <w:rPr>
          <w:sz w:val="36"/>
          <w:szCs w:val="36"/>
          <w:rtl/>
        </w:rPr>
        <w:t>المعنوي</w:t>
      </w:r>
      <w:r w:rsidR="00EC7EDF" w:rsidRPr="00FD211F">
        <w:rPr>
          <w:sz w:val="36"/>
          <w:szCs w:val="36"/>
          <w:rtl/>
        </w:rPr>
        <w:t xml:space="preserve">ة </w:t>
      </w:r>
      <w:r w:rsidRPr="00FD211F">
        <w:rPr>
          <w:sz w:val="36"/>
          <w:szCs w:val="36"/>
          <w:rtl/>
        </w:rPr>
        <w:t>في هذه الجمل وان العلاق</w:t>
      </w:r>
      <w:r w:rsidR="00EC7EDF" w:rsidRPr="00FD211F">
        <w:rPr>
          <w:sz w:val="36"/>
          <w:szCs w:val="36"/>
          <w:rtl/>
        </w:rPr>
        <w:t xml:space="preserve">ة </w:t>
      </w:r>
      <w:r w:rsidRPr="00FD211F">
        <w:rPr>
          <w:sz w:val="36"/>
          <w:szCs w:val="36"/>
          <w:rtl/>
        </w:rPr>
        <w:t>بين مفردات الجمل</w:t>
      </w:r>
      <w:r w:rsidR="00EC7EDF" w:rsidRPr="00FD211F">
        <w:rPr>
          <w:sz w:val="36"/>
          <w:szCs w:val="36"/>
          <w:rtl/>
        </w:rPr>
        <w:t xml:space="preserve">ة </w:t>
      </w:r>
      <w:r w:rsidRPr="00FD211F">
        <w:rPr>
          <w:sz w:val="36"/>
          <w:szCs w:val="36"/>
          <w:rtl/>
        </w:rPr>
        <w:t>في حال تقدم الفعل هي علاق</w:t>
      </w:r>
      <w:r w:rsidR="00EC7EDF" w:rsidRPr="00FD211F">
        <w:rPr>
          <w:sz w:val="36"/>
          <w:szCs w:val="36"/>
          <w:rtl/>
        </w:rPr>
        <w:t xml:space="preserve">ة </w:t>
      </w:r>
      <w:r w:rsidR="003160AF" w:rsidRPr="00FD211F">
        <w:rPr>
          <w:sz w:val="36"/>
          <w:szCs w:val="36"/>
          <w:rtl/>
        </w:rPr>
        <w:t>اسنادي</w:t>
      </w:r>
      <w:r w:rsidR="00EC7EDF" w:rsidRPr="00FD211F">
        <w:rPr>
          <w:sz w:val="36"/>
          <w:szCs w:val="36"/>
          <w:rtl/>
        </w:rPr>
        <w:t xml:space="preserve">ة </w:t>
      </w:r>
      <w:r w:rsidR="003160AF" w:rsidRPr="00FD211F">
        <w:rPr>
          <w:sz w:val="36"/>
          <w:szCs w:val="36"/>
          <w:rtl/>
        </w:rPr>
        <w:t>اي علاق</w:t>
      </w:r>
      <w:r w:rsidR="00EC7EDF" w:rsidRPr="00FD211F">
        <w:rPr>
          <w:sz w:val="36"/>
          <w:szCs w:val="36"/>
          <w:rtl/>
        </w:rPr>
        <w:t xml:space="preserve">ة </w:t>
      </w:r>
      <w:r w:rsidR="003160AF" w:rsidRPr="00FD211F">
        <w:rPr>
          <w:sz w:val="36"/>
          <w:szCs w:val="36"/>
          <w:rtl/>
        </w:rPr>
        <w:t>الفعل بفاعله</w:t>
      </w:r>
      <w:r w:rsidR="00603323" w:rsidRPr="00FD211F">
        <w:rPr>
          <w:sz w:val="36"/>
          <w:szCs w:val="36"/>
          <w:rtl/>
        </w:rPr>
        <w:t xml:space="preserve">، </w:t>
      </w:r>
      <w:r w:rsidR="003160AF" w:rsidRPr="00FD211F">
        <w:rPr>
          <w:sz w:val="36"/>
          <w:szCs w:val="36"/>
          <w:rtl/>
        </w:rPr>
        <w:t>وام</w:t>
      </w:r>
      <w:r w:rsidRPr="00FD211F">
        <w:rPr>
          <w:sz w:val="36"/>
          <w:szCs w:val="36"/>
          <w:rtl/>
        </w:rPr>
        <w:t>ا في حال</w:t>
      </w:r>
      <w:r w:rsidR="00EC7EDF" w:rsidRPr="00FD211F">
        <w:rPr>
          <w:sz w:val="36"/>
          <w:szCs w:val="36"/>
          <w:rtl/>
        </w:rPr>
        <w:t xml:space="preserve">ة </w:t>
      </w:r>
      <w:r w:rsidRPr="00FD211F">
        <w:rPr>
          <w:sz w:val="36"/>
          <w:szCs w:val="36"/>
          <w:rtl/>
        </w:rPr>
        <w:t xml:space="preserve">تأخر الفعل </w:t>
      </w:r>
      <w:r w:rsidR="003160AF" w:rsidRPr="00FD211F">
        <w:rPr>
          <w:sz w:val="36"/>
          <w:szCs w:val="36"/>
          <w:rtl/>
        </w:rPr>
        <w:t xml:space="preserve">قتكون </w:t>
      </w:r>
      <w:r w:rsidRPr="00FD211F">
        <w:rPr>
          <w:sz w:val="36"/>
          <w:szCs w:val="36"/>
          <w:rtl/>
        </w:rPr>
        <w:t>علاق</w:t>
      </w:r>
      <w:r w:rsidR="00EC7EDF" w:rsidRPr="00FD211F">
        <w:rPr>
          <w:sz w:val="36"/>
          <w:szCs w:val="36"/>
          <w:rtl/>
        </w:rPr>
        <w:t xml:space="preserve">ة </w:t>
      </w:r>
      <w:r w:rsidRPr="00FD211F">
        <w:rPr>
          <w:sz w:val="36"/>
          <w:szCs w:val="36"/>
          <w:rtl/>
        </w:rPr>
        <w:t>حملي</w:t>
      </w:r>
      <w:r w:rsidR="00EC7EDF" w:rsidRPr="00FD211F">
        <w:rPr>
          <w:sz w:val="36"/>
          <w:szCs w:val="36"/>
          <w:rtl/>
        </w:rPr>
        <w:t xml:space="preserve">ة </w:t>
      </w:r>
      <w:r w:rsidRPr="00FD211F">
        <w:rPr>
          <w:sz w:val="36"/>
          <w:szCs w:val="36"/>
          <w:rtl/>
        </w:rPr>
        <w:t>اي علاق</w:t>
      </w:r>
      <w:r w:rsidR="00EC7EDF" w:rsidRPr="00FD211F">
        <w:rPr>
          <w:sz w:val="36"/>
          <w:szCs w:val="36"/>
          <w:rtl/>
        </w:rPr>
        <w:t xml:space="preserve">ة </w:t>
      </w:r>
      <w:r w:rsidR="003160AF" w:rsidRPr="00FD211F">
        <w:rPr>
          <w:sz w:val="36"/>
          <w:szCs w:val="36"/>
          <w:rtl/>
        </w:rPr>
        <w:t>ال</w:t>
      </w:r>
      <w:r w:rsidRPr="00FD211F">
        <w:rPr>
          <w:sz w:val="36"/>
          <w:szCs w:val="36"/>
          <w:rtl/>
        </w:rPr>
        <w:t>خبر ب</w:t>
      </w:r>
      <w:r w:rsidR="003160AF" w:rsidRPr="00FD211F">
        <w:rPr>
          <w:sz w:val="36"/>
          <w:szCs w:val="36"/>
          <w:rtl/>
        </w:rPr>
        <w:t>ال</w:t>
      </w:r>
      <w:r w:rsidRPr="00FD211F">
        <w:rPr>
          <w:sz w:val="36"/>
          <w:szCs w:val="36"/>
          <w:rtl/>
        </w:rPr>
        <w:t>مبتدأ</w:t>
      </w:r>
      <w:r w:rsidR="00603323" w:rsidRPr="00FD211F">
        <w:rPr>
          <w:sz w:val="36"/>
          <w:szCs w:val="36"/>
          <w:rtl/>
        </w:rPr>
        <w:t xml:space="preserve">، </w:t>
      </w:r>
      <w:r w:rsidRPr="00FD211F">
        <w:rPr>
          <w:sz w:val="36"/>
          <w:szCs w:val="36"/>
          <w:rtl/>
        </w:rPr>
        <w:t>فحينئذ يمكننا ان نفسر الفوارق المذكور</w:t>
      </w:r>
      <w:r w:rsidR="00EC7EDF" w:rsidRPr="00FD211F">
        <w:rPr>
          <w:sz w:val="36"/>
          <w:szCs w:val="36"/>
          <w:rtl/>
        </w:rPr>
        <w:t xml:space="preserve">ة </w:t>
      </w:r>
      <w:r w:rsidRPr="00FD211F">
        <w:rPr>
          <w:sz w:val="36"/>
          <w:szCs w:val="36"/>
          <w:rtl/>
        </w:rPr>
        <w:t>باعتبار ان فاعل الفعل ليس هو الاسم المتقدم عليه وانما هو الضمير</w:t>
      </w:r>
      <w:r w:rsidR="00603323" w:rsidRPr="00FD211F">
        <w:rPr>
          <w:sz w:val="36"/>
          <w:szCs w:val="36"/>
          <w:rtl/>
        </w:rPr>
        <w:t xml:space="preserve">، </w:t>
      </w:r>
      <w:r w:rsidRPr="00FD211F">
        <w:rPr>
          <w:sz w:val="36"/>
          <w:szCs w:val="36"/>
          <w:rtl/>
        </w:rPr>
        <w:t>ويلزم مطابق</w:t>
      </w:r>
      <w:r w:rsidR="00EC7EDF" w:rsidRPr="00FD211F">
        <w:rPr>
          <w:sz w:val="36"/>
          <w:szCs w:val="36"/>
          <w:rtl/>
        </w:rPr>
        <w:t xml:space="preserve">ة </w:t>
      </w:r>
      <w:r w:rsidRPr="00FD211F">
        <w:rPr>
          <w:sz w:val="36"/>
          <w:szCs w:val="36"/>
          <w:rtl/>
        </w:rPr>
        <w:t>الضمير مع مرجعه في الإفراد والجمع والتأنيث</w:t>
      </w:r>
      <w:r w:rsidR="00603323" w:rsidRPr="00FD211F">
        <w:rPr>
          <w:sz w:val="36"/>
          <w:szCs w:val="36"/>
          <w:rtl/>
        </w:rPr>
        <w:t xml:space="preserve">، </w:t>
      </w:r>
      <w:r w:rsidRPr="00FD211F">
        <w:rPr>
          <w:sz w:val="36"/>
          <w:szCs w:val="36"/>
          <w:rtl/>
        </w:rPr>
        <w:t>كما ان منشأ صح</w:t>
      </w:r>
      <w:r w:rsidR="00EC7EDF" w:rsidRPr="00FD211F">
        <w:rPr>
          <w:sz w:val="36"/>
          <w:szCs w:val="36"/>
          <w:rtl/>
        </w:rPr>
        <w:t xml:space="preserve">ة </w:t>
      </w:r>
      <w:r w:rsidRPr="00FD211F">
        <w:rPr>
          <w:sz w:val="36"/>
          <w:szCs w:val="36"/>
          <w:rtl/>
        </w:rPr>
        <w:t>قولنا</w:t>
      </w:r>
      <w:r w:rsidR="00F8519A" w:rsidRPr="00FD211F">
        <w:rPr>
          <w:sz w:val="36"/>
          <w:szCs w:val="36"/>
          <w:rtl/>
        </w:rPr>
        <w:t>"</w:t>
      </w:r>
      <w:r w:rsidRPr="00FD211F">
        <w:rPr>
          <w:sz w:val="36"/>
          <w:szCs w:val="36"/>
          <w:rtl/>
        </w:rPr>
        <w:t xml:space="preserve"> جاء رجل</w:t>
      </w:r>
      <w:r w:rsidR="00F8519A" w:rsidRPr="00FD211F">
        <w:rPr>
          <w:sz w:val="36"/>
          <w:szCs w:val="36"/>
          <w:rtl/>
        </w:rPr>
        <w:t>"</w:t>
      </w:r>
      <w:r w:rsidRPr="00FD211F">
        <w:rPr>
          <w:sz w:val="36"/>
          <w:szCs w:val="36"/>
          <w:rtl/>
        </w:rPr>
        <w:t xml:space="preserve"> وعدم صح</w:t>
      </w:r>
      <w:r w:rsidR="00EC7EDF" w:rsidRPr="00FD211F">
        <w:rPr>
          <w:sz w:val="36"/>
          <w:szCs w:val="36"/>
          <w:rtl/>
        </w:rPr>
        <w:t xml:space="preserve">ة </w:t>
      </w:r>
      <w:r w:rsidR="00F8519A" w:rsidRPr="00FD211F">
        <w:rPr>
          <w:sz w:val="36"/>
          <w:szCs w:val="36"/>
          <w:rtl/>
        </w:rPr>
        <w:t>"</w:t>
      </w:r>
      <w:r w:rsidRPr="00FD211F">
        <w:rPr>
          <w:sz w:val="36"/>
          <w:szCs w:val="36"/>
          <w:rtl/>
        </w:rPr>
        <w:t>رجل جاء</w:t>
      </w:r>
      <w:r w:rsidR="00F8519A" w:rsidRPr="00FD211F">
        <w:rPr>
          <w:sz w:val="36"/>
          <w:szCs w:val="36"/>
          <w:rtl/>
        </w:rPr>
        <w:t>"</w:t>
      </w:r>
      <w:r w:rsidRPr="00FD211F">
        <w:rPr>
          <w:sz w:val="36"/>
          <w:szCs w:val="36"/>
          <w:rtl/>
        </w:rPr>
        <w:t xml:space="preserve"> ان الجمل</w:t>
      </w:r>
      <w:r w:rsidR="00EC7EDF" w:rsidRPr="00FD211F">
        <w:rPr>
          <w:sz w:val="36"/>
          <w:szCs w:val="36"/>
          <w:rtl/>
        </w:rPr>
        <w:t xml:space="preserve">ة </w:t>
      </w:r>
      <w:r w:rsidRPr="00FD211F">
        <w:rPr>
          <w:sz w:val="36"/>
          <w:szCs w:val="36"/>
          <w:rtl/>
        </w:rPr>
        <w:t xml:space="preserve">الأولى </w:t>
      </w:r>
      <w:r w:rsidR="00F8519A" w:rsidRPr="00FD211F">
        <w:rPr>
          <w:sz w:val="36"/>
          <w:szCs w:val="36"/>
          <w:rtl/>
        </w:rPr>
        <w:t>فعلي</w:t>
      </w:r>
      <w:r w:rsidR="00EC7EDF" w:rsidRPr="00FD211F">
        <w:rPr>
          <w:sz w:val="36"/>
          <w:szCs w:val="36"/>
          <w:rtl/>
        </w:rPr>
        <w:t xml:space="preserve">ة </w:t>
      </w:r>
      <w:r w:rsidR="00F8519A" w:rsidRPr="00FD211F">
        <w:rPr>
          <w:sz w:val="36"/>
          <w:szCs w:val="36"/>
          <w:rtl/>
        </w:rPr>
        <w:t>والنسب</w:t>
      </w:r>
      <w:r w:rsidR="00EC7EDF" w:rsidRPr="00FD211F">
        <w:rPr>
          <w:sz w:val="36"/>
          <w:szCs w:val="36"/>
          <w:rtl/>
        </w:rPr>
        <w:t xml:space="preserve">ة </w:t>
      </w:r>
      <w:r w:rsidR="00F8519A" w:rsidRPr="00FD211F">
        <w:rPr>
          <w:sz w:val="36"/>
          <w:szCs w:val="36"/>
          <w:rtl/>
        </w:rPr>
        <w:t>فيها اسنادي</w:t>
      </w:r>
      <w:r w:rsidR="00EC7EDF" w:rsidRPr="00FD211F">
        <w:rPr>
          <w:sz w:val="36"/>
          <w:szCs w:val="36"/>
          <w:rtl/>
        </w:rPr>
        <w:t>ة</w:t>
      </w:r>
      <w:r w:rsidR="00603323" w:rsidRPr="00FD211F">
        <w:rPr>
          <w:sz w:val="36"/>
          <w:szCs w:val="36"/>
          <w:rtl/>
        </w:rPr>
        <w:t xml:space="preserve">، </w:t>
      </w:r>
      <w:r w:rsidR="00F8519A" w:rsidRPr="00FD211F">
        <w:rPr>
          <w:sz w:val="36"/>
          <w:szCs w:val="36"/>
          <w:rtl/>
        </w:rPr>
        <w:t>ومحور القضي</w:t>
      </w:r>
      <w:r w:rsidR="00EC7EDF" w:rsidRPr="00FD211F">
        <w:rPr>
          <w:sz w:val="36"/>
          <w:szCs w:val="36"/>
          <w:rtl/>
        </w:rPr>
        <w:t xml:space="preserve">ة </w:t>
      </w:r>
      <w:r w:rsidR="00F8519A" w:rsidRPr="00FD211F">
        <w:rPr>
          <w:sz w:val="36"/>
          <w:szCs w:val="36"/>
          <w:rtl/>
        </w:rPr>
        <w:t>فيها الحادث</w:t>
      </w:r>
      <w:r w:rsidR="00EC7EDF" w:rsidRPr="00FD211F">
        <w:rPr>
          <w:sz w:val="36"/>
          <w:szCs w:val="36"/>
          <w:rtl/>
        </w:rPr>
        <w:t xml:space="preserve">ة </w:t>
      </w:r>
      <w:r w:rsidR="00F8519A" w:rsidRPr="00FD211F">
        <w:rPr>
          <w:sz w:val="36"/>
          <w:szCs w:val="36"/>
          <w:rtl/>
        </w:rPr>
        <w:t>ف</w:t>
      </w:r>
      <w:r w:rsidRPr="00FD211F">
        <w:rPr>
          <w:sz w:val="36"/>
          <w:szCs w:val="36"/>
          <w:rtl/>
        </w:rPr>
        <w:t>لانحتاج فيها الى كون الفاعل معرف</w:t>
      </w:r>
      <w:r w:rsidR="00EC7EDF" w:rsidRPr="00FD211F">
        <w:rPr>
          <w:sz w:val="36"/>
          <w:szCs w:val="36"/>
          <w:rtl/>
        </w:rPr>
        <w:t>ة</w:t>
      </w:r>
      <w:r w:rsidR="00603323" w:rsidRPr="00FD211F">
        <w:rPr>
          <w:sz w:val="36"/>
          <w:szCs w:val="36"/>
          <w:rtl/>
        </w:rPr>
        <w:t xml:space="preserve">، </w:t>
      </w:r>
      <w:r w:rsidRPr="00FD211F">
        <w:rPr>
          <w:sz w:val="36"/>
          <w:szCs w:val="36"/>
          <w:rtl/>
        </w:rPr>
        <w:t>بينما</w:t>
      </w:r>
      <w:r w:rsidR="00F8519A" w:rsidRPr="00FD211F">
        <w:rPr>
          <w:sz w:val="36"/>
          <w:szCs w:val="36"/>
          <w:rtl/>
        </w:rPr>
        <w:t xml:space="preserve"> ان الجمل</w:t>
      </w:r>
      <w:r w:rsidR="00EC7EDF" w:rsidRPr="00FD211F">
        <w:rPr>
          <w:sz w:val="36"/>
          <w:szCs w:val="36"/>
          <w:rtl/>
        </w:rPr>
        <w:t xml:space="preserve">ة </w:t>
      </w:r>
      <w:r w:rsidR="00F8519A" w:rsidRPr="00FD211F">
        <w:rPr>
          <w:sz w:val="36"/>
          <w:szCs w:val="36"/>
          <w:rtl/>
        </w:rPr>
        <w:t>الثاني</w:t>
      </w:r>
      <w:r w:rsidR="00EC7EDF" w:rsidRPr="00FD211F">
        <w:rPr>
          <w:sz w:val="36"/>
          <w:szCs w:val="36"/>
          <w:rtl/>
        </w:rPr>
        <w:t xml:space="preserve">ة </w:t>
      </w:r>
      <w:r w:rsidR="00F8519A" w:rsidRPr="00FD211F">
        <w:rPr>
          <w:sz w:val="36"/>
          <w:szCs w:val="36"/>
          <w:rtl/>
        </w:rPr>
        <w:t>اسمي</w:t>
      </w:r>
      <w:r w:rsidR="00EC7EDF" w:rsidRPr="00FD211F">
        <w:rPr>
          <w:sz w:val="36"/>
          <w:szCs w:val="36"/>
          <w:rtl/>
        </w:rPr>
        <w:t xml:space="preserve">ة </w:t>
      </w:r>
      <w:r w:rsidR="00F8519A" w:rsidRPr="00FD211F">
        <w:rPr>
          <w:sz w:val="36"/>
          <w:szCs w:val="36"/>
          <w:rtl/>
        </w:rPr>
        <w:t>والنسب</w:t>
      </w:r>
      <w:r w:rsidR="00EC7EDF" w:rsidRPr="00FD211F">
        <w:rPr>
          <w:sz w:val="36"/>
          <w:szCs w:val="36"/>
          <w:rtl/>
        </w:rPr>
        <w:t xml:space="preserve">ة </w:t>
      </w:r>
      <w:r w:rsidRPr="00FD211F">
        <w:rPr>
          <w:sz w:val="36"/>
          <w:szCs w:val="36"/>
          <w:rtl/>
        </w:rPr>
        <w:t>فيها حملي</w:t>
      </w:r>
      <w:r w:rsidR="00EC7EDF" w:rsidRPr="00FD211F">
        <w:rPr>
          <w:sz w:val="36"/>
          <w:szCs w:val="36"/>
          <w:rtl/>
        </w:rPr>
        <w:t xml:space="preserve">ة </w:t>
      </w:r>
      <w:r w:rsidR="00F8519A" w:rsidRPr="00FD211F">
        <w:rPr>
          <w:sz w:val="36"/>
          <w:szCs w:val="36"/>
          <w:rtl/>
        </w:rPr>
        <w:t>فمحور القضي</w:t>
      </w:r>
      <w:r w:rsidR="00EC7EDF" w:rsidRPr="00FD211F">
        <w:rPr>
          <w:sz w:val="36"/>
          <w:szCs w:val="36"/>
          <w:rtl/>
        </w:rPr>
        <w:t xml:space="preserve">ة </w:t>
      </w:r>
      <w:r w:rsidR="00F8519A" w:rsidRPr="00FD211F">
        <w:rPr>
          <w:sz w:val="36"/>
          <w:szCs w:val="36"/>
          <w:rtl/>
        </w:rPr>
        <w:t>فيهاهو الموضوع باعتبار كون</w:t>
      </w:r>
      <w:r w:rsidRPr="00FD211F">
        <w:rPr>
          <w:sz w:val="36"/>
          <w:szCs w:val="36"/>
          <w:rtl/>
        </w:rPr>
        <w:t xml:space="preserve"> </w:t>
      </w:r>
      <w:r w:rsidR="00F8519A" w:rsidRPr="00FD211F">
        <w:rPr>
          <w:sz w:val="36"/>
          <w:szCs w:val="36"/>
          <w:rtl/>
        </w:rPr>
        <w:t>النسب</w:t>
      </w:r>
      <w:r w:rsidR="00EC7EDF" w:rsidRPr="00FD211F">
        <w:rPr>
          <w:sz w:val="36"/>
          <w:szCs w:val="36"/>
          <w:rtl/>
        </w:rPr>
        <w:t xml:space="preserve">ة </w:t>
      </w:r>
      <w:r w:rsidR="00F8519A" w:rsidRPr="00FD211F">
        <w:rPr>
          <w:sz w:val="36"/>
          <w:szCs w:val="36"/>
          <w:rtl/>
        </w:rPr>
        <w:t>الحملي</w:t>
      </w:r>
      <w:r w:rsidR="00EC7EDF" w:rsidRPr="00FD211F">
        <w:rPr>
          <w:sz w:val="36"/>
          <w:szCs w:val="36"/>
          <w:rtl/>
        </w:rPr>
        <w:t xml:space="preserve">ة </w:t>
      </w:r>
      <w:r w:rsidRPr="00FD211F">
        <w:rPr>
          <w:sz w:val="36"/>
          <w:szCs w:val="36"/>
          <w:rtl/>
        </w:rPr>
        <w:t xml:space="preserve">تطبيقا للمحمول على الموضوع بنحو يرى تصادقهما على مركز واحد </w:t>
      </w:r>
      <w:r w:rsidR="006C31B3" w:rsidRPr="00FD211F">
        <w:rPr>
          <w:sz w:val="36"/>
          <w:szCs w:val="36"/>
          <w:rtl/>
        </w:rPr>
        <w:t>و</w:t>
      </w:r>
      <w:r w:rsidRPr="00FD211F">
        <w:rPr>
          <w:sz w:val="36"/>
          <w:szCs w:val="36"/>
          <w:rtl/>
        </w:rPr>
        <w:t xml:space="preserve">هو الموضوع ويراد الكلام حول عوارضه </w:t>
      </w:r>
      <w:r w:rsidR="00F8519A" w:rsidRPr="00FD211F">
        <w:rPr>
          <w:sz w:val="36"/>
          <w:szCs w:val="36"/>
          <w:rtl/>
        </w:rPr>
        <w:t>ف</w:t>
      </w:r>
      <w:r w:rsidRPr="00FD211F">
        <w:rPr>
          <w:sz w:val="36"/>
          <w:szCs w:val="36"/>
          <w:rtl/>
        </w:rPr>
        <w:t xml:space="preserve">كان للموضوع </w:t>
      </w:r>
      <w:r w:rsidR="00F8519A" w:rsidRPr="00FD211F">
        <w:rPr>
          <w:sz w:val="36"/>
          <w:szCs w:val="36"/>
          <w:rtl/>
        </w:rPr>
        <w:t>فيها</w:t>
      </w:r>
      <w:r w:rsidRPr="00FD211F">
        <w:rPr>
          <w:sz w:val="36"/>
          <w:szCs w:val="36"/>
          <w:rtl/>
        </w:rPr>
        <w:t>اهمي</w:t>
      </w:r>
      <w:r w:rsidR="00EC7EDF" w:rsidRPr="00FD211F">
        <w:rPr>
          <w:sz w:val="36"/>
          <w:szCs w:val="36"/>
          <w:rtl/>
        </w:rPr>
        <w:t xml:space="preserve">ة </w:t>
      </w:r>
      <w:r w:rsidRPr="00FD211F">
        <w:rPr>
          <w:sz w:val="36"/>
          <w:szCs w:val="36"/>
          <w:rtl/>
        </w:rPr>
        <w:t>ومركزي</w:t>
      </w:r>
      <w:r w:rsidR="00EC7EDF" w:rsidRPr="00FD211F">
        <w:rPr>
          <w:sz w:val="36"/>
          <w:szCs w:val="36"/>
          <w:rtl/>
        </w:rPr>
        <w:t xml:space="preserve">ة </w:t>
      </w:r>
      <w:r w:rsidRPr="00FD211F">
        <w:rPr>
          <w:sz w:val="36"/>
          <w:szCs w:val="36"/>
          <w:rtl/>
        </w:rPr>
        <w:t xml:space="preserve">بحيث </w:t>
      </w:r>
      <w:r w:rsidR="00F8519A" w:rsidRPr="00FD211F">
        <w:rPr>
          <w:sz w:val="36"/>
          <w:szCs w:val="36"/>
          <w:rtl/>
        </w:rPr>
        <w:t xml:space="preserve">لزم </w:t>
      </w:r>
      <w:r w:rsidRPr="00FD211F">
        <w:rPr>
          <w:sz w:val="36"/>
          <w:szCs w:val="36"/>
          <w:rtl/>
        </w:rPr>
        <w:t>ان يكون معرف</w:t>
      </w:r>
      <w:r w:rsidR="00EC7EDF" w:rsidRPr="00FD211F">
        <w:rPr>
          <w:sz w:val="36"/>
          <w:szCs w:val="36"/>
          <w:rtl/>
        </w:rPr>
        <w:t xml:space="preserve">ة </w:t>
      </w:r>
      <w:r w:rsidR="00F8519A" w:rsidRPr="00FD211F">
        <w:rPr>
          <w:sz w:val="36"/>
          <w:szCs w:val="36"/>
          <w:rtl/>
        </w:rPr>
        <w:t>ومتعين</w:t>
      </w:r>
      <w:r w:rsidR="00EC7EDF" w:rsidRPr="00FD211F">
        <w:rPr>
          <w:sz w:val="36"/>
          <w:szCs w:val="36"/>
          <w:rtl/>
        </w:rPr>
        <w:t xml:space="preserve">ة </w:t>
      </w:r>
      <w:r w:rsidR="00F8519A" w:rsidRPr="00FD211F">
        <w:rPr>
          <w:sz w:val="36"/>
          <w:szCs w:val="36"/>
          <w:rtl/>
        </w:rPr>
        <w:t>باحد انحاء التعين.</w:t>
      </w:r>
    </w:p>
    <w:p w14:paraId="35825A2C" w14:textId="77777777" w:rsidR="00556BC0" w:rsidRPr="00FD211F" w:rsidRDefault="00F8519A" w:rsidP="009C58C8">
      <w:pPr>
        <w:ind w:left="0" w:firstLine="227"/>
        <w:jc w:val="both"/>
        <w:rPr>
          <w:sz w:val="36"/>
          <w:szCs w:val="36"/>
          <w:rtl/>
        </w:rPr>
      </w:pPr>
      <w:r w:rsidRPr="00FD211F">
        <w:rPr>
          <w:sz w:val="36"/>
          <w:szCs w:val="36"/>
          <w:rtl/>
        </w:rPr>
        <w:t>و</w:t>
      </w:r>
      <w:r w:rsidR="00556BC0" w:rsidRPr="00FD211F">
        <w:rPr>
          <w:sz w:val="36"/>
          <w:szCs w:val="36"/>
          <w:rtl/>
        </w:rPr>
        <w:t>عليه فالصحيح ان الجمل</w:t>
      </w:r>
      <w:r w:rsidR="00EC7EDF" w:rsidRPr="00FD211F">
        <w:rPr>
          <w:sz w:val="36"/>
          <w:szCs w:val="36"/>
          <w:rtl/>
        </w:rPr>
        <w:t xml:space="preserve">ة </w:t>
      </w:r>
      <w:r w:rsidR="00556BC0" w:rsidRPr="00FD211F">
        <w:rPr>
          <w:sz w:val="36"/>
          <w:szCs w:val="36"/>
          <w:rtl/>
        </w:rPr>
        <w:t>المزدوج</w:t>
      </w:r>
      <w:r w:rsidR="00EC7EDF" w:rsidRPr="00FD211F">
        <w:rPr>
          <w:sz w:val="36"/>
          <w:szCs w:val="36"/>
          <w:rtl/>
        </w:rPr>
        <w:t xml:space="preserve">ة </w:t>
      </w:r>
      <w:r w:rsidR="00556BC0" w:rsidRPr="00FD211F">
        <w:rPr>
          <w:sz w:val="36"/>
          <w:szCs w:val="36"/>
          <w:rtl/>
        </w:rPr>
        <w:t>جمل</w:t>
      </w:r>
      <w:r w:rsidR="00EC7EDF" w:rsidRPr="00FD211F">
        <w:rPr>
          <w:sz w:val="36"/>
          <w:szCs w:val="36"/>
          <w:rtl/>
        </w:rPr>
        <w:t xml:space="preserve">ة </w:t>
      </w:r>
      <w:r w:rsidR="00556BC0" w:rsidRPr="00FD211F">
        <w:rPr>
          <w:sz w:val="36"/>
          <w:szCs w:val="36"/>
          <w:rtl/>
        </w:rPr>
        <w:t>مركب</w:t>
      </w:r>
      <w:r w:rsidR="00EC7EDF" w:rsidRPr="00FD211F">
        <w:rPr>
          <w:sz w:val="36"/>
          <w:szCs w:val="36"/>
          <w:rtl/>
        </w:rPr>
        <w:t xml:space="preserve">ة </w:t>
      </w:r>
      <w:r w:rsidR="00556BC0" w:rsidRPr="00FD211F">
        <w:rPr>
          <w:sz w:val="36"/>
          <w:szCs w:val="36"/>
          <w:rtl/>
        </w:rPr>
        <w:t>من جمل</w:t>
      </w:r>
      <w:r w:rsidR="00EC7EDF" w:rsidRPr="00FD211F">
        <w:rPr>
          <w:sz w:val="36"/>
          <w:szCs w:val="36"/>
          <w:rtl/>
        </w:rPr>
        <w:t xml:space="preserve">ة </w:t>
      </w:r>
      <w:r w:rsidR="00556BC0" w:rsidRPr="00FD211F">
        <w:rPr>
          <w:sz w:val="36"/>
          <w:szCs w:val="36"/>
          <w:rtl/>
        </w:rPr>
        <w:t>فعلي</w:t>
      </w:r>
      <w:r w:rsidR="00EC7EDF" w:rsidRPr="00FD211F">
        <w:rPr>
          <w:sz w:val="36"/>
          <w:szCs w:val="36"/>
          <w:rtl/>
        </w:rPr>
        <w:t xml:space="preserve">ة </w:t>
      </w:r>
      <w:r w:rsidR="00556BC0" w:rsidRPr="00FD211F">
        <w:rPr>
          <w:sz w:val="36"/>
          <w:szCs w:val="36"/>
          <w:rtl/>
        </w:rPr>
        <w:t>صغري وجمل</w:t>
      </w:r>
      <w:r w:rsidR="00EC7EDF" w:rsidRPr="00FD211F">
        <w:rPr>
          <w:sz w:val="36"/>
          <w:szCs w:val="36"/>
          <w:rtl/>
        </w:rPr>
        <w:t xml:space="preserve">ة </w:t>
      </w:r>
      <w:r w:rsidR="00556BC0" w:rsidRPr="00FD211F">
        <w:rPr>
          <w:sz w:val="36"/>
          <w:szCs w:val="36"/>
          <w:rtl/>
        </w:rPr>
        <w:t>اسمي</w:t>
      </w:r>
      <w:r w:rsidR="00EC7EDF" w:rsidRPr="00FD211F">
        <w:rPr>
          <w:sz w:val="36"/>
          <w:szCs w:val="36"/>
          <w:rtl/>
        </w:rPr>
        <w:t xml:space="preserve">ة </w:t>
      </w:r>
      <w:r w:rsidR="00556BC0" w:rsidRPr="00FD211F">
        <w:rPr>
          <w:sz w:val="36"/>
          <w:szCs w:val="36"/>
          <w:rtl/>
        </w:rPr>
        <w:t>كبرى</w:t>
      </w:r>
      <w:r w:rsidR="004C665E" w:rsidRPr="00FD211F">
        <w:rPr>
          <w:sz w:val="36"/>
          <w:szCs w:val="36"/>
          <w:rtl/>
        </w:rPr>
        <w:t>.</w:t>
      </w:r>
    </w:p>
    <w:p w14:paraId="64CA22B3" w14:textId="77777777" w:rsidR="00556BC0" w:rsidRPr="00FD211F" w:rsidRDefault="00556BC0" w:rsidP="009C58C8">
      <w:pPr>
        <w:ind w:left="0" w:firstLine="227"/>
        <w:jc w:val="both"/>
        <w:rPr>
          <w:sz w:val="36"/>
          <w:szCs w:val="36"/>
          <w:rtl/>
        </w:rPr>
      </w:pPr>
      <w:r w:rsidRPr="00FD211F">
        <w:rPr>
          <w:sz w:val="36"/>
          <w:szCs w:val="36"/>
          <w:rtl/>
        </w:rPr>
        <w:t>وبناء على ذلك فقد يستشكل على تصوير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فيها بانه لايمكن تعقل حمل الفعل –في قولنا زيد ضرب- على زيد</w:t>
      </w:r>
      <w:r w:rsidR="00603323" w:rsidRPr="00FD211F">
        <w:rPr>
          <w:sz w:val="36"/>
          <w:szCs w:val="36"/>
          <w:rtl/>
        </w:rPr>
        <w:t xml:space="preserve">، </w:t>
      </w:r>
      <w:r w:rsidRPr="00FD211F">
        <w:rPr>
          <w:sz w:val="36"/>
          <w:szCs w:val="36"/>
          <w:rtl/>
        </w:rPr>
        <w:t>كما لايتعقل حمل جمل</w:t>
      </w:r>
      <w:r w:rsidR="00EC7EDF" w:rsidRPr="00FD211F">
        <w:rPr>
          <w:sz w:val="36"/>
          <w:szCs w:val="36"/>
          <w:rtl/>
        </w:rPr>
        <w:t xml:space="preserve">ة </w:t>
      </w:r>
      <w:r w:rsidRPr="00FD211F">
        <w:rPr>
          <w:sz w:val="36"/>
          <w:szCs w:val="36"/>
          <w:rtl/>
        </w:rPr>
        <w:t>"ابوه عالم" في قولنا "زيد ابوه عالم" عليه فان زيدا ليس متحدا مع "ابوه عالم".</w:t>
      </w:r>
    </w:p>
    <w:p w14:paraId="39A20944" w14:textId="77777777" w:rsidR="00556BC0" w:rsidRPr="00FD211F" w:rsidRDefault="00556BC0" w:rsidP="009C58C8">
      <w:pPr>
        <w:ind w:left="0" w:firstLine="227"/>
        <w:jc w:val="both"/>
        <w:rPr>
          <w:sz w:val="36"/>
          <w:szCs w:val="36"/>
          <w:rtl/>
        </w:rPr>
      </w:pPr>
      <w:r w:rsidRPr="00FD211F">
        <w:rPr>
          <w:sz w:val="36"/>
          <w:szCs w:val="36"/>
          <w:rtl/>
        </w:rPr>
        <w:t>و</w:t>
      </w:r>
      <w:r w:rsidR="00F8519A" w:rsidRPr="00FD211F">
        <w:rPr>
          <w:sz w:val="36"/>
          <w:szCs w:val="36"/>
          <w:rtl/>
        </w:rPr>
        <w:t>حينئذ ف</w:t>
      </w:r>
      <w:r w:rsidRPr="00FD211F">
        <w:rPr>
          <w:sz w:val="36"/>
          <w:szCs w:val="36"/>
          <w:rtl/>
        </w:rPr>
        <w:t>قد يجاب عن هذا الاشكال بان المحمول في الجمل</w:t>
      </w:r>
      <w:r w:rsidR="00EC7EDF" w:rsidRPr="00FD211F">
        <w:rPr>
          <w:sz w:val="36"/>
          <w:szCs w:val="36"/>
          <w:rtl/>
        </w:rPr>
        <w:t xml:space="preserve">ة </w:t>
      </w:r>
      <w:r w:rsidRPr="00FD211F">
        <w:rPr>
          <w:sz w:val="36"/>
          <w:szCs w:val="36"/>
          <w:rtl/>
        </w:rPr>
        <w:t>الكبرى ليس هو الفعل او الجمل</w:t>
      </w:r>
      <w:r w:rsidR="00EC7EDF" w:rsidRPr="00FD211F">
        <w:rPr>
          <w:sz w:val="36"/>
          <w:szCs w:val="36"/>
          <w:rtl/>
        </w:rPr>
        <w:t xml:space="preserve">ة </w:t>
      </w:r>
      <w:r w:rsidRPr="00FD211F">
        <w:rPr>
          <w:sz w:val="36"/>
          <w:szCs w:val="36"/>
          <w:rtl/>
        </w:rPr>
        <w:t>الصغري</w:t>
      </w:r>
      <w:r w:rsidR="00603323" w:rsidRPr="00FD211F">
        <w:rPr>
          <w:sz w:val="36"/>
          <w:szCs w:val="36"/>
          <w:rtl/>
        </w:rPr>
        <w:t xml:space="preserve">، </w:t>
      </w:r>
      <w:r w:rsidR="00F8519A" w:rsidRPr="00FD211F">
        <w:rPr>
          <w:sz w:val="36"/>
          <w:szCs w:val="36"/>
          <w:rtl/>
        </w:rPr>
        <w:t xml:space="preserve">بل المحمول </w:t>
      </w:r>
      <w:r w:rsidRPr="00FD211F">
        <w:rPr>
          <w:sz w:val="36"/>
          <w:szCs w:val="36"/>
          <w:rtl/>
        </w:rPr>
        <w:t>هو معنى</w:t>
      </w:r>
      <w:r w:rsidR="00F8519A" w:rsidRPr="00FD211F">
        <w:rPr>
          <w:sz w:val="36"/>
          <w:szCs w:val="36"/>
          <w:rtl/>
        </w:rPr>
        <w:t>ً متحصل من الجمل</w:t>
      </w:r>
      <w:r w:rsidR="00EC7EDF" w:rsidRPr="00FD211F">
        <w:rPr>
          <w:sz w:val="36"/>
          <w:szCs w:val="36"/>
          <w:rtl/>
        </w:rPr>
        <w:t xml:space="preserve">ة </w:t>
      </w:r>
      <w:r w:rsidR="00F8519A" w:rsidRPr="00FD211F">
        <w:rPr>
          <w:sz w:val="36"/>
          <w:szCs w:val="36"/>
          <w:rtl/>
        </w:rPr>
        <w:t>الصغري حيث</w:t>
      </w:r>
      <w:r w:rsidR="00B253CE" w:rsidRPr="00FD211F">
        <w:rPr>
          <w:sz w:val="36"/>
          <w:szCs w:val="36"/>
          <w:rtl/>
        </w:rPr>
        <w:t xml:space="preserve"> </w:t>
      </w:r>
      <w:r w:rsidR="00F8519A" w:rsidRPr="00FD211F">
        <w:rPr>
          <w:sz w:val="36"/>
          <w:szCs w:val="36"/>
          <w:rtl/>
        </w:rPr>
        <w:t>ينتزع منها معنى مفرد</w:t>
      </w:r>
      <w:r w:rsidRPr="00FD211F">
        <w:rPr>
          <w:sz w:val="36"/>
          <w:szCs w:val="36"/>
          <w:rtl/>
        </w:rPr>
        <w:t xml:space="preserve"> يكون هو المحمول</w:t>
      </w:r>
      <w:r w:rsidR="00603323" w:rsidRPr="00FD211F">
        <w:rPr>
          <w:sz w:val="36"/>
          <w:szCs w:val="36"/>
          <w:rtl/>
        </w:rPr>
        <w:t xml:space="preserve">، </w:t>
      </w:r>
      <w:r w:rsidR="00F8519A" w:rsidRPr="00FD211F">
        <w:rPr>
          <w:sz w:val="36"/>
          <w:szCs w:val="36"/>
          <w:rtl/>
        </w:rPr>
        <w:t xml:space="preserve">فقولنا </w:t>
      </w:r>
      <w:r w:rsidRPr="00FD211F">
        <w:rPr>
          <w:sz w:val="36"/>
          <w:szCs w:val="36"/>
          <w:rtl/>
        </w:rPr>
        <w:t>"زيد ابوه عالم" يعني "زيد ذو اب عالم".</w:t>
      </w:r>
    </w:p>
    <w:p w14:paraId="184A402F" w14:textId="77777777" w:rsidR="00556BC0" w:rsidRPr="00FD211F" w:rsidRDefault="00556BC0" w:rsidP="009C58C8">
      <w:pPr>
        <w:ind w:left="0" w:firstLine="227"/>
        <w:jc w:val="both"/>
        <w:rPr>
          <w:sz w:val="36"/>
          <w:szCs w:val="36"/>
          <w:rtl/>
        </w:rPr>
      </w:pPr>
      <w:r w:rsidRPr="00FD211F">
        <w:rPr>
          <w:sz w:val="36"/>
          <w:szCs w:val="36"/>
          <w:rtl/>
        </w:rPr>
        <w:t>ولكن لاوجه لارتكاب هذا التأويل الذي يكون فيه عناي</w:t>
      </w:r>
      <w:r w:rsidR="00EC7EDF" w:rsidRPr="00FD211F">
        <w:rPr>
          <w:sz w:val="36"/>
          <w:szCs w:val="36"/>
          <w:rtl/>
        </w:rPr>
        <w:t xml:space="preserve">ة </w:t>
      </w:r>
      <w:r w:rsidRPr="00FD211F">
        <w:rPr>
          <w:sz w:val="36"/>
          <w:szCs w:val="36"/>
          <w:rtl/>
        </w:rPr>
        <w:t>ومؤون</w:t>
      </w:r>
      <w:r w:rsidR="00EC7EDF" w:rsidRPr="00FD211F">
        <w:rPr>
          <w:sz w:val="36"/>
          <w:szCs w:val="36"/>
          <w:rtl/>
        </w:rPr>
        <w:t xml:space="preserve">ة </w:t>
      </w:r>
      <w:r w:rsidRPr="00FD211F">
        <w:rPr>
          <w:sz w:val="36"/>
          <w:szCs w:val="36"/>
          <w:rtl/>
        </w:rPr>
        <w:t>زائد</w:t>
      </w:r>
      <w:r w:rsidR="00EC7EDF" w:rsidRPr="00FD211F">
        <w:rPr>
          <w:sz w:val="36"/>
          <w:szCs w:val="36"/>
          <w:rtl/>
        </w:rPr>
        <w:t xml:space="preserve">ة </w:t>
      </w:r>
      <w:r w:rsidRPr="00FD211F">
        <w:rPr>
          <w:sz w:val="36"/>
          <w:szCs w:val="36"/>
          <w:rtl/>
        </w:rPr>
        <w:t>على خلاف طبع هذه الجمل</w:t>
      </w:r>
      <w:r w:rsidR="00EC7EDF" w:rsidRPr="00FD211F">
        <w:rPr>
          <w:sz w:val="36"/>
          <w:szCs w:val="36"/>
          <w:rtl/>
        </w:rPr>
        <w:t xml:space="preserve">ة </w:t>
      </w:r>
      <w:r w:rsidRPr="00FD211F">
        <w:rPr>
          <w:sz w:val="36"/>
          <w:szCs w:val="36"/>
          <w:rtl/>
        </w:rPr>
        <w:t>(على انه يشكل هذا التأويل في مثل قولنا</w:t>
      </w:r>
      <w:r w:rsidR="006C31B3" w:rsidRPr="00FD211F">
        <w:rPr>
          <w:sz w:val="36"/>
          <w:szCs w:val="36"/>
          <w:rtl/>
        </w:rPr>
        <w:t>"</w:t>
      </w:r>
      <w:r w:rsidRPr="00FD211F">
        <w:rPr>
          <w:sz w:val="36"/>
          <w:szCs w:val="36"/>
          <w:rtl/>
        </w:rPr>
        <w:t xml:space="preserve"> زيد ضرب هو</w:t>
      </w:r>
      <w:r w:rsidR="006C31B3" w:rsidRPr="00FD211F">
        <w:rPr>
          <w:sz w:val="36"/>
          <w:szCs w:val="36"/>
          <w:rtl/>
        </w:rPr>
        <w:t>"</w:t>
      </w:r>
      <w:r w:rsidRPr="00FD211F">
        <w:rPr>
          <w:sz w:val="36"/>
          <w:szCs w:val="36"/>
          <w:rtl/>
        </w:rPr>
        <w:t>).</w:t>
      </w:r>
    </w:p>
    <w:p w14:paraId="738D13AD" w14:textId="77777777" w:rsidR="00556BC0" w:rsidRPr="00FD211F" w:rsidRDefault="00556BC0" w:rsidP="009C58C8">
      <w:pPr>
        <w:ind w:left="0" w:firstLine="227"/>
        <w:jc w:val="both"/>
        <w:rPr>
          <w:sz w:val="36"/>
          <w:szCs w:val="36"/>
          <w:rtl/>
        </w:rPr>
      </w:pPr>
      <w:r w:rsidRPr="00FD211F">
        <w:rPr>
          <w:sz w:val="36"/>
          <w:szCs w:val="36"/>
          <w:rtl/>
        </w:rPr>
        <w:t>والصحيح ان يقال ان المراد من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ليست خصوص اتحاد مفهومين في مصداق واحد خارجا</w:t>
      </w:r>
      <w:r w:rsidR="00603323" w:rsidRPr="00FD211F">
        <w:rPr>
          <w:sz w:val="36"/>
          <w:szCs w:val="36"/>
          <w:rtl/>
        </w:rPr>
        <w:t xml:space="preserve">، </w:t>
      </w:r>
      <w:r w:rsidRPr="00FD211F">
        <w:rPr>
          <w:sz w:val="36"/>
          <w:szCs w:val="36"/>
          <w:rtl/>
        </w:rPr>
        <w:t>بل يكفي فيها انه كلما لوحظ الموضوع وجد المحمول صادقا في حقه تصورا</w:t>
      </w:r>
      <w:r w:rsidR="00603323" w:rsidRPr="00FD211F">
        <w:rPr>
          <w:sz w:val="36"/>
          <w:szCs w:val="36"/>
          <w:rtl/>
        </w:rPr>
        <w:t xml:space="preserve">، </w:t>
      </w:r>
      <w:r w:rsidRPr="00FD211F">
        <w:rPr>
          <w:sz w:val="36"/>
          <w:szCs w:val="36"/>
          <w:rtl/>
        </w:rPr>
        <w:t>ومن الواضح ان مفهوم "زيد ضرب" او "ابوه عالم" صادق في حق زيد</w:t>
      </w:r>
      <w:r w:rsidR="009C58C8" w:rsidRPr="00FD211F">
        <w:rPr>
          <w:rStyle w:val="a6"/>
          <w:sz w:val="36"/>
          <w:szCs w:val="36"/>
          <w:rtl/>
        </w:rPr>
        <w:t>(</w:t>
      </w:r>
      <w:r w:rsidR="009C58C8" w:rsidRPr="00FD211F">
        <w:rPr>
          <w:rStyle w:val="a6"/>
          <w:sz w:val="36"/>
          <w:szCs w:val="36"/>
          <w:rtl/>
        </w:rPr>
        <w:footnoteReference w:id="200"/>
      </w:r>
      <w:r w:rsidR="009C58C8" w:rsidRPr="00FD211F">
        <w:rPr>
          <w:rStyle w:val="a6"/>
          <w:sz w:val="36"/>
          <w:szCs w:val="36"/>
          <w:rtl/>
        </w:rPr>
        <w:t>)</w:t>
      </w:r>
      <w:r w:rsidRPr="00FD211F">
        <w:rPr>
          <w:sz w:val="36"/>
          <w:szCs w:val="36"/>
          <w:rtl/>
        </w:rPr>
        <w:t>.</w:t>
      </w:r>
    </w:p>
    <w:p w14:paraId="0638D46E" w14:textId="77777777" w:rsidR="00556BC0" w:rsidRPr="00FD211F" w:rsidRDefault="006C31B3" w:rsidP="009C58C8">
      <w:pPr>
        <w:ind w:left="0" w:firstLine="227"/>
        <w:jc w:val="both"/>
        <w:rPr>
          <w:sz w:val="36"/>
          <w:szCs w:val="36"/>
          <w:rtl/>
        </w:rPr>
      </w:pPr>
      <w:r w:rsidRPr="00FD211F">
        <w:rPr>
          <w:sz w:val="36"/>
          <w:szCs w:val="36"/>
          <w:rtl/>
        </w:rPr>
        <w:t>اقول: أما ما ذكره</w:t>
      </w:r>
      <w:r w:rsidR="00B253CE" w:rsidRPr="00FD211F">
        <w:rPr>
          <w:sz w:val="36"/>
          <w:szCs w:val="36"/>
          <w:rtl/>
        </w:rPr>
        <w:t xml:space="preserve"> </w:t>
      </w:r>
      <w:r w:rsidR="00556BC0" w:rsidRPr="00FD211F">
        <w:rPr>
          <w:sz w:val="36"/>
          <w:szCs w:val="36"/>
          <w:rtl/>
        </w:rPr>
        <w:t>من كون مدلول 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 xml:space="preserve">ة </w:t>
      </w:r>
      <w:r w:rsidR="00556BC0" w:rsidRPr="00FD211F">
        <w:rPr>
          <w:sz w:val="36"/>
          <w:szCs w:val="36"/>
          <w:rtl/>
        </w:rPr>
        <w:t>الفعلي</w:t>
      </w:r>
      <w:r w:rsidR="00EC7EDF" w:rsidRPr="00FD211F">
        <w:rPr>
          <w:sz w:val="36"/>
          <w:szCs w:val="36"/>
          <w:rtl/>
        </w:rPr>
        <w:t xml:space="preserve">ة </w:t>
      </w:r>
      <w:r w:rsidR="00556BC0" w:rsidRPr="00FD211F">
        <w:rPr>
          <w:sz w:val="36"/>
          <w:szCs w:val="36"/>
          <w:rtl/>
        </w:rPr>
        <w:t>هي النسب</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 xml:space="preserve">ة </w:t>
      </w:r>
      <w:r w:rsidR="00556BC0" w:rsidRPr="00FD211F">
        <w:rPr>
          <w:sz w:val="36"/>
          <w:szCs w:val="36"/>
          <w:rtl/>
        </w:rPr>
        <w:t>بنحو وحد</w:t>
      </w:r>
      <w:r w:rsidR="00EC7EDF" w:rsidRPr="00FD211F">
        <w:rPr>
          <w:sz w:val="36"/>
          <w:szCs w:val="36"/>
          <w:rtl/>
        </w:rPr>
        <w:t xml:space="preserve">ة </w:t>
      </w:r>
      <w:r w:rsidR="00556BC0" w:rsidRPr="00FD211F">
        <w:rPr>
          <w:sz w:val="36"/>
          <w:szCs w:val="36"/>
          <w:rtl/>
        </w:rPr>
        <w:t>الحادث</w:t>
      </w:r>
      <w:r w:rsidR="00EC7EDF" w:rsidRPr="00FD211F">
        <w:rPr>
          <w:sz w:val="36"/>
          <w:szCs w:val="36"/>
          <w:rtl/>
        </w:rPr>
        <w:t>ة</w:t>
      </w:r>
      <w:r w:rsidR="00603323" w:rsidRPr="00FD211F">
        <w:rPr>
          <w:sz w:val="36"/>
          <w:szCs w:val="36"/>
          <w:rtl/>
        </w:rPr>
        <w:t xml:space="preserve">، </w:t>
      </w:r>
      <w:r w:rsidR="00556BC0" w:rsidRPr="00FD211F">
        <w:rPr>
          <w:sz w:val="36"/>
          <w:szCs w:val="36"/>
          <w:rtl/>
        </w:rPr>
        <w:t>فانما نشأ من نظرته في عدم وضع هيئ</w:t>
      </w:r>
      <w:r w:rsidR="00EC7EDF" w:rsidRPr="00FD211F">
        <w:rPr>
          <w:sz w:val="36"/>
          <w:szCs w:val="36"/>
          <w:rtl/>
        </w:rPr>
        <w:t xml:space="preserve">ة </w:t>
      </w:r>
      <w:r w:rsidR="00556BC0" w:rsidRPr="00FD211F">
        <w:rPr>
          <w:sz w:val="36"/>
          <w:szCs w:val="36"/>
          <w:rtl/>
        </w:rPr>
        <w:t>الجمل</w:t>
      </w:r>
      <w:r w:rsidR="00EC7EDF" w:rsidRPr="00FD211F">
        <w:rPr>
          <w:sz w:val="36"/>
          <w:szCs w:val="36"/>
          <w:rtl/>
        </w:rPr>
        <w:t xml:space="preserve">ة </w:t>
      </w:r>
      <w:r w:rsidR="00556BC0" w:rsidRPr="00FD211F">
        <w:rPr>
          <w:sz w:val="36"/>
          <w:szCs w:val="36"/>
          <w:rtl/>
        </w:rPr>
        <w:t>الفعلي</w:t>
      </w:r>
      <w:r w:rsidR="00EC7EDF" w:rsidRPr="00FD211F">
        <w:rPr>
          <w:sz w:val="36"/>
          <w:szCs w:val="36"/>
          <w:rtl/>
        </w:rPr>
        <w:t xml:space="preserve">ة </w:t>
      </w:r>
      <w:r w:rsidR="00556BC0" w:rsidRPr="00FD211F">
        <w:rPr>
          <w:sz w:val="36"/>
          <w:szCs w:val="36"/>
          <w:rtl/>
        </w:rPr>
        <w:t>على نس</w:t>
      </w:r>
      <w:r w:rsidR="00CB6A07" w:rsidRPr="00FD211F">
        <w:rPr>
          <w:sz w:val="36"/>
          <w:szCs w:val="36"/>
          <w:rtl/>
        </w:rPr>
        <w:t>ب</w:t>
      </w:r>
      <w:r w:rsidR="00EC7EDF" w:rsidRPr="00FD211F">
        <w:rPr>
          <w:sz w:val="36"/>
          <w:szCs w:val="36"/>
          <w:rtl/>
        </w:rPr>
        <w:t xml:space="preserve">ة </w:t>
      </w:r>
      <w:r w:rsidR="00CB6A07" w:rsidRPr="00FD211F">
        <w:rPr>
          <w:sz w:val="36"/>
          <w:szCs w:val="36"/>
          <w:rtl/>
        </w:rPr>
        <w:t>تام</w:t>
      </w:r>
      <w:r w:rsidR="00EC7EDF" w:rsidRPr="00FD211F">
        <w:rPr>
          <w:sz w:val="36"/>
          <w:szCs w:val="36"/>
          <w:rtl/>
        </w:rPr>
        <w:t xml:space="preserve">ة </w:t>
      </w:r>
      <w:r w:rsidR="00CB6A07" w:rsidRPr="00FD211F">
        <w:rPr>
          <w:sz w:val="36"/>
          <w:szCs w:val="36"/>
          <w:rtl/>
        </w:rPr>
        <w:t>صدوري</w:t>
      </w:r>
      <w:r w:rsidR="00EC7EDF" w:rsidRPr="00FD211F">
        <w:rPr>
          <w:sz w:val="36"/>
          <w:szCs w:val="36"/>
          <w:rtl/>
        </w:rPr>
        <w:t xml:space="preserve">ة </w:t>
      </w:r>
      <w:r w:rsidR="00CB6A07" w:rsidRPr="00FD211F">
        <w:rPr>
          <w:sz w:val="36"/>
          <w:szCs w:val="36"/>
          <w:rtl/>
        </w:rPr>
        <w:t>بين الفعل وفاعله</w:t>
      </w:r>
      <w:r w:rsidR="00556BC0" w:rsidRPr="00FD211F">
        <w:rPr>
          <w:sz w:val="36"/>
          <w:szCs w:val="36"/>
          <w:rtl/>
        </w:rPr>
        <w:t xml:space="preserve"> بان يكون مفادها الحكم بصدوره منه خارجا</w:t>
      </w:r>
      <w:r w:rsidR="00603323" w:rsidRPr="00FD211F">
        <w:rPr>
          <w:sz w:val="36"/>
          <w:szCs w:val="36"/>
          <w:rtl/>
        </w:rPr>
        <w:t xml:space="preserve">، </w:t>
      </w:r>
      <w:r w:rsidR="00556BC0" w:rsidRPr="00FD211F">
        <w:rPr>
          <w:sz w:val="36"/>
          <w:szCs w:val="36"/>
          <w:rtl/>
        </w:rPr>
        <w:t>وسيأتي الكلام فيه عند البحث عن معنى هيئ</w:t>
      </w:r>
      <w:r w:rsidR="00EC7EDF" w:rsidRPr="00FD211F">
        <w:rPr>
          <w:sz w:val="36"/>
          <w:szCs w:val="36"/>
          <w:rtl/>
        </w:rPr>
        <w:t xml:space="preserve">ة </w:t>
      </w:r>
      <w:r w:rsidR="00556BC0" w:rsidRPr="00FD211F">
        <w:rPr>
          <w:sz w:val="36"/>
          <w:szCs w:val="36"/>
          <w:rtl/>
        </w:rPr>
        <w:t>الفعل.</w:t>
      </w:r>
    </w:p>
    <w:p w14:paraId="4D3A27BF" w14:textId="77777777" w:rsidR="00556BC0" w:rsidRPr="00FD211F" w:rsidRDefault="00556BC0" w:rsidP="009C58C8">
      <w:pPr>
        <w:ind w:left="0" w:firstLine="227"/>
        <w:jc w:val="both"/>
        <w:rPr>
          <w:sz w:val="36"/>
          <w:szCs w:val="36"/>
          <w:rtl/>
        </w:rPr>
      </w:pPr>
      <w:r w:rsidRPr="00FD211F">
        <w:rPr>
          <w:sz w:val="36"/>
          <w:szCs w:val="36"/>
          <w:rtl/>
        </w:rPr>
        <w:t>وأما ما أفاده حول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المزدوج</w:t>
      </w:r>
      <w:r w:rsidR="00EC7EDF" w:rsidRPr="00FD211F">
        <w:rPr>
          <w:sz w:val="36"/>
          <w:szCs w:val="36"/>
          <w:rtl/>
        </w:rPr>
        <w:t xml:space="preserve">ة </w:t>
      </w:r>
      <w:r w:rsidRPr="00FD211F">
        <w:rPr>
          <w:sz w:val="36"/>
          <w:szCs w:val="36"/>
          <w:rtl/>
        </w:rPr>
        <w:t>فالظاهر تمامي</w:t>
      </w:r>
      <w:r w:rsidR="00EC7EDF" w:rsidRPr="00FD211F">
        <w:rPr>
          <w:sz w:val="36"/>
          <w:szCs w:val="36"/>
          <w:rtl/>
        </w:rPr>
        <w:t xml:space="preserve">ة </w:t>
      </w:r>
      <w:r w:rsidRPr="00FD211F">
        <w:rPr>
          <w:sz w:val="36"/>
          <w:szCs w:val="36"/>
          <w:rtl/>
        </w:rPr>
        <w:t>ما نقله عن بعض الباحثين من عدم فارق معنوي بينها وبين الجمل</w:t>
      </w:r>
      <w:r w:rsidR="00EC7EDF" w:rsidRPr="00FD211F">
        <w:rPr>
          <w:sz w:val="36"/>
          <w:szCs w:val="36"/>
          <w:rtl/>
        </w:rPr>
        <w:t xml:space="preserve">ة </w:t>
      </w:r>
      <w:r w:rsidRPr="00FD211F">
        <w:rPr>
          <w:sz w:val="36"/>
          <w:szCs w:val="36"/>
          <w:rtl/>
        </w:rPr>
        <w:t>الفعلي</w:t>
      </w:r>
      <w:r w:rsidR="00EC7EDF" w:rsidRPr="00FD211F">
        <w:rPr>
          <w:sz w:val="36"/>
          <w:szCs w:val="36"/>
          <w:rtl/>
        </w:rPr>
        <w:t>ة</w:t>
      </w:r>
      <w:r w:rsidR="00603323" w:rsidRPr="00FD211F">
        <w:rPr>
          <w:sz w:val="36"/>
          <w:szCs w:val="36"/>
          <w:rtl/>
        </w:rPr>
        <w:t xml:space="preserve">، </w:t>
      </w:r>
      <w:r w:rsidRPr="00FD211F">
        <w:rPr>
          <w:sz w:val="36"/>
          <w:szCs w:val="36"/>
          <w:rtl/>
        </w:rPr>
        <w:t>وما ذكره من الفوارق فهي نكات تعبدي</w:t>
      </w:r>
      <w:r w:rsidR="00EC7EDF" w:rsidRPr="00FD211F">
        <w:rPr>
          <w:sz w:val="36"/>
          <w:szCs w:val="36"/>
          <w:rtl/>
        </w:rPr>
        <w:t xml:space="preserve">ة </w:t>
      </w:r>
      <w:r w:rsidRPr="00FD211F">
        <w:rPr>
          <w:sz w:val="36"/>
          <w:szCs w:val="36"/>
          <w:rtl/>
        </w:rPr>
        <w:t>في وضع اللغ</w:t>
      </w:r>
      <w:r w:rsidR="00EC7EDF" w:rsidRPr="00FD211F">
        <w:rPr>
          <w:sz w:val="36"/>
          <w:szCs w:val="36"/>
          <w:rtl/>
        </w:rPr>
        <w:t xml:space="preserve">ة </w:t>
      </w:r>
      <w:r w:rsidRPr="00FD211F">
        <w:rPr>
          <w:sz w:val="36"/>
          <w:szCs w:val="36"/>
          <w:rtl/>
        </w:rPr>
        <w:t>العربي</w:t>
      </w:r>
      <w:r w:rsidR="00EC7EDF" w:rsidRPr="00FD211F">
        <w:rPr>
          <w:sz w:val="36"/>
          <w:szCs w:val="36"/>
          <w:rtl/>
        </w:rPr>
        <w:t>ة</w:t>
      </w:r>
      <w:r w:rsidR="00603323" w:rsidRPr="00FD211F">
        <w:rPr>
          <w:sz w:val="36"/>
          <w:szCs w:val="36"/>
          <w:rtl/>
        </w:rPr>
        <w:t xml:space="preserve">، </w:t>
      </w:r>
      <w:r w:rsidRPr="00FD211F">
        <w:rPr>
          <w:sz w:val="36"/>
          <w:szCs w:val="36"/>
          <w:rtl/>
        </w:rPr>
        <w:t>والشاهد عليه انه لاتوجد هذه الفوارق في اللغ</w:t>
      </w:r>
      <w:r w:rsidR="00EC7EDF" w:rsidRPr="00FD211F">
        <w:rPr>
          <w:sz w:val="36"/>
          <w:szCs w:val="36"/>
          <w:rtl/>
        </w:rPr>
        <w:t xml:space="preserve">ة </w:t>
      </w:r>
      <w:r w:rsidRPr="00FD211F">
        <w:rPr>
          <w:sz w:val="36"/>
          <w:szCs w:val="36"/>
          <w:rtl/>
        </w:rPr>
        <w:t>الفارسي</w:t>
      </w:r>
      <w:r w:rsidR="00EC7EDF" w:rsidRPr="00FD211F">
        <w:rPr>
          <w:sz w:val="36"/>
          <w:szCs w:val="36"/>
          <w:rtl/>
        </w:rPr>
        <w:t xml:space="preserve">ة </w:t>
      </w:r>
      <w:r w:rsidR="00F46024" w:rsidRPr="00FD211F">
        <w:rPr>
          <w:sz w:val="36"/>
          <w:szCs w:val="36"/>
          <w:rtl/>
        </w:rPr>
        <w:t>ونحوها</w:t>
      </w:r>
      <w:r w:rsidR="00603323" w:rsidRPr="00FD211F">
        <w:rPr>
          <w:sz w:val="36"/>
          <w:szCs w:val="36"/>
          <w:rtl/>
        </w:rPr>
        <w:t xml:space="preserve">، </w:t>
      </w:r>
      <w:r w:rsidRPr="00FD211F">
        <w:rPr>
          <w:sz w:val="36"/>
          <w:szCs w:val="36"/>
          <w:rtl/>
        </w:rPr>
        <w:t>فيقال: "مردها رفتند" كما يقال "رفتند مردها" ولايقال "رفت مردها"</w:t>
      </w:r>
      <w:r w:rsidR="00603323" w:rsidRPr="00FD211F">
        <w:rPr>
          <w:sz w:val="36"/>
          <w:szCs w:val="36"/>
          <w:rtl/>
        </w:rPr>
        <w:t xml:space="preserve">، </w:t>
      </w:r>
      <w:r w:rsidRPr="00FD211F">
        <w:rPr>
          <w:sz w:val="36"/>
          <w:szCs w:val="36"/>
          <w:rtl/>
        </w:rPr>
        <w:t>وكذا يقال "مردى آمد" كما يقال "آمد مردى" فل</w:t>
      </w:r>
      <w:r w:rsidR="009977FE" w:rsidRPr="00FD211F">
        <w:rPr>
          <w:sz w:val="36"/>
          <w:szCs w:val="36"/>
          <w:rtl/>
        </w:rPr>
        <w:t>و</w:t>
      </w:r>
      <w:r w:rsidR="008D7B3D" w:rsidRPr="00FD211F">
        <w:rPr>
          <w:sz w:val="36"/>
          <w:szCs w:val="36"/>
          <w:rtl/>
        </w:rPr>
        <w:t xml:space="preserve"> لم‌</w:t>
      </w:r>
      <w:r w:rsidRPr="00FD211F">
        <w:rPr>
          <w:sz w:val="36"/>
          <w:szCs w:val="36"/>
          <w:rtl/>
        </w:rPr>
        <w:t>تكن هذه الفوارق مجرد فوارق تعبدي</w:t>
      </w:r>
      <w:r w:rsidR="00EC7EDF" w:rsidRPr="00FD211F">
        <w:rPr>
          <w:sz w:val="36"/>
          <w:szCs w:val="36"/>
          <w:rtl/>
        </w:rPr>
        <w:t xml:space="preserve">ة </w:t>
      </w:r>
      <w:r w:rsidRPr="00FD211F">
        <w:rPr>
          <w:sz w:val="36"/>
          <w:szCs w:val="36"/>
          <w:rtl/>
        </w:rPr>
        <w:t>بحت</w:t>
      </w:r>
      <w:r w:rsidR="00EC7EDF" w:rsidRPr="00FD211F">
        <w:rPr>
          <w:sz w:val="36"/>
          <w:szCs w:val="36"/>
          <w:rtl/>
        </w:rPr>
        <w:t xml:space="preserve">ة </w:t>
      </w:r>
      <w:r w:rsidRPr="00FD211F">
        <w:rPr>
          <w:sz w:val="36"/>
          <w:szCs w:val="36"/>
          <w:rtl/>
        </w:rPr>
        <w:t>بل فوارق معنوي</w:t>
      </w:r>
      <w:r w:rsidR="00EC7EDF" w:rsidRPr="00FD211F">
        <w:rPr>
          <w:sz w:val="36"/>
          <w:szCs w:val="36"/>
          <w:rtl/>
        </w:rPr>
        <w:t xml:space="preserve">ة </w:t>
      </w:r>
      <w:r w:rsidRPr="00FD211F">
        <w:rPr>
          <w:sz w:val="36"/>
          <w:szCs w:val="36"/>
          <w:rtl/>
        </w:rPr>
        <w:t xml:space="preserve">لما اختلفت </w:t>
      </w:r>
      <w:r w:rsidR="00CB6A07" w:rsidRPr="00FD211F">
        <w:rPr>
          <w:sz w:val="36"/>
          <w:szCs w:val="36"/>
          <w:rtl/>
        </w:rPr>
        <w:t>ال</w:t>
      </w:r>
      <w:r w:rsidRPr="00FD211F">
        <w:rPr>
          <w:sz w:val="36"/>
          <w:szCs w:val="36"/>
          <w:rtl/>
        </w:rPr>
        <w:t>لغ</w:t>
      </w:r>
      <w:r w:rsidR="00CB6A07" w:rsidRPr="00FD211F">
        <w:rPr>
          <w:sz w:val="36"/>
          <w:szCs w:val="36"/>
          <w:rtl/>
        </w:rPr>
        <w:t>ات</w:t>
      </w:r>
      <w:r w:rsidRPr="00FD211F">
        <w:rPr>
          <w:sz w:val="36"/>
          <w:szCs w:val="36"/>
          <w:rtl/>
        </w:rPr>
        <w:t xml:space="preserve"> عاد</w:t>
      </w:r>
      <w:r w:rsidR="00EC7EDF" w:rsidRPr="00FD211F">
        <w:rPr>
          <w:sz w:val="36"/>
          <w:szCs w:val="36"/>
          <w:rtl/>
        </w:rPr>
        <w:t>ة</w:t>
      </w:r>
      <w:r w:rsidR="00A61BAE" w:rsidRPr="00FD211F">
        <w:rPr>
          <w:sz w:val="36"/>
          <w:szCs w:val="36"/>
          <w:rtl/>
        </w:rPr>
        <w:t>.</w:t>
      </w:r>
    </w:p>
    <w:p w14:paraId="4B13B589" w14:textId="77777777" w:rsidR="00556BC0" w:rsidRPr="00FD211F" w:rsidRDefault="00F46024" w:rsidP="009C58C8">
      <w:pPr>
        <w:ind w:left="0" w:firstLine="227"/>
        <w:jc w:val="both"/>
        <w:rPr>
          <w:sz w:val="36"/>
          <w:szCs w:val="36"/>
          <w:rtl/>
        </w:rPr>
      </w:pPr>
      <w:r w:rsidRPr="00FD211F">
        <w:rPr>
          <w:sz w:val="36"/>
          <w:szCs w:val="36"/>
          <w:rtl/>
        </w:rPr>
        <w:t>ثم انه كان ينبغي له</w:t>
      </w:r>
      <w:r w:rsidR="00556BC0" w:rsidRPr="00FD211F">
        <w:rPr>
          <w:sz w:val="36"/>
          <w:szCs w:val="36"/>
          <w:rtl/>
        </w:rPr>
        <w:t xml:space="preserve"> ان يف</w:t>
      </w:r>
      <w:r w:rsidR="00425F25" w:rsidRPr="00FD211F">
        <w:rPr>
          <w:sz w:val="36"/>
          <w:szCs w:val="36"/>
          <w:rtl/>
        </w:rPr>
        <w:t>سر مدلول الجمل</w:t>
      </w:r>
      <w:r w:rsidR="00EC7EDF" w:rsidRPr="00FD211F">
        <w:rPr>
          <w:sz w:val="36"/>
          <w:szCs w:val="36"/>
          <w:rtl/>
        </w:rPr>
        <w:t xml:space="preserve">ة </w:t>
      </w:r>
      <w:r w:rsidR="00425F25" w:rsidRPr="00FD211F">
        <w:rPr>
          <w:sz w:val="36"/>
          <w:szCs w:val="36"/>
          <w:rtl/>
        </w:rPr>
        <w:t>الخبري</w:t>
      </w:r>
      <w:r w:rsidR="00EC7EDF" w:rsidRPr="00FD211F">
        <w:rPr>
          <w:sz w:val="36"/>
          <w:szCs w:val="36"/>
          <w:rtl/>
        </w:rPr>
        <w:t xml:space="preserve">ة </w:t>
      </w:r>
      <w:r w:rsidR="00425F25" w:rsidRPr="00FD211F">
        <w:rPr>
          <w:sz w:val="36"/>
          <w:szCs w:val="36"/>
          <w:rtl/>
        </w:rPr>
        <w:t>النافي</w:t>
      </w:r>
      <w:r w:rsidR="00EC7EDF" w:rsidRPr="00FD211F">
        <w:rPr>
          <w:sz w:val="36"/>
          <w:szCs w:val="36"/>
          <w:rtl/>
        </w:rPr>
        <w:t xml:space="preserve">ة </w:t>
      </w:r>
      <w:r w:rsidR="00425F25" w:rsidRPr="00FD211F">
        <w:rPr>
          <w:sz w:val="36"/>
          <w:szCs w:val="36"/>
          <w:rtl/>
        </w:rPr>
        <w:t>حيث</w:t>
      </w:r>
      <w:r w:rsidR="00556BC0" w:rsidRPr="00FD211F">
        <w:rPr>
          <w:sz w:val="36"/>
          <w:szCs w:val="36"/>
          <w:rtl/>
        </w:rPr>
        <w:t xml:space="preserve"> انه يدعي عروض النفي فيها على واقع النسب</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01"/>
      </w:r>
      <w:r w:rsidR="009C58C8" w:rsidRPr="00FD211F">
        <w:rPr>
          <w:rStyle w:val="a6"/>
          <w:sz w:val="36"/>
          <w:szCs w:val="36"/>
          <w:rtl/>
        </w:rPr>
        <w:t>)</w:t>
      </w:r>
      <w:r w:rsidR="00603323" w:rsidRPr="00FD211F">
        <w:rPr>
          <w:sz w:val="36"/>
          <w:szCs w:val="36"/>
          <w:rtl/>
        </w:rPr>
        <w:t xml:space="preserve">، </w:t>
      </w:r>
      <w:r w:rsidR="00556BC0" w:rsidRPr="00FD211F">
        <w:rPr>
          <w:sz w:val="36"/>
          <w:szCs w:val="36"/>
          <w:rtl/>
        </w:rPr>
        <w:t>ومن الواضح انه ليس مراده المفهوم الاسمي للنفي وانما هو واقع النفي</w:t>
      </w:r>
      <w:r w:rsidR="00603323" w:rsidRPr="00FD211F">
        <w:rPr>
          <w:sz w:val="36"/>
          <w:szCs w:val="36"/>
          <w:rtl/>
        </w:rPr>
        <w:t xml:space="preserve">، </w:t>
      </w:r>
      <w:r w:rsidR="00556BC0" w:rsidRPr="00FD211F">
        <w:rPr>
          <w:sz w:val="36"/>
          <w:szCs w:val="36"/>
          <w:rtl/>
        </w:rPr>
        <w:t>وحيث انه ليس له الا طرف واحد وهو واقع النسب</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 xml:space="preserve">ة </w:t>
      </w:r>
      <w:r w:rsidR="00556BC0" w:rsidRPr="00FD211F">
        <w:rPr>
          <w:sz w:val="36"/>
          <w:szCs w:val="36"/>
          <w:rtl/>
        </w:rPr>
        <w:t>فلايمكن الالتزام بكونه نسب</w:t>
      </w:r>
      <w:r w:rsidR="00EC7EDF" w:rsidRPr="00FD211F">
        <w:rPr>
          <w:sz w:val="36"/>
          <w:szCs w:val="36"/>
          <w:rtl/>
        </w:rPr>
        <w:t>ة</w:t>
      </w:r>
      <w:r w:rsidR="00603323" w:rsidRPr="00FD211F">
        <w:rPr>
          <w:sz w:val="36"/>
          <w:szCs w:val="36"/>
          <w:rtl/>
        </w:rPr>
        <w:t xml:space="preserve">، </w:t>
      </w:r>
      <w:r w:rsidR="00556BC0" w:rsidRPr="00FD211F">
        <w:rPr>
          <w:sz w:val="36"/>
          <w:szCs w:val="36"/>
          <w:rtl/>
        </w:rPr>
        <w:t>فلابد ان يلتزم بكونه خصوصي</w:t>
      </w:r>
      <w:r w:rsidR="00EC7EDF" w:rsidRPr="00FD211F">
        <w:rPr>
          <w:sz w:val="36"/>
          <w:szCs w:val="36"/>
          <w:rtl/>
        </w:rPr>
        <w:t xml:space="preserve">ة </w:t>
      </w:r>
      <w:r w:rsidR="00556BC0" w:rsidRPr="00FD211F">
        <w:rPr>
          <w:sz w:val="36"/>
          <w:szCs w:val="36"/>
          <w:rtl/>
        </w:rPr>
        <w:t>ذهني</w:t>
      </w:r>
      <w:r w:rsidR="00EC7EDF" w:rsidRPr="00FD211F">
        <w:rPr>
          <w:sz w:val="36"/>
          <w:szCs w:val="36"/>
          <w:rtl/>
        </w:rPr>
        <w:t xml:space="preserve">ة </w:t>
      </w:r>
      <w:r w:rsidR="00556BC0" w:rsidRPr="00FD211F">
        <w:rPr>
          <w:sz w:val="36"/>
          <w:szCs w:val="36"/>
          <w:rtl/>
        </w:rPr>
        <w:t>تعرض على واقع النسب</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ة</w:t>
      </w:r>
      <w:r w:rsidR="00603323" w:rsidRPr="00FD211F">
        <w:rPr>
          <w:sz w:val="36"/>
          <w:szCs w:val="36"/>
          <w:rtl/>
        </w:rPr>
        <w:t xml:space="preserve">، </w:t>
      </w:r>
      <w:r w:rsidR="00556BC0" w:rsidRPr="00FD211F">
        <w:rPr>
          <w:sz w:val="36"/>
          <w:szCs w:val="36"/>
          <w:rtl/>
        </w:rPr>
        <w:t>وحيث ان الملحوظ تصورا هو الخارج فيكون نفي واقع النسب</w:t>
      </w:r>
      <w:r w:rsidR="00EC7EDF" w:rsidRPr="00FD211F">
        <w:rPr>
          <w:sz w:val="36"/>
          <w:szCs w:val="36"/>
          <w:rtl/>
        </w:rPr>
        <w:t xml:space="preserve">ة </w:t>
      </w:r>
      <w:r w:rsidR="00556BC0" w:rsidRPr="00FD211F">
        <w:rPr>
          <w:sz w:val="36"/>
          <w:szCs w:val="36"/>
          <w:rtl/>
        </w:rPr>
        <w:t>الذهني</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 xml:space="preserve">ة </w:t>
      </w:r>
      <w:r w:rsidR="00556BC0" w:rsidRPr="00FD211F">
        <w:rPr>
          <w:sz w:val="36"/>
          <w:szCs w:val="36"/>
          <w:rtl/>
        </w:rPr>
        <w:t>دالا تصورا على نفي الاتحاد بين الموضوع والمحمول خارجا</w:t>
      </w:r>
      <w:r w:rsidR="00603323" w:rsidRPr="00FD211F">
        <w:rPr>
          <w:sz w:val="36"/>
          <w:szCs w:val="36"/>
          <w:rtl/>
        </w:rPr>
        <w:t xml:space="preserve">، </w:t>
      </w:r>
      <w:r w:rsidR="00556BC0" w:rsidRPr="00FD211F">
        <w:rPr>
          <w:sz w:val="36"/>
          <w:szCs w:val="36"/>
          <w:rtl/>
        </w:rPr>
        <w:t>فيختلف عن موارد انتفاء واقع النسب</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 xml:space="preserve">ة </w:t>
      </w:r>
      <w:r w:rsidR="00556BC0" w:rsidRPr="00FD211F">
        <w:rPr>
          <w:sz w:val="36"/>
          <w:szCs w:val="36"/>
          <w:rtl/>
        </w:rPr>
        <w:t>كما لو فرض تصور ذات الموضوع والمحمول بلاايقاع نسب</w:t>
      </w:r>
      <w:r w:rsidR="00EC7EDF" w:rsidRPr="00FD211F">
        <w:rPr>
          <w:sz w:val="36"/>
          <w:szCs w:val="36"/>
          <w:rtl/>
        </w:rPr>
        <w:t xml:space="preserve">ة </w:t>
      </w:r>
      <w:r w:rsidR="00556BC0" w:rsidRPr="00FD211F">
        <w:rPr>
          <w:sz w:val="36"/>
          <w:szCs w:val="36"/>
          <w:rtl/>
        </w:rPr>
        <w:t>تصادقي</w:t>
      </w:r>
      <w:r w:rsidR="00EC7EDF" w:rsidRPr="00FD211F">
        <w:rPr>
          <w:sz w:val="36"/>
          <w:szCs w:val="36"/>
          <w:rtl/>
        </w:rPr>
        <w:t xml:space="preserve">ة </w:t>
      </w:r>
      <w:r w:rsidR="00556BC0" w:rsidRPr="00FD211F">
        <w:rPr>
          <w:sz w:val="36"/>
          <w:szCs w:val="36"/>
          <w:rtl/>
        </w:rPr>
        <w:t>بينهما</w:t>
      </w:r>
      <w:r w:rsidR="00603323" w:rsidRPr="00FD211F">
        <w:rPr>
          <w:sz w:val="36"/>
          <w:szCs w:val="36"/>
          <w:rtl/>
        </w:rPr>
        <w:t xml:space="preserve">، </w:t>
      </w:r>
      <w:r w:rsidR="00556BC0" w:rsidRPr="00FD211F">
        <w:rPr>
          <w:sz w:val="36"/>
          <w:szCs w:val="36"/>
          <w:rtl/>
        </w:rPr>
        <w:t>ويمكن ان يقال -جريا على مسلكه- بان مدلول هيئ</w:t>
      </w:r>
      <w:r w:rsidR="00EC7EDF" w:rsidRPr="00FD211F">
        <w:rPr>
          <w:sz w:val="36"/>
          <w:szCs w:val="36"/>
          <w:rtl/>
        </w:rPr>
        <w:t xml:space="preserve">ة </w:t>
      </w:r>
      <w:r w:rsidR="00556BC0" w:rsidRPr="00FD211F">
        <w:rPr>
          <w:sz w:val="36"/>
          <w:szCs w:val="36"/>
          <w:rtl/>
        </w:rPr>
        <w:t>الجمل</w:t>
      </w:r>
      <w:r w:rsidR="00EC7EDF" w:rsidRPr="00FD211F">
        <w:rPr>
          <w:sz w:val="36"/>
          <w:szCs w:val="36"/>
          <w:rtl/>
        </w:rPr>
        <w:t xml:space="preserve">ة </w:t>
      </w:r>
      <w:r w:rsidR="00556BC0" w:rsidRPr="00FD211F">
        <w:rPr>
          <w:sz w:val="36"/>
          <w:szCs w:val="36"/>
          <w:rtl/>
        </w:rPr>
        <w:t>الخبري</w:t>
      </w:r>
      <w:r w:rsidR="00EC7EDF" w:rsidRPr="00FD211F">
        <w:rPr>
          <w:sz w:val="36"/>
          <w:szCs w:val="36"/>
          <w:rtl/>
        </w:rPr>
        <w:t xml:space="preserve">ة </w:t>
      </w:r>
      <w:r w:rsidR="00556BC0" w:rsidRPr="00FD211F">
        <w:rPr>
          <w:sz w:val="36"/>
          <w:szCs w:val="36"/>
          <w:rtl/>
        </w:rPr>
        <w:t>النافي</w:t>
      </w:r>
      <w:r w:rsidR="00EC7EDF" w:rsidRPr="00FD211F">
        <w:rPr>
          <w:sz w:val="36"/>
          <w:szCs w:val="36"/>
          <w:rtl/>
        </w:rPr>
        <w:t xml:space="preserve">ة </w:t>
      </w:r>
      <w:r w:rsidR="00556BC0" w:rsidRPr="00FD211F">
        <w:rPr>
          <w:sz w:val="36"/>
          <w:szCs w:val="36"/>
          <w:rtl/>
        </w:rPr>
        <w:t>واقع النسب</w:t>
      </w:r>
      <w:r w:rsidR="00EC7EDF" w:rsidRPr="00FD211F">
        <w:rPr>
          <w:sz w:val="36"/>
          <w:szCs w:val="36"/>
          <w:rtl/>
        </w:rPr>
        <w:t xml:space="preserve">ة </w:t>
      </w:r>
      <w:r w:rsidR="00556BC0" w:rsidRPr="00FD211F">
        <w:rPr>
          <w:sz w:val="36"/>
          <w:szCs w:val="36"/>
          <w:rtl/>
        </w:rPr>
        <w:t>اللاتصادقي</w:t>
      </w:r>
      <w:r w:rsidR="00EC7EDF" w:rsidRPr="00FD211F">
        <w:rPr>
          <w:sz w:val="36"/>
          <w:szCs w:val="36"/>
          <w:rtl/>
        </w:rPr>
        <w:t>ة</w:t>
      </w:r>
      <w:r w:rsidR="00A61BAE" w:rsidRPr="00FD211F">
        <w:rPr>
          <w:sz w:val="36"/>
          <w:szCs w:val="36"/>
          <w:rtl/>
        </w:rPr>
        <w:t>.</w:t>
      </w:r>
    </w:p>
    <w:p w14:paraId="4E2818DE" w14:textId="77777777" w:rsidR="00556BC0" w:rsidRPr="00FD211F" w:rsidRDefault="00556BC0" w:rsidP="009C58C8">
      <w:pPr>
        <w:ind w:left="0" w:firstLine="227"/>
        <w:jc w:val="both"/>
        <w:rPr>
          <w:sz w:val="36"/>
          <w:szCs w:val="36"/>
          <w:rtl/>
        </w:rPr>
      </w:pPr>
      <w:r w:rsidRPr="00FD211F">
        <w:rPr>
          <w:sz w:val="36"/>
          <w:szCs w:val="36"/>
          <w:rtl/>
        </w:rPr>
        <w:t>كما انه بناء على القول بان مفاد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الموجب</w:t>
      </w:r>
      <w:r w:rsidR="00EC7EDF" w:rsidRPr="00FD211F">
        <w:rPr>
          <w:sz w:val="36"/>
          <w:szCs w:val="36"/>
          <w:rtl/>
        </w:rPr>
        <w:t xml:space="preserve">ة </w:t>
      </w:r>
      <w:r w:rsidRPr="00FD211F">
        <w:rPr>
          <w:sz w:val="36"/>
          <w:szCs w:val="36"/>
          <w:rtl/>
        </w:rPr>
        <w:t>هو الهوهوي</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فيكون مدلول الجمل</w:t>
      </w:r>
      <w:r w:rsidR="00EC7EDF" w:rsidRPr="00FD211F">
        <w:rPr>
          <w:sz w:val="36"/>
          <w:szCs w:val="36"/>
          <w:rtl/>
        </w:rPr>
        <w:t xml:space="preserve">ة </w:t>
      </w:r>
      <w:r w:rsidRPr="00FD211F">
        <w:rPr>
          <w:sz w:val="36"/>
          <w:szCs w:val="36"/>
          <w:rtl/>
        </w:rPr>
        <w:t>النافي</w:t>
      </w:r>
      <w:r w:rsidR="00EC7EDF" w:rsidRPr="00FD211F">
        <w:rPr>
          <w:sz w:val="36"/>
          <w:szCs w:val="36"/>
          <w:rtl/>
        </w:rPr>
        <w:t xml:space="preserve">ة </w:t>
      </w:r>
      <w:r w:rsidRPr="00FD211F">
        <w:rPr>
          <w:sz w:val="36"/>
          <w:szCs w:val="36"/>
          <w:rtl/>
        </w:rPr>
        <w:t>نفي الهوهوي</w:t>
      </w:r>
      <w:r w:rsidR="00EC7EDF" w:rsidRPr="00FD211F">
        <w:rPr>
          <w:sz w:val="36"/>
          <w:szCs w:val="36"/>
          <w:rtl/>
        </w:rPr>
        <w:t xml:space="preserve">ة </w:t>
      </w:r>
      <w:r w:rsidRPr="00FD211F">
        <w:rPr>
          <w:sz w:val="36"/>
          <w:szCs w:val="36"/>
          <w:rtl/>
        </w:rPr>
        <w:t>التصديقي</w:t>
      </w:r>
      <w:r w:rsidR="00EC7EDF" w:rsidRPr="00FD211F">
        <w:rPr>
          <w:sz w:val="36"/>
          <w:szCs w:val="36"/>
          <w:rtl/>
        </w:rPr>
        <w:t>ة</w:t>
      </w:r>
      <w:r w:rsidR="00A61BAE" w:rsidRPr="00FD211F">
        <w:rPr>
          <w:sz w:val="36"/>
          <w:szCs w:val="36"/>
          <w:rtl/>
        </w:rPr>
        <w:t>.</w:t>
      </w:r>
    </w:p>
    <w:p w14:paraId="734EDD27" w14:textId="77777777" w:rsidR="00556BC0" w:rsidRPr="00FD211F" w:rsidRDefault="00556BC0" w:rsidP="009C58C8">
      <w:pPr>
        <w:pStyle w:val="3"/>
        <w:ind w:firstLine="227"/>
        <w:jc w:val="both"/>
        <w:rPr>
          <w:rtl/>
        </w:rPr>
      </w:pPr>
      <w:bookmarkStart w:id="220" w:name="درس090دقيقه38"/>
      <w:bookmarkStart w:id="221" w:name="_Toc192092880"/>
      <w:bookmarkStart w:id="222" w:name="_Toc223890356"/>
      <w:bookmarkEnd w:id="220"/>
      <w:r w:rsidRPr="00FD211F">
        <w:rPr>
          <w:rtl/>
        </w:rPr>
        <w:t>2- الجمل</w:t>
      </w:r>
      <w:r w:rsidR="00EC7EDF" w:rsidRPr="00FD211F">
        <w:rPr>
          <w:rtl/>
        </w:rPr>
        <w:t xml:space="preserve">ة </w:t>
      </w:r>
      <w:r w:rsidRPr="00FD211F">
        <w:rPr>
          <w:rtl/>
        </w:rPr>
        <w:t>الإنشائي</w:t>
      </w:r>
      <w:r w:rsidR="00EC7EDF" w:rsidRPr="00FD211F">
        <w:rPr>
          <w:rtl/>
        </w:rPr>
        <w:t>ة</w:t>
      </w:r>
      <w:bookmarkEnd w:id="222"/>
      <w:r w:rsidR="00EC7EDF" w:rsidRPr="00FD211F">
        <w:rPr>
          <w:rtl/>
        </w:rPr>
        <w:t xml:space="preserve"> </w:t>
      </w:r>
      <w:bookmarkEnd w:id="221"/>
    </w:p>
    <w:p w14:paraId="33871F93" w14:textId="77777777" w:rsidR="000C5BBA" w:rsidRPr="00FD211F" w:rsidRDefault="00556BC0" w:rsidP="009C58C8">
      <w:pPr>
        <w:ind w:left="0" w:firstLine="227"/>
        <w:jc w:val="both"/>
        <w:rPr>
          <w:sz w:val="36"/>
          <w:szCs w:val="36"/>
          <w:rtl/>
        </w:rPr>
      </w:pPr>
      <w:r w:rsidRPr="00FD211F">
        <w:rPr>
          <w:sz w:val="36"/>
          <w:szCs w:val="36"/>
          <w:rtl/>
        </w:rPr>
        <w:t>يقع الكلام فيها في جهتين</w:t>
      </w:r>
      <w:r w:rsidR="00F46024" w:rsidRPr="00FD211F">
        <w:rPr>
          <w:sz w:val="36"/>
          <w:szCs w:val="36"/>
          <w:rtl/>
        </w:rPr>
        <w:t>:</w:t>
      </w:r>
    </w:p>
    <w:p w14:paraId="61D30E5C" w14:textId="77777777" w:rsidR="00F46024" w:rsidRPr="00FD211F" w:rsidRDefault="00CB6A07" w:rsidP="009C58C8">
      <w:pPr>
        <w:ind w:left="0" w:firstLine="227"/>
        <w:jc w:val="both"/>
        <w:rPr>
          <w:sz w:val="36"/>
          <w:szCs w:val="36"/>
          <w:rtl/>
        </w:rPr>
      </w:pPr>
      <w:r w:rsidRPr="00FD211F">
        <w:rPr>
          <w:sz w:val="36"/>
          <w:szCs w:val="36"/>
          <w:rtl/>
        </w:rPr>
        <w:t>احديهما:</w:t>
      </w:r>
      <w:r w:rsidR="00E21730" w:rsidRPr="00FD211F">
        <w:rPr>
          <w:sz w:val="36"/>
          <w:szCs w:val="36"/>
          <w:rtl/>
        </w:rPr>
        <w:t>في ان</w:t>
      </w:r>
      <w:r w:rsidR="00556BC0" w:rsidRPr="00FD211F">
        <w:rPr>
          <w:sz w:val="36"/>
          <w:szCs w:val="36"/>
          <w:rtl/>
        </w:rPr>
        <w:t xml:space="preserve"> </w:t>
      </w:r>
      <w:r w:rsidRPr="00FD211F">
        <w:rPr>
          <w:sz w:val="36"/>
          <w:szCs w:val="36"/>
          <w:rtl/>
        </w:rPr>
        <w:t>علاق</w:t>
      </w:r>
      <w:r w:rsidR="00EC7EDF" w:rsidRPr="00FD211F">
        <w:rPr>
          <w:sz w:val="36"/>
          <w:szCs w:val="36"/>
          <w:rtl/>
        </w:rPr>
        <w:t xml:space="preserve">ة </w:t>
      </w:r>
      <w:r w:rsidR="00556BC0" w:rsidRPr="00FD211F">
        <w:rPr>
          <w:sz w:val="36"/>
          <w:szCs w:val="36"/>
          <w:rtl/>
        </w:rPr>
        <w:t>الجمل</w:t>
      </w:r>
      <w:r w:rsidR="00EC7EDF" w:rsidRPr="00FD211F">
        <w:rPr>
          <w:sz w:val="36"/>
          <w:szCs w:val="36"/>
          <w:rtl/>
        </w:rPr>
        <w:t xml:space="preserve">ة </w:t>
      </w:r>
      <w:r w:rsidR="00556BC0" w:rsidRPr="00FD211F">
        <w:rPr>
          <w:sz w:val="36"/>
          <w:szCs w:val="36"/>
          <w:rtl/>
        </w:rPr>
        <w:t>الإنشائي</w:t>
      </w:r>
      <w:r w:rsidR="00EC7EDF" w:rsidRPr="00FD211F">
        <w:rPr>
          <w:sz w:val="36"/>
          <w:szCs w:val="36"/>
          <w:rtl/>
        </w:rPr>
        <w:t xml:space="preserve">ة </w:t>
      </w:r>
      <w:r w:rsidR="00E21730" w:rsidRPr="00FD211F">
        <w:rPr>
          <w:sz w:val="36"/>
          <w:szCs w:val="36"/>
          <w:rtl/>
        </w:rPr>
        <w:t>بمعناها</w:t>
      </w:r>
      <w:r w:rsidR="00556BC0" w:rsidRPr="00FD211F">
        <w:rPr>
          <w:sz w:val="36"/>
          <w:szCs w:val="36"/>
          <w:rtl/>
        </w:rPr>
        <w:t xml:space="preserve"> علاق</w:t>
      </w:r>
      <w:r w:rsidR="00EC7EDF" w:rsidRPr="00FD211F">
        <w:rPr>
          <w:sz w:val="36"/>
          <w:szCs w:val="36"/>
          <w:rtl/>
        </w:rPr>
        <w:t xml:space="preserve">ة </w:t>
      </w:r>
      <w:r w:rsidR="00556BC0" w:rsidRPr="00FD211F">
        <w:rPr>
          <w:sz w:val="36"/>
          <w:szCs w:val="36"/>
          <w:rtl/>
        </w:rPr>
        <w:t>إيجادي</w:t>
      </w:r>
      <w:r w:rsidR="00EC7EDF" w:rsidRPr="00FD211F">
        <w:rPr>
          <w:sz w:val="36"/>
          <w:szCs w:val="36"/>
          <w:rtl/>
        </w:rPr>
        <w:t xml:space="preserve">ة </w:t>
      </w:r>
      <w:r w:rsidR="00E21730" w:rsidRPr="00FD211F">
        <w:rPr>
          <w:sz w:val="36"/>
          <w:szCs w:val="36"/>
          <w:rtl/>
        </w:rPr>
        <w:t>كما هو المشهور</w:t>
      </w:r>
      <w:r w:rsidR="00BF0A5B" w:rsidRPr="00FD211F">
        <w:rPr>
          <w:sz w:val="36"/>
          <w:szCs w:val="36"/>
          <w:rtl/>
        </w:rPr>
        <w:t xml:space="preserve"> </w:t>
      </w:r>
      <w:r w:rsidR="00CA7DC4" w:rsidRPr="00FD211F">
        <w:rPr>
          <w:sz w:val="36"/>
          <w:szCs w:val="36"/>
          <w:rtl/>
        </w:rPr>
        <w:t>من كون الانشاء ايجاد المعنى باللفظ</w:t>
      </w:r>
      <w:r w:rsidR="00556BC0" w:rsidRPr="00FD211F">
        <w:rPr>
          <w:sz w:val="36"/>
          <w:szCs w:val="36"/>
          <w:rtl/>
        </w:rPr>
        <w:t xml:space="preserve"> او</w:t>
      </w:r>
      <w:r w:rsidR="00BF0A5B" w:rsidRPr="00FD211F">
        <w:rPr>
          <w:sz w:val="36"/>
          <w:szCs w:val="36"/>
          <w:rtl/>
        </w:rPr>
        <w:t xml:space="preserve"> </w:t>
      </w:r>
      <w:r w:rsidR="00CA7DC4" w:rsidRPr="00FD211F">
        <w:rPr>
          <w:sz w:val="36"/>
          <w:szCs w:val="36"/>
          <w:rtl/>
        </w:rPr>
        <w:t>أن علاقتها بمعناها</w:t>
      </w:r>
      <w:r w:rsidR="00BF0A5B" w:rsidRPr="00FD211F">
        <w:rPr>
          <w:sz w:val="36"/>
          <w:szCs w:val="36"/>
          <w:rtl/>
        </w:rPr>
        <w:t xml:space="preserve"> </w:t>
      </w:r>
      <w:r w:rsidR="00CA7DC4" w:rsidRPr="00FD211F">
        <w:rPr>
          <w:sz w:val="36"/>
          <w:szCs w:val="36"/>
          <w:rtl/>
        </w:rPr>
        <w:t>علاق</w:t>
      </w:r>
      <w:r w:rsidR="00EC7EDF" w:rsidRPr="00FD211F">
        <w:rPr>
          <w:sz w:val="36"/>
          <w:szCs w:val="36"/>
          <w:rtl/>
        </w:rPr>
        <w:t xml:space="preserve">ة </w:t>
      </w:r>
      <w:r w:rsidR="00556BC0" w:rsidRPr="00FD211F">
        <w:rPr>
          <w:sz w:val="36"/>
          <w:szCs w:val="36"/>
          <w:rtl/>
        </w:rPr>
        <w:t>إخطاري</w:t>
      </w:r>
      <w:r w:rsidR="00EC7EDF" w:rsidRPr="00FD211F">
        <w:rPr>
          <w:sz w:val="36"/>
          <w:szCs w:val="36"/>
          <w:rtl/>
        </w:rPr>
        <w:t xml:space="preserve">ة </w:t>
      </w:r>
      <w:r w:rsidR="00CA7DC4" w:rsidRPr="00FD211F">
        <w:rPr>
          <w:sz w:val="36"/>
          <w:szCs w:val="36"/>
          <w:rtl/>
        </w:rPr>
        <w:t>اي توجب اخطار</w:t>
      </w:r>
      <w:r w:rsidR="00BF0A5B" w:rsidRPr="00FD211F">
        <w:rPr>
          <w:sz w:val="36"/>
          <w:szCs w:val="36"/>
          <w:rtl/>
        </w:rPr>
        <w:t xml:space="preserve"> </w:t>
      </w:r>
      <w:r w:rsidR="00CA7DC4" w:rsidRPr="00FD211F">
        <w:rPr>
          <w:sz w:val="36"/>
          <w:szCs w:val="36"/>
          <w:rtl/>
        </w:rPr>
        <w:t xml:space="preserve">معناها في ذهن المخاطب </w:t>
      </w:r>
      <w:r w:rsidR="00556BC0" w:rsidRPr="00FD211F">
        <w:rPr>
          <w:sz w:val="36"/>
          <w:szCs w:val="36"/>
          <w:rtl/>
        </w:rPr>
        <w:t>كما في الجمل</w:t>
      </w:r>
      <w:r w:rsidR="00EC7EDF" w:rsidRPr="00FD211F">
        <w:rPr>
          <w:sz w:val="36"/>
          <w:szCs w:val="36"/>
          <w:rtl/>
        </w:rPr>
        <w:t xml:space="preserve">ة </w:t>
      </w:r>
      <w:r w:rsidR="00556BC0" w:rsidRPr="00FD211F">
        <w:rPr>
          <w:sz w:val="36"/>
          <w:szCs w:val="36"/>
          <w:rtl/>
        </w:rPr>
        <w:t>ال</w:t>
      </w:r>
      <w:r w:rsidR="00F46024" w:rsidRPr="00FD211F">
        <w:rPr>
          <w:sz w:val="36"/>
          <w:szCs w:val="36"/>
          <w:rtl/>
        </w:rPr>
        <w:t>خبري</w:t>
      </w:r>
      <w:r w:rsidR="00EC7EDF" w:rsidRPr="00FD211F">
        <w:rPr>
          <w:sz w:val="36"/>
          <w:szCs w:val="36"/>
          <w:rtl/>
        </w:rPr>
        <w:t>ة</w:t>
      </w:r>
      <w:r w:rsidR="00A61BAE" w:rsidRPr="00FD211F">
        <w:rPr>
          <w:sz w:val="36"/>
          <w:szCs w:val="36"/>
          <w:rtl/>
        </w:rPr>
        <w:t>.</w:t>
      </w:r>
    </w:p>
    <w:p w14:paraId="78DAD5F5" w14:textId="77777777" w:rsidR="00556BC0" w:rsidRPr="00FD211F" w:rsidRDefault="00CB6A07" w:rsidP="009C58C8">
      <w:pPr>
        <w:ind w:left="0" w:firstLine="227"/>
        <w:jc w:val="both"/>
        <w:rPr>
          <w:sz w:val="36"/>
          <w:szCs w:val="36"/>
          <w:rtl/>
        </w:rPr>
      </w:pPr>
      <w:r w:rsidRPr="00FD211F">
        <w:rPr>
          <w:sz w:val="36"/>
          <w:szCs w:val="36"/>
          <w:rtl/>
        </w:rPr>
        <w:t>ثانيتهما</w:t>
      </w:r>
      <w:r w:rsidR="004211C4" w:rsidRPr="00FD211F">
        <w:rPr>
          <w:sz w:val="36"/>
          <w:szCs w:val="36"/>
          <w:rtl/>
        </w:rPr>
        <w:t>:</w:t>
      </w:r>
      <w:r w:rsidR="00556BC0" w:rsidRPr="00FD211F">
        <w:rPr>
          <w:sz w:val="36"/>
          <w:szCs w:val="36"/>
          <w:rtl/>
        </w:rPr>
        <w:t>في ان معنى الجمل</w:t>
      </w:r>
      <w:r w:rsidR="00EC7EDF" w:rsidRPr="00FD211F">
        <w:rPr>
          <w:sz w:val="36"/>
          <w:szCs w:val="36"/>
          <w:rtl/>
        </w:rPr>
        <w:t xml:space="preserve">ة </w:t>
      </w:r>
      <w:r w:rsidR="00CA7DC4" w:rsidRPr="00FD211F">
        <w:rPr>
          <w:sz w:val="36"/>
          <w:szCs w:val="36"/>
          <w:rtl/>
        </w:rPr>
        <w:t>الإنشائي</w:t>
      </w:r>
      <w:r w:rsidR="00EC7EDF" w:rsidRPr="00FD211F">
        <w:rPr>
          <w:sz w:val="36"/>
          <w:szCs w:val="36"/>
          <w:rtl/>
        </w:rPr>
        <w:t xml:space="preserve">ة </w:t>
      </w:r>
      <w:r w:rsidR="00CA7DC4" w:rsidRPr="00FD211F">
        <w:rPr>
          <w:sz w:val="36"/>
          <w:szCs w:val="36"/>
          <w:rtl/>
        </w:rPr>
        <w:t>والخبري</w:t>
      </w:r>
      <w:r w:rsidR="00EC7EDF" w:rsidRPr="00FD211F">
        <w:rPr>
          <w:sz w:val="36"/>
          <w:szCs w:val="36"/>
          <w:rtl/>
        </w:rPr>
        <w:t xml:space="preserve">ة </w:t>
      </w:r>
      <w:r w:rsidR="00CA7DC4" w:rsidRPr="00FD211F">
        <w:rPr>
          <w:sz w:val="36"/>
          <w:szCs w:val="36"/>
          <w:rtl/>
        </w:rPr>
        <w:t>هل هو مختلف او أنه واحد ويكون الفر</w:t>
      </w:r>
      <w:r w:rsidR="00556BC0" w:rsidRPr="00FD211F">
        <w:rPr>
          <w:sz w:val="36"/>
          <w:szCs w:val="36"/>
          <w:rtl/>
        </w:rPr>
        <w:t>ق</w:t>
      </w:r>
      <w:r w:rsidR="00CA7DC4" w:rsidRPr="00FD211F">
        <w:rPr>
          <w:sz w:val="36"/>
          <w:szCs w:val="36"/>
          <w:rtl/>
        </w:rPr>
        <w:t xml:space="preserve"> بين الجملتين في كيفي</w:t>
      </w:r>
      <w:r w:rsidR="00EC7EDF" w:rsidRPr="00FD211F">
        <w:rPr>
          <w:sz w:val="36"/>
          <w:szCs w:val="36"/>
          <w:rtl/>
        </w:rPr>
        <w:t xml:space="preserve">ة </w:t>
      </w:r>
      <w:r w:rsidR="00556BC0" w:rsidRPr="00FD211F">
        <w:rPr>
          <w:sz w:val="36"/>
          <w:szCs w:val="36"/>
          <w:rtl/>
        </w:rPr>
        <w:t xml:space="preserve">لحاظ </w:t>
      </w:r>
      <w:r w:rsidR="00CA7DC4" w:rsidRPr="00FD211F">
        <w:rPr>
          <w:sz w:val="36"/>
          <w:szCs w:val="36"/>
          <w:rtl/>
        </w:rPr>
        <w:t xml:space="preserve">المعنى </w:t>
      </w:r>
      <w:r w:rsidR="00556BC0" w:rsidRPr="00FD211F">
        <w:rPr>
          <w:sz w:val="36"/>
          <w:szCs w:val="36"/>
          <w:rtl/>
        </w:rPr>
        <w:t>حال الاستعمال او</w:t>
      </w:r>
      <w:r w:rsidR="00BF0A5B" w:rsidRPr="00FD211F">
        <w:rPr>
          <w:sz w:val="36"/>
          <w:szCs w:val="36"/>
          <w:rtl/>
        </w:rPr>
        <w:t xml:space="preserve"> </w:t>
      </w:r>
      <w:r w:rsidR="00CA7DC4" w:rsidRPr="00FD211F">
        <w:rPr>
          <w:sz w:val="36"/>
          <w:szCs w:val="36"/>
          <w:rtl/>
        </w:rPr>
        <w:t>في كيفي</w:t>
      </w:r>
      <w:r w:rsidR="00EC7EDF" w:rsidRPr="00FD211F">
        <w:rPr>
          <w:sz w:val="36"/>
          <w:szCs w:val="36"/>
          <w:rtl/>
        </w:rPr>
        <w:t xml:space="preserve">ة </w:t>
      </w:r>
      <w:r w:rsidR="00CA7DC4" w:rsidRPr="00FD211F">
        <w:rPr>
          <w:sz w:val="36"/>
          <w:szCs w:val="36"/>
          <w:rtl/>
        </w:rPr>
        <w:t>الداعي</w:t>
      </w:r>
      <w:r w:rsidR="00BF0A5B" w:rsidRPr="00FD211F">
        <w:rPr>
          <w:sz w:val="36"/>
          <w:szCs w:val="36"/>
          <w:rtl/>
        </w:rPr>
        <w:t xml:space="preserve">، </w:t>
      </w:r>
      <w:r w:rsidRPr="00FD211F">
        <w:rPr>
          <w:sz w:val="36"/>
          <w:szCs w:val="36"/>
          <w:rtl/>
        </w:rPr>
        <w:t>فالكلام فعلا في الجه</w:t>
      </w:r>
      <w:r w:rsidR="00EC7EDF" w:rsidRPr="00FD211F">
        <w:rPr>
          <w:sz w:val="36"/>
          <w:szCs w:val="36"/>
          <w:rtl/>
        </w:rPr>
        <w:t xml:space="preserve">ة </w:t>
      </w:r>
      <w:r w:rsidRPr="00FD211F">
        <w:rPr>
          <w:sz w:val="36"/>
          <w:szCs w:val="36"/>
          <w:rtl/>
        </w:rPr>
        <w:t>الاولى</w:t>
      </w:r>
      <w:r w:rsidR="00EC7EDF" w:rsidRPr="00FD211F">
        <w:rPr>
          <w:sz w:val="36"/>
          <w:szCs w:val="36"/>
          <w:rtl/>
        </w:rPr>
        <w:t>.</w:t>
      </w:r>
    </w:p>
    <w:p w14:paraId="7E4EFF7A" w14:textId="77777777" w:rsidR="00556BC0" w:rsidRPr="00FD211F" w:rsidRDefault="00556BC0" w:rsidP="009C58C8">
      <w:pPr>
        <w:pStyle w:val="3"/>
        <w:ind w:firstLine="227"/>
        <w:jc w:val="both"/>
        <w:rPr>
          <w:rtl/>
        </w:rPr>
      </w:pPr>
      <w:bookmarkStart w:id="223" w:name="_Toc192092881"/>
      <w:bookmarkStart w:id="224" w:name="_Toc223890357"/>
      <w:r w:rsidRPr="00FD211F">
        <w:rPr>
          <w:rtl/>
        </w:rPr>
        <w:t>ان الجمل</w:t>
      </w:r>
      <w:r w:rsidR="00EC7EDF" w:rsidRPr="00FD211F">
        <w:rPr>
          <w:rtl/>
        </w:rPr>
        <w:t xml:space="preserve">ة </w:t>
      </w:r>
      <w:r w:rsidRPr="00FD211F">
        <w:rPr>
          <w:rtl/>
        </w:rPr>
        <w:t>الإنشائي</w:t>
      </w:r>
      <w:r w:rsidR="00EC7EDF" w:rsidRPr="00FD211F">
        <w:rPr>
          <w:rtl/>
        </w:rPr>
        <w:t xml:space="preserve">ة </w:t>
      </w:r>
      <w:r w:rsidRPr="00FD211F">
        <w:rPr>
          <w:rtl/>
        </w:rPr>
        <w:t>ايجادي</w:t>
      </w:r>
      <w:r w:rsidR="00EC7EDF" w:rsidRPr="00FD211F">
        <w:rPr>
          <w:rtl/>
        </w:rPr>
        <w:t xml:space="preserve">ة </w:t>
      </w:r>
      <w:r w:rsidRPr="00FD211F">
        <w:rPr>
          <w:rtl/>
        </w:rPr>
        <w:t>او إخطاري</w:t>
      </w:r>
      <w:r w:rsidR="00EC7EDF" w:rsidRPr="00FD211F">
        <w:rPr>
          <w:rtl/>
        </w:rPr>
        <w:t>ة</w:t>
      </w:r>
      <w:bookmarkEnd w:id="224"/>
      <w:r w:rsidR="00EC7EDF" w:rsidRPr="00FD211F">
        <w:rPr>
          <w:rtl/>
        </w:rPr>
        <w:t xml:space="preserve"> </w:t>
      </w:r>
      <w:bookmarkEnd w:id="223"/>
    </w:p>
    <w:p w14:paraId="37ABE5AE" w14:textId="77777777" w:rsidR="00144BB9" w:rsidRPr="00FD211F" w:rsidRDefault="00556BC0" w:rsidP="009C58C8">
      <w:pPr>
        <w:ind w:left="0" w:firstLine="227"/>
        <w:jc w:val="both"/>
        <w:rPr>
          <w:sz w:val="36"/>
          <w:szCs w:val="36"/>
          <w:rtl/>
        </w:rPr>
      </w:pPr>
      <w:r w:rsidRPr="00FD211F">
        <w:rPr>
          <w:b/>
          <w:bCs/>
          <w:sz w:val="36"/>
          <w:szCs w:val="36"/>
          <w:rtl/>
        </w:rPr>
        <w:t>الجه</w:t>
      </w:r>
      <w:r w:rsidR="00EC7EDF" w:rsidRPr="00FD211F">
        <w:rPr>
          <w:b/>
          <w:bCs/>
          <w:sz w:val="36"/>
          <w:szCs w:val="36"/>
          <w:rtl/>
        </w:rPr>
        <w:t xml:space="preserve">ة </w:t>
      </w:r>
      <w:r w:rsidRPr="00FD211F">
        <w:rPr>
          <w:b/>
          <w:bCs/>
          <w:sz w:val="36"/>
          <w:szCs w:val="36"/>
          <w:rtl/>
        </w:rPr>
        <w:t>الأولى</w:t>
      </w:r>
      <w:r w:rsidR="00CB6A07" w:rsidRPr="00FD211F">
        <w:rPr>
          <w:b/>
          <w:bCs/>
          <w:sz w:val="36"/>
          <w:szCs w:val="36"/>
          <w:rtl/>
        </w:rPr>
        <w:t>:</w:t>
      </w:r>
      <w:r w:rsidR="00CB6A07" w:rsidRPr="00FD211F">
        <w:rPr>
          <w:sz w:val="36"/>
          <w:szCs w:val="36"/>
          <w:rtl/>
        </w:rPr>
        <w:t xml:space="preserve"> </w:t>
      </w:r>
      <w:r w:rsidRPr="00FD211F">
        <w:rPr>
          <w:sz w:val="36"/>
          <w:szCs w:val="36"/>
          <w:rtl/>
        </w:rPr>
        <w:t>ينبغي ان يعلم اولا</w:t>
      </w:r>
      <w:r w:rsidR="00F9583B" w:rsidRPr="00FD211F">
        <w:rPr>
          <w:sz w:val="36"/>
          <w:szCs w:val="36"/>
          <w:rtl/>
        </w:rPr>
        <w:t>ً ان</w:t>
      </w:r>
      <w:r w:rsidR="00B253CE" w:rsidRPr="00FD211F">
        <w:rPr>
          <w:sz w:val="36"/>
          <w:szCs w:val="36"/>
          <w:rtl/>
        </w:rPr>
        <w:t xml:space="preserve"> </w:t>
      </w:r>
      <w:r w:rsidR="00F9583B" w:rsidRPr="00FD211F">
        <w:rPr>
          <w:sz w:val="36"/>
          <w:szCs w:val="36"/>
          <w:rtl/>
        </w:rPr>
        <w:t>مرادهم من</w:t>
      </w:r>
      <w:r w:rsidR="00B253CE" w:rsidRPr="00FD211F">
        <w:rPr>
          <w:sz w:val="36"/>
          <w:szCs w:val="36"/>
          <w:rtl/>
        </w:rPr>
        <w:t xml:space="preserve"> </w:t>
      </w:r>
      <w:r w:rsidR="00F9583B" w:rsidRPr="00FD211F">
        <w:rPr>
          <w:sz w:val="36"/>
          <w:szCs w:val="36"/>
          <w:rtl/>
        </w:rPr>
        <w:t>إيجاد</w:t>
      </w:r>
      <w:r w:rsidRPr="00FD211F">
        <w:rPr>
          <w:sz w:val="36"/>
          <w:szCs w:val="36"/>
          <w:rtl/>
        </w:rPr>
        <w:t xml:space="preserve"> </w:t>
      </w:r>
      <w:r w:rsidR="00F9583B" w:rsidRPr="00FD211F">
        <w:rPr>
          <w:sz w:val="36"/>
          <w:szCs w:val="36"/>
          <w:rtl/>
        </w:rPr>
        <w:t>الجمل</w:t>
      </w:r>
      <w:r w:rsidR="00EC7EDF" w:rsidRPr="00FD211F">
        <w:rPr>
          <w:sz w:val="36"/>
          <w:szCs w:val="36"/>
          <w:rtl/>
        </w:rPr>
        <w:t xml:space="preserve">ة </w:t>
      </w:r>
      <w:r w:rsidR="00F9583B" w:rsidRPr="00FD211F">
        <w:rPr>
          <w:sz w:val="36"/>
          <w:szCs w:val="36"/>
          <w:rtl/>
        </w:rPr>
        <w:t>الانشائي</w:t>
      </w:r>
      <w:r w:rsidR="00EC7EDF" w:rsidRPr="00FD211F">
        <w:rPr>
          <w:sz w:val="36"/>
          <w:szCs w:val="36"/>
          <w:rtl/>
        </w:rPr>
        <w:t xml:space="preserve">ة </w:t>
      </w:r>
      <w:r w:rsidR="00F9583B" w:rsidRPr="00FD211F">
        <w:rPr>
          <w:sz w:val="36"/>
          <w:szCs w:val="36"/>
          <w:rtl/>
        </w:rPr>
        <w:t>لمعناها يختلف عن</w:t>
      </w:r>
      <w:r w:rsidRPr="00FD211F">
        <w:rPr>
          <w:sz w:val="36"/>
          <w:szCs w:val="36"/>
          <w:rtl/>
        </w:rPr>
        <w:t xml:space="preserve"> </w:t>
      </w:r>
      <w:r w:rsidR="00F9583B" w:rsidRPr="00FD211F">
        <w:rPr>
          <w:sz w:val="36"/>
          <w:szCs w:val="36"/>
          <w:rtl/>
        </w:rPr>
        <w:t>ال</w:t>
      </w:r>
      <w:r w:rsidRPr="00FD211F">
        <w:rPr>
          <w:sz w:val="36"/>
          <w:szCs w:val="36"/>
          <w:rtl/>
        </w:rPr>
        <w:t>م</w:t>
      </w:r>
      <w:r w:rsidR="00F9583B" w:rsidRPr="00FD211F">
        <w:rPr>
          <w:sz w:val="36"/>
          <w:szCs w:val="36"/>
          <w:rtl/>
        </w:rPr>
        <w:t>راد</w:t>
      </w:r>
      <w:r w:rsidR="00BF0A5B" w:rsidRPr="00FD211F">
        <w:rPr>
          <w:sz w:val="36"/>
          <w:szCs w:val="36"/>
          <w:rtl/>
        </w:rPr>
        <w:t xml:space="preserve"> </w:t>
      </w:r>
      <w:r w:rsidR="00F9583B" w:rsidRPr="00FD211F">
        <w:rPr>
          <w:sz w:val="36"/>
          <w:szCs w:val="36"/>
          <w:rtl/>
        </w:rPr>
        <w:t>من مسلك</w:t>
      </w:r>
      <w:r w:rsidR="00B253CE" w:rsidRPr="00FD211F">
        <w:rPr>
          <w:sz w:val="36"/>
          <w:szCs w:val="36"/>
          <w:rtl/>
        </w:rPr>
        <w:t xml:space="preserve"> </w:t>
      </w:r>
      <w:r w:rsidR="00F9583B" w:rsidRPr="00FD211F">
        <w:rPr>
          <w:sz w:val="36"/>
          <w:szCs w:val="36"/>
          <w:rtl/>
        </w:rPr>
        <w:t>إيجادي</w:t>
      </w:r>
      <w:r w:rsidR="00EC7EDF" w:rsidRPr="00FD211F">
        <w:rPr>
          <w:sz w:val="36"/>
          <w:szCs w:val="36"/>
          <w:rtl/>
        </w:rPr>
        <w:t xml:space="preserve">ة </w:t>
      </w:r>
      <w:r w:rsidR="00F9583B" w:rsidRPr="00FD211F">
        <w:rPr>
          <w:sz w:val="36"/>
          <w:szCs w:val="36"/>
          <w:rtl/>
        </w:rPr>
        <w:t>الحرو</w:t>
      </w:r>
      <w:r w:rsidRPr="00FD211F">
        <w:rPr>
          <w:sz w:val="36"/>
          <w:szCs w:val="36"/>
          <w:rtl/>
        </w:rPr>
        <w:t>ف</w:t>
      </w:r>
      <w:r w:rsidR="00603323" w:rsidRPr="00FD211F">
        <w:rPr>
          <w:sz w:val="36"/>
          <w:szCs w:val="36"/>
          <w:rtl/>
        </w:rPr>
        <w:t xml:space="preserve">، </w:t>
      </w:r>
      <w:r w:rsidRPr="00FD211F">
        <w:rPr>
          <w:sz w:val="36"/>
          <w:szCs w:val="36"/>
          <w:rtl/>
        </w:rPr>
        <w:t>فان إيجادي</w:t>
      </w:r>
      <w:r w:rsidR="00EC7EDF" w:rsidRPr="00FD211F">
        <w:rPr>
          <w:sz w:val="36"/>
          <w:szCs w:val="36"/>
          <w:rtl/>
        </w:rPr>
        <w:t xml:space="preserve">ة </w:t>
      </w:r>
      <w:r w:rsidRPr="00FD211F">
        <w:rPr>
          <w:sz w:val="36"/>
          <w:szCs w:val="36"/>
          <w:rtl/>
        </w:rPr>
        <w:t>الحروف إما بمعنى ان الحروف وضعت لمجرد ايجاد الربط الخاص الكلامي كما نسب الى المحقق النائيني</w:t>
      </w:r>
      <w:r w:rsidR="00A61BAE" w:rsidRPr="00FD211F">
        <w:rPr>
          <w:sz w:val="36"/>
          <w:szCs w:val="36"/>
          <w:rtl/>
        </w:rPr>
        <w:t xml:space="preserve"> </w:t>
      </w:r>
      <w:r w:rsidR="005D03BA" w:rsidRPr="00FD211F">
        <w:rPr>
          <w:sz w:val="36"/>
          <w:szCs w:val="36"/>
          <w:rtl/>
        </w:rPr>
        <w:t>“قده”</w:t>
      </w:r>
      <w:r w:rsidR="00A61BAE" w:rsidRPr="00FD211F">
        <w:rPr>
          <w:sz w:val="36"/>
          <w:szCs w:val="36"/>
          <w:rtl/>
        </w:rPr>
        <w:t xml:space="preserve"> </w:t>
      </w:r>
      <w:r w:rsidRPr="00FD211F">
        <w:rPr>
          <w:sz w:val="36"/>
          <w:szCs w:val="36"/>
          <w:rtl/>
        </w:rPr>
        <w:t>او بمعنى وضعها لواقع الربط الذهني بين مفهو</w:t>
      </w:r>
      <w:r w:rsidR="00144BB9" w:rsidRPr="00FD211F">
        <w:rPr>
          <w:sz w:val="36"/>
          <w:szCs w:val="36"/>
          <w:rtl/>
        </w:rPr>
        <w:t>مين كما استظهرناه من كلامه</w:t>
      </w:r>
      <w:r w:rsidR="00603323" w:rsidRPr="00FD211F">
        <w:rPr>
          <w:sz w:val="36"/>
          <w:szCs w:val="36"/>
          <w:rtl/>
        </w:rPr>
        <w:t xml:space="preserve">، </w:t>
      </w:r>
      <w:r w:rsidR="00144BB9" w:rsidRPr="00FD211F">
        <w:rPr>
          <w:sz w:val="36"/>
          <w:szCs w:val="36"/>
          <w:rtl/>
        </w:rPr>
        <w:t>ولكن المراد</w:t>
      </w:r>
      <w:r w:rsidR="00BF0A5B" w:rsidRPr="00FD211F">
        <w:rPr>
          <w:sz w:val="36"/>
          <w:szCs w:val="36"/>
          <w:rtl/>
        </w:rPr>
        <w:t xml:space="preserve"> </w:t>
      </w:r>
      <w:r w:rsidR="00144BB9" w:rsidRPr="00FD211F">
        <w:rPr>
          <w:sz w:val="36"/>
          <w:szCs w:val="36"/>
          <w:rtl/>
        </w:rPr>
        <w:t xml:space="preserve">من </w:t>
      </w:r>
      <w:r w:rsidRPr="00FD211F">
        <w:rPr>
          <w:sz w:val="36"/>
          <w:szCs w:val="36"/>
          <w:rtl/>
        </w:rPr>
        <w:t>إيجادي</w:t>
      </w:r>
      <w:r w:rsidR="00EC7EDF" w:rsidRPr="00FD211F">
        <w:rPr>
          <w:sz w:val="36"/>
          <w:szCs w:val="36"/>
          <w:rtl/>
        </w:rPr>
        <w:t xml:space="preserve">ة </w:t>
      </w:r>
      <w:r w:rsidR="00144BB9" w:rsidRPr="00FD211F">
        <w:rPr>
          <w:sz w:val="36"/>
          <w:szCs w:val="36"/>
          <w:rtl/>
        </w:rPr>
        <w:t>الجمل</w:t>
      </w:r>
      <w:r w:rsidR="00EC7EDF" w:rsidRPr="00FD211F">
        <w:rPr>
          <w:sz w:val="36"/>
          <w:szCs w:val="36"/>
          <w:rtl/>
        </w:rPr>
        <w:t xml:space="preserve">ة </w:t>
      </w:r>
      <w:r w:rsidR="00144BB9" w:rsidRPr="00FD211F">
        <w:rPr>
          <w:sz w:val="36"/>
          <w:szCs w:val="36"/>
          <w:rtl/>
        </w:rPr>
        <w:t>الانشائي</w:t>
      </w:r>
      <w:r w:rsidR="00EC7EDF" w:rsidRPr="00FD211F">
        <w:rPr>
          <w:sz w:val="36"/>
          <w:szCs w:val="36"/>
          <w:rtl/>
        </w:rPr>
        <w:t xml:space="preserve">ة </w:t>
      </w:r>
      <w:r w:rsidR="00144BB9" w:rsidRPr="00FD211F">
        <w:rPr>
          <w:sz w:val="36"/>
          <w:szCs w:val="36"/>
          <w:rtl/>
        </w:rPr>
        <w:t xml:space="preserve">ايجادها المعنى بوجود انشائي او </w:t>
      </w:r>
      <w:commentRangeStart w:id="225"/>
      <w:r w:rsidR="00144BB9" w:rsidRPr="00FD211F">
        <w:rPr>
          <w:sz w:val="36"/>
          <w:szCs w:val="36"/>
          <w:rtl/>
        </w:rPr>
        <w:t>اعتباري</w:t>
      </w:r>
      <w:commentRangeEnd w:id="225"/>
      <w:r w:rsidR="000A48C8">
        <w:rPr>
          <w:rStyle w:val="ab"/>
          <w:rtl/>
        </w:rPr>
        <w:commentReference w:id="225"/>
      </w:r>
      <w:r w:rsidR="00EC7EDF" w:rsidRPr="00FD211F">
        <w:rPr>
          <w:sz w:val="36"/>
          <w:szCs w:val="36"/>
          <w:rtl/>
        </w:rPr>
        <w:t>.</w:t>
      </w:r>
    </w:p>
    <w:p w14:paraId="58970F83" w14:textId="77777777" w:rsidR="00556BC0" w:rsidRPr="00FD211F" w:rsidRDefault="00556BC0" w:rsidP="009C58C8">
      <w:pPr>
        <w:ind w:left="0" w:firstLine="227"/>
        <w:jc w:val="both"/>
        <w:rPr>
          <w:sz w:val="36"/>
          <w:szCs w:val="36"/>
          <w:rtl/>
        </w:rPr>
      </w:pPr>
      <w:bookmarkStart w:id="226" w:name="درس091"/>
      <w:bookmarkEnd w:id="226"/>
      <w:r w:rsidRPr="00FD211F">
        <w:rPr>
          <w:sz w:val="36"/>
          <w:szCs w:val="36"/>
          <w:rtl/>
        </w:rPr>
        <w:t>وقد ذكر في تفسير ايجادي</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اربع</w:t>
      </w:r>
      <w:r w:rsidR="00EC7EDF" w:rsidRPr="00FD211F">
        <w:rPr>
          <w:sz w:val="36"/>
          <w:szCs w:val="36"/>
          <w:rtl/>
        </w:rPr>
        <w:t xml:space="preserve">ة </w:t>
      </w:r>
      <w:r w:rsidRPr="00FD211F">
        <w:rPr>
          <w:sz w:val="36"/>
          <w:szCs w:val="36"/>
          <w:rtl/>
        </w:rPr>
        <w:t>وجوه:</w:t>
      </w:r>
    </w:p>
    <w:p w14:paraId="363B037C" w14:textId="77777777" w:rsidR="00556BC0" w:rsidRPr="00FD211F" w:rsidRDefault="00556BC0" w:rsidP="00C87F03">
      <w:pPr>
        <w:ind w:left="0" w:firstLine="227"/>
        <w:jc w:val="both"/>
        <w:rPr>
          <w:sz w:val="36"/>
          <w:szCs w:val="36"/>
          <w:rtl/>
        </w:rPr>
      </w:pPr>
      <w:r w:rsidRPr="00FD211F">
        <w:rPr>
          <w:b/>
          <w:bCs/>
          <w:sz w:val="36"/>
          <w:szCs w:val="36"/>
          <w:rtl/>
        </w:rPr>
        <w:t>الوجه الاول</w:t>
      </w:r>
      <w:r w:rsidRPr="00FD211F">
        <w:rPr>
          <w:sz w:val="36"/>
          <w:szCs w:val="36"/>
          <w:rtl/>
        </w:rPr>
        <w:t>: كون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غير مستعمل</w:t>
      </w:r>
      <w:r w:rsidR="00EC7EDF" w:rsidRPr="00FD211F">
        <w:rPr>
          <w:sz w:val="36"/>
          <w:szCs w:val="36"/>
          <w:rtl/>
        </w:rPr>
        <w:t xml:space="preserve">ة </w:t>
      </w:r>
      <w:r w:rsidRPr="00FD211F">
        <w:rPr>
          <w:sz w:val="36"/>
          <w:szCs w:val="36"/>
          <w:rtl/>
        </w:rPr>
        <w:t>في معنى بل موجد</w:t>
      </w:r>
      <w:r w:rsidR="00EC7EDF" w:rsidRPr="00FD211F">
        <w:rPr>
          <w:sz w:val="36"/>
          <w:szCs w:val="36"/>
          <w:rtl/>
        </w:rPr>
        <w:t xml:space="preserve">ة </w:t>
      </w:r>
      <w:r w:rsidRPr="00FD211F">
        <w:rPr>
          <w:sz w:val="36"/>
          <w:szCs w:val="36"/>
          <w:rtl/>
        </w:rPr>
        <w:t>له</w:t>
      </w:r>
      <w:r w:rsidR="00603323" w:rsidRPr="00FD211F">
        <w:rPr>
          <w:sz w:val="36"/>
          <w:szCs w:val="36"/>
          <w:rtl/>
        </w:rPr>
        <w:t xml:space="preserve">، </w:t>
      </w:r>
      <w:r w:rsidRPr="00FD211F">
        <w:rPr>
          <w:sz w:val="36"/>
          <w:szCs w:val="36"/>
          <w:rtl/>
        </w:rPr>
        <w:t>فقول الرجل</w:t>
      </w:r>
      <w:r w:rsidR="00C87F03" w:rsidRPr="00FD211F">
        <w:rPr>
          <w:sz w:val="36"/>
          <w:szCs w:val="36"/>
          <w:rtl/>
        </w:rPr>
        <w:t xml:space="preserve"> </w:t>
      </w:r>
      <w:r w:rsidR="00F46024" w:rsidRPr="00FD211F">
        <w:rPr>
          <w:sz w:val="36"/>
          <w:szCs w:val="36"/>
          <w:rtl/>
        </w:rPr>
        <w:t>"</w:t>
      </w:r>
      <w:r w:rsidRPr="00FD211F">
        <w:rPr>
          <w:sz w:val="36"/>
          <w:szCs w:val="36"/>
          <w:rtl/>
        </w:rPr>
        <w:t>بعتك الكتاب</w:t>
      </w:r>
      <w:r w:rsidR="00F46024" w:rsidRPr="00FD211F">
        <w:rPr>
          <w:sz w:val="36"/>
          <w:szCs w:val="36"/>
          <w:rtl/>
        </w:rPr>
        <w:t>"</w:t>
      </w:r>
      <w:r w:rsidR="00C87F03" w:rsidRPr="00FD211F">
        <w:rPr>
          <w:sz w:val="36"/>
          <w:szCs w:val="36"/>
          <w:rtl/>
        </w:rPr>
        <w:t xml:space="preserve"> </w:t>
      </w:r>
      <w:r w:rsidRPr="00FD211F">
        <w:rPr>
          <w:sz w:val="36"/>
          <w:szCs w:val="36"/>
          <w:rtl/>
        </w:rPr>
        <w:t>او</w:t>
      </w:r>
      <w:r w:rsidR="00F46024" w:rsidRPr="00FD211F">
        <w:rPr>
          <w:sz w:val="36"/>
          <w:szCs w:val="36"/>
          <w:rtl/>
        </w:rPr>
        <w:t>قوله</w:t>
      </w:r>
      <w:r w:rsidR="00C87F03" w:rsidRPr="00FD211F">
        <w:rPr>
          <w:sz w:val="36"/>
          <w:szCs w:val="36"/>
          <w:rtl/>
        </w:rPr>
        <w:t xml:space="preserve"> </w:t>
      </w:r>
      <w:r w:rsidR="00F46024" w:rsidRPr="00FD211F">
        <w:rPr>
          <w:sz w:val="36"/>
          <w:szCs w:val="36"/>
          <w:rtl/>
        </w:rPr>
        <w:t>"</w:t>
      </w:r>
      <w:r w:rsidRPr="00FD211F">
        <w:rPr>
          <w:sz w:val="36"/>
          <w:szCs w:val="36"/>
          <w:rtl/>
        </w:rPr>
        <w:t>ملكتك الكتاب</w:t>
      </w:r>
      <w:r w:rsidR="00F46024" w:rsidRPr="00FD211F">
        <w:rPr>
          <w:sz w:val="36"/>
          <w:szCs w:val="36"/>
          <w:rtl/>
        </w:rPr>
        <w:t>"</w:t>
      </w:r>
      <w:r w:rsidR="00C87F03" w:rsidRPr="00FD211F">
        <w:rPr>
          <w:sz w:val="36"/>
          <w:szCs w:val="36"/>
          <w:rtl/>
        </w:rPr>
        <w:t xml:space="preserve"> </w:t>
      </w:r>
      <w:r w:rsidR="00F46024" w:rsidRPr="00FD211F">
        <w:rPr>
          <w:sz w:val="36"/>
          <w:szCs w:val="36"/>
          <w:rtl/>
        </w:rPr>
        <w:t>يكون</w:t>
      </w:r>
      <w:r w:rsidR="00B253CE" w:rsidRPr="00FD211F">
        <w:rPr>
          <w:sz w:val="36"/>
          <w:szCs w:val="36"/>
          <w:rtl/>
        </w:rPr>
        <w:t xml:space="preserve"> </w:t>
      </w:r>
      <w:r w:rsidRPr="00FD211F">
        <w:rPr>
          <w:sz w:val="36"/>
          <w:szCs w:val="36"/>
          <w:rtl/>
        </w:rPr>
        <w:t>موجد</w:t>
      </w:r>
      <w:r w:rsidR="00F46024" w:rsidRPr="00FD211F">
        <w:rPr>
          <w:sz w:val="36"/>
          <w:szCs w:val="36"/>
          <w:rtl/>
        </w:rPr>
        <w:t>ا</w:t>
      </w:r>
      <w:r w:rsidR="00B253CE" w:rsidRPr="00FD211F">
        <w:rPr>
          <w:sz w:val="36"/>
          <w:szCs w:val="36"/>
          <w:rtl/>
        </w:rPr>
        <w:t xml:space="preserve"> </w:t>
      </w:r>
      <w:r w:rsidRPr="00FD211F">
        <w:rPr>
          <w:sz w:val="36"/>
          <w:szCs w:val="36"/>
          <w:rtl/>
        </w:rPr>
        <w:t>للبيع او لملكي</w:t>
      </w:r>
      <w:r w:rsidR="00EC7EDF" w:rsidRPr="00FD211F">
        <w:rPr>
          <w:sz w:val="36"/>
          <w:szCs w:val="36"/>
          <w:rtl/>
        </w:rPr>
        <w:t xml:space="preserve">ة </w:t>
      </w:r>
      <w:r w:rsidRPr="00FD211F">
        <w:rPr>
          <w:sz w:val="36"/>
          <w:szCs w:val="36"/>
          <w:rtl/>
        </w:rPr>
        <w:t>المخاطب</w:t>
      </w:r>
      <w:r w:rsidR="00603323" w:rsidRPr="00FD211F">
        <w:rPr>
          <w:sz w:val="36"/>
          <w:szCs w:val="36"/>
          <w:rtl/>
        </w:rPr>
        <w:t xml:space="preserve">، </w:t>
      </w:r>
      <w:r w:rsidR="009151A5" w:rsidRPr="00FD211F">
        <w:rPr>
          <w:sz w:val="36"/>
          <w:szCs w:val="36"/>
          <w:rtl/>
        </w:rPr>
        <w:t>و</w:t>
      </w:r>
      <w:r w:rsidRPr="00FD211F">
        <w:rPr>
          <w:sz w:val="36"/>
          <w:szCs w:val="36"/>
          <w:rtl/>
        </w:rPr>
        <w:t>حيث يحس الناظر بتحقق الملكي</w:t>
      </w:r>
      <w:r w:rsidR="00EC7EDF" w:rsidRPr="00FD211F">
        <w:rPr>
          <w:sz w:val="36"/>
          <w:szCs w:val="36"/>
          <w:rtl/>
        </w:rPr>
        <w:t xml:space="preserve">ة </w:t>
      </w:r>
      <w:r w:rsidRPr="00FD211F">
        <w:rPr>
          <w:sz w:val="36"/>
          <w:szCs w:val="36"/>
          <w:rtl/>
        </w:rPr>
        <w:t xml:space="preserve">عقيب البيع ينتقل ذهنه اليه </w:t>
      </w:r>
      <w:r w:rsidR="009151A5" w:rsidRPr="00FD211F">
        <w:rPr>
          <w:sz w:val="36"/>
          <w:szCs w:val="36"/>
          <w:rtl/>
        </w:rPr>
        <w:t>من دون ان يستعمل المتكلم الجمل</w:t>
      </w:r>
      <w:r w:rsidR="00EC7EDF" w:rsidRPr="00FD211F">
        <w:rPr>
          <w:sz w:val="36"/>
          <w:szCs w:val="36"/>
          <w:rtl/>
        </w:rPr>
        <w:t xml:space="preserve">ة </w:t>
      </w:r>
      <w:r w:rsidR="009151A5" w:rsidRPr="00FD211F">
        <w:rPr>
          <w:sz w:val="36"/>
          <w:szCs w:val="36"/>
          <w:rtl/>
        </w:rPr>
        <w:t>الانشائي</w:t>
      </w:r>
      <w:r w:rsidR="00EC7EDF" w:rsidRPr="00FD211F">
        <w:rPr>
          <w:sz w:val="36"/>
          <w:szCs w:val="36"/>
          <w:rtl/>
        </w:rPr>
        <w:t xml:space="preserve">ة </w:t>
      </w:r>
      <w:r w:rsidR="009151A5" w:rsidRPr="00FD211F">
        <w:rPr>
          <w:sz w:val="36"/>
          <w:szCs w:val="36"/>
          <w:rtl/>
        </w:rPr>
        <w:t xml:space="preserve">في معنى فيكون </w:t>
      </w:r>
      <w:r w:rsidRPr="00FD211F">
        <w:rPr>
          <w:sz w:val="36"/>
          <w:szCs w:val="36"/>
          <w:rtl/>
        </w:rPr>
        <w:t>كما لو اوجد الضرب في الخارج فأحسّ به الناظر</w:t>
      </w:r>
      <w:r w:rsidR="00603323" w:rsidRPr="00FD211F">
        <w:rPr>
          <w:sz w:val="36"/>
          <w:szCs w:val="36"/>
          <w:rtl/>
        </w:rPr>
        <w:t xml:space="preserve">، </w:t>
      </w:r>
      <w:r w:rsidRPr="00FD211F">
        <w:rPr>
          <w:sz w:val="36"/>
          <w:szCs w:val="36"/>
          <w:rtl/>
        </w:rPr>
        <w:t>او صاح احد على نائم فانتبه</w:t>
      </w:r>
      <w:r w:rsidR="00603323" w:rsidRPr="00FD211F">
        <w:rPr>
          <w:sz w:val="36"/>
          <w:szCs w:val="36"/>
          <w:rtl/>
        </w:rPr>
        <w:t xml:space="preserve">، </w:t>
      </w:r>
      <w:r w:rsidRPr="00FD211F">
        <w:rPr>
          <w:sz w:val="36"/>
          <w:szCs w:val="36"/>
          <w:rtl/>
        </w:rPr>
        <w:t>فانه ليس له اي معنى استعمالي وان كان الصائح ربما يتصور ح</w:t>
      </w:r>
      <w:r w:rsidR="00F46024" w:rsidRPr="00FD211F">
        <w:rPr>
          <w:sz w:val="36"/>
          <w:szCs w:val="36"/>
          <w:rtl/>
        </w:rPr>
        <w:t>ين صياحه انتباه النائم نتيج</w:t>
      </w:r>
      <w:r w:rsidR="00EC7EDF" w:rsidRPr="00FD211F">
        <w:rPr>
          <w:sz w:val="36"/>
          <w:szCs w:val="36"/>
          <w:rtl/>
        </w:rPr>
        <w:t xml:space="preserve">ة </w:t>
      </w:r>
      <w:r w:rsidR="00F46024" w:rsidRPr="00FD211F">
        <w:rPr>
          <w:sz w:val="36"/>
          <w:szCs w:val="36"/>
          <w:rtl/>
        </w:rPr>
        <w:t>عمله</w:t>
      </w:r>
      <w:r w:rsidRPr="00FD211F">
        <w:rPr>
          <w:sz w:val="36"/>
          <w:szCs w:val="36"/>
          <w:rtl/>
        </w:rPr>
        <w:t>.</w:t>
      </w:r>
    </w:p>
    <w:p w14:paraId="11017F4C" w14:textId="77777777" w:rsidR="00556BC0" w:rsidRPr="00FD211F" w:rsidRDefault="00556BC0" w:rsidP="009C58C8">
      <w:pPr>
        <w:ind w:left="0" w:firstLine="227"/>
        <w:jc w:val="both"/>
        <w:rPr>
          <w:sz w:val="36"/>
          <w:szCs w:val="36"/>
          <w:rtl/>
        </w:rPr>
      </w:pPr>
      <w:r w:rsidRPr="00FD211F">
        <w:rPr>
          <w:sz w:val="36"/>
          <w:szCs w:val="36"/>
          <w:rtl/>
        </w:rPr>
        <w:t>ويورد عليه</w:t>
      </w:r>
      <w:r w:rsidRPr="00FD211F">
        <w:rPr>
          <w:b/>
          <w:bCs/>
          <w:sz w:val="36"/>
          <w:szCs w:val="36"/>
          <w:rtl/>
        </w:rPr>
        <w:t xml:space="preserve"> اولا</w:t>
      </w:r>
      <w:r w:rsidR="00980BC5" w:rsidRPr="00FD211F">
        <w:rPr>
          <w:sz w:val="36"/>
          <w:szCs w:val="36"/>
          <w:rtl/>
        </w:rPr>
        <w:t>:</w:t>
      </w:r>
      <w:r w:rsidRPr="00FD211F">
        <w:rPr>
          <w:sz w:val="36"/>
          <w:szCs w:val="36"/>
          <w:rtl/>
        </w:rPr>
        <w:t xml:space="preserve"> انه ان اريد موجديته له بقطع النظر عن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بينهما فهو باطل جزما لعدم العلق</w:t>
      </w:r>
      <w:r w:rsidR="00EC7EDF" w:rsidRPr="00FD211F">
        <w:rPr>
          <w:sz w:val="36"/>
          <w:szCs w:val="36"/>
          <w:rtl/>
        </w:rPr>
        <w:t xml:space="preserve">ة </w:t>
      </w:r>
      <w:r w:rsidRPr="00FD211F">
        <w:rPr>
          <w:sz w:val="36"/>
          <w:szCs w:val="36"/>
          <w:rtl/>
        </w:rPr>
        <w:t>الذاتي</w:t>
      </w:r>
      <w:r w:rsidR="00EC7EDF" w:rsidRPr="00FD211F">
        <w:rPr>
          <w:sz w:val="36"/>
          <w:szCs w:val="36"/>
          <w:rtl/>
        </w:rPr>
        <w:t xml:space="preserve">ة </w:t>
      </w:r>
      <w:r w:rsidRPr="00FD211F">
        <w:rPr>
          <w:sz w:val="36"/>
          <w:szCs w:val="36"/>
          <w:rtl/>
        </w:rPr>
        <w:t>بينهما</w:t>
      </w:r>
      <w:r w:rsidR="00603323" w:rsidRPr="00FD211F">
        <w:rPr>
          <w:sz w:val="36"/>
          <w:szCs w:val="36"/>
          <w:rtl/>
        </w:rPr>
        <w:t xml:space="preserve">، </w:t>
      </w:r>
      <w:r w:rsidRPr="00FD211F">
        <w:rPr>
          <w:sz w:val="36"/>
          <w:szCs w:val="36"/>
          <w:rtl/>
        </w:rPr>
        <w:t>وان اريد موجديته له بلحاظ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بينهما فقد مر ان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بمعنى القرن الأكيد بين اللفظ والمعنى</w:t>
      </w:r>
      <w:r w:rsidR="00603323" w:rsidRPr="00FD211F">
        <w:rPr>
          <w:sz w:val="36"/>
          <w:szCs w:val="36"/>
          <w:rtl/>
        </w:rPr>
        <w:t xml:space="preserve">، </w:t>
      </w:r>
      <w:r w:rsidRPr="00FD211F">
        <w:rPr>
          <w:sz w:val="36"/>
          <w:szCs w:val="36"/>
          <w:rtl/>
        </w:rPr>
        <w:t>وهذا يعني استلزام تصور اللفظ لتصور المعنى فتكون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تصوري</w:t>
      </w:r>
      <w:r w:rsidR="00EC7EDF" w:rsidRPr="00FD211F">
        <w:rPr>
          <w:sz w:val="36"/>
          <w:szCs w:val="36"/>
          <w:rtl/>
        </w:rPr>
        <w:t xml:space="preserve">ة </w:t>
      </w:r>
      <w:r w:rsidRPr="00FD211F">
        <w:rPr>
          <w:sz w:val="36"/>
          <w:szCs w:val="36"/>
          <w:rtl/>
        </w:rPr>
        <w:t>دائما</w:t>
      </w:r>
      <w:r w:rsidR="00603323" w:rsidRPr="00FD211F">
        <w:rPr>
          <w:sz w:val="36"/>
          <w:szCs w:val="36"/>
          <w:rtl/>
        </w:rPr>
        <w:t xml:space="preserve">، </w:t>
      </w:r>
      <w:r w:rsidRPr="00FD211F">
        <w:rPr>
          <w:sz w:val="36"/>
          <w:szCs w:val="36"/>
          <w:rtl/>
        </w:rPr>
        <w:t>فلو سمع من متكلم غير ملتفت كالنائم او من تموّج الهواء كلم</w:t>
      </w:r>
      <w:r w:rsidR="00EC7EDF" w:rsidRPr="00FD211F">
        <w:rPr>
          <w:sz w:val="36"/>
          <w:szCs w:val="36"/>
          <w:rtl/>
        </w:rPr>
        <w:t xml:space="preserve">ة </w:t>
      </w:r>
      <w:r w:rsidRPr="00FD211F">
        <w:rPr>
          <w:sz w:val="36"/>
          <w:szCs w:val="36"/>
          <w:rtl/>
        </w:rPr>
        <w:t>"اضرب" انتقل ذهنه الى معناه</w:t>
      </w:r>
      <w:r w:rsidR="00603323" w:rsidRPr="00FD211F">
        <w:rPr>
          <w:sz w:val="36"/>
          <w:szCs w:val="36"/>
          <w:rtl/>
        </w:rPr>
        <w:t xml:space="preserve">، </w:t>
      </w:r>
      <w:r w:rsidRPr="00FD211F">
        <w:rPr>
          <w:sz w:val="36"/>
          <w:szCs w:val="36"/>
          <w:rtl/>
        </w:rPr>
        <w:t>فلايوجب اللفظ بمقتضى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ايجاد المعنى في الخارج</w:t>
      </w:r>
      <w:r w:rsidR="00603323" w:rsidRPr="00FD211F">
        <w:rPr>
          <w:sz w:val="36"/>
          <w:szCs w:val="36"/>
          <w:rtl/>
        </w:rPr>
        <w:t xml:space="preserve">، </w:t>
      </w:r>
      <w:r w:rsidRPr="00FD211F">
        <w:rPr>
          <w:sz w:val="36"/>
          <w:szCs w:val="36"/>
          <w:rtl/>
        </w:rPr>
        <w:t>وانما يوجب تصوره في ذهن المخاطب.</w:t>
      </w:r>
    </w:p>
    <w:p w14:paraId="017D3286" w14:textId="77777777" w:rsidR="00556BC0" w:rsidRPr="00FD211F" w:rsidRDefault="00556BC0" w:rsidP="009C58C8">
      <w:pPr>
        <w:ind w:left="0" w:firstLine="227"/>
        <w:jc w:val="both"/>
        <w:rPr>
          <w:sz w:val="36"/>
          <w:szCs w:val="36"/>
          <w:rtl/>
        </w:rPr>
      </w:pPr>
      <w:r w:rsidRPr="00FD211F">
        <w:rPr>
          <w:b/>
          <w:bCs/>
          <w:sz w:val="36"/>
          <w:szCs w:val="36"/>
          <w:rtl/>
        </w:rPr>
        <w:t>وثانيا</w:t>
      </w:r>
      <w:r w:rsidRPr="00FD211F">
        <w:rPr>
          <w:sz w:val="36"/>
          <w:szCs w:val="36"/>
          <w:rtl/>
        </w:rPr>
        <w:t>: انه في مثل التمني والترجي والاستفهام ان اريد كون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موجد</w:t>
      </w:r>
      <w:r w:rsidR="00EC7EDF" w:rsidRPr="00FD211F">
        <w:rPr>
          <w:sz w:val="36"/>
          <w:szCs w:val="36"/>
          <w:rtl/>
        </w:rPr>
        <w:t xml:space="preserve">ة </w:t>
      </w:r>
      <w:r w:rsidRPr="00FD211F">
        <w:rPr>
          <w:sz w:val="36"/>
          <w:szCs w:val="36"/>
          <w:rtl/>
        </w:rPr>
        <w:t>لهذه الأمور خارجا فالمفروض انها موجود</w:t>
      </w:r>
      <w:r w:rsidR="00EC7EDF" w:rsidRPr="00FD211F">
        <w:rPr>
          <w:sz w:val="36"/>
          <w:szCs w:val="36"/>
          <w:rtl/>
        </w:rPr>
        <w:t xml:space="preserve">ة </w:t>
      </w:r>
      <w:r w:rsidRPr="00FD211F">
        <w:rPr>
          <w:sz w:val="36"/>
          <w:szCs w:val="36"/>
          <w:rtl/>
        </w:rPr>
        <w:t>في نفس المتكلم سابقا على إنشاءه</w:t>
      </w:r>
      <w:r w:rsidR="00603323" w:rsidRPr="00FD211F">
        <w:rPr>
          <w:sz w:val="36"/>
          <w:szCs w:val="36"/>
          <w:rtl/>
        </w:rPr>
        <w:t xml:space="preserve">، </w:t>
      </w:r>
      <w:r w:rsidRPr="00FD211F">
        <w:rPr>
          <w:sz w:val="36"/>
          <w:szCs w:val="36"/>
          <w:rtl/>
        </w:rPr>
        <w:t>وان اريد وجود صورتها في ذهن المخاطب بسبب هذا اللفظ فهذا مما لايختص بالجمل الإنشائي</w:t>
      </w:r>
      <w:r w:rsidR="00EC7EDF" w:rsidRPr="00FD211F">
        <w:rPr>
          <w:sz w:val="36"/>
          <w:szCs w:val="36"/>
          <w:rtl/>
        </w:rPr>
        <w:t xml:space="preserve">ة </w:t>
      </w:r>
      <w:r w:rsidRPr="00FD211F">
        <w:rPr>
          <w:sz w:val="36"/>
          <w:szCs w:val="36"/>
          <w:rtl/>
        </w:rPr>
        <w:t>حيث ان اللفظ يوجد المعنى في ذهن المخاطب دائما</w:t>
      </w:r>
      <w:r w:rsidR="00603323" w:rsidRPr="00FD211F">
        <w:rPr>
          <w:sz w:val="36"/>
          <w:szCs w:val="36"/>
          <w:rtl/>
        </w:rPr>
        <w:t xml:space="preserve">، </w:t>
      </w:r>
      <w:r w:rsidRPr="00FD211F">
        <w:rPr>
          <w:sz w:val="36"/>
          <w:szCs w:val="36"/>
          <w:rtl/>
        </w:rPr>
        <w:t>وان اريد ان لهذه الأمور وجودات إنشائي</w:t>
      </w:r>
      <w:r w:rsidR="00EC7EDF" w:rsidRPr="00FD211F">
        <w:rPr>
          <w:sz w:val="36"/>
          <w:szCs w:val="36"/>
          <w:rtl/>
        </w:rPr>
        <w:t xml:space="preserve">ة </w:t>
      </w:r>
      <w:r w:rsidRPr="00FD211F">
        <w:rPr>
          <w:sz w:val="36"/>
          <w:szCs w:val="36"/>
          <w:rtl/>
        </w:rPr>
        <w:t>غير وجوداتها التكويني</w:t>
      </w:r>
      <w:r w:rsidR="00EC7EDF" w:rsidRPr="00FD211F">
        <w:rPr>
          <w:sz w:val="36"/>
          <w:szCs w:val="36"/>
          <w:rtl/>
        </w:rPr>
        <w:t xml:space="preserve">ة </w:t>
      </w:r>
      <w:r w:rsidRPr="00FD211F">
        <w:rPr>
          <w:sz w:val="36"/>
          <w:szCs w:val="36"/>
          <w:rtl/>
        </w:rPr>
        <w:t>والاستعمال يكون سببا لوجوداتها الإنشائي</w:t>
      </w:r>
      <w:r w:rsidR="00EC7EDF" w:rsidRPr="00FD211F">
        <w:rPr>
          <w:sz w:val="36"/>
          <w:szCs w:val="36"/>
          <w:rtl/>
        </w:rPr>
        <w:t>ة</w:t>
      </w:r>
      <w:r w:rsidR="00603323" w:rsidRPr="00FD211F">
        <w:rPr>
          <w:sz w:val="36"/>
          <w:szCs w:val="36"/>
          <w:rtl/>
        </w:rPr>
        <w:t xml:space="preserve">، </w:t>
      </w:r>
      <w:r w:rsidRPr="00FD211F">
        <w:rPr>
          <w:sz w:val="36"/>
          <w:szCs w:val="36"/>
          <w:rtl/>
        </w:rPr>
        <w:t xml:space="preserve">فنسأل عن المراد من الوجود الإنشائي فان اريد منه الوجود الاعتباري </w:t>
      </w:r>
      <w:r w:rsidR="009151A5" w:rsidRPr="00FD211F">
        <w:rPr>
          <w:sz w:val="36"/>
          <w:szCs w:val="36"/>
          <w:rtl/>
        </w:rPr>
        <w:t xml:space="preserve">ففيه </w:t>
      </w:r>
      <w:r w:rsidRPr="00FD211F">
        <w:rPr>
          <w:sz w:val="36"/>
          <w:szCs w:val="36"/>
          <w:rtl/>
        </w:rPr>
        <w:t>–فمضافا الى ان استعمال جمل</w:t>
      </w:r>
      <w:r w:rsidR="00EC7EDF" w:rsidRPr="00FD211F">
        <w:rPr>
          <w:sz w:val="36"/>
          <w:szCs w:val="36"/>
          <w:rtl/>
        </w:rPr>
        <w:t xml:space="preserve">ة </w:t>
      </w:r>
      <w:r w:rsidRPr="00FD211F">
        <w:rPr>
          <w:sz w:val="36"/>
          <w:szCs w:val="36"/>
          <w:rtl/>
        </w:rPr>
        <w:t>التمني و</w:t>
      </w:r>
      <w:r w:rsidR="009151A5" w:rsidRPr="00FD211F">
        <w:rPr>
          <w:sz w:val="36"/>
          <w:szCs w:val="36"/>
          <w:rtl/>
        </w:rPr>
        <w:t>الترجي والاستفهام لايحتاج الى</w:t>
      </w:r>
      <w:r w:rsidRPr="00FD211F">
        <w:rPr>
          <w:sz w:val="36"/>
          <w:szCs w:val="36"/>
          <w:rtl/>
        </w:rPr>
        <w:t xml:space="preserve"> اي اعتبار- </w:t>
      </w:r>
      <w:r w:rsidR="009151A5" w:rsidRPr="00FD211F">
        <w:rPr>
          <w:sz w:val="36"/>
          <w:szCs w:val="36"/>
          <w:rtl/>
        </w:rPr>
        <w:t xml:space="preserve">انه </w:t>
      </w:r>
      <w:r w:rsidRPr="00FD211F">
        <w:rPr>
          <w:sz w:val="36"/>
          <w:szCs w:val="36"/>
          <w:rtl/>
        </w:rPr>
        <w:t>لابد فيه من سبق اعتبار ولايتحقق بمجرد اللفظ</w:t>
      </w:r>
      <w:r w:rsidR="00603323" w:rsidRPr="00FD211F">
        <w:rPr>
          <w:sz w:val="36"/>
          <w:szCs w:val="36"/>
          <w:rtl/>
        </w:rPr>
        <w:t xml:space="preserve">، </w:t>
      </w:r>
      <w:r w:rsidRPr="00FD211F">
        <w:rPr>
          <w:sz w:val="36"/>
          <w:szCs w:val="36"/>
          <w:rtl/>
        </w:rPr>
        <w:t>وان اريد منه الوجود الحاصل باستعمال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فكلامنا الآن في تشخيص حقيقته.</w:t>
      </w:r>
    </w:p>
    <w:p w14:paraId="3B07DCBA" w14:textId="77777777" w:rsidR="00556BC0" w:rsidRPr="00FD211F" w:rsidRDefault="00556BC0" w:rsidP="009C58C8">
      <w:pPr>
        <w:ind w:left="0" w:firstLine="227"/>
        <w:jc w:val="both"/>
        <w:rPr>
          <w:sz w:val="36"/>
          <w:szCs w:val="36"/>
          <w:rtl/>
        </w:rPr>
      </w:pPr>
      <w:r w:rsidRPr="00FD211F">
        <w:rPr>
          <w:sz w:val="36"/>
          <w:szCs w:val="36"/>
          <w:rtl/>
        </w:rPr>
        <w:t>ولعل الذي اوجب اختيار ه</w:t>
      </w:r>
      <w:r w:rsidR="009151A5" w:rsidRPr="00FD211F">
        <w:rPr>
          <w:sz w:val="36"/>
          <w:szCs w:val="36"/>
          <w:rtl/>
        </w:rPr>
        <w:t>ذا الوجه الاول هو ما يرى من تحقق مصداق معنى</w:t>
      </w:r>
      <w:r w:rsidR="00B253CE" w:rsidRPr="00FD211F">
        <w:rPr>
          <w:sz w:val="36"/>
          <w:szCs w:val="36"/>
          <w:rtl/>
        </w:rPr>
        <w:t xml:space="preserve"> </w:t>
      </w:r>
      <w:r w:rsidRPr="00FD211F">
        <w:rPr>
          <w:sz w:val="36"/>
          <w:szCs w:val="36"/>
          <w:rtl/>
        </w:rPr>
        <w:t>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00732DC3" w:rsidRPr="00FD211F">
        <w:rPr>
          <w:sz w:val="36"/>
          <w:szCs w:val="36"/>
          <w:rtl/>
        </w:rPr>
        <w:t>باستعمالها احيانا</w:t>
      </w:r>
      <w:r w:rsidR="00603323" w:rsidRPr="00FD211F">
        <w:rPr>
          <w:sz w:val="36"/>
          <w:szCs w:val="36"/>
          <w:rtl/>
        </w:rPr>
        <w:t xml:space="preserve">، </w:t>
      </w:r>
      <w:r w:rsidRPr="00FD211F">
        <w:rPr>
          <w:sz w:val="36"/>
          <w:szCs w:val="36"/>
          <w:rtl/>
        </w:rPr>
        <w:t>فاذا قال المولى "اضرب" تحقق بكلامه مصداق من الطلب</w:t>
      </w:r>
      <w:r w:rsidR="008D7B3D" w:rsidRPr="00FD211F">
        <w:rPr>
          <w:sz w:val="36"/>
          <w:szCs w:val="36"/>
          <w:rtl/>
        </w:rPr>
        <w:t xml:space="preserve"> لم‌</w:t>
      </w:r>
      <w:r w:rsidRPr="00FD211F">
        <w:rPr>
          <w:sz w:val="36"/>
          <w:szCs w:val="36"/>
          <w:rtl/>
        </w:rPr>
        <w:t>يكن متحققا قبله</w:t>
      </w:r>
      <w:r w:rsidR="00603323" w:rsidRPr="00FD211F">
        <w:rPr>
          <w:sz w:val="36"/>
          <w:szCs w:val="36"/>
          <w:rtl/>
        </w:rPr>
        <w:t xml:space="preserve">، </w:t>
      </w:r>
      <w:r w:rsidRPr="00FD211F">
        <w:rPr>
          <w:sz w:val="36"/>
          <w:szCs w:val="36"/>
          <w:rtl/>
        </w:rPr>
        <w:t>فتكون ا</w:t>
      </w:r>
      <w:r w:rsidR="00732DC3" w:rsidRPr="00FD211F">
        <w:rPr>
          <w:sz w:val="36"/>
          <w:szCs w:val="36"/>
          <w:rtl/>
        </w:rPr>
        <w:t>لنسب</w:t>
      </w:r>
      <w:r w:rsidR="00EC7EDF" w:rsidRPr="00FD211F">
        <w:rPr>
          <w:sz w:val="36"/>
          <w:szCs w:val="36"/>
          <w:rtl/>
        </w:rPr>
        <w:t xml:space="preserve">ة </w:t>
      </w:r>
      <w:r w:rsidR="00732DC3" w:rsidRPr="00FD211F">
        <w:rPr>
          <w:sz w:val="36"/>
          <w:szCs w:val="36"/>
          <w:rtl/>
        </w:rPr>
        <w:t>بينه وبين مفهوم الطلب نسب</w:t>
      </w:r>
      <w:r w:rsidR="00EC7EDF" w:rsidRPr="00FD211F">
        <w:rPr>
          <w:sz w:val="36"/>
          <w:szCs w:val="36"/>
          <w:rtl/>
        </w:rPr>
        <w:t xml:space="preserve">ة </w:t>
      </w:r>
      <w:r w:rsidR="00732DC3" w:rsidRPr="00FD211F">
        <w:rPr>
          <w:sz w:val="36"/>
          <w:szCs w:val="36"/>
          <w:rtl/>
        </w:rPr>
        <w:t>المصداق</w:t>
      </w:r>
      <w:r w:rsidRPr="00FD211F">
        <w:rPr>
          <w:sz w:val="36"/>
          <w:szCs w:val="36"/>
          <w:rtl/>
        </w:rPr>
        <w:t xml:space="preserve"> الى الكلي</w:t>
      </w:r>
      <w:r w:rsidR="00603323" w:rsidRPr="00FD211F">
        <w:rPr>
          <w:sz w:val="36"/>
          <w:szCs w:val="36"/>
          <w:rtl/>
        </w:rPr>
        <w:t xml:space="preserve">، </w:t>
      </w:r>
      <w:r w:rsidRPr="00FD211F">
        <w:rPr>
          <w:sz w:val="36"/>
          <w:szCs w:val="36"/>
          <w:rtl/>
        </w:rPr>
        <w:t xml:space="preserve">وهكذا اذا قال رجل </w:t>
      </w:r>
      <w:r w:rsidR="00F46024" w:rsidRPr="00FD211F">
        <w:rPr>
          <w:sz w:val="36"/>
          <w:szCs w:val="36"/>
          <w:rtl/>
        </w:rPr>
        <w:t>"</w:t>
      </w:r>
      <w:r w:rsidRPr="00FD211F">
        <w:rPr>
          <w:sz w:val="36"/>
          <w:szCs w:val="36"/>
          <w:rtl/>
        </w:rPr>
        <w:t>بعت داري</w:t>
      </w:r>
      <w:r w:rsidR="00F46024" w:rsidRPr="00FD211F">
        <w:rPr>
          <w:sz w:val="36"/>
          <w:szCs w:val="36"/>
          <w:rtl/>
        </w:rPr>
        <w:t>"</w:t>
      </w:r>
      <w:r w:rsidRPr="00FD211F">
        <w:rPr>
          <w:sz w:val="36"/>
          <w:szCs w:val="36"/>
          <w:rtl/>
        </w:rPr>
        <w:t xml:space="preserve"> تحقق فرد من البيع</w:t>
      </w:r>
      <w:r w:rsidR="008D7B3D" w:rsidRPr="00FD211F">
        <w:rPr>
          <w:sz w:val="36"/>
          <w:szCs w:val="36"/>
          <w:rtl/>
        </w:rPr>
        <w:t xml:space="preserve"> لم‌</w:t>
      </w:r>
      <w:r w:rsidRPr="00FD211F">
        <w:rPr>
          <w:sz w:val="36"/>
          <w:szCs w:val="36"/>
          <w:rtl/>
        </w:rPr>
        <w:t>يكن متحققا قبله.</w:t>
      </w:r>
    </w:p>
    <w:p w14:paraId="37AB9F31" w14:textId="77777777" w:rsidR="00556BC0" w:rsidRPr="00FD211F" w:rsidRDefault="00556BC0" w:rsidP="009C58C8">
      <w:pPr>
        <w:ind w:left="0" w:firstLine="227"/>
        <w:jc w:val="both"/>
        <w:rPr>
          <w:sz w:val="36"/>
          <w:szCs w:val="36"/>
          <w:rtl/>
        </w:rPr>
      </w:pPr>
      <w:r w:rsidRPr="00FD211F">
        <w:rPr>
          <w:sz w:val="36"/>
          <w:szCs w:val="36"/>
          <w:rtl/>
        </w:rPr>
        <w:t>الا ان ذلك ليس مقوما لمدلول الجمل</w:t>
      </w:r>
      <w:r w:rsidR="00EC7EDF" w:rsidRPr="00FD211F">
        <w:rPr>
          <w:sz w:val="36"/>
          <w:szCs w:val="36"/>
          <w:rtl/>
        </w:rPr>
        <w:t xml:space="preserve">ة </w:t>
      </w:r>
      <w:r w:rsidRPr="00FD211F">
        <w:rPr>
          <w:sz w:val="36"/>
          <w:szCs w:val="36"/>
          <w:rtl/>
        </w:rPr>
        <w:t>الإنشائي</w:t>
      </w:r>
      <w:r w:rsidR="00EC7EDF" w:rsidRPr="00FD211F">
        <w:rPr>
          <w:sz w:val="36"/>
          <w:szCs w:val="36"/>
          <w:rtl/>
        </w:rPr>
        <w:t>ة</w:t>
      </w:r>
      <w:r w:rsidR="00603323" w:rsidRPr="00FD211F">
        <w:rPr>
          <w:sz w:val="36"/>
          <w:szCs w:val="36"/>
          <w:rtl/>
        </w:rPr>
        <w:t xml:space="preserve">، </w:t>
      </w:r>
      <w:r w:rsidRPr="00FD211F">
        <w:rPr>
          <w:sz w:val="36"/>
          <w:szCs w:val="36"/>
          <w:rtl/>
        </w:rPr>
        <w:t>فقد يصدر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 xml:space="preserve">من متكلم غير </w:t>
      </w:r>
      <w:r w:rsidR="00732DC3" w:rsidRPr="00FD211F">
        <w:rPr>
          <w:sz w:val="36"/>
          <w:szCs w:val="36"/>
          <w:rtl/>
        </w:rPr>
        <w:t>ملتفت كالنائم</w:t>
      </w:r>
      <w:r w:rsidR="00B253CE" w:rsidRPr="00FD211F">
        <w:rPr>
          <w:sz w:val="36"/>
          <w:szCs w:val="36"/>
          <w:rtl/>
        </w:rPr>
        <w:t xml:space="preserve"> </w:t>
      </w:r>
      <w:r w:rsidRPr="00FD211F">
        <w:rPr>
          <w:sz w:val="36"/>
          <w:szCs w:val="36"/>
          <w:rtl/>
        </w:rPr>
        <w:t>او يستعملها المتكلم الملتفت بداعي الهزل ولااشكال في ان معناه يختلف عن معنى الجمل</w:t>
      </w:r>
      <w:r w:rsidR="00EC7EDF" w:rsidRPr="00FD211F">
        <w:rPr>
          <w:sz w:val="36"/>
          <w:szCs w:val="36"/>
          <w:rtl/>
        </w:rPr>
        <w:t xml:space="preserve">ة </w:t>
      </w:r>
      <w:r w:rsidRPr="00FD211F">
        <w:rPr>
          <w:sz w:val="36"/>
          <w:szCs w:val="36"/>
          <w:rtl/>
        </w:rPr>
        <w:t>الخبري</w:t>
      </w:r>
      <w:r w:rsidR="00EC7EDF" w:rsidRPr="00FD211F">
        <w:rPr>
          <w:sz w:val="36"/>
          <w:szCs w:val="36"/>
          <w:rtl/>
        </w:rPr>
        <w:t>ة</w:t>
      </w:r>
      <w:r w:rsidR="00603323" w:rsidRPr="00FD211F">
        <w:rPr>
          <w:sz w:val="36"/>
          <w:szCs w:val="36"/>
          <w:rtl/>
        </w:rPr>
        <w:t xml:space="preserve">، </w:t>
      </w:r>
      <w:r w:rsidRPr="00FD211F">
        <w:rPr>
          <w:sz w:val="36"/>
          <w:szCs w:val="36"/>
          <w:rtl/>
        </w:rPr>
        <w:t>وان</w:t>
      </w:r>
      <w:r w:rsidR="00C01B3C" w:rsidRPr="00FD211F">
        <w:rPr>
          <w:sz w:val="36"/>
          <w:szCs w:val="36"/>
          <w:rtl/>
        </w:rPr>
        <w:t xml:space="preserve"> صدرت من النائم او</w:t>
      </w:r>
      <w:r w:rsidRPr="00FD211F">
        <w:rPr>
          <w:sz w:val="36"/>
          <w:szCs w:val="36"/>
          <w:rtl/>
        </w:rPr>
        <w:t xml:space="preserve"> استعملت بداعي الهزل ايضا.</w:t>
      </w:r>
    </w:p>
    <w:p w14:paraId="4E06F504" w14:textId="77777777" w:rsidR="00556BC0" w:rsidRPr="00FD211F" w:rsidRDefault="00556BC0" w:rsidP="009C58C8">
      <w:pPr>
        <w:ind w:left="0" w:firstLine="227"/>
        <w:jc w:val="both"/>
        <w:rPr>
          <w:sz w:val="36"/>
          <w:szCs w:val="36"/>
          <w:rtl/>
        </w:rPr>
      </w:pPr>
      <w:r w:rsidRPr="00FD211F">
        <w:rPr>
          <w:b/>
          <w:bCs/>
          <w:sz w:val="36"/>
          <w:szCs w:val="36"/>
          <w:rtl/>
        </w:rPr>
        <w:t>الوجه الثاني</w:t>
      </w:r>
      <w:r w:rsidRPr="00FD211F">
        <w:rPr>
          <w:sz w:val="36"/>
          <w:szCs w:val="36"/>
          <w:rtl/>
        </w:rPr>
        <w:t>: ما ذكره المحقق الاصفهاني</w:t>
      </w:r>
      <w:r w:rsidR="00A61BAE" w:rsidRPr="00FD211F">
        <w:rPr>
          <w:sz w:val="36"/>
          <w:szCs w:val="36"/>
          <w:rtl/>
        </w:rPr>
        <w:t xml:space="preserve"> </w:t>
      </w:r>
      <w:r w:rsidR="005D03BA" w:rsidRPr="00FD211F">
        <w:rPr>
          <w:sz w:val="36"/>
          <w:szCs w:val="36"/>
          <w:rtl/>
        </w:rPr>
        <w:t>“قده”</w:t>
      </w:r>
      <w:r w:rsidR="00A61BAE" w:rsidRPr="00FD211F">
        <w:rPr>
          <w:sz w:val="36"/>
          <w:szCs w:val="36"/>
          <w:rtl/>
        </w:rPr>
        <w:t xml:space="preserve"> </w:t>
      </w:r>
      <w:r w:rsidRPr="00FD211F">
        <w:rPr>
          <w:sz w:val="36"/>
          <w:szCs w:val="36"/>
          <w:rtl/>
        </w:rPr>
        <w:t>من ان جميع الاستعمالات تكون مشترك</w:t>
      </w:r>
      <w:r w:rsidR="00EC7EDF" w:rsidRPr="00FD211F">
        <w:rPr>
          <w:sz w:val="36"/>
          <w:szCs w:val="36"/>
          <w:rtl/>
        </w:rPr>
        <w:t xml:space="preserve">ة </w:t>
      </w:r>
      <w:r w:rsidRPr="00FD211F">
        <w:rPr>
          <w:sz w:val="36"/>
          <w:szCs w:val="36"/>
          <w:rtl/>
        </w:rPr>
        <w:t>في انها وجود لل</w:t>
      </w:r>
      <w:r w:rsidR="00C01B3C" w:rsidRPr="00FD211F">
        <w:rPr>
          <w:sz w:val="36"/>
          <w:szCs w:val="36"/>
          <w:rtl/>
        </w:rPr>
        <w:t>ّ</w:t>
      </w:r>
      <w:r w:rsidRPr="00FD211F">
        <w:rPr>
          <w:sz w:val="36"/>
          <w:szCs w:val="36"/>
          <w:rtl/>
        </w:rPr>
        <w:t>فظ بالذات ووجود للمعنى بالعرض والتنزيل</w:t>
      </w:r>
      <w:r w:rsidR="00603323" w:rsidRPr="00FD211F">
        <w:rPr>
          <w:sz w:val="36"/>
          <w:szCs w:val="36"/>
          <w:rtl/>
        </w:rPr>
        <w:t xml:space="preserve">، </w:t>
      </w:r>
      <w:r w:rsidRPr="00FD211F">
        <w:rPr>
          <w:sz w:val="36"/>
          <w:szCs w:val="36"/>
          <w:rtl/>
        </w:rPr>
        <w:t>حيث ان الوضع هو تنزيل المعنى منزل</w:t>
      </w:r>
      <w:r w:rsidR="00EC7EDF" w:rsidRPr="00FD211F">
        <w:rPr>
          <w:sz w:val="36"/>
          <w:szCs w:val="36"/>
          <w:rtl/>
        </w:rPr>
        <w:t xml:space="preserve">ة </w:t>
      </w:r>
      <w:r w:rsidRPr="00FD211F">
        <w:rPr>
          <w:sz w:val="36"/>
          <w:szCs w:val="36"/>
          <w:rtl/>
        </w:rPr>
        <w:t>اللفظ فالاستعمال يكون ايجادا</w:t>
      </w:r>
      <w:r w:rsidR="00C01B3C" w:rsidRPr="00FD211F">
        <w:rPr>
          <w:sz w:val="36"/>
          <w:szCs w:val="36"/>
          <w:rtl/>
        </w:rPr>
        <w:t>ً</w:t>
      </w:r>
      <w:r w:rsidRPr="00FD211F">
        <w:rPr>
          <w:sz w:val="36"/>
          <w:szCs w:val="36"/>
          <w:rtl/>
        </w:rPr>
        <w:t xml:space="preserve"> لل</w:t>
      </w:r>
      <w:r w:rsidR="00C01B3C" w:rsidRPr="00FD211F">
        <w:rPr>
          <w:sz w:val="36"/>
          <w:szCs w:val="36"/>
          <w:rtl/>
        </w:rPr>
        <w:t xml:space="preserve">ّفظ </w:t>
      </w:r>
      <w:r w:rsidRPr="00FD211F">
        <w:rPr>
          <w:sz w:val="36"/>
          <w:szCs w:val="36"/>
          <w:rtl/>
        </w:rPr>
        <w:t>حق</w:t>
      </w:r>
      <w:r w:rsidR="00C01B3C" w:rsidRPr="00FD211F">
        <w:rPr>
          <w:sz w:val="36"/>
          <w:szCs w:val="36"/>
          <w:rtl/>
        </w:rPr>
        <w:t>يق</w:t>
      </w:r>
      <w:r w:rsidR="00EC7EDF" w:rsidRPr="00FD211F">
        <w:rPr>
          <w:sz w:val="36"/>
          <w:szCs w:val="36"/>
          <w:rtl/>
        </w:rPr>
        <w:t xml:space="preserve">ة </w:t>
      </w:r>
      <w:r w:rsidRPr="00FD211F">
        <w:rPr>
          <w:sz w:val="36"/>
          <w:szCs w:val="36"/>
          <w:rtl/>
        </w:rPr>
        <w:t>و</w:t>
      </w:r>
      <w:r w:rsidR="004B44F8" w:rsidRPr="00FD211F">
        <w:rPr>
          <w:sz w:val="36"/>
          <w:szCs w:val="36"/>
          <w:rtl/>
        </w:rPr>
        <w:t>ايجادا</w:t>
      </w:r>
      <w:r w:rsidR="00C01B3C" w:rsidRPr="00FD211F">
        <w:rPr>
          <w:sz w:val="36"/>
          <w:szCs w:val="36"/>
          <w:rtl/>
        </w:rPr>
        <w:t>ً</w:t>
      </w:r>
      <w:r w:rsidR="00C87F03" w:rsidRPr="00FD211F">
        <w:rPr>
          <w:sz w:val="36"/>
          <w:szCs w:val="36"/>
          <w:rtl/>
        </w:rPr>
        <w:t xml:space="preserve"> </w:t>
      </w:r>
      <w:r w:rsidR="00C01B3C" w:rsidRPr="00FD211F">
        <w:rPr>
          <w:sz w:val="36"/>
          <w:szCs w:val="36"/>
          <w:rtl/>
        </w:rPr>
        <w:t>للمعنى تنزيلا</w:t>
      </w:r>
      <w:r w:rsidR="00603323" w:rsidRPr="00FD211F">
        <w:rPr>
          <w:sz w:val="36"/>
          <w:szCs w:val="36"/>
          <w:rtl/>
        </w:rPr>
        <w:t xml:space="preserve">، </w:t>
      </w:r>
      <w:r w:rsidRPr="00FD211F">
        <w:rPr>
          <w:sz w:val="36"/>
          <w:szCs w:val="36"/>
          <w:rtl/>
        </w:rPr>
        <w:t>غاي</w:t>
      </w:r>
      <w:r w:rsidR="00EC7EDF" w:rsidRPr="00FD211F">
        <w:rPr>
          <w:sz w:val="36"/>
          <w:szCs w:val="36"/>
          <w:rtl/>
        </w:rPr>
        <w:t xml:space="preserve">ة </w:t>
      </w:r>
      <w:r w:rsidR="001B3112" w:rsidRPr="00FD211F">
        <w:rPr>
          <w:sz w:val="36"/>
          <w:szCs w:val="36"/>
          <w:rtl/>
        </w:rPr>
        <w:t>الأمر</w:t>
      </w:r>
      <w:r w:rsidRPr="00FD211F">
        <w:rPr>
          <w:sz w:val="36"/>
          <w:szCs w:val="36"/>
          <w:rtl/>
        </w:rPr>
        <w:t xml:space="preserve"> انه قد يقصد المستعمل</w:t>
      </w:r>
      <w:r w:rsidR="00C01B3C" w:rsidRPr="00FD211F">
        <w:rPr>
          <w:sz w:val="36"/>
          <w:szCs w:val="36"/>
          <w:rtl/>
        </w:rPr>
        <w:t>-</w:t>
      </w:r>
      <w:r w:rsidRPr="00FD211F">
        <w:rPr>
          <w:sz w:val="36"/>
          <w:szCs w:val="36"/>
          <w:rtl/>
        </w:rPr>
        <w:t xml:space="preserve"> زائدا على قصد ايجاد المعن</w:t>
      </w:r>
      <w:r w:rsidR="00597DE9" w:rsidRPr="00FD211F">
        <w:rPr>
          <w:sz w:val="36"/>
          <w:szCs w:val="36"/>
          <w:rtl/>
        </w:rPr>
        <w:t>ى بالعرض</w:t>
      </w:r>
      <w:r w:rsidR="00C01B3C" w:rsidRPr="00FD211F">
        <w:rPr>
          <w:sz w:val="36"/>
          <w:szCs w:val="36"/>
          <w:rtl/>
        </w:rPr>
        <w:t xml:space="preserve"> والتنزيل -</w:t>
      </w:r>
      <w:r w:rsidR="00597DE9" w:rsidRPr="00FD211F">
        <w:rPr>
          <w:sz w:val="36"/>
          <w:szCs w:val="36"/>
          <w:rtl/>
        </w:rPr>
        <w:t>أن يحكي</w:t>
      </w:r>
      <w:r w:rsidRPr="00FD211F">
        <w:rPr>
          <w:sz w:val="36"/>
          <w:szCs w:val="36"/>
          <w:rtl/>
        </w:rPr>
        <w:t xml:space="preserve"> عن ثبوت الواقع</w:t>
      </w:r>
      <w:r w:rsidR="00EC7EDF" w:rsidRPr="00FD211F">
        <w:rPr>
          <w:sz w:val="36"/>
          <w:szCs w:val="36"/>
          <w:rtl/>
        </w:rPr>
        <w:t xml:space="preserve">ة </w:t>
      </w:r>
      <w:r w:rsidRPr="00FD211F">
        <w:rPr>
          <w:sz w:val="36"/>
          <w:szCs w:val="36"/>
          <w:rtl/>
        </w:rPr>
        <w:t>فيك</w:t>
      </w:r>
      <w:r w:rsidR="00D4787E" w:rsidRPr="00FD211F">
        <w:rPr>
          <w:sz w:val="36"/>
          <w:szCs w:val="36"/>
          <w:rtl/>
        </w:rPr>
        <w:t>ون جمل</w:t>
      </w:r>
      <w:r w:rsidR="00EC7EDF" w:rsidRPr="00FD211F">
        <w:rPr>
          <w:sz w:val="36"/>
          <w:szCs w:val="36"/>
          <w:rtl/>
        </w:rPr>
        <w:t xml:space="preserve">ة </w:t>
      </w:r>
      <w:r w:rsidR="00D4787E" w:rsidRPr="00FD211F">
        <w:rPr>
          <w:sz w:val="36"/>
          <w:szCs w:val="36"/>
          <w:rtl/>
        </w:rPr>
        <w:t>خبري</w:t>
      </w:r>
      <w:r w:rsidR="00EC7EDF" w:rsidRPr="00FD211F">
        <w:rPr>
          <w:sz w:val="36"/>
          <w:szCs w:val="36"/>
          <w:rtl/>
        </w:rPr>
        <w:t>ة</w:t>
      </w:r>
      <w:r w:rsidR="00603323" w:rsidRPr="00FD211F">
        <w:rPr>
          <w:sz w:val="36"/>
          <w:szCs w:val="36"/>
          <w:rtl/>
        </w:rPr>
        <w:t xml:space="preserve">، </w:t>
      </w:r>
      <w:r w:rsidR="00D4787E" w:rsidRPr="00FD211F">
        <w:rPr>
          <w:sz w:val="36"/>
          <w:szCs w:val="36"/>
          <w:rtl/>
        </w:rPr>
        <w:t>وقد لايقصد ذلك</w:t>
      </w:r>
      <w:r w:rsidR="00B253CE" w:rsidRPr="00FD211F">
        <w:rPr>
          <w:sz w:val="36"/>
          <w:szCs w:val="36"/>
          <w:rtl/>
        </w:rPr>
        <w:t xml:space="preserve"> </w:t>
      </w:r>
      <w:r w:rsidRPr="00FD211F">
        <w:rPr>
          <w:sz w:val="36"/>
          <w:szCs w:val="36"/>
          <w:rtl/>
        </w:rPr>
        <w:t>ف</w:t>
      </w:r>
      <w:r w:rsidR="00D4787E" w:rsidRPr="00FD211F">
        <w:rPr>
          <w:sz w:val="36"/>
          <w:szCs w:val="36"/>
          <w:rtl/>
        </w:rPr>
        <w:t xml:space="preserve">حينئذ </w:t>
      </w:r>
      <w:r w:rsidRPr="00FD211F">
        <w:rPr>
          <w:sz w:val="36"/>
          <w:szCs w:val="36"/>
          <w:rtl/>
        </w:rPr>
        <w:t xml:space="preserve">ان كان </w:t>
      </w:r>
      <w:r w:rsidR="00D4787E" w:rsidRPr="00FD211F">
        <w:rPr>
          <w:sz w:val="36"/>
          <w:szCs w:val="36"/>
          <w:rtl/>
        </w:rPr>
        <w:t xml:space="preserve">الكلام </w:t>
      </w:r>
      <w:r w:rsidRPr="00FD211F">
        <w:rPr>
          <w:sz w:val="36"/>
          <w:szCs w:val="36"/>
          <w:rtl/>
        </w:rPr>
        <w:t>مما يصح السكوت عليه يصير جمل</w:t>
      </w:r>
      <w:r w:rsidR="00EC7EDF" w:rsidRPr="00FD211F">
        <w:rPr>
          <w:sz w:val="36"/>
          <w:szCs w:val="36"/>
          <w:rtl/>
        </w:rPr>
        <w:t xml:space="preserve">ة </w:t>
      </w:r>
      <w:r w:rsidRPr="00FD211F">
        <w:rPr>
          <w:sz w:val="36"/>
          <w:szCs w:val="36"/>
          <w:rtl/>
        </w:rPr>
        <w:t>انشائي</w:t>
      </w:r>
      <w:r w:rsidR="00EC7EDF" w:rsidRPr="00FD211F">
        <w:rPr>
          <w:sz w:val="36"/>
          <w:szCs w:val="36"/>
          <w:rtl/>
        </w:rPr>
        <w:t>ة</w:t>
      </w:r>
      <w:r w:rsidR="00603323" w:rsidRPr="00FD211F">
        <w:rPr>
          <w:sz w:val="36"/>
          <w:szCs w:val="36"/>
          <w:rtl/>
        </w:rPr>
        <w:t xml:space="preserve">، </w:t>
      </w:r>
      <w:r w:rsidRPr="00FD211F">
        <w:rPr>
          <w:sz w:val="36"/>
          <w:szCs w:val="36"/>
          <w:rtl/>
        </w:rPr>
        <w:t>وان</w:t>
      </w:r>
      <w:r w:rsidR="008D7B3D" w:rsidRPr="00FD211F">
        <w:rPr>
          <w:sz w:val="36"/>
          <w:szCs w:val="36"/>
          <w:rtl/>
        </w:rPr>
        <w:t xml:space="preserve"> لم‌</w:t>
      </w:r>
      <w:r w:rsidRPr="00FD211F">
        <w:rPr>
          <w:sz w:val="36"/>
          <w:szCs w:val="36"/>
          <w:rtl/>
        </w:rPr>
        <w:t>يكن مما</w:t>
      </w:r>
      <w:r w:rsidR="00D4787E" w:rsidRPr="00FD211F">
        <w:rPr>
          <w:sz w:val="36"/>
          <w:szCs w:val="36"/>
          <w:rtl/>
        </w:rPr>
        <w:t>لا</w:t>
      </w:r>
      <w:r w:rsidRPr="00FD211F">
        <w:rPr>
          <w:sz w:val="36"/>
          <w:szCs w:val="36"/>
          <w:rtl/>
        </w:rPr>
        <w:t xml:space="preserve"> يصح السكوت عليه فيكون معنى مفردا او جمل</w:t>
      </w:r>
      <w:r w:rsidR="00EC7EDF" w:rsidRPr="00FD211F">
        <w:rPr>
          <w:sz w:val="36"/>
          <w:szCs w:val="36"/>
          <w:rtl/>
        </w:rPr>
        <w:t xml:space="preserve">ة </w:t>
      </w:r>
      <w:r w:rsidRPr="00FD211F">
        <w:rPr>
          <w:sz w:val="36"/>
          <w:szCs w:val="36"/>
          <w:rtl/>
        </w:rPr>
        <w:t>ناقص</w:t>
      </w:r>
      <w:r w:rsidR="00EC7EDF" w:rsidRPr="00FD211F">
        <w:rPr>
          <w:sz w:val="36"/>
          <w:szCs w:val="36"/>
          <w:rtl/>
        </w:rPr>
        <w:t>ة</w:t>
      </w:r>
      <w:r w:rsidR="00603323" w:rsidRPr="00FD211F">
        <w:rPr>
          <w:sz w:val="36"/>
          <w:szCs w:val="36"/>
          <w:rtl/>
        </w:rPr>
        <w:t xml:space="preserve">، </w:t>
      </w:r>
      <w:r w:rsidRPr="00FD211F">
        <w:rPr>
          <w:sz w:val="36"/>
          <w:szCs w:val="36"/>
          <w:rtl/>
        </w:rPr>
        <w:t>فالجمل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تكون نسبتها الى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نسب</w:t>
      </w:r>
      <w:r w:rsidR="00EC7EDF" w:rsidRPr="00FD211F">
        <w:rPr>
          <w:sz w:val="36"/>
          <w:szCs w:val="36"/>
          <w:rtl/>
        </w:rPr>
        <w:t xml:space="preserve">ة </w:t>
      </w:r>
      <w:r w:rsidRPr="00FD211F">
        <w:rPr>
          <w:sz w:val="36"/>
          <w:szCs w:val="36"/>
          <w:rtl/>
        </w:rPr>
        <w:t>الأقل الى الأكثر</w:t>
      </w:r>
      <w:r w:rsidR="00603323" w:rsidRPr="00FD211F">
        <w:rPr>
          <w:sz w:val="36"/>
          <w:szCs w:val="36"/>
          <w:rtl/>
        </w:rPr>
        <w:t xml:space="preserve">، </w:t>
      </w:r>
      <w:r w:rsidRPr="00FD211F">
        <w:rPr>
          <w:sz w:val="36"/>
          <w:szCs w:val="36"/>
          <w:rtl/>
        </w:rPr>
        <w:t>فمن يقول "إضرب</w:t>
      </w:r>
      <w:r w:rsidR="00D4787E" w:rsidRPr="00FD211F">
        <w:rPr>
          <w:sz w:val="36"/>
          <w:szCs w:val="36"/>
          <w:rtl/>
        </w:rPr>
        <w:t>" يقصد ايجاد معناه -وهوالنسب</w:t>
      </w:r>
      <w:r w:rsidR="00EC7EDF" w:rsidRPr="00FD211F">
        <w:rPr>
          <w:sz w:val="36"/>
          <w:szCs w:val="36"/>
          <w:rtl/>
        </w:rPr>
        <w:t xml:space="preserve">ة </w:t>
      </w:r>
      <w:r w:rsidR="00D4787E" w:rsidRPr="00FD211F">
        <w:rPr>
          <w:sz w:val="36"/>
          <w:szCs w:val="36"/>
          <w:rtl/>
        </w:rPr>
        <w:t>البعثي</w:t>
      </w:r>
      <w:r w:rsidR="00EC7EDF" w:rsidRPr="00FD211F">
        <w:rPr>
          <w:sz w:val="36"/>
          <w:szCs w:val="36"/>
          <w:rtl/>
        </w:rPr>
        <w:t xml:space="preserve">ة </w:t>
      </w:r>
      <w:r w:rsidR="00D4787E" w:rsidRPr="00FD211F">
        <w:rPr>
          <w:sz w:val="36"/>
          <w:szCs w:val="36"/>
          <w:rtl/>
        </w:rPr>
        <w:t>-</w:t>
      </w:r>
      <w:r w:rsidRPr="00FD211F">
        <w:rPr>
          <w:sz w:val="36"/>
          <w:szCs w:val="36"/>
          <w:rtl/>
        </w:rPr>
        <w:t xml:space="preserve"> بالعرض </w:t>
      </w:r>
      <w:r w:rsidR="00D4787E" w:rsidRPr="00FD211F">
        <w:rPr>
          <w:sz w:val="36"/>
          <w:szCs w:val="36"/>
          <w:rtl/>
        </w:rPr>
        <w:t>من دون قصد حكاي</w:t>
      </w:r>
      <w:r w:rsidR="00EC7EDF" w:rsidRPr="00FD211F">
        <w:rPr>
          <w:sz w:val="36"/>
          <w:szCs w:val="36"/>
          <w:rtl/>
        </w:rPr>
        <w:t xml:space="preserve">ة </w:t>
      </w:r>
      <w:r w:rsidR="00D4787E" w:rsidRPr="00FD211F">
        <w:rPr>
          <w:sz w:val="36"/>
          <w:szCs w:val="36"/>
          <w:rtl/>
        </w:rPr>
        <w:t>ثبوت هذه النسب</w:t>
      </w:r>
      <w:r w:rsidR="00EC7EDF" w:rsidRPr="00FD211F">
        <w:rPr>
          <w:sz w:val="36"/>
          <w:szCs w:val="36"/>
          <w:rtl/>
        </w:rPr>
        <w:t xml:space="preserve">ة </w:t>
      </w:r>
      <w:r w:rsidRPr="00FD211F">
        <w:rPr>
          <w:sz w:val="36"/>
          <w:szCs w:val="36"/>
          <w:rtl/>
        </w:rPr>
        <w:t>في الخارج</w:t>
      </w:r>
      <w:r w:rsidR="00603323" w:rsidRPr="00FD211F">
        <w:rPr>
          <w:sz w:val="36"/>
          <w:szCs w:val="36"/>
          <w:rtl/>
        </w:rPr>
        <w:t xml:space="preserve">، </w:t>
      </w:r>
      <w:r w:rsidRPr="00FD211F">
        <w:rPr>
          <w:sz w:val="36"/>
          <w:szCs w:val="36"/>
          <w:rtl/>
        </w:rPr>
        <w:t xml:space="preserve">وكذا من يقول: "بعت" ويستعمله في معناه </w:t>
      </w:r>
      <w:r w:rsidR="00ED6020" w:rsidRPr="00FD211F">
        <w:rPr>
          <w:sz w:val="36"/>
          <w:szCs w:val="36"/>
          <w:rtl/>
        </w:rPr>
        <w:t>-وهو</w:t>
      </w:r>
      <w:r w:rsidRPr="00FD211F">
        <w:rPr>
          <w:sz w:val="36"/>
          <w:szCs w:val="36"/>
          <w:rtl/>
        </w:rPr>
        <w:t xml:space="preserve"> النسب</w:t>
      </w:r>
      <w:r w:rsidR="00EC7EDF" w:rsidRPr="00FD211F">
        <w:rPr>
          <w:sz w:val="36"/>
          <w:szCs w:val="36"/>
          <w:rtl/>
        </w:rPr>
        <w:t xml:space="preserve">ة </w:t>
      </w:r>
      <w:r w:rsidRPr="00FD211F">
        <w:rPr>
          <w:sz w:val="36"/>
          <w:szCs w:val="36"/>
          <w:rtl/>
        </w:rPr>
        <w:t>الصدوري</w:t>
      </w:r>
      <w:r w:rsidR="00EC7EDF" w:rsidRPr="00FD211F">
        <w:rPr>
          <w:sz w:val="36"/>
          <w:szCs w:val="36"/>
          <w:rtl/>
        </w:rPr>
        <w:t xml:space="preserve">ة </w:t>
      </w:r>
      <w:r w:rsidRPr="00FD211F">
        <w:rPr>
          <w:sz w:val="36"/>
          <w:szCs w:val="36"/>
          <w:rtl/>
        </w:rPr>
        <w:t>بين</w:t>
      </w:r>
      <w:r w:rsidR="00D4787E" w:rsidRPr="00FD211F">
        <w:rPr>
          <w:sz w:val="36"/>
          <w:szCs w:val="36"/>
          <w:rtl/>
        </w:rPr>
        <w:t xml:space="preserve"> البيع وبين نفسه </w:t>
      </w:r>
      <w:r w:rsidR="00ED6020" w:rsidRPr="00FD211F">
        <w:rPr>
          <w:sz w:val="36"/>
          <w:szCs w:val="36"/>
          <w:rtl/>
        </w:rPr>
        <w:t xml:space="preserve">–يقصد ايجاده </w:t>
      </w:r>
      <w:r w:rsidR="00D4787E" w:rsidRPr="00FD211F">
        <w:rPr>
          <w:sz w:val="36"/>
          <w:szCs w:val="36"/>
          <w:rtl/>
        </w:rPr>
        <w:t>بالعرض</w:t>
      </w:r>
      <w:r w:rsidR="00603323" w:rsidRPr="00FD211F">
        <w:rPr>
          <w:sz w:val="36"/>
          <w:szCs w:val="36"/>
          <w:rtl/>
        </w:rPr>
        <w:t xml:space="preserve">، </w:t>
      </w:r>
      <w:r w:rsidR="00E17E7C" w:rsidRPr="00FD211F">
        <w:rPr>
          <w:sz w:val="36"/>
          <w:szCs w:val="36"/>
          <w:rtl/>
        </w:rPr>
        <w:t xml:space="preserve">وحينئذ </w:t>
      </w:r>
      <w:r w:rsidRPr="00FD211F">
        <w:rPr>
          <w:sz w:val="36"/>
          <w:szCs w:val="36"/>
          <w:rtl/>
        </w:rPr>
        <w:t>فان</w:t>
      </w:r>
      <w:r w:rsidR="008D7B3D" w:rsidRPr="00FD211F">
        <w:rPr>
          <w:sz w:val="36"/>
          <w:szCs w:val="36"/>
          <w:rtl/>
        </w:rPr>
        <w:t xml:space="preserve"> لم‌</w:t>
      </w:r>
      <w:r w:rsidRPr="00FD211F">
        <w:rPr>
          <w:sz w:val="36"/>
          <w:szCs w:val="36"/>
          <w:rtl/>
        </w:rPr>
        <w:t>يقصد الحكاي</w:t>
      </w:r>
      <w:r w:rsidR="00EC7EDF" w:rsidRPr="00FD211F">
        <w:rPr>
          <w:sz w:val="36"/>
          <w:szCs w:val="36"/>
          <w:rtl/>
        </w:rPr>
        <w:t xml:space="preserve">ة </w:t>
      </w:r>
      <w:r w:rsidRPr="00FD211F">
        <w:rPr>
          <w:sz w:val="36"/>
          <w:szCs w:val="36"/>
          <w:rtl/>
        </w:rPr>
        <w:t>عن ثبوتها واقعا فهو انشاء وان قصد ذلك فهو اخبار</w:t>
      </w:r>
      <w:r w:rsidR="009C58C8" w:rsidRPr="00FD211F">
        <w:rPr>
          <w:rStyle w:val="a6"/>
          <w:sz w:val="36"/>
          <w:szCs w:val="36"/>
          <w:rtl/>
        </w:rPr>
        <w:t>(</w:t>
      </w:r>
      <w:r w:rsidR="009C58C8" w:rsidRPr="00FD211F">
        <w:rPr>
          <w:rStyle w:val="a6"/>
          <w:sz w:val="36"/>
          <w:szCs w:val="36"/>
          <w:rtl/>
        </w:rPr>
        <w:footnoteReference w:id="202"/>
      </w:r>
      <w:r w:rsidR="009C58C8" w:rsidRPr="00FD211F">
        <w:rPr>
          <w:rStyle w:val="a6"/>
          <w:sz w:val="36"/>
          <w:szCs w:val="36"/>
          <w:rtl/>
        </w:rPr>
        <w:t>)</w:t>
      </w:r>
      <w:r w:rsidRPr="00FD211F">
        <w:rPr>
          <w:sz w:val="36"/>
          <w:szCs w:val="36"/>
          <w:rtl/>
        </w:rPr>
        <w:t>.</w:t>
      </w:r>
    </w:p>
    <w:p w14:paraId="7BF2689A" w14:textId="77777777" w:rsidR="00F46024" w:rsidRPr="00FD211F" w:rsidRDefault="00556BC0" w:rsidP="009C58C8">
      <w:pPr>
        <w:ind w:left="0" w:firstLine="227"/>
        <w:jc w:val="both"/>
        <w:rPr>
          <w:sz w:val="36"/>
          <w:szCs w:val="36"/>
          <w:rtl/>
        </w:rPr>
      </w:pPr>
      <w:r w:rsidRPr="00FD211F">
        <w:rPr>
          <w:sz w:val="36"/>
          <w:szCs w:val="36"/>
          <w:rtl/>
        </w:rPr>
        <w:t>ويرد عليه</w:t>
      </w:r>
      <w:r w:rsidRPr="00FD211F">
        <w:rPr>
          <w:b/>
          <w:bCs/>
          <w:sz w:val="36"/>
          <w:szCs w:val="36"/>
          <w:rtl/>
        </w:rPr>
        <w:t xml:space="preserve"> اولا</w:t>
      </w:r>
      <w:r w:rsidRPr="00FD211F">
        <w:rPr>
          <w:sz w:val="36"/>
          <w:szCs w:val="36"/>
          <w:rtl/>
        </w:rPr>
        <w:t>: ان لازمه كون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المستعمل</w:t>
      </w:r>
      <w:r w:rsidR="00EC7EDF" w:rsidRPr="00FD211F">
        <w:rPr>
          <w:sz w:val="36"/>
          <w:szCs w:val="36"/>
          <w:rtl/>
        </w:rPr>
        <w:t xml:space="preserve">ة </w:t>
      </w:r>
      <w:r w:rsidRPr="00FD211F">
        <w:rPr>
          <w:sz w:val="36"/>
          <w:szCs w:val="36"/>
          <w:rtl/>
        </w:rPr>
        <w:t>بلاقصد الحكاي</w:t>
      </w:r>
      <w:r w:rsidR="00EC7EDF" w:rsidRPr="00FD211F">
        <w:rPr>
          <w:sz w:val="36"/>
          <w:szCs w:val="36"/>
          <w:rtl/>
        </w:rPr>
        <w:t xml:space="preserve">ة </w:t>
      </w:r>
      <w:r w:rsidR="00E17E7C" w:rsidRPr="00FD211F">
        <w:rPr>
          <w:sz w:val="36"/>
          <w:szCs w:val="36"/>
          <w:rtl/>
        </w:rPr>
        <w:t>مصداقا للجملة ال</w:t>
      </w:r>
      <w:r w:rsidR="00ED6020" w:rsidRPr="00FD211F">
        <w:rPr>
          <w:sz w:val="36"/>
          <w:szCs w:val="36"/>
          <w:rtl/>
        </w:rPr>
        <w:t>انشائي</w:t>
      </w:r>
      <w:r w:rsidR="00EC7EDF" w:rsidRPr="00FD211F">
        <w:rPr>
          <w:sz w:val="36"/>
          <w:szCs w:val="36"/>
          <w:rtl/>
        </w:rPr>
        <w:t>ة</w:t>
      </w:r>
      <w:r w:rsidR="00603323" w:rsidRPr="00FD211F">
        <w:rPr>
          <w:sz w:val="36"/>
          <w:szCs w:val="36"/>
          <w:rtl/>
        </w:rPr>
        <w:t xml:space="preserve">، </w:t>
      </w:r>
      <w:r w:rsidR="00ED6020" w:rsidRPr="00FD211F">
        <w:rPr>
          <w:sz w:val="36"/>
          <w:szCs w:val="36"/>
          <w:rtl/>
        </w:rPr>
        <w:t>كما لو قال "زيد قائم" ب</w:t>
      </w:r>
      <w:r w:rsidRPr="00FD211F">
        <w:rPr>
          <w:sz w:val="36"/>
          <w:szCs w:val="36"/>
          <w:rtl/>
        </w:rPr>
        <w:t>قصد إخطار معناه</w:t>
      </w:r>
      <w:r w:rsidR="005A6059" w:rsidRPr="00FD211F">
        <w:rPr>
          <w:sz w:val="36"/>
          <w:szCs w:val="36"/>
          <w:rtl/>
        </w:rPr>
        <w:t xml:space="preserve"> في ذهنه</w:t>
      </w:r>
      <w:r w:rsidR="00603323" w:rsidRPr="00FD211F">
        <w:rPr>
          <w:sz w:val="36"/>
          <w:szCs w:val="36"/>
          <w:rtl/>
        </w:rPr>
        <w:t xml:space="preserve">، </w:t>
      </w:r>
      <w:r w:rsidR="00597DE9" w:rsidRPr="00FD211F">
        <w:rPr>
          <w:sz w:val="36"/>
          <w:szCs w:val="36"/>
          <w:rtl/>
        </w:rPr>
        <w:t>مع أنها</w:t>
      </w:r>
      <w:r w:rsidR="008D6874" w:rsidRPr="00FD211F">
        <w:rPr>
          <w:sz w:val="36"/>
          <w:szCs w:val="36"/>
          <w:rtl/>
        </w:rPr>
        <w:t xml:space="preserve"> </w:t>
      </w:r>
      <w:r w:rsidR="00597DE9" w:rsidRPr="00FD211F">
        <w:rPr>
          <w:sz w:val="36"/>
          <w:szCs w:val="36"/>
          <w:rtl/>
        </w:rPr>
        <w:t>ليست جمل</w:t>
      </w:r>
      <w:r w:rsidR="00EC7EDF" w:rsidRPr="00FD211F">
        <w:rPr>
          <w:sz w:val="36"/>
          <w:szCs w:val="36"/>
          <w:rtl/>
        </w:rPr>
        <w:t xml:space="preserve">ة </w:t>
      </w:r>
      <w:r w:rsidR="00597DE9" w:rsidRPr="00FD211F">
        <w:rPr>
          <w:sz w:val="36"/>
          <w:szCs w:val="36"/>
          <w:rtl/>
        </w:rPr>
        <w:t>انشائي</w:t>
      </w:r>
      <w:r w:rsidR="00EC7EDF" w:rsidRPr="00FD211F">
        <w:rPr>
          <w:sz w:val="36"/>
          <w:szCs w:val="36"/>
          <w:rtl/>
        </w:rPr>
        <w:t xml:space="preserve">ة </w:t>
      </w:r>
      <w:r w:rsidR="00597DE9" w:rsidRPr="00FD211F">
        <w:rPr>
          <w:sz w:val="36"/>
          <w:szCs w:val="36"/>
          <w:rtl/>
        </w:rPr>
        <w:t>جزما</w:t>
      </w:r>
      <w:r w:rsidR="00603323" w:rsidRPr="00FD211F">
        <w:rPr>
          <w:sz w:val="36"/>
          <w:szCs w:val="36"/>
          <w:rtl/>
        </w:rPr>
        <w:t xml:space="preserve">، </w:t>
      </w:r>
      <w:r w:rsidRPr="00FD211F">
        <w:rPr>
          <w:sz w:val="36"/>
          <w:szCs w:val="36"/>
          <w:rtl/>
        </w:rPr>
        <w:t>ف</w:t>
      </w:r>
      <w:r w:rsidR="00597DE9" w:rsidRPr="00FD211F">
        <w:rPr>
          <w:sz w:val="36"/>
          <w:szCs w:val="36"/>
          <w:rtl/>
        </w:rPr>
        <w:t>يعلم من ذلك أن</w:t>
      </w:r>
      <w:r w:rsidRPr="00FD211F">
        <w:rPr>
          <w:sz w:val="36"/>
          <w:szCs w:val="36"/>
          <w:rtl/>
        </w:rPr>
        <w:t xml:space="preserve"> النسب</w:t>
      </w:r>
      <w:r w:rsidR="00EC7EDF" w:rsidRPr="00FD211F">
        <w:rPr>
          <w:sz w:val="36"/>
          <w:szCs w:val="36"/>
          <w:rtl/>
        </w:rPr>
        <w:t xml:space="preserve">ة </w:t>
      </w:r>
      <w:r w:rsidRPr="00FD211F">
        <w:rPr>
          <w:sz w:val="36"/>
          <w:szCs w:val="36"/>
          <w:rtl/>
        </w:rPr>
        <w:t>بين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والخبري</w:t>
      </w:r>
      <w:r w:rsidR="00EC7EDF" w:rsidRPr="00FD211F">
        <w:rPr>
          <w:sz w:val="36"/>
          <w:szCs w:val="36"/>
          <w:rtl/>
        </w:rPr>
        <w:t xml:space="preserve">ة </w:t>
      </w:r>
      <w:r w:rsidR="00597DE9" w:rsidRPr="00FD211F">
        <w:rPr>
          <w:sz w:val="36"/>
          <w:szCs w:val="36"/>
          <w:rtl/>
        </w:rPr>
        <w:t>ليست</w:t>
      </w:r>
      <w:r w:rsidRPr="00FD211F">
        <w:rPr>
          <w:sz w:val="36"/>
          <w:szCs w:val="36"/>
          <w:rtl/>
        </w:rPr>
        <w:t xml:space="preserve"> نسب</w:t>
      </w:r>
      <w:r w:rsidR="00EC7EDF" w:rsidRPr="00FD211F">
        <w:rPr>
          <w:sz w:val="36"/>
          <w:szCs w:val="36"/>
          <w:rtl/>
        </w:rPr>
        <w:t xml:space="preserve">ة </w:t>
      </w:r>
      <w:r w:rsidRPr="00FD211F">
        <w:rPr>
          <w:sz w:val="36"/>
          <w:szCs w:val="36"/>
          <w:rtl/>
        </w:rPr>
        <w:t>الأقل الى الأكثر</w:t>
      </w:r>
      <w:r w:rsidR="00EC7EDF" w:rsidRPr="00FD211F">
        <w:rPr>
          <w:sz w:val="36"/>
          <w:szCs w:val="36"/>
          <w:rtl/>
        </w:rPr>
        <w:t>.</w:t>
      </w:r>
    </w:p>
    <w:p w14:paraId="1DA3C718" w14:textId="77777777" w:rsidR="000C5BBA" w:rsidRPr="00FD211F" w:rsidRDefault="00556BC0" w:rsidP="009C58C8">
      <w:pPr>
        <w:ind w:left="0" w:firstLine="227"/>
        <w:jc w:val="both"/>
        <w:rPr>
          <w:sz w:val="36"/>
          <w:szCs w:val="36"/>
          <w:rtl/>
        </w:rPr>
      </w:pPr>
      <w:r w:rsidRPr="00FD211F">
        <w:rPr>
          <w:b/>
          <w:bCs/>
          <w:sz w:val="36"/>
          <w:szCs w:val="36"/>
          <w:rtl/>
        </w:rPr>
        <w:t>وثانيا</w:t>
      </w:r>
      <w:r w:rsidRPr="00FD211F">
        <w:rPr>
          <w:sz w:val="36"/>
          <w:szCs w:val="36"/>
          <w:rtl/>
        </w:rPr>
        <w:t>: انه ان كان النظر الى الفرق بينهما بلحاظ عالم الإراد</w:t>
      </w:r>
      <w:r w:rsidR="00EC7EDF" w:rsidRPr="00FD211F">
        <w:rPr>
          <w:sz w:val="36"/>
          <w:szCs w:val="36"/>
          <w:rtl/>
        </w:rPr>
        <w:t xml:space="preserve">ة </w:t>
      </w:r>
      <w:r w:rsidRPr="00FD211F">
        <w:rPr>
          <w:sz w:val="36"/>
          <w:szCs w:val="36"/>
          <w:rtl/>
        </w:rPr>
        <w:t>الجدي</w:t>
      </w:r>
      <w:r w:rsidR="00EC7EDF" w:rsidRPr="00FD211F">
        <w:rPr>
          <w:sz w:val="36"/>
          <w:szCs w:val="36"/>
          <w:rtl/>
        </w:rPr>
        <w:t xml:space="preserve">ة </w:t>
      </w:r>
      <w:r w:rsidRPr="00FD211F">
        <w:rPr>
          <w:sz w:val="36"/>
          <w:szCs w:val="36"/>
          <w:rtl/>
        </w:rPr>
        <w:t>فك</w:t>
      </w:r>
      <w:r w:rsidR="005A6059" w:rsidRPr="00FD211F">
        <w:rPr>
          <w:sz w:val="36"/>
          <w:szCs w:val="36"/>
          <w:rtl/>
        </w:rPr>
        <w:t>ما يوجد في الإخبار قصد الحكاي</w:t>
      </w:r>
      <w:r w:rsidR="00EC7EDF" w:rsidRPr="00FD211F">
        <w:rPr>
          <w:sz w:val="36"/>
          <w:szCs w:val="36"/>
          <w:rtl/>
        </w:rPr>
        <w:t>ة</w:t>
      </w:r>
      <w:r w:rsidR="00603323" w:rsidRPr="00FD211F">
        <w:rPr>
          <w:sz w:val="36"/>
          <w:szCs w:val="36"/>
          <w:rtl/>
        </w:rPr>
        <w:t xml:space="preserve">، </w:t>
      </w:r>
      <w:r w:rsidR="005A6059" w:rsidRPr="00FD211F">
        <w:rPr>
          <w:sz w:val="36"/>
          <w:szCs w:val="36"/>
          <w:rtl/>
        </w:rPr>
        <w:t>كذلك ت</w:t>
      </w:r>
      <w:r w:rsidRPr="00FD211F">
        <w:rPr>
          <w:sz w:val="36"/>
          <w:szCs w:val="36"/>
          <w:rtl/>
        </w:rPr>
        <w:t>وجد في الإنشاء حال</w:t>
      </w:r>
      <w:r w:rsidR="00EC7EDF" w:rsidRPr="00FD211F">
        <w:rPr>
          <w:sz w:val="36"/>
          <w:szCs w:val="36"/>
          <w:rtl/>
        </w:rPr>
        <w:t xml:space="preserve">ة </w:t>
      </w:r>
      <w:r w:rsidRPr="00FD211F">
        <w:rPr>
          <w:sz w:val="36"/>
          <w:szCs w:val="36"/>
          <w:rtl/>
        </w:rPr>
        <w:t>نفس</w:t>
      </w:r>
      <w:r w:rsidR="005A6059" w:rsidRPr="00FD211F">
        <w:rPr>
          <w:sz w:val="36"/>
          <w:szCs w:val="36"/>
          <w:rtl/>
        </w:rPr>
        <w:t>ان</w:t>
      </w:r>
      <w:r w:rsidRPr="00FD211F">
        <w:rPr>
          <w:sz w:val="36"/>
          <w:szCs w:val="36"/>
          <w:rtl/>
        </w:rPr>
        <w:t>ي</w:t>
      </w:r>
      <w:r w:rsidR="00EC7EDF" w:rsidRPr="00FD211F">
        <w:rPr>
          <w:sz w:val="36"/>
          <w:szCs w:val="36"/>
          <w:rtl/>
        </w:rPr>
        <w:t xml:space="preserve">ة </w:t>
      </w:r>
      <w:r w:rsidRPr="00FD211F">
        <w:rPr>
          <w:sz w:val="36"/>
          <w:szCs w:val="36"/>
          <w:rtl/>
        </w:rPr>
        <w:t>كالتمني والترجي وطلب ال</w:t>
      </w:r>
      <w:r w:rsidR="005A6059" w:rsidRPr="00FD211F">
        <w:rPr>
          <w:sz w:val="36"/>
          <w:szCs w:val="36"/>
          <w:rtl/>
        </w:rPr>
        <w:t>فهم او اراد</w:t>
      </w:r>
      <w:r w:rsidR="00EC7EDF" w:rsidRPr="00FD211F">
        <w:rPr>
          <w:sz w:val="36"/>
          <w:szCs w:val="36"/>
          <w:rtl/>
        </w:rPr>
        <w:t xml:space="preserve">ة </w:t>
      </w:r>
      <w:r w:rsidR="005A6059" w:rsidRPr="00FD211F">
        <w:rPr>
          <w:sz w:val="36"/>
          <w:szCs w:val="36"/>
          <w:rtl/>
        </w:rPr>
        <w:t>الفعل وما شابه ذلك.</w:t>
      </w:r>
    </w:p>
    <w:p w14:paraId="2F19B3F8" w14:textId="77777777" w:rsidR="00556BC0" w:rsidRPr="00FD211F" w:rsidRDefault="00556BC0" w:rsidP="009C58C8">
      <w:pPr>
        <w:ind w:left="0" w:firstLine="227"/>
        <w:jc w:val="both"/>
        <w:rPr>
          <w:sz w:val="36"/>
          <w:szCs w:val="36"/>
          <w:rtl/>
        </w:rPr>
      </w:pPr>
      <w:r w:rsidRPr="00FD211F">
        <w:rPr>
          <w:sz w:val="36"/>
          <w:szCs w:val="36"/>
          <w:rtl/>
        </w:rPr>
        <w:t>وان كان النظر الى الفرق بينهما بلحاظ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00E17E7C" w:rsidRPr="00FD211F">
        <w:rPr>
          <w:sz w:val="36"/>
          <w:szCs w:val="36"/>
          <w:rtl/>
        </w:rPr>
        <w:t>(التي هي</w:t>
      </w:r>
      <w:r w:rsidRPr="00FD211F">
        <w:rPr>
          <w:sz w:val="36"/>
          <w:szCs w:val="36"/>
          <w:rtl/>
        </w:rPr>
        <w:t xml:space="preserve"> المهم اذ لااشكال في احساس الفرق بين مدلول "</w:t>
      </w:r>
      <w:r w:rsidR="005A6059" w:rsidRPr="00FD211F">
        <w:rPr>
          <w:sz w:val="36"/>
          <w:szCs w:val="36"/>
          <w:rtl/>
        </w:rPr>
        <w:t>بعت" المستعمل في الإنشاء هزلا وبين</w:t>
      </w:r>
      <w:r w:rsidR="00B253CE" w:rsidRPr="00FD211F">
        <w:rPr>
          <w:sz w:val="36"/>
          <w:szCs w:val="36"/>
          <w:rtl/>
        </w:rPr>
        <w:t xml:space="preserve"> </w:t>
      </w:r>
      <w:r w:rsidRPr="00FD211F">
        <w:rPr>
          <w:sz w:val="36"/>
          <w:szCs w:val="36"/>
          <w:rtl/>
        </w:rPr>
        <w:t xml:space="preserve">مدلول "بعت" المستعمل في الإخبار </w:t>
      </w:r>
      <w:r w:rsidR="00E17E7C" w:rsidRPr="00FD211F">
        <w:rPr>
          <w:sz w:val="36"/>
          <w:szCs w:val="36"/>
          <w:rtl/>
        </w:rPr>
        <w:t xml:space="preserve">هزلا </w:t>
      </w:r>
      <w:r w:rsidR="005A6059" w:rsidRPr="00FD211F">
        <w:rPr>
          <w:sz w:val="36"/>
          <w:szCs w:val="36"/>
          <w:rtl/>
        </w:rPr>
        <w:t>مع انتفاء الاراد</w:t>
      </w:r>
      <w:r w:rsidR="00EC7EDF" w:rsidRPr="00FD211F">
        <w:rPr>
          <w:sz w:val="36"/>
          <w:szCs w:val="36"/>
          <w:rtl/>
        </w:rPr>
        <w:t xml:space="preserve">ة </w:t>
      </w:r>
      <w:r w:rsidR="005A6059" w:rsidRPr="00FD211F">
        <w:rPr>
          <w:sz w:val="36"/>
          <w:szCs w:val="36"/>
          <w:rtl/>
        </w:rPr>
        <w:t>الجدي</w:t>
      </w:r>
      <w:r w:rsidR="00EC7EDF" w:rsidRPr="00FD211F">
        <w:rPr>
          <w:sz w:val="36"/>
          <w:szCs w:val="36"/>
          <w:rtl/>
        </w:rPr>
        <w:t xml:space="preserve">ة </w:t>
      </w:r>
      <w:r w:rsidR="005A6059" w:rsidRPr="00FD211F">
        <w:rPr>
          <w:sz w:val="36"/>
          <w:szCs w:val="36"/>
          <w:rtl/>
        </w:rPr>
        <w:t>فيهما</w:t>
      </w:r>
      <w:r w:rsidR="00E17E7C" w:rsidRPr="00FD211F">
        <w:rPr>
          <w:sz w:val="36"/>
          <w:szCs w:val="36"/>
          <w:rtl/>
        </w:rPr>
        <w:t>)</w:t>
      </w:r>
      <w:r w:rsidRPr="00FD211F">
        <w:rPr>
          <w:sz w:val="36"/>
          <w:szCs w:val="36"/>
          <w:rtl/>
        </w:rPr>
        <w:t xml:space="preserve"> فقد لايوجد في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اي قصد للحكاي</w:t>
      </w:r>
      <w:r w:rsidR="00EC7EDF" w:rsidRPr="00FD211F">
        <w:rPr>
          <w:sz w:val="36"/>
          <w:szCs w:val="36"/>
          <w:rtl/>
        </w:rPr>
        <w:t xml:space="preserve">ة </w:t>
      </w:r>
      <w:r w:rsidRPr="00FD211F">
        <w:rPr>
          <w:sz w:val="36"/>
          <w:szCs w:val="36"/>
          <w:rtl/>
        </w:rPr>
        <w:t>كما في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الصادر</w:t>
      </w:r>
      <w:r w:rsidR="00EC7EDF" w:rsidRPr="00FD211F">
        <w:rPr>
          <w:sz w:val="36"/>
          <w:szCs w:val="36"/>
          <w:rtl/>
        </w:rPr>
        <w:t xml:space="preserve">ة </w:t>
      </w:r>
      <w:r w:rsidRPr="00FD211F">
        <w:rPr>
          <w:sz w:val="36"/>
          <w:szCs w:val="36"/>
          <w:rtl/>
        </w:rPr>
        <w:t xml:space="preserve">بداعي الهزل. </w:t>
      </w:r>
    </w:p>
    <w:p w14:paraId="0819F92E" w14:textId="77777777" w:rsidR="00556BC0" w:rsidRPr="00FD211F" w:rsidRDefault="00556BC0" w:rsidP="009C58C8">
      <w:pPr>
        <w:ind w:left="0" w:firstLine="227"/>
        <w:jc w:val="both"/>
        <w:rPr>
          <w:sz w:val="36"/>
          <w:szCs w:val="36"/>
          <w:rtl/>
        </w:rPr>
      </w:pPr>
      <w:r w:rsidRPr="00FD211F">
        <w:rPr>
          <w:b/>
          <w:bCs/>
          <w:sz w:val="36"/>
          <w:szCs w:val="36"/>
          <w:rtl/>
        </w:rPr>
        <w:t>الوجه الثالث</w:t>
      </w:r>
      <w:r w:rsidRPr="00FD211F">
        <w:rPr>
          <w:sz w:val="36"/>
          <w:szCs w:val="36"/>
          <w:rtl/>
        </w:rPr>
        <w:t>: ما يقال من ان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في طول استعمالها وإخطارها لمعناها وتعلق الإراد</w:t>
      </w:r>
      <w:r w:rsidR="00EC7EDF" w:rsidRPr="00FD211F">
        <w:rPr>
          <w:sz w:val="36"/>
          <w:szCs w:val="36"/>
          <w:rtl/>
        </w:rPr>
        <w:t xml:space="preserve">ة </w:t>
      </w:r>
      <w:r w:rsidRPr="00FD211F">
        <w:rPr>
          <w:sz w:val="36"/>
          <w:szCs w:val="36"/>
          <w:rtl/>
        </w:rPr>
        <w:t>الجدي</w:t>
      </w:r>
      <w:r w:rsidR="00EC7EDF" w:rsidRPr="00FD211F">
        <w:rPr>
          <w:sz w:val="36"/>
          <w:szCs w:val="36"/>
          <w:rtl/>
        </w:rPr>
        <w:t xml:space="preserve">ة </w:t>
      </w:r>
      <w:r w:rsidRPr="00FD211F">
        <w:rPr>
          <w:sz w:val="36"/>
          <w:szCs w:val="36"/>
          <w:rtl/>
        </w:rPr>
        <w:t>به توجد أمرا</w:t>
      </w:r>
      <w:r w:rsidR="008D7B3D" w:rsidRPr="00FD211F">
        <w:rPr>
          <w:sz w:val="36"/>
          <w:szCs w:val="36"/>
          <w:rtl/>
        </w:rPr>
        <w:t xml:space="preserve"> لم‌</w:t>
      </w:r>
      <w:r w:rsidRPr="00FD211F">
        <w:rPr>
          <w:sz w:val="36"/>
          <w:szCs w:val="36"/>
          <w:rtl/>
        </w:rPr>
        <w:t>يكن ثابتا من قبل</w:t>
      </w:r>
      <w:r w:rsidR="00603323" w:rsidRPr="00FD211F">
        <w:rPr>
          <w:sz w:val="36"/>
          <w:szCs w:val="36"/>
          <w:rtl/>
        </w:rPr>
        <w:t xml:space="preserve">، </w:t>
      </w:r>
      <w:r w:rsidRPr="00FD211F">
        <w:rPr>
          <w:sz w:val="36"/>
          <w:szCs w:val="36"/>
          <w:rtl/>
        </w:rPr>
        <w:t>فاذا قال المولى "اضرب" ففي طول دلال</w:t>
      </w:r>
      <w:r w:rsidR="0067784E" w:rsidRPr="00FD211F">
        <w:rPr>
          <w:sz w:val="36"/>
          <w:szCs w:val="36"/>
          <w:rtl/>
        </w:rPr>
        <w:t>ته</w:t>
      </w:r>
      <w:r w:rsidR="00ED6020" w:rsidRPr="00FD211F">
        <w:rPr>
          <w:sz w:val="36"/>
          <w:szCs w:val="36"/>
          <w:rtl/>
        </w:rPr>
        <w:t xml:space="preserve"> على النسب</w:t>
      </w:r>
      <w:r w:rsidR="00EC7EDF" w:rsidRPr="00FD211F">
        <w:rPr>
          <w:sz w:val="36"/>
          <w:szCs w:val="36"/>
          <w:rtl/>
        </w:rPr>
        <w:t xml:space="preserve">ة </w:t>
      </w:r>
      <w:r w:rsidR="00ED6020" w:rsidRPr="00FD211F">
        <w:rPr>
          <w:sz w:val="36"/>
          <w:szCs w:val="36"/>
          <w:rtl/>
        </w:rPr>
        <w:t>البعثي</w:t>
      </w:r>
      <w:r w:rsidR="00EC7EDF" w:rsidRPr="00FD211F">
        <w:rPr>
          <w:sz w:val="36"/>
          <w:szCs w:val="36"/>
          <w:rtl/>
        </w:rPr>
        <w:t>ة و</w:t>
      </w:r>
      <w:r w:rsidRPr="00FD211F">
        <w:rPr>
          <w:sz w:val="36"/>
          <w:szCs w:val="36"/>
          <w:rtl/>
        </w:rPr>
        <w:t>قصد الم</w:t>
      </w:r>
      <w:r w:rsidR="00ED6020" w:rsidRPr="00FD211F">
        <w:rPr>
          <w:sz w:val="36"/>
          <w:szCs w:val="36"/>
          <w:rtl/>
        </w:rPr>
        <w:t>ولى</w:t>
      </w:r>
      <w:r w:rsidRPr="00FD211F">
        <w:rPr>
          <w:sz w:val="36"/>
          <w:szCs w:val="36"/>
          <w:rtl/>
        </w:rPr>
        <w:t xml:space="preserve"> إبراز ارادته بفعل الغير</w:t>
      </w:r>
      <w:r w:rsidR="0067784E" w:rsidRPr="00FD211F">
        <w:rPr>
          <w:sz w:val="36"/>
          <w:szCs w:val="36"/>
          <w:rtl/>
        </w:rPr>
        <w:t xml:space="preserve"> بداعي التوصل الى مراده</w:t>
      </w:r>
      <w:r w:rsidR="00603323" w:rsidRPr="00FD211F">
        <w:rPr>
          <w:sz w:val="36"/>
          <w:szCs w:val="36"/>
          <w:rtl/>
        </w:rPr>
        <w:t xml:space="preserve">، </w:t>
      </w:r>
      <w:r w:rsidR="00ED6020" w:rsidRPr="00FD211F">
        <w:rPr>
          <w:sz w:val="36"/>
          <w:szCs w:val="36"/>
          <w:rtl/>
        </w:rPr>
        <w:t>يكون هذا الاستعمال مصداقا للطلب</w:t>
      </w:r>
      <w:r w:rsidR="00EC7EDF" w:rsidRPr="00FD211F">
        <w:rPr>
          <w:sz w:val="36"/>
          <w:szCs w:val="36"/>
          <w:rtl/>
        </w:rPr>
        <w:t>.</w:t>
      </w:r>
    </w:p>
    <w:p w14:paraId="67790325" w14:textId="77777777" w:rsidR="00D35682" w:rsidRPr="00FD211F" w:rsidRDefault="00556BC0" w:rsidP="009C58C8">
      <w:pPr>
        <w:ind w:left="0" w:firstLine="227"/>
        <w:jc w:val="both"/>
        <w:rPr>
          <w:sz w:val="36"/>
          <w:szCs w:val="36"/>
          <w:rtl/>
        </w:rPr>
      </w:pPr>
      <w:r w:rsidRPr="00FD211F">
        <w:rPr>
          <w:sz w:val="36"/>
          <w:szCs w:val="36"/>
          <w:rtl/>
        </w:rPr>
        <w:t xml:space="preserve">وفيه </w:t>
      </w:r>
      <w:r w:rsidR="00D35682" w:rsidRPr="00FD211F">
        <w:rPr>
          <w:b/>
          <w:bCs/>
          <w:sz w:val="36"/>
          <w:szCs w:val="36"/>
          <w:rtl/>
        </w:rPr>
        <w:t>اولا</w:t>
      </w:r>
      <w:r w:rsidR="00C87F03" w:rsidRPr="00FD211F">
        <w:rPr>
          <w:b/>
          <w:bCs/>
          <w:sz w:val="36"/>
          <w:szCs w:val="36"/>
          <w:rtl/>
        </w:rPr>
        <w:t xml:space="preserve"> </w:t>
      </w:r>
      <w:r w:rsidRPr="00FD211F">
        <w:rPr>
          <w:sz w:val="36"/>
          <w:szCs w:val="36"/>
          <w:rtl/>
        </w:rPr>
        <w:t>انه وان ك</w:t>
      </w:r>
      <w:r w:rsidR="00D35682" w:rsidRPr="00FD211F">
        <w:rPr>
          <w:sz w:val="36"/>
          <w:szCs w:val="36"/>
          <w:rtl/>
        </w:rPr>
        <w:t>ان ذلك صحيحا</w:t>
      </w:r>
      <w:r w:rsidR="00B253CE" w:rsidRPr="00FD211F">
        <w:rPr>
          <w:sz w:val="36"/>
          <w:szCs w:val="36"/>
          <w:rtl/>
        </w:rPr>
        <w:t xml:space="preserve"> </w:t>
      </w:r>
      <w:r w:rsidR="00D35682" w:rsidRPr="00FD211F">
        <w:rPr>
          <w:sz w:val="36"/>
          <w:szCs w:val="36"/>
          <w:rtl/>
        </w:rPr>
        <w:t>في مثل صيغ</w:t>
      </w:r>
      <w:r w:rsidR="00EC7EDF" w:rsidRPr="00FD211F">
        <w:rPr>
          <w:sz w:val="36"/>
          <w:szCs w:val="36"/>
          <w:rtl/>
        </w:rPr>
        <w:t xml:space="preserve">ة </w:t>
      </w:r>
      <w:r w:rsidR="00D35682" w:rsidRPr="00FD211F">
        <w:rPr>
          <w:sz w:val="36"/>
          <w:szCs w:val="36"/>
          <w:rtl/>
        </w:rPr>
        <w:t>الأمر والنهي</w:t>
      </w:r>
      <w:r w:rsidR="00B253CE" w:rsidRPr="00FD211F">
        <w:rPr>
          <w:sz w:val="36"/>
          <w:szCs w:val="36"/>
          <w:rtl/>
        </w:rPr>
        <w:t xml:space="preserve"> </w:t>
      </w:r>
      <w:r w:rsidRPr="00FD211F">
        <w:rPr>
          <w:sz w:val="36"/>
          <w:szCs w:val="36"/>
          <w:rtl/>
        </w:rPr>
        <w:t>او جمل</w:t>
      </w:r>
      <w:r w:rsidR="00EC7EDF" w:rsidRPr="00FD211F">
        <w:rPr>
          <w:sz w:val="36"/>
          <w:szCs w:val="36"/>
          <w:rtl/>
        </w:rPr>
        <w:t xml:space="preserve">ة </w:t>
      </w:r>
      <w:r w:rsidRPr="00FD211F">
        <w:rPr>
          <w:sz w:val="36"/>
          <w:szCs w:val="36"/>
          <w:rtl/>
        </w:rPr>
        <w:t xml:space="preserve">من المعاملات كما في قول الرجل </w:t>
      </w:r>
      <w:r w:rsidR="00D35682" w:rsidRPr="00FD211F">
        <w:rPr>
          <w:sz w:val="36"/>
          <w:szCs w:val="36"/>
          <w:rtl/>
        </w:rPr>
        <w:t>لآخر</w:t>
      </w:r>
      <w:r w:rsidR="00C87F03" w:rsidRPr="00FD211F">
        <w:rPr>
          <w:sz w:val="36"/>
          <w:szCs w:val="36"/>
          <w:rtl/>
        </w:rPr>
        <w:t xml:space="preserve"> </w:t>
      </w:r>
      <w:r w:rsidR="00D35682" w:rsidRPr="00FD211F">
        <w:rPr>
          <w:sz w:val="36"/>
          <w:szCs w:val="36"/>
          <w:rtl/>
        </w:rPr>
        <w:t>"</w:t>
      </w:r>
      <w:r w:rsidRPr="00FD211F">
        <w:rPr>
          <w:sz w:val="36"/>
          <w:szCs w:val="36"/>
          <w:rtl/>
        </w:rPr>
        <w:t>ملكتك الكتاب</w:t>
      </w:r>
      <w:r w:rsidR="00D35682" w:rsidRPr="00FD211F">
        <w:rPr>
          <w:sz w:val="36"/>
          <w:szCs w:val="36"/>
          <w:rtl/>
        </w:rPr>
        <w:t>"</w:t>
      </w:r>
      <w:r w:rsidRPr="00FD211F">
        <w:rPr>
          <w:sz w:val="36"/>
          <w:szCs w:val="36"/>
          <w:rtl/>
        </w:rPr>
        <w:t xml:space="preserve"> فانه في طول ارادته الجدي</w:t>
      </w:r>
      <w:r w:rsidR="00EC7EDF" w:rsidRPr="00FD211F">
        <w:rPr>
          <w:sz w:val="36"/>
          <w:szCs w:val="36"/>
          <w:rtl/>
        </w:rPr>
        <w:t xml:space="preserve">ة </w:t>
      </w:r>
      <w:r w:rsidRPr="00FD211F">
        <w:rPr>
          <w:sz w:val="36"/>
          <w:szCs w:val="36"/>
          <w:rtl/>
        </w:rPr>
        <w:t>يكون حكم العرف والشرع بملكي</w:t>
      </w:r>
      <w:r w:rsidR="00EC7EDF" w:rsidRPr="00FD211F">
        <w:rPr>
          <w:sz w:val="36"/>
          <w:szCs w:val="36"/>
          <w:rtl/>
        </w:rPr>
        <w:t xml:space="preserve">ة </w:t>
      </w:r>
      <w:r w:rsidRPr="00FD211F">
        <w:rPr>
          <w:sz w:val="36"/>
          <w:szCs w:val="36"/>
          <w:rtl/>
        </w:rPr>
        <w:t>المخاطب مصداقا للمعنى المستعمل فيه لهذه الجمل</w:t>
      </w:r>
      <w:r w:rsidR="00EC7EDF" w:rsidRPr="00FD211F">
        <w:rPr>
          <w:sz w:val="36"/>
          <w:szCs w:val="36"/>
          <w:rtl/>
        </w:rPr>
        <w:t>ة</w:t>
      </w:r>
      <w:r w:rsidR="00603323" w:rsidRPr="00FD211F">
        <w:rPr>
          <w:sz w:val="36"/>
          <w:szCs w:val="36"/>
          <w:rtl/>
        </w:rPr>
        <w:t xml:space="preserve">، </w:t>
      </w:r>
      <w:r w:rsidRPr="00FD211F">
        <w:rPr>
          <w:sz w:val="36"/>
          <w:szCs w:val="36"/>
          <w:rtl/>
        </w:rPr>
        <w:t>ولكن في مثل جمل التمني والترجي فلايأتي هذا الوجه</w:t>
      </w:r>
      <w:r w:rsidR="00603323" w:rsidRPr="00FD211F">
        <w:rPr>
          <w:sz w:val="36"/>
          <w:szCs w:val="36"/>
          <w:rtl/>
        </w:rPr>
        <w:t xml:space="preserve">، </w:t>
      </w:r>
      <w:r w:rsidRPr="00FD211F">
        <w:rPr>
          <w:sz w:val="36"/>
          <w:szCs w:val="36"/>
          <w:rtl/>
        </w:rPr>
        <w:t>حيث ان التمني او الترجي موجود في نفس المتكلم قبل الاستعمال</w:t>
      </w:r>
      <w:r w:rsidR="00603323" w:rsidRPr="00FD211F">
        <w:rPr>
          <w:sz w:val="36"/>
          <w:szCs w:val="36"/>
          <w:rtl/>
        </w:rPr>
        <w:t xml:space="preserve">، </w:t>
      </w:r>
      <w:r w:rsidRPr="00FD211F">
        <w:rPr>
          <w:sz w:val="36"/>
          <w:szCs w:val="36"/>
          <w:rtl/>
        </w:rPr>
        <w:t>وكذا الاستفهام بناء على كون المراد منه قصد الفهم</w:t>
      </w:r>
      <w:r w:rsidR="00603323" w:rsidRPr="00FD211F">
        <w:rPr>
          <w:sz w:val="36"/>
          <w:szCs w:val="36"/>
          <w:rtl/>
        </w:rPr>
        <w:t xml:space="preserve">، </w:t>
      </w:r>
      <w:r w:rsidRPr="00FD211F">
        <w:rPr>
          <w:sz w:val="36"/>
          <w:szCs w:val="36"/>
          <w:rtl/>
        </w:rPr>
        <w:t>واما لو اريد منه التصدي للفهم فينطبق على نفس اس</w:t>
      </w:r>
      <w:r w:rsidR="00D35682" w:rsidRPr="00FD211F">
        <w:rPr>
          <w:sz w:val="36"/>
          <w:szCs w:val="36"/>
          <w:rtl/>
        </w:rPr>
        <w:t>تعمال جمل</w:t>
      </w:r>
      <w:r w:rsidR="00EC7EDF" w:rsidRPr="00FD211F">
        <w:rPr>
          <w:sz w:val="36"/>
          <w:szCs w:val="36"/>
          <w:rtl/>
        </w:rPr>
        <w:t xml:space="preserve">ة </w:t>
      </w:r>
      <w:r w:rsidR="00D35682" w:rsidRPr="00FD211F">
        <w:rPr>
          <w:sz w:val="36"/>
          <w:szCs w:val="36"/>
          <w:rtl/>
        </w:rPr>
        <w:t>الاستفهام بداعي الجد.</w:t>
      </w:r>
    </w:p>
    <w:p w14:paraId="287A8D71" w14:textId="77777777" w:rsidR="00556BC0" w:rsidRPr="00FD211F" w:rsidRDefault="00D35682" w:rsidP="009C58C8">
      <w:pPr>
        <w:ind w:left="0" w:firstLine="227"/>
        <w:jc w:val="both"/>
        <w:rPr>
          <w:sz w:val="36"/>
          <w:szCs w:val="36"/>
          <w:rtl/>
        </w:rPr>
      </w:pPr>
      <w:r w:rsidRPr="00FD211F">
        <w:rPr>
          <w:b/>
          <w:bCs/>
          <w:sz w:val="36"/>
          <w:szCs w:val="36"/>
          <w:rtl/>
        </w:rPr>
        <w:t>وثانيا</w:t>
      </w:r>
      <w:r w:rsidR="00556BC0" w:rsidRPr="00FD211F">
        <w:rPr>
          <w:sz w:val="36"/>
          <w:szCs w:val="36"/>
          <w:rtl/>
        </w:rPr>
        <w:t xml:space="preserve"> ان المهم –كما مر- هو بيان مقوم المدلول الاستعمالي للجمل</w:t>
      </w:r>
      <w:r w:rsidR="00EC7EDF" w:rsidRPr="00FD211F">
        <w:rPr>
          <w:sz w:val="36"/>
          <w:szCs w:val="36"/>
          <w:rtl/>
        </w:rPr>
        <w:t xml:space="preserve">ة </w:t>
      </w:r>
      <w:r w:rsidR="00556BC0" w:rsidRPr="00FD211F">
        <w:rPr>
          <w:sz w:val="36"/>
          <w:szCs w:val="36"/>
          <w:rtl/>
        </w:rPr>
        <w:t>الإنشائي</w:t>
      </w:r>
      <w:r w:rsidR="00EC7EDF" w:rsidRPr="00FD211F">
        <w:rPr>
          <w:sz w:val="36"/>
          <w:szCs w:val="36"/>
          <w:rtl/>
        </w:rPr>
        <w:t xml:space="preserve">ة </w:t>
      </w:r>
      <w:r w:rsidR="00556BC0" w:rsidRPr="00FD211F">
        <w:rPr>
          <w:sz w:val="36"/>
          <w:szCs w:val="36"/>
          <w:rtl/>
        </w:rPr>
        <w:t>ولو كانت صادر</w:t>
      </w:r>
      <w:r w:rsidR="00EC7EDF" w:rsidRPr="00FD211F">
        <w:rPr>
          <w:sz w:val="36"/>
          <w:szCs w:val="36"/>
          <w:rtl/>
        </w:rPr>
        <w:t xml:space="preserve">ة </w:t>
      </w:r>
      <w:r w:rsidR="00556BC0" w:rsidRPr="00FD211F">
        <w:rPr>
          <w:sz w:val="36"/>
          <w:szCs w:val="36"/>
          <w:rtl/>
        </w:rPr>
        <w:t>بداعي الهزل</w:t>
      </w:r>
      <w:r w:rsidR="00603323" w:rsidRPr="00FD211F">
        <w:rPr>
          <w:sz w:val="36"/>
          <w:szCs w:val="36"/>
          <w:rtl/>
        </w:rPr>
        <w:t xml:space="preserve">، </w:t>
      </w:r>
      <w:r w:rsidR="00556BC0" w:rsidRPr="00FD211F">
        <w:rPr>
          <w:sz w:val="36"/>
          <w:szCs w:val="36"/>
          <w:rtl/>
        </w:rPr>
        <w:t>او فقل</w:t>
      </w:r>
      <w:r w:rsidR="00856647" w:rsidRPr="00FD211F">
        <w:rPr>
          <w:sz w:val="36"/>
          <w:szCs w:val="36"/>
          <w:rtl/>
        </w:rPr>
        <w:t>:</w:t>
      </w:r>
      <w:r w:rsidR="00450A9A" w:rsidRPr="00FD211F">
        <w:rPr>
          <w:sz w:val="36"/>
          <w:szCs w:val="36"/>
          <w:rtl/>
        </w:rPr>
        <w:t xml:space="preserve"> </w:t>
      </w:r>
      <w:r w:rsidR="0067784E" w:rsidRPr="00FD211F">
        <w:rPr>
          <w:sz w:val="36"/>
          <w:szCs w:val="36"/>
          <w:rtl/>
        </w:rPr>
        <w:t xml:space="preserve">ان </w:t>
      </w:r>
      <w:r w:rsidR="00556BC0" w:rsidRPr="00FD211F">
        <w:rPr>
          <w:sz w:val="36"/>
          <w:szCs w:val="36"/>
          <w:rtl/>
        </w:rPr>
        <w:t>المهم بيان ما يخطر بذهن السامع منها ولو كانت صادر</w:t>
      </w:r>
      <w:r w:rsidR="00EC7EDF" w:rsidRPr="00FD211F">
        <w:rPr>
          <w:sz w:val="36"/>
          <w:szCs w:val="36"/>
          <w:rtl/>
        </w:rPr>
        <w:t xml:space="preserve">ة </w:t>
      </w:r>
      <w:r w:rsidR="00556BC0" w:rsidRPr="00FD211F">
        <w:rPr>
          <w:sz w:val="36"/>
          <w:szCs w:val="36"/>
          <w:rtl/>
        </w:rPr>
        <w:t>من تموّج الهواء او من نائم.</w:t>
      </w:r>
    </w:p>
    <w:p w14:paraId="0090EA37" w14:textId="77777777" w:rsidR="000C5BBA" w:rsidRPr="00FD211F" w:rsidRDefault="00556BC0" w:rsidP="009C58C8">
      <w:pPr>
        <w:pStyle w:val="a4"/>
        <w:ind w:left="0" w:firstLine="227"/>
        <w:jc w:val="both"/>
        <w:rPr>
          <w:sz w:val="36"/>
          <w:szCs w:val="36"/>
          <w:rtl/>
        </w:rPr>
      </w:pPr>
      <w:bookmarkStart w:id="227" w:name="درس092"/>
      <w:bookmarkEnd w:id="227"/>
      <w:r w:rsidRPr="00FD211F">
        <w:rPr>
          <w:b/>
          <w:bCs/>
          <w:sz w:val="36"/>
          <w:szCs w:val="36"/>
          <w:rtl/>
        </w:rPr>
        <w:t>الوجه الرابع</w:t>
      </w:r>
      <w:r w:rsidR="009912CD" w:rsidRPr="00FD211F">
        <w:rPr>
          <w:sz w:val="36"/>
          <w:szCs w:val="36"/>
          <w:rtl/>
        </w:rPr>
        <w:t>:</w:t>
      </w:r>
      <w:r w:rsidRPr="00FD211F">
        <w:rPr>
          <w:sz w:val="36"/>
          <w:szCs w:val="36"/>
          <w:rtl/>
        </w:rPr>
        <w:t xml:space="preserve"> ما ذكره في البحوث من انه يراد</w:t>
      </w:r>
      <w:r w:rsidR="00450A9A" w:rsidRPr="00FD211F">
        <w:rPr>
          <w:sz w:val="36"/>
          <w:szCs w:val="36"/>
          <w:rtl/>
        </w:rPr>
        <w:t xml:space="preserve"> </w:t>
      </w:r>
      <w:r w:rsidR="0067784E" w:rsidRPr="00FD211F">
        <w:rPr>
          <w:sz w:val="36"/>
          <w:szCs w:val="36"/>
          <w:rtl/>
        </w:rPr>
        <w:t xml:space="preserve">من </w:t>
      </w:r>
      <w:r w:rsidRPr="00FD211F">
        <w:rPr>
          <w:sz w:val="36"/>
          <w:szCs w:val="36"/>
          <w:rtl/>
        </w:rPr>
        <w:t>كون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موجد</w:t>
      </w:r>
      <w:r w:rsidR="00EC7EDF" w:rsidRPr="00FD211F">
        <w:rPr>
          <w:sz w:val="36"/>
          <w:szCs w:val="36"/>
          <w:rtl/>
        </w:rPr>
        <w:t xml:space="preserve">ة </w:t>
      </w:r>
      <w:r w:rsidR="0067784E" w:rsidRPr="00FD211F">
        <w:rPr>
          <w:sz w:val="36"/>
          <w:szCs w:val="36"/>
          <w:rtl/>
        </w:rPr>
        <w:t>تصورا</w:t>
      </w:r>
      <w:r w:rsidR="00603323" w:rsidRPr="00FD211F">
        <w:rPr>
          <w:sz w:val="36"/>
          <w:szCs w:val="36"/>
          <w:rtl/>
        </w:rPr>
        <w:t xml:space="preserve">، </w:t>
      </w:r>
      <w:r w:rsidR="0067784E" w:rsidRPr="00FD211F">
        <w:rPr>
          <w:sz w:val="36"/>
          <w:szCs w:val="36"/>
          <w:rtl/>
        </w:rPr>
        <w:t>أ</w:t>
      </w:r>
      <w:r w:rsidRPr="00FD211F">
        <w:rPr>
          <w:sz w:val="36"/>
          <w:szCs w:val="36"/>
          <w:rtl/>
        </w:rPr>
        <w:t>نه اذا استعملت جمل</w:t>
      </w:r>
      <w:r w:rsidR="00EC7EDF" w:rsidRPr="00FD211F">
        <w:rPr>
          <w:sz w:val="36"/>
          <w:szCs w:val="36"/>
          <w:rtl/>
        </w:rPr>
        <w:t xml:space="preserve">ة </w:t>
      </w:r>
      <w:r w:rsidRPr="00FD211F">
        <w:rPr>
          <w:sz w:val="36"/>
          <w:szCs w:val="36"/>
          <w:rtl/>
        </w:rPr>
        <w:t>"بعت" في معناها الإنشائي فيلحظ كونها فاني</w:t>
      </w:r>
      <w:r w:rsidR="00EC7EDF" w:rsidRPr="00FD211F">
        <w:rPr>
          <w:sz w:val="36"/>
          <w:szCs w:val="36"/>
          <w:rtl/>
        </w:rPr>
        <w:t xml:space="preserve">ة </w:t>
      </w:r>
      <w:r w:rsidRPr="00FD211F">
        <w:rPr>
          <w:sz w:val="36"/>
          <w:szCs w:val="36"/>
          <w:rtl/>
        </w:rPr>
        <w:t>في واقع يرى تصورا كون وجوده بسبب استعمال هذه الجمل</w:t>
      </w:r>
      <w:r w:rsidR="00EC7EDF" w:rsidRPr="00FD211F">
        <w:rPr>
          <w:sz w:val="36"/>
          <w:szCs w:val="36"/>
          <w:rtl/>
        </w:rPr>
        <w:t>ة</w:t>
      </w:r>
      <w:r w:rsidR="00603323" w:rsidRPr="00FD211F">
        <w:rPr>
          <w:sz w:val="36"/>
          <w:szCs w:val="36"/>
          <w:rtl/>
        </w:rPr>
        <w:t xml:space="preserve">، </w:t>
      </w:r>
      <w:r w:rsidRPr="00FD211F">
        <w:rPr>
          <w:sz w:val="36"/>
          <w:szCs w:val="36"/>
          <w:rtl/>
        </w:rPr>
        <w:t>واذا استعملت في معناها الإخباري فيلحظ كونها فاني</w:t>
      </w:r>
      <w:r w:rsidR="00EC7EDF" w:rsidRPr="00FD211F">
        <w:rPr>
          <w:sz w:val="36"/>
          <w:szCs w:val="36"/>
          <w:rtl/>
        </w:rPr>
        <w:t xml:space="preserve">ة </w:t>
      </w:r>
      <w:r w:rsidRPr="00FD211F">
        <w:rPr>
          <w:sz w:val="36"/>
          <w:szCs w:val="36"/>
          <w:rtl/>
        </w:rPr>
        <w:t>في واقع يرى تصورا وجوده مع قطع النظر عن هذا الاستعمال</w:t>
      </w:r>
      <w:r w:rsidR="00603323" w:rsidRPr="00FD211F">
        <w:rPr>
          <w:sz w:val="36"/>
          <w:szCs w:val="36"/>
          <w:rtl/>
        </w:rPr>
        <w:t xml:space="preserve">، </w:t>
      </w:r>
      <w:r w:rsidRPr="00FD211F">
        <w:rPr>
          <w:sz w:val="36"/>
          <w:szCs w:val="36"/>
          <w:rtl/>
        </w:rPr>
        <w:t>وهذا ثابت حتى</w:t>
      </w:r>
      <w:r w:rsidR="00223849" w:rsidRPr="00FD211F">
        <w:rPr>
          <w:sz w:val="36"/>
          <w:szCs w:val="36"/>
          <w:rtl/>
        </w:rPr>
        <w:t xml:space="preserve"> في موارد استعمالها بداعي الهزل.</w:t>
      </w:r>
    </w:p>
    <w:p w14:paraId="5276025E" w14:textId="77777777" w:rsidR="000C5BBA" w:rsidRPr="00FD211F" w:rsidRDefault="00223849" w:rsidP="009C58C8">
      <w:pPr>
        <w:pStyle w:val="a4"/>
        <w:ind w:left="0" w:firstLine="227"/>
        <w:jc w:val="both"/>
        <w:rPr>
          <w:sz w:val="36"/>
          <w:szCs w:val="36"/>
          <w:rtl/>
        </w:rPr>
      </w:pPr>
      <w:r w:rsidRPr="00FD211F">
        <w:rPr>
          <w:sz w:val="36"/>
          <w:szCs w:val="36"/>
          <w:rtl/>
        </w:rPr>
        <w:t>نعم</w:t>
      </w:r>
      <w:r w:rsidR="00556BC0" w:rsidRPr="00FD211F">
        <w:rPr>
          <w:sz w:val="36"/>
          <w:szCs w:val="36"/>
          <w:rtl/>
        </w:rPr>
        <w:t xml:space="preserve"> لايتم هذا الوجه في مثل التمني والترجي والاستفهام حيث انه لاتوجد هذه الأمور في طول الاستعمال</w:t>
      </w:r>
      <w:r w:rsidR="00603323" w:rsidRPr="00FD211F">
        <w:rPr>
          <w:sz w:val="36"/>
          <w:szCs w:val="36"/>
          <w:rtl/>
        </w:rPr>
        <w:t xml:space="preserve">، </w:t>
      </w:r>
      <w:r w:rsidR="00556BC0" w:rsidRPr="00FD211F">
        <w:rPr>
          <w:sz w:val="36"/>
          <w:szCs w:val="36"/>
          <w:rtl/>
        </w:rPr>
        <w:t>بل وجوداته</w:t>
      </w:r>
      <w:r w:rsidR="00330FB0" w:rsidRPr="00FD211F">
        <w:rPr>
          <w:sz w:val="36"/>
          <w:szCs w:val="36"/>
          <w:rtl/>
        </w:rPr>
        <w:t>ا</w:t>
      </w:r>
      <w:r w:rsidR="00556BC0" w:rsidRPr="00FD211F">
        <w:rPr>
          <w:sz w:val="36"/>
          <w:szCs w:val="36"/>
          <w:rtl/>
        </w:rPr>
        <w:t xml:space="preserve"> الحقيقي</w:t>
      </w:r>
      <w:r w:rsidR="00EC7EDF" w:rsidRPr="00FD211F">
        <w:rPr>
          <w:sz w:val="36"/>
          <w:szCs w:val="36"/>
          <w:rtl/>
        </w:rPr>
        <w:t xml:space="preserve">ة </w:t>
      </w:r>
      <w:r w:rsidR="00556BC0" w:rsidRPr="00FD211F">
        <w:rPr>
          <w:sz w:val="36"/>
          <w:szCs w:val="36"/>
          <w:rtl/>
        </w:rPr>
        <w:t>ثابت</w:t>
      </w:r>
      <w:r w:rsidR="00EC7EDF" w:rsidRPr="00FD211F">
        <w:rPr>
          <w:sz w:val="36"/>
          <w:szCs w:val="36"/>
          <w:rtl/>
        </w:rPr>
        <w:t xml:space="preserve">ة </w:t>
      </w:r>
      <w:r w:rsidR="00556BC0" w:rsidRPr="00FD211F">
        <w:rPr>
          <w:sz w:val="36"/>
          <w:szCs w:val="36"/>
          <w:rtl/>
        </w:rPr>
        <w:t>قبل الاستعمال</w:t>
      </w:r>
      <w:r w:rsidR="00603323" w:rsidRPr="00FD211F">
        <w:rPr>
          <w:sz w:val="36"/>
          <w:szCs w:val="36"/>
          <w:rtl/>
        </w:rPr>
        <w:t xml:space="preserve">، </w:t>
      </w:r>
      <w:r w:rsidR="00556BC0" w:rsidRPr="00FD211F">
        <w:rPr>
          <w:sz w:val="36"/>
          <w:szCs w:val="36"/>
          <w:rtl/>
        </w:rPr>
        <w:t>ولامعنى لوجوداتها الإنشائي</w:t>
      </w:r>
      <w:r w:rsidR="00EC7EDF" w:rsidRPr="00FD211F">
        <w:rPr>
          <w:sz w:val="36"/>
          <w:szCs w:val="36"/>
          <w:rtl/>
        </w:rPr>
        <w:t xml:space="preserve">ة </w:t>
      </w:r>
      <w:r w:rsidR="00556BC0" w:rsidRPr="00FD211F">
        <w:rPr>
          <w:sz w:val="36"/>
          <w:szCs w:val="36"/>
          <w:rtl/>
        </w:rPr>
        <w:t>الا استعمال هذه الجمل في مقام التمني والترجي والاستفهام</w:t>
      </w:r>
      <w:r w:rsidR="00603323" w:rsidRPr="00FD211F">
        <w:rPr>
          <w:sz w:val="36"/>
          <w:szCs w:val="36"/>
          <w:rtl/>
        </w:rPr>
        <w:t xml:space="preserve">، </w:t>
      </w:r>
      <w:r w:rsidR="00556BC0" w:rsidRPr="00FD211F">
        <w:rPr>
          <w:sz w:val="36"/>
          <w:szCs w:val="36"/>
          <w:rtl/>
        </w:rPr>
        <w:t>فلايعقل لحاظ معانيها فاني</w:t>
      </w:r>
      <w:r w:rsidR="00EC7EDF" w:rsidRPr="00FD211F">
        <w:rPr>
          <w:sz w:val="36"/>
          <w:szCs w:val="36"/>
          <w:rtl/>
        </w:rPr>
        <w:t xml:space="preserve">ة </w:t>
      </w:r>
      <w:r w:rsidR="00556BC0" w:rsidRPr="00FD211F">
        <w:rPr>
          <w:sz w:val="36"/>
          <w:szCs w:val="36"/>
          <w:rtl/>
        </w:rPr>
        <w:t>في امر يرى تصورا كون وجوده في طول هذه الجمل</w:t>
      </w:r>
      <w:r w:rsidR="009C58C8" w:rsidRPr="00FD211F">
        <w:rPr>
          <w:rStyle w:val="a6"/>
          <w:sz w:val="36"/>
          <w:szCs w:val="36"/>
          <w:rtl/>
        </w:rPr>
        <w:t>(</w:t>
      </w:r>
      <w:r w:rsidR="009C58C8" w:rsidRPr="00FD211F">
        <w:rPr>
          <w:rStyle w:val="a6"/>
          <w:sz w:val="36"/>
          <w:szCs w:val="36"/>
          <w:rtl/>
        </w:rPr>
        <w:footnoteReference w:id="203"/>
      </w:r>
      <w:r w:rsidR="009C58C8" w:rsidRPr="00FD211F">
        <w:rPr>
          <w:rStyle w:val="a6"/>
          <w:sz w:val="36"/>
          <w:szCs w:val="36"/>
          <w:rtl/>
        </w:rPr>
        <w:t>)</w:t>
      </w:r>
      <w:r w:rsidRPr="00FD211F">
        <w:rPr>
          <w:sz w:val="36"/>
          <w:szCs w:val="36"/>
          <w:rtl/>
        </w:rPr>
        <w:t>.</w:t>
      </w:r>
    </w:p>
    <w:p w14:paraId="1445A772" w14:textId="77777777" w:rsidR="000C5BBA" w:rsidRPr="00FD211F" w:rsidRDefault="00223849" w:rsidP="009C58C8">
      <w:pPr>
        <w:pStyle w:val="a4"/>
        <w:ind w:left="0" w:firstLine="227"/>
        <w:jc w:val="both"/>
        <w:rPr>
          <w:sz w:val="36"/>
          <w:szCs w:val="36"/>
          <w:rtl/>
        </w:rPr>
      </w:pPr>
      <w:r w:rsidRPr="00FD211F">
        <w:rPr>
          <w:sz w:val="36"/>
          <w:szCs w:val="36"/>
          <w:rtl/>
        </w:rPr>
        <w:t>والظاه</w:t>
      </w:r>
      <w:r w:rsidR="00BA5CA0" w:rsidRPr="00FD211F">
        <w:rPr>
          <w:sz w:val="36"/>
          <w:szCs w:val="36"/>
          <w:rtl/>
        </w:rPr>
        <w:t>ر تمامي</w:t>
      </w:r>
      <w:r w:rsidR="00EC7EDF" w:rsidRPr="00FD211F">
        <w:rPr>
          <w:sz w:val="36"/>
          <w:szCs w:val="36"/>
          <w:rtl/>
        </w:rPr>
        <w:t xml:space="preserve">ة </w:t>
      </w:r>
      <w:r w:rsidR="00BA5CA0" w:rsidRPr="00FD211F">
        <w:rPr>
          <w:sz w:val="36"/>
          <w:szCs w:val="36"/>
          <w:rtl/>
        </w:rPr>
        <w:t>هذا الوجه كما سيأتي تو</w:t>
      </w:r>
      <w:r w:rsidRPr="00FD211F">
        <w:rPr>
          <w:sz w:val="36"/>
          <w:szCs w:val="36"/>
          <w:rtl/>
        </w:rPr>
        <w:t>ضيحه.</w:t>
      </w:r>
    </w:p>
    <w:p w14:paraId="4F357071" w14:textId="77777777" w:rsidR="00BA5CA0" w:rsidRPr="00FD211F" w:rsidRDefault="00223849" w:rsidP="009C58C8">
      <w:pPr>
        <w:pStyle w:val="a4"/>
        <w:ind w:left="0" w:firstLine="227"/>
        <w:jc w:val="both"/>
        <w:rPr>
          <w:sz w:val="36"/>
          <w:szCs w:val="36"/>
          <w:rtl/>
        </w:rPr>
      </w:pPr>
      <w:r w:rsidRPr="00FD211F">
        <w:rPr>
          <w:sz w:val="36"/>
          <w:szCs w:val="36"/>
          <w:rtl/>
        </w:rPr>
        <w:t>هذه هي الوجوه الاربع</w:t>
      </w:r>
      <w:r w:rsidR="00EC7EDF" w:rsidRPr="00FD211F">
        <w:rPr>
          <w:sz w:val="36"/>
          <w:szCs w:val="36"/>
          <w:rtl/>
        </w:rPr>
        <w:t xml:space="preserve">ة </w:t>
      </w:r>
      <w:r w:rsidRPr="00FD211F">
        <w:rPr>
          <w:sz w:val="36"/>
          <w:szCs w:val="36"/>
          <w:rtl/>
        </w:rPr>
        <w:t>ل</w:t>
      </w:r>
      <w:r w:rsidR="00450A9A" w:rsidRPr="00FD211F">
        <w:rPr>
          <w:sz w:val="36"/>
          <w:szCs w:val="36"/>
          <w:rtl/>
        </w:rPr>
        <w:t>تفسير ايجاد</w:t>
      </w:r>
      <w:r w:rsidR="00BA5CA0" w:rsidRPr="00FD211F">
        <w:rPr>
          <w:sz w:val="36"/>
          <w:szCs w:val="36"/>
          <w:rtl/>
        </w:rPr>
        <w:t>ي</w:t>
      </w:r>
      <w:r w:rsidR="00EC7EDF" w:rsidRPr="00FD211F">
        <w:rPr>
          <w:sz w:val="36"/>
          <w:szCs w:val="36"/>
          <w:rtl/>
        </w:rPr>
        <w:t xml:space="preserve">ة </w:t>
      </w:r>
      <w:r w:rsidR="00BA5CA0" w:rsidRPr="00FD211F">
        <w:rPr>
          <w:sz w:val="36"/>
          <w:szCs w:val="36"/>
          <w:rtl/>
        </w:rPr>
        <w:t>الجمل الانشائي</w:t>
      </w:r>
      <w:r w:rsidR="00EC7EDF" w:rsidRPr="00FD211F">
        <w:rPr>
          <w:sz w:val="36"/>
          <w:szCs w:val="36"/>
          <w:rtl/>
        </w:rPr>
        <w:t>ة</w:t>
      </w:r>
      <w:r w:rsidR="00A61BAE" w:rsidRPr="00FD211F">
        <w:rPr>
          <w:sz w:val="36"/>
          <w:szCs w:val="36"/>
          <w:rtl/>
        </w:rPr>
        <w:t>.</w:t>
      </w:r>
    </w:p>
    <w:p w14:paraId="50278973" w14:textId="77777777" w:rsidR="00BA5CA0" w:rsidRPr="00FD211F" w:rsidRDefault="00805763" w:rsidP="009C58C8">
      <w:pPr>
        <w:pStyle w:val="a4"/>
        <w:ind w:left="0" w:firstLine="227"/>
        <w:jc w:val="both"/>
        <w:rPr>
          <w:b/>
          <w:bCs/>
          <w:sz w:val="36"/>
          <w:szCs w:val="36"/>
          <w:rtl/>
        </w:rPr>
      </w:pPr>
      <w:r w:rsidRPr="00FD211F">
        <w:rPr>
          <w:sz w:val="36"/>
          <w:szCs w:val="36"/>
          <w:rtl/>
        </w:rPr>
        <w:t>و</w:t>
      </w:r>
      <w:r w:rsidR="00223849" w:rsidRPr="00FD211F">
        <w:rPr>
          <w:sz w:val="36"/>
          <w:szCs w:val="36"/>
          <w:rtl/>
        </w:rPr>
        <w:t xml:space="preserve">لايخفى انه </w:t>
      </w:r>
      <w:r w:rsidRPr="00FD211F">
        <w:rPr>
          <w:sz w:val="36"/>
          <w:szCs w:val="36"/>
          <w:rtl/>
        </w:rPr>
        <w:t xml:space="preserve">قدحكى في بدائع الافكار عن المحقق العراقي </w:t>
      </w:r>
      <w:r w:rsidR="00223849" w:rsidRPr="00FD211F">
        <w:rPr>
          <w:sz w:val="36"/>
          <w:szCs w:val="36"/>
          <w:rtl/>
        </w:rPr>
        <w:t>"</w:t>
      </w:r>
      <w:r w:rsidRPr="00FD211F">
        <w:rPr>
          <w:sz w:val="36"/>
          <w:szCs w:val="36"/>
          <w:rtl/>
        </w:rPr>
        <w:t>قده</w:t>
      </w:r>
      <w:r w:rsidR="00223849" w:rsidRPr="00FD211F">
        <w:rPr>
          <w:sz w:val="36"/>
          <w:szCs w:val="36"/>
          <w:rtl/>
        </w:rPr>
        <w:t>"</w:t>
      </w:r>
      <w:r w:rsidRPr="00FD211F">
        <w:rPr>
          <w:sz w:val="36"/>
          <w:szCs w:val="36"/>
          <w:rtl/>
        </w:rPr>
        <w:t xml:space="preserve"> انه </w:t>
      </w:r>
      <w:r w:rsidR="00223849" w:rsidRPr="00FD211F">
        <w:rPr>
          <w:sz w:val="36"/>
          <w:szCs w:val="36"/>
          <w:rtl/>
        </w:rPr>
        <w:t>ذكرأنّ</w:t>
      </w:r>
      <w:r w:rsidR="00BA5CA0" w:rsidRPr="00FD211F">
        <w:rPr>
          <w:sz w:val="36"/>
          <w:szCs w:val="36"/>
          <w:rtl/>
        </w:rPr>
        <w:t xml:space="preserve">ه لاتتم </w:t>
      </w:r>
      <w:r w:rsidRPr="00FD211F">
        <w:rPr>
          <w:sz w:val="36"/>
          <w:szCs w:val="36"/>
          <w:rtl/>
        </w:rPr>
        <w:t>دعوى كون المستعمل فيه والموضوع له في الإنشائيات هو الإيجاد مثل إيجاد النداء بحرف النداء</w:t>
      </w:r>
      <w:r w:rsidR="00603323" w:rsidRPr="00FD211F">
        <w:rPr>
          <w:sz w:val="36"/>
          <w:szCs w:val="36"/>
          <w:rtl/>
        </w:rPr>
        <w:t xml:space="preserve">، </w:t>
      </w:r>
      <w:r w:rsidRPr="00FD211F">
        <w:rPr>
          <w:sz w:val="36"/>
          <w:szCs w:val="36"/>
          <w:rtl/>
        </w:rPr>
        <w:t>حيث ان</w:t>
      </w:r>
      <w:r w:rsidR="001D2915" w:rsidRPr="00FD211F">
        <w:rPr>
          <w:sz w:val="36"/>
          <w:szCs w:val="36"/>
          <w:rtl/>
        </w:rPr>
        <w:t xml:space="preserve">ه </w:t>
      </w:r>
      <w:r w:rsidR="001D2915" w:rsidRPr="00FD211F">
        <w:rPr>
          <w:b/>
          <w:bCs/>
          <w:sz w:val="36"/>
          <w:szCs w:val="36"/>
          <w:rtl/>
        </w:rPr>
        <w:t>اولاً</w:t>
      </w:r>
      <w:r w:rsidR="001D2915" w:rsidRPr="00FD211F">
        <w:rPr>
          <w:sz w:val="36"/>
          <w:szCs w:val="36"/>
          <w:rtl/>
        </w:rPr>
        <w:t>:</w:t>
      </w:r>
      <w:r w:rsidRPr="00FD211F">
        <w:rPr>
          <w:sz w:val="36"/>
          <w:szCs w:val="36"/>
          <w:rtl/>
        </w:rPr>
        <w:t xml:space="preserve"> الموضوع له والمستعمل فيه لابد ان يكون قابلا للانتقال الى الذهن</w:t>
      </w:r>
      <w:r w:rsidR="00603323" w:rsidRPr="00FD211F">
        <w:rPr>
          <w:sz w:val="36"/>
          <w:szCs w:val="36"/>
          <w:rtl/>
        </w:rPr>
        <w:t xml:space="preserve">، </w:t>
      </w:r>
      <w:r w:rsidRPr="00FD211F">
        <w:rPr>
          <w:sz w:val="36"/>
          <w:szCs w:val="36"/>
          <w:rtl/>
        </w:rPr>
        <w:t>والإيجاد الخارجي لاينتقل بنفسه الى الذهن</w:t>
      </w:r>
      <w:r w:rsidR="00BA5CA0" w:rsidRPr="00FD211F">
        <w:rPr>
          <w:b/>
          <w:bCs/>
          <w:sz w:val="36"/>
          <w:szCs w:val="36"/>
          <w:rtl/>
        </w:rPr>
        <w:t>.</w:t>
      </w:r>
    </w:p>
    <w:p w14:paraId="17D0D7EC" w14:textId="77777777" w:rsidR="00805763" w:rsidRPr="00FD211F" w:rsidRDefault="001D2915" w:rsidP="009C58C8">
      <w:pPr>
        <w:pStyle w:val="a4"/>
        <w:ind w:left="0" w:firstLine="227"/>
        <w:jc w:val="both"/>
        <w:rPr>
          <w:sz w:val="36"/>
          <w:szCs w:val="36"/>
          <w:rtl/>
        </w:rPr>
      </w:pPr>
      <w:r w:rsidRPr="00FD211F">
        <w:rPr>
          <w:b/>
          <w:bCs/>
          <w:sz w:val="36"/>
          <w:szCs w:val="36"/>
          <w:rtl/>
        </w:rPr>
        <w:t>وثانيا</w:t>
      </w:r>
      <w:r w:rsidRPr="00FD211F">
        <w:rPr>
          <w:sz w:val="36"/>
          <w:szCs w:val="36"/>
          <w:rtl/>
        </w:rPr>
        <w:t>:</w:t>
      </w:r>
      <w:r w:rsidR="00805763" w:rsidRPr="00FD211F">
        <w:rPr>
          <w:sz w:val="36"/>
          <w:szCs w:val="36"/>
          <w:rtl/>
        </w:rPr>
        <w:t xml:space="preserve"> ان المستعمل فيه مقدم رتب</w:t>
      </w:r>
      <w:r w:rsidR="00EC7EDF" w:rsidRPr="00FD211F">
        <w:rPr>
          <w:sz w:val="36"/>
          <w:szCs w:val="36"/>
          <w:rtl/>
        </w:rPr>
        <w:t xml:space="preserve">ة </w:t>
      </w:r>
      <w:r w:rsidR="00805763" w:rsidRPr="00FD211F">
        <w:rPr>
          <w:sz w:val="36"/>
          <w:szCs w:val="36"/>
          <w:rtl/>
        </w:rPr>
        <w:t>على الاستعمال</w:t>
      </w:r>
      <w:r w:rsidR="00603323" w:rsidRPr="00FD211F">
        <w:rPr>
          <w:sz w:val="36"/>
          <w:szCs w:val="36"/>
          <w:rtl/>
        </w:rPr>
        <w:t xml:space="preserve">، </w:t>
      </w:r>
      <w:r w:rsidR="00805763" w:rsidRPr="00FD211F">
        <w:rPr>
          <w:sz w:val="36"/>
          <w:szCs w:val="36"/>
          <w:rtl/>
        </w:rPr>
        <w:t>لتعلقه به وعروضه عليه</w:t>
      </w:r>
      <w:r w:rsidR="00603323" w:rsidRPr="00FD211F">
        <w:rPr>
          <w:sz w:val="36"/>
          <w:szCs w:val="36"/>
          <w:rtl/>
        </w:rPr>
        <w:t xml:space="preserve">، </w:t>
      </w:r>
      <w:r w:rsidR="00805763" w:rsidRPr="00FD211F">
        <w:rPr>
          <w:sz w:val="36"/>
          <w:szCs w:val="36"/>
          <w:rtl/>
        </w:rPr>
        <w:t>فلو كان المستعمل فيه متوقفا على الاستعمال لزم الخلف.</w:t>
      </w:r>
    </w:p>
    <w:p w14:paraId="41F835BA" w14:textId="77777777" w:rsidR="00805763" w:rsidRPr="00FD211F" w:rsidRDefault="00BA5CA0" w:rsidP="009C58C8">
      <w:pPr>
        <w:ind w:left="0" w:firstLine="227"/>
        <w:jc w:val="both"/>
        <w:rPr>
          <w:sz w:val="36"/>
          <w:szCs w:val="36"/>
          <w:rtl/>
        </w:rPr>
      </w:pPr>
      <w:r w:rsidRPr="00FD211F">
        <w:rPr>
          <w:sz w:val="36"/>
          <w:szCs w:val="36"/>
          <w:rtl/>
        </w:rPr>
        <w:t>اقول</w:t>
      </w:r>
      <w:r w:rsidR="00EC7EDF" w:rsidRPr="00FD211F">
        <w:rPr>
          <w:sz w:val="36"/>
          <w:szCs w:val="36"/>
          <w:rtl/>
        </w:rPr>
        <w:t>:</w:t>
      </w:r>
      <w:r w:rsidR="00805763" w:rsidRPr="00FD211F">
        <w:rPr>
          <w:sz w:val="36"/>
          <w:szCs w:val="36"/>
          <w:rtl/>
        </w:rPr>
        <w:t xml:space="preserve">انه بناء على الوجه الأول </w:t>
      </w:r>
      <w:r w:rsidR="00D41D6F" w:rsidRPr="00FD211F">
        <w:rPr>
          <w:sz w:val="36"/>
          <w:szCs w:val="36"/>
          <w:rtl/>
        </w:rPr>
        <w:t>من الوجوه الاربع</w:t>
      </w:r>
      <w:r w:rsidR="00EC7EDF" w:rsidRPr="00FD211F">
        <w:rPr>
          <w:sz w:val="36"/>
          <w:szCs w:val="36"/>
          <w:rtl/>
        </w:rPr>
        <w:t xml:space="preserve">ة </w:t>
      </w:r>
      <w:r w:rsidR="00805763" w:rsidRPr="00FD211F">
        <w:rPr>
          <w:sz w:val="36"/>
          <w:szCs w:val="36"/>
          <w:rtl/>
        </w:rPr>
        <w:t>لاتكون الجمل</w:t>
      </w:r>
      <w:r w:rsidR="00EC7EDF" w:rsidRPr="00FD211F">
        <w:rPr>
          <w:sz w:val="36"/>
          <w:szCs w:val="36"/>
          <w:rtl/>
        </w:rPr>
        <w:t xml:space="preserve">ة </w:t>
      </w:r>
      <w:r w:rsidR="00805763" w:rsidRPr="00FD211F">
        <w:rPr>
          <w:sz w:val="36"/>
          <w:szCs w:val="36"/>
          <w:rtl/>
        </w:rPr>
        <w:t>الإنشائي</w:t>
      </w:r>
      <w:r w:rsidR="00EC7EDF" w:rsidRPr="00FD211F">
        <w:rPr>
          <w:sz w:val="36"/>
          <w:szCs w:val="36"/>
          <w:rtl/>
        </w:rPr>
        <w:t xml:space="preserve">ة </w:t>
      </w:r>
      <w:r w:rsidR="00805763" w:rsidRPr="00FD211F">
        <w:rPr>
          <w:sz w:val="36"/>
          <w:szCs w:val="36"/>
          <w:rtl/>
        </w:rPr>
        <w:t>مستعمل</w:t>
      </w:r>
      <w:r w:rsidR="00EC7EDF" w:rsidRPr="00FD211F">
        <w:rPr>
          <w:sz w:val="36"/>
          <w:szCs w:val="36"/>
          <w:rtl/>
        </w:rPr>
        <w:t xml:space="preserve">ة </w:t>
      </w:r>
      <w:r w:rsidR="00805763" w:rsidRPr="00FD211F">
        <w:rPr>
          <w:sz w:val="36"/>
          <w:szCs w:val="36"/>
          <w:rtl/>
        </w:rPr>
        <w:t>في معنى ابدا بل تكون موجد</w:t>
      </w:r>
      <w:r w:rsidR="00EC7EDF" w:rsidRPr="00FD211F">
        <w:rPr>
          <w:sz w:val="36"/>
          <w:szCs w:val="36"/>
          <w:rtl/>
        </w:rPr>
        <w:t xml:space="preserve">ة </w:t>
      </w:r>
      <w:r w:rsidR="00805763" w:rsidRPr="00FD211F">
        <w:rPr>
          <w:sz w:val="36"/>
          <w:szCs w:val="36"/>
          <w:rtl/>
        </w:rPr>
        <w:t>له</w:t>
      </w:r>
      <w:r w:rsidR="00603323" w:rsidRPr="00FD211F">
        <w:rPr>
          <w:sz w:val="36"/>
          <w:szCs w:val="36"/>
          <w:rtl/>
        </w:rPr>
        <w:t xml:space="preserve">، </w:t>
      </w:r>
      <w:r w:rsidR="00805763" w:rsidRPr="00FD211F">
        <w:rPr>
          <w:sz w:val="36"/>
          <w:szCs w:val="36"/>
          <w:rtl/>
        </w:rPr>
        <w:t>كما قد يلتزم به في حرف النداء</w:t>
      </w:r>
      <w:r w:rsidR="00603323" w:rsidRPr="00FD211F">
        <w:rPr>
          <w:sz w:val="36"/>
          <w:szCs w:val="36"/>
          <w:rtl/>
        </w:rPr>
        <w:t xml:space="preserve">، </w:t>
      </w:r>
      <w:r w:rsidR="00805763" w:rsidRPr="00FD211F">
        <w:rPr>
          <w:sz w:val="36"/>
          <w:szCs w:val="36"/>
          <w:rtl/>
        </w:rPr>
        <w:t>حيث يقال بانه ايجاد للصوت والنداء التكويني ثم يحسّ به السامع فينتقل صورته الى ذهنه</w:t>
      </w:r>
      <w:r w:rsidR="00603323" w:rsidRPr="00FD211F">
        <w:rPr>
          <w:sz w:val="36"/>
          <w:szCs w:val="36"/>
          <w:rtl/>
        </w:rPr>
        <w:t xml:space="preserve">، </w:t>
      </w:r>
      <w:r w:rsidR="00805763" w:rsidRPr="00FD211F">
        <w:rPr>
          <w:sz w:val="36"/>
          <w:szCs w:val="36"/>
          <w:rtl/>
        </w:rPr>
        <w:t>وبناء على الوجه الثالث فتكون موجد</w:t>
      </w:r>
      <w:r w:rsidR="00EC7EDF" w:rsidRPr="00FD211F">
        <w:rPr>
          <w:sz w:val="36"/>
          <w:szCs w:val="36"/>
          <w:rtl/>
        </w:rPr>
        <w:t xml:space="preserve">ة </w:t>
      </w:r>
      <w:r w:rsidR="00805763" w:rsidRPr="00FD211F">
        <w:rPr>
          <w:sz w:val="36"/>
          <w:szCs w:val="36"/>
          <w:rtl/>
        </w:rPr>
        <w:t>لمعناها زائدا على استعمالها فيه</w:t>
      </w:r>
      <w:r w:rsidR="00603323" w:rsidRPr="00FD211F">
        <w:rPr>
          <w:sz w:val="36"/>
          <w:szCs w:val="36"/>
          <w:rtl/>
        </w:rPr>
        <w:t xml:space="preserve">، </w:t>
      </w:r>
      <w:r w:rsidR="00805763" w:rsidRPr="00FD211F">
        <w:rPr>
          <w:sz w:val="36"/>
          <w:szCs w:val="36"/>
          <w:rtl/>
        </w:rPr>
        <w:t>ولكن ليس المستعمل فيه بالذات هو الوجود الخارجي</w:t>
      </w:r>
      <w:r w:rsidR="00603323" w:rsidRPr="00FD211F">
        <w:rPr>
          <w:sz w:val="36"/>
          <w:szCs w:val="36"/>
          <w:rtl/>
        </w:rPr>
        <w:t xml:space="preserve">، </w:t>
      </w:r>
      <w:r w:rsidR="00805763" w:rsidRPr="00FD211F">
        <w:rPr>
          <w:sz w:val="36"/>
          <w:szCs w:val="36"/>
          <w:rtl/>
        </w:rPr>
        <w:t>بل المستعمل فيه هو ذات المعنى</w:t>
      </w:r>
      <w:r w:rsidR="00603323" w:rsidRPr="00FD211F">
        <w:rPr>
          <w:sz w:val="36"/>
          <w:szCs w:val="36"/>
          <w:rtl/>
        </w:rPr>
        <w:t xml:space="preserve">، </w:t>
      </w:r>
      <w:r w:rsidR="00805763" w:rsidRPr="00FD211F">
        <w:rPr>
          <w:sz w:val="36"/>
          <w:szCs w:val="36"/>
          <w:rtl/>
        </w:rPr>
        <w:t>ويترتب على الاستعمال وجود المعنى في الخارج</w:t>
      </w:r>
      <w:r w:rsidR="00603323" w:rsidRPr="00FD211F">
        <w:rPr>
          <w:sz w:val="36"/>
          <w:szCs w:val="36"/>
          <w:rtl/>
        </w:rPr>
        <w:t xml:space="preserve">، </w:t>
      </w:r>
      <w:r w:rsidR="00805763" w:rsidRPr="00FD211F">
        <w:rPr>
          <w:sz w:val="36"/>
          <w:szCs w:val="36"/>
          <w:rtl/>
        </w:rPr>
        <w:t>وبذلك يتم الجواب عن الإيراد الثاني اذ المتقدم هو ذات المعنى المستعمل فيه والمتأخر هو وجوده في الخارج.</w:t>
      </w:r>
    </w:p>
    <w:p w14:paraId="6A31F4DD" w14:textId="77777777" w:rsidR="00556BC0" w:rsidRPr="00FD211F" w:rsidRDefault="00B74367" w:rsidP="009C58C8">
      <w:pPr>
        <w:ind w:left="0" w:firstLine="227"/>
        <w:jc w:val="both"/>
        <w:rPr>
          <w:sz w:val="36"/>
          <w:szCs w:val="36"/>
          <w:rtl/>
        </w:rPr>
      </w:pPr>
      <w:r w:rsidRPr="00FD211F">
        <w:rPr>
          <w:sz w:val="36"/>
          <w:szCs w:val="36"/>
          <w:rtl/>
        </w:rPr>
        <w:t>ثم ان</w:t>
      </w:r>
      <w:r w:rsidR="00556BC0" w:rsidRPr="00FD211F">
        <w:rPr>
          <w:sz w:val="36"/>
          <w:szCs w:val="36"/>
          <w:rtl/>
        </w:rPr>
        <w:t xml:space="preserve"> السيد الخوئي</w:t>
      </w:r>
      <w:r w:rsidR="008F14E7" w:rsidRPr="00FD211F">
        <w:rPr>
          <w:sz w:val="36"/>
          <w:szCs w:val="36"/>
          <w:rtl/>
        </w:rPr>
        <w:t xml:space="preserve"> "قده"</w:t>
      </w:r>
      <w:r w:rsidR="00450A9A" w:rsidRPr="00FD211F">
        <w:rPr>
          <w:sz w:val="36"/>
          <w:szCs w:val="36"/>
          <w:rtl/>
        </w:rPr>
        <w:t xml:space="preserve"> </w:t>
      </w:r>
      <w:r w:rsidRPr="00FD211F">
        <w:rPr>
          <w:sz w:val="36"/>
          <w:szCs w:val="36"/>
          <w:rtl/>
        </w:rPr>
        <w:t>قد خالف</w:t>
      </w:r>
      <w:r w:rsidR="00B253CE" w:rsidRPr="00FD211F">
        <w:rPr>
          <w:sz w:val="36"/>
          <w:szCs w:val="36"/>
          <w:rtl/>
        </w:rPr>
        <w:t xml:space="preserve"> </w:t>
      </w:r>
      <w:r w:rsidR="00556BC0" w:rsidRPr="00FD211F">
        <w:rPr>
          <w:sz w:val="36"/>
          <w:szCs w:val="36"/>
          <w:rtl/>
        </w:rPr>
        <w:t xml:space="preserve">المشهور </w:t>
      </w:r>
      <w:r w:rsidRPr="00FD211F">
        <w:rPr>
          <w:sz w:val="36"/>
          <w:szCs w:val="36"/>
          <w:rtl/>
        </w:rPr>
        <w:t>في كون الجمل الإنشائي</w:t>
      </w:r>
      <w:r w:rsidR="00EC7EDF" w:rsidRPr="00FD211F">
        <w:rPr>
          <w:sz w:val="36"/>
          <w:szCs w:val="36"/>
          <w:rtl/>
        </w:rPr>
        <w:t xml:space="preserve">ة </w:t>
      </w:r>
      <w:r w:rsidRPr="00FD211F">
        <w:rPr>
          <w:sz w:val="36"/>
          <w:szCs w:val="36"/>
          <w:rtl/>
        </w:rPr>
        <w:t>إيجادي</w:t>
      </w:r>
      <w:r w:rsidR="00EC7EDF" w:rsidRPr="00FD211F">
        <w:rPr>
          <w:sz w:val="36"/>
          <w:szCs w:val="36"/>
          <w:rtl/>
        </w:rPr>
        <w:t>ة</w:t>
      </w:r>
      <w:r w:rsidR="00603323" w:rsidRPr="00FD211F">
        <w:rPr>
          <w:sz w:val="36"/>
          <w:szCs w:val="36"/>
          <w:rtl/>
        </w:rPr>
        <w:t xml:space="preserve">، </w:t>
      </w:r>
      <w:r w:rsidRPr="00FD211F">
        <w:rPr>
          <w:sz w:val="36"/>
          <w:szCs w:val="36"/>
          <w:rtl/>
        </w:rPr>
        <w:t>ف</w:t>
      </w:r>
      <w:r w:rsidR="00556BC0" w:rsidRPr="00FD211F">
        <w:rPr>
          <w:sz w:val="36"/>
          <w:szCs w:val="36"/>
          <w:rtl/>
        </w:rPr>
        <w:t>التزم بانها موضوع</w:t>
      </w:r>
      <w:r w:rsidR="00EC7EDF" w:rsidRPr="00FD211F">
        <w:rPr>
          <w:sz w:val="36"/>
          <w:szCs w:val="36"/>
          <w:rtl/>
        </w:rPr>
        <w:t xml:space="preserve">ة </w:t>
      </w:r>
      <w:r w:rsidR="00556BC0" w:rsidRPr="00FD211F">
        <w:rPr>
          <w:sz w:val="36"/>
          <w:szCs w:val="36"/>
          <w:rtl/>
        </w:rPr>
        <w:t>لواقع ابراز أمر نفساني</w:t>
      </w:r>
      <w:r w:rsidR="00603323" w:rsidRPr="00FD211F">
        <w:rPr>
          <w:sz w:val="36"/>
          <w:szCs w:val="36"/>
          <w:rtl/>
        </w:rPr>
        <w:t xml:space="preserve">، </w:t>
      </w:r>
      <w:r w:rsidR="00556BC0" w:rsidRPr="00FD211F">
        <w:rPr>
          <w:sz w:val="36"/>
          <w:szCs w:val="36"/>
          <w:rtl/>
        </w:rPr>
        <w:t>فجمل</w:t>
      </w:r>
      <w:r w:rsidR="00EC7EDF" w:rsidRPr="00FD211F">
        <w:rPr>
          <w:sz w:val="36"/>
          <w:szCs w:val="36"/>
          <w:rtl/>
        </w:rPr>
        <w:t xml:space="preserve">ة </w:t>
      </w:r>
      <w:r w:rsidR="00556BC0" w:rsidRPr="00FD211F">
        <w:rPr>
          <w:sz w:val="36"/>
          <w:szCs w:val="36"/>
          <w:rtl/>
        </w:rPr>
        <w:t>الترجي موضوع</w:t>
      </w:r>
      <w:r w:rsidR="00EC7EDF" w:rsidRPr="00FD211F">
        <w:rPr>
          <w:sz w:val="36"/>
          <w:szCs w:val="36"/>
          <w:rtl/>
        </w:rPr>
        <w:t xml:space="preserve">ة </w:t>
      </w:r>
      <w:r w:rsidR="00556BC0" w:rsidRPr="00FD211F">
        <w:rPr>
          <w:sz w:val="36"/>
          <w:szCs w:val="36"/>
          <w:rtl/>
        </w:rPr>
        <w:t>لإبراز الترجي النفساني وجمل</w:t>
      </w:r>
      <w:r w:rsidR="00EC7EDF" w:rsidRPr="00FD211F">
        <w:rPr>
          <w:sz w:val="36"/>
          <w:szCs w:val="36"/>
          <w:rtl/>
        </w:rPr>
        <w:t xml:space="preserve">ة </w:t>
      </w:r>
      <w:r w:rsidR="00556BC0" w:rsidRPr="00FD211F">
        <w:rPr>
          <w:sz w:val="36"/>
          <w:szCs w:val="36"/>
          <w:rtl/>
        </w:rPr>
        <w:t>التمني موضوع</w:t>
      </w:r>
      <w:r w:rsidR="00EC7EDF" w:rsidRPr="00FD211F">
        <w:rPr>
          <w:sz w:val="36"/>
          <w:szCs w:val="36"/>
          <w:rtl/>
        </w:rPr>
        <w:t xml:space="preserve">ة </w:t>
      </w:r>
      <w:r w:rsidR="00556BC0" w:rsidRPr="00FD211F">
        <w:rPr>
          <w:sz w:val="36"/>
          <w:szCs w:val="36"/>
          <w:rtl/>
        </w:rPr>
        <w:t>لإبراز التمني النفساني وجمل</w:t>
      </w:r>
      <w:r w:rsidR="00EC7EDF" w:rsidRPr="00FD211F">
        <w:rPr>
          <w:sz w:val="36"/>
          <w:szCs w:val="36"/>
          <w:rtl/>
        </w:rPr>
        <w:t xml:space="preserve">ة </w:t>
      </w:r>
      <w:r w:rsidR="00556BC0" w:rsidRPr="00FD211F">
        <w:rPr>
          <w:sz w:val="36"/>
          <w:szCs w:val="36"/>
          <w:rtl/>
        </w:rPr>
        <w:t>الاستفهام موضوع</w:t>
      </w:r>
      <w:r w:rsidR="00EC7EDF" w:rsidRPr="00FD211F">
        <w:rPr>
          <w:sz w:val="36"/>
          <w:szCs w:val="36"/>
          <w:rtl/>
        </w:rPr>
        <w:t xml:space="preserve">ة </w:t>
      </w:r>
      <w:r w:rsidR="00556BC0" w:rsidRPr="00FD211F">
        <w:rPr>
          <w:sz w:val="36"/>
          <w:szCs w:val="36"/>
          <w:rtl/>
        </w:rPr>
        <w:t>لإبراز قصد الفهم وجمل</w:t>
      </w:r>
      <w:r w:rsidR="00EC7EDF" w:rsidRPr="00FD211F">
        <w:rPr>
          <w:sz w:val="36"/>
          <w:szCs w:val="36"/>
          <w:rtl/>
        </w:rPr>
        <w:t xml:space="preserve">ة </w:t>
      </w:r>
      <w:r w:rsidR="00556BC0" w:rsidRPr="00FD211F">
        <w:rPr>
          <w:sz w:val="36"/>
          <w:szCs w:val="36"/>
          <w:rtl/>
        </w:rPr>
        <w:t>النداء موضوع</w:t>
      </w:r>
      <w:r w:rsidR="00EC7EDF" w:rsidRPr="00FD211F">
        <w:rPr>
          <w:sz w:val="36"/>
          <w:szCs w:val="36"/>
          <w:rtl/>
        </w:rPr>
        <w:t xml:space="preserve">ة </w:t>
      </w:r>
      <w:r w:rsidR="00556BC0" w:rsidRPr="00FD211F">
        <w:rPr>
          <w:sz w:val="36"/>
          <w:szCs w:val="36"/>
          <w:rtl/>
        </w:rPr>
        <w:t>لإبراز قصد النداء</w:t>
      </w:r>
      <w:r w:rsidR="00603323" w:rsidRPr="00FD211F">
        <w:rPr>
          <w:sz w:val="36"/>
          <w:szCs w:val="36"/>
          <w:rtl/>
        </w:rPr>
        <w:t xml:space="preserve">، </w:t>
      </w:r>
      <w:r w:rsidR="00556BC0" w:rsidRPr="00FD211F">
        <w:rPr>
          <w:sz w:val="36"/>
          <w:szCs w:val="36"/>
          <w:rtl/>
        </w:rPr>
        <w:t>وجمل</w:t>
      </w:r>
      <w:r w:rsidR="00EC7EDF" w:rsidRPr="00FD211F">
        <w:rPr>
          <w:sz w:val="36"/>
          <w:szCs w:val="36"/>
          <w:rtl/>
        </w:rPr>
        <w:t xml:space="preserve">ة </w:t>
      </w:r>
      <w:r w:rsidR="00556BC0" w:rsidRPr="00FD211F">
        <w:rPr>
          <w:sz w:val="36"/>
          <w:szCs w:val="36"/>
          <w:rtl/>
        </w:rPr>
        <w:t>"بعت" موضوع</w:t>
      </w:r>
      <w:r w:rsidR="00EC7EDF" w:rsidRPr="00FD211F">
        <w:rPr>
          <w:sz w:val="36"/>
          <w:szCs w:val="36"/>
          <w:rtl/>
        </w:rPr>
        <w:t xml:space="preserve">ة </w:t>
      </w:r>
      <w:r w:rsidR="00556BC0" w:rsidRPr="00FD211F">
        <w:rPr>
          <w:sz w:val="36"/>
          <w:szCs w:val="36"/>
          <w:rtl/>
        </w:rPr>
        <w:t>لإبراز اعتبار الملكي</w:t>
      </w:r>
      <w:r w:rsidR="00EC7EDF" w:rsidRPr="00FD211F">
        <w:rPr>
          <w:sz w:val="36"/>
          <w:szCs w:val="36"/>
          <w:rtl/>
        </w:rPr>
        <w:t xml:space="preserve">ة </w:t>
      </w:r>
      <w:r w:rsidR="00556BC0" w:rsidRPr="00FD211F">
        <w:rPr>
          <w:sz w:val="36"/>
          <w:szCs w:val="36"/>
          <w:rtl/>
        </w:rPr>
        <w:t>بعوض</w:t>
      </w:r>
      <w:r w:rsidR="00603323" w:rsidRPr="00FD211F">
        <w:rPr>
          <w:sz w:val="36"/>
          <w:szCs w:val="36"/>
          <w:rtl/>
        </w:rPr>
        <w:t xml:space="preserve">، </w:t>
      </w:r>
      <w:r w:rsidR="00556BC0" w:rsidRPr="00FD211F">
        <w:rPr>
          <w:sz w:val="36"/>
          <w:szCs w:val="36"/>
          <w:rtl/>
        </w:rPr>
        <w:t>وهذا الاعتبار النفساني قد وجد قبل التلفظ بالصيغ</w:t>
      </w:r>
      <w:r w:rsidR="00EC7EDF" w:rsidRPr="00FD211F">
        <w:rPr>
          <w:sz w:val="36"/>
          <w:szCs w:val="36"/>
          <w:rtl/>
        </w:rPr>
        <w:t xml:space="preserve">ة </w:t>
      </w:r>
      <w:r w:rsidR="00556BC0" w:rsidRPr="00FD211F">
        <w:rPr>
          <w:sz w:val="36"/>
          <w:szCs w:val="36"/>
          <w:rtl/>
        </w:rPr>
        <w:t>الإنشائي</w:t>
      </w:r>
      <w:r w:rsidR="00EC7EDF" w:rsidRPr="00FD211F">
        <w:rPr>
          <w:sz w:val="36"/>
          <w:szCs w:val="36"/>
          <w:rtl/>
        </w:rPr>
        <w:t xml:space="preserve">ة </w:t>
      </w:r>
      <w:r w:rsidR="00556BC0" w:rsidRPr="00FD211F">
        <w:rPr>
          <w:sz w:val="36"/>
          <w:szCs w:val="36"/>
          <w:rtl/>
        </w:rPr>
        <w:t>فلايكون مسببا عنه</w:t>
      </w:r>
      <w:r w:rsidR="00603323" w:rsidRPr="00FD211F">
        <w:rPr>
          <w:sz w:val="36"/>
          <w:szCs w:val="36"/>
          <w:rtl/>
        </w:rPr>
        <w:t xml:space="preserve">، </w:t>
      </w:r>
      <w:r w:rsidR="00556BC0" w:rsidRPr="00FD211F">
        <w:rPr>
          <w:sz w:val="36"/>
          <w:szCs w:val="36"/>
          <w:rtl/>
        </w:rPr>
        <w:t>واما كون الجمل</w:t>
      </w:r>
      <w:r w:rsidR="00EC7EDF" w:rsidRPr="00FD211F">
        <w:rPr>
          <w:sz w:val="36"/>
          <w:szCs w:val="36"/>
          <w:rtl/>
        </w:rPr>
        <w:t xml:space="preserve">ة </w:t>
      </w:r>
      <w:r w:rsidR="00556BC0" w:rsidRPr="00FD211F">
        <w:rPr>
          <w:sz w:val="36"/>
          <w:szCs w:val="36"/>
          <w:rtl/>
        </w:rPr>
        <w:t>الإنشائي</w:t>
      </w:r>
      <w:r w:rsidR="00EC7EDF" w:rsidRPr="00FD211F">
        <w:rPr>
          <w:sz w:val="36"/>
          <w:szCs w:val="36"/>
          <w:rtl/>
        </w:rPr>
        <w:t xml:space="preserve">ة </w:t>
      </w:r>
      <w:r w:rsidR="00556BC0" w:rsidRPr="00FD211F">
        <w:rPr>
          <w:sz w:val="36"/>
          <w:szCs w:val="36"/>
          <w:rtl/>
        </w:rPr>
        <w:t>بمعنى إيجاد المعتبر العقلائي والشرعي باللفظ فغير محتمل ايضا</w:t>
      </w:r>
      <w:r w:rsidR="00603323" w:rsidRPr="00FD211F">
        <w:rPr>
          <w:sz w:val="36"/>
          <w:szCs w:val="36"/>
          <w:rtl/>
        </w:rPr>
        <w:t xml:space="preserve">، </w:t>
      </w:r>
      <w:r w:rsidR="00556BC0" w:rsidRPr="00FD211F">
        <w:rPr>
          <w:sz w:val="36"/>
          <w:szCs w:val="36"/>
          <w:rtl/>
        </w:rPr>
        <w:t>لان المعتبر العقلائي والشرعي حكم مترتب على استعمال الجمل</w:t>
      </w:r>
      <w:r w:rsidR="00EC7EDF" w:rsidRPr="00FD211F">
        <w:rPr>
          <w:sz w:val="36"/>
          <w:szCs w:val="36"/>
          <w:rtl/>
        </w:rPr>
        <w:t xml:space="preserve">ة </w:t>
      </w:r>
      <w:r w:rsidR="00556BC0" w:rsidRPr="00FD211F">
        <w:rPr>
          <w:sz w:val="36"/>
          <w:szCs w:val="36"/>
          <w:rtl/>
        </w:rPr>
        <w:t>الإنشائي</w:t>
      </w:r>
      <w:r w:rsidR="00EC7EDF" w:rsidRPr="00FD211F">
        <w:rPr>
          <w:sz w:val="36"/>
          <w:szCs w:val="36"/>
          <w:rtl/>
        </w:rPr>
        <w:t xml:space="preserve">ة </w:t>
      </w:r>
      <w:r w:rsidR="00556BC0" w:rsidRPr="00FD211F">
        <w:rPr>
          <w:sz w:val="36"/>
          <w:szCs w:val="36"/>
          <w:rtl/>
        </w:rPr>
        <w:t>في معناها</w:t>
      </w:r>
      <w:r w:rsidR="00603323" w:rsidRPr="00FD211F">
        <w:rPr>
          <w:sz w:val="36"/>
          <w:szCs w:val="36"/>
          <w:rtl/>
        </w:rPr>
        <w:t xml:space="preserve">، </w:t>
      </w:r>
      <w:r w:rsidR="00556BC0" w:rsidRPr="00FD211F">
        <w:rPr>
          <w:sz w:val="36"/>
          <w:szCs w:val="36"/>
          <w:rtl/>
        </w:rPr>
        <w:t>فلابد من تحديد معناها سابقا</w:t>
      </w:r>
      <w:r w:rsidR="00603323" w:rsidRPr="00FD211F">
        <w:rPr>
          <w:sz w:val="36"/>
          <w:szCs w:val="36"/>
          <w:rtl/>
        </w:rPr>
        <w:t xml:space="preserve">، </w:t>
      </w:r>
      <w:r w:rsidR="00556BC0" w:rsidRPr="00FD211F">
        <w:rPr>
          <w:sz w:val="36"/>
          <w:szCs w:val="36"/>
          <w:rtl/>
        </w:rPr>
        <w:t>على انه ليس في جمل</w:t>
      </w:r>
      <w:r w:rsidR="00EC7EDF" w:rsidRPr="00FD211F">
        <w:rPr>
          <w:sz w:val="36"/>
          <w:szCs w:val="36"/>
          <w:rtl/>
        </w:rPr>
        <w:t xml:space="preserve">ة </w:t>
      </w:r>
      <w:r w:rsidR="00556BC0" w:rsidRPr="00FD211F">
        <w:rPr>
          <w:sz w:val="36"/>
          <w:szCs w:val="36"/>
          <w:rtl/>
        </w:rPr>
        <w:t>التمني والترجي والاستفهام والنداء اي اعتبار عقلائي او شرعي</w:t>
      </w:r>
      <w:r w:rsidR="009C58C8" w:rsidRPr="00FD211F">
        <w:rPr>
          <w:rStyle w:val="a6"/>
          <w:sz w:val="36"/>
          <w:szCs w:val="36"/>
          <w:rtl/>
        </w:rPr>
        <w:t>(</w:t>
      </w:r>
      <w:r w:rsidR="009C58C8" w:rsidRPr="00FD211F">
        <w:rPr>
          <w:rStyle w:val="a6"/>
          <w:sz w:val="36"/>
          <w:szCs w:val="36"/>
          <w:rtl/>
        </w:rPr>
        <w:footnoteReference w:id="204"/>
      </w:r>
      <w:r w:rsidR="009C58C8" w:rsidRPr="00FD211F">
        <w:rPr>
          <w:rStyle w:val="a6"/>
          <w:sz w:val="36"/>
          <w:szCs w:val="36"/>
          <w:rtl/>
        </w:rPr>
        <w:t>)</w:t>
      </w:r>
      <w:r w:rsidR="00556BC0" w:rsidRPr="00FD211F">
        <w:rPr>
          <w:sz w:val="36"/>
          <w:szCs w:val="36"/>
          <w:rtl/>
        </w:rPr>
        <w:t>.</w:t>
      </w:r>
    </w:p>
    <w:p w14:paraId="198BA964" w14:textId="77777777" w:rsidR="00556BC0" w:rsidRPr="00FD211F" w:rsidRDefault="00556BC0" w:rsidP="009C58C8">
      <w:pPr>
        <w:ind w:left="0" w:firstLine="227"/>
        <w:jc w:val="both"/>
        <w:rPr>
          <w:sz w:val="36"/>
          <w:szCs w:val="36"/>
          <w:rtl/>
        </w:rPr>
      </w:pPr>
      <w:r w:rsidRPr="00FD211F">
        <w:rPr>
          <w:sz w:val="36"/>
          <w:szCs w:val="36"/>
          <w:rtl/>
        </w:rPr>
        <w:t>وقد أورد عليه شيخنا ال</w:t>
      </w:r>
      <w:r w:rsidR="00425F25" w:rsidRPr="00FD211F">
        <w:rPr>
          <w:sz w:val="36"/>
          <w:szCs w:val="36"/>
          <w:rtl/>
        </w:rPr>
        <w:t>استاذ</w:t>
      </w:r>
      <w:r w:rsidRPr="00FD211F">
        <w:rPr>
          <w:sz w:val="36"/>
          <w:szCs w:val="36"/>
          <w:rtl/>
        </w:rPr>
        <w:t xml:space="preserve"> </w:t>
      </w:r>
      <w:r w:rsidR="00B74367" w:rsidRPr="00FD211F">
        <w:rPr>
          <w:sz w:val="36"/>
          <w:szCs w:val="36"/>
          <w:rtl/>
        </w:rPr>
        <w:t>"</w:t>
      </w:r>
      <w:r w:rsidRPr="00FD211F">
        <w:rPr>
          <w:sz w:val="36"/>
          <w:szCs w:val="36"/>
          <w:rtl/>
        </w:rPr>
        <w:t>قده</w:t>
      </w:r>
      <w:r w:rsidR="00B74367" w:rsidRPr="00FD211F">
        <w:rPr>
          <w:sz w:val="36"/>
          <w:szCs w:val="36"/>
          <w:rtl/>
        </w:rPr>
        <w:t>"</w:t>
      </w:r>
      <w:r w:rsidRPr="00FD211F">
        <w:rPr>
          <w:sz w:val="36"/>
          <w:szCs w:val="36"/>
          <w:rtl/>
        </w:rPr>
        <w:t xml:space="preserve"> انه لايتجه انكاره لإيجادي</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الإنشائي</w:t>
      </w:r>
      <w:r w:rsidR="00EC7EDF" w:rsidRPr="00FD211F">
        <w:rPr>
          <w:sz w:val="36"/>
          <w:szCs w:val="36"/>
          <w:rtl/>
        </w:rPr>
        <w:t>ة</w:t>
      </w:r>
      <w:r w:rsidR="00603323" w:rsidRPr="00FD211F">
        <w:rPr>
          <w:sz w:val="36"/>
          <w:szCs w:val="36"/>
          <w:rtl/>
        </w:rPr>
        <w:t xml:space="preserve">، </w:t>
      </w:r>
      <w:r w:rsidRPr="00FD211F">
        <w:rPr>
          <w:sz w:val="36"/>
          <w:szCs w:val="36"/>
          <w:rtl/>
        </w:rPr>
        <w:t>فانه ما</w:t>
      </w:r>
      <w:r w:rsidR="008D7B3D" w:rsidRPr="00FD211F">
        <w:rPr>
          <w:sz w:val="36"/>
          <w:szCs w:val="36"/>
          <w:rtl/>
        </w:rPr>
        <w:t xml:space="preserve"> لم‌</w:t>
      </w:r>
      <w:r w:rsidRPr="00FD211F">
        <w:rPr>
          <w:sz w:val="36"/>
          <w:szCs w:val="36"/>
          <w:rtl/>
        </w:rPr>
        <w:t>يبرز الشخص اعتباره لملكي</w:t>
      </w:r>
      <w:r w:rsidR="00EC7EDF" w:rsidRPr="00FD211F">
        <w:rPr>
          <w:sz w:val="36"/>
          <w:szCs w:val="36"/>
          <w:rtl/>
        </w:rPr>
        <w:t xml:space="preserve">ة </w:t>
      </w:r>
      <w:r w:rsidRPr="00FD211F">
        <w:rPr>
          <w:sz w:val="36"/>
          <w:szCs w:val="36"/>
          <w:rtl/>
        </w:rPr>
        <w:t>الغير لماله بعوض لايصدق في حقه انه باع ماله</w:t>
      </w:r>
      <w:r w:rsidR="00603323" w:rsidRPr="00FD211F">
        <w:rPr>
          <w:sz w:val="36"/>
          <w:szCs w:val="36"/>
          <w:rtl/>
        </w:rPr>
        <w:t xml:space="preserve">، </w:t>
      </w:r>
      <w:r w:rsidRPr="00FD211F">
        <w:rPr>
          <w:sz w:val="36"/>
          <w:szCs w:val="36"/>
          <w:rtl/>
        </w:rPr>
        <w:t>وكذلك لايقال انه تمنى او ترجى او استفهم مالم يبرز ما في نفسه بالجمل المناسب</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05"/>
      </w:r>
      <w:r w:rsidR="009C58C8" w:rsidRPr="00FD211F">
        <w:rPr>
          <w:rStyle w:val="a6"/>
          <w:sz w:val="36"/>
          <w:szCs w:val="36"/>
          <w:rtl/>
        </w:rPr>
        <w:t>)</w:t>
      </w:r>
      <w:r w:rsidRPr="00FD211F">
        <w:rPr>
          <w:sz w:val="36"/>
          <w:szCs w:val="36"/>
          <w:rtl/>
        </w:rPr>
        <w:t>.</w:t>
      </w:r>
    </w:p>
    <w:p w14:paraId="1DEE1269" w14:textId="77777777" w:rsidR="00556BC0" w:rsidRPr="00FD211F" w:rsidRDefault="00556BC0" w:rsidP="009C58C8">
      <w:pPr>
        <w:ind w:left="0" w:firstLine="227"/>
        <w:jc w:val="both"/>
        <w:rPr>
          <w:sz w:val="36"/>
          <w:szCs w:val="36"/>
          <w:rtl/>
        </w:rPr>
      </w:pPr>
      <w:r w:rsidRPr="00FD211F">
        <w:rPr>
          <w:sz w:val="36"/>
          <w:szCs w:val="36"/>
          <w:rtl/>
        </w:rPr>
        <w:t>و</w:t>
      </w:r>
      <w:r w:rsidR="002B3D27" w:rsidRPr="00FD211F">
        <w:rPr>
          <w:sz w:val="36"/>
          <w:szCs w:val="36"/>
          <w:rtl/>
        </w:rPr>
        <w:t xml:space="preserve">يندفع هذا الايراد </w:t>
      </w:r>
      <w:r w:rsidRPr="00FD211F">
        <w:rPr>
          <w:b/>
          <w:bCs/>
          <w:sz w:val="36"/>
          <w:szCs w:val="36"/>
          <w:rtl/>
        </w:rPr>
        <w:t>اولا</w:t>
      </w:r>
      <w:r w:rsidRPr="00FD211F">
        <w:rPr>
          <w:sz w:val="36"/>
          <w:szCs w:val="36"/>
          <w:rtl/>
        </w:rPr>
        <w:t>: أن العنوان المذكور في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والذي استعمل فيها تلك الجمل</w:t>
      </w:r>
      <w:r w:rsidR="00EC7EDF" w:rsidRPr="00FD211F">
        <w:rPr>
          <w:sz w:val="36"/>
          <w:szCs w:val="36"/>
          <w:rtl/>
        </w:rPr>
        <w:t xml:space="preserve">ة </w:t>
      </w:r>
      <w:r w:rsidRPr="00FD211F">
        <w:rPr>
          <w:sz w:val="36"/>
          <w:szCs w:val="36"/>
          <w:rtl/>
        </w:rPr>
        <w:t>قد لايوجد أبدا</w:t>
      </w:r>
      <w:r w:rsidR="00603323" w:rsidRPr="00FD211F">
        <w:rPr>
          <w:sz w:val="36"/>
          <w:szCs w:val="36"/>
          <w:rtl/>
        </w:rPr>
        <w:t xml:space="preserve">، </w:t>
      </w:r>
      <w:r w:rsidRPr="00FD211F">
        <w:rPr>
          <w:sz w:val="36"/>
          <w:szCs w:val="36"/>
          <w:rtl/>
        </w:rPr>
        <w:t>كما اذا قال الصبي لآخر</w:t>
      </w:r>
      <w:r w:rsidR="004211C4" w:rsidRPr="00FD211F">
        <w:rPr>
          <w:sz w:val="36"/>
          <w:szCs w:val="36"/>
          <w:rtl/>
        </w:rPr>
        <w:t>: كتاب</w:t>
      </w:r>
      <w:r w:rsidR="00B74367" w:rsidRPr="00FD211F">
        <w:rPr>
          <w:sz w:val="36"/>
          <w:szCs w:val="36"/>
          <w:rtl/>
        </w:rPr>
        <w:t>ي ملك لك</w:t>
      </w:r>
      <w:r w:rsidR="00603323" w:rsidRPr="00FD211F">
        <w:rPr>
          <w:sz w:val="36"/>
          <w:szCs w:val="36"/>
          <w:rtl/>
        </w:rPr>
        <w:t xml:space="preserve">، </w:t>
      </w:r>
      <w:r w:rsidR="00B74367" w:rsidRPr="00FD211F">
        <w:rPr>
          <w:sz w:val="36"/>
          <w:szCs w:val="36"/>
          <w:rtl/>
        </w:rPr>
        <w:t>فانه لايوجد عقيب استعماله</w:t>
      </w:r>
      <w:r w:rsidR="00B253CE" w:rsidRPr="00FD211F">
        <w:rPr>
          <w:sz w:val="36"/>
          <w:szCs w:val="36"/>
          <w:rtl/>
        </w:rPr>
        <w:t xml:space="preserve"> </w:t>
      </w:r>
      <w:r w:rsidRPr="00FD211F">
        <w:rPr>
          <w:sz w:val="36"/>
          <w:szCs w:val="36"/>
          <w:rtl/>
        </w:rPr>
        <w:t>أي</w:t>
      </w:r>
      <w:r w:rsidR="00EC7EDF" w:rsidRPr="00FD211F">
        <w:rPr>
          <w:sz w:val="36"/>
          <w:szCs w:val="36"/>
          <w:rtl/>
        </w:rPr>
        <w:t xml:space="preserve">ة </w:t>
      </w:r>
      <w:r w:rsidRPr="00FD211F">
        <w:rPr>
          <w:sz w:val="36"/>
          <w:szCs w:val="36"/>
          <w:rtl/>
        </w:rPr>
        <w:t>ملكي</w:t>
      </w:r>
      <w:r w:rsidR="00EC7EDF" w:rsidRPr="00FD211F">
        <w:rPr>
          <w:sz w:val="36"/>
          <w:szCs w:val="36"/>
          <w:rtl/>
        </w:rPr>
        <w:t xml:space="preserve">ة </w:t>
      </w:r>
      <w:r w:rsidRPr="00FD211F">
        <w:rPr>
          <w:sz w:val="36"/>
          <w:szCs w:val="36"/>
          <w:rtl/>
        </w:rPr>
        <w:t>للمخاطب</w:t>
      </w:r>
      <w:r w:rsidR="00603323" w:rsidRPr="00FD211F">
        <w:rPr>
          <w:sz w:val="36"/>
          <w:szCs w:val="36"/>
          <w:rtl/>
        </w:rPr>
        <w:t xml:space="preserve">، </w:t>
      </w:r>
      <w:r w:rsidRPr="00FD211F">
        <w:rPr>
          <w:sz w:val="36"/>
          <w:szCs w:val="36"/>
          <w:rtl/>
        </w:rPr>
        <w:t>نعم يوجد بذلك عنوان التمليك والهب</w:t>
      </w:r>
      <w:r w:rsidR="00EC7EDF" w:rsidRPr="00FD211F">
        <w:rPr>
          <w:sz w:val="36"/>
          <w:szCs w:val="36"/>
          <w:rtl/>
        </w:rPr>
        <w:t xml:space="preserve">ة </w:t>
      </w:r>
      <w:r w:rsidRPr="00FD211F">
        <w:rPr>
          <w:sz w:val="36"/>
          <w:szCs w:val="36"/>
          <w:rtl/>
        </w:rPr>
        <w:t>ولكن تحقق عنوان في طول الاستعمال لايختص بالجمل الإنشائي</w:t>
      </w:r>
      <w:r w:rsidR="00EC7EDF" w:rsidRPr="00FD211F">
        <w:rPr>
          <w:sz w:val="36"/>
          <w:szCs w:val="36"/>
          <w:rtl/>
        </w:rPr>
        <w:t>ة</w:t>
      </w:r>
      <w:r w:rsidR="00603323" w:rsidRPr="00FD211F">
        <w:rPr>
          <w:sz w:val="36"/>
          <w:szCs w:val="36"/>
          <w:rtl/>
        </w:rPr>
        <w:t xml:space="preserve">، </w:t>
      </w:r>
      <w:r w:rsidRPr="00FD211F">
        <w:rPr>
          <w:sz w:val="36"/>
          <w:szCs w:val="36"/>
          <w:rtl/>
        </w:rPr>
        <w:t>فانه مالم يستعمل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لايصدق في حقه انه اخبر بذلك</w:t>
      </w:r>
      <w:r w:rsidR="00603323" w:rsidRPr="00FD211F">
        <w:rPr>
          <w:sz w:val="36"/>
          <w:szCs w:val="36"/>
          <w:rtl/>
        </w:rPr>
        <w:t xml:space="preserve">، </w:t>
      </w:r>
      <w:r w:rsidRPr="00FD211F">
        <w:rPr>
          <w:sz w:val="36"/>
          <w:szCs w:val="36"/>
          <w:rtl/>
        </w:rPr>
        <w:t>ولايخفى ان توقف صدق عناوين المعاملات على إبرازها مما ذكره السيد الخوئي نفسه في بحث الحقيق</w:t>
      </w:r>
      <w:r w:rsidR="00EC7EDF" w:rsidRPr="00FD211F">
        <w:rPr>
          <w:sz w:val="36"/>
          <w:szCs w:val="36"/>
          <w:rtl/>
        </w:rPr>
        <w:t xml:space="preserve">ة </w:t>
      </w:r>
      <w:r w:rsidRPr="00FD211F">
        <w:rPr>
          <w:sz w:val="36"/>
          <w:szCs w:val="36"/>
          <w:rtl/>
        </w:rPr>
        <w:t>الشرعي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06"/>
      </w:r>
      <w:r w:rsidR="009C58C8" w:rsidRPr="00FD211F">
        <w:rPr>
          <w:rStyle w:val="a6"/>
          <w:sz w:val="36"/>
          <w:szCs w:val="36"/>
          <w:rtl/>
        </w:rPr>
        <w:t>)</w:t>
      </w:r>
      <w:r w:rsidRPr="00FD211F">
        <w:rPr>
          <w:sz w:val="36"/>
          <w:szCs w:val="36"/>
          <w:rtl/>
        </w:rPr>
        <w:t>.</w:t>
      </w:r>
    </w:p>
    <w:p w14:paraId="5144F8A5" w14:textId="77777777" w:rsidR="00556BC0" w:rsidRPr="00FD211F" w:rsidRDefault="00556BC0" w:rsidP="009C58C8">
      <w:pPr>
        <w:ind w:left="0" w:firstLine="227"/>
        <w:jc w:val="both"/>
        <w:rPr>
          <w:sz w:val="36"/>
          <w:szCs w:val="36"/>
          <w:rtl/>
        </w:rPr>
      </w:pPr>
      <w:r w:rsidRPr="00FD211F">
        <w:rPr>
          <w:b/>
          <w:bCs/>
          <w:sz w:val="36"/>
          <w:szCs w:val="36"/>
          <w:rtl/>
        </w:rPr>
        <w:t>وثانيا</w:t>
      </w:r>
      <w:r w:rsidRPr="00FD211F">
        <w:rPr>
          <w:sz w:val="36"/>
          <w:szCs w:val="36"/>
          <w:rtl/>
        </w:rPr>
        <w:t>: ان ما ذكره من عدم صدق التمني والترجي الا بعد استعمال الجمل</w:t>
      </w:r>
      <w:r w:rsidR="00EC7EDF" w:rsidRPr="00FD211F">
        <w:rPr>
          <w:sz w:val="36"/>
          <w:szCs w:val="36"/>
          <w:rtl/>
        </w:rPr>
        <w:t xml:space="preserve">ة </w:t>
      </w:r>
      <w:r w:rsidRPr="00FD211F">
        <w:rPr>
          <w:sz w:val="36"/>
          <w:szCs w:val="36"/>
          <w:rtl/>
        </w:rPr>
        <w:t>المناسب</w:t>
      </w:r>
      <w:r w:rsidR="00EC7EDF" w:rsidRPr="00FD211F">
        <w:rPr>
          <w:sz w:val="36"/>
          <w:szCs w:val="36"/>
          <w:rtl/>
        </w:rPr>
        <w:t xml:space="preserve">ة </w:t>
      </w:r>
      <w:r w:rsidRPr="00FD211F">
        <w:rPr>
          <w:sz w:val="36"/>
          <w:szCs w:val="36"/>
          <w:rtl/>
        </w:rPr>
        <w:t>لهما فغير متجه</w:t>
      </w:r>
      <w:r w:rsidR="00603323" w:rsidRPr="00FD211F">
        <w:rPr>
          <w:sz w:val="36"/>
          <w:szCs w:val="36"/>
          <w:rtl/>
        </w:rPr>
        <w:t xml:space="preserve">، </w:t>
      </w:r>
      <w:r w:rsidRPr="00FD211F">
        <w:rPr>
          <w:sz w:val="36"/>
          <w:szCs w:val="36"/>
          <w:rtl/>
        </w:rPr>
        <w:t>فانهما امران موجودان في النفس ولو</w:t>
      </w:r>
      <w:r w:rsidR="008D7B3D" w:rsidRPr="00FD211F">
        <w:rPr>
          <w:sz w:val="36"/>
          <w:szCs w:val="36"/>
          <w:rtl/>
        </w:rPr>
        <w:t xml:space="preserve"> لم‌</w:t>
      </w:r>
      <w:r w:rsidR="003565C1" w:rsidRPr="00FD211F">
        <w:rPr>
          <w:sz w:val="36"/>
          <w:szCs w:val="36"/>
          <w:rtl/>
        </w:rPr>
        <w:t>يبرزهما المتكلم</w:t>
      </w:r>
      <w:r w:rsidR="00603323" w:rsidRPr="00FD211F">
        <w:rPr>
          <w:sz w:val="36"/>
          <w:szCs w:val="36"/>
          <w:rtl/>
        </w:rPr>
        <w:t xml:space="preserve">، </w:t>
      </w:r>
      <w:r w:rsidR="003565C1" w:rsidRPr="00FD211F">
        <w:rPr>
          <w:sz w:val="36"/>
          <w:szCs w:val="36"/>
          <w:rtl/>
        </w:rPr>
        <w:t>ولذا يصح ان يقو</w:t>
      </w:r>
      <w:r w:rsidRPr="00FD211F">
        <w:rPr>
          <w:sz w:val="36"/>
          <w:szCs w:val="36"/>
          <w:rtl/>
        </w:rPr>
        <w:t>ل "اني كثيرامّا</w:t>
      </w:r>
      <w:r w:rsidR="007B4E35" w:rsidRPr="00FD211F">
        <w:rPr>
          <w:sz w:val="36"/>
          <w:szCs w:val="36"/>
          <w:rtl/>
        </w:rPr>
        <w:t xml:space="preserve"> </w:t>
      </w:r>
      <w:r w:rsidR="009E22F7" w:rsidRPr="00FD211F">
        <w:rPr>
          <w:sz w:val="36"/>
          <w:szCs w:val="36"/>
          <w:rtl/>
        </w:rPr>
        <w:t>كنت ا</w:t>
      </w:r>
      <w:r w:rsidR="003565C1" w:rsidRPr="00FD211F">
        <w:rPr>
          <w:sz w:val="36"/>
          <w:szCs w:val="36"/>
          <w:rtl/>
        </w:rPr>
        <w:t>تمني</w:t>
      </w:r>
      <w:r w:rsidRPr="00FD211F">
        <w:rPr>
          <w:sz w:val="36"/>
          <w:szCs w:val="36"/>
          <w:rtl/>
        </w:rPr>
        <w:t xml:space="preserve"> هذا الأمر" </w:t>
      </w:r>
      <w:r w:rsidR="003565C1" w:rsidRPr="00FD211F">
        <w:rPr>
          <w:sz w:val="36"/>
          <w:szCs w:val="36"/>
          <w:rtl/>
        </w:rPr>
        <w:t>ولو</w:t>
      </w:r>
      <w:r w:rsidRPr="00FD211F">
        <w:rPr>
          <w:sz w:val="36"/>
          <w:szCs w:val="36"/>
          <w:rtl/>
        </w:rPr>
        <w:t>مع عدم ابراز</w:t>
      </w:r>
      <w:r w:rsidR="003565C1" w:rsidRPr="00FD211F">
        <w:rPr>
          <w:sz w:val="36"/>
          <w:szCs w:val="36"/>
          <w:rtl/>
        </w:rPr>
        <w:t>ه</w:t>
      </w:r>
      <w:r w:rsidRPr="00FD211F">
        <w:rPr>
          <w:sz w:val="36"/>
          <w:szCs w:val="36"/>
          <w:rtl/>
        </w:rPr>
        <w:t xml:space="preserve"> ذلك سابقا.</w:t>
      </w:r>
    </w:p>
    <w:p w14:paraId="5E03BC1D" w14:textId="77777777" w:rsidR="00556BC0" w:rsidRPr="00FD211F" w:rsidRDefault="00556BC0" w:rsidP="00292C26">
      <w:pPr>
        <w:ind w:left="0" w:firstLine="227"/>
        <w:jc w:val="both"/>
        <w:rPr>
          <w:sz w:val="36"/>
          <w:szCs w:val="36"/>
          <w:rtl/>
        </w:rPr>
      </w:pPr>
      <w:bookmarkStart w:id="228" w:name="درس093"/>
      <w:bookmarkEnd w:id="228"/>
      <w:r w:rsidRPr="00FD211F">
        <w:rPr>
          <w:sz w:val="36"/>
          <w:szCs w:val="36"/>
          <w:rtl/>
        </w:rPr>
        <w:t xml:space="preserve">نعم الصحيح ان ما اختاره السيد الخوئي </w:t>
      </w:r>
      <w:r w:rsidR="00EC7EDF" w:rsidRPr="00FD211F">
        <w:rPr>
          <w:sz w:val="36"/>
          <w:szCs w:val="36"/>
          <w:rtl/>
        </w:rPr>
        <w:t xml:space="preserve">"قده" </w:t>
      </w:r>
      <w:r w:rsidRPr="00FD211F">
        <w:rPr>
          <w:sz w:val="36"/>
          <w:szCs w:val="36"/>
          <w:rtl/>
        </w:rPr>
        <w:t>من كون معنى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هو إبراز واقع أمر نفساني غير قصد الحكاي</w:t>
      </w:r>
      <w:r w:rsidR="00EC7EDF" w:rsidRPr="00FD211F">
        <w:rPr>
          <w:sz w:val="36"/>
          <w:szCs w:val="36"/>
          <w:rtl/>
        </w:rPr>
        <w:t xml:space="preserve">ة </w:t>
      </w:r>
      <w:r w:rsidRPr="00FD211F">
        <w:rPr>
          <w:sz w:val="36"/>
          <w:szCs w:val="36"/>
          <w:rtl/>
        </w:rPr>
        <w:t>خل</w:t>
      </w:r>
      <w:r w:rsidR="003565C1" w:rsidRPr="00FD211F">
        <w:rPr>
          <w:sz w:val="36"/>
          <w:szCs w:val="36"/>
          <w:rtl/>
        </w:rPr>
        <w:t>اف الوجدان العرفي</w:t>
      </w:r>
      <w:r w:rsidR="00603323" w:rsidRPr="00FD211F">
        <w:rPr>
          <w:sz w:val="36"/>
          <w:szCs w:val="36"/>
          <w:rtl/>
        </w:rPr>
        <w:t xml:space="preserve">، </w:t>
      </w:r>
      <w:r w:rsidR="003565C1" w:rsidRPr="00FD211F">
        <w:rPr>
          <w:sz w:val="36"/>
          <w:szCs w:val="36"/>
          <w:rtl/>
        </w:rPr>
        <w:t>حيث</w:t>
      </w:r>
      <w:r w:rsidR="00B253CE" w:rsidRPr="00FD211F">
        <w:rPr>
          <w:sz w:val="36"/>
          <w:szCs w:val="36"/>
          <w:rtl/>
        </w:rPr>
        <w:t xml:space="preserve"> </w:t>
      </w:r>
      <w:r w:rsidR="003565C1" w:rsidRPr="00FD211F">
        <w:rPr>
          <w:sz w:val="36"/>
          <w:szCs w:val="36"/>
          <w:rtl/>
        </w:rPr>
        <w:t>ينحف</w:t>
      </w:r>
      <w:r w:rsidRPr="00FD211F">
        <w:rPr>
          <w:sz w:val="36"/>
          <w:szCs w:val="36"/>
          <w:rtl/>
        </w:rPr>
        <w:t>ظ معنى ا</w:t>
      </w:r>
      <w:r w:rsidR="003565C1" w:rsidRPr="00FD211F">
        <w:rPr>
          <w:sz w:val="36"/>
          <w:szCs w:val="36"/>
          <w:rtl/>
        </w:rPr>
        <w:t>لجمل</w:t>
      </w:r>
      <w:r w:rsidR="00EC7EDF" w:rsidRPr="00FD211F">
        <w:rPr>
          <w:sz w:val="36"/>
          <w:szCs w:val="36"/>
          <w:rtl/>
        </w:rPr>
        <w:t xml:space="preserve">ة </w:t>
      </w:r>
      <w:r w:rsidR="003565C1" w:rsidRPr="00FD211F">
        <w:rPr>
          <w:sz w:val="36"/>
          <w:szCs w:val="36"/>
          <w:rtl/>
        </w:rPr>
        <w:t>الإنشائي</w:t>
      </w:r>
      <w:r w:rsidR="00EC7EDF" w:rsidRPr="00FD211F">
        <w:rPr>
          <w:sz w:val="36"/>
          <w:szCs w:val="36"/>
          <w:rtl/>
        </w:rPr>
        <w:t xml:space="preserve">ة </w:t>
      </w:r>
      <w:r w:rsidR="003565C1" w:rsidRPr="00FD211F">
        <w:rPr>
          <w:sz w:val="36"/>
          <w:szCs w:val="36"/>
          <w:rtl/>
        </w:rPr>
        <w:t>في موارد الهزل كما لو قال في مقام الهزل</w:t>
      </w:r>
      <w:r w:rsidR="00292C26" w:rsidRPr="00FD211F">
        <w:rPr>
          <w:sz w:val="36"/>
          <w:szCs w:val="36"/>
          <w:rtl/>
        </w:rPr>
        <w:t xml:space="preserve"> </w:t>
      </w:r>
      <w:r w:rsidR="003565C1" w:rsidRPr="00FD211F">
        <w:rPr>
          <w:sz w:val="36"/>
          <w:szCs w:val="36"/>
          <w:rtl/>
        </w:rPr>
        <w:t>"</w:t>
      </w:r>
      <w:r w:rsidRPr="00FD211F">
        <w:rPr>
          <w:sz w:val="36"/>
          <w:szCs w:val="36"/>
          <w:rtl/>
        </w:rPr>
        <w:t>ملّكتك السماء والأرض</w:t>
      </w:r>
      <w:r w:rsidR="003565C1" w:rsidRPr="00FD211F">
        <w:rPr>
          <w:sz w:val="36"/>
          <w:szCs w:val="36"/>
          <w:rtl/>
        </w:rPr>
        <w:t>" او قال"</w:t>
      </w:r>
      <w:r w:rsidRPr="00FD211F">
        <w:rPr>
          <w:sz w:val="36"/>
          <w:szCs w:val="36"/>
          <w:rtl/>
        </w:rPr>
        <w:t xml:space="preserve"> ليت زيدا قائم</w:t>
      </w:r>
      <w:r w:rsidR="003565C1" w:rsidRPr="00FD211F">
        <w:rPr>
          <w:sz w:val="36"/>
          <w:szCs w:val="36"/>
          <w:rtl/>
        </w:rPr>
        <w:t>" او فرض صدور</w:t>
      </w:r>
      <w:r w:rsidR="00C87F03" w:rsidRPr="00FD211F">
        <w:rPr>
          <w:sz w:val="36"/>
          <w:szCs w:val="36"/>
          <w:rtl/>
        </w:rPr>
        <w:t xml:space="preserve"> </w:t>
      </w:r>
      <w:r w:rsidR="003565C1" w:rsidRPr="00FD211F">
        <w:rPr>
          <w:sz w:val="36"/>
          <w:szCs w:val="36"/>
          <w:rtl/>
        </w:rPr>
        <w:t>الجمل</w:t>
      </w:r>
      <w:r w:rsidR="00EC7EDF" w:rsidRPr="00FD211F">
        <w:rPr>
          <w:sz w:val="36"/>
          <w:szCs w:val="36"/>
          <w:rtl/>
        </w:rPr>
        <w:t xml:space="preserve">ة </w:t>
      </w:r>
      <w:r w:rsidR="003565C1" w:rsidRPr="00FD211F">
        <w:rPr>
          <w:sz w:val="36"/>
          <w:szCs w:val="36"/>
          <w:rtl/>
        </w:rPr>
        <w:t>الانشائي</w:t>
      </w:r>
      <w:r w:rsidR="00EC7EDF" w:rsidRPr="00FD211F">
        <w:rPr>
          <w:sz w:val="36"/>
          <w:szCs w:val="36"/>
          <w:rtl/>
        </w:rPr>
        <w:t xml:space="preserve">ة </w:t>
      </w:r>
      <w:r w:rsidRPr="00FD211F">
        <w:rPr>
          <w:sz w:val="36"/>
          <w:szCs w:val="36"/>
          <w:rtl/>
        </w:rPr>
        <w:t>عن متكلم غير ملتفت كالنائم</w:t>
      </w:r>
      <w:r w:rsidR="003565C1" w:rsidRPr="00FD211F">
        <w:rPr>
          <w:sz w:val="36"/>
          <w:szCs w:val="36"/>
          <w:rtl/>
        </w:rPr>
        <w:t>-</w:t>
      </w:r>
      <w:r w:rsidRPr="00FD211F">
        <w:rPr>
          <w:sz w:val="36"/>
          <w:szCs w:val="36"/>
          <w:rtl/>
        </w:rPr>
        <w:t xml:space="preserve"> بناء على ما اخترن</w:t>
      </w:r>
      <w:r w:rsidR="003565C1" w:rsidRPr="00FD211F">
        <w:rPr>
          <w:sz w:val="36"/>
          <w:szCs w:val="36"/>
          <w:rtl/>
        </w:rPr>
        <w:t>اه سابقا من عدم كون الدلال</w:t>
      </w:r>
      <w:r w:rsidR="00EC7EDF" w:rsidRPr="00FD211F">
        <w:rPr>
          <w:sz w:val="36"/>
          <w:szCs w:val="36"/>
          <w:rtl/>
        </w:rPr>
        <w:t xml:space="preserve">ة </w:t>
      </w:r>
      <w:r w:rsidRPr="00FD211F">
        <w:rPr>
          <w:sz w:val="36"/>
          <w:szCs w:val="36"/>
          <w:rtl/>
        </w:rPr>
        <w:t>تابع</w:t>
      </w:r>
      <w:r w:rsidR="00EC7EDF" w:rsidRPr="00FD211F">
        <w:rPr>
          <w:sz w:val="36"/>
          <w:szCs w:val="36"/>
          <w:rtl/>
        </w:rPr>
        <w:t xml:space="preserve">ة </w:t>
      </w:r>
      <w:r w:rsidRPr="00FD211F">
        <w:rPr>
          <w:sz w:val="36"/>
          <w:szCs w:val="36"/>
          <w:rtl/>
        </w:rPr>
        <w:t>للإراد</w:t>
      </w:r>
      <w:r w:rsidR="00EC7EDF" w:rsidRPr="00FD211F">
        <w:rPr>
          <w:sz w:val="36"/>
          <w:szCs w:val="36"/>
          <w:rtl/>
        </w:rPr>
        <w:t xml:space="preserve">ة </w:t>
      </w:r>
      <w:r w:rsidR="003565C1" w:rsidRPr="00FD211F">
        <w:rPr>
          <w:sz w:val="36"/>
          <w:szCs w:val="36"/>
          <w:rtl/>
        </w:rPr>
        <w:t>-</w:t>
      </w:r>
      <w:r w:rsidRPr="00FD211F">
        <w:rPr>
          <w:sz w:val="36"/>
          <w:szCs w:val="36"/>
          <w:rtl/>
        </w:rPr>
        <w:t xml:space="preserve"> فيعرف من ذل</w:t>
      </w:r>
      <w:r w:rsidR="003565C1" w:rsidRPr="00FD211F">
        <w:rPr>
          <w:sz w:val="36"/>
          <w:szCs w:val="36"/>
          <w:rtl/>
        </w:rPr>
        <w:t>ك كون علاق</w:t>
      </w:r>
      <w:r w:rsidR="00EC7EDF" w:rsidRPr="00FD211F">
        <w:rPr>
          <w:sz w:val="36"/>
          <w:szCs w:val="36"/>
          <w:rtl/>
        </w:rPr>
        <w:t xml:space="preserve">ة </w:t>
      </w:r>
      <w:r w:rsidR="003565C1" w:rsidRPr="00FD211F">
        <w:rPr>
          <w:sz w:val="36"/>
          <w:szCs w:val="36"/>
          <w:rtl/>
        </w:rPr>
        <w:t>الجمل</w:t>
      </w:r>
      <w:r w:rsidR="00EC7EDF" w:rsidRPr="00FD211F">
        <w:rPr>
          <w:sz w:val="36"/>
          <w:szCs w:val="36"/>
          <w:rtl/>
        </w:rPr>
        <w:t xml:space="preserve">ة </w:t>
      </w:r>
      <w:r w:rsidR="003565C1" w:rsidRPr="00FD211F">
        <w:rPr>
          <w:sz w:val="36"/>
          <w:szCs w:val="36"/>
          <w:rtl/>
        </w:rPr>
        <w:t>الإنشائي</w:t>
      </w:r>
      <w:r w:rsidR="00EC7EDF" w:rsidRPr="00FD211F">
        <w:rPr>
          <w:sz w:val="36"/>
          <w:szCs w:val="36"/>
          <w:rtl/>
        </w:rPr>
        <w:t xml:space="preserve">ة </w:t>
      </w:r>
      <w:r w:rsidR="003565C1" w:rsidRPr="00FD211F">
        <w:rPr>
          <w:sz w:val="36"/>
          <w:szCs w:val="36"/>
          <w:rtl/>
        </w:rPr>
        <w:t>بمعناها</w:t>
      </w:r>
      <w:r w:rsidR="00EC7EDF" w:rsidRPr="00FD211F">
        <w:rPr>
          <w:sz w:val="36"/>
          <w:szCs w:val="36"/>
          <w:rtl/>
        </w:rPr>
        <w:t xml:space="preserve"> و</w:t>
      </w:r>
      <w:r w:rsidRPr="00FD211F">
        <w:rPr>
          <w:sz w:val="36"/>
          <w:szCs w:val="36"/>
          <w:rtl/>
        </w:rPr>
        <w:t>علاق</w:t>
      </w:r>
      <w:r w:rsidR="00EC7EDF" w:rsidRPr="00FD211F">
        <w:rPr>
          <w:sz w:val="36"/>
          <w:szCs w:val="36"/>
          <w:rtl/>
        </w:rPr>
        <w:t xml:space="preserve">ة </w:t>
      </w:r>
      <w:r w:rsidRPr="00FD211F">
        <w:rPr>
          <w:sz w:val="36"/>
          <w:szCs w:val="36"/>
          <w:rtl/>
        </w:rPr>
        <w:t>إيجادي</w:t>
      </w:r>
      <w:r w:rsidR="00EC7EDF" w:rsidRPr="00FD211F">
        <w:rPr>
          <w:sz w:val="36"/>
          <w:szCs w:val="36"/>
          <w:rtl/>
        </w:rPr>
        <w:t xml:space="preserve">ة </w:t>
      </w:r>
      <w:r w:rsidRPr="00FD211F">
        <w:rPr>
          <w:sz w:val="36"/>
          <w:szCs w:val="36"/>
          <w:rtl/>
        </w:rPr>
        <w:t>تصوري</w:t>
      </w:r>
      <w:r w:rsidR="00EC7EDF" w:rsidRPr="00FD211F">
        <w:rPr>
          <w:sz w:val="36"/>
          <w:szCs w:val="36"/>
          <w:rtl/>
        </w:rPr>
        <w:t xml:space="preserve">ة </w:t>
      </w:r>
      <w:r w:rsidR="003565C1" w:rsidRPr="00FD211F">
        <w:rPr>
          <w:sz w:val="36"/>
          <w:szCs w:val="36"/>
          <w:rtl/>
        </w:rPr>
        <w:t>كمامر بيانه في الوجه الرابع</w:t>
      </w:r>
      <w:r w:rsidRPr="00FD211F">
        <w:rPr>
          <w:sz w:val="36"/>
          <w:szCs w:val="36"/>
          <w:rtl/>
        </w:rPr>
        <w:t>.</w:t>
      </w:r>
    </w:p>
    <w:p w14:paraId="50548D22" w14:textId="77777777" w:rsidR="007C28F1" w:rsidRPr="00FD211F" w:rsidRDefault="00556BC0" w:rsidP="00704686">
      <w:pPr>
        <w:ind w:left="0" w:firstLine="227"/>
        <w:jc w:val="both"/>
        <w:rPr>
          <w:sz w:val="36"/>
          <w:szCs w:val="36"/>
          <w:rtl/>
        </w:rPr>
      </w:pPr>
      <w:r w:rsidRPr="00FD211F">
        <w:rPr>
          <w:sz w:val="36"/>
          <w:szCs w:val="36"/>
          <w:rtl/>
        </w:rPr>
        <w:t>ثم ان ما ذكرناه لاينافي الالتزام بكون حقيق</w:t>
      </w:r>
      <w:r w:rsidR="00EC7EDF" w:rsidRPr="00FD211F">
        <w:rPr>
          <w:sz w:val="36"/>
          <w:szCs w:val="36"/>
          <w:rtl/>
        </w:rPr>
        <w:t xml:space="preserve">ة </w:t>
      </w:r>
      <w:r w:rsidRPr="00FD211F">
        <w:rPr>
          <w:sz w:val="36"/>
          <w:szCs w:val="36"/>
          <w:rtl/>
        </w:rPr>
        <w:t>الإنشاء في الأمور الاعتباري</w:t>
      </w:r>
      <w:r w:rsidR="00EC7EDF" w:rsidRPr="00FD211F">
        <w:rPr>
          <w:sz w:val="36"/>
          <w:szCs w:val="36"/>
          <w:rtl/>
        </w:rPr>
        <w:t xml:space="preserve">ة </w:t>
      </w:r>
      <w:r w:rsidRPr="00FD211F">
        <w:rPr>
          <w:sz w:val="36"/>
          <w:szCs w:val="36"/>
          <w:rtl/>
        </w:rPr>
        <w:t xml:space="preserve">كالعقود </w:t>
      </w:r>
      <w:r w:rsidR="007C28F1" w:rsidRPr="00FD211F">
        <w:rPr>
          <w:sz w:val="36"/>
          <w:szCs w:val="36"/>
          <w:rtl/>
        </w:rPr>
        <w:t>والإيقاعات هو الاعتبار والإبراز</w:t>
      </w:r>
      <w:r w:rsidR="00C87F03" w:rsidRPr="00FD211F">
        <w:rPr>
          <w:sz w:val="36"/>
          <w:szCs w:val="36"/>
          <w:rtl/>
        </w:rPr>
        <w:t xml:space="preserve"> </w:t>
      </w:r>
      <w:r w:rsidRPr="00FD211F">
        <w:rPr>
          <w:sz w:val="36"/>
          <w:szCs w:val="36"/>
          <w:rtl/>
        </w:rPr>
        <w:t>كما اختاره السيد الخوئي</w:t>
      </w:r>
      <w:r w:rsidR="00A61BAE" w:rsidRPr="00FD211F">
        <w:rPr>
          <w:sz w:val="36"/>
          <w:szCs w:val="36"/>
          <w:rtl/>
        </w:rPr>
        <w:t xml:space="preserve"> </w:t>
      </w:r>
      <w:r w:rsidR="00704686" w:rsidRPr="00FD211F">
        <w:rPr>
          <w:sz w:val="36"/>
          <w:szCs w:val="36"/>
          <w:rtl/>
        </w:rPr>
        <w:t>"</w:t>
      </w:r>
      <w:r w:rsidR="005D03BA" w:rsidRPr="00FD211F">
        <w:rPr>
          <w:sz w:val="36"/>
          <w:szCs w:val="36"/>
          <w:rtl/>
        </w:rPr>
        <w:t>قده</w:t>
      </w:r>
      <w:r w:rsidR="00704686" w:rsidRPr="00FD211F">
        <w:rPr>
          <w:sz w:val="36"/>
          <w:szCs w:val="36"/>
          <w:rtl/>
        </w:rPr>
        <w:t>"</w:t>
      </w:r>
      <w:r w:rsidR="00A61BAE" w:rsidRPr="00FD211F">
        <w:rPr>
          <w:sz w:val="36"/>
          <w:szCs w:val="36"/>
          <w:rtl/>
        </w:rPr>
        <w:t xml:space="preserve"> </w:t>
      </w:r>
      <w:r w:rsidRPr="00FD211F">
        <w:rPr>
          <w:sz w:val="36"/>
          <w:szCs w:val="36"/>
          <w:rtl/>
        </w:rPr>
        <w:t>خلافا لمسلك المشهور حيث ذهبوا الى ان حقيق</w:t>
      </w:r>
      <w:r w:rsidR="00EC7EDF" w:rsidRPr="00FD211F">
        <w:rPr>
          <w:sz w:val="36"/>
          <w:szCs w:val="36"/>
          <w:rtl/>
        </w:rPr>
        <w:t xml:space="preserve">ة </w:t>
      </w:r>
      <w:r w:rsidRPr="00FD211F">
        <w:rPr>
          <w:sz w:val="36"/>
          <w:szCs w:val="36"/>
          <w:rtl/>
        </w:rPr>
        <w:t>الإنشاء مطلقا هو ايجاد المعنى باللفظ</w:t>
      </w:r>
      <w:r w:rsidR="007C28F1" w:rsidRPr="00FD211F">
        <w:rPr>
          <w:sz w:val="36"/>
          <w:szCs w:val="36"/>
          <w:rtl/>
        </w:rPr>
        <w:t>.</w:t>
      </w:r>
    </w:p>
    <w:p w14:paraId="56B74112" w14:textId="77777777" w:rsidR="00556BC0" w:rsidRPr="00FD211F" w:rsidRDefault="007C28F1" w:rsidP="009C58C8">
      <w:pPr>
        <w:ind w:left="0" w:firstLine="227"/>
        <w:jc w:val="both"/>
        <w:rPr>
          <w:sz w:val="36"/>
          <w:szCs w:val="36"/>
          <w:rtl/>
        </w:rPr>
      </w:pPr>
      <w:r w:rsidRPr="00FD211F">
        <w:rPr>
          <w:sz w:val="36"/>
          <w:szCs w:val="36"/>
          <w:rtl/>
        </w:rPr>
        <w:t>وقد</w:t>
      </w:r>
      <w:r w:rsidR="003565C1" w:rsidRPr="00FD211F">
        <w:rPr>
          <w:sz w:val="36"/>
          <w:szCs w:val="36"/>
          <w:rtl/>
        </w:rPr>
        <w:t xml:space="preserve"> فسر</w:t>
      </w:r>
      <w:r w:rsidR="00556BC0" w:rsidRPr="00FD211F">
        <w:rPr>
          <w:sz w:val="36"/>
          <w:szCs w:val="36"/>
          <w:rtl/>
        </w:rPr>
        <w:t xml:space="preserve"> صاحب الكفاي</w:t>
      </w:r>
      <w:r w:rsidR="00EC7EDF" w:rsidRPr="00FD211F">
        <w:rPr>
          <w:sz w:val="36"/>
          <w:szCs w:val="36"/>
          <w:rtl/>
        </w:rPr>
        <w:t xml:space="preserve">ة </w:t>
      </w:r>
      <w:r w:rsidR="004211C4" w:rsidRPr="00FD211F">
        <w:rPr>
          <w:sz w:val="36"/>
          <w:szCs w:val="36"/>
          <w:rtl/>
        </w:rPr>
        <w:t>"قده"</w:t>
      </w:r>
      <w:r w:rsidR="00556BC0" w:rsidRPr="00FD211F">
        <w:rPr>
          <w:sz w:val="36"/>
          <w:szCs w:val="36"/>
          <w:rtl/>
        </w:rPr>
        <w:t xml:space="preserve"> </w:t>
      </w:r>
      <w:r w:rsidR="003565C1" w:rsidRPr="00FD211F">
        <w:rPr>
          <w:sz w:val="36"/>
          <w:szCs w:val="36"/>
          <w:rtl/>
        </w:rPr>
        <w:t>كلام المشهور</w:t>
      </w:r>
      <w:r w:rsidR="00504ED3" w:rsidRPr="00FD211F">
        <w:rPr>
          <w:sz w:val="36"/>
          <w:szCs w:val="36"/>
          <w:rtl/>
        </w:rPr>
        <w:t xml:space="preserve"> </w:t>
      </w:r>
      <w:r w:rsidR="00556BC0" w:rsidRPr="00FD211F">
        <w:rPr>
          <w:sz w:val="36"/>
          <w:szCs w:val="36"/>
          <w:rtl/>
        </w:rPr>
        <w:t>بان الإنشاء هو إيجاد المعنى باللفظ في عالم نفس الأمر</w:t>
      </w:r>
      <w:r w:rsidR="009C58C8" w:rsidRPr="00FD211F">
        <w:rPr>
          <w:rStyle w:val="a6"/>
          <w:sz w:val="36"/>
          <w:szCs w:val="36"/>
          <w:rtl/>
        </w:rPr>
        <w:t>(</w:t>
      </w:r>
      <w:r w:rsidR="009C58C8" w:rsidRPr="00FD211F">
        <w:rPr>
          <w:rStyle w:val="a6"/>
          <w:sz w:val="36"/>
          <w:szCs w:val="36"/>
          <w:rtl/>
        </w:rPr>
        <w:footnoteReference w:id="207"/>
      </w:r>
      <w:r w:rsidR="009C58C8" w:rsidRPr="00FD211F">
        <w:rPr>
          <w:rStyle w:val="a6"/>
          <w:sz w:val="36"/>
          <w:szCs w:val="36"/>
          <w:rtl/>
        </w:rPr>
        <w:t>)</w:t>
      </w:r>
      <w:r w:rsidR="00EC7EDF" w:rsidRPr="00FD211F">
        <w:rPr>
          <w:sz w:val="36"/>
          <w:szCs w:val="36"/>
          <w:rtl/>
        </w:rPr>
        <w:t xml:space="preserve"> و</w:t>
      </w:r>
      <w:r w:rsidRPr="00FD211F">
        <w:rPr>
          <w:sz w:val="36"/>
          <w:szCs w:val="36"/>
          <w:rtl/>
        </w:rPr>
        <w:t xml:space="preserve">ذكر في </w:t>
      </w:r>
      <w:r w:rsidR="00556BC0" w:rsidRPr="00FD211F">
        <w:rPr>
          <w:sz w:val="36"/>
          <w:szCs w:val="36"/>
          <w:rtl/>
        </w:rPr>
        <w:t>كتاب الفوائد ان صيغ</w:t>
      </w:r>
      <w:r w:rsidR="00EC7EDF" w:rsidRPr="00FD211F">
        <w:rPr>
          <w:sz w:val="36"/>
          <w:szCs w:val="36"/>
          <w:rtl/>
        </w:rPr>
        <w:t xml:space="preserve">ة </w:t>
      </w:r>
      <w:r w:rsidR="00556BC0" w:rsidRPr="00FD211F">
        <w:rPr>
          <w:sz w:val="36"/>
          <w:szCs w:val="36"/>
          <w:rtl/>
        </w:rPr>
        <w:t>الأمر مثلا مستعمل</w:t>
      </w:r>
      <w:r w:rsidR="00EC7EDF" w:rsidRPr="00FD211F">
        <w:rPr>
          <w:sz w:val="36"/>
          <w:szCs w:val="36"/>
          <w:rtl/>
        </w:rPr>
        <w:t xml:space="preserve">ة </w:t>
      </w:r>
      <w:r w:rsidR="00556BC0" w:rsidRPr="00FD211F">
        <w:rPr>
          <w:sz w:val="36"/>
          <w:szCs w:val="36"/>
          <w:rtl/>
        </w:rPr>
        <w:t xml:space="preserve">في إيجاد الطلب الإنشائي وكذا </w:t>
      </w:r>
      <w:r w:rsidR="00330FB0" w:rsidRPr="00FD211F">
        <w:rPr>
          <w:sz w:val="36"/>
          <w:szCs w:val="36"/>
          <w:rtl/>
        </w:rPr>
        <w:t>"</w:t>
      </w:r>
      <w:r w:rsidR="00556BC0" w:rsidRPr="00FD211F">
        <w:rPr>
          <w:sz w:val="36"/>
          <w:szCs w:val="36"/>
          <w:rtl/>
        </w:rPr>
        <w:t>ليت</w:t>
      </w:r>
      <w:r w:rsidR="00330FB0" w:rsidRPr="00FD211F">
        <w:rPr>
          <w:sz w:val="36"/>
          <w:szCs w:val="36"/>
          <w:rtl/>
        </w:rPr>
        <w:t>"</w:t>
      </w:r>
      <w:r w:rsidR="00556BC0" w:rsidRPr="00FD211F">
        <w:rPr>
          <w:sz w:val="36"/>
          <w:szCs w:val="36"/>
          <w:rtl/>
        </w:rPr>
        <w:t xml:space="preserve"> مستعمل</w:t>
      </w:r>
      <w:r w:rsidR="00EC7EDF" w:rsidRPr="00FD211F">
        <w:rPr>
          <w:sz w:val="36"/>
          <w:szCs w:val="36"/>
          <w:rtl/>
        </w:rPr>
        <w:t xml:space="preserve">ة </w:t>
      </w:r>
      <w:r w:rsidR="00556BC0" w:rsidRPr="00FD211F">
        <w:rPr>
          <w:sz w:val="36"/>
          <w:szCs w:val="36"/>
          <w:rtl/>
        </w:rPr>
        <w:t>في إيجاد التمني الإنشائي</w:t>
      </w:r>
      <w:r w:rsidR="00603323" w:rsidRPr="00FD211F">
        <w:rPr>
          <w:sz w:val="36"/>
          <w:szCs w:val="36"/>
          <w:rtl/>
        </w:rPr>
        <w:t xml:space="preserve">، </w:t>
      </w:r>
      <w:r w:rsidR="00556BC0" w:rsidRPr="00FD211F">
        <w:rPr>
          <w:sz w:val="36"/>
          <w:szCs w:val="36"/>
          <w:rtl/>
        </w:rPr>
        <w:t>وأدا</w:t>
      </w:r>
      <w:r w:rsidR="00EC7EDF" w:rsidRPr="00FD211F">
        <w:rPr>
          <w:sz w:val="36"/>
          <w:szCs w:val="36"/>
          <w:rtl/>
        </w:rPr>
        <w:t xml:space="preserve">ة </w:t>
      </w:r>
      <w:r w:rsidR="00556BC0" w:rsidRPr="00FD211F">
        <w:rPr>
          <w:sz w:val="36"/>
          <w:szCs w:val="36"/>
          <w:rtl/>
        </w:rPr>
        <w:t>الاستفهام مستعمل</w:t>
      </w:r>
      <w:r w:rsidR="00EC7EDF" w:rsidRPr="00FD211F">
        <w:rPr>
          <w:sz w:val="36"/>
          <w:szCs w:val="36"/>
          <w:rtl/>
        </w:rPr>
        <w:t xml:space="preserve">ة </w:t>
      </w:r>
      <w:r w:rsidR="00556BC0" w:rsidRPr="00FD211F">
        <w:rPr>
          <w:sz w:val="36"/>
          <w:szCs w:val="36"/>
          <w:rtl/>
        </w:rPr>
        <w:t>في إيجاد الاستفهام الإنشائي وهكذا</w:t>
      </w:r>
      <w:r w:rsidR="00603323" w:rsidRPr="00FD211F">
        <w:rPr>
          <w:sz w:val="36"/>
          <w:szCs w:val="36"/>
          <w:rtl/>
        </w:rPr>
        <w:t xml:space="preserve">، </w:t>
      </w:r>
      <w:r w:rsidR="00556BC0" w:rsidRPr="00FD211F">
        <w:rPr>
          <w:sz w:val="36"/>
          <w:szCs w:val="36"/>
          <w:rtl/>
        </w:rPr>
        <w:t>فالإنشاء هو القول الذي يقصد به ايجاد المعنى في نفس الأمر</w:t>
      </w:r>
      <w:r w:rsidR="00603323" w:rsidRPr="00FD211F">
        <w:rPr>
          <w:sz w:val="36"/>
          <w:szCs w:val="36"/>
          <w:rtl/>
        </w:rPr>
        <w:t xml:space="preserve">، </w:t>
      </w:r>
      <w:r w:rsidR="00556BC0" w:rsidRPr="00FD211F">
        <w:rPr>
          <w:sz w:val="36"/>
          <w:szCs w:val="36"/>
          <w:rtl/>
        </w:rPr>
        <w:t xml:space="preserve">اي لابمجرد فرض لايكون بإزاءه </w:t>
      </w:r>
      <w:r w:rsidR="008D7B3D" w:rsidRPr="00FD211F">
        <w:rPr>
          <w:sz w:val="36"/>
          <w:szCs w:val="36"/>
          <w:rtl/>
        </w:rPr>
        <w:t xml:space="preserve">شيء </w:t>
      </w:r>
      <w:r w:rsidR="00556BC0" w:rsidRPr="00FD211F">
        <w:rPr>
          <w:sz w:val="36"/>
          <w:szCs w:val="36"/>
          <w:rtl/>
        </w:rPr>
        <w:t>في الخارج</w:t>
      </w:r>
      <w:r w:rsidR="00603323" w:rsidRPr="00FD211F">
        <w:rPr>
          <w:sz w:val="36"/>
          <w:szCs w:val="36"/>
          <w:rtl/>
        </w:rPr>
        <w:t xml:space="preserve">، </w:t>
      </w:r>
      <w:r w:rsidR="00556BC0" w:rsidRPr="00FD211F">
        <w:rPr>
          <w:sz w:val="36"/>
          <w:szCs w:val="36"/>
          <w:rtl/>
        </w:rPr>
        <w:t>كفرض الإنسان جمادا</w:t>
      </w:r>
      <w:r w:rsidR="00603323" w:rsidRPr="00FD211F">
        <w:rPr>
          <w:sz w:val="36"/>
          <w:szCs w:val="36"/>
          <w:rtl/>
        </w:rPr>
        <w:t xml:space="preserve">، </w:t>
      </w:r>
      <w:r w:rsidR="00556BC0" w:rsidRPr="00FD211F">
        <w:rPr>
          <w:sz w:val="36"/>
          <w:szCs w:val="36"/>
          <w:rtl/>
        </w:rPr>
        <w:t>بل يكون منشأ انتزاعه في الخارج</w:t>
      </w:r>
      <w:r w:rsidR="00603323" w:rsidRPr="00FD211F">
        <w:rPr>
          <w:sz w:val="36"/>
          <w:szCs w:val="36"/>
          <w:rtl/>
        </w:rPr>
        <w:t xml:space="preserve">، </w:t>
      </w:r>
      <w:r w:rsidR="00556BC0" w:rsidRPr="00FD211F">
        <w:rPr>
          <w:sz w:val="36"/>
          <w:szCs w:val="36"/>
          <w:rtl/>
        </w:rPr>
        <w:t>فقبل انشاء التمليك</w:t>
      </w:r>
      <w:r w:rsidR="008D7B3D" w:rsidRPr="00FD211F">
        <w:rPr>
          <w:sz w:val="36"/>
          <w:szCs w:val="36"/>
          <w:rtl/>
        </w:rPr>
        <w:t xml:space="preserve"> لم‌</w:t>
      </w:r>
      <w:r w:rsidR="00556BC0" w:rsidRPr="00FD211F">
        <w:rPr>
          <w:sz w:val="36"/>
          <w:szCs w:val="36"/>
          <w:rtl/>
        </w:rPr>
        <w:t>يكن له ثبوت الا بمجرد فرض</w:t>
      </w:r>
      <w:r w:rsidR="00603323" w:rsidRPr="00FD211F">
        <w:rPr>
          <w:sz w:val="36"/>
          <w:szCs w:val="36"/>
          <w:rtl/>
        </w:rPr>
        <w:t xml:space="preserve">، </w:t>
      </w:r>
      <w:r w:rsidR="00556BC0" w:rsidRPr="00FD211F">
        <w:rPr>
          <w:sz w:val="36"/>
          <w:szCs w:val="36"/>
          <w:rtl/>
        </w:rPr>
        <w:t>ولكن بعد الإنشاء حصلت له واقعي</w:t>
      </w:r>
      <w:r w:rsidR="00EC7EDF" w:rsidRPr="00FD211F">
        <w:rPr>
          <w:sz w:val="36"/>
          <w:szCs w:val="36"/>
          <w:rtl/>
        </w:rPr>
        <w:t>ة</w:t>
      </w:r>
      <w:r w:rsidR="00A61BAE" w:rsidRPr="00FD211F">
        <w:rPr>
          <w:sz w:val="36"/>
          <w:szCs w:val="36"/>
          <w:rtl/>
        </w:rPr>
        <w:t>.</w:t>
      </w:r>
    </w:p>
    <w:p w14:paraId="4F4822B5" w14:textId="77777777" w:rsidR="000C5BBA" w:rsidRPr="00FD211F" w:rsidRDefault="00556BC0" w:rsidP="009C58C8">
      <w:pPr>
        <w:ind w:left="0" w:firstLine="227"/>
        <w:jc w:val="both"/>
        <w:rPr>
          <w:sz w:val="36"/>
          <w:szCs w:val="36"/>
          <w:rtl/>
        </w:rPr>
      </w:pPr>
      <w:r w:rsidRPr="00FD211F">
        <w:rPr>
          <w:sz w:val="36"/>
          <w:szCs w:val="36"/>
          <w:rtl/>
        </w:rPr>
        <w:t xml:space="preserve">ان قلت: مثل الطلب </w:t>
      </w:r>
      <w:r w:rsidR="007C28F1" w:rsidRPr="00FD211F">
        <w:rPr>
          <w:sz w:val="36"/>
          <w:szCs w:val="36"/>
          <w:rtl/>
        </w:rPr>
        <w:t>او الترجي بنفسه موجود في الخارج.</w:t>
      </w:r>
    </w:p>
    <w:p w14:paraId="1D686B6C" w14:textId="77777777" w:rsidR="000C5BBA" w:rsidRPr="00FD211F" w:rsidRDefault="00556BC0" w:rsidP="009C58C8">
      <w:pPr>
        <w:ind w:left="0" w:firstLine="227"/>
        <w:jc w:val="both"/>
        <w:rPr>
          <w:sz w:val="36"/>
          <w:szCs w:val="36"/>
          <w:rtl/>
        </w:rPr>
      </w:pPr>
      <w:r w:rsidRPr="00FD211F">
        <w:rPr>
          <w:sz w:val="36"/>
          <w:szCs w:val="36"/>
          <w:rtl/>
        </w:rPr>
        <w:t>قلت: ان ذلك لايمنع من وجود</w:t>
      </w:r>
      <w:r w:rsidR="007C28F1" w:rsidRPr="00FD211F">
        <w:rPr>
          <w:sz w:val="36"/>
          <w:szCs w:val="36"/>
          <w:rtl/>
        </w:rPr>
        <w:t>ه بنحو آخر</w:t>
      </w:r>
      <w:r w:rsidR="00603323" w:rsidRPr="00FD211F">
        <w:rPr>
          <w:sz w:val="36"/>
          <w:szCs w:val="36"/>
          <w:rtl/>
        </w:rPr>
        <w:t xml:space="preserve">، </w:t>
      </w:r>
      <w:r w:rsidR="007C28F1" w:rsidRPr="00FD211F">
        <w:rPr>
          <w:sz w:val="36"/>
          <w:szCs w:val="36"/>
          <w:rtl/>
        </w:rPr>
        <w:t>وهو الوجود الإنشائي.</w:t>
      </w:r>
    </w:p>
    <w:p w14:paraId="49EDD6C4" w14:textId="77777777" w:rsidR="00556BC0" w:rsidRPr="00FD211F" w:rsidRDefault="00556BC0" w:rsidP="009C58C8">
      <w:pPr>
        <w:ind w:left="0" w:firstLine="227"/>
        <w:jc w:val="both"/>
        <w:rPr>
          <w:sz w:val="36"/>
          <w:szCs w:val="36"/>
          <w:rtl/>
        </w:rPr>
      </w:pPr>
      <w:r w:rsidRPr="00FD211F">
        <w:rPr>
          <w:sz w:val="36"/>
          <w:szCs w:val="36"/>
          <w:rtl/>
        </w:rPr>
        <w:t>ولايخفى انه حتى لو استعملت هذه الجمل بغير داع الجد فتوجد معانيها بالوجود الإنشائي</w:t>
      </w:r>
      <w:r w:rsidR="00603323" w:rsidRPr="00FD211F">
        <w:rPr>
          <w:sz w:val="36"/>
          <w:szCs w:val="36"/>
          <w:rtl/>
        </w:rPr>
        <w:t xml:space="preserve">، </w:t>
      </w:r>
      <w:r w:rsidRPr="00FD211F">
        <w:rPr>
          <w:sz w:val="36"/>
          <w:szCs w:val="36"/>
          <w:rtl/>
        </w:rPr>
        <w:t>فصيغ</w:t>
      </w:r>
      <w:r w:rsidR="00EC7EDF" w:rsidRPr="00FD211F">
        <w:rPr>
          <w:sz w:val="36"/>
          <w:szCs w:val="36"/>
          <w:rtl/>
        </w:rPr>
        <w:t xml:space="preserve">ة </w:t>
      </w:r>
      <w:r w:rsidRPr="00FD211F">
        <w:rPr>
          <w:sz w:val="36"/>
          <w:szCs w:val="36"/>
          <w:rtl/>
        </w:rPr>
        <w:t>الأمر مستعمل</w:t>
      </w:r>
      <w:r w:rsidR="00EC7EDF" w:rsidRPr="00FD211F">
        <w:rPr>
          <w:sz w:val="36"/>
          <w:szCs w:val="36"/>
          <w:rtl/>
        </w:rPr>
        <w:t xml:space="preserve">ة </w:t>
      </w:r>
      <w:r w:rsidRPr="00FD211F">
        <w:rPr>
          <w:sz w:val="36"/>
          <w:szCs w:val="36"/>
          <w:rtl/>
        </w:rPr>
        <w:t>في إيجاد البعث الإنشائي ولو كان استعمالها بداعي التهديد مثلا</w:t>
      </w:r>
      <w:r w:rsidR="00603323" w:rsidRPr="00FD211F">
        <w:rPr>
          <w:sz w:val="36"/>
          <w:szCs w:val="36"/>
          <w:rtl/>
        </w:rPr>
        <w:t xml:space="preserve">، </w:t>
      </w:r>
      <w:r w:rsidRPr="00FD211F">
        <w:rPr>
          <w:sz w:val="36"/>
          <w:szCs w:val="36"/>
          <w:rtl/>
        </w:rPr>
        <w:t>ولو أن</w:t>
      </w:r>
      <w:r w:rsidR="00251CB6" w:rsidRPr="00FD211F">
        <w:rPr>
          <w:sz w:val="36"/>
          <w:szCs w:val="36"/>
          <w:rtl/>
        </w:rPr>
        <w:t xml:space="preserve">شيء </w:t>
      </w:r>
      <w:r w:rsidRPr="00FD211F">
        <w:rPr>
          <w:sz w:val="36"/>
          <w:szCs w:val="36"/>
          <w:rtl/>
        </w:rPr>
        <w:t>معنى واحد بلفظ واحد مرارا فلايخرج أي منها عن الإنشاء</w:t>
      </w:r>
      <w:r w:rsidR="00603323" w:rsidRPr="00FD211F">
        <w:rPr>
          <w:sz w:val="36"/>
          <w:szCs w:val="36"/>
          <w:rtl/>
        </w:rPr>
        <w:t xml:space="preserve">، </w:t>
      </w:r>
      <w:r w:rsidRPr="00FD211F">
        <w:rPr>
          <w:sz w:val="36"/>
          <w:szCs w:val="36"/>
          <w:rtl/>
        </w:rPr>
        <w:t>غاي</w:t>
      </w:r>
      <w:r w:rsidR="00EC7EDF" w:rsidRPr="00FD211F">
        <w:rPr>
          <w:sz w:val="36"/>
          <w:szCs w:val="36"/>
          <w:rtl/>
        </w:rPr>
        <w:t xml:space="preserve">ة </w:t>
      </w:r>
      <w:r w:rsidRPr="00FD211F">
        <w:rPr>
          <w:sz w:val="36"/>
          <w:szCs w:val="36"/>
          <w:rtl/>
        </w:rPr>
        <w:t>الأمر انه لاأثر لغير الإنشاء الأول الا التأكيد</w:t>
      </w:r>
      <w:r w:rsidR="00603323" w:rsidRPr="00FD211F">
        <w:rPr>
          <w:sz w:val="36"/>
          <w:szCs w:val="36"/>
          <w:rtl/>
        </w:rPr>
        <w:t xml:space="preserve">، </w:t>
      </w:r>
      <w:r w:rsidRPr="00FD211F">
        <w:rPr>
          <w:sz w:val="36"/>
          <w:szCs w:val="36"/>
          <w:rtl/>
        </w:rPr>
        <w:t xml:space="preserve">وكذا بيع الصبي والمجنون القاصدين </w:t>
      </w:r>
      <w:r w:rsidR="00EC48DF" w:rsidRPr="00FD211F">
        <w:rPr>
          <w:sz w:val="36"/>
          <w:szCs w:val="36"/>
          <w:rtl/>
        </w:rPr>
        <w:t>للإنشاء</w:t>
      </w:r>
      <w:r w:rsidRPr="00FD211F">
        <w:rPr>
          <w:sz w:val="36"/>
          <w:szCs w:val="36"/>
          <w:rtl/>
        </w:rPr>
        <w:t xml:space="preserve"> يوجب تحقق البيع الإنشائي وان</w:t>
      </w:r>
      <w:r w:rsidR="008D7B3D" w:rsidRPr="00FD211F">
        <w:rPr>
          <w:sz w:val="36"/>
          <w:szCs w:val="36"/>
          <w:rtl/>
        </w:rPr>
        <w:t xml:space="preserve"> لم‌</w:t>
      </w:r>
      <w:r w:rsidRPr="00FD211F">
        <w:rPr>
          <w:sz w:val="36"/>
          <w:szCs w:val="36"/>
          <w:rtl/>
        </w:rPr>
        <w:t>يكن ممضى عرفا وشرعا</w:t>
      </w:r>
      <w:r w:rsidR="00603323" w:rsidRPr="00FD211F">
        <w:rPr>
          <w:sz w:val="36"/>
          <w:szCs w:val="36"/>
          <w:rtl/>
        </w:rPr>
        <w:t xml:space="preserve">، </w:t>
      </w:r>
      <w:r w:rsidRPr="00FD211F">
        <w:rPr>
          <w:sz w:val="36"/>
          <w:szCs w:val="36"/>
          <w:rtl/>
        </w:rPr>
        <w:t>فلاوجه لما أفاده الشهيد</w:t>
      </w:r>
      <w:r w:rsidR="007A4A0D" w:rsidRPr="00FD211F">
        <w:rPr>
          <w:sz w:val="36"/>
          <w:szCs w:val="36"/>
          <w:rtl/>
        </w:rPr>
        <w:t xml:space="preserve"> “ره” </w:t>
      </w:r>
      <w:r w:rsidRPr="00FD211F">
        <w:rPr>
          <w:sz w:val="36"/>
          <w:szCs w:val="36"/>
          <w:rtl/>
        </w:rPr>
        <w:t>في القواعد من ان العقد المكرر ليس إنشاء</w:t>
      </w:r>
      <w:r w:rsidR="00603323" w:rsidRPr="00FD211F">
        <w:rPr>
          <w:sz w:val="36"/>
          <w:szCs w:val="36"/>
          <w:rtl/>
        </w:rPr>
        <w:t xml:space="preserve">، </w:t>
      </w:r>
      <w:r w:rsidRPr="00FD211F">
        <w:rPr>
          <w:sz w:val="36"/>
          <w:szCs w:val="36"/>
          <w:rtl/>
        </w:rPr>
        <w:t>لعدم كونه موجدا ل</w:t>
      </w:r>
      <w:r w:rsidR="008D7B3D" w:rsidRPr="00FD211F">
        <w:rPr>
          <w:sz w:val="36"/>
          <w:szCs w:val="36"/>
          <w:rtl/>
        </w:rPr>
        <w:t xml:space="preserve">شيء </w:t>
      </w:r>
      <w:r w:rsidRPr="00FD211F">
        <w:rPr>
          <w:sz w:val="36"/>
          <w:szCs w:val="36"/>
          <w:rtl/>
        </w:rPr>
        <w:t>في نفس الأمر</w:t>
      </w:r>
      <w:r w:rsidR="009C58C8" w:rsidRPr="00FD211F">
        <w:rPr>
          <w:rStyle w:val="a6"/>
          <w:sz w:val="36"/>
          <w:szCs w:val="36"/>
          <w:rtl/>
        </w:rPr>
        <w:t>(</w:t>
      </w:r>
      <w:r w:rsidR="009C58C8" w:rsidRPr="00FD211F">
        <w:rPr>
          <w:rStyle w:val="a6"/>
          <w:sz w:val="36"/>
          <w:szCs w:val="36"/>
          <w:rtl/>
        </w:rPr>
        <w:footnoteReference w:id="208"/>
      </w:r>
      <w:r w:rsidR="009C58C8" w:rsidRPr="00FD211F">
        <w:rPr>
          <w:rStyle w:val="a6"/>
          <w:sz w:val="36"/>
          <w:szCs w:val="36"/>
          <w:rtl/>
        </w:rPr>
        <w:t>)</w:t>
      </w:r>
      <w:r w:rsidRPr="00FD211F">
        <w:rPr>
          <w:sz w:val="36"/>
          <w:szCs w:val="36"/>
          <w:rtl/>
        </w:rPr>
        <w:t>.</w:t>
      </w:r>
    </w:p>
    <w:p w14:paraId="4454F073" w14:textId="77777777" w:rsidR="005B5BA2" w:rsidRPr="00FD211F" w:rsidRDefault="00E44168" w:rsidP="009C58C8">
      <w:pPr>
        <w:ind w:left="0" w:firstLine="227"/>
        <w:jc w:val="both"/>
        <w:rPr>
          <w:sz w:val="36"/>
          <w:szCs w:val="36"/>
          <w:rtl/>
        </w:rPr>
      </w:pPr>
      <w:r w:rsidRPr="00FD211F">
        <w:rPr>
          <w:sz w:val="36"/>
          <w:szCs w:val="36"/>
          <w:rtl/>
        </w:rPr>
        <w:t xml:space="preserve">هذا </w:t>
      </w:r>
      <w:r w:rsidR="00556BC0" w:rsidRPr="00FD211F">
        <w:rPr>
          <w:sz w:val="36"/>
          <w:szCs w:val="36"/>
          <w:rtl/>
        </w:rPr>
        <w:t xml:space="preserve">وقد ذكر بعض الأعلام </w:t>
      </w:r>
      <w:r w:rsidR="004211C4" w:rsidRPr="00FD211F">
        <w:rPr>
          <w:sz w:val="36"/>
          <w:szCs w:val="36"/>
          <w:rtl/>
        </w:rPr>
        <w:t>"</w:t>
      </w:r>
      <w:r w:rsidR="00556BC0" w:rsidRPr="00FD211F">
        <w:rPr>
          <w:sz w:val="36"/>
          <w:szCs w:val="36"/>
          <w:rtl/>
        </w:rPr>
        <w:t>قده</w:t>
      </w:r>
      <w:r w:rsidR="004211C4" w:rsidRPr="00FD211F">
        <w:rPr>
          <w:sz w:val="36"/>
          <w:szCs w:val="36"/>
          <w:rtl/>
        </w:rPr>
        <w:t>"</w:t>
      </w:r>
      <w:r w:rsidR="00556BC0" w:rsidRPr="00FD211F">
        <w:rPr>
          <w:sz w:val="36"/>
          <w:szCs w:val="36"/>
          <w:rtl/>
        </w:rPr>
        <w:t xml:space="preserve"> ان ما ذكره صاحب الكفاي</w:t>
      </w:r>
      <w:r w:rsidR="00EC7EDF" w:rsidRPr="00FD211F">
        <w:rPr>
          <w:sz w:val="36"/>
          <w:szCs w:val="36"/>
          <w:rtl/>
        </w:rPr>
        <w:t xml:space="preserve">ة </w:t>
      </w:r>
      <w:r w:rsidR="00556BC0" w:rsidRPr="00FD211F">
        <w:rPr>
          <w:sz w:val="36"/>
          <w:szCs w:val="36"/>
          <w:rtl/>
        </w:rPr>
        <w:t>خلاف المشهور</w:t>
      </w:r>
      <w:r w:rsidR="00603323" w:rsidRPr="00FD211F">
        <w:rPr>
          <w:sz w:val="36"/>
          <w:szCs w:val="36"/>
          <w:rtl/>
        </w:rPr>
        <w:t xml:space="preserve">، </w:t>
      </w:r>
      <w:r w:rsidR="00556BC0" w:rsidRPr="00FD211F">
        <w:rPr>
          <w:sz w:val="36"/>
          <w:szCs w:val="36"/>
          <w:rtl/>
        </w:rPr>
        <w:t>فان المشهور كون الإنشاء إيجادا للمعنى باللفظ في عالم الاعتبار العقلائي</w:t>
      </w:r>
      <w:r w:rsidR="00603323" w:rsidRPr="00FD211F">
        <w:rPr>
          <w:sz w:val="36"/>
          <w:szCs w:val="36"/>
          <w:rtl/>
        </w:rPr>
        <w:t xml:space="preserve">، </w:t>
      </w:r>
      <w:r w:rsidR="007C28F1" w:rsidRPr="00FD211F">
        <w:rPr>
          <w:sz w:val="36"/>
          <w:szCs w:val="36"/>
          <w:rtl/>
        </w:rPr>
        <w:t xml:space="preserve">ثم ذكران </w:t>
      </w:r>
      <w:r w:rsidR="00556BC0" w:rsidRPr="00FD211F">
        <w:rPr>
          <w:sz w:val="36"/>
          <w:szCs w:val="36"/>
          <w:rtl/>
        </w:rPr>
        <w:t>الصحيح الموافق للمرتكز العرفي هو مسلك المشهور دون مسلك صاحب الكفاي</w:t>
      </w:r>
      <w:r w:rsidR="00EC7EDF" w:rsidRPr="00FD211F">
        <w:rPr>
          <w:sz w:val="36"/>
          <w:szCs w:val="36"/>
          <w:rtl/>
        </w:rPr>
        <w:t>ة</w:t>
      </w:r>
      <w:r w:rsidR="00603323" w:rsidRPr="00FD211F">
        <w:rPr>
          <w:sz w:val="36"/>
          <w:szCs w:val="36"/>
          <w:rtl/>
        </w:rPr>
        <w:t xml:space="preserve">، </w:t>
      </w:r>
      <w:r w:rsidR="00556BC0" w:rsidRPr="00FD211F">
        <w:rPr>
          <w:sz w:val="36"/>
          <w:szCs w:val="36"/>
          <w:rtl/>
        </w:rPr>
        <w:t>حيث يبعد ان يكون المستعمِل للجمل</w:t>
      </w:r>
      <w:r w:rsidR="00EC7EDF" w:rsidRPr="00FD211F">
        <w:rPr>
          <w:sz w:val="36"/>
          <w:szCs w:val="36"/>
          <w:rtl/>
        </w:rPr>
        <w:t xml:space="preserve">ة </w:t>
      </w:r>
      <w:r w:rsidR="00556BC0" w:rsidRPr="00FD211F">
        <w:rPr>
          <w:sz w:val="36"/>
          <w:szCs w:val="36"/>
          <w:rtl/>
        </w:rPr>
        <w:t>الإنشائي</w:t>
      </w:r>
      <w:r w:rsidR="00EC7EDF" w:rsidRPr="00FD211F">
        <w:rPr>
          <w:sz w:val="36"/>
          <w:szCs w:val="36"/>
          <w:rtl/>
        </w:rPr>
        <w:t xml:space="preserve">ة </w:t>
      </w:r>
      <w:r w:rsidR="00556BC0" w:rsidRPr="00FD211F">
        <w:rPr>
          <w:sz w:val="36"/>
          <w:szCs w:val="36"/>
          <w:rtl/>
        </w:rPr>
        <w:t>موجدا للمعنى بوجود إنشائي ثم يترتب عليه وجوده في عالم الاعتبار العقلائي</w:t>
      </w:r>
      <w:r w:rsidR="00603323" w:rsidRPr="00FD211F">
        <w:rPr>
          <w:sz w:val="36"/>
          <w:szCs w:val="36"/>
          <w:rtl/>
        </w:rPr>
        <w:t xml:space="preserve">، </w:t>
      </w:r>
      <w:r w:rsidR="007C28F1" w:rsidRPr="00FD211F">
        <w:rPr>
          <w:sz w:val="36"/>
          <w:szCs w:val="36"/>
          <w:rtl/>
        </w:rPr>
        <w:t>فالانشاء</w:t>
      </w:r>
      <w:r w:rsidR="00B253CE" w:rsidRPr="00FD211F">
        <w:rPr>
          <w:sz w:val="36"/>
          <w:szCs w:val="36"/>
          <w:rtl/>
        </w:rPr>
        <w:t xml:space="preserve"> </w:t>
      </w:r>
      <w:r w:rsidR="007C28F1" w:rsidRPr="00FD211F">
        <w:rPr>
          <w:sz w:val="36"/>
          <w:szCs w:val="36"/>
          <w:rtl/>
        </w:rPr>
        <w:t>ايجاد للمعنى في عالم الاعتبار العقلائي</w:t>
      </w:r>
      <w:r w:rsidR="00556BC0" w:rsidRPr="00FD211F">
        <w:rPr>
          <w:sz w:val="36"/>
          <w:szCs w:val="36"/>
          <w:rtl/>
        </w:rPr>
        <w:t xml:space="preserve"> ولايرد عليه النقض بموارد تكرار العقد او بيع الغاصب والفضولي ونحو ذلك</w:t>
      </w:r>
      <w:r w:rsidR="00603323" w:rsidRPr="00FD211F">
        <w:rPr>
          <w:sz w:val="36"/>
          <w:szCs w:val="36"/>
          <w:rtl/>
        </w:rPr>
        <w:t xml:space="preserve">، </w:t>
      </w:r>
      <w:r w:rsidR="00556BC0" w:rsidRPr="00FD211F">
        <w:rPr>
          <w:sz w:val="36"/>
          <w:szCs w:val="36"/>
          <w:rtl/>
        </w:rPr>
        <w:t>فان الإنشاء هو كون الشخص بصدد إيجاد المعنى باللفظ في عالم الاعتبار العقلائي ل</w:t>
      </w:r>
      <w:r w:rsidR="009977FE" w:rsidRPr="00FD211F">
        <w:rPr>
          <w:sz w:val="36"/>
          <w:szCs w:val="36"/>
          <w:rtl/>
        </w:rPr>
        <w:t>و</w:t>
      </w:r>
      <w:r w:rsidR="008D7B3D" w:rsidRPr="00FD211F">
        <w:rPr>
          <w:sz w:val="36"/>
          <w:szCs w:val="36"/>
          <w:rtl/>
        </w:rPr>
        <w:t xml:space="preserve"> لم‌</w:t>
      </w:r>
      <w:r w:rsidR="00556BC0" w:rsidRPr="00FD211F">
        <w:rPr>
          <w:sz w:val="36"/>
          <w:szCs w:val="36"/>
          <w:rtl/>
        </w:rPr>
        <w:t>يكن موجودا سابقا</w:t>
      </w:r>
      <w:r w:rsidR="00603323" w:rsidRPr="00FD211F">
        <w:rPr>
          <w:sz w:val="36"/>
          <w:szCs w:val="36"/>
          <w:rtl/>
        </w:rPr>
        <w:t xml:space="preserve">، </w:t>
      </w:r>
      <w:r w:rsidR="00365257" w:rsidRPr="00FD211F">
        <w:rPr>
          <w:sz w:val="36"/>
          <w:szCs w:val="36"/>
          <w:rtl/>
        </w:rPr>
        <w:t xml:space="preserve">كماانه ليس ايجاد المعنى في عالم الاعتبار العقلائي بالفعل بل هو ايجاده ولو بنحو ايجاد </w:t>
      </w:r>
      <w:r w:rsidR="00556BC0" w:rsidRPr="00FD211F">
        <w:rPr>
          <w:sz w:val="36"/>
          <w:szCs w:val="36"/>
          <w:rtl/>
        </w:rPr>
        <w:t>مقتضي</w:t>
      </w:r>
      <w:r w:rsidR="00365257" w:rsidRPr="00FD211F">
        <w:rPr>
          <w:sz w:val="36"/>
          <w:szCs w:val="36"/>
          <w:rtl/>
        </w:rPr>
        <w:t>ه</w:t>
      </w:r>
      <w:r w:rsidR="00603323" w:rsidRPr="00FD211F">
        <w:rPr>
          <w:sz w:val="36"/>
          <w:szCs w:val="36"/>
          <w:rtl/>
        </w:rPr>
        <w:t xml:space="preserve">، </w:t>
      </w:r>
      <w:r w:rsidR="00556BC0" w:rsidRPr="00FD211F">
        <w:rPr>
          <w:sz w:val="36"/>
          <w:szCs w:val="36"/>
          <w:rtl/>
        </w:rPr>
        <w:t>فالبائع الفضولي قاصد لإيجاد الملكي</w:t>
      </w:r>
      <w:r w:rsidR="00EC7EDF" w:rsidRPr="00FD211F">
        <w:rPr>
          <w:sz w:val="36"/>
          <w:szCs w:val="36"/>
          <w:rtl/>
        </w:rPr>
        <w:t xml:space="preserve">ة </w:t>
      </w:r>
      <w:r w:rsidR="00556BC0" w:rsidRPr="00FD211F">
        <w:rPr>
          <w:sz w:val="36"/>
          <w:szCs w:val="36"/>
          <w:rtl/>
        </w:rPr>
        <w:t>العقلائي</w:t>
      </w:r>
      <w:r w:rsidR="00EC7EDF" w:rsidRPr="00FD211F">
        <w:rPr>
          <w:sz w:val="36"/>
          <w:szCs w:val="36"/>
          <w:rtl/>
        </w:rPr>
        <w:t xml:space="preserve">ة </w:t>
      </w:r>
      <w:r w:rsidR="00556BC0" w:rsidRPr="00FD211F">
        <w:rPr>
          <w:sz w:val="36"/>
          <w:szCs w:val="36"/>
          <w:rtl/>
        </w:rPr>
        <w:t>للمشتري</w:t>
      </w:r>
      <w:r w:rsidR="00603323" w:rsidRPr="00FD211F">
        <w:rPr>
          <w:sz w:val="36"/>
          <w:szCs w:val="36"/>
          <w:rtl/>
        </w:rPr>
        <w:t xml:space="preserve">، </w:t>
      </w:r>
      <w:r w:rsidR="00556BC0" w:rsidRPr="00FD211F">
        <w:rPr>
          <w:sz w:val="36"/>
          <w:szCs w:val="36"/>
          <w:rtl/>
        </w:rPr>
        <w:t>على تقدير لحوق الإجاز</w:t>
      </w:r>
      <w:r w:rsidR="00EC7EDF" w:rsidRPr="00FD211F">
        <w:rPr>
          <w:sz w:val="36"/>
          <w:szCs w:val="36"/>
          <w:rtl/>
        </w:rPr>
        <w:t>ة</w:t>
      </w:r>
      <w:r w:rsidR="00603323" w:rsidRPr="00FD211F">
        <w:rPr>
          <w:sz w:val="36"/>
          <w:szCs w:val="36"/>
          <w:rtl/>
        </w:rPr>
        <w:t xml:space="preserve">، </w:t>
      </w:r>
      <w:r w:rsidR="00556BC0" w:rsidRPr="00FD211F">
        <w:rPr>
          <w:sz w:val="36"/>
          <w:szCs w:val="36"/>
          <w:rtl/>
        </w:rPr>
        <w:t>والبائع الغاصب حينما يبيع لنفسه يكون بصدد ايجاد الملكي</w:t>
      </w:r>
      <w:r w:rsidR="00EC7EDF" w:rsidRPr="00FD211F">
        <w:rPr>
          <w:sz w:val="36"/>
          <w:szCs w:val="36"/>
          <w:rtl/>
        </w:rPr>
        <w:t xml:space="preserve">ة </w:t>
      </w:r>
      <w:r w:rsidR="00556BC0" w:rsidRPr="00FD211F">
        <w:rPr>
          <w:sz w:val="36"/>
          <w:szCs w:val="36"/>
          <w:rtl/>
        </w:rPr>
        <w:t>العقلائي</w:t>
      </w:r>
      <w:r w:rsidR="00EC7EDF" w:rsidRPr="00FD211F">
        <w:rPr>
          <w:sz w:val="36"/>
          <w:szCs w:val="36"/>
          <w:rtl/>
        </w:rPr>
        <w:t xml:space="preserve">ة </w:t>
      </w:r>
      <w:r w:rsidR="00365257" w:rsidRPr="00FD211F">
        <w:rPr>
          <w:sz w:val="36"/>
          <w:szCs w:val="36"/>
          <w:rtl/>
        </w:rPr>
        <w:t>أيضا ولو من باب انه يدعي كون</w:t>
      </w:r>
      <w:r w:rsidR="005B5BA2" w:rsidRPr="00FD211F">
        <w:rPr>
          <w:sz w:val="36"/>
          <w:szCs w:val="36"/>
          <w:rtl/>
        </w:rPr>
        <w:t>ه مالكا</w:t>
      </w:r>
      <w:r w:rsidR="003773F7" w:rsidRPr="00FD211F">
        <w:rPr>
          <w:sz w:val="36"/>
          <w:szCs w:val="36"/>
          <w:rtl/>
        </w:rPr>
        <w:t>.</w:t>
      </w:r>
      <w:r w:rsidR="00556BC0" w:rsidRPr="00FD211F">
        <w:rPr>
          <w:sz w:val="36"/>
          <w:szCs w:val="36"/>
          <w:rtl/>
        </w:rPr>
        <w:t xml:space="preserve"> </w:t>
      </w:r>
    </w:p>
    <w:p w14:paraId="09993E0D" w14:textId="77777777" w:rsidR="00556BC0" w:rsidRPr="00FD211F" w:rsidRDefault="00556BC0" w:rsidP="009C58C8">
      <w:pPr>
        <w:ind w:left="0" w:firstLine="227"/>
        <w:jc w:val="both"/>
        <w:rPr>
          <w:sz w:val="36"/>
          <w:szCs w:val="36"/>
          <w:rtl/>
        </w:rPr>
      </w:pPr>
      <w:r w:rsidRPr="00FD211F">
        <w:rPr>
          <w:sz w:val="36"/>
          <w:szCs w:val="36"/>
          <w:rtl/>
        </w:rPr>
        <w:t>وأما في جمل التمني والترجي والاستفهام فحيث انه مالم يستعملها المستعمل</w:t>
      </w:r>
      <w:r w:rsidR="008D7B3D" w:rsidRPr="00FD211F">
        <w:rPr>
          <w:sz w:val="36"/>
          <w:szCs w:val="36"/>
          <w:rtl/>
        </w:rPr>
        <w:t xml:space="preserve"> لم‌</w:t>
      </w:r>
      <w:r w:rsidRPr="00FD211F">
        <w:rPr>
          <w:sz w:val="36"/>
          <w:szCs w:val="36"/>
          <w:rtl/>
        </w:rPr>
        <w:t>يصدق في حقه انه تمنى او ترجي او استفهم</w:t>
      </w:r>
      <w:r w:rsidR="00603323" w:rsidRPr="00FD211F">
        <w:rPr>
          <w:sz w:val="36"/>
          <w:szCs w:val="36"/>
          <w:rtl/>
        </w:rPr>
        <w:t xml:space="preserve">، </w:t>
      </w:r>
      <w:r w:rsidRPr="00FD211F">
        <w:rPr>
          <w:sz w:val="36"/>
          <w:szCs w:val="36"/>
          <w:rtl/>
        </w:rPr>
        <w:t>فباستعمال هذه الجمل توجد معانيها في عالم الاعتبار العقلائي</w:t>
      </w:r>
      <w:r w:rsidR="00603323" w:rsidRPr="00FD211F">
        <w:rPr>
          <w:sz w:val="36"/>
          <w:szCs w:val="36"/>
          <w:rtl/>
        </w:rPr>
        <w:t xml:space="preserve">، </w:t>
      </w:r>
      <w:r w:rsidRPr="00FD211F">
        <w:rPr>
          <w:sz w:val="36"/>
          <w:szCs w:val="36"/>
          <w:rtl/>
        </w:rPr>
        <w:t>وشاهده انه يقال بالفارسي</w:t>
      </w:r>
      <w:r w:rsidR="00EC7EDF" w:rsidRPr="00FD211F">
        <w:rPr>
          <w:sz w:val="36"/>
          <w:szCs w:val="36"/>
          <w:rtl/>
        </w:rPr>
        <w:t xml:space="preserve">ة </w:t>
      </w:r>
      <w:r w:rsidRPr="00FD211F">
        <w:rPr>
          <w:sz w:val="36"/>
          <w:szCs w:val="36"/>
          <w:rtl/>
        </w:rPr>
        <w:t>"آرزو كرد" فلو اريد منه الحال</w:t>
      </w:r>
      <w:r w:rsidR="00EC7EDF" w:rsidRPr="00FD211F">
        <w:rPr>
          <w:sz w:val="36"/>
          <w:szCs w:val="36"/>
          <w:rtl/>
        </w:rPr>
        <w:t xml:space="preserve">ة </w:t>
      </w:r>
      <w:r w:rsidRPr="00FD211F">
        <w:rPr>
          <w:sz w:val="36"/>
          <w:szCs w:val="36"/>
          <w:rtl/>
        </w:rPr>
        <w:t>النفساني</w:t>
      </w:r>
      <w:r w:rsidR="00EC7EDF" w:rsidRPr="00FD211F">
        <w:rPr>
          <w:sz w:val="36"/>
          <w:szCs w:val="36"/>
          <w:rtl/>
        </w:rPr>
        <w:t xml:space="preserve">ة </w:t>
      </w:r>
      <w:r w:rsidRPr="00FD211F">
        <w:rPr>
          <w:sz w:val="36"/>
          <w:szCs w:val="36"/>
          <w:rtl/>
        </w:rPr>
        <w:t>لكان ال</w:t>
      </w:r>
      <w:r w:rsidR="00365257" w:rsidRPr="00FD211F">
        <w:rPr>
          <w:sz w:val="36"/>
          <w:szCs w:val="36"/>
          <w:rtl/>
        </w:rPr>
        <w:t>أنسب ان يقال "آرزو شد"</w:t>
      </w:r>
      <w:r w:rsidR="00603323" w:rsidRPr="00FD211F">
        <w:rPr>
          <w:sz w:val="36"/>
          <w:szCs w:val="36"/>
          <w:rtl/>
        </w:rPr>
        <w:t xml:space="preserve">، </w:t>
      </w:r>
      <w:r w:rsidR="00365257" w:rsidRPr="00FD211F">
        <w:rPr>
          <w:sz w:val="36"/>
          <w:szCs w:val="36"/>
          <w:rtl/>
        </w:rPr>
        <w:t>حيث أن الحال</w:t>
      </w:r>
      <w:r w:rsidR="00EC7EDF" w:rsidRPr="00FD211F">
        <w:rPr>
          <w:sz w:val="36"/>
          <w:szCs w:val="36"/>
          <w:rtl/>
        </w:rPr>
        <w:t xml:space="preserve">ة </w:t>
      </w:r>
      <w:r w:rsidR="00365257" w:rsidRPr="00FD211F">
        <w:rPr>
          <w:sz w:val="36"/>
          <w:szCs w:val="36"/>
          <w:rtl/>
        </w:rPr>
        <w:t>النفساني</w:t>
      </w:r>
      <w:r w:rsidR="00EC7EDF" w:rsidRPr="00FD211F">
        <w:rPr>
          <w:sz w:val="36"/>
          <w:szCs w:val="36"/>
          <w:rtl/>
        </w:rPr>
        <w:t xml:space="preserve">ة </w:t>
      </w:r>
      <w:r w:rsidR="00365257" w:rsidRPr="00FD211F">
        <w:rPr>
          <w:sz w:val="36"/>
          <w:szCs w:val="36"/>
          <w:rtl/>
        </w:rPr>
        <w:t>حلولي</w:t>
      </w:r>
      <w:r w:rsidR="00EC7EDF" w:rsidRPr="00FD211F">
        <w:rPr>
          <w:sz w:val="36"/>
          <w:szCs w:val="36"/>
          <w:rtl/>
        </w:rPr>
        <w:t xml:space="preserve">ة </w:t>
      </w:r>
      <w:r w:rsidR="00365257" w:rsidRPr="00FD211F">
        <w:rPr>
          <w:sz w:val="36"/>
          <w:szCs w:val="36"/>
          <w:rtl/>
        </w:rPr>
        <w:t>لاصدوري</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Pr="00FD211F">
        <w:rPr>
          <w:sz w:val="36"/>
          <w:szCs w:val="36"/>
          <w:rtl/>
        </w:rPr>
        <w:t>من ناحي</w:t>
      </w:r>
      <w:r w:rsidR="00EC7EDF" w:rsidRPr="00FD211F">
        <w:rPr>
          <w:sz w:val="36"/>
          <w:szCs w:val="36"/>
          <w:rtl/>
        </w:rPr>
        <w:t xml:space="preserve">ة </w:t>
      </w:r>
      <w:r w:rsidRPr="00FD211F">
        <w:rPr>
          <w:sz w:val="36"/>
          <w:szCs w:val="36"/>
          <w:rtl/>
        </w:rPr>
        <w:t>أخرى لاريب في اطلاق عنو</w:t>
      </w:r>
      <w:r w:rsidR="005B5BA2" w:rsidRPr="00FD211F">
        <w:rPr>
          <w:sz w:val="36"/>
          <w:szCs w:val="36"/>
          <w:rtl/>
        </w:rPr>
        <w:t>ان التمني على نفس الكلام الصادر</w:t>
      </w:r>
      <w:r w:rsidRPr="00FD211F">
        <w:rPr>
          <w:sz w:val="36"/>
          <w:szCs w:val="36"/>
          <w:rtl/>
        </w:rPr>
        <w:t xml:space="preserve"> فبناء على ما ذكرنا يكون ذلك من قبيل اطلاق اسم المسبب على سببه</w:t>
      </w:r>
      <w:r w:rsidR="00603323" w:rsidRPr="00FD211F">
        <w:rPr>
          <w:sz w:val="36"/>
          <w:szCs w:val="36"/>
          <w:rtl/>
        </w:rPr>
        <w:t xml:space="preserve">، </w:t>
      </w:r>
      <w:r w:rsidRPr="00FD211F">
        <w:rPr>
          <w:sz w:val="36"/>
          <w:szCs w:val="36"/>
          <w:rtl/>
        </w:rPr>
        <w:t>وهذا امر متعارف</w:t>
      </w:r>
      <w:r w:rsidR="00603323" w:rsidRPr="00FD211F">
        <w:rPr>
          <w:sz w:val="36"/>
          <w:szCs w:val="36"/>
          <w:rtl/>
        </w:rPr>
        <w:t xml:space="preserve">، </w:t>
      </w:r>
      <w:r w:rsidRPr="00FD211F">
        <w:rPr>
          <w:sz w:val="36"/>
          <w:szCs w:val="36"/>
          <w:rtl/>
        </w:rPr>
        <w:t>وأما بناء على كونه امرا نفسانيا وانما تكشف عنه جمل</w:t>
      </w:r>
      <w:r w:rsidR="00EC7EDF" w:rsidRPr="00FD211F">
        <w:rPr>
          <w:sz w:val="36"/>
          <w:szCs w:val="36"/>
          <w:rtl/>
        </w:rPr>
        <w:t xml:space="preserve">ة </w:t>
      </w:r>
      <w:r w:rsidRPr="00FD211F">
        <w:rPr>
          <w:sz w:val="36"/>
          <w:szCs w:val="36"/>
          <w:rtl/>
        </w:rPr>
        <w:t>التمني فيكون اطلاق عنوان التمني على نفس الكلام من باب اطلاق اسم المنكشف على الكاشف</w:t>
      </w:r>
      <w:r w:rsidR="00603323" w:rsidRPr="00FD211F">
        <w:rPr>
          <w:sz w:val="36"/>
          <w:szCs w:val="36"/>
          <w:rtl/>
        </w:rPr>
        <w:t xml:space="preserve">، </w:t>
      </w:r>
      <w:r w:rsidRPr="00FD211F">
        <w:rPr>
          <w:sz w:val="36"/>
          <w:szCs w:val="36"/>
          <w:rtl/>
        </w:rPr>
        <w:t>وهو غير معهود</w:t>
      </w:r>
      <w:r w:rsidR="00603323" w:rsidRPr="00FD211F">
        <w:rPr>
          <w:sz w:val="36"/>
          <w:szCs w:val="36"/>
          <w:rtl/>
        </w:rPr>
        <w:t xml:space="preserve">، </w:t>
      </w:r>
      <w:r w:rsidRPr="00FD211F">
        <w:rPr>
          <w:sz w:val="36"/>
          <w:szCs w:val="36"/>
          <w:rtl/>
        </w:rPr>
        <w:t>ولذا لايطلق اسم احد المتلازمين على الآخر مع كون كل منهما كاشفا بوجوده عن الآخر.</w:t>
      </w:r>
    </w:p>
    <w:p w14:paraId="56EE3D22" w14:textId="77777777" w:rsidR="00556BC0" w:rsidRPr="00FD211F" w:rsidRDefault="00F869BF" w:rsidP="009C58C8">
      <w:pPr>
        <w:ind w:left="0" w:firstLine="227"/>
        <w:jc w:val="both"/>
        <w:rPr>
          <w:sz w:val="36"/>
          <w:szCs w:val="36"/>
          <w:rtl/>
        </w:rPr>
      </w:pPr>
      <w:r w:rsidRPr="00FD211F">
        <w:rPr>
          <w:sz w:val="36"/>
          <w:szCs w:val="36"/>
          <w:rtl/>
        </w:rPr>
        <w:t>و</w:t>
      </w:r>
      <w:r w:rsidR="00556BC0" w:rsidRPr="00FD211F">
        <w:rPr>
          <w:sz w:val="36"/>
          <w:szCs w:val="36"/>
          <w:rtl/>
        </w:rPr>
        <w:t xml:space="preserve">قد اورد </w:t>
      </w:r>
      <w:r w:rsidR="005B5BA2" w:rsidRPr="00FD211F">
        <w:rPr>
          <w:sz w:val="36"/>
          <w:szCs w:val="36"/>
          <w:rtl/>
        </w:rPr>
        <w:t>"</w:t>
      </w:r>
      <w:r w:rsidR="00556BC0" w:rsidRPr="00FD211F">
        <w:rPr>
          <w:sz w:val="36"/>
          <w:szCs w:val="36"/>
          <w:rtl/>
        </w:rPr>
        <w:t>قده</w:t>
      </w:r>
      <w:r w:rsidR="005B5BA2" w:rsidRPr="00FD211F">
        <w:rPr>
          <w:sz w:val="36"/>
          <w:szCs w:val="36"/>
          <w:rtl/>
        </w:rPr>
        <w:t>"</w:t>
      </w:r>
      <w:r w:rsidR="00934CA1" w:rsidRPr="00FD211F">
        <w:rPr>
          <w:sz w:val="36"/>
          <w:szCs w:val="36"/>
          <w:rtl/>
        </w:rPr>
        <w:t xml:space="preserve"> على</w:t>
      </w:r>
      <w:r w:rsidR="00556BC0" w:rsidRPr="00FD211F">
        <w:rPr>
          <w:sz w:val="36"/>
          <w:szCs w:val="36"/>
          <w:rtl/>
        </w:rPr>
        <w:t xml:space="preserve"> كون حقيق</w:t>
      </w:r>
      <w:r w:rsidR="00EC7EDF" w:rsidRPr="00FD211F">
        <w:rPr>
          <w:sz w:val="36"/>
          <w:szCs w:val="36"/>
          <w:rtl/>
        </w:rPr>
        <w:t xml:space="preserve">ة </w:t>
      </w:r>
      <w:r w:rsidR="00556BC0" w:rsidRPr="00FD211F">
        <w:rPr>
          <w:sz w:val="36"/>
          <w:szCs w:val="36"/>
          <w:rtl/>
        </w:rPr>
        <w:t>الإنشاء في العقود والإيقاعات هو الاعتبار والإبراز وان الإ</w:t>
      </w:r>
      <w:r w:rsidR="00934CA1" w:rsidRPr="00FD211F">
        <w:rPr>
          <w:sz w:val="36"/>
          <w:szCs w:val="36"/>
          <w:rtl/>
        </w:rPr>
        <w:t>براز مجرد كاشف عن اعتبار نفساني</w:t>
      </w:r>
      <w:r w:rsidR="00556BC0" w:rsidRPr="00FD211F">
        <w:rPr>
          <w:sz w:val="36"/>
          <w:szCs w:val="36"/>
          <w:rtl/>
        </w:rPr>
        <w:t xml:space="preserve"> عد</w:t>
      </w:r>
      <w:r w:rsidR="00EC7EDF" w:rsidRPr="00FD211F">
        <w:rPr>
          <w:sz w:val="36"/>
          <w:szCs w:val="36"/>
          <w:rtl/>
        </w:rPr>
        <w:t xml:space="preserve">ة </w:t>
      </w:r>
      <w:r w:rsidR="00556BC0" w:rsidRPr="00FD211F">
        <w:rPr>
          <w:sz w:val="36"/>
          <w:szCs w:val="36"/>
          <w:rtl/>
        </w:rPr>
        <w:t>ايرادات:</w:t>
      </w:r>
    </w:p>
    <w:p w14:paraId="0CAC14FA" w14:textId="77777777" w:rsidR="00556BC0" w:rsidRPr="00FD211F" w:rsidRDefault="00F869BF" w:rsidP="009C58C8">
      <w:pPr>
        <w:ind w:left="0" w:firstLine="227"/>
        <w:jc w:val="both"/>
        <w:rPr>
          <w:sz w:val="36"/>
          <w:szCs w:val="36"/>
          <w:rtl/>
        </w:rPr>
      </w:pPr>
      <w:r w:rsidRPr="00FD211F">
        <w:rPr>
          <w:sz w:val="36"/>
          <w:szCs w:val="36"/>
          <w:rtl/>
        </w:rPr>
        <w:t>1-</w:t>
      </w:r>
      <w:r w:rsidR="00556BC0" w:rsidRPr="00FD211F">
        <w:rPr>
          <w:sz w:val="36"/>
          <w:szCs w:val="36"/>
          <w:rtl/>
        </w:rPr>
        <w:t xml:space="preserve"> انه بعد كفاي</w:t>
      </w:r>
      <w:r w:rsidR="00EC7EDF" w:rsidRPr="00FD211F">
        <w:rPr>
          <w:sz w:val="36"/>
          <w:szCs w:val="36"/>
          <w:rtl/>
        </w:rPr>
        <w:t xml:space="preserve">ة </w:t>
      </w:r>
      <w:r w:rsidR="00556BC0" w:rsidRPr="00FD211F">
        <w:rPr>
          <w:sz w:val="36"/>
          <w:szCs w:val="36"/>
          <w:rtl/>
        </w:rPr>
        <w:t>قصد ايجاد الملكي</w:t>
      </w:r>
      <w:r w:rsidR="00EC7EDF" w:rsidRPr="00FD211F">
        <w:rPr>
          <w:sz w:val="36"/>
          <w:szCs w:val="36"/>
          <w:rtl/>
        </w:rPr>
        <w:t xml:space="preserve">ة </w:t>
      </w:r>
      <w:r w:rsidR="00556BC0" w:rsidRPr="00FD211F">
        <w:rPr>
          <w:sz w:val="36"/>
          <w:szCs w:val="36"/>
          <w:rtl/>
        </w:rPr>
        <w:t>العقلائي</w:t>
      </w:r>
      <w:r w:rsidR="00EC7EDF" w:rsidRPr="00FD211F">
        <w:rPr>
          <w:sz w:val="36"/>
          <w:szCs w:val="36"/>
          <w:rtl/>
        </w:rPr>
        <w:t xml:space="preserve">ة </w:t>
      </w:r>
      <w:r w:rsidR="00556BC0" w:rsidRPr="00FD211F">
        <w:rPr>
          <w:sz w:val="36"/>
          <w:szCs w:val="36"/>
          <w:rtl/>
        </w:rPr>
        <w:t>مثلا باللفظ فيلغو الاعتبار الشخصي للملكي</w:t>
      </w:r>
      <w:r w:rsidR="00EC7EDF" w:rsidRPr="00FD211F">
        <w:rPr>
          <w:sz w:val="36"/>
          <w:szCs w:val="36"/>
          <w:rtl/>
        </w:rPr>
        <w:t>ة</w:t>
      </w:r>
      <w:r w:rsidR="00603323" w:rsidRPr="00FD211F">
        <w:rPr>
          <w:sz w:val="36"/>
          <w:szCs w:val="36"/>
          <w:rtl/>
        </w:rPr>
        <w:t xml:space="preserve">، </w:t>
      </w:r>
      <w:r w:rsidR="00556BC0" w:rsidRPr="00FD211F">
        <w:rPr>
          <w:sz w:val="36"/>
          <w:szCs w:val="36"/>
          <w:rtl/>
        </w:rPr>
        <w:t>فالجمل</w:t>
      </w:r>
      <w:r w:rsidR="00EC7EDF" w:rsidRPr="00FD211F">
        <w:rPr>
          <w:sz w:val="36"/>
          <w:szCs w:val="36"/>
          <w:rtl/>
        </w:rPr>
        <w:t xml:space="preserve">ة </w:t>
      </w:r>
      <w:r w:rsidR="00556BC0" w:rsidRPr="00FD211F">
        <w:rPr>
          <w:sz w:val="36"/>
          <w:szCs w:val="36"/>
          <w:rtl/>
        </w:rPr>
        <w:t>الإنشائي</w:t>
      </w:r>
      <w:r w:rsidR="00EC7EDF" w:rsidRPr="00FD211F">
        <w:rPr>
          <w:sz w:val="36"/>
          <w:szCs w:val="36"/>
          <w:rtl/>
        </w:rPr>
        <w:t xml:space="preserve">ة </w:t>
      </w:r>
      <w:r w:rsidR="00556BC0" w:rsidRPr="00FD211F">
        <w:rPr>
          <w:sz w:val="36"/>
          <w:szCs w:val="36"/>
          <w:rtl/>
        </w:rPr>
        <w:t>في قولنا</w:t>
      </w:r>
      <w:r w:rsidR="00934CA1" w:rsidRPr="00FD211F">
        <w:rPr>
          <w:sz w:val="36"/>
          <w:szCs w:val="36"/>
          <w:rtl/>
        </w:rPr>
        <w:t>"</w:t>
      </w:r>
      <w:r w:rsidR="00556BC0" w:rsidRPr="00FD211F">
        <w:rPr>
          <w:sz w:val="36"/>
          <w:szCs w:val="36"/>
          <w:rtl/>
        </w:rPr>
        <w:t xml:space="preserve"> بعت</w:t>
      </w:r>
      <w:r w:rsidR="00934CA1" w:rsidRPr="00FD211F">
        <w:rPr>
          <w:sz w:val="36"/>
          <w:szCs w:val="36"/>
          <w:rtl/>
        </w:rPr>
        <w:t>"</w:t>
      </w:r>
      <w:r w:rsidR="00556BC0" w:rsidRPr="00FD211F">
        <w:rPr>
          <w:sz w:val="36"/>
          <w:szCs w:val="36"/>
          <w:rtl/>
        </w:rPr>
        <w:t xml:space="preserve"> تكون مستعمل</w:t>
      </w:r>
      <w:r w:rsidR="00EC7EDF" w:rsidRPr="00FD211F">
        <w:rPr>
          <w:sz w:val="36"/>
          <w:szCs w:val="36"/>
          <w:rtl/>
        </w:rPr>
        <w:t xml:space="preserve">ة </w:t>
      </w:r>
      <w:r w:rsidR="00556BC0" w:rsidRPr="00FD211F">
        <w:rPr>
          <w:sz w:val="36"/>
          <w:szCs w:val="36"/>
          <w:rtl/>
        </w:rPr>
        <w:t>في نفس قصد ايجاد الملكي</w:t>
      </w:r>
      <w:r w:rsidR="00EC7EDF" w:rsidRPr="00FD211F">
        <w:rPr>
          <w:sz w:val="36"/>
          <w:szCs w:val="36"/>
          <w:rtl/>
        </w:rPr>
        <w:t xml:space="preserve">ة </w:t>
      </w:r>
      <w:r w:rsidR="00556BC0" w:rsidRPr="00FD211F">
        <w:rPr>
          <w:sz w:val="36"/>
          <w:szCs w:val="36"/>
          <w:rtl/>
        </w:rPr>
        <w:t>العقلائي</w:t>
      </w:r>
      <w:r w:rsidR="00EC7EDF" w:rsidRPr="00FD211F">
        <w:rPr>
          <w:sz w:val="36"/>
          <w:szCs w:val="36"/>
          <w:rtl/>
        </w:rPr>
        <w:t>ة</w:t>
      </w:r>
      <w:r w:rsidR="00603323" w:rsidRPr="00FD211F">
        <w:rPr>
          <w:sz w:val="36"/>
          <w:szCs w:val="36"/>
          <w:rtl/>
        </w:rPr>
        <w:t xml:space="preserve">، </w:t>
      </w:r>
      <w:r w:rsidR="00556BC0" w:rsidRPr="00FD211F">
        <w:rPr>
          <w:sz w:val="36"/>
          <w:szCs w:val="36"/>
          <w:rtl/>
        </w:rPr>
        <w:t>ويشهد على ذلك انه لايرى البائع كون المشتري مالكا مالم يترتب على إنشائه الملكي</w:t>
      </w:r>
      <w:r w:rsidR="00EC7EDF" w:rsidRPr="00FD211F">
        <w:rPr>
          <w:sz w:val="36"/>
          <w:szCs w:val="36"/>
          <w:rtl/>
        </w:rPr>
        <w:t xml:space="preserve">ة </w:t>
      </w:r>
      <w:r w:rsidR="00556BC0" w:rsidRPr="00FD211F">
        <w:rPr>
          <w:sz w:val="36"/>
          <w:szCs w:val="36"/>
          <w:rtl/>
        </w:rPr>
        <w:t>في عالم الاعتبار العقلائي.</w:t>
      </w:r>
    </w:p>
    <w:p w14:paraId="40AD6335" w14:textId="77777777" w:rsidR="000C5BBA" w:rsidRPr="00FD211F" w:rsidRDefault="00F869BF" w:rsidP="009C58C8">
      <w:pPr>
        <w:ind w:left="0" w:firstLine="227"/>
        <w:jc w:val="both"/>
        <w:rPr>
          <w:sz w:val="36"/>
          <w:szCs w:val="36"/>
          <w:rtl/>
        </w:rPr>
      </w:pPr>
      <w:r w:rsidRPr="00FD211F">
        <w:rPr>
          <w:sz w:val="36"/>
          <w:szCs w:val="36"/>
          <w:rtl/>
        </w:rPr>
        <w:t>2-</w:t>
      </w:r>
      <w:r w:rsidR="00556BC0" w:rsidRPr="00FD211F">
        <w:rPr>
          <w:sz w:val="36"/>
          <w:szCs w:val="36"/>
          <w:rtl/>
        </w:rPr>
        <w:t>النقض بمثل ما لو قال المالك بعد علمه ببيع الفضولي لماله "أنفذت هذا البيع" فان الإنفاذ هو جعل العقد سببا لتحقق أثر الملكي</w:t>
      </w:r>
      <w:r w:rsidR="00EC7EDF" w:rsidRPr="00FD211F">
        <w:rPr>
          <w:sz w:val="36"/>
          <w:szCs w:val="36"/>
          <w:rtl/>
        </w:rPr>
        <w:t>ة</w:t>
      </w:r>
      <w:r w:rsidR="00603323" w:rsidRPr="00FD211F">
        <w:rPr>
          <w:sz w:val="36"/>
          <w:szCs w:val="36"/>
          <w:rtl/>
        </w:rPr>
        <w:t xml:space="preserve">، </w:t>
      </w:r>
      <w:r w:rsidR="00556BC0" w:rsidRPr="00FD211F">
        <w:rPr>
          <w:sz w:val="36"/>
          <w:szCs w:val="36"/>
          <w:rtl/>
        </w:rPr>
        <w:t>وهذا غير قابل للاعتبار</w:t>
      </w:r>
      <w:r w:rsidR="00603323" w:rsidRPr="00FD211F">
        <w:rPr>
          <w:sz w:val="36"/>
          <w:szCs w:val="36"/>
          <w:rtl/>
        </w:rPr>
        <w:t xml:space="preserve">، </w:t>
      </w:r>
      <w:r w:rsidR="00556BC0" w:rsidRPr="00FD211F">
        <w:rPr>
          <w:sz w:val="36"/>
          <w:szCs w:val="36"/>
          <w:rtl/>
        </w:rPr>
        <w:t>بل هو منتزع عن تحقق المسبب عند وجود سببه</w:t>
      </w:r>
      <w:r w:rsidR="00603323" w:rsidRPr="00FD211F">
        <w:rPr>
          <w:sz w:val="36"/>
          <w:szCs w:val="36"/>
          <w:rtl/>
        </w:rPr>
        <w:t xml:space="preserve">، </w:t>
      </w:r>
      <w:r w:rsidR="00556BC0" w:rsidRPr="00FD211F">
        <w:rPr>
          <w:sz w:val="36"/>
          <w:szCs w:val="36"/>
          <w:rtl/>
        </w:rPr>
        <w:t>نعم لو قال</w:t>
      </w:r>
      <w:r w:rsidR="00330FB0" w:rsidRPr="00FD211F">
        <w:rPr>
          <w:sz w:val="36"/>
          <w:szCs w:val="36"/>
          <w:rtl/>
        </w:rPr>
        <w:t>"</w:t>
      </w:r>
      <w:r w:rsidR="00556BC0" w:rsidRPr="00FD211F">
        <w:rPr>
          <w:sz w:val="36"/>
          <w:szCs w:val="36"/>
          <w:rtl/>
        </w:rPr>
        <w:t xml:space="preserve"> قبلت البيع</w:t>
      </w:r>
      <w:r w:rsidR="00330FB0" w:rsidRPr="00FD211F">
        <w:rPr>
          <w:sz w:val="36"/>
          <w:szCs w:val="36"/>
          <w:rtl/>
        </w:rPr>
        <w:t>"</w:t>
      </w:r>
      <w:r w:rsidR="00556BC0" w:rsidRPr="00FD211F">
        <w:rPr>
          <w:sz w:val="36"/>
          <w:szCs w:val="36"/>
          <w:rtl/>
        </w:rPr>
        <w:t xml:space="preserve"> امكن</w:t>
      </w:r>
      <w:r w:rsidR="00330FB0" w:rsidRPr="00FD211F">
        <w:rPr>
          <w:sz w:val="36"/>
          <w:szCs w:val="36"/>
          <w:rtl/>
        </w:rPr>
        <w:t xml:space="preserve"> ان يكون معناه الاعتبار المماثل.</w:t>
      </w:r>
    </w:p>
    <w:p w14:paraId="56C3BE6C" w14:textId="77777777" w:rsidR="000C5BBA" w:rsidRPr="00FD211F" w:rsidRDefault="00556BC0" w:rsidP="009C58C8">
      <w:pPr>
        <w:ind w:left="0" w:firstLine="227"/>
        <w:jc w:val="both"/>
        <w:rPr>
          <w:sz w:val="36"/>
          <w:szCs w:val="36"/>
          <w:rtl/>
        </w:rPr>
      </w:pPr>
      <w:r w:rsidRPr="00FD211F">
        <w:rPr>
          <w:sz w:val="36"/>
          <w:szCs w:val="36"/>
          <w:rtl/>
        </w:rPr>
        <w:t>وكذا يرد النقض بما لو قال شخص في مقام الإنشاء: اعتبرت ملكي</w:t>
      </w:r>
      <w:r w:rsidR="00EC7EDF" w:rsidRPr="00FD211F">
        <w:rPr>
          <w:sz w:val="36"/>
          <w:szCs w:val="36"/>
          <w:rtl/>
        </w:rPr>
        <w:t xml:space="preserve">ة </w:t>
      </w:r>
      <w:r w:rsidRPr="00FD211F">
        <w:rPr>
          <w:sz w:val="36"/>
          <w:szCs w:val="36"/>
          <w:rtl/>
        </w:rPr>
        <w:t>زيد لداري</w:t>
      </w:r>
      <w:r w:rsidR="00603323" w:rsidRPr="00FD211F">
        <w:rPr>
          <w:sz w:val="36"/>
          <w:szCs w:val="36"/>
          <w:rtl/>
        </w:rPr>
        <w:t xml:space="preserve">، </w:t>
      </w:r>
      <w:r w:rsidRPr="00FD211F">
        <w:rPr>
          <w:sz w:val="36"/>
          <w:szCs w:val="36"/>
          <w:rtl/>
        </w:rPr>
        <w:t>او قال: أتمنى قيام زيد</w:t>
      </w:r>
      <w:r w:rsidR="00603323" w:rsidRPr="00FD211F">
        <w:rPr>
          <w:sz w:val="36"/>
          <w:szCs w:val="36"/>
          <w:rtl/>
        </w:rPr>
        <w:t xml:space="preserve">، </w:t>
      </w:r>
      <w:r w:rsidRPr="00FD211F">
        <w:rPr>
          <w:sz w:val="36"/>
          <w:szCs w:val="36"/>
          <w:rtl/>
        </w:rPr>
        <w:t xml:space="preserve">فعلى ما ذكره السيد الخوئي </w:t>
      </w:r>
      <w:r w:rsidR="004211C4" w:rsidRPr="00FD211F">
        <w:rPr>
          <w:sz w:val="36"/>
          <w:szCs w:val="36"/>
          <w:rtl/>
        </w:rPr>
        <w:t>"</w:t>
      </w:r>
      <w:r w:rsidRPr="00FD211F">
        <w:rPr>
          <w:sz w:val="36"/>
          <w:szCs w:val="36"/>
          <w:rtl/>
        </w:rPr>
        <w:t>قده</w:t>
      </w:r>
      <w:r w:rsidR="004211C4" w:rsidRPr="00FD211F">
        <w:rPr>
          <w:sz w:val="36"/>
          <w:szCs w:val="36"/>
          <w:rtl/>
        </w:rPr>
        <w:t>"</w:t>
      </w:r>
      <w:r w:rsidRPr="00FD211F">
        <w:rPr>
          <w:sz w:val="36"/>
          <w:szCs w:val="36"/>
          <w:rtl/>
        </w:rPr>
        <w:t xml:space="preserve"> من كون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دال</w:t>
      </w:r>
      <w:r w:rsidR="00EC7EDF" w:rsidRPr="00FD211F">
        <w:rPr>
          <w:sz w:val="36"/>
          <w:szCs w:val="36"/>
          <w:rtl/>
        </w:rPr>
        <w:t xml:space="preserve">ة </w:t>
      </w:r>
      <w:r w:rsidRPr="00FD211F">
        <w:rPr>
          <w:sz w:val="36"/>
          <w:szCs w:val="36"/>
          <w:rtl/>
        </w:rPr>
        <w:t>على واقع الأمر النفساني</w:t>
      </w:r>
      <w:r w:rsidR="00603323" w:rsidRPr="00FD211F">
        <w:rPr>
          <w:sz w:val="36"/>
          <w:szCs w:val="36"/>
          <w:rtl/>
        </w:rPr>
        <w:t xml:space="preserve">، </w:t>
      </w:r>
      <w:r w:rsidRPr="00FD211F">
        <w:rPr>
          <w:sz w:val="36"/>
          <w:szCs w:val="36"/>
          <w:rtl/>
        </w:rPr>
        <w:t>فيكون معناهما إبراز اعتبار الملكي</w:t>
      </w:r>
      <w:r w:rsidR="00EC7EDF" w:rsidRPr="00FD211F">
        <w:rPr>
          <w:sz w:val="36"/>
          <w:szCs w:val="36"/>
          <w:rtl/>
        </w:rPr>
        <w:t xml:space="preserve">ة </w:t>
      </w:r>
      <w:r w:rsidR="00330FB0" w:rsidRPr="00FD211F">
        <w:rPr>
          <w:sz w:val="36"/>
          <w:szCs w:val="36"/>
          <w:rtl/>
        </w:rPr>
        <w:t>او ابراز تمني قيام زيد.</w:t>
      </w:r>
    </w:p>
    <w:p w14:paraId="2E6D0ABB" w14:textId="77777777" w:rsidR="00556BC0" w:rsidRPr="00FD211F" w:rsidRDefault="00556BC0" w:rsidP="009C58C8">
      <w:pPr>
        <w:ind w:left="0" w:firstLine="227"/>
        <w:jc w:val="both"/>
        <w:rPr>
          <w:sz w:val="36"/>
          <w:szCs w:val="36"/>
          <w:rtl/>
        </w:rPr>
      </w:pPr>
      <w:r w:rsidRPr="00FD211F">
        <w:rPr>
          <w:sz w:val="36"/>
          <w:szCs w:val="36"/>
          <w:rtl/>
        </w:rPr>
        <w:t>وكذا يرد عليه النقض بمثل</w:t>
      </w:r>
      <w:r w:rsidR="007D18CD" w:rsidRPr="00FD211F">
        <w:rPr>
          <w:sz w:val="36"/>
          <w:szCs w:val="36"/>
          <w:rtl/>
        </w:rPr>
        <w:t>"</w:t>
      </w:r>
      <w:r w:rsidRPr="00FD211F">
        <w:rPr>
          <w:sz w:val="36"/>
          <w:szCs w:val="36"/>
          <w:rtl/>
        </w:rPr>
        <w:t xml:space="preserve"> بعت</w:t>
      </w:r>
      <w:r w:rsidR="007D18CD" w:rsidRPr="00FD211F">
        <w:rPr>
          <w:sz w:val="36"/>
          <w:szCs w:val="36"/>
          <w:rtl/>
        </w:rPr>
        <w:t>"</w:t>
      </w:r>
      <w:r w:rsidRPr="00FD211F">
        <w:rPr>
          <w:sz w:val="36"/>
          <w:szCs w:val="36"/>
          <w:rtl/>
        </w:rPr>
        <w:t xml:space="preserve"> فانه ليس البيع الا الإيجاد الاعتباري للملكي</w:t>
      </w:r>
      <w:r w:rsidR="00EC7EDF" w:rsidRPr="00FD211F">
        <w:rPr>
          <w:sz w:val="36"/>
          <w:szCs w:val="36"/>
          <w:rtl/>
        </w:rPr>
        <w:t>ة</w:t>
      </w:r>
      <w:r w:rsidR="00603323" w:rsidRPr="00FD211F">
        <w:rPr>
          <w:sz w:val="36"/>
          <w:szCs w:val="36"/>
          <w:rtl/>
        </w:rPr>
        <w:t xml:space="preserve">، </w:t>
      </w:r>
      <w:r w:rsidRPr="00FD211F">
        <w:rPr>
          <w:sz w:val="36"/>
          <w:szCs w:val="36"/>
          <w:rtl/>
        </w:rPr>
        <w:t>فعلى تفسيره يكون البيع هو اعتبارالملكي</w:t>
      </w:r>
      <w:r w:rsidR="00EC7EDF" w:rsidRPr="00FD211F">
        <w:rPr>
          <w:sz w:val="36"/>
          <w:szCs w:val="36"/>
          <w:rtl/>
        </w:rPr>
        <w:t>ة</w:t>
      </w:r>
      <w:r w:rsidR="00603323" w:rsidRPr="00FD211F">
        <w:rPr>
          <w:sz w:val="36"/>
          <w:szCs w:val="36"/>
          <w:rtl/>
        </w:rPr>
        <w:t xml:space="preserve">، </w:t>
      </w:r>
      <w:r w:rsidRPr="00FD211F">
        <w:rPr>
          <w:sz w:val="36"/>
          <w:szCs w:val="36"/>
          <w:rtl/>
        </w:rPr>
        <w:t>والاعتبار ليس قابلا للاعتبار.</w:t>
      </w:r>
    </w:p>
    <w:p w14:paraId="28416514" w14:textId="77777777" w:rsidR="00556BC0" w:rsidRPr="00FD211F" w:rsidRDefault="00F869BF" w:rsidP="009C58C8">
      <w:pPr>
        <w:ind w:left="0" w:firstLine="227"/>
        <w:jc w:val="both"/>
        <w:rPr>
          <w:sz w:val="36"/>
          <w:szCs w:val="36"/>
          <w:rtl/>
        </w:rPr>
      </w:pPr>
      <w:r w:rsidRPr="00FD211F">
        <w:rPr>
          <w:sz w:val="36"/>
          <w:szCs w:val="36"/>
          <w:rtl/>
        </w:rPr>
        <w:t>3-</w:t>
      </w:r>
      <w:r w:rsidR="00535302" w:rsidRPr="00FD211F">
        <w:rPr>
          <w:sz w:val="36"/>
          <w:szCs w:val="36"/>
          <w:rtl/>
        </w:rPr>
        <w:t xml:space="preserve"> ان المعنى الموضوع له لايمكن ان </w:t>
      </w:r>
      <w:r w:rsidR="00556BC0" w:rsidRPr="00FD211F">
        <w:rPr>
          <w:sz w:val="36"/>
          <w:szCs w:val="36"/>
          <w:rtl/>
        </w:rPr>
        <w:t>يكون مقيد</w:t>
      </w:r>
      <w:r w:rsidR="00535302" w:rsidRPr="00FD211F">
        <w:rPr>
          <w:sz w:val="36"/>
          <w:szCs w:val="36"/>
          <w:rtl/>
        </w:rPr>
        <w:t>ا بالوجود الذهني او الخارجي</w:t>
      </w:r>
      <w:r w:rsidR="00603323" w:rsidRPr="00FD211F">
        <w:rPr>
          <w:sz w:val="36"/>
          <w:szCs w:val="36"/>
          <w:rtl/>
        </w:rPr>
        <w:t xml:space="preserve">، </w:t>
      </w:r>
      <w:r w:rsidR="00535302" w:rsidRPr="00FD211F">
        <w:rPr>
          <w:sz w:val="36"/>
          <w:szCs w:val="36"/>
          <w:rtl/>
        </w:rPr>
        <w:t>حيث</w:t>
      </w:r>
      <w:r w:rsidR="00556BC0" w:rsidRPr="00FD211F">
        <w:rPr>
          <w:sz w:val="36"/>
          <w:szCs w:val="36"/>
          <w:rtl/>
        </w:rPr>
        <w:t xml:space="preserve"> يمكن انتقاله الى ذهن السامع</w:t>
      </w:r>
      <w:r w:rsidR="00603323" w:rsidRPr="00FD211F">
        <w:rPr>
          <w:sz w:val="36"/>
          <w:szCs w:val="36"/>
          <w:rtl/>
        </w:rPr>
        <w:t xml:space="preserve">، </w:t>
      </w:r>
      <w:r w:rsidR="00556BC0" w:rsidRPr="00FD211F">
        <w:rPr>
          <w:sz w:val="36"/>
          <w:szCs w:val="36"/>
          <w:rtl/>
        </w:rPr>
        <w:t>فلو كان معنى هيئ</w:t>
      </w:r>
      <w:r w:rsidR="00EC7EDF" w:rsidRPr="00FD211F">
        <w:rPr>
          <w:sz w:val="36"/>
          <w:szCs w:val="36"/>
          <w:rtl/>
        </w:rPr>
        <w:t xml:space="preserve">ة </w:t>
      </w:r>
      <w:r w:rsidR="00556BC0" w:rsidRPr="00FD211F">
        <w:rPr>
          <w:sz w:val="36"/>
          <w:szCs w:val="36"/>
          <w:rtl/>
        </w:rPr>
        <w:t>الجمل</w:t>
      </w:r>
      <w:r w:rsidR="00EC7EDF" w:rsidRPr="00FD211F">
        <w:rPr>
          <w:sz w:val="36"/>
          <w:szCs w:val="36"/>
          <w:rtl/>
        </w:rPr>
        <w:t xml:space="preserve">ة </w:t>
      </w:r>
      <w:r w:rsidR="00556BC0" w:rsidRPr="00FD211F">
        <w:rPr>
          <w:sz w:val="36"/>
          <w:szCs w:val="36"/>
          <w:rtl/>
        </w:rPr>
        <w:t>الإنشائي</w:t>
      </w:r>
      <w:r w:rsidR="00EC7EDF" w:rsidRPr="00FD211F">
        <w:rPr>
          <w:sz w:val="36"/>
          <w:szCs w:val="36"/>
          <w:rtl/>
        </w:rPr>
        <w:t xml:space="preserve">ة </w:t>
      </w:r>
      <w:r w:rsidR="00556BC0" w:rsidRPr="00FD211F">
        <w:rPr>
          <w:sz w:val="36"/>
          <w:szCs w:val="36"/>
          <w:rtl/>
        </w:rPr>
        <w:t>وجود امر في نفس المتكلم فلايصلح ان يستعمل فيه اللفظ</w:t>
      </w:r>
      <w:r w:rsidR="00603323" w:rsidRPr="00FD211F">
        <w:rPr>
          <w:sz w:val="36"/>
          <w:szCs w:val="36"/>
          <w:rtl/>
        </w:rPr>
        <w:t xml:space="preserve">، </w:t>
      </w:r>
      <w:r w:rsidR="00556BC0" w:rsidRPr="00FD211F">
        <w:rPr>
          <w:sz w:val="36"/>
          <w:szCs w:val="36"/>
          <w:rtl/>
        </w:rPr>
        <w:t>نعم لامانع من كون التلفظ بهيئ</w:t>
      </w:r>
      <w:r w:rsidR="00EC7EDF" w:rsidRPr="00FD211F">
        <w:rPr>
          <w:sz w:val="36"/>
          <w:szCs w:val="36"/>
          <w:rtl/>
        </w:rPr>
        <w:t xml:space="preserve">ة </w:t>
      </w:r>
      <w:r w:rsidR="00556BC0" w:rsidRPr="00FD211F">
        <w:rPr>
          <w:sz w:val="36"/>
          <w:szCs w:val="36"/>
          <w:rtl/>
        </w:rPr>
        <w:t>الجمل</w:t>
      </w:r>
      <w:r w:rsidR="00EC7EDF" w:rsidRPr="00FD211F">
        <w:rPr>
          <w:sz w:val="36"/>
          <w:szCs w:val="36"/>
          <w:rtl/>
        </w:rPr>
        <w:t xml:space="preserve">ة </w:t>
      </w:r>
      <w:r w:rsidR="00556BC0" w:rsidRPr="00FD211F">
        <w:rPr>
          <w:sz w:val="36"/>
          <w:szCs w:val="36"/>
          <w:rtl/>
        </w:rPr>
        <w:t>الإنشائي</w:t>
      </w:r>
      <w:r w:rsidR="00EC7EDF" w:rsidRPr="00FD211F">
        <w:rPr>
          <w:sz w:val="36"/>
          <w:szCs w:val="36"/>
          <w:rtl/>
        </w:rPr>
        <w:t xml:space="preserve">ة </w:t>
      </w:r>
      <w:r w:rsidR="00556BC0" w:rsidRPr="00FD211F">
        <w:rPr>
          <w:sz w:val="36"/>
          <w:szCs w:val="36"/>
          <w:rtl/>
        </w:rPr>
        <w:t>موجبا للعلم بوجود امر في نفس المتكلم</w:t>
      </w:r>
      <w:r w:rsidR="00603323" w:rsidRPr="00FD211F">
        <w:rPr>
          <w:sz w:val="36"/>
          <w:szCs w:val="36"/>
          <w:rtl/>
        </w:rPr>
        <w:t xml:space="preserve">، </w:t>
      </w:r>
      <w:r w:rsidR="00556BC0" w:rsidRPr="00FD211F">
        <w:rPr>
          <w:sz w:val="36"/>
          <w:szCs w:val="36"/>
          <w:rtl/>
        </w:rPr>
        <w:t>لكنه يوجب انتفاء المدلول الاستعمالي التام للجمل</w:t>
      </w:r>
      <w:r w:rsidR="00EC7EDF" w:rsidRPr="00FD211F">
        <w:rPr>
          <w:sz w:val="36"/>
          <w:szCs w:val="36"/>
          <w:rtl/>
        </w:rPr>
        <w:t>ة</w:t>
      </w:r>
      <w:r w:rsidR="00603323" w:rsidRPr="00FD211F">
        <w:rPr>
          <w:sz w:val="36"/>
          <w:szCs w:val="36"/>
          <w:rtl/>
        </w:rPr>
        <w:t xml:space="preserve">، </w:t>
      </w:r>
      <w:r w:rsidR="00556BC0" w:rsidRPr="00FD211F">
        <w:rPr>
          <w:sz w:val="36"/>
          <w:szCs w:val="36"/>
          <w:rtl/>
        </w:rPr>
        <w:t xml:space="preserve">حيث يكون نظير ما لو قال </w:t>
      </w:r>
      <w:r w:rsidR="00330FB0" w:rsidRPr="00FD211F">
        <w:rPr>
          <w:sz w:val="36"/>
          <w:szCs w:val="36"/>
          <w:rtl/>
        </w:rPr>
        <w:t xml:space="preserve">"الاتيان </w:t>
      </w:r>
      <w:r w:rsidR="00556BC0" w:rsidRPr="00FD211F">
        <w:rPr>
          <w:sz w:val="36"/>
          <w:szCs w:val="36"/>
          <w:rtl/>
        </w:rPr>
        <w:t>بالماء</w:t>
      </w:r>
      <w:r w:rsidR="00330FB0" w:rsidRPr="00FD211F">
        <w:rPr>
          <w:sz w:val="36"/>
          <w:szCs w:val="36"/>
          <w:rtl/>
        </w:rPr>
        <w:t>"</w:t>
      </w:r>
      <w:r w:rsidR="00556BC0" w:rsidRPr="00FD211F">
        <w:rPr>
          <w:sz w:val="36"/>
          <w:szCs w:val="36"/>
          <w:rtl/>
        </w:rPr>
        <w:t xml:space="preserve"> ثم رفع يده لإعلام المخاطب بايجا</w:t>
      </w:r>
      <w:r w:rsidR="009D571F" w:rsidRPr="00FD211F">
        <w:rPr>
          <w:sz w:val="36"/>
          <w:szCs w:val="36"/>
          <w:rtl/>
        </w:rPr>
        <w:t>ب</w:t>
      </w:r>
      <w:r w:rsidR="00556BC0" w:rsidRPr="00FD211F">
        <w:rPr>
          <w:sz w:val="36"/>
          <w:szCs w:val="36"/>
          <w:rtl/>
        </w:rPr>
        <w:t>ه عليه</w:t>
      </w:r>
      <w:r w:rsidR="009C58C8" w:rsidRPr="00FD211F">
        <w:rPr>
          <w:rStyle w:val="a6"/>
          <w:sz w:val="36"/>
          <w:szCs w:val="36"/>
          <w:rtl/>
        </w:rPr>
        <w:t>(</w:t>
      </w:r>
      <w:r w:rsidR="009C58C8" w:rsidRPr="00FD211F">
        <w:rPr>
          <w:rStyle w:val="a6"/>
          <w:sz w:val="36"/>
          <w:szCs w:val="36"/>
          <w:rtl/>
        </w:rPr>
        <w:footnoteReference w:id="209"/>
      </w:r>
      <w:r w:rsidR="009C58C8" w:rsidRPr="00FD211F">
        <w:rPr>
          <w:rStyle w:val="a6"/>
          <w:sz w:val="36"/>
          <w:szCs w:val="36"/>
          <w:rtl/>
        </w:rPr>
        <w:t>)</w:t>
      </w:r>
      <w:r w:rsidR="00556BC0" w:rsidRPr="00FD211F">
        <w:rPr>
          <w:sz w:val="36"/>
          <w:szCs w:val="36"/>
          <w:rtl/>
        </w:rPr>
        <w:t>.</w:t>
      </w:r>
    </w:p>
    <w:p w14:paraId="6FCF6C21" w14:textId="77777777" w:rsidR="00B43716" w:rsidRPr="00FD211F" w:rsidRDefault="00E44168" w:rsidP="009C58C8">
      <w:pPr>
        <w:ind w:left="0" w:firstLine="227"/>
        <w:jc w:val="both"/>
        <w:rPr>
          <w:sz w:val="36"/>
          <w:szCs w:val="36"/>
          <w:rtl/>
        </w:rPr>
      </w:pPr>
      <w:r w:rsidRPr="00FD211F">
        <w:rPr>
          <w:sz w:val="36"/>
          <w:szCs w:val="36"/>
          <w:rtl/>
        </w:rPr>
        <w:t>اقول</w:t>
      </w:r>
      <w:r w:rsidR="00EC7EDF" w:rsidRPr="00FD211F">
        <w:rPr>
          <w:sz w:val="36"/>
          <w:szCs w:val="36"/>
          <w:rtl/>
        </w:rPr>
        <w:t>:</w:t>
      </w:r>
      <w:r w:rsidR="00B43716" w:rsidRPr="00FD211F">
        <w:rPr>
          <w:sz w:val="36"/>
          <w:szCs w:val="36"/>
          <w:rtl/>
        </w:rPr>
        <w:t>يوجد في كلامه</w:t>
      </w:r>
      <w:r w:rsidR="00F869BF" w:rsidRPr="00FD211F">
        <w:rPr>
          <w:sz w:val="36"/>
          <w:szCs w:val="36"/>
          <w:rtl/>
        </w:rPr>
        <w:t xml:space="preserve"> </w:t>
      </w:r>
      <w:r w:rsidR="00B43716" w:rsidRPr="00FD211F">
        <w:rPr>
          <w:sz w:val="36"/>
          <w:szCs w:val="36"/>
          <w:rtl/>
        </w:rPr>
        <w:t>عد</w:t>
      </w:r>
      <w:r w:rsidR="00EC7EDF" w:rsidRPr="00FD211F">
        <w:rPr>
          <w:sz w:val="36"/>
          <w:szCs w:val="36"/>
          <w:rtl/>
        </w:rPr>
        <w:t xml:space="preserve">ة </w:t>
      </w:r>
      <w:r w:rsidR="00B43716" w:rsidRPr="00FD211F">
        <w:rPr>
          <w:sz w:val="36"/>
          <w:szCs w:val="36"/>
          <w:rtl/>
        </w:rPr>
        <w:t>ملاحظات:</w:t>
      </w:r>
    </w:p>
    <w:p w14:paraId="03743337" w14:textId="77777777" w:rsidR="00F869BF" w:rsidRPr="00FD211F" w:rsidRDefault="00C8167C" w:rsidP="009C58C8">
      <w:pPr>
        <w:ind w:left="0" w:firstLine="227"/>
        <w:jc w:val="both"/>
        <w:rPr>
          <w:sz w:val="36"/>
          <w:szCs w:val="36"/>
          <w:rtl/>
        </w:rPr>
      </w:pPr>
      <w:r w:rsidRPr="00FD211F">
        <w:rPr>
          <w:b/>
          <w:bCs/>
          <w:sz w:val="36"/>
          <w:szCs w:val="36"/>
          <w:rtl/>
        </w:rPr>
        <w:t>الاولى</w:t>
      </w:r>
      <w:r w:rsidRPr="00FD211F">
        <w:rPr>
          <w:sz w:val="36"/>
          <w:szCs w:val="36"/>
          <w:rtl/>
        </w:rPr>
        <w:t>:</w:t>
      </w:r>
      <w:r w:rsidR="00B43716" w:rsidRPr="00FD211F">
        <w:rPr>
          <w:sz w:val="36"/>
          <w:szCs w:val="36"/>
          <w:rtl/>
        </w:rPr>
        <w:t xml:space="preserve"> </w:t>
      </w:r>
      <w:r w:rsidR="00F869BF" w:rsidRPr="00FD211F">
        <w:rPr>
          <w:sz w:val="36"/>
          <w:szCs w:val="36"/>
          <w:rtl/>
        </w:rPr>
        <w:t>ان ما ذكره من كون البيع مثلا هو قصد إيجاد الملكي</w:t>
      </w:r>
      <w:r w:rsidR="00EC7EDF" w:rsidRPr="00FD211F">
        <w:rPr>
          <w:sz w:val="36"/>
          <w:szCs w:val="36"/>
          <w:rtl/>
        </w:rPr>
        <w:t xml:space="preserve">ة </w:t>
      </w:r>
      <w:r w:rsidR="00F869BF" w:rsidRPr="00FD211F">
        <w:rPr>
          <w:sz w:val="36"/>
          <w:szCs w:val="36"/>
          <w:rtl/>
        </w:rPr>
        <w:t>العقلائي</w:t>
      </w:r>
      <w:r w:rsidR="00EC7EDF" w:rsidRPr="00FD211F">
        <w:rPr>
          <w:sz w:val="36"/>
          <w:szCs w:val="36"/>
          <w:rtl/>
        </w:rPr>
        <w:t xml:space="preserve">ة </w:t>
      </w:r>
      <w:r w:rsidR="00F869BF" w:rsidRPr="00FD211F">
        <w:rPr>
          <w:sz w:val="36"/>
          <w:szCs w:val="36"/>
          <w:rtl/>
        </w:rPr>
        <w:t>ولو بنحو إيجاد المقتضي له ففيه أنه قد يعلم بعدم صلاحي</w:t>
      </w:r>
      <w:r w:rsidR="00EC7EDF" w:rsidRPr="00FD211F">
        <w:rPr>
          <w:sz w:val="36"/>
          <w:szCs w:val="36"/>
          <w:rtl/>
        </w:rPr>
        <w:t xml:space="preserve">ة </w:t>
      </w:r>
      <w:r w:rsidR="00F869BF" w:rsidRPr="00FD211F">
        <w:rPr>
          <w:sz w:val="36"/>
          <w:szCs w:val="36"/>
          <w:rtl/>
        </w:rPr>
        <w:t>إنشائه للحوق الإمضاء العقلائي والشرعي كما لو باع الحرّ نفسه</w:t>
      </w:r>
      <w:r w:rsidR="00603323" w:rsidRPr="00FD211F">
        <w:rPr>
          <w:sz w:val="36"/>
          <w:szCs w:val="36"/>
          <w:rtl/>
        </w:rPr>
        <w:t xml:space="preserve">، </w:t>
      </w:r>
      <w:r w:rsidR="00F869BF" w:rsidRPr="00FD211F">
        <w:rPr>
          <w:sz w:val="36"/>
          <w:szCs w:val="36"/>
          <w:rtl/>
        </w:rPr>
        <w:t>فانه كيف يقصد إيجاد الملكي</w:t>
      </w:r>
      <w:r w:rsidR="00EC7EDF" w:rsidRPr="00FD211F">
        <w:rPr>
          <w:sz w:val="36"/>
          <w:szCs w:val="36"/>
          <w:rtl/>
        </w:rPr>
        <w:t xml:space="preserve">ة </w:t>
      </w:r>
      <w:r w:rsidR="00F869BF" w:rsidRPr="00FD211F">
        <w:rPr>
          <w:sz w:val="36"/>
          <w:szCs w:val="36"/>
          <w:rtl/>
        </w:rPr>
        <w:t>العقلائي</w:t>
      </w:r>
      <w:r w:rsidR="00EC7EDF" w:rsidRPr="00FD211F">
        <w:rPr>
          <w:sz w:val="36"/>
          <w:szCs w:val="36"/>
          <w:rtl/>
        </w:rPr>
        <w:t xml:space="preserve">ة </w:t>
      </w:r>
      <w:r w:rsidR="00F869BF" w:rsidRPr="00FD211F">
        <w:rPr>
          <w:sz w:val="36"/>
          <w:szCs w:val="36"/>
          <w:rtl/>
        </w:rPr>
        <w:t>والشرعي</w:t>
      </w:r>
      <w:r w:rsidR="00EC7EDF" w:rsidRPr="00FD211F">
        <w:rPr>
          <w:sz w:val="36"/>
          <w:szCs w:val="36"/>
          <w:rtl/>
        </w:rPr>
        <w:t xml:space="preserve">ة </w:t>
      </w:r>
      <w:r w:rsidR="00F869BF" w:rsidRPr="00FD211F">
        <w:rPr>
          <w:sz w:val="36"/>
          <w:szCs w:val="36"/>
          <w:rtl/>
        </w:rPr>
        <w:t>مع علمه بعدم امكان تحقق ذلك</w:t>
      </w:r>
      <w:r w:rsidR="00603323" w:rsidRPr="00FD211F">
        <w:rPr>
          <w:sz w:val="36"/>
          <w:szCs w:val="36"/>
          <w:rtl/>
        </w:rPr>
        <w:t xml:space="preserve">، </w:t>
      </w:r>
      <w:r w:rsidR="00F869BF" w:rsidRPr="00FD211F">
        <w:rPr>
          <w:sz w:val="36"/>
          <w:szCs w:val="36"/>
          <w:rtl/>
        </w:rPr>
        <w:t>فلايصح ان يكون معنى البيع مثلا هو قصد ايجاد الملكي</w:t>
      </w:r>
      <w:r w:rsidR="00EC7EDF" w:rsidRPr="00FD211F">
        <w:rPr>
          <w:sz w:val="36"/>
          <w:szCs w:val="36"/>
          <w:rtl/>
        </w:rPr>
        <w:t xml:space="preserve">ة </w:t>
      </w:r>
      <w:r w:rsidR="00F869BF" w:rsidRPr="00FD211F">
        <w:rPr>
          <w:sz w:val="36"/>
          <w:szCs w:val="36"/>
          <w:rtl/>
        </w:rPr>
        <w:t>العقلائي</w:t>
      </w:r>
      <w:r w:rsidR="00EC7EDF" w:rsidRPr="00FD211F">
        <w:rPr>
          <w:sz w:val="36"/>
          <w:szCs w:val="36"/>
          <w:rtl/>
        </w:rPr>
        <w:t>ة</w:t>
      </w:r>
      <w:r w:rsidR="00A61BAE" w:rsidRPr="00FD211F">
        <w:rPr>
          <w:sz w:val="36"/>
          <w:szCs w:val="36"/>
          <w:rtl/>
        </w:rPr>
        <w:t>.</w:t>
      </w:r>
    </w:p>
    <w:p w14:paraId="1BDD76F6" w14:textId="77777777" w:rsidR="00702174" w:rsidRPr="00FD211F" w:rsidRDefault="00702174" w:rsidP="009C58C8">
      <w:pPr>
        <w:ind w:left="0" w:firstLine="227"/>
        <w:jc w:val="both"/>
        <w:rPr>
          <w:sz w:val="36"/>
          <w:szCs w:val="36"/>
          <w:rtl/>
        </w:rPr>
      </w:pPr>
      <w:r w:rsidRPr="00FD211F">
        <w:rPr>
          <w:sz w:val="36"/>
          <w:szCs w:val="36"/>
          <w:rtl/>
        </w:rPr>
        <w:t xml:space="preserve">نعم </w:t>
      </w:r>
      <w:r w:rsidR="0038695B" w:rsidRPr="00FD211F">
        <w:rPr>
          <w:sz w:val="36"/>
          <w:szCs w:val="36"/>
          <w:rtl/>
        </w:rPr>
        <w:t xml:space="preserve">لو كان مقصوده </w:t>
      </w:r>
      <w:r w:rsidRPr="00FD211F">
        <w:rPr>
          <w:sz w:val="36"/>
          <w:szCs w:val="36"/>
          <w:rtl/>
        </w:rPr>
        <w:t>كون معنى "بعت "مثلاهوايجاد الملكي</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Pr="00FD211F">
        <w:rPr>
          <w:sz w:val="36"/>
          <w:szCs w:val="36"/>
          <w:rtl/>
        </w:rPr>
        <w:t>عنوانا لاحقيق</w:t>
      </w:r>
      <w:r w:rsidR="00EC7EDF" w:rsidRPr="00FD211F">
        <w:rPr>
          <w:sz w:val="36"/>
          <w:szCs w:val="36"/>
          <w:rtl/>
        </w:rPr>
        <w:t>ة</w:t>
      </w:r>
      <w:r w:rsidR="00603323" w:rsidRPr="00FD211F">
        <w:rPr>
          <w:sz w:val="36"/>
          <w:szCs w:val="36"/>
          <w:rtl/>
        </w:rPr>
        <w:t xml:space="preserve">، </w:t>
      </w:r>
      <w:r w:rsidR="00C8167C" w:rsidRPr="00FD211F">
        <w:rPr>
          <w:sz w:val="36"/>
          <w:szCs w:val="36"/>
          <w:rtl/>
        </w:rPr>
        <w:t>فلامانع منه ثبوتا</w:t>
      </w:r>
      <w:r w:rsidR="00603323" w:rsidRPr="00FD211F">
        <w:rPr>
          <w:sz w:val="36"/>
          <w:szCs w:val="36"/>
          <w:rtl/>
        </w:rPr>
        <w:t xml:space="preserve">، </w:t>
      </w:r>
      <w:r w:rsidRPr="00FD211F">
        <w:rPr>
          <w:sz w:val="36"/>
          <w:szCs w:val="36"/>
          <w:rtl/>
        </w:rPr>
        <w:t>توضيح ذلك: أنه قد يستعمل الشخص اللفظ في معنى في مقام إيجاده في عالم الاعتبار العقلائي ولكنه لايوجد أبدا</w:t>
      </w:r>
      <w:r w:rsidR="00603323" w:rsidRPr="00FD211F">
        <w:rPr>
          <w:sz w:val="36"/>
          <w:szCs w:val="36"/>
          <w:rtl/>
        </w:rPr>
        <w:t xml:space="preserve">، </w:t>
      </w:r>
      <w:r w:rsidRPr="00FD211F">
        <w:rPr>
          <w:sz w:val="36"/>
          <w:szCs w:val="36"/>
          <w:rtl/>
        </w:rPr>
        <w:t>او يمكن ان يوجد ولكن يكون وجوده معلقا على شرط غير حاصل</w:t>
      </w:r>
      <w:r w:rsidR="00603323" w:rsidRPr="00FD211F">
        <w:rPr>
          <w:sz w:val="36"/>
          <w:szCs w:val="36"/>
          <w:rtl/>
        </w:rPr>
        <w:t xml:space="preserve">، </w:t>
      </w:r>
      <w:r w:rsidRPr="00FD211F">
        <w:rPr>
          <w:sz w:val="36"/>
          <w:szCs w:val="36"/>
          <w:rtl/>
        </w:rPr>
        <w:t>نظير ما لو قال شخص لآخر"تصالحنا</w:t>
      </w:r>
      <w:r w:rsidR="0038695B" w:rsidRPr="00FD211F">
        <w:rPr>
          <w:sz w:val="36"/>
          <w:szCs w:val="36"/>
          <w:rtl/>
        </w:rPr>
        <w:t>" فقد لايقبله الآخرفلايوجدعنوان التصالح في عالم الاعتبار العقلائي</w:t>
      </w:r>
      <w:r w:rsidR="00603323" w:rsidRPr="00FD211F">
        <w:rPr>
          <w:sz w:val="36"/>
          <w:szCs w:val="36"/>
          <w:rtl/>
        </w:rPr>
        <w:t xml:space="preserve">، </w:t>
      </w:r>
      <w:r w:rsidR="0038695B" w:rsidRPr="00FD211F">
        <w:rPr>
          <w:sz w:val="36"/>
          <w:szCs w:val="36"/>
          <w:rtl/>
        </w:rPr>
        <w:t>لان التصالح يتقوم بفعل الإثنين</w:t>
      </w:r>
      <w:r w:rsidR="00603323" w:rsidRPr="00FD211F">
        <w:rPr>
          <w:sz w:val="36"/>
          <w:szCs w:val="36"/>
          <w:rtl/>
        </w:rPr>
        <w:t xml:space="preserve">، </w:t>
      </w:r>
      <w:r w:rsidR="0038695B" w:rsidRPr="00FD211F">
        <w:rPr>
          <w:sz w:val="36"/>
          <w:szCs w:val="36"/>
          <w:rtl/>
        </w:rPr>
        <w:t>مع</w:t>
      </w:r>
      <w:r w:rsidR="00B253CE" w:rsidRPr="00FD211F">
        <w:rPr>
          <w:sz w:val="36"/>
          <w:szCs w:val="36"/>
          <w:rtl/>
        </w:rPr>
        <w:t xml:space="preserve"> </w:t>
      </w:r>
      <w:r w:rsidRPr="00FD211F">
        <w:rPr>
          <w:sz w:val="36"/>
          <w:szCs w:val="36"/>
          <w:rtl/>
        </w:rPr>
        <w:t>انه قدتحقق</w:t>
      </w:r>
      <w:r w:rsidR="00B253CE" w:rsidRPr="00FD211F">
        <w:rPr>
          <w:sz w:val="36"/>
          <w:szCs w:val="36"/>
          <w:rtl/>
        </w:rPr>
        <w:t xml:space="preserve"> </w:t>
      </w:r>
      <w:r w:rsidRPr="00FD211F">
        <w:rPr>
          <w:sz w:val="36"/>
          <w:szCs w:val="36"/>
          <w:rtl/>
        </w:rPr>
        <w:t>انشاء</w:t>
      </w:r>
      <w:r w:rsidR="0038695B" w:rsidRPr="00FD211F">
        <w:rPr>
          <w:sz w:val="36"/>
          <w:szCs w:val="36"/>
          <w:rtl/>
        </w:rPr>
        <w:t xml:space="preserve"> عنوان التصالح</w:t>
      </w:r>
      <w:r w:rsidR="00B253CE" w:rsidRPr="00FD211F">
        <w:rPr>
          <w:sz w:val="36"/>
          <w:szCs w:val="36"/>
          <w:rtl/>
        </w:rPr>
        <w:t xml:space="preserve"> </w:t>
      </w:r>
      <w:r w:rsidRPr="00FD211F">
        <w:rPr>
          <w:sz w:val="36"/>
          <w:szCs w:val="36"/>
          <w:rtl/>
        </w:rPr>
        <w:t>ولايخفى انه لاينحصر انشاء العنوان</w:t>
      </w:r>
      <w:r w:rsidR="00B253CE" w:rsidRPr="00FD211F">
        <w:rPr>
          <w:sz w:val="36"/>
          <w:szCs w:val="36"/>
          <w:rtl/>
        </w:rPr>
        <w:t xml:space="preserve"> </w:t>
      </w:r>
      <w:r w:rsidRPr="00FD211F">
        <w:rPr>
          <w:sz w:val="36"/>
          <w:szCs w:val="36"/>
          <w:rtl/>
        </w:rPr>
        <w:t>باستعمال الجمل</w:t>
      </w:r>
      <w:r w:rsidR="00EC7EDF" w:rsidRPr="00FD211F">
        <w:rPr>
          <w:sz w:val="36"/>
          <w:szCs w:val="36"/>
          <w:rtl/>
        </w:rPr>
        <w:t xml:space="preserve">ة </w:t>
      </w:r>
      <w:r w:rsidRPr="00FD211F">
        <w:rPr>
          <w:sz w:val="36"/>
          <w:szCs w:val="36"/>
          <w:rtl/>
        </w:rPr>
        <w:t>في معناه برجاء تحقق هذا</w:t>
      </w:r>
      <w:r w:rsidR="00E44168" w:rsidRPr="00FD211F">
        <w:rPr>
          <w:sz w:val="36"/>
          <w:szCs w:val="36"/>
          <w:rtl/>
        </w:rPr>
        <w:t xml:space="preserve"> </w:t>
      </w:r>
      <w:r w:rsidRPr="00FD211F">
        <w:rPr>
          <w:sz w:val="36"/>
          <w:szCs w:val="36"/>
          <w:rtl/>
        </w:rPr>
        <w:t>العنوان</w:t>
      </w:r>
      <w:r w:rsidR="00B253CE" w:rsidRPr="00FD211F">
        <w:rPr>
          <w:sz w:val="36"/>
          <w:szCs w:val="36"/>
          <w:rtl/>
        </w:rPr>
        <w:t xml:space="preserve"> </w:t>
      </w:r>
      <w:r w:rsidRPr="00FD211F">
        <w:rPr>
          <w:sz w:val="36"/>
          <w:szCs w:val="36"/>
          <w:rtl/>
        </w:rPr>
        <w:t>في عالم الاعتبار العقلائي</w:t>
      </w:r>
      <w:r w:rsidR="00B253CE" w:rsidRPr="00FD211F">
        <w:rPr>
          <w:sz w:val="36"/>
          <w:szCs w:val="36"/>
          <w:rtl/>
        </w:rPr>
        <w:t xml:space="preserve"> </w:t>
      </w:r>
      <w:r w:rsidRPr="00FD211F">
        <w:rPr>
          <w:sz w:val="36"/>
          <w:szCs w:val="36"/>
          <w:rtl/>
        </w:rPr>
        <w:t>فانه</w:t>
      </w:r>
      <w:r w:rsidR="00B253CE" w:rsidRPr="00FD211F">
        <w:rPr>
          <w:sz w:val="36"/>
          <w:szCs w:val="36"/>
          <w:rtl/>
        </w:rPr>
        <w:t xml:space="preserve"> </w:t>
      </w:r>
      <w:r w:rsidRPr="00FD211F">
        <w:rPr>
          <w:sz w:val="36"/>
          <w:szCs w:val="36"/>
          <w:rtl/>
        </w:rPr>
        <w:t>قد يعلم الشخص بعدم</w:t>
      </w:r>
      <w:r w:rsidR="00B253CE" w:rsidRPr="00FD211F">
        <w:rPr>
          <w:sz w:val="36"/>
          <w:szCs w:val="36"/>
          <w:rtl/>
        </w:rPr>
        <w:t xml:space="preserve"> </w:t>
      </w:r>
      <w:r w:rsidRPr="00FD211F">
        <w:rPr>
          <w:sz w:val="36"/>
          <w:szCs w:val="36"/>
          <w:rtl/>
        </w:rPr>
        <w:t>تحقق</w:t>
      </w:r>
      <w:r w:rsidR="00E44168" w:rsidRPr="00FD211F">
        <w:rPr>
          <w:sz w:val="36"/>
          <w:szCs w:val="36"/>
          <w:rtl/>
        </w:rPr>
        <w:t xml:space="preserve"> </w:t>
      </w:r>
      <w:r w:rsidRPr="00FD211F">
        <w:rPr>
          <w:sz w:val="36"/>
          <w:szCs w:val="36"/>
          <w:rtl/>
        </w:rPr>
        <w:t>عنوان ابدا</w:t>
      </w:r>
      <w:r w:rsidR="00603323" w:rsidRPr="00FD211F">
        <w:rPr>
          <w:sz w:val="36"/>
          <w:szCs w:val="36"/>
          <w:rtl/>
        </w:rPr>
        <w:t xml:space="preserve">، </w:t>
      </w:r>
      <w:r w:rsidRPr="00FD211F">
        <w:rPr>
          <w:sz w:val="36"/>
          <w:szCs w:val="36"/>
          <w:rtl/>
        </w:rPr>
        <w:t>ومع ذلك ين</w:t>
      </w:r>
      <w:r w:rsidR="00251CB6" w:rsidRPr="00FD211F">
        <w:rPr>
          <w:sz w:val="36"/>
          <w:szCs w:val="36"/>
          <w:rtl/>
        </w:rPr>
        <w:t xml:space="preserve">شيء </w:t>
      </w:r>
      <w:r w:rsidRPr="00FD211F">
        <w:rPr>
          <w:sz w:val="36"/>
          <w:szCs w:val="36"/>
          <w:rtl/>
        </w:rPr>
        <w:t>ذلك العنوان لبعض الدواعي كما</w:t>
      </w:r>
      <w:r w:rsidR="00E44168" w:rsidRPr="00FD211F">
        <w:rPr>
          <w:sz w:val="36"/>
          <w:szCs w:val="36"/>
          <w:rtl/>
        </w:rPr>
        <w:t xml:space="preserve"> </w:t>
      </w:r>
      <w:r w:rsidRPr="00FD211F">
        <w:rPr>
          <w:sz w:val="36"/>
          <w:szCs w:val="36"/>
          <w:rtl/>
        </w:rPr>
        <w:t>لوباع الحر نفسه</w:t>
      </w:r>
      <w:r w:rsidR="00603323" w:rsidRPr="00FD211F">
        <w:rPr>
          <w:sz w:val="36"/>
          <w:szCs w:val="36"/>
          <w:rtl/>
        </w:rPr>
        <w:t xml:space="preserve">، </w:t>
      </w:r>
      <w:r w:rsidRPr="00FD211F">
        <w:rPr>
          <w:sz w:val="36"/>
          <w:szCs w:val="36"/>
          <w:rtl/>
        </w:rPr>
        <w:t>وقد لايكون إنشاء البائع برجاء تحقق المنُشأ واقعا كما لو كان المنُ</w:t>
      </w:r>
      <w:r w:rsidR="00251CB6" w:rsidRPr="00FD211F">
        <w:rPr>
          <w:sz w:val="36"/>
          <w:szCs w:val="36"/>
          <w:rtl/>
        </w:rPr>
        <w:t xml:space="preserve">شيء </w:t>
      </w:r>
      <w:r w:rsidRPr="00FD211F">
        <w:rPr>
          <w:sz w:val="36"/>
          <w:szCs w:val="36"/>
          <w:rtl/>
        </w:rPr>
        <w:t>مُكرَها على انشائه ويعلم بعدم نفوذه عقلاء وشرعا فلايكون الانشاء برجاء لحوق الأثر العقلائي والشرعي</w:t>
      </w:r>
      <w:r w:rsidR="00603323" w:rsidRPr="00FD211F">
        <w:rPr>
          <w:sz w:val="36"/>
          <w:szCs w:val="36"/>
          <w:rtl/>
        </w:rPr>
        <w:t xml:space="preserve">، </w:t>
      </w:r>
      <w:r w:rsidRPr="00FD211F">
        <w:rPr>
          <w:sz w:val="36"/>
          <w:szCs w:val="36"/>
          <w:rtl/>
        </w:rPr>
        <w:t>ولايصح ان يمُنع في مثله من تحقق عنوان المعامل</w:t>
      </w:r>
      <w:r w:rsidR="00EC7EDF" w:rsidRPr="00FD211F">
        <w:rPr>
          <w:sz w:val="36"/>
          <w:szCs w:val="36"/>
          <w:rtl/>
        </w:rPr>
        <w:t>ة</w:t>
      </w:r>
      <w:r w:rsidR="00603323" w:rsidRPr="00FD211F">
        <w:rPr>
          <w:sz w:val="36"/>
          <w:szCs w:val="36"/>
          <w:rtl/>
        </w:rPr>
        <w:t xml:space="preserve">، </w:t>
      </w:r>
      <w:r w:rsidRPr="00FD211F">
        <w:rPr>
          <w:sz w:val="36"/>
          <w:szCs w:val="36"/>
          <w:rtl/>
        </w:rPr>
        <w:t>ولذلك لو زال الإكراه ولحقه الرضا حُكم بصحته.</w:t>
      </w:r>
    </w:p>
    <w:p w14:paraId="1A2974C4" w14:textId="77777777" w:rsidR="00702174" w:rsidRPr="00FD211F" w:rsidRDefault="00702174" w:rsidP="009C58C8">
      <w:pPr>
        <w:ind w:left="0" w:firstLine="227"/>
        <w:jc w:val="both"/>
        <w:rPr>
          <w:sz w:val="36"/>
          <w:szCs w:val="36"/>
          <w:rtl/>
        </w:rPr>
      </w:pPr>
      <w:r w:rsidRPr="00FD211F">
        <w:rPr>
          <w:sz w:val="36"/>
          <w:szCs w:val="36"/>
          <w:rtl/>
        </w:rPr>
        <w:t>فالحاصل انه لامانع من ان يكون قول البائع "بعت" مساوقا لقوله "اوجدت الملكي</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Pr="00FD211F">
        <w:rPr>
          <w:sz w:val="36"/>
          <w:szCs w:val="36"/>
          <w:rtl/>
        </w:rPr>
        <w:t>بعوض" فيكون هذا ايجادا للملكي</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Pr="00FD211F">
        <w:rPr>
          <w:sz w:val="36"/>
          <w:szCs w:val="36"/>
          <w:rtl/>
        </w:rPr>
        <w:t>عنوانا –باستعمال اللفظ في معن</w:t>
      </w:r>
      <w:r w:rsidR="00C8167C" w:rsidRPr="00FD211F">
        <w:rPr>
          <w:sz w:val="36"/>
          <w:szCs w:val="36"/>
          <w:rtl/>
        </w:rPr>
        <w:t>اه في مقام إيجاده ولو ادعاء- وهذا</w:t>
      </w:r>
      <w:r w:rsidR="00E44168" w:rsidRPr="00FD211F">
        <w:rPr>
          <w:sz w:val="36"/>
          <w:szCs w:val="36"/>
          <w:rtl/>
        </w:rPr>
        <w:t xml:space="preserve"> </w:t>
      </w:r>
      <w:r w:rsidR="00C8167C" w:rsidRPr="00FD211F">
        <w:rPr>
          <w:sz w:val="36"/>
          <w:szCs w:val="36"/>
          <w:rtl/>
        </w:rPr>
        <w:t>لاينافي</w:t>
      </w:r>
      <w:r w:rsidR="00B253CE" w:rsidRPr="00FD211F">
        <w:rPr>
          <w:sz w:val="36"/>
          <w:szCs w:val="36"/>
          <w:rtl/>
        </w:rPr>
        <w:t xml:space="preserve"> </w:t>
      </w:r>
      <w:r w:rsidRPr="00FD211F">
        <w:rPr>
          <w:sz w:val="36"/>
          <w:szCs w:val="36"/>
          <w:rtl/>
        </w:rPr>
        <w:t>علم</w:t>
      </w:r>
      <w:r w:rsidR="00C8167C" w:rsidRPr="00FD211F">
        <w:rPr>
          <w:sz w:val="36"/>
          <w:szCs w:val="36"/>
          <w:rtl/>
        </w:rPr>
        <w:t>ه</w:t>
      </w:r>
      <w:r w:rsidRPr="00FD211F">
        <w:rPr>
          <w:sz w:val="36"/>
          <w:szCs w:val="36"/>
          <w:rtl/>
        </w:rPr>
        <w:t xml:space="preserve"> بعدم تحققه أبدا.</w:t>
      </w:r>
    </w:p>
    <w:p w14:paraId="43713BED" w14:textId="77777777" w:rsidR="00C8167C" w:rsidRPr="00FD211F" w:rsidRDefault="00702174" w:rsidP="009C58C8">
      <w:pPr>
        <w:ind w:left="0" w:firstLine="227"/>
        <w:jc w:val="both"/>
        <w:rPr>
          <w:sz w:val="36"/>
          <w:szCs w:val="36"/>
          <w:rtl/>
        </w:rPr>
      </w:pPr>
      <w:r w:rsidRPr="00FD211F">
        <w:rPr>
          <w:sz w:val="36"/>
          <w:szCs w:val="36"/>
          <w:rtl/>
        </w:rPr>
        <w:t>الا ان الموافق للمرتكز العرفي ان ما يصدر من المنُ</w:t>
      </w:r>
      <w:r w:rsidR="00251CB6" w:rsidRPr="00FD211F">
        <w:rPr>
          <w:sz w:val="36"/>
          <w:szCs w:val="36"/>
          <w:rtl/>
        </w:rPr>
        <w:t xml:space="preserve">شيء </w:t>
      </w:r>
      <w:r w:rsidRPr="00FD211F">
        <w:rPr>
          <w:sz w:val="36"/>
          <w:szCs w:val="36"/>
          <w:rtl/>
        </w:rPr>
        <w:t xml:space="preserve">للمعاملات هو الاعتبار والإبراز كما في قوله </w:t>
      </w:r>
      <w:r w:rsidR="004211C4" w:rsidRPr="00FD211F">
        <w:rPr>
          <w:sz w:val="36"/>
          <w:szCs w:val="36"/>
          <w:rtl/>
        </w:rPr>
        <w:t>"</w:t>
      </w:r>
      <w:r w:rsidRPr="00FD211F">
        <w:rPr>
          <w:sz w:val="36"/>
          <w:szCs w:val="36"/>
          <w:rtl/>
        </w:rPr>
        <w:t>هذا ملك لك</w:t>
      </w:r>
      <w:r w:rsidR="004211C4" w:rsidRPr="00FD211F">
        <w:rPr>
          <w:sz w:val="36"/>
          <w:szCs w:val="36"/>
          <w:rtl/>
        </w:rPr>
        <w:t>"</w:t>
      </w:r>
      <w:r w:rsidRPr="00FD211F">
        <w:rPr>
          <w:sz w:val="36"/>
          <w:szCs w:val="36"/>
          <w:rtl/>
        </w:rPr>
        <w:t xml:space="preserve"> او</w:t>
      </w:r>
      <w:r w:rsidR="004211C4" w:rsidRPr="00FD211F">
        <w:rPr>
          <w:sz w:val="36"/>
          <w:szCs w:val="36"/>
          <w:rtl/>
        </w:rPr>
        <w:t>قوله"</w:t>
      </w:r>
      <w:r w:rsidRPr="00FD211F">
        <w:rPr>
          <w:sz w:val="36"/>
          <w:szCs w:val="36"/>
          <w:rtl/>
        </w:rPr>
        <w:t xml:space="preserve"> أبرأت ذمتك</w:t>
      </w:r>
      <w:r w:rsidR="004211C4" w:rsidRPr="00FD211F">
        <w:rPr>
          <w:sz w:val="36"/>
          <w:szCs w:val="36"/>
          <w:rtl/>
        </w:rPr>
        <w:t>"</w:t>
      </w:r>
      <w:r w:rsidRPr="00FD211F">
        <w:rPr>
          <w:sz w:val="36"/>
          <w:szCs w:val="36"/>
          <w:rtl/>
        </w:rPr>
        <w:t xml:space="preserve"> ونحو ذلك.</w:t>
      </w:r>
    </w:p>
    <w:p w14:paraId="6A14B9D4" w14:textId="77777777" w:rsidR="007D18CD" w:rsidRPr="00FD211F" w:rsidRDefault="00C8167C" w:rsidP="009C58C8">
      <w:pPr>
        <w:ind w:left="0" w:firstLine="227"/>
        <w:jc w:val="both"/>
        <w:rPr>
          <w:sz w:val="36"/>
          <w:szCs w:val="36"/>
          <w:rtl/>
        </w:rPr>
      </w:pP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00532D52" w:rsidRPr="00FD211F">
        <w:rPr>
          <w:sz w:val="36"/>
          <w:szCs w:val="36"/>
          <w:rtl/>
        </w:rPr>
        <w:t xml:space="preserve"> ان ما ذكره من كون الاعتبار الشخصي لغوا</w:t>
      </w:r>
      <w:r w:rsidR="00603323" w:rsidRPr="00FD211F">
        <w:rPr>
          <w:sz w:val="36"/>
          <w:szCs w:val="36"/>
          <w:rtl/>
        </w:rPr>
        <w:t xml:space="preserve">، </w:t>
      </w:r>
      <w:r w:rsidR="00532D52" w:rsidRPr="00FD211F">
        <w:rPr>
          <w:sz w:val="36"/>
          <w:szCs w:val="36"/>
          <w:rtl/>
        </w:rPr>
        <w:t xml:space="preserve">غير تام </w:t>
      </w:r>
      <w:r w:rsidR="00F869BF" w:rsidRPr="00FD211F">
        <w:rPr>
          <w:sz w:val="36"/>
          <w:szCs w:val="36"/>
          <w:rtl/>
        </w:rPr>
        <w:t>بعد ان كان الطريق المتعارف لإيجاد موضوع الملكي</w:t>
      </w:r>
      <w:r w:rsidR="00EC7EDF" w:rsidRPr="00FD211F">
        <w:rPr>
          <w:sz w:val="36"/>
          <w:szCs w:val="36"/>
          <w:rtl/>
        </w:rPr>
        <w:t xml:space="preserve">ة </w:t>
      </w:r>
      <w:r w:rsidR="00F869BF" w:rsidRPr="00FD211F">
        <w:rPr>
          <w:sz w:val="36"/>
          <w:szCs w:val="36"/>
          <w:rtl/>
        </w:rPr>
        <w:t>العقلائي</w:t>
      </w:r>
      <w:r w:rsidR="00EC7EDF" w:rsidRPr="00FD211F">
        <w:rPr>
          <w:sz w:val="36"/>
          <w:szCs w:val="36"/>
          <w:rtl/>
        </w:rPr>
        <w:t xml:space="preserve">ة </w:t>
      </w:r>
      <w:r w:rsidR="00F869BF" w:rsidRPr="00FD211F">
        <w:rPr>
          <w:sz w:val="36"/>
          <w:szCs w:val="36"/>
          <w:rtl/>
        </w:rPr>
        <w:t>والشرعي</w:t>
      </w:r>
      <w:r w:rsidR="00EC7EDF" w:rsidRPr="00FD211F">
        <w:rPr>
          <w:sz w:val="36"/>
          <w:szCs w:val="36"/>
          <w:rtl/>
        </w:rPr>
        <w:t xml:space="preserve">ة </w:t>
      </w:r>
      <w:r w:rsidR="00F869BF" w:rsidRPr="00FD211F">
        <w:rPr>
          <w:sz w:val="36"/>
          <w:szCs w:val="36"/>
          <w:rtl/>
        </w:rPr>
        <w:t>هو الاعتبار الشخصي وابراز</w:t>
      </w:r>
      <w:r w:rsidR="007D18CD" w:rsidRPr="00FD211F">
        <w:rPr>
          <w:sz w:val="36"/>
          <w:szCs w:val="36"/>
          <w:rtl/>
        </w:rPr>
        <w:t>ه</w:t>
      </w:r>
      <w:r w:rsidR="00603323" w:rsidRPr="00FD211F">
        <w:rPr>
          <w:sz w:val="36"/>
          <w:szCs w:val="36"/>
          <w:rtl/>
        </w:rPr>
        <w:t xml:space="preserve">، </w:t>
      </w:r>
      <w:r w:rsidR="007D18CD" w:rsidRPr="00FD211F">
        <w:rPr>
          <w:sz w:val="36"/>
          <w:szCs w:val="36"/>
          <w:rtl/>
        </w:rPr>
        <w:t>فلايكون الاعتبار الشخصي لغوا.</w:t>
      </w:r>
      <w:r w:rsidR="00F869BF" w:rsidRPr="00FD211F">
        <w:rPr>
          <w:sz w:val="36"/>
          <w:szCs w:val="36"/>
          <w:rtl/>
        </w:rPr>
        <w:t xml:space="preserve"> </w:t>
      </w:r>
    </w:p>
    <w:p w14:paraId="3829E5D7" w14:textId="77777777" w:rsidR="00F869BF" w:rsidRPr="00FD211F" w:rsidRDefault="00F869BF" w:rsidP="009C58C8">
      <w:pPr>
        <w:ind w:left="0" w:firstLine="227"/>
        <w:jc w:val="both"/>
        <w:rPr>
          <w:sz w:val="36"/>
          <w:szCs w:val="36"/>
          <w:rtl/>
        </w:rPr>
      </w:pPr>
      <w:r w:rsidRPr="00FD211F">
        <w:rPr>
          <w:sz w:val="36"/>
          <w:szCs w:val="36"/>
          <w:rtl/>
        </w:rPr>
        <w:t>وما</w:t>
      </w:r>
      <w:r w:rsidR="007D18CD" w:rsidRPr="00FD211F">
        <w:rPr>
          <w:sz w:val="36"/>
          <w:szCs w:val="36"/>
          <w:rtl/>
        </w:rPr>
        <w:t xml:space="preserve"> ذكره - من انه قد لايرى البائع ملكية المشتري</w:t>
      </w:r>
      <w:r w:rsidR="00C7588D" w:rsidRPr="00FD211F">
        <w:rPr>
          <w:sz w:val="36"/>
          <w:szCs w:val="36"/>
          <w:rtl/>
        </w:rPr>
        <w:t xml:space="preserve"> </w:t>
      </w:r>
      <w:r w:rsidRPr="00FD211F">
        <w:rPr>
          <w:sz w:val="36"/>
          <w:szCs w:val="36"/>
          <w:rtl/>
        </w:rPr>
        <w:t xml:space="preserve">بعد إنشاءه </w:t>
      </w:r>
      <w:r w:rsidR="007D18CD" w:rsidRPr="00FD211F">
        <w:rPr>
          <w:sz w:val="36"/>
          <w:szCs w:val="36"/>
          <w:rtl/>
        </w:rPr>
        <w:t>للبيع</w:t>
      </w:r>
      <w:r w:rsidR="00603323" w:rsidRPr="00FD211F">
        <w:rPr>
          <w:sz w:val="36"/>
          <w:szCs w:val="36"/>
          <w:rtl/>
        </w:rPr>
        <w:t xml:space="preserve">، </w:t>
      </w:r>
      <w:r w:rsidRPr="00FD211F">
        <w:rPr>
          <w:sz w:val="36"/>
          <w:szCs w:val="36"/>
          <w:rtl/>
        </w:rPr>
        <w:t>لعدم تحقق شرط ملكيته العقلائي</w:t>
      </w:r>
      <w:r w:rsidR="00EC7EDF" w:rsidRPr="00FD211F">
        <w:rPr>
          <w:sz w:val="36"/>
          <w:szCs w:val="36"/>
          <w:rtl/>
        </w:rPr>
        <w:t xml:space="preserve">ة </w:t>
      </w:r>
      <w:r w:rsidRPr="00FD211F">
        <w:rPr>
          <w:sz w:val="36"/>
          <w:szCs w:val="36"/>
          <w:rtl/>
        </w:rPr>
        <w:t>والشرعي</w:t>
      </w:r>
      <w:r w:rsidR="00EC7EDF" w:rsidRPr="00FD211F">
        <w:rPr>
          <w:sz w:val="36"/>
          <w:szCs w:val="36"/>
          <w:rtl/>
        </w:rPr>
        <w:t>ة</w:t>
      </w:r>
      <w:r w:rsidR="007D18CD" w:rsidRPr="00FD211F">
        <w:rPr>
          <w:sz w:val="36"/>
          <w:szCs w:val="36"/>
          <w:rtl/>
        </w:rPr>
        <w:t>-</w:t>
      </w:r>
      <w:r w:rsidR="00EC7EDF" w:rsidRPr="00FD211F">
        <w:rPr>
          <w:sz w:val="36"/>
          <w:szCs w:val="36"/>
          <w:rtl/>
        </w:rPr>
        <w:t xml:space="preserve"> </w:t>
      </w:r>
      <w:r w:rsidRPr="00FD211F">
        <w:rPr>
          <w:sz w:val="36"/>
          <w:szCs w:val="36"/>
          <w:rtl/>
        </w:rPr>
        <w:t>فلايكون شاهدا على نفي اعتباره للملكي</w:t>
      </w:r>
      <w:r w:rsidR="00EC7EDF" w:rsidRPr="00FD211F">
        <w:rPr>
          <w:sz w:val="36"/>
          <w:szCs w:val="36"/>
          <w:rtl/>
        </w:rPr>
        <w:t>ة</w:t>
      </w:r>
      <w:r w:rsidR="00603323" w:rsidRPr="00FD211F">
        <w:rPr>
          <w:sz w:val="36"/>
          <w:szCs w:val="36"/>
          <w:rtl/>
        </w:rPr>
        <w:t xml:space="preserve">، </w:t>
      </w:r>
      <w:r w:rsidRPr="00FD211F">
        <w:rPr>
          <w:sz w:val="36"/>
          <w:szCs w:val="36"/>
          <w:rtl/>
        </w:rPr>
        <w:t>حيث أنه قد يكون معتبرا للملكي</w:t>
      </w:r>
      <w:r w:rsidR="00EC7EDF" w:rsidRPr="00FD211F">
        <w:rPr>
          <w:sz w:val="36"/>
          <w:szCs w:val="36"/>
          <w:rtl/>
        </w:rPr>
        <w:t xml:space="preserve">ة </w:t>
      </w:r>
      <w:r w:rsidRPr="00FD211F">
        <w:rPr>
          <w:sz w:val="36"/>
          <w:szCs w:val="36"/>
          <w:rtl/>
        </w:rPr>
        <w:t xml:space="preserve">لكنه بنظره العقلائي والمتشرعي لايرى المشتري مالكا. </w:t>
      </w:r>
    </w:p>
    <w:p w14:paraId="3A632B31" w14:textId="77777777" w:rsidR="00F869BF" w:rsidRPr="00FD211F" w:rsidRDefault="00E44168" w:rsidP="008D6874">
      <w:pPr>
        <w:ind w:left="0" w:firstLine="227"/>
        <w:jc w:val="both"/>
        <w:rPr>
          <w:sz w:val="36"/>
          <w:szCs w:val="36"/>
          <w:rtl/>
        </w:rPr>
      </w:pP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00532D52" w:rsidRPr="00FD211F">
        <w:rPr>
          <w:sz w:val="36"/>
          <w:szCs w:val="36"/>
          <w:rtl/>
        </w:rPr>
        <w:t>ان ما ذكره من النقض بقول المالك بعدوقوع البيع الفضولي</w:t>
      </w:r>
      <w:r w:rsidR="00B253CE" w:rsidRPr="00FD211F">
        <w:rPr>
          <w:sz w:val="36"/>
          <w:szCs w:val="36"/>
          <w:rtl/>
        </w:rPr>
        <w:t xml:space="preserve"> </w:t>
      </w:r>
      <w:r w:rsidR="00532D52" w:rsidRPr="00FD211F">
        <w:rPr>
          <w:sz w:val="36"/>
          <w:szCs w:val="36"/>
          <w:rtl/>
        </w:rPr>
        <w:t>"انفذت البيع"</w:t>
      </w:r>
      <w:r w:rsidR="008D6874" w:rsidRPr="00FD211F">
        <w:rPr>
          <w:sz w:val="36"/>
          <w:szCs w:val="36"/>
          <w:rtl/>
        </w:rPr>
        <w:t xml:space="preserve"> </w:t>
      </w:r>
      <w:r w:rsidR="00532D52" w:rsidRPr="00FD211F">
        <w:rPr>
          <w:sz w:val="36"/>
          <w:szCs w:val="36"/>
          <w:rtl/>
        </w:rPr>
        <w:t>ففيه</w:t>
      </w:r>
      <w:r w:rsidR="00F869BF" w:rsidRPr="00FD211F">
        <w:rPr>
          <w:sz w:val="36"/>
          <w:szCs w:val="36"/>
          <w:rtl/>
        </w:rPr>
        <w:t xml:space="preserve"> انه يمكن ان يكون معنى إنفاذ البيع هو الإمضاء والاعتبار المماثل لاإيجاد الأثر ولذا لايعهد ان يقال بدلا عنه باني اوجدت أثر </w:t>
      </w:r>
      <w:r w:rsidR="00532D52" w:rsidRPr="00FD211F">
        <w:rPr>
          <w:sz w:val="36"/>
          <w:szCs w:val="36"/>
          <w:rtl/>
        </w:rPr>
        <w:t>الملكي</w:t>
      </w:r>
      <w:r w:rsidR="00EC7EDF" w:rsidRPr="00FD211F">
        <w:rPr>
          <w:sz w:val="36"/>
          <w:szCs w:val="36"/>
          <w:rtl/>
        </w:rPr>
        <w:t xml:space="preserve">ة </w:t>
      </w:r>
      <w:r w:rsidR="00532D52" w:rsidRPr="00FD211F">
        <w:rPr>
          <w:sz w:val="36"/>
          <w:szCs w:val="36"/>
          <w:rtl/>
        </w:rPr>
        <w:t>لهذا البيع الفضولي</w:t>
      </w:r>
      <w:r w:rsidR="00603323" w:rsidRPr="00FD211F">
        <w:rPr>
          <w:sz w:val="36"/>
          <w:szCs w:val="36"/>
          <w:rtl/>
        </w:rPr>
        <w:t xml:space="preserve">، </w:t>
      </w:r>
      <w:r w:rsidR="00532D52" w:rsidRPr="00FD211F">
        <w:rPr>
          <w:sz w:val="36"/>
          <w:szCs w:val="36"/>
          <w:rtl/>
        </w:rPr>
        <w:t>وكذا لا يتم ما ذكره من النقض</w:t>
      </w:r>
      <w:r w:rsidR="00B253CE" w:rsidRPr="00FD211F">
        <w:rPr>
          <w:sz w:val="36"/>
          <w:szCs w:val="36"/>
          <w:rtl/>
        </w:rPr>
        <w:t xml:space="preserve"> </w:t>
      </w:r>
      <w:r w:rsidR="00532D52" w:rsidRPr="00FD211F">
        <w:rPr>
          <w:sz w:val="36"/>
          <w:szCs w:val="36"/>
          <w:rtl/>
        </w:rPr>
        <w:t>ب</w:t>
      </w:r>
      <w:r w:rsidR="00F869BF" w:rsidRPr="00FD211F">
        <w:rPr>
          <w:sz w:val="36"/>
          <w:szCs w:val="36"/>
          <w:rtl/>
        </w:rPr>
        <w:t>قول</w:t>
      </w:r>
      <w:r w:rsidR="00532D52" w:rsidRPr="00FD211F">
        <w:rPr>
          <w:sz w:val="36"/>
          <w:szCs w:val="36"/>
          <w:rtl/>
        </w:rPr>
        <w:t xml:space="preserve"> الشخص "</w:t>
      </w:r>
      <w:r w:rsidR="00F869BF" w:rsidRPr="00FD211F">
        <w:rPr>
          <w:sz w:val="36"/>
          <w:szCs w:val="36"/>
          <w:rtl/>
        </w:rPr>
        <w:t xml:space="preserve"> اعتبرت الملكي</w:t>
      </w:r>
      <w:r w:rsidR="00EC7EDF" w:rsidRPr="00FD211F">
        <w:rPr>
          <w:sz w:val="36"/>
          <w:szCs w:val="36"/>
          <w:rtl/>
        </w:rPr>
        <w:t xml:space="preserve">ة </w:t>
      </w:r>
      <w:r w:rsidR="00532D52" w:rsidRPr="00FD211F">
        <w:rPr>
          <w:sz w:val="36"/>
          <w:szCs w:val="36"/>
          <w:rtl/>
        </w:rPr>
        <w:t>"</w:t>
      </w:r>
      <w:r w:rsidR="00F869BF" w:rsidRPr="00FD211F">
        <w:rPr>
          <w:sz w:val="36"/>
          <w:szCs w:val="36"/>
          <w:rtl/>
        </w:rPr>
        <w:t>او</w:t>
      </w:r>
      <w:r w:rsidR="00532D52" w:rsidRPr="00FD211F">
        <w:rPr>
          <w:sz w:val="36"/>
          <w:szCs w:val="36"/>
          <w:rtl/>
        </w:rPr>
        <w:t>"</w:t>
      </w:r>
      <w:r w:rsidR="00F869BF" w:rsidRPr="00FD211F">
        <w:rPr>
          <w:sz w:val="36"/>
          <w:szCs w:val="36"/>
          <w:rtl/>
        </w:rPr>
        <w:t xml:space="preserve"> اتمنى قيام زيد</w:t>
      </w:r>
      <w:r w:rsidR="00532D52" w:rsidRPr="00FD211F">
        <w:rPr>
          <w:sz w:val="36"/>
          <w:szCs w:val="36"/>
          <w:rtl/>
        </w:rPr>
        <w:t>"</w:t>
      </w:r>
      <w:r w:rsidR="00535302" w:rsidRPr="00FD211F">
        <w:rPr>
          <w:sz w:val="36"/>
          <w:szCs w:val="36"/>
          <w:rtl/>
        </w:rPr>
        <w:t xml:space="preserve"> </w:t>
      </w:r>
      <w:r w:rsidR="00F869BF" w:rsidRPr="00FD211F">
        <w:rPr>
          <w:sz w:val="36"/>
          <w:szCs w:val="36"/>
          <w:rtl/>
        </w:rPr>
        <w:t>لان الهيئ</w:t>
      </w:r>
      <w:r w:rsidR="00EC7EDF" w:rsidRPr="00FD211F">
        <w:rPr>
          <w:sz w:val="36"/>
          <w:szCs w:val="36"/>
          <w:rtl/>
        </w:rPr>
        <w:t xml:space="preserve">ة </w:t>
      </w:r>
      <w:r w:rsidR="00F869BF" w:rsidRPr="00FD211F">
        <w:rPr>
          <w:sz w:val="36"/>
          <w:szCs w:val="36"/>
          <w:rtl/>
        </w:rPr>
        <w:t>في كل</w:t>
      </w:r>
      <w:r w:rsidR="00535302" w:rsidRPr="00FD211F">
        <w:rPr>
          <w:sz w:val="36"/>
          <w:szCs w:val="36"/>
          <w:rtl/>
        </w:rPr>
        <w:t xml:space="preserve"> من</w:t>
      </w:r>
      <w:r w:rsidR="00B253CE" w:rsidRPr="00FD211F">
        <w:rPr>
          <w:sz w:val="36"/>
          <w:szCs w:val="36"/>
          <w:rtl/>
        </w:rPr>
        <w:t xml:space="preserve"> </w:t>
      </w:r>
      <w:r w:rsidR="00F869BF" w:rsidRPr="00FD211F">
        <w:rPr>
          <w:sz w:val="36"/>
          <w:szCs w:val="36"/>
          <w:rtl/>
        </w:rPr>
        <w:t>هاتين الجملتين قد وضعت لإبراز واقع الأمر النفساني المتعلق بما يقبل التعلق به من مفردات الجمل</w:t>
      </w:r>
      <w:r w:rsidR="00EC7EDF" w:rsidRPr="00FD211F">
        <w:rPr>
          <w:sz w:val="36"/>
          <w:szCs w:val="36"/>
          <w:rtl/>
        </w:rPr>
        <w:t>ة</w:t>
      </w:r>
      <w:r w:rsidR="00603323" w:rsidRPr="00FD211F">
        <w:rPr>
          <w:sz w:val="36"/>
          <w:szCs w:val="36"/>
          <w:rtl/>
        </w:rPr>
        <w:t xml:space="preserve">، </w:t>
      </w:r>
      <w:r w:rsidR="00F869BF" w:rsidRPr="00FD211F">
        <w:rPr>
          <w:sz w:val="36"/>
          <w:szCs w:val="36"/>
          <w:rtl/>
        </w:rPr>
        <w:t>فقد تعهد ان لايستعمل جمل</w:t>
      </w:r>
      <w:r w:rsidR="00EC7EDF" w:rsidRPr="00FD211F">
        <w:rPr>
          <w:sz w:val="36"/>
          <w:szCs w:val="36"/>
          <w:rtl/>
        </w:rPr>
        <w:t xml:space="preserve">ة </w:t>
      </w:r>
      <w:r w:rsidR="00F869BF" w:rsidRPr="00FD211F">
        <w:rPr>
          <w:sz w:val="36"/>
          <w:szCs w:val="36"/>
          <w:rtl/>
        </w:rPr>
        <w:t>اعتبرت ملكي</w:t>
      </w:r>
      <w:r w:rsidR="00EC7EDF" w:rsidRPr="00FD211F">
        <w:rPr>
          <w:sz w:val="36"/>
          <w:szCs w:val="36"/>
          <w:rtl/>
        </w:rPr>
        <w:t xml:space="preserve">ة </w:t>
      </w:r>
      <w:r w:rsidR="00F869BF" w:rsidRPr="00FD211F">
        <w:rPr>
          <w:sz w:val="36"/>
          <w:szCs w:val="36"/>
          <w:rtl/>
        </w:rPr>
        <w:t>زيد مثلا الا في مقام ابراز واقع اعتبار الملكي</w:t>
      </w:r>
      <w:r w:rsidR="00EC7EDF" w:rsidRPr="00FD211F">
        <w:rPr>
          <w:sz w:val="36"/>
          <w:szCs w:val="36"/>
          <w:rtl/>
        </w:rPr>
        <w:t>ة</w:t>
      </w:r>
      <w:r w:rsidR="00603323" w:rsidRPr="00FD211F">
        <w:rPr>
          <w:sz w:val="36"/>
          <w:szCs w:val="36"/>
          <w:rtl/>
        </w:rPr>
        <w:t xml:space="preserve">، </w:t>
      </w:r>
      <w:r w:rsidR="00F869BF" w:rsidRPr="00FD211F">
        <w:rPr>
          <w:sz w:val="36"/>
          <w:szCs w:val="36"/>
          <w:rtl/>
        </w:rPr>
        <w:t xml:space="preserve">كما ان </w:t>
      </w:r>
      <w:r w:rsidR="001B3112" w:rsidRPr="00FD211F">
        <w:rPr>
          <w:sz w:val="36"/>
          <w:szCs w:val="36"/>
          <w:rtl/>
        </w:rPr>
        <w:t>الأمر</w:t>
      </w:r>
      <w:r w:rsidR="00F869BF" w:rsidRPr="00FD211F">
        <w:rPr>
          <w:sz w:val="36"/>
          <w:szCs w:val="36"/>
          <w:rtl/>
        </w:rPr>
        <w:t xml:space="preserve"> في </w:t>
      </w:r>
      <w:r w:rsidR="00535302" w:rsidRPr="00FD211F">
        <w:rPr>
          <w:sz w:val="36"/>
          <w:szCs w:val="36"/>
          <w:rtl/>
        </w:rPr>
        <w:t>الجمل</w:t>
      </w:r>
      <w:r w:rsidR="00EC7EDF" w:rsidRPr="00FD211F">
        <w:rPr>
          <w:sz w:val="36"/>
          <w:szCs w:val="36"/>
          <w:rtl/>
        </w:rPr>
        <w:t xml:space="preserve">ة </w:t>
      </w:r>
      <w:r w:rsidR="00535302" w:rsidRPr="00FD211F">
        <w:rPr>
          <w:sz w:val="36"/>
          <w:szCs w:val="36"/>
          <w:rtl/>
        </w:rPr>
        <w:t>الخبري</w:t>
      </w:r>
      <w:r w:rsidR="00EC7EDF" w:rsidRPr="00FD211F">
        <w:rPr>
          <w:sz w:val="36"/>
          <w:szCs w:val="36"/>
          <w:rtl/>
        </w:rPr>
        <w:t xml:space="preserve">ة </w:t>
      </w:r>
      <w:r w:rsidR="00535302" w:rsidRPr="00FD211F">
        <w:rPr>
          <w:sz w:val="36"/>
          <w:szCs w:val="36"/>
          <w:rtl/>
        </w:rPr>
        <w:t>مثل قوله"</w:t>
      </w:r>
      <w:r w:rsidR="00F869BF" w:rsidRPr="00FD211F">
        <w:rPr>
          <w:sz w:val="36"/>
          <w:szCs w:val="36"/>
          <w:rtl/>
        </w:rPr>
        <w:t xml:space="preserve"> أخبرك ان زيدا قائم</w:t>
      </w:r>
      <w:r w:rsidR="00535302" w:rsidRPr="00FD211F">
        <w:rPr>
          <w:sz w:val="36"/>
          <w:szCs w:val="36"/>
          <w:rtl/>
        </w:rPr>
        <w:t>"</w:t>
      </w:r>
      <w:r w:rsidR="00F869BF" w:rsidRPr="00FD211F">
        <w:rPr>
          <w:sz w:val="36"/>
          <w:szCs w:val="36"/>
          <w:rtl/>
        </w:rPr>
        <w:t xml:space="preserve"> كذلك.</w:t>
      </w:r>
    </w:p>
    <w:p w14:paraId="097CD896" w14:textId="77777777" w:rsidR="00F869BF" w:rsidRPr="00FD211F" w:rsidRDefault="00F869BF" w:rsidP="005946E3">
      <w:pPr>
        <w:ind w:left="0" w:firstLine="227"/>
        <w:jc w:val="both"/>
        <w:rPr>
          <w:sz w:val="36"/>
          <w:szCs w:val="36"/>
          <w:rtl/>
        </w:rPr>
      </w:pPr>
      <w:r w:rsidRPr="00FD211F">
        <w:rPr>
          <w:sz w:val="36"/>
          <w:szCs w:val="36"/>
          <w:rtl/>
        </w:rPr>
        <w:t xml:space="preserve">واما النقض بمثل </w:t>
      </w:r>
      <w:r w:rsidR="007D18CD" w:rsidRPr="00FD211F">
        <w:rPr>
          <w:sz w:val="36"/>
          <w:szCs w:val="36"/>
          <w:rtl/>
        </w:rPr>
        <w:t>"</w:t>
      </w:r>
      <w:r w:rsidRPr="00FD211F">
        <w:rPr>
          <w:sz w:val="36"/>
          <w:szCs w:val="36"/>
          <w:rtl/>
        </w:rPr>
        <w:t>بعت</w:t>
      </w:r>
      <w:r w:rsidR="007D18CD" w:rsidRPr="00FD211F">
        <w:rPr>
          <w:sz w:val="36"/>
          <w:szCs w:val="36"/>
          <w:rtl/>
        </w:rPr>
        <w:t>"</w:t>
      </w:r>
      <w:r w:rsidRPr="00FD211F">
        <w:rPr>
          <w:sz w:val="36"/>
          <w:szCs w:val="36"/>
          <w:rtl/>
        </w:rPr>
        <w:t xml:space="preserve"> ففيه ان البيع ليس الا اعتبار الملكي</w:t>
      </w:r>
      <w:r w:rsidR="00EC7EDF" w:rsidRPr="00FD211F">
        <w:rPr>
          <w:sz w:val="36"/>
          <w:szCs w:val="36"/>
          <w:rtl/>
        </w:rPr>
        <w:t xml:space="preserve">ة </w:t>
      </w:r>
      <w:r w:rsidRPr="00FD211F">
        <w:rPr>
          <w:sz w:val="36"/>
          <w:szCs w:val="36"/>
          <w:rtl/>
        </w:rPr>
        <w:t>المبرز باللفظ وهذا لايكون بتمامه قابلا للاعتبار</w:t>
      </w:r>
      <w:r w:rsidR="00603323" w:rsidRPr="00FD211F">
        <w:rPr>
          <w:sz w:val="36"/>
          <w:szCs w:val="36"/>
          <w:rtl/>
        </w:rPr>
        <w:t xml:space="preserve">، </w:t>
      </w:r>
      <w:r w:rsidRPr="00FD211F">
        <w:rPr>
          <w:sz w:val="36"/>
          <w:szCs w:val="36"/>
          <w:rtl/>
        </w:rPr>
        <w:t>لكن يمكن للسيد الخوئي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ان يدعي تعهد الواضع تعهدا نوعيا بعدم استعمال جمل</w:t>
      </w:r>
      <w:r w:rsidR="00EC7EDF" w:rsidRPr="00FD211F">
        <w:rPr>
          <w:sz w:val="36"/>
          <w:szCs w:val="36"/>
          <w:rtl/>
        </w:rPr>
        <w:t xml:space="preserve">ة </w:t>
      </w:r>
      <w:r w:rsidRPr="00FD211F">
        <w:rPr>
          <w:sz w:val="36"/>
          <w:szCs w:val="36"/>
          <w:rtl/>
        </w:rPr>
        <w:t>"بعت" الا لإبراز اعتبار التمليك</w:t>
      </w:r>
      <w:r w:rsidR="00603323" w:rsidRPr="00FD211F">
        <w:rPr>
          <w:sz w:val="36"/>
          <w:szCs w:val="36"/>
          <w:rtl/>
        </w:rPr>
        <w:t xml:space="preserve">، </w:t>
      </w:r>
      <w:r w:rsidRPr="00FD211F">
        <w:rPr>
          <w:sz w:val="36"/>
          <w:szCs w:val="36"/>
          <w:rtl/>
        </w:rPr>
        <w:t>فهي موضوع</w:t>
      </w:r>
      <w:r w:rsidR="00EC7EDF" w:rsidRPr="00FD211F">
        <w:rPr>
          <w:sz w:val="36"/>
          <w:szCs w:val="36"/>
          <w:rtl/>
        </w:rPr>
        <w:t xml:space="preserve">ة </w:t>
      </w:r>
      <w:r w:rsidRPr="00FD211F">
        <w:rPr>
          <w:sz w:val="36"/>
          <w:szCs w:val="36"/>
          <w:rtl/>
        </w:rPr>
        <w:t xml:space="preserve">لإبراز واقع الأمر النفساني المتعلق بما يمكن </w:t>
      </w:r>
      <w:bookmarkStart w:id="229" w:name="خروج"/>
      <w:bookmarkEnd w:id="229"/>
      <w:r w:rsidRPr="00FD211F">
        <w:rPr>
          <w:sz w:val="36"/>
          <w:szCs w:val="36"/>
          <w:rtl/>
        </w:rPr>
        <w:t>ان يتعلق به من معنى الماد</w:t>
      </w:r>
      <w:r w:rsidR="00EC7EDF" w:rsidRPr="00FD211F">
        <w:rPr>
          <w:sz w:val="36"/>
          <w:szCs w:val="36"/>
          <w:rtl/>
        </w:rPr>
        <w:t>ة</w:t>
      </w:r>
      <w:r w:rsidR="00A61BAE" w:rsidRPr="00FD211F">
        <w:rPr>
          <w:sz w:val="36"/>
          <w:szCs w:val="36"/>
          <w:rtl/>
        </w:rPr>
        <w:t>.</w:t>
      </w:r>
    </w:p>
    <w:p w14:paraId="158DA78B" w14:textId="77777777" w:rsidR="00556BC0" w:rsidRPr="00FD211F" w:rsidRDefault="00C8167C" w:rsidP="009C58C8">
      <w:pPr>
        <w:ind w:left="0" w:firstLine="227"/>
        <w:jc w:val="both"/>
        <w:rPr>
          <w:sz w:val="36"/>
          <w:szCs w:val="36"/>
          <w:rtl/>
        </w:rPr>
      </w:pPr>
      <w:r w:rsidRPr="00FD211F">
        <w:rPr>
          <w:b/>
          <w:bCs/>
          <w:sz w:val="36"/>
          <w:szCs w:val="36"/>
          <w:rtl/>
        </w:rPr>
        <w:t>ال</w:t>
      </w:r>
      <w:r w:rsidR="00E44168" w:rsidRPr="00FD211F">
        <w:rPr>
          <w:b/>
          <w:bCs/>
          <w:sz w:val="36"/>
          <w:szCs w:val="36"/>
          <w:rtl/>
        </w:rPr>
        <w:t>رابع</w:t>
      </w:r>
      <w:r w:rsidR="00EC7EDF" w:rsidRPr="00FD211F">
        <w:rPr>
          <w:b/>
          <w:bCs/>
          <w:sz w:val="36"/>
          <w:szCs w:val="36"/>
          <w:rtl/>
        </w:rPr>
        <w:t>ة</w:t>
      </w:r>
      <w:r w:rsidR="00057D31" w:rsidRPr="00FD211F">
        <w:rPr>
          <w:b/>
          <w:bCs/>
          <w:sz w:val="36"/>
          <w:szCs w:val="36"/>
          <w:rtl/>
        </w:rPr>
        <w:t>:</w:t>
      </w:r>
      <w:r w:rsidR="00535302" w:rsidRPr="00FD211F">
        <w:rPr>
          <w:sz w:val="36"/>
          <w:szCs w:val="36"/>
          <w:rtl/>
        </w:rPr>
        <w:t xml:space="preserve"> ان ما ذكره اخيرا</w:t>
      </w:r>
      <w:r w:rsidR="007D18CD" w:rsidRPr="00FD211F">
        <w:rPr>
          <w:sz w:val="36"/>
          <w:szCs w:val="36"/>
          <w:rtl/>
        </w:rPr>
        <w:t>-</w:t>
      </w:r>
      <w:r w:rsidR="00535302" w:rsidRPr="00FD211F">
        <w:rPr>
          <w:sz w:val="36"/>
          <w:szCs w:val="36"/>
          <w:rtl/>
        </w:rPr>
        <w:t xml:space="preserve"> من</w:t>
      </w:r>
      <w:r w:rsidR="00B253CE" w:rsidRPr="00FD211F">
        <w:rPr>
          <w:sz w:val="36"/>
          <w:szCs w:val="36"/>
          <w:rtl/>
        </w:rPr>
        <w:t xml:space="preserve"> </w:t>
      </w:r>
      <w:r w:rsidR="00556BC0" w:rsidRPr="00FD211F">
        <w:rPr>
          <w:sz w:val="36"/>
          <w:szCs w:val="36"/>
          <w:rtl/>
        </w:rPr>
        <w:t>انه لا</w:t>
      </w:r>
      <w:r w:rsidR="00535302" w:rsidRPr="00FD211F">
        <w:rPr>
          <w:sz w:val="36"/>
          <w:szCs w:val="36"/>
          <w:rtl/>
        </w:rPr>
        <w:t xml:space="preserve">يصح ان يكون المعنى المستعمل فيه </w:t>
      </w:r>
      <w:r w:rsidR="00E9133E" w:rsidRPr="00FD211F">
        <w:rPr>
          <w:sz w:val="36"/>
          <w:szCs w:val="36"/>
          <w:rtl/>
        </w:rPr>
        <w:t xml:space="preserve">وجود امر في نفس المتكلم </w:t>
      </w:r>
      <w:r w:rsidR="007D18CD" w:rsidRPr="00FD211F">
        <w:rPr>
          <w:sz w:val="36"/>
          <w:szCs w:val="36"/>
          <w:rtl/>
        </w:rPr>
        <w:t>-</w:t>
      </w:r>
      <w:r w:rsidR="00E9133E" w:rsidRPr="00FD211F">
        <w:rPr>
          <w:sz w:val="36"/>
          <w:szCs w:val="36"/>
          <w:rtl/>
        </w:rPr>
        <w:t>ففيه انه لا</w:t>
      </w:r>
      <w:r w:rsidR="00556BC0" w:rsidRPr="00FD211F">
        <w:rPr>
          <w:sz w:val="36"/>
          <w:szCs w:val="36"/>
          <w:rtl/>
        </w:rPr>
        <w:t>مانع من استعمال اللفظ في امر موجود في</w:t>
      </w:r>
      <w:r w:rsidR="00E9133E" w:rsidRPr="00FD211F">
        <w:rPr>
          <w:sz w:val="36"/>
          <w:szCs w:val="36"/>
          <w:rtl/>
        </w:rPr>
        <w:t xml:space="preserve"> نفس المتكلم</w:t>
      </w:r>
      <w:r w:rsidR="00603323" w:rsidRPr="00FD211F">
        <w:rPr>
          <w:sz w:val="36"/>
          <w:szCs w:val="36"/>
          <w:rtl/>
        </w:rPr>
        <w:t xml:space="preserve">، </w:t>
      </w:r>
      <w:r w:rsidR="00E9133E" w:rsidRPr="00FD211F">
        <w:rPr>
          <w:sz w:val="36"/>
          <w:szCs w:val="36"/>
          <w:rtl/>
        </w:rPr>
        <w:t>بعد افتراض التفاته</w:t>
      </w:r>
      <w:r w:rsidR="00556BC0" w:rsidRPr="00FD211F">
        <w:rPr>
          <w:sz w:val="36"/>
          <w:szCs w:val="36"/>
          <w:rtl/>
        </w:rPr>
        <w:t xml:space="preserve"> اليه وامكان علم المخاطب به</w:t>
      </w:r>
      <w:r w:rsidR="00603323" w:rsidRPr="00FD211F">
        <w:rPr>
          <w:sz w:val="36"/>
          <w:szCs w:val="36"/>
          <w:rtl/>
        </w:rPr>
        <w:t xml:space="preserve">، </w:t>
      </w:r>
      <w:r w:rsidR="00556BC0" w:rsidRPr="00FD211F">
        <w:rPr>
          <w:sz w:val="36"/>
          <w:szCs w:val="36"/>
          <w:rtl/>
        </w:rPr>
        <w:t>وهذا لايخرج عن كونه مدلولا استعماليا للهيئ</w:t>
      </w:r>
      <w:r w:rsidR="00EC7EDF" w:rsidRPr="00FD211F">
        <w:rPr>
          <w:sz w:val="36"/>
          <w:szCs w:val="36"/>
          <w:rtl/>
        </w:rPr>
        <w:t>ة</w:t>
      </w:r>
      <w:r w:rsidR="00A61BAE" w:rsidRPr="00FD211F">
        <w:rPr>
          <w:sz w:val="36"/>
          <w:szCs w:val="36"/>
          <w:rtl/>
        </w:rPr>
        <w:t>.</w:t>
      </w:r>
    </w:p>
    <w:p w14:paraId="76614A0C" w14:textId="77777777" w:rsidR="000C5BBA" w:rsidRPr="00FD211F" w:rsidRDefault="008C2C97" w:rsidP="009C58C8">
      <w:pPr>
        <w:ind w:left="0" w:firstLine="227"/>
        <w:jc w:val="both"/>
        <w:rPr>
          <w:sz w:val="36"/>
          <w:szCs w:val="36"/>
          <w:rtl/>
        </w:rPr>
      </w:pPr>
      <w:r w:rsidRPr="00FD211F">
        <w:rPr>
          <w:sz w:val="36"/>
          <w:szCs w:val="36"/>
          <w:rtl/>
        </w:rPr>
        <w:t xml:space="preserve">هذاوقد اورد شيخنا الاستاذ على ما ذكره السيد الخوئي" قدهما" </w:t>
      </w:r>
      <w:r w:rsidR="00E44168" w:rsidRPr="00FD211F">
        <w:rPr>
          <w:sz w:val="36"/>
          <w:szCs w:val="36"/>
          <w:rtl/>
        </w:rPr>
        <w:t>مامحصله أ</w:t>
      </w:r>
      <w:r w:rsidRPr="00FD211F">
        <w:rPr>
          <w:sz w:val="36"/>
          <w:szCs w:val="36"/>
          <w:rtl/>
        </w:rPr>
        <w:t>ن لازم ما ذكره- من كون الإبراز مجرد كاشف عن الاعتبار النفساني- انه لو اعتبر شخص ملكي</w:t>
      </w:r>
      <w:r w:rsidR="00EC7EDF" w:rsidRPr="00FD211F">
        <w:rPr>
          <w:sz w:val="36"/>
          <w:szCs w:val="36"/>
          <w:rtl/>
        </w:rPr>
        <w:t xml:space="preserve">ة </w:t>
      </w:r>
      <w:r w:rsidRPr="00FD211F">
        <w:rPr>
          <w:sz w:val="36"/>
          <w:szCs w:val="36"/>
          <w:rtl/>
        </w:rPr>
        <w:t>زيد لماله فلابد ان يراه مالكا له في اعتباره ولو</w:t>
      </w:r>
      <w:r w:rsidR="008D7B3D" w:rsidRPr="00FD211F">
        <w:rPr>
          <w:sz w:val="36"/>
          <w:szCs w:val="36"/>
          <w:rtl/>
        </w:rPr>
        <w:t xml:space="preserve"> لم‌</w:t>
      </w:r>
      <w:r w:rsidRPr="00FD211F">
        <w:rPr>
          <w:sz w:val="36"/>
          <w:szCs w:val="36"/>
          <w:rtl/>
        </w:rPr>
        <w:t>يبرز ذلك</w:t>
      </w:r>
      <w:r w:rsidR="00603323" w:rsidRPr="00FD211F">
        <w:rPr>
          <w:sz w:val="36"/>
          <w:szCs w:val="36"/>
          <w:rtl/>
        </w:rPr>
        <w:t xml:space="preserve">، </w:t>
      </w:r>
      <w:r w:rsidRPr="00FD211F">
        <w:rPr>
          <w:sz w:val="36"/>
          <w:szCs w:val="36"/>
          <w:rtl/>
        </w:rPr>
        <w:t>مع انه خلاف الوجدان</w:t>
      </w:r>
      <w:r w:rsidR="00603323" w:rsidRPr="00FD211F">
        <w:rPr>
          <w:sz w:val="36"/>
          <w:szCs w:val="36"/>
          <w:rtl/>
        </w:rPr>
        <w:t xml:space="preserve">، </w:t>
      </w:r>
      <w:r w:rsidRPr="00FD211F">
        <w:rPr>
          <w:sz w:val="36"/>
          <w:szCs w:val="36"/>
          <w:rtl/>
        </w:rPr>
        <w:t>ولذا لايرتب آثار ملكي</w:t>
      </w:r>
      <w:r w:rsidR="00EC7EDF" w:rsidRPr="00FD211F">
        <w:rPr>
          <w:sz w:val="36"/>
          <w:szCs w:val="36"/>
          <w:rtl/>
        </w:rPr>
        <w:t xml:space="preserve">ة </w:t>
      </w:r>
      <w:r w:rsidRPr="00FD211F">
        <w:rPr>
          <w:sz w:val="36"/>
          <w:szCs w:val="36"/>
          <w:rtl/>
        </w:rPr>
        <w:t>زيد للمال</w:t>
      </w:r>
      <w:r w:rsidR="00603323" w:rsidRPr="00FD211F">
        <w:rPr>
          <w:sz w:val="36"/>
          <w:szCs w:val="36"/>
          <w:rtl/>
        </w:rPr>
        <w:t xml:space="preserve">، </w:t>
      </w:r>
      <w:r w:rsidRPr="00FD211F">
        <w:rPr>
          <w:sz w:val="36"/>
          <w:szCs w:val="36"/>
          <w:rtl/>
        </w:rPr>
        <w:t>فالإبراز يكون مقوما للاعتبار النفساني</w:t>
      </w:r>
      <w:r w:rsidR="00603323" w:rsidRPr="00FD211F">
        <w:rPr>
          <w:sz w:val="36"/>
          <w:szCs w:val="36"/>
          <w:rtl/>
        </w:rPr>
        <w:t xml:space="preserve">، </w:t>
      </w:r>
      <w:r w:rsidRPr="00FD211F">
        <w:rPr>
          <w:sz w:val="36"/>
          <w:szCs w:val="36"/>
          <w:rtl/>
        </w:rPr>
        <w:t>نعم ما هو سابق على الإبراز مجرد تصور ما يريد ان يعتبره</w:t>
      </w:r>
      <w:r w:rsidR="00603323" w:rsidRPr="00FD211F">
        <w:rPr>
          <w:sz w:val="36"/>
          <w:szCs w:val="36"/>
          <w:rtl/>
        </w:rPr>
        <w:t xml:space="preserve">، </w:t>
      </w:r>
      <w:r w:rsidRPr="00FD211F">
        <w:rPr>
          <w:sz w:val="36"/>
          <w:szCs w:val="36"/>
          <w:rtl/>
        </w:rPr>
        <w:t>الا انه يعتبره معلقا على إبرازه</w:t>
      </w:r>
      <w:r w:rsidR="00603323" w:rsidRPr="00FD211F">
        <w:rPr>
          <w:sz w:val="36"/>
          <w:szCs w:val="36"/>
          <w:rtl/>
        </w:rPr>
        <w:t xml:space="preserve">، </w:t>
      </w:r>
      <w:r w:rsidRPr="00FD211F">
        <w:rPr>
          <w:sz w:val="36"/>
          <w:szCs w:val="36"/>
          <w:rtl/>
        </w:rPr>
        <w:t>ويلزم ان يكون الشخص قاصدا لإيجاد عنوان البيع</w:t>
      </w:r>
      <w:r w:rsidR="009C58C8" w:rsidRPr="00FD211F">
        <w:rPr>
          <w:rStyle w:val="a6"/>
          <w:sz w:val="36"/>
          <w:szCs w:val="36"/>
          <w:rtl/>
        </w:rPr>
        <w:t>(</w:t>
      </w:r>
      <w:r w:rsidR="009C58C8" w:rsidRPr="00FD211F">
        <w:rPr>
          <w:rStyle w:val="a6"/>
          <w:sz w:val="36"/>
          <w:szCs w:val="36"/>
          <w:rtl/>
        </w:rPr>
        <w:footnoteReference w:id="210"/>
      </w:r>
      <w:r w:rsidR="009C58C8" w:rsidRPr="00FD211F">
        <w:rPr>
          <w:rStyle w:val="a6"/>
          <w:sz w:val="36"/>
          <w:szCs w:val="36"/>
          <w:rtl/>
        </w:rPr>
        <w:t>)</w:t>
      </w:r>
      <w:r w:rsidR="00C8167C" w:rsidRPr="00FD211F">
        <w:rPr>
          <w:sz w:val="36"/>
          <w:szCs w:val="36"/>
          <w:rtl/>
        </w:rPr>
        <w:t>.</w:t>
      </w:r>
    </w:p>
    <w:p w14:paraId="0D62A44D" w14:textId="77777777" w:rsidR="004535A7" w:rsidRPr="00FD211F" w:rsidRDefault="008C2C97" w:rsidP="009C58C8">
      <w:pPr>
        <w:ind w:left="0" w:firstLine="227"/>
        <w:jc w:val="both"/>
        <w:rPr>
          <w:sz w:val="36"/>
          <w:szCs w:val="36"/>
          <w:rtl/>
        </w:rPr>
      </w:pPr>
      <w:r w:rsidRPr="00FD211F">
        <w:rPr>
          <w:sz w:val="36"/>
          <w:szCs w:val="36"/>
          <w:rtl/>
        </w:rPr>
        <w:t>ولكن يلاحظ عليه</w:t>
      </w:r>
      <w:r w:rsidR="00E44168" w:rsidRPr="00FD211F">
        <w:rPr>
          <w:b/>
          <w:bCs/>
          <w:sz w:val="36"/>
          <w:szCs w:val="36"/>
          <w:rtl/>
        </w:rPr>
        <w:t xml:space="preserve"> اولا:</w:t>
      </w:r>
      <w:r w:rsidR="00E44168" w:rsidRPr="00FD211F">
        <w:rPr>
          <w:sz w:val="36"/>
          <w:szCs w:val="36"/>
          <w:rtl/>
        </w:rPr>
        <w:t xml:space="preserve"> </w:t>
      </w:r>
      <w:r w:rsidRPr="00FD211F">
        <w:rPr>
          <w:sz w:val="36"/>
          <w:szCs w:val="36"/>
          <w:rtl/>
        </w:rPr>
        <w:t>ان الاعتبار الشخصي لملكي</w:t>
      </w:r>
      <w:r w:rsidR="00EC7EDF" w:rsidRPr="00FD211F">
        <w:rPr>
          <w:sz w:val="36"/>
          <w:szCs w:val="36"/>
          <w:rtl/>
        </w:rPr>
        <w:t xml:space="preserve">ة </w:t>
      </w:r>
      <w:r w:rsidRPr="00FD211F">
        <w:rPr>
          <w:sz w:val="36"/>
          <w:szCs w:val="36"/>
          <w:rtl/>
        </w:rPr>
        <w:t>الغير لاينافي ان لايراه المعتبر</w:t>
      </w:r>
      <w:r w:rsidR="00B253CE" w:rsidRPr="00FD211F">
        <w:rPr>
          <w:sz w:val="36"/>
          <w:szCs w:val="36"/>
          <w:rtl/>
        </w:rPr>
        <w:t xml:space="preserve"> </w:t>
      </w:r>
      <w:r w:rsidRPr="00FD211F">
        <w:rPr>
          <w:sz w:val="36"/>
          <w:szCs w:val="36"/>
          <w:rtl/>
        </w:rPr>
        <w:t>مالكا بنظره العقلائي والمتشرعي</w:t>
      </w:r>
      <w:r w:rsidR="00603323" w:rsidRPr="00FD211F">
        <w:rPr>
          <w:sz w:val="36"/>
          <w:szCs w:val="36"/>
          <w:rtl/>
        </w:rPr>
        <w:t xml:space="preserve">، </w:t>
      </w:r>
      <w:r w:rsidRPr="00FD211F">
        <w:rPr>
          <w:sz w:val="36"/>
          <w:szCs w:val="36"/>
          <w:rtl/>
        </w:rPr>
        <w:t>كما في بيع الفضولي قبل اجاز</w:t>
      </w:r>
      <w:r w:rsidR="00EC7EDF" w:rsidRPr="00FD211F">
        <w:rPr>
          <w:sz w:val="36"/>
          <w:szCs w:val="36"/>
          <w:rtl/>
        </w:rPr>
        <w:t xml:space="preserve">ة </w:t>
      </w:r>
      <w:r w:rsidRPr="00FD211F">
        <w:rPr>
          <w:sz w:val="36"/>
          <w:szCs w:val="36"/>
          <w:rtl/>
        </w:rPr>
        <w:t>المالك</w:t>
      </w:r>
      <w:r w:rsidR="00603323" w:rsidRPr="00FD211F">
        <w:rPr>
          <w:sz w:val="36"/>
          <w:szCs w:val="36"/>
          <w:rtl/>
        </w:rPr>
        <w:t xml:space="preserve">، </w:t>
      </w:r>
      <w:r w:rsidR="004535A7" w:rsidRPr="00FD211F">
        <w:rPr>
          <w:sz w:val="36"/>
          <w:szCs w:val="36"/>
          <w:rtl/>
        </w:rPr>
        <w:t>او بيع الصرف قبل تحقق التقابض.</w:t>
      </w:r>
    </w:p>
    <w:p w14:paraId="1C45CDDB" w14:textId="77777777" w:rsidR="008C2C97" w:rsidRPr="00FD211F" w:rsidRDefault="00E44168" w:rsidP="009C58C8">
      <w:pPr>
        <w:ind w:left="0" w:firstLine="227"/>
        <w:jc w:val="both"/>
        <w:rPr>
          <w:sz w:val="36"/>
          <w:szCs w:val="36"/>
          <w:rtl/>
        </w:rPr>
      </w:pPr>
      <w:r w:rsidRPr="00FD211F">
        <w:rPr>
          <w:b/>
          <w:bCs/>
          <w:sz w:val="36"/>
          <w:szCs w:val="36"/>
          <w:rtl/>
        </w:rPr>
        <w:t>وثانيا</w:t>
      </w:r>
      <w:r w:rsidR="004535A7" w:rsidRPr="00FD211F">
        <w:rPr>
          <w:sz w:val="36"/>
          <w:szCs w:val="36"/>
          <w:rtl/>
        </w:rPr>
        <w:t>:</w:t>
      </w:r>
      <w:r w:rsidR="008C2C97" w:rsidRPr="00FD211F">
        <w:rPr>
          <w:sz w:val="36"/>
          <w:szCs w:val="36"/>
          <w:rtl/>
        </w:rPr>
        <w:t xml:space="preserve"> لو سلم ما ذكره فغايته ان يكون المعتبرملكي</w:t>
      </w:r>
      <w:r w:rsidR="00EC7EDF" w:rsidRPr="00FD211F">
        <w:rPr>
          <w:sz w:val="36"/>
          <w:szCs w:val="36"/>
          <w:rtl/>
        </w:rPr>
        <w:t xml:space="preserve">ة </w:t>
      </w:r>
      <w:r w:rsidR="008C2C97" w:rsidRPr="00FD211F">
        <w:rPr>
          <w:sz w:val="36"/>
          <w:szCs w:val="36"/>
          <w:rtl/>
        </w:rPr>
        <w:t>الغير معلق</w:t>
      </w:r>
      <w:r w:rsidR="00EC7EDF" w:rsidRPr="00FD211F">
        <w:rPr>
          <w:sz w:val="36"/>
          <w:szCs w:val="36"/>
          <w:rtl/>
        </w:rPr>
        <w:t xml:space="preserve">ة </w:t>
      </w:r>
      <w:r w:rsidR="008C2C97" w:rsidRPr="00FD211F">
        <w:rPr>
          <w:sz w:val="36"/>
          <w:szCs w:val="36"/>
          <w:rtl/>
        </w:rPr>
        <w:t>على</w:t>
      </w:r>
      <w:r w:rsidR="00B253CE" w:rsidRPr="00FD211F">
        <w:rPr>
          <w:sz w:val="36"/>
          <w:szCs w:val="36"/>
          <w:rtl/>
        </w:rPr>
        <w:t xml:space="preserve"> </w:t>
      </w:r>
      <w:r w:rsidR="008C2C97" w:rsidRPr="00FD211F">
        <w:rPr>
          <w:sz w:val="36"/>
          <w:szCs w:val="36"/>
          <w:rtl/>
        </w:rPr>
        <w:t>الإبراز</w:t>
      </w:r>
      <w:r w:rsidR="00603323" w:rsidRPr="00FD211F">
        <w:rPr>
          <w:sz w:val="36"/>
          <w:szCs w:val="36"/>
          <w:rtl/>
        </w:rPr>
        <w:t xml:space="preserve">، </w:t>
      </w:r>
      <w:r w:rsidR="008C2C97" w:rsidRPr="00FD211F">
        <w:rPr>
          <w:sz w:val="36"/>
          <w:szCs w:val="36"/>
          <w:rtl/>
        </w:rPr>
        <w:t>ولايمنع ذلك من سبق</w:t>
      </w:r>
      <w:r w:rsidR="00B253CE" w:rsidRPr="00FD211F">
        <w:rPr>
          <w:sz w:val="36"/>
          <w:szCs w:val="36"/>
          <w:rtl/>
        </w:rPr>
        <w:t xml:space="preserve"> </w:t>
      </w:r>
      <w:r w:rsidR="008C2C97" w:rsidRPr="00FD211F">
        <w:rPr>
          <w:sz w:val="36"/>
          <w:szCs w:val="36"/>
          <w:rtl/>
        </w:rPr>
        <w:t>الاعتبار</w:t>
      </w:r>
      <w:r w:rsidR="00B253CE" w:rsidRPr="00FD211F">
        <w:rPr>
          <w:sz w:val="36"/>
          <w:szCs w:val="36"/>
          <w:rtl/>
        </w:rPr>
        <w:t xml:space="preserve"> </w:t>
      </w:r>
      <w:r w:rsidR="008C2C97" w:rsidRPr="00FD211F">
        <w:rPr>
          <w:sz w:val="36"/>
          <w:szCs w:val="36"/>
          <w:rtl/>
        </w:rPr>
        <w:t>على الابراز</w:t>
      </w:r>
      <w:r w:rsidR="00603323" w:rsidRPr="00FD211F">
        <w:rPr>
          <w:sz w:val="36"/>
          <w:szCs w:val="36"/>
          <w:rtl/>
        </w:rPr>
        <w:t xml:space="preserve">، </w:t>
      </w:r>
      <w:r w:rsidR="008C2C97" w:rsidRPr="00FD211F">
        <w:rPr>
          <w:sz w:val="36"/>
          <w:szCs w:val="36"/>
          <w:rtl/>
        </w:rPr>
        <w:t>فلايصح ان يقال ان الموجود قبل الإبراز مجرد تصور اعتبار الملكي</w:t>
      </w:r>
      <w:r w:rsidR="00EC7EDF" w:rsidRPr="00FD211F">
        <w:rPr>
          <w:sz w:val="36"/>
          <w:szCs w:val="36"/>
          <w:rtl/>
        </w:rPr>
        <w:t>ة</w:t>
      </w:r>
      <w:r w:rsidR="00A61BAE" w:rsidRPr="00FD211F">
        <w:rPr>
          <w:sz w:val="36"/>
          <w:szCs w:val="36"/>
          <w:rtl/>
        </w:rPr>
        <w:t>.</w:t>
      </w:r>
    </w:p>
    <w:p w14:paraId="3CF700A8" w14:textId="77777777" w:rsidR="000C5BBA" w:rsidRPr="00FD211F" w:rsidRDefault="004535A7" w:rsidP="009C58C8">
      <w:pPr>
        <w:ind w:left="0" w:firstLine="227"/>
        <w:jc w:val="both"/>
        <w:rPr>
          <w:sz w:val="36"/>
          <w:szCs w:val="36"/>
          <w:rtl/>
        </w:rPr>
      </w:pPr>
      <w:r w:rsidRPr="00FD211F">
        <w:rPr>
          <w:b/>
          <w:bCs/>
          <w:sz w:val="36"/>
          <w:szCs w:val="36"/>
          <w:rtl/>
        </w:rPr>
        <w:t>وثالثا</w:t>
      </w:r>
      <w:r w:rsidRPr="00FD211F">
        <w:rPr>
          <w:sz w:val="36"/>
          <w:szCs w:val="36"/>
          <w:rtl/>
        </w:rPr>
        <w:t>:</w:t>
      </w:r>
      <w:r w:rsidR="008C2C97" w:rsidRPr="00FD211F">
        <w:rPr>
          <w:sz w:val="36"/>
          <w:szCs w:val="36"/>
          <w:rtl/>
        </w:rPr>
        <w:t>ان ما ذكره من لزوم القصد الى إيجاد عنوان البيع مثلا فلم يظهر لنا وجهه</w:t>
      </w:r>
      <w:r w:rsidR="00603323" w:rsidRPr="00FD211F">
        <w:rPr>
          <w:sz w:val="36"/>
          <w:szCs w:val="36"/>
          <w:rtl/>
        </w:rPr>
        <w:t xml:space="preserve">، </w:t>
      </w:r>
      <w:r w:rsidR="008C2C97" w:rsidRPr="00FD211F">
        <w:rPr>
          <w:sz w:val="36"/>
          <w:szCs w:val="36"/>
          <w:rtl/>
        </w:rPr>
        <w:t>فانه يكفي في صدق عنوان البيع اعتبار الشخص ملكي</w:t>
      </w:r>
      <w:r w:rsidR="00EC7EDF" w:rsidRPr="00FD211F">
        <w:rPr>
          <w:sz w:val="36"/>
          <w:szCs w:val="36"/>
          <w:rtl/>
        </w:rPr>
        <w:t xml:space="preserve">ة </w:t>
      </w:r>
      <w:r w:rsidR="008C2C97" w:rsidRPr="00FD211F">
        <w:rPr>
          <w:sz w:val="36"/>
          <w:szCs w:val="36"/>
          <w:rtl/>
        </w:rPr>
        <w:t>الغير بعوض وابرازه لذلك ولو تخيل انه لادخل لهذا الإبراز في الحكم بتحقق الملكي</w:t>
      </w:r>
      <w:r w:rsidR="00EC7EDF" w:rsidRPr="00FD211F">
        <w:rPr>
          <w:sz w:val="36"/>
          <w:szCs w:val="36"/>
          <w:rtl/>
        </w:rPr>
        <w:t xml:space="preserve">ة </w:t>
      </w:r>
      <w:r w:rsidR="008C2C97" w:rsidRPr="00FD211F">
        <w:rPr>
          <w:sz w:val="36"/>
          <w:szCs w:val="36"/>
          <w:rtl/>
        </w:rPr>
        <w:t>الشرعي</w:t>
      </w:r>
      <w:r w:rsidR="00EC7EDF" w:rsidRPr="00FD211F">
        <w:rPr>
          <w:sz w:val="36"/>
          <w:szCs w:val="36"/>
          <w:rtl/>
        </w:rPr>
        <w:t xml:space="preserve">ة </w:t>
      </w:r>
      <w:r w:rsidR="008C2C97" w:rsidRPr="00FD211F">
        <w:rPr>
          <w:sz w:val="36"/>
          <w:szCs w:val="36"/>
          <w:rtl/>
        </w:rPr>
        <w:t>والعرفي</w:t>
      </w:r>
      <w:r w:rsidR="00EC7EDF" w:rsidRPr="00FD211F">
        <w:rPr>
          <w:sz w:val="36"/>
          <w:szCs w:val="36"/>
          <w:rtl/>
        </w:rPr>
        <w:t>ة</w:t>
      </w:r>
      <w:r w:rsidR="00603323" w:rsidRPr="00FD211F">
        <w:rPr>
          <w:sz w:val="36"/>
          <w:szCs w:val="36"/>
          <w:rtl/>
        </w:rPr>
        <w:t xml:space="preserve">، </w:t>
      </w:r>
      <w:r w:rsidR="008C2C97" w:rsidRPr="00FD211F">
        <w:rPr>
          <w:sz w:val="36"/>
          <w:szCs w:val="36"/>
          <w:rtl/>
        </w:rPr>
        <w:t>نظير ما لو اعتبر الدائن -وهو جالس في مكان وحده- براء</w:t>
      </w:r>
      <w:r w:rsidR="00EC7EDF" w:rsidRPr="00FD211F">
        <w:rPr>
          <w:sz w:val="36"/>
          <w:szCs w:val="36"/>
          <w:rtl/>
        </w:rPr>
        <w:t xml:space="preserve">ة </w:t>
      </w:r>
      <w:r w:rsidR="008C2C97" w:rsidRPr="00FD211F">
        <w:rPr>
          <w:sz w:val="36"/>
          <w:szCs w:val="36"/>
          <w:rtl/>
        </w:rPr>
        <w:t>ذم</w:t>
      </w:r>
      <w:r w:rsidR="00EC7EDF" w:rsidRPr="00FD211F">
        <w:rPr>
          <w:sz w:val="36"/>
          <w:szCs w:val="36"/>
          <w:rtl/>
        </w:rPr>
        <w:t xml:space="preserve">ة </w:t>
      </w:r>
      <w:r w:rsidR="008C2C97" w:rsidRPr="00FD211F">
        <w:rPr>
          <w:sz w:val="36"/>
          <w:szCs w:val="36"/>
          <w:rtl/>
        </w:rPr>
        <w:t>المدين</w:t>
      </w:r>
      <w:r w:rsidR="00603323" w:rsidRPr="00FD211F">
        <w:rPr>
          <w:sz w:val="36"/>
          <w:szCs w:val="36"/>
          <w:rtl/>
        </w:rPr>
        <w:t xml:space="preserve">، </w:t>
      </w:r>
      <w:r w:rsidR="008C2C97" w:rsidRPr="00FD211F">
        <w:rPr>
          <w:sz w:val="36"/>
          <w:szCs w:val="36"/>
          <w:rtl/>
        </w:rPr>
        <w:t>وأبرز ذلك بلاالتفات له في دخل الإبراز في براء</w:t>
      </w:r>
      <w:r w:rsidR="00EC7EDF" w:rsidRPr="00FD211F">
        <w:rPr>
          <w:sz w:val="36"/>
          <w:szCs w:val="36"/>
          <w:rtl/>
        </w:rPr>
        <w:t xml:space="preserve">ة </w:t>
      </w:r>
      <w:r w:rsidR="008C2C97" w:rsidRPr="00FD211F">
        <w:rPr>
          <w:sz w:val="36"/>
          <w:szCs w:val="36"/>
          <w:rtl/>
        </w:rPr>
        <w:t>ذم</w:t>
      </w:r>
      <w:r w:rsidR="00EC7EDF" w:rsidRPr="00FD211F">
        <w:rPr>
          <w:sz w:val="36"/>
          <w:szCs w:val="36"/>
          <w:rtl/>
        </w:rPr>
        <w:t xml:space="preserve">ة </w:t>
      </w:r>
      <w:r w:rsidR="008C2C97" w:rsidRPr="00FD211F">
        <w:rPr>
          <w:sz w:val="36"/>
          <w:szCs w:val="36"/>
          <w:rtl/>
        </w:rPr>
        <w:t>المدين عرفا وشرعا</w:t>
      </w:r>
      <w:r w:rsidR="00603323" w:rsidRPr="00FD211F">
        <w:rPr>
          <w:sz w:val="36"/>
          <w:szCs w:val="36"/>
          <w:rtl/>
        </w:rPr>
        <w:t xml:space="preserve">، </w:t>
      </w:r>
      <w:r w:rsidR="008C2C97" w:rsidRPr="00FD211F">
        <w:rPr>
          <w:sz w:val="36"/>
          <w:szCs w:val="36"/>
          <w:rtl/>
        </w:rPr>
        <w:t>فان مقتضى السير</w:t>
      </w:r>
      <w:r w:rsidR="00EC7EDF" w:rsidRPr="00FD211F">
        <w:rPr>
          <w:sz w:val="36"/>
          <w:szCs w:val="36"/>
          <w:rtl/>
        </w:rPr>
        <w:t xml:space="preserve">ة </w:t>
      </w:r>
      <w:r w:rsidR="008C2C97" w:rsidRPr="00FD211F">
        <w:rPr>
          <w:sz w:val="36"/>
          <w:szCs w:val="36"/>
          <w:rtl/>
        </w:rPr>
        <w:t>العقلائي</w:t>
      </w:r>
      <w:r w:rsidR="00EC7EDF" w:rsidRPr="00FD211F">
        <w:rPr>
          <w:sz w:val="36"/>
          <w:szCs w:val="36"/>
          <w:rtl/>
        </w:rPr>
        <w:t xml:space="preserve">ة </w:t>
      </w:r>
      <w:r w:rsidR="008C2C97" w:rsidRPr="00FD211F">
        <w:rPr>
          <w:sz w:val="36"/>
          <w:szCs w:val="36"/>
          <w:rtl/>
        </w:rPr>
        <w:t>والاطلاقات صح</w:t>
      </w:r>
      <w:r w:rsidR="00EC7EDF" w:rsidRPr="00FD211F">
        <w:rPr>
          <w:sz w:val="36"/>
          <w:szCs w:val="36"/>
          <w:rtl/>
        </w:rPr>
        <w:t xml:space="preserve">ة </w:t>
      </w:r>
      <w:r w:rsidR="008C2C97" w:rsidRPr="00FD211F">
        <w:rPr>
          <w:sz w:val="36"/>
          <w:szCs w:val="36"/>
          <w:rtl/>
        </w:rPr>
        <w:t>ذلك.</w:t>
      </w:r>
    </w:p>
    <w:p w14:paraId="6AE10C6A" w14:textId="77777777" w:rsidR="008C2C97" w:rsidRPr="00FD211F" w:rsidRDefault="00556BC0" w:rsidP="005946E3">
      <w:pPr>
        <w:ind w:left="0" w:firstLine="227"/>
        <w:jc w:val="both"/>
        <w:rPr>
          <w:sz w:val="36"/>
          <w:szCs w:val="36"/>
          <w:rtl/>
        </w:rPr>
      </w:pPr>
      <w:r w:rsidRPr="00FD211F">
        <w:rPr>
          <w:sz w:val="36"/>
          <w:szCs w:val="36"/>
          <w:rtl/>
        </w:rPr>
        <w:t>فالانصاف ان ما ذكره السيد الخوئي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من كون الإنشاء في العقود والإيقاعات متقوما بالاعتبار والإبراز هو الموافق للمرتكز العرفي في إنشاء المعاملات</w:t>
      </w:r>
      <w:r w:rsidR="00603323" w:rsidRPr="00FD211F">
        <w:rPr>
          <w:sz w:val="36"/>
          <w:szCs w:val="36"/>
          <w:rtl/>
        </w:rPr>
        <w:t xml:space="preserve">، </w:t>
      </w:r>
      <w:r w:rsidRPr="00FD211F">
        <w:rPr>
          <w:sz w:val="36"/>
          <w:szCs w:val="36"/>
          <w:rtl/>
        </w:rPr>
        <w:t xml:space="preserve">فحينما يقول المالك لشخص آخر </w:t>
      </w:r>
      <w:r w:rsidR="00C8167C" w:rsidRPr="00FD211F">
        <w:rPr>
          <w:sz w:val="36"/>
          <w:szCs w:val="36"/>
          <w:rtl/>
        </w:rPr>
        <w:t>"</w:t>
      </w:r>
      <w:r w:rsidRPr="00FD211F">
        <w:rPr>
          <w:sz w:val="36"/>
          <w:szCs w:val="36"/>
          <w:rtl/>
        </w:rPr>
        <w:t xml:space="preserve">هذا ملكك </w:t>
      </w:r>
      <w:r w:rsidR="00C8167C" w:rsidRPr="00FD211F">
        <w:rPr>
          <w:sz w:val="36"/>
          <w:szCs w:val="36"/>
          <w:rtl/>
        </w:rPr>
        <w:t>"</w:t>
      </w:r>
      <w:r w:rsidRPr="00FD211F">
        <w:rPr>
          <w:sz w:val="36"/>
          <w:szCs w:val="36"/>
          <w:rtl/>
        </w:rPr>
        <w:t>فليس ف</w:t>
      </w:r>
      <w:r w:rsidR="00C8167C" w:rsidRPr="00FD211F">
        <w:rPr>
          <w:sz w:val="36"/>
          <w:szCs w:val="36"/>
          <w:rtl/>
        </w:rPr>
        <w:t>ي نفسه الا اعتبار ملكيته له</w:t>
      </w:r>
      <w:r w:rsidR="00603323" w:rsidRPr="00FD211F">
        <w:rPr>
          <w:sz w:val="36"/>
          <w:szCs w:val="36"/>
          <w:rtl/>
        </w:rPr>
        <w:t xml:space="preserve">، </w:t>
      </w:r>
      <w:r w:rsidR="00C8167C" w:rsidRPr="00FD211F">
        <w:rPr>
          <w:sz w:val="36"/>
          <w:szCs w:val="36"/>
          <w:rtl/>
        </w:rPr>
        <w:t>وحينما</w:t>
      </w:r>
      <w:r w:rsidRPr="00FD211F">
        <w:rPr>
          <w:sz w:val="36"/>
          <w:szCs w:val="36"/>
          <w:rtl/>
        </w:rPr>
        <w:t xml:space="preserve"> يبرز ذلك فقد يترتب عليه حكم العقلاء والشارع بملكي</w:t>
      </w:r>
      <w:r w:rsidR="00EC7EDF" w:rsidRPr="00FD211F">
        <w:rPr>
          <w:sz w:val="36"/>
          <w:szCs w:val="36"/>
          <w:rtl/>
        </w:rPr>
        <w:t xml:space="preserve">ة </w:t>
      </w:r>
      <w:r w:rsidRPr="00FD211F">
        <w:rPr>
          <w:sz w:val="36"/>
          <w:szCs w:val="36"/>
          <w:rtl/>
        </w:rPr>
        <w:t>الغير له</w:t>
      </w:r>
      <w:r w:rsidR="00603323" w:rsidRPr="00FD211F">
        <w:rPr>
          <w:sz w:val="36"/>
          <w:szCs w:val="36"/>
          <w:rtl/>
        </w:rPr>
        <w:t xml:space="preserve">، </w:t>
      </w:r>
      <w:r w:rsidRPr="00FD211F">
        <w:rPr>
          <w:sz w:val="36"/>
          <w:szCs w:val="36"/>
          <w:rtl/>
        </w:rPr>
        <w:t>ومما يشهد على ذلك موارد البيع المعاطاتي</w:t>
      </w:r>
      <w:r w:rsidR="00603323" w:rsidRPr="00FD211F">
        <w:rPr>
          <w:sz w:val="36"/>
          <w:szCs w:val="36"/>
          <w:rtl/>
        </w:rPr>
        <w:t xml:space="preserve">، </w:t>
      </w:r>
      <w:r w:rsidRPr="00FD211F">
        <w:rPr>
          <w:sz w:val="36"/>
          <w:szCs w:val="36"/>
          <w:rtl/>
        </w:rPr>
        <w:t xml:space="preserve">فان من يبرز تمليك ماله من الغير بتسليمه اليه فلايقصد به الا ابراز اعتباره </w:t>
      </w:r>
      <w:r w:rsidR="008C2C97" w:rsidRPr="00FD211F">
        <w:rPr>
          <w:sz w:val="36"/>
          <w:szCs w:val="36"/>
          <w:rtl/>
        </w:rPr>
        <w:t>النفساني.</w:t>
      </w:r>
    </w:p>
    <w:p w14:paraId="56A6211D" w14:textId="77777777" w:rsidR="00556BC0" w:rsidRPr="00FD211F" w:rsidRDefault="00556BC0" w:rsidP="009C58C8">
      <w:pPr>
        <w:ind w:left="0" w:firstLine="227"/>
        <w:jc w:val="both"/>
        <w:rPr>
          <w:sz w:val="36"/>
          <w:szCs w:val="36"/>
          <w:rtl/>
        </w:rPr>
      </w:pPr>
      <w:r w:rsidRPr="00FD211F">
        <w:rPr>
          <w:sz w:val="36"/>
          <w:szCs w:val="36"/>
          <w:rtl/>
        </w:rPr>
        <w:t>وكيف كان فقد تحصل من البحث في الجه</w:t>
      </w:r>
      <w:r w:rsidR="00EC7EDF" w:rsidRPr="00FD211F">
        <w:rPr>
          <w:sz w:val="36"/>
          <w:szCs w:val="36"/>
          <w:rtl/>
        </w:rPr>
        <w:t xml:space="preserve">ة </w:t>
      </w:r>
      <w:r w:rsidRPr="00FD211F">
        <w:rPr>
          <w:sz w:val="36"/>
          <w:szCs w:val="36"/>
          <w:rtl/>
        </w:rPr>
        <w:t>الأو</w:t>
      </w:r>
      <w:r w:rsidR="006035C7" w:rsidRPr="00FD211F">
        <w:rPr>
          <w:sz w:val="36"/>
          <w:szCs w:val="36"/>
          <w:rtl/>
        </w:rPr>
        <w:t>لى ان الصحيح في تفسير علاق</w:t>
      </w:r>
      <w:r w:rsidR="00EC7EDF" w:rsidRPr="00FD211F">
        <w:rPr>
          <w:sz w:val="36"/>
          <w:szCs w:val="36"/>
          <w:rtl/>
        </w:rPr>
        <w:t xml:space="preserve">ة </w:t>
      </w:r>
      <w:r w:rsidR="006035C7" w:rsidRPr="00FD211F">
        <w:rPr>
          <w:sz w:val="36"/>
          <w:szCs w:val="36"/>
          <w:rtl/>
        </w:rPr>
        <w:t>الجمل</w:t>
      </w:r>
      <w:r w:rsidR="00EC7EDF" w:rsidRPr="00FD211F">
        <w:rPr>
          <w:sz w:val="36"/>
          <w:szCs w:val="36"/>
          <w:rtl/>
        </w:rPr>
        <w:t xml:space="preserve">ة </w:t>
      </w:r>
      <w:r w:rsidR="006035C7" w:rsidRPr="00FD211F">
        <w:rPr>
          <w:sz w:val="36"/>
          <w:szCs w:val="36"/>
          <w:rtl/>
        </w:rPr>
        <w:t>الإنشائي</w:t>
      </w:r>
      <w:r w:rsidR="00EC7EDF" w:rsidRPr="00FD211F">
        <w:rPr>
          <w:sz w:val="36"/>
          <w:szCs w:val="36"/>
          <w:rtl/>
        </w:rPr>
        <w:t xml:space="preserve">ة </w:t>
      </w:r>
      <w:r w:rsidR="006035C7" w:rsidRPr="00FD211F">
        <w:rPr>
          <w:sz w:val="36"/>
          <w:szCs w:val="36"/>
          <w:rtl/>
        </w:rPr>
        <w:t>بمعناها</w:t>
      </w:r>
      <w:r w:rsidRPr="00FD211F">
        <w:rPr>
          <w:sz w:val="36"/>
          <w:szCs w:val="36"/>
          <w:rtl/>
        </w:rPr>
        <w:t xml:space="preserve"> ودلالتها عليه </w:t>
      </w:r>
      <w:r w:rsidR="006035C7" w:rsidRPr="00FD211F">
        <w:rPr>
          <w:sz w:val="36"/>
          <w:szCs w:val="36"/>
          <w:rtl/>
        </w:rPr>
        <w:t>ما مر في الوجه الرابع من انهاعلاق</w:t>
      </w:r>
      <w:r w:rsidR="00EC7EDF" w:rsidRPr="00FD211F">
        <w:rPr>
          <w:sz w:val="36"/>
          <w:szCs w:val="36"/>
          <w:rtl/>
        </w:rPr>
        <w:t xml:space="preserve">ة </w:t>
      </w:r>
      <w:r w:rsidR="006035C7" w:rsidRPr="00FD211F">
        <w:rPr>
          <w:sz w:val="36"/>
          <w:szCs w:val="36"/>
          <w:rtl/>
        </w:rPr>
        <w:t>إيجادي</w:t>
      </w:r>
      <w:r w:rsidR="00EC7EDF" w:rsidRPr="00FD211F">
        <w:rPr>
          <w:sz w:val="36"/>
          <w:szCs w:val="36"/>
          <w:rtl/>
        </w:rPr>
        <w:t xml:space="preserve">ة </w:t>
      </w:r>
      <w:r w:rsidR="006035C7" w:rsidRPr="00FD211F">
        <w:rPr>
          <w:sz w:val="36"/>
          <w:szCs w:val="36"/>
          <w:rtl/>
        </w:rPr>
        <w:t>تصوري</w:t>
      </w:r>
      <w:r w:rsidR="00EC7EDF" w:rsidRPr="00FD211F">
        <w:rPr>
          <w:sz w:val="36"/>
          <w:szCs w:val="36"/>
          <w:rtl/>
        </w:rPr>
        <w:t xml:space="preserve">ة </w:t>
      </w:r>
      <w:r w:rsidR="006035C7" w:rsidRPr="00FD211F">
        <w:rPr>
          <w:sz w:val="36"/>
          <w:szCs w:val="36"/>
          <w:rtl/>
        </w:rPr>
        <w:t>لاإخطاري</w:t>
      </w:r>
      <w:r w:rsidR="00EC7EDF" w:rsidRPr="00FD211F">
        <w:rPr>
          <w:sz w:val="36"/>
          <w:szCs w:val="36"/>
          <w:rtl/>
        </w:rPr>
        <w:t>ة</w:t>
      </w:r>
      <w:r w:rsidR="00A61BAE" w:rsidRPr="00FD211F">
        <w:rPr>
          <w:sz w:val="36"/>
          <w:szCs w:val="36"/>
          <w:rtl/>
        </w:rPr>
        <w:t>.</w:t>
      </w:r>
    </w:p>
    <w:p w14:paraId="3E5130E0" w14:textId="77777777" w:rsidR="00556BC0" w:rsidRPr="00FD211F" w:rsidRDefault="00556BC0" w:rsidP="009C58C8">
      <w:pPr>
        <w:pStyle w:val="3"/>
        <w:ind w:firstLine="227"/>
        <w:jc w:val="both"/>
        <w:rPr>
          <w:rtl/>
        </w:rPr>
      </w:pPr>
      <w:bookmarkStart w:id="230" w:name="درس093دقيقه10"/>
      <w:bookmarkStart w:id="231" w:name="_Toc192092882"/>
      <w:bookmarkStart w:id="232" w:name="_Toc223890358"/>
      <w:bookmarkEnd w:id="230"/>
      <w:r w:rsidRPr="00FD211F">
        <w:rPr>
          <w:rtl/>
        </w:rPr>
        <w:t>تشخيص معنى الجمل الإنشائي</w:t>
      </w:r>
      <w:r w:rsidR="00EC7EDF" w:rsidRPr="00FD211F">
        <w:rPr>
          <w:rtl/>
        </w:rPr>
        <w:t>ة</w:t>
      </w:r>
      <w:bookmarkEnd w:id="232"/>
      <w:r w:rsidR="00EC7EDF" w:rsidRPr="00FD211F">
        <w:rPr>
          <w:rtl/>
        </w:rPr>
        <w:t xml:space="preserve"> </w:t>
      </w:r>
      <w:bookmarkEnd w:id="231"/>
    </w:p>
    <w:p w14:paraId="4BCCC4F6" w14:textId="77777777" w:rsidR="00556BC0" w:rsidRPr="00FD211F" w:rsidRDefault="006035C7" w:rsidP="009C58C8">
      <w:pPr>
        <w:ind w:left="0" w:firstLine="227"/>
        <w:jc w:val="both"/>
        <w:rPr>
          <w:sz w:val="36"/>
          <w:szCs w:val="36"/>
          <w:rtl/>
        </w:rPr>
      </w:pPr>
      <w:r w:rsidRPr="00FD211F">
        <w:rPr>
          <w:b/>
          <w:bCs/>
          <w:sz w:val="36"/>
          <w:szCs w:val="36"/>
          <w:rtl/>
        </w:rPr>
        <w:t>الجه</w:t>
      </w:r>
      <w:r w:rsidR="00EC7EDF" w:rsidRPr="00FD211F">
        <w:rPr>
          <w:b/>
          <w:bCs/>
          <w:sz w:val="36"/>
          <w:szCs w:val="36"/>
          <w:rtl/>
        </w:rPr>
        <w:t xml:space="preserve">ة </w:t>
      </w:r>
      <w:r w:rsidRPr="00FD211F">
        <w:rPr>
          <w:b/>
          <w:bCs/>
          <w:sz w:val="36"/>
          <w:szCs w:val="36"/>
          <w:rtl/>
        </w:rPr>
        <w:t>الثاني</w:t>
      </w:r>
      <w:r w:rsidR="00EC7EDF" w:rsidRPr="00FD211F">
        <w:rPr>
          <w:b/>
          <w:bCs/>
          <w:sz w:val="36"/>
          <w:szCs w:val="36"/>
          <w:rtl/>
        </w:rPr>
        <w:t xml:space="preserve">ة </w:t>
      </w:r>
      <w:r w:rsidR="00E44168" w:rsidRPr="00FD211F">
        <w:rPr>
          <w:sz w:val="36"/>
          <w:szCs w:val="36"/>
          <w:rtl/>
        </w:rPr>
        <w:t>في</w:t>
      </w:r>
      <w:r w:rsidR="00B253CE" w:rsidRPr="00FD211F">
        <w:rPr>
          <w:sz w:val="36"/>
          <w:szCs w:val="36"/>
          <w:rtl/>
        </w:rPr>
        <w:t xml:space="preserve"> </w:t>
      </w:r>
      <w:r w:rsidR="00556BC0" w:rsidRPr="00FD211F">
        <w:rPr>
          <w:sz w:val="36"/>
          <w:szCs w:val="36"/>
          <w:rtl/>
        </w:rPr>
        <w:t>تشخيص معن</w:t>
      </w:r>
      <w:r w:rsidRPr="00FD211F">
        <w:rPr>
          <w:sz w:val="36"/>
          <w:szCs w:val="36"/>
          <w:rtl/>
        </w:rPr>
        <w:t>ى الجمل الإن</w:t>
      </w:r>
      <w:r w:rsidR="000F7DBA" w:rsidRPr="00FD211F">
        <w:rPr>
          <w:sz w:val="36"/>
          <w:szCs w:val="36"/>
          <w:rtl/>
        </w:rPr>
        <w:t>شائي</w:t>
      </w:r>
      <w:r w:rsidR="00EC7EDF" w:rsidRPr="00FD211F">
        <w:rPr>
          <w:sz w:val="36"/>
          <w:szCs w:val="36"/>
          <w:rtl/>
        </w:rPr>
        <w:t>ة</w:t>
      </w:r>
      <w:r w:rsidR="00603323" w:rsidRPr="00FD211F">
        <w:rPr>
          <w:sz w:val="36"/>
          <w:szCs w:val="36"/>
          <w:rtl/>
        </w:rPr>
        <w:t xml:space="preserve">، </w:t>
      </w:r>
      <w:r w:rsidR="00E44168" w:rsidRPr="00FD211F">
        <w:rPr>
          <w:sz w:val="36"/>
          <w:szCs w:val="36"/>
          <w:rtl/>
        </w:rPr>
        <w:t>و</w:t>
      </w:r>
      <w:r w:rsidR="00556BC0" w:rsidRPr="00FD211F">
        <w:rPr>
          <w:sz w:val="36"/>
          <w:szCs w:val="36"/>
          <w:rtl/>
        </w:rPr>
        <w:t>يقع</w:t>
      </w:r>
      <w:r w:rsidR="00E44168" w:rsidRPr="00FD211F">
        <w:rPr>
          <w:sz w:val="36"/>
          <w:szCs w:val="36"/>
          <w:rtl/>
        </w:rPr>
        <w:t xml:space="preserve"> الكلام </w:t>
      </w:r>
      <w:r w:rsidR="00556BC0" w:rsidRPr="00FD211F">
        <w:rPr>
          <w:sz w:val="36"/>
          <w:szCs w:val="36"/>
          <w:rtl/>
        </w:rPr>
        <w:t>في</w:t>
      </w:r>
      <w:r w:rsidR="00E44168" w:rsidRPr="00FD211F">
        <w:rPr>
          <w:sz w:val="36"/>
          <w:szCs w:val="36"/>
          <w:rtl/>
        </w:rPr>
        <w:t>ه في</w:t>
      </w:r>
      <w:r w:rsidR="00556BC0" w:rsidRPr="00FD211F">
        <w:rPr>
          <w:sz w:val="36"/>
          <w:szCs w:val="36"/>
          <w:rtl/>
        </w:rPr>
        <w:t xml:space="preserve"> مقامين:</w:t>
      </w:r>
    </w:p>
    <w:p w14:paraId="09ACE511" w14:textId="77777777" w:rsidR="00556BC0" w:rsidRPr="00FD211F" w:rsidRDefault="005C4BF5" w:rsidP="009C58C8">
      <w:pPr>
        <w:ind w:left="0" w:firstLine="227"/>
        <w:jc w:val="both"/>
        <w:rPr>
          <w:sz w:val="36"/>
          <w:szCs w:val="36"/>
          <w:rtl/>
        </w:rPr>
      </w:pPr>
      <w:r w:rsidRPr="00FD211F">
        <w:rPr>
          <w:sz w:val="36"/>
          <w:szCs w:val="36"/>
          <w:rtl/>
        </w:rPr>
        <w:t>احدهما</w:t>
      </w:r>
      <w:r w:rsidR="00D70ED4" w:rsidRPr="00FD211F">
        <w:rPr>
          <w:sz w:val="36"/>
          <w:szCs w:val="36"/>
          <w:rtl/>
        </w:rPr>
        <w:t xml:space="preserve"> </w:t>
      </w:r>
      <w:r w:rsidR="00556BC0" w:rsidRPr="00FD211F">
        <w:rPr>
          <w:sz w:val="36"/>
          <w:szCs w:val="36"/>
          <w:rtl/>
        </w:rPr>
        <w:t xml:space="preserve">في الجمل </w:t>
      </w:r>
      <w:r w:rsidR="000F7DBA" w:rsidRPr="00FD211F">
        <w:rPr>
          <w:sz w:val="36"/>
          <w:szCs w:val="36"/>
          <w:rtl/>
        </w:rPr>
        <w:t>الانشائي</w:t>
      </w:r>
      <w:r w:rsidR="00EC7EDF" w:rsidRPr="00FD211F">
        <w:rPr>
          <w:sz w:val="36"/>
          <w:szCs w:val="36"/>
          <w:rtl/>
        </w:rPr>
        <w:t xml:space="preserve">ة </w:t>
      </w:r>
      <w:r w:rsidR="000F7DBA" w:rsidRPr="00FD211F">
        <w:rPr>
          <w:sz w:val="36"/>
          <w:szCs w:val="36"/>
          <w:rtl/>
        </w:rPr>
        <w:t>المختص</w:t>
      </w:r>
      <w:r w:rsidR="00EC7EDF" w:rsidRPr="00FD211F">
        <w:rPr>
          <w:sz w:val="36"/>
          <w:szCs w:val="36"/>
          <w:rtl/>
        </w:rPr>
        <w:t xml:space="preserve">ة </w:t>
      </w:r>
      <w:r w:rsidR="00556BC0" w:rsidRPr="00FD211F">
        <w:rPr>
          <w:sz w:val="36"/>
          <w:szCs w:val="36"/>
          <w:rtl/>
        </w:rPr>
        <w:t>كجمل</w:t>
      </w:r>
      <w:r w:rsidR="00EC7EDF" w:rsidRPr="00FD211F">
        <w:rPr>
          <w:sz w:val="36"/>
          <w:szCs w:val="36"/>
          <w:rtl/>
        </w:rPr>
        <w:t xml:space="preserve">ة </w:t>
      </w:r>
      <w:r w:rsidR="00556BC0" w:rsidRPr="00FD211F">
        <w:rPr>
          <w:sz w:val="36"/>
          <w:szCs w:val="36"/>
          <w:rtl/>
        </w:rPr>
        <w:t>الاستفهام والتمني والت</w:t>
      </w:r>
      <w:r w:rsidR="000F7DBA" w:rsidRPr="00FD211F">
        <w:rPr>
          <w:sz w:val="36"/>
          <w:szCs w:val="36"/>
          <w:rtl/>
        </w:rPr>
        <w:t>رجي وصيغ</w:t>
      </w:r>
      <w:r w:rsidR="00EC7EDF" w:rsidRPr="00FD211F">
        <w:rPr>
          <w:sz w:val="36"/>
          <w:szCs w:val="36"/>
          <w:rtl/>
        </w:rPr>
        <w:t xml:space="preserve">ة </w:t>
      </w:r>
      <w:r w:rsidR="000F7DBA" w:rsidRPr="00FD211F">
        <w:rPr>
          <w:sz w:val="36"/>
          <w:szCs w:val="36"/>
          <w:rtl/>
        </w:rPr>
        <w:t>الأمر ونحو ذلك</w:t>
      </w:r>
      <w:r w:rsidR="00603323" w:rsidRPr="00FD211F">
        <w:rPr>
          <w:sz w:val="36"/>
          <w:szCs w:val="36"/>
          <w:rtl/>
        </w:rPr>
        <w:t xml:space="preserve">، </w:t>
      </w:r>
      <w:r w:rsidR="000F7DBA" w:rsidRPr="00FD211F">
        <w:rPr>
          <w:sz w:val="36"/>
          <w:szCs w:val="36"/>
          <w:rtl/>
        </w:rPr>
        <w:t>وثانيهما</w:t>
      </w:r>
      <w:r w:rsidR="00556BC0" w:rsidRPr="00FD211F">
        <w:rPr>
          <w:sz w:val="36"/>
          <w:szCs w:val="36"/>
          <w:rtl/>
        </w:rPr>
        <w:t xml:space="preserve"> في الجمل المشترك</w:t>
      </w:r>
      <w:r w:rsidR="00EC7EDF" w:rsidRPr="00FD211F">
        <w:rPr>
          <w:sz w:val="36"/>
          <w:szCs w:val="36"/>
          <w:rtl/>
        </w:rPr>
        <w:t xml:space="preserve">ة </w:t>
      </w:r>
      <w:r w:rsidR="00556BC0" w:rsidRPr="00FD211F">
        <w:rPr>
          <w:sz w:val="36"/>
          <w:szCs w:val="36"/>
          <w:rtl/>
        </w:rPr>
        <w:t>مثل "يعيد صلاته" او "بعت".</w:t>
      </w:r>
    </w:p>
    <w:p w14:paraId="48DC6C88" w14:textId="77777777" w:rsidR="00556BC0" w:rsidRPr="00FD211F" w:rsidRDefault="00556BC0" w:rsidP="009C58C8">
      <w:pPr>
        <w:pStyle w:val="3"/>
        <w:ind w:firstLine="227"/>
        <w:jc w:val="both"/>
        <w:rPr>
          <w:rtl/>
        </w:rPr>
      </w:pPr>
      <w:bookmarkStart w:id="233" w:name="_Toc192092883"/>
      <w:bookmarkStart w:id="234" w:name="_Toc223890359"/>
      <w:r w:rsidRPr="00FD211F">
        <w:rPr>
          <w:rtl/>
        </w:rPr>
        <w:t>معنى الجم</w:t>
      </w:r>
      <w:bookmarkEnd w:id="233"/>
      <w:r w:rsidR="006B45E3" w:rsidRPr="00FD211F">
        <w:rPr>
          <w:rtl/>
        </w:rPr>
        <w:t>ل الإنشائي</w:t>
      </w:r>
      <w:r w:rsidR="00EC7EDF" w:rsidRPr="00FD211F">
        <w:rPr>
          <w:rtl/>
        </w:rPr>
        <w:t xml:space="preserve">ة </w:t>
      </w:r>
      <w:r w:rsidR="006B45E3" w:rsidRPr="00FD211F">
        <w:rPr>
          <w:rtl/>
        </w:rPr>
        <w:t>المختص</w:t>
      </w:r>
      <w:r w:rsidR="00EC7EDF" w:rsidRPr="00FD211F">
        <w:rPr>
          <w:rtl/>
        </w:rPr>
        <w:t>ة</w:t>
      </w:r>
      <w:bookmarkEnd w:id="234"/>
      <w:r w:rsidR="00EC7EDF" w:rsidRPr="00FD211F">
        <w:rPr>
          <w:rtl/>
        </w:rPr>
        <w:t xml:space="preserve"> </w:t>
      </w:r>
    </w:p>
    <w:p w14:paraId="4B3C6F74" w14:textId="77777777" w:rsidR="00556BC0" w:rsidRPr="00FD211F" w:rsidRDefault="00556BC0" w:rsidP="009C58C8">
      <w:pPr>
        <w:ind w:left="0" w:firstLine="227"/>
        <w:jc w:val="both"/>
        <w:rPr>
          <w:sz w:val="36"/>
          <w:szCs w:val="36"/>
          <w:rtl/>
        </w:rPr>
      </w:pPr>
      <w:r w:rsidRPr="00FD211F">
        <w:rPr>
          <w:sz w:val="36"/>
          <w:szCs w:val="36"/>
          <w:rtl/>
        </w:rPr>
        <w:t>ا</w:t>
      </w:r>
      <w:r w:rsidRPr="00FD211F">
        <w:rPr>
          <w:b/>
          <w:bCs/>
          <w:sz w:val="36"/>
          <w:szCs w:val="36"/>
          <w:rtl/>
        </w:rPr>
        <w:t xml:space="preserve">لمقام الأول </w:t>
      </w:r>
      <w:r w:rsidRPr="00FD211F">
        <w:rPr>
          <w:sz w:val="36"/>
          <w:szCs w:val="36"/>
          <w:rtl/>
        </w:rPr>
        <w:t xml:space="preserve">في تشخيص معنى الجمل </w:t>
      </w:r>
      <w:r w:rsidR="00AB119C" w:rsidRPr="00FD211F">
        <w:rPr>
          <w:sz w:val="36"/>
          <w:szCs w:val="36"/>
          <w:rtl/>
        </w:rPr>
        <w:t>الانشائي</w:t>
      </w:r>
      <w:r w:rsidR="00EC7EDF" w:rsidRPr="00FD211F">
        <w:rPr>
          <w:sz w:val="36"/>
          <w:szCs w:val="36"/>
          <w:rtl/>
        </w:rPr>
        <w:t xml:space="preserve">ة </w:t>
      </w:r>
      <w:r w:rsidR="00AB119C" w:rsidRPr="00FD211F">
        <w:rPr>
          <w:sz w:val="36"/>
          <w:szCs w:val="36"/>
          <w:rtl/>
        </w:rPr>
        <w:t>المختص</w:t>
      </w:r>
      <w:r w:rsidR="00EC7EDF" w:rsidRPr="00FD211F">
        <w:rPr>
          <w:sz w:val="36"/>
          <w:szCs w:val="36"/>
          <w:rtl/>
        </w:rPr>
        <w:t>ة</w:t>
      </w:r>
      <w:r w:rsidR="00603323" w:rsidRPr="00FD211F">
        <w:rPr>
          <w:sz w:val="36"/>
          <w:szCs w:val="36"/>
          <w:rtl/>
        </w:rPr>
        <w:t xml:space="preserve">، </w:t>
      </w:r>
      <w:r w:rsidRPr="00FD211F">
        <w:rPr>
          <w:sz w:val="36"/>
          <w:szCs w:val="36"/>
          <w:rtl/>
        </w:rPr>
        <w:t>وقد ذكر في معناها عد</w:t>
      </w:r>
      <w:r w:rsidR="00EC7EDF" w:rsidRPr="00FD211F">
        <w:rPr>
          <w:sz w:val="36"/>
          <w:szCs w:val="36"/>
          <w:rtl/>
        </w:rPr>
        <w:t xml:space="preserve">ة </w:t>
      </w:r>
      <w:r w:rsidRPr="00FD211F">
        <w:rPr>
          <w:sz w:val="36"/>
          <w:szCs w:val="36"/>
          <w:rtl/>
        </w:rPr>
        <w:t>وجوه:</w:t>
      </w:r>
    </w:p>
    <w:p w14:paraId="688C8B02" w14:textId="77777777" w:rsidR="00556BC0" w:rsidRPr="00FD211F" w:rsidRDefault="00556BC0" w:rsidP="009C58C8">
      <w:pPr>
        <w:ind w:left="0" w:firstLine="227"/>
        <w:jc w:val="both"/>
        <w:rPr>
          <w:sz w:val="36"/>
          <w:szCs w:val="36"/>
          <w:rtl/>
        </w:rPr>
      </w:pPr>
      <w:r w:rsidRPr="00FD211F">
        <w:rPr>
          <w:b/>
          <w:bCs/>
          <w:sz w:val="36"/>
          <w:szCs w:val="36"/>
          <w:rtl/>
        </w:rPr>
        <w:t>الوجه لأول</w:t>
      </w:r>
      <w:r w:rsidRPr="00FD211F">
        <w:rPr>
          <w:sz w:val="36"/>
          <w:szCs w:val="36"/>
          <w:rtl/>
        </w:rPr>
        <w:t>: ما هو المشهور من كون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موضوع</w:t>
      </w:r>
      <w:r w:rsidR="00EC7EDF" w:rsidRPr="00FD211F">
        <w:rPr>
          <w:sz w:val="36"/>
          <w:szCs w:val="36"/>
          <w:rtl/>
        </w:rPr>
        <w:t xml:space="preserve">ة </w:t>
      </w:r>
      <w:r w:rsidRPr="00FD211F">
        <w:rPr>
          <w:sz w:val="36"/>
          <w:szCs w:val="36"/>
          <w:rtl/>
        </w:rPr>
        <w:t>لإيجاد معناها فصيغ</w:t>
      </w:r>
      <w:r w:rsidR="00EC7EDF" w:rsidRPr="00FD211F">
        <w:rPr>
          <w:sz w:val="36"/>
          <w:szCs w:val="36"/>
          <w:rtl/>
        </w:rPr>
        <w:t xml:space="preserve">ة </w:t>
      </w:r>
      <w:r w:rsidRPr="00FD211F">
        <w:rPr>
          <w:sz w:val="36"/>
          <w:szCs w:val="36"/>
          <w:rtl/>
        </w:rPr>
        <w:t>الأمر مثلا قد وضعت لإيجاد الطلب</w:t>
      </w:r>
      <w:r w:rsidR="00603323" w:rsidRPr="00FD211F">
        <w:rPr>
          <w:sz w:val="36"/>
          <w:szCs w:val="36"/>
          <w:rtl/>
        </w:rPr>
        <w:t xml:space="preserve">، </w:t>
      </w:r>
      <w:r w:rsidRPr="00FD211F">
        <w:rPr>
          <w:sz w:val="36"/>
          <w:szCs w:val="36"/>
          <w:rtl/>
        </w:rPr>
        <w:t>والنسب</w:t>
      </w:r>
      <w:r w:rsidR="00EC7EDF" w:rsidRPr="00FD211F">
        <w:rPr>
          <w:sz w:val="36"/>
          <w:szCs w:val="36"/>
          <w:rtl/>
        </w:rPr>
        <w:t xml:space="preserve">ة </w:t>
      </w:r>
      <w:r w:rsidRPr="00FD211F">
        <w:rPr>
          <w:sz w:val="36"/>
          <w:szCs w:val="36"/>
          <w:rtl/>
        </w:rPr>
        <w:t>بينه وبين مفهوم الطلب نسب</w:t>
      </w:r>
      <w:r w:rsidR="00EC7EDF" w:rsidRPr="00FD211F">
        <w:rPr>
          <w:sz w:val="36"/>
          <w:szCs w:val="36"/>
          <w:rtl/>
        </w:rPr>
        <w:t xml:space="preserve">ة </w:t>
      </w:r>
      <w:r w:rsidRPr="00FD211F">
        <w:rPr>
          <w:sz w:val="36"/>
          <w:szCs w:val="36"/>
          <w:rtl/>
        </w:rPr>
        <w:t>المصداق الى المفهوم</w:t>
      </w:r>
      <w:r w:rsidR="00603323" w:rsidRPr="00FD211F">
        <w:rPr>
          <w:sz w:val="36"/>
          <w:szCs w:val="36"/>
          <w:rtl/>
        </w:rPr>
        <w:t xml:space="preserve">، </w:t>
      </w:r>
      <w:r w:rsidRPr="00FD211F">
        <w:rPr>
          <w:sz w:val="36"/>
          <w:szCs w:val="36"/>
          <w:rtl/>
        </w:rPr>
        <w:t>وكذا جمل</w:t>
      </w:r>
      <w:r w:rsidR="00EC7EDF" w:rsidRPr="00FD211F">
        <w:rPr>
          <w:sz w:val="36"/>
          <w:szCs w:val="36"/>
          <w:rtl/>
        </w:rPr>
        <w:t xml:space="preserve">ة </w:t>
      </w:r>
      <w:r w:rsidRPr="00FD211F">
        <w:rPr>
          <w:sz w:val="36"/>
          <w:szCs w:val="36"/>
          <w:rtl/>
        </w:rPr>
        <w:t>التمني مثل "ليت زيدا قائم" موضوع</w:t>
      </w:r>
      <w:r w:rsidR="00EC7EDF" w:rsidRPr="00FD211F">
        <w:rPr>
          <w:sz w:val="36"/>
          <w:szCs w:val="36"/>
          <w:rtl/>
        </w:rPr>
        <w:t xml:space="preserve">ة </w:t>
      </w:r>
      <w:r w:rsidRPr="00FD211F">
        <w:rPr>
          <w:sz w:val="36"/>
          <w:szCs w:val="36"/>
          <w:rtl/>
        </w:rPr>
        <w:t>لإيجاد التمني.</w:t>
      </w:r>
    </w:p>
    <w:p w14:paraId="72BDABB5" w14:textId="77777777" w:rsidR="00556BC0" w:rsidRPr="00FD211F" w:rsidRDefault="00556BC0" w:rsidP="009C58C8">
      <w:pPr>
        <w:ind w:left="0" w:firstLine="227"/>
        <w:jc w:val="both"/>
        <w:rPr>
          <w:sz w:val="36"/>
          <w:szCs w:val="36"/>
          <w:rtl/>
        </w:rPr>
      </w:pPr>
      <w:r w:rsidRPr="00FD211F">
        <w:rPr>
          <w:sz w:val="36"/>
          <w:szCs w:val="36"/>
          <w:rtl/>
        </w:rPr>
        <w:t xml:space="preserve">وفيه </w:t>
      </w:r>
      <w:r w:rsidRPr="00FD211F">
        <w:rPr>
          <w:b/>
          <w:bCs/>
          <w:sz w:val="36"/>
          <w:szCs w:val="36"/>
          <w:rtl/>
        </w:rPr>
        <w:t>اولا</w:t>
      </w:r>
      <w:r w:rsidRPr="00FD211F">
        <w:rPr>
          <w:sz w:val="36"/>
          <w:szCs w:val="36"/>
          <w:rtl/>
        </w:rPr>
        <w:t>: ما مر من ان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تصوري</w:t>
      </w:r>
      <w:r w:rsidR="00EC7EDF" w:rsidRPr="00FD211F">
        <w:rPr>
          <w:sz w:val="36"/>
          <w:szCs w:val="36"/>
          <w:rtl/>
        </w:rPr>
        <w:t xml:space="preserve">ة </w:t>
      </w:r>
      <w:r w:rsidRPr="00FD211F">
        <w:rPr>
          <w:sz w:val="36"/>
          <w:szCs w:val="36"/>
          <w:rtl/>
        </w:rPr>
        <w:t>دائما</w:t>
      </w:r>
      <w:r w:rsidR="00603323" w:rsidRPr="00FD211F">
        <w:rPr>
          <w:sz w:val="36"/>
          <w:szCs w:val="36"/>
          <w:rtl/>
        </w:rPr>
        <w:t xml:space="preserve">، </w:t>
      </w:r>
      <w:r w:rsidRPr="00FD211F">
        <w:rPr>
          <w:sz w:val="36"/>
          <w:szCs w:val="36"/>
          <w:rtl/>
        </w:rPr>
        <w:t>حيث يستلزم تصور اللفظ تصور المعنى</w:t>
      </w:r>
      <w:r w:rsidR="00603323" w:rsidRPr="00FD211F">
        <w:rPr>
          <w:sz w:val="36"/>
          <w:szCs w:val="36"/>
          <w:rtl/>
        </w:rPr>
        <w:t xml:space="preserve">، </w:t>
      </w:r>
      <w:r w:rsidRPr="00FD211F">
        <w:rPr>
          <w:sz w:val="36"/>
          <w:szCs w:val="36"/>
          <w:rtl/>
        </w:rPr>
        <w:t>والمعنى المتصور من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 xml:space="preserve">عند تصورها ابتداءا من دون تلفظ بها او عند سماعها من متكلم غير </w:t>
      </w:r>
      <w:r w:rsidR="00034A83" w:rsidRPr="00FD211F">
        <w:rPr>
          <w:sz w:val="36"/>
          <w:szCs w:val="36"/>
          <w:rtl/>
        </w:rPr>
        <w:t xml:space="preserve">ملتفت </w:t>
      </w:r>
      <w:r w:rsidRPr="00FD211F">
        <w:rPr>
          <w:sz w:val="36"/>
          <w:szCs w:val="36"/>
          <w:rtl/>
        </w:rPr>
        <w:t>لايكون فيه أيّ ايجاد ل</w:t>
      </w:r>
      <w:r w:rsidR="008D7B3D" w:rsidRPr="00FD211F">
        <w:rPr>
          <w:sz w:val="36"/>
          <w:szCs w:val="36"/>
          <w:rtl/>
        </w:rPr>
        <w:t xml:space="preserve">شيء </w:t>
      </w:r>
      <w:r w:rsidRPr="00FD211F">
        <w:rPr>
          <w:sz w:val="36"/>
          <w:szCs w:val="36"/>
          <w:rtl/>
        </w:rPr>
        <w:t>في غير عالم الذهن.</w:t>
      </w:r>
    </w:p>
    <w:p w14:paraId="717132BD" w14:textId="77777777" w:rsidR="00556BC0" w:rsidRPr="00FD211F" w:rsidRDefault="00556BC0" w:rsidP="009C58C8">
      <w:pPr>
        <w:ind w:left="0" w:firstLine="227"/>
        <w:jc w:val="both"/>
        <w:rPr>
          <w:sz w:val="36"/>
          <w:szCs w:val="36"/>
          <w:rtl/>
        </w:rPr>
      </w:pPr>
      <w:r w:rsidRPr="00FD211F">
        <w:rPr>
          <w:b/>
          <w:bCs/>
          <w:sz w:val="36"/>
          <w:szCs w:val="36"/>
          <w:rtl/>
        </w:rPr>
        <w:t>وثانيا</w:t>
      </w:r>
      <w:r w:rsidRPr="00FD211F">
        <w:rPr>
          <w:sz w:val="36"/>
          <w:szCs w:val="36"/>
          <w:rtl/>
        </w:rPr>
        <w:t>: ما مر من ان مثل التمني او الترجي او التعجب من الأمور النفساني</w:t>
      </w:r>
      <w:r w:rsidR="00EC7EDF" w:rsidRPr="00FD211F">
        <w:rPr>
          <w:sz w:val="36"/>
          <w:szCs w:val="36"/>
          <w:rtl/>
        </w:rPr>
        <w:t>ة</w:t>
      </w:r>
      <w:r w:rsidR="00603323" w:rsidRPr="00FD211F">
        <w:rPr>
          <w:sz w:val="36"/>
          <w:szCs w:val="36"/>
          <w:rtl/>
        </w:rPr>
        <w:t xml:space="preserve">، </w:t>
      </w:r>
      <w:r w:rsidRPr="00FD211F">
        <w:rPr>
          <w:sz w:val="36"/>
          <w:szCs w:val="36"/>
          <w:rtl/>
        </w:rPr>
        <w:t>وانما تكون هذه الجمل الإنشائي</w:t>
      </w:r>
      <w:r w:rsidR="00EC7EDF" w:rsidRPr="00FD211F">
        <w:rPr>
          <w:sz w:val="36"/>
          <w:szCs w:val="36"/>
          <w:rtl/>
        </w:rPr>
        <w:t xml:space="preserve">ة </w:t>
      </w:r>
      <w:r w:rsidRPr="00FD211F">
        <w:rPr>
          <w:sz w:val="36"/>
          <w:szCs w:val="36"/>
          <w:rtl/>
        </w:rPr>
        <w:t>مبرز</w:t>
      </w:r>
      <w:r w:rsidR="00EC7EDF" w:rsidRPr="00FD211F">
        <w:rPr>
          <w:sz w:val="36"/>
          <w:szCs w:val="36"/>
          <w:rtl/>
        </w:rPr>
        <w:t xml:space="preserve">ة </w:t>
      </w:r>
      <w:r w:rsidRPr="00FD211F">
        <w:rPr>
          <w:sz w:val="36"/>
          <w:szCs w:val="36"/>
          <w:rtl/>
        </w:rPr>
        <w:t>لها</w:t>
      </w:r>
      <w:r w:rsidR="00603323" w:rsidRPr="00FD211F">
        <w:rPr>
          <w:sz w:val="36"/>
          <w:szCs w:val="36"/>
          <w:rtl/>
        </w:rPr>
        <w:t xml:space="preserve">، </w:t>
      </w:r>
      <w:r w:rsidRPr="00FD211F">
        <w:rPr>
          <w:sz w:val="36"/>
          <w:szCs w:val="36"/>
          <w:rtl/>
        </w:rPr>
        <w:t>وما اشتهر من ان هذه الجمل توجد فردا إنشائيا من معانيها</w:t>
      </w:r>
      <w:r w:rsidR="00603323" w:rsidRPr="00FD211F">
        <w:rPr>
          <w:sz w:val="36"/>
          <w:szCs w:val="36"/>
          <w:rtl/>
        </w:rPr>
        <w:t xml:space="preserve">، </w:t>
      </w:r>
      <w:r w:rsidRPr="00FD211F">
        <w:rPr>
          <w:sz w:val="36"/>
          <w:szCs w:val="36"/>
          <w:rtl/>
        </w:rPr>
        <w:t>فجمل</w:t>
      </w:r>
      <w:r w:rsidR="00EC7EDF" w:rsidRPr="00FD211F">
        <w:rPr>
          <w:sz w:val="36"/>
          <w:szCs w:val="36"/>
          <w:rtl/>
        </w:rPr>
        <w:t xml:space="preserve">ة </w:t>
      </w:r>
      <w:r w:rsidRPr="00FD211F">
        <w:rPr>
          <w:sz w:val="36"/>
          <w:szCs w:val="36"/>
          <w:rtl/>
        </w:rPr>
        <w:t>"ليت زيدا قائم" توجد تمنيّا إنشائيا فغير تامّ</w:t>
      </w:r>
      <w:r w:rsidR="00603323" w:rsidRPr="00FD211F">
        <w:rPr>
          <w:sz w:val="36"/>
          <w:szCs w:val="36"/>
          <w:rtl/>
        </w:rPr>
        <w:t xml:space="preserve">، </w:t>
      </w:r>
      <w:r w:rsidRPr="00FD211F">
        <w:rPr>
          <w:sz w:val="36"/>
          <w:szCs w:val="36"/>
          <w:rtl/>
        </w:rPr>
        <w:t>حيث لايتصور معنى للتمني الإنشائي مثلا عدا استعمال جملته في معناه</w:t>
      </w:r>
      <w:r w:rsidR="00603323" w:rsidRPr="00FD211F">
        <w:rPr>
          <w:sz w:val="36"/>
          <w:szCs w:val="36"/>
          <w:rtl/>
        </w:rPr>
        <w:t xml:space="preserve">، </w:t>
      </w:r>
      <w:r w:rsidRPr="00FD211F">
        <w:rPr>
          <w:sz w:val="36"/>
          <w:szCs w:val="36"/>
          <w:rtl/>
        </w:rPr>
        <w:t>والكلام فعلا في تشخيص هذا المعنى</w:t>
      </w:r>
      <w:r w:rsidR="00603323" w:rsidRPr="00FD211F">
        <w:rPr>
          <w:sz w:val="36"/>
          <w:szCs w:val="36"/>
          <w:rtl/>
        </w:rPr>
        <w:t xml:space="preserve">، </w:t>
      </w:r>
      <w:r w:rsidRPr="00FD211F">
        <w:rPr>
          <w:sz w:val="36"/>
          <w:szCs w:val="36"/>
          <w:rtl/>
        </w:rPr>
        <w:t>واطلاق التمني عليه حيث يقال عرفا عند صدور جمل</w:t>
      </w:r>
      <w:r w:rsidR="00EC7EDF" w:rsidRPr="00FD211F">
        <w:rPr>
          <w:sz w:val="36"/>
          <w:szCs w:val="36"/>
          <w:rtl/>
        </w:rPr>
        <w:t xml:space="preserve">ة </w:t>
      </w:r>
      <w:r w:rsidRPr="00FD211F">
        <w:rPr>
          <w:sz w:val="36"/>
          <w:szCs w:val="36"/>
          <w:rtl/>
        </w:rPr>
        <w:t>التمني من احد أنه تمنى الآن لايدلّ على كون هذا الاستعمال فردا من التمني</w:t>
      </w:r>
      <w:r w:rsidR="00603323" w:rsidRPr="00FD211F">
        <w:rPr>
          <w:sz w:val="36"/>
          <w:szCs w:val="36"/>
          <w:rtl/>
        </w:rPr>
        <w:t xml:space="preserve">، </w:t>
      </w:r>
      <w:r w:rsidRPr="00FD211F">
        <w:rPr>
          <w:sz w:val="36"/>
          <w:szCs w:val="36"/>
          <w:rtl/>
        </w:rPr>
        <w:t>بل هذا الاطلاق لأجل تقارن الاستعمال لوجود التمني النفساني</w:t>
      </w:r>
      <w:r w:rsidR="00603323" w:rsidRPr="00FD211F">
        <w:rPr>
          <w:sz w:val="36"/>
          <w:szCs w:val="36"/>
          <w:rtl/>
        </w:rPr>
        <w:t xml:space="preserve">، </w:t>
      </w:r>
      <w:r w:rsidRPr="00FD211F">
        <w:rPr>
          <w:sz w:val="36"/>
          <w:szCs w:val="36"/>
          <w:rtl/>
        </w:rPr>
        <w:t>ولذا لايصدق عرفا ان هذا التكلم تمنٍّ</w:t>
      </w:r>
      <w:r w:rsidR="00603323" w:rsidRPr="00FD211F">
        <w:rPr>
          <w:sz w:val="36"/>
          <w:szCs w:val="36"/>
          <w:rtl/>
        </w:rPr>
        <w:t xml:space="preserve">، </w:t>
      </w:r>
      <w:r w:rsidRPr="00FD211F">
        <w:rPr>
          <w:sz w:val="36"/>
          <w:szCs w:val="36"/>
          <w:rtl/>
        </w:rPr>
        <w:t>وانما هو مبرز له.</w:t>
      </w:r>
    </w:p>
    <w:p w14:paraId="1EB483C2" w14:textId="77777777" w:rsidR="00556BC0" w:rsidRPr="00FD211F" w:rsidRDefault="00556BC0" w:rsidP="009C58C8">
      <w:pPr>
        <w:ind w:left="0" w:firstLine="227"/>
        <w:jc w:val="both"/>
        <w:rPr>
          <w:sz w:val="36"/>
          <w:szCs w:val="36"/>
          <w:rtl/>
        </w:rPr>
      </w:pPr>
      <w:r w:rsidRPr="00FD211F">
        <w:rPr>
          <w:sz w:val="36"/>
          <w:szCs w:val="36"/>
          <w:rtl/>
        </w:rPr>
        <w:t xml:space="preserve">وأما ما ذكره بعض الأعلام </w:t>
      </w:r>
      <w:r w:rsidR="00AB119C" w:rsidRPr="00FD211F">
        <w:rPr>
          <w:sz w:val="36"/>
          <w:szCs w:val="36"/>
          <w:rtl/>
        </w:rPr>
        <w:t>"</w:t>
      </w:r>
      <w:r w:rsidRPr="00FD211F">
        <w:rPr>
          <w:sz w:val="36"/>
          <w:szCs w:val="36"/>
          <w:rtl/>
        </w:rPr>
        <w:t>قده</w:t>
      </w:r>
      <w:r w:rsidR="00AB119C" w:rsidRPr="00FD211F">
        <w:rPr>
          <w:sz w:val="36"/>
          <w:szCs w:val="36"/>
          <w:rtl/>
        </w:rPr>
        <w:t>"</w:t>
      </w:r>
      <w:r w:rsidRPr="00FD211F">
        <w:rPr>
          <w:sz w:val="36"/>
          <w:szCs w:val="36"/>
          <w:rtl/>
        </w:rPr>
        <w:t xml:space="preserve"> من انه يوجد التمني في عالم الاعتبار العقلائي واستشهد عليه بقولهم في الفارسي</w:t>
      </w:r>
      <w:r w:rsidR="00EC7EDF" w:rsidRPr="00FD211F">
        <w:rPr>
          <w:sz w:val="36"/>
          <w:szCs w:val="36"/>
          <w:rtl/>
        </w:rPr>
        <w:t xml:space="preserve">ة </w:t>
      </w:r>
      <w:r w:rsidRPr="00FD211F">
        <w:rPr>
          <w:sz w:val="36"/>
          <w:szCs w:val="36"/>
          <w:rtl/>
        </w:rPr>
        <w:t>"آرزو كرد" مع انه لو كان التمني أمرا نفسانيا لكان المناسب ان يقال "آرزو شد"</w:t>
      </w:r>
      <w:r w:rsidR="00603323" w:rsidRPr="00FD211F">
        <w:rPr>
          <w:sz w:val="36"/>
          <w:szCs w:val="36"/>
          <w:rtl/>
        </w:rPr>
        <w:t xml:space="preserve">، </w:t>
      </w:r>
      <w:r w:rsidRPr="00FD211F">
        <w:rPr>
          <w:sz w:val="36"/>
          <w:szCs w:val="36"/>
          <w:rtl/>
        </w:rPr>
        <w:t>ففيه أنّا لانتصور ايّ وجود اعتباري لمثل التمني والترجي والتعجب ونحو ذلك</w:t>
      </w:r>
      <w:r w:rsidR="00603323" w:rsidRPr="00FD211F">
        <w:rPr>
          <w:sz w:val="36"/>
          <w:szCs w:val="36"/>
          <w:rtl/>
        </w:rPr>
        <w:t xml:space="preserve">، </w:t>
      </w:r>
      <w:r w:rsidRPr="00FD211F">
        <w:rPr>
          <w:sz w:val="36"/>
          <w:szCs w:val="36"/>
          <w:rtl/>
        </w:rPr>
        <w:t xml:space="preserve">وما استشهد عليه </w:t>
      </w:r>
      <w:r w:rsidR="00904EF3" w:rsidRPr="00FD211F">
        <w:rPr>
          <w:sz w:val="36"/>
          <w:szCs w:val="36"/>
          <w:rtl/>
        </w:rPr>
        <w:t xml:space="preserve">به </w:t>
      </w:r>
      <w:r w:rsidRPr="00FD211F">
        <w:rPr>
          <w:sz w:val="36"/>
          <w:szCs w:val="36"/>
          <w:rtl/>
        </w:rPr>
        <w:t>من قولهم بالفارسي</w:t>
      </w:r>
      <w:r w:rsidR="00EC7EDF" w:rsidRPr="00FD211F">
        <w:rPr>
          <w:sz w:val="36"/>
          <w:szCs w:val="36"/>
          <w:rtl/>
        </w:rPr>
        <w:t xml:space="preserve">ة </w:t>
      </w:r>
      <w:r w:rsidRPr="00FD211F">
        <w:rPr>
          <w:sz w:val="36"/>
          <w:szCs w:val="36"/>
          <w:rtl/>
        </w:rPr>
        <w:t>"آرزو كرد"</w:t>
      </w:r>
      <w:r w:rsidR="009C58C8" w:rsidRPr="00FD211F">
        <w:rPr>
          <w:rStyle w:val="a6"/>
          <w:sz w:val="36"/>
          <w:szCs w:val="36"/>
          <w:rtl/>
        </w:rPr>
        <w:t>(</w:t>
      </w:r>
      <w:r w:rsidR="009C58C8" w:rsidRPr="00FD211F">
        <w:rPr>
          <w:rStyle w:val="a6"/>
          <w:sz w:val="36"/>
          <w:szCs w:val="36"/>
          <w:rtl/>
        </w:rPr>
        <w:footnoteReference w:id="211"/>
      </w:r>
      <w:r w:rsidR="009C58C8" w:rsidRPr="00FD211F">
        <w:rPr>
          <w:rStyle w:val="a6"/>
          <w:sz w:val="36"/>
          <w:szCs w:val="36"/>
          <w:rtl/>
        </w:rPr>
        <w:t>)</w:t>
      </w:r>
      <w:r w:rsidRPr="00FD211F">
        <w:rPr>
          <w:sz w:val="36"/>
          <w:szCs w:val="36"/>
          <w:rtl/>
        </w:rPr>
        <w:t xml:space="preserve"> ففيه -فمضافا الى عدم جريانه في مثل الترجي- أنه قد يقال عرفا "من سالها اين را در دلم آرزو مى</w:t>
      </w:r>
      <w:r w:rsidRPr="00FD211F">
        <w:rPr>
          <w:sz w:val="36"/>
          <w:szCs w:val="36"/>
          <w:rtl/>
        </w:rPr>
        <w:softHyphen/>
        <w:t>كردم ولى به هيچكس نگفتم"</w:t>
      </w:r>
      <w:r w:rsidR="00603323" w:rsidRPr="00FD211F">
        <w:rPr>
          <w:sz w:val="36"/>
          <w:szCs w:val="36"/>
          <w:rtl/>
        </w:rPr>
        <w:t xml:space="preserve">، </w:t>
      </w:r>
      <w:r w:rsidRPr="00FD211F">
        <w:rPr>
          <w:sz w:val="36"/>
          <w:szCs w:val="36"/>
          <w:rtl/>
        </w:rPr>
        <w:t>ولاريب في انه قد أطلق التمني في هذا المثال على الوصف النفساني.</w:t>
      </w:r>
    </w:p>
    <w:p w14:paraId="0E2F7023" w14:textId="77777777" w:rsidR="009E22F7" w:rsidRPr="00FD211F" w:rsidRDefault="00556BC0" w:rsidP="005946E3">
      <w:pPr>
        <w:ind w:left="0" w:firstLine="227"/>
        <w:jc w:val="both"/>
        <w:rPr>
          <w:sz w:val="36"/>
          <w:szCs w:val="36"/>
          <w:rtl/>
        </w:rPr>
      </w:pPr>
      <w:r w:rsidRPr="00FD211F">
        <w:rPr>
          <w:b/>
          <w:bCs/>
          <w:sz w:val="36"/>
          <w:szCs w:val="36"/>
          <w:rtl/>
        </w:rPr>
        <w:t>الوجه الثاني</w:t>
      </w:r>
      <w:r w:rsidRPr="00FD211F">
        <w:rPr>
          <w:sz w:val="36"/>
          <w:szCs w:val="36"/>
          <w:rtl/>
        </w:rPr>
        <w:t>: ما ذكره المحقق العراقي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من ان حروف التمني والترجي والاستفهام ونحوها في الجمل الإنشائي</w:t>
      </w:r>
      <w:r w:rsidR="00EC7EDF" w:rsidRPr="00FD211F">
        <w:rPr>
          <w:sz w:val="36"/>
          <w:szCs w:val="36"/>
          <w:rtl/>
        </w:rPr>
        <w:t xml:space="preserve">ة </w:t>
      </w:r>
      <w:r w:rsidRPr="00FD211F">
        <w:rPr>
          <w:sz w:val="36"/>
          <w:szCs w:val="36"/>
          <w:rtl/>
        </w:rPr>
        <w:t xml:space="preserve">قد وضعت </w:t>
      </w:r>
      <w:r w:rsidR="00737BAC" w:rsidRPr="00FD211F">
        <w:rPr>
          <w:sz w:val="36"/>
          <w:szCs w:val="36"/>
          <w:rtl/>
        </w:rPr>
        <w:t xml:space="preserve">كسائر الحروف </w:t>
      </w:r>
      <w:r w:rsidRPr="00FD211F">
        <w:rPr>
          <w:sz w:val="36"/>
          <w:szCs w:val="36"/>
          <w:rtl/>
        </w:rPr>
        <w:t>لإفاد</w:t>
      </w:r>
      <w:r w:rsidR="00EC7EDF" w:rsidRPr="00FD211F">
        <w:rPr>
          <w:sz w:val="36"/>
          <w:szCs w:val="36"/>
          <w:rtl/>
        </w:rPr>
        <w:t xml:space="preserve">ة </w:t>
      </w:r>
      <w:r w:rsidRPr="00FD211F">
        <w:rPr>
          <w:sz w:val="36"/>
          <w:szCs w:val="36"/>
          <w:rtl/>
        </w:rPr>
        <w:t>النسب</w:t>
      </w:r>
      <w:r w:rsidR="00904EF3" w:rsidRPr="00FD211F">
        <w:rPr>
          <w:sz w:val="36"/>
          <w:szCs w:val="36"/>
          <w:rtl/>
        </w:rPr>
        <w:t>ة</w:t>
      </w:r>
      <w:r w:rsidR="00603323" w:rsidRPr="00FD211F">
        <w:rPr>
          <w:sz w:val="36"/>
          <w:szCs w:val="36"/>
          <w:rtl/>
        </w:rPr>
        <w:t xml:space="preserve">، </w:t>
      </w:r>
      <w:r w:rsidRPr="00FD211F">
        <w:rPr>
          <w:sz w:val="36"/>
          <w:szCs w:val="36"/>
          <w:rtl/>
        </w:rPr>
        <w:t xml:space="preserve">فحرف </w:t>
      </w:r>
      <w:r w:rsidR="00904EF3" w:rsidRPr="00FD211F">
        <w:rPr>
          <w:sz w:val="36"/>
          <w:szCs w:val="36"/>
          <w:rtl/>
        </w:rPr>
        <w:t>"</w:t>
      </w:r>
      <w:r w:rsidRPr="00FD211F">
        <w:rPr>
          <w:sz w:val="36"/>
          <w:szCs w:val="36"/>
          <w:rtl/>
        </w:rPr>
        <w:t>ليت</w:t>
      </w:r>
      <w:r w:rsidR="00904EF3" w:rsidRPr="00FD211F">
        <w:rPr>
          <w:sz w:val="36"/>
          <w:szCs w:val="36"/>
          <w:rtl/>
        </w:rPr>
        <w:t>"</w:t>
      </w:r>
      <w:r w:rsidRPr="00FD211F">
        <w:rPr>
          <w:sz w:val="36"/>
          <w:szCs w:val="36"/>
          <w:rtl/>
        </w:rPr>
        <w:t xml:space="preserve"> دال على نسب</w:t>
      </w:r>
      <w:r w:rsidR="00EC7EDF" w:rsidRPr="00FD211F">
        <w:rPr>
          <w:sz w:val="36"/>
          <w:szCs w:val="36"/>
          <w:rtl/>
        </w:rPr>
        <w:t xml:space="preserve">ة </w:t>
      </w:r>
      <w:r w:rsidRPr="00FD211F">
        <w:rPr>
          <w:sz w:val="36"/>
          <w:szCs w:val="36"/>
          <w:rtl/>
        </w:rPr>
        <w:t>قائم</w:t>
      </w:r>
      <w:r w:rsidR="00EC7EDF" w:rsidRPr="00FD211F">
        <w:rPr>
          <w:sz w:val="36"/>
          <w:szCs w:val="36"/>
          <w:rtl/>
        </w:rPr>
        <w:t xml:space="preserve">ة </w:t>
      </w:r>
      <w:r w:rsidRPr="00FD211F">
        <w:rPr>
          <w:sz w:val="36"/>
          <w:szCs w:val="36"/>
          <w:rtl/>
        </w:rPr>
        <w:t>بين صور</w:t>
      </w:r>
      <w:r w:rsidR="00EC7EDF" w:rsidRPr="00FD211F">
        <w:rPr>
          <w:sz w:val="36"/>
          <w:szCs w:val="36"/>
          <w:rtl/>
        </w:rPr>
        <w:t xml:space="preserve">ة </w:t>
      </w:r>
      <w:r w:rsidR="00737BAC" w:rsidRPr="00FD211F">
        <w:rPr>
          <w:sz w:val="36"/>
          <w:szCs w:val="36"/>
          <w:rtl/>
        </w:rPr>
        <w:t xml:space="preserve">مصداق </w:t>
      </w:r>
      <w:r w:rsidR="00904EF3" w:rsidRPr="00FD211F">
        <w:rPr>
          <w:sz w:val="36"/>
          <w:szCs w:val="36"/>
          <w:rtl/>
        </w:rPr>
        <w:t>التمني وبين</w:t>
      </w:r>
      <w:r w:rsidRPr="00FD211F">
        <w:rPr>
          <w:sz w:val="36"/>
          <w:szCs w:val="36"/>
          <w:rtl/>
        </w:rPr>
        <w:t xml:space="preserve"> النسب</w:t>
      </w:r>
      <w:r w:rsidR="00EC7EDF" w:rsidRPr="00FD211F">
        <w:rPr>
          <w:sz w:val="36"/>
          <w:szCs w:val="36"/>
          <w:rtl/>
        </w:rPr>
        <w:t xml:space="preserve">ة </w:t>
      </w:r>
      <w:r w:rsidRPr="00FD211F">
        <w:rPr>
          <w:sz w:val="36"/>
          <w:szCs w:val="36"/>
          <w:rtl/>
        </w:rPr>
        <w:t>التامّ</w:t>
      </w:r>
      <w:r w:rsidR="00EC7EDF" w:rsidRPr="00FD211F">
        <w:rPr>
          <w:sz w:val="36"/>
          <w:szCs w:val="36"/>
          <w:rtl/>
        </w:rPr>
        <w:t>ة</w:t>
      </w:r>
      <w:r w:rsidR="00C7588D" w:rsidRPr="00FD211F">
        <w:rPr>
          <w:sz w:val="36"/>
          <w:szCs w:val="36"/>
          <w:rtl/>
        </w:rPr>
        <w:t xml:space="preserve"> </w:t>
      </w:r>
      <w:r w:rsidRPr="00FD211F">
        <w:rPr>
          <w:sz w:val="36"/>
          <w:szCs w:val="36"/>
          <w:rtl/>
        </w:rPr>
        <w:t>التي تدل عليها الجمل</w:t>
      </w:r>
      <w:r w:rsidR="00EC7EDF" w:rsidRPr="00FD211F">
        <w:rPr>
          <w:sz w:val="36"/>
          <w:szCs w:val="36"/>
          <w:rtl/>
        </w:rPr>
        <w:t xml:space="preserve">ة </w:t>
      </w:r>
      <w:r w:rsidRPr="00FD211F">
        <w:rPr>
          <w:sz w:val="36"/>
          <w:szCs w:val="36"/>
          <w:rtl/>
        </w:rPr>
        <w:t>المدخول</w:t>
      </w:r>
      <w:r w:rsidR="00EC7EDF" w:rsidRPr="00FD211F">
        <w:rPr>
          <w:sz w:val="36"/>
          <w:szCs w:val="36"/>
          <w:rtl/>
        </w:rPr>
        <w:t>ة</w:t>
      </w:r>
      <w:r w:rsidR="00737BAC" w:rsidRPr="00FD211F">
        <w:rPr>
          <w:sz w:val="36"/>
          <w:szCs w:val="36"/>
          <w:rtl/>
        </w:rPr>
        <w:t>لحرف "ليت"</w:t>
      </w:r>
      <w:r w:rsidR="00603323" w:rsidRPr="00FD211F">
        <w:rPr>
          <w:sz w:val="36"/>
          <w:szCs w:val="36"/>
          <w:rtl/>
        </w:rPr>
        <w:t xml:space="preserve">، </w:t>
      </w:r>
      <w:r w:rsidR="00904EF3" w:rsidRPr="00FD211F">
        <w:rPr>
          <w:sz w:val="36"/>
          <w:szCs w:val="36"/>
          <w:rtl/>
        </w:rPr>
        <w:t>اي</w:t>
      </w:r>
      <w:r w:rsidRPr="00FD211F">
        <w:rPr>
          <w:sz w:val="36"/>
          <w:szCs w:val="36"/>
          <w:rtl/>
        </w:rPr>
        <w:t xml:space="preserve"> يدل</w:t>
      </w:r>
      <w:r w:rsidR="00737BAC" w:rsidRPr="00FD211F">
        <w:rPr>
          <w:sz w:val="36"/>
          <w:szCs w:val="36"/>
          <w:rtl/>
        </w:rPr>
        <w:t xml:space="preserve"> حرف" ليت"</w:t>
      </w:r>
      <w:r w:rsidR="00C7588D" w:rsidRPr="00FD211F">
        <w:rPr>
          <w:sz w:val="36"/>
          <w:szCs w:val="36"/>
          <w:rtl/>
        </w:rPr>
        <w:t xml:space="preserve"> </w:t>
      </w:r>
      <w:r w:rsidRPr="00FD211F">
        <w:rPr>
          <w:sz w:val="36"/>
          <w:szCs w:val="36"/>
          <w:rtl/>
        </w:rPr>
        <w:t>على حيثي</w:t>
      </w:r>
      <w:r w:rsidR="00EC7EDF" w:rsidRPr="00FD211F">
        <w:rPr>
          <w:sz w:val="36"/>
          <w:szCs w:val="36"/>
          <w:rtl/>
        </w:rPr>
        <w:t xml:space="preserve">ة </w:t>
      </w:r>
      <w:r w:rsidRPr="00FD211F">
        <w:rPr>
          <w:sz w:val="36"/>
          <w:szCs w:val="36"/>
          <w:rtl/>
        </w:rPr>
        <w:t>قيام صور</w:t>
      </w:r>
      <w:r w:rsidR="00EC7EDF" w:rsidRPr="00FD211F">
        <w:rPr>
          <w:sz w:val="36"/>
          <w:szCs w:val="36"/>
          <w:rtl/>
        </w:rPr>
        <w:t xml:space="preserve">ة </w:t>
      </w:r>
      <w:r w:rsidR="00737BAC" w:rsidRPr="00FD211F">
        <w:rPr>
          <w:sz w:val="36"/>
          <w:szCs w:val="36"/>
          <w:rtl/>
        </w:rPr>
        <w:t>مصداق</w:t>
      </w:r>
      <w:r w:rsidRPr="00FD211F">
        <w:rPr>
          <w:sz w:val="36"/>
          <w:szCs w:val="36"/>
          <w:rtl/>
        </w:rPr>
        <w:t xml:space="preserve"> التمني بتلك النسب</w:t>
      </w:r>
      <w:r w:rsidR="00EC7EDF" w:rsidRPr="00FD211F">
        <w:rPr>
          <w:sz w:val="36"/>
          <w:szCs w:val="36"/>
          <w:rtl/>
        </w:rPr>
        <w:t xml:space="preserve">ة </w:t>
      </w:r>
      <w:r w:rsidRPr="00FD211F">
        <w:rPr>
          <w:sz w:val="36"/>
          <w:szCs w:val="36"/>
          <w:rtl/>
        </w:rPr>
        <w:t>ال</w:t>
      </w:r>
      <w:r w:rsidR="00737BAC" w:rsidRPr="00FD211F">
        <w:rPr>
          <w:sz w:val="36"/>
          <w:szCs w:val="36"/>
          <w:rtl/>
        </w:rPr>
        <w:t>تامة</w:t>
      </w:r>
      <w:r w:rsidR="00603323" w:rsidRPr="00FD211F">
        <w:rPr>
          <w:sz w:val="36"/>
          <w:szCs w:val="36"/>
          <w:rtl/>
        </w:rPr>
        <w:t xml:space="preserve">، </w:t>
      </w:r>
      <w:r w:rsidRPr="00FD211F">
        <w:rPr>
          <w:sz w:val="36"/>
          <w:szCs w:val="36"/>
          <w:rtl/>
        </w:rPr>
        <w:t>فكأنها من شؤون تلك النسب</w:t>
      </w:r>
      <w:r w:rsidR="00EC7EDF" w:rsidRPr="00FD211F">
        <w:rPr>
          <w:sz w:val="36"/>
          <w:szCs w:val="36"/>
          <w:rtl/>
        </w:rPr>
        <w:t xml:space="preserve">ة </w:t>
      </w:r>
      <w:r w:rsidR="00737BAC" w:rsidRPr="00FD211F">
        <w:rPr>
          <w:sz w:val="36"/>
          <w:szCs w:val="36"/>
          <w:rtl/>
        </w:rPr>
        <w:t xml:space="preserve">التامة </w:t>
      </w:r>
      <w:r w:rsidRPr="00FD211F">
        <w:rPr>
          <w:sz w:val="36"/>
          <w:szCs w:val="36"/>
          <w:rtl/>
        </w:rPr>
        <w:t>الإيقاعي</w:t>
      </w:r>
      <w:r w:rsidR="00EC7EDF" w:rsidRPr="00FD211F">
        <w:rPr>
          <w:sz w:val="36"/>
          <w:szCs w:val="36"/>
          <w:rtl/>
        </w:rPr>
        <w:t xml:space="preserve">ة </w:t>
      </w:r>
      <w:r w:rsidRPr="00FD211F">
        <w:rPr>
          <w:sz w:val="36"/>
          <w:szCs w:val="36"/>
          <w:rtl/>
        </w:rPr>
        <w:t>وموقع</w:t>
      </w:r>
      <w:r w:rsidR="00EC7EDF" w:rsidRPr="00FD211F">
        <w:rPr>
          <w:sz w:val="36"/>
          <w:szCs w:val="36"/>
          <w:rtl/>
        </w:rPr>
        <w:t xml:space="preserve">ة </w:t>
      </w:r>
      <w:r w:rsidRPr="00FD211F">
        <w:rPr>
          <w:sz w:val="36"/>
          <w:szCs w:val="36"/>
          <w:rtl/>
        </w:rPr>
        <w:t>بإيقاعها</w:t>
      </w:r>
      <w:r w:rsidR="00603323" w:rsidRPr="00FD211F">
        <w:rPr>
          <w:sz w:val="36"/>
          <w:szCs w:val="36"/>
          <w:rtl/>
        </w:rPr>
        <w:t xml:space="preserve">، </w:t>
      </w:r>
      <w:r w:rsidR="00737BAC" w:rsidRPr="00FD211F">
        <w:rPr>
          <w:sz w:val="36"/>
          <w:szCs w:val="36"/>
          <w:rtl/>
        </w:rPr>
        <w:t xml:space="preserve">والتقييد بقولنا </w:t>
      </w:r>
      <w:r w:rsidR="009E22F7" w:rsidRPr="00FD211F">
        <w:rPr>
          <w:sz w:val="36"/>
          <w:szCs w:val="36"/>
          <w:rtl/>
        </w:rPr>
        <w:t>"</w:t>
      </w:r>
      <w:r w:rsidR="00737BAC" w:rsidRPr="00FD211F">
        <w:rPr>
          <w:sz w:val="36"/>
          <w:szCs w:val="36"/>
          <w:rtl/>
        </w:rPr>
        <w:t>صورة مصداق التمني</w:t>
      </w:r>
      <w:r w:rsidR="009E22F7" w:rsidRPr="00FD211F">
        <w:rPr>
          <w:sz w:val="36"/>
          <w:szCs w:val="36"/>
          <w:rtl/>
        </w:rPr>
        <w:t>"</w:t>
      </w:r>
      <w:r w:rsidR="00737BAC" w:rsidRPr="00FD211F">
        <w:rPr>
          <w:sz w:val="36"/>
          <w:szCs w:val="36"/>
          <w:rtl/>
        </w:rPr>
        <w:t xml:space="preserve"> لأجل أن جملة "ليت زيدا قائم "</w:t>
      </w:r>
      <w:r w:rsidR="009E22F7" w:rsidRPr="00FD211F">
        <w:rPr>
          <w:sz w:val="36"/>
          <w:szCs w:val="36"/>
          <w:rtl/>
        </w:rPr>
        <w:t>تد</w:t>
      </w:r>
      <w:r w:rsidR="00737BAC" w:rsidRPr="00FD211F">
        <w:rPr>
          <w:sz w:val="36"/>
          <w:szCs w:val="36"/>
          <w:rtl/>
        </w:rPr>
        <w:t>ل</w:t>
      </w:r>
      <w:r w:rsidRPr="00FD211F">
        <w:rPr>
          <w:sz w:val="36"/>
          <w:szCs w:val="36"/>
          <w:rtl/>
        </w:rPr>
        <w:t xml:space="preserve"> </w:t>
      </w:r>
      <w:r w:rsidR="009E22F7" w:rsidRPr="00FD211F">
        <w:rPr>
          <w:sz w:val="36"/>
          <w:szCs w:val="36"/>
          <w:rtl/>
        </w:rPr>
        <w:t>على معناها حتى لو علم بعدم وجود مصداق التمني في نفس المتكلم كمالو كان في مقام الهزل</w:t>
      </w:r>
      <w:r w:rsidR="00C774D9" w:rsidRPr="00FD211F">
        <w:rPr>
          <w:sz w:val="36"/>
          <w:szCs w:val="36"/>
          <w:rtl/>
        </w:rPr>
        <w:t>.</w:t>
      </w:r>
    </w:p>
    <w:p w14:paraId="4CEDAD34" w14:textId="77777777" w:rsidR="00556BC0" w:rsidRPr="00FD211F" w:rsidRDefault="00556BC0" w:rsidP="009C58C8">
      <w:pPr>
        <w:ind w:left="0" w:firstLine="227"/>
        <w:jc w:val="both"/>
        <w:rPr>
          <w:sz w:val="36"/>
          <w:szCs w:val="36"/>
          <w:rtl/>
        </w:rPr>
      </w:pPr>
      <w:r w:rsidRPr="00FD211F">
        <w:rPr>
          <w:sz w:val="36"/>
          <w:szCs w:val="36"/>
          <w:rtl/>
        </w:rPr>
        <w:t>وكذا أدا</w:t>
      </w:r>
      <w:r w:rsidR="00EC7EDF" w:rsidRPr="00FD211F">
        <w:rPr>
          <w:sz w:val="36"/>
          <w:szCs w:val="36"/>
          <w:rtl/>
        </w:rPr>
        <w:t xml:space="preserve">ة </w:t>
      </w:r>
      <w:r w:rsidRPr="00FD211F">
        <w:rPr>
          <w:sz w:val="36"/>
          <w:szCs w:val="36"/>
          <w:rtl/>
        </w:rPr>
        <w:t>الاستفهام قد وضعت للدلال</w:t>
      </w:r>
      <w:r w:rsidR="00EC7EDF" w:rsidRPr="00FD211F">
        <w:rPr>
          <w:sz w:val="36"/>
          <w:szCs w:val="36"/>
          <w:rtl/>
        </w:rPr>
        <w:t xml:space="preserve">ة </w:t>
      </w:r>
      <w:r w:rsidRPr="00FD211F">
        <w:rPr>
          <w:sz w:val="36"/>
          <w:szCs w:val="36"/>
          <w:rtl/>
        </w:rPr>
        <w:t>على نسب</w:t>
      </w:r>
      <w:r w:rsidR="00EC7EDF" w:rsidRPr="00FD211F">
        <w:rPr>
          <w:sz w:val="36"/>
          <w:szCs w:val="36"/>
          <w:rtl/>
        </w:rPr>
        <w:t xml:space="preserve">ة </w:t>
      </w:r>
      <w:r w:rsidRPr="00FD211F">
        <w:rPr>
          <w:sz w:val="36"/>
          <w:szCs w:val="36"/>
          <w:rtl/>
        </w:rPr>
        <w:t>قائم</w:t>
      </w:r>
      <w:r w:rsidR="00EC7EDF" w:rsidRPr="00FD211F">
        <w:rPr>
          <w:sz w:val="36"/>
          <w:szCs w:val="36"/>
          <w:rtl/>
        </w:rPr>
        <w:t xml:space="preserve">ة </w:t>
      </w:r>
      <w:r w:rsidRPr="00FD211F">
        <w:rPr>
          <w:sz w:val="36"/>
          <w:szCs w:val="36"/>
          <w:rtl/>
        </w:rPr>
        <w:t>بين صور</w:t>
      </w:r>
      <w:r w:rsidR="00EC7EDF" w:rsidRPr="00FD211F">
        <w:rPr>
          <w:sz w:val="36"/>
          <w:szCs w:val="36"/>
          <w:rtl/>
        </w:rPr>
        <w:t xml:space="preserve">ة </w:t>
      </w:r>
      <w:r w:rsidR="00737BAC" w:rsidRPr="00FD211F">
        <w:rPr>
          <w:sz w:val="36"/>
          <w:szCs w:val="36"/>
          <w:rtl/>
        </w:rPr>
        <w:t xml:space="preserve">مصداق </w:t>
      </w:r>
      <w:r w:rsidRPr="00FD211F">
        <w:rPr>
          <w:sz w:val="36"/>
          <w:szCs w:val="36"/>
          <w:rtl/>
        </w:rPr>
        <w:t>الاستفهام وبين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في الجمل</w:t>
      </w:r>
      <w:r w:rsidR="00EC7EDF" w:rsidRPr="00FD211F">
        <w:rPr>
          <w:sz w:val="36"/>
          <w:szCs w:val="36"/>
          <w:rtl/>
        </w:rPr>
        <w:t xml:space="preserve">ة </w:t>
      </w:r>
      <w:r w:rsidRPr="00FD211F">
        <w:rPr>
          <w:sz w:val="36"/>
          <w:szCs w:val="36"/>
          <w:rtl/>
        </w:rPr>
        <w:t>المدخول</w:t>
      </w:r>
      <w:r w:rsidR="00EC7EDF" w:rsidRPr="00FD211F">
        <w:rPr>
          <w:sz w:val="36"/>
          <w:szCs w:val="36"/>
          <w:rtl/>
        </w:rPr>
        <w:t xml:space="preserve">ة </w:t>
      </w:r>
      <w:r w:rsidRPr="00FD211F">
        <w:rPr>
          <w:sz w:val="36"/>
          <w:szCs w:val="36"/>
          <w:rtl/>
        </w:rPr>
        <w:t>لأدا</w:t>
      </w:r>
      <w:r w:rsidR="00EC7EDF" w:rsidRPr="00FD211F">
        <w:rPr>
          <w:sz w:val="36"/>
          <w:szCs w:val="36"/>
          <w:rtl/>
        </w:rPr>
        <w:t xml:space="preserve">ة </w:t>
      </w:r>
      <w:r w:rsidRPr="00FD211F">
        <w:rPr>
          <w:sz w:val="36"/>
          <w:szCs w:val="36"/>
          <w:rtl/>
        </w:rPr>
        <w:t>الاستفهام</w:t>
      </w:r>
      <w:r w:rsidR="009C58C8" w:rsidRPr="00FD211F">
        <w:rPr>
          <w:rStyle w:val="a6"/>
          <w:sz w:val="36"/>
          <w:szCs w:val="36"/>
          <w:rtl/>
        </w:rPr>
        <w:t>(</w:t>
      </w:r>
      <w:r w:rsidR="009C58C8" w:rsidRPr="00FD211F">
        <w:rPr>
          <w:rStyle w:val="a6"/>
          <w:sz w:val="36"/>
          <w:szCs w:val="36"/>
          <w:rtl/>
        </w:rPr>
        <w:footnoteReference w:id="212"/>
      </w:r>
      <w:r w:rsidR="009C58C8" w:rsidRPr="00FD211F">
        <w:rPr>
          <w:rStyle w:val="a6"/>
          <w:sz w:val="36"/>
          <w:szCs w:val="36"/>
          <w:rtl/>
        </w:rPr>
        <w:t>)</w:t>
      </w:r>
      <w:r w:rsidRPr="00FD211F">
        <w:rPr>
          <w:sz w:val="36"/>
          <w:szCs w:val="36"/>
          <w:rtl/>
        </w:rPr>
        <w:t>.</w:t>
      </w:r>
    </w:p>
    <w:p w14:paraId="551A9076" w14:textId="77777777" w:rsidR="00556BC0" w:rsidRPr="00FD211F" w:rsidRDefault="00556BC0" w:rsidP="009C58C8">
      <w:pPr>
        <w:ind w:left="0" w:firstLine="227"/>
        <w:jc w:val="both"/>
        <w:rPr>
          <w:sz w:val="36"/>
          <w:szCs w:val="36"/>
          <w:rtl/>
        </w:rPr>
      </w:pPr>
      <w:r w:rsidRPr="00FD211F">
        <w:rPr>
          <w:sz w:val="36"/>
          <w:szCs w:val="36"/>
          <w:rtl/>
        </w:rPr>
        <w:t>ويلاحظ عليه: ان مفاد ليت مثلا ليس هو إيقاع النسب</w:t>
      </w:r>
      <w:r w:rsidR="00EC7EDF" w:rsidRPr="00FD211F">
        <w:rPr>
          <w:sz w:val="36"/>
          <w:szCs w:val="36"/>
          <w:rtl/>
        </w:rPr>
        <w:t xml:space="preserve">ة </w:t>
      </w:r>
      <w:r w:rsidRPr="00FD211F">
        <w:rPr>
          <w:sz w:val="36"/>
          <w:szCs w:val="36"/>
          <w:rtl/>
        </w:rPr>
        <w:t>بين صور</w:t>
      </w:r>
      <w:r w:rsidR="00EC7EDF" w:rsidRPr="00FD211F">
        <w:rPr>
          <w:sz w:val="36"/>
          <w:szCs w:val="36"/>
          <w:rtl/>
        </w:rPr>
        <w:t xml:space="preserve">ة </w:t>
      </w:r>
      <w:r w:rsidR="009E22F7" w:rsidRPr="00FD211F">
        <w:rPr>
          <w:sz w:val="36"/>
          <w:szCs w:val="36"/>
          <w:rtl/>
        </w:rPr>
        <w:t xml:space="preserve">مصداق </w:t>
      </w:r>
      <w:r w:rsidRPr="00FD211F">
        <w:rPr>
          <w:sz w:val="36"/>
          <w:szCs w:val="36"/>
          <w:rtl/>
        </w:rPr>
        <w:t>التمني وبين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في الجمل</w:t>
      </w:r>
      <w:r w:rsidR="00EC7EDF" w:rsidRPr="00FD211F">
        <w:rPr>
          <w:sz w:val="36"/>
          <w:szCs w:val="36"/>
          <w:rtl/>
        </w:rPr>
        <w:t>ة</w:t>
      </w:r>
      <w:r w:rsidR="00603323" w:rsidRPr="00FD211F">
        <w:rPr>
          <w:sz w:val="36"/>
          <w:szCs w:val="36"/>
          <w:rtl/>
        </w:rPr>
        <w:t xml:space="preserve">، </w:t>
      </w:r>
      <w:r w:rsidRPr="00FD211F">
        <w:rPr>
          <w:sz w:val="36"/>
          <w:szCs w:val="36"/>
          <w:rtl/>
        </w:rPr>
        <w:t>والاّ لزم ان يكون احد طرفي النسب</w:t>
      </w:r>
      <w:r w:rsidR="00EC7EDF" w:rsidRPr="00FD211F">
        <w:rPr>
          <w:sz w:val="36"/>
          <w:szCs w:val="36"/>
          <w:rtl/>
        </w:rPr>
        <w:t xml:space="preserve">ة </w:t>
      </w:r>
      <w:r w:rsidRPr="00FD211F">
        <w:rPr>
          <w:sz w:val="36"/>
          <w:szCs w:val="36"/>
          <w:rtl/>
        </w:rPr>
        <w:t>غير مذكور في الكلام</w:t>
      </w:r>
      <w:r w:rsidR="00603323" w:rsidRPr="00FD211F">
        <w:rPr>
          <w:sz w:val="36"/>
          <w:szCs w:val="36"/>
          <w:rtl/>
        </w:rPr>
        <w:t xml:space="preserve">، </w:t>
      </w:r>
      <w:r w:rsidRPr="00FD211F">
        <w:rPr>
          <w:sz w:val="36"/>
          <w:szCs w:val="36"/>
          <w:rtl/>
        </w:rPr>
        <w:t>ودعوى دلالته عليه عقلا لتقوم النسب</w:t>
      </w:r>
      <w:r w:rsidR="00EC7EDF" w:rsidRPr="00FD211F">
        <w:rPr>
          <w:sz w:val="36"/>
          <w:szCs w:val="36"/>
          <w:rtl/>
        </w:rPr>
        <w:t xml:space="preserve">ة </w:t>
      </w:r>
      <w:r w:rsidRPr="00FD211F">
        <w:rPr>
          <w:sz w:val="36"/>
          <w:szCs w:val="36"/>
          <w:rtl/>
        </w:rPr>
        <w:t>بالطرفين غير متجه</w:t>
      </w:r>
      <w:r w:rsidR="00EC7EDF" w:rsidRPr="00FD211F">
        <w:rPr>
          <w:sz w:val="36"/>
          <w:szCs w:val="36"/>
          <w:rtl/>
        </w:rPr>
        <w:t>ة</w:t>
      </w:r>
      <w:r w:rsidR="00603323" w:rsidRPr="00FD211F">
        <w:rPr>
          <w:sz w:val="36"/>
          <w:szCs w:val="36"/>
          <w:rtl/>
        </w:rPr>
        <w:t xml:space="preserve">، </w:t>
      </w:r>
      <w:r w:rsidRPr="00FD211F">
        <w:rPr>
          <w:sz w:val="36"/>
          <w:szCs w:val="36"/>
          <w:rtl/>
        </w:rPr>
        <w:t>حيث يصير الكلام نظير قولنا "زيد في"</w:t>
      </w:r>
      <w:r w:rsidR="00603323" w:rsidRPr="00FD211F">
        <w:rPr>
          <w:sz w:val="36"/>
          <w:szCs w:val="36"/>
          <w:rtl/>
        </w:rPr>
        <w:t xml:space="preserve">، </w:t>
      </w:r>
      <w:r w:rsidRPr="00FD211F">
        <w:rPr>
          <w:sz w:val="36"/>
          <w:szCs w:val="36"/>
          <w:rtl/>
        </w:rPr>
        <w:t>فانه لاريب في عدم كونه كلاما تامّا مع دلالته عقلا على وجود طرف آخر للنسب</w:t>
      </w:r>
      <w:r w:rsidR="00EC7EDF" w:rsidRPr="00FD211F">
        <w:rPr>
          <w:sz w:val="36"/>
          <w:szCs w:val="36"/>
          <w:rtl/>
        </w:rPr>
        <w:t xml:space="preserve">ة </w:t>
      </w:r>
      <w:r w:rsidRPr="00FD211F">
        <w:rPr>
          <w:sz w:val="36"/>
          <w:szCs w:val="36"/>
          <w:rtl/>
        </w:rPr>
        <w:t>الظرفي</w:t>
      </w:r>
      <w:r w:rsidR="00EC7EDF" w:rsidRPr="00FD211F">
        <w:rPr>
          <w:sz w:val="36"/>
          <w:szCs w:val="36"/>
          <w:rtl/>
        </w:rPr>
        <w:t>ة</w:t>
      </w:r>
      <w:r w:rsidR="00A61BAE" w:rsidRPr="00FD211F">
        <w:rPr>
          <w:sz w:val="36"/>
          <w:szCs w:val="36"/>
          <w:rtl/>
        </w:rPr>
        <w:t>.</w:t>
      </w:r>
    </w:p>
    <w:p w14:paraId="7724E045" w14:textId="77777777" w:rsidR="000C5BBA" w:rsidRPr="00FD211F" w:rsidRDefault="00597DE9" w:rsidP="009C58C8">
      <w:pPr>
        <w:ind w:left="0" w:firstLine="227"/>
        <w:jc w:val="both"/>
        <w:rPr>
          <w:sz w:val="36"/>
          <w:szCs w:val="36"/>
          <w:rtl/>
        </w:rPr>
      </w:pPr>
      <w:r w:rsidRPr="00FD211F">
        <w:rPr>
          <w:sz w:val="36"/>
          <w:szCs w:val="36"/>
          <w:rtl/>
        </w:rPr>
        <w:t>هذا وقد حكى عنه في بدائع الأفكار ان مفاد حرف</w:t>
      </w:r>
      <w:r w:rsidR="009E22F7" w:rsidRPr="00FD211F">
        <w:rPr>
          <w:sz w:val="36"/>
          <w:szCs w:val="36"/>
          <w:rtl/>
        </w:rPr>
        <w:t>"</w:t>
      </w:r>
      <w:r w:rsidRPr="00FD211F">
        <w:rPr>
          <w:sz w:val="36"/>
          <w:szCs w:val="36"/>
          <w:rtl/>
        </w:rPr>
        <w:t xml:space="preserve"> ليت </w:t>
      </w:r>
      <w:r w:rsidR="009E22F7" w:rsidRPr="00FD211F">
        <w:rPr>
          <w:sz w:val="36"/>
          <w:szCs w:val="36"/>
          <w:rtl/>
        </w:rPr>
        <w:t>"</w:t>
      </w:r>
      <w:r w:rsidRPr="00FD211F">
        <w:rPr>
          <w:sz w:val="36"/>
          <w:szCs w:val="36"/>
          <w:rtl/>
        </w:rPr>
        <w:t>مثلا النسب</w:t>
      </w:r>
      <w:r w:rsidR="00EC7EDF" w:rsidRPr="00FD211F">
        <w:rPr>
          <w:sz w:val="36"/>
          <w:szCs w:val="36"/>
          <w:rtl/>
        </w:rPr>
        <w:t xml:space="preserve">ة </w:t>
      </w:r>
      <w:r w:rsidRPr="00FD211F">
        <w:rPr>
          <w:sz w:val="36"/>
          <w:szCs w:val="36"/>
          <w:rtl/>
        </w:rPr>
        <w:t>القائم</w:t>
      </w:r>
      <w:r w:rsidR="00EC7EDF" w:rsidRPr="00FD211F">
        <w:rPr>
          <w:sz w:val="36"/>
          <w:szCs w:val="36"/>
          <w:rtl/>
        </w:rPr>
        <w:t xml:space="preserve">ة </w:t>
      </w:r>
      <w:r w:rsidRPr="00FD211F">
        <w:rPr>
          <w:sz w:val="36"/>
          <w:szCs w:val="36"/>
          <w:rtl/>
        </w:rPr>
        <w:t>بين المتمني والمتمنى'</w:t>
      </w:r>
      <w:r w:rsidR="00603323" w:rsidRPr="00FD211F">
        <w:rPr>
          <w:sz w:val="36"/>
          <w:szCs w:val="36"/>
          <w:rtl/>
        </w:rPr>
        <w:t xml:space="preserve">، </w:t>
      </w:r>
      <w:r w:rsidRPr="00FD211F">
        <w:rPr>
          <w:sz w:val="36"/>
          <w:szCs w:val="36"/>
          <w:rtl/>
        </w:rPr>
        <w:t>ولكنه خلاف ما افاده ا</w:t>
      </w:r>
      <w:r w:rsidR="001A5C05" w:rsidRPr="00FD211F">
        <w:rPr>
          <w:sz w:val="36"/>
          <w:szCs w:val="36"/>
          <w:rtl/>
        </w:rPr>
        <w:t>لمحقق العراقي</w:t>
      </w:r>
      <w:r w:rsidR="00117579" w:rsidRPr="00FD211F">
        <w:rPr>
          <w:sz w:val="36"/>
          <w:szCs w:val="36"/>
          <w:rtl/>
        </w:rPr>
        <w:t xml:space="preserve"> </w:t>
      </w:r>
      <w:r w:rsidR="001A5C05" w:rsidRPr="00FD211F">
        <w:rPr>
          <w:sz w:val="36"/>
          <w:szCs w:val="36"/>
          <w:rtl/>
        </w:rPr>
        <w:t>بنفسه في المقالات.</w:t>
      </w:r>
    </w:p>
    <w:p w14:paraId="5CBCBC5D" w14:textId="77777777" w:rsidR="000C5BBA" w:rsidRPr="00FD211F" w:rsidRDefault="00597DE9" w:rsidP="009C58C8">
      <w:pPr>
        <w:ind w:left="0" w:firstLine="227"/>
        <w:jc w:val="both"/>
        <w:rPr>
          <w:sz w:val="36"/>
          <w:szCs w:val="36"/>
          <w:rtl/>
        </w:rPr>
      </w:pPr>
      <w:r w:rsidRPr="00FD211F">
        <w:rPr>
          <w:sz w:val="36"/>
          <w:szCs w:val="36"/>
          <w:rtl/>
        </w:rPr>
        <w:t>ومن جه</w:t>
      </w:r>
      <w:r w:rsidR="00EC7EDF" w:rsidRPr="00FD211F">
        <w:rPr>
          <w:sz w:val="36"/>
          <w:szCs w:val="36"/>
          <w:rtl/>
        </w:rPr>
        <w:t xml:space="preserve">ة </w:t>
      </w:r>
      <w:r w:rsidR="001A5C05" w:rsidRPr="00FD211F">
        <w:rPr>
          <w:sz w:val="36"/>
          <w:szCs w:val="36"/>
          <w:rtl/>
        </w:rPr>
        <w:t xml:space="preserve">أخرى فقد حكى في البحوث </w:t>
      </w:r>
      <w:r w:rsidRPr="00FD211F">
        <w:rPr>
          <w:sz w:val="36"/>
          <w:szCs w:val="36"/>
          <w:rtl/>
        </w:rPr>
        <w:t xml:space="preserve">عن المحقق العراقي في </w:t>
      </w:r>
      <w:r w:rsidR="001A5C05" w:rsidRPr="00FD211F">
        <w:rPr>
          <w:sz w:val="36"/>
          <w:szCs w:val="36"/>
          <w:rtl/>
        </w:rPr>
        <w:t>المقالات</w:t>
      </w:r>
      <w:r w:rsidR="00B253CE" w:rsidRPr="00FD211F">
        <w:rPr>
          <w:sz w:val="36"/>
          <w:szCs w:val="36"/>
          <w:rtl/>
        </w:rPr>
        <w:t xml:space="preserve"> </w:t>
      </w:r>
      <w:r w:rsidRPr="00FD211F">
        <w:rPr>
          <w:sz w:val="36"/>
          <w:szCs w:val="36"/>
          <w:rtl/>
        </w:rPr>
        <w:t>ان أدا</w:t>
      </w:r>
      <w:r w:rsidR="00EC7EDF" w:rsidRPr="00FD211F">
        <w:rPr>
          <w:sz w:val="36"/>
          <w:szCs w:val="36"/>
          <w:rtl/>
        </w:rPr>
        <w:t xml:space="preserve">ة </w:t>
      </w:r>
      <w:r w:rsidRPr="00FD211F">
        <w:rPr>
          <w:sz w:val="36"/>
          <w:szCs w:val="36"/>
          <w:rtl/>
        </w:rPr>
        <w:t>الاستفهام او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الاستفهامي</w:t>
      </w:r>
      <w:r w:rsidR="00EC7EDF" w:rsidRPr="00FD211F">
        <w:rPr>
          <w:sz w:val="36"/>
          <w:szCs w:val="36"/>
          <w:rtl/>
        </w:rPr>
        <w:t xml:space="preserve">ة </w:t>
      </w:r>
      <w:r w:rsidRPr="00FD211F">
        <w:rPr>
          <w:sz w:val="36"/>
          <w:szCs w:val="36"/>
          <w:rtl/>
        </w:rPr>
        <w:t>تدل على نسب</w:t>
      </w:r>
      <w:r w:rsidR="00EC7EDF" w:rsidRPr="00FD211F">
        <w:rPr>
          <w:sz w:val="36"/>
          <w:szCs w:val="36"/>
          <w:rtl/>
        </w:rPr>
        <w:t xml:space="preserve">ة </w:t>
      </w:r>
      <w:r w:rsidRPr="00FD211F">
        <w:rPr>
          <w:sz w:val="36"/>
          <w:szCs w:val="36"/>
          <w:rtl/>
        </w:rPr>
        <w:t>قائم</w:t>
      </w:r>
      <w:r w:rsidR="00EC7EDF" w:rsidRPr="00FD211F">
        <w:rPr>
          <w:sz w:val="36"/>
          <w:szCs w:val="36"/>
          <w:rtl/>
        </w:rPr>
        <w:t xml:space="preserve">ة </w:t>
      </w:r>
      <w:r w:rsidRPr="00FD211F">
        <w:rPr>
          <w:sz w:val="36"/>
          <w:szCs w:val="36"/>
          <w:rtl/>
        </w:rPr>
        <w:t>بين مفهوم الاستفهام وبين النسب</w:t>
      </w:r>
      <w:r w:rsidR="00EC7EDF" w:rsidRPr="00FD211F">
        <w:rPr>
          <w:sz w:val="36"/>
          <w:szCs w:val="36"/>
          <w:rtl/>
        </w:rPr>
        <w:t xml:space="preserve">ة </w:t>
      </w:r>
      <w:r w:rsidRPr="00FD211F">
        <w:rPr>
          <w:sz w:val="36"/>
          <w:szCs w:val="36"/>
          <w:rtl/>
        </w:rPr>
        <w:t>ال</w:t>
      </w:r>
      <w:r w:rsidR="009E22F7" w:rsidRPr="00FD211F">
        <w:rPr>
          <w:sz w:val="36"/>
          <w:szCs w:val="36"/>
          <w:rtl/>
        </w:rPr>
        <w:t>تامة</w:t>
      </w:r>
      <w:r w:rsidR="00EC7EDF" w:rsidRPr="00FD211F">
        <w:rPr>
          <w:sz w:val="36"/>
          <w:szCs w:val="36"/>
          <w:rtl/>
        </w:rPr>
        <w:t xml:space="preserve"> </w:t>
      </w:r>
      <w:r w:rsidRPr="00FD211F">
        <w:rPr>
          <w:sz w:val="36"/>
          <w:szCs w:val="36"/>
          <w:rtl/>
        </w:rPr>
        <w:t>في الجمل</w:t>
      </w:r>
      <w:r w:rsidR="00EC7EDF" w:rsidRPr="00FD211F">
        <w:rPr>
          <w:sz w:val="36"/>
          <w:szCs w:val="36"/>
          <w:rtl/>
        </w:rPr>
        <w:t xml:space="preserve">ة </w:t>
      </w:r>
      <w:r w:rsidRPr="00FD211F">
        <w:rPr>
          <w:sz w:val="36"/>
          <w:szCs w:val="36"/>
          <w:rtl/>
        </w:rPr>
        <w:t>المدخول</w:t>
      </w:r>
      <w:r w:rsidR="00EC7EDF" w:rsidRPr="00FD211F">
        <w:rPr>
          <w:sz w:val="36"/>
          <w:szCs w:val="36"/>
          <w:rtl/>
        </w:rPr>
        <w:t xml:space="preserve">ة </w:t>
      </w:r>
      <w:r w:rsidRPr="00FD211F">
        <w:rPr>
          <w:sz w:val="36"/>
          <w:szCs w:val="36"/>
          <w:rtl/>
        </w:rPr>
        <w:t>لأدا</w:t>
      </w:r>
      <w:r w:rsidR="00EC7EDF" w:rsidRPr="00FD211F">
        <w:rPr>
          <w:sz w:val="36"/>
          <w:szCs w:val="36"/>
          <w:rtl/>
        </w:rPr>
        <w:t xml:space="preserve">ة </w:t>
      </w:r>
      <w:r w:rsidRPr="00FD211F">
        <w:rPr>
          <w:sz w:val="36"/>
          <w:szCs w:val="36"/>
          <w:rtl/>
        </w:rPr>
        <w:t>الاستفهام</w:t>
      </w:r>
      <w:r w:rsidR="00603323" w:rsidRPr="00FD211F">
        <w:rPr>
          <w:sz w:val="36"/>
          <w:szCs w:val="36"/>
          <w:rtl/>
        </w:rPr>
        <w:t xml:space="preserve">، </w:t>
      </w:r>
      <w:r w:rsidRPr="00FD211F">
        <w:rPr>
          <w:sz w:val="36"/>
          <w:szCs w:val="36"/>
          <w:rtl/>
        </w:rPr>
        <w:t>وهكذا سائر الجمل الإنشائي</w:t>
      </w:r>
      <w:r w:rsidR="00EC7EDF" w:rsidRPr="00FD211F">
        <w:rPr>
          <w:sz w:val="36"/>
          <w:szCs w:val="36"/>
          <w:rtl/>
        </w:rPr>
        <w:t xml:space="preserve">ة </w:t>
      </w:r>
      <w:r w:rsidRPr="00FD211F">
        <w:rPr>
          <w:sz w:val="36"/>
          <w:szCs w:val="36"/>
          <w:rtl/>
        </w:rPr>
        <w:t>فصيغ</w:t>
      </w:r>
      <w:r w:rsidR="00EC7EDF" w:rsidRPr="00FD211F">
        <w:rPr>
          <w:sz w:val="36"/>
          <w:szCs w:val="36"/>
          <w:rtl/>
        </w:rPr>
        <w:t xml:space="preserve">ة </w:t>
      </w:r>
      <w:r w:rsidRPr="00FD211F">
        <w:rPr>
          <w:sz w:val="36"/>
          <w:szCs w:val="36"/>
          <w:rtl/>
        </w:rPr>
        <w:t xml:space="preserve">الأمر تدل </w:t>
      </w:r>
      <w:r w:rsidR="001A5C05" w:rsidRPr="00FD211F">
        <w:rPr>
          <w:sz w:val="36"/>
          <w:szCs w:val="36"/>
          <w:rtl/>
        </w:rPr>
        <w:t>على نسب</w:t>
      </w:r>
      <w:r w:rsidR="00EC7EDF" w:rsidRPr="00FD211F">
        <w:rPr>
          <w:sz w:val="36"/>
          <w:szCs w:val="36"/>
          <w:rtl/>
        </w:rPr>
        <w:t xml:space="preserve">ة </w:t>
      </w:r>
      <w:r w:rsidR="001A5C05" w:rsidRPr="00FD211F">
        <w:rPr>
          <w:sz w:val="36"/>
          <w:szCs w:val="36"/>
          <w:rtl/>
        </w:rPr>
        <w:t>مفهوم الطلب الى الماد</w:t>
      </w:r>
      <w:r w:rsidR="00EC7EDF" w:rsidRPr="00FD211F">
        <w:rPr>
          <w:sz w:val="36"/>
          <w:szCs w:val="36"/>
          <w:rtl/>
        </w:rPr>
        <w:t>ة</w:t>
      </w:r>
      <w:r w:rsidR="00A61BAE" w:rsidRPr="00FD211F">
        <w:rPr>
          <w:sz w:val="36"/>
          <w:szCs w:val="36"/>
          <w:rtl/>
        </w:rPr>
        <w:t>.</w:t>
      </w:r>
      <w:r w:rsidR="009C58C8" w:rsidRPr="00FD211F">
        <w:rPr>
          <w:rStyle w:val="a6"/>
          <w:sz w:val="36"/>
          <w:szCs w:val="36"/>
          <w:rtl/>
        </w:rPr>
        <w:t>(</w:t>
      </w:r>
      <w:r w:rsidR="009C58C8" w:rsidRPr="00FD211F">
        <w:rPr>
          <w:rStyle w:val="a6"/>
          <w:sz w:val="36"/>
          <w:szCs w:val="36"/>
          <w:rtl/>
        </w:rPr>
        <w:footnoteReference w:id="213"/>
      </w:r>
      <w:r w:rsidR="009C58C8" w:rsidRPr="00FD211F">
        <w:rPr>
          <w:rStyle w:val="a6"/>
          <w:sz w:val="36"/>
          <w:szCs w:val="36"/>
          <w:rtl/>
        </w:rPr>
        <w:t>)</w:t>
      </w:r>
    </w:p>
    <w:p w14:paraId="4F931B05" w14:textId="77777777" w:rsidR="00597DE9" w:rsidRPr="00FD211F" w:rsidRDefault="00597DE9" w:rsidP="009C58C8">
      <w:pPr>
        <w:ind w:left="0" w:firstLine="227"/>
        <w:jc w:val="both"/>
        <w:rPr>
          <w:sz w:val="36"/>
          <w:szCs w:val="36"/>
          <w:rtl/>
        </w:rPr>
      </w:pPr>
      <w:r w:rsidRPr="00FD211F">
        <w:rPr>
          <w:sz w:val="36"/>
          <w:szCs w:val="36"/>
          <w:rtl/>
        </w:rPr>
        <w:t>و</w:t>
      </w:r>
      <w:r w:rsidR="00117579" w:rsidRPr="00FD211F">
        <w:rPr>
          <w:sz w:val="36"/>
          <w:szCs w:val="36"/>
          <w:rtl/>
        </w:rPr>
        <w:t>فيه أن</w:t>
      </w:r>
      <w:r w:rsidRPr="00FD211F">
        <w:rPr>
          <w:sz w:val="36"/>
          <w:szCs w:val="36"/>
          <w:rtl/>
        </w:rPr>
        <w:t xml:space="preserve"> المذك</w:t>
      </w:r>
      <w:r w:rsidR="00AB119C" w:rsidRPr="00FD211F">
        <w:rPr>
          <w:sz w:val="36"/>
          <w:szCs w:val="36"/>
          <w:rtl/>
        </w:rPr>
        <w:t>ور في المقالات هو ان مفاد حر</w:t>
      </w:r>
      <w:r w:rsidRPr="00FD211F">
        <w:rPr>
          <w:sz w:val="36"/>
          <w:szCs w:val="36"/>
          <w:rtl/>
        </w:rPr>
        <w:t xml:space="preserve">ف </w:t>
      </w:r>
      <w:r w:rsidR="00AB119C" w:rsidRPr="00FD211F">
        <w:rPr>
          <w:sz w:val="36"/>
          <w:szCs w:val="36"/>
          <w:rtl/>
        </w:rPr>
        <w:t xml:space="preserve">التمني </w:t>
      </w:r>
      <w:r w:rsidRPr="00FD211F">
        <w:rPr>
          <w:sz w:val="36"/>
          <w:szCs w:val="36"/>
          <w:rtl/>
        </w:rPr>
        <w:t>حيث</w:t>
      </w:r>
      <w:r w:rsidR="00AB119C" w:rsidRPr="00FD211F">
        <w:rPr>
          <w:sz w:val="36"/>
          <w:szCs w:val="36"/>
          <w:rtl/>
        </w:rPr>
        <w:t>ي</w:t>
      </w:r>
      <w:r w:rsidR="00EC7EDF" w:rsidRPr="00FD211F">
        <w:rPr>
          <w:sz w:val="36"/>
          <w:szCs w:val="36"/>
          <w:rtl/>
        </w:rPr>
        <w:t xml:space="preserve">ة </w:t>
      </w:r>
      <w:r w:rsidRPr="00FD211F">
        <w:rPr>
          <w:sz w:val="36"/>
          <w:szCs w:val="36"/>
          <w:rtl/>
        </w:rPr>
        <w:t>قيام صور</w:t>
      </w:r>
      <w:r w:rsidR="00EC7EDF" w:rsidRPr="00FD211F">
        <w:rPr>
          <w:sz w:val="36"/>
          <w:szCs w:val="36"/>
          <w:rtl/>
        </w:rPr>
        <w:t xml:space="preserve">ة </w:t>
      </w:r>
      <w:r w:rsidR="00AB119C" w:rsidRPr="00FD211F">
        <w:rPr>
          <w:sz w:val="36"/>
          <w:szCs w:val="36"/>
          <w:rtl/>
        </w:rPr>
        <w:t xml:space="preserve">مصداق التمني </w:t>
      </w:r>
      <w:r w:rsidRPr="00FD211F">
        <w:rPr>
          <w:sz w:val="36"/>
          <w:szCs w:val="36"/>
          <w:rtl/>
        </w:rPr>
        <w:t>بالنسب</w:t>
      </w:r>
      <w:r w:rsidR="00EC7EDF" w:rsidRPr="00FD211F">
        <w:rPr>
          <w:sz w:val="36"/>
          <w:szCs w:val="36"/>
          <w:rtl/>
        </w:rPr>
        <w:t xml:space="preserve">ة </w:t>
      </w:r>
      <w:r w:rsidRPr="00FD211F">
        <w:rPr>
          <w:sz w:val="36"/>
          <w:szCs w:val="36"/>
          <w:rtl/>
        </w:rPr>
        <w:t>الإيقاعي</w:t>
      </w:r>
      <w:r w:rsidR="00EC7EDF" w:rsidRPr="00FD211F">
        <w:rPr>
          <w:sz w:val="36"/>
          <w:szCs w:val="36"/>
          <w:rtl/>
        </w:rPr>
        <w:t xml:space="preserve">ة </w:t>
      </w:r>
      <w:r w:rsidRPr="00FD211F">
        <w:rPr>
          <w:sz w:val="36"/>
          <w:szCs w:val="36"/>
          <w:rtl/>
        </w:rPr>
        <w:t>في الجمل</w:t>
      </w:r>
      <w:r w:rsidR="00EC7EDF" w:rsidRPr="00FD211F">
        <w:rPr>
          <w:sz w:val="36"/>
          <w:szCs w:val="36"/>
          <w:rtl/>
        </w:rPr>
        <w:t>ة</w:t>
      </w:r>
      <w:r w:rsidR="00603323" w:rsidRPr="00FD211F">
        <w:rPr>
          <w:sz w:val="36"/>
          <w:szCs w:val="36"/>
          <w:rtl/>
        </w:rPr>
        <w:t xml:space="preserve">، </w:t>
      </w:r>
      <w:r w:rsidR="004958A9" w:rsidRPr="00FD211F">
        <w:rPr>
          <w:sz w:val="36"/>
          <w:szCs w:val="36"/>
          <w:rtl/>
        </w:rPr>
        <w:t>ونظيره مفادح</w:t>
      </w:r>
      <w:r w:rsidR="00AB119C" w:rsidRPr="00FD211F">
        <w:rPr>
          <w:sz w:val="36"/>
          <w:szCs w:val="36"/>
          <w:rtl/>
        </w:rPr>
        <w:t>رف الترجي</w:t>
      </w:r>
      <w:r w:rsidR="00EC7EDF" w:rsidRPr="00FD211F">
        <w:rPr>
          <w:sz w:val="36"/>
          <w:szCs w:val="36"/>
          <w:rtl/>
        </w:rPr>
        <w:t xml:space="preserve"> و</w:t>
      </w:r>
      <w:r w:rsidR="00AB119C" w:rsidRPr="00FD211F">
        <w:rPr>
          <w:sz w:val="36"/>
          <w:szCs w:val="36"/>
          <w:rtl/>
        </w:rPr>
        <w:t>الاستفهام</w:t>
      </w:r>
      <w:r w:rsidR="00603323" w:rsidRPr="00FD211F">
        <w:rPr>
          <w:sz w:val="36"/>
          <w:szCs w:val="36"/>
          <w:rtl/>
        </w:rPr>
        <w:t xml:space="preserve">، </w:t>
      </w:r>
      <w:r w:rsidR="009977FE" w:rsidRPr="00FD211F">
        <w:rPr>
          <w:sz w:val="36"/>
          <w:szCs w:val="36"/>
          <w:rtl/>
        </w:rPr>
        <w:t>و</w:t>
      </w:r>
      <w:r w:rsidR="008D7B3D" w:rsidRPr="00FD211F">
        <w:rPr>
          <w:sz w:val="36"/>
          <w:szCs w:val="36"/>
          <w:rtl/>
        </w:rPr>
        <w:t xml:space="preserve"> لم‌</w:t>
      </w:r>
      <w:r w:rsidRPr="00FD211F">
        <w:rPr>
          <w:sz w:val="36"/>
          <w:szCs w:val="36"/>
          <w:rtl/>
        </w:rPr>
        <w:t xml:space="preserve">يرد فيه كون مفهوم </w:t>
      </w:r>
      <w:r w:rsidR="00AB119C" w:rsidRPr="00FD211F">
        <w:rPr>
          <w:sz w:val="36"/>
          <w:szCs w:val="36"/>
          <w:rtl/>
        </w:rPr>
        <w:t>ال</w:t>
      </w:r>
      <w:r w:rsidRPr="00FD211F">
        <w:rPr>
          <w:sz w:val="36"/>
          <w:szCs w:val="36"/>
          <w:rtl/>
        </w:rPr>
        <w:t>تمني او الترجي او ال</w:t>
      </w:r>
      <w:r w:rsidR="009C4F59" w:rsidRPr="00FD211F">
        <w:rPr>
          <w:sz w:val="36"/>
          <w:szCs w:val="36"/>
          <w:rtl/>
        </w:rPr>
        <w:t>استفهام طرفا للنسب</w:t>
      </w:r>
      <w:r w:rsidR="00EC7EDF" w:rsidRPr="00FD211F">
        <w:rPr>
          <w:sz w:val="36"/>
          <w:szCs w:val="36"/>
          <w:rtl/>
        </w:rPr>
        <w:t>ة</w:t>
      </w:r>
      <w:r w:rsidR="00603323" w:rsidRPr="00FD211F">
        <w:rPr>
          <w:sz w:val="36"/>
          <w:szCs w:val="36"/>
          <w:rtl/>
        </w:rPr>
        <w:t xml:space="preserve">، </w:t>
      </w:r>
      <w:r w:rsidR="009C4F59" w:rsidRPr="00FD211F">
        <w:rPr>
          <w:sz w:val="36"/>
          <w:szCs w:val="36"/>
          <w:rtl/>
        </w:rPr>
        <w:t>كما</w:t>
      </w:r>
      <w:r w:rsidR="00B253CE" w:rsidRPr="00FD211F">
        <w:rPr>
          <w:sz w:val="36"/>
          <w:szCs w:val="36"/>
          <w:rtl/>
        </w:rPr>
        <w:t xml:space="preserve"> </w:t>
      </w:r>
      <w:r w:rsidRPr="00FD211F">
        <w:rPr>
          <w:sz w:val="36"/>
          <w:szCs w:val="36"/>
          <w:rtl/>
        </w:rPr>
        <w:t>صرح بان مفاد صيغ</w:t>
      </w:r>
      <w:r w:rsidR="00EC7EDF" w:rsidRPr="00FD211F">
        <w:rPr>
          <w:sz w:val="36"/>
          <w:szCs w:val="36"/>
          <w:rtl/>
        </w:rPr>
        <w:t xml:space="preserve">ة </w:t>
      </w:r>
      <w:r w:rsidRPr="00FD211F">
        <w:rPr>
          <w:sz w:val="36"/>
          <w:szCs w:val="36"/>
          <w:rtl/>
        </w:rPr>
        <w:t>الأمر هو النسب</w:t>
      </w:r>
      <w:r w:rsidR="00EC7EDF" w:rsidRPr="00FD211F">
        <w:rPr>
          <w:sz w:val="36"/>
          <w:szCs w:val="36"/>
          <w:rtl/>
        </w:rPr>
        <w:t xml:space="preserve">ة </w:t>
      </w:r>
      <w:r w:rsidRPr="00FD211F">
        <w:rPr>
          <w:sz w:val="36"/>
          <w:szCs w:val="36"/>
          <w:rtl/>
        </w:rPr>
        <w:t>البعثي</w:t>
      </w:r>
      <w:r w:rsidR="00EC7EDF" w:rsidRPr="00FD211F">
        <w:rPr>
          <w:sz w:val="36"/>
          <w:szCs w:val="36"/>
          <w:rtl/>
        </w:rPr>
        <w:t xml:space="preserve">ة </w:t>
      </w:r>
      <w:r w:rsidRPr="00FD211F">
        <w:rPr>
          <w:sz w:val="36"/>
          <w:szCs w:val="36"/>
          <w:rtl/>
        </w:rPr>
        <w:t>بين الماد</w:t>
      </w:r>
      <w:r w:rsidR="00EC7EDF" w:rsidRPr="00FD211F">
        <w:rPr>
          <w:sz w:val="36"/>
          <w:szCs w:val="36"/>
          <w:rtl/>
        </w:rPr>
        <w:t xml:space="preserve">ة </w:t>
      </w:r>
      <w:r w:rsidRPr="00FD211F">
        <w:rPr>
          <w:sz w:val="36"/>
          <w:szCs w:val="36"/>
          <w:rtl/>
        </w:rPr>
        <w:t>وفاعلها.</w:t>
      </w:r>
    </w:p>
    <w:p w14:paraId="5980637C" w14:textId="77777777" w:rsidR="000C5BBA" w:rsidRPr="00FD211F" w:rsidRDefault="00556BC0" w:rsidP="009C58C8">
      <w:pPr>
        <w:ind w:left="0" w:firstLine="227"/>
        <w:jc w:val="both"/>
        <w:rPr>
          <w:sz w:val="36"/>
          <w:szCs w:val="36"/>
          <w:rtl/>
        </w:rPr>
      </w:pPr>
      <w:r w:rsidRPr="00FD211F">
        <w:rPr>
          <w:b/>
          <w:bCs/>
          <w:sz w:val="36"/>
          <w:szCs w:val="36"/>
          <w:rtl/>
        </w:rPr>
        <w:t>الوجه الثالث</w:t>
      </w:r>
      <w:r w:rsidRPr="00FD211F">
        <w:rPr>
          <w:sz w:val="36"/>
          <w:szCs w:val="36"/>
          <w:rtl/>
        </w:rPr>
        <w:t>: ما ذكره المحقق الاصفهاني</w:t>
      </w:r>
      <w:r w:rsidR="004958A9" w:rsidRPr="00FD211F">
        <w:rPr>
          <w:sz w:val="36"/>
          <w:szCs w:val="36"/>
          <w:rtl/>
        </w:rPr>
        <w:t>"</w:t>
      </w:r>
      <w:r w:rsidRPr="00FD211F">
        <w:rPr>
          <w:sz w:val="36"/>
          <w:szCs w:val="36"/>
          <w:rtl/>
        </w:rPr>
        <w:t>قده</w:t>
      </w:r>
      <w:r w:rsidR="004958A9" w:rsidRPr="00FD211F">
        <w:rPr>
          <w:sz w:val="36"/>
          <w:szCs w:val="36"/>
          <w:rtl/>
        </w:rPr>
        <w:t>"</w:t>
      </w:r>
      <w:r w:rsidRPr="00FD211F">
        <w:rPr>
          <w:sz w:val="36"/>
          <w:szCs w:val="36"/>
          <w:rtl/>
        </w:rPr>
        <w:t xml:space="preserve"> في صيغ</w:t>
      </w:r>
      <w:r w:rsidR="00EC7EDF" w:rsidRPr="00FD211F">
        <w:rPr>
          <w:sz w:val="36"/>
          <w:szCs w:val="36"/>
          <w:rtl/>
        </w:rPr>
        <w:t xml:space="preserve">ة </w:t>
      </w:r>
      <w:r w:rsidR="001B3112" w:rsidRPr="00FD211F">
        <w:rPr>
          <w:sz w:val="36"/>
          <w:szCs w:val="36"/>
          <w:rtl/>
        </w:rPr>
        <w:t>الأمر</w:t>
      </w:r>
      <w:r w:rsidRPr="00FD211F">
        <w:rPr>
          <w:sz w:val="36"/>
          <w:szCs w:val="36"/>
          <w:rtl/>
        </w:rPr>
        <w:t xml:space="preserve"> من انه حيث توجد في البعث الخارجي نسب</w:t>
      </w:r>
      <w:r w:rsidR="00EC7EDF" w:rsidRPr="00FD211F">
        <w:rPr>
          <w:sz w:val="36"/>
          <w:szCs w:val="36"/>
          <w:rtl/>
        </w:rPr>
        <w:t xml:space="preserve">ة </w:t>
      </w:r>
      <w:r w:rsidRPr="00FD211F">
        <w:rPr>
          <w:sz w:val="36"/>
          <w:szCs w:val="36"/>
          <w:rtl/>
        </w:rPr>
        <w:t>بعثي</w:t>
      </w:r>
      <w:r w:rsidR="00EC7EDF" w:rsidRPr="00FD211F">
        <w:rPr>
          <w:sz w:val="36"/>
          <w:szCs w:val="36"/>
          <w:rtl/>
        </w:rPr>
        <w:t>ة</w:t>
      </w:r>
      <w:r w:rsidRPr="00FD211F">
        <w:rPr>
          <w:sz w:val="36"/>
          <w:szCs w:val="36"/>
          <w:rtl/>
        </w:rPr>
        <w:t xml:space="preserve"> بين الباعث والمبعوث والمبعوث اليه</w:t>
      </w:r>
      <w:r w:rsidR="00603323" w:rsidRPr="00FD211F">
        <w:rPr>
          <w:sz w:val="36"/>
          <w:szCs w:val="36"/>
          <w:rtl/>
        </w:rPr>
        <w:t xml:space="preserve">، </w:t>
      </w:r>
      <w:r w:rsidRPr="00FD211F">
        <w:rPr>
          <w:sz w:val="36"/>
          <w:szCs w:val="36"/>
          <w:rtl/>
        </w:rPr>
        <w:t>فقد ينتزع عنها مفهوم اسمي وهو مفهوم البعث والإرسال</w:t>
      </w:r>
      <w:r w:rsidR="00603323" w:rsidRPr="00FD211F">
        <w:rPr>
          <w:sz w:val="36"/>
          <w:szCs w:val="36"/>
          <w:rtl/>
        </w:rPr>
        <w:t xml:space="preserve">، </w:t>
      </w:r>
      <w:r w:rsidRPr="00FD211F">
        <w:rPr>
          <w:sz w:val="36"/>
          <w:szCs w:val="36"/>
          <w:rtl/>
        </w:rPr>
        <w:t>وقد تلحظ بما هي مندك</w:t>
      </w:r>
      <w:r w:rsidR="00EC7EDF" w:rsidRPr="00FD211F">
        <w:rPr>
          <w:sz w:val="36"/>
          <w:szCs w:val="36"/>
          <w:rtl/>
        </w:rPr>
        <w:t xml:space="preserve">ة </w:t>
      </w:r>
      <w:r w:rsidRPr="00FD211F">
        <w:rPr>
          <w:sz w:val="36"/>
          <w:szCs w:val="36"/>
          <w:rtl/>
        </w:rPr>
        <w:t>في الأطراف</w:t>
      </w:r>
      <w:r w:rsidR="00603323" w:rsidRPr="00FD211F">
        <w:rPr>
          <w:sz w:val="36"/>
          <w:szCs w:val="36"/>
          <w:rtl/>
        </w:rPr>
        <w:t xml:space="preserve">، </w:t>
      </w:r>
      <w:r w:rsidRPr="00FD211F">
        <w:rPr>
          <w:sz w:val="36"/>
          <w:szCs w:val="36"/>
          <w:rtl/>
        </w:rPr>
        <w:t>فينتزع عنها معنى صيغ</w:t>
      </w:r>
      <w:r w:rsidR="00EC7EDF" w:rsidRPr="00FD211F">
        <w:rPr>
          <w:sz w:val="36"/>
          <w:szCs w:val="36"/>
          <w:rtl/>
        </w:rPr>
        <w:t xml:space="preserve">ة </w:t>
      </w:r>
      <w:r w:rsidRPr="00FD211F">
        <w:rPr>
          <w:sz w:val="36"/>
          <w:szCs w:val="36"/>
          <w:rtl/>
        </w:rPr>
        <w:t>الأمر</w:t>
      </w:r>
      <w:r w:rsidR="00603323" w:rsidRPr="00FD211F">
        <w:rPr>
          <w:sz w:val="36"/>
          <w:szCs w:val="36"/>
          <w:rtl/>
        </w:rPr>
        <w:t xml:space="preserve">، </w:t>
      </w:r>
      <w:r w:rsidRPr="00FD211F">
        <w:rPr>
          <w:sz w:val="36"/>
          <w:szCs w:val="36"/>
          <w:rtl/>
        </w:rPr>
        <w:t>فالملحوظ حين إيقاع النسب</w:t>
      </w:r>
      <w:r w:rsidR="00EC7EDF" w:rsidRPr="00FD211F">
        <w:rPr>
          <w:sz w:val="36"/>
          <w:szCs w:val="36"/>
          <w:rtl/>
        </w:rPr>
        <w:t xml:space="preserve">ة </w:t>
      </w:r>
      <w:r w:rsidRPr="00FD211F">
        <w:rPr>
          <w:sz w:val="36"/>
          <w:szCs w:val="36"/>
          <w:rtl/>
        </w:rPr>
        <w:t>البعثي</w:t>
      </w:r>
      <w:r w:rsidR="00EC7EDF" w:rsidRPr="00FD211F">
        <w:rPr>
          <w:sz w:val="36"/>
          <w:szCs w:val="36"/>
          <w:rtl/>
        </w:rPr>
        <w:t xml:space="preserve">ة </w:t>
      </w:r>
      <w:r w:rsidRPr="00FD211F">
        <w:rPr>
          <w:sz w:val="36"/>
          <w:szCs w:val="36"/>
          <w:rtl/>
        </w:rPr>
        <w:t>هو الفعل المنتسب الى فاعله</w:t>
      </w:r>
      <w:r w:rsidR="00603323" w:rsidRPr="00FD211F">
        <w:rPr>
          <w:sz w:val="36"/>
          <w:szCs w:val="36"/>
          <w:rtl/>
        </w:rPr>
        <w:t xml:space="preserve">، </w:t>
      </w:r>
      <w:r w:rsidRPr="00FD211F">
        <w:rPr>
          <w:sz w:val="36"/>
          <w:szCs w:val="36"/>
          <w:rtl/>
        </w:rPr>
        <w:t>ولايصلح ذلك لتعلق قصد الحكاي</w:t>
      </w:r>
      <w:r w:rsidR="00EC7EDF" w:rsidRPr="00FD211F">
        <w:rPr>
          <w:sz w:val="36"/>
          <w:szCs w:val="36"/>
          <w:rtl/>
        </w:rPr>
        <w:t xml:space="preserve">ة </w:t>
      </w:r>
      <w:r w:rsidRPr="00FD211F">
        <w:rPr>
          <w:sz w:val="36"/>
          <w:szCs w:val="36"/>
          <w:rtl/>
        </w:rPr>
        <w:t>به فيكون تقابله مع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تقابل السلب والإيجاب</w:t>
      </w:r>
      <w:r w:rsidR="00603323" w:rsidRPr="00FD211F">
        <w:rPr>
          <w:sz w:val="36"/>
          <w:szCs w:val="36"/>
          <w:rtl/>
        </w:rPr>
        <w:t xml:space="preserve">، </w:t>
      </w:r>
      <w:r w:rsidRPr="00FD211F">
        <w:rPr>
          <w:sz w:val="36"/>
          <w:szCs w:val="36"/>
          <w:rtl/>
        </w:rPr>
        <w:t>وأما مفاد قولنا في مقام الإنشاء "أبعثك نحو الضرب" فهو البعث المنسوب الى المتكلم بالنسب</w:t>
      </w:r>
      <w:r w:rsidR="00EC7EDF" w:rsidRPr="00FD211F">
        <w:rPr>
          <w:sz w:val="36"/>
          <w:szCs w:val="36"/>
          <w:rtl/>
        </w:rPr>
        <w:t xml:space="preserve">ة </w:t>
      </w:r>
      <w:r w:rsidRPr="00FD211F">
        <w:rPr>
          <w:sz w:val="36"/>
          <w:szCs w:val="36"/>
          <w:rtl/>
        </w:rPr>
        <w:t>الصدوري</w:t>
      </w:r>
      <w:r w:rsidR="00EC7EDF" w:rsidRPr="00FD211F">
        <w:rPr>
          <w:sz w:val="36"/>
          <w:szCs w:val="36"/>
          <w:rtl/>
        </w:rPr>
        <w:t>ة</w:t>
      </w:r>
      <w:r w:rsidR="00603323" w:rsidRPr="00FD211F">
        <w:rPr>
          <w:sz w:val="36"/>
          <w:szCs w:val="36"/>
          <w:rtl/>
        </w:rPr>
        <w:t xml:space="preserve">، </w:t>
      </w:r>
      <w:r w:rsidRPr="00FD211F">
        <w:rPr>
          <w:sz w:val="36"/>
          <w:szCs w:val="36"/>
          <w:rtl/>
        </w:rPr>
        <w:t>وهو قابل لتعلق قصد الحكاي</w:t>
      </w:r>
      <w:r w:rsidR="00EC7EDF" w:rsidRPr="00FD211F">
        <w:rPr>
          <w:sz w:val="36"/>
          <w:szCs w:val="36"/>
          <w:rtl/>
        </w:rPr>
        <w:t xml:space="preserve">ة </w:t>
      </w:r>
      <w:r w:rsidRPr="00FD211F">
        <w:rPr>
          <w:sz w:val="36"/>
          <w:szCs w:val="36"/>
          <w:rtl/>
        </w:rPr>
        <w:t>به</w:t>
      </w:r>
      <w:r w:rsidR="00603323" w:rsidRPr="00FD211F">
        <w:rPr>
          <w:sz w:val="36"/>
          <w:szCs w:val="36"/>
          <w:rtl/>
        </w:rPr>
        <w:t xml:space="preserve">، </w:t>
      </w:r>
      <w:r w:rsidRPr="00FD211F">
        <w:rPr>
          <w:sz w:val="36"/>
          <w:szCs w:val="36"/>
          <w:rtl/>
        </w:rPr>
        <w:t>فلو كان في مقام الإنشاء كان يعني ذلك عدم قصد الحكاي</w:t>
      </w:r>
      <w:r w:rsidR="00EC7EDF" w:rsidRPr="00FD211F">
        <w:rPr>
          <w:sz w:val="36"/>
          <w:szCs w:val="36"/>
          <w:rtl/>
        </w:rPr>
        <w:t xml:space="preserve">ة </w:t>
      </w:r>
      <w:r w:rsidRPr="00FD211F">
        <w:rPr>
          <w:sz w:val="36"/>
          <w:szCs w:val="36"/>
          <w:rtl/>
        </w:rPr>
        <w:t>به مع قابليته له</w:t>
      </w:r>
      <w:r w:rsidR="00603323" w:rsidRPr="00FD211F">
        <w:rPr>
          <w:sz w:val="36"/>
          <w:szCs w:val="36"/>
          <w:rtl/>
        </w:rPr>
        <w:t xml:space="preserve">، </w:t>
      </w:r>
      <w:r w:rsidRPr="00FD211F">
        <w:rPr>
          <w:sz w:val="36"/>
          <w:szCs w:val="36"/>
          <w:rtl/>
        </w:rPr>
        <w:t>فيكون من باب تقابل العدم والملك</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14"/>
      </w:r>
      <w:r w:rsidR="009C58C8" w:rsidRPr="00FD211F">
        <w:rPr>
          <w:rStyle w:val="a6"/>
          <w:sz w:val="36"/>
          <w:szCs w:val="36"/>
          <w:rtl/>
        </w:rPr>
        <w:t>)</w:t>
      </w:r>
      <w:r w:rsidR="0014616E" w:rsidRPr="00FD211F">
        <w:rPr>
          <w:sz w:val="36"/>
          <w:szCs w:val="36"/>
          <w:rtl/>
        </w:rPr>
        <w:t>.</w:t>
      </w:r>
    </w:p>
    <w:p w14:paraId="2D756FA1" w14:textId="77777777" w:rsidR="00F9680A" w:rsidRPr="00FD211F" w:rsidRDefault="00F9680A" w:rsidP="009C58C8">
      <w:pPr>
        <w:ind w:left="0" w:firstLine="227"/>
        <w:jc w:val="both"/>
        <w:rPr>
          <w:sz w:val="36"/>
          <w:szCs w:val="36"/>
          <w:rtl/>
        </w:rPr>
      </w:pPr>
      <w:r w:rsidRPr="00FD211F">
        <w:rPr>
          <w:sz w:val="36"/>
          <w:szCs w:val="36"/>
          <w:rtl/>
        </w:rPr>
        <w:t xml:space="preserve">وحينئذ فقد نسب في البحوث الى المحقق الاصفهاني "قده"أنه </w:t>
      </w:r>
      <w:r w:rsidR="00556BC0" w:rsidRPr="00FD211F">
        <w:rPr>
          <w:sz w:val="36"/>
          <w:szCs w:val="36"/>
          <w:rtl/>
        </w:rPr>
        <w:t>قال بمثل هذا الوجه في سائر الجمل الإنشائي</w:t>
      </w:r>
      <w:r w:rsidR="00EC7EDF" w:rsidRPr="00FD211F">
        <w:rPr>
          <w:sz w:val="36"/>
          <w:szCs w:val="36"/>
          <w:rtl/>
        </w:rPr>
        <w:t>ة</w:t>
      </w:r>
      <w:r w:rsidR="00603323" w:rsidRPr="00FD211F">
        <w:rPr>
          <w:sz w:val="36"/>
          <w:szCs w:val="36"/>
          <w:rtl/>
        </w:rPr>
        <w:t xml:space="preserve">، </w:t>
      </w:r>
      <w:r w:rsidR="00556BC0" w:rsidRPr="00FD211F">
        <w:rPr>
          <w:sz w:val="36"/>
          <w:szCs w:val="36"/>
          <w:rtl/>
        </w:rPr>
        <w:t>ف</w:t>
      </w:r>
      <w:r w:rsidR="009E22F7" w:rsidRPr="00FD211F">
        <w:rPr>
          <w:sz w:val="36"/>
          <w:szCs w:val="36"/>
          <w:rtl/>
        </w:rPr>
        <w:t>مثلا</w:t>
      </w:r>
      <w:r w:rsidR="00556BC0" w:rsidRPr="00FD211F">
        <w:rPr>
          <w:sz w:val="36"/>
          <w:szCs w:val="36"/>
          <w:rtl/>
        </w:rPr>
        <w:t xml:space="preserve"> بعد ما يكون الشخص بصدد الاستفهام عن قضي</w:t>
      </w:r>
      <w:r w:rsidR="00EC7EDF" w:rsidRPr="00FD211F">
        <w:rPr>
          <w:sz w:val="36"/>
          <w:szCs w:val="36"/>
          <w:rtl/>
        </w:rPr>
        <w:t xml:space="preserve">ة </w:t>
      </w:r>
      <w:r w:rsidR="00556BC0" w:rsidRPr="00FD211F">
        <w:rPr>
          <w:sz w:val="36"/>
          <w:szCs w:val="36"/>
          <w:rtl/>
        </w:rPr>
        <w:t>فتتحقق بينه وبين تلك القضي</w:t>
      </w:r>
      <w:r w:rsidR="00EC7EDF" w:rsidRPr="00FD211F">
        <w:rPr>
          <w:sz w:val="36"/>
          <w:szCs w:val="36"/>
          <w:rtl/>
        </w:rPr>
        <w:t xml:space="preserve">ة </w:t>
      </w:r>
      <w:r w:rsidR="00556BC0" w:rsidRPr="00FD211F">
        <w:rPr>
          <w:sz w:val="36"/>
          <w:szCs w:val="36"/>
          <w:rtl/>
        </w:rPr>
        <w:t>نسب</w:t>
      </w:r>
      <w:r w:rsidR="00EC7EDF" w:rsidRPr="00FD211F">
        <w:rPr>
          <w:sz w:val="36"/>
          <w:szCs w:val="36"/>
          <w:rtl/>
        </w:rPr>
        <w:t xml:space="preserve">ة </w:t>
      </w:r>
      <w:r w:rsidR="00556BC0" w:rsidRPr="00FD211F">
        <w:rPr>
          <w:sz w:val="36"/>
          <w:szCs w:val="36"/>
          <w:rtl/>
        </w:rPr>
        <w:t>استفهامي</w:t>
      </w:r>
      <w:r w:rsidR="00EC7EDF" w:rsidRPr="00FD211F">
        <w:rPr>
          <w:sz w:val="36"/>
          <w:szCs w:val="36"/>
          <w:rtl/>
        </w:rPr>
        <w:t>ة</w:t>
      </w:r>
      <w:r w:rsidR="00603323" w:rsidRPr="00FD211F">
        <w:rPr>
          <w:sz w:val="36"/>
          <w:szCs w:val="36"/>
          <w:rtl/>
        </w:rPr>
        <w:t xml:space="preserve">، </w:t>
      </w:r>
      <w:r w:rsidR="00556BC0" w:rsidRPr="00FD211F">
        <w:rPr>
          <w:sz w:val="36"/>
          <w:szCs w:val="36"/>
          <w:rtl/>
        </w:rPr>
        <w:t>وحينئذ فكما يمكن انتزاع مفهوم اسمي عن هذه النسب</w:t>
      </w:r>
      <w:r w:rsidR="00EC7EDF" w:rsidRPr="00FD211F">
        <w:rPr>
          <w:sz w:val="36"/>
          <w:szCs w:val="36"/>
          <w:rtl/>
        </w:rPr>
        <w:t>ة</w:t>
      </w:r>
      <w:r w:rsidR="00603323" w:rsidRPr="00FD211F">
        <w:rPr>
          <w:sz w:val="36"/>
          <w:szCs w:val="36"/>
          <w:rtl/>
        </w:rPr>
        <w:t xml:space="preserve">، </w:t>
      </w:r>
      <w:r w:rsidR="00556BC0" w:rsidRPr="00FD211F">
        <w:rPr>
          <w:sz w:val="36"/>
          <w:szCs w:val="36"/>
          <w:rtl/>
        </w:rPr>
        <w:t>وهو مفهوم الاستفهام كما يمكن لحاظها مندكّ</w:t>
      </w:r>
      <w:r w:rsidR="00EC7EDF" w:rsidRPr="00FD211F">
        <w:rPr>
          <w:sz w:val="36"/>
          <w:szCs w:val="36"/>
          <w:rtl/>
        </w:rPr>
        <w:t xml:space="preserve">ة </w:t>
      </w:r>
      <w:r w:rsidR="00556BC0" w:rsidRPr="00FD211F">
        <w:rPr>
          <w:sz w:val="36"/>
          <w:szCs w:val="36"/>
          <w:rtl/>
        </w:rPr>
        <w:t>في الأطراف فيكون الدال عليه أدا</w:t>
      </w:r>
      <w:r w:rsidR="00EC7EDF" w:rsidRPr="00FD211F">
        <w:rPr>
          <w:sz w:val="36"/>
          <w:szCs w:val="36"/>
          <w:rtl/>
        </w:rPr>
        <w:t xml:space="preserve">ة </w:t>
      </w:r>
      <w:r w:rsidR="00556BC0" w:rsidRPr="00FD211F">
        <w:rPr>
          <w:sz w:val="36"/>
          <w:szCs w:val="36"/>
          <w:rtl/>
        </w:rPr>
        <w:t>الاستفهام</w:t>
      </w:r>
      <w:r w:rsidR="00603323" w:rsidRPr="00FD211F">
        <w:rPr>
          <w:sz w:val="36"/>
          <w:szCs w:val="36"/>
          <w:rtl/>
        </w:rPr>
        <w:t xml:space="preserve">، </w:t>
      </w:r>
      <w:r w:rsidR="00235A92" w:rsidRPr="00FD211F">
        <w:rPr>
          <w:sz w:val="36"/>
          <w:szCs w:val="36"/>
          <w:rtl/>
        </w:rPr>
        <w:t>وهكذا الأمر في جمل التمني والترجي والنداء والتعجب ونحوها</w:t>
      </w:r>
      <w:r w:rsidR="00EC7EDF" w:rsidRPr="00FD211F">
        <w:rPr>
          <w:sz w:val="36"/>
          <w:szCs w:val="36"/>
          <w:rtl/>
        </w:rPr>
        <w:t>.</w:t>
      </w:r>
      <w:r w:rsidR="009C58C8" w:rsidRPr="00FD211F">
        <w:rPr>
          <w:rStyle w:val="a6"/>
          <w:sz w:val="36"/>
          <w:szCs w:val="36"/>
          <w:rtl/>
        </w:rPr>
        <w:t>(</w:t>
      </w:r>
      <w:r w:rsidR="009C58C8" w:rsidRPr="00FD211F">
        <w:rPr>
          <w:rStyle w:val="a6"/>
          <w:sz w:val="36"/>
          <w:szCs w:val="36"/>
          <w:rtl/>
        </w:rPr>
        <w:footnoteReference w:id="215"/>
      </w:r>
      <w:r w:rsidR="009C58C8" w:rsidRPr="00FD211F">
        <w:rPr>
          <w:rStyle w:val="a6"/>
          <w:sz w:val="36"/>
          <w:szCs w:val="36"/>
          <w:rtl/>
        </w:rPr>
        <w:t>)</w:t>
      </w:r>
    </w:p>
    <w:p w14:paraId="0D483654" w14:textId="77777777" w:rsidR="000C5BBA" w:rsidRPr="00FD211F" w:rsidRDefault="00F9680A" w:rsidP="009C58C8">
      <w:pPr>
        <w:ind w:left="0" w:firstLine="227"/>
        <w:jc w:val="both"/>
        <w:rPr>
          <w:sz w:val="36"/>
          <w:szCs w:val="36"/>
          <w:rtl/>
        </w:rPr>
      </w:pPr>
      <w:r w:rsidRPr="00FD211F">
        <w:rPr>
          <w:sz w:val="36"/>
          <w:szCs w:val="36"/>
          <w:rtl/>
        </w:rPr>
        <w:t>ويلاحظ عليه: انه لو كان معنى ادا</w:t>
      </w:r>
      <w:r w:rsidR="00EC7EDF" w:rsidRPr="00FD211F">
        <w:rPr>
          <w:sz w:val="36"/>
          <w:szCs w:val="36"/>
          <w:rtl/>
        </w:rPr>
        <w:t xml:space="preserve">ة </w:t>
      </w:r>
      <w:r w:rsidRPr="00FD211F">
        <w:rPr>
          <w:sz w:val="36"/>
          <w:szCs w:val="36"/>
          <w:rtl/>
        </w:rPr>
        <w:t>الاستفهام مثلا النسب</w:t>
      </w:r>
      <w:r w:rsidR="00EC7EDF" w:rsidRPr="00FD211F">
        <w:rPr>
          <w:sz w:val="36"/>
          <w:szCs w:val="36"/>
          <w:rtl/>
        </w:rPr>
        <w:t xml:space="preserve">ة </w:t>
      </w:r>
      <w:r w:rsidRPr="00FD211F">
        <w:rPr>
          <w:sz w:val="36"/>
          <w:szCs w:val="36"/>
          <w:rtl/>
        </w:rPr>
        <w:t>لكان يلزم ذكر طرفي النسب</w:t>
      </w:r>
      <w:r w:rsidR="00EC7EDF" w:rsidRPr="00FD211F">
        <w:rPr>
          <w:sz w:val="36"/>
          <w:szCs w:val="36"/>
          <w:rtl/>
        </w:rPr>
        <w:t xml:space="preserve">ة </w:t>
      </w:r>
      <w:r w:rsidRPr="00FD211F">
        <w:rPr>
          <w:sz w:val="36"/>
          <w:szCs w:val="36"/>
          <w:rtl/>
        </w:rPr>
        <w:t>في الكلام</w:t>
      </w:r>
      <w:r w:rsidR="00603323" w:rsidRPr="00FD211F">
        <w:rPr>
          <w:sz w:val="36"/>
          <w:szCs w:val="36"/>
          <w:rtl/>
        </w:rPr>
        <w:t xml:space="preserve">، </w:t>
      </w:r>
      <w:r w:rsidRPr="00FD211F">
        <w:rPr>
          <w:sz w:val="36"/>
          <w:szCs w:val="36"/>
          <w:rtl/>
        </w:rPr>
        <w:t>مع انه</w:t>
      </w:r>
      <w:r w:rsidR="008D7B3D" w:rsidRPr="00FD211F">
        <w:rPr>
          <w:sz w:val="36"/>
          <w:szCs w:val="36"/>
          <w:rtl/>
        </w:rPr>
        <w:t xml:space="preserve"> لم‌</w:t>
      </w:r>
      <w:r w:rsidRPr="00FD211F">
        <w:rPr>
          <w:sz w:val="36"/>
          <w:szCs w:val="36"/>
          <w:rtl/>
        </w:rPr>
        <w:t>يذكر فيه الا طرف واحد لها وهو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في الجمل</w:t>
      </w:r>
      <w:r w:rsidR="00EC7EDF" w:rsidRPr="00FD211F">
        <w:rPr>
          <w:sz w:val="36"/>
          <w:szCs w:val="36"/>
          <w:rtl/>
        </w:rPr>
        <w:t xml:space="preserve">ة </w:t>
      </w:r>
      <w:r w:rsidRPr="00FD211F">
        <w:rPr>
          <w:sz w:val="36"/>
          <w:szCs w:val="36"/>
          <w:rtl/>
        </w:rPr>
        <w:t>التي دخلت عليها ادا</w:t>
      </w:r>
      <w:r w:rsidR="00EC7EDF" w:rsidRPr="00FD211F">
        <w:rPr>
          <w:sz w:val="36"/>
          <w:szCs w:val="36"/>
          <w:rtl/>
        </w:rPr>
        <w:t xml:space="preserve">ة </w:t>
      </w:r>
      <w:r w:rsidRPr="00FD211F">
        <w:rPr>
          <w:sz w:val="36"/>
          <w:szCs w:val="36"/>
          <w:rtl/>
        </w:rPr>
        <w:t>الاستفهام.</w:t>
      </w:r>
    </w:p>
    <w:p w14:paraId="2658E8E4" w14:textId="77777777" w:rsidR="00E233A1" w:rsidRPr="00FD211F" w:rsidRDefault="004704B1" w:rsidP="009C58C8">
      <w:pPr>
        <w:pStyle w:val="a4"/>
        <w:ind w:left="0" w:firstLine="227"/>
        <w:jc w:val="both"/>
        <w:rPr>
          <w:sz w:val="36"/>
          <w:szCs w:val="36"/>
          <w:rtl/>
        </w:rPr>
      </w:pPr>
      <w:r w:rsidRPr="00FD211F">
        <w:rPr>
          <w:sz w:val="36"/>
          <w:szCs w:val="36"/>
          <w:rtl/>
        </w:rPr>
        <w:t>ثم</w:t>
      </w:r>
      <w:r w:rsidR="00B253CE" w:rsidRPr="00FD211F">
        <w:rPr>
          <w:sz w:val="36"/>
          <w:szCs w:val="36"/>
          <w:rtl/>
        </w:rPr>
        <w:t xml:space="preserve"> </w:t>
      </w:r>
      <w:r w:rsidRPr="00FD211F">
        <w:rPr>
          <w:sz w:val="36"/>
          <w:szCs w:val="36"/>
          <w:rtl/>
        </w:rPr>
        <w:t>ا</w:t>
      </w:r>
      <w:r w:rsidR="00F9680A" w:rsidRPr="00FD211F">
        <w:rPr>
          <w:sz w:val="36"/>
          <w:szCs w:val="36"/>
          <w:rtl/>
        </w:rPr>
        <w:t>ن</w:t>
      </w:r>
      <w:r w:rsidRPr="00FD211F">
        <w:rPr>
          <w:sz w:val="36"/>
          <w:szCs w:val="36"/>
          <w:rtl/>
        </w:rPr>
        <w:t>ه بعد ما نسب في البحوث</w:t>
      </w:r>
      <w:r w:rsidR="00B253CE" w:rsidRPr="00FD211F">
        <w:rPr>
          <w:sz w:val="36"/>
          <w:szCs w:val="36"/>
          <w:rtl/>
        </w:rPr>
        <w:t xml:space="preserve"> </w:t>
      </w:r>
      <w:r w:rsidR="00235A92" w:rsidRPr="00FD211F">
        <w:rPr>
          <w:sz w:val="36"/>
          <w:szCs w:val="36"/>
          <w:rtl/>
        </w:rPr>
        <w:t>هذا</w:t>
      </w:r>
      <w:r w:rsidR="00F9680A" w:rsidRPr="00FD211F">
        <w:rPr>
          <w:sz w:val="36"/>
          <w:szCs w:val="36"/>
          <w:rtl/>
        </w:rPr>
        <w:t>الوجه الثالث</w:t>
      </w:r>
      <w:r w:rsidR="00B253CE" w:rsidRPr="00FD211F">
        <w:rPr>
          <w:sz w:val="36"/>
          <w:szCs w:val="36"/>
          <w:rtl/>
        </w:rPr>
        <w:t xml:space="preserve"> </w:t>
      </w:r>
      <w:r w:rsidR="0049387C" w:rsidRPr="00FD211F">
        <w:rPr>
          <w:sz w:val="36"/>
          <w:szCs w:val="36"/>
          <w:rtl/>
        </w:rPr>
        <w:t>الى المحقق الاصفهاني</w:t>
      </w:r>
      <w:r w:rsidR="00603323" w:rsidRPr="00FD211F">
        <w:rPr>
          <w:sz w:val="36"/>
          <w:szCs w:val="36"/>
          <w:rtl/>
        </w:rPr>
        <w:t xml:space="preserve">، </w:t>
      </w:r>
      <w:r w:rsidR="00235A92" w:rsidRPr="00FD211F">
        <w:rPr>
          <w:sz w:val="36"/>
          <w:szCs w:val="36"/>
          <w:rtl/>
        </w:rPr>
        <w:t>اورد عليه بان النسب</w:t>
      </w:r>
      <w:r w:rsidR="00EC7EDF" w:rsidRPr="00FD211F">
        <w:rPr>
          <w:sz w:val="36"/>
          <w:szCs w:val="36"/>
          <w:rtl/>
        </w:rPr>
        <w:t xml:space="preserve">ة </w:t>
      </w:r>
      <w:r w:rsidR="00235A92" w:rsidRPr="00FD211F">
        <w:rPr>
          <w:sz w:val="36"/>
          <w:szCs w:val="36"/>
          <w:rtl/>
        </w:rPr>
        <w:t>بين المستفهِم وبين القضي</w:t>
      </w:r>
      <w:r w:rsidR="00EC7EDF" w:rsidRPr="00FD211F">
        <w:rPr>
          <w:sz w:val="36"/>
          <w:szCs w:val="36"/>
          <w:rtl/>
        </w:rPr>
        <w:t xml:space="preserve">ة </w:t>
      </w:r>
      <w:r w:rsidR="00235A92" w:rsidRPr="00FD211F">
        <w:rPr>
          <w:sz w:val="36"/>
          <w:szCs w:val="36"/>
          <w:rtl/>
        </w:rPr>
        <w:t>المستفه</w:t>
      </w:r>
      <w:r w:rsidR="0049387C" w:rsidRPr="00FD211F">
        <w:rPr>
          <w:sz w:val="36"/>
          <w:szCs w:val="36"/>
          <w:rtl/>
        </w:rPr>
        <w:t>َ</w:t>
      </w:r>
      <w:r w:rsidR="00A716F7" w:rsidRPr="00FD211F">
        <w:rPr>
          <w:sz w:val="36"/>
          <w:szCs w:val="36"/>
          <w:rtl/>
        </w:rPr>
        <w:t>م عنها</w:t>
      </w:r>
      <w:r w:rsidR="00B253CE" w:rsidRPr="00FD211F">
        <w:rPr>
          <w:sz w:val="36"/>
          <w:szCs w:val="36"/>
          <w:rtl/>
        </w:rPr>
        <w:t xml:space="preserve"> </w:t>
      </w:r>
      <w:r w:rsidR="0049387C" w:rsidRPr="00FD211F">
        <w:rPr>
          <w:sz w:val="36"/>
          <w:szCs w:val="36"/>
          <w:rtl/>
        </w:rPr>
        <w:t>وان كانت موجود</w:t>
      </w:r>
      <w:r w:rsidR="00EC7EDF" w:rsidRPr="00FD211F">
        <w:rPr>
          <w:sz w:val="36"/>
          <w:szCs w:val="36"/>
          <w:rtl/>
        </w:rPr>
        <w:t xml:space="preserve">ة </w:t>
      </w:r>
      <w:r w:rsidR="0049387C" w:rsidRPr="00FD211F">
        <w:rPr>
          <w:sz w:val="36"/>
          <w:szCs w:val="36"/>
          <w:rtl/>
        </w:rPr>
        <w:t xml:space="preserve">واقعا في صقع </w:t>
      </w:r>
      <w:r w:rsidR="00235A92" w:rsidRPr="00FD211F">
        <w:rPr>
          <w:sz w:val="36"/>
          <w:szCs w:val="36"/>
          <w:rtl/>
        </w:rPr>
        <w:t>نفس</w:t>
      </w:r>
      <w:r w:rsidR="0049387C" w:rsidRPr="00FD211F">
        <w:rPr>
          <w:sz w:val="36"/>
          <w:szCs w:val="36"/>
          <w:rtl/>
        </w:rPr>
        <w:t xml:space="preserve"> المستفهِم</w:t>
      </w:r>
      <w:r w:rsidR="00603323" w:rsidRPr="00FD211F">
        <w:rPr>
          <w:sz w:val="36"/>
          <w:szCs w:val="36"/>
          <w:rtl/>
        </w:rPr>
        <w:t xml:space="preserve">، </w:t>
      </w:r>
      <w:r w:rsidR="00235A92" w:rsidRPr="00FD211F">
        <w:rPr>
          <w:sz w:val="36"/>
          <w:szCs w:val="36"/>
          <w:rtl/>
        </w:rPr>
        <w:t>لكن</w:t>
      </w:r>
      <w:r w:rsidR="00B253CE" w:rsidRPr="00FD211F">
        <w:rPr>
          <w:sz w:val="36"/>
          <w:szCs w:val="36"/>
          <w:rtl/>
        </w:rPr>
        <w:t xml:space="preserve"> </w:t>
      </w:r>
      <w:r w:rsidR="0014616E" w:rsidRPr="00FD211F">
        <w:rPr>
          <w:sz w:val="36"/>
          <w:szCs w:val="36"/>
          <w:rtl/>
        </w:rPr>
        <w:t>الموجود في ذهن</w:t>
      </w:r>
      <w:r w:rsidR="0049387C" w:rsidRPr="00FD211F">
        <w:rPr>
          <w:sz w:val="36"/>
          <w:szCs w:val="36"/>
          <w:rtl/>
        </w:rPr>
        <w:t>ه</w:t>
      </w:r>
      <w:r w:rsidR="00B253CE" w:rsidRPr="00FD211F">
        <w:rPr>
          <w:sz w:val="36"/>
          <w:szCs w:val="36"/>
          <w:rtl/>
        </w:rPr>
        <w:t xml:space="preserve"> </w:t>
      </w:r>
      <w:r w:rsidR="0014616E" w:rsidRPr="00FD211F">
        <w:rPr>
          <w:sz w:val="36"/>
          <w:szCs w:val="36"/>
          <w:rtl/>
        </w:rPr>
        <w:t>حين استعماله لجمل</w:t>
      </w:r>
      <w:r w:rsidR="00EC7EDF" w:rsidRPr="00FD211F">
        <w:rPr>
          <w:sz w:val="36"/>
          <w:szCs w:val="36"/>
          <w:rtl/>
        </w:rPr>
        <w:t xml:space="preserve">ة </w:t>
      </w:r>
      <w:r w:rsidR="0014616E" w:rsidRPr="00FD211F">
        <w:rPr>
          <w:sz w:val="36"/>
          <w:szCs w:val="36"/>
          <w:rtl/>
        </w:rPr>
        <w:t>"ه</w:t>
      </w:r>
      <w:r w:rsidR="0049387C" w:rsidRPr="00FD211F">
        <w:rPr>
          <w:sz w:val="36"/>
          <w:szCs w:val="36"/>
          <w:rtl/>
        </w:rPr>
        <w:t>ل زيد قائم" هو الصور</w:t>
      </w:r>
      <w:r w:rsidR="00EC7EDF" w:rsidRPr="00FD211F">
        <w:rPr>
          <w:sz w:val="36"/>
          <w:szCs w:val="36"/>
          <w:rtl/>
        </w:rPr>
        <w:t xml:space="preserve">ة </w:t>
      </w:r>
      <w:r w:rsidR="0049387C" w:rsidRPr="00FD211F">
        <w:rPr>
          <w:sz w:val="36"/>
          <w:szCs w:val="36"/>
          <w:rtl/>
        </w:rPr>
        <w:t>المتحصل</w:t>
      </w:r>
      <w:r w:rsidR="00EC7EDF" w:rsidRPr="00FD211F">
        <w:rPr>
          <w:sz w:val="36"/>
          <w:szCs w:val="36"/>
          <w:rtl/>
        </w:rPr>
        <w:t xml:space="preserve">ة </w:t>
      </w:r>
      <w:r w:rsidR="0049387C" w:rsidRPr="00FD211F">
        <w:rPr>
          <w:sz w:val="36"/>
          <w:szCs w:val="36"/>
          <w:rtl/>
        </w:rPr>
        <w:t xml:space="preserve">من </w:t>
      </w:r>
      <w:r w:rsidR="0014616E" w:rsidRPr="00FD211F">
        <w:rPr>
          <w:sz w:val="36"/>
          <w:szCs w:val="36"/>
          <w:rtl/>
        </w:rPr>
        <w:t>تلك النسب</w:t>
      </w:r>
      <w:r w:rsidR="00EC7EDF" w:rsidRPr="00FD211F">
        <w:rPr>
          <w:sz w:val="36"/>
          <w:szCs w:val="36"/>
          <w:rtl/>
        </w:rPr>
        <w:t xml:space="preserve">ة </w:t>
      </w:r>
      <w:r w:rsidR="0049387C" w:rsidRPr="00FD211F">
        <w:rPr>
          <w:sz w:val="36"/>
          <w:szCs w:val="36"/>
          <w:rtl/>
        </w:rPr>
        <w:t>الاستفهامي</w:t>
      </w:r>
      <w:r w:rsidR="00EC7EDF" w:rsidRPr="00FD211F">
        <w:rPr>
          <w:sz w:val="36"/>
          <w:szCs w:val="36"/>
          <w:rtl/>
        </w:rPr>
        <w:t xml:space="preserve">ة </w:t>
      </w:r>
      <w:r w:rsidR="0049387C" w:rsidRPr="00FD211F">
        <w:rPr>
          <w:sz w:val="36"/>
          <w:szCs w:val="36"/>
          <w:rtl/>
        </w:rPr>
        <w:t>الواقعي</w:t>
      </w:r>
      <w:r w:rsidR="00EC7EDF" w:rsidRPr="00FD211F">
        <w:rPr>
          <w:sz w:val="36"/>
          <w:szCs w:val="36"/>
          <w:rtl/>
        </w:rPr>
        <w:t>ة</w:t>
      </w:r>
      <w:r w:rsidR="00603323" w:rsidRPr="00FD211F">
        <w:rPr>
          <w:sz w:val="36"/>
          <w:szCs w:val="36"/>
          <w:rtl/>
        </w:rPr>
        <w:t xml:space="preserve">، </w:t>
      </w:r>
      <w:r w:rsidR="0049387C" w:rsidRPr="00FD211F">
        <w:rPr>
          <w:sz w:val="36"/>
          <w:szCs w:val="36"/>
          <w:rtl/>
        </w:rPr>
        <w:t>وهذا نظير الشوق</w:t>
      </w:r>
      <w:r w:rsidR="0014616E" w:rsidRPr="00FD211F">
        <w:rPr>
          <w:sz w:val="36"/>
          <w:szCs w:val="36"/>
          <w:rtl/>
        </w:rPr>
        <w:t xml:space="preserve"> الموجود في صقع النفس</w:t>
      </w:r>
      <w:r w:rsidR="00603323" w:rsidRPr="00FD211F">
        <w:rPr>
          <w:sz w:val="36"/>
          <w:szCs w:val="36"/>
          <w:rtl/>
        </w:rPr>
        <w:t xml:space="preserve">، </w:t>
      </w:r>
      <w:r w:rsidR="0014616E" w:rsidRPr="00FD211F">
        <w:rPr>
          <w:sz w:val="36"/>
          <w:szCs w:val="36"/>
          <w:rtl/>
        </w:rPr>
        <w:t>فانه لايكون هو المست</w:t>
      </w:r>
      <w:r w:rsidR="0049387C" w:rsidRPr="00FD211F">
        <w:rPr>
          <w:sz w:val="36"/>
          <w:szCs w:val="36"/>
          <w:rtl/>
        </w:rPr>
        <w:t>عمل فيه بالذات لكلم</w:t>
      </w:r>
      <w:r w:rsidR="00EC7EDF" w:rsidRPr="00FD211F">
        <w:rPr>
          <w:sz w:val="36"/>
          <w:szCs w:val="36"/>
          <w:rtl/>
        </w:rPr>
        <w:t xml:space="preserve">ة </w:t>
      </w:r>
      <w:r w:rsidR="0049387C" w:rsidRPr="00FD211F">
        <w:rPr>
          <w:sz w:val="36"/>
          <w:szCs w:val="36"/>
          <w:rtl/>
        </w:rPr>
        <w:t>الشوق</w:t>
      </w:r>
      <w:r w:rsidR="00603323" w:rsidRPr="00FD211F">
        <w:rPr>
          <w:sz w:val="36"/>
          <w:szCs w:val="36"/>
          <w:rtl/>
        </w:rPr>
        <w:t xml:space="preserve">، </w:t>
      </w:r>
      <w:r w:rsidR="0014616E" w:rsidRPr="00FD211F">
        <w:rPr>
          <w:sz w:val="36"/>
          <w:szCs w:val="36"/>
          <w:rtl/>
        </w:rPr>
        <w:t>بل المستعمل فيه بالذات هو م</w:t>
      </w:r>
      <w:r w:rsidR="00E233A1" w:rsidRPr="00FD211F">
        <w:rPr>
          <w:sz w:val="36"/>
          <w:szCs w:val="36"/>
          <w:rtl/>
        </w:rPr>
        <w:t>فهوم الشوق</w:t>
      </w:r>
      <w:r w:rsidR="00603323" w:rsidRPr="00FD211F">
        <w:rPr>
          <w:sz w:val="36"/>
          <w:szCs w:val="36"/>
          <w:rtl/>
        </w:rPr>
        <w:t xml:space="preserve">، </w:t>
      </w:r>
      <w:r w:rsidR="00E233A1" w:rsidRPr="00FD211F">
        <w:rPr>
          <w:sz w:val="36"/>
          <w:szCs w:val="36"/>
          <w:rtl/>
        </w:rPr>
        <w:t>وان كان مصداق الشوق موجودا في صقع النفس.</w:t>
      </w:r>
    </w:p>
    <w:p w14:paraId="3BEB4B65" w14:textId="77777777" w:rsidR="000C5BBA" w:rsidRPr="00FD211F" w:rsidRDefault="00E233A1" w:rsidP="009C58C8">
      <w:pPr>
        <w:pStyle w:val="a4"/>
        <w:ind w:left="0" w:firstLine="227"/>
        <w:jc w:val="both"/>
        <w:rPr>
          <w:sz w:val="36"/>
          <w:szCs w:val="36"/>
          <w:rtl/>
        </w:rPr>
      </w:pPr>
      <w:r w:rsidRPr="00FD211F">
        <w:rPr>
          <w:sz w:val="36"/>
          <w:szCs w:val="36"/>
          <w:rtl/>
        </w:rPr>
        <w:t xml:space="preserve">وعليه </w:t>
      </w:r>
      <w:r w:rsidR="0014616E" w:rsidRPr="00FD211F">
        <w:rPr>
          <w:sz w:val="36"/>
          <w:szCs w:val="36"/>
          <w:rtl/>
        </w:rPr>
        <w:t>ف</w:t>
      </w:r>
      <w:r w:rsidR="00235A92" w:rsidRPr="00FD211F">
        <w:rPr>
          <w:sz w:val="36"/>
          <w:szCs w:val="36"/>
          <w:rtl/>
        </w:rPr>
        <w:t>الصور</w:t>
      </w:r>
      <w:r w:rsidR="00EC7EDF" w:rsidRPr="00FD211F">
        <w:rPr>
          <w:sz w:val="36"/>
          <w:szCs w:val="36"/>
          <w:rtl/>
        </w:rPr>
        <w:t xml:space="preserve">ة </w:t>
      </w:r>
      <w:r w:rsidR="00235A92" w:rsidRPr="00FD211F">
        <w:rPr>
          <w:sz w:val="36"/>
          <w:szCs w:val="36"/>
          <w:rtl/>
        </w:rPr>
        <w:t>المتحصل</w:t>
      </w:r>
      <w:r w:rsidR="00EC7EDF" w:rsidRPr="00FD211F">
        <w:rPr>
          <w:sz w:val="36"/>
          <w:szCs w:val="36"/>
          <w:rtl/>
        </w:rPr>
        <w:t xml:space="preserve">ة </w:t>
      </w:r>
      <w:r w:rsidR="00235A92" w:rsidRPr="00FD211F">
        <w:rPr>
          <w:sz w:val="36"/>
          <w:szCs w:val="36"/>
          <w:rtl/>
        </w:rPr>
        <w:t>من النسب</w:t>
      </w:r>
      <w:r w:rsidR="00EC7EDF" w:rsidRPr="00FD211F">
        <w:rPr>
          <w:sz w:val="36"/>
          <w:szCs w:val="36"/>
          <w:rtl/>
        </w:rPr>
        <w:t xml:space="preserve">ة </w:t>
      </w:r>
      <w:r w:rsidR="00235A92" w:rsidRPr="00FD211F">
        <w:rPr>
          <w:sz w:val="36"/>
          <w:szCs w:val="36"/>
          <w:rtl/>
        </w:rPr>
        <w:t>الاستفهامي</w:t>
      </w:r>
      <w:r w:rsidR="00EC7EDF" w:rsidRPr="00FD211F">
        <w:rPr>
          <w:sz w:val="36"/>
          <w:szCs w:val="36"/>
          <w:rtl/>
        </w:rPr>
        <w:t xml:space="preserve">ة </w:t>
      </w:r>
      <w:r w:rsidR="00235A92" w:rsidRPr="00FD211F">
        <w:rPr>
          <w:sz w:val="36"/>
          <w:szCs w:val="36"/>
          <w:rtl/>
        </w:rPr>
        <w:t>التي هي مدلول جمل</w:t>
      </w:r>
      <w:r w:rsidR="00EC7EDF" w:rsidRPr="00FD211F">
        <w:rPr>
          <w:sz w:val="36"/>
          <w:szCs w:val="36"/>
          <w:rtl/>
        </w:rPr>
        <w:t xml:space="preserve">ة </w:t>
      </w:r>
      <w:r w:rsidR="00235A92" w:rsidRPr="00FD211F">
        <w:rPr>
          <w:sz w:val="36"/>
          <w:szCs w:val="36"/>
          <w:rtl/>
        </w:rPr>
        <w:t>الاستفهام</w:t>
      </w:r>
      <w:r w:rsidR="00B253CE" w:rsidRPr="00FD211F">
        <w:rPr>
          <w:sz w:val="36"/>
          <w:szCs w:val="36"/>
          <w:rtl/>
        </w:rPr>
        <w:t xml:space="preserve"> </w:t>
      </w:r>
      <w:r w:rsidRPr="00FD211F">
        <w:rPr>
          <w:sz w:val="36"/>
          <w:szCs w:val="36"/>
          <w:rtl/>
        </w:rPr>
        <w:t>ليست واقع النسب</w:t>
      </w:r>
      <w:r w:rsidR="00EC7EDF" w:rsidRPr="00FD211F">
        <w:rPr>
          <w:sz w:val="36"/>
          <w:szCs w:val="36"/>
          <w:rtl/>
        </w:rPr>
        <w:t xml:space="preserve">ة </w:t>
      </w:r>
      <w:r w:rsidRPr="00FD211F">
        <w:rPr>
          <w:sz w:val="36"/>
          <w:szCs w:val="36"/>
          <w:rtl/>
        </w:rPr>
        <w:t>الاستفهامي</w:t>
      </w:r>
      <w:r w:rsidR="00EC7EDF" w:rsidRPr="00FD211F">
        <w:rPr>
          <w:sz w:val="36"/>
          <w:szCs w:val="36"/>
          <w:rtl/>
        </w:rPr>
        <w:t>ة</w:t>
      </w:r>
      <w:r w:rsidR="00603323" w:rsidRPr="00FD211F">
        <w:rPr>
          <w:sz w:val="36"/>
          <w:szCs w:val="36"/>
          <w:rtl/>
        </w:rPr>
        <w:t xml:space="preserve">، </w:t>
      </w:r>
      <w:r w:rsidR="0014616E" w:rsidRPr="00FD211F">
        <w:rPr>
          <w:sz w:val="36"/>
          <w:szCs w:val="36"/>
          <w:rtl/>
        </w:rPr>
        <w:t>كما لايمكن ان تكون واقع نسب</w:t>
      </w:r>
      <w:r w:rsidR="00EC7EDF" w:rsidRPr="00FD211F">
        <w:rPr>
          <w:sz w:val="36"/>
          <w:szCs w:val="36"/>
          <w:rtl/>
        </w:rPr>
        <w:t xml:space="preserve">ة </w:t>
      </w:r>
      <w:r w:rsidR="0014616E" w:rsidRPr="00FD211F">
        <w:rPr>
          <w:sz w:val="36"/>
          <w:szCs w:val="36"/>
          <w:rtl/>
        </w:rPr>
        <w:t>أخرى لعدم صلاحيتها للحكاي</w:t>
      </w:r>
      <w:r w:rsidR="00EC7EDF" w:rsidRPr="00FD211F">
        <w:rPr>
          <w:sz w:val="36"/>
          <w:szCs w:val="36"/>
          <w:rtl/>
        </w:rPr>
        <w:t xml:space="preserve">ة </w:t>
      </w:r>
      <w:r w:rsidR="0014616E" w:rsidRPr="00FD211F">
        <w:rPr>
          <w:sz w:val="36"/>
          <w:szCs w:val="36"/>
          <w:rtl/>
        </w:rPr>
        <w:t>عن النسب</w:t>
      </w:r>
      <w:r w:rsidR="00EC7EDF" w:rsidRPr="00FD211F">
        <w:rPr>
          <w:sz w:val="36"/>
          <w:szCs w:val="36"/>
          <w:rtl/>
        </w:rPr>
        <w:t xml:space="preserve">ة </w:t>
      </w:r>
      <w:r w:rsidR="0014616E" w:rsidRPr="00FD211F">
        <w:rPr>
          <w:sz w:val="36"/>
          <w:szCs w:val="36"/>
          <w:rtl/>
        </w:rPr>
        <w:t>الاستفهامي</w:t>
      </w:r>
      <w:r w:rsidR="00EC7EDF" w:rsidRPr="00FD211F">
        <w:rPr>
          <w:sz w:val="36"/>
          <w:szCs w:val="36"/>
          <w:rtl/>
        </w:rPr>
        <w:t>ة</w:t>
      </w:r>
      <w:r w:rsidR="00603323" w:rsidRPr="00FD211F">
        <w:rPr>
          <w:sz w:val="36"/>
          <w:szCs w:val="36"/>
          <w:rtl/>
        </w:rPr>
        <w:t xml:space="preserve">، </w:t>
      </w:r>
      <w:r w:rsidR="0014616E" w:rsidRPr="00FD211F">
        <w:rPr>
          <w:sz w:val="36"/>
          <w:szCs w:val="36"/>
          <w:rtl/>
        </w:rPr>
        <w:t>ف</w:t>
      </w:r>
      <w:r w:rsidRPr="00FD211F">
        <w:rPr>
          <w:sz w:val="36"/>
          <w:szCs w:val="36"/>
          <w:rtl/>
        </w:rPr>
        <w:t>لابد أن تكون هذه الصور</w:t>
      </w:r>
      <w:r w:rsidR="00EC7EDF" w:rsidRPr="00FD211F">
        <w:rPr>
          <w:sz w:val="36"/>
          <w:szCs w:val="36"/>
          <w:rtl/>
        </w:rPr>
        <w:t xml:space="preserve">ة </w:t>
      </w:r>
      <w:r w:rsidRPr="00FD211F">
        <w:rPr>
          <w:sz w:val="36"/>
          <w:szCs w:val="36"/>
          <w:rtl/>
        </w:rPr>
        <w:t>المتحصل</w:t>
      </w:r>
      <w:r w:rsidR="00EC7EDF" w:rsidRPr="00FD211F">
        <w:rPr>
          <w:sz w:val="36"/>
          <w:szCs w:val="36"/>
          <w:rtl/>
        </w:rPr>
        <w:t xml:space="preserve">ة </w:t>
      </w:r>
      <w:r w:rsidRPr="00FD211F">
        <w:rPr>
          <w:sz w:val="36"/>
          <w:szCs w:val="36"/>
          <w:rtl/>
        </w:rPr>
        <w:t>التي هي مدلول جمل</w:t>
      </w:r>
      <w:r w:rsidR="00EC7EDF" w:rsidRPr="00FD211F">
        <w:rPr>
          <w:sz w:val="36"/>
          <w:szCs w:val="36"/>
          <w:rtl/>
        </w:rPr>
        <w:t xml:space="preserve">ة </w:t>
      </w:r>
      <w:r w:rsidRPr="00FD211F">
        <w:rPr>
          <w:sz w:val="36"/>
          <w:szCs w:val="36"/>
          <w:rtl/>
        </w:rPr>
        <w:t xml:space="preserve">الاستفهام </w:t>
      </w:r>
      <w:r w:rsidR="0014616E" w:rsidRPr="00FD211F">
        <w:rPr>
          <w:sz w:val="36"/>
          <w:szCs w:val="36"/>
          <w:rtl/>
        </w:rPr>
        <w:t>نسب</w:t>
      </w:r>
      <w:r w:rsidR="00EC7EDF" w:rsidRPr="00FD211F">
        <w:rPr>
          <w:sz w:val="36"/>
          <w:szCs w:val="36"/>
          <w:rtl/>
        </w:rPr>
        <w:t xml:space="preserve">ة </w:t>
      </w:r>
      <w:r w:rsidR="0014616E" w:rsidRPr="00FD211F">
        <w:rPr>
          <w:sz w:val="36"/>
          <w:szCs w:val="36"/>
          <w:rtl/>
        </w:rPr>
        <w:t>استفهامي</w:t>
      </w:r>
      <w:r w:rsidR="00EC7EDF" w:rsidRPr="00FD211F">
        <w:rPr>
          <w:sz w:val="36"/>
          <w:szCs w:val="36"/>
          <w:rtl/>
        </w:rPr>
        <w:t xml:space="preserve">ة </w:t>
      </w:r>
      <w:r w:rsidR="0014616E" w:rsidRPr="00FD211F">
        <w:rPr>
          <w:sz w:val="36"/>
          <w:szCs w:val="36"/>
          <w:rtl/>
        </w:rPr>
        <w:t>تحليلي</w:t>
      </w:r>
      <w:r w:rsidR="00EC7EDF" w:rsidRPr="00FD211F">
        <w:rPr>
          <w:sz w:val="36"/>
          <w:szCs w:val="36"/>
          <w:rtl/>
        </w:rPr>
        <w:t>ة</w:t>
      </w:r>
      <w:r w:rsidR="00603323" w:rsidRPr="00FD211F">
        <w:rPr>
          <w:sz w:val="36"/>
          <w:szCs w:val="36"/>
          <w:rtl/>
        </w:rPr>
        <w:t xml:space="preserve">، </w:t>
      </w:r>
      <w:r w:rsidR="0014616E" w:rsidRPr="00FD211F">
        <w:rPr>
          <w:sz w:val="36"/>
          <w:szCs w:val="36"/>
          <w:rtl/>
        </w:rPr>
        <w:t xml:space="preserve">وقد مر سابقا </w:t>
      </w:r>
      <w:r w:rsidR="009E0470" w:rsidRPr="00FD211F">
        <w:rPr>
          <w:sz w:val="36"/>
          <w:szCs w:val="36"/>
          <w:rtl/>
        </w:rPr>
        <w:t xml:space="preserve">في بحث المعنى الحرفي </w:t>
      </w:r>
      <w:r w:rsidR="0014616E" w:rsidRPr="00FD211F">
        <w:rPr>
          <w:sz w:val="36"/>
          <w:szCs w:val="36"/>
          <w:rtl/>
        </w:rPr>
        <w:t>ان النسب</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تكون نسب</w:t>
      </w:r>
      <w:r w:rsidR="00EC7EDF" w:rsidRPr="00FD211F">
        <w:rPr>
          <w:sz w:val="36"/>
          <w:szCs w:val="36"/>
          <w:rtl/>
        </w:rPr>
        <w:t xml:space="preserve">ة </w:t>
      </w:r>
      <w:r w:rsidRPr="00FD211F">
        <w:rPr>
          <w:sz w:val="36"/>
          <w:szCs w:val="36"/>
          <w:rtl/>
        </w:rPr>
        <w:t>ناقص</w:t>
      </w:r>
      <w:r w:rsidR="00EC7EDF" w:rsidRPr="00FD211F">
        <w:rPr>
          <w:sz w:val="36"/>
          <w:szCs w:val="36"/>
          <w:rtl/>
        </w:rPr>
        <w:t xml:space="preserve">ة </w:t>
      </w:r>
      <w:r w:rsidRPr="00FD211F">
        <w:rPr>
          <w:sz w:val="36"/>
          <w:szCs w:val="36"/>
          <w:rtl/>
        </w:rPr>
        <w:t>دائما</w:t>
      </w:r>
      <w:r w:rsidR="0014616E" w:rsidRPr="00FD211F">
        <w:rPr>
          <w:sz w:val="36"/>
          <w:szCs w:val="36"/>
          <w:rtl/>
        </w:rPr>
        <w:t xml:space="preserve"> حيث انها مع طرفيها تكون مفهوما بسيطا تصورا</w:t>
      </w:r>
      <w:r w:rsidR="00603323" w:rsidRPr="00FD211F">
        <w:rPr>
          <w:sz w:val="36"/>
          <w:szCs w:val="36"/>
          <w:rtl/>
        </w:rPr>
        <w:t xml:space="preserve">، </w:t>
      </w:r>
      <w:r w:rsidR="0014616E" w:rsidRPr="00FD211F">
        <w:rPr>
          <w:sz w:val="36"/>
          <w:szCs w:val="36"/>
          <w:rtl/>
        </w:rPr>
        <w:t>وان كان هذا المفهوم ينحلّ عقلا الى ثلا</w:t>
      </w:r>
      <w:r w:rsidRPr="00FD211F">
        <w:rPr>
          <w:sz w:val="36"/>
          <w:szCs w:val="36"/>
          <w:rtl/>
        </w:rPr>
        <w:t>ث</w:t>
      </w:r>
      <w:r w:rsidR="00EC7EDF" w:rsidRPr="00FD211F">
        <w:rPr>
          <w:sz w:val="36"/>
          <w:szCs w:val="36"/>
          <w:rtl/>
        </w:rPr>
        <w:t xml:space="preserve">ة </w:t>
      </w:r>
      <w:r w:rsidRPr="00FD211F">
        <w:rPr>
          <w:sz w:val="36"/>
          <w:szCs w:val="36"/>
          <w:rtl/>
        </w:rPr>
        <w:t>أجزاء: ذات وقيد وتقيد بينهما.</w:t>
      </w:r>
    </w:p>
    <w:p w14:paraId="4CB82FFE" w14:textId="77777777" w:rsidR="000C5BBA" w:rsidRPr="00FD211F" w:rsidRDefault="00E233A1" w:rsidP="009C58C8">
      <w:pPr>
        <w:pStyle w:val="a4"/>
        <w:ind w:left="0" w:firstLine="227"/>
        <w:jc w:val="both"/>
        <w:rPr>
          <w:sz w:val="36"/>
          <w:szCs w:val="36"/>
          <w:rtl/>
        </w:rPr>
      </w:pPr>
      <w:r w:rsidRPr="00FD211F">
        <w:rPr>
          <w:sz w:val="36"/>
          <w:szCs w:val="36"/>
          <w:rtl/>
        </w:rPr>
        <w:t xml:space="preserve">وحينئذ </w:t>
      </w:r>
      <w:r w:rsidR="0014616E" w:rsidRPr="00FD211F">
        <w:rPr>
          <w:sz w:val="36"/>
          <w:szCs w:val="36"/>
          <w:rtl/>
        </w:rPr>
        <w:t xml:space="preserve">فان فرض كون </w:t>
      </w:r>
      <w:r w:rsidR="00235A92" w:rsidRPr="00FD211F">
        <w:rPr>
          <w:sz w:val="36"/>
          <w:szCs w:val="36"/>
          <w:rtl/>
        </w:rPr>
        <w:t xml:space="preserve">الذات </w:t>
      </w:r>
      <w:r w:rsidRPr="00FD211F">
        <w:rPr>
          <w:sz w:val="36"/>
          <w:szCs w:val="36"/>
          <w:rtl/>
        </w:rPr>
        <w:t>التي هي احد</w:t>
      </w:r>
      <w:r w:rsidR="00C87F03" w:rsidRPr="00FD211F">
        <w:rPr>
          <w:sz w:val="36"/>
          <w:szCs w:val="36"/>
          <w:rtl/>
        </w:rPr>
        <w:t xml:space="preserve"> </w:t>
      </w:r>
      <w:r w:rsidRPr="00FD211F">
        <w:rPr>
          <w:sz w:val="36"/>
          <w:szCs w:val="36"/>
          <w:rtl/>
        </w:rPr>
        <w:t>طرفي النسب</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الاستفهامي</w:t>
      </w:r>
      <w:r w:rsidR="00EC7EDF" w:rsidRPr="00FD211F">
        <w:rPr>
          <w:sz w:val="36"/>
          <w:szCs w:val="36"/>
          <w:rtl/>
        </w:rPr>
        <w:t xml:space="preserve">ة </w:t>
      </w:r>
      <w:r w:rsidR="00235A92" w:rsidRPr="00FD211F">
        <w:rPr>
          <w:sz w:val="36"/>
          <w:szCs w:val="36"/>
          <w:rtl/>
        </w:rPr>
        <w:t xml:space="preserve">هي </w:t>
      </w:r>
      <w:r w:rsidR="0014616E" w:rsidRPr="00FD211F">
        <w:rPr>
          <w:sz w:val="36"/>
          <w:szCs w:val="36"/>
          <w:rtl/>
        </w:rPr>
        <w:t>النسب</w:t>
      </w:r>
      <w:r w:rsidR="00EC7EDF" w:rsidRPr="00FD211F">
        <w:rPr>
          <w:sz w:val="36"/>
          <w:szCs w:val="36"/>
          <w:rtl/>
        </w:rPr>
        <w:t xml:space="preserve">ة </w:t>
      </w:r>
      <w:r w:rsidR="0014616E" w:rsidRPr="00FD211F">
        <w:rPr>
          <w:sz w:val="36"/>
          <w:szCs w:val="36"/>
          <w:rtl/>
        </w:rPr>
        <w:t>التام</w:t>
      </w:r>
      <w:r w:rsidR="00EC7EDF" w:rsidRPr="00FD211F">
        <w:rPr>
          <w:sz w:val="36"/>
          <w:szCs w:val="36"/>
          <w:rtl/>
        </w:rPr>
        <w:t xml:space="preserve">ة </w:t>
      </w:r>
      <w:r w:rsidR="0014616E" w:rsidRPr="00FD211F">
        <w:rPr>
          <w:sz w:val="36"/>
          <w:szCs w:val="36"/>
          <w:rtl/>
        </w:rPr>
        <w:t>التي يدل عليها الجمل</w:t>
      </w:r>
      <w:r w:rsidR="00EC7EDF" w:rsidRPr="00FD211F">
        <w:rPr>
          <w:sz w:val="36"/>
          <w:szCs w:val="36"/>
          <w:rtl/>
        </w:rPr>
        <w:t xml:space="preserve">ة </w:t>
      </w:r>
      <w:r w:rsidR="0014616E" w:rsidRPr="00FD211F">
        <w:rPr>
          <w:sz w:val="36"/>
          <w:szCs w:val="36"/>
          <w:rtl/>
        </w:rPr>
        <w:t>المدخول</w:t>
      </w:r>
      <w:r w:rsidR="00EC7EDF" w:rsidRPr="00FD211F">
        <w:rPr>
          <w:sz w:val="36"/>
          <w:szCs w:val="36"/>
          <w:rtl/>
        </w:rPr>
        <w:t xml:space="preserve">ة </w:t>
      </w:r>
      <w:r w:rsidR="0014616E" w:rsidRPr="00FD211F">
        <w:rPr>
          <w:sz w:val="36"/>
          <w:szCs w:val="36"/>
          <w:rtl/>
        </w:rPr>
        <w:t>لأدا</w:t>
      </w:r>
      <w:r w:rsidR="00EC7EDF" w:rsidRPr="00FD211F">
        <w:rPr>
          <w:sz w:val="36"/>
          <w:szCs w:val="36"/>
          <w:rtl/>
        </w:rPr>
        <w:t xml:space="preserve">ة </w:t>
      </w:r>
      <w:r w:rsidR="0014616E" w:rsidRPr="00FD211F">
        <w:rPr>
          <w:sz w:val="36"/>
          <w:szCs w:val="36"/>
          <w:rtl/>
        </w:rPr>
        <w:t>الاستفهام</w:t>
      </w:r>
      <w:r w:rsidR="00603323" w:rsidRPr="00FD211F">
        <w:rPr>
          <w:sz w:val="36"/>
          <w:szCs w:val="36"/>
          <w:rtl/>
        </w:rPr>
        <w:t xml:space="preserve">، </w:t>
      </w:r>
      <w:r w:rsidR="005D0AE0" w:rsidRPr="00FD211F">
        <w:rPr>
          <w:sz w:val="36"/>
          <w:szCs w:val="36"/>
          <w:rtl/>
        </w:rPr>
        <w:t>ف</w:t>
      </w:r>
      <w:r w:rsidR="0014616E" w:rsidRPr="00FD211F">
        <w:rPr>
          <w:sz w:val="36"/>
          <w:szCs w:val="36"/>
          <w:rtl/>
        </w:rPr>
        <w:t>لوحظ تقيدها بمفهوم المستفه</w:t>
      </w:r>
      <w:r w:rsidR="0049387C" w:rsidRPr="00FD211F">
        <w:rPr>
          <w:sz w:val="36"/>
          <w:szCs w:val="36"/>
          <w:rtl/>
        </w:rPr>
        <w:t>ِ</w:t>
      </w:r>
      <w:r w:rsidR="0014616E" w:rsidRPr="00FD211F">
        <w:rPr>
          <w:sz w:val="36"/>
          <w:szCs w:val="36"/>
          <w:rtl/>
        </w:rPr>
        <w:t>م فهذا غير معقول</w:t>
      </w:r>
      <w:r w:rsidR="00603323" w:rsidRPr="00FD211F">
        <w:rPr>
          <w:sz w:val="36"/>
          <w:szCs w:val="36"/>
          <w:rtl/>
        </w:rPr>
        <w:t xml:space="preserve">، </w:t>
      </w:r>
      <w:r w:rsidR="0014616E" w:rsidRPr="00FD211F">
        <w:rPr>
          <w:sz w:val="36"/>
          <w:szCs w:val="36"/>
          <w:rtl/>
        </w:rPr>
        <w:t>اذ لايعقل ان يصير مفهوم اسمي</w:t>
      </w:r>
      <w:r w:rsidR="005D0AE0" w:rsidRPr="00FD211F">
        <w:rPr>
          <w:sz w:val="36"/>
          <w:szCs w:val="36"/>
          <w:rtl/>
        </w:rPr>
        <w:t xml:space="preserve"> قيدا للنسب</w:t>
      </w:r>
      <w:r w:rsidR="00EC7EDF" w:rsidRPr="00FD211F">
        <w:rPr>
          <w:sz w:val="36"/>
          <w:szCs w:val="36"/>
          <w:rtl/>
        </w:rPr>
        <w:t xml:space="preserve">ة </w:t>
      </w:r>
      <w:r w:rsidR="005D0AE0" w:rsidRPr="00FD211F">
        <w:rPr>
          <w:sz w:val="36"/>
          <w:szCs w:val="36"/>
          <w:rtl/>
        </w:rPr>
        <w:t>التام</w:t>
      </w:r>
      <w:r w:rsidR="00EC7EDF" w:rsidRPr="00FD211F">
        <w:rPr>
          <w:sz w:val="36"/>
          <w:szCs w:val="36"/>
          <w:rtl/>
        </w:rPr>
        <w:t xml:space="preserve">ة </w:t>
      </w:r>
      <w:r w:rsidR="005D0AE0" w:rsidRPr="00FD211F">
        <w:rPr>
          <w:sz w:val="36"/>
          <w:szCs w:val="36"/>
          <w:rtl/>
        </w:rPr>
        <w:t>وجزء من حقيقتها</w:t>
      </w:r>
      <w:r w:rsidR="0014616E" w:rsidRPr="00FD211F">
        <w:rPr>
          <w:sz w:val="36"/>
          <w:szCs w:val="36"/>
          <w:rtl/>
        </w:rPr>
        <w:t xml:space="preserve"> </w:t>
      </w:r>
      <w:r w:rsidR="005D0AE0" w:rsidRPr="00FD211F">
        <w:rPr>
          <w:sz w:val="36"/>
          <w:szCs w:val="36"/>
          <w:rtl/>
        </w:rPr>
        <w:t xml:space="preserve">حيث لايجتمع ذلك مع كونها </w:t>
      </w:r>
      <w:r w:rsidR="0014616E" w:rsidRPr="00FD211F">
        <w:rPr>
          <w:sz w:val="36"/>
          <w:szCs w:val="36"/>
          <w:rtl/>
        </w:rPr>
        <w:t>وجود</w:t>
      </w:r>
      <w:r w:rsidR="005D0AE0" w:rsidRPr="00FD211F">
        <w:rPr>
          <w:sz w:val="36"/>
          <w:szCs w:val="36"/>
          <w:rtl/>
        </w:rPr>
        <w:t>ا</w:t>
      </w:r>
      <w:r w:rsidR="0014616E" w:rsidRPr="00FD211F">
        <w:rPr>
          <w:sz w:val="36"/>
          <w:szCs w:val="36"/>
          <w:rtl/>
        </w:rPr>
        <w:t xml:space="preserve"> رابط</w:t>
      </w:r>
      <w:r w:rsidR="005D0AE0" w:rsidRPr="00FD211F">
        <w:rPr>
          <w:sz w:val="36"/>
          <w:szCs w:val="36"/>
          <w:rtl/>
        </w:rPr>
        <w:t>ا</w:t>
      </w:r>
      <w:r w:rsidR="0014616E" w:rsidRPr="00FD211F">
        <w:rPr>
          <w:sz w:val="36"/>
          <w:szCs w:val="36"/>
          <w:rtl/>
        </w:rPr>
        <w:t xml:space="preserve"> اندكاكي</w:t>
      </w:r>
      <w:r w:rsidR="005D0AE0" w:rsidRPr="00FD211F">
        <w:rPr>
          <w:sz w:val="36"/>
          <w:szCs w:val="36"/>
          <w:rtl/>
        </w:rPr>
        <w:t>ا</w:t>
      </w:r>
      <w:r w:rsidR="00603323" w:rsidRPr="00FD211F">
        <w:rPr>
          <w:sz w:val="36"/>
          <w:szCs w:val="36"/>
          <w:rtl/>
        </w:rPr>
        <w:t xml:space="preserve">، </w:t>
      </w:r>
      <w:r w:rsidR="005D0AE0" w:rsidRPr="00FD211F">
        <w:rPr>
          <w:sz w:val="36"/>
          <w:szCs w:val="36"/>
          <w:rtl/>
        </w:rPr>
        <w:t>مضافا الى ان مجرد تقيدهذه النسب</w:t>
      </w:r>
      <w:r w:rsidR="00EC7EDF" w:rsidRPr="00FD211F">
        <w:rPr>
          <w:sz w:val="36"/>
          <w:szCs w:val="36"/>
          <w:rtl/>
        </w:rPr>
        <w:t xml:space="preserve">ة </w:t>
      </w:r>
      <w:r w:rsidR="005D0AE0" w:rsidRPr="00FD211F">
        <w:rPr>
          <w:sz w:val="36"/>
          <w:szCs w:val="36"/>
          <w:rtl/>
        </w:rPr>
        <w:t>التام</w:t>
      </w:r>
      <w:r w:rsidR="00EC7EDF" w:rsidRPr="00FD211F">
        <w:rPr>
          <w:sz w:val="36"/>
          <w:szCs w:val="36"/>
          <w:rtl/>
        </w:rPr>
        <w:t xml:space="preserve">ة </w:t>
      </w:r>
      <w:r w:rsidR="005D0AE0" w:rsidRPr="00FD211F">
        <w:rPr>
          <w:sz w:val="36"/>
          <w:szCs w:val="36"/>
          <w:rtl/>
        </w:rPr>
        <w:t>-التي تدل عليها الجمل</w:t>
      </w:r>
      <w:r w:rsidR="00EC7EDF" w:rsidRPr="00FD211F">
        <w:rPr>
          <w:sz w:val="36"/>
          <w:szCs w:val="36"/>
          <w:rtl/>
        </w:rPr>
        <w:t xml:space="preserve">ة </w:t>
      </w:r>
      <w:r w:rsidR="005D0AE0" w:rsidRPr="00FD211F">
        <w:rPr>
          <w:sz w:val="36"/>
          <w:szCs w:val="36"/>
          <w:rtl/>
        </w:rPr>
        <w:t>المدخول لأدا</w:t>
      </w:r>
      <w:r w:rsidR="00EC7EDF" w:rsidRPr="00FD211F">
        <w:rPr>
          <w:sz w:val="36"/>
          <w:szCs w:val="36"/>
          <w:rtl/>
        </w:rPr>
        <w:t xml:space="preserve">ة </w:t>
      </w:r>
      <w:r w:rsidR="005D0AE0" w:rsidRPr="00FD211F">
        <w:rPr>
          <w:sz w:val="36"/>
          <w:szCs w:val="36"/>
          <w:rtl/>
        </w:rPr>
        <w:t>الاستفهام-</w:t>
      </w:r>
      <w:r w:rsidR="0014616E" w:rsidRPr="00FD211F">
        <w:rPr>
          <w:sz w:val="36"/>
          <w:szCs w:val="36"/>
          <w:rtl/>
        </w:rPr>
        <w:t xml:space="preserve"> بمفهوم المستفه</w:t>
      </w:r>
      <w:r w:rsidR="0049387C" w:rsidRPr="00FD211F">
        <w:rPr>
          <w:sz w:val="36"/>
          <w:szCs w:val="36"/>
          <w:rtl/>
        </w:rPr>
        <w:t>ِ</w:t>
      </w:r>
      <w:r w:rsidR="0014616E" w:rsidRPr="00FD211F">
        <w:rPr>
          <w:sz w:val="36"/>
          <w:szCs w:val="36"/>
          <w:rtl/>
        </w:rPr>
        <w:t>م مثلا لايمنع من صلاحي</w:t>
      </w:r>
      <w:r w:rsidR="00EC7EDF" w:rsidRPr="00FD211F">
        <w:rPr>
          <w:sz w:val="36"/>
          <w:szCs w:val="36"/>
          <w:rtl/>
        </w:rPr>
        <w:t xml:space="preserve">ة </w:t>
      </w:r>
      <w:r w:rsidR="0014616E" w:rsidRPr="00FD211F">
        <w:rPr>
          <w:sz w:val="36"/>
          <w:szCs w:val="36"/>
          <w:rtl/>
        </w:rPr>
        <w:t>جمل</w:t>
      </w:r>
      <w:r w:rsidR="00EC7EDF" w:rsidRPr="00FD211F">
        <w:rPr>
          <w:sz w:val="36"/>
          <w:szCs w:val="36"/>
          <w:rtl/>
        </w:rPr>
        <w:t xml:space="preserve">ة </w:t>
      </w:r>
      <w:r w:rsidR="0014616E" w:rsidRPr="00FD211F">
        <w:rPr>
          <w:sz w:val="36"/>
          <w:szCs w:val="36"/>
          <w:rtl/>
        </w:rPr>
        <w:t>الاستفهام للحكاي</w:t>
      </w:r>
      <w:r w:rsidR="00EC7EDF" w:rsidRPr="00FD211F">
        <w:rPr>
          <w:sz w:val="36"/>
          <w:szCs w:val="36"/>
          <w:rtl/>
        </w:rPr>
        <w:t xml:space="preserve">ة </w:t>
      </w:r>
      <w:r w:rsidR="0014616E" w:rsidRPr="00FD211F">
        <w:rPr>
          <w:sz w:val="36"/>
          <w:szCs w:val="36"/>
          <w:rtl/>
        </w:rPr>
        <w:t>بها عن الخارج</w:t>
      </w:r>
      <w:r w:rsidR="00603323" w:rsidRPr="00FD211F">
        <w:rPr>
          <w:sz w:val="36"/>
          <w:szCs w:val="36"/>
          <w:rtl/>
        </w:rPr>
        <w:t xml:space="preserve">، </w:t>
      </w:r>
      <w:r w:rsidR="0014616E" w:rsidRPr="00FD211F">
        <w:rPr>
          <w:sz w:val="36"/>
          <w:szCs w:val="36"/>
          <w:rtl/>
        </w:rPr>
        <w:t>اذ لايوجد اي مانع عن الاخبار عن نسب</w:t>
      </w:r>
      <w:r w:rsidR="00EC7EDF" w:rsidRPr="00FD211F">
        <w:rPr>
          <w:sz w:val="36"/>
          <w:szCs w:val="36"/>
          <w:rtl/>
        </w:rPr>
        <w:t xml:space="preserve">ة </w:t>
      </w:r>
      <w:r w:rsidR="0014616E" w:rsidRPr="00FD211F">
        <w:rPr>
          <w:sz w:val="36"/>
          <w:szCs w:val="36"/>
          <w:rtl/>
        </w:rPr>
        <w:t>تام</w:t>
      </w:r>
      <w:r w:rsidR="00EC7EDF" w:rsidRPr="00FD211F">
        <w:rPr>
          <w:sz w:val="36"/>
          <w:szCs w:val="36"/>
          <w:rtl/>
        </w:rPr>
        <w:t xml:space="preserve">ة </w:t>
      </w:r>
      <w:r w:rsidR="005D0AE0" w:rsidRPr="00FD211F">
        <w:rPr>
          <w:sz w:val="36"/>
          <w:szCs w:val="36"/>
          <w:rtl/>
        </w:rPr>
        <w:t>مقيد</w:t>
      </w:r>
      <w:r w:rsidR="00EC7EDF" w:rsidRPr="00FD211F">
        <w:rPr>
          <w:sz w:val="36"/>
          <w:szCs w:val="36"/>
          <w:rtl/>
        </w:rPr>
        <w:t>ة</w:t>
      </w:r>
      <w:r w:rsidR="00A61BAE" w:rsidRPr="00FD211F">
        <w:rPr>
          <w:sz w:val="36"/>
          <w:szCs w:val="36"/>
          <w:rtl/>
        </w:rPr>
        <w:t>.</w:t>
      </w:r>
    </w:p>
    <w:p w14:paraId="5115F5FE" w14:textId="77777777" w:rsidR="0014616E" w:rsidRPr="00FD211F" w:rsidRDefault="0014616E" w:rsidP="009C58C8">
      <w:pPr>
        <w:pStyle w:val="a4"/>
        <w:ind w:left="0" w:firstLine="227"/>
        <w:jc w:val="both"/>
        <w:rPr>
          <w:sz w:val="36"/>
          <w:szCs w:val="36"/>
          <w:rtl/>
        </w:rPr>
      </w:pPr>
      <w:r w:rsidRPr="00FD211F">
        <w:rPr>
          <w:sz w:val="36"/>
          <w:szCs w:val="36"/>
          <w:rtl/>
        </w:rPr>
        <w:t>وان فرض كون</w:t>
      </w:r>
      <w:r w:rsidR="00235A92" w:rsidRPr="00FD211F">
        <w:rPr>
          <w:sz w:val="36"/>
          <w:szCs w:val="36"/>
          <w:rtl/>
        </w:rPr>
        <w:t xml:space="preserve"> الذات</w:t>
      </w:r>
      <w:r w:rsidR="005D0AE0" w:rsidRPr="00FD211F">
        <w:rPr>
          <w:sz w:val="36"/>
          <w:szCs w:val="36"/>
          <w:rtl/>
        </w:rPr>
        <w:t xml:space="preserve"> </w:t>
      </w:r>
      <w:r w:rsidR="00A716F7" w:rsidRPr="00FD211F">
        <w:rPr>
          <w:sz w:val="36"/>
          <w:szCs w:val="36"/>
          <w:rtl/>
        </w:rPr>
        <w:t>(</w:t>
      </w:r>
      <w:r w:rsidR="005D0AE0" w:rsidRPr="00FD211F">
        <w:rPr>
          <w:sz w:val="36"/>
          <w:szCs w:val="36"/>
          <w:rtl/>
        </w:rPr>
        <w:t>التي هي احد طرفي النسب</w:t>
      </w:r>
      <w:r w:rsidR="00EC7EDF" w:rsidRPr="00FD211F">
        <w:rPr>
          <w:sz w:val="36"/>
          <w:szCs w:val="36"/>
          <w:rtl/>
        </w:rPr>
        <w:t xml:space="preserve">ة </w:t>
      </w:r>
      <w:r w:rsidR="005D0AE0" w:rsidRPr="00FD211F">
        <w:rPr>
          <w:sz w:val="36"/>
          <w:szCs w:val="36"/>
          <w:rtl/>
        </w:rPr>
        <w:t>التحليلي</w:t>
      </w:r>
      <w:r w:rsidR="00EC7EDF" w:rsidRPr="00FD211F">
        <w:rPr>
          <w:sz w:val="36"/>
          <w:szCs w:val="36"/>
          <w:rtl/>
        </w:rPr>
        <w:t xml:space="preserve">ة </w:t>
      </w:r>
      <w:r w:rsidR="005D0AE0" w:rsidRPr="00FD211F">
        <w:rPr>
          <w:sz w:val="36"/>
          <w:szCs w:val="36"/>
          <w:rtl/>
        </w:rPr>
        <w:t>الاستفهامي</w:t>
      </w:r>
      <w:r w:rsidR="00EC7EDF" w:rsidRPr="00FD211F">
        <w:rPr>
          <w:sz w:val="36"/>
          <w:szCs w:val="36"/>
          <w:rtl/>
        </w:rPr>
        <w:t xml:space="preserve">ة </w:t>
      </w:r>
      <w:r w:rsidR="00A716F7" w:rsidRPr="00FD211F">
        <w:rPr>
          <w:sz w:val="36"/>
          <w:szCs w:val="36"/>
          <w:rtl/>
        </w:rPr>
        <w:t>)</w:t>
      </w:r>
      <w:r w:rsidR="005D0AE0" w:rsidRPr="00FD211F">
        <w:rPr>
          <w:sz w:val="36"/>
          <w:szCs w:val="36"/>
          <w:rtl/>
        </w:rPr>
        <w:t xml:space="preserve"> </w:t>
      </w:r>
      <w:r w:rsidR="00235A92" w:rsidRPr="00FD211F">
        <w:rPr>
          <w:sz w:val="36"/>
          <w:szCs w:val="36"/>
          <w:rtl/>
        </w:rPr>
        <w:t>ه</w:t>
      </w:r>
      <w:r w:rsidR="00DC2E6F" w:rsidRPr="00FD211F">
        <w:rPr>
          <w:sz w:val="36"/>
          <w:szCs w:val="36"/>
          <w:rtl/>
        </w:rPr>
        <w:t>ي</w:t>
      </w:r>
      <w:r w:rsidRPr="00FD211F">
        <w:rPr>
          <w:sz w:val="36"/>
          <w:szCs w:val="36"/>
          <w:rtl/>
        </w:rPr>
        <w:t xml:space="preserve"> مفهوم المستفه</w:t>
      </w:r>
      <w:r w:rsidR="0049387C" w:rsidRPr="00FD211F">
        <w:rPr>
          <w:sz w:val="36"/>
          <w:szCs w:val="36"/>
          <w:rtl/>
        </w:rPr>
        <w:t>ِ</w:t>
      </w:r>
      <w:r w:rsidR="00A716F7" w:rsidRPr="00FD211F">
        <w:rPr>
          <w:sz w:val="36"/>
          <w:szCs w:val="36"/>
          <w:rtl/>
        </w:rPr>
        <w:t>م (</w:t>
      </w:r>
      <w:r w:rsidR="005D0AE0" w:rsidRPr="00FD211F">
        <w:rPr>
          <w:sz w:val="36"/>
          <w:szCs w:val="36"/>
          <w:rtl/>
        </w:rPr>
        <w:t>الذي هو مفهوم اسمي</w:t>
      </w:r>
      <w:r w:rsidR="00A716F7" w:rsidRPr="00FD211F">
        <w:rPr>
          <w:sz w:val="36"/>
          <w:szCs w:val="36"/>
          <w:rtl/>
        </w:rPr>
        <w:t>)</w:t>
      </w:r>
      <w:r w:rsidR="005D0AE0" w:rsidRPr="00FD211F">
        <w:rPr>
          <w:sz w:val="36"/>
          <w:szCs w:val="36"/>
          <w:rtl/>
        </w:rPr>
        <w:t xml:space="preserve"> ولوحظ تقيده</w:t>
      </w:r>
      <w:r w:rsidRPr="00FD211F">
        <w:rPr>
          <w:sz w:val="36"/>
          <w:szCs w:val="36"/>
          <w:rtl/>
        </w:rPr>
        <w:t xml:space="preserve"> بالنسب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00A716F7" w:rsidRPr="00FD211F">
        <w:rPr>
          <w:sz w:val="36"/>
          <w:szCs w:val="36"/>
          <w:rtl/>
        </w:rPr>
        <w:t>(</w:t>
      </w:r>
      <w:r w:rsidR="005D0AE0" w:rsidRPr="00FD211F">
        <w:rPr>
          <w:sz w:val="36"/>
          <w:szCs w:val="36"/>
          <w:rtl/>
        </w:rPr>
        <w:t>التي كانت مدلول الجمل</w:t>
      </w:r>
      <w:r w:rsidR="00EC7EDF" w:rsidRPr="00FD211F">
        <w:rPr>
          <w:sz w:val="36"/>
          <w:szCs w:val="36"/>
          <w:rtl/>
        </w:rPr>
        <w:t xml:space="preserve">ة </w:t>
      </w:r>
      <w:r w:rsidR="005D0AE0" w:rsidRPr="00FD211F">
        <w:rPr>
          <w:sz w:val="36"/>
          <w:szCs w:val="36"/>
          <w:rtl/>
        </w:rPr>
        <w:t>المدخول</w:t>
      </w:r>
      <w:r w:rsidR="00EC7EDF" w:rsidRPr="00FD211F">
        <w:rPr>
          <w:sz w:val="36"/>
          <w:szCs w:val="36"/>
          <w:rtl/>
        </w:rPr>
        <w:t xml:space="preserve">ة </w:t>
      </w:r>
      <w:r w:rsidR="005D0AE0" w:rsidRPr="00FD211F">
        <w:rPr>
          <w:sz w:val="36"/>
          <w:szCs w:val="36"/>
          <w:rtl/>
        </w:rPr>
        <w:t>لأدا</w:t>
      </w:r>
      <w:r w:rsidR="00EC7EDF" w:rsidRPr="00FD211F">
        <w:rPr>
          <w:sz w:val="36"/>
          <w:szCs w:val="36"/>
          <w:rtl/>
        </w:rPr>
        <w:t xml:space="preserve">ة </w:t>
      </w:r>
      <w:r w:rsidR="005D0AE0" w:rsidRPr="00FD211F">
        <w:rPr>
          <w:sz w:val="36"/>
          <w:szCs w:val="36"/>
          <w:rtl/>
        </w:rPr>
        <w:t>الاستفهام</w:t>
      </w:r>
      <w:r w:rsidR="00A716F7" w:rsidRPr="00FD211F">
        <w:rPr>
          <w:sz w:val="36"/>
          <w:szCs w:val="36"/>
          <w:rtl/>
        </w:rPr>
        <w:t>)</w:t>
      </w:r>
      <w:r w:rsidR="005D0AE0" w:rsidRPr="00FD211F">
        <w:rPr>
          <w:sz w:val="36"/>
          <w:szCs w:val="36"/>
          <w:rtl/>
        </w:rPr>
        <w:t xml:space="preserve"> </w:t>
      </w:r>
      <w:r w:rsidRPr="00FD211F">
        <w:rPr>
          <w:sz w:val="36"/>
          <w:szCs w:val="36"/>
          <w:rtl/>
        </w:rPr>
        <w:t>فتصير الجمل</w:t>
      </w:r>
      <w:r w:rsidR="00EC7EDF" w:rsidRPr="00FD211F">
        <w:rPr>
          <w:sz w:val="36"/>
          <w:szCs w:val="36"/>
          <w:rtl/>
        </w:rPr>
        <w:t xml:space="preserve">ة </w:t>
      </w:r>
      <w:r w:rsidRPr="00FD211F">
        <w:rPr>
          <w:sz w:val="36"/>
          <w:szCs w:val="36"/>
          <w:rtl/>
        </w:rPr>
        <w:t>بذلك ناقص</w:t>
      </w:r>
      <w:r w:rsidR="00EC7EDF" w:rsidRPr="00FD211F">
        <w:rPr>
          <w:sz w:val="36"/>
          <w:szCs w:val="36"/>
          <w:rtl/>
        </w:rPr>
        <w:t>ة</w:t>
      </w:r>
      <w:r w:rsidR="00603323" w:rsidRPr="00FD211F">
        <w:rPr>
          <w:sz w:val="36"/>
          <w:szCs w:val="36"/>
          <w:rtl/>
        </w:rPr>
        <w:t xml:space="preserve">، </w:t>
      </w:r>
      <w:r w:rsidRPr="00FD211F">
        <w:rPr>
          <w:sz w:val="36"/>
          <w:szCs w:val="36"/>
          <w:rtl/>
        </w:rPr>
        <w:t>اذ يكون مفادها حص</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من مفهوم المستفه</w:t>
      </w:r>
      <w:r w:rsidR="0049387C" w:rsidRPr="00FD211F">
        <w:rPr>
          <w:sz w:val="36"/>
          <w:szCs w:val="36"/>
          <w:rtl/>
        </w:rPr>
        <w:t>ِ</w:t>
      </w:r>
      <w:r w:rsidRPr="00FD211F">
        <w:rPr>
          <w:sz w:val="36"/>
          <w:szCs w:val="36"/>
          <w:rtl/>
        </w:rPr>
        <w:t>م وهو المستفه</w:t>
      </w:r>
      <w:r w:rsidR="0049387C" w:rsidRPr="00FD211F">
        <w:rPr>
          <w:sz w:val="36"/>
          <w:szCs w:val="36"/>
          <w:rtl/>
        </w:rPr>
        <w:t>ِ</w:t>
      </w:r>
      <w:r w:rsidRPr="00FD211F">
        <w:rPr>
          <w:sz w:val="36"/>
          <w:szCs w:val="36"/>
          <w:rtl/>
        </w:rPr>
        <w:t>م المقي</w:t>
      </w:r>
      <w:r w:rsidR="0049387C" w:rsidRPr="00FD211F">
        <w:rPr>
          <w:sz w:val="36"/>
          <w:szCs w:val="36"/>
          <w:rtl/>
        </w:rPr>
        <w:t>َّ</w:t>
      </w:r>
      <w:r w:rsidRPr="00FD211F">
        <w:rPr>
          <w:sz w:val="36"/>
          <w:szCs w:val="36"/>
          <w:rtl/>
        </w:rPr>
        <w:t>د بالنسب</w:t>
      </w:r>
      <w:r w:rsidR="00EC7EDF" w:rsidRPr="00FD211F">
        <w:rPr>
          <w:sz w:val="36"/>
          <w:szCs w:val="36"/>
          <w:rtl/>
        </w:rPr>
        <w:t xml:space="preserve">ة </w:t>
      </w:r>
      <w:r w:rsidRPr="00FD211F">
        <w:rPr>
          <w:sz w:val="36"/>
          <w:szCs w:val="36"/>
          <w:rtl/>
        </w:rPr>
        <w:t>التام</w:t>
      </w:r>
      <w:r w:rsidR="00EC7EDF" w:rsidRPr="00FD211F">
        <w:rPr>
          <w:sz w:val="36"/>
          <w:szCs w:val="36"/>
          <w:rtl/>
        </w:rPr>
        <w:t>ة</w:t>
      </w:r>
      <w:r w:rsidR="00603323" w:rsidRPr="00FD211F">
        <w:rPr>
          <w:sz w:val="36"/>
          <w:szCs w:val="36"/>
          <w:rtl/>
        </w:rPr>
        <w:t xml:space="preserve">، </w:t>
      </w:r>
      <w:r w:rsidRPr="00FD211F">
        <w:rPr>
          <w:sz w:val="36"/>
          <w:szCs w:val="36"/>
          <w:rtl/>
        </w:rPr>
        <w:t>وهذا خلف كون جمل</w:t>
      </w:r>
      <w:r w:rsidR="00EC7EDF" w:rsidRPr="00FD211F">
        <w:rPr>
          <w:sz w:val="36"/>
          <w:szCs w:val="36"/>
          <w:rtl/>
        </w:rPr>
        <w:t xml:space="preserve">ة </w:t>
      </w:r>
      <w:r w:rsidRPr="00FD211F">
        <w:rPr>
          <w:sz w:val="36"/>
          <w:szCs w:val="36"/>
          <w:rtl/>
        </w:rPr>
        <w:t>الاستفهام تام</w:t>
      </w:r>
      <w:r w:rsidR="00EC7EDF" w:rsidRPr="00FD211F">
        <w:rPr>
          <w:sz w:val="36"/>
          <w:szCs w:val="36"/>
          <w:rtl/>
        </w:rPr>
        <w:t>ة</w:t>
      </w:r>
      <w:r w:rsidR="00A61BAE" w:rsidRPr="00FD211F">
        <w:rPr>
          <w:sz w:val="36"/>
          <w:szCs w:val="36"/>
          <w:rtl/>
        </w:rPr>
        <w:t>.</w:t>
      </w:r>
    </w:p>
    <w:p w14:paraId="528AFF7E" w14:textId="77777777" w:rsidR="0014616E" w:rsidRPr="00FD211F" w:rsidRDefault="00CA5B06" w:rsidP="009C58C8">
      <w:pPr>
        <w:pStyle w:val="a4"/>
        <w:ind w:left="0" w:firstLine="227"/>
        <w:jc w:val="both"/>
        <w:rPr>
          <w:sz w:val="36"/>
          <w:szCs w:val="36"/>
          <w:rtl/>
        </w:rPr>
      </w:pPr>
      <w:r w:rsidRPr="00FD211F">
        <w:rPr>
          <w:sz w:val="36"/>
          <w:szCs w:val="36"/>
          <w:rtl/>
        </w:rPr>
        <w:t>هذا وقد ذكر</w:t>
      </w:r>
      <w:r w:rsidR="0014616E" w:rsidRPr="00FD211F">
        <w:rPr>
          <w:sz w:val="36"/>
          <w:szCs w:val="36"/>
          <w:rtl/>
        </w:rPr>
        <w:t xml:space="preserve"> انه يأتي نظير هذا الاشكال على ما ذكره المحقق العراقي </w:t>
      </w:r>
      <w:r w:rsidRPr="00FD211F">
        <w:rPr>
          <w:sz w:val="36"/>
          <w:szCs w:val="36"/>
          <w:rtl/>
        </w:rPr>
        <w:t>"</w:t>
      </w:r>
      <w:r w:rsidR="0014616E" w:rsidRPr="00FD211F">
        <w:rPr>
          <w:sz w:val="36"/>
          <w:szCs w:val="36"/>
          <w:rtl/>
        </w:rPr>
        <w:t>قده</w:t>
      </w:r>
      <w:r w:rsidRPr="00FD211F">
        <w:rPr>
          <w:sz w:val="36"/>
          <w:szCs w:val="36"/>
          <w:rtl/>
        </w:rPr>
        <w:t>"</w:t>
      </w:r>
      <w:r w:rsidR="0014616E" w:rsidRPr="00FD211F">
        <w:rPr>
          <w:sz w:val="36"/>
          <w:szCs w:val="36"/>
          <w:rtl/>
        </w:rPr>
        <w:t xml:space="preserve"> من ان معنى ادا</w:t>
      </w:r>
      <w:r w:rsidR="00EC7EDF" w:rsidRPr="00FD211F">
        <w:rPr>
          <w:sz w:val="36"/>
          <w:szCs w:val="36"/>
          <w:rtl/>
        </w:rPr>
        <w:t xml:space="preserve">ة </w:t>
      </w:r>
      <w:r w:rsidR="0014616E" w:rsidRPr="00FD211F">
        <w:rPr>
          <w:sz w:val="36"/>
          <w:szCs w:val="36"/>
          <w:rtl/>
        </w:rPr>
        <w:t>الاستفهام النسب</w:t>
      </w:r>
      <w:r w:rsidR="00EC7EDF" w:rsidRPr="00FD211F">
        <w:rPr>
          <w:sz w:val="36"/>
          <w:szCs w:val="36"/>
          <w:rtl/>
        </w:rPr>
        <w:t xml:space="preserve">ة </w:t>
      </w:r>
      <w:r w:rsidR="0014616E" w:rsidRPr="00FD211F">
        <w:rPr>
          <w:sz w:val="36"/>
          <w:szCs w:val="36"/>
          <w:rtl/>
        </w:rPr>
        <w:t>بين مفهوم الاستفهام وبين النسب</w:t>
      </w:r>
      <w:r w:rsidR="00EC7EDF" w:rsidRPr="00FD211F">
        <w:rPr>
          <w:sz w:val="36"/>
          <w:szCs w:val="36"/>
          <w:rtl/>
        </w:rPr>
        <w:t xml:space="preserve">ة </w:t>
      </w:r>
      <w:r w:rsidR="0014616E" w:rsidRPr="00FD211F">
        <w:rPr>
          <w:sz w:val="36"/>
          <w:szCs w:val="36"/>
          <w:rtl/>
        </w:rPr>
        <w:t>التام</w:t>
      </w:r>
      <w:r w:rsidR="00EC7EDF" w:rsidRPr="00FD211F">
        <w:rPr>
          <w:sz w:val="36"/>
          <w:szCs w:val="36"/>
          <w:rtl/>
        </w:rPr>
        <w:t xml:space="preserve">ة </w:t>
      </w:r>
      <w:r w:rsidR="0014616E" w:rsidRPr="00FD211F">
        <w:rPr>
          <w:sz w:val="36"/>
          <w:szCs w:val="36"/>
          <w:rtl/>
        </w:rPr>
        <w:t>في الجمل</w:t>
      </w:r>
      <w:r w:rsidR="00EC7EDF" w:rsidRPr="00FD211F">
        <w:rPr>
          <w:sz w:val="36"/>
          <w:szCs w:val="36"/>
          <w:rtl/>
        </w:rPr>
        <w:t xml:space="preserve">ة </w:t>
      </w:r>
      <w:r w:rsidR="0014616E" w:rsidRPr="00FD211F">
        <w:rPr>
          <w:sz w:val="36"/>
          <w:szCs w:val="36"/>
          <w:rtl/>
        </w:rPr>
        <w:t>المستفهم عنها.</w:t>
      </w:r>
      <w:r w:rsidR="009C58C8" w:rsidRPr="00FD211F">
        <w:rPr>
          <w:rStyle w:val="a6"/>
          <w:sz w:val="36"/>
          <w:szCs w:val="36"/>
          <w:rtl/>
        </w:rPr>
        <w:t>(</w:t>
      </w:r>
      <w:r w:rsidR="009C58C8" w:rsidRPr="00FD211F">
        <w:rPr>
          <w:rStyle w:val="a6"/>
          <w:sz w:val="36"/>
          <w:szCs w:val="36"/>
          <w:rtl/>
        </w:rPr>
        <w:footnoteReference w:id="216"/>
      </w:r>
      <w:r w:rsidR="009C58C8" w:rsidRPr="00FD211F">
        <w:rPr>
          <w:rStyle w:val="a6"/>
          <w:sz w:val="36"/>
          <w:szCs w:val="36"/>
          <w:rtl/>
        </w:rPr>
        <w:t>)</w:t>
      </w:r>
    </w:p>
    <w:p w14:paraId="39786608" w14:textId="77777777" w:rsidR="0014616E" w:rsidRPr="00FD211F" w:rsidRDefault="0014616E" w:rsidP="009C58C8">
      <w:pPr>
        <w:pStyle w:val="a4"/>
        <w:ind w:left="0" w:firstLine="227"/>
        <w:jc w:val="both"/>
        <w:rPr>
          <w:sz w:val="36"/>
          <w:szCs w:val="36"/>
          <w:rtl/>
        </w:rPr>
      </w:pPr>
      <w:r w:rsidRPr="00FD211F">
        <w:rPr>
          <w:sz w:val="36"/>
          <w:szCs w:val="36"/>
          <w:rtl/>
        </w:rPr>
        <w:t>ولكن يلاحظ على ما ذكره في البحوث</w:t>
      </w:r>
      <w:r w:rsidRPr="00FD211F">
        <w:rPr>
          <w:b/>
          <w:bCs/>
          <w:sz w:val="36"/>
          <w:szCs w:val="36"/>
          <w:rtl/>
        </w:rPr>
        <w:t xml:space="preserve"> اولا</w:t>
      </w:r>
      <w:r w:rsidRPr="00FD211F">
        <w:rPr>
          <w:sz w:val="36"/>
          <w:szCs w:val="36"/>
          <w:rtl/>
        </w:rPr>
        <w:t>: انه لامانع من ان يكون مدلول جمل</w:t>
      </w:r>
      <w:r w:rsidR="00EC7EDF" w:rsidRPr="00FD211F">
        <w:rPr>
          <w:sz w:val="36"/>
          <w:szCs w:val="36"/>
          <w:rtl/>
        </w:rPr>
        <w:t xml:space="preserve">ة </w:t>
      </w:r>
      <w:r w:rsidRPr="00FD211F">
        <w:rPr>
          <w:sz w:val="36"/>
          <w:szCs w:val="36"/>
          <w:rtl/>
        </w:rPr>
        <w:t>الاستفهام هو واقع</w:t>
      </w:r>
      <w:r w:rsidR="00A716F7" w:rsidRPr="00FD211F">
        <w:rPr>
          <w:sz w:val="36"/>
          <w:szCs w:val="36"/>
          <w:rtl/>
        </w:rPr>
        <w:t xml:space="preserve"> النسب</w:t>
      </w:r>
      <w:r w:rsidR="00EC7EDF" w:rsidRPr="00FD211F">
        <w:rPr>
          <w:sz w:val="36"/>
          <w:szCs w:val="36"/>
          <w:rtl/>
        </w:rPr>
        <w:t xml:space="preserve">ة </w:t>
      </w:r>
      <w:r w:rsidRPr="00FD211F">
        <w:rPr>
          <w:sz w:val="36"/>
          <w:szCs w:val="36"/>
          <w:rtl/>
        </w:rPr>
        <w:t>الاستفهام</w:t>
      </w:r>
      <w:r w:rsidR="00A716F7" w:rsidRPr="00FD211F">
        <w:rPr>
          <w:sz w:val="36"/>
          <w:szCs w:val="36"/>
          <w:rtl/>
        </w:rPr>
        <w:t>ي</w:t>
      </w:r>
      <w:r w:rsidR="00EC7EDF" w:rsidRPr="00FD211F">
        <w:rPr>
          <w:sz w:val="36"/>
          <w:szCs w:val="36"/>
          <w:rtl/>
        </w:rPr>
        <w:t xml:space="preserve">ة </w:t>
      </w:r>
      <w:r w:rsidRPr="00FD211F">
        <w:rPr>
          <w:sz w:val="36"/>
          <w:szCs w:val="36"/>
          <w:rtl/>
        </w:rPr>
        <w:t>الموجود</w:t>
      </w:r>
      <w:r w:rsidR="00EC7EDF" w:rsidRPr="00FD211F">
        <w:rPr>
          <w:sz w:val="36"/>
          <w:szCs w:val="36"/>
          <w:rtl/>
        </w:rPr>
        <w:t xml:space="preserve">ة </w:t>
      </w:r>
      <w:r w:rsidRPr="00FD211F">
        <w:rPr>
          <w:sz w:val="36"/>
          <w:szCs w:val="36"/>
          <w:rtl/>
        </w:rPr>
        <w:t>في صقع نفس المتكلم</w:t>
      </w:r>
      <w:r w:rsidR="00A716F7" w:rsidRPr="00FD211F">
        <w:rPr>
          <w:sz w:val="36"/>
          <w:szCs w:val="36"/>
          <w:rtl/>
        </w:rPr>
        <w:t xml:space="preserve"> بعد كون نفس</w:t>
      </w:r>
      <w:r w:rsidR="00B253CE" w:rsidRPr="00FD211F">
        <w:rPr>
          <w:sz w:val="36"/>
          <w:szCs w:val="36"/>
          <w:rtl/>
        </w:rPr>
        <w:t xml:space="preserve"> </w:t>
      </w:r>
      <w:r w:rsidR="00A716F7" w:rsidRPr="00FD211F">
        <w:rPr>
          <w:sz w:val="36"/>
          <w:szCs w:val="36"/>
          <w:rtl/>
        </w:rPr>
        <w:t>القضي</w:t>
      </w:r>
      <w:r w:rsidR="00EC7EDF" w:rsidRPr="00FD211F">
        <w:rPr>
          <w:sz w:val="36"/>
          <w:szCs w:val="36"/>
          <w:rtl/>
        </w:rPr>
        <w:t xml:space="preserve">ة </w:t>
      </w:r>
      <w:r w:rsidR="00A716F7" w:rsidRPr="00FD211F">
        <w:rPr>
          <w:sz w:val="36"/>
          <w:szCs w:val="36"/>
          <w:rtl/>
        </w:rPr>
        <w:t>المستفهم عنهاالتي هي مدلول الجمل</w:t>
      </w:r>
      <w:r w:rsidR="00EC7EDF" w:rsidRPr="00FD211F">
        <w:rPr>
          <w:sz w:val="36"/>
          <w:szCs w:val="36"/>
          <w:rtl/>
        </w:rPr>
        <w:t xml:space="preserve">ة </w:t>
      </w:r>
      <w:r w:rsidR="00A716F7" w:rsidRPr="00FD211F">
        <w:rPr>
          <w:sz w:val="36"/>
          <w:szCs w:val="36"/>
          <w:rtl/>
        </w:rPr>
        <w:t>المدخول</w:t>
      </w:r>
      <w:r w:rsidR="00EC7EDF" w:rsidRPr="00FD211F">
        <w:rPr>
          <w:sz w:val="36"/>
          <w:szCs w:val="36"/>
          <w:rtl/>
        </w:rPr>
        <w:t xml:space="preserve">ة </w:t>
      </w:r>
      <w:r w:rsidR="00A716F7" w:rsidRPr="00FD211F">
        <w:rPr>
          <w:sz w:val="36"/>
          <w:szCs w:val="36"/>
          <w:rtl/>
        </w:rPr>
        <w:t>لأدا</w:t>
      </w:r>
      <w:r w:rsidR="00EC7EDF" w:rsidRPr="00FD211F">
        <w:rPr>
          <w:sz w:val="36"/>
          <w:szCs w:val="36"/>
          <w:rtl/>
        </w:rPr>
        <w:t xml:space="preserve">ة </w:t>
      </w:r>
      <w:r w:rsidR="00A716F7" w:rsidRPr="00FD211F">
        <w:rPr>
          <w:sz w:val="36"/>
          <w:szCs w:val="36"/>
          <w:rtl/>
        </w:rPr>
        <w:t>الاستفهام طرفا لواقع النسب</w:t>
      </w:r>
      <w:r w:rsidR="00EC7EDF" w:rsidRPr="00FD211F">
        <w:rPr>
          <w:sz w:val="36"/>
          <w:szCs w:val="36"/>
          <w:rtl/>
        </w:rPr>
        <w:t xml:space="preserve">ة </w:t>
      </w:r>
      <w:r w:rsidR="00452CC3" w:rsidRPr="00FD211F">
        <w:rPr>
          <w:sz w:val="36"/>
          <w:szCs w:val="36"/>
          <w:rtl/>
        </w:rPr>
        <w:t>الاستفهامي</w:t>
      </w:r>
      <w:r w:rsidR="00EC7EDF" w:rsidRPr="00FD211F">
        <w:rPr>
          <w:sz w:val="36"/>
          <w:szCs w:val="36"/>
          <w:rtl/>
        </w:rPr>
        <w:t>ة</w:t>
      </w:r>
      <w:r w:rsidR="00603323" w:rsidRPr="00FD211F">
        <w:rPr>
          <w:sz w:val="36"/>
          <w:szCs w:val="36"/>
          <w:rtl/>
        </w:rPr>
        <w:t xml:space="preserve">، </w:t>
      </w:r>
      <w:r w:rsidR="00452CC3" w:rsidRPr="00FD211F">
        <w:rPr>
          <w:sz w:val="36"/>
          <w:szCs w:val="36"/>
          <w:rtl/>
        </w:rPr>
        <w:t>والطرف الآخر وهو وجود</w:t>
      </w:r>
      <w:r w:rsidR="00504ED3" w:rsidRPr="00FD211F">
        <w:rPr>
          <w:sz w:val="36"/>
          <w:szCs w:val="36"/>
          <w:rtl/>
        </w:rPr>
        <w:t xml:space="preserve"> </w:t>
      </w:r>
      <w:r w:rsidR="00452CC3" w:rsidRPr="00FD211F">
        <w:rPr>
          <w:sz w:val="36"/>
          <w:szCs w:val="36"/>
          <w:rtl/>
        </w:rPr>
        <w:t>المستفهم</w:t>
      </w:r>
      <w:r w:rsidR="008D7B3D" w:rsidRPr="00FD211F">
        <w:rPr>
          <w:sz w:val="36"/>
          <w:szCs w:val="36"/>
          <w:rtl/>
        </w:rPr>
        <w:t xml:space="preserve"> لم‌</w:t>
      </w:r>
      <w:r w:rsidR="00452CC3" w:rsidRPr="00FD211F">
        <w:rPr>
          <w:sz w:val="36"/>
          <w:szCs w:val="36"/>
          <w:rtl/>
        </w:rPr>
        <w:t>يكن مدلولا</w:t>
      </w:r>
      <w:r w:rsidR="00504ED3" w:rsidRPr="00FD211F">
        <w:rPr>
          <w:sz w:val="36"/>
          <w:szCs w:val="36"/>
          <w:rtl/>
        </w:rPr>
        <w:t xml:space="preserve"> </w:t>
      </w:r>
      <w:r w:rsidR="00452CC3" w:rsidRPr="00FD211F">
        <w:rPr>
          <w:sz w:val="36"/>
          <w:szCs w:val="36"/>
          <w:rtl/>
        </w:rPr>
        <w:t>مطابقيا</w:t>
      </w:r>
      <w:r w:rsidR="00504ED3" w:rsidRPr="00FD211F">
        <w:rPr>
          <w:sz w:val="36"/>
          <w:szCs w:val="36"/>
          <w:rtl/>
        </w:rPr>
        <w:t xml:space="preserve"> </w:t>
      </w:r>
      <w:r w:rsidR="00452CC3" w:rsidRPr="00FD211F">
        <w:rPr>
          <w:sz w:val="36"/>
          <w:szCs w:val="36"/>
          <w:rtl/>
        </w:rPr>
        <w:t>لجمل</w:t>
      </w:r>
      <w:r w:rsidR="00EC7EDF" w:rsidRPr="00FD211F">
        <w:rPr>
          <w:sz w:val="36"/>
          <w:szCs w:val="36"/>
          <w:rtl/>
        </w:rPr>
        <w:t xml:space="preserve">ة </w:t>
      </w:r>
      <w:r w:rsidR="00452CC3" w:rsidRPr="00FD211F">
        <w:rPr>
          <w:sz w:val="36"/>
          <w:szCs w:val="36"/>
          <w:rtl/>
        </w:rPr>
        <w:t>الاستفهام</w:t>
      </w:r>
      <w:r w:rsidR="00603323" w:rsidRPr="00FD211F">
        <w:rPr>
          <w:sz w:val="36"/>
          <w:szCs w:val="36"/>
          <w:rtl/>
        </w:rPr>
        <w:t xml:space="preserve">، </w:t>
      </w:r>
      <w:r w:rsidR="00452CC3" w:rsidRPr="00FD211F">
        <w:rPr>
          <w:sz w:val="36"/>
          <w:szCs w:val="36"/>
          <w:rtl/>
        </w:rPr>
        <w:t>ف</w:t>
      </w:r>
      <w:r w:rsidRPr="00FD211F">
        <w:rPr>
          <w:sz w:val="36"/>
          <w:szCs w:val="36"/>
          <w:rtl/>
        </w:rPr>
        <w:t>يختلف عن</w:t>
      </w:r>
      <w:r w:rsidR="00452CC3" w:rsidRPr="00FD211F">
        <w:rPr>
          <w:sz w:val="36"/>
          <w:szCs w:val="36"/>
          <w:rtl/>
        </w:rPr>
        <w:t xml:space="preserve"> مثل ابراز الشوق والحب بقول الشخص "اني أحب كذا"</w:t>
      </w:r>
      <w:r w:rsidRPr="00FD211F">
        <w:rPr>
          <w:sz w:val="36"/>
          <w:szCs w:val="36"/>
          <w:rtl/>
        </w:rPr>
        <w:t xml:space="preserve"> </w:t>
      </w:r>
      <w:r w:rsidR="00452CC3" w:rsidRPr="00FD211F">
        <w:rPr>
          <w:sz w:val="36"/>
          <w:szCs w:val="36"/>
          <w:rtl/>
        </w:rPr>
        <w:t>فانه لايعقل ان يكون المستعمل فيه للفظ الحب هو واقع الحب الموجود في نفس المتكلم بعد أن كان معناه</w:t>
      </w:r>
      <w:r w:rsidR="00B253CE" w:rsidRPr="00FD211F">
        <w:rPr>
          <w:sz w:val="36"/>
          <w:szCs w:val="36"/>
          <w:rtl/>
        </w:rPr>
        <w:t xml:space="preserve"> </w:t>
      </w:r>
      <w:r w:rsidR="00452CC3" w:rsidRPr="00FD211F">
        <w:rPr>
          <w:sz w:val="36"/>
          <w:szCs w:val="36"/>
          <w:rtl/>
        </w:rPr>
        <w:t>المفهوم اسمي ل</w:t>
      </w:r>
      <w:r w:rsidRPr="00FD211F">
        <w:rPr>
          <w:sz w:val="36"/>
          <w:szCs w:val="36"/>
          <w:rtl/>
        </w:rPr>
        <w:t>لحب.</w:t>
      </w:r>
    </w:p>
    <w:p w14:paraId="5AEF11E7" w14:textId="77777777" w:rsidR="0014616E" w:rsidRPr="00FD211F" w:rsidRDefault="0014616E" w:rsidP="009C58C8">
      <w:pPr>
        <w:pStyle w:val="a4"/>
        <w:ind w:left="0" w:firstLine="227"/>
        <w:jc w:val="both"/>
        <w:rPr>
          <w:sz w:val="36"/>
          <w:szCs w:val="36"/>
          <w:rtl/>
        </w:rPr>
      </w:pPr>
      <w:r w:rsidRPr="00FD211F">
        <w:rPr>
          <w:b/>
          <w:bCs/>
          <w:sz w:val="36"/>
          <w:szCs w:val="36"/>
          <w:rtl/>
        </w:rPr>
        <w:t>وثانيا</w:t>
      </w:r>
      <w:r w:rsidRPr="00FD211F">
        <w:rPr>
          <w:sz w:val="36"/>
          <w:szCs w:val="36"/>
          <w:rtl/>
        </w:rPr>
        <w:t>: انه بناء على ما مر سابقا من انه لامحذور في الالتزام بوجود واقع نسب ذهني</w:t>
      </w:r>
      <w:r w:rsidR="00EC7EDF" w:rsidRPr="00FD211F">
        <w:rPr>
          <w:sz w:val="36"/>
          <w:szCs w:val="36"/>
          <w:rtl/>
        </w:rPr>
        <w:t xml:space="preserve">ة </w:t>
      </w:r>
      <w:r w:rsidRPr="00FD211F">
        <w:rPr>
          <w:sz w:val="36"/>
          <w:szCs w:val="36"/>
          <w:rtl/>
        </w:rPr>
        <w:t>تصلح للحكاي</w:t>
      </w:r>
      <w:r w:rsidR="00EC7EDF" w:rsidRPr="00FD211F">
        <w:rPr>
          <w:sz w:val="36"/>
          <w:szCs w:val="36"/>
          <w:rtl/>
        </w:rPr>
        <w:t xml:space="preserve">ة </w:t>
      </w:r>
      <w:r w:rsidRPr="00FD211F">
        <w:rPr>
          <w:sz w:val="36"/>
          <w:szCs w:val="36"/>
          <w:rtl/>
        </w:rPr>
        <w:t>عن نسب خارجي</w:t>
      </w:r>
      <w:r w:rsidR="00EC7EDF" w:rsidRPr="00FD211F">
        <w:rPr>
          <w:sz w:val="36"/>
          <w:szCs w:val="36"/>
          <w:rtl/>
        </w:rPr>
        <w:t xml:space="preserve">ة </w:t>
      </w:r>
      <w:r w:rsidRPr="00FD211F">
        <w:rPr>
          <w:sz w:val="36"/>
          <w:szCs w:val="36"/>
          <w:rtl/>
        </w:rPr>
        <w:t>لمسانختها لها كمسانخ</w:t>
      </w:r>
      <w:r w:rsidR="00EC7EDF" w:rsidRPr="00FD211F">
        <w:rPr>
          <w:sz w:val="36"/>
          <w:szCs w:val="36"/>
          <w:rtl/>
        </w:rPr>
        <w:t xml:space="preserve">ة </w:t>
      </w:r>
      <w:r w:rsidRPr="00FD211F">
        <w:rPr>
          <w:sz w:val="36"/>
          <w:szCs w:val="36"/>
          <w:rtl/>
        </w:rPr>
        <w:t>الظل مع ذي الظل</w:t>
      </w:r>
      <w:r w:rsidR="00603323" w:rsidRPr="00FD211F">
        <w:rPr>
          <w:sz w:val="36"/>
          <w:szCs w:val="36"/>
          <w:rtl/>
        </w:rPr>
        <w:t xml:space="preserve">، </w:t>
      </w:r>
      <w:r w:rsidRPr="00FD211F">
        <w:rPr>
          <w:sz w:val="36"/>
          <w:szCs w:val="36"/>
          <w:rtl/>
        </w:rPr>
        <w:t xml:space="preserve">كما في قولنا </w:t>
      </w:r>
      <w:r w:rsidR="000050C4" w:rsidRPr="00FD211F">
        <w:rPr>
          <w:sz w:val="36"/>
          <w:szCs w:val="36"/>
          <w:rtl/>
        </w:rPr>
        <w:t>"</w:t>
      </w:r>
      <w:r w:rsidRPr="00FD211F">
        <w:rPr>
          <w:sz w:val="36"/>
          <w:szCs w:val="36"/>
          <w:rtl/>
        </w:rPr>
        <w:t>زيد في الدار</w:t>
      </w:r>
      <w:r w:rsidR="000050C4" w:rsidRPr="00FD211F">
        <w:rPr>
          <w:sz w:val="36"/>
          <w:szCs w:val="36"/>
          <w:rtl/>
        </w:rPr>
        <w:t>"</w:t>
      </w:r>
      <w:r w:rsidRPr="00FD211F">
        <w:rPr>
          <w:sz w:val="36"/>
          <w:szCs w:val="36"/>
          <w:rtl/>
        </w:rPr>
        <w:t xml:space="preserve"> حيث ذكرنا ان مدلول هذه الجمل</w:t>
      </w:r>
      <w:r w:rsidR="00EC7EDF" w:rsidRPr="00FD211F">
        <w:rPr>
          <w:sz w:val="36"/>
          <w:szCs w:val="36"/>
          <w:rtl/>
        </w:rPr>
        <w:t xml:space="preserve">ة </w:t>
      </w:r>
      <w:r w:rsidRPr="00FD211F">
        <w:rPr>
          <w:sz w:val="36"/>
          <w:szCs w:val="36"/>
          <w:rtl/>
        </w:rPr>
        <w:t>واقع نسب</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مسانخ</w:t>
      </w:r>
      <w:r w:rsidR="00EC7EDF" w:rsidRPr="00FD211F">
        <w:rPr>
          <w:sz w:val="36"/>
          <w:szCs w:val="36"/>
          <w:rtl/>
        </w:rPr>
        <w:t xml:space="preserve">ة </w:t>
      </w:r>
      <w:r w:rsidRPr="00FD211F">
        <w:rPr>
          <w:sz w:val="36"/>
          <w:szCs w:val="36"/>
          <w:rtl/>
        </w:rPr>
        <w:t>للنسب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الخارجي</w:t>
      </w:r>
      <w:r w:rsidR="00EC7EDF" w:rsidRPr="00FD211F">
        <w:rPr>
          <w:sz w:val="36"/>
          <w:szCs w:val="36"/>
          <w:rtl/>
        </w:rPr>
        <w:t>ة</w:t>
      </w:r>
      <w:r w:rsidR="00603323" w:rsidRPr="00FD211F">
        <w:rPr>
          <w:sz w:val="36"/>
          <w:szCs w:val="36"/>
          <w:rtl/>
        </w:rPr>
        <w:t xml:space="preserve">، </w:t>
      </w:r>
      <w:r w:rsidRPr="00FD211F">
        <w:rPr>
          <w:sz w:val="36"/>
          <w:szCs w:val="36"/>
          <w:rtl/>
        </w:rPr>
        <w:t>وهي نسب</w:t>
      </w:r>
      <w:r w:rsidR="00EC7EDF" w:rsidRPr="00FD211F">
        <w:rPr>
          <w:sz w:val="36"/>
          <w:szCs w:val="36"/>
          <w:rtl/>
        </w:rPr>
        <w:t xml:space="preserve">ة </w:t>
      </w:r>
      <w:r w:rsidRPr="00FD211F">
        <w:rPr>
          <w:sz w:val="36"/>
          <w:szCs w:val="36"/>
          <w:rtl/>
        </w:rPr>
        <w:t>تام</w:t>
      </w:r>
      <w:r w:rsidR="00EC7EDF" w:rsidRPr="00FD211F">
        <w:rPr>
          <w:sz w:val="36"/>
          <w:szCs w:val="36"/>
          <w:rtl/>
        </w:rPr>
        <w:t>ة</w:t>
      </w:r>
      <w:r w:rsidR="00603323" w:rsidRPr="00FD211F">
        <w:rPr>
          <w:sz w:val="36"/>
          <w:szCs w:val="36"/>
          <w:rtl/>
        </w:rPr>
        <w:t xml:space="preserve">، </w:t>
      </w:r>
      <w:r w:rsidRPr="00FD211F">
        <w:rPr>
          <w:sz w:val="36"/>
          <w:szCs w:val="36"/>
          <w:rtl/>
        </w:rPr>
        <w:t>فيمكن ان تكون النسب</w:t>
      </w:r>
      <w:r w:rsidR="00EC7EDF" w:rsidRPr="00FD211F">
        <w:rPr>
          <w:sz w:val="36"/>
          <w:szCs w:val="36"/>
          <w:rtl/>
        </w:rPr>
        <w:t xml:space="preserve">ة </w:t>
      </w:r>
      <w:r w:rsidRPr="00FD211F">
        <w:rPr>
          <w:sz w:val="36"/>
          <w:szCs w:val="36"/>
          <w:rtl/>
        </w:rPr>
        <w:t>الاستفهامي</w:t>
      </w:r>
      <w:r w:rsidR="00EC7EDF" w:rsidRPr="00FD211F">
        <w:rPr>
          <w:sz w:val="36"/>
          <w:szCs w:val="36"/>
          <w:rtl/>
        </w:rPr>
        <w:t xml:space="preserve">ة </w:t>
      </w:r>
      <w:r w:rsidRPr="00FD211F">
        <w:rPr>
          <w:sz w:val="36"/>
          <w:szCs w:val="36"/>
          <w:rtl/>
        </w:rPr>
        <w:t>التي يدل عليها جمل</w:t>
      </w:r>
      <w:r w:rsidR="00EC7EDF" w:rsidRPr="00FD211F">
        <w:rPr>
          <w:sz w:val="36"/>
          <w:szCs w:val="36"/>
          <w:rtl/>
        </w:rPr>
        <w:t xml:space="preserve">ة </w:t>
      </w:r>
      <w:r w:rsidRPr="00FD211F">
        <w:rPr>
          <w:sz w:val="36"/>
          <w:szCs w:val="36"/>
          <w:rtl/>
        </w:rPr>
        <w:t>الاستفهام واقع نسب</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مسانخ</w:t>
      </w:r>
      <w:r w:rsidR="00EC7EDF" w:rsidRPr="00FD211F">
        <w:rPr>
          <w:sz w:val="36"/>
          <w:szCs w:val="36"/>
          <w:rtl/>
        </w:rPr>
        <w:t xml:space="preserve">ة </w:t>
      </w:r>
      <w:r w:rsidRPr="00FD211F">
        <w:rPr>
          <w:sz w:val="36"/>
          <w:szCs w:val="36"/>
          <w:rtl/>
        </w:rPr>
        <w:t>للنسب</w:t>
      </w:r>
      <w:r w:rsidR="00EC7EDF" w:rsidRPr="00FD211F">
        <w:rPr>
          <w:sz w:val="36"/>
          <w:szCs w:val="36"/>
          <w:rtl/>
        </w:rPr>
        <w:t xml:space="preserve">ة </w:t>
      </w:r>
      <w:r w:rsidRPr="00FD211F">
        <w:rPr>
          <w:sz w:val="36"/>
          <w:szCs w:val="36"/>
          <w:rtl/>
        </w:rPr>
        <w:t>الاستفهامي</w:t>
      </w:r>
      <w:r w:rsidR="00EC7EDF" w:rsidRPr="00FD211F">
        <w:rPr>
          <w:sz w:val="36"/>
          <w:szCs w:val="36"/>
          <w:rtl/>
        </w:rPr>
        <w:t xml:space="preserve">ة </w:t>
      </w:r>
      <w:r w:rsidRPr="00FD211F">
        <w:rPr>
          <w:sz w:val="36"/>
          <w:szCs w:val="36"/>
          <w:rtl/>
        </w:rPr>
        <w:t>الموجود</w:t>
      </w:r>
      <w:r w:rsidR="00EC7EDF" w:rsidRPr="00FD211F">
        <w:rPr>
          <w:sz w:val="36"/>
          <w:szCs w:val="36"/>
          <w:rtl/>
        </w:rPr>
        <w:t xml:space="preserve">ة </w:t>
      </w:r>
      <w:r w:rsidRPr="00FD211F">
        <w:rPr>
          <w:sz w:val="36"/>
          <w:szCs w:val="36"/>
          <w:rtl/>
        </w:rPr>
        <w:t>في صقع النفس.</w:t>
      </w:r>
    </w:p>
    <w:p w14:paraId="208EB252" w14:textId="77777777" w:rsidR="0014616E" w:rsidRPr="00FD211F" w:rsidRDefault="0014616E" w:rsidP="009C58C8">
      <w:pPr>
        <w:pStyle w:val="a4"/>
        <w:ind w:left="0" w:firstLine="227"/>
        <w:jc w:val="both"/>
        <w:rPr>
          <w:sz w:val="36"/>
          <w:szCs w:val="36"/>
          <w:rtl/>
        </w:rPr>
      </w:pPr>
      <w:r w:rsidRPr="00FD211F">
        <w:rPr>
          <w:b/>
          <w:bCs/>
          <w:sz w:val="36"/>
          <w:szCs w:val="36"/>
          <w:rtl/>
        </w:rPr>
        <w:t>وثالثا</w:t>
      </w:r>
      <w:r w:rsidRPr="00FD211F">
        <w:rPr>
          <w:sz w:val="36"/>
          <w:szCs w:val="36"/>
          <w:rtl/>
        </w:rPr>
        <w:t>: انه لايرى وجه للمنع عن تقيد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بقيد</w:t>
      </w:r>
      <w:r w:rsidR="00603323" w:rsidRPr="00FD211F">
        <w:rPr>
          <w:sz w:val="36"/>
          <w:szCs w:val="36"/>
          <w:rtl/>
        </w:rPr>
        <w:t xml:space="preserve">، </w:t>
      </w:r>
      <w:r w:rsidRPr="00FD211F">
        <w:rPr>
          <w:sz w:val="36"/>
          <w:szCs w:val="36"/>
          <w:rtl/>
        </w:rPr>
        <w:t>كما يقال</w:t>
      </w:r>
      <w:r w:rsidR="00D1071C" w:rsidRPr="00FD211F">
        <w:rPr>
          <w:sz w:val="36"/>
          <w:szCs w:val="36"/>
          <w:rtl/>
        </w:rPr>
        <w:t>"</w:t>
      </w:r>
      <w:r w:rsidRPr="00FD211F">
        <w:rPr>
          <w:sz w:val="36"/>
          <w:szCs w:val="36"/>
          <w:rtl/>
        </w:rPr>
        <w:t xml:space="preserve"> هذا حجر في نظر زيد</w:t>
      </w:r>
      <w:r w:rsidR="00D1071C" w:rsidRPr="00FD211F">
        <w:rPr>
          <w:sz w:val="36"/>
          <w:szCs w:val="36"/>
          <w:rtl/>
        </w:rPr>
        <w:t>"</w:t>
      </w:r>
      <w:r w:rsidRPr="00FD211F">
        <w:rPr>
          <w:sz w:val="36"/>
          <w:szCs w:val="36"/>
          <w:rtl/>
        </w:rPr>
        <w:t xml:space="preserve"> وفي المقام ايضا تكون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في الجمل</w:t>
      </w:r>
      <w:r w:rsidR="00EC7EDF" w:rsidRPr="00FD211F">
        <w:rPr>
          <w:sz w:val="36"/>
          <w:szCs w:val="36"/>
          <w:rtl/>
        </w:rPr>
        <w:t xml:space="preserve">ة </w:t>
      </w:r>
      <w:r w:rsidRPr="00FD211F">
        <w:rPr>
          <w:sz w:val="36"/>
          <w:szCs w:val="36"/>
          <w:rtl/>
        </w:rPr>
        <w:t>المدخول</w:t>
      </w:r>
      <w:r w:rsidR="00EC7EDF" w:rsidRPr="00FD211F">
        <w:rPr>
          <w:sz w:val="36"/>
          <w:szCs w:val="36"/>
          <w:rtl/>
        </w:rPr>
        <w:t xml:space="preserve">ة </w:t>
      </w:r>
      <w:r w:rsidRPr="00FD211F">
        <w:rPr>
          <w:sz w:val="36"/>
          <w:szCs w:val="36"/>
          <w:rtl/>
        </w:rPr>
        <w:t>لأدا</w:t>
      </w:r>
      <w:r w:rsidR="00EC7EDF" w:rsidRPr="00FD211F">
        <w:rPr>
          <w:sz w:val="36"/>
          <w:szCs w:val="36"/>
          <w:rtl/>
        </w:rPr>
        <w:t xml:space="preserve">ة </w:t>
      </w:r>
      <w:r w:rsidRPr="00FD211F">
        <w:rPr>
          <w:sz w:val="36"/>
          <w:szCs w:val="36"/>
          <w:rtl/>
        </w:rPr>
        <w:t>الاستفهام مقيد</w:t>
      </w:r>
      <w:r w:rsidR="00EC7EDF" w:rsidRPr="00FD211F">
        <w:rPr>
          <w:sz w:val="36"/>
          <w:szCs w:val="36"/>
          <w:rtl/>
        </w:rPr>
        <w:t xml:space="preserve">ة </w:t>
      </w:r>
      <w:r w:rsidRPr="00FD211F">
        <w:rPr>
          <w:sz w:val="36"/>
          <w:szCs w:val="36"/>
          <w:rtl/>
        </w:rPr>
        <w:t>بخصوصي</w:t>
      </w:r>
      <w:r w:rsidR="00EC7EDF" w:rsidRPr="00FD211F">
        <w:rPr>
          <w:sz w:val="36"/>
          <w:szCs w:val="36"/>
          <w:rtl/>
        </w:rPr>
        <w:t xml:space="preserve">ة </w:t>
      </w:r>
      <w:r w:rsidRPr="00FD211F">
        <w:rPr>
          <w:sz w:val="36"/>
          <w:szCs w:val="36"/>
          <w:rtl/>
        </w:rPr>
        <w:t>كونها مستفهما عنها.</w:t>
      </w:r>
    </w:p>
    <w:p w14:paraId="1D5BC0BE" w14:textId="77777777" w:rsidR="00556BC0" w:rsidRPr="00FD211F" w:rsidRDefault="0014616E" w:rsidP="005946E3">
      <w:pPr>
        <w:ind w:left="0" w:firstLine="227"/>
        <w:jc w:val="both"/>
        <w:rPr>
          <w:sz w:val="36"/>
          <w:szCs w:val="36"/>
          <w:rtl/>
        </w:rPr>
      </w:pPr>
      <w:r w:rsidRPr="00FD211F">
        <w:rPr>
          <w:sz w:val="36"/>
          <w:szCs w:val="36"/>
          <w:rtl/>
        </w:rPr>
        <w:t>ولايخفى ان المحقق الاصفهاني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000050C4" w:rsidRPr="00FD211F">
        <w:rPr>
          <w:sz w:val="36"/>
          <w:szCs w:val="36"/>
          <w:rtl/>
        </w:rPr>
        <w:t>لايدعي ان طرف ا</w:t>
      </w:r>
      <w:r w:rsidRPr="00FD211F">
        <w:rPr>
          <w:sz w:val="36"/>
          <w:szCs w:val="36"/>
          <w:rtl/>
        </w:rPr>
        <w:t>لنسب</w:t>
      </w:r>
      <w:r w:rsidR="00EC7EDF" w:rsidRPr="00FD211F">
        <w:rPr>
          <w:sz w:val="36"/>
          <w:szCs w:val="36"/>
          <w:rtl/>
        </w:rPr>
        <w:t xml:space="preserve">ة </w:t>
      </w:r>
      <w:r w:rsidRPr="00FD211F">
        <w:rPr>
          <w:sz w:val="36"/>
          <w:szCs w:val="36"/>
          <w:rtl/>
        </w:rPr>
        <w:t>الاستفهامي</w:t>
      </w:r>
      <w:r w:rsidR="00EC7EDF" w:rsidRPr="00FD211F">
        <w:rPr>
          <w:sz w:val="36"/>
          <w:szCs w:val="36"/>
          <w:rtl/>
        </w:rPr>
        <w:t xml:space="preserve">ة </w:t>
      </w:r>
      <w:r w:rsidRPr="00FD211F">
        <w:rPr>
          <w:sz w:val="36"/>
          <w:szCs w:val="36"/>
          <w:rtl/>
        </w:rPr>
        <w:t>هو المفهوم الإسمي للمستفه</w:t>
      </w:r>
      <w:r w:rsidR="000050C4" w:rsidRPr="00FD211F">
        <w:rPr>
          <w:sz w:val="36"/>
          <w:szCs w:val="36"/>
          <w:rtl/>
        </w:rPr>
        <w:t>ِ</w:t>
      </w:r>
      <w:r w:rsidRPr="00FD211F">
        <w:rPr>
          <w:sz w:val="36"/>
          <w:szCs w:val="36"/>
          <w:rtl/>
        </w:rPr>
        <w:t>م</w:t>
      </w:r>
      <w:r w:rsidR="00603323" w:rsidRPr="00FD211F">
        <w:rPr>
          <w:sz w:val="36"/>
          <w:szCs w:val="36"/>
          <w:rtl/>
        </w:rPr>
        <w:t xml:space="preserve">، </w:t>
      </w:r>
      <w:r w:rsidRPr="00FD211F">
        <w:rPr>
          <w:sz w:val="36"/>
          <w:szCs w:val="36"/>
          <w:rtl/>
        </w:rPr>
        <w:t xml:space="preserve">وانما هو </w:t>
      </w:r>
      <w:r w:rsidR="009E0470" w:rsidRPr="00FD211F">
        <w:rPr>
          <w:sz w:val="36"/>
          <w:szCs w:val="36"/>
          <w:rtl/>
        </w:rPr>
        <w:t xml:space="preserve">مصداق </w:t>
      </w:r>
      <w:r w:rsidRPr="00FD211F">
        <w:rPr>
          <w:sz w:val="36"/>
          <w:szCs w:val="36"/>
          <w:rtl/>
        </w:rPr>
        <w:t>المستفه</w:t>
      </w:r>
      <w:r w:rsidR="000050C4" w:rsidRPr="00FD211F">
        <w:rPr>
          <w:sz w:val="36"/>
          <w:szCs w:val="36"/>
          <w:rtl/>
        </w:rPr>
        <w:t>ِ</w:t>
      </w:r>
      <w:r w:rsidRPr="00FD211F">
        <w:rPr>
          <w:sz w:val="36"/>
          <w:szCs w:val="36"/>
          <w:rtl/>
        </w:rPr>
        <w:t>م (او فقل</w:t>
      </w:r>
      <w:r w:rsidR="009E0470" w:rsidRPr="00FD211F">
        <w:rPr>
          <w:sz w:val="36"/>
          <w:szCs w:val="36"/>
          <w:rtl/>
        </w:rPr>
        <w:t>:</w:t>
      </w:r>
      <w:r w:rsidRPr="00FD211F">
        <w:rPr>
          <w:sz w:val="36"/>
          <w:szCs w:val="36"/>
          <w:rtl/>
        </w:rPr>
        <w:t xml:space="preserve"> صور</w:t>
      </w:r>
      <w:r w:rsidR="00EC7EDF" w:rsidRPr="00FD211F">
        <w:rPr>
          <w:sz w:val="36"/>
          <w:szCs w:val="36"/>
          <w:rtl/>
        </w:rPr>
        <w:t xml:space="preserve">ة </w:t>
      </w:r>
      <w:r w:rsidR="009E0470" w:rsidRPr="00FD211F">
        <w:rPr>
          <w:sz w:val="36"/>
          <w:szCs w:val="36"/>
          <w:rtl/>
        </w:rPr>
        <w:t>مصداق</w:t>
      </w:r>
      <w:r w:rsidR="00C7588D" w:rsidRPr="00FD211F">
        <w:rPr>
          <w:sz w:val="36"/>
          <w:szCs w:val="36"/>
          <w:rtl/>
        </w:rPr>
        <w:t xml:space="preserve"> </w:t>
      </w:r>
      <w:r w:rsidRPr="00FD211F">
        <w:rPr>
          <w:sz w:val="36"/>
          <w:szCs w:val="36"/>
          <w:rtl/>
        </w:rPr>
        <w:t>المستفهم</w:t>
      </w:r>
      <w:r w:rsidR="00603323" w:rsidRPr="00FD211F">
        <w:rPr>
          <w:sz w:val="36"/>
          <w:szCs w:val="36"/>
          <w:rtl/>
        </w:rPr>
        <w:t xml:space="preserve">، </w:t>
      </w:r>
      <w:r w:rsidR="009E0470" w:rsidRPr="00FD211F">
        <w:rPr>
          <w:sz w:val="36"/>
          <w:szCs w:val="36"/>
          <w:rtl/>
        </w:rPr>
        <w:t>كمايتضح وجهه ممامر في توضيح كلام المحقق العراقي "قده"</w:t>
      </w:r>
      <w:r w:rsidRPr="00FD211F">
        <w:rPr>
          <w:sz w:val="36"/>
          <w:szCs w:val="36"/>
          <w:rtl/>
        </w:rPr>
        <w:t>)</w:t>
      </w:r>
      <w:r w:rsidR="00603323" w:rsidRPr="00FD211F">
        <w:rPr>
          <w:sz w:val="36"/>
          <w:szCs w:val="36"/>
          <w:rtl/>
        </w:rPr>
        <w:t xml:space="preserve">، </w:t>
      </w:r>
      <w:r w:rsidRPr="00FD211F">
        <w:rPr>
          <w:sz w:val="36"/>
          <w:szCs w:val="36"/>
          <w:rtl/>
        </w:rPr>
        <w:t>كما ان المحقق العراقي</w:t>
      </w:r>
      <w:r w:rsidR="000050C4" w:rsidRPr="00FD211F">
        <w:rPr>
          <w:sz w:val="36"/>
          <w:szCs w:val="36"/>
          <w:rtl/>
        </w:rPr>
        <w:t>"قده" ادعى أ</w:t>
      </w:r>
      <w:r w:rsidRPr="00FD211F">
        <w:rPr>
          <w:sz w:val="36"/>
          <w:szCs w:val="36"/>
          <w:rtl/>
        </w:rPr>
        <w:t>ن</w:t>
      </w:r>
      <w:r w:rsidR="000050C4" w:rsidRPr="00FD211F">
        <w:rPr>
          <w:sz w:val="36"/>
          <w:szCs w:val="36"/>
          <w:rtl/>
        </w:rPr>
        <w:t xml:space="preserve"> طرف النسب</w:t>
      </w:r>
      <w:r w:rsidR="00EC7EDF" w:rsidRPr="00FD211F">
        <w:rPr>
          <w:sz w:val="36"/>
          <w:szCs w:val="36"/>
          <w:rtl/>
        </w:rPr>
        <w:t xml:space="preserve">ة </w:t>
      </w:r>
      <w:r w:rsidR="00851E58" w:rsidRPr="00FD211F">
        <w:rPr>
          <w:sz w:val="36"/>
          <w:szCs w:val="36"/>
          <w:rtl/>
        </w:rPr>
        <w:t>في جمل</w:t>
      </w:r>
      <w:r w:rsidR="00EC7EDF" w:rsidRPr="00FD211F">
        <w:rPr>
          <w:sz w:val="36"/>
          <w:szCs w:val="36"/>
          <w:rtl/>
        </w:rPr>
        <w:t xml:space="preserve">ة </w:t>
      </w:r>
      <w:r w:rsidR="00851E58" w:rsidRPr="00FD211F">
        <w:rPr>
          <w:sz w:val="36"/>
          <w:szCs w:val="36"/>
          <w:rtl/>
        </w:rPr>
        <w:t>الاستفهام</w:t>
      </w:r>
      <w:r w:rsidR="00B253CE" w:rsidRPr="00FD211F">
        <w:rPr>
          <w:sz w:val="36"/>
          <w:szCs w:val="36"/>
          <w:rtl/>
        </w:rPr>
        <w:t xml:space="preserve"> </w:t>
      </w:r>
      <w:r w:rsidR="000050C4" w:rsidRPr="00FD211F">
        <w:rPr>
          <w:sz w:val="36"/>
          <w:szCs w:val="36"/>
          <w:rtl/>
        </w:rPr>
        <w:t xml:space="preserve">هو </w:t>
      </w:r>
      <w:r w:rsidRPr="00FD211F">
        <w:rPr>
          <w:sz w:val="36"/>
          <w:szCs w:val="36"/>
          <w:rtl/>
        </w:rPr>
        <w:t>صور</w:t>
      </w:r>
      <w:r w:rsidR="00EC7EDF" w:rsidRPr="00FD211F">
        <w:rPr>
          <w:sz w:val="36"/>
          <w:szCs w:val="36"/>
          <w:rtl/>
        </w:rPr>
        <w:t xml:space="preserve">ة </w:t>
      </w:r>
      <w:r w:rsidRPr="00FD211F">
        <w:rPr>
          <w:sz w:val="36"/>
          <w:szCs w:val="36"/>
          <w:rtl/>
        </w:rPr>
        <w:t>مصداق الاستفهام</w:t>
      </w:r>
      <w:r w:rsidR="00603323" w:rsidRPr="00FD211F">
        <w:rPr>
          <w:sz w:val="36"/>
          <w:szCs w:val="36"/>
          <w:rtl/>
        </w:rPr>
        <w:t xml:space="preserve">، </w:t>
      </w:r>
      <w:r w:rsidR="00851E58" w:rsidRPr="00FD211F">
        <w:rPr>
          <w:sz w:val="36"/>
          <w:szCs w:val="36"/>
          <w:rtl/>
        </w:rPr>
        <w:t>فمانسبه اليه في البحوث من أنه يرى أن طرف النسب</w:t>
      </w:r>
      <w:r w:rsidR="00EC7EDF" w:rsidRPr="00FD211F">
        <w:rPr>
          <w:sz w:val="36"/>
          <w:szCs w:val="36"/>
          <w:rtl/>
        </w:rPr>
        <w:t xml:space="preserve">ة </w:t>
      </w:r>
      <w:r w:rsidR="00851E58" w:rsidRPr="00FD211F">
        <w:rPr>
          <w:sz w:val="36"/>
          <w:szCs w:val="36"/>
          <w:rtl/>
        </w:rPr>
        <w:t>مفهوم الاستفهام في غير محله</w:t>
      </w:r>
      <w:r w:rsidR="00EC7EDF" w:rsidRPr="00FD211F">
        <w:rPr>
          <w:sz w:val="36"/>
          <w:szCs w:val="36"/>
          <w:rtl/>
        </w:rPr>
        <w:t>.</w:t>
      </w:r>
    </w:p>
    <w:p w14:paraId="63FE0167" w14:textId="77777777" w:rsidR="000C5BBA" w:rsidRPr="00FD211F" w:rsidRDefault="00556BC0" w:rsidP="009C58C8">
      <w:pPr>
        <w:ind w:left="0" w:firstLine="227"/>
        <w:jc w:val="both"/>
        <w:rPr>
          <w:sz w:val="36"/>
          <w:szCs w:val="36"/>
          <w:rtl/>
        </w:rPr>
      </w:pPr>
      <w:bookmarkStart w:id="235" w:name="درس094"/>
      <w:bookmarkEnd w:id="235"/>
      <w:r w:rsidRPr="00FD211F">
        <w:rPr>
          <w:b/>
          <w:bCs/>
          <w:sz w:val="36"/>
          <w:szCs w:val="36"/>
          <w:rtl/>
        </w:rPr>
        <w:t>الوجه الرابع</w:t>
      </w:r>
      <w:r w:rsidRPr="00FD211F">
        <w:rPr>
          <w:sz w:val="36"/>
          <w:szCs w:val="36"/>
          <w:rtl/>
        </w:rPr>
        <w:t>: ما ذكره في البحوث من ان الصحيح في مفاد جمل التمني والترجي والاستفه</w:t>
      </w:r>
      <w:r w:rsidR="00851E58" w:rsidRPr="00FD211F">
        <w:rPr>
          <w:sz w:val="36"/>
          <w:szCs w:val="36"/>
          <w:rtl/>
        </w:rPr>
        <w:t>ام وصيغ</w:t>
      </w:r>
      <w:r w:rsidR="00EC7EDF" w:rsidRPr="00FD211F">
        <w:rPr>
          <w:sz w:val="36"/>
          <w:szCs w:val="36"/>
          <w:rtl/>
        </w:rPr>
        <w:t xml:space="preserve">ة </w:t>
      </w:r>
      <w:r w:rsidR="00851E58" w:rsidRPr="00FD211F">
        <w:rPr>
          <w:sz w:val="36"/>
          <w:szCs w:val="36"/>
          <w:rtl/>
        </w:rPr>
        <w:t>الأمر ونحوها هو أ</w:t>
      </w:r>
      <w:r w:rsidRPr="00FD211F">
        <w:rPr>
          <w:sz w:val="36"/>
          <w:szCs w:val="36"/>
          <w:rtl/>
        </w:rPr>
        <w:t>ن</w:t>
      </w:r>
      <w:r w:rsidR="00851E58" w:rsidRPr="00FD211F">
        <w:rPr>
          <w:sz w:val="36"/>
          <w:szCs w:val="36"/>
          <w:rtl/>
        </w:rPr>
        <w:t>ّ</w:t>
      </w:r>
      <w:r w:rsidRPr="00FD211F">
        <w:rPr>
          <w:sz w:val="36"/>
          <w:szCs w:val="36"/>
          <w:rtl/>
        </w:rPr>
        <w:t xml:space="preserve"> مفادها تعيين الوعاء والموطن الذي يرى </w:t>
      </w:r>
      <w:r w:rsidR="00851E58" w:rsidRPr="00FD211F">
        <w:rPr>
          <w:sz w:val="36"/>
          <w:szCs w:val="36"/>
          <w:rtl/>
        </w:rPr>
        <w:t xml:space="preserve">بالنظر التصوري العرفي </w:t>
      </w:r>
      <w:r w:rsidRPr="00FD211F">
        <w:rPr>
          <w:sz w:val="36"/>
          <w:szCs w:val="36"/>
          <w:rtl/>
        </w:rPr>
        <w:t>تصادق الموضوع والمحمول فيه</w:t>
      </w:r>
      <w:r w:rsidR="00603323" w:rsidRPr="00FD211F">
        <w:rPr>
          <w:sz w:val="36"/>
          <w:szCs w:val="36"/>
          <w:rtl/>
        </w:rPr>
        <w:t xml:space="preserve">، </w:t>
      </w:r>
      <w:r w:rsidRPr="00FD211F">
        <w:rPr>
          <w:sz w:val="36"/>
          <w:szCs w:val="36"/>
          <w:rtl/>
        </w:rPr>
        <w:t>فانه لو قيل "زيد قائم" فمفاده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بينهما في عالم التحقق</w:t>
      </w:r>
      <w:r w:rsidR="00603323" w:rsidRPr="00FD211F">
        <w:rPr>
          <w:sz w:val="36"/>
          <w:szCs w:val="36"/>
          <w:rtl/>
        </w:rPr>
        <w:t xml:space="preserve">، </w:t>
      </w:r>
      <w:r w:rsidRPr="00FD211F">
        <w:rPr>
          <w:sz w:val="36"/>
          <w:szCs w:val="36"/>
          <w:rtl/>
        </w:rPr>
        <w:t xml:space="preserve">واما قولنا </w:t>
      </w:r>
      <w:r w:rsidR="00DA6B1E" w:rsidRPr="00FD211F">
        <w:rPr>
          <w:sz w:val="36"/>
          <w:szCs w:val="36"/>
          <w:rtl/>
        </w:rPr>
        <w:t>"</w:t>
      </w:r>
      <w:r w:rsidRPr="00FD211F">
        <w:rPr>
          <w:sz w:val="36"/>
          <w:szCs w:val="36"/>
          <w:rtl/>
        </w:rPr>
        <w:t>ليت زيدا قائم</w:t>
      </w:r>
      <w:r w:rsidR="00DA6B1E" w:rsidRPr="00FD211F">
        <w:rPr>
          <w:sz w:val="36"/>
          <w:szCs w:val="36"/>
          <w:rtl/>
        </w:rPr>
        <w:t>"</w:t>
      </w:r>
      <w:r w:rsidRPr="00FD211F">
        <w:rPr>
          <w:sz w:val="36"/>
          <w:szCs w:val="36"/>
          <w:rtl/>
        </w:rPr>
        <w:t xml:space="preserve"> فمفاده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بينهما في عالم التمني</w:t>
      </w:r>
      <w:r w:rsidR="00603323" w:rsidRPr="00FD211F">
        <w:rPr>
          <w:sz w:val="36"/>
          <w:szCs w:val="36"/>
          <w:rtl/>
        </w:rPr>
        <w:t xml:space="preserve">، </w:t>
      </w:r>
      <w:r w:rsidRPr="00FD211F">
        <w:rPr>
          <w:sz w:val="36"/>
          <w:szCs w:val="36"/>
          <w:rtl/>
        </w:rPr>
        <w:t>وكذا مفاد ادا</w:t>
      </w:r>
      <w:r w:rsidR="00EC7EDF" w:rsidRPr="00FD211F">
        <w:rPr>
          <w:sz w:val="36"/>
          <w:szCs w:val="36"/>
          <w:rtl/>
        </w:rPr>
        <w:t xml:space="preserve">ة </w:t>
      </w:r>
      <w:r w:rsidRPr="00FD211F">
        <w:rPr>
          <w:sz w:val="36"/>
          <w:szCs w:val="36"/>
          <w:rtl/>
        </w:rPr>
        <w:t>الاستفهام او هيئ</w:t>
      </w:r>
      <w:r w:rsidR="00EC7EDF" w:rsidRPr="00FD211F">
        <w:rPr>
          <w:sz w:val="36"/>
          <w:szCs w:val="36"/>
          <w:rtl/>
        </w:rPr>
        <w:t xml:space="preserve">ة </w:t>
      </w:r>
      <w:r w:rsidRPr="00FD211F">
        <w:rPr>
          <w:sz w:val="36"/>
          <w:szCs w:val="36"/>
          <w:rtl/>
        </w:rPr>
        <w:t>جمل</w:t>
      </w:r>
      <w:r w:rsidR="00EC7EDF" w:rsidRPr="00FD211F">
        <w:rPr>
          <w:sz w:val="36"/>
          <w:szCs w:val="36"/>
          <w:rtl/>
        </w:rPr>
        <w:t xml:space="preserve">ة </w:t>
      </w:r>
      <w:r w:rsidRPr="00FD211F">
        <w:rPr>
          <w:sz w:val="36"/>
          <w:szCs w:val="36"/>
          <w:rtl/>
        </w:rPr>
        <w:t xml:space="preserve">الاستفهام في قولنا </w:t>
      </w:r>
      <w:r w:rsidR="00DA6B1E" w:rsidRPr="00FD211F">
        <w:rPr>
          <w:sz w:val="36"/>
          <w:szCs w:val="36"/>
          <w:rtl/>
        </w:rPr>
        <w:t>"</w:t>
      </w:r>
      <w:r w:rsidRPr="00FD211F">
        <w:rPr>
          <w:sz w:val="36"/>
          <w:szCs w:val="36"/>
          <w:rtl/>
        </w:rPr>
        <w:t xml:space="preserve">هل زيد قائم </w:t>
      </w:r>
      <w:r w:rsidR="00DA6B1E" w:rsidRPr="00FD211F">
        <w:rPr>
          <w:sz w:val="36"/>
          <w:szCs w:val="36"/>
          <w:rtl/>
        </w:rPr>
        <w:t>"</w:t>
      </w:r>
      <w:r w:rsidRPr="00FD211F">
        <w:rPr>
          <w:sz w:val="36"/>
          <w:szCs w:val="36"/>
          <w:rtl/>
        </w:rPr>
        <w:t>هو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بينهما بنحو يرى تصادقهما في عالم الاستفهام</w:t>
      </w:r>
      <w:r w:rsidR="00603323" w:rsidRPr="00FD211F">
        <w:rPr>
          <w:sz w:val="36"/>
          <w:szCs w:val="36"/>
          <w:rtl/>
        </w:rPr>
        <w:t xml:space="preserve">، </w:t>
      </w:r>
      <w:r w:rsidRPr="00FD211F">
        <w:rPr>
          <w:sz w:val="36"/>
          <w:szCs w:val="36"/>
          <w:rtl/>
        </w:rPr>
        <w:t>فاذا قيل في جوابه "نعم" مثلا فهو بمنزل</w:t>
      </w:r>
      <w:r w:rsidR="00EC7EDF" w:rsidRPr="00FD211F">
        <w:rPr>
          <w:sz w:val="36"/>
          <w:szCs w:val="36"/>
          <w:rtl/>
        </w:rPr>
        <w:t xml:space="preserve">ة </w:t>
      </w:r>
      <w:r w:rsidRPr="00FD211F">
        <w:rPr>
          <w:sz w:val="36"/>
          <w:szCs w:val="36"/>
          <w:rtl/>
        </w:rPr>
        <w:t>تكرار الجمل</w:t>
      </w:r>
      <w:r w:rsidR="00EC7EDF" w:rsidRPr="00FD211F">
        <w:rPr>
          <w:sz w:val="36"/>
          <w:szCs w:val="36"/>
          <w:rtl/>
        </w:rPr>
        <w:t xml:space="preserve">ة </w:t>
      </w:r>
      <w:r w:rsidRPr="00FD211F">
        <w:rPr>
          <w:sz w:val="36"/>
          <w:szCs w:val="36"/>
          <w:rtl/>
        </w:rPr>
        <w:t>المدخول</w:t>
      </w:r>
      <w:r w:rsidR="00EC7EDF" w:rsidRPr="00FD211F">
        <w:rPr>
          <w:sz w:val="36"/>
          <w:szCs w:val="36"/>
          <w:rtl/>
        </w:rPr>
        <w:t xml:space="preserve">ة </w:t>
      </w:r>
      <w:r w:rsidRPr="00FD211F">
        <w:rPr>
          <w:sz w:val="36"/>
          <w:szCs w:val="36"/>
          <w:rtl/>
        </w:rPr>
        <w:t>لأدا</w:t>
      </w:r>
      <w:r w:rsidR="00EC7EDF" w:rsidRPr="00FD211F">
        <w:rPr>
          <w:sz w:val="36"/>
          <w:szCs w:val="36"/>
          <w:rtl/>
        </w:rPr>
        <w:t xml:space="preserve">ة </w:t>
      </w:r>
      <w:r w:rsidRPr="00FD211F">
        <w:rPr>
          <w:sz w:val="36"/>
          <w:szCs w:val="36"/>
          <w:rtl/>
        </w:rPr>
        <w:t>الاستفهام بتمامها غير انها يبدل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عن وعاء الاستفهام الى وعاء التحقق</w:t>
      </w:r>
      <w:r w:rsidR="00603323" w:rsidRPr="00FD211F">
        <w:rPr>
          <w:sz w:val="36"/>
          <w:szCs w:val="36"/>
          <w:rtl/>
        </w:rPr>
        <w:t xml:space="preserve">، </w:t>
      </w:r>
      <w:r w:rsidRPr="00FD211F">
        <w:rPr>
          <w:sz w:val="36"/>
          <w:szCs w:val="36"/>
          <w:rtl/>
        </w:rPr>
        <w:t xml:space="preserve">وهذا لاينافي ان ظاهر </w:t>
      </w:r>
      <w:r w:rsidR="009D571F" w:rsidRPr="00FD211F">
        <w:rPr>
          <w:sz w:val="36"/>
          <w:szCs w:val="36"/>
          <w:rtl/>
        </w:rPr>
        <w:t>"نعم"</w:t>
      </w:r>
      <w:r w:rsidRPr="00FD211F">
        <w:rPr>
          <w:sz w:val="36"/>
          <w:szCs w:val="36"/>
          <w:rtl/>
        </w:rPr>
        <w:t xml:space="preserve"> هو تكرار معنى مدخول ادا</w:t>
      </w:r>
      <w:r w:rsidR="00EC7EDF" w:rsidRPr="00FD211F">
        <w:rPr>
          <w:sz w:val="36"/>
          <w:szCs w:val="36"/>
          <w:rtl/>
        </w:rPr>
        <w:t xml:space="preserve">ة </w:t>
      </w:r>
      <w:r w:rsidRPr="00FD211F">
        <w:rPr>
          <w:sz w:val="36"/>
          <w:szCs w:val="36"/>
          <w:rtl/>
        </w:rPr>
        <w:t>الاستفهام بعينه</w:t>
      </w:r>
      <w:r w:rsidR="00603323" w:rsidRPr="00FD211F">
        <w:rPr>
          <w:sz w:val="36"/>
          <w:szCs w:val="36"/>
          <w:rtl/>
        </w:rPr>
        <w:t xml:space="preserve">، </w:t>
      </w:r>
      <w:r w:rsidRPr="00FD211F">
        <w:rPr>
          <w:sz w:val="36"/>
          <w:szCs w:val="36"/>
          <w:rtl/>
        </w:rPr>
        <w:t>فان معناه ذات النسب</w:t>
      </w:r>
      <w:r w:rsidR="00EC7EDF" w:rsidRPr="00FD211F">
        <w:rPr>
          <w:sz w:val="36"/>
          <w:szCs w:val="36"/>
          <w:rtl/>
        </w:rPr>
        <w:t xml:space="preserve">ة </w:t>
      </w:r>
      <w:r w:rsidRPr="00FD211F">
        <w:rPr>
          <w:sz w:val="36"/>
          <w:szCs w:val="36"/>
          <w:rtl/>
        </w:rPr>
        <w:t>التصادقي</w:t>
      </w:r>
      <w:r w:rsidR="00EC7EDF" w:rsidRPr="00FD211F">
        <w:rPr>
          <w:sz w:val="36"/>
          <w:szCs w:val="36"/>
          <w:rtl/>
        </w:rPr>
        <w:t>ة</w:t>
      </w:r>
      <w:r w:rsidR="00603323" w:rsidRPr="00FD211F">
        <w:rPr>
          <w:sz w:val="36"/>
          <w:szCs w:val="36"/>
          <w:rtl/>
        </w:rPr>
        <w:t xml:space="preserve">، </w:t>
      </w:r>
      <w:r w:rsidRPr="00FD211F">
        <w:rPr>
          <w:sz w:val="36"/>
          <w:szCs w:val="36"/>
          <w:rtl/>
        </w:rPr>
        <w:t>وانما استفيد وعاء الاستفهام من الأدا</w:t>
      </w:r>
      <w:r w:rsidR="00EC7EDF" w:rsidRPr="00FD211F">
        <w:rPr>
          <w:sz w:val="36"/>
          <w:szCs w:val="36"/>
          <w:rtl/>
        </w:rPr>
        <w:t xml:space="preserve">ة </w:t>
      </w:r>
      <w:r w:rsidRPr="00FD211F">
        <w:rPr>
          <w:sz w:val="36"/>
          <w:szCs w:val="36"/>
          <w:rtl/>
        </w:rPr>
        <w:t>بنحو تعدد الدال والمدلول</w:t>
      </w:r>
      <w:r w:rsidR="00603323" w:rsidRPr="00FD211F">
        <w:rPr>
          <w:sz w:val="36"/>
          <w:szCs w:val="36"/>
          <w:rtl/>
        </w:rPr>
        <w:t xml:space="preserve">، </w:t>
      </w:r>
      <w:r w:rsidRPr="00FD211F">
        <w:rPr>
          <w:sz w:val="36"/>
          <w:szCs w:val="36"/>
          <w:rtl/>
        </w:rPr>
        <w:t>وهكذا صيغ</w:t>
      </w:r>
      <w:r w:rsidR="00EC7EDF" w:rsidRPr="00FD211F">
        <w:rPr>
          <w:sz w:val="36"/>
          <w:szCs w:val="36"/>
          <w:rtl/>
        </w:rPr>
        <w:t xml:space="preserve">ة </w:t>
      </w:r>
      <w:r w:rsidRPr="00FD211F">
        <w:rPr>
          <w:sz w:val="36"/>
          <w:szCs w:val="36"/>
          <w:rtl/>
        </w:rPr>
        <w:t>الأمر يكون مفادها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 ا</w:t>
      </w:r>
      <w:r w:rsidR="00851E58" w:rsidRPr="00FD211F">
        <w:rPr>
          <w:sz w:val="36"/>
          <w:szCs w:val="36"/>
          <w:rtl/>
        </w:rPr>
        <w:t>لفعل وبين المخاطب في عالم الطلب.</w:t>
      </w:r>
    </w:p>
    <w:p w14:paraId="2288B818" w14:textId="77777777" w:rsidR="00556BC0" w:rsidRPr="00FD211F" w:rsidRDefault="00851E58" w:rsidP="005946E3">
      <w:pPr>
        <w:ind w:left="0" w:firstLine="227"/>
        <w:jc w:val="both"/>
        <w:rPr>
          <w:sz w:val="36"/>
          <w:szCs w:val="36"/>
          <w:rtl/>
        </w:rPr>
      </w:pPr>
      <w:r w:rsidRPr="00FD211F">
        <w:rPr>
          <w:sz w:val="36"/>
          <w:szCs w:val="36"/>
          <w:rtl/>
        </w:rPr>
        <w:t>هذاو</w:t>
      </w:r>
      <w:r w:rsidR="00556BC0" w:rsidRPr="00FD211F">
        <w:rPr>
          <w:sz w:val="36"/>
          <w:szCs w:val="36"/>
          <w:rtl/>
        </w:rPr>
        <w:t>يظهر منه</w:t>
      </w:r>
      <w:r w:rsidR="007A4A0D" w:rsidRPr="00FD211F">
        <w:rPr>
          <w:sz w:val="36"/>
          <w:szCs w:val="36"/>
          <w:rtl/>
        </w:rPr>
        <w:t xml:space="preserve"> </w:t>
      </w:r>
      <w:r w:rsidR="005946E3" w:rsidRPr="00FD211F">
        <w:rPr>
          <w:sz w:val="36"/>
          <w:szCs w:val="36"/>
          <w:rtl/>
        </w:rPr>
        <w:t>"قده"</w:t>
      </w:r>
      <w:r w:rsidR="007A4A0D" w:rsidRPr="00FD211F">
        <w:rPr>
          <w:sz w:val="36"/>
          <w:szCs w:val="36"/>
          <w:rtl/>
        </w:rPr>
        <w:t xml:space="preserve"> </w:t>
      </w:r>
      <w:r w:rsidR="00556BC0" w:rsidRPr="00FD211F">
        <w:rPr>
          <w:sz w:val="36"/>
          <w:szCs w:val="36"/>
          <w:rtl/>
        </w:rPr>
        <w:t>انه لو كانت الجمل</w:t>
      </w:r>
      <w:r w:rsidR="00EC7EDF" w:rsidRPr="00FD211F">
        <w:rPr>
          <w:sz w:val="36"/>
          <w:szCs w:val="36"/>
          <w:rtl/>
        </w:rPr>
        <w:t xml:space="preserve">ة </w:t>
      </w:r>
      <w:r w:rsidR="00556BC0" w:rsidRPr="00FD211F">
        <w:rPr>
          <w:sz w:val="36"/>
          <w:szCs w:val="36"/>
          <w:rtl/>
        </w:rPr>
        <w:t>الإنشائي</w:t>
      </w:r>
      <w:r w:rsidR="00EC7EDF" w:rsidRPr="00FD211F">
        <w:rPr>
          <w:sz w:val="36"/>
          <w:szCs w:val="36"/>
          <w:rtl/>
        </w:rPr>
        <w:t xml:space="preserve">ة </w:t>
      </w:r>
      <w:r w:rsidR="00556BC0" w:rsidRPr="00FD211F">
        <w:rPr>
          <w:sz w:val="36"/>
          <w:szCs w:val="36"/>
          <w:rtl/>
        </w:rPr>
        <w:t>متعلق</w:t>
      </w:r>
      <w:r w:rsidR="00EC7EDF" w:rsidRPr="00FD211F">
        <w:rPr>
          <w:sz w:val="36"/>
          <w:szCs w:val="36"/>
          <w:rtl/>
        </w:rPr>
        <w:t xml:space="preserve">ة </w:t>
      </w:r>
      <w:r w:rsidR="00556BC0" w:rsidRPr="00FD211F">
        <w:rPr>
          <w:sz w:val="36"/>
          <w:szCs w:val="36"/>
          <w:rtl/>
        </w:rPr>
        <w:t>بالعقود والإيقاعا</w:t>
      </w:r>
      <w:r w:rsidR="00F90398" w:rsidRPr="00FD211F">
        <w:rPr>
          <w:sz w:val="36"/>
          <w:szCs w:val="36"/>
          <w:rtl/>
        </w:rPr>
        <w:t>ت- كما لو وضع تصفيق البائع يده بيد المشتري أدا</w:t>
      </w:r>
      <w:r w:rsidR="00EC7EDF" w:rsidRPr="00FD211F">
        <w:rPr>
          <w:sz w:val="36"/>
          <w:szCs w:val="36"/>
          <w:rtl/>
        </w:rPr>
        <w:t xml:space="preserve">ة </w:t>
      </w:r>
      <w:r w:rsidR="00F90398" w:rsidRPr="00FD211F">
        <w:rPr>
          <w:sz w:val="36"/>
          <w:szCs w:val="36"/>
          <w:rtl/>
        </w:rPr>
        <w:t>لإنشاء البيع</w:t>
      </w:r>
      <w:r w:rsidR="00603323" w:rsidRPr="00FD211F">
        <w:rPr>
          <w:sz w:val="36"/>
          <w:szCs w:val="36"/>
          <w:rtl/>
        </w:rPr>
        <w:t xml:space="preserve">، </w:t>
      </w:r>
      <w:r w:rsidR="00F90398" w:rsidRPr="00FD211F">
        <w:rPr>
          <w:sz w:val="36"/>
          <w:szCs w:val="36"/>
          <w:rtl/>
        </w:rPr>
        <w:t>كما ينقل عن العرب</w:t>
      </w:r>
      <w:r w:rsidR="00603323" w:rsidRPr="00FD211F">
        <w:rPr>
          <w:sz w:val="36"/>
          <w:szCs w:val="36"/>
          <w:rtl/>
        </w:rPr>
        <w:t xml:space="preserve">، </w:t>
      </w:r>
      <w:r w:rsidR="00F90398" w:rsidRPr="00FD211F">
        <w:rPr>
          <w:sz w:val="36"/>
          <w:szCs w:val="36"/>
          <w:rtl/>
        </w:rPr>
        <w:t>وقد ورد في رواي</w:t>
      </w:r>
      <w:r w:rsidR="00EC7EDF" w:rsidRPr="00FD211F">
        <w:rPr>
          <w:sz w:val="36"/>
          <w:szCs w:val="36"/>
          <w:rtl/>
        </w:rPr>
        <w:t xml:space="preserve">ة </w:t>
      </w:r>
      <w:r w:rsidR="00F90398" w:rsidRPr="00FD211F">
        <w:rPr>
          <w:sz w:val="36"/>
          <w:szCs w:val="36"/>
          <w:rtl/>
        </w:rPr>
        <w:t>عرو</w:t>
      </w:r>
      <w:r w:rsidR="00EC7EDF" w:rsidRPr="00FD211F">
        <w:rPr>
          <w:sz w:val="36"/>
          <w:szCs w:val="36"/>
          <w:rtl/>
        </w:rPr>
        <w:t xml:space="preserve">ة </w:t>
      </w:r>
      <w:r w:rsidR="00F90398" w:rsidRPr="00FD211F">
        <w:rPr>
          <w:sz w:val="36"/>
          <w:szCs w:val="36"/>
          <w:rtl/>
        </w:rPr>
        <w:t>البارقي ان</w:t>
      </w:r>
      <w:r w:rsidR="00DA6B1E" w:rsidRPr="00FD211F">
        <w:rPr>
          <w:sz w:val="36"/>
          <w:szCs w:val="36"/>
          <w:rtl/>
        </w:rPr>
        <w:t>ه</w:t>
      </w:r>
      <w:r w:rsidR="00F90398" w:rsidRPr="00FD211F">
        <w:rPr>
          <w:sz w:val="36"/>
          <w:szCs w:val="36"/>
          <w:rtl/>
        </w:rPr>
        <w:t xml:space="preserve"> قال له النبي</w:t>
      </w:r>
      <w:r w:rsidR="00727951" w:rsidRPr="00FD211F">
        <w:rPr>
          <w:sz w:val="36"/>
          <w:szCs w:val="36"/>
          <w:rtl/>
        </w:rPr>
        <w:t>(</w:t>
      </w:r>
      <w:r w:rsidR="007A4A0D" w:rsidRPr="00FD211F">
        <w:rPr>
          <w:sz w:val="36"/>
          <w:szCs w:val="36"/>
          <w:rtl/>
        </w:rPr>
        <w:t>صلى‌الله‌عليه‌وآله)</w:t>
      </w:r>
      <w:r w:rsidR="00F90398" w:rsidRPr="00FD211F">
        <w:rPr>
          <w:sz w:val="36"/>
          <w:szCs w:val="36"/>
          <w:rtl/>
        </w:rPr>
        <w:t xml:space="preserve"> بارك الله في صفق</w:t>
      </w:r>
      <w:r w:rsidR="00EC7EDF" w:rsidRPr="00FD211F">
        <w:rPr>
          <w:sz w:val="36"/>
          <w:szCs w:val="36"/>
          <w:rtl/>
        </w:rPr>
        <w:t xml:space="preserve">ة </w:t>
      </w:r>
      <w:r w:rsidR="00F90398" w:rsidRPr="00FD211F">
        <w:rPr>
          <w:sz w:val="36"/>
          <w:szCs w:val="36"/>
          <w:rtl/>
        </w:rPr>
        <w:t>يمينك-</w:t>
      </w:r>
      <w:r w:rsidR="00556BC0" w:rsidRPr="00FD211F">
        <w:rPr>
          <w:sz w:val="36"/>
          <w:szCs w:val="36"/>
          <w:rtl/>
        </w:rPr>
        <w:t xml:space="preserve"> فيكون مدلولها اعتبار النسب</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 xml:space="preserve">ة </w:t>
      </w:r>
      <w:r w:rsidR="00556BC0" w:rsidRPr="00FD211F">
        <w:rPr>
          <w:sz w:val="36"/>
          <w:szCs w:val="36"/>
          <w:rtl/>
        </w:rPr>
        <w:t>في وعاء التحقق</w:t>
      </w:r>
      <w:r w:rsidR="00603323" w:rsidRPr="00FD211F">
        <w:rPr>
          <w:sz w:val="36"/>
          <w:szCs w:val="36"/>
          <w:rtl/>
        </w:rPr>
        <w:t xml:space="preserve">، </w:t>
      </w:r>
      <w:r w:rsidR="00556BC0" w:rsidRPr="00FD211F">
        <w:rPr>
          <w:sz w:val="36"/>
          <w:szCs w:val="36"/>
          <w:rtl/>
        </w:rPr>
        <w:t>لان الاعتبار يتعلق بالنسب</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 xml:space="preserve">ة </w:t>
      </w:r>
      <w:r w:rsidR="00556BC0" w:rsidRPr="00FD211F">
        <w:rPr>
          <w:sz w:val="36"/>
          <w:szCs w:val="36"/>
          <w:rtl/>
        </w:rPr>
        <w:t>في عالم التحقق</w:t>
      </w:r>
      <w:r w:rsidR="00603323" w:rsidRPr="00FD211F">
        <w:rPr>
          <w:sz w:val="36"/>
          <w:szCs w:val="36"/>
          <w:rtl/>
        </w:rPr>
        <w:t xml:space="preserve">، </w:t>
      </w:r>
      <w:r w:rsidR="00556BC0" w:rsidRPr="00FD211F">
        <w:rPr>
          <w:sz w:val="36"/>
          <w:szCs w:val="36"/>
          <w:rtl/>
        </w:rPr>
        <w:t>دون النسب</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 xml:space="preserve">ة </w:t>
      </w:r>
      <w:r w:rsidR="00556BC0" w:rsidRPr="00FD211F">
        <w:rPr>
          <w:sz w:val="36"/>
          <w:szCs w:val="36"/>
          <w:rtl/>
        </w:rPr>
        <w:t>في عالم</w:t>
      </w:r>
      <w:r w:rsidR="00B253CE" w:rsidRPr="00FD211F">
        <w:rPr>
          <w:sz w:val="36"/>
          <w:szCs w:val="36"/>
          <w:rtl/>
        </w:rPr>
        <w:t xml:space="preserve"> </w:t>
      </w:r>
      <w:r w:rsidR="00556BC0" w:rsidRPr="00FD211F">
        <w:rPr>
          <w:sz w:val="36"/>
          <w:szCs w:val="36"/>
          <w:rtl/>
        </w:rPr>
        <w:t>الاعتبار.</w:t>
      </w:r>
    </w:p>
    <w:p w14:paraId="720B24DE" w14:textId="77777777" w:rsidR="00556BC0" w:rsidRPr="00FD211F" w:rsidRDefault="00556BC0" w:rsidP="009C58C8">
      <w:pPr>
        <w:ind w:left="0" w:firstLine="227"/>
        <w:jc w:val="both"/>
        <w:rPr>
          <w:sz w:val="36"/>
          <w:szCs w:val="36"/>
          <w:rtl/>
        </w:rPr>
      </w:pPr>
      <w:r w:rsidRPr="00FD211F">
        <w:rPr>
          <w:sz w:val="36"/>
          <w:szCs w:val="36"/>
          <w:rtl/>
        </w:rPr>
        <w:t>ولايخفى انه التزم بكون صيغ</w:t>
      </w:r>
      <w:r w:rsidR="00EC7EDF" w:rsidRPr="00FD211F">
        <w:rPr>
          <w:sz w:val="36"/>
          <w:szCs w:val="36"/>
          <w:rtl/>
        </w:rPr>
        <w:t xml:space="preserve">ة </w:t>
      </w:r>
      <w:r w:rsidRPr="00FD211F">
        <w:rPr>
          <w:sz w:val="36"/>
          <w:szCs w:val="36"/>
          <w:rtl/>
        </w:rPr>
        <w:t>الأمر هو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 الفعل وفاعله في عالم الطلب</w:t>
      </w:r>
      <w:r w:rsidR="00603323" w:rsidRPr="00FD211F">
        <w:rPr>
          <w:sz w:val="36"/>
          <w:szCs w:val="36"/>
          <w:rtl/>
        </w:rPr>
        <w:t xml:space="preserve">، </w:t>
      </w:r>
      <w:r w:rsidRPr="00FD211F">
        <w:rPr>
          <w:sz w:val="36"/>
          <w:szCs w:val="36"/>
          <w:rtl/>
        </w:rPr>
        <w:t>بينما التزم في الجمل</w:t>
      </w:r>
      <w:r w:rsidR="00EC7EDF" w:rsidRPr="00FD211F">
        <w:rPr>
          <w:sz w:val="36"/>
          <w:szCs w:val="36"/>
          <w:rtl/>
        </w:rPr>
        <w:t xml:space="preserve">ة </w:t>
      </w:r>
      <w:r w:rsidRPr="00FD211F">
        <w:rPr>
          <w:sz w:val="36"/>
          <w:szCs w:val="36"/>
          <w:rtl/>
        </w:rPr>
        <w:t>المشترك</w:t>
      </w:r>
      <w:r w:rsidR="00EC7EDF" w:rsidRPr="00FD211F">
        <w:rPr>
          <w:sz w:val="36"/>
          <w:szCs w:val="36"/>
          <w:rtl/>
        </w:rPr>
        <w:t xml:space="preserve">ة </w:t>
      </w:r>
      <w:r w:rsidRPr="00FD211F">
        <w:rPr>
          <w:sz w:val="36"/>
          <w:szCs w:val="36"/>
          <w:rtl/>
        </w:rPr>
        <w:t>التي تستعمل في مقام إنشاء الطلب كقوله "يعيد صلاته" ان مفادها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 الفعل وفاعله في وعاء التحقق</w:t>
      </w:r>
      <w:r w:rsidR="00603323" w:rsidRPr="00FD211F">
        <w:rPr>
          <w:sz w:val="36"/>
          <w:szCs w:val="36"/>
          <w:rtl/>
        </w:rPr>
        <w:t xml:space="preserve">، </w:t>
      </w:r>
      <w:r w:rsidRPr="00FD211F">
        <w:rPr>
          <w:sz w:val="36"/>
          <w:szCs w:val="36"/>
          <w:rtl/>
        </w:rPr>
        <w:t>فاذا استعملت في مقام انشاء الطلب كان بمعنى عروض الطلب على تلك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في وعاء التحقق</w:t>
      </w:r>
      <w:r w:rsidR="009C58C8" w:rsidRPr="00FD211F">
        <w:rPr>
          <w:rStyle w:val="a6"/>
          <w:sz w:val="36"/>
          <w:szCs w:val="36"/>
          <w:rtl/>
        </w:rPr>
        <w:t>(</w:t>
      </w:r>
      <w:r w:rsidR="009C58C8" w:rsidRPr="00FD211F">
        <w:rPr>
          <w:rStyle w:val="a6"/>
          <w:sz w:val="36"/>
          <w:szCs w:val="36"/>
          <w:rtl/>
        </w:rPr>
        <w:footnoteReference w:id="217"/>
      </w:r>
      <w:r w:rsidR="009C58C8" w:rsidRPr="00FD211F">
        <w:rPr>
          <w:rStyle w:val="a6"/>
          <w:sz w:val="36"/>
          <w:szCs w:val="36"/>
          <w:rtl/>
        </w:rPr>
        <w:t>)</w:t>
      </w:r>
      <w:r w:rsidRPr="00FD211F">
        <w:rPr>
          <w:sz w:val="36"/>
          <w:szCs w:val="36"/>
          <w:rtl/>
        </w:rPr>
        <w:t>.</w:t>
      </w:r>
    </w:p>
    <w:p w14:paraId="309242AC" w14:textId="77777777" w:rsidR="000C5BBA" w:rsidRPr="00FD211F" w:rsidRDefault="00556BC0" w:rsidP="009C58C8">
      <w:pPr>
        <w:ind w:left="0" w:firstLine="227"/>
        <w:jc w:val="both"/>
        <w:rPr>
          <w:sz w:val="36"/>
          <w:szCs w:val="36"/>
          <w:rtl/>
        </w:rPr>
      </w:pPr>
      <w:r w:rsidRPr="00FD211F">
        <w:rPr>
          <w:sz w:val="36"/>
          <w:szCs w:val="36"/>
          <w:rtl/>
        </w:rPr>
        <w:t>وفيه: أنه بناء على ما ذكره فيكون مآل قولنا</w:t>
      </w:r>
      <w:r w:rsidR="00851E58" w:rsidRPr="00FD211F">
        <w:rPr>
          <w:sz w:val="36"/>
          <w:szCs w:val="36"/>
          <w:rtl/>
        </w:rPr>
        <w:t>"</w:t>
      </w:r>
      <w:r w:rsidRPr="00FD211F">
        <w:rPr>
          <w:sz w:val="36"/>
          <w:szCs w:val="36"/>
          <w:rtl/>
        </w:rPr>
        <w:t xml:space="preserve"> ليت زيدا قائم</w:t>
      </w:r>
      <w:r w:rsidR="00851E58" w:rsidRPr="00FD211F">
        <w:rPr>
          <w:sz w:val="36"/>
          <w:szCs w:val="36"/>
          <w:rtl/>
        </w:rPr>
        <w:t>"</w:t>
      </w:r>
      <w:r w:rsidRPr="00FD211F">
        <w:rPr>
          <w:sz w:val="36"/>
          <w:szCs w:val="36"/>
          <w:rtl/>
        </w:rPr>
        <w:t xml:space="preserve"> الى</w:t>
      </w:r>
      <w:r w:rsidR="00851E58" w:rsidRPr="00FD211F">
        <w:rPr>
          <w:sz w:val="36"/>
          <w:szCs w:val="36"/>
          <w:rtl/>
        </w:rPr>
        <w:t xml:space="preserve"> قولنا" ا</w:t>
      </w:r>
      <w:r w:rsidRPr="00FD211F">
        <w:rPr>
          <w:sz w:val="36"/>
          <w:szCs w:val="36"/>
          <w:rtl/>
        </w:rPr>
        <w:t>ن زيدا والقائم متصادقان ومتحدان في عالم التمني (زيد وقائم در عالم آرزوى من يكى هستند) وكذا يكون مآل جمل</w:t>
      </w:r>
      <w:r w:rsidR="00EC7EDF" w:rsidRPr="00FD211F">
        <w:rPr>
          <w:sz w:val="36"/>
          <w:szCs w:val="36"/>
          <w:rtl/>
        </w:rPr>
        <w:t xml:space="preserve">ة </w:t>
      </w:r>
      <w:r w:rsidRPr="00FD211F">
        <w:rPr>
          <w:sz w:val="36"/>
          <w:szCs w:val="36"/>
          <w:rtl/>
        </w:rPr>
        <w:t>التعجب الى انهما متحدان في عالم التعجب مع ان</w:t>
      </w:r>
      <w:r w:rsidR="00CA5B06" w:rsidRPr="00FD211F">
        <w:rPr>
          <w:sz w:val="36"/>
          <w:szCs w:val="36"/>
          <w:rtl/>
        </w:rPr>
        <w:t>ه</w:t>
      </w:r>
      <w:r w:rsidRPr="00FD211F">
        <w:rPr>
          <w:sz w:val="36"/>
          <w:szCs w:val="36"/>
          <w:rtl/>
        </w:rPr>
        <w:t xml:space="preserve"> خلاف الوجدان العرفي</w:t>
      </w:r>
      <w:r w:rsidR="00851E58" w:rsidRPr="00FD211F">
        <w:rPr>
          <w:sz w:val="36"/>
          <w:szCs w:val="36"/>
          <w:rtl/>
        </w:rPr>
        <w:t>.</w:t>
      </w:r>
      <w:r w:rsidR="00B253CE" w:rsidRPr="00FD211F">
        <w:rPr>
          <w:sz w:val="36"/>
          <w:szCs w:val="36"/>
          <w:rtl/>
        </w:rPr>
        <w:t xml:space="preserve"> </w:t>
      </w:r>
    </w:p>
    <w:p w14:paraId="76149B38" w14:textId="77777777" w:rsidR="00556BC0" w:rsidRPr="00FD211F" w:rsidRDefault="00556BC0" w:rsidP="009C58C8">
      <w:pPr>
        <w:ind w:left="0" w:firstLine="227"/>
        <w:jc w:val="both"/>
        <w:rPr>
          <w:sz w:val="36"/>
          <w:szCs w:val="36"/>
          <w:rtl/>
        </w:rPr>
      </w:pPr>
      <w:r w:rsidRPr="00FD211F">
        <w:rPr>
          <w:sz w:val="36"/>
          <w:szCs w:val="36"/>
          <w:rtl/>
        </w:rPr>
        <w:t>والصحيح ان الوعاء الذي يلحظ تصادق الموضوع والمحمول فيه يكون دائما هو عالم التحقق والخارج</w:t>
      </w:r>
      <w:r w:rsidR="00603323" w:rsidRPr="00FD211F">
        <w:rPr>
          <w:sz w:val="36"/>
          <w:szCs w:val="36"/>
          <w:rtl/>
        </w:rPr>
        <w:t xml:space="preserve">، </w:t>
      </w:r>
      <w:r w:rsidRPr="00FD211F">
        <w:rPr>
          <w:sz w:val="36"/>
          <w:szCs w:val="36"/>
          <w:rtl/>
        </w:rPr>
        <w:t xml:space="preserve">فانه قد يعرض عليه الإثبات وقد يعرض عليه النفي كما اعترف به </w:t>
      </w:r>
      <w:r w:rsidR="00CA5B06" w:rsidRPr="00FD211F">
        <w:rPr>
          <w:sz w:val="36"/>
          <w:szCs w:val="36"/>
          <w:rtl/>
        </w:rPr>
        <w:t>"</w:t>
      </w:r>
      <w:r w:rsidRPr="00FD211F">
        <w:rPr>
          <w:sz w:val="36"/>
          <w:szCs w:val="36"/>
          <w:rtl/>
        </w:rPr>
        <w:t>قده</w:t>
      </w:r>
      <w:r w:rsidR="00CA5B06" w:rsidRPr="00FD211F">
        <w:rPr>
          <w:sz w:val="36"/>
          <w:szCs w:val="36"/>
          <w:rtl/>
        </w:rPr>
        <w:t>"</w:t>
      </w:r>
      <w:r w:rsidR="009C58C8" w:rsidRPr="00FD211F">
        <w:rPr>
          <w:rStyle w:val="a6"/>
          <w:sz w:val="36"/>
          <w:szCs w:val="36"/>
          <w:rtl/>
        </w:rPr>
        <w:t>(</w:t>
      </w:r>
      <w:r w:rsidR="009C58C8" w:rsidRPr="00FD211F">
        <w:rPr>
          <w:rStyle w:val="a6"/>
          <w:sz w:val="36"/>
          <w:szCs w:val="36"/>
          <w:rtl/>
        </w:rPr>
        <w:footnoteReference w:id="218"/>
      </w:r>
      <w:r w:rsidR="009C58C8" w:rsidRPr="00FD211F">
        <w:rPr>
          <w:rStyle w:val="a6"/>
          <w:sz w:val="36"/>
          <w:szCs w:val="36"/>
          <w:rtl/>
        </w:rPr>
        <w:t>)</w:t>
      </w:r>
      <w:r w:rsidR="00603323" w:rsidRPr="00FD211F">
        <w:rPr>
          <w:sz w:val="36"/>
          <w:szCs w:val="36"/>
          <w:rtl/>
        </w:rPr>
        <w:t xml:space="preserve">، </w:t>
      </w:r>
      <w:r w:rsidRPr="00FD211F">
        <w:rPr>
          <w:sz w:val="36"/>
          <w:szCs w:val="36"/>
          <w:rtl/>
        </w:rPr>
        <w:t>وقد يعرضه خصوصي</w:t>
      </w:r>
      <w:r w:rsidR="00EC7EDF" w:rsidRPr="00FD211F">
        <w:rPr>
          <w:sz w:val="36"/>
          <w:szCs w:val="36"/>
          <w:rtl/>
        </w:rPr>
        <w:t xml:space="preserve">ة </w:t>
      </w:r>
      <w:r w:rsidRPr="00FD211F">
        <w:rPr>
          <w:sz w:val="36"/>
          <w:szCs w:val="36"/>
          <w:rtl/>
        </w:rPr>
        <w:t>الاستفهام عنه او البعث اليه او تمنيه او ترجيه ونحو ذلك.</w:t>
      </w:r>
    </w:p>
    <w:p w14:paraId="0F93B247" w14:textId="77777777" w:rsidR="000C5BBA" w:rsidRPr="00FD211F" w:rsidRDefault="00556BC0" w:rsidP="009C58C8">
      <w:pPr>
        <w:ind w:left="0" w:firstLine="227"/>
        <w:jc w:val="both"/>
        <w:rPr>
          <w:sz w:val="36"/>
          <w:szCs w:val="36"/>
          <w:rtl/>
        </w:rPr>
      </w:pPr>
      <w:r w:rsidRPr="00FD211F">
        <w:rPr>
          <w:b/>
          <w:bCs/>
          <w:sz w:val="36"/>
          <w:szCs w:val="36"/>
          <w:rtl/>
        </w:rPr>
        <w:t>الوجه الخامس</w:t>
      </w:r>
      <w:r w:rsidRPr="00FD211F">
        <w:rPr>
          <w:sz w:val="36"/>
          <w:szCs w:val="36"/>
          <w:rtl/>
        </w:rPr>
        <w:t>: ما ذكره السيد الخوئي</w:t>
      </w:r>
      <w:r w:rsidR="00A61BAE" w:rsidRPr="00FD211F">
        <w:rPr>
          <w:sz w:val="36"/>
          <w:szCs w:val="36"/>
          <w:rtl/>
        </w:rPr>
        <w:t xml:space="preserve"> </w:t>
      </w:r>
      <w:r w:rsidR="005D03BA" w:rsidRPr="00FD211F">
        <w:rPr>
          <w:sz w:val="36"/>
          <w:szCs w:val="36"/>
          <w:rtl/>
        </w:rPr>
        <w:t>“قده”</w:t>
      </w:r>
      <w:r w:rsidR="00A61BAE" w:rsidRPr="00FD211F">
        <w:rPr>
          <w:sz w:val="36"/>
          <w:szCs w:val="36"/>
          <w:rtl/>
        </w:rPr>
        <w:t xml:space="preserve"> </w:t>
      </w:r>
      <w:r w:rsidRPr="00FD211F">
        <w:rPr>
          <w:sz w:val="36"/>
          <w:szCs w:val="36"/>
          <w:rtl/>
        </w:rPr>
        <w:t>من وضع الجمل الإنشائي</w:t>
      </w:r>
      <w:r w:rsidR="00EC7EDF" w:rsidRPr="00FD211F">
        <w:rPr>
          <w:sz w:val="36"/>
          <w:szCs w:val="36"/>
          <w:rtl/>
        </w:rPr>
        <w:t xml:space="preserve">ة </w:t>
      </w:r>
      <w:r w:rsidRPr="00FD211F">
        <w:rPr>
          <w:sz w:val="36"/>
          <w:szCs w:val="36"/>
          <w:rtl/>
        </w:rPr>
        <w:t>لإبراز أمر نفساني غير قصد الحكاي</w:t>
      </w:r>
      <w:r w:rsidR="00EC7EDF" w:rsidRPr="00FD211F">
        <w:rPr>
          <w:sz w:val="36"/>
          <w:szCs w:val="36"/>
          <w:rtl/>
        </w:rPr>
        <w:t>ة</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219"/>
      </w:r>
      <w:r w:rsidR="00C17D0B" w:rsidRPr="00FD211F">
        <w:rPr>
          <w:rStyle w:val="a6"/>
          <w:sz w:val="36"/>
          <w:szCs w:val="36"/>
          <w:rtl/>
        </w:rPr>
        <w:t>)</w:t>
      </w:r>
      <w:r w:rsidR="00F90398" w:rsidRPr="00FD211F">
        <w:rPr>
          <w:sz w:val="36"/>
          <w:szCs w:val="36"/>
          <w:rtl/>
        </w:rPr>
        <w:t xml:space="preserve"> وقد مر توضيحه سابقا.</w:t>
      </w:r>
    </w:p>
    <w:p w14:paraId="302AF5E2" w14:textId="77777777" w:rsidR="00556BC0" w:rsidRPr="00FD211F" w:rsidRDefault="00556BC0" w:rsidP="009C58C8">
      <w:pPr>
        <w:ind w:left="0" w:firstLine="227"/>
        <w:jc w:val="both"/>
        <w:rPr>
          <w:sz w:val="36"/>
          <w:szCs w:val="36"/>
          <w:rtl/>
        </w:rPr>
      </w:pPr>
      <w:r w:rsidRPr="00FD211F">
        <w:rPr>
          <w:sz w:val="36"/>
          <w:szCs w:val="36"/>
          <w:rtl/>
        </w:rPr>
        <w:t>وما ذكره وان كان خاليا عن الاشكال بناء على مسلكه من 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تصديقي</w:t>
      </w:r>
      <w:r w:rsidR="00EC7EDF" w:rsidRPr="00FD211F">
        <w:rPr>
          <w:sz w:val="36"/>
          <w:szCs w:val="36"/>
          <w:rtl/>
        </w:rPr>
        <w:t xml:space="preserve">ة </w:t>
      </w:r>
      <w:r w:rsidRPr="00FD211F">
        <w:rPr>
          <w:sz w:val="36"/>
          <w:szCs w:val="36"/>
          <w:rtl/>
        </w:rPr>
        <w:t>وتابع</w:t>
      </w:r>
      <w:r w:rsidR="00EC7EDF" w:rsidRPr="00FD211F">
        <w:rPr>
          <w:sz w:val="36"/>
          <w:szCs w:val="36"/>
          <w:rtl/>
        </w:rPr>
        <w:t xml:space="preserve">ة </w:t>
      </w:r>
      <w:r w:rsidRPr="00FD211F">
        <w:rPr>
          <w:sz w:val="36"/>
          <w:szCs w:val="36"/>
          <w:rtl/>
        </w:rPr>
        <w:t>للإراد</w:t>
      </w:r>
      <w:r w:rsidR="00EC7EDF" w:rsidRPr="00FD211F">
        <w:rPr>
          <w:sz w:val="36"/>
          <w:szCs w:val="36"/>
          <w:rtl/>
        </w:rPr>
        <w:t>ة</w:t>
      </w:r>
      <w:r w:rsidR="00603323" w:rsidRPr="00FD211F">
        <w:rPr>
          <w:sz w:val="36"/>
          <w:szCs w:val="36"/>
          <w:rtl/>
        </w:rPr>
        <w:t xml:space="preserve">، </w:t>
      </w:r>
      <w:r w:rsidRPr="00FD211F">
        <w:rPr>
          <w:sz w:val="36"/>
          <w:szCs w:val="36"/>
          <w:rtl/>
        </w:rPr>
        <w:t>لكنه بناء على المسلك الصحيح من 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تصوري</w:t>
      </w:r>
      <w:r w:rsidR="00EC7EDF" w:rsidRPr="00FD211F">
        <w:rPr>
          <w:sz w:val="36"/>
          <w:szCs w:val="36"/>
          <w:rtl/>
        </w:rPr>
        <w:t xml:space="preserve">ة </w:t>
      </w:r>
      <w:r w:rsidRPr="00FD211F">
        <w:rPr>
          <w:sz w:val="36"/>
          <w:szCs w:val="36"/>
          <w:rtl/>
        </w:rPr>
        <w:t>فلابد ان يكون المعنى الموضوع له بنحو يمكن تصويره حتى على تقدير صدور ال</w:t>
      </w:r>
      <w:r w:rsidR="006819B6" w:rsidRPr="00FD211F">
        <w:rPr>
          <w:sz w:val="36"/>
          <w:szCs w:val="36"/>
          <w:rtl/>
        </w:rPr>
        <w:t>جمل</w:t>
      </w:r>
      <w:r w:rsidR="00EC7EDF" w:rsidRPr="00FD211F">
        <w:rPr>
          <w:sz w:val="36"/>
          <w:szCs w:val="36"/>
          <w:rtl/>
        </w:rPr>
        <w:t xml:space="preserve">ة </w:t>
      </w:r>
      <w:r w:rsidR="006819B6" w:rsidRPr="00FD211F">
        <w:rPr>
          <w:sz w:val="36"/>
          <w:szCs w:val="36"/>
          <w:rtl/>
        </w:rPr>
        <w:t>الإنشائي</w:t>
      </w:r>
      <w:r w:rsidR="00EC7EDF" w:rsidRPr="00FD211F">
        <w:rPr>
          <w:sz w:val="36"/>
          <w:szCs w:val="36"/>
          <w:rtl/>
        </w:rPr>
        <w:t xml:space="preserve">ة </w:t>
      </w:r>
      <w:r w:rsidR="006819B6" w:rsidRPr="00FD211F">
        <w:rPr>
          <w:sz w:val="36"/>
          <w:szCs w:val="36"/>
          <w:rtl/>
        </w:rPr>
        <w:t>من متكلم غيرملتفت</w:t>
      </w:r>
      <w:r w:rsidRPr="00FD211F">
        <w:rPr>
          <w:sz w:val="36"/>
          <w:szCs w:val="36"/>
          <w:rtl/>
        </w:rPr>
        <w:t xml:space="preserve"> او متكلم هازل او عند تصوره مباشر</w:t>
      </w:r>
      <w:r w:rsidR="00EC7EDF" w:rsidRPr="00FD211F">
        <w:rPr>
          <w:sz w:val="36"/>
          <w:szCs w:val="36"/>
          <w:rtl/>
        </w:rPr>
        <w:t xml:space="preserve">ة </w:t>
      </w:r>
      <w:r w:rsidRPr="00FD211F">
        <w:rPr>
          <w:sz w:val="36"/>
          <w:szCs w:val="36"/>
          <w:rtl/>
        </w:rPr>
        <w:t>من دون سماع من احد</w:t>
      </w:r>
      <w:r w:rsidR="00603323" w:rsidRPr="00FD211F">
        <w:rPr>
          <w:sz w:val="36"/>
          <w:szCs w:val="36"/>
          <w:rtl/>
        </w:rPr>
        <w:t xml:space="preserve">، </w:t>
      </w:r>
      <w:r w:rsidRPr="00FD211F">
        <w:rPr>
          <w:sz w:val="36"/>
          <w:szCs w:val="36"/>
          <w:rtl/>
        </w:rPr>
        <w:t>فلايمكن ان يكون معناها هو إبراز الأمر النفساني</w:t>
      </w:r>
      <w:r w:rsidR="00603323" w:rsidRPr="00FD211F">
        <w:rPr>
          <w:sz w:val="36"/>
          <w:szCs w:val="36"/>
          <w:rtl/>
        </w:rPr>
        <w:t xml:space="preserve">، </w:t>
      </w:r>
      <w:r w:rsidRPr="00FD211F">
        <w:rPr>
          <w:sz w:val="36"/>
          <w:szCs w:val="36"/>
          <w:rtl/>
        </w:rPr>
        <w:t>لعدم وجود ذلك في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006819B6" w:rsidRPr="00FD211F">
        <w:rPr>
          <w:sz w:val="36"/>
          <w:szCs w:val="36"/>
          <w:rtl/>
        </w:rPr>
        <w:t>الا اذا فرض صدورها من متكلم ملتفت</w:t>
      </w:r>
      <w:r w:rsidRPr="00FD211F">
        <w:rPr>
          <w:sz w:val="36"/>
          <w:szCs w:val="36"/>
          <w:rtl/>
        </w:rPr>
        <w:t xml:space="preserve"> جادّ.</w:t>
      </w:r>
    </w:p>
    <w:p w14:paraId="7B279964" w14:textId="77777777" w:rsidR="00DA6B1E" w:rsidRPr="00FD211F" w:rsidRDefault="00556BC0" w:rsidP="009C58C8">
      <w:pPr>
        <w:ind w:left="0" w:firstLine="227"/>
        <w:jc w:val="both"/>
        <w:rPr>
          <w:sz w:val="36"/>
          <w:szCs w:val="36"/>
          <w:rtl/>
        </w:rPr>
      </w:pPr>
      <w:r w:rsidRPr="00FD211F">
        <w:rPr>
          <w:b/>
          <w:bCs/>
          <w:sz w:val="36"/>
          <w:szCs w:val="36"/>
          <w:rtl/>
        </w:rPr>
        <w:t>الوجه السادس</w:t>
      </w:r>
      <w:r w:rsidRPr="00FD211F">
        <w:rPr>
          <w:sz w:val="36"/>
          <w:szCs w:val="36"/>
          <w:rtl/>
        </w:rPr>
        <w:t>: ما هو المختار من ان المعنى الموضوع له للجمل الإنشائي</w:t>
      </w:r>
      <w:r w:rsidR="00EC7EDF" w:rsidRPr="00FD211F">
        <w:rPr>
          <w:sz w:val="36"/>
          <w:szCs w:val="36"/>
          <w:rtl/>
        </w:rPr>
        <w:t xml:space="preserve">ة </w:t>
      </w:r>
      <w:r w:rsidRPr="00FD211F">
        <w:rPr>
          <w:sz w:val="36"/>
          <w:szCs w:val="36"/>
          <w:rtl/>
        </w:rPr>
        <w:t>صور</w:t>
      </w:r>
      <w:r w:rsidR="00EC7EDF" w:rsidRPr="00FD211F">
        <w:rPr>
          <w:sz w:val="36"/>
          <w:szCs w:val="36"/>
          <w:rtl/>
        </w:rPr>
        <w:t xml:space="preserve">ة </w:t>
      </w:r>
      <w:r w:rsidRPr="00FD211F">
        <w:rPr>
          <w:sz w:val="36"/>
          <w:szCs w:val="36"/>
          <w:rtl/>
        </w:rPr>
        <w:t>واقع ابراز امر نفساني</w:t>
      </w:r>
      <w:r w:rsidR="00603323" w:rsidRPr="00FD211F">
        <w:rPr>
          <w:sz w:val="36"/>
          <w:szCs w:val="36"/>
          <w:rtl/>
        </w:rPr>
        <w:t xml:space="preserve">، </w:t>
      </w:r>
      <w:r w:rsidR="006819B6" w:rsidRPr="00FD211F">
        <w:rPr>
          <w:sz w:val="36"/>
          <w:szCs w:val="36"/>
          <w:rtl/>
        </w:rPr>
        <w:t>فمعنى "ليت"هو صور</w:t>
      </w:r>
      <w:r w:rsidR="00EC7EDF" w:rsidRPr="00FD211F">
        <w:rPr>
          <w:sz w:val="36"/>
          <w:szCs w:val="36"/>
          <w:rtl/>
        </w:rPr>
        <w:t xml:space="preserve">ة </w:t>
      </w:r>
      <w:r w:rsidR="006819B6" w:rsidRPr="00FD211F">
        <w:rPr>
          <w:sz w:val="36"/>
          <w:szCs w:val="36"/>
          <w:rtl/>
        </w:rPr>
        <w:t>واقع ابرازالتمنى</w:t>
      </w:r>
      <w:r w:rsidR="00DA6B1E" w:rsidRPr="00FD211F">
        <w:rPr>
          <w:sz w:val="36"/>
          <w:szCs w:val="36"/>
          <w:rtl/>
        </w:rPr>
        <w:t>.</w:t>
      </w:r>
    </w:p>
    <w:p w14:paraId="39349DAB" w14:textId="77777777" w:rsidR="00556BC0" w:rsidRPr="00FD211F" w:rsidRDefault="006819B6" w:rsidP="009C58C8">
      <w:pPr>
        <w:ind w:left="0" w:firstLine="227"/>
        <w:jc w:val="both"/>
        <w:rPr>
          <w:sz w:val="36"/>
          <w:szCs w:val="36"/>
          <w:rtl/>
        </w:rPr>
      </w:pPr>
      <w:r w:rsidRPr="00FD211F">
        <w:rPr>
          <w:sz w:val="36"/>
          <w:szCs w:val="36"/>
          <w:rtl/>
        </w:rPr>
        <w:t xml:space="preserve">والتقييد بقولنا واقع ابراز التمني لاجل الاحتراز عن مفهوم ابراز التمني </w:t>
      </w:r>
      <w:r w:rsidR="00646017" w:rsidRPr="00FD211F">
        <w:rPr>
          <w:sz w:val="36"/>
          <w:szCs w:val="36"/>
          <w:rtl/>
        </w:rPr>
        <w:t>–الذي هو مفهوم اسمي -حيث ا</w:t>
      </w:r>
      <w:r w:rsidRPr="00FD211F">
        <w:rPr>
          <w:sz w:val="36"/>
          <w:szCs w:val="36"/>
          <w:rtl/>
        </w:rPr>
        <w:t xml:space="preserve">ن من الواضح </w:t>
      </w:r>
      <w:r w:rsidR="00646017" w:rsidRPr="00FD211F">
        <w:rPr>
          <w:sz w:val="36"/>
          <w:szCs w:val="36"/>
          <w:rtl/>
        </w:rPr>
        <w:t>احساس الفرق بين قولنا "ليت"وقولنا "ابراز التمني "كما أن التقييد بقولنا صور</w:t>
      </w:r>
      <w:r w:rsidR="00EC7EDF" w:rsidRPr="00FD211F">
        <w:rPr>
          <w:sz w:val="36"/>
          <w:szCs w:val="36"/>
          <w:rtl/>
        </w:rPr>
        <w:t xml:space="preserve">ة </w:t>
      </w:r>
      <w:r w:rsidR="00646017" w:rsidRPr="00FD211F">
        <w:rPr>
          <w:sz w:val="36"/>
          <w:szCs w:val="36"/>
          <w:rtl/>
        </w:rPr>
        <w:t xml:space="preserve">واقع ابراز التمني لتعميم الوضع لفرض صدور اللفظ </w:t>
      </w:r>
      <w:r w:rsidRPr="00FD211F">
        <w:rPr>
          <w:sz w:val="36"/>
          <w:szCs w:val="36"/>
          <w:rtl/>
        </w:rPr>
        <w:t>من متكلم غيرملتفت كالنائم</w:t>
      </w:r>
      <w:r w:rsidR="00556BC0" w:rsidRPr="00FD211F">
        <w:rPr>
          <w:sz w:val="36"/>
          <w:szCs w:val="36"/>
          <w:rtl/>
        </w:rPr>
        <w:t xml:space="preserve"> </w:t>
      </w:r>
      <w:r w:rsidR="00646017" w:rsidRPr="00FD211F">
        <w:rPr>
          <w:sz w:val="36"/>
          <w:szCs w:val="36"/>
          <w:rtl/>
        </w:rPr>
        <w:t xml:space="preserve">فلو صدر منه قوله </w:t>
      </w:r>
      <w:r w:rsidR="00556BC0" w:rsidRPr="00FD211F">
        <w:rPr>
          <w:sz w:val="36"/>
          <w:szCs w:val="36"/>
          <w:rtl/>
        </w:rPr>
        <w:t>"ليت</w:t>
      </w:r>
      <w:r w:rsidRPr="00FD211F">
        <w:rPr>
          <w:sz w:val="36"/>
          <w:szCs w:val="36"/>
          <w:rtl/>
        </w:rPr>
        <w:t xml:space="preserve"> زيدا قائم </w:t>
      </w:r>
      <w:r w:rsidR="00556BC0" w:rsidRPr="00FD211F">
        <w:rPr>
          <w:sz w:val="36"/>
          <w:szCs w:val="36"/>
          <w:rtl/>
        </w:rPr>
        <w:t>"</w:t>
      </w:r>
      <w:r w:rsidR="00646017" w:rsidRPr="00FD211F">
        <w:rPr>
          <w:sz w:val="36"/>
          <w:szCs w:val="36"/>
          <w:rtl/>
        </w:rPr>
        <w:t>فلايتحقق منه ابراز التمني لاحتياج ذلك الى القصد والاراد</w:t>
      </w:r>
      <w:r w:rsidR="00EC7EDF" w:rsidRPr="00FD211F">
        <w:rPr>
          <w:sz w:val="36"/>
          <w:szCs w:val="36"/>
          <w:rtl/>
        </w:rPr>
        <w:t xml:space="preserve">ة </w:t>
      </w:r>
      <w:r w:rsidR="00646017" w:rsidRPr="00FD211F">
        <w:rPr>
          <w:sz w:val="36"/>
          <w:szCs w:val="36"/>
          <w:rtl/>
        </w:rPr>
        <w:t>وحيث اننا التزمنا بعدم تبعي</w:t>
      </w:r>
      <w:r w:rsidR="00EC7EDF" w:rsidRPr="00FD211F">
        <w:rPr>
          <w:sz w:val="36"/>
          <w:szCs w:val="36"/>
          <w:rtl/>
        </w:rPr>
        <w:t xml:space="preserve">ة </w:t>
      </w:r>
      <w:r w:rsidR="00646017" w:rsidRPr="00FD211F">
        <w:rPr>
          <w:sz w:val="36"/>
          <w:szCs w:val="36"/>
          <w:rtl/>
        </w:rPr>
        <w:t>الدلال</w:t>
      </w:r>
      <w:r w:rsidR="00EC7EDF" w:rsidRPr="00FD211F">
        <w:rPr>
          <w:sz w:val="36"/>
          <w:szCs w:val="36"/>
          <w:rtl/>
        </w:rPr>
        <w:t xml:space="preserve">ة </w:t>
      </w:r>
      <w:r w:rsidR="00646017" w:rsidRPr="00FD211F">
        <w:rPr>
          <w:sz w:val="36"/>
          <w:szCs w:val="36"/>
          <w:rtl/>
        </w:rPr>
        <w:t>الوضعي</w:t>
      </w:r>
      <w:r w:rsidR="00EC7EDF" w:rsidRPr="00FD211F">
        <w:rPr>
          <w:sz w:val="36"/>
          <w:szCs w:val="36"/>
          <w:rtl/>
        </w:rPr>
        <w:t xml:space="preserve">ة </w:t>
      </w:r>
      <w:r w:rsidR="00646017" w:rsidRPr="00FD211F">
        <w:rPr>
          <w:sz w:val="36"/>
          <w:szCs w:val="36"/>
          <w:rtl/>
        </w:rPr>
        <w:t>للاراد</w:t>
      </w:r>
      <w:r w:rsidR="00EC7EDF" w:rsidRPr="00FD211F">
        <w:rPr>
          <w:sz w:val="36"/>
          <w:szCs w:val="36"/>
          <w:rtl/>
        </w:rPr>
        <w:t xml:space="preserve">ة </w:t>
      </w:r>
      <w:r w:rsidR="00556BC0" w:rsidRPr="00FD211F">
        <w:rPr>
          <w:sz w:val="36"/>
          <w:szCs w:val="36"/>
          <w:rtl/>
        </w:rPr>
        <w:t>في</w:t>
      </w:r>
      <w:r w:rsidR="00646017" w:rsidRPr="00FD211F">
        <w:rPr>
          <w:sz w:val="36"/>
          <w:szCs w:val="36"/>
          <w:rtl/>
        </w:rPr>
        <w:t>كون المعنى الموضوع له لكلم</w:t>
      </w:r>
      <w:r w:rsidR="00EC7EDF" w:rsidRPr="00FD211F">
        <w:rPr>
          <w:sz w:val="36"/>
          <w:szCs w:val="36"/>
          <w:rtl/>
        </w:rPr>
        <w:t xml:space="preserve">ة </w:t>
      </w:r>
      <w:r w:rsidR="00646017" w:rsidRPr="00FD211F">
        <w:rPr>
          <w:sz w:val="36"/>
          <w:szCs w:val="36"/>
          <w:rtl/>
        </w:rPr>
        <w:t xml:space="preserve">"ليت "مايخطر ببالنا حينما نسمع ذلك من متكلم غير ملتفت </w:t>
      </w:r>
      <w:r w:rsidR="00607767" w:rsidRPr="00FD211F">
        <w:rPr>
          <w:sz w:val="36"/>
          <w:szCs w:val="36"/>
          <w:rtl/>
        </w:rPr>
        <w:t>او هازل</w:t>
      </w:r>
      <w:r w:rsidR="00603323" w:rsidRPr="00FD211F">
        <w:rPr>
          <w:sz w:val="36"/>
          <w:szCs w:val="36"/>
          <w:rtl/>
        </w:rPr>
        <w:t xml:space="preserve">، </w:t>
      </w:r>
      <w:r w:rsidR="00607767" w:rsidRPr="00FD211F">
        <w:rPr>
          <w:sz w:val="36"/>
          <w:szCs w:val="36"/>
          <w:rtl/>
        </w:rPr>
        <w:t>وليس ذلك الا</w:t>
      </w:r>
      <w:r w:rsidR="00556BC0" w:rsidRPr="00FD211F">
        <w:rPr>
          <w:sz w:val="36"/>
          <w:szCs w:val="36"/>
          <w:rtl/>
        </w:rPr>
        <w:t xml:space="preserve"> صور</w:t>
      </w:r>
      <w:r w:rsidR="00EC7EDF" w:rsidRPr="00FD211F">
        <w:rPr>
          <w:sz w:val="36"/>
          <w:szCs w:val="36"/>
          <w:rtl/>
        </w:rPr>
        <w:t xml:space="preserve">ة </w:t>
      </w:r>
      <w:r w:rsidR="00556BC0" w:rsidRPr="00FD211F">
        <w:rPr>
          <w:sz w:val="36"/>
          <w:szCs w:val="36"/>
          <w:rtl/>
        </w:rPr>
        <w:t>واقع ابراز التمني</w:t>
      </w:r>
      <w:r w:rsidR="00603323" w:rsidRPr="00FD211F">
        <w:rPr>
          <w:sz w:val="36"/>
          <w:szCs w:val="36"/>
          <w:rtl/>
        </w:rPr>
        <w:t xml:space="preserve">، </w:t>
      </w:r>
      <w:r w:rsidR="00556BC0" w:rsidRPr="00FD211F">
        <w:rPr>
          <w:sz w:val="36"/>
          <w:szCs w:val="36"/>
          <w:rtl/>
        </w:rPr>
        <w:t>فيختلف عما لو سمعنا منه كلم</w:t>
      </w:r>
      <w:r w:rsidR="00EC7EDF" w:rsidRPr="00FD211F">
        <w:rPr>
          <w:sz w:val="36"/>
          <w:szCs w:val="36"/>
          <w:rtl/>
        </w:rPr>
        <w:t xml:space="preserve">ة </w:t>
      </w:r>
      <w:r w:rsidR="00556BC0" w:rsidRPr="00FD211F">
        <w:rPr>
          <w:sz w:val="36"/>
          <w:szCs w:val="36"/>
          <w:rtl/>
        </w:rPr>
        <w:t>"التمني" او</w:t>
      </w:r>
      <w:r w:rsidRPr="00FD211F">
        <w:rPr>
          <w:sz w:val="36"/>
          <w:szCs w:val="36"/>
          <w:rtl/>
        </w:rPr>
        <w:t>كلم</w:t>
      </w:r>
      <w:r w:rsidR="00EC7EDF" w:rsidRPr="00FD211F">
        <w:rPr>
          <w:sz w:val="36"/>
          <w:szCs w:val="36"/>
          <w:rtl/>
        </w:rPr>
        <w:t xml:space="preserve">ة </w:t>
      </w:r>
      <w:r w:rsidR="00556BC0" w:rsidRPr="00FD211F">
        <w:rPr>
          <w:sz w:val="36"/>
          <w:szCs w:val="36"/>
          <w:rtl/>
        </w:rPr>
        <w:t>"ابراز التمني"</w:t>
      </w:r>
      <w:r w:rsidR="00603323" w:rsidRPr="00FD211F">
        <w:rPr>
          <w:sz w:val="36"/>
          <w:szCs w:val="36"/>
          <w:rtl/>
        </w:rPr>
        <w:t xml:space="preserve">، </w:t>
      </w:r>
      <w:r w:rsidR="00556BC0" w:rsidRPr="00FD211F">
        <w:rPr>
          <w:sz w:val="36"/>
          <w:szCs w:val="36"/>
          <w:rtl/>
        </w:rPr>
        <w:t>كالفرق الذي نحسّ به وجدانا بين ما لو سمعنا كلم</w:t>
      </w:r>
      <w:r w:rsidR="00EC7EDF" w:rsidRPr="00FD211F">
        <w:rPr>
          <w:sz w:val="36"/>
          <w:szCs w:val="36"/>
          <w:rtl/>
        </w:rPr>
        <w:t xml:space="preserve">ة </w:t>
      </w:r>
      <w:r w:rsidR="00556BC0" w:rsidRPr="00FD211F">
        <w:rPr>
          <w:sz w:val="36"/>
          <w:szCs w:val="36"/>
          <w:rtl/>
        </w:rPr>
        <w:t xml:space="preserve">"التمني" او </w:t>
      </w:r>
      <w:r w:rsidR="00DA6B1E" w:rsidRPr="00FD211F">
        <w:rPr>
          <w:sz w:val="36"/>
          <w:szCs w:val="36"/>
          <w:rtl/>
        </w:rPr>
        <w:t xml:space="preserve">كلمة </w:t>
      </w:r>
      <w:r w:rsidR="00556BC0" w:rsidRPr="00FD211F">
        <w:rPr>
          <w:sz w:val="36"/>
          <w:szCs w:val="36"/>
          <w:rtl/>
        </w:rPr>
        <w:t>"ابراز التمني" وبين ما لو احسسنا بوجود التمني في نفس شخص وإبرازه له</w:t>
      </w:r>
      <w:r w:rsidR="00603323" w:rsidRPr="00FD211F">
        <w:rPr>
          <w:sz w:val="36"/>
          <w:szCs w:val="36"/>
          <w:rtl/>
        </w:rPr>
        <w:t xml:space="preserve">، </w:t>
      </w:r>
      <w:r w:rsidR="00556BC0" w:rsidRPr="00FD211F">
        <w:rPr>
          <w:sz w:val="36"/>
          <w:szCs w:val="36"/>
          <w:rtl/>
        </w:rPr>
        <w:t>وهكذا في سائر الجمل الإنشائي</w:t>
      </w:r>
      <w:r w:rsidR="00EC7EDF" w:rsidRPr="00FD211F">
        <w:rPr>
          <w:sz w:val="36"/>
          <w:szCs w:val="36"/>
          <w:rtl/>
        </w:rPr>
        <w:t>ة</w:t>
      </w:r>
      <w:r w:rsidR="00A61BAE" w:rsidRPr="00FD211F">
        <w:rPr>
          <w:sz w:val="36"/>
          <w:szCs w:val="36"/>
          <w:rtl/>
        </w:rPr>
        <w:t>.</w:t>
      </w:r>
    </w:p>
    <w:p w14:paraId="32918B34" w14:textId="77777777" w:rsidR="005C4BF5" w:rsidRPr="00FD211F" w:rsidRDefault="00556BC0" w:rsidP="009C58C8">
      <w:pPr>
        <w:ind w:left="0" w:firstLine="227"/>
        <w:jc w:val="both"/>
        <w:rPr>
          <w:sz w:val="36"/>
          <w:szCs w:val="36"/>
          <w:rtl/>
        </w:rPr>
      </w:pPr>
      <w:r w:rsidRPr="00FD211F">
        <w:rPr>
          <w:sz w:val="36"/>
          <w:szCs w:val="36"/>
          <w:rtl/>
        </w:rPr>
        <w:t>هذا ومن جه</w:t>
      </w:r>
      <w:r w:rsidR="00EC7EDF" w:rsidRPr="00FD211F">
        <w:rPr>
          <w:sz w:val="36"/>
          <w:szCs w:val="36"/>
          <w:rtl/>
        </w:rPr>
        <w:t xml:space="preserve">ة </w:t>
      </w:r>
      <w:r w:rsidRPr="00FD211F">
        <w:rPr>
          <w:sz w:val="36"/>
          <w:szCs w:val="36"/>
          <w:rtl/>
        </w:rPr>
        <w:t>أخرى ان معنى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ليس هو النسب</w:t>
      </w:r>
      <w:r w:rsidR="00EC7EDF" w:rsidRPr="00FD211F">
        <w:rPr>
          <w:sz w:val="36"/>
          <w:szCs w:val="36"/>
          <w:rtl/>
        </w:rPr>
        <w:t xml:space="preserve">ة </w:t>
      </w:r>
      <w:r w:rsidRPr="00FD211F">
        <w:rPr>
          <w:sz w:val="36"/>
          <w:szCs w:val="36"/>
          <w:rtl/>
        </w:rPr>
        <w:t>التي تحتاج الى طرفين</w:t>
      </w:r>
      <w:r w:rsidR="00603323" w:rsidRPr="00FD211F">
        <w:rPr>
          <w:sz w:val="36"/>
          <w:szCs w:val="36"/>
          <w:rtl/>
        </w:rPr>
        <w:t xml:space="preserve">، </w:t>
      </w:r>
      <w:r w:rsidRPr="00FD211F">
        <w:rPr>
          <w:sz w:val="36"/>
          <w:szCs w:val="36"/>
          <w:rtl/>
        </w:rPr>
        <w:t>بل يكون خصوصي</w:t>
      </w:r>
      <w:r w:rsidR="00EC7EDF" w:rsidRPr="00FD211F">
        <w:rPr>
          <w:sz w:val="36"/>
          <w:szCs w:val="36"/>
          <w:rtl/>
        </w:rPr>
        <w:t xml:space="preserve">ة </w:t>
      </w:r>
      <w:r w:rsidRPr="00FD211F">
        <w:rPr>
          <w:sz w:val="36"/>
          <w:szCs w:val="36"/>
          <w:rtl/>
        </w:rPr>
        <w:t>قائم</w:t>
      </w:r>
      <w:r w:rsidR="00EC7EDF" w:rsidRPr="00FD211F">
        <w:rPr>
          <w:sz w:val="36"/>
          <w:szCs w:val="36"/>
          <w:rtl/>
        </w:rPr>
        <w:t xml:space="preserve">ة </w:t>
      </w:r>
      <w:r w:rsidRPr="00FD211F">
        <w:rPr>
          <w:sz w:val="36"/>
          <w:szCs w:val="36"/>
          <w:rtl/>
        </w:rPr>
        <w:t>بطرف واحد كخصوصي</w:t>
      </w:r>
      <w:r w:rsidR="00EC7EDF" w:rsidRPr="00FD211F">
        <w:rPr>
          <w:sz w:val="36"/>
          <w:szCs w:val="36"/>
          <w:rtl/>
        </w:rPr>
        <w:t xml:space="preserve">ة </w:t>
      </w:r>
      <w:r w:rsidRPr="00FD211F">
        <w:rPr>
          <w:sz w:val="36"/>
          <w:szCs w:val="36"/>
          <w:rtl/>
        </w:rPr>
        <w:t>صور</w:t>
      </w:r>
      <w:r w:rsidR="00EC7EDF" w:rsidRPr="00FD211F">
        <w:rPr>
          <w:sz w:val="36"/>
          <w:szCs w:val="36"/>
          <w:rtl/>
        </w:rPr>
        <w:t xml:space="preserve">ة </w:t>
      </w:r>
      <w:r w:rsidRPr="00FD211F">
        <w:rPr>
          <w:sz w:val="36"/>
          <w:szCs w:val="36"/>
          <w:rtl/>
        </w:rPr>
        <w:t>واقع إبراز التمني</w:t>
      </w:r>
      <w:r w:rsidR="00603323" w:rsidRPr="00FD211F">
        <w:rPr>
          <w:sz w:val="36"/>
          <w:szCs w:val="36"/>
          <w:rtl/>
        </w:rPr>
        <w:t xml:space="preserve">، </w:t>
      </w:r>
      <w:r w:rsidRPr="00FD211F">
        <w:rPr>
          <w:sz w:val="36"/>
          <w:szCs w:val="36"/>
          <w:rtl/>
        </w:rPr>
        <w:t>فيكون مثل لام التعريف التي ت</w:t>
      </w:r>
      <w:r w:rsidR="005C4BF5" w:rsidRPr="00FD211F">
        <w:rPr>
          <w:sz w:val="36"/>
          <w:szCs w:val="36"/>
          <w:rtl/>
        </w:rPr>
        <w:t>دل على خصوصي</w:t>
      </w:r>
      <w:r w:rsidR="00EC7EDF" w:rsidRPr="00FD211F">
        <w:rPr>
          <w:sz w:val="36"/>
          <w:szCs w:val="36"/>
          <w:rtl/>
        </w:rPr>
        <w:t xml:space="preserve">ة </w:t>
      </w:r>
      <w:r w:rsidR="00DA6B1E" w:rsidRPr="00FD211F">
        <w:rPr>
          <w:sz w:val="36"/>
          <w:szCs w:val="36"/>
          <w:rtl/>
        </w:rPr>
        <w:t xml:space="preserve">التعريف </w:t>
      </w:r>
      <w:r w:rsidR="005C4BF5" w:rsidRPr="00FD211F">
        <w:rPr>
          <w:sz w:val="36"/>
          <w:szCs w:val="36"/>
          <w:rtl/>
        </w:rPr>
        <w:t>في مدخولها كالرجل.</w:t>
      </w:r>
    </w:p>
    <w:p w14:paraId="14961AD1" w14:textId="77777777" w:rsidR="00556BC0" w:rsidRPr="00FD211F" w:rsidRDefault="005C4BF5" w:rsidP="009C58C8">
      <w:pPr>
        <w:ind w:left="0" w:firstLine="227"/>
        <w:jc w:val="both"/>
        <w:rPr>
          <w:sz w:val="36"/>
          <w:szCs w:val="36"/>
          <w:rtl/>
        </w:rPr>
      </w:pPr>
      <w:r w:rsidRPr="00FD211F">
        <w:rPr>
          <w:sz w:val="36"/>
          <w:szCs w:val="36"/>
          <w:rtl/>
        </w:rPr>
        <w:t>وفي ختام البحث عن معنى الجمل الانشائي</w:t>
      </w:r>
      <w:r w:rsidR="00EC7EDF" w:rsidRPr="00FD211F">
        <w:rPr>
          <w:sz w:val="36"/>
          <w:szCs w:val="36"/>
          <w:rtl/>
        </w:rPr>
        <w:t xml:space="preserve">ة </w:t>
      </w:r>
      <w:r w:rsidRPr="00FD211F">
        <w:rPr>
          <w:sz w:val="36"/>
          <w:szCs w:val="36"/>
          <w:rtl/>
        </w:rPr>
        <w:t>المختص</w:t>
      </w:r>
      <w:r w:rsidR="00EC7EDF" w:rsidRPr="00FD211F">
        <w:rPr>
          <w:sz w:val="36"/>
          <w:szCs w:val="36"/>
          <w:rtl/>
        </w:rPr>
        <w:t xml:space="preserve">ة </w:t>
      </w:r>
      <w:r w:rsidRPr="00FD211F">
        <w:rPr>
          <w:sz w:val="36"/>
          <w:szCs w:val="36"/>
          <w:rtl/>
        </w:rPr>
        <w:t>ينبغي الكلام حول جمل</w:t>
      </w:r>
      <w:r w:rsidR="00EC7EDF" w:rsidRPr="00FD211F">
        <w:rPr>
          <w:sz w:val="36"/>
          <w:szCs w:val="36"/>
          <w:rtl/>
        </w:rPr>
        <w:t xml:space="preserve">ة </w:t>
      </w:r>
      <w:r w:rsidRPr="00FD211F">
        <w:rPr>
          <w:sz w:val="36"/>
          <w:szCs w:val="36"/>
          <w:rtl/>
        </w:rPr>
        <w:t>النداءوالجمل</w:t>
      </w:r>
      <w:r w:rsidR="00EC7EDF" w:rsidRPr="00FD211F">
        <w:rPr>
          <w:sz w:val="36"/>
          <w:szCs w:val="36"/>
          <w:rtl/>
        </w:rPr>
        <w:t xml:space="preserve">ة </w:t>
      </w:r>
      <w:r w:rsidRPr="00FD211F">
        <w:rPr>
          <w:sz w:val="36"/>
          <w:szCs w:val="36"/>
          <w:rtl/>
        </w:rPr>
        <w:t>الشرطي</w:t>
      </w:r>
      <w:r w:rsidR="00EC7EDF" w:rsidRPr="00FD211F">
        <w:rPr>
          <w:sz w:val="36"/>
          <w:szCs w:val="36"/>
          <w:rtl/>
        </w:rPr>
        <w:t>ة</w:t>
      </w:r>
      <w:r w:rsidR="00A61BAE" w:rsidRPr="00FD211F">
        <w:rPr>
          <w:sz w:val="36"/>
          <w:szCs w:val="36"/>
          <w:rtl/>
        </w:rPr>
        <w:t>.</w:t>
      </w:r>
    </w:p>
    <w:p w14:paraId="5D8F7DFE" w14:textId="77777777" w:rsidR="00556BC0" w:rsidRPr="00FD211F" w:rsidRDefault="00556BC0" w:rsidP="009C58C8">
      <w:pPr>
        <w:pStyle w:val="3"/>
        <w:ind w:firstLine="227"/>
        <w:jc w:val="both"/>
        <w:rPr>
          <w:rtl/>
        </w:rPr>
      </w:pPr>
      <w:bookmarkStart w:id="236" w:name="_Toc192092884"/>
      <w:bookmarkStart w:id="237" w:name="_Toc223890360"/>
      <w:r w:rsidRPr="00FD211F">
        <w:rPr>
          <w:rtl/>
        </w:rPr>
        <w:t>جمل</w:t>
      </w:r>
      <w:r w:rsidR="00EC7EDF" w:rsidRPr="00FD211F">
        <w:rPr>
          <w:rtl/>
        </w:rPr>
        <w:t xml:space="preserve">ة </w:t>
      </w:r>
      <w:r w:rsidRPr="00FD211F">
        <w:rPr>
          <w:rtl/>
        </w:rPr>
        <w:t>النداء</w:t>
      </w:r>
      <w:bookmarkEnd w:id="236"/>
      <w:bookmarkEnd w:id="237"/>
    </w:p>
    <w:p w14:paraId="64E170B5" w14:textId="77777777" w:rsidR="00556BC0" w:rsidRPr="00FD211F" w:rsidRDefault="00556BC0" w:rsidP="009C58C8">
      <w:pPr>
        <w:ind w:left="0" w:firstLine="227"/>
        <w:jc w:val="both"/>
        <w:rPr>
          <w:sz w:val="36"/>
          <w:szCs w:val="36"/>
          <w:rtl/>
        </w:rPr>
      </w:pPr>
      <w:r w:rsidRPr="00FD211F">
        <w:rPr>
          <w:sz w:val="36"/>
          <w:szCs w:val="36"/>
          <w:rtl/>
        </w:rPr>
        <w:t>قد ذكر في البحوث ما محصله بتقريب منا ان جمل</w:t>
      </w:r>
      <w:r w:rsidR="00EC7EDF" w:rsidRPr="00FD211F">
        <w:rPr>
          <w:sz w:val="36"/>
          <w:szCs w:val="36"/>
          <w:rtl/>
        </w:rPr>
        <w:t xml:space="preserve">ة </w:t>
      </w:r>
      <w:r w:rsidRPr="00FD211F">
        <w:rPr>
          <w:sz w:val="36"/>
          <w:szCs w:val="36"/>
          <w:rtl/>
        </w:rPr>
        <w:t>النداء حيث يشتمل على حرف النداء والمنادى</w:t>
      </w:r>
      <w:r w:rsidR="00603323" w:rsidRPr="00FD211F">
        <w:rPr>
          <w:sz w:val="36"/>
          <w:szCs w:val="36"/>
          <w:rtl/>
        </w:rPr>
        <w:t xml:space="preserve">، </w:t>
      </w:r>
      <w:r w:rsidRPr="00FD211F">
        <w:rPr>
          <w:sz w:val="36"/>
          <w:szCs w:val="36"/>
          <w:rtl/>
        </w:rPr>
        <w:t>فتكون جمل</w:t>
      </w:r>
      <w:r w:rsidR="00EC7EDF" w:rsidRPr="00FD211F">
        <w:rPr>
          <w:sz w:val="36"/>
          <w:szCs w:val="36"/>
          <w:rtl/>
        </w:rPr>
        <w:t xml:space="preserve">ة </w:t>
      </w:r>
      <w:r w:rsidRPr="00FD211F">
        <w:rPr>
          <w:sz w:val="36"/>
          <w:szCs w:val="36"/>
          <w:rtl/>
        </w:rPr>
        <w:t>النداء ناقص</w:t>
      </w:r>
      <w:r w:rsidR="00EC7EDF" w:rsidRPr="00FD211F">
        <w:rPr>
          <w:sz w:val="36"/>
          <w:szCs w:val="36"/>
          <w:rtl/>
        </w:rPr>
        <w:t xml:space="preserve">ة </w:t>
      </w:r>
      <w:r w:rsidRPr="00FD211F">
        <w:rPr>
          <w:sz w:val="36"/>
          <w:szCs w:val="36"/>
          <w:rtl/>
        </w:rPr>
        <w:t>-لابمعنى عدم كونها مما يصح السكوت عليها</w:t>
      </w:r>
      <w:r w:rsidR="00603323" w:rsidRPr="00FD211F">
        <w:rPr>
          <w:sz w:val="36"/>
          <w:szCs w:val="36"/>
          <w:rtl/>
        </w:rPr>
        <w:t xml:space="preserve">، </w:t>
      </w:r>
      <w:r w:rsidRPr="00FD211F">
        <w:rPr>
          <w:sz w:val="36"/>
          <w:szCs w:val="36"/>
          <w:rtl/>
        </w:rPr>
        <w:t>فانه لااشكال في كونها مما يصح السكوت عليها لتحقق الغرض منها وهو النداء والتنبيه</w:t>
      </w:r>
      <w:r w:rsidR="00603323" w:rsidRPr="00FD211F">
        <w:rPr>
          <w:sz w:val="36"/>
          <w:szCs w:val="36"/>
          <w:rtl/>
        </w:rPr>
        <w:t xml:space="preserve">، </w:t>
      </w:r>
      <w:r w:rsidRPr="00FD211F">
        <w:rPr>
          <w:sz w:val="36"/>
          <w:szCs w:val="36"/>
          <w:rtl/>
        </w:rPr>
        <w:t>فيكون كما لو صاح على زيد بغرض لفت نظره وتنبيهه بل بمعنى عدم كون مدلولها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 مفهومين في وعاء مناسب- وحينئذ فإما أن نقول بانها في قو</w:t>
      </w:r>
      <w:r w:rsidR="00EC7EDF" w:rsidRPr="00FD211F">
        <w:rPr>
          <w:sz w:val="36"/>
          <w:szCs w:val="36"/>
          <w:rtl/>
        </w:rPr>
        <w:t xml:space="preserve">ة </w:t>
      </w:r>
      <w:r w:rsidRPr="00FD211F">
        <w:rPr>
          <w:sz w:val="36"/>
          <w:szCs w:val="36"/>
          <w:rtl/>
        </w:rPr>
        <w:t>جمل</w:t>
      </w:r>
      <w:r w:rsidR="00EC7EDF" w:rsidRPr="00FD211F">
        <w:rPr>
          <w:sz w:val="36"/>
          <w:szCs w:val="36"/>
          <w:rtl/>
        </w:rPr>
        <w:t xml:space="preserve">ة </w:t>
      </w:r>
      <w:r w:rsidRPr="00FD211F">
        <w:rPr>
          <w:sz w:val="36"/>
          <w:szCs w:val="36"/>
          <w:rtl/>
        </w:rPr>
        <w:t>"ادعو زيدا" اذا استعملت في مقام الإنشاء او نقول بان حرف النداء</w:t>
      </w:r>
      <w:r w:rsidR="008D7B3D" w:rsidRPr="00FD211F">
        <w:rPr>
          <w:sz w:val="36"/>
          <w:szCs w:val="36"/>
          <w:rtl/>
        </w:rPr>
        <w:t xml:space="preserve"> لم‌</w:t>
      </w:r>
      <w:r w:rsidRPr="00FD211F">
        <w:rPr>
          <w:sz w:val="36"/>
          <w:szCs w:val="36"/>
          <w:rtl/>
        </w:rPr>
        <w:t>يستعمل في اي معنى وانما هو موجد للنداء تكوينا</w:t>
      </w:r>
      <w:r w:rsidR="00603323" w:rsidRPr="00FD211F">
        <w:rPr>
          <w:sz w:val="36"/>
          <w:szCs w:val="36"/>
          <w:rtl/>
        </w:rPr>
        <w:t xml:space="preserve">، </w:t>
      </w:r>
      <w:r w:rsidRPr="00FD211F">
        <w:rPr>
          <w:sz w:val="36"/>
          <w:szCs w:val="36"/>
          <w:rtl/>
        </w:rPr>
        <w:t>نعم الفرق بين حرف النداء وغيره مما يكون صوتا تكوينيا ان هيئ</w:t>
      </w:r>
      <w:r w:rsidR="00EC7EDF" w:rsidRPr="00FD211F">
        <w:rPr>
          <w:sz w:val="36"/>
          <w:szCs w:val="36"/>
          <w:rtl/>
        </w:rPr>
        <w:t xml:space="preserve">ة </w:t>
      </w:r>
      <w:r w:rsidRPr="00FD211F">
        <w:rPr>
          <w:sz w:val="36"/>
          <w:szCs w:val="36"/>
          <w:rtl/>
        </w:rPr>
        <w:t>جمل</w:t>
      </w:r>
      <w:r w:rsidR="00EC7EDF" w:rsidRPr="00FD211F">
        <w:rPr>
          <w:sz w:val="36"/>
          <w:szCs w:val="36"/>
          <w:rtl/>
        </w:rPr>
        <w:t xml:space="preserve">ة </w:t>
      </w:r>
      <w:r w:rsidRPr="00FD211F">
        <w:rPr>
          <w:sz w:val="36"/>
          <w:szCs w:val="36"/>
          <w:rtl/>
        </w:rPr>
        <w:t>النداء قد وضعت للدلال</w:t>
      </w:r>
      <w:r w:rsidR="00EC7EDF" w:rsidRPr="00FD211F">
        <w:rPr>
          <w:sz w:val="36"/>
          <w:szCs w:val="36"/>
          <w:rtl/>
        </w:rPr>
        <w:t xml:space="preserve">ة </w:t>
      </w:r>
      <w:r w:rsidRPr="00FD211F">
        <w:rPr>
          <w:sz w:val="36"/>
          <w:szCs w:val="36"/>
          <w:rtl/>
        </w:rPr>
        <w:t xml:space="preserve">على كون </w:t>
      </w:r>
      <w:r w:rsidR="009D571F" w:rsidRPr="00FD211F">
        <w:rPr>
          <w:sz w:val="36"/>
          <w:szCs w:val="36"/>
          <w:rtl/>
        </w:rPr>
        <w:t xml:space="preserve">مدخول </w:t>
      </w:r>
      <w:r w:rsidRPr="00FD211F">
        <w:rPr>
          <w:sz w:val="36"/>
          <w:szCs w:val="36"/>
          <w:rtl/>
        </w:rPr>
        <w:t>حرف النداء هو المنادى</w:t>
      </w:r>
      <w:r w:rsidR="00603323" w:rsidRPr="00FD211F">
        <w:rPr>
          <w:sz w:val="36"/>
          <w:szCs w:val="36"/>
          <w:rtl/>
        </w:rPr>
        <w:t xml:space="preserve">، </w:t>
      </w:r>
      <w:r w:rsidRPr="00FD211F">
        <w:rPr>
          <w:sz w:val="36"/>
          <w:szCs w:val="36"/>
          <w:rtl/>
        </w:rPr>
        <w:t>كما تختلف جمل</w:t>
      </w:r>
      <w:r w:rsidR="00EC7EDF" w:rsidRPr="00FD211F">
        <w:rPr>
          <w:sz w:val="36"/>
          <w:szCs w:val="36"/>
          <w:rtl/>
        </w:rPr>
        <w:t xml:space="preserve">ة </w:t>
      </w:r>
      <w:r w:rsidRPr="00FD211F">
        <w:rPr>
          <w:sz w:val="36"/>
          <w:szCs w:val="36"/>
          <w:rtl/>
        </w:rPr>
        <w:t>النداء عن مثل جمل</w:t>
      </w:r>
      <w:r w:rsidR="00EC7EDF" w:rsidRPr="00FD211F">
        <w:rPr>
          <w:sz w:val="36"/>
          <w:szCs w:val="36"/>
          <w:rtl/>
        </w:rPr>
        <w:t xml:space="preserve">ة </w:t>
      </w:r>
      <w:r w:rsidRPr="00FD211F">
        <w:rPr>
          <w:sz w:val="36"/>
          <w:szCs w:val="36"/>
          <w:rtl/>
        </w:rPr>
        <w:t>"نداء زيد" او "تنبيه زيد" التي تفيد حص</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من المعنى الاسمي من النداء او التنبيه.</w:t>
      </w:r>
    </w:p>
    <w:p w14:paraId="37ADBE20" w14:textId="77777777" w:rsidR="00556BC0" w:rsidRPr="00FD211F" w:rsidRDefault="00556BC0" w:rsidP="009C58C8">
      <w:pPr>
        <w:ind w:left="0" w:firstLine="227"/>
        <w:jc w:val="both"/>
        <w:rPr>
          <w:sz w:val="36"/>
          <w:szCs w:val="36"/>
          <w:rtl/>
        </w:rPr>
      </w:pPr>
      <w:r w:rsidRPr="00FD211F">
        <w:rPr>
          <w:sz w:val="36"/>
          <w:szCs w:val="36"/>
          <w:rtl/>
        </w:rPr>
        <w:t>فجمل</w:t>
      </w:r>
      <w:r w:rsidR="00EC7EDF" w:rsidRPr="00FD211F">
        <w:rPr>
          <w:sz w:val="36"/>
          <w:szCs w:val="36"/>
          <w:rtl/>
        </w:rPr>
        <w:t xml:space="preserve">ة </w:t>
      </w:r>
      <w:r w:rsidRPr="00FD211F">
        <w:rPr>
          <w:sz w:val="36"/>
          <w:szCs w:val="36"/>
          <w:rtl/>
        </w:rPr>
        <w:t>النداء ممتزج</w:t>
      </w:r>
      <w:r w:rsidR="00EC7EDF" w:rsidRPr="00FD211F">
        <w:rPr>
          <w:sz w:val="36"/>
          <w:szCs w:val="36"/>
          <w:rtl/>
        </w:rPr>
        <w:t xml:space="preserve">ة </w:t>
      </w:r>
      <w:r w:rsidRPr="00FD211F">
        <w:rPr>
          <w:sz w:val="36"/>
          <w:szCs w:val="36"/>
          <w:rtl/>
        </w:rPr>
        <w:t>من موجد تكويني ومن دالّ حكائي</w:t>
      </w:r>
      <w:r w:rsidR="00603323" w:rsidRPr="00FD211F">
        <w:rPr>
          <w:sz w:val="36"/>
          <w:szCs w:val="36"/>
          <w:rtl/>
        </w:rPr>
        <w:t xml:space="preserve">، </w:t>
      </w:r>
      <w:r w:rsidRPr="00FD211F">
        <w:rPr>
          <w:sz w:val="36"/>
          <w:szCs w:val="36"/>
          <w:rtl/>
        </w:rPr>
        <w:t>ويوجد في مورد جمل</w:t>
      </w:r>
      <w:r w:rsidR="00EC7EDF" w:rsidRPr="00FD211F">
        <w:rPr>
          <w:sz w:val="36"/>
          <w:szCs w:val="36"/>
          <w:rtl/>
        </w:rPr>
        <w:t xml:space="preserve">ة </w:t>
      </w:r>
      <w:r w:rsidRPr="00FD211F">
        <w:rPr>
          <w:sz w:val="36"/>
          <w:szCs w:val="36"/>
          <w:rtl/>
        </w:rPr>
        <w:t>النداء كقولنا "يا زيد" ثلاث نسب:</w:t>
      </w:r>
    </w:p>
    <w:p w14:paraId="1F639A75" w14:textId="77777777" w:rsidR="00556BC0" w:rsidRPr="00FD211F" w:rsidRDefault="006E7C8E" w:rsidP="009C58C8">
      <w:pPr>
        <w:ind w:left="0" w:firstLine="227"/>
        <w:jc w:val="both"/>
        <w:rPr>
          <w:sz w:val="36"/>
          <w:szCs w:val="36"/>
          <w:rtl/>
        </w:rPr>
      </w:pPr>
      <w:r w:rsidRPr="00FD211F">
        <w:rPr>
          <w:sz w:val="36"/>
          <w:szCs w:val="36"/>
          <w:rtl/>
        </w:rPr>
        <w:t>1-</w:t>
      </w:r>
      <w:r w:rsidR="00B253CE" w:rsidRPr="00FD211F">
        <w:rPr>
          <w:sz w:val="36"/>
          <w:szCs w:val="36"/>
          <w:rtl/>
        </w:rPr>
        <w:t xml:space="preserve"> </w:t>
      </w:r>
      <w:r w:rsidR="00556BC0" w:rsidRPr="00FD211F">
        <w:rPr>
          <w:sz w:val="36"/>
          <w:szCs w:val="36"/>
          <w:rtl/>
        </w:rPr>
        <w:t>نسب</w:t>
      </w:r>
      <w:r w:rsidR="00EC7EDF" w:rsidRPr="00FD211F">
        <w:rPr>
          <w:sz w:val="36"/>
          <w:szCs w:val="36"/>
          <w:rtl/>
        </w:rPr>
        <w:t xml:space="preserve">ة </w:t>
      </w:r>
      <w:r w:rsidR="00556BC0" w:rsidRPr="00FD211F">
        <w:rPr>
          <w:sz w:val="36"/>
          <w:szCs w:val="36"/>
          <w:rtl/>
        </w:rPr>
        <w:t>خارجي</w:t>
      </w:r>
      <w:r w:rsidR="00EC7EDF" w:rsidRPr="00FD211F">
        <w:rPr>
          <w:sz w:val="36"/>
          <w:szCs w:val="36"/>
          <w:rtl/>
        </w:rPr>
        <w:t xml:space="preserve">ة </w:t>
      </w:r>
      <w:r w:rsidR="00556BC0" w:rsidRPr="00FD211F">
        <w:rPr>
          <w:sz w:val="36"/>
          <w:szCs w:val="36"/>
          <w:rtl/>
        </w:rPr>
        <w:t>تنبيهي</w:t>
      </w:r>
      <w:r w:rsidR="00EC7EDF" w:rsidRPr="00FD211F">
        <w:rPr>
          <w:sz w:val="36"/>
          <w:szCs w:val="36"/>
          <w:rtl/>
        </w:rPr>
        <w:t xml:space="preserve">ة </w:t>
      </w:r>
      <w:r w:rsidR="00DA6B1E" w:rsidRPr="00FD211F">
        <w:rPr>
          <w:sz w:val="36"/>
          <w:szCs w:val="36"/>
          <w:rtl/>
        </w:rPr>
        <w:t>بين نفس حرف "يا "</w:t>
      </w:r>
      <w:r w:rsidR="00556BC0" w:rsidRPr="00FD211F">
        <w:rPr>
          <w:sz w:val="36"/>
          <w:szCs w:val="36"/>
          <w:rtl/>
        </w:rPr>
        <w:t xml:space="preserve"> وبين شخص زيد.</w:t>
      </w:r>
    </w:p>
    <w:p w14:paraId="4B294342" w14:textId="77777777" w:rsidR="00556BC0" w:rsidRPr="00FD211F" w:rsidRDefault="00556BC0" w:rsidP="009C58C8">
      <w:pPr>
        <w:ind w:left="0" w:firstLine="227"/>
        <w:jc w:val="both"/>
        <w:rPr>
          <w:sz w:val="36"/>
          <w:szCs w:val="36"/>
          <w:rtl/>
        </w:rPr>
      </w:pPr>
      <w:r w:rsidRPr="00FD211F">
        <w:rPr>
          <w:sz w:val="36"/>
          <w:szCs w:val="36"/>
          <w:rtl/>
        </w:rPr>
        <w:t>2- نسب</w:t>
      </w:r>
      <w:r w:rsidR="00EC7EDF" w:rsidRPr="00FD211F">
        <w:rPr>
          <w:sz w:val="36"/>
          <w:szCs w:val="36"/>
          <w:rtl/>
        </w:rPr>
        <w:t xml:space="preserve">ة </w:t>
      </w:r>
      <w:r w:rsidRPr="00FD211F">
        <w:rPr>
          <w:sz w:val="36"/>
          <w:szCs w:val="36"/>
          <w:rtl/>
        </w:rPr>
        <w:t>تحليلي</w:t>
      </w:r>
      <w:r w:rsidR="00EC7EDF" w:rsidRPr="00FD211F">
        <w:rPr>
          <w:sz w:val="36"/>
          <w:szCs w:val="36"/>
          <w:rtl/>
        </w:rPr>
        <w:t xml:space="preserve">ة </w:t>
      </w:r>
      <w:r w:rsidRPr="00FD211F">
        <w:rPr>
          <w:sz w:val="36"/>
          <w:szCs w:val="36"/>
          <w:rtl/>
        </w:rPr>
        <w:t>تنبيهي</w:t>
      </w:r>
      <w:r w:rsidR="00EC7EDF" w:rsidRPr="00FD211F">
        <w:rPr>
          <w:sz w:val="36"/>
          <w:szCs w:val="36"/>
          <w:rtl/>
        </w:rPr>
        <w:t xml:space="preserve">ة </w:t>
      </w:r>
      <w:r w:rsidRPr="00FD211F">
        <w:rPr>
          <w:sz w:val="36"/>
          <w:szCs w:val="36"/>
          <w:rtl/>
        </w:rPr>
        <w:t>موجود</w:t>
      </w:r>
      <w:r w:rsidR="00EC7EDF" w:rsidRPr="00FD211F">
        <w:rPr>
          <w:sz w:val="36"/>
          <w:szCs w:val="36"/>
          <w:rtl/>
        </w:rPr>
        <w:t xml:space="preserve">ة </w:t>
      </w:r>
      <w:r w:rsidRPr="00FD211F">
        <w:rPr>
          <w:sz w:val="36"/>
          <w:szCs w:val="36"/>
          <w:rtl/>
        </w:rPr>
        <w:t>في ذهن المتكلم</w:t>
      </w:r>
      <w:r w:rsidR="00603323" w:rsidRPr="00FD211F">
        <w:rPr>
          <w:sz w:val="36"/>
          <w:szCs w:val="36"/>
          <w:rtl/>
        </w:rPr>
        <w:t xml:space="preserve">، </w:t>
      </w:r>
      <w:r w:rsidRPr="00FD211F">
        <w:rPr>
          <w:sz w:val="36"/>
          <w:szCs w:val="36"/>
          <w:rtl/>
        </w:rPr>
        <w:t>ووجه كونها تحليلي</w:t>
      </w:r>
      <w:r w:rsidR="00EC7EDF" w:rsidRPr="00FD211F">
        <w:rPr>
          <w:sz w:val="36"/>
          <w:szCs w:val="36"/>
          <w:rtl/>
        </w:rPr>
        <w:t xml:space="preserve">ة </w:t>
      </w:r>
      <w:r w:rsidR="006E7C8E" w:rsidRPr="00FD211F">
        <w:rPr>
          <w:sz w:val="36"/>
          <w:szCs w:val="36"/>
          <w:rtl/>
        </w:rPr>
        <w:t>كونهامتحصل</w:t>
      </w:r>
      <w:r w:rsidR="00EC7EDF" w:rsidRPr="00FD211F">
        <w:rPr>
          <w:sz w:val="36"/>
          <w:szCs w:val="36"/>
          <w:rtl/>
        </w:rPr>
        <w:t xml:space="preserve">ة </w:t>
      </w:r>
      <w:r w:rsidRPr="00FD211F">
        <w:rPr>
          <w:sz w:val="36"/>
          <w:szCs w:val="36"/>
          <w:rtl/>
        </w:rPr>
        <w:t>من النسب</w:t>
      </w:r>
      <w:r w:rsidR="00EC7EDF" w:rsidRPr="00FD211F">
        <w:rPr>
          <w:sz w:val="36"/>
          <w:szCs w:val="36"/>
          <w:rtl/>
        </w:rPr>
        <w:t xml:space="preserve">ة </w:t>
      </w:r>
      <w:r w:rsidRPr="00FD211F">
        <w:rPr>
          <w:sz w:val="36"/>
          <w:szCs w:val="36"/>
          <w:rtl/>
        </w:rPr>
        <w:t>التنبيهي</w:t>
      </w:r>
      <w:r w:rsidR="00EC7EDF" w:rsidRPr="00FD211F">
        <w:rPr>
          <w:sz w:val="36"/>
          <w:szCs w:val="36"/>
          <w:rtl/>
        </w:rPr>
        <w:t xml:space="preserve">ة </w:t>
      </w:r>
      <w:r w:rsidRPr="00FD211F">
        <w:rPr>
          <w:sz w:val="36"/>
          <w:szCs w:val="36"/>
          <w:rtl/>
        </w:rPr>
        <w:t>الخارجي</w:t>
      </w:r>
      <w:r w:rsidR="00EC7EDF" w:rsidRPr="00FD211F">
        <w:rPr>
          <w:sz w:val="36"/>
          <w:szCs w:val="36"/>
          <w:rtl/>
        </w:rPr>
        <w:t>ة</w:t>
      </w:r>
      <w:r w:rsidR="00603323" w:rsidRPr="00FD211F">
        <w:rPr>
          <w:sz w:val="36"/>
          <w:szCs w:val="36"/>
          <w:rtl/>
        </w:rPr>
        <w:t xml:space="preserve">، </w:t>
      </w:r>
      <w:r w:rsidRPr="00FD211F">
        <w:rPr>
          <w:sz w:val="36"/>
          <w:szCs w:val="36"/>
          <w:rtl/>
        </w:rPr>
        <w:t>وهذه النسب</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تكون مع طرفيها موجود</w:t>
      </w:r>
      <w:r w:rsidR="00EC7EDF" w:rsidRPr="00FD211F">
        <w:rPr>
          <w:sz w:val="36"/>
          <w:szCs w:val="36"/>
          <w:rtl/>
        </w:rPr>
        <w:t xml:space="preserve">ة </w:t>
      </w:r>
      <w:r w:rsidRPr="00FD211F">
        <w:rPr>
          <w:sz w:val="36"/>
          <w:szCs w:val="36"/>
          <w:rtl/>
        </w:rPr>
        <w:t>بوجود ذهني واحد</w:t>
      </w:r>
      <w:r w:rsidR="00603323" w:rsidRPr="00FD211F">
        <w:rPr>
          <w:sz w:val="36"/>
          <w:szCs w:val="36"/>
          <w:rtl/>
        </w:rPr>
        <w:t xml:space="preserve">، </w:t>
      </w:r>
      <w:r w:rsidRPr="00FD211F">
        <w:rPr>
          <w:sz w:val="36"/>
          <w:szCs w:val="36"/>
          <w:rtl/>
        </w:rPr>
        <w:t>وتنحلّ عقلا الى ثلاث</w:t>
      </w:r>
      <w:r w:rsidR="00EC7EDF" w:rsidRPr="00FD211F">
        <w:rPr>
          <w:sz w:val="36"/>
          <w:szCs w:val="36"/>
          <w:rtl/>
        </w:rPr>
        <w:t xml:space="preserve">ة </w:t>
      </w:r>
      <w:r w:rsidRPr="00FD211F">
        <w:rPr>
          <w:sz w:val="36"/>
          <w:szCs w:val="36"/>
          <w:rtl/>
        </w:rPr>
        <w:t>أجزاء احدها: صور</w:t>
      </w:r>
      <w:r w:rsidR="00EC7EDF" w:rsidRPr="00FD211F">
        <w:rPr>
          <w:sz w:val="36"/>
          <w:szCs w:val="36"/>
          <w:rtl/>
        </w:rPr>
        <w:t xml:space="preserve">ة </w:t>
      </w:r>
      <w:r w:rsidRPr="00FD211F">
        <w:rPr>
          <w:sz w:val="36"/>
          <w:szCs w:val="36"/>
          <w:rtl/>
        </w:rPr>
        <w:t>لفظ</w:t>
      </w:r>
      <w:r w:rsidR="00EC7EDF" w:rsidRPr="00FD211F">
        <w:rPr>
          <w:sz w:val="36"/>
          <w:szCs w:val="36"/>
          <w:rtl/>
        </w:rPr>
        <w:t xml:space="preserve">ة </w:t>
      </w:r>
      <w:r w:rsidR="008837AE" w:rsidRPr="00FD211F">
        <w:rPr>
          <w:sz w:val="36"/>
          <w:szCs w:val="36"/>
          <w:rtl/>
        </w:rPr>
        <w:t>"يا"</w:t>
      </w:r>
      <w:r w:rsidRPr="00FD211F">
        <w:rPr>
          <w:sz w:val="36"/>
          <w:szCs w:val="36"/>
          <w:rtl/>
        </w:rPr>
        <w:t xml:space="preserve"> –لانفس تلك اللفظ</w:t>
      </w:r>
      <w:r w:rsidR="00EC7EDF" w:rsidRPr="00FD211F">
        <w:rPr>
          <w:sz w:val="36"/>
          <w:szCs w:val="36"/>
          <w:rtl/>
        </w:rPr>
        <w:t xml:space="preserve">ة </w:t>
      </w:r>
      <w:r w:rsidRPr="00FD211F">
        <w:rPr>
          <w:sz w:val="36"/>
          <w:szCs w:val="36"/>
          <w:rtl/>
        </w:rPr>
        <w:t>الموجود</w:t>
      </w:r>
      <w:r w:rsidR="00EC7EDF" w:rsidRPr="00FD211F">
        <w:rPr>
          <w:sz w:val="36"/>
          <w:szCs w:val="36"/>
          <w:rtl/>
        </w:rPr>
        <w:t xml:space="preserve">ة </w:t>
      </w:r>
      <w:r w:rsidRPr="00FD211F">
        <w:rPr>
          <w:sz w:val="36"/>
          <w:szCs w:val="36"/>
          <w:rtl/>
        </w:rPr>
        <w:t>خارجا حيث لايمكن ان تكون طرفا للنسب</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 وثانيها: صور</w:t>
      </w:r>
      <w:r w:rsidR="00EC7EDF" w:rsidRPr="00FD211F">
        <w:rPr>
          <w:sz w:val="36"/>
          <w:szCs w:val="36"/>
          <w:rtl/>
        </w:rPr>
        <w:t xml:space="preserve">ة </w:t>
      </w:r>
      <w:r w:rsidRPr="00FD211F">
        <w:rPr>
          <w:sz w:val="36"/>
          <w:szCs w:val="36"/>
          <w:rtl/>
        </w:rPr>
        <w:t>زيد وثالثها: النسب</w:t>
      </w:r>
      <w:r w:rsidR="00EC7EDF" w:rsidRPr="00FD211F">
        <w:rPr>
          <w:sz w:val="36"/>
          <w:szCs w:val="36"/>
          <w:rtl/>
        </w:rPr>
        <w:t xml:space="preserve">ة </w:t>
      </w:r>
      <w:r w:rsidRPr="00FD211F">
        <w:rPr>
          <w:sz w:val="36"/>
          <w:szCs w:val="36"/>
          <w:rtl/>
        </w:rPr>
        <w:t>التنبيهي</w:t>
      </w:r>
      <w:r w:rsidR="00EC7EDF" w:rsidRPr="00FD211F">
        <w:rPr>
          <w:sz w:val="36"/>
          <w:szCs w:val="36"/>
          <w:rtl/>
        </w:rPr>
        <w:t xml:space="preserve">ة </w:t>
      </w:r>
      <w:r w:rsidRPr="00FD211F">
        <w:rPr>
          <w:sz w:val="36"/>
          <w:szCs w:val="36"/>
          <w:rtl/>
        </w:rPr>
        <w:t>بينهما.</w:t>
      </w:r>
    </w:p>
    <w:p w14:paraId="09062321" w14:textId="77777777" w:rsidR="00556BC0" w:rsidRPr="00FD211F" w:rsidRDefault="00556BC0" w:rsidP="009C58C8">
      <w:pPr>
        <w:ind w:left="0" w:firstLine="227"/>
        <w:jc w:val="both"/>
        <w:rPr>
          <w:sz w:val="36"/>
          <w:szCs w:val="36"/>
          <w:rtl/>
        </w:rPr>
      </w:pPr>
      <w:r w:rsidRPr="00FD211F">
        <w:rPr>
          <w:sz w:val="36"/>
          <w:szCs w:val="36"/>
          <w:rtl/>
        </w:rPr>
        <w:t>3- نسب</w:t>
      </w:r>
      <w:r w:rsidR="00EC7EDF" w:rsidRPr="00FD211F">
        <w:rPr>
          <w:sz w:val="36"/>
          <w:szCs w:val="36"/>
          <w:rtl/>
        </w:rPr>
        <w:t xml:space="preserve">ة </w:t>
      </w:r>
      <w:r w:rsidRPr="00FD211F">
        <w:rPr>
          <w:sz w:val="36"/>
          <w:szCs w:val="36"/>
          <w:rtl/>
        </w:rPr>
        <w:t>تحليلي</w:t>
      </w:r>
      <w:r w:rsidR="00EC7EDF" w:rsidRPr="00FD211F">
        <w:rPr>
          <w:sz w:val="36"/>
          <w:szCs w:val="36"/>
          <w:rtl/>
        </w:rPr>
        <w:t xml:space="preserve">ة </w:t>
      </w:r>
      <w:r w:rsidRPr="00FD211F">
        <w:rPr>
          <w:sz w:val="36"/>
          <w:szCs w:val="36"/>
          <w:rtl/>
        </w:rPr>
        <w:t>تنبيهي</w:t>
      </w:r>
      <w:r w:rsidR="00EC7EDF" w:rsidRPr="00FD211F">
        <w:rPr>
          <w:sz w:val="36"/>
          <w:szCs w:val="36"/>
          <w:rtl/>
        </w:rPr>
        <w:t xml:space="preserve">ة </w:t>
      </w:r>
      <w:r w:rsidRPr="00FD211F">
        <w:rPr>
          <w:sz w:val="36"/>
          <w:szCs w:val="36"/>
          <w:rtl/>
        </w:rPr>
        <w:t>موجود</w:t>
      </w:r>
      <w:r w:rsidR="00EC7EDF" w:rsidRPr="00FD211F">
        <w:rPr>
          <w:sz w:val="36"/>
          <w:szCs w:val="36"/>
          <w:rtl/>
        </w:rPr>
        <w:t xml:space="preserve">ة </w:t>
      </w:r>
      <w:r w:rsidRPr="00FD211F">
        <w:rPr>
          <w:sz w:val="36"/>
          <w:szCs w:val="36"/>
          <w:rtl/>
        </w:rPr>
        <w:t>في ذهن السامع فانه لما ابرز المتكلم</w:t>
      </w:r>
      <w:r w:rsidR="00C7588D" w:rsidRPr="00FD211F">
        <w:rPr>
          <w:sz w:val="36"/>
          <w:szCs w:val="36"/>
          <w:rtl/>
        </w:rPr>
        <w:t xml:space="preserve"> </w:t>
      </w:r>
      <w:r w:rsidRPr="00FD211F">
        <w:rPr>
          <w:sz w:val="36"/>
          <w:szCs w:val="36"/>
          <w:rtl/>
        </w:rPr>
        <w:t>جمل</w:t>
      </w:r>
      <w:r w:rsidR="00EC7EDF" w:rsidRPr="00FD211F">
        <w:rPr>
          <w:sz w:val="36"/>
          <w:szCs w:val="36"/>
          <w:rtl/>
        </w:rPr>
        <w:t xml:space="preserve">ة </w:t>
      </w:r>
      <w:r w:rsidR="008837AE" w:rsidRPr="00FD211F">
        <w:rPr>
          <w:sz w:val="36"/>
          <w:szCs w:val="36"/>
          <w:rtl/>
        </w:rPr>
        <w:t>"</w:t>
      </w:r>
      <w:r w:rsidRPr="00FD211F">
        <w:rPr>
          <w:sz w:val="36"/>
          <w:szCs w:val="36"/>
          <w:rtl/>
        </w:rPr>
        <w:t>يازيد</w:t>
      </w:r>
      <w:r w:rsidR="008837AE" w:rsidRPr="00FD211F">
        <w:rPr>
          <w:sz w:val="36"/>
          <w:szCs w:val="36"/>
          <w:rtl/>
        </w:rPr>
        <w:t>"</w:t>
      </w:r>
      <w:r w:rsidRPr="00FD211F">
        <w:rPr>
          <w:sz w:val="36"/>
          <w:szCs w:val="36"/>
          <w:rtl/>
        </w:rPr>
        <w:t xml:space="preserve"> حصل في ذهن السامع ولنفرضه شخص زيد صور</w:t>
      </w:r>
      <w:r w:rsidR="00EC7EDF" w:rsidRPr="00FD211F">
        <w:rPr>
          <w:sz w:val="36"/>
          <w:szCs w:val="36"/>
          <w:rtl/>
        </w:rPr>
        <w:t xml:space="preserve">ة </w:t>
      </w:r>
      <w:r w:rsidRPr="00FD211F">
        <w:rPr>
          <w:sz w:val="36"/>
          <w:szCs w:val="36"/>
          <w:rtl/>
        </w:rPr>
        <w:t>مماثل</w:t>
      </w:r>
      <w:r w:rsidR="00EC7EDF" w:rsidRPr="00FD211F">
        <w:rPr>
          <w:sz w:val="36"/>
          <w:szCs w:val="36"/>
          <w:rtl/>
        </w:rPr>
        <w:t xml:space="preserve">ة </w:t>
      </w:r>
      <w:r w:rsidRPr="00FD211F">
        <w:rPr>
          <w:sz w:val="36"/>
          <w:szCs w:val="36"/>
          <w:rtl/>
        </w:rPr>
        <w:t>لتلك الصور</w:t>
      </w:r>
      <w:r w:rsidR="00EC7EDF" w:rsidRPr="00FD211F">
        <w:rPr>
          <w:sz w:val="36"/>
          <w:szCs w:val="36"/>
          <w:rtl/>
        </w:rPr>
        <w:t xml:space="preserve">ة </w:t>
      </w:r>
      <w:r w:rsidRPr="00FD211F">
        <w:rPr>
          <w:sz w:val="36"/>
          <w:szCs w:val="36"/>
          <w:rtl/>
        </w:rPr>
        <w:t>التي كانت في ذهن المتكلم</w:t>
      </w:r>
      <w:r w:rsidR="00603323" w:rsidRPr="00FD211F">
        <w:rPr>
          <w:sz w:val="36"/>
          <w:szCs w:val="36"/>
          <w:rtl/>
        </w:rPr>
        <w:t xml:space="preserve">، </w:t>
      </w:r>
      <w:r w:rsidRPr="00FD211F">
        <w:rPr>
          <w:sz w:val="36"/>
          <w:szCs w:val="36"/>
          <w:rtl/>
        </w:rPr>
        <w:t>وبذلك يحصل تنبيهه تكوينا</w:t>
      </w:r>
      <w:r w:rsidR="009C58C8" w:rsidRPr="00FD211F">
        <w:rPr>
          <w:rStyle w:val="a6"/>
          <w:sz w:val="36"/>
          <w:szCs w:val="36"/>
          <w:rtl/>
        </w:rPr>
        <w:t>(</w:t>
      </w:r>
      <w:r w:rsidR="009C58C8" w:rsidRPr="00FD211F">
        <w:rPr>
          <w:rStyle w:val="a6"/>
          <w:sz w:val="36"/>
          <w:szCs w:val="36"/>
          <w:rtl/>
        </w:rPr>
        <w:footnoteReference w:id="220"/>
      </w:r>
      <w:r w:rsidR="009C58C8" w:rsidRPr="00FD211F">
        <w:rPr>
          <w:rStyle w:val="a6"/>
          <w:sz w:val="36"/>
          <w:szCs w:val="36"/>
          <w:rtl/>
        </w:rPr>
        <w:t>)</w:t>
      </w:r>
      <w:r w:rsidRPr="00FD211F">
        <w:rPr>
          <w:sz w:val="36"/>
          <w:szCs w:val="36"/>
          <w:rtl/>
        </w:rPr>
        <w:t>.</w:t>
      </w:r>
    </w:p>
    <w:p w14:paraId="4B7E6EE5" w14:textId="77777777" w:rsidR="000C5BBA" w:rsidRPr="00FD211F" w:rsidRDefault="006E7C8E" w:rsidP="009C58C8">
      <w:pPr>
        <w:ind w:left="0" w:firstLine="227"/>
        <w:jc w:val="both"/>
        <w:rPr>
          <w:sz w:val="36"/>
          <w:szCs w:val="36"/>
          <w:rtl/>
        </w:rPr>
      </w:pPr>
      <w:r w:rsidRPr="00FD211F">
        <w:rPr>
          <w:sz w:val="36"/>
          <w:szCs w:val="36"/>
          <w:rtl/>
        </w:rPr>
        <w:t>و</w:t>
      </w:r>
      <w:r w:rsidR="00556BC0" w:rsidRPr="00FD211F">
        <w:rPr>
          <w:sz w:val="36"/>
          <w:szCs w:val="36"/>
          <w:rtl/>
        </w:rPr>
        <w:t xml:space="preserve"> قد اختار بعض الساد</w:t>
      </w:r>
      <w:r w:rsidR="00EC7EDF" w:rsidRPr="00FD211F">
        <w:rPr>
          <w:sz w:val="36"/>
          <w:szCs w:val="36"/>
          <w:rtl/>
        </w:rPr>
        <w:t xml:space="preserve">ة </w:t>
      </w:r>
      <w:r w:rsidR="00556BC0" w:rsidRPr="00FD211F">
        <w:rPr>
          <w:sz w:val="36"/>
          <w:szCs w:val="36"/>
          <w:rtl/>
        </w:rPr>
        <w:t>الاعلام</w:t>
      </w:r>
      <w:r w:rsidRPr="00FD211F">
        <w:rPr>
          <w:sz w:val="36"/>
          <w:szCs w:val="36"/>
          <w:rtl/>
        </w:rPr>
        <w:t>"</w:t>
      </w:r>
      <w:r w:rsidR="00556BC0" w:rsidRPr="00FD211F">
        <w:rPr>
          <w:sz w:val="36"/>
          <w:szCs w:val="36"/>
          <w:rtl/>
        </w:rPr>
        <w:t xml:space="preserve"> دام ظله</w:t>
      </w:r>
      <w:r w:rsidRPr="00FD211F">
        <w:rPr>
          <w:sz w:val="36"/>
          <w:szCs w:val="36"/>
          <w:rtl/>
        </w:rPr>
        <w:t>"</w:t>
      </w:r>
      <w:r w:rsidR="00556BC0" w:rsidRPr="00FD211F">
        <w:rPr>
          <w:sz w:val="36"/>
          <w:szCs w:val="36"/>
          <w:rtl/>
        </w:rPr>
        <w:t xml:space="preserve"> أيضا ان حرف النداء موجد للنداء</w:t>
      </w:r>
      <w:r w:rsidRPr="00FD211F">
        <w:rPr>
          <w:sz w:val="36"/>
          <w:szCs w:val="36"/>
          <w:rtl/>
        </w:rPr>
        <w:t xml:space="preserve"> تكوينا وليس مستعملا في اي معنى.</w:t>
      </w:r>
    </w:p>
    <w:p w14:paraId="4C713316" w14:textId="77777777" w:rsidR="000C5BBA" w:rsidRPr="00FD211F" w:rsidRDefault="00556BC0" w:rsidP="009C58C8">
      <w:pPr>
        <w:ind w:left="0" w:firstLine="227"/>
        <w:jc w:val="both"/>
        <w:rPr>
          <w:sz w:val="36"/>
          <w:szCs w:val="36"/>
          <w:rtl/>
        </w:rPr>
      </w:pPr>
      <w:r w:rsidRPr="00FD211F">
        <w:rPr>
          <w:sz w:val="36"/>
          <w:szCs w:val="36"/>
          <w:rtl/>
        </w:rPr>
        <w:t>ولكنه خلاف الوجدان العرفي</w:t>
      </w:r>
      <w:r w:rsidR="00603323" w:rsidRPr="00FD211F">
        <w:rPr>
          <w:sz w:val="36"/>
          <w:szCs w:val="36"/>
          <w:rtl/>
        </w:rPr>
        <w:t xml:space="preserve">، </w:t>
      </w:r>
      <w:r w:rsidRPr="00FD211F">
        <w:rPr>
          <w:sz w:val="36"/>
          <w:szCs w:val="36"/>
          <w:rtl/>
        </w:rPr>
        <w:t>حيث ان المرتكز عرفا وضع حرف النداء لإبراز قصد النداء</w:t>
      </w:r>
      <w:r w:rsidR="00603323" w:rsidRPr="00FD211F">
        <w:rPr>
          <w:sz w:val="36"/>
          <w:szCs w:val="36"/>
          <w:rtl/>
        </w:rPr>
        <w:t xml:space="preserve">، </w:t>
      </w:r>
      <w:r w:rsidRPr="00FD211F">
        <w:rPr>
          <w:sz w:val="36"/>
          <w:szCs w:val="36"/>
          <w:rtl/>
        </w:rPr>
        <w:t>وشاهده انه يفهم اهل اللغ</w:t>
      </w:r>
      <w:r w:rsidR="00EC7EDF" w:rsidRPr="00FD211F">
        <w:rPr>
          <w:sz w:val="36"/>
          <w:szCs w:val="36"/>
          <w:rtl/>
        </w:rPr>
        <w:t xml:space="preserve">ة </w:t>
      </w:r>
      <w:r w:rsidRPr="00FD211F">
        <w:rPr>
          <w:sz w:val="36"/>
          <w:szCs w:val="36"/>
          <w:rtl/>
        </w:rPr>
        <w:t>الفارسي</w:t>
      </w:r>
      <w:r w:rsidR="00EC7EDF" w:rsidRPr="00FD211F">
        <w:rPr>
          <w:sz w:val="36"/>
          <w:szCs w:val="36"/>
          <w:rtl/>
        </w:rPr>
        <w:t xml:space="preserve">ة </w:t>
      </w:r>
      <w:r w:rsidRPr="00FD211F">
        <w:rPr>
          <w:sz w:val="36"/>
          <w:szCs w:val="36"/>
          <w:rtl/>
        </w:rPr>
        <w:t>عند سماعهم حر</w:t>
      </w:r>
      <w:r w:rsidR="008837AE" w:rsidRPr="00FD211F">
        <w:rPr>
          <w:sz w:val="36"/>
          <w:szCs w:val="36"/>
          <w:rtl/>
        </w:rPr>
        <w:t xml:space="preserve">ف "اى" وحده ما </w:t>
      </w:r>
      <w:r w:rsidRPr="00FD211F">
        <w:rPr>
          <w:sz w:val="36"/>
          <w:szCs w:val="36"/>
          <w:rtl/>
        </w:rPr>
        <w:t>يفهمونه من حرف "يا" وحده ولو</w:t>
      </w:r>
      <w:r w:rsidR="008D7B3D" w:rsidRPr="00FD211F">
        <w:rPr>
          <w:sz w:val="36"/>
          <w:szCs w:val="36"/>
          <w:rtl/>
        </w:rPr>
        <w:t xml:space="preserve"> لم‌</w:t>
      </w:r>
      <w:r w:rsidRPr="00FD211F">
        <w:rPr>
          <w:sz w:val="36"/>
          <w:szCs w:val="36"/>
          <w:rtl/>
        </w:rPr>
        <w:t>يستخدم في مجال الند</w:t>
      </w:r>
      <w:r w:rsidR="006E7C8E" w:rsidRPr="00FD211F">
        <w:rPr>
          <w:sz w:val="36"/>
          <w:szCs w:val="36"/>
          <w:rtl/>
        </w:rPr>
        <w:t>اء مضافا الى انه قد يستعمل</w:t>
      </w:r>
      <w:r w:rsidRPr="00FD211F">
        <w:rPr>
          <w:sz w:val="36"/>
          <w:szCs w:val="36"/>
          <w:rtl/>
        </w:rPr>
        <w:t xml:space="preserve"> حرف النداء في الكتاب</w:t>
      </w:r>
      <w:r w:rsidR="00EC7EDF" w:rsidRPr="00FD211F">
        <w:rPr>
          <w:sz w:val="36"/>
          <w:szCs w:val="36"/>
          <w:rtl/>
        </w:rPr>
        <w:t>ة</w:t>
      </w:r>
      <w:r w:rsidR="00603323" w:rsidRPr="00FD211F">
        <w:rPr>
          <w:sz w:val="36"/>
          <w:szCs w:val="36"/>
          <w:rtl/>
        </w:rPr>
        <w:t xml:space="preserve">، </w:t>
      </w:r>
      <w:r w:rsidRPr="00FD211F">
        <w:rPr>
          <w:sz w:val="36"/>
          <w:szCs w:val="36"/>
          <w:rtl/>
        </w:rPr>
        <w:t>ولايكون ذلك موجدا للنداء والتصويت التكوي</w:t>
      </w:r>
      <w:r w:rsidR="00A64FCC" w:rsidRPr="00FD211F">
        <w:rPr>
          <w:sz w:val="36"/>
          <w:szCs w:val="36"/>
          <w:rtl/>
        </w:rPr>
        <w:t>ني</w:t>
      </w:r>
      <w:r w:rsidR="00603323" w:rsidRPr="00FD211F">
        <w:rPr>
          <w:sz w:val="36"/>
          <w:szCs w:val="36"/>
          <w:rtl/>
        </w:rPr>
        <w:t xml:space="preserve">، </w:t>
      </w:r>
      <w:r w:rsidRPr="00FD211F">
        <w:rPr>
          <w:sz w:val="36"/>
          <w:szCs w:val="36"/>
          <w:rtl/>
        </w:rPr>
        <w:t>وليس حرف النداء حرف تنبيه مثل "ألا" كي يتصور له معنى فيما لو ورد في الكتاب</w:t>
      </w:r>
      <w:r w:rsidR="00EC7EDF" w:rsidRPr="00FD211F">
        <w:rPr>
          <w:sz w:val="36"/>
          <w:szCs w:val="36"/>
          <w:rtl/>
        </w:rPr>
        <w:t>ة</w:t>
      </w:r>
      <w:r w:rsidR="00603323" w:rsidRPr="00FD211F">
        <w:rPr>
          <w:sz w:val="36"/>
          <w:szCs w:val="36"/>
          <w:rtl/>
        </w:rPr>
        <w:t xml:space="preserve">، </w:t>
      </w:r>
      <w:r w:rsidRPr="00FD211F">
        <w:rPr>
          <w:sz w:val="36"/>
          <w:szCs w:val="36"/>
          <w:rtl/>
        </w:rPr>
        <w:t>فدعوى كون حرف النداء موجبا للنداء تكوينا بما انه تصويت خلاف الوجدان</w:t>
      </w:r>
      <w:r w:rsidR="00603323" w:rsidRPr="00FD211F">
        <w:rPr>
          <w:sz w:val="36"/>
          <w:szCs w:val="36"/>
          <w:rtl/>
        </w:rPr>
        <w:t xml:space="preserve">، </w:t>
      </w:r>
      <w:r w:rsidR="00D70ED4" w:rsidRPr="00FD211F">
        <w:rPr>
          <w:sz w:val="36"/>
          <w:szCs w:val="36"/>
          <w:rtl/>
        </w:rPr>
        <w:t>ونظيرهادعوى</w:t>
      </w:r>
      <w:r w:rsidR="00B253CE" w:rsidRPr="00FD211F">
        <w:rPr>
          <w:sz w:val="36"/>
          <w:szCs w:val="36"/>
          <w:rtl/>
        </w:rPr>
        <w:t xml:space="preserve"> </w:t>
      </w:r>
      <w:r w:rsidR="00D70ED4" w:rsidRPr="00FD211F">
        <w:rPr>
          <w:sz w:val="36"/>
          <w:szCs w:val="36"/>
          <w:rtl/>
        </w:rPr>
        <w:t xml:space="preserve">ان </w:t>
      </w:r>
      <w:r w:rsidRPr="00FD211F">
        <w:rPr>
          <w:sz w:val="36"/>
          <w:szCs w:val="36"/>
          <w:rtl/>
        </w:rPr>
        <w:t>جمل</w:t>
      </w:r>
      <w:r w:rsidR="00EC7EDF" w:rsidRPr="00FD211F">
        <w:rPr>
          <w:sz w:val="36"/>
          <w:szCs w:val="36"/>
          <w:rtl/>
        </w:rPr>
        <w:t xml:space="preserve">ة </w:t>
      </w:r>
      <w:r w:rsidRPr="00FD211F">
        <w:rPr>
          <w:sz w:val="36"/>
          <w:szCs w:val="36"/>
          <w:rtl/>
        </w:rPr>
        <w:t>النداء في مثل</w:t>
      </w:r>
      <w:r w:rsidR="00D70ED4" w:rsidRPr="00FD211F">
        <w:rPr>
          <w:sz w:val="36"/>
          <w:szCs w:val="36"/>
          <w:rtl/>
        </w:rPr>
        <w:t>"</w:t>
      </w:r>
      <w:r w:rsidRPr="00FD211F">
        <w:rPr>
          <w:sz w:val="36"/>
          <w:szCs w:val="36"/>
          <w:rtl/>
        </w:rPr>
        <w:t xml:space="preserve"> يازيد</w:t>
      </w:r>
      <w:r w:rsidR="00D70ED4" w:rsidRPr="00FD211F">
        <w:rPr>
          <w:sz w:val="36"/>
          <w:szCs w:val="36"/>
          <w:rtl/>
        </w:rPr>
        <w:t xml:space="preserve">"تكون </w:t>
      </w:r>
      <w:r w:rsidRPr="00FD211F">
        <w:rPr>
          <w:sz w:val="36"/>
          <w:szCs w:val="36"/>
          <w:rtl/>
        </w:rPr>
        <w:t>في قو</w:t>
      </w:r>
      <w:r w:rsidR="00EC7EDF" w:rsidRPr="00FD211F">
        <w:rPr>
          <w:sz w:val="36"/>
          <w:szCs w:val="36"/>
          <w:rtl/>
        </w:rPr>
        <w:t xml:space="preserve">ة </w:t>
      </w:r>
      <w:r w:rsidR="00D70ED4" w:rsidRPr="00FD211F">
        <w:rPr>
          <w:sz w:val="36"/>
          <w:szCs w:val="36"/>
          <w:rtl/>
        </w:rPr>
        <w:t>"</w:t>
      </w:r>
      <w:r w:rsidRPr="00FD211F">
        <w:rPr>
          <w:sz w:val="36"/>
          <w:szCs w:val="36"/>
          <w:rtl/>
        </w:rPr>
        <w:t>أدعو زيدا</w:t>
      </w:r>
      <w:r w:rsidR="00D70ED4" w:rsidRPr="00FD211F">
        <w:rPr>
          <w:sz w:val="36"/>
          <w:szCs w:val="36"/>
          <w:rtl/>
        </w:rPr>
        <w:t>"</w:t>
      </w:r>
      <w:r w:rsidR="00603323" w:rsidRPr="00FD211F">
        <w:rPr>
          <w:sz w:val="36"/>
          <w:szCs w:val="36"/>
          <w:rtl/>
        </w:rPr>
        <w:t xml:space="preserve">، </w:t>
      </w:r>
      <w:r w:rsidR="00D70ED4" w:rsidRPr="00FD211F">
        <w:rPr>
          <w:sz w:val="36"/>
          <w:szCs w:val="36"/>
          <w:rtl/>
        </w:rPr>
        <w:t>كما ان</w:t>
      </w:r>
      <w:r w:rsidR="00B253CE" w:rsidRPr="00FD211F">
        <w:rPr>
          <w:sz w:val="36"/>
          <w:szCs w:val="36"/>
          <w:rtl/>
        </w:rPr>
        <w:t xml:space="preserve"> </w:t>
      </w:r>
      <w:r w:rsidR="00D70ED4" w:rsidRPr="00FD211F">
        <w:rPr>
          <w:sz w:val="36"/>
          <w:szCs w:val="36"/>
          <w:rtl/>
        </w:rPr>
        <w:t>ال</w:t>
      </w:r>
      <w:r w:rsidRPr="00FD211F">
        <w:rPr>
          <w:sz w:val="36"/>
          <w:szCs w:val="36"/>
          <w:rtl/>
        </w:rPr>
        <w:t>نسب</w:t>
      </w:r>
      <w:r w:rsidR="00EC7EDF" w:rsidRPr="00FD211F">
        <w:rPr>
          <w:sz w:val="36"/>
          <w:szCs w:val="36"/>
          <w:rtl/>
        </w:rPr>
        <w:t xml:space="preserve">ة </w:t>
      </w:r>
      <w:r w:rsidR="00D70ED4" w:rsidRPr="00FD211F">
        <w:rPr>
          <w:sz w:val="36"/>
          <w:szCs w:val="36"/>
          <w:rtl/>
        </w:rPr>
        <w:t>ال</w:t>
      </w:r>
      <w:r w:rsidRPr="00FD211F">
        <w:rPr>
          <w:sz w:val="36"/>
          <w:szCs w:val="36"/>
          <w:rtl/>
        </w:rPr>
        <w:t>تنبيهي</w:t>
      </w:r>
      <w:r w:rsidR="00EC7EDF" w:rsidRPr="00FD211F">
        <w:rPr>
          <w:sz w:val="36"/>
          <w:szCs w:val="36"/>
          <w:rtl/>
        </w:rPr>
        <w:t xml:space="preserve">ة </w:t>
      </w:r>
      <w:r w:rsidR="00D70ED4" w:rsidRPr="00FD211F">
        <w:rPr>
          <w:sz w:val="36"/>
          <w:szCs w:val="36"/>
          <w:rtl/>
        </w:rPr>
        <w:t>ال</w:t>
      </w:r>
      <w:r w:rsidRPr="00FD211F">
        <w:rPr>
          <w:sz w:val="36"/>
          <w:szCs w:val="36"/>
          <w:rtl/>
        </w:rPr>
        <w:t>خارجي</w:t>
      </w:r>
      <w:r w:rsidR="00EC7EDF" w:rsidRPr="00FD211F">
        <w:rPr>
          <w:sz w:val="36"/>
          <w:szCs w:val="36"/>
          <w:rtl/>
        </w:rPr>
        <w:t xml:space="preserve">ة </w:t>
      </w:r>
      <w:r w:rsidRPr="00FD211F">
        <w:rPr>
          <w:sz w:val="36"/>
          <w:szCs w:val="36"/>
          <w:rtl/>
        </w:rPr>
        <w:t xml:space="preserve">بين حرف </w:t>
      </w:r>
      <w:r w:rsidR="00D70ED4" w:rsidRPr="00FD211F">
        <w:rPr>
          <w:sz w:val="36"/>
          <w:szCs w:val="36"/>
          <w:rtl/>
        </w:rPr>
        <w:t>النداء وبين المنادى لات</w:t>
      </w:r>
      <w:r w:rsidRPr="00FD211F">
        <w:rPr>
          <w:sz w:val="36"/>
          <w:szCs w:val="36"/>
          <w:rtl/>
        </w:rPr>
        <w:t xml:space="preserve">وجد في نداء الجماد والميت </w:t>
      </w:r>
      <w:r w:rsidR="00D70ED4" w:rsidRPr="00FD211F">
        <w:rPr>
          <w:sz w:val="36"/>
          <w:szCs w:val="36"/>
          <w:rtl/>
        </w:rPr>
        <w:t>والغائب ولايحسّ بمجازيته وجدانا.</w:t>
      </w:r>
    </w:p>
    <w:p w14:paraId="2DC1C269" w14:textId="77777777" w:rsidR="00556BC0" w:rsidRPr="00FD211F" w:rsidRDefault="00D70ED4" w:rsidP="009C58C8">
      <w:pPr>
        <w:ind w:left="0" w:firstLine="227"/>
        <w:jc w:val="both"/>
        <w:rPr>
          <w:sz w:val="36"/>
          <w:szCs w:val="36"/>
          <w:rtl/>
        </w:rPr>
      </w:pPr>
      <w:r w:rsidRPr="00FD211F">
        <w:rPr>
          <w:sz w:val="36"/>
          <w:szCs w:val="36"/>
          <w:rtl/>
        </w:rPr>
        <w:t>ف</w:t>
      </w:r>
      <w:r w:rsidR="00556BC0" w:rsidRPr="00FD211F">
        <w:rPr>
          <w:sz w:val="36"/>
          <w:szCs w:val="36"/>
          <w:rtl/>
        </w:rPr>
        <w:t>الظاهر ان معنى حرف النداء صور</w:t>
      </w:r>
      <w:r w:rsidR="00EC7EDF" w:rsidRPr="00FD211F">
        <w:rPr>
          <w:sz w:val="36"/>
          <w:szCs w:val="36"/>
          <w:rtl/>
        </w:rPr>
        <w:t xml:space="preserve">ة </w:t>
      </w:r>
      <w:r w:rsidR="00556BC0" w:rsidRPr="00FD211F">
        <w:rPr>
          <w:sz w:val="36"/>
          <w:szCs w:val="36"/>
          <w:rtl/>
        </w:rPr>
        <w:t>إبراز قصد النداء الأعم من النداء اللفظي والكتبي.</w:t>
      </w:r>
    </w:p>
    <w:p w14:paraId="7D4C13CD" w14:textId="77777777" w:rsidR="00556BC0" w:rsidRPr="00FD211F" w:rsidRDefault="00556BC0" w:rsidP="009C58C8">
      <w:pPr>
        <w:pStyle w:val="3"/>
        <w:ind w:firstLine="227"/>
        <w:jc w:val="both"/>
        <w:rPr>
          <w:rtl/>
        </w:rPr>
      </w:pPr>
      <w:bookmarkStart w:id="238" w:name="_Toc192092885"/>
      <w:bookmarkStart w:id="239" w:name="_Toc223890361"/>
      <w:r w:rsidRPr="00FD211F">
        <w:rPr>
          <w:rtl/>
        </w:rPr>
        <w:t>الجمل</w:t>
      </w:r>
      <w:r w:rsidR="00EC7EDF" w:rsidRPr="00FD211F">
        <w:rPr>
          <w:rtl/>
        </w:rPr>
        <w:t xml:space="preserve">ة </w:t>
      </w:r>
      <w:r w:rsidRPr="00FD211F">
        <w:rPr>
          <w:rtl/>
        </w:rPr>
        <w:t>الشرطي</w:t>
      </w:r>
      <w:r w:rsidR="00EC7EDF" w:rsidRPr="00FD211F">
        <w:rPr>
          <w:rtl/>
        </w:rPr>
        <w:t>ة</w:t>
      </w:r>
      <w:bookmarkEnd w:id="239"/>
      <w:r w:rsidR="00EC7EDF" w:rsidRPr="00FD211F">
        <w:rPr>
          <w:rtl/>
        </w:rPr>
        <w:t xml:space="preserve"> </w:t>
      </w:r>
      <w:bookmarkEnd w:id="238"/>
    </w:p>
    <w:p w14:paraId="6AA0A19F" w14:textId="77777777" w:rsidR="00556BC0" w:rsidRPr="00FD211F" w:rsidRDefault="00556BC0" w:rsidP="009C58C8">
      <w:pPr>
        <w:ind w:left="0" w:firstLine="227"/>
        <w:jc w:val="both"/>
        <w:rPr>
          <w:sz w:val="36"/>
          <w:szCs w:val="36"/>
          <w:rtl/>
        </w:rPr>
      </w:pPr>
      <w:r w:rsidRPr="00FD211F">
        <w:rPr>
          <w:sz w:val="36"/>
          <w:szCs w:val="36"/>
          <w:rtl/>
        </w:rPr>
        <w:t>يعتبر في الجمل</w:t>
      </w:r>
      <w:r w:rsidR="00EC7EDF" w:rsidRPr="00FD211F">
        <w:rPr>
          <w:sz w:val="36"/>
          <w:szCs w:val="36"/>
          <w:rtl/>
        </w:rPr>
        <w:t xml:space="preserve">ة </w:t>
      </w:r>
      <w:r w:rsidRPr="00FD211F">
        <w:rPr>
          <w:sz w:val="36"/>
          <w:szCs w:val="36"/>
          <w:rtl/>
        </w:rPr>
        <w:t>الشرطي</w:t>
      </w:r>
      <w:r w:rsidR="00EC7EDF" w:rsidRPr="00FD211F">
        <w:rPr>
          <w:sz w:val="36"/>
          <w:szCs w:val="36"/>
          <w:rtl/>
        </w:rPr>
        <w:t xml:space="preserve">ة </w:t>
      </w:r>
      <w:r w:rsidRPr="00FD211F">
        <w:rPr>
          <w:sz w:val="36"/>
          <w:szCs w:val="36"/>
          <w:rtl/>
        </w:rPr>
        <w:t>اشتمالها على جملتين تامّتين تكون احديهما شرطا والأخرى جزاءا</w:t>
      </w:r>
      <w:r w:rsidR="00603323" w:rsidRPr="00FD211F">
        <w:rPr>
          <w:sz w:val="36"/>
          <w:szCs w:val="36"/>
          <w:rtl/>
        </w:rPr>
        <w:t xml:space="preserve">، </w:t>
      </w:r>
      <w:r w:rsidRPr="00FD211F">
        <w:rPr>
          <w:sz w:val="36"/>
          <w:szCs w:val="36"/>
          <w:rtl/>
        </w:rPr>
        <w:t>وتكون مفاد أدا</w:t>
      </w:r>
      <w:r w:rsidR="00EC7EDF" w:rsidRPr="00FD211F">
        <w:rPr>
          <w:sz w:val="36"/>
          <w:szCs w:val="36"/>
          <w:rtl/>
        </w:rPr>
        <w:t xml:space="preserve">ة </w:t>
      </w:r>
      <w:r w:rsidRPr="00FD211F">
        <w:rPr>
          <w:sz w:val="36"/>
          <w:szCs w:val="36"/>
          <w:rtl/>
        </w:rPr>
        <w:t>الشرط هو تعليق مضمون جمل</w:t>
      </w:r>
      <w:r w:rsidR="00EC7EDF" w:rsidRPr="00FD211F">
        <w:rPr>
          <w:sz w:val="36"/>
          <w:szCs w:val="36"/>
          <w:rtl/>
        </w:rPr>
        <w:t xml:space="preserve">ة </w:t>
      </w:r>
      <w:r w:rsidRPr="00FD211F">
        <w:rPr>
          <w:sz w:val="36"/>
          <w:szCs w:val="36"/>
          <w:rtl/>
        </w:rPr>
        <w:t>الجزاء على جمل</w:t>
      </w:r>
      <w:r w:rsidR="00EC7EDF" w:rsidRPr="00FD211F">
        <w:rPr>
          <w:sz w:val="36"/>
          <w:szCs w:val="36"/>
          <w:rtl/>
        </w:rPr>
        <w:t xml:space="preserve">ة </w:t>
      </w:r>
      <w:r w:rsidRPr="00FD211F">
        <w:rPr>
          <w:sz w:val="36"/>
          <w:szCs w:val="36"/>
          <w:rtl/>
        </w:rPr>
        <w:t>الشرط</w:t>
      </w:r>
      <w:r w:rsidR="00603323" w:rsidRPr="00FD211F">
        <w:rPr>
          <w:sz w:val="36"/>
          <w:szCs w:val="36"/>
          <w:rtl/>
        </w:rPr>
        <w:t xml:space="preserve">، </w:t>
      </w:r>
      <w:r w:rsidRPr="00FD211F">
        <w:rPr>
          <w:sz w:val="36"/>
          <w:szCs w:val="36"/>
          <w:rtl/>
        </w:rPr>
        <w:t>وهذا التعليق نسب</w:t>
      </w:r>
      <w:r w:rsidR="00EC7EDF" w:rsidRPr="00FD211F">
        <w:rPr>
          <w:sz w:val="36"/>
          <w:szCs w:val="36"/>
          <w:rtl/>
        </w:rPr>
        <w:t xml:space="preserve">ة </w:t>
      </w:r>
      <w:r w:rsidRPr="00FD211F">
        <w:rPr>
          <w:sz w:val="36"/>
          <w:szCs w:val="36"/>
          <w:rtl/>
        </w:rPr>
        <w:t>تام</w:t>
      </w:r>
      <w:r w:rsidR="00EC7EDF" w:rsidRPr="00FD211F">
        <w:rPr>
          <w:sz w:val="36"/>
          <w:szCs w:val="36"/>
          <w:rtl/>
        </w:rPr>
        <w:t>ة</w:t>
      </w:r>
      <w:r w:rsidR="00603323" w:rsidRPr="00FD211F">
        <w:rPr>
          <w:sz w:val="36"/>
          <w:szCs w:val="36"/>
          <w:rtl/>
        </w:rPr>
        <w:t xml:space="preserve">، </w:t>
      </w:r>
      <w:r w:rsidRPr="00FD211F">
        <w:rPr>
          <w:sz w:val="36"/>
          <w:szCs w:val="36"/>
          <w:rtl/>
        </w:rPr>
        <w:t>وقد ذكر في البحوث في وجهه ان النسب</w:t>
      </w:r>
      <w:r w:rsidR="00EC7EDF" w:rsidRPr="00FD211F">
        <w:rPr>
          <w:sz w:val="36"/>
          <w:szCs w:val="36"/>
          <w:rtl/>
        </w:rPr>
        <w:t xml:space="preserve">ة </w:t>
      </w:r>
      <w:r w:rsidRPr="00FD211F">
        <w:rPr>
          <w:sz w:val="36"/>
          <w:szCs w:val="36"/>
          <w:rtl/>
        </w:rPr>
        <w:t>الشرطي</w:t>
      </w:r>
      <w:r w:rsidR="00EC7EDF" w:rsidRPr="00FD211F">
        <w:rPr>
          <w:sz w:val="36"/>
          <w:szCs w:val="36"/>
          <w:rtl/>
        </w:rPr>
        <w:t xml:space="preserve">ة </w:t>
      </w:r>
      <w:r w:rsidRPr="00FD211F">
        <w:rPr>
          <w:sz w:val="36"/>
          <w:szCs w:val="36"/>
          <w:rtl/>
        </w:rPr>
        <w:t>نسب</w:t>
      </w:r>
      <w:r w:rsidR="00EC7EDF" w:rsidRPr="00FD211F">
        <w:rPr>
          <w:sz w:val="36"/>
          <w:szCs w:val="36"/>
          <w:rtl/>
        </w:rPr>
        <w:t xml:space="preserve">ة </w:t>
      </w:r>
      <w:r w:rsidRPr="00FD211F">
        <w:rPr>
          <w:sz w:val="36"/>
          <w:szCs w:val="36"/>
          <w:rtl/>
        </w:rPr>
        <w:t>ثانوي</w:t>
      </w:r>
      <w:r w:rsidR="00EC7EDF" w:rsidRPr="00FD211F">
        <w:rPr>
          <w:sz w:val="36"/>
          <w:szCs w:val="36"/>
          <w:rtl/>
        </w:rPr>
        <w:t xml:space="preserve">ة </w:t>
      </w:r>
      <w:r w:rsidRPr="00FD211F">
        <w:rPr>
          <w:sz w:val="36"/>
          <w:szCs w:val="36"/>
          <w:rtl/>
        </w:rPr>
        <w:t>موطنها الذهن وليست متحصل</w:t>
      </w:r>
      <w:r w:rsidR="00EC7EDF" w:rsidRPr="00FD211F">
        <w:rPr>
          <w:sz w:val="36"/>
          <w:szCs w:val="36"/>
          <w:rtl/>
        </w:rPr>
        <w:t xml:space="preserve">ة </w:t>
      </w:r>
      <w:r w:rsidRPr="00FD211F">
        <w:rPr>
          <w:sz w:val="36"/>
          <w:szCs w:val="36"/>
          <w:rtl/>
        </w:rPr>
        <w:t>عن الخارج -كي يصير ما في الذهن نسب</w:t>
      </w:r>
      <w:r w:rsidR="00EC7EDF" w:rsidRPr="00FD211F">
        <w:rPr>
          <w:sz w:val="36"/>
          <w:szCs w:val="36"/>
          <w:rtl/>
        </w:rPr>
        <w:t xml:space="preserve">ة </w:t>
      </w:r>
      <w:r w:rsidRPr="00FD211F">
        <w:rPr>
          <w:sz w:val="36"/>
          <w:szCs w:val="36"/>
          <w:rtl/>
        </w:rPr>
        <w:t>تحليلي</w:t>
      </w:r>
      <w:r w:rsidR="00EC7EDF" w:rsidRPr="00FD211F">
        <w:rPr>
          <w:sz w:val="36"/>
          <w:szCs w:val="36"/>
          <w:rtl/>
        </w:rPr>
        <w:t xml:space="preserve">ة </w:t>
      </w:r>
      <w:r w:rsidRPr="00FD211F">
        <w:rPr>
          <w:sz w:val="36"/>
          <w:szCs w:val="36"/>
          <w:rtl/>
        </w:rPr>
        <w:t>شرطي</w:t>
      </w:r>
      <w:r w:rsidR="00EC7EDF" w:rsidRPr="00FD211F">
        <w:rPr>
          <w:sz w:val="36"/>
          <w:szCs w:val="36"/>
          <w:rtl/>
        </w:rPr>
        <w:t xml:space="preserve">ة </w:t>
      </w:r>
      <w:r w:rsidRPr="00FD211F">
        <w:rPr>
          <w:sz w:val="36"/>
          <w:szCs w:val="36"/>
          <w:rtl/>
        </w:rPr>
        <w:t>فتوجب كون الجمل</w:t>
      </w:r>
      <w:r w:rsidR="00EC7EDF" w:rsidRPr="00FD211F">
        <w:rPr>
          <w:sz w:val="36"/>
          <w:szCs w:val="36"/>
          <w:rtl/>
        </w:rPr>
        <w:t xml:space="preserve">ة </w:t>
      </w:r>
      <w:r w:rsidRPr="00FD211F">
        <w:rPr>
          <w:sz w:val="36"/>
          <w:szCs w:val="36"/>
          <w:rtl/>
        </w:rPr>
        <w:t>ناقص</w:t>
      </w:r>
      <w:r w:rsidR="00EC7EDF" w:rsidRPr="00FD211F">
        <w:rPr>
          <w:sz w:val="36"/>
          <w:szCs w:val="36"/>
          <w:rtl/>
        </w:rPr>
        <w:t xml:space="preserve">ة </w:t>
      </w:r>
      <w:r w:rsidRPr="00FD211F">
        <w:rPr>
          <w:sz w:val="36"/>
          <w:szCs w:val="36"/>
          <w:rtl/>
        </w:rPr>
        <w:t>- فانه لايوجد في الخارج نسب</w:t>
      </w:r>
      <w:r w:rsidR="00EC7EDF" w:rsidRPr="00FD211F">
        <w:rPr>
          <w:sz w:val="36"/>
          <w:szCs w:val="36"/>
          <w:rtl/>
        </w:rPr>
        <w:t xml:space="preserve">ة </w:t>
      </w:r>
      <w:r w:rsidRPr="00FD211F">
        <w:rPr>
          <w:sz w:val="36"/>
          <w:szCs w:val="36"/>
          <w:rtl/>
        </w:rPr>
        <w:t>توقفي</w:t>
      </w:r>
      <w:r w:rsidR="00EC7EDF" w:rsidRPr="00FD211F">
        <w:rPr>
          <w:sz w:val="36"/>
          <w:szCs w:val="36"/>
          <w:rtl/>
        </w:rPr>
        <w:t xml:space="preserve">ة </w:t>
      </w:r>
      <w:r w:rsidRPr="00FD211F">
        <w:rPr>
          <w:sz w:val="36"/>
          <w:szCs w:val="36"/>
          <w:rtl/>
        </w:rPr>
        <w:t>بين مضمون الجزاء ومضمون الشرط</w:t>
      </w:r>
      <w:r w:rsidR="00603323" w:rsidRPr="00FD211F">
        <w:rPr>
          <w:sz w:val="36"/>
          <w:szCs w:val="36"/>
          <w:rtl/>
        </w:rPr>
        <w:t xml:space="preserve">، </w:t>
      </w:r>
      <w:r w:rsidRPr="00FD211F">
        <w:rPr>
          <w:sz w:val="36"/>
          <w:szCs w:val="36"/>
          <w:rtl/>
        </w:rPr>
        <w:t>حيث ان النسب</w:t>
      </w:r>
      <w:r w:rsidR="00EC7EDF" w:rsidRPr="00FD211F">
        <w:rPr>
          <w:sz w:val="36"/>
          <w:szCs w:val="36"/>
          <w:rtl/>
        </w:rPr>
        <w:t xml:space="preserve">ة </w:t>
      </w:r>
      <w:r w:rsidRPr="00FD211F">
        <w:rPr>
          <w:sz w:val="36"/>
          <w:szCs w:val="36"/>
          <w:rtl/>
        </w:rPr>
        <w:t>الخارجي</w:t>
      </w:r>
      <w:r w:rsidR="00EC7EDF" w:rsidRPr="00FD211F">
        <w:rPr>
          <w:sz w:val="36"/>
          <w:szCs w:val="36"/>
          <w:rtl/>
        </w:rPr>
        <w:t xml:space="preserve">ة </w:t>
      </w:r>
      <w:r w:rsidRPr="00FD211F">
        <w:rPr>
          <w:sz w:val="36"/>
          <w:szCs w:val="36"/>
          <w:rtl/>
        </w:rPr>
        <w:t>تتوقف على وجود طرفي النسب</w:t>
      </w:r>
      <w:r w:rsidR="00EC7EDF" w:rsidRPr="00FD211F">
        <w:rPr>
          <w:sz w:val="36"/>
          <w:szCs w:val="36"/>
          <w:rtl/>
        </w:rPr>
        <w:t xml:space="preserve">ة </w:t>
      </w:r>
      <w:r w:rsidRPr="00FD211F">
        <w:rPr>
          <w:sz w:val="36"/>
          <w:szCs w:val="36"/>
          <w:rtl/>
        </w:rPr>
        <w:t>مع ان توقف الجزاء على الشرط ثابت ولو</w:t>
      </w:r>
      <w:r w:rsidR="008D7B3D" w:rsidRPr="00FD211F">
        <w:rPr>
          <w:sz w:val="36"/>
          <w:szCs w:val="36"/>
          <w:rtl/>
        </w:rPr>
        <w:t xml:space="preserve"> لم‌</w:t>
      </w:r>
      <w:r w:rsidRPr="00FD211F">
        <w:rPr>
          <w:sz w:val="36"/>
          <w:szCs w:val="36"/>
          <w:rtl/>
        </w:rPr>
        <w:t>يوجد الشرط والجزاء خارجا كما في قوله تعالى</w:t>
      </w:r>
      <w:r w:rsidR="00D70ED4" w:rsidRPr="00FD211F">
        <w:rPr>
          <w:sz w:val="36"/>
          <w:szCs w:val="36"/>
          <w:rtl/>
        </w:rPr>
        <w:t>"</w:t>
      </w:r>
      <w:r w:rsidRPr="00FD211F">
        <w:rPr>
          <w:sz w:val="36"/>
          <w:szCs w:val="36"/>
          <w:rtl/>
        </w:rPr>
        <w:t xml:space="preserve"> لو كان فيهما آله</w:t>
      </w:r>
      <w:r w:rsidR="00EC7EDF" w:rsidRPr="00FD211F">
        <w:rPr>
          <w:sz w:val="36"/>
          <w:szCs w:val="36"/>
          <w:rtl/>
        </w:rPr>
        <w:t xml:space="preserve">ة </w:t>
      </w:r>
      <w:r w:rsidRPr="00FD211F">
        <w:rPr>
          <w:sz w:val="36"/>
          <w:szCs w:val="36"/>
          <w:rtl/>
        </w:rPr>
        <w:t>الا الله لفسدتا</w:t>
      </w:r>
      <w:r w:rsidR="00D70ED4" w:rsidRPr="00FD211F">
        <w:rPr>
          <w:sz w:val="36"/>
          <w:szCs w:val="36"/>
          <w:rtl/>
        </w:rPr>
        <w:t>"</w:t>
      </w:r>
      <w:r w:rsidRPr="00FD211F">
        <w:rPr>
          <w:sz w:val="36"/>
          <w:szCs w:val="36"/>
          <w:rtl/>
        </w:rPr>
        <w:t xml:space="preserve"> فما هو الثابت واقعا هو التوقف والتعليق لاالنسب</w:t>
      </w:r>
      <w:r w:rsidR="00EC7EDF" w:rsidRPr="00FD211F">
        <w:rPr>
          <w:sz w:val="36"/>
          <w:szCs w:val="36"/>
          <w:rtl/>
        </w:rPr>
        <w:t xml:space="preserve">ة </w:t>
      </w:r>
      <w:r w:rsidRPr="00FD211F">
        <w:rPr>
          <w:sz w:val="36"/>
          <w:szCs w:val="36"/>
          <w:rtl/>
        </w:rPr>
        <w:t>التوقفي</w:t>
      </w:r>
      <w:r w:rsidR="00EC7EDF" w:rsidRPr="00FD211F">
        <w:rPr>
          <w:sz w:val="36"/>
          <w:szCs w:val="36"/>
          <w:rtl/>
        </w:rPr>
        <w:t xml:space="preserve">ة </w:t>
      </w:r>
      <w:r w:rsidRPr="00FD211F">
        <w:rPr>
          <w:sz w:val="36"/>
          <w:szCs w:val="36"/>
          <w:rtl/>
        </w:rPr>
        <w:t>والتعليقي</w:t>
      </w:r>
      <w:r w:rsidR="00EC7EDF" w:rsidRPr="00FD211F">
        <w:rPr>
          <w:sz w:val="36"/>
          <w:szCs w:val="36"/>
          <w:rtl/>
        </w:rPr>
        <w:t>ة</w:t>
      </w:r>
      <w:r w:rsidR="00603323" w:rsidRPr="00FD211F">
        <w:rPr>
          <w:sz w:val="36"/>
          <w:szCs w:val="36"/>
          <w:rtl/>
        </w:rPr>
        <w:t xml:space="preserve">، </w:t>
      </w:r>
      <w:r w:rsidRPr="00FD211F">
        <w:rPr>
          <w:sz w:val="36"/>
          <w:szCs w:val="36"/>
          <w:rtl/>
        </w:rPr>
        <w:t>فاذاً يكون موطن النسب</w:t>
      </w:r>
      <w:r w:rsidR="00EC7EDF" w:rsidRPr="00FD211F">
        <w:rPr>
          <w:sz w:val="36"/>
          <w:szCs w:val="36"/>
          <w:rtl/>
        </w:rPr>
        <w:t xml:space="preserve">ة </w:t>
      </w:r>
      <w:r w:rsidRPr="00FD211F">
        <w:rPr>
          <w:sz w:val="36"/>
          <w:szCs w:val="36"/>
          <w:rtl/>
        </w:rPr>
        <w:t>التعليقي</w:t>
      </w:r>
      <w:r w:rsidR="00EC7EDF" w:rsidRPr="00FD211F">
        <w:rPr>
          <w:sz w:val="36"/>
          <w:szCs w:val="36"/>
          <w:rtl/>
        </w:rPr>
        <w:t xml:space="preserve">ة </w:t>
      </w:r>
      <w:r w:rsidRPr="00FD211F">
        <w:rPr>
          <w:sz w:val="36"/>
          <w:szCs w:val="36"/>
          <w:rtl/>
        </w:rPr>
        <w:t>هو الذهن</w:t>
      </w:r>
      <w:r w:rsidR="00603323" w:rsidRPr="00FD211F">
        <w:rPr>
          <w:sz w:val="36"/>
          <w:szCs w:val="36"/>
          <w:rtl/>
        </w:rPr>
        <w:t xml:space="preserve">، </w:t>
      </w:r>
      <w:r w:rsidRPr="00FD211F">
        <w:rPr>
          <w:sz w:val="36"/>
          <w:szCs w:val="36"/>
          <w:rtl/>
        </w:rPr>
        <w:t>وكل نسب</w:t>
      </w:r>
      <w:r w:rsidR="00EC7EDF" w:rsidRPr="00FD211F">
        <w:rPr>
          <w:sz w:val="36"/>
          <w:szCs w:val="36"/>
          <w:rtl/>
        </w:rPr>
        <w:t xml:space="preserve">ة </w:t>
      </w:r>
      <w:r w:rsidRPr="00FD211F">
        <w:rPr>
          <w:sz w:val="36"/>
          <w:szCs w:val="36"/>
          <w:rtl/>
        </w:rPr>
        <w:t>يكون موطنها هو الذهن تكون نسب</w:t>
      </w:r>
      <w:r w:rsidR="00EC7EDF" w:rsidRPr="00FD211F">
        <w:rPr>
          <w:sz w:val="36"/>
          <w:szCs w:val="36"/>
          <w:rtl/>
        </w:rPr>
        <w:t xml:space="preserve">ة </w:t>
      </w:r>
      <w:r w:rsidRPr="00FD211F">
        <w:rPr>
          <w:sz w:val="36"/>
          <w:szCs w:val="36"/>
          <w:rtl/>
        </w:rPr>
        <w:t>تام</w:t>
      </w:r>
      <w:r w:rsidR="00EC7EDF" w:rsidRPr="00FD211F">
        <w:rPr>
          <w:sz w:val="36"/>
          <w:szCs w:val="36"/>
          <w:rtl/>
        </w:rPr>
        <w:t>ة</w:t>
      </w:r>
      <w:r w:rsidR="00603323" w:rsidRPr="00FD211F">
        <w:rPr>
          <w:sz w:val="36"/>
          <w:szCs w:val="36"/>
          <w:rtl/>
        </w:rPr>
        <w:t xml:space="preserve">، </w:t>
      </w:r>
      <w:r w:rsidRPr="00FD211F">
        <w:rPr>
          <w:sz w:val="36"/>
          <w:szCs w:val="36"/>
          <w:rtl/>
        </w:rPr>
        <w:t>بحيث لو أتي بطرفيها لكان الكلام مما يصح السكوت عليه</w:t>
      </w:r>
      <w:r w:rsidR="00603323" w:rsidRPr="00FD211F">
        <w:rPr>
          <w:sz w:val="36"/>
          <w:szCs w:val="36"/>
          <w:rtl/>
        </w:rPr>
        <w:t xml:space="preserve">، </w:t>
      </w:r>
      <w:r w:rsidRPr="00FD211F">
        <w:rPr>
          <w:sz w:val="36"/>
          <w:szCs w:val="36"/>
          <w:rtl/>
        </w:rPr>
        <w:t>كما مر في محله</w:t>
      </w:r>
      <w:r w:rsidR="009C58C8" w:rsidRPr="00FD211F">
        <w:rPr>
          <w:rStyle w:val="a6"/>
          <w:sz w:val="36"/>
          <w:szCs w:val="36"/>
          <w:rtl/>
        </w:rPr>
        <w:t>(</w:t>
      </w:r>
      <w:r w:rsidR="009C58C8" w:rsidRPr="00FD211F">
        <w:rPr>
          <w:rStyle w:val="a6"/>
          <w:sz w:val="36"/>
          <w:szCs w:val="36"/>
          <w:rtl/>
        </w:rPr>
        <w:footnoteReference w:id="221"/>
      </w:r>
      <w:r w:rsidR="009C58C8" w:rsidRPr="00FD211F">
        <w:rPr>
          <w:rStyle w:val="a6"/>
          <w:sz w:val="36"/>
          <w:szCs w:val="36"/>
          <w:rtl/>
        </w:rPr>
        <w:t>)</w:t>
      </w:r>
      <w:r w:rsidRPr="00FD211F">
        <w:rPr>
          <w:sz w:val="36"/>
          <w:szCs w:val="36"/>
          <w:rtl/>
        </w:rPr>
        <w:t>.</w:t>
      </w:r>
    </w:p>
    <w:p w14:paraId="2F653E3C" w14:textId="77777777" w:rsidR="00556BC0" w:rsidRPr="00FD211F" w:rsidRDefault="00556BC0" w:rsidP="009C58C8">
      <w:pPr>
        <w:ind w:left="0" w:firstLine="227"/>
        <w:jc w:val="both"/>
        <w:rPr>
          <w:sz w:val="36"/>
          <w:szCs w:val="36"/>
          <w:rtl/>
        </w:rPr>
      </w:pPr>
      <w:r w:rsidRPr="00FD211F">
        <w:rPr>
          <w:sz w:val="36"/>
          <w:szCs w:val="36"/>
          <w:rtl/>
        </w:rPr>
        <w:t>ويلاحظ عليه ان النسب</w:t>
      </w:r>
      <w:r w:rsidR="00EC7EDF" w:rsidRPr="00FD211F">
        <w:rPr>
          <w:sz w:val="36"/>
          <w:szCs w:val="36"/>
          <w:rtl/>
        </w:rPr>
        <w:t xml:space="preserve">ة </w:t>
      </w:r>
      <w:r w:rsidRPr="00FD211F">
        <w:rPr>
          <w:sz w:val="36"/>
          <w:szCs w:val="36"/>
          <w:rtl/>
        </w:rPr>
        <w:t>التوقفي</w:t>
      </w:r>
      <w:r w:rsidR="00EC7EDF" w:rsidRPr="00FD211F">
        <w:rPr>
          <w:sz w:val="36"/>
          <w:szCs w:val="36"/>
          <w:rtl/>
        </w:rPr>
        <w:t xml:space="preserve">ة </w:t>
      </w:r>
      <w:r w:rsidRPr="00FD211F">
        <w:rPr>
          <w:sz w:val="36"/>
          <w:szCs w:val="36"/>
          <w:rtl/>
        </w:rPr>
        <w:t>ثابت</w:t>
      </w:r>
      <w:r w:rsidR="00EC7EDF" w:rsidRPr="00FD211F">
        <w:rPr>
          <w:sz w:val="36"/>
          <w:szCs w:val="36"/>
          <w:rtl/>
        </w:rPr>
        <w:t xml:space="preserve">ة </w:t>
      </w:r>
      <w:r w:rsidRPr="00FD211F">
        <w:rPr>
          <w:sz w:val="36"/>
          <w:szCs w:val="36"/>
          <w:rtl/>
        </w:rPr>
        <w:t>بين مضمون الجزاء والشرط في عالم الواقع ونفس الأمر</w:t>
      </w:r>
      <w:r w:rsidR="00603323" w:rsidRPr="00FD211F">
        <w:rPr>
          <w:sz w:val="36"/>
          <w:szCs w:val="36"/>
          <w:rtl/>
        </w:rPr>
        <w:t xml:space="preserve">، </w:t>
      </w:r>
      <w:r w:rsidRPr="00FD211F">
        <w:rPr>
          <w:sz w:val="36"/>
          <w:szCs w:val="36"/>
          <w:rtl/>
        </w:rPr>
        <w:t>ولامعنى لثبوت التوقف في عالم الواقع من دون ان يكون له طرفان</w:t>
      </w:r>
      <w:r w:rsidR="00603323" w:rsidRPr="00FD211F">
        <w:rPr>
          <w:sz w:val="36"/>
          <w:szCs w:val="36"/>
          <w:rtl/>
        </w:rPr>
        <w:t xml:space="preserve">، </w:t>
      </w:r>
      <w:r w:rsidRPr="00FD211F">
        <w:rPr>
          <w:sz w:val="36"/>
          <w:szCs w:val="36"/>
          <w:rtl/>
        </w:rPr>
        <w:t>فاذاً النسب</w:t>
      </w:r>
      <w:r w:rsidR="00EC7EDF" w:rsidRPr="00FD211F">
        <w:rPr>
          <w:sz w:val="36"/>
          <w:szCs w:val="36"/>
          <w:rtl/>
        </w:rPr>
        <w:t xml:space="preserve">ة </w:t>
      </w:r>
      <w:r w:rsidRPr="00FD211F">
        <w:rPr>
          <w:sz w:val="36"/>
          <w:szCs w:val="36"/>
          <w:rtl/>
        </w:rPr>
        <w:t>التوقفي</w:t>
      </w:r>
      <w:r w:rsidR="00EC7EDF" w:rsidRPr="00FD211F">
        <w:rPr>
          <w:sz w:val="36"/>
          <w:szCs w:val="36"/>
          <w:rtl/>
        </w:rPr>
        <w:t xml:space="preserve">ة </w:t>
      </w:r>
      <w:r w:rsidRPr="00FD211F">
        <w:rPr>
          <w:sz w:val="36"/>
          <w:szCs w:val="36"/>
          <w:rtl/>
        </w:rPr>
        <w:t>ثابت</w:t>
      </w:r>
      <w:r w:rsidR="00EC7EDF" w:rsidRPr="00FD211F">
        <w:rPr>
          <w:sz w:val="36"/>
          <w:szCs w:val="36"/>
          <w:rtl/>
        </w:rPr>
        <w:t xml:space="preserve">ة </w:t>
      </w:r>
      <w:r w:rsidRPr="00FD211F">
        <w:rPr>
          <w:sz w:val="36"/>
          <w:szCs w:val="36"/>
          <w:rtl/>
        </w:rPr>
        <w:t>في عالم الواقع</w:t>
      </w:r>
      <w:r w:rsidR="00603323" w:rsidRPr="00FD211F">
        <w:rPr>
          <w:sz w:val="36"/>
          <w:szCs w:val="36"/>
          <w:rtl/>
        </w:rPr>
        <w:t xml:space="preserve">، </w:t>
      </w:r>
      <w:r w:rsidRPr="00FD211F">
        <w:rPr>
          <w:sz w:val="36"/>
          <w:szCs w:val="36"/>
          <w:rtl/>
        </w:rPr>
        <w:t>والنسب</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التوقفي</w:t>
      </w:r>
      <w:r w:rsidR="00EC7EDF" w:rsidRPr="00FD211F">
        <w:rPr>
          <w:sz w:val="36"/>
          <w:szCs w:val="36"/>
          <w:rtl/>
        </w:rPr>
        <w:t xml:space="preserve">ة </w:t>
      </w:r>
      <w:r w:rsidRPr="00FD211F">
        <w:rPr>
          <w:sz w:val="36"/>
          <w:szCs w:val="36"/>
          <w:rtl/>
        </w:rPr>
        <w:t>متحصل</w:t>
      </w:r>
      <w:r w:rsidR="00EC7EDF" w:rsidRPr="00FD211F">
        <w:rPr>
          <w:sz w:val="36"/>
          <w:szCs w:val="36"/>
          <w:rtl/>
        </w:rPr>
        <w:t xml:space="preserve">ة </w:t>
      </w:r>
      <w:r w:rsidRPr="00FD211F">
        <w:rPr>
          <w:sz w:val="36"/>
          <w:szCs w:val="36"/>
          <w:rtl/>
        </w:rPr>
        <w:t>عنها</w:t>
      </w:r>
      <w:r w:rsidR="00603323" w:rsidRPr="00FD211F">
        <w:rPr>
          <w:sz w:val="36"/>
          <w:szCs w:val="36"/>
          <w:rtl/>
        </w:rPr>
        <w:t xml:space="preserve">، </w:t>
      </w:r>
      <w:r w:rsidRPr="00FD211F">
        <w:rPr>
          <w:sz w:val="36"/>
          <w:szCs w:val="36"/>
          <w:rtl/>
        </w:rPr>
        <w:t>وحينئذ فإما ان يلتزم بما ذكرنا سابقا من ان مجرد كون نسب</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متحصل</w:t>
      </w:r>
      <w:r w:rsidR="00EC7EDF" w:rsidRPr="00FD211F">
        <w:rPr>
          <w:sz w:val="36"/>
          <w:szCs w:val="36"/>
          <w:rtl/>
        </w:rPr>
        <w:t xml:space="preserve">ة </w:t>
      </w:r>
      <w:r w:rsidRPr="00FD211F">
        <w:rPr>
          <w:sz w:val="36"/>
          <w:szCs w:val="36"/>
          <w:rtl/>
        </w:rPr>
        <w:t>عن نسب</w:t>
      </w:r>
      <w:r w:rsidR="00EC7EDF" w:rsidRPr="00FD211F">
        <w:rPr>
          <w:sz w:val="36"/>
          <w:szCs w:val="36"/>
          <w:rtl/>
        </w:rPr>
        <w:t xml:space="preserve">ة </w:t>
      </w:r>
      <w:r w:rsidRPr="00FD211F">
        <w:rPr>
          <w:sz w:val="36"/>
          <w:szCs w:val="36"/>
          <w:rtl/>
        </w:rPr>
        <w:t>ثابت</w:t>
      </w:r>
      <w:r w:rsidR="00EC7EDF" w:rsidRPr="00FD211F">
        <w:rPr>
          <w:sz w:val="36"/>
          <w:szCs w:val="36"/>
          <w:rtl/>
        </w:rPr>
        <w:t xml:space="preserve">ة </w:t>
      </w:r>
      <w:r w:rsidRPr="00FD211F">
        <w:rPr>
          <w:sz w:val="36"/>
          <w:szCs w:val="36"/>
          <w:rtl/>
        </w:rPr>
        <w:t>في عالم الخارج او الواقع لايعني كونها تحليلي</w:t>
      </w:r>
      <w:r w:rsidR="00EC7EDF" w:rsidRPr="00FD211F">
        <w:rPr>
          <w:sz w:val="36"/>
          <w:szCs w:val="36"/>
          <w:rtl/>
        </w:rPr>
        <w:t xml:space="preserve">ة </w:t>
      </w:r>
      <w:r w:rsidRPr="00FD211F">
        <w:rPr>
          <w:sz w:val="36"/>
          <w:szCs w:val="36"/>
          <w:rtl/>
        </w:rPr>
        <w:t>ناقص</w:t>
      </w:r>
      <w:r w:rsidR="00EC7EDF" w:rsidRPr="00FD211F">
        <w:rPr>
          <w:sz w:val="36"/>
          <w:szCs w:val="36"/>
          <w:rtl/>
        </w:rPr>
        <w:t xml:space="preserve">ة </w:t>
      </w:r>
      <w:r w:rsidRPr="00FD211F">
        <w:rPr>
          <w:sz w:val="36"/>
          <w:szCs w:val="36"/>
          <w:rtl/>
        </w:rPr>
        <w:t>بل يمكن ان تكون واقع نسب</w:t>
      </w:r>
      <w:r w:rsidR="00EC7EDF" w:rsidRPr="00FD211F">
        <w:rPr>
          <w:sz w:val="36"/>
          <w:szCs w:val="36"/>
          <w:rtl/>
        </w:rPr>
        <w:t xml:space="preserve">ة </w:t>
      </w:r>
      <w:r w:rsidRPr="00FD211F">
        <w:rPr>
          <w:sz w:val="36"/>
          <w:szCs w:val="36"/>
          <w:rtl/>
        </w:rPr>
        <w:t>مسانخ</w:t>
      </w:r>
      <w:r w:rsidR="00EC7EDF" w:rsidRPr="00FD211F">
        <w:rPr>
          <w:sz w:val="36"/>
          <w:szCs w:val="36"/>
          <w:rtl/>
        </w:rPr>
        <w:t xml:space="preserve">ة </w:t>
      </w:r>
      <w:r w:rsidRPr="00FD211F">
        <w:rPr>
          <w:sz w:val="36"/>
          <w:szCs w:val="36"/>
          <w:rtl/>
        </w:rPr>
        <w:t>مع تلك النسب</w:t>
      </w:r>
      <w:r w:rsidR="00EC7EDF" w:rsidRPr="00FD211F">
        <w:rPr>
          <w:sz w:val="36"/>
          <w:szCs w:val="36"/>
          <w:rtl/>
        </w:rPr>
        <w:t xml:space="preserve">ة </w:t>
      </w:r>
      <w:r w:rsidRPr="00FD211F">
        <w:rPr>
          <w:sz w:val="36"/>
          <w:szCs w:val="36"/>
          <w:rtl/>
        </w:rPr>
        <w:t>الخارجي</w:t>
      </w:r>
      <w:r w:rsidR="00EC7EDF" w:rsidRPr="00FD211F">
        <w:rPr>
          <w:sz w:val="36"/>
          <w:szCs w:val="36"/>
          <w:rtl/>
        </w:rPr>
        <w:t xml:space="preserve">ة </w:t>
      </w:r>
      <w:r w:rsidRPr="00FD211F">
        <w:rPr>
          <w:sz w:val="36"/>
          <w:szCs w:val="36"/>
          <w:rtl/>
        </w:rPr>
        <w:t>او الواقعي</w:t>
      </w:r>
      <w:r w:rsidR="00EC7EDF" w:rsidRPr="00FD211F">
        <w:rPr>
          <w:sz w:val="36"/>
          <w:szCs w:val="36"/>
          <w:rtl/>
        </w:rPr>
        <w:t xml:space="preserve">ة </w:t>
      </w:r>
      <w:r w:rsidRPr="00FD211F">
        <w:rPr>
          <w:sz w:val="36"/>
          <w:szCs w:val="36"/>
          <w:rtl/>
        </w:rPr>
        <w:t>بحيث يصلح للحكاي</w:t>
      </w:r>
      <w:r w:rsidR="00EC7EDF" w:rsidRPr="00FD211F">
        <w:rPr>
          <w:sz w:val="36"/>
          <w:szCs w:val="36"/>
          <w:rtl/>
        </w:rPr>
        <w:t xml:space="preserve">ة </w:t>
      </w:r>
      <w:r w:rsidRPr="00FD211F">
        <w:rPr>
          <w:sz w:val="36"/>
          <w:szCs w:val="36"/>
          <w:rtl/>
        </w:rPr>
        <w:t>عنها</w:t>
      </w:r>
      <w:r w:rsidR="00603323" w:rsidRPr="00FD211F">
        <w:rPr>
          <w:sz w:val="36"/>
          <w:szCs w:val="36"/>
          <w:rtl/>
        </w:rPr>
        <w:t xml:space="preserve">، </w:t>
      </w:r>
      <w:r w:rsidRPr="00FD211F">
        <w:rPr>
          <w:sz w:val="36"/>
          <w:szCs w:val="36"/>
          <w:rtl/>
        </w:rPr>
        <w:t>او يدعى ان مفاد ادا</w:t>
      </w:r>
      <w:r w:rsidR="00EC7EDF" w:rsidRPr="00FD211F">
        <w:rPr>
          <w:sz w:val="36"/>
          <w:szCs w:val="36"/>
          <w:rtl/>
        </w:rPr>
        <w:t xml:space="preserve">ة </w:t>
      </w:r>
      <w:r w:rsidRPr="00FD211F">
        <w:rPr>
          <w:sz w:val="36"/>
          <w:szCs w:val="36"/>
          <w:rtl/>
        </w:rPr>
        <w:t>الشرط هو التقدير والفرض او فقل النسب</w:t>
      </w:r>
      <w:r w:rsidR="00EC7EDF" w:rsidRPr="00FD211F">
        <w:rPr>
          <w:sz w:val="36"/>
          <w:szCs w:val="36"/>
          <w:rtl/>
        </w:rPr>
        <w:t xml:space="preserve">ة </w:t>
      </w:r>
      <w:r w:rsidRPr="00FD211F">
        <w:rPr>
          <w:sz w:val="36"/>
          <w:szCs w:val="36"/>
          <w:rtl/>
        </w:rPr>
        <w:t>التقديري</w:t>
      </w:r>
      <w:r w:rsidR="00EC7EDF" w:rsidRPr="00FD211F">
        <w:rPr>
          <w:sz w:val="36"/>
          <w:szCs w:val="36"/>
          <w:rtl/>
        </w:rPr>
        <w:t xml:space="preserve">ة </w:t>
      </w:r>
      <w:r w:rsidRPr="00FD211F">
        <w:rPr>
          <w:sz w:val="36"/>
          <w:szCs w:val="36"/>
          <w:rtl/>
        </w:rPr>
        <w:t>التي يعبر عنها في الفارسي</w:t>
      </w:r>
      <w:r w:rsidR="00EC7EDF" w:rsidRPr="00FD211F">
        <w:rPr>
          <w:sz w:val="36"/>
          <w:szCs w:val="36"/>
          <w:rtl/>
        </w:rPr>
        <w:t xml:space="preserve">ة </w:t>
      </w:r>
      <w:r w:rsidRPr="00FD211F">
        <w:rPr>
          <w:sz w:val="36"/>
          <w:szCs w:val="36"/>
          <w:rtl/>
        </w:rPr>
        <w:t>"اگر" وموطن التقدير والفرض ليس الا الذهن.</w:t>
      </w:r>
    </w:p>
    <w:p w14:paraId="5A1145BC" w14:textId="77777777" w:rsidR="00556BC0" w:rsidRPr="00FD211F" w:rsidRDefault="00556BC0" w:rsidP="009C58C8">
      <w:pPr>
        <w:pStyle w:val="3"/>
        <w:ind w:firstLine="227"/>
        <w:jc w:val="both"/>
        <w:rPr>
          <w:rtl/>
        </w:rPr>
      </w:pPr>
      <w:bookmarkStart w:id="240" w:name="_Toc192092886"/>
      <w:bookmarkStart w:id="241" w:name="_Toc223890362"/>
      <w:r w:rsidRPr="00FD211F">
        <w:rPr>
          <w:rtl/>
        </w:rPr>
        <w:t>الجمل المشترك</w:t>
      </w:r>
      <w:r w:rsidR="00EC7EDF" w:rsidRPr="00FD211F">
        <w:rPr>
          <w:rtl/>
        </w:rPr>
        <w:t>ة</w:t>
      </w:r>
      <w:bookmarkEnd w:id="241"/>
      <w:r w:rsidR="00EC7EDF" w:rsidRPr="00FD211F">
        <w:rPr>
          <w:rtl/>
        </w:rPr>
        <w:t xml:space="preserve"> </w:t>
      </w:r>
      <w:bookmarkEnd w:id="240"/>
    </w:p>
    <w:p w14:paraId="63AD1124" w14:textId="77777777" w:rsidR="00AE6817" w:rsidRPr="00FD211F" w:rsidRDefault="00556BC0" w:rsidP="005946E3">
      <w:pPr>
        <w:ind w:left="0" w:firstLine="227"/>
        <w:jc w:val="both"/>
        <w:rPr>
          <w:sz w:val="36"/>
          <w:szCs w:val="36"/>
          <w:rtl/>
        </w:rPr>
      </w:pPr>
      <w:r w:rsidRPr="00FD211F">
        <w:rPr>
          <w:b/>
          <w:bCs/>
          <w:sz w:val="36"/>
          <w:szCs w:val="36"/>
          <w:rtl/>
        </w:rPr>
        <w:t>المقام الثاني</w:t>
      </w:r>
      <w:r w:rsidR="00F90398" w:rsidRPr="00FD211F">
        <w:rPr>
          <w:b/>
          <w:bCs/>
          <w:sz w:val="36"/>
          <w:szCs w:val="36"/>
          <w:rtl/>
        </w:rPr>
        <w:t>:</w:t>
      </w:r>
      <w:r w:rsidRPr="00FD211F">
        <w:rPr>
          <w:b/>
          <w:bCs/>
          <w:sz w:val="36"/>
          <w:szCs w:val="36"/>
          <w:rtl/>
        </w:rPr>
        <w:t xml:space="preserve"> </w:t>
      </w:r>
      <w:r w:rsidRPr="00FD211F">
        <w:rPr>
          <w:sz w:val="36"/>
          <w:szCs w:val="36"/>
          <w:rtl/>
        </w:rPr>
        <w:t xml:space="preserve">في معنى الجمل </w:t>
      </w:r>
      <w:r w:rsidR="005C4BF5" w:rsidRPr="00FD211F">
        <w:rPr>
          <w:sz w:val="36"/>
          <w:szCs w:val="36"/>
          <w:rtl/>
        </w:rPr>
        <w:t>المشترك</w:t>
      </w:r>
      <w:r w:rsidR="00EC7EDF" w:rsidRPr="00FD211F">
        <w:rPr>
          <w:sz w:val="36"/>
          <w:szCs w:val="36"/>
          <w:rtl/>
        </w:rPr>
        <w:t xml:space="preserve">ة </w:t>
      </w:r>
      <w:r w:rsidR="005C4BF5" w:rsidRPr="00FD211F">
        <w:rPr>
          <w:sz w:val="36"/>
          <w:szCs w:val="36"/>
          <w:rtl/>
        </w:rPr>
        <w:t>بين الاخبار والانشاء</w:t>
      </w:r>
      <w:r w:rsidR="00B253CE" w:rsidRPr="00FD211F">
        <w:rPr>
          <w:sz w:val="36"/>
          <w:szCs w:val="36"/>
          <w:rtl/>
        </w:rPr>
        <w:t xml:space="preserve"> </w:t>
      </w:r>
      <w:r w:rsidRPr="00FD211F">
        <w:rPr>
          <w:sz w:val="36"/>
          <w:szCs w:val="36"/>
          <w:rtl/>
        </w:rPr>
        <w:t>مثل "بعت" او "يعيد صلاته" فبناء على مسلك السيد الخوئي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حيث يكون قصد الحكاي</w:t>
      </w:r>
      <w:r w:rsidR="00EC7EDF" w:rsidRPr="00FD211F">
        <w:rPr>
          <w:sz w:val="36"/>
          <w:szCs w:val="36"/>
          <w:rtl/>
        </w:rPr>
        <w:t xml:space="preserve">ة </w:t>
      </w:r>
      <w:r w:rsidRPr="00FD211F">
        <w:rPr>
          <w:sz w:val="36"/>
          <w:szCs w:val="36"/>
          <w:rtl/>
        </w:rPr>
        <w:t>داخلا في المعنى الموضوع له لتلك الجمل</w:t>
      </w:r>
      <w:r w:rsidR="00EC7EDF" w:rsidRPr="00FD211F">
        <w:rPr>
          <w:sz w:val="36"/>
          <w:szCs w:val="36"/>
          <w:rtl/>
        </w:rPr>
        <w:t xml:space="preserve">ة </w:t>
      </w:r>
      <w:r w:rsidRPr="00FD211F">
        <w:rPr>
          <w:sz w:val="36"/>
          <w:szCs w:val="36"/>
          <w:rtl/>
        </w:rPr>
        <w:t>بعد ان كان</w:t>
      </w:r>
      <w:r w:rsidR="00556FCD" w:rsidRPr="00FD211F">
        <w:rPr>
          <w:sz w:val="36"/>
          <w:szCs w:val="36"/>
          <w:rtl/>
        </w:rPr>
        <w:t>ت</w:t>
      </w:r>
      <w:r w:rsidRPr="00FD211F">
        <w:rPr>
          <w:sz w:val="36"/>
          <w:szCs w:val="36"/>
          <w:rtl/>
        </w:rPr>
        <w:t xml:space="preserve"> جمل</w:t>
      </w:r>
      <w:r w:rsidR="00EC7EDF" w:rsidRPr="00FD211F">
        <w:rPr>
          <w:sz w:val="36"/>
          <w:szCs w:val="36"/>
          <w:rtl/>
        </w:rPr>
        <w:t xml:space="preserve">ة </w:t>
      </w:r>
      <w:r w:rsidRPr="00FD211F">
        <w:rPr>
          <w:sz w:val="36"/>
          <w:szCs w:val="36"/>
          <w:rtl/>
        </w:rPr>
        <w:t>خبري</w:t>
      </w:r>
      <w:r w:rsidR="00EC7EDF" w:rsidRPr="00FD211F">
        <w:rPr>
          <w:sz w:val="36"/>
          <w:szCs w:val="36"/>
          <w:rtl/>
        </w:rPr>
        <w:t xml:space="preserve">ة </w:t>
      </w:r>
      <w:r w:rsidRPr="00FD211F">
        <w:rPr>
          <w:sz w:val="36"/>
          <w:szCs w:val="36"/>
          <w:rtl/>
        </w:rPr>
        <w:t>اولا وبالذات كان استعمالها في مقام الانشاء استعمالا في غير ما وضع له</w:t>
      </w:r>
      <w:r w:rsidR="00603323" w:rsidRPr="00FD211F">
        <w:rPr>
          <w:sz w:val="36"/>
          <w:szCs w:val="36"/>
          <w:rtl/>
        </w:rPr>
        <w:t xml:space="preserve">، </w:t>
      </w:r>
      <w:r w:rsidRPr="00FD211F">
        <w:rPr>
          <w:sz w:val="36"/>
          <w:szCs w:val="36"/>
          <w:rtl/>
        </w:rPr>
        <w:t>ولكن مر سابقا ا</w:t>
      </w:r>
      <w:r w:rsidR="00556FCD" w:rsidRPr="00FD211F">
        <w:rPr>
          <w:sz w:val="36"/>
          <w:szCs w:val="36"/>
          <w:rtl/>
        </w:rPr>
        <w:t>ن الصحيح عدم كون قصد الحكاي</w:t>
      </w:r>
      <w:r w:rsidR="00EC7EDF" w:rsidRPr="00FD211F">
        <w:rPr>
          <w:sz w:val="36"/>
          <w:szCs w:val="36"/>
          <w:rtl/>
        </w:rPr>
        <w:t xml:space="preserve">ة </w:t>
      </w:r>
      <w:r w:rsidRPr="00FD211F">
        <w:rPr>
          <w:sz w:val="36"/>
          <w:szCs w:val="36"/>
          <w:rtl/>
        </w:rPr>
        <w:t>داخلا في المعنى الموضوع له ولاقيدا للعلق</w:t>
      </w:r>
      <w:r w:rsidR="00EC7EDF" w:rsidRPr="00FD211F">
        <w:rPr>
          <w:sz w:val="36"/>
          <w:szCs w:val="36"/>
          <w:rtl/>
        </w:rPr>
        <w:t xml:space="preserve">ة </w:t>
      </w:r>
      <w:r w:rsidRPr="00FD211F">
        <w:rPr>
          <w:sz w:val="36"/>
          <w:szCs w:val="36"/>
          <w:rtl/>
        </w:rPr>
        <w:t>الوضعي</w:t>
      </w:r>
      <w:r w:rsidR="00EC7EDF" w:rsidRPr="00FD211F">
        <w:rPr>
          <w:sz w:val="36"/>
          <w:szCs w:val="36"/>
          <w:rtl/>
        </w:rPr>
        <w:t>ة</w:t>
      </w:r>
      <w:r w:rsidR="00A61BAE" w:rsidRPr="00FD211F">
        <w:rPr>
          <w:sz w:val="36"/>
          <w:szCs w:val="36"/>
          <w:rtl/>
        </w:rPr>
        <w:t>.</w:t>
      </w:r>
    </w:p>
    <w:p w14:paraId="017775BD" w14:textId="77777777" w:rsidR="00556BC0" w:rsidRPr="00FD211F" w:rsidRDefault="00AE6817" w:rsidP="009C58C8">
      <w:pPr>
        <w:pStyle w:val="3"/>
        <w:ind w:firstLine="227"/>
        <w:jc w:val="both"/>
        <w:rPr>
          <w:rtl/>
        </w:rPr>
      </w:pPr>
      <w:bookmarkStart w:id="242" w:name="_Toc223890363"/>
      <w:r w:rsidRPr="00FD211F">
        <w:rPr>
          <w:rtl/>
        </w:rPr>
        <w:t>كلام البحوث في المقام</w:t>
      </w:r>
      <w:bookmarkEnd w:id="242"/>
      <w:r w:rsidRPr="00FD211F">
        <w:rPr>
          <w:rtl/>
        </w:rPr>
        <w:t xml:space="preserve"> </w:t>
      </w:r>
    </w:p>
    <w:p w14:paraId="5EEC771A" w14:textId="77777777" w:rsidR="000C5BBA" w:rsidRPr="00FD211F" w:rsidRDefault="00556BC0" w:rsidP="009C58C8">
      <w:pPr>
        <w:ind w:left="0" w:firstLine="227"/>
        <w:jc w:val="both"/>
        <w:rPr>
          <w:sz w:val="36"/>
          <w:szCs w:val="36"/>
          <w:rtl/>
        </w:rPr>
      </w:pPr>
      <w:r w:rsidRPr="00FD211F">
        <w:rPr>
          <w:sz w:val="36"/>
          <w:szCs w:val="36"/>
          <w:rtl/>
        </w:rPr>
        <w:t>هذا وقد ذكر في البحوث ان ما قلناه في الجمل الإنشائي</w:t>
      </w:r>
      <w:r w:rsidR="00EC7EDF" w:rsidRPr="00FD211F">
        <w:rPr>
          <w:sz w:val="36"/>
          <w:szCs w:val="36"/>
          <w:rtl/>
        </w:rPr>
        <w:t xml:space="preserve">ة </w:t>
      </w:r>
      <w:r w:rsidRPr="00FD211F">
        <w:rPr>
          <w:sz w:val="36"/>
          <w:szCs w:val="36"/>
          <w:rtl/>
        </w:rPr>
        <w:t>المختص</w:t>
      </w:r>
      <w:r w:rsidR="00EC7EDF" w:rsidRPr="00FD211F">
        <w:rPr>
          <w:sz w:val="36"/>
          <w:szCs w:val="36"/>
          <w:rtl/>
        </w:rPr>
        <w:t xml:space="preserve">ة </w:t>
      </w:r>
      <w:r w:rsidR="00556FCD" w:rsidRPr="00FD211F">
        <w:rPr>
          <w:sz w:val="36"/>
          <w:szCs w:val="36"/>
          <w:rtl/>
        </w:rPr>
        <w:t>–من دلالتهاعلى النسب</w:t>
      </w:r>
      <w:r w:rsidR="00EC7EDF" w:rsidRPr="00FD211F">
        <w:rPr>
          <w:sz w:val="36"/>
          <w:szCs w:val="36"/>
          <w:rtl/>
        </w:rPr>
        <w:t xml:space="preserve">ة </w:t>
      </w:r>
      <w:r w:rsidR="00556FCD" w:rsidRPr="00FD211F">
        <w:rPr>
          <w:sz w:val="36"/>
          <w:szCs w:val="36"/>
          <w:rtl/>
        </w:rPr>
        <w:t>التصادقي</w:t>
      </w:r>
      <w:r w:rsidR="00EC7EDF" w:rsidRPr="00FD211F">
        <w:rPr>
          <w:sz w:val="36"/>
          <w:szCs w:val="36"/>
          <w:rtl/>
        </w:rPr>
        <w:t xml:space="preserve">ة </w:t>
      </w:r>
      <w:r w:rsidR="00556FCD" w:rsidRPr="00FD211F">
        <w:rPr>
          <w:sz w:val="36"/>
          <w:szCs w:val="36"/>
          <w:rtl/>
        </w:rPr>
        <w:t xml:space="preserve">في </w:t>
      </w:r>
      <w:r w:rsidR="009A7F7C" w:rsidRPr="00FD211F">
        <w:rPr>
          <w:sz w:val="36"/>
          <w:szCs w:val="36"/>
          <w:rtl/>
        </w:rPr>
        <w:t>و</w:t>
      </w:r>
      <w:r w:rsidR="00556FCD" w:rsidRPr="00FD211F">
        <w:rPr>
          <w:sz w:val="36"/>
          <w:szCs w:val="36"/>
          <w:rtl/>
        </w:rPr>
        <w:t>عا</w:t>
      </w:r>
      <w:r w:rsidR="009A7F7C" w:rsidRPr="00FD211F">
        <w:rPr>
          <w:sz w:val="36"/>
          <w:szCs w:val="36"/>
          <w:rtl/>
        </w:rPr>
        <w:t>ء</w:t>
      </w:r>
      <w:r w:rsidR="00556FCD" w:rsidRPr="00FD211F">
        <w:rPr>
          <w:sz w:val="36"/>
          <w:szCs w:val="36"/>
          <w:rtl/>
        </w:rPr>
        <w:t xml:space="preserve"> مناسب لهافتدل جمل</w:t>
      </w:r>
      <w:r w:rsidR="00EC7EDF" w:rsidRPr="00FD211F">
        <w:rPr>
          <w:sz w:val="36"/>
          <w:szCs w:val="36"/>
          <w:rtl/>
        </w:rPr>
        <w:t xml:space="preserve">ة </w:t>
      </w:r>
      <w:r w:rsidR="00556FCD" w:rsidRPr="00FD211F">
        <w:rPr>
          <w:sz w:val="36"/>
          <w:szCs w:val="36"/>
          <w:rtl/>
        </w:rPr>
        <w:t>"ليت زيداقائم "على النسب</w:t>
      </w:r>
      <w:r w:rsidR="00EC7EDF" w:rsidRPr="00FD211F">
        <w:rPr>
          <w:sz w:val="36"/>
          <w:szCs w:val="36"/>
          <w:rtl/>
        </w:rPr>
        <w:t xml:space="preserve">ة </w:t>
      </w:r>
      <w:r w:rsidR="00556FCD" w:rsidRPr="00FD211F">
        <w:rPr>
          <w:sz w:val="36"/>
          <w:szCs w:val="36"/>
          <w:rtl/>
        </w:rPr>
        <w:t>التصادقي</w:t>
      </w:r>
      <w:r w:rsidR="00EC7EDF" w:rsidRPr="00FD211F">
        <w:rPr>
          <w:sz w:val="36"/>
          <w:szCs w:val="36"/>
          <w:rtl/>
        </w:rPr>
        <w:t xml:space="preserve">ة </w:t>
      </w:r>
      <w:r w:rsidR="00556FCD" w:rsidRPr="00FD211F">
        <w:rPr>
          <w:sz w:val="36"/>
          <w:szCs w:val="36"/>
          <w:rtl/>
        </w:rPr>
        <w:t xml:space="preserve">بين زيد والقائم في </w:t>
      </w:r>
      <w:r w:rsidR="009A7F7C" w:rsidRPr="00FD211F">
        <w:rPr>
          <w:sz w:val="36"/>
          <w:szCs w:val="36"/>
          <w:rtl/>
        </w:rPr>
        <w:t>وعاء</w:t>
      </w:r>
      <w:r w:rsidR="00556FCD" w:rsidRPr="00FD211F">
        <w:rPr>
          <w:sz w:val="36"/>
          <w:szCs w:val="36"/>
          <w:rtl/>
        </w:rPr>
        <w:t xml:space="preserve"> التمنى -</w:t>
      </w:r>
      <w:r w:rsidRPr="00FD211F">
        <w:rPr>
          <w:sz w:val="36"/>
          <w:szCs w:val="36"/>
          <w:rtl/>
        </w:rPr>
        <w:t>ل</w:t>
      </w:r>
      <w:r w:rsidR="008837AE" w:rsidRPr="00FD211F">
        <w:rPr>
          <w:sz w:val="36"/>
          <w:szCs w:val="36"/>
          <w:rtl/>
        </w:rPr>
        <w:t>ايجري في المقام.</w:t>
      </w:r>
    </w:p>
    <w:p w14:paraId="30A1F711" w14:textId="77777777" w:rsidR="00556BC0" w:rsidRPr="00FD211F" w:rsidRDefault="00556BC0" w:rsidP="009C58C8">
      <w:pPr>
        <w:ind w:left="0" w:firstLine="227"/>
        <w:jc w:val="both"/>
        <w:rPr>
          <w:sz w:val="36"/>
          <w:szCs w:val="36"/>
          <w:rtl/>
        </w:rPr>
      </w:pPr>
      <w:r w:rsidRPr="00FD211F">
        <w:rPr>
          <w:sz w:val="36"/>
          <w:szCs w:val="36"/>
          <w:rtl/>
        </w:rPr>
        <w:t>فلايصح ان يقال ان جمل</w:t>
      </w:r>
      <w:r w:rsidR="00EC7EDF" w:rsidRPr="00FD211F">
        <w:rPr>
          <w:sz w:val="36"/>
          <w:szCs w:val="36"/>
          <w:rtl/>
        </w:rPr>
        <w:t xml:space="preserve">ة </w:t>
      </w:r>
      <w:r w:rsidRPr="00FD211F">
        <w:rPr>
          <w:sz w:val="36"/>
          <w:szCs w:val="36"/>
          <w:rtl/>
        </w:rPr>
        <w:t>"بعت" اذا استعملت في مقام الإنشاء فتدل على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في وعاء الاعتبار</w:t>
      </w:r>
      <w:r w:rsidR="00603323" w:rsidRPr="00FD211F">
        <w:rPr>
          <w:sz w:val="36"/>
          <w:szCs w:val="36"/>
          <w:rtl/>
        </w:rPr>
        <w:t xml:space="preserve">، </w:t>
      </w:r>
      <w:r w:rsidRPr="00FD211F">
        <w:rPr>
          <w:sz w:val="36"/>
          <w:szCs w:val="36"/>
          <w:rtl/>
        </w:rPr>
        <w:t>ولو استعملت في مقام الاخبار فتدل على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في وعاء التحقق</w:t>
      </w:r>
      <w:r w:rsidR="00603323" w:rsidRPr="00FD211F">
        <w:rPr>
          <w:sz w:val="36"/>
          <w:szCs w:val="36"/>
          <w:rtl/>
        </w:rPr>
        <w:t xml:space="preserve">، </w:t>
      </w:r>
      <w:r w:rsidRPr="00FD211F">
        <w:rPr>
          <w:sz w:val="36"/>
          <w:szCs w:val="36"/>
          <w:rtl/>
        </w:rPr>
        <w:t>وكذا جمل</w:t>
      </w:r>
      <w:r w:rsidR="00EC7EDF" w:rsidRPr="00FD211F">
        <w:rPr>
          <w:sz w:val="36"/>
          <w:szCs w:val="36"/>
          <w:rtl/>
        </w:rPr>
        <w:t xml:space="preserve">ة </w:t>
      </w:r>
      <w:r w:rsidRPr="00FD211F">
        <w:rPr>
          <w:sz w:val="36"/>
          <w:szCs w:val="36"/>
          <w:rtl/>
        </w:rPr>
        <w:t>"يعيد صلاته" لو استعملت في وعاء الانشاء فتدل على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 الفعل وفاعله في وعاء الطلب</w:t>
      </w:r>
      <w:r w:rsidR="00603323" w:rsidRPr="00FD211F">
        <w:rPr>
          <w:sz w:val="36"/>
          <w:szCs w:val="36"/>
          <w:rtl/>
        </w:rPr>
        <w:t xml:space="preserve">، </w:t>
      </w:r>
      <w:r w:rsidRPr="00FD211F">
        <w:rPr>
          <w:sz w:val="36"/>
          <w:szCs w:val="36"/>
          <w:rtl/>
        </w:rPr>
        <w:t>ولكن لو استعملت في مقام الاخبار فتدل على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بينهما في وعاء التحقق.</w:t>
      </w:r>
    </w:p>
    <w:p w14:paraId="50900537" w14:textId="77777777" w:rsidR="00556BC0" w:rsidRPr="00FD211F" w:rsidRDefault="00556BC0" w:rsidP="009C58C8">
      <w:pPr>
        <w:ind w:left="0" w:firstLine="227"/>
        <w:jc w:val="both"/>
        <w:rPr>
          <w:sz w:val="36"/>
          <w:szCs w:val="36"/>
          <w:rtl/>
        </w:rPr>
      </w:pPr>
      <w:r w:rsidRPr="00FD211F">
        <w:rPr>
          <w:sz w:val="36"/>
          <w:szCs w:val="36"/>
          <w:rtl/>
        </w:rPr>
        <w:t>بل الصحيح ان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الملحوظ</w:t>
      </w:r>
      <w:r w:rsidR="00EC7EDF" w:rsidRPr="00FD211F">
        <w:rPr>
          <w:sz w:val="36"/>
          <w:szCs w:val="36"/>
          <w:rtl/>
        </w:rPr>
        <w:t xml:space="preserve">ة </w:t>
      </w:r>
      <w:r w:rsidRPr="00FD211F">
        <w:rPr>
          <w:sz w:val="36"/>
          <w:szCs w:val="36"/>
          <w:rtl/>
        </w:rPr>
        <w:t>في الجمل</w:t>
      </w:r>
      <w:r w:rsidR="00EC7EDF" w:rsidRPr="00FD211F">
        <w:rPr>
          <w:sz w:val="36"/>
          <w:szCs w:val="36"/>
          <w:rtl/>
        </w:rPr>
        <w:t xml:space="preserve">ة </w:t>
      </w:r>
      <w:r w:rsidRPr="00FD211F">
        <w:rPr>
          <w:sz w:val="36"/>
          <w:szCs w:val="36"/>
          <w:rtl/>
        </w:rPr>
        <w:t>المشترك</w:t>
      </w:r>
      <w:r w:rsidR="00EC7EDF" w:rsidRPr="00FD211F">
        <w:rPr>
          <w:sz w:val="36"/>
          <w:szCs w:val="36"/>
          <w:rtl/>
        </w:rPr>
        <w:t xml:space="preserve">ة </w:t>
      </w:r>
      <w:r w:rsidRPr="00FD211F">
        <w:rPr>
          <w:sz w:val="36"/>
          <w:szCs w:val="36"/>
          <w:rtl/>
        </w:rPr>
        <w:t>تكون بالقياس الى وعاء التحقق دائما</w:t>
      </w:r>
      <w:r w:rsidR="00603323" w:rsidRPr="00FD211F">
        <w:rPr>
          <w:sz w:val="36"/>
          <w:szCs w:val="36"/>
          <w:rtl/>
        </w:rPr>
        <w:t xml:space="preserve">، </w:t>
      </w:r>
      <w:r w:rsidRPr="00FD211F">
        <w:rPr>
          <w:sz w:val="36"/>
          <w:szCs w:val="36"/>
          <w:rtl/>
        </w:rPr>
        <w:t>أما</w:t>
      </w:r>
      <w:r w:rsidR="009A7F7C" w:rsidRPr="00FD211F">
        <w:rPr>
          <w:sz w:val="36"/>
          <w:szCs w:val="36"/>
          <w:rtl/>
        </w:rPr>
        <w:t xml:space="preserve"> في جمل</w:t>
      </w:r>
      <w:r w:rsidR="00EC7EDF" w:rsidRPr="00FD211F">
        <w:rPr>
          <w:sz w:val="36"/>
          <w:szCs w:val="36"/>
          <w:rtl/>
        </w:rPr>
        <w:t xml:space="preserve">ة </w:t>
      </w:r>
      <w:r w:rsidR="009A7F7C" w:rsidRPr="00FD211F">
        <w:rPr>
          <w:sz w:val="36"/>
          <w:szCs w:val="36"/>
          <w:rtl/>
        </w:rPr>
        <w:t>"بعت" فلأ</w:t>
      </w:r>
      <w:r w:rsidRPr="00FD211F">
        <w:rPr>
          <w:sz w:val="36"/>
          <w:szCs w:val="36"/>
          <w:rtl/>
        </w:rPr>
        <w:t>ن الاعتبار يتعلق بالنسب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في وعاء التحقق</w:t>
      </w:r>
      <w:r w:rsidR="00603323" w:rsidRPr="00FD211F">
        <w:rPr>
          <w:sz w:val="36"/>
          <w:szCs w:val="36"/>
          <w:rtl/>
        </w:rPr>
        <w:t xml:space="preserve">، </w:t>
      </w:r>
      <w:r w:rsidRPr="00FD211F">
        <w:rPr>
          <w:sz w:val="36"/>
          <w:szCs w:val="36"/>
          <w:rtl/>
        </w:rPr>
        <w:t>فما هو المعتبر هو النسب</w:t>
      </w:r>
      <w:r w:rsidR="00EC7EDF" w:rsidRPr="00FD211F">
        <w:rPr>
          <w:sz w:val="36"/>
          <w:szCs w:val="36"/>
          <w:rtl/>
        </w:rPr>
        <w:t xml:space="preserve">ة </w:t>
      </w:r>
      <w:r w:rsidRPr="00FD211F">
        <w:rPr>
          <w:sz w:val="36"/>
          <w:szCs w:val="36"/>
          <w:rtl/>
        </w:rPr>
        <w:t>المحقق</w:t>
      </w:r>
      <w:r w:rsidR="00EC7EDF" w:rsidRPr="00FD211F">
        <w:rPr>
          <w:sz w:val="36"/>
          <w:szCs w:val="36"/>
          <w:rtl/>
        </w:rPr>
        <w:t xml:space="preserve">ة </w:t>
      </w:r>
      <w:r w:rsidRPr="00FD211F">
        <w:rPr>
          <w:sz w:val="36"/>
          <w:szCs w:val="36"/>
          <w:rtl/>
        </w:rPr>
        <w:t xml:space="preserve">في </w:t>
      </w:r>
      <w:r w:rsidR="00AE6817" w:rsidRPr="00FD211F">
        <w:rPr>
          <w:sz w:val="36"/>
          <w:szCs w:val="36"/>
          <w:rtl/>
        </w:rPr>
        <w:t xml:space="preserve">وعاء </w:t>
      </w:r>
      <w:r w:rsidRPr="00FD211F">
        <w:rPr>
          <w:sz w:val="36"/>
          <w:szCs w:val="36"/>
          <w:rtl/>
        </w:rPr>
        <w:t>الخارج لاالنسب</w:t>
      </w:r>
      <w:r w:rsidR="00EC7EDF" w:rsidRPr="00FD211F">
        <w:rPr>
          <w:sz w:val="36"/>
          <w:szCs w:val="36"/>
          <w:rtl/>
        </w:rPr>
        <w:t xml:space="preserve">ة </w:t>
      </w:r>
      <w:r w:rsidRPr="00FD211F">
        <w:rPr>
          <w:sz w:val="36"/>
          <w:szCs w:val="36"/>
          <w:rtl/>
        </w:rPr>
        <w:t>المحقق</w:t>
      </w:r>
      <w:r w:rsidR="00EC7EDF" w:rsidRPr="00FD211F">
        <w:rPr>
          <w:sz w:val="36"/>
          <w:szCs w:val="36"/>
          <w:rtl/>
        </w:rPr>
        <w:t xml:space="preserve">ة </w:t>
      </w:r>
      <w:r w:rsidRPr="00FD211F">
        <w:rPr>
          <w:sz w:val="36"/>
          <w:szCs w:val="36"/>
          <w:rtl/>
        </w:rPr>
        <w:t>في</w:t>
      </w:r>
      <w:r w:rsidR="00AE6817" w:rsidRPr="00FD211F">
        <w:rPr>
          <w:sz w:val="36"/>
          <w:szCs w:val="36"/>
          <w:rtl/>
        </w:rPr>
        <w:t xml:space="preserve"> وعاء</w:t>
      </w:r>
      <w:r w:rsidR="00C7588D" w:rsidRPr="00FD211F">
        <w:rPr>
          <w:sz w:val="36"/>
          <w:szCs w:val="36"/>
          <w:rtl/>
        </w:rPr>
        <w:t xml:space="preserve"> </w:t>
      </w:r>
      <w:r w:rsidRPr="00FD211F">
        <w:rPr>
          <w:sz w:val="36"/>
          <w:szCs w:val="36"/>
          <w:rtl/>
        </w:rPr>
        <w:t>الاعتبار</w:t>
      </w:r>
      <w:r w:rsidR="00603323" w:rsidRPr="00FD211F">
        <w:rPr>
          <w:sz w:val="36"/>
          <w:szCs w:val="36"/>
          <w:rtl/>
        </w:rPr>
        <w:t xml:space="preserve">، </w:t>
      </w:r>
      <w:r w:rsidRPr="00FD211F">
        <w:rPr>
          <w:sz w:val="36"/>
          <w:szCs w:val="36"/>
          <w:rtl/>
        </w:rPr>
        <w:t>وانما تأتي الاعتباري</w:t>
      </w:r>
      <w:r w:rsidR="00EC7EDF" w:rsidRPr="00FD211F">
        <w:rPr>
          <w:sz w:val="36"/>
          <w:szCs w:val="36"/>
          <w:rtl/>
        </w:rPr>
        <w:t xml:space="preserve">ة </w:t>
      </w:r>
      <w:r w:rsidRPr="00FD211F">
        <w:rPr>
          <w:sz w:val="36"/>
          <w:szCs w:val="36"/>
          <w:rtl/>
        </w:rPr>
        <w:t>من تعلق الاعتبار بتلك النسب</w:t>
      </w:r>
      <w:r w:rsidR="00EC7EDF" w:rsidRPr="00FD211F">
        <w:rPr>
          <w:sz w:val="36"/>
          <w:szCs w:val="36"/>
          <w:rtl/>
        </w:rPr>
        <w:t xml:space="preserve">ة </w:t>
      </w:r>
      <w:r w:rsidRPr="00FD211F">
        <w:rPr>
          <w:sz w:val="36"/>
          <w:szCs w:val="36"/>
          <w:rtl/>
        </w:rPr>
        <w:t>المحقق</w:t>
      </w:r>
      <w:r w:rsidR="00EC7EDF" w:rsidRPr="00FD211F">
        <w:rPr>
          <w:sz w:val="36"/>
          <w:szCs w:val="36"/>
          <w:rtl/>
        </w:rPr>
        <w:t xml:space="preserve">ة </w:t>
      </w:r>
      <w:r w:rsidRPr="00FD211F">
        <w:rPr>
          <w:sz w:val="36"/>
          <w:szCs w:val="36"/>
          <w:rtl/>
        </w:rPr>
        <w:t>في الخارج</w:t>
      </w:r>
      <w:r w:rsidR="00603323" w:rsidRPr="00FD211F">
        <w:rPr>
          <w:sz w:val="36"/>
          <w:szCs w:val="36"/>
          <w:rtl/>
        </w:rPr>
        <w:t xml:space="preserve">، </w:t>
      </w:r>
      <w:r w:rsidRPr="00FD211F">
        <w:rPr>
          <w:sz w:val="36"/>
          <w:szCs w:val="36"/>
          <w:rtl/>
        </w:rPr>
        <w:t>وكذلك الطلب</w:t>
      </w:r>
      <w:r w:rsidR="004E171A" w:rsidRPr="00FD211F">
        <w:rPr>
          <w:sz w:val="36"/>
          <w:szCs w:val="36"/>
          <w:rtl/>
        </w:rPr>
        <w:t xml:space="preserve"> في جمل</w:t>
      </w:r>
      <w:r w:rsidR="00EC7EDF" w:rsidRPr="00FD211F">
        <w:rPr>
          <w:sz w:val="36"/>
          <w:szCs w:val="36"/>
          <w:rtl/>
        </w:rPr>
        <w:t xml:space="preserve">ة </w:t>
      </w:r>
      <w:r w:rsidR="004E171A" w:rsidRPr="00FD211F">
        <w:rPr>
          <w:sz w:val="36"/>
          <w:szCs w:val="36"/>
          <w:rtl/>
        </w:rPr>
        <w:t>"يعيد صلاته" فان ابرازالطلب</w:t>
      </w:r>
      <w:r w:rsidRPr="00FD211F">
        <w:rPr>
          <w:sz w:val="36"/>
          <w:szCs w:val="36"/>
          <w:rtl/>
        </w:rPr>
        <w:t xml:space="preserve"> </w:t>
      </w:r>
      <w:r w:rsidR="004E171A" w:rsidRPr="00FD211F">
        <w:rPr>
          <w:sz w:val="36"/>
          <w:szCs w:val="36"/>
          <w:rtl/>
        </w:rPr>
        <w:t>ب</w:t>
      </w:r>
      <w:r w:rsidRPr="00FD211F">
        <w:rPr>
          <w:sz w:val="36"/>
          <w:szCs w:val="36"/>
          <w:rtl/>
        </w:rPr>
        <w:t>مثل ذلك يكون بعناي</w:t>
      </w:r>
      <w:r w:rsidR="00EC7EDF" w:rsidRPr="00FD211F">
        <w:rPr>
          <w:sz w:val="36"/>
          <w:szCs w:val="36"/>
          <w:rtl/>
        </w:rPr>
        <w:t xml:space="preserve">ة </w:t>
      </w:r>
      <w:r w:rsidRPr="00FD211F">
        <w:rPr>
          <w:sz w:val="36"/>
          <w:szCs w:val="36"/>
          <w:rtl/>
        </w:rPr>
        <w:t>افتراض تحقق اعاد</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من المكلف وكونه مفروغا عنه</w:t>
      </w:r>
      <w:r w:rsidR="00603323" w:rsidRPr="00FD211F">
        <w:rPr>
          <w:sz w:val="36"/>
          <w:szCs w:val="36"/>
          <w:rtl/>
        </w:rPr>
        <w:t xml:space="preserve">، </w:t>
      </w:r>
      <w:r w:rsidRPr="00FD211F">
        <w:rPr>
          <w:sz w:val="36"/>
          <w:szCs w:val="36"/>
          <w:rtl/>
        </w:rPr>
        <w:t>ولو بلحاظ افتراض كون المكلف منقادا وممتثلا للأمر ولازم ذلك كونها مطلوب</w:t>
      </w:r>
      <w:r w:rsidR="00EC7EDF" w:rsidRPr="00FD211F">
        <w:rPr>
          <w:sz w:val="36"/>
          <w:szCs w:val="36"/>
          <w:rtl/>
        </w:rPr>
        <w:t>ة</w:t>
      </w:r>
      <w:r w:rsidR="00603323" w:rsidRPr="00FD211F">
        <w:rPr>
          <w:sz w:val="36"/>
          <w:szCs w:val="36"/>
          <w:rtl/>
        </w:rPr>
        <w:t xml:space="preserve">، </w:t>
      </w:r>
      <w:r w:rsidRPr="00FD211F">
        <w:rPr>
          <w:sz w:val="36"/>
          <w:szCs w:val="36"/>
          <w:rtl/>
        </w:rPr>
        <w:t>ويؤيد ما ذكرناه انه اذا</w:t>
      </w:r>
      <w:r w:rsidR="0007274D" w:rsidRPr="00FD211F">
        <w:rPr>
          <w:sz w:val="36"/>
          <w:szCs w:val="36"/>
          <w:rtl/>
        </w:rPr>
        <w:t xml:space="preserve"> اختلف وعاء التصادق في جملتين كانت</w:t>
      </w:r>
      <w:r w:rsidRPr="00FD211F">
        <w:rPr>
          <w:sz w:val="36"/>
          <w:szCs w:val="36"/>
          <w:rtl/>
        </w:rPr>
        <w:t xml:space="preserve"> إحديهما مشتمل</w:t>
      </w:r>
      <w:r w:rsidR="00EC7EDF" w:rsidRPr="00FD211F">
        <w:rPr>
          <w:sz w:val="36"/>
          <w:szCs w:val="36"/>
          <w:rtl/>
        </w:rPr>
        <w:t xml:space="preserve">ة </w:t>
      </w:r>
      <w:r w:rsidRPr="00FD211F">
        <w:rPr>
          <w:sz w:val="36"/>
          <w:szCs w:val="36"/>
          <w:rtl/>
        </w:rPr>
        <w:t>عاد</w:t>
      </w:r>
      <w:r w:rsidR="00EC7EDF" w:rsidRPr="00FD211F">
        <w:rPr>
          <w:sz w:val="36"/>
          <w:szCs w:val="36"/>
          <w:rtl/>
        </w:rPr>
        <w:t xml:space="preserve">ة </w:t>
      </w:r>
      <w:r w:rsidRPr="00FD211F">
        <w:rPr>
          <w:sz w:val="36"/>
          <w:szCs w:val="36"/>
          <w:rtl/>
        </w:rPr>
        <w:t>على أدا</w:t>
      </w:r>
      <w:r w:rsidR="00EC7EDF" w:rsidRPr="00FD211F">
        <w:rPr>
          <w:sz w:val="36"/>
          <w:szCs w:val="36"/>
          <w:rtl/>
        </w:rPr>
        <w:t xml:space="preserve">ة </w:t>
      </w:r>
      <w:r w:rsidRPr="00FD211F">
        <w:rPr>
          <w:sz w:val="36"/>
          <w:szCs w:val="36"/>
          <w:rtl/>
        </w:rPr>
        <w:t xml:space="preserve">تدل على هذا الاختلاف كما في الجمل </w:t>
      </w:r>
      <w:r w:rsidR="009A7F7C" w:rsidRPr="00FD211F">
        <w:rPr>
          <w:sz w:val="36"/>
          <w:szCs w:val="36"/>
          <w:rtl/>
        </w:rPr>
        <w:t>الانشائي</w:t>
      </w:r>
      <w:r w:rsidR="00EC7EDF" w:rsidRPr="00FD211F">
        <w:rPr>
          <w:sz w:val="36"/>
          <w:szCs w:val="36"/>
          <w:rtl/>
        </w:rPr>
        <w:t xml:space="preserve">ة </w:t>
      </w:r>
      <w:r w:rsidR="009A7F7C" w:rsidRPr="00FD211F">
        <w:rPr>
          <w:sz w:val="36"/>
          <w:szCs w:val="36"/>
          <w:rtl/>
        </w:rPr>
        <w:t>المختص</w:t>
      </w:r>
      <w:r w:rsidR="00EC7EDF" w:rsidRPr="00FD211F">
        <w:rPr>
          <w:sz w:val="36"/>
          <w:szCs w:val="36"/>
          <w:rtl/>
        </w:rPr>
        <w:t xml:space="preserve">ة </w:t>
      </w:r>
      <w:r w:rsidRPr="00FD211F">
        <w:rPr>
          <w:sz w:val="36"/>
          <w:szCs w:val="36"/>
          <w:rtl/>
        </w:rPr>
        <w:t>مثل</w:t>
      </w:r>
      <w:r w:rsidR="009A7F7C" w:rsidRPr="00FD211F">
        <w:rPr>
          <w:sz w:val="36"/>
          <w:szCs w:val="36"/>
          <w:rtl/>
        </w:rPr>
        <w:t>" ليت زيدا قائم"</w:t>
      </w:r>
      <w:r w:rsidRPr="00FD211F">
        <w:rPr>
          <w:sz w:val="36"/>
          <w:szCs w:val="36"/>
          <w:rtl/>
        </w:rPr>
        <w:t xml:space="preserve"> فان حرف ليت يدل على كون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ملحوظ</w:t>
      </w:r>
      <w:r w:rsidR="00EC7EDF" w:rsidRPr="00FD211F">
        <w:rPr>
          <w:sz w:val="36"/>
          <w:szCs w:val="36"/>
          <w:rtl/>
        </w:rPr>
        <w:t xml:space="preserve">ة </w:t>
      </w:r>
      <w:r w:rsidRPr="00FD211F">
        <w:rPr>
          <w:sz w:val="36"/>
          <w:szCs w:val="36"/>
          <w:rtl/>
        </w:rPr>
        <w:t>بلحاظ عالم التمني فتختلف عمّا اذا</w:t>
      </w:r>
      <w:r w:rsidR="008D7B3D" w:rsidRPr="00FD211F">
        <w:rPr>
          <w:sz w:val="36"/>
          <w:szCs w:val="36"/>
          <w:rtl/>
        </w:rPr>
        <w:t xml:space="preserve"> لم‌</w:t>
      </w:r>
      <w:r w:rsidRPr="00FD211F">
        <w:rPr>
          <w:sz w:val="36"/>
          <w:szCs w:val="36"/>
          <w:rtl/>
        </w:rPr>
        <w:t>تشتمل الجمل</w:t>
      </w:r>
      <w:r w:rsidR="00EC7EDF" w:rsidRPr="00FD211F">
        <w:rPr>
          <w:sz w:val="36"/>
          <w:szCs w:val="36"/>
          <w:rtl/>
        </w:rPr>
        <w:t xml:space="preserve">ة </w:t>
      </w:r>
      <w:r w:rsidRPr="00FD211F">
        <w:rPr>
          <w:sz w:val="36"/>
          <w:szCs w:val="36"/>
          <w:rtl/>
        </w:rPr>
        <w:t xml:space="preserve">على حرف </w:t>
      </w:r>
      <w:r w:rsidR="00607767" w:rsidRPr="00FD211F">
        <w:rPr>
          <w:sz w:val="36"/>
          <w:szCs w:val="36"/>
          <w:rtl/>
        </w:rPr>
        <w:t>"</w:t>
      </w:r>
      <w:r w:rsidRPr="00FD211F">
        <w:rPr>
          <w:sz w:val="36"/>
          <w:szCs w:val="36"/>
          <w:rtl/>
        </w:rPr>
        <w:t>ليت</w:t>
      </w:r>
      <w:r w:rsidR="00607767" w:rsidRPr="00FD211F">
        <w:rPr>
          <w:sz w:val="36"/>
          <w:szCs w:val="36"/>
          <w:rtl/>
        </w:rPr>
        <w:t>"</w:t>
      </w:r>
      <w:r w:rsidR="00603323" w:rsidRPr="00FD211F">
        <w:rPr>
          <w:sz w:val="36"/>
          <w:szCs w:val="36"/>
          <w:rtl/>
        </w:rPr>
        <w:t xml:space="preserve">، </w:t>
      </w:r>
      <w:r w:rsidRPr="00FD211F">
        <w:rPr>
          <w:sz w:val="36"/>
          <w:szCs w:val="36"/>
          <w:rtl/>
        </w:rPr>
        <w:t>واما في الجمل المشترك</w:t>
      </w:r>
      <w:r w:rsidR="00EC7EDF" w:rsidRPr="00FD211F">
        <w:rPr>
          <w:sz w:val="36"/>
          <w:szCs w:val="36"/>
          <w:rtl/>
        </w:rPr>
        <w:t xml:space="preserve">ة </w:t>
      </w:r>
      <w:r w:rsidRPr="00FD211F">
        <w:rPr>
          <w:sz w:val="36"/>
          <w:szCs w:val="36"/>
          <w:rtl/>
        </w:rPr>
        <w:t>فلاتوجد اي ادا</w:t>
      </w:r>
      <w:r w:rsidR="00EC7EDF" w:rsidRPr="00FD211F">
        <w:rPr>
          <w:sz w:val="36"/>
          <w:szCs w:val="36"/>
          <w:rtl/>
        </w:rPr>
        <w:t xml:space="preserve">ة </w:t>
      </w:r>
      <w:r w:rsidRPr="00FD211F">
        <w:rPr>
          <w:sz w:val="36"/>
          <w:szCs w:val="36"/>
          <w:rtl/>
        </w:rPr>
        <w:t>تمي</w:t>
      </w:r>
      <w:r w:rsidR="00607767" w:rsidRPr="00FD211F">
        <w:rPr>
          <w:sz w:val="36"/>
          <w:szCs w:val="36"/>
          <w:rtl/>
        </w:rPr>
        <w:t>ِّ</w:t>
      </w:r>
      <w:r w:rsidRPr="00FD211F">
        <w:rPr>
          <w:sz w:val="36"/>
          <w:szCs w:val="36"/>
          <w:rtl/>
        </w:rPr>
        <w:t>ز المعنى الإنشائي عن الاخباري.</w:t>
      </w:r>
    </w:p>
    <w:p w14:paraId="4024F81B" w14:textId="77777777" w:rsidR="00607767" w:rsidRPr="00FD211F" w:rsidRDefault="00556BC0" w:rsidP="009C58C8">
      <w:pPr>
        <w:ind w:left="0" w:firstLine="227"/>
        <w:jc w:val="both"/>
        <w:rPr>
          <w:sz w:val="36"/>
          <w:szCs w:val="36"/>
          <w:rtl/>
        </w:rPr>
      </w:pPr>
      <w:r w:rsidRPr="00FD211F">
        <w:rPr>
          <w:sz w:val="36"/>
          <w:szCs w:val="36"/>
          <w:rtl/>
        </w:rPr>
        <w:t>ثم لايخفى انه ليس الفرق بين الجمل المشترك</w:t>
      </w:r>
      <w:r w:rsidR="00EC7EDF" w:rsidRPr="00FD211F">
        <w:rPr>
          <w:sz w:val="36"/>
          <w:szCs w:val="36"/>
          <w:rtl/>
        </w:rPr>
        <w:t xml:space="preserve">ة </w:t>
      </w:r>
      <w:r w:rsidRPr="00FD211F">
        <w:rPr>
          <w:sz w:val="36"/>
          <w:szCs w:val="36"/>
          <w:rtl/>
        </w:rPr>
        <w:t>المستعمل</w:t>
      </w:r>
      <w:r w:rsidR="00EC7EDF" w:rsidRPr="00FD211F">
        <w:rPr>
          <w:sz w:val="36"/>
          <w:szCs w:val="36"/>
          <w:rtl/>
        </w:rPr>
        <w:t xml:space="preserve">ة </w:t>
      </w:r>
      <w:r w:rsidRPr="00FD211F">
        <w:rPr>
          <w:sz w:val="36"/>
          <w:szCs w:val="36"/>
          <w:rtl/>
        </w:rPr>
        <w:t>في مقام الإنشاء مع تلك الجمل</w:t>
      </w:r>
      <w:r w:rsidR="00EC7EDF" w:rsidRPr="00FD211F">
        <w:rPr>
          <w:sz w:val="36"/>
          <w:szCs w:val="36"/>
          <w:rtl/>
        </w:rPr>
        <w:t xml:space="preserve">ة </w:t>
      </w:r>
      <w:r w:rsidRPr="00FD211F">
        <w:rPr>
          <w:sz w:val="36"/>
          <w:szCs w:val="36"/>
          <w:rtl/>
        </w:rPr>
        <w:t>اذا استعملت في مقام الإخبار في المدلول التصديقي فحسب</w:t>
      </w:r>
      <w:r w:rsidR="00603323" w:rsidRPr="00FD211F">
        <w:rPr>
          <w:sz w:val="36"/>
          <w:szCs w:val="36"/>
          <w:rtl/>
        </w:rPr>
        <w:t xml:space="preserve">، </w:t>
      </w:r>
      <w:r w:rsidRPr="00FD211F">
        <w:rPr>
          <w:sz w:val="36"/>
          <w:szCs w:val="36"/>
          <w:rtl/>
        </w:rPr>
        <w:t xml:space="preserve">بل يكون الفرق </w:t>
      </w:r>
      <w:r w:rsidR="00607767" w:rsidRPr="00FD211F">
        <w:rPr>
          <w:sz w:val="36"/>
          <w:szCs w:val="36"/>
          <w:rtl/>
        </w:rPr>
        <w:t>بينهما في المدلول التصوري ايضا.</w:t>
      </w:r>
    </w:p>
    <w:p w14:paraId="654EF794" w14:textId="77777777" w:rsidR="000C5BBA" w:rsidRPr="00FD211F" w:rsidRDefault="00556BC0" w:rsidP="009C58C8">
      <w:pPr>
        <w:ind w:left="0" w:firstLine="227"/>
        <w:jc w:val="both"/>
        <w:rPr>
          <w:sz w:val="36"/>
          <w:szCs w:val="36"/>
          <w:rtl/>
        </w:rPr>
      </w:pPr>
      <w:r w:rsidRPr="00FD211F">
        <w:rPr>
          <w:sz w:val="36"/>
          <w:szCs w:val="36"/>
          <w:rtl/>
        </w:rPr>
        <w:t>توضيح ذلك: ان الجمل</w:t>
      </w:r>
      <w:r w:rsidR="00EC7EDF" w:rsidRPr="00FD211F">
        <w:rPr>
          <w:sz w:val="36"/>
          <w:szCs w:val="36"/>
          <w:rtl/>
        </w:rPr>
        <w:t xml:space="preserve">ة </w:t>
      </w:r>
      <w:r w:rsidRPr="00FD211F">
        <w:rPr>
          <w:sz w:val="36"/>
          <w:szCs w:val="36"/>
          <w:rtl/>
        </w:rPr>
        <w:t>المشترك</w:t>
      </w:r>
      <w:r w:rsidR="00EC7EDF" w:rsidRPr="00FD211F">
        <w:rPr>
          <w:sz w:val="36"/>
          <w:szCs w:val="36"/>
          <w:rtl/>
        </w:rPr>
        <w:t xml:space="preserve">ة </w:t>
      </w:r>
      <w:r w:rsidRPr="00FD211F">
        <w:rPr>
          <w:sz w:val="36"/>
          <w:szCs w:val="36"/>
          <w:rtl/>
        </w:rPr>
        <w:t>قد تلحظ فاني</w:t>
      </w:r>
      <w:r w:rsidR="00EC7EDF" w:rsidRPr="00FD211F">
        <w:rPr>
          <w:sz w:val="36"/>
          <w:szCs w:val="36"/>
          <w:rtl/>
        </w:rPr>
        <w:t xml:space="preserve">ة </w:t>
      </w:r>
      <w:r w:rsidRPr="00FD211F">
        <w:rPr>
          <w:sz w:val="36"/>
          <w:szCs w:val="36"/>
          <w:rtl/>
        </w:rPr>
        <w:t>في معنى يُرى تصورا وجوده مع قطع النظر عن استعمال هذه الجمل</w:t>
      </w:r>
      <w:r w:rsidR="00EC7EDF" w:rsidRPr="00FD211F">
        <w:rPr>
          <w:sz w:val="36"/>
          <w:szCs w:val="36"/>
          <w:rtl/>
        </w:rPr>
        <w:t>ة</w:t>
      </w:r>
      <w:r w:rsidR="00603323" w:rsidRPr="00FD211F">
        <w:rPr>
          <w:sz w:val="36"/>
          <w:szCs w:val="36"/>
          <w:rtl/>
        </w:rPr>
        <w:t xml:space="preserve">، </w:t>
      </w:r>
      <w:r w:rsidRPr="00FD211F">
        <w:rPr>
          <w:sz w:val="36"/>
          <w:szCs w:val="36"/>
          <w:rtl/>
        </w:rPr>
        <w:t>فتصير جمل</w:t>
      </w:r>
      <w:r w:rsidR="00EC7EDF" w:rsidRPr="00FD211F">
        <w:rPr>
          <w:sz w:val="36"/>
          <w:szCs w:val="36"/>
          <w:rtl/>
        </w:rPr>
        <w:t xml:space="preserve">ة </w:t>
      </w:r>
      <w:r w:rsidRPr="00FD211F">
        <w:rPr>
          <w:sz w:val="36"/>
          <w:szCs w:val="36"/>
          <w:rtl/>
        </w:rPr>
        <w:t>خبري</w:t>
      </w:r>
      <w:r w:rsidR="00EC7EDF" w:rsidRPr="00FD211F">
        <w:rPr>
          <w:sz w:val="36"/>
          <w:szCs w:val="36"/>
          <w:rtl/>
        </w:rPr>
        <w:t>ة</w:t>
      </w:r>
      <w:r w:rsidR="00603323" w:rsidRPr="00FD211F">
        <w:rPr>
          <w:sz w:val="36"/>
          <w:szCs w:val="36"/>
          <w:rtl/>
        </w:rPr>
        <w:t xml:space="preserve">، </w:t>
      </w:r>
      <w:r w:rsidRPr="00FD211F">
        <w:rPr>
          <w:sz w:val="36"/>
          <w:szCs w:val="36"/>
          <w:rtl/>
        </w:rPr>
        <w:t>وقد تلحظ فاني</w:t>
      </w:r>
      <w:r w:rsidR="00EC7EDF" w:rsidRPr="00FD211F">
        <w:rPr>
          <w:sz w:val="36"/>
          <w:szCs w:val="36"/>
          <w:rtl/>
        </w:rPr>
        <w:t xml:space="preserve">ة </w:t>
      </w:r>
      <w:r w:rsidRPr="00FD211F">
        <w:rPr>
          <w:sz w:val="36"/>
          <w:szCs w:val="36"/>
          <w:rtl/>
        </w:rPr>
        <w:t>في معنى يُرى تصورا وجوده في طول استعمال الجمل</w:t>
      </w:r>
      <w:r w:rsidR="00EC7EDF" w:rsidRPr="00FD211F">
        <w:rPr>
          <w:sz w:val="36"/>
          <w:szCs w:val="36"/>
          <w:rtl/>
        </w:rPr>
        <w:t xml:space="preserve">ة </w:t>
      </w:r>
      <w:r w:rsidRPr="00FD211F">
        <w:rPr>
          <w:sz w:val="36"/>
          <w:szCs w:val="36"/>
          <w:rtl/>
        </w:rPr>
        <w:t>فتصير جمل</w:t>
      </w:r>
      <w:r w:rsidR="00EC7EDF" w:rsidRPr="00FD211F">
        <w:rPr>
          <w:sz w:val="36"/>
          <w:szCs w:val="36"/>
          <w:rtl/>
        </w:rPr>
        <w:t xml:space="preserve">ة </w:t>
      </w:r>
      <w:r w:rsidRPr="00FD211F">
        <w:rPr>
          <w:sz w:val="36"/>
          <w:szCs w:val="36"/>
          <w:rtl/>
        </w:rPr>
        <w:t>إنشائي</w:t>
      </w:r>
      <w:r w:rsidR="00EC7EDF" w:rsidRPr="00FD211F">
        <w:rPr>
          <w:sz w:val="36"/>
          <w:szCs w:val="36"/>
          <w:rtl/>
        </w:rPr>
        <w:t>ة</w:t>
      </w:r>
      <w:r w:rsidR="00603323" w:rsidRPr="00FD211F">
        <w:rPr>
          <w:sz w:val="36"/>
          <w:szCs w:val="36"/>
          <w:rtl/>
        </w:rPr>
        <w:t xml:space="preserve">، </w:t>
      </w:r>
      <w:r w:rsidRPr="00FD211F">
        <w:rPr>
          <w:sz w:val="36"/>
          <w:szCs w:val="36"/>
          <w:rtl/>
        </w:rPr>
        <w:t xml:space="preserve">وهذا الفرق بين الجملتين ثابت حتى في فرض صدورهما بداعي الهزل </w:t>
      </w:r>
      <w:r w:rsidR="00F90398" w:rsidRPr="00FD211F">
        <w:rPr>
          <w:sz w:val="36"/>
          <w:szCs w:val="36"/>
          <w:rtl/>
        </w:rPr>
        <w:t>او استعمالهما للتأكد من معناهما.</w:t>
      </w:r>
    </w:p>
    <w:p w14:paraId="217CC574" w14:textId="77777777" w:rsidR="00556BC0" w:rsidRPr="00FD211F" w:rsidRDefault="00556BC0" w:rsidP="009C58C8">
      <w:pPr>
        <w:ind w:left="0" w:firstLine="227"/>
        <w:jc w:val="both"/>
        <w:rPr>
          <w:sz w:val="36"/>
          <w:szCs w:val="36"/>
          <w:rtl/>
        </w:rPr>
      </w:pPr>
      <w:r w:rsidRPr="00FD211F">
        <w:rPr>
          <w:sz w:val="36"/>
          <w:szCs w:val="36"/>
          <w:rtl/>
        </w:rPr>
        <w:t>ولامانع من اخذ الإيجادي</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في المستعمل فيه بالذات للجمل</w:t>
      </w:r>
      <w:r w:rsidR="00EC7EDF" w:rsidRPr="00FD211F">
        <w:rPr>
          <w:sz w:val="36"/>
          <w:szCs w:val="36"/>
          <w:rtl/>
        </w:rPr>
        <w:t xml:space="preserve">ة </w:t>
      </w:r>
      <w:r w:rsidRPr="00FD211F">
        <w:rPr>
          <w:sz w:val="36"/>
          <w:szCs w:val="36"/>
          <w:rtl/>
        </w:rPr>
        <w:t>اذا استعملت في مقام الإنشاء وأخذ الحكائي</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فيها اذا استعملت في مقام الإخبار</w:t>
      </w:r>
      <w:r w:rsidR="00603323" w:rsidRPr="00FD211F">
        <w:rPr>
          <w:sz w:val="36"/>
          <w:szCs w:val="36"/>
          <w:rtl/>
        </w:rPr>
        <w:t xml:space="preserve">، </w:t>
      </w:r>
      <w:r w:rsidRPr="00FD211F">
        <w:rPr>
          <w:sz w:val="36"/>
          <w:szCs w:val="36"/>
          <w:rtl/>
        </w:rPr>
        <w:t>والمراد من المستعمل فيه بالذات نفس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للمعنى والتي توجد في ذهن المتكلم</w:t>
      </w:r>
      <w:r w:rsidR="00603323" w:rsidRPr="00FD211F">
        <w:rPr>
          <w:sz w:val="36"/>
          <w:szCs w:val="36"/>
          <w:rtl/>
        </w:rPr>
        <w:t xml:space="preserve">، </w:t>
      </w:r>
      <w:r w:rsidRPr="00FD211F">
        <w:rPr>
          <w:sz w:val="36"/>
          <w:szCs w:val="36"/>
          <w:rtl/>
        </w:rPr>
        <w:t>والوجدان العرفي يساعد على اخذ الإيجادي</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او الحكاي</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للمدلول التصوري</w:t>
      </w:r>
      <w:r w:rsidR="00603323" w:rsidRPr="00FD211F">
        <w:rPr>
          <w:sz w:val="36"/>
          <w:szCs w:val="36"/>
          <w:rtl/>
        </w:rPr>
        <w:t xml:space="preserve">، </w:t>
      </w:r>
      <w:r w:rsidRPr="00FD211F">
        <w:rPr>
          <w:sz w:val="36"/>
          <w:szCs w:val="36"/>
          <w:rtl/>
        </w:rPr>
        <w:t>فان المدلول التصديقي لابد ان يكون</w:t>
      </w:r>
      <w:r w:rsidR="00F90398" w:rsidRPr="00FD211F">
        <w:rPr>
          <w:sz w:val="36"/>
          <w:szCs w:val="36"/>
          <w:rtl/>
        </w:rPr>
        <w:t xml:space="preserve"> مناسبا عرفا مع المدلول التصوري</w:t>
      </w:r>
      <w:r w:rsidRPr="00FD211F">
        <w:rPr>
          <w:sz w:val="36"/>
          <w:szCs w:val="36"/>
          <w:rtl/>
        </w:rPr>
        <w:t>.</w:t>
      </w:r>
    </w:p>
    <w:p w14:paraId="4AAFC111" w14:textId="77777777" w:rsidR="00556BC0" w:rsidRPr="00FD211F" w:rsidRDefault="00556BC0" w:rsidP="009C58C8">
      <w:pPr>
        <w:ind w:left="0" w:firstLine="227"/>
        <w:jc w:val="both"/>
        <w:rPr>
          <w:sz w:val="36"/>
          <w:szCs w:val="36"/>
          <w:rtl/>
        </w:rPr>
      </w:pPr>
      <w:r w:rsidRPr="00FD211F">
        <w:rPr>
          <w:sz w:val="36"/>
          <w:szCs w:val="36"/>
          <w:rtl/>
        </w:rPr>
        <w:t>هذا وأما أخذ الإيجادي</w:t>
      </w:r>
      <w:r w:rsidR="00EC7EDF" w:rsidRPr="00FD211F">
        <w:rPr>
          <w:sz w:val="36"/>
          <w:szCs w:val="36"/>
          <w:rtl/>
        </w:rPr>
        <w:t xml:space="preserve">ة </w:t>
      </w:r>
      <w:r w:rsidRPr="00FD211F">
        <w:rPr>
          <w:sz w:val="36"/>
          <w:szCs w:val="36"/>
          <w:rtl/>
        </w:rPr>
        <w:t>او الحكائي</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في ذات المعنى فباطل لأنها من خصوصيات لحاظ المعنى واخذ خصوصي</w:t>
      </w:r>
      <w:r w:rsidR="00EC7EDF" w:rsidRPr="00FD211F">
        <w:rPr>
          <w:sz w:val="36"/>
          <w:szCs w:val="36"/>
          <w:rtl/>
        </w:rPr>
        <w:t xml:space="preserve">ة </w:t>
      </w:r>
      <w:r w:rsidRPr="00FD211F">
        <w:rPr>
          <w:sz w:val="36"/>
          <w:szCs w:val="36"/>
          <w:rtl/>
        </w:rPr>
        <w:t>لحاظ المعنى -من لحاظها الاستقلالي او الآلي او كيفي</w:t>
      </w:r>
      <w:r w:rsidR="00EC7EDF" w:rsidRPr="00FD211F">
        <w:rPr>
          <w:sz w:val="36"/>
          <w:szCs w:val="36"/>
          <w:rtl/>
        </w:rPr>
        <w:t xml:space="preserve">ة </w:t>
      </w:r>
      <w:r w:rsidRPr="00FD211F">
        <w:rPr>
          <w:sz w:val="36"/>
          <w:szCs w:val="36"/>
          <w:rtl/>
        </w:rPr>
        <w:t>إفناءها في المعنون- في ذات المعنى إما خلاف الوجدان ان فرض تعدد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وإما موجب للخلف ان فرض وحد</w:t>
      </w:r>
      <w:r w:rsidR="00EC7EDF" w:rsidRPr="00FD211F">
        <w:rPr>
          <w:sz w:val="36"/>
          <w:szCs w:val="36"/>
          <w:rtl/>
        </w:rPr>
        <w:t xml:space="preserve">ة </w:t>
      </w:r>
      <w:r w:rsidRPr="00FD211F">
        <w:rPr>
          <w:sz w:val="36"/>
          <w:szCs w:val="36"/>
          <w:rtl/>
        </w:rPr>
        <w:t>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لمجموع المعنى في الذهن.</w:t>
      </w:r>
    </w:p>
    <w:p w14:paraId="538E7F6B" w14:textId="77777777" w:rsidR="00AE6817" w:rsidRPr="00FD211F" w:rsidRDefault="00556BC0" w:rsidP="009C58C8">
      <w:pPr>
        <w:ind w:left="0" w:firstLine="227"/>
        <w:jc w:val="both"/>
        <w:rPr>
          <w:sz w:val="36"/>
          <w:szCs w:val="36"/>
          <w:rtl/>
        </w:rPr>
      </w:pPr>
      <w:r w:rsidRPr="00FD211F">
        <w:rPr>
          <w:sz w:val="36"/>
          <w:szCs w:val="36"/>
          <w:rtl/>
        </w:rPr>
        <w:t>كما انه يمكن اخذ خصوصي</w:t>
      </w:r>
      <w:r w:rsidR="00EC7EDF" w:rsidRPr="00FD211F">
        <w:rPr>
          <w:sz w:val="36"/>
          <w:szCs w:val="36"/>
          <w:rtl/>
        </w:rPr>
        <w:t xml:space="preserve">ة </w:t>
      </w:r>
      <w:r w:rsidRPr="00FD211F">
        <w:rPr>
          <w:sz w:val="36"/>
          <w:szCs w:val="36"/>
          <w:rtl/>
        </w:rPr>
        <w:t>الإيجادي</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او الحكائي</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في الموضوع له بالذات اي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للمعنى والتي توجد في ذهن السامع</w:t>
      </w:r>
      <w:r w:rsidR="00603323" w:rsidRPr="00FD211F">
        <w:rPr>
          <w:sz w:val="36"/>
          <w:szCs w:val="36"/>
          <w:rtl/>
        </w:rPr>
        <w:t xml:space="preserve">، </w:t>
      </w:r>
      <w:r w:rsidRPr="00FD211F">
        <w:rPr>
          <w:sz w:val="36"/>
          <w:szCs w:val="36"/>
          <w:rtl/>
        </w:rPr>
        <w:t>فانها التي يكون سماع اللفظ سببا لها اولا وبالذات</w:t>
      </w:r>
      <w:r w:rsidR="00603323" w:rsidRPr="00FD211F">
        <w:rPr>
          <w:sz w:val="36"/>
          <w:szCs w:val="36"/>
          <w:rtl/>
        </w:rPr>
        <w:t xml:space="preserve">، </w:t>
      </w:r>
      <w:r w:rsidRPr="00FD211F">
        <w:rPr>
          <w:sz w:val="36"/>
          <w:szCs w:val="36"/>
          <w:rtl/>
        </w:rPr>
        <w:t>وأما ذات المعنى بتجريده عن وجوده في ذهن السامع فهو الموضوع له بالعرض</w:t>
      </w:r>
      <w:r w:rsidR="00603323" w:rsidRPr="00FD211F">
        <w:rPr>
          <w:sz w:val="36"/>
          <w:szCs w:val="36"/>
          <w:rtl/>
        </w:rPr>
        <w:t xml:space="preserve">، </w:t>
      </w:r>
      <w:r w:rsidRPr="00FD211F">
        <w:rPr>
          <w:sz w:val="36"/>
          <w:szCs w:val="36"/>
          <w:rtl/>
        </w:rPr>
        <w:t>وقد اتضح امكان اخذ خصوصي</w:t>
      </w:r>
      <w:r w:rsidR="00EC7EDF" w:rsidRPr="00FD211F">
        <w:rPr>
          <w:sz w:val="36"/>
          <w:szCs w:val="36"/>
          <w:rtl/>
        </w:rPr>
        <w:t xml:space="preserve">ة </w:t>
      </w:r>
      <w:r w:rsidRPr="00FD211F">
        <w:rPr>
          <w:sz w:val="36"/>
          <w:szCs w:val="36"/>
          <w:rtl/>
        </w:rPr>
        <w:t>اللحاظ في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للمعنى فيكون القرن الأكيد بين اللفظ وبين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للمعنى بما لها من خصوصي</w:t>
      </w:r>
      <w:r w:rsidR="00EC7EDF" w:rsidRPr="00FD211F">
        <w:rPr>
          <w:sz w:val="36"/>
          <w:szCs w:val="36"/>
          <w:rtl/>
        </w:rPr>
        <w:t xml:space="preserve">ة </w:t>
      </w:r>
      <w:r w:rsidRPr="00FD211F">
        <w:rPr>
          <w:sz w:val="36"/>
          <w:szCs w:val="36"/>
          <w:rtl/>
        </w:rPr>
        <w:t>لحاظ الإيجادي</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او الحكائي</w:t>
      </w:r>
      <w:r w:rsidR="00EC7EDF" w:rsidRPr="00FD211F">
        <w:rPr>
          <w:sz w:val="36"/>
          <w:szCs w:val="36"/>
          <w:rtl/>
        </w:rPr>
        <w:t xml:space="preserve">ة </w:t>
      </w:r>
      <w:r w:rsidRPr="00FD211F">
        <w:rPr>
          <w:sz w:val="36"/>
          <w:szCs w:val="36"/>
          <w:rtl/>
        </w:rPr>
        <w:t>التصوري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22"/>
      </w:r>
      <w:r w:rsidR="009C58C8" w:rsidRPr="00FD211F">
        <w:rPr>
          <w:rStyle w:val="a6"/>
          <w:sz w:val="36"/>
          <w:szCs w:val="36"/>
          <w:rtl/>
        </w:rPr>
        <w:t>)</w:t>
      </w:r>
      <w:r w:rsidRPr="00FD211F">
        <w:rPr>
          <w:sz w:val="36"/>
          <w:szCs w:val="36"/>
          <w:rtl/>
        </w:rPr>
        <w:t>.</w:t>
      </w:r>
    </w:p>
    <w:p w14:paraId="1CBB0856" w14:textId="77777777" w:rsidR="00556BC0" w:rsidRPr="00FD211F" w:rsidRDefault="00AE6817" w:rsidP="009C58C8">
      <w:pPr>
        <w:pStyle w:val="3"/>
        <w:ind w:firstLine="227"/>
        <w:jc w:val="both"/>
        <w:rPr>
          <w:rtl/>
        </w:rPr>
      </w:pPr>
      <w:bookmarkStart w:id="243" w:name="_Toc223890364"/>
      <w:r w:rsidRPr="00FD211F">
        <w:rPr>
          <w:rtl/>
        </w:rPr>
        <w:t>توضيح المختار في المقام</w:t>
      </w:r>
      <w:bookmarkEnd w:id="243"/>
      <w:r w:rsidRPr="00FD211F">
        <w:rPr>
          <w:rtl/>
        </w:rPr>
        <w:t xml:space="preserve"> </w:t>
      </w:r>
    </w:p>
    <w:p w14:paraId="4E3B8443" w14:textId="77777777" w:rsidR="00556BC0" w:rsidRPr="00FD211F" w:rsidRDefault="00556BC0" w:rsidP="009C58C8">
      <w:pPr>
        <w:ind w:left="0" w:firstLine="227"/>
        <w:jc w:val="both"/>
        <w:rPr>
          <w:sz w:val="36"/>
          <w:szCs w:val="36"/>
          <w:rtl/>
        </w:rPr>
      </w:pPr>
      <w:r w:rsidRPr="00FD211F">
        <w:rPr>
          <w:sz w:val="36"/>
          <w:szCs w:val="36"/>
          <w:rtl/>
        </w:rPr>
        <w:t xml:space="preserve">اقول: الظاهر </w:t>
      </w:r>
      <w:r w:rsidR="00C85887" w:rsidRPr="00FD211F">
        <w:rPr>
          <w:sz w:val="36"/>
          <w:szCs w:val="36"/>
          <w:rtl/>
        </w:rPr>
        <w:t>ان المدلول المطابقي التصوري</w:t>
      </w:r>
      <w:r w:rsidR="00B253CE" w:rsidRPr="00FD211F">
        <w:rPr>
          <w:sz w:val="36"/>
          <w:szCs w:val="36"/>
          <w:rtl/>
        </w:rPr>
        <w:t xml:space="preserve"> </w:t>
      </w:r>
      <w:r w:rsidR="00C85887" w:rsidRPr="00FD211F">
        <w:rPr>
          <w:sz w:val="36"/>
          <w:szCs w:val="36"/>
          <w:rtl/>
        </w:rPr>
        <w:t>ل</w:t>
      </w:r>
      <w:r w:rsidRPr="00FD211F">
        <w:rPr>
          <w:sz w:val="36"/>
          <w:szCs w:val="36"/>
          <w:rtl/>
        </w:rPr>
        <w:t>معنى الجمل</w:t>
      </w:r>
      <w:r w:rsidR="00EC7EDF" w:rsidRPr="00FD211F">
        <w:rPr>
          <w:sz w:val="36"/>
          <w:szCs w:val="36"/>
          <w:rtl/>
        </w:rPr>
        <w:t xml:space="preserve">ة </w:t>
      </w:r>
      <w:r w:rsidRPr="00FD211F">
        <w:rPr>
          <w:sz w:val="36"/>
          <w:szCs w:val="36"/>
          <w:rtl/>
        </w:rPr>
        <w:t>المشترك</w:t>
      </w:r>
      <w:r w:rsidR="00EC7EDF" w:rsidRPr="00FD211F">
        <w:rPr>
          <w:sz w:val="36"/>
          <w:szCs w:val="36"/>
          <w:rtl/>
        </w:rPr>
        <w:t xml:space="preserve">ة </w:t>
      </w:r>
      <w:r w:rsidRPr="00FD211F">
        <w:rPr>
          <w:sz w:val="36"/>
          <w:szCs w:val="36"/>
          <w:rtl/>
        </w:rPr>
        <w:t>يكون واحدا سواء كان استعمالها في مقام الإنشاء او الإخبار</w:t>
      </w:r>
      <w:r w:rsidR="00603323" w:rsidRPr="00FD211F">
        <w:rPr>
          <w:sz w:val="36"/>
          <w:szCs w:val="36"/>
          <w:rtl/>
        </w:rPr>
        <w:t xml:space="preserve">، </w:t>
      </w:r>
      <w:r w:rsidRPr="00FD211F">
        <w:rPr>
          <w:sz w:val="36"/>
          <w:szCs w:val="36"/>
          <w:rtl/>
        </w:rPr>
        <w:t>وانما يكون الاختلاف بينهما في المدلول التصوري الالتزامي وهو الداعي من الاستعمال</w:t>
      </w:r>
      <w:r w:rsidR="00603323" w:rsidRPr="00FD211F">
        <w:rPr>
          <w:sz w:val="36"/>
          <w:szCs w:val="36"/>
          <w:rtl/>
        </w:rPr>
        <w:t xml:space="preserve">، </w:t>
      </w:r>
      <w:r w:rsidRPr="00FD211F">
        <w:rPr>
          <w:sz w:val="36"/>
          <w:szCs w:val="36"/>
          <w:rtl/>
        </w:rPr>
        <w:t>فالمعنى المطابقي لجمل</w:t>
      </w:r>
      <w:r w:rsidR="00EC7EDF" w:rsidRPr="00FD211F">
        <w:rPr>
          <w:sz w:val="36"/>
          <w:szCs w:val="36"/>
          <w:rtl/>
        </w:rPr>
        <w:t xml:space="preserve">ة </w:t>
      </w:r>
      <w:r w:rsidRPr="00FD211F">
        <w:rPr>
          <w:sz w:val="36"/>
          <w:szCs w:val="36"/>
          <w:rtl/>
        </w:rPr>
        <w:t>"يعيد صلاته" هو صدور إعاد</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من المكلف</w:t>
      </w:r>
      <w:r w:rsidR="00603323" w:rsidRPr="00FD211F">
        <w:rPr>
          <w:sz w:val="36"/>
          <w:szCs w:val="36"/>
          <w:rtl/>
        </w:rPr>
        <w:t xml:space="preserve">، </w:t>
      </w:r>
      <w:r w:rsidRPr="00FD211F">
        <w:rPr>
          <w:sz w:val="36"/>
          <w:szCs w:val="36"/>
          <w:rtl/>
        </w:rPr>
        <w:t>وانما الداعي من استعمالها هو الطلب</w:t>
      </w:r>
      <w:r w:rsidR="00603323" w:rsidRPr="00FD211F">
        <w:rPr>
          <w:sz w:val="36"/>
          <w:szCs w:val="36"/>
          <w:rtl/>
        </w:rPr>
        <w:t xml:space="preserve">، </w:t>
      </w:r>
      <w:r w:rsidRPr="00FD211F">
        <w:rPr>
          <w:sz w:val="36"/>
          <w:szCs w:val="36"/>
          <w:rtl/>
        </w:rPr>
        <w:t>ولانعني من ذلك كونه مرتبطا بالمدلول التصديقي حتى يعترض عليه بانحفاظه في موارد الاستعمال بداعي الهزل</w:t>
      </w:r>
      <w:r w:rsidR="00603323" w:rsidRPr="00FD211F">
        <w:rPr>
          <w:sz w:val="36"/>
          <w:szCs w:val="36"/>
          <w:rtl/>
        </w:rPr>
        <w:t xml:space="preserve">، </w:t>
      </w:r>
      <w:r w:rsidRPr="00FD211F">
        <w:rPr>
          <w:sz w:val="36"/>
          <w:szCs w:val="36"/>
          <w:rtl/>
        </w:rPr>
        <w:t>بل ندعي كونه مرتبطا بالوجود التصوري لداعي الاستعمال</w:t>
      </w:r>
      <w:r w:rsidR="00603323" w:rsidRPr="00FD211F">
        <w:rPr>
          <w:sz w:val="36"/>
          <w:szCs w:val="36"/>
          <w:rtl/>
        </w:rPr>
        <w:t xml:space="preserve">، </w:t>
      </w:r>
      <w:r w:rsidRPr="00FD211F">
        <w:rPr>
          <w:sz w:val="36"/>
          <w:szCs w:val="36"/>
          <w:rtl/>
        </w:rPr>
        <w:t xml:space="preserve">فيكون نظير ما لو قال </w:t>
      </w:r>
      <w:r w:rsidR="00490ED5" w:rsidRPr="00FD211F">
        <w:rPr>
          <w:sz w:val="36"/>
          <w:szCs w:val="36"/>
          <w:rtl/>
        </w:rPr>
        <w:t>"</w:t>
      </w:r>
      <w:r w:rsidRPr="00FD211F">
        <w:rPr>
          <w:sz w:val="36"/>
          <w:szCs w:val="36"/>
          <w:rtl/>
        </w:rPr>
        <w:t>زيد كثير الرماد</w:t>
      </w:r>
      <w:r w:rsidR="00490ED5" w:rsidRPr="00FD211F">
        <w:rPr>
          <w:sz w:val="36"/>
          <w:szCs w:val="36"/>
          <w:rtl/>
        </w:rPr>
        <w:t>"</w:t>
      </w:r>
      <w:r w:rsidRPr="00FD211F">
        <w:rPr>
          <w:sz w:val="36"/>
          <w:szCs w:val="36"/>
          <w:rtl/>
        </w:rPr>
        <w:t xml:space="preserve"> كناي</w:t>
      </w:r>
      <w:r w:rsidR="00EC7EDF" w:rsidRPr="00FD211F">
        <w:rPr>
          <w:sz w:val="36"/>
          <w:szCs w:val="36"/>
          <w:rtl/>
        </w:rPr>
        <w:t xml:space="preserve">ة </w:t>
      </w:r>
      <w:r w:rsidRPr="00FD211F">
        <w:rPr>
          <w:sz w:val="36"/>
          <w:szCs w:val="36"/>
          <w:rtl/>
        </w:rPr>
        <w:t>عن جوده ولكن كان ذلك بداعي الهزل</w:t>
      </w:r>
      <w:r w:rsidR="00603323" w:rsidRPr="00FD211F">
        <w:rPr>
          <w:sz w:val="36"/>
          <w:szCs w:val="36"/>
          <w:rtl/>
        </w:rPr>
        <w:t xml:space="preserve">، </w:t>
      </w:r>
      <w:r w:rsidRPr="00FD211F">
        <w:rPr>
          <w:sz w:val="36"/>
          <w:szCs w:val="36"/>
          <w:rtl/>
        </w:rPr>
        <w:t>وهكذا الأمر في جمل</w:t>
      </w:r>
      <w:r w:rsidR="00EC7EDF" w:rsidRPr="00FD211F">
        <w:rPr>
          <w:sz w:val="36"/>
          <w:szCs w:val="36"/>
          <w:rtl/>
        </w:rPr>
        <w:t xml:space="preserve">ة </w:t>
      </w:r>
      <w:r w:rsidRPr="00FD211F">
        <w:rPr>
          <w:sz w:val="36"/>
          <w:szCs w:val="36"/>
          <w:rtl/>
        </w:rPr>
        <w:t>"بعت" فانها حتى لو استعملت في مقام الإنشاء فالمدلول المطابقي لها هو صدور البيع من المتكلم</w:t>
      </w:r>
      <w:r w:rsidR="00603323" w:rsidRPr="00FD211F">
        <w:rPr>
          <w:sz w:val="36"/>
          <w:szCs w:val="36"/>
          <w:rtl/>
        </w:rPr>
        <w:t xml:space="preserve">، </w:t>
      </w:r>
      <w:r w:rsidRPr="00FD211F">
        <w:rPr>
          <w:sz w:val="36"/>
          <w:szCs w:val="36"/>
          <w:rtl/>
        </w:rPr>
        <w:t>لكن يكون الغرض منه هو إيجاده لهذا الاستعمال.</w:t>
      </w:r>
    </w:p>
    <w:p w14:paraId="5C4DE0F2" w14:textId="77777777" w:rsidR="00556BC0" w:rsidRPr="00FD211F" w:rsidRDefault="00490ED5" w:rsidP="009C58C8">
      <w:pPr>
        <w:ind w:left="0" w:firstLine="227"/>
        <w:jc w:val="both"/>
        <w:rPr>
          <w:sz w:val="36"/>
          <w:szCs w:val="36"/>
          <w:rtl/>
        </w:rPr>
      </w:pPr>
      <w:r w:rsidRPr="00FD211F">
        <w:rPr>
          <w:sz w:val="36"/>
          <w:szCs w:val="36"/>
          <w:rtl/>
        </w:rPr>
        <w:t xml:space="preserve">وبناء علة ما ذكرناه </w:t>
      </w:r>
      <w:r w:rsidR="00DD5C7C" w:rsidRPr="00FD211F">
        <w:rPr>
          <w:sz w:val="36"/>
          <w:szCs w:val="36"/>
          <w:rtl/>
        </w:rPr>
        <w:t>ف</w:t>
      </w:r>
      <w:r w:rsidR="00556BC0" w:rsidRPr="00FD211F">
        <w:rPr>
          <w:sz w:val="36"/>
          <w:szCs w:val="36"/>
          <w:rtl/>
        </w:rPr>
        <w:t>الوجود التصوري للداعي مأخوذ في المعنى كمدلول التزامي له</w:t>
      </w:r>
      <w:r w:rsidR="00603323" w:rsidRPr="00FD211F">
        <w:rPr>
          <w:sz w:val="36"/>
          <w:szCs w:val="36"/>
          <w:rtl/>
        </w:rPr>
        <w:t xml:space="preserve">، </w:t>
      </w:r>
      <w:r w:rsidR="00556BC0" w:rsidRPr="00FD211F">
        <w:rPr>
          <w:sz w:val="36"/>
          <w:szCs w:val="36"/>
          <w:rtl/>
        </w:rPr>
        <w:t>فيوجد فرق بين جمل</w:t>
      </w:r>
      <w:r w:rsidR="00EC7EDF" w:rsidRPr="00FD211F">
        <w:rPr>
          <w:sz w:val="36"/>
          <w:szCs w:val="36"/>
          <w:rtl/>
        </w:rPr>
        <w:t xml:space="preserve">ة </w:t>
      </w:r>
      <w:r w:rsidR="00556BC0" w:rsidRPr="00FD211F">
        <w:rPr>
          <w:sz w:val="36"/>
          <w:szCs w:val="36"/>
          <w:rtl/>
        </w:rPr>
        <w:t>"بعت" المستعمل</w:t>
      </w:r>
      <w:r w:rsidR="00EC7EDF" w:rsidRPr="00FD211F">
        <w:rPr>
          <w:sz w:val="36"/>
          <w:szCs w:val="36"/>
          <w:rtl/>
        </w:rPr>
        <w:t xml:space="preserve">ة </w:t>
      </w:r>
      <w:r w:rsidR="00556BC0" w:rsidRPr="00FD211F">
        <w:rPr>
          <w:sz w:val="36"/>
          <w:szCs w:val="36"/>
          <w:rtl/>
        </w:rPr>
        <w:t>في مقام الإنشاء ولو بداعي الهزل</w:t>
      </w:r>
      <w:r w:rsidR="00603323" w:rsidRPr="00FD211F">
        <w:rPr>
          <w:sz w:val="36"/>
          <w:szCs w:val="36"/>
          <w:rtl/>
        </w:rPr>
        <w:t xml:space="preserve">، </w:t>
      </w:r>
      <w:r w:rsidR="00556BC0" w:rsidRPr="00FD211F">
        <w:rPr>
          <w:sz w:val="36"/>
          <w:szCs w:val="36"/>
          <w:rtl/>
        </w:rPr>
        <w:t>وبين هذه الجمل</w:t>
      </w:r>
      <w:r w:rsidR="00EC7EDF" w:rsidRPr="00FD211F">
        <w:rPr>
          <w:sz w:val="36"/>
          <w:szCs w:val="36"/>
          <w:rtl/>
        </w:rPr>
        <w:t xml:space="preserve">ة </w:t>
      </w:r>
      <w:r w:rsidR="00556BC0" w:rsidRPr="00FD211F">
        <w:rPr>
          <w:sz w:val="36"/>
          <w:szCs w:val="36"/>
          <w:rtl/>
        </w:rPr>
        <w:t>المستعمل</w:t>
      </w:r>
      <w:r w:rsidR="00EC7EDF" w:rsidRPr="00FD211F">
        <w:rPr>
          <w:sz w:val="36"/>
          <w:szCs w:val="36"/>
          <w:rtl/>
        </w:rPr>
        <w:t xml:space="preserve">ة </w:t>
      </w:r>
      <w:r w:rsidR="00556BC0" w:rsidRPr="00FD211F">
        <w:rPr>
          <w:sz w:val="36"/>
          <w:szCs w:val="36"/>
          <w:rtl/>
        </w:rPr>
        <w:t>في مقام الإخبار ولو بداعي الهزل</w:t>
      </w:r>
      <w:r w:rsidR="00603323" w:rsidRPr="00FD211F">
        <w:rPr>
          <w:sz w:val="36"/>
          <w:szCs w:val="36"/>
          <w:rtl/>
        </w:rPr>
        <w:t xml:space="preserve">، </w:t>
      </w:r>
      <w:r w:rsidR="00556BC0" w:rsidRPr="00FD211F">
        <w:rPr>
          <w:sz w:val="36"/>
          <w:szCs w:val="36"/>
          <w:rtl/>
        </w:rPr>
        <w:t>وكذا لو سمعنا من النائم هذه الجمل</w:t>
      </w:r>
      <w:r w:rsidR="00EC7EDF" w:rsidRPr="00FD211F">
        <w:rPr>
          <w:sz w:val="36"/>
          <w:szCs w:val="36"/>
          <w:rtl/>
        </w:rPr>
        <w:t xml:space="preserve">ة </w:t>
      </w:r>
      <w:r w:rsidR="00556BC0" w:rsidRPr="00FD211F">
        <w:rPr>
          <w:sz w:val="36"/>
          <w:szCs w:val="36"/>
          <w:rtl/>
        </w:rPr>
        <w:t>مقترن</w:t>
      </w:r>
      <w:r w:rsidR="00EC7EDF" w:rsidRPr="00FD211F">
        <w:rPr>
          <w:sz w:val="36"/>
          <w:szCs w:val="36"/>
          <w:rtl/>
        </w:rPr>
        <w:t xml:space="preserve">ة </w:t>
      </w:r>
      <w:r w:rsidR="00556BC0" w:rsidRPr="00FD211F">
        <w:rPr>
          <w:sz w:val="36"/>
          <w:szCs w:val="36"/>
          <w:rtl/>
        </w:rPr>
        <w:t>تار</w:t>
      </w:r>
      <w:r w:rsidR="00EC7EDF" w:rsidRPr="00FD211F">
        <w:rPr>
          <w:sz w:val="36"/>
          <w:szCs w:val="36"/>
          <w:rtl/>
        </w:rPr>
        <w:t xml:space="preserve">ة </w:t>
      </w:r>
      <w:r w:rsidR="00556BC0" w:rsidRPr="00FD211F">
        <w:rPr>
          <w:sz w:val="36"/>
          <w:szCs w:val="36"/>
          <w:rtl/>
        </w:rPr>
        <w:t>بالقرين</w:t>
      </w:r>
      <w:r w:rsidR="00EC7EDF" w:rsidRPr="00FD211F">
        <w:rPr>
          <w:sz w:val="36"/>
          <w:szCs w:val="36"/>
          <w:rtl/>
        </w:rPr>
        <w:t xml:space="preserve">ة </w:t>
      </w:r>
      <w:r w:rsidR="00556BC0" w:rsidRPr="00FD211F">
        <w:rPr>
          <w:sz w:val="36"/>
          <w:szCs w:val="36"/>
          <w:rtl/>
        </w:rPr>
        <w:t>على الإنشاء وأخرى بالقرين</w:t>
      </w:r>
      <w:r w:rsidR="00EC7EDF" w:rsidRPr="00FD211F">
        <w:rPr>
          <w:sz w:val="36"/>
          <w:szCs w:val="36"/>
          <w:rtl/>
        </w:rPr>
        <w:t xml:space="preserve">ة </w:t>
      </w:r>
      <w:r w:rsidR="00556BC0" w:rsidRPr="00FD211F">
        <w:rPr>
          <w:sz w:val="36"/>
          <w:szCs w:val="36"/>
          <w:rtl/>
        </w:rPr>
        <w:t>على الإخبار مع انتفاء الداعي للاستعمال في هذين الموردين.</w:t>
      </w:r>
    </w:p>
    <w:p w14:paraId="32BB7F41" w14:textId="77777777" w:rsidR="00556BC0" w:rsidRPr="00FD211F" w:rsidRDefault="00556BC0" w:rsidP="005946E3">
      <w:pPr>
        <w:ind w:left="0" w:firstLine="227"/>
        <w:jc w:val="both"/>
        <w:rPr>
          <w:sz w:val="36"/>
          <w:szCs w:val="36"/>
          <w:rtl/>
        </w:rPr>
      </w:pPr>
      <w:r w:rsidRPr="00FD211F">
        <w:rPr>
          <w:sz w:val="36"/>
          <w:szCs w:val="36"/>
          <w:rtl/>
        </w:rPr>
        <w:t>هذا وقد ذكر السيد الخوئي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–في مقام الردّ على ما ذكره صاحب الكفاي</w:t>
      </w:r>
      <w:r w:rsidR="00EC7EDF" w:rsidRPr="00FD211F">
        <w:rPr>
          <w:sz w:val="36"/>
          <w:szCs w:val="36"/>
          <w:rtl/>
        </w:rPr>
        <w:t xml:space="preserve">ة </w:t>
      </w:r>
      <w:r w:rsidRPr="00FD211F">
        <w:rPr>
          <w:sz w:val="36"/>
          <w:szCs w:val="36"/>
          <w:rtl/>
        </w:rPr>
        <w:t>- أنه لو كان الفرق بين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والخبري</w:t>
      </w:r>
      <w:r w:rsidR="00EC7EDF" w:rsidRPr="00FD211F">
        <w:rPr>
          <w:sz w:val="36"/>
          <w:szCs w:val="36"/>
          <w:rtl/>
        </w:rPr>
        <w:t xml:space="preserve">ة </w:t>
      </w:r>
      <w:r w:rsidRPr="00FD211F">
        <w:rPr>
          <w:sz w:val="36"/>
          <w:szCs w:val="36"/>
          <w:rtl/>
        </w:rPr>
        <w:t>في مجرد الداعي الى الاستعمال لصح استعمال الجمل</w:t>
      </w:r>
      <w:r w:rsidR="00EC7EDF" w:rsidRPr="00FD211F">
        <w:rPr>
          <w:sz w:val="36"/>
          <w:szCs w:val="36"/>
          <w:rtl/>
        </w:rPr>
        <w:t xml:space="preserve">ة </w:t>
      </w:r>
      <w:r w:rsidRPr="00FD211F">
        <w:rPr>
          <w:sz w:val="36"/>
          <w:szCs w:val="36"/>
          <w:rtl/>
        </w:rPr>
        <w:t>الإسمي</w:t>
      </w:r>
      <w:r w:rsidR="00EC7EDF" w:rsidRPr="00FD211F">
        <w:rPr>
          <w:sz w:val="36"/>
          <w:szCs w:val="36"/>
          <w:rtl/>
        </w:rPr>
        <w:t xml:space="preserve">ة </w:t>
      </w:r>
      <w:r w:rsidRPr="00FD211F">
        <w:rPr>
          <w:sz w:val="36"/>
          <w:szCs w:val="36"/>
          <w:rtl/>
        </w:rPr>
        <w:t>في مقام الإنشاء</w:t>
      </w:r>
      <w:r w:rsidR="00603323" w:rsidRPr="00FD211F">
        <w:rPr>
          <w:sz w:val="36"/>
          <w:szCs w:val="36"/>
          <w:rtl/>
        </w:rPr>
        <w:t xml:space="preserve">، </w:t>
      </w:r>
      <w:r w:rsidRPr="00FD211F">
        <w:rPr>
          <w:sz w:val="36"/>
          <w:szCs w:val="36"/>
          <w:rtl/>
        </w:rPr>
        <w:t>مع انه لايصح ان يقال "زيد قائم" بداعي الأمر بقيامه</w:t>
      </w:r>
      <w:r w:rsidR="00603323" w:rsidRPr="00FD211F">
        <w:rPr>
          <w:sz w:val="36"/>
          <w:szCs w:val="36"/>
          <w:rtl/>
        </w:rPr>
        <w:t xml:space="preserve">، </w:t>
      </w:r>
      <w:r w:rsidRPr="00FD211F">
        <w:rPr>
          <w:sz w:val="36"/>
          <w:szCs w:val="36"/>
          <w:rtl/>
        </w:rPr>
        <w:t>نعم لو كان المحمول قابلا للاعتبار بنفسه صح ذلك</w:t>
      </w:r>
      <w:r w:rsidR="00603323" w:rsidRPr="00FD211F">
        <w:rPr>
          <w:sz w:val="36"/>
          <w:szCs w:val="36"/>
          <w:rtl/>
        </w:rPr>
        <w:t xml:space="preserve">، </w:t>
      </w:r>
      <w:r w:rsidRPr="00FD211F">
        <w:rPr>
          <w:sz w:val="36"/>
          <w:szCs w:val="36"/>
          <w:rtl/>
        </w:rPr>
        <w:t>كما في جمل</w:t>
      </w:r>
      <w:r w:rsidR="00EC7EDF" w:rsidRPr="00FD211F">
        <w:rPr>
          <w:sz w:val="36"/>
          <w:szCs w:val="36"/>
          <w:rtl/>
        </w:rPr>
        <w:t xml:space="preserve">ة </w:t>
      </w:r>
      <w:r w:rsidRPr="00FD211F">
        <w:rPr>
          <w:sz w:val="36"/>
          <w:szCs w:val="36"/>
          <w:rtl/>
        </w:rPr>
        <w:t>"انتِ طالق" او "هذا واجب".</w:t>
      </w:r>
    </w:p>
    <w:p w14:paraId="5E0DA432" w14:textId="77777777" w:rsidR="005D3764" w:rsidRPr="00FD211F" w:rsidRDefault="005D3764" w:rsidP="009C58C8">
      <w:pPr>
        <w:ind w:left="0" w:firstLine="227"/>
        <w:jc w:val="both"/>
        <w:rPr>
          <w:sz w:val="36"/>
          <w:szCs w:val="36"/>
        </w:rPr>
      </w:pPr>
      <w:r w:rsidRPr="00FD211F">
        <w:rPr>
          <w:sz w:val="36"/>
          <w:szCs w:val="36"/>
          <w:rtl/>
        </w:rPr>
        <w:t>ويلاحظ عليه: انه ليس المدلول الاستعمالي للجمل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المستعمل</w:t>
      </w:r>
      <w:r w:rsidR="00EC7EDF" w:rsidRPr="00FD211F">
        <w:rPr>
          <w:sz w:val="36"/>
          <w:szCs w:val="36"/>
          <w:rtl/>
        </w:rPr>
        <w:t xml:space="preserve">ة </w:t>
      </w:r>
      <w:r w:rsidRPr="00FD211F">
        <w:rPr>
          <w:sz w:val="36"/>
          <w:szCs w:val="36"/>
          <w:rtl/>
        </w:rPr>
        <w:t>في مقام الطلب الا نفس بيان صدور الفعل من المخاطب بداعي بعثه اليه</w:t>
      </w:r>
      <w:r w:rsidR="00603323" w:rsidRPr="00FD211F">
        <w:rPr>
          <w:sz w:val="36"/>
          <w:szCs w:val="36"/>
          <w:rtl/>
        </w:rPr>
        <w:t xml:space="preserve">، </w:t>
      </w:r>
      <w:r w:rsidRPr="00FD211F">
        <w:rPr>
          <w:sz w:val="36"/>
          <w:szCs w:val="36"/>
          <w:rtl/>
        </w:rPr>
        <w:t>لشهاد</w:t>
      </w:r>
      <w:r w:rsidR="00EC7EDF" w:rsidRPr="00FD211F">
        <w:rPr>
          <w:sz w:val="36"/>
          <w:szCs w:val="36"/>
          <w:rtl/>
        </w:rPr>
        <w:t xml:space="preserve">ة </w:t>
      </w:r>
      <w:r w:rsidRPr="00FD211F">
        <w:rPr>
          <w:sz w:val="36"/>
          <w:szCs w:val="36"/>
          <w:rtl/>
        </w:rPr>
        <w:t>الوجدان بانه لو قال الاب لابنه مثلا</w:t>
      </w:r>
      <w:r w:rsidR="00DD5C7C" w:rsidRPr="00FD211F">
        <w:rPr>
          <w:sz w:val="36"/>
          <w:szCs w:val="36"/>
          <w:rtl/>
        </w:rPr>
        <w:t>"</w:t>
      </w:r>
      <w:r w:rsidRPr="00FD211F">
        <w:rPr>
          <w:sz w:val="36"/>
          <w:szCs w:val="36"/>
          <w:rtl/>
        </w:rPr>
        <w:t xml:space="preserve"> انت تحفظ احترامي</w:t>
      </w:r>
      <w:r w:rsidR="00DD5C7C" w:rsidRPr="00FD211F">
        <w:rPr>
          <w:sz w:val="36"/>
          <w:szCs w:val="36"/>
          <w:rtl/>
        </w:rPr>
        <w:t>"</w:t>
      </w:r>
      <w:r w:rsidRPr="00FD211F">
        <w:rPr>
          <w:sz w:val="36"/>
          <w:szCs w:val="36"/>
          <w:rtl/>
        </w:rPr>
        <w:t xml:space="preserve"> او قال له </w:t>
      </w:r>
      <w:r w:rsidR="00DD5C7C" w:rsidRPr="00FD211F">
        <w:rPr>
          <w:sz w:val="36"/>
          <w:szCs w:val="36"/>
          <w:rtl/>
        </w:rPr>
        <w:t>"</w:t>
      </w:r>
      <w:r w:rsidRPr="00FD211F">
        <w:rPr>
          <w:sz w:val="36"/>
          <w:szCs w:val="36"/>
          <w:rtl/>
        </w:rPr>
        <w:t>انا اعلم بانك تحفظ احترامي</w:t>
      </w:r>
      <w:r w:rsidR="00DD5C7C" w:rsidRPr="00FD211F">
        <w:rPr>
          <w:sz w:val="36"/>
          <w:szCs w:val="36"/>
          <w:rtl/>
        </w:rPr>
        <w:t>"</w:t>
      </w:r>
      <w:r w:rsidRPr="00FD211F">
        <w:rPr>
          <w:sz w:val="36"/>
          <w:szCs w:val="36"/>
          <w:rtl/>
        </w:rPr>
        <w:t xml:space="preserve"> فلايتغير مدلوله المطابقي عن معناه الاصلي</w:t>
      </w:r>
      <w:r w:rsidR="00603323" w:rsidRPr="00FD211F">
        <w:rPr>
          <w:sz w:val="36"/>
          <w:szCs w:val="36"/>
          <w:rtl/>
        </w:rPr>
        <w:t xml:space="preserve">، </w:t>
      </w:r>
      <w:r w:rsidRPr="00FD211F">
        <w:rPr>
          <w:sz w:val="36"/>
          <w:szCs w:val="36"/>
          <w:rtl/>
        </w:rPr>
        <w:t>واما ما استشهد به من عدم صح</w:t>
      </w:r>
      <w:r w:rsidR="00EC7EDF" w:rsidRPr="00FD211F">
        <w:rPr>
          <w:sz w:val="36"/>
          <w:szCs w:val="36"/>
          <w:rtl/>
        </w:rPr>
        <w:t xml:space="preserve">ة </w:t>
      </w:r>
      <w:r w:rsidRPr="00FD211F">
        <w:rPr>
          <w:sz w:val="36"/>
          <w:szCs w:val="36"/>
          <w:rtl/>
        </w:rPr>
        <w:t>استعمال الجمل</w:t>
      </w:r>
      <w:r w:rsidR="00EC7EDF" w:rsidRPr="00FD211F">
        <w:rPr>
          <w:sz w:val="36"/>
          <w:szCs w:val="36"/>
          <w:rtl/>
        </w:rPr>
        <w:t xml:space="preserve">ة </w:t>
      </w:r>
      <w:r w:rsidRPr="00FD211F">
        <w:rPr>
          <w:sz w:val="36"/>
          <w:szCs w:val="36"/>
          <w:rtl/>
        </w:rPr>
        <w:t>الاسمي</w:t>
      </w:r>
      <w:r w:rsidR="00EC7EDF" w:rsidRPr="00FD211F">
        <w:rPr>
          <w:sz w:val="36"/>
          <w:szCs w:val="36"/>
          <w:rtl/>
        </w:rPr>
        <w:t xml:space="preserve">ة </w:t>
      </w:r>
      <w:r w:rsidRPr="00FD211F">
        <w:rPr>
          <w:sz w:val="36"/>
          <w:szCs w:val="36"/>
          <w:rtl/>
        </w:rPr>
        <w:t>في مقام الطلب فيرد عليه النقض بمسلكه ايضا بانه بعد كون استعمال جمل</w:t>
      </w:r>
      <w:r w:rsidR="00EC7EDF" w:rsidRPr="00FD211F">
        <w:rPr>
          <w:sz w:val="36"/>
          <w:szCs w:val="36"/>
          <w:rtl/>
        </w:rPr>
        <w:t xml:space="preserve">ة </w:t>
      </w:r>
      <w:r w:rsidRPr="00FD211F">
        <w:rPr>
          <w:sz w:val="36"/>
          <w:szCs w:val="36"/>
          <w:rtl/>
        </w:rPr>
        <w:t>المضارع في مقام الطلب مجازيا بنظره فلم لايصح هذا المجاز في مورد الجمل</w:t>
      </w:r>
      <w:r w:rsidR="00EC7EDF" w:rsidRPr="00FD211F">
        <w:rPr>
          <w:sz w:val="36"/>
          <w:szCs w:val="36"/>
          <w:rtl/>
        </w:rPr>
        <w:t xml:space="preserve">ة </w:t>
      </w:r>
      <w:r w:rsidRPr="00FD211F">
        <w:rPr>
          <w:sz w:val="36"/>
          <w:szCs w:val="36"/>
          <w:rtl/>
        </w:rPr>
        <w:t>الاسمي</w:t>
      </w:r>
      <w:r w:rsidR="00EC7EDF" w:rsidRPr="00FD211F">
        <w:rPr>
          <w:sz w:val="36"/>
          <w:szCs w:val="36"/>
          <w:rtl/>
        </w:rPr>
        <w:t>ة</w:t>
      </w:r>
      <w:r w:rsidR="00603323" w:rsidRPr="00FD211F">
        <w:rPr>
          <w:sz w:val="36"/>
          <w:szCs w:val="36"/>
          <w:rtl/>
        </w:rPr>
        <w:t xml:space="preserve">، </w:t>
      </w:r>
      <w:r w:rsidRPr="00FD211F">
        <w:rPr>
          <w:sz w:val="36"/>
          <w:szCs w:val="36"/>
          <w:rtl/>
        </w:rPr>
        <w:t>وهل هذا الا لعلاق</w:t>
      </w:r>
      <w:r w:rsidR="00EC7EDF" w:rsidRPr="00FD211F">
        <w:rPr>
          <w:sz w:val="36"/>
          <w:szCs w:val="36"/>
          <w:rtl/>
        </w:rPr>
        <w:t xml:space="preserve">ة </w:t>
      </w:r>
      <w:r w:rsidRPr="00FD211F">
        <w:rPr>
          <w:sz w:val="36"/>
          <w:szCs w:val="36"/>
          <w:rtl/>
        </w:rPr>
        <w:t>بين معنى الطلب مع المضارع دون الجمل</w:t>
      </w:r>
      <w:r w:rsidR="00EC7EDF" w:rsidRPr="00FD211F">
        <w:rPr>
          <w:sz w:val="36"/>
          <w:szCs w:val="36"/>
          <w:rtl/>
        </w:rPr>
        <w:t xml:space="preserve">ة </w:t>
      </w:r>
      <w:r w:rsidRPr="00FD211F">
        <w:rPr>
          <w:sz w:val="36"/>
          <w:szCs w:val="36"/>
          <w:rtl/>
        </w:rPr>
        <w:t>الاسمي</w:t>
      </w:r>
      <w:r w:rsidR="00EC7EDF" w:rsidRPr="00FD211F">
        <w:rPr>
          <w:sz w:val="36"/>
          <w:szCs w:val="36"/>
          <w:rtl/>
        </w:rPr>
        <w:t>ة</w:t>
      </w:r>
      <w:r w:rsidR="00603323" w:rsidRPr="00FD211F">
        <w:rPr>
          <w:sz w:val="36"/>
          <w:szCs w:val="36"/>
          <w:rtl/>
        </w:rPr>
        <w:t xml:space="preserve">، </w:t>
      </w:r>
      <w:r w:rsidRPr="00FD211F">
        <w:rPr>
          <w:sz w:val="36"/>
          <w:szCs w:val="36"/>
          <w:rtl/>
        </w:rPr>
        <w:t>هذا مضافا الى انه</w:t>
      </w:r>
      <w:r w:rsidR="008D7B3D" w:rsidRPr="00FD211F">
        <w:rPr>
          <w:sz w:val="36"/>
          <w:szCs w:val="36"/>
          <w:rtl/>
        </w:rPr>
        <w:t xml:space="preserve"> لم‌</w:t>
      </w:r>
      <w:r w:rsidRPr="00FD211F">
        <w:rPr>
          <w:sz w:val="36"/>
          <w:szCs w:val="36"/>
          <w:rtl/>
        </w:rPr>
        <w:t>يعلم بعدم صح</w:t>
      </w:r>
      <w:r w:rsidR="00EC7EDF" w:rsidRPr="00FD211F">
        <w:rPr>
          <w:sz w:val="36"/>
          <w:szCs w:val="36"/>
          <w:rtl/>
        </w:rPr>
        <w:t xml:space="preserve">ة </w:t>
      </w:r>
      <w:r w:rsidRPr="00FD211F">
        <w:rPr>
          <w:sz w:val="36"/>
          <w:szCs w:val="36"/>
          <w:rtl/>
        </w:rPr>
        <w:t>استعمال الجمل</w:t>
      </w:r>
      <w:r w:rsidR="00EC7EDF" w:rsidRPr="00FD211F">
        <w:rPr>
          <w:sz w:val="36"/>
          <w:szCs w:val="36"/>
          <w:rtl/>
        </w:rPr>
        <w:t xml:space="preserve">ة </w:t>
      </w:r>
      <w:r w:rsidRPr="00FD211F">
        <w:rPr>
          <w:sz w:val="36"/>
          <w:szCs w:val="36"/>
          <w:rtl/>
        </w:rPr>
        <w:t>الاسمي</w:t>
      </w:r>
      <w:r w:rsidR="00EC7EDF" w:rsidRPr="00FD211F">
        <w:rPr>
          <w:sz w:val="36"/>
          <w:szCs w:val="36"/>
          <w:rtl/>
        </w:rPr>
        <w:t xml:space="preserve">ة </w:t>
      </w:r>
      <w:r w:rsidRPr="00FD211F">
        <w:rPr>
          <w:sz w:val="36"/>
          <w:szCs w:val="36"/>
          <w:rtl/>
        </w:rPr>
        <w:t>في مقام الطلب</w:t>
      </w:r>
      <w:r w:rsidR="00603323" w:rsidRPr="00FD211F">
        <w:rPr>
          <w:sz w:val="36"/>
          <w:szCs w:val="36"/>
          <w:rtl/>
        </w:rPr>
        <w:t xml:space="preserve">، </w:t>
      </w:r>
      <w:r w:rsidRPr="00FD211F">
        <w:rPr>
          <w:sz w:val="36"/>
          <w:szCs w:val="36"/>
          <w:rtl/>
        </w:rPr>
        <w:t xml:space="preserve">فيصح ان يقول المولى لعبده في مقام الطلب </w:t>
      </w:r>
      <w:r w:rsidR="00DD5C7C" w:rsidRPr="00FD211F">
        <w:rPr>
          <w:sz w:val="36"/>
          <w:szCs w:val="36"/>
          <w:rtl/>
        </w:rPr>
        <w:t>"</w:t>
      </w:r>
      <w:r w:rsidRPr="00FD211F">
        <w:rPr>
          <w:sz w:val="36"/>
          <w:szCs w:val="36"/>
          <w:rtl/>
        </w:rPr>
        <w:t>انت غدا معي في السفر</w:t>
      </w:r>
      <w:r w:rsidR="00DD5C7C" w:rsidRPr="00FD211F">
        <w:rPr>
          <w:sz w:val="36"/>
          <w:szCs w:val="36"/>
          <w:rtl/>
        </w:rPr>
        <w:t>"</w:t>
      </w:r>
      <w:r w:rsidRPr="00FD211F">
        <w:rPr>
          <w:sz w:val="36"/>
          <w:szCs w:val="36"/>
          <w:rtl/>
        </w:rPr>
        <w:t xml:space="preserve"> نعم لااشكال في ندر</w:t>
      </w:r>
      <w:r w:rsidR="00EC7EDF" w:rsidRPr="00FD211F">
        <w:rPr>
          <w:sz w:val="36"/>
          <w:szCs w:val="36"/>
          <w:rtl/>
        </w:rPr>
        <w:t xml:space="preserve">ة </w:t>
      </w:r>
      <w:r w:rsidRPr="00FD211F">
        <w:rPr>
          <w:sz w:val="36"/>
          <w:szCs w:val="36"/>
          <w:rtl/>
        </w:rPr>
        <w:t>هذا الاستعمال.</w:t>
      </w:r>
    </w:p>
    <w:p w14:paraId="4C610C39" w14:textId="77777777" w:rsidR="005D3764" w:rsidRPr="00FD211F" w:rsidRDefault="005D3764" w:rsidP="009C58C8">
      <w:pPr>
        <w:ind w:left="0" w:firstLine="227"/>
        <w:jc w:val="both"/>
        <w:rPr>
          <w:sz w:val="36"/>
          <w:szCs w:val="36"/>
          <w:rtl/>
        </w:rPr>
      </w:pPr>
      <w:r w:rsidRPr="00FD211F">
        <w:rPr>
          <w:sz w:val="36"/>
          <w:szCs w:val="36"/>
          <w:rtl/>
        </w:rPr>
        <w:t>وأما الفعل الماضي فمنشأ عدم صح</w:t>
      </w:r>
      <w:r w:rsidR="00EC7EDF" w:rsidRPr="00FD211F">
        <w:rPr>
          <w:sz w:val="36"/>
          <w:szCs w:val="36"/>
          <w:rtl/>
        </w:rPr>
        <w:t xml:space="preserve">ة </w:t>
      </w:r>
      <w:r w:rsidRPr="00FD211F">
        <w:rPr>
          <w:sz w:val="36"/>
          <w:szCs w:val="36"/>
          <w:rtl/>
        </w:rPr>
        <w:t>استعماله في مقام الطلب انه يدل على مضي العمل فلايتناسب مع طلب ايجاد الفعل</w:t>
      </w:r>
      <w:r w:rsidR="00603323" w:rsidRPr="00FD211F">
        <w:rPr>
          <w:sz w:val="36"/>
          <w:szCs w:val="36"/>
          <w:rtl/>
        </w:rPr>
        <w:t xml:space="preserve">، </w:t>
      </w:r>
      <w:r w:rsidRPr="00FD211F">
        <w:rPr>
          <w:sz w:val="36"/>
          <w:szCs w:val="36"/>
          <w:rtl/>
        </w:rPr>
        <w:t>نعم لامانع من استعماله في مقام الدعاء كما يقال: "غفر الله لك" حيث ان الظاهر استعماله في النسب</w:t>
      </w:r>
      <w:r w:rsidR="00EC7EDF" w:rsidRPr="00FD211F">
        <w:rPr>
          <w:sz w:val="36"/>
          <w:szCs w:val="36"/>
          <w:rtl/>
        </w:rPr>
        <w:t xml:space="preserve">ة </w:t>
      </w:r>
      <w:r w:rsidRPr="00FD211F">
        <w:rPr>
          <w:sz w:val="36"/>
          <w:szCs w:val="36"/>
          <w:rtl/>
        </w:rPr>
        <w:t>البعثي</w:t>
      </w:r>
      <w:r w:rsidR="00EC7EDF" w:rsidRPr="00FD211F">
        <w:rPr>
          <w:sz w:val="36"/>
          <w:szCs w:val="36"/>
          <w:rtl/>
        </w:rPr>
        <w:t xml:space="preserve">ة </w:t>
      </w:r>
      <w:r w:rsidRPr="00FD211F">
        <w:rPr>
          <w:sz w:val="36"/>
          <w:szCs w:val="36"/>
          <w:rtl/>
        </w:rPr>
        <w:t>دون النسب</w:t>
      </w:r>
      <w:r w:rsidR="00EC7EDF" w:rsidRPr="00FD211F">
        <w:rPr>
          <w:sz w:val="36"/>
          <w:szCs w:val="36"/>
          <w:rtl/>
        </w:rPr>
        <w:t xml:space="preserve">ة </w:t>
      </w:r>
      <w:r w:rsidRPr="00FD211F">
        <w:rPr>
          <w:sz w:val="36"/>
          <w:szCs w:val="36"/>
          <w:rtl/>
        </w:rPr>
        <w:t>الصدوري</w:t>
      </w:r>
      <w:r w:rsidR="00EC7EDF" w:rsidRPr="00FD211F">
        <w:rPr>
          <w:sz w:val="36"/>
          <w:szCs w:val="36"/>
          <w:rtl/>
        </w:rPr>
        <w:t>ة</w:t>
      </w:r>
      <w:r w:rsidR="00603323" w:rsidRPr="00FD211F">
        <w:rPr>
          <w:sz w:val="36"/>
          <w:szCs w:val="36"/>
          <w:rtl/>
        </w:rPr>
        <w:t xml:space="preserve">، </w:t>
      </w:r>
      <w:r w:rsidRPr="00FD211F">
        <w:rPr>
          <w:sz w:val="36"/>
          <w:szCs w:val="36"/>
          <w:rtl/>
        </w:rPr>
        <w:t>ولذا تكون ترجمته بالفارسي</w:t>
      </w:r>
      <w:r w:rsidR="00EC7EDF" w:rsidRPr="00FD211F">
        <w:rPr>
          <w:sz w:val="36"/>
          <w:szCs w:val="36"/>
          <w:rtl/>
        </w:rPr>
        <w:t>ة</w:t>
      </w:r>
      <w:r w:rsidR="00057D31" w:rsidRPr="00FD211F">
        <w:rPr>
          <w:sz w:val="36"/>
          <w:szCs w:val="36"/>
          <w:rtl/>
        </w:rPr>
        <w:t>:</w:t>
      </w:r>
      <w:r w:rsidRPr="00FD211F">
        <w:rPr>
          <w:sz w:val="36"/>
          <w:szCs w:val="36"/>
          <w:rtl/>
        </w:rPr>
        <w:t xml:space="preserve"> "خدا شما را ببخشد" ولايتناسب ان يقال في ترجمته: "خدا شما را بخشيد"</w:t>
      </w:r>
      <w:r w:rsidR="00603323" w:rsidRPr="00FD211F">
        <w:rPr>
          <w:sz w:val="36"/>
          <w:szCs w:val="36"/>
          <w:rtl/>
        </w:rPr>
        <w:t xml:space="preserve">، </w:t>
      </w:r>
      <w:r w:rsidRPr="00FD211F">
        <w:rPr>
          <w:sz w:val="36"/>
          <w:szCs w:val="36"/>
          <w:rtl/>
        </w:rPr>
        <w:t>ويبعد ان تختلف اللغات في ذلك.</w:t>
      </w:r>
    </w:p>
    <w:p w14:paraId="421EBC6D" w14:textId="77777777" w:rsidR="005D3764" w:rsidRPr="00FD211F" w:rsidRDefault="005D3764" w:rsidP="00CD1DAD">
      <w:pPr>
        <w:ind w:left="0" w:firstLine="227"/>
        <w:jc w:val="both"/>
        <w:rPr>
          <w:sz w:val="36"/>
          <w:szCs w:val="36"/>
          <w:rtl/>
        </w:rPr>
      </w:pPr>
      <w:r w:rsidRPr="00FD211F">
        <w:rPr>
          <w:sz w:val="36"/>
          <w:szCs w:val="36"/>
          <w:rtl/>
        </w:rPr>
        <w:t>ولو وُجد في كلامٍ استعمال الفعل الماضي في مقام الطلب فلابد من الالتزام باستعماله في صيغ</w:t>
      </w:r>
      <w:r w:rsidR="00EC7EDF" w:rsidRPr="00FD211F">
        <w:rPr>
          <w:sz w:val="36"/>
          <w:szCs w:val="36"/>
          <w:rtl/>
        </w:rPr>
        <w:t xml:space="preserve">ة </w:t>
      </w:r>
      <w:r w:rsidRPr="00FD211F">
        <w:rPr>
          <w:sz w:val="36"/>
          <w:szCs w:val="36"/>
          <w:rtl/>
        </w:rPr>
        <w:t>الأمر مباشر</w:t>
      </w:r>
      <w:r w:rsidR="00EC7EDF" w:rsidRPr="00FD211F">
        <w:rPr>
          <w:sz w:val="36"/>
          <w:szCs w:val="36"/>
          <w:rtl/>
        </w:rPr>
        <w:t>ة</w:t>
      </w:r>
      <w:r w:rsidR="00603323" w:rsidRPr="00FD211F">
        <w:rPr>
          <w:sz w:val="36"/>
          <w:szCs w:val="36"/>
          <w:rtl/>
        </w:rPr>
        <w:t xml:space="preserve">، </w:t>
      </w:r>
      <w:r w:rsidRPr="00FD211F">
        <w:rPr>
          <w:sz w:val="36"/>
          <w:szCs w:val="36"/>
          <w:rtl/>
        </w:rPr>
        <w:t>نظير ما ورد في نهج البلاغ</w:t>
      </w:r>
      <w:r w:rsidR="00EC7EDF" w:rsidRPr="00FD211F">
        <w:rPr>
          <w:sz w:val="36"/>
          <w:szCs w:val="36"/>
          <w:rtl/>
        </w:rPr>
        <w:t xml:space="preserve">ة </w:t>
      </w:r>
      <w:r w:rsidRPr="00FD211F">
        <w:rPr>
          <w:sz w:val="36"/>
          <w:szCs w:val="36"/>
          <w:rtl/>
        </w:rPr>
        <w:t xml:space="preserve">من قوله </w:t>
      </w:r>
      <w:r w:rsidR="007A4A0D" w:rsidRPr="00FD211F">
        <w:rPr>
          <w:sz w:val="36"/>
          <w:szCs w:val="36"/>
          <w:rtl/>
        </w:rPr>
        <w:t>(عليه‌السلام)</w:t>
      </w:r>
      <w:r w:rsidRPr="00FD211F">
        <w:rPr>
          <w:sz w:val="36"/>
          <w:szCs w:val="36"/>
          <w:rtl/>
        </w:rPr>
        <w:t>: أَجزأَ امرءٌ قِرنَه وآسى أخاه بنفسه و</w:t>
      </w:r>
      <w:r w:rsidR="008D7B3D" w:rsidRPr="00FD211F">
        <w:rPr>
          <w:sz w:val="36"/>
          <w:szCs w:val="36"/>
          <w:rtl/>
        </w:rPr>
        <w:t xml:space="preserve"> لم‌</w:t>
      </w:r>
      <w:r w:rsidRPr="00FD211F">
        <w:rPr>
          <w:sz w:val="36"/>
          <w:szCs w:val="36"/>
          <w:rtl/>
        </w:rPr>
        <w:t>يكِلْ قِرنَه الى أخيه فيجتمع عليه قرنُه وقرن أخيه</w:t>
      </w:r>
      <w:r w:rsidR="009C58C8" w:rsidRPr="00FD211F">
        <w:rPr>
          <w:rStyle w:val="a6"/>
          <w:sz w:val="36"/>
          <w:szCs w:val="36"/>
          <w:rtl/>
        </w:rPr>
        <w:t>(</w:t>
      </w:r>
      <w:r w:rsidR="009C58C8" w:rsidRPr="00FD211F">
        <w:rPr>
          <w:rStyle w:val="a6"/>
          <w:sz w:val="36"/>
          <w:szCs w:val="36"/>
          <w:rtl/>
        </w:rPr>
        <w:footnoteReference w:id="223"/>
      </w:r>
      <w:r w:rsidR="009C58C8" w:rsidRPr="00FD211F">
        <w:rPr>
          <w:rStyle w:val="a6"/>
          <w:sz w:val="36"/>
          <w:szCs w:val="36"/>
          <w:rtl/>
        </w:rPr>
        <w:t>)</w:t>
      </w:r>
      <w:r w:rsidRPr="00FD211F">
        <w:rPr>
          <w:sz w:val="36"/>
          <w:szCs w:val="36"/>
          <w:rtl/>
        </w:rPr>
        <w:t xml:space="preserve"> فان المراد منه "لِيجزئ المرء من يقاتله فيغلب عليه بان يقتله او يهزمه فيواسي بذلك أخاه </w:t>
      </w:r>
      <w:r w:rsidR="00DD5C7C" w:rsidRPr="00FD211F">
        <w:rPr>
          <w:sz w:val="36"/>
          <w:szCs w:val="36"/>
          <w:rtl/>
        </w:rPr>
        <w:t>الذي هو مبتلى بشخص آخر يقاتله</w:t>
      </w:r>
      <w:r w:rsidR="00603323" w:rsidRPr="00FD211F">
        <w:rPr>
          <w:sz w:val="36"/>
          <w:szCs w:val="36"/>
          <w:rtl/>
        </w:rPr>
        <w:t xml:space="preserve">، </w:t>
      </w:r>
      <w:r w:rsidR="00DD5C7C" w:rsidRPr="00FD211F">
        <w:rPr>
          <w:sz w:val="36"/>
          <w:szCs w:val="36"/>
          <w:rtl/>
        </w:rPr>
        <w:t xml:space="preserve">فانه اذا هرب هذا المرء </w:t>
      </w:r>
      <w:r w:rsidRPr="00FD211F">
        <w:rPr>
          <w:sz w:val="36"/>
          <w:szCs w:val="36"/>
          <w:rtl/>
        </w:rPr>
        <w:t>اواستسلم فينضمّ من يقاتله الى</w:t>
      </w:r>
      <w:r w:rsidR="00DD5C7C" w:rsidRPr="00FD211F">
        <w:rPr>
          <w:sz w:val="36"/>
          <w:szCs w:val="36"/>
          <w:rtl/>
        </w:rPr>
        <w:t xml:space="preserve"> من يقاتل أخاه فيشاركان في قتال هذا الاخ</w:t>
      </w:r>
      <w:r w:rsidRPr="00FD211F">
        <w:rPr>
          <w:sz w:val="36"/>
          <w:szCs w:val="36"/>
          <w:rtl/>
        </w:rPr>
        <w:t>"</w:t>
      </w:r>
      <w:r w:rsidR="00CD1DAD" w:rsidRPr="00FD211F">
        <w:rPr>
          <w:sz w:val="36"/>
          <w:szCs w:val="36"/>
          <w:rtl/>
        </w:rPr>
        <w:t xml:space="preserve"> </w:t>
      </w:r>
      <w:r w:rsidRPr="00FD211F">
        <w:rPr>
          <w:sz w:val="36"/>
          <w:szCs w:val="36"/>
          <w:rtl/>
        </w:rPr>
        <w:t xml:space="preserve">ولايتناسب ان </w:t>
      </w:r>
      <w:r w:rsidR="00DD5C7C" w:rsidRPr="00FD211F">
        <w:rPr>
          <w:sz w:val="36"/>
          <w:szCs w:val="36"/>
          <w:rtl/>
        </w:rPr>
        <w:t xml:space="preserve">يستعمل في نفس معنى الفعل الماضي ولذا </w:t>
      </w:r>
      <w:r w:rsidRPr="00FD211F">
        <w:rPr>
          <w:sz w:val="36"/>
          <w:szCs w:val="36"/>
          <w:rtl/>
        </w:rPr>
        <w:t>لايصح ان يقال في ترجمته "كفايت كرد مرد حريفش را وكمك كرد به برادرش</w:t>
      </w:r>
      <w:r w:rsidR="00603323" w:rsidRPr="00FD211F">
        <w:rPr>
          <w:sz w:val="36"/>
          <w:szCs w:val="36"/>
          <w:rtl/>
        </w:rPr>
        <w:t xml:space="preserve">، </w:t>
      </w:r>
      <w:r w:rsidRPr="00FD211F">
        <w:rPr>
          <w:sz w:val="36"/>
          <w:szCs w:val="36"/>
          <w:rtl/>
        </w:rPr>
        <w:t>وواگذار نكرد حريفش را به برادرش تا اين حريف با حريف آن برادر دست به دست هم داده وبا آن برادر بجنگند"</w:t>
      </w:r>
      <w:r w:rsidR="00603323" w:rsidRPr="00FD211F">
        <w:rPr>
          <w:sz w:val="36"/>
          <w:szCs w:val="36"/>
          <w:rtl/>
        </w:rPr>
        <w:t xml:space="preserve">، </w:t>
      </w:r>
      <w:r w:rsidRPr="00FD211F">
        <w:rPr>
          <w:sz w:val="36"/>
          <w:szCs w:val="36"/>
          <w:rtl/>
        </w:rPr>
        <w:t>ويحتمل بعيدا ان يراد منه الإخبار الجدّي بانَّ من وجد فيه صف</w:t>
      </w:r>
      <w:r w:rsidR="00EC7EDF" w:rsidRPr="00FD211F">
        <w:rPr>
          <w:sz w:val="36"/>
          <w:szCs w:val="36"/>
          <w:rtl/>
        </w:rPr>
        <w:t xml:space="preserve">ة </w:t>
      </w:r>
      <w:r w:rsidRPr="00FD211F">
        <w:rPr>
          <w:sz w:val="36"/>
          <w:szCs w:val="36"/>
          <w:rtl/>
        </w:rPr>
        <w:t>المروء</w:t>
      </w:r>
      <w:r w:rsidR="00EC7EDF" w:rsidRPr="00FD211F">
        <w:rPr>
          <w:sz w:val="36"/>
          <w:szCs w:val="36"/>
          <w:rtl/>
        </w:rPr>
        <w:t xml:space="preserve">ة </w:t>
      </w:r>
      <w:r w:rsidRPr="00FD211F">
        <w:rPr>
          <w:sz w:val="36"/>
          <w:szCs w:val="36"/>
          <w:rtl/>
        </w:rPr>
        <w:t>و</w:t>
      </w:r>
      <w:r w:rsidR="008D7B3D" w:rsidRPr="00FD211F">
        <w:rPr>
          <w:sz w:val="36"/>
          <w:szCs w:val="36"/>
          <w:rtl/>
        </w:rPr>
        <w:t xml:space="preserve"> لم‌</w:t>
      </w:r>
      <w:r w:rsidRPr="00FD211F">
        <w:rPr>
          <w:sz w:val="36"/>
          <w:szCs w:val="36"/>
          <w:rtl/>
        </w:rPr>
        <w:t>يكن شبه مرء فهو كذلك</w:t>
      </w:r>
      <w:r w:rsidR="00603323" w:rsidRPr="00FD211F">
        <w:rPr>
          <w:sz w:val="36"/>
          <w:szCs w:val="36"/>
          <w:rtl/>
        </w:rPr>
        <w:t xml:space="preserve">، </w:t>
      </w:r>
      <w:r w:rsidRPr="00FD211F">
        <w:rPr>
          <w:sz w:val="36"/>
          <w:szCs w:val="36"/>
          <w:rtl/>
        </w:rPr>
        <w:t>فانه حينئذ فلامانع من استعمال الفعل الماضي في معناه الحقيقي</w:t>
      </w:r>
      <w:r w:rsidR="00603323" w:rsidRPr="00FD211F">
        <w:rPr>
          <w:sz w:val="36"/>
          <w:szCs w:val="36"/>
          <w:rtl/>
        </w:rPr>
        <w:t xml:space="preserve">، </w:t>
      </w:r>
      <w:r w:rsidRPr="00FD211F">
        <w:rPr>
          <w:sz w:val="36"/>
          <w:szCs w:val="36"/>
          <w:rtl/>
        </w:rPr>
        <w:t>فيكون في قو</w:t>
      </w:r>
      <w:r w:rsidR="00EC7EDF" w:rsidRPr="00FD211F">
        <w:rPr>
          <w:sz w:val="36"/>
          <w:szCs w:val="36"/>
          <w:rtl/>
        </w:rPr>
        <w:t xml:space="preserve">ة </w:t>
      </w:r>
      <w:r w:rsidRPr="00FD211F">
        <w:rPr>
          <w:sz w:val="36"/>
          <w:szCs w:val="36"/>
          <w:rtl/>
        </w:rPr>
        <w:t>ان يقال: أجزء الرجل الشجاع قِرنه</w:t>
      </w:r>
      <w:r w:rsidR="00603323" w:rsidRPr="00FD211F">
        <w:rPr>
          <w:sz w:val="36"/>
          <w:szCs w:val="36"/>
          <w:rtl/>
        </w:rPr>
        <w:t xml:space="preserve">، </w:t>
      </w:r>
      <w:r w:rsidRPr="00FD211F">
        <w:rPr>
          <w:sz w:val="36"/>
          <w:szCs w:val="36"/>
          <w:rtl/>
        </w:rPr>
        <w:t>الا ان احتمال اراد</w:t>
      </w:r>
      <w:r w:rsidR="00EC7EDF" w:rsidRPr="00FD211F">
        <w:rPr>
          <w:sz w:val="36"/>
          <w:szCs w:val="36"/>
          <w:rtl/>
        </w:rPr>
        <w:t xml:space="preserve">ة </w:t>
      </w:r>
      <w:r w:rsidRPr="00FD211F">
        <w:rPr>
          <w:sz w:val="36"/>
          <w:szCs w:val="36"/>
          <w:rtl/>
        </w:rPr>
        <w:t>ذلك من لفظ "امرء" بعيد.</w:t>
      </w:r>
    </w:p>
    <w:p w14:paraId="302F73A5" w14:textId="77777777" w:rsidR="005D3764" w:rsidRPr="00FD211F" w:rsidRDefault="005D3764" w:rsidP="00CD1DAD">
      <w:pPr>
        <w:ind w:left="0" w:firstLine="227"/>
        <w:jc w:val="both"/>
        <w:rPr>
          <w:sz w:val="36"/>
          <w:szCs w:val="36"/>
          <w:rtl/>
        </w:rPr>
      </w:pPr>
      <w:r w:rsidRPr="00FD211F">
        <w:rPr>
          <w:sz w:val="36"/>
          <w:szCs w:val="36"/>
          <w:rtl/>
        </w:rPr>
        <w:t>هذا ولايرد النقض على عدم استعمال فعل الماضي في مقام الطلب بانه يصح ان يقال في جواب السؤال عن رجل احدث في اثناء صلاته: "اعاد الصلا</w:t>
      </w:r>
      <w:r w:rsidR="00EC7EDF" w:rsidRPr="00FD211F">
        <w:rPr>
          <w:sz w:val="36"/>
          <w:szCs w:val="36"/>
          <w:rtl/>
        </w:rPr>
        <w:t>ة</w:t>
      </w:r>
      <w:r w:rsidRPr="00FD211F">
        <w:rPr>
          <w:sz w:val="36"/>
          <w:szCs w:val="36"/>
          <w:rtl/>
        </w:rPr>
        <w:t>"</w:t>
      </w:r>
      <w:r w:rsidR="00603323" w:rsidRPr="00FD211F">
        <w:rPr>
          <w:sz w:val="36"/>
          <w:szCs w:val="36"/>
          <w:rtl/>
        </w:rPr>
        <w:t xml:space="preserve">، </w:t>
      </w:r>
      <w:r w:rsidR="00607767" w:rsidRPr="00FD211F">
        <w:rPr>
          <w:sz w:val="36"/>
          <w:szCs w:val="36"/>
          <w:rtl/>
        </w:rPr>
        <w:t xml:space="preserve">والوجه في عدم ورود النقض هو أنه </w:t>
      </w:r>
      <w:r w:rsidRPr="00FD211F">
        <w:rPr>
          <w:sz w:val="36"/>
          <w:szCs w:val="36"/>
          <w:rtl/>
        </w:rPr>
        <w:t>بمعنى انه اذا احدث في أثناء صلاته أعاد الصلا</w:t>
      </w:r>
      <w:r w:rsidR="00EC7EDF" w:rsidRPr="00FD211F">
        <w:rPr>
          <w:sz w:val="36"/>
          <w:szCs w:val="36"/>
          <w:rtl/>
        </w:rPr>
        <w:t>ة</w:t>
      </w:r>
      <w:r w:rsidR="00603323" w:rsidRPr="00FD211F">
        <w:rPr>
          <w:sz w:val="36"/>
          <w:szCs w:val="36"/>
          <w:rtl/>
        </w:rPr>
        <w:t xml:space="preserve">، </w:t>
      </w:r>
      <w:r w:rsidRPr="00FD211F">
        <w:rPr>
          <w:sz w:val="36"/>
          <w:szCs w:val="36"/>
          <w:rtl/>
        </w:rPr>
        <w:t>فيتحول معناه الى المضارع</w:t>
      </w:r>
      <w:r w:rsidR="00603323" w:rsidRPr="00FD211F">
        <w:rPr>
          <w:sz w:val="36"/>
          <w:szCs w:val="36"/>
          <w:rtl/>
        </w:rPr>
        <w:t xml:space="preserve">، </w:t>
      </w:r>
      <w:r w:rsidRPr="00FD211F">
        <w:rPr>
          <w:sz w:val="36"/>
          <w:szCs w:val="36"/>
          <w:rtl/>
        </w:rPr>
        <w:t>والا فلايتناسب عرفا ان يقال "نماز را اعاد</w:t>
      </w:r>
      <w:r w:rsidR="00EC7EDF" w:rsidRPr="00FD211F">
        <w:rPr>
          <w:sz w:val="36"/>
          <w:szCs w:val="36"/>
          <w:rtl/>
        </w:rPr>
        <w:t xml:space="preserve">ة </w:t>
      </w:r>
      <w:r w:rsidRPr="00FD211F">
        <w:rPr>
          <w:sz w:val="36"/>
          <w:szCs w:val="36"/>
          <w:rtl/>
        </w:rPr>
        <w:t>كرد"</w:t>
      </w:r>
      <w:r w:rsidR="00603323" w:rsidRPr="00FD211F">
        <w:rPr>
          <w:sz w:val="36"/>
          <w:szCs w:val="36"/>
          <w:rtl/>
        </w:rPr>
        <w:t xml:space="preserve">، </w:t>
      </w:r>
      <w:r w:rsidRPr="00FD211F">
        <w:rPr>
          <w:sz w:val="36"/>
          <w:szCs w:val="36"/>
          <w:rtl/>
        </w:rPr>
        <w:t xml:space="preserve">وأما ما ورد من قوله </w:t>
      </w:r>
      <w:r w:rsidR="007A4A0D" w:rsidRPr="00FD211F">
        <w:rPr>
          <w:sz w:val="36"/>
          <w:szCs w:val="36"/>
          <w:rtl/>
        </w:rPr>
        <w:t>(عليه‌السلام)</w:t>
      </w:r>
      <w:r w:rsidRPr="00FD211F">
        <w:rPr>
          <w:sz w:val="36"/>
          <w:szCs w:val="36"/>
          <w:rtl/>
        </w:rPr>
        <w:t>: ما اعاد الصلا</w:t>
      </w:r>
      <w:r w:rsidR="00EC7EDF" w:rsidRPr="00FD211F">
        <w:rPr>
          <w:sz w:val="36"/>
          <w:szCs w:val="36"/>
          <w:rtl/>
        </w:rPr>
        <w:t xml:space="preserve">ة </w:t>
      </w:r>
      <w:r w:rsidRPr="00FD211F">
        <w:rPr>
          <w:sz w:val="36"/>
          <w:szCs w:val="36"/>
          <w:rtl/>
        </w:rPr>
        <w:t>فقيه قط</w:t>
      </w:r>
      <w:r w:rsidR="009C58C8" w:rsidRPr="00FD211F">
        <w:rPr>
          <w:rStyle w:val="a6"/>
          <w:sz w:val="36"/>
          <w:szCs w:val="36"/>
          <w:rtl/>
        </w:rPr>
        <w:t>(</w:t>
      </w:r>
      <w:r w:rsidR="009C58C8" w:rsidRPr="00FD211F">
        <w:rPr>
          <w:rStyle w:val="a6"/>
          <w:sz w:val="36"/>
          <w:szCs w:val="36"/>
          <w:rtl/>
        </w:rPr>
        <w:footnoteReference w:id="224"/>
      </w:r>
      <w:r w:rsidR="009C58C8" w:rsidRPr="00FD211F">
        <w:rPr>
          <w:rStyle w:val="a6"/>
          <w:sz w:val="36"/>
          <w:szCs w:val="36"/>
          <w:rtl/>
        </w:rPr>
        <w:t>)</w:t>
      </w:r>
      <w:r w:rsidR="00603323" w:rsidRPr="00FD211F">
        <w:rPr>
          <w:sz w:val="36"/>
          <w:szCs w:val="36"/>
          <w:rtl/>
        </w:rPr>
        <w:t xml:space="preserve">، </w:t>
      </w:r>
      <w:r w:rsidRPr="00FD211F">
        <w:rPr>
          <w:sz w:val="36"/>
          <w:szCs w:val="36"/>
          <w:rtl/>
        </w:rPr>
        <w:t>فان مفاده الاخبار الحقيقي عن ان الفقيه ما اعاد صلاته قط</w:t>
      </w:r>
      <w:r w:rsidR="00603323" w:rsidRPr="00FD211F">
        <w:rPr>
          <w:sz w:val="36"/>
          <w:szCs w:val="36"/>
          <w:rtl/>
        </w:rPr>
        <w:t xml:space="preserve">، </w:t>
      </w:r>
      <w:r w:rsidRPr="00FD211F">
        <w:rPr>
          <w:sz w:val="36"/>
          <w:szCs w:val="36"/>
          <w:rtl/>
        </w:rPr>
        <w:t>فيدل بالالتزام على كونه مطلوبا لأجل مطلوبي</w:t>
      </w:r>
      <w:r w:rsidR="00EC7EDF" w:rsidRPr="00FD211F">
        <w:rPr>
          <w:sz w:val="36"/>
          <w:szCs w:val="36"/>
          <w:rtl/>
        </w:rPr>
        <w:t xml:space="preserve">ة </w:t>
      </w:r>
      <w:r w:rsidRPr="00FD211F">
        <w:rPr>
          <w:sz w:val="36"/>
          <w:szCs w:val="36"/>
          <w:rtl/>
        </w:rPr>
        <w:t>كون الانسان فقيها</w:t>
      </w:r>
      <w:r w:rsidR="00603323" w:rsidRPr="00FD211F">
        <w:rPr>
          <w:sz w:val="36"/>
          <w:szCs w:val="36"/>
          <w:rtl/>
        </w:rPr>
        <w:t xml:space="preserve">، </w:t>
      </w:r>
      <w:r w:rsidRPr="00FD211F">
        <w:rPr>
          <w:sz w:val="36"/>
          <w:szCs w:val="36"/>
          <w:rtl/>
        </w:rPr>
        <w:t>فلاعلاق</w:t>
      </w:r>
      <w:r w:rsidR="00EC7EDF" w:rsidRPr="00FD211F">
        <w:rPr>
          <w:sz w:val="36"/>
          <w:szCs w:val="36"/>
          <w:rtl/>
        </w:rPr>
        <w:t xml:space="preserve">ة </w:t>
      </w:r>
      <w:r w:rsidRPr="00FD211F">
        <w:rPr>
          <w:sz w:val="36"/>
          <w:szCs w:val="36"/>
          <w:rtl/>
        </w:rPr>
        <w:t>له باستعمال الفعل الماضي في مقام الطلب</w:t>
      </w:r>
      <w:r w:rsidR="00603323" w:rsidRPr="00FD211F">
        <w:rPr>
          <w:sz w:val="36"/>
          <w:szCs w:val="36"/>
          <w:rtl/>
        </w:rPr>
        <w:t xml:space="preserve">، </w:t>
      </w:r>
      <w:r w:rsidRPr="00FD211F">
        <w:rPr>
          <w:sz w:val="36"/>
          <w:szCs w:val="36"/>
          <w:rtl/>
        </w:rPr>
        <w:t>ولأجل ذلك لايصحّ ان يقال الرجل ما أعاد صلاته قط.</w:t>
      </w:r>
    </w:p>
    <w:p w14:paraId="277456D0" w14:textId="77777777" w:rsidR="00556BC0" w:rsidRPr="00FD211F" w:rsidRDefault="00556BC0" w:rsidP="009C58C8">
      <w:pPr>
        <w:pStyle w:val="3"/>
        <w:ind w:firstLine="227"/>
        <w:jc w:val="both"/>
        <w:rPr>
          <w:rtl/>
        </w:rPr>
      </w:pPr>
      <w:bookmarkStart w:id="244" w:name="_Toc192092887"/>
      <w:bookmarkStart w:id="245" w:name="_Toc223890365"/>
      <w:r w:rsidRPr="00FD211F">
        <w:rPr>
          <w:rtl/>
        </w:rPr>
        <w:t>هيئ</w:t>
      </w:r>
      <w:r w:rsidR="00EC7EDF" w:rsidRPr="00FD211F">
        <w:rPr>
          <w:rtl/>
        </w:rPr>
        <w:t xml:space="preserve">ة </w:t>
      </w:r>
      <w:r w:rsidRPr="00FD211F">
        <w:rPr>
          <w:rtl/>
        </w:rPr>
        <w:t>المفردات</w:t>
      </w:r>
      <w:bookmarkEnd w:id="244"/>
      <w:bookmarkEnd w:id="245"/>
    </w:p>
    <w:p w14:paraId="3533232F" w14:textId="77777777" w:rsidR="00556BC0" w:rsidRPr="00FD211F" w:rsidRDefault="00556BC0" w:rsidP="009C58C8">
      <w:pPr>
        <w:ind w:left="0" w:firstLine="227"/>
        <w:jc w:val="both"/>
        <w:rPr>
          <w:sz w:val="36"/>
          <w:szCs w:val="36"/>
          <w:rtl/>
        </w:rPr>
      </w:pPr>
      <w:r w:rsidRPr="00FD211F">
        <w:rPr>
          <w:sz w:val="36"/>
          <w:szCs w:val="36"/>
          <w:rtl/>
        </w:rPr>
        <w:t>المفردات اللغوي</w:t>
      </w:r>
      <w:r w:rsidR="00EC7EDF" w:rsidRPr="00FD211F">
        <w:rPr>
          <w:sz w:val="36"/>
          <w:szCs w:val="36"/>
          <w:rtl/>
        </w:rPr>
        <w:t xml:space="preserve">ة </w:t>
      </w:r>
      <w:r w:rsidRPr="00FD211F">
        <w:rPr>
          <w:sz w:val="36"/>
          <w:szCs w:val="36"/>
          <w:rtl/>
        </w:rPr>
        <w:t>مع قطع النظر عن الهيئ</w:t>
      </w:r>
      <w:r w:rsidR="00EC7EDF" w:rsidRPr="00FD211F">
        <w:rPr>
          <w:sz w:val="36"/>
          <w:szCs w:val="36"/>
          <w:rtl/>
        </w:rPr>
        <w:t xml:space="preserve">ة </w:t>
      </w:r>
      <w:r w:rsidRPr="00FD211F">
        <w:rPr>
          <w:sz w:val="36"/>
          <w:szCs w:val="36"/>
          <w:rtl/>
        </w:rPr>
        <w:t>الطارئ</w:t>
      </w:r>
      <w:r w:rsidR="00EC7EDF" w:rsidRPr="00FD211F">
        <w:rPr>
          <w:sz w:val="36"/>
          <w:szCs w:val="36"/>
          <w:rtl/>
        </w:rPr>
        <w:t xml:space="preserve">ة </w:t>
      </w:r>
      <w:r w:rsidRPr="00FD211F">
        <w:rPr>
          <w:sz w:val="36"/>
          <w:szCs w:val="36"/>
          <w:rtl/>
        </w:rPr>
        <w:t>عليها منحصر</w:t>
      </w:r>
      <w:r w:rsidR="00EC7EDF" w:rsidRPr="00FD211F">
        <w:rPr>
          <w:sz w:val="36"/>
          <w:szCs w:val="36"/>
          <w:rtl/>
        </w:rPr>
        <w:t xml:space="preserve">ة </w:t>
      </w:r>
      <w:r w:rsidRPr="00FD211F">
        <w:rPr>
          <w:sz w:val="36"/>
          <w:szCs w:val="36"/>
          <w:rtl/>
        </w:rPr>
        <w:t>في الإسم والحرف</w:t>
      </w:r>
      <w:r w:rsidR="00603323" w:rsidRPr="00FD211F">
        <w:rPr>
          <w:sz w:val="36"/>
          <w:szCs w:val="36"/>
          <w:rtl/>
        </w:rPr>
        <w:t xml:space="preserve">، </w:t>
      </w:r>
      <w:r w:rsidRPr="00FD211F">
        <w:rPr>
          <w:sz w:val="36"/>
          <w:szCs w:val="36"/>
          <w:rtl/>
        </w:rPr>
        <w:t>ولاشك في ان الاسم يصلح ان يحكم عليه كما يصلح ان يحكم به</w:t>
      </w:r>
      <w:r w:rsidR="00603323" w:rsidRPr="00FD211F">
        <w:rPr>
          <w:sz w:val="36"/>
          <w:szCs w:val="36"/>
          <w:rtl/>
        </w:rPr>
        <w:t xml:space="preserve">، </w:t>
      </w:r>
      <w:r w:rsidRPr="00FD211F">
        <w:rPr>
          <w:sz w:val="36"/>
          <w:szCs w:val="36"/>
          <w:rtl/>
        </w:rPr>
        <w:t>والحرف لايصلح لأن يحكم عليه ولاأن يحكم به</w:t>
      </w:r>
      <w:r w:rsidR="00603323" w:rsidRPr="00FD211F">
        <w:rPr>
          <w:sz w:val="36"/>
          <w:szCs w:val="36"/>
          <w:rtl/>
        </w:rPr>
        <w:t xml:space="preserve">، </w:t>
      </w:r>
      <w:r w:rsidRPr="00FD211F">
        <w:rPr>
          <w:sz w:val="36"/>
          <w:szCs w:val="36"/>
          <w:rtl/>
        </w:rPr>
        <w:t>وقد يتوهم جواز الحكم به ويستشهد له بمثل قولنا</w:t>
      </w:r>
      <w:r w:rsidR="00C85887" w:rsidRPr="00FD211F">
        <w:rPr>
          <w:sz w:val="36"/>
          <w:szCs w:val="36"/>
          <w:rtl/>
        </w:rPr>
        <w:t>"</w:t>
      </w:r>
      <w:r w:rsidRPr="00FD211F">
        <w:rPr>
          <w:sz w:val="36"/>
          <w:szCs w:val="36"/>
          <w:rtl/>
        </w:rPr>
        <w:t xml:space="preserve"> زيد في الدار</w:t>
      </w:r>
      <w:r w:rsidR="00C85887" w:rsidRPr="00FD211F">
        <w:rPr>
          <w:sz w:val="36"/>
          <w:szCs w:val="36"/>
          <w:rtl/>
        </w:rPr>
        <w:t>"</w:t>
      </w:r>
      <w:r w:rsidR="00603323" w:rsidRPr="00FD211F">
        <w:rPr>
          <w:sz w:val="36"/>
          <w:szCs w:val="36"/>
          <w:rtl/>
        </w:rPr>
        <w:t xml:space="preserve">، </w:t>
      </w:r>
      <w:r w:rsidRPr="00FD211F">
        <w:rPr>
          <w:sz w:val="36"/>
          <w:szCs w:val="36"/>
          <w:rtl/>
        </w:rPr>
        <w:t>فيقال ان جمل</w:t>
      </w:r>
      <w:r w:rsidR="00EC7EDF" w:rsidRPr="00FD211F">
        <w:rPr>
          <w:sz w:val="36"/>
          <w:szCs w:val="36"/>
          <w:rtl/>
        </w:rPr>
        <w:t xml:space="preserve">ة </w:t>
      </w:r>
      <w:r w:rsidRPr="00FD211F">
        <w:rPr>
          <w:sz w:val="36"/>
          <w:szCs w:val="36"/>
          <w:rtl/>
        </w:rPr>
        <w:t>الجار والمجرور وقعت محكوما بها</w:t>
      </w:r>
      <w:r w:rsidR="00603323" w:rsidRPr="00FD211F">
        <w:rPr>
          <w:sz w:val="36"/>
          <w:szCs w:val="36"/>
          <w:rtl/>
        </w:rPr>
        <w:t xml:space="preserve">، </w:t>
      </w:r>
      <w:r w:rsidRPr="00FD211F">
        <w:rPr>
          <w:sz w:val="36"/>
          <w:szCs w:val="36"/>
          <w:rtl/>
        </w:rPr>
        <w:t>ولكن يرد عليه أنه إما يقال بما ذكره النحا</w:t>
      </w:r>
      <w:r w:rsidR="00EC7EDF" w:rsidRPr="00FD211F">
        <w:rPr>
          <w:sz w:val="36"/>
          <w:szCs w:val="36"/>
          <w:rtl/>
        </w:rPr>
        <w:t xml:space="preserve">ة </w:t>
      </w:r>
      <w:r w:rsidRPr="00FD211F">
        <w:rPr>
          <w:sz w:val="36"/>
          <w:szCs w:val="36"/>
          <w:rtl/>
        </w:rPr>
        <w:t>من ان الجار والمجرور متعلق بكائن او مستقر</w:t>
      </w:r>
      <w:r w:rsidR="00603323" w:rsidRPr="00FD211F">
        <w:rPr>
          <w:sz w:val="36"/>
          <w:szCs w:val="36"/>
          <w:rtl/>
        </w:rPr>
        <w:t xml:space="preserve">، </w:t>
      </w:r>
      <w:r w:rsidRPr="00FD211F">
        <w:rPr>
          <w:sz w:val="36"/>
          <w:szCs w:val="36"/>
          <w:rtl/>
        </w:rPr>
        <w:t xml:space="preserve">او يقال بما اخترناه سابقا وفاقا للسيد الإمام </w:t>
      </w:r>
      <w:r w:rsidR="001A1E09" w:rsidRPr="00FD211F">
        <w:rPr>
          <w:sz w:val="36"/>
          <w:szCs w:val="36"/>
          <w:rtl/>
        </w:rPr>
        <w:t>"</w:t>
      </w:r>
      <w:r w:rsidRPr="00FD211F">
        <w:rPr>
          <w:sz w:val="36"/>
          <w:szCs w:val="36"/>
          <w:rtl/>
        </w:rPr>
        <w:t>قده</w:t>
      </w:r>
      <w:r w:rsidR="001A1E09" w:rsidRPr="00FD211F">
        <w:rPr>
          <w:sz w:val="36"/>
          <w:szCs w:val="36"/>
          <w:rtl/>
        </w:rPr>
        <w:t>"</w:t>
      </w:r>
      <w:r w:rsidRPr="00FD211F">
        <w:rPr>
          <w:sz w:val="36"/>
          <w:szCs w:val="36"/>
          <w:rtl/>
        </w:rPr>
        <w:t xml:space="preserve"> من أن المحكوم به هو نفس المجرور اي الدار في هذا المثال</w:t>
      </w:r>
      <w:r w:rsidR="00603323" w:rsidRPr="00FD211F">
        <w:rPr>
          <w:sz w:val="36"/>
          <w:szCs w:val="36"/>
          <w:rtl/>
        </w:rPr>
        <w:t xml:space="preserve">، </w:t>
      </w:r>
      <w:r w:rsidRPr="00FD211F">
        <w:rPr>
          <w:sz w:val="36"/>
          <w:szCs w:val="36"/>
          <w:rtl/>
        </w:rPr>
        <w:t>والنسب</w:t>
      </w:r>
      <w:r w:rsidR="00EC7EDF" w:rsidRPr="00FD211F">
        <w:rPr>
          <w:sz w:val="36"/>
          <w:szCs w:val="36"/>
          <w:rtl/>
        </w:rPr>
        <w:t xml:space="preserve">ة </w:t>
      </w:r>
      <w:r w:rsidRPr="00FD211F">
        <w:rPr>
          <w:sz w:val="36"/>
          <w:szCs w:val="36"/>
          <w:rtl/>
        </w:rPr>
        <w:t>الموقع</w:t>
      </w:r>
      <w:r w:rsidR="00EC7EDF" w:rsidRPr="00FD211F">
        <w:rPr>
          <w:sz w:val="36"/>
          <w:szCs w:val="36"/>
          <w:rtl/>
        </w:rPr>
        <w:t xml:space="preserve">ة </w:t>
      </w:r>
      <w:r w:rsidRPr="00FD211F">
        <w:rPr>
          <w:sz w:val="36"/>
          <w:szCs w:val="36"/>
          <w:rtl/>
        </w:rPr>
        <w:t>بينها وبين زيد تكون نسب</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ظرفي</w:t>
      </w:r>
      <w:r w:rsidR="00EC7EDF" w:rsidRPr="00FD211F">
        <w:rPr>
          <w:sz w:val="36"/>
          <w:szCs w:val="36"/>
          <w:rtl/>
        </w:rPr>
        <w:t>ة</w:t>
      </w:r>
      <w:r w:rsidR="00A61BAE" w:rsidRPr="00FD211F">
        <w:rPr>
          <w:sz w:val="36"/>
          <w:szCs w:val="36"/>
          <w:rtl/>
        </w:rPr>
        <w:t>.</w:t>
      </w:r>
    </w:p>
    <w:p w14:paraId="05D98FB4" w14:textId="77777777" w:rsidR="00556BC0" w:rsidRPr="00FD211F" w:rsidRDefault="00556BC0" w:rsidP="009C58C8">
      <w:pPr>
        <w:ind w:left="0" w:firstLine="227"/>
        <w:jc w:val="both"/>
        <w:rPr>
          <w:sz w:val="36"/>
          <w:szCs w:val="36"/>
          <w:rtl/>
        </w:rPr>
      </w:pPr>
      <w:r w:rsidRPr="00FD211F">
        <w:rPr>
          <w:sz w:val="36"/>
          <w:szCs w:val="36"/>
          <w:rtl/>
        </w:rPr>
        <w:t>وأما اذا دخلت الهيئ</w:t>
      </w:r>
      <w:r w:rsidR="00EC7EDF" w:rsidRPr="00FD211F">
        <w:rPr>
          <w:sz w:val="36"/>
          <w:szCs w:val="36"/>
          <w:rtl/>
        </w:rPr>
        <w:t xml:space="preserve">ة </w:t>
      </w:r>
      <w:r w:rsidRPr="00FD211F">
        <w:rPr>
          <w:sz w:val="36"/>
          <w:szCs w:val="36"/>
          <w:rtl/>
        </w:rPr>
        <w:t>على الإسم فهذا يؤدي في بعض الحالات الى ظهور قسم ثالث في اللغ</w:t>
      </w:r>
      <w:r w:rsidR="00EC7EDF" w:rsidRPr="00FD211F">
        <w:rPr>
          <w:sz w:val="36"/>
          <w:szCs w:val="36"/>
          <w:rtl/>
        </w:rPr>
        <w:t xml:space="preserve">ة </w:t>
      </w:r>
      <w:r w:rsidRPr="00FD211F">
        <w:rPr>
          <w:sz w:val="36"/>
          <w:szCs w:val="36"/>
          <w:rtl/>
        </w:rPr>
        <w:t xml:space="preserve">لايصلح لأن يحكم عليه </w:t>
      </w:r>
      <w:r w:rsidR="00BB4DB0" w:rsidRPr="00FD211F">
        <w:rPr>
          <w:sz w:val="36"/>
          <w:szCs w:val="36"/>
          <w:rtl/>
        </w:rPr>
        <w:t>ولكن يصلح لان يحكم به</w:t>
      </w:r>
      <w:r w:rsidR="00603323" w:rsidRPr="00FD211F">
        <w:rPr>
          <w:sz w:val="36"/>
          <w:szCs w:val="36"/>
          <w:rtl/>
        </w:rPr>
        <w:t xml:space="preserve">، </w:t>
      </w:r>
      <w:r w:rsidR="00BB4DB0" w:rsidRPr="00FD211F">
        <w:rPr>
          <w:sz w:val="36"/>
          <w:szCs w:val="36"/>
          <w:rtl/>
        </w:rPr>
        <w:t>ف</w:t>
      </w:r>
      <w:r w:rsidRPr="00FD211F">
        <w:rPr>
          <w:sz w:val="36"/>
          <w:szCs w:val="36"/>
          <w:rtl/>
        </w:rPr>
        <w:t>يكون وسطا بين الإسم والحرف</w:t>
      </w:r>
      <w:r w:rsidR="00603323" w:rsidRPr="00FD211F">
        <w:rPr>
          <w:sz w:val="36"/>
          <w:szCs w:val="36"/>
          <w:rtl/>
        </w:rPr>
        <w:t xml:space="preserve">، </w:t>
      </w:r>
      <w:r w:rsidRPr="00FD211F">
        <w:rPr>
          <w:sz w:val="36"/>
          <w:szCs w:val="36"/>
          <w:rtl/>
        </w:rPr>
        <w:t>وهذا هو الفعل</w:t>
      </w:r>
      <w:r w:rsidR="00603323" w:rsidRPr="00FD211F">
        <w:rPr>
          <w:sz w:val="36"/>
          <w:szCs w:val="36"/>
          <w:rtl/>
        </w:rPr>
        <w:t xml:space="preserve">، </w:t>
      </w:r>
      <w:r w:rsidRPr="00FD211F">
        <w:rPr>
          <w:sz w:val="36"/>
          <w:szCs w:val="36"/>
          <w:rtl/>
        </w:rPr>
        <w:t>ويكون ملحقا بأسماء الأفعال التي هي من الجوامد.</w:t>
      </w:r>
    </w:p>
    <w:p w14:paraId="066AA6C3" w14:textId="77777777" w:rsidR="000C5BBA" w:rsidRPr="00FD211F" w:rsidRDefault="00556BC0" w:rsidP="009C58C8">
      <w:pPr>
        <w:ind w:left="0" w:firstLine="227"/>
        <w:jc w:val="both"/>
        <w:rPr>
          <w:sz w:val="36"/>
          <w:szCs w:val="36"/>
          <w:rtl/>
        </w:rPr>
      </w:pPr>
      <w:r w:rsidRPr="00FD211F">
        <w:rPr>
          <w:sz w:val="36"/>
          <w:szCs w:val="36"/>
          <w:rtl/>
        </w:rPr>
        <w:t>ولكن ليست كل الهيئات التي تدخل على الإسم من هذا القبيل</w:t>
      </w:r>
      <w:r w:rsidR="00603323" w:rsidRPr="00FD211F">
        <w:rPr>
          <w:sz w:val="36"/>
          <w:szCs w:val="36"/>
          <w:rtl/>
        </w:rPr>
        <w:t xml:space="preserve">، </w:t>
      </w:r>
      <w:r w:rsidRPr="00FD211F">
        <w:rPr>
          <w:sz w:val="36"/>
          <w:szCs w:val="36"/>
          <w:rtl/>
        </w:rPr>
        <w:t>فقد يص</w:t>
      </w:r>
      <w:r w:rsidR="00BB4DB0" w:rsidRPr="00FD211F">
        <w:rPr>
          <w:sz w:val="36"/>
          <w:szCs w:val="36"/>
          <w:rtl/>
        </w:rPr>
        <w:t>بح الإسم بطروّ الهيئ</w:t>
      </w:r>
      <w:r w:rsidR="00EC7EDF" w:rsidRPr="00FD211F">
        <w:rPr>
          <w:sz w:val="36"/>
          <w:szCs w:val="36"/>
          <w:rtl/>
        </w:rPr>
        <w:t xml:space="preserve">ة </w:t>
      </w:r>
      <w:r w:rsidR="00BB4DB0" w:rsidRPr="00FD211F">
        <w:rPr>
          <w:sz w:val="36"/>
          <w:szCs w:val="36"/>
          <w:rtl/>
        </w:rPr>
        <w:t>مصدرا</w:t>
      </w:r>
      <w:r w:rsidRPr="00FD211F">
        <w:rPr>
          <w:sz w:val="36"/>
          <w:szCs w:val="36"/>
          <w:rtl/>
        </w:rPr>
        <w:t xml:space="preserve"> </w:t>
      </w:r>
      <w:r w:rsidR="00BB4DB0" w:rsidRPr="00FD211F">
        <w:rPr>
          <w:sz w:val="36"/>
          <w:szCs w:val="36"/>
          <w:rtl/>
        </w:rPr>
        <w:t>ا</w:t>
      </w:r>
      <w:r w:rsidRPr="00FD211F">
        <w:rPr>
          <w:sz w:val="36"/>
          <w:szCs w:val="36"/>
          <w:rtl/>
        </w:rPr>
        <w:t xml:space="preserve">واسم فاعل </w:t>
      </w:r>
      <w:r w:rsidR="00BB4DB0" w:rsidRPr="00FD211F">
        <w:rPr>
          <w:sz w:val="36"/>
          <w:szCs w:val="36"/>
          <w:rtl/>
        </w:rPr>
        <w:t>ا</w:t>
      </w:r>
      <w:r w:rsidRPr="00FD211F">
        <w:rPr>
          <w:sz w:val="36"/>
          <w:szCs w:val="36"/>
          <w:rtl/>
        </w:rPr>
        <w:t>و</w:t>
      </w:r>
      <w:r w:rsidR="00BB4DB0" w:rsidRPr="00FD211F">
        <w:rPr>
          <w:sz w:val="36"/>
          <w:szCs w:val="36"/>
          <w:rtl/>
        </w:rPr>
        <w:t>اسم مفعول</w:t>
      </w:r>
      <w:r w:rsidR="00603323" w:rsidRPr="00FD211F">
        <w:rPr>
          <w:sz w:val="36"/>
          <w:szCs w:val="36"/>
          <w:rtl/>
        </w:rPr>
        <w:t xml:space="preserve">، </w:t>
      </w:r>
      <w:r w:rsidRPr="00FD211F">
        <w:rPr>
          <w:sz w:val="36"/>
          <w:szCs w:val="36"/>
          <w:rtl/>
        </w:rPr>
        <w:t>ويبقى صالحا لأن يحكم عليه فيختلف عن هيئ</w:t>
      </w:r>
      <w:r w:rsidR="00EC7EDF" w:rsidRPr="00FD211F">
        <w:rPr>
          <w:sz w:val="36"/>
          <w:szCs w:val="36"/>
          <w:rtl/>
        </w:rPr>
        <w:t xml:space="preserve">ة </w:t>
      </w:r>
      <w:r w:rsidRPr="00FD211F">
        <w:rPr>
          <w:sz w:val="36"/>
          <w:szCs w:val="36"/>
          <w:rtl/>
        </w:rPr>
        <w:t>الفعل</w:t>
      </w:r>
      <w:r w:rsidR="00603323" w:rsidRPr="00FD211F">
        <w:rPr>
          <w:sz w:val="36"/>
          <w:szCs w:val="36"/>
          <w:rtl/>
        </w:rPr>
        <w:t xml:space="preserve">، </w:t>
      </w:r>
      <w:r w:rsidRPr="00FD211F">
        <w:rPr>
          <w:sz w:val="36"/>
          <w:szCs w:val="36"/>
          <w:rtl/>
        </w:rPr>
        <w:t>وكذا يوجد اختلاف بين هيئ</w:t>
      </w:r>
      <w:r w:rsidR="00EC7EDF" w:rsidRPr="00FD211F">
        <w:rPr>
          <w:sz w:val="36"/>
          <w:szCs w:val="36"/>
          <w:rtl/>
        </w:rPr>
        <w:t xml:space="preserve">ة </w:t>
      </w:r>
      <w:r w:rsidRPr="00FD211F">
        <w:rPr>
          <w:sz w:val="36"/>
          <w:szCs w:val="36"/>
          <w:rtl/>
        </w:rPr>
        <w:t>المصدر وهيئ</w:t>
      </w:r>
      <w:r w:rsidR="00EC7EDF" w:rsidRPr="00FD211F">
        <w:rPr>
          <w:sz w:val="36"/>
          <w:szCs w:val="36"/>
          <w:rtl/>
        </w:rPr>
        <w:t xml:space="preserve">ة </w:t>
      </w:r>
      <w:r w:rsidRPr="00FD211F">
        <w:rPr>
          <w:sz w:val="36"/>
          <w:szCs w:val="36"/>
          <w:rtl/>
        </w:rPr>
        <w:t>اسم الفاعل والمفعول ونحوها في ان المصدر لايصح ا</w:t>
      </w:r>
      <w:r w:rsidR="00BB4DB0" w:rsidRPr="00FD211F">
        <w:rPr>
          <w:sz w:val="36"/>
          <w:szCs w:val="36"/>
          <w:rtl/>
        </w:rPr>
        <w:t>ن يحمل على الذات فلايقال" زيد ضربٌ".</w:t>
      </w:r>
    </w:p>
    <w:p w14:paraId="448C4D6C" w14:textId="77777777" w:rsidR="00556BC0" w:rsidRPr="00FD211F" w:rsidRDefault="00556BC0" w:rsidP="009C58C8">
      <w:pPr>
        <w:ind w:left="0" w:firstLine="227"/>
        <w:jc w:val="both"/>
        <w:rPr>
          <w:sz w:val="36"/>
          <w:szCs w:val="36"/>
          <w:rtl/>
        </w:rPr>
      </w:pPr>
      <w:r w:rsidRPr="00FD211F">
        <w:rPr>
          <w:sz w:val="36"/>
          <w:szCs w:val="36"/>
          <w:rtl/>
        </w:rPr>
        <w:t>وتحقيق الحال</w:t>
      </w:r>
      <w:r w:rsidR="00BB4DB0" w:rsidRPr="00FD211F">
        <w:rPr>
          <w:sz w:val="36"/>
          <w:szCs w:val="36"/>
          <w:rtl/>
        </w:rPr>
        <w:t xml:space="preserve"> في تفسير اختلاف هيئ</w:t>
      </w:r>
      <w:r w:rsidR="00EC7EDF" w:rsidRPr="00FD211F">
        <w:rPr>
          <w:sz w:val="36"/>
          <w:szCs w:val="36"/>
          <w:rtl/>
        </w:rPr>
        <w:t xml:space="preserve">ة </w:t>
      </w:r>
      <w:r w:rsidR="00BB4DB0" w:rsidRPr="00FD211F">
        <w:rPr>
          <w:sz w:val="36"/>
          <w:szCs w:val="36"/>
          <w:rtl/>
        </w:rPr>
        <w:t>المفر</w:t>
      </w:r>
      <w:r w:rsidRPr="00FD211F">
        <w:rPr>
          <w:sz w:val="36"/>
          <w:szCs w:val="36"/>
          <w:rtl/>
        </w:rPr>
        <w:t>د</w:t>
      </w:r>
      <w:r w:rsidR="00BB4DB0" w:rsidRPr="00FD211F">
        <w:rPr>
          <w:sz w:val="36"/>
          <w:szCs w:val="36"/>
          <w:rtl/>
        </w:rPr>
        <w:t>ا</w:t>
      </w:r>
      <w:r w:rsidRPr="00FD211F">
        <w:rPr>
          <w:sz w:val="36"/>
          <w:szCs w:val="36"/>
          <w:rtl/>
        </w:rPr>
        <w:t>ت يقع في جهات:</w:t>
      </w:r>
    </w:p>
    <w:p w14:paraId="5583061E" w14:textId="77777777" w:rsidR="00556BC0" w:rsidRPr="00FD211F" w:rsidRDefault="00556BC0" w:rsidP="009C58C8">
      <w:pPr>
        <w:pStyle w:val="3"/>
        <w:ind w:firstLine="227"/>
        <w:jc w:val="both"/>
        <w:rPr>
          <w:rtl/>
        </w:rPr>
      </w:pPr>
      <w:bookmarkStart w:id="246" w:name="_Toc192092888"/>
      <w:bookmarkStart w:id="247" w:name="_Toc223890366"/>
      <w:r w:rsidRPr="00FD211F">
        <w:rPr>
          <w:rtl/>
        </w:rPr>
        <w:t>1- هيئ</w:t>
      </w:r>
      <w:r w:rsidR="00EC7EDF" w:rsidRPr="00FD211F">
        <w:rPr>
          <w:rtl/>
        </w:rPr>
        <w:t xml:space="preserve">ة </w:t>
      </w:r>
      <w:r w:rsidRPr="00FD211F">
        <w:rPr>
          <w:rtl/>
        </w:rPr>
        <w:t>الفعل</w:t>
      </w:r>
      <w:bookmarkEnd w:id="246"/>
      <w:bookmarkEnd w:id="247"/>
    </w:p>
    <w:p w14:paraId="1E8E9D98" w14:textId="77777777" w:rsidR="00556BC0" w:rsidRPr="00FD211F" w:rsidRDefault="00556BC0" w:rsidP="009C58C8">
      <w:pPr>
        <w:pStyle w:val="3"/>
        <w:ind w:firstLine="227"/>
        <w:jc w:val="both"/>
        <w:rPr>
          <w:rtl/>
        </w:rPr>
      </w:pPr>
      <w:bookmarkStart w:id="248" w:name="_Toc192092889"/>
      <w:bookmarkStart w:id="249" w:name="_Toc223890367"/>
      <w:r w:rsidRPr="00FD211F">
        <w:rPr>
          <w:rtl/>
        </w:rPr>
        <w:t>الفعل الماضي والمضارع</w:t>
      </w:r>
      <w:bookmarkEnd w:id="248"/>
      <w:bookmarkEnd w:id="249"/>
    </w:p>
    <w:p w14:paraId="60408AE3" w14:textId="77777777" w:rsidR="00556BC0" w:rsidRPr="00FD211F" w:rsidRDefault="00556BC0" w:rsidP="009C58C8">
      <w:pPr>
        <w:ind w:left="0" w:firstLine="227"/>
        <w:jc w:val="both"/>
        <w:rPr>
          <w:sz w:val="36"/>
          <w:szCs w:val="36"/>
          <w:rtl/>
        </w:rPr>
      </w:pPr>
      <w:r w:rsidRPr="00FD211F">
        <w:rPr>
          <w:sz w:val="36"/>
          <w:szCs w:val="36"/>
          <w:rtl/>
        </w:rPr>
        <w:t>اختلف الأعلام في معنى هيئ</w:t>
      </w:r>
      <w:r w:rsidR="00EC7EDF" w:rsidRPr="00FD211F">
        <w:rPr>
          <w:sz w:val="36"/>
          <w:szCs w:val="36"/>
          <w:rtl/>
        </w:rPr>
        <w:t xml:space="preserve">ة </w:t>
      </w:r>
      <w:r w:rsidRPr="00FD211F">
        <w:rPr>
          <w:sz w:val="36"/>
          <w:szCs w:val="36"/>
          <w:rtl/>
        </w:rPr>
        <w:t>الماضي والمضارع على أقوال:</w:t>
      </w:r>
    </w:p>
    <w:p w14:paraId="271D08EC" w14:textId="77777777" w:rsidR="00556BC0" w:rsidRPr="00FD211F" w:rsidRDefault="00556BC0" w:rsidP="009C58C8">
      <w:pPr>
        <w:ind w:left="0" w:firstLine="227"/>
        <w:jc w:val="both"/>
        <w:rPr>
          <w:sz w:val="36"/>
          <w:szCs w:val="36"/>
          <w:rtl/>
        </w:rPr>
      </w:pPr>
      <w:r w:rsidRPr="00FD211F">
        <w:rPr>
          <w:b/>
          <w:bCs/>
          <w:sz w:val="36"/>
          <w:szCs w:val="36"/>
          <w:rtl/>
        </w:rPr>
        <w:t>القول الأول</w:t>
      </w:r>
      <w:r w:rsidRPr="00FD211F">
        <w:rPr>
          <w:sz w:val="36"/>
          <w:szCs w:val="36"/>
          <w:rtl/>
        </w:rPr>
        <w:t>: ما ذكره المحقق النائيني</w:t>
      </w:r>
      <w:r w:rsidR="00A61BAE" w:rsidRPr="00FD211F">
        <w:rPr>
          <w:sz w:val="36"/>
          <w:szCs w:val="36"/>
          <w:rtl/>
        </w:rPr>
        <w:t xml:space="preserve"> </w:t>
      </w:r>
      <w:r w:rsidR="005D03BA" w:rsidRPr="00FD211F">
        <w:rPr>
          <w:sz w:val="36"/>
          <w:szCs w:val="36"/>
          <w:rtl/>
        </w:rPr>
        <w:t>“قده”</w:t>
      </w:r>
      <w:r w:rsidR="00A61BAE" w:rsidRPr="00FD211F">
        <w:rPr>
          <w:sz w:val="36"/>
          <w:szCs w:val="36"/>
          <w:rtl/>
        </w:rPr>
        <w:t xml:space="preserve"> </w:t>
      </w:r>
      <w:r w:rsidRPr="00FD211F">
        <w:rPr>
          <w:sz w:val="36"/>
          <w:szCs w:val="36"/>
          <w:rtl/>
        </w:rPr>
        <w:t>ولعله المشهور من ان هيئ</w:t>
      </w:r>
      <w:r w:rsidR="00EC7EDF" w:rsidRPr="00FD211F">
        <w:rPr>
          <w:sz w:val="36"/>
          <w:szCs w:val="36"/>
          <w:rtl/>
        </w:rPr>
        <w:t xml:space="preserve">ة </w:t>
      </w:r>
      <w:r w:rsidRPr="00FD211F">
        <w:rPr>
          <w:sz w:val="36"/>
          <w:szCs w:val="36"/>
          <w:rtl/>
        </w:rPr>
        <w:t>الفعل تدل على نسب</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تحققي</w:t>
      </w:r>
      <w:r w:rsidR="00EC7EDF" w:rsidRPr="00FD211F">
        <w:rPr>
          <w:sz w:val="36"/>
          <w:szCs w:val="36"/>
          <w:rtl/>
        </w:rPr>
        <w:t xml:space="preserve">ة </w:t>
      </w:r>
      <w:r w:rsidRPr="00FD211F">
        <w:rPr>
          <w:sz w:val="36"/>
          <w:szCs w:val="36"/>
          <w:rtl/>
        </w:rPr>
        <w:t>بين الحدث وفاعله</w:t>
      </w:r>
      <w:r w:rsidR="00603323" w:rsidRPr="00FD211F">
        <w:rPr>
          <w:sz w:val="36"/>
          <w:szCs w:val="36"/>
          <w:rtl/>
        </w:rPr>
        <w:t xml:space="preserve">، </w:t>
      </w:r>
      <w:r w:rsidRPr="00FD211F">
        <w:rPr>
          <w:sz w:val="36"/>
          <w:szCs w:val="36"/>
          <w:rtl/>
        </w:rPr>
        <w:t>فهيئ</w:t>
      </w:r>
      <w:r w:rsidR="00EC7EDF" w:rsidRPr="00FD211F">
        <w:rPr>
          <w:sz w:val="36"/>
          <w:szCs w:val="36"/>
          <w:rtl/>
        </w:rPr>
        <w:t xml:space="preserve">ة </w:t>
      </w:r>
      <w:r w:rsidRPr="00FD211F">
        <w:rPr>
          <w:sz w:val="36"/>
          <w:szCs w:val="36"/>
          <w:rtl/>
        </w:rPr>
        <w:t>"ضرب" في قولنا "ضرب زيد" مثلا وضعت لتدلّ على نسب</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تحققي</w:t>
      </w:r>
      <w:r w:rsidR="00EC7EDF" w:rsidRPr="00FD211F">
        <w:rPr>
          <w:sz w:val="36"/>
          <w:szCs w:val="36"/>
          <w:rtl/>
        </w:rPr>
        <w:t xml:space="preserve">ة </w:t>
      </w:r>
      <w:r w:rsidRPr="00FD211F">
        <w:rPr>
          <w:sz w:val="36"/>
          <w:szCs w:val="36"/>
          <w:rtl/>
        </w:rPr>
        <w:t>بين الضرب وبين زيد.</w:t>
      </w:r>
    </w:p>
    <w:p w14:paraId="1FEC1323" w14:textId="77777777" w:rsidR="000C5BBA" w:rsidRPr="00FD211F" w:rsidRDefault="00556BC0" w:rsidP="009C58C8">
      <w:pPr>
        <w:ind w:left="0" w:firstLine="227"/>
        <w:jc w:val="both"/>
        <w:rPr>
          <w:sz w:val="36"/>
          <w:szCs w:val="36"/>
          <w:rtl/>
        </w:rPr>
      </w:pPr>
      <w:r w:rsidRPr="00FD211F">
        <w:rPr>
          <w:sz w:val="36"/>
          <w:szCs w:val="36"/>
          <w:rtl/>
        </w:rPr>
        <w:t>ولكن أ</w:t>
      </w:r>
      <w:r w:rsidR="00DD5C7C" w:rsidRPr="00FD211F">
        <w:rPr>
          <w:sz w:val="36"/>
          <w:szCs w:val="36"/>
          <w:rtl/>
        </w:rPr>
        <w:t>شكل</w:t>
      </w:r>
      <w:r w:rsidRPr="00FD211F">
        <w:rPr>
          <w:sz w:val="36"/>
          <w:szCs w:val="36"/>
          <w:rtl/>
        </w:rPr>
        <w:t xml:space="preserve"> عليه في البحوث أنه ان اريد دلال</w:t>
      </w:r>
      <w:r w:rsidR="00EC7EDF" w:rsidRPr="00FD211F">
        <w:rPr>
          <w:sz w:val="36"/>
          <w:szCs w:val="36"/>
          <w:rtl/>
        </w:rPr>
        <w:t xml:space="preserve">ة </w:t>
      </w:r>
      <w:r w:rsidRPr="00FD211F">
        <w:rPr>
          <w:sz w:val="36"/>
          <w:szCs w:val="36"/>
          <w:rtl/>
        </w:rPr>
        <w:t>هيئ</w:t>
      </w:r>
      <w:r w:rsidR="00EC7EDF" w:rsidRPr="00FD211F">
        <w:rPr>
          <w:sz w:val="36"/>
          <w:szCs w:val="36"/>
          <w:rtl/>
        </w:rPr>
        <w:t xml:space="preserve">ة </w:t>
      </w:r>
      <w:r w:rsidRPr="00FD211F">
        <w:rPr>
          <w:sz w:val="36"/>
          <w:szCs w:val="36"/>
          <w:rtl/>
        </w:rPr>
        <w:t>الفعل على مفهوم التحقق والصدور ف</w:t>
      </w:r>
      <w:r w:rsidR="00607767" w:rsidRPr="00FD211F">
        <w:rPr>
          <w:sz w:val="36"/>
          <w:szCs w:val="36"/>
          <w:rtl/>
        </w:rPr>
        <w:t xml:space="preserve">فيه أنه عندئذ </w:t>
      </w:r>
      <w:r w:rsidRPr="00FD211F">
        <w:rPr>
          <w:sz w:val="36"/>
          <w:szCs w:val="36"/>
          <w:rtl/>
        </w:rPr>
        <w:t>يكون "ض</w:t>
      </w:r>
      <w:r w:rsidR="00607767" w:rsidRPr="00FD211F">
        <w:rPr>
          <w:sz w:val="36"/>
          <w:szCs w:val="36"/>
          <w:rtl/>
        </w:rPr>
        <w:t>َ</w:t>
      </w:r>
      <w:r w:rsidRPr="00FD211F">
        <w:rPr>
          <w:sz w:val="36"/>
          <w:szCs w:val="36"/>
          <w:rtl/>
        </w:rPr>
        <w:t>ر</w:t>
      </w:r>
      <w:r w:rsidR="00607767" w:rsidRPr="00FD211F">
        <w:rPr>
          <w:sz w:val="36"/>
          <w:szCs w:val="36"/>
          <w:rtl/>
        </w:rPr>
        <w:t>َ</w:t>
      </w:r>
      <w:r w:rsidRPr="00FD211F">
        <w:rPr>
          <w:sz w:val="36"/>
          <w:szCs w:val="36"/>
          <w:rtl/>
        </w:rPr>
        <w:t>ب</w:t>
      </w:r>
      <w:r w:rsidR="00607767" w:rsidRPr="00FD211F">
        <w:rPr>
          <w:sz w:val="36"/>
          <w:szCs w:val="36"/>
          <w:rtl/>
        </w:rPr>
        <w:t>َ</w:t>
      </w:r>
      <w:r w:rsidRPr="00FD211F">
        <w:rPr>
          <w:sz w:val="36"/>
          <w:szCs w:val="36"/>
          <w:rtl/>
        </w:rPr>
        <w:t>" في قو</w:t>
      </w:r>
      <w:r w:rsidR="00EC7EDF" w:rsidRPr="00FD211F">
        <w:rPr>
          <w:sz w:val="36"/>
          <w:szCs w:val="36"/>
          <w:rtl/>
        </w:rPr>
        <w:t xml:space="preserve">ة </w:t>
      </w:r>
      <w:r w:rsidRPr="00FD211F">
        <w:rPr>
          <w:sz w:val="36"/>
          <w:szCs w:val="36"/>
          <w:rtl/>
        </w:rPr>
        <w:t>قولنا "صدور</w:t>
      </w:r>
      <w:r w:rsidR="00607767" w:rsidRPr="00FD211F">
        <w:rPr>
          <w:sz w:val="36"/>
          <w:szCs w:val="36"/>
          <w:rtl/>
        </w:rPr>
        <w:t>ُ</w:t>
      </w:r>
      <w:r w:rsidRPr="00FD211F">
        <w:rPr>
          <w:sz w:val="36"/>
          <w:szCs w:val="36"/>
          <w:rtl/>
        </w:rPr>
        <w:t xml:space="preserve"> الض</w:t>
      </w:r>
      <w:r w:rsidR="00607767" w:rsidRPr="00FD211F">
        <w:rPr>
          <w:sz w:val="36"/>
          <w:szCs w:val="36"/>
          <w:rtl/>
        </w:rPr>
        <w:t>رب" فلايوجب ذلك كون النسب</w:t>
      </w:r>
      <w:r w:rsidR="00EC7EDF" w:rsidRPr="00FD211F">
        <w:rPr>
          <w:sz w:val="36"/>
          <w:szCs w:val="36"/>
          <w:rtl/>
        </w:rPr>
        <w:t xml:space="preserve">ة </w:t>
      </w:r>
      <w:r w:rsidR="00607767" w:rsidRPr="00FD211F">
        <w:rPr>
          <w:sz w:val="36"/>
          <w:szCs w:val="36"/>
          <w:rtl/>
        </w:rPr>
        <w:t>تام</w:t>
      </w:r>
      <w:r w:rsidR="00EC7EDF" w:rsidRPr="00FD211F">
        <w:rPr>
          <w:sz w:val="36"/>
          <w:szCs w:val="36"/>
          <w:rtl/>
        </w:rPr>
        <w:t>ة</w:t>
      </w:r>
      <w:r w:rsidR="00A61BAE" w:rsidRPr="00FD211F">
        <w:rPr>
          <w:sz w:val="36"/>
          <w:szCs w:val="36"/>
          <w:rtl/>
        </w:rPr>
        <w:t>.</w:t>
      </w:r>
    </w:p>
    <w:p w14:paraId="3EA6F18B" w14:textId="77777777" w:rsidR="000C5BBA" w:rsidRPr="00FD211F" w:rsidRDefault="00556BC0" w:rsidP="009C58C8">
      <w:pPr>
        <w:ind w:left="0" w:firstLine="227"/>
        <w:jc w:val="both"/>
        <w:rPr>
          <w:sz w:val="36"/>
          <w:szCs w:val="36"/>
          <w:rtl/>
        </w:rPr>
      </w:pPr>
      <w:r w:rsidRPr="00FD211F">
        <w:rPr>
          <w:sz w:val="36"/>
          <w:szCs w:val="36"/>
          <w:rtl/>
        </w:rPr>
        <w:t>وان أريد دلالتها على واقع الصدور خارجا</w:t>
      </w:r>
      <w:r w:rsidR="00603323" w:rsidRPr="00FD211F">
        <w:rPr>
          <w:sz w:val="36"/>
          <w:szCs w:val="36"/>
          <w:rtl/>
        </w:rPr>
        <w:t xml:space="preserve">، </w:t>
      </w:r>
      <w:r w:rsidRPr="00FD211F">
        <w:rPr>
          <w:sz w:val="36"/>
          <w:szCs w:val="36"/>
          <w:rtl/>
        </w:rPr>
        <w:t>ففيه انه لايمكن وضع اللفظ بإزاء الموجود الخارجي</w:t>
      </w:r>
      <w:r w:rsidR="00603323" w:rsidRPr="00FD211F">
        <w:rPr>
          <w:sz w:val="36"/>
          <w:szCs w:val="36"/>
          <w:rtl/>
        </w:rPr>
        <w:t xml:space="preserve">، </w:t>
      </w:r>
      <w:r w:rsidRPr="00FD211F">
        <w:rPr>
          <w:sz w:val="36"/>
          <w:szCs w:val="36"/>
          <w:rtl/>
        </w:rPr>
        <w:t>حيث ان المعنى الموضوع له لابد ان يكون صالحا للانتقال الى الذهن</w:t>
      </w:r>
      <w:r w:rsidR="00603323" w:rsidRPr="00FD211F">
        <w:rPr>
          <w:sz w:val="36"/>
          <w:szCs w:val="36"/>
          <w:rtl/>
        </w:rPr>
        <w:t xml:space="preserve">، </w:t>
      </w:r>
      <w:r w:rsidRPr="00FD211F">
        <w:rPr>
          <w:sz w:val="36"/>
          <w:szCs w:val="36"/>
          <w:rtl/>
        </w:rPr>
        <w:t>على ان لازمه اهمال اللفظ في موارد الكذب ل</w:t>
      </w:r>
      <w:r w:rsidR="00607767" w:rsidRPr="00FD211F">
        <w:rPr>
          <w:sz w:val="36"/>
          <w:szCs w:val="36"/>
          <w:rtl/>
        </w:rPr>
        <w:t>انتفاء واقع التحقق الخارجي فيها.</w:t>
      </w:r>
    </w:p>
    <w:p w14:paraId="258D3472" w14:textId="77777777" w:rsidR="00556BC0" w:rsidRPr="00FD211F" w:rsidRDefault="00556BC0" w:rsidP="009C58C8">
      <w:pPr>
        <w:ind w:left="0" w:firstLine="227"/>
        <w:jc w:val="both"/>
        <w:rPr>
          <w:sz w:val="36"/>
          <w:szCs w:val="36"/>
          <w:rtl/>
        </w:rPr>
      </w:pPr>
      <w:r w:rsidRPr="00FD211F">
        <w:rPr>
          <w:sz w:val="36"/>
          <w:szCs w:val="36"/>
          <w:rtl/>
        </w:rPr>
        <w:t>وان اريد كون معنى الفعل مما يلحظ فانيا في الخارج ف</w:t>
      </w:r>
      <w:r w:rsidR="00607767" w:rsidRPr="00FD211F">
        <w:rPr>
          <w:sz w:val="36"/>
          <w:szCs w:val="36"/>
          <w:rtl/>
        </w:rPr>
        <w:t xml:space="preserve">فيه أنه </w:t>
      </w:r>
      <w:r w:rsidRPr="00FD211F">
        <w:rPr>
          <w:sz w:val="36"/>
          <w:szCs w:val="36"/>
          <w:rtl/>
        </w:rPr>
        <w:t>لايختص ذلك بالفعل اذ جميع المعاني مما تلحظ فاني</w:t>
      </w:r>
      <w:r w:rsidR="00EC7EDF" w:rsidRPr="00FD211F">
        <w:rPr>
          <w:sz w:val="36"/>
          <w:szCs w:val="36"/>
          <w:rtl/>
        </w:rPr>
        <w:t xml:space="preserve">ة </w:t>
      </w:r>
      <w:r w:rsidRPr="00FD211F">
        <w:rPr>
          <w:sz w:val="36"/>
          <w:szCs w:val="36"/>
          <w:rtl/>
        </w:rPr>
        <w:t>في معنونها في الخارج</w:t>
      </w:r>
      <w:r w:rsidR="009C58C8" w:rsidRPr="00FD211F">
        <w:rPr>
          <w:rStyle w:val="a6"/>
          <w:sz w:val="36"/>
          <w:szCs w:val="36"/>
          <w:rtl/>
        </w:rPr>
        <w:t>(</w:t>
      </w:r>
      <w:r w:rsidR="009C58C8" w:rsidRPr="00FD211F">
        <w:rPr>
          <w:rStyle w:val="a6"/>
          <w:sz w:val="36"/>
          <w:szCs w:val="36"/>
          <w:rtl/>
        </w:rPr>
        <w:footnoteReference w:id="225"/>
      </w:r>
      <w:r w:rsidR="009C58C8" w:rsidRPr="00FD211F">
        <w:rPr>
          <w:rStyle w:val="a6"/>
          <w:sz w:val="36"/>
          <w:szCs w:val="36"/>
          <w:rtl/>
        </w:rPr>
        <w:t>)</w:t>
      </w:r>
      <w:r w:rsidRPr="00FD211F">
        <w:rPr>
          <w:sz w:val="36"/>
          <w:szCs w:val="36"/>
          <w:rtl/>
        </w:rPr>
        <w:t>.</w:t>
      </w:r>
    </w:p>
    <w:p w14:paraId="3521AFD0" w14:textId="77777777" w:rsidR="00556BC0" w:rsidRPr="00FD211F" w:rsidRDefault="00556BC0" w:rsidP="009C58C8">
      <w:pPr>
        <w:ind w:left="0" w:firstLine="227"/>
        <w:jc w:val="both"/>
        <w:rPr>
          <w:sz w:val="36"/>
          <w:szCs w:val="36"/>
          <w:rtl/>
        </w:rPr>
      </w:pPr>
      <w:r w:rsidRPr="00FD211F">
        <w:rPr>
          <w:sz w:val="36"/>
          <w:szCs w:val="36"/>
          <w:rtl/>
        </w:rPr>
        <w:t>وسيأتي الجواب عن هذا الإشكال قريبا.</w:t>
      </w:r>
    </w:p>
    <w:p w14:paraId="68629374" w14:textId="77777777" w:rsidR="00556BC0" w:rsidRPr="00FD211F" w:rsidRDefault="00556BC0" w:rsidP="009C58C8">
      <w:pPr>
        <w:ind w:left="0" w:firstLine="227"/>
        <w:jc w:val="both"/>
        <w:rPr>
          <w:sz w:val="36"/>
          <w:szCs w:val="36"/>
          <w:rtl/>
        </w:rPr>
      </w:pPr>
      <w:r w:rsidRPr="00FD211F">
        <w:rPr>
          <w:b/>
          <w:bCs/>
          <w:sz w:val="36"/>
          <w:szCs w:val="36"/>
          <w:rtl/>
        </w:rPr>
        <w:t>القول الثاني</w:t>
      </w:r>
      <w:r w:rsidRPr="00FD211F">
        <w:rPr>
          <w:sz w:val="36"/>
          <w:szCs w:val="36"/>
          <w:rtl/>
        </w:rPr>
        <w:t>: ما ذكره السيد الخوئي</w:t>
      </w:r>
      <w:r w:rsidR="00A61BAE" w:rsidRPr="00FD211F">
        <w:rPr>
          <w:sz w:val="36"/>
          <w:szCs w:val="36"/>
          <w:rtl/>
        </w:rPr>
        <w:t xml:space="preserve"> </w:t>
      </w:r>
      <w:r w:rsidR="005D03BA" w:rsidRPr="00FD211F">
        <w:rPr>
          <w:sz w:val="36"/>
          <w:szCs w:val="36"/>
          <w:rtl/>
        </w:rPr>
        <w:t>“قده”</w:t>
      </w:r>
      <w:r w:rsidR="00A61BAE" w:rsidRPr="00FD211F">
        <w:rPr>
          <w:sz w:val="36"/>
          <w:szCs w:val="36"/>
          <w:rtl/>
        </w:rPr>
        <w:t xml:space="preserve"> </w:t>
      </w:r>
      <w:r w:rsidRPr="00FD211F">
        <w:rPr>
          <w:sz w:val="36"/>
          <w:szCs w:val="36"/>
          <w:rtl/>
        </w:rPr>
        <w:t>من وضع هيئ</w:t>
      </w:r>
      <w:r w:rsidR="00EC7EDF" w:rsidRPr="00FD211F">
        <w:rPr>
          <w:sz w:val="36"/>
          <w:szCs w:val="36"/>
          <w:rtl/>
        </w:rPr>
        <w:t xml:space="preserve">ة </w:t>
      </w:r>
      <w:r w:rsidRPr="00FD211F">
        <w:rPr>
          <w:sz w:val="36"/>
          <w:szCs w:val="36"/>
          <w:rtl/>
        </w:rPr>
        <w:t>الفعل لإبراز قصد الحكاي</w:t>
      </w:r>
      <w:r w:rsidR="00EC7EDF" w:rsidRPr="00FD211F">
        <w:rPr>
          <w:sz w:val="36"/>
          <w:szCs w:val="36"/>
          <w:rtl/>
        </w:rPr>
        <w:t xml:space="preserve">ة </w:t>
      </w:r>
      <w:r w:rsidRPr="00FD211F">
        <w:rPr>
          <w:sz w:val="36"/>
          <w:szCs w:val="36"/>
          <w:rtl/>
        </w:rPr>
        <w:t>عن تحقق صدور الحدث عن فاعله.</w:t>
      </w:r>
    </w:p>
    <w:p w14:paraId="28BFC1A1" w14:textId="77777777" w:rsidR="00556BC0" w:rsidRPr="00FD211F" w:rsidRDefault="00556BC0" w:rsidP="009C58C8">
      <w:pPr>
        <w:ind w:left="0" w:firstLine="227"/>
        <w:jc w:val="both"/>
        <w:rPr>
          <w:sz w:val="36"/>
          <w:szCs w:val="36"/>
          <w:rtl/>
        </w:rPr>
      </w:pPr>
      <w:r w:rsidRPr="00FD211F">
        <w:rPr>
          <w:sz w:val="36"/>
          <w:szCs w:val="36"/>
          <w:rtl/>
        </w:rPr>
        <w:t>وفيه ان مدلول هيئ</w:t>
      </w:r>
      <w:r w:rsidR="00EC7EDF" w:rsidRPr="00FD211F">
        <w:rPr>
          <w:sz w:val="36"/>
          <w:szCs w:val="36"/>
          <w:rtl/>
        </w:rPr>
        <w:t xml:space="preserve">ة </w:t>
      </w:r>
      <w:r w:rsidRPr="00FD211F">
        <w:rPr>
          <w:sz w:val="36"/>
          <w:szCs w:val="36"/>
          <w:rtl/>
        </w:rPr>
        <w:t xml:space="preserve">الفعل هو ما يخطر في ذهن السامع عند سماعها ولو صدرت من متكلم غير </w:t>
      </w:r>
      <w:r w:rsidR="00034A83" w:rsidRPr="00FD211F">
        <w:rPr>
          <w:sz w:val="36"/>
          <w:szCs w:val="36"/>
          <w:rtl/>
        </w:rPr>
        <w:t>ملتفت</w:t>
      </w:r>
      <w:r w:rsidR="00603323" w:rsidRPr="00FD211F">
        <w:rPr>
          <w:sz w:val="36"/>
          <w:szCs w:val="36"/>
          <w:rtl/>
        </w:rPr>
        <w:t xml:space="preserve">، </w:t>
      </w:r>
      <w:r w:rsidRPr="00FD211F">
        <w:rPr>
          <w:sz w:val="36"/>
          <w:szCs w:val="36"/>
          <w:rtl/>
        </w:rPr>
        <w:t>ولايخطر من هيئ</w:t>
      </w:r>
      <w:r w:rsidR="00EC7EDF" w:rsidRPr="00FD211F">
        <w:rPr>
          <w:sz w:val="36"/>
          <w:szCs w:val="36"/>
          <w:rtl/>
        </w:rPr>
        <w:t xml:space="preserve">ة </w:t>
      </w:r>
      <w:r w:rsidRPr="00FD211F">
        <w:rPr>
          <w:sz w:val="36"/>
          <w:szCs w:val="36"/>
          <w:rtl/>
        </w:rPr>
        <w:t>الفعل إبراز قصد الحكاي</w:t>
      </w:r>
      <w:r w:rsidR="00EC7EDF" w:rsidRPr="00FD211F">
        <w:rPr>
          <w:sz w:val="36"/>
          <w:szCs w:val="36"/>
          <w:rtl/>
        </w:rPr>
        <w:t xml:space="preserve">ة </w:t>
      </w:r>
      <w:r w:rsidRPr="00FD211F">
        <w:rPr>
          <w:sz w:val="36"/>
          <w:szCs w:val="36"/>
          <w:rtl/>
        </w:rPr>
        <w:t>عن صدور الحدث من فاعله أبدا</w:t>
      </w:r>
      <w:r w:rsidR="00603323" w:rsidRPr="00FD211F">
        <w:rPr>
          <w:sz w:val="36"/>
          <w:szCs w:val="36"/>
          <w:rtl/>
        </w:rPr>
        <w:t xml:space="preserve">، </w:t>
      </w:r>
      <w:r w:rsidRPr="00FD211F">
        <w:rPr>
          <w:sz w:val="36"/>
          <w:szCs w:val="36"/>
          <w:rtl/>
        </w:rPr>
        <w:t xml:space="preserve">وهذا الذي ذكرناه يتمّ حتى على مسلكه </w:t>
      </w:r>
      <w:r w:rsidR="00BB4DB0" w:rsidRPr="00FD211F">
        <w:rPr>
          <w:sz w:val="36"/>
          <w:szCs w:val="36"/>
          <w:rtl/>
        </w:rPr>
        <w:t>"</w:t>
      </w:r>
      <w:r w:rsidRPr="00FD211F">
        <w:rPr>
          <w:sz w:val="36"/>
          <w:szCs w:val="36"/>
          <w:rtl/>
        </w:rPr>
        <w:t>قده</w:t>
      </w:r>
      <w:r w:rsidR="00BB4DB0" w:rsidRPr="00FD211F">
        <w:rPr>
          <w:sz w:val="36"/>
          <w:szCs w:val="36"/>
          <w:rtl/>
        </w:rPr>
        <w:t>"</w:t>
      </w:r>
      <w:r w:rsidRPr="00FD211F">
        <w:rPr>
          <w:sz w:val="36"/>
          <w:szCs w:val="36"/>
          <w:rtl/>
        </w:rPr>
        <w:t xml:space="preserve"> من تبعي</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للإراد</w:t>
      </w:r>
      <w:r w:rsidR="00EC7EDF" w:rsidRPr="00FD211F">
        <w:rPr>
          <w:sz w:val="36"/>
          <w:szCs w:val="36"/>
          <w:rtl/>
        </w:rPr>
        <w:t>ة</w:t>
      </w:r>
      <w:r w:rsidR="00603323" w:rsidRPr="00FD211F">
        <w:rPr>
          <w:sz w:val="36"/>
          <w:szCs w:val="36"/>
          <w:rtl/>
        </w:rPr>
        <w:t xml:space="preserve">، </w:t>
      </w:r>
      <w:r w:rsidRPr="00FD211F">
        <w:rPr>
          <w:sz w:val="36"/>
          <w:szCs w:val="36"/>
          <w:rtl/>
        </w:rPr>
        <w:t xml:space="preserve">فانه بناء على هذا المسلك ايضا ما يخطر في ذهن السامع عند سماع اللفظ من متكلم غير </w:t>
      </w:r>
      <w:r w:rsidR="00034A83" w:rsidRPr="00FD211F">
        <w:rPr>
          <w:sz w:val="36"/>
          <w:szCs w:val="36"/>
          <w:rtl/>
        </w:rPr>
        <w:t xml:space="preserve">ملتفت </w:t>
      </w:r>
      <w:r w:rsidRPr="00FD211F">
        <w:rPr>
          <w:sz w:val="36"/>
          <w:szCs w:val="36"/>
          <w:rtl/>
        </w:rPr>
        <w:t>وان كان مدلولا أنسيا للفظ لامدلولا وضعيا له لكنه يلزم ان يطابق المدلول الوضعي لعدم اقتضاء الأنس الذهني الا ذلك</w:t>
      </w:r>
      <w:r w:rsidR="00EC7EDF" w:rsidRPr="00FD211F">
        <w:rPr>
          <w:sz w:val="36"/>
          <w:szCs w:val="36"/>
          <w:rtl/>
        </w:rPr>
        <w:t>.</w:t>
      </w:r>
    </w:p>
    <w:p w14:paraId="5F73F3F6" w14:textId="77777777" w:rsidR="000C5BBA" w:rsidRPr="00FD211F" w:rsidRDefault="00556BC0" w:rsidP="009C58C8">
      <w:pPr>
        <w:ind w:left="0" w:firstLine="227"/>
        <w:jc w:val="both"/>
        <w:rPr>
          <w:sz w:val="36"/>
          <w:szCs w:val="36"/>
          <w:rtl/>
        </w:rPr>
      </w:pPr>
      <w:r w:rsidRPr="00FD211F">
        <w:rPr>
          <w:b/>
          <w:bCs/>
          <w:sz w:val="36"/>
          <w:szCs w:val="36"/>
          <w:rtl/>
        </w:rPr>
        <w:t xml:space="preserve">القول </w:t>
      </w:r>
      <w:r w:rsidR="004C2AF9" w:rsidRPr="00FD211F">
        <w:rPr>
          <w:b/>
          <w:bCs/>
          <w:sz w:val="36"/>
          <w:szCs w:val="36"/>
          <w:rtl/>
        </w:rPr>
        <w:t>الثالث</w:t>
      </w:r>
      <w:r w:rsidR="004C2AF9" w:rsidRPr="00FD211F">
        <w:rPr>
          <w:sz w:val="36"/>
          <w:szCs w:val="36"/>
          <w:rtl/>
        </w:rPr>
        <w:t xml:space="preserve">: ما ذكره في البحوث </w:t>
      </w:r>
      <w:r w:rsidRPr="00FD211F">
        <w:rPr>
          <w:sz w:val="36"/>
          <w:szCs w:val="36"/>
          <w:rtl/>
        </w:rPr>
        <w:t>من انه وان كانت تشتمل جمل</w:t>
      </w:r>
      <w:r w:rsidR="00EC7EDF" w:rsidRPr="00FD211F">
        <w:rPr>
          <w:sz w:val="36"/>
          <w:szCs w:val="36"/>
          <w:rtl/>
        </w:rPr>
        <w:t xml:space="preserve">ة </w:t>
      </w:r>
      <w:r w:rsidRPr="00FD211F">
        <w:rPr>
          <w:sz w:val="36"/>
          <w:szCs w:val="36"/>
          <w:rtl/>
        </w:rPr>
        <w:t>"ضرب زيد" ع</w:t>
      </w:r>
      <w:r w:rsidR="001B4457" w:rsidRPr="00FD211F">
        <w:rPr>
          <w:sz w:val="36"/>
          <w:szCs w:val="36"/>
          <w:rtl/>
        </w:rPr>
        <w:t>لى نسب</w:t>
      </w:r>
      <w:r w:rsidR="00EC7EDF" w:rsidRPr="00FD211F">
        <w:rPr>
          <w:sz w:val="36"/>
          <w:szCs w:val="36"/>
          <w:rtl/>
        </w:rPr>
        <w:t xml:space="preserve">ة </w:t>
      </w:r>
      <w:r w:rsidR="001B4457" w:rsidRPr="00FD211F">
        <w:rPr>
          <w:sz w:val="36"/>
          <w:szCs w:val="36"/>
          <w:rtl/>
        </w:rPr>
        <w:t>صدوري</w:t>
      </w:r>
      <w:r w:rsidR="00EC7EDF" w:rsidRPr="00FD211F">
        <w:rPr>
          <w:sz w:val="36"/>
          <w:szCs w:val="36"/>
          <w:rtl/>
        </w:rPr>
        <w:t xml:space="preserve">ة </w:t>
      </w:r>
      <w:r w:rsidR="001B4457" w:rsidRPr="00FD211F">
        <w:rPr>
          <w:sz w:val="36"/>
          <w:szCs w:val="36"/>
          <w:rtl/>
        </w:rPr>
        <w:t>بين الضرب وزيد</w:t>
      </w:r>
      <w:r w:rsidR="00603323" w:rsidRPr="00FD211F">
        <w:rPr>
          <w:sz w:val="36"/>
          <w:szCs w:val="36"/>
          <w:rtl/>
        </w:rPr>
        <w:t xml:space="preserve">، </w:t>
      </w:r>
      <w:r w:rsidRPr="00FD211F">
        <w:rPr>
          <w:sz w:val="36"/>
          <w:szCs w:val="36"/>
          <w:rtl/>
        </w:rPr>
        <w:t>لكنها نسب</w:t>
      </w:r>
      <w:r w:rsidR="00EC7EDF" w:rsidRPr="00FD211F">
        <w:rPr>
          <w:sz w:val="36"/>
          <w:szCs w:val="36"/>
          <w:rtl/>
        </w:rPr>
        <w:t xml:space="preserve">ة </w:t>
      </w:r>
      <w:r w:rsidRPr="00FD211F">
        <w:rPr>
          <w:sz w:val="36"/>
          <w:szCs w:val="36"/>
          <w:rtl/>
        </w:rPr>
        <w:t>صدوري</w:t>
      </w:r>
      <w:r w:rsidR="00EC7EDF" w:rsidRPr="00FD211F">
        <w:rPr>
          <w:sz w:val="36"/>
          <w:szCs w:val="36"/>
          <w:rtl/>
        </w:rPr>
        <w:t xml:space="preserve">ة </w:t>
      </w:r>
      <w:r w:rsidRPr="00FD211F">
        <w:rPr>
          <w:sz w:val="36"/>
          <w:szCs w:val="36"/>
          <w:rtl/>
        </w:rPr>
        <w:t>تحليلي</w:t>
      </w:r>
      <w:r w:rsidR="00EC7EDF" w:rsidRPr="00FD211F">
        <w:rPr>
          <w:sz w:val="36"/>
          <w:szCs w:val="36"/>
          <w:rtl/>
        </w:rPr>
        <w:t xml:space="preserve">ة </w:t>
      </w:r>
      <w:r w:rsidRPr="00FD211F">
        <w:rPr>
          <w:sz w:val="36"/>
          <w:szCs w:val="36"/>
          <w:rtl/>
        </w:rPr>
        <w:t>لأجل كونها متحصل</w:t>
      </w:r>
      <w:r w:rsidR="00EC7EDF" w:rsidRPr="00FD211F">
        <w:rPr>
          <w:sz w:val="36"/>
          <w:szCs w:val="36"/>
          <w:rtl/>
        </w:rPr>
        <w:t xml:space="preserve">ة </w:t>
      </w:r>
      <w:r w:rsidRPr="00FD211F">
        <w:rPr>
          <w:sz w:val="36"/>
          <w:szCs w:val="36"/>
          <w:rtl/>
        </w:rPr>
        <w:t>عن النسب</w:t>
      </w:r>
      <w:r w:rsidR="00EC7EDF" w:rsidRPr="00FD211F">
        <w:rPr>
          <w:sz w:val="36"/>
          <w:szCs w:val="36"/>
          <w:rtl/>
        </w:rPr>
        <w:t xml:space="preserve">ة </w:t>
      </w:r>
      <w:r w:rsidRPr="00FD211F">
        <w:rPr>
          <w:sz w:val="36"/>
          <w:szCs w:val="36"/>
          <w:rtl/>
        </w:rPr>
        <w:t>الصدوري</w:t>
      </w:r>
      <w:r w:rsidR="00EC7EDF" w:rsidRPr="00FD211F">
        <w:rPr>
          <w:sz w:val="36"/>
          <w:szCs w:val="36"/>
          <w:rtl/>
        </w:rPr>
        <w:t xml:space="preserve">ة </w:t>
      </w:r>
      <w:r w:rsidRPr="00FD211F">
        <w:rPr>
          <w:sz w:val="36"/>
          <w:szCs w:val="36"/>
          <w:rtl/>
        </w:rPr>
        <w:t>الخارجي</w:t>
      </w:r>
      <w:r w:rsidR="00EC7EDF" w:rsidRPr="00FD211F">
        <w:rPr>
          <w:sz w:val="36"/>
          <w:szCs w:val="36"/>
          <w:rtl/>
        </w:rPr>
        <w:t>ة</w:t>
      </w:r>
      <w:r w:rsidR="00603323" w:rsidRPr="00FD211F">
        <w:rPr>
          <w:sz w:val="36"/>
          <w:szCs w:val="36"/>
          <w:rtl/>
        </w:rPr>
        <w:t xml:space="preserve">، </w:t>
      </w:r>
      <w:r w:rsidRPr="00FD211F">
        <w:rPr>
          <w:sz w:val="36"/>
          <w:szCs w:val="36"/>
          <w:rtl/>
        </w:rPr>
        <w:t>حيث انها لو كانت نسب</w:t>
      </w:r>
      <w:r w:rsidR="00EC7EDF" w:rsidRPr="00FD211F">
        <w:rPr>
          <w:sz w:val="36"/>
          <w:szCs w:val="36"/>
          <w:rtl/>
        </w:rPr>
        <w:t xml:space="preserve">ة </w:t>
      </w:r>
      <w:r w:rsidRPr="00FD211F">
        <w:rPr>
          <w:sz w:val="36"/>
          <w:szCs w:val="36"/>
          <w:rtl/>
        </w:rPr>
        <w:t>واقعي</w:t>
      </w:r>
      <w:r w:rsidR="00EC7EDF" w:rsidRPr="00FD211F">
        <w:rPr>
          <w:sz w:val="36"/>
          <w:szCs w:val="36"/>
          <w:rtl/>
        </w:rPr>
        <w:t xml:space="preserve">ة </w:t>
      </w:r>
      <w:r w:rsidR="001B4457" w:rsidRPr="00FD211F">
        <w:rPr>
          <w:sz w:val="36"/>
          <w:szCs w:val="36"/>
          <w:rtl/>
        </w:rPr>
        <w:t>فلايمكن ان تكون نسب</w:t>
      </w:r>
      <w:r w:rsidR="00EC7EDF" w:rsidRPr="00FD211F">
        <w:rPr>
          <w:sz w:val="36"/>
          <w:szCs w:val="36"/>
          <w:rtl/>
        </w:rPr>
        <w:t xml:space="preserve">ة </w:t>
      </w:r>
      <w:r w:rsidR="001B4457" w:rsidRPr="00FD211F">
        <w:rPr>
          <w:sz w:val="36"/>
          <w:szCs w:val="36"/>
          <w:rtl/>
        </w:rPr>
        <w:t>صدوري</w:t>
      </w:r>
      <w:r w:rsidR="00EC7EDF" w:rsidRPr="00FD211F">
        <w:rPr>
          <w:sz w:val="36"/>
          <w:szCs w:val="36"/>
          <w:rtl/>
        </w:rPr>
        <w:t xml:space="preserve">ة </w:t>
      </w:r>
      <w:r w:rsidR="001B4457" w:rsidRPr="00FD211F">
        <w:rPr>
          <w:sz w:val="36"/>
          <w:szCs w:val="36"/>
          <w:rtl/>
        </w:rPr>
        <w:t>لأ</w:t>
      </w:r>
      <w:r w:rsidRPr="00FD211F">
        <w:rPr>
          <w:sz w:val="36"/>
          <w:szCs w:val="36"/>
          <w:rtl/>
        </w:rPr>
        <w:t xml:space="preserve">ن طرفيها </w:t>
      </w:r>
      <w:r w:rsidR="001B4457" w:rsidRPr="00FD211F">
        <w:rPr>
          <w:sz w:val="36"/>
          <w:szCs w:val="36"/>
          <w:rtl/>
        </w:rPr>
        <w:t>-</w:t>
      </w:r>
      <w:r w:rsidRPr="00FD211F">
        <w:rPr>
          <w:sz w:val="36"/>
          <w:szCs w:val="36"/>
          <w:rtl/>
        </w:rPr>
        <w:t>اي مفهوم الضرب ومفهوم زيد</w:t>
      </w:r>
      <w:r w:rsidR="001B4457" w:rsidRPr="00FD211F">
        <w:rPr>
          <w:sz w:val="36"/>
          <w:szCs w:val="36"/>
          <w:rtl/>
        </w:rPr>
        <w:t>- موجودان نفسيي</w:t>
      </w:r>
      <w:r w:rsidRPr="00FD211F">
        <w:rPr>
          <w:sz w:val="36"/>
          <w:szCs w:val="36"/>
          <w:rtl/>
        </w:rPr>
        <w:t>ان لايعقل صدور احدهما من الآخر</w:t>
      </w:r>
      <w:r w:rsidR="00603323" w:rsidRPr="00FD211F">
        <w:rPr>
          <w:sz w:val="36"/>
          <w:szCs w:val="36"/>
          <w:rtl/>
        </w:rPr>
        <w:t xml:space="preserve">، </w:t>
      </w:r>
      <w:r w:rsidRPr="00FD211F">
        <w:rPr>
          <w:sz w:val="36"/>
          <w:szCs w:val="36"/>
          <w:rtl/>
        </w:rPr>
        <w:t>وان كانت نسب</w:t>
      </w:r>
      <w:r w:rsidR="00EC7EDF" w:rsidRPr="00FD211F">
        <w:rPr>
          <w:sz w:val="36"/>
          <w:szCs w:val="36"/>
          <w:rtl/>
        </w:rPr>
        <w:t xml:space="preserve">ة </w:t>
      </w:r>
      <w:r w:rsidRPr="00FD211F">
        <w:rPr>
          <w:sz w:val="36"/>
          <w:szCs w:val="36"/>
          <w:rtl/>
        </w:rPr>
        <w:t>واقعي</w:t>
      </w:r>
      <w:r w:rsidR="00EC7EDF" w:rsidRPr="00FD211F">
        <w:rPr>
          <w:sz w:val="36"/>
          <w:szCs w:val="36"/>
          <w:rtl/>
        </w:rPr>
        <w:t xml:space="preserve">ة </w:t>
      </w:r>
      <w:r w:rsidRPr="00FD211F">
        <w:rPr>
          <w:sz w:val="36"/>
          <w:szCs w:val="36"/>
          <w:rtl/>
        </w:rPr>
        <w:t>أخرى كنسب</w:t>
      </w:r>
      <w:r w:rsidR="00EC7EDF" w:rsidRPr="00FD211F">
        <w:rPr>
          <w:sz w:val="36"/>
          <w:szCs w:val="36"/>
          <w:rtl/>
        </w:rPr>
        <w:t xml:space="preserve">ة </w:t>
      </w:r>
      <w:r w:rsidRPr="00FD211F">
        <w:rPr>
          <w:sz w:val="36"/>
          <w:szCs w:val="36"/>
          <w:rtl/>
        </w:rPr>
        <w:t>المقارن</w:t>
      </w:r>
      <w:r w:rsidR="00EC7EDF" w:rsidRPr="00FD211F">
        <w:rPr>
          <w:sz w:val="36"/>
          <w:szCs w:val="36"/>
          <w:rtl/>
        </w:rPr>
        <w:t xml:space="preserve">ة </w:t>
      </w:r>
      <w:r w:rsidR="008E2B9F" w:rsidRPr="00FD211F">
        <w:rPr>
          <w:sz w:val="36"/>
          <w:szCs w:val="36"/>
          <w:rtl/>
        </w:rPr>
        <w:t>-لمقارن</w:t>
      </w:r>
      <w:r w:rsidR="00EC7EDF" w:rsidRPr="00FD211F">
        <w:rPr>
          <w:sz w:val="36"/>
          <w:szCs w:val="36"/>
          <w:rtl/>
        </w:rPr>
        <w:t xml:space="preserve">ة </w:t>
      </w:r>
      <w:r w:rsidR="008E2B9F" w:rsidRPr="00FD211F">
        <w:rPr>
          <w:sz w:val="36"/>
          <w:szCs w:val="36"/>
          <w:rtl/>
        </w:rPr>
        <w:t>وجود هماالذهني -</w:t>
      </w:r>
      <w:r w:rsidRPr="00FD211F">
        <w:rPr>
          <w:sz w:val="36"/>
          <w:szCs w:val="36"/>
          <w:rtl/>
        </w:rPr>
        <w:t>فكيف ت</w:t>
      </w:r>
      <w:r w:rsidR="008E2B9F" w:rsidRPr="00FD211F">
        <w:rPr>
          <w:sz w:val="36"/>
          <w:szCs w:val="36"/>
          <w:rtl/>
        </w:rPr>
        <w:t>حكي عن النسب</w:t>
      </w:r>
      <w:r w:rsidR="00EC7EDF" w:rsidRPr="00FD211F">
        <w:rPr>
          <w:sz w:val="36"/>
          <w:szCs w:val="36"/>
          <w:rtl/>
        </w:rPr>
        <w:t xml:space="preserve">ة </w:t>
      </w:r>
      <w:r w:rsidR="008E2B9F" w:rsidRPr="00FD211F">
        <w:rPr>
          <w:sz w:val="36"/>
          <w:szCs w:val="36"/>
          <w:rtl/>
        </w:rPr>
        <w:t>الصدوري</w:t>
      </w:r>
      <w:r w:rsidR="00EC7EDF" w:rsidRPr="00FD211F">
        <w:rPr>
          <w:sz w:val="36"/>
          <w:szCs w:val="36"/>
          <w:rtl/>
        </w:rPr>
        <w:t xml:space="preserve">ة </w:t>
      </w:r>
      <w:r w:rsidR="008E2B9F" w:rsidRPr="00FD211F">
        <w:rPr>
          <w:sz w:val="36"/>
          <w:szCs w:val="36"/>
          <w:rtl/>
        </w:rPr>
        <w:t>الخارجي</w:t>
      </w:r>
      <w:r w:rsidR="00EC7EDF" w:rsidRPr="00FD211F">
        <w:rPr>
          <w:sz w:val="36"/>
          <w:szCs w:val="36"/>
          <w:rtl/>
        </w:rPr>
        <w:t>ة</w:t>
      </w:r>
      <w:r w:rsidR="00A61BAE" w:rsidRPr="00FD211F">
        <w:rPr>
          <w:sz w:val="36"/>
          <w:szCs w:val="36"/>
          <w:rtl/>
        </w:rPr>
        <w:t>.</w:t>
      </w:r>
    </w:p>
    <w:p w14:paraId="7E63003A" w14:textId="77777777" w:rsidR="000C5BBA" w:rsidRPr="00FD211F" w:rsidRDefault="00556BC0" w:rsidP="009C58C8">
      <w:pPr>
        <w:ind w:left="0" w:firstLine="227"/>
        <w:jc w:val="both"/>
        <w:rPr>
          <w:sz w:val="36"/>
          <w:szCs w:val="36"/>
          <w:rtl/>
        </w:rPr>
      </w:pPr>
      <w:r w:rsidRPr="00FD211F">
        <w:rPr>
          <w:sz w:val="36"/>
          <w:szCs w:val="36"/>
          <w:rtl/>
        </w:rPr>
        <w:t>وعليه فيلزم ان تكون النسب</w:t>
      </w:r>
      <w:r w:rsidR="00EC7EDF" w:rsidRPr="00FD211F">
        <w:rPr>
          <w:sz w:val="36"/>
          <w:szCs w:val="36"/>
          <w:rtl/>
        </w:rPr>
        <w:t xml:space="preserve">ة </w:t>
      </w:r>
      <w:r w:rsidRPr="00FD211F">
        <w:rPr>
          <w:sz w:val="36"/>
          <w:szCs w:val="36"/>
          <w:rtl/>
        </w:rPr>
        <w:t>الصدوري</w:t>
      </w:r>
      <w:r w:rsidR="00EC7EDF" w:rsidRPr="00FD211F">
        <w:rPr>
          <w:sz w:val="36"/>
          <w:szCs w:val="36"/>
          <w:rtl/>
        </w:rPr>
        <w:t xml:space="preserve">ة </w:t>
      </w:r>
      <w:r w:rsidRPr="00FD211F">
        <w:rPr>
          <w:sz w:val="36"/>
          <w:szCs w:val="36"/>
          <w:rtl/>
        </w:rPr>
        <w:t>التي تشتمل عليها هذه الجمل</w:t>
      </w:r>
      <w:r w:rsidR="00EC7EDF" w:rsidRPr="00FD211F">
        <w:rPr>
          <w:sz w:val="36"/>
          <w:szCs w:val="36"/>
          <w:rtl/>
        </w:rPr>
        <w:t xml:space="preserve">ة </w:t>
      </w:r>
      <w:r w:rsidRPr="00FD211F">
        <w:rPr>
          <w:sz w:val="36"/>
          <w:szCs w:val="36"/>
          <w:rtl/>
        </w:rPr>
        <w:t>نسب</w:t>
      </w:r>
      <w:r w:rsidR="00EC7EDF" w:rsidRPr="00FD211F">
        <w:rPr>
          <w:sz w:val="36"/>
          <w:szCs w:val="36"/>
          <w:rtl/>
        </w:rPr>
        <w:t xml:space="preserve">ة </w:t>
      </w:r>
      <w:r w:rsidRPr="00FD211F">
        <w:rPr>
          <w:sz w:val="36"/>
          <w:szCs w:val="36"/>
          <w:rtl/>
        </w:rPr>
        <w:t>تحليلي</w:t>
      </w:r>
      <w:r w:rsidR="00EC7EDF" w:rsidRPr="00FD211F">
        <w:rPr>
          <w:sz w:val="36"/>
          <w:szCs w:val="36"/>
          <w:rtl/>
        </w:rPr>
        <w:t>ة</w:t>
      </w:r>
      <w:r w:rsidR="00603323" w:rsidRPr="00FD211F">
        <w:rPr>
          <w:sz w:val="36"/>
          <w:szCs w:val="36"/>
          <w:rtl/>
        </w:rPr>
        <w:t xml:space="preserve">، </w:t>
      </w:r>
      <w:r w:rsidRPr="00FD211F">
        <w:rPr>
          <w:sz w:val="36"/>
          <w:szCs w:val="36"/>
          <w:rtl/>
        </w:rPr>
        <w:t>وقد مر في بحث المعنى الحرفي ان النسب</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بطرفيها مفهوم</w:t>
      </w:r>
      <w:r w:rsidR="001B4457" w:rsidRPr="00FD211F">
        <w:rPr>
          <w:sz w:val="36"/>
          <w:szCs w:val="36"/>
          <w:rtl/>
        </w:rPr>
        <w:t xml:space="preserve"> بسيط تصورا</w:t>
      </w:r>
      <w:r w:rsidR="00603323" w:rsidRPr="00FD211F">
        <w:rPr>
          <w:sz w:val="36"/>
          <w:szCs w:val="36"/>
          <w:rtl/>
        </w:rPr>
        <w:t xml:space="preserve">، </w:t>
      </w:r>
      <w:r w:rsidR="001B4457" w:rsidRPr="00FD211F">
        <w:rPr>
          <w:sz w:val="36"/>
          <w:szCs w:val="36"/>
          <w:rtl/>
        </w:rPr>
        <w:t>ولايصح السكوت عليه.</w:t>
      </w:r>
    </w:p>
    <w:p w14:paraId="370CA56F" w14:textId="77777777" w:rsidR="00556BC0" w:rsidRPr="00FD211F" w:rsidRDefault="001B4457" w:rsidP="009C58C8">
      <w:pPr>
        <w:ind w:left="0" w:firstLine="227"/>
        <w:jc w:val="both"/>
        <w:rPr>
          <w:sz w:val="36"/>
          <w:szCs w:val="36"/>
          <w:rtl/>
        </w:rPr>
      </w:pPr>
      <w:r w:rsidRPr="00FD211F">
        <w:rPr>
          <w:sz w:val="36"/>
          <w:szCs w:val="36"/>
          <w:rtl/>
        </w:rPr>
        <w:t xml:space="preserve">وحيث ان </w:t>
      </w:r>
      <w:r w:rsidR="00556BC0" w:rsidRPr="00FD211F">
        <w:rPr>
          <w:sz w:val="36"/>
          <w:szCs w:val="36"/>
          <w:rtl/>
        </w:rPr>
        <w:t>جمل</w:t>
      </w:r>
      <w:r w:rsidR="00EC7EDF" w:rsidRPr="00FD211F">
        <w:rPr>
          <w:sz w:val="36"/>
          <w:szCs w:val="36"/>
          <w:rtl/>
        </w:rPr>
        <w:t xml:space="preserve">ة </w:t>
      </w:r>
      <w:r w:rsidRPr="00FD211F">
        <w:rPr>
          <w:sz w:val="36"/>
          <w:szCs w:val="36"/>
          <w:rtl/>
        </w:rPr>
        <w:t>"ضرب زيد" مما يصح السكوت عليها</w:t>
      </w:r>
      <w:r w:rsidR="00603323" w:rsidRPr="00FD211F">
        <w:rPr>
          <w:sz w:val="36"/>
          <w:szCs w:val="36"/>
          <w:rtl/>
        </w:rPr>
        <w:t xml:space="preserve">، </w:t>
      </w:r>
      <w:r w:rsidRPr="00FD211F">
        <w:rPr>
          <w:sz w:val="36"/>
          <w:szCs w:val="36"/>
          <w:rtl/>
        </w:rPr>
        <w:t>فلابد ان</w:t>
      </w:r>
      <w:r w:rsidR="00B253CE" w:rsidRPr="00FD211F">
        <w:rPr>
          <w:sz w:val="36"/>
          <w:szCs w:val="36"/>
          <w:rtl/>
        </w:rPr>
        <w:t xml:space="preserve"> </w:t>
      </w:r>
      <w:r w:rsidR="00556BC0" w:rsidRPr="00FD211F">
        <w:rPr>
          <w:sz w:val="36"/>
          <w:szCs w:val="36"/>
          <w:rtl/>
        </w:rPr>
        <w:t>تشتمل على نسب</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فاذالم تكن هي هذه النسب</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الصدوري</w:t>
      </w:r>
      <w:r w:rsidR="00EC7EDF" w:rsidRPr="00FD211F">
        <w:rPr>
          <w:sz w:val="36"/>
          <w:szCs w:val="36"/>
          <w:rtl/>
        </w:rPr>
        <w:t>ة</w:t>
      </w:r>
      <w:r w:rsidR="00603323" w:rsidRPr="00FD211F">
        <w:rPr>
          <w:sz w:val="36"/>
          <w:szCs w:val="36"/>
          <w:rtl/>
        </w:rPr>
        <w:t xml:space="preserve">، </w:t>
      </w:r>
      <w:r w:rsidRPr="00FD211F">
        <w:rPr>
          <w:sz w:val="36"/>
          <w:szCs w:val="36"/>
          <w:rtl/>
        </w:rPr>
        <w:t>فتكون نسب</w:t>
      </w:r>
      <w:r w:rsidR="00EC7EDF" w:rsidRPr="00FD211F">
        <w:rPr>
          <w:sz w:val="36"/>
          <w:szCs w:val="36"/>
          <w:rtl/>
        </w:rPr>
        <w:t xml:space="preserve">ة </w:t>
      </w:r>
      <w:r w:rsidRPr="00FD211F">
        <w:rPr>
          <w:sz w:val="36"/>
          <w:szCs w:val="36"/>
          <w:rtl/>
        </w:rPr>
        <w:t>أخرى</w:t>
      </w:r>
      <w:r w:rsidR="00EC7EDF" w:rsidRPr="00FD211F">
        <w:rPr>
          <w:sz w:val="36"/>
          <w:szCs w:val="36"/>
          <w:rtl/>
        </w:rPr>
        <w:t xml:space="preserve"> و</w:t>
      </w:r>
      <w:r w:rsidR="00556BC0" w:rsidRPr="00FD211F">
        <w:rPr>
          <w:sz w:val="36"/>
          <w:szCs w:val="36"/>
          <w:rtl/>
        </w:rPr>
        <w:t>هي النسب</w:t>
      </w:r>
      <w:r w:rsidR="00EC7EDF" w:rsidRPr="00FD211F">
        <w:rPr>
          <w:sz w:val="36"/>
          <w:szCs w:val="36"/>
          <w:rtl/>
        </w:rPr>
        <w:t xml:space="preserve">ة </w:t>
      </w:r>
      <w:r w:rsidR="00556BC0" w:rsidRPr="00FD211F">
        <w:rPr>
          <w:sz w:val="36"/>
          <w:szCs w:val="36"/>
          <w:rtl/>
        </w:rPr>
        <w:t>الذهني</w:t>
      </w:r>
      <w:r w:rsidR="00EC7EDF" w:rsidRPr="00FD211F">
        <w:rPr>
          <w:sz w:val="36"/>
          <w:szCs w:val="36"/>
          <w:rtl/>
        </w:rPr>
        <w:t xml:space="preserve">ة </w:t>
      </w:r>
      <w:r w:rsidR="00556BC0" w:rsidRPr="00FD211F">
        <w:rPr>
          <w:sz w:val="36"/>
          <w:szCs w:val="36"/>
          <w:rtl/>
        </w:rPr>
        <w:t>التصادقي</w:t>
      </w:r>
      <w:r w:rsidR="00EC7EDF" w:rsidRPr="00FD211F">
        <w:rPr>
          <w:sz w:val="36"/>
          <w:szCs w:val="36"/>
          <w:rtl/>
        </w:rPr>
        <w:t xml:space="preserve">ة </w:t>
      </w:r>
      <w:r w:rsidR="00556BC0" w:rsidRPr="00FD211F">
        <w:rPr>
          <w:sz w:val="36"/>
          <w:szCs w:val="36"/>
          <w:rtl/>
        </w:rPr>
        <w:t>بين الحدث وفاعله ويعبر عنها بالنسب</w:t>
      </w:r>
      <w:r w:rsidR="00EC7EDF" w:rsidRPr="00FD211F">
        <w:rPr>
          <w:sz w:val="36"/>
          <w:szCs w:val="36"/>
          <w:rtl/>
        </w:rPr>
        <w:t xml:space="preserve">ة </w:t>
      </w:r>
      <w:r w:rsidR="00556BC0" w:rsidRPr="00FD211F">
        <w:rPr>
          <w:sz w:val="36"/>
          <w:szCs w:val="36"/>
          <w:rtl/>
        </w:rPr>
        <w:t>الإسنادي</w:t>
      </w:r>
      <w:r w:rsidR="00EC7EDF" w:rsidRPr="00FD211F">
        <w:rPr>
          <w:sz w:val="36"/>
          <w:szCs w:val="36"/>
          <w:rtl/>
        </w:rPr>
        <w:t xml:space="preserve">ة </w:t>
      </w:r>
      <w:r w:rsidRPr="00FD211F">
        <w:rPr>
          <w:sz w:val="36"/>
          <w:szCs w:val="36"/>
          <w:rtl/>
        </w:rPr>
        <w:t>(و</w:t>
      </w:r>
      <w:r w:rsidR="00C33047" w:rsidRPr="00FD211F">
        <w:rPr>
          <w:sz w:val="36"/>
          <w:szCs w:val="36"/>
          <w:rtl/>
        </w:rPr>
        <w:t xml:space="preserve"> معناها الحكم بانطباق الضرب وزيد على حادث</w:t>
      </w:r>
      <w:r w:rsidR="00EC7EDF" w:rsidRPr="00FD211F">
        <w:rPr>
          <w:sz w:val="36"/>
          <w:szCs w:val="36"/>
          <w:rtl/>
        </w:rPr>
        <w:t xml:space="preserve">ة </w:t>
      </w:r>
      <w:r w:rsidR="00C33047" w:rsidRPr="00FD211F">
        <w:rPr>
          <w:sz w:val="36"/>
          <w:szCs w:val="36"/>
          <w:rtl/>
        </w:rPr>
        <w:t>ومركز واحد يكون مركبا من العرض ومحله</w:t>
      </w:r>
      <w:r w:rsidR="00603323" w:rsidRPr="00FD211F">
        <w:rPr>
          <w:sz w:val="36"/>
          <w:szCs w:val="36"/>
          <w:rtl/>
        </w:rPr>
        <w:t xml:space="preserve">، </w:t>
      </w:r>
      <w:r w:rsidRPr="00FD211F">
        <w:rPr>
          <w:sz w:val="36"/>
          <w:szCs w:val="36"/>
          <w:rtl/>
        </w:rPr>
        <w:t xml:space="preserve">قد مر توضيح ذلك </w:t>
      </w:r>
      <w:r w:rsidR="00D25073" w:rsidRPr="00FD211F">
        <w:rPr>
          <w:sz w:val="36"/>
          <w:szCs w:val="36"/>
          <w:rtl/>
        </w:rPr>
        <w:t>سابقافي هيئ</w:t>
      </w:r>
      <w:r w:rsidR="00EC7EDF" w:rsidRPr="00FD211F">
        <w:rPr>
          <w:sz w:val="36"/>
          <w:szCs w:val="36"/>
          <w:rtl/>
        </w:rPr>
        <w:t xml:space="preserve">ة </w:t>
      </w:r>
      <w:r w:rsidR="00D25073" w:rsidRPr="00FD211F">
        <w:rPr>
          <w:sz w:val="36"/>
          <w:szCs w:val="36"/>
          <w:rtl/>
        </w:rPr>
        <w:t>الجمل</w:t>
      </w:r>
      <w:r w:rsidR="00EC7EDF" w:rsidRPr="00FD211F">
        <w:rPr>
          <w:sz w:val="36"/>
          <w:szCs w:val="36"/>
          <w:rtl/>
        </w:rPr>
        <w:t xml:space="preserve">ة </w:t>
      </w:r>
      <w:r w:rsidR="00D25073" w:rsidRPr="00FD211F">
        <w:rPr>
          <w:sz w:val="36"/>
          <w:szCs w:val="36"/>
          <w:rtl/>
        </w:rPr>
        <w:t>الفعلي</w:t>
      </w:r>
      <w:r w:rsidR="00EC7EDF" w:rsidRPr="00FD211F">
        <w:rPr>
          <w:sz w:val="36"/>
          <w:szCs w:val="36"/>
          <w:rtl/>
        </w:rPr>
        <w:t xml:space="preserve">ة </w:t>
      </w:r>
      <w:r w:rsidR="00D25073" w:rsidRPr="00FD211F">
        <w:rPr>
          <w:sz w:val="36"/>
          <w:szCs w:val="36"/>
          <w:rtl/>
        </w:rPr>
        <w:t>)</w:t>
      </w:r>
      <w:r w:rsidR="00556BC0" w:rsidRPr="00FD211F">
        <w:rPr>
          <w:sz w:val="36"/>
          <w:szCs w:val="36"/>
          <w:rtl/>
        </w:rPr>
        <w:t>.</w:t>
      </w:r>
    </w:p>
    <w:p w14:paraId="7B33709B" w14:textId="77777777" w:rsidR="00556BC0" w:rsidRPr="00FD211F" w:rsidRDefault="00556BC0" w:rsidP="009C58C8">
      <w:pPr>
        <w:ind w:left="0" w:firstLine="227"/>
        <w:jc w:val="both"/>
        <w:rPr>
          <w:sz w:val="36"/>
          <w:szCs w:val="36"/>
          <w:rtl/>
        </w:rPr>
      </w:pPr>
      <w:r w:rsidRPr="00FD211F">
        <w:rPr>
          <w:sz w:val="36"/>
          <w:szCs w:val="36"/>
          <w:rtl/>
        </w:rPr>
        <w:t>وحينئذ فتوجد فرضيتان في تفسير هيئ</w:t>
      </w:r>
      <w:r w:rsidR="00EC7EDF" w:rsidRPr="00FD211F">
        <w:rPr>
          <w:sz w:val="36"/>
          <w:szCs w:val="36"/>
          <w:rtl/>
        </w:rPr>
        <w:t xml:space="preserve">ة </w:t>
      </w:r>
      <w:r w:rsidRPr="00FD211F">
        <w:rPr>
          <w:sz w:val="36"/>
          <w:szCs w:val="36"/>
          <w:rtl/>
        </w:rPr>
        <w:t>الفعل اي "ضرب" في جمل</w:t>
      </w:r>
      <w:r w:rsidR="00EC7EDF" w:rsidRPr="00FD211F">
        <w:rPr>
          <w:sz w:val="36"/>
          <w:szCs w:val="36"/>
          <w:rtl/>
        </w:rPr>
        <w:t xml:space="preserve">ة </w:t>
      </w:r>
      <w:r w:rsidRPr="00FD211F">
        <w:rPr>
          <w:sz w:val="36"/>
          <w:szCs w:val="36"/>
          <w:rtl/>
        </w:rPr>
        <w:t>"ضرب زيد":</w:t>
      </w:r>
    </w:p>
    <w:p w14:paraId="7F73EFFA" w14:textId="77777777" w:rsidR="00556BC0" w:rsidRPr="00FD211F" w:rsidRDefault="00556BC0" w:rsidP="009C58C8">
      <w:pPr>
        <w:ind w:left="0" w:firstLine="227"/>
        <w:jc w:val="both"/>
        <w:rPr>
          <w:sz w:val="36"/>
          <w:szCs w:val="36"/>
          <w:rtl/>
        </w:rPr>
      </w:pPr>
      <w:r w:rsidRPr="00FD211F">
        <w:rPr>
          <w:b/>
          <w:bCs/>
          <w:sz w:val="36"/>
          <w:szCs w:val="36"/>
          <w:rtl/>
        </w:rPr>
        <w:t>الأولى</w:t>
      </w:r>
      <w:r w:rsidRPr="00FD211F">
        <w:rPr>
          <w:sz w:val="36"/>
          <w:szCs w:val="36"/>
          <w:rtl/>
        </w:rPr>
        <w:t>: ان تكون هيئ</w:t>
      </w:r>
      <w:r w:rsidR="00EC7EDF" w:rsidRPr="00FD211F">
        <w:rPr>
          <w:sz w:val="36"/>
          <w:szCs w:val="36"/>
          <w:rtl/>
        </w:rPr>
        <w:t xml:space="preserve">ة </w:t>
      </w:r>
      <w:r w:rsidRPr="00FD211F">
        <w:rPr>
          <w:sz w:val="36"/>
          <w:szCs w:val="36"/>
          <w:rtl/>
        </w:rPr>
        <w:t>الفعل موضوع</w:t>
      </w:r>
      <w:r w:rsidR="00EC7EDF" w:rsidRPr="00FD211F">
        <w:rPr>
          <w:sz w:val="36"/>
          <w:szCs w:val="36"/>
          <w:rtl/>
        </w:rPr>
        <w:t xml:space="preserve">ة </w:t>
      </w:r>
      <w:r w:rsidRPr="00FD211F">
        <w:rPr>
          <w:sz w:val="36"/>
          <w:szCs w:val="36"/>
          <w:rtl/>
        </w:rPr>
        <w:t>للدلال</w:t>
      </w:r>
      <w:r w:rsidR="00EC7EDF" w:rsidRPr="00FD211F">
        <w:rPr>
          <w:sz w:val="36"/>
          <w:szCs w:val="36"/>
          <w:rtl/>
        </w:rPr>
        <w:t xml:space="preserve">ة </w:t>
      </w:r>
      <w:r w:rsidRPr="00FD211F">
        <w:rPr>
          <w:sz w:val="36"/>
          <w:szCs w:val="36"/>
          <w:rtl/>
        </w:rPr>
        <w:t>على النسب</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الصدوري</w:t>
      </w:r>
      <w:r w:rsidR="00EC7EDF" w:rsidRPr="00FD211F">
        <w:rPr>
          <w:sz w:val="36"/>
          <w:szCs w:val="36"/>
          <w:rtl/>
        </w:rPr>
        <w:t>ة</w:t>
      </w:r>
      <w:r w:rsidR="00603323" w:rsidRPr="00FD211F">
        <w:rPr>
          <w:sz w:val="36"/>
          <w:szCs w:val="36"/>
          <w:rtl/>
        </w:rPr>
        <w:t xml:space="preserve">، </w:t>
      </w:r>
      <w:r w:rsidRPr="00FD211F">
        <w:rPr>
          <w:sz w:val="36"/>
          <w:szCs w:val="36"/>
          <w:rtl/>
        </w:rPr>
        <w:t>وتكون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موضوع</w:t>
      </w:r>
      <w:r w:rsidR="00EC7EDF" w:rsidRPr="00FD211F">
        <w:rPr>
          <w:sz w:val="36"/>
          <w:szCs w:val="36"/>
          <w:rtl/>
        </w:rPr>
        <w:t xml:space="preserve">ة </w:t>
      </w:r>
      <w:r w:rsidRPr="00FD211F">
        <w:rPr>
          <w:sz w:val="36"/>
          <w:szCs w:val="36"/>
          <w:rtl/>
        </w:rPr>
        <w:t>لإفاد</w:t>
      </w:r>
      <w:r w:rsidR="00EC7EDF" w:rsidRPr="00FD211F">
        <w:rPr>
          <w:sz w:val="36"/>
          <w:szCs w:val="36"/>
          <w:rtl/>
        </w:rPr>
        <w:t xml:space="preserve">ة </w:t>
      </w:r>
      <w:r w:rsidRPr="00FD211F">
        <w:rPr>
          <w:sz w:val="36"/>
          <w:szCs w:val="36"/>
          <w:rtl/>
        </w:rPr>
        <w:t>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 الفعل وفاعله</w:t>
      </w:r>
      <w:r w:rsidR="00603323" w:rsidRPr="00FD211F">
        <w:rPr>
          <w:sz w:val="36"/>
          <w:szCs w:val="36"/>
          <w:rtl/>
        </w:rPr>
        <w:t xml:space="preserve">، </w:t>
      </w:r>
      <w:r w:rsidRPr="00FD211F">
        <w:rPr>
          <w:sz w:val="36"/>
          <w:szCs w:val="36"/>
          <w:rtl/>
        </w:rPr>
        <w:t>ولذا لاتتم اطراف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بدون ذكر الفاعل.</w:t>
      </w:r>
    </w:p>
    <w:p w14:paraId="1DCA4BD3" w14:textId="77777777" w:rsidR="00556BC0" w:rsidRPr="00FD211F" w:rsidRDefault="00556BC0" w:rsidP="009C58C8">
      <w:pPr>
        <w:ind w:left="0" w:firstLine="227"/>
        <w:jc w:val="both"/>
        <w:rPr>
          <w:sz w:val="36"/>
          <w:szCs w:val="36"/>
          <w:rtl/>
        </w:rPr>
      </w:pPr>
      <w:r w:rsidRPr="00FD211F">
        <w:rPr>
          <w:sz w:val="36"/>
          <w:szCs w:val="36"/>
          <w:rtl/>
        </w:rPr>
        <w:t>ولكن توجد هنا مشكل</w:t>
      </w:r>
      <w:r w:rsidR="00EC7EDF" w:rsidRPr="00FD211F">
        <w:rPr>
          <w:sz w:val="36"/>
          <w:szCs w:val="36"/>
          <w:rtl/>
        </w:rPr>
        <w:t xml:space="preserve">ة </w:t>
      </w:r>
      <w:r w:rsidRPr="00FD211F">
        <w:rPr>
          <w:sz w:val="36"/>
          <w:szCs w:val="36"/>
          <w:rtl/>
        </w:rPr>
        <w:t>وهي ان كل نسب</w:t>
      </w:r>
      <w:r w:rsidR="00EC7EDF" w:rsidRPr="00FD211F">
        <w:rPr>
          <w:sz w:val="36"/>
          <w:szCs w:val="36"/>
          <w:rtl/>
        </w:rPr>
        <w:t xml:space="preserve">ة </w:t>
      </w:r>
      <w:r w:rsidRPr="00FD211F">
        <w:rPr>
          <w:sz w:val="36"/>
          <w:szCs w:val="36"/>
          <w:rtl/>
        </w:rPr>
        <w:t>تكون بحاج</w:t>
      </w:r>
      <w:r w:rsidR="00EC7EDF" w:rsidRPr="00FD211F">
        <w:rPr>
          <w:sz w:val="36"/>
          <w:szCs w:val="36"/>
          <w:rtl/>
        </w:rPr>
        <w:t xml:space="preserve">ة </w:t>
      </w:r>
      <w:r w:rsidRPr="00FD211F">
        <w:rPr>
          <w:sz w:val="36"/>
          <w:szCs w:val="36"/>
          <w:rtl/>
        </w:rPr>
        <w:t>الى طرفين</w:t>
      </w:r>
      <w:r w:rsidR="00603323" w:rsidRPr="00FD211F">
        <w:rPr>
          <w:sz w:val="36"/>
          <w:szCs w:val="36"/>
          <w:rtl/>
        </w:rPr>
        <w:t xml:space="preserve">، </w:t>
      </w:r>
      <w:r w:rsidRPr="00FD211F">
        <w:rPr>
          <w:sz w:val="36"/>
          <w:szCs w:val="36"/>
          <w:rtl/>
        </w:rPr>
        <w:t>ويكون أحد طرفي النسب</w:t>
      </w:r>
      <w:r w:rsidR="00EC7EDF" w:rsidRPr="00FD211F">
        <w:rPr>
          <w:sz w:val="36"/>
          <w:szCs w:val="36"/>
          <w:rtl/>
        </w:rPr>
        <w:t xml:space="preserve">ة </w:t>
      </w:r>
      <w:r w:rsidRPr="00FD211F">
        <w:rPr>
          <w:sz w:val="36"/>
          <w:szCs w:val="36"/>
          <w:rtl/>
        </w:rPr>
        <w:t>الصدوري</w:t>
      </w:r>
      <w:r w:rsidR="00EC7EDF" w:rsidRPr="00FD211F">
        <w:rPr>
          <w:sz w:val="36"/>
          <w:szCs w:val="36"/>
          <w:rtl/>
        </w:rPr>
        <w:t xml:space="preserve">ة </w:t>
      </w:r>
      <w:r w:rsidRPr="00FD211F">
        <w:rPr>
          <w:sz w:val="36"/>
          <w:szCs w:val="36"/>
          <w:rtl/>
        </w:rPr>
        <w:t>هو نفس الحدث الذي يكون ماد</w:t>
      </w:r>
      <w:r w:rsidR="00EC7EDF" w:rsidRPr="00FD211F">
        <w:rPr>
          <w:sz w:val="36"/>
          <w:szCs w:val="36"/>
          <w:rtl/>
        </w:rPr>
        <w:t xml:space="preserve">ة </w:t>
      </w:r>
      <w:r w:rsidRPr="00FD211F">
        <w:rPr>
          <w:sz w:val="36"/>
          <w:szCs w:val="36"/>
          <w:rtl/>
        </w:rPr>
        <w:t>الفعل</w:t>
      </w:r>
      <w:r w:rsidR="00603323" w:rsidRPr="00FD211F">
        <w:rPr>
          <w:sz w:val="36"/>
          <w:szCs w:val="36"/>
          <w:rtl/>
        </w:rPr>
        <w:t xml:space="preserve">، </w:t>
      </w:r>
      <w:r w:rsidRPr="00FD211F">
        <w:rPr>
          <w:sz w:val="36"/>
          <w:szCs w:val="36"/>
          <w:rtl/>
        </w:rPr>
        <w:t>وحينئذ فما هو الطرف الآخر؟ فان قيل ان الطرف الآخر نفس زيد الذي هو طرف للنسب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أيضا فيقال انه يلزم في طرف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وجوده في الذهن مستقلا كي يوقع النسب</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بينه وبين الطرف الآخر</w:t>
      </w:r>
      <w:r w:rsidR="00603323" w:rsidRPr="00FD211F">
        <w:rPr>
          <w:sz w:val="36"/>
          <w:szCs w:val="36"/>
          <w:rtl/>
        </w:rPr>
        <w:t xml:space="preserve">، </w:t>
      </w:r>
      <w:r w:rsidRPr="00FD211F">
        <w:rPr>
          <w:sz w:val="36"/>
          <w:szCs w:val="36"/>
          <w:rtl/>
        </w:rPr>
        <w:t>بينما ان طرف النسب</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موجود مع النسب</w:t>
      </w:r>
      <w:r w:rsidR="00EC7EDF" w:rsidRPr="00FD211F">
        <w:rPr>
          <w:sz w:val="36"/>
          <w:szCs w:val="36"/>
          <w:rtl/>
        </w:rPr>
        <w:t xml:space="preserve">ة </w:t>
      </w:r>
      <w:r w:rsidRPr="00FD211F">
        <w:rPr>
          <w:sz w:val="36"/>
          <w:szCs w:val="36"/>
          <w:rtl/>
        </w:rPr>
        <w:t>والطرف الآخر بوجود ذهني واحد</w:t>
      </w:r>
      <w:r w:rsidR="00603323" w:rsidRPr="00FD211F">
        <w:rPr>
          <w:sz w:val="36"/>
          <w:szCs w:val="36"/>
          <w:rtl/>
        </w:rPr>
        <w:t xml:space="preserve">، </w:t>
      </w:r>
      <w:r w:rsidRPr="00FD211F">
        <w:rPr>
          <w:sz w:val="36"/>
          <w:szCs w:val="36"/>
          <w:rtl/>
        </w:rPr>
        <w:t xml:space="preserve">وعليه فلايمكن ان يكون </w:t>
      </w:r>
      <w:r w:rsidR="008D7B3D" w:rsidRPr="00FD211F">
        <w:rPr>
          <w:sz w:val="36"/>
          <w:szCs w:val="36"/>
          <w:rtl/>
        </w:rPr>
        <w:t xml:space="preserve">شيء </w:t>
      </w:r>
      <w:r w:rsidRPr="00FD211F">
        <w:rPr>
          <w:sz w:val="36"/>
          <w:szCs w:val="36"/>
          <w:rtl/>
        </w:rPr>
        <w:t>واحد طرفا للنسب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وللنسب</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معا</w:t>
      </w:r>
      <w:r w:rsidR="00603323" w:rsidRPr="00FD211F">
        <w:rPr>
          <w:sz w:val="36"/>
          <w:szCs w:val="36"/>
          <w:rtl/>
        </w:rPr>
        <w:t xml:space="preserve">، </w:t>
      </w:r>
      <w:r w:rsidRPr="00FD211F">
        <w:rPr>
          <w:sz w:val="36"/>
          <w:szCs w:val="36"/>
          <w:rtl/>
        </w:rPr>
        <w:t>وان قيل ان الطرف الآخر للنسب</w:t>
      </w:r>
      <w:r w:rsidR="00EC7EDF" w:rsidRPr="00FD211F">
        <w:rPr>
          <w:sz w:val="36"/>
          <w:szCs w:val="36"/>
          <w:rtl/>
        </w:rPr>
        <w:t xml:space="preserve">ة </w:t>
      </w:r>
      <w:r w:rsidRPr="00FD211F">
        <w:rPr>
          <w:sz w:val="36"/>
          <w:szCs w:val="36"/>
          <w:rtl/>
        </w:rPr>
        <w:t>الصدوري</w:t>
      </w:r>
      <w:r w:rsidR="00EC7EDF" w:rsidRPr="00FD211F">
        <w:rPr>
          <w:sz w:val="36"/>
          <w:szCs w:val="36"/>
          <w:rtl/>
        </w:rPr>
        <w:t xml:space="preserve">ة </w:t>
      </w:r>
      <w:r w:rsidRPr="00FD211F">
        <w:rPr>
          <w:sz w:val="36"/>
          <w:szCs w:val="36"/>
          <w:rtl/>
        </w:rPr>
        <w:t>هو الذات المبهم</w:t>
      </w:r>
      <w:r w:rsidR="00EC7EDF" w:rsidRPr="00FD211F">
        <w:rPr>
          <w:sz w:val="36"/>
          <w:szCs w:val="36"/>
          <w:rtl/>
        </w:rPr>
        <w:t xml:space="preserve">ة </w:t>
      </w:r>
      <w:r w:rsidRPr="00FD211F">
        <w:rPr>
          <w:sz w:val="36"/>
          <w:szCs w:val="36"/>
          <w:rtl/>
        </w:rPr>
        <w:t>المدلول عليه</w:t>
      </w:r>
      <w:r w:rsidR="0082650C" w:rsidRPr="00FD211F">
        <w:rPr>
          <w:sz w:val="36"/>
          <w:szCs w:val="36"/>
          <w:rtl/>
        </w:rPr>
        <w:t>ا</w:t>
      </w:r>
      <w:r w:rsidRPr="00FD211F">
        <w:rPr>
          <w:sz w:val="36"/>
          <w:szCs w:val="36"/>
          <w:rtl/>
        </w:rPr>
        <w:t xml:space="preserve"> بنفس هيئ</w:t>
      </w:r>
      <w:r w:rsidR="00EC7EDF" w:rsidRPr="00FD211F">
        <w:rPr>
          <w:sz w:val="36"/>
          <w:szCs w:val="36"/>
          <w:rtl/>
        </w:rPr>
        <w:t xml:space="preserve">ة </w:t>
      </w:r>
      <w:r w:rsidRPr="00FD211F">
        <w:rPr>
          <w:sz w:val="36"/>
          <w:szCs w:val="36"/>
          <w:rtl/>
        </w:rPr>
        <w:t>الفعل فهو خلاف الوجدان.</w:t>
      </w:r>
      <w:r w:rsidR="009C58C8" w:rsidRPr="00FD211F">
        <w:rPr>
          <w:rStyle w:val="a6"/>
          <w:sz w:val="36"/>
          <w:szCs w:val="36"/>
          <w:rtl/>
        </w:rPr>
        <w:t>(</w:t>
      </w:r>
      <w:r w:rsidR="009C58C8" w:rsidRPr="00FD211F">
        <w:rPr>
          <w:rStyle w:val="a6"/>
          <w:sz w:val="36"/>
          <w:szCs w:val="36"/>
          <w:rtl/>
        </w:rPr>
        <w:footnoteReference w:id="226"/>
      </w:r>
      <w:r w:rsidR="009C58C8" w:rsidRPr="00FD211F">
        <w:rPr>
          <w:rStyle w:val="a6"/>
          <w:sz w:val="36"/>
          <w:szCs w:val="36"/>
          <w:rtl/>
        </w:rPr>
        <w:t>)</w:t>
      </w:r>
    </w:p>
    <w:p w14:paraId="74CB96D2" w14:textId="77777777" w:rsidR="00556BC0" w:rsidRPr="00FD211F" w:rsidRDefault="00556BC0" w:rsidP="009C58C8">
      <w:pPr>
        <w:ind w:left="0" w:firstLine="227"/>
        <w:jc w:val="both"/>
        <w:rPr>
          <w:sz w:val="36"/>
          <w:szCs w:val="36"/>
          <w:rtl/>
        </w:rPr>
      </w:pPr>
      <w:r w:rsidRPr="00FD211F">
        <w:rPr>
          <w:sz w:val="36"/>
          <w:szCs w:val="36"/>
          <w:rtl/>
        </w:rPr>
        <w:t>ولكن الجواب عن هذه المشكل</w:t>
      </w:r>
      <w:r w:rsidR="00EC7EDF" w:rsidRPr="00FD211F">
        <w:rPr>
          <w:sz w:val="36"/>
          <w:szCs w:val="36"/>
          <w:rtl/>
        </w:rPr>
        <w:t xml:space="preserve">ة </w:t>
      </w:r>
      <w:r w:rsidRPr="00FD211F">
        <w:rPr>
          <w:sz w:val="36"/>
          <w:szCs w:val="36"/>
          <w:rtl/>
        </w:rPr>
        <w:t>ان التعبير بالنسب</w:t>
      </w:r>
      <w:r w:rsidR="00EC7EDF" w:rsidRPr="00FD211F">
        <w:rPr>
          <w:sz w:val="36"/>
          <w:szCs w:val="36"/>
          <w:rtl/>
        </w:rPr>
        <w:t xml:space="preserve">ة </w:t>
      </w:r>
      <w:r w:rsidRPr="00FD211F">
        <w:rPr>
          <w:sz w:val="36"/>
          <w:szCs w:val="36"/>
          <w:rtl/>
        </w:rPr>
        <w:t>الصدوري</w:t>
      </w:r>
      <w:r w:rsidR="00EC7EDF" w:rsidRPr="00FD211F">
        <w:rPr>
          <w:sz w:val="36"/>
          <w:szCs w:val="36"/>
          <w:rtl/>
        </w:rPr>
        <w:t xml:space="preserve">ة </w:t>
      </w:r>
      <w:r w:rsidRPr="00FD211F">
        <w:rPr>
          <w:sz w:val="36"/>
          <w:szCs w:val="36"/>
          <w:rtl/>
        </w:rPr>
        <w:t>مبني على المسامح</w:t>
      </w:r>
      <w:r w:rsidR="00EC7EDF" w:rsidRPr="00FD211F">
        <w:rPr>
          <w:sz w:val="36"/>
          <w:szCs w:val="36"/>
          <w:rtl/>
        </w:rPr>
        <w:t>ة</w:t>
      </w:r>
      <w:r w:rsidR="00603323" w:rsidRPr="00FD211F">
        <w:rPr>
          <w:sz w:val="36"/>
          <w:szCs w:val="36"/>
          <w:rtl/>
        </w:rPr>
        <w:t xml:space="preserve">، </w:t>
      </w:r>
      <w:r w:rsidRPr="00FD211F">
        <w:rPr>
          <w:sz w:val="36"/>
          <w:szCs w:val="36"/>
          <w:rtl/>
        </w:rPr>
        <w:t>والمراد بها خصوصي</w:t>
      </w:r>
      <w:r w:rsidR="00EC7EDF" w:rsidRPr="00FD211F">
        <w:rPr>
          <w:sz w:val="36"/>
          <w:szCs w:val="36"/>
          <w:rtl/>
        </w:rPr>
        <w:t xml:space="preserve">ة </w:t>
      </w:r>
      <w:r w:rsidRPr="00FD211F">
        <w:rPr>
          <w:sz w:val="36"/>
          <w:szCs w:val="36"/>
          <w:rtl/>
        </w:rPr>
        <w:t>الصدور المندكّ</w:t>
      </w:r>
      <w:r w:rsidR="00EC7EDF" w:rsidRPr="00FD211F">
        <w:rPr>
          <w:sz w:val="36"/>
          <w:szCs w:val="36"/>
          <w:rtl/>
        </w:rPr>
        <w:t xml:space="preserve">ة </w:t>
      </w:r>
      <w:r w:rsidRPr="00FD211F">
        <w:rPr>
          <w:sz w:val="36"/>
          <w:szCs w:val="36"/>
          <w:rtl/>
        </w:rPr>
        <w:t>في الحدث الذي هو ماد</w:t>
      </w:r>
      <w:r w:rsidR="00EC7EDF" w:rsidRPr="00FD211F">
        <w:rPr>
          <w:sz w:val="36"/>
          <w:szCs w:val="36"/>
          <w:rtl/>
        </w:rPr>
        <w:t xml:space="preserve">ة </w:t>
      </w:r>
      <w:r w:rsidRPr="00FD211F">
        <w:rPr>
          <w:sz w:val="36"/>
          <w:szCs w:val="36"/>
          <w:rtl/>
        </w:rPr>
        <w:t>الفعل</w:t>
      </w:r>
      <w:r w:rsidR="00603323" w:rsidRPr="00FD211F">
        <w:rPr>
          <w:sz w:val="36"/>
          <w:szCs w:val="36"/>
          <w:rtl/>
        </w:rPr>
        <w:t xml:space="preserve">، </w:t>
      </w:r>
      <w:r w:rsidRPr="00FD211F">
        <w:rPr>
          <w:sz w:val="36"/>
          <w:szCs w:val="36"/>
          <w:rtl/>
        </w:rPr>
        <w:t>فان الحدث كالضرب يمكن ان يلحظ بما هو هو فيعبَّر عنه باسم المصدر</w:t>
      </w:r>
      <w:r w:rsidR="00603323" w:rsidRPr="00FD211F">
        <w:rPr>
          <w:sz w:val="36"/>
          <w:szCs w:val="36"/>
          <w:rtl/>
        </w:rPr>
        <w:t xml:space="preserve">، </w:t>
      </w:r>
      <w:r w:rsidRPr="00FD211F">
        <w:rPr>
          <w:sz w:val="36"/>
          <w:szCs w:val="36"/>
          <w:rtl/>
        </w:rPr>
        <w:t>ويقال "كُتك" وقد يلحظ بما هو واقع على شخص</w:t>
      </w:r>
      <w:r w:rsidR="00603323" w:rsidRPr="00FD211F">
        <w:rPr>
          <w:sz w:val="36"/>
          <w:szCs w:val="36"/>
          <w:rtl/>
        </w:rPr>
        <w:t xml:space="preserve">، </w:t>
      </w:r>
      <w:r w:rsidRPr="00FD211F">
        <w:rPr>
          <w:sz w:val="36"/>
          <w:szCs w:val="36"/>
          <w:rtl/>
        </w:rPr>
        <w:t>فيقال "ضُ</w:t>
      </w:r>
      <w:r w:rsidR="00D25073" w:rsidRPr="00FD211F">
        <w:rPr>
          <w:sz w:val="36"/>
          <w:szCs w:val="36"/>
          <w:rtl/>
        </w:rPr>
        <w:t>ِ</w:t>
      </w:r>
      <w:r w:rsidRPr="00FD211F">
        <w:rPr>
          <w:sz w:val="36"/>
          <w:szCs w:val="36"/>
          <w:rtl/>
        </w:rPr>
        <w:t>رب</w:t>
      </w:r>
      <w:r w:rsidR="00D25073" w:rsidRPr="00FD211F">
        <w:rPr>
          <w:sz w:val="36"/>
          <w:szCs w:val="36"/>
          <w:rtl/>
        </w:rPr>
        <w:t>َ</w:t>
      </w:r>
      <w:r w:rsidRPr="00FD211F">
        <w:rPr>
          <w:sz w:val="36"/>
          <w:szCs w:val="36"/>
          <w:rtl/>
        </w:rPr>
        <w:t xml:space="preserve"> عمرو" وقد يلحظ بما هو صادر عن شخص فيقال "ض</w:t>
      </w:r>
      <w:r w:rsidR="00D25073" w:rsidRPr="00FD211F">
        <w:rPr>
          <w:sz w:val="36"/>
          <w:szCs w:val="36"/>
          <w:rtl/>
        </w:rPr>
        <w:t>َ</w:t>
      </w:r>
      <w:r w:rsidRPr="00FD211F">
        <w:rPr>
          <w:sz w:val="36"/>
          <w:szCs w:val="36"/>
          <w:rtl/>
        </w:rPr>
        <w:t>رب زيد"</w:t>
      </w:r>
      <w:r w:rsidR="00603323" w:rsidRPr="00FD211F">
        <w:rPr>
          <w:sz w:val="36"/>
          <w:szCs w:val="36"/>
          <w:rtl/>
        </w:rPr>
        <w:t xml:space="preserve">، </w:t>
      </w:r>
      <w:r w:rsidRPr="00FD211F">
        <w:rPr>
          <w:sz w:val="36"/>
          <w:szCs w:val="36"/>
          <w:rtl/>
        </w:rPr>
        <w:t>فتكون هيئ</w:t>
      </w:r>
      <w:r w:rsidR="00EC7EDF" w:rsidRPr="00FD211F">
        <w:rPr>
          <w:sz w:val="36"/>
          <w:szCs w:val="36"/>
          <w:rtl/>
        </w:rPr>
        <w:t xml:space="preserve">ة </w:t>
      </w:r>
      <w:r w:rsidRPr="00FD211F">
        <w:rPr>
          <w:sz w:val="36"/>
          <w:szCs w:val="36"/>
          <w:rtl/>
        </w:rPr>
        <w:t>الفعل دال</w:t>
      </w:r>
      <w:r w:rsidR="00EC7EDF" w:rsidRPr="00FD211F">
        <w:rPr>
          <w:sz w:val="36"/>
          <w:szCs w:val="36"/>
          <w:rtl/>
        </w:rPr>
        <w:t xml:space="preserve">ة </w:t>
      </w:r>
      <w:r w:rsidRPr="00FD211F">
        <w:rPr>
          <w:sz w:val="36"/>
          <w:szCs w:val="36"/>
          <w:rtl/>
        </w:rPr>
        <w:t>على خصوصي</w:t>
      </w:r>
      <w:r w:rsidR="00EC7EDF" w:rsidRPr="00FD211F">
        <w:rPr>
          <w:sz w:val="36"/>
          <w:szCs w:val="36"/>
          <w:rtl/>
        </w:rPr>
        <w:t xml:space="preserve">ة </w:t>
      </w:r>
      <w:r w:rsidRPr="00FD211F">
        <w:rPr>
          <w:sz w:val="36"/>
          <w:szCs w:val="36"/>
          <w:rtl/>
        </w:rPr>
        <w:t>اندكاكي</w:t>
      </w:r>
      <w:r w:rsidR="00EC7EDF" w:rsidRPr="00FD211F">
        <w:rPr>
          <w:sz w:val="36"/>
          <w:szCs w:val="36"/>
          <w:rtl/>
        </w:rPr>
        <w:t xml:space="preserve">ة </w:t>
      </w:r>
      <w:r w:rsidRPr="00FD211F">
        <w:rPr>
          <w:sz w:val="36"/>
          <w:szCs w:val="36"/>
          <w:rtl/>
        </w:rPr>
        <w:t>قائم</w:t>
      </w:r>
      <w:r w:rsidR="00EC7EDF" w:rsidRPr="00FD211F">
        <w:rPr>
          <w:sz w:val="36"/>
          <w:szCs w:val="36"/>
          <w:rtl/>
        </w:rPr>
        <w:t xml:space="preserve">ة </w:t>
      </w:r>
      <w:r w:rsidRPr="00FD211F">
        <w:rPr>
          <w:sz w:val="36"/>
          <w:szCs w:val="36"/>
          <w:rtl/>
        </w:rPr>
        <w:t>بطرف واحد نظير لام التعريف الداخل</w:t>
      </w:r>
      <w:r w:rsidR="00EC7EDF" w:rsidRPr="00FD211F">
        <w:rPr>
          <w:sz w:val="36"/>
          <w:szCs w:val="36"/>
          <w:rtl/>
        </w:rPr>
        <w:t xml:space="preserve">ة </w:t>
      </w:r>
      <w:r w:rsidRPr="00FD211F">
        <w:rPr>
          <w:sz w:val="36"/>
          <w:szCs w:val="36"/>
          <w:rtl/>
        </w:rPr>
        <w:t>على الاسم للدلال</w:t>
      </w:r>
      <w:r w:rsidR="00EC7EDF" w:rsidRPr="00FD211F">
        <w:rPr>
          <w:sz w:val="36"/>
          <w:szCs w:val="36"/>
          <w:rtl/>
        </w:rPr>
        <w:t xml:space="preserve">ة </w:t>
      </w:r>
      <w:r w:rsidRPr="00FD211F">
        <w:rPr>
          <w:sz w:val="36"/>
          <w:szCs w:val="36"/>
          <w:rtl/>
        </w:rPr>
        <w:t>على خصوصي</w:t>
      </w:r>
      <w:r w:rsidR="00EC7EDF" w:rsidRPr="00FD211F">
        <w:rPr>
          <w:sz w:val="36"/>
          <w:szCs w:val="36"/>
          <w:rtl/>
        </w:rPr>
        <w:t xml:space="preserve">ة </w:t>
      </w:r>
      <w:r w:rsidRPr="00FD211F">
        <w:rPr>
          <w:sz w:val="36"/>
          <w:szCs w:val="36"/>
          <w:rtl/>
        </w:rPr>
        <w:t>كونه معرف</w:t>
      </w:r>
      <w:r w:rsidR="00EC7EDF" w:rsidRPr="00FD211F">
        <w:rPr>
          <w:sz w:val="36"/>
          <w:szCs w:val="36"/>
          <w:rtl/>
        </w:rPr>
        <w:t>ة</w:t>
      </w:r>
      <w:r w:rsidR="00A61BAE" w:rsidRPr="00FD211F">
        <w:rPr>
          <w:sz w:val="36"/>
          <w:szCs w:val="36"/>
          <w:rtl/>
        </w:rPr>
        <w:t>.</w:t>
      </w:r>
    </w:p>
    <w:p w14:paraId="4165E6D5" w14:textId="77777777" w:rsidR="00556BC0" w:rsidRPr="00FD211F" w:rsidRDefault="00556BC0" w:rsidP="009C58C8">
      <w:pPr>
        <w:ind w:left="0" w:firstLine="227"/>
        <w:jc w:val="both"/>
        <w:rPr>
          <w:sz w:val="36"/>
          <w:szCs w:val="36"/>
          <w:rtl/>
        </w:rPr>
      </w:pPr>
      <w:r w:rsidRPr="00FD211F">
        <w:rPr>
          <w:sz w:val="36"/>
          <w:szCs w:val="36"/>
          <w:rtl/>
        </w:rPr>
        <w:t>ثم ان هيئ</w:t>
      </w:r>
      <w:r w:rsidR="00EC7EDF" w:rsidRPr="00FD211F">
        <w:rPr>
          <w:sz w:val="36"/>
          <w:szCs w:val="36"/>
          <w:rtl/>
        </w:rPr>
        <w:t xml:space="preserve">ة </w:t>
      </w:r>
      <w:r w:rsidRPr="00FD211F">
        <w:rPr>
          <w:sz w:val="36"/>
          <w:szCs w:val="36"/>
          <w:rtl/>
        </w:rPr>
        <w:t>المصدر كالضرب ايضا حيث تدل على خصوصي</w:t>
      </w:r>
      <w:r w:rsidR="00EC7EDF" w:rsidRPr="00FD211F">
        <w:rPr>
          <w:sz w:val="36"/>
          <w:szCs w:val="36"/>
          <w:rtl/>
        </w:rPr>
        <w:t xml:space="preserve">ة </w:t>
      </w:r>
      <w:r w:rsidRPr="00FD211F">
        <w:rPr>
          <w:sz w:val="36"/>
          <w:szCs w:val="36"/>
          <w:rtl/>
        </w:rPr>
        <w:t>الصدور كما يدل عليها هيئ</w:t>
      </w:r>
      <w:r w:rsidR="00EC7EDF" w:rsidRPr="00FD211F">
        <w:rPr>
          <w:sz w:val="36"/>
          <w:szCs w:val="36"/>
          <w:rtl/>
        </w:rPr>
        <w:t xml:space="preserve">ة </w:t>
      </w:r>
      <w:r w:rsidRPr="00FD211F">
        <w:rPr>
          <w:sz w:val="36"/>
          <w:szCs w:val="36"/>
          <w:rtl/>
        </w:rPr>
        <w:t>الفعل فيقع السؤال عن منشأ الفرق بين الفعل والمصدر</w:t>
      </w:r>
      <w:r w:rsidR="00603323" w:rsidRPr="00FD211F">
        <w:rPr>
          <w:sz w:val="36"/>
          <w:szCs w:val="36"/>
          <w:rtl/>
        </w:rPr>
        <w:t xml:space="preserve">، </w:t>
      </w:r>
      <w:r w:rsidRPr="00FD211F">
        <w:rPr>
          <w:sz w:val="36"/>
          <w:szCs w:val="36"/>
          <w:rtl/>
        </w:rPr>
        <w:t>-بعد افتراض وحد</w:t>
      </w:r>
      <w:r w:rsidR="00EC7EDF" w:rsidRPr="00FD211F">
        <w:rPr>
          <w:sz w:val="36"/>
          <w:szCs w:val="36"/>
          <w:rtl/>
        </w:rPr>
        <w:t xml:space="preserve">ة </w:t>
      </w:r>
      <w:r w:rsidR="00833925" w:rsidRPr="00FD211F">
        <w:rPr>
          <w:sz w:val="36"/>
          <w:szCs w:val="36"/>
          <w:rtl/>
        </w:rPr>
        <w:t>معناهما- حيث يصلح المصدر لأ</w:t>
      </w:r>
      <w:r w:rsidRPr="00FD211F">
        <w:rPr>
          <w:sz w:val="36"/>
          <w:szCs w:val="36"/>
          <w:rtl/>
        </w:rPr>
        <w:t>ن يحكم عليه او يحمل على مصداق الحدث فيق</w:t>
      </w:r>
      <w:r w:rsidR="00833925" w:rsidRPr="00FD211F">
        <w:rPr>
          <w:sz w:val="36"/>
          <w:szCs w:val="36"/>
          <w:rtl/>
        </w:rPr>
        <w:t>ال هذا ضرب</w:t>
      </w:r>
      <w:r w:rsidR="00603323" w:rsidRPr="00FD211F">
        <w:rPr>
          <w:sz w:val="36"/>
          <w:szCs w:val="36"/>
          <w:rtl/>
        </w:rPr>
        <w:t xml:space="preserve">، </w:t>
      </w:r>
      <w:r w:rsidR="00833925" w:rsidRPr="00FD211F">
        <w:rPr>
          <w:sz w:val="36"/>
          <w:szCs w:val="36"/>
          <w:rtl/>
        </w:rPr>
        <w:t>ولكن لايصلح الفعل لأ</w:t>
      </w:r>
      <w:r w:rsidRPr="00FD211F">
        <w:rPr>
          <w:sz w:val="36"/>
          <w:szCs w:val="36"/>
          <w:rtl/>
        </w:rPr>
        <w:t>ن يحكم عليه او يحمل على مصداق الحدث</w:t>
      </w:r>
      <w:r w:rsidR="00EC7EDF" w:rsidRPr="00FD211F">
        <w:rPr>
          <w:sz w:val="36"/>
          <w:szCs w:val="36"/>
          <w:rtl/>
        </w:rPr>
        <w:t>.</w:t>
      </w:r>
    </w:p>
    <w:p w14:paraId="7D554C9F" w14:textId="77777777" w:rsidR="00556BC0" w:rsidRPr="00FD211F" w:rsidRDefault="00556BC0" w:rsidP="009C58C8">
      <w:pPr>
        <w:ind w:left="0" w:firstLine="227"/>
        <w:jc w:val="both"/>
        <w:rPr>
          <w:sz w:val="36"/>
          <w:szCs w:val="36"/>
          <w:rtl/>
        </w:rPr>
      </w:pPr>
      <w:r w:rsidRPr="00FD211F">
        <w:rPr>
          <w:sz w:val="36"/>
          <w:szCs w:val="36"/>
          <w:rtl/>
        </w:rPr>
        <w:t xml:space="preserve">والجواب عن هذا السؤال أن اختلاف معنى الفعل والمصدر كاختلاف تصوير </w:t>
      </w:r>
      <w:r w:rsidR="008D7B3D" w:rsidRPr="00FD211F">
        <w:rPr>
          <w:sz w:val="36"/>
          <w:szCs w:val="36"/>
          <w:rtl/>
        </w:rPr>
        <w:t xml:space="preserve">شيء </w:t>
      </w:r>
      <w:r w:rsidRPr="00FD211F">
        <w:rPr>
          <w:sz w:val="36"/>
          <w:szCs w:val="36"/>
          <w:rtl/>
        </w:rPr>
        <w:t>واحد فيصور تار</w:t>
      </w:r>
      <w:r w:rsidR="00EC7EDF" w:rsidRPr="00FD211F">
        <w:rPr>
          <w:sz w:val="36"/>
          <w:szCs w:val="36"/>
          <w:rtl/>
        </w:rPr>
        <w:t xml:space="preserve">ة </w:t>
      </w:r>
      <w:r w:rsidRPr="00FD211F">
        <w:rPr>
          <w:sz w:val="36"/>
          <w:szCs w:val="36"/>
          <w:rtl/>
        </w:rPr>
        <w:t>بصور</w:t>
      </w:r>
      <w:r w:rsidR="00EC7EDF" w:rsidRPr="00FD211F">
        <w:rPr>
          <w:sz w:val="36"/>
          <w:szCs w:val="36"/>
          <w:rtl/>
        </w:rPr>
        <w:t xml:space="preserve">ة </w:t>
      </w:r>
      <w:r w:rsidRPr="00FD211F">
        <w:rPr>
          <w:sz w:val="36"/>
          <w:szCs w:val="36"/>
          <w:rtl/>
        </w:rPr>
        <w:t>تبتدأ من يساره وأخرى بصور</w:t>
      </w:r>
      <w:r w:rsidR="00EC7EDF" w:rsidRPr="00FD211F">
        <w:rPr>
          <w:sz w:val="36"/>
          <w:szCs w:val="36"/>
          <w:rtl/>
        </w:rPr>
        <w:t xml:space="preserve">ة </w:t>
      </w:r>
      <w:r w:rsidRPr="00FD211F">
        <w:rPr>
          <w:sz w:val="36"/>
          <w:szCs w:val="36"/>
          <w:rtl/>
        </w:rPr>
        <w:t>تبتدأ عن يمينه (وان شئت فمثِّل بلحاظ الكأس مر</w:t>
      </w:r>
      <w:r w:rsidR="00EC7EDF" w:rsidRPr="00FD211F">
        <w:rPr>
          <w:sz w:val="36"/>
          <w:szCs w:val="36"/>
          <w:rtl/>
        </w:rPr>
        <w:t xml:space="preserve">ة </w:t>
      </w:r>
      <w:r w:rsidRPr="00FD211F">
        <w:rPr>
          <w:sz w:val="36"/>
          <w:szCs w:val="36"/>
          <w:rtl/>
        </w:rPr>
        <w:t>قائم</w:t>
      </w:r>
      <w:r w:rsidR="00EC7EDF" w:rsidRPr="00FD211F">
        <w:rPr>
          <w:sz w:val="36"/>
          <w:szCs w:val="36"/>
          <w:rtl/>
        </w:rPr>
        <w:t xml:space="preserve">ة </w:t>
      </w:r>
      <w:r w:rsidRPr="00FD211F">
        <w:rPr>
          <w:sz w:val="36"/>
          <w:szCs w:val="36"/>
          <w:rtl/>
        </w:rPr>
        <w:t>على أصله وأخرى منكوسا) من غير ان يزيد مدلول احدهما عن الآخر</w:t>
      </w:r>
      <w:r w:rsidR="00603323" w:rsidRPr="00FD211F">
        <w:rPr>
          <w:sz w:val="36"/>
          <w:szCs w:val="36"/>
          <w:rtl/>
        </w:rPr>
        <w:t xml:space="preserve">، </w:t>
      </w:r>
      <w:r w:rsidRPr="00FD211F">
        <w:rPr>
          <w:sz w:val="36"/>
          <w:szCs w:val="36"/>
          <w:rtl/>
        </w:rPr>
        <w:t>فكذلك الملحوظ في المصدر والفعل واحد</w:t>
      </w:r>
      <w:r w:rsidR="00603323" w:rsidRPr="00FD211F">
        <w:rPr>
          <w:sz w:val="36"/>
          <w:szCs w:val="36"/>
          <w:rtl/>
        </w:rPr>
        <w:t xml:space="preserve">، </w:t>
      </w:r>
      <w:r w:rsidRPr="00FD211F">
        <w:rPr>
          <w:sz w:val="36"/>
          <w:szCs w:val="36"/>
          <w:rtl/>
        </w:rPr>
        <w:t>فان الضرب الملحوظ مع حيث صدوره عن الفاعل تار</w:t>
      </w:r>
      <w:r w:rsidR="00EC7EDF" w:rsidRPr="00FD211F">
        <w:rPr>
          <w:sz w:val="36"/>
          <w:szCs w:val="36"/>
          <w:rtl/>
        </w:rPr>
        <w:t xml:space="preserve">ة </w:t>
      </w:r>
      <w:r w:rsidRPr="00FD211F">
        <w:rPr>
          <w:sz w:val="36"/>
          <w:szCs w:val="36"/>
          <w:rtl/>
        </w:rPr>
        <w:t>يلحظ بنحو يبتدأ اللحاظ من حدث الضرب وينتهي الى حيث صدوره</w:t>
      </w:r>
      <w:r w:rsidR="00603323" w:rsidRPr="00FD211F">
        <w:rPr>
          <w:sz w:val="36"/>
          <w:szCs w:val="36"/>
          <w:rtl/>
        </w:rPr>
        <w:t xml:space="preserve">، </w:t>
      </w:r>
      <w:r w:rsidRPr="00FD211F">
        <w:rPr>
          <w:sz w:val="36"/>
          <w:szCs w:val="36"/>
          <w:rtl/>
        </w:rPr>
        <w:t>فيكون الركن في هذه الصور</w:t>
      </w:r>
      <w:r w:rsidR="00EC7EDF" w:rsidRPr="00FD211F">
        <w:rPr>
          <w:sz w:val="36"/>
          <w:szCs w:val="36"/>
          <w:rtl/>
        </w:rPr>
        <w:t xml:space="preserve">ة </w:t>
      </w:r>
      <w:r w:rsidRPr="00FD211F">
        <w:rPr>
          <w:sz w:val="36"/>
          <w:szCs w:val="36"/>
          <w:rtl/>
        </w:rPr>
        <w:t>الملحوظ</w:t>
      </w:r>
      <w:r w:rsidR="00EC7EDF" w:rsidRPr="00FD211F">
        <w:rPr>
          <w:sz w:val="36"/>
          <w:szCs w:val="36"/>
          <w:rtl/>
        </w:rPr>
        <w:t xml:space="preserve">ة </w:t>
      </w:r>
      <w:r w:rsidRPr="00FD211F">
        <w:rPr>
          <w:sz w:val="36"/>
          <w:szCs w:val="36"/>
          <w:rtl/>
        </w:rPr>
        <w:t>هو الحدث</w:t>
      </w:r>
      <w:r w:rsidR="00603323" w:rsidRPr="00FD211F">
        <w:rPr>
          <w:sz w:val="36"/>
          <w:szCs w:val="36"/>
          <w:rtl/>
        </w:rPr>
        <w:t xml:space="preserve">، </w:t>
      </w:r>
      <w:r w:rsidRPr="00FD211F">
        <w:rPr>
          <w:sz w:val="36"/>
          <w:szCs w:val="36"/>
          <w:rtl/>
        </w:rPr>
        <w:t>وهذا معنى المصدر</w:t>
      </w:r>
      <w:r w:rsidR="00603323" w:rsidRPr="00FD211F">
        <w:rPr>
          <w:sz w:val="36"/>
          <w:szCs w:val="36"/>
          <w:rtl/>
        </w:rPr>
        <w:t xml:space="preserve">، </w:t>
      </w:r>
      <w:r w:rsidRPr="00FD211F">
        <w:rPr>
          <w:sz w:val="36"/>
          <w:szCs w:val="36"/>
          <w:rtl/>
        </w:rPr>
        <w:t>وأخرى يتبدأ اللحاظ من حيث صدوره وينتهي الى الحدث فيكون الركن في الصور</w:t>
      </w:r>
      <w:r w:rsidR="00EC7EDF" w:rsidRPr="00FD211F">
        <w:rPr>
          <w:sz w:val="36"/>
          <w:szCs w:val="36"/>
          <w:rtl/>
        </w:rPr>
        <w:t xml:space="preserve">ة </w:t>
      </w:r>
      <w:r w:rsidRPr="00FD211F">
        <w:rPr>
          <w:sz w:val="36"/>
          <w:szCs w:val="36"/>
          <w:rtl/>
        </w:rPr>
        <w:t>الملحوظ</w:t>
      </w:r>
      <w:r w:rsidR="00EC7EDF" w:rsidRPr="00FD211F">
        <w:rPr>
          <w:sz w:val="36"/>
          <w:szCs w:val="36"/>
          <w:rtl/>
        </w:rPr>
        <w:t xml:space="preserve">ة </w:t>
      </w:r>
      <w:r w:rsidRPr="00FD211F">
        <w:rPr>
          <w:sz w:val="36"/>
          <w:szCs w:val="36"/>
          <w:rtl/>
        </w:rPr>
        <w:t>هو معنى الهيئ</w:t>
      </w:r>
      <w:r w:rsidR="00EC7EDF" w:rsidRPr="00FD211F">
        <w:rPr>
          <w:sz w:val="36"/>
          <w:szCs w:val="36"/>
          <w:rtl/>
        </w:rPr>
        <w:t xml:space="preserve">ة </w:t>
      </w:r>
      <w:r w:rsidRPr="00FD211F">
        <w:rPr>
          <w:sz w:val="36"/>
          <w:szCs w:val="36"/>
          <w:rtl/>
        </w:rPr>
        <w:t>وهذا معنى الفعل</w:t>
      </w:r>
      <w:r w:rsidR="00603323" w:rsidRPr="00FD211F">
        <w:rPr>
          <w:sz w:val="36"/>
          <w:szCs w:val="36"/>
          <w:rtl/>
        </w:rPr>
        <w:t xml:space="preserve">، </w:t>
      </w:r>
      <w:r w:rsidRPr="00FD211F">
        <w:rPr>
          <w:sz w:val="36"/>
          <w:szCs w:val="36"/>
          <w:rtl/>
        </w:rPr>
        <w:t>ولذا لايصح حمله على نفس الحدث كما لايصح ان يخبر عنه.</w:t>
      </w:r>
    </w:p>
    <w:p w14:paraId="4C696865" w14:textId="77777777" w:rsidR="00556BC0" w:rsidRPr="00FD211F" w:rsidRDefault="00556BC0" w:rsidP="009C58C8">
      <w:pPr>
        <w:ind w:left="0" w:firstLine="227"/>
        <w:jc w:val="both"/>
        <w:rPr>
          <w:sz w:val="36"/>
          <w:szCs w:val="36"/>
          <w:rtl/>
        </w:rPr>
      </w:pPr>
      <w:r w:rsidRPr="00FD211F">
        <w:rPr>
          <w:b/>
          <w:bCs/>
          <w:sz w:val="36"/>
          <w:szCs w:val="36"/>
          <w:rtl/>
        </w:rPr>
        <w:t>ان قلت</w:t>
      </w:r>
      <w:r w:rsidR="00EC7EDF" w:rsidRPr="00FD211F">
        <w:rPr>
          <w:sz w:val="36"/>
          <w:szCs w:val="36"/>
          <w:rtl/>
        </w:rPr>
        <w:t>:</w:t>
      </w:r>
      <w:r w:rsidRPr="00FD211F">
        <w:rPr>
          <w:sz w:val="36"/>
          <w:szCs w:val="36"/>
          <w:rtl/>
        </w:rPr>
        <w:t>كيف يمكن ان يكون معنى هيئ</w:t>
      </w:r>
      <w:r w:rsidR="00EC7EDF" w:rsidRPr="00FD211F">
        <w:rPr>
          <w:sz w:val="36"/>
          <w:szCs w:val="36"/>
          <w:rtl/>
        </w:rPr>
        <w:t xml:space="preserve">ة </w:t>
      </w:r>
      <w:r w:rsidRPr="00FD211F">
        <w:rPr>
          <w:sz w:val="36"/>
          <w:szCs w:val="36"/>
          <w:rtl/>
        </w:rPr>
        <w:t>الفعل -اي حيثي</w:t>
      </w:r>
      <w:r w:rsidR="00EC7EDF" w:rsidRPr="00FD211F">
        <w:rPr>
          <w:sz w:val="36"/>
          <w:szCs w:val="36"/>
          <w:rtl/>
        </w:rPr>
        <w:t xml:space="preserve">ة </w:t>
      </w:r>
      <w:r w:rsidRPr="00FD211F">
        <w:rPr>
          <w:sz w:val="36"/>
          <w:szCs w:val="36"/>
          <w:rtl/>
        </w:rPr>
        <w:t>صدور الحدث- الذي هو معنى حرفي ركنا في اللحاظ فانه يوجب لحاظه استقلالا</w:t>
      </w:r>
      <w:r w:rsidR="00603323" w:rsidRPr="00FD211F">
        <w:rPr>
          <w:sz w:val="36"/>
          <w:szCs w:val="36"/>
          <w:rtl/>
        </w:rPr>
        <w:t xml:space="preserve">، </w:t>
      </w:r>
      <w:r w:rsidRPr="00FD211F">
        <w:rPr>
          <w:sz w:val="36"/>
          <w:szCs w:val="36"/>
          <w:rtl/>
        </w:rPr>
        <w:t>فيصير "ضَرَبَ" في قو</w:t>
      </w:r>
      <w:r w:rsidR="00EC7EDF" w:rsidRPr="00FD211F">
        <w:rPr>
          <w:sz w:val="36"/>
          <w:szCs w:val="36"/>
          <w:rtl/>
        </w:rPr>
        <w:t xml:space="preserve">ة </w:t>
      </w:r>
      <w:r w:rsidRPr="00FD211F">
        <w:rPr>
          <w:sz w:val="36"/>
          <w:szCs w:val="36"/>
          <w:rtl/>
        </w:rPr>
        <w:t>قولنا صدور الضرب</w:t>
      </w:r>
      <w:r w:rsidR="00603323" w:rsidRPr="00FD211F">
        <w:rPr>
          <w:sz w:val="36"/>
          <w:szCs w:val="36"/>
          <w:rtl/>
        </w:rPr>
        <w:t xml:space="preserve">، </w:t>
      </w:r>
      <w:r w:rsidRPr="00FD211F">
        <w:rPr>
          <w:sz w:val="36"/>
          <w:szCs w:val="36"/>
          <w:rtl/>
        </w:rPr>
        <w:t>وهذا خلاف الوجدان.</w:t>
      </w:r>
    </w:p>
    <w:p w14:paraId="02D6D59E" w14:textId="77777777" w:rsidR="00556BC0" w:rsidRPr="00FD211F" w:rsidRDefault="00556BC0" w:rsidP="009C58C8">
      <w:pPr>
        <w:ind w:left="0" w:firstLine="227"/>
        <w:jc w:val="both"/>
        <w:rPr>
          <w:sz w:val="36"/>
          <w:szCs w:val="36"/>
          <w:rtl/>
        </w:rPr>
      </w:pPr>
      <w:r w:rsidRPr="00FD211F">
        <w:rPr>
          <w:b/>
          <w:bCs/>
          <w:sz w:val="36"/>
          <w:szCs w:val="36"/>
          <w:rtl/>
        </w:rPr>
        <w:t>قلت:</w:t>
      </w:r>
      <w:r w:rsidRPr="00FD211F">
        <w:rPr>
          <w:sz w:val="36"/>
          <w:szCs w:val="36"/>
          <w:rtl/>
        </w:rPr>
        <w:t xml:space="preserve"> ان هيئ</w:t>
      </w:r>
      <w:r w:rsidR="00EC7EDF" w:rsidRPr="00FD211F">
        <w:rPr>
          <w:sz w:val="36"/>
          <w:szCs w:val="36"/>
          <w:rtl/>
        </w:rPr>
        <w:t xml:space="preserve">ة </w:t>
      </w:r>
      <w:r w:rsidRPr="00FD211F">
        <w:rPr>
          <w:sz w:val="36"/>
          <w:szCs w:val="36"/>
          <w:rtl/>
        </w:rPr>
        <w:t>الفعل لاتعطي معنى زائدا للمعنى الإسمي عدا أنها تدل على كيفي</w:t>
      </w:r>
      <w:r w:rsidR="00EC7EDF" w:rsidRPr="00FD211F">
        <w:rPr>
          <w:sz w:val="36"/>
          <w:szCs w:val="36"/>
          <w:rtl/>
        </w:rPr>
        <w:t xml:space="preserve">ة </w:t>
      </w:r>
      <w:r w:rsidRPr="00FD211F">
        <w:rPr>
          <w:sz w:val="36"/>
          <w:szCs w:val="36"/>
          <w:rtl/>
        </w:rPr>
        <w:t>تنسيقه الذهني</w:t>
      </w:r>
      <w:r w:rsidR="00603323" w:rsidRPr="00FD211F">
        <w:rPr>
          <w:sz w:val="36"/>
          <w:szCs w:val="36"/>
          <w:rtl/>
        </w:rPr>
        <w:t xml:space="preserve">، </w:t>
      </w:r>
      <w:r w:rsidRPr="00FD211F">
        <w:rPr>
          <w:sz w:val="36"/>
          <w:szCs w:val="36"/>
          <w:rtl/>
        </w:rPr>
        <w:t>فلاتشتمل الصور</w:t>
      </w:r>
      <w:r w:rsidR="00EC7EDF" w:rsidRPr="00FD211F">
        <w:rPr>
          <w:sz w:val="36"/>
          <w:szCs w:val="36"/>
          <w:rtl/>
        </w:rPr>
        <w:t xml:space="preserve">ة </w:t>
      </w:r>
      <w:r w:rsidRPr="00FD211F">
        <w:rPr>
          <w:sz w:val="36"/>
          <w:szCs w:val="36"/>
          <w:rtl/>
        </w:rPr>
        <w:t>التي تدل عليها هيئ</w:t>
      </w:r>
      <w:r w:rsidR="00EC7EDF" w:rsidRPr="00FD211F">
        <w:rPr>
          <w:sz w:val="36"/>
          <w:szCs w:val="36"/>
          <w:rtl/>
        </w:rPr>
        <w:t xml:space="preserve">ة </w:t>
      </w:r>
      <w:r w:rsidRPr="00FD211F">
        <w:rPr>
          <w:sz w:val="36"/>
          <w:szCs w:val="36"/>
          <w:rtl/>
        </w:rPr>
        <w:t>الفعل على معنى زائد كي يوجب ركني</w:t>
      </w:r>
      <w:r w:rsidR="00EC7EDF" w:rsidRPr="00FD211F">
        <w:rPr>
          <w:sz w:val="36"/>
          <w:szCs w:val="36"/>
          <w:rtl/>
        </w:rPr>
        <w:t xml:space="preserve">ة </w:t>
      </w:r>
      <w:r w:rsidRPr="00FD211F">
        <w:rPr>
          <w:sz w:val="36"/>
          <w:szCs w:val="36"/>
          <w:rtl/>
        </w:rPr>
        <w:t>هذا المعنى الزائد في اللحاظ خروجه عن كونه معنى حرفيا.</w:t>
      </w:r>
    </w:p>
    <w:p w14:paraId="06CDC998" w14:textId="77777777" w:rsidR="00556BC0" w:rsidRPr="00FD211F" w:rsidRDefault="00556BC0" w:rsidP="009C58C8">
      <w:pPr>
        <w:ind w:left="0" w:firstLine="227"/>
        <w:jc w:val="both"/>
        <w:rPr>
          <w:sz w:val="36"/>
          <w:szCs w:val="36"/>
          <w:rtl/>
        </w:rPr>
      </w:pP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b/>
          <w:bCs/>
          <w:sz w:val="36"/>
          <w:szCs w:val="36"/>
          <w:rtl/>
        </w:rPr>
        <w:t xml:space="preserve"> </w:t>
      </w:r>
      <w:r w:rsidRPr="00FD211F">
        <w:rPr>
          <w:sz w:val="36"/>
          <w:szCs w:val="36"/>
          <w:rtl/>
        </w:rPr>
        <w:t>ان تكون هيئ</w:t>
      </w:r>
      <w:r w:rsidR="00EC7EDF" w:rsidRPr="00FD211F">
        <w:rPr>
          <w:sz w:val="36"/>
          <w:szCs w:val="36"/>
          <w:rtl/>
        </w:rPr>
        <w:t xml:space="preserve">ة </w:t>
      </w:r>
      <w:r w:rsidRPr="00FD211F">
        <w:rPr>
          <w:sz w:val="36"/>
          <w:szCs w:val="36"/>
          <w:rtl/>
        </w:rPr>
        <w:t>الفعل موضوع</w:t>
      </w:r>
      <w:r w:rsidR="00EC7EDF" w:rsidRPr="00FD211F">
        <w:rPr>
          <w:sz w:val="36"/>
          <w:szCs w:val="36"/>
          <w:rtl/>
        </w:rPr>
        <w:t xml:space="preserve">ة </w:t>
      </w:r>
      <w:r w:rsidRPr="00FD211F">
        <w:rPr>
          <w:sz w:val="36"/>
          <w:szCs w:val="36"/>
          <w:rtl/>
        </w:rPr>
        <w:t>للدلال</w:t>
      </w:r>
      <w:r w:rsidR="00EC7EDF" w:rsidRPr="00FD211F">
        <w:rPr>
          <w:sz w:val="36"/>
          <w:szCs w:val="36"/>
          <w:rtl/>
        </w:rPr>
        <w:t xml:space="preserve">ة </w:t>
      </w:r>
      <w:r w:rsidRPr="00FD211F">
        <w:rPr>
          <w:sz w:val="36"/>
          <w:szCs w:val="36"/>
          <w:rtl/>
        </w:rPr>
        <w:t>على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وتكون هيئ</w:t>
      </w:r>
      <w:r w:rsidR="00EC7EDF" w:rsidRPr="00FD211F">
        <w:rPr>
          <w:sz w:val="36"/>
          <w:szCs w:val="36"/>
          <w:rtl/>
        </w:rPr>
        <w:t xml:space="preserve">ة </w:t>
      </w:r>
      <w:r w:rsidRPr="00FD211F">
        <w:rPr>
          <w:sz w:val="36"/>
          <w:szCs w:val="36"/>
          <w:rtl/>
        </w:rPr>
        <w:t>جمل</w:t>
      </w:r>
      <w:r w:rsidR="00EC7EDF" w:rsidRPr="00FD211F">
        <w:rPr>
          <w:sz w:val="36"/>
          <w:szCs w:val="36"/>
          <w:rtl/>
        </w:rPr>
        <w:t xml:space="preserve">ة </w:t>
      </w:r>
      <w:r w:rsidRPr="00FD211F">
        <w:rPr>
          <w:sz w:val="36"/>
          <w:szCs w:val="36"/>
          <w:rtl/>
        </w:rPr>
        <w:t>"ضرب زيد" دال</w:t>
      </w:r>
      <w:r w:rsidR="00EC7EDF" w:rsidRPr="00FD211F">
        <w:rPr>
          <w:sz w:val="36"/>
          <w:szCs w:val="36"/>
          <w:rtl/>
        </w:rPr>
        <w:t xml:space="preserve">ة </w:t>
      </w:r>
      <w:r w:rsidRPr="00FD211F">
        <w:rPr>
          <w:sz w:val="36"/>
          <w:szCs w:val="36"/>
          <w:rtl/>
        </w:rPr>
        <w:t>على تعيين الطرف الآخر لهذه النسب</w:t>
      </w:r>
      <w:r w:rsidR="00EC7EDF" w:rsidRPr="00FD211F">
        <w:rPr>
          <w:sz w:val="36"/>
          <w:szCs w:val="36"/>
          <w:rtl/>
        </w:rPr>
        <w:t xml:space="preserve">ة </w:t>
      </w:r>
      <w:r w:rsidRPr="00FD211F">
        <w:rPr>
          <w:sz w:val="36"/>
          <w:szCs w:val="36"/>
          <w:rtl/>
        </w:rPr>
        <w:t>وهو الفاعل في قولنا "ضرب زيد" واما حيثي</w:t>
      </w:r>
      <w:r w:rsidR="00EC7EDF" w:rsidRPr="00FD211F">
        <w:rPr>
          <w:sz w:val="36"/>
          <w:szCs w:val="36"/>
          <w:rtl/>
        </w:rPr>
        <w:t xml:space="preserve">ة </w:t>
      </w:r>
      <w:r w:rsidRPr="00FD211F">
        <w:rPr>
          <w:sz w:val="36"/>
          <w:szCs w:val="36"/>
          <w:rtl/>
        </w:rPr>
        <w:t>صدور الحدث عن فاعله فيلتزم بدخولها في مدلول الماد</w:t>
      </w:r>
      <w:r w:rsidR="00EC7EDF" w:rsidRPr="00FD211F">
        <w:rPr>
          <w:sz w:val="36"/>
          <w:szCs w:val="36"/>
          <w:rtl/>
        </w:rPr>
        <w:t xml:space="preserve">ة </w:t>
      </w:r>
      <w:r w:rsidRPr="00FD211F">
        <w:rPr>
          <w:sz w:val="36"/>
          <w:szCs w:val="36"/>
          <w:rtl/>
        </w:rPr>
        <w:t>نفسها</w:t>
      </w:r>
      <w:r w:rsidR="00603323" w:rsidRPr="00FD211F">
        <w:rPr>
          <w:sz w:val="36"/>
          <w:szCs w:val="36"/>
          <w:rtl/>
        </w:rPr>
        <w:t xml:space="preserve">، </w:t>
      </w:r>
      <w:r w:rsidRPr="00FD211F">
        <w:rPr>
          <w:sz w:val="36"/>
          <w:szCs w:val="36"/>
          <w:rtl/>
        </w:rPr>
        <w:t>ويمكن ان يبرهن عليه بان بعض الأفعال مثل "ضرب" تدل على حيثي</w:t>
      </w:r>
      <w:r w:rsidR="00EC7EDF" w:rsidRPr="00FD211F">
        <w:rPr>
          <w:sz w:val="36"/>
          <w:szCs w:val="36"/>
          <w:rtl/>
        </w:rPr>
        <w:t xml:space="preserve">ة </w:t>
      </w:r>
      <w:r w:rsidRPr="00FD211F">
        <w:rPr>
          <w:sz w:val="36"/>
          <w:szCs w:val="36"/>
          <w:rtl/>
        </w:rPr>
        <w:t>الصدور وبعضها الآخر مثل "مات" تدل على حيثي</w:t>
      </w:r>
      <w:r w:rsidR="00EC7EDF" w:rsidRPr="00FD211F">
        <w:rPr>
          <w:sz w:val="36"/>
          <w:szCs w:val="36"/>
          <w:rtl/>
        </w:rPr>
        <w:t xml:space="preserve">ة </w:t>
      </w:r>
      <w:r w:rsidRPr="00FD211F">
        <w:rPr>
          <w:sz w:val="36"/>
          <w:szCs w:val="36"/>
          <w:rtl/>
        </w:rPr>
        <w:t>الحلول</w:t>
      </w:r>
      <w:r w:rsidR="00603323" w:rsidRPr="00FD211F">
        <w:rPr>
          <w:sz w:val="36"/>
          <w:szCs w:val="36"/>
          <w:rtl/>
        </w:rPr>
        <w:t xml:space="preserve">، </w:t>
      </w:r>
      <w:r w:rsidRPr="00FD211F">
        <w:rPr>
          <w:sz w:val="36"/>
          <w:szCs w:val="36"/>
          <w:rtl/>
        </w:rPr>
        <w:t>فلايمكن ان يكون الدال عليها هيئ</w:t>
      </w:r>
      <w:r w:rsidR="00EC7EDF" w:rsidRPr="00FD211F">
        <w:rPr>
          <w:sz w:val="36"/>
          <w:szCs w:val="36"/>
          <w:rtl/>
        </w:rPr>
        <w:t xml:space="preserve">ة </w:t>
      </w:r>
      <w:r w:rsidRPr="00FD211F">
        <w:rPr>
          <w:sz w:val="36"/>
          <w:szCs w:val="36"/>
          <w:rtl/>
        </w:rPr>
        <w:t>الفعل لان وضع الهيئات نوعي لايلحظ فيه خصوصيات المادّ</w:t>
      </w:r>
      <w:r w:rsidR="00EC7EDF" w:rsidRPr="00FD211F">
        <w:rPr>
          <w:sz w:val="36"/>
          <w:szCs w:val="36"/>
          <w:rtl/>
        </w:rPr>
        <w:t>ة</w:t>
      </w:r>
      <w:r w:rsidR="00603323" w:rsidRPr="00FD211F">
        <w:rPr>
          <w:sz w:val="36"/>
          <w:szCs w:val="36"/>
          <w:rtl/>
        </w:rPr>
        <w:t xml:space="preserve">، </w:t>
      </w:r>
      <w:r w:rsidRPr="00FD211F">
        <w:rPr>
          <w:sz w:val="36"/>
          <w:szCs w:val="36"/>
          <w:rtl/>
        </w:rPr>
        <w:t>فلابد ان تكون حيثي</w:t>
      </w:r>
      <w:r w:rsidR="00EC7EDF" w:rsidRPr="00FD211F">
        <w:rPr>
          <w:sz w:val="36"/>
          <w:szCs w:val="36"/>
          <w:rtl/>
        </w:rPr>
        <w:t xml:space="preserve">ة </w:t>
      </w:r>
      <w:r w:rsidRPr="00FD211F">
        <w:rPr>
          <w:sz w:val="36"/>
          <w:szCs w:val="36"/>
          <w:rtl/>
        </w:rPr>
        <w:t>الصدور او الحلول داخل</w:t>
      </w:r>
      <w:r w:rsidR="00EC7EDF" w:rsidRPr="00FD211F">
        <w:rPr>
          <w:sz w:val="36"/>
          <w:szCs w:val="36"/>
          <w:rtl/>
        </w:rPr>
        <w:t xml:space="preserve">ة </w:t>
      </w:r>
      <w:r w:rsidRPr="00FD211F">
        <w:rPr>
          <w:sz w:val="36"/>
          <w:szCs w:val="36"/>
          <w:rtl/>
        </w:rPr>
        <w:t>في مدلول نفس الماد</w:t>
      </w:r>
      <w:r w:rsidR="00EC7EDF" w:rsidRPr="00FD211F">
        <w:rPr>
          <w:sz w:val="36"/>
          <w:szCs w:val="36"/>
          <w:rtl/>
        </w:rPr>
        <w:t>ة</w:t>
      </w:r>
      <w:r w:rsidR="00A61BAE" w:rsidRPr="00FD211F">
        <w:rPr>
          <w:sz w:val="36"/>
          <w:szCs w:val="36"/>
          <w:rtl/>
        </w:rPr>
        <w:t>.</w:t>
      </w:r>
    </w:p>
    <w:p w14:paraId="1FBB92BB" w14:textId="77777777" w:rsidR="00556BC0" w:rsidRPr="00FD211F" w:rsidRDefault="00556BC0" w:rsidP="009C58C8">
      <w:pPr>
        <w:ind w:left="0" w:firstLine="227"/>
        <w:jc w:val="both"/>
        <w:rPr>
          <w:sz w:val="36"/>
          <w:szCs w:val="36"/>
          <w:rtl/>
        </w:rPr>
      </w:pPr>
      <w:r w:rsidRPr="00FD211F">
        <w:rPr>
          <w:sz w:val="36"/>
          <w:szCs w:val="36"/>
          <w:rtl/>
        </w:rPr>
        <w:t>وبناء على هذه الفرضي</w:t>
      </w:r>
      <w:r w:rsidR="00EC7EDF" w:rsidRPr="00FD211F">
        <w:rPr>
          <w:sz w:val="36"/>
          <w:szCs w:val="36"/>
          <w:rtl/>
        </w:rPr>
        <w:t xml:space="preserve">ة </w:t>
      </w:r>
      <w:r w:rsidRPr="00FD211F">
        <w:rPr>
          <w:sz w:val="36"/>
          <w:szCs w:val="36"/>
          <w:rtl/>
        </w:rPr>
        <w:t>الثاني</w:t>
      </w:r>
      <w:r w:rsidR="00EC7EDF" w:rsidRPr="00FD211F">
        <w:rPr>
          <w:sz w:val="36"/>
          <w:szCs w:val="36"/>
          <w:rtl/>
        </w:rPr>
        <w:t xml:space="preserve">ة </w:t>
      </w:r>
      <w:r w:rsidRPr="00FD211F">
        <w:rPr>
          <w:sz w:val="36"/>
          <w:szCs w:val="36"/>
          <w:rtl/>
        </w:rPr>
        <w:t>تتبين ايضا نكت</w:t>
      </w:r>
      <w:r w:rsidR="00EC7EDF" w:rsidRPr="00FD211F">
        <w:rPr>
          <w:sz w:val="36"/>
          <w:szCs w:val="36"/>
          <w:rtl/>
        </w:rPr>
        <w:t xml:space="preserve">ة </w:t>
      </w:r>
      <w:r w:rsidRPr="00FD211F">
        <w:rPr>
          <w:sz w:val="36"/>
          <w:szCs w:val="36"/>
          <w:rtl/>
        </w:rPr>
        <w:t>عدم صح</w:t>
      </w:r>
      <w:r w:rsidR="00EC7EDF" w:rsidRPr="00FD211F">
        <w:rPr>
          <w:sz w:val="36"/>
          <w:szCs w:val="36"/>
          <w:rtl/>
        </w:rPr>
        <w:t xml:space="preserve">ة </w:t>
      </w:r>
      <w:r w:rsidRPr="00FD211F">
        <w:rPr>
          <w:sz w:val="36"/>
          <w:szCs w:val="36"/>
          <w:rtl/>
        </w:rPr>
        <w:t>الحكم على الفعل وكذا عدم صح</w:t>
      </w:r>
      <w:r w:rsidR="00EC7EDF" w:rsidRPr="00FD211F">
        <w:rPr>
          <w:sz w:val="36"/>
          <w:szCs w:val="36"/>
          <w:rtl/>
        </w:rPr>
        <w:t xml:space="preserve">ة </w:t>
      </w:r>
      <w:r w:rsidRPr="00FD211F">
        <w:rPr>
          <w:sz w:val="36"/>
          <w:szCs w:val="36"/>
          <w:rtl/>
        </w:rPr>
        <w:t>حمله على نفس الحدث</w:t>
      </w:r>
      <w:r w:rsidR="00603323" w:rsidRPr="00FD211F">
        <w:rPr>
          <w:sz w:val="36"/>
          <w:szCs w:val="36"/>
          <w:rtl/>
        </w:rPr>
        <w:t xml:space="preserve">، </w:t>
      </w:r>
      <w:r w:rsidRPr="00FD211F">
        <w:rPr>
          <w:sz w:val="36"/>
          <w:szCs w:val="36"/>
          <w:rtl/>
        </w:rPr>
        <w:t>لانها موضوع</w:t>
      </w:r>
      <w:r w:rsidR="00EC7EDF" w:rsidRPr="00FD211F">
        <w:rPr>
          <w:sz w:val="36"/>
          <w:szCs w:val="36"/>
          <w:rtl/>
        </w:rPr>
        <w:t xml:space="preserve">ة </w:t>
      </w:r>
      <w:r w:rsidRPr="00FD211F">
        <w:rPr>
          <w:sz w:val="36"/>
          <w:szCs w:val="36"/>
          <w:rtl/>
        </w:rPr>
        <w:t>لنسب</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يكون احد طرفها نفس الحدث المستفاد من ماد</w:t>
      </w:r>
      <w:r w:rsidR="00EC7EDF" w:rsidRPr="00FD211F">
        <w:rPr>
          <w:sz w:val="36"/>
          <w:szCs w:val="36"/>
          <w:rtl/>
        </w:rPr>
        <w:t xml:space="preserve">ة </w:t>
      </w:r>
      <w:r w:rsidRPr="00FD211F">
        <w:rPr>
          <w:sz w:val="36"/>
          <w:szCs w:val="36"/>
          <w:rtl/>
        </w:rPr>
        <w:t>الفعل والطرف الآخر هو فاعله</w:t>
      </w:r>
      <w:r w:rsidR="009C58C8" w:rsidRPr="00FD211F">
        <w:rPr>
          <w:rStyle w:val="a6"/>
          <w:sz w:val="36"/>
          <w:szCs w:val="36"/>
          <w:rtl/>
        </w:rPr>
        <w:t>(</w:t>
      </w:r>
      <w:r w:rsidR="009C58C8" w:rsidRPr="00FD211F">
        <w:rPr>
          <w:rStyle w:val="a6"/>
          <w:sz w:val="36"/>
          <w:szCs w:val="36"/>
          <w:rtl/>
        </w:rPr>
        <w:footnoteReference w:id="227"/>
      </w:r>
      <w:r w:rsidR="009C58C8" w:rsidRPr="00FD211F">
        <w:rPr>
          <w:rStyle w:val="a6"/>
          <w:sz w:val="36"/>
          <w:szCs w:val="36"/>
          <w:rtl/>
        </w:rPr>
        <w:t>)</w:t>
      </w:r>
      <w:r w:rsidRPr="00FD211F">
        <w:rPr>
          <w:sz w:val="36"/>
          <w:szCs w:val="36"/>
          <w:rtl/>
        </w:rPr>
        <w:t>.</w:t>
      </w:r>
    </w:p>
    <w:p w14:paraId="79F8D77A" w14:textId="77777777" w:rsidR="000C5BBA" w:rsidRPr="00FD211F" w:rsidRDefault="0082650C" w:rsidP="009C58C8">
      <w:pPr>
        <w:ind w:left="0" w:firstLine="227"/>
        <w:jc w:val="both"/>
        <w:rPr>
          <w:sz w:val="36"/>
          <w:szCs w:val="36"/>
          <w:rtl/>
        </w:rPr>
      </w:pPr>
      <w:r w:rsidRPr="00FD211F">
        <w:rPr>
          <w:sz w:val="36"/>
          <w:szCs w:val="36"/>
          <w:rtl/>
        </w:rPr>
        <w:t>هذا تمام كلام البحوث</w:t>
      </w:r>
      <w:r w:rsidR="00556BC0" w:rsidRPr="00FD211F">
        <w:rPr>
          <w:sz w:val="36"/>
          <w:szCs w:val="36"/>
          <w:rtl/>
        </w:rPr>
        <w:t xml:space="preserve"> في معنى هيئ</w:t>
      </w:r>
      <w:r w:rsidR="00EC7EDF" w:rsidRPr="00FD211F">
        <w:rPr>
          <w:sz w:val="36"/>
          <w:szCs w:val="36"/>
          <w:rtl/>
        </w:rPr>
        <w:t xml:space="preserve">ة </w:t>
      </w:r>
      <w:r w:rsidR="00556BC0" w:rsidRPr="00FD211F">
        <w:rPr>
          <w:sz w:val="36"/>
          <w:szCs w:val="36"/>
          <w:rtl/>
        </w:rPr>
        <w:t>الفعل الماضي والمضارع</w:t>
      </w:r>
      <w:r w:rsidR="00603323" w:rsidRPr="00FD211F">
        <w:rPr>
          <w:sz w:val="36"/>
          <w:szCs w:val="36"/>
          <w:rtl/>
        </w:rPr>
        <w:t xml:space="preserve">، </w:t>
      </w:r>
      <w:r w:rsidR="00556BC0" w:rsidRPr="00FD211F">
        <w:rPr>
          <w:sz w:val="36"/>
          <w:szCs w:val="36"/>
          <w:rtl/>
        </w:rPr>
        <w:t>والظاهر تبنّيه للفرضي</w:t>
      </w:r>
      <w:r w:rsidR="00EC7EDF" w:rsidRPr="00FD211F">
        <w:rPr>
          <w:sz w:val="36"/>
          <w:szCs w:val="36"/>
          <w:rtl/>
        </w:rPr>
        <w:t xml:space="preserve">ة </w:t>
      </w:r>
      <w:r w:rsidR="00556BC0" w:rsidRPr="00FD211F">
        <w:rPr>
          <w:sz w:val="36"/>
          <w:szCs w:val="36"/>
          <w:rtl/>
        </w:rPr>
        <w:t>الثاني</w:t>
      </w:r>
      <w:r w:rsidR="00EC7EDF" w:rsidRPr="00FD211F">
        <w:rPr>
          <w:sz w:val="36"/>
          <w:szCs w:val="36"/>
          <w:rtl/>
        </w:rPr>
        <w:t xml:space="preserve">ة </w:t>
      </w:r>
      <w:r w:rsidR="00556BC0" w:rsidRPr="00FD211F">
        <w:rPr>
          <w:sz w:val="36"/>
          <w:szCs w:val="36"/>
          <w:rtl/>
        </w:rPr>
        <w:t>بمقتضى البرهان الذي اقامه على كون خصوصي</w:t>
      </w:r>
      <w:r w:rsidR="00EC7EDF" w:rsidRPr="00FD211F">
        <w:rPr>
          <w:sz w:val="36"/>
          <w:szCs w:val="36"/>
          <w:rtl/>
        </w:rPr>
        <w:t xml:space="preserve">ة </w:t>
      </w:r>
      <w:r w:rsidR="00556BC0" w:rsidRPr="00FD211F">
        <w:rPr>
          <w:sz w:val="36"/>
          <w:szCs w:val="36"/>
          <w:rtl/>
        </w:rPr>
        <w:t>الصدور او الحلول داخل</w:t>
      </w:r>
      <w:r w:rsidR="00EC7EDF" w:rsidRPr="00FD211F">
        <w:rPr>
          <w:sz w:val="36"/>
          <w:szCs w:val="36"/>
          <w:rtl/>
        </w:rPr>
        <w:t xml:space="preserve">ة </w:t>
      </w:r>
      <w:r w:rsidR="00556BC0" w:rsidRPr="00FD211F">
        <w:rPr>
          <w:sz w:val="36"/>
          <w:szCs w:val="36"/>
          <w:rtl/>
        </w:rPr>
        <w:t>في مدلول ال</w:t>
      </w:r>
      <w:r w:rsidR="00D25073" w:rsidRPr="00FD211F">
        <w:rPr>
          <w:sz w:val="36"/>
          <w:szCs w:val="36"/>
          <w:rtl/>
        </w:rPr>
        <w:t>ماد</w:t>
      </w:r>
      <w:r w:rsidR="00EC7EDF" w:rsidRPr="00FD211F">
        <w:rPr>
          <w:sz w:val="36"/>
          <w:szCs w:val="36"/>
          <w:rtl/>
        </w:rPr>
        <w:t>ة</w:t>
      </w:r>
      <w:r w:rsidR="00A61BAE" w:rsidRPr="00FD211F">
        <w:rPr>
          <w:sz w:val="36"/>
          <w:szCs w:val="36"/>
          <w:rtl/>
        </w:rPr>
        <w:t>.</w:t>
      </w:r>
    </w:p>
    <w:p w14:paraId="5A6F662E" w14:textId="77777777" w:rsidR="00556BC0" w:rsidRPr="00FD211F" w:rsidRDefault="00D25073" w:rsidP="009C58C8">
      <w:pPr>
        <w:ind w:left="0" w:firstLine="227"/>
        <w:jc w:val="both"/>
        <w:rPr>
          <w:sz w:val="36"/>
          <w:szCs w:val="36"/>
          <w:rtl/>
        </w:rPr>
      </w:pPr>
      <w:r w:rsidRPr="00FD211F">
        <w:rPr>
          <w:sz w:val="36"/>
          <w:szCs w:val="36"/>
          <w:rtl/>
        </w:rPr>
        <w:t xml:space="preserve">وكيف كان فيرد على ما ذكره </w:t>
      </w:r>
      <w:r w:rsidRPr="00FD211F">
        <w:rPr>
          <w:b/>
          <w:bCs/>
          <w:sz w:val="36"/>
          <w:szCs w:val="36"/>
          <w:rtl/>
        </w:rPr>
        <w:t>اولا</w:t>
      </w:r>
      <w:r w:rsidR="00556BC0" w:rsidRPr="00FD211F">
        <w:rPr>
          <w:sz w:val="36"/>
          <w:szCs w:val="36"/>
          <w:rtl/>
        </w:rPr>
        <w:t>: ان لازم ما ذكره في الفرضي</w:t>
      </w:r>
      <w:r w:rsidR="00EC7EDF" w:rsidRPr="00FD211F">
        <w:rPr>
          <w:sz w:val="36"/>
          <w:szCs w:val="36"/>
          <w:rtl/>
        </w:rPr>
        <w:t xml:space="preserve">ة </w:t>
      </w:r>
      <w:r w:rsidR="00556BC0" w:rsidRPr="00FD211F">
        <w:rPr>
          <w:sz w:val="36"/>
          <w:szCs w:val="36"/>
          <w:rtl/>
        </w:rPr>
        <w:t>الأولى كون مآل قولنا "ضَرَبَ" الى قولنا "صدور الضرب" مع انه خلاف الوجدان</w:t>
      </w:r>
      <w:r w:rsidR="00603323" w:rsidRPr="00FD211F">
        <w:rPr>
          <w:sz w:val="36"/>
          <w:szCs w:val="36"/>
          <w:rtl/>
        </w:rPr>
        <w:t xml:space="preserve">، </w:t>
      </w:r>
      <w:r w:rsidR="00556BC0" w:rsidRPr="00FD211F">
        <w:rPr>
          <w:sz w:val="36"/>
          <w:szCs w:val="36"/>
          <w:rtl/>
        </w:rPr>
        <w:t>حيث ان مدلوله هو صور</w:t>
      </w:r>
      <w:r w:rsidR="00EC7EDF" w:rsidRPr="00FD211F">
        <w:rPr>
          <w:sz w:val="36"/>
          <w:szCs w:val="36"/>
          <w:rtl/>
        </w:rPr>
        <w:t xml:space="preserve">ة </w:t>
      </w:r>
      <w:r w:rsidR="00556BC0" w:rsidRPr="00FD211F">
        <w:rPr>
          <w:sz w:val="36"/>
          <w:szCs w:val="36"/>
          <w:rtl/>
        </w:rPr>
        <w:t>واقع صدور الضرب خارجا</w:t>
      </w:r>
      <w:r w:rsidR="00603323" w:rsidRPr="00FD211F">
        <w:rPr>
          <w:sz w:val="36"/>
          <w:szCs w:val="36"/>
          <w:rtl/>
        </w:rPr>
        <w:t xml:space="preserve">، </w:t>
      </w:r>
      <w:r w:rsidR="00556BC0" w:rsidRPr="00FD211F">
        <w:rPr>
          <w:sz w:val="36"/>
          <w:szCs w:val="36"/>
          <w:rtl/>
        </w:rPr>
        <w:t>فان من الواضح عدم وحد</w:t>
      </w:r>
      <w:r w:rsidR="00EC7EDF" w:rsidRPr="00FD211F">
        <w:rPr>
          <w:sz w:val="36"/>
          <w:szCs w:val="36"/>
          <w:rtl/>
        </w:rPr>
        <w:t xml:space="preserve">ة </w:t>
      </w:r>
      <w:r w:rsidR="00556BC0" w:rsidRPr="00FD211F">
        <w:rPr>
          <w:sz w:val="36"/>
          <w:szCs w:val="36"/>
          <w:rtl/>
        </w:rPr>
        <w:t>معنى قولنا "زد" مع قولنا "زدن" بنحو يكون الاختلاف بينهما في مجرد كيفي</w:t>
      </w:r>
      <w:r w:rsidR="00EC7EDF" w:rsidRPr="00FD211F">
        <w:rPr>
          <w:sz w:val="36"/>
          <w:szCs w:val="36"/>
          <w:rtl/>
        </w:rPr>
        <w:t xml:space="preserve">ة </w:t>
      </w:r>
      <w:r w:rsidR="00556BC0" w:rsidRPr="00FD211F">
        <w:rPr>
          <w:sz w:val="36"/>
          <w:szCs w:val="36"/>
          <w:rtl/>
        </w:rPr>
        <w:t xml:space="preserve">لحاظ </w:t>
      </w:r>
      <w:r w:rsidR="008D7B3D" w:rsidRPr="00FD211F">
        <w:rPr>
          <w:sz w:val="36"/>
          <w:szCs w:val="36"/>
          <w:rtl/>
        </w:rPr>
        <w:t xml:space="preserve">شيء </w:t>
      </w:r>
      <w:r w:rsidR="00556BC0" w:rsidRPr="00FD211F">
        <w:rPr>
          <w:sz w:val="36"/>
          <w:szCs w:val="36"/>
          <w:rtl/>
        </w:rPr>
        <w:t>واحد</w:t>
      </w:r>
      <w:r w:rsidR="00603323" w:rsidRPr="00FD211F">
        <w:rPr>
          <w:sz w:val="36"/>
          <w:szCs w:val="36"/>
          <w:rtl/>
        </w:rPr>
        <w:t xml:space="preserve">، </w:t>
      </w:r>
      <w:r w:rsidR="00556BC0" w:rsidRPr="00FD211F">
        <w:rPr>
          <w:sz w:val="36"/>
          <w:szCs w:val="36"/>
          <w:rtl/>
        </w:rPr>
        <w:t>فالظاهر انه هيئ</w:t>
      </w:r>
      <w:r w:rsidR="00EC7EDF" w:rsidRPr="00FD211F">
        <w:rPr>
          <w:sz w:val="36"/>
          <w:szCs w:val="36"/>
          <w:rtl/>
        </w:rPr>
        <w:t xml:space="preserve">ة </w:t>
      </w:r>
      <w:r w:rsidR="00556BC0" w:rsidRPr="00FD211F">
        <w:rPr>
          <w:sz w:val="36"/>
          <w:szCs w:val="36"/>
          <w:rtl/>
        </w:rPr>
        <w:t>الفعل تدل على النسب</w:t>
      </w:r>
      <w:r w:rsidR="00EC7EDF" w:rsidRPr="00FD211F">
        <w:rPr>
          <w:sz w:val="36"/>
          <w:szCs w:val="36"/>
          <w:rtl/>
        </w:rPr>
        <w:t xml:space="preserve">ة </w:t>
      </w:r>
      <w:r w:rsidR="00556BC0" w:rsidRPr="00FD211F">
        <w:rPr>
          <w:sz w:val="36"/>
          <w:szCs w:val="36"/>
          <w:rtl/>
        </w:rPr>
        <w:t>الصدوري</w:t>
      </w:r>
      <w:r w:rsidR="00EC7EDF" w:rsidRPr="00FD211F">
        <w:rPr>
          <w:sz w:val="36"/>
          <w:szCs w:val="36"/>
          <w:rtl/>
        </w:rPr>
        <w:t xml:space="preserve">ة </w:t>
      </w:r>
      <w:r w:rsidR="00556BC0" w:rsidRPr="00FD211F">
        <w:rPr>
          <w:sz w:val="36"/>
          <w:szCs w:val="36"/>
          <w:rtl/>
        </w:rPr>
        <w:t>بين الحدث وفاعله</w:t>
      </w:r>
      <w:r w:rsidR="00603323" w:rsidRPr="00FD211F">
        <w:rPr>
          <w:sz w:val="36"/>
          <w:szCs w:val="36"/>
          <w:rtl/>
        </w:rPr>
        <w:t xml:space="preserve">، </w:t>
      </w:r>
      <w:r w:rsidR="00556BC0" w:rsidRPr="00FD211F">
        <w:rPr>
          <w:sz w:val="36"/>
          <w:szCs w:val="36"/>
          <w:rtl/>
        </w:rPr>
        <w:t>وهذا لاينافي كون دلال</w:t>
      </w:r>
      <w:r w:rsidR="00EC7EDF" w:rsidRPr="00FD211F">
        <w:rPr>
          <w:sz w:val="36"/>
          <w:szCs w:val="36"/>
          <w:rtl/>
        </w:rPr>
        <w:t xml:space="preserve">ة </w:t>
      </w:r>
      <w:r w:rsidR="00556BC0" w:rsidRPr="00FD211F">
        <w:rPr>
          <w:sz w:val="36"/>
          <w:szCs w:val="36"/>
          <w:rtl/>
        </w:rPr>
        <w:t>هيئ</w:t>
      </w:r>
      <w:r w:rsidR="00EC7EDF" w:rsidRPr="00FD211F">
        <w:rPr>
          <w:sz w:val="36"/>
          <w:szCs w:val="36"/>
          <w:rtl/>
        </w:rPr>
        <w:t xml:space="preserve">ة </w:t>
      </w:r>
      <w:r w:rsidR="00556BC0" w:rsidRPr="00FD211F">
        <w:rPr>
          <w:sz w:val="36"/>
          <w:szCs w:val="36"/>
          <w:rtl/>
        </w:rPr>
        <w:t>الفعل تصوري</w:t>
      </w:r>
      <w:r w:rsidR="00EC7EDF" w:rsidRPr="00FD211F">
        <w:rPr>
          <w:sz w:val="36"/>
          <w:szCs w:val="36"/>
          <w:rtl/>
        </w:rPr>
        <w:t xml:space="preserve">ة </w:t>
      </w:r>
      <w:r w:rsidR="00556BC0" w:rsidRPr="00FD211F">
        <w:rPr>
          <w:sz w:val="36"/>
          <w:szCs w:val="36"/>
          <w:rtl/>
        </w:rPr>
        <w:t>بمعنى ان تصورها يستتبع تصور معناها ولو</w:t>
      </w:r>
      <w:r w:rsidR="008D7B3D" w:rsidRPr="00FD211F">
        <w:rPr>
          <w:sz w:val="36"/>
          <w:szCs w:val="36"/>
          <w:rtl/>
        </w:rPr>
        <w:t xml:space="preserve"> لم‌</w:t>
      </w:r>
      <w:r w:rsidR="00556BC0" w:rsidRPr="00FD211F">
        <w:rPr>
          <w:sz w:val="36"/>
          <w:szCs w:val="36"/>
          <w:rtl/>
        </w:rPr>
        <w:t xml:space="preserve">تصدر من متكلم </w:t>
      </w:r>
      <w:r w:rsidR="00034A83" w:rsidRPr="00FD211F">
        <w:rPr>
          <w:sz w:val="36"/>
          <w:szCs w:val="36"/>
          <w:rtl/>
        </w:rPr>
        <w:t>ملتفت</w:t>
      </w:r>
      <w:r w:rsidR="00603323" w:rsidRPr="00FD211F">
        <w:rPr>
          <w:sz w:val="36"/>
          <w:szCs w:val="36"/>
          <w:rtl/>
        </w:rPr>
        <w:t xml:space="preserve">، </w:t>
      </w:r>
      <w:r w:rsidR="00556BC0" w:rsidRPr="00FD211F">
        <w:rPr>
          <w:sz w:val="36"/>
          <w:szCs w:val="36"/>
          <w:rtl/>
        </w:rPr>
        <w:t>لإمكان ان يقال بان الموضوع له هو صور</w:t>
      </w:r>
      <w:r w:rsidR="00EC7EDF" w:rsidRPr="00FD211F">
        <w:rPr>
          <w:sz w:val="36"/>
          <w:szCs w:val="36"/>
          <w:rtl/>
        </w:rPr>
        <w:t xml:space="preserve">ة </w:t>
      </w:r>
      <w:r w:rsidR="00556BC0" w:rsidRPr="00FD211F">
        <w:rPr>
          <w:sz w:val="36"/>
          <w:szCs w:val="36"/>
          <w:rtl/>
        </w:rPr>
        <w:t>واقع صدور الضرب</w:t>
      </w:r>
      <w:r w:rsidR="00603323" w:rsidRPr="00FD211F">
        <w:rPr>
          <w:sz w:val="36"/>
          <w:szCs w:val="36"/>
          <w:rtl/>
        </w:rPr>
        <w:t xml:space="preserve">، </w:t>
      </w:r>
      <w:r w:rsidR="00556BC0" w:rsidRPr="00FD211F">
        <w:rPr>
          <w:sz w:val="36"/>
          <w:szCs w:val="36"/>
          <w:rtl/>
        </w:rPr>
        <w:t>وقد مر سابقا انه لامانع من وجود واقع نسب</w:t>
      </w:r>
      <w:r w:rsidR="00EC7EDF" w:rsidRPr="00FD211F">
        <w:rPr>
          <w:sz w:val="36"/>
          <w:szCs w:val="36"/>
          <w:rtl/>
        </w:rPr>
        <w:t xml:space="preserve">ة </w:t>
      </w:r>
      <w:r w:rsidR="00556BC0" w:rsidRPr="00FD211F">
        <w:rPr>
          <w:sz w:val="36"/>
          <w:szCs w:val="36"/>
          <w:rtl/>
        </w:rPr>
        <w:t>ذهني</w:t>
      </w:r>
      <w:r w:rsidR="00EC7EDF" w:rsidRPr="00FD211F">
        <w:rPr>
          <w:sz w:val="36"/>
          <w:szCs w:val="36"/>
          <w:rtl/>
        </w:rPr>
        <w:t xml:space="preserve">ة </w:t>
      </w:r>
      <w:r w:rsidR="00556BC0" w:rsidRPr="00FD211F">
        <w:rPr>
          <w:sz w:val="36"/>
          <w:szCs w:val="36"/>
          <w:rtl/>
        </w:rPr>
        <w:t>مسانخ</w:t>
      </w:r>
      <w:r w:rsidR="00EC7EDF" w:rsidRPr="00FD211F">
        <w:rPr>
          <w:sz w:val="36"/>
          <w:szCs w:val="36"/>
          <w:rtl/>
        </w:rPr>
        <w:t xml:space="preserve">ة </w:t>
      </w:r>
      <w:r w:rsidR="00556BC0" w:rsidRPr="00FD211F">
        <w:rPr>
          <w:sz w:val="36"/>
          <w:szCs w:val="36"/>
          <w:rtl/>
        </w:rPr>
        <w:t>للنسب</w:t>
      </w:r>
      <w:r w:rsidR="00EC7EDF" w:rsidRPr="00FD211F">
        <w:rPr>
          <w:sz w:val="36"/>
          <w:szCs w:val="36"/>
          <w:rtl/>
        </w:rPr>
        <w:t xml:space="preserve">ة </w:t>
      </w:r>
      <w:r w:rsidR="00556BC0" w:rsidRPr="00FD211F">
        <w:rPr>
          <w:sz w:val="36"/>
          <w:szCs w:val="36"/>
          <w:rtl/>
        </w:rPr>
        <w:t>الخارجي</w:t>
      </w:r>
      <w:r w:rsidR="00EC7EDF" w:rsidRPr="00FD211F">
        <w:rPr>
          <w:sz w:val="36"/>
          <w:szCs w:val="36"/>
          <w:rtl/>
        </w:rPr>
        <w:t>ة</w:t>
      </w:r>
      <w:r w:rsidR="00603323" w:rsidRPr="00FD211F">
        <w:rPr>
          <w:sz w:val="36"/>
          <w:szCs w:val="36"/>
          <w:rtl/>
        </w:rPr>
        <w:t xml:space="preserve">، </w:t>
      </w:r>
      <w:r w:rsidR="00556BC0" w:rsidRPr="00FD211F">
        <w:rPr>
          <w:sz w:val="36"/>
          <w:szCs w:val="36"/>
          <w:rtl/>
        </w:rPr>
        <w:t>فيتحقق في الذهن واقع نسب</w:t>
      </w:r>
      <w:r w:rsidR="00EC7EDF" w:rsidRPr="00FD211F">
        <w:rPr>
          <w:sz w:val="36"/>
          <w:szCs w:val="36"/>
          <w:rtl/>
        </w:rPr>
        <w:t xml:space="preserve">ة </w:t>
      </w:r>
      <w:r w:rsidR="00556BC0" w:rsidRPr="00FD211F">
        <w:rPr>
          <w:sz w:val="36"/>
          <w:szCs w:val="36"/>
          <w:rtl/>
        </w:rPr>
        <w:t>بين مفهوم الضرب ومفهوم زيد بنحو تصلح ان تكون حاكي</w:t>
      </w:r>
      <w:r w:rsidR="00EC7EDF" w:rsidRPr="00FD211F">
        <w:rPr>
          <w:sz w:val="36"/>
          <w:szCs w:val="36"/>
          <w:rtl/>
        </w:rPr>
        <w:t xml:space="preserve">ة </w:t>
      </w:r>
      <w:r w:rsidR="00556BC0" w:rsidRPr="00FD211F">
        <w:rPr>
          <w:sz w:val="36"/>
          <w:szCs w:val="36"/>
          <w:rtl/>
        </w:rPr>
        <w:t>عن النسب</w:t>
      </w:r>
      <w:r w:rsidR="00EC7EDF" w:rsidRPr="00FD211F">
        <w:rPr>
          <w:sz w:val="36"/>
          <w:szCs w:val="36"/>
          <w:rtl/>
        </w:rPr>
        <w:t xml:space="preserve">ة </w:t>
      </w:r>
      <w:r w:rsidR="00556BC0" w:rsidRPr="00FD211F">
        <w:rPr>
          <w:sz w:val="36"/>
          <w:szCs w:val="36"/>
          <w:rtl/>
        </w:rPr>
        <w:t>الصدوري</w:t>
      </w:r>
      <w:r w:rsidR="00EC7EDF" w:rsidRPr="00FD211F">
        <w:rPr>
          <w:sz w:val="36"/>
          <w:szCs w:val="36"/>
          <w:rtl/>
        </w:rPr>
        <w:t xml:space="preserve">ة </w:t>
      </w:r>
      <w:r w:rsidR="00556BC0" w:rsidRPr="00FD211F">
        <w:rPr>
          <w:sz w:val="36"/>
          <w:szCs w:val="36"/>
          <w:rtl/>
        </w:rPr>
        <w:t>الخارجي</w:t>
      </w:r>
      <w:r w:rsidR="00EC7EDF" w:rsidRPr="00FD211F">
        <w:rPr>
          <w:sz w:val="36"/>
          <w:szCs w:val="36"/>
          <w:rtl/>
        </w:rPr>
        <w:t xml:space="preserve">ة </w:t>
      </w:r>
      <w:r w:rsidR="00833925" w:rsidRPr="00FD211F">
        <w:rPr>
          <w:sz w:val="36"/>
          <w:szCs w:val="36"/>
          <w:rtl/>
        </w:rPr>
        <w:t>ل</w:t>
      </w:r>
      <w:r w:rsidR="00556BC0" w:rsidRPr="00FD211F">
        <w:rPr>
          <w:sz w:val="36"/>
          <w:szCs w:val="36"/>
          <w:rtl/>
        </w:rPr>
        <w:t>مسانختها له كمسانخ</w:t>
      </w:r>
      <w:r w:rsidR="00EC7EDF" w:rsidRPr="00FD211F">
        <w:rPr>
          <w:sz w:val="36"/>
          <w:szCs w:val="36"/>
          <w:rtl/>
        </w:rPr>
        <w:t xml:space="preserve">ة </w:t>
      </w:r>
      <w:r w:rsidR="00556BC0" w:rsidRPr="00FD211F">
        <w:rPr>
          <w:sz w:val="36"/>
          <w:szCs w:val="36"/>
          <w:rtl/>
        </w:rPr>
        <w:t>الظل مع ذي الظل.</w:t>
      </w:r>
    </w:p>
    <w:p w14:paraId="7EAFE8DF" w14:textId="77777777" w:rsidR="00556BC0" w:rsidRPr="00FD211F" w:rsidRDefault="00556BC0" w:rsidP="009C58C8">
      <w:pPr>
        <w:ind w:left="0" w:firstLine="227"/>
        <w:jc w:val="both"/>
        <w:rPr>
          <w:sz w:val="36"/>
          <w:szCs w:val="36"/>
          <w:rtl/>
        </w:rPr>
      </w:pPr>
      <w:r w:rsidRPr="00FD211F">
        <w:rPr>
          <w:b/>
          <w:bCs/>
          <w:sz w:val="36"/>
          <w:szCs w:val="36"/>
          <w:rtl/>
        </w:rPr>
        <w:t>وثانيا</w:t>
      </w:r>
      <w:r w:rsidRPr="00FD211F">
        <w:rPr>
          <w:sz w:val="36"/>
          <w:szCs w:val="36"/>
          <w:rtl/>
        </w:rPr>
        <w:t>: ان ما أقامه من البرهان على عدم دلال</w:t>
      </w:r>
      <w:r w:rsidR="00EC7EDF" w:rsidRPr="00FD211F">
        <w:rPr>
          <w:sz w:val="36"/>
          <w:szCs w:val="36"/>
          <w:rtl/>
        </w:rPr>
        <w:t xml:space="preserve">ة </w:t>
      </w:r>
      <w:r w:rsidRPr="00FD211F">
        <w:rPr>
          <w:sz w:val="36"/>
          <w:szCs w:val="36"/>
          <w:rtl/>
        </w:rPr>
        <w:t>هيئ</w:t>
      </w:r>
      <w:r w:rsidR="00EC7EDF" w:rsidRPr="00FD211F">
        <w:rPr>
          <w:sz w:val="36"/>
          <w:szCs w:val="36"/>
          <w:rtl/>
        </w:rPr>
        <w:t xml:space="preserve">ة </w:t>
      </w:r>
      <w:r w:rsidRPr="00FD211F">
        <w:rPr>
          <w:sz w:val="36"/>
          <w:szCs w:val="36"/>
          <w:rtl/>
        </w:rPr>
        <w:t>الفعل على النسب</w:t>
      </w:r>
      <w:r w:rsidR="00EC7EDF" w:rsidRPr="00FD211F">
        <w:rPr>
          <w:sz w:val="36"/>
          <w:szCs w:val="36"/>
          <w:rtl/>
        </w:rPr>
        <w:t xml:space="preserve">ة </w:t>
      </w:r>
      <w:r w:rsidRPr="00FD211F">
        <w:rPr>
          <w:sz w:val="36"/>
          <w:szCs w:val="36"/>
          <w:rtl/>
        </w:rPr>
        <w:t>الصدوري</w:t>
      </w:r>
      <w:r w:rsidR="00EC7EDF" w:rsidRPr="00FD211F">
        <w:rPr>
          <w:sz w:val="36"/>
          <w:szCs w:val="36"/>
          <w:rtl/>
        </w:rPr>
        <w:t xml:space="preserve">ة </w:t>
      </w:r>
      <w:r w:rsidRPr="00FD211F">
        <w:rPr>
          <w:sz w:val="36"/>
          <w:szCs w:val="36"/>
          <w:rtl/>
        </w:rPr>
        <w:t>-من اختلاف الأفعال من حيث كون نسبتها الى فاعلها صدوري</w:t>
      </w:r>
      <w:r w:rsidR="00EC7EDF" w:rsidRPr="00FD211F">
        <w:rPr>
          <w:sz w:val="36"/>
          <w:szCs w:val="36"/>
          <w:rtl/>
        </w:rPr>
        <w:t xml:space="preserve">ة </w:t>
      </w:r>
      <w:r w:rsidRPr="00FD211F">
        <w:rPr>
          <w:sz w:val="36"/>
          <w:szCs w:val="36"/>
          <w:rtl/>
        </w:rPr>
        <w:t>او حلولي</w:t>
      </w:r>
      <w:r w:rsidR="00EC7EDF" w:rsidRPr="00FD211F">
        <w:rPr>
          <w:sz w:val="36"/>
          <w:szCs w:val="36"/>
          <w:rtl/>
        </w:rPr>
        <w:t>ة</w:t>
      </w:r>
      <w:r w:rsidR="00603323" w:rsidRPr="00FD211F">
        <w:rPr>
          <w:sz w:val="36"/>
          <w:szCs w:val="36"/>
          <w:rtl/>
        </w:rPr>
        <w:t xml:space="preserve">، </w:t>
      </w:r>
      <w:r w:rsidRPr="00FD211F">
        <w:rPr>
          <w:sz w:val="36"/>
          <w:szCs w:val="36"/>
          <w:rtl/>
        </w:rPr>
        <w:t>فحيث ان الوضع في هيئ</w:t>
      </w:r>
      <w:r w:rsidR="00EC7EDF" w:rsidRPr="00FD211F">
        <w:rPr>
          <w:sz w:val="36"/>
          <w:szCs w:val="36"/>
          <w:rtl/>
        </w:rPr>
        <w:t xml:space="preserve">ة </w:t>
      </w:r>
      <w:r w:rsidRPr="00FD211F">
        <w:rPr>
          <w:sz w:val="36"/>
          <w:szCs w:val="36"/>
          <w:rtl/>
        </w:rPr>
        <w:t>الفعل نوعي فلايمكن ان تكون هي موضوع</w:t>
      </w:r>
      <w:r w:rsidR="00EC7EDF" w:rsidRPr="00FD211F">
        <w:rPr>
          <w:sz w:val="36"/>
          <w:szCs w:val="36"/>
          <w:rtl/>
        </w:rPr>
        <w:t xml:space="preserve">ة </w:t>
      </w:r>
      <w:r w:rsidRPr="00FD211F">
        <w:rPr>
          <w:sz w:val="36"/>
          <w:szCs w:val="36"/>
          <w:rtl/>
        </w:rPr>
        <w:t>على النسب</w:t>
      </w:r>
      <w:r w:rsidR="00EC7EDF" w:rsidRPr="00FD211F">
        <w:rPr>
          <w:sz w:val="36"/>
          <w:szCs w:val="36"/>
          <w:rtl/>
        </w:rPr>
        <w:t xml:space="preserve">ة </w:t>
      </w:r>
      <w:r w:rsidRPr="00FD211F">
        <w:rPr>
          <w:sz w:val="36"/>
          <w:szCs w:val="36"/>
          <w:rtl/>
        </w:rPr>
        <w:t>الصدوري</w:t>
      </w:r>
      <w:r w:rsidR="00EC7EDF" w:rsidRPr="00FD211F">
        <w:rPr>
          <w:sz w:val="36"/>
          <w:szCs w:val="36"/>
          <w:rtl/>
        </w:rPr>
        <w:t xml:space="preserve">ة </w:t>
      </w:r>
      <w:r w:rsidRPr="00FD211F">
        <w:rPr>
          <w:sz w:val="36"/>
          <w:szCs w:val="36"/>
          <w:rtl/>
        </w:rPr>
        <w:t>او الحلولي</w:t>
      </w:r>
      <w:r w:rsidR="00EC7EDF" w:rsidRPr="00FD211F">
        <w:rPr>
          <w:sz w:val="36"/>
          <w:szCs w:val="36"/>
          <w:rtl/>
        </w:rPr>
        <w:t xml:space="preserve">ة </w:t>
      </w:r>
      <w:r w:rsidRPr="00FD211F">
        <w:rPr>
          <w:sz w:val="36"/>
          <w:szCs w:val="36"/>
          <w:rtl/>
        </w:rPr>
        <w:t>- ففيه: انه يمكن ان يلتزم بوضع هيئ</w:t>
      </w:r>
      <w:r w:rsidR="00EC7EDF" w:rsidRPr="00FD211F">
        <w:rPr>
          <w:sz w:val="36"/>
          <w:szCs w:val="36"/>
          <w:rtl/>
        </w:rPr>
        <w:t xml:space="preserve">ة </w:t>
      </w:r>
      <w:r w:rsidRPr="00FD211F">
        <w:rPr>
          <w:sz w:val="36"/>
          <w:szCs w:val="36"/>
          <w:rtl/>
        </w:rPr>
        <w:t>الفعل لإفاد</w:t>
      </w:r>
      <w:r w:rsidR="00EC7EDF" w:rsidRPr="00FD211F">
        <w:rPr>
          <w:sz w:val="36"/>
          <w:szCs w:val="36"/>
          <w:rtl/>
        </w:rPr>
        <w:t xml:space="preserve">ة </w:t>
      </w:r>
      <w:r w:rsidRPr="00FD211F">
        <w:rPr>
          <w:sz w:val="36"/>
          <w:szCs w:val="36"/>
          <w:rtl/>
        </w:rPr>
        <w:t>حيث قيام الحدث بفاعله</w:t>
      </w:r>
      <w:r w:rsidR="00603323" w:rsidRPr="00FD211F">
        <w:rPr>
          <w:sz w:val="36"/>
          <w:szCs w:val="36"/>
          <w:rtl/>
        </w:rPr>
        <w:t xml:space="preserve">، </w:t>
      </w:r>
      <w:r w:rsidRPr="00FD211F">
        <w:rPr>
          <w:sz w:val="36"/>
          <w:szCs w:val="36"/>
          <w:rtl/>
        </w:rPr>
        <w:t>وتكون خصوصي</w:t>
      </w:r>
      <w:r w:rsidR="00EC7EDF" w:rsidRPr="00FD211F">
        <w:rPr>
          <w:sz w:val="36"/>
          <w:szCs w:val="36"/>
          <w:rtl/>
        </w:rPr>
        <w:t xml:space="preserve">ة </w:t>
      </w:r>
      <w:r w:rsidRPr="00FD211F">
        <w:rPr>
          <w:sz w:val="36"/>
          <w:szCs w:val="36"/>
          <w:rtl/>
        </w:rPr>
        <w:t>قيام الحدث بفاعله بنحو جامع بين الصدور والحلول</w:t>
      </w:r>
      <w:r w:rsidR="00603323" w:rsidRPr="00FD211F">
        <w:rPr>
          <w:sz w:val="36"/>
          <w:szCs w:val="36"/>
          <w:rtl/>
        </w:rPr>
        <w:t xml:space="preserve">، </w:t>
      </w:r>
      <w:r w:rsidRPr="00FD211F">
        <w:rPr>
          <w:sz w:val="36"/>
          <w:szCs w:val="36"/>
          <w:rtl/>
        </w:rPr>
        <w:t>وتكون خصوصي</w:t>
      </w:r>
      <w:r w:rsidR="00EC7EDF" w:rsidRPr="00FD211F">
        <w:rPr>
          <w:sz w:val="36"/>
          <w:szCs w:val="36"/>
          <w:rtl/>
        </w:rPr>
        <w:t xml:space="preserve">ة </w:t>
      </w:r>
      <w:r w:rsidRPr="00FD211F">
        <w:rPr>
          <w:sz w:val="36"/>
          <w:szCs w:val="36"/>
          <w:rtl/>
        </w:rPr>
        <w:t>الصدور او الحلول مستفاد</w:t>
      </w:r>
      <w:r w:rsidR="00EC7EDF" w:rsidRPr="00FD211F">
        <w:rPr>
          <w:sz w:val="36"/>
          <w:szCs w:val="36"/>
          <w:rtl/>
        </w:rPr>
        <w:t xml:space="preserve">ة </w:t>
      </w:r>
      <w:r w:rsidRPr="00FD211F">
        <w:rPr>
          <w:sz w:val="36"/>
          <w:szCs w:val="36"/>
          <w:rtl/>
        </w:rPr>
        <w:t>من دالّ آخر</w:t>
      </w:r>
      <w:r w:rsidR="00603323" w:rsidRPr="00FD211F">
        <w:rPr>
          <w:sz w:val="36"/>
          <w:szCs w:val="36"/>
          <w:rtl/>
        </w:rPr>
        <w:t xml:space="preserve">، </w:t>
      </w:r>
      <w:r w:rsidRPr="00FD211F">
        <w:rPr>
          <w:sz w:val="36"/>
          <w:szCs w:val="36"/>
          <w:rtl/>
        </w:rPr>
        <w:t>على أنه لابرهان على كون وضع هيئ</w:t>
      </w:r>
      <w:r w:rsidR="00EC7EDF" w:rsidRPr="00FD211F">
        <w:rPr>
          <w:sz w:val="36"/>
          <w:szCs w:val="36"/>
          <w:rtl/>
        </w:rPr>
        <w:t xml:space="preserve">ة </w:t>
      </w:r>
      <w:r w:rsidRPr="00FD211F">
        <w:rPr>
          <w:sz w:val="36"/>
          <w:szCs w:val="36"/>
          <w:rtl/>
        </w:rPr>
        <w:t>الفعل نوعيا بمرتب</w:t>
      </w:r>
      <w:r w:rsidR="00EC7EDF" w:rsidRPr="00FD211F">
        <w:rPr>
          <w:sz w:val="36"/>
          <w:szCs w:val="36"/>
          <w:rtl/>
        </w:rPr>
        <w:t xml:space="preserve">ة </w:t>
      </w:r>
      <w:r w:rsidRPr="00FD211F">
        <w:rPr>
          <w:sz w:val="36"/>
          <w:szCs w:val="36"/>
          <w:rtl/>
        </w:rPr>
        <w:t>لايختلف معناها في جميع الأفعال</w:t>
      </w:r>
      <w:r w:rsidR="00603323" w:rsidRPr="00FD211F">
        <w:rPr>
          <w:sz w:val="36"/>
          <w:szCs w:val="36"/>
          <w:rtl/>
        </w:rPr>
        <w:t xml:space="preserve">، </w:t>
      </w:r>
      <w:r w:rsidRPr="00FD211F">
        <w:rPr>
          <w:sz w:val="36"/>
          <w:szCs w:val="36"/>
          <w:rtl/>
        </w:rPr>
        <w:t>خاص</w:t>
      </w:r>
      <w:r w:rsidR="00EC7EDF" w:rsidRPr="00FD211F">
        <w:rPr>
          <w:sz w:val="36"/>
          <w:szCs w:val="36"/>
          <w:rtl/>
        </w:rPr>
        <w:t xml:space="preserve">ة </w:t>
      </w:r>
      <w:r w:rsidRPr="00FD211F">
        <w:rPr>
          <w:sz w:val="36"/>
          <w:szCs w:val="36"/>
          <w:rtl/>
        </w:rPr>
        <w:t>بعد كون الأوضاع اللغوي</w:t>
      </w:r>
      <w:r w:rsidR="00EC7EDF" w:rsidRPr="00FD211F">
        <w:rPr>
          <w:sz w:val="36"/>
          <w:szCs w:val="36"/>
          <w:rtl/>
        </w:rPr>
        <w:t xml:space="preserve">ة </w:t>
      </w:r>
      <w:r w:rsidRPr="00FD211F">
        <w:rPr>
          <w:sz w:val="36"/>
          <w:szCs w:val="36"/>
          <w:rtl/>
        </w:rPr>
        <w:t>تعيني</w:t>
      </w:r>
      <w:r w:rsidR="00EC7EDF" w:rsidRPr="00FD211F">
        <w:rPr>
          <w:sz w:val="36"/>
          <w:szCs w:val="36"/>
          <w:rtl/>
        </w:rPr>
        <w:t xml:space="preserve">ة </w:t>
      </w:r>
      <w:r w:rsidRPr="00FD211F">
        <w:rPr>
          <w:sz w:val="36"/>
          <w:szCs w:val="36"/>
          <w:rtl/>
        </w:rPr>
        <w:t>عاد</w:t>
      </w:r>
      <w:r w:rsidR="00EC7EDF" w:rsidRPr="00FD211F">
        <w:rPr>
          <w:sz w:val="36"/>
          <w:szCs w:val="36"/>
          <w:rtl/>
        </w:rPr>
        <w:t>ة</w:t>
      </w:r>
      <w:r w:rsidR="00603323" w:rsidRPr="00FD211F">
        <w:rPr>
          <w:sz w:val="36"/>
          <w:szCs w:val="36"/>
          <w:rtl/>
        </w:rPr>
        <w:t xml:space="preserve">، </w:t>
      </w:r>
      <w:r w:rsidRPr="00FD211F">
        <w:rPr>
          <w:sz w:val="36"/>
          <w:szCs w:val="36"/>
          <w:rtl/>
        </w:rPr>
        <w:t>ولذا نلتزم بان هيئ</w:t>
      </w:r>
      <w:r w:rsidR="00EC7EDF" w:rsidRPr="00FD211F">
        <w:rPr>
          <w:sz w:val="36"/>
          <w:szCs w:val="36"/>
          <w:rtl/>
        </w:rPr>
        <w:t xml:space="preserve">ة </w:t>
      </w:r>
      <w:r w:rsidRPr="00FD211F">
        <w:rPr>
          <w:sz w:val="36"/>
          <w:szCs w:val="36"/>
          <w:rtl/>
        </w:rPr>
        <w:t>التاجر قد وضعت على خصوصي</w:t>
      </w:r>
      <w:r w:rsidR="00EC7EDF" w:rsidRPr="00FD211F">
        <w:rPr>
          <w:sz w:val="36"/>
          <w:szCs w:val="36"/>
          <w:rtl/>
        </w:rPr>
        <w:t xml:space="preserve">ة </w:t>
      </w:r>
      <w:r w:rsidRPr="00FD211F">
        <w:rPr>
          <w:sz w:val="36"/>
          <w:szCs w:val="36"/>
          <w:rtl/>
        </w:rPr>
        <w:t>مهن</w:t>
      </w:r>
      <w:r w:rsidR="00EC7EDF" w:rsidRPr="00FD211F">
        <w:rPr>
          <w:sz w:val="36"/>
          <w:szCs w:val="36"/>
          <w:rtl/>
        </w:rPr>
        <w:t xml:space="preserve">ة </w:t>
      </w:r>
      <w:r w:rsidRPr="00FD211F">
        <w:rPr>
          <w:sz w:val="36"/>
          <w:szCs w:val="36"/>
          <w:rtl/>
        </w:rPr>
        <w:t>التجار</w:t>
      </w:r>
      <w:r w:rsidR="00EC7EDF" w:rsidRPr="00FD211F">
        <w:rPr>
          <w:sz w:val="36"/>
          <w:szCs w:val="36"/>
          <w:rtl/>
        </w:rPr>
        <w:t xml:space="preserve">ة </w:t>
      </w:r>
      <w:r w:rsidRPr="00FD211F">
        <w:rPr>
          <w:sz w:val="36"/>
          <w:szCs w:val="36"/>
          <w:rtl/>
        </w:rPr>
        <w:t>بخلاف هيئ</w:t>
      </w:r>
      <w:r w:rsidR="00EC7EDF" w:rsidRPr="00FD211F">
        <w:rPr>
          <w:sz w:val="36"/>
          <w:szCs w:val="36"/>
          <w:rtl/>
        </w:rPr>
        <w:t xml:space="preserve">ة </w:t>
      </w:r>
      <w:r w:rsidRPr="00FD211F">
        <w:rPr>
          <w:sz w:val="36"/>
          <w:szCs w:val="36"/>
          <w:rtl/>
        </w:rPr>
        <w:t>الشارب والآكل ونحوهما.</w:t>
      </w:r>
    </w:p>
    <w:p w14:paraId="3D859E03" w14:textId="77777777" w:rsidR="0005045E" w:rsidRPr="00FD211F" w:rsidRDefault="00556BC0" w:rsidP="009C58C8">
      <w:pPr>
        <w:pStyle w:val="a4"/>
        <w:ind w:left="0" w:firstLine="227"/>
        <w:jc w:val="both"/>
        <w:rPr>
          <w:sz w:val="36"/>
          <w:szCs w:val="36"/>
          <w:rtl/>
        </w:rPr>
      </w:pPr>
      <w:r w:rsidRPr="00FD211F">
        <w:rPr>
          <w:sz w:val="36"/>
          <w:szCs w:val="36"/>
          <w:rtl/>
        </w:rPr>
        <w:t>فالمتحصل انه كما افاد المحقق النائيني</w:t>
      </w:r>
      <w:r w:rsidR="004E0992" w:rsidRPr="00FD211F">
        <w:rPr>
          <w:sz w:val="36"/>
          <w:szCs w:val="36"/>
          <w:rtl/>
        </w:rPr>
        <w:t>"قده"</w:t>
      </w:r>
      <w:r w:rsidRPr="00FD211F">
        <w:rPr>
          <w:sz w:val="36"/>
          <w:szCs w:val="36"/>
          <w:rtl/>
        </w:rPr>
        <w:t xml:space="preserve"> تدل هيئ</w:t>
      </w:r>
      <w:r w:rsidR="00EC7EDF" w:rsidRPr="00FD211F">
        <w:rPr>
          <w:sz w:val="36"/>
          <w:szCs w:val="36"/>
          <w:rtl/>
        </w:rPr>
        <w:t xml:space="preserve">ة </w:t>
      </w:r>
      <w:r w:rsidRPr="00FD211F">
        <w:rPr>
          <w:sz w:val="36"/>
          <w:szCs w:val="36"/>
          <w:rtl/>
        </w:rPr>
        <w:t>الفعل الماضي والمضارع على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التحققي</w:t>
      </w:r>
      <w:r w:rsidR="00EC7EDF" w:rsidRPr="00FD211F">
        <w:rPr>
          <w:sz w:val="36"/>
          <w:szCs w:val="36"/>
          <w:rtl/>
        </w:rPr>
        <w:t xml:space="preserve">ة </w:t>
      </w:r>
      <w:r w:rsidRPr="00FD211F">
        <w:rPr>
          <w:sz w:val="36"/>
          <w:szCs w:val="36"/>
          <w:rtl/>
        </w:rPr>
        <w:t>بين الحدث وفاعله</w:t>
      </w:r>
      <w:r w:rsidR="00603323" w:rsidRPr="00FD211F">
        <w:rPr>
          <w:sz w:val="36"/>
          <w:szCs w:val="36"/>
          <w:rtl/>
        </w:rPr>
        <w:t xml:space="preserve">، </w:t>
      </w:r>
      <w:r w:rsidRPr="00FD211F">
        <w:rPr>
          <w:sz w:val="36"/>
          <w:szCs w:val="36"/>
          <w:rtl/>
        </w:rPr>
        <w:t xml:space="preserve">وقد يطرأ عليها النفي كما في قولنا </w:t>
      </w:r>
      <w:r w:rsidR="004E0992" w:rsidRPr="00FD211F">
        <w:rPr>
          <w:sz w:val="36"/>
          <w:szCs w:val="36"/>
          <w:rtl/>
        </w:rPr>
        <w:t>"</w:t>
      </w:r>
      <w:r w:rsidRPr="00FD211F">
        <w:rPr>
          <w:sz w:val="36"/>
          <w:szCs w:val="36"/>
          <w:rtl/>
        </w:rPr>
        <w:t>ما ضرب</w:t>
      </w:r>
      <w:r w:rsidR="004E0992" w:rsidRPr="00FD211F">
        <w:rPr>
          <w:sz w:val="36"/>
          <w:szCs w:val="36"/>
          <w:rtl/>
        </w:rPr>
        <w:t>"</w:t>
      </w:r>
      <w:r w:rsidRPr="00FD211F">
        <w:rPr>
          <w:sz w:val="36"/>
          <w:szCs w:val="36"/>
          <w:rtl/>
        </w:rPr>
        <w:t xml:space="preserve"> او</w:t>
      </w:r>
      <w:r w:rsidR="004E0992" w:rsidRPr="00FD211F">
        <w:rPr>
          <w:sz w:val="36"/>
          <w:szCs w:val="36"/>
          <w:rtl/>
        </w:rPr>
        <w:t>"</w:t>
      </w:r>
      <w:r w:rsidR="008D7B3D" w:rsidRPr="00FD211F">
        <w:rPr>
          <w:sz w:val="36"/>
          <w:szCs w:val="36"/>
          <w:rtl/>
        </w:rPr>
        <w:t xml:space="preserve"> لم‌</w:t>
      </w:r>
      <w:r w:rsidRPr="00FD211F">
        <w:rPr>
          <w:sz w:val="36"/>
          <w:szCs w:val="36"/>
          <w:rtl/>
        </w:rPr>
        <w:t xml:space="preserve">يضرب </w:t>
      </w:r>
      <w:r w:rsidR="004E0992" w:rsidRPr="00FD211F">
        <w:rPr>
          <w:sz w:val="36"/>
          <w:szCs w:val="36"/>
          <w:rtl/>
        </w:rPr>
        <w:t>"</w:t>
      </w:r>
      <w:r w:rsidRPr="00FD211F">
        <w:rPr>
          <w:sz w:val="36"/>
          <w:szCs w:val="36"/>
          <w:rtl/>
        </w:rPr>
        <w:t>او</w:t>
      </w:r>
      <w:r w:rsidR="004E0992" w:rsidRPr="00FD211F">
        <w:rPr>
          <w:sz w:val="36"/>
          <w:szCs w:val="36"/>
          <w:rtl/>
        </w:rPr>
        <w:t>"</w:t>
      </w:r>
      <w:r w:rsidRPr="00FD211F">
        <w:rPr>
          <w:sz w:val="36"/>
          <w:szCs w:val="36"/>
          <w:rtl/>
        </w:rPr>
        <w:t xml:space="preserve"> لايضرب</w:t>
      </w:r>
      <w:r w:rsidR="004E0992" w:rsidRPr="00FD211F">
        <w:rPr>
          <w:sz w:val="36"/>
          <w:szCs w:val="36"/>
          <w:rtl/>
        </w:rPr>
        <w:t>"</w:t>
      </w:r>
      <w:r w:rsidRPr="00FD211F">
        <w:rPr>
          <w:sz w:val="36"/>
          <w:szCs w:val="36"/>
          <w:rtl/>
        </w:rPr>
        <w:t xml:space="preserve"> او</w:t>
      </w:r>
      <w:r w:rsidR="004E0992" w:rsidRPr="00FD211F">
        <w:rPr>
          <w:sz w:val="36"/>
          <w:szCs w:val="36"/>
          <w:rtl/>
        </w:rPr>
        <w:t>"</w:t>
      </w:r>
      <w:r w:rsidRPr="00FD211F">
        <w:rPr>
          <w:sz w:val="36"/>
          <w:szCs w:val="36"/>
          <w:rtl/>
        </w:rPr>
        <w:t xml:space="preserve"> لن يضرب</w:t>
      </w:r>
      <w:r w:rsidR="004E0992" w:rsidRPr="00FD211F">
        <w:rPr>
          <w:sz w:val="36"/>
          <w:szCs w:val="36"/>
          <w:rtl/>
        </w:rPr>
        <w:t>".</w:t>
      </w:r>
    </w:p>
    <w:p w14:paraId="4A0B9B40" w14:textId="77777777" w:rsidR="000C5BBA" w:rsidRPr="00FD211F" w:rsidRDefault="00633BE9" w:rsidP="005946E3">
      <w:pPr>
        <w:pStyle w:val="a4"/>
        <w:ind w:left="0" w:firstLine="227"/>
        <w:jc w:val="both"/>
        <w:rPr>
          <w:sz w:val="36"/>
          <w:szCs w:val="36"/>
          <w:rtl/>
        </w:rPr>
      </w:pPr>
      <w:r w:rsidRPr="00FD211F">
        <w:rPr>
          <w:sz w:val="36"/>
          <w:szCs w:val="36"/>
          <w:rtl/>
        </w:rPr>
        <w:t xml:space="preserve">ثم </w:t>
      </w:r>
      <w:r w:rsidR="0005045E" w:rsidRPr="00FD211F">
        <w:rPr>
          <w:sz w:val="36"/>
          <w:szCs w:val="36"/>
          <w:rtl/>
        </w:rPr>
        <w:t>انه ذكر المحقق النائيني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0005045E" w:rsidRPr="00FD211F">
        <w:rPr>
          <w:sz w:val="36"/>
          <w:szCs w:val="36"/>
          <w:rtl/>
        </w:rPr>
        <w:t>في بحث وضع المركبات ان هيئ</w:t>
      </w:r>
      <w:r w:rsidR="00EC7EDF" w:rsidRPr="00FD211F">
        <w:rPr>
          <w:sz w:val="36"/>
          <w:szCs w:val="36"/>
          <w:rtl/>
        </w:rPr>
        <w:t xml:space="preserve">ة </w:t>
      </w:r>
      <w:r w:rsidR="0005045E" w:rsidRPr="00FD211F">
        <w:rPr>
          <w:sz w:val="36"/>
          <w:szCs w:val="36"/>
          <w:rtl/>
        </w:rPr>
        <w:t>الجمل</w:t>
      </w:r>
      <w:r w:rsidR="00EC7EDF" w:rsidRPr="00FD211F">
        <w:rPr>
          <w:sz w:val="36"/>
          <w:szCs w:val="36"/>
          <w:rtl/>
        </w:rPr>
        <w:t xml:space="preserve">ة </w:t>
      </w:r>
      <w:r w:rsidR="0005045E" w:rsidRPr="00FD211F">
        <w:rPr>
          <w:sz w:val="36"/>
          <w:szCs w:val="36"/>
          <w:rtl/>
        </w:rPr>
        <w:t>الإسمي</w:t>
      </w:r>
      <w:r w:rsidR="00EC7EDF" w:rsidRPr="00FD211F">
        <w:rPr>
          <w:sz w:val="36"/>
          <w:szCs w:val="36"/>
          <w:rtl/>
        </w:rPr>
        <w:t xml:space="preserve">ة </w:t>
      </w:r>
      <w:r w:rsidR="0005045E" w:rsidRPr="00FD211F">
        <w:rPr>
          <w:sz w:val="36"/>
          <w:szCs w:val="36"/>
          <w:rtl/>
        </w:rPr>
        <w:t>قد وضعت لإفاد</w:t>
      </w:r>
      <w:r w:rsidR="00EC7EDF" w:rsidRPr="00FD211F">
        <w:rPr>
          <w:sz w:val="36"/>
          <w:szCs w:val="36"/>
          <w:rtl/>
        </w:rPr>
        <w:t xml:space="preserve">ة </w:t>
      </w:r>
      <w:r w:rsidR="0005045E" w:rsidRPr="00FD211F">
        <w:rPr>
          <w:sz w:val="36"/>
          <w:szCs w:val="36"/>
          <w:rtl/>
        </w:rPr>
        <w:t>النسب</w:t>
      </w:r>
      <w:r w:rsidR="00EC7EDF" w:rsidRPr="00FD211F">
        <w:rPr>
          <w:sz w:val="36"/>
          <w:szCs w:val="36"/>
          <w:rtl/>
        </w:rPr>
        <w:t xml:space="preserve">ة </w:t>
      </w:r>
      <w:r w:rsidR="0005045E" w:rsidRPr="00FD211F">
        <w:rPr>
          <w:sz w:val="36"/>
          <w:szCs w:val="36"/>
          <w:rtl/>
        </w:rPr>
        <w:t>التام</w:t>
      </w:r>
      <w:r w:rsidR="00EC7EDF" w:rsidRPr="00FD211F">
        <w:rPr>
          <w:sz w:val="36"/>
          <w:szCs w:val="36"/>
          <w:rtl/>
        </w:rPr>
        <w:t xml:space="preserve">ة </w:t>
      </w:r>
      <w:r w:rsidR="0005045E" w:rsidRPr="00FD211F">
        <w:rPr>
          <w:sz w:val="36"/>
          <w:szCs w:val="36"/>
          <w:rtl/>
        </w:rPr>
        <w:t>لعدم وضع مفرداتها على ذلك</w:t>
      </w:r>
      <w:r w:rsidR="00603323" w:rsidRPr="00FD211F">
        <w:rPr>
          <w:sz w:val="36"/>
          <w:szCs w:val="36"/>
          <w:rtl/>
        </w:rPr>
        <w:t xml:space="preserve">، </w:t>
      </w:r>
      <w:r w:rsidR="0005045E" w:rsidRPr="00FD211F">
        <w:rPr>
          <w:sz w:val="36"/>
          <w:szCs w:val="36"/>
          <w:rtl/>
        </w:rPr>
        <w:t>وأما هيئ</w:t>
      </w:r>
      <w:r w:rsidR="00EC7EDF" w:rsidRPr="00FD211F">
        <w:rPr>
          <w:sz w:val="36"/>
          <w:szCs w:val="36"/>
          <w:rtl/>
        </w:rPr>
        <w:t xml:space="preserve">ة </w:t>
      </w:r>
      <w:r w:rsidR="0005045E" w:rsidRPr="00FD211F">
        <w:rPr>
          <w:sz w:val="36"/>
          <w:szCs w:val="36"/>
          <w:rtl/>
        </w:rPr>
        <w:t>الجمل</w:t>
      </w:r>
      <w:r w:rsidR="00EC7EDF" w:rsidRPr="00FD211F">
        <w:rPr>
          <w:sz w:val="36"/>
          <w:szCs w:val="36"/>
          <w:rtl/>
        </w:rPr>
        <w:t xml:space="preserve">ة </w:t>
      </w:r>
      <w:r w:rsidR="0005045E" w:rsidRPr="00FD211F">
        <w:rPr>
          <w:sz w:val="36"/>
          <w:szCs w:val="36"/>
          <w:rtl/>
        </w:rPr>
        <w:t>الفعلي</w:t>
      </w:r>
      <w:r w:rsidR="00EC7EDF" w:rsidRPr="00FD211F">
        <w:rPr>
          <w:sz w:val="36"/>
          <w:szCs w:val="36"/>
          <w:rtl/>
        </w:rPr>
        <w:t xml:space="preserve">ة </w:t>
      </w:r>
      <w:r w:rsidR="0005045E" w:rsidRPr="00FD211F">
        <w:rPr>
          <w:sz w:val="36"/>
          <w:szCs w:val="36"/>
          <w:rtl/>
        </w:rPr>
        <w:t>فلم توضع لإفاد</w:t>
      </w:r>
      <w:r w:rsidR="00EC7EDF" w:rsidRPr="00FD211F">
        <w:rPr>
          <w:sz w:val="36"/>
          <w:szCs w:val="36"/>
          <w:rtl/>
        </w:rPr>
        <w:t xml:space="preserve">ة </w:t>
      </w:r>
      <w:r w:rsidR="0005045E" w:rsidRPr="00FD211F">
        <w:rPr>
          <w:sz w:val="36"/>
          <w:szCs w:val="36"/>
          <w:rtl/>
        </w:rPr>
        <w:t>النسب</w:t>
      </w:r>
      <w:r w:rsidR="00EC7EDF" w:rsidRPr="00FD211F">
        <w:rPr>
          <w:sz w:val="36"/>
          <w:szCs w:val="36"/>
          <w:rtl/>
        </w:rPr>
        <w:t xml:space="preserve">ة </w:t>
      </w:r>
      <w:r w:rsidR="0005045E" w:rsidRPr="00FD211F">
        <w:rPr>
          <w:sz w:val="36"/>
          <w:szCs w:val="36"/>
          <w:rtl/>
        </w:rPr>
        <w:t>التام</w:t>
      </w:r>
      <w:r w:rsidR="00EC7EDF" w:rsidRPr="00FD211F">
        <w:rPr>
          <w:sz w:val="36"/>
          <w:szCs w:val="36"/>
          <w:rtl/>
        </w:rPr>
        <w:t>ة</w:t>
      </w:r>
      <w:r w:rsidR="00603323" w:rsidRPr="00FD211F">
        <w:rPr>
          <w:sz w:val="36"/>
          <w:szCs w:val="36"/>
          <w:rtl/>
        </w:rPr>
        <w:t xml:space="preserve">، </w:t>
      </w:r>
      <w:r w:rsidR="0005045E" w:rsidRPr="00FD211F">
        <w:rPr>
          <w:sz w:val="36"/>
          <w:szCs w:val="36"/>
          <w:rtl/>
        </w:rPr>
        <w:t>وانما هيئ</w:t>
      </w:r>
      <w:r w:rsidR="00EC7EDF" w:rsidRPr="00FD211F">
        <w:rPr>
          <w:sz w:val="36"/>
          <w:szCs w:val="36"/>
          <w:rtl/>
        </w:rPr>
        <w:t xml:space="preserve">ة </w:t>
      </w:r>
      <w:r w:rsidR="0005045E" w:rsidRPr="00FD211F">
        <w:rPr>
          <w:sz w:val="36"/>
          <w:szCs w:val="36"/>
          <w:rtl/>
        </w:rPr>
        <w:t>الفعل قد وضعت على ذلك</w:t>
      </w:r>
      <w:r w:rsidR="00603323" w:rsidRPr="00FD211F">
        <w:rPr>
          <w:sz w:val="36"/>
          <w:szCs w:val="36"/>
          <w:rtl/>
        </w:rPr>
        <w:t xml:space="preserve">، </w:t>
      </w:r>
      <w:r w:rsidR="0005045E" w:rsidRPr="00FD211F">
        <w:rPr>
          <w:sz w:val="36"/>
          <w:szCs w:val="36"/>
          <w:rtl/>
        </w:rPr>
        <w:t>وتدل لفظ</w:t>
      </w:r>
      <w:r w:rsidR="00EC7EDF" w:rsidRPr="00FD211F">
        <w:rPr>
          <w:sz w:val="36"/>
          <w:szCs w:val="36"/>
          <w:rtl/>
        </w:rPr>
        <w:t xml:space="preserve">ة </w:t>
      </w:r>
      <w:r w:rsidR="0005045E" w:rsidRPr="00FD211F">
        <w:rPr>
          <w:sz w:val="36"/>
          <w:szCs w:val="36"/>
          <w:rtl/>
        </w:rPr>
        <w:t>زيد على طرفها الآخر</w:t>
      </w:r>
      <w:r w:rsidR="00603323" w:rsidRPr="00FD211F">
        <w:rPr>
          <w:sz w:val="36"/>
          <w:szCs w:val="36"/>
          <w:rtl/>
        </w:rPr>
        <w:t xml:space="preserve">، </w:t>
      </w:r>
      <w:r w:rsidR="0005045E" w:rsidRPr="00FD211F">
        <w:rPr>
          <w:sz w:val="36"/>
          <w:szCs w:val="36"/>
          <w:rtl/>
        </w:rPr>
        <w:t>فيلغو وضع هيئ</w:t>
      </w:r>
      <w:r w:rsidR="00EC7EDF" w:rsidRPr="00FD211F">
        <w:rPr>
          <w:sz w:val="36"/>
          <w:szCs w:val="36"/>
          <w:rtl/>
        </w:rPr>
        <w:t xml:space="preserve">ة </w:t>
      </w:r>
      <w:r w:rsidR="0005045E" w:rsidRPr="00FD211F">
        <w:rPr>
          <w:sz w:val="36"/>
          <w:szCs w:val="36"/>
          <w:rtl/>
        </w:rPr>
        <w:t>الجمل</w:t>
      </w:r>
      <w:r w:rsidR="00EC7EDF" w:rsidRPr="00FD211F">
        <w:rPr>
          <w:sz w:val="36"/>
          <w:szCs w:val="36"/>
          <w:rtl/>
        </w:rPr>
        <w:t xml:space="preserve">ة </w:t>
      </w:r>
      <w:r w:rsidR="0005045E" w:rsidRPr="00FD211F">
        <w:rPr>
          <w:sz w:val="36"/>
          <w:szCs w:val="36"/>
          <w:rtl/>
        </w:rPr>
        <w:t>على إفاد</w:t>
      </w:r>
      <w:r w:rsidR="00EC7EDF" w:rsidRPr="00FD211F">
        <w:rPr>
          <w:sz w:val="36"/>
          <w:szCs w:val="36"/>
          <w:rtl/>
        </w:rPr>
        <w:t xml:space="preserve">ة </w:t>
      </w:r>
      <w:r w:rsidR="0005045E" w:rsidRPr="00FD211F">
        <w:rPr>
          <w:sz w:val="36"/>
          <w:szCs w:val="36"/>
          <w:rtl/>
        </w:rPr>
        <w:t>تلك النسب</w:t>
      </w:r>
      <w:r w:rsidR="00EC7EDF" w:rsidRPr="00FD211F">
        <w:rPr>
          <w:sz w:val="36"/>
          <w:szCs w:val="36"/>
          <w:rtl/>
        </w:rPr>
        <w:t xml:space="preserve">ة </w:t>
      </w:r>
      <w:r w:rsidR="0005045E" w:rsidRPr="00FD211F">
        <w:rPr>
          <w:sz w:val="36"/>
          <w:szCs w:val="36"/>
          <w:rtl/>
        </w:rPr>
        <w:t>التام</w:t>
      </w:r>
      <w:r w:rsidR="00EC7EDF" w:rsidRPr="00FD211F">
        <w:rPr>
          <w:sz w:val="36"/>
          <w:szCs w:val="36"/>
          <w:rtl/>
        </w:rPr>
        <w:t>ة</w:t>
      </w:r>
      <w:r w:rsidR="00603323" w:rsidRPr="00FD211F">
        <w:rPr>
          <w:sz w:val="36"/>
          <w:szCs w:val="36"/>
          <w:rtl/>
        </w:rPr>
        <w:t xml:space="preserve">، </w:t>
      </w:r>
      <w:r w:rsidR="0005045E" w:rsidRPr="00FD211F">
        <w:rPr>
          <w:sz w:val="36"/>
          <w:szCs w:val="36"/>
          <w:rtl/>
        </w:rPr>
        <w:t>حيث يلزم تعدد الدال على مدلول واحد</w:t>
      </w:r>
      <w:r w:rsidR="00603323" w:rsidRPr="00FD211F">
        <w:rPr>
          <w:sz w:val="36"/>
          <w:szCs w:val="36"/>
          <w:rtl/>
        </w:rPr>
        <w:t xml:space="preserve">، </w:t>
      </w:r>
      <w:r w:rsidR="0005045E" w:rsidRPr="00FD211F">
        <w:rPr>
          <w:sz w:val="36"/>
          <w:szCs w:val="36"/>
          <w:rtl/>
        </w:rPr>
        <w:t>فهيئ</w:t>
      </w:r>
      <w:r w:rsidR="00EC7EDF" w:rsidRPr="00FD211F">
        <w:rPr>
          <w:sz w:val="36"/>
          <w:szCs w:val="36"/>
          <w:rtl/>
        </w:rPr>
        <w:t xml:space="preserve">ة </w:t>
      </w:r>
      <w:r w:rsidR="0005045E" w:rsidRPr="00FD211F">
        <w:rPr>
          <w:sz w:val="36"/>
          <w:szCs w:val="36"/>
          <w:rtl/>
        </w:rPr>
        <w:t>الجمل</w:t>
      </w:r>
      <w:r w:rsidR="00EC7EDF" w:rsidRPr="00FD211F">
        <w:rPr>
          <w:sz w:val="36"/>
          <w:szCs w:val="36"/>
          <w:rtl/>
        </w:rPr>
        <w:t xml:space="preserve">ة </w:t>
      </w:r>
      <w:r w:rsidR="0005045E" w:rsidRPr="00FD211F">
        <w:rPr>
          <w:sz w:val="36"/>
          <w:szCs w:val="36"/>
          <w:rtl/>
        </w:rPr>
        <w:t>الفعلي</w:t>
      </w:r>
      <w:r w:rsidR="00EC7EDF" w:rsidRPr="00FD211F">
        <w:rPr>
          <w:sz w:val="36"/>
          <w:szCs w:val="36"/>
          <w:rtl/>
        </w:rPr>
        <w:t>ة</w:t>
      </w:r>
      <w:r w:rsidR="008D7B3D" w:rsidRPr="00FD211F">
        <w:rPr>
          <w:sz w:val="36"/>
          <w:szCs w:val="36"/>
          <w:rtl/>
        </w:rPr>
        <w:t xml:space="preserve"> لم‌</w:t>
      </w:r>
      <w:r w:rsidR="0005045E" w:rsidRPr="00FD211F">
        <w:rPr>
          <w:sz w:val="36"/>
          <w:szCs w:val="36"/>
          <w:rtl/>
        </w:rPr>
        <w:t>توضع لأي معنى</w:t>
      </w:r>
      <w:r w:rsidR="009C58C8" w:rsidRPr="00FD211F">
        <w:rPr>
          <w:rStyle w:val="a6"/>
          <w:sz w:val="36"/>
          <w:szCs w:val="36"/>
          <w:rtl/>
        </w:rPr>
        <w:t>(</w:t>
      </w:r>
      <w:r w:rsidR="009C58C8" w:rsidRPr="00FD211F">
        <w:rPr>
          <w:rStyle w:val="a6"/>
          <w:sz w:val="36"/>
          <w:szCs w:val="36"/>
          <w:rtl/>
        </w:rPr>
        <w:footnoteReference w:id="228"/>
      </w:r>
      <w:r w:rsidR="009C58C8" w:rsidRPr="00FD211F">
        <w:rPr>
          <w:rStyle w:val="a6"/>
          <w:sz w:val="36"/>
          <w:szCs w:val="36"/>
          <w:rtl/>
        </w:rPr>
        <w:t>)</w:t>
      </w:r>
      <w:r w:rsidR="0005045E" w:rsidRPr="00FD211F">
        <w:rPr>
          <w:sz w:val="36"/>
          <w:szCs w:val="36"/>
          <w:rtl/>
        </w:rPr>
        <w:t>.</w:t>
      </w:r>
    </w:p>
    <w:p w14:paraId="3A4FCF00" w14:textId="77777777" w:rsidR="0082650C" w:rsidRPr="00FD211F" w:rsidRDefault="0082650C" w:rsidP="009C58C8">
      <w:pPr>
        <w:pStyle w:val="a4"/>
        <w:ind w:left="0" w:firstLine="227"/>
        <w:jc w:val="both"/>
        <w:rPr>
          <w:sz w:val="36"/>
          <w:szCs w:val="36"/>
          <w:rtl/>
        </w:rPr>
      </w:pPr>
      <w:r w:rsidRPr="00FD211F">
        <w:rPr>
          <w:sz w:val="36"/>
          <w:szCs w:val="36"/>
          <w:rtl/>
        </w:rPr>
        <w:t>و</w:t>
      </w:r>
      <w:r w:rsidR="00711F30" w:rsidRPr="00FD211F">
        <w:rPr>
          <w:sz w:val="36"/>
          <w:szCs w:val="36"/>
          <w:rtl/>
        </w:rPr>
        <w:t>حكي عن</w:t>
      </w:r>
      <w:r w:rsidRPr="00FD211F">
        <w:rPr>
          <w:sz w:val="36"/>
          <w:szCs w:val="36"/>
          <w:rtl/>
        </w:rPr>
        <w:t xml:space="preserve"> المحقق العراقي</w:t>
      </w:r>
      <w:r w:rsidR="008F14E7" w:rsidRPr="00FD211F">
        <w:rPr>
          <w:sz w:val="36"/>
          <w:szCs w:val="36"/>
          <w:rtl/>
        </w:rPr>
        <w:t xml:space="preserve"> "قده"</w:t>
      </w:r>
      <w:r w:rsidR="00711F30" w:rsidRPr="00FD211F">
        <w:rPr>
          <w:sz w:val="36"/>
          <w:szCs w:val="36"/>
          <w:rtl/>
        </w:rPr>
        <w:t>أنه اورد عليه</w:t>
      </w:r>
      <w:r w:rsidR="00711F30" w:rsidRPr="00FD211F">
        <w:rPr>
          <w:b/>
          <w:bCs/>
          <w:sz w:val="36"/>
          <w:szCs w:val="36"/>
          <w:rtl/>
        </w:rPr>
        <w:t xml:space="preserve"> </w:t>
      </w:r>
      <w:r w:rsidRPr="00FD211F">
        <w:rPr>
          <w:b/>
          <w:bCs/>
          <w:sz w:val="36"/>
          <w:szCs w:val="36"/>
          <w:rtl/>
        </w:rPr>
        <w:t>اولا</w:t>
      </w:r>
      <w:r w:rsidRPr="00FD211F">
        <w:rPr>
          <w:sz w:val="36"/>
          <w:szCs w:val="36"/>
          <w:rtl/>
        </w:rPr>
        <w:t>: بالنقض بقولنا</w:t>
      </w:r>
      <w:r w:rsidR="004E0992" w:rsidRPr="00FD211F">
        <w:rPr>
          <w:sz w:val="36"/>
          <w:szCs w:val="36"/>
          <w:rtl/>
        </w:rPr>
        <w:t>" زيد ض</w:t>
      </w:r>
      <w:r w:rsidR="00833925" w:rsidRPr="00FD211F">
        <w:rPr>
          <w:sz w:val="36"/>
          <w:szCs w:val="36"/>
          <w:rtl/>
        </w:rPr>
        <w:t>َ</w:t>
      </w:r>
      <w:r w:rsidR="004E0992" w:rsidRPr="00FD211F">
        <w:rPr>
          <w:sz w:val="36"/>
          <w:szCs w:val="36"/>
          <w:rtl/>
        </w:rPr>
        <w:t>رب</w:t>
      </w:r>
      <w:r w:rsidR="00833925" w:rsidRPr="00FD211F">
        <w:rPr>
          <w:sz w:val="36"/>
          <w:szCs w:val="36"/>
          <w:rtl/>
        </w:rPr>
        <w:t>َ</w:t>
      </w:r>
      <w:r w:rsidR="004E0992" w:rsidRPr="00FD211F">
        <w:rPr>
          <w:sz w:val="36"/>
          <w:szCs w:val="36"/>
          <w:rtl/>
        </w:rPr>
        <w:t>"</w:t>
      </w:r>
      <w:r w:rsidRPr="00FD211F">
        <w:rPr>
          <w:sz w:val="36"/>
          <w:szCs w:val="36"/>
          <w:rtl/>
        </w:rPr>
        <w:t xml:space="preserve"> فانه جمل</w:t>
      </w:r>
      <w:r w:rsidR="00EC7EDF" w:rsidRPr="00FD211F">
        <w:rPr>
          <w:sz w:val="36"/>
          <w:szCs w:val="36"/>
          <w:rtl/>
        </w:rPr>
        <w:t xml:space="preserve">ة </w:t>
      </w:r>
      <w:r w:rsidRPr="00FD211F">
        <w:rPr>
          <w:sz w:val="36"/>
          <w:szCs w:val="36"/>
          <w:rtl/>
        </w:rPr>
        <w:t>اسمي</w:t>
      </w:r>
      <w:r w:rsidR="00EC7EDF" w:rsidRPr="00FD211F">
        <w:rPr>
          <w:sz w:val="36"/>
          <w:szCs w:val="36"/>
          <w:rtl/>
        </w:rPr>
        <w:t>ة</w:t>
      </w:r>
      <w:r w:rsidR="00603323" w:rsidRPr="00FD211F">
        <w:rPr>
          <w:sz w:val="36"/>
          <w:szCs w:val="36"/>
          <w:rtl/>
        </w:rPr>
        <w:t xml:space="preserve">، </w:t>
      </w:r>
      <w:r w:rsidRPr="00FD211F">
        <w:rPr>
          <w:sz w:val="36"/>
          <w:szCs w:val="36"/>
          <w:rtl/>
        </w:rPr>
        <w:t>وقد التزم فيها بوضع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لإفاد</w:t>
      </w:r>
      <w:r w:rsidR="00EC7EDF" w:rsidRPr="00FD211F">
        <w:rPr>
          <w:sz w:val="36"/>
          <w:szCs w:val="36"/>
          <w:rtl/>
        </w:rPr>
        <w:t xml:space="preserve">ة </w:t>
      </w:r>
      <w:r w:rsidRPr="00FD211F">
        <w:rPr>
          <w:sz w:val="36"/>
          <w:szCs w:val="36"/>
          <w:rtl/>
        </w:rPr>
        <w:t>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مع ورود اشكاله فيه ايضا.</w:t>
      </w:r>
    </w:p>
    <w:p w14:paraId="22C50A4B" w14:textId="77777777" w:rsidR="000C5BBA" w:rsidRPr="00FD211F" w:rsidRDefault="004E0992" w:rsidP="009C58C8">
      <w:pPr>
        <w:pStyle w:val="a4"/>
        <w:ind w:left="0" w:firstLine="227"/>
        <w:jc w:val="both"/>
        <w:rPr>
          <w:rStyle w:val="a6"/>
          <w:sz w:val="36"/>
          <w:szCs w:val="36"/>
          <w:rtl/>
        </w:rPr>
      </w:pPr>
      <w:r w:rsidRPr="00FD211F">
        <w:rPr>
          <w:b/>
          <w:bCs/>
          <w:sz w:val="36"/>
          <w:szCs w:val="36"/>
          <w:rtl/>
        </w:rPr>
        <w:t>وثانيا</w:t>
      </w:r>
      <w:r w:rsidRPr="00FD211F">
        <w:rPr>
          <w:sz w:val="36"/>
          <w:szCs w:val="36"/>
          <w:rtl/>
        </w:rPr>
        <w:t xml:space="preserve"> بان هيئ</w:t>
      </w:r>
      <w:r w:rsidR="00EC7EDF" w:rsidRPr="00FD211F">
        <w:rPr>
          <w:sz w:val="36"/>
          <w:szCs w:val="36"/>
          <w:rtl/>
        </w:rPr>
        <w:t xml:space="preserve">ة </w:t>
      </w:r>
      <w:r w:rsidRPr="00FD211F">
        <w:rPr>
          <w:sz w:val="36"/>
          <w:szCs w:val="36"/>
          <w:rtl/>
        </w:rPr>
        <w:t>الفعل تدل على النسب</w:t>
      </w:r>
      <w:r w:rsidR="00EC7EDF" w:rsidRPr="00FD211F">
        <w:rPr>
          <w:sz w:val="36"/>
          <w:szCs w:val="36"/>
          <w:rtl/>
        </w:rPr>
        <w:t xml:space="preserve">ة </w:t>
      </w:r>
      <w:r w:rsidRPr="00FD211F">
        <w:rPr>
          <w:sz w:val="36"/>
          <w:szCs w:val="36"/>
          <w:rtl/>
        </w:rPr>
        <w:t>التحققي</w:t>
      </w:r>
      <w:r w:rsidR="00EC7EDF" w:rsidRPr="00FD211F">
        <w:rPr>
          <w:sz w:val="36"/>
          <w:szCs w:val="36"/>
          <w:rtl/>
        </w:rPr>
        <w:t xml:space="preserve">ة </w:t>
      </w:r>
      <w:r w:rsidRPr="00FD211F">
        <w:rPr>
          <w:sz w:val="36"/>
          <w:szCs w:val="36"/>
          <w:rtl/>
        </w:rPr>
        <w:t xml:space="preserve">بين </w:t>
      </w:r>
      <w:r w:rsidR="00711F30" w:rsidRPr="00FD211F">
        <w:rPr>
          <w:sz w:val="36"/>
          <w:szCs w:val="36"/>
          <w:rtl/>
        </w:rPr>
        <w:t xml:space="preserve">الحدث </w:t>
      </w:r>
      <w:r w:rsidRPr="00FD211F">
        <w:rPr>
          <w:sz w:val="36"/>
          <w:szCs w:val="36"/>
          <w:rtl/>
        </w:rPr>
        <w:t>و</w:t>
      </w:r>
      <w:r w:rsidR="00711F30" w:rsidRPr="00FD211F">
        <w:rPr>
          <w:sz w:val="36"/>
          <w:szCs w:val="36"/>
          <w:rtl/>
        </w:rPr>
        <w:t>ال</w:t>
      </w:r>
      <w:r w:rsidRPr="00FD211F">
        <w:rPr>
          <w:sz w:val="36"/>
          <w:szCs w:val="36"/>
          <w:rtl/>
        </w:rPr>
        <w:t>ذات المبهم</w:t>
      </w:r>
      <w:r w:rsidR="00EC7EDF" w:rsidRPr="00FD211F">
        <w:rPr>
          <w:sz w:val="36"/>
          <w:szCs w:val="36"/>
          <w:rtl/>
        </w:rPr>
        <w:t>ة</w:t>
      </w:r>
      <w:r w:rsidR="00603323" w:rsidRPr="00FD211F">
        <w:rPr>
          <w:sz w:val="36"/>
          <w:szCs w:val="36"/>
          <w:rtl/>
        </w:rPr>
        <w:t xml:space="preserve">، </w:t>
      </w:r>
      <w:r w:rsidRPr="00FD211F">
        <w:rPr>
          <w:sz w:val="36"/>
          <w:szCs w:val="36"/>
          <w:rtl/>
        </w:rPr>
        <w:t>واما تعيين كون المذكور في الجمل</w:t>
      </w:r>
      <w:r w:rsidR="00EC7EDF" w:rsidRPr="00FD211F">
        <w:rPr>
          <w:sz w:val="36"/>
          <w:szCs w:val="36"/>
          <w:rtl/>
        </w:rPr>
        <w:t xml:space="preserve">ة </w:t>
      </w:r>
      <w:r w:rsidRPr="00FD211F">
        <w:rPr>
          <w:sz w:val="36"/>
          <w:szCs w:val="36"/>
          <w:rtl/>
        </w:rPr>
        <w:t>هو الفا</w:t>
      </w:r>
      <w:r w:rsidR="00711F30" w:rsidRPr="00FD211F">
        <w:rPr>
          <w:sz w:val="36"/>
          <w:szCs w:val="36"/>
          <w:rtl/>
        </w:rPr>
        <w:t>عل فلابد ان يستفاد من هيئ</w:t>
      </w:r>
      <w:r w:rsidR="00EC7EDF" w:rsidRPr="00FD211F">
        <w:rPr>
          <w:sz w:val="36"/>
          <w:szCs w:val="36"/>
          <w:rtl/>
        </w:rPr>
        <w:t xml:space="preserve">ة </w:t>
      </w:r>
      <w:r w:rsidR="00711F30" w:rsidRPr="00FD211F">
        <w:rPr>
          <w:sz w:val="36"/>
          <w:szCs w:val="36"/>
          <w:rtl/>
        </w:rPr>
        <w:t>الجمل</w:t>
      </w:r>
      <w:r w:rsidR="00EC7EDF" w:rsidRPr="00FD211F">
        <w:rPr>
          <w:sz w:val="36"/>
          <w:szCs w:val="36"/>
          <w:rtl/>
        </w:rPr>
        <w:t>ة</w:t>
      </w:r>
      <w:r w:rsidR="00A61BAE" w:rsidRPr="00FD211F">
        <w:rPr>
          <w:sz w:val="36"/>
          <w:szCs w:val="36"/>
          <w:rtl/>
        </w:rPr>
        <w:t>.</w:t>
      </w:r>
    </w:p>
    <w:p w14:paraId="7C28AA2C" w14:textId="77777777" w:rsidR="000C5BBA" w:rsidRPr="00FD211F" w:rsidRDefault="004E0992" w:rsidP="009C58C8">
      <w:pPr>
        <w:pStyle w:val="a4"/>
        <w:ind w:left="0" w:firstLine="227"/>
        <w:jc w:val="both"/>
        <w:rPr>
          <w:sz w:val="36"/>
          <w:szCs w:val="36"/>
          <w:rtl/>
        </w:rPr>
      </w:pPr>
      <w:r w:rsidRPr="00FD211F">
        <w:rPr>
          <w:sz w:val="36"/>
          <w:szCs w:val="36"/>
          <w:rtl/>
        </w:rPr>
        <w:t xml:space="preserve">ويمكن الجواب عن </w:t>
      </w:r>
      <w:r w:rsidR="0082650C" w:rsidRPr="00FD211F">
        <w:rPr>
          <w:sz w:val="36"/>
          <w:szCs w:val="36"/>
          <w:rtl/>
        </w:rPr>
        <w:t>نقض</w:t>
      </w:r>
      <w:r w:rsidRPr="00FD211F">
        <w:rPr>
          <w:sz w:val="36"/>
          <w:szCs w:val="36"/>
          <w:rtl/>
        </w:rPr>
        <w:t>ه</w:t>
      </w:r>
      <w:r w:rsidR="0082650C" w:rsidRPr="00FD211F">
        <w:rPr>
          <w:sz w:val="36"/>
          <w:szCs w:val="36"/>
          <w:rtl/>
        </w:rPr>
        <w:t xml:space="preserve"> بانه إما يلتزم في مثل قولنا</w:t>
      </w:r>
      <w:r w:rsidR="00711F30" w:rsidRPr="00FD211F">
        <w:rPr>
          <w:sz w:val="36"/>
          <w:szCs w:val="36"/>
          <w:rtl/>
        </w:rPr>
        <w:t>"</w:t>
      </w:r>
      <w:r w:rsidR="0082650C" w:rsidRPr="00FD211F">
        <w:rPr>
          <w:sz w:val="36"/>
          <w:szCs w:val="36"/>
          <w:rtl/>
        </w:rPr>
        <w:t xml:space="preserve"> زيد ض</w:t>
      </w:r>
      <w:r w:rsidR="00833925" w:rsidRPr="00FD211F">
        <w:rPr>
          <w:sz w:val="36"/>
          <w:szCs w:val="36"/>
          <w:rtl/>
        </w:rPr>
        <w:t>َ</w:t>
      </w:r>
      <w:r w:rsidR="0082650C" w:rsidRPr="00FD211F">
        <w:rPr>
          <w:sz w:val="36"/>
          <w:szCs w:val="36"/>
          <w:rtl/>
        </w:rPr>
        <w:t>رب</w:t>
      </w:r>
      <w:r w:rsidR="00833925" w:rsidRPr="00FD211F">
        <w:rPr>
          <w:sz w:val="36"/>
          <w:szCs w:val="36"/>
          <w:rtl/>
        </w:rPr>
        <w:t>َ</w:t>
      </w:r>
      <w:r w:rsidR="0082650C" w:rsidRPr="00FD211F">
        <w:rPr>
          <w:sz w:val="36"/>
          <w:szCs w:val="36"/>
          <w:rtl/>
        </w:rPr>
        <w:t xml:space="preserve"> </w:t>
      </w:r>
      <w:r w:rsidR="00711F30" w:rsidRPr="00FD211F">
        <w:rPr>
          <w:sz w:val="36"/>
          <w:szCs w:val="36"/>
          <w:rtl/>
        </w:rPr>
        <w:t>"</w:t>
      </w:r>
      <w:r w:rsidR="0082650C" w:rsidRPr="00FD211F">
        <w:rPr>
          <w:sz w:val="36"/>
          <w:szCs w:val="36"/>
          <w:rtl/>
        </w:rPr>
        <w:t>بكون الفاعل فيه هو الضمير المستتر فيحتاج لإفاد</w:t>
      </w:r>
      <w:r w:rsidR="00EC7EDF" w:rsidRPr="00FD211F">
        <w:rPr>
          <w:sz w:val="36"/>
          <w:szCs w:val="36"/>
          <w:rtl/>
        </w:rPr>
        <w:t xml:space="preserve">ة </w:t>
      </w:r>
      <w:r w:rsidR="0082650C" w:rsidRPr="00FD211F">
        <w:rPr>
          <w:sz w:val="36"/>
          <w:szCs w:val="36"/>
          <w:rtl/>
        </w:rPr>
        <w:t>حمل الجمل</w:t>
      </w:r>
      <w:r w:rsidR="00EC7EDF" w:rsidRPr="00FD211F">
        <w:rPr>
          <w:sz w:val="36"/>
          <w:szCs w:val="36"/>
          <w:rtl/>
        </w:rPr>
        <w:t xml:space="preserve">ة </w:t>
      </w:r>
      <w:r w:rsidR="0082650C" w:rsidRPr="00FD211F">
        <w:rPr>
          <w:sz w:val="36"/>
          <w:szCs w:val="36"/>
          <w:rtl/>
        </w:rPr>
        <w:t>الصغرى على المبتدأ الى دالّ وهو هيئ</w:t>
      </w:r>
      <w:r w:rsidR="00EC7EDF" w:rsidRPr="00FD211F">
        <w:rPr>
          <w:sz w:val="36"/>
          <w:szCs w:val="36"/>
          <w:rtl/>
        </w:rPr>
        <w:t xml:space="preserve">ة </w:t>
      </w:r>
      <w:r w:rsidR="0082650C" w:rsidRPr="00FD211F">
        <w:rPr>
          <w:sz w:val="36"/>
          <w:szCs w:val="36"/>
          <w:rtl/>
        </w:rPr>
        <w:t>الجمل</w:t>
      </w:r>
      <w:r w:rsidR="00EC7EDF" w:rsidRPr="00FD211F">
        <w:rPr>
          <w:sz w:val="36"/>
          <w:szCs w:val="36"/>
          <w:rtl/>
        </w:rPr>
        <w:t>ة</w:t>
      </w:r>
      <w:r w:rsidR="00603323" w:rsidRPr="00FD211F">
        <w:rPr>
          <w:sz w:val="36"/>
          <w:szCs w:val="36"/>
          <w:rtl/>
        </w:rPr>
        <w:t xml:space="preserve">، </w:t>
      </w:r>
      <w:r w:rsidR="0082650C" w:rsidRPr="00FD211F">
        <w:rPr>
          <w:sz w:val="36"/>
          <w:szCs w:val="36"/>
          <w:rtl/>
        </w:rPr>
        <w:t>او يلتزم بان الفاعل نفس المبتدأ</w:t>
      </w:r>
      <w:r w:rsidR="00603323" w:rsidRPr="00FD211F">
        <w:rPr>
          <w:sz w:val="36"/>
          <w:szCs w:val="36"/>
          <w:rtl/>
        </w:rPr>
        <w:t xml:space="preserve">، </w:t>
      </w:r>
      <w:r w:rsidR="0082650C" w:rsidRPr="00FD211F">
        <w:rPr>
          <w:sz w:val="36"/>
          <w:szCs w:val="36"/>
          <w:rtl/>
        </w:rPr>
        <w:t>فلايختلف عن الجمل</w:t>
      </w:r>
      <w:r w:rsidR="00EC7EDF" w:rsidRPr="00FD211F">
        <w:rPr>
          <w:sz w:val="36"/>
          <w:szCs w:val="36"/>
          <w:rtl/>
        </w:rPr>
        <w:t xml:space="preserve">ة </w:t>
      </w:r>
      <w:r w:rsidR="0082650C" w:rsidRPr="00FD211F">
        <w:rPr>
          <w:sz w:val="36"/>
          <w:szCs w:val="36"/>
          <w:rtl/>
        </w:rPr>
        <w:t>الفعلي</w:t>
      </w:r>
      <w:r w:rsidR="00EC7EDF" w:rsidRPr="00FD211F">
        <w:rPr>
          <w:sz w:val="36"/>
          <w:szCs w:val="36"/>
          <w:rtl/>
        </w:rPr>
        <w:t xml:space="preserve">ة </w:t>
      </w:r>
      <w:r w:rsidR="0082650C" w:rsidRPr="00FD211F">
        <w:rPr>
          <w:sz w:val="36"/>
          <w:szCs w:val="36"/>
          <w:rtl/>
        </w:rPr>
        <w:t xml:space="preserve">التي يدعي المحقق النائيني </w:t>
      </w:r>
      <w:r w:rsidRPr="00FD211F">
        <w:rPr>
          <w:sz w:val="36"/>
          <w:szCs w:val="36"/>
          <w:rtl/>
        </w:rPr>
        <w:t>"</w:t>
      </w:r>
      <w:r w:rsidR="0082650C" w:rsidRPr="00FD211F">
        <w:rPr>
          <w:sz w:val="36"/>
          <w:szCs w:val="36"/>
          <w:rtl/>
        </w:rPr>
        <w:t>قده</w:t>
      </w:r>
      <w:r w:rsidRPr="00FD211F">
        <w:rPr>
          <w:sz w:val="36"/>
          <w:szCs w:val="36"/>
          <w:rtl/>
        </w:rPr>
        <w:t>"</w:t>
      </w:r>
      <w:r w:rsidR="0082650C" w:rsidRPr="00FD211F">
        <w:rPr>
          <w:sz w:val="36"/>
          <w:szCs w:val="36"/>
          <w:rtl/>
        </w:rPr>
        <w:t xml:space="preserve"> عدم وضع هيئتها لمعنى.</w:t>
      </w:r>
    </w:p>
    <w:p w14:paraId="3F154C66" w14:textId="77777777" w:rsidR="00556BC0" w:rsidRPr="00FD211F" w:rsidRDefault="004E0992" w:rsidP="009C58C8">
      <w:pPr>
        <w:ind w:left="0" w:firstLine="227"/>
        <w:jc w:val="both"/>
        <w:rPr>
          <w:sz w:val="36"/>
          <w:szCs w:val="36"/>
          <w:rtl/>
        </w:rPr>
      </w:pPr>
      <w:r w:rsidRPr="00FD211F">
        <w:rPr>
          <w:sz w:val="36"/>
          <w:szCs w:val="36"/>
          <w:rtl/>
        </w:rPr>
        <w:t>واماماذكره ثانيا</w:t>
      </w:r>
      <w:r w:rsidR="00B253CE" w:rsidRPr="00FD211F">
        <w:rPr>
          <w:sz w:val="36"/>
          <w:szCs w:val="36"/>
          <w:rtl/>
        </w:rPr>
        <w:t xml:space="preserve"> </w:t>
      </w:r>
      <w:r w:rsidRPr="00FD211F">
        <w:rPr>
          <w:sz w:val="36"/>
          <w:szCs w:val="36"/>
          <w:rtl/>
        </w:rPr>
        <w:t xml:space="preserve">ففيه ان </w:t>
      </w:r>
      <w:r w:rsidR="0082650C" w:rsidRPr="00FD211F">
        <w:rPr>
          <w:sz w:val="36"/>
          <w:szCs w:val="36"/>
          <w:rtl/>
        </w:rPr>
        <w:t>الظاهر ان هيئ</w:t>
      </w:r>
      <w:r w:rsidR="00EC7EDF" w:rsidRPr="00FD211F">
        <w:rPr>
          <w:sz w:val="36"/>
          <w:szCs w:val="36"/>
          <w:rtl/>
        </w:rPr>
        <w:t xml:space="preserve">ة </w:t>
      </w:r>
      <w:r w:rsidR="0082650C" w:rsidRPr="00FD211F">
        <w:rPr>
          <w:sz w:val="36"/>
          <w:szCs w:val="36"/>
          <w:rtl/>
        </w:rPr>
        <w:t>الفعل موضوع</w:t>
      </w:r>
      <w:r w:rsidR="00EC7EDF" w:rsidRPr="00FD211F">
        <w:rPr>
          <w:sz w:val="36"/>
          <w:szCs w:val="36"/>
          <w:rtl/>
        </w:rPr>
        <w:t xml:space="preserve">ة </w:t>
      </w:r>
      <w:r w:rsidR="0082650C" w:rsidRPr="00FD211F">
        <w:rPr>
          <w:sz w:val="36"/>
          <w:szCs w:val="36"/>
          <w:rtl/>
        </w:rPr>
        <w:t>لافاد</w:t>
      </w:r>
      <w:r w:rsidR="00EC7EDF" w:rsidRPr="00FD211F">
        <w:rPr>
          <w:sz w:val="36"/>
          <w:szCs w:val="36"/>
          <w:rtl/>
        </w:rPr>
        <w:t xml:space="preserve">ة </w:t>
      </w:r>
      <w:r w:rsidR="0082650C" w:rsidRPr="00FD211F">
        <w:rPr>
          <w:sz w:val="36"/>
          <w:szCs w:val="36"/>
          <w:rtl/>
        </w:rPr>
        <w:t>النسب</w:t>
      </w:r>
      <w:r w:rsidR="00EC7EDF" w:rsidRPr="00FD211F">
        <w:rPr>
          <w:sz w:val="36"/>
          <w:szCs w:val="36"/>
          <w:rtl/>
        </w:rPr>
        <w:t xml:space="preserve">ة </w:t>
      </w:r>
      <w:r w:rsidR="0082650C" w:rsidRPr="00FD211F">
        <w:rPr>
          <w:sz w:val="36"/>
          <w:szCs w:val="36"/>
          <w:rtl/>
        </w:rPr>
        <w:t>التام</w:t>
      </w:r>
      <w:r w:rsidR="00EC7EDF" w:rsidRPr="00FD211F">
        <w:rPr>
          <w:sz w:val="36"/>
          <w:szCs w:val="36"/>
          <w:rtl/>
        </w:rPr>
        <w:t xml:space="preserve">ة </w:t>
      </w:r>
      <w:r w:rsidR="0082650C" w:rsidRPr="00FD211F">
        <w:rPr>
          <w:sz w:val="36"/>
          <w:szCs w:val="36"/>
          <w:rtl/>
        </w:rPr>
        <w:t>من دون دلالتها على فاعلها ابدا</w:t>
      </w:r>
      <w:r w:rsidR="00603323" w:rsidRPr="00FD211F">
        <w:rPr>
          <w:sz w:val="36"/>
          <w:szCs w:val="36"/>
          <w:rtl/>
        </w:rPr>
        <w:t xml:space="preserve">، </w:t>
      </w:r>
      <w:r w:rsidR="0082650C" w:rsidRPr="00FD211F">
        <w:rPr>
          <w:sz w:val="36"/>
          <w:szCs w:val="36"/>
          <w:rtl/>
        </w:rPr>
        <w:t>وانما الدال على كون فاعلها هو المذكور بعد الفعل يكون هيئ</w:t>
      </w:r>
      <w:r w:rsidR="00EC7EDF" w:rsidRPr="00FD211F">
        <w:rPr>
          <w:sz w:val="36"/>
          <w:szCs w:val="36"/>
          <w:rtl/>
        </w:rPr>
        <w:t xml:space="preserve">ة </w:t>
      </w:r>
      <w:r w:rsidR="0082650C" w:rsidRPr="00FD211F">
        <w:rPr>
          <w:sz w:val="36"/>
          <w:szCs w:val="36"/>
          <w:rtl/>
        </w:rPr>
        <w:t>الجمل</w:t>
      </w:r>
      <w:r w:rsidR="00EC7EDF" w:rsidRPr="00FD211F">
        <w:rPr>
          <w:sz w:val="36"/>
          <w:szCs w:val="36"/>
          <w:rtl/>
        </w:rPr>
        <w:t>ة</w:t>
      </w:r>
      <w:r w:rsidR="00603323" w:rsidRPr="00FD211F">
        <w:rPr>
          <w:sz w:val="36"/>
          <w:szCs w:val="36"/>
          <w:rtl/>
        </w:rPr>
        <w:t xml:space="preserve">، </w:t>
      </w:r>
      <w:r w:rsidR="0082650C" w:rsidRPr="00FD211F">
        <w:rPr>
          <w:sz w:val="36"/>
          <w:szCs w:val="36"/>
          <w:rtl/>
        </w:rPr>
        <w:t xml:space="preserve">وبذلك يتبين الجواب عما ذكره المحقق النائيني </w:t>
      </w:r>
      <w:r w:rsidR="002E7DC1" w:rsidRPr="00FD211F">
        <w:rPr>
          <w:sz w:val="36"/>
          <w:szCs w:val="36"/>
          <w:rtl/>
        </w:rPr>
        <w:t>"</w:t>
      </w:r>
      <w:r w:rsidR="0082650C" w:rsidRPr="00FD211F">
        <w:rPr>
          <w:sz w:val="36"/>
          <w:szCs w:val="36"/>
          <w:rtl/>
        </w:rPr>
        <w:t>قده</w:t>
      </w:r>
      <w:r w:rsidR="002E7DC1" w:rsidRPr="00FD211F">
        <w:rPr>
          <w:sz w:val="36"/>
          <w:szCs w:val="36"/>
          <w:rtl/>
        </w:rPr>
        <w:t>"</w:t>
      </w:r>
      <w:r w:rsidR="0082650C" w:rsidRPr="00FD211F">
        <w:rPr>
          <w:sz w:val="36"/>
          <w:szCs w:val="36"/>
          <w:rtl/>
        </w:rPr>
        <w:t>.</w:t>
      </w:r>
    </w:p>
    <w:p w14:paraId="2F20CCFB" w14:textId="77777777" w:rsidR="000C5BBA" w:rsidRPr="00FD211F" w:rsidRDefault="00556BC0" w:rsidP="009C58C8">
      <w:pPr>
        <w:pStyle w:val="3"/>
        <w:ind w:firstLine="227"/>
        <w:jc w:val="both"/>
        <w:rPr>
          <w:rtl/>
        </w:rPr>
      </w:pPr>
      <w:bookmarkStart w:id="250" w:name="_Toc192092890"/>
      <w:bookmarkStart w:id="251" w:name="_Toc223890368"/>
      <w:r w:rsidRPr="00FD211F">
        <w:rPr>
          <w:rtl/>
        </w:rPr>
        <w:t>هيئ</w:t>
      </w:r>
      <w:r w:rsidR="00EC7EDF" w:rsidRPr="00FD211F">
        <w:rPr>
          <w:rtl/>
        </w:rPr>
        <w:t xml:space="preserve">ة </w:t>
      </w:r>
      <w:r w:rsidRPr="00FD211F">
        <w:rPr>
          <w:rtl/>
        </w:rPr>
        <w:t>فعل الأم</w:t>
      </w:r>
      <w:bookmarkEnd w:id="250"/>
      <w:r w:rsidR="00633BE9" w:rsidRPr="00FD211F">
        <w:rPr>
          <w:rtl/>
        </w:rPr>
        <w:t>ر</w:t>
      </w:r>
      <w:bookmarkEnd w:id="251"/>
    </w:p>
    <w:p w14:paraId="1864908D" w14:textId="77777777" w:rsidR="00E162CA" w:rsidRPr="00FD211F" w:rsidRDefault="00E162CA" w:rsidP="009C58C8">
      <w:pPr>
        <w:ind w:left="0" w:firstLine="227"/>
        <w:jc w:val="both"/>
        <w:rPr>
          <w:sz w:val="36"/>
          <w:szCs w:val="36"/>
          <w:rtl/>
        </w:rPr>
      </w:pPr>
      <w:r w:rsidRPr="00FD211F">
        <w:rPr>
          <w:sz w:val="36"/>
          <w:szCs w:val="36"/>
          <w:rtl/>
        </w:rPr>
        <w:t>اختلف الاعلام في المعنى الموضوع له لهيئ</w:t>
      </w:r>
      <w:r w:rsidR="00EC7EDF" w:rsidRPr="00FD211F">
        <w:rPr>
          <w:sz w:val="36"/>
          <w:szCs w:val="36"/>
          <w:rtl/>
        </w:rPr>
        <w:t xml:space="preserve">ة </w:t>
      </w:r>
      <w:r w:rsidR="001B3112" w:rsidRPr="00FD211F">
        <w:rPr>
          <w:sz w:val="36"/>
          <w:szCs w:val="36"/>
          <w:rtl/>
        </w:rPr>
        <w:t>الأمر</w:t>
      </w:r>
      <w:r w:rsidRPr="00FD211F">
        <w:rPr>
          <w:sz w:val="36"/>
          <w:szCs w:val="36"/>
          <w:rtl/>
        </w:rPr>
        <w:t>على اقوال</w:t>
      </w:r>
      <w:r w:rsidR="00EC7EDF" w:rsidRPr="00FD211F">
        <w:rPr>
          <w:sz w:val="36"/>
          <w:szCs w:val="36"/>
          <w:rtl/>
        </w:rPr>
        <w:t>:</w:t>
      </w:r>
    </w:p>
    <w:p w14:paraId="650A431E" w14:textId="77777777" w:rsidR="00E162CA" w:rsidRPr="00FD211F" w:rsidRDefault="007A53E1" w:rsidP="009C58C8">
      <w:pPr>
        <w:ind w:left="0" w:firstLine="227"/>
        <w:jc w:val="both"/>
        <w:rPr>
          <w:sz w:val="36"/>
          <w:szCs w:val="36"/>
          <w:rtl/>
        </w:rPr>
      </w:pPr>
      <w:r w:rsidRPr="00FD211F">
        <w:rPr>
          <w:sz w:val="36"/>
          <w:szCs w:val="36"/>
          <w:rtl/>
        </w:rPr>
        <w:t>1-</w:t>
      </w:r>
      <w:r w:rsidR="00E162CA" w:rsidRPr="00FD211F">
        <w:rPr>
          <w:sz w:val="36"/>
          <w:szCs w:val="36"/>
          <w:rtl/>
        </w:rPr>
        <w:t xml:space="preserve"> ما لعله المشهور من وضع صيغ</w:t>
      </w:r>
      <w:r w:rsidR="00EC7EDF" w:rsidRPr="00FD211F">
        <w:rPr>
          <w:sz w:val="36"/>
          <w:szCs w:val="36"/>
          <w:rtl/>
        </w:rPr>
        <w:t xml:space="preserve">ة </w:t>
      </w:r>
      <w:r w:rsidR="00E162CA" w:rsidRPr="00FD211F">
        <w:rPr>
          <w:sz w:val="36"/>
          <w:szCs w:val="36"/>
          <w:rtl/>
        </w:rPr>
        <w:t>الأمر لإنشاء البعث وإيجاده</w:t>
      </w:r>
      <w:r w:rsidR="00603323" w:rsidRPr="00FD211F">
        <w:rPr>
          <w:sz w:val="36"/>
          <w:szCs w:val="36"/>
          <w:rtl/>
        </w:rPr>
        <w:t xml:space="preserve">، </w:t>
      </w:r>
      <w:r w:rsidR="00E162CA" w:rsidRPr="00FD211F">
        <w:rPr>
          <w:sz w:val="36"/>
          <w:szCs w:val="36"/>
          <w:rtl/>
        </w:rPr>
        <w:t>او فقل لإيجاد النسب</w:t>
      </w:r>
      <w:r w:rsidR="00EC7EDF" w:rsidRPr="00FD211F">
        <w:rPr>
          <w:sz w:val="36"/>
          <w:szCs w:val="36"/>
          <w:rtl/>
        </w:rPr>
        <w:t xml:space="preserve">ة </w:t>
      </w:r>
      <w:r w:rsidR="00E162CA" w:rsidRPr="00FD211F">
        <w:rPr>
          <w:sz w:val="36"/>
          <w:szCs w:val="36"/>
          <w:rtl/>
        </w:rPr>
        <w:t>التام</w:t>
      </w:r>
      <w:r w:rsidR="00EC7EDF" w:rsidRPr="00FD211F">
        <w:rPr>
          <w:sz w:val="36"/>
          <w:szCs w:val="36"/>
          <w:rtl/>
        </w:rPr>
        <w:t xml:space="preserve">ة </w:t>
      </w:r>
      <w:r w:rsidR="00E162CA" w:rsidRPr="00FD211F">
        <w:rPr>
          <w:sz w:val="36"/>
          <w:szCs w:val="36"/>
          <w:rtl/>
        </w:rPr>
        <w:t>البعثي</w:t>
      </w:r>
      <w:r w:rsidR="00EC7EDF" w:rsidRPr="00FD211F">
        <w:rPr>
          <w:sz w:val="36"/>
          <w:szCs w:val="36"/>
          <w:rtl/>
        </w:rPr>
        <w:t>ة</w:t>
      </w:r>
      <w:r w:rsidR="00603323" w:rsidRPr="00FD211F">
        <w:rPr>
          <w:sz w:val="36"/>
          <w:szCs w:val="36"/>
          <w:rtl/>
        </w:rPr>
        <w:t xml:space="preserve">، </w:t>
      </w:r>
      <w:r w:rsidR="00E162CA" w:rsidRPr="00FD211F">
        <w:rPr>
          <w:sz w:val="36"/>
          <w:szCs w:val="36"/>
          <w:rtl/>
        </w:rPr>
        <w:t>فقد يوجدها المولى بالاشار</w:t>
      </w:r>
      <w:r w:rsidR="00EC7EDF" w:rsidRPr="00FD211F">
        <w:rPr>
          <w:sz w:val="36"/>
          <w:szCs w:val="36"/>
          <w:rtl/>
        </w:rPr>
        <w:t xml:space="preserve">ة </w:t>
      </w:r>
      <w:r w:rsidR="00E162CA" w:rsidRPr="00FD211F">
        <w:rPr>
          <w:sz w:val="36"/>
          <w:szCs w:val="36"/>
          <w:rtl/>
        </w:rPr>
        <w:t>باليد مثلا وقد يوجدها بصيغ</w:t>
      </w:r>
      <w:r w:rsidR="00EC7EDF" w:rsidRPr="00FD211F">
        <w:rPr>
          <w:sz w:val="36"/>
          <w:szCs w:val="36"/>
          <w:rtl/>
        </w:rPr>
        <w:t xml:space="preserve">ة </w:t>
      </w:r>
      <w:r w:rsidR="00E162CA" w:rsidRPr="00FD211F">
        <w:rPr>
          <w:sz w:val="36"/>
          <w:szCs w:val="36"/>
          <w:rtl/>
        </w:rPr>
        <w:t>افعل.</w:t>
      </w:r>
    </w:p>
    <w:p w14:paraId="55BDC431" w14:textId="77777777" w:rsidR="00E162CA" w:rsidRPr="00FD211F" w:rsidRDefault="00E162CA" w:rsidP="009C58C8">
      <w:pPr>
        <w:ind w:left="0" w:firstLine="227"/>
        <w:jc w:val="both"/>
        <w:rPr>
          <w:sz w:val="36"/>
          <w:szCs w:val="36"/>
          <w:rtl/>
        </w:rPr>
      </w:pPr>
      <w:r w:rsidRPr="00FD211F">
        <w:rPr>
          <w:sz w:val="36"/>
          <w:szCs w:val="36"/>
          <w:rtl/>
        </w:rPr>
        <w:t>وهذا هو الظاهر</w:t>
      </w:r>
      <w:r w:rsidR="00603323" w:rsidRPr="00FD211F">
        <w:rPr>
          <w:sz w:val="36"/>
          <w:szCs w:val="36"/>
          <w:rtl/>
        </w:rPr>
        <w:t xml:space="preserve">، </w:t>
      </w:r>
      <w:r w:rsidRPr="00FD211F">
        <w:rPr>
          <w:sz w:val="36"/>
          <w:szCs w:val="36"/>
          <w:rtl/>
        </w:rPr>
        <w:t>فان الظاهر من صيغ</w:t>
      </w:r>
      <w:r w:rsidR="00EC7EDF" w:rsidRPr="00FD211F">
        <w:rPr>
          <w:sz w:val="36"/>
          <w:szCs w:val="36"/>
          <w:rtl/>
        </w:rPr>
        <w:t xml:space="preserve">ة </w:t>
      </w:r>
      <w:r w:rsidRPr="00FD211F">
        <w:rPr>
          <w:sz w:val="36"/>
          <w:szCs w:val="36"/>
          <w:rtl/>
        </w:rPr>
        <w:t>الأمر انها تدل على</w:t>
      </w:r>
      <w:r w:rsidR="00F12E7E" w:rsidRPr="00FD211F">
        <w:rPr>
          <w:sz w:val="36"/>
          <w:szCs w:val="36"/>
          <w:rtl/>
        </w:rPr>
        <w:t xml:space="preserve"> ايجاد</w:t>
      </w:r>
      <w:r w:rsidRPr="00FD211F">
        <w:rPr>
          <w:sz w:val="36"/>
          <w:szCs w:val="36"/>
          <w:rtl/>
        </w:rPr>
        <w:t xml:space="preserve"> نسب</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بعثي</w:t>
      </w:r>
      <w:r w:rsidR="00EC7EDF" w:rsidRPr="00FD211F">
        <w:rPr>
          <w:sz w:val="36"/>
          <w:szCs w:val="36"/>
          <w:rtl/>
        </w:rPr>
        <w:t>ة</w:t>
      </w:r>
      <w:r w:rsidR="00603323" w:rsidRPr="00FD211F">
        <w:rPr>
          <w:sz w:val="36"/>
          <w:szCs w:val="36"/>
          <w:rtl/>
        </w:rPr>
        <w:t xml:space="preserve">، </w:t>
      </w:r>
      <w:r w:rsidRPr="00FD211F">
        <w:rPr>
          <w:sz w:val="36"/>
          <w:szCs w:val="36"/>
          <w:rtl/>
        </w:rPr>
        <w:t>وهيئ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تدل على تعيين الفاعل</w:t>
      </w:r>
      <w:r w:rsidR="00603323" w:rsidRPr="00FD211F">
        <w:rPr>
          <w:sz w:val="36"/>
          <w:szCs w:val="36"/>
          <w:rtl/>
        </w:rPr>
        <w:t xml:space="preserve">، </w:t>
      </w:r>
      <w:r w:rsidRPr="00FD211F">
        <w:rPr>
          <w:sz w:val="36"/>
          <w:szCs w:val="36"/>
          <w:rtl/>
        </w:rPr>
        <w:t>كما في قولنا "ليضرب زيد" او "اضرب انت"</w:t>
      </w:r>
      <w:r w:rsidR="00603323" w:rsidRPr="00FD211F">
        <w:rPr>
          <w:sz w:val="36"/>
          <w:szCs w:val="36"/>
          <w:rtl/>
        </w:rPr>
        <w:t xml:space="preserve">، </w:t>
      </w:r>
      <w:r w:rsidRPr="00FD211F">
        <w:rPr>
          <w:sz w:val="36"/>
          <w:szCs w:val="36"/>
          <w:rtl/>
        </w:rPr>
        <w:t>فالمعنى الذي يخظر بالذهن عند سم</w:t>
      </w:r>
      <w:r w:rsidR="002E7DC1" w:rsidRPr="00FD211F">
        <w:rPr>
          <w:sz w:val="36"/>
          <w:szCs w:val="36"/>
          <w:rtl/>
        </w:rPr>
        <w:t>اع صيغ</w:t>
      </w:r>
      <w:r w:rsidR="00EC7EDF" w:rsidRPr="00FD211F">
        <w:rPr>
          <w:sz w:val="36"/>
          <w:szCs w:val="36"/>
          <w:rtl/>
        </w:rPr>
        <w:t xml:space="preserve">ة </w:t>
      </w:r>
      <w:r w:rsidR="002E7DC1" w:rsidRPr="00FD211F">
        <w:rPr>
          <w:sz w:val="36"/>
          <w:szCs w:val="36"/>
          <w:rtl/>
        </w:rPr>
        <w:t>الأمر</w:t>
      </w:r>
      <w:r w:rsidRPr="00FD211F">
        <w:rPr>
          <w:sz w:val="36"/>
          <w:szCs w:val="36"/>
          <w:rtl/>
        </w:rPr>
        <w:t xml:space="preserve"> من متكلم غير ملتفت هو صور</w:t>
      </w:r>
      <w:r w:rsidR="00EC7EDF" w:rsidRPr="00FD211F">
        <w:rPr>
          <w:sz w:val="36"/>
          <w:szCs w:val="36"/>
          <w:rtl/>
        </w:rPr>
        <w:t xml:space="preserve">ة </w:t>
      </w:r>
      <w:r w:rsidRPr="00FD211F">
        <w:rPr>
          <w:sz w:val="36"/>
          <w:szCs w:val="36"/>
          <w:rtl/>
        </w:rPr>
        <w:t>مندمج</w:t>
      </w:r>
      <w:r w:rsidR="00EC7EDF" w:rsidRPr="00FD211F">
        <w:rPr>
          <w:sz w:val="36"/>
          <w:szCs w:val="36"/>
          <w:rtl/>
        </w:rPr>
        <w:t xml:space="preserve">ة </w:t>
      </w:r>
      <w:r w:rsidRPr="00FD211F">
        <w:rPr>
          <w:sz w:val="36"/>
          <w:szCs w:val="36"/>
          <w:rtl/>
        </w:rPr>
        <w:t>من ايجاد البعث.</w:t>
      </w:r>
      <w:r w:rsidR="00F12E7E" w:rsidRPr="00FD211F">
        <w:rPr>
          <w:sz w:val="36"/>
          <w:szCs w:val="36"/>
          <w:rtl/>
        </w:rPr>
        <w:t xml:space="preserve"> </w:t>
      </w:r>
    </w:p>
    <w:p w14:paraId="6C1C7406" w14:textId="77777777" w:rsidR="00E162CA" w:rsidRPr="00FD211F" w:rsidRDefault="00E162CA" w:rsidP="009C58C8">
      <w:pPr>
        <w:ind w:left="0" w:firstLine="227"/>
        <w:jc w:val="both"/>
        <w:rPr>
          <w:sz w:val="36"/>
          <w:szCs w:val="36"/>
          <w:rtl/>
        </w:rPr>
      </w:pPr>
      <w:r w:rsidRPr="00FD211F">
        <w:rPr>
          <w:sz w:val="36"/>
          <w:szCs w:val="36"/>
          <w:rtl/>
        </w:rPr>
        <w:t>هذا ولايخفى أن المراد من النسب</w:t>
      </w:r>
      <w:r w:rsidR="00EC7EDF" w:rsidRPr="00FD211F">
        <w:rPr>
          <w:sz w:val="36"/>
          <w:szCs w:val="36"/>
          <w:rtl/>
        </w:rPr>
        <w:t xml:space="preserve">ة </w:t>
      </w:r>
      <w:r w:rsidRPr="00FD211F">
        <w:rPr>
          <w:sz w:val="36"/>
          <w:szCs w:val="36"/>
          <w:rtl/>
        </w:rPr>
        <w:t>البعثي</w:t>
      </w:r>
      <w:r w:rsidR="00EC7EDF" w:rsidRPr="00FD211F">
        <w:rPr>
          <w:sz w:val="36"/>
          <w:szCs w:val="36"/>
          <w:rtl/>
        </w:rPr>
        <w:t xml:space="preserve">ة </w:t>
      </w:r>
      <w:r w:rsidRPr="00FD211F">
        <w:rPr>
          <w:sz w:val="36"/>
          <w:szCs w:val="36"/>
          <w:rtl/>
        </w:rPr>
        <w:t>ليس كونها مجرد نسب</w:t>
      </w:r>
      <w:r w:rsidR="00EC7EDF" w:rsidRPr="00FD211F">
        <w:rPr>
          <w:sz w:val="36"/>
          <w:szCs w:val="36"/>
          <w:rtl/>
        </w:rPr>
        <w:t>ة</w:t>
      </w:r>
      <w:r w:rsidR="00603323" w:rsidRPr="00FD211F">
        <w:rPr>
          <w:sz w:val="36"/>
          <w:szCs w:val="36"/>
          <w:rtl/>
        </w:rPr>
        <w:t xml:space="preserve">، </w:t>
      </w:r>
      <w:r w:rsidRPr="00FD211F">
        <w:rPr>
          <w:sz w:val="36"/>
          <w:szCs w:val="36"/>
          <w:rtl/>
        </w:rPr>
        <w:t>بل هو نسب</w:t>
      </w:r>
      <w:r w:rsidR="00EC7EDF" w:rsidRPr="00FD211F">
        <w:rPr>
          <w:sz w:val="36"/>
          <w:szCs w:val="36"/>
          <w:rtl/>
        </w:rPr>
        <w:t xml:space="preserve">ة </w:t>
      </w:r>
      <w:r w:rsidR="00C23084" w:rsidRPr="00FD211F">
        <w:rPr>
          <w:sz w:val="36"/>
          <w:szCs w:val="36"/>
          <w:rtl/>
        </w:rPr>
        <w:t>البعث الى فاعله او مفعوله</w:t>
      </w:r>
      <w:r w:rsidR="00603323" w:rsidRPr="00FD211F">
        <w:rPr>
          <w:sz w:val="36"/>
          <w:szCs w:val="36"/>
          <w:rtl/>
        </w:rPr>
        <w:t xml:space="preserve">، </w:t>
      </w:r>
      <w:r w:rsidR="00C23084" w:rsidRPr="00FD211F">
        <w:rPr>
          <w:sz w:val="36"/>
          <w:szCs w:val="36"/>
          <w:rtl/>
        </w:rPr>
        <w:t>حيث ان البعث كالضرب معنى حدثي</w:t>
      </w:r>
      <w:r w:rsidR="00603323" w:rsidRPr="00FD211F">
        <w:rPr>
          <w:sz w:val="36"/>
          <w:szCs w:val="36"/>
          <w:rtl/>
        </w:rPr>
        <w:t xml:space="preserve">، </w:t>
      </w:r>
      <w:r w:rsidR="00833925" w:rsidRPr="00FD211F">
        <w:rPr>
          <w:sz w:val="36"/>
          <w:szCs w:val="36"/>
          <w:rtl/>
        </w:rPr>
        <w:t xml:space="preserve">فالمراد من </w:t>
      </w:r>
      <w:r w:rsidRPr="00FD211F">
        <w:rPr>
          <w:sz w:val="36"/>
          <w:szCs w:val="36"/>
          <w:rtl/>
        </w:rPr>
        <w:t>ا</w:t>
      </w:r>
      <w:r w:rsidR="00833925" w:rsidRPr="00FD211F">
        <w:rPr>
          <w:sz w:val="36"/>
          <w:szCs w:val="36"/>
          <w:rtl/>
        </w:rPr>
        <w:t>لنسبة هو</w:t>
      </w:r>
      <w:r w:rsidRPr="00FD211F">
        <w:rPr>
          <w:sz w:val="36"/>
          <w:szCs w:val="36"/>
          <w:rtl/>
        </w:rPr>
        <w:t xml:space="preserve"> الصور</w:t>
      </w:r>
      <w:r w:rsidR="00EC7EDF" w:rsidRPr="00FD211F">
        <w:rPr>
          <w:sz w:val="36"/>
          <w:szCs w:val="36"/>
          <w:rtl/>
        </w:rPr>
        <w:t xml:space="preserve">ة </w:t>
      </w:r>
      <w:r w:rsidRPr="00FD211F">
        <w:rPr>
          <w:sz w:val="36"/>
          <w:szCs w:val="36"/>
          <w:rtl/>
        </w:rPr>
        <w:t>الاندماجي</w:t>
      </w:r>
      <w:r w:rsidR="00EC7EDF" w:rsidRPr="00FD211F">
        <w:rPr>
          <w:sz w:val="36"/>
          <w:szCs w:val="36"/>
          <w:rtl/>
        </w:rPr>
        <w:t xml:space="preserve">ة </w:t>
      </w:r>
      <w:r w:rsidRPr="00FD211F">
        <w:rPr>
          <w:sz w:val="36"/>
          <w:szCs w:val="36"/>
          <w:rtl/>
        </w:rPr>
        <w:t>من ايجاد البعث</w:t>
      </w:r>
      <w:r w:rsidR="00603323" w:rsidRPr="00FD211F">
        <w:rPr>
          <w:sz w:val="36"/>
          <w:szCs w:val="36"/>
          <w:rtl/>
        </w:rPr>
        <w:t xml:space="preserve">، </w:t>
      </w:r>
      <w:r w:rsidRPr="00FD211F">
        <w:rPr>
          <w:sz w:val="36"/>
          <w:szCs w:val="36"/>
          <w:rtl/>
        </w:rPr>
        <w:t>والتي تكون متقوم</w:t>
      </w:r>
      <w:r w:rsidR="00EC7EDF" w:rsidRPr="00FD211F">
        <w:rPr>
          <w:sz w:val="36"/>
          <w:szCs w:val="36"/>
          <w:rtl/>
        </w:rPr>
        <w:t xml:space="preserve">ة </w:t>
      </w:r>
      <w:r w:rsidRPr="00FD211F">
        <w:rPr>
          <w:sz w:val="36"/>
          <w:szCs w:val="36"/>
          <w:rtl/>
        </w:rPr>
        <w:t>بالباعث والمبعوث والمبعوث اليه</w:t>
      </w:r>
      <w:r w:rsidR="00603323" w:rsidRPr="00FD211F">
        <w:rPr>
          <w:sz w:val="36"/>
          <w:szCs w:val="36"/>
          <w:rtl/>
        </w:rPr>
        <w:t xml:space="preserve">، </w:t>
      </w:r>
      <w:r w:rsidRPr="00FD211F">
        <w:rPr>
          <w:sz w:val="36"/>
          <w:szCs w:val="36"/>
          <w:rtl/>
        </w:rPr>
        <w:t>فمدلول صيغ</w:t>
      </w:r>
      <w:r w:rsidR="00EC7EDF" w:rsidRPr="00FD211F">
        <w:rPr>
          <w:sz w:val="36"/>
          <w:szCs w:val="36"/>
          <w:rtl/>
        </w:rPr>
        <w:t xml:space="preserve">ة </w:t>
      </w:r>
      <w:r w:rsidRPr="00FD211F">
        <w:rPr>
          <w:sz w:val="36"/>
          <w:szCs w:val="36"/>
          <w:rtl/>
        </w:rPr>
        <w:t>الأمر يختلف عن المفهوم الاسمي لكلم</w:t>
      </w:r>
      <w:r w:rsidR="00EC7EDF" w:rsidRPr="00FD211F">
        <w:rPr>
          <w:sz w:val="36"/>
          <w:szCs w:val="36"/>
          <w:rtl/>
        </w:rPr>
        <w:t xml:space="preserve">ة </w:t>
      </w:r>
      <w:r w:rsidRPr="00FD211F">
        <w:rPr>
          <w:sz w:val="36"/>
          <w:szCs w:val="36"/>
          <w:rtl/>
        </w:rPr>
        <w:t>البعث او ايجاد البعث</w:t>
      </w:r>
      <w:r w:rsidR="00603323" w:rsidRPr="00FD211F">
        <w:rPr>
          <w:sz w:val="36"/>
          <w:szCs w:val="36"/>
          <w:rtl/>
        </w:rPr>
        <w:t xml:space="preserve">، </w:t>
      </w:r>
      <w:r w:rsidRPr="00FD211F">
        <w:rPr>
          <w:sz w:val="36"/>
          <w:szCs w:val="36"/>
          <w:rtl/>
        </w:rPr>
        <w:t>فيكون مفاد صيغ</w:t>
      </w:r>
      <w:r w:rsidR="00EC7EDF" w:rsidRPr="00FD211F">
        <w:rPr>
          <w:sz w:val="36"/>
          <w:szCs w:val="36"/>
          <w:rtl/>
        </w:rPr>
        <w:t xml:space="preserve">ة </w:t>
      </w:r>
      <w:r w:rsidRPr="00FD211F">
        <w:rPr>
          <w:sz w:val="36"/>
          <w:szCs w:val="36"/>
          <w:rtl/>
        </w:rPr>
        <w:t>الأمر ايجاد هذا المعنى الاندماجي</w:t>
      </w:r>
      <w:r w:rsidR="00603323" w:rsidRPr="00FD211F">
        <w:rPr>
          <w:sz w:val="36"/>
          <w:szCs w:val="36"/>
          <w:rtl/>
        </w:rPr>
        <w:t xml:space="preserve">، </w:t>
      </w:r>
      <w:r w:rsidR="00F67F81" w:rsidRPr="00FD211F">
        <w:rPr>
          <w:sz w:val="36"/>
          <w:szCs w:val="36"/>
          <w:rtl/>
        </w:rPr>
        <w:t>نعم حيث ان المدلول التصوري لصيغة الامر محفوظ في موارد صدورها من متكلم غير ملتفت اوهازل</w:t>
      </w:r>
      <w:r w:rsidR="00603323" w:rsidRPr="00FD211F">
        <w:rPr>
          <w:sz w:val="36"/>
          <w:szCs w:val="36"/>
          <w:rtl/>
        </w:rPr>
        <w:t xml:space="preserve">، </w:t>
      </w:r>
      <w:r w:rsidR="00F67F81" w:rsidRPr="00FD211F">
        <w:rPr>
          <w:sz w:val="36"/>
          <w:szCs w:val="36"/>
          <w:rtl/>
        </w:rPr>
        <w:t>فلأجل ذلك لم ندعِّ وضعها لايجاد البعث وانما ادعينا وضعها لصورة ايجاد البعث</w:t>
      </w:r>
      <w:r w:rsidR="00C774D9" w:rsidRPr="00FD211F">
        <w:rPr>
          <w:sz w:val="36"/>
          <w:szCs w:val="36"/>
          <w:rtl/>
        </w:rPr>
        <w:t>.</w:t>
      </w:r>
    </w:p>
    <w:p w14:paraId="1A9BFD6C" w14:textId="77777777" w:rsidR="007A53E1" w:rsidRPr="00FD211F" w:rsidRDefault="00170C59" w:rsidP="009C58C8">
      <w:pPr>
        <w:ind w:left="0" w:firstLine="227"/>
        <w:jc w:val="both"/>
        <w:rPr>
          <w:sz w:val="36"/>
          <w:szCs w:val="36"/>
          <w:rtl/>
        </w:rPr>
      </w:pPr>
      <w:r w:rsidRPr="00FD211F">
        <w:rPr>
          <w:sz w:val="36"/>
          <w:szCs w:val="36"/>
          <w:rtl/>
        </w:rPr>
        <w:t>2-</w:t>
      </w:r>
      <w:r w:rsidR="007A53E1" w:rsidRPr="00FD211F">
        <w:rPr>
          <w:sz w:val="36"/>
          <w:szCs w:val="36"/>
          <w:rtl/>
        </w:rPr>
        <w:t xml:space="preserve"> ما ذكره صاحب الكفاي</w:t>
      </w:r>
      <w:r w:rsidR="00EC7EDF" w:rsidRPr="00FD211F">
        <w:rPr>
          <w:sz w:val="36"/>
          <w:szCs w:val="36"/>
          <w:rtl/>
        </w:rPr>
        <w:t xml:space="preserve">ة </w:t>
      </w:r>
      <w:r w:rsidR="002E7DC1" w:rsidRPr="00FD211F">
        <w:rPr>
          <w:sz w:val="36"/>
          <w:szCs w:val="36"/>
          <w:rtl/>
        </w:rPr>
        <w:t>"قده"</w:t>
      </w:r>
      <w:r w:rsidR="007A53E1" w:rsidRPr="00FD211F">
        <w:rPr>
          <w:sz w:val="36"/>
          <w:szCs w:val="36"/>
          <w:rtl/>
        </w:rPr>
        <w:t xml:space="preserve"> من انها موضوع</w:t>
      </w:r>
      <w:r w:rsidR="00EC7EDF" w:rsidRPr="00FD211F">
        <w:rPr>
          <w:sz w:val="36"/>
          <w:szCs w:val="36"/>
          <w:rtl/>
        </w:rPr>
        <w:t xml:space="preserve">ة </w:t>
      </w:r>
      <w:r w:rsidR="007A53E1" w:rsidRPr="00FD211F">
        <w:rPr>
          <w:sz w:val="36"/>
          <w:szCs w:val="36"/>
          <w:rtl/>
        </w:rPr>
        <w:t>لمفهوم الطلب</w:t>
      </w:r>
      <w:r w:rsidR="00603323" w:rsidRPr="00FD211F">
        <w:rPr>
          <w:sz w:val="36"/>
          <w:szCs w:val="36"/>
          <w:rtl/>
        </w:rPr>
        <w:t xml:space="preserve">، </w:t>
      </w:r>
      <w:r w:rsidR="007A53E1" w:rsidRPr="00FD211F">
        <w:rPr>
          <w:sz w:val="36"/>
          <w:szCs w:val="36"/>
          <w:rtl/>
        </w:rPr>
        <w:t>والفارق بينه وبين كلم</w:t>
      </w:r>
      <w:r w:rsidR="00EC7EDF" w:rsidRPr="00FD211F">
        <w:rPr>
          <w:sz w:val="36"/>
          <w:szCs w:val="36"/>
          <w:rtl/>
        </w:rPr>
        <w:t xml:space="preserve">ة </w:t>
      </w:r>
      <w:r w:rsidR="007A53E1" w:rsidRPr="00FD211F">
        <w:rPr>
          <w:sz w:val="36"/>
          <w:szCs w:val="36"/>
          <w:rtl/>
        </w:rPr>
        <w:t>الطلب هو ان شرط وضع صيغ</w:t>
      </w:r>
      <w:r w:rsidR="00EC7EDF" w:rsidRPr="00FD211F">
        <w:rPr>
          <w:sz w:val="36"/>
          <w:szCs w:val="36"/>
          <w:rtl/>
        </w:rPr>
        <w:t xml:space="preserve">ة </w:t>
      </w:r>
      <w:r w:rsidR="007A53E1" w:rsidRPr="00FD211F">
        <w:rPr>
          <w:sz w:val="36"/>
          <w:szCs w:val="36"/>
          <w:rtl/>
        </w:rPr>
        <w:t>الأمر على هذا المفهوم ان يكون استعمالها فيه بداعي الإنشاء دون الإخبار</w:t>
      </w:r>
      <w:r w:rsidR="00603323" w:rsidRPr="00FD211F">
        <w:rPr>
          <w:sz w:val="36"/>
          <w:szCs w:val="36"/>
          <w:rtl/>
        </w:rPr>
        <w:t xml:space="preserve">، </w:t>
      </w:r>
      <w:r w:rsidR="007A53E1" w:rsidRPr="00FD211F">
        <w:rPr>
          <w:sz w:val="36"/>
          <w:szCs w:val="36"/>
          <w:rtl/>
        </w:rPr>
        <w:t>وقد مرت المناقش</w:t>
      </w:r>
      <w:r w:rsidR="00EC7EDF" w:rsidRPr="00FD211F">
        <w:rPr>
          <w:sz w:val="36"/>
          <w:szCs w:val="36"/>
          <w:rtl/>
        </w:rPr>
        <w:t xml:space="preserve">ة </w:t>
      </w:r>
      <w:r w:rsidR="007A53E1" w:rsidRPr="00FD211F">
        <w:rPr>
          <w:sz w:val="36"/>
          <w:szCs w:val="36"/>
          <w:rtl/>
        </w:rPr>
        <w:t>في هذا المبنى في بحث الإنشاء والإخبار.</w:t>
      </w:r>
    </w:p>
    <w:p w14:paraId="6D55D9CB" w14:textId="77777777" w:rsidR="000C5BBA" w:rsidRPr="00FD211F" w:rsidRDefault="00170C59" w:rsidP="009C58C8">
      <w:pPr>
        <w:ind w:left="0" w:firstLine="227"/>
        <w:jc w:val="both"/>
        <w:rPr>
          <w:sz w:val="36"/>
          <w:szCs w:val="36"/>
          <w:rtl/>
        </w:rPr>
      </w:pPr>
      <w:r w:rsidRPr="00FD211F">
        <w:rPr>
          <w:sz w:val="36"/>
          <w:szCs w:val="36"/>
          <w:rtl/>
        </w:rPr>
        <w:t>3</w:t>
      </w:r>
      <w:r w:rsidR="007A53E1" w:rsidRPr="00FD211F">
        <w:rPr>
          <w:sz w:val="36"/>
          <w:szCs w:val="36"/>
          <w:rtl/>
        </w:rPr>
        <w:t xml:space="preserve">- ما ذكره المحقق الحائري </w:t>
      </w:r>
      <w:r w:rsidR="002E7DC1" w:rsidRPr="00FD211F">
        <w:rPr>
          <w:sz w:val="36"/>
          <w:szCs w:val="36"/>
          <w:rtl/>
        </w:rPr>
        <w:t>"</w:t>
      </w:r>
      <w:r w:rsidR="007A53E1" w:rsidRPr="00FD211F">
        <w:rPr>
          <w:sz w:val="36"/>
          <w:szCs w:val="36"/>
          <w:rtl/>
        </w:rPr>
        <w:t>قده</w:t>
      </w:r>
      <w:r w:rsidR="002E7DC1" w:rsidRPr="00FD211F">
        <w:rPr>
          <w:sz w:val="36"/>
          <w:szCs w:val="36"/>
          <w:rtl/>
        </w:rPr>
        <w:t>"</w:t>
      </w:r>
      <w:r w:rsidR="007A53E1" w:rsidRPr="00FD211F">
        <w:rPr>
          <w:sz w:val="36"/>
          <w:szCs w:val="36"/>
          <w:rtl/>
        </w:rPr>
        <w:t xml:space="preserve"> في الدرر من ان صيغ</w:t>
      </w:r>
      <w:r w:rsidR="00EC7EDF" w:rsidRPr="00FD211F">
        <w:rPr>
          <w:sz w:val="36"/>
          <w:szCs w:val="36"/>
          <w:rtl/>
        </w:rPr>
        <w:t xml:space="preserve">ة </w:t>
      </w:r>
      <w:r w:rsidR="007A53E1" w:rsidRPr="00FD211F">
        <w:rPr>
          <w:sz w:val="36"/>
          <w:szCs w:val="36"/>
          <w:rtl/>
        </w:rPr>
        <w:t>الأمر موضوع</w:t>
      </w:r>
      <w:r w:rsidR="00EC7EDF" w:rsidRPr="00FD211F">
        <w:rPr>
          <w:sz w:val="36"/>
          <w:szCs w:val="36"/>
          <w:rtl/>
        </w:rPr>
        <w:t xml:space="preserve">ة </w:t>
      </w:r>
      <w:r w:rsidR="007A53E1" w:rsidRPr="00FD211F">
        <w:rPr>
          <w:sz w:val="36"/>
          <w:szCs w:val="36"/>
          <w:rtl/>
        </w:rPr>
        <w:t>للدلال</w:t>
      </w:r>
      <w:r w:rsidR="00EC7EDF" w:rsidRPr="00FD211F">
        <w:rPr>
          <w:sz w:val="36"/>
          <w:szCs w:val="36"/>
          <w:rtl/>
        </w:rPr>
        <w:t xml:space="preserve">ة </w:t>
      </w:r>
      <w:r w:rsidR="007A53E1" w:rsidRPr="00FD211F">
        <w:rPr>
          <w:sz w:val="36"/>
          <w:szCs w:val="36"/>
          <w:rtl/>
        </w:rPr>
        <w:t>على الإراد</w:t>
      </w:r>
      <w:r w:rsidR="00EC7EDF" w:rsidRPr="00FD211F">
        <w:rPr>
          <w:sz w:val="36"/>
          <w:szCs w:val="36"/>
          <w:rtl/>
        </w:rPr>
        <w:t xml:space="preserve">ة </w:t>
      </w:r>
      <w:r w:rsidR="007A53E1" w:rsidRPr="00FD211F">
        <w:rPr>
          <w:sz w:val="36"/>
          <w:szCs w:val="36"/>
          <w:rtl/>
        </w:rPr>
        <w:t>النفساني</w:t>
      </w:r>
      <w:r w:rsidR="00EC7EDF" w:rsidRPr="00FD211F">
        <w:rPr>
          <w:sz w:val="36"/>
          <w:szCs w:val="36"/>
          <w:rtl/>
        </w:rPr>
        <w:t>ة</w:t>
      </w:r>
      <w:r w:rsidR="00A61BAE" w:rsidRPr="00FD211F">
        <w:rPr>
          <w:sz w:val="36"/>
          <w:szCs w:val="36"/>
          <w:rtl/>
        </w:rPr>
        <w:t>.</w:t>
      </w:r>
    </w:p>
    <w:p w14:paraId="11913E7B" w14:textId="77777777" w:rsidR="000C5BBA" w:rsidRPr="00FD211F" w:rsidRDefault="007A53E1" w:rsidP="009C58C8">
      <w:pPr>
        <w:ind w:left="0" w:firstLine="227"/>
        <w:jc w:val="both"/>
        <w:rPr>
          <w:sz w:val="36"/>
          <w:szCs w:val="36"/>
          <w:rtl/>
        </w:rPr>
      </w:pPr>
      <w:r w:rsidRPr="00FD211F">
        <w:rPr>
          <w:sz w:val="36"/>
          <w:szCs w:val="36"/>
          <w:rtl/>
        </w:rPr>
        <w:t xml:space="preserve">فان قلت: ان لازمه عدم وجود المستعمل فيه في موارد الامتحان والتعجيز ونحو ذلك مما لايوجد فيها </w:t>
      </w:r>
      <w:r w:rsidR="002E7DC1" w:rsidRPr="00FD211F">
        <w:rPr>
          <w:sz w:val="36"/>
          <w:szCs w:val="36"/>
          <w:rtl/>
        </w:rPr>
        <w:t>الإراد</w:t>
      </w:r>
      <w:r w:rsidR="00EC7EDF" w:rsidRPr="00FD211F">
        <w:rPr>
          <w:sz w:val="36"/>
          <w:szCs w:val="36"/>
          <w:rtl/>
        </w:rPr>
        <w:t xml:space="preserve">ة </w:t>
      </w:r>
      <w:r w:rsidR="002E7DC1" w:rsidRPr="00FD211F">
        <w:rPr>
          <w:sz w:val="36"/>
          <w:szCs w:val="36"/>
          <w:rtl/>
        </w:rPr>
        <w:t>النفساني</w:t>
      </w:r>
      <w:r w:rsidR="00EC7EDF" w:rsidRPr="00FD211F">
        <w:rPr>
          <w:sz w:val="36"/>
          <w:szCs w:val="36"/>
          <w:rtl/>
        </w:rPr>
        <w:t xml:space="preserve">ة </w:t>
      </w:r>
      <w:r w:rsidR="002E7DC1" w:rsidRPr="00FD211F">
        <w:rPr>
          <w:sz w:val="36"/>
          <w:szCs w:val="36"/>
          <w:rtl/>
        </w:rPr>
        <w:t>نحو فعل العبد.</w:t>
      </w:r>
    </w:p>
    <w:p w14:paraId="0C16A05F" w14:textId="77777777" w:rsidR="007A53E1" w:rsidRPr="00FD211F" w:rsidRDefault="007A53E1" w:rsidP="009C58C8">
      <w:pPr>
        <w:ind w:left="0" w:firstLine="227"/>
        <w:jc w:val="both"/>
        <w:rPr>
          <w:sz w:val="36"/>
          <w:szCs w:val="36"/>
          <w:rtl/>
        </w:rPr>
      </w:pPr>
      <w:r w:rsidRPr="00FD211F">
        <w:rPr>
          <w:sz w:val="36"/>
          <w:szCs w:val="36"/>
          <w:rtl/>
        </w:rPr>
        <w:t>قلت: انا نلتزم بتحقق الاراد</w:t>
      </w:r>
      <w:r w:rsidR="00EC7EDF" w:rsidRPr="00FD211F">
        <w:rPr>
          <w:sz w:val="36"/>
          <w:szCs w:val="36"/>
          <w:rtl/>
        </w:rPr>
        <w:t xml:space="preserve">ة </w:t>
      </w:r>
      <w:r w:rsidRPr="00FD211F">
        <w:rPr>
          <w:sz w:val="36"/>
          <w:szCs w:val="36"/>
          <w:rtl/>
        </w:rPr>
        <w:t>في هذه الموارد ايضا وان كانت هذه الإراد</w:t>
      </w:r>
      <w:r w:rsidR="00EC7EDF" w:rsidRPr="00FD211F">
        <w:rPr>
          <w:sz w:val="36"/>
          <w:szCs w:val="36"/>
          <w:rtl/>
        </w:rPr>
        <w:t xml:space="preserve">ة </w:t>
      </w:r>
      <w:r w:rsidRPr="00FD211F">
        <w:rPr>
          <w:sz w:val="36"/>
          <w:szCs w:val="36"/>
          <w:rtl/>
        </w:rPr>
        <w:t>ناشئ</w:t>
      </w:r>
      <w:r w:rsidR="00EC7EDF" w:rsidRPr="00FD211F">
        <w:rPr>
          <w:sz w:val="36"/>
          <w:szCs w:val="36"/>
          <w:rtl/>
        </w:rPr>
        <w:t xml:space="preserve">ة </w:t>
      </w:r>
      <w:r w:rsidRPr="00FD211F">
        <w:rPr>
          <w:sz w:val="36"/>
          <w:szCs w:val="36"/>
          <w:rtl/>
        </w:rPr>
        <w:t>عن مصلح</w:t>
      </w:r>
      <w:r w:rsidR="00EC7EDF" w:rsidRPr="00FD211F">
        <w:rPr>
          <w:sz w:val="36"/>
          <w:szCs w:val="36"/>
          <w:rtl/>
        </w:rPr>
        <w:t xml:space="preserve">ة </w:t>
      </w:r>
      <w:r w:rsidRPr="00FD211F">
        <w:rPr>
          <w:sz w:val="36"/>
          <w:szCs w:val="36"/>
          <w:rtl/>
        </w:rPr>
        <w:t>في نفسها</w:t>
      </w:r>
      <w:r w:rsidR="00603323" w:rsidRPr="00FD211F">
        <w:rPr>
          <w:sz w:val="36"/>
          <w:szCs w:val="36"/>
          <w:rtl/>
        </w:rPr>
        <w:t xml:space="preserve">، </w:t>
      </w:r>
      <w:r w:rsidRPr="00FD211F">
        <w:rPr>
          <w:sz w:val="36"/>
          <w:szCs w:val="36"/>
          <w:rtl/>
        </w:rPr>
        <w:t>نظير اراد</w:t>
      </w:r>
      <w:r w:rsidR="00EC7EDF" w:rsidRPr="00FD211F">
        <w:rPr>
          <w:sz w:val="36"/>
          <w:szCs w:val="36"/>
          <w:rtl/>
        </w:rPr>
        <w:t xml:space="preserve">ة </w:t>
      </w:r>
      <w:r w:rsidRPr="00FD211F">
        <w:rPr>
          <w:sz w:val="36"/>
          <w:szCs w:val="36"/>
          <w:rtl/>
        </w:rPr>
        <w:t>اقام</w:t>
      </w:r>
      <w:r w:rsidR="00EC7EDF" w:rsidRPr="00FD211F">
        <w:rPr>
          <w:sz w:val="36"/>
          <w:szCs w:val="36"/>
          <w:rtl/>
        </w:rPr>
        <w:t xml:space="preserve">ة </w:t>
      </w:r>
      <w:r w:rsidRPr="00FD211F">
        <w:rPr>
          <w:sz w:val="36"/>
          <w:szCs w:val="36"/>
          <w:rtl/>
        </w:rPr>
        <w:t>عشر</w:t>
      </w:r>
      <w:r w:rsidR="00EC7EDF" w:rsidRPr="00FD211F">
        <w:rPr>
          <w:sz w:val="36"/>
          <w:szCs w:val="36"/>
          <w:rtl/>
        </w:rPr>
        <w:t xml:space="preserve">ة </w:t>
      </w:r>
      <w:r w:rsidRPr="00FD211F">
        <w:rPr>
          <w:sz w:val="36"/>
          <w:szCs w:val="36"/>
          <w:rtl/>
        </w:rPr>
        <w:t>ايام لمصلح</w:t>
      </w:r>
      <w:r w:rsidR="00EC7EDF" w:rsidRPr="00FD211F">
        <w:rPr>
          <w:sz w:val="36"/>
          <w:szCs w:val="36"/>
          <w:rtl/>
        </w:rPr>
        <w:t xml:space="preserve">ة </w:t>
      </w:r>
      <w:r w:rsidRPr="00FD211F">
        <w:rPr>
          <w:sz w:val="36"/>
          <w:szCs w:val="36"/>
          <w:rtl/>
        </w:rPr>
        <w:t>في نفس هذه الاراد</w:t>
      </w:r>
      <w:r w:rsidR="00EC7EDF" w:rsidRPr="00FD211F">
        <w:rPr>
          <w:sz w:val="36"/>
          <w:szCs w:val="36"/>
          <w:rtl/>
        </w:rPr>
        <w:t xml:space="preserve">ة </w:t>
      </w:r>
      <w:r w:rsidRPr="00FD211F">
        <w:rPr>
          <w:sz w:val="36"/>
          <w:szCs w:val="36"/>
          <w:rtl/>
        </w:rPr>
        <w:t>حيث يتوقف اتمام الصلا</w:t>
      </w:r>
      <w:r w:rsidR="00EC7EDF" w:rsidRPr="00FD211F">
        <w:rPr>
          <w:sz w:val="36"/>
          <w:szCs w:val="36"/>
          <w:rtl/>
        </w:rPr>
        <w:t xml:space="preserve">ة </w:t>
      </w:r>
      <w:r w:rsidRPr="00FD211F">
        <w:rPr>
          <w:sz w:val="36"/>
          <w:szCs w:val="36"/>
          <w:rtl/>
        </w:rPr>
        <w:t>والصوم عليها</w:t>
      </w:r>
      <w:r w:rsidR="00603323" w:rsidRPr="00FD211F">
        <w:rPr>
          <w:sz w:val="36"/>
          <w:szCs w:val="36"/>
          <w:rtl/>
        </w:rPr>
        <w:t xml:space="preserve">، </w:t>
      </w:r>
      <w:r w:rsidRPr="00FD211F">
        <w:rPr>
          <w:sz w:val="36"/>
          <w:szCs w:val="36"/>
          <w:rtl/>
        </w:rPr>
        <w:t>فاذا صح ذلك في الاراد</w:t>
      </w:r>
      <w:r w:rsidR="00EC7EDF" w:rsidRPr="00FD211F">
        <w:rPr>
          <w:sz w:val="36"/>
          <w:szCs w:val="36"/>
          <w:rtl/>
        </w:rPr>
        <w:t xml:space="preserve">ة </w:t>
      </w:r>
      <w:r w:rsidRPr="00FD211F">
        <w:rPr>
          <w:sz w:val="36"/>
          <w:szCs w:val="36"/>
          <w:rtl/>
        </w:rPr>
        <w:t>التكويني</w:t>
      </w:r>
      <w:r w:rsidR="00EC7EDF" w:rsidRPr="00FD211F">
        <w:rPr>
          <w:sz w:val="36"/>
          <w:szCs w:val="36"/>
          <w:rtl/>
        </w:rPr>
        <w:t xml:space="preserve">ة </w:t>
      </w:r>
      <w:r w:rsidRPr="00FD211F">
        <w:rPr>
          <w:sz w:val="36"/>
          <w:szCs w:val="36"/>
          <w:rtl/>
        </w:rPr>
        <w:t>صح في الاراد</w:t>
      </w:r>
      <w:r w:rsidR="00EC7EDF" w:rsidRPr="00FD211F">
        <w:rPr>
          <w:sz w:val="36"/>
          <w:szCs w:val="36"/>
          <w:rtl/>
        </w:rPr>
        <w:t xml:space="preserve">ة </w:t>
      </w:r>
      <w:r w:rsidRPr="00FD211F">
        <w:rPr>
          <w:sz w:val="36"/>
          <w:szCs w:val="36"/>
          <w:rtl/>
        </w:rPr>
        <w:t>التشريعي</w:t>
      </w:r>
      <w:r w:rsidR="00EC7EDF" w:rsidRPr="00FD211F">
        <w:rPr>
          <w:sz w:val="36"/>
          <w:szCs w:val="36"/>
          <w:rtl/>
        </w:rPr>
        <w:t xml:space="preserve">ة </w:t>
      </w:r>
      <w:r w:rsidRPr="00FD211F">
        <w:rPr>
          <w:sz w:val="36"/>
          <w:szCs w:val="36"/>
          <w:rtl/>
        </w:rPr>
        <w:t>ايضا لانها ليست بازيد مؤون</w:t>
      </w:r>
      <w:r w:rsidR="00EC7EDF" w:rsidRPr="00FD211F">
        <w:rPr>
          <w:sz w:val="36"/>
          <w:szCs w:val="36"/>
          <w:rtl/>
        </w:rPr>
        <w:t xml:space="preserve">ة </w:t>
      </w:r>
      <w:r w:rsidRPr="00FD211F">
        <w:rPr>
          <w:sz w:val="36"/>
          <w:szCs w:val="36"/>
          <w:rtl/>
        </w:rPr>
        <w:t>منها</w:t>
      </w:r>
      <w:r w:rsidR="009C58C8" w:rsidRPr="00FD211F">
        <w:rPr>
          <w:rStyle w:val="a6"/>
          <w:b/>
          <w:bCs/>
          <w:sz w:val="36"/>
          <w:szCs w:val="36"/>
          <w:rtl/>
        </w:rPr>
        <w:t>(</w:t>
      </w:r>
      <w:r w:rsidR="009C58C8" w:rsidRPr="00FD211F">
        <w:rPr>
          <w:rStyle w:val="a6"/>
          <w:b/>
          <w:bCs/>
          <w:sz w:val="36"/>
          <w:szCs w:val="36"/>
          <w:rtl/>
        </w:rPr>
        <w:footnoteReference w:id="229"/>
      </w:r>
      <w:r w:rsidR="009C58C8" w:rsidRPr="00FD211F">
        <w:rPr>
          <w:rStyle w:val="a6"/>
          <w:b/>
          <w:bCs/>
          <w:sz w:val="36"/>
          <w:szCs w:val="36"/>
          <w:rtl/>
        </w:rPr>
        <w:t>)</w:t>
      </w:r>
      <w:r w:rsidRPr="00FD211F">
        <w:rPr>
          <w:sz w:val="36"/>
          <w:szCs w:val="36"/>
          <w:rtl/>
        </w:rPr>
        <w:t>.</w:t>
      </w:r>
    </w:p>
    <w:p w14:paraId="5B130C04" w14:textId="77777777" w:rsidR="007A53E1" w:rsidRPr="00FD211F" w:rsidRDefault="007A53E1" w:rsidP="009C58C8">
      <w:pPr>
        <w:ind w:left="0" w:firstLine="227"/>
        <w:jc w:val="both"/>
        <w:rPr>
          <w:sz w:val="36"/>
          <w:szCs w:val="36"/>
          <w:rtl/>
        </w:rPr>
      </w:pPr>
      <w:r w:rsidRPr="00FD211F">
        <w:rPr>
          <w:sz w:val="36"/>
          <w:szCs w:val="36"/>
          <w:rtl/>
        </w:rPr>
        <w:t>وفيه انه لامجال لتوهم انقداح الاراد</w:t>
      </w:r>
      <w:r w:rsidR="00EC7EDF" w:rsidRPr="00FD211F">
        <w:rPr>
          <w:sz w:val="36"/>
          <w:szCs w:val="36"/>
          <w:rtl/>
        </w:rPr>
        <w:t xml:space="preserve">ة </w:t>
      </w:r>
      <w:r w:rsidRPr="00FD211F">
        <w:rPr>
          <w:sz w:val="36"/>
          <w:szCs w:val="36"/>
          <w:rtl/>
        </w:rPr>
        <w:t>نحو الفعل في موارد التهديد كقوله تعالى: اعملوا ما شئتم</w:t>
      </w:r>
      <w:r w:rsidR="009C58C8" w:rsidRPr="00FD211F">
        <w:rPr>
          <w:rStyle w:val="a6"/>
          <w:b/>
          <w:bCs/>
          <w:sz w:val="36"/>
          <w:szCs w:val="36"/>
          <w:rtl/>
        </w:rPr>
        <w:t>(</w:t>
      </w:r>
      <w:r w:rsidR="009C58C8" w:rsidRPr="00FD211F">
        <w:rPr>
          <w:rStyle w:val="a6"/>
          <w:b/>
          <w:bCs/>
          <w:sz w:val="36"/>
          <w:szCs w:val="36"/>
          <w:rtl/>
        </w:rPr>
        <w:footnoteReference w:id="230"/>
      </w:r>
      <w:r w:rsidR="009C58C8" w:rsidRPr="00FD211F">
        <w:rPr>
          <w:rStyle w:val="a6"/>
          <w:b/>
          <w:bCs/>
          <w:sz w:val="36"/>
          <w:szCs w:val="36"/>
          <w:rtl/>
        </w:rPr>
        <w:t>)</w:t>
      </w:r>
      <w:r w:rsidR="00603323" w:rsidRPr="00FD211F">
        <w:rPr>
          <w:sz w:val="36"/>
          <w:szCs w:val="36"/>
          <w:rtl/>
        </w:rPr>
        <w:t xml:space="preserve">، </w:t>
      </w:r>
      <w:r w:rsidRPr="00FD211F">
        <w:rPr>
          <w:sz w:val="36"/>
          <w:szCs w:val="36"/>
          <w:rtl/>
        </w:rPr>
        <w:t>فانه كيف تتعلق اراد</w:t>
      </w:r>
      <w:r w:rsidR="00EC7EDF" w:rsidRPr="00FD211F">
        <w:rPr>
          <w:sz w:val="36"/>
          <w:szCs w:val="36"/>
          <w:rtl/>
        </w:rPr>
        <w:t xml:space="preserve">ة </w:t>
      </w:r>
      <w:r w:rsidRPr="00FD211F">
        <w:rPr>
          <w:sz w:val="36"/>
          <w:szCs w:val="36"/>
          <w:rtl/>
        </w:rPr>
        <w:t>المولى بهذا الفعل مع كونه مبغوضا له جدّا</w:t>
      </w:r>
      <w:r w:rsidR="00603323" w:rsidRPr="00FD211F">
        <w:rPr>
          <w:sz w:val="36"/>
          <w:szCs w:val="36"/>
          <w:rtl/>
        </w:rPr>
        <w:t xml:space="preserve">، </w:t>
      </w:r>
      <w:r w:rsidRPr="00FD211F">
        <w:rPr>
          <w:sz w:val="36"/>
          <w:szCs w:val="36"/>
          <w:rtl/>
        </w:rPr>
        <w:t>وكذا في موارد التعجيز كيف تتعلق اراد</w:t>
      </w:r>
      <w:r w:rsidR="00EC7EDF" w:rsidRPr="00FD211F">
        <w:rPr>
          <w:sz w:val="36"/>
          <w:szCs w:val="36"/>
          <w:rtl/>
        </w:rPr>
        <w:t xml:space="preserve">ة </w:t>
      </w:r>
      <w:r w:rsidRPr="00FD211F">
        <w:rPr>
          <w:sz w:val="36"/>
          <w:szCs w:val="36"/>
          <w:rtl/>
        </w:rPr>
        <w:t>المولى بالفعل مع علمه بعجز المكلف عنه</w:t>
      </w:r>
      <w:r w:rsidR="00603323" w:rsidRPr="00FD211F">
        <w:rPr>
          <w:sz w:val="36"/>
          <w:szCs w:val="36"/>
          <w:rtl/>
        </w:rPr>
        <w:t xml:space="preserve">، </w:t>
      </w:r>
      <w:r w:rsidRPr="00FD211F">
        <w:rPr>
          <w:sz w:val="36"/>
          <w:szCs w:val="36"/>
          <w:rtl/>
        </w:rPr>
        <w:t>بل في الأوامر الامتحاني</w:t>
      </w:r>
      <w:r w:rsidR="00EC7EDF" w:rsidRPr="00FD211F">
        <w:rPr>
          <w:sz w:val="36"/>
          <w:szCs w:val="36"/>
          <w:rtl/>
        </w:rPr>
        <w:t xml:space="preserve">ة </w:t>
      </w:r>
      <w:r w:rsidRPr="00FD211F">
        <w:rPr>
          <w:sz w:val="36"/>
          <w:szCs w:val="36"/>
          <w:rtl/>
        </w:rPr>
        <w:t>ايضا قد يكون الفعل مبغوضا لديه فكيف تتعلق اراد</w:t>
      </w:r>
      <w:r w:rsidR="00EC7EDF" w:rsidRPr="00FD211F">
        <w:rPr>
          <w:sz w:val="36"/>
          <w:szCs w:val="36"/>
          <w:rtl/>
        </w:rPr>
        <w:t xml:space="preserve">ة </w:t>
      </w:r>
      <w:r w:rsidRPr="00FD211F">
        <w:rPr>
          <w:sz w:val="36"/>
          <w:szCs w:val="36"/>
          <w:rtl/>
        </w:rPr>
        <w:t>المولى به</w:t>
      </w:r>
      <w:r w:rsidR="00603323" w:rsidRPr="00FD211F">
        <w:rPr>
          <w:sz w:val="36"/>
          <w:szCs w:val="36"/>
          <w:rtl/>
        </w:rPr>
        <w:t xml:space="preserve">، </w:t>
      </w:r>
      <w:r w:rsidRPr="00FD211F">
        <w:rPr>
          <w:sz w:val="36"/>
          <w:szCs w:val="36"/>
          <w:rtl/>
        </w:rPr>
        <w:t>نعم قد تعلقت ارادته بحرك</w:t>
      </w:r>
      <w:r w:rsidR="00EC7EDF" w:rsidRPr="00FD211F">
        <w:rPr>
          <w:sz w:val="36"/>
          <w:szCs w:val="36"/>
          <w:rtl/>
        </w:rPr>
        <w:t xml:space="preserve">ة </w:t>
      </w:r>
      <w:r w:rsidRPr="00FD211F">
        <w:rPr>
          <w:sz w:val="36"/>
          <w:szCs w:val="36"/>
          <w:rtl/>
        </w:rPr>
        <w:t>العبد نحو الفعل</w:t>
      </w:r>
      <w:r w:rsidR="00603323" w:rsidRPr="00FD211F">
        <w:rPr>
          <w:sz w:val="36"/>
          <w:szCs w:val="36"/>
          <w:rtl/>
        </w:rPr>
        <w:t xml:space="preserve">، </w:t>
      </w:r>
      <w:r w:rsidRPr="00FD211F">
        <w:rPr>
          <w:sz w:val="36"/>
          <w:szCs w:val="36"/>
          <w:rtl/>
        </w:rPr>
        <w:t>هذا مضافا الى ان لازم كلامه عدم وجود المستعمل فيه في موارد استعمال خطاب الأمر هزلا</w:t>
      </w:r>
      <w:r w:rsidR="00603323" w:rsidRPr="00FD211F">
        <w:rPr>
          <w:sz w:val="36"/>
          <w:szCs w:val="36"/>
          <w:rtl/>
        </w:rPr>
        <w:t xml:space="preserve">، </w:t>
      </w:r>
      <w:r w:rsidRPr="00FD211F">
        <w:rPr>
          <w:sz w:val="36"/>
          <w:szCs w:val="36"/>
          <w:rtl/>
        </w:rPr>
        <w:t>فلايمكن الالتزام بوضع صيغ</w:t>
      </w:r>
      <w:r w:rsidR="00EC7EDF" w:rsidRPr="00FD211F">
        <w:rPr>
          <w:sz w:val="36"/>
          <w:szCs w:val="36"/>
          <w:rtl/>
        </w:rPr>
        <w:t xml:space="preserve">ة </w:t>
      </w:r>
      <w:r w:rsidRPr="00FD211F">
        <w:rPr>
          <w:sz w:val="36"/>
          <w:szCs w:val="36"/>
          <w:rtl/>
        </w:rPr>
        <w:t>الأمر للدلال</w:t>
      </w:r>
      <w:r w:rsidR="00EC7EDF" w:rsidRPr="00FD211F">
        <w:rPr>
          <w:sz w:val="36"/>
          <w:szCs w:val="36"/>
          <w:rtl/>
        </w:rPr>
        <w:t xml:space="preserve">ة </w:t>
      </w:r>
      <w:r w:rsidRPr="00FD211F">
        <w:rPr>
          <w:sz w:val="36"/>
          <w:szCs w:val="36"/>
          <w:rtl/>
        </w:rPr>
        <w:t>على الإراد</w:t>
      </w:r>
      <w:r w:rsidR="00EC7EDF" w:rsidRPr="00FD211F">
        <w:rPr>
          <w:sz w:val="36"/>
          <w:szCs w:val="36"/>
          <w:rtl/>
        </w:rPr>
        <w:t xml:space="preserve">ة </w:t>
      </w:r>
      <w:r w:rsidRPr="00FD211F">
        <w:rPr>
          <w:sz w:val="36"/>
          <w:szCs w:val="36"/>
          <w:rtl/>
        </w:rPr>
        <w:t>النفساني</w:t>
      </w:r>
      <w:r w:rsidR="00EC7EDF" w:rsidRPr="00FD211F">
        <w:rPr>
          <w:sz w:val="36"/>
          <w:szCs w:val="36"/>
          <w:rtl/>
        </w:rPr>
        <w:t>ة</w:t>
      </w:r>
      <w:r w:rsidR="00603323" w:rsidRPr="00FD211F">
        <w:rPr>
          <w:sz w:val="36"/>
          <w:szCs w:val="36"/>
          <w:rtl/>
        </w:rPr>
        <w:t xml:space="preserve">، </w:t>
      </w:r>
      <w:r w:rsidRPr="00FD211F">
        <w:rPr>
          <w:sz w:val="36"/>
          <w:szCs w:val="36"/>
          <w:rtl/>
        </w:rPr>
        <w:t>لان المفروض كون المستعمل فيه في مورد الأمر الحقيقي والأمر الامتحاني ونحوه واحدا.</w:t>
      </w:r>
    </w:p>
    <w:p w14:paraId="04C0D571" w14:textId="77777777" w:rsidR="000C5BBA" w:rsidRPr="00FD211F" w:rsidRDefault="007A53E1" w:rsidP="009C58C8">
      <w:pPr>
        <w:ind w:left="0" w:firstLine="227"/>
        <w:jc w:val="both"/>
        <w:rPr>
          <w:sz w:val="36"/>
          <w:szCs w:val="36"/>
          <w:rtl/>
        </w:rPr>
      </w:pPr>
      <w:r w:rsidRPr="00FD211F">
        <w:rPr>
          <w:sz w:val="36"/>
          <w:szCs w:val="36"/>
          <w:rtl/>
        </w:rPr>
        <w:t>نعم كان بامكانه دعوى وضع صيغ</w:t>
      </w:r>
      <w:r w:rsidR="00EC7EDF" w:rsidRPr="00FD211F">
        <w:rPr>
          <w:sz w:val="36"/>
          <w:szCs w:val="36"/>
          <w:rtl/>
        </w:rPr>
        <w:t xml:space="preserve">ة </w:t>
      </w:r>
      <w:r w:rsidRPr="00FD211F">
        <w:rPr>
          <w:sz w:val="36"/>
          <w:szCs w:val="36"/>
          <w:rtl/>
        </w:rPr>
        <w:t>الأمر لإبراز الاراد</w:t>
      </w:r>
      <w:r w:rsidR="00EC7EDF" w:rsidRPr="00FD211F">
        <w:rPr>
          <w:sz w:val="36"/>
          <w:szCs w:val="36"/>
          <w:rtl/>
        </w:rPr>
        <w:t xml:space="preserve">ة </w:t>
      </w:r>
      <w:r w:rsidRPr="00FD211F">
        <w:rPr>
          <w:sz w:val="36"/>
          <w:szCs w:val="36"/>
          <w:rtl/>
        </w:rPr>
        <w:t>النفساني</w:t>
      </w:r>
      <w:r w:rsidR="00EC7EDF" w:rsidRPr="00FD211F">
        <w:rPr>
          <w:sz w:val="36"/>
          <w:szCs w:val="36"/>
          <w:rtl/>
        </w:rPr>
        <w:t xml:space="preserve">ة </w:t>
      </w:r>
      <w:r w:rsidRPr="00FD211F">
        <w:rPr>
          <w:sz w:val="36"/>
          <w:szCs w:val="36"/>
          <w:rtl/>
        </w:rPr>
        <w:t>و</w:t>
      </w:r>
      <w:r w:rsidR="002E7DC1" w:rsidRPr="00FD211F">
        <w:rPr>
          <w:sz w:val="36"/>
          <w:szCs w:val="36"/>
          <w:rtl/>
        </w:rPr>
        <w:t xml:space="preserve">يكون الجواب عن اشكال </w:t>
      </w:r>
      <w:r w:rsidRPr="00FD211F">
        <w:rPr>
          <w:sz w:val="36"/>
          <w:szCs w:val="36"/>
          <w:rtl/>
        </w:rPr>
        <w:t>انتفاء الإراد</w:t>
      </w:r>
      <w:r w:rsidR="00EC7EDF" w:rsidRPr="00FD211F">
        <w:rPr>
          <w:sz w:val="36"/>
          <w:szCs w:val="36"/>
          <w:rtl/>
        </w:rPr>
        <w:t xml:space="preserve">ة </w:t>
      </w:r>
      <w:r w:rsidRPr="00FD211F">
        <w:rPr>
          <w:sz w:val="36"/>
          <w:szCs w:val="36"/>
          <w:rtl/>
        </w:rPr>
        <w:t>النفساني</w:t>
      </w:r>
      <w:r w:rsidR="00EC7EDF" w:rsidRPr="00FD211F">
        <w:rPr>
          <w:sz w:val="36"/>
          <w:szCs w:val="36"/>
          <w:rtl/>
        </w:rPr>
        <w:t xml:space="preserve">ة </w:t>
      </w:r>
      <w:r w:rsidRPr="00FD211F">
        <w:rPr>
          <w:sz w:val="36"/>
          <w:szCs w:val="36"/>
          <w:rtl/>
        </w:rPr>
        <w:t>في موارد الامتحان والتهديد ونحوهما بانه لايعتبر في استعمال اللفظ لإبراز</w:t>
      </w:r>
      <w:r w:rsidR="00C33047" w:rsidRPr="00FD211F">
        <w:rPr>
          <w:sz w:val="36"/>
          <w:szCs w:val="36"/>
          <w:rtl/>
        </w:rPr>
        <w:t xml:space="preserve"> الصف</w:t>
      </w:r>
      <w:r w:rsidR="00EC7EDF" w:rsidRPr="00FD211F">
        <w:rPr>
          <w:sz w:val="36"/>
          <w:szCs w:val="36"/>
          <w:rtl/>
        </w:rPr>
        <w:t xml:space="preserve">ة </w:t>
      </w:r>
      <w:r w:rsidR="00C33047" w:rsidRPr="00FD211F">
        <w:rPr>
          <w:sz w:val="36"/>
          <w:szCs w:val="36"/>
          <w:rtl/>
        </w:rPr>
        <w:t>النفساني</w:t>
      </w:r>
      <w:r w:rsidR="00EC7EDF" w:rsidRPr="00FD211F">
        <w:rPr>
          <w:sz w:val="36"/>
          <w:szCs w:val="36"/>
          <w:rtl/>
        </w:rPr>
        <w:t xml:space="preserve">ة </w:t>
      </w:r>
      <w:r w:rsidR="00C33047" w:rsidRPr="00FD211F">
        <w:rPr>
          <w:sz w:val="36"/>
          <w:szCs w:val="36"/>
          <w:rtl/>
        </w:rPr>
        <w:t>وجود تلك الصف</w:t>
      </w:r>
      <w:r w:rsidR="00EC7EDF" w:rsidRPr="00FD211F">
        <w:rPr>
          <w:sz w:val="36"/>
          <w:szCs w:val="36"/>
          <w:rtl/>
        </w:rPr>
        <w:t>ة</w:t>
      </w:r>
      <w:r w:rsidR="00A61BAE" w:rsidRPr="00FD211F">
        <w:rPr>
          <w:sz w:val="36"/>
          <w:szCs w:val="36"/>
          <w:rtl/>
        </w:rPr>
        <w:t>.</w:t>
      </w:r>
    </w:p>
    <w:p w14:paraId="74C8F74F" w14:textId="77777777" w:rsidR="000C5BBA" w:rsidRPr="00FD211F" w:rsidRDefault="007A53E1" w:rsidP="009C58C8">
      <w:pPr>
        <w:ind w:left="0" w:firstLine="227"/>
        <w:jc w:val="both"/>
        <w:rPr>
          <w:sz w:val="36"/>
          <w:szCs w:val="36"/>
          <w:rtl/>
        </w:rPr>
      </w:pPr>
      <w:r w:rsidRPr="00FD211F">
        <w:rPr>
          <w:sz w:val="36"/>
          <w:szCs w:val="36"/>
          <w:rtl/>
        </w:rPr>
        <w:t>ولكن المهم ان المدلول التصوري لصيغ</w:t>
      </w:r>
      <w:r w:rsidR="00EC7EDF" w:rsidRPr="00FD211F">
        <w:rPr>
          <w:sz w:val="36"/>
          <w:szCs w:val="36"/>
          <w:rtl/>
        </w:rPr>
        <w:t xml:space="preserve">ة </w:t>
      </w:r>
      <w:r w:rsidRPr="00FD211F">
        <w:rPr>
          <w:sz w:val="36"/>
          <w:szCs w:val="36"/>
          <w:rtl/>
        </w:rPr>
        <w:t>الأمر ليس هو إبراز الإراد</w:t>
      </w:r>
      <w:r w:rsidR="00EC7EDF" w:rsidRPr="00FD211F">
        <w:rPr>
          <w:sz w:val="36"/>
          <w:szCs w:val="36"/>
          <w:rtl/>
        </w:rPr>
        <w:t xml:space="preserve">ة </w:t>
      </w:r>
      <w:r w:rsidRPr="00FD211F">
        <w:rPr>
          <w:sz w:val="36"/>
          <w:szCs w:val="36"/>
          <w:rtl/>
        </w:rPr>
        <w:t>النفساني</w:t>
      </w:r>
      <w:r w:rsidR="00EC7EDF" w:rsidRPr="00FD211F">
        <w:rPr>
          <w:sz w:val="36"/>
          <w:szCs w:val="36"/>
          <w:rtl/>
        </w:rPr>
        <w:t xml:space="preserve">ة </w:t>
      </w:r>
      <w:r w:rsidRPr="00FD211F">
        <w:rPr>
          <w:sz w:val="36"/>
          <w:szCs w:val="36"/>
          <w:rtl/>
        </w:rPr>
        <w:t>عرفا وانما هو البعث نحو الفعل.</w:t>
      </w:r>
    </w:p>
    <w:p w14:paraId="5CC498CB" w14:textId="77777777" w:rsidR="007A53E1" w:rsidRPr="00FD211F" w:rsidRDefault="00170C59" w:rsidP="009C58C8">
      <w:pPr>
        <w:ind w:left="0" w:firstLine="227"/>
        <w:jc w:val="both"/>
        <w:rPr>
          <w:sz w:val="36"/>
          <w:szCs w:val="36"/>
          <w:rtl/>
        </w:rPr>
      </w:pPr>
      <w:r w:rsidRPr="00FD211F">
        <w:rPr>
          <w:sz w:val="36"/>
          <w:szCs w:val="36"/>
          <w:rtl/>
        </w:rPr>
        <w:t>4</w:t>
      </w:r>
      <w:r w:rsidR="007A53E1" w:rsidRPr="00FD211F">
        <w:rPr>
          <w:sz w:val="36"/>
          <w:szCs w:val="36"/>
          <w:rtl/>
        </w:rPr>
        <w:t xml:space="preserve">- ما ذكره المحقق النائيني </w:t>
      </w:r>
      <w:r w:rsidR="002E7DC1" w:rsidRPr="00FD211F">
        <w:rPr>
          <w:sz w:val="36"/>
          <w:szCs w:val="36"/>
          <w:rtl/>
        </w:rPr>
        <w:t>"</w:t>
      </w:r>
      <w:r w:rsidR="007A53E1" w:rsidRPr="00FD211F">
        <w:rPr>
          <w:sz w:val="36"/>
          <w:szCs w:val="36"/>
          <w:rtl/>
        </w:rPr>
        <w:t>قده</w:t>
      </w:r>
      <w:r w:rsidR="002E7DC1" w:rsidRPr="00FD211F">
        <w:rPr>
          <w:sz w:val="36"/>
          <w:szCs w:val="36"/>
          <w:rtl/>
        </w:rPr>
        <w:t>"</w:t>
      </w:r>
      <w:r w:rsidR="007A53E1" w:rsidRPr="00FD211F">
        <w:rPr>
          <w:sz w:val="36"/>
          <w:szCs w:val="36"/>
          <w:rtl/>
        </w:rPr>
        <w:t xml:space="preserve"> من انها موضوع</w:t>
      </w:r>
      <w:r w:rsidR="00EC7EDF" w:rsidRPr="00FD211F">
        <w:rPr>
          <w:sz w:val="36"/>
          <w:szCs w:val="36"/>
          <w:rtl/>
        </w:rPr>
        <w:t xml:space="preserve">ة </w:t>
      </w:r>
      <w:r w:rsidR="007A53E1" w:rsidRPr="00FD211F">
        <w:rPr>
          <w:sz w:val="36"/>
          <w:szCs w:val="36"/>
          <w:rtl/>
        </w:rPr>
        <w:t>للنسب</w:t>
      </w:r>
      <w:r w:rsidR="00EC7EDF" w:rsidRPr="00FD211F">
        <w:rPr>
          <w:sz w:val="36"/>
          <w:szCs w:val="36"/>
          <w:rtl/>
        </w:rPr>
        <w:t xml:space="preserve">ة </w:t>
      </w:r>
      <w:r w:rsidR="007A53E1" w:rsidRPr="00FD211F">
        <w:rPr>
          <w:sz w:val="36"/>
          <w:szCs w:val="36"/>
          <w:rtl/>
        </w:rPr>
        <w:t>الإيقاعي</w:t>
      </w:r>
      <w:r w:rsidR="00EC7EDF" w:rsidRPr="00FD211F">
        <w:rPr>
          <w:sz w:val="36"/>
          <w:szCs w:val="36"/>
          <w:rtl/>
        </w:rPr>
        <w:t xml:space="preserve">ة </w:t>
      </w:r>
      <w:r w:rsidR="007A53E1" w:rsidRPr="00FD211F">
        <w:rPr>
          <w:sz w:val="36"/>
          <w:szCs w:val="36"/>
          <w:rtl/>
        </w:rPr>
        <w:t>اي ايقاع الفعل على ذم</w:t>
      </w:r>
      <w:r w:rsidR="00EC7EDF" w:rsidRPr="00FD211F">
        <w:rPr>
          <w:sz w:val="36"/>
          <w:szCs w:val="36"/>
          <w:rtl/>
        </w:rPr>
        <w:t xml:space="preserve">ة </w:t>
      </w:r>
      <w:r w:rsidR="007A53E1" w:rsidRPr="00FD211F">
        <w:rPr>
          <w:sz w:val="36"/>
          <w:szCs w:val="36"/>
          <w:rtl/>
        </w:rPr>
        <w:t>المكلف</w:t>
      </w:r>
      <w:r w:rsidR="009C58C8" w:rsidRPr="00FD211F">
        <w:rPr>
          <w:rStyle w:val="a6"/>
          <w:sz w:val="36"/>
          <w:szCs w:val="36"/>
          <w:rtl/>
        </w:rPr>
        <w:t>(</w:t>
      </w:r>
      <w:r w:rsidR="009C58C8" w:rsidRPr="00FD211F">
        <w:rPr>
          <w:rStyle w:val="a6"/>
          <w:sz w:val="36"/>
          <w:szCs w:val="36"/>
          <w:rtl/>
        </w:rPr>
        <w:footnoteReference w:id="231"/>
      </w:r>
      <w:r w:rsidR="009C58C8" w:rsidRPr="00FD211F">
        <w:rPr>
          <w:rStyle w:val="a6"/>
          <w:sz w:val="36"/>
          <w:szCs w:val="36"/>
          <w:rtl/>
        </w:rPr>
        <w:t>)</w:t>
      </w:r>
      <w:r w:rsidR="00603323" w:rsidRPr="00FD211F">
        <w:rPr>
          <w:sz w:val="36"/>
          <w:szCs w:val="36"/>
          <w:rtl/>
        </w:rPr>
        <w:t xml:space="preserve">، </w:t>
      </w:r>
      <w:r w:rsidR="007A53E1" w:rsidRPr="00FD211F">
        <w:rPr>
          <w:sz w:val="36"/>
          <w:szCs w:val="36"/>
          <w:rtl/>
        </w:rPr>
        <w:t>ونظيره ما ذكره السيد الخوئي</w:t>
      </w:r>
      <w:r w:rsidR="00A61BAE" w:rsidRPr="00FD211F">
        <w:rPr>
          <w:sz w:val="36"/>
          <w:szCs w:val="36"/>
          <w:rtl/>
        </w:rPr>
        <w:t xml:space="preserve"> </w:t>
      </w:r>
      <w:r w:rsidR="005D03BA" w:rsidRPr="00FD211F">
        <w:rPr>
          <w:sz w:val="36"/>
          <w:szCs w:val="36"/>
          <w:rtl/>
        </w:rPr>
        <w:t>“قده”</w:t>
      </w:r>
      <w:r w:rsidR="00A61BAE" w:rsidRPr="00FD211F">
        <w:rPr>
          <w:sz w:val="36"/>
          <w:szCs w:val="36"/>
          <w:rtl/>
        </w:rPr>
        <w:t xml:space="preserve"> </w:t>
      </w:r>
      <w:r w:rsidR="007A53E1" w:rsidRPr="00FD211F">
        <w:rPr>
          <w:sz w:val="36"/>
          <w:szCs w:val="36"/>
          <w:rtl/>
        </w:rPr>
        <w:t>من انها موضوع</w:t>
      </w:r>
      <w:r w:rsidR="00EC7EDF" w:rsidRPr="00FD211F">
        <w:rPr>
          <w:sz w:val="36"/>
          <w:szCs w:val="36"/>
          <w:rtl/>
        </w:rPr>
        <w:t xml:space="preserve">ة </w:t>
      </w:r>
      <w:r w:rsidR="007A53E1" w:rsidRPr="00FD211F">
        <w:rPr>
          <w:sz w:val="36"/>
          <w:szCs w:val="36"/>
          <w:rtl/>
        </w:rPr>
        <w:t>لإبراز اعتبار الفعل على ذم</w:t>
      </w:r>
      <w:r w:rsidR="00EC7EDF" w:rsidRPr="00FD211F">
        <w:rPr>
          <w:sz w:val="36"/>
          <w:szCs w:val="36"/>
          <w:rtl/>
        </w:rPr>
        <w:t xml:space="preserve">ة </w:t>
      </w:r>
      <w:r w:rsidR="007A53E1" w:rsidRPr="00FD211F">
        <w:rPr>
          <w:sz w:val="36"/>
          <w:szCs w:val="36"/>
          <w:rtl/>
        </w:rPr>
        <w:t>ال</w:t>
      </w:r>
      <w:r w:rsidRPr="00FD211F">
        <w:rPr>
          <w:sz w:val="36"/>
          <w:szCs w:val="36"/>
          <w:rtl/>
        </w:rPr>
        <w:t>مكلف</w:t>
      </w:r>
      <w:r w:rsidR="009C58C8" w:rsidRPr="00FD211F">
        <w:rPr>
          <w:rStyle w:val="a6"/>
          <w:sz w:val="36"/>
          <w:szCs w:val="36"/>
          <w:rtl/>
        </w:rPr>
        <w:t>(</w:t>
      </w:r>
      <w:r w:rsidR="009C58C8" w:rsidRPr="00FD211F">
        <w:rPr>
          <w:rStyle w:val="a6"/>
          <w:sz w:val="36"/>
          <w:szCs w:val="36"/>
          <w:rtl/>
        </w:rPr>
        <w:footnoteReference w:id="232"/>
      </w:r>
      <w:r w:rsidR="009C58C8" w:rsidRPr="00FD211F">
        <w:rPr>
          <w:rStyle w:val="a6"/>
          <w:sz w:val="36"/>
          <w:szCs w:val="36"/>
          <w:rtl/>
        </w:rPr>
        <w:t>)</w:t>
      </w:r>
      <w:r w:rsidR="00603323" w:rsidRPr="00FD211F">
        <w:rPr>
          <w:sz w:val="36"/>
          <w:szCs w:val="36"/>
          <w:rtl/>
        </w:rPr>
        <w:t xml:space="preserve">، </w:t>
      </w:r>
    </w:p>
    <w:p w14:paraId="7D2690C3" w14:textId="77777777" w:rsidR="007A53E1" w:rsidRPr="00FD211F" w:rsidRDefault="007A53E1" w:rsidP="009C58C8">
      <w:pPr>
        <w:ind w:left="0" w:firstLine="227"/>
        <w:jc w:val="both"/>
        <w:rPr>
          <w:sz w:val="36"/>
          <w:szCs w:val="36"/>
          <w:rtl/>
        </w:rPr>
      </w:pPr>
      <w:r w:rsidRPr="00FD211F">
        <w:rPr>
          <w:sz w:val="36"/>
          <w:szCs w:val="36"/>
          <w:rtl/>
        </w:rPr>
        <w:t>وفيه ان مفاد صيغ</w:t>
      </w:r>
      <w:r w:rsidR="00EC7EDF" w:rsidRPr="00FD211F">
        <w:rPr>
          <w:sz w:val="36"/>
          <w:szCs w:val="36"/>
          <w:rtl/>
        </w:rPr>
        <w:t xml:space="preserve">ة </w:t>
      </w:r>
      <w:r w:rsidRPr="00FD211F">
        <w:rPr>
          <w:sz w:val="36"/>
          <w:szCs w:val="36"/>
          <w:rtl/>
        </w:rPr>
        <w:t>الأمر وضعا هو البعث</w:t>
      </w:r>
      <w:r w:rsidR="00603323" w:rsidRPr="00FD211F">
        <w:rPr>
          <w:sz w:val="36"/>
          <w:szCs w:val="36"/>
          <w:rtl/>
        </w:rPr>
        <w:t xml:space="preserve">، </w:t>
      </w:r>
      <w:r w:rsidRPr="00FD211F">
        <w:rPr>
          <w:sz w:val="36"/>
          <w:szCs w:val="36"/>
          <w:rtl/>
        </w:rPr>
        <w:t>فانه حينما يقال "اللهم اغفر لنا" لاتستعمل صيغ</w:t>
      </w:r>
      <w:r w:rsidR="00EC7EDF" w:rsidRPr="00FD211F">
        <w:rPr>
          <w:sz w:val="36"/>
          <w:szCs w:val="36"/>
          <w:rtl/>
        </w:rPr>
        <w:t xml:space="preserve">ة </w:t>
      </w:r>
      <w:r w:rsidRPr="00FD211F">
        <w:rPr>
          <w:sz w:val="36"/>
          <w:szCs w:val="36"/>
          <w:rtl/>
        </w:rPr>
        <w:t>الأمر للنسب</w:t>
      </w:r>
      <w:r w:rsidR="00EC7EDF" w:rsidRPr="00FD211F">
        <w:rPr>
          <w:sz w:val="36"/>
          <w:szCs w:val="36"/>
          <w:rtl/>
        </w:rPr>
        <w:t xml:space="preserve">ة </w:t>
      </w:r>
      <w:r w:rsidRPr="00FD211F">
        <w:rPr>
          <w:sz w:val="36"/>
          <w:szCs w:val="36"/>
          <w:rtl/>
        </w:rPr>
        <w:t>الايقاعي</w:t>
      </w:r>
      <w:r w:rsidR="00EC7EDF" w:rsidRPr="00FD211F">
        <w:rPr>
          <w:sz w:val="36"/>
          <w:szCs w:val="36"/>
          <w:rtl/>
        </w:rPr>
        <w:t xml:space="preserve">ة </w:t>
      </w:r>
      <w:r w:rsidRPr="00FD211F">
        <w:rPr>
          <w:sz w:val="36"/>
          <w:szCs w:val="36"/>
          <w:rtl/>
        </w:rPr>
        <w:t>اذ لامعنى لان نخاطب الله‌تعالى "انا نوقع على ذمتك ان تغفر لنا"</w:t>
      </w:r>
      <w:r w:rsidR="00603323" w:rsidRPr="00FD211F">
        <w:rPr>
          <w:sz w:val="36"/>
          <w:szCs w:val="36"/>
          <w:rtl/>
        </w:rPr>
        <w:t xml:space="preserve">، </w:t>
      </w:r>
      <w:r w:rsidRPr="00FD211F">
        <w:rPr>
          <w:sz w:val="36"/>
          <w:szCs w:val="36"/>
          <w:rtl/>
        </w:rPr>
        <w:t>ومن الظاهر ان المدلول الاستعمالي في هذا الكلام لايختلف ع</w:t>
      </w:r>
      <w:r w:rsidR="00170C59" w:rsidRPr="00FD211F">
        <w:rPr>
          <w:sz w:val="36"/>
          <w:szCs w:val="36"/>
          <w:rtl/>
        </w:rPr>
        <w:t>ن سائر موارد استعمال صيغ</w:t>
      </w:r>
      <w:r w:rsidR="00EC7EDF" w:rsidRPr="00FD211F">
        <w:rPr>
          <w:sz w:val="36"/>
          <w:szCs w:val="36"/>
          <w:rtl/>
        </w:rPr>
        <w:t xml:space="preserve">ة </w:t>
      </w:r>
      <w:r w:rsidR="00170C59" w:rsidRPr="00FD211F">
        <w:rPr>
          <w:sz w:val="36"/>
          <w:szCs w:val="36"/>
          <w:rtl/>
        </w:rPr>
        <w:t>الأمر</w:t>
      </w:r>
      <w:r w:rsidR="00603323" w:rsidRPr="00FD211F">
        <w:rPr>
          <w:sz w:val="36"/>
          <w:szCs w:val="36"/>
          <w:rtl/>
        </w:rPr>
        <w:t xml:space="preserve">، </w:t>
      </w:r>
      <w:r w:rsidR="00170C59" w:rsidRPr="00FD211F">
        <w:rPr>
          <w:sz w:val="36"/>
          <w:szCs w:val="36"/>
          <w:rtl/>
        </w:rPr>
        <w:t>وهكذا الظاهر هو وحد</w:t>
      </w:r>
      <w:r w:rsidR="00EC7EDF" w:rsidRPr="00FD211F">
        <w:rPr>
          <w:sz w:val="36"/>
          <w:szCs w:val="36"/>
          <w:rtl/>
        </w:rPr>
        <w:t xml:space="preserve">ة </w:t>
      </w:r>
      <w:r w:rsidR="00170C59" w:rsidRPr="00FD211F">
        <w:rPr>
          <w:sz w:val="36"/>
          <w:szCs w:val="36"/>
          <w:rtl/>
        </w:rPr>
        <w:t>المدلول الاستعمالي في صيغ</w:t>
      </w:r>
      <w:r w:rsidR="00EC7EDF" w:rsidRPr="00FD211F">
        <w:rPr>
          <w:sz w:val="36"/>
          <w:szCs w:val="36"/>
          <w:rtl/>
        </w:rPr>
        <w:t xml:space="preserve">ة </w:t>
      </w:r>
      <w:r w:rsidR="00170C59" w:rsidRPr="00FD211F">
        <w:rPr>
          <w:sz w:val="36"/>
          <w:szCs w:val="36"/>
          <w:rtl/>
        </w:rPr>
        <w:t>الأمر سواء صدرت من العالي الى السافل او من السافل الى العالي او من المساوي الى المساوي</w:t>
      </w:r>
      <w:r w:rsidR="00603323" w:rsidRPr="00FD211F">
        <w:rPr>
          <w:sz w:val="36"/>
          <w:szCs w:val="36"/>
          <w:rtl/>
        </w:rPr>
        <w:t xml:space="preserve">، </w:t>
      </w:r>
      <w:r w:rsidR="00170C59" w:rsidRPr="00FD211F">
        <w:rPr>
          <w:sz w:val="36"/>
          <w:szCs w:val="36"/>
          <w:rtl/>
        </w:rPr>
        <w:t>مع انه لايوجد اعتبار الفعل في ذم</w:t>
      </w:r>
      <w:r w:rsidR="00EC7EDF" w:rsidRPr="00FD211F">
        <w:rPr>
          <w:sz w:val="36"/>
          <w:szCs w:val="36"/>
          <w:rtl/>
        </w:rPr>
        <w:t xml:space="preserve">ة </w:t>
      </w:r>
      <w:r w:rsidR="00170C59" w:rsidRPr="00FD211F">
        <w:rPr>
          <w:sz w:val="36"/>
          <w:szCs w:val="36"/>
          <w:rtl/>
        </w:rPr>
        <w:t>المخاطب في موارد صدور صيغ</w:t>
      </w:r>
      <w:r w:rsidR="00EC7EDF" w:rsidRPr="00FD211F">
        <w:rPr>
          <w:sz w:val="36"/>
          <w:szCs w:val="36"/>
          <w:rtl/>
        </w:rPr>
        <w:t xml:space="preserve">ة </w:t>
      </w:r>
      <w:r w:rsidR="00170C59" w:rsidRPr="00FD211F">
        <w:rPr>
          <w:sz w:val="36"/>
          <w:szCs w:val="36"/>
          <w:rtl/>
        </w:rPr>
        <w:t>الأمر من السافل او المساوي</w:t>
      </w:r>
      <w:r w:rsidR="00603323" w:rsidRPr="00FD211F">
        <w:rPr>
          <w:sz w:val="36"/>
          <w:szCs w:val="36"/>
          <w:rtl/>
        </w:rPr>
        <w:t xml:space="preserve">، </w:t>
      </w:r>
      <w:r w:rsidR="00170C59" w:rsidRPr="00FD211F">
        <w:rPr>
          <w:sz w:val="36"/>
          <w:szCs w:val="36"/>
          <w:rtl/>
        </w:rPr>
        <w:t>وعليه فيكون مفاد صيغ</w:t>
      </w:r>
      <w:r w:rsidR="00EC7EDF" w:rsidRPr="00FD211F">
        <w:rPr>
          <w:sz w:val="36"/>
          <w:szCs w:val="36"/>
          <w:rtl/>
        </w:rPr>
        <w:t xml:space="preserve">ة </w:t>
      </w:r>
      <w:r w:rsidR="00170C59" w:rsidRPr="00FD211F">
        <w:rPr>
          <w:sz w:val="36"/>
          <w:szCs w:val="36"/>
          <w:rtl/>
        </w:rPr>
        <w:t>الأمر</w:t>
      </w:r>
      <w:r w:rsidR="00B253CE" w:rsidRPr="00FD211F">
        <w:rPr>
          <w:sz w:val="36"/>
          <w:szCs w:val="36"/>
          <w:rtl/>
        </w:rPr>
        <w:t xml:space="preserve"> </w:t>
      </w:r>
      <w:r w:rsidR="00170C59" w:rsidRPr="00FD211F">
        <w:rPr>
          <w:sz w:val="36"/>
          <w:szCs w:val="36"/>
          <w:rtl/>
        </w:rPr>
        <w:t>هو البعث.</w:t>
      </w:r>
    </w:p>
    <w:p w14:paraId="4B8C940E" w14:textId="77777777" w:rsidR="007A53E1" w:rsidRPr="00FD211F" w:rsidRDefault="00D44695" w:rsidP="009C58C8">
      <w:pPr>
        <w:ind w:left="0" w:firstLine="227"/>
        <w:jc w:val="both"/>
        <w:rPr>
          <w:sz w:val="36"/>
          <w:szCs w:val="36"/>
          <w:rtl/>
        </w:rPr>
      </w:pPr>
      <w:r w:rsidRPr="00FD211F">
        <w:rPr>
          <w:sz w:val="36"/>
          <w:szCs w:val="36"/>
          <w:rtl/>
        </w:rPr>
        <w:t>5-ما</w:t>
      </w:r>
      <w:r w:rsidR="007A53E1" w:rsidRPr="00FD211F">
        <w:rPr>
          <w:sz w:val="36"/>
          <w:szCs w:val="36"/>
          <w:rtl/>
        </w:rPr>
        <w:t xml:space="preserve"> ذكر</w:t>
      </w:r>
      <w:r w:rsidRPr="00FD211F">
        <w:rPr>
          <w:sz w:val="36"/>
          <w:szCs w:val="36"/>
          <w:rtl/>
        </w:rPr>
        <w:t>ه</w:t>
      </w:r>
      <w:r w:rsidR="007A53E1" w:rsidRPr="00FD211F">
        <w:rPr>
          <w:sz w:val="36"/>
          <w:szCs w:val="36"/>
          <w:rtl/>
        </w:rPr>
        <w:t xml:space="preserve"> في</w:t>
      </w:r>
      <w:r w:rsidRPr="00FD211F">
        <w:rPr>
          <w:sz w:val="36"/>
          <w:szCs w:val="36"/>
          <w:rtl/>
        </w:rPr>
        <w:t xml:space="preserve"> البحوث في بحث</w:t>
      </w:r>
      <w:r w:rsidR="007A53E1" w:rsidRPr="00FD211F">
        <w:rPr>
          <w:sz w:val="36"/>
          <w:szCs w:val="36"/>
          <w:rtl/>
        </w:rPr>
        <w:t xml:space="preserve"> وضع الحروف والهيئات</w:t>
      </w:r>
      <w:r w:rsidR="002E7DC1" w:rsidRPr="00FD211F">
        <w:rPr>
          <w:sz w:val="36"/>
          <w:szCs w:val="36"/>
          <w:rtl/>
        </w:rPr>
        <w:t xml:space="preserve"> </w:t>
      </w:r>
      <w:r w:rsidR="009A5BDA" w:rsidRPr="00FD211F">
        <w:rPr>
          <w:sz w:val="36"/>
          <w:szCs w:val="36"/>
          <w:rtl/>
        </w:rPr>
        <w:t xml:space="preserve">من </w:t>
      </w:r>
      <w:r w:rsidR="002E7DC1" w:rsidRPr="00FD211F">
        <w:rPr>
          <w:sz w:val="36"/>
          <w:szCs w:val="36"/>
          <w:rtl/>
        </w:rPr>
        <w:t xml:space="preserve">ان </w:t>
      </w:r>
      <w:r w:rsidR="009A5BDA" w:rsidRPr="00FD211F">
        <w:rPr>
          <w:sz w:val="36"/>
          <w:szCs w:val="36"/>
          <w:rtl/>
        </w:rPr>
        <w:t>في معنى صيغ</w:t>
      </w:r>
      <w:r w:rsidR="00EC7EDF" w:rsidRPr="00FD211F">
        <w:rPr>
          <w:sz w:val="36"/>
          <w:szCs w:val="36"/>
          <w:rtl/>
        </w:rPr>
        <w:t xml:space="preserve">ة </w:t>
      </w:r>
      <w:r w:rsidR="009A5BDA" w:rsidRPr="00FD211F">
        <w:rPr>
          <w:sz w:val="36"/>
          <w:szCs w:val="36"/>
          <w:rtl/>
        </w:rPr>
        <w:t>الأمر احتمالين:</w:t>
      </w:r>
    </w:p>
    <w:p w14:paraId="6B18C9CE" w14:textId="77777777" w:rsidR="00D44695" w:rsidRPr="00FD211F" w:rsidRDefault="007A53E1" w:rsidP="009C58C8">
      <w:pPr>
        <w:ind w:left="0" w:firstLine="227"/>
        <w:jc w:val="both"/>
        <w:rPr>
          <w:sz w:val="36"/>
          <w:szCs w:val="36"/>
          <w:rtl/>
        </w:rPr>
      </w:pPr>
      <w:r w:rsidRPr="00FD211F">
        <w:rPr>
          <w:b/>
          <w:bCs/>
          <w:sz w:val="36"/>
          <w:szCs w:val="36"/>
          <w:rtl/>
        </w:rPr>
        <w:t>ا</w:t>
      </w:r>
      <w:r w:rsidR="00D44695" w:rsidRPr="00FD211F">
        <w:rPr>
          <w:b/>
          <w:bCs/>
          <w:sz w:val="36"/>
          <w:szCs w:val="36"/>
          <w:rtl/>
        </w:rPr>
        <w:t>حدهما</w:t>
      </w:r>
      <w:r w:rsidR="00D44695" w:rsidRPr="00FD211F">
        <w:rPr>
          <w:sz w:val="36"/>
          <w:szCs w:val="36"/>
          <w:rtl/>
        </w:rPr>
        <w:t>:</w:t>
      </w:r>
      <w:r w:rsidRPr="00FD211F">
        <w:rPr>
          <w:sz w:val="36"/>
          <w:szCs w:val="36"/>
          <w:rtl/>
        </w:rPr>
        <w:t xml:space="preserve"> ان تكون صيغ</w:t>
      </w:r>
      <w:r w:rsidR="00EC7EDF" w:rsidRPr="00FD211F">
        <w:rPr>
          <w:sz w:val="36"/>
          <w:szCs w:val="36"/>
          <w:rtl/>
        </w:rPr>
        <w:t xml:space="preserve">ة </w:t>
      </w:r>
      <w:r w:rsidRPr="00FD211F">
        <w:rPr>
          <w:sz w:val="36"/>
          <w:szCs w:val="36"/>
          <w:rtl/>
        </w:rPr>
        <w:t>الأمر موضوع</w:t>
      </w:r>
      <w:r w:rsidR="00EC7EDF" w:rsidRPr="00FD211F">
        <w:rPr>
          <w:sz w:val="36"/>
          <w:szCs w:val="36"/>
          <w:rtl/>
        </w:rPr>
        <w:t xml:space="preserve">ة </w:t>
      </w:r>
      <w:r w:rsidRPr="00FD211F">
        <w:rPr>
          <w:sz w:val="36"/>
          <w:szCs w:val="36"/>
          <w:rtl/>
        </w:rPr>
        <w:t>ل</w:t>
      </w:r>
      <w:r w:rsidR="00D44695" w:rsidRPr="00FD211F">
        <w:rPr>
          <w:sz w:val="36"/>
          <w:szCs w:val="36"/>
          <w:rtl/>
        </w:rPr>
        <w:t>لنسب</w:t>
      </w:r>
      <w:r w:rsidR="00EC7EDF" w:rsidRPr="00FD211F">
        <w:rPr>
          <w:sz w:val="36"/>
          <w:szCs w:val="36"/>
          <w:rtl/>
        </w:rPr>
        <w:t xml:space="preserve">ة </w:t>
      </w:r>
      <w:r w:rsidR="00D44695" w:rsidRPr="00FD211F">
        <w:rPr>
          <w:sz w:val="36"/>
          <w:szCs w:val="36"/>
          <w:rtl/>
        </w:rPr>
        <w:t>الناقص</w:t>
      </w:r>
      <w:r w:rsidR="00EC7EDF" w:rsidRPr="00FD211F">
        <w:rPr>
          <w:sz w:val="36"/>
          <w:szCs w:val="36"/>
          <w:rtl/>
        </w:rPr>
        <w:t xml:space="preserve">ة </w:t>
      </w:r>
      <w:r w:rsidR="00D44695" w:rsidRPr="00FD211F">
        <w:rPr>
          <w:sz w:val="36"/>
          <w:szCs w:val="36"/>
          <w:rtl/>
        </w:rPr>
        <w:t>البعثي</w:t>
      </w:r>
      <w:r w:rsidR="00EC7EDF" w:rsidRPr="00FD211F">
        <w:rPr>
          <w:sz w:val="36"/>
          <w:szCs w:val="36"/>
          <w:rtl/>
        </w:rPr>
        <w:t>ة</w:t>
      </w:r>
      <w:r w:rsidR="00603323" w:rsidRPr="00FD211F">
        <w:rPr>
          <w:sz w:val="36"/>
          <w:szCs w:val="36"/>
          <w:rtl/>
        </w:rPr>
        <w:t xml:space="preserve">، </w:t>
      </w:r>
      <w:r w:rsidR="00D44695" w:rsidRPr="00FD211F">
        <w:rPr>
          <w:sz w:val="36"/>
          <w:szCs w:val="36"/>
          <w:rtl/>
        </w:rPr>
        <w:t>والوجه في كونها نسب</w:t>
      </w:r>
      <w:r w:rsidR="00EC7EDF" w:rsidRPr="00FD211F">
        <w:rPr>
          <w:sz w:val="36"/>
          <w:szCs w:val="36"/>
          <w:rtl/>
        </w:rPr>
        <w:t xml:space="preserve">ة </w:t>
      </w:r>
      <w:r w:rsidR="00D44695" w:rsidRPr="00FD211F">
        <w:rPr>
          <w:sz w:val="36"/>
          <w:szCs w:val="36"/>
          <w:rtl/>
        </w:rPr>
        <w:t>ناقص</w:t>
      </w:r>
      <w:r w:rsidR="00EC7EDF" w:rsidRPr="00FD211F">
        <w:rPr>
          <w:sz w:val="36"/>
          <w:szCs w:val="36"/>
          <w:rtl/>
        </w:rPr>
        <w:t xml:space="preserve">ة </w:t>
      </w:r>
      <w:r w:rsidR="00D44695" w:rsidRPr="00FD211F">
        <w:rPr>
          <w:sz w:val="36"/>
          <w:szCs w:val="36"/>
          <w:rtl/>
        </w:rPr>
        <w:t>انها من النسب الأولي</w:t>
      </w:r>
      <w:r w:rsidR="00EC7EDF" w:rsidRPr="00FD211F">
        <w:rPr>
          <w:sz w:val="36"/>
          <w:szCs w:val="36"/>
          <w:rtl/>
        </w:rPr>
        <w:t xml:space="preserve">ة </w:t>
      </w:r>
      <w:r w:rsidR="00D44695" w:rsidRPr="00FD211F">
        <w:rPr>
          <w:sz w:val="36"/>
          <w:szCs w:val="36"/>
          <w:rtl/>
        </w:rPr>
        <w:t>اي النسب التي يكون موطن وجودها في الخارج</w:t>
      </w:r>
      <w:r w:rsidR="00603323" w:rsidRPr="00FD211F">
        <w:rPr>
          <w:sz w:val="36"/>
          <w:szCs w:val="36"/>
          <w:rtl/>
        </w:rPr>
        <w:t xml:space="preserve">، </w:t>
      </w:r>
      <w:r w:rsidR="00D44695" w:rsidRPr="00FD211F">
        <w:rPr>
          <w:sz w:val="36"/>
          <w:szCs w:val="36"/>
          <w:rtl/>
        </w:rPr>
        <w:t>حيث توجد في الخارج عند تحقق البعث التكويني نسب</w:t>
      </w:r>
      <w:r w:rsidR="00EC7EDF" w:rsidRPr="00FD211F">
        <w:rPr>
          <w:sz w:val="36"/>
          <w:szCs w:val="36"/>
          <w:rtl/>
        </w:rPr>
        <w:t xml:space="preserve">ة </w:t>
      </w:r>
      <w:r w:rsidR="00D44695" w:rsidRPr="00FD211F">
        <w:rPr>
          <w:sz w:val="36"/>
          <w:szCs w:val="36"/>
          <w:rtl/>
        </w:rPr>
        <w:t>بين الباعث والمبعوث والمبعوث اليه</w:t>
      </w:r>
      <w:r w:rsidR="00603323" w:rsidRPr="00FD211F">
        <w:rPr>
          <w:sz w:val="36"/>
          <w:szCs w:val="36"/>
          <w:rtl/>
        </w:rPr>
        <w:t xml:space="preserve">، </w:t>
      </w:r>
      <w:r w:rsidR="00596B89" w:rsidRPr="00FD211F">
        <w:rPr>
          <w:sz w:val="36"/>
          <w:szCs w:val="36"/>
          <w:rtl/>
        </w:rPr>
        <w:t>كمافي بعث الكلب المعلم وارساله الى الصيد</w:t>
      </w:r>
      <w:r w:rsidR="00603323" w:rsidRPr="00FD211F">
        <w:rPr>
          <w:sz w:val="36"/>
          <w:szCs w:val="36"/>
          <w:rtl/>
        </w:rPr>
        <w:t xml:space="preserve">، </w:t>
      </w:r>
      <w:r w:rsidR="00596B89" w:rsidRPr="00FD211F">
        <w:rPr>
          <w:sz w:val="36"/>
          <w:szCs w:val="36"/>
          <w:rtl/>
        </w:rPr>
        <w:t xml:space="preserve">وقد مرّ في بحث الحروف </w:t>
      </w:r>
      <w:r w:rsidR="00D44695" w:rsidRPr="00FD211F">
        <w:rPr>
          <w:sz w:val="36"/>
          <w:szCs w:val="36"/>
          <w:rtl/>
        </w:rPr>
        <w:t>ان النسب</w:t>
      </w:r>
      <w:r w:rsidR="00EC7EDF" w:rsidRPr="00FD211F">
        <w:rPr>
          <w:sz w:val="36"/>
          <w:szCs w:val="36"/>
          <w:rtl/>
        </w:rPr>
        <w:t xml:space="preserve">ة </w:t>
      </w:r>
      <w:r w:rsidR="00D44695" w:rsidRPr="00FD211F">
        <w:rPr>
          <w:sz w:val="36"/>
          <w:szCs w:val="36"/>
          <w:rtl/>
        </w:rPr>
        <w:t>المتحصل</w:t>
      </w:r>
      <w:r w:rsidR="00EC7EDF" w:rsidRPr="00FD211F">
        <w:rPr>
          <w:sz w:val="36"/>
          <w:szCs w:val="36"/>
          <w:rtl/>
        </w:rPr>
        <w:t xml:space="preserve">ة </w:t>
      </w:r>
      <w:r w:rsidR="00D44695" w:rsidRPr="00FD211F">
        <w:rPr>
          <w:sz w:val="36"/>
          <w:szCs w:val="36"/>
          <w:rtl/>
        </w:rPr>
        <w:t>من النسب</w:t>
      </w:r>
      <w:r w:rsidR="00EC7EDF" w:rsidRPr="00FD211F">
        <w:rPr>
          <w:sz w:val="36"/>
          <w:szCs w:val="36"/>
          <w:rtl/>
        </w:rPr>
        <w:t xml:space="preserve">ة </w:t>
      </w:r>
      <w:r w:rsidR="00D44695" w:rsidRPr="00FD211F">
        <w:rPr>
          <w:sz w:val="36"/>
          <w:szCs w:val="36"/>
          <w:rtl/>
        </w:rPr>
        <w:t>الخارجي</w:t>
      </w:r>
      <w:r w:rsidR="00EC7EDF" w:rsidRPr="00FD211F">
        <w:rPr>
          <w:sz w:val="36"/>
          <w:szCs w:val="36"/>
          <w:rtl/>
        </w:rPr>
        <w:t xml:space="preserve">ة </w:t>
      </w:r>
      <w:r w:rsidR="00D44695" w:rsidRPr="00FD211F">
        <w:rPr>
          <w:sz w:val="36"/>
          <w:szCs w:val="36"/>
          <w:rtl/>
        </w:rPr>
        <w:t>لاتكون الا نسب</w:t>
      </w:r>
      <w:r w:rsidR="00EC7EDF" w:rsidRPr="00FD211F">
        <w:rPr>
          <w:sz w:val="36"/>
          <w:szCs w:val="36"/>
          <w:rtl/>
        </w:rPr>
        <w:t xml:space="preserve">ة </w:t>
      </w:r>
      <w:r w:rsidR="00D44695" w:rsidRPr="00FD211F">
        <w:rPr>
          <w:sz w:val="36"/>
          <w:szCs w:val="36"/>
          <w:rtl/>
        </w:rPr>
        <w:t>ناقص</w:t>
      </w:r>
      <w:r w:rsidR="00EC7EDF" w:rsidRPr="00FD211F">
        <w:rPr>
          <w:sz w:val="36"/>
          <w:szCs w:val="36"/>
          <w:rtl/>
        </w:rPr>
        <w:t xml:space="preserve">ة </w:t>
      </w:r>
      <w:r w:rsidR="00D44695" w:rsidRPr="00FD211F">
        <w:rPr>
          <w:sz w:val="36"/>
          <w:szCs w:val="36"/>
          <w:rtl/>
        </w:rPr>
        <w:t>دائما</w:t>
      </w:r>
      <w:r w:rsidR="00603323" w:rsidRPr="00FD211F">
        <w:rPr>
          <w:sz w:val="36"/>
          <w:szCs w:val="36"/>
          <w:rtl/>
        </w:rPr>
        <w:t xml:space="preserve">، </w:t>
      </w:r>
      <w:r w:rsidR="00D44695" w:rsidRPr="00FD211F">
        <w:rPr>
          <w:sz w:val="36"/>
          <w:szCs w:val="36"/>
          <w:rtl/>
        </w:rPr>
        <w:t>فالموضوع له للفظ</w:t>
      </w:r>
      <w:r w:rsidR="00EC7EDF" w:rsidRPr="00FD211F">
        <w:rPr>
          <w:sz w:val="36"/>
          <w:szCs w:val="36"/>
          <w:rtl/>
        </w:rPr>
        <w:t xml:space="preserve">ة </w:t>
      </w:r>
      <w:r w:rsidR="00D44695" w:rsidRPr="00FD211F">
        <w:rPr>
          <w:sz w:val="36"/>
          <w:szCs w:val="36"/>
          <w:rtl/>
        </w:rPr>
        <w:t>"في" مثلا وهو النسب</w:t>
      </w:r>
      <w:r w:rsidR="00EC7EDF" w:rsidRPr="00FD211F">
        <w:rPr>
          <w:sz w:val="36"/>
          <w:szCs w:val="36"/>
          <w:rtl/>
        </w:rPr>
        <w:t xml:space="preserve">ة </w:t>
      </w:r>
      <w:r w:rsidR="00D44695" w:rsidRPr="00FD211F">
        <w:rPr>
          <w:sz w:val="36"/>
          <w:szCs w:val="36"/>
          <w:rtl/>
        </w:rPr>
        <w:t>الظرفي</w:t>
      </w:r>
      <w:r w:rsidR="00EC7EDF" w:rsidRPr="00FD211F">
        <w:rPr>
          <w:sz w:val="36"/>
          <w:szCs w:val="36"/>
          <w:rtl/>
        </w:rPr>
        <w:t xml:space="preserve">ة </w:t>
      </w:r>
      <w:r w:rsidR="00D44695" w:rsidRPr="00FD211F">
        <w:rPr>
          <w:sz w:val="36"/>
          <w:szCs w:val="36"/>
          <w:rtl/>
        </w:rPr>
        <w:t>حيث يكون موجودا في الذهن فلايمكن ان يكون واقع نسب</w:t>
      </w:r>
      <w:r w:rsidR="00EC7EDF" w:rsidRPr="00FD211F">
        <w:rPr>
          <w:sz w:val="36"/>
          <w:szCs w:val="36"/>
          <w:rtl/>
        </w:rPr>
        <w:t xml:space="preserve">ة </w:t>
      </w:r>
      <w:r w:rsidR="00D44695" w:rsidRPr="00FD211F">
        <w:rPr>
          <w:sz w:val="36"/>
          <w:szCs w:val="36"/>
          <w:rtl/>
        </w:rPr>
        <w:t>ظرفي</w:t>
      </w:r>
      <w:r w:rsidR="00EC7EDF" w:rsidRPr="00FD211F">
        <w:rPr>
          <w:sz w:val="36"/>
          <w:szCs w:val="36"/>
          <w:rtl/>
        </w:rPr>
        <w:t>ة</w:t>
      </w:r>
      <w:r w:rsidR="00603323" w:rsidRPr="00FD211F">
        <w:rPr>
          <w:sz w:val="36"/>
          <w:szCs w:val="36"/>
          <w:rtl/>
        </w:rPr>
        <w:t xml:space="preserve">، </w:t>
      </w:r>
      <w:r w:rsidR="00D44695" w:rsidRPr="00FD211F">
        <w:rPr>
          <w:sz w:val="36"/>
          <w:szCs w:val="36"/>
          <w:rtl/>
        </w:rPr>
        <w:t>اذ لايوجد واقع نسب</w:t>
      </w:r>
      <w:r w:rsidR="00EC7EDF" w:rsidRPr="00FD211F">
        <w:rPr>
          <w:sz w:val="36"/>
          <w:szCs w:val="36"/>
          <w:rtl/>
        </w:rPr>
        <w:t xml:space="preserve">ة </w:t>
      </w:r>
      <w:r w:rsidR="00D44695" w:rsidRPr="00FD211F">
        <w:rPr>
          <w:sz w:val="36"/>
          <w:szCs w:val="36"/>
          <w:rtl/>
        </w:rPr>
        <w:t>ظرفي</w:t>
      </w:r>
      <w:r w:rsidR="00EC7EDF" w:rsidRPr="00FD211F">
        <w:rPr>
          <w:sz w:val="36"/>
          <w:szCs w:val="36"/>
          <w:rtl/>
        </w:rPr>
        <w:t xml:space="preserve">ة </w:t>
      </w:r>
      <w:r w:rsidR="00D44695" w:rsidRPr="00FD211F">
        <w:rPr>
          <w:sz w:val="36"/>
          <w:szCs w:val="36"/>
          <w:rtl/>
        </w:rPr>
        <w:t>بين مفهوم الجالس ومفهوم الدار في قولنا الجالس في الدار</w:t>
      </w:r>
      <w:r w:rsidR="00603323" w:rsidRPr="00FD211F">
        <w:rPr>
          <w:sz w:val="36"/>
          <w:szCs w:val="36"/>
          <w:rtl/>
        </w:rPr>
        <w:t xml:space="preserve">، </w:t>
      </w:r>
      <w:r w:rsidR="00D44695" w:rsidRPr="00FD211F">
        <w:rPr>
          <w:sz w:val="36"/>
          <w:szCs w:val="36"/>
          <w:rtl/>
        </w:rPr>
        <w:t>وأما واقع نسب</w:t>
      </w:r>
      <w:r w:rsidR="00EC7EDF" w:rsidRPr="00FD211F">
        <w:rPr>
          <w:sz w:val="36"/>
          <w:szCs w:val="36"/>
          <w:rtl/>
        </w:rPr>
        <w:t xml:space="preserve">ة </w:t>
      </w:r>
      <w:r w:rsidR="00D44695" w:rsidRPr="00FD211F">
        <w:rPr>
          <w:sz w:val="36"/>
          <w:szCs w:val="36"/>
          <w:rtl/>
        </w:rPr>
        <w:t>أخرى بين المفهومين كنسب</w:t>
      </w:r>
      <w:r w:rsidR="00EC7EDF" w:rsidRPr="00FD211F">
        <w:rPr>
          <w:sz w:val="36"/>
          <w:szCs w:val="36"/>
          <w:rtl/>
        </w:rPr>
        <w:t xml:space="preserve">ة </w:t>
      </w:r>
      <w:r w:rsidR="00D44695" w:rsidRPr="00FD211F">
        <w:rPr>
          <w:sz w:val="36"/>
          <w:szCs w:val="36"/>
          <w:rtl/>
        </w:rPr>
        <w:t>المقارن</w:t>
      </w:r>
      <w:r w:rsidR="00EC7EDF" w:rsidRPr="00FD211F">
        <w:rPr>
          <w:sz w:val="36"/>
          <w:szCs w:val="36"/>
          <w:rtl/>
        </w:rPr>
        <w:t xml:space="preserve">ة </w:t>
      </w:r>
      <w:r w:rsidR="00D44695" w:rsidRPr="00FD211F">
        <w:rPr>
          <w:sz w:val="36"/>
          <w:szCs w:val="36"/>
          <w:rtl/>
        </w:rPr>
        <w:t>بينهما في الذهن فلايمكن ان يكون حاكيا عن واقع النسب</w:t>
      </w:r>
      <w:r w:rsidR="00EC7EDF" w:rsidRPr="00FD211F">
        <w:rPr>
          <w:sz w:val="36"/>
          <w:szCs w:val="36"/>
          <w:rtl/>
        </w:rPr>
        <w:t xml:space="preserve">ة </w:t>
      </w:r>
      <w:r w:rsidR="00D44695" w:rsidRPr="00FD211F">
        <w:rPr>
          <w:sz w:val="36"/>
          <w:szCs w:val="36"/>
          <w:rtl/>
        </w:rPr>
        <w:t>الظرفي</w:t>
      </w:r>
      <w:r w:rsidR="00EC7EDF" w:rsidRPr="00FD211F">
        <w:rPr>
          <w:sz w:val="36"/>
          <w:szCs w:val="36"/>
          <w:rtl/>
        </w:rPr>
        <w:t xml:space="preserve">ة </w:t>
      </w:r>
      <w:r w:rsidR="00D44695" w:rsidRPr="00FD211F">
        <w:rPr>
          <w:sz w:val="36"/>
          <w:szCs w:val="36"/>
          <w:rtl/>
        </w:rPr>
        <w:t>الخارجي</w:t>
      </w:r>
      <w:r w:rsidR="00EC7EDF" w:rsidRPr="00FD211F">
        <w:rPr>
          <w:sz w:val="36"/>
          <w:szCs w:val="36"/>
          <w:rtl/>
        </w:rPr>
        <w:t>ة</w:t>
      </w:r>
      <w:r w:rsidR="00603323" w:rsidRPr="00FD211F">
        <w:rPr>
          <w:sz w:val="36"/>
          <w:szCs w:val="36"/>
          <w:rtl/>
        </w:rPr>
        <w:t xml:space="preserve">، </w:t>
      </w:r>
      <w:r w:rsidR="00D44695" w:rsidRPr="00FD211F">
        <w:rPr>
          <w:sz w:val="36"/>
          <w:szCs w:val="36"/>
          <w:rtl/>
        </w:rPr>
        <w:t>فلابد ان يكون ما في الذهن نسب</w:t>
      </w:r>
      <w:r w:rsidR="00EC7EDF" w:rsidRPr="00FD211F">
        <w:rPr>
          <w:sz w:val="36"/>
          <w:szCs w:val="36"/>
          <w:rtl/>
        </w:rPr>
        <w:t xml:space="preserve">ة </w:t>
      </w:r>
      <w:r w:rsidR="00D44695" w:rsidRPr="00FD211F">
        <w:rPr>
          <w:sz w:val="36"/>
          <w:szCs w:val="36"/>
          <w:rtl/>
        </w:rPr>
        <w:t>ظرفي</w:t>
      </w:r>
      <w:r w:rsidR="00EC7EDF" w:rsidRPr="00FD211F">
        <w:rPr>
          <w:sz w:val="36"/>
          <w:szCs w:val="36"/>
          <w:rtl/>
        </w:rPr>
        <w:t xml:space="preserve">ة </w:t>
      </w:r>
      <w:r w:rsidR="00D44695" w:rsidRPr="00FD211F">
        <w:rPr>
          <w:sz w:val="36"/>
          <w:szCs w:val="36"/>
          <w:rtl/>
        </w:rPr>
        <w:t>تحليلي</w:t>
      </w:r>
      <w:r w:rsidR="00EC7EDF" w:rsidRPr="00FD211F">
        <w:rPr>
          <w:sz w:val="36"/>
          <w:szCs w:val="36"/>
          <w:rtl/>
        </w:rPr>
        <w:t xml:space="preserve">ة </w:t>
      </w:r>
      <w:r w:rsidR="00D44695" w:rsidRPr="00FD211F">
        <w:rPr>
          <w:sz w:val="36"/>
          <w:szCs w:val="36"/>
          <w:rtl/>
        </w:rPr>
        <w:t>وهذا يعنى ان الموجود في الذهن في قولنا الجالس في الدار مفهوم تصوري واحد يكون حص</w:t>
      </w:r>
      <w:r w:rsidR="00EC7EDF" w:rsidRPr="00FD211F">
        <w:rPr>
          <w:sz w:val="36"/>
          <w:szCs w:val="36"/>
          <w:rtl/>
        </w:rPr>
        <w:t xml:space="preserve">ة </w:t>
      </w:r>
      <w:r w:rsidR="00D44695" w:rsidRPr="00FD211F">
        <w:rPr>
          <w:sz w:val="36"/>
          <w:szCs w:val="36"/>
          <w:rtl/>
        </w:rPr>
        <w:t>من الجالس</w:t>
      </w:r>
      <w:r w:rsidR="00603323" w:rsidRPr="00FD211F">
        <w:rPr>
          <w:sz w:val="36"/>
          <w:szCs w:val="36"/>
          <w:rtl/>
        </w:rPr>
        <w:t xml:space="preserve">، </w:t>
      </w:r>
      <w:r w:rsidR="00D44695" w:rsidRPr="00FD211F">
        <w:rPr>
          <w:sz w:val="36"/>
          <w:szCs w:val="36"/>
          <w:rtl/>
        </w:rPr>
        <w:t>ويمكن ان يوضع له لفظ مفرد كما وضع لفظ الفانوس بإزاء نارٍ في زجاج</w:t>
      </w:r>
      <w:r w:rsidR="00603323" w:rsidRPr="00FD211F">
        <w:rPr>
          <w:sz w:val="36"/>
          <w:szCs w:val="36"/>
          <w:rtl/>
        </w:rPr>
        <w:t xml:space="preserve">، </w:t>
      </w:r>
      <w:r w:rsidR="00D44695" w:rsidRPr="00FD211F">
        <w:rPr>
          <w:sz w:val="36"/>
          <w:szCs w:val="36"/>
          <w:rtl/>
        </w:rPr>
        <w:t>نعم يمكن تجزئ</w:t>
      </w:r>
      <w:r w:rsidR="00EC7EDF" w:rsidRPr="00FD211F">
        <w:rPr>
          <w:sz w:val="36"/>
          <w:szCs w:val="36"/>
          <w:rtl/>
        </w:rPr>
        <w:t xml:space="preserve">ة </w:t>
      </w:r>
      <w:r w:rsidR="00D44695" w:rsidRPr="00FD211F">
        <w:rPr>
          <w:sz w:val="36"/>
          <w:szCs w:val="36"/>
          <w:rtl/>
        </w:rPr>
        <w:t>هذا الحص</w:t>
      </w:r>
      <w:r w:rsidR="00EC7EDF" w:rsidRPr="00FD211F">
        <w:rPr>
          <w:sz w:val="36"/>
          <w:szCs w:val="36"/>
          <w:rtl/>
        </w:rPr>
        <w:t xml:space="preserve">ة </w:t>
      </w:r>
      <w:r w:rsidR="00D44695" w:rsidRPr="00FD211F">
        <w:rPr>
          <w:sz w:val="36"/>
          <w:szCs w:val="36"/>
          <w:rtl/>
        </w:rPr>
        <w:t>بحسب التحليل العقلي الى مفهومين ونسب</w:t>
      </w:r>
      <w:r w:rsidR="00EC7EDF" w:rsidRPr="00FD211F">
        <w:rPr>
          <w:sz w:val="36"/>
          <w:szCs w:val="36"/>
          <w:rtl/>
        </w:rPr>
        <w:t xml:space="preserve">ة </w:t>
      </w:r>
      <w:r w:rsidR="00D44695" w:rsidRPr="00FD211F">
        <w:rPr>
          <w:sz w:val="36"/>
          <w:szCs w:val="36"/>
          <w:rtl/>
        </w:rPr>
        <w:t>بينهما</w:t>
      </w:r>
      <w:r w:rsidR="00603323" w:rsidRPr="00FD211F">
        <w:rPr>
          <w:sz w:val="36"/>
          <w:szCs w:val="36"/>
          <w:rtl/>
        </w:rPr>
        <w:t xml:space="preserve">، </w:t>
      </w:r>
      <w:r w:rsidR="00D44695" w:rsidRPr="00FD211F">
        <w:rPr>
          <w:sz w:val="36"/>
          <w:szCs w:val="36"/>
          <w:rtl/>
        </w:rPr>
        <w:t>ولكنه ليس بالفعل كذلك</w:t>
      </w:r>
      <w:r w:rsidR="00603323" w:rsidRPr="00FD211F">
        <w:rPr>
          <w:sz w:val="36"/>
          <w:szCs w:val="36"/>
          <w:rtl/>
        </w:rPr>
        <w:t xml:space="preserve">، </w:t>
      </w:r>
      <w:r w:rsidR="00D44695" w:rsidRPr="00FD211F">
        <w:rPr>
          <w:sz w:val="36"/>
          <w:szCs w:val="36"/>
          <w:rtl/>
        </w:rPr>
        <w:t>فاذا كان الموجود في الذهن مفهوما تصوريا واحدا فلامحال</w:t>
      </w:r>
      <w:r w:rsidR="00EC7EDF" w:rsidRPr="00FD211F">
        <w:rPr>
          <w:sz w:val="36"/>
          <w:szCs w:val="36"/>
          <w:rtl/>
        </w:rPr>
        <w:t xml:space="preserve">ة </w:t>
      </w:r>
      <w:r w:rsidR="00D44695" w:rsidRPr="00FD211F">
        <w:rPr>
          <w:sz w:val="36"/>
          <w:szCs w:val="36"/>
          <w:rtl/>
        </w:rPr>
        <w:t>لايمكن ان يشتمل على نسب</w:t>
      </w:r>
      <w:r w:rsidR="00EC7EDF" w:rsidRPr="00FD211F">
        <w:rPr>
          <w:sz w:val="36"/>
          <w:szCs w:val="36"/>
          <w:rtl/>
        </w:rPr>
        <w:t xml:space="preserve">ة </w:t>
      </w:r>
      <w:r w:rsidR="00D44695" w:rsidRPr="00FD211F">
        <w:rPr>
          <w:sz w:val="36"/>
          <w:szCs w:val="36"/>
          <w:rtl/>
        </w:rPr>
        <w:t>تامّ</w:t>
      </w:r>
      <w:r w:rsidR="00EC7EDF" w:rsidRPr="00FD211F">
        <w:rPr>
          <w:sz w:val="36"/>
          <w:szCs w:val="36"/>
          <w:rtl/>
        </w:rPr>
        <w:t>ة</w:t>
      </w:r>
      <w:r w:rsidR="00603323" w:rsidRPr="00FD211F">
        <w:rPr>
          <w:sz w:val="36"/>
          <w:szCs w:val="36"/>
          <w:rtl/>
        </w:rPr>
        <w:t xml:space="preserve">، </w:t>
      </w:r>
      <w:r w:rsidR="00D44695" w:rsidRPr="00FD211F">
        <w:rPr>
          <w:sz w:val="36"/>
          <w:szCs w:val="36"/>
          <w:rtl/>
        </w:rPr>
        <w:t>لان النسب</w:t>
      </w:r>
      <w:r w:rsidR="00EC7EDF" w:rsidRPr="00FD211F">
        <w:rPr>
          <w:sz w:val="36"/>
          <w:szCs w:val="36"/>
          <w:rtl/>
        </w:rPr>
        <w:t xml:space="preserve">ة </w:t>
      </w:r>
      <w:r w:rsidR="00D44695" w:rsidRPr="00FD211F">
        <w:rPr>
          <w:sz w:val="36"/>
          <w:szCs w:val="36"/>
          <w:rtl/>
        </w:rPr>
        <w:t>التامّ</w:t>
      </w:r>
      <w:r w:rsidR="00EC7EDF" w:rsidRPr="00FD211F">
        <w:rPr>
          <w:sz w:val="36"/>
          <w:szCs w:val="36"/>
          <w:rtl/>
        </w:rPr>
        <w:t xml:space="preserve">ة </w:t>
      </w:r>
      <w:r w:rsidR="00D44695" w:rsidRPr="00FD211F">
        <w:rPr>
          <w:sz w:val="36"/>
          <w:szCs w:val="36"/>
          <w:rtl/>
        </w:rPr>
        <w:t>هي واقع نسب</w:t>
      </w:r>
      <w:r w:rsidR="00EC7EDF" w:rsidRPr="00FD211F">
        <w:rPr>
          <w:sz w:val="36"/>
          <w:szCs w:val="36"/>
          <w:rtl/>
        </w:rPr>
        <w:t xml:space="preserve">ة </w:t>
      </w:r>
      <w:r w:rsidR="00D44695" w:rsidRPr="00FD211F">
        <w:rPr>
          <w:sz w:val="36"/>
          <w:szCs w:val="36"/>
          <w:rtl/>
        </w:rPr>
        <w:t>ذهني</w:t>
      </w:r>
      <w:r w:rsidR="00EC7EDF" w:rsidRPr="00FD211F">
        <w:rPr>
          <w:sz w:val="36"/>
          <w:szCs w:val="36"/>
          <w:rtl/>
        </w:rPr>
        <w:t xml:space="preserve">ة </w:t>
      </w:r>
      <w:r w:rsidR="00D44695" w:rsidRPr="00FD211F">
        <w:rPr>
          <w:sz w:val="36"/>
          <w:szCs w:val="36"/>
          <w:rtl/>
        </w:rPr>
        <w:t>بين مفهومين مستقلين في الذهن.</w:t>
      </w:r>
    </w:p>
    <w:p w14:paraId="3102D32E" w14:textId="77777777" w:rsidR="00D44695" w:rsidRPr="00FD211F" w:rsidRDefault="00596B89" w:rsidP="009C58C8">
      <w:pPr>
        <w:ind w:left="0" w:firstLine="227"/>
        <w:jc w:val="both"/>
        <w:rPr>
          <w:sz w:val="36"/>
          <w:szCs w:val="36"/>
          <w:rtl/>
        </w:rPr>
      </w:pPr>
      <w:r w:rsidRPr="00FD211F">
        <w:rPr>
          <w:sz w:val="36"/>
          <w:szCs w:val="36"/>
          <w:rtl/>
        </w:rPr>
        <w:t>وبذلك ثبت ان النسب</w:t>
      </w:r>
      <w:r w:rsidR="00EC7EDF" w:rsidRPr="00FD211F">
        <w:rPr>
          <w:sz w:val="36"/>
          <w:szCs w:val="36"/>
          <w:rtl/>
        </w:rPr>
        <w:t xml:space="preserve">ة </w:t>
      </w:r>
      <w:r w:rsidR="00D44695" w:rsidRPr="00FD211F">
        <w:rPr>
          <w:sz w:val="36"/>
          <w:szCs w:val="36"/>
          <w:rtl/>
        </w:rPr>
        <w:t>البعثي</w:t>
      </w:r>
      <w:r w:rsidR="00EC7EDF" w:rsidRPr="00FD211F">
        <w:rPr>
          <w:sz w:val="36"/>
          <w:szCs w:val="36"/>
          <w:rtl/>
        </w:rPr>
        <w:t xml:space="preserve">ة </w:t>
      </w:r>
      <w:r w:rsidR="00D44695" w:rsidRPr="00FD211F">
        <w:rPr>
          <w:sz w:val="36"/>
          <w:szCs w:val="36"/>
          <w:rtl/>
        </w:rPr>
        <w:t>التي يدل عليها صيغ</w:t>
      </w:r>
      <w:r w:rsidR="00EC7EDF" w:rsidRPr="00FD211F">
        <w:rPr>
          <w:sz w:val="36"/>
          <w:szCs w:val="36"/>
          <w:rtl/>
        </w:rPr>
        <w:t xml:space="preserve">ة </w:t>
      </w:r>
      <w:r w:rsidR="00D44695" w:rsidRPr="00FD211F">
        <w:rPr>
          <w:sz w:val="36"/>
          <w:szCs w:val="36"/>
          <w:rtl/>
        </w:rPr>
        <w:t>الأمر تكون نسب</w:t>
      </w:r>
      <w:r w:rsidR="00EC7EDF" w:rsidRPr="00FD211F">
        <w:rPr>
          <w:sz w:val="36"/>
          <w:szCs w:val="36"/>
          <w:rtl/>
        </w:rPr>
        <w:t xml:space="preserve">ة </w:t>
      </w:r>
      <w:r w:rsidR="00D44695" w:rsidRPr="00FD211F">
        <w:rPr>
          <w:sz w:val="36"/>
          <w:szCs w:val="36"/>
          <w:rtl/>
        </w:rPr>
        <w:t>ناقص</w:t>
      </w:r>
      <w:r w:rsidR="00EC7EDF" w:rsidRPr="00FD211F">
        <w:rPr>
          <w:sz w:val="36"/>
          <w:szCs w:val="36"/>
          <w:rtl/>
        </w:rPr>
        <w:t xml:space="preserve">ة </w:t>
      </w:r>
      <w:r w:rsidR="00D44695" w:rsidRPr="00FD211F">
        <w:rPr>
          <w:sz w:val="36"/>
          <w:szCs w:val="36"/>
          <w:rtl/>
        </w:rPr>
        <w:t>لأنها ليست واقع نسب</w:t>
      </w:r>
      <w:r w:rsidR="00EC7EDF" w:rsidRPr="00FD211F">
        <w:rPr>
          <w:sz w:val="36"/>
          <w:szCs w:val="36"/>
          <w:rtl/>
        </w:rPr>
        <w:t xml:space="preserve">ة </w:t>
      </w:r>
      <w:r w:rsidR="00D44695" w:rsidRPr="00FD211F">
        <w:rPr>
          <w:sz w:val="36"/>
          <w:szCs w:val="36"/>
          <w:rtl/>
        </w:rPr>
        <w:t>بعثي</w:t>
      </w:r>
      <w:r w:rsidR="00EC7EDF" w:rsidRPr="00FD211F">
        <w:rPr>
          <w:sz w:val="36"/>
          <w:szCs w:val="36"/>
          <w:rtl/>
        </w:rPr>
        <w:t xml:space="preserve">ة </w:t>
      </w:r>
      <w:r w:rsidR="00D44695" w:rsidRPr="00FD211F">
        <w:rPr>
          <w:sz w:val="36"/>
          <w:szCs w:val="36"/>
          <w:rtl/>
        </w:rPr>
        <w:t>بل هي نسب</w:t>
      </w:r>
      <w:r w:rsidR="00EC7EDF" w:rsidRPr="00FD211F">
        <w:rPr>
          <w:sz w:val="36"/>
          <w:szCs w:val="36"/>
          <w:rtl/>
        </w:rPr>
        <w:t xml:space="preserve">ة </w:t>
      </w:r>
      <w:r w:rsidR="00D44695" w:rsidRPr="00FD211F">
        <w:rPr>
          <w:sz w:val="36"/>
          <w:szCs w:val="36"/>
          <w:rtl/>
        </w:rPr>
        <w:t>بعثي</w:t>
      </w:r>
      <w:r w:rsidR="00EC7EDF" w:rsidRPr="00FD211F">
        <w:rPr>
          <w:sz w:val="36"/>
          <w:szCs w:val="36"/>
          <w:rtl/>
        </w:rPr>
        <w:t xml:space="preserve">ة </w:t>
      </w:r>
      <w:r w:rsidR="00D44695" w:rsidRPr="00FD211F">
        <w:rPr>
          <w:sz w:val="36"/>
          <w:szCs w:val="36"/>
          <w:rtl/>
        </w:rPr>
        <w:t>تحليلي</w:t>
      </w:r>
      <w:r w:rsidR="00EC7EDF" w:rsidRPr="00FD211F">
        <w:rPr>
          <w:sz w:val="36"/>
          <w:szCs w:val="36"/>
          <w:rtl/>
        </w:rPr>
        <w:t>ة</w:t>
      </w:r>
      <w:r w:rsidR="00603323" w:rsidRPr="00FD211F">
        <w:rPr>
          <w:sz w:val="36"/>
          <w:szCs w:val="36"/>
          <w:rtl/>
        </w:rPr>
        <w:t xml:space="preserve">، </w:t>
      </w:r>
      <w:r w:rsidR="00D44695" w:rsidRPr="00FD211F">
        <w:rPr>
          <w:sz w:val="36"/>
          <w:szCs w:val="36"/>
          <w:rtl/>
        </w:rPr>
        <w:t>لان موطن واقع النسب</w:t>
      </w:r>
      <w:r w:rsidR="00EC7EDF" w:rsidRPr="00FD211F">
        <w:rPr>
          <w:sz w:val="36"/>
          <w:szCs w:val="36"/>
          <w:rtl/>
        </w:rPr>
        <w:t xml:space="preserve">ة </w:t>
      </w:r>
      <w:r w:rsidR="00D44695" w:rsidRPr="00FD211F">
        <w:rPr>
          <w:sz w:val="36"/>
          <w:szCs w:val="36"/>
          <w:rtl/>
        </w:rPr>
        <w:t>البعثي</w:t>
      </w:r>
      <w:r w:rsidR="00EC7EDF" w:rsidRPr="00FD211F">
        <w:rPr>
          <w:sz w:val="36"/>
          <w:szCs w:val="36"/>
          <w:rtl/>
        </w:rPr>
        <w:t xml:space="preserve">ة </w:t>
      </w:r>
      <w:r w:rsidR="00D44695" w:rsidRPr="00FD211F">
        <w:rPr>
          <w:sz w:val="36"/>
          <w:szCs w:val="36"/>
          <w:rtl/>
        </w:rPr>
        <w:t>هو الخارج.</w:t>
      </w:r>
    </w:p>
    <w:p w14:paraId="546C628D" w14:textId="77777777" w:rsidR="007A53E1" w:rsidRPr="00FD211F" w:rsidRDefault="007A53E1" w:rsidP="009C58C8">
      <w:pPr>
        <w:ind w:left="0" w:firstLine="227"/>
        <w:jc w:val="both"/>
        <w:rPr>
          <w:sz w:val="36"/>
          <w:szCs w:val="36"/>
          <w:rtl/>
        </w:rPr>
      </w:pPr>
      <w:r w:rsidRPr="00FD211F">
        <w:rPr>
          <w:sz w:val="36"/>
          <w:szCs w:val="36"/>
          <w:rtl/>
        </w:rPr>
        <w:t>وحيث ان 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صيغ</w:t>
      </w:r>
      <w:r w:rsidR="00EC7EDF" w:rsidRPr="00FD211F">
        <w:rPr>
          <w:sz w:val="36"/>
          <w:szCs w:val="36"/>
          <w:rtl/>
        </w:rPr>
        <w:t xml:space="preserve">ة </w:t>
      </w:r>
      <w:r w:rsidRPr="00FD211F">
        <w:rPr>
          <w:sz w:val="36"/>
          <w:szCs w:val="36"/>
          <w:rtl/>
        </w:rPr>
        <w:t>الأمر تشتمل على نسب</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لكونها مما يصح السكوت عليها</w:t>
      </w:r>
      <w:r w:rsidR="00603323" w:rsidRPr="00FD211F">
        <w:rPr>
          <w:sz w:val="36"/>
          <w:szCs w:val="36"/>
          <w:rtl/>
        </w:rPr>
        <w:t xml:space="preserve">، </w:t>
      </w:r>
      <w:r w:rsidRPr="00FD211F">
        <w:rPr>
          <w:sz w:val="36"/>
          <w:szCs w:val="36"/>
          <w:rtl/>
        </w:rPr>
        <w:t>فلابد ان تكون هيئ</w:t>
      </w:r>
      <w:r w:rsidR="00EC7EDF" w:rsidRPr="00FD211F">
        <w:rPr>
          <w:sz w:val="36"/>
          <w:szCs w:val="36"/>
          <w:rtl/>
        </w:rPr>
        <w:t xml:space="preserve">ة </w:t>
      </w:r>
      <w:r w:rsidRPr="00FD211F">
        <w:rPr>
          <w:sz w:val="36"/>
          <w:szCs w:val="36"/>
          <w:rtl/>
        </w:rPr>
        <w:t>هذه الجمل</w:t>
      </w:r>
      <w:r w:rsidR="00EC7EDF" w:rsidRPr="00FD211F">
        <w:rPr>
          <w:sz w:val="36"/>
          <w:szCs w:val="36"/>
          <w:rtl/>
        </w:rPr>
        <w:t xml:space="preserve">ة </w:t>
      </w:r>
      <w:r w:rsidRPr="00FD211F">
        <w:rPr>
          <w:sz w:val="36"/>
          <w:szCs w:val="36"/>
          <w:rtl/>
        </w:rPr>
        <w:t>كقولنا "اضرب انت" او "ليضرب زيد" دال</w:t>
      </w:r>
      <w:r w:rsidR="00EC7EDF" w:rsidRPr="00FD211F">
        <w:rPr>
          <w:sz w:val="36"/>
          <w:szCs w:val="36"/>
          <w:rtl/>
        </w:rPr>
        <w:t xml:space="preserve">ة </w:t>
      </w:r>
      <w:r w:rsidRPr="00FD211F">
        <w:rPr>
          <w:sz w:val="36"/>
          <w:szCs w:val="36"/>
          <w:rtl/>
        </w:rPr>
        <w:t>إما على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 الضرب مثلا وفاعله في عالم الطلب او على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 البعث نحو الضرب وبين المبعوث</w:t>
      </w:r>
      <w:r w:rsidR="00603323" w:rsidRPr="00FD211F">
        <w:rPr>
          <w:sz w:val="36"/>
          <w:szCs w:val="36"/>
          <w:rtl/>
        </w:rPr>
        <w:t xml:space="preserve">، </w:t>
      </w:r>
      <w:r w:rsidRPr="00FD211F">
        <w:rPr>
          <w:sz w:val="36"/>
          <w:szCs w:val="36"/>
          <w:rtl/>
        </w:rPr>
        <w:t>وهو فاعل الضرب في عالم الخارج.</w:t>
      </w:r>
    </w:p>
    <w:p w14:paraId="5D0DA911" w14:textId="77777777" w:rsidR="007A53E1" w:rsidRPr="00FD211F" w:rsidRDefault="007A53E1" w:rsidP="009C58C8">
      <w:pPr>
        <w:ind w:left="0" w:firstLine="227"/>
        <w:jc w:val="both"/>
        <w:rPr>
          <w:sz w:val="36"/>
          <w:szCs w:val="36"/>
          <w:rtl/>
        </w:rPr>
      </w:pPr>
      <w:r w:rsidRPr="00FD211F">
        <w:rPr>
          <w:sz w:val="36"/>
          <w:szCs w:val="36"/>
          <w:rtl/>
        </w:rPr>
        <w:t>توضيح ذلك ان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قد تكون حملي</w:t>
      </w:r>
      <w:r w:rsidR="00EC7EDF" w:rsidRPr="00FD211F">
        <w:rPr>
          <w:sz w:val="36"/>
          <w:szCs w:val="36"/>
          <w:rtl/>
        </w:rPr>
        <w:t xml:space="preserve">ة </w:t>
      </w:r>
      <w:r w:rsidRPr="00FD211F">
        <w:rPr>
          <w:sz w:val="36"/>
          <w:szCs w:val="36"/>
          <w:rtl/>
        </w:rPr>
        <w:t>كما في الجمل</w:t>
      </w:r>
      <w:r w:rsidR="00EC7EDF" w:rsidRPr="00FD211F">
        <w:rPr>
          <w:sz w:val="36"/>
          <w:szCs w:val="36"/>
          <w:rtl/>
        </w:rPr>
        <w:t xml:space="preserve">ة </w:t>
      </w:r>
      <w:r w:rsidRPr="00FD211F">
        <w:rPr>
          <w:sz w:val="36"/>
          <w:szCs w:val="36"/>
          <w:rtl/>
        </w:rPr>
        <w:t>الاسمي</w:t>
      </w:r>
      <w:r w:rsidR="00EC7EDF" w:rsidRPr="00FD211F">
        <w:rPr>
          <w:sz w:val="36"/>
          <w:szCs w:val="36"/>
          <w:rtl/>
        </w:rPr>
        <w:t xml:space="preserve">ة </w:t>
      </w:r>
      <w:r w:rsidRPr="00FD211F">
        <w:rPr>
          <w:sz w:val="36"/>
          <w:szCs w:val="36"/>
          <w:rtl/>
        </w:rPr>
        <w:t>كجمل</w:t>
      </w:r>
      <w:r w:rsidR="00EC7EDF" w:rsidRPr="00FD211F">
        <w:rPr>
          <w:sz w:val="36"/>
          <w:szCs w:val="36"/>
          <w:rtl/>
        </w:rPr>
        <w:t xml:space="preserve">ة </w:t>
      </w:r>
      <w:r w:rsidRPr="00FD211F">
        <w:rPr>
          <w:sz w:val="36"/>
          <w:szCs w:val="36"/>
          <w:rtl/>
        </w:rPr>
        <w:t>"زيد ضارب" حيث ان معناها الحكم بانطباق الموضوع والمحمول على ذات واحد</w:t>
      </w:r>
      <w:r w:rsidR="00EC7EDF" w:rsidRPr="00FD211F">
        <w:rPr>
          <w:sz w:val="36"/>
          <w:szCs w:val="36"/>
          <w:rtl/>
        </w:rPr>
        <w:t>ة</w:t>
      </w:r>
      <w:r w:rsidR="00603323" w:rsidRPr="00FD211F">
        <w:rPr>
          <w:sz w:val="36"/>
          <w:szCs w:val="36"/>
          <w:rtl/>
        </w:rPr>
        <w:t xml:space="preserve">، </w:t>
      </w:r>
      <w:r w:rsidRPr="00FD211F">
        <w:rPr>
          <w:sz w:val="36"/>
          <w:szCs w:val="36"/>
          <w:rtl/>
        </w:rPr>
        <w:t>وقد تكون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اسنادي</w:t>
      </w:r>
      <w:r w:rsidR="00EC7EDF" w:rsidRPr="00FD211F">
        <w:rPr>
          <w:sz w:val="36"/>
          <w:szCs w:val="36"/>
          <w:rtl/>
        </w:rPr>
        <w:t xml:space="preserve">ة </w:t>
      </w:r>
      <w:r w:rsidRPr="00FD211F">
        <w:rPr>
          <w:sz w:val="36"/>
          <w:szCs w:val="36"/>
          <w:rtl/>
        </w:rPr>
        <w:t>كما في الجمل</w:t>
      </w:r>
      <w:r w:rsidR="00EC7EDF" w:rsidRPr="00FD211F">
        <w:rPr>
          <w:sz w:val="36"/>
          <w:szCs w:val="36"/>
          <w:rtl/>
        </w:rPr>
        <w:t xml:space="preserve">ة </w:t>
      </w:r>
      <w:r w:rsidRPr="00FD211F">
        <w:rPr>
          <w:sz w:val="36"/>
          <w:szCs w:val="36"/>
          <w:rtl/>
        </w:rPr>
        <w:t>الفعلي</w:t>
      </w:r>
      <w:r w:rsidR="00EC7EDF" w:rsidRPr="00FD211F">
        <w:rPr>
          <w:sz w:val="36"/>
          <w:szCs w:val="36"/>
          <w:rtl/>
        </w:rPr>
        <w:t xml:space="preserve">ة </w:t>
      </w:r>
      <w:r w:rsidRPr="00FD211F">
        <w:rPr>
          <w:sz w:val="36"/>
          <w:szCs w:val="36"/>
          <w:rtl/>
        </w:rPr>
        <w:t>كجمل</w:t>
      </w:r>
      <w:r w:rsidR="00EC7EDF" w:rsidRPr="00FD211F">
        <w:rPr>
          <w:sz w:val="36"/>
          <w:szCs w:val="36"/>
          <w:rtl/>
        </w:rPr>
        <w:t xml:space="preserve">ة </w:t>
      </w:r>
      <w:r w:rsidRPr="00FD211F">
        <w:rPr>
          <w:sz w:val="36"/>
          <w:szCs w:val="36"/>
          <w:rtl/>
        </w:rPr>
        <w:t>"ضرب زيد"</w:t>
      </w:r>
      <w:r w:rsidR="00603323" w:rsidRPr="00FD211F">
        <w:rPr>
          <w:sz w:val="36"/>
          <w:szCs w:val="36"/>
          <w:rtl/>
        </w:rPr>
        <w:t xml:space="preserve">، </w:t>
      </w:r>
      <w:r w:rsidRPr="00FD211F">
        <w:rPr>
          <w:sz w:val="36"/>
          <w:szCs w:val="36"/>
          <w:rtl/>
        </w:rPr>
        <w:t>فان معناها الحكم بانطباق الضرب وزيد على حادث</w:t>
      </w:r>
      <w:r w:rsidR="00EC7EDF" w:rsidRPr="00FD211F">
        <w:rPr>
          <w:sz w:val="36"/>
          <w:szCs w:val="36"/>
          <w:rtl/>
        </w:rPr>
        <w:t xml:space="preserve">ة </w:t>
      </w:r>
      <w:r w:rsidRPr="00FD211F">
        <w:rPr>
          <w:sz w:val="36"/>
          <w:szCs w:val="36"/>
          <w:rtl/>
        </w:rPr>
        <w:t>ومركز واحد يكون مركبا من العرض ومحله</w:t>
      </w:r>
      <w:r w:rsidR="00603323" w:rsidRPr="00FD211F">
        <w:rPr>
          <w:sz w:val="36"/>
          <w:szCs w:val="36"/>
          <w:rtl/>
        </w:rPr>
        <w:t xml:space="preserve">، </w:t>
      </w:r>
      <w:r w:rsidRPr="00FD211F">
        <w:rPr>
          <w:sz w:val="36"/>
          <w:szCs w:val="36"/>
          <w:rtl/>
        </w:rPr>
        <w:t>فالتصادق دائما انما يكون بافتراض نحو وحد</w:t>
      </w:r>
      <w:r w:rsidR="00EC7EDF" w:rsidRPr="00FD211F">
        <w:rPr>
          <w:sz w:val="36"/>
          <w:szCs w:val="36"/>
          <w:rtl/>
        </w:rPr>
        <w:t xml:space="preserve">ة </w:t>
      </w:r>
      <w:r w:rsidRPr="00FD211F">
        <w:rPr>
          <w:sz w:val="36"/>
          <w:szCs w:val="36"/>
          <w:rtl/>
        </w:rPr>
        <w:t>في المشار اليه بالمفهومين</w:t>
      </w:r>
      <w:r w:rsidR="00603323" w:rsidRPr="00FD211F">
        <w:rPr>
          <w:sz w:val="36"/>
          <w:szCs w:val="36"/>
          <w:rtl/>
        </w:rPr>
        <w:t xml:space="preserve">، </w:t>
      </w:r>
      <w:r w:rsidRPr="00FD211F">
        <w:rPr>
          <w:sz w:val="36"/>
          <w:szCs w:val="36"/>
          <w:rtl/>
        </w:rPr>
        <w:t>فان كانت الوحد</w:t>
      </w:r>
      <w:r w:rsidR="00EC7EDF" w:rsidRPr="00FD211F">
        <w:rPr>
          <w:sz w:val="36"/>
          <w:szCs w:val="36"/>
          <w:rtl/>
        </w:rPr>
        <w:t xml:space="preserve">ة </w:t>
      </w:r>
      <w:r w:rsidRPr="00FD211F">
        <w:rPr>
          <w:sz w:val="36"/>
          <w:szCs w:val="36"/>
          <w:rtl/>
        </w:rPr>
        <w:t>ذاتي</w:t>
      </w:r>
      <w:r w:rsidR="00EC7EDF" w:rsidRPr="00FD211F">
        <w:rPr>
          <w:sz w:val="36"/>
          <w:szCs w:val="36"/>
          <w:rtl/>
        </w:rPr>
        <w:t xml:space="preserve">ة </w:t>
      </w:r>
      <w:r w:rsidRPr="00FD211F">
        <w:rPr>
          <w:sz w:val="36"/>
          <w:szCs w:val="36"/>
          <w:rtl/>
        </w:rPr>
        <w:t>كان من باب الحمل كما في الجمل</w:t>
      </w:r>
      <w:r w:rsidR="00EC7EDF" w:rsidRPr="00FD211F">
        <w:rPr>
          <w:sz w:val="36"/>
          <w:szCs w:val="36"/>
          <w:rtl/>
        </w:rPr>
        <w:t xml:space="preserve">ة </w:t>
      </w:r>
      <w:r w:rsidRPr="00FD211F">
        <w:rPr>
          <w:sz w:val="36"/>
          <w:szCs w:val="36"/>
          <w:rtl/>
        </w:rPr>
        <w:t>الاسمي</w:t>
      </w:r>
      <w:r w:rsidR="00EC7EDF" w:rsidRPr="00FD211F">
        <w:rPr>
          <w:sz w:val="36"/>
          <w:szCs w:val="36"/>
          <w:rtl/>
        </w:rPr>
        <w:t>ة</w:t>
      </w:r>
      <w:r w:rsidR="00603323" w:rsidRPr="00FD211F">
        <w:rPr>
          <w:sz w:val="36"/>
          <w:szCs w:val="36"/>
          <w:rtl/>
        </w:rPr>
        <w:t xml:space="preserve">، </w:t>
      </w:r>
      <w:r w:rsidRPr="00FD211F">
        <w:rPr>
          <w:sz w:val="36"/>
          <w:szCs w:val="36"/>
          <w:rtl/>
        </w:rPr>
        <w:t>وان كانت وحد</w:t>
      </w:r>
      <w:r w:rsidR="00EC7EDF" w:rsidRPr="00FD211F">
        <w:rPr>
          <w:sz w:val="36"/>
          <w:szCs w:val="36"/>
          <w:rtl/>
        </w:rPr>
        <w:t xml:space="preserve">ة </w:t>
      </w:r>
      <w:r w:rsidRPr="00FD211F">
        <w:rPr>
          <w:sz w:val="36"/>
          <w:szCs w:val="36"/>
          <w:rtl/>
        </w:rPr>
        <w:t>في الحادث</w:t>
      </w:r>
      <w:r w:rsidR="00EC7EDF" w:rsidRPr="00FD211F">
        <w:rPr>
          <w:sz w:val="36"/>
          <w:szCs w:val="36"/>
          <w:rtl/>
        </w:rPr>
        <w:t xml:space="preserve">ة </w:t>
      </w:r>
      <w:r w:rsidRPr="00FD211F">
        <w:rPr>
          <w:sz w:val="36"/>
          <w:szCs w:val="36"/>
          <w:rtl/>
        </w:rPr>
        <w:t>كان من باب الإسناد كما في الجمل</w:t>
      </w:r>
      <w:r w:rsidR="00EC7EDF" w:rsidRPr="00FD211F">
        <w:rPr>
          <w:sz w:val="36"/>
          <w:szCs w:val="36"/>
          <w:rtl/>
        </w:rPr>
        <w:t xml:space="preserve">ة </w:t>
      </w:r>
      <w:r w:rsidRPr="00FD211F">
        <w:rPr>
          <w:sz w:val="36"/>
          <w:szCs w:val="36"/>
          <w:rtl/>
        </w:rPr>
        <w:t>الفعلي</w:t>
      </w:r>
      <w:r w:rsidR="00EC7EDF" w:rsidRPr="00FD211F">
        <w:rPr>
          <w:sz w:val="36"/>
          <w:szCs w:val="36"/>
          <w:rtl/>
        </w:rPr>
        <w:t>ة</w:t>
      </w:r>
      <w:r w:rsidR="00603323" w:rsidRPr="00FD211F">
        <w:rPr>
          <w:sz w:val="36"/>
          <w:szCs w:val="36"/>
          <w:rtl/>
        </w:rPr>
        <w:t xml:space="preserve">، </w:t>
      </w:r>
      <w:r w:rsidRPr="00FD211F">
        <w:rPr>
          <w:sz w:val="36"/>
          <w:szCs w:val="36"/>
          <w:rtl/>
        </w:rPr>
        <w:t>هذا والملحوظ في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قد يكون تصادق المفهومين وانطباقهما في عالم الخارج كما في الجمل</w:t>
      </w:r>
      <w:r w:rsidR="00EC7EDF" w:rsidRPr="00FD211F">
        <w:rPr>
          <w:sz w:val="36"/>
          <w:szCs w:val="36"/>
          <w:rtl/>
        </w:rPr>
        <w:t xml:space="preserve">ة </w:t>
      </w:r>
      <w:r w:rsidRPr="00FD211F">
        <w:rPr>
          <w:sz w:val="36"/>
          <w:szCs w:val="36"/>
          <w:rtl/>
        </w:rPr>
        <w:t>الخبري</w:t>
      </w:r>
      <w:r w:rsidR="00EC7EDF" w:rsidRPr="00FD211F">
        <w:rPr>
          <w:sz w:val="36"/>
          <w:szCs w:val="36"/>
          <w:rtl/>
        </w:rPr>
        <w:t>ة</w:t>
      </w:r>
      <w:r w:rsidR="00603323" w:rsidRPr="00FD211F">
        <w:rPr>
          <w:sz w:val="36"/>
          <w:szCs w:val="36"/>
          <w:rtl/>
        </w:rPr>
        <w:t xml:space="preserve">، </w:t>
      </w:r>
      <w:r w:rsidRPr="00FD211F">
        <w:rPr>
          <w:sz w:val="36"/>
          <w:szCs w:val="36"/>
          <w:rtl/>
        </w:rPr>
        <w:t>وقد يكون في عالم آخر كعالم الاستفهام في الجمل</w:t>
      </w:r>
      <w:r w:rsidR="00EC7EDF" w:rsidRPr="00FD211F">
        <w:rPr>
          <w:sz w:val="36"/>
          <w:szCs w:val="36"/>
          <w:rtl/>
        </w:rPr>
        <w:t xml:space="preserve">ة </w:t>
      </w:r>
      <w:r w:rsidRPr="00FD211F">
        <w:rPr>
          <w:sz w:val="36"/>
          <w:szCs w:val="36"/>
          <w:rtl/>
        </w:rPr>
        <w:t>الاستفهامي</w:t>
      </w:r>
      <w:r w:rsidR="00EC7EDF" w:rsidRPr="00FD211F">
        <w:rPr>
          <w:sz w:val="36"/>
          <w:szCs w:val="36"/>
          <w:rtl/>
        </w:rPr>
        <w:t xml:space="preserve">ة </w:t>
      </w:r>
      <w:r w:rsidRPr="00FD211F">
        <w:rPr>
          <w:sz w:val="36"/>
          <w:szCs w:val="36"/>
          <w:rtl/>
        </w:rPr>
        <w:t>وعالم التمني في جمل</w:t>
      </w:r>
      <w:r w:rsidR="00EC7EDF" w:rsidRPr="00FD211F">
        <w:rPr>
          <w:sz w:val="36"/>
          <w:szCs w:val="36"/>
          <w:rtl/>
        </w:rPr>
        <w:t xml:space="preserve">ة </w:t>
      </w:r>
      <w:r w:rsidRPr="00FD211F">
        <w:rPr>
          <w:sz w:val="36"/>
          <w:szCs w:val="36"/>
          <w:rtl/>
        </w:rPr>
        <w:t>التمني وهكذا.</w:t>
      </w:r>
    </w:p>
    <w:p w14:paraId="701BD5F4" w14:textId="77777777" w:rsidR="007A53E1" w:rsidRPr="00FD211F" w:rsidRDefault="007A53E1" w:rsidP="009C58C8">
      <w:pPr>
        <w:ind w:left="0" w:firstLine="227"/>
        <w:jc w:val="both"/>
        <w:rPr>
          <w:sz w:val="36"/>
          <w:szCs w:val="36"/>
          <w:rtl/>
        </w:rPr>
      </w:pPr>
      <w:r w:rsidRPr="00FD211F">
        <w:rPr>
          <w:sz w:val="36"/>
          <w:szCs w:val="36"/>
          <w:rtl/>
        </w:rPr>
        <w:t>وحينئذ فيقال بان الملحوظ في 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صيغ</w:t>
      </w:r>
      <w:r w:rsidR="00EC7EDF" w:rsidRPr="00FD211F">
        <w:rPr>
          <w:sz w:val="36"/>
          <w:szCs w:val="36"/>
          <w:rtl/>
        </w:rPr>
        <w:t xml:space="preserve">ة </w:t>
      </w:r>
      <w:r w:rsidRPr="00FD211F">
        <w:rPr>
          <w:sz w:val="36"/>
          <w:szCs w:val="36"/>
          <w:rtl/>
        </w:rPr>
        <w:t>الأمر كقولنا ليضرب زيد</w:t>
      </w:r>
      <w:r w:rsidR="00603323" w:rsidRPr="00FD211F">
        <w:rPr>
          <w:sz w:val="36"/>
          <w:szCs w:val="36"/>
          <w:rtl/>
        </w:rPr>
        <w:t xml:space="preserve">، </w:t>
      </w:r>
      <w:r w:rsidRPr="00FD211F">
        <w:rPr>
          <w:sz w:val="36"/>
          <w:szCs w:val="36"/>
          <w:rtl/>
        </w:rPr>
        <w:t>اما ان يكون هو تصادق البعث نحو الضرب وزيد في عالم الخارج بنحو انطباقهما على حادث</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Pr="00FD211F">
        <w:rPr>
          <w:sz w:val="36"/>
          <w:szCs w:val="36"/>
          <w:rtl/>
        </w:rPr>
        <w:t>مركب</w:t>
      </w:r>
      <w:r w:rsidR="00EC7EDF" w:rsidRPr="00FD211F">
        <w:rPr>
          <w:sz w:val="36"/>
          <w:szCs w:val="36"/>
          <w:rtl/>
        </w:rPr>
        <w:t xml:space="preserve">ة </w:t>
      </w:r>
      <w:r w:rsidRPr="00FD211F">
        <w:rPr>
          <w:sz w:val="36"/>
          <w:szCs w:val="36"/>
          <w:rtl/>
        </w:rPr>
        <w:t>من الفعل وهو البعث نحو الضرب ومفعوله وهو المبعوث اي زيد</w:t>
      </w:r>
      <w:r w:rsidR="00603323" w:rsidRPr="00FD211F">
        <w:rPr>
          <w:sz w:val="36"/>
          <w:szCs w:val="36"/>
          <w:rtl/>
        </w:rPr>
        <w:t xml:space="preserve">، </w:t>
      </w:r>
      <w:r w:rsidRPr="00FD211F">
        <w:rPr>
          <w:sz w:val="36"/>
          <w:szCs w:val="36"/>
          <w:rtl/>
        </w:rPr>
        <w:t>فيكون وزانه وزان قولنا "اَبعثُ زيدا نحو الضرب" او يكون الملحوظ هو تصادق الضرب وزيد بنحو انطباقهما على حادث</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Pr="00FD211F">
        <w:rPr>
          <w:sz w:val="36"/>
          <w:szCs w:val="36"/>
          <w:rtl/>
        </w:rPr>
        <w:t>مركب</w:t>
      </w:r>
      <w:r w:rsidR="00EC7EDF" w:rsidRPr="00FD211F">
        <w:rPr>
          <w:sz w:val="36"/>
          <w:szCs w:val="36"/>
          <w:rtl/>
        </w:rPr>
        <w:t xml:space="preserve">ة </w:t>
      </w:r>
      <w:r w:rsidRPr="00FD211F">
        <w:rPr>
          <w:sz w:val="36"/>
          <w:szCs w:val="36"/>
          <w:rtl/>
        </w:rPr>
        <w:t>من الفعل وهو الضرب وفاعله وهو زيد</w:t>
      </w:r>
      <w:r w:rsidR="00603323" w:rsidRPr="00FD211F">
        <w:rPr>
          <w:sz w:val="36"/>
          <w:szCs w:val="36"/>
          <w:rtl/>
        </w:rPr>
        <w:t xml:space="preserve">، </w:t>
      </w:r>
      <w:r w:rsidRPr="00FD211F">
        <w:rPr>
          <w:sz w:val="36"/>
          <w:szCs w:val="36"/>
          <w:rtl/>
        </w:rPr>
        <w:t xml:space="preserve">لكن يكون الانطباق بلحاظ عالم الطلب والبعث. </w:t>
      </w:r>
    </w:p>
    <w:p w14:paraId="76EBD73E" w14:textId="77777777" w:rsidR="0091720E" w:rsidRPr="00FD211F" w:rsidRDefault="00954B6D" w:rsidP="009C58C8">
      <w:pPr>
        <w:ind w:left="0" w:firstLine="227"/>
        <w:jc w:val="both"/>
        <w:rPr>
          <w:sz w:val="36"/>
          <w:szCs w:val="36"/>
          <w:rtl/>
        </w:rPr>
      </w:pPr>
      <w:r w:rsidRPr="00FD211F">
        <w:rPr>
          <w:b/>
          <w:bCs/>
          <w:sz w:val="36"/>
          <w:szCs w:val="36"/>
          <w:rtl/>
        </w:rPr>
        <w:t>وثانيهما</w:t>
      </w:r>
      <w:r w:rsidRPr="00FD211F">
        <w:rPr>
          <w:sz w:val="36"/>
          <w:szCs w:val="36"/>
          <w:rtl/>
        </w:rPr>
        <w:t>: ان تكون صيغ</w:t>
      </w:r>
      <w:r w:rsidR="00EC7EDF" w:rsidRPr="00FD211F">
        <w:rPr>
          <w:sz w:val="36"/>
          <w:szCs w:val="36"/>
          <w:rtl/>
        </w:rPr>
        <w:t xml:space="preserve">ة </w:t>
      </w:r>
      <w:r w:rsidRPr="00FD211F">
        <w:rPr>
          <w:sz w:val="36"/>
          <w:szCs w:val="36"/>
          <w:rtl/>
        </w:rPr>
        <w:t>الأمر مثل "اضرب" موضوع</w:t>
      </w:r>
      <w:r w:rsidR="00EC7EDF" w:rsidRPr="00FD211F">
        <w:rPr>
          <w:sz w:val="36"/>
          <w:szCs w:val="36"/>
          <w:rtl/>
        </w:rPr>
        <w:t xml:space="preserve">ة </w:t>
      </w:r>
      <w:r w:rsidRPr="00FD211F">
        <w:rPr>
          <w:sz w:val="36"/>
          <w:szCs w:val="36"/>
          <w:rtl/>
        </w:rPr>
        <w:t>لنسب</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تصادقي</w:t>
      </w:r>
      <w:r w:rsidR="00EC7EDF" w:rsidRPr="00FD211F">
        <w:rPr>
          <w:sz w:val="36"/>
          <w:szCs w:val="36"/>
          <w:rtl/>
        </w:rPr>
        <w:t xml:space="preserve">ة </w:t>
      </w:r>
      <w:r w:rsidRPr="00FD211F">
        <w:rPr>
          <w:sz w:val="36"/>
          <w:szCs w:val="36"/>
          <w:rtl/>
        </w:rPr>
        <w:t>بين الضرب وفاعله في عالم الطلب او بين البعث نحو الضرب والمبعوث -وهو فاعل الضرب- في عالم الخارج</w:t>
      </w:r>
      <w:r w:rsidR="00603323" w:rsidRPr="00FD211F">
        <w:rPr>
          <w:sz w:val="36"/>
          <w:szCs w:val="36"/>
          <w:rtl/>
        </w:rPr>
        <w:t xml:space="preserve">، </w:t>
      </w:r>
      <w:r w:rsidRPr="00FD211F">
        <w:rPr>
          <w:sz w:val="36"/>
          <w:szCs w:val="36"/>
          <w:rtl/>
        </w:rPr>
        <w:t>وبناء على الثاني تكون خصوصي</w:t>
      </w:r>
      <w:r w:rsidR="00EC7EDF" w:rsidRPr="00FD211F">
        <w:rPr>
          <w:sz w:val="36"/>
          <w:szCs w:val="36"/>
          <w:rtl/>
        </w:rPr>
        <w:t xml:space="preserve">ة </w:t>
      </w:r>
      <w:r w:rsidRPr="00FD211F">
        <w:rPr>
          <w:sz w:val="36"/>
          <w:szCs w:val="36"/>
          <w:rtl/>
        </w:rPr>
        <w:t>البعث م</w:t>
      </w:r>
      <w:r w:rsidR="0091720E" w:rsidRPr="00FD211F">
        <w:rPr>
          <w:sz w:val="36"/>
          <w:szCs w:val="36"/>
          <w:rtl/>
        </w:rPr>
        <w:t>أخوذة</w:t>
      </w:r>
      <w:r w:rsidR="00EC7EDF" w:rsidRPr="00FD211F">
        <w:rPr>
          <w:sz w:val="36"/>
          <w:szCs w:val="36"/>
          <w:rtl/>
        </w:rPr>
        <w:t xml:space="preserve"> </w:t>
      </w:r>
      <w:r w:rsidRPr="00FD211F">
        <w:rPr>
          <w:sz w:val="36"/>
          <w:szCs w:val="36"/>
          <w:rtl/>
        </w:rPr>
        <w:t>في مدلول الماد</w:t>
      </w:r>
      <w:r w:rsidR="00EC7EDF" w:rsidRPr="00FD211F">
        <w:rPr>
          <w:sz w:val="36"/>
          <w:szCs w:val="36"/>
          <w:rtl/>
        </w:rPr>
        <w:t>ة</w:t>
      </w:r>
      <w:r w:rsidR="00603323" w:rsidRPr="00FD211F">
        <w:rPr>
          <w:sz w:val="36"/>
          <w:szCs w:val="36"/>
          <w:rtl/>
        </w:rPr>
        <w:t xml:space="preserve">، </w:t>
      </w:r>
      <w:r w:rsidRPr="00FD211F">
        <w:rPr>
          <w:sz w:val="36"/>
          <w:szCs w:val="36"/>
          <w:rtl/>
        </w:rPr>
        <w:t>وحينئذ فتكون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صيغ</w:t>
      </w:r>
      <w:r w:rsidR="00EC7EDF" w:rsidRPr="00FD211F">
        <w:rPr>
          <w:sz w:val="36"/>
          <w:szCs w:val="36"/>
          <w:rtl/>
        </w:rPr>
        <w:t xml:space="preserve">ة </w:t>
      </w:r>
      <w:r w:rsidRPr="00FD211F">
        <w:rPr>
          <w:sz w:val="36"/>
          <w:szCs w:val="36"/>
          <w:rtl/>
        </w:rPr>
        <w:t>الأمر موضوع</w:t>
      </w:r>
      <w:r w:rsidR="00EC7EDF" w:rsidRPr="00FD211F">
        <w:rPr>
          <w:sz w:val="36"/>
          <w:szCs w:val="36"/>
          <w:rtl/>
        </w:rPr>
        <w:t xml:space="preserve">ة </w:t>
      </w:r>
      <w:r w:rsidRPr="00FD211F">
        <w:rPr>
          <w:sz w:val="36"/>
          <w:szCs w:val="36"/>
          <w:rtl/>
        </w:rPr>
        <w:t>على تعيين الطرف الآخر للنسب</w:t>
      </w:r>
      <w:r w:rsidR="00EC7EDF" w:rsidRPr="00FD211F">
        <w:rPr>
          <w:sz w:val="36"/>
          <w:szCs w:val="36"/>
          <w:rtl/>
        </w:rPr>
        <w:t xml:space="preserve">ة </w:t>
      </w:r>
      <w:r w:rsidRPr="00FD211F">
        <w:rPr>
          <w:sz w:val="36"/>
          <w:szCs w:val="36"/>
          <w:rtl/>
        </w:rPr>
        <w:t>التصادقي</w:t>
      </w:r>
      <w:r w:rsidR="00EC7EDF" w:rsidRPr="00FD211F">
        <w:rPr>
          <w:sz w:val="36"/>
          <w:szCs w:val="36"/>
          <w:rtl/>
        </w:rPr>
        <w:t>ة</w:t>
      </w:r>
      <w:r w:rsidR="009C58C8" w:rsidRPr="00FD211F">
        <w:rPr>
          <w:rStyle w:val="a6"/>
          <w:b/>
          <w:bCs/>
          <w:sz w:val="36"/>
          <w:szCs w:val="36"/>
          <w:rtl/>
        </w:rPr>
        <w:t>(</w:t>
      </w:r>
      <w:r w:rsidR="009C58C8" w:rsidRPr="00FD211F">
        <w:rPr>
          <w:rStyle w:val="a6"/>
          <w:b/>
          <w:bCs/>
          <w:sz w:val="36"/>
          <w:szCs w:val="36"/>
          <w:rtl/>
        </w:rPr>
        <w:footnoteReference w:id="233"/>
      </w:r>
      <w:r w:rsidR="009C58C8" w:rsidRPr="00FD211F">
        <w:rPr>
          <w:rStyle w:val="a6"/>
          <w:b/>
          <w:bCs/>
          <w:sz w:val="36"/>
          <w:szCs w:val="36"/>
          <w:rtl/>
        </w:rPr>
        <w:t>)</w:t>
      </w:r>
      <w:r w:rsidRPr="00FD211F">
        <w:rPr>
          <w:sz w:val="36"/>
          <w:szCs w:val="36"/>
          <w:rtl/>
        </w:rPr>
        <w:t>.</w:t>
      </w:r>
    </w:p>
    <w:p w14:paraId="50AD4B0D" w14:textId="77777777" w:rsidR="00954B6D" w:rsidRPr="00FD211F" w:rsidRDefault="00596B89" w:rsidP="009C58C8">
      <w:pPr>
        <w:ind w:left="0" w:firstLine="227"/>
        <w:jc w:val="both"/>
        <w:rPr>
          <w:sz w:val="36"/>
          <w:szCs w:val="36"/>
          <w:rtl/>
        </w:rPr>
      </w:pPr>
      <w:r w:rsidRPr="00FD211F">
        <w:rPr>
          <w:sz w:val="36"/>
          <w:szCs w:val="36"/>
          <w:rtl/>
        </w:rPr>
        <w:t>لكنه في بحث الاوامر</w:t>
      </w:r>
      <w:r w:rsidR="0091720E" w:rsidRPr="00FD211F">
        <w:rPr>
          <w:sz w:val="36"/>
          <w:szCs w:val="36"/>
          <w:rtl/>
        </w:rPr>
        <w:t xml:space="preserve"> </w:t>
      </w:r>
      <w:r w:rsidRPr="00FD211F">
        <w:rPr>
          <w:sz w:val="36"/>
          <w:szCs w:val="36"/>
          <w:rtl/>
        </w:rPr>
        <w:t>ذكر الاحتمال الاول فقط</w:t>
      </w:r>
      <w:r w:rsidR="00511BD0" w:rsidRPr="00FD211F">
        <w:rPr>
          <w:sz w:val="36"/>
          <w:szCs w:val="36"/>
          <w:rtl/>
        </w:rPr>
        <w:t xml:space="preserve"> وهووضع صيغ</w:t>
      </w:r>
      <w:r w:rsidR="00EC7EDF" w:rsidRPr="00FD211F">
        <w:rPr>
          <w:sz w:val="36"/>
          <w:szCs w:val="36"/>
          <w:rtl/>
        </w:rPr>
        <w:t xml:space="preserve">ة </w:t>
      </w:r>
      <w:r w:rsidR="001B3112" w:rsidRPr="00FD211F">
        <w:rPr>
          <w:sz w:val="36"/>
          <w:szCs w:val="36"/>
          <w:rtl/>
        </w:rPr>
        <w:t>الأمر</w:t>
      </w:r>
      <w:r w:rsidR="00511BD0" w:rsidRPr="00FD211F">
        <w:rPr>
          <w:sz w:val="36"/>
          <w:szCs w:val="36"/>
          <w:rtl/>
        </w:rPr>
        <w:t>على النسب</w:t>
      </w:r>
      <w:r w:rsidR="00EC7EDF" w:rsidRPr="00FD211F">
        <w:rPr>
          <w:sz w:val="36"/>
          <w:szCs w:val="36"/>
          <w:rtl/>
        </w:rPr>
        <w:t xml:space="preserve">ة </w:t>
      </w:r>
      <w:r w:rsidR="00511BD0" w:rsidRPr="00FD211F">
        <w:rPr>
          <w:sz w:val="36"/>
          <w:szCs w:val="36"/>
          <w:rtl/>
        </w:rPr>
        <w:t>الناقص</w:t>
      </w:r>
      <w:r w:rsidR="00EC7EDF" w:rsidRPr="00FD211F">
        <w:rPr>
          <w:sz w:val="36"/>
          <w:szCs w:val="36"/>
          <w:rtl/>
        </w:rPr>
        <w:t xml:space="preserve">ة </w:t>
      </w:r>
      <w:r w:rsidR="00511BD0" w:rsidRPr="00FD211F">
        <w:rPr>
          <w:sz w:val="36"/>
          <w:szCs w:val="36"/>
          <w:rtl/>
        </w:rPr>
        <w:t>البعثي</w:t>
      </w:r>
      <w:r w:rsidR="00EC7EDF" w:rsidRPr="00FD211F">
        <w:rPr>
          <w:sz w:val="36"/>
          <w:szCs w:val="36"/>
          <w:rtl/>
        </w:rPr>
        <w:t xml:space="preserve">ة </w:t>
      </w:r>
      <w:r w:rsidR="00511BD0" w:rsidRPr="00FD211F">
        <w:rPr>
          <w:sz w:val="36"/>
          <w:szCs w:val="36"/>
          <w:rtl/>
        </w:rPr>
        <w:t>والارسالي</w:t>
      </w:r>
      <w:r w:rsidR="00EC7EDF" w:rsidRPr="00FD211F">
        <w:rPr>
          <w:sz w:val="36"/>
          <w:szCs w:val="36"/>
          <w:rtl/>
        </w:rPr>
        <w:t xml:space="preserve">ة </w:t>
      </w:r>
      <w:r w:rsidR="00511BD0" w:rsidRPr="00FD211F">
        <w:rPr>
          <w:sz w:val="36"/>
          <w:szCs w:val="36"/>
          <w:rtl/>
        </w:rPr>
        <w:t>والدفعي</w:t>
      </w:r>
      <w:r w:rsidR="00EC7EDF" w:rsidRPr="00FD211F">
        <w:rPr>
          <w:sz w:val="36"/>
          <w:szCs w:val="36"/>
          <w:rtl/>
        </w:rPr>
        <w:t xml:space="preserve">ة </w:t>
      </w:r>
      <w:r w:rsidR="00511BD0" w:rsidRPr="00FD211F">
        <w:rPr>
          <w:sz w:val="36"/>
          <w:szCs w:val="36"/>
          <w:rtl/>
        </w:rPr>
        <w:t>والالقائي</w:t>
      </w:r>
      <w:r w:rsidR="00EC7EDF" w:rsidRPr="00FD211F">
        <w:rPr>
          <w:sz w:val="36"/>
          <w:szCs w:val="36"/>
          <w:rtl/>
        </w:rPr>
        <w:t xml:space="preserve">ة </w:t>
      </w:r>
      <w:r w:rsidR="00511BD0" w:rsidRPr="00FD211F">
        <w:rPr>
          <w:sz w:val="36"/>
          <w:szCs w:val="36"/>
          <w:rtl/>
        </w:rPr>
        <w:t>وماشابه هذاالتعبير.</w:t>
      </w:r>
      <w:r w:rsidR="009C58C8" w:rsidRPr="00FD211F">
        <w:rPr>
          <w:rStyle w:val="a6"/>
          <w:b/>
          <w:bCs/>
          <w:sz w:val="36"/>
          <w:szCs w:val="36"/>
          <w:rtl/>
        </w:rPr>
        <w:t>(</w:t>
      </w:r>
      <w:r w:rsidR="009C58C8" w:rsidRPr="00FD211F">
        <w:rPr>
          <w:rStyle w:val="a6"/>
          <w:b/>
          <w:bCs/>
          <w:sz w:val="36"/>
          <w:szCs w:val="36"/>
          <w:rtl/>
        </w:rPr>
        <w:footnoteReference w:id="234"/>
      </w:r>
      <w:r w:rsidR="009C58C8" w:rsidRPr="00FD211F">
        <w:rPr>
          <w:rStyle w:val="a6"/>
          <w:b/>
          <w:bCs/>
          <w:sz w:val="36"/>
          <w:szCs w:val="36"/>
          <w:rtl/>
        </w:rPr>
        <w:t>)</w:t>
      </w:r>
      <w:r w:rsidRPr="00FD211F">
        <w:rPr>
          <w:sz w:val="36"/>
          <w:szCs w:val="36"/>
          <w:rtl/>
        </w:rPr>
        <w:t xml:space="preserve"> </w:t>
      </w:r>
    </w:p>
    <w:p w14:paraId="2325105C" w14:textId="77777777" w:rsidR="00954B6D" w:rsidRPr="00FD211F" w:rsidRDefault="00596B89" w:rsidP="009C58C8">
      <w:pPr>
        <w:ind w:left="0" w:firstLine="227"/>
        <w:jc w:val="both"/>
        <w:rPr>
          <w:sz w:val="36"/>
          <w:szCs w:val="36"/>
          <w:rtl/>
        </w:rPr>
      </w:pPr>
      <w:r w:rsidRPr="00FD211F">
        <w:rPr>
          <w:sz w:val="36"/>
          <w:szCs w:val="36"/>
          <w:rtl/>
        </w:rPr>
        <w:t>اقول</w:t>
      </w:r>
      <w:r w:rsidR="00EC7EDF" w:rsidRPr="00FD211F">
        <w:rPr>
          <w:sz w:val="36"/>
          <w:szCs w:val="36"/>
          <w:rtl/>
        </w:rPr>
        <w:t>:</w:t>
      </w:r>
      <w:r w:rsidR="00D44695" w:rsidRPr="00FD211F">
        <w:rPr>
          <w:sz w:val="36"/>
          <w:szCs w:val="36"/>
          <w:rtl/>
        </w:rPr>
        <w:t xml:space="preserve">الصحيح </w:t>
      </w:r>
      <w:r w:rsidR="00954B6D" w:rsidRPr="00FD211F">
        <w:rPr>
          <w:sz w:val="36"/>
          <w:szCs w:val="36"/>
          <w:rtl/>
        </w:rPr>
        <w:t>عدم تمامي</w:t>
      </w:r>
      <w:r w:rsidR="00EC7EDF" w:rsidRPr="00FD211F">
        <w:rPr>
          <w:sz w:val="36"/>
          <w:szCs w:val="36"/>
          <w:rtl/>
        </w:rPr>
        <w:t xml:space="preserve">ة </w:t>
      </w:r>
      <w:r w:rsidR="00954B6D" w:rsidRPr="00FD211F">
        <w:rPr>
          <w:sz w:val="36"/>
          <w:szCs w:val="36"/>
          <w:rtl/>
        </w:rPr>
        <w:t>أيّ من الاحتمالين.</w:t>
      </w:r>
    </w:p>
    <w:p w14:paraId="5FF15CB5" w14:textId="77777777" w:rsidR="00954B6D" w:rsidRPr="00FD211F" w:rsidRDefault="00954B6D" w:rsidP="009C58C8">
      <w:pPr>
        <w:ind w:left="0" w:firstLine="227"/>
        <w:jc w:val="both"/>
        <w:rPr>
          <w:sz w:val="36"/>
          <w:szCs w:val="36"/>
          <w:rtl/>
        </w:rPr>
      </w:pPr>
      <w:r w:rsidRPr="00FD211F">
        <w:rPr>
          <w:sz w:val="36"/>
          <w:szCs w:val="36"/>
          <w:rtl/>
        </w:rPr>
        <w:t>اما الاحتمال الأول فلأن مرجعه الى كون مفاد صيغ</w:t>
      </w:r>
      <w:r w:rsidR="00EC7EDF" w:rsidRPr="00FD211F">
        <w:rPr>
          <w:sz w:val="36"/>
          <w:szCs w:val="36"/>
          <w:rtl/>
        </w:rPr>
        <w:t xml:space="preserve">ة </w:t>
      </w:r>
      <w:r w:rsidRPr="00FD211F">
        <w:rPr>
          <w:sz w:val="36"/>
          <w:szCs w:val="36"/>
          <w:rtl/>
        </w:rPr>
        <w:t>الأمر مفهوما تصوريا مشتملا على نسب</w:t>
      </w:r>
      <w:r w:rsidR="00EC7EDF" w:rsidRPr="00FD211F">
        <w:rPr>
          <w:sz w:val="36"/>
          <w:szCs w:val="36"/>
          <w:rtl/>
        </w:rPr>
        <w:t xml:space="preserve">ة </w:t>
      </w:r>
      <w:r w:rsidRPr="00FD211F">
        <w:rPr>
          <w:sz w:val="36"/>
          <w:szCs w:val="36"/>
          <w:rtl/>
        </w:rPr>
        <w:t>بعثي</w:t>
      </w:r>
      <w:r w:rsidR="00EC7EDF" w:rsidRPr="00FD211F">
        <w:rPr>
          <w:sz w:val="36"/>
          <w:szCs w:val="36"/>
          <w:rtl/>
        </w:rPr>
        <w:t xml:space="preserve">ة </w:t>
      </w:r>
      <w:r w:rsidRPr="00FD211F">
        <w:rPr>
          <w:sz w:val="36"/>
          <w:szCs w:val="36"/>
          <w:rtl/>
        </w:rPr>
        <w:t>تحليلي</w:t>
      </w:r>
      <w:r w:rsidR="00EC7EDF" w:rsidRPr="00FD211F">
        <w:rPr>
          <w:sz w:val="36"/>
          <w:szCs w:val="36"/>
          <w:rtl/>
        </w:rPr>
        <w:t>ة</w:t>
      </w:r>
      <w:r w:rsidR="00603323" w:rsidRPr="00FD211F">
        <w:rPr>
          <w:sz w:val="36"/>
          <w:szCs w:val="36"/>
          <w:rtl/>
        </w:rPr>
        <w:t xml:space="preserve">، </w:t>
      </w:r>
      <w:r w:rsidRPr="00FD211F">
        <w:rPr>
          <w:sz w:val="36"/>
          <w:szCs w:val="36"/>
          <w:rtl/>
        </w:rPr>
        <w:t>فيكون "إضرب" مثلا مساوقا لقولنا " "الضرب المبعوث اليه" او "البعث الى الضرب"</w:t>
      </w:r>
      <w:r w:rsidR="00603323" w:rsidRPr="00FD211F">
        <w:rPr>
          <w:sz w:val="36"/>
          <w:szCs w:val="36"/>
          <w:rtl/>
        </w:rPr>
        <w:t xml:space="preserve">، </w:t>
      </w:r>
      <w:r w:rsidRPr="00FD211F">
        <w:rPr>
          <w:sz w:val="36"/>
          <w:szCs w:val="36"/>
          <w:rtl/>
        </w:rPr>
        <w:t>مع انه خلاف الوجدان</w:t>
      </w:r>
      <w:r w:rsidR="00603323" w:rsidRPr="00FD211F">
        <w:rPr>
          <w:sz w:val="36"/>
          <w:szCs w:val="36"/>
          <w:rtl/>
        </w:rPr>
        <w:t xml:space="preserve">، </w:t>
      </w:r>
      <w:r w:rsidRPr="00FD211F">
        <w:rPr>
          <w:sz w:val="36"/>
          <w:szCs w:val="36"/>
          <w:rtl/>
        </w:rPr>
        <w:t>حيث يفهم من "إضرب" او "ليضرب" إنشاء البعث الى الضرب.</w:t>
      </w:r>
    </w:p>
    <w:p w14:paraId="497E69F0" w14:textId="77777777" w:rsidR="00556BC0" w:rsidRPr="00FD211F" w:rsidRDefault="00954B6D" w:rsidP="009C58C8">
      <w:pPr>
        <w:ind w:left="0" w:firstLine="227"/>
        <w:jc w:val="both"/>
        <w:rPr>
          <w:sz w:val="36"/>
          <w:szCs w:val="36"/>
          <w:rtl/>
        </w:rPr>
      </w:pPr>
      <w:r w:rsidRPr="00FD211F">
        <w:rPr>
          <w:sz w:val="36"/>
          <w:szCs w:val="36"/>
          <w:rtl/>
        </w:rPr>
        <w:t>وأما الاحتمال الثاني فهو خلاف الوجدان العرفي ايضا</w:t>
      </w:r>
      <w:r w:rsidR="00603323" w:rsidRPr="00FD211F">
        <w:rPr>
          <w:sz w:val="36"/>
          <w:szCs w:val="36"/>
          <w:rtl/>
        </w:rPr>
        <w:t xml:space="preserve">، </w:t>
      </w:r>
      <w:r w:rsidRPr="00FD211F">
        <w:rPr>
          <w:sz w:val="36"/>
          <w:szCs w:val="36"/>
          <w:rtl/>
        </w:rPr>
        <w:t>لعدم تبادر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 البعث الى الضرب وبين زيد في مثل قولنا "ليضرب زيد" في عالم الخارج</w:t>
      </w:r>
      <w:r w:rsidR="00603323" w:rsidRPr="00FD211F">
        <w:rPr>
          <w:sz w:val="36"/>
          <w:szCs w:val="36"/>
          <w:rtl/>
        </w:rPr>
        <w:t xml:space="preserve">، </w:t>
      </w:r>
      <w:r w:rsidRPr="00FD211F">
        <w:rPr>
          <w:sz w:val="36"/>
          <w:szCs w:val="36"/>
          <w:rtl/>
        </w:rPr>
        <w:t>خاص</w:t>
      </w:r>
      <w:r w:rsidR="00EC7EDF" w:rsidRPr="00FD211F">
        <w:rPr>
          <w:sz w:val="36"/>
          <w:szCs w:val="36"/>
          <w:rtl/>
        </w:rPr>
        <w:t xml:space="preserve">ة </w:t>
      </w:r>
      <w:r w:rsidRPr="00FD211F">
        <w:rPr>
          <w:sz w:val="36"/>
          <w:szCs w:val="36"/>
          <w:rtl/>
        </w:rPr>
        <w:t>وانه يلزم منه لحاظ البعث نحو الضرب بلحاظ استقلالي</w:t>
      </w:r>
      <w:r w:rsidR="00603323" w:rsidRPr="00FD211F">
        <w:rPr>
          <w:sz w:val="36"/>
          <w:szCs w:val="36"/>
          <w:rtl/>
        </w:rPr>
        <w:t xml:space="preserve">، </w:t>
      </w:r>
      <w:r w:rsidRPr="00FD211F">
        <w:rPr>
          <w:sz w:val="36"/>
          <w:szCs w:val="36"/>
          <w:rtl/>
        </w:rPr>
        <w:t>حتى يصح جعله طرفا للنسب</w:t>
      </w:r>
      <w:r w:rsidR="00EC7EDF" w:rsidRPr="00FD211F">
        <w:rPr>
          <w:sz w:val="36"/>
          <w:szCs w:val="36"/>
          <w:rtl/>
        </w:rPr>
        <w:t xml:space="preserve">ة </w:t>
      </w:r>
      <w:r w:rsidRPr="00FD211F">
        <w:rPr>
          <w:sz w:val="36"/>
          <w:szCs w:val="36"/>
          <w:rtl/>
        </w:rPr>
        <w:t>التصادقي</w:t>
      </w:r>
      <w:r w:rsidR="00EC7EDF" w:rsidRPr="00FD211F">
        <w:rPr>
          <w:sz w:val="36"/>
          <w:szCs w:val="36"/>
          <w:rtl/>
        </w:rPr>
        <w:t>ة</w:t>
      </w:r>
      <w:r w:rsidR="00603323" w:rsidRPr="00FD211F">
        <w:rPr>
          <w:sz w:val="36"/>
          <w:szCs w:val="36"/>
          <w:rtl/>
        </w:rPr>
        <w:t xml:space="preserve">، </w:t>
      </w:r>
      <w:r w:rsidRPr="00FD211F">
        <w:rPr>
          <w:sz w:val="36"/>
          <w:szCs w:val="36"/>
          <w:rtl/>
        </w:rPr>
        <w:t>كما اننا لانتعقل معنى واضحا للنسب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 الضرب وبين زيد في عالم الطلب</w:t>
      </w:r>
      <w:r w:rsidR="00603323" w:rsidRPr="00FD211F">
        <w:rPr>
          <w:sz w:val="36"/>
          <w:szCs w:val="36"/>
          <w:rtl/>
        </w:rPr>
        <w:t xml:space="preserve">، </w:t>
      </w:r>
      <w:r w:rsidRPr="00FD211F">
        <w:rPr>
          <w:sz w:val="36"/>
          <w:szCs w:val="36"/>
          <w:rtl/>
        </w:rPr>
        <w:t>وما يتبادر الى الذهن من صيغ</w:t>
      </w:r>
      <w:r w:rsidR="00EC7EDF" w:rsidRPr="00FD211F">
        <w:rPr>
          <w:sz w:val="36"/>
          <w:szCs w:val="36"/>
          <w:rtl/>
        </w:rPr>
        <w:t xml:space="preserve">ة </w:t>
      </w:r>
      <w:r w:rsidRPr="00FD211F">
        <w:rPr>
          <w:sz w:val="36"/>
          <w:szCs w:val="36"/>
          <w:rtl/>
        </w:rPr>
        <w:t>الأمر ليس هو الا إنشاء البعث نحو ا</w:t>
      </w:r>
      <w:r w:rsidR="00D44695" w:rsidRPr="00FD211F">
        <w:rPr>
          <w:sz w:val="36"/>
          <w:szCs w:val="36"/>
          <w:rtl/>
        </w:rPr>
        <w:t>لفعل</w:t>
      </w:r>
      <w:r w:rsidR="00603323" w:rsidRPr="00FD211F">
        <w:rPr>
          <w:sz w:val="36"/>
          <w:szCs w:val="36"/>
          <w:rtl/>
        </w:rPr>
        <w:t xml:space="preserve">، </w:t>
      </w:r>
      <w:r w:rsidR="00D44695" w:rsidRPr="00FD211F">
        <w:rPr>
          <w:sz w:val="36"/>
          <w:szCs w:val="36"/>
          <w:rtl/>
        </w:rPr>
        <w:t>على ما مرّ في الوجه الاول</w:t>
      </w:r>
      <w:r w:rsidR="007D3F6A" w:rsidRPr="00FD211F">
        <w:rPr>
          <w:sz w:val="36"/>
          <w:szCs w:val="36"/>
          <w:rtl/>
        </w:rPr>
        <w:t>.</w:t>
      </w:r>
    </w:p>
    <w:p w14:paraId="11B30265" w14:textId="77777777" w:rsidR="00556BC0" w:rsidRPr="00FD211F" w:rsidRDefault="007D3F6A" w:rsidP="009C58C8">
      <w:pPr>
        <w:ind w:left="0" w:firstLine="227"/>
        <w:jc w:val="both"/>
        <w:rPr>
          <w:sz w:val="36"/>
          <w:szCs w:val="36"/>
          <w:rtl/>
        </w:rPr>
      </w:pPr>
      <w:r w:rsidRPr="00FD211F">
        <w:rPr>
          <w:sz w:val="36"/>
          <w:szCs w:val="36"/>
          <w:rtl/>
        </w:rPr>
        <w:t>واماماذكره من ان النسبه البعثي</w:t>
      </w:r>
      <w:r w:rsidR="00EC7EDF" w:rsidRPr="00FD211F">
        <w:rPr>
          <w:sz w:val="36"/>
          <w:szCs w:val="36"/>
          <w:rtl/>
        </w:rPr>
        <w:t xml:space="preserve">ة </w:t>
      </w:r>
      <w:r w:rsidRPr="00FD211F">
        <w:rPr>
          <w:sz w:val="36"/>
          <w:szCs w:val="36"/>
          <w:rtl/>
        </w:rPr>
        <w:t>لماكانت متحصل</w:t>
      </w:r>
      <w:r w:rsidR="00EC7EDF" w:rsidRPr="00FD211F">
        <w:rPr>
          <w:sz w:val="36"/>
          <w:szCs w:val="36"/>
          <w:rtl/>
        </w:rPr>
        <w:t xml:space="preserve">ة </w:t>
      </w:r>
      <w:r w:rsidRPr="00FD211F">
        <w:rPr>
          <w:sz w:val="36"/>
          <w:szCs w:val="36"/>
          <w:rtl/>
        </w:rPr>
        <w:t>من النسب</w:t>
      </w:r>
      <w:r w:rsidR="00EC7EDF" w:rsidRPr="00FD211F">
        <w:rPr>
          <w:sz w:val="36"/>
          <w:szCs w:val="36"/>
          <w:rtl/>
        </w:rPr>
        <w:t xml:space="preserve">ة </w:t>
      </w:r>
      <w:r w:rsidRPr="00FD211F">
        <w:rPr>
          <w:sz w:val="36"/>
          <w:szCs w:val="36"/>
          <w:rtl/>
        </w:rPr>
        <w:t>البعثي</w:t>
      </w:r>
      <w:r w:rsidR="00EC7EDF" w:rsidRPr="00FD211F">
        <w:rPr>
          <w:sz w:val="36"/>
          <w:szCs w:val="36"/>
          <w:rtl/>
        </w:rPr>
        <w:t xml:space="preserve">ة </w:t>
      </w:r>
      <w:r w:rsidRPr="00FD211F">
        <w:rPr>
          <w:sz w:val="36"/>
          <w:szCs w:val="36"/>
          <w:rtl/>
        </w:rPr>
        <w:t>الخارجي</w:t>
      </w:r>
      <w:r w:rsidR="00EC7EDF" w:rsidRPr="00FD211F">
        <w:rPr>
          <w:sz w:val="36"/>
          <w:szCs w:val="36"/>
          <w:rtl/>
        </w:rPr>
        <w:t xml:space="preserve">ة </w:t>
      </w:r>
      <w:r w:rsidRPr="00FD211F">
        <w:rPr>
          <w:sz w:val="36"/>
          <w:szCs w:val="36"/>
          <w:rtl/>
        </w:rPr>
        <w:t>فلابدان تكون نسب</w:t>
      </w:r>
      <w:r w:rsidR="00EC7EDF" w:rsidRPr="00FD211F">
        <w:rPr>
          <w:sz w:val="36"/>
          <w:szCs w:val="36"/>
          <w:rtl/>
        </w:rPr>
        <w:t xml:space="preserve">ة </w:t>
      </w:r>
      <w:r w:rsidRPr="00FD211F">
        <w:rPr>
          <w:sz w:val="36"/>
          <w:szCs w:val="36"/>
          <w:rtl/>
        </w:rPr>
        <w:t>ناقص</w:t>
      </w:r>
      <w:r w:rsidR="00EC7EDF" w:rsidRPr="00FD211F">
        <w:rPr>
          <w:sz w:val="36"/>
          <w:szCs w:val="36"/>
          <w:rtl/>
        </w:rPr>
        <w:t>ة</w:t>
      </w:r>
      <w:r w:rsidR="00603323" w:rsidRPr="00FD211F">
        <w:rPr>
          <w:sz w:val="36"/>
          <w:szCs w:val="36"/>
          <w:rtl/>
        </w:rPr>
        <w:t xml:space="preserve">، </w:t>
      </w:r>
      <w:r w:rsidR="00064320" w:rsidRPr="00FD211F">
        <w:rPr>
          <w:sz w:val="36"/>
          <w:szCs w:val="36"/>
          <w:rtl/>
        </w:rPr>
        <w:t xml:space="preserve">ففيه </w:t>
      </w:r>
      <w:r w:rsidRPr="00FD211F">
        <w:rPr>
          <w:sz w:val="36"/>
          <w:szCs w:val="36"/>
          <w:rtl/>
        </w:rPr>
        <w:t>أن نكت</w:t>
      </w:r>
      <w:r w:rsidR="00EC7EDF" w:rsidRPr="00FD211F">
        <w:rPr>
          <w:sz w:val="36"/>
          <w:szCs w:val="36"/>
          <w:rtl/>
        </w:rPr>
        <w:t xml:space="preserve">ة </w:t>
      </w:r>
      <w:r w:rsidR="00064320" w:rsidRPr="00FD211F">
        <w:rPr>
          <w:sz w:val="36"/>
          <w:szCs w:val="36"/>
          <w:rtl/>
        </w:rPr>
        <w:t xml:space="preserve">كون </w:t>
      </w:r>
      <w:r w:rsidRPr="00FD211F">
        <w:rPr>
          <w:sz w:val="36"/>
          <w:szCs w:val="36"/>
          <w:rtl/>
        </w:rPr>
        <w:t>مدلول صيغ</w:t>
      </w:r>
      <w:r w:rsidR="00EC7EDF" w:rsidRPr="00FD211F">
        <w:rPr>
          <w:sz w:val="36"/>
          <w:szCs w:val="36"/>
          <w:rtl/>
        </w:rPr>
        <w:t xml:space="preserve">ة </w:t>
      </w:r>
      <w:r w:rsidR="001B3112" w:rsidRPr="00FD211F">
        <w:rPr>
          <w:sz w:val="36"/>
          <w:szCs w:val="36"/>
          <w:rtl/>
        </w:rPr>
        <w:t>الأمر</w:t>
      </w:r>
      <w:r w:rsidRPr="00FD211F">
        <w:rPr>
          <w:sz w:val="36"/>
          <w:szCs w:val="36"/>
          <w:rtl/>
        </w:rPr>
        <w:t>نسب</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بعثي</w:t>
      </w:r>
      <w:r w:rsidR="00EC7EDF" w:rsidRPr="00FD211F">
        <w:rPr>
          <w:sz w:val="36"/>
          <w:szCs w:val="36"/>
          <w:rtl/>
        </w:rPr>
        <w:t xml:space="preserve">ة </w:t>
      </w:r>
      <w:r w:rsidRPr="00FD211F">
        <w:rPr>
          <w:sz w:val="36"/>
          <w:szCs w:val="36"/>
          <w:rtl/>
        </w:rPr>
        <w:t>هي ان صيغ</w:t>
      </w:r>
      <w:r w:rsidR="00EC7EDF" w:rsidRPr="00FD211F">
        <w:rPr>
          <w:sz w:val="36"/>
          <w:szCs w:val="36"/>
          <w:rtl/>
        </w:rPr>
        <w:t xml:space="preserve">ة </w:t>
      </w:r>
      <w:r w:rsidR="001B3112" w:rsidRPr="00FD211F">
        <w:rPr>
          <w:sz w:val="36"/>
          <w:szCs w:val="36"/>
          <w:rtl/>
        </w:rPr>
        <w:t>الأمر</w:t>
      </w:r>
      <w:r w:rsidRPr="00FD211F">
        <w:rPr>
          <w:sz w:val="36"/>
          <w:szCs w:val="36"/>
          <w:rtl/>
        </w:rPr>
        <w:t xml:space="preserve">وضعت لايجادالبعث </w:t>
      </w:r>
      <w:r w:rsidR="00C23084" w:rsidRPr="00FD211F">
        <w:rPr>
          <w:sz w:val="36"/>
          <w:szCs w:val="36"/>
          <w:rtl/>
        </w:rPr>
        <w:t>الاندماجي.</w:t>
      </w:r>
    </w:p>
    <w:p w14:paraId="1B6F86E1" w14:textId="77777777" w:rsidR="00556BC0" w:rsidRPr="00FD211F" w:rsidRDefault="00556BC0" w:rsidP="009C58C8">
      <w:pPr>
        <w:pStyle w:val="3"/>
        <w:ind w:firstLine="227"/>
        <w:jc w:val="both"/>
        <w:rPr>
          <w:rtl/>
        </w:rPr>
      </w:pPr>
      <w:bookmarkStart w:id="252" w:name="_Toc192092891"/>
      <w:bookmarkStart w:id="253" w:name="_Toc223890369"/>
      <w:r w:rsidRPr="00FD211F">
        <w:rPr>
          <w:rtl/>
        </w:rPr>
        <w:t>هيئ</w:t>
      </w:r>
      <w:r w:rsidR="00EC7EDF" w:rsidRPr="00FD211F">
        <w:rPr>
          <w:rtl/>
        </w:rPr>
        <w:t xml:space="preserve">ة </w:t>
      </w:r>
      <w:r w:rsidRPr="00FD211F">
        <w:rPr>
          <w:rtl/>
        </w:rPr>
        <w:t>المصدر</w:t>
      </w:r>
      <w:bookmarkEnd w:id="252"/>
      <w:bookmarkEnd w:id="253"/>
    </w:p>
    <w:p w14:paraId="20962355" w14:textId="77777777" w:rsidR="00556BC0" w:rsidRPr="00FD211F" w:rsidRDefault="00556BC0" w:rsidP="009C58C8">
      <w:pPr>
        <w:ind w:left="0" w:firstLine="227"/>
        <w:jc w:val="both"/>
        <w:rPr>
          <w:sz w:val="36"/>
          <w:szCs w:val="36"/>
          <w:rtl/>
        </w:rPr>
      </w:pPr>
      <w:r w:rsidRPr="00FD211F">
        <w:rPr>
          <w:sz w:val="36"/>
          <w:szCs w:val="36"/>
          <w:rtl/>
        </w:rPr>
        <w:t>ان المشهور عند النحا</w:t>
      </w:r>
      <w:r w:rsidR="00EC7EDF" w:rsidRPr="00FD211F">
        <w:rPr>
          <w:sz w:val="36"/>
          <w:szCs w:val="36"/>
          <w:rtl/>
        </w:rPr>
        <w:t xml:space="preserve">ة </w:t>
      </w:r>
      <w:r w:rsidRPr="00FD211F">
        <w:rPr>
          <w:sz w:val="36"/>
          <w:szCs w:val="36"/>
          <w:rtl/>
        </w:rPr>
        <w:t>ان المصدر اصل المشتقات</w:t>
      </w:r>
      <w:r w:rsidR="00603323" w:rsidRPr="00FD211F">
        <w:rPr>
          <w:sz w:val="36"/>
          <w:szCs w:val="36"/>
          <w:rtl/>
        </w:rPr>
        <w:t xml:space="preserve">، </w:t>
      </w:r>
      <w:r w:rsidRPr="00FD211F">
        <w:rPr>
          <w:sz w:val="36"/>
          <w:szCs w:val="36"/>
          <w:rtl/>
        </w:rPr>
        <w:t>فيقال بانه يعني ذلك ان هيئ</w:t>
      </w:r>
      <w:r w:rsidR="00EC7EDF" w:rsidRPr="00FD211F">
        <w:rPr>
          <w:sz w:val="36"/>
          <w:szCs w:val="36"/>
          <w:rtl/>
        </w:rPr>
        <w:t xml:space="preserve">ة </w:t>
      </w:r>
      <w:r w:rsidRPr="00FD211F">
        <w:rPr>
          <w:sz w:val="36"/>
          <w:szCs w:val="36"/>
          <w:rtl/>
        </w:rPr>
        <w:t>المصدر</w:t>
      </w:r>
      <w:r w:rsidR="008D7B3D" w:rsidRPr="00FD211F">
        <w:rPr>
          <w:sz w:val="36"/>
          <w:szCs w:val="36"/>
          <w:rtl/>
        </w:rPr>
        <w:t xml:space="preserve"> لم‌</w:t>
      </w:r>
      <w:r w:rsidRPr="00FD211F">
        <w:rPr>
          <w:sz w:val="36"/>
          <w:szCs w:val="36"/>
          <w:rtl/>
        </w:rPr>
        <w:t>توضع لمع</w:t>
      </w:r>
      <w:r w:rsidR="0014691A" w:rsidRPr="00FD211F">
        <w:rPr>
          <w:sz w:val="36"/>
          <w:szCs w:val="36"/>
          <w:rtl/>
        </w:rPr>
        <w:t>نى زائد على ما تدل عليه الماد</w:t>
      </w:r>
      <w:r w:rsidR="00EC7EDF" w:rsidRPr="00FD211F">
        <w:rPr>
          <w:sz w:val="36"/>
          <w:szCs w:val="36"/>
          <w:rtl/>
        </w:rPr>
        <w:t xml:space="preserve">ة </w:t>
      </w:r>
      <w:r w:rsidRPr="00FD211F">
        <w:rPr>
          <w:sz w:val="36"/>
          <w:szCs w:val="36"/>
          <w:rtl/>
        </w:rPr>
        <w:t>والا</w:t>
      </w:r>
      <w:r w:rsidR="008D7B3D" w:rsidRPr="00FD211F">
        <w:rPr>
          <w:sz w:val="36"/>
          <w:szCs w:val="36"/>
          <w:rtl/>
        </w:rPr>
        <w:t xml:space="preserve"> لم‌</w:t>
      </w:r>
      <w:r w:rsidRPr="00FD211F">
        <w:rPr>
          <w:sz w:val="36"/>
          <w:szCs w:val="36"/>
          <w:rtl/>
        </w:rPr>
        <w:t>يكن اصلا للمشتقات حيث لاينحفظ هيئ</w:t>
      </w:r>
      <w:r w:rsidR="00EC7EDF" w:rsidRPr="00FD211F">
        <w:rPr>
          <w:sz w:val="36"/>
          <w:szCs w:val="36"/>
          <w:rtl/>
        </w:rPr>
        <w:t xml:space="preserve">ة </w:t>
      </w:r>
      <w:r w:rsidRPr="00FD211F">
        <w:rPr>
          <w:sz w:val="36"/>
          <w:szCs w:val="36"/>
          <w:rtl/>
        </w:rPr>
        <w:t xml:space="preserve">المصدر </w:t>
      </w:r>
      <w:r w:rsidR="0014691A" w:rsidRPr="00FD211F">
        <w:rPr>
          <w:sz w:val="36"/>
          <w:szCs w:val="36"/>
          <w:rtl/>
        </w:rPr>
        <w:t>التي تدل على المعنى الزائد فيها</w:t>
      </w:r>
      <w:r w:rsidRPr="00FD211F">
        <w:rPr>
          <w:sz w:val="36"/>
          <w:szCs w:val="36"/>
          <w:rtl/>
        </w:rPr>
        <w:t>.</w:t>
      </w:r>
    </w:p>
    <w:p w14:paraId="3AD63332" w14:textId="77777777" w:rsidR="00556BC0" w:rsidRPr="00FD211F" w:rsidRDefault="00556BC0" w:rsidP="009C58C8">
      <w:pPr>
        <w:ind w:left="0" w:firstLine="227"/>
        <w:jc w:val="both"/>
        <w:rPr>
          <w:sz w:val="36"/>
          <w:szCs w:val="36"/>
          <w:rtl/>
        </w:rPr>
      </w:pPr>
      <w:r w:rsidRPr="00FD211F">
        <w:rPr>
          <w:sz w:val="36"/>
          <w:szCs w:val="36"/>
          <w:rtl/>
        </w:rPr>
        <w:t>ولكن هناك محاولات لتصوير معنى زائد وضعت هيئ</w:t>
      </w:r>
      <w:r w:rsidR="00EC7EDF" w:rsidRPr="00FD211F">
        <w:rPr>
          <w:sz w:val="36"/>
          <w:szCs w:val="36"/>
          <w:rtl/>
        </w:rPr>
        <w:t xml:space="preserve">ة </w:t>
      </w:r>
      <w:r w:rsidRPr="00FD211F">
        <w:rPr>
          <w:sz w:val="36"/>
          <w:szCs w:val="36"/>
          <w:rtl/>
        </w:rPr>
        <w:t>المصدر</w:t>
      </w:r>
      <w:r w:rsidR="0091720E" w:rsidRPr="00FD211F">
        <w:rPr>
          <w:sz w:val="36"/>
          <w:szCs w:val="36"/>
          <w:rtl/>
        </w:rPr>
        <w:t xml:space="preserve"> بإزاءه</w:t>
      </w:r>
      <w:r w:rsidRPr="00FD211F">
        <w:rPr>
          <w:sz w:val="36"/>
          <w:szCs w:val="36"/>
          <w:rtl/>
        </w:rPr>
        <w:t>:</w:t>
      </w:r>
    </w:p>
    <w:p w14:paraId="4676CB4C" w14:textId="77777777" w:rsidR="00556BC0" w:rsidRPr="00FD211F" w:rsidRDefault="00556BC0" w:rsidP="009C58C8">
      <w:pPr>
        <w:ind w:left="0" w:firstLine="227"/>
        <w:jc w:val="both"/>
        <w:rPr>
          <w:sz w:val="36"/>
          <w:szCs w:val="36"/>
          <w:rtl/>
        </w:rPr>
      </w:pPr>
      <w:r w:rsidRPr="00FD211F">
        <w:rPr>
          <w:b/>
          <w:bCs/>
          <w:sz w:val="36"/>
          <w:szCs w:val="36"/>
          <w:rtl/>
        </w:rPr>
        <w:t>المحاول</w:t>
      </w:r>
      <w:r w:rsidR="00EC7EDF" w:rsidRPr="00FD211F">
        <w:rPr>
          <w:b/>
          <w:bCs/>
          <w:sz w:val="36"/>
          <w:szCs w:val="36"/>
          <w:rtl/>
        </w:rPr>
        <w:t xml:space="preserve">ة </w:t>
      </w:r>
      <w:r w:rsidRPr="00FD211F">
        <w:rPr>
          <w:b/>
          <w:bCs/>
          <w:sz w:val="36"/>
          <w:szCs w:val="36"/>
          <w:rtl/>
        </w:rPr>
        <w:t>الاولى</w:t>
      </w:r>
      <w:r w:rsidRPr="00FD211F">
        <w:rPr>
          <w:sz w:val="36"/>
          <w:szCs w:val="36"/>
          <w:rtl/>
        </w:rPr>
        <w:t>: ما يقال من انها موضوع</w:t>
      </w:r>
      <w:r w:rsidR="00EC7EDF" w:rsidRPr="00FD211F">
        <w:rPr>
          <w:sz w:val="36"/>
          <w:szCs w:val="36"/>
          <w:rtl/>
        </w:rPr>
        <w:t xml:space="preserve">ة </w:t>
      </w:r>
      <w:r w:rsidRPr="00FD211F">
        <w:rPr>
          <w:sz w:val="36"/>
          <w:szCs w:val="36"/>
          <w:rtl/>
        </w:rPr>
        <w:t>بإزاء نسب</w:t>
      </w:r>
      <w:r w:rsidR="00EC7EDF" w:rsidRPr="00FD211F">
        <w:rPr>
          <w:sz w:val="36"/>
          <w:szCs w:val="36"/>
          <w:rtl/>
        </w:rPr>
        <w:t xml:space="preserve">ة </w:t>
      </w:r>
      <w:r w:rsidRPr="00FD211F">
        <w:rPr>
          <w:sz w:val="36"/>
          <w:szCs w:val="36"/>
          <w:rtl/>
        </w:rPr>
        <w:t>ناقص</w:t>
      </w:r>
      <w:r w:rsidR="00EC7EDF" w:rsidRPr="00FD211F">
        <w:rPr>
          <w:sz w:val="36"/>
          <w:szCs w:val="36"/>
          <w:rtl/>
        </w:rPr>
        <w:t xml:space="preserve">ة </w:t>
      </w:r>
      <w:r w:rsidRPr="00FD211F">
        <w:rPr>
          <w:sz w:val="36"/>
          <w:szCs w:val="36"/>
          <w:rtl/>
        </w:rPr>
        <w:t>بين الحدث وذات مبهم</w:t>
      </w:r>
      <w:r w:rsidR="00EC7EDF" w:rsidRPr="00FD211F">
        <w:rPr>
          <w:sz w:val="36"/>
          <w:szCs w:val="36"/>
          <w:rtl/>
        </w:rPr>
        <w:t>ة</w:t>
      </w:r>
      <w:r w:rsidR="00A61BAE" w:rsidRPr="00FD211F">
        <w:rPr>
          <w:sz w:val="36"/>
          <w:szCs w:val="36"/>
          <w:rtl/>
        </w:rPr>
        <w:t>.</w:t>
      </w:r>
    </w:p>
    <w:p w14:paraId="5661FD0C" w14:textId="77777777" w:rsidR="00556BC0" w:rsidRPr="00FD211F" w:rsidRDefault="00556BC0" w:rsidP="009C58C8">
      <w:pPr>
        <w:ind w:left="0" w:firstLine="227"/>
        <w:jc w:val="both"/>
        <w:rPr>
          <w:sz w:val="36"/>
          <w:szCs w:val="36"/>
          <w:rtl/>
        </w:rPr>
      </w:pPr>
      <w:r w:rsidRPr="00FD211F">
        <w:rPr>
          <w:sz w:val="36"/>
          <w:szCs w:val="36"/>
          <w:rtl/>
        </w:rPr>
        <w:t xml:space="preserve">ويلاحظ عليه انه </w:t>
      </w:r>
      <w:r w:rsidR="0014691A" w:rsidRPr="00FD211F">
        <w:rPr>
          <w:sz w:val="36"/>
          <w:szCs w:val="36"/>
          <w:rtl/>
        </w:rPr>
        <w:t>لو دلت هيئ</w:t>
      </w:r>
      <w:r w:rsidR="00EC7EDF" w:rsidRPr="00FD211F">
        <w:rPr>
          <w:sz w:val="36"/>
          <w:szCs w:val="36"/>
          <w:rtl/>
        </w:rPr>
        <w:t xml:space="preserve">ة </w:t>
      </w:r>
      <w:r w:rsidR="0014691A" w:rsidRPr="00FD211F">
        <w:rPr>
          <w:sz w:val="36"/>
          <w:szCs w:val="36"/>
          <w:rtl/>
        </w:rPr>
        <w:t>المصدر على الذات التي هي</w:t>
      </w:r>
      <w:r w:rsidRPr="00FD211F">
        <w:rPr>
          <w:sz w:val="36"/>
          <w:szCs w:val="36"/>
          <w:rtl/>
        </w:rPr>
        <w:t xml:space="preserve"> طرف النسب</w:t>
      </w:r>
      <w:r w:rsidR="00EC7EDF" w:rsidRPr="00FD211F">
        <w:rPr>
          <w:sz w:val="36"/>
          <w:szCs w:val="36"/>
          <w:rtl/>
        </w:rPr>
        <w:t>ة</w:t>
      </w:r>
      <w:r w:rsidR="00603323" w:rsidRPr="00FD211F">
        <w:rPr>
          <w:sz w:val="36"/>
          <w:szCs w:val="36"/>
          <w:rtl/>
        </w:rPr>
        <w:t xml:space="preserve">، </w:t>
      </w:r>
      <w:r w:rsidRPr="00FD211F">
        <w:rPr>
          <w:sz w:val="36"/>
          <w:szCs w:val="36"/>
          <w:rtl/>
        </w:rPr>
        <w:t>ففي مثل قولنا "ضربُ زيدٍ" يلزم تعدد النسب</w:t>
      </w:r>
      <w:r w:rsidR="00EC7EDF" w:rsidRPr="00FD211F">
        <w:rPr>
          <w:sz w:val="36"/>
          <w:szCs w:val="36"/>
          <w:rtl/>
        </w:rPr>
        <w:t>ة</w:t>
      </w:r>
      <w:r w:rsidR="00603323" w:rsidRPr="00FD211F">
        <w:rPr>
          <w:sz w:val="36"/>
          <w:szCs w:val="36"/>
          <w:rtl/>
        </w:rPr>
        <w:t xml:space="preserve">، </w:t>
      </w:r>
      <w:r w:rsidRPr="00FD211F">
        <w:rPr>
          <w:sz w:val="36"/>
          <w:szCs w:val="36"/>
          <w:rtl/>
        </w:rPr>
        <w:t>حيث أنه بملاحظ</w:t>
      </w:r>
      <w:r w:rsidR="00EC7EDF" w:rsidRPr="00FD211F">
        <w:rPr>
          <w:sz w:val="36"/>
          <w:szCs w:val="36"/>
          <w:rtl/>
        </w:rPr>
        <w:t xml:space="preserve">ة </w:t>
      </w:r>
      <w:r w:rsidRPr="00FD211F">
        <w:rPr>
          <w:sz w:val="36"/>
          <w:szCs w:val="36"/>
          <w:rtl/>
        </w:rPr>
        <w:t>هيئ</w:t>
      </w:r>
      <w:r w:rsidR="00EC7EDF" w:rsidRPr="00FD211F">
        <w:rPr>
          <w:sz w:val="36"/>
          <w:szCs w:val="36"/>
          <w:rtl/>
        </w:rPr>
        <w:t xml:space="preserve">ة </w:t>
      </w:r>
      <w:r w:rsidRPr="00FD211F">
        <w:rPr>
          <w:sz w:val="36"/>
          <w:szCs w:val="36"/>
          <w:rtl/>
        </w:rPr>
        <w:t>الإضاف</w:t>
      </w:r>
      <w:r w:rsidR="00EC7EDF" w:rsidRPr="00FD211F">
        <w:rPr>
          <w:sz w:val="36"/>
          <w:szCs w:val="36"/>
          <w:rtl/>
        </w:rPr>
        <w:t xml:space="preserve">ة </w:t>
      </w:r>
      <w:r w:rsidRPr="00FD211F">
        <w:rPr>
          <w:sz w:val="36"/>
          <w:szCs w:val="36"/>
          <w:rtl/>
        </w:rPr>
        <w:t>يكون زيد طرف النسب</w:t>
      </w:r>
      <w:r w:rsidR="00EC7EDF" w:rsidRPr="00FD211F">
        <w:rPr>
          <w:sz w:val="36"/>
          <w:szCs w:val="36"/>
          <w:rtl/>
        </w:rPr>
        <w:t xml:space="preserve">ة </w:t>
      </w:r>
      <w:r w:rsidRPr="00FD211F">
        <w:rPr>
          <w:sz w:val="36"/>
          <w:szCs w:val="36"/>
          <w:rtl/>
        </w:rPr>
        <w:t>وبملاحظ</w:t>
      </w:r>
      <w:r w:rsidR="00EC7EDF" w:rsidRPr="00FD211F">
        <w:rPr>
          <w:sz w:val="36"/>
          <w:szCs w:val="36"/>
          <w:rtl/>
        </w:rPr>
        <w:t xml:space="preserve">ة </w:t>
      </w:r>
      <w:r w:rsidRPr="00FD211F">
        <w:rPr>
          <w:sz w:val="36"/>
          <w:szCs w:val="36"/>
          <w:rtl/>
        </w:rPr>
        <w:t>هيئ</w:t>
      </w:r>
      <w:r w:rsidR="00EC7EDF" w:rsidRPr="00FD211F">
        <w:rPr>
          <w:sz w:val="36"/>
          <w:szCs w:val="36"/>
          <w:rtl/>
        </w:rPr>
        <w:t xml:space="preserve">ة </w:t>
      </w:r>
      <w:r w:rsidRPr="00FD211F">
        <w:rPr>
          <w:sz w:val="36"/>
          <w:szCs w:val="36"/>
          <w:rtl/>
        </w:rPr>
        <w:t>المصدر يكون طرفها الذات المبهم</w:t>
      </w:r>
      <w:r w:rsidR="00EC7EDF" w:rsidRPr="00FD211F">
        <w:rPr>
          <w:sz w:val="36"/>
          <w:szCs w:val="36"/>
          <w:rtl/>
        </w:rPr>
        <w:t>ة</w:t>
      </w:r>
      <w:r w:rsidR="00603323" w:rsidRPr="00FD211F">
        <w:rPr>
          <w:sz w:val="36"/>
          <w:szCs w:val="36"/>
          <w:rtl/>
        </w:rPr>
        <w:t xml:space="preserve">، </w:t>
      </w:r>
      <w:r w:rsidRPr="00FD211F">
        <w:rPr>
          <w:sz w:val="36"/>
          <w:szCs w:val="36"/>
          <w:rtl/>
        </w:rPr>
        <w:t>فيلزم تعدد النسب</w:t>
      </w:r>
      <w:r w:rsidR="00EC7EDF" w:rsidRPr="00FD211F">
        <w:rPr>
          <w:sz w:val="36"/>
          <w:szCs w:val="36"/>
          <w:rtl/>
        </w:rPr>
        <w:t xml:space="preserve">ة </w:t>
      </w:r>
      <w:r w:rsidRPr="00FD211F">
        <w:rPr>
          <w:sz w:val="36"/>
          <w:szCs w:val="36"/>
          <w:rtl/>
        </w:rPr>
        <w:t>في عرض واحد</w:t>
      </w:r>
      <w:r w:rsidR="00603323" w:rsidRPr="00FD211F">
        <w:rPr>
          <w:sz w:val="36"/>
          <w:szCs w:val="36"/>
          <w:rtl/>
        </w:rPr>
        <w:t xml:space="preserve">، </w:t>
      </w:r>
      <w:r w:rsidRPr="00FD211F">
        <w:rPr>
          <w:sz w:val="36"/>
          <w:szCs w:val="36"/>
          <w:rtl/>
        </w:rPr>
        <w:t>وهذا ان</w:t>
      </w:r>
      <w:r w:rsidR="008D7B3D" w:rsidRPr="00FD211F">
        <w:rPr>
          <w:sz w:val="36"/>
          <w:szCs w:val="36"/>
          <w:rtl/>
        </w:rPr>
        <w:t xml:space="preserve"> لم‌</w:t>
      </w:r>
      <w:r w:rsidRPr="00FD211F">
        <w:rPr>
          <w:sz w:val="36"/>
          <w:szCs w:val="36"/>
          <w:rtl/>
        </w:rPr>
        <w:t>يكن مستحيلا فلااقل من كونه خلاف الوجدان</w:t>
      </w:r>
      <w:r w:rsidR="00603323" w:rsidRPr="00FD211F">
        <w:rPr>
          <w:sz w:val="36"/>
          <w:szCs w:val="36"/>
          <w:rtl/>
        </w:rPr>
        <w:t xml:space="preserve">، </w:t>
      </w:r>
      <w:r w:rsidRPr="00FD211F">
        <w:rPr>
          <w:sz w:val="36"/>
          <w:szCs w:val="36"/>
          <w:rtl/>
        </w:rPr>
        <w:t>وان</w:t>
      </w:r>
      <w:r w:rsidR="008D7B3D" w:rsidRPr="00FD211F">
        <w:rPr>
          <w:sz w:val="36"/>
          <w:szCs w:val="36"/>
          <w:rtl/>
        </w:rPr>
        <w:t xml:space="preserve"> لم‌</w:t>
      </w:r>
      <w:r w:rsidRPr="00FD211F">
        <w:rPr>
          <w:sz w:val="36"/>
          <w:szCs w:val="36"/>
          <w:rtl/>
        </w:rPr>
        <w:t>تدل هيئ</w:t>
      </w:r>
      <w:r w:rsidR="00EC7EDF" w:rsidRPr="00FD211F">
        <w:rPr>
          <w:sz w:val="36"/>
          <w:szCs w:val="36"/>
          <w:rtl/>
        </w:rPr>
        <w:t xml:space="preserve">ة </w:t>
      </w:r>
      <w:r w:rsidRPr="00FD211F">
        <w:rPr>
          <w:sz w:val="36"/>
          <w:szCs w:val="36"/>
          <w:rtl/>
        </w:rPr>
        <w:t>المصدر على الذات لزم عدم تمامي</w:t>
      </w:r>
      <w:r w:rsidR="00EC7EDF" w:rsidRPr="00FD211F">
        <w:rPr>
          <w:sz w:val="36"/>
          <w:szCs w:val="36"/>
          <w:rtl/>
        </w:rPr>
        <w:t xml:space="preserve">ة </w:t>
      </w:r>
      <w:r w:rsidRPr="00FD211F">
        <w:rPr>
          <w:sz w:val="36"/>
          <w:szCs w:val="36"/>
          <w:rtl/>
        </w:rPr>
        <w:t>معناها الا بضمّ لفظ دال على طرف النسب</w:t>
      </w:r>
      <w:r w:rsidR="00EC7EDF" w:rsidRPr="00FD211F">
        <w:rPr>
          <w:sz w:val="36"/>
          <w:szCs w:val="36"/>
          <w:rtl/>
        </w:rPr>
        <w:t>ة</w:t>
      </w:r>
      <w:r w:rsidR="00603323" w:rsidRPr="00FD211F">
        <w:rPr>
          <w:sz w:val="36"/>
          <w:szCs w:val="36"/>
          <w:rtl/>
        </w:rPr>
        <w:t xml:space="preserve">، </w:t>
      </w:r>
      <w:r w:rsidRPr="00FD211F">
        <w:rPr>
          <w:sz w:val="36"/>
          <w:szCs w:val="36"/>
          <w:rtl/>
        </w:rPr>
        <w:t>مع انه لاحاج</w:t>
      </w:r>
      <w:r w:rsidR="00EC7EDF" w:rsidRPr="00FD211F">
        <w:rPr>
          <w:sz w:val="36"/>
          <w:szCs w:val="36"/>
          <w:rtl/>
        </w:rPr>
        <w:t xml:space="preserve">ة </w:t>
      </w:r>
      <w:r w:rsidRPr="00FD211F">
        <w:rPr>
          <w:sz w:val="36"/>
          <w:szCs w:val="36"/>
          <w:rtl/>
        </w:rPr>
        <w:t>اليه وجدانا</w:t>
      </w:r>
      <w:r w:rsidR="00603323" w:rsidRPr="00FD211F">
        <w:rPr>
          <w:sz w:val="36"/>
          <w:szCs w:val="36"/>
          <w:rtl/>
        </w:rPr>
        <w:t xml:space="preserve">، </w:t>
      </w:r>
      <w:r w:rsidRPr="00FD211F">
        <w:rPr>
          <w:sz w:val="36"/>
          <w:szCs w:val="36"/>
          <w:rtl/>
        </w:rPr>
        <w:t xml:space="preserve">فيقال </w:t>
      </w:r>
      <w:r w:rsidR="00627231" w:rsidRPr="00FD211F">
        <w:rPr>
          <w:sz w:val="36"/>
          <w:szCs w:val="36"/>
          <w:rtl/>
        </w:rPr>
        <w:t>"</w:t>
      </w:r>
      <w:r w:rsidRPr="00FD211F">
        <w:rPr>
          <w:sz w:val="36"/>
          <w:szCs w:val="36"/>
          <w:rtl/>
        </w:rPr>
        <w:t>الضرب حرام</w:t>
      </w:r>
      <w:r w:rsidR="00627231" w:rsidRPr="00FD211F">
        <w:rPr>
          <w:sz w:val="36"/>
          <w:szCs w:val="36"/>
          <w:rtl/>
        </w:rPr>
        <w:t>"</w:t>
      </w:r>
      <w:r w:rsidRPr="00FD211F">
        <w:rPr>
          <w:sz w:val="36"/>
          <w:szCs w:val="36"/>
          <w:rtl/>
        </w:rPr>
        <w:t>.</w:t>
      </w:r>
    </w:p>
    <w:p w14:paraId="0835986B" w14:textId="77777777" w:rsidR="000C5BBA" w:rsidRPr="00FD211F" w:rsidRDefault="00556BC0" w:rsidP="009C58C8">
      <w:pPr>
        <w:ind w:left="0" w:firstLine="227"/>
        <w:jc w:val="both"/>
        <w:rPr>
          <w:sz w:val="36"/>
          <w:szCs w:val="36"/>
          <w:rtl/>
        </w:rPr>
      </w:pPr>
      <w:r w:rsidRPr="00FD211F">
        <w:rPr>
          <w:sz w:val="36"/>
          <w:szCs w:val="36"/>
          <w:rtl/>
        </w:rPr>
        <w:t>وما قد يقال بانه يمكن الالتزام في مثله بكونه اسم مصدر</w:t>
      </w:r>
      <w:r w:rsidR="00603323" w:rsidRPr="00FD211F">
        <w:rPr>
          <w:sz w:val="36"/>
          <w:szCs w:val="36"/>
          <w:rtl/>
        </w:rPr>
        <w:t xml:space="preserve">، </w:t>
      </w:r>
      <w:r w:rsidRPr="00FD211F">
        <w:rPr>
          <w:sz w:val="36"/>
          <w:szCs w:val="36"/>
          <w:rtl/>
        </w:rPr>
        <w:t>فيلاحظ عليه ان كونه اسم مصدر خلاف الوجدان</w:t>
      </w:r>
      <w:r w:rsidR="00874F45" w:rsidRPr="00FD211F">
        <w:rPr>
          <w:sz w:val="36"/>
          <w:szCs w:val="36"/>
          <w:rtl/>
        </w:rPr>
        <w:t xml:space="preserve"> العرفي</w:t>
      </w:r>
      <w:r w:rsidR="00603323" w:rsidRPr="00FD211F">
        <w:rPr>
          <w:sz w:val="36"/>
          <w:szCs w:val="36"/>
          <w:rtl/>
        </w:rPr>
        <w:t xml:space="preserve">، </w:t>
      </w:r>
      <w:r w:rsidRPr="00FD211F">
        <w:rPr>
          <w:sz w:val="36"/>
          <w:szCs w:val="36"/>
          <w:rtl/>
        </w:rPr>
        <w:t>فانه يقال في الفارسي</w:t>
      </w:r>
      <w:r w:rsidR="00EC7EDF" w:rsidRPr="00FD211F">
        <w:rPr>
          <w:sz w:val="36"/>
          <w:szCs w:val="36"/>
          <w:rtl/>
        </w:rPr>
        <w:t xml:space="preserve">ة </w:t>
      </w:r>
      <w:r w:rsidRPr="00FD211F">
        <w:rPr>
          <w:sz w:val="36"/>
          <w:szCs w:val="36"/>
          <w:rtl/>
        </w:rPr>
        <w:t>"زدن حرام است" ولااشكال في انه المتفاهم عرفا منه غير "كتك حرام است".</w:t>
      </w:r>
    </w:p>
    <w:p w14:paraId="0B24F94C" w14:textId="77777777" w:rsidR="0014691A" w:rsidRPr="00FD211F" w:rsidRDefault="00C149D7" w:rsidP="009C58C8">
      <w:pPr>
        <w:pStyle w:val="a4"/>
        <w:ind w:left="0" w:firstLine="227"/>
        <w:jc w:val="both"/>
        <w:rPr>
          <w:sz w:val="36"/>
          <w:szCs w:val="36"/>
          <w:rtl/>
        </w:rPr>
      </w:pPr>
      <w:r w:rsidRPr="00FD211F">
        <w:rPr>
          <w:sz w:val="36"/>
          <w:szCs w:val="36"/>
          <w:rtl/>
        </w:rPr>
        <w:t>هذاوقد اورد على هذه المحاول</w:t>
      </w:r>
      <w:r w:rsidR="00EC7EDF" w:rsidRPr="00FD211F">
        <w:rPr>
          <w:sz w:val="36"/>
          <w:szCs w:val="36"/>
          <w:rtl/>
        </w:rPr>
        <w:t xml:space="preserve">ة </w:t>
      </w:r>
      <w:r w:rsidR="0014691A" w:rsidRPr="00FD211F">
        <w:rPr>
          <w:sz w:val="36"/>
          <w:szCs w:val="36"/>
          <w:rtl/>
        </w:rPr>
        <w:t>ايرادات أخرى</w:t>
      </w:r>
      <w:r w:rsidRPr="00FD211F">
        <w:rPr>
          <w:sz w:val="36"/>
          <w:szCs w:val="36"/>
          <w:rtl/>
        </w:rPr>
        <w:t xml:space="preserve"> ايضا</w:t>
      </w:r>
      <w:r w:rsidR="0014691A" w:rsidRPr="00FD211F">
        <w:rPr>
          <w:sz w:val="36"/>
          <w:szCs w:val="36"/>
          <w:rtl/>
        </w:rPr>
        <w:t>:</w:t>
      </w:r>
    </w:p>
    <w:p w14:paraId="247C8378" w14:textId="77777777" w:rsidR="00363F1F" w:rsidRPr="00FD211F" w:rsidRDefault="0014691A" w:rsidP="005946E3">
      <w:pPr>
        <w:pStyle w:val="a4"/>
        <w:ind w:left="0" w:firstLine="227"/>
        <w:jc w:val="both"/>
        <w:rPr>
          <w:sz w:val="36"/>
          <w:szCs w:val="36"/>
          <w:rtl/>
        </w:rPr>
      </w:pPr>
      <w:r w:rsidRPr="00FD211F">
        <w:rPr>
          <w:b/>
          <w:bCs/>
          <w:sz w:val="36"/>
          <w:szCs w:val="36"/>
          <w:rtl/>
        </w:rPr>
        <w:t>منها</w:t>
      </w:r>
      <w:r w:rsidRPr="00FD211F">
        <w:rPr>
          <w:sz w:val="36"/>
          <w:szCs w:val="36"/>
          <w:rtl/>
        </w:rPr>
        <w:t>: ما ذكره المحقق النائيني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من انه بناء عليه فيكون معنى المصدر شبيها بالمعنى الحرفي ولو كان كذلك لأوجب صيرورته مبنيا مع انه ليس كذلك</w:t>
      </w:r>
      <w:r w:rsidR="009C58C8" w:rsidRPr="00FD211F">
        <w:rPr>
          <w:rStyle w:val="a6"/>
          <w:sz w:val="36"/>
          <w:szCs w:val="36"/>
          <w:rtl/>
        </w:rPr>
        <w:t>(</w:t>
      </w:r>
      <w:r w:rsidR="009C58C8" w:rsidRPr="00FD211F">
        <w:rPr>
          <w:rStyle w:val="a6"/>
          <w:sz w:val="36"/>
          <w:szCs w:val="36"/>
          <w:rtl/>
        </w:rPr>
        <w:footnoteReference w:id="235"/>
      </w:r>
      <w:r w:rsidR="009C58C8" w:rsidRPr="00FD211F">
        <w:rPr>
          <w:rStyle w:val="a6"/>
          <w:sz w:val="36"/>
          <w:szCs w:val="36"/>
          <w:rtl/>
        </w:rPr>
        <w:t>)</w:t>
      </w:r>
      <w:r w:rsidR="00603323" w:rsidRPr="00FD211F">
        <w:rPr>
          <w:sz w:val="36"/>
          <w:szCs w:val="36"/>
          <w:rtl/>
        </w:rPr>
        <w:t xml:space="preserve">، </w:t>
      </w:r>
      <w:r w:rsidRPr="00FD211F">
        <w:rPr>
          <w:sz w:val="36"/>
          <w:szCs w:val="36"/>
          <w:rtl/>
        </w:rPr>
        <w:t>واورد عليه السيد الخوئي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بان موجب البناء هو كون معنى الماد</w:t>
      </w:r>
      <w:r w:rsidR="00EC7EDF" w:rsidRPr="00FD211F">
        <w:rPr>
          <w:sz w:val="36"/>
          <w:szCs w:val="36"/>
          <w:rtl/>
        </w:rPr>
        <w:t xml:space="preserve">ة </w:t>
      </w:r>
      <w:r w:rsidRPr="00FD211F">
        <w:rPr>
          <w:sz w:val="36"/>
          <w:szCs w:val="36"/>
          <w:rtl/>
        </w:rPr>
        <w:t>شبيها بالمعنى الحرفي كما في اسم الإشار</w:t>
      </w:r>
      <w:r w:rsidR="00EC7EDF" w:rsidRPr="00FD211F">
        <w:rPr>
          <w:sz w:val="36"/>
          <w:szCs w:val="36"/>
          <w:rtl/>
        </w:rPr>
        <w:t xml:space="preserve">ة </w:t>
      </w:r>
      <w:r w:rsidRPr="00FD211F">
        <w:rPr>
          <w:sz w:val="36"/>
          <w:szCs w:val="36"/>
          <w:rtl/>
        </w:rPr>
        <w:t>والموصول والا يلزم كون المشتقات كاسم الفاعل والمفعول مبني</w:t>
      </w:r>
      <w:r w:rsidR="00EC7EDF" w:rsidRPr="00FD211F">
        <w:rPr>
          <w:sz w:val="36"/>
          <w:szCs w:val="36"/>
          <w:rtl/>
        </w:rPr>
        <w:t xml:space="preserve">ة </w:t>
      </w:r>
      <w:r w:rsidRPr="00FD211F">
        <w:rPr>
          <w:sz w:val="36"/>
          <w:szCs w:val="36"/>
          <w:rtl/>
        </w:rPr>
        <w:t>لاشتمالها على النسب الناقص</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36"/>
      </w:r>
      <w:r w:rsidR="009C58C8" w:rsidRPr="00FD211F">
        <w:rPr>
          <w:rStyle w:val="a6"/>
          <w:sz w:val="36"/>
          <w:szCs w:val="36"/>
          <w:rtl/>
        </w:rPr>
        <w:t>)</w:t>
      </w:r>
      <w:r w:rsidR="00363F1F" w:rsidRPr="00FD211F">
        <w:rPr>
          <w:sz w:val="36"/>
          <w:szCs w:val="36"/>
          <w:rtl/>
        </w:rPr>
        <w:t>.</w:t>
      </w:r>
    </w:p>
    <w:p w14:paraId="57CC6889" w14:textId="77777777" w:rsidR="0014691A" w:rsidRPr="00FD211F" w:rsidRDefault="00363F1F" w:rsidP="009C58C8">
      <w:pPr>
        <w:pStyle w:val="a4"/>
        <w:ind w:left="0" w:firstLine="227"/>
        <w:jc w:val="both"/>
        <w:rPr>
          <w:sz w:val="36"/>
          <w:szCs w:val="36"/>
          <w:rtl/>
        </w:rPr>
      </w:pPr>
      <w:r w:rsidRPr="00FD211F">
        <w:rPr>
          <w:sz w:val="36"/>
          <w:szCs w:val="36"/>
          <w:rtl/>
        </w:rPr>
        <w:t>وماذكره متين جدا</w:t>
      </w:r>
      <w:r w:rsidR="00603323" w:rsidRPr="00FD211F">
        <w:rPr>
          <w:sz w:val="36"/>
          <w:szCs w:val="36"/>
          <w:rtl/>
        </w:rPr>
        <w:t xml:space="preserve">، </w:t>
      </w:r>
      <w:r w:rsidR="0014691A" w:rsidRPr="00FD211F">
        <w:rPr>
          <w:sz w:val="36"/>
          <w:szCs w:val="36"/>
          <w:rtl/>
        </w:rPr>
        <w:t>أضف اليه ان الأمر في مثل الفعل المضارع مثل "ليضرب" اشد شبها بالمعنى الحرفي لدلالته على النسب</w:t>
      </w:r>
      <w:r w:rsidR="00EC7EDF" w:rsidRPr="00FD211F">
        <w:rPr>
          <w:sz w:val="36"/>
          <w:szCs w:val="36"/>
          <w:rtl/>
        </w:rPr>
        <w:t xml:space="preserve">ة </w:t>
      </w:r>
      <w:r w:rsidR="0014691A" w:rsidRPr="00FD211F">
        <w:rPr>
          <w:sz w:val="36"/>
          <w:szCs w:val="36"/>
          <w:rtl/>
        </w:rPr>
        <w:t>مع عدم دلالته على الفاعل بنفسه</w:t>
      </w:r>
      <w:r w:rsidR="00603323" w:rsidRPr="00FD211F">
        <w:rPr>
          <w:sz w:val="36"/>
          <w:szCs w:val="36"/>
          <w:rtl/>
        </w:rPr>
        <w:t xml:space="preserve">، </w:t>
      </w:r>
      <w:r w:rsidR="0014691A" w:rsidRPr="00FD211F">
        <w:rPr>
          <w:sz w:val="36"/>
          <w:szCs w:val="36"/>
          <w:rtl/>
        </w:rPr>
        <w:t>مع انه معرب.</w:t>
      </w:r>
    </w:p>
    <w:p w14:paraId="57D336B8" w14:textId="77777777" w:rsidR="0014691A" w:rsidRPr="00FD211F" w:rsidRDefault="0014691A" w:rsidP="009C58C8">
      <w:pPr>
        <w:pStyle w:val="a4"/>
        <w:ind w:left="0" w:firstLine="227"/>
        <w:jc w:val="both"/>
        <w:rPr>
          <w:sz w:val="36"/>
          <w:szCs w:val="36"/>
          <w:rtl/>
        </w:rPr>
      </w:pPr>
      <w:r w:rsidRPr="00FD211F">
        <w:rPr>
          <w:b/>
          <w:bCs/>
          <w:sz w:val="36"/>
          <w:szCs w:val="36"/>
          <w:rtl/>
        </w:rPr>
        <w:t>ومنها</w:t>
      </w:r>
      <w:r w:rsidRPr="00FD211F">
        <w:rPr>
          <w:sz w:val="36"/>
          <w:szCs w:val="36"/>
          <w:rtl/>
        </w:rPr>
        <w:t xml:space="preserve">: ما ذكره في البحوث من انه </w:t>
      </w:r>
      <w:r w:rsidR="00363F1F" w:rsidRPr="00FD211F">
        <w:rPr>
          <w:sz w:val="36"/>
          <w:szCs w:val="36"/>
          <w:rtl/>
        </w:rPr>
        <w:t>بناء عليه ف</w:t>
      </w:r>
      <w:r w:rsidRPr="00FD211F">
        <w:rPr>
          <w:sz w:val="36"/>
          <w:szCs w:val="36"/>
          <w:rtl/>
        </w:rPr>
        <w:t>في مثل</w:t>
      </w:r>
      <w:r w:rsidR="009A5BDA" w:rsidRPr="00FD211F">
        <w:rPr>
          <w:sz w:val="36"/>
          <w:szCs w:val="36"/>
          <w:rtl/>
        </w:rPr>
        <w:t>"</w:t>
      </w:r>
      <w:r w:rsidRPr="00FD211F">
        <w:rPr>
          <w:sz w:val="36"/>
          <w:szCs w:val="36"/>
          <w:rtl/>
        </w:rPr>
        <w:t xml:space="preserve"> ضرب</w:t>
      </w:r>
      <w:r w:rsidR="009A5BDA" w:rsidRPr="00FD211F">
        <w:rPr>
          <w:sz w:val="36"/>
          <w:szCs w:val="36"/>
          <w:rtl/>
        </w:rPr>
        <w:t>ُ</w:t>
      </w:r>
      <w:r w:rsidRPr="00FD211F">
        <w:rPr>
          <w:sz w:val="36"/>
          <w:szCs w:val="36"/>
          <w:rtl/>
        </w:rPr>
        <w:t xml:space="preserve"> زيد</w:t>
      </w:r>
      <w:r w:rsidR="009A5BDA" w:rsidRPr="00FD211F">
        <w:rPr>
          <w:sz w:val="36"/>
          <w:szCs w:val="36"/>
          <w:rtl/>
        </w:rPr>
        <w:t>ٍ"</w:t>
      </w:r>
      <w:r w:rsidRPr="00FD211F">
        <w:rPr>
          <w:sz w:val="36"/>
          <w:szCs w:val="36"/>
          <w:rtl/>
        </w:rPr>
        <w:t xml:space="preserve"> يلزم تعدد النسب</w:t>
      </w:r>
      <w:r w:rsidR="00EC7EDF" w:rsidRPr="00FD211F">
        <w:rPr>
          <w:sz w:val="36"/>
          <w:szCs w:val="36"/>
          <w:rtl/>
        </w:rPr>
        <w:t>ة</w:t>
      </w:r>
      <w:r w:rsidR="00603323" w:rsidRPr="00FD211F">
        <w:rPr>
          <w:sz w:val="36"/>
          <w:szCs w:val="36"/>
          <w:rtl/>
        </w:rPr>
        <w:t xml:space="preserve">، </w:t>
      </w:r>
      <w:r w:rsidRPr="00FD211F">
        <w:rPr>
          <w:sz w:val="36"/>
          <w:szCs w:val="36"/>
          <w:rtl/>
        </w:rPr>
        <w:t>حيث انه بملاحظ</w:t>
      </w:r>
      <w:r w:rsidR="00EC7EDF" w:rsidRPr="00FD211F">
        <w:rPr>
          <w:sz w:val="36"/>
          <w:szCs w:val="36"/>
          <w:rtl/>
        </w:rPr>
        <w:t xml:space="preserve">ة </w:t>
      </w:r>
      <w:r w:rsidRPr="00FD211F">
        <w:rPr>
          <w:sz w:val="36"/>
          <w:szCs w:val="36"/>
          <w:rtl/>
        </w:rPr>
        <w:t>هيئ</w:t>
      </w:r>
      <w:r w:rsidR="00EC7EDF" w:rsidRPr="00FD211F">
        <w:rPr>
          <w:sz w:val="36"/>
          <w:szCs w:val="36"/>
          <w:rtl/>
        </w:rPr>
        <w:t xml:space="preserve">ة </w:t>
      </w:r>
      <w:r w:rsidRPr="00FD211F">
        <w:rPr>
          <w:sz w:val="36"/>
          <w:szCs w:val="36"/>
          <w:rtl/>
        </w:rPr>
        <w:t>الاضاف</w:t>
      </w:r>
      <w:r w:rsidR="00EC7EDF" w:rsidRPr="00FD211F">
        <w:rPr>
          <w:sz w:val="36"/>
          <w:szCs w:val="36"/>
          <w:rtl/>
        </w:rPr>
        <w:t xml:space="preserve">ة </w:t>
      </w:r>
      <w:r w:rsidRPr="00FD211F">
        <w:rPr>
          <w:sz w:val="36"/>
          <w:szCs w:val="36"/>
          <w:rtl/>
        </w:rPr>
        <w:t>يكون زيد طرف النسب</w:t>
      </w:r>
      <w:r w:rsidR="00EC7EDF" w:rsidRPr="00FD211F">
        <w:rPr>
          <w:sz w:val="36"/>
          <w:szCs w:val="36"/>
          <w:rtl/>
        </w:rPr>
        <w:t xml:space="preserve">ة </w:t>
      </w:r>
      <w:r w:rsidRPr="00FD211F">
        <w:rPr>
          <w:sz w:val="36"/>
          <w:szCs w:val="36"/>
          <w:rtl/>
        </w:rPr>
        <w:t>وبملاحظ</w:t>
      </w:r>
      <w:r w:rsidR="00EC7EDF" w:rsidRPr="00FD211F">
        <w:rPr>
          <w:sz w:val="36"/>
          <w:szCs w:val="36"/>
          <w:rtl/>
        </w:rPr>
        <w:t xml:space="preserve">ة </w:t>
      </w:r>
      <w:r w:rsidRPr="00FD211F">
        <w:rPr>
          <w:sz w:val="36"/>
          <w:szCs w:val="36"/>
          <w:rtl/>
        </w:rPr>
        <w:t>هيئ</w:t>
      </w:r>
      <w:r w:rsidR="00EC7EDF" w:rsidRPr="00FD211F">
        <w:rPr>
          <w:sz w:val="36"/>
          <w:szCs w:val="36"/>
          <w:rtl/>
        </w:rPr>
        <w:t xml:space="preserve">ة </w:t>
      </w:r>
      <w:r w:rsidRPr="00FD211F">
        <w:rPr>
          <w:sz w:val="36"/>
          <w:szCs w:val="36"/>
          <w:rtl/>
        </w:rPr>
        <w:t>المصدر يكون طرفها الذات المبهم</w:t>
      </w:r>
      <w:r w:rsidR="00EC7EDF" w:rsidRPr="00FD211F">
        <w:rPr>
          <w:sz w:val="36"/>
          <w:szCs w:val="36"/>
          <w:rtl/>
        </w:rPr>
        <w:t>ة</w:t>
      </w:r>
      <w:r w:rsidR="00603323" w:rsidRPr="00FD211F">
        <w:rPr>
          <w:sz w:val="36"/>
          <w:szCs w:val="36"/>
          <w:rtl/>
        </w:rPr>
        <w:t xml:space="preserve">، </w:t>
      </w:r>
      <w:r w:rsidRPr="00FD211F">
        <w:rPr>
          <w:sz w:val="36"/>
          <w:szCs w:val="36"/>
          <w:rtl/>
        </w:rPr>
        <w:t>فيلزم تعدد النسب</w:t>
      </w:r>
      <w:r w:rsidR="00EC7EDF" w:rsidRPr="00FD211F">
        <w:rPr>
          <w:sz w:val="36"/>
          <w:szCs w:val="36"/>
          <w:rtl/>
        </w:rPr>
        <w:t xml:space="preserve">ة </w:t>
      </w:r>
      <w:r w:rsidRPr="00FD211F">
        <w:rPr>
          <w:sz w:val="36"/>
          <w:szCs w:val="36"/>
          <w:rtl/>
        </w:rPr>
        <w:t>في عرض واحد</w:t>
      </w:r>
      <w:r w:rsidR="00603323" w:rsidRPr="00FD211F">
        <w:rPr>
          <w:sz w:val="36"/>
          <w:szCs w:val="36"/>
          <w:rtl/>
        </w:rPr>
        <w:t xml:space="preserve">، </w:t>
      </w:r>
      <w:r w:rsidRPr="00FD211F">
        <w:rPr>
          <w:sz w:val="36"/>
          <w:szCs w:val="36"/>
          <w:rtl/>
        </w:rPr>
        <w:t>وحيث ان اطراف النسب</w:t>
      </w:r>
      <w:r w:rsidR="00EC7EDF" w:rsidRPr="00FD211F">
        <w:rPr>
          <w:sz w:val="36"/>
          <w:szCs w:val="36"/>
          <w:rtl/>
        </w:rPr>
        <w:t xml:space="preserve">ة </w:t>
      </w:r>
      <w:r w:rsidRPr="00FD211F">
        <w:rPr>
          <w:sz w:val="36"/>
          <w:szCs w:val="36"/>
          <w:rtl/>
        </w:rPr>
        <w:t>التحليلي</w:t>
      </w:r>
      <w:r w:rsidR="00EC7EDF" w:rsidRPr="00FD211F">
        <w:rPr>
          <w:sz w:val="36"/>
          <w:szCs w:val="36"/>
          <w:rtl/>
        </w:rPr>
        <w:t xml:space="preserve">ة </w:t>
      </w:r>
      <w:r w:rsidRPr="00FD211F">
        <w:rPr>
          <w:sz w:val="36"/>
          <w:szCs w:val="36"/>
          <w:rtl/>
        </w:rPr>
        <w:t>موجود</w:t>
      </w:r>
      <w:r w:rsidR="00EC7EDF" w:rsidRPr="00FD211F">
        <w:rPr>
          <w:sz w:val="36"/>
          <w:szCs w:val="36"/>
          <w:rtl/>
        </w:rPr>
        <w:t xml:space="preserve">ة </w:t>
      </w:r>
      <w:r w:rsidRPr="00FD211F">
        <w:rPr>
          <w:sz w:val="36"/>
          <w:szCs w:val="36"/>
          <w:rtl/>
        </w:rPr>
        <w:t>في الذهن بوجود واحد فيلزم وجود صور</w:t>
      </w:r>
      <w:r w:rsidR="00EC7EDF" w:rsidRPr="00FD211F">
        <w:rPr>
          <w:sz w:val="36"/>
          <w:szCs w:val="36"/>
          <w:rtl/>
        </w:rPr>
        <w:t xml:space="preserve">ة </w:t>
      </w:r>
      <w:r w:rsidRPr="00FD211F">
        <w:rPr>
          <w:sz w:val="36"/>
          <w:szCs w:val="36"/>
          <w:rtl/>
        </w:rPr>
        <w:t>ضرب</w:t>
      </w:r>
      <w:r w:rsidR="009A5BDA" w:rsidRPr="00FD211F">
        <w:rPr>
          <w:sz w:val="36"/>
          <w:szCs w:val="36"/>
          <w:rtl/>
        </w:rPr>
        <w:t>ٍ</w:t>
      </w:r>
      <w:r w:rsidRPr="00FD211F">
        <w:rPr>
          <w:sz w:val="36"/>
          <w:szCs w:val="36"/>
          <w:rtl/>
        </w:rPr>
        <w:t xml:space="preserve"> منتسب</w:t>
      </w:r>
      <w:r w:rsidR="009A5BDA" w:rsidRPr="00FD211F">
        <w:rPr>
          <w:sz w:val="36"/>
          <w:szCs w:val="36"/>
          <w:rtl/>
        </w:rPr>
        <w:t>ٍ</w:t>
      </w:r>
      <w:r w:rsidRPr="00FD211F">
        <w:rPr>
          <w:sz w:val="36"/>
          <w:szCs w:val="36"/>
          <w:rtl/>
        </w:rPr>
        <w:t xml:space="preserve"> الى ذات مبهم</w:t>
      </w:r>
      <w:r w:rsidR="00EC7EDF" w:rsidRPr="00FD211F">
        <w:rPr>
          <w:sz w:val="36"/>
          <w:szCs w:val="36"/>
          <w:rtl/>
        </w:rPr>
        <w:t xml:space="preserve">ة </w:t>
      </w:r>
      <w:r w:rsidRPr="00FD211F">
        <w:rPr>
          <w:sz w:val="36"/>
          <w:szCs w:val="36"/>
          <w:rtl/>
        </w:rPr>
        <w:t>في عرض صور</w:t>
      </w:r>
      <w:r w:rsidR="00EC7EDF" w:rsidRPr="00FD211F">
        <w:rPr>
          <w:sz w:val="36"/>
          <w:szCs w:val="36"/>
          <w:rtl/>
        </w:rPr>
        <w:t xml:space="preserve">ة </w:t>
      </w:r>
      <w:r w:rsidRPr="00FD211F">
        <w:rPr>
          <w:sz w:val="36"/>
          <w:szCs w:val="36"/>
          <w:rtl/>
        </w:rPr>
        <w:t>ضرب</w:t>
      </w:r>
      <w:r w:rsidR="009A5BDA" w:rsidRPr="00FD211F">
        <w:rPr>
          <w:sz w:val="36"/>
          <w:szCs w:val="36"/>
          <w:rtl/>
        </w:rPr>
        <w:t>ٍ</w:t>
      </w:r>
      <w:r w:rsidRPr="00FD211F">
        <w:rPr>
          <w:sz w:val="36"/>
          <w:szCs w:val="36"/>
          <w:rtl/>
        </w:rPr>
        <w:t xml:space="preserve"> منتسب</w:t>
      </w:r>
      <w:r w:rsidR="009A5BDA" w:rsidRPr="00FD211F">
        <w:rPr>
          <w:sz w:val="36"/>
          <w:szCs w:val="36"/>
          <w:rtl/>
        </w:rPr>
        <w:t>ٍ</w:t>
      </w:r>
      <w:r w:rsidRPr="00FD211F">
        <w:rPr>
          <w:sz w:val="36"/>
          <w:szCs w:val="36"/>
          <w:rtl/>
        </w:rPr>
        <w:t xml:space="preserve"> الى زيد</w:t>
      </w:r>
      <w:r w:rsidR="00603323" w:rsidRPr="00FD211F">
        <w:rPr>
          <w:sz w:val="36"/>
          <w:szCs w:val="36"/>
          <w:rtl/>
        </w:rPr>
        <w:t xml:space="preserve">، </w:t>
      </w:r>
      <w:r w:rsidRPr="00FD211F">
        <w:rPr>
          <w:sz w:val="36"/>
          <w:szCs w:val="36"/>
          <w:rtl/>
        </w:rPr>
        <w:t>مع انه ليس في الذهن صورتان من الضرب</w:t>
      </w:r>
      <w:r w:rsidR="00603323" w:rsidRPr="00FD211F">
        <w:rPr>
          <w:sz w:val="36"/>
          <w:szCs w:val="36"/>
          <w:rtl/>
        </w:rPr>
        <w:t xml:space="preserve">، </w:t>
      </w:r>
      <w:r w:rsidRPr="00FD211F">
        <w:rPr>
          <w:sz w:val="36"/>
          <w:szCs w:val="36"/>
          <w:rtl/>
        </w:rPr>
        <w:t>نعم لامانع من وجود نسبتين طوليتين كما في قولنا "ماء ورد زيد" حيث ان النسب</w:t>
      </w:r>
      <w:r w:rsidR="00EC7EDF" w:rsidRPr="00FD211F">
        <w:rPr>
          <w:sz w:val="36"/>
          <w:szCs w:val="36"/>
          <w:rtl/>
        </w:rPr>
        <w:t xml:space="preserve">ة </w:t>
      </w:r>
      <w:r w:rsidRPr="00FD211F">
        <w:rPr>
          <w:sz w:val="36"/>
          <w:szCs w:val="36"/>
          <w:rtl/>
        </w:rPr>
        <w:t>الثابت</w:t>
      </w:r>
      <w:r w:rsidR="00EC7EDF" w:rsidRPr="00FD211F">
        <w:rPr>
          <w:sz w:val="36"/>
          <w:szCs w:val="36"/>
          <w:rtl/>
        </w:rPr>
        <w:t xml:space="preserve">ة </w:t>
      </w:r>
      <w:r w:rsidRPr="00FD211F">
        <w:rPr>
          <w:sz w:val="36"/>
          <w:szCs w:val="36"/>
          <w:rtl/>
        </w:rPr>
        <w:t>بين زيد وبين ماء ورد تكون في طول النسب</w:t>
      </w:r>
      <w:r w:rsidR="00EC7EDF" w:rsidRPr="00FD211F">
        <w:rPr>
          <w:sz w:val="36"/>
          <w:szCs w:val="36"/>
          <w:rtl/>
        </w:rPr>
        <w:t xml:space="preserve">ة </w:t>
      </w:r>
      <w:r w:rsidRPr="00FD211F">
        <w:rPr>
          <w:sz w:val="36"/>
          <w:szCs w:val="36"/>
          <w:rtl/>
        </w:rPr>
        <w:t>الثابت</w:t>
      </w:r>
      <w:r w:rsidR="00EC7EDF" w:rsidRPr="00FD211F">
        <w:rPr>
          <w:sz w:val="36"/>
          <w:szCs w:val="36"/>
          <w:rtl/>
        </w:rPr>
        <w:t xml:space="preserve">ة </w:t>
      </w:r>
      <w:r w:rsidRPr="00FD211F">
        <w:rPr>
          <w:sz w:val="36"/>
          <w:szCs w:val="36"/>
          <w:rtl/>
        </w:rPr>
        <w:t>بين الماء والورد ويعني ذلك مزيد تحصيص</w:t>
      </w:r>
      <w:r w:rsidR="00627231" w:rsidRPr="00FD211F">
        <w:rPr>
          <w:sz w:val="36"/>
          <w:szCs w:val="36"/>
          <w:rtl/>
        </w:rPr>
        <w:t xml:space="preserve"> وتضييق</w:t>
      </w:r>
      <w:r w:rsidR="00B253CE" w:rsidRPr="00FD211F">
        <w:rPr>
          <w:sz w:val="36"/>
          <w:szCs w:val="36"/>
          <w:rtl/>
        </w:rPr>
        <w:t xml:space="preserve"> </w:t>
      </w:r>
      <w:r w:rsidRPr="00FD211F">
        <w:rPr>
          <w:sz w:val="36"/>
          <w:szCs w:val="36"/>
          <w:rtl/>
        </w:rPr>
        <w:t>في مفهوم الماء</w:t>
      </w:r>
      <w:r w:rsidR="00603323" w:rsidRPr="00FD211F">
        <w:rPr>
          <w:sz w:val="36"/>
          <w:szCs w:val="36"/>
          <w:rtl/>
        </w:rPr>
        <w:t xml:space="preserve">، </w:t>
      </w:r>
      <w:r w:rsidRPr="00FD211F">
        <w:rPr>
          <w:sz w:val="36"/>
          <w:szCs w:val="36"/>
          <w:rtl/>
        </w:rPr>
        <w:t>وأما في المقام فالذات عين زيد ولامعنى لإيقاع نسب</w:t>
      </w:r>
      <w:r w:rsidR="00EC7EDF" w:rsidRPr="00FD211F">
        <w:rPr>
          <w:sz w:val="36"/>
          <w:szCs w:val="36"/>
          <w:rtl/>
        </w:rPr>
        <w:t xml:space="preserve">ة </w:t>
      </w:r>
      <w:r w:rsidRPr="00FD211F">
        <w:rPr>
          <w:sz w:val="36"/>
          <w:szCs w:val="36"/>
          <w:rtl/>
        </w:rPr>
        <w:t>الاضاف</w:t>
      </w:r>
      <w:r w:rsidR="00EC7EDF" w:rsidRPr="00FD211F">
        <w:rPr>
          <w:sz w:val="36"/>
          <w:szCs w:val="36"/>
          <w:rtl/>
        </w:rPr>
        <w:t xml:space="preserve">ة </w:t>
      </w:r>
      <w:r w:rsidRPr="00FD211F">
        <w:rPr>
          <w:sz w:val="36"/>
          <w:szCs w:val="36"/>
          <w:rtl/>
        </w:rPr>
        <w:t>بينهما</w:t>
      </w:r>
      <w:r w:rsidR="00603323" w:rsidRPr="00FD211F">
        <w:rPr>
          <w:sz w:val="36"/>
          <w:szCs w:val="36"/>
          <w:rtl/>
        </w:rPr>
        <w:t xml:space="preserve">، </w:t>
      </w:r>
      <w:r w:rsidRPr="00FD211F">
        <w:rPr>
          <w:sz w:val="36"/>
          <w:szCs w:val="36"/>
          <w:rtl/>
        </w:rPr>
        <w:t>نعم يمكن لصاحب هذه المحاول</w:t>
      </w:r>
      <w:r w:rsidR="00EC7EDF" w:rsidRPr="00FD211F">
        <w:rPr>
          <w:sz w:val="36"/>
          <w:szCs w:val="36"/>
          <w:rtl/>
        </w:rPr>
        <w:t xml:space="preserve">ة </w:t>
      </w:r>
      <w:r w:rsidRPr="00FD211F">
        <w:rPr>
          <w:sz w:val="36"/>
          <w:szCs w:val="36"/>
          <w:rtl/>
        </w:rPr>
        <w:t>ان يلتزم بعدم دلال</w:t>
      </w:r>
      <w:r w:rsidR="00EC7EDF" w:rsidRPr="00FD211F">
        <w:rPr>
          <w:sz w:val="36"/>
          <w:szCs w:val="36"/>
          <w:rtl/>
        </w:rPr>
        <w:t xml:space="preserve">ة </w:t>
      </w:r>
      <w:r w:rsidRPr="00FD211F">
        <w:rPr>
          <w:sz w:val="36"/>
          <w:szCs w:val="36"/>
          <w:rtl/>
        </w:rPr>
        <w:t>المصدر على الذات</w:t>
      </w:r>
      <w:r w:rsidR="00603323" w:rsidRPr="00FD211F">
        <w:rPr>
          <w:sz w:val="36"/>
          <w:szCs w:val="36"/>
          <w:rtl/>
        </w:rPr>
        <w:t xml:space="preserve">، </w:t>
      </w:r>
      <w:r w:rsidRPr="00FD211F">
        <w:rPr>
          <w:sz w:val="36"/>
          <w:szCs w:val="36"/>
          <w:rtl/>
        </w:rPr>
        <w:t>ويكون الدال عليه لفظ آخر كالمضاف اليه</w:t>
      </w:r>
      <w:r w:rsidR="00603323" w:rsidRPr="00FD211F">
        <w:rPr>
          <w:sz w:val="36"/>
          <w:szCs w:val="36"/>
          <w:rtl/>
        </w:rPr>
        <w:t xml:space="preserve">، </w:t>
      </w:r>
      <w:r w:rsidRPr="00FD211F">
        <w:rPr>
          <w:sz w:val="36"/>
          <w:szCs w:val="36"/>
          <w:rtl/>
        </w:rPr>
        <w:t>وهذا وان كان موجبا لتعدد الدال على النسب</w:t>
      </w:r>
      <w:r w:rsidR="00EC7EDF" w:rsidRPr="00FD211F">
        <w:rPr>
          <w:sz w:val="36"/>
          <w:szCs w:val="36"/>
          <w:rtl/>
        </w:rPr>
        <w:t xml:space="preserve">ة </w:t>
      </w:r>
      <w:r w:rsidRPr="00FD211F">
        <w:rPr>
          <w:sz w:val="36"/>
          <w:szCs w:val="36"/>
          <w:rtl/>
        </w:rPr>
        <w:t>وهو هيئ</w:t>
      </w:r>
      <w:r w:rsidR="00EC7EDF" w:rsidRPr="00FD211F">
        <w:rPr>
          <w:sz w:val="36"/>
          <w:szCs w:val="36"/>
          <w:rtl/>
        </w:rPr>
        <w:t xml:space="preserve">ة </w:t>
      </w:r>
      <w:r w:rsidRPr="00FD211F">
        <w:rPr>
          <w:sz w:val="36"/>
          <w:szCs w:val="36"/>
          <w:rtl/>
        </w:rPr>
        <w:t>المصدر والإضاف</w:t>
      </w:r>
      <w:r w:rsidR="00EC7EDF" w:rsidRPr="00FD211F">
        <w:rPr>
          <w:sz w:val="36"/>
          <w:szCs w:val="36"/>
          <w:rtl/>
        </w:rPr>
        <w:t xml:space="preserve">ة </w:t>
      </w:r>
      <w:r w:rsidRPr="00FD211F">
        <w:rPr>
          <w:sz w:val="36"/>
          <w:szCs w:val="36"/>
          <w:rtl/>
        </w:rPr>
        <w:t>لكن ليس فيه محذور ثبوتي</w:t>
      </w:r>
      <w:r w:rsidR="009C58C8" w:rsidRPr="00FD211F">
        <w:rPr>
          <w:rStyle w:val="a6"/>
          <w:sz w:val="36"/>
          <w:szCs w:val="36"/>
          <w:rtl/>
        </w:rPr>
        <w:t>(</w:t>
      </w:r>
      <w:r w:rsidR="009C58C8" w:rsidRPr="00FD211F">
        <w:rPr>
          <w:rStyle w:val="a6"/>
          <w:sz w:val="36"/>
          <w:szCs w:val="36"/>
          <w:rtl/>
        </w:rPr>
        <w:footnoteReference w:id="237"/>
      </w:r>
      <w:r w:rsidR="009C58C8" w:rsidRPr="00FD211F">
        <w:rPr>
          <w:rStyle w:val="a6"/>
          <w:sz w:val="36"/>
          <w:szCs w:val="36"/>
          <w:rtl/>
        </w:rPr>
        <w:t>)</w:t>
      </w:r>
      <w:r w:rsidRPr="00FD211F">
        <w:rPr>
          <w:sz w:val="36"/>
          <w:szCs w:val="36"/>
          <w:rtl/>
        </w:rPr>
        <w:t>.</w:t>
      </w:r>
    </w:p>
    <w:p w14:paraId="5CE720B6" w14:textId="77777777" w:rsidR="0014691A" w:rsidRPr="00FD211F" w:rsidRDefault="0014691A" w:rsidP="009C58C8">
      <w:pPr>
        <w:ind w:left="0" w:firstLine="227"/>
        <w:jc w:val="both"/>
        <w:rPr>
          <w:sz w:val="36"/>
          <w:szCs w:val="36"/>
          <w:rtl/>
        </w:rPr>
      </w:pPr>
      <w:r w:rsidRPr="00FD211F">
        <w:rPr>
          <w:b/>
          <w:bCs/>
          <w:sz w:val="36"/>
          <w:szCs w:val="36"/>
          <w:rtl/>
        </w:rPr>
        <w:t>ومنها</w:t>
      </w:r>
      <w:r w:rsidRPr="00FD211F">
        <w:rPr>
          <w:sz w:val="36"/>
          <w:szCs w:val="36"/>
          <w:rtl/>
        </w:rPr>
        <w:t>:مافيه ايضامن أنه لودلت هيئ</w:t>
      </w:r>
      <w:r w:rsidR="00EC7EDF" w:rsidRPr="00FD211F">
        <w:rPr>
          <w:sz w:val="36"/>
          <w:szCs w:val="36"/>
          <w:rtl/>
        </w:rPr>
        <w:t xml:space="preserve">ة </w:t>
      </w:r>
      <w:r w:rsidRPr="00FD211F">
        <w:rPr>
          <w:sz w:val="36"/>
          <w:szCs w:val="36"/>
          <w:rtl/>
        </w:rPr>
        <w:t xml:space="preserve">المصدرعلى الذات لزم المحذورالثبوتي </w:t>
      </w:r>
      <w:r w:rsidR="00C149D7" w:rsidRPr="00FD211F">
        <w:rPr>
          <w:sz w:val="36"/>
          <w:szCs w:val="36"/>
          <w:rtl/>
        </w:rPr>
        <w:t>المتقدم</w:t>
      </w:r>
      <w:r w:rsidR="00603323" w:rsidRPr="00FD211F">
        <w:rPr>
          <w:sz w:val="36"/>
          <w:szCs w:val="36"/>
          <w:rtl/>
        </w:rPr>
        <w:t xml:space="preserve">، </w:t>
      </w:r>
      <w:r w:rsidR="00C149D7" w:rsidRPr="00FD211F">
        <w:rPr>
          <w:sz w:val="36"/>
          <w:szCs w:val="36"/>
          <w:rtl/>
        </w:rPr>
        <w:t>والاكان في البين محذوراثباتي وهولغوي</w:t>
      </w:r>
      <w:r w:rsidR="00EC7EDF" w:rsidRPr="00FD211F">
        <w:rPr>
          <w:sz w:val="36"/>
          <w:szCs w:val="36"/>
          <w:rtl/>
        </w:rPr>
        <w:t xml:space="preserve">ة </w:t>
      </w:r>
      <w:r w:rsidR="00C149D7" w:rsidRPr="00FD211F">
        <w:rPr>
          <w:sz w:val="36"/>
          <w:szCs w:val="36"/>
          <w:rtl/>
        </w:rPr>
        <w:t>وضع هيئ</w:t>
      </w:r>
      <w:r w:rsidR="00EC7EDF" w:rsidRPr="00FD211F">
        <w:rPr>
          <w:sz w:val="36"/>
          <w:szCs w:val="36"/>
          <w:rtl/>
        </w:rPr>
        <w:t xml:space="preserve">ة </w:t>
      </w:r>
      <w:r w:rsidR="00C149D7" w:rsidRPr="00FD211F">
        <w:rPr>
          <w:sz w:val="36"/>
          <w:szCs w:val="36"/>
          <w:rtl/>
        </w:rPr>
        <w:t>المصدرلافاد</w:t>
      </w:r>
      <w:r w:rsidR="00EC7EDF" w:rsidRPr="00FD211F">
        <w:rPr>
          <w:sz w:val="36"/>
          <w:szCs w:val="36"/>
          <w:rtl/>
        </w:rPr>
        <w:t xml:space="preserve">ة </w:t>
      </w:r>
      <w:r w:rsidR="00C149D7" w:rsidRPr="00FD211F">
        <w:rPr>
          <w:sz w:val="36"/>
          <w:szCs w:val="36"/>
          <w:rtl/>
        </w:rPr>
        <w:t>النسب</w:t>
      </w:r>
      <w:r w:rsidR="00EC7EDF" w:rsidRPr="00FD211F">
        <w:rPr>
          <w:sz w:val="36"/>
          <w:szCs w:val="36"/>
          <w:rtl/>
        </w:rPr>
        <w:t>ة</w:t>
      </w:r>
      <w:r w:rsidR="00603323" w:rsidRPr="00FD211F">
        <w:rPr>
          <w:sz w:val="36"/>
          <w:szCs w:val="36"/>
          <w:rtl/>
        </w:rPr>
        <w:t xml:space="preserve">، </w:t>
      </w:r>
      <w:r w:rsidR="00C149D7" w:rsidRPr="00FD211F">
        <w:rPr>
          <w:sz w:val="36"/>
          <w:szCs w:val="36"/>
          <w:rtl/>
        </w:rPr>
        <w:t>لانه لو</w:t>
      </w:r>
      <w:r w:rsidR="008D7B3D" w:rsidRPr="00FD211F">
        <w:rPr>
          <w:sz w:val="36"/>
          <w:szCs w:val="36"/>
          <w:rtl/>
        </w:rPr>
        <w:t xml:space="preserve"> لم‌</w:t>
      </w:r>
      <w:r w:rsidR="00C149D7" w:rsidRPr="00FD211F">
        <w:rPr>
          <w:sz w:val="36"/>
          <w:szCs w:val="36"/>
          <w:rtl/>
        </w:rPr>
        <w:t>يضف المصدرالى فاعله كمافي قولنا"الضرب حرام "فيلتزم بكونه اسم مصدر</w:t>
      </w:r>
      <w:r w:rsidR="00603323" w:rsidRPr="00FD211F">
        <w:rPr>
          <w:sz w:val="36"/>
          <w:szCs w:val="36"/>
          <w:rtl/>
        </w:rPr>
        <w:t xml:space="preserve">، </w:t>
      </w:r>
      <w:r w:rsidR="00C149D7" w:rsidRPr="00FD211F">
        <w:rPr>
          <w:sz w:val="36"/>
          <w:szCs w:val="36"/>
          <w:rtl/>
        </w:rPr>
        <w:t>ولو اضيف اليه ك</w:t>
      </w:r>
      <w:r w:rsidR="00872E6F" w:rsidRPr="00FD211F">
        <w:rPr>
          <w:sz w:val="36"/>
          <w:szCs w:val="36"/>
          <w:rtl/>
        </w:rPr>
        <w:t xml:space="preserve">انت </w:t>
      </w:r>
      <w:r w:rsidR="00C149D7" w:rsidRPr="00FD211F">
        <w:rPr>
          <w:sz w:val="36"/>
          <w:szCs w:val="36"/>
          <w:rtl/>
        </w:rPr>
        <w:t>ال</w:t>
      </w:r>
      <w:r w:rsidR="00B44EF5" w:rsidRPr="00FD211F">
        <w:rPr>
          <w:sz w:val="36"/>
          <w:szCs w:val="36"/>
          <w:rtl/>
        </w:rPr>
        <w:t>ا</w:t>
      </w:r>
      <w:r w:rsidR="00C149D7" w:rsidRPr="00FD211F">
        <w:rPr>
          <w:sz w:val="36"/>
          <w:szCs w:val="36"/>
          <w:rtl/>
        </w:rPr>
        <w:t>ضاف</w:t>
      </w:r>
      <w:r w:rsidR="00EC7EDF" w:rsidRPr="00FD211F">
        <w:rPr>
          <w:sz w:val="36"/>
          <w:szCs w:val="36"/>
          <w:rtl/>
        </w:rPr>
        <w:t xml:space="preserve">ة </w:t>
      </w:r>
      <w:r w:rsidR="00872E6F" w:rsidRPr="00FD211F">
        <w:rPr>
          <w:sz w:val="36"/>
          <w:szCs w:val="36"/>
          <w:rtl/>
        </w:rPr>
        <w:t xml:space="preserve">كافية </w:t>
      </w:r>
      <w:r w:rsidR="00C149D7" w:rsidRPr="00FD211F">
        <w:rPr>
          <w:sz w:val="36"/>
          <w:szCs w:val="36"/>
          <w:rtl/>
        </w:rPr>
        <w:t>لافاد</w:t>
      </w:r>
      <w:r w:rsidR="00EC7EDF" w:rsidRPr="00FD211F">
        <w:rPr>
          <w:sz w:val="36"/>
          <w:szCs w:val="36"/>
          <w:rtl/>
        </w:rPr>
        <w:t xml:space="preserve">ة </w:t>
      </w:r>
      <w:r w:rsidR="00C149D7" w:rsidRPr="00FD211F">
        <w:rPr>
          <w:sz w:val="36"/>
          <w:szCs w:val="36"/>
          <w:rtl/>
        </w:rPr>
        <w:t>النسب</w:t>
      </w:r>
      <w:r w:rsidR="00EC7EDF" w:rsidRPr="00FD211F">
        <w:rPr>
          <w:sz w:val="36"/>
          <w:szCs w:val="36"/>
          <w:rtl/>
        </w:rPr>
        <w:t>ة</w:t>
      </w:r>
      <w:r w:rsidR="00603323" w:rsidRPr="00FD211F">
        <w:rPr>
          <w:sz w:val="36"/>
          <w:szCs w:val="36"/>
          <w:rtl/>
        </w:rPr>
        <w:t xml:space="preserve">، </w:t>
      </w:r>
      <w:r w:rsidR="00C149D7" w:rsidRPr="00FD211F">
        <w:rPr>
          <w:sz w:val="36"/>
          <w:szCs w:val="36"/>
          <w:rtl/>
        </w:rPr>
        <w:t>مضافاالى وجداني</w:t>
      </w:r>
      <w:r w:rsidR="00EC7EDF" w:rsidRPr="00FD211F">
        <w:rPr>
          <w:sz w:val="36"/>
          <w:szCs w:val="36"/>
          <w:rtl/>
        </w:rPr>
        <w:t xml:space="preserve">ة </w:t>
      </w:r>
      <w:r w:rsidR="00C149D7" w:rsidRPr="00FD211F">
        <w:rPr>
          <w:sz w:val="36"/>
          <w:szCs w:val="36"/>
          <w:rtl/>
        </w:rPr>
        <w:t>عدم تعددالدال على النسب</w:t>
      </w:r>
      <w:r w:rsidR="00EC7EDF" w:rsidRPr="00FD211F">
        <w:rPr>
          <w:sz w:val="36"/>
          <w:szCs w:val="36"/>
          <w:rtl/>
        </w:rPr>
        <w:t>ة</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238"/>
      </w:r>
      <w:r w:rsidR="00C17D0B" w:rsidRPr="00FD211F">
        <w:rPr>
          <w:rStyle w:val="a6"/>
          <w:sz w:val="36"/>
          <w:szCs w:val="36"/>
          <w:rtl/>
        </w:rPr>
        <w:t>)</w:t>
      </w:r>
      <w:r w:rsidR="00C149D7" w:rsidRPr="00FD211F">
        <w:rPr>
          <w:sz w:val="36"/>
          <w:szCs w:val="36"/>
          <w:rtl/>
        </w:rPr>
        <w:t>ولابأس بهذاالاشكال ايضا.</w:t>
      </w:r>
    </w:p>
    <w:p w14:paraId="29DEC73A" w14:textId="77777777" w:rsidR="00556BC0" w:rsidRPr="00FD211F" w:rsidRDefault="00556BC0" w:rsidP="009C58C8">
      <w:pPr>
        <w:ind w:left="0" w:firstLine="227"/>
        <w:jc w:val="both"/>
        <w:rPr>
          <w:sz w:val="36"/>
          <w:szCs w:val="36"/>
          <w:rtl/>
        </w:rPr>
      </w:pPr>
      <w:r w:rsidRPr="00FD211F">
        <w:rPr>
          <w:b/>
          <w:bCs/>
          <w:sz w:val="36"/>
          <w:szCs w:val="36"/>
          <w:rtl/>
        </w:rPr>
        <w:t>المحاول</w:t>
      </w:r>
      <w:r w:rsidR="00EC7EDF" w:rsidRPr="00FD211F">
        <w:rPr>
          <w:b/>
          <w:bCs/>
          <w:sz w:val="36"/>
          <w:szCs w:val="36"/>
          <w:rtl/>
        </w:rPr>
        <w:t xml:space="preserve">ة </w:t>
      </w: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sz w:val="36"/>
          <w:szCs w:val="36"/>
          <w:rtl/>
        </w:rPr>
        <w:t xml:space="preserve"> ما ذكره المحقق النائيني </w:t>
      </w:r>
      <w:r w:rsidR="00627231" w:rsidRPr="00FD211F">
        <w:rPr>
          <w:sz w:val="36"/>
          <w:szCs w:val="36"/>
          <w:rtl/>
        </w:rPr>
        <w:t>"</w:t>
      </w:r>
      <w:r w:rsidRPr="00FD211F">
        <w:rPr>
          <w:sz w:val="36"/>
          <w:szCs w:val="36"/>
          <w:rtl/>
        </w:rPr>
        <w:t>قده</w:t>
      </w:r>
      <w:r w:rsidR="00627231" w:rsidRPr="00FD211F">
        <w:rPr>
          <w:sz w:val="36"/>
          <w:szCs w:val="36"/>
          <w:rtl/>
        </w:rPr>
        <w:t>"</w:t>
      </w:r>
      <w:r w:rsidRPr="00FD211F">
        <w:rPr>
          <w:sz w:val="36"/>
          <w:szCs w:val="36"/>
          <w:rtl/>
        </w:rPr>
        <w:t xml:space="preserve"> من ان المصد</w:t>
      </w:r>
      <w:r w:rsidR="00627231" w:rsidRPr="00FD211F">
        <w:rPr>
          <w:sz w:val="36"/>
          <w:szCs w:val="36"/>
          <w:rtl/>
        </w:rPr>
        <w:t>ر موضوع للحدث حال قيامه بمحله</w:t>
      </w:r>
      <w:r w:rsidRPr="00FD211F">
        <w:rPr>
          <w:sz w:val="36"/>
          <w:szCs w:val="36"/>
          <w:rtl/>
        </w:rPr>
        <w:t xml:space="preserve"> فيمكن اضافته الى م</w:t>
      </w:r>
      <w:r w:rsidR="00627231" w:rsidRPr="00FD211F">
        <w:rPr>
          <w:sz w:val="36"/>
          <w:szCs w:val="36"/>
          <w:rtl/>
        </w:rPr>
        <w:t>حله</w:t>
      </w:r>
      <w:r w:rsidR="00603323" w:rsidRPr="00FD211F">
        <w:rPr>
          <w:sz w:val="36"/>
          <w:szCs w:val="36"/>
          <w:rtl/>
        </w:rPr>
        <w:t xml:space="preserve">، </w:t>
      </w:r>
      <w:r w:rsidRPr="00FD211F">
        <w:rPr>
          <w:sz w:val="36"/>
          <w:szCs w:val="36"/>
          <w:rtl/>
        </w:rPr>
        <w:t>وهذا لايعني كون النسب</w:t>
      </w:r>
      <w:r w:rsidR="00EC7EDF" w:rsidRPr="00FD211F">
        <w:rPr>
          <w:sz w:val="36"/>
          <w:szCs w:val="36"/>
          <w:rtl/>
        </w:rPr>
        <w:t xml:space="preserve">ة </w:t>
      </w:r>
      <w:r w:rsidRPr="00FD211F">
        <w:rPr>
          <w:sz w:val="36"/>
          <w:szCs w:val="36"/>
          <w:rtl/>
        </w:rPr>
        <w:t>الناقص</w:t>
      </w:r>
      <w:r w:rsidR="00EC7EDF" w:rsidRPr="00FD211F">
        <w:rPr>
          <w:sz w:val="36"/>
          <w:szCs w:val="36"/>
          <w:rtl/>
        </w:rPr>
        <w:t xml:space="preserve">ة </w:t>
      </w:r>
      <w:r w:rsidRPr="00FD211F">
        <w:rPr>
          <w:sz w:val="36"/>
          <w:szCs w:val="36"/>
          <w:rtl/>
        </w:rPr>
        <w:t>مدلول</w:t>
      </w:r>
      <w:r w:rsidR="00EC7EDF" w:rsidRPr="00FD211F">
        <w:rPr>
          <w:sz w:val="36"/>
          <w:szCs w:val="36"/>
          <w:rtl/>
        </w:rPr>
        <w:t xml:space="preserve">ة </w:t>
      </w:r>
      <w:r w:rsidRPr="00FD211F">
        <w:rPr>
          <w:sz w:val="36"/>
          <w:szCs w:val="36"/>
          <w:rtl/>
        </w:rPr>
        <w:t>لهيئ</w:t>
      </w:r>
      <w:r w:rsidR="00EC7EDF" w:rsidRPr="00FD211F">
        <w:rPr>
          <w:sz w:val="36"/>
          <w:szCs w:val="36"/>
          <w:rtl/>
        </w:rPr>
        <w:t xml:space="preserve">ة </w:t>
      </w:r>
      <w:r w:rsidRPr="00FD211F">
        <w:rPr>
          <w:sz w:val="36"/>
          <w:szCs w:val="36"/>
          <w:rtl/>
        </w:rPr>
        <w:t>المصدر</w:t>
      </w:r>
      <w:r w:rsidR="00603323" w:rsidRPr="00FD211F">
        <w:rPr>
          <w:sz w:val="36"/>
          <w:szCs w:val="36"/>
          <w:rtl/>
        </w:rPr>
        <w:t xml:space="preserve">، </w:t>
      </w:r>
      <w:r w:rsidRPr="00FD211F">
        <w:rPr>
          <w:sz w:val="36"/>
          <w:szCs w:val="36"/>
          <w:rtl/>
        </w:rPr>
        <w:t>بل لوحظ المصدر بحيث يكون قابلا لورود النسب</w:t>
      </w:r>
      <w:r w:rsidR="00EC7EDF" w:rsidRPr="00FD211F">
        <w:rPr>
          <w:sz w:val="36"/>
          <w:szCs w:val="36"/>
          <w:rtl/>
        </w:rPr>
        <w:t xml:space="preserve">ة </w:t>
      </w:r>
      <w:r w:rsidRPr="00FD211F">
        <w:rPr>
          <w:sz w:val="36"/>
          <w:szCs w:val="36"/>
          <w:rtl/>
        </w:rPr>
        <w:t>عليه بخلاف اسم المصدر فانه موضوع بإزاء الحدث بشرط لا عن لحاظ انتسابه الى الموضوع</w:t>
      </w:r>
      <w:r w:rsidR="00603323" w:rsidRPr="00FD211F">
        <w:rPr>
          <w:sz w:val="36"/>
          <w:szCs w:val="36"/>
          <w:rtl/>
        </w:rPr>
        <w:t xml:space="preserve">، </w:t>
      </w:r>
      <w:r w:rsidRPr="00FD211F">
        <w:rPr>
          <w:sz w:val="36"/>
          <w:szCs w:val="36"/>
          <w:rtl/>
        </w:rPr>
        <w:t xml:space="preserve">ولذا لايصح اضافته الى </w:t>
      </w:r>
      <w:r w:rsidR="008D7B3D" w:rsidRPr="00FD211F">
        <w:rPr>
          <w:sz w:val="36"/>
          <w:szCs w:val="36"/>
          <w:rtl/>
        </w:rPr>
        <w:t xml:space="preserve">شيء </w:t>
      </w:r>
      <w:r w:rsidRPr="00FD211F">
        <w:rPr>
          <w:sz w:val="36"/>
          <w:szCs w:val="36"/>
          <w:rtl/>
        </w:rPr>
        <w:t>لان الاضاف</w:t>
      </w:r>
      <w:r w:rsidR="00EC7EDF" w:rsidRPr="00FD211F">
        <w:rPr>
          <w:sz w:val="36"/>
          <w:szCs w:val="36"/>
          <w:rtl/>
        </w:rPr>
        <w:t xml:space="preserve">ة </w:t>
      </w:r>
      <w:r w:rsidRPr="00FD211F">
        <w:rPr>
          <w:sz w:val="36"/>
          <w:szCs w:val="36"/>
          <w:rtl/>
        </w:rPr>
        <w:t>تلازم النسب</w:t>
      </w:r>
      <w:r w:rsidR="00EC7EDF" w:rsidRPr="00FD211F">
        <w:rPr>
          <w:sz w:val="36"/>
          <w:szCs w:val="36"/>
          <w:rtl/>
        </w:rPr>
        <w:t xml:space="preserve">ة </w:t>
      </w:r>
      <w:r w:rsidRPr="00FD211F">
        <w:rPr>
          <w:sz w:val="36"/>
          <w:szCs w:val="36"/>
          <w:rtl/>
        </w:rPr>
        <w:t>والمفروض كونه معرى عنها</w:t>
      </w:r>
      <w:r w:rsidR="00603323" w:rsidRPr="00FD211F">
        <w:rPr>
          <w:sz w:val="36"/>
          <w:szCs w:val="36"/>
          <w:rtl/>
        </w:rPr>
        <w:t xml:space="preserve">، </w:t>
      </w:r>
      <w:r w:rsidRPr="00FD211F">
        <w:rPr>
          <w:sz w:val="36"/>
          <w:szCs w:val="36"/>
          <w:rtl/>
        </w:rPr>
        <w:t xml:space="preserve">وملحوظا بما هو </w:t>
      </w:r>
      <w:r w:rsidR="008D7B3D" w:rsidRPr="00FD211F">
        <w:rPr>
          <w:sz w:val="36"/>
          <w:szCs w:val="36"/>
          <w:rtl/>
        </w:rPr>
        <w:t xml:space="preserve">شيء </w:t>
      </w:r>
      <w:r w:rsidRPr="00FD211F">
        <w:rPr>
          <w:sz w:val="36"/>
          <w:szCs w:val="36"/>
          <w:rtl/>
        </w:rPr>
        <w:t>من الأشياء</w:t>
      </w:r>
      <w:r w:rsidR="00603323" w:rsidRPr="00FD211F">
        <w:rPr>
          <w:sz w:val="36"/>
          <w:szCs w:val="36"/>
          <w:rtl/>
        </w:rPr>
        <w:t xml:space="preserve">، </w:t>
      </w:r>
      <w:r w:rsidRPr="00FD211F">
        <w:rPr>
          <w:sz w:val="36"/>
          <w:szCs w:val="36"/>
          <w:rtl/>
        </w:rPr>
        <w:t>وقد ذكر ايضا ان النسب</w:t>
      </w:r>
      <w:r w:rsidR="00EC7EDF" w:rsidRPr="00FD211F">
        <w:rPr>
          <w:sz w:val="36"/>
          <w:szCs w:val="36"/>
          <w:rtl/>
        </w:rPr>
        <w:t xml:space="preserve">ة </w:t>
      </w:r>
      <w:r w:rsidRPr="00FD211F">
        <w:rPr>
          <w:sz w:val="36"/>
          <w:szCs w:val="36"/>
          <w:rtl/>
        </w:rPr>
        <w:t>الناقص</w:t>
      </w:r>
      <w:r w:rsidR="00EC7EDF" w:rsidRPr="00FD211F">
        <w:rPr>
          <w:sz w:val="36"/>
          <w:szCs w:val="36"/>
          <w:rtl/>
        </w:rPr>
        <w:t xml:space="preserve">ة </w:t>
      </w:r>
      <w:r w:rsidRPr="00FD211F">
        <w:rPr>
          <w:sz w:val="36"/>
          <w:szCs w:val="36"/>
          <w:rtl/>
        </w:rPr>
        <w:t>ليست مدلول</w:t>
      </w:r>
      <w:r w:rsidR="00EC7EDF" w:rsidRPr="00FD211F">
        <w:rPr>
          <w:sz w:val="36"/>
          <w:szCs w:val="36"/>
          <w:rtl/>
        </w:rPr>
        <w:t xml:space="preserve">ة </w:t>
      </w:r>
      <w:r w:rsidRPr="00FD211F">
        <w:rPr>
          <w:sz w:val="36"/>
          <w:szCs w:val="36"/>
          <w:rtl/>
        </w:rPr>
        <w:t>لهيئ</w:t>
      </w:r>
      <w:r w:rsidR="00EC7EDF" w:rsidRPr="00FD211F">
        <w:rPr>
          <w:sz w:val="36"/>
          <w:szCs w:val="36"/>
          <w:rtl/>
        </w:rPr>
        <w:t xml:space="preserve">ة </w:t>
      </w:r>
      <w:r w:rsidRPr="00FD211F">
        <w:rPr>
          <w:sz w:val="36"/>
          <w:szCs w:val="36"/>
          <w:rtl/>
        </w:rPr>
        <w:t>المصدر</w:t>
      </w:r>
      <w:r w:rsidR="009C58C8" w:rsidRPr="00FD211F">
        <w:rPr>
          <w:rStyle w:val="a6"/>
          <w:sz w:val="36"/>
          <w:szCs w:val="36"/>
          <w:rtl/>
        </w:rPr>
        <w:t>(</w:t>
      </w:r>
      <w:r w:rsidR="009C58C8" w:rsidRPr="00FD211F">
        <w:rPr>
          <w:rStyle w:val="a6"/>
          <w:sz w:val="36"/>
          <w:szCs w:val="36"/>
          <w:rtl/>
        </w:rPr>
        <w:footnoteReference w:id="239"/>
      </w:r>
      <w:r w:rsidR="009C58C8" w:rsidRPr="00FD211F">
        <w:rPr>
          <w:rStyle w:val="a6"/>
          <w:sz w:val="36"/>
          <w:szCs w:val="36"/>
          <w:rtl/>
        </w:rPr>
        <w:t>)</w:t>
      </w:r>
      <w:r w:rsidRPr="00FD211F">
        <w:rPr>
          <w:sz w:val="36"/>
          <w:szCs w:val="36"/>
          <w:rtl/>
        </w:rPr>
        <w:t>.</w:t>
      </w:r>
    </w:p>
    <w:p w14:paraId="628DBF21" w14:textId="77777777" w:rsidR="00627231" w:rsidRPr="00FD211F" w:rsidRDefault="00556BC0" w:rsidP="009C58C8">
      <w:pPr>
        <w:ind w:left="0" w:firstLine="227"/>
        <w:jc w:val="both"/>
        <w:rPr>
          <w:sz w:val="36"/>
          <w:szCs w:val="36"/>
          <w:rtl/>
        </w:rPr>
      </w:pPr>
      <w:r w:rsidRPr="00FD211F">
        <w:rPr>
          <w:sz w:val="36"/>
          <w:szCs w:val="36"/>
          <w:rtl/>
        </w:rPr>
        <w:t>ويرد عليه أنه لاوجه للمنع عن صح</w:t>
      </w:r>
      <w:r w:rsidR="00EC7EDF" w:rsidRPr="00FD211F">
        <w:rPr>
          <w:sz w:val="36"/>
          <w:szCs w:val="36"/>
          <w:rtl/>
        </w:rPr>
        <w:t xml:space="preserve">ة </w:t>
      </w:r>
      <w:r w:rsidRPr="00FD211F">
        <w:rPr>
          <w:sz w:val="36"/>
          <w:szCs w:val="36"/>
          <w:rtl/>
        </w:rPr>
        <w:t>اضاف</w:t>
      </w:r>
      <w:r w:rsidR="00EC7EDF" w:rsidRPr="00FD211F">
        <w:rPr>
          <w:sz w:val="36"/>
          <w:szCs w:val="36"/>
          <w:rtl/>
        </w:rPr>
        <w:t xml:space="preserve">ة </w:t>
      </w:r>
      <w:r w:rsidRPr="00FD211F">
        <w:rPr>
          <w:sz w:val="36"/>
          <w:szCs w:val="36"/>
          <w:rtl/>
        </w:rPr>
        <w:t>اسم المصدر الى فاعله كما في قولنا "غُسل زيد" وكذا يقال بالفارسي</w:t>
      </w:r>
      <w:r w:rsidR="00EC7EDF" w:rsidRPr="00FD211F">
        <w:rPr>
          <w:sz w:val="36"/>
          <w:szCs w:val="36"/>
          <w:rtl/>
        </w:rPr>
        <w:t xml:space="preserve">ة </w:t>
      </w:r>
      <w:r w:rsidRPr="00FD211F">
        <w:rPr>
          <w:sz w:val="36"/>
          <w:szCs w:val="36"/>
          <w:rtl/>
        </w:rPr>
        <w:t>"كتك پدر"</w:t>
      </w:r>
      <w:r w:rsidR="00603323" w:rsidRPr="00FD211F">
        <w:rPr>
          <w:sz w:val="36"/>
          <w:szCs w:val="36"/>
          <w:rtl/>
        </w:rPr>
        <w:t xml:space="preserve">، </w:t>
      </w:r>
      <w:r w:rsidRPr="00FD211F">
        <w:rPr>
          <w:sz w:val="36"/>
          <w:szCs w:val="36"/>
          <w:rtl/>
        </w:rPr>
        <w:t>"گردش زمين"</w:t>
      </w:r>
      <w:r w:rsidR="00603323" w:rsidRPr="00FD211F">
        <w:rPr>
          <w:sz w:val="36"/>
          <w:szCs w:val="36"/>
          <w:rtl/>
        </w:rPr>
        <w:t xml:space="preserve">، </w:t>
      </w:r>
      <w:r w:rsidRPr="00FD211F">
        <w:rPr>
          <w:sz w:val="36"/>
          <w:szCs w:val="36"/>
          <w:rtl/>
        </w:rPr>
        <w:t xml:space="preserve">"چرخش </w:t>
      </w:r>
      <w:r w:rsidR="00627231" w:rsidRPr="00FD211F">
        <w:rPr>
          <w:sz w:val="36"/>
          <w:szCs w:val="36"/>
          <w:rtl/>
        </w:rPr>
        <w:t>زمين"</w:t>
      </w:r>
      <w:r w:rsidR="00603323" w:rsidRPr="00FD211F">
        <w:rPr>
          <w:sz w:val="36"/>
          <w:szCs w:val="36"/>
          <w:rtl/>
        </w:rPr>
        <w:t xml:space="preserve">، </w:t>
      </w:r>
      <w:r w:rsidR="00627231" w:rsidRPr="00FD211F">
        <w:rPr>
          <w:sz w:val="36"/>
          <w:szCs w:val="36"/>
          <w:rtl/>
        </w:rPr>
        <w:t>"شستشوى زيد صورت خود را".</w:t>
      </w:r>
      <w:r w:rsidRPr="00FD211F">
        <w:rPr>
          <w:sz w:val="36"/>
          <w:szCs w:val="36"/>
          <w:rtl/>
        </w:rPr>
        <w:t xml:space="preserve"> </w:t>
      </w:r>
    </w:p>
    <w:p w14:paraId="72EA44A1" w14:textId="77777777" w:rsidR="00556BC0" w:rsidRPr="00FD211F" w:rsidRDefault="00556BC0" w:rsidP="009C58C8">
      <w:pPr>
        <w:ind w:left="0" w:firstLine="227"/>
        <w:jc w:val="both"/>
        <w:rPr>
          <w:sz w:val="36"/>
          <w:szCs w:val="36"/>
          <w:rtl/>
        </w:rPr>
      </w:pPr>
      <w:r w:rsidRPr="00FD211F">
        <w:rPr>
          <w:sz w:val="36"/>
          <w:szCs w:val="36"/>
          <w:rtl/>
        </w:rPr>
        <w:t>على ان الالتزام بدلال</w:t>
      </w:r>
      <w:r w:rsidR="00EC7EDF" w:rsidRPr="00FD211F">
        <w:rPr>
          <w:sz w:val="36"/>
          <w:szCs w:val="36"/>
          <w:rtl/>
        </w:rPr>
        <w:t xml:space="preserve">ة </w:t>
      </w:r>
      <w:r w:rsidRPr="00FD211F">
        <w:rPr>
          <w:sz w:val="36"/>
          <w:szCs w:val="36"/>
          <w:rtl/>
        </w:rPr>
        <w:t>المصدر على ذات الحدث لابشرط من انتسابه الى الفاعل خلاف الوجدان</w:t>
      </w:r>
      <w:r w:rsidR="00603323" w:rsidRPr="00FD211F">
        <w:rPr>
          <w:sz w:val="36"/>
          <w:szCs w:val="36"/>
          <w:rtl/>
        </w:rPr>
        <w:t xml:space="preserve">، </w:t>
      </w:r>
      <w:r w:rsidRPr="00FD211F">
        <w:rPr>
          <w:sz w:val="36"/>
          <w:szCs w:val="36"/>
          <w:rtl/>
        </w:rPr>
        <w:t>فان المتفاهم من المصدر خصوصي</w:t>
      </w:r>
      <w:r w:rsidR="00EC7EDF" w:rsidRPr="00FD211F">
        <w:rPr>
          <w:sz w:val="36"/>
          <w:szCs w:val="36"/>
          <w:rtl/>
        </w:rPr>
        <w:t xml:space="preserve">ة </w:t>
      </w:r>
      <w:r w:rsidRPr="00FD211F">
        <w:rPr>
          <w:sz w:val="36"/>
          <w:szCs w:val="36"/>
          <w:rtl/>
        </w:rPr>
        <w:t>زائد</w:t>
      </w:r>
      <w:r w:rsidR="00EC7EDF" w:rsidRPr="00FD211F">
        <w:rPr>
          <w:sz w:val="36"/>
          <w:szCs w:val="36"/>
          <w:rtl/>
        </w:rPr>
        <w:t xml:space="preserve">ة </w:t>
      </w:r>
      <w:r w:rsidRPr="00FD211F">
        <w:rPr>
          <w:sz w:val="36"/>
          <w:szCs w:val="36"/>
          <w:rtl/>
        </w:rPr>
        <w:t>على ذات الحدث كما سيأتي توضيحه.</w:t>
      </w:r>
    </w:p>
    <w:p w14:paraId="2057C70E" w14:textId="77777777" w:rsidR="00556BC0" w:rsidRPr="00FD211F" w:rsidRDefault="00556BC0" w:rsidP="009C58C8">
      <w:pPr>
        <w:ind w:left="0" w:firstLine="227"/>
        <w:jc w:val="both"/>
        <w:rPr>
          <w:sz w:val="36"/>
          <w:szCs w:val="36"/>
          <w:rtl/>
        </w:rPr>
      </w:pPr>
      <w:r w:rsidRPr="00FD211F">
        <w:rPr>
          <w:b/>
          <w:bCs/>
          <w:sz w:val="36"/>
          <w:szCs w:val="36"/>
          <w:rtl/>
        </w:rPr>
        <w:t>المحاول</w:t>
      </w:r>
      <w:r w:rsidR="00EC7EDF" w:rsidRPr="00FD211F">
        <w:rPr>
          <w:b/>
          <w:bCs/>
          <w:sz w:val="36"/>
          <w:szCs w:val="36"/>
          <w:rtl/>
        </w:rPr>
        <w:t xml:space="preserve">ة </w:t>
      </w: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Pr="00FD211F">
        <w:rPr>
          <w:sz w:val="36"/>
          <w:szCs w:val="36"/>
          <w:rtl/>
        </w:rPr>
        <w:t xml:space="preserve"> ان المصدر موضوع للحدث مع لحاظ خصوصي</w:t>
      </w:r>
      <w:r w:rsidR="00EC7EDF" w:rsidRPr="00FD211F">
        <w:rPr>
          <w:sz w:val="36"/>
          <w:szCs w:val="36"/>
          <w:rtl/>
        </w:rPr>
        <w:t xml:space="preserve">ة </w:t>
      </w:r>
      <w:r w:rsidRPr="00FD211F">
        <w:rPr>
          <w:sz w:val="36"/>
          <w:szCs w:val="36"/>
          <w:rtl/>
        </w:rPr>
        <w:t>قيامه بالفاعل بان يكون الموضوع له هو الحدث الملحوظ في مرحل</w:t>
      </w:r>
      <w:r w:rsidR="00EC7EDF" w:rsidRPr="00FD211F">
        <w:rPr>
          <w:sz w:val="36"/>
          <w:szCs w:val="36"/>
          <w:rtl/>
        </w:rPr>
        <w:t xml:space="preserve">ة </w:t>
      </w:r>
      <w:r w:rsidR="00972951" w:rsidRPr="00FD211F">
        <w:rPr>
          <w:sz w:val="36"/>
          <w:szCs w:val="36"/>
          <w:rtl/>
        </w:rPr>
        <w:t>الايجاد</w:t>
      </w:r>
      <w:r w:rsidR="00603323" w:rsidRPr="00FD211F">
        <w:rPr>
          <w:sz w:val="36"/>
          <w:szCs w:val="36"/>
          <w:rtl/>
        </w:rPr>
        <w:t xml:space="preserve">، </w:t>
      </w:r>
      <w:r w:rsidRPr="00FD211F">
        <w:rPr>
          <w:sz w:val="36"/>
          <w:szCs w:val="36"/>
          <w:rtl/>
        </w:rPr>
        <w:t>ولكن اسم المصدر م</w:t>
      </w:r>
      <w:r w:rsidR="00972951" w:rsidRPr="00FD211F">
        <w:rPr>
          <w:sz w:val="36"/>
          <w:szCs w:val="36"/>
          <w:rtl/>
        </w:rPr>
        <w:t xml:space="preserve">وضوع لذات الحدث </w:t>
      </w:r>
      <w:r w:rsidRPr="00FD211F">
        <w:rPr>
          <w:sz w:val="36"/>
          <w:szCs w:val="36"/>
          <w:rtl/>
        </w:rPr>
        <w:t xml:space="preserve">بما هو </w:t>
      </w:r>
      <w:r w:rsidR="008D7B3D" w:rsidRPr="00FD211F">
        <w:rPr>
          <w:sz w:val="36"/>
          <w:szCs w:val="36"/>
          <w:rtl/>
        </w:rPr>
        <w:t xml:space="preserve">شيء </w:t>
      </w:r>
      <w:r w:rsidRPr="00FD211F">
        <w:rPr>
          <w:sz w:val="36"/>
          <w:szCs w:val="36"/>
          <w:rtl/>
        </w:rPr>
        <w:t>من الأشياء</w:t>
      </w:r>
      <w:r w:rsidR="00603323" w:rsidRPr="00FD211F">
        <w:rPr>
          <w:sz w:val="36"/>
          <w:szCs w:val="36"/>
          <w:rtl/>
        </w:rPr>
        <w:t xml:space="preserve">، </w:t>
      </w:r>
      <w:r w:rsidRPr="00FD211F">
        <w:rPr>
          <w:sz w:val="36"/>
          <w:szCs w:val="36"/>
          <w:rtl/>
        </w:rPr>
        <w:t>بلادلال</w:t>
      </w:r>
      <w:r w:rsidR="00EC7EDF" w:rsidRPr="00FD211F">
        <w:rPr>
          <w:sz w:val="36"/>
          <w:szCs w:val="36"/>
          <w:rtl/>
        </w:rPr>
        <w:t xml:space="preserve">ة </w:t>
      </w:r>
      <w:r w:rsidRPr="00FD211F">
        <w:rPr>
          <w:sz w:val="36"/>
          <w:szCs w:val="36"/>
          <w:rtl/>
        </w:rPr>
        <w:t>له على خصوصي</w:t>
      </w:r>
      <w:r w:rsidR="00EC7EDF" w:rsidRPr="00FD211F">
        <w:rPr>
          <w:sz w:val="36"/>
          <w:szCs w:val="36"/>
          <w:rtl/>
        </w:rPr>
        <w:t xml:space="preserve">ة </w:t>
      </w:r>
      <w:r w:rsidRPr="00FD211F">
        <w:rPr>
          <w:sz w:val="36"/>
          <w:szCs w:val="36"/>
          <w:rtl/>
        </w:rPr>
        <w:t>قيامه بالفاعل</w:t>
      </w:r>
      <w:r w:rsidR="00603323" w:rsidRPr="00FD211F">
        <w:rPr>
          <w:sz w:val="36"/>
          <w:szCs w:val="36"/>
          <w:rtl/>
        </w:rPr>
        <w:t xml:space="preserve">، </w:t>
      </w:r>
      <w:r w:rsidRPr="00FD211F">
        <w:rPr>
          <w:sz w:val="36"/>
          <w:szCs w:val="36"/>
          <w:rtl/>
        </w:rPr>
        <w:t>ولاينافي ذلك دلال</w:t>
      </w:r>
      <w:r w:rsidR="00EC7EDF" w:rsidRPr="00FD211F">
        <w:rPr>
          <w:sz w:val="36"/>
          <w:szCs w:val="36"/>
          <w:rtl/>
        </w:rPr>
        <w:t xml:space="preserve">ة </w:t>
      </w:r>
      <w:r w:rsidRPr="00FD211F">
        <w:rPr>
          <w:sz w:val="36"/>
          <w:szCs w:val="36"/>
          <w:rtl/>
        </w:rPr>
        <w:t>دال آخر على خصوصي</w:t>
      </w:r>
      <w:r w:rsidR="00EC7EDF" w:rsidRPr="00FD211F">
        <w:rPr>
          <w:sz w:val="36"/>
          <w:szCs w:val="36"/>
          <w:rtl/>
        </w:rPr>
        <w:t xml:space="preserve">ة </w:t>
      </w:r>
      <w:r w:rsidRPr="00FD211F">
        <w:rPr>
          <w:sz w:val="36"/>
          <w:szCs w:val="36"/>
          <w:rtl/>
        </w:rPr>
        <w:t>قيامه بالفاعل كالإضاف</w:t>
      </w:r>
      <w:r w:rsidR="00EC7EDF" w:rsidRPr="00FD211F">
        <w:rPr>
          <w:sz w:val="36"/>
          <w:szCs w:val="36"/>
          <w:rtl/>
        </w:rPr>
        <w:t>ة</w:t>
      </w:r>
      <w:r w:rsidR="00603323" w:rsidRPr="00FD211F">
        <w:rPr>
          <w:sz w:val="36"/>
          <w:szCs w:val="36"/>
          <w:rtl/>
        </w:rPr>
        <w:t xml:space="preserve">، </w:t>
      </w:r>
      <w:r w:rsidRPr="00FD211F">
        <w:rPr>
          <w:sz w:val="36"/>
          <w:szCs w:val="36"/>
          <w:rtl/>
        </w:rPr>
        <w:t>وهذا هو الذي نحسّه من الفرق بين: گرديدن وگردش</w:t>
      </w:r>
      <w:r w:rsidR="00603323" w:rsidRPr="00FD211F">
        <w:rPr>
          <w:sz w:val="36"/>
          <w:szCs w:val="36"/>
          <w:rtl/>
        </w:rPr>
        <w:t xml:space="preserve">، </w:t>
      </w:r>
      <w:r w:rsidRPr="00FD211F">
        <w:rPr>
          <w:sz w:val="36"/>
          <w:szCs w:val="36"/>
          <w:rtl/>
        </w:rPr>
        <w:t>آفريدن وآفرينش</w:t>
      </w:r>
      <w:r w:rsidR="00603323" w:rsidRPr="00FD211F">
        <w:rPr>
          <w:sz w:val="36"/>
          <w:szCs w:val="36"/>
          <w:rtl/>
        </w:rPr>
        <w:t xml:space="preserve">، </w:t>
      </w:r>
      <w:r w:rsidRPr="00FD211F">
        <w:rPr>
          <w:sz w:val="36"/>
          <w:szCs w:val="36"/>
          <w:rtl/>
        </w:rPr>
        <w:t>شستن وشتسشو</w:t>
      </w:r>
      <w:r w:rsidR="00603323" w:rsidRPr="00FD211F">
        <w:rPr>
          <w:sz w:val="36"/>
          <w:szCs w:val="36"/>
          <w:rtl/>
        </w:rPr>
        <w:t xml:space="preserve">، </w:t>
      </w:r>
      <w:r w:rsidRPr="00FD211F">
        <w:rPr>
          <w:sz w:val="36"/>
          <w:szCs w:val="36"/>
          <w:rtl/>
        </w:rPr>
        <w:t>زدن و</w:t>
      </w:r>
      <w:r w:rsidR="000B13DD" w:rsidRPr="00FD211F">
        <w:rPr>
          <w:sz w:val="36"/>
          <w:szCs w:val="36"/>
          <w:rtl/>
        </w:rPr>
        <w:t>ز</w:t>
      </w:r>
      <w:r w:rsidR="00972951" w:rsidRPr="00FD211F">
        <w:rPr>
          <w:sz w:val="36"/>
          <w:szCs w:val="36"/>
          <w:rtl/>
        </w:rPr>
        <w:t>د</w:t>
      </w:r>
      <w:r w:rsidR="00603323" w:rsidRPr="00FD211F">
        <w:rPr>
          <w:sz w:val="36"/>
          <w:szCs w:val="36"/>
          <w:rtl/>
        </w:rPr>
        <w:t xml:space="preserve">، </w:t>
      </w:r>
      <w:r w:rsidRPr="00FD211F">
        <w:rPr>
          <w:sz w:val="36"/>
          <w:szCs w:val="36"/>
          <w:rtl/>
        </w:rPr>
        <w:t>مردن ومرگ</w:t>
      </w:r>
      <w:r w:rsidR="00603323" w:rsidRPr="00FD211F">
        <w:rPr>
          <w:sz w:val="36"/>
          <w:szCs w:val="36"/>
          <w:rtl/>
        </w:rPr>
        <w:t xml:space="preserve">، </w:t>
      </w:r>
      <w:r w:rsidRPr="00FD211F">
        <w:rPr>
          <w:sz w:val="36"/>
          <w:szCs w:val="36"/>
          <w:rtl/>
        </w:rPr>
        <w:t>رفتن ورفت</w:t>
      </w:r>
      <w:r w:rsidR="00603323" w:rsidRPr="00FD211F">
        <w:rPr>
          <w:sz w:val="36"/>
          <w:szCs w:val="36"/>
          <w:rtl/>
        </w:rPr>
        <w:t xml:space="preserve">، </w:t>
      </w:r>
      <w:r w:rsidRPr="00FD211F">
        <w:rPr>
          <w:sz w:val="36"/>
          <w:szCs w:val="36"/>
          <w:rtl/>
        </w:rPr>
        <w:t>برگشتن وبرگشت</w:t>
      </w:r>
      <w:r w:rsidR="00603323" w:rsidRPr="00FD211F">
        <w:rPr>
          <w:sz w:val="36"/>
          <w:szCs w:val="36"/>
          <w:rtl/>
        </w:rPr>
        <w:t xml:space="preserve">، </w:t>
      </w:r>
      <w:r w:rsidRPr="00FD211F">
        <w:rPr>
          <w:sz w:val="36"/>
          <w:szCs w:val="36"/>
          <w:rtl/>
        </w:rPr>
        <w:t>ونحو ذلك؛ ولايخفى ان المصدر لايدل على النسب</w:t>
      </w:r>
      <w:r w:rsidR="00EC7EDF" w:rsidRPr="00FD211F">
        <w:rPr>
          <w:sz w:val="36"/>
          <w:szCs w:val="36"/>
          <w:rtl/>
        </w:rPr>
        <w:t xml:space="preserve">ة </w:t>
      </w:r>
      <w:r w:rsidRPr="00FD211F">
        <w:rPr>
          <w:sz w:val="36"/>
          <w:szCs w:val="36"/>
          <w:rtl/>
        </w:rPr>
        <w:t>حتى تحتاج الى طرفين</w:t>
      </w:r>
      <w:r w:rsidR="00603323" w:rsidRPr="00FD211F">
        <w:rPr>
          <w:sz w:val="36"/>
          <w:szCs w:val="36"/>
          <w:rtl/>
        </w:rPr>
        <w:t xml:space="preserve">، </w:t>
      </w:r>
      <w:r w:rsidRPr="00FD211F">
        <w:rPr>
          <w:sz w:val="36"/>
          <w:szCs w:val="36"/>
          <w:rtl/>
        </w:rPr>
        <w:t>بل يدل على خصوصي</w:t>
      </w:r>
      <w:r w:rsidR="00EC7EDF" w:rsidRPr="00FD211F">
        <w:rPr>
          <w:sz w:val="36"/>
          <w:szCs w:val="36"/>
          <w:rtl/>
        </w:rPr>
        <w:t xml:space="preserve">ة </w:t>
      </w:r>
      <w:r w:rsidRPr="00FD211F">
        <w:rPr>
          <w:sz w:val="36"/>
          <w:szCs w:val="36"/>
          <w:rtl/>
        </w:rPr>
        <w:t>مندكّ</w:t>
      </w:r>
      <w:r w:rsidR="00EC7EDF" w:rsidRPr="00FD211F">
        <w:rPr>
          <w:sz w:val="36"/>
          <w:szCs w:val="36"/>
          <w:rtl/>
        </w:rPr>
        <w:t xml:space="preserve">ة </w:t>
      </w:r>
      <w:r w:rsidRPr="00FD211F">
        <w:rPr>
          <w:sz w:val="36"/>
          <w:szCs w:val="36"/>
          <w:rtl/>
        </w:rPr>
        <w:t>في طرف واحد وهو الحدث.</w:t>
      </w:r>
    </w:p>
    <w:p w14:paraId="627C3395" w14:textId="77777777" w:rsidR="000C5BBA" w:rsidRPr="00FD211F" w:rsidRDefault="00556BC0" w:rsidP="009C58C8">
      <w:pPr>
        <w:ind w:left="0" w:firstLine="227"/>
        <w:jc w:val="both"/>
        <w:rPr>
          <w:sz w:val="36"/>
          <w:szCs w:val="36"/>
          <w:rtl/>
        </w:rPr>
      </w:pPr>
      <w:r w:rsidRPr="00FD211F">
        <w:rPr>
          <w:sz w:val="36"/>
          <w:szCs w:val="36"/>
          <w:rtl/>
        </w:rPr>
        <w:t xml:space="preserve">ويمكن ان يستدل له بان معنى المصدر "كالغَسل: شستن" واسم المصدر "كالغُسل: شستشو" مختلف </w:t>
      </w:r>
      <w:r w:rsidR="00972951" w:rsidRPr="00FD211F">
        <w:rPr>
          <w:sz w:val="36"/>
          <w:szCs w:val="36"/>
          <w:rtl/>
        </w:rPr>
        <w:t>وجدانا</w:t>
      </w:r>
      <w:r w:rsidR="00603323" w:rsidRPr="00FD211F">
        <w:rPr>
          <w:sz w:val="36"/>
          <w:szCs w:val="36"/>
          <w:rtl/>
        </w:rPr>
        <w:t xml:space="preserve">، </w:t>
      </w:r>
      <w:r w:rsidR="00972951" w:rsidRPr="00FD211F">
        <w:rPr>
          <w:sz w:val="36"/>
          <w:szCs w:val="36"/>
          <w:rtl/>
        </w:rPr>
        <w:t>ولايكون ذلك الا باخذ حيثي</w:t>
      </w:r>
      <w:r w:rsidR="00EC7EDF" w:rsidRPr="00FD211F">
        <w:rPr>
          <w:sz w:val="36"/>
          <w:szCs w:val="36"/>
          <w:rtl/>
        </w:rPr>
        <w:t xml:space="preserve">ة </w:t>
      </w:r>
      <w:r w:rsidR="00972951" w:rsidRPr="00FD211F">
        <w:rPr>
          <w:sz w:val="36"/>
          <w:szCs w:val="36"/>
          <w:rtl/>
        </w:rPr>
        <w:t>قيام الحدث</w:t>
      </w:r>
      <w:r w:rsidR="00B253CE" w:rsidRPr="00FD211F">
        <w:rPr>
          <w:sz w:val="36"/>
          <w:szCs w:val="36"/>
          <w:rtl/>
        </w:rPr>
        <w:t xml:space="preserve"> </w:t>
      </w:r>
      <w:r w:rsidR="00972951" w:rsidRPr="00FD211F">
        <w:rPr>
          <w:sz w:val="36"/>
          <w:szCs w:val="36"/>
          <w:rtl/>
        </w:rPr>
        <w:t>ب</w:t>
      </w:r>
      <w:r w:rsidRPr="00FD211F">
        <w:rPr>
          <w:sz w:val="36"/>
          <w:szCs w:val="36"/>
          <w:rtl/>
        </w:rPr>
        <w:t xml:space="preserve">فاعله </w:t>
      </w:r>
      <w:r w:rsidR="00972951" w:rsidRPr="00FD211F">
        <w:rPr>
          <w:sz w:val="36"/>
          <w:szCs w:val="36"/>
          <w:rtl/>
        </w:rPr>
        <w:t>في مدلول هيئ</w:t>
      </w:r>
      <w:r w:rsidR="00EC7EDF" w:rsidRPr="00FD211F">
        <w:rPr>
          <w:sz w:val="36"/>
          <w:szCs w:val="36"/>
          <w:rtl/>
        </w:rPr>
        <w:t xml:space="preserve">ة </w:t>
      </w:r>
      <w:r w:rsidR="00972951" w:rsidRPr="00FD211F">
        <w:rPr>
          <w:sz w:val="36"/>
          <w:szCs w:val="36"/>
          <w:rtl/>
        </w:rPr>
        <w:t>المصدر.</w:t>
      </w:r>
    </w:p>
    <w:p w14:paraId="51D3D09E" w14:textId="77777777" w:rsidR="000C5BBA" w:rsidRPr="00FD211F" w:rsidRDefault="00556BC0" w:rsidP="009C58C8">
      <w:pPr>
        <w:ind w:left="0" w:firstLine="227"/>
        <w:jc w:val="both"/>
        <w:rPr>
          <w:sz w:val="36"/>
          <w:szCs w:val="36"/>
          <w:rtl/>
        </w:rPr>
      </w:pPr>
      <w:r w:rsidRPr="00FD211F">
        <w:rPr>
          <w:sz w:val="36"/>
          <w:szCs w:val="36"/>
          <w:rtl/>
        </w:rPr>
        <w:t xml:space="preserve">ولايتم دعوى احتمال كون الفارق بينهما هو ان المصدر موضوع للفعل واسم المصدر موضوع للانفعال </w:t>
      </w:r>
    </w:p>
    <w:p w14:paraId="45F7100B" w14:textId="77777777" w:rsidR="000C5BBA" w:rsidRPr="00FD211F" w:rsidRDefault="00972951" w:rsidP="009C58C8">
      <w:pPr>
        <w:ind w:left="0" w:firstLine="227"/>
        <w:jc w:val="both"/>
        <w:rPr>
          <w:sz w:val="36"/>
          <w:szCs w:val="36"/>
          <w:rtl/>
        </w:rPr>
      </w:pPr>
      <w:r w:rsidRPr="00FD211F">
        <w:rPr>
          <w:sz w:val="36"/>
          <w:szCs w:val="36"/>
          <w:rtl/>
        </w:rPr>
        <w:t>وذلك لأن</w:t>
      </w:r>
      <w:r w:rsidR="00556BC0" w:rsidRPr="00FD211F">
        <w:rPr>
          <w:sz w:val="36"/>
          <w:szCs w:val="36"/>
          <w:rtl/>
        </w:rPr>
        <w:t xml:space="preserve"> المصدر أيض</w:t>
      </w:r>
      <w:r w:rsidRPr="00FD211F">
        <w:rPr>
          <w:sz w:val="36"/>
          <w:szCs w:val="36"/>
          <w:rtl/>
        </w:rPr>
        <w:t>ا قد يدل على الانفعال كالانكسار.</w:t>
      </w:r>
    </w:p>
    <w:p w14:paraId="322F5D40" w14:textId="77777777" w:rsidR="00972951" w:rsidRPr="00FD211F" w:rsidRDefault="00556BC0" w:rsidP="009C58C8">
      <w:pPr>
        <w:ind w:left="0" w:firstLine="227"/>
        <w:jc w:val="both"/>
        <w:rPr>
          <w:sz w:val="36"/>
          <w:szCs w:val="36"/>
          <w:rtl/>
        </w:rPr>
      </w:pPr>
      <w:r w:rsidRPr="00FD211F">
        <w:rPr>
          <w:sz w:val="36"/>
          <w:szCs w:val="36"/>
          <w:rtl/>
        </w:rPr>
        <w:t>وكذا لايتم دعوى كون الفارق بينهما هو ان المصدر موضوع للفعل واسم المصدر موضوع لنتيج</w:t>
      </w:r>
      <w:r w:rsidR="00EC7EDF" w:rsidRPr="00FD211F">
        <w:rPr>
          <w:sz w:val="36"/>
          <w:szCs w:val="36"/>
          <w:rtl/>
        </w:rPr>
        <w:t xml:space="preserve">ة </w:t>
      </w:r>
      <w:r w:rsidRPr="00FD211F">
        <w:rPr>
          <w:sz w:val="36"/>
          <w:szCs w:val="36"/>
          <w:rtl/>
        </w:rPr>
        <w:t>الفعل</w:t>
      </w:r>
      <w:r w:rsidR="00972951" w:rsidRPr="00FD211F">
        <w:rPr>
          <w:sz w:val="36"/>
          <w:szCs w:val="36"/>
          <w:rtl/>
        </w:rPr>
        <w:t>.</w:t>
      </w:r>
      <w:r w:rsidRPr="00FD211F">
        <w:rPr>
          <w:sz w:val="36"/>
          <w:szCs w:val="36"/>
          <w:rtl/>
        </w:rPr>
        <w:t xml:space="preserve"> </w:t>
      </w:r>
    </w:p>
    <w:p w14:paraId="5E191F43" w14:textId="77777777" w:rsidR="00556BC0" w:rsidRPr="00FD211F" w:rsidRDefault="00972951" w:rsidP="009C58C8">
      <w:pPr>
        <w:ind w:left="0" w:firstLine="227"/>
        <w:jc w:val="both"/>
        <w:rPr>
          <w:sz w:val="36"/>
          <w:szCs w:val="36"/>
          <w:rtl/>
        </w:rPr>
      </w:pPr>
      <w:r w:rsidRPr="00FD211F">
        <w:rPr>
          <w:sz w:val="36"/>
          <w:szCs w:val="36"/>
          <w:rtl/>
        </w:rPr>
        <w:t>وذلك لأ</w:t>
      </w:r>
      <w:r w:rsidR="00556BC0" w:rsidRPr="00FD211F">
        <w:rPr>
          <w:sz w:val="36"/>
          <w:szCs w:val="36"/>
          <w:rtl/>
        </w:rPr>
        <w:t>ن الفرق بينهما لاينحصر بما لو كان الفعل من الافعال التوليدي</w:t>
      </w:r>
      <w:r w:rsidR="00EC7EDF" w:rsidRPr="00FD211F">
        <w:rPr>
          <w:sz w:val="36"/>
          <w:szCs w:val="36"/>
          <w:rtl/>
        </w:rPr>
        <w:t xml:space="preserve">ة </w:t>
      </w:r>
      <w:r w:rsidR="00556BC0" w:rsidRPr="00FD211F">
        <w:rPr>
          <w:sz w:val="36"/>
          <w:szCs w:val="36"/>
          <w:rtl/>
        </w:rPr>
        <w:t>التي تكون له نتيج</w:t>
      </w:r>
      <w:r w:rsidR="00EC7EDF" w:rsidRPr="00FD211F">
        <w:rPr>
          <w:sz w:val="36"/>
          <w:szCs w:val="36"/>
          <w:rtl/>
        </w:rPr>
        <w:t xml:space="preserve">ة </w:t>
      </w:r>
      <w:r w:rsidR="00556BC0" w:rsidRPr="00FD211F">
        <w:rPr>
          <w:sz w:val="36"/>
          <w:szCs w:val="36"/>
          <w:rtl/>
        </w:rPr>
        <w:t>خارجي</w:t>
      </w:r>
      <w:r w:rsidR="00EC7EDF" w:rsidRPr="00FD211F">
        <w:rPr>
          <w:sz w:val="36"/>
          <w:szCs w:val="36"/>
          <w:rtl/>
        </w:rPr>
        <w:t xml:space="preserve">ة </w:t>
      </w:r>
      <w:r w:rsidR="00556BC0" w:rsidRPr="00FD211F">
        <w:rPr>
          <w:sz w:val="36"/>
          <w:szCs w:val="36"/>
          <w:rtl/>
        </w:rPr>
        <w:t>كتحريك المفتاح الذي يكون نتيجته انفتاح الباب.</w:t>
      </w:r>
    </w:p>
    <w:p w14:paraId="04D14454" w14:textId="77777777" w:rsidR="00556BC0" w:rsidRPr="00FD211F" w:rsidRDefault="00556BC0" w:rsidP="009C58C8">
      <w:pPr>
        <w:ind w:left="0" w:firstLine="227"/>
        <w:jc w:val="both"/>
        <w:rPr>
          <w:sz w:val="36"/>
          <w:szCs w:val="36"/>
          <w:rtl/>
        </w:rPr>
      </w:pPr>
      <w:r w:rsidRPr="00FD211F">
        <w:rPr>
          <w:sz w:val="36"/>
          <w:szCs w:val="36"/>
          <w:rtl/>
        </w:rPr>
        <w:t>وقد اختار في البحوث ان المعنى الزائد المستفاد من المصدر داخل في مدلول مادته لاهيئته</w:t>
      </w:r>
      <w:r w:rsidR="00603323" w:rsidRPr="00FD211F">
        <w:rPr>
          <w:sz w:val="36"/>
          <w:szCs w:val="36"/>
          <w:rtl/>
        </w:rPr>
        <w:t xml:space="preserve">، </w:t>
      </w:r>
      <w:r w:rsidRPr="00FD211F">
        <w:rPr>
          <w:sz w:val="36"/>
          <w:szCs w:val="36"/>
          <w:rtl/>
        </w:rPr>
        <w:t>وذكر في وجه ذلك ان الاختلاف بين معنى المصدر واسم المصدر وان كان واضحا</w:t>
      </w:r>
      <w:r w:rsidR="00603323" w:rsidRPr="00FD211F">
        <w:rPr>
          <w:sz w:val="36"/>
          <w:szCs w:val="36"/>
          <w:rtl/>
        </w:rPr>
        <w:t xml:space="preserve">، </w:t>
      </w:r>
      <w:r w:rsidRPr="00FD211F">
        <w:rPr>
          <w:sz w:val="36"/>
          <w:szCs w:val="36"/>
          <w:rtl/>
        </w:rPr>
        <w:t>حيث يدل المصدر على الحدث بما هو ملحوظ في مرحل</w:t>
      </w:r>
      <w:r w:rsidR="00EC7EDF" w:rsidRPr="00FD211F">
        <w:rPr>
          <w:sz w:val="36"/>
          <w:szCs w:val="36"/>
          <w:rtl/>
        </w:rPr>
        <w:t xml:space="preserve">ة </w:t>
      </w:r>
      <w:r w:rsidRPr="00FD211F">
        <w:rPr>
          <w:sz w:val="36"/>
          <w:szCs w:val="36"/>
          <w:rtl/>
        </w:rPr>
        <w:t>التكوين</w:t>
      </w:r>
      <w:r w:rsidR="00972951" w:rsidRPr="00FD211F">
        <w:rPr>
          <w:sz w:val="36"/>
          <w:szCs w:val="36"/>
          <w:rtl/>
        </w:rPr>
        <w:t xml:space="preserve"> والايجاد</w:t>
      </w:r>
      <w:r w:rsidR="00603323" w:rsidRPr="00FD211F">
        <w:rPr>
          <w:sz w:val="36"/>
          <w:szCs w:val="36"/>
          <w:rtl/>
        </w:rPr>
        <w:t xml:space="preserve">، </w:t>
      </w:r>
      <w:r w:rsidRPr="00FD211F">
        <w:rPr>
          <w:sz w:val="36"/>
          <w:szCs w:val="36"/>
          <w:rtl/>
        </w:rPr>
        <w:t>فيدل على خصوصي</w:t>
      </w:r>
      <w:r w:rsidR="00EC7EDF" w:rsidRPr="00FD211F">
        <w:rPr>
          <w:sz w:val="36"/>
          <w:szCs w:val="36"/>
          <w:rtl/>
        </w:rPr>
        <w:t xml:space="preserve">ة </w:t>
      </w:r>
      <w:r w:rsidRPr="00FD211F">
        <w:rPr>
          <w:sz w:val="36"/>
          <w:szCs w:val="36"/>
          <w:rtl/>
        </w:rPr>
        <w:t>صدوره من فاعله او حلوله فيه بخلاف اسم المصدر</w:t>
      </w:r>
      <w:r w:rsidR="00603323" w:rsidRPr="00FD211F">
        <w:rPr>
          <w:sz w:val="36"/>
          <w:szCs w:val="36"/>
          <w:rtl/>
        </w:rPr>
        <w:t xml:space="preserve">، </w:t>
      </w:r>
      <w:r w:rsidRPr="00FD211F">
        <w:rPr>
          <w:sz w:val="36"/>
          <w:szCs w:val="36"/>
          <w:rtl/>
        </w:rPr>
        <w:t>ولكن هذه الخصوصيات التي يدل عليها المصدر قد تكون صدوري</w:t>
      </w:r>
      <w:r w:rsidR="00EC7EDF" w:rsidRPr="00FD211F">
        <w:rPr>
          <w:sz w:val="36"/>
          <w:szCs w:val="36"/>
          <w:rtl/>
        </w:rPr>
        <w:t xml:space="preserve">ة </w:t>
      </w:r>
      <w:r w:rsidRPr="00FD211F">
        <w:rPr>
          <w:sz w:val="36"/>
          <w:szCs w:val="36"/>
          <w:rtl/>
        </w:rPr>
        <w:t>كما في الذهاب او الضرب</w:t>
      </w:r>
      <w:r w:rsidR="00603323" w:rsidRPr="00FD211F">
        <w:rPr>
          <w:sz w:val="36"/>
          <w:szCs w:val="36"/>
          <w:rtl/>
        </w:rPr>
        <w:t xml:space="preserve">، </w:t>
      </w:r>
      <w:r w:rsidRPr="00FD211F">
        <w:rPr>
          <w:sz w:val="36"/>
          <w:szCs w:val="36"/>
          <w:rtl/>
        </w:rPr>
        <w:t>وقد تكون حلولي</w:t>
      </w:r>
      <w:r w:rsidR="00EC7EDF" w:rsidRPr="00FD211F">
        <w:rPr>
          <w:sz w:val="36"/>
          <w:szCs w:val="36"/>
          <w:rtl/>
        </w:rPr>
        <w:t xml:space="preserve">ة </w:t>
      </w:r>
      <w:r w:rsidRPr="00FD211F">
        <w:rPr>
          <w:sz w:val="36"/>
          <w:szCs w:val="36"/>
          <w:rtl/>
        </w:rPr>
        <w:t>كما في الموت</w:t>
      </w:r>
      <w:r w:rsidR="00603323" w:rsidRPr="00FD211F">
        <w:rPr>
          <w:sz w:val="36"/>
          <w:szCs w:val="36"/>
          <w:rtl/>
        </w:rPr>
        <w:t xml:space="preserve">، </w:t>
      </w:r>
      <w:r w:rsidRPr="00FD211F">
        <w:rPr>
          <w:sz w:val="36"/>
          <w:szCs w:val="36"/>
          <w:rtl/>
        </w:rPr>
        <w:t>فلايمكن ان يكون الدال عليها هيئ</w:t>
      </w:r>
      <w:r w:rsidR="00EC7EDF" w:rsidRPr="00FD211F">
        <w:rPr>
          <w:sz w:val="36"/>
          <w:szCs w:val="36"/>
          <w:rtl/>
        </w:rPr>
        <w:t xml:space="preserve">ة </w:t>
      </w:r>
      <w:r w:rsidRPr="00FD211F">
        <w:rPr>
          <w:sz w:val="36"/>
          <w:szCs w:val="36"/>
          <w:rtl/>
        </w:rPr>
        <w:t>المصدر لان وضعها بإزاء معناها يكون بالوضع النوعي</w:t>
      </w:r>
      <w:r w:rsidR="00603323" w:rsidRPr="00FD211F">
        <w:rPr>
          <w:sz w:val="36"/>
          <w:szCs w:val="36"/>
          <w:rtl/>
        </w:rPr>
        <w:t xml:space="preserve">، </w:t>
      </w:r>
      <w:r w:rsidRPr="00FD211F">
        <w:rPr>
          <w:sz w:val="36"/>
          <w:szCs w:val="36"/>
          <w:rtl/>
        </w:rPr>
        <w:t>فلامحال</w:t>
      </w:r>
      <w:r w:rsidR="00EC7EDF" w:rsidRPr="00FD211F">
        <w:rPr>
          <w:sz w:val="36"/>
          <w:szCs w:val="36"/>
          <w:rtl/>
        </w:rPr>
        <w:t xml:space="preserve">ة </w:t>
      </w:r>
      <w:r w:rsidRPr="00FD211F">
        <w:rPr>
          <w:sz w:val="36"/>
          <w:szCs w:val="36"/>
          <w:rtl/>
        </w:rPr>
        <w:t>يكون معناها واحدا في جميع المصادر</w:t>
      </w:r>
      <w:r w:rsidR="00603323" w:rsidRPr="00FD211F">
        <w:rPr>
          <w:sz w:val="36"/>
          <w:szCs w:val="36"/>
          <w:rtl/>
        </w:rPr>
        <w:t xml:space="preserve">، </w:t>
      </w:r>
      <w:r w:rsidRPr="00FD211F">
        <w:rPr>
          <w:sz w:val="36"/>
          <w:szCs w:val="36"/>
          <w:rtl/>
        </w:rPr>
        <w:t>مضافا الى ان هذه الخصوصي</w:t>
      </w:r>
      <w:r w:rsidR="00EC7EDF" w:rsidRPr="00FD211F">
        <w:rPr>
          <w:sz w:val="36"/>
          <w:szCs w:val="36"/>
          <w:rtl/>
        </w:rPr>
        <w:t xml:space="preserve">ة </w:t>
      </w:r>
      <w:r w:rsidRPr="00FD211F">
        <w:rPr>
          <w:sz w:val="36"/>
          <w:szCs w:val="36"/>
          <w:rtl/>
        </w:rPr>
        <w:t>حيث تكون مستفاد من الافعال والمشتقات الوصفي</w:t>
      </w:r>
      <w:r w:rsidR="00EC7EDF" w:rsidRPr="00FD211F">
        <w:rPr>
          <w:sz w:val="36"/>
          <w:szCs w:val="36"/>
          <w:rtl/>
        </w:rPr>
        <w:t xml:space="preserve">ة </w:t>
      </w:r>
      <w:r w:rsidRPr="00FD211F">
        <w:rPr>
          <w:sz w:val="36"/>
          <w:szCs w:val="36"/>
          <w:rtl/>
        </w:rPr>
        <w:t>أيضا فيكشف عن كونها داخل</w:t>
      </w:r>
      <w:r w:rsidR="00EC7EDF" w:rsidRPr="00FD211F">
        <w:rPr>
          <w:sz w:val="36"/>
          <w:szCs w:val="36"/>
          <w:rtl/>
        </w:rPr>
        <w:t xml:space="preserve">ة </w:t>
      </w:r>
      <w:r w:rsidRPr="00FD211F">
        <w:rPr>
          <w:sz w:val="36"/>
          <w:szCs w:val="36"/>
          <w:rtl/>
        </w:rPr>
        <w:t>في مدلول ماد</w:t>
      </w:r>
      <w:r w:rsidR="00EC7EDF" w:rsidRPr="00FD211F">
        <w:rPr>
          <w:sz w:val="36"/>
          <w:szCs w:val="36"/>
          <w:rtl/>
        </w:rPr>
        <w:t xml:space="preserve">ة </w:t>
      </w:r>
      <w:r w:rsidRPr="00FD211F">
        <w:rPr>
          <w:sz w:val="36"/>
          <w:szCs w:val="36"/>
          <w:rtl/>
        </w:rPr>
        <w:t>المصدر دون هيئته لعدم انحفاظ هيئ</w:t>
      </w:r>
      <w:r w:rsidR="00EC7EDF" w:rsidRPr="00FD211F">
        <w:rPr>
          <w:sz w:val="36"/>
          <w:szCs w:val="36"/>
          <w:rtl/>
        </w:rPr>
        <w:t xml:space="preserve">ة </w:t>
      </w:r>
      <w:r w:rsidRPr="00FD211F">
        <w:rPr>
          <w:sz w:val="36"/>
          <w:szCs w:val="36"/>
          <w:rtl/>
        </w:rPr>
        <w:t>المصدر في تلك الافعال والمشتقات</w:t>
      </w:r>
      <w:r w:rsidR="009C58C8" w:rsidRPr="00FD211F">
        <w:rPr>
          <w:rStyle w:val="a6"/>
          <w:sz w:val="36"/>
          <w:szCs w:val="36"/>
          <w:rtl/>
        </w:rPr>
        <w:t>(</w:t>
      </w:r>
      <w:r w:rsidR="009C58C8" w:rsidRPr="00FD211F">
        <w:rPr>
          <w:rStyle w:val="a6"/>
          <w:sz w:val="36"/>
          <w:szCs w:val="36"/>
          <w:rtl/>
        </w:rPr>
        <w:footnoteReference w:id="240"/>
      </w:r>
      <w:r w:rsidR="009C58C8" w:rsidRPr="00FD211F">
        <w:rPr>
          <w:rStyle w:val="a6"/>
          <w:sz w:val="36"/>
          <w:szCs w:val="36"/>
          <w:rtl/>
        </w:rPr>
        <w:t>)</w:t>
      </w:r>
      <w:r w:rsidRPr="00FD211F">
        <w:rPr>
          <w:sz w:val="36"/>
          <w:szCs w:val="36"/>
          <w:rtl/>
        </w:rPr>
        <w:t xml:space="preserve">. </w:t>
      </w:r>
    </w:p>
    <w:p w14:paraId="6B370F13" w14:textId="77777777" w:rsidR="00556BC0" w:rsidRPr="00FD211F" w:rsidRDefault="00363F1F" w:rsidP="009C58C8">
      <w:pPr>
        <w:ind w:left="0" w:firstLine="227"/>
        <w:jc w:val="both"/>
        <w:rPr>
          <w:sz w:val="36"/>
          <w:szCs w:val="36"/>
          <w:rtl/>
        </w:rPr>
      </w:pPr>
      <w:r w:rsidRPr="00FD211F">
        <w:rPr>
          <w:sz w:val="36"/>
          <w:szCs w:val="36"/>
          <w:rtl/>
        </w:rPr>
        <w:t xml:space="preserve">ويلاحظ عليه </w:t>
      </w:r>
      <w:r w:rsidR="00556BC0" w:rsidRPr="00FD211F">
        <w:rPr>
          <w:sz w:val="36"/>
          <w:szCs w:val="36"/>
          <w:rtl/>
        </w:rPr>
        <w:t>ان الظاهر عرفا</w:t>
      </w:r>
      <w:r w:rsidR="00F42CA6" w:rsidRPr="00FD211F">
        <w:rPr>
          <w:sz w:val="36"/>
          <w:szCs w:val="36"/>
          <w:rtl/>
        </w:rPr>
        <w:t xml:space="preserve"> هو كون مدلول الماد</w:t>
      </w:r>
      <w:r w:rsidR="00EC7EDF" w:rsidRPr="00FD211F">
        <w:rPr>
          <w:sz w:val="36"/>
          <w:szCs w:val="36"/>
          <w:rtl/>
        </w:rPr>
        <w:t xml:space="preserve">ة </w:t>
      </w:r>
      <w:r w:rsidR="00F42CA6" w:rsidRPr="00FD211F">
        <w:rPr>
          <w:sz w:val="36"/>
          <w:szCs w:val="36"/>
          <w:rtl/>
        </w:rPr>
        <w:t>مشتركا</w:t>
      </w:r>
      <w:r w:rsidR="00556BC0" w:rsidRPr="00FD211F">
        <w:rPr>
          <w:sz w:val="36"/>
          <w:szCs w:val="36"/>
          <w:rtl/>
        </w:rPr>
        <w:t xml:space="preserve"> بين اسم المصدر والمصدر والافعال والمشتقات الوصفي</w:t>
      </w:r>
      <w:r w:rsidR="00EC7EDF" w:rsidRPr="00FD211F">
        <w:rPr>
          <w:sz w:val="36"/>
          <w:szCs w:val="36"/>
          <w:rtl/>
        </w:rPr>
        <w:t>ة</w:t>
      </w:r>
      <w:r w:rsidR="00603323" w:rsidRPr="00FD211F">
        <w:rPr>
          <w:sz w:val="36"/>
          <w:szCs w:val="36"/>
          <w:rtl/>
        </w:rPr>
        <w:t xml:space="preserve">، </w:t>
      </w:r>
      <w:r w:rsidR="00556BC0" w:rsidRPr="00FD211F">
        <w:rPr>
          <w:sz w:val="36"/>
          <w:szCs w:val="36"/>
          <w:rtl/>
        </w:rPr>
        <w:t>حيث أن كون الفرق بين معنى المصدر واسم المصدر في مدلول مادتهما خلاف المرتكز العرفي</w:t>
      </w:r>
      <w:r w:rsidR="00603323" w:rsidRPr="00FD211F">
        <w:rPr>
          <w:sz w:val="36"/>
          <w:szCs w:val="36"/>
          <w:rtl/>
        </w:rPr>
        <w:t xml:space="preserve">، </w:t>
      </w:r>
      <w:r w:rsidR="00556BC0" w:rsidRPr="00FD211F">
        <w:rPr>
          <w:sz w:val="36"/>
          <w:szCs w:val="36"/>
          <w:rtl/>
        </w:rPr>
        <w:t>وعليه فحيث انه لايدل اسم المصدر على خصوصي</w:t>
      </w:r>
      <w:r w:rsidR="00EC7EDF" w:rsidRPr="00FD211F">
        <w:rPr>
          <w:sz w:val="36"/>
          <w:szCs w:val="36"/>
          <w:rtl/>
        </w:rPr>
        <w:t xml:space="preserve">ة </w:t>
      </w:r>
      <w:r w:rsidR="00556BC0" w:rsidRPr="00FD211F">
        <w:rPr>
          <w:sz w:val="36"/>
          <w:szCs w:val="36"/>
          <w:rtl/>
        </w:rPr>
        <w:t>صدور الحدث من فاعله او حلوله فيه</w:t>
      </w:r>
      <w:r w:rsidR="00603323" w:rsidRPr="00FD211F">
        <w:rPr>
          <w:sz w:val="36"/>
          <w:szCs w:val="36"/>
          <w:rtl/>
        </w:rPr>
        <w:t xml:space="preserve">، </w:t>
      </w:r>
      <w:r w:rsidR="00556BC0" w:rsidRPr="00FD211F">
        <w:rPr>
          <w:sz w:val="36"/>
          <w:szCs w:val="36"/>
          <w:rtl/>
        </w:rPr>
        <w:t>فينكشف ان الدالّ عليها هو هيئ</w:t>
      </w:r>
      <w:r w:rsidR="00EC7EDF" w:rsidRPr="00FD211F">
        <w:rPr>
          <w:sz w:val="36"/>
          <w:szCs w:val="36"/>
          <w:rtl/>
        </w:rPr>
        <w:t xml:space="preserve">ة </w:t>
      </w:r>
      <w:r w:rsidR="00556BC0" w:rsidRPr="00FD211F">
        <w:rPr>
          <w:sz w:val="36"/>
          <w:szCs w:val="36"/>
          <w:rtl/>
        </w:rPr>
        <w:t>المصدر وهيئ</w:t>
      </w:r>
      <w:r w:rsidR="00EC7EDF" w:rsidRPr="00FD211F">
        <w:rPr>
          <w:sz w:val="36"/>
          <w:szCs w:val="36"/>
          <w:rtl/>
        </w:rPr>
        <w:t xml:space="preserve">ة </w:t>
      </w:r>
      <w:r w:rsidR="00556BC0" w:rsidRPr="00FD211F">
        <w:rPr>
          <w:sz w:val="36"/>
          <w:szCs w:val="36"/>
          <w:rtl/>
        </w:rPr>
        <w:t>الأفعال والمشتقات.</w:t>
      </w:r>
    </w:p>
    <w:p w14:paraId="3A4A2D76" w14:textId="77777777" w:rsidR="000C5BBA" w:rsidRPr="00FD211F" w:rsidRDefault="00F42CA6" w:rsidP="009C58C8">
      <w:pPr>
        <w:ind w:left="0" w:firstLine="227"/>
        <w:jc w:val="both"/>
        <w:rPr>
          <w:sz w:val="36"/>
          <w:szCs w:val="36"/>
          <w:rtl/>
        </w:rPr>
      </w:pPr>
      <w:r w:rsidRPr="00FD211F">
        <w:rPr>
          <w:sz w:val="36"/>
          <w:szCs w:val="36"/>
          <w:rtl/>
        </w:rPr>
        <w:t>و</w:t>
      </w:r>
      <w:r w:rsidR="00363F1F" w:rsidRPr="00FD211F">
        <w:rPr>
          <w:sz w:val="36"/>
          <w:szCs w:val="36"/>
          <w:rtl/>
        </w:rPr>
        <w:t>اما</w:t>
      </w:r>
      <w:r w:rsidRPr="00FD211F">
        <w:rPr>
          <w:sz w:val="36"/>
          <w:szCs w:val="36"/>
          <w:rtl/>
        </w:rPr>
        <w:t>ما ذكره من ان</w:t>
      </w:r>
      <w:r w:rsidR="00B253CE" w:rsidRPr="00FD211F">
        <w:rPr>
          <w:sz w:val="36"/>
          <w:szCs w:val="36"/>
          <w:rtl/>
        </w:rPr>
        <w:t xml:space="preserve"> </w:t>
      </w:r>
      <w:r w:rsidR="00556BC0" w:rsidRPr="00FD211F">
        <w:rPr>
          <w:sz w:val="36"/>
          <w:szCs w:val="36"/>
          <w:rtl/>
        </w:rPr>
        <w:t>الخصوصي</w:t>
      </w:r>
      <w:r w:rsidR="00EC7EDF" w:rsidRPr="00FD211F">
        <w:rPr>
          <w:sz w:val="36"/>
          <w:szCs w:val="36"/>
          <w:rtl/>
        </w:rPr>
        <w:t xml:space="preserve">ة </w:t>
      </w:r>
      <w:r w:rsidR="00556BC0" w:rsidRPr="00FD211F">
        <w:rPr>
          <w:sz w:val="36"/>
          <w:szCs w:val="36"/>
          <w:rtl/>
        </w:rPr>
        <w:t>التي يدل عليها المصدر</w:t>
      </w:r>
      <w:r w:rsidRPr="00FD211F">
        <w:rPr>
          <w:sz w:val="36"/>
          <w:szCs w:val="36"/>
          <w:rtl/>
        </w:rPr>
        <w:t>مختلف</w:t>
      </w:r>
      <w:r w:rsidR="00EC7EDF" w:rsidRPr="00FD211F">
        <w:rPr>
          <w:sz w:val="36"/>
          <w:szCs w:val="36"/>
          <w:rtl/>
        </w:rPr>
        <w:t>ة</w:t>
      </w:r>
      <w:r w:rsidR="00603323" w:rsidRPr="00FD211F">
        <w:rPr>
          <w:sz w:val="36"/>
          <w:szCs w:val="36"/>
          <w:rtl/>
        </w:rPr>
        <w:t xml:space="preserve">، </w:t>
      </w:r>
      <w:r w:rsidR="00556BC0" w:rsidRPr="00FD211F">
        <w:rPr>
          <w:sz w:val="36"/>
          <w:szCs w:val="36"/>
          <w:rtl/>
        </w:rPr>
        <w:t>حيث يكون الذهاب مثلا دالا على خصوصي</w:t>
      </w:r>
      <w:r w:rsidR="00EC7EDF" w:rsidRPr="00FD211F">
        <w:rPr>
          <w:sz w:val="36"/>
          <w:szCs w:val="36"/>
          <w:rtl/>
        </w:rPr>
        <w:t xml:space="preserve">ة </w:t>
      </w:r>
      <w:r w:rsidR="00556BC0" w:rsidRPr="00FD211F">
        <w:rPr>
          <w:sz w:val="36"/>
          <w:szCs w:val="36"/>
          <w:rtl/>
        </w:rPr>
        <w:t>الصدور</w:t>
      </w:r>
      <w:r w:rsidR="00603323" w:rsidRPr="00FD211F">
        <w:rPr>
          <w:sz w:val="36"/>
          <w:szCs w:val="36"/>
          <w:rtl/>
        </w:rPr>
        <w:t xml:space="preserve">، </w:t>
      </w:r>
      <w:r w:rsidR="00556BC0" w:rsidRPr="00FD211F">
        <w:rPr>
          <w:sz w:val="36"/>
          <w:szCs w:val="36"/>
          <w:rtl/>
        </w:rPr>
        <w:t>والموت دال على خصوصي</w:t>
      </w:r>
      <w:r w:rsidR="00EC7EDF" w:rsidRPr="00FD211F">
        <w:rPr>
          <w:sz w:val="36"/>
          <w:szCs w:val="36"/>
          <w:rtl/>
        </w:rPr>
        <w:t xml:space="preserve">ة </w:t>
      </w:r>
      <w:r w:rsidR="00556BC0" w:rsidRPr="00FD211F">
        <w:rPr>
          <w:sz w:val="36"/>
          <w:szCs w:val="36"/>
          <w:rtl/>
        </w:rPr>
        <w:t>الحلول</w:t>
      </w:r>
      <w:r w:rsidR="00603323" w:rsidRPr="00FD211F">
        <w:rPr>
          <w:sz w:val="36"/>
          <w:szCs w:val="36"/>
          <w:rtl/>
        </w:rPr>
        <w:t xml:space="preserve">، </w:t>
      </w:r>
      <w:r w:rsidRPr="00FD211F">
        <w:rPr>
          <w:sz w:val="36"/>
          <w:szCs w:val="36"/>
          <w:rtl/>
        </w:rPr>
        <w:t>فهذا ينافي وضع هيئ</w:t>
      </w:r>
      <w:r w:rsidR="00EC7EDF" w:rsidRPr="00FD211F">
        <w:rPr>
          <w:sz w:val="36"/>
          <w:szCs w:val="36"/>
          <w:rtl/>
        </w:rPr>
        <w:t xml:space="preserve">ة </w:t>
      </w:r>
      <w:r w:rsidRPr="00FD211F">
        <w:rPr>
          <w:sz w:val="36"/>
          <w:szCs w:val="36"/>
          <w:rtl/>
        </w:rPr>
        <w:t>المصدر عليهالأن وضعها نوعي فلايلحظ فيه خصوصي</w:t>
      </w:r>
      <w:r w:rsidR="00EC7EDF" w:rsidRPr="00FD211F">
        <w:rPr>
          <w:sz w:val="36"/>
          <w:szCs w:val="36"/>
          <w:rtl/>
        </w:rPr>
        <w:t xml:space="preserve">ة </w:t>
      </w:r>
      <w:r w:rsidRPr="00FD211F">
        <w:rPr>
          <w:sz w:val="36"/>
          <w:szCs w:val="36"/>
          <w:rtl/>
        </w:rPr>
        <w:t>الماد</w:t>
      </w:r>
      <w:r w:rsidR="00EC7EDF" w:rsidRPr="00FD211F">
        <w:rPr>
          <w:sz w:val="36"/>
          <w:szCs w:val="36"/>
          <w:rtl/>
        </w:rPr>
        <w:t>ة</w:t>
      </w:r>
      <w:r w:rsidR="00A61BAE" w:rsidRPr="00FD211F">
        <w:rPr>
          <w:sz w:val="36"/>
          <w:szCs w:val="36"/>
          <w:rtl/>
        </w:rPr>
        <w:t>.</w:t>
      </w:r>
      <w:r w:rsidRPr="00FD211F">
        <w:rPr>
          <w:sz w:val="36"/>
          <w:szCs w:val="36"/>
          <w:rtl/>
        </w:rPr>
        <w:t xml:space="preserve"> </w:t>
      </w:r>
    </w:p>
    <w:p w14:paraId="4ABECE86" w14:textId="77777777" w:rsidR="00F42CA6" w:rsidRPr="00FD211F" w:rsidRDefault="00F42CA6" w:rsidP="009C58C8">
      <w:pPr>
        <w:ind w:left="0" w:firstLine="227"/>
        <w:jc w:val="both"/>
        <w:rPr>
          <w:sz w:val="36"/>
          <w:szCs w:val="36"/>
          <w:rtl/>
        </w:rPr>
      </w:pPr>
      <w:r w:rsidRPr="00FD211F">
        <w:rPr>
          <w:sz w:val="36"/>
          <w:szCs w:val="36"/>
          <w:rtl/>
        </w:rPr>
        <w:t>ففيه</w:t>
      </w:r>
      <w:r w:rsidR="00556BC0" w:rsidRPr="00FD211F">
        <w:rPr>
          <w:sz w:val="36"/>
          <w:szCs w:val="36"/>
          <w:rtl/>
        </w:rPr>
        <w:t xml:space="preserve"> </w:t>
      </w:r>
      <w:r w:rsidRPr="00FD211F">
        <w:rPr>
          <w:b/>
          <w:bCs/>
          <w:sz w:val="36"/>
          <w:szCs w:val="36"/>
          <w:rtl/>
        </w:rPr>
        <w:t>اولا</w:t>
      </w:r>
      <w:r w:rsidRPr="00FD211F">
        <w:rPr>
          <w:sz w:val="36"/>
          <w:szCs w:val="36"/>
          <w:rtl/>
        </w:rPr>
        <w:t>:</w:t>
      </w:r>
      <w:r w:rsidR="00556BC0" w:rsidRPr="00FD211F">
        <w:rPr>
          <w:sz w:val="36"/>
          <w:szCs w:val="36"/>
          <w:rtl/>
        </w:rPr>
        <w:t>انه يمكن وضع هيئ</w:t>
      </w:r>
      <w:r w:rsidR="00EC7EDF" w:rsidRPr="00FD211F">
        <w:rPr>
          <w:sz w:val="36"/>
          <w:szCs w:val="36"/>
          <w:rtl/>
        </w:rPr>
        <w:t xml:space="preserve">ة </w:t>
      </w:r>
      <w:r w:rsidR="00556BC0" w:rsidRPr="00FD211F">
        <w:rPr>
          <w:sz w:val="36"/>
          <w:szCs w:val="36"/>
          <w:rtl/>
        </w:rPr>
        <w:t>المصدر لخصوصي</w:t>
      </w:r>
      <w:r w:rsidR="00EC7EDF" w:rsidRPr="00FD211F">
        <w:rPr>
          <w:sz w:val="36"/>
          <w:szCs w:val="36"/>
          <w:rtl/>
        </w:rPr>
        <w:t xml:space="preserve">ة </w:t>
      </w:r>
      <w:r w:rsidR="00556BC0" w:rsidRPr="00FD211F">
        <w:rPr>
          <w:sz w:val="36"/>
          <w:szCs w:val="36"/>
          <w:rtl/>
        </w:rPr>
        <w:t>قيام الحدث بفاعله</w:t>
      </w:r>
      <w:r w:rsidR="00603323" w:rsidRPr="00FD211F">
        <w:rPr>
          <w:sz w:val="36"/>
          <w:szCs w:val="36"/>
          <w:rtl/>
        </w:rPr>
        <w:t xml:space="preserve">، </w:t>
      </w:r>
      <w:r w:rsidR="00556BC0" w:rsidRPr="00FD211F">
        <w:rPr>
          <w:sz w:val="36"/>
          <w:szCs w:val="36"/>
          <w:rtl/>
        </w:rPr>
        <w:t>ويعنى بالفاعل من يعرضه الحدث عرفا دون من يقع عليه</w:t>
      </w:r>
      <w:r w:rsidR="00603323" w:rsidRPr="00FD211F">
        <w:rPr>
          <w:sz w:val="36"/>
          <w:szCs w:val="36"/>
          <w:rtl/>
        </w:rPr>
        <w:t xml:space="preserve">، </w:t>
      </w:r>
      <w:r w:rsidR="00556BC0" w:rsidRPr="00FD211F">
        <w:rPr>
          <w:sz w:val="36"/>
          <w:szCs w:val="36"/>
          <w:rtl/>
        </w:rPr>
        <w:t>وتكون خصوصي</w:t>
      </w:r>
      <w:r w:rsidR="00EC7EDF" w:rsidRPr="00FD211F">
        <w:rPr>
          <w:sz w:val="36"/>
          <w:szCs w:val="36"/>
          <w:rtl/>
        </w:rPr>
        <w:t xml:space="preserve">ة </w:t>
      </w:r>
      <w:r w:rsidR="00556BC0" w:rsidRPr="00FD211F">
        <w:rPr>
          <w:sz w:val="36"/>
          <w:szCs w:val="36"/>
          <w:rtl/>
        </w:rPr>
        <w:t>الحلول او الصدور مستفاد</w:t>
      </w:r>
      <w:r w:rsidR="00EC7EDF" w:rsidRPr="00FD211F">
        <w:rPr>
          <w:sz w:val="36"/>
          <w:szCs w:val="36"/>
          <w:rtl/>
        </w:rPr>
        <w:t xml:space="preserve">ة </w:t>
      </w:r>
      <w:r w:rsidR="00556BC0" w:rsidRPr="00FD211F">
        <w:rPr>
          <w:sz w:val="36"/>
          <w:szCs w:val="36"/>
          <w:rtl/>
        </w:rPr>
        <w:t>من دالّ آخر</w:t>
      </w:r>
      <w:r w:rsidR="00603323" w:rsidRPr="00FD211F">
        <w:rPr>
          <w:sz w:val="36"/>
          <w:szCs w:val="36"/>
          <w:rtl/>
        </w:rPr>
        <w:t xml:space="preserve">، </w:t>
      </w:r>
      <w:r w:rsidR="00556BC0" w:rsidRPr="00FD211F">
        <w:rPr>
          <w:sz w:val="36"/>
          <w:szCs w:val="36"/>
          <w:rtl/>
        </w:rPr>
        <w:t>فان حدث الموت يعرض الميت ويكون قيامه به قياما حلوليا</w:t>
      </w:r>
      <w:r w:rsidR="00603323" w:rsidRPr="00FD211F">
        <w:rPr>
          <w:sz w:val="36"/>
          <w:szCs w:val="36"/>
          <w:rtl/>
        </w:rPr>
        <w:t xml:space="preserve">، </w:t>
      </w:r>
      <w:r w:rsidR="00556BC0" w:rsidRPr="00FD211F">
        <w:rPr>
          <w:sz w:val="36"/>
          <w:szCs w:val="36"/>
          <w:rtl/>
        </w:rPr>
        <w:t>وحدث الق</w:t>
      </w:r>
      <w:r w:rsidR="00DC3D30" w:rsidRPr="00FD211F">
        <w:rPr>
          <w:sz w:val="36"/>
          <w:szCs w:val="36"/>
          <w:rtl/>
        </w:rPr>
        <w:t>تل –اذااريدمنه مصدرالفعل المعلوم لامصدرالفعل المجهول-</w:t>
      </w:r>
      <w:r w:rsidR="00556BC0" w:rsidRPr="00FD211F">
        <w:rPr>
          <w:sz w:val="36"/>
          <w:szCs w:val="36"/>
          <w:rtl/>
        </w:rPr>
        <w:t xml:space="preserve"> يعرض القاتل عرفا ويكون قيامه به </w:t>
      </w:r>
      <w:r w:rsidRPr="00FD211F">
        <w:rPr>
          <w:sz w:val="36"/>
          <w:szCs w:val="36"/>
          <w:rtl/>
        </w:rPr>
        <w:t>قياما صدوريا</w:t>
      </w:r>
    </w:p>
    <w:p w14:paraId="1505CF89" w14:textId="77777777" w:rsidR="00556BC0" w:rsidRPr="00FD211F" w:rsidRDefault="00F42CA6" w:rsidP="009C58C8">
      <w:pPr>
        <w:ind w:left="0" w:firstLine="227"/>
        <w:jc w:val="both"/>
        <w:rPr>
          <w:sz w:val="36"/>
          <w:szCs w:val="36"/>
          <w:rtl/>
        </w:rPr>
      </w:pPr>
      <w:r w:rsidRPr="00FD211F">
        <w:rPr>
          <w:b/>
          <w:bCs/>
          <w:sz w:val="36"/>
          <w:szCs w:val="36"/>
          <w:rtl/>
        </w:rPr>
        <w:t>وثانيا</w:t>
      </w:r>
      <w:r w:rsidRPr="00FD211F">
        <w:rPr>
          <w:sz w:val="36"/>
          <w:szCs w:val="36"/>
          <w:rtl/>
        </w:rPr>
        <w:t>: ا</w:t>
      </w:r>
      <w:r w:rsidR="00556BC0" w:rsidRPr="00FD211F">
        <w:rPr>
          <w:sz w:val="36"/>
          <w:szCs w:val="36"/>
          <w:rtl/>
        </w:rPr>
        <w:t>نه لابرهان على وحد</w:t>
      </w:r>
      <w:r w:rsidR="00EC7EDF" w:rsidRPr="00FD211F">
        <w:rPr>
          <w:sz w:val="36"/>
          <w:szCs w:val="36"/>
          <w:rtl/>
        </w:rPr>
        <w:t xml:space="preserve">ة </w:t>
      </w:r>
      <w:r w:rsidR="00556BC0" w:rsidRPr="00FD211F">
        <w:rPr>
          <w:sz w:val="36"/>
          <w:szCs w:val="36"/>
          <w:rtl/>
        </w:rPr>
        <w:t>الوضع في هيئ</w:t>
      </w:r>
      <w:r w:rsidR="00EC7EDF" w:rsidRPr="00FD211F">
        <w:rPr>
          <w:sz w:val="36"/>
          <w:szCs w:val="36"/>
          <w:rtl/>
        </w:rPr>
        <w:t xml:space="preserve">ة </w:t>
      </w:r>
      <w:r w:rsidR="00556BC0" w:rsidRPr="00FD211F">
        <w:rPr>
          <w:sz w:val="36"/>
          <w:szCs w:val="36"/>
          <w:rtl/>
        </w:rPr>
        <w:t>المصدر كي يجب ان نلتزم بكون معناها واحدا</w:t>
      </w:r>
      <w:r w:rsidR="00603323" w:rsidRPr="00FD211F">
        <w:rPr>
          <w:sz w:val="36"/>
          <w:szCs w:val="36"/>
          <w:rtl/>
        </w:rPr>
        <w:t xml:space="preserve">، </w:t>
      </w:r>
      <w:r w:rsidR="00556BC0" w:rsidRPr="00FD211F">
        <w:rPr>
          <w:sz w:val="36"/>
          <w:szCs w:val="36"/>
          <w:rtl/>
        </w:rPr>
        <w:t>خاص</w:t>
      </w:r>
      <w:r w:rsidR="00EC7EDF" w:rsidRPr="00FD211F">
        <w:rPr>
          <w:sz w:val="36"/>
          <w:szCs w:val="36"/>
          <w:rtl/>
        </w:rPr>
        <w:t xml:space="preserve">ة </w:t>
      </w:r>
      <w:r w:rsidR="00556BC0" w:rsidRPr="00FD211F">
        <w:rPr>
          <w:sz w:val="36"/>
          <w:szCs w:val="36"/>
          <w:rtl/>
        </w:rPr>
        <w:t>بعد كون الأوضاع اللغوي</w:t>
      </w:r>
      <w:r w:rsidR="00EC7EDF" w:rsidRPr="00FD211F">
        <w:rPr>
          <w:sz w:val="36"/>
          <w:szCs w:val="36"/>
          <w:rtl/>
        </w:rPr>
        <w:t xml:space="preserve">ة </w:t>
      </w:r>
      <w:r w:rsidR="00556BC0" w:rsidRPr="00FD211F">
        <w:rPr>
          <w:sz w:val="36"/>
          <w:szCs w:val="36"/>
          <w:rtl/>
        </w:rPr>
        <w:t>تعيني</w:t>
      </w:r>
      <w:r w:rsidR="00EC7EDF" w:rsidRPr="00FD211F">
        <w:rPr>
          <w:sz w:val="36"/>
          <w:szCs w:val="36"/>
          <w:rtl/>
        </w:rPr>
        <w:t xml:space="preserve">ة </w:t>
      </w:r>
      <w:r w:rsidR="00556BC0" w:rsidRPr="00FD211F">
        <w:rPr>
          <w:sz w:val="36"/>
          <w:szCs w:val="36"/>
          <w:rtl/>
        </w:rPr>
        <w:t>لاتعييني</w:t>
      </w:r>
      <w:r w:rsidR="00EC7EDF" w:rsidRPr="00FD211F">
        <w:rPr>
          <w:sz w:val="36"/>
          <w:szCs w:val="36"/>
          <w:rtl/>
        </w:rPr>
        <w:t>ة</w:t>
      </w:r>
      <w:r w:rsidR="00603323" w:rsidRPr="00FD211F">
        <w:rPr>
          <w:sz w:val="36"/>
          <w:szCs w:val="36"/>
          <w:rtl/>
        </w:rPr>
        <w:t xml:space="preserve">، </w:t>
      </w:r>
      <w:r w:rsidRPr="00FD211F">
        <w:rPr>
          <w:sz w:val="36"/>
          <w:szCs w:val="36"/>
          <w:rtl/>
        </w:rPr>
        <w:t xml:space="preserve">ولذا ترى أن </w:t>
      </w:r>
      <w:r w:rsidR="00556BC0" w:rsidRPr="00FD211F">
        <w:rPr>
          <w:sz w:val="36"/>
          <w:szCs w:val="36"/>
          <w:rtl/>
        </w:rPr>
        <w:t>هيئ</w:t>
      </w:r>
      <w:r w:rsidR="00EC7EDF" w:rsidRPr="00FD211F">
        <w:rPr>
          <w:sz w:val="36"/>
          <w:szCs w:val="36"/>
          <w:rtl/>
        </w:rPr>
        <w:t xml:space="preserve">ة </w:t>
      </w:r>
      <w:r w:rsidR="00556BC0" w:rsidRPr="00FD211F">
        <w:rPr>
          <w:sz w:val="36"/>
          <w:szCs w:val="36"/>
          <w:rtl/>
        </w:rPr>
        <w:t>التاجر تدلّ على مهن</w:t>
      </w:r>
      <w:r w:rsidR="00EC7EDF" w:rsidRPr="00FD211F">
        <w:rPr>
          <w:sz w:val="36"/>
          <w:szCs w:val="36"/>
          <w:rtl/>
        </w:rPr>
        <w:t xml:space="preserve">ة </w:t>
      </w:r>
      <w:r w:rsidR="00556BC0" w:rsidRPr="00FD211F">
        <w:rPr>
          <w:sz w:val="36"/>
          <w:szCs w:val="36"/>
          <w:rtl/>
        </w:rPr>
        <w:t>التجار</w:t>
      </w:r>
      <w:r w:rsidR="00EC7EDF" w:rsidRPr="00FD211F">
        <w:rPr>
          <w:sz w:val="36"/>
          <w:szCs w:val="36"/>
          <w:rtl/>
        </w:rPr>
        <w:t xml:space="preserve">ة </w:t>
      </w:r>
      <w:r w:rsidR="00556BC0" w:rsidRPr="00FD211F">
        <w:rPr>
          <w:sz w:val="36"/>
          <w:szCs w:val="36"/>
          <w:rtl/>
        </w:rPr>
        <w:t>بخلاف هيئ</w:t>
      </w:r>
      <w:r w:rsidR="00EC7EDF" w:rsidRPr="00FD211F">
        <w:rPr>
          <w:sz w:val="36"/>
          <w:szCs w:val="36"/>
          <w:rtl/>
        </w:rPr>
        <w:t xml:space="preserve">ة </w:t>
      </w:r>
      <w:r w:rsidR="00556BC0" w:rsidRPr="00FD211F">
        <w:rPr>
          <w:sz w:val="36"/>
          <w:szCs w:val="36"/>
          <w:rtl/>
        </w:rPr>
        <w:t>الآكل والشارب ونحوهما</w:t>
      </w:r>
      <w:r w:rsidR="00603323" w:rsidRPr="00FD211F">
        <w:rPr>
          <w:sz w:val="36"/>
          <w:szCs w:val="36"/>
          <w:rtl/>
        </w:rPr>
        <w:t xml:space="preserve">، </w:t>
      </w:r>
      <w:r w:rsidR="00556BC0" w:rsidRPr="00FD211F">
        <w:rPr>
          <w:sz w:val="36"/>
          <w:szCs w:val="36"/>
          <w:rtl/>
        </w:rPr>
        <w:t>مع ان الهيئ</w:t>
      </w:r>
      <w:r w:rsidR="00EC7EDF" w:rsidRPr="00FD211F">
        <w:rPr>
          <w:sz w:val="36"/>
          <w:szCs w:val="36"/>
          <w:rtl/>
        </w:rPr>
        <w:t xml:space="preserve">ة </w:t>
      </w:r>
      <w:r w:rsidR="00556BC0" w:rsidRPr="00FD211F">
        <w:rPr>
          <w:sz w:val="36"/>
          <w:szCs w:val="36"/>
          <w:rtl/>
        </w:rPr>
        <w:t>في الجميع هيئ</w:t>
      </w:r>
      <w:r w:rsidR="00EC7EDF" w:rsidRPr="00FD211F">
        <w:rPr>
          <w:sz w:val="36"/>
          <w:szCs w:val="36"/>
          <w:rtl/>
        </w:rPr>
        <w:t xml:space="preserve">ة </w:t>
      </w:r>
      <w:r w:rsidR="00556BC0" w:rsidRPr="00FD211F">
        <w:rPr>
          <w:sz w:val="36"/>
          <w:szCs w:val="36"/>
          <w:rtl/>
        </w:rPr>
        <w:t>اسم الفاعل.</w:t>
      </w:r>
    </w:p>
    <w:p w14:paraId="1AF780FB" w14:textId="77777777" w:rsidR="000C5BBA" w:rsidRPr="00FD211F" w:rsidRDefault="00556BC0" w:rsidP="009C58C8">
      <w:pPr>
        <w:ind w:left="0" w:firstLine="227"/>
        <w:jc w:val="both"/>
        <w:rPr>
          <w:sz w:val="36"/>
          <w:szCs w:val="36"/>
          <w:rtl/>
        </w:rPr>
      </w:pPr>
      <w:r w:rsidRPr="00FD211F">
        <w:rPr>
          <w:sz w:val="36"/>
          <w:szCs w:val="36"/>
          <w:rtl/>
        </w:rPr>
        <w:t>واما ما ذكره من كون خصوصي</w:t>
      </w:r>
      <w:r w:rsidR="00EC7EDF" w:rsidRPr="00FD211F">
        <w:rPr>
          <w:sz w:val="36"/>
          <w:szCs w:val="36"/>
          <w:rtl/>
        </w:rPr>
        <w:t xml:space="preserve">ة </w:t>
      </w:r>
      <w:r w:rsidRPr="00FD211F">
        <w:rPr>
          <w:sz w:val="36"/>
          <w:szCs w:val="36"/>
          <w:rtl/>
        </w:rPr>
        <w:t>الصدور او الحلول مستفاد</w:t>
      </w:r>
      <w:r w:rsidR="00EC7EDF" w:rsidRPr="00FD211F">
        <w:rPr>
          <w:sz w:val="36"/>
          <w:szCs w:val="36"/>
          <w:rtl/>
        </w:rPr>
        <w:t xml:space="preserve">ة </w:t>
      </w:r>
      <w:r w:rsidRPr="00FD211F">
        <w:rPr>
          <w:sz w:val="36"/>
          <w:szCs w:val="36"/>
          <w:rtl/>
        </w:rPr>
        <w:t>من الأفعال والمشتقات الوصفي</w:t>
      </w:r>
      <w:r w:rsidR="00EC7EDF" w:rsidRPr="00FD211F">
        <w:rPr>
          <w:sz w:val="36"/>
          <w:szCs w:val="36"/>
          <w:rtl/>
        </w:rPr>
        <w:t>ة</w:t>
      </w:r>
      <w:r w:rsidR="00603323" w:rsidRPr="00FD211F">
        <w:rPr>
          <w:sz w:val="36"/>
          <w:szCs w:val="36"/>
          <w:rtl/>
        </w:rPr>
        <w:t xml:space="preserve">، </w:t>
      </w:r>
      <w:r w:rsidR="00F42CA6" w:rsidRPr="00FD211F">
        <w:rPr>
          <w:sz w:val="36"/>
          <w:szCs w:val="36"/>
          <w:rtl/>
        </w:rPr>
        <w:t>فيكشف ذلك عن عدم استفاد</w:t>
      </w:r>
      <w:r w:rsidR="00EC7EDF" w:rsidRPr="00FD211F">
        <w:rPr>
          <w:sz w:val="36"/>
          <w:szCs w:val="36"/>
          <w:rtl/>
        </w:rPr>
        <w:t xml:space="preserve">ة </w:t>
      </w:r>
      <w:r w:rsidR="00F42CA6" w:rsidRPr="00FD211F">
        <w:rPr>
          <w:sz w:val="36"/>
          <w:szCs w:val="36"/>
          <w:rtl/>
        </w:rPr>
        <w:t>هاتين الخصوصيتين من هيئ</w:t>
      </w:r>
      <w:r w:rsidR="00EC7EDF" w:rsidRPr="00FD211F">
        <w:rPr>
          <w:sz w:val="36"/>
          <w:szCs w:val="36"/>
          <w:rtl/>
        </w:rPr>
        <w:t xml:space="preserve">ة </w:t>
      </w:r>
      <w:r w:rsidR="00F42CA6" w:rsidRPr="00FD211F">
        <w:rPr>
          <w:sz w:val="36"/>
          <w:szCs w:val="36"/>
          <w:rtl/>
        </w:rPr>
        <w:t xml:space="preserve">المصدر </w:t>
      </w:r>
      <w:r w:rsidR="0064768B" w:rsidRPr="00FD211F">
        <w:rPr>
          <w:sz w:val="36"/>
          <w:szCs w:val="36"/>
          <w:rtl/>
        </w:rPr>
        <w:t>لعدم انحفاظها في ضمن الافعال والمشتقات.</w:t>
      </w:r>
    </w:p>
    <w:p w14:paraId="241BD83B" w14:textId="77777777" w:rsidR="000C5BBA" w:rsidRPr="00FD211F" w:rsidRDefault="00556BC0" w:rsidP="009C58C8">
      <w:pPr>
        <w:ind w:left="0" w:firstLine="227"/>
        <w:jc w:val="both"/>
        <w:rPr>
          <w:sz w:val="36"/>
          <w:szCs w:val="36"/>
          <w:rtl/>
        </w:rPr>
      </w:pPr>
      <w:r w:rsidRPr="00FD211F">
        <w:rPr>
          <w:sz w:val="36"/>
          <w:szCs w:val="36"/>
          <w:rtl/>
        </w:rPr>
        <w:t>ف</w:t>
      </w:r>
      <w:r w:rsidR="0064768B" w:rsidRPr="00FD211F">
        <w:rPr>
          <w:sz w:val="36"/>
          <w:szCs w:val="36"/>
          <w:rtl/>
        </w:rPr>
        <w:t xml:space="preserve">فيه أنه </w:t>
      </w:r>
      <w:r w:rsidRPr="00FD211F">
        <w:rPr>
          <w:sz w:val="36"/>
          <w:szCs w:val="36"/>
          <w:rtl/>
        </w:rPr>
        <w:t>يمكن ان يكون ذلك لأجل اشتقاق</w:t>
      </w:r>
      <w:r w:rsidR="0064768B" w:rsidRPr="00FD211F">
        <w:rPr>
          <w:sz w:val="36"/>
          <w:szCs w:val="36"/>
          <w:rtl/>
        </w:rPr>
        <w:t xml:space="preserve"> الافعال والمشتقات</w:t>
      </w:r>
      <w:r w:rsidRPr="00FD211F">
        <w:rPr>
          <w:sz w:val="36"/>
          <w:szCs w:val="36"/>
          <w:rtl/>
        </w:rPr>
        <w:t xml:space="preserve"> من المصدر</w:t>
      </w:r>
      <w:r w:rsidR="00603323" w:rsidRPr="00FD211F">
        <w:rPr>
          <w:sz w:val="36"/>
          <w:szCs w:val="36"/>
          <w:rtl/>
        </w:rPr>
        <w:t xml:space="preserve">، </w:t>
      </w:r>
      <w:r w:rsidRPr="00FD211F">
        <w:rPr>
          <w:sz w:val="36"/>
          <w:szCs w:val="36"/>
          <w:rtl/>
        </w:rPr>
        <w:t>وبذلك ينحفظ مدلول هيئ</w:t>
      </w:r>
      <w:r w:rsidR="00EC7EDF" w:rsidRPr="00FD211F">
        <w:rPr>
          <w:sz w:val="36"/>
          <w:szCs w:val="36"/>
          <w:rtl/>
        </w:rPr>
        <w:t xml:space="preserve">ة </w:t>
      </w:r>
      <w:r w:rsidRPr="00FD211F">
        <w:rPr>
          <w:sz w:val="36"/>
          <w:szCs w:val="36"/>
          <w:rtl/>
        </w:rPr>
        <w:t>المصدر فيها</w:t>
      </w:r>
      <w:r w:rsidR="00603323" w:rsidRPr="00FD211F">
        <w:rPr>
          <w:sz w:val="36"/>
          <w:szCs w:val="36"/>
          <w:rtl/>
        </w:rPr>
        <w:t xml:space="preserve">، </w:t>
      </w:r>
      <w:r w:rsidRPr="00FD211F">
        <w:rPr>
          <w:sz w:val="36"/>
          <w:szCs w:val="36"/>
          <w:rtl/>
        </w:rPr>
        <w:t>وان انمحت هذه الهيئ</w:t>
      </w:r>
      <w:r w:rsidR="00EC7EDF" w:rsidRPr="00FD211F">
        <w:rPr>
          <w:sz w:val="36"/>
          <w:szCs w:val="36"/>
          <w:rtl/>
        </w:rPr>
        <w:t xml:space="preserve">ة </w:t>
      </w:r>
      <w:r w:rsidRPr="00FD211F">
        <w:rPr>
          <w:sz w:val="36"/>
          <w:szCs w:val="36"/>
          <w:rtl/>
        </w:rPr>
        <w:t>بحدّها بعد عروض هيئات جديد</w:t>
      </w:r>
      <w:r w:rsidR="00EC7EDF" w:rsidRPr="00FD211F">
        <w:rPr>
          <w:sz w:val="36"/>
          <w:szCs w:val="36"/>
          <w:rtl/>
        </w:rPr>
        <w:t xml:space="preserve">ة </w:t>
      </w:r>
      <w:r w:rsidRPr="00FD211F">
        <w:rPr>
          <w:sz w:val="36"/>
          <w:szCs w:val="36"/>
          <w:rtl/>
        </w:rPr>
        <w:t>على المصدر</w:t>
      </w:r>
      <w:r w:rsidR="00603323" w:rsidRPr="00FD211F">
        <w:rPr>
          <w:sz w:val="36"/>
          <w:szCs w:val="36"/>
          <w:rtl/>
        </w:rPr>
        <w:t xml:space="preserve">، </w:t>
      </w:r>
      <w:r w:rsidRPr="00FD211F">
        <w:rPr>
          <w:sz w:val="36"/>
          <w:szCs w:val="36"/>
          <w:rtl/>
        </w:rPr>
        <w:t>او يلتزم بوضع هيئات الافعال والمشتقات للدل</w:t>
      </w:r>
      <w:r w:rsidR="0064768B" w:rsidRPr="00FD211F">
        <w:rPr>
          <w:sz w:val="36"/>
          <w:szCs w:val="36"/>
          <w:rtl/>
        </w:rPr>
        <w:t>ال</w:t>
      </w:r>
      <w:r w:rsidR="00EC7EDF" w:rsidRPr="00FD211F">
        <w:rPr>
          <w:sz w:val="36"/>
          <w:szCs w:val="36"/>
          <w:rtl/>
        </w:rPr>
        <w:t xml:space="preserve">ة </w:t>
      </w:r>
      <w:r w:rsidR="0064768B" w:rsidRPr="00FD211F">
        <w:rPr>
          <w:sz w:val="36"/>
          <w:szCs w:val="36"/>
          <w:rtl/>
        </w:rPr>
        <w:t xml:space="preserve">على </w:t>
      </w:r>
      <w:r w:rsidRPr="00FD211F">
        <w:rPr>
          <w:sz w:val="36"/>
          <w:szCs w:val="36"/>
          <w:rtl/>
        </w:rPr>
        <w:t>خصوصي</w:t>
      </w:r>
      <w:r w:rsidR="00EC7EDF" w:rsidRPr="00FD211F">
        <w:rPr>
          <w:sz w:val="36"/>
          <w:szCs w:val="36"/>
          <w:rtl/>
        </w:rPr>
        <w:t xml:space="preserve">ة </w:t>
      </w:r>
      <w:r w:rsidR="0064768B" w:rsidRPr="00FD211F">
        <w:rPr>
          <w:sz w:val="36"/>
          <w:szCs w:val="36"/>
          <w:rtl/>
        </w:rPr>
        <w:t>الحلول او الصدور</w:t>
      </w:r>
      <w:r w:rsidRPr="00FD211F">
        <w:rPr>
          <w:sz w:val="36"/>
          <w:szCs w:val="36"/>
          <w:rtl/>
        </w:rPr>
        <w:t>أيضا</w:t>
      </w:r>
      <w:r w:rsidR="00603323" w:rsidRPr="00FD211F">
        <w:rPr>
          <w:sz w:val="36"/>
          <w:szCs w:val="36"/>
          <w:rtl/>
        </w:rPr>
        <w:t xml:space="preserve">، </w:t>
      </w:r>
      <w:r w:rsidRPr="00FD211F">
        <w:rPr>
          <w:sz w:val="36"/>
          <w:szCs w:val="36"/>
          <w:rtl/>
        </w:rPr>
        <w:t>في عرض دلال</w:t>
      </w:r>
      <w:r w:rsidR="00EC7EDF" w:rsidRPr="00FD211F">
        <w:rPr>
          <w:sz w:val="36"/>
          <w:szCs w:val="36"/>
          <w:rtl/>
        </w:rPr>
        <w:t xml:space="preserve">ة </w:t>
      </w:r>
      <w:r w:rsidRPr="00FD211F">
        <w:rPr>
          <w:sz w:val="36"/>
          <w:szCs w:val="36"/>
          <w:rtl/>
        </w:rPr>
        <w:t>هيئ</w:t>
      </w:r>
      <w:r w:rsidR="00EC7EDF" w:rsidRPr="00FD211F">
        <w:rPr>
          <w:sz w:val="36"/>
          <w:szCs w:val="36"/>
          <w:rtl/>
        </w:rPr>
        <w:t xml:space="preserve">ة </w:t>
      </w:r>
      <w:r w:rsidRPr="00FD211F">
        <w:rPr>
          <w:sz w:val="36"/>
          <w:szCs w:val="36"/>
          <w:rtl/>
        </w:rPr>
        <w:t>المصدر عليها</w:t>
      </w:r>
      <w:r w:rsidR="0064768B" w:rsidRPr="00FD211F">
        <w:rPr>
          <w:sz w:val="36"/>
          <w:szCs w:val="36"/>
          <w:rtl/>
        </w:rPr>
        <w:t>.</w:t>
      </w:r>
    </w:p>
    <w:p w14:paraId="5B430801" w14:textId="77777777" w:rsidR="000C5BBA" w:rsidRPr="00FD211F" w:rsidRDefault="009F1B83" w:rsidP="009C58C8">
      <w:pPr>
        <w:pStyle w:val="a4"/>
        <w:ind w:left="0" w:firstLine="227"/>
        <w:jc w:val="both"/>
        <w:rPr>
          <w:sz w:val="36"/>
          <w:szCs w:val="36"/>
          <w:rtl/>
        </w:rPr>
      </w:pPr>
      <w:r w:rsidRPr="00FD211F">
        <w:rPr>
          <w:sz w:val="36"/>
          <w:szCs w:val="36"/>
          <w:rtl/>
        </w:rPr>
        <w:t>هذا وقد يستدل على وضع هيئ</w:t>
      </w:r>
      <w:r w:rsidR="00EC7EDF" w:rsidRPr="00FD211F">
        <w:rPr>
          <w:sz w:val="36"/>
          <w:szCs w:val="36"/>
          <w:rtl/>
        </w:rPr>
        <w:t xml:space="preserve">ة </w:t>
      </w:r>
      <w:r w:rsidRPr="00FD211F">
        <w:rPr>
          <w:sz w:val="36"/>
          <w:szCs w:val="36"/>
          <w:rtl/>
        </w:rPr>
        <w:t>المصدر لمعنى زائد على مدلول مادته بوجهين آخرين</w:t>
      </w:r>
      <w:r w:rsidR="0099223C" w:rsidRPr="00FD211F">
        <w:rPr>
          <w:sz w:val="36"/>
          <w:szCs w:val="36"/>
          <w:rtl/>
        </w:rPr>
        <w:t>:</w:t>
      </w:r>
    </w:p>
    <w:p w14:paraId="3596ED86" w14:textId="77777777" w:rsidR="009F1B83" w:rsidRPr="00FD211F" w:rsidRDefault="009F1B83" w:rsidP="009C58C8">
      <w:pPr>
        <w:pStyle w:val="a4"/>
        <w:ind w:left="0" w:firstLine="227"/>
        <w:jc w:val="both"/>
        <w:rPr>
          <w:sz w:val="36"/>
          <w:szCs w:val="36"/>
          <w:rtl/>
        </w:rPr>
      </w:pPr>
      <w:r w:rsidRPr="00FD211F">
        <w:rPr>
          <w:b/>
          <w:bCs/>
          <w:sz w:val="36"/>
          <w:szCs w:val="36"/>
          <w:rtl/>
        </w:rPr>
        <w:t>احدهما</w:t>
      </w:r>
      <w:r w:rsidRPr="00FD211F">
        <w:rPr>
          <w:sz w:val="36"/>
          <w:szCs w:val="36"/>
          <w:rtl/>
        </w:rPr>
        <w:t>: ان بين معنى المصدر المجرد كالخروج والمصدر المزيد فيه كالإخراج فرقا واضحا</w:t>
      </w:r>
      <w:r w:rsidR="00603323" w:rsidRPr="00FD211F">
        <w:rPr>
          <w:sz w:val="36"/>
          <w:szCs w:val="36"/>
          <w:rtl/>
        </w:rPr>
        <w:t xml:space="preserve">، </w:t>
      </w:r>
      <w:r w:rsidRPr="00FD211F">
        <w:rPr>
          <w:sz w:val="36"/>
          <w:szCs w:val="36"/>
          <w:rtl/>
        </w:rPr>
        <w:t>وحيث لايحتمل نشوء هذا الفرق من اختلاف مادّتهما فيتعين نشوءه من وضع هيئتهما</w:t>
      </w:r>
      <w:r w:rsidR="00603323" w:rsidRPr="00FD211F">
        <w:rPr>
          <w:sz w:val="36"/>
          <w:szCs w:val="36"/>
          <w:rtl/>
        </w:rPr>
        <w:t xml:space="preserve">، </w:t>
      </w:r>
      <w:r w:rsidRPr="00FD211F">
        <w:rPr>
          <w:sz w:val="36"/>
          <w:szCs w:val="36"/>
          <w:rtl/>
        </w:rPr>
        <w:t>وهذا يعني وضع هيئ</w:t>
      </w:r>
      <w:r w:rsidR="00EC7EDF" w:rsidRPr="00FD211F">
        <w:rPr>
          <w:sz w:val="36"/>
          <w:szCs w:val="36"/>
          <w:rtl/>
        </w:rPr>
        <w:t xml:space="preserve">ة </w:t>
      </w:r>
      <w:r w:rsidRPr="00FD211F">
        <w:rPr>
          <w:sz w:val="36"/>
          <w:szCs w:val="36"/>
          <w:rtl/>
        </w:rPr>
        <w:t>المصدر على معنى زائد.</w:t>
      </w:r>
    </w:p>
    <w:p w14:paraId="7A22FB61" w14:textId="77777777" w:rsidR="009F1B83" w:rsidRPr="00FD211F" w:rsidRDefault="009F1B83" w:rsidP="009C58C8">
      <w:pPr>
        <w:pStyle w:val="a4"/>
        <w:ind w:left="0" w:firstLine="227"/>
        <w:jc w:val="both"/>
        <w:rPr>
          <w:sz w:val="36"/>
          <w:szCs w:val="36"/>
          <w:rtl/>
        </w:rPr>
      </w:pPr>
      <w:r w:rsidRPr="00FD211F">
        <w:rPr>
          <w:b/>
          <w:bCs/>
          <w:sz w:val="36"/>
          <w:szCs w:val="36"/>
          <w:rtl/>
        </w:rPr>
        <w:t>ثانيهما</w:t>
      </w:r>
      <w:r w:rsidRPr="00FD211F">
        <w:rPr>
          <w:sz w:val="36"/>
          <w:szCs w:val="36"/>
          <w:rtl/>
        </w:rPr>
        <w:t>: ان بعض المصادر لايصلح الا ان يضاف الى قابله دون فاعله كالخروج</w:t>
      </w:r>
      <w:r w:rsidR="00603323" w:rsidRPr="00FD211F">
        <w:rPr>
          <w:sz w:val="36"/>
          <w:szCs w:val="36"/>
          <w:rtl/>
        </w:rPr>
        <w:t xml:space="preserve">، </w:t>
      </w:r>
      <w:r w:rsidRPr="00FD211F">
        <w:rPr>
          <w:sz w:val="36"/>
          <w:szCs w:val="36"/>
          <w:rtl/>
        </w:rPr>
        <w:t>فانه لو أخرج زيد عمروا</w:t>
      </w:r>
      <w:r w:rsidR="008D7B3D" w:rsidRPr="00FD211F">
        <w:rPr>
          <w:sz w:val="36"/>
          <w:szCs w:val="36"/>
          <w:rtl/>
        </w:rPr>
        <w:t xml:space="preserve"> لم‌</w:t>
      </w:r>
      <w:r w:rsidRPr="00FD211F">
        <w:rPr>
          <w:sz w:val="36"/>
          <w:szCs w:val="36"/>
          <w:rtl/>
        </w:rPr>
        <w:t>يصح اسناد الخروج الى زيد</w:t>
      </w:r>
      <w:r w:rsidR="00603323" w:rsidRPr="00FD211F">
        <w:rPr>
          <w:sz w:val="36"/>
          <w:szCs w:val="36"/>
          <w:rtl/>
        </w:rPr>
        <w:t xml:space="preserve">، </w:t>
      </w:r>
      <w:r w:rsidRPr="00FD211F">
        <w:rPr>
          <w:sz w:val="36"/>
          <w:szCs w:val="36"/>
          <w:rtl/>
        </w:rPr>
        <w:t>مع ان نسب</w:t>
      </w:r>
      <w:r w:rsidR="00EC7EDF" w:rsidRPr="00FD211F">
        <w:rPr>
          <w:sz w:val="36"/>
          <w:szCs w:val="36"/>
          <w:rtl/>
        </w:rPr>
        <w:t xml:space="preserve">ة </w:t>
      </w:r>
      <w:r w:rsidRPr="00FD211F">
        <w:rPr>
          <w:sz w:val="36"/>
          <w:szCs w:val="36"/>
          <w:rtl/>
        </w:rPr>
        <w:t>ماد</w:t>
      </w:r>
      <w:r w:rsidR="00EC7EDF" w:rsidRPr="00FD211F">
        <w:rPr>
          <w:sz w:val="36"/>
          <w:szCs w:val="36"/>
          <w:rtl/>
        </w:rPr>
        <w:t xml:space="preserve">ة </w:t>
      </w:r>
      <w:r w:rsidRPr="00FD211F">
        <w:rPr>
          <w:sz w:val="36"/>
          <w:szCs w:val="36"/>
          <w:rtl/>
        </w:rPr>
        <w:t>الخروج اليهما على حد سواء</w:t>
      </w:r>
      <w:r w:rsidR="00603323" w:rsidRPr="00FD211F">
        <w:rPr>
          <w:sz w:val="36"/>
          <w:szCs w:val="36"/>
          <w:rtl/>
        </w:rPr>
        <w:t xml:space="preserve">، </w:t>
      </w:r>
      <w:r w:rsidRPr="00FD211F">
        <w:rPr>
          <w:sz w:val="36"/>
          <w:szCs w:val="36"/>
          <w:rtl/>
        </w:rPr>
        <w:t>حيث ان زيدا فاعله وعمروا قابله</w:t>
      </w:r>
      <w:r w:rsidR="00603323" w:rsidRPr="00FD211F">
        <w:rPr>
          <w:sz w:val="36"/>
          <w:szCs w:val="36"/>
          <w:rtl/>
        </w:rPr>
        <w:t xml:space="preserve">، </w:t>
      </w:r>
      <w:r w:rsidRPr="00FD211F">
        <w:rPr>
          <w:sz w:val="36"/>
          <w:szCs w:val="36"/>
          <w:rtl/>
        </w:rPr>
        <w:t>وهذا يعني كون هيئ</w:t>
      </w:r>
      <w:r w:rsidR="00EC7EDF" w:rsidRPr="00FD211F">
        <w:rPr>
          <w:sz w:val="36"/>
          <w:szCs w:val="36"/>
          <w:rtl/>
        </w:rPr>
        <w:t xml:space="preserve">ة </w:t>
      </w:r>
      <w:r w:rsidRPr="00FD211F">
        <w:rPr>
          <w:sz w:val="36"/>
          <w:szCs w:val="36"/>
          <w:rtl/>
        </w:rPr>
        <w:t>الخروج موضوع</w:t>
      </w:r>
      <w:r w:rsidR="00EC7EDF" w:rsidRPr="00FD211F">
        <w:rPr>
          <w:sz w:val="36"/>
          <w:szCs w:val="36"/>
          <w:rtl/>
        </w:rPr>
        <w:t xml:space="preserve">ة </w:t>
      </w:r>
      <w:r w:rsidRPr="00FD211F">
        <w:rPr>
          <w:sz w:val="36"/>
          <w:szCs w:val="36"/>
          <w:rtl/>
        </w:rPr>
        <w:t>لإفاد</w:t>
      </w:r>
      <w:r w:rsidR="00EC7EDF" w:rsidRPr="00FD211F">
        <w:rPr>
          <w:sz w:val="36"/>
          <w:szCs w:val="36"/>
          <w:rtl/>
        </w:rPr>
        <w:t xml:space="preserve">ة </w:t>
      </w:r>
      <w:r w:rsidRPr="00FD211F">
        <w:rPr>
          <w:sz w:val="36"/>
          <w:szCs w:val="36"/>
          <w:rtl/>
        </w:rPr>
        <w:t>نسبته الى قابله</w:t>
      </w:r>
      <w:r w:rsidR="00603323" w:rsidRPr="00FD211F">
        <w:rPr>
          <w:sz w:val="36"/>
          <w:szCs w:val="36"/>
          <w:rtl/>
        </w:rPr>
        <w:t xml:space="preserve">، </w:t>
      </w:r>
      <w:r w:rsidRPr="00FD211F">
        <w:rPr>
          <w:sz w:val="36"/>
          <w:szCs w:val="36"/>
          <w:rtl/>
        </w:rPr>
        <w:t>فينكشف من ذلك وضع هيئ</w:t>
      </w:r>
      <w:r w:rsidR="00EC7EDF" w:rsidRPr="00FD211F">
        <w:rPr>
          <w:sz w:val="36"/>
          <w:szCs w:val="36"/>
          <w:rtl/>
        </w:rPr>
        <w:t xml:space="preserve">ة </w:t>
      </w:r>
      <w:r w:rsidRPr="00FD211F">
        <w:rPr>
          <w:sz w:val="36"/>
          <w:szCs w:val="36"/>
          <w:rtl/>
        </w:rPr>
        <w:t>المصدر لمعنى زائد على مدلول مادته.</w:t>
      </w:r>
    </w:p>
    <w:p w14:paraId="2B129FF1" w14:textId="77777777" w:rsidR="0099223C" w:rsidRPr="00FD211F" w:rsidRDefault="009F1B83" w:rsidP="009C58C8">
      <w:pPr>
        <w:pStyle w:val="a4"/>
        <w:ind w:left="0" w:firstLine="227"/>
        <w:jc w:val="both"/>
        <w:rPr>
          <w:sz w:val="36"/>
          <w:szCs w:val="36"/>
          <w:rtl/>
        </w:rPr>
      </w:pPr>
      <w:r w:rsidRPr="00FD211F">
        <w:rPr>
          <w:sz w:val="36"/>
          <w:szCs w:val="36"/>
          <w:rtl/>
        </w:rPr>
        <w:t>و</w:t>
      </w:r>
      <w:r w:rsidR="008627E6" w:rsidRPr="00FD211F">
        <w:rPr>
          <w:sz w:val="36"/>
          <w:szCs w:val="36"/>
          <w:rtl/>
        </w:rPr>
        <w:t>قد</w:t>
      </w:r>
      <w:r w:rsidRPr="00FD211F">
        <w:rPr>
          <w:sz w:val="36"/>
          <w:szCs w:val="36"/>
          <w:rtl/>
        </w:rPr>
        <w:t>اجاب في البحوث عن الوجه الأول بانه يمكن ان يكون الفرق ناشئا عن مدلول الماد</w:t>
      </w:r>
      <w:r w:rsidR="00EC7EDF" w:rsidRPr="00FD211F">
        <w:rPr>
          <w:sz w:val="36"/>
          <w:szCs w:val="36"/>
          <w:rtl/>
        </w:rPr>
        <w:t xml:space="preserve">ة </w:t>
      </w:r>
      <w:r w:rsidRPr="00FD211F">
        <w:rPr>
          <w:sz w:val="36"/>
          <w:szCs w:val="36"/>
          <w:rtl/>
        </w:rPr>
        <w:t>فتكون ماد</w:t>
      </w:r>
      <w:r w:rsidR="00EC7EDF" w:rsidRPr="00FD211F">
        <w:rPr>
          <w:sz w:val="36"/>
          <w:szCs w:val="36"/>
          <w:rtl/>
        </w:rPr>
        <w:t xml:space="preserve">ة </w:t>
      </w:r>
      <w:r w:rsidRPr="00FD211F">
        <w:rPr>
          <w:sz w:val="36"/>
          <w:szCs w:val="36"/>
          <w:rtl/>
        </w:rPr>
        <w:t>الخروج موضوع</w:t>
      </w:r>
      <w:r w:rsidR="00EC7EDF" w:rsidRPr="00FD211F">
        <w:rPr>
          <w:sz w:val="36"/>
          <w:szCs w:val="36"/>
          <w:rtl/>
        </w:rPr>
        <w:t xml:space="preserve">ة </w:t>
      </w:r>
      <w:r w:rsidRPr="00FD211F">
        <w:rPr>
          <w:sz w:val="36"/>
          <w:szCs w:val="36"/>
          <w:rtl/>
        </w:rPr>
        <w:t>لفعل الخروج وماد</w:t>
      </w:r>
      <w:r w:rsidR="00EC7EDF" w:rsidRPr="00FD211F">
        <w:rPr>
          <w:sz w:val="36"/>
          <w:szCs w:val="36"/>
          <w:rtl/>
        </w:rPr>
        <w:t xml:space="preserve">ة </w:t>
      </w:r>
      <w:r w:rsidRPr="00FD211F">
        <w:rPr>
          <w:sz w:val="36"/>
          <w:szCs w:val="36"/>
          <w:rtl/>
        </w:rPr>
        <w:t>الإخراج موضوع</w:t>
      </w:r>
      <w:r w:rsidR="00EC7EDF" w:rsidRPr="00FD211F">
        <w:rPr>
          <w:sz w:val="36"/>
          <w:szCs w:val="36"/>
          <w:rtl/>
        </w:rPr>
        <w:t xml:space="preserve">ة </w:t>
      </w:r>
      <w:r w:rsidRPr="00FD211F">
        <w:rPr>
          <w:sz w:val="36"/>
          <w:szCs w:val="36"/>
          <w:rtl/>
        </w:rPr>
        <w:t>لتحميل الخروج</w:t>
      </w:r>
      <w:r w:rsidR="00E34A28" w:rsidRPr="00FD211F">
        <w:rPr>
          <w:sz w:val="36"/>
          <w:szCs w:val="36"/>
          <w:rtl/>
        </w:rPr>
        <w:t xml:space="preserve"> على الغير</w:t>
      </w:r>
      <w:r w:rsidR="00603323" w:rsidRPr="00FD211F">
        <w:rPr>
          <w:sz w:val="36"/>
          <w:szCs w:val="36"/>
          <w:rtl/>
        </w:rPr>
        <w:t xml:space="preserve">، </w:t>
      </w:r>
      <w:r w:rsidRPr="00FD211F">
        <w:rPr>
          <w:sz w:val="36"/>
          <w:szCs w:val="36"/>
          <w:rtl/>
        </w:rPr>
        <w:t>وهكذا ماد</w:t>
      </w:r>
      <w:r w:rsidR="00EC7EDF" w:rsidRPr="00FD211F">
        <w:rPr>
          <w:sz w:val="36"/>
          <w:szCs w:val="36"/>
          <w:rtl/>
        </w:rPr>
        <w:t xml:space="preserve">ة </w:t>
      </w:r>
      <w:r w:rsidRPr="00FD211F">
        <w:rPr>
          <w:sz w:val="36"/>
          <w:szCs w:val="36"/>
          <w:rtl/>
        </w:rPr>
        <w:t>الاستخراج موضوع</w:t>
      </w:r>
      <w:r w:rsidR="00EC7EDF" w:rsidRPr="00FD211F">
        <w:rPr>
          <w:sz w:val="36"/>
          <w:szCs w:val="36"/>
          <w:rtl/>
        </w:rPr>
        <w:t xml:space="preserve">ة </w:t>
      </w:r>
      <w:r w:rsidRPr="00FD211F">
        <w:rPr>
          <w:sz w:val="36"/>
          <w:szCs w:val="36"/>
          <w:rtl/>
        </w:rPr>
        <w:t>لمطاوع</w:t>
      </w:r>
      <w:r w:rsidR="00EC7EDF" w:rsidRPr="00FD211F">
        <w:rPr>
          <w:sz w:val="36"/>
          <w:szCs w:val="36"/>
          <w:rtl/>
        </w:rPr>
        <w:t xml:space="preserve">ة </w:t>
      </w:r>
      <w:r w:rsidRPr="00FD211F">
        <w:rPr>
          <w:sz w:val="36"/>
          <w:szCs w:val="36"/>
          <w:rtl/>
        </w:rPr>
        <w:t>الخروج</w:t>
      </w:r>
      <w:r w:rsidR="00EC7EDF" w:rsidRPr="00FD211F">
        <w:rPr>
          <w:sz w:val="36"/>
          <w:szCs w:val="36"/>
          <w:rtl/>
        </w:rPr>
        <w:t>.</w:t>
      </w:r>
    </w:p>
    <w:p w14:paraId="048EA304" w14:textId="77777777" w:rsidR="009F1B83" w:rsidRPr="00FD211F" w:rsidRDefault="009F1B83" w:rsidP="009C58C8">
      <w:pPr>
        <w:pStyle w:val="a4"/>
        <w:ind w:left="0" w:firstLine="227"/>
        <w:jc w:val="both"/>
        <w:rPr>
          <w:sz w:val="36"/>
          <w:szCs w:val="36"/>
          <w:rtl/>
        </w:rPr>
      </w:pPr>
      <w:r w:rsidRPr="00FD211F">
        <w:rPr>
          <w:sz w:val="36"/>
          <w:szCs w:val="36"/>
          <w:rtl/>
        </w:rPr>
        <w:t>كما اجاب عن الوجه الثاني بانه لايستلزم وضع هيئ</w:t>
      </w:r>
      <w:r w:rsidR="00EC7EDF" w:rsidRPr="00FD211F">
        <w:rPr>
          <w:sz w:val="36"/>
          <w:szCs w:val="36"/>
          <w:rtl/>
        </w:rPr>
        <w:t xml:space="preserve">ة </w:t>
      </w:r>
      <w:r w:rsidRPr="00FD211F">
        <w:rPr>
          <w:sz w:val="36"/>
          <w:szCs w:val="36"/>
          <w:rtl/>
        </w:rPr>
        <w:t>المصدر لمعنى زائد</w:t>
      </w:r>
      <w:r w:rsidR="00603323" w:rsidRPr="00FD211F">
        <w:rPr>
          <w:sz w:val="36"/>
          <w:szCs w:val="36"/>
          <w:rtl/>
        </w:rPr>
        <w:t xml:space="preserve">، </w:t>
      </w:r>
      <w:r w:rsidRPr="00FD211F">
        <w:rPr>
          <w:sz w:val="36"/>
          <w:szCs w:val="36"/>
          <w:rtl/>
        </w:rPr>
        <w:t>بل الاختلاف ناش عن الاختلاف في مدلول الماد</w:t>
      </w:r>
      <w:r w:rsidR="00EC7EDF" w:rsidRPr="00FD211F">
        <w:rPr>
          <w:sz w:val="36"/>
          <w:szCs w:val="36"/>
          <w:rtl/>
        </w:rPr>
        <w:t>ة</w:t>
      </w:r>
      <w:r w:rsidR="00603323" w:rsidRPr="00FD211F">
        <w:rPr>
          <w:sz w:val="36"/>
          <w:szCs w:val="36"/>
          <w:rtl/>
        </w:rPr>
        <w:t xml:space="preserve">، </w:t>
      </w:r>
      <w:r w:rsidRPr="00FD211F">
        <w:rPr>
          <w:sz w:val="36"/>
          <w:szCs w:val="36"/>
          <w:rtl/>
        </w:rPr>
        <w:t xml:space="preserve">فانه </w:t>
      </w:r>
      <w:r w:rsidR="0064768B" w:rsidRPr="00FD211F">
        <w:rPr>
          <w:sz w:val="36"/>
          <w:szCs w:val="36"/>
          <w:rtl/>
        </w:rPr>
        <w:t>تار</w:t>
      </w:r>
      <w:r w:rsidR="00EC7EDF" w:rsidRPr="00FD211F">
        <w:rPr>
          <w:sz w:val="36"/>
          <w:szCs w:val="36"/>
          <w:rtl/>
        </w:rPr>
        <w:t xml:space="preserve">ة </w:t>
      </w:r>
      <w:r w:rsidR="0064768B" w:rsidRPr="00FD211F">
        <w:rPr>
          <w:sz w:val="36"/>
          <w:szCs w:val="36"/>
          <w:rtl/>
        </w:rPr>
        <w:t xml:space="preserve">يكون </w:t>
      </w:r>
      <w:r w:rsidRPr="00FD211F">
        <w:rPr>
          <w:sz w:val="36"/>
          <w:szCs w:val="36"/>
          <w:rtl/>
        </w:rPr>
        <w:t>الفعل</w:t>
      </w:r>
      <w:r w:rsidR="0064768B" w:rsidRPr="00FD211F">
        <w:rPr>
          <w:sz w:val="36"/>
          <w:szCs w:val="36"/>
          <w:rtl/>
        </w:rPr>
        <w:t xml:space="preserve"> م</w:t>
      </w:r>
      <w:r w:rsidRPr="00FD211F">
        <w:rPr>
          <w:sz w:val="36"/>
          <w:szCs w:val="36"/>
          <w:rtl/>
        </w:rPr>
        <w:t>لح</w:t>
      </w:r>
      <w:r w:rsidR="0064768B" w:rsidRPr="00FD211F">
        <w:rPr>
          <w:sz w:val="36"/>
          <w:szCs w:val="36"/>
          <w:rtl/>
        </w:rPr>
        <w:t>و</w:t>
      </w:r>
      <w:r w:rsidRPr="00FD211F">
        <w:rPr>
          <w:sz w:val="36"/>
          <w:szCs w:val="36"/>
          <w:rtl/>
        </w:rPr>
        <w:t>ظ</w:t>
      </w:r>
      <w:r w:rsidR="0064768B" w:rsidRPr="00FD211F">
        <w:rPr>
          <w:sz w:val="36"/>
          <w:szCs w:val="36"/>
          <w:rtl/>
        </w:rPr>
        <w:t xml:space="preserve">ا في </w:t>
      </w:r>
      <w:r w:rsidRPr="00FD211F">
        <w:rPr>
          <w:sz w:val="36"/>
          <w:szCs w:val="36"/>
          <w:rtl/>
        </w:rPr>
        <w:t>مرحل</w:t>
      </w:r>
      <w:r w:rsidR="00EC7EDF" w:rsidRPr="00FD211F">
        <w:rPr>
          <w:sz w:val="36"/>
          <w:szCs w:val="36"/>
          <w:rtl/>
        </w:rPr>
        <w:t xml:space="preserve">ة </w:t>
      </w:r>
      <w:r w:rsidRPr="00FD211F">
        <w:rPr>
          <w:sz w:val="36"/>
          <w:szCs w:val="36"/>
          <w:rtl/>
        </w:rPr>
        <w:t>تكوينه القابلي</w:t>
      </w:r>
      <w:r w:rsidR="00603323" w:rsidRPr="00FD211F">
        <w:rPr>
          <w:sz w:val="36"/>
          <w:szCs w:val="36"/>
          <w:rtl/>
        </w:rPr>
        <w:t xml:space="preserve">، </w:t>
      </w:r>
      <w:r w:rsidRPr="00FD211F">
        <w:rPr>
          <w:sz w:val="36"/>
          <w:szCs w:val="36"/>
          <w:rtl/>
        </w:rPr>
        <w:t xml:space="preserve">و أخرى </w:t>
      </w:r>
      <w:r w:rsidR="0064768B" w:rsidRPr="00FD211F">
        <w:rPr>
          <w:sz w:val="36"/>
          <w:szCs w:val="36"/>
          <w:rtl/>
        </w:rPr>
        <w:t>يكون م</w:t>
      </w:r>
      <w:r w:rsidRPr="00FD211F">
        <w:rPr>
          <w:sz w:val="36"/>
          <w:szCs w:val="36"/>
          <w:rtl/>
        </w:rPr>
        <w:t>لح</w:t>
      </w:r>
      <w:r w:rsidR="0064768B" w:rsidRPr="00FD211F">
        <w:rPr>
          <w:sz w:val="36"/>
          <w:szCs w:val="36"/>
          <w:rtl/>
        </w:rPr>
        <w:t>و</w:t>
      </w:r>
      <w:r w:rsidRPr="00FD211F">
        <w:rPr>
          <w:sz w:val="36"/>
          <w:szCs w:val="36"/>
          <w:rtl/>
        </w:rPr>
        <w:t>ظ</w:t>
      </w:r>
      <w:r w:rsidR="0064768B" w:rsidRPr="00FD211F">
        <w:rPr>
          <w:sz w:val="36"/>
          <w:szCs w:val="36"/>
          <w:rtl/>
        </w:rPr>
        <w:t>ا في</w:t>
      </w:r>
      <w:r w:rsidRPr="00FD211F">
        <w:rPr>
          <w:sz w:val="36"/>
          <w:szCs w:val="36"/>
          <w:rtl/>
        </w:rPr>
        <w:t xml:space="preserve"> مرحل</w:t>
      </w:r>
      <w:r w:rsidR="00EC7EDF" w:rsidRPr="00FD211F">
        <w:rPr>
          <w:sz w:val="36"/>
          <w:szCs w:val="36"/>
          <w:rtl/>
        </w:rPr>
        <w:t xml:space="preserve">ة </w:t>
      </w:r>
      <w:r w:rsidRPr="00FD211F">
        <w:rPr>
          <w:sz w:val="36"/>
          <w:szCs w:val="36"/>
          <w:rtl/>
        </w:rPr>
        <w:t>تكوينه الفاعلي</w:t>
      </w:r>
      <w:r w:rsidR="00603323" w:rsidRPr="00FD211F">
        <w:rPr>
          <w:sz w:val="36"/>
          <w:szCs w:val="36"/>
          <w:rtl/>
        </w:rPr>
        <w:t xml:space="preserve">، </w:t>
      </w:r>
      <w:r w:rsidRPr="00FD211F">
        <w:rPr>
          <w:sz w:val="36"/>
          <w:szCs w:val="36"/>
          <w:rtl/>
        </w:rPr>
        <w:t>وقد يلحظ الجامع بينهما</w:t>
      </w:r>
      <w:r w:rsidR="00603323" w:rsidRPr="00FD211F">
        <w:rPr>
          <w:sz w:val="36"/>
          <w:szCs w:val="36"/>
          <w:rtl/>
        </w:rPr>
        <w:t xml:space="preserve">، </w:t>
      </w:r>
      <w:r w:rsidRPr="00FD211F">
        <w:rPr>
          <w:sz w:val="36"/>
          <w:szCs w:val="36"/>
          <w:rtl/>
        </w:rPr>
        <w:t>فماد</w:t>
      </w:r>
      <w:r w:rsidR="00EC7EDF" w:rsidRPr="00FD211F">
        <w:rPr>
          <w:sz w:val="36"/>
          <w:szCs w:val="36"/>
          <w:rtl/>
        </w:rPr>
        <w:t xml:space="preserve">ة </w:t>
      </w:r>
      <w:r w:rsidRPr="00FD211F">
        <w:rPr>
          <w:sz w:val="36"/>
          <w:szCs w:val="36"/>
          <w:rtl/>
        </w:rPr>
        <w:t>الخروج موضوع</w:t>
      </w:r>
      <w:r w:rsidR="00EC7EDF" w:rsidRPr="00FD211F">
        <w:rPr>
          <w:sz w:val="36"/>
          <w:szCs w:val="36"/>
          <w:rtl/>
        </w:rPr>
        <w:t xml:space="preserve">ة </w:t>
      </w:r>
      <w:r w:rsidRPr="00FD211F">
        <w:rPr>
          <w:sz w:val="36"/>
          <w:szCs w:val="36"/>
          <w:rtl/>
        </w:rPr>
        <w:t>للفعل الملحوظ في مرحل</w:t>
      </w:r>
      <w:r w:rsidR="00EC7EDF" w:rsidRPr="00FD211F">
        <w:rPr>
          <w:sz w:val="36"/>
          <w:szCs w:val="36"/>
          <w:rtl/>
        </w:rPr>
        <w:t xml:space="preserve">ة </w:t>
      </w:r>
      <w:r w:rsidRPr="00FD211F">
        <w:rPr>
          <w:sz w:val="36"/>
          <w:szCs w:val="36"/>
          <w:rtl/>
        </w:rPr>
        <w:t>تكوينه القابلي</w:t>
      </w:r>
      <w:r w:rsidR="00603323" w:rsidRPr="00FD211F">
        <w:rPr>
          <w:sz w:val="36"/>
          <w:szCs w:val="36"/>
          <w:rtl/>
        </w:rPr>
        <w:t xml:space="preserve">، </w:t>
      </w:r>
      <w:r w:rsidRPr="00FD211F">
        <w:rPr>
          <w:sz w:val="36"/>
          <w:szCs w:val="36"/>
          <w:rtl/>
        </w:rPr>
        <w:t>حيث لايصح اضافته الا الى قابله وهو عمرو الذي اخرج</w:t>
      </w:r>
      <w:r w:rsidR="00064320" w:rsidRPr="00FD211F">
        <w:rPr>
          <w:sz w:val="36"/>
          <w:szCs w:val="36"/>
          <w:rtl/>
        </w:rPr>
        <w:t>ه زيد</w:t>
      </w:r>
      <w:r w:rsidR="00603323" w:rsidRPr="00FD211F">
        <w:rPr>
          <w:sz w:val="36"/>
          <w:szCs w:val="36"/>
          <w:rtl/>
        </w:rPr>
        <w:t xml:space="preserve">، </w:t>
      </w:r>
      <w:r w:rsidR="00064320" w:rsidRPr="00FD211F">
        <w:rPr>
          <w:sz w:val="36"/>
          <w:szCs w:val="36"/>
          <w:rtl/>
        </w:rPr>
        <w:t xml:space="preserve">ولايصح اضافته الى فاعله الذي </w:t>
      </w:r>
      <w:r w:rsidRPr="00FD211F">
        <w:rPr>
          <w:sz w:val="36"/>
          <w:szCs w:val="36"/>
          <w:rtl/>
        </w:rPr>
        <w:t>هو زيد في هذا المثال</w:t>
      </w:r>
      <w:r w:rsidR="00603323" w:rsidRPr="00FD211F">
        <w:rPr>
          <w:sz w:val="36"/>
          <w:szCs w:val="36"/>
          <w:rtl/>
        </w:rPr>
        <w:t xml:space="preserve">، </w:t>
      </w:r>
      <w:r w:rsidRPr="00FD211F">
        <w:rPr>
          <w:sz w:val="36"/>
          <w:szCs w:val="36"/>
          <w:rtl/>
        </w:rPr>
        <w:t>وماد</w:t>
      </w:r>
      <w:r w:rsidR="00EC7EDF" w:rsidRPr="00FD211F">
        <w:rPr>
          <w:sz w:val="36"/>
          <w:szCs w:val="36"/>
          <w:rtl/>
        </w:rPr>
        <w:t xml:space="preserve">ة </w:t>
      </w:r>
      <w:r w:rsidRPr="00FD211F">
        <w:rPr>
          <w:sz w:val="36"/>
          <w:szCs w:val="36"/>
          <w:rtl/>
        </w:rPr>
        <w:t>القتل موضوع</w:t>
      </w:r>
      <w:r w:rsidR="00EC7EDF" w:rsidRPr="00FD211F">
        <w:rPr>
          <w:sz w:val="36"/>
          <w:szCs w:val="36"/>
          <w:rtl/>
        </w:rPr>
        <w:t xml:space="preserve">ة </w:t>
      </w:r>
      <w:r w:rsidRPr="00FD211F">
        <w:rPr>
          <w:sz w:val="36"/>
          <w:szCs w:val="36"/>
          <w:rtl/>
        </w:rPr>
        <w:t>للفعل الملحوظ بنحو الجامع بين التكوين القابلي والفاعلي</w:t>
      </w:r>
      <w:r w:rsidR="00603323" w:rsidRPr="00FD211F">
        <w:rPr>
          <w:sz w:val="36"/>
          <w:szCs w:val="36"/>
          <w:rtl/>
        </w:rPr>
        <w:t xml:space="preserve">، </w:t>
      </w:r>
      <w:r w:rsidRPr="00FD211F">
        <w:rPr>
          <w:sz w:val="36"/>
          <w:szCs w:val="36"/>
          <w:rtl/>
        </w:rPr>
        <w:t>فيصح ان يضاف القتل الى فاعله وهو القاتل فيقال "قتلُ معاوي</w:t>
      </w:r>
      <w:r w:rsidR="00EC7EDF" w:rsidRPr="00FD211F">
        <w:rPr>
          <w:sz w:val="36"/>
          <w:szCs w:val="36"/>
          <w:rtl/>
        </w:rPr>
        <w:t xml:space="preserve">ة </w:t>
      </w:r>
      <w:r w:rsidRPr="00FD211F">
        <w:rPr>
          <w:sz w:val="36"/>
          <w:szCs w:val="36"/>
          <w:rtl/>
        </w:rPr>
        <w:t>لحجر" والى قابله وهو المقتول فيقال "قتلُ حُجر"</w:t>
      </w:r>
      <w:r w:rsidR="009C58C8" w:rsidRPr="00FD211F">
        <w:rPr>
          <w:rStyle w:val="a6"/>
          <w:sz w:val="36"/>
          <w:szCs w:val="36"/>
          <w:rtl/>
        </w:rPr>
        <w:t>(</w:t>
      </w:r>
      <w:r w:rsidR="009C58C8" w:rsidRPr="00FD211F">
        <w:rPr>
          <w:rStyle w:val="a6"/>
          <w:sz w:val="36"/>
          <w:szCs w:val="36"/>
          <w:rtl/>
        </w:rPr>
        <w:footnoteReference w:id="241"/>
      </w:r>
      <w:r w:rsidR="009C58C8" w:rsidRPr="00FD211F">
        <w:rPr>
          <w:rStyle w:val="a6"/>
          <w:sz w:val="36"/>
          <w:szCs w:val="36"/>
          <w:rtl/>
        </w:rPr>
        <w:t>)</w:t>
      </w:r>
      <w:r w:rsidRPr="00FD211F">
        <w:rPr>
          <w:sz w:val="36"/>
          <w:szCs w:val="36"/>
          <w:rtl/>
        </w:rPr>
        <w:t>.</w:t>
      </w:r>
    </w:p>
    <w:p w14:paraId="6F108859" w14:textId="77777777" w:rsidR="008627E6" w:rsidRPr="00FD211F" w:rsidRDefault="009F1B83" w:rsidP="009C58C8">
      <w:pPr>
        <w:ind w:left="0" w:firstLine="227"/>
        <w:jc w:val="both"/>
        <w:rPr>
          <w:sz w:val="36"/>
          <w:szCs w:val="36"/>
          <w:rtl/>
        </w:rPr>
      </w:pPr>
      <w:r w:rsidRPr="00FD211F">
        <w:rPr>
          <w:sz w:val="36"/>
          <w:szCs w:val="36"/>
          <w:rtl/>
        </w:rPr>
        <w:t xml:space="preserve">اقول: </w:t>
      </w:r>
      <w:r w:rsidR="008627E6" w:rsidRPr="00FD211F">
        <w:rPr>
          <w:sz w:val="36"/>
          <w:szCs w:val="36"/>
          <w:rtl/>
        </w:rPr>
        <w:t xml:space="preserve">في </w:t>
      </w:r>
      <w:r w:rsidRPr="00FD211F">
        <w:rPr>
          <w:sz w:val="36"/>
          <w:szCs w:val="36"/>
          <w:rtl/>
        </w:rPr>
        <w:t>جواب</w:t>
      </w:r>
      <w:r w:rsidR="008627E6" w:rsidRPr="00FD211F">
        <w:rPr>
          <w:sz w:val="36"/>
          <w:szCs w:val="36"/>
          <w:rtl/>
        </w:rPr>
        <w:t>ه</w:t>
      </w:r>
      <w:r w:rsidRPr="00FD211F">
        <w:rPr>
          <w:sz w:val="36"/>
          <w:szCs w:val="36"/>
          <w:rtl/>
        </w:rPr>
        <w:t xml:space="preserve"> عن </w:t>
      </w:r>
      <w:r w:rsidR="008627E6" w:rsidRPr="00FD211F">
        <w:rPr>
          <w:sz w:val="36"/>
          <w:szCs w:val="36"/>
          <w:rtl/>
        </w:rPr>
        <w:t>كلا</w:t>
      </w:r>
      <w:r w:rsidRPr="00FD211F">
        <w:rPr>
          <w:sz w:val="36"/>
          <w:szCs w:val="36"/>
          <w:rtl/>
        </w:rPr>
        <w:t>الوجه</w:t>
      </w:r>
      <w:r w:rsidR="008627E6" w:rsidRPr="00FD211F">
        <w:rPr>
          <w:sz w:val="36"/>
          <w:szCs w:val="36"/>
          <w:rtl/>
        </w:rPr>
        <w:t>ين اشكال</w:t>
      </w:r>
      <w:r w:rsidR="00064320" w:rsidRPr="00FD211F">
        <w:rPr>
          <w:sz w:val="36"/>
          <w:szCs w:val="36"/>
          <w:rtl/>
        </w:rPr>
        <w:t>.</w:t>
      </w:r>
      <w:r w:rsidR="008627E6" w:rsidRPr="00FD211F">
        <w:rPr>
          <w:sz w:val="36"/>
          <w:szCs w:val="36"/>
          <w:rtl/>
        </w:rPr>
        <w:t xml:space="preserve"> </w:t>
      </w:r>
    </w:p>
    <w:p w14:paraId="684BAB80" w14:textId="77777777" w:rsidR="0099223C" w:rsidRPr="00FD211F" w:rsidRDefault="008627E6" w:rsidP="009C58C8">
      <w:pPr>
        <w:ind w:left="0" w:firstLine="227"/>
        <w:jc w:val="both"/>
        <w:rPr>
          <w:sz w:val="36"/>
          <w:szCs w:val="36"/>
          <w:rtl/>
        </w:rPr>
      </w:pPr>
      <w:r w:rsidRPr="00FD211F">
        <w:rPr>
          <w:sz w:val="36"/>
          <w:szCs w:val="36"/>
          <w:rtl/>
        </w:rPr>
        <w:t>اماجوابه عن الوجه</w:t>
      </w:r>
      <w:r w:rsidR="009F1B83" w:rsidRPr="00FD211F">
        <w:rPr>
          <w:sz w:val="36"/>
          <w:szCs w:val="36"/>
          <w:rtl/>
        </w:rPr>
        <w:t xml:space="preserve"> الاول</w:t>
      </w:r>
      <w:r w:rsidR="00603323" w:rsidRPr="00FD211F">
        <w:rPr>
          <w:sz w:val="36"/>
          <w:szCs w:val="36"/>
          <w:rtl/>
        </w:rPr>
        <w:t xml:space="preserve">، </w:t>
      </w:r>
      <w:r w:rsidRPr="00FD211F">
        <w:rPr>
          <w:sz w:val="36"/>
          <w:szCs w:val="36"/>
          <w:rtl/>
        </w:rPr>
        <w:t>فلأ</w:t>
      </w:r>
      <w:r w:rsidR="009F1B83" w:rsidRPr="00FD211F">
        <w:rPr>
          <w:sz w:val="36"/>
          <w:szCs w:val="36"/>
          <w:rtl/>
        </w:rPr>
        <w:t>ن دعوى كون الفرق بين المصدر المجرد والمزيد في مدلول مادتهما خلاف الوجدان العرفي</w:t>
      </w:r>
      <w:r w:rsidR="00603323" w:rsidRPr="00FD211F">
        <w:rPr>
          <w:sz w:val="36"/>
          <w:szCs w:val="36"/>
          <w:rtl/>
        </w:rPr>
        <w:t xml:space="preserve">، </w:t>
      </w:r>
      <w:r w:rsidR="009F1B83" w:rsidRPr="00FD211F">
        <w:rPr>
          <w:sz w:val="36"/>
          <w:szCs w:val="36"/>
          <w:rtl/>
        </w:rPr>
        <w:t>حيث ان المرتكز كون اخ</w:t>
      </w:r>
      <w:r w:rsidR="00064320" w:rsidRPr="00FD211F">
        <w:rPr>
          <w:sz w:val="36"/>
          <w:szCs w:val="36"/>
          <w:rtl/>
        </w:rPr>
        <w:t>تلافهما ناشئا من اختلاف الهيئات.</w:t>
      </w:r>
    </w:p>
    <w:p w14:paraId="39FF405E" w14:textId="77777777" w:rsidR="000C5BBA" w:rsidRPr="00FD211F" w:rsidRDefault="008627E6" w:rsidP="009C58C8">
      <w:pPr>
        <w:ind w:left="0" w:firstLine="227"/>
        <w:jc w:val="both"/>
        <w:rPr>
          <w:sz w:val="36"/>
          <w:szCs w:val="36"/>
          <w:rtl/>
        </w:rPr>
      </w:pPr>
      <w:r w:rsidRPr="00FD211F">
        <w:rPr>
          <w:sz w:val="36"/>
          <w:szCs w:val="36"/>
          <w:rtl/>
        </w:rPr>
        <w:t>وا</w:t>
      </w:r>
      <w:r w:rsidR="00064320" w:rsidRPr="00FD211F">
        <w:rPr>
          <w:sz w:val="36"/>
          <w:szCs w:val="36"/>
          <w:rtl/>
        </w:rPr>
        <w:t>ما</w:t>
      </w:r>
      <w:r w:rsidRPr="00FD211F">
        <w:rPr>
          <w:sz w:val="36"/>
          <w:szCs w:val="36"/>
          <w:rtl/>
        </w:rPr>
        <w:t>جوابه عن الوجه الثاني</w:t>
      </w:r>
      <w:r w:rsidR="00603323" w:rsidRPr="00FD211F">
        <w:rPr>
          <w:sz w:val="36"/>
          <w:szCs w:val="36"/>
          <w:rtl/>
        </w:rPr>
        <w:t xml:space="preserve">، </w:t>
      </w:r>
      <w:r w:rsidR="009F1B83" w:rsidRPr="00FD211F">
        <w:rPr>
          <w:sz w:val="36"/>
          <w:szCs w:val="36"/>
          <w:rtl/>
        </w:rPr>
        <w:t>ف</w:t>
      </w:r>
      <w:r w:rsidRPr="00FD211F">
        <w:rPr>
          <w:sz w:val="36"/>
          <w:szCs w:val="36"/>
          <w:rtl/>
        </w:rPr>
        <w:t>لأ</w:t>
      </w:r>
      <w:r w:rsidR="009F1B83" w:rsidRPr="00FD211F">
        <w:rPr>
          <w:sz w:val="36"/>
          <w:szCs w:val="36"/>
          <w:rtl/>
        </w:rPr>
        <w:t>ن هيئ</w:t>
      </w:r>
      <w:r w:rsidR="00EC7EDF" w:rsidRPr="00FD211F">
        <w:rPr>
          <w:sz w:val="36"/>
          <w:szCs w:val="36"/>
          <w:rtl/>
        </w:rPr>
        <w:t xml:space="preserve">ة </w:t>
      </w:r>
      <w:r w:rsidR="009F1B83" w:rsidRPr="00FD211F">
        <w:rPr>
          <w:sz w:val="36"/>
          <w:szCs w:val="36"/>
          <w:rtl/>
        </w:rPr>
        <w:t>المصدر موضوع</w:t>
      </w:r>
      <w:r w:rsidR="00EC7EDF" w:rsidRPr="00FD211F">
        <w:rPr>
          <w:sz w:val="36"/>
          <w:szCs w:val="36"/>
          <w:rtl/>
        </w:rPr>
        <w:t xml:space="preserve">ة </w:t>
      </w:r>
      <w:r w:rsidR="009F1B83" w:rsidRPr="00FD211F">
        <w:rPr>
          <w:sz w:val="36"/>
          <w:szCs w:val="36"/>
          <w:rtl/>
        </w:rPr>
        <w:t>للدلال</w:t>
      </w:r>
      <w:r w:rsidR="00EC7EDF" w:rsidRPr="00FD211F">
        <w:rPr>
          <w:sz w:val="36"/>
          <w:szCs w:val="36"/>
          <w:rtl/>
        </w:rPr>
        <w:t xml:space="preserve">ة </w:t>
      </w:r>
      <w:r w:rsidR="009F1B83" w:rsidRPr="00FD211F">
        <w:rPr>
          <w:sz w:val="36"/>
          <w:szCs w:val="36"/>
          <w:rtl/>
        </w:rPr>
        <w:t>على خصوصي</w:t>
      </w:r>
      <w:r w:rsidR="00EC7EDF" w:rsidRPr="00FD211F">
        <w:rPr>
          <w:sz w:val="36"/>
          <w:szCs w:val="36"/>
          <w:rtl/>
        </w:rPr>
        <w:t xml:space="preserve">ة </w:t>
      </w:r>
      <w:r w:rsidR="009F1B83" w:rsidRPr="00FD211F">
        <w:rPr>
          <w:sz w:val="36"/>
          <w:szCs w:val="36"/>
          <w:rtl/>
        </w:rPr>
        <w:t>قيام الحدث بفاعله اي معروضه العرفي</w:t>
      </w:r>
      <w:r w:rsidR="00603323" w:rsidRPr="00FD211F">
        <w:rPr>
          <w:sz w:val="36"/>
          <w:szCs w:val="36"/>
          <w:rtl/>
        </w:rPr>
        <w:t xml:space="preserve">، </w:t>
      </w:r>
      <w:r w:rsidR="009F1B83" w:rsidRPr="00FD211F">
        <w:rPr>
          <w:sz w:val="36"/>
          <w:szCs w:val="36"/>
          <w:rtl/>
        </w:rPr>
        <w:t>فالخروج حدث قائم بمعروضه العرفي وهو عمرو حتى فيما</w:t>
      </w:r>
      <w:r w:rsidR="00C905B0" w:rsidRPr="00FD211F">
        <w:rPr>
          <w:sz w:val="36"/>
          <w:szCs w:val="36"/>
          <w:rtl/>
        </w:rPr>
        <w:t xml:space="preserve"> لو اخرجه زيد</w:t>
      </w:r>
      <w:r w:rsidR="00603323" w:rsidRPr="00FD211F">
        <w:rPr>
          <w:sz w:val="36"/>
          <w:szCs w:val="36"/>
          <w:rtl/>
        </w:rPr>
        <w:t xml:space="preserve">، </w:t>
      </w:r>
      <w:r w:rsidR="00C905B0" w:rsidRPr="00FD211F">
        <w:rPr>
          <w:sz w:val="36"/>
          <w:szCs w:val="36"/>
          <w:rtl/>
        </w:rPr>
        <w:t xml:space="preserve">والإخراج </w:t>
      </w:r>
      <w:r w:rsidR="009F1B83" w:rsidRPr="00FD211F">
        <w:rPr>
          <w:sz w:val="36"/>
          <w:szCs w:val="36"/>
          <w:rtl/>
        </w:rPr>
        <w:t xml:space="preserve">حدث قائم بمعروضه العرفي وهو المخرِج اي زيد </w:t>
      </w:r>
      <w:r w:rsidR="00C905B0" w:rsidRPr="00FD211F">
        <w:rPr>
          <w:sz w:val="36"/>
          <w:szCs w:val="36"/>
          <w:rtl/>
        </w:rPr>
        <w:t>في هذا المثال</w:t>
      </w:r>
      <w:r w:rsidR="00603323" w:rsidRPr="00FD211F">
        <w:rPr>
          <w:sz w:val="36"/>
          <w:szCs w:val="36"/>
          <w:rtl/>
        </w:rPr>
        <w:t xml:space="preserve">، </w:t>
      </w:r>
      <w:r w:rsidR="00C905B0" w:rsidRPr="00FD211F">
        <w:rPr>
          <w:sz w:val="36"/>
          <w:szCs w:val="36"/>
          <w:rtl/>
        </w:rPr>
        <w:t>كما ان القتل(بمعنى مصدرالفعل المعلوم)</w:t>
      </w:r>
      <w:r w:rsidR="009F1B83" w:rsidRPr="00FD211F">
        <w:rPr>
          <w:sz w:val="36"/>
          <w:szCs w:val="36"/>
          <w:rtl/>
        </w:rPr>
        <w:t xml:space="preserve"> حدث قائم بمعروضه العرفي وهو القاتل</w:t>
      </w:r>
      <w:r w:rsidR="00603323" w:rsidRPr="00FD211F">
        <w:rPr>
          <w:sz w:val="36"/>
          <w:szCs w:val="36"/>
          <w:rtl/>
        </w:rPr>
        <w:t xml:space="preserve">، </w:t>
      </w:r>
      <w:r w:rsidR="009F1B83" w:rsidRPr="00FD211F">
        <w:rPr>
          <w:sz w:val="36"/>
          <w:szCs w:val="36"/>
          <w:rtl/>
        </w:rPr>
        <w:t>واما صح</w:t>
      </w:r>
      <w:r w:rsidR="00EC7EDF" w:rsidRPr="00FD211F">
        <w:rPr>
          <w:sz w:val="36"/>
          <w:szCs w:val="36"/>
          <w:rtl/>
        </w:rPr>
        <w:t xml:space="preserve">ة </w:t>
      </w:r>
      <w:r w:rsidR="009F1B83" w:rsidRPr="00FD211F">
        <w:rPr>
          <w:sz w:val="36"/>
          <w:szCs w:val="36"/>
          <w:rtl/>
        </w:rPr>
        <w:t>اضاف</w:t>
      </w:r>
      <w:r w:rsidR="00EC7EDF" w:rsidRPr="00FD211F">
        <w:rPr>
          <w:sz w:val="36"/>
          <w:szCs w:val="36"/>
          <w:rtl/>
        </w:rPr>
        <w:t xml:space="preserve">ة </w:t>
      </w:r>
      <w:r w:rsidR="009F1B83" w:rsidRPr="00FD211F">
        <w:rPr>
          <w:sz w:val="36"/>
          <w:szCs w:val="36"/>
          <w:rtl/>
        </w:rPr>
        <w:t>القتل الى الفاعل والمفعول فتنشأ من كونه متعديا</w:t>
      </w:r>
      <w:r w:rsidR="00603323" w:rsidRPr="00FD211F">
        <w:rPr>
          <w:sz w:val="36"/>
          <w:szCs w:val="36"/>
          <w:rtl/>
        </w:rPr>
        <w:t xml:space="preserve">، </w:t>
      </w:r>
      <w:r w:rsidR="009F1B83" w:rsidRPr="00FD211F">
        <w:rPr>
          <w:sz w:val="36"/>
          <w:szCs w:val="36"/>
          <w:rtl/>
        </w:rPr>
        <w:t>بخلاف الخروج فانه لازم لامفعول له كي يضاف اليه</w:t>
      </w:r>
      <w:r w:rsidR="00603323" w:rsidRPr="00FD211F">
        <w:rPr>
          <w:sz w:val="36"/>
          <w:szCs w:val="36"/>
          <w:rtl/>
        </w:rPr>
        <w:t xml:space="preserve">، </w:t>
      </w:r>
      <w:r w:rsidR="009F1B83" w:rsidRPr="00FD211F">
        <w:rPr>
          <w:sz w:val="36"/>
          <w:szCs w:val="36"/>
          <w:rtl/>
        </w:rPr>
        <w:t>نعم يصح اضافته الى سائر ملابساته فيقال خروج يوم الجمع</w:t>
      </w:r>
      <w:r w:rsidR="00EC7EDF" w:rsidRPr="00FD211F">
        <w:rPr>
          <w:sz w:val="36"/>
          <w:szCs w:val="36"/>
          <w:rtl/>
        </w:rPr>
        <w:t>ة</w:t>
      </w:r>
      <w:r w:rsidR="00603323" w:rsidRPr="00FD211F">
        <w:rPr>
          <w:sz w:val="36"/>
          <w:szCs w:val="36"/>
          <w:rtl/>
        </w:rPr>
        <w:t xml:space="preserve">، </w:t>
      </w:r>
      <w:r w:rsidR="009F1B83" w:rsidRPr="00FD211F">
        <w:rPr>
          <w:sz w:val="36"/>
          <w:szCs w:val="36"/>
          <w:rtl/>
        </w:rPr>
        <w:t>وهذا لايعني اختلاف كيفي</w:t>
      </w:r>
      <w:r w:rsidR="00EC7EDF" w:rsidRPr="00FD211F">
        <w:rPr>
          <w:sz w:val="36"/>
          <w:szCs w:val="36"/>
          <w:rtl/>
        </w:rPr>
        <w:t xml:space="preserve">ة </w:t>
      </w:r>
      <w:r w:rsidR="009F1B83" w:rsidRPr="00FD211F">
        <w:rPr>
          <w:sz w:val="36"/>
          <w:szCs w:val="36"/>
          <w:rtl/>
        </w:rPr>
        <w:t>لحاظ معنى القتل عن كيفي</w:t>
      </w:r>
      <w:r w:rsidR="00EC7EDF" w:rsidRPr="00FD211F">
        <w:rPr>
          <w:sz w:val="36"/>
          <w:szCs w:val="36"/>
          <w:rtl/>
        </w:rPr>
        <w:t xml:space="preserve">ة </w:t>
      </w:r>
      <w:r w:rsidR="009F1B83" w:rsidRPr="00FD211F">
        <w:rPr>
          <w:sz w:val="36"/>
          <w:szCs w:val="36"/>
          <w:rtl/>
        </w:rPr>
        <w:t>لحاظ معنى الخروج</w:t>
      </w:r>
      <w:r w:rsidR="00603323" w:rsidRPr="00FD211F">
        <w:rPr>
          <w:sz w:val="36"/>
          <w:szCs w:val="36"/>
          <w:rtl/>
        </w:rPr>
        <w:t xml:space="preserve">، </w:t>
      </w:r>
      <w:r w:rsidR="009F1B83" w:rsidRPr="00FD211F">
        <w:rPr>
          <w:sz w:val="36"/>
          <w:szCs w:val="36"/>
          <w:rtl/>
        </w:rPr>
        <w:t>ويشهد على ما ذكرنا عدم تصور مصدر لوحظ فيه تكوينه القابلي دون الفاعلي بان يضاف الى مفعوله ولايصح ان يضاف الى فاعله</w:t>
      </w:r>
      <w:r w:rsidR="00603323" w:rsidRPr="00FD211F">
        <w:rPr>
          <w:sz w:val="36"/>
          <w:szCs w:val="36"/>
          <w:rtl/>
        </w:rPr>
        <w:t xml:space="preserve">، </w:t>
      </w:r>
      <w:r w:rsidR="009F1B83" w:rsidRPr="00FD211F">
        <w:rPr>
          <w:sz w:val="36"/>
          <w:szCs w:val="36"/>
          <w:rtl/>
        </w:rPr>
        <w:t>الا اذا كان مصدر فعل المجهول فانه يضاف الى نائب فا</w:t>
      </w:r>
      <w:r w:rsidRPr="00FD211F">
        <w:rPr>
          <w:sz w:val="36"/>
          <w:szCs w:val="36"/>
          <w:rtl/>
        </w:rPr>
        <w:t>عله</w:t>
      </w:r>
      <w:r w:rsidR="00603323" w:rsidRPr="00FD211F">
        <w:rPr>
          <w:sz w:val="36"/>
          <w:szCs w:val="36"/>
          <w:rtl/>
        </w:rPr>
        <w:t xml:space="preserve">، </w:t>
      </w:r>
      <w:r w:rsidRPr="00FD211F">
        <w:rPr>
          <w:sz w:val="36"/>
          <w:szCs w:val="36"/>
          <w:rtl/>
        </w:rPr>
        <w:t>ولكنه خارج عن مفروض الكلام.</w:t>
      </w:r>
    </w:p>
    <w:p w14:paraId="10551B16" w14:textId="77777777" w:rsidR="008627E6" w:rsidRPr="00FD211F" w:rsidRDefault="008627E6" w:rsidP="009C58C8">
      <w:pPr>
        <w:ind w:left="0" w:firstLine="227"/>
        <w:jc w:val="both"/>
        <w:rPr>
          <w:sz w:val="36"/>
          <w:szCs w:val="36"/>
          <w:rtl/>
        </w:rPr>
      </w:pPr>
      <w:r w:rsidRPr="00FD211F">
        <w:rPr>
          <w:sz w:val="36"/>
          <w:szCs w:val="36"/>
          <w:rtl/>
        </w:rPr>
        <w:t>والصحيح في الايراد على الوجه الاول</w:t>
      </w:r>
      <w:r w:rsidR="00603323" w:rsidRPr="00FD211F">
        <w:rPr>
          <w:sz w:val="36"/>
          <w:szCs w:val="36"/>
          <w:rtl/>
        </w:rPr>
        <w:t xml:space="preserve">، </w:t>
      </w:r>
      <w:r w:rsidR="00872E6F" w:rsidRPr="00FD211F">
        <w:rPr>
          <w:sz w:val="36"/>
          <w:szCs w:val="36"/>
          <w:rtl/>
        </w:rPr>
        <w:t>أن يقال</w:t>
      </w:r>
      <w:r w:rsidR="00856647" w:rsidRPr="00FD211F">
        <w:rPr>
          <w:sz w:val="36"/>
          <w:szCs w:val="36"/>
          <w:rtl/>
        </w:rPr>
        <w:t>:</w:t>
      </w:r>
      <w:r w:rsidRPr="00FD211F">
        <w:rPr>
          <w:sz w:val="36"/>
          <w:szCs w:val="36"/>
          <w:rtl/>
        </w:rPr>
        <w:t>ان اختلاف المصدر المجرد والمزيد لايدل على وضع المصدر المجرد على معنى زائد</w:t>
      </w:r>
      <w:r w:rsidR="00603323" w:rsidRPr="00FD211F">
        <w:rPr>
          <w:sz w:val="36"/>
          <w:szCs w:val="36"/>
          <w:rtl/>
        </w:rPr>
        <w:t xml:space="preserve">، </w:t>
      </w:r>
      <w:r w:rsidRPr="00FD211F">
        <w:rPr>
          <w:sz w:val="36"/>
          <w:szCs w:val="36"/>
          <w:rtl/>
        </w:rPr>
        <w:t>بل يكفي وضع هيئ</w:t>
      </w:r>
      <w:r w:rsidR="00EC7EDF" w:rsidRPr="00FD211F">
        <w:rPr>
          <w:sz w:val="36"/>
          <w:szCs w:val="36"/>
          <w:rtl/>
        </w:rPr>
        <w:t xml:space="preserve">ة </w:t>
      </w:r>
      <w:r w:rsidRPr="00FD211F">
        <w:rPr>
          <w:sz w:val="36"/>
          <w:szCs w:val="36"/>
          <w:rtl/>
        </w:rPr>
        <w:t>المصدر المزيد لمعنى زائد.</w:t>
      </w:r>
    </w:p>
    <w:p w14:paraId="2BFCD2AA" w14:textId="77777777" w:rsidR="00556BC0" w:rsidRPr="00FD211F" w:rsidRDefault="008627E6" w:rsidP="009C58C8">
      <w:pPr>
        <w:ind w:left="0" w:firstLine="227"/>
        <w:jc w:val="both"/>
        <w:rPr>
          <w:sz w:val="36"/>
          <w:szCs w:val="36"/>
          <w:rtl/>
        </w:rPr>
      </w:pPr>
      <w:r w:rsidRPr="00FD211F">
        <w:rPr>
          <w:sz w:val="36"/>
          <w:szCs w:val="36"/>
          <w:rtl/>
        </w:rPr>
        <w:t>والايراد</w:t>
      </w:r>
      <w:r w:rsidR="009F1B83" w:rsidRPr="00FD211F">
        <w:rPr>
          <w:sz w:val="36"/>
          <w:szCs w:val="36"/>
          <w:rtl/>
        </w:rPr>
        <w:t>على الوجه الثاني</w:t>
      </w:r>
      <w:r w:rsidR="00603323" w:rsidRPr="00FD211F">
        <w:rPr>
          <w:sz w:val="36"/>
          <w:szCs w:val="36"/>
          <w:rtl/>
        </w:rPr>
        <w:t xml:space="preserve">، </w:t>
      </w:r>
      <w:r w:rsidRPr="00FD211F">
        <w:rPr>
          <w:sz w:val="36"/>
          <w:szCs w:val="36"/>
          <w:rtl/>
        </w:rPr>
        <w:t>هو</w:t>
      </w:r>
      <w:r w:rsidR="009F1B83" w:rsidRPr="00FD211F">
        <w:rPr>
          <w:sz w:val="36"/>
          <w:szCs w:val="36"/>
          <w:rtl/>
        </w:rPr>
        <w:t xml:space="preserve"> ان</w:t>
      </w:r>
      <w:r w:rsidR="00872E6F" w:rsidRPr="00FD211F">
        <w:rPr>
          <w:sz w:val="36"/>
          <w:szCs w:val="36"/>
          <w:rtl/>
        </w:rPr>
        <w:t xml:space="preserve"> يقال:ان</w:t>
      </w:r>
      <w:r w:rsidR="00C7588D" w:rsidRPr="00FD211F">
        <w:rPr>
          <w:sz w:val="36"/>
          <w:szCs w:val="36"/>
          <w:rtl/>
        </w:rPr>
        <w:t xml:space="preserve"> </w:t>
      </w:r>
      <w:r w:rsidR="009F1B83" w:rsidRPr="00FD211F">
        <w:rPr>
          <w:sz w:val="36"/>
          <w:szCs w:val="36"/>
          <w:rtl/>
        </w:rPr>
        <w:t>هيئ</w:t>
      </w:r>
      <w:r w:rsidR="00EC7EDF" w:rsidRPr="00FD211F">
        <w:rPr>
          <w:sz w:val="36"/>
          <w:szCs w:val="36"/>
          <w:rtl/>
        </w:rPr>
        <w:t xml:space="preserve">ة </w:t>
      </w:r>
      <w:r w:rsidR="009F1B83" w:rsidRPr="00FD211F">
        <w:rPr>
          <w:sz w:val="36"/>
          <w:szCs w:val="36"/>
          <w:rtl/>
        </w:rPr>
        <w:t>المصدر موضوع</w:t>
      </w:r>
      <w:r w:rsidR="00EC7EDF" w:rsidRPr="00FD211F">
        <w:rPr>
          <w:sz w:val="36"/>
          <w:szCs w:val="36"/>
          <w:rtl/>
        </w:rPr>
        <w:t xml:space="preserve">ة </w:t>
      </w:r>
      <w:r w:rsidR="009F1B83" w:rsidRPr="00FD211F">
        <w:rPr>
          <w:sz w:val="36"/>
          <w:szCs w:val="36"/>
          <w:rtl/>
        </w:rPr>
        <w:t>للدلال</w:t>
      </w:r>
      <w:r w:rsidR="00EC7EDF" w:rsidRPr="00FD211F">
        <w:rPr>
          <w:sz w:val="36"/>
          <w:szCs w:val="36"/>
          <w:rtl/>
        </w:rPr>
        <w:t xml:space="preserve">ة </w:t>
      </w:r>
      <w:r w:rsidR="009F1B83" w:rsidRPr="00FD211F">
        <w:rPr>
          <w:sz w:val="36"/>
          <w:szCs w:val="36"/>
          <w:rtl/>
        </w:rPr>
        <w:t>على خصوصي</w:t>
      </w:r>
      <w:r w:rsidR="00EC7EDF" w:rsidRPr="00FD211F">
        <w:rPr>
          <w:sz w:val="36"/>
          <w:szCs w:val="36"/>
          <w:rtl/>
        </w:rPr>
        <w:t xml:space="preserve">ة </w:t>
      </w:r>
      <w:r w:rsidR="009F1B83" w:rsidRPr="00FD211F">
        <w:rPr>
          <w:sz w:val="36"/>
          <w:szCs w:val="36"/>
          <w:rtl/>
        </w:rPr>
        <w:t>قيام الحدث بفاعله وهو معروضه العرفي</w:t>
      </w:r>
      <w:r w:rsidR="00603323" w:rsidRPr="00FD211F">
        <w:rPr>
          <w:sz w:val="36"/>
          <w:szCs w:val="36"/>
          <w:rtl/>
        </w:rPr>
        <w:t xml:space="preserve">، </w:t>
      </w:r>
      <w:r w:rsidR="009F1B83" w:rsidRPr="00FD211F">
        <w:rPr>
          <w:sz w:val="36"/>
          <w:szCs w:val="36"/>
          <w:rtl/>
        </w:rPr>
        <w:t>وفاعل الخروج ومعروضه العرفي هو الخارج</w:t>
      </w:r>
      <w:r w:rsidR="00603323" w:rsidRPr="00FD211F">
        <w:rPr>
          <w:sz w:val="36"/>
          <w:szCs w:val="36"/>
          <w:rtl/>
        </w:rPr>
        <w:t xml:space="preserve">، </w:t>
      </w:r>
      <w:r w:rsidR="009F1B83" w:rsidRPr="00FD211F">
        <w:rPr>
          <w:sz w:val="36"/>
          <w:szCs w:val="36"/>
          <w:rtl/>
        </w:rPr>
        <w:t>ولذا يحمل اسم الفاعل وهو الخارج عليه دون المخرِج.</w:t>
      </w:r>
    </w:p>
    <w:p w14:paraId="1D2A9C07" w14:textId="77777777" w:rsidR="00556BC0" w:rsidRPr="00FD211F" w:rsidRDefault="00556BC0" w:rsidP="009C58C8">
      <w:pPr>
        <w:ind w:left="0" w:firstLine="227"/>
        <w:jc w:val="both"/>
        <w:rPr>
          <w:sz w:val="36"/>
          <w:szCs w:val="36"/>
          <w:rtl/>
        </w:rPr>
      </w:pPr>
      <w:r w:rsidRPr="00FD211F">
        <w:rPr>
          <w:sz w:val="36"/>
          <w:szCs w:val="36"/>
          <w:rtl/>
        </w:rPr>
        <w:t>هذا وقد ذكر في البحوث انه حيث يكون معنى اسم المصدر جزءا من معنى المصدر</w:t>
      </w:r>
      <w:r w:rsidR="008627E6" w:rsidRPr="00FD211F">
        <w:rPr>
          <w:sz w:val="36"/>
          <w:szCs w:val="36"/>
          <w:rtl/>
        </w:rPr>
        <w:t xml:space="preserve"> </w:t>
      </w:r>
      <w:r w:rsidRPr="00FD211F">
        <w:rPr>
          <w:sz w:val="36"/>
          <w:szCs w:val="36"/>
          <w:rtl/>
        </w:rPr>
        <w:t>لامباينامعه</w:t>
      </w:r>
      <w:r w:rsidR="00603323" w:rsidRPr="00FD211F">
        <w:rPr>
          <w:sz w:val="36"/>
          <w:szCs w:val="36"/>
          <w:rtl/>
        </w:rPr>
        <w:t xml:space="preserve">، </w:t>
      </w:r>
      <w:r w:rsidRPr="00FD211F">
        <w:rPr>
          <w:sz w:val="36"/>
          <w:szCs w:val="36"/>
          <w:rtl/>
        </w:rPr>
        <w:t>فبناء على 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تصوري</w:t>
      </w:r>
      <w:r w:rsidR="00EC7EDF" w:rsidRPr="00FD211F">
        <w:rPr>
          <w:sz w:val="36"/>
          <w:szCs w:val="36"/>
          <w:rtl/>
        </w:rPr>
        <w:t xml:space="preserve">ة </w:t>
      </w:r>
      <w:r w:rsidRPr="00FD211F">
        <w:rPr>
          <w:sz w:val="36"/>
          <w:szCs w:val="36"/>
          <w:rtl/>
        </w:rPr>
        <w:t>حيث انها القرن الأكيد بين تصور اللفظ وتصور المعنى</w:t>
      </w:r>
      <w:r w:rsidR="00603323" w:rsidRPr="00FD211F">
        <w:rPr>
          <w:sz w:val="36"/>
          <w:szCs w:val="36"/>
          <w:rtl/>
        </w:rPr>
        <w:t xml:space="preserve">، </w:t>
      </w:r>
      <w:r w:rsidRPr="00FD211F">
        <w:rPr>
          <w:sz w:val="36"/>
          <w:szCs w:val="36"/>
          <w:rtl/>
        </w:rPr>
        <w:t>فلامعنى لوضع لفظ واحد ذي هيئ</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008627E6" w:rsidRPr="00FD211F">
        <w:rPr>
          <w:sz w:val="36"/>
          <w:szCs w:val="36"/>
          <w:rtl/>
        </w:rPr>
        <w:t>"كالضرب"</w:t>
      </w:r>
      <w:r w:rsidRPr="00FD211F">
        <w:rPr>
          <w:sz w:val="36"/>
          <w:szCs w:val="36"/>
          <w:rtl/>
        </w:rPr>
        <w:t xml:space="preserve"> على كل من المصدر واسم المصدر</w:t>
      </w:r>
      <w:r w:rsidR="00603323" w:rsidRPr="00FD211F">
        <w:rPr>
          <w:sz w:val="36"/>
          <w:szCs w:val="36"/>
          <w:rtl/>
        </w:rPr>
        <w:t xml:space="preserve">، </w:t>
      </w:r>
      <w:r w:rsidRPr="00FD211F">
        <w:rPr>
          <w:sz w:val="36"/>
          <w:szCs w:val="36"/>
          <w:rtl/>
        </w:rPr>
        <w:t>اذ عند سماع اللفظ ينتقل ذهن السامع لامحال</w:t>
      </w:r>
      <w:r w:rsidR="00EC7EDF" w:rsidRPr="00FD211F">
        <w:rPr>
          <w:sz w:val="36"/>
          <w:szCs w:val="36"/>
          <w:rtl/>
        </w:rPr>
        <w:t xml:space="preserve">ة </w:t>
      </w:r>
      <w:r w:rsidRPr="00FD211F">
        <w:rPr>
          <w:sz w:val="36"/>
          <w:szCs w:val="36"/>
          <w:rtl/>
        </w:rPr>
        <w:t>الى المعنى الأكثر وهو معنى المصدر بعد كون الأقل لابشرط وهو معنى اسم المصدر في ضمنه</w:t>
      </w:r>
      <w:r w:rsidR="00603323" w:rsidRPr="00FD211F">
        <w:rPr>
          <w:sz w:val="36"/>
          <w:szCs w:val="36"/>
          <w:rtl/>
        </w:rPr>
        <w:t xml:space="preserve">، </w:t>
      </w:r>
      <w:r w:rsidRPr="00FD211F">
        <w:rPr>
          <w:sz w:val="36"/>
          <w:szCs w:val="36"/>
          <w:rtl/>
        </w:rPr>
        <w:t>ويلزم في الاشتراك اللفظي وجود التباين بين المعنيين</w:t>
      </w:r>
      <w:r w:rsidR="00603323" w:rsidRPr="00FD211F">
        <w:rPr>
          <w:sz w:val="36"/>
          <w:szCs w:val="36"/>
          <w:rtl/>
        </w:rPr>
        <w:t xml:space="preserve">، </w:t>
      </w:r>
      <w:r w:rsidRPr="00FD211F">
        <w:rPr>
          <w:sz w:val="36"/>
          <w:szCs w:val="36"/>
          <w:rtl/>
        </w:rPr>
        <w:t>نعم بناء على كون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تصديقي</w:t>
      </w:r>
      <w:r w:rsidR="00EC7EDF" w:rsidRPr="00FD211F">
        <w:rPr>
          <w:sz w:val="36"/>
          <w:szCs w:val="36"/>
          <w:rtl/>
        </w:rPr>
        <w:t xml:space="preserve">ة </w:t>
      </w:r>
      <w:r w:rsidRPr="00FD211F">
        <w:rPr>
          <w:sz w:val="36"/>
          <w:szCs w:val="36"/>
          <w:rtl/>
        </w:rPr>
        <w:t>كما هو مقتضى مسلك التعهد فلامانع من ان يتعهد الواضع انه لايستعمل اللفظ الا اذا اراد تفهيم احد المعنيين وان كان النسب</w:t>
      </w:r>
      <w:r w:rsidR="00EC7EDF" w:rsidRPr="00FD211F">
        <w:rPr>
          <w:sz w:val="36"/>
          <w:szCs w:val="36"/>
          <w:rtl/>
        </w:rPr>
        <w:t xml:space="preserve">ة </w:t>
      </w:r>
      <w:r w:rsidRPr="00FD211F">
        <w:rPr>
          <w:sz w:val="36"/>
          <w:szCs w:val="36"/>
          <w:rtl/>
        </w:rPr>
        <w:t>بينهما نسب</w:t>
      </w:r>
      <w:r w:rsidR="00EC7EDF" w:rsidRPr="00FD211F">
        <w:rPr>
          <w:sz w:val="36"/>
          <w:szCs w:val="36"/>
          <w:rtl/>
        </w:rPr>
        <w:t xml:space="preserve">ة </w:t>
      </w:r>
      <w:r w:rsidRPr="00FD211F">
        <w:rPr>
          <w:sz w:val="36"/>
          <w:szCs w:val="36"/>
          <w:rtl/>
        </w:rPr>
        <w:t>الأقل الى الأكثر</w:t>
      </w:r>
      <w:r w:rsidR="009C58C8" w:rsidRPr="00FD211F">
        <w:rPr>
          <w:rStyle w:val="a6"/>
          <w:sz w:val="36"/>
          <w:szCs w:val="36"/>
          <w:rtl/>
        </w:rPr>
        <w:t>(</w:t>
      </w:r>
      <w:r w:rsidR="009C58C8" w:rsidRPr="00FD211F">
        <w:rPr>
          <w:rStyle w:val="a6"/>
          <w:sz w:val="36"/>
          <w:szCs w:val="36"/>
          <w:rtl/>
        </w:rPr>
        <w:footnoteReference w:id="242"/>
      </w:r>
      <w:r w:rsidR="009C58C8" w:rsidRPr="00FD211F">
        <w:rPr>
          <w:rStyle w:val="a6"/>
          <w:sz w:val="36"/>
          <w:szCs w:val="36"/>
          <w:rtl/>
        </w:rPr>
        <w:t>)</w:t>
      </w:r>
      <w:r w:rsidRPr="00FD211F">
        <w:rPr>
          <w:sz w:val="36"/>
          <w:szCs w:val="36"/>
          <w:rtl/>
        </w:rPr>
        <w:t>.</w:t>
      </w:r>
    </w:p>
    <w:p w14:paraId="06B06AF9" w14:textId="77777777" w:rsidR="00556BC0" w:rsidRPr="00FD211F" w:rsidRDefault="00556BC0" w:rsidP="009C58C8">
      <w:pPr>
        <w:ind w:left="0" w:firstLine="227"/>
        <w:jc w:val="both"/>
        <w:rPr>
          <w:sz w:val="36"/>
          <w:szCs w:val="36"/>
          <w:rtl/>
        </w:rPr>
      </w:pPr>
      <w:r w:rsidRPr="00FD211F">
        <w:rPr>
          <w:sz w:val="36"/>
          <w:szCs w:val="36"/>
          <w:rtl/>
        </w:rPr>
        <w:t>اقول: حيث ان الغرض من الوضع هو صح</w:t>
      </w:r>
      <w:r w:rsidR="00EC7EDF" w:rsidRPr="00FD211F">
        <w:rPr>
          <w:sz w:val="36"/>
          <w:szCs w:val="36"/>
          <w:rtl/>
        </w:rPr>
        <w:t xml:space="preserve">ة </w:t>
      </w:r>
      <w:r w:rsidRPr="00FD211F">
        <w:rPr>
          <w:sz w:val="36"/>
          <w:szCs w:val="36"/>
          <w:rtl/>
        </w:rPr>
        <w:t>الاستعمال وكذا انعقاد ظهور حالي عقلائي للكلام في كون المعنى مرادا استعماليا للمتكلم</w:t>
      </w:r>
      <w:r w:rsidR="00603323" w:rsidRPr="00FD211F">
        <w:rPr>
          <w:sz w:val="36"/>
          <w:szCs w:val="36"/>
          <w:rtl/>
        </w:rPr>
        <w:t xml:space="preserve">، </w:t>
      </w:r>
      <w:r w:rsidRPr="00FD211F">
        <w:rPr>
          <w:sz w:val="36"/>
          <w:szCs w:val="36"/>
          <w:rtl/>
        </w:rPr>
        <w:t>فلامانع من وضع لفظ واحد لمعنيين يكون نسب</w:t>
      </w:r>
      <w:r w:rsidR="00EC7EDF" w:rsidRPr="00FD211F">
        <w:rPr>
          <w:sz w:val="36"/>
          <w:szCs w:val="36"/>
          <w:rtl/>
        </w:rPr>
        <w:t xml:space="preserve">ة </w:t>
      </w:r>
      <w:r w:rsidRPr="00FD211F">
        <w:rPr>
          <w:sz w:val="36"/>
          <w:szCs w:val="36"/>
          <w:rtl/>
        </w:rPr>
        <w:t>احدهما الى الآخر نسب</w:t>
      </w:r>
      <w:r w:rsidR="00EC7EDF" w:rsidRPr="00FD211F">
        <w:rPr>
          <w:sz w:val="36"/>
          <w:szCs w:val="36"/>
          <w:rtl/>
        </w:rPr>
        <w:t xml:space="preserve">ة </w:t>
      </w:r>
      <w:r w:rsidRPr="00FD211F">
        <w:rPr>
          <w:sz w:val="36"/>
          <w:szCs w:val="36"/>
          <w:rtl/>
        </w:rPr>
        <w:t>الأقل الى الأكثر</w:t>
      </w:r>
      <w:r w:rsidR="00603323" w:rsidRPr="00FD211F">
        <w:rPr>
          <w:sz w:val="36"/>
          <w:szCs w:val="36"/>
          <w:rtl/>
        </w:rPr>
        <w:t xml:space="preserve">، </w:t>
      </w:r>
      <w:r w:rsidRPr="00FD211F">
        <w:rPr>
          <w:sz w:val="36"/>
          <w:szCs w:val="36"/>
          <w:rtl/>
        </w:rPr>
        <w:t>فان أثر هذا الوضع هو عدم انعقاد الظهور الاستعمالي لكلامه في اراد</w:t>
      </w:r>
      <w:r w:rsidR="00EC7EDF" w:rsidRPr="00FD211F">
        <w:rPr>
          <w:sz w:val="36"/>
          <w:szCs w:val="36"/>
          <w:rtl/>
        </w:rPr>
        <w:t xml:space="preserve">ة </w:t>
      </w:r>
      <w:r w:rsidRPr="00FD211F">
        <w:rPr>
          <w:sz w:val="36"/>
          <w:szCs w:val="36"/>
          <w:rtl/>
        </w:rPr>
        <w:t>المعنى الأكثر</w:t>
      </w:r>
      <w:r w:rsidR="00603323" w:rsidRPr="00FD211F">
        <w:rPr>
          <w:sz w:val="36"/>
          <w:szCs w:val="36"/>
          <w:rtl/>
        </w:rPr>
        <w:t xml:space="preserve">، </w:t>
      </w:r>
      <w:r w:rsidRPr="00FD211F">
        <w:rPr>
          <w:sz w:val="36"/>
          <w:szCs w:val="36"/>
          <w:rtl/>
        </w:rPr>
        <w:t>وهذا لاينافي كون تصور اللفظ موجبا لتصور المعنى الأكثر دائما</w:t>
      </w:r>
      <w:r w:rsidR="00603323" w:rsidRPr="00FD211F">
        <w:rPr>
          <w:sz w:val="36"/>
          <w:szCs w:val="36"/>
          <w:rtl/>
        </w:rPr>
        <w:t xml:space="preserve">، </w:t>
      </w:r>
      <w:r w:rsidRPr="00FD211F">
        <w:rPr>
          <w:sz w:val="36"/>
          <w:szCs w:val="36"/>
          <w:rtl/>
        </w:rPr>
        <w:t>ولافرق فيما ذكرناه بين كون الوضع تعيينيا او تعينيا فانه لو كثر استعمال لفظ في كل من المعنى الأكثر والأقل فلاينعقد ظهور حالي عقلائي في استعمال المستعمل له في المعنى الأكثر</w:t>
      </w:r>
      <w:r w:rsidR="00603323" w:rsidRPr="00FD211F">
        <w:rPr>
          <w:sz w:val="36"/>
          <w:szCs w:val="36"/>
          <w:rtl/>
        </w:rPr>
        <w:t xml:space="preserve">، </w:t>
      </w:r>
      <w:r w:rsidRPr="00FD211F">
        <w:rPr>
          <w:sz w:val="36"/>
          <w:szCs w:val="36"/>
          <w:rtl/>
        </w:rPr>
        <w:t>وان شئت فلاحظ اسم المصدر في الفارسي</w:t>
      </w:r>
      <w:r w:rsidR="00EC7EDF" w:rsidRPr="00FD211F">
        <w:rPr>
          <w:sz w:val="36"/>
          <w:szCs w:val="36"/>
          <w:rtl/>
        </w:rPr>
        <w:t xml:space="preserve">ة </w:t>
      </w:r>
      <w:r w:rsidRPr="00FD211F">
        <w:rPr>
          <w:sz w:val="36"/>
          <w:szCs w:val="36"/>
          <w:rtl/>
        </w:rPr>
        <w:t>حيث انه قد يكون مشتركا لفظيا مع صيغ</w:t>
      </w:r>
      <w:r w:rsidR="00EC7EDF" w:rsidRPr="00FD211F">
        <w:rPr>
          <w:sz w:val="36"/>
          <w:szCs w:val="36"/>
          <w:rtl/>
        </w:rPr>
        <w:t xml:space="preserve">ة </w:t>
      </w:r>
      <w:r w:rsidRPr="00FD211F">
        <w:rPr>
          <w:sz w:val="36"/>
          <w:szCs w:val="36"/>
          <w:rtl/>
        </w:rPr>
        <w:t>الفعل الماضي مثل "زد</w:t>
      </w:r>
      <w:r w:rsidR="00603323" w:rsidRPr="00FD211F">
        <w:rPr>
          <w:sz w:val="36"/>
          <w:szCs w:val="36"/>
          <w:rtl/>
        </w:rPr>
        <w:t xml:space="preserve">، </w:t>
      </w:r>
      <w:r w:rsidRPr="00FD211F">
        <w:rPr>
          <w:sz w:val="36"/>
          <w:szCs w:val="36"/>
          <w:rtl/>
        </w:rPr>
        <w:t>رفت</w:t>
      </w:r>
      <w:r w:rsidR="00603323" w:rsidRPr="00FD211F">
        <w:rPr>
          <w:sz w:val="36"/>
          <w:szCs w:val="36"/>
          <w:rtl/>
        </w:rPr>
        <w:t xml:space="preserve">، </w:t>
      </w:r>
      <w:r w:rsidRPr="00FD211F">
        <w:rPr>
          <w:sz w:val="36"/>
          <w:szCs w:val="36"/>
          <w:rtl/>
        </w:rPr>
        <w:t>كُشت</w:t>
      </w:r>
      <w:r w:rsidR="00603323" w:rsidRPr="00FD211F">
        <w:rPr>
          <w:sz w:val="36"/>
          <w:szCs w:val="36"/>
          <w:rtl/>
        </w:rPr>
        <w:t xml:space="preserve">، </w:t>
      </w:r>
      <w:r w:rsidRPr="00FD211F">
        <w:rPr>
          <w:sz w:val="36"/>
          <w:szCs w:val="36"/>
          <w:rtl/>
        </w:rPr>
        <w:t>برگشت" فحصر حقيق</w:t>
      </w:r>
      <w:r w:rsidR="00EC7EDF" w:rsidRPr="00FD211F">
        <w:rPr>
          <w:sz w:val="36"/>
          <w:szCs w:val="36"/>
          <w:rtl/>
        </w:rPr>
        <w:t xml:space="preserve">ة </w:t>
      </w:r>
      <w:r w:rsidRPr="00FD211F">
        <w:rPr>
          <w:sz w:val="36"/>
          <w:szCs w:val="36"/>
          <w:rtl/>
        </w:rPr>
        <w:t>الوضع في القرن الأكيد بين تصور اللفظ وتصور المعنى من دون ملاحظ</w:t>
      </w:r>
      <w:r w:rsidR="00EC7EDF" w:rsidRPr="00FD211F">
        <w:rPr>
          <w:sz w:val="36"/>
          <w:szCs w:val="36"/>
          <w:rtl/>
        </w:rPr>
        <w:t xml:space="preserve">ة </w:t>
      </w:r>
      <w:r w:rsidRPr="00FD211F">
        <w:rPr>
          <w:sz w:val="36"/>
          <w:szCs w:val="36"/>
          <w:rtl/>
        </w:rPr>
        <w:t>النكات التي لها دخل في الظهور الاستعمالي غير متجه.</w:t>
      </w:r>
    </w:p>
    <w:p w14:paraId="39048F4D" w14:textId="77777777" w:rsidR="00556BC0" w:rsidRPr="00FD211F" w:rsidRDefault="00556BC0" w:rsidP="009C58C8">
      <w:pPr>
        <w:pStyle w:val="3"/>
        <w:ind w:firstLine="227"/>
        <w:jc w:val="both"/>
        <w:rPr>
          <w:rtl/>
        </w:rPr>
      </w:pPr>
      <w:bookmarkStart w:id="254" w:name="_Toc192092892"/>
      <w:bookmarkStart w:id="255" w:name="_Toc223890370"/>
      <w:r w:rsidRPr="00FD211F">
        <w:rPr>
          <w:rtl/>
        </w:rPr>
        <w:t>هيئ</w:t>
      </w:r>
      <w:r w:rsidR="00EC7EDF" w:rsidRPr="00FD211F">
        <w:rPr>
          <w:rtl/>
        </w:rPr>
        <w:t xml:space="preserve">ة </w:t>
      </w:r>
      <w:r w:rsidRPr="00FD211F">
        <w:rPr>
          <w:rtl/>
        </w:rPr>
        <w:t>المشتقات الوصفي</w:t>
      </w:r>
      <w:r w:rsidR="00EC7EDF" w:rsidRPr="00FD211F">
        <w:rPr>
          <w:rtl/>
        </w:rPr>
        <w:t>ة</w:t>
      </w:r>
      <w:bookmarkEnd w:id="255"/>
      <w:r w:rsidR="00EC7EDF" w:rsidRPr="00FD211F">
        <w:rPr>
          <w:rtl/>
        </w:rPr>
        <w:t xml:space="preserve"> </w:t>
      </w:r>
      <w:bookmarkEnd w:id="254"/>
    </w:p>
    <w:p w14:paraId="7EFA4354" w14:textId="77777777" w:rsidR="00556BC0" w:rsidRPr="00FD211F" w:rsidRDefault="00556BC0" w:rsidP="009C58C8">
      <w:pPr>
        <w:ind w:left="0" w:firstLine="227"/>
        <w:jc w:val="both"/>
        <w:rPr>
          <w:sz w:val="36"/>
          <w:szCs w:val="36"/>
          <w:rtl/>
        </w:rPr>
      </w:pPr>
      <w:r w:rsidRPr="00FD211F">
        <w:rPr>
          <w:sz w:val="36"/>
          <w:szCs w:val="36"/>
          <w:rtl/>
        </w:rPr>
        <w:t xml:space="preserve">المراد </w:t>
      </w:r>
      <w:r w:rsidR="00DB7126" w:rsidRPr="00FD211F">
        <w:rPr>
          <w:sz w:val="36"/>
          <w:szCs w:val="36"/>
          <w:rtl/>
        </w:rPr>
        <w:t>بالمشتق الوصفي</w:t>
      </w:r>
      <w:r w:rsidRPr="00FD211F">
        <w:rPr>
          <w:sz w:val="36"/>
          <w:szCs w:val="36"/>
          <w:rtl/>
        </w:rPr>
        <w:t xml:space="preserve"> كل مشتق يحمل على الذات المتلبس</w:t>
      </w:r>
      <w:r w:rsidR="00EC7EDF" w:rsidRPr="00FD211F">
        <w:rPr>
          <w:sz w:val="36"/>
          <w:szCs w:val="36"/>
          <w:rtl/>
        </w:rPr>
        <w:t xml:space="preserve">ة </w:t>
      </w:r>
      <w:r w:rsidRPr="00FD211F">
        <w:rPr>
          <w:sz w:val="36"/>
          <w:szCs w:val="36"/>
          <w:rtl/>
        </w:rPr>
        <w:t>بالمبدأ بنحو من الأنحاء كاسم الفاعل والمفعول والآل</w:t>
      </w:r>
      <w:r w:rsidR="00EC7EDF" w:rsidRPr="00FD211F">
        <w:rPr>
          <w:sz w:val="36"/>
          <w:szCs w:val="36"/>
          <w:rtl/>
        </w:rPr>
        <w:t xml:space="preserve">ة </w:t>
      </w:r>
      <w:r w:rsidRPr="00FD211F">
        <w:rPr>
          <w:sz w:val="36"/>
          <w:szCs w:val="36"/>
          <w:rtl/>
        </w:rPr>
        <w:t>والمكان والزمان</w:t>
      </w:r>
      <w:r w:rsidR="00603323" w:rsidRPr="00FD211F">
        <w:rPr>
          <w:sz w:val="36"/>
          <w:szCs w:val="36"/>
          <w:rtl/>
        </w:rPr>
        <w:t xml:space="preserve">، </w:t>
      </w:r>
      <w:r w:rsidRPr="00FD211F">
        <w:rPr>
          <w:sz w:val="36"/>
          <w:szCs w:val="36"/>
          <w:rtl/>
        </w:rPr>
        <w:t>ولاشك في ان هيئ</w:t>
      </w:r>
      <w:r w:rsidR="00EC7EDF" w:rsidRPr="00FD211F">
        <w:rPr>
          <w:sz w:val="36"/>
          <w:szCs w:val="36"/>
          <w:rtl/>
        </w:rPr>
        <w:t xml:space="preserve">ة </w:t>
      </w:r>
      <w:r w:rsidRPr="00FD211F">
        <w:rPr>
          <w:sz w:val="36"/>
          <w:szCs w:val="36"/>
          <w:rtl/>
        </w:rPr>
        <w:t>المشتق الوصفي موضوع</w:t>
      </w:r>
      <w:r w:rsidR="00EC7EDF" w:rsidRPr="00FD211F">
        <w:rPr>
          <w:sz w:val="36"/>
          <w:szCs w:val="36"/>
          <w:rtl/>
        </w:rPr>
        <w:t xml:space="preserve">ة </w:t>
      </w:r>
      <w:r w:rsidRPr="00FD211F">
        <w:rPr>
          <w:sz w:val="36"/>
          <w:szCs w:val="36"/>
          <w:rtl/>
        </w:rPr>
        <w:t>لمعنى زائد على مدلول الماد</w:t>
      </w:r>
      <w:r w:rsidR="00EC7EDF" w:rsidRPr="00FD211F">
        <w:rPr>
          <w:sz w:val="36"/>
          <w:szCs w:val="36"/>
          <w:rtl/>
        </w:rPr>
        <w:t xml:space="preserve">ة </w:t>
      </w:r>
      <w:r w:rsidRPr="00FD211F">
        <w:rPr>
          <w:sz w:val="36"/>
          <w:szCs w:val="36"/>
          <w:rtl/>
        </w:rPr>
        <w:t>وتحمل على الذات بلاعناي</w:t>
      </w:r>
      <w:r w:rsidR="00EC7EDF" w:rsidRPr="00FD211F">
        <w:rPr>
          <w:sz w:val="36"/>
          <w:szCs w:val="36"/>
          <w:rtl/>
        </w:rPr>
        <w:t xml:space="preserve">ة </w:t>
      </w:r>
      <w:r w:rsidRPr="00FD211F">
        <w:rPr>
          <w:sz w:val="36"/>
          <w:szCs w:val="36"/>
          <w:rtl/>
        </w:rPr>
        <w:t>وتجو</w:t>
      </w:r>
      <w:r w:rsidR="00627231" w:rsidRPr="00FD211F">
        <w:rPr>
          <w:sz w:val="36"/>
          <w:szCs w:val="36"/>
          <w:rtl/>
        </w:rPr>
        <w:t>ّ</w:t>
      </w:r>
      <w:r w:rsidRPr="00FD211F">
        <w:rPr>
          <w:sz w:val="36"/>
          <w:szCs w:val="36"/>
          <w:rtl/>
        </w:rPr>
        <w:t>ز كقولنا</w:t>
      </w:r>
      <w:r w:rsidR="00627231" w:rsidRPr="00FD211F">
        <w:rPr>
          <w:sz w:val="36"/>
          <w:szCs w:val="36"/>
          <w:rtl/>
        </w:rPr>
        <w:t>"</w:t>
      </w:r>
      <w:r w:rsidRPr="00FD211F">
        <w:rPr>
          <w:sz w:val="36"/>
          <w:szCs w:val="36"/>
          <w:rtl/>
        </w:rPr>
        <w:t xml:space="preserve"> زيد عالم</w:t>
      </w:r>
      <w:r w:rsidR="00627231" w:rsidRPr="00FD211F">
        <w:rPr>
          <w:sz w:val="36"/>
          <w:szCs w:val="36"/>
          <w:rtl/>
        </w:rPr>
        <w:t>"</w:t>
      </w:r>
      <w:r w:rsidRPr="00FD211F">
        <w:rPr>
          <w:sz w:val="36"/>
          <w:szCs w:val="36"/>
          <w:rtl/>
        </w:rPr>
        <w:t xml:space="preserve"> واما المصدر فلايحمل على الذات الا بعناي</w:t>
      </w:r>
      <w:r w:rsidR="00EC7EDF" w:rsidRPr="00FD211F">
        <w:rPr>
          <w:sz w:val="36"/>
          <w:szCs w:val="36"/>
          <w:rtl/>
        </w:rPr>
        <w:t xml:space="preserve">ة </w:t>
      </w:r>
      <w:r w:rsidRPr="00FD211F">
        <w:rPr>
          <w:sz w:val="36"/>
          <w:szCs w:val="36"/>
          <w:rtl/>
        </w:rPr>
        <w:t>فلايقال</w:t>
      </w:r>
      <w:r w:rsidR="00627231" w:rsidRPr="00FD211F">
        <w:rPr>
          <w:sz w:val="36"/>
          <w:szCs w:val="36"/>
          <w:rtl/>
        </w:rPr>
        <w:t>"</w:t>
      </w:r>
      <w:r w:rsidRPr="00FD211F">
        <w:rPr>
          <w:sz w:val="36"/>
          <w:szCs w:val="36"/>
          <w:rtl/>
        </w:rPr>
        <w:t xml:space="preserve"> زيد علم</w:t>
      </w:r>
      <w:r w:rsidR="00627231" w:rsidRPr="00FD211F">
        <w:rPr>
          <w:sz w:val="36"/>
          <w:szCs w:val="36"/>
          <w:rtl/>
        </w:rPr>
        <w:t>"</w:t>
      </w:r>
      <w:r w:rsidR="00DB7126" w:rsidRPr="00FD211F">
        <w:rPr>
          <w:sz w:val="36"/>
          <w:szCs w:val="36"/>
          <w:rtl/>
        </w:rPr>
        <w:t xml:space="preserve"> الا بعناي</w:t>
      </w:r>
      <w:r w:rsidR="00EC7EDF" w:rsidRPr="00FD211F">
        <w:rPr>
          <w:sz w:val="36"/>
          <w:szCs w:val="36"/>
          <w:rtl/>
        </w:rPr>
        <w:t xml:space="preserve">ة </w:t>
      </w:r>
      <w:r w:rsidR="00DB7126" w:rsidRPr="00FD211F">
        <w:rPr>
          <w:sz w:val="36"/>
          <w:szCs w:val="36"/>
          <w:rtl/>
        </w:rPr>
        <w:t>ومجاز</w:t>
      </w:r>
      <w:r w:rsidR="00603323" w:rsidRPr="00FD211F">
        <w:rPr>
          <w:sz w:val="36"/>
          <w:szCs w:val="36"/>
          <w:rtl/>
        </w:rPr>
        <w:t xml:space="preserve">، </w:t>
      </w:r>
      <w:r w:rsidRPr="00FD211F">
        <w:rPr>
          <w:sz w:val="36"/>
          <w:szCs w:val="36"/>
          <w:rtl/>
        </w:rPr>
        <w:t>ومن جه</w:t>
      </w:r>
      <w:r w:rsidR="00EC7EDF" w:rsidRPr="00FD211F">
        <w:rPr>
          <w:sz w:val="36"/>
          <w:szCs w:val="36"/>
          <w:rtl/>
        </w:rPr>
        <w:t xml:space="preserve">ة </w:t>
      </w:r>
      <w:r w:rsidRPr="00FD211F">
        <w:rPr>
          <w:sz w:val="36"/>
          <w:szCs w:val="36"/>
          <w:rtl/>
        </w:rPr>
        <w:t>أخرى لاتدل هيئ</w:t>
      </w:r>
      <w:r w:rsidR="00EC7EDF" w:rsidRPr="00FD211F">
        <w:rPr>
          <w:sz w:val="36"/>
          <w:szCs w:val="36"/>
          <w:rtl/>
        </w:rPr>
        <w:t xml:space="preserve">ة </w:t>
      </w:r>
      <w:r w:rsidRPr="00FD211F">
        <w:rPr>
          <w:sz w:val="36"/>
          <w:szCs w:val="36"/>
          <w:rtl/>
        </w:rPr>
        <w:t>المشتق على النسب</w:t>
      </w:r>
      <w:r w:rsidR="00EC7EDF" w:rsidRPr="00FD211F">
        <w:rPr>
          <w:sz w:val="36"/>
          <w:szCs w:val="36"/>
          <w:rtl/>
        </w:rPr>
        <w:t xml:space="preserve">ة </w:t>
      </w:r>
      <w:r w:rsidRPr="00FD211F">
        <w:rPr>
          <w:sz w:val="36"/>
          <w:szCs w:val="36"/>
          <w:rtl/>
        </w:rPr>
        <w:t>التام</w:t>
      </w:r>
      <w:r w:rsidR="00EC7EDF" w:rsidRPr="00FD211F">
        <w:rPr>
          <w:sz w:val="36"/>
          <w:szCs w:val="36"/>
          <w:rtl/>
        </w:rPr>
        <w:t>ة</w:t>
      </w:r>
      <w:r w:rsidR="00603323" w:rsidRPr="00FD211F">
        <w:rPr>
          <w:sz w:val="36"/>
          <w:szCs w:val="36"/>
          <w:rtl/>
        </w:rPr>
        <w:t xml:space="preserve">، </w:t>
      </w:r>
      <w:r w:rsidRPr="00FD211F">
        <w:rPr>
          <w:sz w:val="36"/>
          <w:szCs w:val="36"/>
          <w:rtl/>
        </w:rPr>
        <w:t>وحينئذ فقد وقع الكلام في ان معناها هل هو بسيط او مركب</w:t>
      </w:r>
      <w:r w:rsidR="00603323" w:rsidRPr="00FD211F">
        <w:rPr>
          <w:sz w:val="36"/>
          <w:szCs w:val="36"/>
          <w:rtl/>
        </w:rPr>
        <w:t xml:space="preserve">، </w:t>
      </w:r>
      <w:r w:rsidRPr="00FD211F">
        <w:rPr>
          <w:sz w:val="36"/>
          <w:szCs w:val="36"/>
          <w:rtl/>
        </w:rPr>
        <w:t>ونؤخر البحث عن ذلك الى بحث المشتق فانتظر.</w:t>
      </w:r>
    </w:p>
    <w:p w14:paraId="61F5DCDB" w14:textId="77777777" w:rsidR="002B122C" w:rsidRPr="00FD211F" w:rsidRDefault="002B122C" w:rsidP="009C58C8">
      <w:pPr>
        <w:pStyle w:val="3"/>
        <w:ind w:firstLine="227"/>
        <w:jc w:val="both"/>
        <w:rPr>
          <w:rtl/>
        </w:rPr>
      </w:pPr>
      <w:bookmarkStart w:id="256" w:name="_Toc192092893"/>
      <w:bookmarkStart w:id="257" w:name="_Toc223890371"/>
      <w:r w:rsidRPr="00FD211F">
        <w:rPr>
          <w:rtl/>
        </w:rPr>
        <w:t>اسماء المبهمات</w:t>
      </w:r>
      <w:bookmarkEnd w:id="256"/>
      <w:bookmarkEnd w:id="257"/>
    </w:p>
    <w:p w14:paraId="3026BAC4" w14:textId="77777777" w:rsidR="00EF736A" w:rsidRPr="00FD211F" w:rsidRDefault="002B122C" w:rsidP="009C58C8">
      <w:pPr>
        <w:ind w:left="0" w:firstLine="227"/>
        <w:jc w:val="both"/>
        <w:rPr>
          <w:sz w:val="36"/>
          <w:szCs w:val="36"/>
          <w:rtl/>
        </w:rPr>
      </w:pPr>
      <w:r w:rsidRPr="00FD211F">
        <w:rPr>
          <w:sz w:val="36"/>
          <w:szCs w:val="36"/>
          <w:rtl/>
        </w:rPr>
        <w:t>وهي اسماء الاشار</w:t>
      </w:r>
      <w:r w:rsidR="00EC7EDF" w:rsidRPr="00FD211F">
        <w:rPr>
          <w:sz w:val="36"/>
          <w:szCs w:val="36"/>
          <w:rtl/>
        </w:rPr>
        <w:t xml:space="preserve">ة </w:t>
      </w:r>
      <w:r w:rsidRPr="00FD211F">
        <w:rPr>
          <w:sz w:val="36"/>
          <w:szCs w:val="36"/>
          <w:rtl/>
        </w:rPr>
        <w:t>والضمائر والموصولات</w:t>
      </w:r>
      <w:r w:rsidR="00603323" w:rsidRPr="00FD211F">
        <w:rPr>
          <w:sz w:val="36"/>
          <w:szCs w:val="36"/>
          <w:rtl/>
        </w:rPr>
        <w:t xml:space="preserve">، </w:t>
      </w:r>
      <w:r w:rsidRPr="00FD211F">
        <w:rPr>
          <w:sz w:val="36"/>
          <w:szCs w:val="36"/>
          <w:rtl/>
        </w:rPr>
        <w:t>ولاريب في ان معانيها غير مستقل</w:t>
      </w:r>
      <w:r w:rsidR="00EC7EDF" w:rsidRPr="00FD211F">
        <w:rPr>
          <w:sz w:val="36"/>
          <w:szCs w:val="36"/>
          <w:rtl/>
        </w:rPr>
        <w:t>ة</w:t>
      </w:r>
      <w:r w:rsidR="00A61BAE" w:rsidRPr="00FD211F">
        <w:rPr>
          <w:sz w:val="36"/>
          <w:szCs w:val="36"/>
          <w:rtl/>
        </w:rPr>
        <w:t>.</w:t>
      </w:r>
    </w:p>
    <w:p w14:paraId="58D7B8AF" w14:textId="77777777" w:rsidR="000C5BBA" w:rsidRPr="00FD211F" w:rsidRDefault="0099223C" w:rsidP="009C58C8">
      <w:pPr>
        <w:pStyle w:val="3"/>
        <w:ind w:firstLine="227"/>
        <w:jc w:val="both"/>
        <w:rPr>
          <w:rtl/>
        </w:rPr>
      </w:pPr>
      <w:bookmarkStart w:id="258" w:name="_Toc192092894"/>
      <w:bookmarkStart w:id="259" w:name="_Toc223890372"/>
      <w:r w:rsidRPr="00FD211F">
        <w:rPr>
          <w:rtl/>
        </w:rPr>
        <w:t>1-</w:t>
      </w:r>
      <w:r w:rsidR="00EF736A" w:rsidRPr="00FD211F">
        <w:rPr>
          <w:rtl/>
        </w:rPr>
        <w:t>أسماء الإشار</w:t>
      </w:r>
      <w:r w:rsidR="00EC7EDF" w:rsidRPr="00FD211F">
        <w:rPr>
          <w:rtl/>
        </w:rPr>
        <w:t>ة</w:t>
      </w:r>
      <w:bookmarkEnd w:id="259"/>
      <w:r w:rsidR="00EC7EDF" w:rsidRPr="00FD211F">
        <w:rPr>
          <w:rtl/>
        </w:rPr>
        <w:t xml:space="preserve"> </w:t>
      </w:r>
      <w:bookmarkEnd w:id="258"/>
    </w:p>
    <w:p w14:paraId="66D4F65A" w14:textId="77777777" w:rsidR="002B122C" w:rsidRPr="00FD211F" w:rsidRDefault="002B122C" w:rsidP="009C58C8">
      <w:pPr>
        <w:ind w:left="0" w:firstLine="227"/>
        <w:jc w:val="both"/>
        <w:rPr>
          <w:sz w:val="36"/>
          <w:szCs w:val="36"/>
          <w:rtl/>
        </w:rPr>
      </w:pPr>
      <w:r w:rsidRPr="00FD211F">
        <w:rPr>
          <w:sz w:val="36"/>
          <w:szCs w:val="36"/>
          <w:rtl/>
        </w:rPr>
        <w:t>وينبغي الكلام اولا حول اسماء الاشار</w:t>
      </w:r>
      <w:r w:rsidR="00EC7EDF" w:rsidRPr="00FD211F">
        <w:rPr>
          <w:sz w:val="36"/>
          <w:szCs w:val="36"/>
          <w:rtl/>
        </w:rPr>
        <w:t>ة</w:t>
      </w:r>
      <w:r w:rsidR="00603323" w:rsidRPr="00FD211F">
        <w:rPr>
          <w:sz w:val="36"/>
          <w:szCs w:val="36"/>
          <w:rtl/>
        </w:rPr>
        <w:t xml:space="preserve">، </w:t>
      </w:r>
      <w:r w:rsidRPr="00FD211F">
        <w:rPr>
          <w:sz w:val="36"/>
          <w:szCs w:val="36"/>
          <w:rtl/>
        </w:rPr>
        <w:t xml:space="preserve">فنقول هنا مبان </w:t>
      </w:r>
      <w:r w:rsidR="00EF736A" w:rsidRPr="00FD211F">
        <w:rPr>
          <w:sz w:val="36"/>
          <w:szCs w:val="36"/>
          <w:rtl/>
        </w:rPr>
        <w:t>عديد</w:t>
      </w:r>
      <w:r w:rsidR="00EC7EDF" w:rsidRPr="00FD211F">
        <w:rPr>
          <w:sz w:val="36"/>
          <w:szCs w:val="36"/>
          <w:rtl/>
        </w:rPr>
        <w:t xml:space="preserve">ة </w:t>
      </w:r>
      <w:r w:rsidRPr="00FD211F">
        <w:rPr>
          <w:sz w:val="36"/>
          <w:szCs w:val="36"/>
          <w:rtl/>
        </w:rPr>
        <w:t>في بيان معانيها نذكر عمدتها:</w:t>
      </w:r>
    </w:p>
    <w:p w14:paraId="12FBC04D" w14:textId="77777777" w:rsidR="002B122C" w:rsidRPr="00FD211F" w:rsidRDefault="002B122C" w:rsidP="009C58C8">
      <w:pPr>
        <w:ind w:left="0" w:firstLine="227"/>
        <w:jc w:val="both"/>
        <w:rPr>
          <w:sz w:val="36"/>
          <w:szCs w:val="36"/>
          <w:rtl/>
        </w:rPr>
      </w:pPr>
      <w:r w:rsidRPr="00FD211F">
        <w:rPr>
          <w:sz w:val="36"/>
          <w:szCs w:val="36"/>
          <w:rtl/>
        </w:rPr>
        <w:t>1- ما ذكره صاحب الكفاي</w:t>
      </w:r>
      <w:r w:rsidR="00EC7EDF" w:rsidRPr="00FD211F">
        <w:rPr>
          <w:sz w:val="36"/>
          <w:szCs w:val="36"/>
          <w:rtl/>
        </w:rPr>
        <w:t xml:space="preserve">ة </w:t>
      </w:r>
      <w:r w:rsidR="00627231" w:rsidRPr="00FD211F">
        <w:rPr>
          <w:sz w:val="36"/>
          <w:szCs w:val="36"/>
          <w:rtl/>
        </w:rPr>
        <w:t>"قده"</w:t>
      </w:r>
      <w:r w:rsidRPr="00FD211F">
        <w:rPr>
          <w:sz w:val="36"/>
          <w:szCs w:val="36"/>
          <w:rtl/>
        </w:rPr>
        <w:t xml:space="preserve"> من ان</w:t>
      </w:r>
      <w:r w:rsidR="001975FB" w:rsidRPr="00FD211F">
        <w:rPr>
          <w:sz w:val="36"/>
          <w:szCs w:val="36"/>
          <w:rtl/>
        </w:rPr>
        <w:t xml:space="preserve"> الموضوع له و</w:t>
      </w:r>
      <w:r w:rsidRPr="00FD211F">
        <w:rPr>
          <w:sz w:val="36"/>
          <w:szCs w:val="36"/>
          <w:rtl/>
        </w:rPr>
        <w:t>المستعمل فيه في مثل اسماء الاشار</w:t>
      </w:r>
      <w:r w:rsidR="00EC7EDF" w:rsidRPr="00FD211F">
        <w:rPr>
          <w:sz w:val="36"/>
          <w:szCs w:val="36"/>
          <w:rtl/>
        </w:rPr>
        <w:t xml:space="preserve">ة </w:t>
      </w:r>
      <w:r w:rsidRPr="00FD211F">
        <w:rPr>
          <w:sz w:val="36"/>
          <w:szCs w:val="36"/>
          <w:rtl/>
        </w:rPr>
        <w:t xml:space="preserve">والضمائر عام وان تشخصه انما نشأ من </w:t>
      </w:r>
      <w:r w:rsidR="001975FB" w:rsidRPr="00FD211F">
        <w:rPr>
          <w:sz w:val="36"/>
          <w:szCs w:val="36"/>
          <w:rtl/>
        </w:rPr>
        <w:t xml:space="preserve">نحو </w:t>
      </w:r>
      <w:r w:rsidRPr="00FD211F">
        <w:rPr>
          <w:sz w:val="36"/>
          <w:szCs w:val="36"/>
          <w:rtl/>
        </w:rPr>
        <w:t>استعماله</w:t>
      </w:r>
      <w:r w:rsidR="00603323" w:rsidRPr="00FD211F">
        <w:rPr>
          <w:sz w:val="36"/>
          <w:szCs w:val="36"/>
          <w:rtl/>
        </w:rPr>
        <w:t xml:space="preserve">، </w:t>
      </w:r>
      <w:r w:rsidRPr="00FD211F">
        <w:rPr>
          <w:sz w:val="36"/>
          <w:szCs w:val="36"/>
          <w:rtl/>
        </w:rPr>
        <w:t>حيث ان اسماء الاشار</w:t>
      </w:r>
      <w:r w:rsidR="00EC7EDF" w:rsidRPr="00FD211F">
        <w:rPr>
          <w:sz w:val="36"/>
          <w:szCs w:val="36"/>
          <w:rtl/>
        </w:rPr>
        <w:t xml:space="preserve">ة </w:t>
      </w:r>
      <w:r w:rsidRPr="00FD211F">
        <w:rPr>
          <w:sz w:val="36"/>
          <w:szCs w:val="36"/>
          <w:rtl/>
        </w:rPr>
        <w:t>وضعت ليشار بها الى معانيها وكذا بعض الضمائر (اي</w:t>
      </w:r>
      <w:r w:rsidR="001975FB" w:rsidRPr="00FD211F">
        <w:rPr>
          <w:sz w:val="36"/>
          <w:szCs w:val="36"/>
          <w:rtl/>
        </w:rPr>
        <w:t xml:space="preserve"> ضمير</w:t>
      </w:r>
      <w:r w:rsidRPr="00FD211F">
        <w:rPr>
          <w:sz w:val="36"/>
          <w:szCs w:val="36"/>
          <w:rtl/>
        </w:rPr>
        <w:t xml:space="preserve"> الغائب والمتكلم)</w:t>
      </w:r>
      <w:r w:rsidR="00603323" w:rsidRPr="00FD211F">
        <w:rPr>
          <w:sz w:val="36"/>
          <w:szCs w:val="36"/>
          <w:rtl/>
        </w:rPr>
        <w:t xml:space="preserve">، </w:t>
      </w:r>
      <w:r w:rsidRPr="00FD211F">
        <w:rPr>
          <w:sz w:val="36"/>
          <w:szCs w:val="36"/>
          <w:rtl/>
        </w:rPr>
        <w:t>و</w:t>
      </w:r>
      <w:r w:rsidR="00660AA5" w:rsidRPr="00FD211F">
        <w:rPr>
          <w:sz w:val="36"/>
          <w:szCs w:val="36"/>
          <w:rtl/>
        </w:rPr>
        <w:t xml:space="preserve">قد وضع </w:t>
      </w:r>
      <w:r w:rsidR="001975FB" w:rsidRPr="00FD211F">
        <w:rPr>
          <w:sz w:val="36"/>
          <w:szCs w:val="36"/>
          <w:rtl/>
        </w:rPr>
        <w:t xml:space="preserve">البعض الآخر من الضمائر </w:t>
      </w:r>
      <w:r w:rsidR="00660AA5" w:rsidRPr="00FD211F">
        <w:rPr>
          <w:sz w:val="36"/>
          <w:szCs w:val="36"/>
          <w:rtl/>
        </w:rPr>
        <w:t>وهو ضمير الخطاب</w:t>
      </w:r>
      <w:r w:rsidRPr="00FD211F">
        <w:rPr>
          <w:sz w:val="36"/>
          <w:szCs w:val="36"/>
          <w:rtl/>
        </w:rPr>
        <w:t xml:space="preserve"> ليخاطب بها المعنى</w:t>
      </w:r>
      <w:r w:rsidR="009816BF" w:rsidRPr="00FD211F">
        <w:rPr>
          <w:sz w:val="36"/>
          <w:szCs w:val="36"/>
          <w:rtl/>
        </w:rPr>
        <w:t xml:space="preserve"> اي المفرد المذكر مثلا</w:t>
      </w:r>
      <w:r w:rsidR="00603323" w:rsidRPr="00FD211F">
        <w:rPr>
          <w:sz w:val="36"/>
          <w:szCs w:val="36"/>
          <w:rtl/>
        </w:rPr>
        <w:t xml:space="preserve">، </w:t>
      </w:r>
      <w:r w:rsidRPr="00FD211F">
        <w:rPr>
          <w:sz w:val="36"/>
          <w:szCs w:val="36"/>
          <w:rtl/>
        </w:rPr>
        <w:t>والاشار</w:t>
      </w:r>
      <w:r w:rsidR="00EC7EDF" w:rsidRPr="00FD211F">
        <w:rPr>
          <w:sz w:val="36"/>
          <w:szCs w:val="36"/>
          <w:rtl/>
        </w:rPr>
        <w:t xml:space="preserve">ة </w:t>
      </w:r>
      <w:r w:rsidR="00BB60DA" w:rsidRPr="00FD211F">
        <w:rPr>
          <w:sz w:val="36"/>
          <w:szCs w:val="36"/>
          <w:rtl/>
        </w:rPr>
        <w:t>والتخاطب يستدعيان التشخص</w:t>
      </w:r>
      <w:r w:rsidR="00603323" w:rsidRPr="00FD211F">
        <w:rPr>
          <w:sz w:val="36"/>
          <w:szCs w:val="36"/>
          <w:rtl/>
        </w:rPr>
        <w:t xml:space="preserve">، </w:t>
      </w:r>
      <w:r w:rsidR="00BB60DA" w:rsidRPr="00FD211F">
        <w:rPr>
          <w:sz w:val="36"/>
          <w:szCs w:val="36"/>
          <w:rtl/>
        </w:rPr>
        <w:t>ف</w:t>
      </w:r>
      <w:r w:rsidR="009816BF" w:rsidRPr="00FD211F">
        <w:rPr>
          <w:sz w:val="36"/>
          <w:szCs w:val="36"/>
          <w:rtl/>
        </w:rPr>
        <w:t>لامجازف</w:t>
      </w:r>
      <w:r w:rsidR="00EC7EDF" w:rsidRPr="00FD211F">
        <w:rPr>
          <w:sz w:val="36"/>
          <w:szCs w:val="36"/>
          <w:rtl/>
        </w:rPr>
        <w:t xml:space="preserve">ة </w:t>
      </w:r>
      <w:r w:rsidR="009816BF" w:rsidRPr="00FD211F">
        <w:rPr>
          <w:sz w:val="36"/>
          <w:szCs w:val="36"/>
          <w:rtl/>
        </w:rPr>
        <w:t xml:space="preserve">في </w:t>
      </w:r>
      <w:r w:rsidR="00BB60DA" w:rsidRPr="00FD211F">
        <w:rPr>
          <w:sz w:val="36"/>
          <w:szCs w:val="36"/>
          <w:rtl/>
        </w:rPr>
        <w:t xml:space="preserve">دعوى ان المستعمل فيه في مثل </w:t>
      </w:r>
      <w:r w:rsidR="00D3757F" w:rsidRPr="00FD211F">
        <w:rPr>
          <w:sz w:val="36"/>
          <w:szCs w:val="36"/>
          <w:rtl/>
        </w:rPr>
        <w:t>"</w:t>
      </w:r>
      <w:r w:rsidR="00BB60DA" w:rsidRPr="00FD211F">
        <w:rPr>
          <w:sz w:val="36"/>
          <w:szCs w:val="36"/>
          <w:rtl/>
        </w:rPr>
        <w:t>هذا</w:t>
      </w:r>
      <w:r w:rsidR="00D3757F" w:rsidRPr="00FD211F">
        <w:rPr>
          <w:sz w:val="36"/>
          <w:szCs w:val="36"/>
          <w:rtl/>
        </w:rPr>
        <w:t>"</w:t>
      </w:r>
      <w:r w:rsidR="00BB60DA" w:rsidRPr="00FD211F">
        <w:rPr>
          <w:sz w:val="36"/>
          <w:szCs w:val="36"/>
          <w:rtl/>
        </w:rPr>
        <w:t xml:space="preserve"> و</w:t>
      </w:r>
      <w:r w:rsidR="00D3757F" w:rsidRPr="00FD211F">
        <w:rPr>
          <w:sz w:val="36"/>
          <w:szCs w:val="36"/>
          <w:rtl/>
        </w:rPr>
        <w:t>"</w:t>
      </w:r>
      <w:r w:rsidR="00BB60DA" w:rsidRPr="00FD211F">
        <w:rPr>
          <w:sz w:val="36"/>
          <w:szCs w:val="36"/>
          <w:rtl/>
        </w:rPr>
        <w:t>هو</w:t>
      </w:r>
      <w:r w:rsidR="00D3757F" w:rsidRPr="00FD211F">
        <w:rPr>
          <w:sz w:val="36"/>
          <w:szCs w:val="36"/>
          <w:rtl/>
        </w:rPr>
        <w:t>"</w:t>
      </w:r>
      <w:r w:rsidR="00BB60DA" w:rsidRPr="00FD211F">
        <w:rPr>
          <w:sz w:val="36"/>
          <w:szCs w:val="36"/>
          <w:rtl/>
        </w:rPr>
        <w:t xml:space="preserve"> و</w:t>
      </w:r>
      <w:r w:rsidR="00D3757F" w:rsidRPr="00FD211F">
        <w:rPr>
          <w:sz w:val="36"/>
          <w:szCs w:val="36"/>
          <w:rtl/>
        </w:rPr>
        <w:t>"</w:t>
      </w:r>
      <w:r w:rsidR="00BB60DA" w:rsidRPr="00FD211F">
        <w:rPr>
          <w:sz w:val="36"/>
          <w:szCs w:val="36"/>
          <w:rtl/>
        </w:rPr>
        <w:t>اياك</w:t>
      </w:r>
      <w:r w:rsidR="00D3757F" w:rsidRPr="00FD211F">
        <w:rPr>
          <w:sz w:val="36"/>
          <w:szCs w:val="36"/>
          <w:rtl/>
        </w:rPr>
        <w:t>"</w:t>
      </w:r>
      <w:r w:rsidR="00BB60DA" w:rsidRPr="00FD211F">
        <w:rPr>
          <w:sz w:val="36"/>
          <w:szCs w:val="36"/>
          <w:rtl/>
        </w:rPr>
        <w:t xml:space="preserve"> انما هو</w:t>
      </w:r>
      <w:r w:rsidR="001975FB" w:rsidRPr="00FD211F">
        <w:rPr>
          <w:sz w:val="36"/>
          <w:szCs w:val="36"/>
          <w:rtl/>
        </w:rPr>
        <w:t xml:space="preserve"> مفهوم</w:t>
      </w:r>
      <w:r w:rsidR="00BB60DA" w:rsidRPr="00FD211F">
        <w:rPr>
          <w:sz w:val="36"/>
          <w:szCs w:val="36"/>
          <w:rtl/>
        </w:rPr>
        <w:t xml:space="preserve"> المفرد المذكر</w:t>
      </w:r>
      <w:r w:rsidR="00603323" w:rsidRPr="00FD211F">
        <w:rPr>
          <w:sz w:val="36"/>
          <w:szCs w:val="36"/>
          <w:rtl/>
        </w:rPr>
        <w:t xml:space="preserve">، </w:t>
      </w:r>
      <w:r w:rsidR="00BB60DA" w:rsidRPr="00FD211F">
        <w:rPr>
          <w:sz w:val="36"/>
          <w:szCs w:val="36"/>
          <w:rtl/>
        </w:rPr>
        <w:t>وتشخصه انما جاء من قبل الإشار</w:t>
      </w:r>
      <w:r w:rsidR="00EC7EDF" w:rsidRPr="00FD211F">
        <w:rPr>
          <w:sz w:val="36"/>
          <w:szCs w:val="36"/>
          <w:rtl/>
        </w:rPr>
        <w:t xml:space="preserve">ة </w:t>
      </w:r>
      <w:r w:rsidR="00BB60DA" w:rsidRPr="00FD211F">
        <w:rPr>
          <w:sz w:val="36"/>
          <w:szCs w:val="36"/>
          <w:rtl/>
        </w:rPr>
        <w:t>او التخاطب بهذه الالفاظ اليه</w:t>
      </w:r>
      <w:r w:rsidR="00603323" w:rsidRPr="00FD211F">
        <w:rPr>
          <w:sz w:val="36"/>
          <w:szCs w:val="36"/>
          <w:rtl/>
        </w:rPr>
        <w:t xml:space="preserve">، </w:t>
      </w:r>
      <w:r w:rsidR="00BB60DA" w:rsidRPr="00FD211F">
        <w:rPr>
          <w:sz w:val="36"/>
          <w:szCs w:val="36"/>
          <w:rtl/>
        </w:rPr>
        <w:t>فان الاشار</w:t>
      </w:r>
      <w:r w:rsidR="00EC7EDF" w:rsidRPr="00FD211F">
        <w:rPr>
          <w:sz w:val="36"/>
          <w:szCs w:val="36"/>
          <w:rtl/>
        </w:rPr>
        <w:t xml:space="preserve">ة </w:t>
      </w:r>
      <w:r w:rsidR="00BB60DA" w:rsidRPr="00FD211F">
        <w:rPr>
          <w:sz w:val="36"/>
          <w:szCs w:val="36"/>
          <w:rtl/>
        </w:rPr>
        <w:t>لا</w:t>
      </w:r>
      <w:r w:rsidR="009816BF" w:rsidRPr="00FD211F">
        <w:rPr>
          <w:sz w:val="36"/>
          <w:szCs w:val="36"/>
          <w:rtl/>
        </w:rPr>
        <w:t>تكون الا الى الشخص كما ان الخطاب لايكون الا معه</w:t>
      </w:r>
      <w:r w:rsidR="009C58C8" w:rsidRPr="00FD211F">
        <w:rPr>
          <w:rStyle w:val="a6"/>
          <w:sz w:val="36"/>
          <w:szCs w:val="36"/>
          <w:rtl/>
        </w:rPr>
        <w:t>(</w:t>
      </w:r>
      <w:r w:rsidR="009C58C8" w:rsidRPr="00FD211F">
        <w:rPr>
          <w:rStyle w:val="a6"/>
          <w:sz w:val="36"/>
          <w:szCs w:val="36"/>
          <w:rtl/>
        </w:rPr>
        <w:footnoteReference w:id="243"/>
      </w:r>
      <w:r w:rsidR="009C58C8" w:rsidRPr="00FD211F">
        <w:rPr>
          <w:rStyle w:val="a6"/>
          <w:sz w:val="36"/>
          <w:szCs w:val="36"/>
          <w:rtl/>
        </w:rPr>
        <w:t>)</w:t>
      </w:r>
      <w:r w:rsidR="00BB60DA" w:rsidRPr="00FD211F">
        <w:rPr>
          <w:sz w:val="36"/>
          <w:szCs w:val="36"/>
          <w:rtl/>
        </w:rPr>
        <w:t>.</w:t>
      </w:r>
    </w:p>
    <w:p w14:paraId="5F0D0923" w14:textId="77777777" w:rsidR="000C5BBA" w:rsidRPr="00FD211F" w:rsidRDefault="00BB60DA" w:rsidP="009C58C8">
      <w:pPr>
        <w:ind w:left="0" w:firstLine="227"/>
        <w:jc w:val="both"/>
        <w:rPr>
          <w:sz w:val="36"/>
          <w:szCs w:val="36"/>
          <w:rtl/>
        </w:rPr>
      </w:pPr>
      <w:r w:rsidRPr="00FD211F">
        <w:rPr>
          <w:sz w:val="36"/>
          <w:szCs w:val="36"/>
          <w:rtl/>
        </w:rPr>
        <w:t xml:space="preserve">اقول: محصل ما افاده ان المعنى الموضوع له </w:t>
      </w:r>
      <w:r w:rsidR="001975FB" w:rsidRPr="00FD211F">
        <w:rPr>
          <w:sz w:val="36"/>
          <w:szCs w:val="36"/>
          <w:rtl/>
        </w:rPr>
        <w:t>و</w:t>
      </w:r>
      <w:r w:rsidRPr="00FD211F">
        <w:rPr>
          <w:sz w:val="36"/>
          <w:szCs w:val="36"/>
          <w:rtl/>
        </w:rPr>
        <w:t>المستعمل فيه في لفظ</w:t>
      </w:r>
      <w:r w:rsidR="00EC7EDF" w:rsidRPr="00FD211F">
        <w:rPr>
          <w:sz w:val="36"/>
          <w:szCs w:val="36"/>
          <w:rtl/>
        </w:rPr>
        <w:t xml:space="preserve">ة </w:t>
      </w:r>
      <w:r w:rsidR="00EF736A" w:rsidRPr="00FD211F">
        <w:rPr>
          <w:sz w:val="36"/>
          <w:szCs w:val="36"/>
          <w:rtl/>
        </w:rPr>
        <w:t>"</w:t>
      </w:r>
      <w:r w:rsidRPr="00FD211F">
        <w:rPr>
          <w:sz w:val="36"/>
          <w:szCs w:val="36"/>
          <w:rtl/>
        </w:rPr>
        <w:t>المفرد المذكر</w:t>
      </w:r>
      <w:r w:rsidR="00EF736A" w:rsidRPr="00FD211F">
        <w:rPr>
          <w:sz w:val="36"/>
          <w:szCs w:val="36"/>
          <w:rtl/>
        </w:rPr>
        <w:t>"</w:t>
      </w:r>
      <w:r w:rsidRPr="00FD211F">
        <w:rPr>
          <w:sz w:val="36"/>
          <w:szCs w:val="36"/>
          <w:rtl/>
        </w:rPr>
        <w:t xml:space="preserve"> و</w:t>
      </w:r>
      <w:r w:rsidR="00EF736A" w:rsidRPr="00FD211F">
        <w:rPr>
          <w:sz w:val="36"/>
          <w:szCs w:val="36"/>
          <w:rtl/>
        </w:rPr>
        <w:t>"</w:t>
      </w:r>
      <w:r w:rsidRPr="00FD211F">
        <w:rPr>
          <w:sz w:val="36"/>
          <w:szCs w:val="36"/>
          <w:rtl/>
        </w:rPr>
        <w:t>هذا</w:t>
      </w:r>
      <w:r w:rsidR="00EF736A" w:rsidRPr="00FD211F">
        <w:rPr>
          <w:sz w:val="36"/>
          <w:szCs w:val="36"/>
          <w:rtl/>
        </w:rPr>
        <w:t>"</w:t>
      </w:r>
      <w:r w:rsidRPr="00FD211F">
        <w:rPr>
          <w:sz w:val="36"/>
          <w:szCs w:val="36"/>
          <w:rtl/>
        </w:rPr>
        <w:t xml:space="preserve"> و</w:t>
      </w:r>
      <w:r w:rsidR="00EF736A" w:rsidRPr="00FD211F">
        <w:rPr>
          <w:sz w:val="36"/>
          <w:szCs w:val="36"/>
          <w:rtl/>
        </w:rPr>
        <w:t>"</w:t>
      </w:r>
      <w:r w:rsidRPr="00FD211F">
        <w:rPr>
          <w:sz w:val="36"/>
          <w:szCs w:val="36"/>
          <w:rtl/>
        </w:rPr>
        <w:t>هو</w:t>
      </w:r>
      <w:r w:rsidR="00EF736A" w:rsidRPr="00FD211F">
        <w:rPr>
          <w:sz w:val="36"/>
          <w:szCs w:val="36"/>
          <w:rtl/>
        </w:rPr>
        <w:t>"</w:t>
      </w:r>
      <w:r w:rsidRPr="00FD211F">
        <w:rPr>
          <w:sz w:val="36"/>
          <w:szCs w:val="36"/>
          <w:rtl/>
        </w:rPr>
        <w:t xml:space="preserve"> و</w:t>
      </w:r>
      <w:r w:rsidR="00EF736A" w:rsidRPr="00FD211F">
        <w:rPr>
          <w:sz w:val="36"/>
          <w:szCs w:val="36"/>
          <w:rtl/>
        </w:rPr>
        <w:t>"</w:t>
      </w:r>
      <w:r w:rsidRPr="00FD211F">
        <w:rPr>
          <w:sz w:val="36"/>
          <w:szCs w:val="36"/>
          <w:rtl/>
        </w:rPr>
        <w:t>انت</w:t>
      </w:r>
      <w:r w:rsidR="00EF736A" w:rsidRPr="00FD211F">
        <w:rPr>
          <w:sz w:val="36"/>
          <w:szCs w:val="36"/>
          <w:rtl/>
        </w:rPr>
        <w:t>"</w:t>
      </w:r>
      <w:r w:rsidRPr="00FD211F">
        <w:rPr>
          <w:sz w:val="36"/>
          <w:szCs w:val="36"/>
          <w:rtl/>
        </w:rPr>
        <w:t xml:space="preserve"> واحد</w:t>
      </w:r>
      <w:r w:rsidR="00603323" w:rsidRPr="00FD211F">
        <w:rPr>
          <w:sz w:val="36"/>
          <w:szCs w:val="36"/>
          <w:rtl/>
        </w:rPr>
        <w:t xml:space="preserve">، </w:t>
      </w:r>
      <w:r w:rsidRPr="00FD211F">
        <w:rPr>
          <w:sz w:val="36"/>
          <w:szCs w:val="36"/>
          <w:rtl/>
        </w:rPr>
        <w:t>غاي</w:t>
      </w:r>
      <w:r w:rsidR="00EC7EDF" w:rsidRPr="00FD211F">
        <w:rPr>
          <w:sz w:val="36"/>
          <w:szCs w:val="36"/>
          <w:rtl/>
        </w:rPr>
        <w:t xml:space="preserve">ة </w:t>
      </w:r>
      <w:r w:rsidRPr="00FD211F">
        <w:rPr>
          <w:sz w:val="36"/>
          <w:szCs w:val="36"/>
          <w:rtl/>
        </w:rPr>
        <w:t>الأمر اختلافها في كيفي</w:t>
      </w:r>
      <w:r w:rsidR="00EC7EDF" w:rsidRPr="00FD211F">
        <w:rPr>
          <w:sz w:val="36"/>
          <w:szCs w:val="36"/>
          <w:rtl/>
        </w:rPr>
        <w:t xml:space="preserve">ة </w:t>
      </w:r>
      <w:r w:rsidRPr="00FD211F">
        <w:rPr>
          <w:sz w:val="36"/>
          <w:szCs w:val="36"/>
          <w:rtl/>
        </w:rPr>
        <w:t>الوضع وقيوده</w:t>
      </w:r>
      <w:r w:rsidR="00603323" w:rsidRPr="00FD211F">
        <w:rPr>
          <w:sz w:val="36"/>
          <w:szCs w:val="36"/>
          <w:rtl/>
        </w:rPr>
        <w:t xml:space="preserve">، </w:t>
      </w:r>
      <w:r w:rsidRPr="00FD211F">
        <w:rPr>
          <w:sz w:val="36"/>
          <w:szCs w:val="36"/>
          <w:rtl/>
        </w:rPr>
        <w:t>فو</w:t>
      </w:r>
      <w:r w:rsidR="00EF736A" w:rsidRPr="00FD211F">
        <w:rPr>
          <w:sz w:val="36"/>
          <w:szCs w:val="36"/>
          <w:rtl/>
        </w:rPr>
        <w:t>ُ</w:t>
      </w:r>
      <w:r w:rsidRPr="00FD211F">
        <w:rPr>
          <w:sz w:val="36"/>
          <w:szCs w:val="36"/>
          <w:rtl/>
        </w:rPr>
        <w:t>ضع</w:t>
      </w:r>
      <w:r w:rsidR="00EF736A" w:rsidRPr="00FD211F">
        <w:rPr>
          <w:sz w:val="36"/>
          <w:szCs w:val="36"/>
          <w:rtl/>
        </w:rPr>
        <w:t>ت</w:t>
      </w:r>
      <w:r w:rsidRPr="00FD211F">
        <w:rPr>
          <w:sz w:val="36"/>
          <w:szCs w:val="36"/>
          <w:rtl/>
        </w:rPr>
        <w:t xml:space="preserve"> لفظ</w:t>
      </w:r>
      <w:r w:rsidR="00EC7EDF" w:rsidRPr="00FD211F">
        <w:rPr>
          <w:sz w:val="36"/>
          <w:szCs w:val="36"/>
          <w:rtl/>
        </w:rPr>
        <w:t xml:space="preserve">ة </w:t>
      </w:r>
      <w:r w:rsidR="00EF736A" w:rsidRPr="00FD211F">
        <w:rPr>
          <w:sz w:val="36"/>
          <w:szCs w:val="36"/>
          <w:rtl/>
        </w:rPr>
        <w:t>"</w:t>
      </w:r>
      <w:r w:rsidRPr="00FD211F">
        <w:rPr>
          <w:sz w:val="36"/>
          <w:szCs w:val="36"/>
          <w:rtl/>
        </w:rPr>
        <w:t>هذا</w:t>
      </w:r>
      <w:r w:rsidR="00EF736A" w:rsidRPr="00FD211F">
        <w:rPr>
          <w:sz w:val="36"/>
          <w:szCs w:val="36"/>
          <w:rtl/>
        </w:rPr>
        <w:t>"</w:t>
      </w:r>
      <w:r w:rsidRPr="00FD211F">
        <w:rPr>
          <w:sz w:val="36"/>
          <w:szCs w:val="36"/>
          <w:rtl/>
        </w:rPr>
        <w:t xml:space="preserve"> لمعنى المفرد المذكر بشرط ان يقترن استعماله</w:t>
      </w:r>
      <w:r w:rsidR="00EF736A" w:rsidRPr="00FD211F">
        <w:rPr>
          <w:sz w:val="36"/>
          <w:szCs w:val="36"/>
          <w:rtl/>
        </w:rPr>
        <w:t>ا</w:t>
      </w:r>
      <w:r w:rsidRPr="00FD211F">
        <w:rPr>
          <w:sz w:val="36"/>
          <w:szCs w:val="36"/>
          <w:rtl/>
        </w:rPr>
        <w:t xml:space="preserve"> فيه بالاشار</w:t>
      </w:r>
      <w:r w:rsidR="00EC7EDF" w:rsidRPr="00FD211F">
        <w:rPr>
          <w:sz w:val="36"/>
          <w:szCs w:val="36"/>
          <w:rtl/>
        </w:rPr>
        <w:t xml:space="preserve">ة </w:t>
      </w:r>
      <w:r w:rsidR="00EF736A" w:rsidRPr="00FD211F">
        <w:rPr>
          <w:sz w:val="36"/>
          <w:szCs w:val="36"/>
          <w:rtl/>
        </w:rPr>
        <w:t>بها</w:t>
      </w:r>
      <w:r w:rsidRPr="00FD211F">
        <w:rPr>
          <w:sz w:val="36"/>
          <w:szCs w:val="36"/>
          <w:rtl/>
        </w:rPr>
        <w:t xml:space="preserve"> اليه</w:t>
      </w:r>
      <w:r w:rsidR="00603323" w:rsidRPr="00FD211F">
        <w:rPr>
          <w:sz w:val="36"/>
          <w:szCs w:val="36"/>
          <w:rtl/>
        </w:rPr>
        <w:t xml:space="preserve">، </w:t>
      </w:r>
      <w:r w:rsidRPr="00FD211F">
        <w:rPr>
          <w:sz w:val="36"/>
          <w:szCs w:val="36"/>
          <w:rtl/>
        </w:rPr>
        <w:t>وهذا يستدعي تشخص المعنى ذهنا او خارجا كي يتم الاشار</w:t>
      </w:r>
      <w:r w:rsidR="00EC7EDF" w:rsidRPr="00FD211F">
        <w:rPr>
          <w:sz w:val="36"/>
          <w:szCs w:val="36"/>
          <w:rtl/>
        </w:rPr>
        <w:t xml:space="preserve">ة </w:t>
      </w:r>
      <w:r w:rsidRPr="00FD211F">
        <w:rPr>
          <w:sz w:val="36"/>
          <w:szCs w:val="36"/>
          <w:rtl/>
        </w:rPr>
        <w:t>اليه ذهنا او خارجا</w:t>
      </w:r>
      <w:r w:rsidR="00603323" w:rsidRPr="00FD211F">
        <w:rPr>
          <w:sz w:val="36"/>
          <w:szCs w:val="36"/>
          <w:rtl/>
        </w:rPr>
        <w:t xml:space="preserve">، </w:t>
      </w:r>
      <w:r w:rsidRPr="00FD211F">
        <w:rPr>
          <w:sz w:val="36"/>
          <w:szCs w:val="36"/>
          <w:rtl/>
        </w:rPr>
        <w:t>وتقييد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وان اوجب تضيقا قهريا في المعنى الموضوع له لكنه لايعني تضيقه اللحاظي.</w:t>
      </w:r>
    </w:p>
    <w:p w14:paraId="12246247" w14:textId="77777777" w:rsidR="00B01322" w:rsidRPr="00FD211F" w:rsidRDefault="00627231" w:rsidP="009C58C8">
      <w:pPr>
        <w:ind w:left="0" w:firstLine="227"/>
        <w:jc w:val="both"/>
        <w:rPr>
          <w:sz w:val="36"/>
          <w:szCs w:val="36"/>
          <w:rtl/>
        </w:rPr>
      </w:pPr>
      <w:r w:rsidRPr="00FD211F">
        <w:rPr>
          <w:sz w:val="36"/>
          <w:szCs w:val="36"/>
          <w:rtl/>
        </w:rPr>
        <w:t>وقد اورد</w:t>
      </w:r>
      <w:r w:rsidR="00CD1DAD" w:rsidRPr="00FD211F">
        <w:rPr>
          <w:sz w:val="36"/>
          <w:szCs w:val="36"/>
          <w:rtl/>
        </w:rPr>
        <w:t xml:space="preserve"> </w:t>
      </w:r>
      <w:r w:rsidRPr="00FD211F">
        <w:rPr>
          <w:sz w:val="36"/>
          <w:szCs w:val="36"/>
          <w:rtl/>
        </w:rPr>
        <w:t>السيد الخوئي</w:t>
      </w:r>
      <w:r w:rsidR="00B253CE" w:rsidRPr="00FD211F">
        <w:rPr>
          <w:sz w:val="36"/>
          <w:szCs w:val="36"/>
          <w:rtl/>
        </w:rPr>
        <w:t xml:space="preserve"> </w:t>
      </w:r>
      <w:r w:rsidR="00B01322" w:rsidRPr="00FD211F">
        <w:rPr>
          <w:sz w:val="36"/>
          <w:szCs w:val="36"/>
          <w:rtl/>
        </w:rPr>
        <w:t>على مسلك صاحب الكفاي</w:t>
      </w:r>
      <w:r w:rsidR="00EC7EDF" w:rsidRPr="00FD211F">
        <w:rPr>
          <w:sz w:val="36"/>
          <w:szCs w:val="36"/>
          <w:rtl/>
        </w:rPr>
        <w:t xml:space="preserve">ة </w:t>
      </w:r>
      <w:r w:rsidRPr="00FD211F">
        <w:rPr>
          <w:sz w:val="36"/>
          <w:szCs w:val="36"/>
          <w:rtl/>
        </w:rPr>
        <w:t>"قدهما"</w:t>
      </w:r>
      <w:r w:rsidR="00B01322" w:rsidRPr="00FD211F">
        <w:rPr>
          <w:sz w:val="36"/>
          <w:szCs w:val="36"/>
          <w:rtl/>
        </w:rPr>
        <w:t xml:space="preserve"> بانه حتى ولو تم مبناه في وحد</w:t>
      </w:r>
      <w:r w:rsidR="00EC7EDF" w:rsidRPr="00FD211F">
        <w:rPr>
          <w:sz w:val="36"/>
          <w:szCs w:val="36"/>
          <w:rtl/>
        </w:rPr>
        <w:t xml:space="preserve">ة </w:t>
      </w:r>
      <w:r w:rsidR="00B01322" w:rsidRPr="00FD211F">
        <w:rPr>
          <w:sz w:val="36"/>
          <w:szCs w:val="36"/>
          <w:rtl/>
        </w:rPr>
        <w:t xml:space="preserve">المعنى الحرفي والاسمي </w:t>
      </w:r>
      <w:r w:rsidR="001975FB" w:rsidRPr="00FD211F">
        <w:rPr>
          <w:sz w:val="36"/>
          <w:szCs w:val="36"/>
          <w:rtl/>
        </w:rPr>
        <w:t>وان</w:t>
      </w:r>
      <w:r w:rsidR="00B01322" w:rsidRPr="00FD211F">
        <w:rPr>
          <w:sz w:val="36"/>
          <w:szCs w:val="36"/>
          <w:rtl/>
        </w:rPr>
        <w:t xml:space="preserve"> اختلافهما في</w:t>
      </w:r>
      <w:r w:rsidR="001975FB" w:rsidRPr="00FD211F">
        <w:rPr>
          <w:sz w:val="36"/>
          <w:szCs w:val="36"/>
          <w:rtl/>
        </w:rPr>
        <w:t xml:space="preserve"> مجرد</w:t>
      </w:r>
      <w:r w:rsidR="00B01322" w:rsidRPr="00FD211F">
        <w:rPr>
          <w:sz w:val="36"/>
          <w:szCs w:val="36"/>
          <w:rtl/>
        </w:rPr>
        <w:t xml:space="preserve"> لحاظ المعنى الحرفي آليا ولحاظ المعنى الاسمي استقلالا فلن يتم في المقام</w:t>
      </w:r>
      <w:r w:rsidR="00603323" w:rsidRPr="00FD211F">
        <w:rPr>
          <w:sz w:val="36"/>
          <w:szCs w:val="36"/>
          <w:rtl/>
        </w:rPr>
        <w:t xml:space="preserve">، </w:t>
      </w:r>
      <w:r w:rsidR="00B01322" w:rsidRPr="00FD211F">
        <w:rPr>
          <w:sz w:val="36"/>
          <w:szCs w:val="36"/>
          <w:rtl/>
        </w:rPr>
        <w:t>حيث ان لحاظ المعنى مما لابد منه في مرحل</w:t>
      </w:r>
      <w:r w:rsidR="00EC7EDF" w:rsidRPr="00FD211F">
        <w:rPr>
          <w:sz w:val="36"/>
          <w:szCs w:val="36"/>
          <w:rtl/>
        </w:rPr>
        <w:t xml:space="preserve">ة </w:t>
      </w:r>
      <w:r w:rsidR="00B01322" w:rsidRPr="00FD211F">
        <w:rPr>
          <w:sz w:val="36"/>
          <w:szCs w:val="36"/>
          <w:rtl/>
        </w:rPr>
        <w:t>الاستعمال</w:t>
      </w:r>
      <w:r w:rsidR="00603323" w:rsidRPr="00FD211F">
        <w:rPr>
          <w:sz w:val="36"/>
          <w:szCs w:val="36"/>
          <w:rtl/>
        </w:rPr>
        <w:t xml:space="preserve">، </w:t>
      </w:r>
      <w:r w:rsidR="00B01322" w:rsidRPr="00FD211F">
        <w:rPr>
          <w:sz w:val="36"/>
          <w:szCs w:val="36"/>
          <w:rtl/>
        </w:rPr>
        <w:t>وعليه فللواضع ان يقيد وضع الحرف بما اذا لوحظ معناه آليا</w:t>
      </w:r>
      <w:r w:rsidR="00603323" w:rsidRPr="00FD211F">
        <w:rPr>
          <w:sz w:val="36"/>
          <w:szCs w:val="36"/>
          <w:rtl/>
        </w:rPr>
        <w:t xml:space="preserve">، </w:t>
      </w:r>
      <w:r w:rsidR="00B01322" w:rsidRPr="00FD211F">
        <w:rPr>
          <w:sz w:val="36"/>
          <w:szCs w:val="36"/>
          <w:rtl/>
        </w:rPr>
        <w:t>ويقيد وضع الاسم بما اذا لوحظ معناه استقلالا</w:t>
      </w:r>
      <w:r w:rsidR="00603323" w:rsidRPr="00FD211F">
        <w:rPr>
          <w:sz w:val="36"/>
          <w:szCs w:val="36"/>
          <w:rtl/>
        </w:rPr>
        <w:t xml:space="preserve">، </w:t>
      </w:r>
      <w:r w:rsidR="00B01322" w:rsidRPr="00FD211F">
        <w:rPr>
          <w:sz w:val="36"/>
          <w:szCs w:val="36"/>
          <w:rtl/>
        </w:rPr>
        <w:t>ولايلزمه ان يجعل لحاظ المعنى آليا او استقلاليا قيدا للموضوع له بل هذا لغو بعد ضرور</w:t>
      </w:r>
      <w:r w:rsidR="00EC7EDF" w:rsidRPr="00FD211F">
        <w:rPr>
          <w:sz w:val="36"/>
          <w:szCs w:val="36"/>
          <w:rtl/>
        </w:rPr>
        <w:t xml:space="preserve">ة </w:t>
      </w:r>
      <w:r w:rsidR="00B01322" w:rsidRPr="00FD211F">
        <w:rPr>
          <w:sz w:val="36"/>
          <w:szCs w:val="36"/>
          <w:rtl/>
        </w:rPr>
        <w:t>وجوده</w:t>
      </w:r>
      <w:r w:rsidR="00603323" w:rsidRPr="00FD211F">
        <w:rPr>
          <w:sz w:val="36"/>
          <w:szCs w:val="36"/>
          <w:rtl/>
        </w:rPr>
        <w:t xml:space="preserve">، </w:t>
      </w:r>
      <w:r w:rsidR="00B01322" w:rsidRPr="00FD211F">
        <w:rPr>
          <w:sz w:val="36"/>
          <w:szCs w:val="36"/>
          <w:rtl/>
        </w:rPr>
        <w:t>وهذا بخلاف اسم الإشار</w:t>
      </w:r>
      <w:r w:rsidR="00EC7EDF" w:rsidRPr="00FD211F">
        <w:rPr>
          <w:sz w:val="36"/>
          <w:szCs w:val="36"/>
          <w:rtl/>
        </w:rPr>
        <w:t>ة</w:t>
      </w:r>
      <w:r w:rsidR="00603323" w:rsidRPr="00FD211F">
        <w:rPr>
          <w:sz w:val="36"/>
          <w:szCs w:val="36"/>
          <w:rtl/>
        </w:rPr>
        <w:t xml:space="preserve">، </w:t>
      </w:r>
      <w:r w:rsidR="00B01322" w:rsidRPr="00FD211F">
        <w:rPr>
          <w:sz w:val="36"/>
          <w:szCs w:val="36"/>
          <w:rtl/>
        </w:rPr>
        <w:t>فالاشار</w:t>
      </w:r>
      <w:r w:rsidR="00EC7EDF" w:rsidRPr="00FD211F">
        <w:rPr>
          <w:sz w:val="36"/>
          <w:szCs w:val="36"/>
          <w:rtl/>
        </w:rPr>
        <w:t xml:space="preserve">ة </w:t>
      </w:r>
      <w:r w:rsidR="00B01322" w:rsidRPr="00FD211F">
        <w:rPr>
          <w:sz w:val="36"/>
          <w:szCs w:val="36"/>
          <w:rtl/>
        </w:rPr>
        <w:t>الى المعنى ليست مما لابد منها في الاستعمال</w:t>
      </w:r>
      <w:r w:rsidR="00603323" w:rsidRPr="00FD211F">
        <w:rPr>
          <w:sz w:val="36"/>
          <w:szCs w:val="36"/>
          <w:rtl/>
        </w:rPr>
        <w:t xml:space="preserve">، </w:t>
      </w:r>
      <w:r w:rsidR="00B01322" w:rsidRPr="00FD211F">
        <w:rPr>
          <w:sz w:val="36"/>
          <w:szCs w:val="36"/>
          <w:rtl/>
        </w:rPr>
        <w:t>حيث ان المراد منها ما هو زائد على اللحاظ الاستعمالي الموجود في جميع الاستعمالات</w:t>
      </w:r>
      <w:r w:rsidR="00603323" w:rsidRPr="00FD211F">
        <w:rPr>
          <w:sz w:val="36"/>
          <w:szCs w:val="36"/>
          <w:rtl/>
        </w:rPr>
        <w:t xml:space="preserve">، </w:t>
      </w:r>
      <w:r w:rsidR="00B01322" w:rsidRPr="00FD211F">
        <w:rPr>
          <w:sz w:val="36"/>
          <w:szCs w:val="36"/>
          <w:rtl/>
        </w:rPr>
        <w:t>وحينئذ فلابد من اخذها في المعنى الموضوع له لاسم الإشار</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44"/>
      </w:r>
      <w:r w:rsidR="009C58C8" w:rsidRPr="00FD211F">
        <w:rPr>
          <w:rStyle w:val="a6"/>
          <w:sz w:val="36"/>
          <w:szCs w:val="36"/>
          <w:rtl/>
        </w:rPr>
        <w:t>)</w:t>
      </w:r>
      <w:r w:rsidR="00B01322" w:rsidRPr="00FD211F">
        <w:rPr>
          <w:sz w:val="36"/>
          <w:szCs w:val="36"/>
          <w:rtl/>
        </w:rPr>
        <w:t>.</w:t>
      </w:r>
    </w:p>
    <w:p w14:paraId="18DAFA1D" w14:textId="77777777" w:rsidR="00B9171C" w:rsidRPr="00FD211F" w:rsidRDefault="00B9171C" w:rsidP="005946E3">
      <w:pPr>
        <w:ind w:left="0" w:firstLine="227"/>
        <w:jc w:val="both"/>
        <w:rPr>
          <w:sz w:val="36"/>
          <w:szCs w:val="36"/>
          <w:rtl/>
        </w:rPr>
      </w:pPr>
      <w:r w:rsidRPr="00FD211F">
        <w:rPr>
          <w:sz w:val="36"/>
          <w:szCs w:val="36"/>
          <w:rtl/>
        </w:rPr>
        <w:t>ويلاحظ عليه ان</w:t>
      </w:r>
      <w:r w:rsidR="00B01322" w:rsidRPr="00FD211F">
        <w:rPr>
          <w:sz w:val="36"/>
          <w:szCs w:val="36"/>
          <w:rtl/>
        </w:rPr>
        <w:t xml:space="preserve"> ما ذكره</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00B01322" w:rsidRPr="00FD211F">
        <w:rPr>
          <w:sz w:val="36"/>
          <w:szCs w:val="36"/>
          <w:rtl/>
        </w:rPr>
        <w:t>ان تم في اسم الإشار</w:t>
      </w:r>
      <w:r w:rsidR="00EC7EDF" w:rsidRPr="00FD211F">
        <w:rPr>
          <w:sz w:val="36"/>
          <w:szCs w:val="36"/>
          <w:rtl/>
        </w:rPr>
        <w:t xml:space="preserve">ة </w:t>
      </w:r>
      <w:r w:rsidR="00B01322" w:rsidRPr="00FD211F">
        <w:rPr>
          <w:sz w:val="36"/>
          <w:szCs w:val="36"/>
          <w:rtl/>
        </w:rPr>
        <w:t>فيتم في الاسم والحرف ايضا</w:t>
      </w:r>
      <w:r w:rsidR="00603323" w:rsidRPr="00FD211F">
        <w:rPr>
          <w:sz w:val="36"/>
          <w:szCs w:val="36"/>
          <w:rtl/>
        </w:rPr>
        <w:t xml:space="preserve">، </w:t>
      </w:r>
      <w:r w:rsidR="00B01322" w:rsidRPr="00FD211F">
        <w:rPr>
          <w:sz w:val="36"/>
          <w:szCs w:val="36"/>
          <w:rtl/>
        </w:rPr>
        <w:t>حيث ان</w:t>
      </w:r>
      <w:r w:rsidRPr="00FD211F">
        <w:rPr>
          <w:sz w:val="36"/>
          <w:szCs w:val="36"/>
          <w:rtl/>
        </w:rPr>
        <w:t xml:space="preserve"> اصل اللحاظ مما لابد منه حال الاستعمال</w:t>
      </w:r>
      <w:r w:rsidR="00603323" w:rsidRPr="00FD211F">
        <w:rPr>
          <w:sz w:val="36"/>
          <w:szCs w:val="36"/>
          <w:rtl/>
        </w:rPr>
        <w:t xml:space="preserve">، </w:t>
      </w:r>
      <w:r w:rsidRPr="00FD211F">
        <w:rPr>
          <w:sz w:val="36"/>
          <w:szCs w:val="36"/>
          <w:rtl/>
        </w:rPr>
        <w:t>اما لزوم كونه آليا او استقلاليا فلايتأتى الا باخذه في الوضع</w:t>
      </w:r>
      <w:r w:rsidR="00603323" w:rsidRPr="00FD211F">
        <w:rPr>
          <w:sz w:val="36"/>
          <w:szCs w:val="36"/>
          <w:rtl/>
        </w:rPr>
        <w:t xml:space="preserve">، </w:t>
      </w:r>
      <w:r w:rsidR="00D66C5B" w:rsidRPr="00FD211F">
        <w:rPr>
          <w:sz w:val="36"/>
          <w:szCs w:val="36"/>
          <w:rtl/>
        </w:rPr>
        <w:t>وقد التزم صاحب الكفاي</w:t>
      </w:r>
      <w:r w:rsidR="00EC7EDF" w:rsidRPr="00FD211F">
        <w:rPr>
          <w:sz w:val="36"/>
          <w:szCs w:val="36"/>
          <w:rtl/>
        </w:rPr>
        <w:t xml:space="preserve">ة </w:t>
      </w:r>
      <w:r w:rsidR="00D66C5B" w:rsidRPr="00FD211F">
        <w:rPr>
          <w:sz w:val="36"/>
          <w:szCs w:val="36"/>
          <w:rtl/>
        </w:rPr>
        <w:t>بكون اللحاظ الآلي</w:t>
      </w:r>
      <w:r w:rsidRPr="00FD211F">
        <w:rPr>
          <w:sz w:val="36"/>
          <w:szCs w:val="36"/>
          <w:rtl/>
        </w:rPr>
        <w:t xml:space="preserve"> شرط</w:t>
      </w:r>
      <w:r w:rsidR="00D66C5B" w:rsidRPr="00FD211F">
        <w:rPr>
          <w:sz w:val="36"/>
          <w:szCs w:val="36"/>
          <w:rtl/>
        </w:rPr>
        <w:t>ا</w:t>
      </w:r>
      <w:r w:rsidRPr="00FD211F">
        <w:rPr>
          <w:sz w:val="36"/>
          <w:szCs w:val="36"/>
          <w:rtl/>
        </w:rPr>
        <w:t xml:space="preserve"> </w:t>
      </w:r>
      <w:r w:rsidR="00D66C5B" w:rsidRPr="00FD211F">
        <w:rPr>
          <w:sz w:val="36"/>
          <w:szCs w:val="36"/>
          <w:rtl/>
        </w:rPr>
        <w:t>ل</w:t>
      </w:r>
      <w:r w:rsidRPr="00FD211F">
        <w:rPr>
          <w:sz w:val="36"/>
          <w:szCs w:val="36"/>
          <w:rtl/>
        </w:rPr>
        <w:t>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00D66C5B" w:rsidRPr="00FD211F">
        <w:rPr>
          <w:sz w:val="36"/>
          <w:szCs w:val="36"/>
          <w:rtl/>
        </w:rPr>
        <w:t>في الحرف واللحاظ الاستقلالي شرطا للعلق</w:t>
      </w:r>
      <w:r w:rsidR="00EC7EDF" w:rsidRPr="00FD211F">
        <w:rPr>
          <w:sz w:val="36"/>
          <w:szCs w:val="36"/>
          <w:rtl/>
        </w:rPr>
        <w:t xml:space="preserve">ة </w:t>
      </w:r>
      <w:r w:rsidR="00D66C5B" w:rsidRPr="00FD211F">
        <w:rPr>
          <w:sz w:val="36"/>
          <w:szCs w:val="36"/>
          <w:rtl/>
        </w:rPr>
        <w:t>الوضعي</w:t>
      </w:r>
      <w:r w:rsidR="00EC7EDF" w:rsidRPr="00FD211F">
        <w:rPr>
          <w:sz w:val="36"/>
          <w:szCs w:val="36"/>
          <w:rtl/>
        </w:rPr>
        <w:t xml:space="preserve">ة </w:t>
      </w:r>
      <w:r w:rsidR="00D66C5B" w:rsidRPr="00FD211F">
        <w:rPr>
          <w:sz w:val="36"/>
          <w:szCs w:val="36"/>
          <w:rtl/>
        </w:rPr>
        <w:t>في الاسم</w:t>
      </w:r>
      <w:r w:rsidR="001975FB" w:rsidRPr="00FD211F">
        <w:rPr>
          <w:sz w:val="36"/>
          <w:szCs w:val="36"/>
          <w:rtl/>
        </w:rPr>
        <w:t xml:space="preserve"> فكذلك يلتزم باشتراط وضع اسم الاشار</w:t>
      </w:r>
      <w:r w:rsidR="00EC7EDF" w:rsidRPr="00FD211F">
        <w:rPr>
          <w:sz w:val="36"/>
          <w:szCs w:val="36"/>
          <w:rtl/>
        </w:rPr>
        <w:t xml:space="preserve">ة </w:t>
      </w:r>
      <w:r w:rsidR="001975FB" w:rsidRPr="00FD211F">
        <w:rPr>
          <w:sz w:val="36"/>
          <w:szCs w:val="36"/>
          <w:rtl/>
        </w:rPr>
        <w:t>على معنى المفرد المذكر بكون</w:t>
      </w:r>
      <w:r w:rsidR="00D66C5B" w:rsidRPr="00FD211F">
        <w:rPr>
          <w:sz w:val="36"/>
          <w:szCs w:val="36"/>
          <w:rtl/>
        </w:rPr>
        <w:t xml:space="preserve"> لحاظ المعنى</w:t>
      </w:r>
      <w:r w:rsidR="001975FB" w:rsidRPr="00FD211F">
        <w:rPr>
          <w:sz w:val="36"/>
          <w:szCs w:val="36"/>
          <w:rtl/>
        </w:rPr>
        <w:t xml:space="preserve"> مقترنا</w:t>
      </w:r>
      <w:r w:rsidRPr="00FD211F">
        <w:rPr>
          <w:sz w:val="36"/>
          <w:szCs w:val="36"/>
          <w:rtl/>
        </w:rPr>
        <w:t xml:space="preserve"> بالاشار</w:t>
      </w:r>
      <w:r w:rsidR="00EC7EDF" w:rsidRPr="00FD211F">
        <w:rPr>
          <w:sz w:val="36"/>
          <w:szCs w:val="36"/>
          <w:rtl/>
        </w:rPr>
        <w:t xml:space="preserve">ة </w:t>
      </w:r>
      <w:r w:rsidRPr="00FD211F">
        <w:rPr>
          <w:sz w:val="36"/>
          <w:szCs w:val="36"/>
          <w:rtl/>
        </w:rPr>
        <w:t>به اليه.</w:t>
      </w:r>
    </w:p>
    <w:p w14:paraId="23B9E67B" w14:textId="77777777" w:rsidR="000C5BBA" w:rsidRPr="00FD211F" w:rsidRDefault="001975FB" w:rsidP="009C58C8">
      <w:pPr>
        <w:ind w:left="0" w:firstLine="227"/>
        <w:jc w:val="both"/>
        <w:rPr>
          <w:sz w:val="36"/>
          <w:szCs w:val="36"/>
          <w:rtl/>
        </w:rPr>
      </w:pPr>
      <w:r w:rsidRPr="00FD211F">
        <w:rPr>
          <w:sz w:val="36"/>
          <w:szCs w:val="36"/>
          <w:rtl/>
        </w:rPr>
        <w:t>وكيف كان فعمد</w:t>
      </w:r>
      <w:r w:rsidR="00EC7EDF" w:rsidRPr="00FD211F">
        <w:rPr>
          <w:sz w:val="36"/>
          <w:szCs w:val="36"/>
          <w:rtl/>
        </w:rPr>
        <w:t xml:space="preserve">ة </w:t>
      </w:r>
      <w:r w:rsidRPr="00FD211F">
        <w:rPr>
          <w:sz w:val="36"/>
          <w:szCs w:val="36"/>
          <w:rtl/>
        </w:rPr>
        <w:t>الاشكال على صاحب الكفاي</w:t>
      </w:r>
      <w:r w:rsidR="00EC7EDF" w:rsidRPr="00FD211F">
        <w:rPr>
          <w:sz w:val="36"/>
          <w:szCs w:val="36"/>
          <w:rtl/>
        </w:rPr>
        <w:t xml:space="preserve">ة </w:t>
      </w:r>
      <w:r w:rsidR="005F0EF6" w:rsidRPr="00FD211F">
        <w:rPr>
          <w:sz w:val="36"/>
          <w:szCs w:val="36"/>
          <w:rtl/>
        </w:rPr>
        <w:t>"قده"</w:t>
      </w:r>
      <w:r w:rsidRPr="00FD211F">
        <w:rPr>
          <w:sz w:val="36"/>
          <w:szCs w:val="36"/>
          <w:rtl/>
        </w:rPr>
        <w:t xml:space="preserve"> ان دعوى وحد</w:t>
      </w:r>
      <w:r w:rsidR="00EC7EDF" w:rsidRPr="00FD211F">
        <w:rPr>
          <w:sz w:val="36"/>
          <w:szCs w:val="36"/>
          <w:rtl/>
        </w:rPr>
        <w:t xml:space="preserve">ة </w:t>
      </w:r>
      <w:r w:rsidRPr="00FD211F">
        <w:rPr>
          <w:sz w:val="36"/>
          <w:szCs w:val="36"/>
          <w:rtl/>
        </w:rPr>
        <w:t>معنى "هذا" و"هو" و"انت" و"المفرد المذكر" خلاف الوجدان جدّا.</w:t>
      </w:r>
    </w:p>
    <w:p w14:paraId="2DCBBC26" w14:textId="77777777" w:rsidR="000C5BBA" w:rsidRPr="00FD211F" w:rsidRDefault="005F0EF6" w:rsidP="009C58C8">
      <w:pPr>
        <w:pStyle w:val="a4"/>
        <w:ind w:left="0" w:firstLine="227"/>
        <w:jc w:val="both"/>
        <w:rPr>
          <w:sz w:val="36"/>
          <w:szCs w:val="36"/>
          <w:rtl/>
        </w:rPr>
      </w:pPr>
      <w:r w:rsidRPr="00FD211F">
        <w:rPr>
          <w:sz w:val="36"/>
          <w:szCs w:val="36"/>
          <w:rtl/>
        </w:rPr>
        <w:t>وقد اورد في البحوث على صاحب الكفاي</w:t>
      </w:r>
      <w:r w:rsidR="00EC7EDF" w:rsidRPr="00FD211F">
        <w:rPr>
          <w:sz w:val="36"/>
          <w:szCs w:val="36"/>
          <w:rtl/>
        </w:rPr>
        <w:t xml:space="preserve">ة </w:t>
      </w:r>
      <w:r w:rsidRPr="00FD211F">
        <w:rPr>
          <w:sz w:val="36"/>
          <w:szCs w:val="36"/>
          <w:rtl/>
        </w:rPr>
        <w:t>بان بناء على المسلك الصحيح في الوضع من كونه القرن الأكيد بين تصور اللفظ والمعنى فلايمكن تقييده بحال دون حال كأن يختص استلزام تصور اللفظ لتصور المعنى بما اذا قصد المتكلم تفهيم المعنى او لاحظ المعنى بنحو خاص</w:t>
      </w:r>
      <w:r w:rsidR="009C58C8" w:rsidRPr="00FD211F">
        <w:rPr>
          <w:rStyle w:val="a6"/>
          <w:sz w:val="36"/>
          <w:szCs w:val="36"/>
          <w:rtl/>
        </w:rPr>
        <w:t>(</w:t>
      </w:r>
      <w:r w:rsidR="009C58C8" w:rsidRPr="00FD211F">
        <w:rPr>
          <w:rStyle w:val="a6"/>
          <w:sz w:val="36"/>
          <w:szCs w:val="36"/>
          <w:rtl/>
        </w:rPr>
        <w:footnoteReference w:id="245"/>
      </w:r>
      <w:r w:rsidR="009C58C8" w:rsidRPr="00FD211F">
        <w:rPr>
          <w:rStyle w:val="a6"/>
          <w:sz w:val="36"/>
          <w:szCs w:val="36"/>
          <w:rtl/>
        </w:rPr>
        <w:t>)</w:t>
      </w:r>
      <w:r w:rsidRPr="00FD211F">
        <w:rPr>
          <w:sz w:val="36"/>
          <w:szCs w:val="36"/>
          <w:rtl/>
        </w:rPr>
        <w:t>.</w:t>
      </w:r>
    </w:p>
    <w:p w14:paraId="7BFDD1DF" w14:textId="77777777" w:rsidR="005F0EF6" w:rsidRPr="00FD211F" w:rsidRDefault="005F0EF6" w:rsidP="009C58C8">
      <w:pPr>
        <w:pStyle w:val="a4"/>
        <w:ind w:left="0" w:firstLine="227"/>
        <w:jc w:val="both"/>
        <w:rPr>
          <w:sz w:val="36"/>
          <w:szCs w:val="36"/>
          <w:rtl/>
        </w:rPr>
      </w:pPr>
      <w:r w:rsidRPr="00FD211F">
        <w:rPr>
          <w:sz w:val="36"/>
          <w:szCs w:val="36"/>
          <w:rtl/>
        </w:rPr>
        <w:t>ولكن لايخفى انه بناء على مسلك القرن الاكيدايضا يمكن اخذ كيفي</w:t>
      </w:r>
      <w:r w:rsidR="00EC7EDF" w:rsidRPr="00FD211F">
        <w:rPr>
          <w:sz w:val="36"/>
          <w:szCs w:val="36"/>
          <w:rtl/>
        </w:rPr>
        <w:t xml:space="preserve">ة </w:t>
      </w:r>
      <w:r w:rsidRPr="00FD211F">
        <w:rPr>
          <w:sz w:val="36"/>
          <w:szCs w:val="36"/>
          <w:rtl/>
        </w:rPr>
        <w:t>لحاظ المعنى في المستعمل فيه بالذات اي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للمعنى الموجود في ذهن المتكلم</w:t>
      </w:r>
      <w:r w:rsidR="00603323" w:rsidRPr="00FD211F">
        <w:rPr>
          <w:sz w:val="36"/>
          <w:szCs w:val="36"/>
          <w:rtl/>
        </w:rPr>
        <w:t xml:space="preserve">، </w:t>
      </w:r>
      <w:r w:rsidRPr="00FD211F">
        <w:rPr>
          <w:sz w:val="36"/>
          <w:szCs w:val="36"/>
          <w:rtl/>
        </w:rPr>
        <w:t>كما يمكن أخذها في الموضوع له بالذات اي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للمعنى الموجود في ذهن المخاطب</w:t>
      </w:r>
      <w:r w:rsidR="00603323" w:rsidRPr="00FD211F">
        <w:rPr>
          <w:sz w:val="36"/>
          <w:szCs w:val="36"/>
          <w:rtl/>
        </w:rPr>
        <w:t xml:space="preserve">، </w:t>
      </w:r>
      <w:r w:rsidRPr="00FD211F">
        <w:rPr>
          <w:sz w:val="36"/>
          <w:szCs w:val="36"/>
          <w:rtl/>
        </w:rPr>
        <w:t xml:space="preserve">وقد </w:t>
      </w:r>
      <w:r w:rsidR="00DE0D79" w:rsidRPr="00FD211F">
        <w:rPr>
          <w:sz w:val="36"/>
          <w:szCs w:val="36"/>
          <w:rtl/>
        </w:rPr>
        <w:t>اعترف في البحوث ب</w:t>
      </w:r>
      <w:r w:rsidRPr="00FD211F">
        <w:rPr>
          <w:sz w:val="36"/>
          <w:szCs w:val="36"/>
          <w:rtl/>
        </w:rPr>
        <w:t>ذلك في بحث الجمل الإنشائي</w:t>
      </w:r>
      <w:r w:rsidR="00EC7EDF" w:rsidRPr="00FD211F">
        <w:rPr>
          <w:sz w:val="36"/>
          <w:szCs w:val="36"/>
          <w:rtl/>
        </w:rPr>
        <w:t xml:space="preserve">ة </w:t>
      </w:r>
      <w:r w:rsidRPr="00FD211F">
        <w:rPr>
          <w:sz w:val="36"/>
          <w:szCs w:val="36"/>
          <w:rtl/>
        </w:rPr>
        <w:t>المشترك</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46"/>
      </w:r>
      <w:r w:rsidR="009C58C8" w:rsidRPr="00FD211F">
        <w:rPr>
          <w:rStyle w:val="a6"/>
          <w:sz w:val="36"/>
          <w:szCs w:val="36"/>
          <w:rtl/>
        </w:rPr>
        <w:t>)</w:t>
      </w:r>
      <w:r w:rsidRPr="00FD211F">
        <w:rPr>
          <w:sz w:val="36"/>
          <w:szCs w:val="36"/>
          <w:rtl/>
        </w:rPr>
        <w:t>.</w:t>
      </w:r>
    </w:p>
    <w:p w14:paraId="53695092" w14:textId="77777777" w:rsidR="002A31FB" w:rsidRPr="00FD211F" w:rsidRDefault="00B9171C" w:rsidP="009C58C8">
      <w:pPr>
        <w:ind w:left="0" w:firstLine="227"/>
        <w:jc w:val="both"/>
        <w:rPr>
          <w:sz w:val="36"/>
          <w:szCs w:val="36"/>
          <w:rtl/>
        </w:rPr>
      </w:pPr>
      <w:r w:rsidRPr="00FD211F">
        <w:rPr>
          <w:sz w:val="36"/>
          <w:szCs w:val="36"/>
          <w:rtl/>
        </w:rPr>
        <w:t>2- ما ذكره جماع</w:t>
      </w:r>
      <w:r w:rsidR="00EC7EDF" w:rsidRPr="00FD211F">
        <w:rPr>
          <w:sz w:val="36"/>
          <w:szCs w:val="36"/>
          <w:rtl/>
        </w:rPr>
        <w:t xml:space="preserve">ة </w:t>
      </w:r>
      <w:r w:rsidRPr="00FD211F">
        <w:rPr>
          <w:sz w:val="36"/>
          <w:szCs w:val="36"/>
          <w:rtl/>
        </w:rPr>
        <w:t>منهم السيد البروجردي</w:t>
      </w:r>
      <w:r w:rsidR="002A31FB" w:rsidRPr="00FD211F">
        <w:rPr>
          <w:sz w:val="36"/>
          <w:szCs w:val="36"/>
          <w:rtl/>
        </w:rPr>
        <w:t xml:space="preserve"> والسيد الإمام </w:t>
      </w:r>
      <w:r w:rsidR="005F0EF6" w:rsidRPr="00FD211F">
        <w:rPr>
          <w:sz w:val="36"/>
          <w:szCs w:val="36"/>
          <w:rtl/>
        </w:rPr>
        <w:t>"</w:t>
      </w:r>
      <w:r w:rsidR="002A31FB" w:rsidRPr="00FD211F">
        <w:rPr>
          <w:sz w:val="36"/>
          <w:szCs w:val="36"/>
          <w:rtl/>
        </w:rPr>
        <w:t>قدهما</w:t>
      </w:r>
      <w:r w:rsidR="005F0EF6" w:rsidRPr="00FD211F">
        <w:rPr>
          <w:sz w:val="36"/>
          <w:szCs w:val="36"/>
          <w:rtl/>
        </w:rPr>
        <w:t>"</w:t>
      </w:r>
      <w:r w:rsidRPr="00FD211F">
        <w:rPr>
          <w:sz w:val="36"/>
          <w:szCs w:val="36"/>
          <w:rtl/>
        </w:rPr>
        <w:t xml:space="preserve"> من ان المعنى الموضوع له والمستعمل فيه للفظ الاشار</w:t>
      </w:r>
      <w:r w:rsidR="00EC7EDF" w:rsidRPr="00FD211F">
        <w:rPr>
          <w:sz w:val="36"/>
          <w:szCs w:val="36"/>
          <w:rtl/>
        </w:rPr>
        <w:t xml:space="preserve">ة </w:t>
      </w:r>
      <w:r w:rsidRPr="00FD211F">
        <w:rPr>
          <w:sz w:val="36"/>
          <w:szCs w:val="36"/>
          <w:rtl/>
        </w:rPr>
        <w:t>هو نفس الاشار</w:t>
      </w:r>
      <w:r w:rsidR="00EC7EDF" w:rsidRPr="00FD211F">
        <w:rPr>
          <w:sz w:val="36"/>
          <w:szCs w:val="36"/>
          <w:rtl/>
        </w:rPr>
        <w:t xml:space="preserve">ة </w:t>
      </w:r>
      <w:r w:rsidRPr="00FD211F">
        <w:rPr>
          <w:sz w:val="36"/>
          <w:szCs w:val="36"/>
          <w:rtl/>
        </w:rPr>
        <w:t>ويستعمل اللفظ فيها بغرض ايجادها فهي قائم</w:t>
      </w:r>
      <w:r w:rsidR="00EC7EDF" w:rsidRPr="00FD211F">
        <w:rPr>
          <w:sz w:val="36"/>
          <w:szCs w:val="36"/>
          <w:rtl/>
        </w:rPr>
        <w:t xml:space="preserve">ة </w:t>
      </w:r>
      <w:r w:rsidRPr="00FD211F">
        <w:rPr>
          <w:sz w:val="36"/>
          <w:szCs w:val="36"/>
          <w:rtl/>
        </w:rPr>
        <w:t>مقام الاشار</w:t>
      </w:r>
      <w:r w:rsidR="00EC7EDF" w:rsidRPr="00FD211F">
        <w:rPr>
          <w:sz w:val="36"/>
          <w:szCs w:val="36"/>
          <w:rtl/>
        </w:rPr>
        <w:t xml:space="preserve">ة </w:t>
      </w:r>
      <w:r w:rsidRPr="00FD211F">
        <w:rPr>
          <w:sz w:val="36"/>
          <w:szCs w:val="36"/>
          <w:rtl/>
        </w:rPr>
        <w:t>الخارجي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47"/>
      </w:r>
      <w:r w:rsidR="009C58C8" w:rsidRPr="00FD211F">
        <w:rPr>
          <w:rStyle w:val="a6"/>
          <w:sz w:val="36"/>
          <w:szCs w:val="36"/>
          <w:rtl/>
        </w:rPr>
        <w:t>)</w:t>
      </w:r>
      <w:r w:rsidR="00603323" w:rsidRPr="00FD211F">
        <w:rPr>
          <w:sz w:val="36"/>
          <w:szCs w:val="36"/>
          <w:rtl/>
        </w:rPr>
        <w:t xml:space="preserve">، </w:t>
      </w:r>
      <w:r w:rsidR="002A31FB" w:rsidRPr="00FD211F">
        <w:rPr>
          <w:sz w:val="36"/>
          <w:szCs w:val="36"/>
          <w:rtl/>
        </w:rPr>
        <w:t xml:space="preserve">كما انه ذكر بعض الاعلام </w:t>
      </w:r>
      <w:r w:rsidR="00627231" w:rsidRPr="00FD211F">
        <w:rPr>
          <w:sz w:val="36"/>
          <w:szCs w:val="36"/>
          <w:rtl/>
        </w:rPr>
        <w:t>"</w:t>
      </w:r>
      <w:r w:rsidR="00F22664" w:rsidRPr="00FD211F">
        <w:rPr>
          <w:sz w:val="36"/>
          <w:szCs w:val="36"/>
          <w:rtl/>
        </w:rPr>
        <w:t>قده</w:t>
      </w:r>
      <w:r w:rsidR="00627231" w:rsidRPr="00FD211F">
        <w:rPr>
          <w:sz w:val="36"/>
          <w:szCs w:val="36"/>
          <w:rtl/>
        </w:rPr>
        <w:t>"</w:t>
      </w:r>
      <w:r w:rsidR="00F22664" w:rsidRPr="00FD211F">
        <w:rPr>
          <w:sz w:val="36"/>
          <w:szCs w:val="36"/>
          <w:rtl/>
        </w:rPr>
        <w:t xml:space="preserve"> </w:t>
      </w:r>
      <w:r w:rsidRPr="00FD211F">
        <w:rPr>
          <w:sz w:val="36"/>
          <w:szCs w:val="36"/>
          <w:rtl/>
        </w:rPr>
        <w:t>ان معناها نفس الاشار</w:t>
      </w:r>
      <w:r w:rsidR="00EC7EDF" w:rsidRPr="00FD211F">
        <w:rPr>
          <w:sz w:val="36"/>
          <w:szCs w:val="36"/>
          <w:rtl/>
        </w:rPr>
        <w:t xml:space="preserve">ة </w:t>
      </w:r>
      <w:r w:rsidRPr="00FD211F">
        <w:rPr>
          <w:sz w:val="36"/>
          <w:szCs w:val="36"/>
          <w:rtl/>
        </w:rPr>
        <w:t>الذهني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48"/>
      </w:r>
      <w:r w:rsidR="009C58C8" w:rsidRPr="00FD211F">
        <w:rPr>
          <w:rStyle w:val="a6"/>
          <w:sz w:val="36"/>
          <w:szCs w:val="36"/>
          <w:rtl/>
        </w:rPr>
        <w:t>)</w:t>
      </w:r>
      <w:r w:rsidR="00603323" w:rsidRPr="00FD211F">
        <w:rPr>
          <w:sz w:val="36"/>
          <w:szCs w:val="36"/>
          <w:rtl/>
        </w:rPr>
        <w:t xml:space="preserve">، </w:t>
      </w:r>
      <w:r w:rsidR="002A31FB" w:rsidRPr="00FD211F">
        <w:rPr>
          <w:sz w:val="36"/>
          <w:szCs w:val="36"/>
          <w:rtl/>
        </w:rPr>
        <w:t>وقد يورد على ذلك بانه</w:t>
      </w:r>
      <w:r w:rsidRPr="00FD211F">
        <w:rPr>
          <w:sz w:val="36"/>
          <w:szCs w:val="36"/>
          <w:rtl/>
        </w:rPr>
        <w:t xml:space="preserve"> في قولنا </w:t>
      </w:r>
      <w:r w:rsidR="002A31FB" w:rsidRPr="00FD211F">
        <w:rPr>
          <w:sz w:val="36"/>
          <w:szCs w:val="36"/>
          <w:rtl/>
        </w:rPr>
        <w:t>"</w:t>
      </w:r>
      <w:r w:rsidRPr="00FD211F">
        <w:rPr>
          <w:sz w:val="36"/>
          <w:szCs w:val="36"/>
          <w:rtl/>
        </w:rPr>
        <w:t>هذا زيد</w:t>
      </w:r>
      <w:r w:rsidR="002A31FB" w:rsidRPr="00FD211F">
        <w:rPr>
          <w:sz w:val="36"/>
          <w:szCs w:val="36"/>
          <w:rtl/>
        </w:rPr>
        <w:t>" يكون زيد محمولا</w:t>
      </w:r>
      <w:r w:rsidRPr="00FD211F">
        <w:rPr>
          <w:sz w:val="36"/>
          <w:szCs w:val="36"/>
          <w:rtl/>
        </w:rPr>
        <w:t xml:space="preserve"> على</w:t>
      </w:r>
      <w:r w:rsidR="002A31FB" w:rsidRPr="00FD211F">
        <w:rPr>
          <w:sz w:val="36"/>
          <w:szCs w:val="36"/>
          <w:rtl/>
        </w:rPr>
        <w:t xml:space="preserve"> معنى "هذا" فلايمكن ان يكون معناه نفس الإشار</w:t>
      </w:r>
      <w:r w:rsidR="00EC7EDF" w:rsidRPr="00FD211F">
        <w:rPr>
          <w:sz w:val="36"/>
          <w:szCs w:val="36"/>
          <w:rtl/>
        </w:rPr>
        <w:t xml:space="preserve">ة </w:t>
      </w:r>
      <w:r w:rsidR="002A31FB" w:rsidRPr="00FD211F">
        <w:rPr>
          <w:sz w:val="36"/>
          <w:szCs w:val="36"/>
          <w:rtl/>
        </w:rPr>
        <w:t xml:space="preserve">لعدم اتحادهما خارجا </w:t>
      </w:r>
      <w:r w:rsidRPr="00FD211F">
        <w:rPr>
          <w:sz w:val="36"/>
          <w:szCs w:val="36"/>
          <w:rtl/>
        </w:rPr>
        <w:t>كما هو ظاهر</w:t>
      </w:r>
      <w:r w:rsidR="00603323" w:rsidRPr="00FD211F">
        <w:rPr>
          <w:sz w:val="36"/>
          <w:szCs w:val="36"/>
          <w:rtl/>
        </w:rPr>
        <w:t xml:space="preserve">، </w:t>
      </w:r>
      <w:r w:rsidR="002A31FB" w:rsidRPr="00FD211F">
        <w:rPr>
          <w:sz w:val="36"/>
          <w:szCs w:val="36"/>
          <w:rtl/>
        </w:rPr>
        <w:t>ولكن</w:t>
      </w:r>
      <w:r w:rsidR="006B129C" w:rsidRPr="00FD211F">
        <w:rPr>
          <w:sz w:val="36"/>
          <w:szCs w:val="36"/>
          <w:rtl/>
        </w:rPr>
        <w:t xml:space="preserve"> </w:t>
      </w:r>
      <w:r w:rsidRPr="00FD211F">
        <w:rPr>
          <w:sz w:val="36"/>
          <w:szCs w:val="36"/>
          <w:rtl/>
        </w:rPr>
        <w:t>اجابوا عنه بان الاشار</w:t>
      </w:r>
      <w:r w:rsidR="00EC7EDF" w:rsidRPr="00FD211F">
        <w:rPr>
          <w:sz w:val="36"/>
          <w:szCs w:val="36"/>
          <w:rtl/>
        </w:rPr>
        <w:t xml:space="preserve">ة </w:t>
      </w:r>
      <w:r w:rsidRPr="00FD211F">
        <w:rPr>
          <w:sz w:val="36"/>
          <w:szCs w:val="36"/>
          <w:rtl/>
        </w:rPr>
        <w:t>لوحظت مرآ</w:t>
      </w:r>
      <w:r w:rsidR="00EC7EDF" w:rsidRPr="00FD211F">
        <w:rPr>
          <w:sz w:val="36"/>
          <w:szCs w:val="36"/>
          <w:rtl/>
        </w:rPr>
        <w:t xml:space="preserve">ة </w:t>
      </w:r>
      <w:r w:rsidRPr="00FD211F">
        <w:rPr>
          <w:sz w:val="36"/>
          <w:szCs w:val="36"/>
          <w:rtl/>
        </w:rPr>
        <w:t>الى المشار اليه</w:t>
      </w:r>
      <w:r w:rsidR="00603323" w:rsidRPr="00FD211F">
        <w:rPr>
          <w:sz w:val="36"/>
          <w:szCs w:val="36"/>
          <w:rtl/>
        </w:rPr>
        <w:t xml:space="preserve">، </w:t>
      </w:r>
      <w:r w:rsidR="002A31FB" w:rsidRPr="00FD211F">
        <w:rPr>
          <w:sz w:val="36"/>
          <w:szCs w:val="36"/>
          <w:rtl/>
        </w:rPr>
        <w:t>فهو الملحوظ بالنظر التصوري</w:t>
      </w:r>
      <w:r w:rsidRPr="00FD211F">
        <w:rPr>
          <w:sz w:val="36"/>
          <w:szCs w:val="36"/>
          <w:rtl/>
        </w:rPr>
        <w:t xml:space="preserve"> كما في الاشار</w:t>
      </w:r>
      <w:r w:rsidR="00EC7EDF" w:rsidRPr="00FD211F">
        <w:rPr>
          <w:sz w:val="36"/>
          <w:szCs w:val="36"/>
          <w:rtl/>
        </w:rPr>
        <w:t xml:space="preserve">ة </w:t>
      </w:r>
      <w:r w:rsidRPr="00FD211F">
        <w:rPr>
          <w:sz w:val="36"/>
          <w:szCs w:val="36"/>
          <w:rtl/>
        </w:rPr>
        <w:t>الخارجي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49"/>
      </w:r>
      <w:r w:rsidR="009C58C8" w:rsidRPr="00FD211F">
        <w:rPr>
          <w:rStyle w:val="a6"/>
          <w:sz w:val="36"/>
          <w:szCs w:val="36"/>
          <w:rtl/>
        </w:rPr>
        <w:t>)</w:t>
      </w:r>
      <w:r w:rsidR="002A31FB" w:rsidRPr="00FD211F">
        <w:rPr>
          <w:sz w:val="36"/>
          <w:szCs w:val="36"/>
          <w:rtl/>
        </w:rPr>
        <w:t>.</w:t>
      </w:r>
    </w:p>
    <w:p w14:paraId="0A44D4EC" w14:textId="77777777" w:rsidR="00B9171C" w:rsidRPr="00FD211F" w:rsidRDefault="00B9171C" w:rsidP="009C58C8">
      <w:pPr>
        <w:ind w:left="0" w:firstLine="227"/>
        <w:jc w:val="both"/>
        <w:rPr>
          <w:sz w:val="36"/>
          <w:szCs w:val="36"/>
          <w:rtl/>
        </w:rPr>
      </w:pPr>
      <w:r w:rsidRPr="00FD211F">
        <w:rPr>
          <w:sz w:val="36"/>
          <w:szCs w:val="36"/>
          <w:rtl/>
        </w:rPr>
        <w:t>و</w:t>
      </w:r>
      <w:r w:rsidR="002A31FB" w:rsidRPr="00FD211F">
        <w:rPr>
          <w:sz w:val="36"/>
          <w:szCs w:val="36"/>
          <w:rtl/>
        </w:rPr>
        <w:t xml:space="preserve">لكن الانصاف ان </w:t>
      </w:r>
      <w:r w:rsidRPr="00FD211F">
        <w:rPr>
          <w:sz w:val="36"/>
          <w:szCs w:val="36"/>
          <w:rtl/>
        </w:rPr>
        <w:t xml:space="preserve">المرتكز عرفا </w:t>
      </w:r>
      <w:r w:rsidR="002A31FB" w:rsidRPr="00FD211F">
        <w:rPr>
          <w:sz w:val="36"/>
          <w:szCs w:val="36"/>
          <w:rtl/>
        </w:rPr>
        <w:t xml:space="preserve">في </w:t>
      </w:r>
      <w:r w:rsidRPr="00FD211F">
        <w:rPr>
          <w:sz w:val="36"/>
          <w:szCs w:val="36"/>
          <w:rtl/>
        </w:rPr>
        <w:t>قولنا "</w:t>
      </w:r>
      <w:r w:rsidR="007249AF" w:rsidRPr="00FD211F">
        <w:rPr>
          <w:sz w:val="36"/>
          <w:szCs w:val="36"/>
          <w:rtl/>
        </w:rPr>
        <w:t>هذا</w:t>
      </w:r>
      <w:r w:rsidRPr="00FD211F">
        <w:rPr>
          <w:sz w:val="36"/>
          <w:szCs w:val="36"/>
          <w:rtl/>
        </w:rPr>
        <w:t xml:space="preserve">" هو كونه مستعملا في </w:t>
      </w:r>
      <w:r w:rsidR="002A31FB" w:rsidRPr="00FD211F">
        <w:rPr>
          <w:sz w:val="36"/>
          <w:szCs w:val="36"/>
          <w:rtl/>
        </w:rPr>
        <w:t>ن</w:t>
      </w:r>
      <w:r w:rsidRPr="00FD211F">
        <w:rPr>
          <w:sz w:val="36"/>
          <w:szCs w:val="36"/>
          <w:rtl/>
        </w:rPr>
        <w:t>فس المشار اليه</w:t>
      </w:r>
      <w:r w:rsidR="002A31FB" w:rsidRPr="00FD211F">
        <w:rPr>
          <w:sz w:val="36"/>
          <w:szCs w:val="36"/>
          <w:rtl/>
        </w:rPr>
        <w:t xml:space="preserve"> حتى بالنظر التصديقي</w:t>
      </w:r>
      <w:r w:rsidR="00603323" w:rsidRPr="00FD211F">
        <w:rPr>
          <w:sz w:val="36"/>
          <w:szCs w:val="36"/>
          <w:rtl/>
        </w:rPr>
        <w:t xml:space="preserve">، </w:t>
      </w:r>
      <w:r w:rsidR="002A31FB" w:rsidRPr="00FD211F">
        <w:rPr>
          <w:sz w:val="36"/>
          <w:szCs w:val="36"/>
          <w:rtl/>
        </w:rPr>
        <w:t>والا فليست الاشار</w:t>
      </w:r>
      <w:r w:rsidR="00EC7EDF" w:rsidRPr="00FD211F">
        <w:rPr>
          <w:sz w:val="36"/>
          <w:szCs w:val="36"/>
          <w:rtl/>
        </w:rPr>
        <w:t xml:space="preserve">ة </w:t>
      </w:r>
      <w:r w:rsidR="002A31FB" w:rsidRPr="00FD211F">
        <w:rPr>
          <w:sz w:val="36"/>
          <w:szCs w:val="36"/>
          <w:rtl/>
        </w:rPr>
        <w:t>عن</w:t>
      </w:r>
      <w:r w:rsidR="005F0EF6" w:rsidRPr="00FD211F">
        <w:rPr>
          <w:sz w:val="36"/>
          <w:szCs w:val="36"/>
          <w:rtl/>
        </w:rPr>
        <w:t>وانا للمشار اليه كي تلحظ</w:t>
      </w:r>
      <w:r w:rsidR="00B253CE" w:rsidRPr="00FD211F">
        <w:rPr>
          <w:sz w:val="36"/>
          <w:szCs w:val="36"/>
          <w:rtl/>
        </w:rPr>
        <w:t xml:space="preserve"> </w:t>
      </w:r>
      <w:r w:rsidR="002A31FB" w:rsidRPr="00FD211F">
        <w:rPr>
          <w:sz w:val="36"/>
          <w:szCs w:val="36"/>
          <w:rtl/>
        </w:rPr>
        <w:t>فاني</w:t>
      </w:r>
      <w:r w:rsidR="00EC7EDF" w:rsidRPr="00FD211F">
        <w:rPr>
          <w:sz w:val="36"/>
          <w:szCs w:val="36"/>
          <w:rtl/>
        </w:rPr>
        <w:t xml:space="preserve">ة </w:t>
      </w:r>
      <w:r w:rsidR="002A31FB" w:rsidRPr="00FD211F">
        <w:rPr>
          <w:sz w:val="36"/>
          <w:szCs w:val="36"/>
          <w:rtl/>
        </w:rPr>
        <w:t>فيه.</w:t>
      </w:r>
    </w:p>
    <w:p w14:paraId="0DA91A15" w14:textId="77777777" w:rsidR="00B9171C" w:rsidRPr="00FD211F" w:rsidRDefault="00B9171C" w:rsidP="009C58C8">
      <w:pPr>
        <w:ind w:left="0" w:firstLine="227"/>
        <w:jc w:val="both"/>
        <w:rPr>
          <w:sz w:val="36"/>
          <w:szCs w:val="36"/>
          <w:rtl/>
        </w:rPr>
      </w:pPr>
      <w:r w:rsidRPr="00FD211F">
        <w:rPr>
          <w:sz w:val="36"/>
          <w:szCs w:val="36"/>
          <w:rtl/>
        </w:rPr>
        <w:t xml:space="preserve">3- ما ذكره المحقق العراقي </w:t>
      </w:r>
      <w:r w:rsidR="00627231" w:rsidRPr="00FD211F">
        <w:rPr>
          <w:sz w:val="36"/>
          <w:szCs w:val="36"/>
          <w:rtl/>
        </w:rPr>
        <w:t>"</w:t>
      </w:r>
      <w:r w:rsidRPr="00FD211F">
        <w:rPr>
          <w:sz w:val="36"/>
          <w:szCs w:val="36"/>
          <w:rtl/>
        </w:rPr>
        <w:t>قده</w:t>
      </w:r>
      <w:r w:rsidR="00627231" w:rsidRPr="00FD211F">
        <w:rPr>
          <w:sz w:val="36"/>
          <w:szCs w:val="36"/>
          <w:rtl/>
        </w:rPr>
        <w:t>"</w:t>
      </w:r>
      <w:r w:rsidRPr="00FD211F">
        <w:rPr>
          <w:sz w:val="36"/>
          <w:szCs w:val="36"/>
          <w:rtl/>
        </w:rPr>
        <w:t xml:space="preserve"> من ان معنى اسم الاشار</w:t>
      </w:r>
      <w:r w:rsidR="00EC7EDF" w:rsidRPr="00FD211F">
        <w:rPr>
          <w:sz w:val="36"/>
          <w:szCs w:val="36"/>
          <w:rtl/>
        </w:rPr>
        <w:t xml:space="preserve">ة </w:t>
      </w:r>
      <w:r w:rsidRPr="00FD211F">
        <w:rPr>
          <w:sz w:val="36"/>
          <w:szCs w:val="36"/>
          <w:rtl/>
        </w:rPr>
        <w:t>هو الذات المبهم</w:t>
      </w:r>
      <w:r w:rsidR="00EC7EDF" w:rsidRPr="00FD211F">
        <w:rPr>
          <w:sz w:val="36"/>
          <w:szCs w:val="36"/>
          <w:rtl/>
        </w:rPr>
        <w:t>ة</w:t>
      </w:r>
      <w:r w:rsidR="00603323" w:rsidRPr="00FD211F">
        <w:rPr>
          <w:sz w:val="36"/>
          <w:szCs w:val="36"/>
          <w:rtl/>
        </w:rPr>
        <w:t xml:space="preserve">، </w:t>
      </w:r>
      <w:r w:rsidRPr="00FD211F">
        <w:rPr>
          <w:sz w:val="36"/>
          <w:szCs w:val="36"/>
          <w:rtl/>
        </w:rPr>
        <w:t>في حين اقترانه</w:t>
      </w:r>
      <w:r w:rsidR="0011498F" w:rsidRPr="00FD211F">
        <w:rPr>
          <w:sz w:val="36"/>
          <w:szCs w:val="36"/>
          <w:rtl/>
        </w:rPr>
        <w:t>ا</w:t>
      </w:r>
      <w:r w:rsidRPr="00FD211F">
        <w:rPr>
          <w:sz w:val="36"/>
          <w:szCs w:val="36"/>
          <w:rtl/>
        </w:rPr>
        <w:t xml:space="preserve"> بالاشار</w:t>
      </w:r>
      <w:r w:rsidR="00EC7EDF" w:rsidRPr="00FD211F">
        <w:rPr>
          <w:sz w:val="36"/>
          <w:szCs w:val="36"/>
          <w:rtl/>
        </w:rPr>
        <w:t xml:space="preserve">ة </w:t>
      </w:r>
      <w:r w:rsidR="002A31FB" w:rsidRPr="00FD211F">
        <w:rPr>
          <w:sz w:val="36"/>
          <w:szCs w:val="36"/>
          <w:rtl/>
        </w:rPr>
        <w:t>اليه</w:t>
      </w:r>
      <w:r w:rsidR="0011498F" w:rsidRPr="00FD211F">
        <w:rPr>
          <w:sz w:val="36"/>
          <w:szCs w:val="36"/>
          <w:rtl/>
        </w:rPr>
        <w:t>ا</w:t>
      </w:r>
      <w:r w:rsidR="00603323" w:rsidRPr="00FD211F">
        <w:rPr>
          <w:sz w:val="36"/>
          <w:szCs w:val="36"/>
          <w:rtl/>
        </w:rPr>
        <w:t xml:space="preserve">، </w:t>
      </w:r>
      <w:r w:rsidRPr="00FD211F">
        <w:rPr>
          <w:sz w:val="36"/>
          <w:szCs w:val="36"/>
          <w:rtl/>
        </w:rPr>
        <w:t>وذكر انه</w:t>
      </w:r>
      <w:r w:rsidR="008D7B3D" w:rsidRPr="00FD211F">
        <w:rPr>
          <w:sz w:val="36"/>
          <w:szCs w:val="36"/>
          <w:rtl/>
        </w:rPr>
        <w:t xml:space="preserve"> لم‌</w:t>
      </w:r>
      <w:r w:rsidRPr="00FD211F">
        <w:rPr>
          <w:sz w:val="36"/>
          <w:szCs w:val="36"/>
          <w:rtl/>
        </w:rPr>
        <w:t>يؤخذ الاشار</w:t>
      </w:r>
      <w:r w:rsidR="00EC7EDF" w:rsidRPr="00FD211F">
        <w:rPr>
          <w:sz w:val="36"/>
          <w:szCs w:val="36"/>
          <w:rtl/>
        </w:rPr>
        <w:t xml:space="preserve">ة </w:t>
      </w:r>
      <w:r w:rsidRPr="00FD211F">
        <w:rPr>
          <w:sz w:val="36"/>
          <w:szCs w:val="36"/>
          <w:rtl/>
        </w:rPr>
        <w:t>في معنى</w:t>
      </w:r>
      <w:r w:rsidR="002A31FB" w:rsidRPr="00FD211F">
        <w:rPr>
          <w:sz w:val="36"/>
          <w:szCs w:val="36"/>
          <w:rtl/>
        </w:rPr>
        <w:t xml:space="preserve"> اسم الإشار</w:t>
      </w:r>
      <w:r w:rsidR="00EC7EDF" w:rsidRPr="00FD211F">
        <w:rPr>
          <w:sz w:val="36"/>
          <w:szCs w:val="36"/>
          <w:rtl/>
        </w:rPr>
        <w:t>ة</w:t>
      </w:r>
      <w:r w:rsidR="00603323" w:rsidRPr="00FD211F">
        <w:rPr>
          <w:sz w:val="36"/>
          <w:szCs w:val="36"/>
          <w:rtl/>
        </w:rPr>
        <w:t xml:space="preserve">، </w:t>
      </w:r>
      <w:r w:rsidRPr="00FD211F">
        <w:rPr>
          <w:sz w:val="36"/>
          <w:szCs w:val="36"/>
          <w:rtl/>
        </w:rPr>
        <w:t>حيث انه</w:t>
      </w:r>
      <w:r w:rsidR="002A31FB" w:rsidRPr="00FD211F">
        <w:rPr>
          <w:sz w:val="36"/>
          <w:szCs w:val="36"/>
          <w:rtl/>
        </w:rPr>
        <w:t>ا</w:t>
      </w:r>
      <w:r w:rsidRPr="00FD211F">
        <w:rPr>
          <w:sz w:val="36"/>
          <w:szCs w:val="36"/>
          <w:rtl/>
        </w:rPr>
        <w:t xml:space="preserve"> لو اخذت بنفسها</w:t>
      </w:r>
      <w:r w:rsidR="002A31FB" w:rsidRPr="00FD211F">
        <w:rPr>
          <w:sz w:val="36"/>
          <w:szCs w:val="36"/>
          <w:rtl/>
        </w:rPr>
        <w:t xml:space="preserve"> في المعنى لزم عدم صح</w:t>
      </w:r>
      <w:r w:rsidR="00EC7EDF" w:rsidRPr="00FD211F">
        <w:rPr>
          <w:sz w:val="36"/>
          <w:szCs w:val="36"/>
          <w:rtl/>
        </w:rPr>
        <w:t xml:space="preserve">ة </w:t>
      </w:r>
      <w:r w:rsidR="002A31FB" w:rsidRPr="00FD211F">
        <w:rPr>
          <w:sz w:val="36"/>
          <w:szCs w:val="36"/>
          <w:rtl/>
        </w:rPr>
        <w:t>كون اسم الإشار</w:t>
      </w:r>
      <w:r w:rsidR="00EC7EDF" w:rsidRPr="00FD211F">
        <w:rPr>
          <w:sz w:val="36"/>
          <w:szCs w:val="36"/>
          <w:rtl/>
        </w:rPr>
        <w:t xml:space="preserve">ة </w:t>
      </w:r>
      <w:r w:rsidRPr="00FD211F">
        <w:rPr>
          <w:sz w:val="36"/>
          <w:szCs w:val="36"/>
          <w:rtl/>
        </w:rPr>
        <w:t xml:space="preserve">محكوما عليه في قولنا </w:t>
      </w:r>
      <w:r w:rsidR="002A31FB" w:rsidRPr="00FD211F">
        <w:rPr>
          <w:sz w:val="36"/>
          <w:szCs w:val="36"/>
          <w:rtl/>
        </w:rPr>
        <w:t>"</w:t>
      </w:r>
      <w:r w:rsidRPr="00FD211F">
        <w:rPr>
          <w:sz w:val="36"/>
          <w:szCs w:val="36"/>
          <w:rtl/>
        </w:rPr>
        <w:t>هذا زيد</w:t>
      </w:r>
      <w:r w:rsidR="002A31FB" w:rsidRPr="00FD211F">
        <w:rPr>
          <w:sz w:val="36"/>
          <w:szCs w:val="36"/>
          <w:rtl/>
        </w:rPr>
        <w:t>"</w:t>
      </w:r>
      <w:r w:rsidRPr="00FD211F">
        <w:rPr>
          <w:sz w:val="36"/>
          <w:szCs w:val="36"/>
          <w:rtl/>
        </w:rPr>
        <w:t xml:space="preserve"> او محكوما به</w:t>
      </w:r>
      <w:r w:rsidR="002A31FB" w:rsidRPr="00FD211F">
        <w:rPr>
          <w:sz w:val="36"/>
          <w:szCs w:val="36"/>
          <w:rtl/>
        </w:rPr>
        <w:t xml:space="preserve"> في قولنا "زيد هذا"</w:t>
      </w:r>
      <w:r w:rsidR="00603323" w:rsidRPr="00FD211F">
        <w:rPr>
          <w:sz w:val="36"/>
          <w:szCs w:val="36"/>
          <w:rtl/>
        </w:rPr>
        <w:t xml:space="preserve">، </w:t>
      </w:r>
      <w:r w:rsidR="002A31FB" w:rsidRPr="00FD211F">
        <w:rPr>
          <w:sz w:val="36"/>
          <w:szCs w:val="36"/>
          <w:rtl/>
        </w:rPr>
        <w:t>كما</w:t>
      </w:r>
      <w:r w:rsidR="008D7B3D" w:rsidRPr="00FD211F">
        <w:rPr>
          <w:sz w:val="36"/>
          <w:szCs w:val="36"/>
          <w:rtl/>
        </w:rPr>
        <w:t xml:space="preserve"> لم‌</w:t>
      </w:r>
      <w:r w:rsidR="002A31FB" w:rsidRPr="00FD211F">
        <w:rPr>
          <w:sz w:val="36"/>
          <w:szCs w:val="36"/>
          <w:rtl/>
        </w:rPr>
        <w:t>يؤخذ تقيد المعنى بالإشار</w:t>
      </w:r>
      <w:r w:rsidR="00EC7EDF" w:rsidRPr="00FD211F">
        <w:rPr>
          <w:sz w:val="36"/>
          <w:szCs w:val="36"/>
          <w:rtl/>
        </w:rPr>
        <w:t>ة</w:t>
      </w:r>
      <w:r w:rsidR="00603323" w:rsidRPr="00FD211F">
        <w:rPr>
          <w:sz w:val="36"/>
          <w:szCs w:val="36"/>
          <w:rtl/>
        </w:rPr>
        <w:t xml:space="preserve">، </w:t>
      </w:r>
      <w:r w:rsidR="002A31FB" w:rsidRPr="00FD211F">
        <w:rPr>
          <w:sz w:val="36"/>
          <w:szCs w:val="36"/>
          <w:rtl/>
        </w:rPr>
        <w:t>حيث انه مناف</w:t>
      </w:r>
      <w:r w:rsidRPr="00FD211F">
        <w:rPr>
          <w:sz w:val="36"/>
          <w:szCs w:val="36"/>
          <w:rtl/>
        </w:rPr>
        <w:t xml:space="preserve"> للقواعد الادبي</w:t>
      </w:r>
      <w:r w:rsidR="00EC7EDF" w:rsidRPr="00FD211F">
        <w:rPr>
          <w:sz w:val="36"/>
          <w:szCs w:val="36"/>
          <w:rtl/>
        </w:rPr>
        <w:t xml:space="preserve">ة </w:t>
      </w:r>
      <w:r w:rsidRPr="00FD211F">
        <w:rPr>
          <w:sz w:val="36"/>
          <w:szCs w:val="36"/>
          <w:rtl/>
        </w:rPr>
        <w:t>في وضع الاسم الجامد</w:t>
      </w:r>
      <w:r w:rsidR="002A31FB" w:rsidRPr="00FD211F">
        <w:rPr>
          <w:sz w:val="36"/>
          <w:szCs w:val="36"/>
          <w:rtl/>
        </w:rPr>
        <w:t xml:space="preserve"> لانه يوضع لمعناه بمادته وهيئته</w:t>
      </w:r>
      <w:r w:rsidRPr="00FD211F">
        <w:rPr>
          <w:sz w:val="36"/>
          <w:szCs w:val="36"/>
          <w:rtl/>
        </w:rPr>
        <w:t xml:space="preserve"> فيلزم وضعه للمعنى الاسمي والحرفي معا وهو غير معهود</w:t>
      </w:r>
      <w:r w:rsidR="00603323" w:rsidRPr="00FD211F">
        <w:rPr>
          <w:sz w:val="36"/>
          <w:szCs w:val="36"/>
          <w:rtl/>
        </w:rPr>
        <w:t xml:space="preserve">، </w:t>
      </w:r>
      <w:r w:rsidR="002A31FB" w:rsidRPr="00FD211F">
        <w:rPr>
          <w:sz w:val="36"/>
          <w:szCs w:val="36"/>
          <w:rtl/>
        </w:rPr>
        <w:t>وانما اخذت الإشار</w:t>
      </w:r>
      <w:r w:rsidR="00EC7EDF" w:rsidRPr="00FD211F">
        <w:rPr>
          <w:sz w:val="36"/>
          <w:szCs w:val="36"/>
          <w:rtl/>
        </w:rPr>
        <w:t xml:space="preserve">ة </w:t>
      </w:r>
      <w:r w:rsidR="002A31FB" w:rsidRPr="00FD211F">
        <w:rPr>
          <w:sz w:val="36"/>
          <w:szCs w:val="36"/>
          <w:rtl/>
        </w:rPr>
        <w:t>في المعنى على</w:t>
      </w:r>
      <w:r w:rsidRPr="00FD211F">
        <w:rPr>
          <w:sz w:val="36"/>
          <w:szCs w:val="36"/>
          <w:rtl/>
        </w:rPr>
        <w:t xml:space="preserve"> نحو القضي</w:t>
      </w:r>
      <w:r w:rsidR="00EC7EDF" w:rsidRPr="00FD211F">
        <w:rPr>
          <w:sz w:val="36"/>
          <w:szCs w:val="36"/>
          <w:rtl/>
        </w:rPr>
        <w:t xml:space="preserve">ة </w:t>
      </w:r>
      <w:r w:rsidRPr="00FD211F">
        <w:rPr>
          <w:sz w:val="36"/>
          <w:szCs w:val="36"/>
          <w:rtl/>
        </w:rPr>
        <w:t>الحيني</w:t>
      </w:r>
      <w:r w:rsidR="00EC7EDF" w:rsidRPr="00FD211F">
        <w:rPr>
          <w:sz w:val="36"/>
          <w:szCs w:val="36"/>
          <w:rtl/>
        </w:rPr>
        <w:t xml:space="preserve">ة </w:t>
      </w:r>
      <w:r w:rsidRPr="00FD211F">
        <w:rPr>
          <w:sz w:val="36"/>
          <w:szCs w:val="36"/>
          <w:rtl/>
        </w:rPr>
        <w:t>والحص</w:t>
      </w:r>
      <w:r w:rsidR="00EC7EDF" w:rsidRPr="00FD211F">
        <w:rPr>
          <w:sz w:val="36"/>
          <w:szCs w:val="36"/>
          <w:rtl/>
        </w:rPr>
        <w:t xml:space="preserve">ة </w:t>
      </w:r>
      <w:r w:rsidRPr="00FD211F">
        <w:rPr>
          <w:sz w:val="36"/>
          <w:szCs w:val="36"/>
          <w:rtl/>
        </w:rPr>
        <w:t>التوأم</w:t>
      </w:r>
      <w:r w:rsidR="00EC7EDF" w:rsidRPr="00FD211F">
        <w:rPr>
          <w:sz w:val="36"/>
          <w:szCs w:val="36"/>
          <w:rtl/>
        </w:rPr>
        <w:t>ة</w:t>
      </w:r>
      <w:r w:rsidR="00603323" w:rsidRPr="00FD211F">
        <w:rPr>
          <w:sz w:val="36"/>
          <w:szCs w:val="36"/>
          <w:rtl/>
        </w:rPr>
        <w:t xml:space="preserve">، </w:t>
      </w:r>
      <w:r w:rsidRPr="00FD211F">
        <w:rPr>
          <w:sz w:val="36"/>
          <w:szCs w:val="36"/>
          <w:rtl/>
        </w:rPr>
        <w:t>ومن ناحي</w:t>
      </w:r>
      <w:r w:rsidR="00EC7EDF" w:rsidRPr="00FD211F">
        <w:rPr>
          <w:sz w:val="36"/>
          <w:szCs w:val="36"/>
          <w:rtl/>
        </w:rPr>
        <w:t xml:space="preserve">ة </w:t>
      </w:r>
      <w:r w:rsidRPr="00FD211F">
        <w:rPr>
          <w:sz w:val="36"/>
          <w:szCs w:val="36"/>
          <w:rtl/>
        </w:rPr>
        <w:t>أخرى لما كان المدلول التصوري للفظ</w:t>
      </w:r>
      <w:r w:rsidR="00EC7EDF" w:rsidRPr="00FD211F">
        <w:rPr>
          <w:sz w:val="36"/>
          <w:szCs w:val="36"/>
          <w:rtl/>
        </w:rPr>
        <w:t xml:space="preserve">ة </w:t>
      </w:r>
      <w:r w:rsidRPr="00FD211F">
        <w:rPr>
          <w:sz w:val="36"/>
          <w:szCs w:val="36"/>
          <w:rtl/>
        </w:rPr>
        <w:t>الاشار</w:t>
      </w:r>
      <w:r w:rsidR="00EC7EDF" w:rsidRPr="00FD211F">
        <w:rPr>
          <w:sz w:val="36"/>
          <w:szCs w:val="36"/>
          <w:rtl/>
        </w:rPr>
        <w:t xml:space="preserve">ة </w:t>
      </w:r>
      <w:r w:rsidRPr="00FD211F">
        <w:rPr>
          <w:sz w:val="36"/>
          <w:szCs w:val="36"/>
          <w:rtl/>
        </w:rPr>
        <w:t xml:space="preserve">ثابتا حتى في موارد صدورها </w:t>
      </w:r>
      <w:r w:rsidR="002A31FB" w:rsidRPr="00FD211F">
        <w:rPr>
          <w:sz w:val="36"/>
          <w:szCs w:val="36"/>
          <w:rtl/>
        </w:rPr>
        <w:t xml:space="preserve">من متكلم غير </w:t>
      </w:r>
      <w:r w:rsidR="00034A83" w:rsidRPr="00FD211F">
        <w:rPr>
          <w:sz w:val="36"/>
          <w:szCs w:val="36"/>
          <w:rtl/>
        </w:rPr>
        <w:t xml:space="preserve">ملتفت </w:t>
      </w:r>
      <w:r w:rsidR="002A31FB" w:rsidRPr="00FD211F">
        <w:rPr>
          <w:sz w:val="36"/>
          <w:szCs w:val="36"/>
          <w:rtl/>
        </w:rPr>
        <w:t>كالنائم</w:t>
      </w:r>
      <w:r w:rsidR="00603323" w:rsidRPr="00FD211F">
        <w:rPr>
          <w:sz w:val="36"/>
          <w:szCs w:val="36"/>
          <w:rtl/>
        </w:rPr>
        <w:t xml:space="preserve">، </w:t>
      </w:r>
      <w:r w:rsidR="002A31FB" w:rsidRPr="00FD211F">
        <w:rPr>
          <w:sz w:val="36"/>
          <w:szCs w:val="36"/>
          <w:rtl/>
        </w:rPr>
        <w:t>فالموضوع له للفظ</w:t>
      </w:r>
      <w:r w:rsidR="00EC7EDF" w:rsidRPr="00FD211F">
        <w:rPr>
          <w:sz w:val="36"/>
          <w:szCs w:val="36"/>
          <w:rtl/>
        </w:rPr>
        <w:t xml:space="preserve">ة </w:t>
      </w:r>
      <w:r w:rsidR="002A31FB" w:rsidRPr="00FD211F">
        <w:rPr>
          <w:sz w:val="36"/>
          <w:szCs w:val="36"/>
          <w:rtl/>
        </w:rPr>
        <w:t xml:space="preserve">"هذا" </w:t>
      </w:r>
      <w:r w:rsidRPr="00FD211F">
        <w:rPr>
          <w:sz w:val="36"/>
          <w:szCs w:val="36"/>
          <w:rtl/>
        </w:rPr>
        <w:t>هو ا</w:t>
      </w:r>
      <w:r w:rsidR="000C77FD" w:rsidRPr="00FD211F">
        <w:rPr>
          <w:sz w:val="36"/>
          <w:szCs w:val="36"/>
          <w:rtl/>
        </w:rPr>
        <w:t>لذات المبهم</w:t>
      </w:r>
      <w:r w:rsidR="00EC7EDF" w:rsidRPr="00FD211F">
        <w:rPr>
          <w:sz w:val="36"/>
          <w:szCs w:val="36"/>
          <w:rtl/>
        </w:rPr>
        <w:t xml:space="preserve">ة </w:t>
      </w:r>
      <w:r w:rsidR="000C77FD" w:rsidRPr="00FD211F">
        <w:rPr>
          <w:sz w:val="36"/>
          <w:szCs w:val="36"/>
          <w:rtl/>
        </w:rPr>
        <w:t>في حين اقترانه</w:t>
      </w:r>
      <w:r w:rsidR="008C64A3" w:rsidRPr="00FD211F">
        <w:rPr>
          <w:sz w:val="36"/>
          <w:szCs w:val="36"/>
          <w:rtl/>
        </w:rPr>
        <w:t>ا</w:t>
      </w:r>
      <w:r w:rsidR="000C77FD" w:rsidRPr="00FD211F">
        <w:rPr>
          <w:sz w:val="36"/>
          <w:szCs w:val="36"/>
          <w:rtl/>
        </w:rPr>
        <w:t xml:space="preserve"> بماهي</w:t>
      </w:r>
      <w:r w:rsidR="00EC7EDF" w:rsidRPr="00FD211F">
        <w:rPr>
          <w:sz w:val="36"/>
          <w:szCs w:val="36"/>
          <w:rtl/>
        </w:rPr>
        <w:t xml:space="preserve">ة </w:t>
      </w:r>
      <w:r w:rsidR="000C77FD" w:rsidRPr="00FD211F">
        <w:rPr>
          <w:sz w:val="36"/>
          <w:szCs w:val="36"/>
          <w:rtl/>
        </w:rPr>
        <w:t>الاشار</w:t>
      </w:r>
      <w:r w:rsidR="00EC7EDF" w:rsidRPr="00FD211F">
        <w:rPr>
          <w:sz w:val="36"/>
          <w:szCs w:val="36"/>
          <w:rtl/>
        </w:rPr>
        <w:t xml:space="preserve">ة </w:t>
      </w:r>
      <w:r w:rsidR="002A31FB" w:rsidRPr="00FD211F">
        <w:rPr>
          <w:sz w:val="36"/>
          <w:szCs w:val="36"/>
          <w:rtl/>
        </w:rPr>
        <w:t>لابوجود الاشار</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50"/>
      </w:r>
      <w:r w:rsidR="009C58C8" w:rsidRPr="00FD211F">
        <w:rPr>
          <w:rStyle w:val="a6"/>
          <w:sz w:val="36"/>
          <w:szCs w:val="36"/>
          <w:rtl/>
        </w:rPr>
        <w:t>)</w:t>
      </w:r>
      <w:r w:rsidR="000C77FD" w:rsidRPr="00FD211F">
        <w:rPr>
          <w:sz w:val="36"/>
          <w:szCs w:val="36"/>
          <w:rtl/>
        </w:rPr>
        <w:t>.</w:t>
      </w:r>
    </w:p>
    <w:p w14:paraId="2B5A61E2" w14:textId="77777777" w:rsidR="00F22664" w:rsidRPr="00FD211F" w:rsidRDefault="00F22664" w:rsidP="009C58C8">
      <w:pPr>
        <w:ind w:left="0" w:firstLine="227"/>
        <w:jc w:val="both"/>
        <w:rPr>
          <w:sz w:val="36"/>
          <w:szCs w:val="36"/>
          <w:rtl/>
        </w:rPr>
      </w:pPr>
      <w:r w:rsidRPr="00FD211F">
        <w:rPr>
          <w:sz w:val="36"/>
          <w:szCs w:val="36"/>
          <w:rtl/>
        </w:rPr>
        <w:t>وفيه انه قد مر عدم تعقل الحص</w:t>
      </w:r>
      <w:r w:rsidR="00EC7EDF" w:rsidRPr="00FD211F">
        <w:rPr>
          <w:sz w:val="36"/>
          <w:szCs w:val="36"/>
          <w:rtl/>
        </w:rPr>
        <w:t xml:space="preserve">ة </w:t>
      </w:r>
      <w:r w:rsidRPr="00FD211F">
        <w:rPr>
          <w:sz w:val="36"/>
          <w:szCs w:val="36"/>
          <w:rtl/>
        </w:rPr>
        <w:t>التوأم</w:t>
      </w:r>
      <w:r w:rsidR="00EC7EDF" w:rsidRPr="00FD211F">
        <w:rPr>
          <w:sz w:val="36"/>
          <w:szCs w:val="36"/>
          <w:rtl/>
        </w:rPr>
        <w:t xml:space="preserve">ة </w:t>
      </w:r>
      <w:r w:rsidRPr="00FD211F">
        <w:rPr>
          <w:sz w:val="36"/>
          <w:szCs w:val="36"/>
          <w:rtl/>
        </w:rPr>
        <w:t>وان القضي</w:t>
      </w:r>
      <w:r w:rsidR="00EC7EDF" w:rsidRPr="00FD211F">
        <w:rPr>
          <w:sz w:val="36"/>
          <w:szCs w:val="36"/>
          <w:rtl/>
        </w:rPr>
        <w:t xml:space="preserve">ة </w:t>
      </w:r>
      <w:r w:rsidRPr="00FD211F">
        <w:rPr>
          <w:sz w:val="36"/>
          <w:szCs w:val="36"/>
          <w:rtl/>
        </w:rPr>
        <w:t>الحيني</w:t>
      </w:r>
      <w:r w:rsidR="00EC7EDF" w:rsidRPr="00FD211F">
        <w:rPr>
          <w:sz w:val="36"/>
          <w:szCs w:val="36"/>
          <w:rtl/>
        </w:rPr>
        <w:t xml:space="preserve">ة </w:t>
      </w:r>
      <w:r w:rsidRPr="00FD211F">
        <w:rPr>
          <w:sz w:val="36"/>
          <w:szCs w:val="36"/>
          <w:rtl/>
        </w:rPr>
        <w:t>ترجع لامحال</w:t>
      </w:r>
      <w:r w:rsidR="00EC7EDF" w:rsidRPr="00FD211F">
        <w:rPr>
          <w:sz w:val="36"/>
          <w:szCs w:val="36"/>
          <w:rtl/>
        </w:rPr>
        <w:t xml:space="preserve">ة </w:t>
      </w:r>
      <w:r w:rsidRPr="00FD211F">
        <w:rPr>
          <w:sz w:val="36"/>
          <w:szCs w:val="36"/>
          <w:rtl/>
        </w:rPr>
        <w:t>الى القضي</w:t>
      </w:r>
      <w:r w:rsidR="00EC7EDF" w:rsidRPr="00FD211F">
        <w:rPr>
          <w:sz w:val="36"/>
          <w:szCs w:val="36"/>
          <w:rtl/>
        </w:rPr>
        <w:t xml:space="preserve">ة </w:t>
      </w:r>
      <w:r w:rsidRPr="00FD211F">
        <w:rPr>
          <w:sz w:val="36"/>
          <w:szCs w:val="36"/>
          <w:rtl/>
        </w:rPr>
        <w:t>المقيد</w:t>
      </w:r>
      <w:r w:rsidR="00EC7EDF" w:rsidRPr="00FD211F">
        <w:rPr>
          <w:sz w:val="36"/>
          <w:szCs w:val="36"/>
          <w:rtl/>
        </w:rPr>
        <w:t xml:space="preserve">ة </w:t>
      </w:r>
      <w:r w:rsidRPr="00FD211F">
        <w:rPr>
          <w:sz w:val="36"/>
          <w:szCs w:val="36"/>
          <w:rtl/>
        </w:rPr>
        <w:t>فان المفهوم الكلي مالم يلحظ تقيده ب</w:t>
      </w:r>
      <w:r w:rsidR="008D7B3D" w:rsidRPr="00FD211F">
        <w:rPr>
          <w:sz w:val="36"/>
          <w:szCs w:val="36"/>
          <w:rtl/>
        </w:rPr>
        <w:t xml:space="preserve">شيء </w:t>
      </w:r>
      <w:r w:rsidRPr="00FD211F">
        <w:rPr>
          <w:sz w:val="36"/>
          <w:szCs w:val="36"/>
          <w:rtl/>
        </w:rPr>
        <w:t>يكون لابشرط عنه لامحال</w:t>
      </w:r>
      <w:r w:rsidR="00EC7EDF" w:rsidRPr="00FD211F">
        <w:rPr>
          <w:sz w:val="36"/>
          <w:szCs w:val="36"/>
          <w:rtl/>
        </w:rPr>
        <w:t>ة</w:t>
      </w:r>
      <w:r w:rsidR="00A61BAE" w:rsidRPr="00FD211F">
        <w:rPr>
          <w:sz w:val="36"/>
          <w:szCs w:val="36"/>
          <w:rtl/>
        </w:rPr>
        <w:t>.</w:t>
      </w:r>
    </w:p>
    <w:p w14:paraId="4569F52A" w14:textId="77777777" w:rsidR="000C5BBA" w:rsidRPr="00FD211F" w:rsidRDefault="000C77FD" w:rsidP="009C58C8">
      <w:pPr>
        <w:ind w:left="0" w:firstLine="227"/>
        <w:jc w:val="both"/>
        <w:rPr>
          <w:sz w:val="36"/>
          <w:szCs w:val="36"/>
          <w:rtl/>
        </w:rPr>
      </w:pPr>
      <w:r w:rsidRPr="00FD211F">
        <w:rPr>
          <w:sz w:val="36"/>
          <w:szCs w:val="36"/>
          <w:rtl/>
        </w:rPr>
        <w:t xml:space="preserve">4- ما ذكره المحقق الاصفهاني </w:t>
      </w:r>
      <w:r w:rsidR="0011498F" w:rsidRPr="00FD211F">
        <w:rPr>
          <w:sz w:val="36"/>
          <w:szCs w:val="36"/>
          <w:rtl/>
        </w:rPr>
        <w:t>"</w:t>
      </w:r>
      <w:r w:rsidRPr="00FD211F">
        <w:rPr>
          <w:sz w:val="36"/>
          <w:szCs w:val="36"/>
          <w:rtl/>
        </w:rPr>
        <w:t>قده</w:t>
      </w:r>
      <w:r w:rsidR="0011498F" w:rsidRPr="00FD211F">
        <w:rPr>
          <w:sz w:val="36"/>
          <w:szCs w:val="36"/>
          <w:rtl/>
        </w:rPr>
        <w:t>"</w:t>
      </w:r>
      <w:r w:rsidRPr="00FD211F">
        <w:rPr>
          <w:sz w:val="36"/>
          <w:szCs w:val="36"/>
          <w:rtl/>
        </w:rPr>
        <w:t xml:space="preserve"> من ان معنى </w:t>
      </w:r>
      <w:r w:rsidR="004A1845" w:rsidRPr="00FD211F">
        <w:rPr>
          <w:sz w:val="36"/>
          <w:szCs w:val="36"/>
          <w:rtl/>
        </w:rPr>
        <w:t>"</w:t>
      </w:r>
      <w:r w:rsidRPr="00FD211F">
        <w:rPr>
          <w:sz w:val="36"/>
          <w:szCs w:val="36"/>
          <w:rtl/>
        </w:rPr>
        <w:t>هذا</w:t>
      </w:r>
      <w:r w:rsidR="004A1845" w:rsidRPr="00FD211F">
        <w:rPr>
          <w:sz w:val="36"/>
          <w:szCs w:val="36"/>
          <w:rtl/>
        </w:rPr>
        <w:t>"</w:t>
      </w:r>
      <w:r w:rsidRPr="00FD211F">
        <w:rPr>
          <w:sz w:val="36"/>
          <w:szCs w:val="36"/>
          <w:rtl/>
        </w:rPr>
        <w:t xml:space="preserve"> هو المفرد المذكر الواقع طرفا للاشار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او الخارجي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51"/>
      </w:r>
      <w:r w:rsidR="009C58C8" w:rsidRPr="00FD211F">
        <w:rPr>
          <w:rStyle w:val="a6"/>
          <w:sz w:val="36"/>
          <w:szCs w:val="36"/>
          <w:rtl/>
        </w:rPr>
        <w:t>)</w:t>
      </w:r>
      <w:r w:rsidR="005229D8" w:rsidRPr="00FD211F">
        <w:rPr>
          <w:sz w:val="36"/>
          <w:szCs w:val="36"/>
          <w:rtl/>
        </w:rPr>
        <w:t>.</w:t>
      </w:r>
    </w:p>
    <w:p w14:paraId="0CEF32D7" w14:textId="77777777" w:rsidR="0087346C" w:rsidRPr="00FD211F" w:rsidRDefault="00F22664" w:rsidP="005946E3">
      <w:pPr>
        <w:ind w:left="0" w:firstLine="227"/>
        <w:jc w:val="both"/>
        <w:rPr>
          <w:sz w:val="36"/>
          <w:szCs w:val="36"/>
          <w:rtl/>
        </w:rPr>
      </w:pPr>
      <w:r w:rsidRPr="00FD211F">
        <w:rPr>
          <w:sz w:val="36"/>
          <w:szCs w:val="36"/>
          <w:rtl/>
        </w:rPr>
        <w:t>ولايخفى انه لابد ان يراد بالاشار</w:t>
      </w:r>
      <w:r w:rsidR="00EC7EDF" w:rsidRPr="00FD211F">
        <w:rPr>
          <w:sz w:val="36"/>
          <w:szCs w:val="36"/>
          <w:rtl/>
        </w:rPr>
        <w:t xml:space="preserve">ة </w:t>
      </w:r>
      <w:r w:rsidRPr="00FD211F">
        <w:rPr>
          <w:sz w:val="36"/>
          <w:szCs w:val="36"/>
          <w:rtl/>
        </w:rPr>
        <w:t>ذات النسب</w:t>
      </w:r>
      <w:r w:rsidR="00EC7EDF" w:rsidRPr="00FD211F">
        <w:rPr>
          <w:sz w:val="36"/>
          <w:szCs w:val="36"/>
          <w:rtl/>
        </w:rPr>
        <w:t xml:space="preserve">ة </w:t>
      </w:r>
      <w:r w:rsidRPr="00FD211F">
        <w:rPr>
          <w:sz w:val="36"/>
          <w:szCs w:val="36"/>
          <w:rtl/>
        </w:rPr>
        <w:t>الاشاري</w:t>
      </w:r>
      <w:r w:rsidR="00EC7EDF" w:rsidRPr="00FD211F">
        <w:rPr>
          <w:sz w:val="36"/>
          <w:szCs w:val="36"/>
          <w:rtl/>
        </w:rPr>
        <w:t xml:space="preserve">ة </w:t>
      </w:r>
      <w:r w:rsidRPr="00FD211F">
        <w:rPr>
          <w:sz w:val="36"/>
          <w:szCs w:val="36"/>
          <w:rtl/>
        </w:rPr>
        <w:t>لاوجودها والا فيلزم منه اخذ الوجود الذهني او الخارجي في المعنى الموضوع له</w:t>
      </w:r>
      <w:r w:rsidR="00603323" w:rsidRPr="00FD211F">
        <w:rPr>
          <w:sz w:val="36"/>
          <w:szCs w:val="36"/>
          <w:rtl/>
        </w:rPr>
        <w:t xml:space="preserve">، </w:t>
      </w:r>
      <w:r w:rsidRPr="00FD211F">
        <w:rPr>
          <w:sz w:val="36"/>
          <w:szCs w:val="36"/>
          <w:rtl/>
        </w:rPr>
        <w:t>وهو</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قد ادعى استحال</w:t>
      </w:r>
      <w:r w:rsidR="00EC7EDF" w:rsidRPr="00FD211F">
        <w:rPr>
          <w:sz w:val="36"/>
          <w:szCs w:val="36"/>
          <w:rtl/>
        </w:rPr>
        <w:t xml:space="preserve">ة </w:t>
      </w:r>
      <w:r w:rsidRPr="00FD211F">
        <w:rPr>
          <w:sz w:val="36"/>
          <w:szCs w:val="36"/>
          <w:rtl/>
        </w:rPr>
        <w:t>ذلك كما مر بيانه في المعنى الحرفي.</w:t>
      </w:r>
    </w:p>
    <w:p w14:paraId="4F7E08C5" w14:textId="77777777" w:rsidR="005229D8" w:rsidRPr="00FD211F" w:rsidRDefault="000C77FD" w:rsidP="005946E3">
      <w:pPr>
        <w:ind w:left="0" w:firstLine="227"/>
        <w:jc w:val="both"/>
        <w:rPr>
          <w:sz w:val="36"/>
          <w:szCs w:val="36"/>
          <w:rtl/>
        </w:rPr>
      </w:pPr>
      <w:r w:rsidRPr="00FD211F">
        <w:rPr>
          <w:sz w:val="36"/>
          <w:szCs w:val="36"/>
          <w:rtl/>
        </w:rPr>
        <w:t>وقد ذكر</w:t>
      </w:r>
      <w:r w:rsidR="0087346C" w:rsidRPr="00FD211F">
        <w:rPr>
          <w:sz w:val="36"/>
          <w:szCs w:val="36"/>
          <w:rtl/>
        </w:rPr>
        <w:t xml:space="preserve"> نظير ذلك</w:t>
      </w:r>
      <w:r w:rsidRPr="00FD211F">
        <w:rPr>
          <w:sz w:val="36"/>
          <w:szCs w:val="36"/>
          <w:rtl/>
        </w:rPr>
        <w:t xml:space="preserve"> السيد الخوئي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00F22664" w:rsidRPr="00FD211F">
        <w:rPr>
          <w:sz w:val="36"/>
          <w:szCs w:val="36"/>
          <w:rtl/>
        </w:rPr>
        <w:t>حيث قال</w:t>
      </w:r>
      <w:r w:rsidR="0087346C" w:rsidRPr="00FD211F">
        <w:rPr>
          <w:sz w:val="36"/>
          <w:szCs w:val="36"/>
          <w:rtl/>
        </w:rPr>
        <w:t xml:space="preserve"> انه موضوع</w:t>
      </w:r>
      <w:r w:rsidRPr="00FD211F">
        <w:rPr>
          <w:sz w:val="36"/>
          <w:szCs w:val="36"/>
          <w:rtl/>
        </w:rPr>
        <w:t xml:space="preserve"> لقصد تفهيم واقع المفرد المذكر في حال الاشار</w:t>
      </w:r>
      <w:r w:rsidR="00EC7EDF" w:rsidRPr="00FD211F">
        <w:rPr>
          <w:sz w:val="36"/>
          <w:szCs w:val="36"/>
          <w:rtl/>
        </w:rPr>
        <w:t xml:space="preserve">ة </w:t>
      </w:r>
      <w:r w:rsidRPr="00FD211F">
        <w:rPr>
          <w:sz w:val="36"/>
          <w:szCs w:val="36"/>
          <w:rtl/>
        </w:rPr>
        <w:t>الخ</w:t>
      </w:r>
      <w:r w:rsidR="0087346C" w:rsidRPr="00FD211F">
        <w:rPr>
          <w:sz w:val="36"/>
          <w:szCs w:val="36"/>
          <w:rtl/>
        </w:rPr>
        <w:t>ارجي</w:t>
      </w:r>
      <w:r w:rsidR="00EC7EDF" w:rsidRPr="00FD211F">
        <w:rPr>
          <w:sz w:val="36"/>
          <w:szCs w:val="36"/>
          <w:rtl/>
        </w:rPr>
        <w:t xml:space="preserve">ة </w:t>
      </w:r>
      <w:r w:rsidR="0087346C" w:rsidRPr="00FD211F">
        <w:rPr>
          <w:sz w:val="36"/>
          <w:szCs w:val="36"/>
          <w:rtl/>
        </w:rPr>
        <w:t>به باليد او بالعين اونحوه</w:t>
      </w:r>
      <w:r w:rsidR="009C58C8" w:rsidRPr="00FD211F">
        <w:rPr>
          <w:rStyle w:val="a6"/>
          <w:sz w:val="36"/>
          <w:szCs w:val="36"/>
          <w:rtl/>
        </w:rPr>
        <w:t>(</w:t>
      </w:r>
      <w:r w:rsidR="009C58C8" w:rsidRPr="00FD211F">
        <w:rPr>
          <w:rStyle w:val="a6"/>
          <w:sz w:val="36"/>
          <w:szCs w:val="36"/>
          <w:rtl/>
        </w:rPr>
        <w:footnoteReference w:id="252"/>
      </w:r>
      <w:r w:rsidR="009C58C8" w:rsidRPr="00FD211F">
        <w:rPr>
          <w:rStyle w:val="a6"/>
          <w:sz w:val="36"/>
          <w:szCs w:val="36"/>
          <w:rtl/>
        </w:rPr>
        <w:t>)</w:t>
      </w:r>
      <w:r w:rsidR="005229D8" w:rsidRPr="00FD211F">
        <w:rPr>
          <w:sz w:val="36"/>
          <w:szCs w:val="36"/>
          <w:rtl/>
        </w:rPr>
        <w:t>.</w:t>
      </w:r>
    </w:p>
    <w:p w14:paraId="31233CEB" w14:textId="77777777" w:rsidR="000C77FD" w:rsidRPr="00FD211F" w:rsidRDefault="0087346C" w:rsidP="005946E3">
      <w:pPr>
        <w:ind w:left="0" w:firstLine="227"/>
        <w:jc w:val="both"/>
        <w:rPr>
          <w:sz w:val="36"/>
          <w:szCs w:val="36"/>
          <w:rtl/>
        </w:rPr>
      </w:pPr>
      <w:r w:rsidRPr="00FD211F">
        <w:rPr>
          <w:sz w:val="36"/>
          <w:szCs w:val="36"/>
          <w:rtl/>
        </w:rPr>
        <w:t>وان كان يرد على ظاهر ما ذكره السيد الخوئي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انه</w:t>
      </w:r>
      <w:r w:rsidR="000C77FD" w:rsidRPr="00FD211F">
        <w:rPr>
          <w:sz w:val="36"/>
          <w:szCs w:val="36"/>
          <w:rtl/>
        </w:rPr>
        <w:t xml:space="preserve"> لاحاج</w:t>
      </w:r>
      <w:r w:rsidR="00EC7EDF" w:rsidRPr="00FD211F">
        <w:rPr>
          <w:sz w:val="36"/>
          <w:szCs w:val="36"/>
          <w:rtl/>
        </w:rPr>
        <w:t xml:space="preserve">ة </w:t>
      </w:r>
      <w:r w:rsidR="000C77FD" w:rsidRPr="00FD211F">
        <w:rPr>
          <w:sz w:val="36"/>
          <w:szCs w:val="36"/>
          <w:rtl/>
        </w:rPr>
        <w:t>الى ازيد من الاشار</w:t>
      </w:r>
      <w:r w:rsidR="00EC7EDF" w:rsidRPr="00FD211F">
        <w:rPr>
          <w:sz w:val="36"/>
          <w:szCs w:val="36"/>
          <w:rtl/>
        </w:rPr>
        <w:t xml:space="preserve">ة </w:t>
      </w:r>
      <w:r w:rsidR="000C77FD" w:rsidRPr="00FD211F">
        <w:rPr>
          <w:sz w:val="36"/>
          <w:szCs w:val="36"/>
          <w:rtl/>
        </w:rPr>
        <w:t>الذهني</w:t>
      </w:r>
      <w:r w:rsidR="00EC7EDF" w:rsidRPr="00FD211F">
        <w:rPr>
          <w:sz w:val="36"/>
          <w:szCs w:val="36"/>
          <w:rtl/>
        </w:rPr>
        <w:t xml:space="preserve">ة </w:t>
      </w:r>
      <w:r w:rsidR="000C77FD" w:rsidRPr="00FD211F">
        <w:rPr>
          <w:sz w:val="36"/>
          <w:szCs w:val="36"/>
          <w:rtl/>
        </w:rPr>
        <w:t>فقد يكون المشار اليه معنى كليا ولامعنى للاشار</w:t>
      </w:r>
      <w:r w:rsidR="00EC7EDF" w:rsidRPr="00FD211F">
        <w:rPr>
          <w:sz w:val="36"/>
          <w:szCs w:val="36"/>
          <w:rtl/>
        </w:rPr>
        <w:t xml:space="preserve">ة </w:t>
      </w:r>
      <w:r w:rsidR="000C77FD" w:rsidRPr="00FD211F">
        <w:rPr>
          <w:sz w:val="36"/>
          <w:szCs w:val="36"/>
          <w:rtl/>
        </w:rPr>
        <w:t>اليه باليد او بالعين بل في الوجود الخارجي لاملزم لذلك فيقال هذا الرجل زيد بلااشار</w:t>
      </w:r>
      <w:r w:rsidR="00EC7EDF" w:rsidRPr="00FD211F">
        <w:rPr>
          <w:sz w:val="36"/>
          <w:szCs w:val="36"/>
          <w:rtl/>
        </w:rPr>
        <w:t xml:space="preserve">ة </w:t>
      </w:r>
      <w:r w:rsidR="000C77FD" w:rsidRPr="00FD211F">
        <w:rPr>
          <w:sz w:val="36"/>
          <w:szCs w:val="36"/>
          <w:rtl/>
        </w:rPr>
        <w:t>خارجي</w:t>
      </w:r>
      <w:r w:rsidR="00EC7EDF" w:rsidRPr="00FD211F">
        <w:rPr>
          <w:sz w:val="36"/>
          <w:szCs w:val="36"/>
          <w:rtl/>
        </w:rPr>
        <w:t>ة</w:t>
      </w:r>
      <w:r w:rsidR="00603323" w:rsidRPr="00FD211F">
        <w:rPr>
          <w:sz w:val="36"/>
          <w:szCs w:val="36"/>
          <w:rtl/>
        </w:rPr>
        <w:t xml:space="preserve">، </w:t>
      </w:r>
      <w:r w:rsidR="00F22664" w:rsidRPr="00FD211F">
        <w:rPr>
          <w:sz w:val="36"/>
          <w:szCs w:val="36"/>
          <w:rtl/>
        </w:rPr>
        <w:t>على انه يرد عليه ان اخذ وجود الإشار</w:t>
      </w:r>
      <w:r w:rsidR="00EC7EDF" w:rsidRPr="00FD211F">
        <w:rPr>
          <w:sz w:val="36"/>
          <w:szCs w:val="36"/>
          <w:rtl/>
        </w:rPr>
        <w:t xml:space="preserve">ة </w:t>
      </w:r>
      <w:r w:rsidR="00F22664" w:rsidRPr="00FD211F">
        <w:rPr>
          <w:sz w:val="36"/>
          <w:szCs w:val="36"/>
          <w:rtl/>
        </w:rPr>
        <w:t>في المعنى الموضوع له مخالف لمبناه من استحال</w:t>
      </w:r>
      <w:r w:rsidR="00EC7EDF" w:rsidRPr="00FD211F">
        <w:rPr>
          <w:sz w:val="36"/>
          <w:szCs w:val="36"/>
          <w:rtl/>
        </w:rPr>
        <w:t xml:space="preserve">ة </w:t>
      </w:r>
      <w:r w:rsidR="00F22664" w:rsidRPr="00FD211F">
        <w:rPr>
          <w:sz w:val="36"/>
          <w:szCs w:val="36"/>
          <w:rtl/>
        </w:rPr>
        <w:t>اخذ الوجود في المعنى الموضوع له</w:t>
      </w:r>
      <w:r w:rsidR="000C77FD" w:rsidRPr="00FD211F">
        <w:rPr>
          <w:sz w:val="36"/>
          <w:szCs w:val="36"/>
          <w:rtl/>
        </w:rPr>
        <w:t>.</w:t>
      </w:r>
    </w:p>
    <w:p w14:paraId="2FE4C48F" w14:textId="77777777" w:rsidR="000C77FD" w:rsidRPr="00FD211F" w:rsidRDefault="00347AC0" w:rsidP="009C58C8">
      <w:pPr>
        <w:ind w:left="0" w:firstLine="227"/>
        <w:jc w:val="both"/>
        <w:rPr>
          <w:sz w:val="36"/>
          <w:szCs w:val="36"/>
          <w:rtl/>
        </w:rPr>
      </w:pPr>
      <w:r w:rsidRPr="00FD211F">
        <w:rPr>
          <w:sz w:val="36"/>
          <w:szCs w:val="36"/>
          <w:rtl/>
        </w:rPr>
        <w:t>والذي</w:t>
      </w:r>
      <w:r w:rsidR="000C77FD" w:rsidRPr="00FD211F">
        <w:rPr>
          <w:sz w:val="36"/>
          <w:szCs w:val="36"/>
          <w:rtl/>
        </w:rPr>
        <w:t xml:space="preserve"> ينبغي ان يقال هو انه لو بنينا </w:t>
      </w:r>
      <w:r w:rsidRPr="00FD211F">
        <w:rPr>
          <w:sz w:val="36"/>
          <w:szCs w:val="36"/>
          <w:rtl/>
        </w:rPr>
        <w:t xml:space="preserve">على ماذكرناه سابقا من </w:t>
      </w:r>
      <w:r w:rsidR="000C77FD" w:rsidRPr="00FD211F">
        <w:rPr>
          <w:sz w:val="36"/>
          <w:szCs w:val="36"/>
          <w:rtl/>
        </w:rPr>
        <w:t>ان</w:t>
      </w:r>
      <w:r w:rsidRPr="00FD211F">
        <w:rPr>
          <w:sz w:val="36"/>
          <w:szCs w:val="36"/>
          <w:rtl/>
        </w:rPr>
        <w:t xml:space="preserve">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تصوري</w:t>
      </w:r>
      <w:r w:rsidR="00EC7EDF" w:rsidRPr="00FD211F">
        <w:rPr>
          <w:sz w:val="36"/>
          <w:szCs w:val="36"/>
          <w:rtl/>
        </w:rPr>
        <w:t xml:space="preserve">ة </w:t>
      </w:r>
      <w:r w:rsidRPr="00FD211F">
        <w:rPr>
          <w:sz w:val="36"/>
          <w:szCs w:val="36"/>
          <w:rtl/>
        </w:rPr>
        <w:t>دائما فلابد ان يكون معنى اسم الإشار</w:t>
      </w:r>
      <w:r w:rsidR="00EC7EDF" w:rsidRPr="00FD211F">
        <w:rPr>
          <w:sz w:val="36"/>
          <w:szCs w:val="36"/>
          <w:rtl/>
        </w:rPr>
        <w:t xml:space="preserve">ة </w:t>
      </w:r>
      <w:r w:rsidRPr="00FD211F">
        <w:rPr>
          <w:sz w:val="36"/>
          <w:szCs w:val="36"/>
          <w:rtl/>
        </w:rPr>
        <w:t xml:space="preserve">مما يمكن انحفاظه حتى في موارد صدور </w:t>
      </w:r>
      <w:r w:rsidR="00946C21" w:rsidRPr="00FD211F">
        <w:rPr>
          <w:sz w:val="36"/>
          <w:szCs w:val="36"/>
          <w:rtl/>
        </w:rPr>
        <w:t>هذا اللفظ من متكلم غيرملتفت</w:t>
      </w:r>
      <w:r w:rsidR="00603323" w:rsidRPr="00FD211F">
        <w:rPr>
          <w:sz w:val="36"/>
          <w:szCs w:val="36"/>
          <w:rtl/>
        </w:rPr>
        <w:t xml:space="preserve">، </w:t>
      </w:r>
      <w:r w:rsidRPr="00FD211F">
        <w:rPr>
          <w:sz w:val="36"/>
          <w:szCs w:val="36"/>
          <w:rtl/>
        </w:rPr>
        <w:t>وحينئذ فلايصح ان يقال بان معنى اسم الإشار</w:t>
      </w:r>
      <w:r w:rsidR="00EC7EDF" w:rsidRPr="00FD211F">
        <w:rPr>
          <w:sz w:val="36"/>
          <w:szCs w:val="36"/>
          <w:rtl/>
        </w:rPr>
        <w:t xml:space="preserve">ة </w:t>
      </w:r>
      <w:r w:rsidRPr="00FD211F">
        <w:rPr>
          <w:sz w:val="36"/>
          <w:szCs w:val="36"/>
          <w:rtl/>
        </w:rPr>
        <w:t>هو</w:t>
      </w:r>
      <w:r w:rsidR="00F22664" w:rsidRPr="00FD211F">
        <w:rPr>
          <w:sz w:val="36"/>
          <w:szCs w:val="36"/>
          <w:rtl/>
        </w:rPr>
        <w:t xml:space="preserve"> الذات الواقع</w:t>
      </w:r>
      <w:r w:rsidR="00EC7EDF" w:rsidRPr="00FD211F">
        <w:rPr>
          <w:sz w:val="36"/>
          <w:szCs w:val="36"/>
          <w:rtl/>
        </w:rPr>
        <w:t xml:space="preserve">ة </w:t>
      </w:r>
      <w:r w:rsidRPr="00FD211F">
        <w:rPr>
          <w:sz w:val="36"/>
          <w:szCs w:val="36"/>
          <w:rtl/>
        </w:rPr>
        <w:t>طرفا للإشار</w:t>
      </w:r>
      <w:r w:rsidR="00EC7EDF" w:rsidRPr="00FD211F">
        <w:rPr>
          <w:sz w:val="36"/>
          <w:szCs w:val="36"/>
          <w:rtl/>
        </w:rPr>
        <w:t xml:space="preserve">ة </w:t>
      </w:r>
      <w:r w:rsidR="00082B08" w:rsidRPr="00FD211F">
        <w:rPr>
          <w:sz w:val="36"/>
          <w:szCs w:val="36"/>
          <w:rtl/>
        </w:rPr>
        <w:t>خارجا</w:t>
      </w:r>
      <w:r w:rsidR="00603323" w:rsidRPr="00FD211F">
        <w:rPr>
          <w:sz w:val="36"/>
          <w:szCs w:val="36"/>
          <w:rtl/>
        </w:rPr>
        <w:t xml:space="preserve">، </w:t>
      </w:r>
      <w:r w:rsidR="00C14158" w:rsidRPr="00FD211F">
        <w:rPr>
          <w:sz w:val="36"/>
          <w:szCs w:val="36"/>
          <w:rtl/>
        </w:rPr>
        <w:t xml:space="preserve">وانما يكون معناه هو </w:t>
      </w:r>
      <w:r w:rsidR="00F22664" w:rsidRPr="00FD211F">
        <w:rPr>
          <w:sz w:val="36"/>
          <w:szCs w:val="36"/>
          <w:rtl/>
        </w:rPr>
        <w:t>الذات الواقع</w:t>
      </w:r>
      <w:r w:rsidR="00EC7EDF" w:rsidRPr="00FD211F">
        <w:rPr>
          <w:sz w:val="36"/>
          <w:szCs w:val="36"/>
          <w:rtl/>
        </w:rPr>
        <w:t xml:space="preserve">ة </w:t>
      </w:r>
      <w:r w:rsidR="001E0846" w:rsidRPr="00FD211F">
        <w:rPr>
          <w:sz w:val="36"/>
          <w:szCs w:val="36"/>
          <w:rtl/>
        </w:rPr>
        <w:t>طرفا للإشار</w:t>
      </w:r>
      <w:r w:rsidR="00EC7EDF" w:rsidRPr="00FD211F">
        <w:rPr>
          <w:sz w:val="36"/>
          <w:szCs w:val="36"/>
          <w:rtl/>
        </w:rPr>
        <w:t xml:space="preserve">ة </w:t>
      </w:r>
      <w:r w:rsidR="001E0846" w:rsidRPr="00FD211F">
        <w:rPr>
          <w:sz w:val="36"/>
          <w:szCs w:val="36"/>
          <w:rtl/>
        </w:rPr>
        <w:t>تصورا</w:t>
      </w:r>
      <w:r w:rsidR="00603323" w:rsidRPr="00FD211F">
        <w:rPr>
          <w:sz w:val="36"/>
          <w:szCs w:val="36"/>
          <w:rtl/>
        </w:rPr>
        <w:t xml:space="preserve">، </w:t>
      </w:r>
      <w:r w:rsidR="001E0846" w:rsidRPr="00FD211F">
        <w:rPr>
          <w:sz w:val="36"/>
          <w:szCs w:val="36"/>
          <w:rtl/>
        </w:rPr>
        <w:t>وان</w:t>
      </w:r>
      <w:r w:rsidR="008D7B3D" w:rsidRPr="00FD211F">
        <w:rPr>
          <w:sz w:val="36"/>
          <w:szCs w:val="36"/>
          <w:rtl/>
        </w:rPr>
        <w:t xml:space="preserve"> لم‌</w:t>
      </w:r>
      <w:r w:rsidR="001E0846" w:rsidRPr="00FD211F">
        <w:rPr>
          <w:sz w:val="36"/>
          <w:szCs w:val="36"/>
          <w:rtl/>
        </w:rPr>
        <w:t>يوجد به واقع الإشار</w:t>
      </w:r>
      <w:r w:rsidR="00EC7EDF" w:rsidRPr="00FD211F">
        <w:rPr>
          <w:sz w:val="36"/>
          <w:szCs w:val="36"/>
          <w:rtl/>
        </w:rPr>
        <w:t xml:space="preserve">ة </w:t>
      </w:r>
      <w:r w:rsidR="00082B08" w:rsidRPr="00FD211F">
        <w:rPr>
          <w:sz w:val="36"/>
          <w:szCs w:val="36"/>
          <w:rtl/>
        </w:rPr>
        <w:t>لافتراض صدوره من متكلم غير ملتفت</w:t>
      </w:r>
      <w:r w:rsidR="00603323" w:rsidRPr="00FD211F">
        <w:rPr>
          <w:sz w:val="36"/>
          <w:szCs w:val="36"/>
          <w:rtl/>
        </w:rPr>
        <w:t xml:space="preserve">، </w:t>
      </w:r>
      <w:r w:rsidR="00C81374" w:rsidRPr="00FD211F">
        <w:rPr>
          <w:sz w:val="36"/>
          <w:szCs w:val="36"/>
          <w:rtl/>
        </w:rPr>
        <w:t xml:space="preserve">فانه </w:t>
      </w:r>
      <w:r w:rsidR="000C77FD" w:rsidRPr="00FD211F">
        <w:rPr>
          <w:sz w:val="36"/>
          <w:szCs w:val="36"/>
          <w:rtl/>
        </w:rPr>
        <w:t xml:space="preserve">يمكن للذهن </w:t>
      </w:r>
      <w:r w:rsidR="00C81374" w:rsidRPr="00FD211F">
        <w:rPr>
          <w:sz w:val="36"/>
          <w:szCs w:val="36"/>
          <w:rtl/>
        </w:rPr>
        <w:t xml:space="preserve">تحصيل </w:t>
      </w:r>
      <w:r w:rsidR="000C77FD" w:rsidRPr="00FD211F">
        <w:rPr>
          <w:sz w:val="36"/>
          <w:szCs w:val="36"/>
          <w:rtl/>
        </w:rPr>
        <w:t>صور</w:t>
      </w:r>
      <w:r w:rsidR="00EC7EDF" w:rsidRPr="00FD211F">
        <w:rPr>
          <w:sz w:val="36"/>
          <w:szCs w:val="36"/>
          <w:rtl/>
        </w:rPr>
        <w:t xml:space="preserve">ة </w:t>
      </w:r>
      <w:r w:rsidR="000C77FD" w:rsidRPr="00FD211F">
        <w:rPr>
          <w:sz w:val="36"/>
          <w:szCs w:val="36"/>
          <w:rtl/>
        </w:rPr>
        <w:t>من واقع النسب</w:t>
      </w:r>
      <w:r w:rsidR="00EC7EDF" w:rsidRPr="00FD211F">
        <w:rPr>
          <w:sz w:val="36"/>
          <w:szCs w:val="36"/>
          <w:rtl/>
        </w:rPr>
        <w:t xml:space="preserve">ة </w:t>
      </w:r>
      <w:r w:rsidR="000C77FD" w:rsidRPr="00FD211F">
        <w:rPr>
          <w:sz w:val="36"/>
          <w:szCs w:val="36"/>
          <w:rtl/>
        </w:rPr>
        <w:t>الخارجي</w:t>
      </w:r>
      <w:r w:rsidR="00EC7EDF" w:rsidRPr="00FD211F">
        <w:rPr>
          <w:sz w:val="36"/>
          <w:szCs w:val="36"/>
          <w:rtl/>
        </w:rPr>
        <w:t xml:space="preserve">ة </w:t>
      </w:r>
      <w:r w:rsidR="000C77FD" w:rsidRPr="00FD211F">
        <w:rPr>
          <w:sz w:val="36"/>
          <w:szCs w:val="36"/>
          <w:rtl/>
        </w:rPr>
        <w:t>الاشار</w:t>
      </w:r>
      <w:r w:rsidR="00C81374" w:rsidRPr="00FD211F">
        <w:rPr>
          <w:sz w:val="36"/>
          <w:szCs w:val="36"/>
          <w:rtl/>
        </w:rPr>
        <w:t>ي</w:t>
      </w:r>
      <w:r w:rsidR="00EC7EDF" w:rsidRPr="00FD211F">
        <w:rPr>
          <w:sz w:val="36"/>
          <w:szCs w:val="36"/>
          <w:rtl/>
        </w:rPr>
        <w:t>ة</w:t>
      </w:r>
      <w:r w:rsidR="00603323" w:rsidRPr="00FD211F">
        <w:rPr>
          <w:sz w:val="36"/>
          <w:szCs w:val="36"/>
          <w:rtl/>
        </w:rPr>
        <w:t xml:space="preserve">، </w:t>
      </w:r>
      <w:r w:rsidR="00C81374" w:rsidRPr="00FD211F">
        <w:rPr>
          <w:sz w:val="36"/>
          <w:szCs w:val="36"/>
          <w:rtl/>
        </w:rPr>
        <w:t>فيوضع لفظ "هذا" بإزاء الذات</w:t>
      </w:r>
      <w:r w:rsidR="000C77FD" w:rsidRPr="00FD211F">
        <w:rPr>
          <w:sz w:val="36"/>
          <w:szCs w:val="36"/>
          <w:rtl/>
        </w:rPr>
        <w:t xml:space="preserve"> المبهم</w:t>
      </w:r>
      <w:r w:rsidR="00EC7EDF" w:rsidRPr="00FD211F">
        <w:rPr>
          <w:sz w:val="36"/>
          <w:szCs w:val="36"/>
          <w:rtl/>
        </w:rPr>
        <w:t xml:space="preserve">ة </w:t>
      </w:r>
      <w:r w:rsidR="000C77FD" w:rsidRPr="00FD211F">
        <w:rPr>
          <w:sz w:val="36"/>
          <w:szCs w:val="36"/>
          <w:rtl/>
        </w:rPr>
        <w:t>الواقع</w:t>
      </w:r>
      <w:r w:rsidR="00EC7EDF" w:rsidRPr="00FD211F">
        <w:rPr>
          <w:sz w:val="36"/>
          <w:szCs w:val="36"/>
          <w:rtl/>
        </w:rPr>
        <w:t xml:space="preserve">ة </w:t>
      </w:r>
      <w:r w:rsidR="000C77FD" w:rsidRPr="00FD211F">
        <w:rPr>
          <w:sz w:val="36"/>
          <w:szCs w:val="36"/>
          <w:rtl/>
        </w:rPr>
        <w:t>طرفا للنسب</w:t>
      </w:r>
      <w:r w:rsidR="00EC7EDF" w:rsidRPr="00FD211F">
        <w:rPr>
          <w:sz w:val="36"/>
          <w:szCs w:val="36"/>
          <w:rtl/>
        </w:rPr>
        <w:t xml:space="preserve">ة </w:t>
      </w:r>
      <w:r w:rsidR="000C77FD" w:rsidRPr="00FD211F">
        <w:rPr>
          <w:sz w:val="36"/>
          <w:szCs w:val="36"/>
          <w:rtl/>
        </w:rPr>
        <w:t>الاشاري</w:t>
      </w:r>
      <w:r w:rsidR="00EC7EDF" w:rsidRPr="00FD211F">
        <w:rPr>
          <w:sz w:val="36"/>
          <w:szCs w:val="36"/>
          <w:rtl/>
        </w:rPr>
        <w:t>ة</w:t>
      </w:r>
      <w:r w:rsidR="00A61BAE" w:rsidRPr="00FD211F">
        <w:rPr>
          <w:sz w:val="36"/>
          <w:szCs w:val="36"/>
          <w:rtl/>
        </w:rPr>
        <w:t>.</w:t>
      </w:r>
    </w:p>
    <w:p w14:paraId="76557CD6" w14:textId="77777777" w:rsidR="000700AE" w:rsidRPr="00FD211F" w:rsidRDefault="00C81374" w:rsidP="009C58C8">
      <w:pPr>
        <w:ind w:left="0" w:firstLine="227"/>
        <w:jc w:val="both"/>
        <w:rPr>
          <w:sz w:val="36"/>
          <w:szCs w:val="36"/>
          <w:rtl/>
        </w:rPr>
      </w:pPr>
      <w:r w:rsidRPr="00FD211F">
        <w:rPr>
          <w:sz w:val="36"/>
          <w:szCs w:val="36"/>
          <w:rtl/>
        </w:rPr>
        <w:t xml:space="preserve">نعم </w:t>
      </w:r>
      <w:r w:rsidR="000700AE" w:rsidRPr="00FD211F">
        <w:rPr>
          <w:sz w:val="36"/>
          <w:szCs w:val="36"/>
          <w:rtl/>
        </w:rPr>
        <w:t>لو قلنا بان</w:t>
      </w:r>
      <w:r w:rsidRPr="00FD211F">
        <w:rPr>
          <w:sz w:val="36"/>
          <w:szCs w:val="36"/>
          <w:rtl/>
        </w:rPr>
        <w:t xml:space="preserve">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تصديقي</w:t>
      </w:r>
      <w:r w:rsidR="00EC7EDF" w:rsidRPr="00FD211F">
        <w:rPr>
          <w:sz w:val="36"/>
          <w:szCs w:val="36"/>
          <w:rtl/>
        </w:rPr>
        <w:t xml:space="preserve">ة </w:t>
      </w:r>
      <w:r w:rsidRPr="00FD211F">
        <w:rPr>
          <w:sz w:val="36"/>
          <w:szCs w:val="36"/>
          <w:rtl/>
        </w:rPr>
        <w:t>وان ما يخطر بذهن السامع</w:t>
      </w:r>
      <w:r w:rsidR="000700AE" w:rsidRPr="00FD211F">
        <w:rPr>
          <w:sz w:val="36"/>
          <w:szCs w:val="36"/>
          <w:rtl/>
        </w:rPr>
        <w:t xml:space="preserve"> حين سماع </w:t>
      </w:r>
      <w:r w:rsidRPr="00FD211F">
        <w:rPr>
          <w:sz w:val="36"/>
          <w:szCs w:val="36"/>
          <w:rtl/>
        </w:rPr>
        <w:t xml:space="preserve">اسم </w:t>
      </w:r>
      <w:r w:rsidR="000700AE" w:rsidRPr="00FD211F">
        <w:rPr>
          <w:sz w:val="36"/>
          <w:szCs w:val="36"/>
          <w:rtl/>
        </w:rPr>
        <w:t>الاشار</w:t>
      </w:r>
      <w:r w:rsidR="00EC7EDF" w:rsidRPr="00FD211F">
        <w:rPr>
          <w:sz w:val="36"/>
          <w:szCs w:val="36"/>
          <w:rtl/>
        </w:rPr>
        <w:t xml:space="preserve">ة </w:t>
      </w:r>
      <w:r w:rsidR="000700AE" w:rsidRPr="00FD211F">
        <w:rPr>
          <w:sz w:val="36"/>
          <w:szCs w:val="36"/>
          <w:rtl/>
        </w:rPr>
        <w:t>بلاقصد</w:t>
      </w:r>
      <w:r w:rsidRPr="00FD211F">
        <w:rPr>
          <w:sz w:val="36"/>
          <w:szCs w:val="36"/>
          <w:rtl/>
        </w:rPr>
        <w:t xml:space="preserve"> المتكلم</w:t>
      </w:r>
      <w:r w:rsidR="000700AE" w:rsidRPr="00FD211F">
        <w:rPr>
          <w:sz w:val="36"/>
          <w:szCs w:val="36"/>
          <w:rtl/>
        </w:rPr>
        <w:t xml:space="preserve"> ايجاد الاشار</w:t>
      </w:r>
      <w:r w:rsidR="00EC7EDF" w:rsidRPr="00FD211F">
        <w:rPr>
          <w:sz w:val="36"/>
          <w:szCs w:val="36"/>
          <w:rtl/>
        </w:rPr>
        <w:t xml:space="preserve">ة </w:t>
      </w:r>
      <w:r w:rsidRPr="00FD211F">
        <w:rPr>
          <w:sz w:val="36"/>
          <w:szCs w:val="36"/>
          <w:rtl/>
        </w:rPr>
        <w:t>به يكون منشأه العلق</w:t>
      </w:r>
      <w:r w:rsidR="00EC7EDF" w:rsidRPr="00FD211F">
        <w:rPr>
          <w:sz w:val="36"/>
          <w:szCs w:val="36"/>
          <w:rtl/>
        </w:rPr>
        <w:t xml:space="preserve">ة </w:t>
      </w:r>
      <w:r w:rsidRPr="00FD211F">
        <w:rPr>
          <w:sz w:val="36"/>
          <w:szCs w:val="36"/>
          <w:rtl/>
        </w:rPr>
        <w:t>الأنسي</w:t>
      </w:r>
      <w:r w:rsidR="00EC7EDF" w:rsidRPr="00FD211F">
        <w:rPr>
          <w:sz w:val="36"/>
          <w:szCs w:val="36"/>
          <w:rtl/>
        </w:rPr>
        <w:t xml:space="preserve">ة </w:t>
      </w:r>
      <w:r w:rsidRPr="00FD211F">
        <w:rPr>
          <w:sz w:val="36"/>
          <w:szCs w:val="36"/>
          <w:rtl/>
        </w:rPr>
        <w:t>وليس مدلولا وضعيا لاسم الإشار</w:t>
      </w:r>
      <w:r w:rsidR="00EC7EDF" w:rsidRPr="00FD211F">
        <w:rPr>
          <w:sz w:val="36"/>
          <w:szCs w:val="36"/>
          <w:rtl/>
        </w:rPr>
        <w:t>ة</w:t>
      </w:r>
      <w:r w:rsidR="00603323" w:rsidRPr="00FD211F">
        <w:rPr>
          <w:sz w:val="36"/>
          <w:szCs w:val="36"/>
          <w:rtl/>
        </w:rPr>
        <w:t xml:space="preserve">، </w:t>
      </w:r>
      <w:r w:rsidRPr="00FD211F">
        <w:rPr>
          <w:sz w:val="36"/>
          <w:szCs w:val="36"/>
          <w:rtl/>
        </w:rPr>
        <w:t xml:space="preserve">فلامانع حينئذ </w:t>
      </w:r>
      <w:r w:rsidR="000700AE" w:rsidRPr="00FD211F">
        <w:rPr>
          <w:sz w:val="36"/>
          <w:szCs w:val="36"/>
          <w:rtl/>
        </w:rPr>
        <w:t xml:space="preserve">من الالتزام بان الموضوع له للفظ </w:t>
      </w:r>
      <w:r w:rsidR="00F22664" w:rsidRPr="00FD211F">
        <w:rPr>
          <w:sz w:val="36"/>
          <w:szCs w:val="36"/>
          <w:rtl/>
        </w:rPr>
        <w:t>"</w:t>
      </w:r>
      <w:r w:rsidR="000700AE" w:rsidRPr="00FD211F">
        <w:rPr>
          <w:sz w:val="36"/>
          <w:szCs w:val="36"/>
          <w:rtl/>
        </w:rPr>
        <w:t>هذا</w:t>
      </w:r>
      <w:r w:rsidR="00F22664" w:rsidRPr="00FD211F">
        <w:rPr>
          <w:sz w:val="36"/>
          <w:szCs w:val="36"/>
          <w:rtl/>
        </w:rPr>
        <w:t>"</w:t>
      </w:r>
      <w:r w:rsidR="000700AE" w:rsidRPr="00FD211F">
        <w:rPr>
          <w:sz w:val="36"/>
          <w:szCs w:val="36"/>
          <w:rtl/>
        </w:rPr>
        <w:t xml:space="preserve"> هو </w:t>
      </w:r>
      <w:r w:rsidR="00F22664" w:rsidRPr="00FD211F">
        <w:rPr>
          <w:sz w:val="36"/>
          <w:szCs w:val="36"/>
          <w:rtl/>
        </w:rPr>
        <w:t>الذات ال</w:t>
      </w:r>
      <w:r w:rsidR="000700AE" w:rsidRPr="00FD211F">
        <w:rPr>
          <w:sz w:val="36"/>
          <w:szCs w:val="36"/>
          <w:rtl/>
        </w:rPr>
        <w:t>واقع</w:t>
      </w:r>
      <w:r w:rsidR="00EC7EDF" w:rsidRPr="00FD211F">
        <w:rPr>
          <w:sz w:val="36"/>
          <w:szCs w:val="36"/>
          <w:rtl/>
        </w:rPr>
        <w:t xml:space="preserve">ة </w:t>
      </w:r>
      <w:r w:rsidR="00F22664" w:rsidRPr="00FD211F">
        <w:rPr>
          <w:sz w:val="36"/>
          <w:szCs w:val="36"/>
          <w:rtl/>
        </w:rPr>
        <w:t>طرفا ل</w:t>
      </w:r>
      <w:r w:rsidR="001E0846" w:rsidRPr="00FD211F">
        <w:rPr>
          <w:sz w:val="36"/>
          <w:szCs w:val="36"/>
          <w:rtl/>
        </w:rPr>
        <w:t>واقع الإشار</w:t>
      </w:r>
      <w:r w:rsidR="00EC7EDF" w:rsidRPr="00FD211F">
        <w:rPr>
          <w:sz w:val="36"/>
          <w:szCs w:val="36"/>
          <w:rtl/>
        </w:rPr>
        <w:t xml:space="preserve">ة </w:t>
      </w:r>
      <w:r w:rsidR="00F22664" w:rsidRPr="00FD211F">
        <w:rPr>
          <w:sz w:val="36"/>
          <w:szCs w:val="36"/>
          <w:rtl/>
        </w:rPr>
        <w:t>به اليه</w:t>
      </w:r>
      <w:r w:rsidR="008C64A3" w:rsidRPr="00FD211F">
        <w:rPr>
          <w:sz w:val="36"/>
          <w:szCs w:val="36"/>
          <w:rtl/>
        </w:rPr>
        <w:t>ا</w:t>
      </w:r>
      <w:r w:rsidR="000700AE" w:rsidRPr="00FD211F">
        <w:rPr>
          <w:sz w:val="36"/>
          <w:szCs w:val="36"/>
          <w:rtl/>
        </w:rPr>
        <w:t>.</w:t>
      </w:r>
    </w:p>
    <w:p w14:paraId="48A3043E" w14:textId="77777777" w:rsidR="002E5C09" w:rsidRPr="00FD211F" w:rsidRDefault="0099223C" w:rsidP="009C58C8">
      <w:pPr>
        <w:pStyle w:val="3"/>
        <w:ind w:firstLine="227"/>
        <w:jc w:val="both"/>
        <w:rPr>
          <w:rtl/>
        </w:rPr>
      </w:pPr>
      <w:bookmarkStart w:id="260" w:name="_Toc192092895"/>
      <w:bookmarkStart w:id="261" w:name="_Toc223890373"/>
      <w:r w:rsidRPr="00FD211F">
        <w:rPr>
          <w:rtl/>
        </w:rPr>
        <w:t>2-</w:t>
      </w:r>
      <w:r w:rsidR="002E5C09" w:rsidRPr="00FD211F">
        <w:rPr>
          <w:rtl/>
        </w:rPr>
        <w:t xml:space="preserve">الضمائر </w:t>
      </w:r>
      <w:r w:rsidR="00F140F6" w:rsidRPr="00FD211F">
        <w:rPr>
          <w:rtl/>
        </w:rPr>
        <w:t>والموصولات</w:t>
      </w:r>
      <w:bookmarkEnd w:id="260"/>
      <w:bookmarkEnd w:id="261"/>
    </w:p>
    <w:p w14:paraId="30E6AAF2" w14:textId="77777777" w:rsidR="00F140F6" w:rsidRPr="00FD211F" w:rsidRDefault="000700AE" w:rsidP="009C58C8">
      <w:pPr>
        <w:ind w:left="0" w:firstLine="227"/>
        <w:jc w:val="both"/>
        <w:rPr>
          <w:sz w:val="36"/>
          <w:szCs w:val="36"/>
          <w:rtl/>
        </w:rPr>
      </w:pPr>
      <w:r w:rsidRPr="00FD211F">
        <w:rPr>
          <w:sz w:val="36"/>
          <w:szCs w:val="36"/>
          <w:rtl/>
        </w:rPr>
        <w:t>اما الضمائر فقد</w:t>
      </w:r>
      <w:r w:rsidR="00A6761C" w:rsidRPr="00FD211F">
        <w:rPr>
          <w:sz w:val="36"/>
          <w:szCs w:val="36"/>
          <w:rtl/>
        </w:rPr>
        <w:t xml:space="preserve"> ذكرصاحب</w:t>
      </w:r>
      <w:r w:rsidR="00D774DC" w:rsidRPr="00FD211F">
        <w:rPr>
          <w:sz w:val="36"/>
          <w:szCs w:val="36"/>
          <w:rtl/>
        </w:rPr>
        <w:t xml:space="preserve"> الكفاي</w:t>
      </w:r>
      <w:r w:rsidR="00EC7EDF" w:rsidRPr="00FD211F">
        <w:rPr>
          <w:sz w:val="36"/>
          <w:szCs w:val="36"/>
          <w:rtl/>
        </w:rPr>
        <w:t xml:space="preserve">ة </w:t>
      </w:r>
      <w:r w:rsidR="00A6761C" w:rsidRPr="00FD211F">
        <w:rPr>
          <w:sz w:val="36"/>
          <w:szCs w:val="36"/>
          <w:rtl/>
        </w:rPr>
        <w:t>"قده"</w:t>
      </w:r>
      <w:r w:rsidR="00046F16" w:rsidRPr="00FD211F">
        <w:rPr>
          <w:sz w:val="36"/>
          <w:szCs w:val="36"/>
          <w:rtl/>
        </w:rPr>
        <w:t xml:space="preserve"> ما محصله</w:t>
      </w:r>
      <w:r w:rsidR="00D774DC" w:rsidRPr="00FD211F">
        <w:rPr>
          <w:sz w:val="36"/>
          <w:szCs w:val="36"/>
          <w:rtl/>
        </w:rPr>
        <w:t xml:space="preserve"> ان معنى ضمير الغائب مثل "هو" وضمير المخاطب مثل "انت" واحد وهو المفرد المذكر</w:t>
      </w:r>
      <w:r w:rsidR="00603323" w:rsidRPr="00FD211F">
        <w:rPr>
          <w:sz w:val="36"/>
          <w:szCs w:val="36"/>
          <w:rtl/>
        </w:rPr>
        <w:t xml:space="preserve">، </w:t>
      </w:r>
      <w:r w:rsidR="00D774DC" w:rsidRPr="00FD211F">
        <w:rPr>
          <w:sz w:val="36"/>
          <w:szCs w:val="36"/>
          <w:rtl/>
        </w:rPr>
        <w:t>ولكن اشترط الواضع في وضع الضمير الغائب ان يشار به الى معناه في غيبته</w:t>
      </w:r>
      <w:r w:rsidR="00603323" w:rsidRPr="00FD211F">
        <w:rPr>
          <w:sz w:val="36"/>
          <w:szCs w:val="36"/>
          <w:rtl/>
        </w:rPr>
        <w:t xml:space="preserve">، </w:t>
      </w:r>
      <w:r w:rsidR="00D774DC" w:rsidRPr="00FD211F">
        <w:rPr>
          <w:sz w:val="36"/>
          <w:szCs w:val="36"/>
          <w:rtl/>
        </w:rPr>
        <w:t>كما اشترط في ضمير المخاطب ان يكون استعماله لأجل ان يخاطبه به</w:t>
      </w:r>
      <w:r w:rsidR="00603323" w:rsidRPr="00FD211F">
        <w:rPr>
          <w:sz w:val="36"/>
          <w:szCs w:val="36"/>
          <w:rtl/>
        </w:rPr>
        <w:t xml:space="preserve">، </w:t>
      </w:r>
      <w:r w:rsidR="00A6761C" w:rsidRPr="00FD211F">
        <w:rPr>
          <w:sz w:val="36"/>
          <w:szCs w:val="36"/>
          <w:rtl/>
        </w:rPr>
        <w:t>وكذا</w:t>
      </w:r>
      <w:r w:rsidR="00D774DC" w:rsidRPr="00FD211F">
        <w:rPr>
          <w:sz w:val="36"/>
          <w:szCs w:val="36"/>
          <w:rtl/>
        </w:rPr>
        <w:t xml:space="preserve"> يكون معنى ضمير المتكلم وحده هو المفرد</w:t>
      </w:r>
      <w:r w:rsidR="00603323" w:rsidRPr="00FD211F">
        <w:rPr>
          <w:sz w:val="36"/>
          <w:szCs w:val="36"/>
          <w:rtl/>
        </w:rPr>
        <w:t xml:space="preserve">، </w:t>
      </w:r>
      <w:r w:rsidR="00D774DC" w:rsidRPr="00FD211F">
        <w:rPr>
          <w:sz w:val="36"/>
          <w:szCs w:val="36"/>
          <w:rtl/>
        </w:rPr>
        <w:t>وانما اشترط الو</w:t>
      </w:r>
      <w:r w:rsidR="00A6761C" w:rsidRPr="00FD211F">
        <w:rPr>
          <w:sz w:val="36"/>
          <w:szCs w:val="36"/>
          <w:rtl/>
        </w:rPr>
        <w:t>اضع ان يشير به المتكلم</w:t>
      </w:r>
      <w:r w:rsidR="00B253CE" w:rsidRPr="00FD211F">
        <w:rPr>
          <w:sz w:val="36"/>
          <w:szCs w:val="36"/>
          <w:rtl/>
        </w:rPr>
        <w:t xml:space="preserve"> </w:t>
      </w:r>
      <w:r w:rsidR="00A6761C" w:rsidRPr="00FD211F">
        <w:rPr>
          <w:sz w:val="36"/>
          <w:szCs w:val="36"/>
          <w:rtl/>
        </w:rPr>
        <w:t>الى نفسه</w:t>
      </w:r>
      <w:r w:rsidR="009C58C8" w:rsidRPr="00FD211F">
        <w:rPr>
          <w:rStyle w:val="a6"/>
          <w:sz w:val="36"/>
          <w:szCs w:val="36"/>
          <w:rtl/>
        </w:rPr>
        <w:t>(</w:t>
      </w:r>
      <w:r w:rsidR="009C58C8" w:rsidRPr="00FD211F">
        <w:rPr>
          <w:rStyle w:val="a6"/>
          <w:sz w:val="36"/>
          <w:szCs w:val="36"/>
          <w:rtl/>
        </w:rPr>
        <w:footnoteReference w:id="253"/>
      </w:r>
      <w:r w:rsidR="009C58C8" w:rsidRPr="00FD211F">
        <w:rPr>
          <w:rStyle w:val="a6"/>
          <w:sz w:val="36"/>
          <w:szCs w:val="36"/>
          <w:rtl/>
        </w:rPr>
        <w:t>)</w:t>
      </w:r>
      <w:r w:rsidR="00F140F6" w:rsidRPr="00FD211F">
        <w:rPr>
          <w:sz w:val="36"/>
          <w:szCs w:val="36"/>
          <w:rtl/>
        </w:rPr>
        <w:t>.</w:t>
      </w:r>
    </w:p>
    <w:p w14:paraId="1C38D963" w14:textId="77777777" w:rsidR="00F140F6" w:rsidRPr="00FD211F" w:rsidRDefault="000700AE" w:rsidP="009C58C8">
      <w:pPr>
        <w:ind w:left="0" w:firstLine="227"/>
        <w:jc w:val="both"/>
        <w:rPr>
          <w:sz w:val="36"/>
          <w:szCs w:val="36"/>
          <w:rtl/>
        </w:rPr>
      </w:pPr>
      <w:r w:rsidRPr="00FD211F">
        <w:rPr>
          <w:sz w:val="36"/>
          <w:szCs w:val="36"/>
          <w:rtl/>
        </w:rPr>
        <w:t xml:space="preserve">وقد ذكر السيد البروجردي </w:t>
      </w:r>
      <w:r w:rsidR="00A6761C" w:rsidRPr="00FD211F">
        <w:rPr>
          <w:sz w:val="36"/>
          <w:szCs w:val="36"/>
          <w:rtl/>
        </w:rPr>
        <w:t>"</w:t>
      </w:r>
      <w:r w:rsidRPr="00FD211F">
        <w:rPr>
          <w:sz w:val="36"/>
          <w:szCs w:val="36"/>
          <w:rtl/>
        </w:rPr>
        <w:t>قده</w:t>
      </w:r>
      <w:r w:rsidR="00A6761C" w:rsidRPr="00FD211F">
        <w:rPr>
          <w:sz w:val="36"/>
          <w:szCs w:val="36"/>
          <w:rtl/>
        </w:rPr>
        <w:t>"</w:t>
      </w:r>
      <w:r w:rsidRPr="00FD211F">
        <w:rPr>
          <w:sz w:val="36"/>
          <w:szCs w:val="36"/>
          <w:rtl/>
        </w:rPr>
        <w:t xml:space="preserve"> ان الضمير والموصول ايضا كاسم الاشار</w:t>
      </w:r>
      <w:r w:rsidR="00EC7EDF" w:rsidRPr="00FD211F">
        <w:rPr>
          <w:sz w:val="36"/>
          <w:szCs w:val="36"/>
          <w:rtl/>
        </w:rPr>
        <w:t xml:space="preserve">ة </w:t>
      </w:r>
      <w:r w:rsidRPr="00FD211F">
        <w:rPr>
          <w:sz w:val="36"/>
          <w:szCs w:val="36"/>
          <w:rtl/>
        </w:rPr>
        <w:t>في ان معناه</w:t>
      </w:r>
      <w:r w:rsidR="002E1DFD" w:rsidRPr="00FD211F">
        <w:rPr>
          <w:sz w:val="36"/>
          <w:szCs w:val="36"/>
          <w:rtl/>
        </w:rPr>
        <w:t>م</w:t>
      </w:r>
      <w:r w:rsidRPr="00FD211F">
        <w:rPr>
          <w:sz w:val="36"/>
          <w:szCs w:val="36"/>
          <w:rtl/>
        </w:rPr>
        <w:t>ا نفس الاشار</w:t>
      </w:r>
      <w:r w:rsidR="00EC7EDF" w:rsidRPr="00FD211F">
        <w:rPr>
          <w:sz w:val="36"/>
          <w:szCs w:val="36"/>
          <w:rtl/>
        </w:rPr>
        <w:t xml:space="preserve">ة </w:t>
      </w:r>
      <w:r w:rsidRPr="00FD211F">
        <w:rPr>
          <w:sz w:val="36"/>
          <w:szCs w:val="36"/>
          <w:rtl/>
        </w:rPr>
        <w:t>فضمير الغائب للاشار</w:t>
      </w:r>
      <w:r w:rsidR="00EC7EDF" w:rsidRPr="00FD211F">
        <w:rPr>
          <w:sz w:val="36"/>
          <w:szCs w:val="36"/>
          <w:rtl/>
        </w:rPr>
        <w:t xml:space="preserve">ة </w:t>
      </w:r>
      <w:r w:rsidRPr="00FD211F">
        <w:rPr>
          <w:sz w:val="36"/>
          <w:szCs w:val="36"/>
          <w:rtl/>
        </w:rPr>
        <w:t>الى مبهم غائب وضمير المخاطب للاشار</w:t>
      </w:r>
      <w:r w:rsidR="00EC7EDF" w:rsidRPr="00FD211F">
        <w:rPr>
          <w:sz w:val="36"/>
          <w:szCs w:val="36"/>
          <w:rtl/>
        </w:rPr>
        <w:t xml:space="preserve">ة </w:t>
      </w:r>
      <w:r w:rsidRPr="00FD211F">
        <w:rPr>
          <w:sz w:val="36"/>
          <w:szCs w:val="36"/>
          <w:rtl/>
        </w:rPr>
        <w:t>الى المخاطب وضمير المتكلم للاشار</w:t>
      </w:r>
      <w:r w:rsidR="00EC7EDF" w:rsidRPr="00FD211F">
        <w:rPr>
          <w:sz w:val="36"/>
          <w:szCs w:val="36"/>
          <w:rtl/>
        </w:rPr>
        <w:t xml:space="preserve">ة </w:t>
      </w:r>
      <w:r w:rsidRPr="00FD211F">
        <w:rPr>
          <w:sz w:val="36"/>
          <w:szCs w:val="36"/>
          <w:rtl/>
        </w:rPr>
        <w:t>الى المتكلم والموصول للاشار</w:t>
      </w:r>
      <w:r w:rsidR="00EC7EDF" w:rsidRPr="00FD211F">
        <w:rPr>
          <w:sz w:val="36"/>
          <w:szCs w:val="36"/>
          <w:rtl/>
        </w:rPr>
        <w:t xml:space="preserve">ة </w:t>
      </w:r>
      <w:r w:rsidRPr="00FD211F">
        <w:rPr>
          <w:sz w:val="36"/>
          <w:szCs w:val="36"/>
          <w:rtl/>
        </w:rPr>
        <w:t>الى ذات مبهم</w:t>
      </w:r>
      <w:r w:rsidR="00EC7EDF" w:rsidRPr="00FD211F">
        <w:rPr>
          <w:sz w:val="36"/>
          <w:szCs w:val="36"/>
          <w:rtl/>
        </w:rPr>
        <w:t xml:space="preserve">ة </w:t>
      </w:r>
      <w:r w:rsidRPr="00FD211F">
        <w:rPr>
          <w:sz w:val="36"/>
          <w:szCs w:val="36"/>
          <w:rtl/>
        </w:rPr>
        <w:t>ي</w:t>
      </w:r>
      <w:r w:rsidR="00F140F6" w:rsidRPr="00FD211F">
        <w:rPr>
          <w:sz w:val="36"/>
          <w:szCs w:val="36"/>
          <w:rtl/>
        </w:rPr>
        <w:t>ت</w:t>
      </w:r>
      <w:r w:rsidRPr="00FD211F">
        <w:rPr>
          <w:sz w:val="36"/>
          <w:szCs w:val="36"/>
          <w:rtl/>
        </w:rPr>
        <w:t>وقع رفع ابهامه</w:t>
      </w:r>
      <w:r w:rsidR="00597596" w:rsidRPr="00FD211F">
        <w:rPr>
          <w:sz w:val="36"/>
          <w:szCs w:val="36"/>
          <w:rtl/>
        </w:rPr>
        <w:t>ا</w:t>
      </w:r>
      <w:r w:rsidRPr="00FD211F">
        <w:rPr>
          <w:sz w:val="36"/>
          <w:szCs w:val="36"/>
          <w:rtl/>
        </w:rPr>
        <w:t xml:space="preserve"> بالصل</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54"/>
      </w:r>
      <w:r w:rsidR="009C58C8" w:rsidRPr="00FD211F">
        <w:rPr>
          <w:rStyle w:val="a6"/>
          <w:sz w:val="36"/>
          <w:szCs w:val="36"/>
          <w:rtl/>
        </w:rPr>
        <w:t>)</w:t>
      </w:r>
      <w:r w:rsidR="00F140F6" w:rsidRPr="00FD211F">
        <w:rPr>
          <w:sz w:val="36"/>
          <w:szCs w:val="36"/>
          <w:rtl/>
        </w:rPr>
        <w:t>.</w:t>
      </w:r>
    </w:p>
    <w:p w14:paraId="4BF86BC7" w14:textId="77777777" w:rsidR="000700AE" w:rsidRPr="00FD211F" w:rsidRDefault="000700AE" w:rsidP="005946E3">
      <w:pPr>
        <w:ind w:left="0" w:firstLine="227"/>
        <w:jc w:val="both"/>
        <w:rPr>
          <w:sz w:val="36"/>
          <w:szCs w:val="36"/>
          <w:rtl/>
        </w:rPr>
      </w:pPr>
      <w:r w:rsidRPr="00FD211F">
        <w:rPr>
          <w:sz w:val="36"/>
          <w:szCs w:val="36"/>
          <w:rtl/>
        </w:rPr>
        <w:t>ولكن ذكر السيد الإمام</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ان ضمير الغائب وان كان موضوعا لإيجاد الإشار</w:t>
      </w:r>
      <w:r w:rsidR="00EC7EDF" w:rsidRPr="00FD211F">
        <w:rPr>
          <w:sz w:val="36"/>
          <w:szCs w:val="36"/>
          <w:rtl/>
        </w:rPr>
        <w:t xml:space="preserve">ة </w:t>
      </w:r>
      <w:r w:rsidRPr="00FD211F">
        <w:rPr>
          <w:sz w:val="36"/>
          <w:szCs w:val="36"/>
          <w:rtl/>
        </w:rPr>
        <w:t>الى الغائب ولكن ضمير المخاطب موضوع للهوي</w:t>
      </w:r>
      <w:r w:rsidR="00EC7EDF" w:rsidRPr="00FD211F">
        <w:rPr>
          <w:sz w:val="36"/>
          <w:szCs w:val="36"/>
          <w:rtl/>
        </w:rPr>
        <w:t xml:space="preserve">ة </w:t>
      </w:r>
      <w:r w:rsidRPr="00FD211F">
        <w:rPr>
          <w:sz w:val="36"/>
          <w:szCs w:val="36"/>
          <w:rtl/>
        </w:rPr>
        <w:t>المتعين</w:t>
      </w:r>
      <w:r w:rsidR="00EC7EDF" w:rsidRPr="00FD211F">
        <w:rPr>
          <w:sz w:val="36"/>
          <w:szCs w:val="36"/>
          <w:rtl/>
        </w:rPr>
        <w:t xml:space="preserve">ة </w:t>
      </w:r>
      <w:r w:rsidRPr="00FD211F">
        <w:rPr>
          <w:sz w:val="36"/>
          <w:szCs w:val="36"/>
          <w:rtl/>
        </w:rPr>
        <w:t>للمخاطب (اي لواقع المخاطب) وضمير المتكلم للهوي</w:t>
      </w:r>
      <w:r w:rsidR="00EC7EDF" w:rsidRPr="00FD211F">
        <w:rPr>
          <w:sz w:val="36"/>
          <w:szCs w:val="36"/>
          <w:rtl/>
        </w:rPr>
        <w:t xml:space="preserve">ة </w:t>
      </w:r>
      <w:r w:rsidRPr="00FD211F">
        <w:rPr>
          <w:sz w:val="36"/>
          <w:szCs w:val="36"/>
          <w:rtl/>
        </w:rPr>
        <w:t>المتعين</w:t>
      </w:r>
      <w:r w:rsidR="00EC7EDF" w:rsidRPr="00FD211F">
        <w:rPr>
          <w:sz w:val="36"/>
          <w:szCs w:val="36"/>
          <w:rtl/>
        </w:rPr>
        <w:t xml:space="preserve">ة </w:t>
      </w:r>
      <w:r w:rsidRPr="00FD211F">
        <w:rPr>
          <w:sz w:val="36"/>
          <w:szCs w:val="36"/>
          <w:rtl/>
        </w:rPr>
        <w:t>للمتكلم</w:t>
      </w:r>
      <w:r w:rsidR="00603323" w:rsidRPr="00FD211F">
        <w:rPr>
          <w:sz w:val="36"/>
          <w:szCs w:val="36"/>
          <w:rtl/>
        </w:rPr>
        <w:t xml:space="preserve">، </w:t>
      </w:r>
      <w:r w:rsidRPr="00FD211F">
        <w:rPr>
          <w:sz w:val="36"/>
          <w:szCs w:val="36"/>
          <w:rtl/>
        </w:rPr>
        <w:t>واما الموصول</w:t>
      </w:r>
      <w:r w:rsidR="00F140F6" w:rsidRPr="00FD211F">
        <w:rPr>
          <w:sz w:val="36"/>
          <w:szCs w:val="36"/>
          <w:rtl/>
        </w:rPr>
        <w:t xml:space="preserve"> فيفصل بين</w:t>
      </w:r>
      <w:r w:rsidRPr="00FD211F">
        <w:rPr>
          <w:sz w:val="36"/>
          <w:szCs w:val="36"/>
          <w:rtl/>
        </w:rPr>
        <w:t xml:space="preserve"> </w:t>
      </w:r>
      <w:r w:rsidR="00F140F6" w:rsidRPr="00FD211F">
        <w:rPr>
          <w:sz w:val="36"/>
          <w:szCs w:val="36"/>
          <w:rtl/>
        </w:rPr>
        <w:t>"</w:t>
      </w:r>
      <w:r w:rsidRPr="00FD211F">
        <w:rPr>
          <w:sz w:val="36"/>
          <w:szCs w:val="36"/>
          <w:rtl/>
        </w:rPr>
        <w:t>مَن وما وايّ</w:t>
      </w:r>
      <w:r w:rsidR="00F140F6" w:rsidRPr="00FD211F">
        <w:rPr>
          <w:sz w:val="36"/>
          <w:szCs w:val="36"/>
          <w:rtl/>
        </w:rPr>
        <w:t>" فيلتزم بكونها</w:t>
      </w:r>
      <w:r w:rsidRPr="00FD211F">
        <w:rPr>
          <w:sz w:val="36"/>
          <w:szCs w:val="36"/>
          <w:rtl/>
        </w:rPr>
        <w:t xml:space="preserve"> موضوع</w:t>
      </w:r>
      <w:r w:rsidR="00EC7EDF" w:rsidRPr="00FD211F">
        <w:rPr>
          <w:sz w:val="36"/>
          <w:szCs w:val="36"/>
          <w:rtl/>
        </w:rPr>
        <w:t xml:space="preserve">ة </w:t>
      </w:r>
      <w:r w:rsidRPr="00FD211F">
        <w:rPr>
          <w:sz w:val="36"/>
          <w:szCs w:val="36"/>
          <w:rtl/>
        </w:rPr>
        <w:t>للعناوين المبهم</w:t>
      </w:r>
      <w:r w:rsidR="00EC7EDF" w:rsidRPr="00FD211F">
        <w:rPr>
          <w:sz w:val="36"/>
          <w:szCs w:val="36"/>
          <w:rtl/>
        </w:rPr>
        <w:t xml:space="preserve">ة </w:t>
      </w:r>
      <w:r w:rsidRPr="00FD211F">
        <w:rPr>
          <w:sz w:val="36"/>
          <w:szCs w:val="36"/>
          <w:rtl/>
        </w:rPr>
        <w:t>و</w:t>
      </w:r>
      <w:r w:rsidR="00F140F6" w:rsidRPr="00FD211F">
        <w:rPr>
          <w:sz w:val="36"/>
          <w:szCs w:val="36"/>
          <w:rtl/>
        </w:rPr>
        <w:t xml:space="preserve">بين </w:t>
      </w:r>
      <w:r w:rsidRPr="00FD211F">
        <w:rPr>
          <w:sz w:val="36"/>
          <w:szCs w:val="36"/>
          <w:rtl/>
        </w:rPr>
        <w:t xml:space="preserve">غيرها </w:t>
      </w:r>
      <w:r w:rsidR="00F140F6" w:rsidRPr="00FD211F">
        <w:rPr>
          <w:sz w:val="36"/>
          <w:szCs w:val="36"/>
          <w:rtl/>
        </w:rPr>
        <w:t xml:space="preserve">مثل </w:t>
      </w:r>
      <w:r w:rsidRPr="00FD211F">
        <w:rPr>
          <w:sz w:val="36"/>
          <w:szCs w:val="36"/>
          <w:rtl/>
        </w:rPr>
        <w:t>الذي</w:t>
      </w:r>
      <w:r w:rsidR="00F140F6" w:rsidRPr="00FD211F">
        <w:rPr>
          <w:sz w:val="36"/>
          <w:szCs w:val="36"/>
          <w:rtl/>
        </w:rPr>
        <w:t xml:space="preserve"> فيلتزم بكونها</w:t>
      </w:r>
      <w:r w:rsidRPr="00FD211F">
        <w:rPr>
          <w:sz w:val="36"/>
          <w:szCs w:val="36"/>
          <w:rtl/>
        </w:rPr>
        <w:t xml:space="preserve"> موضوع</w:t>
      </w:r>
      <w:r w:rsidR="00C90353" w:rsidRPr="00FD211F">
        <w:rPr>
          <w:sz w:val="36"/>
          <w:szCs w:val="36"/>
          <w:rtl/>
        </w:rPr>
        <w:t>ا</w:t>
      </w:r>
      <w:r w:rsidRPr="00FD211F">
        <w:rPr>
          <w:sz w:val="36"/>
          <w:szCs w:val="36"/>
          <w:rtl/>
        </w:rPr>
        <w:t xml:space="preserve"> للاشار</w:t>
      </w:r>
      <w:r w:rsidR="00EC7EDF" w:rsidRPr="00FD211F">
        <w:rPr>
          <w:sz w:val="36"/>
          <w:szCs w:val="36"/>
          <w:rtl/>
        </w:rPr>
        <w:t xml:space="preserve">ة </w:t>
      </w:r>
      <w:r w:rsidRPr="00FD211F">
        <w:rPr>
          <w:sz w:val="36"/>
          <w:szCs w:val="36"/>
          <w:rtl/>
        </w:rPr>
        <w:t xml:space="preserve">الى </w:t>
      </w:r>
      <w:r w:rsidR="00C90353" w:rsidRPr="00FD211F">
        <w:rPr>
          <w:sz w:val="36"/>
          <w:szCs w:val="36"/>
          <w:rtl/>
        </w:rPr>
        <w:t xml:space="preserve">ذات </w:t>
      </w:r>
      <w:r w:rsidRPr="00FD211F">
        <w:rPr>
          <w:sz w:val="36"/>
          <w:szCs w:val="36"/>
          <w:rtl/>
        </w:rPr>
        <w:t>مبهم</w:t>
      </w:r>
      <w:r w:rsidR="00EC7EDF" w:rsidRPr="00FD211F">
        <w:rPr>
          <w:sz w:val="36"/>
          <w:szCs w:val="36"/>
          <w:rtl/>
        </w:rPr>
        <w:t xml:space="preserve">ة </w:t>
      </w:r>
      <w:r w:rsidRPr="00FD211F">
        <w:rPr>
          <w:sz w:val="36"/>
          <w:szCs w:val="36"/>
          <w:rtl/>
        </w:rPr>
        <w:t>في</w:t>
      </w:r>
      <w:r w:rsidR="00F140F6" w:rsidRPr="00FD211F">
        <w:rPr>
          <w:sz w:val="36"/>
          <w:szCs w:val="36"/>
          <w:rtl/>
        </w:rPr>
        <w:t>ت</w:t>
      </w:r>
      <w:r w:rsidRPr="00FD211F">
        <w:rPr>
          <w:sz w:val="36"/>
          <w:szCs w:val="36"/>
          <w:rtl/>
        </w:rPr>
        <w:t>وقع رفع ابهامه</w:t>
      </w:r>
      <w:r w:rsidR="00597596" w:rsidRPr="00FD211F">
        <w:rPr>
          <w:sz w:val="36"/>
          <w:szCs w:val="36"/>
          <w:rtl/>
        </w:rPr>
        <w:t>ا</w:t>
      </w:r>
      <w:r w:rsidRPr="00FD211F">
        <w:rPr>
          <w:sz w:val="36"/>
          <w:szCs w:val="36"/>
          <w:rtl/>
        </w:rPr>
        <w:t xml:space="preserve"> بالصل</w:t>
      </w:r>
      <w:r w:rsidR="00EC7EDF" w:rsidRPr="00FD211F">
        <w:rPr>
          <w:sz w:val="36"/>
          <w:szCs w:val="36"/>
          <w:rtl/>
        </w:rPr>
        <w:t xml:space="preserve">ة </w:t>
      </w:r>
      <w:r w:rsidRPr="00FD211F">
        <w:rPr>
          <w:sz w:val="36"/>
          <w:szCs w:val="36"/>
          <w:rtl/>
        </w:rPr>
        <w:t xml:space="preserve">ولكن لايبعد ان يقال ان مثل </w:t>
      </w:r>
      <w:r w:rsidR="009A3C9F" w:rsidRPr="00FD211F">
        <w:rPr>
          <w:sz w:val="36"/>
          <w:szCs w:val="36"/>
          <w:rtl/>
        </w:rPr>
        <w:t>"</w:t>
      </w:r>
      <w:r w:rsidRPr="00FD211F">
        <w:rPr>
          <w:sz w:val="36"/>
          <w:szCs w:val="36"/>
          <w:rtl/>
        </w:rPr>
        <w:t>الذي</w:t>
      </w:r>
      <w:r w:rsidR="009A3C9F" w:rsidRPr="00FD211F">
        <w:rPr>
          <w:sz w:val="36"/>
          <w:szCs w:val="36"/>
          <w:rtl/>
        </w:rPr>
        <w:t>"</w:t>
      </w:r>
      <w:r w:rsidRPr="00FD211F">
        <w:rPr>
          <w:sz w:val="36"/>
          <w:szCs w:val="36"/>
          <w:rtl/>
        </w:rPr>
        <w:t xml:space="preserve"> وضع لمعنى مبهم مشار اليه ب</w:t>
      </w:r>
      <w:r w:rsidR="00C90353" w:rsidRPr="00FD211F">
        <w:rPr>
          <w:sz w:val="36"/>
          <w:szCs w:val="36"/>
          <w:rtl/>
        </w:rPr>
        <w:t>هذا اللفظ</w:t>
      </w:r>
      <w:r w:rsidRPr="00FD211F">
        <w:rPr>
          <w:sz w:val="36"/>
          <w:szCs w:val="36"/>
          <w:rtl/>
        </w:rPr>
        <w:t xml:space="preserve"> </w:t>
      </w:r>
      <w:r w:rsidR="00C90353" w:rsidRPr="00FD211F">
        <w:rPr>
          <w:sz w:val="36"/>
          <w:szCs w:val="36"/>
          <w:rtl/>
        </w:rPr>
        <w:t>فيختلف</w:t>
      </w:r>
      <w:r w:rsidRPr="00FD211F">
        <w:rPr>
          <w:sz w:val="36"/>
          <w:szCs w:val="36"/>
          <w:rtl/>
        </w:rPr>
        <w:t xml:space="preserve"> عن اسم الاشار</w:t>
      </w:r>
      <w:r w:rsidR="00EC7EDF" w:rsidRPr="00FD211F">
        <w:rPr>
          <w:sz w:val="36"/>
          <w:szCs w:val="36"/>
          <w:rtl/>
        </w:rPr>
        <w:t xml:space="preserve">ة </w:t>
      </w:r>
      <w:r w:rsidR="00C90353" w:rsidRPr="00FD211F">
        <w:rPr>
          <w:sz w:val="36"/>
          <w:szCs w:val="36"/>
          <w:rtl/>
        </w:rPr>
        <w:t>حيث وضع لإيجاد نفس الإشار</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55"/>
      </w:r>
      <w:r w:rsidR="009C58C8" w:rsidRPr="00FD211F">
        <w:rPr>
          <w:rStyle w:val="a6"/>
          <w:sz w:val="36"/>
          <w:szCs w:val="36"/>
          <w:rtl/>
        </w:rPr>
        <w:t>)</w:t>
      </w:r>
      <w:r w:rsidRPr="00FD211F">
        <w:rPr>
          <w:sz w:val="36"/>
          <w:szCs w:val="36"/>
          <w:rtl/>
        </w:rPr>
        <w:t>.</w:t>
      </w:r>
    </w:p>
    <w:p w14:paraId="144B8FB5" w14:textId="77777777" w:rsidR="000700AE" w:rsidRPr="00FD211F" w:rsidRDefault="000700AE" w:rsidP="009C58C8">
      <w:pPr>
        <w:ind w:left="0" w:firstLine="227"/>
        <w:jc w:val="both"/>
        <w:rPr>
          <w:sz w:val="36"/>
          <w:szCs w:val="36"/>
          <w:rtl/>
        </w:rPr>
      </w:pPr>
      <w:r w:rsidRPr="00FD211F">
        <w:rPr>
          <w:sz w:val="36"/>
          <w:szCs w:val="36"/>
          <w:rtl/>
        </w:rPr>
        <w:t>اقول:</w:t>
      </w:r>
      <w:r w:rsidR="008D7B3D" w:rsidRPr="00FD211F">
        <w:rPr>
          <w:sz w:val="36"/>
          <w:szCs w:val="36"/>
          <w:rtl/>
        </w:rPr>
        <w:t xml:space="preserve"> لم‌</w:t>
      </w:r>
      <w:r w:rsidRPr="00FD211F">
        <w:rPr>
          <w:sz w:val="36"/>
          <w:szCs w:val="36"/>
          <w:rtl/>
        </w:rPr>
        <w:t>يتضح الفرق بين ضمير الغائب</w:t>
      </w:r>
      <w:r w:rsidR="00C90353" w:rsidRPr="00FD211F">
        <w:rPr>
          <w:sz w:val="36"/>
          <w:szCs w:val="36"/>
          <w:rtl/>
        </w:rPr>
        <w:t xml:space="preserve"> والحاضر والمتكلم</w:t>
      </w:r>
      <w:r w:rsidR="00603323" w:rsidRPr="00FD211F">
        <w:rPr>
          <w:sz w:val="36"/>
          <w:szCs w:val="36"/>
          <w:rtl/>
        </w:rPr>
        <w:t xml:space="preserve">، </w:t>
      </w:r>
      <w:r w:rsidR="00C90353" w:rsidRPr="00FD211F">
        <w:rPr>
          <w:sz w:val="36"/>
          <w:szCs w:val="36"/>
          <w:rtl/>
        </w:rPr>
        <w:t>والظاهر وضعه</w:t>
      </w:r>
      <w:r w:rsidRPr="00FD211F">
        <w:rPr>
          <w:sz w:val="36"/>
          <w:szCs w:val="36"/>
          <w:rtl/>
        </w:rPr>
        <w:t>ا لواقع الذات الغائب او المخاطب او المتكلم المقترن</w:t>
      </w:r>
      <w:r w:rsidR="00EC7EDF" w:rsidRPr="00FD211F">
        <w:rPr>
          <w:sz w:val="36"/>
          <w:szCs w:val="36"/>
          <w:rtl/>
        </w:rPr>
        <w:t xml:space="preserve">ة </w:t>
      </w:r>
      <w:r w:rsidRPr="00FD211F">
        <w:rPr>
          <w:sz w:val="36"/>
          <w:szCs w:val="36"/>
          <w:rtl/>
        </w:rPr>
        <w:t>بالاشار</w:t>
      </w:r>
      <w:r w:rsidR="00EC7EDF" w:rsidRPr="00FD211F">
        <w:rPr>
          <w:sz w:val="36"/>
          <w:szCs w:val="36"/>
          <w:rtl/>
        </w:rPr>
        <w:t xml:space="preserve">ة </w:t>
      </w:r>
      <w:r w:rsidRPr="00FD211F">
        <w:rPr>
          <w:sz w:val="36"/>
          <w:szCs w:val="36"/>
          <w:rtl/>
        </w:rPr>
        <w:t>به اليه</w:t>
      </w:r>
      <w:r w:rsidR="00597596" w:rsidRPr="00FD211F">
        <w:rPr>
          <w:sz w:val="36"/>
          <w:szCs w:val="36"/>
          <w:rtl/>
        </w:rPr>
        <w:t>ا</w:t>
      </w:r>
      <w:r w:rsidR="00C90353" w:rsidRPr="00FD211F">
        <w:rPr>
          <w:sz w:val="36"/>
          <w:szCs w:val="36"/>
          <w:rtl/>
        </w:rPr>
        <w:t xml:space="preserve"> او التخاطب معه</w:t>
      </w:r>
      <w:r w:rsidR="00597596" w:rsidRPr="00FD211F">
        <w:rPr>
          <w:sz w:val="36"/>
          <w:szCs w:val="36"/>
          <w:rtl/>
        </w:rPr>
        <w:t>ا</w:t>
      </w:r>
      <w:r w:rsidR="00603323" w:rsidRPr="00FD211F">
        <w:rPr>
          <w:sz w:val="36"/>
          <w:szCs w:val="36"/>
          <w:rtl/>
        </w:rPr>
        <w:t xml:space="preserve">، </w:t>
      </w:r>
      <w:r w:rsidR="00C90353" w:rsidRPr="00FD211F">
        <w:rPr>
          <w:sz w:val="36"/>
          <w:szCs w:val="36"/>
          <w:rtl/>
        </w:rPr>
        <w:t>واما</w:t>
      </w:r>
      <w:r w:rsidRPr="00FD211F">
        <w:rPr>
          <w:sz w:val="36"/>
          <w:szCs w:val="36"/>
          <w:rtl/>
        </w:rPr>
        <w:t xml:space="preserve"> الموصولات</w:t>
      </w:r>
      <w:r w:rsidR="00C90353" w:rsidRPr="00FD211F">
        <w:rPr>
          <w:sz w:val="36"/>
          <w:szCs w:val="36"/>
          <w:rtl/>
        </w:rPr>
        <w:t xml:space="preserve"> فالظاهر</w:t>
      </w:r>
      <w:r w:rsidRPr="00FD211F">
        <w:rPr>
          <w:sz w:val="36"/>
          <w:szCs w:val="36"/>
          <w:rtl/>
        </w:rPr>
        <w:t xml:space="preserve"> انها</w:t>
      </w:r>
      <w:r w:rsidR="00C90353" w:rsidRPr="00FD211F">
        <w:rPr>
          <w:sz w:val="36"/>
          <w:szCs w:val="36"/>
          <w:rtl/>
        </w:rPr>
        <w:t xml:space="preserve"> باجمعها</w:t>
      </w:r>
      <w:r w:rsidRPr="00FD211F">
        <w:rPr>
          <w:sz w:val="36"/>
          <w:szCs w:val="36"/>
          <w:rtl/>
        </w:rPr>
        <w:t xml:space="preserve"> موضوع</w:t>
      </w:r>
      <w:r w:rsidR="00EC7EDF" w:rsidRPr="00FD211F">
        <w:rPr>
          <w:sz w:val="36"/>
          <w:szCs w:val="36"/>
          <w:rtl/>
        </w:rPr>
        <w:t xml:space="preserve">ة </w:t>
      </w:r>
      <w:r w:rsidRPr="00FD211F">
        <w:rPr>
          <w:sz w:val="36"/>
          <w:szCs w:val="36"/>
          <w:rtl/>
        </w:rPr>
        <w:t>لذات مبهم</w:t>
      </w:r>
      <w:r w:rsidR="00EC7EDF" w:rsidRPr="00FD211F">
        <w:rPr>
          <w:sz w:val="36"/>
          <w:szCs w:val="36"/>
          <w:rtl/>
        </w:rPr>
        <w:t xml:space="preserve">ة </w:t>
      </w:r>
      <w:r w:rsidRPr="00FD211F">
        <w:rPr>
          <w:sz w:val="36"/>
          <w:szCs w:val="36"/>
          <w:rtl/>
        </w:rPr>
        <w:t>يتوقع رفع ابهامه</w:t>
      </w:r>
      <w:r w:rsidR="008C64A3" w:rsidRPr="00FD211F">
        <w:rPr>
          <w:sz w:val="36"/>
          <w:szCs w:val="36"/>
          <w:rtl/>
        </w:rPr>
        <w:t>ا</w:t>
      </w:r>
      <w:r w:rsidRPr="00FD211F">
        <w:rPr>
          <w:sz w:val="36"/>
          <w:szCs w:val="36"/>
          <w:rtl/>
        </w:rPr>
        <w:t xml:space="preserve"> بالصل</w:t>
      </w:r>
      <w:r w:rsidR="00EC7EDF" w:rsidRPr="00FD211F">
        <w:rPr>
          <w:sz w:val="36"/>
          <w:szCs w:val="36"/>
          <w:rtl/>
        </w:rPr>
        <w:t>ة</w:t>
      </w:r>
      <w:r w:rsidR="00603323" w:rsidRPr="00FD211F">
        <w:rPr>
          <w:sz w:val="36"/>
          <w:szCs w:val="36"/>
          <w:rtl/>
        </w:rPr>
        <w:t xml:space="preserve">، </w:t>
      </w:r>
      <w:r w:rsidRPr="00FD211F">
        <w:rPr>
          <w:sz w:val="36"/>
          <w:szCs w:val="36"/>
          <w:rtl/>
        </w:rPr>
        <w:t>فقد يقال</w:t>
      </w:r>
      <w:r w:rsidR="008C64A3" w:rsidRPr="00FD211F">
        <w:rPr>
          <w:sz w:val="36"/>
          <w:szCs w:val="36"/>
          <w:rtl/>
        </w:rPr>
        <w:t>"</w:t>
      </w:r>
      <w:r w:rsidRPr="00FD211F">
        <w:rPr>
          <w:sz w:val="36"/>
          <w:szCs w:val="36"/>
          <w:rtl/>
        </w:rPr>
        <w:t xml:space="preserve"> اكرم الذي كان عالما</w:t>
      </w:r>
      <w:r w:rsidR="008C64A3" w:rsidRPr="00FD211F">
        <w:rPr>
          <w:sz w:val="36"/>
          <w:szCs w:val="36"/>
          <w:rtl/>
        </w:rPr>
        <w:t>"</w:t>
      </w:r>
      <w:r w:rsidRPr="00FD211F">
        <w:rPr>
          <w:sz w:val="36"/>
          <w:szCs w:val="36"/>
          <w:rtl/>
        </w:rPr>
        <w:t xml:space="preserve"> و</w:t>
      </w:r>
      <w:r w:rsidR="008C64A3" w:rsidRPr="00FD211F">
        <w:rPr>
          <w:sz w:val="36"/>
          <w:szCs w:val="36"/>
          <w:rtl/>
        </w:rPr>
        <w:t>"</w:t>
      </w:r>
      <w:r w:rsidRPr="00FD211F">
        <w:rPr>
          <w:sz w:val="36"/>
          <w:szCs w:val="36"/>
          <w:rtl/>
        </w:rPr>
        <w:t>اكرم من كان عالما</w:t>
      </w:r>
      <w:r w:rsidR="008C64A3" w:rsidRPr="00FD211F">
        <w:rPr>
          <w:sz w:val="36"/>
          <w:szCs w:val="36"/>
          <w:rtl/>
        </w:rPr>
        <w:t>"</w:t>
      </w:r>
      <w:r w:rsidRPr="00FD211F">
        <w:rPr>
          <w:sz w:val="36"/>
          <w:szCs w:val="36"/>
          <w:rtl/>
        </w:rPr>
        <w:t xml:space="preserve"> و</w:t>
      </w:r>
      <w:r w:rsidR="008C64A3" w:rsidRPr="00FD211F">
        <w:rPr>
          <w:sz w:val="36"/>
          <w:szCs w:val="36"/>
          <w:rtl/>
        </w:rPr>
        <w:t>"</w:t>
      </w:r>
      <w:r w:rsidRPr="00FD211F">
        <w:rPr>
          <w:sz w:val="36"/>
          <w:szCs w:val="36"/>
          <w:rtl/>
        </w:rPr>
        <w:t>من كان عالما فاكرمه</w:t>
      </w:r>
      <w:r w:rsidR="008C64A3" w:rsidRPr="00FD211F">
        <w:rPr>
          <w:sz w:val="36"/>
          <w:szCs w:val="36"/>
          <w:rtl/>
        </w:rPr>
        <w:t>"</w:t>
      </w:r>
      <w:r w:rsidRPr="00FD211F">
        <w:rPr>
          <w:sz w:val="36"/>
          <w:szCs w:val="36"/>
          <w:rtl/>
        </w:rPr>
        <w:t xml:space="preserve"> و</w:t>
      </w:r>
      <w:r w:rsidR="008C64A3" w:rsidRPr="00FD211F">
        <w:rPr>
          <w:sz w:val="36"/>
          <w:szCs w:val="36"/>
          <w:rtl/>
        </w:rPr>
        <w:t>"</w:t>
      </w:r>
      <w:r w:rsidRPr="00FD211F">
        <w:rPr>
          <w:sz w:val="36"/>
          <w:szCs w:val="36"/>
          <w:rtl/>
        </w:rPr>
        <w:t>الذي كان عالما فاكرمه</w:t>
      </w:r>
      <w:r w:rsidR="008C64A3" w:rsidRPr="00FD211F">
        <w:rPr>
          <w:sz w:val="36"/>
          <w:szCs w:val="36"/>
          <w:rtl/>
        </w:rPr>
        <w:t>"</w:t>
      </w:r>
      <w:r w:rsidRPr="00FD211F">
        <w:rPr>
          <w:sz w:val="36"/>
          <w:szCs w:val="36"/>
          <w:rtl/>
        </w:rPr>
        <w:t>.</w:t>
      </w:r>
    </w:p>
    <w:p w14:paraId="31D4C123" w14:textId="77777777" w:rsidR="00C90353" w:rsidRPr="00FD211F" w:rsidRDefault="000700AE" w:rsidP="009C58C8">
      <w:pPr>
        <w:ind w:left="0" w:firstLine="227"/>
        <w:jc w:val="both"/>
        <w:rPr>
          <w:sz w:val="36"/>
          <w:szCs w:val="36"/>
          <w:rtl/>
        </w:rPr>
      </w:pPr>
      <w:r w:rsidRPr="00FD211F">
        <w:rPr>
          <w:sz w:val="36"/>
          <w:szCs w:val="36"/>
          <w:rtl/>
        </w:rPr>
        <w:t>ثم انه يقع الكلام في ان الموضوع له في اسماء المبهمات خاص او عام فبناء على مسلك صاحب الكفاي</w:t>
      </w:r>
      <w:r w:rsidR="00EC7EDF" w:rsidRPr="00FD211F">
        <w:rPr>
          <w:sz w:val="36"/>
          <w:szCs w:val="36"/>
          <w:rtl/>
        </w:rPr>
        <w:t xml:space="preserve">ة </w:t>
      </w:r>
      <w:r w:rsidR="00A6761C" w:rsidRPr="00FD211F">
        <w:rPr>
          <w:sz w:val="36"/>
          <w:szCs w:val="36"/>
          <w:rtl/>
        </w:rPr>
        <w:t>"</w:t>
      </w:r>
      <w:r w:rsidRPr="00FD211F">
        <w:rPr>
          <w:sz w:val="36"/>
          <w:szCs w:val="36"/>
          <w:rtl/>
        </w:rPr>
        <w:t>قده</w:t>
      </w:r>
      <w:r w:rsidR="00A6761C" w:rsidRPr="00FD211F">
        <w:rPr>
          <w:sz w:val="36"/>
          <w:szCs w:val="36"/>
          <w:rtl/>
        </w:rPr>
        <w:t>"</w:t>
      </w:r>
      <w:r w:rsidR="00C90353" w:rsidRPr="00FD211F">
        <w:rPr>
          <w:sz w:val="36"/>
          <w:szCs w:val="36"/>
          <w:rtl/>
        </w:rPr>
        <w:t xml:space="preserve"> فلااشكال في كونه عاما.</w:t>
      </w:r>
    </w:p>
    <w:p w14:paraId="4A021FE6" w14:textId="77777777" w:rsidR="00C90353" w:rsidRPr="00FD211F" w:rsidRDefault="00C90353" w:rsidP="009C58C8">
      <w:pPr>
        <w:ind w:left="0" w:firstLine="227"/>
        <w:jc w:val="both"/>
        <w:rPr>
          <w:sz w:val="36"/>
          <w:szCs w:val="36"/>
          <w:rtl/>
        </w:rPr>
      </w:pPr>
      <w:r w:rsidRPr="00FD211F">
        <w:rPr>
          <w:sz w:val="36"/>
          <w:szCs w:val="36"/>
          <w:rtl/>
        </w:rPr>
        <w:t>واما</w:t>
      </w:r>
      <w:r w:rsidR="000700AE" w:rsidRPr="00FD211F">
        <w:rPr>
          <w:sz w:val="36"/>
          <w:szCs w:val="36"/>
          <w:rtl/>
        </w:rPr>
        <w:t xml:space="preserve"> بناء على كون معناه</w:t>
      </w:r>
      <w:r w:rsidRPr="00FD211F">
        <w:rPr>
          <w:sz w:val="36"/>
          <w:szCs w:val="36"/>
          <w:rtl/>
        </w:rPr>
        <w:t>ا</w:t>
      </w:r>
      <w:r w:rsidR="000700AE" w:rsidRPr="00FD211F">
        <w:rPr>
          <w:sz w:val="36"/>
          <w:szCs w:val="36"/>
          <w:rtl/>
        </w:rPr>
        <w:t xml:space="preserve"> ايجاد الاشار</w:t>
      </w:r>
      <w:r w:rsidR="00EC7EDF" w:rsidRPr="00FD211F">
        <w:rPr>
          <w:sz w:val="36"/>
          <w:szCs w:val="36"/>
          <w:rtl/>
        </w:rPr>
        <w:t xml:space="preserve">ة </w:t>
      </w:r>
      <w:r w:rsidRPr="00FD211F">
        <w:rPr>
          <w:sz w:val="36"/>
          <w:szCs w:val="36"/>
          <w:rtl/>
        </w:rPr>
        <w:t>بها فتكون</w:t>
      </w:r>
      <w:r w:rsidR="000700AE" w:rsidRPr="00FD211F">
        <w:rPr>
          <w:sz w:val="36"/>
          <w:szCs w:val="36"/>
          <w:rtl/>
        </w:rPr>
        <w:t xml:space="preserve"> كالحروف بل</w:t>
      </w:r>
      <w:r w:rsidRPr="00FD211F">
        <w:rPr>
          <w:sz w:val="36"/>
          <w:szCs w:val="36"/>
          <w:rtl/>
        </w:rPr>
        <w:t xml:space="preserve"> تكون من نفس الحروف</w:t>
      </w:r>
      <w:r w:rsidR="000700AE" w:rsidRPr="00FD211F">
        <w:rPr>
          <w:sz w:val="36"/>
          <w:szCs w:val="36"/>
          <w:rtl/>
        </w:rPr>
        <w:t xml:space="preserve"> لانه</w:t>
      </w:r>
      <w:r w:rsidRPr="00FD211F">
        <w:rPr>
          <w:sz w:val="36"/>
          <w:szCs w:val="36"/>
          <w:rtl/>
        </w:rPr>
        <w:t>ا</w:t>
      </w:r>
      <w:r w:rsidR="000700AE" w:rsidRPr="00FD211F">
        <w:rPr>
          <w:sz w:val="36"/>
          <w:szCs w:val="36"/>
          <w:rtl/>
        </w:rPr>
        <w:t xml:space="preserve"> لايحكم عليه</w:t>
      </w:r>
      <w:r w:rsidRPr="00FD211F">
        <w:rPr>
          <w:sz w:val="36"/>
          <w:szCs w:val="36"/>
          <w:rtl/>
        </w:rPr>
        <w:t>ا</w:t>
      </w:r>
      <w:r w:rsidR="000700AE" w:rsidRPr="00FD211F">
        <w:rPr>
          <w:sz w:val="36"/>
          <w:szCs w:val="36"/>
          <w:rtl/>
        </w:rPr>
        <w:t xml:space="preserve"> ولا</w:t>
      </w:r>
      <w:r w:rsidRPr="00FD211F">
        <w:rPr>
          <w:sz w:val="36"/>
          <w:szCs w:val="36"/>
          <w:rtl/>
        </w:rPr>
        <w:t>يحكم بها</w:t>
      </w:r>
      <w:r w:rsidR="00603323" w:rsidRPr="00FD211F">
        <w:rPr>
          <w:sz w:val="36"/>
          <w:szCs w:val="36"/>
          <w:rtl/>
        </w:rPr>
        <w:t xml:space="preserve">، </w:t>
      </w:r>
      <w:r w:rsidRPr="00FD211F">
        <w:rPr>
          <w:sz w:val="36"/>
          <w:szCs w:val="36"/>
          <w:rtl/>
        </w:rPr>
        <w:t>فيكون</w:t>
      </w:r>
      <w:r w:rsidR="000700AE" w:rsidRPr="00FD211F">
        <w:rPr>
          <w:sz w:val="36"/>
          <w:szCs w:val="36"/>
          <w:rtl/>
        </w:rPr>
        <w:t xml:space="preserve"> الموضوع</w:t>
      </w:r>
      <w:r w:rsidRPr="00FD211F">
        <w:rPr>
          <w:sz w:val="36"/>
          <w:szCs w:val="36"/>
          <w:rtl/>
        </w:rPr>
        <w:t xml:space="preserve"> في الحقيق</w:t>
      </w:r>
      <w:r w:rsidR="00EC7EDF" w:rsidRPr="00FD211F">
        <w:rPr>
          <w:sz w:val="36"/>
          <w:szCs w:val="36"/>
          <w:rtl/>
        </w:rPr>
        <w:t xml:space="preserve">ة </w:t>
      </w:r>
      <w:r w:rsidR="000700AE" w:rsidRPr="00FD211F">
        <w:rPr>
          <w:sz w:val="36"/>
          <w:szCs w:val="36"/>
          <w:rtl/>
        </w:rPr>
        <w:t>في قولنا هذا زيد هو الموجه اليه هذا</w:t>
      </w:r>
      <w:r w:rsidRPr="00FD211F">
        <w:rPr>
          <w:sz w:val="36"/>
          <w:szCs w:val="36"/>
          <w:rtl/>
        </w:rPr>
        <w:t xml:space="preserve"> لانفس هذا</w:t>
      </w:r>
      <w:r w:rsidR="00603323" w:rsidRPr="00FD211F">
        <w:rPr>
          <w:sz w:val="36"/>
          <w:szCs w:val="36"/>
          <w:rtl/>
        </w:rPr>
        <w:t xml:space="preserve">، </w:t>
      </w:r>
      <w:r w:rsidR="000700AE" w:rsidRPr="00FD211F">
        <w:rPr>
          <w:sz w:val="36"/>
          <w:szCs w:val="36"/>
          <w:rtl/>
        </w:rPr>
        <w:t xml:space="preserve">فيكون </w:t>
      </w:r>
      <w:r w:rsidRPr="00FD211F">
        <w:rPr>
          <w:sz w:val="36"/>
          <w:szCs w:val="36"/>
          <w:rtl/>
        </w:rPr>
        <w:t>الوضع فيها</w:t>
      </w:r>
      <w:r w:rsidR="00063777" w:rsidRPr="00FD211F">
        <w:rPr>
          <w:sz w:val="36"/>
          <w:szCs w:val="36"/>
          <w:rtl/>
        </w:rPr>
        <w:t xml:space="preserve"> عاما</w:t>
      </w:r>
      <w:r w:rsidRPr="00FD211F">
        <w:rPr>
          <w:sz w:val="36"/>
          <w:szCs w:val="36"/>
          <w:rtl/>
        </w:rPr>
        <w:t xml:space="preserve"> و</w:t>
      </w:r>
      <w:r w:rsidR="000700AE" w:rsidRPr="00FD211F">
        <w:rPr>
          <w:sz w:val="36"/>
          <w:szCs w:val="36"/>
          <w:rtl/>
        </w:rPr>
        <w:t>الموضوع له خاصا</w:t>
      </w:r>
      <w:r w:rsidRPr="00FD211F">
        <w:rPr>
          <w:sz w:val="36"/>
          <w:szCs w:val="36"/>
          <w:rtl/>
        </w:rPr>
        <w:t>.</w:t>
      </w:r>
    </w:p>
    <w:p w14:paraId="4E8E9FA2" w14:textId="77777777" w:rsidR="00C90353" w:rsidRPr="00FD211F" w:rsidRDefault="000700AE" w:rsidP="009C58C8">
      <w:pPr>
        <w:ind w:left="0" w:firstLine="227"/>
        <w:jc w:val="both"/>
        <w:rPr>
          <w:sz w:val="36"/>
          <w:szCs w:val="36"/>
          <w:rtl/>
        </w:rPr>
      </w:pPr>
      <w:r w:rsidRPr="00FD211F">
        <w:rPr>
          <w:sz w:val="36"/>
          <w:szCs w:val="36"/>
          <w:rtl/>
        </w:rPr>
        <w:t>وكذ</w:t>
      </w:r>
      <w:r w:rsidR="00C90353" w:rsidRPr="00FD211F">
        <w:rPr>
          <w:sz w:val="36"/>
          <w:szCs w:val="36"/>
          <w:rtl/>
        </w:rPr>
        <w:t>لك</w:t>
      </w:r>
      <w:r w:rsidRPr="00FD211F">
        <w:rPr>
          <w:sz w:val="36"/>
          <w:szCs w:val="36"/>
          <w:rtl/>
        </w:rPr>
        <w:t xml:space="preserve"> بناء على </w:t>
      </w:r>
      <w:r w:rsidR="00C90353" w:rsidRPr="00FD211F">
        <w:rPr>
          <w:sz w:val="36"/>
          <w:szCs w:val="36"/>
          <w:rtl/>
        </w:rPr>
        <w:t xml:space="preserve">كون معنى </w:t>
      </w:r>
      <w:r w:rsidRPr="00FD211F">
        <w:rPr>
          <w:sz w:val="36"/>
          <w:szCs w:val="36"/>
          <w:rtl/>
        </w:rPr>
        <w:t>اسم الاشار</w:t>
      </w:r>
      <w:r w:rsidR="00EC7EDF" w:rsidRPr="00FD211F">
        <w:rPr>
          <w:sz w:val="36"/>
          <w:szCs w:val="36"/>
          <w:rtl/>
        </w:rPr>
        <w:t xml:space="preserve">ة </w:t>
      </w:r>
      <w:r w:rsidRPr="00FD211F">
        <w:rPr>
          <w:sz w:val="36"/>
          <w:szCs w:val="36"/>
          <w:rtl/>
        </w:rPr>
        <w:t>والضم</w:t>
      </w:r>
      <w:r w:rsidR="00C90353" w:rsidRPr="00FD211F">
        <w:rPr>
          <w:sz w:val="36"/>
          <w:szCs w:val="36"/>
          <w:rtl/>
        </w:rPr>
        <w:t>ي</w:t>
      </w:r>
      <w:r w:rsidR="00597596" w:rsidRPr="00FD211F">
        <w:rPr>
          <w:sz w:val="36"/>
          <w:szCs w:val="36"/>
          <w:rtl/>
        </w:rPr>
        <w:t>ر</w:t>
      </w:r>
      <w:r w:rsidR="00C90353" w:rsidRPr="00FD211F">
        <w:rPr>
          <w:sz w:val="36"/>
          <w:szCs w:val="36"/>
          <w:rtl/>
        </w:rPr>
        <w:t xml:space="preserve"> هو</w:t>
      </w:r>
      <w:r w:rsidRPr="00FD211F">
        <w:rPr>
          <w:sz w:val="36"/>
          <w:szCs w:val="36"/>
          <w:rtl/>
        </w:rPr>
        <w:t xml:space="preserve"> الذات</w:t>
      </w:r>
      <w:r w:rsidR="00C90353" w:rsidRPr="00FD211F">
        <w:rPr>
          <w:sz w:val="36"/>
          <w:szCs w:val="36"/>
          <w:rtl/>
        </w:rPr>
        <w:t xml:space="preserve"> </w:t>
      </w:r>
      <w:r w:rsidR="00597596" w:rsidRPr="00FD211F">
        <w:rPr>
          <w:sz w:val="36"/>
          <w:szCs w:val="36"/>
          <w:rtl/>
        </w:rPr>
        <w:t>التي تك</w:t>
      </w:r>
      <w:r w:rsidR="00C90353" w:rsidRPr="00FD211F">
        <w:rPr>
          <w:sz w:val="36"/>
          <w:szCs w:val="36"/>
          <w:rtl/>
        </w:rPr>
        <w:t>ون طرفا لواقع</w:t>
      </w:r>
      <w:r w:rsidRPr="00FD211F">
        <w:rPr>
          <w:sz w:val="36"/>
          <w:szCs w:val="36"/>
          <w:rtl/>
        </w:rPr>
        <w:t xml:space="preserve"> الاشار</w:t>
      </w:r>
      <w:r w:rsidR="00EC7EDF" w:rsidRPr="00FD211F">
        <w:rPr>
          <w:sz w:val="36"/>
          <w:szCs w:val="36"/>
          <w:rtl/>
        </w:rPr>
        <w:t xml:space="preserve">ة </w:t>
      </w:r>
      <w:r w:rsidRPr="00FD211F">
        <w:rPr>
          <w:sz w:val="36"/>
          <w:szCs w:val="36"/>
          <w:rtl/>
        </w:rPr>
        <w:t>بها مثلا</w:t>
      </w:r>
      <w:r w:rsidR="00C90353" w:rsidRPr="00FD211F">
        <w:rPr>
          <w:sz w:val="36"/>
          <w:szCs w:val="36"/>
          <w:rtl/>
        </w:rPr>
        <w:t>.</w:t>
      </w:r>
    </w:p>
    <w:p w14:paraId="508EE4F7" w14:textId="77777777" w:rsidR="000700AE" w:rsidRPr="00FD211F" w:rsidRDefault="000700AE" w:rsidP="009C58C8">
      <w:pPr>
        <w:ind w:left="0" w:firstLine="227"/>
        <w:jc w:val="both"/>
        <w:rPr>
          <w:sz w:val="36"/>
          <w:szCs w:val="36"/>
          <w:rtl/>
        </w:rPr>
      </w:pPr>
      <w:r w:rsidRPr="00FD211F">
        <w:rPr>
          <w:sz w:val="36"/>
          <w:szCs w:val="36"/>
          <w:rtl/>
        </w:rPr>
        <w:t>واما بناء على</w:t>
      </w:r>
      <w:r w:rsidR="008C64A3" w:rsidRPr="00FD211F">
        <w:rPr>
          <w:sz w:val="36"/>
          <w:szCs w:val="36"/>
          <w:rtl/>
        </w:rPr>
        <w:t xml:space="preserve"> ما استظهرناه</w:t>
      </w:r>
      <w:r w:rsidRPr="00FD211F">
        <w:rPr>
          <w:sz w:val="36"/>
          <w:szCs w:val="36"/>
          <w:rtl/>
        </w:rPr>
        <w:t xml:space="preserve"> من ان معناه</w:t>
      </w:r>
      <w:r w:rsidR="0057475A" w:rsidRPr="00FD211F">
        <w:rPr>
          <w:sz w:val="36"/>
          <w:szCs w:val="36"/>
          <w:rtl/>
        </w:rPr>
        <w:t>ا</w:t>
      </w:r>
      <w:r w:rsidRPr="00FD211F">
        <w:rPr>
          <w:sz w:val="36"/>
          <w:szCs w:val="36"/>
          <w:rtl/>
        </w:rPr>
        <w:t xml:space="preserve"> الذات الواقع</w:t>
      </w:r>
      <w:r w:rsidR="00EC7EDF" w:rsidRPr="00FD211F">
        <w:rPr>
          <w:sz w:val="36"/>
          <w:szCs w:val="36"/>
          <w:rtl/>
        </w:rPr>
        <w:t xml:space="preserve">ة </w:t>
      </w:r>
      <w:r w:rsidR="0057475A" w:rsidRPr="00FD211F">
        <w:rPr>
          <w:sz w:val="36"/>
          <w:szCs w:val="36"/>
          <w:rtl/>
        </w:rPr>
        <w:t>طرفا ل</w:t>
      </w:r>
      <w:r w:rsidRPr="00FD211F">
        <w:rPr>
          <w:sz w:val="36"/>
          <w:szCs w:val="36"/>
          <w:rtl/>
        </w:rPr>
        <w:t>لاشار</w:t>
      </w:r>
      <w:r w:rsidR="00EC7EDF" w:rsidRPr="00FD211F">
        <w:rPr>
          <w:sz w:val="36"/>
          <w:szCs w:val="36"/>
          <w:rtl/>
        </w:rPr>
        <w:t xml:space="preserve">ة </w:t>
      </w:r>
      <w:r w:rsidRPr="00FD211F">
        <w:rPr>
          <w:sz w:val="36"/>
          <w:szCs w:val="36"/>
          <w:rtl/>
        </w:rPr>
        <w:t>تصورا</w:t>
      </w:r>
      <w:r w:rsidR="00603323" w:rsidRPr="00FD211F">
        <w:rPr>
          <w:sz w:val="36"/>
          <w:szCs w:val="36"/>
          <w:rtl/>
        </w:rPr>
        <w:t xml:space="preserve">، </w:t>
      </w:r>
      <w:r w:rsidRPr="00FD211F">
        <w:rPr>
          <w:sz w:val="36"/>
          <w:szCs w:val="36"/>
          <w:rtl/>
        </w:rPr>
        <w:t>فقد يقال</w:t>
      </w:r>
      <w:r w:rsidR="0057475A" w:rsidRPr="00FD211F">
        <w:rPr>
          <w:sz w:val="36"/>
          <w:szCs w:val="36"/>
          <w:rtl/>
        </w:rPr>
        <w:t xml:space="preserve"> بان الموضوع له يكون عاما حيث ان لفظ "هذا" موضوع لمفهوم الذات الواقع</w:t>
      </w:r>
      <w:r w:rsidR="00EC7EDF" w:rsidRPr="00FD211F">
        <w:rPr>
          <w:sz w:val="36"/>
          <w:szCs w:val="36"/>
          <w:rtl/>
        </w:rPr>
        <w:t xml:space="preserve">ة </w:t>
      </w:r>
      <w:r w:rsidR="0057475A" w:rsidRPr="00FD211F">
        <w:rPr>
          <w:sz w:val="36"/>
          <w:szCs w:val="36"/>
          <w:rtl/>
        </w:rPr>
        <w:t>طرفا للإشار</w:t>
      </w:r>
      <w:r w:rsidR="00EC7EDF" w:rsidRPr="00FD211F">
        <w:rPr>
          <w:sz w:val="36"/>
          <w:szCs w:val="36"/>
          <w:rtl/>
        </w:rPr>
        <w:t>ة</w:t>
      </w:r>
      <w:r w:rsidR="00603323" w:rsidRPr="00FD211F">
        <w:rPr>
          <w:sz w:val="36"/>
          <w:szCs w:val="36"/>
          <w:rtl/>
        </w:rPr>
        <w:t xml:space="preserve">، </w:t>
      </w:r>
      <w:r w:rsidRPr="00FD211F">
        <w:rPr>
          <w:sz w:val="36"/>
          <w:szCs w:val="36"/>
          <w:rtl/>
        </w:rPr>
        <w:t>ولكن يلاحظ عليه ان الموضوع له للفظ</w:t>
      </w:r>
      <w:r w:rsidR="00EC7EDF" w:rsidRPr="00FD211F">
        <w:rPr>
          <w:sz w:val="36"/>
          <w:szCs w:val="36"/>
          <w:rtl/>
        </w:rPr>
        <w:t xml:space="preserve">ة </w:t>
      </w:r>
      <w:r w:rsidRPr="00FD211F">
        <w:rPr>
          <w:sz w:val="36"/>
          <w:szCs w:val="36"/>
          <w:rtl/>
        </w:rPr>
        <w:t>هذا مثلا</w:t>
      </w:r>
      <w:r w:rsidR="0057475A" w:rsidRPr="00FD211F">
        <w:rPr>
          <w:sz w:val="36"/>
          <w:szCs w:val="36"/>
          <w:rtl/>
        </w:rPr>
        <w:t xml:space="preserve"> ليس الذات</w:t>
      </w:r>
      <w:r w:rsidRPr="00FD211F">
        <w:rPr>
          <w:sz w:val="36"/>
          <w:szCs w:val="36"/>
          <w:rtl/>
        </w:rPr>
        <w:t xml:space="preserve"> الواقع</w:t>
      </w:r>
      <w:r w:rsidR="00EC7EDF" w:rsidRPr="00FD211F">
        <w:rPr>
          <w:sz w:val="36"/>
          <w:szCs w:val="36"/>
          <w:rtl/>
        </w:rPr>
        <w:t xml:space="preserve">ة </w:t>
      </w:r>
      <w:r w:rsidR="0057475A" w:rsidRPr="00FD211F">
        <w:rPr>
          <w:sz w:val="36"/>
          <w:szCs w:val="36"/>
          <w:rtl/>
        </w:rPr>
        <w:t>طرفا للإشار</w:t>
      </w:r>
      <w:r w:rsidR="00EC7EDF" w:rsidRPr="00FD211F">
        <w:rPr>
          <w:sz w:val="36"/>
          <w:szCs w:val="36"/>
          <w:rtl/>
        </w:rPr>
        <w:t xml:space="preserve">ة </w:t>
      </w:r>
      <w:r w:rsidRPr="00FD211F">
        <w:rPr>
          <w:sz w:val="36"/>
          <w:szCs w:val="36"/>
          <w:rtl/>
        </w:rPr>
        <w:t>مطلقا</w:t>
      </w:r>
      <w:r w:rsidR="0057475A" w:rsidRPr="00FD211F">
        <w:rPr>
          <w:sz w:val="36"/>
          <w:szCs w:val="36"/>
          <w:rtl/>
        </w:rPr>
        <w:t xml:space="preserve"> ولاالذات الواقع</w:t>
      </w:r>
      <w:r w:rsidR="00EC7EDF" w:rsidRPr="00FD211F">
        <w:rPr>
          <w:sz w:val="36"/>
          <w:szCs w:val="36"/>
          <w:rtl/>
        </w:rPr>
        <w:t xml:space="preserve">ة </w:t>
      </w:r>
      <w:r w:rsidR="0057475A" w:rsidRPr="00FD211F">
        <w:rPr>
          <w:sz w:val="36"/>
          <w:szCs w:val="36"/>
          <w:rtl/>
        </w:rPr>
        <w:t>طرفا للإشار</w:t>
      </w:r>
      <w:r w:rsidR="00EC7EDF" w:rsidRPr="00FD211F">
        <w:rPr>
          <w:sz w:val="36"/>
          <w:szCs w:val="36"/>
          <w:rtl/>
        </w:rPr>
        <w:t xml:space="preserve">ة </w:t>
      </w:r>
      <w:r w:rsidR="0057475A" w:rsidRPr="00FD211F">
        <w:rPr>
          <w:sz w:val="36"/>
          <w:szCs w:val="36"/>
          <w:rtl/>
        </w:rPr>
        <w:t>بطبيعي</w:t>
      </w:r>
      <w:r w:rsidRPr="00FD211F">
        <w:rPr>
          <w:sz w:val="36"/>
          <w:szCs w:val="36"/>
          <w:rtl/>
        </w:rPr>
        <w:t xml:space="preserve"> لفظ</w:t>
      </w:r>
      <w:r w:rsidR="00EC7EDF" w:rsidRPr="00FD211F">
        <w:rPr>
          <w:sz w:val="36"/>
          <w:szCs w:val="36"/>
          <w:rtl/>
        </w:rPr>
        <w:t xml:space="preserve">ة </w:t>
      </w:r>
      <w:r w:rsidRPr="00FD211F">
        <w:rPr>
          <w:sz w:val="36"/>
          <w:szCs w:val="36"/>
          <w:rtl/>
        </w:rPr>
        <w:t>هذا</w:t>
      </w:r>
      <w:r w:rsidR="0057475A" w:rsidRPr="00FD211F">
        <w:rPr>
          <w:sz w:val="36"/>
          <w:szCs w:val="36"/>
          <w:rtl/>
        </w:rPr>
        <w:t xml:space="preserve"> وانما هو الذات الواقع</w:t>
      </w:r>
      <w:r w:rsidR="00EC7EDF" w:rsidRPr="00FD211F">
        <w:rPr>
          <w:sz w:val="36"/>
          <w:szCs w:val="36"/>
          <w:rtl/>
        </w:rPr>
        <w:t xml:space="preserve">ة </w:t>
      </w:r>
      <w:r w:rsidR="0057475A" w:rsidRPr="00FD211F">
        <w:rPr>
          <w:sz w:val="36"/>
          <w:szCs w:val="36"/>
          <w:rtl/>
        </w:rPr>
        <w:t>طرفا للإشار</w:t>
      </w:r>
      <w:r w:rsidR="00EC7EDF" w:rsidRPr="00FD211F">
        <w:rPr>
          <w:sz w:val="36"/>
          <w:szCs w:val="36"/>
          <w:rtl/>
        </w:rPr>
        <w:t xml:space="preserve">ة </w:t>
      </w:r>
      <w:r w:rsidR="0057475A" w:rsidRPr="00FD211F">
        <w:rPr>
          <w:sz w:val="36"/>
          <w:szCs w:val="36"/>
          <w:rtl/>
        </w:rPr>
        <w:t>بشخص لفظ</w:t>
      </w:r>
      <w:r w:rsidR="00EC7EDF" w:rsidRPr="00FD211F">
        <w:rPr>
          <w:sz w:val="36"/>
          <w:szCs w:val="36"/>
          <w:rtl/>
        </w:rPr>
        <w:t xml:space="preserve">ة </w:t>
      </w:r>
      <w:r w:rsidR="0057475A" w:rsidRPr="00FD211F">
        <w:rPr>
          <w:sz w:val="36"/>
          <w:szCs w:val="36"/>
          <w:rtl/>
        </w:rPr>
        <w:t>"هذا" المستعمل</w:t>
      </w:r>
      <w:r w:rsidR="00EC7EDF" w:rsidRPr="00FD211F">
        <w:rPr>
          <w:sz w:val="36"/>
          <w:szCs w:val="36"/>
          <w:rtl/>
        </w:rPr>
        <w:t xml:space="preserve">ة </w:t>
      </w:r>
      <w:r w:rsidR="0057475A" w:rsidRPr="00FD211F">
        <w:rPr>
          <w:sz w:val="36"/>
          <w:szCs w:val="36"/>
          <w:rtl/>
        </w:rPr>
        <w:t xml:space="preserve">في نفس الكلام </w:t>
      </w:r>
      <w:r w:rsidR="00BD2100" w:rsidRPr="00FD211F">
        <w:rPr>
          <w:sz w:val="36"/>
          <w:szCs w:val="36"/>
          <w:rtl/>
        </w:rPr>
        <w:t>وهذا يوجب كون الموضوع له خ</w:t>
      </w:r>
      <w:r w:rsidR="002E1DFD" w:rsidRPr="00FD211F">
        <w:rPr>
          <w:sz w:val="36"/>
          <w:szCs w:val="36"/>
          <w:rtl/>
        </w:rPr>
        <w:t>اصا</w:t>
      </w:r>
      <w:r w:rsidR="00BD2100" w:rsidRPr="00FD211F">
        <w:rPr>
          <w:sz w:val="36"/>
          <w:szCs w:val="36"/>
          <w:rtl/>
        </w:rPr>
        <w:t>.</w:t>
      </w:r>
    </w:p>
    <w:p w14:paraId="14F2ACC7" w14:textId="77777777" w:rsidR="00BD2100" w:rsidRPr="00FD211F" w:rsidRDefault="00BD2100" w:rsidP="009C58C8">
      <w:pPr>
        <w:ind w:left="0" w:firstLine="227"/>
        <w:jc w:val="both"/>
        <w:rPr>
          <w:sz w:val="36"/>
          <w:szCs w:val="36"/>
          <w:rtl/>
        </w:rPr>
      </w:pPr>
      <w:r w:rsidRPr="00FD211F">
        <w:rPr>
          <w:sz w:val="36"/>
          <w:szCs w:val="36"/>
          <w:rtl/>
        </w:rPr>
        <w:t>ثم انه في اسماء الموصولات يكون وجه كون الموضوع له خاصا هو عدم ترادفها مع لفظ</w:t>
      </w:r>
      <w:r w:rsidR="00EC7EDF" w:rsidRPr="00FD211F">
        <w:rPr>
          <w:sz w:val="36"/>
          <w:szCs w:val="36"/>
          <w:rtl/>
        </w:rPr>
        <w:t xml:space="preserve">ة </w:t>
      </w:r>
      <w:r w:rsidR="007249AF" w:rsidRPr="00FD211F">
        <w:rPr>
          <w:sz w:val="36"/>
          <w:szCs w:val="36"/>
          <w:rtl/>
        </w:rPr>
        <w:t>"</w:t>
      </w:r>
      <w:r w:rsidRPr="00FD211F">
        <w:rPr>
          <w:sz w:val="36"/>
          <w:szCs w:val="36"/>
          <w:rtl/>
        </w:rPr>
        <w:t>الذات المبهم</w:t>
      </w:r>
      <w:r w:rsidR="00EC7EDF" w:rsidRPr="00FD211F">
        <w:rPr>
          <w:sz w:val="36"/>
          <w:szCs w:val="36"/>
          <w:rtl/>
        </w:rPr>
        <w:t xml:space="preserve">ة </w:t>
      </w:r>
      <w:r w:rsidRPr="00FD211F">
        <w:rPr>
          <w:sz w:val="36"/>
          <w:szCs w:val="36"/>
          <w:rtl/>
        </w:rPr>
        <w:t>الذي يتوقع رفع ابهامه</w:t>
      </w:r>
      <w:r w:rsidR="00597596" w:rsidRPr="00FD211F">
        <w:rPr>
          <w:sz w:val="36"/>
          <w:szCs w:val="36"/>
          <w:rtl/>
        </w:rPr>
        <w:t>ا</w:t>
      </w:r>
      <w:r w:rsidRPr="00FD211F">
        <w:rPr>
          <w:sz w:val="36"/>
          <w:szCs w:val="36"/>
          <w:rtl/>
        </w:rPr>
        <w:t xml:space="preserve"> بالصل</w:t>
      </w:r>
      <w:r w:rsidR="00EC7EDF" w:rsidRPr="00FD211F">
        <w:rPr>
          <w:sz w:val="36"/>
          <w:szCs w:val="36"/>
          <w:rtl/>
        </w:rPr>
        <w:t>ة</w:t>
      </w:r>
      <w:r w:rsidR="007249AF" w:rsidRPr="00FD211F">
        <w:rPr>
          <w:sz w:val="36"/>
          <w:szCs w:val="36"/>
          <w:rtl/>
        </w:rPr>
        <w:t>"</w:t>
      </w:r>
      <w:r w:rsidR="00EC7EDF" w:rsidRPr="00FD211F">
        <w:rPr>
          <w:sz w:val="36"/>
          <w:szCs w:val="36"/>
          <w:rtl/>
        </w:rPr>
        <w:t xml:space="preserve"> </w:t>
      </w:r>
      <w:r w:rsidRPr="00FD211F">
        <w:rPr>
          <w:sz w:val="36"/>
          <w:szCs w:val="36"/>
          <w:rtl/>
        </w:rPr>
        <w:t>بل موضوع للذات المبهم</w:t>
      </w:r>
      <w:r w:rsidR="00EC7EDF" w:rsidRPr="00FD211F">
        <w:rPr>
          <w:sz w:val="36"/>
          <w:szCs w:val="36"/>
          <w:rtl/>
        </w:rPr>
        <w:t xml:space="preserve">ة </w:t>
      </w:r>
      <w:r w:rsidRPr="00FD211F">
        <w:rPr>
          <w:sz w:val="36"/>
          <w:szCs w:val="36"/>
          <w:rtl/>
        </w:rPr>
        <w:t>المتقيد</w:t>
      </w:r>
      <w:r w:rsidR="00EC7EDF" w:rsidRPr="00FD211F">
        <w:rPr>
          <w:sz w:val="36"/>
          <w:szCs w:val="36"/>
          <w:rtl/>
        </w:rPr>
        <w:t xml:space="preserve">ة </w:t>
      </w:r>
      <w:r w:rsidRPr="00FD211F">
        <w:rPr>
          <w:sz w:val="36"/>
          <w:szCs w:val="36"/>
          <w:rtl/>
        </w:rPr>
        <w:t>بواقع هذه الحال</w:t>
      </w:r>
      <w:r w:rsidR="00EC7EDF" w:rsidRPr="00FD211F">
        <w:rPr>
          <w:sz w:val="36"/>
          <w:szCs w:val="36"/>
          <w:rtl/>
        </w:rPr>
        <w:t>ة</w:t>
      </w:r>
      <w:r w:rsidR="00A61BAE" w:rsidRPr="00FD211F">
        <w:rPr>
          <w:sz w:val="36"/>
          <w:szCs w:val="36"/>
          <w:rtl/>
        </w:rPr>
        <w:t>.</w:t>
      </w:r>
    </w:p>
    <w:p w14:paraId="3CDB07FD" w14:textId="77777777" w:rsidR="009E5A6D" w:rsidRPr="00FD211F" w:rsidRDefault="009E5A6D" w:rsidP="009C58C8">
      <w:pPr>
        <w:ind w:left="0" w:firstLine="227"/>
        <w:jc w:val="both"/>
        <w:rPr>
          <w:sz w:val="36"/>
          <w:szCs w:val="36"/>
          <w:rtl/>
        </w:rPr>
      </w:pPr>
      <w:r w:rsidRPr="00FD211F">
        <w:rPr>
          <w:sz w:val="36"/>
          <w:szCs w:val="36"/>
          <w:rtl/>
        </w:rPr>
        <w:t>هذا تمام الكلام في المقام الاول وهو البحث التحليلي عن معاني الحروف والهيئات وما يلحق بها.</w:t>
      </w:r>
    </w:p>
    <w:p w14:paraId="39CE4981" w14:textId="77777777" w:rsidR="00970376" w:rsidRPr="00FD211F" w:rsidRDefault="00970376" w:rsidP="009C58C8">
      <w:pPr>
        <w:pStyle w:val="3"/>
        <w:ind w:firstLine="227"/>
        <w:jc w:val="both"/>
        <w:rPr>
          <w:rtl/>
        </w:rPr>
      </w:pPr>
      <w:bookmarkStart w:id="262" w:name="_Toc192092896"/>
      <w:bookmarkStart w:id="263" w:name="_Toc223890374"/>
      <w:r w:rsidRPr="00FD211F">
        <w:rPr>
          <w:rtl/>
        </w:rPr>
        <w:t>المقام الثاني في ان وضع الحروف والهيئات من قبيل الوضع العام والموضوع له الخاص</w:t>
      </w:r>
      <w:bookmarkEnd w:id="262"/>
      <w:bookmarkEnd w:id="263"/>
    </w:p>
    <w:p w14:paraId="39E6B67A" w14:textId="77777777" w:rsidR="000C5BBA" w:rsidRPr="00FD211F" w:rsidRDefault="00970376" w:rsidP="009C58C8">
      <w:pPr>
        <w:ind w:left="0" w:firstLine="227"/>
        <w:jc w:val="both"/>
        <w:rPr>
          <w:sz w:val="36"/>
          <w:szCs w:val="36"/>
          <w:rtl/>
        </w:rPr>
      </w:pPr>
      <w:r w:rsidRPr="00FD211F">
        <w:rPr>
          <w:sz w:val="36"/>
          <w:szCs w:val="36"/>
          <w:rtl/>
        </w:rPr>
        <w:t>يقع الكلام في ان وضع الحروف والهيئات من قبيل الوضع العام والموضوع له الخاص كما عليه المشهور او انه من قبيل الوضع العام والموضوع له العام كما عليه صاحب الكفاي</w:t>
      </w:r>
      <w:r w:rsidR="00EC7EDF" w:rsidRPr="00FD211F">
        <w:rPr>
          <w:sz w:val="36"/>
          <w:szCs w:val="36"/>
          <w:rtl/>
        </w:rPr>
        <w:t xml:space="preserve">ة </w:t>
      </w:r>
      <w:r w:rsidRPr="00FD211F">
        <w:rPr>
          <w:sz w:val="36"/>
          <w:szCs w:val="36"/>
          <w:rtl/>
        </w:rPr>
        <w:t>والمحقق العراقي</w:t>
      </w:r>
      <w:r w:rsidR="00B31DA1" w:rsidRPr="00FD211F">
        <w:rPr>
          <w:sz w:val="36"/>
          <w:szCs w:val="36"/>
          <w:rtl/>
        </w:rPr>
        <w:t>"</w:t>
      </w:r>
      <w:r w:rsidRPr="00FD211F">
        <w:rPr>
          <w:sz w:val="36"/>
          <w:szCs w:val="36"/>
          <w:rtl/>
        </w:rPr>
        <w:t xml:space="preserve"> قدهما</w:t>
      </w:r>
      <w:r w:rsidR="00B31DA1" w:rsidRPr="00FD211F">
        <w:rPr>
          <w:sz w:val="36"/>
          <w:szCs w:val="36"/>
          <w:rtl/>
        </w:rPr>
        <w:t>"</w:t>
      </w:r>
      <w:r w:rsidR="00A6761C" w:rsidRPr="00FD211F">
        <w:rPr>
          <w:sz w:val="36"/>
          <w:szCs w:val="36"/>
          <w:rtl/>
        </w:rPr>
        <w:t>.</w:t>
      </w:r>
    </w:p>
    <w:p w14:paraId="62F32D47" w14:textId="77777777" w:rsidR="00970376" w:rsidRPr="00FD211F" w:rsidRDefault="00970376" w:rsidP="009C58C8">
      <w:pPr>
        <w:ind w:left="0" w:firstLine="227"/>
        <w:jc w:val="both"/>
        <w:rPr>
          <w:sz w:val="36"/>
          <w:szCs w:val="36"/>
          <w:rtl/>
        </w:rPr>
      </w:pPr>
      <w:r w:rsidRPr="00FD211F">
        <w:rPr>
          <w:sz w:val="36"/>
          <w:szCs w:val="36"/>
          <w:rtl/>
        </w:rPr>
        <w:t>ومقتضى التحقيق ان يقال انه بناء على مسلك صاحب الكفاي</w:t>
      </w:r>
      <w:r w:rsidR="00EC7EDF" w:rsidRPr="00FD211F">
        <w:rPr>
          <w:sz w:val="36"/>
          <w:szCs w:val="36"/>
          <w:rtl/>
        </w:rPr>
        <w:t xml:space="preserve">ة </w:t>
      </w:r>
      <w:r w:rsidRPr="00FD211F">
        <w:rPr>
          <w:sz w:val="36"/>
          <w:szCs w:val="36"/>
          <w:rtl/>
        </w:rPr>
        <w:t>من كون معنى الأسماء ومعنى الحروف والهيئات واحدا وان الاختلاف بينها في شرط الواضع كون لحاظ معاني الأسماء استقلاليا وكون لحاظ معنى الحروف والهيئات آليا فمن الواضح ان الموضوع له في الحروف يكون عاما</w:t>
      </w:r>
      <w:r w:rsidR="00603323" w:rsidRPr="00FD211F">
        <w:rPr>
          <w:sz w:val="36"/>
          <w:szCs w:val="36"/>
          <w:rtl/>
        </w:rPr>
        <w:t xml:space="preserve">، </w:t>
      </w:r>
      <w:r w:rsidRPr="00FD211F">
        <w:rPr>
          <w:sz w:val="36"/>
          <w:szCs w:val="36"/>
          <w:rtl/>
        </w:rPr>
        <w:t>فمفاد "من" في قوله "سر من البصر</w:t>
      </w:r>
      <w:r w:rsidR="00EC7EDF" w:rsidRPr="00FD211F">
        <w:rPr>
          <w:sz w:val="36"/>
          <w:szCs w:val="36"/>
          <w:rtl/>
        </w:rPr>
        <w:t xml:space="preserve">ة </w:t>
      </w:r>
      <w:r w:rsidRPr="00FD211F">
        <w:rPr>
          <w:sz w:val="36"/>
          <w:szCs w:val="36"/>
          <w:rtl/>
        </w:rPr>
        <w:t>" هو الابتداء</w:t>
      </w:r>
      <w:r w:rsidR="00603323" w:rsidRPr="00FD211F">
        <w:rPr>
          <w:sz w:val="36"/>
          <w:szCs w:val="36"/>
          <w:rtl/>
        </w:rPr>
        <w:t xml:space="preserve">، </w:t>
      </w:r>
      <w:r w:rsidRPr="00FD211F">
        <w:rPr>
          <w:sz w:val="36"/>
          <w:szCs w:val="36"/>
          <w:rtl/>
        </w:rPr>
        <w:t>وليس معنى جزئيا حيث يصدق على السير من ايّ جزء من أجزاء البصر</w:t>
      </w:r>
      <w:r w:rsidR="00EC7EDF" w:rsidRPr="00FD211F">
        <w:rPr>
          <w:sz w:val="36"/>
          <w:szCs w:val="36"/>
          <w:rtl/>
        </w:rPr>
        <w:t>ة</w:t>
      </w:r>
      <w:r w:rsidR="00A61BAE" w:rsidRPr="00FD211F">
        <w:rPr>
          <w:sz w:val="36"/>
          <w:szCs w:val="36"/>
          <w:rtl/>
        </w:rPr>
        <w:t>.</w:t>
      </w:r>
    </w:p>
    <w:p w14:paraId="261CD729" w14:textId="77777777" w:rsidR="00970376" w:rsidRPr="00FD211F" w:rsidRDefault="00970376" w:rsidP="009C58C8">
      <w:pPr>
        <w:ind w:left="0" w:firstLine="227"/>
        <w:jc w:val="both"/>
        <w:rPr>
          <w:sz w:val="36"/>
          <w:szCs w:val="36"/>
          <w:rtl/>
        </w:rPr>
      </w:pPr>
      <w:r w:rsidRPr="00FD211F">
        <w:rPr>
          <w:sz w:val="36"/>
          <w:szCs w:val="36"/>
          <w:rtl/>
        </w:rPr>
        <w:t>ولكن بناء على المسلك المشهور من تباين معاني الأسماء مع معاني الحروف فالصحيح هو كون الوضع في الحروف عاما والموضوع له خاصا</w:t>
      </w:r>
      <w:r w:rsidR="00603323" w:rsidRPr="00FD211F">
        <w:rPr>
          <w:sz w:val="36"/>
          <w:szCs w:val="36"/>
          <w:rtl/>
        </w:rPr>
        <w:t xml:space="preserve">، </w:t>
      </w:r>
      <w:r w:rsidRPr="00FD211F">
        <w:rPr>
          <w:sz w:val="36"/>
          <w:szCs w:val="36"/>
          <w:rtl/>
        </w:rPr>
        <w:t>والوجه في ذلك ان ما يلحظه الواضع حين وضع الحروف والهيئات ليس هو الموضوع له بنفسه</w:t>
      </w:r>
      <w:r w:rsidR="00603323" w:rsidRPr="00FD211F">
        <w:rPr>
          <w:sz w:val="36"/>
          <w:szCs w:val="36"/>
          <w:rtl/>
        </w:rPr>
        <w:t xml:space="preserve">، </w:t>
      </w:r>
      <w:r w:rsidRPr="00FD211F">
        <w:rPr>
          <w:sz w:val="36"/>
          <w:szCs w:val="36"/>
          <w:rtl/>
        </w:rPr>
        <w:t>وانما هو وضع اجمالي له</w:t>
      </w:r>
      <w:r w:rsidR="00603323" w:rsidRPr="00FD211F">
        <w:rPr>
          <w:sz w:val="36"/>
          <w:szCs w:val="36"/>
          <w:rtl/>
        </w:rPr>
        <w:t xml:space="preserve">، </w:t>
      </w:r>
      <w:r w:rsidRPr="00FD211F">
        <w:rPr>
          <w:sz w:val="36"/>
          <w:szCs w:val="36"/>
          <w:rtl/>
        </w:rPr>
        <w:t>فحينما يريد الواضع ان يضع لفظ</w:t>
      </w:r>
      <w:r w:rsidR="00EC7EDF" w:rsidRPr="00FD211F">
        <w:rPr>
          <w:sz w:val="36"/>
          <w:szCs w:val="36"/>
          <w:rtl/>
        </w:rPr>
        <w:t xml:space="preserve">ة </w:t>
      </w:r>
      <w:r w:rsidR="00C646AD" w:rsidRPr="00FD211F">
        <w:rPr>
          <w:sz w:val="36"/>
          <w:szCs w:val="36"/>
          <w:rtl/>
        </w:rPr>
        <w:t>"</w:t>
      </w:r>
      <w:r w:rsidRPr="00FD211F">
        <w:rPr>
          <w:sz w:val="36"/>
          <w:szCs w:val="36"/>
          <w:rtl/>
        </w:rPr>
        <w:t>في</w:t>
      </w:r>
      <w:r w:rsidR="00C646AD" w:rsidRPr="00FD211F">
        <w:rPr>
          <w:sz w:val="36"/>
          <w:szCs w:val="36"/>
          <w:rtl/>
        </w:rPr>
        <w:t>"</w:t>
      </w:r>
      <w:r w:rsidRPr="00FD211F">
        <w:rPr>
          <w:sz w:val="36"/>
          <w:szCs w:val="36"/>
          <w:rtl/>
        </w:rPr>
        <w:t xml:space="preserve"> لمعنى الظرفي</w:t>
      </w:r>
      <w:r w:rsidR="00EC7EDF" w:rsidRPr="00FD211F">
        <w:rPr>
          <w:sz w:val="36"/>
          <w:szCs w:val="36"/>
          <w:rtl/>
        </w:rPr>
        <w:t xml:space="preserve">ة </w:t>
      </w:r>
      <w:r w:rsidRPr="00FD211F">
        <w:rPr>
          <w:sz w:val="36"/>
          <w:szCs w:val="36"/>
          <w:rtl/>
        </w:rPr>
        <w:t>فيتصور عنوان النسب</w:t>
      </w:r>
      <w:r w:rsidR="00EC7EDF" w:rsidRPr="00FD211F">
        <w:rPr>
          <w:sz w:val="36"/>
          <w:szCs w:val="36"/>
          <w:rtl/>
        </w:rPr>
        <w:t xml:space="preserve">ة </w:t>
      </w:r>
      <w:r w:rsidRPr="00FD211F">
        <w:rPr>
          <w:sz w:val="36"/>
          <w:szCs w:val="36"/>
          <w:rtl/>
        </w:rPr>
        <w:t>الظرفي</w:t>
      </w:r>
      <w:r w:rsidR="00EC7EDF" w:rsidRPr="00FD211F">
        <w:rPr>
          <w:sz w:val="36"/>
          <w:szCs w:val="36"/>
          <w:rtl/>
        </w:rPr>
        <w:t>ة</w:t>
      </w:r>
      <w:r w:rsidR="00603323" w:rsidRPr="00FD211F">
        <w:rPr>
          <w:sz w:val="36"/>
          <w:szCs w:val="36"/>
          <w:rtl/>
        </w:rPr>
        <w:t xml:space="preserve">، </w:t>
      </w:r>
      <w:r w:rsidRPr="00FD211F">
        <w:rPr>
          <w:sz w:val="36"/>
          <w:szCs w:val="36"/>
          <w:rtl/>
        </w:rPr>
        <w:t>ولكن لايضع لفظ</w:t>
      </w:r>
      <w:r w:rsidR="00EC7EDF" w:rsidRPr="00FD211F">
        <w:rPr>
          <w:sz w:val="36"/>
          <w:szCs w:val="36"/>
          <w:rtl/>
        </w:rPr>
        <w:t xml:space="preserve">ة </w:t>
      </w:r>
      <w:r w:rsidR="00C646AD" w:rsidRPr="00FD211F">
        <w:rPr>
          <w:sz w:val="36"/>
          <w:szCs w:val="36"/>
          <w:rtl/>
        </w:rPr>
        <w:t>"</w:t>
      </w:r>
      <w:r w:rsidRPr="00FD211F">
        <w:rPr>
          <w:sz w:val="36"/>
          <w:szCs w:val="36"/>
          <w:rtl/>
        </w:rPr>
        <w:t>في</w:t>
      </w:r>
      <w:r w:rsidR="00C646AD" w:rsidRPr="00FD211F">
        <w:rPr>
          <w:sz w:val="36"/>
          <w:szCs w:val="36"/>
          <w:rtl/>
        </w:rPr>
        <w:t>"</w:t>
      </w:r>
      <w:r w:rsidRPr="00FD211F">
        <w:rPr>
          <w:sz w:val="36"/>
          <w:szCs w:val="36"/>
          <w:rtl/>
        </w:rPr>
        <w:t xml:space="preserve"> بإزاء هذا العنوان الاسمي كي يكون مرادفا لكلم</w:t>
      </w:r>
      <w:r w:rsidR="00EC7EDF" w:rsidRPr="00FD211F">
        <w:rPr>
          <w:sz w:val="36"/>
          <w:szCs w:val="36"/>
          <w:rtl/>
        </w:rPr>
        <w:t xml:space="preserve">ة </w:t>
      </w:r>
      <w:r w:rsidRPr="00FD211F">
        <w:rPr>
          <w:sz w:val="36"/>
          <w:szCs w:val="36"/>
          <w:rtl/>
        </w:rPr>
        <w:t>"النسب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w:t>
      </w:r>
      <w:r w:rsidR="00603323" w:rsidRPr="00FD211F">
        <w:rPr>
          <w:sz w:val="36"/>
          <w:szCs w:val="36"/>
          <w:rtl/>
        </w:rPr>
        <w:t xml:space="preserve">، </w:t>
      </w:r>
      <w:r w:rsidRPr="00FD211F">
        <w:rPr>
          <w:sz w:val="36"/>
          <w:szCs w:val="36"/>
          <w:rtl/>
        </w:rPr>
        <w:t>فان المطلوب من المعنى الحرفي ان يكون رابطا بين المعاني الاسمي</w:t>
      </w:r>
      <w:r w:rsidR="00EC7EDF" w:rsidRPr="00FD211F">
        <w:rPr>
          <w:sz w:val="36"/>
          <w:szCs w:val="36"/>
          <w:rtl/>
        </w:rPr>
        <w:t xml:space="preserve">ة </w:t>
      </w:r>
      <w:r w:rsidRPr="00FD211F">
        <w:rPr>
          <w:sz w:val="36"/>
          <w:szCs w:val="36"/>
          <w:rtl/>
        </w:rPr>
        <w:t>ومفهوم الظرفي</w:t>
      </w:r>
      <w:r w:rsidR="00EC7EDF" w:rsidRPr="00FD211F">
        <w:rPr>
          <w:sz w:val="36"/>
          <w:szCs w:val="36"/>
          <w:rtl/>
        </w:rPr>
        <w:t xml:space="preserve">ة </w:t>
      </w:r>
      <w:r w:rsidRPr="00FD211F">
        <w:rPr>
          <w:sz w:val="36"/>
          <w:szCs w:val="36"/>
          <w:rtl/>
        </w:rPr>
        <w:t>لايصلح لذلك</w:t>
      </w:r>
      <w:r w:rsidR="00603323" w:rsidRPr="00FD211F">
        <w:rPr>
          <w:sz w:val="36"/>
          <w:szCs w:val="36"/>
          <w:rtl/>
        </w:rPr>
        <w:t xml:space="preserve">، </w:t>
      </w:r>
      <w:r w:rsidRPr="00FD211F">
        <w:rPr>
          <w:sz w:val="36"/>
          <w:szCs w:val="36"/>
          <w:rtl/>
        </w:rPr>
        <w:t>فلامحال</w:t>
      </w:r>
      <w:r w:rsidR="00EC7EDF" w:rsidRPr="00FD211F">
        <w:rPr>
          <w:sz w:val="36"/>
          <w:szCs w:val="36"/>
          <w:rtl/>
        </w:rPr>
        <w:t xml:space="preserve">ة </w:t>
      </w:r>
      <w:r w:rsidRPr="00FD211F">
        <w:rPr>
          <w:sz w:val="36"/>
          <w:szCs w:val="36"/>
          <w:rtl/>
        </w:rPr>
        <w:t>يضع لفظ</w:t>
      </w:r>
      <w:r w:rsidR="00EC7EDF" w:rsidRPr="00FD211F">
        <w:rPr>
          <w:sz w:val="36"/>
          <w:szCs w:val="36"/>
          <w:rtl/>
        </w:rPr>
        <w:t xml:space="preserve">ة </w:t>
      </w:r>
      <w:r w:rsidRPr="00FD211F">
        <w:rPr>
          <w:sz w:val="36"/>
          <w:szCs w:val="36"/>
          <w:rtl/>
        </w:rPr>
        <w:t>في بإزاء واقع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وافرادها بنحو يكون المستعمل فيه بالذات نسب</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 xml:space="preserve">بالحمل الشائع وتربط بين مفهوم الجالس ومفهوم الدار في قولنا </w:t>
      </w:r>
      <w:r w:rsidR="00261499" w:rsidRPr="00FD211F">
        <w:rPr>
          <w:sz w:val="36"/>
          <w:szCs w:val="36"/>
          <w:rtl/>
        </w:rPr>
        <w:t>"</w:t>
      </w:r>
      <w:r w:rsidRPr="00FD211F">
        <w:rPr>
          <w:sz w:val="36"/>
          <w:szCs w:val="36"/>
          <w:rtl/>
        </w:rPr>
        <w:t>الجالس في الدار</w:t>
      </w:r>
      <w:r w:rsidR="00261499" w:rsidRPr="00FD211F">
        <w:rPr>
          <w:sz w:val="36"/>
          <w:szCs w:val="36"/>
          <w:rtl/>
        </w:rPr>
        <w:t>"</w:t>
      </w:r>
      <w:r w:rsidRPr="00FD211F">
        <w:rPr>
          <w:sz w:val="36"/>
          <w:szCs w:val="36"/>
          <w:rtl/>
        </w:rPr>
        <w:t>.</w:t>
      </w:r>
    </w:p>
    <w:p w14:paraId="3B76F59E" w14:textId="77777777" w:rsidR="00970376" w:rsidRPr="00FD211F" w:rsidRDefault="00970376" w:rsidP="009C58C8">
      <w:pPr>
        <w:ind w:left="0" w:firstLine="227"/>
        <w:jc w:val="both"/>
        <w:rPr>
          <w:sz w:val="36"/>
          <w:szCs w:val="36"/>
          <w:rtl/>
        </w:rPr>
      </w:pPr>
      <w:r w:rsidRPr="00FD211F">
        <w:rPr>
          <w:sz w:val="36"/>
          <w:szCs w:val="36"/>
          <w:rtl/>
        </w:rPr>
        <w:t>وهكذا الأمر بالنسب</w:t>
      </w:r>
      <w:r w:rsidR="00EC7EDF" w:rsidRPr="00FD211F">
        <w:rPr>
          <w:sz w:val="36"/>
          <w:szCs w:val="36"/>
          <w:rtl/>
        </w:rPr>
        <w:t xml:space="preserve">ة </w:t>
      </w:r>
      <w:r w:rsidRPr="00FD211F">
        <w:rPr>
          <w:sz w:val="36"/>
          <w:szCs w:val="36"/>
          <w:rtl/>
        </w:rPr>
        <w:t xml:space="preserve">الى مثل لام التعريف فانه موضوع لواقع </w:t>
      </w:r>
      <w:r w:rsidR="00C646AD" w:rsidRPr="00FD211F">
        <w:rPr>
          <w:sz w:val="36"/>
          <w:szCs w:val="36"/>
          <w:rtl/>
        </w:rPr>
        <w:t>التعريف</w:t>
      </w:r>
      <w:r w:rsidR="00603323" w:rsidRPr="00FD211F">
        <w:rPr>
          <w:sz w:val="36"/>
          <w:szCs w:val="36"/>
          <w:rtl/>
        </w:rPr>
        <w:t xml:space="preserve">، </w:t>
      </w:r>
      <w:r w:rsidRPr="00FD211F">
        <w:rPr>
          <w:sz w:val="36"/>
          <w:szCs w:val="36"/>
          <w:rtl/>
        </w:rPr>
        <w:t>دون مفهوم التعريف</w:t>
      </w:r>
      <w:r w:rsidR="00603323" w:rsidRPr="00FD211F">
        <w:rPr>
          <w:sz w:val="36"/>
          <w:szCs w:val="36"/>
          <w:rtl/>
        </w:rPr>
        <w:t xml:space="preserve">، </w:t>
      </w:r>
      <w:r w:rsidRPr="00FD211F">
        <w:rPr>
          <w:sz w:val="36"/>
          <w:szCs w:val="36"/>
          <w:rtl/>
        </w:rPr>
        <w:t xml:space="preserve">وكذا حرف </w:t>
      </w:r>
      <w:r w:rsidR="007249AF" w:rsidRPr="00FD211F">
        <w:rPr>
          <w:sz w:val="36"/>
          <w:szCs w:val="36"/>
          <w:rtl/>
        </w:rPr>
        <w:t>"</w:t>
      </w:r>
      <w:r w:rsidRPr="00FD211F">
        <w:rPr>
          <w:sz w:val="36"/>
          <w:szCs w:val="36"/>
          <w:rtl/>
        </w:rPr>
        <w:t>ليت</w:t>
      </w:r>
      <w:r w:rsidR="007249AF" w:rsidRPr="00FD211F">
        <w:rPr>
          <w:sz w:val="36"/>
          <w:szCs w:val="36"/>
          <w:rtl/>
        </w:rPr>
        <w:t>"</w:t>
      </w:r>
      <w:r w:rsidRPr="00FD211F">
        <w:rPr>
          <w:sz w:val="36"/>
          <w:szCs w:val="36"/>
          <w:rtl/>
        </w:rPr>
        <w:t xml:space="preserve"> مثلا موضوع لواقع ابراز التمني (او فقل على الأصح </w:t>
      </w:r>
      <w:r w:rsidR="00261499" w:rsidRPr="00FD211F">
        <w:rPr>
          <w:sz w:val="36"/>
          <w:szCs w:val="36"/>
          <w:rtl/>
        </w:rPr>
        <w:t xml:space="preserve">موضوع </w:t>
      </w:r>
      <w:r w:rsidRPr="00FD211F">
        <w:rPr>
          <w:sz w:val="36"/>
          <w:szCs w:val="36"/>
          <w:rtl/>
        </w:rPr>
        <w:t>لصور</w:t>
      </w:r>
      <w:r w:rsidR="00EC7EDF" w:rsidRPr="00FD211F">
        <w:rPr>
          <w:sz w:val="36"/>
          <w:szCs w:val="36"/>
          <w:rtl/>
        </w:rPr>
        <w:t xml:space="preserve">ة </w:t>
      </w:r>
      <w:r w:rsidRPr="00FD211F">
        <w:rPr>
          <w:sz w:val="36"/>
          <w:szCs w:val="36"/>
          <w:rtl/>
        </w:rPr>
        <w:t>واقع إبرازه كما مر توضيحه ساب</w:t>
      </w:r>
      <w:r w:rsidR="00C646AD" w:rsidRPr="00FD211F">
        <w:rPr>
          <w:sz w:val="36"/>
          <w:szCs w:val="36"/>
          <w:rtl/>
        </w:rPr>
        <w:t>قا) لالمفهوم</w:t>
      </w:r>
      <w:r w:rsidR="007249AF" w:rsidRPr="00FD211F">
        <w:rPr>
          <w:sz w:val="36"/>
          <w:szCs w:val="36"/>
          <w:rtl/>
        </w:rPr>
        <w:t xml:space="preserve"> كلمة</w:t>
      </w:r>
      <w:r w:rsidR="00C7588D" w:rsidRPr="00FD211F">
        <w:rPr>
          <w:sz w:val="36"/>
          <w:szCs w:val="36"/>
          <w:rtl/>
        </w:rPr>
        <w:t xml:space="preserve"> </w:t>
      </w:r>
      <w:r w:rsidR="007249AF" w:rsidRPr="00FD211F">
        <w:rPr>
          <w:sz w:val="36"/>
          <w:szCs w:val="36"/>
          <w:rtl/>
        </w:rPr>
        <w:t>"</w:t>
      </w:r>
      <w:r w:rsidR="00C646AD" w:rsidRPr="00FD211F">
        <w:rPr>
          <w:sz w:val="36"/>
          <w:szCs w:val="36"/>
          <w:rtl/>
        </w:rPr>
        <w:t>إبراز التمني</w:t>
      </w:r>
      <w:r w:rsidR="008C1AF6" w:rsidRPr="00FD211F">
        <w:rPr>
          <w:sz w:val="36"/>
          <w:szCs w:val="36"/>
          <w:rtl/>
        </w:rPr>
        <w:t>"</w:t>
      </w:r>
      <w:r w:rsidR="00603323" w:rsidRPr="00FD211F">
        <w:rPr>
          <w:sz w:val="36"/>
          <w:szCs w:val="36"/>
          <w:rtl/>
        </w:rPr>
        <w:t xml:space="preserve">، </w:t>
      </w:r>
      <w:r w:rsidR="00C646AD" w:rsidRPr="00FD211F">
        <w:rPr>
          <w:sz w:val="36"/>
          <w:szCs w:val="36"/>
          <w:rtl/>
        </w:rPr>
        <w:t>فحين</w:t>
      </w:r>
      <w:r w:rsidRPr="00FD211F">
        <w:rPr>
          <w:sz w:val="36"/>
          <w:szCs w:val="36"/>
          <w:rtl/>
        </w:rPr>
        <w:t>ما يتصور الواضع مفهوم إبراز التمني فلايضع لفظ ليت بإزاءه كي يكون مرادفا لكلم</w:t>
      </w:r>
      <w:r w:rsidR="00EC7EDF" w:rsidRPr="00FD211F">
        <w:rPr>
          <w:sz w:val="36"/>
          <w:szCs w:val="36"/>
          <w:rtl/>
        </w:rPr>
        <w:t xml:space="preserve">ة </w:t>
      </w:r>
      <w:r w:rsidRPr="00FD211F">
        <w:rPr>
          <w:sz w:val="36"/>
          <w:szCs w:val="36"/>
          <w:rtl/>
        </w:rPr>
        <w:t>"إبراز التمني" وانما يضعه لواقعه ومصداقه.</w:t>
      </w:r>
    </w:p>
    <w:p w14:paraId="5DB9914D" w14:textId="77777777" w:rsidR="00970376" w:rsidRPr="00FD211F" w:rsidRDefault="00970376" w:rsidP="009C58C8">
      <w:pPr>
        <w:ind w:left="0" w:firstLine="227"/>
        <w:jc w:val="both"/>
        <w:rPr>
          <w:sz w:val="36"/>
          <w:szCs w:val="36"/>
          <w:rtl/>
        </w:rPr>
      </w:pPr>
      <w:r w:rsidRPr="00FD211F">
        <w:rPr>
          <w:sz w:val="36"/>
          <w:szCs w:val="36"/>
          <w:rtl/>
        </w:rPr>
        <w:t xml:space="preserve">وهكذا </w:t>
      </w:r>
      <w:r w:rsidR="001B3112" w:rsidRPr="00FD211F">
        <w:rPr>
          <w:sz w:val="36"/>
          <w:szCs w:val="36"/>
          <w:rtl/>
        </w:rPr>
        <w:t>الأمر</w:t>
      </w:r>
      <w:r w:rsidRPr="00FD211F">
        <w:rPr>
          <w:sz w:val="36"/>
          <w:szCs w:val="36"/>
          <w:rtl/>
        </w:rPr>
        <w:t xml:space="preserve"> في الهيئات</w:t>
      </w:r>
      <w:r w:rsidR="00603323" w:rsidRPr="00FD211F">
        <w:rPr>
          <w:sz w:val="36"/>
          <w:szCs w:val="36"/>
          <w:rtl/>
        </w:rPr>
        <w:t xml:space="preserve">، </w:t>
      </w:r>
      <w:r w:rsidRPr="00FD211F">
        <w:rPr>
          <w:sz w:val="36"/>
          <w:szCs w:val="36"/>
          <w:rtl/>
        </w:rPr>
        <w:t>فهيئ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قد وضعت على واقع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او فقل على الاصح انها قد وضعت للدلال</w:t>
      </w:r>
      <w:r w:rsidR="00EC7EDF" w:rsidRPr="00FD211F">
        <w:rPr>
          <w:sz w:val="36"/>
          <w:szCs w:val="36"/>
          <w:rtl/>
        </w:rPr>
        <w:t xml:space="preserve">ة </w:t>
      </w:r>
      <w:r w:rsidRPr="00FD211F">
        <w:rPr>
          <w:sz w:val="36"/>
          <w:szCs w:val="36"/>
          <w:rtl/>
        </w:rPr>
        <w:t>على الهوهوي</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بين الموضوع والمحمول بنحو يكون المستعمل فيه بالعرض هو اتحادهما خارجا والمستعمل فيه بالذات هو واقع الحكم الذهني باتحادهما دون مفهوم الحكم بالاتحاد.</w:t>
      </w:r>
    </w:p>
    <w:p w14:paraId="33082E2F" w14:textId="77777777" w:rsidR="000C5BBA" w:rsidRPr="00FD211F" w:rsidRDefault="00970376" w:rsidP="009C58C8">
      <w:pPr>
        <w:ind w:left="0" w:firstLine="227"/>
        <w:jc w:val="both"/>
        <w:rPr>
          <w:sz w:val="36"/>
          <w:szCs w:val="36"/>
          <w:rtl/>
        </w:rPr>
      </w:pPr>
      <w:r w:rsidRPr="00FD211F">
        <w:rPr>
          <w:sz w:val="36"/>
          <w:szCs w:val="36"/>
          <w:rtl/>
        </w:rPr>
        <w:t>وأما هيئ</w:t>
      </w:r>
      <w:r w:rsidR="00EC7EDF" w:rsidRPr="00FD211F">
        <w:rPr>
          <w:sz w:val="36"/>
          <w:szCs w:val="36"/>
          <w:rtl/>
        </w:rPr>
        <w:t xml:space="preserve">ة </w:t>
      </w:r>
      <w:r w:rsidRPr="00FD211F">
        <w:rPr>
          <w:sz w:val="36"/>
          <w:szCs w:val="36"/>
          <w:rtl/>
        </w:rPr>
        <w:t>المشتق كهيئ</w:t>
      </w:r>
      <w:r w:rsidR="00EC7EDF" w:rsidRPr="00FD211F">
        <w:rPr>
          <w:sz w:val="36"/>
          <w:szCs w:val="36"/>
          <w:rtl/>
        </w:rPr>
        <w:t xml:space="preserve">ة </w:t>
      </w:r>
      <w:r w:rsidRPr="00FD211F">
        <w:rPr>
          <w:sz w:val="36"/>
          <w:szCs w:val="36"/>
          <w:rtl/>
        </w:rPr>
        <w:t>اسم الفاعل فحيث ان وضعها يكون نوعيا فلامحال</w:t>
      </w:r>
      <w:r w:rsidR="00EC7EDF" w:rsidRPr="00FD211F">
        <w:rPr>
          <w:sz w:val="36"/>
          <w:szCs w:val="36"/>
          <w:rtl/>
        </w:rPr>
        <w:t xml:space="preserve">ة </w:t>
      </w:r>
      <w:r w:rsidRPr="00FD211F">
        <w:rPr>
          <w:sz w:val="36"/>
          <w:szCs w:val="36"/>
          <w:rtl/>
        </w:rPr>
        <w:t>يكون الموضوع له خاصا حيث يلحظ الواضع ما كان على وزان الفاعل مثلا فيضعه لمن قام به المبدأ ومن الظاهر ان المراد واقع المبدأ لامفهوم لفظ</w:t>
      </w:r>
      <w:r w:rsidR="00EC7EDF" w:rsidRPr="00FD211F">
        <w:rPr>
          <w:sz w:val="36"/>
          <w:szCs w:val="36"/>
          <w:rtl/>
        </w:rPr>
        <w:t xml:space="preserve">ة </w:t>
      </w:r>
      <w:r w:rsidRPr="00FD211F">
        <w:rPr>
          <w:sz w:val="36"/>
          <w:szCs w:val="36"/>
          <w:rtl/>
        </w:rPr>
        <w:t>المبدأ</w:t>
      </w:r>
      <w:r w:rsidR="00603323" w:rsidRPr="00FD211F">
        <w:rPr>
          <w:sz w:val="36"/>
          <w:szCs w:val="36"/>
          <w:rtl/>
        </w:rPr>
        <w:t xml:space="preserve">، </w:t>
      </w:r>
      <w:r w:rsidRPr="00FD211F">
        <w:rPr>
          <w:sz w:val="36"/>
          <w:szCs w:val="36"/>
          <w:rtl/>
        </w:rPr>
        <w:t>وبذلك يضع هيئ</w:t>
      </w:r>
      <w:r w:rsidR="00EC7EDF" w:rsidRPr="00FD211F">
        <w:rPr>
          <w:sz w:val="36"/>
          <w:szCs w:val="36"/>
          <w:rtl/>
        </w:rPr>
        <w:t xml:space="preserve">ة </w:t>
      </w:r>
      <w:r w:rsidRPr="00FD211F">
        <w:rPr>
          <w:sz w:val="36"/>
          <w:szCs w:val="36"/>
          <w:rtl/>
        </w:rPr>
        <w:t>الضارب على من يقوم به الضرب وهيئ</w:t>
      </w:r>
      <w:r w:rsidR="00EC7EDF" w:rsidRPr="00FD211F">
        <w:rPr>
          <w:sz w:val="36"/>
          <w:szCs w:val="36"/>
          <w:rtl/>
        </w:rPr>
        <w:t xml:space="preserve">ة </w:t>
      </w:r>
      <w:r w:rsidRPr="00FD211F">
        <w:rPr>
          <w:sz w:val="36"/>
          <w:szCs w:val="36"/>
          <w:rtl/>
        </w:rPr>
        <w:t>العالم على من يقوم به العلم وهكذا</w:t>
      </w:r>
      <w:r w:rsidR="00603323" w:rsidRPr="00FD211F">
        <w:rPr>
          <w:sz w:val="36"/>
          <w:szCs w:val="36"/>
          <w:rtl/>
        </w:rPr>
        <w:t xml:space="preserve">، </w:t>
      </w:r>
      <w:r w:rsidRPr="00FD211F">
        <w:rPr>
          <w:sz w:val="36"/>
          <w:szCs w:val="36"/>
          <w:rtl/>
        </w:rPr>
        <w:t>ومفهوم الضارب مثلا وان كان مفهوما اسميا بسيطا تصورا ويكون من المفاهيم الكلي</w:t>
      </w:r>
      <w:r w:rsidR="00EC7EDF" w:rsidRPr="00FD211F">
        <w:rPr>
          <w:sz w:val="36"/>
          <w:szCs w:val="36"/>
          <w:rtl/>
        </w:rPr>
        <w:t xml:space="preserve">ة </w:t>
      </w:r>
      <w:r w:rsidRPr="00FD211F">
        <w:rPr>
          <w:sz w:val="36"/>
          <w:szCs w:val="36"/>
          <w:rtl/>
        </w:rPr>
        <w:t>كمفهوم الرجل بحيث لو وضع بوضع شخصي على معناه لكان من الوضع العام والموضوع له العام</w:t>
      </w:r>
      <w:r w:rsidR="00603323" w:rsidRPr="00FD211F">
        <w:rPr>
          <w:sz w:val="36"/>
          <w:szCs w:val="36"/>
          <w:rtl/>
        </w:rPr>
        <w:t xml:space="preserve">، </w:t>
      </w:r>
      <w:r w:rsidRPr="00FD211F">
        <w:rPr>
          <w:sz w:val="36"/>
          <w:szCs w:val="36"/>
          <w:rtl/>
        </w:rPr>
        <w:t xml:space="preserve">لكن حيث ان وضع اسم الفاعل يكون نوعيا فصار من قبيل الوضع العام والموضوع له الخاص نظير ما لو قال </w:t>
      </w:r>
      <w:r w:rsidR="00261499" w:rsidRPr="00FD211F">
        <w:rPr>
          <w:sz w:val="36"/>
          <w:szCs w:val="36"/>
          <w:rtl/>
        </w:rPr>
        <w:t>"</w:t>
      </w:r>
      <w:r w:rsidRPr="00FD211F">
        <w:rPr>
          <w:sz w:val="36"/>
          <w:szCs w:val="36"/>
          <w:rtl/>
        </w:rPr>
        <w:t>وضعت لفظ العين لكل صور</w:t>
      </w:r>
      <w:r w:rsidR="00EC7EDF" w:rsidRPr="00FD211F">
        <w:rPr>
          <w:sz w:val="36"/>
          <w:szCs w:val="36"/>
          <w:rtl/>
        </w:rPr>
        <w:t xml:space="preserve">ة </w:t>
      </w:r>
      <w:r w:rsidRPr="00FD211F">
        <w:rPr>
          <w:sz w:val="36"/>
          <w:szCs w:val="36"/>
          <w:rtl/>
        </w:rPr>
        <w:t>منقوش</w:t>
      </w:r>
      <w:r w:rsidR="00EC7EDF" w:rsidRPr="00FD211F">
        <w:rPr>
          <w:sz w:val="36"/>
          <w:szCs w:val="36"/>
          <w:rtl/>
        </w:rPr>
        <w:t xml:space="preserve">ة </w:t>
      </w:r>
      <w:r w:rsidRPr="00FD211F">
        <w:rPr>
          <w:sz w:val="36"/>
          <w:szCs w:val="36"/>
          <w:rtl/>
        </w:rPr>
        <w:t>في هذا الدفتر</w:t>
      </w:r>
      <w:r w:rsidR="00261499" w:rsidRPr="00FD211F">
        <w:rPr>
          <w:sz w:val="36"/>
          <w:szCs w:val="36"/>
          <w:rtl/>
        </w:rPr>
        <w:t>"</w:t>
      </w:r>
      <w:r w:rsidRPr="00FD211F">
        <w:rPr>
          <w:sz w:val="36"/>
          <w:szCs w:val="36"/>
          <w:rtl/>
        </w:rPr>
        <w:t xml:space="preserve"> و</w:t>
      </w:r>
      <w:r w:rsidR="00261499" w:rsidRPr="00FD211F">
        <w:rPr>
          <w:sz w:val="36"/>
          <w:szCs w:val="36"/>
          <w:rtl/>
        </w:rPr>
        <w:t xml:space="preserve">المفروض أنه </w:t>
      </w:r>
      <w:r w:rsidR="009A3CDE" w:rsidRPr="00FD211F">
        <w:rPr>
          <w:sz w:val="36"/>
          <w:szCs w:val="36"/>
          <w:rtl/>
        </w:rPr>
        <w:t>قد نقشت في ذا</w:t>
      </w:r>
      <w:r w:rsidRPr="00FD211F">
        <w:rPr>
          <w:sz w:val="36"/>
          <w:szCs w:val="36"/>
          <w:rtl/>
        </w:rPr>
        <w:t>ك الدفتر صور</w:t>
      </w:r>
      <w:r w:rsidR="00EC7EDF" w:rsidRPr="00FD211F">
        <w:rPr>
          <w:sz w:val="36"/>
          <w:szCs w:val="36"/>
          <w:rtl/>
        </w:rPr>
        <w:t xml:space="preserve">ة </w:t>
      </w:r>
      <w:r w:rsidRPr="00FD211F">
        <w:rPr>
          <w:sz w:val="36"/>
          <w:szCs w:val="36"/>
          <w:rtl/>
        </w:rPr>
        <w:t>العين الباصر</w:t>
      </w:r>
      <w:r w:rsidR="00EC7EDF" w:rsidRPr="00FD211F">
        <w:rPr>
          <w:sz w:val="36"/>
          <w:szCs w:val="36"/>
          <w:rtl/>
        </w:rPr>
        <w:t xml:space="preserve">ة </w:t>
      </w:r>
      <w:r w:rsidRPr="00FD211F">
        <w:rPr>
          <w:sz w:val="36"/>
          <w:szCs w:val="36"/>
          <w:rtl/>
        </w:rPr>
        <w:t>والعين النابع</w:t>
      </w:r>
      <w:r w:rsidR="00EC7EDF" w:rsidRPr="00FD211F">
        <w:rPr>
          <w:sz w:val="36"/>
          <w:szCs w:val="36"/>
          <w:rtl/>
        </w:rPr>
        <w:t xml:space="preserve">ة </w:t>
      </w:r>
      <w:r w:rsidRPr="00FD211F">
        <w:rPr>
          <w:sz w:val="36"/>
          <w:szCs w:val="36"/>
          <w:rtl/>
        </w:rPr>
        <w:t>والفض</w:t>
      </w:r>
      <w:r w:rsidR="00EC7EDF" w:rsidRPr="00FD211F">
        <w:rPr>
          <w:sz w:val="36"/>
          <w:szCs w:val="36"/>
          <w:rtl/>
        </w:rPr>
        <w:t xml:space="preserve">ة </w:t>
      </w:r>
      <w:r w:rsidRPr="00FD211F">
        <w:rPr>
          <w:sz w:val="36"/>
          <w:szCs w:val="36"/>
          <w:rtl/>
        </w:rPr>
        <w:t>وما عدا ذلك</w:t>
      </w:r>
      <w:r w:rsidR="00603323" w:rsidRPr="00FD211F">
        <w:rPr>
          <w:sz w:val="36"/>
          <w:szCs w:val="36"/>
          <w:rtl/>
        </w:rPr>
        <w:t xml:space="preserve">، </w:t>
      </w:r>
      <w:r w:rsidRPr="00FD211F">
        <w:rPr>
          <w:sz w:val="36"/>
          <w:szCs w:val="36"/>
          <w:rtl/>
        </w:rPr>
        <w:t>وعليه فيكون الوضع في الهيئات من الوضع العام وال</w:t>
      </w:r>
      <w:r w:rsidR="00261499" w:rsidRPr="00FD211F">
        <w:rPr>
          <w:sz w:val="36"/>
          <w:szCs w:val="36"/>
          <w:rtl/>
        </w:rPr>
        <w:t>موضوع له الخاص على جميع المسالك.</w:t>
      </w:r>
    </w:p>
    <w:p w14:paraId="5BE09A8A" w14:textId="77777777" w:rsidR="00970376" w:rsidRPr="00FD211F" w:rsidRDefault="00970376" w:rsidP="009C58C8">
      <w:pPr>
        <w:ind w:left="0" w:firstLine="227"/>
        <w:jc w:val="both"/>
        <w:rPr>
          <w:sz w:val="36"/>
          <w:szCs w:val="36"/>
          <w:rtl/>
        </w:rPr>
      </w:pPr>
      <w:r w:rsidRPr="00FD211F">
        <w:rPr>
          <w:sz w:val="36"/>
          <w:szCs w:val="36"/>
          <w:rtl/>
        </w:rPr>
        <w:t>فما افاده في البحوث من التفصيل بين وضع هيئ</w:t>
      </w:r>
      <w:r w:rsidR="00EC7EDF" w:rsidRPr="00FD211F">
        <w:rPr>
          <w:sz w:val="36"/>
          <w:szCs w:val="36"/>
          <w:rtl/>
        </w:rPr>
        <w:t xml:space="preserve">ة </w:t>
      </w:r>
      <w:r w:rsidRPr="00FD211F">
        <w:rPr>
          <w:sz w:val="36"/>
          <w:szCs w:val="36"/>
          <w:rtl/>
        </w:rPr>
        <w:t>المشتق حيث التزم بكون الوضع فيها عاما والموضوع له عاما وبين وضع الهيئات والحروف الدالتين على النسب الاولي</w:t>
      </w:r>
      <w:r w:rsidR="00EC7EDF" w:rsidRPr="00FD211F">
        <w:rPr>
          <w:sz w:val="36"/>
          <w:szCs w:val="36"/>
          <w:rtl/>
        </w:rPr>
        <w:t xml:space="preserve">ة </w:t>
      </w:r>
      <w:r w:rsidRPr="00FD211F">
        <w:rPr>
          <w:sz w:val="36"/>
          <w:szCs w:val="36"/>
          <w:rtl/>
        </w:rPr>
        <w:t>والثانوي</w:t>
      </w:r>
      <w:r w:rsidR="00EC7EDF" w:rsidRPr="00FD211F">
        <w:rPr>
          <w:sz w:val="36"/>
          <w:szCs w:val="36"/>
          <w:rtl/>
        </w:rPr>
        <w:t xml:space="preserve">ة </w:t>
      </w:r>
      <w:r w:rsidRPr="00FD211F">
        <w:rPr>
          <w:sz w:val="36"/>
          <w:szCs w:val="36"/>
          <w:rtl/>
        </w:rPr>
        <w:t>حيث التزم بكون الوضع فيها من الوضع العام والموضوع له الخاص ففي غير محله.</w:t>
      </w:r>
    </w:p>
    <w:p w14:paraId="52957553" w14:textId="77777777" w:rsidR="00970376" w:rsidRPr="00FD211F" w:rsidRDefault="00970376" w:rsidP="009C58C8">
      <w:pPr>
        <w:ind w:left="0" w:firstLine="227"/>
        <w:jc w:val="both"/>
        <w:rPr>
          <w:sz w:val="36"/>
          <w:szCs w:val="36"/>
          <w:rtl/>
        </w:rPr>
      </w:pPr>
      <w:r w:rsidRPr="00FD211F">
        <w:rPr>
          <w:sz w:val="36"/>
          <w:szCs w:val="36"/>
          <w:rtl/>
        </w:rPr>
        <w:t>توضيح ذلك انه في البحوث قسَّم الهيئات والحروف على ثلاث</w:t>
      </w:r>
      <w:r w:rsidR="00EC7EDF" w:rsidRPr="00FD211F">
        <w:rPr>
          <w:sz w:val="36"/>
          <w:szCs w:val="36"/>
          <w:rtl/>
        </w:rPr>
        <w:t xml:space="preserve">ة </w:t>
      </w:r>
      <w:r w:rsidRPr="00FD211F">
        <w:rPr>
          <w:sz w:val="36"/>
          <w:szCs w:val="36"/>
          <w:rtl/>
        </w:rPr>
        <w:t>اقسام:</w:t>
      </w:r>
    </w:p>
    <w:p w14:paraId="4AC2DF26" w14:textId="77777777" w:rsidR="00970376" w:rsidRPr="00FD211F" w:rsidRDefault="00970376" w:rsidP="009C58C8">
      <w:pPr>
        <w:ind w:left="0" w:firstLine="227"/>
        <w:jc w:val="both"/>
        <w:rPr>
          <w:sz w:val="36"/>
          <w:szCs w:val="36"/>
          <w:rtl/>
        </w:rPr>
      </w:pPr>
      <w:r w:rsidRPr="00FD211F">
        <w:rPr>
          <w:sz w:val="36"/>
          <w:szCs w:val="36"/>
          <w:rtl/>
        </w:rPr>
        <w:t>1- هيئ</w:t>
      </w:r>
      <w:r w:rsidR="00EC7EDF" w:rsidRPr="00FD211F">
        <w:rPr>
          <w:sz w:val="36"/>
          <w:szCs w:val="36"/>
          <w:rtl/>
        </w:rPr>
        <w:t xml:space="preserve">ة </w:t>
      </w:r>
      <w:r w:rsidRPr="00FD211F">
        <w:rPr>
          <w:sz w:val="36"/>
          <w:szCs w:val="36"/>
          <w:rtl/>
        </w:rPr>
        <w:t>المشتق فافاد انه بناء على كون مدلولها مركبا يكون الوضع فيها عاما والموضوع له عاما.</w:t>
      </w:r>
    </w:p>
    <w:p w14:paraId="30F78128" w14:textId="77777777" w:rsidR="00970376" w:rsidRPr="00FD211F" w:rsidRDefault="00970376" w:rsidP="009C58C8">
      <w:pPr>
        <w:ind w:left="0" w:firstLine="227"/>
        <w:jc w:val="both"/>
        <w:rPr>
          <w:sz w:val="36"/>
          <w:szCs w:val="36"/>
          <w:rtl/>
        </w:rPr>
      </w:pPr>
      <w:r w:rsidRPr="00FD211F">
        <w:rPr>
          <w:sz w:val="36"/>
          <w:szCs w:val="36"/>
          <w:rtl/>
        </w:rPr>
        <w:t>2- الهيئات والحروف الدالتين على نسب</w:t>
      </w:r>
      <w:r w:rsidR="00EC7EDF" w:rsidRPr="00FD211F">
        <w:rPr>
          <w:sz w:val="36"/>
          <w:szCs w:val="36"/>
          <w:rtl/>
        </w:rPr>
        <w:t xml:space="preserve">ة </w:t>
      </w:r>
      <w:r w:rsidRPr="00FD211F">
        <w:rPr>
          <w:sz w:val="36"/>
          <w:szCs w:val="36"/>
          <w:rtl/>
        </w:rPr>
        <w:t>واقعي</w:t>
      </w:r>
      <w:r w:rsidR="00EC7EDF" w:rsidRPr="00FD211F">
        <w:rPr>
          <w:sz w:val="36"/>
          <w:szCs w:val="36"/>
          <w:rtl/>
        </w:rPr>
        <w:t xml:space="preserve">ة </w:t>
      </w:r>
      <w:r w:rsidRPr="00FD211F">
        <w:rPr>
          <w:sz w:val="36"/>
          <w:szCs w:val="36"/>
          <w:rtl/>
        </w:rPr>
        <w:t>وهي تكون في الجمل التام</w:t>
      </w:r>
      <w:r w:rsidR="00EC7EDF" w:rsidRPr="00FD211F">
        <w:rPr>
          <w:sz w:val="36"/>
          <w:szCs w:val="36"/>
          <w:rtl/>
        </w:rPr>
        <w:t xml:space="preserve">ة </w:t>
      </w:r>
      <w:r w:rsidRPr="00FD211F">
        <w:rPr>
          <w:sz w:val="36"/>
          <w:szCs w:val="36"/>
          <w:rtl/>
        </w:rPr>
        <w:t>والصحيح ان الموضوع له فيها خاص</w:t>
      </w:r>
      <w:r w:rsidR="00603323" w:rsidRPr="00FD211F">
        <w:rPr>
          <w:sz w:val="36"/>
          <w:szCs w:val="36"/>
          <w:rtl/>
        </w:rPr>
        <w:t xml:space="preserve">، </w:t>
      </w:r>
      <w:r w:rsidRPr="00FD211F">
        <w:rPr>
          <w:sz w:val="36"/>
          <w:szCs w:val="36"/>
          <w:rtl/>
        </w:rPr>
        <w:t>حيث انه مر في المعنى الحرفي انه لايتصور جامع ذاتي بين افراد النسب باعتبار ان الجامع الذاتي انما يتعقل فيما لو انحفظ الذات مع تجريده عن الخصوصيات</w:t>
      </w:r>
      <w:r w:rsidR="00603323" w:rsidRPr="00FD211F">
        <w:rPr>
          <w:sz w:val="36"/>
          <w:szCs w:val="36"/>
          <w:rtl/>
        </w:rPr>
        <w:t xml:space="preserve">، </w:t>
      </w:r>
      <w:r w:rsidRPr="00FD211F">
        <w:rPr>
          <w:sz w:val="36"/>
          <w:szCs w:val="36"/>
          <w:rtl/>
        </w:rPr>
        <w:t>وذات المعنى الحرفي حيث يكون واقع النسب</w:t>
      </w:r>
      <w:r w:rsidR="00EC7EDF" w:rsidRPr="00FD211F">
        <w:rPr>
          <w:sz w:val="36"/>
          <w:szCs w:val="36"/>
          <w:rtl/>
        </w:rPr>
        <w:t xml:space="preserve">ة </w:t>
      </w:r>
      <w:r w:rsidRPr="00FD211F">
        <w:rPr>
          <w:sz w:val="36"/>
          <w:szCs w:val="36"/>
          <w:rtl/>
        </w:rPr>
        <w:t>وهويتقوم بوجود طرفين فمع الغاءهما ينعدم ذات النسب</w:t>
      </w:r>
      <w:r w:rsidR="00EC7EDF" w:rsidRPr="00FD211F">
        <w:rPr>
          <w:sz w:val="36"/>
          <w:szCs w:val="36"/>
          <w:rtl/>
        </w:rPr>
        <w:t>ة</w:t>
      </w:r>
      <w:r w:rsidR="00603323" w:rsidRPr="00FD211F">
        <w:rPr>
          <w:sz w:val="36"/>
          <w:szCs w:val="36"/>
          <w:rtl/>
        </w:rPr>
        <w:t xml:space="preserve">، </w:t>
      </w:r>
      <w:r w:rsidRPr="00FD211F">
        <w:rPr>
          <w:sz w:val="36"/>
          <w:szCs w:val="36"/>
          <w:rtl/>
        </w:rPr>
        <w:t>واما مفهوم النسب</w:t>
      </w:r>
      <w:r w:rsidR="00EC7EDF" w:rsidRPr="00FD211F">
        <w:rPr>
          <w:sz w:val="36"/>
          <w:szCs w:val="36"/>
          <w:rtl/>
        </w:rPr>
        <w:t xml:space="preserve">ة </w:t>
      </w:r>
      <w:r w:rsidRPr="00FD211F">
        <w:rPr>
          <w:sz w:val="36"/>
          <w:szCs w:val="36"/>
          <w:rtl/>
        </w:rPr>
        <w:t>فليس معنىً حرفيا بل هو جامع عنواني وانتزاعي عن المعاني الحرفي</w:t>
      </w:r>
      <w:r w:rsidR="00EC7EDF" w:rsidRPr="00FD211F">
        <w:rPr>
          <w:sz w:val="36"/>
          <w:szCs w:val="36"/>
          <w:rtl/>
        </w:rPr>
        <w:t>ة</w:t>
      </w:r>
      <w:r w:rsidR="00603323" w:rsidRPr="00FD211F">
        <w:rPr>
          <w:sz w:val="36"/>
          <w:szCs w:val="36"/>
          <w:rtl/>
        </w:rPr>
        <w:t xml:space="preserve">، </w:t>
      </w:r>
      <w:r w:rsidRPr="00FD211F">
        <w:rPr>
          <w:sz w:val="36"/>
          <w:szCs w:val="36"/>
          <w:rtl/>
        </w:rPr>
        <w:t>فالموضوع له هو نفس افراد النسب.</w:t>
      </w:r>
    </w:p>
    <w:p w14:paraId="2222B8E5" w14:textId="77777777" w:rsidR="00970376" w:rsidRPr="00FD211F" w:rsidRDefault="00970376" w:rsidP="00BD72B0">
      <w:pPr>
        <w:ind w:left="0" w:firstLine="227"/>
        <w:jc w:val="both"/>
        <w:rPr>
          <w:sz w:val="36"/>
          <w:szCs w:val="36"/>
          <w:rtl/>
        </w:rPr>
      </w:pPr>
      <w:r w:rsidRPr="00FD211F">
        <w:rPr>
          <w:sz w:val="36"/>
          <w:szCs w:val="36"/>
          <w:rtl/>
        </w:rPr>
        <w:t>3- الهيئات والحروف الدالتين على النسب</w:t>
      </w:r>
      <w:r w:rsidR="00EC7EDF" w:rsidRPr="00FD211F">
        <w:rPr>
          <w:sz w:val="36"/>
          <w:szCs w:val="36"/>
          <w:rtl/>
        </w:rPr>
        <w:t xml:space="preserve">ة </w:t>
      </w:r>
      <w:r w:rsidRPr="00FD211F">
        <w:rPr>
          <w:sz w:val="36"/>
          <w:szCs w:val="36"/>
          <w:rtl/>
        </w:rPr>
        <w:t>الناقص</w:t>
      </w:r>
      <w:r w:rsidR="00EC7EDF" w:rsidRPr="00FD211F">
        <w:rPr>
          <w:sz w:val="36"/>
          <w:szCs w:val="36"/>
          <w:rtl/>
        </w:rPr>
        <w:t xml:space="preserve">ة </w:t>
      </w:r>
      <w:r w:rsidRPr="00FD211F">
        <w:rPr>
          <w:sz w:val="36"/>
          <w:szCs w:val="36"/>
          <w:rtl/>
        </w:rPr>
        <w:t>كلفظ</w:t>
      </w:r>
      <w:r w:rsidR="00EC7EDF" w:rsidRPr="00FD211F">
        <w:rPr>
          <w:sz w:val="36"/>
          <w:szCs w:val="36"/>
          <w:rtl/>
        </w:rPr>
        <w:t xml:space="preserve">ة </w:t>
      </w:r>
      <w:r w:rsidRPr="00FD211F">
        <w:rPr>
          <w:sz w:val="36"/>
          <w:szCs w:val="36"/>
          <w:rtl/>
        </w:rPr>
        <w:t>"في" في قولنا</w:t>
      </w:r>
      <w:r w:rsidR="00BD72B0" w:rsidRPr="00FD211F">
        <w:rPr>
          <w:sz w:val="36"/>
          <w:szCs w:val="36"/>
          <w:rtl/>
        </w:rPr>
        <w:t xml:space="preserve"> </w:t>
      </w:r>
      <w:r w:rsidR="00A6761C" w:rsidRPr="00FD211F">
        <w:rPr>
          <w:sz w:val="36"/>
          <w:szCs w:val="36"/>
          <w:rtl/>
        </w:rPr>
        <w:t>"</w:t>
      </w:r>
      <w:r w:rsidRPr="00FD211F">
        <w:rPr>
          <w:sz w:val="36"/>
          <w:szCs w:val="36"/>
          <w:rtl/>
        </w:rPr>
        <w:t>الجالس في الدار</w:t>
      </w:r>
      <w:r w:rsidR="00A6761C" w:rsidRPr="00FD211F">
        <w:rPr>
          <w:sz w:val="36"/>
          <w:szCs w:val="36"/>
          <w:rtl/>
        </w:rPr>
        <w:t>"</w:t>
      </w:r>
      <w:r w:rsidR="00603323" w:rsidRPr="00FD211F">
        <w:rPr>
          <w:sz w:val="36"/>
          <w:szCs w:val="36"/>
          <w:rtl/>
        </w:rPr>
        <w:t xml:space="preserve">، </w:t>
      </w:r>
      <w:r w:rsidRPr="00FD211F">
        <w:rPr>
          <w:sz w:val="36"/>
          <w:szCs w:val="36"/>
          <w:rtl/>
        </w:rPr>
        <w:t>فانها تدل على نسب</w:t>
      </w:r>
      <w:r w:rsidR="00EC7EDF" w:rsidRPr="00FD211F">
        <w:rPr>
          <w:sz w:val="36"/>
          <w:szCs w:val="36"/>
          <w:rtl/>
        </w:rPr>
        <w:t xml:space="preserve">ة </w:t>
      </w:r>
      <w:r w:rsidRPr="00FD211F">
        <w:rPr>
          <w:sz w:val="36"/>
          <w:szCs w:val="36"/>
          <w:rtl/>
        </w:rPr>
        <w:t>تحليلي</w:t>
      </w:r>
      <w:r w:rsidR="00EC7EDF" w:rsidRPr="00FD211F">
        <w:rPr>
          <w:sz w:val="36"/>
          <w:szCs w:val="36"/>
          <w:rtl/>
        </w:rPr>
        <w:t>ة</w:t>
      </w:r>
      <w:r w:rsidR="00603323" w:rsidRPr="00FD211F">
        <w:rPr>
          <w:sz w:val="36"/>
          <w:szCs w:val="36"/>
          <w:rtl/>
        </w:rPr>
        <w:t xml:space="preserve">، </w:t>
      </w:r>
      <w:r w:rsidRPr="00FD211F">
        <w:rPr>
          <w:sz w:val="36"/>
          <w:szCs w:val="36"/>
          <w:rtl/>
        </w:rPr>
        <w:t>كما مر بيانه في المعنى الحرفي</w:t>
      </w:r>
      <w:r w:rsidR="00603323" w:rsidRPr="00FD211F">
        <w:rPr>
          <w:sz w:val="36"/>
          <w:szCs w:val="36"/>
          <w:rtl/>
        </w:rPr>
        <w:t xml:space="preserve">، </w:t>
      </w:r>
      <w:r w:rsidRPr="00FD211F">
        <w:rPr>
          <w:sz w:val="36"/>
          <w:szCs w:val="36"/>
          <w:rtl/>
        </w:rPr>
        <w:t>وهذا يعني ان الموجود في الذهن مفهوم بسيط تصوري</w:t>
      </w:r>
      <w:r w:rsidR="00603323" w:rsidRPr="00FD211F">
        <w:rPr>
          <w:sz w:val="36"/>
          <w:szCs w:val="36"/>
          <w:rtl/>
        </w:rPr>
        <w:t xml:space="preserve">، </w:t>
      </w:r>
      <w:r w:rsidRPr="00FD211F">
        <w:rPr>
          <w:sz w:val="36"/>
          <w:szCs w:val="36"/>
          <w:rtl/>
        </w:rPr>
        <w:t>ويعبر عنه بالحص</w:t>
      </w:r>
      <w:r w:rsidR="00EC7EDF" w:rsidRPr="00FD211F">
        <w:rPr>
          <w:sz w:val="36"/>
          <w:szCs w:val="36"/>
          <w:rtl/>
        </w:rPr>
        <w:t xml:space="preserve">ة </w:t>
      </w:r>
      <w:r w:rsidRPr="00FD211F">
        <w:rPr>
          <w:sz w:val="36"/>
          <w:szCs w:val="36"/>
          <w:rtl/>
        </w:rPr>
        <w:t>وان كان ينحل بحسب التحليل العقلي الى ثلاث</w:t>
      </w:r>
      <w:r w:rsidR="00EC7EDF" w:rsidRPr="00FD211F">
        <w:rPr>
          <w:sz w:val="36"/>
          <w:szCs w:val="36"/>
          <w:rtl/>
        </w:rPr>
        <w:t xml:space="preserve">ة </w:t>
      </w:r>
      <w:r w:rsidRPr="00FD211F">
        <w:rPr>
          <w:sz w:val="36"/>
          <w:szCs w:val="36"/>
          <w:rtl/>
        </w:rPr>
        <w:t>اجزاء</w:t>
      </w:r>
      <w:r w:rsidR="00603323" w:rsidRPr="00FD211F">
        <w:rPr>
          <w:sz w:val="36"/>
          <w:szCs w:val="36"/>
          <w:rtl/>
        </w:rPr>
        <w:t xml:space="preserve">، </w:t>
      </w:r>
      <w:r w:rsidRPr="00FD211F">
        <w:rPr>
          <w:sz w:val="36"/>
          <w:szCs w:val="36"/>
          <w:rtl/>
        </w:rPr>
        <w:t>وحيث ان المتصور موجود واحد فسببي</w:t>
      </w:r>
      <w:r w:rsidR="00EC7EDF" w:rsidRPr="00FD211F">
        <w:rPr>
          <w:sz w:val="36"/>
          <w:szCs w:val="36"/>
          <w:rtl/>
        </w:rPr>
        <w:t xml:space="preserve">ة </w:t>
      </w:r>
      <w:r w:rsidRPr="00FD211F">
        <w:rPr>
          <w:sz w:val="36"/>
          <w:szCs w:val="36"/>
          <w:rtl/>
        </w:rPr>
        <w:t>تصور اللفظ لتصوره واحد</w:t>
      </w:r>
      <w:r w:rsidR="00EC7EDF" w:rsidRPr="00FD211F">
        <w:rPr>
          <w:sz w:val="36"/>
          <w:szCs w:val="36"/>
          <w:rtl/>
        </w:rPr>
        <w:t xml:space="preserve">ة </w:t>
      </w:r>
      <w:r w:rsidRPr="00FD211F">
        <w:rPr>
          <w:sz w:val="36"/>
          <w:szCs w:val="36"/>
          <w:rtl/>
        </w:rPr>
        <w:t>لامحال</w:t>
      </w:r>
      <w:r w:rsidR="00EC7EDF" w:rsidRPr="00FD211F">
        <w:rPr>
          <w:sz w:val="36"/>
          <w:szCs w:val="36"/>
          <w:rtl/>
        </w:rPr>
        <w:t xml:space="preserve">ة </w:t>
      </w:r>
      <w:r w:rsidRPr="00FD211F">
        <w:rPr>
          <w:sz w:val="36"/>
          <w:szCs w:val="36"/>
          <w:rtl/>
        </w:rPr>
        <w:t>وحيث لامعنى للعلق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بناء على مسلك القرن الأكيد الاسببي</w:t>
      </w:r>
      <w:r w:rsidR="00EC7EDF" w:rsidRPr="00FD211F">
        <w:rPr>
          <w:sz w:val="36"/>
          <w:szCs w:val="36"/>
          <w:rtl/>
        </w:rPr>
        <w:t xml:space="preserve">ة </w:t>
      </w:r>
      <w:r w:rsidRPr="00FD211F">
        <w:rPr>
          <w:sz w:val="36"/>
          <w:szCs w:val="36"/>
          <w:rtl/>
        </w:rPr>
        <w:t>تصور اللفظ لتصور المعنى فيكون جمل</w:t>
      </w:r>
      <w:r w:rsidR="00EC7EDF" w:rsidRPr="00FD211F">
        <w:rPr>
          <w:sz w:val="36"/>
          <w:szCs w:val="36"/>
          <w:rtl/>
        </w:rPr>
        <w:t xml:space="preserve">ة </w:t>
      </w:r>
      <w:r w:rsidRPr="00FD211F">
        <w:rPr>
          <w:sz w:val="36"/>
          <w:szCs w:val="36"/>
          <w:rtl/>
        </w:rPr>
        <w:t>"الجالس في الدار" موضوع</w:t>
      </w:r>
      <w:r w:rsidR="00EC7EDF" w:rsidRPr="00FD211F">
        <w:rPr>
          <w:sz w:val="36"/>
          <w:szCs w:val="36"/>
          <w:rtl/>
        </w:rPr>
        <w:t xml:space="preserve">ة </w:t>
      </w:r>
      <w:r w:rsidRPr="00FD211F">
        <w:rPr>
          <w:sz w:val="36"/>
          <w:szCs w:val="36"/>
          <w:rtl/>
        </w:rPr>
        <w:t>بوضع واحد على حص</w:t>
      </w:r>
      <w:r w:rsidR="00EC7EDF" w:rsidRPr="00FD211F">
        <w:rPr>
          <w:sz w:val="36"/>
          <w:szCs w:val="36"/>
          <w:rtl/>
        </w:rPr>
        <w:t xml:space="preserve">ة </w:t>
      </w:r>
      <w:r w:rsidRPr="00FD211F">
        <w:rPr>
          <w:sz w:val="36"/>
          <w:szCs w:val="36"/>
          <w:rtl/>
        </w:rPr>
        <w:t>من الجالس</w:t>
      </w:r>
      <w:r w:rsidR="00603323" w:rsidRPr="00FD211F">
        <w:rPr>
          <w:sz w:val="36"/>
          <w:szCs w:val="36"/>
          <w:rtl/>
        </w:rPr>
        <w:t xml:space="preserve">، </w:t>
      </w:r>
      <w:r w:rsidRPr="00FD211F">
        <w:rPr>
          <w:sz w:val="36"/>
          <w:szCs w:val="36"/>
          <w:rtl/>
        </w:rPr>
        <w:t>وهذا يعني ان لفظ</w:t>
      </w:r>
      <w:r w:rsidR="00EC7EDF" w:rsidRPr="00FD211F">
        <w:rPr>
          <w:sz w:val="36"/>
          <w:szCs w:val="36"/>
          <w:rtl/>
        </w:rPr>
        <w:t xml:space="preserve">ة </w:t>
      </w:r>
      <w:r w:rsidRPr="00FD211F">
        <w:rPr>
          <w:sz w:val="36"/>
          <w:szCs w:val="36"/>
          <w:rtl/>
        </w:rPr>
        <w:t>في ليس لها وضع مستقل وانما يكون وضعها ضمنيا اي يكون الموضوع مجموع الجمل</w:t>
      </w:r>
      <w:r w:rsidR="00EC7EDF" w:rsidRPr="00FD211F">
        <w:rPr>
          <w:sz w:val="36"/>
          <w:szCs w:val="36"/>
          <w:rtl/>
        </w:rPr>
        <w:t>ة</w:t>
      </w:r>
      <w:r w:rsidR="00A61BAE" w:rsidRPr="00FD211F">
        <w:rPr>
          <w:sz w:val="36"/>
          <w:szCs w:val="36"/>
          <w:rtl/>
        </w:rPr>
        <w:t>.</w:t>
      </w:r>
    </w:p>
    <w:p w14:paraId="291BE91B" w14:textId="77777777" w:rsidR="00970376" w:rsidRPr="00FD211F" w:rsidRDefault="00970376" w:rsidP="009C58C8">
      <w:pPr>
        <w:ind w:left="0" w:firstLine="227"/>
        <w:jc w:val="both"/>
        <w:rPr>
          <w:sz w:val="36"/>
          <w:szCs w:val="36"/>
          <w:rtl/>
        </w:rPr>
      </w:pPr>
      <w:r w:rsidRPr="00FD211F">
        <w:rPr>
          <w:sz w:val="36"/>
          <w:szCs w:val="36"/>
          <w:rtl/>
        </w:rPr>
        <w:t>وحيئنذ فان فرض كون وضع جمل</w:t>
      </w:r>
      <w:r w:rsidR="00EC7EDF" w:rsidRPr="00FD211F">
        <w:rPr>
          <w:sz w:val="36"/>
          <w:szCs w:val="36"/>
          <w:rtl/>
        </w:rPr>
        <w:t xml:space="preserve">ة </w:t>
      </w:r>
      <w:r w:rsidR="008C1AF6" w:rsidRPr="00FD211F">
        <w:rPr>
          <w:sz w:val="36"/>
          <w:szCs w:val="36"/>
          <w:rtl/>
        </w:rPr>
        <w:t>"</w:t>
      </w:r>
      <w:r w:rsidRPr="00FD211F">
        <w:rPr>
          <w:sz w:val="36"/>
          <w:szCs w:val="36"/>
          <w:rtl/>
        </w:rPr>
        <w:t>الجالس في الدار</w:t>
      </w:r>
      <w:r w:rsidR="008C1AF6" w:rsidRPr="00FD211F">
        <w:rPr>
          <w:sz w:val="36"/>
          <w:szCs w:val="36"/>
          <w:rtl/>
        </w:rPr>
        <w:t>"</w:t>
      </w:r>
      <w:r w:rsidRPr="00FD211F">
        <w:rPr>
          <w:sz w:val="36"/>
          <w:szCs w:val="36"/>
          <w:rtl/>
        </w:rPr>
        <w:t xml:space="preserve"> على معناها الذي يكون حص</w:t>
      </w:r>
      <w:r w:rsidR="00EC7EDF" w:rsidRPr="00FD211F">
        <w:rPr>
          <w:sz w:val="36"/>
          <w:szCs w:val="36"/>
          <w:rtl/>
        </w:rPr>
        <w:t xml:space="preserve">ة </w:t>
      </w:r>
      <w:r w:rsidRPr="00FD211F">
        <w:rPr>
          <w:sz w:val="36"/>
          <w:szCs w:val="36"/>
          <w:rtl/>
        </w:rPr>
        <w:t>من الجالس فيكون من الوضع العام والموضوع له العام</w:t>
      </w:r>
      <w:r w:rsidR="00603323" w:rsidRPr="00FD211F">
        <w:rPr>
          <w:sz w:val="36"/>
          <w:szCs w:val="36"/>
          <w:rtl/>
        </w:rPr>
        <w:t xml:space="preserve">، </w:t>
      </w:r>
      <w:r w:rsidRPr="00FD211F">
        <w:rPr>
          <w:sz w:val="36"/>
          <w:szCs w:val="36"/>
          <w:rtl/>
        </w:rPr>
        <w:t>اذ يكون معناها من المعاني الكلي</w:t>
      </w:r>
      <w:r w:rsidR="00EC7EDF" w:rsidRPr="00FD211F">
        <w:rPr>
          <w:sz w:val="36"/>
          <w:szCs w:val="36"/>
          <w:rtl/>
        </w:rPr>
        <w:t>ة</w:t>
      </w:r>
      <w:r w:rsidR="00603323" w:rsidRPr="00FD211F">
        <w:rPr>
          <w:sz w:val="36"/>
          <w:szCs w:val="36"/>
          <w:rtl/>
        </w:rPr>
        <w:t xml:space="preserve">، </w:t>
      </w:r>
      <w:r w:rsidRPr="00FD211F">
        <w:rPr>
          <w:sz w:val="36"/>
          <w:szCs w:val="36"/>
          <w:rtl/>
        </w:rPr>
        <w:t>وقد يوضع له اسم مفرد كما في وضع لفظ الفانوس على نار في الزجاج</w:t>
      </w:r>
      <w:r w:rsidR="00603323" w:rsidRPr="00FD211F">
        <w:rPr>
          <w:sz w:val="36"/>
          <w:szCs w:val="36"/>
          <w:rtl/>
        </w:rPr>
        <w:t xml:space="preserve">، </w:t>
      </w:r>
      <w:r w:rsidRPr="00FD211F">
        <w:rPr>
          <w:sz w:val="36"/>
          <w:szCs w:val="36"/>
          <w:rtl/>
        </w:rPr>
        <w:t>ولكن حيث ان وضع 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حرف في لمعناها يكون من الوضع النوعي</w:t>
      </w:r>
      <w:r w:rsidR="00603323" w:rsidRPr="00FD211F">
        <w:rPr>
          <w:sz w:val="36"/>
          <w:szCs w:val="36"/>
          <w:rtl/>
        </w:rPr>
        <w:t xml:space="preserve">، </w:t>
      </w:r>
      <w:r w:rsidRPr="00FD211F">
        <w:rPr>
          <w:sz w:val="36"/>
          <w:szCs w:val="36"/>
          <w:rtl/>
        </w:rPr>
        <w:t>فيكون من الوضع العام والموضوع له الخاص</w:t>
      </w:r>
      <w:r w:rsidR="00603323" w:rsidRPr="00FD211F">
        <w:rPr>
          <w:sz w:val="36"/>
          <w:szCs w:val="36"/>
          <w:rtl/>
        </w:rPr>
        <w:t xml:space="preserve">، </w:t>
      </w:r>
      <w:r w:rsidRPr="00FD211F">
        <w:rPr>
          <w:sz w:val="36"/>
          <w:szCs w:val="36"/>
          <w:rtl/>
        </w:rPr>
        <w:t>حيث انه لايراد وضع تلك الجمل</w:t>
      </w:r>
      <w:r w:rsidR="00EC7EDF" w:rsidRPr="00FD211F">
        <w:rPr>
          <w:sz w:val="36"/>
          <w:szCs w:val="36"/>
          <w:rtl/>
        </w:rPr>
        <w:t xml:space="preserve">ة </w:t>
      </w:r>
      <w:r w:rsidRPr="00FD211F">
        <w:rPr>
          <w:sz w:val="36"/>
          <w:szCs w:val="36"/>
          <w:rtl/>
        </w:rPr>
        <w:t>على مفهوم الحص</w:t>
      </w:r>
      <w:r w:rsidR="00EC7EDF" w:rsidRPr="00FD211F">
        <w:rPr>
          <w:sz w:val="36"/>
          <w:szCs w:val="36"/>
          <w:rtl/>
        </w:rPr>
        <w:t>ة</w:t>
      </w:r>
      <w:r w:rsidR="00603323" w:rsidRPr="00FD211F">
        <w:rPr>
          <w:sz w:val="36"/>
          <w:szCs w:val="36"/>
          <w:rtl/>
        </w:rPr>
        <w:t xml:space="preserve">، </w:t>
      </w:r>
      <w:r w:rsidRPr="00FD211F">
        <w:rPr>
          <w:sz w:val="36"/>
          <w:szCs w:val="36"/>
          <w:rtl/>
        </w:rPr>
        <w:t>بل على واقع الحص</w:t>
      </w:r>
      <w:r w:rsidR="00EC7EDF" w:rsidRPr="00FD211F">
        <w:rPr>
          <w:sz w:val="36"/>
          <w:szCs w:val="36"/>
          <w:rtl/>
        </w:rPr>
        <w:t>ة</w:t>
      </w:r>
      <w:r w:rsidR="00603323" w:rsidRPr="00FD211F">
        <w:rPr>
          <w:sz w:val="36"/>
          <w:szCs w:val="36"/>
          <w:rtl/>
        </w:rPr>
        <w:t xml:space="preserve">، </w:t>
      </w:r>
      <w:r w:rsidRPr="00FD211F">
        <w:rPr>
          <w:sz w:val="36"/>
          <w:szCs w:val="36"/>
          <w:rtl/>
        </w:rPr>
        <w:t>فيراد وضع جمل</w:t>
      </w:r>
      <w:r w:rsidR="00EC7EDF" w:rsidRPr="00FD211F">
        <w:rPr>
          <w:sz w:val="36"/>
          <w:szCs w:val="36"/>
          <w:rtl/>
        </w:rPr>
        <w:t xml:space="preserve">ة </w:t>
      </w:r>
      <w:r w:rsidR="008C1AF6" w:rsidRPr="00FD211F">
        <w:rPr>
          <w:sz w:val="36"/>
          <w:szCs w:val="36"/>
          <w:rtl/>
        </w:rPr>
        <w:t>"</w:t>
      </w:r>
      <w:r w:rsidRPr="00FD211F">
        <w:rPr>
          <w:sz w:val="36"/>
          <w:szCs w:val="36"/>
          <w:rtl/>
        </w:rPr>
        <w:t>الجالس في الدار</w:t>
      </w:r>
      <w:r w:rsidR="008C1AF6" w:rsidRPr="00FD211F">
        <w:rPr>
          <w:sz w:val="36"/>
          <w:szCs w:val="36"/>
          <w:rtl/>
        </w:rPr>
        <w:t>"</w:t>
      </w:r>
      <w:r w:rsidRPr="00FD211F">
        <w:rPr>
          <w:sz w:val="36"/>
          <w:szCs w:val="36"/>
          <w:rtl/>
        </w:rPr>
        <w:t xml:space="preserve"> على حص</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من الجالس وهكذا...</w:t>
      </w:r>
      <w:r w:rsidR="009C58C8" w:rsidRPr="00FD211F">
        <w:rPr>
          <w:rStyle w:val="a6"/>
          <w:sz w:val="36"/>
          <w:szCs w:val="36"/>
          <w:rtl/>
        </w:rPr>
        <w:t>(</w:t>
      </w:r>
      <w:r w:rsidR="009C58C8" w:rsidRPr="00FD211F">
        <w:rPr>
          <w:rStyle w:val="a6"/>
          <w:sz w:val="36"/>
          <w:szCs w:val="36"/>
          <w:rtl/>
        </w:rPr>
        <w:footnoteReference w:id="256"/>
      </w:r>
      <w:r w:rsidR="009C58C8" w:rsidRPr="00FD211F">
        <w:rPr>
          <w:rStyle w:val="a6"/>
          <w:sz w:val="36"/>
          <w:szCs w:val="36"/>
          <w:rtl/>
        </w:rPr>
        <w:t>)</w:t>
      </w:r>
      <w:r w:rsidRPr="00FD211F">
        <w:rPr>
          <w:sz w:val="36"/>
          <w:szCs w:val="36"/>
          <w:rtl/>
        </w:rPr>
        <w:t>.</w:t>
      </w:r>
    </w:p>
    <w:p w14:paraId="2ECA8854" w14:textId="77777777" w:rsidR="00970376" w:rsidRPr="00FD211F" w:rsidRDefault="00261499" w:rsidP="009C58C8">
      <w:pPr>
        <w:ind w:left="0" w:firstLine="227"/>
        <w:jc w:val="both"/>
        <w:rPr>
          <w:sz w:val="36"/>
          <w:szCs w:val="36"/>
          <w:rtl/>
        </w:rPr>
      </w:pPr>
      <w:r w:rsidRPr="00FD211F">
        <w:rPr>
          <w:sz w:val="36"/>
          <w:szCs w:val="36"/>
          <w:rtl/>
        </w:rPr>
        <w:t>ويلاحظ عليه</w:t>
      </w:r>
      <w:r w:rsidR="00970376" w:rsidRPr="00FD211F">
        <w:rPr>
          <w:sz w:val="36"/>
          <w:szCs w:val="36"/>
          <w:rtl/>
        </w:rPr>
        <w:t xml:space="preserve"> ان ما ذكره في جمل</w:t>
      </w:r>
      <w:r w:rsidR="00EC7EDF" w:rsidRPr="00FD211F">
        <w:rPr>
          <w:sz w:val="36"/>
          <w:szCs w:val="36"/>
          <w:rtl/>
        </w:rPr>
        <w:t xml:space="preserve">ة </w:t>
      </w:r>
      <w:r w:rsidR="00970376" w:rsidRPr="00FD211F">
        <w:rPr>
          <w:sz w:val="36"/>
          <w:szCs w:val="36"/>
          <w:rtl/>
        </w:rPr>
        <w:t>"الجالس في الدار" -من ان وضعها لما كان نوعيا فلزم من ذلك كونه بنحو الوضع العام والموضوع له الخاص- ياتي بتمامه في وضع هيئ</w:t>
      </w:r>
      <w:r w:rsidR="00EC7EDF" w:rsidRPr="00FD211F">
        <w:rPr>
          <w:sz w:val="36"/>
          <w:szCs w:val="36"/>
          <w:rtl/>
        </w:rPr>
        <w:t xml:space="preserve">ة </w:t>
      </w:r>
      <w:r w:rsidR="00970376" w:rsidRPr="00FD211F">
        <w:rPr>
          <w:sz w:val="36"/>
          <w:szCs w:val="36"/>
          <w:rtl/>
        </w:rPr>
        <w:t>المشتق</w:t>
      </w:r>
      <w:r w:rsidR="00603323" w:rsidRPr="00FD211F">
        <w:rPr>
          <w:sz w:val="36"/>
          <w:szCs w:val="36"/>
          <w:rtl/>
        </w:rPr>
        <w:t xml:space="preserve">، </w:t>
      </w:r>
      <w:r w:rsidR="00970376" w:rsidRPr="00FD211F">
        <w:rPr>
          <w:sz w:val="36"/>
          <w:szCs w:val="36"/>
          <w:rtl/>
        </w:rPr>
        <w:t>فما افاده من ان الموضوع له في هيئ</w:t>
      </w:r>
      <w:r w:rsidR="00EC7EDF" w:rsidRPr="00FD211F">
        <w:rPr>
          <w:sz w:val="36"/>
          <w:szCs w:val="36"/>
          <w:rtl/>
        </w:rPr>
        <w:t xml:space="preserve">ة </w:t>
      </w:r>
      <w:r w:rsidR="00970376" w:rsidRPr="00FD211F">
        <w:rPr>
          <w:sz w:val="36"/>
          <w:szCs w:val="36"/>
          <w:rtl/>
        </w:rPr>
        <w:t>المشتق يكون عاما غير متجه ابدا</w:t>
      </w:r>
      <w:r w:rsidR="00603323" w:rsidRPr="00FD211F">
        <w:rPr>
          <w:sz w:val="36"/>
          <w:szCs w:val="36"/>
          <w:rtl/>
        </w:rPr>
        <w:t xml:space="preserve">، </w:t>
      </w:r>
      <w:r w:rsidR="00970376" w:rsidRPr="00FD211F">
        <w:rPr>
          <w:sz w:val="36"/>
          <w:szCs w:val="36"/>
          <w:rtl/>
        </w:rPr>
        <w:t>فان كون الموضوع له في هيئ</w:t>
      </w:r>
      <w:r w:rsidR="00EC7EDF" w:rsidRPr="00FD211F">
        <w:rPr>
          <w:sz w:val="36"/>
          <w:szCs w:val="36"/>
          <w:rtl/>
        </w:rPr>
        <w:t xml:space="preserve">ة </w:t>
      </w:r>
      <w:r w:rsidR="00970376" w:rsidRPr="00FD211F">
        <w:rPr>
          <w:sz w:val="36"/>
          <w:szCs w:val="36"/>
          <w:rtl/>
        </w:rPr>
        <w:t>المشتق عاما او خاصا يرتبط بكون وضعها شخصيا او نوعيا</w:t>
      </w:r>
      <w:r w:rsidR="00603323" w:rsidRPr="00FD211F">
        <w:rPr>
          <w:sz w:val="36"/>
          <w:szCs w:val="36"/>
          <w:rtl/>
        </w:rPr>
        <w:t xml:space="preserve">، </w:t>
      </w:r>
      <w:r w:rsidR="00970376" w:rsidRPr="00FD211F">
        <w:rPr>
          <w:sz w:val="36"/>
          <w:szCs w:val="36"/>
          <w:rtl/>
        </w:rPr>
        <w:t>فان كان وضعها نوعيا لزم منه كون الوضع فيها عاما والموضوع له خاصا كما مر وجهه</w:t>
      </w:r>
      <w:r w:rsidR="00603323" w:rsidRPr="00FD211F">
        <w:rPr>
          <w:sz w:val="36"/>
          <w:szCs w:val="36"/>
          <w:rtl/>
        </w:rPr>
        <w:t xml:space="preserve">، </w:t>
      </w:r>
      <w:r w:rsidR="00970376" w:rsidRPr="00FD211F">
        <w:rPr>
          <w:sz w:val="36"/>
          <w:szCs w:val="36"/>
          <w:rtl/>
        </w:rPr>
        <w:t>ولو فرض وضع هيئ</w:t>
      </w:r>
      <w:r w:rsidR="00EC7EDF" w:rsidRPr="00FD211F">
        <w:rPr>
          <w:sz w:val="36"/>
          <w:szCs w:val="36"/>
          <w:rtl/>
        </w:rPr>
        <w:t xml:space="preserve">ة </w:t>
      </w:r>
      <w:r w:rsidR="00970376" w:rsidRPr="00FD211F">
        <w:rPr>
          <w:sz w:val="36"/>
          <w:szCs w:val="36"/>
          <w:rtl/>
        </w:rPr>
        <w:t>الضارب مثلا بالوضع الشخصي على معناها كان من قبيل الوضع العام والموضوع له العام</w:t>
      </w:r>
      <w:r w:rsidR="00603323" w:rsidRPr="00FD211F">
        <w:rPr>
          <w:sz w:val="36"/>
          <w:szCs w:val="36"/>
          <w:rtl/>
        </w:rPr>
        <w:t xml:space="preserve">، </w:t>
      </w:r>
      <w:r w:rsidR="00970376" w:rsidRPr="00FD211F">
        <w:rPr>
          <w:sz w:val="36"/>
          <w:szCs w:val="36"/>
          <w:rtl/>
        </w:rPr>
        <w:t>ولايختلف في ذلك كون معناها مركبا او بسيطا.</w:t>
      </w:r>
    </w:p>
    <w:p w14:paraId="2ADCB7FD" w14:textId="77777777" w:rsidR="00797457" w:rsidRPr="00FD211F" w:rsidRDefault="00970376" w:rsidP="009C58C8">
      <w:pPr>
        <w:ind w:left="0" w:firstLine="227"/>
        <w:jc w:val="both"/>
        <w:rPr>
          <w:sz w:val="36"/>
          <w:szCs w:val="36"/>
          <w:rtl/>
        </w:rPr>
      </w:pPr>
      <w:r w:rsidRPr="00FD211F">
        <w:rPr>
          <w:sz w:val="36"/>
          <w:szCs w:val="36"/>
          <w:rtl/>
        </w:rPr>
        <w:t>واما ما ذكره من التفصيل بين مدلول الحروف والهيئات الدال</w:t>
      </w:r>
      <w:r w:rsidR="00EC7EDF" w:rsidRPr="00FD211F">
        <w:rPr>
          <w:sz w:val="36"/>
          <w:szCs w:val="36"/>
          <w:rtl/>
        </w:rPr>
        <w:t xml:space="preserve">ة </w:t>
      </w:r>
      <w:r w:rsidRPr="00FD211F">
        <w:rPr>
          <w:sz w:val="36"/>
          <w:szCs w:val="36"/>
          <w:rtl/>
        </w:rPr>
        <w:t>على النسب الأولي</w:t>
      </w:r>
      <w:r w:rsidR="00EC7EDF" w:rsidRPr="00FD211F">
        <w:rPr>
          <w:sz w:val="36"/>
          <w:szCs w:val="36"/>
          <w:rtl/>
        </w:rPr>
        <w:t xml:space="preserve">ة </w:t>
      </w:r>
      <w:r w:rsidRPr="00FD211F">
        <w:rPr>
          <w:sz w:val="36"/>
          <w:szCs w:val="36"/>
          <w:rtl/>
        </w:rPr>
        <w:t>والحروف والهيئات الدال</w:t>
      </w:r>
      <w:r w:rsidR="00EC7EDF" w:rsidRPr="00FD211F">
        <w:rPr>
          <w:sz w:val="36"/>
          <w:szCs w:val="36"/>
          <w:rtl/>
        </w:rPr>
        <w:t xml:space="preserve">ة </w:t>
      </w:r>
      <w:r w:rsidRPr="00FD211F">
        <w:rPr>
          <w:sz w:val="36"/>
          <w:szCs w:val="36"/>
          <w:rtl/>
        </w:rPr>
        <w:t>على ال</w:t>
      </w:r>
      <w:r w:rsidR="00261499" w:rsidRPr="00FD211F">
        <w:rPr>
          <w:sz w:val="36"/>
          <w:szCs w:val="36"/>
          <w:rtl/>
        </w:rPr>
        <w:t>نسب الثانوي</w:t>
      </w:r>
      <w:r w:rsidR="00EC7EDF" w:rsidRPr="00FD211F">
        <w:rPr>
          <w:sz w:val="36"/>
          <w:szCs w:val="36"/>
          <w:rtl/>
        </w:rPr>
        <w:t xml:space="preserve">ة </w:t>
      </w:r>
      <w:r w:rsidR="00261499" w:rsidRPr="00FD211F">
        <w:rPr>
          <w:sz w:val="36"/>
          <w:szCs w:val="36"/>
          <w:rtl/>
        </w:rPr>
        <w:t>فقد مر الإشكال فيه</w:t>
      </w:r>
      <w:r w:rsidRPr="00FD211F">
        <w:rPr>
          <w:sz w:val="36"/>
          <w:szCs w:val="36"/>
          <w:rtl/>
        </w:rPr>
        <w:t xml:space="preserve"> في بحث المعاني الحرفي</w:t>
      </w:r>
      <w:r w:rsidR="00EC7EDF" w:rsidRPr="00FD211F">
        <w:rPr>
          <w:sz w:val="36"/>
          <w:szCs w:val="36"/>
          <w:rtl/>
        </w:rPr>
        <w:t xml:space="preserve">ة </w:t>
      </w:r>
      <w:r w:rsidRPr="00FD211F">
        <w:rPr>
          <w:sz w:val="36"/>
          <w:szCs w:val="36"/>
          <w:rtl/>
        </w:rPr>
        <w:t>والهيئا</w:t>
      </w:r>
      <w:r w:rsidR="00261499" w:rsidRPr="00FD211F">
        <w:rPr>
          <w:sz w:val="36"/>
          <w:szCs w:val="36"/>
          <w:rtl/>
        </w:rPr>
        <w:t>ت</w:t>
      </w:r>
      <w:r w:rsidR="00603323" w:rsidRPr="00FD211F">
        <w:rPr>
          <w:sz w:val="36"/>
          <w:szCs w:val="36"/>
          <w:rtl/>
        </w:rPr>
        <w:t xml:space="preserve">، </w:t>
      </w:r>
      <w:r w:rsidR="00261499" w:rsidRPr="00FD211F">
        <w:rPr>
          <w:sz w:val="36"/>
          <w:szCs w:val="36"/>
          <w:rtl/>
        </w:rPr>
        <w:t xml:space="preserve">حيث </w:t>
      </w:r>
      <w:r w:rsidR="00797457" w:rsidRPr="00FD211F">
        <w:rPr>
          <w:sz w:val="36"/>
          <w:szCs w:val="36"/>
          <w:rtl/>
        </w:rPr>
        <w:t>ذكرنا هناك ان الظاهر وضع الحروف الدال</w:t>
      </w:r>
      <w:r w:rsidR="00EC7EDF" w:rsidRPr="00FD211F">
        <w:rPr>
          <w:sz w:val="36"/>
          <w:szCs w:val="36"/>
          <w:rtl/>
        </w:rPr>
        <w:t xml:space="preserve">ة </w:t>
      </w:r>
      <w:r w:rsidR="00797457" w:rsidRPr="00FD211F">
        <w:rPr>
          <w:sz w:val="36"/>
          <w:szCs w:val="36"/>
          <w:rtl/>
        </w:rPr>
        <w:t>على النسب</w:t>
      </w:r>
      <w:r w:rsidR="00EC7EDF" w:rsidRPr="00FD211F">
        <w:rPr>
          <w:sz w:val="36"/>
          <w:szCs w:val="36"/>
          <w:rtl/>
        </w:rPr>
        <w:t xml:space="preserve">ة </w:t>
      </w:r>
      <w:r w:rsidR="00797457" w:rsidRPr="00FD211F">
        <w:rPr>
          <w:sz w:val="36"/>
          <w:szCs w:val="36"/>
          <w:rtl/>
        </w:rPr>
        <w:t>الأولي</w:t>
      </w:r>
      <w:r w:rsidR="00EC7EDF" w:rsidRPr="00FD211F">
        <w:rPr>
          <w:sz w:val="36"/>
          <w:szCs w:val="36"/>
          <w:rtl/>
        </w:rPr>
        <w:t xml:space="preserve">ة </w:t>
      </w:r>
      <w:r w:rsidR="00797457" w:rsidRPr="00FD211F">
        <w:rPr>
          <w:sz w:val="36"/>
          <w:szCs w:val="36"/>
          <w:rtl/>
        </w:rPr>
        <w:t>لتحكي عن النسب</w:t>
      </w:r>
      <w:r w:rsidR="00EC7EDF" w:rsidRPr="00FD211F">
        <w:rPr>
          <w:sz w:val="36"/>
          <w:szCs w:val="36"/>
          <w:rtl/>
        </w:rPr>
        <w:t xml:space="preserve">ة </w:t>
      </w:r>
      <w:r w:rsidR="00797457" w:rsidRPr="00FD211F">
        <w:rPr>
          <w:sz w:val="36"/>
          <w:szCs w:val="36"/>
          <w:rtl/>
        </w:rPr>
        <w:t>الخارجي</w:t>
      </w:r>
      <w:r w:rsidR="00EC7EDF" w:rsidRPr="00FD211F">
        <w:rPr>
          <w:sz w:val="36"/>
          <w:szCs w:val="36"/>
          <w:rtl/>
        </w:rPr>
        <w:t xml:space="preserve">ة </w:t>
      </w:r>
      <w:r w:rsidR="00797457" w:rsidRPr="00FD211F">
        <w:rPr>
          <w:sz w:val="36"/>
          <w:szCs w:val="36"/>
          <w:rtl/>
        </w:rPr>
        <w:t>بما هي عليها من الاندكاك والاندماج في اطرافها</w:t>
      </w:r>
      <w:r w:rsidR="00603323" w:rsidRPr="00FD211F">
        <w:rPr>
          <w:sz w:val="36"/>
          <w:szCs w:val="36"/>
          <w:rtl/>
        </w:rPr>
        <w:t xml:space="preserve">، </w:t>
      </w:r>
      <w:r w:rsidR="00797457" w:rsidRPr="00FD211F">
        <w:rPr>
          <w:sz w:val="36"/>
          <w:szCs w:val="36"/>
          <w:rtl/>
        </w:rPr>
        <w:t>ولامحذور في ان يكون المستعمل فيه بالذات هو سنخ مفهوم اندكاكي خاص يصلح ان يكون مرآ</w:t>
      </w:r>
      <w:r w:rsidR="00EC7EDF" w:rsidRPr="00FD211F">
        <w:rPr>
          <w:sz w:val="36"/>
          <w:szCs w:val="36"/>
          <w:rtl/>
        </w:rPr>
        <w:t xml:space="preserve">ة </w:t>
      </w:r>
      <w:r w:rsidR="00797457" w:rsidRPr="00FD211F">
        <w:rPr>
          <w:sz w:val="36"/>
          <w:szCs w:val="36"/>
          <w:rtl/>
        </w:rPr>
        <w:t>للحيثي</w:t>
      </w:r>
      <w:r w:rsidR="00EC7EDF" w:rsidRPr="00FD211F">
        <w:rPr>
          <w:sz w:val="36"/>
          <w:szCs w:val="36"/>
          <w:rtl/>
        </w:rPr>
        <w:t xml:space="preserve">ة </w:t>
      </w:r>
      <w:r w:rsidR="00797457" w:rsidRPr="00FD211F">
        <w:rPr>
          <w:sz w:val="36"/>
          <w:szCs w:val="36"/>
          <w:rtl/>
        </w:rPr>
        <w:t>المشترك</w:t>
      </w:r>
      <w:r w:rsidR="00EC7EDF" w:rsidRPr="00FD211F">
        <w:rPr>
          <w:sz w:val="36"/>
          <w:szCs w:val="36"/>
          <w:rtl/>
        </w:rPr>
        <w:t xml:space="preserve">ة </w:t>
      </w:r>
      <w:r w:rsidR="00797457" w:rsidRPr="00FD211F">
        <w:rPr>
          <w:sz w:val="36"/>
          <w:szCs w:val="36"/>
          <w:rtl/>
        </w:rPr>
        <w:t>بين افراد تلك النسب</w:t>
      </w:r>
      <w:r w:rsidR="00EC7EDF" w:rsidRPr="00FD211F">
        <w:rPr>
          <w:sz w:val="36"/>
          <w:szCs w:val="36"/>
          <w:rtl/>
        </w:rPr>
        <w:t xml:space="preserve">ة </w:t>
      </w:r>
      <w:r w:rsidR="00797457" w:rsidRPr="00FD211F">
        <w:rPr>
          <w:sz w:val="36"/>
          <w:szCs w:val="36"/>
          <w:rtl/>
        </w:rPr>
        <w:t>في الخارج</w:t>
      </w:r>
      <w:r w:rsidR="00603323" w:rsidRPr="00FD211F">
        <w:rPr>
          <w:sz w:val="36"/>
          <w:szCs w:val="36"/>
          <w:rtl/>
        </w:rPr>
        <w:t xml:space="preserve">، </w:t>
      </w:r>
      <w:r w:rsidR="00797457" w:rsidRPr="00FD211F">
        <w:rPr>
          <w:sz w:val="36"/>
          <w:szCs w:val="36"/>
          <w:rtl/>
        </w:rPr>
        <w:t>سميت تلك الحيثي</w:t>
      </w:r>
      <w:r w:rsidR="00EC7EDF" w:rsidRPr="00FD211F">
        <w:rPr>
          <w:sz w:val="36"/>
          <w:szCs w:val="36"/>
          <w:rtl/>
        </w:rPr>
        <w:t xml:space="preserve">ة </w:t>
      </w:r>
      <w:r w:rsidR="00797457" w:rsidRPr="00FD211F">
        <w:rPr>
          <w:sz w:val="36"/>
          <w:szCs w:val="36"/>
          <w:rtl/>
        </w:rPr>
        <w:t>المشترك</w:t>
      </w:r>
      <w:r w:rsidR="00EC7EDF" w:rsidRPr="00FD211F">
        <w:rPr>
          <w:sz w:val="36"/>
          <w:szCs w:val="36"/>
          <w:rtl/>
        </w:rPr>
        <w:t xml:space="preserve">ة </w:t>
      </w:r>
      <w:r w:rsidR="00797457" w:rsidRPr="00FD211F">
        <w:rPr>
          <w:sz w:val="36"/>
          <w:szCs w:val="36"/>
          <w:rtl/>
        </w:rPr>
        <w:t>جامعا ذاتيا ام لا</w:t>
      </w:r>
      <w:r w:rsidR="00603323" w:rsidRPr="00FD211F">
        <w:rPr>
          <w:sz w:val="36"/>
          <w:szCs w:val="36"/>
          <w:rtl/>
        </w:rPr>
        <w:t xml:space="preserve">، </w:t>
      </w:r>
      <w:r w:rsidR="00797457" w:rsidRPr="00FD211F">
        <w:rPr>
          <w:sz w:val="36"/>
          <w:szCs w:val="36"/>
          <w:rtl/>
        </w:rPr>
        <w:t>وهذا المفهوم الاندكاكي الذي يحكي عن النسب</w:t>
      </w:r>
      <w:r w:rsidR="00EC7EDF" w:rsidRPr="00FD211F">
        <w:rPr>
          <w:sz w:val="36"/>
          <w:szCs w:val="36"/>
          <w:rtl/>
        </w:rPr>
        <w:t xml:space="preserve">ة </w:t>
      </w:r>
      <w:r w:rsidR="00797457" w:rsidRPr="00FD211F">
        <w:rPr>
          <w:sz w:val="36"/>
          <w:szCs w:val="36"/>
          <w:rtl/>
        </w:rPr>
        <w:t>الخارجي</w:t>
      </w:r>
      <w:r w:rsidR="00EC7EDF" w:rsidRPr="00FD211F">
        <w:rPr>
          <w:sz w:val="36"/>
          <w:szCs w:val="36"/>
          <w:rtl/>
        </w:rPr>
        <w:t xml:space="preserve">ة </w:t>
      </w:r>
      <w:r w:rsidR="00797457" w:rsidRPr="00FD211F">
        <w:rPr>
          <w:sz w:val="36"/>
          <w:szCs w:val="36"/>
          <w:rtl/>
        </w:rPr>
        <w:t>يصلح في نفس</w:t>
      </w:r>
      <w:r w:rsidR="00296A49" w:rsidRPr="00FD211F">
        <w:rPr>
          <w:sz w:val="36"/>
          <w:szCs w:val="36"/>
          <w:rtl/>
        </w:rPr>
        <w:t xml:space="preserve"> الوقت لمكان اندماجه واندكاكه لأ</w:t>
      </w:r>
      <w:r w:rsidR="00797457" w:rsidRPr="00FD211F">
        <w:rPr>
          <w:sz w:val="36"/>
          <w:szCs w:val="36"/>
          <w:rtl/>
        </w:rPr>
        <w:t>ن يكون رابطا حقيقيا بين مفهومين اسميين في الذهن</w:t>
      </w:r>
      <w:r w:rsidR="00603323" w:rsidRPr="00FD211F">
        <w:rPr>
          <w:sz w:val="36"/>
          <w:szCs w:val="36"/>
          <w:rtl/>
        </w:rPr>
        <w:t xml:space="preserve">، </w:t>
      </w:r>
      <w:r w:rsidR="00797457" w:rsidRPr="00FD211F">
        <w:rPr>
          <w:sz w:val="36"/>
          <w:szCs w:val="36"/>
          <w:rtl/>
        </w:rPr>
        <w:t xml:space="preserve">فالمفهوم المتصور في قولنا </w:t>
      </w:r>
      <w:r w:rsidR="008C1AF6" w:rsidRPr="00FD211F">
        <w:rPr>
          <w:sz w:val="36"/>
          <w:szCs w:val="36"/>
          <w:rtl/>
        </w:rPr>
        <w:t>"</w:t>
      </w:r>
      <w:r w:rsidR="00797457" w:rsidRPr="00FD211F">
        <w:rPr>
          <w:sz w:val="36"/>
          <w:szCs w:val="36"/>
          <w:rtl/>
        </w:rPr>
        <w:t>الجالس على المنبر</w:t>
      </w:r>
      <w:r w:rsidR="008C1AF6" w:rsidRPr="00FD211F">
        <w:rPr>
          <w:sz w:val="36"/>
          <w:szCs w:val="36"/>
          <w:rtl/>
        </w:rPr>
        <w:t>"</w:t>
      </w:r>
      <w:r w:rsidR="00797457" w:rsidRPr="00FD211F">
        <w:rPr>
          <w:sz w:val="36"/>
          <w:szCs w:val="36"/>
          <w:rtl/>
        </w:rPr>
        <w:t xml:space="preserve"> لايكون في الذهن مفهوما وحدانيا</w:t>
      </w:r>
      <w:r w:rsidR="00603323" w:rsidRPr="00FD211F">
        <w:rPr>
          <w:sz w:val="36"/>
          <w:szCs w:val="36"/>
          <w:rtl/>
        </w:rPr>
        <w:t xml:space="preserve">، </w:t>
      </w:r>
      <w:r w:rsidR="00797457" w:rsidRPr="00FD211F">
        <w:rPr>
          <w:sz w:val="36"/>
          <w:szCs w:val="36"/>
          <w:rtl/>
        </w:rPr>
        <w:t>وانما هو مركب من مفهومين اسميين ومن مفهوم اندكاكي خاص يكون مصداقه في الخارج هو النسب</w:t>
      </w:r>
      <w:r w:rsidR="00EC7EDF" w:rsidRPr="00FD211F">
        <w:rPr>
          <w:sz w:val="36"/>
          <w:szCs w:val="36"/>
          <w:rtl/>
        </w:rPr>
        <w:t xml:space="preserve">ة </w:t>
      </w:r>
      <w:r w:rsidR="00797457" w:rsidRPr="00FD211F">
        <w:rPr>
          <w:sz w:val="36"/>
          <w:szCs w:val="36"/>
          <w:rtl/>
        </w:rPr>
        <w:t>الاستعلائي</w:t>
      </w:r>
      <w:r w:rsidR="00EC7EDF" w:rsidRPr="00FD211F">
        <w:rPr>
          <w:sz w:val="36"/>
          <w:szCs w:val="36"/>
          <w:rtl/>
        </w:rPr>
        <w:t xml:space="preserve">ة </w:t>
      </w:r>
      <w:r w:rsidR="00797457" w:rsidRPr="00FD211F">
        <w:rPr>
          <w:sz w:val="36"/>
          <w:szCs w:val="36"/>
          <w:rtl/>
        </w:rPr>
        <w:t>الخارجي</w:t>
      </w:r>
      <w:r w:rsidR="00EC7EDF" w:rsidRPr="00FD211F">
        <w:rPr>
          <w:sz w:val="36"/>
          <w:szCs w:val="36"/>
          <w:rtl/>
        </w:rPr>
        <w:t>ة</w:t>
      </w:r>
      <w:r w:rsidR="00603323" w:rsidRPr="00FD211F">
        <w:rPr>
          <w:sz w:val="36"/>
          <w:szCs w:val="36"/>
          <w:rtl/>
        </w:rPr>
        <w:t xml:space="preserve">، </w:t>
      </w:r>
      <w:r w:rsidR="00797457" w:rsidRPr="00FD211F">
        <w:rPr>
          <w:sz w:val="36"/>
          <w:szCs w:val="36"/>
          <w:rtl/>
        </w:rPr>
        <w:t>فهذا المفهوم الاندكاكي الموجود في الذهن لي</w:t>
      </w:r>
      <w:r w:rsidR="00296A49" w:rsidRPr="00FD211F">
        <w:rPr>
          <w:sz w:val="36"/>
          <w:szCs w:val="36"/>
          <w:rtl/>
        </w:rPr>
        <w:t>س نسب</w:t>
      </w:r>
      <w:r w:rsidR="00EC7EDF" w:rsidRPr="00FD211F">
        <w:rPr>
          <w:sz w:val="36"/>
          <w:szCs w:val="36"/>
          <w:rtl/>
        </w:rPr>
        <w:t xml:space="preserve">ة </w:t>
      </w:r>
      <w:r w:rsidR="00296A49" w:rsidRPr="00FD211F">
        <w:rPr>
          <w:sz w:val="36"/>
          <w:szCs w:val="36"/>
          <w:rtl/>
        </w:rPr>
        <w:t>استعلائي</w:t>
      </w:r>
      <w:r w:rsidR="00EC7EDF" w:rsidRPr="00FD211F">
        <w:rPr>
          <w:sz w:val="36"/>
          <w:szCs w:val="36"/>
          <w:rtl/>
        </w:rPr>
        <w:t xml:space="preserve">ة </w:t>
      </w:r>
      <w:r w:rsidR="00296A49" w:rsidRPr="00FD211F">
        <w:rPr>
          <w:sz w:val="36"/>
          <w:szCs w:val="36"/>
          <w:rtl/>
        </w:rPr>
        <w:t>بالحمل الشائع-</w:t>
      </w:r>
      <w:r w:rsidR="00797457" w:rsidRPr="00FD211F">
        <w:rPr>
          <w:sz w:val="36"/>
          <w:szCs w:val="36"/>
          <w:rtl/>
        </w:rPr>
        <w:t xml:space="preserve"> كما ان مفهوم الماء </w:t>
      </w:r>
      <w:r w:rsidR="00296A49" w:rsidRPr="00FD211F">
        <w:rPr>
          <w:sz w:val="36"/>
          <w:szCs w:val="36"/>
          <w:rtl/>
        </w:rPr>
        <w:t>في الذهن ليس ماءا بالحمل الشائع-</w:t>
      </w:r>
      <w:r w:rsidR="00797457" w:rsidRPr="00FD211F">
        <w:rPr>
          <w:sz w:val="36"/>
          <w:szCs w:val="36"/>
          <w:rtl/>
        </w:rPr>
        <w:t xml:space="preserve"> وانما هو نحو مفهوم اندكاكي يصلح ان يكون حاكيا عن تلك النسب</w:t>
      </w:r>
      <w:r w:rsidR="00EC7EDF" w:rsidRPr="00FD211F">
        <w:rPr>
          <w:sz w:val="36"/>
          <w:szCs w:val="36"/>
          <w:rtl/>
        </w:rPr>
        <w:t xml:space="preserve">ة </w:t>
      </w:r>
      <w:r w:rsidR="00797457" w:rsidRPr="00FD211F">
        <w:rPr>
          <w:sz w:val="36"/>
          <w:szCs w:val="36"/>
          <w:rtl/>
        </w:rPr>
        <w:t>الخارجي</w:t>
      </w:r>
      <w:r w:rsidR="00EC7EDF" w:rsidRPr="00FD211F">
        <w:rPr>
          <w:sz w:val="36"/>
          <w:szCs w:val="36"/>
          <w:rtl/>
        </w:rPr>
        <w:t xml:space="preserve">ة </w:t>
      </w:r>
      <w:r w:rsidR="00797457" w:rsidRPr="00FD211F">
        <w:rPr>
          <w:sz w:val="36"/>
          <w:szCs w:val="36"/>
          <w:rtl/>
        </w:rPr>
        <w:t>الاستعلائي</w:t>
      </w:r>
      <w:r w:rsidR="00EC7EDF" w:rsidRPr="00FD211F">
        <w:rPr>
          <w:sz w:val="36"/>
          <w:szCs w:val="36"/>
          <w:rtl/>
        </w:rPr>
        <w:t>ة</w:t>
      </w:r>
      <w:r w:rsidR="00603323" w:rsidRPr="00FD211F">
        <w:rPr>
          <w:sz w:val="36"/>
          <w:szCs w:val="36"/>
          <w:rtl/>
        </w:rPr>
        <w:t xml:space="preserve">، </w:t>
      </w:r>
      <w:r w:rsidR="00797457" w:rsidRPr="00FD211F">
        <w:rPr>
          <w:sz w:val="36"/>
          <w:szCs w:val="36"/>
          <w:rtl/>
        </w:rPr>
        <w:t>ويشهد على ذلك انه لو بدأ متكلم بالكلام فقال: على المنبر جلستُ</w:t>
      </w:r>
      <w:r w:rsidR="00603323" w:rsidRPr="00FD211F">
        <w:rPr>
          <w:sz w:val="36"/>
          <w:szCs w:val="36"/>
          <w:rtl/>
        </w:rPr>
        <w:t xml:space="preserve">، </w:t>
      </w:r>
      <w:r w:rsidR="00797457" w:rsidRPr="00FD211F">
        <w:rPr>
          <w:sz w:val="36"/>
          <w:szCs w:val="36"/>
          <w:rtl/>
        </w:rPr>
        <w:t>فبمجرد ان يصدر عنه لفظ "على" يلتفت السامع الى النسب</w:t>
      </w:r>
      <w:r w:rsidR="00EC7EDF" w:rsidRPr="00FD211F">
        <w:rPr>
          <w:sz w:val="36"/>
          <w:szCs w:val="36"/>
          <w:rtl/>
        </w:rPr>
        <w:t xml:space="preserve">ة </w:t>
      </w:r>
      <w:r w:rsidR="00797457" w:rsidRPr="00FD211F">
        <w:rPr>
          <w:sz w:val="36"/>
          <w:szCs w:val="36"/>
          <w:rtl/>
        </w:rPr>
        <w:t>الاستعلائي</w:t>
      </w:r>
      <w:r w:rsidR="00EC7EDF" w:rsidRPr="00FD211F">
        <w:rPr>
          <w:sz w:val="36"/>
          <w:szCs w:val="36"/>
          <w:rtl/>
        </w:rPr>
        <w:t xml:space="preserve">ة </w:t>
      </w:r>
      <w:r w:rsidR="00797457" w:rsidRPr="00FD211F">
        <w:rPr>
          <w:sz w:val="36"/>
          <w:szCs w:val="36"/>
          <w:rtl/>
        </w:rPr>
        <w:t>الخارجي</w:t>
      </w:r>
      <w:r w:rsidR="00EC7EDF" w:rsidRPr="00FD211F">
        <w:rPr>
          <w:sz w:val="36"/>
          <w:szCs w:val="36"/>
          <w:rtl/>
        </w:rPr>
        <w:t>ة</w:t>
      </w:r>
      <w:r w:rsidR="00603323" w:rsidRPr="00FD211F">
        <w:rPr>
          <w:sz w:val="36"/>
          <w:szCs w:val="36"/>
          <w:rtl/>
        </w:rPr>
        <w:t xml:space="preserve">، </w:t>
      </w:r>
      <w:r w:rsidR="00797457" w:rsidRPr="00FD211F">
        <w:rPr>
          <w:sz w:val="36"/>
          <w:szCs w:val="36"/>
          <w:rtl/>
        </w:rPr>
        <w:t>ولما يسمع كلم</w:t>
      </w:r>
      <w:r w:rsidR="00EC7EDF" w:rsidRPr="00FD211F">
        <w:rPr>
          <w:sz w:val="36"/>
          <w:szCs w:val="36"/>
          <w:rtl/>
        </w:rPr>
        <w:t xml:space="preserve">ة </w:t>
      </w:r>
      <w:r w:rsidR="00797457" w:rsidRPr="00FD211F">
        <w:rPr>
          <w:sz w:val="36"/>
          <w:szCs w:val="36"/>
          <w:rtl/>
        </w:rPr>
        <w:t>المنبر يلتفت الى المستعلى عليه</w:t>
      </w:r>
      <w:r w:rsidR="00603323" w:rsidRPr="00FD211F">
        <w:rPr>
          <w:sz w:val="36"/>
          <w:szCs w:val="36"/>
          <w:rtl/>
        </w:rPr>
        <w:t xml:space="preserve">، </w:t>
      </w:r>
      <w:r w:rsidR="00797457" w:rsidRPr="00FD211F">
        <w:rPr>
          <w:sz w:val="36"/>
          <w:szCs w:val="36"/>
          <w:rtl/>
        </w:rPr>
        <w:t>وهكذا...</w:t>
      </w:r>
      <w:r w:rsidR="00EC7EDF" w:rsidRPr="00FD211F">
        <w:rPr>
          <w:sz w:val="36"/>
          <w:szCs w:val="36"/>
          <w:rtl/>
        </w:rPr>
        <w:t>.</w:t>
      </w:r>
    </w:p>
    <w:p w14:paraId="708B2499" w14:textId="77777777" w:rsidR="00970376" w:rsidRPr="00FD211F" w:rsidRDefault="00797457" w:rsidP="009C58C8">
      <w:pPr>
        <w:ind w:left="0" w:firstLine="227"/>
        <w:jc w:val="both"/>
        <w:rPr>
          <w:sz w:val="36"/>
          <w:szCs w:val="36"/>
          <w:rtl/>
        </w:rPr>
      </w:pPr>
      <w:r w:rsidRPr="00FD211F">
        <w:rPr>
          <w:sz w:val="36"/>
          <w:szCs w:val="36"/>
          <w:rtl/>
        </w:rPr>
        <w:t>والحاصل</w:t>
      </w:r>
      <w:r w:rsidR="00970376" w:rsidRPr="00FD211F">
        <w:rPr>
          <w:sz w:val="36"/>
          <w:szCs w:val="36"/>
          <w:rtl/>
        </w:rPr>
        <w:t xml:space="preserve"> ان الحروف موضوع</w:t>
      </w:r>
      <w:r w:rsidR="00EC7EDF" w:rsidRPr="00FD211F">
        <w:rPr>
          <w:sz w:val="36"/>
          <w:szCs w:val="36"/>
          <w:rtl/>
        </w:rPr>
        <w:t xml:space="preserve">ة </w:t>
      </w:r>
      <w:r w:rsidR="00970376" w:rsidRPr="00FD211F">
        <w:rPr>
          <w:sz w:val="36"/>
          <w:szCs w:val="36"/>
          <w:rtl/>
        </w:rPr>
        <w:t>لمعانيها بالوضع الشخصي لاالنوعي على وزان الوضع العام والموضوع له الخاص</w:t>
      </w:r>
      <w:r w:rsidR="00603323" w:rsidRPr="00FD211F">
        <w:rPr>
          <w:sz w:val="36"/>
          <w:szCs w:val="36"/>
          <w:rtl/>
        </w:rPr>
        <w:t xml:space="preserve">، </w:t>
      </w:r>
      <w:r w:rsidR="00970376" w:rsidRPr="00FD211F">
        <w:rPr>
          <w:sz w:val="36"/>
          <w:szCs w:val="36"/>
          <w:rtl/>
        </w:rPr>
        <w:t>فيقول الواضع مثلا وضعت لفظ</w:t>
      </w:r>
      <w:r w:rsidR="00EC7EDF" w:rsidRPr="00FD211F">
        <w:rPr>
          <w:sz w:val="36"/>
          <w:szCs w:val="36"/>
          <w:rtl/>
        </w:rPr>
        <w:t xml:space="preserve">ة </w:t>
      </w:r>
      <w:r w:rsidR="00970376" w:rsidRPr="00FD211F">
        <w:rPr>
          <w:sz w:val="36"/>
          <w:szCs w:val="36"/>
          <w:rtl/>
        </w:rPr>
        <w:t>"في" لواقع النسب</w:t>
      </w:r>
      <w:r w:rsidR="00EC7EDF" w:rsidRPr="00FD211F">
        <w:rPr>
          <w:sz w:val="36"/>
          <w:szCs w:val="36"/>
          <w:rtl/>
        </w:rPr>
        <w:t xml:space="preserve">ة </w:t>
      </w:r>
      <w:r w:rsidR="00970376" w:rsidRPr="00FD211F">
        <w:rPr>
          <w:sz w:val="36"/>
          <w:szCs w:val="36"/>
          <w:rtl/>
        </w:rPr>
        <w:t>الظرفي</w:t>
      </w:r>
      <w:r w:rsidR="00EC7EDF" w:rsidRPr="00FD211F">
        <w:rPr>
          <w:sz w:val="36"/>
          <w:szCs w:val="36"/>
          <w:rtl/>
        </w:rPr>
        <w:t>ة</w:t>
      </w:r>
      <w:r w:rsidR="00603323" w:rsidRPr="00FD211F">
        <w:rPr>
          <w:sz w:val="36"/>
          <w:szCs w:val="36"/>
          <w:rtl/>
        </w:rPr>
        <w:t xml:space="preserve">، </w:t>
      </w:r>
      <w:r w:rsidR="00970376" w:rsidRPr="00FD211F">
        <w:rPr>
          <w:sz w:val="36"/>
          <w:szCs w:val="36"/>
          <w:rtl/>
        </w:rPr>
        <w:t>فلايتم دعوى وضع مجموع الجمل</w:t>
      </w:r>
      <w:r w:rsidR="00EC7EDF" w:rsidRPr="00FD211F">
        <w:rPr>
          <w:sz w:val="36"/>
          <w:szCs w:val="36"/>
          <w:rtl/>
        </w:rPr>
        <w:t xml:space="preserve">ة </w:t>
      </w:r>
      <w:r w:rsidR="00970376" w:rsidRPr="00FD211F">
        <w:rPr>
          <w:sz w:val="36"/>
          <w:szCs w:val="36"/>
          <w:rtl/>
        </w:rPr>
        <w:t>المشتمل</w:t>
      </w:r>
      <w:r w:rsidR="00EC7EDF" w:rsidRPr="00FD211F">
        <w:rPr>
          <w:sz w:val="36"/>
          <w:szCs w:val="36"/>
          <w:rtl/>
        </w:rPr>
        <w:t xml:space="preserve">ة </w:t>
      </w:r>
      <w:r w:rsidR="00970376" w:rsidRPr="00FD211F">
        <w:rPr>
          <w:sz w:val="36"/>
          <w:szCs w:val="36"/>
          <w:rtl/>
        </w:rPr>
        <w:t>على لفظ</w:t>
      </w:r>
      <w:r w:rsidR="00EC7EDF" w:rsidRPr="00FD211F">
        <w:rPr>
          <w:sz w:val="36"/>
          <w:szCs w:val="36"/>
          <w:rtl/>
        </w:rPr>
        <w:t xml:space="preserve">ة </w:t>
      </w:r>
      <w:r w:rsidR="00970376" w:rsidRPr="00FD211F">
        <w:rPr>
          <w:sz w:val="36"/>
          <w:szCs w:val="36"/>
          <w:rtl/>
        </w:rPr>
        <w:t>"في" لمعناها فراجع.</w:t>
      </w:r>
    </w:p>
    <w:p w14:paraId="2507EA8F" w14:textId="77777777" w:rsidR="00970376" w:rsidRPr="00FD211F" w:rsidRDefault="00970376" w:rsidP="009C58C8">
      <w:pPr>
        <w:ind w:left="0" w:firstLine="227"/>
        <w:jc w:val="both"/>
        <w:rPr>
          <w:sz w:val="36"/>
          <w:szCs w:val="36"/>
          <w:rtl/>
        </w:rPr>
      </w:pPr>
      <w:r w:rsidRPr="00FD211F">
        <w:rPr>
          <w:sz w:val="36"/>
          <w:szCs w:val="36"/>
          <w:rtl/>
        </w:rPr>
        <w:t>وكيف كان فالصحيح ما عليه المشهور من كون الوضع للحروف والهيئات عاما والموضوع له خاصا.</w:t>
      </w:r>
    </w:p>
    <w:p w14:paraId="3BBE35DC" w14:textId="77777777" w:rsidR="00970376" w:rsidRPr="00FD211F" w:rsidRDefault="00970376" w:rsidP="009C58C8">
      <w:pPr>
        <w:ind w:left="0" w:firstLine="227"/>
        <w:jc w:val="both"/>
        <w:rPr>
          <w:sz w:val="36"/>
          <w:szCs w:val="36"/>
          <w:rtl/>
        </w:rPr>
      </w:pPr>
      <w:r w:rsidRPr="00FD211F">
        <w:rPr>
          <w:sz w:val="36"/>
          <w:szCs w:val="36"/>
          <w:rtl/>
        </w:rPr>
        <w:t>ولكن خالف في ذلك المحقق العراقي</w:t>
      </w:r>
      <w:r w:rsidR="00B31DA1" w:rsidRPr="00FD211F">
        <w:rPr>
          <w:sz w:val="36"/>
          <w:szCs w:val="36"/>
          <w:rtl/>
        </w:rPr>
        <w:t>"قده"</w:t>
      </w:r>
      <w:r w:rsidR="00B253CE" w:rsidRPr="00FD211F">
        <w:rPr>
          <w:sz w:val="36"/>
          <w:szCs w:val="36"/>
          <w:rtl/>
        </w:rPr>
        <w:t xml:space="preserve"> </w:t>
      </w:r>
      <w:r w:rsidRPr="00FD211F">
        <w:rPr>
          <w:sz w:val="36"/>
          <w:szCs w:val="36"/>
          <w:rtl/>
        </w:rPr>
        <w:t>فادعى ما محصله: ان وضع الحروف يكون من قبيل الوضع العام والموضوع له العام</w:t>
      </w:r>
      <w:r w:rsidR="00603323" w:rsidRPr="00FD211F">
        <w:rPr>
          <w:sz w:val="36"/>
          <w:szCs w:val="36"/>
          <w:rtl/>
        </w:rPr>
        <w:t xml:space="preserve">، </w:t>
      </w:r>
      <w:r w:rsidRPr="00FD211F">
        <w:rPr>
          <w:sz w:val="36"/>
          <w:szCs w:val="36"/>
          <w:rtl/>
        </w:rPr>
        <w:t>فان الموضوع له للفظ</w:t>
      </w:r>
      <w:r w:rsidR="00EC7EDF" w:rsidRPr="00FD211F">
        <w:rPr>
          <w:sz w:val="36"/>
          <w:szCs w:val="36"/>
          <w:rtl/>
        </w:rPr>
        <w:t xml:space="preserve">ة </w:t>
      </w:r>
      <w:r w:rsidRPr="00FD211F">
        <w:rPr>
          <w:sz w:val="36"/>
          <w:szCs w:val="36"/>
          <w:rtl/>
        </w:rPr>
        <w:t>"من" مثلا هو الجامع الذاتي بين أفراد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ة</w:t>
      </w:r>
      <w:r w:rsidR="00603323" w:rsidRPr="00FD211F">
        <w:rPr>
          <w:sz w:val="36"/>
          <w:szCs w:val="36"/>
          <w:rtl/>
        </w:rPr>
        <w:t xml:space="preserve">، </w:t>
      </w:r>
      <w:r w:rsidRPr="00FD211F">
        <w:rPr>
          <w:sz w:val="36"/>
          <w:szCs w:val="36"/>
          <w:rtl/>
        </w:rPr>
        <w:t>وهذا الجامع الذاتي وان كان لايمكن وجوده في الخارج او الذهن مجردا عن الخصوصيات</w:t>
      </w:r>
      <w:r w:rsidR="00603323" w:rsidRPr="00FD211F">
        <w:rPr>
          <w:sz w:val="36"/>
          <w:szCs w:val="36"/>
          <w:rtl/>
        </w:rPr>
        <w:t xml:space="preserve">، </w:t>
      </w:r>
      <w:r w:rsidRPr="00FD211F">
        <w:rPr>
          <w:sz w:val="36"/>
          <w:szCs w:val="36"/>
          <w:rtl/>
        </w:rPr>
        <w:t>ولكن يمكن ان يشار اليه بعنوان انتزاعي اجمالي وهو عنوان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ة</w:t>
      </w:r>
      <w:r w:rsidR="00603323" w:rsidRPr="00FD211F">
        <w:rPr>
          <w:sz w:val="36"/>
          <w:szCs w:val="36"/>
          <w:rtl/>
        </w:rPr>
        <w:t xml:space="preserve">، </w:t>
      </w:r>
      <w:r w:rsidRPr="00FD211F">
        <w:rPr>
          <w:sz w:val="36"/>
          <w:szCs w:val="36"/>
          <w:rtl/>
        </w:rPr>
        <w:t>فيوضع لفظ</w:t>
      </w:r>
      <w:r w:rsidR="00EC7EDF" w:rsidRPr="00FD211F">
        <w:rPr>
          <w:sz w:val="36"/>
          <w:szCs w:val="36"/>
          <w:rtl/>
        </w:rPr>
        <w:t xml:space="preserve">ة </w:t>
      </w:r>
      <w:r w:rsidRPr="00FD211F">
        <w:rPr>
          <w:sz w:val="36"/>
          <w:szCs w:val="36"/>
          <w:rtl/>
        </w:rPr>
        <w:t>"من" بإزاء ذلك الجامع الذاتي بحيث لاتحكي الا عنه</w:t>
      </w:r>
      <w:r w:rsidR="00603323" w:rsidRPr="00FD211F">
        <w:rPr>
          <w:sz w:val="36"/>
          <w:szCs w:val="36"/>
          <w:rtl/>
        </w:rPr>
        <w:t xml:space="preserve">، </w:t>
      </w:r>
      <w:r w:rsidRPr="00FD211F">
        <w:rPr>
          <w:sz w:val="36"/>
          <w:szCs w:val="36"/>
          <w:rtl/>
        </w:rPr>
        <w:t>ويستفاد الخصوصيات من الدوالّ الأخر</w:t>
      </w:r>
      <w:r w:rsidR="00603323" w:rsidRPr="00FD211F">
        <w:rPr>
          <w:sz w:val="36"/>
          <w:szCs w:val="36"/>
          <w:rtl/>
        </w:rPr>
        <w:t xml:space="preserve">، </w:t>
      </w:r>
      <w:r w:rsidRPr="00FD211F">
        <w:rPr>
          <w:sz w:val="36"/>
          <w:szCs w:val="36"/>
          <w:rtl/>
        </w:rPr>
        <w:t>ومما يشهد على وجود هذا الجامع الذاتي بين أفراد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هو ما يرى من الفرق بينها وبين أفراد النسب</w:t>
      </w:r>
      <w:r w:rsidR="00EC7EDF" w:rsidRPr="00FD211F">
        <w:rPr>
          <w:sz w:val="36"/>
          <w:szCs w:val="36"/>
          <w:rtl/>
        </w:rPr>
        <w:t xml:space="preserve">ة </w:t>
      </w:r>
      <w:r w:rsidRPr="00FD211F">
        <w:rPr>
          <w:sz w:val="36"/>
          <w:szCs w:val="36"/>
          <w:rtl/>
        </w:rPr>
        <w:t>الظرفي</w:t>
      </w:r>
      <w:r w:rsidR="00EC7EDF" w:rsidRPr="00FD211F">
        <w:rPr>
          <w:sz w:val="36"/>
          <w:szCs w:val="36"/>
          <w:rtl/>
        </w:rPr>
        <w:t xml:space="preserve">ة </w:t>
      </w:r>
      <w:r w:rsidRPr="00FD211F">
        <w:rPr>
          <w:sz w:val="36"/>
          <w:szCs w:val="36"/>
          <w:rtl/>
        </w:rPr>
        <w:t>مثلا</w:t>
      </w:r>
      <w:r w:rsidR="00603323" w:rsidRPr="00FD211F">
        <w:rPr>
          <w:sz w:val="36"/>
          <w:szCs w:val="36"/>
          <w:rtl/>
        </w:rPr>
        <w:t xml:space="preserve">، </w:t>
      </w:r>
      <w:r w:rsidRPr="00FD211F">
        <w:rPr>
          <w:sz w:val="36"/>
          <w:szCs w:val="36"/>
          <w:rtl/>
        </w:rPr>
        <w:t>وأنه يتبادر الحيثي</w:t>
      </w:r>
      <w:r w:rsidR="00EC7EDF" w:rsidRPr="00FD211F">
        <w:rPr>
          <w:sz w:val="36"/>
          <w:szCs w:val="36"/>
          <w:rtl/>
        </w:rPr>
        <w:t xml:space="preserve">ة </w:t>
      </w:r>
      <w:r w:rsidRPr="00FD211F">
        <w:rPr>
          <w:sz w:val="36"/>
          <w:szCs w:val="36"/>
          <w:rtl/>
        </w:rPr>
        <w:t>المشترك</w:t>
      </w:r>
      <w:r w:rsidR="00EC7EDF" w:rsidRPr="00FD211F">
        <w:rPr>
          <w:sz w:val="36"/>
          <w:szCs w:val="36"/>
          <w:rtl/>
        </w:rPr>
        <w:t xml:space="preserve">ة </w:t>
      </w:r>
      <w:r w:rsidRPr="00FD211F">
        <w:rPr>
          <w:sz w:val="36"/>
          <w:szCs w:val="36"/>
          <w:rtl/>
        </w:rPr>
        <w:t>بين افراد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من لفظ</w:t>
      </w:r>
      <w:r w:rsidR="00EC7EDF" w:rsidRPr="00FD211F">
        <w:rPr>
          <w:sz w:val="36"/>
          <w:szCs w:val="36"/>
          <w:rtl/>
        </w:rPr>
        <w:t xml:space="preserve">ة </w:t>
      </w:r>
      <w:r w:rsidRPr="00FD211F">
        <w:rPr>
          <w:sz w:val="36"/>
          <w:szCs w:val="36"/>
          <w:rtl/>
        </w:rPr>
        <w:t>من مثلا في جميع موارد استعمالها</w:t>
      </w:r>
      <w:r w:rsidR="00603323" w:rsidRPr="00FD211F">
        <w:rPr>
          <w:sz w:val="36"/>
          <w:szCs w:val="36"/>
          <w:rtl/>
        </w:rPr>
        <w:t xml:space="preserve">، </w:t>
      </w:r>
      <w:r w:rsidRPr="00FD211F">
        <w:rPr>
          <w:sz w:val="36"/>
          <w:szCs w:val="36"/>
          <w:rtl/>
        </w:rPr>
        <w:t>نعم الفرق بين وضع الحروف وبين وضع أسماء الأجناس هو أن المعنى الموضوع له في أسماء الأجناس يكون جامعا ذاتيا بين أفراد جنس واحد ويكون قابلا للوجود الذهني مستقلا عن الخصوصيات وان كان لايوجد في الخارج الا في ضمن تلك الخصوصيات كمفهوم الحيوان</w:t>
      </w:r>
      <w:r w:rsidR="00603323" w:rsidRPr="00FD211F">
        <w:rPr>
          <w:sz w:val="36"/>
          <w:szCs w:val="36"/>
          <w:rtl/>
        </w:rPr>
        <w:t xml:space="preserve">، </w:t>
      </w:r>
      <w:r w:rsidRPr="00FD211F">
        <w:rPr>
          <w:sz w:val="36"/>
          <w:szCs w:val="36"/>
          <w:rtl/>
        </w:rPr>
        <w:t>وأما المعاني الحرفي</w:t>
      </w:r>
      <w:r w:rsidR="00EC7EDF" w:rsidRPr="00FD211F">
        <w:rPr>
          <w:sz w:val="36"/>
          <w:szCs w:val="36"/>
          <w:rtl/>
        </w:rPr>
        <w:t xml:space="preserve">ة </w:t>
      </w:r>
      <w:r w:rsidRPr="00FD211F">
        <w:rPr>
          <w:sz w:val="36"/>
          <w:szCs w:val="36"/>
          <w:rtl/>
        </w:rPr>
        <w:t>فهي غير قابل</w:t>
      </w:r>
      <w:r w:rsidR="00EC7EDF" w:rsidRPr="00FD211F">
        <w:rPr>
          <w:sz w:val="36"/>
          <w:szCs w:val="36"/>
          <w:rtl/>
        </w:rPr>
        <w:t xml:space="preserve">ة </w:t>
      </w:r>
      <w:r w:rsidRPr="00FD211F">
        <w:rPr>
          <w:sz w:val="36"/>
          <w:szCs w:val="36"/>
          <w:rtl/>
        </w:rPr>
        <w:t>لأن توجد مستقل</w:t>
      </w:r>
      <w:r w:rsidR="00EC7EDF" w:rsidRPr="00FD211F">
        <w:rPr>
          <w:sz w:val="36"/>
          <w:szCs w:val="36"/>
          <w:rtl/>
        </w:rPr>
        <w:t xml:space="preserve">ة </w:t>
      </w:r>
      <w:r w:rsidRPr="00FD211F">
        <w:rPr>
          <w:sz w:val="36"/>
          <w:szCs w:val="36"/>
          <w:rtl/>
        </w:rPr>
        <w:t>عن الخصوصيات حتى في الذهن</w:t>
      </w:r>
      <w:r w:rsidR="00603323" w:rsidRPr="00FD211F">
        <w:rPr>
          <w:sz w:val="36"/>
          <w:szCs w:val="36"/>
          <w:rtl/>
        </w:rPr>
        <w:t xml:space="preserve">، </w:t>
      </w:r>
      <w:r w:rsidRPr="00FD211F">
        <w:rPr>
          <w:sz w:val="36"/>
          <w:szCs w:val="36"/>
          <w:rtl/>
        </w:rPr>
        <w:t>الا ان ذلك لايوجب خروجها عن الوضع العام والموضوع له العام</w:t>
      </w:r>
      <w:r w:rsidR="009C58C8" w:rsidRPr="00FD211F">
        <w:rPr>
          <w:rStyle w:val="a6"/>
          <w:sz w:val="36"/>
          <w:szCs w:val="36"/>
          <w:rtl/>
        </w:rPr>
        <w:t>(</w:t>
      </w:r>
      <w:r w:rsidR="009C58C8" w:rsidRPr="00FD211F">
        <w:rPr>
          <w:rStyle w:val="a6"/>
          <w:sz w:val="36"/>
          <w:szCs w:val="36"/>
          <w:rtl/>
        </w:rPr>
        <w:footnoteReference w:id="257"/>
      </w:r>
      <w:r w:rsidR="009C58C8" w:rsidRPr="00FD211F">
        <w:rPr>
          <w:rStyle w:val="a6"/>
          <w:sz w:val="36"/>
          <w:szCs w:val="36"/>
          <w:rtl/>
        </w:rPr>
        <w:t>)</w:t>
      </w:r>
      <w:r w:rsidRPr="00FD211F">
        <w:rPr>
          <w:sz w:val="36"/>
          <w:szCs w:val="36"/>
          <w:rtl/>
        </w:rPr>
        <w:t>.</w:t>
      </w:r>
    </w:p>
    <w:p w14:paraId="0B24FE75" w14:textId="77777777" w:rsidR="00443DFA" w:rsidRPr="00FD211F" w:rsidRDefault="00296A49" w:rsidP="009C58C8">
      <w:pPr>
        <w:ind w:left="0" w:firstLine="227"/>
        <w:jc w:val="both"/>
        <w:rPr>
          <w:sz w:val="36"/>
          <w:szCs w:val="36"/>
          <w:rtl/>
        </w:rPr>
      </w:pPr>
      <w:r w:rsidRPr="00FD211F">
        <w:rPr>
          <w:sz w:val="36"/>
          <w:szCs w:val="36"/>
          <w:rtl/>
        </w:rPr>
        <w:t>وأجاب عنه في البحوث</w:t>
      </w:r>
      <w:r w:rsidR="00970376" w:rsidRPr="00FD211F">
        <w:rPr>
          <w:sz w:val="36"/>
          <w:szCs w:val="36"/>
          <w:rtl/>
        </w:rPr>
        <w:t xml:space="preserve"> بما محصله: انه لااشكال في وجود حيثي</w:t>
      </w:r>
      <w:r w:rsidR="00EC7EDF" w:rsidRPr="00FD211F">
        <w:rPr>
          <w:sz w:val="36"/>
          <w:szCs w:val="36"/>
          <w:rtl/>
        </w:rPr>
        <w:t xml:space="preserve">ة </w:t>
      </w:r>
      <w:r w:rsidR="00970376" w:rsidRPr="00FD211F">
        <w:rPr>
          <w:sz w:val="36"/>
          <w:szCs w:val="36"/>
          <w:rtl/>
        </w:rPr>
        <w:t>مشترك</w:t>
      </w:r>
      <w:r w:rsidR="00EC7EDF" w:rsidRPr="00FD211F">
        <w:rPr>
          <w:sz w:val="36"/>
          <w:szCs w:val="36"/>
          <w:rtl/>
        </w:rPr>
        <w:t xml:space="preserve">ة </w:t>
      </w:r>
      <w:r w:rsidR="00970376" w:rsidRPr="00FD211F">
        <w:rPr>
          <w:sz w:val="36"/>
          <w:szCs w:val="36"/>
          <w:rtl/>
        </w:rPr>
        <w:t>بين افراد النسب</w:t>
      </w:r>
      <w:r w:rsidR="00EC7EDF" w:rsidRPr="00FD211F">
        <w:rPr>
          <w:sz w:val="36"/>
          <w:szCs w:val="36"/>
          <w:rtl/>
        </w:rPr>
        <w:t xml:space="preserve">ة </w:t>
      </w:r>
      <w:r w:rsidR="00970376" w:rsidRPr="00FD211F">
        <w:rPr>
          <w:sz w:val="36"/>
          <w:szCs w:val="36"/>
          <w:rtl/>
        </w:rPr>
        <w:t>الابتدائي</w:t>
      </w:r>
      <w:r w:rsidR="00EC7EDF" w:rsidRPr="00FD211F">
        <w:rPr>
          <w:sz w:val="36"/>
          <w:szCs w:val="36"/>
          <w:rtl/>
        </w:rPr>
        <w:t xml:space="preserve">ة </w:t>
      </w:r>
      <w:r w:rsidR="00970376" w:rsidRPr="00FD211F">
        <w:rPr>
          <w:sz w:val="36"/>
          <w:szCs w:val="36"/>
          <w:rtl/>
        </w:rPr>
        <w:t>لكنه لايعني كونها جامعا ذاتيا</w:t>
      </w:r>
      <w:r w:rsidR="00603323" w:rsidRPr="00FD211F">
        <w:rPr>
          <w:sz w:val="36"/>
          <w:szCs w:val="36"/>
          <w:rtl/>
        </w:rPr>
        <w:t xml:space="preserve">، </w:t>
      </w:r>
      <w:r w:rsidR="00970376" w:rsidRPr="00FD211F">
        <w:rPr>
          <w:sz w:val="36"/>
          <w:szCs w:val="36"/>
          <w:rtl/>
        </w:rPr>
        <w:t>فانه ان كان للذات تقرر ماهوي سابق على الوجود فالحيثي</w:t>
      </w:r>
      <w:r w:rsidR="00EC7EDF" w:rsidRPr="00FD211F">
        <w:rPr>
          <w:sz w:val="36"/>
          <w:szCs w:val="36"/>
          <w:rtl/>
        </w:rPr>
        <w:t xml:space="preserve">ة </w:t>
      </w:r>
      <w:r w:rsidR="00970376" w:rsidRPr="00FD211F">
        <w:rPr>
          <w:sz w:val="36"/>
          <w:szCs w:val="36"/>
          <w:rtl/>
        </w:rPr>
        <w:t>المشترك</w:t>
      </w:r>
      <w:r w:rsidR="00EC7EDF" w:rsidRPr="00FD211F">
        <w:rPr>
          <w:sz w:val="36"/>
          <w:szCs w:val="36"/>
          <w:rtl/>
        </w:rPr>
        <w:t xml:space="preserve">ة </w:t>
      </w:r>
      <w:r w:rsidR="00970376" w:rsidRPr="00FD211F">
        <w:rPr>
          <w:sz w:val="36"/>
          <w:szCs w:val="36"/>
          <w:rtl/>
        </w:rPr>
        <w:t>بين الافراد تكشف عن وجود جامع ذاتي لها</w:t>
      </w:r>
      <w:r w:rsidR="00603323" w:rsidRPr="00FD211F">
        <w:rPr>
          <w:sz w:val="36"/>
          <w:szCs w:val="36"/>
          <w:rtl/>
        </w:rPr>
        <w:t xml:space="preserve">، </w:t>
      </w:r>
      <w:r w:rsidR="00970376" w:rsidRPr="00FD211F">
        <w:rPr>
          <w:sz w:val="36"/>
          <w:szCs w:val="36"/>
          <w:rtl/>
        </w:rPr>
        <w:t>وأما الحيثي</w:t>
      </w:r>
      <w:r w:rsidR="00EC7EDF" w:rsidRPr="00FD211F">
        <w:rPr>
          <w:sz w:val="36"/>
          <w:szCs w:val="36"/>
          <w:rtl/>
        </w:rPr>
        <w:t xml:space="preserve">ة </w:t>
      </w:r>
      <w:r w:rsidR="00970376" w:rsidRPr="00FD211F">
        <w:rPr>
          <w:sz w:val="36"/>
          <w:szCs w:val="36"/>
          <w:rtl/>
        </w:rPr>
        <w:t>المشترك</w:t>
      </w:r>
      <w:r w:rsidR="00EC7EDF" w:rsidRPr="00FD211F">
        <w:rPr>
          <w:sz w:val="36"/>
          <w:szCs w:val="36"/>
          <w:rtl/>
        </w:rPr>
        <w:t xml:space="preserve">ة </w:t>
      </w:r>
      <w:r w:rsidR="00970376" w:rsidRPr="00FD211F">
        <w:rPr>
          <w:sz w:val="36"/>
          <w:szCs w:val="36"/>
          <w:rtl/>
        </w:rPr>
        <w:t>المنتزع</w:t>
      </w:r>
      <w:r w:rsidR="00EC7EDF" w:rsidRPr="00FD211F">
        <w:rPr>
          <w:sz w:val="36"/>
          <w:szCs w:val="36"/>
          <w:rtl/>
        </w:rPr>
        <w:t xml:space="preserve">ة </w:t>
      </w:r>
      <w:r w:rsidR="00970376" w:rsidRPr="00FD211F">
        <w:rPr>
          <w:sz w:val="36"/>
          <w:szCs w:val="36"/>
          <w:rtl/>
        </w:rPr>
        <w:t>عن مرتب</w:t>
      </w:r>
      <w:r w:rsidR="00EC7EDF" w:rsidRPr="00FD211F">
        <w:rPr>
          <w:sz w:val="36"/>
          <w:szCs w:val="36"/>
          <w:rtl/>
        </w:rPr>
        <w:t xml:space="preserve">ة </w:t>
      </w:r>
      <w:r w:rsidR="00970376" w:rsidRPr="00FD211F">
        <w:rPr>
          <w:sz w:val="36"/>
          <w:szCs w:val="36"/>
          <w:rtl/>
        </w:rPr>
        <w:t>وجود الأفراد فلايمكن ان تكون جامعا ذاتيا لها</w:t>
      </w:r>
      <w:r w:rsidR="00603323" w:rsidRPr="00FD211F">
        <w:rPr>
          <w:sz w:val="36"/>
          <w:szCs w:val="36"/>
          <w:rtl/>
        </w:rPr>
        <w:t xml:space="preserve">، </w:t>
      </w:r>
      <w:r w:rsidR="00970376" w:rsidRPr="00FD211F">
        <w:rPr>
          <w:sz w:val="36"/>
          <w:szCs w:val="36"/>
          <w:rtl/>
        </w:rPr>
        <w:t>الا ترى ان ما يحكي عن سنخ الوجود كمفهوم العرض يكون حاكيا عن حيثي</w:t>
      </w:r>
      <w:r w:rsidR="00EC7EDF" w:rsidRPr="00FD211F">
        <w:rPr>
          <w:sz w:val="36"/>
          <w:szCs w:val="36"/>
          <w:rtl/>
        </w:rPr>
        <w:t xml:space="preserve">ة </w:t>
      </w:r>
      <w:r w:rsidR="00970376" w:rsidRPr="00FD211F">
        <w:rPr>
          <w:sz w:val="36"/>
          <w:szCs w:val="36"/>
          <w:rtl/>
        </w:rPr>
        <w:t>مشترك</w:t>
      </w:r>
      <w:r w:rsidR="00EC7EDF" w:rsidRPr="00FD211F">
        <w:rPr>
          <w:sz w:val="36"/>
          <w:szCs w:val="36"/>
          <w:rtl/>
        </w:rPr>
        <w:t xml:space="preserve">ة </w:t>
      </w:r>
      <w:r w:rsidR="00970376" w:rsidRPr="00FD211F">
        <w:rPr>
          <w:sz w:val="36"/>
          <w:szCs w:val="36"/>
          <w:rtl/>
        </w:rPr>
        <w:t>بين وجودات الأعراض ولكنه لايعني ان العرض جامع ذاتي لها</w:t>
      </w:r>
      <w:r w:rsidR="00603323" w:rsidRPr="00FD211F">
        <w:rPr>
          <w:sz w:val="36"/>
          <w:szCs w:val="36"/>
          <w:rtl/>
        </w:rPr>
        <w:t xml:space="preserve">، </w:t>
      </w:r>
      <w:r w:rsidR="00970376" w:rsidRPr="00FD211F">
        <w:rPr>
          <w:sz w:val="36"/>
          <w:szCs w:val="36"/>
          <w:rtl/>
        </w:rPr>
        <w:t>والحيثي</w:t>
      </w:r>
      <w:r w:rsidR="00EC7EDF" w:rsidRPr="00FD211F">
        <w:rPr>
          <w:sz w:val="36"/>
          <w:szCs w:val="36"/>
          <w:rtl/>
        </w:rPr>
        <w:t xml:space="preserve">ة </w:t>
      </w:r>
      <w:r w:rsidR="00970376" w:rsidRPr="00FD211F">
        <w:rPr>
          <w:sz w:val="36"/>
          <w:szCs w:val="36"/>
          <w:rtl/>
        </w:rPr>
        <w:t>المشترك</w:t>
      </w:r>
      <w:r w:rsidR="00EC7EDF" w:rsidRPr="00FD211F">
        <w:rPr>
          <w:sz w:val="36"/>
          <w:szCs w:val="36"/>
          <w:rtl/>
        </w:rPr>
        <w:t xml:space="preserve">ة </w:t>
      </w:r>
      <w:r w:rsidR="00970376" w:rsidRPr="00FD211F">
        <w:rPr>
          <w:sz w:val="36"/>
          <w:szCs w:val="36"/>
          <w:rtl/>
        </w:rPr>
        <w:t>في أفراد النسب</w:t>
      </w:r>
      <w:r w:rsidR="00EC7EDF" w:rsidRPr="00FD211F">
        <w:rPr>
          <w:sz w:val="36"/>
          <w:szCs w:val="36"/>
          <w:rtl/>
        </w:rPr>
        <w:t xml:space="preserve">ة </w:t>
      </w:r>
      <w:r w:rsidR="00970376" w:rsidRPr="00FD211F">
        <w:rPr>
          <w:sz w:val="36"/>
          <w:szCs w:val="36"/>
          <w:rtl/>
        </w:rPr>
        <w:t>الابتدائي</w:t>
      </w:r>
      <w:r w:rsidR="00EC7EDF" w:rsidRPr="00FD211F">
        <w:rPr>
          <w:sz w:val="36"/>
          <w:szCs w:val="36"/>
          <w:rtl/>
        </w:rPr>
        <w:t xml:space="preserve">ة </w:t>
      </w:r>
      <w:r w:rsidR="00970376" w:rsidRPr="00FD211F">
        <w:rPr>
          <w:sz w:val="36"/>
          <w:szCs w:val="36"/>
          <w:rtl/>
        </w:rPr>
        <w:t>مثلا حيث تنتزع عن مرتب</w:t>
      </w:r>
      <w:r w:rsidR="00EC7EDF" w:rsidRPr="00FD211F">
        <w:rPr>
          <w:sz w:val="36"/>
          <w:szCs w:val="36"/>
          <w:rtl/>
        </w:rPr>
        <w:t xml:space="preserve">ة </w:t>
      </w:r>
      <w:r w:rsidR="00970376" w:rsidRPr="00FD211F">
        <w:rPr>
          <w:sz w:val="36"/>
          <w:szCs w:val="36"/>
          <w:rtl/>
        </w:rPr>
        <w:t>وجود تلك الأفراد فلاتصلح ان تصير جامعا ذاتيا بينها</w:t>
      </w:r>
      <w:r w:rsidR="00603323" w:rsidRPr="00FD211F">
        <w:rPr>
          <w:sz w:val="36"/>
          <w:szCs w:val="36"/>
          <w:rtl/>
        </w:rPr>
        <w:t xml:space="preserve">، </w:t>
      </w:r>
      <w:r w:rsidR="00970376" w:rsidRPr="00FD211F">
        <w:rPr>
          <w:sz w:val="36"/>
          <w:szCs w:val="36"/>
          <w:rtl/>
        </w:rPr>
        <w:t>وليس الوجه في ذلك هو عدم امكان تصوره في الذهن مستقلا عن افراده</w:t>
      </w:r>
      <w:r w:rsidR="00603323" w:rsidRPr="00FD211F">
        <w:rPr>
          <w:sz w:val="36"/>
          <w:szCs w:val="36"/>
          <w:rtl/>
        </w:rPr>
        <w:t xml:space="preserve">، </w:t>
      </w:r>
      <w:r w:rsidR="00970376" w:rsidRPr="00FD211F">
        <w:rPr>
          <w:sz w:val="36"/>
          <w:szCs w:val="36"/>
          <w:rtl/>
        </w:rPr>
        <w:t>فان الماهي</w:t>
      </w:r>
      <w:r w:rsidR="00EC7EDF" w:rsidRPr="00FD211F">
        <w:rPr>
          <w:sz w:val="36"/>
          <w:szCs w:val="36"/>
          <w:rtl/>
        </w:rPr>
        <w:t xml:space="preserve">ة </w:t>
      </w:r>
      <w:r w:rsidR="00970376" w:rsidRPr="00FD211F">
        <w:rPr>
          <w:sz w:val="36"/>
          <w:szCs w:val="36"/>
          <w:rtl/>
        </w:rPr>
        <w:t>اللابشرط المقسمي لاتوجد في الذهن الا في ضمن احد أقسامها الثلاث</w:t>
      </w:r>
      <w:r w:rsidR="00EC7EDF" w:rsidRPr="00FD211F">
        <w:rPr>
          <w:sz w:val="36"/>
          <w:szCs w:val="36"/>
          <w:rtl/>
        </w:rPr>
        <w:t xml:space="preserve">ة </w:t>
      </w:r>
      <w:r w:rsidR="00970376" w:rsidRPr="00FD211F">
        <w:rPr>
          <w:sz w:val="36"/>
          <w:szCs w:val="36"/>
          <w:rtl/>
        </w:rPr>
        <w:t>مع كونها جامعا ذاتيا</w:t>
      </w:r>
      <w:r w:rsidR="00603323" w:rsidRPr="00FD211F">
        <w:rPr>
          <w:sz w:val="36"/>
          <w:szCs w:val="36"/>
          <w:rtl/>
        </w:rPr>
        <w:t xml:space="preserve">، </w:t>
      </w:r>
      <w:r w:rsidR="00970376" w:rsidRPr="00FD211F">
        <w:rPr>
          <w:sz w:val="36"/>
          <w:szCs w:val="36"/>
          <w:rtl/>
        </w:rPr>
        <w:t>بل النكت</w:t>
      </w:r>
      <w:r w:rsidR="00EC7EDF" w:rsidRPr="00FD211F">
        <w:rPr>
          <w:sz w:val="36"/>
          <w:szCs w:val="36"/>
          <w:rtl/>
        </w:rPr>
        <w:t xml:space="preserve">ة </w:t>
      </w:r>
      <w:r w:rsidR="00970376" w:rsidRPr="00FD211F">
        <w:rPr>
          <w:sz w:val="36"/>
          <w:szCs w:val="36"/>
          <w:rtl/>
        </w:rPr>
        <w:t>في عدم وجود الجامع الذاتي بين افراد النسب</w:t>
      </w:r>
      <w:r w:rsidR="00EC7EDF" w:rsidRPr="00FD211F">
        <w:rPr>
          <w:sz w:val="36"/>
          <w:szCs w:val="36"/>
          <w:rtl/>
        </w:rPr>
        <w:t xml:space="preserve">ة </w:t>
      </w:r>
      <w:r w:rsidR="00970376" w:rsidRPr="00FD211F">
        <w:rPr>
          <w:sz w:val="36"/>
          <w:szCs w:val="36"/>
          <w:rtl/>
        </w:rPr>
        <w:t>الابتدائي</w:t>
      </w:r>
      <w:r w:rsidR="00EC7EDF" w:rsidRPr="00FD211F">
        <w:rPr>
          <w:sz w:val="36"/>
          <w:szCs w:val="36"/>
          <w:rtl/>
        </w:rPr>
        <w:t xml:space="preserve">ة </w:t>
      </w:r>
      <w:r w:rsidR="00970376" w:rsidRPr="00FD211F">
        <w:rPr>
          <w:sz w:val="36"/>
          <w:szCs w:val="36"/>
          <w:rtl/>
        </w:rPr>
        <w:t>مثلا هو تقوم ذات النسب</w:t>
      </w:r>
      <w:r w:rsidR="00EC7EDF" w:rsidRPr="00FD211F">
        <w:rPr>
          <w:sz w:val="36"/>
          <w:szCs w:val="36"/>
          <w:rtl/>
        </w:rPr>
        <w:t xml:space="preserve">ة </w:t>
      </w:r>
      <w:r w:rsidR="00970376" w:rsidRPr="00FD211F">
        <w:rPr>
          <w:sz w:val="36"/>
          <w:szCs w:val="36"/>
          <w:rtl/>
        </w:rPr>
        <w:t>الابتدائي</w:t>
      </w:r>
      <w:r w:rsidR="00EC7EDF" w:rsidRPr="00FD211F">
        <w:rPr>
          <w:sz w:val="36"/>
          <w:szCs w:val="36"/>
          <w:rtl/>
        </w:rPr>
        <w:t xml:space="preserve">ة </w:t>
      </w:r>
      <w:r w:rsidR="00970376" w:rsidRPr="00FD211F">
        <w:rPr>
          <w:sz w:val="36"/>
          <w:szCs w:val="36"/>
          <w:rtl/>
        </w:rPr>
        <w:t>في كل قضي</w:t>
      </w:r>
      <w:r w:rsidR="00EC7EDF" w:rsidRPr="00FD211F">
        <w:rPr>
          <w:sz w:val="36"/>
          <w:szCs w:val="36"/>
          <w:rtl/>
        </w:rPr>
        <w:t xml:space="preserve">ة </w:t>
      </w:r>
      <w:r w:rsidR="00970376" w:rsidRPr="00FD211F">
        <w:rPr>
          <w:sz w:val="36"/>
          <w:szCs w:val="36"/>
          <w:rtl/>
        </w:rPr>
        <w:t>مشتمل</w:t>
      </w:r>
      <w:r w:rsidR="00EC7EDF" w:rsidRPr="00FD211F">
        <w:rPr>
          <w:sz w:val="36"/>
          <w:szCs w:val="36"/>
          <w:rtl/>
        </w:rPr>
        <w:t xml:space="preserve">ة </w:t>
      </w:r>
      <w:r w:rsidR="00970376" w:rsidRPr="00FD211F">
        <w:rPr>
          <w:sz w:val="36"/>
          <w:szCs w:val="36"/>
          <w:rtl/>
        </w:rPr>
        <w:t>عليها تتقوم بطرفيها كما في قولنا</w:t>
      </w:r>
      <w:r w:rsidR="008C1AF6" w:rsidRPr="00FD211F">
        <w:rPr>
          <w:sz w:val="36"/>
          <w:szCs w:val="36"/>
          <w:rtl/>
        </w:rPr>
        <w:t>"</w:t>
      </w:r>
      <w:r w:rsidR="00970376" w:rsidRPr="00FD211F">
        <w:rPr>
          <w:sz w:val="36"/>
          <w:szCs w:val="36"/>
          <w:rtl/>
        </w:rPr>
        <w:t xml:space="preserve"> سرت من البصر</w:t>
      </w:r>
      <w:r w:rsidR="00EC7EDF" w:rsidRPr="00FD211F">
        <w:rPr>
          <w:sz w:val="36"/>
          <w:szCs w:val="36"/>
          <w:rtl/>
        </w:rPr>
        <w:t>ة</w:t>
      </w:r>
      <w:r w:rsidR="008C1AF6" w:rsidRPr="00FD211F">
        <w:rPr>
          <w:sz w:val="36"/>
          <w:szCs w:val="36"/>
          <w:rtl/>
        </w:rPr>
        <w:t>"</w:t>
      </w:r>
      <w:r w:rsidR="00603323" w:rsidRPr="00FD211F">
        <w:rPr>
          <w:sz w:val="36"/>
          <w:szCs w:val="36"/>
          <w:rtl/>
        </w:rPr>
        <w:t xml:space="preserve">، </w:t>
      </w:r>
      <w:r w:rsidR="00970376" w:rsidRPr="00FD211F">
        <w:rPr>
          <w:sz w:val="36"/>
          <w:szCs w:val="36"/>
          <w:rtl/>
        </w:rPr>
        <w:t>وإلغاء خصوصي</w:t>
      </w:r>
      <w:r w:rsidR="00EC7EDF" w:rsidRPr="00FD211F">
        <w:rPr>
          <w:sz w:val="36"/>
          <w:szCs w:val="36"/>
          <w:rtl/>
        </w:rPr>
        <w:t xml:space="preserve">ة </w:t>
      </w:r>
      <w:r w:rsidR="00970376" w:rsidRPr="00FD211F">
        <w:rPr>
          <w:sz w:val="36"/>
          <w:szCs w:val="36"/>
          <w:rtl/>
        </w:rPr>
        <w:t>الطرفين يوجب انهدام ذات المعنى الحرفي لتقومها بالطرفين</w:t>
      </w:r>
      <w:r w:rsidR="00603323" w:rsidRPr="00FD211F">
        <w:rPr>
          <w:sz w:val="36"/>
          <w:szCs w:val="36"/>
          <w:rtl/>
        </w:rPr>
        <w:t xml:space="preserve">، </w:t>
      </w:r>
      <w:r w:rsidR="00970376" w:rsidRPr="00FD211F">
        <w:rPr>
          <w:sz w:val="36"/>
          <w:szCs w:val="36"/>
          <w:rtl/>
        </w:rPr>
        <w:t>ويعتبر في الجامع الذاتي ان لايكون إلغاء خصوصي</w:t>
      </w:r>
      <w:r w:rsidR="00EC7EDF" w:rsidRPr="00FD211F">
        <w:rPr>
          <w:sz w:val="36"/>
          <w:szCs w:val="36"/>
          <w:rtl/>
        </w:rPr>
        <w:t xml:space="preserve">ة </w:t>
      </w:r>
      <w:r w:rsidR="00970376" w:rsidRPr="00FD211F">
        <w:rPr>
          <w:sz w:val="36"/>
          <w:szCs w:val="36"/>
          <w:rtl/>
        </w:rPr>
        <w:t>الفرد موجبا لانهدام الذات</w:t>
      </w:r>
      <w:r w:rsidR="00603323" w:rsidRPr="00FD211F">
        <w:rPr>
          <w:sz w:val="36"/>
          <w:szCs w:val="36"/>
          <w:rtl/>
        </w:rPr>
        <w:t xml:space="preserve">، </w:t>
      </w:r>
      <w:r w:rsidR="00970376" w:rsidRPr="00FD211F">
        <w:rPr>
          <w:sz w:val="36"/>
          <w:szCs w:val="36"/>
          <w:rtl/>
        </w:rPr>
        <w:t>نعم يمكن انتزاع مفهوم اسمي عن افراد النسب</w:t>
      </w:r>
      <w:r w:rsidR="00EC7EDF" w:rsidRPr="00FD211F">
        <w:rPr>
          <w:sz w:val="36"/>
          <w:szCs w:val="36"/>
          <w:rtl/>
        </w:rPr>
        <w:t xml:space="preserve">ة </w:t>
      </w:r>
      <w:r w:rsidR="00970376" w:rsidRPr="00FD211F">
        <w:rPr>
          <w:sz w:val="36"/>
          <w:szCs w:val="36"/>
          <w:rtl/>
        </w:rPr>
        <w:t>الابتدائي</w:t>
      </w:r>
      <w:r w:rsidR="00EC7EDF" w:rsidRPr="00FD211F">
        <w:rPr>
          <w:sz w:val="36"/>
          <w:szCs w:val="36"/>
          <w:rtl/>
        </w:rPr>
        <w:t xml:space="preserve">ة </w:t>
      </w:r>
      <w:r w:rsidR="00970376" w:rsidRPr="00FD211F">
        <w:rPr>
          <w:sz w:val="36"/>
          <w:szCs w:val="36"/>
          <w:rtl/>
        </w:rPr>
        <w:t>مثلا كمفهوم</w:t>
      </w:r>
      <w:r w:rsidR="008C1AF6" w:rsidRPr="00FD211F">
        <w:rPr>
          <w:sz w:val="36"/>
          <w:szCs w:val="36"/>
          <w:rtl/>
        </w:rPr>
        <w:t>"</w:t>
      </w:r>
      <w:r w:rsidR="00970376" w:rsidRPr="00FD211F">
        <w:rPr>
          <w:sz w:val="36"/>
          <w:szCs w:val="36"/>
          <w:rtl/>
        </w:rPr>
        <w:t xml:space="preserve"> فرد النسب</w:t>
      </w:r>
      <w:r w:rsidR="00EC7EDF" w:rsidRPr="00FD211F">
        <w:rPr>
          <w:sz w:val="36"/>
          <w:szCs w:val="36"/>
          <w:rtl/>
        </w:rPr>
        <w:t xml:space="preserve">ة </w:t>
      </w:r>
      <w:r w:rsidR="00970376" w:rsidRPr="00FD211F">
        <w:rPr>
          <w:sz w:val="36"/>
          <w:szCs w:val="36"/>
          <w:rtl/>
        </w:rPr>
        <w:t>الابتدائي</w:t>
      </w:r>
      <w:r w:rsidR="00EC7EDF" w:rsidRPr="00FD211F">
        <w:rPr>
          <w:sz w:val="36"/>
          <w:szCs w:val="36"/>
          <w:rtl/>
        </w:rPr>
        <w:t>ة</w:t>
      </w:r>
      <w:r w:rsidR="008C1AF6" w:rsidRPr="00FD211F">
        <w:rPr>
          <w:sz w:val="36"/>
          <w:szCs w:val="36"/>
          <w:rtl/>
        </w:rPr>
        <w:t>"</w:t>
      </w:r>
      <w:r w:rsidR="009C58C8" w:rsidRPr="00FD211F">
        <w:rPr>
          <w:rStyle w:val="a6"/>
          <w:sz w:val="36"/>
          <w:szCs w:val="36"/>
          <w:rtl/>
        </w:rPr>
        <w:t>(</w:t>
      </w:r>
      <w:r w:rsidR="009C58C8" w:rsidRPr="00FD211F">
        <w:rPr>
          <w:rStyle w:val="a6"/>
          <w:sz w:val="36"/>
          <w:szCs w:val="36"/>
          <w:rtl/>
        </w:rPr>
        <w:footnoteReference w:id="258"/>
      </w:r>
      <w:r w:rsidR="009C58C8" w:rsidRPr="00FD211F">
        <w:rPr>
          <w:rStyle w:val="a6"/>
          <w:sz w:val="36"/>
          <w:szCs w:val="36"/>
          <w:rtl/>
        </w:rPr>
        <w:t>)</w:t>
      </w:r>
      <w:r w:rsidR="00EC7EDF" w:rsidRPr="00FD211F">
        <w:rPr>
          <w:sz w:val="36"/>
          <w:szCs w:val="36"/>
          <w:rtl/>
        </w:rPr>
        <w:t xml:space="preserve"> </w:t>
      </w:r>
      <w:r w:rsidR="00970376" w:rsidRPr="00FD211F">
        <w:rPr>
          <w:sz w:val="36"/>
          <w:szCs w:val="36"/>
          <w:rtl/>
        </w:rPr>
        <w:t>لكنه ليس معنى حرفيا بالنظر التصديقي</w:t>
      </w:r>
      <w:r w:rsidR="00603323" w:rsidRPr="00FD211F">
        <w:rPr>
          <w:sz w:val="36"/>
          <w:szCs w:val="36"/>
          <w:rtl/>
        </w:rPr>
        <w:t xml:space="preserve">، </w:t>
      </w:r>
      <w:r w:rsidR="00443DFA" w:rsidRPr="00FD211F">
        <w:rPr>
          <w:sz w:val="36"/>
          <w:szCs w:val="36"/>
          <w:rtl/>
        </w:rPr>
        <w:t>ولذا لايمكن ان يقال بدل "سرت من البصر</w:t>
      </w:r>
      <w:r w:rsidR="00EC7EDF" w:rsidRPr="00FD211F">
        <w:rPr>
          <w:sz w:val="36"/>
          <w:szCs w:val="36"/>
          <w:rtl/>
        </w:rPr>
        <w:t xml:space="preserve">ة </w:t>
      </w:r>
      <w:r w:rsidR="00443DFA" w:rsidRPr="00FD211F">
        <w:rPr>
          <w:sz w:val="36"/>
          <w:szCs w:val="36"/>
          <w:rtl/>
        </w:rPr>
        <w:t>" "سرت فرد النسب</w:t>
      </w:r>
      <w:r w:rsidR="00EC7EDF" w:rsidRPr="00FD211F">
        <w:rPr>
          <w:sz w:val="36"/>
          <w:szCs w:val="36"/>
          <w:rtl/>
        </w:rPr>
        <w:t xml:space="preserve">ة </w:t>
      </w:r>
      <w:r w:rsidR="00443DFA" w:rsidRPr="00FD211F">
        <w:rPr>
          <w:sz w:val="36"/>
          <w:szCs w:val="36"/>
          <w:rtl/>
        </w:rPr>
        <w:t>الابتدائي</w:t>
      </w:r>
      <w:r w:rsidR="00EC7EDF" w:rsidRPr="00FD211F">
        <w:rPr>
          <w:sz w:val="36"/>
          <w:szCs w:val="36"/>
          <w:rtl/>
        </w:rPr>
        <w:t xml:space="preserve">ة </w:t>
      </w:r>
      <w:r w:rsidR="00443DFA" w:rsidRPr="00FD211F">
        <w:rPr>
          <w:sz w:val="36"/>
          <w:szCs w:val="36"/>
          <w:rtl/>
        </w:rPr>
        <w:t>البصر</w:t>
      </w:r>
      <w:r w:rsidR="00EC7EDF" w:rsidRPr="00FD211F">
        <w:rPr>
          <w:sz w:val="36"/>
          <w:szCs w:val="36"/>
          <w:rtl/>
        </w:rPr>
        <w:t xml:space="preserve">ة </w:t>
      </w:r>
      <w:r w:rsidR="00443DFA" w:rsidRPr="00FD211F">
        <w:rPr>
          <w:sz w:val="36"/>
          <w:szCs w:val="36"/>
          <w:rtl/>
        </w:rPr>
        <w:t>"</w:t>
      </w:r>
      <w:r w:rsidR="00797457" w:rsidRPr="00FD211F">
        <w:rPr>
          <w:sz w:val="36"/>
          <w:szCs w:val="36"/>
          <w:rtl/>
        </w:rPr>
        <w:t>.</w:t>
      </w:r>
    </w:p>
    <w:p w14:paraId="25429790" w14:textId="77777777" w:rsidR="00970376" w:rsidRPr="00FD211F" w:rsidRDefault="00970376" w:rsidP="005946E3">
      <w:pPr>
        <w:ind w:left="0" w:firstLine="227"/>
        <w:jc w:val="both"/>
        <w:rPr>
          <w:sz w:val="36"/>
          <w:szCs w:val="36"/>
          <w:rtl/>
        </w:rPr>
      </w:pPr>
      <w:r w:rsidRPr="00FD211F">
        <w:rPr>
          <w:sz w:val="36"/>
          <w:szCs w:val="36"/>
          <w:rtl/>
        </w:rPr>
        <w:t>اقول: المهم في الجواب عن كلام المحقق العراقي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هو ان</w:t>
      </w:r>
      <w:r w:rsidR="00202F1F" w:rsidRPr="00FD211F">
        <w:rPr>
          <w:sz w:val="36"/>
          <w:szCs w:val="36"/>
          <w:rtl/>
        </w:rPr>
        <w:t xml:space="preserve"> يقال ان</w:t>
      </w:r>
      <w:r w:rsidR="00B253CE" w:rsidRPr="00FD211F">
        <w:rPr>
          <w:sz w:val="36"/>
          <w:szCs w:val="36"/>
          <w:rtl/>
        </w:rPr>
        <w:t xml:space="preserve"> </w:t>
      </w:r>
      <w:r w:rsidRPr="00FD211F">
        <w:rPr>
          <w:sz w:val="36"/>
          <w:szCs w:val="36"/>
          <w:rtl/>
        </w:rPr>
        <w:t>الحروف موضوع</w:t>
      </w:r>
      <w:r w:rsidR="00EC7EDF" w:rsidRPr="00FD211F">
        <w:rPr>
          <w:sz w:val="36"/>
          <w:szCs w:val="36"/>
          <w:rtl/>
        </w:rPr>
        <w:t xml:space="preserve">ة </w:t>
      </w:r>
      <w:r w:rsidRPr="00FD211F">
        <w:rPr>
          <w:sz w:val="36"/>
          <w:szCs w:val="36"/>
          <w:rtl/>
        </w:rPr>
        <w:t>لمعنى مندك في صورته الذهني</w:t>
      </w:r>
      <w:r w:rsidR="00EC7EDF" w:rsidRPr="00FD211F">
        <w:rPr>
          <w:sz w:val="36"/>
          <w:szCs w:val="36"/>
          <w:rtl/>
        </w:rPr>
        <w:t xml:space="preserve">ة </w:t>
      </w:r>
      <w:r w:rsidRPr="00FD211F">
        <w:rPr>
          <w:sz w:val="36"/>
          <w:szCs w:val="36"/>
          <w:rtl/>
        </w:rPr>
        <w:t>في مفهوم اسمي آخر وحيث ان مفهوم النسب</w:t>
      </w:r>
      <w:r w:rsidR="00EC7EDF" w:rsidRPr="00FD211F">
        <w:rPr>
          <w:sz w:val="36"/>
          <w:szCs w:val="36"/>
          <w:rtl/>
        </w:rPr>
        <w:t xml:space="preserve">ة </w:t>
      </w:r>
      <w:r w:rsidRPr="00FD211F">
        <w:rPr>
          <w:sz w:val="36"/>
          <w:szCs w:val="36"/>
          <w:rtl/>
        </w:rPr>
        <w:t>ليس مندكا ومندمجا في مفهوم آخر بالنظر التصديقي</w:t>
      </w:r>
      <w:r w:rsidR="00603323" w:rsidRPr="00FD211F">
        <w:rPr>
          <w:sz w:val="36"/>
          <w:szCs w:val="36"/>
          <w:rtl/>
        </w:rPr>
        <w:t xml:space="preserve">، </w:t>
      </w:r>
      <w:r w:rsidRPr="00FD211F">
        <w:rPr>
          <w:sz w:val="36"/>
          <w:szCs w:val="36"/>
          <w:rtl/>
        </w:rPr>
        <w:t>ولذا لايمكن ان يربط بين المفاهيم الاسمي</w:t>
      </w:r>
      <w:r w:rsidR="00EC7EDF" w:rsidRPr="00FD211F">
        <w:rPr>
          <w:sz w:val="36"/>
          <w:szCs w:val="36"/>
          <w:rtl/>
        </w:rPr>
        <w:t>ة</w:t>
      </w:r>
      <w:r w:rsidR="00603323" w:rsidRPr="00FD211F">
        <w:rPr>
          <w:sz w:val="36"/>
          <w:szCs w:val="36"/>
          <w:rtl/>
        </w:rPr>
        <w:t xml:space="preserve">، </w:t>
      </w:r>
      <w:r w:rsidRPr="00FD211F">
        <w:rPr>
          <w:sz w:val="36"/>
          <w:szCs w:val="36"/>
          <w:rtl/>
        </w:rPr>
        <w:t>فليس هو الموضوع له للحروف</w:t>
      </w:r>
      <w:r w:rsidR="00603323" w:rsidRPr="00FD211F">
        <w:rPr>
          <w:sz w:val="36"/>
          <w:szCs w:val="36"/>
          <w:rtl/>
        </w:rPr>
        <w:t xml:space="preserve">، </w:t>
      </w:r>
      <w:r w:rsidRPr="00FD211F">
        <w:rPr>
          <w:sz w:val="36"/>
          <w:szCs w:val="36"/>
          <w:rtl/>
        </w:rPr>
        <w:t>وانما هو حاك تصوري عنه</w:t>
      </w:r>
      <w:r w:rsidR="00603323" w:rsidRPr="00FD211F">
        <w:rPr>
          <w:sz w:val="36"/>
          <w:szCs w:val="36"/>
          <w:rtl/>
        </w:rPr>
        <w:t xml:space="preserve">، </w:t>
      </w:r>
      <w:r w:rsidRPr="00FD211F">
        <w:rPr>
          <w:sz w:val="36"/>
          <w:szCs w:val="36"/>
          <w:rtl/>
        </w:rPr>
        <w:t>وقد جعله الواض</w:t>
      </w:r>
      <w:r w:rsidR="009A3CDE" w:rsidRPr="00FD211F">
        <w:rPr>
          <w:sz w:val="36"/>
          <w:szCs w:val="36"/>
          <w:rtl/>
        </w:rPr>
        <w:t>ع وجها اجماليا الى واقع النسب</w:t>
      </w:r>
      <w:r w:rsidR="00EC7EDF" w:rsidRPr="00FD211F">
        <w:rPr>
          <w:sz w:val="36"/>
          <w:szCs w:val="36"/>
          <w:rtl/>
        </w:rPr>
        <w:t xml:space="preserve">ة </w:t>
      </w:r>
      <w:r w:rsidRPr="00FD211F">
        <w:rPr>
          <w:sz w:val="36"/>
          <w:szCs w:val="36"/>
          <w:rtl/>
        </w:rPr>
        <w:t>الذي هو الموضوع له</w:t>
      </w:r>
      <w:r w:rsidR="00603323" w:rsidRPr="00FD211F">
        <w:rPr>
          <w:sz w:val="36"/>
          <w:szCs w:val="36"/>
          <w:rtl/>
        </w:rPr>
        <w:t xml:space="preserve">، </w:t>
      </w:r>
      <w:r w:rsidRPr="00FD211F">
        <w:rPr>
          <w:sz w:val="36"/>
          <w:szCs w:val="36"/>
          <w:rtl/>
        </w:rPr>
        <w:t>فلو لوحظت صور</w:t>
      </w:r>
      <w:r w:rsidR="00EC7EDF" w:rsidRPr="00FD211F">
        <w:rPr>
          <w:sz w:val="36"/>
          <w:szCs w:val="36"/>
          <w:rtl/>
        </w:rPr>
        <w:t xml:space="preserve">ة </w:t>
      </w:r>
      <w:r w:rsidRPr="00FD211F">
        <w:rPr>
          <w:sz w:val="36"/>
          <w:szCs w:val="36"/>
          <w:rtl/>
        </w:rPr>
        <w:t>جامع</w:t>
      </w:r>
      <w:r w:rsidR="00EC7EDF" w:rsidRPr="00FD211F">
        <w:rPr>
          <w:sz w:val="36"/>
          <w:szCs w:val="36"/>
          <w:rtl/>
        </w:rPr>
        <w:t xml:space="preserve">ة </w:t>
      </w:r>
      <w:r w:rsidRPr="00FD211F">
        <w:rPr>
          <w:sz w:val="36"/>
          <w:szCs w:val="36"/>
          <w:rtl/>
        </w:rPr>
        <w:t>من افراد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فليست هي الموضوع لها لحرف "من"</w:t>
      </w:r>
      <w:r w:rsidR="00603323" w:rsidRPr="00FD211F">
        <w:rPr>
          <w:sz w:val="36"/>
          <w:szCs w:val="36"/>
          <w:rtl/>
        </w:rPr>
        <w:t xml:space="preserve">، </w:t>
      </w:r>
      <w:r w:rsidRPr="00FD211F">
        <w:rPr>
          <w:sz w:val="36"/>
          <w:szCs w:val="36"/>
          <w:rtl/>
        </w:rPr>
        <w:t>وهذا هو المقصود من كون الموضوع فيها خاصا</w:t>
      </w:r>
      <w:r w:rsidR="00603323" w:rsidRPr="00FD211F">
        <w:rPr>
          <w:sz w:val="36"/>
          <w:szCs w:val="36"/>
          <w:rtl/>
        </w:rPr>
        <w:t xml:space="preserve">، </w:t>
      </w:r>
      <w:r w:rsidRPr="00FD211F">
        <w:rPr>
          <w:sz w:val="36"/>
          <w:szCs w:val="36"/>
          <w:rtl/>
        </w:rPr>
        <w:t>وهذا لاينافي وجود حيثي</w:t>
      </w:r>
      <w:r w:rsidR="00EC7EDF" w:rsidRPr="00FD211F">
        <w:rPr>
          <w:sz w:val="36"/>
          <w:szCs w:val="36"/>
          <w:rtl/>
        </w:rPr>
        <w:t xml:space="preserve">ة </w:t>
      </w:r>
      <w:r w:rsidRPr="00FD211F">
        <w:rPr>
          <w:sz w:val="36"/>
          <w:szCs w:val="36"/>
          <w:rtl/>
        </w:rPr>
        <w:t>مشترك</w:t>
      </w:r>
      <w:r w:rsidR="00EC7EDF" w:rsidRPr="00FD211F">
        <w:rPr>
          <w:sz w:val="36"/>
          <w:szCs w:val="36"/>
          <w:rtl/>
        </w:rPr>
        <w:t xml:space="preserve">ة </w:t>
      </w:r>
      <w:r w:rsidRPr="00FD211F">
        <w:rPr>
          <w:sz w:val="36"/>
          <w:szCs w:val="36"/>
          <w:rtl/>
        </w:rPr>
        <w:t>في حقيق</w:t>
      </w:r>
      <w:r w:rsidR="00EC7EDF" w:rsidRPr="00FD211F">
        <w:rPr>
          <w:sz w:val="36"/>
          <w:szCs w:val="36"/>
          <w:rtl/>
        </w:rPr>
        <w:t xml:space="preserve">ة </w:t>
      </w:r>
      <w:r w:rsidRPr="00FD211F">
        <w:rPr>
          <w:sz w:val="36"/>
          <w:szCs w:val="36"/>
          <w:rtl/>
        </w:rPr>
        <w:t>افراد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مثلا حتى في مرتب</w:t>
      </w:r>
      <w:r w:rsidR="00EC7EDF" w:rsidRPr="00FD211F">
        <w:rPr>
          <w:sz w:val="36"/>
          <w:szCs w:val="36"/>
          <w:rtl/>
        </w:rPr>
        <w:t xml:space="preserve">ة </w:t>
      </w:r>
      <w:r w:rsidRPr="00FD211F">
        <w:rPr>
          <w:sz w:val="36"/>
          <w:szCs w:val="36"/>
          <w:rtl/>
        </w:rPr>
        <w:t>ذاتها غير المستقل</w:t>
      </w:r>
      <w:r w:rsidR="00EC7EDF" w:rsidRPr="00FD211F">
        <w:rPr>
          <w:sz w:val="36"/>
          <w:szCs w:val="36"/>
          <w:rtl/>
        </w:rPr>
        <w:t xml:space="preserve">ة </w:t>
      </w:r>
      <w:r w:rsidRPr="00FD211F">
        <w:rPr>
          <w:sz w:val="36"/>
          <w:szCs w:val="36"/>
          <w:rtl/>
        </w:rPr>
        <w:t>والمتقوم</w:t>
      </w:r>
      <w:r w:rsidR="00EC7EDF" w:rsidRPr="00FD211F">
        <w:rPr>
          <w:sz w:val="36"/>
          <w:szCs w:val="36"/>
          <w:rtl/>
        </w:rPr>
        <w:t xml:space="preserve">ة </w:t>
      </w:r>
      <w:r w:rsidRPr="00FD211F">
        <w:rPr>
          <w:sz w:val="36"/>
          <w:szCs w:val="36"/>
          <w:rtl/>
        </w:rPr>
        <w:t>بذات الطرفين</w:t>
      </w:r>
      <w:r w:rsidR="00603323" w:rsidRPr="00FD211F">
        <w:rPr>
          <w:sz w:val="36"/>
          <w:szCs w:val="36"/>
          <w:rtl/>
        </w:rPr>
        <w:t xml:space="preserve">، </w:t>
      </w:r>
      <w:r w:rsidRPr="00FD211F">
        <w:rPr>
          <w:sz w:val="36"/>
          <w:szCs w:val="36"/>
          <w:rtl/>
        </w:rPr>
        <w:t>فالفارق بين المعنى الاسمي والحرفي استقلال الاول في المفهومي</w:t>
      </w:r>
      <w:r w:rsidR="00EC7EDF" w:rsidRPr="00FD211F">
        <w:rPr>
          <w:sz w:val="36"/>
          <w:szCs w:val="36"/>
          <w:rtl/>
        </w:rPr>
        <w:t xml:space="preserve">ة </w:t>
      </w:r>
      <w:r w:rsidRPr="00FD211F">
        <w:rPr>
          <w:sz w:val="36"/>
          <w:szCs w:val="36"/>
          <w:rtl/>
        </w:rPr>
        <w:t>دون الثاني حيث انه صور</w:t>
      </w:r>
      <w:r w:rsidR="00EC7EDF" w:rsidRPr="00FD211F">
        <w:rPr>
          <w:sz w:val="36"/>
          <w:szCs w:val="36"/>
          <w:rtl/>
        </w:rPr>
        <w:t xml:space="preserve">ة </w:t>
      </w:r>
      <w:r w:rsidRPr="00FD211F">
        <w:rPr>
          <w:sz w:val="36"/>
          <w:szCs w:val="36"/>
          <w:rtl/>
        </w:rPr>
        <w:t>مندمج</w:t>
      </w:r>
      <w:r w:rsidR="00EC7EDF" w:rsidRPr="00FD211F">
        <w:rPr>
          <w:sz w:val="36"/>
          <w:szCs w:val="36"/>
          <w:rtl/>
        </w:rPr>
        <w:t xml:space="preserve">ة </w:t>
      </w:r>
      <w:r w:rsidRPr="00FD211F">
        <w:rPr>
          <w:sz w:val="36"/>
          <w:szCs w:val="36"/>
          <w:rtl/>
        </w:rPr>
        <w:t>ومندك</w:t>
      </w:r>
      <w:r w:rsidR="00EC7EDF" w:rsidRPr="00FD211F">
        <w:rPr>
          <w:sz w:val="36"/>
          <w:szCs w:val="36"/>
          <w:rtl/>
        </w:rPr>
        <w:t xml:space="preserve">ة </w:t>
      </w:r>
      <w:r w:rsidRPr="00FD211F">
        <w:rPr>
          <w:sz w:val="36"/>
          <w:szCs w:val="36"/>
          <w:rtl/>
        </w:rPr>
        <w:t>في مفهوم اسمي آخر ولو بالنظر التصديقي</w:t>
      </w:r>
      <w:r w:rsidR="00603323" w:rsidRPr="00FD211F">
        <w:rPr>
          <w:sz w:val="36"/>
          <w:szCs w:val="36"/>
          <w:rtl/>
        </w:rPr>
        <w:t xml:space="preserve">، </w:t>
      </w:r>
      <w:r w:rsidRPr="00FD211F">
        <w:rPr>
          <w:sz w:val="36"/>
          <w:szCs w:val="36"/>
          <w:rtl/>
        </w:rPr>
        <w:t>وبهذا البيان نثبت كون الموضوع له في الحروف والهيئات خاصا حتى مع وجود حيثي</w:t>
      </w:r>
      <w:r w:rsidR="00EC7EDF" w:rsidRPr="00FD211F">
        <w:rPr>
          <w:sz w:val="36"/>
          <w:szCs w:val="36"/>
          <w:rtl/>
        </w:rPr>
        <w:t xml:space="preserve">ة </w:t>
      </w:r>
      <w:r w:rsidRPr="00FD211F">
        <w:rPr>
          <w:sz w:val="36"/>
          <w:szCs w:val="36"/>
          <w:rtl/>
        </w:rPr>
        <w:t>مشترك</w:t>
      </w:r>
      <w:r w:rsidR="00EC7EDF" w:rsidRPr="00FD211F">
        <w:rPr>
          <w:sz w:val="36"/>
          <w:szCs w:val="36"/>
          <w:rtl/>
        </w:rPr>
        <w:t xml:space="preserve">ة </w:t>
      </w:r>
      <w:r w:rsidRPr="00FD211F">
        <w:rPr>
          <w:sz w:val="36"/>
          <w:szCs w:val="36"/>
          <w:rtl/>
        </w:rPr>
        <w:t>في ذاتها</w:t>
      </w:r>
      <w:r w:rsidR="00202F1F" w:rsidRPr="00FD211F">
        <w:rPr>
          <w:sz w:val="36"/>
          <w:szCs w:val="36"/>
          <w:rtl/>
        </w:rPr>
        <w:t>التي هي</w:t>
      </w:r>
      <w:r w:rsidR="00B253CE" w:rsidRPr="00FD211F">
        <w:rPr>
          <w:sz w:val="36"/>
          <w:szCs w:val="36"/>
          <w:rtl/>
        </w:rPr>
        <w:t xml:space="preserve"> </w:t>
      </w:r>
      <w:r w:rsidR="00202F1F" w:rsidRPr="00FD211F">
        <w:rPr>
          <w:sz w:val="36"/>
          <w:szCs w:val="36"/>
          <w:rtl/>
        </w:rPr>
        <w:t xml:space="preserve">غير </w:t>
      </w:r>
      <w:r w:rsidRPr="00FD211F">
        <w:rPr>
          <w:sz w:val="36"/>
          <w:szCs w:val="36"/>
          <w:rtl/>
        </w:rPr>
        <w:t>مستقل</w:t>
      </w:r>
      <w:r w:rsidR="00EC7EDF" w:rsidRPr="00FD211F">
        <w:rPr>
          <w:sz w:val="36"/>
          <w:szCs w:val="36"/>
          <w:rtl/>
        </w:rPr>
        <w:t xml:space="preserve">ة </w:t>
      </w:r>
      <w:r w:rsidRPr="00FD211F">
        <w:rPr>
          <w:sz w:val="36"/>
          <w:szCs w:val="36"/>
          <w:rtl/>
        </w:rPr>
        <w:t>في المفهومي</w:t>
      </w:r>
      <w:r w:rsidR="00EC7EDF" w:rsidRPr="00FD211F">
        <w:rPr>
          <w:sz w:val="36"/>
          <w:szCs w:val="36"/>
          <w:rtl/>
        </w:rPr>
        <w:t>ة</w:t>
      </w:r>
      <w:r w:rsidR="00A61BAE" w:rsidRPr="00FD211F">
        <w:rPr>
          <w:sz w:val="36"/>
          <w:szCs w:val="36"/>
          <w:rtl/>
        </w:rPr>
        <w:t>.</w:t>
      </w:r>
    </w:p>
    <w:p w14:paraId="06BD269D" w14:textId="77777777" w:rsidR="00970376" w:rsidRPr="00FD211F" w:rsidRDefault="00970376" w:rsidP="009C58C8">
      <w:pPr>
        <w:ind w:left="0" w:firstLine="227"/>
        <w:jc w:val="both"/>
        <w:rPr>
          <w:sz w:val="36"/>
          <w:szCs w:val="36"/>
        </w:rPr>
      </w:pPr>
      <w:r w:rsidRPr="00FD211F">
        <w:rPr>
          <w:sz w:val="36"/>
          <w:szCs w:val="36"/>
          <w:rtl/>
        </w:rPr>
        <w:t>نعم لو تمّ ما قد يقال من ان المعنى الحرفي لايحتاج في وجوده الذهني الى وجود طرفيه وانما يحتاج اكتماله اليهما ويستشهد على ذلك بانه لما يسمع حرف "في" وحرف "در" فيحس بوحد</w:t>
      </w:r>
      <w:r w:rsidR="00EC7EDF" w:rsidRPr="00FD211F">
        <w:rPr>
          <w:sz w:val="36"/>
          <w:szCs w:val="36"/>
          <w:rtl/>
        </w:rPr>
        <w:t xml:space="preserve">ة </w:t>
      </w:r>
      <w:r w:rsidRPr="00FD211F">
        <w:rPr>
          <w:sz w:val="36"/>
          <w:szCs w:val="36"/>
          <w:rtl/>
        </w:rPr>
        <w:t>معناهما</w:t>
      </w:r>
      <w:r w:rsidR="00603323" w:rsidRPr="00FD211F">
        <w:rPr>
          <w:sz w:val="36"/>
          <w:szCs w:val="36"/>
          <w:rtl/>
        </w:rPr>
        <w:t xml:space="preserve">، </w:t>
      </w:r>
      <w:r w:rsidRPr="00FD211F">
        <w:rPr>
          <w:sz w:val="36"/>
          <w:szCs w:val="36"/>
          <w:rtl/>
        </w:rPr>
        <w:t>بخلاف ما اذا سمع حرف "في" مع حرف "من"</w:t>
      </w:r>
      <w:r w:rsidR="00603323" w:rsidRPr="00FD211F">
        <w:rPr>
          <w:sz w:val="36"/>
          <w:szCs w:val="36"/>
          <w:rtl/>
        </w:rPr>
        <w:t xml:space="preserve">، </w:t>
      </w:r>
      <w:r w:rsidRPr="00FD211F">
        <w:rPr>
          <w:sz w:val="36"/>
          <w:szCs w:val="36"/>
          <w:rtl/>
        </w:rPr>
        <w:t>كما يفرِّق الذهن بين الحروف المهمل</w:t>
      </w:r>
      <w:r w:rsidR="00EC7EDF" w:rsidRPr="00FD211F">
        <w:rPr>
          <w:sz w:val="36"/>
          <w:szCs w:val="36"/>
          <w:rtl/>
        </w:rPr>
        <w:t xml:space="preserve">ة </w:t>
      </w:r>
      <w:r w:rsidRPr="00FD211F">
        <w:rPr>
          <w:sz w:val="36"/>
          <w:szCs w:val="36"/>
          <w:rtl/>
        </w:rPr>
        <w:t>وبين هذه الحروف ولو كانت وحدها</w:t>
      </w:r>
      <w:r w:rsidR="00603323" w:rsidRPr="00FD211F">
        <w:rPr>
          <w:sz w:val="36"/>
          <w:szCs w:val="36"/>
          <w:rtl/>
        </w:rPr>
        <w:t xml:space="preserve">، </w:t>
      </w:r>
      <w:r w:rsidRPr="00FD211F">
        <w:rPr>
          <w:sz w:val="36"/>
          <w:szCs w:val="36"/>
          <w:rtl/>
        </w:rPr>
        <w:t>لزم اختيار كون الوضع في الحروف عاما والموضوع له عاما</w:t>
      </w:r>
      <w:r w:rsidR="00603323" w:rsidRPr="00FD211F">
        <w:rPr>
          <w:sz w:val="36"/>
          <w:szCs w:val="36"/>
          <w:rtl/>
        </w:rPr>
        <w:t xml:space="preserve">، </w:t>
      </w:r>
      <w:r w:rsidRPr="00FD211F">
        <w:rPr>
          <w:sz w:val="36"/>
          <w:szCs w:val="36"/>
          <w:rtl/>
        </w:rPr>
        <w:t>ولكن مر سابقا الجواب عن ذلك.</w:t>
      </w:r>
    </w:p>
    <w:p w14:paraId="217F0A76" w14:textId="77777777" w:rsidR="009E5A6D" w:rsidRPr="00FD211F" w:rsidRDefault="009E5A6D" w:rsidP="009C58C8">
      <w:pPr>
        <w:pStyle w:val="3"/>
        <w:ind w:firstLine="227"/>
        <w:jc w:val="both"/>
        <w:rPr>
          <w:rtl/>
        </w:rPr>
      </w:pPr>
      <w:bookmarkStart w:id="264" w:name="_Toc151944599"/>
      <w:bookmarkStart w:id="265" w:name="_Toc154131726"/>
      <w:bookmarkStart w:id="266" w:name="_Toc156401514"/>
      <w:bookmarkStart w:id="267" w:name="درس018دقيقه38"/>
      <w:bookmarkStart w:id="268" w:name="_Toc192092897"/>
      <w:bookmarkStart w:id="269" w:name="_Toc223890375"/>
      <w:bookmarkEnd w:id="267"/>
      <w:r w:rsidRPr="00FD211F">
        <w:rPr>
          <w:rtl/>
        </w:rPr>
        <w:t>الثمر</w:t>
      </w:r>
      <w:r w:rsidR="00EC7EDF" w:rsidRPr="00FD211F">
        <w:rPr>
          <w:rtl/>
        </w:rPr>
        <w:t xml:space="preserve">ة </w:t>
      </w:r>
      <w:r w:rsidRPr="00FD211F">
        <w:rPr>
          <w:rtl/>
        </w:rPr>
        <w:t>العملي</w:t>
      </w:r>
      <w:r w:rsidR="00EC7EDF" w:rsidRPr="00FD211F">
        <w:rPr>
          <w:rtl/>
        </w:rPr>
        <w:t xml:space="preserve">ة </w:t>
      </w:r>
      <w:r w:rsidRPr="00FD211F">
        <w:rPr>
          <w:rtl/>
        </w:rPr>
        <w:t>للبحث عن معنى الحروف والهيئات</w:t>
      </w:r>
      <w:bookmarkEnd w:id="268"/>
      <w:bookmarkEnd w:id="269"/>
    </w:p>
    <w:p w14:paraId="21C117E7" w14:textId="77777777" w:rsidR="000C5BBA" w:rsidRPr="00FD211F" w:rsidRDefault="00202F1F" w:rsidP="009C58C8">
      <w:pPr>
        <w:ind w:left="0" w:firstLine="227"/>
        <w:jc w:val="both"/>
        <w:rPr>
          <w:b/>
          <w:bCs/>
          <w:sz w:val="36"/>
          <w:szCs w:val="36"/>
          <w:rtl/>
        </w:rPr>
      </w:pPr>
      <w:r w:rsidRPr="00FD211F">
        <w:rPr>
          <w:sz w:val="36"/>
          <w:szCs w:val="36"/>
          <w:rtl/>
        </w:rPr>
        <w:t>ويذكر له اربع ثمرات</w:t>
      </w:r>
      <w:r w:rsidRPr="00FD211F">
        <w:rPr>
          <w:b/>
          <w:bCs/>
          <w:sz w:val="36"/>
          <w:szCs w:val="36"/>
          <w:rtl/>
        </w:rPr>
        <w:t>:</w:t>
      </w:r>
    </w:p>
    <w:p w14:paraId="07BEB3E4" w14:textId="77777777" w:rsidR="009E5A6D" w:rsidRPr="00FD211F" w:rsidRDefault="009E5A6D" w:rsidP="009C58C8">
      <w:pPr>
        <w:ind w:left="0" w:firstLine="227"/>
        <w:jc w:val="both"/>
        <w:rPr>
          <w:sz w:val="36"/>
          <w:szCs w:val="36"/>
          <w:rtl/>
        </w:rPr>
      </w:pPr>
      <w:r w:rsidRPr="00FD211F">
        <w:rPr>
          <w:b/>
          <w:bCs/>
          <w:sz w:val="36"/>
          <w:szCs w:val="36"/>
          <w:rtl/>
        </w:rPr>
        <w:t>الثمر</w:t>
      </w:r>
      <w:r w:rsidR="00EC7EDF" w:rsidRPr="00FD211F">
        <w:rPr>
          <w:b/>
          <w:bCs/>
          <w:sz w:val="36"/>
          <w:szCs w:val="36"/>
          <w:rtl/>
        </w:rPr>
        <w:t xml:space="preserve">ة </w:t>
      </w:r>
      <w:r w:rsidRPr="00FD211F">
        <w:rPr>
          <w:b/>
          <w:bCs/>
          <w:sz w:val="36"/>
          <w:szCs w:val="36"/>
          <w:rtl/>
        </w:rPr>
        <w:t>الأولى</w:t>
      </w:r>
      <w:r w:rsidR="00486D0F" w:rsidRPr="00FD211F">
        <w:rPr>
          <w:b/>
          <w:bCs/>
          <w:sz w:val="36"/>
          <w:szCs w:val="36"/>
          <w:rtl/>
        </w:rPr>
        <w:t>-</w:t>
      </w:r>
      <w:r w:rsidRPr="00FD211F">
        <w:rPr>
          <w:sz w:val="36"/>
          <w:szCs w:val="36"/>
          <w:rtl/>
        </w:rPr>
        <w:t xml:space="preserve"> وهي العمد</w:t>
      </w:r>
      <w:r w:rsidR="00EC7EDF" w:rsidRPr="00FD211F">
        <w:rPr>
          <w:sz w:val="36"/>
          <w:szCs w:val="36"/>
          <w:rtl/>
        </w:rPr>
        <w:t xml:space="preserve">ة </w:t>
      </w:r>
      <w:r w:rsidR="00486D0F" w:rsidRPr="00FD211F">
        <w:rPr>
          <w:sz w:val="36"/>
          <w:szCs w:val="36"/>
          <w:rtl/>
        </w:rPr>
        <w:t>-:</w:t>
      </w:r>
      <w:r w:rsidRPr="00FD211F">
        <w:rPr>
          <w:sz w:val="36"/>
          <w:szCs w:val="36"/>
          <w:rtl/>
        </w:rPr>
        <w:t>ما يقال من انه حيث يكون معنى الهيئ</w:t>
      </w:r>
      <w:r w:rsidR="00EC7EDF" w:rsidRPr="00FD211F">
        <w:rPr>
          <w:sz w:val="36"/>
          <w:szCs w:val="36"/>
          <w:rtl/>
        </w:rPr>
        <w:t xml:space="preserve">ة </w:t>
      </w:r>
      <w:r w:rsidRPr="00FD211F">
        <w:rPr>
          <w:sz w:val="36"/>
          <w:szCs w:val="36"/>
          <w:rtl/>
        </w:rPr>
        <w:t>حرفيا فيستحيل تقييده</w:t>
      </w:r>
      <w:r w:rsidR="00603323" w:rsidRPr="00FD211F">
        <w:rPr>
          <w:sz w:val="36"/>
          <w:szCs w:val="36"/>
          <w:rtl/>
        </w:rPr>
        <w:t xml:space="preserve">، </w:t>
      </w:r>
      <w:r w:rsidRPr="00FD211F">
        <w:rPr>
          <w:sz w:val="36"/>
          <w:szCs w:val="36"/>
          <w:rtl/>
        </w:rPr>
        <w:t xml:space="preserve">وحينئذ فلو قال المولى </w:t>
      </w:r>
      <w:r w:rsidR="00BE0BB7" w:rsidRPr="00FD211F">
        <w:rPr>
          <w:sz w:val="36"/>
          <w:szCs w:val="36"/>
          <w:rtl/>
        </w:rPr>
        <w:t>"</w:t>
      </w:r>
      <w:r w:rsidRPr="00FD211F">
        <w:rPr>
          <w:sz w:val="36"/>
          <w:szCs w:val="36"/>
          <w:rtl/>
        </w:rPr>
        <w:t>ان جاءك زيد فاكرمه</w:t>
      </w:r>
      <w:r w:rsidR="00BE0BB7" w:rsidRPr="00FD211F">
        <w:rPr>
          <w:sz w:val="36"/>
          <w:szCs w:val="36"/>
          <w:rtl/>
        </w:rPr>
        <w:t>"</w:t>
      </w:r>
      <w:r w:rsidRPr="00FD211F">
        <w:rPr>
          <w:sz w:val="36"/>
          <w:szCs w:val="36"/>
          <w:rtl/>
        </w:rPr>
        <w:t xml:space="preserve"> فيلزم ان يكون الشرط قيدا للماد</w:t>
      </w:r>
      <w:r w:rsidR="00EC7EDF" w:rsidRPr="00FD211F">
        <w:rPr>
          <w:sz w:val="36"/>
          <w:szCs w:val="36"/>
          <w:rtl/>
        </w:rPr>
        <w:t xml:space="preserve">ة </w:t>
      </w:r>
      <w:r w:rsidRPr="00FD211F">
        <w:rPr>
          <w:sz w:val="36"/>
          <w:szCs w:val="36"/>
          <w:rtl/>
        </w:rPr>
        <w:t>وهو اكرام زيد دون الهيئ</w:t>
      </w:r>
      <w:r w:rsidR="00EC7EDF" w:rsidRPr="00FD211F">
        <w:rPr>
          <w:sz w:val="36"/>
          <w:szCs w:val="36"/>
          <w:rtl/>
        </w:rPr>
        <w:t xml:space="preserve">ة </w:t>
      </w:r>
      <w:r w:rsidRPr="00FD211F">
        <w:rPr>
          <w:sz w:val="36"/>
          <w:szCs w:val="36"/>
          <w:rtl/>
        </w:rPr>
        <w:t>وهو وجوب اكرامه</w:t>
      </w:r>
      <w:r w:rsidR="00603323" w:rsidRPr="00FD211F">
        <w:rPr>
          <w:sz w:val="36"/>
          <w:szCs w:val="36"/>
          <w:rtl/>
        </w:rPr>
        <w:t xml:space="preserve">، </w:t>
      </w:r>
      <w:r w:rsidRPr="00FD211F">
        <w:rPr>
          <w:sz w:val="36"/>
          <w:szCs w:val="36"/>
          <w:rtl/>
        </w:rPr>
        <w:t>فيكون هذا المثال من قبيل الواجب المعلق</w:t>
      </w:r>
      <w:r w:rsidR="00603323" w:rsidRPr="00FD211F">
        <w:rPr>
          <w:sz w:val="36"/>
          <w:szCs w:val="36"/>
          <w:rtl/>
        </w:rPr>
        <w:t xml:space="preserve">، </w:t>
      </w:r>
      <w:r w:rsidRPr="00FD211F">
        <w:rPr>
          <w:sz w:val="36"/>
          <w:szCs w:val="36"/>
          <w:rtl/>
        </w:rPr>
        <w:t>حيث يكون الوجوب فعليا ويكون الواجب هو اكرام زيد على تقدير مجيئه</w:t>
      </w:r>
      <w:r w:rsidR="00603323" w:rsidRPr="00FD211F">
        <w:rPr>
          <w:sz w:val="36"/>
          <w:szCs w:val="36"/>
          <w:rtl/>
        </w:rPr>
        <w:t xml:space="preserve">، </w:t>
      </w:r>
      <w:r w:rsidRPr="00FD211F">
        <w:rPr>
          <w:sz w:val="36"/>
          <w:szCs w:val="36"/>
          <w:rtl/>
        </w:rPr>
        <w:t>لاان يكون واجبا مشروطا بان يصير وجوب اكرام زيد فعليا بعد مجيئه</w:t>
      </w:r>
      <w:r w:rsidR="00603323" w:rsidRPr="00FD211F">
        <w:rPr>
          <w:sz w:val="36"/>
          <w:szCs w:val="36"/>
          <w:rtl/>
        </w:rPr>
        <w:t xml:space="preserve">، </w:t>
      </w:r>
      <w:r w:rsidRPr="00FD211F">
        <w:rPr>
          <w:sz w:val="36"/>
          <w:szCs w:val="36"/>
          <w:rtl/>
        </w:rPr>
        <w:t>وقد ذكر في وجه ذلك امران:</w:t>
      </w:r>
    </w:p>
    <w:p w14:paraId="3A07E36E" w14:textId="77777777" w:rsidR="000C5BBA" w:rsidRPr="00FD211F" w:rsidRDefault="001B3112" w:rsidP="009C58C8">
      <w:pPr>
        <w:ind w:left="0" w:firstLine="227"/>
        <w:jc w:val="both"/>
        <w:rPr>
          <w:sz w:val="36"/>
          <w:szCs w:val="36"/>
          <w:rtl/>
        </w:rPr>
      </w:pPr>
      <w:r w:rsidRPr="00FD211F">
        <w:rPr>
          <w:b/>
          <w:bCs/>
          <w:sz w:val="36"/>
          <w:szCs w:val="36"/>
          <w:rtl/>
        </w:rPr>
        <w:t>الأمر</w:t>
      </w:r>
      <w:r w:rsidR="00296A49" w:rsidRPr="00FD211F">
        <w:rPr>
          <w:b/>
          <w:bCs/>
          <w:sz w:val="36"/>
          <w:szCs w:val="36"/>
          <w:rtl/>
        </w:rPr>
        <w:t xml:space="preserve"> الاول</w:t>
      </w:r>
      <w:r w:rsidR="00296A49" w:rsidRPr="00FD211F">
        <w:rPr>
          <w:sz w:val="36"/>
          <w:szCs w:val="36"/>
          <w:rtl/>
        </w:rPr>
        <w:t>: ما نسب الى</w:t>
      </w:r>
      <w:r w:rsidR="009E5A6D" w:rsidRPr="00FD211F">
        <w:rPr>
          <w:sz w:val="36"/>
          <w:szCs w:val="36"/>
          <w:rtl/>
        </w:rPr>
        <w:t xml:space="preserve"> الشيخ الأعظم </w:t>
      </w:r>
      <w:r w:rsidR="00AB1B12" w:rsidRPr="00FD211F">
        <w:rPr>
          <w:sz w:val="36"/>
          <w:szCs w:val="36"/>
          <w:rtl/>
        </w:rPr>
        <w:t>"</w:t>
      </w:r>
      <w:r w:rsidR="009E5A6D" w:rsidRPr="00FD211F">
        <w:rPr>
          <w:sz w:val="36"/>
          <w:szCs w:val="36"/>
          <w:rtl/>
        </w:rPr>
        <w:t>قده</w:t>
      </w:r>
      <w:r w:rsidR="00AB1B12" w:rsidRPr="00FD211F">
        <w:rPr>
          <w:sz w:val="36"/>
          <w:szCs w:val="36"/>
          <w:rtl/>
        </w:rPr>
        <w:t>"</w:t>
      </w:r>
      <w:r w:rsidR="009E5A6D" w:rsidRPr="00FD211F">
        <w:rPr>
          <w:sz w:val="36"/>
          <w:szCs w:val="36"/>
          <w:rtl/>
        </w:rPr>
        <w:t xml:space="preserve"> في مبحث الواجب المشروط </w:t>
      </w:r>
      <w:r w:rsidR="00296A49" w:rsidRPr="00FD211F">
        <w:rPr>
          <w:sz w:val="36"/>
          <w:szCs w:val="36"/>
          <w:rtl/>
        </w:rPr>
        <w:t xml:space="preserve">من </w:t>
      </w:r>
      <w:r w:rsidR="009E5A6D" w:rsidRPr="00FD211F">
        <w:rPr>
          <w:sz w:val="36"/>
          <w:szCs w:val="36"/>
          <w:rtl/>
        </w:rPr>
        <w:t>أنه</w:t>
      </w:r>
      <w:r w:rsidR="00296A49" w:rsidRPr="00FD211F">
        <w:rPr>
          <w:sz w:val="36"/>
          <w:szCs w:val="36"/>
          <w:rtl/>
        </w:rPr>
        <w:t xml:space="preserve"> وان كان </w:t>
      </w:r>
      <w:r w:rsidR="009E5A6D" w:rsidRPr="00FD211F">
        <w:rPr>
          <w:sz w:val="36"/>
          <w:szCs w:val="36"/>
          <w:rtl/>
        </w:rPr>
        <w:t>ظاهر الخطاب عرفا و</w:t>
      </w:r>
      <w:r w:rsidR="00296A49" w:rsidRPr="00FD211F">
        <w:rPr>
          <w:sz w:val="36"/>
          <w:szCs w:val="36"/>
          <w:rtl/>
        </w:rPr>
        <w:t>كذا</w:t>
      </w:r>
      <w:r w:rsidR="009E5A6D" w:rsidRPr="00FD211F">
        <w:rPr>
          <w:sz w:val="36"/>
          <w:szCs w:val="36"/>
          <w:rtl/>
        </w:rPr>
        <w:t xml:space="preserve">مقتضى </w:t>
      </w:r>
      <w:r w:rsidR="00296A49" w:rsidRPr="00FD211F">
        <w:rPr>
          <w:sz w:val="36"/>
          <w:szCs w:val="36"/>
          <w:rtl/>
        </w:rPr>
        <w:t>القواعد الادبي</w:t>
      </w:r>
      <w:r w:rsidR="00EC7EDF" w:rsidRPr="00FD211F">
        <w:rPr>
          <w:sz w:val="36"/>
          <w:szCs w:val="36"/>
          <w:rtl/>
        </w:rPr>
        <w:t xml:space="preserve">ة </w:t>
      </w:r>
      <w:r w:rsidR="009E5A6D" w:rsidRPr="00FD211F">
        <w:rPr>
          <w:sz w:val="36"/>
          <w:szCs w:val="36"/>
          <w:rtl/>
        </w:rPr>
        <w:t>رجوع القيد الى الهيئ</w:t>
      </w:r>
      <w:r w:rsidR="00EC7EDF" w:rsidRPr="00FD211F">
        <w:rPr>
          <w:sz w:val="36"/>
          <w:szCs w:val="36"/>
          <w:rtl/>
        </w:rPr>
        <w:t xml:space="preserve">ة </w:t>
      </w:r>
      <w:r w:rsidR="009E5A6D" w:rsidRPr="00FD211F">
        <w:rPr>
          <w:sz w:val="36"/>
          <w:szCs w:val="36"/>
          <w:rtl/>
        </w:rPr>
        <w:t>فيكون مجيئ زيد</w:t>
      </w:r>
      <w:r w:rsidR="006D1900" w:rsidRPr="00FD211F">
        <w:rPr>
          <w:sz w:val="36"/>
          <w:szCs w:val="36"/>
          <w:rtl/>
        </w:rPr>
        <w:t>في قوله"ان جاءك زيدفأكرمه"</w:t>
      </w:r>
      <w:r w:rsidR="009E5A6D" w:rsidRPr="00FD211F">
        <w:rPr>
          <w:sz w:val="36"/>
          <w:szCs w:val="36"/>
          <w:rtl/>
        </w:rPr>
        <w:t xml:space="preserve"> شرطا لوجوب اكرامه</w:t>
      </w:r>
      <w:r w:rsidR="00603323" w:rsidRPr="00FD211F">
        <w:rPr>
          <w:sz w:val="36"/>
          <w:szCs w:val="36"/>
          <w:rtl/>
        </w:rPr>
        <w:t xml:space="preserve">، </w:t>
      </w:r>
      <w:r w:rsidR="009E5A6D" w:rsidRPr="00FD211F">
        <w:rPr>
          <w:sz w:val="36"/>
          <w:szCs w:val="36"/>
          <w:rtl/>
        </w:rPr>
        <w:t>ل</w:t>
      </w:r>
      <w:r w:rsidR="00BE0BB7" w:rsidRPr="00FD211F">
        <w:rPr>
          <w:sz w:val="36"/>
          <w:szCs w:val="36"/>
          <w:rtl/>
        </w:rPr>
        <w:t>كن المحذور الثبوتي يمنع من البناء ع</w:t>
      </w:r>
      <w:r w:rsidR="009E5A6D" w:rsidRPr="00FD211F">
        <w:rPr>
          <w:sz w:val="36"/>
          <w:szCs w:val="36"/>
          <w:rtl/>
        </w:rPr>
        <w:t>ليه</w:t>
      </w:r>
      <w:r w:rsidR="00603323" w:rsidRPr="00FD211F">
        <w:rPr>
          <w:sz w:val="36"/>
          <w:szCs w:val="36"/>
          <w:rtl/>
        </w:rPr>
        <w:t xml:space="preserve">، </w:t>
      </w:r>
      <w:r w:rsidR="009E5A6D" w:rsidRPr="00FD211F">
        <w:rPr>
          <w:sz w:val="36"/>
          <w:szCs w:val="36"/>
          <w:rtl/>
        </w:rPr>
        <w:t>فان مفاد الهيئ</w:t>
      </w:r>
      <w:r w:rsidR="00EC7EDF" w:rsidRPr="00FD211F">
        <w:rPr>
          <w:sz w:val="36"/>
          <w:szCs w:val="36"/>
          <w:rtl/>
        </w:rPr>
        <w:t xml:space="preserve">ة </w:t>
      </w:r>
      <w:r w:rsidR="009E5A6D" w:rsidRPr="00FD211F">
        <w:rPr>
          <w:sz w:val="36"/>
          <w:szCs w:val="36"/>
          <w:rtl/>
        </w:rPr>
        <w:t>معنى حرفي وهو</w:t>
      </w:r>
      <w:r w:rsidR="006D1900" w:rsidRPr="00FD211F">
        <w:rPr>
          <w:sz w:val="36"/>
          <w:szCs w:val="36"/>
          <w:rtl/>
        </w:rPr>
        <w:t xml:space="preserve"> جزئي فلايمكن رجوع الشرط</w:t>
      </w:r>
      <w:r w:rsidR="009E5A6D" w:rsidRPr="00FD211F">
        <w:rPr>
          <w:sz w:val="36"/>
          <w:szCs w:val="36"/>
          <w:rtl/>
        </w:rPr>
        <w:t xml:space="preserve"> اليه</w:t>
      </w:r>
      <w:r w:rsidR="006D1900" w:rsidRPr="00FD211F">
        <w:rPr>
          <w:sz w:val="36"/>
          <w:szCs w:val="36"/>
          <w:rtl/>
        </w:rPr>
        <w:t>-اذرجوع الشرط اليه يعني تقييده به ولايعقل التقييد</w:t>
      </w:r>
      <w:r w:rsidR="00BE0BB7" w:rsidRPr="00FD211F">
        <w:rPr>
          <w:sz w:val="36"/>
          <w:szCs w:val="36"/>
          <w:rtl/>
        </w:rPr>
        <w:t xml:space="preserve"> </w:t>
      </w:r>
      <w:r w:rsidR="006D1900" w:rsidRPr="00FD211F">
        <w:rPr>
          <w:sz w:val="36"/>
          <w:szCs w:val="36"/>
          <w:rtl/>
        </w:rPr>
        <w:t>الافي المفهوم الذي يكون له سع</w:t>
      </w:r>
      <w:r w:rsidR="00EC7EDF" w:rsidRPr="00FD211F">
        <w:rPr>
          <w:sz w:val="36"/>
          <w:szCs w:val="36"/>
          <w:rtl/>
        </w:rPr>
        <w:t xml:space="preserve">ة </w:t>
      </w:r>
      <w:r w:rsidR="006D1900" w:rsidRPr="00FD211F">
        <w:rPr>
          <w:sz w:val="36"/>
          <w:szCs w:val="36"/>
          <w:rtl/>
        </w:rPr>
        <w:t>واطلاق في حدذاته فيراد</w:t>
      </w:r>
      <w:r w:rsidR="00BE0BB7" w:rsidRPr="00FD211F">
        <w:rPr>
          <w:sz w:val="36"/>
          <w:szCs w:val="36"/>
          <w:rtl/>
        </w:rPr>
        <w:t xml:space="preserve"> </w:t>
      </w:r>
      <w:r w:rsidR="006D1900" w:rsidRPr="00FD211F">
        <w:rPr>
          <w:sz w:val="36"/>
          <w:szCs w:val="36"/>
          <w:rtl/>
        </w:rPr>
        <w:t>تقييده وتضييقه كمافي المفاهيم الاسمي</w:t>
      </w:r>
      <w:r w:rsidR="00EC7EDF" w:rsidRPr="00FD211F">
        <w:rPr>
          <w:sz w:val="36"/>
          <w:szCs w:val="36"/>
          <w:rtl/>
        </w:rPr>
        <w:t xml:space="preserve">ة </w:t>
      </w:r>
      <w:r w:rsidR="006D1900" w:rsidRPr="00FD211F">
        <w:rPr>
          <w:sz w:val="36"/>
          <w:szCs w:val="36"/>
          <w:rtl/>
        </w:rPr>
        <w:t>واماالمعنى الحرفي فهوجزئي لاسع</w:t>
      </w:r>
      <w:r w:rsidR="00EC7EDF" w:rsidRPr="00FD211F">
        <w:rPr>
          <w:sz w:val="36"/>
          <w:szCs w:val="36"/>
          <w:rtl/>
        </w:rPr>
        <w:t xml:space="preserve">ة </w:t>
      </w:r>
      <w:r w:rsidR="006D1900" w:rsidRPr="00FD211F">
        <w:rPr>
          <w:sz w:val="36"/>
          <w:szCs w:val="36"/>
          <w:rtl/>
        </w:rPr>
        <w:t>ولااطلاق له</w:t>
      </w:r>
      <w:r w:rsidR="00BE0BB7" w:rsidRPr="00FD211F">
        <w:rPr>
          <w:sz w:val="36"/>
          <w:szCs w:val="36"/>
          <w:rtl/>
        </w:rPr>
        <w:t xml:space="preserve"> </w:t>
      </w:r>
      <w:r w:rsidR="006D1900" w:rsidRPr="00FD211F">
        <w:rPr>
          <w:sz w:val="36"/>
          <w:szCs w:val="36"/>
          <w:rtl/>
        </w:rPr>
        <w:t>حتى يمكن تقييده وتضييقه -</w:t>
      </w:r>
      <w:r w:rsidR="00640E0D" w:rsidRPr="00FD211F">
        <w:rPr>
          <w:sz w:val="36"/>
          <w:szCs w:val="36"/>
          <w:rtl/>
        </w:rPr>
        <w:t xml:space="preserve"> ف</w:t>
      </w:r>
      <w:r w:rsidR="009E5A6D" w:rsidRPr="00FD211F">
        <w:rPr>
          <w:sz w:val="36"/>
          <w:szCs w:val="36"/>
          <w:rtl/>
        </w:rPr>
        <w:t>يتعين ان يكون قيدا في الماد</w:t>
      </w:r>
      <w:r w:rsidR="00EC7EDF" w:rsidRPr="00FD211F">
        <w:rPr>
          <w:sz w:val="36"/>
          <w:szCs w:val="36"/>
          <w:rtl/>
        </w:rPr>
        <w:t xml:space="preserve">ة </w:t>
      </w:r>
      <w:r w:rsidR="00640E0D" w:rsidRPr="00FD211F">
        <w:rPr>
          <w:sz w:val="36"/>
          <w:szCs w:val="36"/>
          <w:rtl/>
        </w:rPr>
        <w:t xml:space="preserve">وهوالاكرام </w:t>
      </w:r>
      <w:r w:rsidR="009E5A6D" w:rsidRPr="00FD211F">
        <w:rPr>
          <w:sz w:val="36"/>
          <w:szCs w:val="36"/>
          <w:rtl/>
        </w:rPr>
        <w:t>فيكون واجبا معلقا اي يكون الوجوب فعليا وان كان الواجب هو اكرام زيد على تق</w:t>
      </w:r>
      <w:r w:rsidR="00640E0D" w:rsidRPr="00FD211F">
        <w:rPr>
          <w:sz w:val="36"/>
          <w:szCs w:val="36"/>
          <w:rtl/>
        </w:rPr>
        <w:t>دير مجيئه.</w:t>
      </w:r>
    </w:p>
    <w:p w14:paraId="5BACD63D" w14:textId="77777777" w:rsidR="009E5A6D" w:rsidRPr="00FD211F" w:rsidRDefault="009E5A6D" w:rsidP="009C58C8">
      <w:pPr>
        <w:ind w:left="0" w:firstLine="227"/>
        <w:jc w:val="both"/>
        <w:rPr>
          <w:sz w:val="36"/>
          <w:szCs w:val="36"/>
          <w:rtl/>
        </w:rPr>
      </w:pPr>
      <w:r w:rsidRPr="00FD211F">
        <w:rPr>
          <w:sz w:val="36"/>
          <w:szCs w:val="36"/>
          <w:rtl/>
        </w:rPr>
        <w:t xml:space="preserve">ولايأتي هذا الاشكال فيما لو كان الوجوب مستفادا من الخطاب بنحو المعنى الاسمي كما لو قال </w:t>
      </w:r>
      <w:r w:rsidR="00640E0D" w:rsidRPr="00FD211F">
        <w:rPr>
          <w:sz w:val="36"/>
          <w:szCs w:val="36"/>
          <w:rtl/>
        </w:rPr>
        <w:t>"</w:t>
      </w:r>
      <w:r w:rsidRPr="00FD211F">
        <w:rPr>
          <w:sz w:val="36"/>
          <w:szCs w:val="36"/>
          <w:rtl/>
        </w:rPr>
        <w:t>ان جاءك زيد فيجب اكرامه</w:t>
      </w:r>
      <w:r w:rsidR="00640E0D" w:rsidRPr="00FD211F">
        <w:rPr>
          <w:sz w:val="36"/>
          <w:szCs w:val="36"/>
          <w:rtl/>
        </w:rPr>
        <w:t>"</w:t>
      </w:r>
      <w:r w:rsidR="00603323" w:rsidRPr="00FD211F">
        <w:rPr>
          <w:sz w:val="36"/>
          <w:szCs w:val="36"/>
          <w:rtl/>
        </w:rPr>
        <w:t xml:space="preserve">، </w:t>
      </w:r>
      <w:r w:rsidRPr="00FD211F">
        <w:rPr>
          <w:sz w:val="36"/>
          <w:szCs w:val="36"/>
          <w:rtl/>
        </w:rPr>
        <w:t>وان كانت توجد نكت</w:t>
      </w:r>
      <w:r w:rsidR="00EC7EDF" w:rsidRPr="00FD211F">
        <w:rPr>
          <w:sz w:val="36"/>
          <w:szCs w:val="36"/>
          <w:rtl/>
        </w:rPr>
        <w:t xml:space="preserve">ة </w:t>
      </w:r>
      <w:r w:rsidRPr="00FD211F">
        <w:rPr>
          <w:sz w:val="36"/>
          <w:szCs w:val="36"/>
          <w:rtl/>
        </w:rPr>
        <w:t>مشترك</w:t>
      </w:r>
      <w:r w:rsidR="00EC7EDF" w:rsidRPr="00FD211F">
        <w:rPr>
          <w:sz w:val="36"/>
          <w:szCs w:val="36"/>
          <w:rtl/>
        </w:rPr>
        <w:t xml:space="preserve">ة </w:t>
      </w:r>
      <w:r w:rsidRPr="00FD211F">
        <w:rPr>
          <w:sz w:val="36"/>
          <w:szCs w:val="36"/>
          <w:rtl/>
        </w:rPr>
        <w:t>ثبوتي</w:t>
      </w:r>
      <w:r w:rsidR="00EC7EDF" w:rsidRPr="00FD211F">
        <w:rPr>
          <w:sz w:val="36"/>
          <w:szCs w:val="36"/>
          <w:rtl/>
        </w:rPr>
        <w:t xml:space="preserve">ة </w:t>
      </w:r>
      <w:r w:rsidRPr="00FD211F">
        <w:rPr>
          <w:sz w:val="36"/>
          <w:szCs w:val="36"/>
          <w:rtl/>
        </w:rPr>
        <w:t>تقتضي استحال</w:t>
      </w:r>
      <w:r w:rsidR="00EC7EDF" w:rsidRPr="00FD211F">
        <w:rPr>
          <w:sz w:val="36"/>
          <w:szCs w:val="36"/>
          <w:rtl/>
        </w:rPr>
        <w:t xml:space="preserve">ة </w:t>
      </w:r>
      <w:r w:rsidRPr="00FD211F">
        <w:rPr>
          <w:sz w:val="36"/>
          <w:szCs w:val="36"/>
          <w:rtl/>
        </w:rPr>
        <w:t>الواجب المشروط ولزوم إرجاعه الى الواجب المعلق</w:t>
      </w:r>
      <w:r w:rsidR="00603323" w:rsidRPr="00FD211F">
        <w:rPr>
          <w:sz w:val="36"/>
          <w:szCs w:val="36"/>
          <w:rtl/>
        </w:rPr>
        <w:t xml:space="preserve">، </w:t>
      </w:r>
      <w:r w:rsidRPr="00FD211F">
        <w:rPr>
          <w:sz w:val="36"/>
          <w:szCs w:val="36"/>
          <w:rtl/>
        </w:rPr>
        <w:t>وسيأتي بيانها في محلها ان شاء الله تعالى.</w:t>
      </w:r>
    </w:p>
    <w:p w14:paraId="10A3D5DA" w14:textId="77777777" w:rsidR="000C5BBA" w:rsidRPr="00FD211F" w:rsidRDefault="00640E0D" w:rsidP="009C58C8">
      <w:pPr>
        <w:ind w:left="0" w:firstLine="227"/>
        <w:jc w:val="both"/>
        <w:rPr>
          <w:sz w:val="36"/>
          <w:szCs w:val="36"/>
          <w:rtl/>
        </w:rPr>
      </w:pPr>
      <w:r w:rsidRPr="00FD211F">
        <w:rPr>
          <w:sz w:val="36"/>
          <w:szCs w:val="36"/>
          <w:rtl/>
        </w:rPr>
        <w:t xml:space="preserve">ويرد عليه </w:t>
      </w:r>
      <w:r w:rsidRPr="00FD211F">
        <w:rPr>
          <w:b/>
          <w:bCs/>
          <w:sz w:val="36"/>
          <w:szCs w:val="36"/>
          <w:rtl/>
        </w:rPr>
        <w:t>اولا</w:t>
      </w:r>
      <w:r w:rsidRPr="00FD211F">
        <w:rPr>
          <w:sz w:val="36"/>
          <w:szCs w:val="36"/>
          <w:rtl/>
        </w:rPr>
        <w:t>النقض بما لو قال</w:t>
      </w:r>
      <w:r w:rsidR="00EC7EDF" w:rsidRPr="00FD211F">
        <w:rPr>
          <w:sz w:val="36"/>
          <w:szCs w:val="36"/>
          <w:rtl/>
        </w:rPr>
        <w:t>:</w:t>
      </w:r>
      <w:r w:rsidRPr="00FD211F">
        <w:rPr>
          <w:sz w:val="36"/>
          <w:szCs w:val="36"/>
          <w:rtl/>
        </w:rPr>
        <w:t xml:space="preserve"> "هذا زيد ان كان اليوم يوم الجمع</w:t>
      </w:r>
      <w:r w:rsidR="00EC7EDF" w:rsidRPr="00FD211F">
        <w:rPr>
          <w:sz w:val="36"/>
          <w:szCs w:val="36"/>
          <w:rtl/>
        </w:rPr>
        <w:t xml:space="preserve">ة </w:t>
      </w:r>
      <w:r w:rsidRPr="00FD211F">
        <w:rPr>
          <w:sz w:val="36"/>
          <w:szCs w:val="36"/>
          <w:rtl/>
        </w:rPr>
        <w:t>"</w:t>
      </w:r>
      <w:r w:rsidR="009E5A6D" w:rsidRPr="00FD211F">
        <w:rPr>
          <w:sz w:val="36"/>
          <w:szCs w:val="36"/>
          <w:rtl/>
        </w:rPr>
        <w:t xml:space="preserve"> او</w:t>
      </w:r>
      <w:r w:rsidRPr="00FD211F">
        <w:rPr>
          <w:sz w:val="36"/>
          <w:szCs w:val="36"/>
          <w:rtl/>
        </w:rPr>
        <w:t>قال</w:t>
      </w:r>
      <w:r w:rsidR="00B253CE" w:rsidRPr="00FD211F">
        <w:rPr>
          <w:sz w:val="36"/>
          <w:szCs w:val="36"/>
          <w:rtl/>
        </w:rPr>
        <w:t xml:space="preserve"> </w:t>
      </w:r>
      <w:r w:rsidR="009E5A6D" w:rsidRPr="00FD211F">
        <w:rPr>
          <w:sz w:val="36"/>
          <w:szCs w:val="36"/>
          <w:rtl/>
        </w:rPr>
        <w:t>"هذا زيد في اعتقادي"</w:t>
      </w:r>
      <w:r w:rsidR="00603323" w:rsidRPr="00FD211F">
        <w:rPr>
          <w:sz w:val="36"/>
          <w:szCs w:val="36"/>
          <w:rtl/>
        </w:rPr>
        <w:t xml:space="preserve">، </w:t>
      </w:r>
      <w:r w:rsidR="009E5A6D" w:rsidRPr="00FD211F">
        <w:rPr>
          <w:sz w:val="36"/>
          <w:szCs w:val="36"/>
          <w:rtl/>
        </w:rPr>
        <w:t>فترى ان الموضوع والمحمول جزئيان وكذا النسب</w:t>
      </w:r>
      <w:r w:rsidR="00EC7EDF" w:rsidRPr="00FD211F">
        <w:rPr>
          <w:sz w:val="36"/>
          <w:szCs w:val="36"/>
          <w:rtl/>
        </w:rPr>
        <w:t xml:space="preserve">ة </w:t>
      </w:r>
      <w:r w:rsidR="009E5A6D" w:rsidRPr="00FD211F">
        <w:rPr>
          <w:sz w:val="36"/>
          <w:szCs w:val="36"/>
          <w:rtl/>
        </w:rPr>
        <w:t>بينهما</w:t>
      </w:r>
      <w:r w:rsidR="00603323" w:rsidRPr="00FD211F">
        <w:rPr>
          <w:sz w:val="36"/>
          <w:szCs w:val="36"/>
          <w:rtl/>
        </w:rPr>
        <w:t xml:space="preserve">، </w:t>
      </w:r>
      <w:r w:rsidR="009E5A6D" w:rsidRPr="00FD211F">
        <w:rPr>
          <w:sz w:val="36"/>
          <w:szCs w:val="36"/>
          <w:rtl/>
        </w:rPr>
        <w:t>فبناء على ما</w:t>
      </w:r>
      <w:r w:rsidR="00202F1F" w:rsidRPr="00FD211F">
        <w:rPr>
          <w:sz w:val="36"/>
          <w:szCs w:val="36"/>
          <w:rtl/>
        </w:rPr>
        <w:t>نسب الى</w:t>
      </w:r>
      <w:r w:rsidR="00B253CE" w:rsidRPr="00FD211F">
        <w:rPr>
          <w:sz w:val="36"/>
          <w:szCs w:val="36"/>
          <w:rtl/>
        </w:rPr>
        <w:t xml:space="preserve"> </w:t>
      </w:r>
      <w:r w:rsidR="009E5A6D" w:rsidRPr="00FD211F">
        <w:rPr>
          <w:sz w:val="36"/>
          <w:szCs w:val="36"/>
          <w:rtl/>
        </w:rPr>
        <w:t xml:space="preserve">الشيخ الاعظم </w:t>
      </w:r>
      <w:r w:rsidR="00202F1F" w:rsidRPr="00FD211F">
        <w:rPr>
          <w:sz w:val="36"/>
          <w:szCs w:val="36"/>
          <w:rtl/>
        </w:rPr>
        <w:t>"</w:t>
      </w:r>
      <w:r w:rsidR="009E5A6D" w:rsidRPr="00FD211F">
        <w:rPr>
          <w:sz w:val="36"/>
          <w:szCs w:val="36"/>
          <w:rtl/>
        </w:rPr>
        <w:t>قده</w:t>
      </w:r>
      <w:r w:rsidR="00202F1F" w:rsidRPr="00FD211F">
        <w:rPr>
          <w:sz w:val="36"/>
          <w:szCs w:val="36"/>
          <w:rtl/>
        </w:rPr>
        <w:t>"</w:t>
      </w:r>
      <w:r w:rsidR="009E5A6D" w:rsidRPr="00FD211F">
        <w:rPr>
          <w:sz w:val="36"/>
          <w:szCs w:val="36"/>
          <w:rtl/>
        </w:rPr>
        <w:t xml:space="preserve"> من عدم امكان رجوع القيد الى المعنى الجزئي فلايمكن توجيه هذه الأمثل</w:t>
      </w:r>
      <w:r w:rsidR="00EC7EDF" w:rsidRPr="00FD211F">
        <w:rPr>
          <w:sz w:val="36"/>
          <w:szCs w:val="36"/>
          <w:rtl/>
        </w:rPr>
        <w:t>ة</w:t>
      </w:r>
      <w:r w:rsidR="00A61BAE" w:rsidRPr="00FD211F">
        <w:rPr>
          <w:sz w:val="36"/>
          <w:szCs w:val="36"/>
          <w:rtl/>
        </w:rPr>
        <w:t>.</w:t>
      </w:r>
    </w:p>
    <w:p w14:paraId="784FD10D" w14:textId="77777777" w:rsidR="000C5BBA" w:rsidRPr="00FD211F" w:rsidRDefault="00610EE9" w:rsidP="009C58C8">
      <w:pPr>
        <w:ind w:left="0" w:firstLine="227"/>
        <w:jc w:val="both"/>
        <w:rPr>
          <w:sz w:val="36"/>
          <w:szCs w:val="36"/>
          <w:rtl/>
        </w:rPr>
      </w:pPr>
      <w:r w:rsidRPr="00FD211F">
        <w:rPr>
          <w:b/>
          <w:bCs/>
          <w:sz w:val="36"/>
          <w:szCs w:val="36"/>
          <w:rtl/>
        </w:rPr>
        <w:t>وثانيا</w:t>
      </w:r>
      <w:r w:rsidRPr="00FD211F">
        <w:rPr>
          <w:sz w:val="36"/>
          <w:szCs w:val="36"/>
          <w:rtl/>
        </w:rPr>
        <w:t xml:space="preserve"> بالحل</w:t>
      </w:r>
      <w:r w:rsidR="00603323" w:rsidRPr="00FD211F">
        <w:rPr>
          <w:sz w:val="36"/>
          <w:szCs w:val="36"/>
          <w:rtl/>
        </w:rPr>
        <w:t xml:space="preserve">، </w:t>
      </w:r>
      <w:r w:rsidRPr="00FD211F">
        <w:rPr>
          <w:sz w:val="36"/>
          <w:szCs w:val="36"/>
          <w:rtl/>
        </w:rPr>
        <w:t>وقد ذكرت في تقريب ذلك عد</w:t>
      </w:r>
      <w:r w:rsidR="00EC7EDF" w:rsidRPr="00FD211F">
        <w:rPr>
          <w:sz w:val="36"/>
          <w:szCs w:val="36"/>
          <w:rtl/>
        </w:rPr>
        <w:t xml:space="preserve">ة </w:t>
      </w:r>
      <w:r w:rsidRPr="00FD211F">
        <w:rPr>
          <w:sz w:val="36"/>
          <w:szCs w:val="36"/>
          <w:rtl/>
        </w:rPr>
        <w:t>وجوه:</w:t>
      </w:r>
    </w:p>
    <w:p w14:paraId="2913DD28" w14:textId="77777777" w:rsidR="000C5BBA" w:rsidRPr="00FD211F" w:rsidRDefault="00630556" w:rsidP="009C58C8">
      <w:pPr>
        <w:ind w:left="0" w:firstLine="227"/>
        <w:jc w:val="both"/>
        <w:rPr>
          <w:sz w:val="36"/>
          <w:szCs w:val="36"/>
          <w:rtl/>
        </w:rPr>
      </w:pPr>
      <w:r w:rsidRPr="00FD211F">
        <w:rPr>
          <w:b/>
          <w:bCs/>
          <w:sz w:val="36"/>
          <w:szCs w:val="36"/>
          <w:rtl/>
        </w:rPr>
        <w:t>الوجه الاول</w:t>
      </w:r>
      <w:r w:rsidRPr="00FD211F">
        <w:rPr>
          <w:sz w:val="36"/>
          <w:szCs w:val="36"/>
          <w:rtl/>
        </w:rPr>
        <w:t xml:space="preserve">: </w:t>
      </w:r>
      <w:r w:rsidR="00610EE9" w:rsidRPr="00FD211F">
        <w:rPr>
          <w:sz w:val="36"/>
          <w:szCs w:val="36"/>
          <w:rtl/>
        </w:rPr>
        <w:t>ما ذكره صاحب الكفاي</w:t>
      </w:r>
      <w:r w:rsidR="00EC7EDF" w:rsidRPr="00FD211F">
        <w:rPr>
          <w:sz w:val="36"/>
          <w:szCs w:val="36"/>
          <w:rtl/>
        </w:rPr>
        <w:t xml:space="preserve">ة </w:t>
      </w:r>
      <w:r w:rsidR="00610EE9" w:rsidRPr="00FD211F">
        <w:rPr>
          <w:sz w:val="36"/>
          <w:szCs w:val="36"/>
          <w:rtl/>
        </w:rPr>
        <w:t>والمحقق العراقي</w:t>
      </w:r>
      <w:r w:rsidRPr="00FD211F">
        <w:rPr>
          <w:sz w:val="36"/>
          <w:szCs w:val="36"/>
          <w:rtl/>
        </w:rPr>
        <w:t>"</w:t>
      </w:r>
      <w:r w:rsidR="00610EE9" w:rsidRPr="00FD211F">
        <w:rPr>
          <w:sz w:val="36"/>
          <w:szCs w:val="36"/>
          <w:rtl/>
        </w:rPr>
        <w:t xml:space="preserve"> قدهما</w:t>
      </w:r>
      <w:r w:rsidRPr="00FD211F">
        <w:rPr>
          <w:sz w:val="36"/>
          <w:szCs w:val="36"/>
          <w:rtl/>
        </w:rPr>
        <w:t>"</w:t>
      </w:r>
      <w:r w:rsidR="00610EE9" w:rsidRPr="00FD211F">
        <w:rPr>
          <w:sz w:val="36"/>
          <w:szCs w:val="36"/>
          <w:rtl/>
        </w:rPr>
        <w:t xml:space="preserve"> من كون المعنى الموضوع له في الحروف والهيئات كليا كما في الأسماء</w:t>
      </w:r>
      <w:r w:rsidR="00603323" w:rsidRPr="00FD211F">
        <w:rPr>
          <w:sz w:val="36"/>
          <w:szCs w:val="36"/>
          <w:rtl/>
        </w:rPr>
        <w:t xml:space="preserve">، </w:t>
      </w:r>
      <w:r w:rsidR="00610EE9" w:rsidRPr="00FD211F">
        <w:rPr>
          <w:sz w:val="36"/>
          <w:szCs w:val="36"/>
          <w:rtl/>
        </w:rPr>
        <w:t>فيكون قابلا للتقييد</w:t>
      </w:r>
      <w:r w:rsidR="00603323" w:rsidRPr="00FD211F">
        <w:rPr>
          <w:sz w:val="36"/>
          <w:szCs w:val="36"/>
          <w:rtl/>
        </w:rPr>
        <w:t xml:space="preserve">، </w:t>
      </w:r>
      <w:r w:rsidR="00610EE9" w:rsidRPr="00FD211F">
        <w:rPr>
          <w:sz w:val="36"/>
          <w:szCs w:val="36"/>
          <w:rtl/>
        </w:rPr>
        <w:t>ولكن سبق في محله المناقش</w:t>
      </w:r>
      <w:r w:rsidR="00EC7EDF" w:rsidRPr="00FD211F">
        <w:rPr>
          <w:sz w:val="36"/>
          <w:szCs w:val="36"/>
          <w:rtl/>
        </w:rPr>
        <w:t xml:space="preserve">ة </w:t>
      </w:r>
      <w:r w:rsidR="00610EE9" w:rsidRPr="00FD211F">
        <w:rPr>
          <w:sz w:val="36"/>
          <w:szCs w:val="36"/>
          <w:rtl/>
        </w:rPr>
        <w:t>في هذا المبنى و</w:t>
      </w:r>
      <w:r w:rsidR="00BE0BB7" w:rsidRPr="00FD211F">
        <w:rPr>
          <w:sz w:val="36"/>
          <w:szCs w:val="36"/>
          <w:rtl/>
        </w:rPr>
        <w:t>ذكرنا أ</w:t>
      </w:r>
      <w:r w:rsidR="00610EE9" w:rsidRPr="00FD211F">
        <w:rPr>
          <w:sz w:val="36"/>
          <w:szCs w:val="36"/>
          <w:rtl/>
        </w:rPr>
        <w:t>ن الصحيح كون المعنى الموضوع له فيهما جزئيا.</w:t>
      </w:r>
    </w:p>
    <w:p w14:paraId="7A17FDB4" w14:textId="77777777" w:rsidR="000C5BBA" w:rsidRPr="00FD211F" w:rsidRDefault="00630556" w:rsidP="009C58C8">
      <w:pPr>
        <w:ind w:left="0" w:firstLine="227"/>
        <w:jc w:val="both"/>
        <w:rPr>
          <w:sz w:val="36"/>
          <w:szCs w:val="36"/>
          <w:rtl/>
        </w:rPr>
      </w:pPr>
      <w:r w:rsidRPr="00FD211F">
        <w:rPr>
          <w:b/>
          <w:bCs/>
          <w:sz w:val="36"/>
          <w:szCs w:val="36"/>
          <w:rtl/>
        </w:rPr>
        <w:t>الوجه الثاني</w:t>
      </w:r>
      <w:r w:rsidR="00EC7EDF" w:rsidRPr="00FD211F">
        <w:rPr>
          <w:sz w:val="36"/>
          <w:szCs w:val="36"/>
          <w:rtl/>
        </w:rPr>
        <w:t>:</w:t>
      </w:r>
      <w:r w:rsidR="00610EE9" w:rsidRPr="00FD211F">
        <w:rPr>
          <w:sz w:val="36"/>
          <w:szCs w:val="36"/>
          <w:rtl/>
        </w:rPr>
        <w:t>ما في الكفاي</w:t>
      </w:r>
      <w:r w:rsidR="00EC7EDF" w:rsidRPr="00FD211F">
        <w:rPr>
          <w:sz w:val="36"/>
          <w:szCs w:val="36"/>
          <w:rtl/>
        </w:rPr>
        <w:t xml:space="preserve">ة </w:t>
      </w:r>
      <w:r w:rsidR="00610EE9" w:rsidRPr="00FD211F">
        <w:rPr>
          <w:sz w:val="36"/>
          <w:szCs w:val="36"/>
          <w:rtl/>
        </w:rPr>
        <w:t xml:space="preserve">من انه على فرض </w:t>
      </w:r>
      <w:r w:rsidR="00BE0BB7" w:rsidRPr="00FD211F">
        <w:rPr>
          <w:sz w:val="36"/>
          <w:szCs w:val="36"/>
          <w:rtl/>
        </w:rPr>
        <w:t>قبول جزئية</w:t>
      </w:r>
      <w:r w:rsidR="00610EE9" w:rsidRPr="00FD211F">
        <w:rPr>
          <w:sz w:val="36"/>
          <w:szCs w:val="36"/>
          <w:rtl/>
        </w:rPr>
        <w:t xml:space="preserve"> معنى هيئ</w:t>
      </w:r>
      <w:r w:rsidR="00EC7EDF" w:rsidRPr="00FD211F">
        <w:rPr>
          <w:sz w:val="36"/>
          <w:szCs w:val="36"/>
          <w:rtl/>
        </w:rPr>
        <w:t xml:space="preserve">ة </w:t>
      </w:r>
      <w:r w:rsidR="00610EE9" w:rsidRPr="00FD211F">
        <w:rPr>
          <w:sz w:val="36"/>
          <w:szCs w:val="36"/>
          <w:rtl/>
        </w:rPr>
        <w:t>الأمر</w:t>
      </w:r>
      <w:r w:rsidR="00603323" w:rsidRPr="00FD211F">
        <w:rPr>
          <w:sz w:val="36"/>
          <w:szCs w:val="36"/>
          <w:rtl/>
        </w:rPr>
        <w:t xml:space="preserve">، </w:t>
      </w:r>
      <w:r w:rsidR="00610EE9" w:rsidRPr="00FD211F">
        <w:rPr>
          <w:sz w:val="36"/>
          <w:szCs w:val="36"/>
          <w:rtl/>
        </w:rPr>
        <w:t>فحيث ان جزئيته تنشأ من وجوده الإنشائي فقبل وجوده الانشائي حيث</w:t>
      </w:r>
      <w:r w:rsidR="008D7B3D" w:rsidRPr="00FD211F">
        <w:rPr>
          <w:sz w:val="36"/>
          <w:szCs w:val="36"/>
          <w:rtl/>
        </w:rPr>
        <w:t xml:space="preserve"> لم‌</w:t>
      </w:r>
      <w:r w:rsidR="00610EE9" w:rsidRPr="00FD211F">
        <w:rPr>
          <w:sz w:val="36"/>
          <w:szCs w:val="36"/>
          <w:rtl/>
        </w:rPr>
        <w:t xml:space="preserve">يخرج عن كونه مفهوما كليا فيمكن تقييده </w:t>
      </w:r>
      <w:r w:rsidR="00BE0BB7" w:rsidRPr="00FD211F">
        <w:rPr>
          <w:sz w:val="36"/>
          <w:szCs w:val="36"/>
          <w:rtl/>
        </w:rPr>
        <w:t xml:space="preserve">اولاً </w:t>
      </w:r>
      <w:r w:rsidR="00610EE9" w:rsidRPr="00FD211F">
        <w:rPr>
          <w:sz w:val="36"/>
          <w:szCs w:val="36"/>
          <w:rtl/>
        </w:rPr>
        <w:t>ثم انشاء المقيد لاإنشاءه مطلقا اولا</w:t>
      </w:r>
      <w:r w:rsidR="00BE0BB7" w:rsidRPr="00FD211F">
        <w:rPr>
          <w:sz w:val="36"/>
          <w:szCs w:val="36"/>
          <w:rtl/>
        </w:rPr>
        <w:t>ً</w:t>
      </w:r>
      <w:r w:rsidR="00610EE9" w:rsidRPr="00FD211F">
        <w:rPr>
          <w:sz w:val="36"/>
          <w:szCs w:val="36"/>
          <w:rtl/>
        </w:rPr>
        <w:t xml:space="preserve"> ثم تقييده بعد الإنشاء</w:t>
      </w:r>
      <w:r w:rsidR="009C58C8" w:rsidRPr="00FD211F">
        <w:rPr>
          <w:rStyle w:val="a6"/>
          <w:sz w:val="36"/>
          <w:szCs w:val="36"/>
          <w:rtl/>
        </w:rPr>
        <w:t>(</w:t>
      </w:r>
      <w:r w:rsidR="009C58C8" w:rsidRPr="00FD211F">
        <w:rPr>
          <w:rStyle w:val="a6"/>
          <w:sz w:val="36"/>
          <w:szCs w:val="36"/>
          <w:rtl/>
        </w:rPr>
        <w:footnoteReference w:id="259"/>
      </w:r>
      <w:r w:rsidR="009C58C8" w:rsidRPr="00FD211F">
        <w:rPr>
          <w:rStyle w:val="a6"/>
          <w:sz w:val="36"/>
          <w:szCs w:val="36"/>
          <w:rtl/>
        </w:rPr>
        <w:t>)</w:t>
      </w:r>
      <w:r w:rsidR="00610EE9" w:rsidRPr="00FD211F">
        <w:rPr>
          <w:sz w:val="36"/>
          <w:szCs w:val="36"/>
          <w:rtl/>
        </w:rPr>
        <w:t>.</w:t>
      </w:r>
    </w:p>
    <w:p w14:paraId="056CC8BF" w14:textId="77777777" w:rsidR="000C5BBA" w:rsidRPr="00FD211F" w:rsidRDefault="00610EE9" w:rsidP="005946E3">
      <w:pPr>
        <w:ind w:left="0" w:firstLine="227"/>
        <w:jc w:val="both"/>
        <w:rPr>
          <w:sz w:val="36"/>
          <w:szCs w:val="36"/>
          <w:rtl/>
        </w:rPr>
      </w:pPr>
      <w:r w:rsidRPr="00FD211F">
        <w:rPr>
          <w:sz w:val="36"/>
          <w:szCs w:val="36"/>
          <w:rtl/>
        </w:rPr>
        <w:t>وفيه ان تمامي</w:t>
      </w:r>
      <w:r w:rsidR="00EC7EDF" w:rsidRPr="00FD211F">
        <w:rPr>
          <w:sz w:val="36"/>
          <w:szCs w:val="36"/>
          <w:rtl/>
        </w:rPr>
        <w:t xml:space="preserve">ة </w:t>
      </w:r>
      <w:r w:rsidRPr="00FD211F">
        <w:rPr>
          <w:sz w:val="36"/>
          <w:szCs w:val="36"/>
          <w:rtl/>
        </w:rPr>
        <w:t>جوابه موقوف</w:t>
      </w:r>
      <w:r w:rsidR="00EC7EDF" w:rsidRPr="00FD211F">
        <w:rPr>
          <w:sz w:val="36"/>
          <w:szCs w:val="36"/>
          <w:rtl/>
        </w:rPr>
        <w:t xml:space="preserve">ة </w:t>
      </w:r>
      <w:r w:rsidRPr="00FD211F">
        <w:rPr>
          <w:sz w:val="36"/>
          <w:szCs w:val="36"/>
          <w:rtl/>
        </w:rPr>
        <w:t>على ان تكون جزئي</w:t>
      </w:r>
      <w:r w:rsidR="00EC7EDF" w:rsidRPr="00FD211F">
        <w:rPr>
          <w:sz w:val="36"/>
          <w:szCs w:val="36"/>
          <w:rtl/>
        </w:rPr>
        <w:t xml:space="preserve">ة </w:t>
      </w:r>
      <w:r w:rsidRPr="00FD211F">
        <w:rPr>
          <w:sz w:val="36"/>
          <w:szCs w:val="36"/>
          <w:rtl/>
        </w:rPr>
        <w:t>معنى هيئ</w:t>
      </w:r>
      <w:r w:rsidR="00EC7EDF" w:rsidRPr="00FD211F">
        <w:rPr>
          <w:sz w:val="36"/>
          <w:szCs w:val="36"/>
          <w:rtl/>
        </w:rPr>
        <w:t xml:space="preserve">ة </w:t>
      </w:r>
      <w:r w:rsidRPr="00FD211F">
        <w:rPr>
          <w:sz w:val="36"/>
          <w:szCs w:val="36"/>
          <w:rtl/>
        </w:rPr>
        <w:t>الأمر ناشئ</w:t>
      </w:r>
      <w:r w:rsidR="00EC7EDF" w:rsidRPr="00FD211F">
        <w:rPr>
          <w:sz w:val="36"/>
          <w:szCs w:val="36"/>
          <w:rtl/>
        </w:rPr>
        <w:t xml:space="preserve">ة </w:t>
      </w:r>
      <w:r w:rsidRPr="00FD211F">
        <w:rPr>
          <w:sz w:val="36"/>
          <w:szCs w:val="36"/>
          <w:rtl/>
        </w:rPr>
        <w:t>عن وجوده بالإنشاء</w:t>
      </w:r>
      <w:r w:rsidR="00603323" w:rsidRPr="00FD211F">
        <w:rPr>
          <w:sz w:val="36"/>
          <w:szCs w:val="36"/>
          <w:rtl/>
        </w:rPr>
        <w:t xml:space="preserve">، </w:t>
      </w:r>
      <w:r w:rsidRPr="00FD211F">
        <w:rPr>
          <w:sz w:val="36"/>
          <w:szCs w:val="36"/>
          <w:rtl/>
        </w:rPr>
        <w:t>فيقال حينئذ إنه حيث يكون تصور المعنى سابقا على إنشاءه بلااشكال فلامحذور في تصور المعنى الكلي وتقييده بقيد في مرحل</w:t>
      </w:r>
      <w:r w:rsidR="00EC7EDF" w:rsidRPr="00FD211F">
        <w:rPr>
          <w:sz w:val="36"/>
          <w:szCs w:val="36"/>
          <w:rtl/>
        </w:rPr>
        <w:t xml:space="preserve">ة </w:t>
      </w:r>
      <w:r w:rsidRPr="00FD211F">
        <w:rPr>
          <w:sz w:val="36"/>
          <w:szCs w:val="36"/>
          <w:rtl/>
        </w:rPr>
        <w:t>تصوره ثم إنشاء المقيد</w:t>
      </w:r>
      <w:r w:rsidR="00603323" w:rsidRPr="00FD211F">
        <w:rPr>
          <w:sz w:val="36"/>
          <w:szCs w:val="36"/>
          <w:rtl/>
        </w:rPr>
        <w:t xml:space="preserve">، </w:t>
      </w:r>
      <w:r w:rsidRPr="00FD211F">
        <w:rPr>
          <w:sz w:val="36"/>
          <w:szCs w:val="36"/>
          <w:rtl/>
        </w:rPr>
        <w:t>وأما بناء على كونها ناشئ</w:t>
      </w:r>
      <w:r w:rsidR="00EC7EDF" w:rsidRPr="00FD211F">
        <w:rPr>
          <w:sz w:val="36"/>
          <w:szCs w:val="36"/>
          <w:rtl/>
        </w:rPr>
        <w:t xml:space="preserve">ة </w:t>
      </w:r>
      <w:r w:rsidRPr="00FD211F">
        <w:rPr>
          <w:sz w:val="36"/>
          <w:szCs w:val="36"/>
          <w:rtl/>
        </w:rPr>
        <w:t>عن كونه من قبيل المعنى الحرفي</w:t>
      </w:r>
      <w:r w:rsidR="00603323" w:rsidRPr="00FD211F">
        <w:rPr>
          <w:sz w:val="36"/>
          <w:szCs w:val="36"/>
          <w:rtl/>
        </w:rPr>
        <w:t xml:space="preserve">، </w:t>
      </w:r>
      <w:r w:rsidRPr="00FD211F">
        <w:rPr>
          <w:sz w:val="36"/>
          <w:szCs w:val="36"/>
          <w:rtl/>
        </w:rPr>
        <w:t>والمعنى الحرفي يكون جزئيا ولو</w:t>
      </w:r>
      <w:r w:rsidR="008D7B3D" w:rsidRPr="00FD211F">
        <w:rPr>
          <w:sz w:val="36"/>
          <w:szCs w:val="36"/>
          <w:rtl/>
        </w:rPr>
        <w:t xml:space="preserve"> لم‌</w:t>
      </w:r>
      <w:r w:rsidRPr="00FD211F">
        <w:rPr>
          <w:sz w:val="36"/>
          <w:szCs w:val="36"/>
          <w:rtl/>
        </w:rPr>
        <w:t>يكن هناك أي إنشاء كما هو مسلك المشهور ومنهم الشيخ الأعظم</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00486D0F" w:rsidRPr="00FD211F">
        <w:rPr>
          <w:sz w:val="36"/>
          <w:szCs w:val="36"/>
          <w:rtl/>
        </w:rPr>
        <w:t>فلايتم هذا الجواب.</w:t>
      </w:r>
    </w:p>
    <w:p w14:paraId="395DFFA9" w14:textId="77777777" w:rsidR="000C5BBA" w:rsidRPr="00FD211F" w:rsidRDefault="00610EE9" w:rsidP="009C58C8">
      <w:pPr>
        <w:ind w:left="0" w:firstLine="227"/>
        <w:jc w:val="both"/>
        <w:rPr>
          <w:sz w:val="36"/>
          <w:szCs w:val="36"/>
          <w:rtl/>
        </w:rPr>
      </w:pPr>
      <w:r w:rsidRPr="00FD211F">
        <w:rPr>
          <w:sz w:val="36"/>
          <w:szCs w:val="36"/>
          <w:rtl/>
        </w:rPr>
        <w:t>والشاهد على ذلك أنه لو كان الإنشاء سببا للجزئي</w:t>
      </w:r>
      <w:r w:rsidR="00EC7EDF" w:rsidRPr="00FD211F">
        <w:rPr>
          <w:sz w:val="36"/>
          <w:szCs w:val="36"/>
          <w:rtl/>
        </w:rPr>
        <w:t>ة</w:t>
      </w:r>
      <w:r w:rsidR="008D7B3D" w:rsidRPr="00FD211F">
        <w:rPr>
          <w:sz w:val="36"/>
          <w:szCs w:val="36"/>
          <w:rtl/>
        </w:rPr>
        <w:t xml:space="preserve"> لم‌</w:t>
      </w:r>
      <w:r w:rsidRPr="00FD211F">
        <w:rPr>
          <w:sz w:val="36"/>
          <w:szCs w:val="36"/>
          <w:rtl/>
        </w:rPr>
        <w:t>يختص الاشكال بما لو كان انشاء الوجوب بهيئ</w:t>
      </w:r>
      <w:r w:rsidR="00EC7EDF" w:rsidRPr="00FD211F">
        <w:rPr>
          <w:sz w:val="36"/>
          <w:szCs w:val="36"/>
          <w:rtl/>
        </w:rPr>
        <w:t xml:space="preserve">ة </w:t>
      </w:r>
      <w:r w:rsidRPr="00FD211F">
        <w:rPr>
          <w:sz w:val="36"/>
          <w:szCs w:val="36"/>
          <w:rtl/>
        </w:rPr>
        <w:t>الأمر بل شمل ما لو كان انشاء الوجوب بنحو المعنى الاسمي كقوله</w:t>
      </w:r>
      <w:r w:rsidR="003729E8" w:rsidRPr="00FD211F">
        <w:rPr>
          <w:sz w:val="36"/>
          <w:szCs w:val="36"/>
          <w:rtl/>
        </w:rPr>
        <w:t>"</w:t>
      </w:r>
      <w:r w:rsidRPr="00FD211F">
        <w:rPr>
          <w:sz w:val="36"/>
          <w:szCs w:val="36"/>
          <w:rtl/>
        </w:rPr>
        <w:t xml:space="preserve"> ان جاءك زيد فيجب اكرامه</w:t>
      </w:r>
      <w:r w:rsidR="003729E8" w:rsidRPr="00FD211F">
        <w:rPr>
          <w:sz w:val="36"/>
          <w:szCs w:val="36"/>
          <w:rtl/>
        </w:rPr>
        <w:t>"</w:t>
      </w:r>
      <w:r w:rsidRPr="00FD211F">
        <w:rPr>
          <w:sz w:val="36"/>
          <w:szCs w:val="36"/>
          <w:rtl/>
        </w:rPr>
        <w:t xml:space="preserve"> مع ان </w:t>
      </w:r>
      <w:r w:rsidR="00630556" w:rsidRPr="00FD211F">
        <w:rPr>
          <w:sz w:val="36"/>
          <w:szCs w:val="36"/>
          <w:rtl/>
        </w:rPr>
        <w:t xml:space="preserve">هذاالاشكال المنسوب الى </w:t>
      </w:r>
      <w:r w:rsidRPr="00FD211F">
        <w:rPr>
          <w:sz w:val="36"/>
          <w:szCs w:val="36"/>
          <w:rtl/>
        </w:rPr>
        <w:t xml:space="preserve">الشيخ الأعظم </w:t>
      </w:r>
      <w:r w:rsidR="00630556" w:rsidRPr="00FD211F">
        <w:rPr>
          <w:sz w:val="36"/>
          <w:szCs w:val="36"/>
          <w:rtl/>
        </w:rPr>
        <w:t>"</w:t>
      </w:r>
      <w:r w:rsidRPr="00FD211F">
        <w:rPr>
          <w:sz w:val="36"/>
          <w:szCs w:val="36"/>
          <w:rtl/>
        </w:rPr>
        <w:t>قده</w:t>
      </w:r>
      <w:r w:rsidR="00630556" w:rsidRPr="00FD211F">
        <w:rPr>
          <w:sz w:val="36"/>
          <w:szCs w:val="36"/>
          <w:rtl/>
        </w:rPr>
        <w:t>"</w:t>
      </w:r>
      <w:r w:rsidRPr="00FD211F">
        <w:rPr>
          <w:sz w:val="36"/>
          <w:szCs w:val="36"/>
          <w:rtl/>
        </w:rPr>
        <w:t xml:space="preserve"> خ</w:t>
      </w:r>
      <w:r w:rsidR="00630556" w:rsidRPr="00FD211F">
        <w:rPr>
          <w:sz w:val="36"/>
          <w:szCs w:val="36"/>
          <w:rtl/>
        </w:rPr>
        <w:t>اصّ</w:t>
      </w:r>
      <w:r w:rsidR="00B253CE" w:rsidRPr="00FD211F">
        <w:rPr>
          <w:sz w:val="36"/>
          <w:szCs w:val="36"/>
          <w:rtl/>
        </w:rPr>
        <w:t xml:space="preserve"> </w:t>
      </w:r>
      <w:r w:rsidR="00630556" w:rsidRPr="00FD211F">
        <w:rPr>
          <w:sz w:val="36"/>
          <w:szCs w:val="36"/>
          <w:rtl/>
        </w:rPr>
        <w:t>بصيغ</w:t>
      </w:r>
      <w:r w:rsidR="00EC7EDF" w:rsidRPr="00FD211F">
        <w:rPr>
          <w:sz w:val="36"/>
          <w:szCs w:val="36"/>
          <w:rtl/>
        </w:rPr>
        <w:t xml:space="preserve">ة </w:t>
      </w:r>
      <w:r w:rsidRPr="00FD211F">
        <w:rPr>
          <w:sz w:val="36"/>
          <w:szCs w:val="36"/>
          <w:rtl/>
        </w:rPr>
        <w:t>الأمر</w:t>
      </w:r>
      <w:r w:rsidR="00603323" w:rsidRPr="00FD211F">
        <w:rPr>
          <w:sz w:val="36"/>
          <w:szCs w:val="36"/>
          <w:rtl/>
        </w:rPr>
        <w:t xml:space="preserve">، </w:t>
      </w:r>
      <w:r w:rsidRPr="00FD211F">
        <w:rPr>
          <w:sz w:val="36"/>
          <w:szCs w:val="36"/>
          <w:rtl/>
        </w:rPr>
        <w:t>وكذا يلزم منه شمول الإشكال لمثل التعليق في الوصي</w:t>
      </w:r>
      <w:r w:rsidR="00EC7EDF" w:rsidRPr="00FD211F">
        <w:rPr>
          <w:sz w:val="36"/>
          <w:szCs w:val="36"/>
          <w:rtl/>
        </w:rPr>
        <w:t xml:space="preserve">ة </w:t>
      </w:r>
      <w:r w:rsidRPr="00FD211F">
        <w:rPr>
          <w:sz w:val="36"/>
          <w:szCs w:val="36"/>
          <w:rtl/>
        </w:rPr>
        <w:t>اوالتدبير مع انه لااشكال في امكانهما بل وقوعهما شرعا.</w:t>
      </w:r>
      <w:r w:rsidR="00486D0F" w:rsidRPr="00FD211F">
        <w:rPr>
          <w:sz w:val="36"/>
          <w:szCs w:val="36"/>
          <w:rtl/>
        </w:rPr>
        <w:t xml:space="preserve">ففي </w:t>
      </w:r>
      <w:r w:rsidRPr="00FD211F">
        <w:rPr>
          <w:sz w:val="36"/>
          <w:szCs w:val="36"/>
          <w:rtl/>
        </w:rPr>
        <w:t xml:space="preserve">مثل قوله "ان متُّ فداري ملك زيد" قد تعلق </w:t>
      </w:r>
      <w:r w:rsidR="00486D0F" w:rsidRPr="00FD211F">
        <w:rPr>
          <w:sz w:val="36"/>
          <w:szCs w:val="36"/>
          <w:rtl/>
        </w:rPr>
        <w:t xml:space="preserve">الانشاء </w:t>
      </w:r>
      <w:r w:rsidRPr="00FD211F">
        <w:rPr>
          <w:sz w:val="36"/>
          <w:szCs w:val="36"/>
          <w:rtl/>
        </w:rPr>
        <w:t>بملكي</w:t>
      </w:r>
      <w:r w:rsidR="00EC7EDF" w:rsidRPr="00FD211F">
        <w:rPr>
          <w:sz w:val="36"/>
          <w:szCs w:val="36"/>
          <w:rtl/>
        </w:rPr>
        <w:t xml:space="preserve">ة </w:t>
      </w:r>
      <w:r w:rsidRPr="00FD211F">
        <w:rPr>
          <w:sz w:val="36"/>
          <w:szCs w:val="36"/>
          <w:rtl/>
        </w:rPr>
        <w:t>زيد للدار على تقدير موت الموصي</w:t>
      </w:r>
      <w:r w:rsidR="00603323" w:rsidRPr="00FD211F">
        <w:rPr>
          <w:sz w:val="36"/>
          <w:szCs w:val="36"/>
          <w:rtl/>
        </w:rPr>
        <w:t xml:space="preserve">، </w:t>
      </w:r>
      <w:r w:rsidRPr="00FD211F">
        <w:rPr>
          <w:sz w:val="36"/>
          <w:szCs w:val="36"/>
          <w:rtl/>
        </w:rPr>
        <w:t>وكذا الإنشاء في قوله لعبده "انت حرّ دبر وفاتي" قد تعلق بحرّي</w:t>
      </w:r>
      <w:r w:rsidR="00EC7EDF" w:rsidRPr="00FD211F">
        <w:rPr>
          <w:sz w:val="36"/>
          <w:szCs w:val="36"/>
          <w:rtl/>
        </w:rPr>
        <w:t xml:space="preserve">ة </w:t>
      </w:r>
      <w:r w:rsidRPr="00FD211F">
        <w:rPr>
          <w:sz w:val="36"/>
          <w:szCs w:val="36"/>
          <w:rtl/>
        </w:rPr>
        <w:t>العبد بعد موت المولى</w:t>
      </w:r>
      <w:r w:rsidR="00603323" w:rsidRPr="00FD211F">
        <w:rPr>
          <w:sz w:val="36"/>
          <w:szCs w:val="36"/>
          <w:rtl/>
        </w:rPr>
        <w:t xml:space="preserve">، </w:t>
      </w:r>
      <w:r w:rsidRPr="00FD211F">
        <w:rPr>
          <w:sz w:val="36"/>
          <w:szCs w:val="36"/>
          <w:rtl/>
        </w:rPr>
        <w:t>فيكون القيد راجعا الى الملكي</w:t>
      </w:r>
      <w:r w:rsidR="00EC7EDF" w:rsidRPr="00FD211F">
        <w:rPr>
          <w:sz w:val="36"/>
          <w:szCs w:val="36"/>
          <w:rtl/>
        </w:rPr>
        <w:t xml:space="preserve">ة </w:t>
      </w:r>
      <w:r w:rsidRPr="00FD211F">
        <w:rPr>
          <w:sz w:val="36"/>
          <w:szCs w:val="36"/>
          <w:rtl/>
        </w:rPr>
        <w:t>والحرّي</w:t>
      </w:r>
      <w:r w:rsidR="00EC7EDF" w:rsidRPr="00FD211F">
        <w:rPr>
          <w:sz w:val="36"/>
          <w:szCs w:val="36"/>
          <w:rtl/>
        </w:rPr>
        <w:t xml:space="preserve">ة </w:t>
      </w:r>
      <w:r w:rsidRPr="00FD211F">
        <w:rPr>
          <w:sz w:val="36"/>
          <w:szCs w:val="36"/>
          <w:rtl/>
        </w:rPr>
        <w:t>التي تستفاد من الجمل</w:t>
      </w:r>
      <w:r w:rsidR="00EC7EDF" w:rsidRPr="00FD211F">
        <w:rPr>
          <w:sz w:val="36"/>
          <w:szCs w:val="36"/>
          <w:rtl/>
        </w:rPr>
        <w:t xml:space="preserve">ة </w:t>
      </w:r>
      <w:r w:rsidRPr="00FD211F">
        <w:rPr>
          <w:sz w:val="36"/>
          <w:szCs w:val="36"/>
          <w:rtl/>
        </w:rPr>
        <w:t>بنحو المفهوم الاسمي.</w:t>
      </w:r>
    </w:p>
    <w:p w14:paraId="6625B9AE" w14:textId="77777777" w:rsidR="00D06033" w:rsidRPr="00FD211F" w:rsidRDefault="002E0FB0" w:rsidP="009C58C8">
      <w:pPr>
        <w:ind w:left="0" w:firstLine="227"/>
        <w:jc w:val="both"/>
        <w:rPr>
          <w:sz w:val="36"/>
          <w:szCs w:val="36"/>
          <w:rtl/>
        </w:rPr>
      </w:pPr>
      <w:r w:rsidRPr="00FD211F">
        <w:rPr>
          <w:sz w:val="36"/>
          <w:szCs w:val="36"/>
          <w:rtl/>
        </w:rPr>
        <w:t>هذاوقدذكرفي البحوث ان تمامي</w:t>
      </w:r>
      <w:r w:rsidR="00EC7EDF" w:rsidRPr="00FD211F">
        <w:rPr>
          <w:sz w:val="36"/>
          <w:szCs w:val="36"/>
          <w:rtl/>
        </w:rPr>
        <w:t xml:space="preserve">ة </w:t>
      </w:r>
      <w:r w:rsidRPr="00FD211F">
        <w:rPr>
          <w:sz w:val="36"/>
          <w:szCs w:val="36"/>
          <w:rtl/>
        </w:rPr>
        <w:t>جواب صاحب الكفاي</w:t>
      </w:r>
      <w:r w:rsidR="00EC7EDF" w:rsidRPr="00FD211F">
        <w:rPr>
          <w:sz w:val="36"/>
          <w:szCs w:val="36"/>
          <w:rtl/>
        </w:rPr>
        <w:t xml:space="preserve">ة </w:t>
      </w:r>
      <w:r w:rsidRPr="00FD211F">
        <w:rPr>
          <w:sz w:val="36"/>
          <w:szCs w:val="36"/>
          <w:rtl/>
        </w:rPr>
        <w:t>تتوقف –مضافاالى مامر من كون جزئي</w:t>
      </w:r>
      <w:r w:rsidR="00EC7EDF" w:rsidRPr="00FD211F">
        <w:rPr>
          <w:sz w:val="36"/>
          <w:szCs w:val="36"/>
          <w:rtl/>
        </w:rPr>
        <w:t xml:space="preserve">ة </w:t>
      </w:r>
      <w:r w:rsidRPr="00FD211F">
        <w:rPr>
          <w:sz w:val="36"/>
          <w:szCs w:val="36"/>
          <w:rtl/>
        </w:rPr>
        <w:t>م</w:t>
      </w:r>
      <w:r w:rsidR="00486D0F" w:rsidRPr="00FD211F">
        <w:rPr>
          <w:sz w:val="36"/>
          <w:szCs w:val="36"/>
          <w:rtl/>
        </w:rPr>
        <w:t>عنى الهيئ</w:t>
      </w:r>
      <w:r w:rsidR="00EC7EDF" w:rsidRPr="00FD211F">
        <w:rPr>
          <w:sz w:val="36"/>
          <w:szCs w:val="36"/>
          <w:rtl/>
        </w:rPr>
        <w:t xml:space="preserve">ة </w:t>
      </w:r>
      <w:r w:rsidR="00486D0F" w:rsidRPr="00FD211F">
        <w:rPr>
          <w:sz w:val="36"/>
          <w:szCs w:val="36"/>
          <w:rtl/>
        </w:rPr>
        <w:t>ناشئ</w:t>
      </w:r>
      <w:r w:rsidR="00EC7EDF" w:rsidRPr="00FD211F">
        <w:rPr>
          <w:sz w:val="36"/>
          <w:szCs w:val="36"/>
          <w:rtl/>
        </w:rPr>
        <w:t xml:space="preserve">ة </w:t>
      </w:r>
      <w:r w:rsidR="00486D0F" w:rsidRPr="00FD211F">
        <w:rPr>
          <w:sz w:val="36"/>
          <w:szCs w:val="36"/>
          <w:rtl/>
        </w:rPr>
        <w:t>عن الانشاء-على ا</w:t>
      </w:r>
      <w:r w:rsidR="00D06033" w:rsidRPr="00FD211F">
        <w:rPr>
          <w:sz w:val="36"/>
          <w:szCs w:val="36"/>
          <w:rtl/>
        </w:rPr>
        <w:t>ن يفرض وجود استعمالي للمعنى الحرفي قبل وجوده الانشائي فيمكن استعمال الجمل</w:t>
      </w:r>
      <w:r w:rsidR="00EC7EDF" w:rsidRPr="00FD211F">
        <w:rPr>
          <w:sz w:val="36"/>
          <w:szCs w:val="36"/>
          <w:rtl/>
        </w:rPr>
        <w:t xml:space="preserve">ة </w:t>
      </w:r>
      <w:r w:rsidR="00D06033" w:rsidRPr="00FD211F">
        <w:rPr>
          <w:sz w:val="36"/>
          <w:szCs w:val="36"/>
          <w:rtl/>
        </w:rPr>
        <w:t>الإنشائي</w:t>
      </w:r>
      <w:r w:rsidR="00EC7EDF" w:rsidRPr="00FD211F">
        <w:rPr>
          <w:sz w:val="36"/>
          <w:szCs w:val="36"/>
          <w:rtl/>
        </w:rPr>
        <w:t xml:space="preserve">ة </w:t>
      </w:r>
      <w:r w:rsidR="00D06033" w:rsidRPr="00FD211F">
        <w:rPr>
          <w:sz w:val="36"/>
          <w:szCs w:val="36"/>
          <w:rtl/>
        </w:rPr>
        <w:t>في المعنى بطريق</w:t>
      </w:r>
      <w:r w:rsidR="00EC7EDF" w:rsidRPr="00FD211F">
        <w:rPr>
          <w:sz w:val="36"/>
          <w:szCs w:val="36"/>
          <w:rtl/>
        </w:rPr>
        <w:t xml:space="preserve">ة </w:t>
      </w:r>
      <w:r w:rsidR="00D06033" w:rsidRPr="00FD211F">
        <w:rPr>
          <w:sz w:val="36"/>
          <w:szCs w:val="36"/>
          <w:rtl/>
        </w:rPr>
        <w:t>تعدد الدال والمدلول ثم انشاء المقيد</w:t>
      </w:r>
      <w:r w:rsidR="00603323" w:rsidRPr="00FD211F">
        <w:rPr>
          <w:sz w:val="36"/>
          <w:szCs w:val="36"/>
          <w:rtl/>
        </w:rPr>
        <w:t xml:space="preserve">، </w:t>
      </w:r>
      <w:r w:rsidR="00D06033" w:rsidRPr="00FD211F">
        <w:rPr>
          <w:sz w:val="36"/>
          <w:szCs w:val="36"/>
          <w:rtl/>
        </w:rPr>
        <w:t>واما بناء على ان استعمال الجمل</w:t>
      </w:r>
      <w:r w:rsidR="00EC7EDF" w:rsidRPr="00FD211F">
        <w:rPr>
          <w:sz w:val="36"/>
          <w:szCs w:val="36"/>
          <w:rtl/>
        </w:rPr>
        <w:t xml:space="preserve">ة </w:t>
      </w:r>
      <w:r w:rsidR="00D06033" w:rsidRPr="00FD211F">
        <w:rPr>
          <w:sz w:val="36"/>
          <w:szCs w:val="36"/>
          <w:rtl/>
        </w:rPr>
        <w:t>الإنشائي</w:t>
      </w:r>
      <w:r w:rsidR="00EC7EDF" w:rsidRPr="00FD211F">
        <w:rPr>
          <w:sz w:val="36"/>
          <w:szCs w:val="36"/>
          <w:rtl/>
        </w:rPr>
        <w:t xml:space="preserve">ة </w:t>
      </w:r>
      <w:r w:rsidR="00D06033" w:rsidRPr="00FD211F">
        <w:rPr>
          <w:sz w:val="36"/>
          <w:szCs w:val="36"/>
          <w:rtl/>
        </w:rPr>
        <w:t>في معناها هو ايجاده فليس قبل مرحل</w:t>
      </w:r>
      <w:r w:rsidR="00EC7EDF" w:rsidRPr="00FD211F">
        <w:rPr>
          <w:sz w:val="36"/>
          <w:szCs w:val="36"/>
          <w:rtl/>
        </w:rPr>
        <w:t xml:space="preserve">ة </w:t>
      </w:r>
      <w:r w:rsidR="00D06033" w:rsidRPr="00FD211F">
        <w:rPr>
          <w:sz w:val="36"/>
          <w:szCs w:val="36"/>
          <w:rtl/>
        </w:rPr>
        <w:t>الإنشاء مرحل</w:t>
      </w:r>
      <w:r w:rsidR="00EC7EDF" w:rsidRPr="00FD211F">
        <w:rPr>
          <w:sz w:val="36"/>
          <w:szCs w:val="36"/>
          <w:rtl/>
        </w:rPr>
        <w:t xml:space="preserve">ة </w:t>
      </w:r>
      <w:r w:rsidR="00D06033" w:rsidRPr="00FD211F">
        <w:rPr>
          <w:sz w:val="36"/>
          <w:szCs w:val="36"/>
          <w:rtl/>
        </w:rPr>
        <w:t>الاستعمال حتى يعرض التقييد المعنى العام في هذه المرحل</w:t>
      </w:r>
      <w:r w:rsidR="00EC7EDF" w:rsidRPr="00FD211F">
        <w:rPr>
          <w:sz w:val="36"/>
          <w:szCs w:val="36"/>
          <w:rtl/>
        </w:rPr>
        <w:t>ة</w:t>
      </w:r>
      <w:r w:rsidR="00603323" w:rsidRPr="00FD211F">
        <w:rPr>
          <w:sz w:val="36"/>
          <w:szCs w:val="36"/>
          <w:rtl/>
        </w:rPr>
        <w:t xml:space="preserve">، </w:t>
      </w:r>
      <w:r w:rsidR="00D06033" w:rsidRPr="00FD211F">
        <w:rPr>
          <w:sz w:val="36"/>
          <w:szCs w:val="36"/>
          <w:rtl/>
        </w:rPr>
        <w:t>وحينئذ فان اريد استعمال الجمل</w:t>
      </w:r>
      <w:r w:rsidR="00EC7EDF" w:rsidRPr="00FD211F">
        <w:rPr>
          <w:sz w:val="36"/>
          <w:szCs w:val="36"/>
          <w:rtl/>
        </w:rPr>
        <w:t xml:space="preserve">ة </w:t>
      </w:r>
      <w:r w:rsidR="00D06033" w:rsidRPr="00FD211F">
        <w:rPr>
          <w:sz w:val="36"/>
          <w:szCs w:val="36"/>
          <w:rtl/>
        </w:rPr>
        <w:t>الإنشائي</w:t>
      </w:r>
      <w:r w:rsidR="00EC7EDF" w:rsidRPr="00FD211F">
        <w:rPr>
          <w:sz w:val="36"/>
          <w:szCs w:val="36"/>
          <w:rtl/>
        </w:rPr>
        <w:t xml:space="preserve">ة </w:t>
      </w:r>
      <w:r w:rsidR="00D06033" w:rsidRPr="00FD211F">
        <w:rPr>
          <w:sz w:val="36"/>
          <w:szCs w:val="36"/>
          <w:rtl/>
        </w:rPr>
        <w:t>في معناها حتى يكون الاستعمال حقيقيا فلايمكن عدا ايجاد المعنى العام.</w:t>
      </w:r>
    </w:p>
    <w:p w14:paraId="50512665" w14:textId="77777777" w:rsidR="000C5BBA" w:rsidRPr="00FD211F" w:rsidRDefault="00D06033" w:rsidP="009C58C8">
      <w:pPr>
        <w:ind w:left="0" w:firstLine="227"/>
        <w:jc w:val="both"/>
        <w:rPr>
          <w:sz w:val="36"/>
          <w:szCs w:val="36"/>
          <w:rtl/>
        </w:rPr>
      </w:pPr>
      <w:r w:rsidRPr="00FD211F">
        <w:rPr>
          <w:sz w:val="36"/>
          <w:szCs w:val="36"/>
          <w:rtl/>
        </w:rPr>
        <w:t>نعم لو كانت جزئي</w:t>
      </w:r>
      <w:r w:rsidR="00EC7EDF" w:rsidRPr="00FD211F">
        <w:rPr>
          <w:sz w:val="36"/>
          <w:szCs w:val="36"/>
          <w:rtl/>
        </w:rPr>
        <w:t xml:space="preserve">ة </w:t>
      </w:r>
      <w:r w:rsidRPr="00FD211F">
        <w:rPr>
          <w:sz w:val="36"/>
          <w:szCs w:val="36"/>
          <w:rtl/>
        </w:rPr>
        <w:t>المعنى الحرفي بمجرد تقييد معناه بقيد ذهني وهو كون لحاظه آليا فيمكن تقييده بلااشكال</w:t>
      </w:r>
      <w:r w:rsidR="00603323" w:rsidRPr="00FD211F">
        <w:rPr>
          <w:sz w:val="36"/>
          <w:szCs w:val="36"/>
          <w:rtl/>
        </w:rPr>
        <w:t xml:space="preserve">، </w:t>
      </w:r>
      <w:r w:rsidRPr="00FD211F">
        <w:rPr>
          <w:sz w:val="36"/>
          <w:szCs w:val="36"/>
          <w:rtl/>
        </w:rPr>
        <w:t>حيث انه لايخرج بذلك عن قابليته للانطباق على الأفراد الخارجي</w:t>
      </w:r>
      <w:r w:rsidR="00EC7EDF" w:rsidRPr="00FD211F">
        <w:rPr>
          <w:sz w:val="36"/>
          <w:szCs w:val="36"/>
          <w:rtl/>
        </w:rPr>
        <w:t xml:space="preserve">ة </w:t>
      </w:r>
      <w:r w:rsidRPr="00FD211F">
        <w:rPr>
          <w:sz w:val="36"/>
          <w:szCs w:val="36"/>
          <w:rtl/>
        </w:rPr>
        <w:t>فيكون بهذا الاعتبار معنى كليا قابلا للتقييد والتضييق</w:t>
      </w:r>
      <w:r w:rsidR="009C58C8" w:rsidRPr="00FD211F">
        <w:rPr>
          <w:rStyle w:val="a6"/>
          <w:sz w:val="36"/>
          <w:szCs w:val="36"/>
          <w:rtl/>
        </w:rPr>
        <w:t>(</w:t>
      </w:r>
      <w:r w:rsidR="009C58C8" w:rsidRPr="00FD211F">
        <w:rPr>
          <w:rStyle w:val="a6"/>
          <w:sz w:val="36"/>
          <w:szCs w:val="36"/>
          <w:rtl/>
        </w:rPr>
        <w:footnoteReference w:id="260"/>
      </w:r>
      <w:r w:rsidR="009C58C8" w:rsidRPr="00FD211F">
        <w:rPr>
          <w:rStyle w:val="a6"/>
          <w:sz w:val="36"/>
          <w:szCs w:val="36"/>
          <w:rtl/>
        </w:rPr>
        <w:t>)</w:t>
      </w:r>
      <w:r w:rsidRPr="00FD211F">
        <w:rPr>
          <w:sz w:val="36"/>
          <w:szCs w:val="36"/>
          <w:rtl/>
        </w:rPr>
        <w:t>.</w:t>
      </w:r>
    </w:p>
    <w:p w14:paraId="543AD6E5" w14:textId="77777777" w:rsidR="000C5BBA" w:rsidRPr="00FD211F" w:rsidRDefault="002E0FB0" w:rsidP="009C58C8">
      <w:pPr>
        <w:ind w:left="0" w:firstLine="227"/>
        <w:jc w:val="both"/>
        <w:rPr>
          <w:sz w:val="36"/>
          <w:szCs w:val="36"/>
          <w:rtl/>
        </w:rPr>
      </w:pPr>
      <w:r w:rsidRPr="00FD211F">
        <w:rPr>
          <w:sz w:val="36"/>
          <w:szCs w:val="36"/>
          <w:rtl/>
        </w:rPr>
        <w:t>وفيه انه لو</w:t>
      </w:r>
      <w:r w:rsidR="00D06033" w:rsidRPr="00FD211F">
        <w:rPr>
          <w:sz w:val="36"/>
          <w:szCs w:val="36"/>
          <w:rtl/>
        </w:rPr>
        <w:t xml:space="preserve"> كانت جزئي</w:t>
      </w:r>
      <w:r w:rsidR="00EC7EDF" w:rsidRPr="00FD211F">
        <w:rPr>
          <w:sz w:val="36"/>
          <w:szCs w:val="36"/>
          <w:rtl/>
        </w:rPr>
        <w:t xml:space="preserve">ة </w:t>
      </w:r>
      <w:r w:rsidR="00D06033" w:rsidRPr="00FD211F">
        <w:rPr>
          <w:sz w:val="36"/>
          <w:szCs w:val="36"/>
          <w:rtl/>
        </w:rPr>
        <w:t>معنى الهيئ</w:t>
      </w:r>
      <w:r w:rsidR="00EC7EDF" w:rsidRPr="00FD211F">
        <w:rPr>
          <w:sz w:val="36"/>
          <w:szCs w:val="36"/>
          <w:rtl/>
        </w:rPr>
        <w:t xml:space="preserve">ة </w:t>
      </w:r>
      <w:r w:rsidR="00D06033" w:rsidRPr="00FD211F">
        <w:rPr>
          <w:sz w:val="36"/>
          <w:szCs w:val="36"/>
          <w:rtl/>
        </w:rPr>
        <w:t>لاجل كونه موجودا بالوجود الإنشائي فلاينبغي الاشكال في سبق تصور المعنى على إنشائه وحينئذ فلامحذور في تصور المعنى الكلي وتقييده بقيد في مرحل</w:t>
      </w:r>
      <w:r w:rsidR="00EC7EDF" w:rsidRPr="00FD211F">
        <w:rPr>
          <w:sz w:val="36"/>
          <w:szCs w:val="36"/>
          <w:rtl/>
        </w:rPr>
        <w:t xml:space="preserve">ة </w:t>
      </w:r>
      <w:r w:rsidR="00D06033" w:rsidRPr="00FD211F">
        <w:rPr>
          <w:sz w:val="36"/>
          <w:szCs w:val="36"/>
          <w:rtl/>
        </w:rPr>
        <w:t>تصوره ثم انشاء المقيد</w:t>
      </w:r>
      <w:r w:rsidR="00603323" w:rsidRPr="00FD211F">
        <w:rPr>
          <w:sz w:val="36"/>
          <w:szCs w:val="36"/>
          <w:rtl/>
        </w:rPr>
        <w:t xml:space="preserve">، </w:t>
      </w:r>
      <w:r w:rsidR="00D06033" w:rsidRPr="00FD211F">
        <w:rPr>
          <w:sz w:val="36"/>
          <w:szCs w:val="36"/>
          <w:rtl/>
        </w:rPr>
        <w:t>واحتمال عدم سبق تصور المعنى الإنشائي على الإنشاء مما لاينبغي صدوره من احد.</w:t>
      </w:r>
      <w:r w:rsidR="003729E8" w:rsidRPr="00FD211F">
        <w:rPr>
          <w:sz w:val="36"/>
          <w:szCs w:val="36"/>
          <w:rtl/>
        </w:rPr>
        <w:t xml:space="preserve"> </w:t>
      </w:r>
    </w:p>
    <w:p w14:paraId="7052DFBD" w14:textId="77777777" w:rsidR="00A6761C" w:rsidRPr="00FD211F" w:rsidRDefault="00610EE9" w:rsidP="009C58C8">
      <w:pPr>
        <w:ind w:left="0" w:firstLine="227"/>
        <w:jc w:val="both"/>
        <w:rPr>
          <w:sz w:val="36"/>
          <w:szCs w:val="36"/>
          <w:rtl/>
        </w:rPr>
      </w:pPr>
      <w:r w:rsidRPr="00FD211F">
        <w:rPr>
          <w:sz w:val="36"/>
          <w:szCs w:val="36"/>
          <w:rtl/>
        </w:rPr>
        <w:t xml:space="preserve">3- ما حكي عن بعض الاعلام </w:t>
      </w:r>
      <w:r w:rsidR="00BC7BD7" w:rsidRPr="00FD211F">
        <w:rPr>
          <w:sz w:val="36"/>
          <w:szCs w:val="36"/>
          <w:rtl/>
        </w:rPr>
        <w:t>"</w:t>
      </w:r>
      <w:r w:rsidRPr="00FD211F">
        <w:rPr>
          <w:sz w:val="36"/>
          <w:szCs w:val="36"/>
          <w:rtl/>
        </w:rPr>
        <w:t>قده</w:t>
      </w:r>
      <w:r w:rsidR="00BC7BD7" w:rsidRPr="00FD211F">
        <w:rPr>
          <w:sz w:val="36"/>
          <w:szCs w:val="36"/>
          <w:rtl/>
        </w:rPr>
        <w:t>"</w:t>
      </w:r>
      <w:r w:rsidRPr="00FD211F">
        <w:rPr>
          <w:sz w:val="36"/>
          <w:szCs w:val="36"/>
          <w:rtl/>
        </w:rPr>
        <w:t xml:space="preserve"> من ان المعنى الحرفي ليس من سنخ المفهوم حتى يقبل الاطلاق والتقييد</w:t>
      </w:r>
      <w:r w:rsidR="00603323" w:rsidRPr="00FD211F">
        <w:rPr>
          <w:sz w:val="36"/>
          <w:szCs w:val="36"/>
          <w:rtl/>
        </w:rPr>
        <w:t xml:space="preserve">، </w:t>
      </w:r>
      <w:r w:rsidRPr="00FD211F">
        <w:rPr>
          <w:sz w:val="36"/>
          <w:szCs w:val="36"/>
          <w:rtl/>
        </w:rPr>
        <w:t>وانما هو من سنخ الوجود</w:t>
      </w:r>
      <w:r w:rsidR="00603323" w:rsidRPr="00FD211F">
        <w:rPr>
          <w:sz w:val="36"/>
          <w:szCs w:val="36"/>
          <w:rtl/>
        </w:rPr>
        <w:t xml:space="preserve">، </w:t>
      </w:r>
      <w:r w:rsidRPr="00FD211F">
        <w:rPr>
          <w:sz w:val="36"/>
          <w:szCs w:val="36"/>
          <w:rtl/>
        </w:rPr>
        <w:t>حيث ان النسب</w:t>
      </w:r>
      <w:r w:rsidR="00EC7EDF" w:rsidRPr="00FD211F">
        <w:rPr>
          <w:sz w:val="36"/>
          <w:szCs w:val="36"/>
          <w:rtl/>
        </w:rPr>
        <w:t xml:space="preserve">ة </w:t>
      </w:r>
      <w:r w:rsidRPr="00FD211F">
        <w:rPr>
          <w:sz w:val="36"/>
          <w:szCs w:val="36"/>
          <w:rtl/>
        </w:rPr>
        <w:t>ومنها النسب</w:t>
      </w:r>
      <w:r w:rsidR="00EC7EDF" w:rsidRPr="00FD211F">
        <w:rPr>
          <w:sz w:val="36"/>
          <w:szCs w:val="36"/>
          <w:rtl/>
        </w:rPr>
        <w:t xml:space="preserve">ة </w:t>
      </w:r>
      <w:r w:rsidRPr="00FD211F">
        <w:rPr>
          <w:sz w:val="36"/>
          <w:szCs w:val="36"/>
          <w:rtl/>
        </w:rPr>
        <w:t>البعثي</w:t>
      </w:r>
      <w:r w:rsidR="00EC7EDF" w:rsidRPr="00FD211F">
        <w:rPr>
          <w:sz w:val="36"/>
          <w:szCs w:val="36"/>
          <w:rtl/>
        </w:rPr>
        <w:t xml:space="preserve">ة </w:t>
      </w:r>
      <w:r w:rsidRPr="00FD211F">
        <w:rPr>
          <w:sz w:val="36"/>
          <w:szCs w:val="36"/>
          <w:rtl/>
        </w:rPr>
        <w:t>نحو وجود</w:t>
      </w:r>
      <w:r w:rsidR="00A6761C" w:rsidRPr="00FD211F">
        <w:rPr>
          <w:sz w:val="36"/>
          <w:szCs w:val="36"/>
          <w:rtl/>
        </w:rPr>
        <w:t xml:space="preserve"> رابط</w:t>
      </w:r>
      <w:r w:rsidR="00603323" w:rsidRPr="00FD211F">
        <w:rPr>
          <w:sz w:val="36"/>
          <w:szCs w:val="36"/>
          <w:rtl/>
        </w:rPr>
        <w:t xml:space="preserve">، </w:t>
      </w:r>
      <w:r w:rsidR="00A6761C" w:rsidRPr="00FD211F">
        <w:rPr>
          <w:sz w:val="36"/>
          <w:szCs w:val="36"/>
          <w:rtl/>
        </w:rPr>
        <w:t>فلايقبل الاطلاق والتقييد.</w:t>
      </w:r>
    </w:p>
    <w:p w14:paraId="365E399E" w14:textId="77777777" w:rsidR="000C5BBA" w:rsidRPr="00FD211F" w:rsidRDefault="00A6761C" w:rsidP="009C58C8">
      <w:pPr>
        <w:ind w:left="0" w:firstLine="227"/>
        <w:jc w:val="both"/>
        <w:rPr>
          <w:sz w:val="36"/>
          <w:szCs w:val="36"/>
          <w:rtl/>
        </w:rPr>
      </w:pPr>
      <w:r w:rsidRPr="00FD211F">
        <w:rPr>
          <w:sz w:val="36"/>
          <w:szCs w:val="36"/>
          <w:rtl/>
        </w:rPr>
        <w:t>ثم قال:</w:t>
      </w:r>
      <w:r w:rsidR="00610EE9" w:rsidRPr="00FD211F">
        <w:rPr>
          <w:sz w:val="36"/>
          <w:szCs w:val="36"/>
          <w:rtl/>
        </w:rPr>
        <w:t xml:space="preserve"> ان مضمون الجزاء في القضي</w:t>
      </w:r>
      <w:r w:rsidR="00EC7EDF" w:rsidRPr="00FD211F">
        <w:rPr>
          <w:sz w:val="36"/>
          <w:szCs w:val="36"/>
          <w:rtl/>
        </w:rPr>
        <w:t xml:space="preserve">ة </w:t>
      </w:r>
      <w:r w:rsidR="00610EE9" w:rsidRPr="00FD211F">
        <w:rPr>
          <w:sz w:val="36"/>
          <w:szCs w:val="36"/>
          <w:rtl/>
        </w:rPr>
        <w:t>الشرطي</w:t>
      </w:r>
      <w:r w:rsidR="00EC7EDF" w:rsidRPr="00FD211F">
        <w:rPr>
          <w:sz w:val="36"/>
          <w:szCs w:val="36"/>
          <w:rtl/>
        </w:rPr>
        <w:t xml:space="preserve">ة </w:t>
      </w:r>
      <w:r w:rsidR="00610EE9" w:rsidRPr="00FD211F">
        <w:rPr>
          <w:sz w:val="36"/>
          <w:szCs w:val="36"/>
          <w:rtl/>
        </w:rPr>
        <w:t>وان كان هو النسب</w:t>
      </w:r>
      <w:r w:rsidR="00EC7EDF" w:rsidRPr="00FD211F">
        <w:rPr>
          <w:sz w:val="36"/>
          <w:szCs w:val="36"/>
          <w:rtl/>
        </w:rPr>
        <w:t xml:space="preserve">ة </w:t>
      </w:r>
      <w:r w:rsidR="00610EE9" w:rsidRPr="00FD211F">
        <w:rPr>
          <w:sz w:val="36"/>
          <w:szCs w:val="36"/>
          <w:rtl/>
        </w:rPr>
        <w:t>البعثي</w:t>
      </w:r>
      <w:r w:rsidR="00EC7EDF" w:rsidRPr="00FD211F">
        <w:rPr>
          <w:sz w:val="36"/>
          <w:szCs w:val="36"/>
          <w:rtl/>
        </w:rPr>
        <w:t xml:space="preserve">ة </w:t>
      </w:r>
      <w:r w:rsidR="00610EE9" w:rsidRPr="00FD211F">
        <w:rPr>
          <w:sz w:val="36"/>
          <w:szCs w:val="36"/>
          <w:rtl/>
        </w:rPr>
        <w:t>في مثل قوله ان جاءك زيد فاكرمه</w:t>
      </w:r>
      <w:r w:rsidR="00603323" w:rsidRPr="00FD211F">
        <w:rPr>
          <w:sz w:val="36"/>
          <w:szCs w:val="36"/>
          <w:rtl/>
        </w:rPr>
        <w:t xml:space="preserve">، </w:t>
      </w:r>
      <w:r w:rsidR="00610EE9" w:rsidRPr="00FD211F">
        <w:rPr>
          <w:sz w:val="36"/>
          <w:szCs w:val="36"/>
          <w:rtl/>
        </w:rPr>
        <w:t>ولكن مفاد الجمل</w:t>
      </w:r>
      <w:r w:rsidR="00EC7EDF" w:rsidRPr="00FD211F">
        <w:rPr>
          <w:sz w:val="36"/>
          <w:szCs w:val="36"/>
          <w:rtl/>
        </w:rPr>
        <w:t xml:space="preserve">ة </w:t>
      </w:r>
      <w:r w:rsidR="00610EE9" w:rsidRPr="00FD211F">
        <w:rPr>
          <w:sz w:val="36"/>
          <w:szCs w:val="36"/>
          <w:rtl/>
        </w:rPr>
        <w:t>الشرطي</w:t>
      </w:r>
      <w:r w:rsidR="00EC7EDF" w:rsidRPr="00FD211F">
        <w:rPr>
          <w:sz w:val="36"/>
          <w:szCs w:val="36"/>
          <w:rtl/>
        </w:rPr>
        <w:t xml:space="preserve">ة </w:t>
      </w:r>
      <w:r w:rsidR="00610EE9" w:rsidRPr="00FD211F">
        <w:rPr>
          <w:sz w:val="36"/>
          <w:szCs w:val="36"/>
          <w:rtl/>
        </w:rPr>
        <w:t>هو تعليق ثبوت هذه النسب</w:t>
      </w:r>
      <w:r w:rsidR="00EC7EDF" w:rsidRPr="00FD211F">
        <w:rPr>
          <w:sz w:val="36"/>
          <w:szCs w:val="36"/>
          <w:rtl/>
        </w:rPr>
        <w:t xml:space="preserve">ة </w:t>
      </w:r>
      <w:r w:rsidR="00610EE9" w:rsidRPr="00FD211F">
        <w:rPr>
          <w:sz w:val="36"/>
          <w:szCs w:val="36"/>
          <w:rtl/>
        </w:rPr>
        <w:t>على ثبوت الشرط</w:t>
      </w:r>
      <w:r w:rsidR="00603323" w:rsidRPr="00FD211F">
        <w:rPr>
          <w:sz w:val="36"/>
          <w:szCs w:val="36"/>
          <w:rtl/>
        </w:rPr>
        <w:t xml:space="preserve">، </w:t>
      </w:r>
      <w:r w:rsidR="00610EE9" w:rsidRPr="00FD211F">
        <w:rPr>
          <w:sz w:val="36"/>
          <w:szCs w:val="36"/>
          <w:rtl/>
        </w:rPr>
        <w:t>وجمل</w:t>
      </w:r>
      <w:r w:rsidR="00EC7EDF" w:rsidRPr="00FD211F">
        <w:rPr>
          <w:sz w:val="36"/>
          <w:szCs w:val="36"/>
          <w:rtl/>
        </w:rPr>
        <w:t xml:space="preserve">ة </w:t>
      </w:r>
      <w:r w:rsidR="00610EE9" w:rsidRPr="00FD211F">
        <w:rPr>
          <w:sz w:val="36"/>
          <w:szCs w:val="36"/>
          <w:rtl/>
        </w:rPr>
        <w:t>الجزاء لاتدل في حد ذاتها الا على ذات النسب</w:t>
      </w:r>
      <w:r w:rsidR="00EC7EDF" w:rsidRPr="00FD211F">
        <w:rPr>
          <w:sz w:val="36"/>
          <w:szCs w:val="36"/>
          <w:rtl/>
        </w:rPr>
        <w:t xml:space="preserve">ة </w:t>
      </w:r>
      <w:r w:rsidR="00610EE9" w:rsidRPr="00FD211F">
        <w:rPr>
          <w:sz w:val="36"/>
          <w:szCs w:val="36"/>
          <w:rtl/>
        </w:rPr>
        <w:t>دون ثبوتها</w:t>
      </w:r>
      <w:r w:rsidR="00603323" w:rsidRPr="00FD211F">
        <w:rPr>
          <w:sz w:val="36"/>
          <w:szCs w:val="36"/>
          <w:rtl/>
        </w:rPr>
        <w:t xml:space="preserve">، </w:t>
      </w:r>
      <w:r w:rsidR="00610EE9" w:rsidRPr="00FD211F">
        <w:rPr>
          <w:sz w:val="36"/>
          <w:szCs w:val="36"/>
          <w:rtl/>
        </w:rPr>
        <w:t>وانما يستفاد ثبوتها من عدم اقتران الجمل</w:t>
      </w:r>
      <w:r w:rsidR="00EC7EDF" w:rsidRPr="00FD211F">
        <w:rPr>
          <w:sz w:val="36"/>
          <w:szCs w:val="36"/>
          <w:rtl/>
        </w:rPr>
        <w:t xml:space="preserve">ة </w:t>
      </w:r>
      <w:r w:rsidR="00610EE9" w:rsidRPr="00FD211F">
        <w:rPr>
          <w:sz w:val="36"/>
          <w:szCs w:val="36"/>
          <w:rtl/>
        </w:rPr>
        <w:t>بقيد آخر</w:t>
      </w:r>
      <w:r w:rsidR="00603323" w:rsidRPr="00FD211F">
        <w:rPr>
          <w:sz w:val="36"/>
          <w:szCs w:val="36"/>
          <w:rtl/>
        </w:rPr>
        <w:t xml:space="preserve">، </w:t>
      </w:r>
      <w:r w:rsidR="00610EE9" w:rsidRPr="00FD211F">
        <w:rPr>
          <w:sz w:val="36"/>
          <w:szCs w:val="36"/>
          <w:rtl/>
        </w:rPr>
        <w:t>وهكذا الجمل</w:t>
      </w:r>
      <w:r w:rsidR="00EC7EDF" w:rsidRPr="00FD211F">
        <w:rPr>
          <w:sz w:val="36"/>
          <w:szCs w:val="36"/>
          <w:rtl/>
        </w:rPr>
        <w:t xml:space="preserve">ة </w:t>
      </w:r>
      <w:r w:rsidR="00610EE9" w:rsidRPr="00FD211F">
        <w:rPr>
          <w:sz w:val="36"/>
          <w:szCs w:val="36"/>
          <w:rtl/>
        </w:rPr>
        <w:t>الخبري</w:t>
      </w:r>
      <w:r w:rsidR="00EC7EDF" w:rsidRPr="00FD211F">
        <w:rPr>
          <w:sz w:val="36"/>
          <w:szCs w:val="36"/>
          <w:rtl/>
        </w:rPr>
        <w:t xml:space="preserve">ة </w:t>
      </w:r>
      <w:r w:rsidR="00610EE9" w:rsidRPr="00FD211F">
        <w:rPr>
          <w:sz w:val="36"/>
          <w:szCs w:val="36"/>
          <w:rtl/>
        </w:rPr>
        <w:t>كقولنا</w:t>
      </w:r>
      <w:r w:rsidR="00553E62" w:rsidRPr="00FD211F">
        <w:rPr>
          <w:sz w:val="36"/>
          <w:szCs w:val="36"/>
          <w:rtl/>
        </w:rPr>
        <w:t>"</w:t>
      </w:r>
      <w:r w:rsidR="00610EE9" w:rsidRPr="00FD211F">
        <w:rPr>
          <w:sz w:val="36"/>
          <w:szCs w:val="36"/>
          <w:rtl/>
        </w:rPr>
        <w:t xml:space="preserve"> زيد قائم</w:t>
      </w:r>
      <w:r w:rsidR="00553E62" w:rsidRPr="00FD211F">
        <w:rPr>
          <w:sz w:val="36"/>
          <w:szCs w:val="36"/>
          <w:rtl/>
        </w:rPr>
        <w:t>"</w:t>
      </w:r>
      <w:r w:rsidR="00610EE9" w:rsidRPr="00FD211F">
        <w:rPr>
          <w:sz w:val="36"/>
          <w:szCs w:val="36"/>
          <w:rtl/>
        </w:rPr>
        <w:t xml:space="preserve"> لاتدل الا على ذات النسب</w:t>
      </w:r>
      <w:r w:rsidR="00EC7EDF" w:rsidRPr="00FD211F">
        <w:rPr>
          <w:sz w:val="36"/>
          <w:szCs w:val="36"/>
          <w:rtl/>
        </w:rPr>
        <w:t>ة</w:t>
      </w:r>
      <w:r w:rsidR="00603323" w:rsidRPr="00FD211F">
        <w:rPr>
          <w:sz w:val="36"/>
          <w:szCs w:val="36"/>
          <w:rtl/>
        </w:rPr>
        <w:t xml:space="preserve">، </w:t>
      </w:r>
      <w:r w:rsidR="00610EE9" w:rsidRPr="00FD211F">
        <w:rPr>
          <w:sz w:val="36"/>
          <w:szCs w:val="36"/>
          <w:rtl/>
        </w:rPr>
        <w:t>واما ثبوتها فيستفاد من ثبوت الاطلاق ولاجل ذلك لو اقترن هذه الجمل</w:t>
      </w:r>
      <w:r w:rsidR="00EC7EDF" w:rsidRPr="00FD211F">
        <w:rPr>
          <w:sz w:val="36"/>
          <w:szCs w:val="36"/>
          <w:rtl/>
        </w:rPr>
        <w:t xml:space="preserve">ة </w:t>
      </w:r>
      <w:r w:rsidR="00610EE9" w:rsidRPr="00FD211F">
        <w:rPr>
          <w:sz w:val="36"/>
          <w:szCs w:val="36"/>
          <w:rtl/>
        </w:rPr>
        <w:t>بادا</w:t>
      </w:r>
      <w:r w:rsidR="00EC7EDF" w:rsidRPr="00FD211F">
        <w:rPr>
          <w:sz w:val="36"/>
          <w:szCs w:val="36"/>
          <w:rtl/>
        </w:rPr>
        <w:t xml:space="preserve">ة </w:t>
      </w:r>
      <w:r w:rsidR="00610EE9" w:rsidRPr="00FD211F">
        <w:rPr>
          <w:sz w:val="36"/>
          <w:szCs w:val="36"/>
          <w:rtl/>
        </w:rPr>
        <w:t>النفي فلايستفاد منها حينئذ ثبوت النسب</w:t>
      </w:r>
      <w:r w:rsidR="00EC7EDF" w:rsidRPr="00FD211F">
        <w:rPr>
          <w:sz w:val="36"/>
          <w:szCs w:val="36"/>
          <w:rtl/>
        </w:rPr>
        <w:t>ة</w:t>
      </w:r>
      <w:r w:rsidR="00A61BAE" w:rsidRPr="00FD211F">
        <w:rPr>
          <w:sz w:val="36"/>
          <w:szCs w:val="36"/>
          <w:rtl/>
        </w:rPr>
        <w:t>.</w:t>
      </w:r>
      <w:r w:rsidR="00B253CE" w:rsidRPr="00FD211F">
        <w:rPr>
          <w:sz w:val="36"/>
          <w:szCs w:val="36"/>
          <w:rtl/>
        </w:rPr>
        <w:t xml:space="preserve"> </w:t>
      </w:r>
    </w:p>
    <w:p w14:paraId="57D521DD" w14:textId="77777777" w:rsidR="00470A7C" w:rsidRPr="00FD211F" w:rsidRDefault="00610EE9" w:rsidP="009C58C8">
      <w:pPr>
        <w:ind w:left="0" w:firstLine="227"/>
        <w:jc w:val="both"/>
        <w:rPr>
          <w:sz w:val="36"/>
          <w:szCs w:val="36"/>
          <w:rtl/>
        </w:rPr>
      </w:pPr>
      <w:r w:rsidRPr="00FD211F">
        <w:rPr>
          <w:sz w:val="36"/>
          <w:szCs w:val="36"/>
          <w:rtl/>
        </w:rPr>
        <w:t>وبناء على ذلك فمعنى هيئ</w:t>
      </w:r>
      <w:r w:rsidR="00EC7EDF" w:rsidRPr="00FD211F">
        <w:rPr>
          <w:sz w:val="36"/>
          <w:szCs w:val="36"/>
          <w:rtl/>
        </w:rPr>
        <w:t xml:space="preserve">ة </w:t>
      </w:r>
      <w:r w:rsidRPr="00FD211F">
        <w:rPr>
          <w:sz w:val="36"/>
          <w:szCs w:val="36"/>
          <w:rtl/>
        </w:rPr>
        <w:t>الأمر هو ذات النسب</w:t>
      </w:r>
      <w:r w:rsidR="00EC7EDF" w:rsidRPr="00FD211F">
        <w:rPr>
          <w:sz w:val="36"/>
          <w:szCs w:val="36"/>
          <w:rtl/>
        </w:rPr>
        <w:t xml:space="preserve">ة </w:t>
      </w:r>
      <w:r w:rsidRPr="00FD211F">
        <w:rPr>
          <w:sz w:val="36"/>
          <w:szCs w:val="36"/>
          <w:rtl/>
        </w:rPr>
        <w:t>البعثي</w:t>
      </w:r>
      <w:r w:rsidR="00EC7EDF" w:rsidRPr="00FD211F">
        <w:rPr>
          <w:sz w:val="36"/>
          <w:szCs w:val="36"/>
          <w:rtl/>
        </w:rPr>
        <w:t>ة</w:t>
      </w:r>
      <w:r w:rsidR="00603323" w:rsidRPr="00FD211F">
        <w:rPr>
          <w:sz w:val="36"/>
          <w:szCs w:val="36"/>
          <w:rtl/>
        </w:rPr>
        <w:t xml:space="preserve">، </w:t>
      </w:r>
      <w:r w:rsidRPr="00FD211F">
        <w:rPr>
          <w:sz w:val="36"/>
          <w:szCs w:val="36"/>
          <w:rtl/>
        </w:rPr>
        <w:t>وما يكون معلقا على الشرط هو ثبوتها</w:t>
      </w:r>
      <w:r w:rsidR="00603323" w:rsidRPr="00FD211F">
        <w:rPr>
          <w:sz w:val="36"/>
          <w:szCs w:val="36"/>
          <w:rtl/>
        </w:rPr>
        <w:t xml:space="preserve">، </w:t>
      </w:r>
      <w:r w:rsidRPr="00FD211F">
        <w:rPr>
          <w:sz w:val="36"/>
          <w:szCs w:val="36"/>
          <w:rtl/>
        </w:rPr>
        <w:t>والثبوت معنى اسمي ولامانع من عروض التعليق او التقييد عليه</w:t>
      </w:r>
      <w:r w:rsidR="009C58C8" w:rsidRPr="00FD211F">
        <w:rPr>
          <w:rStyle w:val="a6"/>
          <w:b/>
          <w:bCs/>
          <w:sz w:val="36"/>
          <w:szCs w:val="36"/>
          <w:rtl/>
        </w:rPr>
        <w:t>(</w:t>
      </w:r>
      <w:r w:rsidR="009C58C8" w:rsidRPr="00FD211F">
        <w:rPr>
          <w:rStyle w:val="a6"/>
          <w:b/>
          <w:bCs/>
          <w:sz w:val="36"/>
          <w:szCs w:val="36"/>
          <w:rtl/>
        </w:rPr>
        <w:footnoteReference w:id="261"/>
      </w:r>
      <w:r w:rsidR="009C58C8" w:rsidRPr="00FD211F">
        <w:rPr>
          <w:rStyle w:val="a6"/>
          <w:b/>
          <w:bCs/>
          <w:sz w:val="36"/>
          <w:szCs w:val="36"/>
          <w:rtl/>
        </w:rPr>
        <w:t>)</w:t>
      </w:r>
      <w:r w:rsidRPr="00FD211F">
        <w:rPr>
          <w:sz w:val="36"/>
          <w:szCs w:val="36"/>
          <w:rtl/>
        </w:rPr>
        <w:t>.</w:t>
      </w:r>
    </w:p>
    <w:p w14:paraId="2680EF5B" w14:textId="77777777" w:rsidR="000C5BBA" w:rsidRPr="00FD211F" w:rsidRDefault="00610EE9" w:rsidP="009C58C8">
      <w:pPr>
        <w:ind w:left="0" w:firstLine="227"/>
        <w:jc w:val="both"/>
        <w:rPr>
          <w:sz w:val="36"/>
          <w:szCs w:val="36"/>
          <w:rtl/>
        </w:rPr>
      </w:pPr>
      <w:r w:rsidRPr="00FD211F">
        <w:rPr>
          <w:sz w:val="36"/>
          <w:szCs w:val="36"/>
          <w:rtl/>
        </w:rPr>
        <w:t xml:space="preserve">ويلاحظ عليه </w:t>
      </w:r>
      <w:r w:rsidRPr="00FD211F">
        <w:rPr>
          <w:b/>
          <w:bCs/>
          <w:sz w:val="36"/>
          <w:szCs w:val="36"/>
          <w:rtl/>
        </w:rPr>
        <w:t>اولا</w:t>
      </w:r>
      <w:r w:rsidRPr="00FD211F">
        <w:rPr>
          <w:sz w:val="36"/>
          <w:szCs w:val="36"/>
          <w:rtl/>
        </w:rPr>
        <w:t>: ان الوجدان اصدق شاهد على ان المعنى الحرفي من سنخ المفهوم لاالوجود</w:t>
      </w:r>
      <w:r w:rsidR="00603323" w:rsidRPr="00FD211F">
        <w:rPr>
          <w:sz w:val="36"/>
          <w:szCs w:val="36"/>
          <w:rtl/>
        </w:rPr>
        <w:t xml:space="preserve">، </w:t>
      </w:r>
      <w:r w:rsidRPr="00FD211F">
        <w:rPr>
          <w:sz w:val="36"/>
          <w:szCs w:val="36"/>
          <w:rtl/>
        </w:rPr>
        <w:t>ولاينافي ذلك افتراض كونه مفهوما غير مستقل</w:t>
      </w:r>
      <w:r w:rsidR="00603323" w:rsidRPr="00FD211F">
        <w:rPr>
          <w:sz w:val="36"/>
          <w:szCs w:val="36"/>
          <w:rtl/>
        </w:rPr>
        <w:t xml:space="preserve">، </w:t>
      </w:r>
      <w:r w:rsidRPr="00FD211F">
        <w:rPr>
          <w:sz w:val="36"/>
          <w:szCs w:val="36"/>
          <w:rtl/>
        </w:rPr>
        <w:t>فمفهوم جمل</w:t>
      </w:r>
      <w:r w:rsidR="00EC7EDF" w:rsidRPr="00FD211F">
        <w:rPr>
          <w:sz w:val="36"/>
          <w:szCs w:val="36"/>
          <w:rtl/>
        </w:rPr>
        <w:t xml:space="preserve">ة </w:t>
      </w:r>
      <w:r w:rsidRPr="00FD211F">
        <w:rPr>
          <w:sz w:val="36"/>
          <w:szCs w:val="36"/>
          <w:rtl/>
        </w:rPr>
        <w:t>"السير من البصر</w:t>
      </w:r>
      <w:r w:rsidR="00EC7EDF" w:rsidRPr="00FD211F">
        <w:rPr>
          <w:sz w:val="36"/>
          <w:szCs w:val="36"/>
          <w:rtl/>
        </w:rPr>
        <w:t xml:space="preserve">ة </w:t>
      </w:r>
      <w:r w:rsidRPr="00FD211F">
        <w:rPr>
          <w:sz w:val="36"/>
          <w:szCs w:val="36"/>
          <w:rtl/>
        </w:rPr>
        <w:t>" لايتعدد بتعدد وجوده الذهني تار</w:t>
      </w:r>
      <w:r w:rsidR="00EC7EDF" w:rsidRPr="00FD211F">
        <w:rPr>
          <w:sz w:val="36"/>
          <w:szCs w:val="36"/>
          <w:rtl/>
        </w:rPr>
        <w:t xml:space="preserve">ة </w:t>
      </w:r>
      <w:r w:rsidRPr="00FD211F">
        <w:rPr>
          <w:sz w:val="36"/>
          <w:szCs w:val="36"/>
          <w:rtl/>
        </w:rPr>
        <w:t>في ذهن المتكلم واخرى في ذهن السامع بعد افتراض عدم تغير طرفي هذا المعنى الحرفي وهو مفهوم السير ومفهوم البصر</w:t>
      </w:r>
      <w:r w:rsidR="00EC7EDF" w:rsidRPr="00FD211F">
        <w:rPr>
          <w:sz w:val="36"/>
          <w:szCs w:val="36"/>
          <w:rtl/>
        </w:rPr>
        <w:t>ة</w:t>
      </w:r>
      <w:r w:rsidR="00603323" w:rsidRPr="00FD211F">
        <w:rPr>
          <w:sz w:val="36"/>
          <w:szCs w:val="36"/>
          <w:rtl/>
        </w:rPr>
        <w:t xml:space="preserve">، </w:t>
      </w:r>
      <w:r w:rsidRPr="00FD211F">
        <w:rPr>
          <w:sz w:val="36"/>
          <w:szCs w:val="36"/>
          <w:rtl/>
        </w:rPr>
        <w:t>ومما يؤيد ذلك استبعاد كون هذه الجمل</w:t>
      </w:r>
      <w:r w:rsidR="00EC7EDF" w:rsidRPr="00FD211F">
        <w:rPr>
          <w:sz w:val="36"/>
          <w:szCs w:val="36"/>
          <w:rtl/>
        </w:rPr>
        <w:t xml:space="preserve">ة </w:t>
      </w:r>
      <w:r w:rsidRPr="00FD211F">
        <w:rPr>
          <w:sz w:val="36"/>
          <w:szCs w:val="36"/>
          <w:rtl/>
        </w:rPr>
        <w:t>خالي</w:t>
      </w:r>
      <w:r w:rsidR="00EC7EDF" w:rsidRPr="00FD211F">
        <w:rPr>
          <w:sz w:val="36"/>
          <w:szCs w:val="36"/>
          <w:rtl/>
        </w:rPr>
        <w:t xml:space="preserve">ة </w:t>
      </w:r>
      <w:r w:rsidRPr="00FD211F">
        <w:rPr>
          <w:sz w:val="36"/>
          <w:szCs w:val="36"/>
          <w:rtl/>
        </w:rPr>
        <w:t>عما يربط بين مفرداتها في مرتب</w:t>
      </w:r>
      <w:r w:rsidR="00EC7EDF" w:rsidRPr="00FD211F">
        <w:rPr>
          <w:sz w:val="36"/>
          <w:szCs w:val="36"/>
          <w:rtl/>
        </w:rPr>
        <w:t xml:space="preserve">ة </w:t>
      </w:r>
      <w:r w:rsidRPr="00FD211F">
        <w:rPr>
          <w:sz w:val="36"/>
          <w:szCs w:val="36"/>
          <w:rtl/>
        </w:rPr>
        <w:t>تقررها المفهومي</w:t>
      </w:r>
      <w:r w:rsidR="00603323" w:rsidRPr="00FD211F">
        <w:rPr>
          <w:sz w:val="36"/>
          <w:szCs w:val="36"/>
          <w:rtl/>
        </w:rPr>
        <w:t xml:space="preserve">، </w:t>
      </w:r>
      <w:r w:rsidRPr="00FD211F">
        <w:rPr>
          <w:sz w:val="36"/>
          <w:szCs w:val="36"/>
          <w:rtl/>
        </w:rPr>
        <w:t>بل الأمر كذلك في الحروف والهيئات الدال</w:t>
      </w:r>
      <w:r w:rsidR="00EC7EDF" w:rsidRPr="00FD211F">
        <w:rPr>
          <w:sz w:val="36"/>
          <w:szCs w:val="36"/>
          <w:rtl/>
        </w:rPr>
        <w:t xml:space="preserve">ة </w:t>
      </w:r>
      <w:r w:rsidRPr="00FD211F">
        <w:rPr>
          <w:sz w:val="36"/>
          <w:szCs w:val="36"/>
          <w:rtl/>
        </w:rPr>
        <w:t>على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كحرف العطف والاستثناء وادا</w:t>
      </w:r>
      <w:r w:rsidR="00EC7EDF" w:rsidRPr="00FD211F">
        <w:rPr>
          <w:sz w:val="36"/>
          <w:szCs w:val="36"/>
          <w:rtl/>
        </w:rPr>
        <w:t xml:space="preserve">ة </w:t>
      </w:r>
      <w:r w:rsidRPr="00FD211F">
        <w:rPr>
          <w:sz w:val="36"/>
          <w:szCs w:val="36"/>
          <w:rtl/>
        </w:rPr>
        <w:t>الشرط وهيئ</w:t>
      </w:r>
      <w:r w:rsidR="00EC7EDF" w:rsidRPr="00FD211F">
        <w:rPr>
          <w:sz w:val="36"/>
          <w:szCs w:val="36"/>
          <w:rtl/>
        </w:rPr>
        <w:t xml:space="preserve">ة </w:t>
      </w:r>
      <w:r w:rsidRPr="00FD211F">
        <w:rPr>
          <w:sz w:val="36"/>
          <w:szCs w:val="36"/>
          <w:rtl/>
        </w:rPr>
        <w:t>الأمر وما شابه ذلك.</w:t>
      </w:r>
      <w:r w:rsidR="003729E8" w:rsidRPr="00FD211F">
        <w:rPr>
          <w:sz w:val="36"/>
          <w:szCs w:val="36"/>
          <w:rtl/>
        </w:rPr>
        <w:t xml:space="preserve"> </w:t>
      </w:r>
    </w:p>
    <w:p w14:paraId="3B6B4841" w14:textId="77777777" w:rsidR="000C5BBA" w:rsidRPr="00FD211F" w:rsidRDefault="00610EE9" w:rsidP="00251CB6">
      <w:pPr>
        <w:ind w:left="0" w:firstLine="227"/>
        <w:jc w:val="both"/>
        <w:rPr>
          <w:sz w:val="36"/>
          <w:szCs w:val="36"/>
          <w:rtl/>
        </w:rPr>
      </w:pPr>
      <w:r w:rsidRPr="00FD211F">
        <w:rPr>
          <w:b/>
          <w:bCs/>
          <w:sz w:val="36"/>
          <w:szCs w:val="36"/>
          <w:rtl/>
        </w:rPr>
        <w:t>وثانيا</w:t>
      </w:r>
      <w:r w:rsidRPr="00FD211F">
        <w:rPr>
          <w:sz w:val="36"/>
          <w:szCs w:val="36"/>
          <w:rtl/>
        </w:rPr>
        <w:t>: ان ما ذكره</w:t>
      </w:r>
      <w:r w:rsidR="00A6761C" w:rsidRPr="00FD211F">
        <w:rPr>
          <w:sz w:val="36"/>
          <w:szCs w:val="36"/>
          <w:rtl/>
        </w:rPr>
        <w:t xml:space="preserve"> </w:t>
      </w:r>
      <w:r w:rsidRPr="00FD211F">
        <w:rPr>
          <w:sz w:val="36"/>
          <w:szCs w:val="36"/>
          <w:rtl/>
        </w:rPr>
        <w:t>من ان المعلق على ثبوت الشرط هو ثبوت النسب</w:t>
      </w:r>
      <w:r w:rsidR="00EC7EDF" w:rsidRPr="00FD211F">
        <w:rPr>
          <w:sz w:val="36"/>
          <w:szCs w:val="36"/>
          <w:rtl/>
        </w:rPr>
        <w:t>ة</w:t>
      </w:r>
      <w:r w:rsidR="00603323" w:rsidRPr="00FD211F">
        <w:rPr>
          <w:sz w:val="36"/>
          <w:szCs w:val="36"/>
          <w:rtl/>
        </w:rPr>
        <w:t xml:space="preserve">، </w:t>
      </w:r>
      <w:r w:rsidRPr="00FD211F">
        <w:rPr>
          <w:sz w:val="36"/>
          <w:szCs w:val="36"/>
          <w:rtl/>
        </w:rPr>
        <w:t>وثبوت النسب</w:t>
      </w:r>
      <w:r w:rsidR="00EC7EDF" w:rsidRPr="00FD211F">
        <w:rPr>
          <w:sz w:val="36"/>
          <w:szCs w:val="36"/>
          <w:rtl/>
        </w:rPr>
        <w:t xml:space="preserve">ة </w:t>
      </w:r>
      <w:r w:rsidRPr="00FD211F">
        <w:rPr>
          <w:sz w:val="36"/>
          <w:szCs w:val="36"/>
          <w:rtl/>
        </w:rPr>
        <w:t>معنى اسمي فهو خلاف الوجدان ايضا</w:t>
      </w:r>
      <w:r w:rsidR="00603323" w:rsidRPr="00FD211F">
        <w:rPr>
          <w:sz w:val="36"/>
          <w:szCs w:val="36"/>
          <w:rtl/>
        </w:rPr>
        <w:t xml:space="preserve">، </w:t>
      </w:r>
      <w:r w:rsidRPr="00FD211F">
        <w:rPr>
          <w:sz w:val="36"/>
          <w:szCs w:val="36"/>
          <w:rtl/>
        </w:rPr>
        <w:t>فانه لايلتفت العرف الى هذا المفهوم الاسمي حين استعمال الجمل</w:t>
      </w:r>
      <w:r w:rsidR="00EC7EDF" w:rsidRPr="00FD211F">
        <w:rPr>
          <w:sz w:val="36"/>
          <w:szCs w:val="36"/>
          <w:rtl/>
        </w:rPr>
        <w:t xml:space="preserve">ة </w:t>
      </w:r>
      <w:r w:rsidRPr="00FD211F">
        <w:rPr>
          <w:sz w:val="36"/>
          <w:szCs w:val="36"/>
          <w:rtl/>
        </w:rPr>
        <w:t>الشرطي</w:t>
      </w:r>
      <w:r w:rsidR="00EC7EDF" w:rsidRPr="00FD211F">
        <w:rPr>
          <w:sz w:val="36"/>
          <w:szCs w:val="36"/>
          <w:rtl/>
        </w:rPr>
        <w:t xml:space="preserve">ة </w:t>
      </w:r>
      <w:r w:rsidRPr="00FD211F">
        <w:rPr>
          <w:sz w:val="36"/>
          <w:szCs w:val="36"/>
          <w:rtl/>
        </w:rPr>
        <w:t>ابدا</w:t>
      </w:r>
      <w:r w:rsidR="00603323" w:rsidRPr="00FD211F">
        <w:rPr>
          <w:sz w:val="36"/>
          <w:szCs w:val="36"/>
          <w:rtl/>
        </w:rPr>
        <w:t xml:space="preserve">، </w:t>
      </w:r>
      <w:r w:rsidRPr="00FD211F">
        <w:rPr>
          <w:sz w:val="36"/>
          <w:szCs w:val="36"/>
          <w:rtl/>
        </w:rPr>
        <w:t>بل ثبوت النسب</w:t>
      </w:r>
      <w:r w:rsidR="00EC7EDF" w:rsidRPr="00FD211F">
        <w:rPr>
          <w:sz w:val="36"/>
          <w:szCs w:val="36"/>
          <w:rtl/>
        </w:rPr>
        <w:t xml:space="preserve">ة </w:t>
      </w:r>
      <w:r w:rsidRPr="00FD211F">
        <w:rPr>
          <w:sz w:val="36"/>
          <w:szCs w:val="36"/>
          <w:rtl/>
        </w:rPr>
        <w:t>بمعناه الحرفي مدلول لنفس هيئ</w:t>
      </w:r>
      <w:r w:rsidR="00EC7EDF" w:rsidRPr="00FD211F">
        <w:rPr>
          <w:sz w:val="36"/>
          <w:szCs w:val="36"/>
          <w:rtl/>
        </w:rPr>
        <w:t xml:space="preserve">ة </w:t>
      </w:r>
      <w:r w:rsidRPr="00FD211F">
        <w:rPr>
          <w:sz w:val="36"/>
          <w:szCs w:val="36"/>
          <w:rtl/>
        </w:rPr>
        <w:t>جمل</w:t>
      </w:r>
      <w:r w:rsidR="00EC7EDF" w:rsidRPr="00FD211F">
        <w:rPr>
          <w:sz w:val="36"/>
          <w:szCs w:val="36"/>
          <w:rtl/>
        </w:rPr>
        <w:t xml:space="preserve">ة </w:t>
      </w:r>
      <w:r w:rsidRPr="00FD211F">
        <w:rPr>
          <w:sz w:val="36"/>
          <w:szCs w:val="36"/>
          <w:rtl/>
        </w:rPr>
        <w:t>الجزاء سواء كانت جمل</w:t>
      </w:r>
      <w:r w:rsidR="00EC7EDF" w:rsidRPr="00FD211F">
        <w:rPr>
          <w:sz w:val="36"/>
          <w:szCs w:val="36"/>
          <w:rtl/>
        </w:rPr>
        <w:t xml:space="preserve">ة </w:t>
      </w:r>
      <w:r w:rsidRPr="00FD211F">
        <w:rPr>
          <w:sz w:val="36"/>
          <w:szCs w:val="36"/>
          <w:rtl/>
        </w:rPr>
        <w:t>خبري</w:t>
      </w:r>
      <w:r w:rsidR="00EC7EDF" w:rsidRPr="00FD211F">
        <w:rPr>
          <w:sz w:val="36"/>
          <w:szCs w:val="36"/>
          <w:rtl/>
        </w:rPr>
        <w:t xml:space="preserve">ة </w:t>
      </w:r>
      <w:r w:rsidRPr="00FD211F">
        <w:rPr>
          <w:sz w:val="36"/>
          <w:szCs w:val="36"/>
          <w:rtl/>
        </w:rPr>
        <w:t xml:space="preserve">كقولنا </w:t>
      </w:r>
      <w:r w:rsidR="00553E62" w:rsidRPr="00FD211F">
        <w:rPr>
          <w:sz w:val="36"/>
          <w:szCs w:val="36"/>
          <w:rtl/>
        </w:rPr>
        <w:t>"</w:t>
      </w:r>
      <w:r w:rsidRPr="00FD211F">
        <w:rPr>
          <w:sz w:val="36"/>
          <w:szCs w:val="36"/>
          <w:rtl/>
        </w:rPr>
        <w:t>اذا كان نهار شهر رمضان فزيد صائم</w:t>
      </w:r>
      <w:r w:rsidR="00553E62" w:rsidRPr="00FD211F">
        <w:rPr>
          <w:sz w:val="36"/>
          <w:szCs w:val="36"/>
          <w:rtl/>
        </w:rPr>
        <w:t>"</w:t>
      </w:r>
      <w:r w:rsidRPr="00FD211F">
        <w:rPr>
          <w:sz w:val="36"/>
          <w:szCs w:val="36"/>
          <w:rtl/>
        </w:rPr>
        <w:t>او كانت جمل</w:t>
      </w:r>
      <w:r w:rsidR="00EC7EDF" w:rsidRPr="00FD211F">
        <w:rPr>
          <w:sz w:val="36"/>
          <w:szCs w:val="36"/>
          <w:rtl/>
        </w:rPr>
        <w:t xml:space="preserve">ة </w:t>
      </w:r>
      <w:r w:rsidRPr="00FD211F">
        <w:rPr>
          <w:sz w:val="36"/>
          <w:szCs w:val="36"/>
          <w:rtl/>
        </w:rPr>
        <w:t>إنشائي</w:t>
      </w:r>
      <w:r w:rsidR="00EC7EDF" w:rsidRPr="00FD211F">
        <w:rPr>
          <w:sz w:val="36"/>
          <w:szCs w:val="36"/>
          <w:rtl/>
        </w:rPr>
        <w:t xml:space="preserve">ة </w:t>
      </w:r>
      <w:r w:rsidRPr="00FD211F">
        <w:rPr>
          <w:sz w:val="36"/>
          <w:szCs w:val="36"/>
          <w:rtl/>
        </w:rPr>
        <w:t xml:space="preserve">كقولنا </w:t>
      </w:r>
      <w:r w:rsidR="00553E62" w:rsidRPr="00FD211F">
        <w:rPr>
          <w:sz w:val="36"/>
          <w:szCs w:val="36"/>
          <w:rtl/>
        </w:rPr>
        <w:t>"</w:t>
      </w:r>
      <w:r w:rsidRPr="00FD211F">
        <w:rPr>
          <w:sz w:val="36"/>
          <w:szCs w:val="36"/>
          <w:rtl/>
        </w:rPr>
        <w:t>ان جاءك زيد فاكرمه</w:t>
      </w:r>
      <w:r w:rsidR="00553E62" w:rsidRPr="00FD211F">
        <w:rPr>
          <w:sz w:val="36"/>
          <w:szCs w:val="36"/>
          <w:rtl/>
        </w:rPr>
        <w:t>"</w:t>
      </w:r>
      <w:r w:rsidR="00603323" w:rsidRPr="00FD211F">
        <w:rPr>
          <w:sz w:val="36"/>
          <w:szCs w:val="36"/>
          <w:rtl/>
        </w:rPr>
        <w:t xml:space="preserve">، </w:t>
      </w:r>
      <w:r w:rsidRPr="00FD211F">
        <w:rPr>
          <w:sz w:val="36"/>
          <w:szCs w:val="36"/>
          <w:rtl/>
        </w:rPr>
        <w:t>فمفاد الجزاء في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هو ثبوت النسب</w:t>
      </w:r>
      <w:r w:rsidR="00EC7EDF" w:rsidRPr="00FD211F">
        <w:rPr>
          <w:sz w:val="36"/>
          <w:szCs w:val="36"/>
          <w:rtl/>
        </w:rPr>
        <w:t xml:space="preserve">ة </w:t>
      </w:r>
      <w:r w:rsidRPr="00FD211F">
        <w:rPr>
          <w:sz w:val="36"/>
          <w:szCs w:val="36"/>
          <w:rtl/>
        </w:rPr>
        <w:t>التصادقي</w:t>
      </w:r>
      <w:r w:rsidR="00EC7EDF" w:rsidRPr="00FD211F">
        <w:rPr>
          <w:sz w:val="36"/>
          <w:szCs w:val="36"/>
          <w:rtl/>
        </w:rPr>
        <w:t xml:space="preserve">ة </w:t>
      </w:r>
      <w:r w:rsidRPr="00FD211F">
        <w:rPr>
          <w:sz w:val="36"/>
          <w:szCs w:val="36"/>
          <w:rtl/>
        </w:rPr>
        <w:t>بين الموضوع والمحمول في جمل</w:t>
      </w:r>
      <w:r w:rsidR="00EC7EDF" w:rsidRPr="00FD211F">
        <w:rPr>
          <w:sz w:val="36"/>
          <w:szCs w:val="36"/>
          <w:rtl/>
        </w:rPr>
        <w:t xml:space="preserve">ة </w:t>
      </w:r>
      <w:r w:rsidRPr="00FD211F">
        <w:rPr>
          <w:sz w:val="36"/>
          <w:szCs w:val="36"/>
          <w:rtl/>
        </w:rPr>
        <w:t>الجزاء</w:t>
      </w:r>
      <w:r w:rsidR="00603323" w:rsidRPr="00FD211F">
        <w:rPr>
          <w:sz w:val="36"/>
          <w:szCs w:val="36"/>
          <w:rtl/>
        </w:rPr>
        <w:t xml:space="preserve">، </w:t>
      </w:r>
      <w:r w:rsidRPr="00FD211F">
        <w:rPr>
          <w:sz w:val="36"/>
          <w:szCs w:val="36"/>
          <w:rtl/>
        </w:rPr>
        <w:t>وحيث يكون الملحوظ بالنظر التصوري هو عالم الخارج بحيث يرى انطباق الموضوع والمحمول على واقع معين في الخارج فيوقع النسب</w:t>
      </w:r>
      <w:r w:rsidR="00EC7EDF" w:rsidRPr="00FD211F">
        <w:rPr>
          <w:sz w:val="36"/>
          <w:szCs w:val="36"/>
          <w:rtl/>
        </w:rPr>
        <w:t xml:space="preserve">ة </w:t>
      </w:r>
      <w:r w:rsidRPr="00FD211F">
        <w:rPr>
          <w:sz w:val="36"/>
          <w:szCs w:val="36"/>
          <w:rtl/>
        </w:rPr>
        <w:t>التعليقي</w:t>
      </w:r>
      <w:r w:rsidR="00EC7EDF" w:rsidRPr="00FD211F">
        <w:rPr>
          <w:sz w:val="36"/>
          <w:szCs w:val="36"/>
          <w:rtl/>
        </w:rPr>
        <w:t xml:space="preserve">ة </w:t>
      </w:r>
      <w:r w:rsidRPr="00FD211F">
        <w:rPr>
          <w:sz w:val="36"/>
          <w:szCs w:val="36"/>
          <w:rtl/>
        </w:rPr>
        <w:t>بينه وبين مضمون الشرط</w:t>
      </w:r>
      <w:r w:rsidR="00603323" w:rsidRPr="00FD211F">
        <w:rPr>
          <w:sz w:val="36"/>
          <w:szCs w:val="36"/>
          <w:rtl/>
        </w:rPr>
        <w:t xml:space="preserve">، </w:t>
      </w:r>
      <w:r w:rsidRPr="00FD211F">
        <w:rPr>
          <w:sz w:val="36"/>
          <w:szCs w:val="36"/>
          <w:rtl/>
        </w:rPr>
        <w:t>ومفاد الجزاء في قولنا</w:t>
      </w:r>
      <w:r w:rsidR="00553E62" w:rsidRPr="00FD211F">
        <w:rPr>
          <w:sz w:val="36"/>
          <w:szCs w:val="36"/>
          <w:rtl/>
        </w:rPr>
        <w:t>"</w:t>
      </w:r>
      <w:r w:rsidRPr="00FD211F">
        <w:rPr>
          <w:sz w:val="36"/>
          <w:szCs w:val="36"/>
          <w:rtl/>
        </w:rPr>
        <w:t xml:space="preserve"> ان جاءك زيد فاكرمه</w:t>
      </w:r>
      <w:r w:rsidR="00553E62" w:rsidRPr="00FD211F">
        <w:rPr>
          <w:sz w:val="36"/>
          <w:szCs w:val="36"/>
          <w:rtl/>
        </w:rPr>
        <w:t>"</w:t>
      </w:r>
      <w:r w:rsidRPr="00FD211F">
        <w:rPr>
          <w:sz w:val="36"/>
          <w:szCs w:val="36"/>
          <w:rtl/>
        </w:rPr>
        <w:t xml:space="preserve"> هو ثبوت النسب</w:t>
      </w:r>
      <w:r w:rsidR="00EC7EDF" w:rsidRPr="00FD211F">
        <w:rPr>
          <w:sz w:val="36"/>
          <w:szCs w:val="36"/>
          <w:rtl/>
        </w:rPr>
        <w:t xml:space="preserve">ة </w:t>
      </w:r>
      <w:r w:rsidRPr="00FD211F">
        <w:rPr>
          <w:sz w:val="36"/>
          <w:szCs w:val="36"/>
          <w:rtl/>
        </w:rPr>
        <w:t>البعثي</w:t>
      </w:r>
      <w:r w:rsidR="00EC7EDF" w:rsidRPr="00FD211F">
        <w:rPr>
          <w:sz w:val="36"/>
          <w:szCs w:val="36"/>
          <w:rtl/>
        </w:rPr>
        <w:t>ة</w:t>
      </w:r>
      <w:r w:rsidR="00603323" w:rsidRPr="00FD211F">
        <w:rPr>
          <w:sz w:val="36"/>
          <w:szCs w:val="36"/>
          <w:rtl/>
        </w:rPr>
        <w:t xml:space="preserve">، </w:t>
      </w:r>
      <w:r w:rsidRPr="00FD211F">
        <w:rPr>
          <w:sz w:val="36"/>
          <w:szCs w:val="36"/>
          <w:rtl/>
        </w:rPr>
        <w:t>ويكون مدلول الجمل</w:t>
      </w:r>
      <w:r w:rsidR="00EC7EDF" w:rsidRPr="00FD211F">
        <w:rPr>
          <w:sz w:val="36"/>
          <w:szCs w:val="36"/>
          <w:rtl/>
        </w:rPr>
        <w:t xml:space="preserve">ة </w:t>
      </w:r>
      <w:r w:rsidRPr="00FD211F">
        <w:rPr>
          <w:sz w:val="36"/>
          <w:szCs w:val="36"/>
          <w:rtl/>
        </w:rPr>
        <w:t>الشرطي</w:t>
      </w:r>
      <w:r w:rsidR="00EC7EDF" w:rsidRPr="00FD211F">
        <w:rPr>
          <w:sz w:val="36"/>
          <w:szCs w:val="36"/>
          <w:rtl/>
        </w:rPr>
        <w:t xml:space="preserve">ة </w:t>
      </w:r>
      <w:r w:rsidRPr="00FD211F">
        <w:rPr>
          <w:sz w:val="36"/>
          <w:szCs w:val="36"/>
          <w:rtl/>
        </w:rPr>
        <w:t>إيقاع النسب</w:t>
      </w:r>
      <w:r w:rsidR="00EC7EDF" w:rsidRPr="00FD211F">
        <w:rPr>
          <w:sz w:val="36"/>
          <w:szCs w:val="36"/>
          <w:rtl/>
        </w:rPr>
        <w:t xml:space="preserve">ة </w:t>
      </w:r>
      <w:r w:rsidRPr="00FD211F">
        <w:rPr>
          <w:sz w:val="36"/>
          <w:szCs w:val="36"/>
          <w:rtl/>
        </w:rPr>
        <w:t>التعليقي</w:t>
      </w:r>
      <w:r w:rsidR="00EC7EDF" w:rsidRPr="00FD211F">
        <w:rPr>
          <w:sz w:val="36"/>
          <w:szCs w:val="36"/>
          <w:rtl/>
        </w:rPr>
        <w:t xml:space="preserve">ة </w:t>
      </w:r>
      <w:r w:rsidRPr="00FD211F">
        <w:rPr>
          <w:sz w:val="36"/>
          <w:szCs w:val="36"/>
          <w:rtl/>
        </w:rPr>
        <w:t>بينه وبين مضمون الشرط</w:t>
      </w:r>
      <w:r w:rsidR="00603323" w:rsidRPr="00FD211F">
        <w:rPr>
          <w:sz w:val="36"/>
          <w:szCs w:val="36"/>
          <w:rtl/>
        </w:rPr>
        <w:t xml:space="preserve">، </w:t>
      </w:r>
      <w:r w:rsidRPr="00FD211F">
        <w:rPr>
          <w:sz w:val="36"/>
          <w:szCs w:val="36"/>
          <w:rtl/>
        </w:rPr>
        <w:t>وهو ثبوت مج</w:t>
      </w:r>
      <w:r w:rsidR="00251CB6" w:rsidRPr="00FD211F">
        <w:rPr>
          <w:sz w:val="36"/>
          <w:szCs w:val="36"/>
          <w:rtl/>
        </w:rPr>
        <w:t>يء</w:t>
      </w:r>
      <w:r w:rsidRPr="00FD211F">
        <w:rPr>
          <w:sz w:val="36"/>
          <w:szCs w:val="36"/>
          <w:rtl/>
        </w:rPr>
        <w:t xml:space="preserve"> زيد.</w:t>
      </w:r>
      <w:r w:rsidR="003729E8" w:rsidRPr="00FD211F">
        <w:rPr>
          <w:sz w:val="36"/>
          <w:szCs w:val="36"/>
          <w:rtl/>
        </w:rPr>
        <w:t xml:space="preserve"> </w:t>
      </w:r>
    </w:p>
    <w:p w14:paraId="1DBFC96C" w14:textId="77777777" w:rsidR="000C5BBA" w:rsidRPr="00FD211F" w:rsidRDefault="00610EE9" w:rsidP="009C58C8">
      <w:pPr>
        <w:ind w:left="0" w:firstLine="227"/>
        <w:jc w:val="both"/>
        <w:rPr>
          <w:sz w:val="36"/>
          <w:szCs w:val="36"/>
          <w:rtl/>
        </w:rPr>
      </w:pPr>
      <w:r w:rsidRPr="00FD211F">
        <w:rPr>
          <w:sz w:val="36"/>
          <w:szCs w:val="36"/>
          <w:rtl/>
        </w:rPr>
        <w:t>وما قد يقال من ان تعليق معنى على معنى آخر غير معقول وما يكون معقولا انما هو تعليق وجود معنى على وجود معنى آخر فيرد عليه انه لامحذور في تعليق معنى تصديقي بما هو فان في الخارج على معنى تصديقي آخر كذلك</w:t>
      </w:r>
      <w:r w:rsidR="00603323" w:rsidRPr="00FD211F">
        <w:rPr>
          <w:sz w:val="36"/>
          <w:szCs w:val="36"/>
          <w:rtl/>
        </w:rPr>
        <w:t xml:space="preserve">، </w:t>
      </w:r>
      <w:r w:rsidRPr="00FD211F">
        <w:rPr>
          <w:sz w:val="36"/>
          <w:szCs w:val="36"/>
          <w:rtl/>
        </w:rPr>
        <w:t>كما هو الحال في الجمل</w:t>
      </w:r>
      <w:r w:rsidR="00EC7EDF" w:rsidRPr="00FD211F">
        <w:rPr>
          <w:sz w:val="36"/>
          <w:szCs w:val="36"/>
          <w:rtl/>
        </w:rPr>
        <w:t xml:space="preserve">ة </w:t>
      </w:r>
      <w:r w:rsidRPr="00FD211F">
        <w:rPr>
          <w:sz w:val="36"/>
          <w:szCs w:val="36"/>
          <w:rtl/>
        </w:rPr>
        <w:t>الشرطي</w:t>
      </w:r>
      <w:r w:rsidR="00EC7EDF" w:rsidRPr="00FD211F">
        <w:rPr>
          <w:sz w:val="36"/>
          <w:szCs w:val="36"/>
          <w:rtl/>
        </w:rPr>
        <w:t>ة</w:t>
      </w:r>
      <w:r w:rsidR="00603323" w:rsidRPr="00FD211F">
        <w:rPr>
          <w:sz w:val="36"/>
          <w:szCs w:val="36"/>
          <w:rtl/>
        </w:rPr>
        <w:t xml:space="preserve">، </w:t>
      </w:r>
      <w:r w:rsidRPr="00FD211F">
        <w:rPr>
          <w:sz w:val="36"/>
          <w:szCs w:val="36"/>
          <w:rtl/>
        </w:rPr>
        <w:t>نعم لايعقل تعليق معنى تصوري كمفهوم الماء على معنى تصوري آخر كمفهوم النار.</w:t>
      </w:r>
    </w:p>
    <w:p w14:paraId="619EE59C" w14:textId="77777777" w:rsidR="00470A7C" w:rsidRPr="00FD211F" w:rsidRDefault="00610EE9" w:rsidP="009C58C8">
      <w:pPr>
        <w:ind w:left="0" w:firstLine="227"/>
        <w:jc w:val="both"/>
        <w:rPr>
          <w:sz w:val="36"/>
          <w:szCs w:val="36"/>
          <w:rtl/>
        </w:rPr>
      </w:pPr>
      <w:r w:rsidRPr="00FD211F">
        <w:rPr>
          <w:sz w:val="36"/>
          <w:szCs w:val="36"/>
          <w:rtl/>
        </w:rPr>
        <w:t>4- ما قد يقال من ان ما يكون معلقا على الشرط ليس هو النسب</w:t>
      </w:r>
      <w:r w:rsidR="00EC7EDF" w:rsidRPr="00FD211F">
        <w:rPr>
          <w:sz w:val="36"/>
          <w:szCs w:val="36"/>
          <w:rtl/>
        </w:rPr>
        <w:t xml:space="preserve">ة </w:t>
      </w:r>
      <w:r w:rsidRPr="00FD211F">
        <w:rPr>
          <w:sz w:val="36"/>
          <w:szCs w:val="36"/>
          <w:rtl/>
        </w:rPr>
        <w:t>البعثي</w:t>
      </w:r>
      <w:r w:rsidR="00EC7EDF" w:rsidRPr="00FD211F">
        <w:rPr>
          <w:sz w:val="36"/>
          <w:szCs w:val="36"/>
          <w:rtl/>
        </w:rPr>
        <w:t xml:space="preserve">ة </w:t>
      </w:r>
      <w:r w:rsidRPr="00FD211F">
        <w:rPr>
          <w:sz w:val="36"/>
          <w:szCs w:val="36"/>
          <w:rtl/>
        </w:rPr>
        <w:t>المستفاد</w:t>
      </w:r>
      <w:r w:rsidR="00EC7EDF" w:rsidRPr="00FD211F">
        <w:rPr>
          <w:sz w:val="36"/>
          <w:szCs w:val="36"/>
          <w:rtl/>
        </w:rPr>
        <w:t xml:space="preserve">ة </w:t>
      </w:r>
      <w:r w:rsidRPr="00FD211F">
        <w:rPr>
          <w:sz w:val="36"/>
          <w:szCs w:val="36"/>
          <w:rtl/>
        </w:rPr>
        <w:t>من صيغ</w:t>
      </w:r>
      <w:r w:rsidR="00EC7EDF" w:rsidRPr="00FD211F">
        <w:rPr>
          <w:sz w:val="36"/>
          <w:szCs w:val="36"/>
          <w:rtl/>
        </w:rPr>
        <w:t xml:space="preserve">ة </w:t>
      </w:r>
      <w:r w:rsidRPr="00FD211F">
        <w:rPr>
          <w:sz w:val="36"/>
          <w:szCs w:val="36"/>
          <w:rtl/>
        </w:rPr>
        <w:t>الأمر وانما هو الوجوب الذي يكون مدلولا التزاميا لصيغ</w:t>
      </w:r>
      <w:r w:rsidR="00EC7EDF" w:rsidRPr="00FD211F">
        <w:rPr>
          <w:sz w:val="36"/>
          <w:szCs w:val="36"/>
          <w:rtl/>
        </w:rPr>
        <w:t xml:space="preserve">ة </w:t>
      </w:r>
      <w:r w:rsidRPr="00FD211F">
        <w:rPr>
          <w:sz w:val="36"/>
          <w:szCs w:val="36"/>
          <w:rtl/>
        </w:rPr>
        <w:t>الأمر</w:t>
      </w:r>
      <w:r w:rsidR="00603323" w:rsidRPr="00FD211F">
        <w:rPr>
          <w:sz w:val="36"/>
          <w:szCs w:val="36"/>
          <w:rtl/>
        </w:rPr>
        <w:t xml:space="preserve">، </w:t>
      </w:r>
      <w:r w:rsidRPr="00FD211F">
        <w:rPr>
          <w:sz w:val="36"/>
          <w:szCs w:val="36"/>
          <w:rtl/>
        </w:rPr>
        <w:t>وحيث يكون الوجوب مفهوما اسميا فلامانع من تعليقه او تقييده ابدا</w:t>
      </w:r>
      <w:r w:rsidR="009C58C8" w:rsidRPr="00FD211F">
        <w:rPr>
          <w:rStyle w:val="a6"/>
          <w:b/>
          <w:bCs/>
          <w:sz w:val="36"/>
          <w:szCs w:val="36"/>
          <w:rtl/>
        </w:rPr>
        <w:t>(</w:t>
      </w:r>
      <w:r w:rsidR="009C58C8" w:rsidRPr="00FD211F">
        <w:rPr>
          <w:rStyle w:val="a6"/>
          <w:b/>
          <w:bCs/>
          <w:sz w:val="36"/>
          <w:szCs w:val="36"/>
          <w:rtl/>
        </w:rPr>
        <w:footnoteReference w:id="262"/>
      </w:r>
      <w:r w:rsidR="009C58C8" w:rsidRPr="00FD211F">
        <w:rPr>
          <w:rStyle w:val="a6"/>
          <w:b/>
          <w:bCs/>
          <w:sz w:val="36"/>
          <w:szCs w:val="36"/>
          <w:rtl/>
        </w:rPr>
        <w:t>)</w:t>
      </w:r>
      <w:r w:rsidRPr="00FD211F">
        <w:rPr>
          <w:sz w:val="36"/>
          <w:szCs w:val="36"/>
          <w:rtl/>
        </w:rPr>
        <w:t>.</w:t>
      </w:r>
    </w:p>
    <w:p w14:paraId="27DB8669" w14:textId="77777777" w:rsidR="000C5BBA" w:rsidRPr="00FD211F" w:rsidRDefault="00610EE9" w:rsidP="009C58C8">
      <w:pPr>
        <w:ind w:left="0" w:firstLine="227"/>
        <w:jc w:val="both"/>
        <w:rPr>
          <w:sz w:val="36"/>
          <w:szCs w:val="36"/>
          <w:rtl/>
        </w:rPr>
      </w:pPr>
      <w:r w:rsidRPr="00FD211F">
        <w:rPr>
          <w:sz w:val="36"/>
          <w:szCs w:val="36"/>
          <w:rtl/>
        </w:rPr>
        <w:t>وهذا لايخلو من غراب</w:t>
      </w:r>
      <w:r w:rsidR="00EC7EDF" w:rsidRPr="00FD211F">
        <w:rPr>
          <w:sz w:val="36"/>
          <w:szCs w:val="36"/>
          <w:rtl/>
        </w:rPr>
        <w:t>ة</w:t>
      </w:r>
      <w:r w:rsidR="00603323" w:rsidRPr="00FD211F">
        <w:rPr>
          <w:sz w:val="36"/>
          <w:szCs w:val="36"/>
          <w:rtl/>
        </w:rPr>
        <w:t xml:space="preserve">، </w:t>
      </w:r>
      <w:r w:rsidRPr="00FD211F">
        <w:rPr>
          <w:sz w:val="36"/>
          <w:szCs w:val="36"/>
          <w:rtl/>
        </w:rPr>
        <w:t>لشهاد</w:t>
      </w:r>
      <w:r w:rsidR="00EC7EDF" w:rsidRPr="00FD211F">
        <w:rPr>
          <w:sz w:val="36"/>
          <w:szCs w:val="36"/>
          <w:rtl/>
        </w:rPr>
        <w:t xml:space="preserve">ة </w:t>
      </w:r>
      <w:r w:rsidRPr="00FD211F">
        <w:rPr>
          <w:sz w:val="36"/>
          <w:szCs w:val="36"/>
          <w:rtl/>
        </w:rPr>
        <w:t>الوجدان بان المعلق على الشرط انما هو نفس مضمون الجزاء لاالوجوب الذي هو معنى اسمي وقد لايلتفت اليه المتكلم في الجمل</w:t>
      </w:r>
      <w:r w:rsidR="00EC7EDF" w:rsidRPr="00FD211F">
        <w:rPr>
          <w:sz w:val="36"/>
          <w:szCs w:val="36"/>
          <w:rtl/>
        </w:rPr>
        <w:t xml:space="preserve">ة </w:t>
      </w:r>
      <w:r w:rsidRPr="00FD211F">
        <w:rPr>
          <w:sz w:val="36"/>
          <w:szCs w:val="36"/>
          <w:rtl/>
        </w:rPr>
        <w:t>الشرطي</w:t>
      </w:r>
      <w:r w:rsidR="00EC7EDF" w:rsidRPr="00FD211F">
        <w:rPr>
          <w:sz w:val="36"/>
          <w:szCs w:val="36"/>
          <w:rtl/>
        </w:rPr>
        <w:t xml:space="preserve">ة </w:t>
      </w:r>
      <w:r w:rsidRPr="00FD211F">
        <w:rPr>
          <w:sz w:val="36"/>
          <w:szCs w:val="36"/>
          <w:rtl/>
        </w:rPr>
        <w:t>ابدا.</w:t>
      </w:r>
      <w:r w:rsidR="00D06033" w:rsidRPr="00FD211F">
        <w:rPr>
          <w:sz w:val="36"/>
          <w:szCs w:val="36"/>
          <w:rtl/>
        </w:rPr>
        <w:t xml:space="preserve"> </w:t>
      </w:r>
    </w:p>
    <w:p w14:paraId="2BC043D6" w14:textId="77777777" w:rsidR="000C5BBA" w:rsidRPr="00FD211F" w:rsidRDefault="003729E8" w:rsidP="009C58C8">
      <w:pPr>
        <w:ind w:left="0" w:firstLine="227"/>
        <w:jc w:val="both"/>
        <w:rPr>
          <w:sz w:val="36"/>
          <w:szCs w:val="36"/>
          <w:rtl/>
        </w:rPr>
      </w:pPr>
      <w:r w:rsidRPr="00FD211F">
        <w:rPr>
          <w:sz w:val="36"/>
          <w:szCs w:val="36"/>
          <w:rtl/>
        </w:rPr>
        <w:t>5</w:t>
      </w:r>
      <w:r w:rsidR="00610EE9" w:rsidRPr="00FD211F">
        <w:rPr>
          <w:sz w:val="36"/>
          <w:szCs w:val="36"/>
          <w:rtl/>
        </w:rPr>
        <w:t xml:space="preserve">- ما ذكره المحقق العراقي </w:t>
      </w:r>
      <w:r w:rsidR="00BC7BD7" w:rsidRPr="00FD211F">
        <w:rPr>
          <w:sz w:val="36"/>
          <w:szCs w:val="36"/>
          <w:rtl/>
        </w:rPr>
        <w:t>"</w:t>
      </w:r>
      <w:r w:rsidR="00610EE9" w:rsidRPr="00FD211F">
        <w:rPr>
          <w:sz w:val="36"/>
          <w:szCs w:val="36"/>
          <w:rtl/>
        </w:rPr>
        <w:t>قده</w:t>
      </w:r>
      <w:r w:rsidR="00BC7BD7" w:rsidRPr="00FD211F">
        <w:rPr>
          <w:sz w:val="36"/>
          <w:szCs w:val="36"/>
          <w:rtl/>
        </w:rPr>
        <w:t>"</w:t>
      </w:r>
      <w:r w:rsidR="00603323" w:rsidRPr="00FD211F">
        <w:rPr>
          <w:sz w:val="36"/>
          <w:szCs w:val="36"/>
          <w:rtl/>
        </w:rPr>
        <w:t xml:space="preserve">، </w:t>
      </w:r>
      <w:r w:rsidR="00610EE9" w:rsidRPr="00FD211F">
        <w:rPr>
          <w:sz w:val="36"/>
          <w:szCs w:val="36"/>
          <w:rtl/>
        </w:rPr>
        <w:t>ومحصله ان الجزئي وان</w:t>
      </w:r>
      <w:r w:rsidR="008D7B3D" w:rsidRPr="00FD211F">
        <w:rPr>
          <w:sz w:val="36"/>
          <w:szCs w:val="36"/>
          <w:rtl/>
        </w:rPr>
        <w:t xml:space="preserve"> لم‌</w:t>
      </w:r>
      <w:r w:rsidR="00610EE9" w:rsidRPr="00FD211F">
        <w:rPr>
          <w:sz w:val="36"/>
          <w:szCs w:val="36"/>
          <w:rtl/>
        </w:rPr>
        <w:t>يكن قابلا للتقييد الأفرادي ولكنه قابل للتقييد الاحوالي</w:t>
      </w:r>
      <w:r w:rsidR="00603323" w:rsidRPr="00FD211F">
        <w:rPr>
          <w:sz w:val="36"/>
          <w:szCs w:val="36"/>
          <w:rtl/>
        </w:rPr>
        <w:t xml:space="preserve">، </w:t>
      </w:r>
      <w:r w:rsidR="00610EE9" w:rsidRPr="00FD211F">
        <w:rPr>
          <w:sz w:val="36"/>
          <w:szCs w:val="36"/>
          <w:rtl/>
        </w:rPr>
        <w:t>فنقول مثلا زيد في حال كونه في المسجد مؤدب</w:t>
      </w:r>
      <w:r w:rsidR="00603323" w:rsidRPr="00FD211F">
        <w:rPr>
          <w:sz w:val="36"/>
          <w:szCs w:val="36"/>
          <w:rtl/>
        </w:rPr>
        <w:t xml:space="preserve">، </w:t>
      </w:r>
      <w:r w:rsidR="00610EE9" w:rsidRPr="00FD211F">
        <w:rPr>
          <w:sz w:val="36"/>
          <w:szCs w:val="36"/>
          <w:rtl/>
        </w:rPr>
        <w:t>فلذا يصح ان نقيد ثبوت الوجوب الذي هو مدلول الهيئ</w:t>
      </w:r>
      <w:r w:rsidR="00EC7EDF" w:rsidRPr="00FD211F">
        <w:rPr>
          <w:sz w:val="36"/>
          <w:szCs w:val="36"/>
          <w:rtl/>
        </w:rPr>
        <w:t xml:space="preserve">ة </w:t>
      </w:r>
      <w:r w:rsidR="00610EE9" w:rsidRPr="00FD211F">
        <w:rPr>
          <w:sz w:val="36"/>
          <w:szCs w:val="36"/>
          <w:rtl/>
        </w:rPr>
        <w:t>بحال</w:t>
      </w:r>
      <w:r w:rsidR="00EC7EDF" w:rsidRPr="00FD211F">
        <w:rPr>
          <w:sz w:val="36"/>
          <w:szCs w:val="36"/>
          <w:rtl/>
        </w:rPr>
        <w:t xml:space="preserve">ة </w:t>
      </w:r>
      <w:r w:rsidR="00610EE9" w:rsidRPr="00FD211F">
        <w:rPr>
          <w:sz w:val="36"/>
          <w:szCs w:val="36"/>
          <w:rtl/>
        </w:rPr>
        <w:t>خاص</w:t>
      </w:r>
      <w:r w:rsidR="00EC7EDF" w:rsidRPr="00FD211F">
        <w:rPr>
          <w:sz w:val="36"/>
          <w:szCs w:val="36"/>
          <w:rtl/>
        </w:rPr>
        <w:t xml:space="preserve">ة </w:t>
      </w:r>
      <w:r w:rsidR="00610EE9" w:rsidRPr="00FD211F">
        <w:rPr>
          <w:sz w:val="36"/>
          <w:szCs w:val="36"/>
          <w:rtl/>
        </w:rPr>
        <w:t>وهي حال</w:t>
      </w:r>
      <w:r w:rsidR="00EC7EDF" w:rsidRPr="00FD211F">
        <w:rPr>
          <w:sz w:val="36"/>
          <w:szCs w:val="36"/>
          <w:rtl/>
        </w:rPr>
        <w:t xml:space="preserve">ة </w:t>
      </w:r>
      <w:r w:rsidR="00610EE9" w:rsidRPr="00FD211F">
        <w:rPr>
          <w:sz w:val="36"/>
          <w:szCs w:val="36"/>
          <w:rtl/>
        </w:rPr>
        <w:t>حصول الشرط</w:t>
      </w:r>
      <w:r w:rsidR="009C58C8" w:rsidRPr="00FD211F">
        <w:rPr>
          <w:rStyle w:val="a6"/>
          <w:sz w:val="36"/>
          <w:szCs w:val="36"/>
          <w:rtl/>
        </w:rPr>
        <w:t>(</w:t>
      </w:r>
      <w:r w:rsidR="009C58C8" w:rsidRPr="00FD211F">
        <w:rPr>
          <w:rStyle w:val="a6"/>
          <w:sz w:val="36"/>
          <w:szCs w:val="36"/>
          <w:rtl/>
        </w:rPr>
        <w:footnoteReference w:id="263"/>
      </w:r>
      <w:r w:rsidR="009C58C8" w:rsidRPr="00FD211F">
        <w:rPr>
          <w:rStyle w:val="a6"/>
          <w:sz w:val="36"/>
          <w:szCs w:val="36"/>
          <w:rtl/>
        </w:rPr>
        <w:t>)</w:t>
      </w:r>
      <w:r w:rsidR="00610EE9" w:rsidRPr="00FD211F">
        <w:rPr>
          <w:sz w:val="36"/>
          <w:szCs w:val="36"/>
          <w:rtl/>
        </w:rPr>
        <w:t>.</w:t>
      </w:r>
      <w:r w:rsidR="00D06033" w:rsidRPr="00FD211F">
        <w:rPr>
          <w:sz w:val="36"/>
          <w:szCs w:val="36"/>
          <w:rtl/>
        </w:rPr>
        <w:t xml:space="preserve"> </w:t>
      </w:r>
    </w:p>
    <w:p w14:paraId="09F72C7B" w14:textId="77777777" w:rsidR="000C5BBA" w:rsidRPr="00FD211F" w:rsidRDefault="00610EE9" w:rsidP="009C58C8">
      <w:pPr>
        <w:ind w:left="0" w:firstLine="227"/>
        <w:jc w:val="both"/>
        <w:rPr>
          <w:sz w:val="36"/>
          <w:szCs w:val="36"/>
          <w:rtl/>
        </w:rPr>
      </w:pPr>
      <w:r w:rsidRPr="00FD211F">
        <w:rPr>
          <w:sz w:val="36"/>
          <w:szCs w:val="36"/>
          <w:rtl/>
        </w:rPr>
        <w:t>وقد اورد عليه في البحوث بما محصله من انه لو اريد جعل حكم على الجزئي مقيدا باقترانه بحال</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فلامانع منه كما في قوله زيد في حال كونه في المسجد مؤدب</w:t>
      </w:r>
      <w:r w:rsidR="00603323" w:rsidRPr="00FD211F">
        <w:rPr>
          <w:sz w:val="36"/>
          <w:szCs w:val="36"/>
          <w:rtl/>
        </w:rPr>
        <w:t xml:space="preserve">، </w:t>
      </w:r>
      <w:r w:rsidRPr="00FD211F">
        <w:rPr>
          <w:sz w:val="36"/>
          <w:szCs w:val="36"/>
          <w:rtl/>
        </w:rPr>
        <w:t>واما تقييد نفس وجود الجزئي بحال</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بعد ان كان موجودا فهو غير معقول</w:t>
      </w:r>
      <w:r w:rsidR="00603323" w:rsidRPr="00FD211F">
        <w:rPr>
          <w:sz w:val="36"/>
          <w:szCs w:val="36"/>
          <w:rtl/>
        </w:rPr>
        <w:t xml:space="preserve">، </w:t>
      </w:r>
      <w:r w:rsidRPr="00FD211F">
        <w:rPr>
          <w:sz w:val="36"/>
          <w:szCs w:val="36"/>
          <w:rtl/>
        </w:rPr>
        <w:t>لان الفرد حين ما صار جزئيا حقيقيا صار له تشخص معين غير قابل للتوسع</w:t>
      </w:r>
      <w:r w:rsidR="00EC7EDF" w:rsidRPr="00FD211F">
        <w:rPr>
          <w:sz w:val="36"/>
          <w:szCs w:val="36"/>
          <w:rtl/>
        </w:rPr>
        <w:t xml:space="preserve">ة </w:t>
      </w:r>
      <w:r w:rsidRPr="00FD211F">
        <w:rPr>
          <w:sz w:val="36"/>
          <w:szCs w:val="36"/>
          <w:rtl/>
        </w:rPr>
        <w:t>والتضييق</w:t>
      </w:r>
      <w:r w:rsidR="00603323" w:rsidRPr="00FD211F">
        <w:rPr>
          <w:sz w:val="36"/>
          <w:szCs w:val="36"/>
          <w:rtl/>
        </w:rPr>
        <w:t xml:space="preserve">، </w:t>
      </w:r>
      <w:r w:rsidRPr="00FD211F">
        <w:rPr>
          <w:sz w:val="36"/>
          <w:szCs w:val="36"/>
          <w:rtl/>
        </w:rPr>
        <w:t>فحينما وجد معنى الهيئ</w:t>
      </w:r>
      <w:r w:rsidR="00EC7EDF" w:rsidRPr="00FD211F">
        <w:rPr>
          <w:sz w:val="36"/>
          <w:szCs w:val="36"/>
          <w:rtl/>
        </w:rPr>
        <w:t xml:space="preserve">ة </w:t>
      </w:r>
      <w:r w:rsidRPr="00FD211F">
        <w:rPr>
          <w:sz w:val="36"/>
          <w:szCs w:val="36"/>
          <w:rtl/>
        </w:rPr>
        <w:t>وقلنا بكونه جزئيا حقيقيا فله حدود متشخص</w:t>
      </w:r>
      <w:r w:rsidR="00EC7EDF" w:rsidRPr="00FD211F">
        <w:rPr>
          <w:sz w:val="36"/>
          <w:szCs w:val="36"/>
          <w:rtl/>
        </w:rPr>
        <w:t xml:space="preserve">ة </w:t>
      </w:r>
      <w:r w:rsidRPr="00FD211F">
        <w:rPr>
          <w:sz w:val="36"/>
          <w:szCs w:val="36"/>
          <w:rtl/>
        </w:rPr>
        <w:t>معين</w:t>
      </w:r>
      <w:r w:rsidR="00EC7EDF" w:rsidRPr="00FD211F">
        <w:rPr>
          <w:sz w:val="36"/>
          <w:szCs w:val="36"/>
          <w:rtl/>
        </w:rPr>
        <w:t xml:space="preserve">ة </w:t>
      </w:r>
      <w:r w:rsidRPr="00FD211F">
        <w:rPr>
          <w:sz w:val="36"/>
          <w:szCs w:val="36"/>
          <w:rtl/>
        </w:rPr>
        <w:t>غير قابل</w:t>
      </w:r>
      <w:r w:rsidR="00EC7EDF" w:rsidRPr="00FD211F">
        <w:rPr>
          <w:sz w:val="36"/>
          <w:szCs w:val="36"/>
          <w:rtl/>
        </w:rPr>
        <w:t xml:space="preserve">ة </w:t>
      </w:r>
      <w:r w:rsidRPr="00FD211F">
        <w:rPr>
          <w:sz w:val="36"/>
          <w:szCs w:val="36"/>
          <w:rtl/>
        </w:rPr>
        <w:t>لحدود مختلف</w:t>
      </w:r>
      <w:r w:rsidR="00EC7EDF" w:rsidRPr="00FD211F">
        <w:rPr>
          <w:sz w:val="36"/>
          <w:szCs w:val="36"/>
          <w:rtl/>
        </w:rPr>
        <w:t xml:space="preserve">ة </w:t>
      </w:r>
      <w:r w:rsidRPr="00FD211F">
        <w:rPr>
          <w:sz w:val="36"/>
          <w:szCs w:val="36"/>
          <w:rtl/>
        </w:rPr>
        <w:t>حتى يتضيق وجوده بحد خاص وحال</w:t>
      </w:r>
      <w:r w:rsidR="00EC7EDF" w:rsidRPr="00FD211F">
        <w:rPr>
          <w:sz w:val="36"/>
          <w:szCs w:val="36"/>
          <w:rtl/>
        </w:rPr>
        <w:t xml:space="preserve">ة </w:t>
      </w:r>
      <w:r w:rsidRPr="00FD211F">
        <w:rPr>
          <w:sz w:val="36"/>
          <w:szCs w:val="36"/>
          <w:rtl/>
        </w:rPr>
        <w:t>مخصوص</w:t>
      </w:r>
      <w:r w:rsidR="00EC7EDF" w:rsidRPr="00FD211F">
        <w:rPr>
          <w:sz w:val="36"/>
          <w:szCs w:val="36"/>
          <w:rtl/>
        </w:rPr>
        <w:t>ة</w:t>
      </w:r>
      <w:r w:rsidR="00603323" w:rsidRPr="00FD211F">
        <w:rPr>
          <w:sz w:val="36"/>
          <w:szCs w:val="36"/>
          <w:rtl/>
        </w:rPr>
        <w:t xml:space="preserve">، </w:t>
      </w:r>
      <w:r w:rsidRPr="00FD211F">
        <w:rPr>
          <w:sz w:val="36"/>
          <w:szCs w:val="36"/>
          <w:rtl/>
        </w:rPr>
        <w:t>والمفروض انه في المقام لايراد اثبات حكم آخر على معنى الهيئ</w:t>
      </w:r>
      <w:r w:rsidR="00EC7EDF" w:rsidRPr="00FD211F">
        <w:rPr>
          <w:sz w:val="36"/>
          <w:szCs w:val="36"/>
          <w:rtl/>
        </w:rPr>
        <w:t xml:space="preserve">ة </w:t>
      </w:r>
      <w:r w:rsidRPr="00FD211F">
        <w:rPr>
          <w:sz w:val="36"/>
          <w:szCs w:val="36"/>
          <w:rtl/>
        </w:rPr>
        <w:t>بل يراد تقييد وجوده بحال</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بعد صيرورته موجودا وجزئيا حقيقيا وهذا غير معقول</w:t>
      </w:r>
      <w:r w:rsidR="009C58C8" w:rsidRPr="00FD211F">
        <w:rPr>
          <w:rStyle w:val="a6"/>
          <w:sz w:val="36"/>
          <w:szCs w:val="36"/>
          <w:rtl/>
        </w:rPr>
        <w:t>(</w:t>
      </w:r>
      <w:r w:rsidR="009C58C8" w:rsidRPr="00FD211F">
        <w:rPr>
          <w:rStyle w:val="a6"/>
          <w:sz w:val="36"/>
          <w:szCs w:val="36"/>
          <w:rtl/>
        </w:rPr>
        <w:footnoteReference w:id="264"/>
      </w:r>
      <w:r w:rsidR="009C58C8" w:rsidRPr="00FD211F">
        <w:rPr>
          <w:rStyle w:val="a6"/>
          <w:sz w:val="36"/>
          <w:szCs w:val="36"/>
          <w:rtl/>
        </w:rPr>
        <w:t>)</w:t>
      </w:r>
      <w:r w:rsidRPr="00FD211F">
        <w:rPr>
          <w:sz w:val="36"/>
          <w:szCs w:val="36"/>
          <w:rtl/>
        </w:rPr>
        <w:t>.</w:t>
      </w:r>
      <w:r w:rsidR="00B253CE" w:rsidRPr="00FD211F">
        <w:rPr>
          <w:sz w:val="36"/>
          <w:szCs w:val="36"/>
          <w:rtl/>
        </w:rPr>
        <w:t xml:space="preserve"> </w:t>
      </w:r>
    </w:p>
    <w:p w14:paraId="6A7225F3" w14:textId="77777777" w:rsidR="000C5BBA" w:rsidRPr="00FD211F" w:rsidRDefault="00610EE9" w:rsidP="009C58C8">
      <w:pPr>
        <w:ind w:left="0" w:firstLine="227"/>
        <w:jc w:val="both"/>
        <w:rPr>
          <w:sz w:val="36"/>
          <w:szCs w:val="36"/>
          <w:rtl/>
        </w:rPr>
      </w:pPr>
      <w:r w:rsidRPr="00FD211F">
        <w:rPr>
          <w:sz w:val="36"/>
          <w:szCs w:val="36"/>
          <w:rtl/>
        </w:rPr>
        <w:t>ويمكن ان يجاب عن هذا الايراد بان المستحيل هو ان يوجد الجزئي والفرد من الأول بشكل مطلق اي لايتقيد وجوده بحال</w:t>
      </w:r>
      <w:r w:rsidR="00EC7EDF" w:rsidRPr="00FD211F">
        <w:rPr>
          <w:sz w:val="36"/>
          <w:szCs w:val="36"/>
          <w:rtl/>
        </w:rPr>
        <w:t xml:space="preserve">ة </w:t>
      </w:r>
      <w:r w:rsidRPr="00FD211F">
        <w:rPr>
          <w:sz w:val="36"/>
          <w:szCs w:val="36"/>
          <w:rtl/>
        </w:rPr>
        <w:t>خاص</w:t>
      </w:r>
      <w:r w:rsidR="00EC7EDF" w:rsidRPr="00FD211F">
        <w:rPr>
          <w:sz w:val="36"/>
          <w:szCs w:val="36"/>
          <w:rtl/>
        </w:rPr>
        <w:t>ة</w:t>
      </w:r>
      <w:r w:rsidR="00603323" w:rsidRPr="00FD211F">
        <w:rPr>
          <w:sz w:val="36"/>
          <w:szCs w:val="36"/>
          <w:rtl/>
        </w:rPr>
        <w:t xml:space="preserve">، </w:t>
      </w:r>
      <w:r w:rsidRPr="00FD211F">
        <w:rPr>
          <w:sz w:val="36"/>
          <w:szCs w:val="36"/>
          <w:rtl/>
        </w:rPr>
        <w:t>ثم يقيد وجوده بتلك الحال</w:t>
      </w:r>
      <w:r w:rsidR="00EC7EDF" w:rsidRPr="00FD211F">
        <w:rPr>
          <w:sz w:val="36"/>
          <w:szCs w:val="36"/>
          <w:rtl/>
        </w:rPr>
        <w:t>ة</w:t>
      </w:r>
      <w:r w:rsidR="00603323" w:rsidRPr="00FD211F">
        <w:rPr>
          <w:sz w:val="36"/>
          <w:szCs w:val="36"/>
          <w:rtl/>
        </w:rPr>
        <w:t xml:space="preserve">، </w:t>
      </w:r>
      <w:r w:rsidRPr="00FD211F">
        <w:rPr>
          <w:sz w:val="36"/>
          <w:szCs w:val="36"/>
          <w:rtl/>
        </w:rPr>
        <w:t>بحيث لايكون له وجود في غير تلك الحال</w:t>
      </w:r>
      <w:r w:rsidR="00EC7EDF" w:rsidRPr="00FD211F">
        <w:rPr>
          <w:sz w:val="36"/>
          <w:szCs w:val="36"/>
          <w:rtl/>
        </w:rPr>
        <w:t>ة</w:t>
      </w:r>
      <w:r w:rsidR="00603323" w:rsidRPr="00FD211F">
        <w:rPr>
          <w:sz w:val="36"/>
          <w:szCs w:val="36"/>
          <w:rtl/>
        </w:rPr>
        <w:t xml:space="preserve">، </w:t>
      </w:r>
      <w:r w:rsidRPr="00FD211F">
        <w:rPr>
          <w:sz w:val="36"/>
          <w:szCs w:val="36"/>
          <w:rtl/>
        </w:rPr>
        <w:t>ولكن لامحذور في ان يوجد من الاول الجزئي متقيدا بحال</w:t>
      </w:r>
      <w:r w:rsidR="00EC7EDF" w:rsidRPr="00FD211F">
        <w:rPr>
          <w:sz w:val="36"/>
          <w:szCs w:val="36"/>
          <w:rtl/>
        </w:rPr>
        <w:t xml:space="preserve">ة </w:t>
      </w:r>
      <w:r w:rsidRPr="00FD211F">
        <w:rPr>
          <w:sz w:val="36"/>
          <w:szCs w:val="36"/>
          <w:rtl/>
        </w:rPr>
        <w:t>خاص</w:t>
      </w:r>
      <w:r w:rsidR="00EC7EDF" w:rsidRPr="00FD211F">
        <w:rPr>
          <w:sz w:val="36"/>
          <w:szCs w:val="36"/>
          <w:rtl/>
        </w:rPr>
        <w:t>ة</w:t>
      </w:r>
      <w:r w:rsidR="00A61BAE" w:rsidRPr="00FD211F">
        <w:rPr>
          <w:sz w:val="36"/>
          <w:szCs w:val="36"/>
          <w:rtl/>
        </w:rPr>
        <w:t>.</w:t>
      </w:r>
      <w:r w:rsidR="00D06033" w:rsidRPr="00FD211F">
        <w:rPr>
          <w:sz w:val="36"/>
          <w:szCs w:val="36"/>
          <w:rtl/>
        </w:rPr>
        <w:t xml:space="preserve"> </w:t>
      </w:r>
    </w:p>
    <w:p w14:paraId="3826CF1E" w14:textId="77777777" w:rsidR="000C5BBA" w:rsidRPr="00FD211F" w:rsidRDefault="00D06033" w:rsidP="005946E3">
      <w:pPr>
        <w:ind w:left="0" w:firstLine="227"/>
        <w:jc w:val="both"/>
        <w:rPr>
          <w:sz w:val="36"/>
          <w:szCs w:val="36"/>
          <w:rtl/>
        </w:rPr>
      </w:pPr>
      <w:r w:rsidRPr="00FD211F">
        <w:rPr>
          <w:sz w:val="36"/>
          <w:szCs w:val="36"/>
          <w:rtl/>
        </w:rPr>
        <w:t xml:space="preserve">6 </w:t>
      </w:r>
      <w:r w:rsidR="00610EE9" w:rsidRPr="00FD211F">
        <w:rPr>
          <w:sz w:val="36"/>
          <w:szCs w:val="36"/>
          <w:rtl/>
        </w:rPr>
        <w:t>- ما ذكره المحقق الاصفهاني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00610EE9" w:rsidRPr="00FD211F">
        <w:rPr>
          <w:sz w:val="36"/>
          <w:szCs w:val="36"/>
          <w:rtl/>
        </w:rPr>
        <w:t>من ان المعنى الحرفي ليس جزئيا حقيقيا</w:t>
      </w:r>
      <w:r w:rsidR="00603323" w:rsidRPr="00FD211F">
        <w:rPr>
          <w:sz w:val="36"/>
          <w:szCs w:val="36"/>
          <w:rtl/>
        </w:rPr>
        <w:t xml:space="preserve">، </w:t>
      </w:r>
      <w:r w:rsidR="00610EE9" w:rsidRPr="00FD211F">
        <w:rPr>
          <w:sz w:val="36"/>
          <w:szCs w:val="36"/>
          <w:rtl/>
        </w:rPr>
        <w:t>بل جزئيته بلحاظ كونه متقوما بطرفيه</w:t>
      </w:r>
      <w:r w:rsidR="00603323" w:rsidRPr="00FD211F">
        <w:rPr>
          <w:sz w:val="36"/>
          <w:szCs w:val="36"/>
          <w:rtl/>
        </w:rPr>
        <w:t xml:space="preserve">، </w:t>
      </w:r>
      <w:r w:rsidR="00610EE9" w:rsidRPr="00FD211F">
        <w:rPr>
          <w:sz w:val="36"/>
          <w:szCs w:val="36"/>
          <w:rtl/>
        </w:rPr>
        <w:t>فجزئي</w:t>
      </w:r>
      <w:r w:rsidR="00EC7EDF" w:rsidRPr="00FD211F">
        <w:rPr>
          <w:sz w:val="36"/>
          <w:szCs w:val="36"/>
          <w:rtl/>
        </w:rPr>
        <w:t xml:space="preserve">ة </w:t>
      </w:r>
      <w:r w:rsidR="00610EE9" w:rsidRPr="00FD211F">
        <w:rPr>
          <w:sz w:val="36"/>
          <w:szCs w:val="36"/>
          <w:rtl/>
        </w:rPr>
        <w:t>"من" في قولنا "السير من البصر</w:t>
      </w:r>
      <w:r w:rsidR="00EC7EDF" w:rsidRPr="00FD211F">
        <w:rPr>
          <w:sz w:val="36"/>
          <w:szCs w:val="36"/>
          <w:rtl/>
        </w:rPr>
        <w:t xml:space="preserve">ة </w:t>
      </w:r>
      <w:r w:rsidR="00610EE9" w:rsidRPr="00FD211F">
        <w:rPr>
          <w:sz w:val="36"/>
          <w:szCs w:val="36"/>
          <w:rtl/>
        </w:rPr>
        <w:t>" انما هي لأجل تعلقها بالسير والبصر</w:t>
      </w:r>
      <w:r w:rsidR="00EC7EDF" w:rsidRPr="00FD211F">
        <w:rPr>
          <w:sz w:val="36"/>
          <w:szCs w:val="36"/>
          <w:rtl/>
        </w:rPr>
        <w:t xml:space="preserve">ة </w:t>
      </w:r>
      <w:r w:rsidR="00610EE9" w:rsidRPr="00FD211F">
        <w:rPr>
          <w:sz w:val="36"/>
          <w:szCs w:val="36"/>
          <w:rtl/>
        </w:rPr>
        <w:t>فحسب</w:t>
      </w:r>
      <w:r w:rsidR="00603323" w:rsidRPr="00FD211F">
        <w:rPr>
          <w:sz w:val="36"/>
          <w:szCs w:val="36"/>
          <w:rtl/>
        </w:rPr>
        <w:t xml:space="preserve">، </w:t>
      </w:r>
      <w:r w:rsidR="00610EE9" w:rsidRPr="00FD211F">
        <w:rPr>
          <w:sz w:val="36"/>
          <w:szCs w:val="36"/>
          <w:rtl/>
        </w:rPr>
        <w:t>وكذا جزئي</w:t>
      </w:r>
      <w:r w:rsidR="00EC7EDF" w:rsidRPr="00FD211F">
        <w:rPr>
          <w:sz w:val="36"/>
          <w:szCs w:val="36"/>
          <w:rtl/>
        </w:rPr>
        <w:t xml:space="preserve">ة </w:t>
      </w:r>
      <w:r w:rsidR="00610EE9" w:rsidRPr="00FD211F">
        <w:rPr>
          <w:sz w:val="36"/>
          <w:szCs w:val="36"/>
          <w:rtl/>
        </w:rPr>
        <w:t>النسب</w:t>
      </w:r>
      <w:r w:rsidR="00EC7EDF" w:rsidRPr="00FD211F">
        <w:rPr>
          <w:sz w:val="36"/>
          <w:szCs w:val="36"/>
          <w:rtl/>
        </w:rPr>
        <w:t xml:space="preserve">ة </w:t>
      </w:r>
      <w:r w:rsidR="00610EE9" w:rsidRPr="00FD211F">
        <w:rPr>
          <w:sz w:val="36"/>
          <w:szCs w:val="36"/>
          <w:rtl/>
        </w:rPr>
        <w:t>البعثي</w:t>
      </w:r>
      <w:r w:rsidR="00EC7EDF" w:rsidRPr="00FD211F">
        <w:rPr>
          <w:sz w:val="36"/>
          <w:szCs w:val="36"/>
          <w:rtl/>
        </w:rPr>
        <w:t xml:space="preserve">ة </w:t>
      </w:r>
      <w:r w:rsidR="00610EE9" w:rsidRPr="00FD211F">
        <w:rPr>
          <w:sz w:val="36"/>
          <w:szCs w:val="36"/>
          <w:rtl/>
        </w:rPr>
        <w:t>تكون لأجل كونها متقوم</w:t>
      </w:r>
      <w:r w:rsidR="00EC7EDF" w:rsidRPr="00FD211F">
        <w:rPr>
          <w:sz w:val="36"/>
          <w:szCs w:val="36"/>
          <w:rtl/>
        </w:rPr>
        <w:t xml:space="preserve">ة </w:t>
      </w:r>
      <w:r w:rsidR="00610EE9" w:rsidRPr="00FD211F">
        <w:rPr>
          <w:sz w:val="36"/>
          <w:szCs w:val="36"/>
          <w:rtl/>
        </w:rPr>
        <w:t>بطرفيها اي المبعوث والمبعوث اليه</w:t>
      </w:r>
      <w:r w:rsidR="00603323" w:rsidRPr="00FD211F">
        <w:rPr>
          <w:sz w:val="36"/>
          <w:szCs w:val="36"/>
          <w:rtl/>
        </w:rPr>
        <w:t xml:space="preserve">، </w:t>
      </w:r>
      <w:r w:rsidR="00610EE9" w:rsidRPr="00FD211F">
        <w:rPr>
          <w:sz w:val="36"/>
          <w:szCs w:val="36"/>
          <w:rtl/>
        </w:rPr>
        <w:t>فانه اذا تصور المتصور مفهوم جمل</w:t>
      </w:r>
      <w:r w:rsidR="00EC7EDF" w:rsidRPr="00FD211F">
        <w:rPr>
          <w:sz w:val="36"/>
          <w:szCs w:val="36"/>
          <w:rtl/>
        </w:rPr>
        <w:t>ة</w:t>
      </w:r>
      <w:r w:rsidR="00553E62" w:rsidRPr="00FD211F">
        <w:rPr>
          <w:sz w:val="36"/>
          <w:szCs w:val="36"/>
          <w:rtl/>
        </w:rPr>
        <w:t>"</w:t>
      </w:r>
      <w:r w:rsidR="00EC7EDF" w:rsidRPr="00FD211F">
        <w:rPr>
          <w:sz w:val="36"/>
          <w:szCs w:val="36"/>
          <w:rtl/>
        </w:rPr>
        <w:t xml:space="preserve"> </w:t>
      </w:r>
      <w:r w:rsidR="00610EE9" w:rsidRPr="00FD211F">
        <w:rPr>
          <w:sz w:val="36"/>
          <w:szCs w:val="36"/>
          <w:rtl/>
        </w:rPr>
        <w:t>اكرم زيدا</w:t>
      </w:r>
      <w:r w:rsidR="00553E62" w:rsidRPr="00FD211F">
        <w:rPr>
          <w:sz w:val="36"/>
          <w:szCs w:val="36"/>
          <w:rtl/>
        </w:rPr>
        <w:t>"</w:t>
      </w:r>
      <w:r w:rsidR="00610EE9" w:rsidRPr="00FD211F">
        <w:rPr>
          <w:sz w:val="36"/>
          <w:szCs w:val="36"/>
          <w:rtl/>
        </w:rPr>
        <w:t xml:space="preserve"> فقد تحققت النسب</w:t>
      </w:r>
      <w:r w:rsidR="00EC7EDF" w:rsidRPr="00FD211F">
        <w:rPr>
          <w:sz w:val="36"/>
          <w:szCs w:val="36"/>
          <w:rtl/>
        </w:rPr>
        <w:t xml:space="preserve">ة </w:t>
      </w:r>
      <w:r w:rsidR="00610EE9" w:rsidRPr="00FD211F">
        <w:rPr>
          <w:sz w:val="36"/>
          <w:szCs w:val="36"/>
          <w:rtl/>
        </w:rPr>
        <w:t>البعثي</w:t>
      </w:r>
      <w:r w:rsidR="00EC7EDF" w:rsidRPr="00FD211F">
        <w:rPr>
          <w:sz w:val="36"/>
          <w:szCs w:val="36"/>
          <w:rtl/>
        </w:rPr>
        <w:t xml:space="preserve">ة </w:t>
      </w:r>
      <w:r w:rsidR="00610EE9" w:rsidRPr="00FD211F">
        <w:rPr>
          <w:sz w:val="36"/>
          <w:szCs w:val="36"/>
          <w:rtl/>
        </w:rPr>
        <w:t>في ذهنه بما لها من طرفيها اي الماد</w:t>
      </w:r>
      <w:r w:rsidR="00EC7EDF" w:rsidRPr="00FD211F">
        <w:rPr>
          <w:sz w:val="36"/>
          <w:szCs w:val="36"/>
          <w:rtl/>
        </w:rPr>
        <w:t xml:space="preserve">ة </w:t>
      </w:r>
      <w:r w:rsidR="00610EE9" w:rsidRPr="00FD211F">
        <w:rPr>
          <w:sz w:val="36"/>
          <w:szCs w:val="36"/>
          <w:rtl/>
        </w:rPr>
        <w:t>والمخاطب</w:t>
      </w:r>
      <w:r w:rsidR="00603323" w:rsidRPr="00FD211F">
        <w:rPr>
          <w:sz w:val="36"/>
          <w:szCs w:val="36"/>
          <w:rtl/>
        </w:rPr>
        <w:t xml:space="preserve">، </w:t>
      </w:r>
      <w:r w:rsidR="00610EE9" w:rsidRPr="00FD211F">
        <w:rPr>
          <w:sz w:val="36"/>
          <w:szCs w:val="36"/>
          <w:rtl/>
        </w:rPr>
        <w:t>وحينئذ فقد تم ذاتها بعد الاحتفاظ على خصوصي</w:t>
      </w:r>
      <w:r w:rsidR="00EC7EDF" w:rsidRPr="00FD211F">
        <w:rPr>
          <w:sz w:val="36"/>
          <w:szCs w:val="36"/>
          <w:rtl/>
        </w:rPr>
        <w:t xml:space="preserve">ة </w:t>
      </w:r>
      <w:r w:rsidR="00610EE9" w:rsidRPr="00FD211F">
        <w:rPr>
          <w:sz w:val="36"/>
          <w:szCs w:val="36"/>
          <w:rtl/>
        </w:rPr>
        <w:t>الوجود الذهني لطرفيه والمعنى الحرفي بعد الاحتفاظ على اطرافها يتحقق له ذات ويكون بحكم المفهوم الاسمي المستقل في امكان تقييده بقيد آخر</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265"/>
      </w:r>
      <w:r w:rsidR="00C17D0B" w:rsidRPr="00FD211F">
        <w:rPr>
          <w:rStyle w:val="a6"/>
          <w:sz w:val="36"/>
          <w:szCs w:val="36"/>
          <w:rtl/>
        </w:rPr>
        <w:t>)</w:t>
      </w:r>
      <w:r w:rsidR="00610EE9" w:rsidRPr="00FD211F">
        <w:rPr>
          <w:sz w:val="36"/>
          <w:szCs w:val="36"/>
          <w:rtl/>
        </w:rPr>
        <w:t xml:space="preserve"> ولابأس بما افاده.</w:t>
      </w:r>
      <w:r w:rsidR="00B253CE" w:rsidRPr="00FD211F">
        <w:rPr>
          <w:sz w:val="36"/>
          <w:szCs w:val="36"/>
          <w:rtl/>
        </w:rPr>
        <w:t xml:space="preserve"> </w:t>
      </w:r>
    </w:p>
    <w:p w14:paraId="43E484B2" w14:textId="77777777" w:rsidR="000C5BBA" w:rsidRPr="00FD211F" w:rsidRDefault="00D06033" w:rsidP="009C58C8">
      <w:pPr>
        <w:ind w:left="0" w:firstLine="227"/>
        <w:jc w:val="both"/>
        <w:rPr>
          <w:sz w:val="36"/>
          <w:szCs w:val="36"/>
          <w:rtl/>
        </w:rPr>
      </w:pPr>
      <w:r w:rsidRPr="00FD211F">
        <w:rPr>
          <w:sz w:val="36"/>
          <w:szCs w:val="36"/>
          <w:rtl/>
        </w:rPr>
        <w:t>7</w:t>
      </w:r>
      <w:r w:rsidR="00610EE9" w:rsidRPr="00FD211F">
        <w:rPr>
          <w:sz w:val="36"/>
          <w:szCs w:val="36"/>
          <w:rtl/>
        </w:rPr>
        <w:t>- ما ذكره جماع</w:t>
      </w:r>
      <w:r w:rsidR="00EC7EDF" w:rsidRPr="00FD211F">
        <w:rPr>
          <w:sz w:val="36"/>
          <w:szCs w:val="36"/>
          <w:rtl/>
        </w:rPr>
        <w:t xml:space="preserve">ة </w:t>
      </w:r>
      <w:r w:rsidR="00BC7BD7" w:rsidRPr="00FD211F">
        <w:rPr>
          <w:sz w:val="36"/>
          <w:szCs w:val="36"/>
          <w:rtl/>
        </w:rPr>
        <w:t>-</w:t>
      </w:r>
      <w:r w:rsidR="00610EE9" w:rsidRPr="00FD211F">
        <w:rPr>
          <w:sz w:val="36"/>
          <w:szCs w:val="36"/>
          <w:rtl/>
        </w:rPr>
        <w:t xml:space="preserve"> منهم المحقق الاصفهاني والسيد الخوئي وشيخنا الاستاذ</w:t>
      </w:r>
      <w:r w:rsidR="00BC7BD7" w:rsidRPr="00FD211F">
        <w:rPr>
          <w:sz w:val="36"/>
          <w:szCs w:val="36"/>
          <w:rtl/>
        </w:rPr>
        <w:t>"</w:t>
      </w:r>
      <w:r w:rsidR="00610EE9" w:rsidRPr="00FD211F">
        <w:rPr>
          <w:sz w:val="36"/>
          <w:szCs w:val="36"/>
          <w:rtl/>
        </w:rPr>
        <w:t xml:space="preserve"> قدهم</w:t>
      </w:r>
      <w:r w:rsidR="00BC7BD7" w:rsidRPr="00FD211F">
        <w:rPr>
          <w:sz w:val="36"/>
          <w:szCs w:val="36"/>
          <w:rtl/>
        </w:rPr>
        <w:t>"-</w:t>
      </w:r>
      <w:r w:rsidR="00610EE9" w:rsidRPr="00FD211F">
        <w:rPr>
          <w:sz w:val="36"/>
          <w:szCs w:val="36"/>
          <w:rtl/>
        </w:rPr>
        <w:t xml:space="preserve"> من ان المعنى الحرفي ولو قلنا بكونه جزئيا حقيقيا لكنه يقبل التعليق فيمكن ان يعلق وجوده على وجود الشرط</w:t>
      </w:r>
      <w:r w:rsidR="00603323" w:rsidRPr="00FD211F">
        <w:rPr>
          <w:sz w:val="36"/>
          <w:szCs w:val="36"/>
          <w:rtl/>
        </w:rPr>
        <w:t xml:space="preserve">، </w:t>
      </w:r>
      <w:r w:rsidR="00610EE9" w:rsidRPr="00FD211F">
        <w:rPr>
          <w:sz w:val="36"/>
          <w:szCs w:val="36"/>
          <w:rtl/>
        </w:rPr>
        <w:t>وهذا لاينافي ان يمتنع تقييده وتضييقه لاجل ان التقييد والتضييق انما يعرض على المفهوم الكلي</w:t>
      </w:r>
      <w:r w:rsidR="009C58C8" w:rsidRPr="00FD211F">
        <w:rPr>
          <w:rStyle w:val="a6"/>
          <w:sz w:val="36"/>
          <w:szCs w:val="36"/>
          <w:rtl/>
        </w:rPr>
        <w:t>(</w:t>
      </w:r>
      <w:r w:rsidR="009C58C8" w:rsidRPr="00FD211F">
        <w:rPr>
          <w:rStyle w:val="a6"/>
          <w:sz w:val="36"/>
          <w:szCs w:val="36"/>
          <w:rtl/>
        </w:rPr>
        <w:footnoteReference w:id="266"/>
      </w:r>
      <w:r w:rsidR="009C58C8" w:rsidRPr="00FD211F">
        <w:rPr>
          <w:rStyle w:val="a6"/>
          <w:sz w:val="36"/>
          <w:szCs w:val="36"/>
          <w:rtl/>
        </w:rPr>
        <w:t>)</w:t>
      </w:r>
      <w:r w:rsidR="00610EE9" w:rsidRPr="00FD211F">
        <w:rPr>
          <w:sz w:val="36"/>
          <w:szCs w:val="36"/>
          <w:rtl/>
        </w:rPr>
        <w:t>.</w:t>
      </w:r>
      <w:r w:rsidR="00B253CE" w:rsidRPr="00FD211F">
        <w:rPr>
          <w:sz w:val="36"/>
          <w:szCs w:val="36"/>
          <w:rtl/>
        </w:rPr>
        <w:t xml:space="preserve"> </w:t>
      </w:r>
    </w:p>
    <w:p w14:paraId="30C36F7D" w14:textId="77777777" w:rsidR="00610EE9" w:rsidRPr="00FD211F" w:rsidRDefault="00610EE9" w:rsidP="009C58C8">
      <w:pPr>
        <w:ind w:left="0" w:firstLine="227"/>
        <w:jc w:val="both"/>
        <w:rPr>
          <w:sz w:val="36"/>
          <w:szCs w:val="36"/>
          <w:rtl/>
        </w:rPr>
      </w:pPr>
      <w:r w:rsidRPr="00FD211F">
        <w:rPr>
          <w:sz w:val="36"/>
          <w:szCs w:val="36"/>
          <w:rtl/>
        </w:rPr>
        <w:t>وفيه انه ان سلمنا كون المعنى الحرفي جزئيا حقيقيا فيعني ذلك تشخصه من حيث سنخ وجوده المترشح من علته المعين</w:t>
      </w:r>
      <w:r w:rsidR="00EC7EDF" w:rsidRPr="00FD211F">
        <w:rPr>
          <w:sz w:val="36"/>
          <w:szCs w:val="36"/>
          <w:rtl/>
        </w:rPr>
        <w:t>ة</w:t>
      </w:r>
      <w:r w:rsidR="00603323" w:rsidRPr="00FD211F">
        <w:rPr>
          <w:sz w:val="36"/>
          <w:szCs w:val="36"/>
          <w:rtl/>
        </w:rPr>
        <w:t xml:space="preserve">، </w:t>
      </w:r>
      <w:r w:rsidRPr="00FD211F">
        <w:rPr>
          <w:sz w:val="36"/>
          <w:szCs w:val="36"/>
          <w:rtl/>
        </w:rPr>
        <w:t>والا فلايصير جزئيا حقيقيا</w:t>
      </w:r>
      <w:r w:rsidR="00603323" w:rsidRPr="00FD211F">
        <w:rPr>
          <w:sz w:val="36"/>
          <w:szCs w:val="36"/>
          <w:rtl/>
        </w:rPr>
        <w:t xml:space="preserve">، </w:t>
      </w:r>
      <w:r w:rsidRPr="00FD211F">
        <w:rPr>
          <w:sz w:val="36"/>
          <w:szCs w:val="36"/>
          <w:rtl/>
        </w:rPr>
        <w:t>فكيف يطرأ عليه التعليق الذي هو بمعنى تقييد وجوده بصدوره عن بعضها اي الشرط المذكور في الخطاب</w:t>
      </w:r>
      <w:r w:rsidR="00603323" w:rsidRPr="00FD211F">
        <w:rPr>
          <w:sz w:val="36"/>
          <w:szCs w:val="36"/>
          <w:rtl/>
        </w:rPr>
        <w:t xml:space="preserve">، </w:t>
      </w:r>
      <w:r w:rsidRPr="00FD211F">
        <w:rPr>
          <w:sz w:val="36"/>
          <w:szCs w:val="36"/>
          <w:rtl/>
        </w:rPr>
        <w:t>فالمهم في الجواب انكار جزئيته الحقيقي</w:t>
      </w:r>
      <w:r w:rsidR="00EC7EDF" w:rsidRPr="00FD211F">
        <w:rPr>
          <w:sz w:val="36"/>
          <w:szCs w:val="36"/>
          <w:rtl/>
        </w:rPr>
        <w:t>ة</w:t>
      </w:r>
      <w:r w:rsidR="00603323" w:rsidRPr="00FD211F">
        <w:rPr>
          <w:sz w:val="36"/>
          <w:szCs w:val="36"/>
          <w:rtl/>
        </w:rPr>
        <w:t xml:space="preserve">، </w:t>
      </w:r>
      <w:r w:rsidRPr="00FD211F">
        <w:rPr>
          <w:sz w:val="36"/>
          <w:szCs w:val="36"/>
          <w:rtl/>
        </w:rPr>
        <w:t>ويترتب على ذلك انه لامانع من تقييد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التي تدل عليها الجمل</w:t>
      </w:r>
      <w:r w:rsidR="00EC7EDF" w:rsidRPr="00FD211F">
        <w:rPr>
          <w:sz w:val="36"/>
          <w:szCs w:val="36"/>
          <w:rtl/>
        </w:rPr>
        <w:t xml:space="preserve">ة </w:t>
      </w:r>
      <w:r w:rsidRPr="00FD211F">
        <w:rPr>
          <w:sz w:val="36"/>
          <w:szCs w:val="36"/>
          <w:rtl/>
        </w:rPr>
        <w:t>كقولنا "هذا الخشب رماد غدا" كما لامانع من ان يقال "هذا الخشب رماد ان احترق بالنار"</w:t>
      </w:r>
      <w:r w:rsidR="00603323" w:rsidRPr="00FD211F">
        <w:rPr>
          <w:sz w:val="36"/>
          <w:szCs w:val="36"/>
          <w:rtl/>
        </w:rPr>
        <w:t xml:space="preserve">، </w:t>
      </w:r>
      <w:r w:rsidRPr="00FD211F">
        <w:rPr>
          <w:sz w:val="36"/>
          <w:szCs w:val="36"/>
          <w:rtl/>
        </w:rPr>
        <w:t>فالالتزام بامكان تعليق المعنى الحرفي دون تقييده غير متجه.</w:t>
      </w:r>
    </w:p>
    <w:p w14:paraId="5498EB8C" w14:textId="77777777" w:rsidR="000C5BBA" w:rsidRPr="00FD211F" w:rsidRDefault="0097558B" w:rsidP="005946E3">
      <w:pPr>
        <w:ind w:left="0" w:firstLine="227"/>
        <w:jc w:val="both"/>
        <w:rPr>
          <w:sz w:val="36"/>
          <w:szCs w:val="36"/>
          <w:rtl/>
        </w:rPr>
      </w:pPr>
      <w:r w:rsidRPr="00FD211F">
        <w:rPr>
          <w:sz w:val="36"/>
          <w:szCs w:val="36"/>
          <w:rtl/>
        </w:rPr>
        <w:t>ولكن يمكن ان يجاب عن هذا الايراد بانه لو كان مفاد الجزاء امرا اعتباريا فالأمر الاعتباري قابل للإيجاد التعليقي</w:t>
      </w:r>
      <w:r w:rsidR="00603323" w:rsidRPr="00FD211F">
        <w:rPr>
          <w:sz w:val="36"/>
          <w:szCs w:val="36"/>
          <w:rtl/>
        </w:rPr>
        <w:t xml:space="preserve">، </w:t>
      </w:r>
      <w:r w:rsidRPr="00FD211F">
        <w:rPr>
          <w:sz w:val="36"/>
          <w:szCs w:val="36"/>
          <w:rtl/>
        </w:rPr>
        <w:t>وحينئذ فحين ما يقول المولى</w:t>
      </w:r>
      <w:r w:rsidR="00553E62" w:rsidRPr="00FD211F">
        <w:rPr>
          <w:sz w:val="36"/>
          <w:szCs w:val="36"/>
          <w:rtl/>
        </w:rPr>
        <w:t>" ان استطعت فلله عليك الحج"</w:t>
      </w:r>
      <w:r w:rsidRPr="00FD211F">
        <w:rPr>
          <w:sz w:val="36"/>
          <w:szCs w:val="36"/>
          <w:rtl/>
        </w:rPr>
        <w:t>فما هو المعلق ليس وجود المعنى الحرفي ذهنا بل وجوده الاعتباري الذي يسمى بالمعتبر بالعرض ويكون هو الملحو</w:t>
      </w:r>
      <w:r w:rsidR="00BC7BD7" w:rsidRPr="00FD211F">
        <w:rPr>
          <w:sz w:val="36"/>
          <w:szCs w:val="36"/>
          <w:rtl/>
        </w:rPr>
        <w:t>ظ في مقام الإنشاء بالنظر</w:t>
      </w:r>
      <w:r w:rsidRPr="00FD211F">
        <w:rPr>
          <w:sz w:val="36"/>
          <w:szCs w:val="36"/>
          <w:rtl/>
        </w:rPr>
        <w:t xml:space="preserve"> العرفي</w:t>
      </w:r>
      <w:r w:rsidR="00603323" w:rsidRPr="00FD211F">
        <w:rPr>
          <w:sz w:val="36"/>
          <w:szCs w:val="36"/>
          <w:rtl/>
        </w:rPr>
        <w:t xml:space="preserve">، </w:t>
      </w:r>
      <w:r w:rsidRPr="00FD211F">
        <w:rPr>
          <w:sz w:val="36"/>
          <w:szCs w:val="36"/>
          <w:rtl/>
        </w:rPr>
        <w:t>فكما يمكنه اعتبار وجوده بلاشرط كذلك يمكنه اعتبار وجوده بعد تحقق الشرط</w:t>
      </w:r>
      <w:r w:rsidR="00603323" w:rsidRPr="00FD211F">
        <w:rPr>
          <w:sz w:val="36"/>
          <w:szCs w:val="36"/>
          <w:rtl/>
        </w:rPr>
        <w:t xml:space="preserve">، </w:t>
      </w:r>
      <w:r w:rsidRPr="00FD211F">
        <w:rPr>
          <w:sz w:val="36"/>
          <w:szCs w:val="36"/>
          <w:rtl/>
        </w:rPr>
        <w:t>اذ كيفي</w:t>
      </w:r>
      <w:r w:rsidR="00EC7EDF" w:rsidRPr="00FD211F">
        <w:rPr>
          <w:sz w:val="36"/>
          <w:szCs w:val="36"/>
          <w:rtl/>
        </w:rPr>
        <w:t xml:space="preserve">ة </w:t>
      </w:r>
      <w:r w:rsidRPr="00FD211F">
        <w:rPr>
          <w:sz w:val="36"/>
          <w:szCs w:val="36"/>
          <w:rtl/>
        </w:rPr>
        <w:t>الوجود الاعتباري تابع</w:t>
      </w:r>
      <w:r w:rsidR="00EC7EDF" w:rsidRPr="00FD211F">
        <w:rPr>
          <w:sz w:val="36"/>
          <w:szCs w:val="36"/>
          <w:rtl/>
        </w:rPr>
        <w:t xml:space="preserve">ة </w:t>
      </w:r>
      <w:r w:rsidRPr="00FD211F">
        <w:rPr>
          <w:sz w:val="36"/>
          <w:szCs w:val="36"/>
          <w:rtl/>
        </w:rPr>
        <w:t>لكيفي</w:t>
      </w:r>
      <w:r w:rsidR="00EC7EDF" w:rsidRPr="00FD211F">
        <w:rPr>
          <w:sz w:val="36"/>
          <w:szCs w:val="36"/>
          <w:rtl/>
        </w:rPr>
        <w:t xml:space="preserve">ة </w:t>
      </w:r>
      <w:r w:rsidRPr="00FD211F">
        <w:rPr>
          <w:sz w:val="36"/>
          <w:szCs w:val="36"/>
          <w:rtl/>
        </w:rPr>
        <w:t>الاعتبار</w:t>
      </w:r>
      <w:r w:rsidR="00603323" w:rsidRPr="00FD211F">
        <w:rPr>
          <w:sz w:val="36"/>
          <w:szCs w:val="36"/>
          <w:rtl/>
        </w:rPr>
        <w:t xml:space="preserve">، </w:t>
      </w:r>
      <w:r w:rsidRPr="00FD211F">
        <w:rPr>
          <w:sz w:val="36"/>
          <w:szCs w:val="36"/>
          <w:rtl/>
        </w:rPr>
        <w:t xml:space="preserve">فان معنى </w:t>
      </w:r>
      <w:r w:rsidR="001B3112" w:rsidRPr="00FD211F">
        <w:rPr>
          <w:sz w:val="36"/>
          <w:szCs w:val="36"/>
          <w:rtl/>
        </w:rPr>
        <w:t>الأمر</w:t>
      </w:r>
      <w:r w:rsidRPr="00FD211F">
        <w:rPr>
          <w:sz w:val="36"/>
          <w:szCs w:val="36"/>
          <w:rtl/>
        </w:rPr>
        <w:t xml:space="preserve"> لو كان اعتبار الفعل على ذم</w:t>
      </w:r>
      <w:r w:rsidR="00EC7EDF" w:rsidRPr="00FD211F">
        <w:rPr>
          <w:sz w:val="36"/>
          <w:szCs w:val="36"/>
          <w:rtl/>
        </w:rPr>
        <w:t xml:space="preserve">ة </w:t>
      </w:r>
      <w:r w:rsidRPr="00FD211F">
        <w:rPr>
          <w:sz w:val="36"/>
          <w:szCs w:val="36"/>
          <w:rtl/>
        </w:rPr>
        <w:t>المكلف ومعنى النهي اعتبار حرمان الشخص عن الفعل كما عليه السيد الخوئي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كان ا</w:t>
      </w:r>
      <w:r w:rsidR="00BC7BD7" w:rsidRPr="00FD211F">
        <w:rPr>
          <w:sz w:val="36"/>
          <w:szCs w:val="36"/>
          <w:rtl/>
        </w:rPr>
        <w:t>مرا اعتباريا وصح وجوده التعليقي.</w:t>
      </w:r>
    </w:p>
    <w:p w14:paraId="09912B3C" w14:textId="77777777" w:rsidR="000C5BBA" w:rsidRPr="00FD211F" w:rsidRDefault="0097558B" w:rsidP="009C58C8">
      <w:pPr>
        <w:ind w:left="0" w:firstLine="227"/>
        <w:jc w:val="both"/>
        <w:rPr>
          <w:sz w:val="36"/>
          <w:szCs w:val="36"/>
          <w:rtl/>
        </w:rPr>
      </w:pPr>
      <w:r w:rsidRPr="00FD211F">
        <w:rPr>
          <w:sz w:val="36"/>
          <w:szCs w:val="36"/>
          <w:rtl/>
        </w:rPr>
        <w:t xml:space="preserve">نعم يمكن ان يقال انه بناء على ان </w:t>
      </w:r>
      <w:r w:rsidR="001B3112" w:rsidRPr="00FD211F">
        <w:rPr>
          <w:sz w:val="36"/>
          <w:szCs w:val="36"/>
          <w:rtl/>
        </w:rPr>
        <w:t>الأمر</w:t>
      </w:r>
      <w:r w:rsidRPr="00FD211F">
        <w:rPr>
          <w:sz w:val="36"/>
          <w:szCs w:val="36"/>
          <w:rtl/>
        </w:rPr>
        <w:t xml:space="preserve"> والنهي عملي</w:t>
      </w:r>
      <w:r w:rsidR="00EC7EDF" w:rsidRPr="00FD211F">
        <w:rPr>
          <w:sz w:val="36"/>
          <w:szCs w:val="36"/>
          <w:rtl/>
        </w:rPr>
        <w:t xml:space="preserve">ة </w:t>
      </w:r>
      <w:r w:rsidRPr="00FD211F">
        <w:rPr>
          <w:sz w:val="36"/>
          <w:szCs w:val="36"/>
          <w:rtl/>
        </w:rPr>
        <w:t>تكويني</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يوجدها الشخص للتوصل الى مراده</w:t>
      </w:r>
      <w:r w:rsidR="00603323" w:rsidRPr="00FD211F">
        <w:rPr>
          <w:sz w:val="36"/>
          <w:szCs w:val="36"/>
          <w:rtl/>
        </w:rPr>
        <w:t xml:space="preserve">، </w:t>
      </w:r>
      <w:r w:rsidRPr="00FD211F">
        <w:rPr>
          <w:sz w:val="36"/>
          <w:szCs w:val="36"/>
          <w:rtl/>
        </w:rPr>
        <w:t xml:space="preserve">فليس </w:t>
      </w:r>
      <w:r w:rsidR="001B3112" w:rsidRPr="00FD211F">
        <w:rPr>
          <w:sz w:val="36"/>
          <w:szCs w:val="36"/>
          <w:rtl/>
        </w:rPr>
        <w:t>الأمر</w:t>
      </w:r>
      <w:r w:rsidRPr="00FD211F">
        <w:rPr>
          <w:sz w:val="36"/>
          <w:szCs w:val="36"/>
          <w:rtl/>
        </w:rPr>
        <w:t xml:space="preserve"> عملي</w:t>
      </w:r>
      <w:r w:rsidR="00EC7EDF" w:rsidRPr="00FD211F">
        <w:rPr>
          <w:sz w:val="36"/>
          <w:szCs w:val="36"/>
          <w:rtl/>
        </w:rPr>
        <w:t xml:space="preserve">ة </w:t>
      </w:r>
      <w:r w:rsidRPr="00FD211F">
        <w:rPr>
          <w:sz w:val="36"/>
          <w:szCs w:val="36"/>
          <w:rtl/>
        </w:rPr>
        <w:t>اعتباري</w:t>
      </w:r>
      <w:r w:rsidR="00EC7EDF" w:rsidRPr="00FD211F">
        <w:rPr>
          <w:sz w:val="36"/>
          <w:szCs w:val="36"/>
          <w:rtl/>
        </w:rPr>
        <w:t xml:space="preserve">ة </w:t>
      </w:r>
      <w:r w:rsidRPr="00FD211F">
        <w:rPr>
          <w:sz w:val="36"/>
          <w:szCs w:val="36"/>
          <w:rtl/>
        </w:rPr>
        <w:t>كي يصح اعتبار حصول مفادها عند حصول الشرط فلو قال المولى</w:t>
      </w:r>
      <w:r w:rsidR="00553E62" w:rsidRPr="00FD211F">
        <w:rPr>
          <w:sz w:val="36"/>
          <w:szCs w:val="36"/>
          <w:rtl/>
        </w:rPr>
        <w:t>"</w:t>
      </w:r>
      <w:r w:rsidRPr="00FD211F">
        <w:rPr>
          <w:sz w:val="36"/>
          <w:szCs w:val="36"/>
          <w:rtl/>
        </w:rPr>
        <w:t xml:space="preserve"> ان استطعت فحج </w:t>
      </w:r>
      <w:r w:rsidR="00553E62" w:rsidRPr="00FD211F">
        <w:rPr>
          <w:sz w:val="36"/>
          <w:szCs w:val="36"/>
          <w:rtl/>
        </w:rPr>
        <w:t>"</w:t>
      </w:r>
      <w:r w:rsidRPr="00FD211F">
        <w:rPr>
          <w:sz w:val="36"/>
          <w:szCs w:val="36"/>
          <w:rtl/>
        </w:rPr>
        <w:t xml:space="preserve">فلايستفاد منه عرفا عدا </w:t>
      </w:r>
      <w:r w:rsidR="001B3112" w:rsidRPr="00FD211F">
        <w:rPr>
          <w:sz w:val="36"/>
          <w:szCs w:val="36"/>
          <w:rtl/>
        </w:rPr>
        <w:t>الأمر</w:t>
      </w:r>
      <w:r w:rsidRPr="00FD211F">
        <w:rPr>
          <w:sz w:val="36"/>
          <w:szCs w:val="36"/>
          <w:rtl/>
        </w:rPr>
        <w:t xml:space="preserve"> الفعلي بالحج على تقدير حصول الاستطاع</w:t>
      </w:r>
      <w:r w:rsidR="00EC7EDF" w:rsidRPr="00FD211F">
        <w:rPr>
          <w:sz w:val="36"/>
          <w:szCs w:val="36"/>
          <w:rtl/>
        </w:rPr>
        <w:t xml:space="preserve">ة </w:t>
      </w:r>
      <w:r w:rsidRPr="00FD211F">
        <w:rPr>
          <w:sz w:val="36"/>
          <w:szCs w:val="36"/>
          <w:rtl/>
        </w:rPr>
        <w:t>اتفاقا</w:t>
      </w:r>
      <w:r w:rsidR="00603323" w:rsidRPr="00FD211F">
        <w:rPr>
          <w:sz w:val="36"/>
          <w:szCs w:val="36"/>
          <w:rtl/>
        </w:rPr>
        <w:t xml:space="preserve">، </w:t>
      </w:r>
      <w:r w:rsidRPr="00FD211F">
        <w:rPr>
          <w:sz w:val="36"/>
          <w:szCs w:val="36"/>
          <w:rtl/>
        </w:rPr>
        <w:t>فيكون نظير ما لو قال "ان استطعت فهل تحج" فانه لامعنى لتعليق الاستفهام على الشرط لعدم كونه اعتباريا</w:t>
      </w:r>
      <w:r w:rsidR="00603323" w:rsidRPr="00FD211F">
        <w:rPr>
          <w:sz w:val="36"/>
          <w:szCs w:val="36"/>
          <w:rtl/>
        </w:rPr>
        <w:t xml:space="preserve">، </w:t>
      </w:r>
      <w:r w:rsidRPr="00FD211F">
        <w:rPr>
          <w:sz w:val="36"/>
          <w:szCs w:val="36"/>
          <w:rtl/>
        </w:rPr>
        <w:t>-فيختلف عما لو قال "ان مِت فداري ملك زيد"- فيكون الاستفهام فعليا والمستفهم عنه هو الحج على تقدير الاستطاع</w:t>
      </w:r>
      <w:r w:rsidR="00EC7EDF" w:rsidRPr="00FD211F">
        <w:rPr>
          <w:sz w:val="36"/>
          <w:szCs w:val="36"/>
          <w:rtl/>
        </w:rPr>
        <w:t>ة</w:t>
      </w:r>
      <w:r w:rsidR="00A61BAE" w:rsidRPr="00FD211F">
        <w:rPr>
          <w:sz w:val="36"/>
          <w:szCs w:val="36"/>
          <w:rtl/>
        </w:rPr>
        <w:t>.</w:t>
      </w:r>
      <w:r w:rsidR="00D06033" w:rsidRPr="00FD211F">
        <w:rPr>
          <w:sz w:val="36"/>
          <w:szCs w:val="36"/>
          <w:rtl/>
        </w:rPr>
        <w:t xml:space="preserve"> </w:t>
      </w:r>
    </w:p>
    <w:p w14:paraId="21345A51" w14:textId="77777777" w:rsidR="000C5BBA" w:rsidRPr="00FD211F" w:rsidRDefault="00610EE9" w:rsidP="009C58C8">
      <w:pPr>
        <w:ind w:left="0" w:firstLine="227"/>
        <w:jc w:val="both"/>
        <w:rPr>
          <w:sz w:val="36"/>
          <w:szCs w:val="36"/>
          <w:rtl/>
        </w:rPr>
      </w:pPr>
      <w:r w:rsidRPr="00FD211F">
        <w:rPr>
          <w:sz w:val="36"/>
          <w:szCs w:val="36"/>
          <w:rtl/>
        </w:rPr>
        <w:t>فتحصل من جميع م</w:t>
      </w:r>
      <w:r w:rsidR="00D06033" w:rsidRPr="00FD211F">
        <w:rPr>
          <w:sz w:val="36"/>
          <w:szCs w:val="36"/>
          <w:rtl/>
        </w:rPr>
        <w:t>ا ذكرناه عدم تمامي</w:t>
      </w:r>
      <w:r w:rsidR="00EC7EDF" w:rsidRPr="00FD211F">
        <w:rPr>
          <w:sz w:val="36"/>
          <w:szCs w:val="36"/>
          <w:rtl/>
        </w:rPr>
        <w:t xml:space="preserve">ة </w:t>
      </w:r>
      <w:r w:rsidR="00D06033" w:rsidRPr="00FD211F">
        <w:rPr>
          <w:sz w:val="36"/>
          <w:szCs w:val="36"/>
          <w:rtl/>
        </w:rPr>
        <w:t xml:space="preserve">الوجه </w:t>
      </w:r>
      <w:r w:rsidRPr="00FD211F">
        <w:rPr>
          <w:sz w:val="36"/>
          <w:szCs w:val="36"/>
          <w:rtl/>
        </w:rPr>
        <w:t xml:space="preserve">الذي نسب الى الشيخ الاعظم </w:t>
      </w:r>
      <w:r w:rsidR="006423AF" w:rsidRPr="00FD211F">
        <w:rPr>
          <w:sz w:val="36"/>
          <w:szCs w:val="36"/>
          <w:rtl/>
        </w:rPr>
        <w:t>"</w:t>
      </w:r>
      <w:r w:rsidRPr="00FD211F">
        <w:rPr>
          <w:sz w:val="36"/>
          <w:szCs w:val="36"/>
          <w:rtl/>
        </w:rPr>
        <w:t>قده</w:t>
      </w:r>
      <w:r w:rsidR="006423AF" w:rsidRPr="00FD211F">
        <w:rPr>
          <w:sz w:val="36"/>
          <w:szCs w:val="36"/>
          <w:rtl/>
        </w:rPr>
        <w:t>"</w:t>
      </w:r>
      <w:r w:rsidR="00603323" w:rsidRPr="00FD211F">
        <w:rPr>
          <w:sz w:val="36"/>
          <w:szCs w:val="36"/>
          <w:rtl/>
        </w:rPr>
        <w:t xml:space="preserve">، </w:t>
      </w:r>
      <w:r w:rsidR="00D06033" w:rsidRPr="00FD211F">
        <w:rPr>
          <w:sz w:val="36"/>
          <w:szCs w:val="36"/>
          <w:rtl/>
        </w:rPr>
        <w:t>من عدم امكان تقييدالهيئ</w:t>
      </w:r>
      <w:r w:rsidR="00EC7EDF" w:rsidRPr="00FD211F">
        <w:rPr>
          <w:sz w:val="36"/>
          <w:szCs w:val="36"/>
          <w:rtl/>
        </w:rPr>
        <w:t xml:space="preserve">ة </w:t>
      </w:r>
      <w:r w:rsidRPr="00FD211F">
        <w:rPr>
          <w:sz w:val="36"/>
          <w:szCs w:val="36"/>
          <w:rtl/>
        </w:rPr>
        <w:t>ولكن</w:t>
      </w:r>
      <w:r w:rsidR="008D7B3D" w:rsidRPr="00FD211F">
        <w:rPr>
          <w:sz w:val="36"/>
          <w:szCs w:val="36"/>
          <w:rtl/>
        </w:rPr>
        <w:t xml:space="preserve"> لم‌</w:t>
      </w:r>
      <w:r w:rsidRPr="00FD211F">
        <w:rPr>
          <w:sz w:val="36"/>
          <w:szCs w:val="36"/>
          <w:rtl/>
        </w:rPr>
        <w:t>يتبين لنا</w:t>
      </w:r>
      <w:r w:rsidR="00D06033" w:rsidRPr="00FD211F">
        <w:rPr>
          <w:sz w:val="36"/>
          <w:szCs w:val="36"/>
          <w:rtl/>
        </w:rPr>
        <w:t xml:space="preserve"> تمامي</w:t>
      </w:r>
      <w:r w:rsidR="00EC7EDF" w:rsidRPr="00FD211F">
        <w:rPr>
          <w:sz w:val="36"/>
          <w:szCs w:val="36"/>
          <w:rtl/>
        </w:rPr>
        <w:t xml:space="preserve">ة </w:t>
      </w:r>
      <w:r w:rsidR="00D06033" w:rsidRPr="00FD211F">
        <w:rPr>
          <w:sz w:val="36"/>
          <w:szCs w:val="36"/>
          <w:rtl/>
        </w:rPr>
        <w:t>هذه النسب</w:t>
      </w:r>
      <w:r w:rsidR="00EC7EDF" w:rsidRPr="00FD211F">
        <w:rPr>
          <w:sz w:val="36"/>
          <w:szCs w:val="36"/>
          <w:rtl/>
        </w:rPr>
        <w:t xml:space="preserve">ة </w:t>
      </w:r>
      <w:r w:rsidR="00D06033" w:rsidRPr="00FD211F">
        <w:rPr>
          <w:sz w:val="36"/>
          <w:szCs w:val="36"/>
          <w:rtl/>
        </w:rPr>
        <w:t>كماسيأتي في بحث الواجب المشروط</w:t>
      </w:r>
    </w:p>
    <w:p w14:paraId="70798DC5" w14:textId="77777777" w:rsidR="009E5A6D" w:rsidRPr="00FD211F" w:rsidRDefault="009E5A6D" w:rsidP="009C58C8">
      <w:pPr>
        <w:ind w:left="0" w:firstLine="227"/>
        <w:jc w:val="both"/>
        <w:rPr>
          <w:sz w:val="36"/>
          <w:szCs w:val="36"/>
          <w:rtl/>
        </w:rPr>
      </w:pPr>
      <w:r w:rsidRPr="00FD211F">
        <w:rPr>
          <w:b/>
          <w:bCs/>
          <w:sz w:val="36"/>
          <w:szCs w:val="36"/>
          <w:rtl/>
        </w:rPr>
        <w:t>الأمر الثاني</w:t>
      </w:r>
      <w:r w:rsidRPr="00FD211F">
        <w:rPr>
          <w:sz w:val="36"/>
          <w:szCs w:val="36"/>
          <w:rtl/>
        </w:rPr>
        <w:t>: ما ذكره المحقق النائيني</w:t>
      </w:r>
      <w:r w:rsidR="00A61BAE" w:rsidRPr="00FD211F">
        <w:rPr>
          <w:sz w:val="36"/>
          <w:szCs w:val="36"/>
          <w:rtl/>
        </w:rPr>
        <w:t xml:space="preserve"> </w:t>
      </w:r>
      <w:r w:rsidR="005D03BA" w:rsidRPr="00FD211F">
        <w:rPr>
          <w:sz w:val="36"/>
          <w:szCs w:val="36"/>
          <w:rtl/>
        </w:rPr>
        <w:t>“قده”</w:t>
      </w:r>
      <w:r w:rsidR="00A61BAE" w:rsidRPr="00FD211F">
        <w:rPr>
          <w:sz w:val="36"/>
          <w:szCs w:val="36"/>
          <w:rtl/>
        </w:rPr>
        <w:t xml:space="preserve"> </w:t>
      </w:r>
      <w:r w:rsidRPr="00FD211F">
        <w:rPr>
          <w:sz w:val="36"/>
          <w:szCs w:val="36"/>
          <w:rtl/>
        </w:rPr>
        <w:t>من انه حتى لو كان معنى الهيئات والحروف كليا لكن حيث يكون لحاظ معنى الهيئ</w:t>
      </w:r>
      <w:r w:rsidR="00EC7EDF" w:rsidRPr="00FD211F">
        <w:rPr>
          <w:sz w:val="36"/>
          <w:szCs w:val="36"/>
          <w:rtl/>
        </w:rPr>
        <w:t xml:space="preserve">ة </w:t>
      </w:r>
      <w:r w:rsidRPr="00FD211F">
        <w:rPr>
          <w:sz w:val="36"/>
          <w:szCs w:val="36"/>
          <w:rtl/>
        </w:rPr>
        <w:t>والحروف لحاظا آليا فيمنع ذلك من تقييده</w:t>
      </w:r>
      <w:r w:rsidR="00603323" w:rsidRPr="00FD211F">
        <w:rPr>
          <w:sz w:val="36"/>
          <w:szCs w:val="36"/>
          <w:rtl/>
        </w:rPr>
        <w:t xml:space="preserve">، </w:t>
      </w:r>
      <w:r w:rsidRPr="00FD211F">
        <w:rPr>
          <w:sz w:val="36"/>
          <w:szCs w:val="36"/>
          <w:rtl/>
        </w:rPr>
        <w:t>وتقريبه من وجهين:</w:t>
      </w:r>
    </w:p>
    <w:p w14:paraId="0240AF30" w14:textId="77777777" w:rsidR="009E5A6D" w:rsidRPr="00FD211F" w:rsidRDefault="009E5A6D" w:rsidP="009C58C8">
      <w:pPr>
        <w:ind w:left="0" w:firstLine="227"/>
        <w:jc w:val="both"/>
        <w:rPr>
          <w:sz w:val="36"/>
          <w:szCs w:val="36"/>
          <w:rtl/>
        </w:rPr>
      </w:pPr>
      <w:r w:rsidRPr="00FD211F">
        <w:rPr>
          <w:sz w:val="36"/>
          <w:szCs w:val="36"/>
          <w:rtl/>
        </w:rPr>
        <w:t>1- بناءا على مسلك صاحب الكفاي</w:t>
      </w:r>
      <w:r w:rsidR="00EC7EDF" w:rsidRPr="00FD211F">
        <w:rPr>
          <w:sz w:val="36"/>
          <w:szCs w:val="36"/>
          <w:rtl/>
        </w:rPr>
        <w:t xml:space="preserve">ة </w:t>
      </w:r>
      <w:r w:rsidR="00D17C80" w:rsidRPr="00FD211F">
        <w:rPr>
          <w:sz w:val="36"/>
          <w:szCs w:val="36"/>
          <w:rtl/>
        </w:rPr>
        <w:t>"قده"</w:t>
      </w:r>
      <w:r w:rsidRPr="00FD211F">
        <w:rPr>
          <w:sz w:val="36"/>
          <w:szCs w:val="36"/>
          <w:rtl/>
        </w:rPr>
        <w:t>من ان المعنى الحرفي متحد ذاتا مع المعنى الاسمي</w:t>
      </w:r>
      <w:r w:rsidR="00603323" w:rsidRPr="00FD211F">
        <w:rPr>
          <w:sz w:val="36"/>
          <w:szCs w:val="36"/>
          <w:rtl/>
        </w:rPr>
        <w:t xml:space="preserve">، </w:t>
      </w:r>
      <w:r w:rsidRPr="00FD211F">
        <w:rPr>
          <w:sz w:val="36"/>
          <w:szCs w:val="36"/>
          <w:rtl/>
        </w:rPr>
        <w:t>ويكون الاختلاف في شرط الواضع ان يكون لحاظ ذلك المعنى آليا في موارد استعمال الحرف ويكون لحاظه استقلاليا في موارد استعمال الإسم</w:t>
      </w:r>
      <w:r w:rsidR="00603323" w:rsidRPr="00FD211F">
        <w:rPr>
          <w:sz w:val="36"/>
          <w:szCs w:val="36"/>
          <w:rtl/>
        </w:rPr>
        <w:t xml:space="preserve">، </w:t>
      </w:r>
      <w:r w:rsidRPr="00FD211F">
        <w:rPr>
          <w:sz w:val="36"/>
          <w:szCs w:val="36"/>
          <w:rtl/>
        </w:rPr>
        <w:t xml:space="preserve">وحينئذ فيقال ان تقييد </w:t>
      </w:r>
      <w:r w:rsidR="008D7B3D" w:rsidRPr="00FD211F">
        <w:rPr>
          <w:sz w:val="36"/>
          <w:szCs w:val="36"/>
          <w:rtl/>
        </w:rPr>
        <w:t xml:space="preserve">شيء </w:t>
      </w:r>
      <w:r w:rsidRPr="00FD211F">
        <w:rPr>
          <w:sz w:val="36"/>
          <w:szCs w:val="36"/>
          <w:rtl/>
        </w:rPr>
        <w:t>في قو</w:t>
      </w:r>
      <w:r w:rsidR="00EC7EDF" w:rsidRPr="00FD211F">
        <w:rPr>
          <w:sz w:val="36"/>
          <w:szCs w:val="36"/>
          <w:rtl/>
        </w:rPr>
        <w:t xml:space="preserve">ة </w:t>
      </w:r>
      <w:r w:rsidRPr="00FD211F">
        <w:rPr>
          <w:sz w:val="36"/>
          <w:szCs w:val="36"/>
          <w:rtl/>
        </w:rPr>
        <w:t>الحكم عليه فيستدعي لحاظه استقلالا</w:t>
      </w:r>
      <w:r w:rsidR="00603323" w:rsidRPr="00FD211F">
        <w:rPr>
          <w:sz w:val="36"/>
          <w:szCs w:val="36"/>
          <w:rtl/>
        </w:rPr>
        <w:t xml:space="preserve">، </w:t>
      </w:r>
      <w:r w:rsidRPr="00FD211F">
        <w:rPr>
          <w:sz w:val="36"/>
          <w:szCs w:val="36"/>
          <w:rtl/>
        </w:rPr>
        <w:t>وعليه فتقييد المعنى الحرفي مستلزم للحاظه استقلالا بمتقضى اراد</w:t>
      </w:r>
      <w:r w:rsidR="00EC7EDF" w:rsidRPr="00FD211F">
        <w:rPr>
          <w:sz w:val="36"/>
          <w:szCs w:val="36"/>
          <w:rtl/>
        </w:rPr>
        <w:t xml:space="preserve">ة </w:t>
      </w:r>
      <w:r w:rsidRPr="00FD211F">
        <w:rPr>
          <w:sz w:val="36"/>
          <w:szCs w:val="36"/>
          <w:rtl/>
        </w:rPr>
        <w:t>تقييده ولحاظه آليا بمقتضى حرفيته</w:t>
      </w:r>
      <w:r w:rsidR="00603323" w:rsidRPr="00FD211F">
        <w:rPr>
          <w:sz w:val="36"/>
          <w:szCs w:val="36"/>
          <w:rtl/>
        </w:rPr>
        <w:t xml:space="preserve">، </w:t>
      </w:r>
      <w:r w:rsidRPr="00FD211F">
        <w:rPr>
          <w:sz w:val="36"/>
          <w:szCs w:val="36"/>
          <w:rtl/>
        </w:rPr>
        <w:t xml:space="preserve">واجتماع اللحاظ الآلي والاستقلالي في </w:t>
      </w:r>
      <w:r w:rsidR="008D7B3D" w:rsidRPr="00FD211F">
        <w:rPr>
          <w:sz w:val="36"/>
          <w:szCs w:val="36"/>
          <w:rtl/>
        </w:rPr>
        <w:t xml:space="preserve">شيء </w:t>
      </w:r>
      <w:r w:rsidRPr="00FD211F">
        <w:rPr>
          <w:sz w:val="36"/>
          <w:szCs w:val="36"/>
          <w:rtl/>
        </w:rPr>
        <w:t>واحد محال.</w:t>
      </w:r>
    </w:p>
    <w:p w14:paraId="068D7837" w14:textId="77777777" w:rsidR="009E5A6D" w:rsidRPr="00FD211F" w:rsidRDefault="009E5A6D" w:rsidP="009C58C8">
      <w:pPr>
        <w:ind w:left="0" w:firstLine="227"/>
        <w:jc w:val="both"/>
        <w:rPr>
          <w:sz w:val="36"/>
          <w:szCs w:val="36"/>
          <w:rtl/>
        </w:rPr>
      </w:pPr>
      <w:r w:rsidRPr="00FD211F">
        <w:rPr>
          <w:sz w:val="36"/>
          <w:szCs w:val="36"/>
          <w:rtl/>
        </w:rPr>
        <w:t>والجواب عنه ان مراد صاحب الكفاي</w:t>
      </w:r>
      <w:r w:rsidR="00EC7EDF" w:rsidRPr="00FD211F">
        <w:rPr>
          <w:sz w:val="36"/>
          <w:szCs w:val="36"/>
          <w:rtl/>
        </w:rPr>
        <w:t xml:space="preserve">ة </w:t>
      </w:r>
      <w:r w:rsidRPr="00FD211F">
        <w:rPr>
          <w:sz w:val="36"/>
          <w:szCs w:val="36"/>
          <w:rtl/>
        </w:rPr>
        <w:t>من كون المعنى الحرفي ملحوظا آليا هو لحاظه تبعا وحال</w:t>
      </w:r>
      <w:r w:rsidR="00EC7EDF" w:rsidRPr="00FD211F">
        <w:rPr>
          <w:sz w:val="36"/>
          <w:szCs w:val="36"/>
          <w:rtl/>
        </w:rPr>
        <w:t xml:space="preserve">ة </w:t>
      </w:r>
      <w:r w:rsidRPr="00FD211F">
        <w:rPr>
          <w:sz w:val="36"/>
          <w:szCs w:val="36"/>
          <w:rtl/>
        </w:rPr>
        <w:t>لمعنى آخر وهذا لاينافي التوجه التفصيلي اليه كما مر بيانه في بحث المعاني الحرفي</w:t>
      </w:r>
      <w:r w:rsidR="00EC7EDF" w:rsidRPr="00FD211F">
        <w:rPr>
          <w:sz w:val="36"/>
          <w:szCs w:val="36"/>
          <w:rtl/>
        </w:rPr>
        <w:t>ة</w:t>
      </w:r>
      <w:r w:rsidR="00603323" w:rsidRPr="00FD211F">
        <w:rPr>
          <w:sz w:val="36"/>
          <w:szCs w:val="36"/>
          <w:rtl/>
        </w:rPr>
        <w:t xml:space="preserve">، </w:t>
      </w:r>
      <w:r w:rsidRPr="00FD211F">
        <w:rPr>
          <w:sz w:val="36"/>
          <w:szCs w:val="36"/>
          <w:rtl/>
        </w:rPr>
        <w:t>كيف والغرض في الجمل</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مثلا هو إثبات اتحاد الموضوع والمحمول</w:t>
      </w:r>
      <w:r w:rsidR="00603323" w:rsidRPr="00FD211F">
        <w:rPr>
          <w:sz w:val="36"/>
          <w:szCs w:val="36"/>
          <w:rtl/>
        </w:rPr>
        <w:t xml:space="preserve">، </w:t>
      </w:r>
      <w:r w:rsidRPr="00FD211F">
        <w:rPr>
          <w:sz w:val="36"/>
          <w:szCs w:val="36"/>
          <w:rtl/>
        </w:rPr>
        <w:t>وهذا مدلول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الذي هو معنى حرفي فكيف يكون مغفولا عنه</w:t>
      </w:r>
      <w:r w:rsidR="00603323" w:rsidRPr="00FD211F">
        <w:rPr>
          <w:sz w:val="36"/>
          <w:szCs w:val="36"/>
          <w:rtl/>
        </w:rPr>
        <w:t xml:space="preserve">، </w:t>
      </w:r>
      <w:r w:rsidRPr="00FD211F">
        <w:rPr>
          <w:sz w:val="36"/>
          <w:szCs w:val="36"/>
          <w:rtl/>
        </w:rPr>
        <w:t>فلايتم ما ذكره في البحوث من ان الجواب منحصر بانكار مبنى صاحب الكفاي</w:t>
      </w:r>
      <w:r w:rsidR="00EC7EDF" w:rsidRPr="00FD211F">
        <w:rPr>
          <w:sz w:val="36"/>
          <w:szCs w:val="36"/>
          <w:rtl/>
        </w:rPr>
        <w:t>ة</w:t>
      </w:r>
      <w:r w:rsidR="00603323" w:rsidRPr="00FD211F">
        <w:rPr>
          <w:sz w:val="36"/>
          <w:szCs w:val="36"/>
          <w:rtl/>
        </w:rPr>
        <w:t xml:space="preserve">، </w:t>
      </w:r>
      <w:r w:rsidRPr="00FD211F">
        <w:rPr>
          <w:sz w:val="36"/>
          <w:szCs w:val="36"/>
          <w:rtl/>
        </w:rPr>
        <w:t>فانه ينافي ما مر منه في بحث المعاني الحرفي</w:t>
      </w:r>
      <w:r w:rsidR="00EC7EDF" w:rsidRPr="00FD211F">
        <w:rPr>
          <w:sz w:val="36"/>
          <w:szCs w:val="36"/>
          <w:rtl/>
        </w:rPr>
        <w:t xml:space="preserve">ة </w:t>
      </w:r>
      <w:r w:rsidRPr="00FD211F">
        <w:rPr>
          <w:sz w:val="36"/>
          <w:szCs w:val="36"/>
          <w:rtl/>
        </w:rPr>
        <w:t>فراجع.</w:t>
      </w:r>
    </w:p>
    <w:p w14:paraId="7C499D29" w14:textId="77777777" w:rsidR="009E5A6D" w:rsidRPr="00FD211F" w:rsidRDefault="009E5A6D" w:rsidP="009C58C8">
      <w:pPr>
        <w:ind w:left="0" w:firstLine="227"/>
        <w:jc w:val="both"/>
        <w:rPr>
          <w:sz w:val="36"/>
          <w:szCs w:val="36"/>
          <w:rtl/>
        </w:rPr>
      </w:pPr>
      <w:r w:rsidRPr="00FD211F">
        <w:rPr>
          <w:sz w:val="36"/>
          <w:szCs w:val="36"/>
          <w:rtl/>
        </w:rPr>
        <w:t xml:space="preserve">وقد اجاب السيد الخوئي </w:t>
      </w:r>
      <w:r w:rsidR="00D17C80" w:rsidRPr="00FD211F">
        <w:rPr>
          <w:sz w:val="36"/>
          <w:szCs w:val="36"/>
          <w:rtl/>
        </w:rPr>
        <w:t>"</w:t>
      </w:r>
      <w:r w:rsidRPr="00FD211F">
        <w:rPr>
          <w:sz w:val="36"/>
          <w:szCs w:val="36"/>
          <w:rtl/>
        </w:rPr>
        <w:t>قده</w:t>
      </w:r>
      <w:r w:rsidR="00D17C80" w:rsidRPr="00FD211F">
        <w:rPr>
          <w:sz w:val="36"/>
          <w:szCs w:val="36"/>
          <w:rtl/>
        </w:rPr>
        <w:t>"</w:t>
      </w:r>
      <w:r w:rsidRPr="00FD211F">
        <w:rPr>
          <w:sz w:val="36"/>
          <w:szCs w:val="36"/>
          <w:rtl/>
        </w:rPr>
        <w:t xml:space="preserve"> عن هذا الوجه بجواب آخر وهو انه على فرض لزوم كون المعنى الحرفي ملحوظا آليا فيمكن لحاظه قبل الاستعمال استقلالا وتقييده ثم لحاظ المقيد آليا في مرحل</w:t>
      </w:r>
      <w:r w:rsidR="00EC7EDF" w:rsidRPr="00FD211F">
        <w:rPr>
          <w:sz w:val="36"/>
          <w:szCs w:val="36"/>
          <w:rtl/>
        </w:rPr>
        <w:t xml:space="preserve">ة </w:t>
      </w:r>
      <w:r w:rsidRPr="00FD211F">
        <w:rPr>
          <w:sz w:val="36"/>
          <w:szCs w:val="36"/>
          <w:rtl/>
        </w:rPr>
        <w:t>الاستعمال.</w:t>
      </w:r>
    </w:p>
    <w:p w14:paraId="2F1F3428" w14:textId="77777777" w:rsidR="009E5A6D" w:rsidRPr="00FD211F" w:rsidRDefault="009E5A6D" w:rsidP="009C58C8">
      <w:pPr>
        <w:ind w:left="0" w:firstLine="227"/>
        <w:jc w:val="both"/>
        <w:rPr>
          <w:sz w:val="36"/>
          <w:szCs w:val="36"/>
          <w:rtl/>
        </w:rPr>
      </w:pPr>
      <w:r w:rsidRPr="00FD211F">
        <w:rPr>
          <w:sz w:val="36"/>
          <w:szCs w:val="36"/>
          <w:rtl/>
        </w:rPr>
        <w:t>واورد عليه في البحوث بانه وان تم في المعنى الحرفي الواقع طرفا لنسب</w:t>
      </w:r>
      <w:r w:rsidR="00EC7EDF" w:rsidRPr="00FD211F">
        <w:rPr>
          <w:sz w:val="36"/>
          <w:szCs w:val="36"/>
          <w:rtl/>
        </w:rPr>
        <w:t xml:space="preserve">ة </w:t>
      </w:r>
      <w:r w:rsidRPr="00FD211F">
        <w:rPr>
          <w:sz w:val="36"/>
          <w:szCs w:val="36"/>
          <w:rtl/>
        </w:rPr>
        <w:t>ناقص</w:t>
      </w:r>
      <w:r w:rsidR="00EC7EDF" w:rsidRPr="00FD211F">
        <w:rPr>
          <w:sz w:val="36"/>
          <w:szCs w:val="36"/>
          <w:rtl/>
        </w:rPr>
        <w:t xml:space="preserve">ة </w:t>
      </w:r>
      <w:r w:rsidRPr="00FD211F">
        <w:rPr>
          <w:sz w:val="36"/>
          <w:szCs w:val="36"/>
          <w:rtl/>
        </w:rPr>
        <w:t>تحليلي</w:t>
      </w:r>
      <w:r w:rsidR="00EC7EDF" w:rsidRPr="00FD211F">
        <w:rPr>
          <w:sz w:val="36"/>
          <w:szCs w:val="36"/>
          <w:rtl/>
        </w:rPr>
        <w:t xml:space="preserve">ة </w:t>
      </w:r>
      <w:r w:rsidRPr="00FD211F">
        <w:rPr>
          <w:sz w:val="36"/>
          <w:szCs w:val="36"/>
          <w:rtl/>
        </w:rPr>
        <w:t>لكنه لايتم في المعنى الحرفي الواقع طرفا لنسب</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كما في وقوع مفاد هيئ</w:t>
      </w:r>
      <w:r w:rsidR="00EC7EDF" w:rsidRPr="00FD211F">
        <w:rPr>
          <w:sz w:val="36"/>
          <w:szCs w:val="36"/>
          <w:rtl/>
        </w:rPr>
        <w:t xml:space="preserve">ة </w:t>
      </w:r>
      <w:r w:rsidRPr="00FD211F">
        <w:rPr>
          <w:sz w:val="36"/>
          <w:szCs w:val="36"/>
          <w:rtl/>
        </w:rPr>
        <w:t>الفعل في جمل</w:t>
      </w:r>
      <w:r w:rsidR="00EC7EDF" w:rsidRPr="00FD211F">
        <w:rPr>
          <w:sz w:val="36"/>
          <w:szCs w:val="36"/>
          <w:rtl/>
        </w:rPr>
        <w:t xml:space="preserve">ة </w:t>
      </w:r>
      <w:r w:rsidRPr="00FD211F">
        <w:rPr>
          <w:sz w:val="36"/>
          <w:szCs w:val="36"/>
          <w:rtl/>
        </w:rPr>
        <w:t>الجزاء في قولنا ان جاء زيد فأكرمه طرفا للنسب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الشرطي</w:t>
      </w:r>
      <w:r w:rsidR="00EC7EDF" w:rsidRPr="00FD211F">
        <w:rPr>
          <w:sz w:val="36"/>
          <w:szCs w:val="36"/>
          <w:rtl/>
        </w:rPr>
        <w:t xml:space="preserve">ة </w:t>
      </w:r>
      <w:r w:rsidRPr="00FD211F">
        <w:rPr>
          <w:sz w:val="36"/>
          <w:szCs w:val="36"/>
          <w:rtl/>
        </w:rPr>
        <w:t>حيث انه لابد من لحاظ طرفي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في مرحل</w:t>
      </w:r>
      <w:r w:rsidR="00EC7EDF" w:rsidRPr="00FD211F">
        <w:rPr>
          <w:sz w:val="36"/>
          <w:szCs w:val="36"/>
          <w:rtl/>
        </w:rPr>
        <w:t xml:space="preserve">ة </w:t>
      </w:r>
      <w:r w:rsidRPr="00FD211F">
        <w:rPr>
          <w:sz w:val="36"/>
          <w:szCs w:val="36"/>
          <w:rtl/>
        </w:rPr>
        <w:t>الاستعمال مجردا عن الطرف الآخر ثم ايقاع نسب</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بينهما وهذا متين.</w:t>
      </w:r>
    </w:p>
    <w:p w14:paraId="5B20C06A" w14:textId="77777777" w:rsidR="009E5A6D" w:rsidRPr="00FD211F" w:rsidRDefault="009E5A6D" w:rsidP="009C58C8">
      <w:pPr>
        <w:ind w:left="0" w:firstLine="227"/>
        <w:jc w:val="both"/>
        <w:rPr>
          <w:sz w:val="36"/>
          <w:szCs w:val="36"/>
          <w:rtl/>
        </w:rPr>
      </w:pPr>
      <w:r w:rsidRPr="00FD211F">
        <w:rPr>
          <w:sz w:val="36"/>
          <w:szCs w:val="36"/>
          <w:rtl/>
        </w:rPr>
        <w:t>2- ان المعنى الحرفي في ذاته معنى اندكاكي ومعنى نسبي فذاته متقوم بطرفين كالوجود الرابط فلااستقلال له في ذاته فضلا عن وجوده</w:t>
      </w:r>
      <w:r w:rsidR="00603323" w:rsidRPr="00FD211F">
        <w:rPr>
          <w:sz w:val="36"/>
          <w:szCs w:val="36"/>
          <w:rtl/>
        </w:rPr>
        <w:t xml:space="preserve">، </w:t>
      </w:r>
      <w:r w:rsidRPr="00FD211F">
        <w:rPr>
          <w:sz w:val="36"/>
          <w:szCs w:val="36"/>
          <w:rtl/>
        </w:rPr>
        <w:t>والتوجه الاستقلالي يعني ايجاده في الذهن مستقلا وهو محال.</w:t>
      </w:r>
    </w:p>
    <w:p w14:paraId="12829334" w14:textId="77777777" w:rsidR="009E5A6D" w:rsidRPr="00FD211F" w:rsidRDefault="009E5A6D" w:rsidP="009C58C8">
      <w:pPr>
        <w:ind w:left="0" w:firstLine="227"/>
        <w:jc w:val="both"/>
        <w:rPr>
          <w:sz w:val="36"/>
          <w:szCs w:val="36"/>
          <w:rtl/>
        </w:rPr>
      </w:pPr>
      <w:r w:rsidRPr="00FD211F">
        <w:rPr>
          <w:sz w:val="36"/>
          <w:szCs w:val="36"/>
          <w:rtl/>
        </w:rPr>
        <w:t>والجواب عنه ان التوجه الاستقلالي لايعني وجود المعنى الحرفي مجردا عن طرفيه</w:t>
      </w:r>
      <w:r w:rsidR="00603323" w:rsidRPr="00FD211F">
        <w:rPr>
          <w:sz w:val="36"/>
          <w:szCs w:val="36"/>
          <w:rtl/>
        </w:rPr>
        <w:t xml:space="preserve">، </w:t>
      </w:r>
      <w:r w:rsidRPr="00FD211F">
        <w:rPr>
          <w:sz w:val="36"/>
          <w:szCs w:val="36"/>
          <w:rtl/>
        </w:rPr>
        <w:t>وانما يعني عدم الغفل</w:t>
      </w:r>
      <w:r w:rsidR="00EC7EDF" w:rsidRPr="00FD211F">
        <w:rPr>
          <w:sz w:val="36"/>
          <w:szCs w:val="36"/>
          <w:rtl/>
        </w:rPr>
        <w:t xml:space="preserve">ة </w:t>
      </w:r>
      <w:r w:rsidRPr="00FD211F">
        <w:rPr>
          <w:sz w:val="36"/>
          <w:szCs w:val="36"/>
          <w:rtl/>
        </w:rPr>
        <w:t>التفصيلي</w:t>
      </w:r>
      <w:r w:rsidR="00EC7EDF" w:rsidRPr="00FD211F">
        <w:rPr>
          <w:sz w:val="36"/>
          <w:szCs w:val="36"/>
          <w:rtl/>
        </w:rPr>
        <w:t xml:space="preserve">ة </w:t>
      </w:r>
      <w:r w:rsidRPr="00FD211F">
        <w:rPr>
          <w:sz w:val="36"/>
          <w:szCs w:val="36"/>
          <w:rtl/>
        </w:rPr>
        <w:t>عنه</w:t>
      </w:r>
      <w:r w:rsidR="00603323" w:rsidRPr="00FD211F">
        <w:rPr>
          <w:sz w:val="36"/>
          <w:szCs w:val="36"/>
          <w:rtl/>
        </w:rPr>
        <w:t xml:space="preserve">، </w:t>
      </w:r>
      <w:r w:rsidRPr="00FD211F">
        <w:rPr>
          <w:sz w:val="36"/>
          <w:szCs w:val="36"/>
          <w:rtl/>
        </w:rPr>
        <w:t>نظير الالتفات التفصيلي الى الوجود الرابط بين النفس والكيف النفساني</w:t>
      </w:r>
      <w:r w:rsidR="00603323" w:rsidRPr="00FD211F">
        <w:rPr>
          <w:sz w:val="36"/>
          <w:szCs w:val="36"/>
          <w:rtl/>
        </w:rPr>
        <w:t xml:space="preserve">، </w:t>
      </w:r>
      <w:r w:rsidRPr="00FD211F">
        <w:rPr>
          <w:sz w:val="36"/>
          <w:szCs w:val="36"/>
          <w:rtl/>
        </w:rPr>
        <w:t>فانه لايخرجه عن كونه وجودا رابطا ومتقوما ذاته ووجوده بالطرفين اندكاكيا.</w:t>
      </w:r>
    </w:p>
    <w:p w14:paraId="3655EC8F" w14:textId="77777777" w:rsidR="0097558B" w:rsidRPr="00FD211F" w:rsidRDefault="009E5A6D" w:rsidP="009C58C8">
      <w:pPr>
        <w:ind w:left="0" w:firstLine="227"/>
        <w:jc w:val="both"/>
        <w:rPr>
          <w:sz w:val="36"/>
          <w:szCs w:val="36"/>
          <w:rtl/>
        </w:rPr>
      </w:pPr>
      <w:r w:rsidRPr="00FD211F">
        <w:rPr>
          <w:sz w:val="36"/>
          <w:szCs w:val="36"/>
          <w:rtl/>
        </w:rPr>
        <w:t>نعم ذكر في البحوث ان 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الحروف الدال</w:t>
      </w:r>
      <w:r w:rsidR="00EC7EDF" w:rsidRPr="00FD211F">
        <w:rPr>
          <w:sz w:val="36"/>
          <w:szCs w:val="36"/>
          <w:rtl/>
        </w:rPr>
        <w:t xml:space="preserve">ة </w:t>
      </w:r>
      <w:r w:rsidRPr="00FD211F">
        <w:rPr>
          <w:sz w:val="36"/>
          <w:szCs w:val="36"/>
          <w:rtl/>
        </w:rPr>
        <w:t>على نسب خارجي</w:t>
      </w:r>
      <w:r w:rsidR="00EC7EDF" w:rsidRPr="00FD211F">
        <w:rPr>
          <w:sz w:val="36"/>
          <w:szCs w:val="36"/>
          <w:rtl/>
        </w:rPr>
        <w:t xml:space="preserve">ة </w:t>
      </w:r>
      <w:r w:rsidRPr="00FD211F">
        <w:rPr>
          <w:sz w:val="36"/>
          <w:szCs w:val="36"/>
          <w:rtl/>
        </w:rPr>
        <w:t>كقولنا "السير من البصر</w:t>
      </w:r>
      <w:r w:rsidR="00EC7EDF" w:rsidRPr="00FD211F">
        <w:rPr>
          <w:sz w:val="36"/>
          <w:szCs w:val="36"/>
          <w:rtl/>
        </w:rPr>
        <w:t xml:space="preserve">ة </w:t>
      </w:r>
      <w:r w:rsidRPr="00FD211F">
        <w:rPr>
          <w:sz w:val="36"/>
          <w:szCs w:val="36"/>
          <w:rtl/>
        </w:rPr>
        <w:t>" فحيث ان مدلولها يكون بسيطا تصورا ويكون حص</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من السير وان كانت تنحل بالتعمل العقلي الى سير والبصر</w:t>
      </w:r>
      <w:r w:rsidR="00EC7EDF" w:rsidRPr="00FD211F">
        <w:rPr>
          <w:sz w:val="36"/>
          <w:szCs w:val="36"/>
          <w:rtl/>
        </w:rPr>
        <w:t xml:space="preserve">ة </w:t>
      </w:r>
      <w:r w:rsidRPr="00FD211F">
        <w:rPr>
          <w:sz w:val="36"/>
          <w:szCs w:val="36"/>
          <w:rtl/>
        </w:rPr>
        <w:t>والنسب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بينهما فتكون هذه النسب</w:t>
      </w:r>
      <w:r w:rsidR="00EC7EDF" w:rsidRPr="00FD211F">
        <w:rPr>
          <w:sz w:val="36"/>
          <w:szCs w:val="36"/>
          <w:rtl/>
        </w:rPr>
        <w:t xml:space="preserve">ة </w:t>
      </w:r>
      <w:r w:rsidRPr="00FD211F">
        <w:rPr>
          <w:sz w:val="36"/>
          <w:szCs w:val="36"/>
          <w:rtl/>
        </w:rPr>
        <w:t>نسب</w:t>
      </w:r>
      <w:r w:rsidR="00EC7EDF" w:rsidRPr="00FD211F">
        <w:rPr>
          <w:sz w:val="36"/>
          <w:szCs w:val="36"/>
          <w:rtl/>
        </w:rPr>
        <w:t xml:space="preserve">ة </w:t>
      </w:r>
      <w:r w:rsidRPr="00FD211F">
        <w:rPr>
          <w:sz w:val="36"/>
          <w:szCs w:val="36"/>
          <w:rtl/>
        </w:rPr>
        <w:t>ابتدائي</w:t>
      </w:r>
      <w:r w:rsidR="00EC7EDF" w:rsidRPr="00FD211F">
        <w:rPr>
          <w:sz w:val="36"/>
          <w:szCs w:val="36"/>
          <w:rtl/>
        </w:rPr>
        <w:t xml:space="preserve">ة </w:t>
      </w:r>
      <w:r w:rsidRPr="00FD211F">
        <w:rPr>
          <w:sz w:val="36"/>
          <w:szCs w:val="36"/>
          <w:rtl/>
        </w:rPr>
        <w:t>تحليلي</w:t>
      </w:r>
      <w:r w:rsidR="00EC7EDF" w:rsidRPr="00FD211F">
        <w:rPr>
          <w:sz w:val="36"/>
          <w:szCs w:val="36"/>
          <w:rtl/>
        </w:rPr>
        <w:t>ة</w:t>
      </w:r>
      <w:r w:rsidR="00603323" w:rsidRPr="00FD211F">
        <w:rPr>
          <w:sz w:val="36"/>
          <w:szCs w:val="36"/>
          <w:rtl/>
        </w:rPr>
        <w:t xml:space="preserve">، </w:t>
      </w:r>
      <w:r w:rsidRPr="00FD211F">
        <w:rPr>
          <w:sz w:val="36"/>
          <w:szCs w:val="36"/>
          <w:rtl/>
        </w:rPr>
        <w:t>فلاوجود لها في الذهن كي يلحظ تقييده</w:t>
      </w:r>
      <w:r w:rsidR="00603323" w:rsidRPr="00FD211F">
        <w:rPr>
          <w:sz w:val="36"/>
          <w:szCs w:val="36"/>
          <w:rtl/>
        </w:rPr>
        <w:t xml:space="preserve">، </w:t>
      </w:r>
      <w:r w:rsidRPr="00FD211F">
        <w:rPr>
          <w:sz w:val="36"/>
          <w:szCs w:val="36"/>
          <w:rtl/>
        </w:rPr>
        <w:t>وانما يعرض التقييد على تلك الحص</w:t>
      </w:r>
      <w:r w:rsidR="00EC7EDF" w:rsidRPr="00FD211F">
        <w:rPr>
          <w:sz w:val="36"/>
          <w:szCs w:val="36"/>
          <w:rtl/>
        </w:rPr>
        <w:t xml:space="preserve">ة </w:t>
      </w:r>
      <w:r w:rsidRPr="00FD211F">
        <w:rPr>
          <w:sz w:val="36"/>
          <w:szCs w:val="36"/>
          <w:rtl/>
        </w:rPr>
        <w:t>والمفهوم البسيط التصوري كقولنا "السير من البصر</w:t>
      </w:r>
      <w:r w:rsidR="00EC7EDF" w:rsidRPr="00FD211F">
        <w:rPr>
          <w:sz w:val="36"/>
          <w:szCs w:val="36"/>
          <w:rtl/>
        </w:rPr>
        <w:t xml:space="preserve">ة </w:t>
      </w:r>
      <w:r w:rsidRPr="00FD211F">
        <w:rPr>
          <w:sz w:val="36"/>
          <w:szCs w:val="36"/>
          <w:rtl/>
        </w:rPr>
        <w:t>على الفرس" و"غلام زيد</w:t>
      </w:r>
      <w:r w:rsidR="0097558B" w:rsidRPr="00FD211F">
        <w:rPr>
          <w:sz w:val="36"/>
          <w:szCs w:val="36"/>
          <w:rtl/>
        </w:rPr>
        <w:t xml:space="preserve"> في السن</w:t>
      </w:r>
      <w:r w:rsidR="00EC7EDF" w:rsidRPr="00FD211F">
        <w:rPr>
          <w:sz w:val="36"/>
          <w:szCs w:val="36"/>
          <w:rtl/>
        </w:rPr>
        <w:t xml:space="preserve">ة </w:t>
      </w:r>
      <w:r w:rsidR="0097558B" w:rsidRPr="00FD211F">
        <w:rPr>
          <w:sz w:val="36"/>
          <w:szCs w:val="36"/>
          <w:rtl/>
        </w:rPr>
        <w:t>السابق</w:t>
      </w:r>
      <w:r w:rsidR="00EC7EDF" w:rsidRPr="00FD211F">
        <w:rPr>
          <w:sz w:val="36"/>
          <w:szCs w:val="36"/>
          <w:rtl/>
        </w:rPr>
        <w:t xml:space="preserve">ة </w:t>
      </w:r>
      <w:r w:rsidR="0097558B" w:rsidRPr="00FD211F">
        <w:rPr>
          <w:sz w:val="36"/>
          <w:szCs w:val="36"/>
          <w:rtl/>
        </w:rPr>
        <w:t>".</w:t>
      </w:r>
    </w:p>
    <w:p w14:paraId="19610C68" w14:textId="77777777" w:rsidR="009E5A6D" w:rsidRPr="00FD211F" w:rsidRDefault="0097558B" w:rsidP="009C58C8">
      <w:pPr>
        <w:ind w:left="0" w:firstLine="227"/>
        <w:jc w:val="both"/>
        <w:rPr>
          <w:sz w:val="36"/>
          <w:szCs w:val="36"/>
          <w:rtl/>
        </w:rPr>
      </w:pPr>
      <w:r w:rsidRPr="00FD211F">
        <w:rPr>
          <w:sz w:val="36"/>
          <w:szCs w:val="36"/>
          <w:rtl/>
        </w:rPr>
        <w:t>وما ذكره تام</w:t>
      </w:r>
      <w:r w:rsidR="009E5A6D" w:rsidRPr="00FD211F">
        <w:rPr>
          <w:sz w:val="36"/>
          <w:szCs w:val="36"/>
          <w:rtl/>
        </w:rPr>
        <w:t xml:space="preserve"> عرفا</w:t>
      </w:r>
      <w:r w:rsidR="00603323" w:rsidRPr="00FD211F">
        <w:rPr>
          <w:sz w:val="36"/>
          <w:szCs w:val="36"/>
          <w:rtl/>
        </w:rPr>
        <w:t xml:space="preserve">، </w:t>
      </w:r>
      <w:r w:rsidR="009E5A6D" w:rsidRPr="00FD211F">
        <w:rPr>
          <w:sz w:val="36"/>
          <w:szCs w:val="36"/>
          <w:rtl/>
        </w:rPr>
        <w:t>فان الملحوظ في الجمل</w:t>
      </w:r>
      <w:r w:rsidR="00EC7EDF" w:rsidRPr="00FD211F">
        <w:rPr>
          <w:sz w:val="36"/>
          <w:szCs w:val="36"/>
          <w:rtl/>
        </w:rPr>
        <w:t xml:space="preserve">ة </w:t>
      </w:r>
      <w:r w:rsidR="009E5A6D" w:rsidRPr="00FD211F">
        <w:rPr>
          <w:sz w:val="36"/>
          <w:szCs w:val="36"/>
          <w:rtl/>
        </w:rPr>
        <w:t>الناقص</w:t>
      </w:r>
      <w:r w:rsidR="00EC7EDF" w:rsidRPr="00FD211F">
        <w:rPr>
          <w:sz w:val="36"/>
          <w:szCs w:val="36"/>
          <w:rtl/>
        </w:rPr>
        <w:t xml:space="preserve">ة </w:t>
      </w:r>
      <w:r w:rsidR="009E5A6D" w:rsidRPr="00FD211F">
        <w:rPr>
          <w:sz w:val="36"/>
          <w:szCs w:val="36"/>
          <w:rtl/>
        </w:rPr>
        <w:t>هو الحص</w:t>
      </w:r>
      <w:r w:rsidR="00EC7EDF" w:rsidRPr="00FD211F">
        <w:rPr>
          <w:sz w:val="36"/>
          <w:szCs w:val="36"/>
          <w:rtl/>
        </w:rPr>
        <w:t>ة</w:t>
      </w:r>
      <w:r w:rsidR="00603323" w:rsidRPr="00FD211F">
        <w:rPr>
          <w:sz w:val="36"/>
          <w:szCs w:val="36"/>
          <w:rtl/>
        </w:rPr>
        <w:t xml:space="preserve">، </w:t>
      </w:r>
      <w:r w:rsidR="009E5A6D" w:rsidRPr="00FD211F">
        <w:rPr>
          <w:sz w:val="36"/>
          <w:szCs w:val="36"/>
          <w:rtl/>
        </w:rPr>
        <w:t>والتقييد يرجع اليها</w:t>
      </w:r>
      <w:r w:rsidR="00603323" w:rsidRPr="00FD211F">
        <w:rPr>
          <w:sz w:val="36"/>
          <w:szCs w:val="36"/>
          <w:rtl/>
        </w:rPr>
        <w:t xml:space="preserve">، </w:t>
      </w:r>
      <w:r w:rsidR="009E5A6D" w:rsidRPr="00FD211F">
        <w:rPr>
          <w:sz w:val="36"/>
          <w:szCs w:val="36"/>
          <w:rtl/>
        </w:rPr>
        <w:t>وان</w:t>
      </w:r>
      <w:r w:rsidR="008D7B3D" w:rsidRPr="00FD211F">
        <w:rPr>
          <w:sz w:val="36"/>
          <w:szCs w:val="36"/>
          <w:rtl/>
        </w:rPr>
        <w:t xml:space="preserve"> لم‌</w:t>
      </w:r>
      <w:r w:rsidR="009E5A6D" w:rsidRPr="00FD211F">
        <w:rPr>
          <w:sz w:val="36"/>
          <w:szCs w:val="36"/>
          <w:rtl/>
        </w:rPr>
        <w:t>نوافقه في كون النسب</w:t>
      </w:r>
      <w:r w:rsidR="00EC7EDF" w:rsidRPr="00FD211F">
        <w:rPr>
          <w:sz w:val="36"/>
          <w:szCs w:val="36"/>
          <w:rtl/>
        </w:rPr>
        <w:t xml:space="preserve">ة </w:t>
      </w:r>
      <w:r w:rsidR="009E5A6D" w:rsidRPr="00FD211F">
        <w:rPr>
          <w:sz w:val="36"/>
          <w:szCs w:val="36"/>
          <w:rtl/>
        </w:rPr>
        <w:t>التي تدل عليها الجمل</w:t>
      </w:r>
      <w:r w:rsidR="00EC7EDF" w:rsidRPr="00FD211F">
        <w:rPr>
          <w:sz w:val="36"/>
          <w:szCs w:val="36"/>
          <w:rtl/>
        </w:rPr>
        <w:t xml:space="preserve">ة </w:t>
      </w:r>
      <w:r w:rsidR="009E5A6D" w:rsidRPr="00FD211F">
        <w:rPr>
          <w:sz w:val="36"/>
          <w:szCs w:val="36"/>
          <w:rtl/>
        </w:rPr>
        <w:t>الناقص</w:t>
      </w:r>
      <w:r w:rsidR="00EC7EDF" w:rsidRPr="00FD211F">
        <w:rPr>
          <w:sz w:val="36"/>
          <w:szCs w:val="36"/>
          <w:rtl/>
        </w:rPr>
        <w:t xml:space="preserve">ة </w:t>
      </w:r>
      <w:r w:rsidR="009E5A6D" w:rsidRPr="00FD211F">
        <w:rPr>
          <w:sz w:val="36"/>
          <w:szCs w:val="36"/>
          <w:rtl/>
        </w:rPr>
        <w:t>تحليلي</w:t>
      </w:r>
      <w:r w:rsidR="00EC7EDF" w:rsidRPr="00FD211F">
        <w:rPr>
          <w:sz w:val="36"/>
          <w:szCs w:val="36"/>
          <w:rtl/>
        </w:rPr>
        <w:t>ة</w:t>
      </w:r>
      <w:r w:rsidR="00A61BAE" w:rsidRPr="00FD211F">
        <w:rPr>
          <w:sz w:val="36"/>
          <w:szCs w:val="36"/>
          <w:rtl/>
        </w:rPr>
        <w:t>.</w:t>
      </w:r>
    </w:p>
    <w:p w14:paraId="3B25BF2F" w14:textId="77777777" w:rsidR="009E5A6D" w:rsidRPr="00FD211F" w:rsidRDefault="009E5A6D" w:rsidP="005946E3">
      <w:pPr>
        <w:ind w:left="0" w:firstLine="227"/>
        <w:jc w:val="both"/>
        <w:rPr>
          <w:sz w:val="36"/>
          <w:szCs w:val="36"/>
          <w:rtl/>
        </w:rPr>
      </w:pPr>
      <w:r w:rsidRPr="00FD211F">
        <w:rPr>
          <w:b/>
          <w:bCs/>
          <w:sz w:val="36"/>
          <w:szCs w:val="36"/>
          <w:rtl/>
        </w:rPr>
        <w:t>ا</w:t>
      </w:r>
      <w:r w:rsidR="00D17C80" w:rsidRPr="00FD211F">
        <w:rPr>
          <w:b/>
          <w:bCs/>
          <w:sz w:val="36"/>
          <w:szCs w:val="36"/>
          <w:rtl/>
        </w:rPr>
        <w:t>لثمر</w:t>
      </w:r>
      <w:r w:rsidR="00EC7EDF" w:rsidRPr="00FD211F">
        <w:rPr>
          <w:b/>
          <w:bCs/>
          <w:sz w:val="36"/>
          <w:szCs w:val="36"/>
          <w:rtl/>
        </w:rPr>
        <w:t xml:space="preserve">ة </w:t>
      </w:r>
      <w:r w:rsidR="00D17C80" w:rsidRPr="00FD211F">
        <w:rPr>
          <w:b/>
          <w:bCs/>
          <w:sz w:val="36"/>
          <w:szCs w:val="36"/>
          <w:rtl/>
        </w:rPr>
        <w:t>الثاني</w:t>
      </w:r>
      <w:r w:rsidR="00EC7EDF" w:rsidRPr="00FD211F">
        <w:rPr>
          <w:b/>
          <w:bCs/>
          <w:sz w:val="36"/>
          <w:szCs w:val="36"/>
          <w:rtl/>
        </w:rPr>
        <w:t>ة</w:t>
      </w:r>
      <w:r w:rsidR="00057D31" w:rsidRPr="00FD211F">
        <w:rPr>
          <w:b/>
          <w:bCs/>
          <w:sz w:val="36"/>
          <w:szCs w:val="36"/>
          <w:rtl/>
        </w:rPr>
        <w:t>:</w:t>
      </w:r>
      <w:r w:rsidR="0097558B" w:rsidRPr="00FD211F">
        <w:rPr>
          <w:sz w:val="36"/>
          <w:szCs w:val="36"/>
          <w:rtl/>
        </w:rPr>
        <w:t xml:space="preserve"> ما </w:t>
      </w:r>
      <w:r w:rsidR="007819E1" w:rsidRPr="00FD211F">
        <w:rPr>
          <w:sz w:val="36"/>
          <w:szCs w:val="36"/>
          <w:rtl/>
        </w:rPr>
        <w:t>في البحوث</w:t>
      </w:r>
      <w:r w:rsidR="0097558B" w:rsidRPr="00FD211F">
        <w:rPr>
          <w:sz w:val="36"/>
          <w:szCs w:val="36"/>
          <w:rtl/>
        </w:rPr>
        <w:t xml:space="preserve"> </w:t>
      </w:r>
      <w:r w:rsidRPr="00FD211F">
        <w:rPr>
          <w:sz w:val="36"/>
          <w:szCs w:val="36"/>
          <w:rtl/>
        </w:rPr>
        <w:t>من انه بناء على عدم امكان تقييد معنى هيئ</w:t>
      </w:r>
      <w:r w:rsidR="00EC7EDF" w:rsidRPr="00FD211F">
        <w:rPr>
          <w:sz w:val="36"/>
          <w:szCs w:val="36"/>
          <w:rtl/>
        </w:rPr>
        <w:t xml:space="preserve">ة </w:t>
      </w:r>
      <w:r w:rsidRPr="00FD211F">
        <w:rPr>
          <w:sz w:val="36"/>
          <w:szCs w:val="36"/>
          <w:rtl/>
        </w:rPr>
        <w:t>الأمر لكونه جزئيا او ملحوظا آليا حسب ما تقدم تقريبه في بيان الثمر</w:t>
      </w:r>
      <w:r w:rsidR="00EC7EDF" w:rsidRPr="00FD211F">
        <w:rPr>
          <w:sz w:val="36"/>
          <w:szCs w:val="36"/>
          <w:rtl/>
        </w:rPr>
        <w:t xml:space="preserve">ة </w:t>
      </w:r>
      <w:r w:rsidRPr="00FD211F">
        <w:rPr>
          <w:sz w:val="36"/>
          <w:szCs w:val="36"/>
          <w:rtl/>
        </w:rPr>
        <w:t>السابق</w:t>
      </w:r>
      <w:r w:rsidR="00EC7EDF" w:rsidRPr="00FD211F">
        <w:rPr>
          <w:sz w:val="36"/>
          <w:szCs w:val="36"/>
          <w:rtl/>
        </w:rPr>
        <w:t>ة</w:t>
      </w:r>
      <w:r w:rsidR="00603323" w:rsidRPr="00FD211F">
        <w:rPr>
          <w:sz w:val="36"/>
          <w:szCs w:val="36"/>
          <w:rtl/>
        </w:rPr>
        <w:t xml:space="preserve">، </w:t>
      </w:r>
      <w:r w:rsidRPr="00FD211F">
        <w:rPr>
          <w:sz w:val="36"/>
          <w:szCs w:val="36"/>
          <w:rtl/>
        </w:rPr>
        <w:t>فلايمكن التمسك باطلاق هيئ</w:t>
      </w:r>
      <w:r w:rsidR="00EC7EDF" w:rsidRPr="00FD211F">
        <w:rPr>
          <w:sz w:val="36"/>
          <w:szCs w:val="36"/>
          <w:rtl/>
        </w:rPr>
        <w:t xml:space="preserve">ة </w:t>
      </w:r>
      <w:r w:rsidRPr="00FD211F">
        <w:rPr>
          <w:sz w:val="36"/>
          <w:szCs w:val="36"/>
          <w:rtl/>
        </w:rPr>
        <w:t>الأمر لنفي كون الوجوب مشروطا</w:t>
      </w:r>
      <w:r w:rsidR="00603323" w:rsidRPr="00FD211F">
        <w:rPr>
          <w:sz w:val="36"/>
          <w:szCs w:val="36"/>
          <w:rtl/>
        </w:rPr>
        <w:t xml:space="preserve">، </w:t>
      </w:r>
      <w:r w:rsidRPr="00FD211F">
        <w:rPr>
          <w:sz w:val="36"/>
          <w:szCs w:val="36"/>
          <w:rtl/>
        </w:rPr>
        <w:t>إما لما أفاده المحقق النائيني</w:t>
      </w:r>
      <w:r w:rsidR="007A4A0D" w:rsidRPr="00FD211F">
        <w:rPr>
          <w:sz w:val="36"/>
          <w:szCs w:val="36"/>
          <w:rtl/>
        </w:rPr>
        <w:t xml:space="preserve"> </w:t>
      </w:r>
      <w:r w:rsidR="005946E3" w:rsidRPr="00FD211F">
        <w:rPr>
          <w:sz w:val="36"/>
          <w:szCs w:val="36"/>
          <w:rtl/>
        </w:rPr>
        <w:t>"قده"</w:t>
      </w:r>
      <w:r w:rsidR="007A4A0D" w:rsidRPr="00FD211F">
        <w:rPr>
          <w:sz w:val="36"/>
          <w:szCs w:val="36"/>
          <w:rtl/>
        </w:rPr>
        <w:t xml:space="preserve"> </w:t>
      </w:r>
      <w:r w:rsidRPr="00FD211F">
        <w:rPr>
          <w:sz w:val="36"/>
          <w:szCs w:val="36"/>
          <w:rtl/>
        </w:rPr>
        <w:t>من ان التقابل بين الاطلاق والتقييد الثبوتيين تقابل العدم والملك</w:t>
      </w:r>
      <w:r w:rsidR="00EC7EDF" w:rsidRPr="00FD211F">
        <w:rPr>
          <w:sz w:val="36"/>
          <w:szCs w:val="36"/>
          <w:rtl/>
        </w:rPr>
        <w:t>ة</w:t>
      </w:r>
      <w:r w:rsidR="00603323" w:rsidRPr="00FD211F">
        <w:rPr>
          <w:sz w:val="36"/>
          <w:szCs w:val="36"/>
          <w:rtl/>
        </w:rPr>
        <w:t xml:space="preserve">، </w:t>
      </w:r>
      <w:r w:rsidRPr="00FD211F">
        <w:rPr>
          <w:sz w:val="36"/>
          <w:szCs w:val="36"/>
          <w:rtl/>
        </w:rPr>
        <w:t>فالاطلاق هو عدم التقييد في مورد قابل للتقييد فاذا استحال التقييد استحال الاطلاق</w:t>
      </w:r>
      <w:r w:rsidR="00603323" w:rsidRPr="00FD211F">
        <w:rPr>
          <w:sz w:val="36"/>
          <w:szCs w:val="36"/>
          <w:rtl/>
        </w:rPr>
        <w:t xml:space="preserve">، </w:t>
      </w:r>
      <w:r w:rsidRPr="00FD211F">
        <w:rPr>
          <w:sz w:val="36"/>
          <w:szCs w:val="36"/>
          <w:rtl/>
        </w:rPr>
        <w:t>او لأن عدم امكان التقييد يمنع من انعقاد الاطلاق الإثباتي فانه لاريب في ان تقابل الاطلاق والتقييد الإثباتيين تقابل العدم والملك</w:t>
      </w:r>
      <w:r w:rsidR="00EC7EDF" w:rsidRPr="00FD211F">
        <w:rPr>
          <w:sz w:val="36"/>
          <w:szCs w:val="36"/>
          <w:rtl/>
        </w:rPr>
        <w:t>ة</w:t>
      </w:r>
      <w:r w:rsidR="00603323" w:rsidRPr="00FD211F">
        <w:rPr>
          <w:sz w:val="36"/>
          <w:szCs w:val="36"/>
          <w:rtl/>
        </w:rPr>
        <w:t xml:space="preserve">، </w:t>
      </w:r>
      <w:r w:rsidRPr="00FD211F">
        <w:rPr>
          <w:sz w:val="36"/>
          <w:szCs w:val="36"/>
          <w:rtl/>
        </w:rPr>
        <w:t>فان الاطلاق الإثباتي يتوقف على جريان مقدمات الحكم</w:t>
      </w:r>
      <w:r w:rsidR="00EC7EDF" w:rsidRPr="00FD211F">
        <w:rPr>
          <w:sz w:val="36"/>
          <w:szCs w:val="36"/>
          <w:rtl/>
        </w:rPr>
        <w:t xml:space="preserve">ة </w:t>
      </w:r>
      <w:r w:rsidRPr="00FD211F">
        <w:rPr>
          <w:sz w:val="36"/>
          <w:szCs w:val="36"/>
          <w:rtl/>
        </w:rPr>
        <w:t>التي منها امكان التقييد.</w:t>
      </w:r>
    </w:p>
    <w:p w14:paraId="322439E7" w14:textId="77777777" w:rsidR="009E5A6D" w:rsidRPr="00FD211F" w:rsidRDefault="009E5A6D" w:rsidP="009C58C8">
      <w:pPr>
        <w:ind w:left="0" w:firstLine="227"/>
        <w:jc w:val="both"/>
        <w:rPr>
          <w:sz w:val="36"/>
          <w:szCs w:val="36"/>
          <w:rtl/>
        </w:rPr>
      </w:pPr>
      <w:r w:rsidRPr="00FD211F">
        <w:rPr>
          <w:sz w:val="36"/>
          <w:szCs w:val="36"/>
          <w:rtl/>
        </w:rPr>
        <w:t>واما بناء على امكان تقييد معنى هيئ</w:t>
      </w:r>
      <w:r w:rsidR="00EC7EDF" w:rsidRPr="00FD211F">
        <w:rPr>
          <w:sz w:val="36"/>
          <w:szCs w:val="36"/>
          <w:rtl/>
        </w:rPr>
        <w:t xml:space="preserve">ة </w:t>
      </w:r>
      <w:r w:rsidRPr="00FD211F">
        <w:rPr>
          <w:sz w:val="36"/>
          <w:szCs w:val="36"/>
          <w:rtl/>
        </w:rPr>
        <w:t>الأمر فيمكن التمسك باطلاق الهيئ</w:t>
      </w:r>
      <w:r w:rsidR="00EC7EDF" w:rsidRPr="00FD211F">
        <w:rPr>
          <w:sz w:val="36"/>
          <w:szCs w:val="36"/>
          <w:rtl/>
        </w:rPr>
        <w:t xml:space="preserve">ة </w:t>
      </w:r>
      <w:r w:rsidRPr="00FD211F">
        <w:rPr>
          <w:sz w:val="36"/>
          <w:szCs w:val="36"/>
          <w:rtl/>
        </w:rPr>
        <w:t>لإثبات كون الوجوب مطلقا لامشروطا</w:t>
      </w:r>
      <w:r w:rsidR="00603323" w:rsidRPr="00FD211F">
        <w:rPr>
          <w:sz w:val="36"/>
          <w:szCs w:val="36"/>
          <w:rtl/>
        </w:rPr>
        <w:t xml:space="preserve">، </w:t>
      </w:r>
      <w:r w:rsidRPr="00FD211F">
        <w:rPr>
          <w:sz w:val="36"/>
          <w:szCs w:val="36"/>
          <w:rtl/>
        </w:rPr>
        <w:t>بل يمكن التمسك باطلاقها لنفي الوجوب الكفائي والتخييري بناء على كون الوجوب الكفائي راجعا الى اشتراط وجوب الفعل على المكلف بعدم قيام غيره بذلك او كون الوجوب التخييري راجعا الى اشتراط وجوب فعل بعدم الإتيان بالعدل الآخر</w:t>
      </w:r>
      <w:r w:rsidR="009C58C8" w:rsidRPr="00FD211F">
        <w:rPr>
          <w:rStyle w:val="a6"/>
          <w:sz w:val="36"/>
          <w:szCs w:val="36"/>
          <w:rtl/>
        </w:rPr>
        <w:t>(</w:t>
      </w:r>
      <w:r w:rsidR="009C58C8" w:rsidRPr="00FD211F">
        <w:rPr>
          <w:rStyle w:val="a6"/>
          <w:sz w:val="36"/>
          <w:szCs w:val="36"/>
          <w:rtl/>
        </w:rPr>
        <w:footnoteReference w:id="267"/>
      </w:r>
      <w:r w:rsidR="009C58C8" w:rsidRPr="00FD211F">
        <w:rPr>
          <w:rStyle w:val="a6"/>
          <w:sz w:val="36"/>
          <w:szCs w:val="36"/>
          <w:rtl/>
        </w:rPr>
        <w:t>)</w:t>
      </w:r>
      <w:r w:rsidRPr="00FD211F">
        <w:rPr>
          <w:sz w:val="36"/>
          <w:szCs w:val="36"/>
          <w:rtl/>
        </w:rPr>
        <w:t>.</w:t>
      </w:r>
    </w:p>
    <w:p w14:paraId="32CE25DD" w14:textId="77777777" w:rsidR="008122ED" w:rsidRPr="00FD211F" w:rsidRDefault="009E5A6D" w:rsidP="009C58C8">
      <w:pPr>
        <w:ind w:left="0" w:firstLine="227"/>
        <w:jc w:val="both"/>
        <w:rPr>
          <w:sz w:val="36"/>
          <w:szCs w:val="36"/>
          <w:rtl/>
        </w:rPr>
      </w:pPr>
      <w:r w:rsidRPr="00FD211F">
        <w:rPr>
          <w:sz w:val="36"/>
          <w:szCs w:val="36"/>
          <w:rtl/>
        </w:rPr>
        <w:t xml:space="preserve">اقول: انه بناء على ما </w:t>
      </w:r>
      <w:r w:rsidR="008122ED" w:rsidRPr="00FD211F">
        <w:rPr>
          <w:sz w:val="36"/>
          <w:szCs w:val="36"/>
          <w:rtl/>
        </w:rPr>
        <w:t xml:space="preserve">تقدم من الشيخ الأعظم </w:t>
      </w:r>
      <w:r w:rsidR="00D17C80" w:rsidRPr="00FD211F">
        <w:rPr>
          <w:sz w:val="36"/>
          <w:szCs w:val="36"/>
          <w:rtl/>
        </w:rPr>
        <w:t>"</w:t>
      </w:r>
      <w:r w:rsidR="008122ED" w:rsidRPr="00FD211F">
        <w:rPr>
          <w:sz w:val="36"/>
          <w:szCs w:val="36"/>
          <w:rtl/>
        </w:rPr>
        <w:t>قده</w:t>
      </w:r>
      <w:r w:rsidR="00D17C80" w:rsidRPr="00FD211F">
        <w:rPr>
          <w:sz w:val="36"/>
          <w:szCs w:val="36"/>
          <w:rtl/>
        </w:rPr>
        <w:t>"</w:t>
      </w:r>
      <w:r w:rsidR="008122ED" w:rsidRPr="00FD211F">
        <w:rPr>
          <w:sz w:val="36"/>
          <w:szCs w:val="36"/>
          <w:rtl/>
        </w:rPr>
        <w:t xml:space="preserve"> من امتناع تقييدالوجوب ثبوتا</w:t>
      </w:r>
      <w:r w:rsidR="00F57144" w:rsidRPr="00FD211F">
        <w:rPr>
          <w:sz w:val="36"/>
          <w:szCs w:val="36"/>
          <w:rtl/>
        </w:rPr>
        <w:t xml:space="preserve">وفي مقام الجعل </w:t>
      </w:r>
      <w:r w:rsidR="008122ED" w:rsidRPr="00FD211F">
        <w:rPr>
          <w:sz w:val="36"/>
          <w:szCs w:val="36"/>
          <w:rtl/>
        </w:rPr>
        <w:t>و</w:t>
      </w:r>
      <w:r w:rsidRPr="00FD211F">
        <w:rPr>
          <w:sz w:val="36"/>
          <w:szCs w:val="36"/>
          <w:rtl/>
        </w:rPr>
        <w:t>ك</w:t>
      </w:r>
      <w:r w:rsidR="00254B82" w:rsidRPr="00FD211F">
        <w:rPr>
          <w:sz w:val="36"/>
          <w:szCs w:val="36"/>
          <w:rtl/>
        </w:rPr>
        <w:t>ون القيد راجعا الى</w:t>
      </w:r>
      <w:r w:rsidR="008122ED" w:rsidRPr="00FD211F">
        <w:rPr>
          <w:sz w:val="36"/>
          <w:szCs w:val="36"/>
          <w:rtl/>
        </w:rPr>
        <w:t xml:space="preserve"> متعلق الوجوب</w:t>
      </w:r>
      <w:r w:rsidR="00603323" w:rsidRPr="00FD211F">
        <w:rPr>
          <w:sz w:val="36"/>
          <w:szCs w:val="36"/>
          <w:rtl/>
        </w:rPr>
        <w:t xml:space="preserve">، </w:t>
      </w:r>
      <w:r w:rsidR="00254B82" w:rsidRPr="00FD211F">
        <w:rPr>
          <w:sz w:val="36"/>
          <w:szCs w:val="36"/>
          <w:rtl/>
        </w:rPr>
        <w:t>فلايحتمل تقييدالهيئ</w:t>
      </w:r>
      <w:r w:rsidR="00EC7EDF" w:rsidRPr="00FD211F">
        <w:rPr>
          <w:sz w:val="36"/>
          <w:szCs w:val="36"/>
          <w:rtl/>
        </w:rPr>
        <w:t xml:space="preserve">ة </w:t>
      </w:r>
      <w:r w:rsidR="00254B82" w:rsidRPr="00FD211F">
        <w:rPr>
          <w:sz w:val="36"/>
          <w:szCs w:val="36"/>
          <w:rtl/>
        </w:rPr>
        <w:t>ثبوتا</w:t>
      </w:r>
      <w:r w:rsidR="008122ED" w:rsidRPr="00FD211F">
        <w:rPr>
          <w:sz w:val="36"/>
          <w:szCs w:val="36"/>
          <w:rtl/>
        </w:rPr>
        <w:t>ولذاانكرالواجب المشروط</w:t>
      </w:r>
      <w:r w:rsidR="00603323" w:rsidRPr="00FD211F">
        <w:rPr>
          <w:sz w:val="36"/>
          <w:szCs w:val="36"/>
          <w:rtl/>
        </w:rPr>
        <w:t xml:space="preserve">، </w:t>
      </w:r>
      <w:r w:rsidR="00254B82" w:rsidRPr="00FD211F">
        <w:rPr>
          <w:sz w:val="36"/>
          <w:szCs w:val="36"/>
          <w:rtl/>
        </w:rPr>
        <w:t>نعم قديشك في تقييدالماد</w:t>
      </w:r>
      <w:r w:rsidR="00EC7EDF" w:rsidRPr="00FD211F">
        <w:rPr>
          <w:sz w:val="36"/>
          <w:szCs w:val="36"/>
          <w:rtl/>
        </w:rPr>
        <w:t xml:space="preserve">ة </w:t>
      </w:r>
      <w:r w:rsidR="00254B82" w:rsidRPr="00FD211F">
        <w:rPr>
          <w:sz w:val="36"/>
          <w:szCs w:val="36"/>
          <w:rtl/>
        </w:rPr>
        <w:t>فلايدرى هل الواجب مثلااكرام زيدٍاواكرام زيد</w:t>
      </w:r>
      <w:r w:rsidR="008122ED" w:rsidRPr="00FD211F">
        <w:rPr>
          <w:sz w:val="36"/>
          <w:szCs w:val="36"/>
          <w:rtl/>
        </w:rPr>
        <w:t>ٍ</w:t>
      </w:r>
      <w:r w:rsidR="00254B82" w:rsidRPr="00FD211F">
        <w:rPr>
          <w:sz w:val="36"/>
          <w:szCs w:val="36"/>
          <w:rtl/>
        </w:rPr>
        <w:t>على تقديرمجيئه فلووردفي الخطاب "أكرم زيدا"فيمكن التمسك باطلاق الماد</w:t>
      </w:r>
      <w:r w:rsidR="00EC7EDF" w:rsidRPr="00FD211F">
        <w:rPr>
          <w:sz w:val="36"/>
          <w:szCs w:val="36"/>
          <w:rtl/>
        </w:rPr>
        <w:t xml:space="preserve">ة </w:t>
      </w:r>
      <w:r w:rsidR="008122ED" w:rsidRPr="00FD211F">
        <w:rPr>
          <w:sz w:val="36"/>
          <w:szCs w:val="36"/>
          <w:rtl/>
        </w:rPr>
        <w:t>لاثبات ان الواجب هواكرام زيدمطلقاوكذايكون مرجع الوجوب الكفائي الى تقييدالماد</w:t>
      </w:r>
      <w:r w:rsidR="00EC7EDF" w:rsidRPr="00FD211F">
        <w:rPr>
          <w:sz w:val="36"/>
          <w:szCs w:val="36"/>
          <w:rtl/>
        </w:rPr>
        <w:t xml:space="preserve">ة </w:t>
      </w:r>
      <w:r w:rsidR="008122ED" w:rsidRPr="00FD211F">
        <w:rPr>
          <w:sz w:val="36"/>
          <w:szCs w:val="36"/>
          <w:rtl/>
        </w:rPr>
        <w:t>ف</w:t>
      </w:r>
      <w:r w:rsidRPr="00FD211F">
        <w:rPr>
          <w:sz w:val="36"/>
          <w:szCs w:val="36"/>
          <w:rtl/>
        </w:rPr>
        <w:t>لو قال المولى في الواجب الكفائي "ان</w:t>
      </w:r>
      <w:r w:rsidR="008D7B3D" w:rsidRPr="00FD211F">
        <w:rPr>
          <w:sz w:val="36"/>
          <w:szCs w:val="36"/>
          <w:rtl/>
        </w:rPr>
        <w:t xml:space="preserve"> لم‌</w:t>
      </w:r>
      <w:r w:rsidRPr="00FD211F">
        <w:rPr>
          <w:sz w:val="36"/>
          <w:szCs w:val="36"/>
          <w:rtl/>
        </w:rPr>
        <w:t>يكرم سائر المكلفين زيدا فاكرمه" فيكون مرجعه الى تقييد الماد</w:t>
      </w:r>
      <w:r w:rsidR="00EC7EDF" w:rsidRPr="00FD211F">
        <w:rPr>
          <w:sz w:val="36"/>
          <w:szCs w:val="36"/>
          <w:rtl/>
        </w:rPr>
        <w:t xml:space="preserve">ة </w:t>
      </w:r>
      <w:r w:rsidRPr="00FD211F">
        <w:rPr>
          <w:sz w:val="36"/>
          <w:szCs w:val="36"/>
          <w:rtl/>
        </w:rPr>
        <w:t>على نحو الواجب المعلق</w:t>
      </w:r>
      <w:r w:rsidR="00603323" w:rsidRPr="00FD211F">
        <w:rPr>
          <w:sz w:val="36"/>
          <w:szCs w:val="36"/>
          <w:rtl/>
        </w:rPr>
        <w:t xml:space="preserve">، </w:t>
      </w:r>
      <w:r w:rsidRPr="00FD211F">
        <w:rPr>
          <w:sz w:val="36"/>
          <w:szCs w:val="36"/>
          <w:rtl/>
        </w:rPr>
        <w:t>وعندئذ فلو ورد في الخطاب "اكرم زيدا" فيمكن التمسك باطلاق الماد</w:t>
      </w:r>
      <w:r w:rsidR="00EC7EDF" w:rsidRPr="00FD211F">
        <w:rPr>
          <w:sz w:val="36"/>
          <w:szCs w:val="36"/>
          <w:rtl/>
        </w:rPr>
        <w:t xml:space="preserve">ة </w:t>
      </w:r>
      <w:r w:rsidRPr="00FD211F">
        <w:rPr>
          <w:sz w:val="36"/>
          <w:szCs w:val="36"/>
          <w:rtl/>
        </w:rPr>
        <w:t>لنفي تقيدها</w:t>
      </w:r>
      <w:r w:rsidR="00603323" w:rsidRPr="00FD211F">
        <w:rPr>
          <w:sz w:val="36"/>
          <w:szCs w:val="36"/>
          <w:rtl/>
        </w:rPr>
        <w:t xml:space="preserve">، </w:t>
      </w:r>
      <w:r w:rsidRPr="00FD211F">
        <w:rPr>
          <w:sz w:val="36"/>
          <w:szCs w:val="36"/>
          <w:rtl/>
        </w:rPr>
        <w:t>وهكذا يمكن التمسك باطل</w:t>
      </w:r>
      <w:r w:rsidR="008122ED" w:rsidRPr="00FD211F">
        <w:rPr>
          <w:sz w:val="36"/>
          <w:szCs w:val="36"/>
          <w:rtl/>
        </w:rPr>
        <w:t>اق الماد</w:t>
      </w:r>
      <w:r w:rsidR="00EC7EDF" w:rsidRPr="00FD211F">
        <w:rPr>
          <w:sz w:val="36"/>
          <w:szCs w:val="36"/>
          <w:rtl/>
        </w:rPr>
        <w:t xml:space="preserve">ة </w:t>
      </w:r>
      <w:r w:rsidR="008122ED" w:rsidRPr="00FD211F">
        <w:rPr>
          <w:sz w:val="36"/>
          <w:szCs w:val="36"/>
          <w:rtl/>
        </w:rPr>
        <w:t>لنفي الوجوب التخييري.</w:t>
      </w:r>
    </w:p>
    <w:p w14:paraId="298F6C0C" w14:textId="77777777" w:rsidR="009E5A6D" w:rsidRPr="00FD211F" w:rsidRDefault="009E5A6D" w:rsidP="009C58C8">
      <w:pPr>
        <w:ind w:left="0" w:firstLine="227"/>
        <w:jc w:val="both"/>
        <w:rPr>
          <w:sz w:val="36"/>
          <w:szCs w:val="36"/>
          <w:rtl/>
        </w:rPr>
      </w:pPr>
      <w:r w:rsidRPr="00FD211F">
        <w:rPr>
          <w:sz w:val="36"/>
          <w:szCs w:val="36"/>
          <w:rtl/>
        </w:rPr>
        <w:t>واما لو كان المحذور مختصا باستحال</w:t>
      </w:r>
      <w:r w:rsidR="00EC7EDF" w:rsidRPr="00FD211F">
        <w:rPr>
          <w:sz w:val="36"/>
          <w:szCs w:val="36"/>
          <w:rtl/>
        </w:rPr>
        <w:t xml:space="preserve">ة </w:t>
      </w:r>
      <w:r w:rsidRPr="00FD211F">
        <w:rPr>
          <w:sz w:val="36"/>
          <w:szCs w:val="36"/>
          <w:rtl/>
        </w:rPr>
        <w:t>تقييد هيئ</w:t>
      </w:r>
      <w:r w:rsidR="00EC7EDF" w:rsidRPr="00FD211F">
        <w:rPr>
          <w:sz w:val="36"/>
          <w:szCs w:val="36"/>
          <w:rtl/>
        </w:rPr>
        <w:t xml:space="preserve">ة </w:t>
      </w:r>
      <w:r w:rsidRPr="00FD211F">
        <w:rPr>
          <w:sz w:val="36"/>
          <w:szCs w:val="36"/>
          <w:rtl/>
        </w:rPr>
        <w:t>الأمر فيكون محذورا اثبات</w:t>
      </w:r>
      <w:r w:rsidR="00D17C80" w:rsidRPr="00FD211F">
        <w:rPr>
          <w:sz w:val="36"/>
          <w:szCs w:val="36"/>
          <w:rtl/>
        </w:rPr>
        <w:t>يا لايرتبط بعالم ثبوت الجعل كي ت</w:t>
      </w:r>
      <w:r w:rsidRPr="00FD211F">
        <w:rPr>
          <w:sz w:val="36"/>
          <w:szCs w:val="36"/>
          <w:rtl/>
        </w:rPr>
        <w:t>كون استحال</w:t>
      </w:r>
      <w:r w:rsidR="00EC7EDF" w:rsidRPr="00FD211F">
        <w:rPr>
          <w:sz w:val="36"/>
          <w:szCs w:val="36"/>
          <w:rtl/>
        </w:rPr>
        <w:t xml:space="preserve">ة </w:t>
      </w:r>
      <w:r w:rsidRPr="00FD211F">
        <w:rPr>
          <w:sz w:val="36"/>
          <w:szCs w:val="36"/>
          <w:rtl/>
        </w:rPr>
        <w:t>التقييد الثبوتي موجب</w:t>
      </w:r>
      <w:r w:rsidR="00EC7EDF" w:rsidRPr="00FD211F">
        <w:rPr>
          <w:sz w:val="36"/>
          <w:szCs w:val="36"/>
          <w:rtl/>
        </w:rPr>
        <w:t xml:space="preserve">ة </w:t>
      </w:r>
      <w:r w:rsidRPr="00FD211F">
        <w:rPr>
          <w:sz w:val="36"/>
          <w:szCs w:val="36"/>
          <w:rtl/>
        </w:rPr>
        <w:t>لاستحال</w:t>
      </w:r>
      <w:r w:rsidR="00EC7EDF" w:rsidRPr="00FD211F">
        <w:rPr>
          <w:sz w:val="36"/>
          <w:szCs w:val="36"/>
          <w:rtl/>
        </w:rPr>
        <w:t xml:space="preserve">ة </w:t>
      </w:r>
      <w:r w:rsidRPr="00FD211F">
        <w:rPr>
          <w:sz w:val="36"/>
          <w:szCs w:val="36"/>
          <w:rtl/>
        </w:rPr>
        <w:t xml:space="preserve">الاطلاق الثبوتي على مسلك المحقق النائيني </w:t>
      </w:r>
      <w:r w:rsidR="00D17C80" w:rsidRPr="00FD211F">
        <w:rPr>
          <w:sz w:val="36"/>
          <w:szCs w:val="36"/>
          <w:rtl/>
        </w:rPr>
        <w:t>"</w:t>
      </w:r>
      <w:r w:rsidRPr="00FD211F">
        <w:rPr>
          <w:sz w:val="36"/>
          <w:szCs w:val="36"/>
          <w:rtl/>
        </w:rPr>
        <w:t>قده</w:t>
      </w:r>
      <w:r w:rsidR="00D17C80" w:rsidRPr="00FD211F">
        <w:rPr>
          <w:sz w:val="36"/>
          <w:szCs w:val="36"/>
          <w:rtl/>
        </w:rPr>
        <w:t>"</w:t>
      </w:r>
      <w:r w:rsidR="00603323" w:rsidRPr="00FD211F">
        <w:rPr>
          <w:sz w:val="36"/>
          <w:szCs w:val="36"/>
          <w:rtl/>
        </w:rPr>
        <w:t xml:space="preserve">، </w:t>
      </w:r>
      <w:r w:rsidRPr="00FD211F">
        <w:rPr>
          <w:sz w:val="36"/>
          <w:szCs w:val="36"/>
          <w:rtl/>
        </w:rPr>
        <w:t>وحينئذ فيمكن ان يدعى انه يكفي في انعقاد الاطلاق لهيئ</w:t>
      </w:r>
      <w:r w:rsidR="00EC7EDF" w:rsidRPr="00FD211F">
        <w:rPr>
          <w:sz w:val="36"/>
          <w:szCs w:val="36"/>
          <w:rtl/>
        </w:rPr>
        <w:t xml:space="preserve">ة </w:t>
      </w:r>
      <w:r w:rsidRPr="00FD211F">
        <w:rPr>
          <w:sz w:val="36"/>
          <w:szCs w:val="36"/>
          <w:rtl/>
        </w:rPr>
        <w:t>الأمر امكان التقييد في المقام باختيار ما يدل على الوجوب بنحو المعنى الاسمي ثم تقييده بقيد فيقال مثلا ان جاءك زيد فيجب اكرامه</w:t>
      </w:r>
      <w:r w:rsidR="00603323" w:rsidRPr="00FD211F">
        <w:rPr>
          <w:sz w:val="36"/>
          <w:szCs w:val="36"/>
          <w:rtl/>
        </w:rPr>
        <w:t xml:space="preserve">، </w:t>
      </w:r>
      <w:r w:rsidRPr="00FD211F">
        <w:rPr>
          <w:sz w:val="36"/>
          <w:szCs w:val="36"/>
          <w:rtl/>
        </w:rPr>
        <w:t>فيختلف المقام عن مثل استحال</w:t>
      </w:r>
      <w:r w:rsidR="00EC7EDF" w:rsidRPr="00FD211F">
        <w:rPr>
          <w:sz w:val="36"/>
          <w:szCs w:val="36"/>
          <w:rtl/>
        </w:rPr>
        <w:t xml:space="preserve">ة </w:t>
      </w:r>
      <w:r w:rsidRPr="00FD211F">
        <w:rPr>
          <w:sz w:val="36"/>
          <w:szCs w:val="36"/>
          <w:rtl/>
        </w:rPr>
        <w:t>أخذ قصد امتثال الأمر ثبوتا في متعلق الأمر.</w:t>
      </w:r>
    </w:p>
    <w:p w14:paraId="7E30DD40" w14:textId="77777777" w:rsidR="009E5A6D" w:rsidRPr="00FD211F" w:rsidRDefault="009E5A6D" w:rsidP="009C58C8">
      <w:pPr>
        <w:ind w:left="0" w:firstLine="227"/>
        <w:jc w:val="both"/>
        <w:rPr>
          <w:sz w:val="36"/>
          <w:szCs w:val="36"/>
          <w:rtl/>
        </w:rPr>
      </w:pPr>
      <w:r w:rsidRPr="00FD211F">
        <w:rPr>
          <w:sz w:val="36"/>
          <w:szCs w:val="36"/>
          <w:rtl/>
        </w:rPr>
        <w:t>هذا ومن جه</w:t>
      </w:r>
      <w:r w:rsidR="00EC7EDF" w:rsidRPr="00FD211F">
        <w:rPr>
          <w:sz w:val="36"/>
          <w:szCs w:val="36"/>
          <w:rtl/>
        </w:rPr>
        <w:t xml:space="preserve">ة </w:t>
      </w:r>
      <w:r w:rsidRPr="00FD211F">
        <w:rPr>
          <w:sz w:val="36"/>
          <w:szCs w:val="36"/>
          <w:rtl/>
        </w:rPr>
        <w:t>أخرى انه لو استحال تقييد الهيئ</w:t>
      </w:r>
      <w:r w:rsidR="00EC7EDF" w:rsidRPr="00FD211F">
        <w:rPr>
          <w:sz w:val="36"/>
          <w:szCs w:val="36"/>
          <w:rtl/>
        </w:rPr>
        <w:t xml:space="preserve">ة </w:t>
      </w:r>
      <w:r w:rsidRPr="00FD211F">
        <w:rPr>
          <w:sz w:val="36"/>
          <w:szCs w:val="36"/>
          <w:rtl/>
        </w:rPr>
        <w:t xml:space="preserve">ثبوتا فبناء على مسلك السيد الخوئي </w:t>
      </w:r>
      <w:r w:rsidR="00D17C80" w:rsidRPr="00FD211F">
        <w:rPr>
          <w:sz w:val="36"/>
          <w:szCs w:val="36"/>
          <w:rtl/>
        </w:rPr>
        <w:t>"</w:t>
      </w:r>
      <w:r w:rsidRPr="00FD211F">
        <w:rPr>
          <w:sz w:val="36"/>
          <w:szCs w:val="36"/>
          <w:rtl/>
        </w:rPr>
        <w:t>قده</w:t>
      </w:r>
      <w:r w:rsidR="00D17C80" w:rsidRPr="00FD211F">
        <w:rPr>
          <w:sz w:val="36"/>
          <w:szCs w:val="36"/>
          <w:rtl/>
        </w:rPr>
        <w:t>"</w:t>
      </w:r>
      <w:r w:rsidRPr="00FD211F">
        <w:rPr>
          <w:sz w:val="36"/>
          <w:szCs w:val="36"/>
          <w:rtl/>
        </w:rPr>
        <w:t xml:space="preserve"> من كون التقابل بينهما تقابل التضاد</w:t>
      </w:r>
      <w:r w:rsidR="00603323" w:rsidRPr="00FD211F">
        <w:rPr>
          <w:sz w:val="36"/>
          <w:szCs w:val="36"/>
          <w:rtl/>
        </w:rPr>
        <w:t xml:space="preserve">، </w:t>
      </w:r>
      <w:r w:rsidRPr="00FD211F">
        <w:rPr>
          <w:sz w:val="36"/>
          <w:szCs w:val="36"/>
          <w:rtl/>
        </w:rPr>
        <w:t>حيث ذكر انه بعد استحال</w:t>
      </w:r>
      <w:r w:rsidR="00EC7EDF" w:rsidRPr="00FD211F">
        <w:rPr>
          <w:sz w:val="36"/>
          <w:szCs w:val="36"/>
          <w:rtl/>
        </w:rPr>
        <w:t xml:space="preserve">ة </w:t>
      </w:r>
      <w:r w:rsidRPr="00FD211F">
        <w:rPr>
          <w:sz w:val="36"/>
          <w:szCs w:val="36"/>
          <w:rtl/>
        </w:rPr>
        <w:t>الاهمال الثبوتي من الحاكم الملتفت فاستحال</w:t>
      </w:r>
      <w:r w:rsidR="00EC7EDF" w:rsidRPr="00FD211F">
        <w:rPr>
          <w:sz w:val="36"/>
          <w:szCs w:val="36"/>
          <w:rtl/>
        </w:rPr>
        <w:t xml:space="preserve">ة </w:t>
      </w:r>
      <w:r w:rsidRPr="00FD211F">
        <w:rPr>
          <w:sz w:val="36"/>
          <w:szCs w:val="36"/>
          <w:rtl/>
        </w:rPr>
        <w:t>التقييد توجب ضرور</w:t>
      </w:r>
      <w:r w:rsidR="00EC7EDF" w:rsidRPr="00FD211F">
        <w:rPr>
          <w:sz w:val="36"/>
          <w:szCs w:val="36"/>
          <w:rtl/>
        </w:rPr>
        <w:t xml:space="preserve">ة </w:t>
      </w:r>
      <w:r w:rsidRPr="00FD211F">
        <w:rPr>
          <w:sz w:val="36"/>
          <w:szCs w:val="36"/>
          <w:rtl/>
        </w:rPr>
        <w:t>الاطلاق</w:t>
      </w:r>
      <w:r w:rsidR="00603323" w:rsidRPr="00FD211F">
        <w:rPr>
          <w:sz w:val="36"/>
          <w:szCs w:val="36"/>
          <w:rtl/>
        </w:rPr>
        <w:t xml:space="preserve">، </w:t>
      </w:r>
      <w:r w:rsidRPr="00FD211F">
        <w:rPr>
          <w:sz w:val="36"/>
          <w:szCs w:val="36"/>
          <w:rtl/>
        </w:rPr>
        <w:t>وكذ</w:t>
      </w:r>
      <w:r w:rsidR="007819E1" w:rsidRPr="00FD211F">
        <w:rPr>
          <w:sz w:val="36"/>
          <w:szCs w:val="36"/>
          <w:rtl/>
        </w:rPr>
        <w:t xml:space="preserve">ا بناء على مسلك من يرى </w:t>
      </w:r>
      <w:r w:rsidRPr="00FD211F">
        <w:rPr>
          <w:sz w:val="36"/>
          <w:szCs w:val="36"/>
          <w:rtl/>
        </w:rPr>
        <w:t>كون تقابل الاطلاق والتقييد الثبوتيين تقابل السلب والإيجاب فيكون الاطلاق ضروريا</w:t>
      </w:r>
      <w:r w:rsidR="00603323" w:rsidRPr="00FD211F">
        <w:rPr>
          <w:sz w:val="36"/>
          <w:szCs w:val="36"/>
          <w:rtl/>
        </w:rPr>
        <w:t xml:space="preserve">، </w:t>
      </w:r>
      <w:r w:rsidRPr="00FD211F">
        <w:rPr>
          <w:sz w:val="36"/>
          <w:szCs w:val="36"/>
          <w:rtl/>
        </w:rPr>
        <w:t>وحينئذ فيكون الاطلاق الثبوتي محرزا بالبرهان ولانحتاج الى مقدمات الحكم</w:t>
      </w:r>
      <w:r w:rsidR="00EC7EDF" w:rsidRPr="00FD211F">
        <w:rPr>
          <w:sz w:val="36"/>
          <w:szCs w:val="36"/>
          <w:rtl/>
        </w:rPr>
        <w:t xml:space="preserve">ة </w:t>
      </w:r>
      <w:r w:rsidRPr="00FD211F">
        <w:rPr>
          <w:sz w:val="36"/>
          <w:szCs w:val="36"/>
          <w:rtl/>
        </w:rPr>
        <w:t>لإثباته</w:t>
      </w:r>
      <w:r w:rsidR="00603323" w:rsidRPr="00FD211F">
        <w:rPr>
          <w:sz w:val="36"/>
          <w:szCs w:val="36"/>
          <w:rtl/>
        </w:rPr>
        <w:t xml:space="preserve">، </w:t>
      </w:r>
      <w:r w:rsidRPr="00FD211F">
        <w:rPr>
          <w:sz w:val="36"/>
          <w:szCs w:val="36"/>
          <w:rtl/>
        </w:rPr>
        <w:t>نعم حيث يكون الاطلاق ضروريا فلايكشف عن اطلاق غرض المولى</w:t>
      </w:r>
      <w:r w:rsidR="00603323" w:rsidRPr="00FD211F">
        <w:rPr>
          <w:sz w:val="36"/>
          <w:szCs w:val="36"/>
          <w:rtl/>
        </w:rPr>
        <w:t xml:space="preserve">، </w:t>
      </w:r>
      <w:r w:rsidRPr="00FD211F">
        <w:rPr>
          <w:sz w:val="36"/>
          <w:szCs w:val="36"/>
          <w:rtl/>
        </w:rPr>
        <w:t>ولعل هذا هو مقصود</w:t>
      </w:r>
      <w:r w:rsidR="00F57144" w:rsidRPr="00FD211F">
        <w:rPr>
          <w:sz w:val="36"/>
          <w:szCs w:val="36"/>
          <w:rtl/>
        </w:rPr>
        <w:t>مافي البحوث</w:t>
      </w:r>
      <w:r w:rsidRPr="00FD211F">
        <w:rPr>
          <w:sz w:val="36"/>
          <w:szCs w:val="36"/>
          <w:rtl/>
        </w:rPr>
        <w:t xml:space="preserve"> حينما ذكر انه ل</w:t>
      </w:r>
      <w:r w:rsidR="009977FE" w:rsidRPr="00FD211F">
        <w:rPr>
          <w:sz w:val="36"/>
          <w:szCs w:val="36"/>
          <w:rtl/>
        </w:rPr>
        <w:t>و</w:t>
      </w:r>
      <w:r w:rsidR="008D7B3D" w:rsidRPr="00FD211F">
        <w:rPr>
          <w:sz w:val="36"/>
          <w:szCs w:val="36"/>
          <w:rtl/>
        </w:rPr>
        <w:t xml:space="preserve"> لم‌</w:t>
      </w:r>
      <w:r w:rsidRPr="00FD211F">
        <w:rPr>
          <w:sz w:val="36"/>
          <w:szCs w:val="36"/>
          <w:rtl/>
        </w:rPr>
        <w:t xml:space="preserve">نقبل مبنى المحقق النائيني </w:t>
      </w:r>
      <w:r w:rsidR="00D17C80" w:rsidRPr="00FD211F">
        <w:rPr>
          <w:sz w:val="36"/>
          <w:szCs w:val="36"/>
          <w:rtl/>
        </w:rPr>
        <w:t>"</w:t>
      </w:r>
      <w:r w:rsidRPr="00FD211F">
        <w:rPr>
          <w:sz w:val="36"/>
          <w:szCs w:val="36"/>
          <w:rtl/>
        </w:rPr>
        <w:t>قده</w:t>
      </w:r>
      <w:r w:rsidR="00D17C80" w:rsidRPr="00FD211F">
        <w:rPr>
          <w:sz w:val="36"/>
          <w:szCs w:val="36"/>
          <w:rtl/>
        </w:rPr>
        <w:t>"</w:t>
      </w:r>
      <w:r w:rsidRPr="00FD211F">
        <w:rPr>
          <w:sz w:val="36"/>
          <w:szCs w:val="36"/>
          <w:rtl/>
        </w:rPr>
        <w:t xml:space="preserve"> من ان استحال</w:t>
      </w:r>
      <w:r w:rsidR="00EC7EDF" w:rsidRPr="00FD211F">
        <w:rPr>
          <w:sz w:val="36"/>
          <w:szCs w:val="36"/>
          <w:rtl/>
        </w:rPr>
        <w:t xml:space="preserve">ة </w:t>
      </w:r>
      <w:r w:rsidRPr="00FD211F">
        <w:rPr>
          <w:sz w:val="36"/>
          <w:szCs w:val="36"/>
          <w:rtl/>
        </w:rPr>
        <w:t>التقييد توجب استحال</w:t>
      </w:r>
      <w:r w:rsidR="00EC7EDF" w:rsidRPr="00FD211F">
        <w:rPr>
          <w:sz w:val="36"/>
          <w:szCs w:val="36"/>
          <w:rtl/>
        </w:rPr>
        <w:t xml:space="preserve">ة </w:t>
      </w:r>
      <w:r w:rsidRPr="00FD211F">
        <w:rPr>
          <w:sz w:val="36"/>
          <w:szCs w:val="36"/>
          <w:rtl/>
        </w:rPr>
        <w:t>الاطلاق فمع ذلك لاتتم مقدمات الحكم</w:t>
      </w:r>
      <w:r w:rsidR="00EC7EDF" w:rsidRPr="00FD211F">
        <w:rPr>
          <w:sz w:val="36"/>
          <w:szCs w:val="36"/>
          <w:rtl/>
        </w:rPr>
        <w:t xml:space="preserve">ة </w:t>
      </w:r>
      <w:r w:rsidRPr="00FD211F">
        <w:rPr>
          <w:sz w:val="36"/>
          <w:szCs w:val="36"/>
          <w:rtl/>
        </w:rPr>
        <w:t>لتحقق الاطلاق الإثباتي.</w:t>
      </w:r>
    </w:p>
    <w:p w14:paraId="33A4D8BC" w14:textId="77777777" w:rsidR="00F57144" w:rsidRPr="00FD211F" w:rsidRDefault="00F57144" w:rsidP="009C58C8">
      <w:pPr>
        <w:ind w:left="0" w:firstLine="227"/>
        <w:jc w:val="both"/>
        <w:rPr>
          <w:sz w:val="36"/>
          <w:szCs w:val="36"/>
          <w:rtl/>
        </w:rPr>
      </w:pPr>
      <w:r w:rsidRPr="00FD211F">
        <w:rPr>
          <w:sz w:val="36"/>
          <w:szCs w:val="36"/>
          <w:rtl/>
        </w:rPr>
        <w:t>هذاولايخفى أن صاحب الكفاي</w:t>
      </w:r>
      <w:r w:rsidR="00EC7EDF" w:rsidRPr="00FD211F">
        <w:rPr>
          <w:sz w:val="36"/>
          <w:szCs w:val="36"/>
          <w:rtl/>
        </w:rPr>
        <w:t xml:space="preserve">ة </w:t>
      </w:r>
      <w:r w:rsidR="00D17C80" w:rsidRPr="00FD211F">
        <w:rPr>
          <w:sz w:val="36"/>
          <w:szCs w:val="36"/>
          <w:rtl/>
        </w:rPr>
        <w:t>"قده"</w:t>
      </w:r>
      <w:r w:rsidRPr="00FD211F">
        <w:rPr>
          <w:sz w:val="36"/>
          <w:szCs w:val="36"/>
          <w:rtl/>
        </w:rPr>
        <w:t>ذكرفي مفهوم الشرط أن مقدمات الحكم</w:t>
      </w:r>
      <w:r w:rsidR="00EC7EDF" w:rsidRPr="00FD211F">
        <w:rPr>
          <w:sz w:val="36"/>
          <w:szCs w:val="36"/>
          <w:rtl/>
        </w:rPr>
        <w:t xml:space="preserve">ة </w:t>
      </w:r>
      <w:r w:rsidRPr="00FD211F">
        <w:rPr>
          <w:sz w:val="36"/>
          <w:szCs w:val="36"/>
          <w:rtl/>
        </w:rPr>
        <w:t>لاتتم فيماهومفادالحروف والهيئات</w:t>
      </w:r>
      <w:r w:rsidR="009C58C8" w:rsidRPr="00FD211F">
        <w:rPr>
          <w:rStyle w:val="a6"/>
          <w:sz w:val="36"/>
          <w:szCs w:val="36"/>
          <w:rtl/>
        </w:rPr>
        <w:t>(</w:t>
      </w:r>
      <w:r w:rsidR="009C58C8" w:rsidRPr="00FD211F">
        <w:rPr>
          <w:rStyle w:val="a6"/>
          <w:sz w:val="36"/>
          <w:szCs w:val="36"/>
          <w:rtl/>
        </w:rPr>
        <w:footnoteReference w:id="268"/>
      </w:r>
      <w:r w:rsidR="009C58C8" w:rsidRPr="00FD211F">
        <w:rPr>
          <w:rStyle w:val="a6"/>
          <w:sz w:val="36"/>
          <w:szCs w:val="36"/>
          <w:rtl/>
        </w:rPr>
        <w:t>)</w:t>
      </w:r>
      <w:r w:rsidR="00C803AF" w:rsidRPr="00FD211F">
        <w:rPr>
          <w:sz w:val="36"/>
          <w:szCs w:val="36"/>
          <w:rtl/>
        </w:rPr>
        <w:t>ولعل منشأاشكاله شبه</w:t>
      </w:r>
      <w:r w:rsidR="00EC7EDF" w:rsidRPr="00FD211F">
        <w:rPr>
          <w:sz w:val="36"/>
          <w:szCs w:val="36"/>
          <w:rtl/>
        </w:rPr>
        <w:t xml:space="preserve">ة </w:t>
      </w:r>
      <w:r w:rsidR="00C803AF" w:rsidRPr="00FD211F">
        <w:rPr>
          <w:sz w:val="36"/>
          <w:szCs w:val="36"/>
          <w:rtl/>
        </w:rPr>
        <w:t xml:space="preserve">عدم امكان تقييدمعنى الحروف والهيئات حيث أن لحاظه </w:t>
      </w:r>
      <w:r w:rsidR="00E1420F" w:rsidRPr="00FD211F">
        <w:rPr>
          <w:sz w:val="36"/>
          <w:szCs w:val="36"/>
          <w:rtl/>
        </w:rPr>
        <w:t>لابدأن يكون آلياوالتقييديحتاج</w:t>
      </w:r>
      <w:r w:rsidR="00B253CE" w:rsidRPr="00FD211F">
        <w:rPr>
          <w:sz w:val="36"/>
          <w:szCs w:val="36"/>
          <w:rtl/>
        </w:rPr>
        <w:t xml:space="preserve"> </w:t>
      </w:r>
      <w:r w:rsidR="00E1420F" w:rsidRPr="00FD211F">
        <w:rPr>
          <w:sz w:val="36"/>
          <w:szCs w:val="36"/>
          <w:rtl/>
        </w:rPr>
        <w:t>الى اللحاظ الاستقلالي ولكن الظاهرعدم التزامه هذاالاشكال كمايطهرمن كلماته في بحث الواجب المشروط وبحث دوران امرالقيدبين رجوعه الى الهيئ</w:t>
      </w:r>
      <w:r w:rsidR="00EC7EDF" w:rsidRPr="00FD211F">
        <w:rPr>
          <w:sz w:val="36"/>
          <w:szCs w:val="36"/>
          <w:rtl/>
        </w:rPr>
        <w:t xml:space="preserve">ة </w:t>
      </w:r>
      <w:r w:rsidR="00E1420F" w:rsidRPr="00FD211F">
        <w:rPr>
          <w:sz w:val="36"/>
          <w:szCs w:val="36"/>
          <w:rtl/>
        </w:rPr>
        <w:t>اوالماد</w:t>
      </w:r>
      <w:r w:rsidR="00EC7EDF" w:rsidRPr="00FD211F">
        <w:rPr>
          <w:sz w:val="36"/>
          <w:szCs w:val="36"/>
          <w:rtl/>
        </w:rPr>
        <w:t>ة</w:t>
      </w:r>
      <w:r w:rsidR="00A61BAE" w:rsidRPr="00FD211F">
        <w:rPr>
          <w:sz w:val="36"/>
          <w:szCs w:val="36"/>
          <w:rtl/>
        </w:rPr>
        <w:t>.</w:t>
      </w:r>
    </w:p>
    <w:p w14:paraId="561B8122" w14:textId="77777777" w:rsidR="009E5A6D" w:rsidRPr="00FD211F" w:rsidRDefault="009E5A6D" w:rsidP="009C58C8">
      <w:pPr>
        <w:ind w:left="0" w:firstLine="227"/>
        <w:jc w:val="both"/>
        <w:rPr>
          <w:sz w:val="36"/>
          <w:szCs w:val="36"/>
          <w:rtl/>
        </w:rPr>
      </w:pPr>
      <w:r w:rsidRPr="00FD211F">
        <w:rPr>
          <w:b/>
          <w:bCs/>
          <w:sz w:val="36"/>
          <w:szCs w:val="36"/>
          <w:rtl/>
        </w:rPr>
        <w:t>الثمر</w:t>
      </w:r>
      <w:r w:rsidR="00EC7EDF" w:rsidRPr="00FD211F">
        <w:rPr>
          <w:b/>
          <w:bCs/>
          <w:sz w:val="36"/>
          <w:szCs w:val="36"/>
          <w:rtl/>
        </w:rPr>
        <w:t xml:space="preserve">ة </w:t>
      </w: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Pr="00FD211F">
        <w:rPr>
          <w:sz w:val="36"/>
          <w:szCs w:val="36"/>
          <w:rtl/>
        </w:rPr>
        <w:t xml:space="preserve"> ما في البحوث </w:t>
      </w:r>
      <w:r w:rsidR="00D17C80" w:rsidRPr="00FD211F">
        <w:rPr>
          <w:sz w:val="36"/>
          <w:szCs w:val="36"/>
          <w:rtl/>
        </w:rPr>
        <w:t>ايضا</w:t>
      </w:r>
      <w:r w:rsidRPr="00FD211F">
        <w:rPr>
          <w:sz w:val="36"/>
          <w:szCs w:val="36"/>
          <w:rtl/>
        </w:rPr>
        <w:t>ومحصله انه بناء على ان جزئي</w:t>
      </w:r>
      <w:r w:rsidR="00EC7EDF" w:rsidRPr="00FD211F">
        <w:rPr>
          <w:sz w:val="36"/>
          <w:szCs w:val="36"/>
          <w:rtl/>
        </w:rPr>
        <w:t xml:space="preserve">ة </w:t>
      </w:r>
      <w:r w:rsidRPr="00FD211F">
        <w:rPr>
          <w:sz w:val="36"/>
          <w:szCs w:val="36"/>
          <w:rtl/>
        </w:rPr>
        <w:t>معنى الحرف والهيئ</w:t>
      </w:r>
      <w:r w:rsidR="00EC7EDF" w:rsidRPr="00FD211F">
        <w:rPr>
          <w:sz w:val="36"/>
          <w:szCs w:val="36"/>
          <w:rtl/>
        </w:rPr>
        <w:t xml:space="preserve">ة </w:t>
      </w:r>
      <w:r w:rsidRPr="00FD211F">
        <w:rPr>
          <w:sz w:val="36"/>
          <w:szCs w:val="36"/>
          <w:rtl/>
        </w:rPr>
        <w:t>ليست جزئي</w:t>
      </w:r>
      <w:r w:rsidR="00EC7EDF" w:rsidRPr="00FD211F">
        <w:rPr>
          <w:sz w:val="36"/>
          <w:szCs w:val="36"/>
          <w:rtl/>
        </w:rPr>
        <w:t xml:space="preserve">ة </w:t>
      </w:r>
      <w:r w:rsidRPr="00FD211F">
        <w:rPr>
          <w:sz w:val="36"/>
          <w:szCs w:val="36"/>
          <w:rtl/>
        </w:rPr>
        <w:t>حقيق</w:t>
      </w:r>
      <w:r w:rsidR="00EC7EDF" w:rsidRPr="00FD211F">
        <w:rPr>
          <w:sz w:val="36"/>
          <w:szCs w:val="36"/>
          <w:rtl/>
        </w:rPr>
        <w:t xml:space="preserve">ة </w:t>
      </w:r>
      <w:r w:rsidRPr="00FD211F">
        <w:rPr>
          <w:sz w:val="36"/>
          <w:szCs w:val="36"/>
          <w:rtl/>
        </w:rPr>
        <w:t>وانما هي جزئي</w:t>
      </w:r>
      <w:r w:rsidR="00EC7EDF" w:rsidRPr="00FD211F">
        <w:rPr>
          <w:sz w:val="36"/>
          <w:szCs w:val="36"/>
          <w:rtl/>
        </w:rPr>
        <w:t xml:space="preserve">ة </w:t>
      </w:r>
      <w:r w:rsidRPr="00FD211F">
        <w:rPr>
          <w:sz w:val="36"/>
          <w:szCs w:val="36"/>
          <w:rtl/>
        </w:rPr>
        <w:t>طرفي</w:t>
      </w:r>
      <w:r w:rsidR="00EC7EDF" w:rsidRPr="00FD211F">
        <w:rPr>
          <w:sz w:val="36"/>
          <w:szCs w:val="36"/>
          <w:rtl/>
        </w:rPr>
        <w:t xml:space="preserve">ة </w:t>
      </w:r>
      <w:r w:rsidRPr="00FD211F">
        <w:rPr>
          <w:sz w:val="36"/>
          <w:szCs w:val="36"/>
          <w:rtl/>
        </w:rPr>
        <w:t>فمع اكتمال الطرف الذي يتقوم به معنى الحرف والهيئ</w:t>
      </w:r>
      <w:r w:rsidR="00EC7EDF" w:rsidRPr="00FD211F">
        <w:rPr>
          <w:sz w:val="36"/>
          <w:szCs w:val="36"/>
          <w:rtl/>
        </w:rPr>
        <w:t xml:space="preserve">ة </w:t>
      </w:r>
      <w:r w:rsidRPr="00FD211F">
        <w:rPr>
          <w:sz w:val="36"/>
          <w:szCs w:val="36"/>
          <w:rtl/>
        </w:rPr>
        <w:t>فيكون المعنى بحكم المعنى الاسمي في كونه كليا ودالا على الطبيع</w:t>
      </w:r>
      <w:r w:rsidR="00EC7EDF" w:rsidRPr="00FD211F">
        <w:rPr>
          <w:sz w:val="36"/>
          <w:szCs w:val="36"/>
          <w:rtl/>
        </w:rPr>
        <w:t xml:space="preserve">ة </w:t>
      </w:r>
      <w:r w:rsidRPr="00FD211F">
        <w:rPr>
          <w:sz w:val="36"/>
          <w:szCs w:val="36"/>
          <w:rtl/>
        </w:rPr>
        <w:t>لاالفرد</w:t>
      </w:r>
      <w:r w:rsidR="00603323" w:rsidRPr="00FD211F">
        <w:rPr>
          <w:sz w:val="36"/>
          <w:szCs w:val="36"/>
          <w:rtl/>
        </w:rPr>
        <w:t xml:space="preserve">، </w:t>
      </w:r>
      <w:r w:rsidRPr="00FD211F">
        <w:rPr>
          <w:sz w:val="36"/>
          <w:szCs w:val="36"/>
          <w:rtl/>
        </w:rPr>
        <w:t>فيمكن التمسك باطلاق هيئ</w:t>
      </w:r>
      <w:r w:rsidR="00EC7EDF" w:rsidRPr="00FD211F">
        <w:rPr>
          <w:sz w:val="36"/>
          <w:szCs w:val="36"/>
          <w:rtl/>
        </w:rPr>
        <w:t xml:space="preserve">ة </w:t>
      </w:r>
      <w:r w:rsidRPr="00FD211F">
        <w:rPr>
          <w:sz w:val="36"/>
          <w:szCs w:val="36"/>
          <w:rtl/>
        </w:rPr>
        <w:t>الأمر في جمل</w:t>
      </w:r>
      <w:r w:rsidR="00EC7EDF" w:rsidRPr="00FD211F">
        <w:rPr>
          <w:sz w:val="36"/>
          <w:szCs w:val="36"/>
          <w:rtl/>
        </w:rPr>
        <w:t xml:space="preserve">ة </w:t>
      </w:r>
      <w:r w:rsidRPr="00FD211F">
        <w:rPr>
          <w:sz w:val="36"/>
          <w:szCs w:val="36"/>
          <w:rtl/>
        </w:rPr>
        <w:t>الجزاء لاثبات ان المعلق على الشرط هو طبيعي الوجوب لاشخص الوجوب المذكور في الجمل</w:t>
      </w:r>
      <w:r w:rsidR="00EC7EDF" w:rsidRPr="00FD211F">
        <w:rPr>
          <w:sz w:val="36"/>
          <w:szCs w:val="36"/>
          <w:rtl/>
        </w:rPr>
        <w:t xml:space="preserve">ة </w:t>
      </w:r>
      <w:r w:rsidRPr="00FD211F">
        <w:rPr>
          <w:sz w:val="36"/>
          <w:szCs w:val="36"/>
          <w:rtl/>
        </w:rPr>
        <w:t>الشرطي</w:t>
      </w:r>
      <w:r w:rsidR="00EC7EDF" w:rsidRPr="00FD211F">
        <w:rPr>
          <w:sz w:val="36"/>
          <w:szCs w:val="36"/>
          <w:rtl/>
        </w:rPr>
        <w:t>ة</w:t>
      </w:r>
      <w:r w:rsidR="00603323" w:rsidRPr="00FD211F">
        <w:rPr>
          <w:sz w:val="36"/>
          <w:szCs w:val="36"/>
          <w:rtl/>
        </w:rPr>
        <w:t xml:space="preserve">، </w:t>
      </w:r>
      <w:r w:rsidRPr="00FD211F">
        <w:rPr>
          <w:sz w:val="36"/>
          <w:szCs w:val="36"/>
          <w:rtl/>
        </w:rPr>
        <w:t xml:space="preserve">فيكون مآل قولنا "ان جاءك زيد فأكرمه" الى </w:t>
      </w:r>
      <w:r w:rsidR="00D17C80" w:rsidRPr="00FD211F">
        <w:rPr>
          <w:sz w:val="36"/>
          <w:szCs w:val="36"/>
          <w:rtl/>
        </w:rPr>
        <w:t xml:space="preserve">ان يقال </w:t>
      </w:r>
      <w:r w:rsidRPr="00FD211F">
        <w:rPr>
          <w:sz w:val="36"/>
          <w:szCs w:val="36"/>
          <w:rtl/>
        </w:rPr>
        <w:t>"ان طبيعي وجوب اكرام زيد معلق على مجيئه"</w:t>
      </w:r>
      <w:r w:rsidR="00603323" w:rsidRPr="00FD211F">
        <w:rPr>
          <w:sz w:val="36"/>
          <w:szCs w:val="36"/>
          <w:rtl/>
        </w:rPr>
        <w:t xml:space="preserve">، </w:t>
      </w:r>
      <w:r w:rsidRPr="00FD211F">
        <w:rPr>
          <w:sz w:val="36"/>
          <w:szCs w:val="36"/>
          <w:rtl/>
        </w:rPr>
        <w:t>وهذا يعني انه بانتفاء الشرط ينتفي سنخ الحكم لاشخصه فقط</w:t>
      </w:r>
      <w:r w:rsidR="00603323" w:rsidRPr="00FD211F">
        <w:rPr>
          <w:sz w:val="36"/>
          <w:szCs w:val="36"/>
          <w:rtl/>
        </w:rPr>
        <w:t xml:space="preserve">، </w:t>
      </w:r>
      <w:r w:rsidRPr="00FD211F">
        <w:rPr>
          <w:sz w:val="36"/>
          <w:szCs w:val="36"/>
          <w:rtl/>
        </w:rPr>
        <w:t>وبذلك يتم المفهوم المطلق للجمل</w:t>
      </w:r>
      <w:r w:rsidR="00EC7EDF" w:rsidRPr="00FD211F">
        <w:rPr>
          <w:sz w:val="36"/>
          <w:szCs w:val="36"/>
          <w:rtl/>
        </w:rPr>
        <w:t xml:space="preserve">ة </w:t>
      </w:r>
      <w:r w:rsidRPr="00FD211F">
        <w:rPr>
          <w:sz w:val="36"/>
          <w:szCs w:val="36"/>
          <w:rtl/>
        </w:rPr>
        <w:t>الشرطي</w:t>
      </w:r>
      <w:r w:rsidR="00EC7EDF" w:rsidRPr="00FD211F">
        <w:rPr>
          <w:sz w:val="36"/>
          <w:szCs w:val="36"/>
          <w:rtl/>
        </w:rPr>
        <w:t>ة</w:t>
      </w:r>
      <w:r w:rsidR="00603323" w:rsidRPr="00FD211F">
        <w:rPr>
          <w:sz w:val="36"/>
          <w:szCs w:val="36"/>
          <w:rtl/>
        </w:rPr>
        <w:t xml:space="preserve">، </w:t>
      </w:r>
      <w:r w:rsidRPr="00FD211F">
        <w:rPr>
          <w:sz w:val="36"/>
          <w:szCs w:val="36"/>
          <w:rtl/>
        </w:rPr>
        <w:t>وأما لو قلنا بان معنى الهيئ</w:t>
      </w:r>
      <w:r w:rsidR="00EC7EDF" w:rsidRPr="00FD211F">
        <w:rPr>
          <w:sz w:val="36"/>
          <w:szCs w:val="36"/>
          <w:rtl/>
        </w:rPr>
        <w:t xml:space="preserve">ة </w:t>
      </w:r>
      <w:r w:rsidRPr="00FD211F">
        <w:rPr>
          <w:sz w:val="36"/>
          <w:szCs w:val="36"/>
          <w:rtl/>
        </w:rPr>
        <w:t>جزئي حقيقي ولايدل على طبيعي الحكم فغاي</w:t>
      </w:r>
      <w:r w:rsidR="00EC7EDF" w:rsidRPr="00FD211F">
        <w:rPr>
          <w:sz w:val="36"/>
          <w:szCs w:val="36"/>
          <w:rtl/>
        </w:rPr>
        <w:t xml:space="preserve">ة </w:t>
      </w:r>
      <w:r w:rsidRPr="00FD211F">
        <w:rPr>
          <w:sz w:val="36"/>
          <w:szCs w:val="36"/>
          <w:rtl/>
        </w:rPr>
        <w:t>ما تدل عليه الجمل</w:t>
      </w:r>
      <w:r w:rsidR="00EC7EDF" w:rsidRPr="00FD211F">
        <w:rPr>
          <w:sz w:val="36"/>
          <w:szCs w:val="36"/>
          <w:rtl/>
        </w:rPr>
        <w:t xml:space="preserve">ة </w:t>
      </w:r>
      <w:r w:rsidRPr="00FD211F">
        <w:rPr>
          <w:sz w:val="36"/>
          <w:szCs w:val="36"/>
          <w:rtl/>
        </w:rPr>
        <w:t>الشرطي</w:t>
      </w:r>
      <w:r w:rsidR="00EC7EDF" w:rsidRPr="00FD211F">
        <w:rPr>
          <w:sz w:val="36"/>
          <w:szCs w:val="36"/>
          <w:rtl/>
        </w:rPr>
        <w:t xml:space="preserve">ة </w:t>
      </w:r>
      <w:r w:rsidRPr="00FD211F">
        <w:rPr>
          <w:sz w:val="36"/>
          <w:szCs w:val="36"/>
          <w:rtl/>
        </w:rPr>
        <w:t>في مثل قولنا ان جاءك زيد فاكرمه هو ان شخص هذا الوج</w:t>
      </w:r>
      <w:r w:rsidR="00251CB6" w:rsidRPr="00FD211F">
        <w:rPr>
          <w:sz w:val="36"/>
          <w:szCs w:val="36"/>
          <w:rtl/>
        </w:rPr>
        <w:t>وب المنشأ في الخطاب معلق على مجيء</w:t>
      </w:r>
      <w:r w:rsidRPr="00FD211F">
        <w:rPr>
          <w:sz w:val="36"/>
          <w:szCs w:val="36"/>
          <w:rtl/>
        </w:rPr>
        <w:t xml:space="preserve"> زيد</w:t>
      </w:r>
      <w:r w:rsidR="00603323" w:rsidRPr="00FD211F">
        <w:rPr>
          <w:sz w:val="36"/>
          <w:szCs w:val="36"/>
          <w:rtl/>
        </w:rPr>
        <w:t xml:space="preserve">، </w:t>
      </w:r>
      <w:r w:rsidRPr="00FD211F">
        <w:rPr>
          <w:sz w:val="36"/>
          <w:szCs w:val="36"/>
          <w:rtl/>
        </w:rPr>
        <w:t xml:space="preserve">ولاينفي ان يكون هناك وجوب آخر لإكرام زيد معلقا على </w:t>
      </w:r>
      <w:r w:rsidR="008D7B3D" w:rsidRPr="00FD211F">
        <w:rPr>
          <w:sz w:val="36"/>
          <w:szCs w:val="36"/>
          <w:rtl/>
        </w:rPr>
        <w:t xml:space="preserve">شيء </w:t>
      </w:r>
      <w:r w:rsidRPr="00FD211F">
        <w:rPr>
          <w:sz w:val="36"/>
          <w:szCs w:val="36"/>
          <w:rtl/>
        </w:rPr>
        <w:t>آخر</w:t>
      </w:r>
      <w:r w:rsidR="009C58C8" w:rsidRPr="00FD211F">
        <w:rPr>
          <w:rStyle w:val="a6"/>
          <w:sz w:val="36"/>
          <w:szCs w:val="36"/>
          <w:rtl/>
        </w:rPr>
        <w:t>(</w:t>
      </w:r>
      <w:r w:rsidR="009C58C8" w:rsidRPr="00FD211F">
        <w:rPr>
          <w:rStyle w:val="a6"/>
          <w:sz w:val="36"/>
          <w:szCs w:val="36"/>
          <w:rtl/>
        </w:rPr>
        <w:footnoteReference w:id="269"/>
      </w:r>
      <w:r w:rsidR="009C58C8" w:rsidRPr="00FD211F">
        <w:rPr>
          <w:rStyle w:val="a6"/>
          <w:sz w:val="36"/>
          <w:szCs w:val="36"/>
          <w:rtl/>
        </w:rPr>
        <w:t>)</w:t>
      </w:r>
      <w:r w:rsidRPr="00FD211F">
        <w:rPr>
          <w:sz w:val="36"/>
          <w:szCs w:val="36"/>
          <w:rtl/>
        </w:rPr>
        <w:t>.</w:t>
      </w:r>
    </w:p>
    <w:p w14:paraId="7835D136" w14:textId="77777777" w:rsidR="009E5A6D" w:rsidRPr="00FD211F" w:rsidRDefault="009E5A6D" w:rsidP="009C58C8">
      <w:pPr>
        <w:ind w:left="0" w:firstLine="227"/>
        <w:jc w:val="both"/>
        <w:rPr>
          <w:sz w:val="36"/>
          <w:szCs w:val="36"/>
          <w:rtl/>
        </w:rPr>
      </w:pPr>
      <w:r w:rsidRPr="00FD211F">
        <w:rPr>
          <w:sz w:val="36"/>
          <w:szCs w:val="36"/>
          <w:rtl/>
        </w:rPr>
        <w:t>اقول: انه لايخفى ان مجرد الالتزام بكون معنى الهيئ</w:t>
      </w:r>
      <w:r w:rsidR="00EC7EDF" w:rsidRPr="00FD211F">
        <w:rPr>
          <w:sz w:val="36"/>
          <w:szCs w:val="36"/>
          <w:rtl/>
        </w:rPr>
        <w:t xml:space="preserve">ة </w:t>
      </w:r>
      <w:r w:rsidRPr="00FD211F">
        <w:rPr>
          <w:sz w:val="36"/>
          <w:szCs w:val="36"/>
          <w:rtl/>
        </w:rPr>
        <w:t>كليا لايكفي لإثبات المفهوم المطلق للجمل</w:t>
      </w:r>
      <w:r w:rsidR="00EC7EDF" w:rsidRPr="00FD211F">
        <w:rPr>
          <w:sz w:val="36"/>
          <w:szCs w:val="36"/>
          <w:rtl/>
        </w:rPr>
        <w:t xml:space="preserve">ة </w:t>
      </w:r>
      <w:r w:rsidRPr="00FD211F">
        <w:rPr>
          <w:sz w:val="36"/>
          <w:szCs w:val="36"/>
          <w:rtl/>
        </w:rPr>
        <w:t>الشرطي</w:t>
      </w:r>
      <w:r w:rsidR="00EC7EDF" w:rsidRPr="00FD211F">
        <w:rPr>
          <w:sz w:val="36"/>
          <w:szCs w:val="36"/>
          <w:rtl/>
        </w:rPr>
        <w:t>ة</w:t>
      </w:r>
      <w:r w:rsidR="00603323" w:rsidRPr="00FD211F">
        <w:rPr>
          <w:sz w:val="36"/>
          <w:szCs w:val="36"/>
          <w:rtl/>
        </w:rPr>
        <w:t xml:space="preserve">، </w:t>
      </w:r>
      <w:r w:rsidRPr="00FD211F">
        <w:rPr>
          <w:sz w:val="36"/>
          <w:szCs w:val="36"/>
          <w:rtl/>
        </w:rPr>
        <w:t>حيث ان غايته صيرور</w:t>
      </w:r>
      <w:r w:rsidR="00EC7EDF" w:rsidRPr="00FD211F">
        <w:rPr>
          <w:sz w:val="36"/>
          <w:szCs w:val="36"/>
          <w:rtl/>
        </w:rPr>
        <w:t xml:space="preserve">ة </w:t>
      </w:r>
      <w:r w:rsidRPr="00FD211F">
        <w:rPr>
          <w:sz w:val="36"/>
          <w:szCs w:val="36"/>
          <w:rtl/>
        </w:rPr>
        <w:t>هيئ</w:t>
      </w:r>
      <w:r w:rsidR="00EC7EDF" w:rsidRPr="00FD211F">
        <w:rPr>
          <w:sz w:val="36"/>
          <w:szCs w:val="36"/>
          <w:rtl/>
        </w:rPr>
        <w:t xml:space="preserve">ة </w:t>
      </w:r>
      <w:r w:rsidRPr="00FD211F">
        <w:rPr>
          <w:sz w:val="36"/>
          <w:szCs w:val="36"/>
          <w:rtl/>
        </w:rPr>
        <w:t>الأمر في جمل</w:t>
      </w:r>
      <w:r w:rsidR="00EC7EDF" w:rsidRPr="00FD211F">
        <w:rPr>
          <w:sz w:val="36"/>
          <w:szCs w:val="36"/>
          <w:rtl/>
        </w:rPr>
        <w:t xml:space="preserve">ة </w:t>
      </w:r>
      <w:r w:rsidRPr="00FD211F">
        <w:rPr>
          <w:sz w:val="36"/>
          <w:szCs w:val="36"/>
          <w:rtl/>
        </w:rPr>
        <w:t>الجزاء مثل ما لو دلّت جمل</w:t>
      </w:r>
      <w:r w:rsidR="00EC7EDF" w:rsidRPr="00FD211F">
        <w:rPr>
          <w:sz w:val="36"/>
          <w:szCs w:val="36"/>
          <w:rtl/>
        </w:rPr>
        <w:t xml:space="preserve">ة </w:t>
      </w:r>
      <w:r w:rsidRPr="00FD211F">
        <w:rPr>
          <w:sz w:val="36"/>
          <w:szCs w:val="36"/>
          <w:rtl/>
        </w:rPr>
        <w:t xml:space="preserve">الجزاء على الوجوب بنحو المفهوم الاسمي كما في قولنا </w:t>
      </w:r>
      <w:r w:rsidR="00F372DC" w:rsidRPr="00FD211F">
        <w:rPr>
          <w:sz w:val="36"/>
          <w:szCs w:val="36"/>
          <w:rtl/>
        </w:rPr>
        <w:t>"ان جاءك زيد فيجب اكرامه" فقد يقال</w:t>
      </w:r>
      <w:r w:rsidRPr="00FD211F">
        <w:rPr>
          <w:sz w:val="36"/>
          <w:szCs w:val="36"/>
          <w:rtl/>
        </w:rPr>
        <w:t xml:space="preserve"> انه لايستفاد منه اكثر من ثبوت الحكم على تقدير حصول الشرط</w:t>
      </w:r>
      <w:r w:rsidR="00603323" w:rsidRPr="00FD211F">
        <w:rPr>
          <w:sz w:val="36"/>
          <w:szCs w:val="36"/>
          <w:rtl/>
        </w:rPr>
        <w:t xml:space="preserve">، </w:t>
      </w:r>
      <w:r w:rsidRPr="00FD211F">
        <w:rPr>
          <w:sz w:val="36"/>
          <w:szCs w:val="36"/>
          <w:rtl/>
        </w:rPr>
        <w:t>ولاينفى به ثبوت ذلك الحكم عل</w:t>
      </w:r>
      <w:r w:rsidR="00F372DC" w:rsidRPr="00FD211F">
        <w:rPr>
          <w:sz w:val="36"/>
          <w:szCs w:val="36"/>
          <w:rtl/>
        </w:rPr>
        <w:t>ى تقدير حصول شرط آخر</w:t>
      </w:r>
      <w:r w:rsidR="00603323" w:rsidRPr="00FD211F">
        <w:rPr>
          <w:sz w:val="36"/>
          <w:szCs w:val="36"/>
          <w:rtl/>
        </w:rPr>
        <w:t xml:space="preserve">، </w:t>
      </w:r>
      <w:r w:rsidR="00F372DC" w:rsidRPr="00FD211F">
        <w:rPr>
          <w:sz w:val="36"/>
          <w:szCs w:val="36"/>
          <w:rtl/>
        </w:rPr>
        <w:t>نظير قوله</w:t>
      </w:r>
      <w:r w:rsidRPr="00FD211F">
        <w:rPr>
          <w:sz w:val="36"/>
          <w:szCs w:val="36"/>
          <w:rtl/>
        </w:rPr>
        <w:t>: ان قتلت مؤمنا دخلت النار وان شربت السمّ تموت</w:t>
      </w:r>
      <w:r w:rsidR="00603323" w:rsidRPr="00FD211F">
        <w:rPr>
          <w:sz w:val="36"/>
          <w:szCs w:val="36"/>
          <w:rtl/>
        </w:rPr>
        <w:t xml:space="preserve">، </w:t>
      </w:r>
      <w:r w:rsidRPr="00FD211F">
        <w:rPr>
          <w:sz w:val="36"/>
          <w:szCs w:val="36"/>
          <w:rtl/>
        </w:rPr>
        <w:t>فانه لايستفاد منهما انتفاء الجزاء عند انتفاء الشرط مطلقا</w:t>
      </w:r>
      <w:r w:rsidR="00603323" w:rsidRPr="00FD211F">
        <w:rPr>
          <w:sz w:val="36"/>
          <w:szCs w:val="36"/>
          <w:rtl/>
        </w:rPr>
        <w:t xml:space="preserve">، </w:t>
      </w:r>
      <w:r w:rsidRPr="00FD211F">
        <w:rPr>
          <w:sz w:val="36"/>
          <w:szCs w:val="36"/>
          <w:rtl/>
        </w:rPr>
        <w:t>نعم الالتزام بجزئي</w:t>
      </w:r>
      <w:r w:rsidR="00EC7EDF" w:rsidRPr="00FD211F">
        <w:rPr>
          <w:sz w:val="36"/>
          <w:szCs w:val="36"/>
          <w:rtl/>
        </w:rPr>
        <w:t xml:space="preserve">ة </w:t>
      </w:r>
      <w:r w:rsidRPr="00FD211F">
        <w:rPr>
          <w:sz w:val="36"/>
          <w:szCs w:val="36"/>
          <w:rtl/>
        </w:rPr>
        <w:t>معنى الهيئ</w:t>
      </w:r>
      <w:r w:rsidR="00EC7EDF" w:rsidRPr="00FD211F">
        <w:rPr>
          <w:sz w:val="36"/>
          <w:szCs w:val="36"/>
          <w:rtl/>
        </w:rPr>
        <w:t xml:space="preserve">ة </w:t>
      </w:r>
      <w:r w:rsidRPr="00FD211F">
        <w:rPr>
          <w:sz w:val="36"/>
          <w:szCs w:val="36"/>
          <w:rtl/>
        </w:rPr>
        <w:t>مانع عن استفاد</w:t>
      </w:r>
      <w:r w:rsidR="00EC7EDF" w:rsidRPr="00FD211F">
        <w:rPr>
          <w:sz w:val="36"/>
          <w:szCs w:val="36"/>
          <w:rtl/>
        </w:rPr>
        <w:t xml:space="preserve">ة </w:t>
      </w:r>
      <w:r w:rsidRPr="00FD211F">
        <w:rPr>
          <w:sz w:val="36"/>
          <w:szCs w:val="36"/>
          <w:rtl/>
        </w:rPr>
        <w:t>المفهوم المطلق من الجمل</w:t>
      </w:r>
      <w:r w:rsidR="00EC7EDF" w:rsidRPr="00FD211F">
        <w:rPr>
          <w:sz w:val="36"/>
          <w:szCs w:val="36"/>
          <w:rtl/>
        </w:rPr>
        <w:t xml:space="preserve">ة </w:t>
      </w:r>
      <w:r w:rsidRPr="00FD211F">
        <w:rPr>
          <w:sz w:val="36"/>
          <w:szCs w:val="36"/>
          <w:rtl/>
        </w:rPr>
        <w:t>الشرطي</w:t>
      </w:r>
      <w:r w:rsidR="00EC7EDF" w:rsidRPr="00FD211F">
        <w:rPr>
          <w:sz w:val="36"/>
          <w:szCs w:val="36"/>
          <w:rtl/>
        </w:rPr>
        <w:t xml:space="preserve">ة </w:t>
      </w:r>
      <w:r w:rsidRPr="00FD211F">
        <w:rPr>
          <w:sz w:val="36"/>
          <w:szCs w:val="36"/>
          <w:rtl/>
        </w:rPr>
        <w:t>جزما</w:t>
      </w:r>
      <w:r w:rsidR="00603323" w:rsidRPr="00FD211F">
        <w:rPr>
          <w:sz w:val="36"/>
          <w:szCs w:val="36"/>
          <w:rtl/>
        </w:rPr>
        <w:t xml:space="preserve">، </w:t>
      </w:r>
      <w:r w:rsidRPr="00FD211F">
        <w:rPr>
          <w:sz w:val="36"/>
          <w:szCs w:val="36"/>
          <w:rtl/>
        </w:rPr>
        <w:t xml:space="preserve">ولعله </w:t>
      </w:r>
      <w:r w:rsidR="00F372DC" w:rsidRPr="00FD211F">
        <w:rPr>
          <w:sz w:val="36"/>
          <w:szCs w:val="36"/>
          <w:rtl/>
        </w:rPr>
        <w:t>"</w:t>
      </w:r>
      <w:r w:rsidRPr="00FD211F">
        <w:rPr>
          <w:sz w:val="36"/>
          <w:szCs w:val="36"/>
          <w:rtl/>
        </w:rPr>
        <w:t>قده</w:t>
      </w:r>
      <w:r w:rsidR="00F372DC" w:rsidRPr="00FD211F">
        <w:rPr>
          <w:sz w:val="36"/>
          <w:szCs w:val="36"/>
          <w:rtl/>
        </w:rPr>
        <w:t>"</w:t>
      </w:r>
      <w:r w:rsidR="008D7B3D" w:rsidRPr="00FD211F">
        <w:rPr>
          <w:sz w:val="36"/>
          <w:szCs w:val="36"/>
          <w:rtl/>
        </w:rPr>
        <w:t xml:space="preserve"> لم‌</w:t>
      </w:r>
      <w:r w:rsidRPr="00FD211F">
        <w:rPr>
          <w:sz w:val="36"/>
          <w:szCs w:val="36"/>
          <w:rtl/>
        </w:rPr>
        <w:t>يرد اثبات اكثر من ذلك.</w:t>
      </w:r>
    </w:p>
    <w:p w14:paraId="43A7F8FB" w14:textId="77777777" w:rsidR="009E5A6D" w:rsidRPr="00FD211F" w:rsidRDefault="009E5A6D" w:rsidP="009C58C8">
      <w:pPr>
        <w:ind w:left="0" w:firstLine="227"/>
        <w:jc w:val="both"/>
        <w:rPr>
          <w:sz w:val="36"/>
          <w:szCs w:val="36"/>
          <w:rtl/>
        </w:rPr>
      </w:pPr>
      <w:r w:rsidRPr="00FD211F">
        <w:rPr>
          <w:b/>
          <w:bCs/>
          <w:sz w:val="36"/>
          <w:szCs w:val="36"/>
          <w:rtl/>
        </w:rPr>
        <w:t>الثمر</w:t>
      </w:r>
      <w:r w:rsidR="00EC7EDF" w:rsidRPr="00FD211F">
        <w:rPr>
          <w:b/>
          <w:bCs/>
          <w:sz w:val="36"/>
          <w:szCs w:val="36"/>
          <w:rtl/>
        </w:rPr>
        <w:t xml:space="preserve">ة </w:t>
      </w:r>
      <w:r w:rsidRPr="00FD211F">
        <w:rPr>
          <w:b/>
          <w:bCs/>
          <w:sz w:val="36"/>
          <w:szCs w:val="36"/>
          <w:rtl/>
        </w:rPr>
        <w:t>الرابع</w:t>
      </w:r>
      <w:r w:rsidR="00EC7EDF" w:rsidRPr="00FD211F">
        <w:rPr>
          <w:b/>
          <w:bCs/>
          <w:sz w:val="36"/>
          <w:szCs w:val="36"/>
          <w:rtl/>
        </w:rPr>
        <w:t>ة</w:t>
      </w:r>
      <w:r w:rsidR="00057D31" w:rsidRPr="00FD211F">
        <w:rPr>
          <w:b/>
          <w:bCs/>
          <w:sz w:val="36"/>
          <w:szCs w:val="36"/>
          <w:rtl/>
        </w:rPr>
        <w:t>:</w:t>
      </w:r>
      <w:r w:rsidR="00F372DC" w:rsidRPr="00FD211F">
        <w:rPr>
          <w:sz w:val="36"/>
          <w:szCs w:val="36"/>
          <w:rtl/>
        </w:rPr>
        <w:t>ما</w:t>
      </w:r>
      <w:r w:rsidRPr="00FD211F">
        <w:rPr>
          <w:sz w:val="36"/>
          <w:szCs w:val="36"/>
          <w:rtl/>
        </w:rPr>
        <w:t xml:space="preserve"> في البحوث</w:t>
      </w:r>
      <w:r w:rsidR="00F372DC" w:rsidRPr="00FD211F">
        <w:rPr>
          <w:sz w:val="36"/>
          <w:szCs w:val="36"/>
          <w:rtl/>
        </w:rPr>
        <w:t xml:space="preserve"> ايضا</w:t>
      </w:r>
      <w:r w:rsidR="00A6761C" w:rsidRPr="00FD211F">
        <w:rPr>
          <w:sz w:val="36"/>
          <w:szCs w:val="36"/>
          <w:rtl/>
        </w:rPr>
        <w:t xml:space="preserve"> </w:t>
      </w:r>
      <w:r w:rsidR="00F372DC" w:rsidRPr="00FD211F">
        <w:rPr>
          <w:sz w:val="36"/>
          <w:szCs w:val="36"/>
          <w:rtl/>
        </w:rPr>
        <w:t>من</w:t>
      </w:r>
      <w:r w:rsidR="00B253CE" w:rsidRPr="00FD211F">
        <w:rPr>
          <w:sz w:val="36"/>
          <w:szCs w:val="36"/>
          <w:rtl/>
        </w:rPr>
        <w:t xml:space="preserve"> </w:t>
      </w:r>
      <w:r w:rsidRPr="00FD211F">
        <w:rPr>
          <w:sz w:val="36"/>
          <w:szCs w:val="36"/>
          <w:rtl/>
        </w:rPr>
        <w:t>ان ثمر</w:t>
      </w:r>
      <w:r w:rsidR="00EC7EDF" w:rsidRPr="00FD211F">
        <w:rPr>
          <w:sz w:val="36"/>
          <w:szCs w:val="36"/>
          <w:rtl/>
        </w:rPr>
        <w:t xml:space="preserve">ة </w:t>
      </w:r>
      <w:r w:rsidRPr="00FD211F">
        <w:rPr>
          <w:sz w:val="36"/>
          <w:szCs w:val="36"/>
          <w:rtl/>
        </w:rPr>
        <w:t>البحث عن كون النسب</w:t>
      </w:r>
      <w:r w:rsidR="00EC7EDF" w:rsidRPr="00FD211F">
        <w:rPr>
          <w:sz w:val="36"/>
          <w:szCs w:val="36"/>
          <w:rtl/>
        </w:rPr>
        <w:t xml:space="preserve">ة </w:t>
      </w:r>
      <w:r w:rsidRPr="00FD211F">
        <w:rPr>
          <w:sz w:val="36"/>
          <w:szCs w:val="36"/>
          <w:rtl/>
        </w:rPr>
        <w:t>ناقص</w:t>
      </w:r>
      <w:r w:rsidR="00EC7EDF" w:rsidRPr="00FD211F">
        <w:rPr>
          <w:sz w:val="36"/>
          <w:szCs w:val="36"/>
          <w:rtl/>
        </w:rPr>
        <w:t xml:space="preserve">ة </w:t>
      </w:r>
      <w:r w:rsidRPr="00FD211F">
        <w:rPr>
          <w:sz w:val="36"/>
          <w:szCs w:val="36"/>
          <w:rtl/>
        </w:rPr>
        <w:t>او تام</w:t>
      </w:r>
      <w:r w:rsidR="00EC7EDF" w:rsidRPr="00FD211F">
        <w:rPr>
          <w:sz w:val="36"/>
          <w:szCs w:val="36"/>
          <w:rtl/>
        </w:rPr>
        <w:t xml:space="preserve">ة </w:t>
      </w:r>
      <w:r w:rsidRPr="00FD211F">
        <w:rPr>
          <w:sz w:val="36"/>
          <w:szCs w:val="36"/>
          <w:rtl/>
        </w:rPr>
        <w:t>هو التمسك باطلاق الموضوع الواقع طرفا للنسب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وعدم انعقاد الاطلاق في الموضوع الواقع طرفا للنسب</w:t>
      </w:r>
      <w:r w:rsidR="00EC7EDF" w:rsidRPr="00FD211F">
        <w:rPr>
          <w:sz w:val="36"/>
          <w:szCs w:val="36"/>
          <w:rtl/>
        </w:rPr>
        <w:t xml:space="preserve">ة </w:t>
      </w:r>
      <w:r w:rsidRPr="00FD211F">
        <w:rPr>
          <w:sz w:val="36"/>
          <w:szCs w:val="36"/>
          <w:rtl/>
        </w:rPr>
        <w:t>الظرفي</w:t>
      </w:r>
      <w:r w:rsidR="00EC7EDF" w:rsidRPr="00FD211F">
        <w:rPr>
          <w:sz w:val="36"/>
          <w:szCs w:val="36"/>
          <w:rtl/>
        </w:rPr>
        <w:t>ة</w:t>
      </w:r>
      <w:r w:rsidR="00603323" w:rsidRPr="00FD211F">
        <w:rPr>
          <w:sz w:val="36"/>
          <w:szCs w:val="36"/>
          <w:rtl/>
        </w:rPr>
        <w:t xml:space="preserve">، </w:t>
      </w:r>
      <w:r w:rsidRPr="00FD211F">
        <w:rPr>
          <w:sz w:val="36"/>
          <w:szCs w:val="36"/>
          <w:rtl/>
        </w:rPr>
        <w:t>فلو قلنا بان ادا</w:t>
      </w:r>
      <w:r w:rsidR="00EC7EDF" w:rsidRPr="00FD211F">
        <w:rPr>
          <w:sz w:val="36"/>
          <w:szCs w:val="36"/>
          <w:rtl/>
        </w:rPr>
        <w:t xml:space="preserve">ة </w:t>
      </w:r>
      <w:r w:rsidRPr="00FD211F">
        <w:rPr>
          <w:sz w:val="36"/>
          <w:szCs w:val="36"/>
          <w:rtl/>
        </w:rPr>
        <w:t>الشرط تدل على نسب</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فيكون مآل قولنا "ان جاءك زيد فأكرمه" الى "أن وجوب اكرام زيد معلق على مجيئه" فيثبت تعليق طبيعي وجوب اكرام زيد على مجيئه</w:t>
      </w:r>
      <w:r w:rsidR="00603323" w:rsidRPr="00FD211F">
        <w:rPr>
          <w:sz w:val="36"/>
          <w:szCs w:val="36"/>
          <w:rtl/>
        </w:rPr>
        <w:t xml:space="preserve">، </w:t>
      </w:r>
      <w:r w:rsidRPr="00FD211F">
        <w:rPr>
          <w:sz w:val="36"/>
          <w:szCs w:val="36"/>
          <w:rtl/>
        </w:rPr>
        <w:t>وأما لو قلنا بان أدا</w:t>
      </w:r>
      <w:r w:rsidR="00EC7EDF" w:rsidRPr="00FD211F">
        <w:rPr>
          <w:sz w:val="36"/>
          <w:szCs w:val="36"/>
          <w:rtl/>
        </w:rPr>
        <w:t xml:space="preserve">ة </w:t>
      </w:r>
      <w:r w:rsidRPr="00FD211F">
        <w:rPr>
          <w:sz w:val="36"/>
          <w:szCs w:val="36"/>
          <w:rtl/>
        </w:rPr>
        <w:t>الشرط تدل على نسب</w:t>
      </w:r>
      <w:r w:rsidR="00EC7EDF" w:rsidRPr="00FD211F">
        <w:rPr>
          <w:sz w:val="36"/>
          <w:szCs w:val="36"/>
          <w:rtl/>
        </w:rPr>
        <w:t xml:space="preserve">ة </w:t>
      </w:r>
      <w:r w:rsidRPr="00FD211F">
        <w:rPr>
          <w:sz w:val="36"/>
          <w:szCs w:val="36"/>
          <w:rtl/>
        </w:rPr>
        <w:t>ناقص</w:t>
      </w:r>
      <w:r w:rsidR="00EC7EDF" w:rsidRPr="00FD211F">
        <w:rPr>
          <w:sz w:val="36"/>
          <w:szCs w:val="36"/>
          <w:rtl/>
        </w:rPr>
        <w:t xml:space="preserve">ة </w:t>
      </w:r>
      <w:r w:rsidRPr="00FD211F">
        <w:rPr>
          <w:sz w:val="36"/>
          <w:szCs w:val="36"/>
          <w:rtl/>
        </w:rPr>
        <w:t>فيكون مآل تلك الجمل</w:t>
      </w:r>
      <w:r w:rsidR="00EC7EDF" w:rsidRPr="00FD211F">
        <w:rPr>
          <w:sz w:val="36"/>
          <w:szCs w:val="36"/>
          <w:rtl/>
        </w:rPr>
        <w:t xml:space="preserve">ة </w:t>
      </w:r>
      <w:r w:rsidRPr="00FD211F">
        <w:rPr>
          <w:sz w:val="36"/>
          <w:szCs w:val="36"/>
          <w:rtl/>
        </w:rPr>
        <w:t>الشرطي</w:t>
      </w:r>
      <w:r w:rsidR="00EC7EDF" w:rsidRPr="00FD211F">
        <w:rPr>
          <w:sz w:val="36"/>
          <w:szCs w:val="36"/>
          <w:rtl/>
        </w:rPr>
        <w:t xml:space="preserve">ة </w:t>
      </w:r>
      <w:r w:rsidRPr="00FD211F">
        <w:rPr>
          <w:sz w:val="36"/>
          <w:szCs w:val="36"/>
          <w:rtl/>
        </w:rPr>
        <w:t>الى قولنا "وجوب اكرام زيد المعلق على مجيئه ثابت"</w:t>
      </w:r>
      <w:r w:rsidR="00603323" w:rsidRPr="00FD211F">
        <w:rPr>
          <w:sz w:val="36"/>
          <w:szCs w:val="36"/>
          <w:rtl/>
        </w:rPr>
        <w:t xml:space="preserve">، </w:t>
      </w:r>
      <w:r w:rsidRPr="00FD211F">
        <w:rPr>
          <w:sz w:val="36"/>
          <w:szCs w:val="36"/>
          <w:rtl/>
        </w:rPr>
        <w:t>فلايدل على ان طبيعي وجوب إكرام زيد معلق على مجيئه</w:t>
      </w:r>
      <w:r w:rsidR="00603323" w:rsidRPr="00FD211F">
        <w:rPr>
          <w:sz w:val="36"/>
          <w:szCs w:val="36"/>
          <w:rtl/>
        </w:rPr>
        <w:t xml:space="preserve">، </w:t>
      </w:r>
      <w:r w:rsidRPr="00FD211F">
        <w:rPr>
          <w:sz w:val="36"/>
          <w:szCs w:val="36"/>
          <w:rtl/>
        </w:rPr>
        <w:t xml:space="preserve">فلايمكن نفي وجوب اكرام زيد معلقا على </w:t>
      </w:r>
      <w:r w:rsidR="008D7B3D" w:rsidRPr="00FD211F">
        <w:rPr>
          <w:sz w:val="36"/>
          <w:szCs w:val="36"/>
          <w:rtl/>
        </w:rPr>
        <w:t xml:space="preserve">شيء </w:t>
      </w:r>
      <w:r w:rsidRPr="00FD211F">
        <w:rPr>
          <w:sz w:val="36"/>
          <w:szCs w:val="36"/>
          <w:rtl/>
        </w:rPr>
        <w:t>آخر غير مجيئه</w:t>
      </w:r>
      <w:r w:rsidR="009C58C8" w:rsidRPr="00FD211F">
        <w:rPr>
          <w:rStyle w:val="a6"/>
          <w:sz w:val="36"/>
          <w:szCs w:val="36"/>
          <w:rtl/>
        </w:rPr>
        <w:t>(</w:t>
      </w:r>
      <w:r w:rsidR="009C58C8" w:rsidRPr="00FD211F">
        <w:rPr>
          <w:rStyle w:val="a6"/>
          <w:sz w:val="36"/>
          <w:szCs w:val="36"/>
          <w:rtl/>
        </w:rPr>
        <w:footnoteReference w:id="270"/>
      </w:r>
      <w:r w:rsidR="009C58C8" w:rsidRPr="00FD211F">
        <w:rPr>
          <w:rStyle w:val="a6"/>
          <w:sz w:val="36"/>
          <w:szCs w:val="36"/>
          <w:rtl/>
        </w:rPr>
        <w:t>)</w:t>
      </w:r>
      <w:r w:rsidRPr="00FD211F">
        <w:rPr>
          <w:sz w:val="36"/>
          <w:szCs w:val="36"/>
          <w:rtl/>
        </w:rPr>
        <w:t>.</w:t>
      </w:r>
    </w:p>
    <w:p w14:paraId="1E079279" w14:textId="77777777" w:rsidR="009E5A6D" w:rsidRPr="00FD211F" w:rsidRDefault="009E5A6D" w:rsidP="009C58C8">
      <w:pPr>
        <w:ind w:left="0" w:firstLine="227"/>
        <w:jc w:val="both"/>
        <w:rPr>
          <w:sz w:val="36"/>
          <w:szCs w:val="36"/>
          <w:rtl/>
        </w:rPr>
      </w:pPr>
      <w:r w:rsidRPr="00FD211F">
        <w:rPr>
          <w:sz w:val="36"/>
          <w:szCs w:val="36"/>
          <w:rtl/>
        </w:rPr>
        <w:t>وما افاده متين جدا</w:t>
      </w:r>
      <w:r w:rsidR="00603323" w:rsidRPr="00FD211F">
        <w:rPr>
          <w:sz w:val="36"/>
          <w:szCs w:val="36"/>
          <w:rtl/>
        </w:rPr>
        <w:t xml:space="preserve">، </w:t>
      </w:r>
      <w:r w:rsidRPr="00FD211F">
        <w:rPr>
          <w:sz w:val="36"/>
          <w:szCs w:val="36"/>
          <w:rtl/>
        </w:rPr>
        <w:t xml:space="preserve">فانه يوجد فرق </w:t>
      </w:r>
      <w:r w:rsidR="00892401" w:rsidRPr="00FD211F">
        <w:rPr>
          <w:sz w:val="36"/>
          <w:szCs w:val="36"/>
          <w:rtl/>
        </w:rPr>
        <w:t xml:space="preserve">بين قوله تعالى" وانزلنا من السماء ماء طهورا"و </w:t>
      </w:r>
      <w:r w:rsidRPr="00FD211F">
        <w:rPr>
          <w:sz w:val="36"/>
          <w:szCs w:val="36"/>
          <w:rtl/>
        </w:rPr>
        <w:t xml:space="preserve">بين ما لو قيل </w:t>
      </w:r>
      <w:r w:rsidR="00F372DC" w:rsidRPr="00FD211F">
        <w:rPr>
          <w:sz w:val="36"/>
          <w:szCs w:val="36"/>
          <w:rtl/>
        </w:rPr>
        <w:t>"</w:t>
      </w:r>
      <w:r w:rsidRPr="00FD211F">
        <w:rPr>
          <w:sz w:val="36"/>
          <w:szCs w:val="36"/>
          <w:rtl/>
        </w:rPr>
        <w:t>الماء النازل من السماء طهور</w:t>
      </w:r>
      <w:r w:rsidR="00F372DC" w:rsidRPr="00FD211F">
        <w:rPr>
          <w:sz w:val="36"/>
          <w:szCs w:val="36"/>
          <w:rtl/>
        </w:rPr>
        <w:t>"</w:t>
      </w:r>
      <w:r w:rsidR="00B253CE" w:rsidRPr="00FD211F">
        <w:rPr>
          <w:sz w:val="36"/>
          <w:szCs w:val="36"/>
          <w:rtl/>
        </w:rPr>
        <w:t xml:space="preserve"> </w:t>
      </w:r>
      <w:r w:rsidR="00892401" w:rsidRPr="00FD211F">
        <w:rPr>
          <w:sz w:val="36"/>
          <w:szCs w:val="36"/>
          <w:rtl/>
        </w:rPr>
        <w:t>فلايستفاد من الاول</w:t>
      </w:r>
      <w:r w:rsidRPr="00FD211F">
        <w:rPr>
          <w:sz w:val="36"/>
          <w:szCs w:val="36"/>
          <w:rtl/>
        </w:rPr>
        <w:t xml:space="preserve"> ان كل ماء نازل من السماء طهور</w:t>
      </w:r>
      <w:r w:rsidR="00892401" w:rsidRPr="00FD211F">
        <w:rPr>
          <w:sz w:val="36"/>
          <w:szCs w:val="36"/>
          <w:rtl/>
        </w:rPr>
        <w:t>بخلاف الثاني</w:t>
      </w:r>
      <w:r w:rsidR="00603323" w:rsidRPr="00FD211F">
        <w:rPr>
          <w:sz w:val="36"/>
          <w:szCs w:val="36"/>
          <w:rtl/>
        </w:rPr>
        <w:t xml:space="preserve">، </w:t>
      </w:r>
      <w:r w:rsidRPr="00FD211F">
        <w:rPr>
          <w:sz w:val="36"/>
          <w:szCs w:val="36"/>
          <w:rtl/>
        </w:rPr>
        <w:t>ووجهه ان مفاد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هوإثبات المحمول على الموضوع</w:t>
      </w:r>
      <w:r w:rsidR="00603323" w:rsidRPr="00FD211F">
        <w:rPr>
          <w:sz w:val="36"/>
          <w:szCs w:val="36"/>
          <w:rtl/>
        </w:rPr>
        <w:t xml:space="preserve">، </w:t>
      </w:r>
      <w:r w:rsidRPr="00FD211F">
        <w:rPr>
          <w:sz w:val="36"/>
          <w:szCs w:val="36"/>
          <w:rtl/>
        </w:rPr>
        <w:t>فيقتضي ثبوت المحمول لكل ما انطبق عليه الموضوع</w:t>
      </w:r>
      <w:r w:rsidR="00603323" w:rsidRPr="00FD211F">
        <w:rPr>
          <w:sz w:val="36"/>
          <w:szCs w:val="36"/>
          <w:rtl/>
        </w:rPr>
        <w:t xml:space="preserve">، </w:t>
      </w:r>
      <w:r w:rsidRPr="00FD211F">
        <w:rPr>
          <w:sz w:val="36"/>
          <w:szCs w:val="36"/>
          <w:rtl/>
        </w:rPr>
        <w:t>واما النسب</w:t>
      </w:r>
      <w:r w:rsidR="00EC7EDF" w:rsidRPr="00FD211F">
        <w:rPr>
          <w:sz w:val="36"/>
          <w:szCs w:val="36"/>
          <w:rtl/>
        </w:rPr>
        <w:t xml:space="preserve">ة </w:t>
      </w:r>
      <w:r w:rsidRPr="00FD211F">
        <w:rPr>
          <w:sz w:val="36"/>
          <w:szCs w:val="36"/>
          <w:rtl/>
        </w:rPr>
        <w:t>الناقص</w:t>
      </w:r>
      <w:r w:rsidR="00EC7EDF" w:rsidRPr="00FD211F">
        <w:rPr>
          <w:sz w:val="36"/>
          <w:szCs w:val="36"/>
          <w:rtl/>
        </w:rPr>
        <w:t xml:space="preserve">ة </w:t>
      </w:r>
      <w:r w:rsidRPr="00FD211F">
        <w:rPr>
          <w:sz w:val="36"/>
          <w:szCs w:val="36"/>
          <w:rtl/>
        </w:rPr>
        <w:t>الوصفي</w:t>
      </w:r>
      <w:r w:rsidR="00EC7EDF" w:rsidRPr="00FD211F">
        <w:rPr>
          <w:sz w:val="36"/>
          <w:szCs w:val="36"/>
          <w:rtl/>
        </w:rPr>
        <w:t xml:space="preserve">ة </w:t>
      </w:r>
      <w:r w:rsidRPr="00FD211F">
        <w:rPr>
          <w:sz w:val="36"/>
          <w:szCs w:val="36"/>
          <w:rtl/>
        </w:rPr>
        <w:t>فليس مفادها الا تحصيص</w:t>
      </w:r>
      <w:r w:rsidR="00093A7A" w:rsidRPr="00FD211F">
        <w:rPr>
          <w:sz w:val="36"/>
          <w:szCs w:val="36"/>
          <w:rtl/>
        </w:rPr>
        <w:t xml:space="preserve"> مفهوم وتضييقه</w:t>
      </w:r>
      <w:r w:rsidR="00603323" w:rsidRPr="00FD211F">
        <w:rPr>
          <w:sz w:val="36"/>
          <w:szCs w:val="36"/>
          <w:rtl/>
        </w:rPr>
        <w:t xml:space="preserve">، </w:t>
      </w:r>
      <w:r w:rsidR="00093A7A" w:rsidRPr="00FD211F">
        <w:rPr>
          <w:sz w:val="36"/>
          <w:szCs w:val="36"/>
          <w:rtl/>
        </w:rPr>
        <w:t>ف</w:t>
      </w:r>
      <w:r w:rsidRPr="00FD211F">
        <w:rPr>
          <w:sz w:val="36"/>
          <w:szCs w:val="36"/>
          <w:rtl/>
        </w:rPr>
        <w:t>لا</w:t>
      </w:r>
      <w:r w:rsidR="00093A7A" w:rsidRPr="00FD211F">
        <w:rPr>
          <w:sz w:val="36"/>
          <w:szCs w:val="36"/>
          <w:rtl/>
        </w:rPr>
        <w:t>ت</w:t>
      </w:r>
      <w:r w:rsidRPr="00FD211F">
        <w:rPr>
          <w:sz w:val="36"/>
          <w:szCs w:val="36"/>
          <w:rtl/>
        </w:rPr>
        <w:t>دل على</w:t>
      </w:r>
      <w:r w:rsidR="00093A7A" w:rsidRPr="00FD211F">
        <w:rPr>
          <w:sz w:val="36"/>
          <w:szCs w:val="36"/>
          <w:rtl/>
        </w:rPr>
        <w:t xml:space="preserve"> الحكم ب</w:t>
      </w:r>
      <w:r w:rsidRPr="00FD211F">
        <w:rPr>
          <w:sz w:val="36"/>
          <w:szCs w:val="36"/>
          <w:rtl/>
        </w:rPr>
        <w:t>ثبوت الوصف لطبيعي المو</w:t>
      </w:r>
      <w:r w:rsidR="00093A7A" w:rsidRPr="00FD211F">
        <w:rPr>
          <w:sz w:val="36"/>
          <w:szCs w:val="36"/>
          <w:rtl/>
        </w:rPr>
        <w:t>ضوع</w:t>
      </w:r>
      <w:r w:rsidRPr="00FD211F">
        <w:rPr>
          <w:sz w:val="36"/>
          <w:szCs w:val="36"/>
          <w:rtl/>
        </w:rPr>
        <w:t>.</w:t>
      </w:r>
    </w:p>
    <w:p w14:paraId="238AE4E8" w14:textId="77777777" w:rsidR="009E5A6D" w:rsidRPr="00FD211F" w:rsidRDefault="009E5A6D" w:rsidP="009C58C8">
      <w:pPr>
        <w:ind w:left="0" w:firstLine="227"/>
        <w:jc w:val="both"/>
        <w:rPr>
          <w:sz w:val="36"/>
          <w:szCs w:val="36"/>
          <w:rtl/>
        </w:rPr>
      </w:pPr>
      <w:r w:rsidRPr="00FD211F">
        <w:rPr>
          <w:sz w:val="36"/>
          <w:szCs w:val="36"/>
          <w:rtl/>
        </w:rPr>
        <w:t>ثم لايخفى ان ما ذكره -من ان مفاد أدا</w:t>
      </w:r>
      <w:r w:rsidR="00EC7EDF" w:rsidRPr="00FD211F">
        <w:rPr>
          <w:sz w:val="36"/>
          <w:szCs w:val="36"/>
          <w:rtl/>
        </w:rPr>
        <w:t xml:space="preserve">ة </w:t>
      </w:r>
      <w:r w:rsidRPr="00FD211F">
        <w:rPr>
          <w:sz w:val="36"/>
          <w:szCs w:val="36"/>
          <w:rtl/>
        </w:rPr>
        <w:t>الشرط لو كان ثبوت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ثبت تعليق طبيعي الحكم على الشخص- يبتني على كون مفاد أدا</w:t>
      </w:r>
      <w:r w:rsidR="00EC7EDF" w:rsidRPr="00FD211F">
        <w:rPr>
          <w:sz w:val="36"/>
          <w:szCs w:val="36"/>
          <w:rtl/>
        </w:rPr>
        <w:t xml:space="preserve">ة </w:t>
      </w:r>
      <w:r w:rsidRPr="00FD211F">
        <w:rPr>
          <w:sz w:val="36"/>
          <w:szCs w:val="36"/>
          <w:rtl/>
        </w:rPr>
        <w:t>الشرط النسب</w:t>
      </w:r>
      <w:r w:rsidR="00EC7EDF" w:rsidRPr="00FD211F">
        <w:rPr>
          <w:sz w:val="36"/>
          <w:szCs w:val="36"/>
          <w:rtl/>
        </w:rPr>
        <w:t xml:space="preserve">ة </w:t>
      </w:r>
      <w:r w:rsidRPr="00FD211F">
        <w:rPr>
          <w:sz w:val="36"/>
          <w:szCs w:val="36"/>
          <w:rtl/>
        </w:rPr>
        <w:t>التعليقي</w:t>
      </w:r>
      <w:r w:rsidR="00EC7EDF" w:rsidRPr="00FD211F">
        <w:rPr>
          <w:sz w:val="36"/>
          <w:szCs w:val="36"/>
          <w:rtl/>
        </w:rPr>
        <w:t>ة</w:t>
      </w:r>
      <w:r w:rsidR="00603323" w:rsidRPr="00FD211F">
        <w:rPr>
          <w:sz w:val="36"/>
          <w:szCs w:val="36"/>
          <w:rtl/>
        </w:rPr>
        <w:t xml:space="preserve">، </w:t>
      </w:r>
      <w:r w:rsidRPr="00FD211F">
        <w:rPr>
          <w:sz w:val="36"/>
          <w:szCs w:val="36"/>
          <w:rtl/>
        </w:rPr>
        <w:t>وأما لو كان مفادها سببي</w:t>
      </w:r>
      <w:r w:rsidR="00EC7EDF" w:rsidRPr="00FD211F">
        <w:rPr>
          <w:sz w:val="36"/>
          <w:szCs w:val="36"/>
          <w:rtl/>
        </w:rPr>
        <w:t xml:space="preserve">ة </w:t>
      </w:r>
      <w:r w:rsidRPr="00FD211F">
        <w:rPr>
          <w:sz w:val="36"/>
          <w:szCs w:val="36"/>
          <w:rtl/>
        </w:rPr>
        <w:t>الشرط للجزاء فلايظهر من مثل قولنا ان جاءك زيد فاكرمه اكثر من ان مجيئ زيد سبب لوجوب اكرامه</w:t>
      </w:r>
      <w:r w:rsidR="00603323" w:rsidRPr="00FD211F">
        <w:rPr>
          <w:sz w:val="36"/>
          <w:szCs w:val="36"/>
          <w:rtl/>
        </w:rPr>
        <w:t xml:space="preserve">، </w:t>
      </w:r>
      <w:r w:rsidRPr="00FD211F">
        <w:rPr>
          <w:sz w:val="36"/>
          <w:szCs w:val="36"/>
          <w:rtl/>
        </w:rPr>
        <w:t>فلاينفي سببي</w:t>
      </w:r>
      <w:r w:rsidR="00EC7EDF" w:rsidRPr="00FD211F">
        <w:rPr>
          <w:sz w:val="36"/>
          <w:szCs w:val="36"/>
          <w:rtl/>
        </w:rPr>
        <w:t xml:space="preserve">ة </w:t>
      </w:r>
      <w:r w:rsidR="008D7B3D" w:rsidRPr="00FD211F">
        <w:rPr>
          <w:sz w:val="36"/>
          <w:szCs w:val="36"/>
          <w:rtl/>
        </w:rPr>
        <w:t xml:space="preserve">شيء </w:t>
      </w:r>
      <w:r w:rsidRPr="00FD211F">
        <w:rPr>
          <w:sz w:val="36"/>
          <w:szCs w:val="36"/>
          <w:rtl/>
        </w:rPr>
        <w:t>آخر لوجوب اكرامه أيضا</w:t>
      </w:r>
      <w:r w:rsidR="00603323" w:rsidRPr="00FD211F">
        <w:rPr>
          <w:sz w:val="36"/>
          <w:szCs w:val="36"/>
          <w:rtl/>
        </w:rPr>
        <w:t xml:space="preserve">، </w:t>
      </w:r>
      <w:r w:rsidRPr="00FD211F">
        <w:rPr>
          <w:sz w:val="36"/>
          <w:szCs w:val="36"/>
          <w:rtl/>
        </w:rPr>
        <w:t>وتفصيل الكلام موكول الى محله.</w:t>
      </w:r>
    </w:p>
    <w:p w14:paraId="227C4D8F" w14:textId="77777777" w:rsidR="00AB698E" w:rsidRPr="00FD211F" w:rsidRDefault="00AB698E" w:rsidP="009C58C8">
      <w:pPr>
        <w:pStyle w:val="3"/>
        <w:ind w:firstLine="227"/>
        <w:jc w:val="both"/>
        <w:rPr>
          <w:rtl/>
        </w:rPr>
      </w:pPr>
      <w:bookmarkStart w:id="270" w:name="_Toc192092898"/>
      <w:bookmarkStart w:id="271" w:name="_Toc223890376"/>
      <w:r w:rsidRPr="00FD211F">
        <w:rPr>
          <w:rtl/>
        </w:rPr>
        <w:t>التقسيم الثالث</w:t>
      </w:r>
      <w:bookmarkEnd w:id="264"/>
      <w:bookmarkEnd w:id="265"/>
      <w:bookmarkEnd w:id="266"/>
      <w:r w:rsidRPr="00FD211F">
        <w:rPr>
          <w:rtl/>
        </w:rPr>
        <w:t>: الوضع الشخصي والنوعي</w:t>
      </w:r>
      <w:bookmarkEnd w:id="270"/>
      <w:bookmarkEnd w:id="271"/>
    </w:p>
    <w:p w14:paraId="15B8200C" w14:textId="77777777" w:rsidR="00AB698E" w:rsidRPr="00FD211F" w:rsidRDefault="00AB698E" w:rsidP="009C58C8">
      <w:pPr>
        <w:ind w:left="0" w:firstLine="227"/>
        <w:jc w:val="both"/>
        <w:rPr>
          <w:sz w:val="36"/>
          <w:szCs w:val="36"/>
          <w:rtl/>
        </w:rPr>
      </w:pPr>
      <w:r w:rsidRPr="00FD211F">
        <w:rPr>
          <w:sz w:val="36"/>
          <w:szCs w:val="36"/>
          <w:rtl/>
        </w:rPr>
        <w:t>قد يقسم الوضع الى الوضع الشخصي والوضع النوعي بلحاظ ان الواضع قد يتصور لفظا بشخصه فيضعه على المعنى كما لو تصور لفظ الانسان ووضعه على المعنى</w:t>
      </w:r>
      <w:r w:rsidR="00603323" w:rsidRPr="00FD211F">
        <w:rPr>
          <w:sz w:val="36"/>
          <w:szCs w:val="36"/>
          <w:rtl/>
        </w:rPr>
        <w:t xml:space="preserve">، </w:t>
      </w:r>
      <w:r w:rsidRPr="00FD211F">
        <w:rPr>
          <w:sz w:val="36"/>
          <w:szCs w:val="36"/>
          <w:rtl/>
        </w:rPr>
        <w:t>وقد يتصور لفظا لابنفسه بل من خلال تصور عنوان مشير اليه</w:t>
      </w:r>
      <w:r w:rsidR="00603323" w:rsidRPr="00FD211F">
        <w:rPr>
          <w:sz w:val="36"/>
          <w:szCs w:val="36"/>
          <w:rtl/>
        </w:rPr>
        <w:t xml:space="preserve">، </w:t>
      </w:r>
      <w:r w:rsidRPr="00FD211F">
        <w:rPr>
          <w:sz w:val="36"/>
          <w:szCs w:val="36"/>
          <w:rtl/>
        </w:rPr>
        <w:t>كما هو الحال في وضع الهيئات كوضع هيئ</w:t>
      </w:r>
      <w:r w:rsidR="00EC7EDF" w:rsidRPr="00FD211F">
        <w:rPr>
          <w:sz w:val="36"/>
          <w:szCs w:val="36"/>
          <w:rtl/>
        </w:rPr>
        <w:t xml:space="preserve">ة </w:t>
      </w:r>
      <w:r w:rsidRPr="00FD211F">
        <w:rPr>
          <w:sz w:val="36"/>
          <w:szCs w:val="36"/>
          <w:rtl/>
        </w:rPr>
        <w:t>الفاعل على من يقوم به الفعل</w:t>
      </w:r>
      <w:r w:rsidR="00603323" w:rsidRPr="00FD211F">
        <w:rPr>
          <w:sz w:val="36"/>
          <w:szCs w:val="36"/>
          <w:rtl/>
        </w:rPr>
        <w:t xml:space="preserve">، </w:t>
      </w:r>
      <w:r w:rsidRPr="00FD211F">
        <w:rPr>
          <w:sz w:val="36"/>
          <w:szCs w:val="36"/>
          <w:rtl/>
        </w:rPr>
        <w:t>فان هذا الوضع لايختص بلفظ</w:t>
      </w:r>
      <w:r w:rsidR="00EC7EDF" w:rsidRPr="00FD211F">
        <w:rPr>
          <w:sz w:val="36"/>
          <w:szCs w:val="36"/>
          <w:rtl/>
        </w:rPr>
        <w:t xml:space="preserve">ة </w:t>
      </w:r>
      <w:r w:rsidRPr="00FD211F">
        <w:rPr>
          <w:sz w:val="36"/>
          <w:szCs w:val="36"/>
          <w:rtl/>
        </w:rPr>
        <w:t>الفاعل وانما هذه اللفظ</w:t>
      </w:r>
      <w:r w:rsidR="00EC7EDF" w:rsidRPr="00FD211F">
        <w:rPr>
          <w:sz w:val="36"/>
          <w:szCs w:val="36"/>
          <w:rtl/>
        </w:rPr>
        <w:t xml:space="preserve">ة </w:t>
      </w:r>
      <w:r w:rsidRPr="00FD211F">
        <w:rPr>
          <w:sz w:val="36"/>
          <w:szCs w:val="36"/>
          <w:rtl/>
        </w:rPr>
        <w:t>يشار بها الى كل ما كان على هيئ</w:t>
      </w:r>
      <w:r w:rsidR="00EC7EDF" w:rsidRPr="00FD211F">
        <w:rPr>
          <w:sz w:val="36"/>
          <w:szCs w:val="36"/>
          <w:rtl/>
        </w:rPr>
        <w:t xml:space="preserve">ة </w:t>
      </w:r>
      <w:r w:rsidRPr="00FD211F">
        <w:rPr>
          <w:sz w:val="36"/>
          <w:szCs w:val="36"/>
          <w:rtl/>
        </w:rPr>
        <w:t>الفاعل</w:t>
      </w:r>
      <w:r w:rsidR="00603323" w:rsidRPr="00FD211F">
        <w:rPr>
          <w:sz w:val="36"/>
          <w:szCs w:val="36"/>
          <w:rtl/>
        </w:rPr>
        <w:t xml:space="preserve">، </w:t>
      </w:r>
      <w:r w:rsidRPr="00FD211F">
        <w:rPr>
          <w:sz w:val="36"/>
          <w:szCs w:val="36"/>
          <w:rtl/>
        </w:rPr>
        <w:t>فاذا قال الواضع وضعت ما كان على هيئ</w:t>
      </w:r>
      <w:r w:rsidR="00EC7EDF" w:rsidRPr="00FD211F">
        <w:rPr>
          <w:sz w:val="36"/>
          <w:szCs w:val="36"/>
          <w:rtl/>
        </w:rPr>
        <w:t xml:space="preserve">ة </w:t>
      </w:r>
      <w:r w:rsidRPr="00FD211F">
        <w:rPr>
          <w:sz w:val="36"/>
          <w:szCs w:val="36"/>
          <w:rtl/>
        </w:rPr>
        <w:t>الفاعل ليدل على من يقوم به الفعل وعلم به الآخرون فيحصل لهم الاقتران الأكيد بين كل ما كان على هيئ</w:t>
      </w:r>
      <w:r w:rsidR="00EC7EDF" w:rsidRPr="00FD211F">
        <w:rPr>
          <w:sz w:val="36"/>
          <w:szCs w:val="36"/>
          <w:rtl/>
        </w:rPr>
        <w:t xml:space="preserve">ة </w:t>
      </w:r>
      <w:r w:rsidRPr="00FD211F">
        <w:rPr>
          <w:sz w:val="36"/>
          <w:szCs w:val="36"/>
          <w:rtl/>
        </w:rPr>
        <w:t>الفاعل وبين هذا المعنى بلاحاج</w:t>
      </w:r>
      <w:r w:rsidR="00EC7EDF" w:rsidRPr="00FD211F">
        <w:rPr>
          <w:sz w:val="36"/>
          <w:szCs w:val="36"/>
          <w:rtl/>
        </w:rPr>
        <w:t xml:space="preserve">ة </w:t>
      </w:r>
      <w:r w:rsidRPr="00FD211F">
        <w:rPr>
          <w:sz w:val="36"/>
          <w:szCs w:val="36"/>
          <w:rtl/>
        </w:rPr>
        <w:t>الى تكرر سماع مصاديقه</w:t>
      </w:r>
      <w:r w:rsidR="00603323" w:rsidRPr="00FD211F">
        <w:rPr>
          <w:sz w:val="36"/>
          <w:szCs w:val="36"/>
          <w:rtl/>
        </w:rPr>
        <w:t xml:space="preserve">، </w:t>
      </w:r>
      <w:r w:rsidRPr="00FD211F">
        <w:rPr>
          <w:sz w:val="36"/>
          <w:szCs w:val="36"/>
          <w:rtl/>
        </w:rPr>
        <w:t>فلو سمعوا لاول مر</w:t>
      </w:r>
      <w:r w:rsidR="00EC7EDF" w:rsidRPr="00FD211F">
        <w:rPr>
          <w:sz w:val="36"/>
          <w:szCs w:val="36"/>
          <w:rtl/>
        </w:rPr>
        <w:t xml:space="preserve">ة </w:t>
      </w:r>
      <w:r w:rsidRPr="00FD211F">
        <w:rPr>
          <w:sz w:val="36"/>
          <w:szCs w:val="36"/>
          <w:rtl/>
        </w:rPr>
        <w:t>انه جاء عالم ينتقل ذهنه الى انه قد جاء من يقوم به العلم ويكون متلبسا به</w:t>
      </w:r>
      <w:r w:rsidR="00603323" w:rsidRPr="00FD211F">
        <w:rPr>
          <w:sz w:val="36"/>
          <w:szCs w:val="36"/>
          <w:rtl/>
        </w:rPr>
        <w:t xml:space="preserve">، </w:t>
      </w:r>
      <w:r w:rsidRPr="00FD211F">
        <w:rPr>
          <w:sz w:val="36"/>
          <w:szCs w:val="36"/>
          <w:rtl/>
        </w:rPr>
        <w:t>فما ذكره في البحوث من لزوم تكرر سماع المصاديق فيه حتى يحصل في الذهن القرن الأكيد فغير متجه</w:t>
      </w:r>
      <w:r w:rsidR="00603323" w:rsidRPr="00FD211F">
        <w:rPr>
          <w:sz w:val="36"/>
          <w:szCs w:val="36"/>
          <w:rtl/>
        </w:rPr>
        <w:t xml:space="preserve">، </w:t>
      </w:r>
      <w:r w:rsidRPr="00FD211F">
        <w:rPr>
          <w:sz w:val="36"/>
          <w:szCs w:val="36"/>
          <w:rtl/>
        </w:rPr>
        <w:t>كما مر نظيره في الوضع العام والموضوع له الخاص.</w:t>
      </w:r>
    </w:p>
    <w:p w14:paraId="53B22F92" w14:textId="77777777" w:rsidR="000C5BBA" w:rsidRPr="00FD211F" w:rsidRDefault="00AB698E" w:rsidP="009C58C8">
      <w:pPr>
        <w:ind w:left="0" w:firstLine="227"/>
        <w:jc w:val="both"/>
        <w:rPr>
          <w:sz w:val="36"/>
          <w:szCs w:val="36"/>
          <w:rtl/>
        </w:rPr>
      </w:pPr>
      <w:bookmarkStart w:id="272" w:name="درس019"/>
      <w:bookmarkEnd w:id="272"/>
      <w:r w:rsidRPr="00FD211F">
        <w:rPr>
          <w:sz w:val="36"/>
          <w:szCs w:val="36"/>
          <w:rtl/>
        </w:rPr>
        <w:t>هذا</w:t>
      </w:r>
      <w:r w:rsidR="00603323" w:rsidRPr="00FD211F">
        <w:rPr>
          <w:sz w:val="36"/>
          <w:szCs w:val="36"/>
          <w:rtl/>
        </w:rPr>
        <w:t xml:space="preserve">، </w:t>
      </w:r>
      <w:r w:rsidRPr="00FD211F">
        <w:rPr>
          <w:sz w:val="36"/>
          <w:szCs w:val="36"/>
          <w:rtl/>
        </w:rPr>
        <w:t>والمعروف ان وضع الهيئات في المشتقات نو</w:t>
      </w:r>
      <w:r w:rsidR="00892401" w:rsidRPr="00FD211F">
        <w:rPr>
          <w:sz w:val="36"/>
          <w:szCs w:val="36"/>
          <w:rtl/>
        </w:rPr>
        <w:t>عي ووضع الماد</w:t>
      </w:r>
      <w:r w:rsidR="00EC7EDF" w:rsidRPr="00FD211F">
        <w:rPr>
          <w:sz w:val="36"/>
          <w:szCs w:val="36"/>
          <w:rtl/>
        </w:rPr>
        <w:t xml:space="preserve">ة </w:t>
      </w:r>
      <w:r w:rsidR="00892401" w:rsidRPr="00FD211F">
        <w:rPr>
          <w:sz w:val="36"/>
          <w:szCs w:val="36"/>
          <w:rtl/>
        </w:rPr>
        <w:t>في المشتقات شخصي.</w:t>
      </w:r>
    </w:p>
    <w:p w14:paraId="75D7CB41" w14:textId="77777777" w:rsidR="000C5BBA" w:rsidRPr="00FD211F" w:rsidRDefault="00AB698E" w:rsidP="009C58C8">
      <w:pPr>
        <w:ind w:left="0" w:firstLine="227"/>
        <w:jc w:val="both"/>
        <w:rPr>
          <w:sz w:val="36"/>
          <w:szCs w:val="36"/>
          <w:rtl/>
        </w:rPr>
      </w:pPr>
      <w:r w:rsidRPr="00FD211F">
        <w:rPr>
          <w:sz w:val="36"/>
          <w:szCs w:val="36"/>
          <w:rtl/>
        </w:rPr>
        <w:t>وقد استشكل في ذلك بعدم وجود فرق بينهما</w:t>
      </w:r>
      <w:r w:rsidR="00603323" w:rsidRPr="00FD211F">
        <w:rPr>
          <w:sz w:val="36"/>
          <w:szCs w:val="36"/>
          <w:rtl/>
        </w:rPr>
        <w:t xml:space="preserve">، </w:t>
      </w:r>
      <w:r w:rsidRPr="00FD211F">
        <w:rPr>
          <w:sz w:val="36"/>
          <w:szCs w:val="36"/>
          <w:rtl/>
        </w:rPr>
        <w:t>لانه ان كان ملاك كون وضع الهيئ</w:t>
      </w:r>
      <w:r w:rsidR="00EC7EDF" w:rsidRPr="00FD211F">
        <w:rPr>
          <w:sz w:val="36"/>
          <w:szCs w:val="36"/>
          <w:rtl/>
        </w:rPr>
        <w:t xml:space="preserve">ة </w:t>
      </w:r>
      <w:r w:rsidRPr="00FD211F">
        <w:rPr>
          <w:sz w:val="36"/>
          <w:szCs w:val="36"/>
          <w:rtl/>
        </w:rPr>
        <w:t>نوعيا عدم اختصاصها بماد</w:t>
      </w:r>
      <w:r w:rsidR="00EC7EDF" w:rsidRPr="00FD211F">
        <w:rPr>
          <w:sz w:val="36"/>
          <w:szCs w:val="36"/>
          <w:rtl/>
        </w:rPr>
        <w:t xml:space="preserve">ة </w:t>
      </w:r>
      <w:r w:rsidRPr="00FD211F">
        <w:rPr>
          <w:sz w:val="36"/>
          <w:szCs w:val="36"/>
          <w:rtl/>
        </w:rPr>
        <w:t>من المواد فمواد المشتقات ايضا كذلك</w:t>
      </w:r>
      <w:r w:rsidR="00603323" w:rsidRPr="00FD211F">
        <w:rPr>
          <w:sz w:val="36"/>
          <w:szCs w:val="36"/>
          <w:rtl/>
        </w:rPr>
        <w:t xml:space="preserve">، </w:t>
      </w:r>
      <w:r w:rsidRPr="00FD211F">
        <w:rPr>
          <w:sz w:val="36"/>
          <w:szCs w:val="36"/>
          <w:rtl/>
        </w:rPr>
        <w:t>لعدم اختصاصها بهيئ</w:t>
      </w:r>
      <w:r w:rsidR="00EC7EDF" w:rsidRPr="00FD211F">
        <w:rPr>
          <w:sz w:val="36"/>
          <w:szCs w:val="36"/>
          <w:rtl/>
        </w:rPr>
        <w:t xml:space="preserve">ة </w:t>
      </w:r>
      <w:r w:rsidRPr="00FD211F">
        <w:rPr>
          <w:sz w:val="36"/>
          <w:szCs w:val="36"/>
          <w:rtl/>
        </w:rPr>
        <w:t>من الهيئات</w:t>
      </w:r>
      <w:r w:rsidR="00603323" w:rsidRPr="00FD211F">
        <w:rPr>
          <w:sz w:val="36"/>
          <w:szCs w:val="36"/>
          <w:rtl/>
        </w:rPr>
        <w:t xml:space="preserve">، </w:t>
      </w:r>
      <w:r w:rsidRPr="00FD211F">
        <w:rPr>
          <w:sz w:val="36"/>
          <w:szCs w:val="36"/>
          <w:rtl/>
        </w:rPr>
        <w:t>حيث يوضع ماد</w:t>
      </w:r>
      <w:r w:rsidR="00EC7EDF" w:rsidRPr="00FD211F">
        <w:rPr>
          <w:sz w:val="36"/>
          <w:szCs w:val="36"/>
          <w:rtl/>
        </w:rPr>
        <w:t xml:space="preserve">ة </w:t>
      </w:r>
      <w:r w:rsidRPr="00FD211F">
        <w:rPr>
          <w:sz w:val="36"/>
          <w:szCs w:val="36"/>
          <w:rtl/>
        </w:rPr>
        <w:t>سيال</w:t>
      </w:r>
      <w:r w:rsidR="00EC7EDF" w:rsidRPr="00FD211F">
        <w:rPr>
          <w:sz w:val="36"/>
          <w:szCs w:val="36"/>
          <w:rtl/>
        </w:rPr>
        <w:t xml:space="preserve">ة </w:t>
      </w:r>
      <w:r w:rsidRPr="00FD211F">
        <w:rPr>
          <w:sz w:val="36"/>
          <w:szCs w:val="36"/>
          <w:rtl/>
        </w:rPr>
        <w:t>في ضمن هيئات مختلف</w:t>
      </w:r>
      <w:r w:rsidR="00EC7EDF" w:rsidRPr="00FD211F">
        <w:rPr>
          <w:sz w:val="36"/>
          <w:szCs w:val="36"/>
          <w:rtl/>
        </w:rPr>
        <w:t xml:space="preserve">ة </w:t>
      </w:r>
      <w:r w:rsidRPr="00FD211F">
        <w:rPr>
          <w:sz w:val="36"/>
          <w:szCs w:val="36"/>
          <w:rtl/>
        </w:rPr>
        <w:t>كماد</w:t>
      </w:r>
      <w:r w:rsidR="00EC7EDF" w:rsidRPr="00FD211F">
        <w:rPr>
          <w:sz w:val="36"/>
          <w:szCs w:val="36"/>
          <w:rtl/>
        </w:rPr>
        <w:t xml:space="preserve">ة </w:t>
      </w:r>
      <w:r w:rsidRPr="00FD211F">
        <w:rPr>
          <w:sz w:val="36"/>
          <w:szCs w:val="36"/>
          <w:rtl/>
        </w:rPr>
        <w:t>"ض ر ب" فانها وضعت على معنى معين وان طرأت على هذه الماد</w:t>
      </w:r>
      <w:r w:rsidR="00EC7EDF" w:rsidRPr="00FD211F">
        <w:rPr>
          <w:sz w:val="36"/>
          <w:szCs w:val="36"/>
          <w:rtl/>
        </w:rPr>
        <w:t xml:space="preserve">ة </w:t>
      </w:r>
      <w:r w:rsidRPr="00FD211F">
        <w:rPr>
          <w:sz w:val="36"/>
          <w:szCs w:val="36"/>
          <w:rtl/>
        </w:rPr>
        <w:t>هيئات مختلف</w:t>
      </w:r>
      <w:r w:rsidR="00EC7EDF" w:rsidRPr="00FD211F">
        <w:rPr>
          <w:sz w:val="36"/>
          <w:szCs w:val="36"/>
          <w:rtl/>
        </w:rPr>
        <w:t>ة</w:t>
      </w:r>
      <w:r w:rsidR="00603323" w:rsidRPr="00FD211F">
        <w:rPr>
          <w:sz w:val="36"/>
          <w:szCs w:val="36"/>
          <w:rtl/>
        </w:rPr>
        <w:t xml:space="preserve">، </w:t>
      </w:r>
      <w:r w:rsidRPr="00FD211F">
        <w:rPr>
          <w:sz w:val="36"/>
          <w:szCs w:val="36"/>
          <w:rtl/>
        </w:rPr>
        <w:t>وان كان ملاك كون وضع الهيئات شخصيا امتياز كل ماد</w:t>
      </w:r>
      <w:r w:rsidR="00EC7EDF" w:rsidRPr="00FD211F">
        <w:rPr>
          <w:sz w:val="36"/>
          <w:szCs w:val="36"/>
          <w:rtl/>
        </w:rPr>
        <w:t xml:space="preserve">ة </w:t>
      </w:r>
      <w:r w:rsidRPr="00FD211F">
        <w:rPr>
          <w:sz w:val="36"/>
          <w:szCs w:val="36"/>
          <w:rtl/>
        </w:rPr>
        <w:t>عن ماد</w:t>
      </w:r>
      <w:r w:rsidR="00EC7EDF" w:rsidRPr="00FD211F">
        <w:rPr>
          <w:sz w:val="36"/>
          <w:szCs w:val="36"/>
          <w:rtl/>
        </w:rPr>
        <w:t xml:space="preserve">ة </w:t>
      </w:r>
      <w:r w:rsidRPr="00FD211F">
        <w:rPr>
          <w:sz w:val="36"/>
          <w:szCs w:val="36"/>
          <w:rtl/>
        </w:rPr>
        <w:t xml:space="preserve">أخرى فهيئات المشتقات </w:t>
      </w:r>
      <w:r w:rsidR="00892401" w:rsidRPr="00FD211F">
        <w:rPr>
          <w:sz w:val="36"/>
          <w:szCs w:val="36"/>
          <w:rtl/>
        </w:rPr>
        <w:t>ايضا كذلك</w:t>
      </w:r>
      <w:r w:rsidR="00603323" w:rsidRPr="00FD211F">
        <w:rPr>
          <w:sz w:val="36"/>
          <w:szCs w:val="36"/>
          <w:rtl/>
        </w:rPr>
        <w:t xml:space="preserve">، </w:t>
      </w:r>
      <w:r w:rsidR="00892401" w:rsidRPr="00FD211F">
        <w:rPr>
          <w:sz w:val="36"/>
          <w:szCs w:val="36"/>
          <w:rtl/>
        </w:rPr>
        <w:t>لامتياز بعضها عن بعض.</w:t>
      </w:r>
    </w:p>
    <w:p w14:paraId="729D66EF" w14:textId="77777777" w:rsidR="000C5BBA" w:rsidRPr="00FD211F" w:rsidRDefault="00AB698E" w:rsidP="005946E3">
      <w:pPr>
        <w:ind w:left="0" w:firstLine="227"/>
        <w:jc w:val="both"/>
        <w:rPr>
          <w:sz w:val="36"/>
          <w:szCs w:val="36"/>
          <w:rtl/>
        </w:rPr>
      </w:pPr>
      <w:r w:rsidRPr="00FD211F">
        <w:rPr>
          <w:sz w:val="36"/>
          <w:szCs w:val="36"/>
          <w:rtl/>
        </w:rPr>
        <w:t>وأجاب عنه المحقق الاصفهاني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00947D7C" w:rsidRPr="00FD211F">
        <w:rPr>
          <w:sz w:val="36"/>
          <w:szCs w:val="36"/>
          <w:rtl/>
        </w:rPr>
        <w:t>بأ</w:t>
      </w:r>
      <w:r w:rsidRPr="00FD211F">
        <w:rPr>
          <w:sz w:val="36"/>
          <w:szCs w:val="36"/>
          <w:rtl/>
        </w:rPr>
        <w:t>ن الماد</w:t>
      </w:r>
      <w:r w:rsidR="00EC7EDF" w:rsidRPr="00FD211F">
        <w:rPr>
          <w:sz w:val="36"/>
          <w:szCs w:val="36"/>
          <w:rtl/>
        </w:rPr>
        <w:t xml:space="preserve">ة </w:t>
      </w:r>
      <w:r w:rsidRPr="00FD211F">
        <w:rPr>
          <w:sz w:val="36"/>
          <w:szCs w:val="36"/>
          <w:rtl/>
        </w:rPr>
        <w:t>امر قابل للحاظ الواضع بنفسه ففي وضع الماد</w:t>
      </w:r>
      <w:r w:rsidR="00EC7EDF" w:rsidRPr="00FD211F">
        <w:rPr>
          <w:sz w:val="36"/>
          <w:szCs w:val="36"/>
          <w:rtl/>
        </w:rPr>
        <w:t xml:space="preserve">ة </w:t>
      </w:r>
      <w:r w:rsidRPr="00FD211F">
        <w:rPr>
          <w:sz w:val="36"/>
          <w:szCs w:val="36"/>
          <w:rtl/>
        </w:rPr>
        <w:t>ضرب يتصور الحروف الثلاث</w:t>
      </w:r>
      <w:r w:rsidR="00EC7EDF" w:rsidRPr="00FD211F">
        <w:rPr>
          <w:sz w:val="36"/>
          <w:szCs w:val="36"/>
          <w:rtl/>
        </w:rPr>
        <w:t xml:space="preserve">ة </w:t>
      </w:r>
      <w:r w:rsidRPr="00FD211F">
        <w:rPr>
          <w:sz w:val="36"/>
          <w:szCs w:val="36"/>
          <w:rtl/>
        </w:rPr>
        <w:t>وتوضع لمعنى</w:t>
      </w:r>
      <w:r w:rsidR="00603323" w:rsidRPr="00FD211F">
        <w:rPr>
          <w:sz w:val="36"/>
          <w:szCs w:val="36"/>
          <w:rtl/>
        </w:rPr>
        <w:t xml:space="preserve">، </w:t>
      </w:r>
      <w:r w:rsidRPr="00FD211F">
        <w:rPr>
          <w:sz w:val="36"/>
          <w:szCs w:val="36"/>
          <w:rtl/>
        </w:rPr>
        <w:t>وهذا بخلاف الهيئ</w:t>
      </w:r>
      <w:r w:rsidR="00EC7EDF" w:rsidRPr="00FD211F">
        <w:rPr>
          <w:sz w:val="36"/>
          <w:szCs w:val="36"/>
          <w:rtl/>
        </w:rPr>
        <w:t xml:space="preserve">ة </w:t>
      </w:r>
      <w:r w:rsidRPr="00FD211F">
        <w:rPr>
          <w:sz w:val="36"/>
          <w:szCs w:val="36"/>
          <w:rtl/>
        </w:rPr>
        <w:t>فانها لايمكن لحاظها الا في ضمن ماد</w:t>
      </w:r>
      <w:r w:rsidR="00EC7EDF" w:rsidRPr="00FD211F">
        <w:rPr>
          <w:sz w:val="36"/>
          <w:szCs w:val="36"/>
          <w:rtl/>
        </w:rPr>
        <w:t xml:space="preserve">ة </w:t>
      </w:r>
      <w:r w:rsidRPr="00FD211F">
        <w:rPr>
          <w:sz w:val="36"/>
          <w:szCs w:val="36"/>
          <w:rtl/>
        </w:rPr>
        <w:t>مّا لتقومها بالماد</w:t>
      </w:r>
      <w:r w:rsidR="00EC7EDF" w:rsidRPr="00FD211F">
        <w:rPr>
          <w:sz w:val="36"/>
          <w:szCs w:val="36"/>
          <w:rtl/>
        </w:rPr>
        <w:t>ة</w:t>
      </w:r>
      <w:r w:rsidR="00603323" w:rsidRPr="00FD211F">
        <w:rPr>
          <w:sz w:val="36"/>
          <w:szCs w:val="36"/>
          <w:rtl/>
        </w:rPr>
        <w:t xml:space="preserve">، </w:t>
      </w:r>
      <w:r w:rsidRPr="00FD211F">
        <w:rPr>
          <w:sz w:val="36"/>
          <w:szCs w:val="36"/>
          <w:rtl/>
        </w:rPr>
        <w:t>حيث انها طور من اطوار الماد</w:t>
      </w:r>
      <w:r w:rsidR="00EC7EDF" w:rsidRPr="00FD211F">
        <w:rPr>
          <w:sz w:val="36"/>
          <w:szCs w:val="36"/>
          <w:rtl/>
        </w:rPr>
        <w:t>ة</w:t>
      </w:r>
      <w:r w:rsidR="00603323" w:rsidRPr="00FD211F">
        <w:rPr>
          <w:sz w:val="36"/>
          <w:szCs w:val="36"/>
          <w:rtl/>
        </w:rPr>
        <w:t xml:space="preserve">، </w:t>
      </w:r>
      <w:r w:rsidRPr="00FD211F">
        <w:rPr>
          <w:sz w:val="36"/>
          <w:szCs w:val="36"/>
          <w:rtl/>
        </w:rPr>
        <w:t>فلابد من تصور الهيئ</w:t>
      </w:r>
      <w:r w:rsidR="00EC7EDF" w:rsidRPr="00FD211F">
        <w:rPr>
          <w:sz w:val="36"/>
          <w:szCs w:val="36"/>
          <w:rtl/>
        </w:rPr>
        <w:t xml:space="preserve">ة </w:t>
      </w:r>
      <w:r w:rsidRPr="00FD211F">
        <w:rPr>
          <w:sz w:val="36"/>
          <w:szCs w:val="36"/>
          <w:rtl/>
        </w:rPr>
        <w:t>في ضمن ماد</w:t>
      </w:r>
      <w:r w:rsidR="00EC7EDF" w:rsidRPr="00FD211F">
        <w:rPr>
          <w:sz w:val="36"/>
          <w:szCs w:val="36"/>
          <w:rtl/>
        </w:rPr>
        <w:t>ة</w:t>
      </w:r>
      <w:r w:rsidR="00603323" w:rsidRPr="00FD211F">
        <w:rPr>
          <w:sz w:val="36"/>
          <w:szCs w:val="36"/>
          <w:rtl/>
        </w:rPr>
        <w:t xml:space="preserve">، </w:t>
      </w:r>
      <w:r w:rsidRPr="00FD211F">
        <w:rPr>
          <w:sz w:val="36"/>
          <w:szCs w:val="36"/>
          <w:rtl/>
        </w:rPr>
        <w:t>فيقال مثلا كل ما كان على هيئ</w:t>
      </w:r>
      <w:r w:rsidR="00EC7EDF" w:rsidRPr="00FD211F">
        <w:rPr>
          <w:sz w:val="36"/>
          <w:szCs w:val="36"/>
          <w:rtl/>
        </w:rPr>
        <w:t xml:space="preserve">ة </w:t>
      </w:r>
      <w:r w:rsidRPr="00FD211F">
        <w:rPr>
          <w:sz w:val="36"/>
          <w:szCs w:val="36"/>
          <w:rtl/>
        </w:rPr>
        <w:t>الفاعل فهو موضوع لمن يقوم به الفعل</w:t>
      </w:r>
      <w:r w:rsidR="009C58C8" w:rsidRPr="00FD211F">
        <w:rPr>
          <w:rStyle w:val="a6"/>
          <w:sz w:val="36"/>
          <w:szCs w:val="36"/>
          <w:rtl/>
        </w:rPr>
        <w:t>(</w:t>
      </w:r>
      <w:r w:rsidR="009C58C8" w:rsidRPr="00FD211F">
        <w:rPr>
          <w:rStyle w:val="a6"/>
          <w:sz w:val="36"/>
          <w:szCs w:val="36"/>
          <w:rtl/>
        </w:rPr>
        <w:footnoteReference w:id="271"/>
      </w:r>
      <w:r w:rsidR="009C58C8" w:rsidRPr="00FD211F">
        <w:rPr>
          <w:rStyle w:val="a6"/>
          <w:sz w:val="36"/>
          <w:szCs w:val="36"/>
          <w:rtl/>
        </w:rPr>
        <w:t>)</w:t>
      </w:r>
      <w:r w:rsidR="00892401" w:rsidRPr="00FD211F">
        <w:rPr>
          <w:sz w:val="36"/>
          <w:szCs w:val="36"/>
          <w:rtl/>
        </w:rPr>
        <w:t>.</w:t>
      </w:r>
    </w:p>
    <w:p w14:paraId="1B82D570" w14:textId="77777777" w:rsidR="00AB698E" w:rsidRPr="00FD211F" w:rsidRDefault="00892401" w:rsidP="009C58C8">
      <w:pPr>
        <w:ind w:left="0" w:firstLine="227"/>
        <w:jc w:val="both"/>
        <w:rPr>
          <w:sz w:val="36"/>
          <w:szCs w:val="36"/>
          <w:rtl/>
        </w:rPr>
      </w:pPr>
      <w:r w:rsidRPr="00FD211F">
        <w:rPr>
          <w:sz w:val="36"/>
          <w:szCs w:val="36"/>
          <w:rtl/>
        </w:rPr>
        <w:t>و</w:t>
      </w:r>
      <w:r w:rsidR="00AB698E" w:rsidRPr="00FD211F">
        <w:rPr>
          <w:sz w:val="36"/>
          <w:szCs w:val="36"/>
          <w:rtl/>
        </w:rPr>
        <w:t xml:space="preserve">ما افاده </w:t>
      </w:r>
      <w:r w:rsidRPr="00FD211F">
        <w:rPr>
          <w:sz w:val="36"/>
          <w:szCs w:val="36"/>
          <w:rtl/>
        </w:rPr>
        <w:t xml:space="preserve">تام </w:t>
      </w:r>
      <w:r w:rsidR="00AB698E" w:rsidRPr="00FD211F">
        <w:rPr>
          <w:sz w:val="36"/>
          <w:szCs w:val="36"/>
          <w:rtl/>
        </w:rPr>
        <w:t>عرفا</w:t>
      </w:r>
      <w:r w:rsidR="00603323" w:rsidRPr="00FD211F">
        <w:rPr>
          <w:sz w:val="36"/>
          <w:szCs w:val="36"/>
          <w:rtl/>
        </w:rPr>
        <w:t xml:space="preserve">، </w:t>
      </w:r>
      <w:r w:rsidR="00AB698E" w:rsidRPr="00FD211F">
        <w:rPr>
          <w:sz w:val="36"/>
          <w:szCs w:val="36"/>
          <w:rtl/>
        </w:rPr>
        <w:t>فانه وان كان لايمكن لحاظ الماد</w:t>
      </w:r>
      <w:r w:rsidR="00EC7EDF" w:rsidRPr="00FD211F">
        <w:rPr>
          <w:sz w:val="36"/>
          <w:szCs w:val="36"/>
          <w:rtl/>
        </w:rPr>
        <w:t xml:space="preserve">ة </w:t>
      </w:r>
      <w:r w:rsidR="00AB698E" w:rsidRPr="00FD211F">
        <w:rPr>
          <w:sz w:val="36"/>
          <w:szCs w:val="36"/>
          <w:rtl/>
        </w:rPr>
        <w:t>الا في ضمن هيئ</w:t>
      </w:r>
      <w:r w:rsidR="00EC7EDF" w:rsidRPr="00FD211F">
        <w:rPr>
          <w:sz w:val="36"/>
          <w:szCs w:val="36"/>
          <w:rtl/>
        </w:rPr>
        <w:t>ة</w:t>
      </w:r>
      <w:r w:rsidR="00603323" w:rsidRPr="00FD211F">
        <w:rPr>
          <w:sz w:val="36"/>
          <w:szCs w:val="36"/>
          <w:rtl/>
        </w:rPr>
        <w:t xml:space="preserve">، </w:t>
      </w:r>
      <w:r w:rsidR="00AB698E" w:rsidRPr="00FD211F">
        <w:rPr>
          <w:sz w:val="36"/>
          <w:szCs w:val="36"/>
          <w:rtl/>
        </w:rPr>
        <w:t>لكن يمكن لحاظ ذات الماد</w:t>
      </w:r>
      <w:r w:rsidR="00EC7EDF" w:rsidRPr="00FD211F">
        <w:rPr>
          <w:sz w:val="36"/>
          <w:szCs w:val="36"/>
          <w:rtl/>
        </w:rPr>
        <w:t xml:space="preserve">ة </w:t>
      </w:r>
      <w:r w:rsidR="00AB698E" w:rsidRPr="00FD211F">
        <w:rPr>
          <w:sz w:val="36"/>
          <w:szCs w:val="36"/>
          <w:rtl/>
        </w:rPr>
        <w:t>عرفا بخلاف الهيئ</w:t>
      </w:r>
      <w:r w:rsidR="00EC7EDF" w:rsidRPr="00FD211F">
        <w:rPr>
          <w:sz w:val="36"/>
          <w:szCs w:val="36"/>
          <w:rtl/>
        </w:rPr>
        <w:t>ة</w:t>
      </w:r>
      <w:r w:rsidR="00603323" w:rsidRPr="00FD211F">
        <w:rPr>
          <w:sz w:val="36"/>
          <w:szCs w:val="36"/>
          <w:rtl/>
        </w:rPr>
        <w:t xml:space="preserve">، </w:t>
      </w:r>
      <w:r w:rsidR="00AB698E" w:rsidRPr="00FD211F">
        <w:rPr>
          <w:sz w:val="36"/>
          <w:szCs w:val="36"/>
          <w:rtl/>
        </w:rPr>
        <w:t>فانها طور من اطوار الماد</w:t>
      </w:r>
      <w:r w:rsidR="00EC7EDF" w:rsidRPr="00FD211F">
        <w:rPr>
          <w:sz w:val="36"/>
          <w:szCs w:val="36"/>
          <w:rtl/>
        </w:rPr>
        <w:t>ة</w:t>
      </w:r>
      <w:r w:rsidR="00603323" w:rsidRPr="00FD211F">
        <w:rPr>
          <w:sz w:val="36"/>
          <w:szCs w:val="36"/>
          <w:rtl/>
        </w:rPr>
        <w:t xml:space="preserve">، </w:t>
      </w:r>
      <w:r w:rsidR="00AB698E" w:rsidRPr="00FD211F">
        <w:rPr>
          <w:sz w:val="36"/>
          <w:szCs w:val="36"/>
          <w:rtl/>
        </w:rPr>
        <w:t>ولايمكن قصر النظر عليها من دون لحاظ الماد</w:t>
      </w:r>
      <w:r w:rsidR="00EC7EDF" w:rsidRPr="00FD211F">
        <w:rPr>
          <w:sz w:val="36"/>
          <w:szCs w:val="36"/>
          <w:rtl/>
        </w:rPr>
        <w:t>ة</w:t>
      </w:r>
      <w:r w:rsidR="00A61BAE" w:rsidRPr="00FD211F">
        <w:rPr>
          <w:sz w:val="36"/>
          <w:szCs w:val="36"/>
          <w:rtl/>
        </w:rPr>
        <w:t>.</w:t>
      </w:r>
    </w:p>
    <w:p w14:paraId="0542F1D9" w14:textId="77777777" w:rsidR="000D11F4" w:rsidRPr="00FD211F" w:rsidRDefault="000B0E61" w:rsidP="009C58C8">
      <w:pPr>
        <w:pStyle w:val="3"/>
        <w:ind w:firstLine="227"/>
        <w:jc w:val="both"/>
        <w:rPr>
          <w:rtl/>
        </w:rPr>
      </w:pPr>
      <w:bookmarkStart w:id="273" w:name="_Toc151944600"/>
      <w:bookmarkStart w:id="274" w:name="_Toc154131727"/>
      <w:bookmarkStart w:id="275" w:name="_Toc156401515"/>
      <w:bookmarkStart w:id="276" w:name="_Toc192092899"/>
      <w:bookmarkStart w:id="277" w:name="_Toc223890377"/>
      <w:r w:rsidRPr="00FD211F">
        <w:rPr>
          <w:rtl/>
        </w:rPr>
        <w:t>3</w:t>
      </w:r>
      <w:r w:rsidR="000D11F4" w:rsidRPr="00FD211F">
        <w:rPr>
          <w:rtl/>
        </w:rPr>
        <w:t>- في تشخيص الواضع</w:t>
      </w:r>
      <w:bookmarkEnd w:id="273"/>
      <w:bookmarkEnd w:id="274"/>
      <w:bookmarkEnd w:id="275"/>
      <w:bookmarkEnd w:id="276"/>
      <w:bookmarkEnd w:id="277"/>
    </w:p>
    <w:p w14:paraId="7444C23C" w14:textId="77777777" w:rsidR="000D11F4" w:rsidRPr="00FD211F" w:rsidRDefault="000D11F4" w:rsidP="005946E3">
      <w:pPr>
        <w:ind w:left="0" w:firstLine="227"/>
        <w:jc w:val="both"/>
        <w:rPr>
          <w:sz w:val="36"/>
          <w:szCs w:val="36"/>
          <w:rtl/>
        </w:rPr>
      </w:pPr>
      <w:r w:rsidRPr="00FD211F">
        <w:rPr>
          <w:sz w:val="36"/>
          <w:szCs w:val="36"/>
          <w:rtl/>
        </w:rPr>
        <w:t>وقع الخلاف بين الأعلام في تشخيص الواضع</w:t>
      </w:r>
      <w:r w:rsidR="00603323" w:rsidRPr="00FD211F">
        <w:rPr>
          <w:sz w:val="36"/>
          <w:szCs w:val="36"/>
          <w:rtl/>
        </w:rPr>
        <w:t xml:space="preserve">، </w:t>
      </w:r>
      <w:r w:rsidRPr="00FD211F">
        <w:rPr>
          <w:sz w:val="36"/>
          <w:szCs w:val="36"/>
          <w:rtl/>
        </w:rPr>
        <w:t>فذكر المحقق النائيني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أنه تعالى هو الواضع الحكيم وأنه جعل لكل معنى لفظا بمناسب</w:t>
      </w:r>
      <w:r w:rsidR="00EC7EDF" w:rsidRPr="00FD211F">
        <w:rPr>
          <w:sz w:val="36"/>
          <w:szCs w:val="36"/>
          <w:rtl/>
        </w:rPr>
        <w:t xml:space="preserve">ة </w:t>
      </w:r>
      <w:r w:rsidRPr="00FD211F">
        <w:rPr>
          <w:sz w:val="36"/>
          <w:szCs w:val="36"/>
          <w:rtl/>
        </w:rPr>
        <w:t>مجهول</w:t>
      </w:r>
      <w:r w:rsidR="00EC7EDF" w:rsidRPr="00FD211F">
        <w:rPr>
          <w:sz w:val="36"/>
          <w:szCs w:val="36"/>
          <w:rtl/>
        </w:rPr>
        <w:t xml:space="preserve">ة </w:t>
      </w:r>
      <w:r w:rsidRPr="00FD211F">
        <w:rPr>
          <w:sz w:val="36"/>
          <w:szCs w:val="36"/>
          <w:rtl/>
        </w:rPr>
        <w:t>عندنا</w:t>
      </w:r>
      <w:r w:rsidR="00603323" w:rsidRPr="00FD211F">
        <w:rPr>
          <w:sz w:val="36"/>
          <w:szCs w:val="36"/>
          <w:rtl/>
        </w:rPr>
        <w:t xml:space="preserve">، </w:t>
      </w:r>
      <w:r w:rsidRPr="00FD211F">
        <w:rPr>
          <w:sz w:val="36"/>
          <w:szCs w:val="36"/>
          <w:rtl/>
        </w:rPr>
        <w:t xml:space="preserve">وهذا الجعل يكون وسطا بين جعل التكوينيات التي لايحتاج ادراكها الى </w:t>
      </w:r>
      <w:r w:rsidR="008D7B3D" w:rsidRPr="00FD211F">
        <w:rPr>
          <w:sz w:val="36"/>
          <w:szCs w:val="36"/>
          <w:rtl/>
        </w:rPr>
        <w:t xml:space="preserve">شيء </w:t>
      </w:r>
      <w:r w:rsidRPr="00FD211F">
        <w:rPr>
          <w:sz w:val="36"/>
          <w:szCs w:val="36"/>
          <w:rtl/>
        </w:rPr>
        <w:t>آخر كإدراك العطش وبين جعل الاحكام الشرعي</w:t>
      </w:r>
      <w:r w:rsidR="00EC7EDF" w:rsidRPr="00FD211F">
        <w:rPr>
          <w:sz w:val="36"/>
          <w:szCs w:val="36"/>
          <w:rtl/>
        </w:rPr>
        <w:t xml:space="preserve">ة </w:t>
      </w:r>
      <w:r w:rsidRPr="00FD211F">
        <w:rPr>
          <w:sz w:val="36"/>
          <w:szCs w:val="36"/>
          <w:rtl/>
        </w:rPr>
        <w:t>التي يحتاج إدراكها الى إرسال الرسل</w:t>
      </w:r>
      <w:r w:rsidR="00603323" w:rsidRPr="00FD211F">
        <w:rPr>
          <w:sz w:val="36"/>
          <w:szCs w:val="36"/>
          <w:rtl/>
        </w:rPr>
        <w:t xml:space="preserve">، </w:t>
      </w:r>
      <w:r w:rsidRPr="00FD211F">
        <w:rPr>
          <w:sz w:val="36"/>
          <w:szCs w:val="36"/>
          <w:rtl/>
        </w:rPr>
        <w:t>فان الله سبحانه ألهم كل طائف</w:t>
      </w:r>
      <w:r w:rsidR="00EC7EDF" w:rsidRPr="00FD211F">
        <w:rPr>
          <w:sz w:val="36"/>
          <w:szCs w:val="36"/>
          <w:rtl/>
        </w:rPr>
        <w:t xml:space="preserve">ة </w:t>
      </w:r>
      <w:r w:rsidRPr="00FD211F">
        <w:rPr>
          <w:sz w:val="36"/>
          <w:szCs w:val="36"/>
          <w:rtl/>
        </w:rPr>
        <w:t>من عباده على اختلافهم بلغ</w:t>
      </w:r>
      <w:r w:rsidR="00EC7EDF" w:rsidRPr="00FD211F">
        <w:rPr>
          <w:sz w:val="36"/>
          <w:szCs w:val="36"/>
          <w:rtl/>
        </w:rPr>
        <w:t xml:space="preserve">ة </w:t>
      </w:r>
      <w:r w:rsidRPr="00FD211F">
        <w:rPr>
          <w:sz w:val="36"/>
          <w:szCs w:val="36"/>
          <w:rtl/>
        </w:rPr>
        <w:t>خاص</w:t>
      </w:r>
      <w:r w:rsidR="00EC7EDF" w:rsidRPr="00FD211F">
        <w:rPr>
          <w:sz w:val="36"/>
          <w:szCs w:val="36"/>
          <w:rtl/>
        </w:rPr>
        <w:t>ة</w:t>
      </w:r>
      <w:r w:rsidR="00603323" w:rsidRPr="00FD211F">
        <w:rPr>
          <w:sz w:val="36"/>
          <w:szCs w:val="36"/>
          <w:rtl/>
        </w:rPr>
        <w:t xml:space="preserve">، </w:t>
      </w:r>
      <w:r w:rsidRPr="00FD211F">
        <w:rPr>
          <w:sz w:val="36"/>
          <w:szCs w:val="36"/>
          <w:rtl/>
        </w:rPr>
        <w:t>ومن المقطوع به بحسب التواريخ أنه</w:t>
      </w:r>
      <w:r w:rsidR="008D7B3D" w:rsidRPr="00FD211F">
        <w:rPr>
          <w:sz w:val="36"/>
          <w:szCs w:val="36"/>
          <w:rtl/>
        </w:rPr>
        <w:t xml:space="preserve"> لم‌</w:t>
      </w:r>
      <w:r w:rsidRPr="00FD211F">
        <w:rPr>
          <w:sz w:val="36"/>
          <w:szCs w:val="36"/>
          <w:rtl/>
        </w:rPr>
        <w:t>يكن شخص او جماع</w:t>
      </w:r>
      <w:r w:rsidR="00EC7EDF" w:rsidRPr="00FD211F">
        <w:rPr>
          <w:sz w:val="36"/>
          <w:szCs w:val="36"/>
          <w:rtl/>
        </w:rPr>
        <w:t xml:space="preserve">ة </w:t>
      </w:r>
      <w:r w:rsidRPr="00FD211F">
        <w:rPr>
          <w:sz w:val="36"/>
          <w:szCs w:val="36"/>
          <w:rtl/>
        </w:rPr>
        <w:t>قد وضعوا الالفاظ على ما هي عليها من الكثر</w:t>
      </w:r>
      <w:r w:rsidR="00EC7EDF" w:rsidRPr="00FD211F">
        <w:rPr>
          <w:sz w:val="36"/>
          <w:szCs w:val="36"/>
          <w:rtl/>
        </w:rPr>
        <w:t xml:space="preserve">ة </w:t>
      </w:r>
      <w:r w:rsidRPr="00FD211F">
        <w:rPr>
          <w:sz w:val="36"/>
          <w:szCs w:val="36"/>
          <w:rtl/>
        </w:rPr>
        <w:t>في كل لغ</w:t>
      </w:r>
      <w:r w:rsidR="00EC7EDF" w:rsidRPr="00FD211F">
        <w:rPr>
          <w:sz w:val="36"/>
          <w:szCs w:val="36"/>
          <w:rtl/>
        </w:rPr>
        <w:t>ة</w:t>
      </w:r>
      <w:r w:rsidR="00603323" w:rsidRPr="00FD211F">
        <w:rPr>
          <w:sz w:val="36"/>
          <w:szCs w:val="36"/>
          <w:rtl/>
        </w:rPr>
        <w:t xml:space="preserve">، </w:t>
      </w:r>
      <w:r w:rsidRPr="00FD211F">
        <w:rPr>
          <w:sz w:val="36"/>
          <w:szCs w:val="36"/>
          <w:rtl/>
        </w:rPr>
        <w:t>مضافا الى كثر</w:t>
      </w:r>
      <w:r w:rsidR="00EC7EDF" w:rsidRPr="00FD211F">
        <w:rPr>
          <w:sz w:val="36"/>
          <w:szCs w:val="36"/>
          <w:rtl/>
        </w:rPr>
        <w:t xml:space="preserve">ة </w:t>
      </w:r>
      <w:r w:rsidRPr="00FD211F">
        <w:rPr>
          <w:sz w:val="36"/>
          <w:szCs w:val="36"/>
          <w:rtl/>
        </w:rPr>
        <w:t>المعاني التي يتعذر تصورها من شخص او أشخاص متعددين</w:t>
      </w:r>
      <w:r w:rsidR="00603323" w:rsidRPr="00FD211F">
        <w:rPr>
          <w:sz w:val="36"/>
          <w:szCs w:val="36"/>
          <w:rtl/>
        </w:rPr>
        <w:t xml:space="preserve">، </w:t>
      </w:r>
      <w:r w:rsidRPr="00FD211F">
        <w:rPr>
          <w:sz w:val="36"/>
          <w:szCs w:val="36"/>
          <w:rtl/>
        </w:rPr>
        <w:t xml:space="preserve">ولو كان هناك واضع من البشر للغات لنقل ذلك في التاريخ مع انه لايوجد </w:t>
      </w:r>
      <w:r w:rsidR="008D7B3D" w:rsidRPr="00FD211F">
        <w:rPr>
          <w:sz w:val="36"/>
          <w:szCs w:val="36"/>
          <w:rtl/>
        </w:rPr>
        <w:t xml:space="preserve">شيء </w:t>
      </w:r>
      <w:r w:rsidRPr="00FD211F">
        <w:rPr>
          <w:sz w:val="36"/>
          <w:szCs w:val="36"/>
          <w:rtl/>
        </w:rPr>
        <w:t>من ذلك في التاريخ</w:t>
      </w:r>
      <w:r w:rsidR="00603323" w:rsidRPr="00FD211F">
        <w:rPr>
          <w:sz w:val="36"/>
          <w:szCs w:val="36"/>
          <w:rtl/>
        </w:rPr>
        <w:t xml:space="preserve">، </w:t>
      </w:r>
      <w:r w:rsidRPr="00FD211F">
        <w:rPr>
          <w:sz w:val="36"/>
          <w:szCs w:val="36"/>
          <w:rtl/>
        </w:rPr>
        <w:t>ومما يؤكد ذلك أنا لو فرضنا جماع</w:t>
      </w:r>
      <w:r w:rsidR="00EC7EDF" w:rsidRPr="00FD211F">
        <w:rPr>
          <w:sz w:val="36"/>
          <w:szCs w:val="36"/>
          <w:rtl/>
        </w:rPr>
        <w:t xml:space="preserve">ة </w:t>
      </w:r>
      <w:r w:rsidRPr="00FD211F">
        <w:rPr>
          <w:sz w:val="36"/>
          <w:szCs w:val="36"/>
          <w:rtl/>
        </w:rPr>
        <w:t>أرادوا إحداث ألفاظ جديد</w:t>
      </w:r>
      <w:r w:rsidR="00EC7EDF" w:rsidRPr="00FD211F">
        <w:rPr>
          <w:sz w:val="36"/>
          <w:szCs w:val="36"/>
          <w:rtl/>
        </w:rPr>
        <w:t xml:space="preserve">ة </w:t>
      </w:r>
      <w:r w:rsidRPr="00FD211F">
        <w:rPr>
          <w:sz w:val="36"/>
          <w:szCs w:val="36"/>
          <w:rtl/>
        </w:rPr>
        <w:t>بقدر ألفاظ أيّ</w:t>
      </w:r>
      <w:r w:rsidR="00EC7EDF" w:rsidRPr="00FD211F">
        <w:rPr>
          <w:sz w:val="36"/>
          <w:szCs w:val="36"/>
          <w:rtl/>
        </w:rPr>
        <w:t xml:space="preserve">ة </w:t>
      </w:r>
      <w:r w:rsidRPr="00FD211F">
        <w:rPr>
          <w:sz w:val="36"/>
          <w:szCs w:val="36"/>
          <w:rtl/>
        </w:rPr>
        <w:t>لغ</w:t>
      </w:r>
      <w:r w:rsidR="00EC7EDF" w:rsidRPr="00FD211F">
        <w:rPr>
          <w:sz w:val="36"/>
          <w:szCs w:val="36"/>
          <w:rtl/>
        </w:rPr>
        <w:t xml:space="preserve">ة </w:t>
      </w:r>
      <w:r w:rsidRPr="00FD211F">
        <w:rPr>
          <w:sz w:val="36"/>
          <w:szCs w:val="36"/>
          <w:rtl/>
        </w:rPr>
        <w:t>لما تمكنوا من ذلك فما ظنّك بشخص واحد</w:t>
      </w:r>
      <w:r w:rsidR="009C58C8" w:rsidRPr="00FD211F">
        <w:rPr>
          <w:rStyle w:val="a6"/>
          <w:sz w:val="36"/>
          <w:szCs w:val="36"/>
          <w:rtl/>
        </w:rPr>
        <w:t>(</w:t>
      </w:r>
      <w:r w:rsidR="009C58C8" w:rsidRPr="00FD211F">
        <w:rPr>
          <w:rStyle w:val="a6"/>
          <w:sz w:val="36"/>
          <w:szCs w:val="36"/>
          <w:rtl/>
        </w:rPr>
        <w:footnoteReference w:id="272"/>
      </w:r>
      <w:r w:rsidR="009C58C8" w:rsidRPr="00FD211F">
        <w:rPr>
          <w:rStyle w:val="a6"/>
          <w:sz w:val="36"/>
          <w:szCs w:val="36"/>
          <w:rtl/>
        </w:rPr>
        <w:t>)</w:t>
      </w:r>
      <w:r w:rsidRPr="00FD211F">
        <w:rPr>
          <w:sz w:val="36"/>
          <w:szCs w:val="36"/>
          <w:rtl/>
        </w:rPr>
        <w:t>.</w:t>
      </w:r>
    </w:p>
    <w:p w14:paraId="0CDC5EAD" w14:textId="77777777" w:rsidR="000D11F4" w:rsidRPr="00FD211F" w:rsidRDefault="000D11F4" w:rsidP="009C58C8">
      <w:pPr>
        <w:ind w:left="0" w:firstLine="227"/>
        <w:jc w:val="both"/>
        <w:rPr>
          <w:sz w:val="36"/>
          <w:szCs w:val="36"/>
          <w:rtl/>
        </w:rPr>
      </w:pPr>
      <w:r w:rsidRPr="00FD211F">
        <w:rPr>
          <w:sz w:val="36"/>
          <w:szCs w:val="36"/>
          <w:rtl/>
        </w:rPr>
        <w:t xml:space="preserve">ويورد عليه كما ذكره السيد الخوئي </w:t>
      </w:r>
      <w:r w:rsidR="00892401" w:rsidRPr="00FD211F">
        <w:rPr>
          <w:sz w:val="36"/>
          <w:szCs w:val="36"/>
          <w:rtl/>
        </w:rPr>
        <w:t>"</w:t>
      </w:r>
      <w:r w:rsidRPr="00FD211F">
        <w:rPr>
          <w:sz w:val="36"/>
          <w:szCs w:val="36"/>
          <w:rtl/>
        </w:rPr>
        <w:t>قده</w:t>
      </w:r>
      <w:r w:rsidR="00892401" w:rsidRPr="00FD211F">
        <w:rPr>
          <w:sz w:val="36"/>
          <w:szCs w:val="36"/>
          <w:rtl/>
        </w:rPr>
        <w:t>"</w:t>
      </w:r>
      <w:r w:rsidRPr="00FD211F">
        <w:rPr>
          <w:sz w:val="36"/>
          <w:szCs w:val="36"/>
          <w:rtl/>
        </w:rPr>
        <w:t xml:space="preserve"> بان وضع الالفاظ كان تدريجيا قد توسع بتوسع</w:t>
      </w:r>
      <w:r w:rsidR="00EC7EDF" w:rsidRPr="00FD211F">
        <w:rPr>
          <w:sz w:val="36"/>
          <w:szCs w:val="36"/>
          <w:rtl/>
        </w:rPr>
        <w:t xml:space="preserve">ة </w:t>
      </w:r>
      <w:r w:rsidRPr="00FD211F">
        <w:rPr>
          <w:sz w:val="36"/>
          <w:szCs w:val="36"/>
          <w:rtl/>
        </w:rPr>
        <w:t>اغراض البشر</w:t>
      </w:r>
      <w:r w:rsidR="00603323" w:rsidRPr="00FD211F">
        <w:rPr>
          <w:sz w:val="36"/>
          <w:szCs w:val="36"/>
          <w:rtl/>
        </w:rPr>
        <w:t xml:space="preserve">، </w:t>
      </w:r>
      <w:r w:rsidRPr="00FD211F">
        <w:rPr>
          <w:sz w:val="36"/>
          <w:szCs w:val="36"/>
          <w:rtl/>
        </w:rPr>
        <w:t>وليس واضع جميع الفاظ اللغ</w:t>
      </w:r>
      <w:r w:rsidR="00EC7EDF" w:rsidRPr="00FD211F">
        <w:rPr>
          <w:sz w:val="36"/>
          <w:szCs w:val="36"/>
          <w:rtl/>
        </w:rPr>
        <w:t xml:space="preserve">ة </w:t>
      </w:r>
      <w:r w:rsidRPr="00FD211F">
        <w:rPr>
          <w:sz w:val="36"/>
          <w:szCs w:val="36"/>
          <w:rtl/>
        </w:rPr>
        <w:t>شخصا واحدا او جماع</w:t>
      </w:r>
      <w:r w:rsidR="00EC7EDF" w:rsidRPr="00FD211F">
        <w:rPr>
          <w:sz w:val="36"/>
          <w:szCs w:val="36"/>
          <w:rtl/>
        </w:rPr>
        <w:t xml:space="preserve">ة </w:t>
      </w:r>
      <w:r w:rsidRPr="00FD211F">
        <w:rPr>
          <w:sz w:val="36"/>
          <w:szCs w:val="36"/>
          <w:rtl/>
        </w:rPr>
        <w:t>معين</w:t>
      </w:r>
      <w:r w:rsidR="00EC7EDF" w:rsidRPr="00FD211F">
        <w:rPr>
          <w:sz w:val="36"/>
          <w:szCs w:val="36"/>
          <w:rtl/>
        </w:rPr>
        <w:t>ة</w:t>
      </w:r>
      <w:r w:rsidR="00603323" w:rsidRPr="00FD211F">
        <w:rPr>
          <w:sz w:val="36"/>
          <w:szCs w:val="36"/>
          <w:rtl/>
        </w:rPr>
        <w:t xml:space="preserve">، </w:t>
      </w:r>
      <w:r w:rsidRPr="00FD211F">
        <w:rPr>
          <w:sz w:val="36"/>
          <w:szCs w:val="36"/>
          <w:rtl/>
        </w:rPr>
        <w:t>بل شارك في وضع اللغ</w:t>
      </w:r>
      <w:r w:rsidR="00EC7EDF" w:rsidRPr="00FD211F">
        <w:rPr>
          <w:sz w:val="36"/>
          <w:szCs w:val="36"/>
          <w:rtl/>
        </w:rPr>
        <w:t xml:space="preserve">ة </w:t>
      </w:r>
      <w:r w:rsidRPr="00FD211F">
        <w:rPr>
          <w:sz w:val="36"/>
          <w:szCs w:val="36"/>
          <w:rtl/>
        </w:rPr>
        <w:t>الأجيال وفقا لتوسع حاجاتهم</w:t>
      </w:r>
      <w:r w:rsidR="00603323" w:rsidRPr="00FD211F">
        <w:rPr>
          <w:sz w:val="36"/>
          <w:szCs w:val="36"/>
          <w:rtl/>
        </w:rPr>
        <w:t xml:space="preserve">، </w:t>
      </w:r>
      <w:r w:rsidRPr="00FD211F">
        <w:rPr>
          <w:sz w:val="36"/>
          <w:szCs w:val="36"/>
          <w:rtl/>
        </w:rPr>
        <w:t>وليس من صنع انسان معين كي يستبعد ذلك على اساس عدم نقل التاريخ مثله</w:t>
      </w:r>
      <w:r w:rsidR="00603323" w:rsidRPr="00FD211F">
        <w:rPr>
          <w:sz w:val="36"/>
          <w:szCs w:val="36"/>
          <w:rtl/>
        </w:rPr>
        <w:t xml:space="preserve">، </w:t>
      </w:r>
      <w:r w:rsidRPr="00FD211F">
        <w:rPr>
          <w:sz w:val="36"/>
          <w:szCs w:val="36"/>
          <w:rtl/>
        </w:rPr>
        <w:t>فلامانع من ان يكون الواضع للّغات هو البشر</w:t>
      </w:r>
      <w:r w:rsidR="009C58C8" w:rsidRPr="00FD211F">
        <w:rPr>
          <w:rStyle w:val="a6"/>
          <w:sz w:val="36"/>
          <w:szCs w:val="36"/>
          <w:rtl/>
        </w:rPr>
        <w:t>(</w:t>
      </w:r>
      <w:r w:rsidR="009C58C8" w:rsidRPr="00FD211F">
        <w:rPr>
          <w:rStyle w:val="a6"/>
          <w:sz w:val="36"/>
          <w:szCs w:val="36"/>
          <w:rtl/>
        </w:rPr>
        <w:footnoteReference w:id="273"/>
      </w:r>
      <w:r w:rsidR="009C58C8" w:rsidRPr="00FD211F">
        <w:rPr>
          <w:rStyle w:val="a6"/>
          <w:sz w:val="36"/>
          <w:szCs w:val="36"/>
          <w:rtl/>
        </w:rPr>
        <w:t>)</w:t>
      </w:r>
      <w:r w:rsidRPr="00FD211F">
        <w:rPr>
          <w:sz w:val="36"/>
          <w:szCs w:val="36"/>
          <w:rtl/>
        </w:rPr>
        <w:t>.</w:t>
      </w:r>
    </w:p>
    <w:p w14:paraId="7D28D575" w14:textId="77777777" w:rsidR="000D11F4" w:rsidRPr="00FD211F" w:rsidRDefault="00693067"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وقد ذكر في البحوث</w:t>
      </w:r>
      <w:r w:rsidR="000D11F4" w:rsidRPr="00FD211F">
        <w:rPr>
          <w:sz w:val="36"/>
          <w:szCs w:val="36"/>
          <w:rtl/>
        </w:rPr>
        <w:t xml:space="preserve"> اربع مبعِّدات لكون الواضع هو البشر:</w:t>
      </w:r>
    </w:p>
    <w:p w14:paraId="2291D5B4" w14:textId="77777777" w:rsidR="000D11F4" w:rsidRPr="00FD211F" w:rsidRDefault="000D11F4" w:rsidP="009C58C8">
      <w:pPr>
        <w:ind w:left="0" w:firstLine="227"/>
        <w:jc w:val="both"/>
        <w:rPr>
          <w:sz w:val="36"/>
          <w:szCs w:val="36"/>
          <w:rtl/>
        </w:rPr>
      </w:pPr>
      <w:r w:rsidRPr="00FD211F">
        <w:rPr>
          <w:sz w:val="36"/>
          <w:szCs w:val="36"/>
          <w:rtl/>
        </w:rPr>
        <w:t>1- انه كيف التفت الانسان البدائي الى امكاني</w:t>
      </w:r>
      <w:r w:rsidR="00EC7EDF" w:rsidRPr="00FD211F">
        <w:rPr>
          <w:sz w:val="36"/>
          <w:szCs w:val="36"/>
          <w:rtl/>
        </w:rPr>
        <w:t xml:space="preserve">ة </w:t>
      </w:r>
      <w:r w:rsidRPr="00FD211F">
        <w:rPr>
          <w:sz w:val="36"/>
          <w:szCs w:val="36"/>
          <w:rtl/>
        </w:rPr>
        <w:t>الاستفاد</w:t>
      </w:r>
      <w:r w:rsidR="00EC7EDF" w:rsidRPr="00FD211F">
        <w:rPr>
          <w:sz w:val="36"/>
          <w:szCs w:val="36"/>
          <w:rtl/>
        </w:rPr>
        <w:t xml:space="preserve">ة </w:t>
      </w:r>
      <w:r w:rsidRPr="00FD211F">
        <w:rPr>
          <w:sz w:val="36"/>
          <w:szCs w:val="36"/>
          <w:rtl/>
        </w:rPr>
        <w:t>من</w:t>
      </w:r>
      <w:r w:rsidR="00797457" w:rsidRPr="00FD211F">
        <w:rPr>
          <w:sz w:val="36"/>
          <w:szCs w:val="36"/>
          <w:rtl/>
        </w:rPr>
        <w:t xml:space="preserve"> أصوات معين</w:t>
      </w:r>
      <w:r w:rsidR="00EC7EDF" w:rsidRPr="00FD211F">
        <w:rPr>
          <w:sz w:val="36"/>
          <w:szCs w:val="36"/>
          <w:rtl/>
        </w:rPr>
        <w:t xml:space="preserve">ة </w:t>
      </w:r>
      <w:r w:rsidR="00797457" w:rsidRPr="00FD211F">
        <w:rPr>
          <w:sz w:val="36"/>
          <w:szCs w:val="36"/>
          <w:rtl/>
        </w:rPr>
        <w:t>وألفاظ</w:t>
      </w:r>
      <w:r w:rsidRPr="00FD211F">
        <w:rPr>
          <w:sz w:val="36"/>
          <w:szCs w:val="36"/>
          <w:rtl/>
        </w:rPr>
        <w:t xml:space="preserve"> في إبراز </w:t>
      </w:r>
      <w:r w:rsidR="00797457" w:rsidRPr="00FD211F">
        <w:rPr>
          <w:sz w:val="36"/>
          <w:szCs w:val="36"/>
          <w:rtl/>
        </w:rPr>
        <w:t>مقاصده لولا الهام من الله تعالى</w:t>
      </w:r>
      <w:r w:rsidR="00603323" w:rsidRPr="00FD211F">
        <w:rPr>
          <w:sz w:val="36"/>
          <w:szCs w:val="36"/>
          <w:rtl/>
        </w:rPr>
        <w:t xml:space="preserve">، </w:t>
      </w:r>
      <w:r w:rsidR="00797457" w:rsidRPr="00FD211F">
        <w:rPr>
          <w:sz w:val="36"/>
          <w:szCs w:val="36"/>
          <w:rtl/>
        </w:rPr>
        <w:t>فان هذه النكت</w:t>
      </w:r>
      <w:r w:rsidR="00EC7EDF" w:rsidRPr="00FD211F">
        <w:rPr>
          <w:sz w:val="36"/>
          <w:szCs w:val="36"/>
          <w:rtl/>
        </w:rPr>
        <w:t xml:space="preserve">ة </w:t>
      </w:r>
      <w:r w:rsidR="00797457" w:rsidRPr="00FD211F">
        <w:rPr>
          <w:sz w:val="36"/>
          <w:szCs w:val="36"/>
          <w:rtl/>
        </w:rPr>
        <w:t>وان كانت تبدو الآن واضح</w:t>
      </w:r>
      <w:r w:rsidR="00EC7EDF" w:rsidRPr="00FD211F">
        <w:rPr>
          <w:sz w:val="36"/>
          <w:szCs w:val="36"/>
          <w:rtl/>
        </w:rPr>
        <w:t xml:space="preserve">ة </w:t>
      </w:r>
      <w:r w:rsidR="00797457" w:rsidRPr="00FD211F">
        <w:rPr>
          <w:sz w:val="36"/>
          <w:szCs w:val="36"/>
          <w:rtl/>
        </w:rPr>
        <w:t>لان كل انسان ينشأ في ضمن لغ</w:t>
      </w:r>
      <w:r w:rsidR="00EC7EDF" w:rsidRPr="00FD211F">
        <w:rPr>
          <w:sz w:val="36"/>
          <w:szCs w:val="36"/>
          <w:rtl/>
        </w:rPr>
        <w:t xml:space="preserve">ة </w:t>
      </w:r>
      <w:r w:rsidR="00797457" w:rsidRPr="00FD211F">
        <w:rPr>
          <w:sz w:val="36"/>
          <w:szCs w:val="36"/>
          <w:rtl/>
        </w:rPr>
        <w:t>ولكن الواضع الأول كيف التفت الى ذلك؟.</w:t>
      </w:r>
    </w:p>
    <w:p w14:paraId="4FC018F5" w14:textId="77777777" w:rsidR="000D11F4" w:rsidRPr="00FD211F" w:rsidRDefault="000D11F4" w:rsidP="009C58C8">
      <w:pPr>
        <w:ind w:left="0" w:firstLine="227"/>
        <w:jc w:val="both"/>
        <w:rPr>
          <w:sz w:val="36"/>
          <w:szCs w:val="36"/>
          <w:rtl/>
        </w:rPr>
      </w:pPr>
      <w:r w:rsidRPr="00FD211F">
        <w:rPr>
          <w:sz w:val="36"/>
          <w:szCs w:val="36"/>
          <w:rtl/>
        </w:rPr>
        <w:t>2- ان المسالك المعروف</w:t>
      </w:r>
      <w:r w:rsidR="00EC7EDF" w:rsidRPr="00FD211F">
        <w:rPr>
          <w:sz w:val="36"/>
          <w:szCs w:val="36"/>
          <w:rtl/>
        </w:rPr>
        <w:t xml:space="preserve">ة </w:t>
      </w:r>
      <w:r w:rsidRPr="00FD211F">
        <w:rPr>
          <w:sz w:val="36"/>
          <w:szCs w:val="36"/>
          <w:rtl/>
        </w:rPr>
        <w:t>للوضع كمسلك الاعتبار او التعهد تشتمل على نكات دقيق</w:t>
      </w:r>
      <w:r w:rsidR="00EC7EDF" w:rsidRPr="00FD211F">
        <w:rPr>
          <w:sz w:val="36"/>
          <w:szCs w:val="36"/>
          <w:rtl/>
        </w:rPr>
        <w:t xml:space="preserve">ة </w:t>
      </w:r>
      <w:r w:rsidRPr="00FD211F">
        <w:rPr>
          <w:sz w:val="36"/>
          <w:szCs w:val="36"/>
          <w:rtl/>
        </w:rPr>
        <w:t>تتطلب درج</w:t>
      </w:r>
      <w:r w:rsidR="00EC7EDF" w:rsidRPr="00FD211F">
        <w:rPr>
          <w:sz w:val="36"/>
          <w:szCs w:val="36"/>
          <w:rtl/>
        </w:rPr>
        <w:t xml:space="preserve">ة </w:t>
      </w:r>
      <w:r w:rsidRPr="00FD211F">
        <w:rPr>
          <w:sz w:val="36"/>
          <w:szCs w:val="36"/>
          <w:rtl/>
        </w:rPr>
        <w:t>من النضج الفكري</w:t>
      </w:r>
      <w:r w:rsidR="00603323" w:rsidRPr="00FD211F">
        <w:rPr>
          <w:sz w:val="36"/>
          <w:szCs w:val="36"/>
          <w:rtl/>
        </w:rPr>
        <w:t xml:space="preserve">، </w:t>
      </w:r>
      <w:r w:rsidRPr="00FD211F">
        <w:rPr>
          <w:sz w:val="36"/>
          <w:szCs w:val="36"/>
          <w:rtl/>
        </w:rPr>
        <w:t>مع ان وصول الانسان الى هذه الدرج</w:t>
      </w:r>
      <w:r w:rsidR="00EC7EDF" w:rsidRPr="00FD211F">
        <w:rPr>
          <w:sz w:val="36"/>
          <w:szCs w:val="36"/>
          <w:rtl/>
        </w:rPr>
        <w:t xml:space="preserve">ة </w:t>
      </w:r>
      <w:r w:rsidRPr="00FD211F">
        <w:rPr>
          <w:sz w:val="36"/>
          <w:szCs w:val="36"/>
          <w:rtl/>
        </w:rPr>
        <w:t>كان متأخرا عن حياته الاجتماعي</w:t>
      </w:r>
      <w:r w:rsidR="00EC7EDF" w:rsidRPr="00FD211F">
        <w:rPr>
          <w:sz w:val="36"/>
          <w:szCs w:val="36"/>
          <w:rtl/>
        </w:rPr>
        <w:t xml:space="preserve">ة </w:t>
      </w:r>
      <w:r w:rsidRPr="00FD211F">
        <w:rPr>
          <w:sz w:val="36"/>
          <w:szCs w:val="36"/>
          <w:rtl/>
        </w:rPr>
        <w:t>التي طلبت منه وضع لغ</w:t>
      </w:r>
      <w:r w:rsidR="00EC7EDF" w:rsidRPr="00FD211F">
        <w:rPr>
          <w:sz w:val="36"/>
          <w:szCs w:val="36"/>
          <w:rtl/>
        </w:rPr>
        <w:t xml:space="preserve">ة </w:t>
      </w:r>
      <w:r w:rsidRPr="00FD211F">
        <w:rPr>
          <w:sz w:val="36"/>
          <w:szCs w:val="36"/>
          <w:rtl/>
        </w:rPr>
        <w:t>لإبراز مقاصده.</w:t>
      </w:r>
    </w:p>
    <w:p w14:paraId="178A3C2F" w14:textId="77777777" w:rsidR="000D11F4" w:rsidRPr="00FD211F" w:rsidRDefault="000D11F4" w:rsidP="009C58C8">
      <w:pPr>
        <w:ind w:left="0" w:firstLine="227"/>
        <w:jc w:val="both"/>
        <w:rPr>
          <w:sz w:val="36"/>
          <w:szCs w:val="36"/>
          <w:rtl/>
        </w:rPr>
      </w:pPr>
      <w:r w:rsidRPr="00FD211F">
        <w:rPr>
          <w:sz w:val="36"/>
          <w:szCs w:val="36"/>
          <w:rtl/>
        </w:rPr>
        <w:t xml:space="preserve">3- انه لو فرض ان الواضع ادرك تلك الدقائق فكيف </w:t>
      </w:r>
      <w:r w:rsidR="00797457" w:rsidRPr="00FD211F">
        <w:rPr>
          <w:sz w:val="36"/>
          <w:szCs w:val="36"/>
          <w:rtl/>
        </w:rPr>
        <w:t>تيسّر</w:t>
      </w:r>
      <w:r w:rsidRPr="00FD211F">
        <w:rPr>
          <w:sz w:val="36"/>
          <w:szCs w:val="36"/>
          <w:rtl/>
        </w:rPr>
        <w:t xml:space="preserve"> له ان ينقل تلك الافكار المعنوي</w:t>
      </w:r>
      <w:r w:rsidR="00EC7EDF" w:rsidRPr="00FD211F">
        <w:rPr>
          <w:sz w:val="36"/>
          <w:szCs w:val="36"/>
          <w:rtl/>
        </w:rPr>
        <w:t xml:space="preserve">ة </w:t>
      </w:r>
      <w:r w:rsidRPr="00FD211F">
        <w:rPr>
          <w:sz w:val="36"/>
          <w:szCs w:val="36"/>
          <w:rtl/>
        </w:rPr>
        <w:t>الى الآخرين مع انها ليست محسوس</w:t>
      </w:r>
      <w:r w:rsidR="00EC7EDF" w:rsidRPr="00FD211F">
        <w:rPr>
          <w:sz w:val="36"/>
          <w:szCs w:val="36"/>
          <w:rtl/>
        </w:rPr>
        <w:t xml:space="preserve">ة </w:t>
      </w:r>
      <w:r w:rsidRPr="00FD211F">
        <w:rPr>
          <w:sz w:val="36"/>
          <w:szCs w:val="36"/>
          <w:rtl/>
        </w:rPr>
        <w:t>يمكن الاشار</w:t>
      </w:r>
      <w:r w:rsidR="00EC7EDF" w:rsidRPr="00FD211F">
        <w:rPr>
          <w:sz w:val="36"/>
          <w:szCs w:val="36"/>
          <w:rtl/>
        </w:rPr>
        <w:t xml:space="preserve">ة </w:t>
      </w:r>
      <w:r w:rsidRPr="00FD211F">
        <w:rPr>
          <w:sz w:val="36"/>
          <w:szCs w:val="36"/>
          <w:rtl/>
        </w:rPr>
        <w:t>اليها.</w:t>
      </w:r>
    </w:p>
    <w:p w14:paraId="2D338E00" w14:textId="77777777" w:rsidR="000D11F4" w:rsidRPr="00FD211F" w:rsidRDefault="000D11F4" w:rsidP="009C58C8">
      <w:pPr>
        <w:ind w:left="0" w:firstLine="227"/>
        <w:jc w:val="both"/>
        <w:rPr>
          <w:sz w:val="36"/>
          <w:szCs w:val="36"/>
          <w:rtl/>
        </w:rPr>
      </w:pPr>
      <w:r w:rsidRPr="00FD211F">
        <w:rPr>
          <w:sz w:val="36"/>
          <w:szCs w:val="36"/>
          <w:rtl/>
        </w:rPr>
        <w:t>4- إنه كيف نفسر اتفاق مجموع</w:t>
      </w:r>
      <w:r w:rsidR="00EC7EDF" w:rsidRPr="00FD211F">
        <w:rPr>
          <w:sz w:val="36"/>
          <w:szCs w:val="36"/>
          <w:rtl/>
        </w:rPr>
        <w:t xml:space="preserve">ة </w:t>
      </w:r>
      <w:r w:rsidRPr="00FD211F">
        <w:rPr>
          <w:sz w:val="36"/>
          <w:szCs w:val="36"/>
          <w:rtl/>
        </w:rPr>
        <w:t>من الناس على لغ</w:t>
      </w:r>
      <w:r w:rsidR="00EC7EDF" w:rsidRPr="00FD211F">
        <w:rPr>
          <w:sz w:val="36"/>
          <w:szCs w:val="36"/>
          <w:rtl/>
        </w:rPr>
        <w:t xml:space="preserve">ة </w:t>
      </w:r>
      <w:r w:rsidRPr="00FD211F">
        <w:rPr>
          <w:sz w:val="36"/>
          <w:szCs w:val="36"/>
          <w:rtl/>
        </w:rPr>
        <w:t>معين</w:t>
      </w:r>
      <w:r w:rsidR="00EC7EDF" w:rsidRPr="00FD211F">
        <w:rPr>
          <w:sz w:val="36"/>
          <w:szCs w:val="36"/>
          <w:rtl/>
        </w:rPr>
        <w:t>ة</w:t>
      </w:r>
      <w:r w:rsidR="00603323" w:rsidRPr="00FD211F">
        <w:rPr>
          <w:sz w:val="36"/>
          <w:szCs w:val="36"/>
          <w:rtl/>
        </w:rPr>
        <w:t xml:space="preserve">، </w:t>
      </w:r>
      <w:r w:rsidRPr="00FD211F">
        <w:rPr>
          <w:sz w:val="36"/>
          <w:szCs w:val="36"/>
          <w:rtl/>
        </w:rPr>
        <w:t>فان مجرد الصدف</w:t>
      </w:r>
      <w:r w:rsidR="00EC7EDF" w:rsidRPr="00FD211F">
        <w:rPr>
          <w:sz w:val="36"/>
          <w:szCs w:val="36"/>
          <w:rtl/>
        </w:rPr>
        <w:t xml:space="preserve">ة </w:t>
      </w:r>
      <w:r w:rsidRPr="00FD211F">
        <w:rPr>
          <w:sz w:val="36"/>
          <w:szCs w:val="36"/>
          <w:rtl/>
        </w:rPr>
        <w:t>بان ينقدح في أذهان جميعهم صدف</w:t>
      </w:r>
      <w:r w:rsidR="00EC7EDF" w:rsidRPr="00FD211F">
        <w:rPr>
          <w:sz w:val="36"/>
          <w:szCs w:val="36"/>
          <w:rtl/>
        </w:rPr>
        <w:t xml:space="preserve">ة </w:t>
      </w:r>
      <w:r w:rsidRPr="00FD211F">
        <w:rPr>
          <w:sz w:val="36"/>
          <w:szCs w:val="36"/>
          <w:rtl/>
        </w:rPr>
        <w:t>وضع لفظ الماء بإزاء المعنى المعين ولفظ الهواء بإزاء المعنى الآخر وهكذا... بعيد جدّا بحساب الاحتمالات</w:t>
      </w:r>
      <w:r w:rsidR="00603323" w:rsidRPr="00FD211F">
        <w:rPr>
          <w:sz w:val="36"/>
          <w:szCs w:val="36"/>
          <w:rtl/>
        </w:rPr>
        <w:t xml:space="preserve">، </w:t>
      </w:r>
      <w:r w:rsidRPr="00FD211F">
        <w:rPr>
          <w:sz w:val="36"/>
          <w:szCs w:val="36"/>
          <w:rtl/>
        </w:rPr>
        <w:t>وكون ذلك قد حصل عند احدهم ثم تبعه فيه الآخرون غير متناسب مع وضع الانسان البدائي</w:t>
      </w:r>
      <w:r w:rsidR="00603323" w:rsidRPr="00FD211F">
        <w:rPr>
          <w:sz w:val="36"/>
          <w:szCs w:val="36"/>
          <w:rtl/>
        </w:rPr>
        <w:t xml:space="preserve">، </w:t>
      </w:r>
      <w:r w:rsidRPr="00FD211F">
        <w:rPr>
          <w:sz w:val="36"/>
          <w:szCs w:val="36"/>
          <w:rtl/>
        </w:rPr>
        <w:t>فان حال</w:t>
      </w:r>
      <w:r w:rsidR="00EC7EDF" w:rsidRPr="00FD211F">
        <w:rPr>
          <w:sz w:val="36"/>
          <w:szCs w:val="36"/>
          <w:rtl/>
        </w:rPr>
        <w:t xml:space="preserve">ة </w:t>
      </w:r>
      <w:r w:rsidRPr="00FD211F">
        <w:rPr>
          <w:sz w:val="36"/>
          <w:szCs w:val="36"/>
          <w:rtl/>
        </w:rPr>
        <w:t>التبعي</w:t>
      </w:r>
      <w:r w:rsidR="00EC7EDF" w:rsidRPr="00FD211F">
        <w:rPr>
          <w:sz w:val="36"/>
          <w:szCs w:val="36"/>
          <w:rtl/>
        </w:rPr>
        <w:t xml:space="preserve">ة </w:t>
      </w:r>
      <w:r w:rsidRPr="00FD211F">
        <w:rPr>
          <w:sz w:val="36"/>
          <w:szCs w:val="36"/>
          <w:rtl/>
        </w:rPr>
        <w:t>الجماعي</w:t>
      </w:r>
      <w:r w:rsidR="00EC7EDF" w:rsidRPr="00FD211F">
        <w:rPr>
          <w:sz w:val="36"/>
          <w:szCs w:val="36"/>
          <w:rtl/>
        </w:rPr>
        <w:t xml:space="preserve">ة </w:t>
      </w:r>
      <w:r w:rsidRPr="00FD211F">
        <w:rPr>
          <w:sz w:val="36"/>
          <w:szCs w:val="36"/>
          <w:rtl/>
        </w:rPr>
        <w:t>لرئيس او شيخ عشير</w:t>
      </w:r>
      <w:r w:rsidR="00EC7EDF" w:rsidRPr="00FD211F">
        <w:rPr>
          <w:sz w:val="36"/>
          <w:szCs w:val="36"/>
          <w:rtl/>
        </w:rPr>
        <w:t xml:space="preserve">ة </w:t>
      </w:r>
      <w:r w:rsidRPr="00FD211F">
        <w:rPr>
          <w:sz w:val="36"/>
          <w:szCs w:val="36"/>
          <w:rtl/>
        </w:rPr>
        <w:t>مثلا انما حصلت في تاريخ الانسان متأخرا عن ظاهر</w:t>
      </w:r>
      <w:r w:rsidR="00EC7EDF" w:rsidRPr="00FD211F">
        <w:rPr>
          <w:sz w:val="36"/>
          <w:szCs w:val="36"/>
          <w:rtl/>
        </w:rPr>
        <w:t xml:space="preserve">ة </w:t>
      </w:r>
      <w:r w:rsidRPr="00FD211F">
        <w:rPr>
          <w:sz w:val="36"/>
          <w:szCs w:val="36"/>
          <w:rtl/>
        </w:rPr>
        <w:t>اللغ</w:t>
      </w:r>
      <w:r w:rsidR="00EC7EDF" w:rsidRPr="00FD211F">
        <w:rPr>
          <w:sz w:val="36"/>
          <w:szCs w:val="36"/>
          <w:rtl/>
        </w:rPr>
        <w:t xml:space="preserve">ة </w:t>
      </w:r>
      <w:r w:rsidRPr="00FD211F">
        <w:rPr>
          <w:sz w:val="36"/>
          <w:szCs w:val="36"/>
          <w:rtl/>
        </w:rPr>
        <w:t>بكثير.</w:t>
      </w:r>
    </w:p>
    <w:p w14:paraId="2DDB4EF2" w14:textId="77777777" w:rsidR="000D11F4" w:rsidRPr="00FD211F" w:rsidRDefault="001959FD" w:rsidP="009C58C8">
      <w:pPr>
        <w:ind w:left="0" w:firstLine="227"/>
        <w:jc w:val="both"/>
        <w:rPr>
          <w:sz w:val="36"/>
          <w:szCs w:val="36"/>
          <w:rtl/>
        </w:rPr>
      </w:pPr>
      <w:r w:rsidRPr="00FD211F">
        <w:rPr>
          <w:sz w:val="36"/>
          <w:szCs w:val="36"/>
          <w:rtl/>
        </w:rPr>
        <w:t>ثم ذكر</w:t>
      </w:r>
      <w:r w:rsidR="000D11F4" w:rsidRPr="00FD211F">
        <w:rPr>
          <w:sz w:val="36"/>
          <w:szCs w:val="36"/>
          <w:rtl/>
        </w:rPr>
        <w:t xml:space="preserve"> ان</w:t>
      </w:r>
      <w:r w:rsidRPr="00FD211F">
        <w:rPr>
          <w:sz w:val="36"/>
          <w:szCs w:val="36"/>
          <w:rtl/>
        </w:rPr>
        <w:t>ه</w:t>
      </w:r>
      <w:r w:rsidR="000D11F4" w:rsidRPr="00FD211F">
        <w:rPr>
          <w:sz w:val="36"/>
          <w:szCs w:val="36"/>
          <w:rtl/>
        </w:rPr>
        <w:t xml:space="preserve"> بناء على المسلك الصحيح من كون الوضع هو الاقتران الأكيد</w:t>
      </w:r>
      <w:r w:rsidRPr="00FD211F">
        <w:rPr>
          <w:sz w:val="36"/>
          <w:szCs w:val="36"/>
          <w:rtl/>
        </w:rPr>
        <w:t xml:space="preserve"> ف</w:t>
      </w:r>
      <w:r w:rsidR="00504874" w:rsidRPr="00FD211F">
        <w:rPr>
          <w:sz w:val="36"/>
          <w:szCs w:val="36"/>
          <w:rtl/>
        </w:rPr>
        <w:t>لاتت</w:t>
      </w:r>
      <w:r w:rsidRPr="00FD211F">
        <w:rPr>
          <w:sz w:val="36"/>
          <w:szCs w:val="36"/>
          <w:rtl/>
        </w:rPr>
        <w:t>جه هذه المبعِّدات</w:t>
      </w:r>
      <w:r w:rsidR="00603323" w:rsidRPr="00FD211F">
        <w:rPr>
          <w:sz w:val="36"/>
          <w:szCs w:val="36"/>
          <w:rtl/>
        </w:rPr>
        <w:t xml:space="preserve">، </w:t>
      </w:r>
      <w:r w:rsidR="000D11F4" w:rsidRPr="00FD211F">
        <w:rPr>
          <w:sz w:val="36"/>
          <w:szCs w:val="36"/>
          <w:rtl/>
        </w:rPr>
        <w:t>اذ بناء عليه لاتكون عملي</w:t>
      </w:r>
      <w:r w:rsidR="00EC7EDF" w:rsidRPr="00FD211F">
        <w:rPr>
          <w:sz w:val="36"/>
          <w:szCs w:val="36"/>
          <w:rtl/>
        </w:rPr>
        <w:t xml:space="preserve">ة </w:t>
      </w:r>
      <w:r w:rsidR="000D11F4" w:rsidRPr="00FD211F">
        <w:rPr>
          <w:sz w:val="36"/>
          <w:szCs w:val="36"/>
          <w:rtl/>
        </w:rPr>
        <w:t>الوضع الا عملي</w:t>
      </w:r>
      <w:r w:rsidR="00EC7EDF" w:rsidRPr="00FD211F">
        <w:rPr>
          <w:sz w:val="36"/>
          <w:szCs w:val="36"/>
          <w:rtl/>
        </w:rPr>
        <w:t xml:space="preserve">ة </w:t>
      </w:r>
      <w:r w:rsidR="000D11F4" w:rsidRPr="00FD211F">
        <w:rPr>
          <w:sz w:val="36"/>
          <w:szCs w:val="36"/>
          <w:rtl/>
        </w:rPr>
        <w:t>طبيعي</w:t>
      </w:r>
      <w:r w:rsidR="00EC7EDF" w:rsidRPr="00FD211F">
        <w:rPr>
          <w:sz w:val="36"/>
          <w:szCs w:val="36"/>
          <w:rtl/>
        </w:rPr>
        <w:t xml:space="preserve">ة </w:t>
      </w:r>
      <w:r w:rsidR="000D11F4" w:rsidRPr="00FD211F">
        <w:rPr>
          <w:sz w:val="36"/>
          <w:szCs w:val="36"/>
          <w:rtl/>
        </w:rPr>
        <w:t>ساذج</w:t>
      </w:r>
      <w:r w:rsidR="00EC7EDF" w:rsidRPr="00FD211F">
        <w:rPr>
          <w:sz w:val="36"/>
          <w:szCs w:val="36"/>
          <w:rtl/>
        </w:rPr>
        <w:t xml:space="preserve">ة </w:t>
      </w:r>
      <w:r w:rsidR="000D11F4" w:rsidRPr="00FD211F">
        <w:rPr>
          <w:sz w:val="36"/>
          <w:szCs w:val="36"/>
          <w:rtl/>
        </w:rPr>
        <w:t>كانت مألوف</w:t>
      </w:r>
      <w:r w:rsidR="00EC7EDF" w:rsidRPr="00FD211F">
        <w:rPr>
          <w:sz w:val="36"/>
          <w:szCs w:val="36"/>
          <w:rtl/>
        </w:rPr>
        <w:t xml:space="preserve">ة </w:t>
      </w:r>
      <w:r w:rsidR="000D11F4" w:rsidRPr="00FD211F">
        <w:rPr>
          <w:sz w:val="36"/>
          <w:szCs w:val="36"/>
          <w:rtl/>
        </w:rPr>
        <w:t>لدى الانسان في حياته الطبيعي</w:t>
      </w:r>
      <w:r w:rsidR="00EC7EDF" w:rsidRPr="00FD211F">
        <w:rPr>
          <w:sz w:val="36"/>
          <w:szCs w:val="36"/>
          <w:rtl/>
        </w:rPr>
        <w:t>ة</w:t>
      </w:r>
      <w:r w:rsidR="00603323" w:rsidRPr="00FD211F">
        <w:rPr>
          <w:sz w:val="36"/>
          <w:szCs w:val="36"/>
          <w:rtl/>
        </w:rPr>
        <w:t xml:space="preserve">، </w:t>
      </w:r>
      <w:r w:rsidR="00797457" w:rsidRPr="00FD211F">
        <w:rPr>
          <w:sz w:val="36"/>
          <w:szCs w:val="36"/>
          <w:rtl/>
        </w:rPr>
        <w:t>فان دلال</w:t>
      </w:r>
      <w:r w:rsidR="00EC7EDF" w:rsidRPr="00FD211F">
        <w:rPr>
          <w:sz w:val="36"/>
          <w:szCs w:val="36"/>
          <w:rtl/>
        </w:rPr>
        <w:t xml:space="preserve">ة </w:t>
      </w:r>
      <w:r w:rsidR="00797457" w:rsidRPr="00FD211F">
        <w:rPr>
          <w:sz w:val="36"/>
          <w:szCs w:val="36"/>
          <w:rtl/>
        </w:rPr>
        <w:t>الأصوات من قبيل دلال</w:t>
      </w:r>
      <w:r w:rsidR="00EC7EDF" w:rsidRPr="00FD211F">
        <w:rPr>
          <w:sz w:val="36"/>
          <w:szCs w:val="36"/>
          <w:rtl/>
        </w:rPr>
        <w:t xml:space="preserve">ة </w:t>
      </w:r>
      <w:r w:rsidR="00797457" w:rsidRPr="00FD211F">
        <w:rPr>
          <w:sz w:val="36"/>
          <w:szCs w:val="36"/>
          <w:rtl/>
        </w:rPr>
        <w:t>صوت الزئير على الأسد والنهيق على الحمار</w:t>
      </w:r>
      <w:r w:rsidR="00E525DB" w:rsidRPr="00FD211F">
        <w:rPr>
          <w:sz w:val="36"/>
          <w:szCs w:val="36"/>
          <w:rtl/>
        </w:rPr>
        <w:t xml:space="preserve"> والصهيل على الفرس وخرير الماء على الماء وصوت تساقط ورق الأشجار على ذلك ونحوها</w:t>
      </w:r>
      <w:r w:rsidR="00603323" w:rsidRPr="00FD211F">
        <w:rPr>
          <w:sz w:val="36"/>
          <w:szCs w:val="36"/>
          <w:rtl/>
        </w:rPr>
        <w:t xml:space="preserve">، </w:t>
      </w:r>
      <w:r w:rsidR="00E525DB" w:rsidRPr="00FD211F">
        <w:rPr>
          <w:sz w:val="36"/>
          <w:szCs w:val="36"/>
          <w:rtl/>
        </w:rPr>
        <w:t>فلعلها هي التي ألفتت نظر الإنسان الى ان</w:t>
      </w:r>
      <w:r w:rsidR="00504874" w:rsidRPr="00FD211F">
        <w:rPr>
          <w:sz w:val="36"/>
          <w:szCs w:val="36"/>
          <w:rtl/>
        </w:rPr>
        <w:t xml:space="preserve"> من الممكن</w:t>
      </w:r>
      <w:r w:rsidR="00B253CE" w:rsidRPr="00FD211F">
        <w:rPr>
          <w:sz w:val="36"/>
          <w:szCs w:val="36"/>
          <w:rtl/>
        </w:rPr>
        <w:t xml:space="preserve"> </w:t>
      </w:r>
      <w:r w:rsidR="00E525DB" w:rsidRPr="00FD211F">
        <w:rPr>
          <w:sz w:val="36"/>
          <w:szCs w:val="36"/>
          <w:rtl/>
        </w:rPr>
        <w:t>ان يدل</w:t>
      </w:r>
      <w:r w:rsidR="00504874" w:rsidRPr="00FD211F">
        <w:rPr>
          <w:sz w:val="36"/>
          <w:szCs w:val="36"/>
          <w:rtl/>
        </w:rPr>
        <w:t xml:space="preserve"> الصوت</w:t>
      </w:r>
      <w:r w:rsidR="00B253CE" w:rsidRPr="00FD211F">
        <w:rPr>
          <w:sz w:val="36"/>
          <w:szCs w:val="36"/>
          <w:rtl/>
        </w:rPr>
        <w:t xml:space="preserve"> </w:t>
      </w:r>
      <w:r w:rsidR="00E525DB" w:rsidRPr="00FD211F">
        <w:rPr>
          <w:sz w:val="36"/>
          <w:szCs w:val="36"/>
          <w:rtl/>
        </w:rPr>
        <w:t>على معنى</w:t>
      </w:r>
      <w:r w:rsidR="00603323" w:rsidRPr="00FD211F">
        <w:rPr>
          <w:sz w:val="36"/>
          <w:szCs w:val="36"/>
          <w:rtl/>
        </w:rPr>
        <w:t xml:space="preserve">، </w:t>
      </w:r>
      <w:r w:rsidR="00504874" w:rsidRPr="00FD211F">
        <w:rPr>
          <w:sz w:val="36"/>
          <w:szCs w:val="36"/>
          <w:rtl/>
        </w:rPr>
        <w:t>فانفتح عليه باب الخيرفي وضع الالفاظ</w:t>
      </w:r>
      <w:r w:rsidR="00603323" w:rsidRPr="00FD211F">
        <w:rPr>
          <w:sz w:val="36"/>
          <w:szCs w:val="36"/>
          <w:rtl/>
        </w:rPr>
        <w:t xml:space="preserve">، </w:t>
      </w:r>
      <w:r w:rsidR="000D11F4" w:rsidRPr="00FD211F">
        <w:rPr>
          <w:sz w:val="36"/>
          <w:szCs w:val="36"/>
          <w:rtl/>
        </w:rPr>
        <w:t>ومن المعقول افتراض حصول الاتفاق التدريجي بين مجموع</w:t>
      </w:r>
      <w:r w:rsidR="00EC7EDF" w:rsidRPr="00FD211F">
        <w:rPr>
          <w:sz w:val="36"/>
          <w:szCs w:val="36"/>
          <w:rtl/>
        </w:rPr>
        <w:t xml:space="preserve">ة </w:t>
      </w:r>
      <w:r w:rsidR="000D11F4" w:rsidRPr="00FD211F">
        <w:rPr>
          <w:sz w:val="36"/>
          <w:szCs w:val="36"/>
          <w:rtl/>
        </w:rPr>
        <w:t>متقارب</w:t>
      </w:r>
      <w:r w:rsidR="00EC7EDF" w:rsidRPr="00FD211F">
        <w:rPr>
          <w:sz w:val="36"/>
          <w:szCs w:val="36"/>
          <w:rtl/>
        </w:rPr>
        <w:t xml:space="preserve">ة </w:t>
      </w:r>
      <w:r w:rsidR="000D11F4" w:rsidRPr="00FD211F">
        <w:rPr>
          <w:sz w:val="36"/>
          <w:szCs w:val="36"/>
          <w:rtl/>
        </w:rPr>
        <w:t>من الناس في استعمال لفظ مع</w:t>
      </w:r>
      <w:r w:rsidR="00504874" w:rsidRPr="00FD211F">
        <w:rPr>
          <w:sz w:val="36"/>
          <w:szCs w:val="36"/>
          <w:rtl/>
        </w:rPr>
        <w:t>ين على معنى بشكل بدائي ساذج ثم ي</w:t>
      </w:r>
      <w:r w:rsidR="000D11F4" w:rsidRPr="00FD211F">
        <w:rPr>
          <w:sz w:val="36"/>
          <w:szCs w:val="36"/>
          <w:rtl/>
        </w:rPr>
        <w:t>تطور ذلك عندهم بمرور الزمان.</w:t>
      </w:r>
    </w:p>
    <w:p w14:paraId="5170758D" w14:textId="77777777" w:rsidR="000D11F4" w:rsidRPr="00FD211F" w:rsidRDefault="000D11F4" w:rsidP="009C58C8">
      <w:pPr>
        <w:ind w:left="0" w:firstLine="227"/>
        <w:jc w:val="both"/>
        <w:rPr>
          <w:sz w:val="36"/>
          <w:szCs w:val="36"/>
          <w:rtl/>
        </w:rPr>
      </w:pPr>
      <w:r w:rsidRPr="00FD211F">
        <w:rPr>
          <w:sz w:val="36"/>
          <w:szCs w:val="36"/>
          <w:rtl/>
        </w:rPr>
        <w:t>ولكن مع ذلك نحن لانملك برهانا قاطعا على نفي نظري</w:t>
      </w:r>
      <w:r w:rsidR="00EC7EDF" w:rsidRPr="00FD211F">
        <w:rPr>
          <w:sz w:val="36"/>
          <w:szCs w:val="36"/>
          <w:rtl/>
        </w:rPr>
        <w:t xml:space="preserve">ة </w:t>
      </w:r>
      <w:r w:rsidRPr="00FD211F">
        <w:rPr>
          <w:sz w:val="36"/>
          <w:szCs w:val="36"/>
          <w:rtl/>
        </w:rPr>
        <w:t>كون الواضع هو الله تعالى واختيار ان نشوء ظاهر</w:t>
      </w:r>
      <w:r w:rsidR="00EC7EDF" w:rsidRPr="00FD211F">
        <w:rPr>
          <w:sz w:val="36"/>
          <w:szCs w:val="36"/>
          <w:rtl/>
        </w:rPr>
        <w:t xml:space="preserve">ة </w:t>
      </w:r>
      <w:r w:rsidRPr="00FD211F">
        <w:rPr>
          <w:sz w:val="36"/>
          <w:szCs w:val="36"/>
          <w:rtl/>
        </w:rPr>
        <w:t>اللغ</w:t>
      </w:r>
      <w:r w:rsidR="00EC7EDF" w:rsidRPr="00FD211F">
        <w:rPr>
          <w:sz w:val="36"/>
          <w:szCs w:val="36"/>
          <w:rtl/>
        </w:rPr>
        <w:t xml:space="preserve">ة </w:t>
      </w:r>
      <w:r w:rsidRPr="00FD211F">
        <w:rPr>
          <w:sz w:val="36"/>
          <w:szCs w:val="36"/>
          <w:rtl/>
        </w:rPr>
        <w:t xml:space="preserve">في </w:t>
      </w:r>
      <w:r w:rsidR="00A126BE" w:rsidRPr="00FD211F">
        <w:rPr>
          <w:sz w:val="36"/>
          <w:szCs w:val="36"/>
          <w:rtl/>
        </w:rPr>
        <w:t>حيا</w:t>
      </w:r>
      <w:r w:rsidR="00EC7EDF" w:rsidRPr="00FD211F">
        <w:rPr>
          <w:sz w:val="36"/>
          <w:szCs w:val="36"/>
          <w:rtl/>
        </w:rPr>
        <w:t xml:space="preserve">ة </w:t>
      </w:r>
      <w:r w:rsidR="00A126BE" w:rsidRPr="00FD211F">
        <w:rPr>
          <w:sz w:val="36"/>
          <w:szCs w:val="36"/>
          <w:rtl/>
        </w:rPr>
        <w:t>الانسان كان من صنع نفسه مئ</w:t>
      </w:r>
      <w:r w:rsidR="00EC7EDF" w:rsidRPr="00FD211F">
        <w:rPr>
          <w:sz w:val="36"/>
          <w:szCs w:val="36"/>
          <w:rtl/>
        </w:rPr>
        <w:t xml:space="preserve">ة </w:t>
      </w:r>
      <w:r w:rsidR="00A126BE" w:rsidRPr="00FD211F">
        <w:rPr>
          <w:sz w:val="36"/>
          <w:szCs w:val="36"/>
          <w:rtl/>
        </w:rPr>
        <w:t>بالمئ</w:t>
      </w:r>
      <w:r w:rsidR="00EC7EDF" w:rsidRPr="00FD211F">
        <w:rPr>
          <w:sz w:val="36"/>
          <w:szCs w:val="36"/>
          <w:rtl/>
        </w:rPr>
        <w:t>ة</w:t>
      </w:r>
      <w:r w:rsidR="00603323" w:rsidRPr="00FD211F">
        <w:rPr>
          <w:sz w:val="36"/>
          <w:szCs w:val="36"/>
          <w:rtl/>
        </w:rPr>
        <w:t xml:space="preserve">، </w:t>
      </w:r>
      <w:r w:rsidRPr="00FD211F">
        <w:rPr>
          <w:sz w:val="36"/>
          <w:szCs w:val="36"/>
          <w:rtl/>
        </w:rPr>
        <w:t>بل من المحتمل ان تكون قد بدأت هذه الظاهر</w:t>
      </w:r>
      <w:r w:rsidR="00EC7EDF" w:rsidRPr="00FD211F">
        <w:rPr>
          <w:sz w:val="36"/>
          <w:szCs w:val="36"/>
          <w:rtl/>
        </w:rPr>
        <w:t xml:space="preserve">ة </w:t>
      </w:r>
      <w:r w:rsidRPr="00FD211F">
        <w:rPr>
          <w:sz w:val="36"/>
          <w:szCs w:val="36"/>
          <w:rtl/>
        </w:rPr>
        <w:t>في حيا</w:t>
      </w:r>
      <w:r w:rsidR="00EC7EDF" w:rsidRPr="00FD211F">
        <w:rPr>
          <w:sz w:val="36"/>
          <w:szCs w:val="36"/>
          <w:rtl/>
        </w:rPr>
        <w:t xml:space="preserve">ة </w:t>
      </w:r>
      <w:r w:rsidRPr="00FD211F">
        <w:rPr>
          <w:sz w:val="36"/>
          <w:szCs w:val="36"/>
          <w:rtl/>
        </w:rPr>
        <w:t>الإنسان بتدخّل من الله سبحانه وتعالى بان يكون ألهم آدم وعل</w:t>
      </w:r>
      <w:r w:rsidR="007E6BBD" w:rsidRPr="00FD211F">
        <w:rPr>
          <w:sz w:val="36"/>
          <w:szCs w:val="36"/>
          <w:rtl/>
        </w:rPr>
        <w:t>َّ</w:t>
      </w:r>
      <w:r w:rsidRPr="00FD211F">
        <w:rPr>
          <w:sz w:val="36"/>
          <w:szCs w:val="36"/>
          <w:rtl/>
        </w:rPr>
        <w:t>مه الالفاظ وتدل جمل</w:t>
      </w:r>
      <w:r w:rsidR="00EC7EDF" w:rsidRPr="00FD211F">
        <w:rPr>
          <w:sz w:val="36"/>
          <w:szCs w:val="36"/>
          <w:rtl/>
        </w:rPr>
        <w:t xml:space="preserve">ة </w:t>
      </w:r>
      <w:r w:rsidRPr="00FD211F">
        <w:rPr>
          <w:sz w:val="36"/>
          <w:szCs w:val="36"/>
          <w:rtl/>
        </w:rPr>
        <w:t xml:space="preserve">من الروايات على ان آدم وزوجته </w:t>
      </w:r>
      <w:r w:rsidR="007E6BBD" w:rsidRPr="00FD211F">
        <w:rPr>
          <w:sz w:val="36"/>
          <w:szCs w:val="36"/>
          <w:rtl/>
        </w:rPr>
        <w:t>(</w:t>
      </w:r>
      <w:r w:rsidRPr="00FD211F">
        <w:rPr>
          <w:sz w:val="36"/>
          <w:szCs w:val="36"/>
          <w:rtl/>
        </w:rPr>
        <w:t>عليهما السلام</w:t>
      </w:r>
      <w:r w:rsidR="007E6BBD" w:rsidRPr="00FD211F">
        <w:rPr>
          <w:sz w:val="36"/>
          <w:szCs w:val="36"/>
          <w:rtl/>
        </w:rPr>
        <w:t>)</w:t>
      </w:r>
      <w:r w:rsidRPr="00FD211F">
        <w:rPr>
          <w:sz w:val="36"/>
          <w:szCs w:val="36"/>
          <w:rtl/>
        </w:rPr>
        <w:t xml:space="preserve"> كانا يتكلمان قبل هبوطهما الى الارض</w:t>
      </w:r>
      <w:r w:rsidR="00603323" w:rsidRPr="00FD211F">
        <w:rPr>
          <w:sz w:val="36"/>
          <w:szCs w:val="36"/>
          <w:rtl/>
        </w:rPr>
        <w:t xml:space="preserve">، </w:t>
      </w:r>
      <w:r w:rsidRPr="00FD211F">
        <w:rPr>
          <w:sz w:val="36"/>
          <w:szCs w:val="36"/>
          <w:rtl/>
        </w:rPr>
        <w:t>ومن ال</w:t>
      </w:r>
      <w:r w:rsidR="00A126BE" w:rsidRPr="00FD211F">
        <w:rPr>
          <w:sz w:val="36"/>
          <w:szCs w:val="36"/>
          <w:rtl/>
        </w:rPr>
        <w:t>مستبعد جدّا ان يحصل ذلك من دون إ</w:t>
      </w:r>
      <w:r w:rsidRPr="00FD211F">
        <w:rPr>
          <w:sz w:val="36"/>
          <w:szCs w:val="36"/>
          <w:rtl/>
        </w:rPr>
        <w:t>لهام الهي</w:t>
      </w:r>
      <w:r w:rsidR="009C58C8" w:rsidRPr="00FD211F">
        <w:rPr>
          <w:rStyle w:val="a6"/>
          <w:sz w:val="36"/>
          <w:szCs w:val="36"/>
          <w:rtl/>
        </w:rPr>
        <w:t>(</w:t>
      </w:r>
      <w:r w:rsidR="009C58C8" w:rsidRPr="00FD211F">
        <w:rPr>
          <w:rStyle w:val="a6"/>
          <w:sz w:val="36"/>
          <w:szCs w:val="36"/>
          <w:rtl/>
        </w:rPr>
        <w:footnoteReference w:id="274"/>
      </w:r>
      <w:r w:rsidR="009C58C8" w:rsidRPr="00FD211F">
        <w:rPr>
          <w:rStyle w:val="a6"/>
          <w:sz w:val="36"/>
          <w:szCs w:val="36"/>
          <w:rtl/>
        </w:rPr>
        <w:t>)</w:t>
      </w:r>
      <w:r w:rsidRPr="00FD211F">
        <w:rPr>
          <w:sz w:val="36"/>
          <w:szCs w:val="36"/>
          <w:rtl/>
        </w:rPr>
        <w:t>.</w:t>
      </w:r>
    </w:p>
    <w:p w14:paraId="625A81AE" w14:textId="77777777" w:rsidR="00E525DB" w:rsidRPr="00FD211F" w:rsidRDefault="000D11F4" w:rsidP="009C58C8">
      <w:pPr>
        <w:ind w:left="0" w:firstLine="227"/>
        <w:jc w:val="both"/>
        <w:rPr>
          <w:sz w:val="36"/>
          <w:szCs w:val="36"/>
          <w:rtl/>
        </w:rPr>
      </w:pPr>
      <w:r w:rsidRPr="00FD211F">
        <w:rPr>
          <w:sz w:val="36"/>
          <w:szCs w:val="36"/>
          <w:rtl/>
        </w:rPr>
        <w:t xml:space="preserve">أقول: أما ما ذكره </w:t>
      </w:r>
      <w:r w:rsidR="00A126BE" w:rsidRPr="00FD211F">
        <w:rPr>
          <w:sz w:val="36"/>
          <w:szCs w:val="36"/>
          <w:rtl/>
        </w:rPr>
        <w:t>"</w:t>
      </w:r>
      <w:r w:rsidRPr="00FD211F">
        <w:rPr>
          <w:sz w:val="36"/>
          <w:szCs w:val="36"/>
          <w:rtl/>
        </w:rPr>
        <w:t>قده</w:t>
      </w:r>
      <w:r w:rsidR="00A126BE" w:rsidRPr="00FD211F">
        <w:rPr>
          <w:sz w:val="36"/>
          <w:szCs w:val="36"/>
          <w:rtl/>
        </w:rPr>
        <w:t>"</w:t>
      </w:r>
      <w:r w:rsidRPr="00FD211F">
        <w:rPr>
          <w:sz w:val="36"/>
          <w:szCs w:val="36"/>
          <w:rtl/>
        </w:rPr>
        <w:t xml:space="preserve"> من المبعدات ففيه: أن</w:t>
      </w:r>
      <w:r w:rsidR="00E525DB" w:rsidRPr="00FD211F">
        <w:rPr>
          <w:sz w:val="36"/>
          <w:szCs w:val="36"/>
          <w:rtl/>
        </w:rPr>
        <w:t xml:space="preserve"> المبعِّد الاول لاوجه له أبدا</w:t>
      </w:r>
      <w:r w:rsidR="00603323" w:rsidRPr="00FD211F">
        <w:rPr>
          <w:sz w:val="36"/>
          <w:szCs w:val="36"/>
          <w:rtl/>
        </w:rPr>
        <w:t xml:space="preserve">، </w:t>
      </w:r>
      <w:r w:rsidR="00E525DB" w:rsidRPr="00FD211F">
        <w:rPr>
          <w:sz w:val="36"/>
          <w:szCs w:val="36"/>
          <w:rtl/>
        </w:rPr>
        <w:t>فان الإنسان بعد ما كان يحس بحاجته الى تفهيم مقاصده للآخرين فيتصدى لذلك بكل امكانياته</w:t>
      </w:r>
      <w:r w:rsidR="00603323" w:rsidRPr="00FD211F">
        <w:rPr>
          <w:sz w:val="36"/>
          <w:szCs w:val="36"/>
          <w:rtl/>
        </w:rPr>
        <w:t xml:space="preserve">، </w:t>
      </w:r>
      <w:r w:rsidR="00E525DB" w:rsidRPr="00FD211F">
        <w:rPr>
          <w:sz w:val="36"/>
          <w:szCs w:val="36"/>
          <w:rtl/>
        </w:rPr>
        <w:t>فأحس غريزيا بتمكنه من ايجاد أصوات فنشأ من ذلك تكوّن اللغات تدريجا</w:t>
      </w:r>
      <w:r w:rsidR="00603323" w:rsidRPr="00FD211F">
        <w:rPr>
          <w:sz w:val="36"/>
          <w:szCs w:val="36"/>
          <w:rtl/>
        </w:rPr>
        <w:t xml:space="preserve">، </w:t>
      </w:r>
      <w:r w:rsidR="00E525DB" w:rsidRPr="00FD211F">
        <w:rPr>
          <w:sz w:val="36"/>
          <w:szCs w:val="36"/>
          <w:rtl/>
        </w:rPr>
        <w:t>ومن الممكن ان تكون الأوضاع اللغوي</w:t>
      </w:r>
      <w:r w:rsidR="00EC7EDF" w:rsidRPr="00FD211F">
        <w:rPr>
          <w:sz w:val="36"/>
          <w:szCs w:val="36"/>
          <w:rtl/>
        </w:rPr>
        <w:t xml:space="preserve">ة </w:t>
      </w:r>
      <w:r w:rsidR="00E525DB" w:rsidRPr="00FD211F">
        <w:rPr>
          <w:sz w:val="36"/>
          <w:szCs w:val="36"/>
          <w:rtl/>
        </w:rPr>
        <w:t>للإنسان البدائي على نهج الوضع التعيني الذي ذكرنا سابقا أنه يشتمل على نتيج</w:t>
      </w:r>
      <w:r w:rsidR="00EC7EDF" w:rsidRPr="00FD211F">
        <w:rPr>
          <w:sz w:val="36"/>
          <w:szCs w:val="36"/>
          <w:rtl/>
        </w:rPr>
        <w:t xml:space="preserve">ة </w:t>
      </w:r>
      <w:r w:rsidR="00E525DB" w:rsidRPr="00FD211F">
        <w:rPr>
          <w:sz w:val="36"/>
          <w:szCs w:val="36"/>
          <w:rtl/>
        </w:rPr>
        <w:t>الوضع وهو الملازم</w:t>
      </w:r>
      <w:r w:rsidR="00EC7EDF" w:rsidRPr="00FD211F">
        <w:rPr>
          <w:sz w:val="36"/>
          <w:szCs w:val="36"/>
          <w:rtl/>
        </w:rPr>
        <w:t xml:space="preserve">ة </w:t>
      </w:r>
      <w:r w:rsidR="00E525DB" w:rsidRPr="00FD211F">
        <w:rPr>
          <w:sz w:val="36"/>
          <w:szCs w:val="36"/>
          <w:rtl/>
        </w:rPr>
        <w:t>الذهني</w:t>
      </w:r>
      <w:r w:rsidR="00EC7EDF" w:rsidRPr="00FD211F">
        <w:rPr>
          <w:sz w:val="36"/>
          <w:szCs w:val="36"/>
          <w:rtl/>
        </w:rPr>
        <w:t xml:space="preserve">ة </w:t>
      </w:r>
      <w:r w:rsidR="00E525DB" w:rsidRPr="00FD211F">
        <w:rPr>
          <w:sz w:val="36"/>
          <w:szCs w:val="36"/>
          <w:rtl/>
        </w:rPr>
        <w:t>بين اللفظ والمعنى</w:t>
      </w:r>
      <w:r w:rsidR="00603323" w:rsidRPr="00FD211F">
        <w:rPr>
          <w:sz w:val="36"/>
          <w:szCs w:val="36"/>
          <w:rtl/>
        </w:rPr>
        <w:t xml:space="preserve">، </w:t>
      </w:r>
      <w:r w:rsidR="00E525DB" w:rsidRPr="00FD211F">
        <w:rPr>
          <w:sz w:val="36"/>
          <w:szCs w:val="36"/>
          <w:rtl/>
        </w:rPr>
        <w:t>ولعل الانسان البدائي استعمل لفظا ساذجا على معنى وفهّمه للمخاطب بواسط</w:t>
      </w:r>
      <w:r w:rsidR="00EC7EDF" w:rsidRPr="00FD211F">
        <w:rPr>
          <w:sz w:val="36"/>
          <w:szCs w:val="36"/>
          <w:rtl/>
        </w:rPr>
        <w:t xml:space="preserve">ة </w:t>
      </w:r>
      <w:r w:rsidR="00E525DB" w:rsidRPr="00FD211F">
        <w:rPr>
          <w:sz w:val="36"/>
          <w:szCs w:val="36"/>
          <w:rtl/>
        </w:rPr>
        <w:t>قرين</w:t>
      </w:r>
      <w:r w:rsidR="00EC7EDF" w:rsidRPr="00FD211F">
        <w:rPr>
          <w:sz w:val="36"/>
          <w:szCs w:val="36"/>
          <w:rtl/>
        </w:rPr>
        <w:t>ة</w:t>
      </w:r>
      <w:r w:rsidR="00603323" w:rsidRPr="00FD211F">
        <w:rPr>
          <w:sz w:val="36"/>
          <w:szCs w:val="36"/>
          <w:rtl/>
        </w:rPr>
        <w:t xml:space="preserve">، </w:t>
      </w:r>
      <w:r w:rsidR="00E525DB" w:rsidRPr="00FD211F">
        <w:rPr>
          <w:sz w:val="36"/>
          <w:szCs w:val="36"/>
          <w:rtl/>
        </w:rPr>
        <w:t>ثم تكرر ذلك منه ومن غيره لأنس حصل اليهم الى ان بقي ذلك في أعقابهم</w:t>
      </w:r>
      <w:r w:rsidR="00603323" w:rsidRPr="00FD211F">
        <w:rPr>
          <w:sz w:val="36"/>
          <w:szCs w:val="36"/>
          <w:rtl/>
        </w:rPr>
        <w:t xml:space="preserve">، </w:t>
      </w:r>
      <w:r w:rsidR="00E525DB" w:rsidRPr="00FD211F">
        <w:rPr>
          <w:sz w:val="36"/>
          <w:szCs w:val="36"/>
          <w:rtl/>
        </w:rPr>
        <w:t>وهذا المقدار من التبعي</w:t>
      </w:r>
      <w:r w:rsidR="00EC7EDF" w:rsidRPr="00FD211F">
        <w:rPr>
          <w:sz w:val="36"/>
          <w:szCs w:val="36"/>
          <w:rtl/>
        </w:rPr>
        <w:t xml:space="preserve">ة </w:t>
      </w:r>
      <w:r w:rsidR="00E525DB" w:rsidRPr="00FD211F">
        <w:rPr>
          <w:sz w:val="36"/>
          <w:szCs w:val="36"/>
          <w:rtl/>
        </w:rPr>
        <w:t>الناشئ</w:t>
      </w:r>
      <w:r w:rsidR="00EC7EDF" w:rsidRPr="00FD211F">
        <w:rPr>
          <w:sz w:val="36"/>
          <w:szCs w:val="36"/>
          <w:rtl/>
        </w:rPr>
        <w:t xml:space="preserve">ة </w:t>
      </w:r>
      <w:r w:rsidR="00E525DB" w:rsidRPr="00FD211F">
        <w:rPr>
          <w:sz w:val="36"/>
          <w:szCs w:val="36"/>
          <w:rtl/>
        </w:rPr>
        <w:t>عن أنس ذهني حاصل من الاستعمالات السابق</w:t>
      </w:r>
      <w:r w:rsidR="00EC7EDF" w:rsidRPr="00FD211F">
        <w:rPr>
          <w:sz w:val="36"/>
          <w:szCs w:val="36"/>
          <w:rtl/>
        </w:rPr>
        <w:t xml:space="preserve">ة </w:t>
      </w:r>
      <w:r w:rsidR="00E525DB" w:rsidRPr="00FD211F">
        <w:rPr>
          <w:sz w:val="36"/>
          <w:szCs w:val="36"/>
          <w:rtl/>
        </w:rPr>
        <w:t>ليس خلاف وضع الإنسان البدائي</w:t>
      </w:r>
      <w:r w:rsidR="00603323" w:rsidRPr="00FD211F">
        <w:rPr>
          <w:sz w:val="36"/>
          <w:szCs w:val="36"/>
          <w:rtl/>
        </w:rPr>
        <w:t xml:space="preserve">، </w:t>
      </w:r>
      <w:r w:rsidR="00E525DB" w:rsidRPr="00FD211F">
        <w:rPr>
          <w:sz w:val="36"/>
          <w:szCs w:val="36"/>
          <w:rtl/>
        </w:rPr>
        <w:t>ولعل اول ما صدر منه اسماء الأصوات التي تتناسب مع معانيها.</w:t>
      </w:r>
    </w:p>
    <w:p w14:paraId="452DD9C9" w14:textId="77777777" w:rsidR="00E525DB" w:rsidRPr="00FD211F" w:rsidRDefault="00E525DB" w:rsidP="009C58C8">
      <w:pPr>
        <w:ind w:left="0" w:firstLine="227"/>
        <w:jc w:val="both"/>
        <w:rPr>
          <w:sz w:val="36"/>
          <w:szCs w:val="36"/>
          <w:rtl/>
        </w:rPr>
      </w:pPr>
      <w:r w:rsidRPr="00FD211F">
        <w:rPr>
          <w:sz w:val="36"/>
          <w:szCs w:val="36"/>
          <w:rtl/>
        </w:rPr>
        <w:t>واما المبعدات الأخرى فيلاحظ عليها ان</w:t>
      </w:r>
      <w:r w:rsidR="00A126BE" w:rsidRPr="00FD211F">
        <w:rPr>
          <w:sz w:val="36"/>
          <w:szCs w:val="36"/>
          <w:rtl/>
        </w:rPr>
        <w:t xml:space="preserve"> مااخترناه من</w:t>
      </w:r>
      <w:r w:rsidRPr="00FD211F">
        <w:rPr>
          <w:sz w:val="36"/>
          <w:szCs w:val="36"/>
          <w:rtl/>
        </w:rPr>
        <w:t xml:space="preserve"> </w:t>
      </w:r>
      <w:r w:rsidR="000D11F4" w:rsidRPr="00FD211F">
        <w:rPr>
          <w:sz w:val="36"/>
          <w:szCs w:val="36"/>
          <w:rtl/>
        </w:rPr>
        <w:t>نظري</w:t>
      </w:r>
      <w:r w:rsidR="00EC7EDF" w:rsidRPr="00FD211F">
        <w:rPr>
          <w:sz w:val="36"/>
          <w:szCs w:val="36"/>
          <w:rtl/>
        </w:rPr>
        <w:t xml:space="preserve">ة </w:t>
      </w:r>
      <w:r w:rsidR="000D11F4" w:rsidRPr="00FD211F">
        <w:rPr>
          <w:sz w:val="36"/>
          <w:szCs w:val="36"/>
          <w:rtl/>
        </w:rPr>
        <w:t>كون الوضع ه</w:t>
      </w:r>
      <w:r w:rsidR="00A126BE" w:rsidRPr="00FD211F">
        <w:rPr>
          <w:sz w:val="36"/>
          <w:szCs w:val="36"/>
          <w:rtl/>
        </w:rPr>
        <w:t>و جعل اللفظ علام</w:t>
      </w:r>
      <w:r w:rsidR="00EC7EDF" w:rsidRPr="00FD211F">
        <w:rPr>
          <w:sz w:val="36"/>
          <w:szCs w:val="36"/>
          <w:rtl/>
        </w:rPr>
        <w:t xml:space="preserve">ة </w:t>
      </w:r>
      <w:r w:rsidR="00A126BE" w:rsidRPr="00FD211F">
        <w:rPr>
          <w:sz w:val="36"/>
          <w:szCs w:val="36"/>
          <w:rtl/>
        </w:rPr>
        <w:t>على المعنى لاي</w:t>
      </w:r>
      <w:r w:rsidR="000D11F4" w:rsidRPr="00FD211F">
        <w:rPr>
          <w:sz w:val="36"/>
          <w:szCs w:val="36"/>
          <w:rtl/>
        </w:rPr>
        <w:t>شتمل على أي</w:t>
      </w:r>
      <w:r w:rsidR="00EC7EDF" w:rsidRPr="00FD211F">
        <w:rPr>
          <w:sz w:val="36"/>
          <w:szCs w:val="36"/>
          <w:rtl/>
        </w:rPr>
        <w:t xml:space="preserve">ة </w:t>
      </w:r>
      <w:r w:rsidR="000D11F4" w:rsidRPr="00FD211F">
        <w:rPr>
          <w:sz w:val="36"/>
          <w:szCs w:val="36"/>
          <w:rtl/>
        </w:rPr>
        <w:t>نكت</w:t>
      </w:r>
      <w:r w:rsidR="00EC7EDF" w:rsidRPr="00FD211F">
        <w:rPr>
          <w:sz w:val="36"/>
          <w:szCs w:val="36"/>
          <w:rtl/>
        </w:rPr>
        <w:t xml:space="preserve">ة </w:t>
      </w:r>
      <w:r w:rsidR="000D11F4" w:rsidRPr="00FD211F">
        <w:rPr>
          <w:sz w:val="36"/>
          <w:szCs w:val="36"/>
          <w:rtl/>
        </w:rPr>
        <w:t>دقيق</w:t>
      </w:r>
      <w:r w:rsidR="00EC7EDF" w:rsidRPr="00FD211F">
        <w:rPr>
          <w:sz w:val="36"/>
          <w:szCs w:val="36"/>
          <w:rtl/>
        </w:rPr>
        <w:t>ة</w:t>
      </w:r>
      <w:r w:rsidR="00603323" w:rsidRPr="00FD211F">
        <w:rPr>
          <w:sz w:val="36"/>
          <w:szCs w:val="36"/>
          <w:rtl/>
        </w:rPr>
        <w:t xml:space="preserve">، </w:t>
      </w:r>
      <w:r w:rsidR="000D11F4" w:rsidRPr="00FD211F">
        <w:rPr>
          <w:sz w:val="36"/>
          <w:szCs w:val="36"/>
          <w:rtl/>
        </w:rPr>
        <w:t xml:space="preserve">على ان مسلكه </w:t>
      </w:r>
      <w:r w:rsidR="00A126BE" w:rsidRPr="00FD211F">
        <w:rPr>
          <w:sz w:val="36"/>
          <w:szCs w:val="36"/>
          <w:rtl/>
        </w:rPr>
        <w:t>"</w:t>
      </w:r>
      <w:r w:rsidR="000D11F4" w:rsidRPr="00FD211F">
        <w:rPr>
          <w:sz w:val="36"/>
          <w:szCs w:val="36"/>
          <w:rtl/>
        </w:rPr>
        <w:t>قده</w:t>
      </w:r>
      <w:r w:rsidR="00A126BE" w:rsidRPr="00FD211F">
        <w:rPr>
          <w:sz w:val="36"/>
          <w:szCs w:val="36"/>
          <w:rtl/>
        </w:rPr>
        <w:t>"</w:t>
      </w:r>
      <w:r w:rsidR="000D11F4" w:rsidRPr="00FD211F">
        <w:rPr>
          <w:sz w:val="36"/>
          <w:szCs w:val="36"/>
          <w:rtl/>
        </w:rPr>
        <w:t xml:space="preserve"> من كون حقيق</w:t>
      </w:r>
      <w:r w:rsidR="00EC7EDF" w:rsidRPr="00FD211F">
        <w:rPr>
          <w:sz w:val="36"/>
          <w:szCs w:val="36"/>
          <w:rtl/>
        </w:rPr>
        <w:t xml:space="preserve">ة </w:t>
      </w:r>
      <w:r w:rsidR="000D11F4" w:rsidRPr="00FD211F">
        <w:rPr>
          <w:sz w:val="36"/>
          <w:szCs w:val="36"/>
          <w:rtl/>
        </w:rPr>
        <w:t>الوضع هو القرن الأكيد لاينافي ان يكون القرن الأكيد ناشئا عن عملي</w:t>
      </w:r>
      <w:r w:rsidR="00EC7EDF" w:rsidRPr="00FD211F">
        <w:rPr>
          <w:sz w:val="36"/>
          <w:szCs w:val="36"/>
          <w:rtl/>
        </w:rPr>
        <w:t xml:space="preserve">ة </w:t>
      </w:r>
      <w:r w:rsidR="000D11F4" w:rsidRPr="00FD211F">
        <w:rPr>
          <w:sz w:val="36"/>
          <w:szCs w:val="36"/>
          <w:rtl/>
        </w:rPr>
        <w:t>انشائي</w:t>
      </w:r>
      <w:r w:rsidR="00EC7EDF" w:rsidRPr="00FD211F">
        <w:rPr>
          <w:sz w:val="36"/>
          <w:szCs w:val="36"/>
          <w:rtl/>
        </w:rPr>
        <w:t xml:space="preserve">ة </w:t>
      </w:r>
      <w:r w:rsidR="000D11F4" w:rsidRPr="00FD211F">
        <w:rPr>
          <w:sz w:val="36"/>
          <w:szCs w:val="36"/>
          <w:rtl/>
        </w:rPr>
        <w:t>في الوضع التعييني فيقع الكلام في حقيق</w:t>
      </w:r>
      <w:r w:rsidR="00EC7EDF" w:rsidRPr="00FD211F">
        <w:rPr>
          <w:sz w:val="36"/>
          <w:szCs w:val="36"/>
          <w:rtl/>
        </w:rPr>
        <w:t xml:space="preserve">ة </w:t>
      </w:r>
      <w:r w:rsidR="000D11F4" w:rsidRPr="00FD211F">
        <w:rPr>
          <w:sz w:val="36"/>
          <w:szCs w:val="36"/>
          <w:rtl/>
        </w:rPr>
        <w:t>القضي</w:t>
      </w:r>
      <w:r w:rsidR="00EC7EDF" w:rsidRPr="00FD211F">
        <w:rPr>
          <w:sz w:val="36"/>
          <w:szCs w:val="36"/>
          <w:rtl/>
        </w:rPr>
        <w:t xml:space="preserve">ة </w:t>
      </w:r>
      <w:r w:rsidR="000D11F4" w:rsidRPr="00FD211F">
        <w:rPr>
          <w:sz w:val="36"/>
          <w:szCs w:val="36"/>
          <w:rtl/>
        </w:rPr>
        <w:t>الانشائي</w:t>
      </w:r>
      <w:r w:rsidR="00EC7EDF" w:rsidRPr="00FD211F">
        <w:rPr>
          <w:sz w:val="36"/>
          <w:szCs w:val="36"/>
          <w:rtl/>
        </w:rPr>
        <w:t xml:space="preserve">ة </w:t>
      </w:r>
      <w:r w:rsidR="000D11F4" w:rsidRPr="00FD211F">
        <w:rPr>
          <w:sz w:val="36"/>
          <w:szCs w:val="36"/>
          <w:rtl/>
        </w:rPr>
        <w:t>في موارد الوضع الت</w:t>
      </w:r>
      <w:r w:rsidRPr="00FD211F">
        <w:rPr>
          <w:sz w:val="36"/>
          <w:szCs w:val="36"/>
          <w:rtl/>
        </w:rPr>
        <w:t>عييني الصادر من الانسان البدائي</w:t>
      </w:r>
      <w:r w:rsidR="00A126BE" w:rsidRPr="00FD211F">
        <w:rPr>
          <w:sz w:val="36"/>
          <w:szCs w:val="36"/>
          <w:rtl/>
        </w:rPr>
        <w:t xml:space="preserve"> اذمن البعيد</w:t>
      </w:r>
      <w:r w:rsidR="00445431" w:rsidRPr="00FD211F">
        <w:rPr>
          <w:sz w:val="36"/>
          <w:szCs w:val="36"/>
          <w:rtl/>
        </w:rPr>
        <w:t xml:space="preserve"> انحصار الوضع في الانسان البدائي بالوضع التعيني</w:t>
      </w:r>
      <w:r w:rsidRPr="00FD211F">
        <w:rPr>
          <w:sz w:val="36"/>
          <w:szCs w:val="36"/>
          <w:rtl/>
        </w:rPr>
        <w:t>.</w:t>
      </w:r>
    </w:p>
    <w:p w14:paraId="0B08CB3D" w14:textId="77777777" w:rsidR="000D11F4" w:rsidRPr="00FD211F" w:rsidRDefault="000D11F4" w:rsidP="005946E3">
      <w:pPr>
        <w:ind w:left="0" w:firstLine="227"/>
        <w:jc w:val="both"/>
        <w:rPr>
          <w:sz w:val="36"/>
          <w:szCs w:val="36"/>
          <w:rtl/>
        </w:rPr>
      </w:pPr>
      <w:r w:rsidRPr="00FD211F">
        <w:rPr>
          <w:sz w:val="36"/>
          <w:szCs w:val="36"/>
          <w:rtl/>
        </w:rPr>
        <w:t>وأما ما استشهد به</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على إلهي</w:t>
      </w:r>
      <w:r w:rsidR="00EC7EDF" w:rsidRPr="00FD211F">
        <w:rPr>
          <w:sz w:val="36"/>
          <w:szCs w:val="36"/>
          <w:rtl/>
        </w:rPr>
        <w:t xml:space="preserve">ة </w:t>
      </w:r>
      <w:r w:rsidRPr="00FD211F">
        <w:rPr>
          <w:sz w:val="36"/>
          <w:szCs w:val="36"/>
          <w:rtl/>
        </w:rPr>
        <w:t xml:space="preserve">الوضع من تكلم آدم وحوّاء </w:t>
      </w:r>
      <w:r w:rsidR="00A126BE" w:rsidRPr="00FD211F">
        <w:rPr>
          <w:sz w:val="36"/>
          <w:szCs w:val="36"/>
          <w:rtl/>
        </w:rPr>
        <w:t>"</w:t>
      </w:r>
      <w:r w:rsidRPr="00FD211F">
        <w:rPr>
          <w:sz w:val="36"/>
          <w:szCs w:val="36"/>
          <w:rtl/>
        </w:rPr>
        <w:t xml:space="preserve">عليهما السلام </w:t>
      </w:r>
      <w:r w:rsidR="00A126BE" w:rsidRPr="00FD211F">
        <w:rPr>
          <w:sz w:val="36"/>
          <w:szCs w:val="36"/>
          <w:rtl/>
        </w:rPr>
        <w:t>"</w:t>
      </w:r>
      <w:r w:rsidRPr="00FD211F">
        <w:rPr>
          <w:sz w:val="36"/>
          <w:szCs w:val="36"/>
          <w:rtl/>
        </w:rPr>
        <w:t>قبل الهبوط بلغ</w:t>
      </w:r>
      <w:r w:rsidR="00EC7EDF" w:rsidRPr="00FD211F">
        <w:rPr>
          <w:sz w:val="36"/>
          <w:szCs w:val="36"/>
          <w:rtl/>
        </w:rPr>
        <w:t xml:space="preserve">ة </w:t>
      </w:r>
      <w:r w:rsidRPr="00FD211F">
        <w:rPr>
          <w:sz w:val="36"/>
          <w:szCs w:val="36"/>
          <w:rtl/>
        </w:rPr>
        <w:t>وكذا ما ورد من أنه تعالى علّم آدم الاسماء والالفاظ لاينافي نشوء سائر اللغات على ما هي عليها من الاختلاف والكثر</w:t>
      </w:r>
      <w:r w:rsidR="00EC7EDF" w:rsidRPr="00FD211F">
        <w:rPr>
          <w:sz w:val="36"/>
          <w:szCs w:val="36"/>
          <w:rtl/>
        </w:rPr>
        <w:t xml:space="preserve">ة </w:t>
      </w:r>
      <w:r w:rsidRPr="00FD211F">
        <w:rPr>
          <w:sz w:val="36"/>
          <w:szCs w:val="36"/>
          <w:rtl/>
        </w:rPr>
        <w:t>في أبناء البشر بصُنع منهم</w:t>
      </w:r>
      <w:r w:rsidR="00603323" w:rsidRPr="00FD211F">
        <w:rPr>
          <w:sz w:val="36"/>
          <w:szCs w:val="36"/>
          <w:rtl/>
        </w:rPr>
        <w:t xml:space="preserve">، </w:t>
      </w:r>
      <w:r w:rsidRPr="00FD211F">
        <w:rPr>
          <w:sz w:val="36"/>
          <w:szCs w:val="36"/>
          <w:rtl/>
        </w:rPr>
        <w:t>وكون نشوء جميع اللغات -بما فيها اللغات التي نشاهدها في الجماعات التي تعيش في الغابات والأماكن البعيد</w:t>
      </w:r>
      <w:r w:rsidR="00EC7EDF" w:rsidRPr="00FD211F">
        <w:rPr>
          <w:sz w:val="36"/>
          <w:szCs w:val="36"/>
          <w:rtl/>
        </w:rPr>
        <w:t xml:space="preserve">ة </w:t>
      </w:r>
      <w:r w:rsidRPr="00FD211F">
        <w:rPr>
          <w:sz w:val="36"/>
          <w:szCs w:val="36"/>
          <w:rtl/>
        </w:rPr>
        <w:t>- عن تدخل إلهي مباشر بعيد جدّا.</w:t>
      </w:r>
    </w:p>
    <w:p w14:paraId="6B69A71E" w14:textId="77777777" w:rsidR="000B0E61" w:rsidRPr="00FD211F" w:rsidRDefault="000B0E61" w:rsidP="009C58C8">
      <w:pPr>
        <w:pStyle w:val="3"/>
        <w:ind w:firstLine="227"/>
        <w:jc w:val="both"/>
        <w:rPr>
          <w:rtl/>
        </w:rPr>
        <w:sectPr w:rsidR="000B0E61" w:rsidRPr="00FD211F" w:rsidSect="00D24300">
          <w:headerReference w:type="default" r:id="rId20"/>
          <w:footnotePr>
            <w:numRestart w:val="eachPage"/>
          </w:footnotePr>
          <w:pgSz w:w="10319" w:h="14578" w:code="138"/>
          <w:pgMar w:top="1418" w:right="1701" w:bottom="1418" w:left="1701" w:header="1418" w:footer="964" w:gutter="0"/>
          <w:cols w:space="720"/>
          <w:bidi/>
          <w:rtlGutter/>
          <w:docGrid w:linePitch="360"/>
        </w:sectPr>
      </w:pPr>
      <w:bookmarkStart w:id="278" w:name="_Toc151944601"/>
      <w:bookmarkStart w:id="279" w:name="_Toc154131728"/>
      <w:bookmarkStart w:id="280" w:name="_Toc156401516"/>
      <w:bookmarkStart w:id="281" w:name="_Toc192092900"/>
    </w:p>
    <w:p w14:paraId="4F3D206F" w14:textId="77777777" w:rsidR="000D11F4" w:rsidRPr="00FD211F" w:rsidRDefault="000D11F4" w:rsidP="009C58C8">
      <w:pPr>
        <w:pStyle w:val="3"/>
        <w:ind w:firstLine="227"/>
        <w:jc w:val="both"/>
        <w:rPr>
          <w:rtl/>
        </w:rPr>
      </w:pPr>
      <w:bookmarkStart w:id="282" w:name="_Toc223890378"/>
      <w:r w:rsidRPr="00FD211F">
        <w:rPr>
          <w:rtl/>
        </w:rPr>
        <w:t>تبعي</w:t>
      </w:r>
      <w:r w:rsidR="00EC7EDF" w:rsidRPr="00FD211F">
        <w:rPr>
          <w:rtl/>
        </w:rPr>
        <w:t xml:space="preserve">ة </w:t>
      </w:r>
      <w:r w:rsidRPr="00FD211F">
        <w:rPr>
          <w:rtl/>
        </w:rPr>
        <w:t>الدلال</w:t>
      </w:r>
      <w:r w:rsidR="00EC7EDF" w:rsidRPr="00FD211F">
        <w:rPr>
          <w:rtl/>
        </w:rPr>
        <w:t xml:space="preserve">ة </w:t>
      </w:r>
      <w:r w:rsidRPr="00FD211F">
        <w:rPr>
          <w:rtl/>
        </w:rPr>
        <w:t>للإراد</w:t>
      </w:r>
      <w:r w:rsidR="00EC7EDF" w:rsidRPr="00FD211F">
        <w:rPr>
          <w:rtl/>
        </w:rPr>
        <w:t>ة</w:t>
      </w:r>
      <w:bookmarkEnd w:id="282"/>
      <w:r w:rsidR="00EC7EDF" w:rsidRPr="00FD211F">
        <w:rPr>
          <w:rtl/>
        </w:rPr>
        <w:t xml:space="preserve"> </w:t>
      </w:r>
      <w:bookmarkEnd w:id="278"/>
      <w:bookmarkEnd w:id="279"/>
      <w:bookmarkEnd w:id="280"/>
      <w:bookmarkEnd w:id="281"/>
    </w:p>
    <w:p w14:paraId="771229F2" w14:textId="77777777" w:rsidR="000C5BBA" w:rsidRPr="00FD211F" w:rsidRDefault="000D11F4" w:rsidP="009C58C8">
      <w:pPr>
        <w:ind w:left="0" w:firstLine="227"/>
        <w:jc w:val="both"/>
        <w:rPr>
          <w:sz w:val="36"/>
          <w:szCs w:val="36"/>
          <w:rtl/>
        </w:rPr>
      </w:pPr>
      <w:r w:rsidRPr="00FD211F">
        <w:rPr>
          <w:sz w:val="36"/>
          <w:szCs w:val="36"/>
          <w:rtl/>
        </w:rPr>
        <w:t>وقع الكلام في ان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هل تتوقف على إراد</w:t>
      </w:r>
      <w:r w:rsidR="00EC7EDF" w:rsidRPr="00FD211F">
        <w:rPr>
          <w:sz w:val="36"/>
          <w:szCs w:val="36"/>
          <w:rtl/>
        </w:rPr>
        <w:t xml:space="preserve">ة </w:t>
      </w:r>
      <w:r w:rsidRPr="00FD211F">
        <w:rPr>
          <w:sz w:val="36"/>
          <w:szCs w:val="36"/>
          <w:rtl/>
        </w:rPr>
        <w:t>المتكلم لتفهيم المعنى بحيث لو صدر اللفظ من لافظ غير ذي شعور كالنائم</w:t>
      </w:r>
      <w:r w:rsidR="008D7B3D" w:rsidRPr="00FD211F">
        <w:rPr>
          <w:sz w:val="36"/>
          <w:szCs w:val="36"/>
          <w:rtl/>
        </w:rPr>
        <w:t xml:space="preserve"> لم‌</w:t>
      </w:r>
      <w:r w:rsidRPr="00FD211F">
        <w:rPr>
          <w:sz w:val="36"/>
          <w:szCs w:val="36"/>
          <w:rtl/>
        </w:rPr>
        <w:t>يكن بينه وبين المعنى أي</w:t>
      </w:r>
      <w:r w:rsidR="00EC7EDF" w:rsidRPr="00FD211F">
        <w:rPr>
          <w:sz w:val="36"/>
          <w:szCs w:val="36"/>
          <w:rtl/>
        </w:rPr>
        <w:t xml:space="preserve">ة </w:t>
      </w:r>
      <w:r w:rsidRPr="00FD211F">
        <w:rPr>
          <w:sz w:val="36"/>
          <w:szCs w:val="36"/>
          <w:rtl/>
        </w:rPr>
        <w:t>علق</w:t>
      </w:r>
      <w:r w:rsidR="00EC7EDF" w:rsidRPr="00FD211F">
        <w:rPr>
          <w:sz w:val="36"/>
          <w:szCs w:val="36"/>
          <w:rtl/>
        </w:rPr>
        <w:t xml:space="preserve">ة </w:t>
      </w:r>
      <w:r w:rsidRPr="00FD211F">
        <w:rPr>
          <w:sz w:val="36"/>
          <w:szCs w:val="36"/>
          <w:rtl/>
        </w:rPr>
        <w:t>وضعي</w:t>
      </w:r>
      <w:r w:rsidR="00EC7EDF" w:rsidRPr="00FD211F">
        <w:rPr>
          <w:sz w:val="36"/>
          <w:szCs w:val="36"/>
          <w:rtl/>
        </w:rPr>
        <w:t xml:space="preserve">ة </w:t>
      </w:r>
      <w:r w:rsidRPr="00FD211F">
        <w:rPr>
          <w:sz w:val="36"/>
          <w:szCs w:val="36"/>
          <w:rtl/>
        </w:rPr>
        <w:t>او ان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لاتكون تابع</w:t>
      </w:r>
      <w:r w:rsidR="00EC7EDF" w:rsidRPr="00FD211F">
        <w:rPr>
          <w:sz w:val="36"/>
          <w:szCs w:val="36"/>
          <w:rtl/>
        </w:rPr>
        <w:t xml:space="preserve">ة </w:t>
      </w:r>
      <w:r w:rsidRPr="00FD211F">
        <w:rPr>
          <w:sz w:val="36"/>
          <w:szCs w:val="36"/>
          <w:rtl/>
        </w:rPr>
        <w:t>لهذه الإراد</w:t>
      </w:r>
      <w:r w:rsidR="00EC7EDF" w:rsidRPr="00FD211F">
        <w:rPr>
          <w:sz w:val="36"/>
          <w:szCs w:val="36"/>
          <w:rtl/>
        </w:rPr>
        <w:t>ة</w:t>
      </w:r>
      <w:r w:rsidR="00603323" w:rsidRPr="00FD211F">
        <w:rPr>
          <w:sz w:val="36"/>
          <w:szCs w:val="36"/>
          <w:rtl/>
        </w:rPr>
        <w:t xml:space="preserve">، </w:t>
      </w:r>
      <w:r w:rsidRPr="00FD211F">
        <w:rPr>
          <w:sz w:val="36"/>
          <w:szCs w:val="36"/>
          <w:rtl/>
        </w:rPr>
        <w:t>فذهب جمع من المحققين</w:t>
      </w:r>
      <w:r w:rsidR="00A126BE" w:rsidRPr="00FD211F">
        <w:rPr>
          <w:sz w:val="36"/>
          <w:szCs w:val="36"/>
          <w:rtl/>
        </w:rPr>
        <w:t>-</w:t>
      </w:r>
      <w:r w:rsidRPr="00FD211F">
        <w:rPr>
          <w:sz w:val="36"/>
          <w:szCs w:val="36"/>
          <w:rtl/>
        </w:rPr>
        <w:t xml:space="preserve"> منهم السيد الخوئي قده</w:t>
      </w:r>
      <w:r w:rsidR="00A126BE" w:rsidRPr="00FD211F">
        <w:rPr>
          <w:sz w:val="36"/>
          <w:szCs w:val="36"/>
          <w:rtl/>
        </w:rPr>
        <w:t>"-</w:t>
      </w:r>
      <w:r w:rsidRPr="00FD211F">
        <w:rPr>
          <w:sz w:val="36"/>
          <w:szCs w:val="36"/>
          <w:rtl/>
        </w:rPr>
        <w:t xml:space="preserve"> الى الأول ونسب ذلك الى الشيخ الرئيس والمحقق الطوسي بينما ذهب المشهور الى الثاني</w:t>
      </w:r>
      <w:r w:rsidR="00603323" w:rsidRPr="00FD211F">
        <w:rPr>
          <w:sz w:val="36"/>
          <w:szCs w:val="36"/>
          <w:rtl/>
        </w:rPr>
        <w:t xml:space="preserve">، </w:t>
      </w:r>
      <w:r w:rsidRPr="00FD211F">
        <w:rPr>
          <w:sz w:val="36"/>
          <w:szCs w:val="36"/>
          <w:rtl/>
        </w:rPr>
        <w:t>ولنذكر مقدم</w:t>
      </w:r>
      <w:r w:rsidR="00EC7EDF" w:rsidRPr="00FD211F">
        <w:rPr>
          <w:sz w:val="36"/>
          <w:szCs w:val="36"/>
          <w:rtl/>
        </w:rPr>
        <w:t xml:space="preserve">ة </w:t>
      </w:r>
      <w:r w:rsidRPr="00FD211F">
        <w:rPr>
          <w:sz w:val="36"/>
          <w:szCs w:val="36"/>
          <w:rtl/>
        </w:rPr>
        <w:t>لأجل توضيح البحث وهو أنه يوجد للفظ الموضوع على المعنى ثلاث دلالات:</w:t>
      </w:r>
    </w:p>
    <w:p w14:paraId="0EE03123" w14:textId="77777777" w:rsidR="000D11F4" w:rsidRPr="00FD211F" w:rsidRDefault="000D11F4" w:rsidP="009C58C8">
      <w:pPr>
        <w:ind w:left="0" w:firstLine="227"/>
        <w:jc w:val="both"/>
        <w:rPr>
          <w:sz w:val="36"/>
          <w:szCs w:val="36"/>
          <w:rtl/>
        </w:rPr>
      </w:pPr>
      <w:r w:rsidRPr="00FD211F">
        <w:rPr>
          <w:sz w:val="36"/>
          <w:szCs w:val="36"/>
          <w:rtl/>
        </w:rPr>
        <w:t>1- الدلال</w:t>
      </w:r>
      <w:r w:rsidR="00EC7EDF" w:rsidRPr="00FD211F">
        <w:rPr>
          <w:sz w:val="36"/>
          <w:szCs w:val="36"/>
          <w:rtl/>
        </w:rPr>
        <w:t xml:space="preserve">ة </w:t>
      </w:r>
      <w:r w:rsidRPr="00FD211F">
        <w:rPr>
          <w:sz w:val="36"/>
          <w:szCs w:val="36"/>
          <w:rtl/>
        </w:rPr>
        <w:t>التصوري</w:t>
      </w:r>
      <w:r w:rsidR="00EC7EDF" w:rsidRPr="00FD211F">
        <w:rPr>
          <w:sz w:val="36"/>
          <w:szCs w:val="36"/>
          <w:rtl/>
        </w:rPr>
        <w:t>ة</w:t>
      </w:r>
      <w:r w:rsidR="00603323" w:rsidRPr="00FD211F">
        <w:rPr>
          <w:sz w:val="36"/>
          <w:szCs w:val="36"/>
          <w:rtl/>
        </w:rPr>
        <w:t xml:space="preserve">، </w:t>
      </w:r>
      <w:r w:rsidRPr="00FD211F">
        <w:rPr>
          <w:sz w:val="36"/>
          <w:szCs w:val="36"/>
          <w:rtl/>
        </w:rPr>
        <w:t>وهي سببي</w:t>
      </w:r>
      <w:r w:rsidR="00EC7EDF" w:rsidRPr="00FD211F">
        <w:rPr>
          <w:sz w:val="36"/>
          <w:szCs w:val="36"/>
          <w:rtl/>
        </w:rPr>
        <w:t xml:space="preserve">ة </w:t>
      </w:r>
      <w:r w:rsidRPr="00FD211F">
        <w:rPr>
          <w:sz w:val="36"/>
          <w:szCs w:val="36"/>
          <w:rtl/>
        </w:rPr>
        <w:t>سماع اللفظ للانتقال الى المعنى</w:t>
      </w:r>
      <w:r w:rsidR="00603323" w:rsidRPr="00FD211F">
        <w:rPr>
          <w:sz w:val="36"/>
          <w:szCs w:val="36"/>
          <w:rtl/>
        </w:rPr>
        <w:t xml:space="preserve">، </w:t>
      </w:r>
      <w:r w:rsidRPr="00FD211F">
        <w:rPr>
          <w:sz w:val="36"/>
          <w:szCs w:val="36"/>
          <w:rtl/>
        </w:rPr>
        <w:t>وهذه الدلال</w:t>
      </w:r>
      <w:r w:rsidR="00EC7EDF" w:rsidRPr="00FD211F">
        <w:rPr>
          <w:sz w:val="36"/>
          <w:szCs w:val="36"/>
          <w:rtl/>
        </w:rPr>
        <w:t xml:space="preserve">ة </w:t>
      </w:r>
      <w:r w:rsidRPr="00FD211F">
        <w:rPr>
          <w:sz w:val="36"/>
          <w:szCs w:val="36"/>
          <w:rtl/>
        </w:rPr>
        <w:t>لاتتوقف على إراد</w:t>
      </w:r>
      <w:r w:rsidR="00EC7EDF" w:rsidRPr="00FD211F">
        <w:rPr>
          <w:sz w:val="36"/>
          <w:szCs w:val="36"/>
          <w:rtl/>
        </w:rPr>
        <w:t xml:space="preserve">ة </w:t>
      </w:r>
      <w:r w:rsidRPr="00FD211F">
        <w:rPr>
          <w:sz w:val="36"/>
          <w:szCs w:val="36"/>
          <w:rtl/>
        </w:rPr>
        <w:t>تفهيم المعنى</w:t>
      </w:r>
      <w:r w:rsidR="00603323" w:rsidRPr="00FD211F">
        <w:rPr>
          <w:sz w:val="36"/>
          <w:szCs w:val="36"/>
          <w:rtl/>
        </w:rPr>
        <w:t xml:space="preserve">، </w:t>
      </w:r>
      <w:r w:rsidRPr="00FD211F">
        <w:rPr>
          <w:sz w:val="36"/>
          <w:szCs w:val="36"/>
          <w:rtl/>
        </w:rPr>
        <w:t>فلو فرض صدور اللفظ عن لافظ بلاشعور كالنائم او من تموّج الهواء لانتقل ذهن السامع الى ذلك المعنى أيضا.</w:t>
      </w:r>
    </w:p>
    <w:p w14:paraId="49C9C7E2" w14:textId="77777777" w:rsidR="000D11F4" w:rsidRPr="00FD211F" w:rsidRDefault="000D11F4" w:rsidP="009C58C8">
      <w:pPr>
        <w:ind w:left="0" w:firstLine="227"/>
        <w:jc w:val="both"/>
        <w:rPr>
          <w:sz w:val="36"/>
          <w:szCs w:val="36"/>
          <w:rtl/>
        </w:rPr>
      </w:pPr>
      <w:r w:rsidRPr="00FD211F">
        <w:rPr>
          <w:sz w:val="36"/>
          <w:szCs w:val="36"/>
          <w:rtl/>
        </w:rPr>
        <w:t>2- الدلال</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الأولى</w:t>
      </w:r>
      <w:r w:rsidR="00603323" w:rsidRPr="00FD211F">
        <w:rPr>
          <w:sz w:val="36"/>
          <w:szCs w:val="36"/>
          <w:rtl/>
        </w:rPr>
        <w:t xml:space="preserve">، </w:t>
      </w:r>
      <w:r w:rsidRPr="00FD211F">
        <w:rPr>
          <w:sz w:val="36"/>
          <w:szCs w:val="36"/>
          <w:rtl/>
        </w:rPr>
        <w:t>وقد يعبر عنها بالدلال</w:t>
      </w:r>
      <w:r w:rsidR="00EC7EDF" w:rsidRPr="00FD211F">
        <w:rPr>
          <w:sz w:val="36"/>
          <w:szCs w:val="36"/>
          <w:rtl/>
        </w:rPr>
        <w:t xml:space="preserve">ة </w:t>
      </w:r>
      <w:r w:rsidRPr="00FD211F">
        <w:rPr>
          <w:sz w:val="36"/>
          <w:szCs w:val="36"/>
          <w:rtl/>
        </w:rPr>
        <w:t>التفهيمي</w:t>
      </w:r>
      <w:r w:rsidR="00EC7EDF" w:rsidRPr="00FD211F">
        <w:rPr>
          <w:sz w:val="36"/>
          <w:szCs w:val="36"/>
          <w:rtl/>
        </w:rPr>
        <w:t xml:space="preserve">ة </w:t>
      </w:r>
      <w:r w:rsidRPr="00FD211F">
        <w:rPr>
          <w:sz w:val="36"/>
          <w:szCs w:val="36"/>
          <w:rtl/>
        </w:rPr>
        <w:t>وهي دلال</w:t>
      </w:r>
      <w:r w:rsidR="00EC7EDF" w:rsidRPr="00FD211F">
        <w:rPr>
          <w:sz w:val="36"/>
          <w:szCs w:val="36"/>
          <w:rtl/>
        </w:rPr>
        <w:t xml:space="preserve">ة </w:t>
      </w:r>
      <w:r w:rsidRPr="00FD211F">
        <w:rPr>
          <w:sz w:val="36"/>
          <w:szCs w:val="36"/>
          <w:rtl/>
        </w:rPr>
        <w:t>اللفظ على كون المتكلم بصدد تفهيم معناه</w:t>
      </w:r>
      <w:r w:rsidR="00603323" w:rsidRPr="00FD211F">
        <w:rPr>
          <w:sz w:val="36"/>
          <w:szCs w:val="36"/>
          <w:rtl/>
        </w:rPr>
        <w:t xml:space="preserve">، </w:t>
      </w:r>
      <w:r w:rsidRPr="00FD211F">
        <w:rPr>
          <w:sz w:val="36"/>
          <w:szCs w:val="36"/>
          <w:rtl/>
        </w:rPr>
        <w:t>ومن الواضح ان هذه الدلال</w:t>
      </w:r>
      <w:r w:rsidR="00EC7EDF" w:rsidRPr="00FD211F">
        <w:rPr>
          <w:sz w:val="36"/>
          <w:szCs w:val="36"/>
          <w:rtl/>
        </w:rPr>
        <w:t xml:space="preserve">ة </w:t>
      </w:r>
      <w:r w:rsidRPr="00FD211F">
        <w:rPr>
          <w:sz w:val="36"/>
          <w:szCs w:val="36"/>
          <w:rtl/>
        </w:rPr>
        <w:t>مفقود</w:t>
      </w:r>
      <w:r w:rsidR="00EC7EDF" w:rsidRPr="00FD211F">
        <w:rPr>
          <w:sz w:val="36"/>
          <w:szCs w:val="36"/>
          <w:rtl/>
        </w:rPr>
        <w:t xml:space="preserve">ة </w:t>
      </w:r>
      <w:r w:rsidRPr="00FD211F">
        <w:rPr>
          <w:sz w:val="36"/>
          <w:szCs w:val="36"/>
          <w:rtl/>
        </w:rPr>
        <w:t>فيما لو صدر اللفظ من لافظ بلاشعور كالنائم او صدر ممن نصب قرين</w:t>
      </w:r>
      <w:r w:rsidR="00EC7EDF" w:rsidRPr="00FD211F">
        <w:rPr>
          <w:sz w:val="36"/>
          <w:szCs w:val="36"/>
          <w:rtl/>
        </w:rPr>
        <w:t xml:space="preserve">ة </w:t>
      </w:r>
      <w:r w:rsidRPr="00FD211F">
        <w:rPr>
          <w:sz w:val="36"/>
          <w:szCs w:val="36"/>
          <w:rtl/>
        </w:rPr>
        <w:t>متصل</w:t>
      </w:r>
      <w:r w:rsidR="00EC7EDF" w:rsidRPr="00FD211F">
        <w:rPr>
          <w:sz w:val="36"/>
          <w:szCs w:val="36"/>
          <w:rtl/>
        </w:rPr>
        <w:t xml:space="preserve">ة </w:t>
      </w:r>
      <w:r w:rsidRPr="00FD211F">
        <w:rPr>
          <w:sz w:val="36"/>
          <w:szCs w:val="36"/>
          <w:rtl/>
        </w:rPr>
        <w:t>على عدم كونه بصدد تفهيم معنى او على كونه بصدد تفهيم معنى آخر كموارد الاستعمال المجازي مع القرين</w:t>
      </w:r>
      <w:r w:rsidR="00EC7EDF" w:rsidRPr="00FD211F">
        <w:rPr>
          <w:sz w:val="36"/>
          <w:szCs w:val="36"/>
          <w:rtl/>
        </w:rPr>
        <w:t xml:space="preserve">ة </w:t>
      </w:r>
      <w:r w:rsidRPr="00FD211F">
        <w:rPr>
          <w:sz w:val="36"/>
          <w:szCs w:val="36"/>
          <w:rtl/>
        </w:rPr>
        <w:t>المتصل</w:t>
      </w:r>
      <w:r w:rsidR="00EC7EDF" w:rsidRPr="00FD211F">
        <w:rPr>
          <w:sz w:val="36"/>
          <w:szCs w:val="36"/>
          <w:rtl/>
        </w:rPr>
        <w:t>ة</w:t>
      </w:r>
      <w:r w:rsidR="00A61BAE" w:rsidRPr="00FD211F">
        <w:rPr>
          <w:sz w:val="36"/>
          <w:szCs w:val="36"/>
          <w:rtl/>
        </w:rPr>
        <w:t>.</w:t>
      </w:r>
    </w:p>
    <w:p w14:paraId="5D05FD78" w14:textId="77777777" w:rsidR="000D11F4" w:rsidRPr="00FD211F" w:rsidRDefault="000D11F4" w:rsidP="009C58C8">
      <w:pPr>
        <w:ind w:left="0" w:firstLine="227"/>
        <w:jc w:val="both"/>
        <w:rPr>
          <w:sz w:val="36"/>
          <w:szCs w:val="36"/>
          <w:rtl/>
        </w:rPr>
      </w:pPr>
      <w:r w:rsidRPr="00FD211F">
        <w:rPr>
          <w:sz w:val="36"/>
          <w:szCs w:val="36"/>
          <w:rtl/>
        </w:rPr>
        <w:t>3- الدلال</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الثاني</w:t>
      </w:r>
      <w:r w:rsidR="00EC7EDF" w:rsidRPr="00FD211F">
        <w:rPr>
          <w:sz w:val="36"/>
          <w:szCs w:val="36"/>
          <w:rtl/>
        </w:rPr>
        <w:t>ة</w:t>
      </w:r>
      <w:r w:rsidR="00603323" w:rsidRPr="00FD211F">
        <w:rPr>
          <w:sz w:val="36"/>
          <w:szCs w:val="36"/>
          <w:rtl/>
        </w:rPr>
        <w:t xml:space="preserve">، </w:t>
      </w:r>
      <w:r w:rsidRPr="00FD211F">
        <w:rPr>
          <w:sz w:val="36"/>
          <w:szCs w:val="36"/>
          <w:rtl/>
        </w:rPr>
        <w:t>وهي دلال</w:t>
      </w:r>
      <w:r w:rsidR="00EC7EDF" w:rsidRPr="00FD211F">
        <w:rPr>
          <w:sz w:val="36"/>
          <w:szCs w:val="36"/>
          <w:rtl/>
        </w:rPr>
        <w:t xml:space="preserve">ة </w:t>
      </w:r>
      <w:r w:rsidRPr="00FD211F">
        <w:rPr>
          <w:sz w:val="36"/>
          <w:szCs w:val="36"/>
          <w:rtl/>
        </w:rPr>
        <w:t>اللفظ على وجود الإراد</w:t>
      </w:r>
      <w:r w:rsidR="00EC7EDF" w:rsidRPr="00FD211F">
        <w:rPr>
          <w:sz w:val="36"/>
          <w:szCs w:val="36"/>
          <w:rtl/>
        </w:rPr>
        <w:t xml:space="preserve">ة </w:t>
      </w:r>
      <w:r w:rsidRPr="00FD211F">
        <w:rPr>
          <w:sz w:val="36"/>
          <w:szCs w:val="36"/>
          <w:rtl/>
        </w:rPr>
        <w:t>الجدّي</w:t>
      </w:r>
      <w:r w:rsidR="00EC7EDF" w:rsidRPr="00FD211F">
        <w:rPr>
          <w:sz w:val="36"/>
          <w:szCs w:val="36"/>
          <w:rtl/>
        </w:rPr>
        <w:t xml:space="preserve">ة </w:t>
      </w:r>
      <w:r w:rsidRPr="00FD211F">
        <w:rPr>
          <w:sz w:val="36"/>
          <w:szCs w:val="36"/>
          <w:rtl/>
        </w:rPr>
        <w:t>على طبق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وهذه الدلال</w:t>
      </w:r>
      <w:r w:rsidR="00EC7EDF" w:rsidRPr="00FD211F">
        <w:rPr>
          <w:sz w:val="36"/>
          <w:szCs w:val="36"/>
          <w:rtl/>
        </w:rPr>
        <w:t xml:space="preserve">ة </w:t>
      </w:r>
      <w:r w:rsidRPr="00FD211F">
        <w:rPr>
          <w:sz w:val="36"/>
          <w:szCs w:val="36"/>
          <w:rtl/>
        </w:rPr>
        <w:t>ثابت</w:t>
      </w:r>
      <w:r w:rsidR="00EC7EDF" w:rsidRPr="00FD211F">
        <w:rPr>
          <w:sz w:val="36"/>
          <w:szCs w:val="36"/>
          <w:rtl/>
        </w:rPr>
        <w:t xml:space="preserve">ة </w:t>
      </w:r>
      <w:r w:rsidRPr="00FD211F">
        <w:rPr>
          <w:sz w:val="36"/>
          <w:szCs w:val="36"/>
          <w:rtl/>
        </w:rPr>
        <w:t>بحسب ظهور حالي نوعي في ان المتكلم لايتكلم الا على وفق ارادته الجدي</w:t>
      </w:r>
      <w:r w:rsidR="00EC7EDF" w:rsidRPr="00FD211F">
        <w:rPr>
          <w:sz w:val="36"/>
          <w:szCs w:val="36"/>
          <w:rtl/>
        </w:rPr>
        <w:t>ة</w:t>
      </w:r>
      <w:r w:rsidR="00603323" w:rsidRPr="00FD211F">
        <w:rPr>
          <w:sz w:val="36"/>
          <w:szCs w:val="36"/>
          <w:rtl/>
        </w:rPr>
        <w:t xml:space="preserve">، </w:t>
      </w:r>
      <w:r w:rsidRPr="00FD211F">
        <w:rPr>
          <w:sz w:val="36"/>
          <w:szCs w:val="36"/>
          <w:rtl/>
        </w:rPr>
        <w:t>ولاريب في ان بناء العقلاء قد استقر على ان الدلال</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مطابق</w:t>
      </w:r>
      <w:r w:rsidR="00EC7EDF" w:rsidRPr="00FD211F">
        <w:rPr>
          <w:sz w:val="36"/>
          <w:szCs w:val="36"/>
          <w:rtl/>
        </w:rPr>
        <w:t xml:space="preserve">ة </w:t>
      </w:r>
      <w:r w:rsidRPr="00FD211F">
        <w:rPr>
          <w:sz w:val="36"/>
          <w:szCs w:val="36"/>
          <w:rtl/>
        </w:rPr>
        <w:t>للإراد</w:t>
      </w:r>
      <w:r w:rsidR="00EC7EDF" w:rsidRPr="00FD211F">
        <w:rPr>
          <w:sz w:val="36"/>
          <w:szCs w:val="36"/>
          <w:rtl/>
        </w:rPr>
        <w:t xml:space="preserve">ة </w:t>
      </w:r>
      <w:r w:rsidRPr="00FD211F">
        <w:rPr>
          <w:sz w:val="36"/>
          <w:szCs w:val="36"/>
          <w:rtl/>
        </w:rPr>
        <w:t>الجدي</w:t>
      </w:r>
      <w:r w:rsidR="00EC7EDF" w:rsidRPr="00FD211F">
        <w:rPr>
          <w:sz w:val="36"/>
          <w:szCs w:val="36"/>
          <w:rtl/>
        </w:rPr>
        <w:t xml:space="preserve">ة </w:t>
      </w:r>
      <w:r w:rsidR="00A126BE" w:rsidRPr="00FD211F">
        <w:rPr>
          <w:sz w:val="36"/>
          <w:szCs w:val="36"/>
          <w:rtl/>
        </w:rPr>
        <w:t>مالم تقم قرين</w:t>
      </w:r>
      <w:r w:rsidR="00EC7EDF" w:rsidRPr="00FD211F">
        <w:rPr>
          <w:sz w:val="36"/>
          <w:szCs w:val="36"/>
          <w:rtl/>
        </w:rPr>
        <w:t xml:space="preserve">ة </w:t>
      </w:r>
      <w:r w:rsidR="00A126BE" w:rsidRPr="00FD211F">
        <w:rPr>
          <w:sz w:val="36"/>
          <w:szCs w:val="36"/>
          <w:rtl/>
        </w:rPr>
        <w:t>على الخلاف</w:t>
      </w:r>
      <w:r w:rsidR="00603323" w:rsidRPr="00FD211F">
        <w:rPr>
          <w:sz w:val="36"/>
          <w:szCs w:val="36"/>
          <w:rtl/>
        </w:rPr>
        <w:t xml:space="preserve">، </w:t>
      </w:r>
      <w:r w:rsidRPr="00FD211F">
        <w:rPr>
          <w:sz w:val="36"/>
          <w:szCs w:val="36"/>
          <w:rtl/>
        </w:rPr>
        <w:t>كما لو قامت قرين</w:t>
      </w:r>
      <w:r w:rsidR="00EC7EDF" w:rsidRPr="00FD211F">
        <w:rPr>
          <w:sz w:val="36"/>
          <w:szCs w:val="36"/>
          <w:rtl/>
        </w:rPr>
        <w:t xml:space="preserve">ة </w:t>
      </w:r>
      <w:r w:rsidRPr="00FD211F">
        <w:rPr>
          <w:sz w:val="36"/>
          <w:szCs w:val="36"/>
          <w:rtl/>
        </w:rPr>
        <w:t xml:space="preserve">على كونه في مقام </w:t>
      </w:r>
      <w:commentRangeStart w:id="283"/>
      <w:r w:rsidRPr="00FD211F">
        <w:rPr>
          <w:sz w:val="36"/>
          <w:szCs w:val="36"/>
          <w:rtl/>
        </w:rPr>
        <w:t>الهزل</w:t>
      </w:r>
      <w:commentRangeEnd w:id="283"/>
      <w:r w:rsidR="004D7660">
        <w:rPr>
          <w:rStyle w:val="ab"/>
          <w:rtl/>
        </w:rPr>
        <w:commentReference w:id="283"/>
      </w:r>
      <w:r w:rsidRPr="00FD211F">
        <w:rPr>
          <w:sz w:val="36"/>
          <w:szCs w:val="36"/>
          <w:rtl/>
        </w:rPr>
        <w:t>.</w:t>
      </w:r>
    </w:p>
    <w:p w14:paraId="49D9D2AA" w14:textId="77777777" w:rsidR="000C5BBA" w:rsidRPr="00FD211F" w:rsidRDefault="000D11F4" w:rsidP="009C58C8">
      <w:pPr>
        <w:ind w:left="0" w:firstLine="227"/>
        <w:jc w:val="both"/>
        <w:rPr>
          <w:sz w:val="36"/>
          <w:szCs w:val="36"/>
          <w:rtl/>
        </w:rPr>
      </w:pPr>
      <w:r w:rsidRPr="00FD211F">
        <w:rPr>
          <w:sz w:val="36"/>
          <w:szCs w:val="36"/>
          <w:rtl/>
        </w:rPr>
        <w:t>وقد وقع الخلاف بين الاعلام في ان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هل هي الدلال</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او انها الدلال</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الأولى</w:t>
      </w:r>
      <w:r w:rsidR="00603323" w:rsidRPr="00FD211F">
        <w:rPr>
          <w:sz w:val="36"/>
          <w:szCs w:val="36"/>
          <w:rtl/>
        </w:rPr>
        <w:t xml:space="preserve">، </w:t>
      </w:r>
      <w:r w:rsidRPr="00FD211F">
        <w:rPr>
          <w:sz w:val="36"/>
          <w:szCs w:val="36"/>
          <w:rtl/>
        </w:rPr>
        <w:t xml:space="preserve">فالمشهور هو </w:t>
      </w:r>
      <w:commentRangeStart w:id="284"/>
      <w:r w:rsidRPr="00FD211F">
        <w:rPr>
          <w:sz w:val="36"/>
          <w:szCs w:val="36"/>
          <w:rtl/>
        </w:rPr>
        <w:t>الأول</w:t>
      </w:r>
      <w:commentRangeEnd w:id="284"/>
      <w:r w:rsidR="002126E7">
        <w:rPr>
          <w:rStyle w:val="ab"/>
          <w:rtl/>
        </w:rPr>
        <w:commentReference w:id="284"/>
      </w:r>
      <w:r w:rsidRPr="00FD211F">
        <w:rPr>
          <w:sz w:val="36"/>
          <w:szCs w:val="36"/>
          <w:rtl/>
        </w:rPr>
        <w:t xml:space="preserve"> بتقريب ان الانتقال الى المعنى عند تصور اللفظ في موارد صدوره عن لافظ بلاشعور واختيار كالنائم لابد ان يستند الى سبب</w:t>
      </w:r>
      <w:r w:rsidR="00603323" w:rsidRPr="00FD211F">
        <w:rPr>
          <w:sz w:val="36"/>
          <w:szCs w:val="36"/>
          <w:rtl/>
        </w:rPr>
        <w:t xml:space="preserve">، </w:t>
      </w:r>
      <w:r w:rsidRPr="00FD211F">
        <w:rPr>
          <w:sz w:val="36"/>
          <w:szCs w:val="36"/>
          <w:rtl/>
        </w:rPr>
        <w:t>وذلك السبب اما الوضع او القرين</w:t>
      </w:r>
      <w:r w:rsidR="00EC7EDF" w:rsidRPr="00FD211F">
        <w:rPr>
          <w:sz w:val="36"/>
          <w:szCs w:val="36"/>
          <w:rtl/>
        </w:rPr>
        <w:t>ة</w:t>
      </w:r>
      <w:r w:rsidR="00603323" w:rsidRPr="00FD211F">
        <w:rPr>
          <w:sz w:val="36"/>
          <w:szCs w:val="36"/>
          <w:rtl/>
        </w:rPr>
        <w:t xml:space="preserve">، </w:t>
      </w:r>
      <w:r w:rsidRPr="00FD211F">
        <w:rPr>
          <w:sz w:val="36"/>
          <w:szCs w:val="36"/>
          <w:rtl/>
        </w:rPr>
        <w:t>وحيث ان الثاني منتف لفرض حصول المعنى في الذهن بمجرد سماع اللف</w:t>
      </w:r>
      <w:r w:rsidR="00A126BE" w:rsidRPr="00FD211F">
        <w:rPr>
          <w:sz w:val="36"/>
          <w:szCs w:val="36"/>
          <w:rtl/>
        </w:rPr>
        <w:t>ظ ولو من دون قرين</w:t>
      </w:r>
      <w:r w:rsidR="00EC7EDF" w:rsidRPr="00FD211F">
        <w:rPr>
          <w:sz w:val="36"/>
          <w:szCs w:val="36"/>
          <w:rtl/>
        </w:rPr>
        <w:t xml:space="preserve">ة </w:t>
      </w:r>
      <w:r w:rsidR="00A126BE" w:rsidRPr="00FD211F">
        <w:rPr>
          <w:sz w:val="36"/>
          <w:szCs w:val="36"/>
          <w:rtl/>
        </w:rPr>
        <w:t>فيتعين الاول.</w:t>
      </w:r>
    </w:p>
    <w:p w14:paraId="44739714" w14:textId="77777777" w:rsidR="000D11F4" w:rsidRPr="00FD211F" w:rsidRDefault="000D11F4" w:rsidP="009C58C8">
      <w:pPr>
        <w:ind w:left="0" w:firstLine="227"/>
        <w:jc w:val="both"/>
        <w:rPr>
          <w:sz w:val="36"/>
          <w:szCs w:val="36"/>
          <w:rtl/>
        </w:rPr>
      </w:pPr>
      <w:r w:rsidRPr="00FD211F">
        <w:rPr>
          <w:sz w:val="36"/>
          <w:szCs w:val="36"/>
          <w:rtl/>
        </w:rPr>
        <w:t>وخالف في ذلك جماع</w:t>
      </w:r>
      <w:r w:rsidR="00EC7EDF" w:rsidRPr="00FD211F">
        <w:rPr>
          <w:sz w:val="36"/>
          <w:szCs w:val="36"/>
          <w:rtl/>
        </w:rPr>
        <w:t xml:space="preserve">ة </w:t>
      </w:r>
      <w:r w:rsidRPr="00FD211F">
        <w:rPr>
          <w:sz w:val="36"/>
          <w:szCs w:val="36"/>
          <w:rtl/>
        </w:rPr>
        <w:t>من المحققين فاختاروا 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هي الدلال</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الأولى</w:t>
      </w:r>
      <w:r w:rsidR="00603323" w:rsidRPr="00FD211F">
        <w:rPr>
          <w:sz w:val="36"/>
          <w:szCs w:val="36"/>
          <w:rtl/>
        </w:rPr>
        <w:t xml:space="preserve">، </w:t>
      </w:r>
      <w:r w:rsidRPr="00FD211F">
        <w:rPr>
          <w:sz w:val="36"/>
          <w:szCs w:val="36"/>
          <w:rtl/>
        </w:rPr>
        <w:t xml:space="preserve">وممن أكّد على هذا القول هو السيد الخوئي </w:t>
      </w:r>
      <w:r w:rsidR="00A126BE" w:rsidRPr="00FD211F">
        <w:rPr>
          <w:sz w:val="36"/>
          <w:szCs w:val="36"/>
          <w:rtl/>
        </w:rPr>
        <w:t>"</w:t>
      </w:r>
      <w:r w:rsidRPr="00FD211F">
        <w:rPr>
          <w:sz w:val="36"/>
          <w:szCs w:val="36"/>
          <w:rtl/>
        </w:rPr>
        <w:t>قده</w:t>
      </w:r>
      <w:r w:rsidR="00A126BE" w:rsidRPr="00FD211F">
        <w:rPr>
          <w:sz w:val="36"/>
          <w:szCs w:val="36"/>
          <w:rtl/>
        </w:rPr>
        <w:t>"</w:t>
      </w:r>
      <w:r w:rsidR="00603323" w:rsidRPr="00FD211F">
        <w:rPr>
          <w:sz w:val="36"/>
          <w:szCs w:val="36"/>
          <w:rtl/>
        </w:rPr>
        <w:t xml:space="preserve">، </w:t>
      </w:r>
      <w:r w:rsidRPr="00FD211F">
        <w:rPr>
          <w:sz w:val="36"/>
          <w:szCs w:val="36"/>
          <w:rtl/>
        </w:rPr>
        <w:t>واستدل عليه بوجهين:</w:t>
      </w:r>
    </w:p>
    <w:p w14:paraId="2177B382" w14:textId="77777777" w:rsidR="000D11F4" w:rsidRPr="00FD211F" w:rsidRDefault="000D11F4" w:rsidP="009C58C8">
      <w:pPr>
        <w:ind w:left="0" w:firstLine="227"/>
        <w:jc w:val="both"/>
        <w:rPr>
          <w:sz w:val="36"/>
          <w:szCs w:val="36"/>
          <w:rtl/>
        </w:rPr>
      </w:pPr>
      <w:r w:rsidRPr="00FD211F">
        <w:rPr>
          <w:b/>
          <w:bCs/>
          <w:sz w:val="36"/>
          <w:szCs w:val="36"/>
          <w:rtl/>
        </w:rPr>
        <w:t>الاول</w:t>
      </w:r>
      <w:r w:rsidR="00AE2C2D" w:rsidRPr="00FD211F">
        <w:rPr>
          <w:sz w:val="36"/>
          <w:szCs w:val="36"/>
          <w:rtl/>
        </w:rPr>
        <w:t>:</w:t>
      </w:r>
      <w:r w:rsidRPr="00FD211F">
        <w:rPr>
          <w:sz w:val="36"/>
          <w:szCs w:val="36"/>
          <w:rtl/>
        </w:rPr>
        <w:t xml:space="preserve"> انه بناء على المسلك الصحيح في تفسير حقيق</w:t>
      </w:r>
      <w:r w:rsidR="00EC7EDF" w:rsidRPr="00FD211F">
        <w:rPr>
          <w:sz w:val="36"/>
          <w:szCs w:val="36"/>
          <w:rtl/>
        </w:rPr>
        <w:t xml:space="preserve">ة </w:t>
      </w:r>
      <w:r w:rsidRPr="00FD211F">
        <w:rPr>
          <w:sz w:val="36"/>
          <w:szCs w:val="36"/>
          <w:rtl/>
        </w:rPr>
        <w:t>الوضع من كونه هو التعهد والالتزام بان لايستعمل هذا اللفظ الا عند إراد</w:t>
      </w:r>
      <w:r w:rsidR="00EC7EDF" w:rsidRPr="00FD211F">
        <w:rPr>
          <w:sz w:val="36"/>
          <w:szCs w:val="36"/>
          <w:rtl/>
        </w:rPr>
        <w:t xml:space="preserve">ة </w:t>
      </w:r>
      <w:r w:rsidRPr="00FD211F">
        <w:rPr>
          <w:sz w:val="36"/>
          <w:szCs w:val="36"/>
          <w:rtl/>
        </w:rPr>
        <w:t>تفهيم المعنى فلايعقل شمول التعهد والالتزام لموارد عدم الاختيار كصدور اللفظ منه حال نومه</w:t>
      </w:r>
      <w:r w:rsidR="00603323" w:rsidRPr="00FD211F">
        <w:rPr>
          <w:sz w:val="36"/>
          <w:szCs w:val="36"/>
          <w:rtl/>
        </w:rPr>
        <w:t xml:space="preserve">، </w:t>
      </w:r>
      <w:r w:rsidRPr="00FD211F">
        <w:rPr>
          <w:sz w:val="36"/>
          <w:szCs w:val="36"/>
          <w:rtl/>
        </w:rPr>
        <w:t>وعليه فدلال</w:t>
      </w:r>
      <w:r w:rsidR="00EC7EDF" w:rsidRPr="00FD211F">
        <w:rPr>
          <w:sz w:val="36"/>
          <w:szCs w:val="36"/>
          <w:rtl/>
        </w:rPr>
        <w:t xml:space="preserve">ة </w:t>
      </w:r>
      <w:r w:rsidRPr="00FD211F">
        <w:rPr>
          <w:sz w:val="36"/>
          <w:szCs w:val="36"/>
          <w:rtl/>
        </w:rPr>
        <w:t>اللفظ الصادر منه حال نومه على المعنى لاتكون دلال</w:t>
      </w:r>
      <w:r w:rsidR="00EC7EDF" w:rsidRPr="00FD211F">
        <w:rPr>
          <w:sz w:val="36"/>
          <w:szCs w:val="36"/>
          <w:rtl/>
        </w:rPr>
        <w:t xml:space="preserve">ة </w:t>
      </w:r>
      <w:r w:rsidRPr="00FD211F">
        <w:rPr>
          <w:sz w:val="36"/>
          <w:szCs w:val="36"/>
          <w:rtl/>
        </w:rPr>
        <w:t>وضعي</w:t>
      </w:r>
      <w:r w:rsidR="00EC7EDF" w:rsidRPr="00FD211F">
        <w:rPr>
          <w:sz w:val="36"/>
          <w:szCs w:val="36"/>
          <w:rtl/>
        </w:rPr>
        <w:t xml:space="preserve">ة </w:t>
      </w:r>
      <w:r w:rsidRPr="00FD211F">
        <w:rPr>
          <w:sz w:val="36"/>
          <w:szCs w:val="36"/>
          <w:rtl/>
        </w:rPr>
        <w:t>جزما</w:t>
      </w:r>
      <w:r w:rsidR="00603323" w:rsidRPr="00FD211F">
        <w:rPr>
          <w:sz w:val="36"/>
          <w:szCs w:val="36"/>
          <w:rtl/>
        </w:rPr>
        <w:t xml:space="preserve">، </w:t>
      </w:r>
      <w:r w:rsidRPr="00FD211F">
        <w:rPr>
          <w:sz w:val="36"/>
          <w:szCs w:val="36"/>
          <w:rtl/>
        </w:rPr>
        <w:t>نعم هي دلال</w:t>
      </w:r>
      <w:r w:rsidR="00EC7EDF" w:rsidRPr="00FD211F">
        <w:rPr>
          <w:sz w:val="36"/>
          <w:szCs w:val="36"/>
          <w:rtl/>
        </w:rPr>
        <w:t xml:space="preserve">ة </w:t>
      </w:r>
      <w:r w:rsidRPr="00FD211F">
        <w:rPr>
          <w:sz w:val="36"/>
          <w:szCs w:val="36"/>
          <w:rtl/>
        </w:rPr>
        <w:t>أنسي</w:t>
      </w:r>
      <w:r w:rsidR="00EC7EDF" w:rsidRPr="00FD211F">
        <w:rPr>
          <w:sz w:val="36"/>
          <w:szCs w:val="36"/>
          <w:rtl/>
        </w:rPr>
        <w:t xml:space="preserve">ة </w:t>
      </w:r>
      <w:r w:rsidRPr="00FD211F">
        <w:rPr>
          <w:sz w:val="36"/>
          <w:szCs w:val="36"/>
          <w:rtl/>
        </w:rPr>
        <w:t>من جه</w:t>
      </w:r>
      <w:r w:rsidR="00EC7EDF" w:rsidRPr="00FD211F">
        <w:rPr>
          <w:sz w:val="36"/>
          <w:szCs w:val="36"/>
          <w:rtl/>
        </w:rPr>
        <w:t xml:space="preserve">ة </w:t>
      </w:r>
      <w:r w:rsidRPr="00FD211F">
        <w:rPr>
          <w:sz w:val="36"/>
          <w:szCs w:val="36"/>
          <w:rtl/>
        </w:rPr>
        <w:t>الانس الحاصل بين اللفظ والمعنى من كثر</w:t>
      </w:r>
      <w:r w:rsidR="00EC7EDF" w:rsidRPr="00FD211F">
        <w:rPr>
          <w:sz w:val="36"/>
          <w:szCs w:val="36"/>
          <w:rtl/>
        </w:rPr>
        <w:t xml:space="preserve">ة </w:t>
      </w:r>
      <w:r w:rsidRPr="00FD211F">
        <w:rPr>
          <w:sz w:val="36"/>
          <w:szCs w:val="36"/>
          <w:rtl/>
        </w:rPr>
        <w:t>الاستعمال او من أمر آخر.</w:t>
      </w:r>
    </w:p>
    <w:p w14:paraId="082E4285" w14:textId="77777777" w:rsidR="000D11F4" w:rsidRPr="00FD211F" w:rsidRDefault="000D11F4" w:rsidP="009C58C8">
      <w:pPr>
        <w:ind w:left="0" w:firstLine="227"/>
        <w:jc w:val="both"/>
        <w:rPr>
          <w:sz w:val="36"/>
          <w:szCs w:val="36"/>
          <w:rtl/>
        </w:rPr>
      </w:pPr>
      <w:r w:rsidRPr="00FD211F">
        <w:rPr>
          <w:b/>
          <w:bCs/>
          <w:sz w:val="36"/>
          <w:szCs w:val="36"/>
          <w:rtl/>
        </w:rPr>
        <w:t>الثاني</w:t>
      </w:r>
      <w:r w:rsidRPr="00FD211F">
        <w:rPr>
          <w:sz w:val="36"/>
          <w:szCs w:val="36"/>
          <w:rtl/>
        </w:rPr>
        <w:t>: انه بناء على مسلك القوم في تفسير حقيق</w:t>
      </w:r>
      <w:r w:rsidR="00EC7EDF" w:rsidRPr="00FD211F">
        <w:rPr>
          <w:sz w:val="36"/>
          <w:szCs w:val="36"/>
          <w:rtl/>
        </w:rPr>
        <w:t xml:space="preserve">ة </w:t>
      </w:r>
      <w:r w:rsidRPr="00FD211F">
        <w:rPr>
          <w:sz w:val="36"/>
          <w:szCs w:val="36"/>
          <w:rtl/>
        </w:rPr>
        <w:t>الوضع من انها امر اعتباري فحيث ان الأمر الاعتباري يتبع الغرض الداعي اليه</w:t>
      </w:r>
      <w:r w:rsidR="00603323" w:rsidRPr="00FD211F">
        <w:rPr>
          <w:sz w:val="36"/>
          <w:szCs w:val="36"/>
          <w:rtl/>
        </w:rPr>
        <w:t xml:space="preserve">، </w:t>
      </w:r>
      <w:r w:rsidRPr="00FD211F">
        <w:rPr>
          <w:sz w:val="36"/>
          <w:szCs w:val="36"/>
          <w:rtl/>
        </w:rPr>
        <w:t>فلو زاد على مقدار الغرض كان لغوا محضا</w:t>
      </w:r>
      <w:r w:rsidR="00603323" w:rsidRPr="00FD211F">
        <w:rPr>
          <w:sz w:val="36"/>
          <w:szCs w:val="36"/>
          <w:rtl/>
        </w:rPr>
        <w:t xml:space="preserve">، </w:t>
      </w:r>
      <w:r w:rsidRPr="00FD211F">
        <w:rPr>
          <w:sz w:val="36"/>
          <w:szCs w:val="36"/>
          <w:rtl/>
        </w:rPr>
        <w:t>وعليه فلما كان الغرض الباعث على الوضع هو قصد تفهيم المعنى باللفظ فلاموجب لاعتبار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على الاطلاق حتى في اللفظ الصادر عن لافظ بلاشعور واختيار</w:t>
      </w:r>
      <w:r w:rsidR="00603323" w:rsidRPr="00FD211F">
        <w:rPr>
          <w:sz w:val="36"/>
          <w:szCs w:val="36"/>
          <w:rtl/>
        </w:rPr>
        <w:t xml:space="preserve">، </w:t>
      </w:r>
      <w:r w:rsidRPr="00FD211F">
        <w:rPr>
          <w:sz w:val="36"/>
          <w:szCs w:val="36"/>
          <w:rtl/>
        </w:rPr>
        <w:t>حيث ان اعتبارها في مثل هذه الموارد لغو ظاهر</w:t>
      </w:r>
      <w:r w:rsidR="00603323" w:rsidRPr="00FD211F">
        <w:rPr>
          <w:sz w:val="36"/>
          <w:szCs w:val="36"/>
          <w:rtl/>
        </w:rPr>
        <w:t xml:space="preserve">، </w:t>
      </w:r>
      <w:r w:rsidRPr="00FD211F">
        <w:rPr>
          <w:sz w:val="36"/>
          <w:szCs w:val="36"/>
          <w:rtl/>
        </w:rPr>
        <w:t>فالدلال</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لاتكون دلال</w:t>
      </w:r>
      <w:r w:rsidR="00EC7EDF" w:rsidRPr="00FD211F">
        <w:rPr>
          <w:sz w:val="36"/>
          <w:szCs w:val="36"/>
          <w:rtl/>
        </w:rPr>
        <w:t xml:space="preserve">ة </w:t>
      </w:r>
      <w:r w:rsidRPr="00FD211F">
        <w:rPr>
          <w:sz w:val="36"/>
          <w:szCs w:val="36"/>
          <w:rtl/>
        </w:rPr>
        <w:t>وضعي</w:t>
      </w:r>
      <w:r w:rsidR="00EC7EDF" w:rsidRPr="00FD211F">
        <w:rPr>
          <w:sz w:val="36"/>
          <w:szCs w:val="36"/>
          <w:rtl/>
        </w:rPr>
        <w:t xml:space="preserve">ة </w:t>
      </w:r>
      <w:r w:rsidRPr="00FD211F">
        <w:rPr>
          <w:sz w:val="36"/>
          <w:szCs w:val="36"/>
          <w:rtl/>
        </w:rPr>
        <w:t>على جميع المسالك في حقيق</w:t>
      </w:r>
      <w:r w:rsidR="00EC7EDF" w:rsidRPr="00FD211F">
        <w:rPr>
          <w:sz w:val="36"/>
          <w:szCs w:val="36"/>
          <w:rtl/>
        </w:rPr>
        <w:t xml:space="preserve">ة </w:t>
      </w:r>
      <w:r w:rsidRPr="00FD211F">
        <w:rPr>
          <w:sz w:val="36"/>
          <w:szCs w:val="36"/>
          <w:rtl/>
        </w:rPr>
        <w:t>الوضع</w:t>
      </w:r>
      <w:r w:rsidR="009C58C8" w:rsidRPr="00FD211F">
        <w:rPr>
          <w:rStyle w:val="a6"/>
          <w:sz w:val="36"/>
          <w:szCs w:val="36"/>
          <w:rtl/>
        </w:rPr>
        <w:t>(</w:t>
      </w:r>
      <w:r w:rsidR="009C58C8" w:rsidRPr="00FD211F">
        <w:rPr>
          <w:rStyle w:val="a6"/>
          <w:sz w:val="36"/>
          <w:szCs w:val="36"/>
          <w:rtl/>
        </w:rPr>
        <w:footnoteReference w:id="275"/>
      </w:r>
      <w:r w:rsidR="009C58C8" w:rsidRPr="00FD211F">
        <w:rPr>
          <w:rStyle w:val="a6"/>
          <w:sz w:val="36"/>
          <w:szCs w:val="36"/>
          <w:rtl/>
        </w:rPr>
        <w:t>)</w:t>
      </w:r>
      <w:r w:rsidRPr="00FD211F">
        <w:rPr>
          <w:sz w:val="36"/>
          <w:szCs w:val="36"/>
          <w:rtl/>
        </w:rPr>
        <w:t>.</w:t>
      </w:r>
    </w:p>
    <w:p w14:paraId="71BA95F2" w14:textId="77777777" w:rsidR="000D11F4" w:rsidRPr="00FD211F" w:rsidRDefault="000D11F4" w:rsidP="009C58C8">
      <w:pPr>
        <w:ind w:left="0" w:firstLine="227"/>
        <w:jc w:val="both"/>
        <w:rPr>
          <w:sz w:val="36"/>
          <w:szCs w:val="36"/>
          <w:rtl/>
        </w:rPr>
      </w:pPr>
      <w:r w:rsidRPr="00FD211F">
        <w:rPr>
          <w:sz w:val="36"/>
          <w:szCs w:val="36"/>
          <w:rtl/>
        </w:rPr>
        <w:t>ويلاحظ على ما ذكره من الوجه الاول انه مبنيّ على تمامي</w:t>
      </w:r>
      <w:r w:rsidR="00EC7EDF" w:rsidRPr="00FD211F">
        <w:rPr>
          <w:sz w:val="36"/>
          <w:szCs w:val="36"/>
          <w:rtl/>
        </w:rPr>
        <w:t xml:space="preserve">ة </w:t>
      </w:r>
      <w:r w:rsidRPr="00FD211F">
        <w:rPr>
          <w:sz w:val="36"/>
          <w:szCs w:val="36"/>
          <w:rtl/>
        </w:rPr>
        <w:t>مسلك التعهد وقد مرّ الاشكال فيه سابقا.</w:t>
      </w:r>
    </w:p>
    <w:p w14:paraId="1E175682" w14:textId="77777777" w:rsidR="000C5BBA" w:rsidRPr="00FD211F" w:rsidRDefault="000D11F4" w:rsidP="009C58C8">
      <w:pPr>
        <w:ind w:left="0" w:firstLine="227"/>
        <w:jc w:val="both"/>
        <w:rPr>
          <w:sz w:val="36"/>
          <w:szCs w:val="36"/>
          <w:rtl/>
        </w:rPr>
      </w:pPr>
      <w:bookmarkStart w:id="285" w:name="درس021دقيقه31"/>
      <w:bookmarkEnd w:id="285"/>
      <w:r w:rsidRPr="00FD211F">
        <w:rPr>
          <w:sz w:val="36"/>
          <w:szCs w:val="36"/>
          <w:rtl/>
        </w:rPr>
        <w:t>ويلاحظ على ما ذكره من الوجه الثاني ان اطلاق الوضع بناء على كونه امرا اعتباريا وان كان خاليا من الأثر بالنسب</w:t>
      </w:r>
      <w:r w:rsidR="00EC7EDF" w:rsidRPr="00FD211F">
        <w:rPr>
          <w:sz w:val="36"/>
          <w:szCs w:val="36"/>
          <w:rtl/>
        </w:rPr>
        <w:t xml:space="preserve">ة </w:t>
      </w:r>
      <w:r w:rsidRPr="00FD211F">
        <w:rPr>
          <w:sz w:val="36"/>
          <w:szCs w:val="36"/>
          <w:rtl/>
        </w:rPr>
        <w:t>الى اللفظ الصادر من لافظ بلاشعور او من تموّج الهواء</w:t>
      </w:r>
      <w:r w:rsidR="00603323" w:rsidRPr="00FD211F">
        <w:rPr>
          <w:sz w:val="36"/>
          <w:szCs w:val="36"/>
          <w:rtl/>
        </w:rPr>
        <w:t xml:space="preserve">، </w:t>
      </w:r>
      <w:r w:rsidRPr="00FD211F">
        <w:rPr>
          <w:sz w:val="36"/>
          <w:szCs w:val="36"/>
          <w:rtl/>
        </w:rPr>
        <w:t>ولكن لايكون هذا الاطلاق لغوا عرفا بعد ان كان التقييد بحاج</w:t>
      </w:r>
      <w:r w:rsidR="00EC7EDF" w:rsidRPr="00FD211F">
        <w:rPr>
          <w:sz w:val="36"/>
          <w:szCs w:val="36"/>
          <w:rtl/>
        </w:rPr>
        <w:t xml:space="preserve">ة </w:t>
      </w:r>
      <w:r w:rsidRPr="00FD211F">
        <w:rPr>
          <w:sz w:val="36"/>
          <w:szCs w:val="36"/>
          <w:rtl/>
        </w:rPr>
        <w:t>الى مؤون</w:t>
      </w:r>
      <w:r w:rsidR="00EC7EDF" w:rsidRPr="00FD211F">
        <w:rPr>
          <w:sz w:val="36"/>
          <w:szCs w:val="36"/>
          <w:rtl/>
        </w:rPr>
        <w:t xml:space="preserve">ة </w:t>
      </w:r>
      <w:r w:rsidRPr="00FD211F">
        <w:rPr>
          <w:sz w:val="36"/>
          <w:szCs w:val="36"/>
          <w:rtl/>
        </w:rPr>
        <w:t>عرفي</w:t>
      </w:r>
      <w:r w:rsidR="00EC7EDF" w:rsidRPr="00FD211F">
        <w:rPr>
          <w:sz w:val="36"/>
          <w:szCs w:val="36"/>
          <w:rtl/>
        </w:rPr>
        <w:t xml:space="preserve">ة </w:t>
      </w:r>
      <w:r w:rsidRPr="00FD211F">
        <w:rPr>
          <w:sz w:val="36"/>
          <w:szCs w:val="36"/>
          <w:rtl/>
        </w:rPr>
        <w:t>زائد</w:t>
      </w:r>
      <w:r w:rsidR="00EC7EDF" w:rsidRPr="00FD211F">
        <w:rPr>
          <w:sz w:val="36"/>
          <w:szCs w:val="36"/>
          <w:rtl/>
        </w:rPr>
        <w:t>ة</w:t>
      </w:r>
      <w:r w:rsidR="00603323" w:rsidRPr="00FD211F">
        <w:rPr>
          <w:sz w:val="36"/>
          <w:szCs w:val="36"/>
          <w:rtl/>
        </w:rPr>
        <w:t xml:space="preserve">، </w:t>
      </w:r>
      <w:r w:rsidRPr="00FD211F">
        <w:rPr>
          <w:sz w:val="36"/>
          <w:szCs w:val="36"/>
          <w:rtl/>
        </w:rPr>
        <w:t>ولو قلنا بان التقابل بين الاطلاق والتقييد هو تقابل السلب والإيجاب فبناء على ذلك يكون الاطلاق امرا عد</w:t>
      </w:r>
      <w:r w:rsidR="008D1C15" w:rsidRPr="00FD211F">
        <w:rPr>
          <w:sz w:val="36"/>
          <w:szCs w:val="36"/>
          <w:rtl/>
        </w:rPr>
        <w:t>ميا ولامؤون</w:t>
      </w:r>
      <w:r w:rsidR="00EC7EDF" w:rsidRPr="00FD211F">
        <w:rPr>
          <w:sz w:val="36"/>
          <w:szCs w:val="36"/>
          <w:rtl/>
        </w:rPr>
        <w:t xml:space="preserve">ة </w:t>
      </w:r>
      <w:r w:rsidR="008D1C15" w:rsidRPr="00FD211F">
        <w:rPr>
          <w:sz w:val="36"/>
          <w:szCs w:val="36"/>
          <w:rtl/>
        </w:rPr>
        <w:t>فيه لاعرفا ولاعقلا.</w:t>
      </w:r>
    </w:p>
    <w:p w14:paraId="005E7ACB" w14:textId="77777777" w:rsidR="000C5BBA" w:rsidRPr="00FD211F" w:rsidRDefault="000D11F4" w:rsidP="009C58C8">
      <w:pPr>
        <w:ind w:left="0" w:firstLine="227"/>
        <w:jc w:val="both"/>
        <w:rPr>
          <w:sz w:val="36"/>
          <w:szCs w:val="36"/>
          <w:rtl/>
        </w:rPr>
      </w:pPr>
      <w:r w:rsidRPr="00FD211F">
        <w:rPr>
          <w:sz w:val="36"/>
          <w:szCs w:val="36"/>
          <w:rtl/>
        </w:rPr>
        <w:t>ومما يشهد على ذلك ما نراه في وضع اسم</w:t>
      </w:r>
      <w:r w:rsidR="008D1C15" w:rsidRPr="00FD211F">
        <w:rPr>
          <w:sz w:val="36"/>
          <w:szCs w:val="36"/>
          <w:rtl/>
        </w:rPr>
        <w:t xml:space="preserve">ٍ </w:t>
      </w:r>
      <w:r w:rsidRPr="00FD211F">
        <w:rPr>
          <w:sz w:val="36"/>
          <w:szCs w:val="36"/>
          <w:rtl/>
        </w:rPr>
        <w:t>لمولود</w:t>
      </w:r>
      <w:r w:rsidR="00603323" w:rsidRPr="00FD211F">
        <w:rPr>
          <w:sz w:val="36"/>
          <w:szCs w:val="36"/>
          <w:rtl/>
        </w:rPr>
        <w:t xml:space="preserve">، </w:t>
      </w:r>
      <w:r w:rsidRPr="00FD211F">
        <w:rPr>
          <w:sz w:val="36"/>
          <w:szCs w:val="36"/>
          <w:rtl/>
        </w:rPr>
        <w:t>فان الواضع لايقيده بمو</w:t>
      </w:r>
      <w:r w:rsidR="008D1C15" w:rsidRPr="00FD211F">
        <w:rPr>
          <w:sz w:val="36"/>
          <w:szCs w:val="36"/>
          <w:rtl/>
        </w:rPr>
        <w:t>ارد صدور هذا اللفظ عن لافظ</w:t>
      </w:r>
      <w:r w:rsidR="00034A83" w:rsidRPr="00FD211F">
        <w:rPr>
          <w:sz w:val="36"/>
          <w:szCs w:val="36"/>
          <w:rtl/>
        </w:rPr>
        <w:t xml:space="preserve"> ملتفت</w:t>
      </w:r>
      <w:r w:rsidR="008D1C15" w:rsidRPr="00FD211F">
        <w:rPr>
          <w:sz w:val="36"/>
          <w:szCs w:val="36"/>
          <w:rtl/>
        </w:rPr>
        <w:t>.</w:t>
      </w:r>
    </w:p>
    <w:p w14:paraId="43996EC0" w14:textId="77777777" w:rsidR="000D11F4" w:rsidRPr="00FD211F" w:rsidRDefault="000D11F4" w:rsidP="009C58C8">
      <w:pPr>
        <w:ind w:left="0" w:firstLine="227"/>
        <w:jc w:val="both"/>
        <w:rPr>
          <w:sz w:val="36"/>
          <w:szCs w:val="36"/>
          <w:rtl/>
        </w:rPr>
      </w:pPr>
      <w:r w:rsidRPr="00FD211F">
        <w:rPr>
          <w:sz w:val="36"/>
          <w:szCs w:val="36"/>
          <w:rtl/>
        </w:rPr>
        <w:t xml:space="preserve">هذا مضافا الى انه على </w:t>
      </w:r>
      <w:r w:rsidR="008D1C15" w:rsidRPr="00FD211F">
        <w:rPr>
          <w:sz w:val="36"/>
          <w:szCs w:val="36"/>
          <w:rtl/>
        </w:rPr>
        <w:t xml:space="preserve">كون </w:t>
      </w:r>
      <w:r w:rsidRPr="00FD211F">
        <w:rPr>
          <w:sz w:val="36"/>
          <w:szCs w:val="36"/>
          <w:rtl/>
        </w:rPr>
        <w:t xml:space="preserve">الوضع هو الاقتران الأكيد بين </w:t>
      </w:r>
      <w:r w:rsidR="008D1C15" w:rsidRPr="00FD211F">
        <w:rPr>
          <w:sz w:val="36"/>
          <w:szCs w:val="36"/>
          <w:rtl/>
        </w:rPr>
        <w:t>ال</w:t>
      </w:r>
      <w:r w:rsidRPr="00FD211F">
        <w:rPr>
          <w:sz w:val="36"/>
          <w:szCs w:val="36"/>
          <w:rtl/>
        </w:rPr>
        <w:t>لفظ و</w:t>
      </w:r>
      <w:r w:rsidR="008D1C15" w:rsidRPr="00FD211F">
        <w:rPr>
          <w:sz w:val="36"/>
          <w:szCs w:val="36"/>
          <w:rtl/>
        </w:rPr>
        <w:t>ال</w:t>
      </w:r>
      <w:r w:rsidRPr="00FD211F">
        <w:rPr>
          <w:sz w:val="36"/>
          <w:szCs w:val="36"/>
          <w:rtl/>
        </w:rPr>
        <w:t>معنى</w:t>
      </w:r>
      <w:r w:rsidR="00603323" w:rsidRPr="00FD211F">
        <w:rPr>
          <w:sz w:val="36"/>
          <w:szCs w:val="36"/>
          <w:rtl/>
        </w:rPr>
        <w:t xml:space="preserve">، </w:t>
      </w:r>
      <w:r w:rsidRPr="00FD211F">
        <w:rPr>
          <w:sz w:val="36"/>
          <w:szCs w:val="36"/>
          <w:rtl/>
        </w:rPr>
        <w:t xml:space="preserve">فانه بناء عليه يكون الاقتران الأكيد بين طبيعي اللفظ –ولو صدر من لافظ غير </w:t>
      </w:r>
      <w:r w:rsidR="00034A83" w:rsidRPr="00FD211F">
        <w:rPr>
          <w:sz w:val="36"/>
          <w:szCs w:val="36"/>
          <w:rtl/>
        </w:rPr>
        <w:t xml:space="preserve">ملتفت </w:t>
      </w:r>
      <w:r w:rsidRPr="00FD211F">
        <w:rPr>
          <w:sz w:val="36"/>
          <w:szCs w:val="36"/>
          <w:rtl/>
        </w:rPr>
        <w:t>- وبين طبيعي ال</w:t>
      </w:r>
      <w:r w:rsidR="008D1C15" w:rsidRPr="00FD211F">
        <w:rPr>
          <w:sz w:val="36"/>
          <w:szCs w:val="36"/>
          <w:rtl/>
        </w:rPr>
        <w:t>معنى</w:t>
      </w:r>
      <w:r w:rsidR="00603323" w:rsidRPr="00FD211F">
        <w:rPr>
          <w:sz w:val="36"/>
          <w:szCs w:val="36"/>
          <w:rtl/>
        </w:rPr>
        <w:t xml:space="preserve">، </w:t>
      </w:r>
      <w:r w:rsidRPr="00FD211F">
        <w:rPr>
          <w:sz w:val="36"/>
          <w:szCs w:val="36"/>
          <w:rtl/>
        </w:rPr>
        <w:t>وقد يكون هذا الاقتران الأكيد ناشئا عن كثر</w:t>
      </w:r>
      <w:r w:rsidR="00EC7EDF" w:rsidRPr="00FD211F">
        <w:rPr>
          <w:sz w:val="36"/>
          <w:szCs w:val="36"/>
          <w:rtl/>
        </w:rPr>
        <w:t xml:space="preserve">ة </w:t>
      </w:r>
      <w:r w:rsidRPr="00FD211F">
        <w:rPr>
          <w:sz w:val="36"/>
          <w:szCs w:val="36"/>
          <w:rtl/>
        </w:rPr>
        <w:t xml:space="preserve">الاستعمال في مورد الوضع التعيني وليس فيه أيّ اعتبار من قبل أحد حتى يقال بان اطلاقه لمورد صدور اللفظ من لافظ غير </w:t>
      </w:r>
      <w:r w:rsidR="00034A83" w:rsidRPr="00FD211F">
        <w:rPr>
          <w:sz w:val="36"/>
          <w:szCs w:val="36"/>
          <w:rtl/>
        </w:rPr>
        <w:t xml:space="preserve">ملتفت </w:t>
      </w:r>
      <w:r w:rsidRPr="00FD211F">
        <w:rPr>
          <w:sz w:val="36"/>
          <w:szCs w:val="36"/>
          <w:rtl/>
        </w:rPr>
        <w:t>يكون لغوا.</w:t>
      </w:r>
    </w:p>
    <w:p w14:paraId="703A8DA5" w14:textId="77777777" w:rsidR="000D11F4" w:rsidRPr="00FD211F" w:rsidRDefault="000D11F4" w:rsidP="009C58C8">
      <w:pPr>
        <w:ind w:left="0" w:firstLine="227"/>
        <w:jc w:val="both"/>
        <w:rPr>
          <w:sz w:val="36"/>
          <w:szCs w:val="36"/>
          <w:rtl/>
        </w:rPr>
      </w:pPr>
      <w:r w:rsidRPr="00FD211F">
        <w:rPr>
          <w:sz w:val="36"/>
          <w:szCs w:val="36"/>
          <w:rtl/>
        </w:rPr>
        <w:t>بل يمكن ان يقال بانه بناء على كون الوضع امرا اعتباريا فمع ذلك حيث يكون الغرض منه هو تحقق القرن الأكيد فيلغو تقييد الوضع بحال اراد</w:t>
      </w:r>
      <w:r w:rsidR="00EC7EDF" w:rsidRPr="00FD211F">
        <w:rPr>
          <w:sz w:val="36"/>
          <w:szCs w:val="36"/>
          <w:rtl/>
        </w:rPr>
        <w:t xml:space="preserve">ة </w:t>
      </w:r>
      <w:r w:rsidRPr="00FD211F">
        <w:rPr>
          <w:sz w:val="36"/>
          <w:szCs w:val="36"/>
          <w:rtl/>
        </w:rPr>
        <w:t>تفهيم معنى</w:t>
      </w:r>
      <w:r w:rsidR="00603323" w:rsidRPr="00FD211F">
        <w:rPr>
          <w:sz w:val="36"/>
          <w:szCs w:val="36"/>
          <w:rtl/>
        </w:rPr>
        <w:t xml:space="preserve">، </w:t>
      </w:r>
      <w:r w:rsidRPr="00FD211F">
        <w:rPr>
          <w:sz w:val="36"/>
          <w:szCs w:val="36"/>
          <w:rtl/>
        </w:rPr>
        <w:t>بعد عدم امكان التحفظ على هذا القيد في مرحل</w:t>
      </w:r>
      <w:r w:rsidR="00EC7EDF" w:rsidRPr="00FD211F">
        <w:rPr>
          <w:sz w:val="36"/>
          <w:szCs w:val="36"/>
          <w:rtl/>
        </w:rPr>
        <w:t xml:space="preserve">ة </w:t>
      </w:r>
      <w:r w:rsidRPr="00FD211F">
        <w:rPr>
          <w:sz w:val="36"/>
          <w:szCs w:val="36"/>
          <w:rtl/>
        </w:rPr>
        <w:t>القرن الأكيد الذي هو نتيج</w:t>
      </w:r>
      <w:r w:rsidR="00EC7EDF" w:rsidRPr="00FD211F">
        <w:rPr>
          <w:sz w:val="36"/>
          <w:szCs w:val="36"/>
          <w:rtl/>
        </w:rPr>
        <w:t xml:space="preserve">ة </w:t>
      </w:r>
      <w:r w:rsidRPr="00FD211F">
        <w:rPr>
          <w:sz w:val="36"/>
          <w:szCs w:val="36"/>
          <w:rtl/>
        </w:rPr>
        <w:t>الوضع.</w:t>
      </w:r>
    </w:p>
    <w:p w14:paraId="1158EFA0" w14:textId="77777777" w:rsidR="000D11F4" w:rsidRPr="00FD211F" w:rsidRDefault="000D11F4" w:rsidP="00FC730E">
      <w:pPr>
        <w:ind w:left="0" w:firstLine="227"/>
        <w:jc w:val="both"/>
        <w:rPr>
          <w:sz w:val="36"/>
          <w:szCs w:val="36"/>
          <w:rtl/>
        </w:rPr>
      </w:pPr>
      <w:r w:rsidRPr="00FD211F">
        <w:rPr>
          <w:sz w:val="36"/>
          <w:szCs w:val="36"/>
          <w:rtl/>
        </w:rPr>
        <w:t>ثم إن غاي</w:t>
      </w:r>
      <w:r w:rsidR="00EC7EDF" w:rsidRPr="00FD211F">
        <w:rPr>
          <w:sz w:val="36"/>
          <w:szCs w:val="36"/>
          <w:rtl/>
        </w:rPr>
        <w:t xml:space="preserve">ة </w:t>
      </w:r>
      <w:r w:rsidRPr="00FD211F">
        <w:rPr>
          <w:sz w:val="36"/>
          <w:szCs w:val="36"/>
          <w:rtl/>
        </w:rPr>
        <w:t>ما يقتضيه هذا الدليل الذي استدل به السيد الخوئي</w:t>
      </w:r>
      <w:r w:rsidR="00A61BAE" w:rsidRPr="00FD211F">
        <w:rPr>
          <w:sz w:val="36"/>
          <w:szCs w:val="36"/>
          <w:rtl/>
        </w:rPr>
        <w:t xml:space="preserve"> </w:t>
      </w:r>
      <w:r w:rsidR="00FC730E" w:rsidRPr="00FD211F">
        <w:rPr>
          <w:sz w:val="36"/>
          <w:szCs w:val="36"/>
          <w:rtl/>
        </w:rPr>
        <w:t>"</w:t>
      </w:r>
      <w:r w:rsidR="005D03BA" w:rsidRPr="00FD211F">
        <w:rPr>
          <w:sz w:val="36"/>
          <w:szCs w:val="36"/>
          <w:rtl/>
        </w:rPr>
        <w:t>قده</w:t>
      </w:r>
      <w:r w:rsidR="00FC730E" w:rsidRPr="00FD211F">
        <w:rPr>
          <w:sz w:val="36"/>
          <w:szCs w:val="36"/>
          <w:rtl/>
        </w:rPr>
        <w:t>"</w:t>
      </w:r>
      <w:r w:rsidR="00A61BAE" w:rsidRPr="00FD211F">
        <w:rPr>
          <w:sz w:val="36"/>
          <w:szCs w:val="36"/>
          <w:rtl/>
        </w:rPr>
        <w:t xml:space="preserve"> </w:t>
      </w:r>
      <w:r w:rsidRPr="00FD211F">
        <w:rPr>
          <w:sz w:val="36"/>
          <w:szCs w:val="36"/>
          <w:rtl/>
        </w:rPr>
        <w:t>هو تبعي</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للالتفات والاختيار</w:t>
      </w:r>
      <w:r w:rsidR="00603323" w:rsidRPr="00FD211F">
        <w:rPr>
          <w:sz w:val="36"/>
          <w:szCs w:val="36"/>
          <w:rtl/>
        </w:rPr>
        <w:t xml:space="preserve">، </w:t>
      </w:r>
      <w:r w:rsidRPr="00FD211F">
        <w:rPr>
          <w:sz w:val="36"/>
          <w:szCs w:val="36"/>
          <w:rtl/>
        </w:rPr>
        <w:t>بمعنى ان الواضع قد تعهد بان لايتلفظ بلفظ معين مع الالتفات والاختيار الا عند إراد</w:t>
      </w:r>
      <w:r w:rsidR="00EC7EDF" w:rsidRPr="00FD211F">
        <w:rPr>
          <w:sz w:val="36"/>
          <w:szCs w:val="36"/>
          <w:rtl/>
        </w:rPr>
        <w:t xml:space="preserve">ة </w:t>
      </w:r>
      <w:r w:rsidRPr="00FD211F">
        <w:rPr>
          <w:sz w:val="36"/>
          <w:szCs w:val="36"/>
          <w:rtl/>
        </w:rPr>
        <w:t>تفهيم معناه</w:t>
      </w:r>
      <w:r w:rsidR="00603323" w:rsidRPr="00FD211F">
        <w:rPr>
          <w:sz w:val="36"/>
          <w:szCs w:val="36"/>
          <w:rtl/>
        </w:rPr>
        <w:t xml:space="preserve">، </w:t>
      </w:r>
      <w:r w:rsidRPr="00FD211F">
        <w:rPr>
          <w:sz w:val="36"/>
          <w:szCs w:val="36"/>
          <w:rtl/>
        </w:rPr>
        <w:t>ولايقتضي تبعي</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لإراد</w:t>
      </w:r>
      <w:r w:rsidR="00EC7EDF" w:rsidRPr="00FD211F">
        <w:rPr>
          <w:sz w:val="36"/>
          <w:szCs w:val="36"/>
          <w:rtl/>
        </w:rPr>
        <w:t xml:space="preserve">ة </w:t>
      </w:r>
      <w:r w:rsidRPr="00FD211F">
        <w:rPr>
          <w:sz w:val="36"/>
          <w:szCs w:val="36"/>
          <w:rtl/>
        </w:rPr>
        <w:t>تفهيم المعنى</w:t>
      </w:r>
      <w:r w:rsidR="00603323" w:rsidRPr="00FD211F">
        <w:rPr>
          <w:sz w:val="36"/>
          <w:szCs w:val="36"/>
          <w:rtl/>
        </w:rPr>
        <w:t xml:space="preserve">، </w:t>
      </w:r>
      <w:r w:rsidRPr="00FD211F">
        <w:rPr>
          <w:sz w:val="36"/>
          <w:szCs w:val="36"/>
          <w:rtl/>
        </w:rPr>
        <w:t>حيث ان مقتضى اطلاق تعهده أنه لو صدر منه اللفظ في حال التفاته واختياره فيكون بصدد إراد</w:t>
      </w:r>
      <w:r w:rsidR="00EC7EDF" w:rsidRPr="00FD211F">
        <w:rPr>
          <w:sz w:val="36"/>
          <w:szCs w:val="36"/>
          <w:rtl/>
        </w:rPr>
        <w:t xml:space="preserve">ة </w:t>
      </w:r>
      <w:r w:rsidRPr="00FD211F">
        <w:rPr>
          <w:sz w:val="36"/>
          <w:szCs w:val="36"/>
          <w:rtl/>
        </w:rPr>
        <w:t>تفهيم المعنى</w:t>
      </w:r>
      <w:r w:rsidR="00603323" w:rsidRPr="00FD211F">
        <w:rPr>
          <w:sz w:val="36"/>
          <w:szCs w:val="36"/>
          <w:rtl/>
        </w:rPr>
        <w:t xml:space="preserve">، </w:t>
      </w:r>
      <w:r w:rsidRPr="00FD211F">
        <w:rPr>
          <w:sz w:val="36"/>
          <w:szCs w:val="36"/>
          <w:rtl/>
        </w:rPr>
        <w:t>ولايكون على سبيل لقلق</w:t>
      </w:r>
      <w:r w:rsidR="00EC7EDF" w:rsidRPr="00FD211F">
        <w:rPr>
          <w:sz w:val="36"/>
          <w:szCs w:val="36"/>
          <w:rtl/>
        </w:rPr>
        <w:t xml:space="preserve">ة </w:t>
      </w:r>
      <w:r w:rsidRPr="00FD211F">
        <w:rPr>
          <w:sz w:val="36"/>
          <w:szCs w:val="36"/>
          <w:rtl/>
        </w:rPr>
        <w:t>لسان</w:t>
      </w:r>
      <w:r w:rsidR="00603323" w:rsidRPr="00FD211F">
        <w:rPr>
          <w:sz w:val="36"/>
          <w:szCs w:val="36"/>
          <w:rtl/>
        </w:rPr>
        <w:t xml:space="preserve">، </w:t>
      </w:r>
      <w:r w:rsidRPr="00FD211F">
        <w:rPr>
          <w:sz w:val="36"/>
          <w:szCs w:val="36"/>
          <w:rtl/>
        </w:rPr>
        <w:t>فانه لايترتب على شمول التعهد له أيّ محذور بعد كونه فعلا اختياريا له</w:t>
      </w:r>
      <w:r w:rsidR="00603323" w:rsidRPr="00FD211F">
        <w:rPr>
          <w:sz w:val="36"/>
          <w:szCs w:val="36"/>
          <w:rtl/>
        </w:rPr>
        <w:t xml:space="preserve">، </w:t>
      </w:r>
      <w:r w:rsidRPr="00FD211F">
        <w:rPr>
          <w:sz w:val="36"/>
          <w:szCs w:val="36"/>
          <w:rtl/>
        </w:rPr>
        <w:t>فلاتكون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حينئذ تابع</w:t>
      </w:r>
      <w:r w:rsidR="00EC7EDF" w:rsidRPr="00FD211F">
        <w:rPr>
          <w:sz w:val="36"/>
          <w:szCs w:val="36"/>
          <w:rtl/>
        </w:rPr>
        <w:t xml:space="preserve">ة </w:t>
      </w:r>
      <w:r w:rsidRPr="00FD211F">
        <w:rPr>
          <w:sz w:val="36"/>
          <w:szCs w:val="36"/>
          <w:rtl/>
        </w:rPr>
        <w:t>لإراد</w:t>
      </w:r>
      <w:r w:rsidR="00EC7EDF" w:rsidRPr="00FD211F">
        <w:rPr>
          <w:sz w:val="36"/>
          <w:szCs w:val="36"/>
          <w:rtl/>
        </w:rPr>
        <w:t xml:space="preserve">ة </w:t>
      </w:r>
      <w:r w:rsidRPr="00FD211F">
        <w:rPr>
          <w:sz w:val="36"/>
          <w:szCs w:val="36"/>
          <w:rtl/>
        </w:rPr>
        <w:t>تفهيم المعنى وانما تكون تابع</w:t>
      </w:r>
      <w:r w:rsidR="00EC7EDF" w:rsidRPr="00FD211F">
        <w:rPr>
          <w:sz w:val="36"/>
          <w:szCs w:val="36"/>
          <w:rtl/>
        </w:rPr>
        <w:t xml:space="preserve">ة </w:t>
      </w:r>
      <w:r w:rsidRPr="00FD211F">
        <w:rPr>
          <w:sz w:val="36"/>
          <w:szCs w:val="36"/>
          <w:rtl/>
        </w:rPr>
        <w:t>للالتفات والاختيار؛ نعم يصح ان يقال عندئذ بكون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تصديقي</w:t>
      </w:r>
      <w:r w:rsidR="00EC7EDF" w:rsidRPr="00FD211F">
        <w:rPr>
          <w:sz w:val="36"/>
          <w:szCs w:val="36"/>
          <w:rtl/>
        </w:rPr>
        <w:t>ة</w:t>
      </w:r>
      <w:r w:rsidR="00603323" w:rsidRPr="00FD211F">
        <w:rPr>
          <w:sz w:val="36"/>
          <w:szCs w:val="36"/>
          <w:rtl/>
        </w:rPr>
        <w:t xml:space="preserve">، </w:t>
      </w:r>
      <w:r w:rsidRPr="00FD211F">
        <w:rPr>
          <w:sz w:val="36"/>
          <w:szCs w:val="36"/>
          <w:rtl/>
        </w:rPr>
        <w:t>حيث أن صدور اللفظ في حال الالتفات والاختيار يكشف عن وجود إراد</w:t>
      </w:r>
      <w:r w:rsidR="00EC7EDF" w:rsidRPr="00FD211F">
        <w:rPr>
          <w:sz w:val="36"/>
          <w:szCs w:val="36"/>
          <w:rtl/>
        </w:rPr>
        <w:t xml:space="preserve">ة </w:t>
      </w:r>
      <w:r w:rsidRPr="00FD211F">
        <w:rPr>
          <w:sz w:val="36"/>
          <w:szCs w:val="36"/>
          <w:rtl/>
        </w:rPr>
        <w:t>تفهيم المعنى المعين كما سيأتي توضيحه.</w:t>
      </w:r>
    </w:p>
    <w:p w14:paraId="1BED8A32" w14:textId="77777777" w:rsidR="000C5BBA" w:rsidRPr="00FD211F" w:rsidRDefault="008D1C15" w:rsidP="00FC730E">
      <w:pPr>
        <w:ind w:left="0" w:firstLine="227"/>
        <w:jc w:val="both"/>
        <w:rPr>
          <w:sz w:val="36"/>
          <w:szCs w:val="36"/>
          <w:rtl/>
        </w:rPr>
      </w:pPr>
      <w:bookmarkStart w:id="286" w:name="درس022"/>
      <w:bookmarkEnd w:id="286"/>
      <w:r w:rsidRPr="00FD211F">
        <w:rPr>
          <w:sz w:val="36"/>
          <w:szCs w:val="36"/>
          <w:rtl/>
        </w:rPr>
        <w:t>هذا ومن جه</w:t>
      </w:r>
      <w:r w:rsidR="00EC7EDF" w:rsidRPr="00FD211F">
        <w:rPr>
          <w:sz w:val="36"/>
          <w:szCs w:val="36"/>
          <w:rtl/>
        </w:rPr>
        <w:t xml:space="preserve">ة </w:t>
      </w:r>
      <w:r w:rsidRPr="00FD211F">
        <w:rPr>
          <w:sz w:val="36"/>
          <w:szCs w:val="36"/>
          <w:rtl/>
        </w:rPr>
        <w:t xml:space="preserve">أخرى ان ما نقل عنه </w:t>
      </w:r>
      <w:r w:rsidR="000D11F4" w:rsidRPr="00FD211F">
        <w:rPr>
          <w:sz w:val="36"/>
          <w:szCs w:val="36"/>
          <w:rtl/>
        </w:rPr>
        <w:t>من كون تعهد الواضع مشروطا بما اذا كان قاصدا لتفهيم المعنى</w:t>
      </w:r>
      <w:r w:rsidR="009C58C8" w:rsidRPr="00FD211F">
        <w:rPr>
          <w:rStyle w:val="a6"/>
          <w:sz w:val="36"/>
          <w:szCs w:val="36"/>
          <w:rtl/>
        </w:rPr>
        <w:t>(</w:t>
      </w:r>
      <w:r w:rsidR="009C58C8" w:rsidRPr="00FD211F">
        <w:rPr>
          <w:rStyle w:val="a6"/>
          <w:sz w:val="36"/>
          <w:szCs w:val="36"/>
          <w:rtl/>
        </w:rPr>
        <w:footnoteReference w:id="276"/>
      </w:r>
      <w:r w:rsidR="009C58C8" w:rsidRPr="00FD211F">
        <w:rPr>
          <w:rStyle w:val="a6"/>
          <w:sz w:val="36"/>
          <w:szCs w:val="36"/>
          <w:rtl/>
        </w:rPr>
        <w:t>)</w:t>
      </w:r>
      <w:r w:rsidR="000D11F4" w:rsidRPr="00FD211F">
        <w:rPr>
          <w:sz w:val="36"/>
          <w:szCs w:val="36"/>
          <w:rtl/>
        </w:rPr>
        <w:t xml:space="preserve"> لابد ان يحمل على </w:t>
      </w:r>
      <w:r w:rsidRPr="00FD211F">
        <w:rPr>
          <w:sz w:val="36"/>
          <w:szCs w:val="36"/>
          <w:rtl/>
        </w:rPr>
        <w:t xml:space="preserve">دعوى </w:t>
      </w:r>
      <w:r w:rsidR="000D11F4" w:rsidRPr="00FD211F">
        <w:rPr>
          <w:sz w:val="36"/>
          <w:szCs w:val="36"/>
          <w:rtl/>
        </w:rPr>
        <w:t>كون التعهد مشروطا بما لو قصد تفهيم معنى</w:t>
      </w:r>
      <w:r w:rsidR="000D11F4" w:rsidRPr="00FD211F">
        <w:rPr>
          <w:sz w:val="36"/>
          <w:szCs w:val="36"/>
          <w:rtl/>
        </w:rPr>
        <w:softHyphen/>
        <w:t>مّا</w:t>
      </w:r>
      <w:r w:rsidR="00603323" w:rsidRPr="00FD211F">
        <w:rPr>
          <w:sz w:val="36"/>
          <w:szCs w:val="36"/>
          <w:rtl/>
        </w:rPr>
        <w:t xml:space="preserve">، </w:t>
      </w:r>
      <w:r w:rsidR="000D11F4" w:rsidRPr="00FD211F">
        <w:rPr>
          <w:sz w:val="36"/>
          <w:szCs w:val="36"/>
          <w:rtl/>
        </w:rPr>
        <w:t>لاخصوص قصد تفهيم هذا المعنى الموضوع له</w:t>
      </w:r>
      <w:r w:rsidR="00603323" w:rsidRPr="00FD211F">
        <w:rPr>
          <w:sz w:val="36"/>
          <w:szCs w:val="36"/>
          <w:rtl/>
        </w:rPr>
        <w:t xml:space="preserve">، </w:t>
      </w:r>
      <w:r w:rsidR="000D11F4" w:rsidRPr="00FD211F">
        <w:rPr>
          <w:sz w:val="36"/>
          <w:szCs w:val="36"/>
          <w:rtl/>
        </w:rPr>
        <w:t xml:space="preserve">حيث انه غير معقول فان </w:t>
      </w:r>
      <w:r w:rsidR="00445431" w:rsidRPr="00FD211F">
        <w:rPr>
          <w:sz w:val="36"/>
          <w:szCs w:val="36"/>
          <w:rtl/>
        </w:rPr>
        <w:t xml:space="preserve">مرجعه الى ان يكون تعهد الواضع بعدم </w:t>
      </w:r>
      <w:r w:rsidR="000D11F4" w:rsidRPr="00FD211F">
        <w:rPr>
          <w:sz w:val="36"/>
          <w:szCs w:val="36"/>
          <w:rtl/>
        </w:rPr>
        <w:t>تلفظ</w:t>
      </w:r>
      <w:r w:rsidR="00445431" w:rsidRPr="00FD211F">
        <w:rPr>
          <w:sz w:val="36"/>
          <w:szCs w:val="36"/>
          <w:rtl/>
        </w:rPr>
        <w:t>ه</w:t>
      </w:r>
      <w:r w:rsidR="000D11F4" w:rsidRPr="00FD211F">
        <w:rPr>
          <w:sz w:val="36"/>
          <w:szCs w:val="36"/>
          <w:rtl/>
        </w:rPr>
        <w:t xml:space="preserve"> بلفظ الماء مثلا ا</w:t>
      </w:r>
      <w:r w:rsidR="00445431" w:rsidRPr="00FD211F">
        <w:rPr>
          <w:sz w:val="36"/>
          <w:szCs w:val="36"/>
          <w:rtl/>
        </w:rPr>
        <w:t>لا عند قصد تفهيم معنى الماء</w:t>
      </w:r>
      <w:r w:rsidR="00603323" w:rsidRPr="00FD211F">
        <w:rPr>
          <w:sz w:val="36"/>
          <w:szCs w:val="36"/>
          <w:rtl/>
        </w:rPr>
        <w:t xml:space="preserve">، </w:t>
      </w:r>
      <w:r w:rsidR="000D11F4" w:rsidRPr="00FD211F">
        <w:rPr>
          <w:sz w:val="36"/>
          <w:szCs w:val="36"/>
          <w:rtl/>
        </w:rPr>
        <w:t>معلقا على ما اذا كان قاصدا تفهيم معنى الماء</w:t>
      </w:r>
      <w:r w:rsidR="00603323" w:rsidRPr="00FD211F">
        <w:rPr>
          <w:sz w:val="36"/>
          <w:szCs w:val="36"/>
          <w:rtl/>
        </w:rPr>
        <w:t xml:space="preserve">، </w:t>
      </w:r>
      <w:r w:rsidR="000D11F4" w:rsidRPr="00FD211F">
        <w:rPr>
          <w:sz w:val="36"/>
          <w:szCs w:val="36"/>
          <w:rtl/>
        </w:rPr>
        <w:t>وهذا من تعليق ال</w:t>
      </w:r>
      <w:r w:rsidR="008D7B3D" w:rsidRPr="00FD211F">
        <w:rPr>
          <w:sz w:val="36"/>
          <w:szCs w:val="36"/>
          <w:rtl/>
        </w:rPr>
        <w:t xml:space="preserve">شيء </w:t>
      </w:r>
      <w:r w:rsidR="000D11F4" w:rsidRPr="00FD211F">
        <w:rPr>
          <w:sz w:val="36"/>
          <w:szCs w:val="36"/>
          <w:rtl/>
        </w:rPr>
        <w:t>على نفسه</w:t>
      </w:r>
      <w:r w:rsidR="00603323" w:rsidRPr="00FD211F">
        <w:rPr>
          <w:sz w:val="36"/>
          <w:szCs w:val="36"/>
          <w:rtl/>
        </w:rPr>
        <w:t xml:space="preserve">، </w:t>
      </w:r>
      <w:r w:rsidR="000D11F4" w:rsidRPr="00FD211F">
        <w:rPr>
          <w:sz w:val="36"/>
          <w:szCs w:val="36"/>
          <w:rtl/>
        </w:rPr>
        <w:t>فلابد ان يراد منه تعليق هذا التعهد على ما لو كان قاصدا تفهيم معنى</w:t>
      </w:r>
      <w:r w:rsidR="000D11F4" w:rsidRPr="00FD211F">
        <w:rPr>
          <w:sz w:val="36"/>
          <w:szCs w:val="36"/>
          <w:rtl/>
        </w:rPr>
        <w:softHyphen/>
        <w:t>مّا بان لايكون صدوره منه على سبيل لقلق</w:t>
      </w:r>
      <w:r w:rsidR="00EC7EDF" w:rsidRPr="00FD211F">
        <w:rPr>
          <w:sz w:val="36"/>
          <w:szCs w:val="36"/>
          <w:rtl/>
        </w:rPr>
        <w:t xml:space="preserve">ة </w:t>
      </w:r>
      <w:r w:rsidR="00415AC7" w:rsidRPr="00FD211F">
        <w:rPr>
          <w:sz w:val="36"/>
          <w:szCs w:val="36"/>
          <w:rtl/>
        </w:rPr>
        <w:t>لسان.</w:t>
      </w:r>
    </w:p>
    <w:p w14:paraId="02DB5511" w14:textId="77777777" w:rsidR="000D11F4" w:rsidRPr="00FD211F" w:rsidRDefault="000D11F4" w:rsidP="009C58C8">
      <w:pPr>
        <w:ind w:left="0" w:firstLine="227"/>
        <w:jc w:val="both"/>
        <w:rPr>
          <w:sz w:val="36"/>
          <w:szCs w:val="36"/>
          <w:rtl/>
        </w:rPr>
      </w:pPr>
      <w:r w:rsidRPr="00FD211F">
        <w:rPr>
          <w:sz w:val="36"/>
          <w:szCs w:val="36"/>
          <w:rtl/>
        </w:rPr>
        <w:t>و مقتضى ذلك هو أنه من خلال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الناشئ</w:t>
      </w:r>
      <w:r w:rsidR="00EC7EDF" w:rsidRPr="00FD211F">
        <w:rPr>
          <w:sz w:val="36"/>
          <w:szCs w:val="36"/>
          <w:rtl/>
        </w:rPr>
        <w:t xml:space="preserve">ة </w:t>
      </w:r>
      <w:r w:rsidRPr="00FD211F">
        <w:rPr>
          <w:sz w:val="36"/>
          <w:szCs w:val="36"/>
          <w:rtl/>
        </w:rPr>
        <w:t>عن تعهد المتكلم لايمكن احراز كونه قاصدا لتفهيم معنى</w:t>
      </w:r>
      <w:r w:rsidRPr="00FD211F">
        <w:rPr>
          <w:sz w:val="36"/>
          <w:szCs w:val="36"/>
          <w:rtl/>
        </w:rPr>
        <w:softHyphen/>
        <w:t>مّا وانه</w:t>
      </w:r>
      <w:r w:rsidR="008D7B3D" w:rsidRPr="00FD211F">
        <w:rPr>
          <w:sz w:val="36"/>
          <w:szCs w:val="36"/>
          <w:rtl/>
        </w:rPr>
        <w:t xml:space="preserve"> لم‌</w:t>
      </w:r>
      <w:r w:rsidRPr="00FD211F">
        <w:rPr>
          <w:sz w:val="36"/>
          <w:szCs w:val="36"/>
          <w:rtl/>
        </w:rPr>
        <w:t>يصدر منه الكلام على سبيل لقلق</w:t>
      </w:r>
      <w:r w:rsidR="00EC7EDF" w:rsidRPr="00FD211F">
        <w:rPr>
          <w:sz w:val="36"/>
          <w:szCs w:val="36"/>
          <w:rtl/>
        </w:rPr>
        <w:t xml:space="preserve">ة </w:t>
      </w:r>
      <w:r w:rsidRPr="00FD211F">
        <w:rPr>
          <w:sz w:val="36"/>
          <w:szCs w:val="36"/>
          <w:rtl/>
        </w:rPr>
        <w:t>لسان</w:t>
      </w:r>
      <w:r w:rsidR="00603323" w:rsidRPr="00FD211F">
        <w:rPr>
          <w:sz w:val="36"/>
          <w:szCs w:val="36"/>
          <w:rtl/>
        </w:rPr>
        <w:t xml:space="preserve">، </w:t>
      </w:r>
      <w:r w:rsidRPr="00FD211F">
        <w:rPr>
          <w:sz w:val="36"/>
          <w:szCs w:val="36"/>
          <w:rtl/>
        </w:rPr>
        <w:t>حيث أن تعهده كان مشروطا بفرض كونه قاصدا لتفهيم معنى</w:t>
      </w:r>
      <w:r w:rsidRPr="00FD211F">
        <w:rPr>
          <w:sz w:val="36"/>
          <w:szCs w:val="36"/>
          <w:rtl/>
        </w:rPr>
        <w:softHyphen/>
        <w:t>مّا</w:t>
      </w:r>
      <w:r w:rsidR="00603323" w:rsidRPr="00FD211F">
        <w:rPr>
          <w:sz w:val="36"/>
          <w:szCs w:val="36"/>
          <w:rtl/>
        </w:rPr>
        <w:t xml:space="preserve">، </w:t>
      </w:r>
      <w:r w:rsidRPr="00FD211F">
        <w:rPr>
          <w:sz w:val="36"/>
          <w:szCs w:val="36"/>
          <w:rtl/>
        </w:rPr>
        <w:t>ومن الواضح ان القضي</w:t>
      </w:r>
      <w:r w:rsidR="00EC7EDF" w:rsidRPr="00FD211F">
        <w:rPr>
          <w:sz w:val="36"/>
          <w:szCs w:val="36"/>
          <w:rtl/>
        </w:rPr>
        <w:t xml:space="preserve">ة </w:t>
      </w:r>
      <w:r w:rsidRPr="00FD211F">
        <w:rPr>
          <w:sz w:val="36"/>
          <w:szCs w:val="36"/>
          <w:rtl/>
        </w:rPr>
        <w:t>الشرطي</w:t>
      </w:r>
      <w:r w:rsidR="00EC7EDF" w:rsidRPr="00FD211F">
        <w:rPr>
          <w:sz w:val="36"/>
          <w:szCs w:val="36"/>
          <w:rtl/>
        </w:rPr>
        <w:t xml:space="preserve">ة </w:t>
      </w:r>
      <w:r w:rsidRPr="00FD211F">
        <w:rPr>
          <w:sz w:val="36"/>
          <w:szCs w:val="36"/>
          <w:rtl/>
        </w:rPr>
        <w:t>لاتتكفل لبيان وجود شرطها</w:t>
      </w:r>
      <w:r w:rsidR="00603323" w:rsidRPr="00FD211F">
        <w:rPr>
          <w:sz w:val="36"/>
          <w:szCs w:val="36"/>
          <w:rtl/>
        </w:rPr>
        <w:t xml:space="preserve">، </w:t>
      </w:r>
      <w:r w:rsidRPr="00FD211F">
        <w:rPr>
          <w:sz w:val="36"/>
          <w:szCs w:val="36"/>
          <w:rtl/>
        </w:rPr>
        <w:t>فيلزم احراز كون المتكلم قاصدا لتفهيم معنى</w:t>
      </w:r>
      <w:r w:rsidRPr="00FD211F">
        <w:rPr>
          <w:sz w:val="36"/>
          <w:szCs w:val="36"/>
          <w:rtl/>
        </w:rPr>
        <w:softHyphen/>
        <w:t>مّا من طريق آخر وهو الظهور الحالي النوعي له بلحاظ ان الغالب في حال العاقل الملتفت عدم صدور لفظ منه على سبيل لقلق</w:t>
      </w:r>
      <w:r w:rsidR="00EC7EDF" w:rsidRPr="00FD211F">
        <w:rPr>
          <w:sz w:val="36"/>
          <w:szCs w:val="36"/>
          <w:rtl/>
        </w:rPr>
        <w:t xml:space="preserve">ة </w:t>
      </w:r>
      <w:r w:rsidRPr="00FD211F">
        <w:rPr>
          <w:sz w:val="36"/>
          <w:szCs w:val="36"/>
          <w:rtl/>
        </w:rPr>
        <w:t>لسان بل عند إراد</w:t>
      </w:r>
      <w:r w:rsidR="00EC7EDF" w:rsidRPr="00FD211F">
        <w:rPr>
          <w:sz w:val="36"/>
          <w:szCs w:val="36"/>
          <w:rtl/>
        </w:rPr>
        <w:t xml:space="preserve">ة </w:t>
      </w:r>
      <w:r w:rsidRPr="00FD211F">
        <w:rPr>
          <w:sz w:val="36"/>
          <w:szCs w:val="36"/>
          <w:rtl/>
        </w:rPr>
        <w:t>تفهيم معنى</w:t>
      </w:r>
      <w:r w:rsidR="00603323" w:rsidRPr="00FD211F">
        <w:rPr>
          <w:sz w:val="36"/>
          <w:szCs w:val="36"/>
          <w:rtl/>
        </w:rPr>
        <w:t xml:space="preserve">، </w:t>
      </w:r>
      <w:r w:rsidRPr="00FD211F">
        <w:rPr>
          <w:sz w:val="36"/>
          <w:szCs w:val="36"/>
          <w:rtl/>
        </w:rPr>
        <w:t>وهذا يعني عدم الحاج</w:t>
      </w:r>
      <w:r w:rsidR="00EC7EDF" w:rsidRPr="00FD211F">
        <w:rPr>
          <w:sz w:val="36"/>
          <w:szCs w:val="36"/>
          <w:rtl/>
        </w:rPr>
        <w:t xml:space="preserve">ة </w:t>
      </w:r>
      <w:r w:rsidRPr="00FD211F">
        <w:rPr>
          <w:sz w:val="36"/>
          <w:szCs w:val="36"/>
          <w:rtl/>
        </w:rPr>
        <w:t>في تحقق الظهور الاستعمالي ولو في الجمل</w:t>
      </w:r>
      <w:r w:rsidR="00EC7EDF" w:rsidRPr="00FD211F">
        <w:rPr>
          <w:sz w:val="36"/>
          <w:szCs w:val="36"/>
          <w:rtl/>
        </w:rPr>
        <w:t xml:space="preserve">ة </w:t>
      </w:r>
      <w:r w:rsidRPr="00FD211F">
        <w:rPr>
          <w:sz w:val="36"/>
          <w:szCs w:val="36"/>
          <w:rtl/>
        </w:rPr>
        <w:t>الى مسلك التعهد</w:t>
      </w:r>
      <w:r w:rsidR="00603323" w:rsidRPr="00FD211F">
        <w:rPr>
          <w:sz w:val="36"/>
          <w:szCs w:val="36"/>
          <w:rtl/>
        </w:rPr>
        <w:t xml:space="preserve">، </w:t>
      </w:r>
      <w:r w:rsidRPr="00FD211F">
        <w:rPr>
          <w:sz w:val="36"/>
          <w:szCs w:val="36"/>
          <w:rtl/>
        </w:rPr>
        <w:t>ولعل هذا خلاف النكت</w:t>
      </w:r>
      <w:r w:rsidR="00EC7EDF" w:rsidRPr="00FD211F">
        <w:rPr>
          <w:sz w:val="36"/>
          <w:szCs w:val="36"/>
          <w:rtl/>
        </w:rPr>
        <w:t xml:space="preserve">ة </w:t>
      </w:r>
      <w:r w:rsidRPr="00FD211F">
        <w:rPr>
          <w:sz w:val="36"/>
          <w:szCs w:val="36"/>
          <w:rtl/>
        </w:rPr>
        <w:t>التي دعت اصحاب مسلك التعهد الى اختيارهم لهذا المسلك</w:t>
      </w:r>
      <w:r w:rsidR="00603323" w:rsidRPr="00FD211F">
        <w:rPr>
          <w:sz w:val="36"/>
          <w:szCs w:val="36"/>
          <w:rtl/>
        </w:rPr>
        <w:t xml:space="preserve">، </w:t>
      </w:r>
      <w:r w:rsidRPr="00FD211F">
        <w:rPr>
          <w:sz w:val="36"/>
          <w:szCs w:val="36"/>
          <w:rtl/>
        </w:rPr>
        <w:t>حيث ان الظاهر انهم يرون أن الظهور الاستعمالي لكلام المتكلم يكون ناشئا من تعهده.</w:t>
      </w:r>
    </w:p>
    <w:p w14:paraId="335B29CB" w14:textId="77777777" w:rsidR="000D11F4" w:rsidRPr="00FD211F" w:rsidRDefault="000D11F4" w:rsidP="009C58C8">
      <w:pPr>
        <w:ind w:left="0" w:firstLine="227"/>
        <w:jc w:val="both"/>
        <w:rPr>
          <w:sz w:val="36"/>
          <w:szCs w:val="36"/>
          <w:rtl/>
        </w:rPr>
      </w:pPr>
      <w:r w:rsidRPr="00FD211F">
        <w:rPr>
          <w:sz w:val="36"/>
          <w:szCs w:val="36"/>
          <w:rtl/>
        </w:rPr>
        <w:t>وكيف كان فالصحيح هو المسلك المشهور من عدم تبعي</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للإراد</w:t>
      </w:r>
      <w:r w:rsidR="00EC7EDF" w:rsidRPr="00FD211F">
        <w:rPr>
          <w:sz w:val="36"/>
          <w:szCs w:val="36"/>
          <w:rtl/>
        </w:rPr>
        <w:t xml:space="preserve">ة </w:t>
      </w:r>
      <w:r w:rsidRPr="00FD211F">
        <w:rPr>
          <w:sz w:val="36"/>
          <w:szCs w:val="36"/>
          <w:rtl/>
        </w:rPr>
        <w:t>وكون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هي الدلال</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بين اللفظ والمعنى ولو صدر هذا اللفظ من لافظ بلاشعور او من تموّج الهواء.</w:t>
      </w:r>
    </w:p>
    <w:p w14:paraId="4B5F2890" w14:textId="77777777" w:rsidR="000D11F4" w:rsidRPr="00FD211F" w:rsidRDefault="000D11F4" w:rsidP="009C58C8">
      <w:pPr>
        <w:ind w:left="0" w:firstLine="227"/>
        <w:jc w:val="both"/>
        <w:rPr>
          <w:sz w:val="36"/>
          <w:szCs w:val="36"/>
          <w:rtl/>
        </w:rPr>
      </w:pPr>
      <w:r w:rsidRPr="00FD211F">
        <w:rPr>
          <w:sz w:val="36"/>
          <w:szCs w:val="36"/>
          <w:rtl/>
        </w:rPr>
        <w:t>وهذا بناء على كون الوضع هو الاقتران الأكيد بين اللفظ والمعنى واضح جدّا</w:t>
      </w:r>
      <w:r w:rsidR="00603323" w:rsidRPr="00FD211F">
        <w:rPr>
          <w:sz w:val="36"/>
          <w:szCs w:val="36"/>
          <w:rtl/>
        </w:rPr>
        <w:t xml:space="preserve">، </w:t>
      </w:r>
      <w:r w:rsidRPr="00FD211F">
        <w:rPr>
          <w:sz w:val="36"/>
          <w:szCs w:val="36"/>
          <w:rtl/>
        </w:rPr>
        <w:t>حيث أنه لايعقل ان تكون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بين لفظ ومعنى تابع</w:t>
      </w:r>
      <w:r w:rsidR="00EC7EDF" w:rsidRPr="00FD211F">
        <w:rPr>
          <w:sz w:val="36"/>
          <w:szCs w:val="36"/>
          <w:rtl/>
        </w:rPr>
        <w:t xml:space="preserve">ة </w:t>
      </w:r>
      <w:r w:rsidRPr="00FD211F">
        <w:rPr>
          <w:sz w:val="36"/>
          <w:szCs w:val="36"/>
          <w:rtl/>
        </w:rPr>
        <w:t>لإراد</w:t>
      </w:r>
      <w:r w:rsidR="00EC7EDF" w:rsidRPr="00FD211F">
        <w:rPr>
          <w:sz w:val="36"/>
          <w:szCs w:val="36"/>
          <w:rtl/>
        </w:rPr>
        <w:t xml:space="preserve">ة </w:t>
      </w:r>
      <w:r w:rsidRPr="00FD211F">
        <w:rPr>
          <w:sz w:val="36"/>
          <w:szCs w:val="36"/>
          <w:rtl/>
        </w:rPr>
        <w:t>تفهيم المعنى بل لايعقل ان تكون تابع</w:t>
      </w:r>
      <w:r w:rsidR="00EC7EDF" w:rsidRPr="00FD211F">
        <w:rPr>
          <w:sz w:val="36"/>
          <w:szCs w:val="36"/>
          <w:rtl/>
        </w:rPr>
        <w:t xml:space="preserve">ة </w:t>
      </w:r>
      <w:r w:rsidRPr="00FD211F">
        <w:rPr>
          <w:sz w:val="36"/>
          <w:szCs w:val="36"/>
          <w:rtl/>
        </w:rPr>
        <w:t>لصدور اللفظ عن التفات واختيار</w:t>
      </w:r>
      <w:r w:rsidR="00603323" w:rsidRPr="00FD211F">
        <w:rPr>
          <w:sz w:val="36"/>
          <w:szCs w:val="36"/>
          <w:rtl/>
        </w:rPr>
        <w:t xml:space="preserve">، </w:t>
      </w:r>
      <w:r w:rsidRPr="00FD211F">
        <w:rPr>
          <w:sz w:val="36"/>
          <w:szCs w:val="36"/>
          <w:rtl/>
        </w:rPr>
        <w:t>كما لايعقل ان تكون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دلال</w:t>
      </w:r>
      <w:r w:rsidR="00EC7EDF" w:rsidRPr="00FD211F">
        <w:rPr>
          <w:sz w:val="36"/>
          <w:szCs w:val="36"/>
          <w:rtl/>
        </w:rPr>
        <w:t xml:space="preserve">ة </w:t>
      </w:r>
      <w:r w:rsidRPr="00FD211F">
        <w:rPr>
          <w:sz w:val="36"/>
          <w:szCs w:val="36"/>
          <w:rtl/>
        </w:rPr>
        <w:t>تصديقي</w:t>
      </w:r>
      <w:r w:rsidR="00EC7EDF" w:rsidRPr="00FD211F">
        <w:rPr>
          <w:sz w:val="36"/>
          <w:szCs w:val="36"/>
          <w:rtl/>
        </w:rPr>
        <w:t xml:space="preserve">ة </w:t>
      </w:r>
      <w:r w:rsidRPr="00FD211F">
        <w:rPr>
          <w:sz w:val="36"/>
          <w:szCs w:val="36"/>
          <w:rtl/>
        </w:rPr>
        <w:t>بان يكون اللفظ بمقتضى علقته الوضعي</w:t>
      </w:r>
      <w:r w:rsidR="00EC7EDF" w:rsidRPr="00FD211F">
        <w:rPr>
          <w:sz w:val="36"/>
          <w:szCs w:val="36"/>
          <w:rtl/>
        </w:rPr>
        <w:t xml:space="preserve">ة </w:t>
      </w:r>
      <w:r w:rsidRPr="00FD211F">
        <w:rPr>
          <w:sz w:val="36"/>
          <w:szCs w:val="36"/>
          <w:rtl/>
        </w:rPr>
        <w:t>مع المعنى كاشفا عن وجود إراد</w:t>
      </w:r>
      <w:r w:rsidR="00EC7EDF" w:rsidRPr="00FD211F">
        <w:rPr>
          <w:sz w:val="36"/>
          <w:szCs w:val="36"/>
          <w:rtl/>
        </w:rPr>
        <w:t xml:space="preserve">ة </w:t>
      </w:r>
      <w:r w:rsidRPr="00FD211F">
        <w:rPr>
          <w:sz w:val="36"/>
          <w:szCs w:val="36"/>
          <w:rtl/>
        </w:rPr>
        <w:t>المتكلم لتفهيم المعنى</w:t>
      </w:r>
      <w:r w:rsidR="00603323" w:rsidRPr="00FD211F">
        <w:rPr>
          <w:sz w:val="36"/>
          <w:szCs w:val="36"/>
          <w:rtl/>
        </w:rPr>
        <w:t xml:space="preserve">، </w:t>
      </w:r>
      <w:r w:rsidRPr="00FD211F">
        <w:rPr>
          <w:sz w:val="36"/>
          <w:szCs w:val="36"/>
          <w:rtl/>
        </w:rPr>
        <w:t>وانما تكون الدلال</w:t>
      </w:r>
      <w:r w:rsidR="00EC7EDF" w:rsidRPr="00FD211F">
        <w:rPr>
          <w:sz w:val="36"/>
          <w:szCs w:val="36"/>
          <w:rtl/>
        </w:rPr>
        <w:t xml:space="preserve">ة </w:t>
      </w:r>
      <w:r w:rsidRPr="00FD211F">
        <w:rPr>
          <w:sz w:val="36"/>
          <w:szCs w:val="36"/>
          <w:rtl/>
        </w:rPr>
        <w:t>تصوري</w:t>
      </w:r>
      <w:r w:rsidR="00EC7EDF" w:rsidRPr="00FD211F">
        <w:rPr>
          <w:sz w:val="36"/>
          <w:szCs w:val="36"/>
          <w:rtl/>
        </w:rPr>
        <w:t xml:space="preserve">ة </w:t>
      </w:r>
      <w:r w:rsidRPr="00FD211F">
        <w:rPr>
          <w:sz w:val="36"/>
          <w:szCs w:val="36"/>
          <w:rtl/>
        </w:rPr>
        <w:t>لامحال</w:t>
      </w:r>
      <w:r w:rsidR="00EC7EDF" w:rsidRPr="00FD211F">
        <w:rPr>
          <w:sz w:val="36"/>
          <w:szCs w:val="36"/>
          <w:rtl/>
        </w:rPr>
        <w:t xml:space="preserve">ة </w:t>
      </w:r>
      <w:r w:rsidRPr="00FD211F">
        <w:rPr>
          <w:sz w:val="36"/>
          <w:szCs w:val="36"/>
          <w:rtl/>
        </w:rPr>
        <w:t>حيث ان تصور اللفظ يستلزم تصور المعنى بمقتضى الأنس الذهني الحاصل بينهما</w:t>
      </w:r>
      <w:r w:rsidR="00603323" w:rsidRPr="00FD211F">
        <w:rPr>
          <w:sz w:val="36"/>
          <w:szCs w:val="36"/>
          <w:rtl/>
        </w:rPr>
        <w:t xml:space="preserve">، </w:t>
      </w:r>
      <w:r w:rsidRPr="00FD211F">
        <w:rPr>
          <w:sz w:val="36"/>
          <w:szCs w:val="36"/>
          <w:rtl/>
        </w:rPr>
        <w:t>فان الدلال</w:t>
      </w:r>
      <w:r w:rsidR="00EC7EDF" w:rsidRPr="00FD211F">
        <w:rPr>
          <w:sz w:val="36"/>
          <w:szCs w:val="36"/>
          <w:rtl/>
        </w:rPr>
        <w:t xml:space="preserve">ة </w:t>
      </w:r>
      <w:r w:rsidRPr="00FD211F">
        <w:rPr>
          <w:sz w:val="36"/>
          <w:szCs w:val="36"/>
          <w:rtl/>
        </w:rPr>
        <w:t>عبار</w:t>
      </w:r>
      <w:r w:rsidR="00EC7EDF" w:rsidRPr="00FD211F">
        <w:rPr>
          <w:sz w:val="36"/>
          <w:szCs w:val="36"/>
          <w:rtl/>
        </w:rPr>
        <w:t xml:space="preserve">ة </w:t>
      </w:r>
      <w:r w:rsidRPr="00FD211F">
        <w:rPr>
          <w:sz w:val="36"/>
          <w:szCs w:val="36"/>
          <w:rtl/>
        </w:rPr>
        <w:t xml:space="preserve">عن الانتقال من </w:t>
      </w:r>
      <w:r w:rsidR="008D7B3D" w:rsidRPr="00FD211F">
        <w:rPr>
          <w:sz w:val="36"/>
          <w:szCs w:val="36"/>
          <w:rtl/>
        </w:rPr>
        <w:t xml:space="preserve">شيء </w:t>
      </w:r>
      <w:r w:rsidRPr="00FD211F">
        <w:rPr>
          <w:sz w:val="36"/>
          <w:szCs w:val="36"/>
          <w:rtl/>
        </w:rPr>
        <w:t xml:space="preserve">الى </w:t>
      </w:r>
      <w:r w:rsidR="008D7B3D" w:rsidRPr="00FD211F">
        <w:rPr>
          <w:sz w:val="36"/>
          <w:szCs w:val="36"/>
          <w:rtl/>
        </w:rPr>
        <w:t xml:space="preserve">شيء </w:t>
      </w:r>
      <w:r w:rsidRPr="00FD211F">
        <w:rPr>
          <w:sz w:val="36"/>
          <w:szCs w:val="36"/>
          <w:rtl/>
        </w:rPr>
        <w:t>آخر وهو فرع الملازم</w:t>
      </w:r>
      <w:r w:rsidR="00EC7EDF" w:rsidRPr="00FD211F">
        <w:rPr>
          <w:sz w:val="36"/>
          <w:szCs w:val="36"/>
          <w:rtl/>
        </w:rPr>
        <w:t xml:space="preserve">ة </w:t>
      </w:r>
      <w:r w:rsidRPr="00FD211F">
        <w:rPr>
          <w:sz w:val="36"/>
          <w:szCs w:val="36"/>
          <w:rtl/>
        </w:rPr>
        <w:t>بينهما</w:t>
      </w:r>
      <w:r w:rsidR="00603323" w:rsidRPr="00FD211F">
        <w:rPr>
          <w:sz w:val="36"/>
          <w:szCs w:val="36"/>
          <w:rtl/>
        </w:rPr>
        <w:t xml:space="preserve">، </w:t>
      </w:r>
      <w:r w:rsidRPr="00FD211F">
        <w:rPr>
          <w:sz w:val="36"/>
          <w:szCs w:val="36"/>
          <w:rtl/>
        </w:rPr>
        <w:t>فاذا كانت الملازم</w:t>
      </w:r>
      <w:r w:rsidR="00EC7EDF" w:rsidRPr="00FD211F">
        <w:rPr>
          <w:sz w:val="36"/>
          <w:szCs w:val="36"/>
          <w:rtl/>
        </w:rPr>
        <w:t xml:space="preserve">ة </w:t>
      </w:r>
      <w:r w:rsidRPr="00FD211F">
        <w:rPr>
          <w:sz w:val="36"/>
          <w:szCs w:val="36"/>
          <w:rtl/>
        </w:rPr>
        <w:t>بين وجودين كان الانتقال تصديقيا كالانتقال من وجود النار عند رؤيته الى وجود الحرار</w:t>
      </w:r>
      <w:r w:rsidR="00EC7EDF" w:rsidRPr="00FD211F">
        <w:rPr>
          <w:sz w:val="36"/>
          <w:szCs w:val="36"/>
          <w:rtl/>
        </w:rPr>
        <w:t>ة</w:t>
      </w:r>
      <w:r w:rsidR="00603323" w:rsidRPr="00FD211F">
        <w:rPr>
          <w:sz w:val="36"/>
          <w:szCs w:val="36"/>
          <w:rtl/>
        </w:rPr>
        <w:t xml:space="preserve">، </w:t>
      </w:r>
      <w:r w:rsidRPr="00FD211F">
        <w:rPr>
          <w:sz w:val="36"/>
          <w:szCs w:val="36"/>
          <w:rtl/>
        </w:rPr>
        <w:t>وان كانت الملازم</w:t>
      </w:r>
      <w:r w:rsidR="00EC7EDF" w:rsidRPr="00FD211F">
        <w:rPr>
          <w:sz w:val="36"/>
          <w:szCs w:val="36"/>
          <w:rtl/>
        </w:rPr>
        <w:t xml:space="preserve">ة </w:t>
      </w:r>
      <w:r w:rsidRPr="00FD211F">
        <w:rPr>
          <w:sz w:val="36"/>
          <w:szCs w:val="36"/>
          <w:rtl/>
        </w:rPr>
        <w:t>بين تصورين كان الانتقال تصوريا كالانتقال من تصور مفهوم الأبوّ</w:t>
      </w:r>
      <w:r w:rsidR="00EC7EDF" w:rsidRPr="00FD211F">
        <w:rPr>
          <w:sz w:val="36"/>
          <w:szCs w:val="36"/>
          <w:rtl/>
        </w:rPr>
        <w:t xml:space="preserve">ة </w:t>
      </w:r>
      <w:r w:rsidRPr="00FD211F">
        <w:rPr>
          <w:sz w:val="36"/>
          <w:szCs w:val="36"/>
          <w:rtl/>
        </w:rPr>
        <w:t>الى تصور مفهوم البنوّ</w:t>
      </w:r>
      <w:r w:rsidR="00EC7EDF" w:rsidRPr="00FD211F">
        <w:rPr>
          <w:sz w:val="36"/>
          <w:szCs w:val="36"/>
          <w:rtl/>
        </w:rPr>
        <w:t xml:space="preserve">ة </w:t>
      </w:r>
      <w:r w:rsidRPr="00FD211F">
        <w:rPr>
          <w:sz w:val="36"/>
          <w:szCs w:val="36"/>
          <w:rtl/>
        </w:rPr>
        <w:t>لتضايفهما</w:t>
      </w:r>
      <w:r w:rsidR="00603323" w:rsidRPr="00FD211F">
        <w:rPr>
          <w:sz w:val="36"/>
          <w:szCs w:val="36"/>
          <w:rtl/>
        </w:rPr>
        <w:t xml:space="preserve">، </w:t>
      </w:r>
      <w:r w:rsidRPr="00FD211F">
        <w:rPr>
          <w:sz w:val="36"/>
          <w:szCs w:val="36"/>
          <w:rtl/>
        </w:rPr>
        <w:t>والاقتران الأكيد بين اللفظ والمعنى انما يوجد التلازم الذهني بينهما</w:t>
      </w:r>
      <w:r w:rsidR="00445431" w:rsidRPr="00FD211F">
        <w:rPr>
          <w:sz w:val="36"/>
          <w:szCs w:val="36"/>
          <w:rtl/>
        </w:rPr>
        <w:t xml:space="preserve"> فيكون الانتقال تصوريا ولايعقل</w:t>
      </w:r>
      <w:r w:rsidRPr="00FD211F">
        <w:rPr>
          <w:sz w:val="36"/>
          <w:szCs w:val="36"/>
          <w:rtl/>
        </w:rPr>
        <w:t xml:space="preserve"> سوى ذلك</w:t>
      </w:r>
      <w:r w:rsidR="00603323" w:rsidRPr="00FD211F">
        <w:rPr>
          <w:sz w:val="36"/>
          <w:szCs w:val="36"/>
          <w:rtl/>
        </w:rPr>
        <w:t xml:space="preserve">، </w:t>
      </w:r>
      <w:r w:rsidRPr="00FD211F">
        <w:rPr>
          <w:sz w:val="36"/>
          <w:szCs w:val="36"/>
          <w:rtl/>
        </w:rPr>
        <w:t>وهو معنى 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تصوري</w:t>
      </w:r>
      <w:r w:rsidR="00EC7EDF" w:rsidRPr="00FD211F">
        <w:rPr>
          <w:sz w:val="36"/>
          <w:szCs w:val="36"/>
          <w:rtl/>
        </w:rPr>
        <w:t>ة</w:t>
      </w:r>
      <w:r w:rsidR="00603323" w:rsidRPr="00FD211F">
        <w:rPr>
          <w:sz w:val="36"/>
          <w:szCs w:val="36"/>
          <w:rtl/>
        </w:rPr>
        <w:t xml:space="preserve">، </w:t>
      </w:r>
      <w:r w:rsidRPr="00FD211F">
        <w:rPr>
          <w:sz w:val="36"/>
          <w:szCs w:val="36"/>
          <w:rtl/>
        </w:rPr>
        <w:t>وأما الدلال</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للكلام في ان المتكلم بصدد إراد</w:t>
      </w:r>
      <w:r w:rsidR="00EC7EDF" w:rsidRPr="00FD211F">
        <w:rPr>
          <w:sz w:val="36"/>
          <w:szCs w:val="36"/>
          <w:rtl/>
        </w:rPr>
        <w:t xml:space="preserve">ة </w:t>
      </w:r>
      <w:r w:rsidRPr="00FD211F">
        <w:rPr>
          <w:sz w:val="36"/>
          <w:szCs w:val="36"/>
          <w:rtl/>
        </w:rPr>
        <w:t>تفهيم المعنى فليست دلال</w:t>
      </w:r>
      <w:r w:rsidR="00EC7EDF" w:rsidRPr="00FD211F">
        <w:rPr>
          <w:sz w:val="36"/>
          <w:szCs w:val="36"/>
          <w:rtl/>
        </w:rPr>
        <w:t xml:space="preserve">ة </w:t>
      </w:r>
      <w:r w:rsidRPr="00FD211F">
        <w:rPr>
          <w:sz w:val="36"/>
          <w:szCs w:val="36"/>
          <w:rtl/>
        </w:rPr>
        <w:t>وضعي</w:t>
      </w:r>
      <w:r w:rsidR="00EC7EDF" w:rsidRPr="00FD211F">
        <w:rPr>
          <w:sz w:val="36"/>
          <w:szCs w:val="36"/>
          <w:rtl/>
        </w:rPr>
        <w:t xml:space="preserve">ة </w:t>
      </w:r>
      <w:r w:rsidRPr="00FD211F">
        <w:rPr>
          <w:sz w:val="36"/>
          <w:szCs w:val="36"/>
          <w:rtl/>
        </w:rPr>
        <w:t>وانما هي ناشئ</w:t>
      </w:r>
      <w:r w:rsidR="00EC7EDF" w:rsidRPr="00FD211F">
        <w:rPr>
          <w:sz w:val="36"/>
          <w:szCs w:val="36"/>
          <w:rtl/>
        </w:rPr>
        <w:t xml:space="preserve">ة </w:t>
      </w:r>
      <w:r w:rsidRPr="00FD211F">
        <w:rPr>
          <w:sz w:val="36"/>
          <w:szCs w:val="36"/>
          <w:rtl/>
        </w:rPr>
        <w:t>عن ظهور حالي نوعي بمتقضى الغلب</w:t>
      </w:r>
      <w:r w:rsidR="00EC7EDF" w:rsidRPr="00FD211F">
        <w:rPr>
          <w:sz w:val="36"/>
          <w:szCs w:val="36"/>
          <w:rtl/>
        </w:rPr>
        <w:t>ة</w:t>
      </w:r>
      <w:r w:rsidR="00603323" w:rsidRPr="00FD211F">
        <w:rPr>
          <w:sz w:val="36"/>
          <w:szCs w:val="36"/>
          <w:rtl/>
        </w:rPr>
        <w:t xml:space="preserve">، </w:t>
      </w:r>
      <w:r w:rsidRPr="00FD211F">
        <w:rPr>
          <w:sz w:val="36"/>
          <w:szCs w:val="36"/>
          <w:rtl/>
        </w:rPr>
        <w:t>فان الغالب في حال العاقل الملتفت ان لايأتي باللفظ على سبيل لقلق</w:t>
      </w:r>
      <w:r w:rsidR="00EC7EDF" w:rsidRPr="00FD211F">
        <w:rPr>
          <w:sz w:val="36"/>
          <w:szCs w:val="36"/>
          <w:rtl/>
        </w:rPr>
        <w:t xml:space="preserve">ة </w:t>
      </w:r>
      <w:r w:rsidRPr="00FD211F">
        <w:rPr>
          <w:sz w:val="36"/>
          <w:szCs w:val="36"/>
          <w:rtl/>
        </w:rPr>
        <w:t>اللسان</w:t>
      </w:r>
      <w:r w:rsidR="00603323" w:rsidRPr="00FD211F">
        <w:rPr>
          <w:sz w:val="36"/>
          <w:szCs w:val="36"/>
          <w:rtl/>
        </w:rPr>
        <w:t xml:space="preserve">، </w:t>
      </w:r>
      <w:r w:rsidRPr="00FD211F">
        <w:rPr>
          <w:sz w:val="36"/>
          <w:szCs w:val="36"/>
          <w:rtl/>
        </w:rPr>
        <w:t>بل يقصد به تفهيم المعنى المرتبط به</w:t>
      </w:r>
      <w:r w:rsidR="00603323" w:rsidRPr="00FD211F">
        <w:rPr>
          <w:sz w:val="36"/>
          <w:szCs w:val="36"/>
          <w:rtl/>
        </w:rPr>
        <w:t xml:space="preserve">، </w:t>
      </w:r>
      <w:r w:rsidRPr="00FD211F">
        <w:rPr>
          <w:sz w:val="36"/>
          <w:szCs w:val="36"/>
          <w:rtl/>
        </w:rPr>
        <w:t>وعليه فبناء على مسلك القرن الأكيد لايمكن ان يكون اللفظ دالا وضعا على وجود إراد</w:t>
      </w:r>
      <w:r w:rsidR="00EC7EDF" w:rsidRPr="00FD211F">
        <w:rPr>
          <w:sz w:val="36"/>
          <w:szCs w:val="36"/>
          <w:rtl/>
        </w:rPr>
        <w:t xml:space="preserve">ة </w:t>
      </w:r>
      <w:r w:rsidRPr="00FD211F">
        <w:rPr>
          <w:sz w:val="36"/>
          <w:szCs w:val="36"/>
          <w:rtl/>
        </w:rPr>
        <w:t>المتكلم لتفهيم المعنى.</w:t>
      </w:r>
    </w:p>
    <w:p w14:paraId="1CA408A9" w14:textId="77777777" w:rsidR="000D11F4" w:rsidRPr="00FD211F" w:rsidRDefault="000D11F4" w:rsidP="009C58C8">
      <w:pPr>
        <w:ind w:left="0" w:firstLine="227"/>
        <w:jc w:val="both"/>
        <w:rPr>
          <w:sz w:val="36"/>
          <w:szCs w:val="36"/>
          <w:rtl/>
        </w:rPr>
      </w:pPr>
      <w:r w:rsidRPr="00FD211F">
        <w:rPr>
          <w:sz w:val="36"/>
          <w:szCs w:val="36"/>
          <w:rtl/>
        </w:rPr>
        <w:t>وقد يتخيل أنه بناء على مسلك القرن الاكيد أيضا يمكن ان تكون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تابع</w:t>
      </w:r>
      <w:r w:rsidR="00EC7EDF" w:rsidRPr="00FD211F">
        <w:rPr>
          <w:sz w:val="36"/>
          <w:szCs w:val="36"/>
          <w:rtl/>
        </w:rPr>
        <w:t xml:space="preserve">ة </w:t>
      </w:r>
      <w:r w:rsidRPr="00FD211F">
        <w:rPr>
          <w:sz w:val="36"/>
          <w:szCs w:val="36"/>
          <w:rtl/>
        </w:rPr>
        <w:t>لإراد</w:t>
      </w:r>
      <w:r w:rsidR="00EC7EDF" w:rsidRPr="00FD211F">
        <w:rPr>
          <w:sz w:val="36"/>
          <w:szCs w:val="36"/>
          <w:rtl/>
        </w:rPr>
        <w:t xml:space="preserve">ة </w:t>
      </w:r>
      <w:r w:rsidRPr="00FD211F">
        <w:rPr>
          <w:sz w:val="36"/>
          <w:szCs w:val="36"/>
          <w:rtl/>
        </w:rPr>
        <w:t>تفهيم معنى</w:t>
      </w:r>
      <w:r w:rsidRPr="00FD211F">
        <w:rPr>
          <w:sz w:val="36"/>
          <w:szCs w:val="36"/>
          <w:rtl/>
        </w:rPr>
        <w:softHyphen/>
        <w:t>مّا</w:t>
      </w:r>
      <w:r w:rsidR="00603323" w:rsidRPr="00FD211F">
        <w:rPr>
          <w:sz w:val="36"/>
          <w:szCs w:val="36"/>
          <w:rtl/>
        </w:rPr>
        <w:t xml:space="preserve">، </w:t>
      </w:r>
      <w:r w:rsidRPr="00FD211F">
        <w:rPr>
          <w:sz w:val="36"/>
          <w:szCs w:val="36"/>
          <w:rtl/>
        </w:rPr>
        <w:t>وذلك بأخذ الإراد</w:t>
      </w:r>
      <w:r w:rsidR="00EC7EDF" w:rsidRPr="00FD211F">
        <w:rPr>
          <w:sz w:val="36"/>
          <w:szCs w:val="36"/>
          <w:rtl/>
        </w:rPr>
        <w:t xml:space="preserve">ة </w:t>
      </w:r>
      <w:r w:rsidRPr="00FD211F">
        <w:rPr>
          <w:sz w:val="36"/>
          <w:szCs w:val="36"/>
          <w:rtl/>
        </w:rPr>
        <w:t>قيدا في اللفظ بان يكون القرن الأكيد بين اللفظ المقرون بإراد</w:t>
      </w:r>
      <w:r w:rsidR="00EC7EDF" w:rsidRPr="00FD211F">
        <w:rPr>
          <w:sz w:val="36"/>
          <w:szCs w:val="36"/>
          <w:rtl/>
        </w:rPr>
        <w:t xml:space="preserve">ة </w:t>
      </w:r>
      <w:r w:rsidRPr="00FD211F">
        <w:rPr>
          <w:sz w:val="36"/>
          <w:szCs w:val="36"/>
          <w:rtl/>
        </w:rPr>
        <w:t>تفهيم معنى</w:t>
      </w:r>
      <w:r w:rsidRPr="00FD211F">
        <w:rPr>
          <w:sz w:val="36"/>
          <w:szCs w:val="36"/>
          <w:rtl/>
        </w:rPr>
        <w:softHyphen/>
        <w:t>مّا وبين معنى معين</w:t>
      </w:r>
      <w:r w:rsidR="00603323" w:rsidRPr="00FD211F">
        <w:rPr>
          <w:sz w:val="36"/>
          <w:szCs w:val="36"/>
          <w:rtl/>
        </w:rPr>
        <w:t xml:space="preserve">، </w:t>
      </w:r>
      <w:r w:rsidRPr="00FD211F">
        <w:rPr>
          <w:sz w:val="36"/>
          <w:szCs w:val="36"/>
          <w:rtl/>
        </w:rPr>
        <w:t>فلو تجرّد اللفظ عن إراد</w:t>
      </w:r>
      <w:r w:rsidR="00EC7EDF" w:rsidRPr="00FD211F">
        <w:rPr>
          <w:sz w:val="36"/>
          <w:szCs w:val="36"/>
          <w:rtl/>
        </w:rPr>
        <w:t xml:space="preserve">ة </w:t>
      </w:r>
      <w:r w:rsidRPr="00FD211F">
        <w:rPr>
          <w:sz w:val="36"/>
          <w:szCs w:val="36"/>
          <w:rtl/>
        </w:rPr>
        <w:t>تفهيم معنى</w:t>
      </w:r>
      <w:r w:rsidRPr="00FD211F">
        <w:rPr>
          <w:sz w:val="36"/>
          <w:szCs w:val="36"/>
          <w:rtl/>
        </w:rPr>
        <w:softHyphen/>
        <w:t>مّا بان كان صدوره على سبيل لقلق</w:t>
      </w:r>
      <w:r w:rsidR="00EC7EDF" w:rsidRPr="00FD211F">
        <w:rPr>
          <w:sz w:val="36"/>
          <w:szCs w:val="36"/>
          <w:rtl/>
        </w:rPr>
        <w:t xml:space="preserve">ة </w:t>
      </w:r>
      <w:r w:rsidRPr="00FD211F">
        <w:rPr>
          <w:sz w:val="36"/>
          <w:szCs w:val="36"/>
          <w:rtl/>
        </w:rPr>
        <w:t>اللسان</w:t>
      </w:r>
      <w:r w:rsidR="008D7B3D" w:rsidRPr="00FD211F">
        <w:rPr>
          <w:sz w:val="36"/>
          <w:szCs w:val="36"/>
          <w:rtl/>
        </w:rPr>
        <w:t xml:space="preserve"> لم‌</w:t>
      </w:r>
      <w:r w:rsidRPr="00FD211F">
        <w:rPr>
          <w:sz w:val="36"/>
          <w:szCs w:val="36"/>
          <w:rtl/>
        </w:rPr>
        <w:t>تكن أيّ</w:t>
      </w:r>
      <w:r w:rsidR="00EC7EDF" w:rsidRPr="00FD211F">
        <w:rPr>
          <w:sz w:val="36"/>
          <w:szCs w:val="36"/>
          <w:rtl/>
        </w:rPr>
        <w:t xml:space="preserve">ة </w:t>
      </w:r>
      <w:r w:rsidRPr="00FD211F">
        <w:rPr>
          <w:sz w:val="36"/>
          <w:szCs w:val="36"/>
          <w:rtl/>
        </w:rPr>
        <w:t>علق</w:t>
      </w:r>
      <w:r w:rsidR="00EC7EDF" w:rsidRPr="00FD211F">
        <w:rPr>
          <w:sz w:val="36"/>
          <w:szCs w:val="36"/>
          <w:rtl/>
        </w:rPr>
        <w:t xml:space="preserve">ة </w:t>
      </w:r>
      <w:r w:rsidRPr="00FD211F">
        <w:rPr>
          <w:sz w:val="36"/>
          <w:szCs w:val="36"/>
          <w:rtl/>
        </w:rPr>
        <w:t>وضعي</w:t>
      </w:r>
      <w:r w:rsidR="00EC7EDF" w:rsidRPr="00FD211F">
        <w:rPr>
          <w:sz w:val="36"/>
          <w:szCs w:val="36"/>
          <w:rtl/>
        </w:rPr>
        <w:t xml:space="preserve">ة </w:t>
      </w:r>
      <w:r w:rsidRPr="00FD211F">
        <w:rPr>
          <w:sz w:val="36"/>
          <w:szCs w:val="36"/>
          <w:rtl/>
        </w:rPr>
        <w:t>بينه وبين ذلك المعنى المعين</w:t>
      </w:r>
      <w:r w:rsidR="00603323" w:rsidRPr="00FD211F">
        <w:rPr>
          <w:sz w:val="36"/>
          <w:szCs w:val="36"/>
          <w:rtl/>
        </w:rPr>
        <w:t xml:space="preserve">، </w:t>
      </w:r>
      <w:r w:rsidRPr="00FD211F">
        <w:rPr>
          <w:sz w:val="36"/>
          <w:szCs w:val="36"/>
          <w:rtl/>
        </w:rPr>
        <w:t>كما يمكن ان تكون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بين اللفظ والمعنى دلال</w:t>
      </w:r>
      <w:r w:rsidR="00EC7EDF" w:rsidRPr="00FD211F">
        <w:rPr>
          <w:sz w:val="36"/>
          <w:szCs w:val="36"/>
          <w:rtl/>
        </w:rPr>
        <w:t xml:space="preserve">ة </w:t>
      </w:r>
      <w:r w:rsidRPr="00FD211F">
        <w:rPr>
          <w:sz w:val="36"/>
          <w:szCs w:val="36"/>
          <w:rtl/>
        </w:rPr>
        <w:t>تصديقي</w:t>
      </w:r>
      <w:r w:rsidR="00EC7EDF" w:rsidRPr="00FD211F">
        <w:rPr>
          <w:sz w:val="36"/>
          <w:szCs w:val="36"/>
          <w:rtl/>
        </w:rPr>
        <w:t xml:space="preserve">ة </w:t>
      </w:r>
      <w:r w:rsidRPr="00FD211F">
        <w:rPr>
          <w:sz w:val="36"/>
          <w:szCs w:val="36"/>
          <w:rtl/>
        </w:rPr>
        <w:t>بان يكشف اللفظ عن وجود إراد</w:t>
      </w:r>
      <w:r w:rsidR="00EC7EDF" w:rsidRPr="00FD211F">
        <w:rPr>
          <w:sz w:val="36"/>
          <w:szCs w:val="36"/>
          <w:rtl/>
        </w:rPr>
        <w:t xml:space="preserve">ة </w:t>
      </w:r>
      <w:r w:rsidRPr="00FD211F">
        <w:rPr>
          <w:sz w:val="36"/>
          <w:szCs w:val="36"/>
          <w:rtl/>
        </w:rPr>
        <w:t>تفهيم المعنى بان يؤخذ هذه الإراد</w:t>
      </w:r>
      <w:r w:rsidR="00EC7EDF" w:rsidRPr="00FD211F">
        <w:rPr>
          <w:sz w:val="36"/>
          <w:szCs w:val="36"/>
          <w:rtl/>
        </w:rPr>
        <w:t xml:space="preserve">ة </w:t>
      </w:r>
      <w:r w:rsidRPr="00FD211F">
        <w:rPr>
          <w:sz w:val="36"/>
          <w:szCs w:val="36"/>
          <w:rtl/>
        </w:rPr>
        <w:t>قيدا في المعنى الموضوع له بان يوجد القرن الأكيد بين اللفظ وبين إراد</w:t>
      </w:r>
      <w:r w:rsidR="00EC7EDF" w:rsidRPr="00FD211F">
        <w:rPr>
          <w:sz w:val="36"/>
          <w:szCs w:val="36"/>
          <w:rtl/>
        </w:rPr>
        <w:t xml:space="preserve">ة </w:t>
      </w:r>
      <w:r w:rsidRPr="00FD211F">
        <w:rPr>
          <w:sz w:val="36"/>
          <w:szCs w:val="36"/>
          <w:rtl/>
        </w:rPr>
        <w:t>تفهيم المعنى</w:t>
      </w:r>
      <w:r w:rsidR="00603323" w:rsidRPr="00FD211F">
        <w:rPr>
          <w:sz w:val="36"/>
          <w:szCs w:val="36"/>
          <w:rtl/>
        </w:rPr>
        <w:t xml:space="preserve">، </w:t>
      </w:r>
      <w:r w:rsidRPr="00FD211F">
        <w:rPr>
          <w:sz w:val="36"/>
          <w:szCs w:val="36"/>
          <w:rtl/>
        </w:rPr>
        <w:t>بحيث يوجب سماع اللفظ التصديق بوجود اراد</w:t>
      </w:r>
      <w:r w:rsidR="00EC7EDF" w:rsidRPr="00FD211F">
        <w:rPr>
          <w:sz w:val="36"/>
          <w:szCs w:val="36"/>
          <w:rtl/>
        </w:rPr>
        <w:t xml:space="preserve">ة </w:t>
      </w:r>
      <w:r w:rsidRPr="00FD211F">
        <w:rPr>
          <w:sz w:val="36"/>
          <w:szCs w:val="36"/>
          <w:rtl/>
        </w:rPr>
        <w:t>اللافظ تفهيم المعنى المعين.</w:t>
      </w:r>
    </w:p>
    <w:p w14:paraId="5BED07E5" w14:textId="77777777" w:rsidR="000D11F4" w:rsidRPr="00FD211F" w:rsidRDefault="000D11F4" w:rsidP="009C58C8">
      <w:pPr>
        <w:ind w:left="0" w:firstLine="227"/>
        <w:jc w:val="both"/>
        <w:rPr>
          <w:sz w:val="36"/>
          <w:szCs w:val="36"/>
          <w:rtl/>
        </w:rPr>
      </w:pPr>
      <w:r w:rsidRPr="00FD211F">
        <w:rPr>
          <w:sz w:val="36"/>
          <w:szCs w:val="36"/>
          <w:rtl/>
        </w:rPr>
        <w:t>توضيح ذلك: انه بناء على مسلك القرن الأكيد وان</w:t>
      </w:r>
      <w:r w:rsidR="008D7B3D" w:rsidRPr="00FD211F">
        <w:rPr>
          <w:sz w:val="36"/>
          <w:szCs w:val="36"/>
          <w:rtl/>
        </w:rPr>
        <w:t xml:space="preserve"> لم‌</w:t>
      </w:r>
      <w:r w:rsidRPr="00FD211F">
        <w:rPr>
          <w:sz w:val="36"/>
          <w:szCs w:val="36"/>
          <w:rtl/>
        </w:rPr>
        <w:t>يمكن تقييد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بحال دون حال اذا افترض عدم تقييد في اللفظ الموضوع او في المعنى الموضوع له</w:t>
      </w:r>
      <w:r w:rsidR="00603323" w:rsidRPr="00FD211F">
        <w:rPr>
          <w:sz w:val="36"/>
          <w:szCs w:val="36"/>
          <w:rtl/>
        </w:rPr>
        <w:t xml:space="preserve">، </w:t>
      </w:r>
      <w:r w:rsidRPr="00FD211F">
        <w:rPr>
          <w:sz w:val="36"/>
          <w:szCs w:val="36"/>
          <w:rtl/>
        </w:rPr>
        <w:t>فان القرن الأكيد علاق</w:t>
      </w:r>
      <w:r w:rsidR="00EC7EDF" w:rsidRPr="00FD211F">
        <w:rPr>
          <w:sz w:val="36"/>
          <w:szCs w:val="36"/>
          <w:rtl/>
        </w:rPr>
        <w:t xml:space="preserve">ة </w:t>
      </w:r>
      <w:r w:rsidRPr="00FD211F">
        <w:rPr>
          <w:sz w:val="36"/>
          <w:szCs w:val="36"/>
          <w:rtl/>
        </w:rPr>
        <w:t>واقعي</w:t>
      </w:r>
      <w:r w:rsidR="00EC7EDF" w:rsidRPr="00FD211F">
        <w:rPr>
          <w:sz w:val="36"/>
          <w:szCs w:val="36"/>
          <w:rtl/>
        </w:rPr>
        <w:t xml:space="preserve">ة </w:t>
      </w:r>
      <w:r w:rsidRPr="00FD211F">
        <w:rPr>
          <w:sz w:val="36"/>
          <w:szCs w:val="36"/>
          <w:rtl/>
        </w:rPr>
        <w:t>بين اللفظ والمعنى وليست علاق</w:t>
      </w:r>
      <w:r w:rsidR="00EC7EDF" w:rsidRPr="00FD211F">
        <w:rPr>
          <w:sz w:val="36"/>
          <w:szCs w:val="36"/>
          <w:rtl/>
        </w:rPr>
        <w:t xml:space="preserve">ة </w:t>
      </w:r>
      <w:r w:rsidRPr="00FD211F">
        <w:rPr>
          <w:sz w:val="36"/>
          <w:szCs w:val="36"/>
          <w:rtl/>
        </w:rPr>
        <w:t>اعتباري</w:t>
      </w:r>
      <w:r w:rsidR="00EC7EDF" w:rsidRPr="00FD211F">
        <w:rPr>
          <w:sz w:val="36"/>
          <w:szCs w:val="36"/>
          <w:rtl/>
        </w:rPr>
        <w:t xml:space="preserve">ة </w:t>
      </w:r>
      <w:r w:rsidRPr="00FD211F">
        <w:rPr>
          <w:sz w:val="36"/>
          <w:szCs w:val="36"/>
          <w:rtl/>
        </w:rPr>
        <w:t>حتى تكون قابل</w:t>
      </w:r>
      <w:r w:rsidR="00EC7EDF" w:rsidRPr="00FD211F">
        <w:rPr>
          <w:sz w:val="36"/>
          <w:szCs w:val="36"/>
          <w:rtl/>
        </w:rPr>
        <w:t xml:space="preserve">ة </w:t>
      </w:r>
      <w:r w:rsidRPr="00FD211F">
        <w:rPr>
          <w:sz w:val="36"/>
          <w:szCs w:val="36"/>
          <w:rtl/>
        </w:rPr>
        <w:t>للاطلاق والتقييد</w:t>
      </w:r>
      <w:r w:rsidR="00603323" w:rsidRPr="00FD211F">
        <w:rPr>
          <w:sz w:val="36"/>
          <w:szCs w:val="36"/>
          <w:rtl/>
        </w:rPr>
        <w:t xml:space="preserve">، </w:t>
      </w:r>
      <w:r w:rsidRPr="00FD211F">
        <w:rPr>
          <w:sz w:val="36"/>
          <w:szCs w:val="36"/>
          <w:rtl/>
        </w:rPr>
        <w:t>-وان كان عملي</w:t>
      </w:r>
      <w:r w:rsidR="00EC7EDF" w:rsidRPr="00FD211F">
        <w:rPr>
          <w:sz w:val="36"/>
          <w:szCs w:val="36"/>
          <w:rtl/>
        </w:rPr>
        <w:t xml:space="preserve">ة </w:t>
      </w:r>
      <w:r w:rsidRPr="00FD211F">
        <w:rPr>
          <w:sz w:val="36"/>
          <w:szCs w:val="36"/>
          <w:rtl/>
        </w:rPr>
        <w:t>الانشاء في الوضع التعييني سببا تمهيديا لتحقق هذه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خارجا- فإما ان تكون هذه العلاق</w:t>
      </w:r>
      <w:r w:rsidR="00EC7EDF" w:rsidRPr="00FD211F">
        <w:rPr>
          <w:sz w:val="36"/>
          <w:szCs w:val="36"/>
          <w:rtl/>
        </w:rPr>
        <w:t xml:space="preserve">ة </w:t>
      </w:r>
      <w:r w:rsidRPr="00FD211F">
        <w:rPr>
          <w:sz w:val="36"/>
          <w:szCs w:val="36"/>
          <w:rtl/>
        </w:rPr>
        <w:t>الواقعي</w:t>
      </w:r>
      <w:r w:rsidR="00EC7EDF" w:rsidRPr="00FD211F">
        <w:rPr>
          <w:sz w:val="36"/>
          <w:szCs w:val="36"/>
          <w:rtl/>
        </w:rPr>
        <w:t xml:space="preserve">ة </w:t>
      </w:r>
      <w:r w:rsidRPr="00FD211F">
        <w:rPr>
          <w:sz w:val="36"/>
          <w:szCs w:val="36"/>
          <w:rtl/>
        </w:rPr>
        <w:t>موجود</w:t>
      </w:r>
      <w:r w:rsidR="00EC7EDF" w:rsidRPr="00FD211F">
        <w:rPr>
          <w:sz w:val="36"/>
          <w:szCs w:val="36"/>
          <w:rtl/>
        </w:rPr>
        <w:t xml:space="preserve">ة </w:t>
      </w:r>
      <w:r w:rsidRPr="00FD211F">
        <w:rPr>
          <w:sz w:val="36"/>
          <w:szCs w:val="36"/>
          <w:rtl/>
        </w:rPr>
        <w:t>او معدوم</w:t>
      </w:r>
      <w:r w:rsidR="00EC7EDF" w:rsidRPr="00FD211F">
        <w:rPr>
          <w:sz w:val="36"/>
          <w:szCs w:val="36"/>
          <w:rtl/>
        </w:rPr>
        <w:t>ة</w:t>
      </w:r>
      <w:r w:rsidR="00603323" w:rsidRPr="00FD211F">
        <w:rPr>
          <w:sz w:val="36"/>
          <w:szCs w:val="36"/>
          <w:rtl/>
        </w:rPr>
        <w:t xml:space="preserve">، </w:t>
      </w:r>
      <w:r w:rsidRPr="00FD211F">
        <w:rPr>
          <w:sz w:val="36"/>
          <w:szCs w:val="36"/>
          <w:rtl/>
        </w:rPr>
        <w:t>فلفظ الماء مثلا ان اوجب سماعه انتقال ذهن السامع الى المعنى فيكون هذا هو القرن الأكيد ولامعنى لان يختص سببيته للانتقال بحال دون حال</w:t>
      </w:r>
      <w:r w:rsidR="00603323" w:rsidRPr="00FD211F">
        <w:rPr>
          <w:sz w:val="36"/>
          <w:szCs w:val="36"/>
          <w:rtl/>
        </w:rPr>
        <w:t xml:space="preserve">، </w:t>
      </w:r>
      <w:r w:rsidRPr="00FD211F">
        <w:rPr>
          <w:sz w:val="36"/>
          <w:szCs w:val="36"/>
          <w:rtl/>
        </w:rPr>
        <w:t>وهذا بخلاف ما لو اخترنا في تفسير حقيق</w:t>
      </w:r>
      <w:r w:rsidR="00EC7EDF" w:rsidRPr="00FD211F">
        <w:rPr>
          <w:sz w:val="36"/>
          <w:szCs w:val="36"/>
          <w:rtl/>
        </w:rPr>
        <w:t xml:space="preserve">ة </w:t>
      </w:r>
      <w:r w:rsidRPr="00FD211F">
        <w:rPr>
          <w:sz w:val="36"/>
          <w:szCs w:val="36"/>
          <w:rtl/>
        </w:rPr>
        <w:t>الوضع مسلك الاعتبار او التعهد</w:t>
      </w:r>
      <w:r w:rsidR="00603323" w:rsidRPr="00FD211F">
        <w:rPr>
          <w:sz w:val="36"/>
          <w:szCs w:val="36"/>
          <w:rtl/>
        </w:rPr>
        <w:t xml:space="preserve">، </w:t>
      </w:r>
      <w:r w:rsidRPr="00FD211F">
        <w:rPr>
          <w:sz w:val="36"/>
          <w:szCs w:val="36"/>
          <w:rtl/>
        </w:rPr>
        <w:t>حيث يصح حينئذ تقييد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بحال دون حال</w:t>
      </w:r>
      <w:r w:rsidR="00603323" w:rsidRPr="00FD211F">
        <w:rPr>
          <w:sz w:val="36"/>
          <w:szCs w:val="36"/>
          <w:rtl/>
        </w:rPr>
        <w:t xml:space="preserve">، </w:t>
      </w:r>
      <w:r w:rsidRPr="00FD211F">
        <w:rPr>
          <w:sz w:val="36"/>
          <w:szCs w:val="36"/>
          <w:rtl/>
        </w:rPr>
        <w:t xml:space="preserve">بان </w:t>
      </w:r>
      <w:r w:rsidR="004C23B2" w:rsidRPr="00FD211F">
        <w:rPr>
          <w:sz w:val="36"/>
          <w:szCs w:val="36"/>
          <w:rtl/>
        </w:rPr>
        <w:t xml:space="preserve">يكون اعتبار </w:t>
      </w:r>
      <w:r w:rsidRPr="00FD211F">
        <w:rPr>
          <w:sz w:val="36"/>
          <w:szCs w:val="36"/>
          <w:rtl/>
        </w:rPr>
        <w:t xml:space="preserve">الواضع او تعهده والتزامه </w:t>
      </w:r>
      <w:r w:rsidR="004C23B2" w:rsidRPr="00FD211F">
        <w:rPr>
          <w:sz w:val="36"/>
          <w:szCs w:val="36"/>
          <w:rtl/>
        </w:rPr>
        <w:t xml:space="preserve">مختصا </w:t>
      </w:r>
      <w:r w:rsidRPr="00FD211F">
        <w:rPr>
          <w:sz w:val="36"/>
          <w:szCs w:val="36"/>
          <w:rtl/>
        </w:rPr>
        <w:t>بحال</w:t>
      </w:r>
      <w:r w:rsidR="00EC7EDF" w:rsidRPr="00FD211F">
        <w:rPr>
          <w:sz w:val="36"/>
          <w:szCs w:val="36"/>
          <w:rtl/>
        </w:rPr>
        <w:t xml:space="preserve">ة </w:t>
      </w:r>
      <w:r w:rsidRPr="00FD211F">
        <w:rPr>
          <w:sz w:val="36"/>
          <w:szCs w:val="36"/>
          <w:rtl/>
        </w:rPr>
        <w:t>دون حال</w:t>
      </w:r>
      <w:r w:rsidR="00EC7EDF" w:rsidRPr="00FD211F">
        <w:rPr>
          <w:sz w:val="36"/>
          <w:szCs w:val="36"/>
          <w:rtl/>
        </w:rPr>
        <w:t>ة</w:t>
      </w:r>
      <w:r w:rsidR="00603323" w:rsidRPr="00FD211F">
        <w:rPr>
          <w:sz w:val="36"/>
          <w:szCs w:val="36"/>
          <w:rtl/>
        </w:rPr>
        <w:t xml:space="preserve">، </w:t>
      </w:r>
      <w:r w:rsidRPr="00FD211F">
        <w:rPr>
          <w:sz w:val="36"/>
          <w:szCs w:val="36"/>
          <w:rtl/>
        </w:rPr>
        <w:t>فهو يتعهد مثلا بانه في النهار فقط كلما جاء باللفظ الفلاني يكون قاصدا لمعناه</w:t>
      </w:r>
      <w:r w:rsidR="00603323" w:rsidRPr="00FD211F">
        <w:rPr>
          <w:sz w:val="36"/>
          <w:szCs w:val="36"/>
          <w:rtl/>
        </w:rPr>
        <w:t xml:space="preserve">، </w:t>
      </w:r>
      <w:r w:rsidRPr="00FD211F">
        <w:rPr>
          <w:sz w:val="36"/>
          <w:szCs w:val="36"/>
          <w:rtl/>
        </w:rPr>
        <w:t>فبناء على مسلك القرن الأكيد لايمكن تقييد نفس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الا انه يمكن تقييد اللفظ الموضوع بان يحصل القرن الأكيد بين اللفظ المقيد كاللفظ المقيد بالتنوين وبين المعنى او تقييد المعنى الموضوع له بان يوضع اللفظ على معنى مقيد.</w:t>
      </w:r>
    </w:p>
    <w:p w14:paraId="2F54C77D" w14:textId="77777777" w:rsidR="000D11F4" w:rsidRPr="00FD211F" w:rsidRDefault="000D11F4" w:rsidP="009C58C8">
      <w:pPr>
        <w:ind w:left="0" w:firstLine="227"/>
        <w:jc w:val="both"/>
        <w:rPr>
          <w:sz w:val="36"/>
          <w:szCs w:val="36"/>
          <w:rtl/>
        </w:rPr>
      </w:pPr>
      <w:r w:rsidRPr="00FD211F">
        <w:rPr>
          <w:sz w:val="36"/>
          <w:szCs w:val="36"/>
          <w:rtl/>
        </w:rPr>
        <w:t>وعليه فيقال في المقام بان القرن الأكيد يمكن ان يحصل بين لفظ الماء مثلا مع تقيد هذا اللفظ باقترانه بإراد</w:t>
      </w:r>
      <w:r w:rsidR="00EC7EDF" w:rsidRPr="00FD211F">
        <w:rPr>
          <w:sz w:val="36"/>
          <w:szCs w:val="36"/>
          <w:rtl/>
        </w:rPr>
        <w:t xml:space="preserve">ة </w:t>
      </w:r>
      <w:r w:rsidRPr="00FD211F">
        <w:rPr>
          <w:sz w:val="36"/>
          <w:szCs w:val="36"/>
          <w:rtl/>
        </w:rPr>
        <w:t>تفهيم المعنى وبين معنى الماء فتكون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تابع</w:t>
      </w:r>
      <w:r w:rsidR="00EC7EDF" w:rsidRPr="00FD211F">
        <w:rPr>
          <w:sz w:val="36"/>
          <w:szCs w:val="36"/>
          <w:rtl/>
        </w:rPr>
        <w:t xml:space="preserve">ة </w:t>
      </w:r>
      <w:r w:rsidRPr="00FD211F">
        <w:rPr>
          <w:sz w:val="36"/>
          <w:szCs w:val="36"/>
          <w:rtl/>
        </w:rPr>
        <w:t>للإراد</w:t>
      </w:r>
      <w:r w:rsidR="00EC7EDF" w:rsidRPr="00FD211F">
        <w:rPr>
          <w:sz w:val="36"/>
          <w:szCs w:val="36"/>
          <w:rtl/>
        </w:rPr>
        <w:t>ة</w:t>
      </w:r>
      <w:r w:rsidR="00603323" w:rsidRPr="00FD211F">
        <w:rPr>
          <w:sz w:val="36"/>
          <w:szCs w:val="36"/>
          <w:rtl/>
        </w:rPr>
        <w:t xml:space="preserve">، </w:t>
      </w:r>
      <w:r w:rsidRPr="00FD211F">
        <w:rPr>
          <w:sz w:val="36"/>
          <w:szCs w:val="36"/>
          <w:rtl/>
        </w:rPr>
        <w:t>بحيث لو تجرد اللفظ عنها صار مهملا</w:t>
      </w:r>
      <w:r w:rsidR="00603323" w:rsidRPr="00FD211F">
        <w:rPr>
          <w:sz w:val="36"/>
          <w:szCs w:val="36"/>
          <w:rtl/>
        </w:rPr>
        <w:t xml:space="preserve">، </w:t>
      </w:r>
      <w:r w:rsidRPr="00FD211F">
        <w:rPr>
          <w:sz w:val="36"/>
          <w:szCs w:val="36"/>
          <w:rtl/>
        </w:rPr>
        <w:t>كما يمكن ان يحصل القرن الأكيد بين لفظ الماء وبين معنى الماء مع تقيد هذا المعنى بإراد</w:t>
      </w:r>
      <w:r w:rsidR="00EC7EDF" w:rsidRPr="00FD211F">
        <w:rPr>
          <w:sz w:val="36"/>
          <w:szCs w:val="36"/>
          <w:rtl/>
        </w:rPr>
        <w:t xml:space="preserve">ة </w:t>
      </w:r>
      <w:r w:rsidRPr="00FD211F">
        <w:rPr>
          <w:sz w:val="36"/>
          <w:szCs w:val="36"/>
          <w:rtl/>
        </w:rPr>
        <w:t>تفهيمه</w:t>
      </w:r>
      <w:r w:rsidR="00603323" w:rsidRPr="00FD211F">
        <w:rPr>
          <w:sz w:val="36"/>
          <w:szCs w:val="36"/>
          <w:rtl/>
        </w:rPr>
        <w:t xml:space="preserve">، </w:t>
      </w:r>
      <w:r w:rsidRPr="00FD211F">
        <w:rPr>
          <w:sz w:val="36"/>
          <w:szCs w:val="36"/>
          <w:rtl/>
        </w:rPr>
        <w:t>فتكون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تصديقي</w:t>
      </w:r>
      <w:r w:rsidR="00EC7EDF" w:rsidRPr="00FD211F">
        <w:rPr>
          <w:sz w:val="36"/>
          <w:szCs w:val="36"/>
          <w:rtl/>
        </w:rPr>
        <w:t xml:space="preserve">ة </w:t>
      </w:r>
      <w:r w:rsidRPr="00FD211F">
        <w:rPr>
          <w:sz w:val="36"/>
          <w:szCs w:val="36"/>
          <w:rtl/>
        </w:rPr>
        <w:t>اي تكشف اللفظ عن إراد</w:t>
      </w:r>
      <w:r w:rsidR="00EC7EDF" w:rsidRPr="00FD211F">
        <w:rPr>
          <w:sz w:val="36"/>
          <w:szCs w:val="36"/>
          <w:rtl/>
        </w:rPr>
        <w:t xml:space="preserve">ة </w:t>
      </w:r>
      <w:r w:rsidRPr="00FD211F">
        <w:rPr>
          <w:sz w:val="36"/>
          <w:szCs w:val="36"/>
          <w:rtl/>
        </w:rPr>
        <w:t>تفهيم المعنى المعين</w:t>
      </w:r>
      <w:r w:rsidR="00603323" w:rsidRPr="00FD211F">
        <w:rPr>
          <w:sz w:val="36"/>
          <w:szCs w:val="36"/>
          <w:rtl/>
        </w:rPr>
        <w:t xml:space="preserve">، </w:t>
      </w:r>
      <w:r w:rsidRPr="00FD211F">
        <w:rPr>
          <w:sz w:val="36"/>
          <w:szCs w:val="36"/>
          <w:rtl/>
        </w:rPr>
        <w:t>واذا أريد الجمع بين تبعي</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للإراد</w:t>
      </w:r>
      <w:r w:rsidR="00EC7EDF" w:rsidRPr="00FD211F">
        <w:rPr>
          <w:sz w:val="36"/>
          <w:szCs w:val="36"/>
          <w:rtl/>
        </w:rPr>
        <w:t xml:space="preserve">ة </w:t>
      </w:r>
      <w:r w:rsidRPr="00FD211F">
        <w:rPr>
          <w:sz w:val="36"/>
          <w:szCs w:val="36"/>
          <w:rtl/>
        </w:rPr>
        <w:t>وبين كون الدلال</w:t>
      </w:r>
      <w:r w:rsidR="00EC7EDF" w:rsidRPr="00FD211F">
        <w:rPr>
          <w:sz w:val="36"/>
          <w:szCs w:val="36"/>
          <w:rtl/>
        </w:rPr>
        <w:t xml:space="preserve">ة </w:t>
      </w:r>
      <w:r w:rsidRPr="00FD211F">
        <w:rPr>
          <w:sz w:val="36"/>
          <w:szCs w:val="36"/>
          <w:rtl/>
        </w:rPr>
        <w:t>تصديقي</w:t>
      </w:r>
      <w:r w:rsidR="00EC7EDF" w:rsidRPr="00FD211F">
        <w:rPr>
          <w:sz w:val="36"/>
          <w:szCs w:val="36"/>
          <w:rtl/>
        </w:rPr>
        <w:t xml:space="preserve">ة </w:t>
      </w:r>
      <w:r w:rsidRPr="00FD211F">
        <w:rPr>
          <w:sz w:val="36"/>
          <w:szCs w:val="36"/>
          <w:rtl/>
        </w:rPr>
        <w:t>–كما هو الظاهر من تعبير الاصحاب بتبعي</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للإراد</w:t>
      </w:r>
      <w:r w:rsidR="00EC7EDF" w:rsidRPr="00FD211F">
        <w:rPr>
          <w:sz w:val="36"/>
          <w:szCs w:val="36"/>
          <w:rtl/>
        </w:rPr>
        <w:t xml:space="preserve">ة </w:t>
      </w:r>
      <w:r w:rsidRPr="00FD211F">
        <w:rPr>
          <w:sz w:val="36"/>
          <w:szCs w:val="36"/>
          <w:rtl/>
        </w:rPr>
        <w:t>حيث فسروها في كلماتهم بما يكون جامعا بين الأمرين- فيلزم تقييد اللفظ بإراد</w:t>
      </w:r>
      <w:r w:rsidR="00EC7EDF" w:rsidRPr="00FD211F">
        <w:rPr>
          <w:sz w:val="36"/>
          <w:szCs w:val="36"/>
          <w:rtl/>
        </w:rPr>
        <w:t xml:space="preserve">ة </w:t>
      </w:r>
      <w:r w:rsidRPr="00FD211F">
        <w:rPr>
          <w:sz w:val="36"/>
          <w:szCs w:val="36"/>
          <w:rtl/>
        </w:rPr>
        <w:t>تفهيم معنى</w:t>
      </w:r>
      <w:r w:rsidRPr="00FD211F">
        <w:rPr>
          <w:sz w:val="36"/>
          <w:szCs w:val="36"/>
          <w:rtl/>
        </w:rPr>
        <w:softHyphen/>
        <w:t>مّا وكذا يلزم تقييد المعنى بإراد</w:t>
      </w:r>
      <w:r w:rsidR="00EC7EDF" w:rsidRPr="00FD211F">
        <w:rPr>
          <w:sz w:val="36"/>
          <w:szCs w:val="36"/>
          <w:rtl/>
        </w:rPr>
        <w:t xml:space="preserve">ة </w:t>
      </w:r>
      <w:r w:rsidRPr="00FD211F">
        <w:rPr>
          <w:sz w:val="36"/>
          <w:szCs w:val="36"/>
          <w:rtl/>
        </w:rPr>
        <w:t>تفهيم نفس هذا المعنى المعين</w:t>
      </w:r>
      <w:r w:rsidR="00603323" w:rsidRPr="00FD211F">
        <w:rPr>
          <w:sz w:val="36"/>
          <w:szCs w:val="36"/>
          <w:rtl/>
        </w:rPr>
        <w:t xml:space="preserve">، </w:t>
      </w:r>
      <w:r w:rsidRPr="00FD211F">
        <w:rPr>
          <w:sz w:val="36"/>
          <w:szCs w:val="36"/>
          <w:rtl/>
        </w:rPr>
        <w:t>فلو تجرد اللفظ عن إراد</w:t>
      </w:r>
      <w:r w:rsidR="00EC7EDF" w:rsidRPr="00FD211F">
        <w:rPr>
          <w:sz w:val="36"/>
          <w:szCs w:val="36"/>
          <w:rtl/>
        </w:rPr>
        <w:t xml:space="preserve">ة </w:t>
      </w:r>
      <w:r w:rsidRPr="00FD211F">
        <w:rPr>
          <w:sz w:val="36"/>
          <w:szCs w:val="36"/>
          <w:rtl/>
        </w:rPr>
        <w:t>اللافظ تفهيم معنى به بان كان صدوره على سبيل لقلق</w:t>
      </w:r>
      <w:r w:rsidR="00EC7EDF" w:rsidRPr="00FD211F">
        <w:rPr>
          <w:sz w:val="36"/>
          <w:szCs w:val="36"/>
          <w:rtl/>
        </w:rPr>
        <w:t xml:space="preserve">ة </w:t>
      </w:r>
      <w:r w:rsidRPr="00FD211F">
        <w:rPr>
          <w:sz w:val="36"/>
          <w:szCs w:val="36"/>
          <w:rtl/>
        </w:rPr>
        <w:t xml:space="preserve">لسان كان اللفظ مهملا </w:t>
      </w:r>
      <w:r w:rsidR="009977FE" w:rsidRPr="00FD211F">
        <w:rPr>
          <w:sz w:val="36"/>
          <w:szCs w:val="36"/>
          <w:rtl/>
        </w:rPr>
        <w:t>و</w:t>
      </w:r>
      <w:r w:rsidR="008D7B3D" w:rsidRPr="00FD211F">
        <w:rPr>
          <w:sz w:val="36"/>
          <w:szCs w:val="36"/>
          <w:rtl/>
        </w:rPr>
        <w:t xml:space="preserve"> لم‌</w:t>
      </w:r>
      <w:r w:rsidRPr="00FD211F">
        <w:rPr>
          <w:sz w:val="36"/>
          <w:szCs w:val="36"/>
          <w:rtl/>
        </w:rPr>
        <w:t>توجد ايّ</w:t>
      </w:r>
      <w:r w:rsidR="00EC7EDF" w:rsidRPr="00FD211F">
        <w:rPr>
          <w:sz w:val="36"/>
          <w:szCs w:val="36"/>
          <w:rtl/>
        </w:rPr>
        <w:t xml:space="preserve">ة </w:t>
      </w:r>
      <w:r w:rsidRPr="00FD211F">
        <w:rPr>
          <w:sz w:val="36"/>
          <w:szCs w:val="36"/>
          <w:rtl/>
        </w:rPr>
        <w:t>علق</w:t>
      </w:r>
      <w:r w:rsidR="00EC7EDF" w:rsidRPr="00FD211F">
        <w:rPr>
          <w:sz w:val="36"/>
          <w:szCs w:val="36"/>
          <w:rtl/>
        </w:rPr>
        <w:t xml:space="preserve">ة </w:t>
      </w:r>
      <w:r w:rsidRPr="00FD211F">
        <w:rPr>
          <w:sz w:val="36"/>
          <w:szCs w:val="36"/>
          <w:rtl/>
        </w:rPr>
        <w:t>وضعي</w:t>
      </w:r>
      <w:r w:rsidR="00EC7EDF" w:rsidRPr="00FD211F">
        <w:rPr>
          <w:sz w:val="36"/>
          <w:szCs w:val="36"/>
          <w:rtl/>
        </w:rPr>
        <w:t xml:space="preserve">ة </w:t>
      </w:r>
      <w:r w:rsidRPr="00FD211F">
        <w:rPr>
          <w:sz w:val="36"/>
          <w:szCs w:val="36"/>
          <w:rtl/>
        </w:rPr>
        <w:t>بينه وبين المعنى</w:t>
      </w:r>
      <w:r w:rsidR="00603323" w:rsidRPr="00FD211F">
        <w:rPr>
          <w:sz w:val="36"/>
          <w:szCs w:val="36"/>
          <w:rtl/>
        </w:rPr>
        <w:t xml:space="preserve">، </w:t>
      </w:r>
      <w:r w:rsidRPr="00FD211F">
        <w:rPr>
          <w:sz w:val="36"/>
          <w:szCs w:val="36"/>
          <w:rtl/>
        </w:rPr>
        <w:t>ولو اقترن بإراد</w:t>
      </w:r>
      <w:r w:rsidR="00EC7EDF" w:rsidRPr="00FD211F">
        <w:rPr>
          <w:sz w:val="36"/>
          <w:szCs w:val="36"/>
          <w:rtl/>
        </w:rPr>
        <w:t xml:space="preserve">ة </w:t>
      </w:r>
      <w:r w:rsidRPr="00FD211F">
        <w:rPr>
          <w:sz w:val="36"/>
          <w:szCs w:val="36"/>
          <w:rtl/>
        </w:rPr>
        <w:t>تفهيم معنى به كان كاشفا عن كون اللافظ بصدد تفهيم هذا المعنى المعين</w:t>
      </w:r>
      <w:r w:rsidR="00603323" w:rsidRPr="00FD211F">
        <w:rPr>
          <w:sz w:val="36"/>
          <w:szCs w:val="36"/>
          <w:rtl/>
        </w:rPr>
        <w:t xml:space="preserve">، </w:t>
      </w:r>
      <w:r w:rsidRPr="00FD211F">
        <w:rPr>
          <w:sz w:val="36"/>
          <w:szCs w:val="36"/>
          <w:rtl/>
        </w:rPr>
        <w:t>وأما تقييد اللفظ باقترانه بإراد</w:t>
      </w:r>
      <w:r w:rsidR="00EC7EDF" w:rsidRPr="00FD211F">
        <w:rPr>
          <w:sz w:val="36"/>
          <w:szCs w:val="36"/>
          <w:rtl/>
        </w:rPr>
        <w:t xml:space="preserve">ة </w:t>
      </w:r>
      <w:r w:rsidRPr="00FD211F">
        <w:rPr>
          <w:sz w:val="36"/>
          <w:szCs w:val="36"/>
          <w:rtl/>
        </w:rPr>
        <w:t>تفهيم هذا المعنى المعين وتقييد المعنى أيضا بإراد</w:t>
      </w:r>
      <w:r w:rsidR="00EC7EDF" w:rsidRPr="00FD211F">
        <w:rPr>
          <w:sz w:val="36"/>
          <w:szCs w:val="36"/>
          <w:rtl/>
        </w:rPr>
        <w:t xml:space="preserve">ة </w:t>
      </w:r>
      <w:r w:rsidRPr="00FD211F">
        <w:rPr>
          <w:sz w:val="36"/>
          <w:szCs w:val="36"/>
          <w:rtl/>
        </w:rPr>
        <w:t>تفهيمه</w:t>
      </w:r>
      <w:r w:rsidR="00603323" w:rsidRPr="00FD211F">
        <w:rPr>
          <w:sz w:val="36"/>
          <w:szCs w:val="36"/>
          <w:rtl/>
        </w:rPr>
        <w:t xml:space="preserve">، </w:t>
      </w:r>
      <w:r w:rsidRPr="00FD211F">
        <w:rPr>
          <w:sz w:val="36"/>
          <w:szCs w:val="36"/>
          <w:rtl/>
        </w:rPr>
        <w:t>فهو غير معقول لاستلزامه التهافت</w:t>
      </w:r>
      <w:r w:rsidR="00603323" w:rsidRPr="00FD211F">
        <w:rPr>
          <w:sz w:val="36"/>
          <w:szCs w:val="36"/>
          <w:rtl/>
        </w:rPr>
        <w:t xml:space="preserve">، </w:t>
      </w:r>
      <w:r w:rsidRPr="00FD211F">
        <w:rPr>
          <w:sz w:val="36"/>
          <w:szCs w:val="36"/>
          <w:rtl/>
        </w:rPr>
        <w:t>حيث أن مقتضى تقييد اللفظ بإراد</w:t>
      </w:r>
      <w:r w:rsidR="00EC7EDF" w:rsidRPr="00FD211F">
        <w:rPr>
          <w:sz w:val="36"/>
          <w:szCs w:val="36"/>
          <w:rtl/>
        </w:rPr>
        <w:t xml:space="preserve">ة </w:t>
      </w:r>
      <w:r w:rsidRPr="00FD211F">
        <w:rPr>
          <w:sz w:val="36"/>
          <w:szCs w:val="36"/>
          <w:rtl/>
        </w:rPr>
        <w:t>تفهيم هذا المعنى المعين هو توقف الدلال</w:t>
      </w:r>
      <w:r w:rsidR="00EC7EDF" w:rsidRPr="00FD211F">
        <w:rPr>
          <w:sz w:val="36"/>
          <w:szCs w:val="36"/>
          <w:rtl/>
        </w:rPr>
        <w:t xml:space="preserve">ة </w:t>
      </w:r>
      <w:r w:rsidRPr="00FD211F">
        <w:rPr>
          <w:sz w:val="36"/>
          <w:szCs w:val="36"/>
          <w:rtl/>
        </w:rPr>
        <w:t>على وجود اراد</w:t>
      </w:r>
      <w:r w:rsidR="00EC7EDF" w:rsidRPr="00FD211F">
        <w:rPr>
          <w:sz w:val="36"/>
          <w:szCs w:val="36"/>
          <w:rtl/>
        </w:rPr>
        <w:t xml:space="preserve">ة </w:t>
      </w:r>
      <w:r w:rsidRPr="00FD211F">
        <w:rPr>
          <w:sz w:val="36"/>
          <w:szCs w:val="36"/>
          <w:rtl/>
        </w:rPr>
        <w:t>تفهيم هذا المعنى المعين</w:t>
      </w:r>
      <w:r w:rsidR="00603323" w:rsidRPr="00FD211F">
        <w:rPr>
          <w:sz w:val="36"/>
          <w:szCs w:val="36"/>
          <w:rtl/>
        </w:rPr>
        <w:t xml:space="preserve">، </w:t>
      </w:r>
      <w:r w:rsidRPr="00FD211F">
        <w:rPr>
          <w:sz w:val="36"/>
          <w:szCs w:val="36"/>
          <w:rtl/>
        </w:rPr>
        <w:t>فلابد من احراز وجود هذه الإراد</w:t>
      </w:r>
      <w:r w:rsidR="00EC7EDF" w:rsidRPr="00FD211F">
        <w:rPr>
          <w:sz w:val="36"/>
          <w:szCs w:val="36"/>
          <w:rtl/>
        </w:rPr>
        <w:t xml:space="preserve">ة </w:t>
      </w:r>
      <w:r w:rsidRPr="00FD211F">
        <w:rPr>
          <w:sz w:val="36"/>
          <w:szCs w:val="36"/>
          <w:rtl/>
        </w:rPr>
        <w:t>من طريق آخر كي يحرز فعلي</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للّفظ بينما يراد من تقييد المعنى بإراد</w:t>
      </w:r>
      <w:r w:rsidR="00EC7EDF" w:rsidRPr="00FD211F">
        <w:rPr>
          <w:sz w:val="36"/>
          <w:szCs w:val="36"/>
          <w:rtl/>
        </w:rPr>
        <w:t xml:space="preserve">ة </w:t>
      </w:r>
      <w:r w:rsidRPr="00FD211F">
        <w:rPr>
          <w:sz w:val="36"/>
          <w:szCs w:val="36"/>
          <w:rtl/>
        </w:rPr>
        <w:t>تفهيمه هو استكشاف وجود هذه الإراد</w:t>
      </w:r>
      <w:r w:rsidR="00EC7EDF" w:rsidRPr="00FD211F">
        <w:rPr>
          <w:sz w:val="36"/>
          <w:szCs w:val="36"/>
          <w:rtl/>
        </w:rPr>
        <w:t xml:space="preserve">ة </w:t>
      </w:r>
      <w:r w:rsidRPr="00FD211F">
        <w:rPr>
          <w:sz w:val="36"/>
          <w:szCs w:val="36"/>
          <w:rtl/>
        </w:rPr>
        <w:t>من نفس اللفظ</w:t>
      </w:r>
      <w:r w:rsidR="00603323" w:rsidRPr="00FD211F">
        <w:rPr>
          <w:sz w:val="36"/>
          <w:szCs w:val="36"/>
          <w:rtl/>
        </w:rPr>
        <w:t xml:space="preserve">، </w:t>
      </w:r>
      <w:r w:rsidRPr="00FD211F">
        <w:rPr>
          <w:sz w:val="36"/>
          <w:szCs w:val="36"/>
          <w:rtl/>
        </w:rPr>
        <w:t>هذا غاي</w:t>
      </w:r>
      <w:r w:rsidR="00EC7EDF" w:rsidRPr="00FD211F">
        <w:rPr>
          <w:sz w:val="36"/>
          <w:szCs w:val="36"/>
          <w:rtl/>
        </w:rPr>
        <w:t xml:space="preserve">ة </w:t>
      </w:r>
      <w:r w:rsidRPr="00FD211F">
        <w:rPr>
          <w:sz w:val="36"/>
          <w:szCs w:val="36"/>
          <w:rtl/>
        </w:rPr>
        <w:t>ما يمكن ان يقرب به امكان 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تابع</w:t>
      </w:r>
      <w:r w:rsidR="00EC7EDF" w:rsidRPr="00FD211F">
        <w:rPr>
          <w:sz w:val="36"/>
          <w:szCs w:val="36"/>
          <w:rtl/>
        </w:rPr>
        <w:t xml:space="preserve">ة </w:t>
      </w:r>
      <w:r w:rsidRPr="00FD211F">
        <w:rPr>
          <w:sz w:val="36"/>
          <w:szCs w:val="36"/>
          <w:rtl/>
        </w:rPr>
        <w:t>للإراد</w:t>
      </w:r>
      <w:r w:rsidR="00EC7EDF" w:rsidRPr="00FD211F">
        <w:rPr>
          <w:sz w:val="36"/>
          <w:szCs w:val="36"/>
          <w:rtl/>
        </w:rPr>
        <w:t xml:space="preserve">ة </w:t>
      </w:r>
      <w:r w:rsidRPr="00FD211F">
        <w:rPr>
          <w:sz w:val="36"/>
          <w:szCs w:val="36"/>
          <w:rtl/>
        </w:rPr>
        <w:t>وكونها دلال</w:t>
      </w:r>
      <w:r w:rsidR="00EC7EDF" w:rsidRPr="00FD211F">
        <w:rPr>
          <w:sz w:val="36"/>
          <w:szCs w:val="36"/>
          <w:rtl/>
        </w:rPr>
        <w:t xml:space="preserve">ة </w:t>
      </w:r>
      <w:r w:rsidRPr="00FD211F">
        <w:rPr>
          <w:sz w:val="36"/>
          <w:szCs w:val="36"/>
          <w:rtl/>
        </w:rPr>
        <w:t>تصديقي</w:t>
      </w:r>
      <w:r w:rsidR="00EC7EDF" w:rsidRPr="00FD211F">
        <w:rPr>
          <w:sz w:val="36"/>
          <w:szCs w:val="36"/>
          <w:rtl/>
        </w:rPr>
        <w:t xml:space="preserve">ة </w:t>
      </w:r>
      <w:r w:rsidRPr="00FD211F">
        <w:rPr>
          <w:sz w:val="36"/>
          <w:szCs w:val="36"/>
          <w:rtl/>
        </w:rPr>
        <w:t>حتى بناء على مسلك القرن الأكيد.</w:t>
      </w:r>
    </w:p>
    <w:p w14:paraId="6275E472" w14:textId="77777777" w:rsidR="000D11F4" w:rsidRPr="00FD211F" w:rsidRDefault="000D11F4" w:rsidP="009C58C8">
      <w:pPr>
        <w:ind w:left="0" w:firstLine="227"/>
        <w:jc w:val="both"/>
        <w:rPr>
          <w:sz w:val="36"/>
          <w:szCs w:val="36"/>
          <w:rtl/>
        </w:rPr>
      </w:pPr>
      <w:bookmarkStart w:id="287" w:name="درس023"/>
      <w:bookmarkEnd w:id="287"/>
      <w:r w:rsidRPr="00FD211F">
        <w:rPr>
          <w:sz w:val="36"/>
          <w:szCs w:val="36"/>
          <w:rtl/>
        </w:rPr>
        <w:t>ولكن هذا التخيل بمعزل عن الصواب</w:t>
      </w:r>
      <w:r w:rsidR="00603323" w:rsidRPr="00FD211F">
        <w:rPr>
          <w:sz w:val="36"/>
          <w:szCs w:val="36"/>
          <w:rtl/>
        </w:rPr>
        <w:t xml:space="preserve">، </w:t>
      </w:r>
      <w:r w:rsidRPr="00FD211F">
        <w:rPr>
          <w:sz w:val="36"/>
          <w:szCs w:val="36"/>
          <w:rtl/>
        </w:rPr>
        <w:t>فان تقييد احد طرفي الاقتران الأكيد وهو اللفظ او المعنى وان كان معقولا بان يكون اللفظ المقرون بالتنوين مثلا موضوعا على معنى</w:t>
      </w:r>
      <w:r w:rsidR="00603323" w:rsidRPr="00FD211F">
        <w:rPr>
          <w:sz w:val="36"/>
          <w:szCs w:val="36"/>
          <w:rtl/>
        </w:rPr>
        <w:t xml:space="preserve">، </w:t>
      </w:r>
      <w:r w:rsidRPr="00FD211F">
        <w:rPr>
          <w:sz w:val="36"/>
          <w:szCs w:val="36"/>
          <w:rtl/>
        </w:rPr>
        <w:t>او يقيد المعنى بقيد كأن يوضع لفظ</w:t>
      </w:r>
      <w:r w:rsidR="004C23B2" w:rsidRPr="00FD211F">
        <w:rPr>
          <w:sz w:val="36"/>
          <w:szCs w:val="36"/>
          <w:rtl/>
        </w:rPr>
        <w:t>"</w:t>
      </w:r>
      <w:r w:rsidRPr="00FD211F">
        <w:rPr>
          <w:sz w:val="36"/>
          <w:szCs w:val="36"/>
          <w:rtl/>
        </w:rPr>
        <w:t xml:space="preserve"> الرجل</w:t>
      </w:r>
      <w:r w:rsidR="004C23B2" w:rsidRPr="00FD211F">
        <w:rPr>
          <w:sz w:val="36"/>
          <w:szCs w:val="36"/>
          <w:rtl/>
        </w:rPr>
        <w:t>"</w:t>
      </w:r>
      <w:r w:rsidRPr="00FD211F">
        <w:rPr>
          <w:sz w:val="36"/>
          <w:szCs w:val="36"/>
          <w:rtl/>
        </w:rPr>
        <w:t xml:space="preserve"> على الانسان المذكّر مثلا</w:t>
      </w:r>
      <w:r w:rsidR="00603323" w:rsidRPr="00FD211F">
        <w:rPr>
          <w:sz w:val="36"/>
          <w:szCs w:val="36"/>
          <w:rtl/>
        </w:rPr>
        <w:t xml:space="preserve">، </w:t>
      </w:r>
      <w:r w:rsidRPr="00FD211F">
        <w:rPr>
          <w:sz w:val="36"/>
          <w:szCs w:val="36"/>
          <w:rtl/>
        </w:rPr>
        <w:t>الا ان ما هو المعقول هو تقييد اللفظ او المعنى بقيد تصوري</w:t>
      </w:r>
      <w:r w:rsidR="00603323" w:rsidRPr="00FD211F">
        <w:rPr>
          <w:sz w:val="36"/>
          <w:szCs w:val="36"/>
          <w:rtl/>
        </w:rPr>
        <w:t xml:space="preserve">، </w:t>
      </w:r>
      <w:r w:rsidRPr="00FD211F">
        <w:rPr>
          <w:sz w:val="36"/>
          <w:szCs w:val="36"/>
          <w:rtl/>
        </w:rPr>
        <w:t xml:space="preserve">فلفظ </w:t>
      </w:r>
      <w:r w:rsidR="004C23B2" w:rsidRPr="00FD211F">
        <w:rPr>
          <w:sz w:val="36"/>
          <w:szCs w:val="36"/>
          <w:rtl/>
        </w:rPr>
        <w:t>"</w:t>
      </w:r>
      <w:r w:rsidRPr="00FD211F">
        <w:rPr>
          <w:sz w:val="36"/>
          <w:szCs w:val="36"/>
          <w:rtl/>
        </w:rPr>
        <w:t>زيد</w:t>
      </w:r>
      <w:r w:rsidR="004C23B2" w:rsidRPr="00FD211F">
        <w:rPr>
          <w:sz w:val="36"/>
          <w:szCs w:val="36"/>
          <w:rtl/>
        </w:rPr>
        <w:t>"</w:t>
      </w:r>
      <w:r w:rsidRPr="00FD211F">
        <w:rPr>
          <w:sz w:val="36"/>
          <w:szCs w:val="36"/>
          <w:rtl/>
        </w:rPr>
        <w:t xml:space="preserve"> حينما يراد قرنه بمعناه قد يقيد بالتنوين مثلا</w:t>
      </w:r>
      <w:r w:rsidR="00603323" w:rsidRPr="00FD211F">
        <w:rPr>
          <w:sz w:val="36"/>
          <w:szCs w:val="36"/>
          <w:rtl/>
        </w:rPr>
        <w:t xml:space="preserve">، </w:t>
      </w:r>
      <w:r w:rsidRPr="00FD211F">
        <w:rPr>
          <w:sz w:val="36"/>
          <w:szCs w:val="36"/>
          <w:rtl/>
        </w:rPr>
        <w:t>ولكنه يعني أخذ صور</w:t>
      </w:r>
      <w:r w:rsidR="00EC7EDF" w:rsidRPr="00FD211F">
        <w:rPr>
          <w:sz w:val="36"/>
          <w:szCs w:val="36"/>
          <w:rtl/>
        </w:rPr>
        <w:t xml:space="preserve">ة </w:t>
      </w:r>
      <w:r w:rsidRPr="00FD211F">
        <w:rPr>
          <w:sz w:val="36"/>
          <w:szCs w:val="36"/>
          <w:rtl/>
        </w:rPr>
        <w:t>اللفظ المنوّن وجعلها تقترن بصور</w:t>
      </w:r>
      <w:r w:rsidR="00EC7EDF" w:rsidRPr="00FD211F">
        <w:rPr>
          <w:sz w:val="36"/>
          <w:szCs w:val="36"/>
          <w:rtl/>
        </w:rPr>
        <w:t xml:space="preserve">ة </w:t>
      </w:r>
      <w:r w:rsidRPr="00FD211F">
        <w:rPr>
          <w:sz w:val="36"/>
          <w:szCs w:val="36"/>
          <w:rtl/>
        </w:rPr>
        <w:t>معنى خاص</w:t>
      </w:r>
      <w:r w:rsidR="00603323" w:rsidRPr="00FD211F">
        <w:rPr>
          <w:sz w:val="36"/>
          <w:szCs w:val="36"/>
          <w:rtl/>
        </w:rPr>
        <w:t xml:space="preserve">، </w:t>
      </w:r>
      <w:r w:rsidRPr="00FD211F">
        <w:rPr>
          <w:sz w:val="36"/>
          <w:szCs w:val="36"/>
          <w:rtl/>
        </w:rPr>
        <w:t>وكذا لو فرض وضع اللفظ الصادر في الليل مثلا على معنى معين فيستلزم تصور صدور هذا اللفظ في الليل انتقال الذهن الى تصور المعنى.</w:t>
      </w:r>
    </w:p>
    <w:p w14:paraId="5FC9C1AE" w14:textId="77777777" w:rsidR="000D11F4" w:rsidRPr="00FD211F" w:rsidRDefault="000D11F4" w:rsidP="009C58C8">
      <w:pPr>
        <w:ind w:left="0" w:firstLine="227"/>
        <w:jc w:val="both"/>
        <w:rPr>
          <w:sz w:val="36"/>
          <w:szCs w:val="36"/>
          <w:rtl/>
        </w:rPr>
      </w:pPr>
      <w:r w:rsidRPr="00FD211F">
        <w:rPr>
          <w:sz w:val="36"/>
          <w:szCs w:val="36"/>
          <w:rtl/>
        </w:rPr>
        <w:t>وأما تقييد اللفظ باقترانه خارجا بوجود إراد</w:t>
      </w:r>
      <w:r w:rsidR="00EC7EDF" w:rsidRPr="00FD211F">
        <w:rPr>
          <w:sz w:val="36"/>
          <w:szCs w:val="36"/>
          <w:rtl/>
        </w:rPr>
        <w:t xml:space="preserve">ة </w:t>
      </w:r>
      <w:r w:rsidRPr="00FD211F">
        <w:rPr>
          <w:sz w:val="36"/>
          <w:szCs w:val="36"/>
          <w:rtl/>
        </w:rPr>
        <w:t>تفهيم معنىً بحيث تكون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تابع</w:t>
      </w:r>
      <w:r w:rsidR="00EC7EDF" w:rsidRPr="00FD211F">
        <w:rPr>
          <w:sz w:val="36"/>
          <w:szCs w:val="36"/>
          <w:rtl/>
        </w:rPr>
        <w:t xml:space="preserve">ة </w:t>
      </w:r>
      <w:r w:rsidRPr="00FD211F">
        <w:rPr>
          <w:sz w:val="36"/>
          <w:szCs w:val="36"/>
          <w:rtl/>
        </w:rPr>
        <w:t>للإراد</w:t>
      </w:r>
      <w:r w:rsidR="00EC7EDF" w:rsidRPr="00FD211F">
        <w:rPr>
          <w:sz w:val="36"/>
          <w:szCs w:val="36"/>
          <w:rtl/>
        </w:rPr>
        <w:t xml:space="preserve">ة </w:t>
      </w:r>
      <w:r w:rsidRPr="00FD211F">
        <w:rPr>
          <w:sz w:val="36"/>
          <w:szCs w:val="36"/>
          <w:rtl/>
        </w:rPr>
        <w:t>بحيث لو تجرد اللفظ عنها لبقي مهملا فهو غير معقول</w:t>
      </w:r>
      <w:r w:rsidR="00603323" w:rsidRPr="00FD211F">
        <w:rPr>
          <w:sz w:val="36"/>
          <w:szCs w:val="36"/>
          <w:rtl/>
        </w:rPr>
        <w:t xml:space="preserve">، </w:t>
      </w:r>
      <w:r w:rsidRPr="00FD211F">
        <w:rPr>
          <w:sz w:val="36"/>
          <w:szCs w:val="36"/>
          <w:rtl/>
        </w:rPr>
        <w:t>لان المقصود ان كان هو جعل وجود الإراد</w:t>
      </w:r>
      <w:r w:rsidR="00EC7EDF" w:rsidRPr="00FD211F">
        <w:rPr>
          <w:sz w:val="36"/>
          <w:szCs w:val="36"/>
          <w:rtl/>
        </w:rPr>
        <w:t xml:space="preserve">ة </w:t>
      </w:r>
      <w:r w:rsidRPr="00FD211F">
        <w:rPr>
          <w:sz w:val="36"/>
          <w:szCs w:val="36"/>
          <w:rtl/>
        </w:rPr>
        <w:t>واقعا قيدا في اللفظ الموضوع بحيث يكون هو سببا لانتقال السامع الى صور</w:t>
      </w:r>
      <w:r w:rsidR="00EC7EDF" w:rsidRPr="00FD211F">
        <w:rPr>
          <w:sz w:val="36"/>
          <w:szCs w:val="36"/>
          <w:rtl/>
        </w:rPr>
        <w:t xml:space="preserve">ة </w:t>
      </w:r>
      <w:r w:rsidRPr="00FD211F">
        <w:rPr>
          <w:sz w:val="36"/>
          <w:szCs w:val="36"/>
          <w:rtl/>
        </w:rPr>
        <w:t>المعنى فهذا يعني ان إراد</w:t>
      </w:r>
      <w:r w:rsidR="00EC7EDF" w:rsidRPr="00FD211F">
        <w:rPr>
          <w:sz w:val="36"/>
          <w:szCs w:val="36"/>
          <w:rtl/>
        </w:rPr>
        <w:t xml:space="preserve">ة </w:t>
      </w:r>
      <w:r w:rsidRPr="00FD211F">
        <w:rPr>
          <w:sz w:val="36"/>
          <w:szCs w:val="36"/>
          <w:rtl/>
        </w:rPr>
        <w:t>المتكلم بوجودها الواقعي تكون مؤثر</w:t>
      </w:r>
      <w:r w:rsidR="00EC7EDF" w:rsidRPr="00FD211F">
        <w:rPr>
          <w:sz w:val="36"/>
          <w:szCs w:val="36"/>
          <w:rtl/>
        </w:rPr>
        <w:t xml:space="preserve">ة </w:t>
      </w:r>
      <w:r w:rsidRPr="00FD211F">
        <w:rPr>
          <w:sz w:val="36"/>
          <w:szCs w:val="36"/>
          <w:rtl/>
        </w:rPr>
        <w:t>في تصور السامع للمعنى</w:t>
      </w:r>
      <w:r w:rsidR="00603323" w:rsidRPr="00FD211F">
        <w:rPr>
          <w:sz w:val="36"/>
          <w:szCs w:val="36"/>
          <w:rtl/>
        </w:rPr>
        <w:t xml:space="preserve">، </w:t>
      </w:r>
      <w:r w:rsidRPr="00FD211F">
        <w:rPr>
          <w:sz w:val="36"/>
          <w:szCs w:val="36"/>
          <w:rtl/>
        </w:rPr>
        <w:t>وهذا باطل جزما.</w:t>
      </w:r>
    </w:p>
    <w:p w14:paraId="5A180900" w14:textId="77777777" w:rsidR="000D11F4" w:rsidRPr="00FD211F" w:rsidRDefault="000D11F4" w:rsidP="009C58C8">
      <w:pPr>
        <w:ind w:left="0" w:firstLine="227"/>
        <w:jc w:val="both"/>
        <w:rPr>
          <w:sz w:val="36"/>
          <w:szCs w:val="36"/>
          <w:rtl/>
        </w:rPr>
      </w:pPr>
      <w:r w:rsidRPr="00FD211F">
        <w:rPr>
          <w:sz w:val="36"/>
          <w:szCs w:val="36"/>
          <w:rtl/>
        </w:rPr>
        <w:t>وان كان المقصود جعل علم السامع بإراد</w:t>
      </w:r>
      <w:r w:rsidR="00EC7EDF" w:rsidRPr="00FD211F">
        <w:rPr>
          <w:sz w:val="36"/>
          <w:szCs w:val="36"/>
          <w:rtl/>
        </w:rPr>
        <w:t xml:space="preserve">ة </w:t>
      </w:r>
      <w:r w:rsidRPr="00FD211F">
        <w:rPr>
          <w:sz w:val="36"/>
          <w:szCs w:val="36"/>
          <w:rtl/>
        </w:rPr>
        <w:t>المتكلم لتفهيم معنىً قيدا في اللفظ الموضوع بحيث يكون انتقال السامع الى صور</w:t>
      </w:r>
      <w:r w:rsidR="00EC7EDF" w:rsidRPr="00FD211F">
        <w:rPr>
          <w:sz w:val="36"/>
          <w:szCs w:val="36"/>
          <w:rtl/>
        </w:rPr>
        <w:t xml:space="preserve">ة </w:t>
      </w:r>
      <w:r w:rsidRPr="00FD211F">
        <w:rPr>
          <w:sz w:val="36"/>
          <w:szCs w:val="36"/>
          <w:rtl/>
        </w:rPr>
        <w:t>المعنى مسببا عن تصور اللفظ وعن علمه بإراد</w:t>
      </w:r>
      <w:r w:rsidR="00EC7EDF" w:rsidRPr="00FD211F">
        <w:rPr>
          <w:sz w:val="36"/>
          <w:szCs w:val="36"/>
          <w:rtl/>
        </w:rPr>
        <w:t xml:space="preserve">ة </w:t>
      </w:r>
      <w:r w:rsidRPr="00FD211F">
        <w:rPr>
          <w:sz w:val="36"/>
          <w:szCs w:val="36"/>
          <w:rtl/>
        </w:rPr>
        <w:t>المتكلم لتفهيم معنىً ففيه: أنه وان امكن حصول الاقتران المتكرر بين صدور لفظ الماء مثلا عن اللافظ في حال إرادته لتفهيم معنى</w:t>
      </w:r>
      <w:r w:rsidRPr="00FD211F">
        <w:rPr>
          <w:sz w:val="36"/>
          <w:szCs w:val="36"/>
          <w:rtl/>
        </w:rPr>
        <w:softHyphen/>
        <w:t>مّا</w:t>
      </w:r>
      <w:r w:rsidR="00603323" w:rsidRPr="00FD211F">
        <w:rPr>
          <w:sz w:val="36"/>
          <w:szCs w:val="36"/>
          <w:rtl/>
        </w:rPr>
        <w:t xml:space="preserve">، </w:t>
      </w:r>
      <w:r w:rsidRPr="00FD211F">
        <w:rPr>
          <w:sz w:val="36"/>
          <w:szCs w:val="36"/>
          <w:rtl/>
        </w:rPr>
        <w:t>وبين إراد</w:t>
      </w:r>
      <w:r w:rsidR="00EC7EDF" w:rsidRPr="00FD211F">
        <w:rPr>
          <w:sz w:val="36"/>
          <w:szCs w:val="36"/>
          <w:rtl/>
        </w:rPr>
        <w:t xml:space="preserve">ة </w:t>
      </w:r>
      <w:r w:rsidRPr="00FD211F">
        <w:rPr>
          <w:sz w:val="36"/>
          <w:szCs w:val="36"/>
          <w:rtl/>
        </w:rPr>
        <w:t>هذا اللافظ تفهيم معنى الماء دون معنى آخر</w:t>
      </w:r>
      <w:r w:rsidR="00603323" w:rsidRPr="00FD211F">
        <w:rPr>
          <w:sz w:val="36"/>
          <w:szCs w:val="36"/>
          <w:rtl/>
        </w:rPr>
        <w:t xml:space="preserve">، </w:t>
      </w:r>
      <w:r w:rsidRPr="00FD211F">
        <w:rPr>
          <w:sz w:val="36"/>
          <w:szCs w:val="36"/>
          <w:rtl/>
        </w:rPr>
        <w:t>وهذا الاقتران المتكرر يوجب حصول حال</w:t>
      </w:r>
      <w:r w:rsidR="00EC7EDF" w:rsidRPr="00FD211F">
        <w:rPr>
          <w:sz w:val="36"/>
          <w:szCs w:val="36"/>
          <w:rtl/>
        </w:rPr>
        <w:t xml:space="preserve">ة </w:t>
      </w:r>
      <w:r w:rsidRPr="00FD211F">
        <w:rPr>
          <w:sz w:val="36"/>
          <w:szCs w:val="36"/>
          <w:rtl/>
        </w:rPr>
        <w:t>في ال</w:t>
      </w:r>
      <w:r w:rsidR="004C23B2" w:rsidRPr="00FD211F">
        <w:rPr>
          <w:sz w:val="36"/>
          <w:szCs w:val="36"/>
          <w:rtl/>
        </w:rPr>
        <w:t>ذهن</w:t>
      </w:r>
      <w:r w:rsidRPr="00FD211F">
        <w:rPr>
          <w:sz w:val="36"/>
          <w:szCs w:val="36"/>
          <w:rtl/>
        </w:rPr>
        <w:t xml:space="preserve"> وهو انه اذا تصور الشخص هذا اللفظ وتصور صدوره في حال إراد</w:t>
      </w:r>
      <w:r w:rsidR="00EC7EDF" w:rsidRPr="00FD211F">
        <w:rPr>
          <w:sz w:val="36"/>
          <w:szCs w:val="36"/>
          <w:rtl/>
        </w:rPr>
        <w:t xml:space="preserve">ة </w:t>
      </w:r>
      <w:r w:rsidRPr="00FD211F">
        <w:rPr>
          <w:sz w:val="36"/>
          <w:szCs w:val="36"/>
          <w:rtl/>
        </w:rPr>
        <w:t>تفهي</w:t>
      </w:r>
      <w:r w:rsidR="004C23B2" w:rsidRPr="00FD211F">
        <w:rPr>
          <w:sz w:val="36"/>
          <w:szCs w:val="36"/>
          <w:rtl/>
        </w:rPr>
        <w:t xml:space="preserve">م معنى فينتقل </w:t>
      </w:r>
      <w:r w:rsidRPr="00FD211F">
        <w:rPr>
          <w:sz w:val="36"/>
          <w:szCs w:val="36"/>
          <w:rtl/>
        </w:rPr>
        <w:t>ذهن</w:t>
      </w:r>
      <w:r w:rsidR="004C23B2" w:rsidRPr="00FD211F">
        <w:rPr>
          <w:sz w:val="36"/>
          <w:szCs w:val="36"/>
          <w:rtl/>
        </w:rPr>
        <w:t>ه</w:t>
      </w:r>
      <w:r w:rsidRPr="00FD211F">
        <w:rPr>
          <w:sz w:val="36"/>
          <w:szCs w:val="36"/>
          <w:rtl/>
        </w:rPr>
        <w:t xml:space="preserve"> الى تصور معنى الماء</w:t>
      </w:r>
      <w:r w:rsidR="00603323" w:rsidRPr="00FD211F">
        <w:rPr>
          <w:sz w:val="36"/>
          <w:szCs w:val="36"/>
          <w:rtl/>
        </w:rPr>
        <w:t xml:space="preserve">، </w:t>
      </w:r>
      <w:r w:rsidRPr="00FD211F">
        <w:rPr>
          <w:sz w:val="36"/>
          <w:szCs w:val="36"/>
          <w:rtl/>
        </w:rPr>
        <w:t>فلاتكون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التي هي القرن الأكيد حسب الفرض تابع</w:t>
      </w:r>
      <w:r w:rsidR="00EC7EDF" w:rsidRPr="00FD211F">
        <w:rPr>
          <w:sz w:val="36"/>
          <w:szCs w:val="36"/>
          <w:rtl/>
        </w:rPr>
        <w:t xml:space="preserve">ة </w:t>
      </w:r>
      <w:r w:rsidRPr="00FD211F">
        <w:rPr>
          <w:sz w:val="36"/>
          <w:szCs w:val="36"/>
          <w:rtl/>
        </w:rPr>
        <w:t>لوجود إراد</w:t>
      </w:r>
      <w:r w:rsidR="00EC7EDF" w:rsidRPr="00FD211F">
        <w:rPr>
          <w:sz w:val="36"/>
          <w:szCs w:val="36"/>
          <w:rtl/>
        </w:rPr>
        <w:t xml:space="preserve">ة </w:t>
      </w:r>
      <w:r w:rsidRPr="00FD211F">
        <w:rPr>
          <w:sz w:val="36"/>
          <w:szCs w:val="36"/>
          <w:rtl/>
        </w:rPr>
        <w:t>اللافظ لتفهيم معنى بهذا اللفظ</w:t>
      </w:r>
      <w:r w:rsidR="00603323" w:rsidRPr="00FD211F">
        <w:rPr>
          <w:sz w:val="36"/>
          <w:szCs w:val="36"/>
          <w:rtl/>
        </w:rPr>
        <w:t xml:space="preserve">، </w:t>
      </w:r>
      <w:r w:rsidRPr="00FD211F">
        <w:rPr>
          <w:sz w:val="36"/>
          <w:szCs w:val="36"/>
          <w:rtl/>
        </w:rPr>
        <w:t>بل يكون تصور السامع لإراد</w:t>
      </w:r>
      <w:r w:rsidR="00EC7EDF" w:rsidRPr="00FD211F">
        <w:rPr>
          <w:sz w:val="36"/>
          <w:szCs w:val="36"/>
          <w:rtl/>
        </w:rPr>
        <w:t xml:space="preserve">ة </w:t>
      </w:r>
      <w:r w:rsidRPr="00FD211F">
        <w:rPr>
          <w:sz w:val="36"/>
          <w:szCs w:val="36"/>
          <w:rtl/>
        </w:rPr>
        <w:t>المتكلم لتفهيم معنى سببا للانتقال</w:t>
      </w:r>
      <w:r w:rsidR="00603323" w:rsidRPr="00FD211F">
        <w:rPr>
          <w:sz w:val="36"/>
          <w:szCs w:val="36"/>
          <w:rtl/>
        </w:rPr>
        <w:t xml:space="preserve">، </w:t>
      </w:r>
      <w:r w:rsidRPr="00FD211F">
        <w:rPr>
          <w:sz w:val="36"/>
          <w:szCs w:val="36"/>
          <w:rtl/>
        </w:rPr>
        <w:t>فيكون انتقال السامع الى صور</w:t>
      </w:r>
      <w:r w:rsidR="00EC7EDF" w:rsidRPr="00FD211F">
        <w:rPr>
          <w:sz w:val="36"/>
          <w:szCs w:val="36"/>
          <w:rtl/>
        </w:rPr>
        <w:t xml:space="preserve">ة </w:t>
      </w:r>
      <w:r w:rsidRPr="00FD211F">
        <w:rPr>
          <w:sz w:val="36"/>
          <w:szCs w:val="36"/>
          <w:rtl/>
        </w:rPr>
        <w:t>المعنى مسببا عن تصور اللفظ وتصوره إراد</w:t>
      </w:r>
      <w:r w:rsidR="00EC7EDF" w:rsidRPr="00FD211F">
        <w:rPr>
          <w:sz w:val="36"/>
          <w:szCs w:val="36"/>
          <w:rtl/>
        </w:rPr>
        <w:t xml:space="preserve">ة </w:t>
      </w:r>
      <w:r w:rsidRPr="00FD211F">
        <w:rPr>
          <w:sz w:val="36"/>
          <w:szCs w:val="36"/>
          <w:rtl/>
        </w:rPr>
        <w:t>المتكلم بتفهيم معنىً</w:t>
      </w:r>
      <w:r w:rsidR="00603323" w:rsidRPr="00FD211F">
        <w:rPr>
          <w:sz w:val="36"/>
          <w:szCs w:val="36"/>
          <w:rtl/>
        </w:rPr>
        <w:t xml:space="preserve">، </w:t>
      </w:r>
      <w:r w:rsidRPr="00FD211F">
        <w:rPr>
          <w:sz w:val="36"/>
          <w:szCs w:val="36"/>
          <w:rtl/>
        </w:rPr>
        <w:t>وهذا خروج عن فرض اخذ وجود إراد</w:t>
      </w:r>
      <w:r w:rsidR="00EC7EDF" w:rsidRPr="00FD211F">
        <w:rPr>
          <w:sz w:val="36"/>
          <w:szCs w:val="36"/>
          <w:rtl/>
        </w:rPr>
        <w:t xml:space="preserve">ة </w:t>
      </w:r>
      <w:r w:rsidRPr="00FD211F">
        <w:rPr>
          <w:sz w:val="36"/>
          <w:szCs w:val="36"/>
          <w:rtl/>
        </w:rPr>
        <w:t>المتكلم لتفهيم معنى قيدا في اللفظ.</w:t>
      </w:r>
    </w:p>
    <w:p w14:paraId="671E2834" w14:textId="77777777" w:rsidR="000D11F4" w:rsidRPr="00FD211F" w:rsidRDefault="000D11F4" w:rsidP="009C58C8">
      <w:pPr>
        <w:ind w:left="0" w:firstLine="227"/>
        <w:jc w:val="both"/>
        <w:rPr>
          <w:sz w:val="36"/>
          <w:szCs w:val="36"/>
          <w:rtl/>
        </w:rPr>
      </w:pPr>
      <w:r w:rsidRPr="00FD211F">
        <w:rPr>
          <w:sz w:val="36"/>
          <w:szCs w:val="36"/>
          <w:rtl/>
        </w:rPr>
        <w:t>وأما اخذ الإراد</w:t>
      </w:r>
      <w:r w:rsidR="00EC7EDF" w:rsidRPr="00FD211F">
        <w:rPr>
          <w:sz w:val="36"/>
          <w:szCs w:val="36"/>
          <w:rtl/>
        </w:rPr>
        <w:t xml:space="preserve">ة </w:t>
      </w:r>
      <w:r w:rsidRPr="00FD211F">
        <w:rPr>
          <w:sz w:val="36"/>
          <w:szCs w:val="36"/>
          <w:rtl/>
        </w:rPr>
        <w:t>قيدا في المعنى الموضوع له بان يحصل القرن الأكيد بين اللفظ والمعنى المقيد بإراد</w:t>
      </w:r>
      <w:r w:rsidR="00EC7EDF" w:rsidRPr="00FD211F">
        <w:rPr>
          <w:sz w:val="36"/>
          <w:szCs w:val="36"/>
          <w:rtl/>
        </w:rPr>
        <w:t xml:space="preserve">ة </w:t>
      </w:r>
      <w:r w:rsidRPr="00FD211F">
        <w:rPr>
          <w:sz w:val="36"/>
          <w:szCs w:val="36"/>
          <w:rtl/>
        </w:rPr>
        <w:t>تفهيمه حتى تصير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بذلك تصديقي</w:t>
      </w:r>
      <w:r w:rsidR="00EC7EDF" w:rsidRPr="00FD211F">
        <w:rPr>
          <w:sz w:val="36"/>
          <w:szCs w:val="36"/>
          <w:rtl/>
        </w:rPr>
        <w:t>ة</w:t>
      </w:r>
      <w:r w:rsidR="00603323" w:rsidRPr="00FD211F">
        <w:rPr>
          <w:sz w:val="36"/>
          <w:szCs w:val="36"/>
          <w:rtl/>
        </w:rPr>
        <w:t xml:space="preserve">، </w:t>
      </w:r>
      <w:r w:rsidRPr="00FD211F">
        <w:rPr>
          <w:sz w:val="36"/>
          <w:szCs w:val="36"/>
          <w:rtl/>
        </w:rPr>
        <w:t>اي كون اللفظ كاشفا عن وجود اراد</w:t>
      </w:r>
      <w:r w:rsidR="00EC7EDF" w:rsidRPr="00FD211F">
        <w:rPr>
          <w:sz w:val="36"/>
          <w:szCs w:val="36"/>
          <w:rtl/>
        </w:rPr>
        <w:t xml:space="preserve">ة </w:t>
      </w:r>
      <w:r w:rsidRPr="00FD211F">
        <w:rPr>
          <w:sz w:val="36"/>
          <w:szCs w:val="36"/>
          <w:rtl/>
        </w:rPr>
        <w:t>تفهيم المعنى ففيه: انه ان اريد اخذ مفهوم إراد</w:t>
      </w:r>
      <w:r w:rsidR="00EC7EDF" w:rsidRPr="00FD211F">
        <w:rPr>
          <w:sz w:val="36"/>
          <w:szCs w:val="36"/>
          <w:rtl/>
        </w:rPr>
        <w:t xml:space="preserve">ة </w:t>
      </w:r>
      <w:r w:rsidRPr="00FD211F">
        <w:rPr>
          <w:sz w:val="36"/>
          <w:szCs w:val="36"/>
          <w:rtl/>
        </w:rPr>
        <w:t>تفهيم المعنى قيدا فمن الواضح انه انما يجعل اللفظ سببا لتصور مفهوم اراد</w:t>
      </w:r>
      <w:r w:rsidR="00EC7EDF" w:rsidRPr="00FD211F">
        <w:rPr>
          <w:sz w:val="36"/>
          <w:szCs w:val="36"/>
          <w:rtl/>
        </w:rPr>
        <w:t xml:space="preserve">ة </w:t>
      </w:r>
      <w:r w:rsidRPr="00FD211F">
        <w:rPr>
          <w:sz w:val="36"/>
          <w:szCs w:val="36"/>
          <w:rtl/>
        </w:rPr>
        <w:t>تفهيم المعنى</w:t>
      </w:r>
      <w:r w:rsidR="00603323" w:rsidRPr="00FD211F">
        <w:rPr>
          <w:sz w:val="36"/>
          <w:szCs w:val="36"/>
          <w:rtl/>
        </w:rPr>
        <w:t xml:space="preserve">، </w:t>
      </w:r>
      <w:r w:rsidRPr="00FD211F">
        <w:rPr>
          <w:sz w:val="36"/>
          <w:szCs w:val="36"/>
          <w:rtl/>
        </w:rPr>
        <w:t>ولايكشف عن وجودها</w:t>
      </w:r>
      <w:r w:rsidR="00603323" w:rsidRPr="00FD211F">
        <w:rPr>
          <w:sz w:val="36"/>
          <w:szCs w:val="36"/>
          <w:rtl/>
        </w:rPr>
        <w:t xml:space="preserve">، </w:t>
      </w:r>
      <w:r w:rsidRPr="00FD211F">
        <w:rPr>
          <w:sz w:val="36"/>
          <w:szCs w:val="36"/>
          <w:rtl/>
        </w:rPr>
        <w:t>فتبقى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تصوري</w:t>
      </w:r>
      <w:r w:rsidR="00EC7EDF" w:rsidRPr="00FD211F">
        <w:rPr>
          <w:sz w:val="36"/>
          <w:szCs w:val="36"/>
          <w:rtl/>
        </w:rPr>
        <w:t>ة</w:t>
      </w:r>
      <w:r w:rsidR="00A61BAE" w:rsidRPr="00FD211F">
        <w:rPr>
          <w:sz w:val="36"/>
          <w:szCs w:val="36"/>
          <w:rtl/>
        </w:rPr>
        <w:t>.</w:t>
      </w:r>
    </w:p>
    <w:p w14:paraId="0AF93F9D" w14:textId="77777777" w:rsidR="000D11F4" w:rsidRPr="00FD211F" w:rsidRDefault="000D11F4" w:rsidP="009C58C8">
      <w:pPr>
        <w:ind w:left="0" w:firstLine="227"/>
        <w:jc w:val="both"/>
        <w:rPr>
          <w:sz w:val="36"/>
          <w:szCs w:val="36"/>
          <w:rtl/>
        </w:rPr>
      </w:pPr>
      <w:r w:rsidRPr="00FD211F">
        <w:rPr>
          <w:sz w:val="36"/>
          <w:szCs w:val="36"/>
          <w:rtl/>
        </w:rPr>
        <w:t>وان اريد اخذ وجود إراد</w:t>
      </w:r>
      <w:r w:rsidR="00EC7EDF" w:rsidRPr="00FD211F">
        <w:rPr>
          <w:sz w:val="36"/>
          <w:szCs w:val="36"/>
          <w:rtl/>
        </w:rPr>
        <w:t xml:space="preserve">ة </w:t>
      </w:r>
      <w:r w:rsidRPr="00FD211F">
        <w:rPr>
          <w:sz w:val="36"/>
          <w:szCs w:val="36"/>
          <w:rtl/>
        </w:rPr>
        <w:t>تفهيم المعنى قيدا في المعنى فهو غير معقول</w:t>
      </w:r>
      <w:r w:rsidR="00603323" w:rsidRPr="00FD211F">
        <w:rPr>
          <w:sz w:val="36"/>
          <w:szCs w:val="36"/>
          <w:rtl/>
        </w:rPr>
        <w:t xml:space="preserve">، </w:t>
      </w:r>
      <w:r w:rsidRPr="00FD211F">
        <w:rPr>
          <w:sz w:val="36"/>
          <w:szCs w:val="36"/>
          <w:rtl/>
        </w:rPr>
        <w:t>لانه لايمكن ان يحصل التلازم بين وجود الإراد</w:t>
      </w:r>
      <w:r w:rsidR="00EC7EDF" w:rsidRPr="00FD211F">
        <w:rPr>
          <w:sz w:val="36"/>
          <w:szCs w:val="36"/>
          <w:rtl/>
        </w:rPr>
        <w:t xml:space="preserve">ة </w:t>
      </w:r>
      <w:r w:rsidRPr="00FD211F">
        <w:rPr>
          <w:sz w:val="36"/>
          <w:szCs w:val="36"/>
          <w:rtl/>
        </w:rPr>
        <w:t>خارجا وبين صدور اللفظ فلايمكن ان يتكفل لايجاده فيه الا بتعهد الشخص بان لايصدر منه اللفظ الا عند وجود إراد</w:t>
      </w:r>
      <w:r w:rsidR="00EC7EDF" w:rsidRPr="00FD211F">
        <w:rPr>
          <w:sz w:val="36"/>
          <w:szCs w:val="36"/>
          <w:rtl/>
        </w:rPr>
        <w:t xml:space="preserve">ة </w:t>
      </w:r>
      <w:r w:rsidRPr="00FD211F">
        <w:rPr>
          <w:sz w:val="36"/>
          <w:szCs w:val="36"/>
          <w:rtl/>
        </w:rPr>
        <w:t>تفهيم المعنى</w:t>
      </w:r>
      <w:r w:rsidR="00603323" w:rsidRPr="00FD211F">
        <w:rPr>
          <w:sz w:val="36"/>
          <w:szCs w:val="36"/>
          <w:rtl/>
        </w:rPr>
        <w:t xml:space="preserve">، </w:t>
      </w:r>
      <w:r w:rsidRPr="00FD211F">
        <w:rPr>
          <w:sz w:val="36"/>
          <w:szCs w:val="36"/>
          <w:rtl/>
        </w:rPr>
        <w:t>فانه لولا هذا التعهد</w:t>
      </w:r>
      <w:r w:rsidR="008D7B3D" w:rsidRPr="00FD211F">
        <w:rPr>
          <w:sz w:val="36"/>
          <w:szCs w:val="36"/>
          <w:rtl/>
        </w:rPr>
        <w:t xml:space="preserve"> لم‌</w:t>
      </w:r>
      <w:r w:rsidRPr="00FD211F">
        <w:rPr>
          <w:sz w:val="36"/>
          <w:szCs w:val="36"/>
          <w:rtl/>
        </w:rPr>
        <w:t>يكن أيّ تلازم بين صدور اللفظ وبين اراد</w:t>
      </w:r>
      <w:r w:rsidR="00EC7EDF" w:rsidRPr="00FD211F">
        <w:rPr>
          <w:sz w:val="36"/>
          <w:szCs w:val="36"/>
          <w:rtl/>
        </w:rPr>
        <w:t xml:space="preserve">ة </w:t>
      </w:r>
      <w:r w:rsidRPr="00FD211F">
        <w:rPr>
          <w:sz w:val="36"/>
          <w:szCs w:val="36"/>
          <w:rtl/>
        </w:rPr>
        <w:t>اللافظ لتفهيم المعنى اذ يمكن صدور اللفظ على سبيل لقلق</w:t>
      </w:r>
      <w:r w:rsidR="00EC7EDF" w:rsidRPr="00FD211F">
        <w:rPr>
          <w:sz w:val="36"/>
          <w:szCs w:val="36"/>
          <w:rtl/>
        </w:rPr>
        <w:t xml:space="preserve">ة </w:t>
      </w:r>
      <w:r w:rsidRPr="00FD211F">
        <w:rPr>
          <w:sz w:val="36"/>
          <w:szCs w:val="36"/>
          <w:rtl/>
        </w:rPr>
        <w:t>لسان ونحو ذلك</w:t>
      </w:r>
      <w:r w:rsidR="00603323" w:rsidRPr="00FD211F">
        <w:rPr>
          <w:sz w:val="36"/>
          <w:szCs w:val="36"/>
          <w:rtl/>
        </w:rPr>
        <w:t xml:space="preserve">، </w:t>
      </w:r>
      <w:r w:rsidRPr="00FD211F">
        <w:rPr>
          <w:sz w:val="36"/>
          <w:szCs w:val="36"/>
          <w:rtl/>
        </w:rPr>
        <w:t>نعم يمكن ان يكون صدور اللفظ كاشفا ظنيا عن كون اللافظ بصدد تفهيم المعنى بمقتضى ظهوره الحالي النوعي النا</w:t>
      </w:r>
      <w:r w:rsidR="00251CB6" w:rsidRPr="00FD211F">
        <w:rPr>
          <w:sz w:val="36"/>
          <w:szCs w:val="36"/>
          <w:rtl/>
        </w:rPr>
        <w:t xml:space="preserve">شيء </w:t>
      </w:r>
      <w:r w:rsidRPr="00FD211F">
        <w:rPr>
          <w:sz w:val="36"/>
          <w:szCs w:val="36"/>
          <w:rtl/>
        </w:rPr>
        <w:t>من غلب</w:t>
      </w:r>
      <w:r w:rsidR="00EC7EDF" w:rsidRPr="00FD211F">
        <w:rPr>
          <w:sz w:val="36"/>
          <w:szCs w:val="36"/>
          <w:rtl/>
        </w:rPr>
        <w:t xml:space="preserve">ة </w:t>
      </w:r>
      <w:r w:rsidRPr="00FD211F">
        <w:rPr>
          <w:sz w:val="36"/>
          <w:szCs w:val="36"/>
          <w:rtl/>
        </w:rPr>
        <w:t>ان العاقل المتلفت لايأتي باللفظ من دون قصد تفهيم المعنى المرتبط به</w:t>
      </w:r>
      <w:r w:rsidR="00603323" w:rsidRPr="00FD211F">
        <w:rPr>
          <w:sz w:val="36"/>
          <w:szCs w:val="36"/>
          <w:rtl/>
        </w:rPr>
        <w:t xml:space="preserve">، </w:t>
      </w:r>
      <w:r w:rsidRPr="00FD211F">
        <w:rPr>
          <w:sz w:val="36"/>
          <w:szCs w:val="36"/>
          <w:rtl/>
        </w:rPr>
        <w:t>ولكنه غير القرن الأكيد المتحقق بين اللفظ والمعنى بحيث يوجب تصور اللفظ الانتقال الى تصور المعنى ولو صدر هذا اللفظ من لافظ بلاشعور او من تموج الهواء.</w:t>
      </w:r>
    </w:p>
    <w:p w14:paraId="170A3305" w14:textId="77777777" w:rsidR="000C5BBA" w:rsidRPr="00FD211F" w:rsidRDefault="000D11F4" w:rsidP="009C58C8">
      <w:pPr>
        <w:ind w:left="0" w:firstLine="227"/>
        <w:jc w:val="both"/>
        <w:rPr>
          <w:sz w:val="36"/>
          <w:szCs w:val="36"/>
          <w:rtl/>
        </w:rPr>
      </w:pPr>
      <w:r w:rsidRPr="00FD211F">
        <w:rPr>
          <w:sz w:val="36"/>
          <w:szCs w:val="36"/>
          <w:rtl/>
        </w:rPr>
        <w:t>والمتحصل انه لايمكن حصول التلازم بين صدور اللفظ من العاقل الملتفت وبين وجود اراد</w:t>
      </w:r>
      <w:r w:rsidR="00EC7EDF" w:rsidRPr="00FD211F">
        <w:rPr>
          <w:sz w:val="36"/>
          <w:szCs w:val="36"/>
          <w:rtl/>
        </w:rPr>
        <w:t xml:space="preserve">ة </w:t>
      </w:r>
      <w:r w:rsidRPr="00FD211F">
        <w:rPr>
          <w:sz w:val="36"/>
          <w:szCs w:val="36"/>
          <w:rtl/>
        </w:rPr>
        <w:t>تفهيمه للمعنى الا بالالتزام بمسلك التعهد</w:t>
      </w:r>
      <w:r w:rsidR="00603323" w:rsidRPr="00FD211F">
        <w:rPr>
          <w:sz w:val="36"/>
          <w:szCs w:val="36"/>
          <w:rtl/>
        </w:rPr>
        <w:t xml:space="preserve">، </w:t>
      </w:r>
      <w:r w:rsidRPr="00FD211F">
        <w:rPr>
          <w:sz w:val="36"/>
          <w:szCs w:val="36"/>
          <w:rtl/>
        </w:rPr>
        <w:t>وكلامنا ا</w:t>
      </w:r>
      <w:r w:rsidR="004C23B2" w:rsidRPr="00FD211F">
        <w:rPr>
          <w:sz w:val="36"/>
          <w:szCs w:val="36"/>
          <w:rtl/>
        </w:rPr>
        <w:t>لآن يبتني على مسلك القرن الأكيد.</w:t>
      </w:r>
    </w:p>
    <w:p w14:paraId="7D53F724" w14:textId="77777777" w:rsidR="00335193" w:rsidRPr="00FD211F" w:rsidRDefault="004C23B2" w:rsidP="009C58C8">
      <w:pPr>
        <w:ind w:left="0" w:firstLine="227"/>
        <w:jc w:val="both"/>
        <w:rPr>
          <w:sz w:val="36"/>
          <w:szCs w:val="36"/>
          <w:rtl/>
        </w:rPr>
      </w:pPr>
      <w:r w:rsidRPr="00FD211F">
        <w:rPr>
          <w:sz w:val="36"/>
          <w:szCs w:val="36"/>
          <w:rtl/>
        </w:rPr>
        <w:t xml:space="preserve">فالصحيح على </w:t>
      </w:r>
      <w:r w:rsidR="000D11F4" w:rsidRPr="00FD211F">
        <w:rPr>
          <w:sz w:val="36"/>
          <w:szCs w:val="36"/>
          <w:rtl/>
        </w:rPr>
        <w:t xml:space="preserve">مسلك </w:t>
      </w:r>
      <w:r w:rsidRPr="00FD211F">
        <w:rPr>
          <w:sz w:val="36"/>
          <w:szCs w:val="36"/>
          <w:rtl/>
        </w:rPr>
        <w:t xml:space="preserve">القرن الاكيد </w:t>
      </w:r>
      <w:r w:rsidR="000D11F4" w:rsidRPr="00FD211F">
        <w:rPr>
          <w:sz w:val="36"/>
          <w:szCs w:val="36"/>
          <w:rtl/>
        </w:rPr>
        <w:t>استحال</w:t>
      </w:r>
      <w:r w:rsidR="00EC7EDF" w:rsidRPr="00FD211F">
        <w:rPr>
          <w:sz w:val="36"/>
          <w:szCs w:val="36"/>
          <w:rtl/>
        </w:rPr>
        <w:t xml:space="preserve">ة </w:t>
      </w:r>
      <w:r w:rsidR="000D11F4" w:rsidRPr="00FD211F">
        <w:rPr>
          <w:sz w:val="36"/>
          <w:szCs w:val="36"/>
          <w:rtl/>
        </w:rPr>
        <w:t>تبعي</w:t>
      </w:r>
      <w:r w:rsidR="00EC7EDF" w:rsidRPr="00FD211F">
        <w:rPr>
          <w:sz w:val="36"/>
          <w:szCs w:val="36"/>
          <w:rtl/>
        </w:rPr>
        <w:t xml:space="preserve">ة </w:t>
      </w:r>
      <w:r w:rsidR="000D11F4" w:rsidRPr="00FD211F">
        <w:rPr>
          <w:sz w:val="36"/>
          <w:szCs w:val="36"/>
          <w:rtl/>
        </w:rPr>
        <w:t>الدلال</w:t>
      </w:r>
      <w:r w:rsidR="00EC7EDF" w:rsidRPr="00FD211F">
        <w:rPr>
          <w:sz w:val="36"/>
          <w:szCs w:val="36"/>
          <w:rtl/>
        </w:rPr>
        <w:t xml:space="preserve">ة </w:t>
      </w:r>
      <w:r w:rsidR="000D11F4" w:rsidRPr="00FD211F">
        <w:rPr>
          <w:sz w:val="36"/>
          <w:szCs w:val="36"/>
          <w:rtl/>
        </w:rPr>
        <w:t>الوضعي</w:t>
      </w:r>
      <w:r w:rsidR="00EC7EDF" w:rsidRPr="00FD211F">
        <w:rPr>
          <w:sz w:val="36"/>
          <w:szCs w:val="36"/>
          <w:rtl/>
        </w:rPr>
        <w:t xml:space="preserve">ة </w:t>
      </w:r>
      <w:r w:rsidR="000D11F4" w:rsidRPr="00FD211F">
        <w:rPr>
          <w:sz w:val="36"/>
          <w:szCs w:val="36"/>
          <w:rtl/>
        </w:rPr>
        <w:t>للإراد</w:t>
      </w:r>
      <w:r w:rsidR="00EC7EDF" w:rsidRPr="00FD211F">
        <w:rPr>
          <w:sz w:val="36"/>
          <w:szCs w:val="36"/>
          <w:rtl/>
        </w:rPr>
        <w:t xml:space="preserve">ة </w:t>
      </w:r>
      <w:r w:rsidR="000D11F4" w:rsidRPr="00FD211F">
        <w:rPr>
          <w:sz w:val="36"/>
          <w:szCs w:val="36"/>
          <w:rtl/>
        </w:rPr>
        <w:t>وكذا استحال</w:t>
      </w:r>
      <w:r w:rsidR="00EC7EDF" w:rsidRPr="00FD211F">
        <w:rPr>
          <w:sz w:val="36"/>
          <w:szCs w:val="36"/>
          <w:rtl/>
        </w:rPr>
        <w:t xml:space="preserve">ة </w:t>
      </w:r>
      <w:r w:rsidR="000D11F4" w:rsidRPr="00FD211F">
        <w:rPr>
          <w:sz w:val="36"/>
          <w:szCs w:val="36"/>
          <w:rtl/>
        </w:rPr>
        <w:t>كونها دلال</w:t>
      </w:r>
      <w:r w:rsidR="00EC7EDF" w:rsidRPr="00FD211F">
        <w:rPr>
          <w:sz w:val="36"/>
          <w:szCs w:val="36"/>
          <w:rtl/>
        </w:rPr>
        <w:t xml:space="preserve">ة </w:t>
      </w:r>
      <w:r w:rsidR="000D11F4" w:rsidRPr="00FD211F">
        <w:rPr>
          <w:sz w:val="36"/>
          <w:szCs w:val="36"/>
          <w:rtl/>
        </w:rPr>
        <w:t>تصديقي</w:t>
      </w:r>
      <w:r w:rsidR="00EC7EDF" w:rsidRPr="00FD211F">
        <w:rPr>
          <w:sz w:val="36"/>
          <w:szCs w:val="36"/>
          <w:rtl/>
        </w:rPr>
        <w:t xml:space="preserve">ة </w:t>
      </w:r>
      <w:r w:rsidR="000D11F4" w:rsidRPr="00FD211F">
        <w:rPr>
          <w:sz w:val="36"/>
          <w:szCs w:val="36"/>
          <w:rtl/>
        </w:rPr>
        <w:t>اي ك</w:t>
      </w:r>
      <w:r w:rsidR="00335193" w:rsidRPr="00FD211F">
        <w:rPr>
          <w:sz w:val="36"/>
          <w:szCs w:val="36"/>
          <w:rtl/>
        </w:rPr>
        <w:t>اشف</w:t>
      </w:r>
      <w:r w:rsidR="00EC7EDF" w:rsidRPr="00FD211F">
        <w:rPr>
          <w:sz w:val="36"/>
          <w:szCs w:val="36"/>
          <w:rtl/>
        </w:rPr>
        <w:t xml:space="preserve">ة </w:t>
      </w:r>
      <w:r w:rsidR="00335193" w:rsidRPr="00FD211F">
        <w:rPr>
          <w:sz w:val="36"/>
          <w:szCs w:val="36"/>
          <w:rtl/>
        </w:rPr>
        <w:t>عن وجود اراد</w:t>
      </w:r>
      <w:r w:rsidR="00EC7EDF" w:rsidRPr="00FD211F">
        <w:rPr>
          <w:sz w:val="36"/>
          <w:szCs w:val="36"/>
          <w:rtl/>
        </w:rPr>
        <w:t xml:space="preserve">ة </w:t>
      </w:r>
      <w:r w:rsidR="00335193" w:rsidRPr="00FD211F">
        <w:rPr>
          <w:sz w:val="36"/>
          <w:szCs w:val="36"/>
          <w:rtl/>
        </w:rPr>
        <w:t>تفهيم المعنى.</w:t>
      </w:r>
    </w:p>
    <w:p w14:paraId="193D265A" w14:textId="77777777" w:rsidR="00335193" w:rsidRPr="00FD211F" w:rsidRDefault="00335193" w:rsidP="009C58C8">
      <w:pPr>
        <w:ind w:left="0" w:firstLine="227"/>
        <w:jc w:val="both"/>
        <w:rPr>
          <w:sz w:val="36"/>
          <w:szCs w:val="36"/>
          <w:rtl/>
        </w:rPr>
      </w:pPr>
      <w:bookmarkStart w:id="288" w:name="درس023دقيقه24"/>
      <w:bookmarkEnd w:id="288"/>
      <w:r w:rsidRPr="00FD211F">
        <w:rPr>
          <w:sz w:val="36"/>
          <w:szCs w:val="36"/>
          <w:rtl/>
        </w:rPr>
        <w:t>نعم بناء على مسلك التعهد تكون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تابع</w:t>
      </w:r>
      <w:r w:rsidR="00EC7EDF" w:rsidRPr="00FD211F">
        <w:rPr>
          <w:sz w:val="36"/>
          <w:szCs w:val="36"/>
          <w:rtl/>
        </w:rPr>
        <w:t xml:space="preserve">ة </w:t>
      </w:r>
      <w:r w:rsidRPr="00FD211F">
        <w:rPr>
          <w:sz w:val="36"/>
          <w:szCs w:val="36"/>
          <w:rtl/>
        </w:rPr>
        <w:t>لفرض صدور اللفظ في حال الالتفات والاختيار بمقتضى عدم شمول التعهد لغير هذا الفرض</w:t>
      </w:r>
      <w:r w:rsidR="00603323" w:rsidRPr="00FD211F">
        <w:rPr>
          <w:sz w:val="36"/>
          <w:szCs w:val="36"/>
          <w:rtl/>
        </w:rPr>
        <w:t xml:space="preserve">، </w:t>
      </w:r>
      <w:r w:rsidRPr="00FD211F">
        <w:rPr>
          <w:sz w:val="36"/>
          <w:szCs w:val="36"/>
          <w:rtl/>
        </w:rPr>
        <w:t>كما انه تكون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تصديقي</w:t>
      </w:r>
      <w:r w:rsidR="00EC7EDF" w:rsidRPr="00FD211F">
        <w:rPr>
          <w:sz w:val="36"/>
          <w:szCs w:val="36"/>
          <w:rtl/>
        </w:rPr>
        <w:t xml:space="preserve">ة </w:t>
      </w:r>
      <w:r w:rsidRPr="00FD211F">
        <w:rPr>
          <w:sz w:val="36"/>
          <w:szCs w:val="36"/>
          <w:rtl/>
        </w:rPr>
        <w:t>لامحال</w:t>
      </w:r>
      <w:r w:rsidR="00EC7EDF" w:rsidRPr="00FD211F">
        <w:rPr>
          <w:sz w:val="36"/>
          <w:szCs w:val="36"/>
          <w:rtl/>
        </w:rPr>
        <w:t>ة</w:t>
      </w:r>
      <w:r w:rsidR="00603323" w:rsidRPr="00FD211F">
        <w:rPr>
          <w:sz w:val="36"/>
          <w:szCs w:val="36"/>
          <w:rtl/>
        </w:rPr>
        <w:t xml:space="preserve">، </w:t>
      </w:r>
      <w:r w:rsidR="00B05E56" w:rsidRPr="00FD211F">
        <w:rPr>
          <w:sz w:val="36"/>
          <w:szCs w:val="36"/>
          <w:rtl/>
        </w:rPr>
        <w:t xml:space="preserve">فانه </w:t>
      </w:r>
      <w:r w:rsidRPr="00FD211F">
        <w:rPr>
          <w:sz w:val="36"/>
          <w:szCs w:val="36"/>
          <w:rtl/>
        </w:rPr>
        <w:t>حيث يلتزم الواضع بان لايصدر منه اللفظ الفلاني الا عند وجود إراد</w:t>
      </w:r>
      <w:r w:rsidR="00EC7EDF" w:rsidRPr="00FD211F">
        <w:rPr>
          <w:sz w:val="36"/>
          <w:szCs w:val="36"/>
          <w:rtl/>
        </w:rPr>
        <w:t xml:space="preserve">ة </w:t>
      </w:r>
      <w:r w:rsidRPr="00FD211F">
        <w:rPr>
          <w:sz w:val="36"/>
          <w:szCs w:val="36"/>
          <w:rtl/>
        </w:rPr>
        <w:t>تفهيم المعنى المعين</w:t>
      </w:r>
      <w:r w:rsidR="00603323" w:rsidRPr="00FD211F">
        <w:rPr>
          <w:sz w:val="36"/>
          <w:szCs w:val="36"/>
          <w:rtl/>
        </w:rPr>
        <w:t xml:space="preserve">، </w:t>
      </w:r>
      <w:r w:rsidRPr="00FD211F">
        <w:rPr>
          <w:sz w:val="36"/>
          <w:szCs w:val="36"/>
          <w:rtl/>
        </w:rPr>
        <w:t>ف</w:t>
      </w:r>
      <w:r w:rsidR="00B05E56" w:rsidRPr="00FD211F">
        <w:rPr>
          <w:sz w:val="36"/>
          <w:szCs w:val="36"/>
          <w:rtl/>
        </w:rPr>
        <w:t>العلم بصدور اللفظ</w:t>
      </w:r>
      <w:r w:rsidR="00C7588D" w:rsidRPr="00FD211F">
        <w:rPr>
          <w:sz w:val="36"/>
          <w:szCs w:val="36"/>
          <w:rtl/>
        </w:rPr>
        <w:t xml:space="preserve"> </w:t>
      </w:r>
      <w:r w:rsidR="00B05E56" w:rsidRPr="00FD211F">
        <w:rPr>
          <w:sz w:val="36"/>
          <w:szCs w:val="36"/>
          <w:rtl/>
        </w:rPr>
        <w:t>منه</w:t>
      </w:r>
      <w:r w:rsidRPr="00FD211F">
        <w:rPr>
          <w:sz w:val="36"/>
          <w:szCs w:val="36"/>
          <w:rtl/>
        </w:rPr>
        <w:t xml:space="preserve"> </w:t>
      </w:r>
      <w:r w:rsidR="00B05E56" w:rsidRPr="00FD211F">
        <w:rPr>
          <w:sz w:val="36"/>
          <w:szCs w:val="36"/>
          <w:rtl/>
        </w:rPr>
        <w:t>يوجب العلم</w:t>
      </w:r>
      <w:r w:rsidR="00C7588D" w:rsidRPr="00FD211F">
        <w:rPr>
          <w:sz w:val="36"/>
          <w:szCs w:val="36"/>
          <w:rtl/>
        </w:rPr>
        <w:t xml:space="preserve"> </w:t>
      </w:r>
      <w:r w:rsidRPr="00FD211F">
        <w:rPr>
          <w:sz w:val="36"/>
          <w:szCs w:val="36"/>
          <w:rtl/>
        </w:rPr>
        <w:t>بوجود اراد</w:t>
      </w:r>
      <w:r w:rsidR="00B05E56" w:rsidRPr="00FD211F">
        <w:rPr>
          <w:sz w:val="36"/>
          <w:szCs w:val="36"/>
          <w:rtl/>
        </w:rPr>
        <w:t xml:space="preserve">ته لتفهيم ذلك المعنى </w:t>
      </w:r>
      <w:r w:rsidRPr="00FD211F">
        <w:rPr>
          <w:sz w:val="36"/>
          <w:szCs w:val="36"/>
          <w:rtl/>
        </w:rPr>
        <w:t>المعين بمقتضى تعهده</w:t>
      </w:r>
      <w:r w:rsidR="00603323" w:rsidRPr="00FD211F">
        <w:rPr>
          <w:sz w:val="36"/>
          <w:szCs w:val="36"/>
          <w:rtl/>
        </w:rPr>
        <w:t xml:space="preserve">، </w:t>
      </w:r>
      <w:r w:rsidR="00B05E56" w:rsidRPr="00FD211F">
        <w:rPr>
          <w:sz w:val="36"/>
          <w:szCs w:val="36"/>
          <w:rtl/>
        </w:rPr>
        <w:t>وهكذا بالنسبة الى ايّ متكلم آخر بعد كونه متعهدا ايضا بمقتضى كونه من اهل اللغة</w:t>
      </w:r>
      <w:r w:rsidR="00603323" w:rsidRPr="00FD211F">
        <w:rPr>
          <w:sz w:val="36"/>
          <w:szCs w:val="36"/>
          <w:rtl/>
        </w:rPr>
        <w:t xml:space="preserve">، </w:t>
      </w:r>
      <w:r w:rsidR="00B05E56" w:rsidRPr="00FD211F">
        <w:rPr>
          <w:sz w:val="36"/>
          <w:szCs w:val="36"/>
          <w:rtl/>
        </w:rPr>
        <w:t xml:space="preserve">هذا ولكن </w:t>
      </w:r>
      <w:r w:rsidRPr="00FD211F">
        <w:rPr>
          <w:sz w:val="36"/>
          <w:szCs w:val="36"/>
          <w:rtl/>
        </w:rPr>
        <w:t>قد مرّ عدم تمامي</w:t>
      </w:r>
      <w:r w:rsidR="00EC7EDF" w:rsidRPr="00FD211F">
        <w:rPr>
          <w:sz w:val="36"/>
          <w:szCs w:val="36"/>
          <w:rtl/>
        </w:rPr>
        <w:t xml:space="preserve">ة </w:t>
      </w:r>
      <w:r w:rsidRPr="00FD211F">
        <w:rPr>
          <w:sz w:val="36"/>
          <w:szCs w:val="36"/>
          <w:rtl/>
        </w:rPr>
        <w:t>مسلك التعهد في تفسير حقيق</w:t>
      </w:r>
      <w:r w:rsidR="00EC7EDF" w:rsidRPr="00FD211F">
        <w:rPr>
          <w:sz w:val="36"/>
          <w:szCs w:val="36"/>
          <w:rtl/>
        </w:rPr>
        <w:t xml:space="preserve">ة </w:t>
      </w:r>
      <w:r w:rsidRPr="00FD211F">
        <w:rPr>
          <w:sz w:val="36"/>
          <w:szCs w:val="36"/>
          <w:rtl/>
        </w:rPr>
        <w:t>الوضع.</w:t>
      </w:r>
    </w:p>
    <w:p w14:paraId="59F5115A" w14:textId="77777777" w:rsidR="00335193" w:rsidRPr="00FD211F" w:rsidRDefault="00335193" w:rsidP="009C58C8">
      <w:pPr>
        <w:ind w:left="0" w:firstLine="227"/>
        <w:jc w:val="both"/>
        <w:rPr>
          <w:sz w:val="36"/>
          <w:szCs w:val="36"/>
          <w:rtl/>
        </w:rPr>
      </w:pPr>
      <w:r w:rsidRPr="00FD211F">
        <w:rPr>
          <w:sz w:val="36"/>
          <w:szCs w:val="36"/>
          <w:rtl/>
        </w:rPr>
        <w:t>هذا وأما بناء على كون الوضع هو الاعتبار الخاص بين اللفظ والمعنى فالظاهر هو أن الواضع ين</w:t>
      </w:r>
      <w:r w:rsidR="00251CB6" w:rsidRPr="00FD211F">
        <w:rPr>
          <w:sz w:val="36"/>
          <w:szCs w:val="36"/>
          <w:rtl/>
        </w:rPr>
        <w:t xml:space="preserve">شيء </w:t>
      </w:r>
      <w:r w:rsidRPr="00FD211F">
        <w:rPr>
          <w:sz w:val="36"/>
          <w:szCs w:val="36"/>
          <w:rtl/>
        </w:rPr>
        <w:t>اعتبارا خاصا بين طبيعي اللفظ وطبيعي المعنى من غير تقييده بفرض صدور اللفظ بحال الالتفات والاختيار فضلا عن تقييده بحال صدوره بقصد اراد</w:t>
      </w:r>
      <w:r w:rsidR="00EC7EDF" w:rsidRPr="00FD211F">
        <w:rPr>
          <w:sz w:val="36"/>
          <w:szCs w:val="36"/>
          <w:rtl/>
        </w:rPr>
        <w:t xml:space="preserve">ة </w:t>
      </w:r>
      <w:r w:rsidRPr="00FD211F">
        <w:rPr>
          <w:sz w:val="36"/>
          <w:szCs w:val="36"/>
          <w:rtl/>
        </w:rPr>
        <w:t>تفهيم معنى</w:t>
      </w:r>
      <w:r w:rsidRPr="00FD211F">
        <w:rPr>
          <w:sz w:val="36"/>
          <w:szCs w:val="36"/>
          <w:rtl/>
        </w:rPr>
        <w:softHyphen/>
        <w:t>مّا</w:t>
      </w:r>
      <w:r w:rsidR="00603323" w:rsidRPr="00FD211F">
        <w:rPr>
          <w:sz w:val="36"/>
          <w:szCs w:val="36"/>
          <w:rtl/>
        </w:rPr>
        <w:t xml:space="preserve">، </w:t>
      </w:r>
      <w:r w:rsidRPr="00FD211F">
        <w:rPr>
          <w:sz w:val="36"/>
          <w:szCs w:val="36"/>
          <w:rtl/>
        </w:rPr>
        <w:t>فليست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بناء عليه تابع</w:t>
      </w:r>
      <w:r w:rsidR="00EC7EDF" w:rsidRPr="00FD211F">
        <w:rPr>
          <w:sz w:val="36"/>
          <w:szCs w:val="36"/>
          <w:rtl/>
        </w:rPr>
        <w:t xml:space="preserve">ة </w:t>
      </w:r>
      <w:r w:rsidRPr="00FD211F">
        <w:rPr>
          <w:sz w:val="36"/>
          <w:szCs w:val="36"/>
          <w:rtl/>
        </w:rPr>
        <w:t>للإراد</w:t>
      </w:r>
      <w:r w:rsidR="00EC7EDF" w:rsidRPr="00FD211F">
        <w:rPr>
          <w:sz w:val="36"/>
          <w:szCs w:val="36"/>
          <w:rtl/>
        </w:rPr>
        <w:t xml:space="preserve">ة </w:t>
      </w:r>
      <w:r w:rsidRPr="00FD211F">
        <w:rPr>
          <w:sz w:val="36"/>
          <w:szCs w:val="36"/>
          <w:rtl/>
        </w:rPr>
        <w:t>كما انه لاتكون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تصديقي</w:t>
      </w:r>
      <w:r w:rsidR="00EC7EDF" w:rsidRPr="00FD211F">
        <w:rPr>
          <w:sz w:val="36"/>
          <w:szCs w:val="36"/>
          <w:rtl/>
        </w:rPr>
        <w:t>ة</w:t>
      </w:r>
      <w:r w:rsidR="00603323" w:rsidRPr="00FD211F">
        <w:rPr>
          <w:sz w:val="36"/>
          <w:szCs w:val="36"/>
          <w:rtl/>
        </w:rPr>
        <w:t xml:space="preserve">، </w:t>
      </w:r>
      <w:r w:rsidRPr="00FD211F">
        <w:rPr>
          <w:sz w:val="36"/>
          <w:szCs w:val="36"/>
          <w:rtl/>
        </w:rPr>
        <w:t>حيث ان الكاشف عن اراد</w:t>
      </w:r>
      <w:r w:rsidR="00EC7EDF" w:rsidRPr="00FD211F">
        <w:rPr>
          <w:sz w:val="36"/>
          <w:szCs w:val="36"/>
          <w:rtl/>
        </w:rPr>
        <w:t xml:space="preserve">ة </w:t>
      </w:r>
      <w:r w:rsidRPr="00FD211F">
        <w:rPr>
          <w:sz w:val="36"/>
          <w:szCs w:val="36"/>
          <w:rtl/>
        </w:rPr>
        <w:t xml:space="preserve">تفهيم المتكلم المعنى باللفظ لايكون الا الظهور الحالي النوعي للمتكلم دون مجرد </w:t>
      </w:r>
      <w:r w:rsidR="00B05E56" w:rsidRPr="00FD211F">
        <w:rPr>
          <w:sz w:val="36"/>
          <w:szCs w:val="36"/>
          <w:rtl/>
        </w:rPr>
        <w:t>ال</w:t>
      </w:r>
      <w:r w:rsidRPr="00FD211F">
        <w:rPr>
          <w:sz w:val="36"/>
          <w:szCs w:val="36"/>
          <w:rtl/>
        </w:rPr>
        <w:t>علق</w:t>
      </w:r>
      <w:r w:rsidR="00EC7EDF" w:rsidRPr="00FD211F">
        <w:rPr>
          <w:sz w:val="36"/>
          <w:szCs w:val="36"/>
          <w:rtl/>
        </w:rPr>
        <w:t xml:space="preserve">ة </w:t>
      </w:r>
      <w:r w:rsidR="00B05E56" w:rsidRPr="00FD211F">
        <w:rPr>
          <w:sz w:val="36"/>
          <w:szCs w:val="36"/>
          <w:rtl/>
        </w:rPr>
        <w:t>ال</w:t>
      </w:r>
      <w:r w:rsidRPr="00FD211F">
        <w:rPr>
          <w:sz w:val="36"/>
          <w:szCs w:val="36"/>
          <w:rtl/>
        </w:rPr>
        <w:t>اعتباري</w:t>
      </w:r>
      <w:r w:rsidR="00EC7EDF" w:rsidRPr="00FD211F">
        <w:rPr>
          <w:sz w:val="36"/>
          <w:szCs w:val="36"/>
          <w:rtl/>
        </w:rPr>
        <w:t xml:space="preserve">ة </w:t>
      </w:r>
      <w:r w:rsidRPr="00FD211F">
        <w:rPr>
          <w:sz w:val="36"/>
          <w:szCs w:val="36"/>
          <w:rtl/>
        </w:rPr>
        <w:t>بين اللفظ والمعنى</w:t>
      </w:r>
      <w:r w:rsidR="00603323" w:rsidRPr="00FD211F">
        <w:rPr>
          <w:sz w:val="36"/>
          <w:szCs w:val="36"/>
          <w:rtl/>
        </w:rPr>
        <w:t xml:space="preserve">، </w:t>
      </w:r>
      <w:r w:rsidRPr="00FD211F">
        <w:rPr>
          <w:sz w:val="36"/>
          <w:szCs w:val="36"/>
          <w:rtl/>
        </w:rPr>
        <w:t>فان هذه العلق</w:t>
      </w:r>
      <w:r w:rsidR="00EC7EDF" w:rsidRPr="00FD211F">
        <w:rPr>
          <w:sz w:val="36"/>
          <w:szCs w:val="36"/>
          <w:rtl/>
        </w:rPr>
        <w:t xml:space="preserve">ة </w:t>
      </w:r>
      <w:r w:rsidRPr="00FD211F">
        <w:rPr>
          <w:sz w:val="36"/>
          <w:szCs w:val="36"/>
          <w:rtl/>
        </w:rPr>
        <w:t>الاعتباري</w:t>
      </w:r>
      <w:r w:rsidR="00EC7EDF" w:rsidRPr="00FD211F">
        <w:rPr>
          <w:sz w:val="36"/>
          <w:szCs w:val="36"/>
          <w:rtl/>
        </w:rPr>
        <w:t xml:space="preserve">ة </w:t>
      </w:r>
      <w:r w:rsidRPr="00FD211F">
        <w:rPr>
          <w:sz w:val="36"/>
          <w:szCs w:val="36"/>
          <w:rtl/>
        </w:rPr>
        <w:t>تكون موجب</w:t>
      </w:r>
      <w:r w:rsidR="00EC7EDF" w:rsidRPr="00FD211F">
        <w:rPr>
          <w:sz w:val="36"/>
          <w:szCs w:val="36"/>
          <w:rtl/>
        </w:rPr>
        <w:t xml:space="preserve">ة </w:t>
      </w:r>
      <w:r w:rsidRPr="00FD211F">
        <w:rPr>
          <w:sz w:val="36"/>
          <w:szCs w:val="36"/>
          <w:rtl/>
        </w:rPr>
        <w:t>لتحقق ملازم</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تصوري</w:t>
      </w:r>
      <w:r w:rsidR="00EC7EDF" w:rsidRPr="00FD211F">
        <w:rPr>
          <w:sz w:val="36"/>
          <w:szCs w:val="36"/>
          <w:rtl/>
        </w:rPr>
        <w:t xml:space="preserve">ة </w:t>
      </w:r>
      <w:r w:rsidRPr="00FD211F">
        <w:rPr>
          <w:sz w:val="36"/>
          <w:szCs w:val="36"/>
          <w:rtl/>
        </w:rPr>
        <w:t>بين اللفظ والمعنى فقط.</w:t>
      </w:r>
    </w:p>
    <w:p w14:paraId="29A78E8D" w14:textId="77777777" w:rsidR="00335193" w:rsidRPr="00FD211F" w:rsidRDefault="000D11F4" w:rsidP="009C58C8">
      <w:pPr>
        <w:ind w:left="0" w:firstLine="227"/>
        <w:jc w:val="both"/>
        <w:rPr>
          <w:sz w:val="36"/>
          <w:szCs w:val="36"/>
          <w:rtl/>
        </w:rPr>
      </w:pPr>
      <w:r w:rsidRPr="00FD211F">
        <w:rPr>
          <w:sz w:val="36"/>
          <w:szCs w:val="36"/>
          <w:rtl/>
        </w:rPr>
        <w:t>ثم انه استدل صاحب الكفاي</w:t>
      </w:r>
      <w:r w:rsidR="00EC7EDF" w:rsidRPr="00FD211F">
        <w:rPr>
          <w:sz w:val="36"/>
          <w:szCs w:val="36"/>
          <w:rtl/>
        </w:rPr>
        <w:t xml:space="preserve">ة </w:t>
      </w:r>
      <w:r w:rsidR="00335193" w:rsidRPr="00FD211F">
        <w:rPr>
          <w:sz w:val="36"/>
          <w:szCs w:val="36"/>
          <w:rtl/>
        </w:rPr>
        <w:t>"</w:t>
      </w:r>
      <w:r w:rsidRPr="00FD211F">
        <w:rPr>
          <w:sz w:val="36"/>
          <w:szCs w:val="36"/>
          <w:rtl/>
        </w:rPr>
        <w:t>قده</w:t>
      </w:r>
      <w:r w:rsidR="00335193" w:rsidRPr="00FD211F">
        <w:rPr>
          <w:sz w:val="36"/>
          <w:szCs w:val="36"/>
          <w:rtl/>
        </w:rPr>
        <w:t>"</w:t>
      </w:r>
      <w:r w:rsidRPr="00FD211F">
        <w:rPr>
          <w:sz w:val="36"/>
          <w:szCs w:val="36"/>
          <w:rtl/>
        </w:rPr>
        <w:t xml:space="preserve"> على كون اللفظ موضوعا على ذات المعنى دون المعنى المقيد بإراد</w:t>
      </w:r>
      <w:r w:rsidR="00EC7EDF" w:rsidRPr="00FD211F">
        <w:rPr>
          <w:sz w:val="36"/>
          <w:szCs w:val="36"/>
          <w:rtl/>
        </w:rPr>
        <w:t xml:space="preserve">ة </w:t>
      </w:r>
      <w:r w:rsidRPr="00FD211F">
        <w:rPr>
          <w:sz w:val="36"/>
          <w:szCs w:val="36"/>
          <w:rtl/>
        </w:rPr>
        <w:t>تفهيمه ب</w:t>
      </w:r>
      <w:r w:rsidR="00335193" w:rsidRPr="00FD211F">
        <w:rPr>
          <w:sz w:val="36"/>
          <w:szCs w:val="36"/>
          <w:rtl/>
        </w:rPr>
        <w:t>ثلاث</w:t>
      </w:r>
      <w:r w:rsidR="00EC7EDF" w:rsidRPr="00FD211F">
        <w:rPr>
          <w:sz w:val="36"/>
          <w:szCs w:val="36"/>
          <w:rtl/>
        </w:rPr>
        <w:t xml:space="preserve">ة </w:t>
      </w:r>
      <w:r w:rsidR="00335193" w:rsidRPr="00FD211F">
        <w:rPr>
          <w:sz w:val="36"/>
          <w:szCs w:val="36"/>
          <w:rtl/>
        </w:rPr>
        <w:t>وجوه</w:t>
      </w:r>
      <w:r w:rsidR="00EC7EDF" w:rsidRPr="00FD211F">
        <w:rPr>
          <w:sz w:val="36"/>
          <w:szCs w:val="36"/>
          <w:rtl/>
        </w:rPr>
        <w:t>:</w:t>
      </w:r>
    </w:p>
    <w:p w14:paraId="1C147D6F" w14:textId="77777777" w:rsidR="00335193" w:rsidRPr="00FD211F" w:rsidRDefault="00335193" w:rsidP="009C58C8">
      <w:pPr>
        <w:ind w:left="0" w:firstLine="227"/>
        <w:jc w:val="both"/>
        <w:rPr>
          <w:sz w:val="36"/>
          <w:szCs w:val="36"/>
          <w:rtl/>
        </w:rPr>
      </w:pPr>
      <w:r w:rsidRPr="00FD211F">
        <w:rPr>
          <w:sz w:val="36"/>
          <w:szCs w:val="36"/>
          <w:rtl/>
        </w:rPr>
        <w:t xml:space="preserve">1-انه </w:t>
      </w:r>
      <w:r w:rsidR="000D11F4" w:rsidRPr="00FD211F">
        <w:rPr>
          <w:sz w:val="36"/>
          <w:szCs w:val="36"/>
          <w:rtl/>
        </w:rPr>
        <w:t>لابد حين استعمال اللفظ من اراد</w:t>
      </w:r>
      <w:r w:rsidR="00EC7EDF" w:rsidRPr="00FD211F">
        <w:rPr>
          <w:sz w:val="36"/>
          <w:szCs w:val="36"/>
          <w:rtl/>
        </w:rPr>
        <w:t xml:space="preserve">ة </w:t>
      </w:r>
      <w:r w:rsidR="000D11F4" w:rsidRPr="00FD211F">
        <w:rPr>
          <w:sz w:val="36"/>
          <w:szCs w:val="36"/>
          <w:rtl/>
        </w:rPr>
        <w:t>تفهيم المعنى فلو كان المعنى في ذاته مقيدا بنفس اراد</w:t>
      </w:r>
      <w:r w:rsidR="00EC7EDF" w:rsidRPr="00FD211F">
        <w:rPr>
          <w:sz w:val="36"/>
          <w:szCs w:val="36"/>
          <w:rtl/>
        </w:rPr>
        <w:t xml:space="preserve">ة </w:t>
      </w:r>
      <w:r w:rsidR="000D11F4" w:rsidRPr="00FD211F">
        <w:rPr>
          <w:sz w:val="36"/>
          <w:szCs w:val="36"/>
          <w:rtl/>
        </w:rPr>
        <w:t>التفهيم لزم كون العارض على المعنى داخ</w:t>
      </w:r>
      <w:r w:rsidRPr="00FD211F">
        <w:rPr>
          <w:sz w:val="36"/>
          <w:szCs w:val="36"/>
          <w:rtl/>
        </w:rPr>
        <w:t>لا في نفس المعنى وهو خلف او دور.</w:t>
      </w:r>
    </w:p>
    <w:p w14:paraId="591CC65E" w14:textId="77777777" w:rsidR="00335193" w:rsidRPr="00FD211F" w:rsidRDefault="00335193" w:rsidP="009C58C8">
      <w:pPr>
        <w:ind w:left="0" w:firstLine="227"/>
        <w:jc w:val="both"/>
        <w:rPr>
          <w:sz w:val="36"/>
          <w:szCs w:val="36"/>
          <w:rtl/>
        </w:rPr>
      </w:pPr>
      <w:r w:rsidRPr="00FD211F">
        <w:rPr>
          <w:sz w:val="36"/>
          <w:szCs w:val="36"/>
          <w:rtl/>
        </w:rPr>
        <w:t>2-</w:t>
      </w:r>
      <w:r w:rsidR="000D11F4" w:rsidRPr="00FD211F">
        <w:rPr>
          <w:sz w:val="36"/>
          <w:szCs w:val="36"/>
          <w:rtl/>
        </w:rPr>
        <w:t xml:space="preserve"> انه يلزم المجاز في قولنا </w:t>
      </w:r>
      <w:r w:rsidR="00B05E56" w:rsidRPr="00FD211F">
        <w:rPr>
          <w:sz w:val="36"/>
          <w:szCs w:val="36"/>
          <w:rtl/>
        </w:rPr>
        <w:t>"</w:t>
      </w:r>
      <w:r w:rsidR="000D11F4" w:rsidRPr="00FD211F">
        <w:rPr>
          <w:sz w:val="36"/>
          <w:szCs w:val="36"/>
          <w:rtl/>
        </w:rPr>
        <w:t>زيد قائم</w:t>
      </w:r>
      <w:r w:rsidR="00B05E56" w:rsidRPr="00FD211F">
        <w:rPr>
          <w:sz w:val="36"/>
          <w:szCs w:val="36"/>
          <w:rtl/>
        </w:rPr>
        <w:t>"</w:t>
      </w:r>
      <w:r w:rsidR="00603323" w:rsidRPr="00FD211F">
        <w:rPr>
          <w:sz w:val="36"/>
          <w:szCs w:val="36"/>
          <w:rtl/>
        </w:rPr>
        <w:t xml:space="preserve">، </w:t>
      </w:r>
      <w:r w:rsidR="000D11F4" w:rsidRPr="00FD211F">
        <w:rPr>
          <w:sz w:val="36"/>
          <w:szCs w:val="36"/>
          <w:rtl/>
        </w:rPr>
        <w:t>اذ لايعقل حمل القيام المقيد بامر ذهني وهو اراد</w:t>
      </w:r>
      <w:r w:rsidR="00EC7EDF" w:rsidRPr="00FD211F">
        <w:rPr>
          <w:sz w:val="36"/>
          <w:szCs w:val="36"/>
          <w:rtl/>
        </w:rPr>
        <w:t xml:space="preserve">ة </w:t>
      </w:r>
      <w:r w:rsidR="000D11F4" w:rsidRPr="00FD211F">
        <w:rPr>
          <w:sz w:val="36"/>
          <w:szCs w:val="36"/>
          <w:rtl/>
        </w:rPr>
        <w:t>تفهيمه على الخارج</w:t>
      </w:r>
      <w:r w:rsidR="00603323" w:rsidRPr="00FD211F">
        <w:rPr>
          <w:sz w:val="36"/>
          <w:szCs w:val="36"/>
          <w:rtl/>
        </w:rPr>
        <w:t xml:space="preserve">، </w:t>
      </w:r>
      <w:r w:rsidR="000D11F4" w:rsidRPr="00FD211F">
        <w:rPr>
          <w:sz w:val="36"/>
          <w:szCs w:val="36"/>
          <w:rtl/>
        </w:rPr>
        <w:t>لان المقيد بأمر ذهني يكون ذهنيا لامحال</w:t>
      </w:r>
      <w:r w:rsidR="00EC7EDF" w:rsidRPr="00FD211F">
        <w:rPr>
          <w:sz w:val="36"/>
          <w:szCs w:val="36"/>
          <w:rtl/>
        </w:rPr>
        <w:t xml:space="preserve">ة </w:t>
      </w:r>
      <w:r w:rsidR="000D11F4" w:rsidRPr="00FD211F">
        <w:rPr>
          <w:sz w:val="36"/>
          <w:szCs w:val="36"/>
          <w:rtl/>
        </w:rPr>
        <w:t>فلايمكن حمله على الخارج</w:t>
      </w:r>
      <w:r w:rsidR="00603323" w:rsidRPr="00FD211F">
        <w:rPr>
          <w:sz w:val="36"/>
          <w:szCs w:val="36"/>
          <w:rtl/>
        </w:rPr>
        <w:t xml:space="preserve">، </w:t>
      </w:r>
      <w:r w:rsidR="000D11F4" w:rsidRPr="00FD211F">
        <w:rPr>
          <w:sz w:val="36"/>
          <w:szCs w:val="36"/>
          <w:rtl/>
        </w:rPr>
        <w:t>فيلزم استعمال القيام في هذا الكلام في ذات المعنى من دون لحاظ قيده فيكون مجازا</w:t>
      </w:r>
      <w:r w:rsidR="00EC7EDF" w:rsidRPr="00FD211F">
        <w:rPr>
          <w:sz w:val="36"/>
          <w:szCs w:val="36"/>
          <w:rtl/>
        </w:rPr>
        <w:t>.</w:t>
      </w:r>
    </w:p>
    <w:p w14:paraId="3FF2E315" w14:textId="77777777" w:rsidR="000D11F4" w:rsidRPr="00FD211F" w:rsidRDefault="00335193" w:rsidP="009C58C8">
      <w:pPr>
        <w:ind w:left="0" w:firstLine="227"/>
        <w:jc w:val="both"/>
        <w:rPr>
          <w:sz w:val="36"/>
          <w:szCs w:val="36"/>
          <w:rtl/>
        </w:rPr>
      </w:pPr>
      <w:r w:rsidRPr="00FD211F">
        <w:rPr>
          <w:sz w:val="36"/>
          <w:szCs w:val="36"/>
          <w:rtl/>
        </w:rPr>
        <w:t>3-</w:t>
      </w:r>
      <w:r w:rsidR="000D11F4" w:rsidRPr="00FD211F">
        <w:rPr>
          <w:sz w:val="36"/>
          <w:szCs w:val="36"/>
          <w:rtl/>
        </w:rPr>
        <w:t xml:space="preserve"> ان المعنى لو فرض تقييده بمفهوم اراد</w:t>
      </w:r>
      <w:r w:rsidR="00EC7EDF" w:rsidRPr="00FD211F">
        <w:rPr>
          <w:sz w:val="36"/>
          <w:szCs w:val="36"/>
          <w:rtl/>
        </w:rPr>
        <w:t xml:space="preserve">ة </w:t>
      </w:r>
      <w:r w:rsidR="000D11F4" w:rsidRPr="00FD211F">
        <w:rPr>
          <w:sz w:val="36"/>
          <w:szCs w:val="36"/>
          <w:rtl/>
        </w:rPr>
        <w:t>تفهيم المعنى فلايجدي لإثبات كون الدلال</w:t>
      </w:r>
      <w:r w:rsidR="00EC7EDF" w:rsidRPr="00FD211F">
        <w:rPr>
          <w:sz w:val="36"/>
          <w:szCs w:val="36"/>
          <w:rtl/>
        </w:rPr>
        <w:t xml:space="preserve">ة </w:t>
      </w:r>
      <w:r w:rsidR="000D11F4" w:rsidRPr="00FD211F">
        <w:rPr>
          <w:sz w:val="36"/>
          <w:szCs w:val="36"/>
          <w:rtl/>
        </w:rPr>
        <w:t>الوضعي</w:t>
      </w:r>
      <w:r w:rsidR="00EC7EDF" w:rsidRPr="00FD211F">
        <w:rPr>
          <w:sz w:val="36"/>
          <w:szCs w:val="36"/>
          <w:rtl/>
        </w:rPr>
        <w:t xml:space="preserve">ة </w:t>
      </w:r>
      <w:r w:rsidR="000D11F4" w:rsidRPr="00FD211F">
        <w:rPr>
          <w:sz w:val="36"/>
          <w:szCs w:val="36"/>
          <w:rtl/>
        </w:rPr>
        <w:t>تصديقي</w:t>
      </w:r>
      <w:r w:rsidR="00EC7EDF" w:rsidRPr="00FD211F">
        <w:rPr>
          <w:sz w:val="36"/>
          <w:szCs w:val="36"/>
          <w:rtl/>
        </w:rPr>
        <w:t>ة</w:t>
      </w:r>
      <w:r w:rsidR="00603323" w:rsidRPr="00FD211F">
        <w:rPr>
          <w:sz w:val="36"/>
          <w:szCs w:val="36"/>
          <w:rtl/>
        </w:rPr>
        <w:t xml:space="preserve">، </w:t>
      </w:r>
      <w:r w:rsidR="000D11F4" w:rsidRPr="00FD211F">
        <w:rPr>
          <w:sz w:val="36"/>
          <w:szCs w:val="36"/>
          <w:rtl/>
        </w:rPr>
        <w:t>اي كاشف</w:t>
      </w:r>
      <w:r w:rsidR="00EC7EDF" w:rsidRPr="00FD211F">
        <w:rPr>
          <w:sz w:val="36"/>
          <w:szCs w:val="36"/>
          <w:rtl/>
        </w:rPr>
        <w:t xml:space="preserve">ة </w:t>
      </w:r>
      <w:r w:rsidR="000D11F4" w:rsidRPr="00FD211F">
        <w:rPr>
          <w:sz w:val="36"/>
          <w:szCs w:val="36"/>
          <w:rtl/>
        </w:rPr>
        <w:t>عن وجود اراد</w:t>
      </w:r>
      <w:r w:rsidR="00EC7EDF" w:rsidRPr="00FD211F">
        <w:rPr>
          <w:sz w:val="36"/>
          <w:szCs w:val="36"/>
          <w:rtl/>
        </w:rPr>
        <w:t xml:space="preserve">ة </w:t>
      </w:r>
      <w:r w:rsidR="000D11F4" w:rsidRPr="00FD211F">
        <w:rPr>
          <w:sz w:val="36"/>
          <w:szCs w:val="36"/>
          <w:rtl/>
        </w:rPr>
        <w:t>التفهيم</w:t>
      </w:r>
      <w:r w:rsidR="00603323" w:rsidRPr="00FD211F">
        <w:rPr>
          <w:sz w:val="36"/>
          <w:szCs w:val="36"/>
          <w:rtl/>
        </w:rPr>
        <w:t xml:space="preserve">، </w:t>
      </w:r>
      <w:r w:rsidR="000D11F4" w:rsidRPr="00FD211F">
        <w:rPr>
          <w:sz w:val="36"/>
          <w:szCs w:val="36"/>
          <w:rtl/>
        </w:rPr>
        <w:t>وان فرض تقييد المعنى بوجود اراد</w:t>
      </w:r>
      <w:r w:rsidR="00EC7EDF" w:rsidRPr="00FD211F">
        <w:rPr>
          <w:sz w:val="36"/>
          <w:szCs w:val="36"/>
          <w:rtl/>
        </w:rPr>
        <w:t xml:space="preserve">ة </w:t>
      </w:r>
      <w:r w:rsidR="000D11F4" w:rsidRPr="00FD211F">
        <w:rPr>
          <w:sz w:val="36"/>
          <w:szCs w:val="36"/>
          <w:rtl/>
        </w:rPr>
        <w:t>تفهيمه فهذا يوجب كون الوضع عاما والموضوع له خاصّا.</w:t>
      </w:r>
    </w:p>
    <w:p w14:paraId="63FE7BC9" w14:textId="77777777" w:rsidR="000D11F4" w:rsidRPr="00FD211F" w:rsidRDefault="000D11F4" w:rsidP="00FC730E">
      <w:pPr>
        <w:ind w:left="0" w:firstLine="227"/>
        <w:jc w:val="both"/>
        <w:rPr>
          <w:sz w:val="36"/>
          <w:szCs w:val="36"/>
          <w:rtl/>
        </w:rPr>
      </w:pPr>
      <w:r w:rsidRPr="00FD211F">
        <w:rPr>
          <w:sz w:val="36"/>
          <w:szCs w:val="36"/>
          <w:rtl/>
        </w:rPr>
        <w:t>ثم ذكر</w:t>
      </w:r>
      <w:r w:rsidR="00A61BAE" w:rsidRPr="00FD211F">
        <w:rPr>
          <w:sz w:val="36"/>
          <w:szCs w:val="36"/>
          <w:rtl/>
        </w:rPr>
        <w:t xml:space="preserve"> </w:t>
      </w:r>
      <w:r w:rsidR="00FC730E" w:rsidRPr="00FD211F">
        <w:rPr>
          <w:sz w:val="36"/>
          <w:szCs w:val="36"/>
          <w:rtl/>
        </w:rPr>
        <w:t>"</w:t>
      </w:r>
      <w:r w:rsidR="005D03BA" w:rsidRPr="00FD211F">
        <w:rPr>
          <w:sz w:val="36"/>
          <w:szCs w:val="36"/>
          <w:rtl/>
        </w:rPr>
        <w:t>قده</w:t>
      </w:r>
      <w:r w:rsidR="00FC730E" w:rsidRPr="00FD211F">
        <w:rPr>
          <w:sz w:val="36"/>
          <w:szCs w:val="36"/>
          <w:rtl/>
        </w:rPr>
        <w:t>"</w:t>
      </w:r>
      <w:r w:rsidR="00A61BAE" w:rsidRPr="00FD211F">
        <w:rPr>
          <w:sz w:val="36"/>
          <w:szCs w:val="36"/>
          <w:rtl/>
        </w:rPr>
        <w:t xml:space="preserve"> </w:t>
      </w:r>
      <w:r w:rsidRPr="00FD211F">
        <w:rPr>
          <w:sz w:val="36"/>
          <w:szCs w:val="36"/>
          <w:rtl/>
        </w:rPr>
        <w:t>أن مثل الشيخ الرئيس والمحقق الطوسي القائلين بتبعي</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للإراد</w:t>
      </w:r>
      <w:r w:rsidR="00EC7EDF" w:rsidRPr="00FD211F">
        <w:rPr>
          <w:sz w:val="36"/>
          <w:szCs w:val="36"/>
          <w:rtl/>
        </w:rPr>
        <w:t xml:space="preserve">ة </w:t>
      </w:r>
      <w:r w:rsidRPr="00FD211F">
        <w:rPr>
          <w:sz w:val="36"/>
          <w:szCs w:val="36"/>
          <w:rtl/>
        </w:rPr>
        <w:t>لايقصدون كون الموضوع له هو المعنى بما هو مراد</w:t>
      </w:r>
      <w:r w:rsidR="00603323" w:rsidRPr="00FD211F">
        <w:rPr>
          <w:sz w:val="36"/>
          <w:szCs w:val="36"/>
          <w:rtl/>
        </w:rPr>
        <w:t xml:space="preserve">، </w:t>
      </w:r>
      <w:r w:rsidRPr="00FD211F">
        <w:rPr>
          <w:sz w:val="36"/>
          <w:szCs w:val="36"/>
          <w:rtl/>
        </w:rPr>
        <w:t>وانما يقصدون ان الدلال</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-اي دلال</w:t>
      </w:r>
      <w:r w:rsidR="00EC7EDF" w:rsidRPr="00FD211F">
        <w:rPr>
          <w:sz w:val="36"/>
          <w:szCs w:val="36"/>
          <w:rtl/>
        </w:rPr>
        <w:t xml:space="preserve">ة </w:t>
      </w:r>
      <w:r w:rsidRPr="00FD211F">
        <w:rPr>
          <w:sz w:val="36"/>
          <w:szCs w:val="36"/>
          <w:rtl/>
        </w:rPr>
        <w:t>الالفاظ على كون معانيها مراد</w:t>
      </w:r>
      <w:r w:rsidR="00EC7EDF" w:rsidRPr="00FD211F">
        <w:rPr>
          <w:sz w:val="36"/>
          <w:szCs w:val="36"/>
          <w:rtl/>
        </w:rPr>
        <w:t xml:space="preserve">ة </w:t>
      </w:r>
      <w:r w:rsidRPr="00FD211F">
        <w:rPr>
          <w:sz w:val="36"/>
          <w:szCs w:val="36"/>
          <w:rtl/>
        </w:rPr>
        <w:t>لمن صدر منه تلك الالفاظ- تابع</w:t>
      </w:r>
      <w:r w:rsidR="00EC7EDF" w:rsidRPr="00FD211F">
        <w:rPr>
          <w:sz w:val="36"/>
          <w:szCs w:val="36"/>
          <w:rtl/>
        </w:rPr>
        <w:t xml:space="preserve">ة </w:t>
      </w:r>
      <w:r w:rsidRPr="00FD211F">
        <w:rPr>
          <w:sz w:val="36"/>
          <w:szCs w:val="36"/>
          <w:rtl/>
        </w:rPr>
        <w:t>لإراد</w:t>
      </w:r>
      <w:r w:rsidR="00EC7EDF" w:rsidRPr="00FD211F">
        <w:rPr>
          <w:sz w:val="36"/>
          <w:szCs w:val="36"/>
          <w:rtl/>
        </w:rPr>
        <w:t xml:space="preserve">ة </w:t>
      </w:r>
      <w:r w:rsidRPr="00FD211F">
        <w:rPr>
          <w:sz w:val="36"/>
          <w:szCs w:val="36"/>
          <w:rtl/>
        </w:rPr>
        <w:t>تلك المعاني من تلك الالفاظ تبعي</w:t>
      </w:r>
      <w:r w:rsidR="00EC7EDF" w:rsidRPr="00FD211F">
        <w:rPr>
          <w:sz w:val="36"/>
          <w:szCs w:val="36"/>
          <w:rtl/>
        </w:rPr>
        <w:t xml:space="preserve">ة </w:t>
      </w:r>
      <w:r w:rsidRPr="00FD211F">
        <w:rPr>
          <w:sz w:val="36"/>
          <w:szCs w:val="36"/>
          <w:rtl/>
        </w:rPr>
        <w:t>المقام الإثبات لمقام الثبوت</w:t>
      </w:r>
      <w:r w:rsidR="00603323" w:rsidRPr="00FD211F">
        <w:rPr>
          <w:sz w:val="36"/>
          <w:szCs w:val="36"/>
          <w:rtl/>
        </w:rPr>
        <w:t xml:space="preserve">، </w:t>
      </w:r>
      <w:r w:rsidRPr="00FD211F">
        <w:rPr>
          <w:sz w:val="36"/>
          <w:szCs w:val="36"/>
          <w:rtl/>
        </w:rPr>
        <w:t>فانه لولا مقام الثبوت لما وصلت النوب</w:t>
      </w:r>
      <w:r w:rsidR="00EC7EDF" w:rsidRPr="00FD211F">
        <w:rPr>
          <w:sz w:val="36"/>
          <w:szCs w:val="36"/>
          <w:rtl/>
        </w:rPr>
        <w:t xml:space="preserve">ة </w:t>
      </w:r>
      <w:r w:rsidRPr="00FD211F">
        <w:rPr>
          <w:sz w:val="36"/>
          <w:szCs w:val="36"/>
          <w:rtl/>
        </w:rPr>
        <w:t>الى مقام الإثبات</w:t>
      </w:r>
      <w:r w:rsidR="00603323" w:rsidRPr="00FD211F">
        <w:rPr>
          <w:sz w:val="36"/>
          <w:szCs w:val="36"/>
          <w:rtl/>
        </w:rPr>
        <w:t xml:space="preserve">، </w:t>
      </w:r>
      <w:r w:rsidRPr="00FD211F">
        <w:rPr>
          <w:sz w:val="36"/>
          <w:szCs w:val="36"/>
          <w:rtl/>
        </w:rPr>
        <w:t>فلابد من احراز كون المتكلم بصدد تفهيم المعنى حتى يثبت كونه مريدا لما هو ظاهر كلامه</w:t>
      </w:r>
      <w:r w:rsidR="00603323" w:rsidRPr="00FD211F">
        <w:rPr>
          <w:sz w:val="36"/>
          <w:szCs w:val="36"/>
          <w:rtl/>
        </w:rPr>
        <w:t xml:space="preserve">، </w:t>
      </w:r>
      <w:r w:rsidRPr="00FD211F">
        <w:rPr>
          <w:sz w:val="36"/>
          <w:szCs w:val="36"/>
          <w:rtl/>
        </w:rPr>
        <w:t>والا</w:t>
      </w:r>
      <w:r w:rsidR="008D7B3D" w:rsidRPr="00FD211F">
        <w:rPr>
          <w:sz w:val="36"/>
          <w:szCs w:val="36"/>
          <w:rtl/>
        </w:rPr>
        <w:t xml:space="preserve"> لم‌</w:t>
      </w:r>
      <w:r w:rsidRPr="00FD211F">
        <w:rPr>
          <w:sz w:val="36"/>
          <w:szCs w:val="36"/>
          <w:rtl/>
        </w:rPr>
        <w:t>يتم لكلامه الا الدلال</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اي كان سماع كلامه موجبا لانتقال السامع الى معناه فحسب</w:t>
      </w:r>
      <w:r w:rsidR="009C58C8" w:rsidRPr="00FD211F">
        <w:rPr>
          <w:rStyle w:val="a6"/>
          <w:sz w:val="36"/>
          <w:szCs w:val="36"/>
          <w:rtl/>
        </w:rPr>
        <w:t>(</w:t>
      </w:r>
      <w:r w:rsidR="009C58C8" w:rsidRPr="00FD211F">
        <w:rPr>
          <w:rStyle w:val="a6"/>
          <w:sz w:val="36"/>
          <w:szCs w:val="36"/>
          <w:rtl/>
        </w:rPr>
        <w:footnoteReference w:id="277"/>
      </w:r>
      <w:r w:rsidR="009C58C8" w:rsidRPr="00FD211F">
        <w:rPr>
          <w:rStyle w:val="a6"/>
          <w:sz w:val="36"/>
          <w:szCs w:val="36"/>
          <w:rtl/>
        </w:rPr>
        <w:t>)</w:t>
      </w:r>
      <w:r w:rsidRPr="00FD211F">
        <w:rPr>
          <w:sz w:val="36"/>
          <w:szCs w:val="36"/>
          <w:rtl/>
        </w:rPr>
        <w:t>.</w:t>
      </w:r>
    </w:p>
    <w:p w14:paraId="34DFC216" w14:textId="77777777" w:rsidR="000D11F4" w:rsidRPr="00FD211F" w:rsidRDefault="000D11F4" w:rsidP="009C58C8">
      <w:pPr>
        <w:ind w:left="0" w:firstLine="227"/>
        <w:jc w:val="both"/>
        <w:rPr>
          <w:sz w:val="36"/>
          <w:szCs w:val="36"/>
          <w:rtl/>
        </w:rPr>
      </w:pPr>
      <w:r w:rsidRPr="00FD211F">
        <w:rPr>
          <w:sz w:val="36"/>
          <w:szCs w:val="36"/>
          <w:rtl/>
        </w:rPr>
        <w:t xml:space="preserve">اقول: يلاحظ على ما افاده </w:t>
      </w:r>
      <w:r w:rsidRPr="00FD211F">
        <w:rPr>
          <w:b/>
          <w:bCs/>
          <w:sz w:val="36"/>
          <w:szCs w:val="36"/>
          <w:rtl/>
        </w:rPr>
        <w:t>اولا</w:t>
      </w:r>
      <w:r w:rsidRPr="00FD211F">
        <w:rPr>
          <w:sz w:val="36"/>
          <w:szCs w:val="36"/>
          <w:rtl/>
        </w:rPr>
        <w:t>: ان القول بكون الوضع هو الدلال</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لايعني كون اراد</w:t>
      </w:r>
      <w:r w:rsidR="00EC7EDF" w:rsidRPr="00FD211F">
        <w:rPr>
          <w:sz w:val="36"/>
          <w:szCs w:val="36"/>
          <w:rtl/>
        </w:rPr>
        <w:t xml:space="preserve">ة </w:t>
      </w:r>
      <w:r w:rsidRPr="00FD211F">
        <w:rPr>
          <w:sz w:val="36"/>
          <w:szCs w:val="36"/>
          <w:rtl/>
        </w:rPr>
        <w:t>تفهيم المعنى داخل</w:t>
      </w:r>
      <w:r w:rsidR="00EC7EDF" w:rsidRPr="00FD211F">
        <w:rPr>
          <w:sz w:val="36"/>
          <w:szCs w:val="36"/>
          <w:rtl/>
        </w:rPr>
        <w:t xml:space="preserve">ة </w:t>
      </w:r>
      <w:r w:rsidRPr="00FD211F">
        <w:rPr>
          <w:sz w:val="36"/>
          <w:szCs w:val="36"/>
          <w:rtl/>
        </w:rPr>
        <w:t>في المعنى الموضوع له</w:t>
      </w:r>
      <w:r w:rsidR="00603323" w:rsidRPr="00FD211F">
        <w:rPr>
          <w:sz w:val="36"/>
          <w:szCs w:val="36"/>
          <w:rtl/>
        </w:rPr>
        <w:t xml:space="preserve">، </w:t>
      </w:r>
      <w:r w:rsidRPr="00FD211F">
        <w:rPr>
          <w:sz w:val="36"/>
          <w:szCs w:val="36"/>
          <w:rtl/>
        </w:rPr>
        <w:t>بل يعني ذلك انها داخل</w:t>
      </w:r>
      <w:r w:rsidR="00EC7EDF" w:rsidRPr="00FD211F">
        <w:rPr>
          <w:sz w:val="36"/>
          <w:szCs w:val="36"/>
          <w:rtl/>
        </w:rPr>
        <w:t xml:space="preserve">ة </w:t>
      </w:r>
      <w:r w:rsidRPr="00FD211F">
        <w:rPr>
          <w:sz w:val="36"/>
          <w:szCs w:val="36"/>
          <w:rtl/>
        </w:rPr>
        <w:t>في حقيق</w:t>
      </w:r>
      <w:r w:rsidR="00EC7EDF" w:rsidRPr="00FD211F">
        <w:rPr>
          <w:sz w:val="36"/>
          <w:szCs w:val="36"/>
          <w:rtl/>
        </w:rPr>
        <w:t xml:space="preserve">ة </w:t>
      </w:r>
      <w:r w:rsidRPr="00FD211F">
        <w:rPr>
          <w:sz w:val="36"/>
          <w:szCs w:val="36"/>
          <w:rtl/>
        </w:rPr>
        <w:t>الوضع</w:t>
      </w:r>
      <w:r w:rsidR="00603323" w:rsidRPr="00FD211F">
        <w:rPr>
          <w:sz w:val="36"/>
          <w:szCs w:val="36"/>
          <w:rtl/>
        </w:rPr>
        <w:t xml:space="preserve">، </w:t>
      </w:r>
      <w:r w:rsidRPr="00FD211F">
        <w:rPr>
          <w:sz w:val="36"/>
          <w:szCs w:val="36"/>
          <w:rtl/>
        </w:rPr>
        <w:t xml:space="preserve">كما ذكره السيد الخوئي </w:t>
      </w:r>
      <w:r w:rsidR="00AB1B12" w:rsidRPr="00FD211F">
        <w:rPr>
          <w:sz w:val="36"/>
          <w:szCs w:val="36"/>
          <w:rtl/>
        </w:rPr>
        <w:t>"</w:t>
      </w:r>
      <w:r w:rsidRPr="00FD211F">
        <w:rPr>
          <w:sz w:val="36"/>
          <w:szCs w:val="36"/>
          <w:rtl/>
        </w:rPr>
        <w:t>قده</w:t>
      </w:r>
      <w:r w:rsidR="00AB1B12" w:rsidRPr="00FD211F">
        <w:rPr>
          <w:sz w:val="36"/>
          <w:szCs w:val="36"/>
          <w:rtl/>
        </w:rPr>
        <w:t>"</w:t>
      </w:r>
      <w:r w:rsidR="00603323" w:rsidRPr="00FD211F">
        <w:rPr>
          <w:sz w:val="36"/>
          <w:szCs w:val="36"/>
          <w:rtl/>
        </w:rPr>
        <w:t xml:space="preserve">، </w:t>
      </w:r>
      <w:r w:rsidRPr="00FD211F">
        <w:rPr>
          <w:sz w:val="36"/>
          <w:szCs w:val="36"/>
          <w:rtl/>
        </w:rPr>
        <w:t>حيث ذكر ان الواضع يتعهد ان لايتلفظ باللفظ الفلاني الا عند استعماله في هذا المعنى المعين</w:t>
      </w:r>
      <w:r w:rsidR="00603323" w:rsidRPr="00FD211F">
        <w:rPr>
          <w:sz w:val="36"/>
          <w:szCs w:val="36"/>
          <w:rtl/>
        </w:rPr>
        <w:t xml:space="preserve">، </w:t>
      </w:r>
      <w:r w:rsidRPr="00FD211F">
        <w:rPr>
          <w:sz w:val="36"/>
          <w:szCs w:val="36"/>
          <w:rtl/>
        </w:rPr>
        <w:t>فيكون الموضوع له والمستعمل فيه هو ذات المعنى دون اراد</w:t>
      </w:r>
      <w:r w:rsidR="00EC7EDF" w:rsidRPr="00FD211F">
        <w:rPr>
          <w:sz w:val="36"/>
          <w:szCs w:val="36"/>
          <w:rtl/>
        </w:rPr>
        <w:t xml:space="preserve">ة </w:t>
      </w:r>
      <w:r w:rsidRPr="00FD211F">
        <w:rPr>
          <w:sz w:val="36"/>
          <w:szCs w:val="36"/>
          <w:rtl/>
        </w:rPr>
        <w:t>تفهيمه.</w:t>
      </w:r>
    </w:p>
    <w:p w14:paraId="07258755" w14:textId="77777777" w:rsidR="000D11F4" w:rsidRPr="00FD211F" w:rsidRDefault="00366A5E" w:rsidP="009C58C8">
      <w:pPr>
        <w:ind w:left="0" w:firstLine="227"/>
        <w:jc w:val="both"/>
        <w:rPr>
          <w:sz w:val="36"/>
          <w:szCs w:val="36"/>
          <w:rtl/>
        </w:rPr>
      </w:pPr>
      <w:r w:rsidRPr="00FD211F">
        <w:rPr>
          <w:b/>
          <w:bCs/>
          <w:sz w:val="36"/>
          <w:szCs w:val="36"/>
          <w:rtl/>
        </w:rPr>
        <w:t>وثانيا</w:t>
      </w:r>
      <w:r w:rsidRPr="00FD211F">
        <w:rPr>
          <w:sz w:val="36"/>
          <w:szCs w:val="36"/>
          <w:rtl/>
        </w:rPr>
        <w:t>: ان ما ذكره</w:t>
      </w:r>
      <w:r w:rsidR="000D11F4" w:rsidRPr="00FD211F">
        <w:rPr>
          <w:sz w:val="36"/>
          <w:szCs w:val="36"/>
          <w:rtl/>
        </w:rPr>
        <w:t xml:space="preserve"> في الإيراد الأول فيمكن ان يجاب عنه بان قيد المعنى هو اراد</w:t>
      </w:r>
      <w:r w:rsidR="00EC7EDF" w:rsidRPr="00FD211F">
        <w:rPr>
          <w:sz w:val="36"/>
          <w:szCs w:val="36"/>
          <w:rtl/>
        </w:rPr>
        <w:t xml:space="preserve">ة </w:t>
      </w:r>
      <w:r w:rsidR="000D11F4" w:rsidRPr="00FD211F">
        <w:rPr>
          <w:sz w:val="36"/>
          <w:szCs w:val="36"/>
          <w:rtl/>
        </w:rPr>
        <w:t>تفهيم الجزء الاول من المعنى اي ذات مفهوم الماء مثلا</w:t>
      </w:r>
      <w:r w:rsidR="00603323" w:rsidRPr="00FD211F">
        <w:rPr>
          <w:sz w:val="36"/>
          <w:szCs w:val="36"/>
          <w:rtl/>
        </w:rPr>
        <w:t xml:space="preserve">، </w:t>
      </w:r>
      <w:r w:rsidR="000D11F4" w:rsidRPr="00FD211F">
        <w:rPr>
          <w:sz w:val="36"/>
          <w:szCs w:val="36"/>
          <w:rtl/>
        </w:rPr>
        <w:t>وحينئذ فيكون الجزء الثاني للمعنى وهو اراد</w:t>
      </w:r>
      <w:r w:rsidR="00EC7EDF" w:rsidRPr="00FD211F">
        <w:rPr>
          <w:sz w:val="36"/>
          <w:szCs w:val="36"/>
          <w:rtl/>
        </w:rPr>
        <w:t xml:space="preserve">ة </w:t>
      </w:r>
      <w:r w:rsidR="000D11F4" w:rsidRPr="00FD211F">
        <w:rPr>
          <w:sz w:val="36"/>
          <w:szCs w:val="36"/>
          <w:rtl/>
        </w:rPr>
        <w:t>تفهيمه حاصلا قهرا.</w:t>
      </w:r>
    </w:p>
    <w:p w14:paraId="45C58A57" w14:textId="77777777" w:rsidR="000D11F4" w:rsidRPr="00FD211F" w:rsidRDefault="000D11F4" w:rsidP="009C58C8">
      <w:pPr>
        <w:ind w:left="0" w:firstLine="227"/>
        <w:jc w:val="both"/>
        <w:rPr>
          <w:sz w:val="36"/>
          <w:szCs w:val="36"/>
          <w:rtl/>
        </w:rPr>
      </w:pPr>
      <w:r w:rsidRPr="00FD211F">
        <w:rPr>
          <w:b/>
          <w:bCs/>
          <w:sz w:val="36"/>
          <w:szCs w:val="36"/>
          <w:rtl/>
        </w:rPr>
        <w:t>وثالثا</w:t>
      </w:r>
      <w:r w:rsidRPr="00FD211F">
        <w:rPr>
          <w:sz w:val="36"/>
          <w:szCs w:val="36"/>
          <w:rtl/>
        </w:rPr>
        <w:t>: ان ما ذكر</w:t>
      </w:r>
      <w:r w:rsidR="00366A5E" w:rsidRPr="00FD211F">
        <w:rPr>
          <w:sz w:val="36"/>
          <w:szCs w:val="36"/>
          <w:rtl/>
        </w:rPr>
        <w:t>ه</w:t>
      </w:r>
      <w:r w:rsidR="00BD2B2D" w:rsidRPr="00FD211F">
        <w:rPr>
          <w:sz w:val="36"/>
          <w:szCs w:val="36"/>
          <w:rtl/>
        </w:rPr>
        <w:t xml:space="preserve"> من الايراد الثاني</w:t>
      </w:r>
      <w:r w:rsidRPr="00FD211F">
        <w:rPr>
          <w:sz w:val="36"/>
          <w:szCs w:val="36"/>
          <w:rtl/>
        </w:rPr>
        <w:t xml:space="preserve"> يبتني على ان قيد المعنى هو كونه مرادا بالذات للتفهيم</w:t>
      </w:r>
      <w:r w:rsidR="00603323" w:rsidRPr="00FD211F">
        <w:rPr>
          <w:sz w:val="36"/>
          <w:szCs w:val="36"/>
          <w:rtl/>
        </w:rPr>
        <w:t xml:space="preserve">، </w:t>
      </w:r>
      <w:r w:rsidRPr="00FD211F">
        <w:rPr>
          <w:sz w:val="36"/>
          <w:szCs w:val="36"/>
          <w:rtl/>
        </w:rPr>
        <w:t>واما لو اريد منه كونه مرادا بالعرض للتفهيم فلايمنع من الحمل لان القيام الخارجي يكون مرادا بالعرض للتفهيم وهو الذي يحمل على زيد.</w:t>
      </w:r>
    </w:p>
    <w:p w14:paraId="465909DD" w14:textId="77777777" w:rsidR="000D11F4" w:rsidRPr="00FD211F" w:rsidRDefault="00366A5E" w:rsidP="009C58C8">
      <w:pPr>
        <w:ind w:left="0" w:firstLine="227"/>
        <w:jc w:val="both"/>
        <w:rPr>
          <w:sz w:val="36"/>
          <w:szCs w:val="36"/>
          <w:rtl/>
        </w:rPr>
      </w:pPr>
      <w:r w:rsidRPr="00FD211F">
        <w:rPr>
          <w:b/>
          <w:bCs/>
          <w:sz w:val="36"/>
          <w:szCs w:val="36"/>
          <w:rtl/>
        </w:rPr>
        <w:t>ورابعا</w:t>
      </w:r>
      <w:r w:rsidRPr="00FD211F">
        <w:rPr>
          <w:sz w:val="36"/>
          <w:szCs w:val="36"/>
          <w:rtl/>
        </w:rPr>
        <w:t>: ان ما ذكره</w:t>
      </w:r>
      <w:r w:rsidR="000D11F4" w:rsidRPr="00FD211F">
        <w:rPr>
          <w:sz w:val="36"/>
          <w:szCs w:val="36"/>
          <w:rtl/>
        </w:rPr>
        <w:t xml:space="preserve"> </w:t>
      </w:r>
      <w:r w:rsidR="007974F6" w:rsidRPr="00FD211F">
        <w:rPr>
          <w:sz w:val="36"/>
          <w:szCs w:val="36"/>
          <w:rtl/>
        </w:rPr>
        <w:t>في</w:t>
      </w:r>
      <w:r w:rsidR="000D11F4" w:rsidRPr="00FD211F">
        <w:rPr>
          <w:sz w:val="36"/>
          <w:szCs w:val="36"/>
          <w:rtl/>
        </w:rPr>
        <w:t xml:space="preserve"> الايراد الثالث وان كان متجها</w:t>
      </w:r>
      <w:r w:rsidR="00603323" w:rsidRPr="00FD211F">
        <w:rPr>
          <w:sz w:val="36"/>
          <w:szCs w:val="36"/>
          <w:rtl/>
        </w:rPr>
        <w:t xml:space="preserve">، </w:t>
      </w:r>
      <w:r w:rsidR="000D11F4" w:rsidRPr="00FD211F">
        <w:rPr>
          <w:sz w:val="36"/>
          <w:szCs w:val="36"/>
          <w:rtl/>
        </w:rPr>
        <w:t>ولكن الالتزام به غير ضائر.</w:t>
      </w:r>
    </w:p>
    <w:p w14:paraId="60DC5074" w14:textId="77777777" w:rsidR="000D11F4" w:rsidRPr="00FD211F" w:rsidRDefault="000D11F4" w:rsidP="009C58C8">
      <w:pPr>
        <w:ind w:left="0" w:firstLine="227"/>
        <w:jc w:val="both"/>
        <w:rPr>
          <w:sz w:val="36"/>
          <w:szCs w:val="36"/>
          <w:rtl/>
        </w:rPr>
      </w:pPr>
      <w:r w:rsidRPr="00FD211F">
        <w:rPr>
          <w:b/>
          <w:bCs/>
          <w:sz w:val="36"/>
          <w:szCs w:val="36"/>
          <w:rtl/>
        </w:rPr>
        <w:t>وخامسا</w:t>
      </w:r>
      <w:r w:rsidRPr="00FD211F">
        <w:rPr>
          <w:sz w:val="36"/>
          <w:szCs w:val="36"/>
          <w:rtl/>
        </w:rPr>
        <w:t xml:space="preserve">: ان ما ذكره </w:t>
      </w:r>
      <w:r w:rsidR="007974F6" w:rsidRPr="00FD211F">
        <w:rPr>
          <w:sz w:val="36"/>
          <w:szCs w:val="36"/>
          <w:rtl/>
        </w:rPr>
        <w:t>من</w:t>
      </w:r>
      <w:r w:rsidRPr="00FD211F">
        <w:rPr>
          <w:sz w:val="36"/>
          <w:szCs w:val="36"/>
          <w:rtl/>
        </w:rPr>
        <w:t xml:space="preserve"> ان </w:t>
      </w:r>
      <w:r w:rsidR="007974F6" w:rsidRPr="00FD211F">
        <w:rPr>
          <w:sz w:val="36"/>
          <w:szCs w:val="36"/>
          <w:rtl/>
        </w:rPr>
        <w:t xml:space="preserve">مقام الاثبات تابع لمقام الثبوت </w:t>
      </w:r>
      <w:r w:rsidRPr="00FD211F">
        <w:rPr>
          <w:sz w:val="36"/>
          <w:szCs w:val="36"/>
          <w:rtl/>
        </w:rPr>
        <w:t>ليس له معنى محصل</w:t>
      </w:r>
      <w:r w:rsidR="00603323" w:rsidRPr="00FD211F">
        <w:rPr>
          <w:sz w:val="36"/>
          <w:szCs w:val="36"/>
          <w:rtl/>
        </w:rPr>
        <w:t xml:space="preserve">، </w:t>
      </w:r>
      <w:r w:rsidRPr="00FD211F">
        <w:rPr>
          <w:sz w:val="36"/>
          <w:szCs w:val="36"/>
          <w:rtl/>
        </w:rPr>
        <w:t>لان مقام الاثبات ليس ت</w:t>
      </w:r>
      <w:r w:rsidR="007974F6" w:rsidRPr="00FD211F">
        <w:rPr>
          <w:sz w:val="36"/>
          <w:szCs w:val="36"/>
          <w:rtl/>
        </w:rPr>
        <w:t>ابعا لمقام الثبوت بل هو كاشف عن مقام الثبوت</w:t>
      </w:r>
      <w:r w:rsidR="00603323" w:rsidRPr="00FD211F">
        <w:rPr>
          <w:sz w:val="36"/>
          <w:szCs w:val="36"/>
          <w:rtl/>
        </w:rPr>
        <w:t xml:space="preserve">، </w:t>
      </w:r>
      <w:r w:rsidRPr="00FD211F">
        <w:rPr>
          <w:sz w:val="36"/>
          <w:szCs w:val="36"/>
          <w:rtl/>
        </w:rPr>
        <w:t>وعليه فصدور اللفظ ظاهر في ان المتكلم قاصد لتفهيم هذا المعنى ولو</w:t>
      </w:r>
      <w:r w:rsidR="008D7B3D" w:rsidRPr="00FD211F">
        <w:rPr>
          <w:sz w:val="36"/>
          <w:szCs w:val="36"/>
          <w:rtl/>
        </w:rPr>
        <w:t xml:space="preserve"> لم‌</w:t>
      </w:r>
      <w:r w:rsidRPr="00FD211F">
        <w:rPr>
          <w:sz w:val="36"/>
          <w:szCs w:val="36"/>
          <w:rtl/>
        </w:rPr>
        <w:t>يكن قاصدا له واقعا</w:t>
      </w:r>
      <w:r w:rsidR="00603323" w:rsidRPr="00FD211F">
        <w:rPr>
          <w:sz w:val="36"/>
          <w:szCs w:val="36"/>
          <w:rtl/>
        </w:rPr>
        <w:t xml:space="preserve">، </w:t>
      </w:r>
      <w:r w:rsidRPr="00FD211F">
        <w:rPr>
          <w:sz w:val="36"/>
          <w:szCs w:val="36"/>
          <w:rtl/>
        </w:rPr>
        <w:t>نعم يكون الخلاف في ان هذا الظهور ظهور وضعي كما هو</w:t>
      </w:r>
      <w:r w:rsidR="007974F6" w:rsidRPr="00FD211F">
        <w:rPr>
          <w:sz w:val="36"/>
          <w:szCs w:val="36"/>
          <w:rtl/>
        </w:rPr>
        <w:t xml:space="preserve"> مقتضى </w:t>
      </w:r>
      <w:r w:rsidRPr="00FD211F">
        <w:rPr>
          <w:sz w:val="36"/>
          <w:szCs w:val="36"/>
          <w:rtl/>
        </w:rPr>
        <w:t>مسلك 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تصديقي</w:t>
      </w:r>
      <w:r w:rsidR="00EC7EDF" w:rsidRPr="00FD211F">
        <w:rPr>
          <w:sz w:val="36"/>
          <w:szCs w:val="36"/>
          <w:rtl/>
        </w:rPr>
        <w:t xml:space="preserve">ة </w:t>
      </w:r>
      <w:r w:rsidRPr="00FD211F">
        <w:rPr>
          <w:sz w:val="36"/>
          <w:szCs w:val="36"/>
          <w:rtl/>
        </w:rPr>
        <w:t>او انه ظهور حالي عقلائي كما هو المختار.</w:t>
      </w:r>
    </w:p>
    <w:p w14:paraId="7F0764ED" w14:textId="77777777" w:rsidR="000D11F4" w:rsidRPr="00FD211F" w:rsidRDefault="000D11F4" w:rsidP="009C58C8">
      <w:pPr>
        <w:ind w:left="0" w:firstLine="227"/>
        <w:jc w:val="both"/>
        <w:rPr>
          <w:sz w:val="36"/>
          <w:szCs w:val="36"/>
          <w:rtl/>
        </w:rPr>
      </w:pPr>
      <w:r w:rsidRPr="00FD211F">
        <w:rPr>
          <w:sz w:val="36"/>
          <w:szCs w:val="36"/>
          <w:rtl/>
        </w:rPr>
        <w:t xml:space="preserve">هذا وقد حاول المحقق العراقي </w:t>
      </w:r>
      <w:r w:rsidR="00366A5E" w:rsidRPr="00FD211F">
        <w:rPr>
          <w:sz w:val="36"/>
          <w:szCs w:val="36"/>
          <w:rtl/>
        </w:rPr>
        <w:t>"</w:t>
      </w:r>
      <w:r w:rsidRPr="00FD211F">
        <w:rPr>
          <w:sz w:val="36"/>
          <w:szCs w:val="36"/>
          <w:rtl/>
        </w:rPr>
        <w:t>قده</w:t>
      </w:r>
      <w:r w:rsidR="00366A5E" w:rsidRPr="00FD211F">
        <w:rPr>
          <w:sz w:val="36"/>
          <w:szCs w:val="36"/>
          <w:rtl/>
        </w:rPr>
        <w:t>"</w:t>
      </w:r>
      <w:r w:rsidRPr="00FD211F">
        <w:rPr>
          <w:sz w:val="36"/>
          <w:szCs w:val="36"/>
          <w:rtl/>
        </w:rPr>
        <w:t xml:space="preserve"> ان يجيب عن الإيراد الاول لصاحب الكفاي</w:t>
      </w:r>
      <w:r w:rsidR="00EC7EDF" w:rsidRPr="00FD211F">
        <w:rPr>
          <w:sz w:val="36"/>
          <w:szCs w:val="36"/>
          <w:rtl/>
        </w:rPr>
        <w:t xml:space="preserve">ة </w:t>
      </w:r>
      <w:r w:rsidRPr="00FD211F">
        <w:rPr>
          <w:sz w:val="36"/>
          <w:szCs w:val="36"/>
          <w:rtl/>
        </w:rPr>
        <w:t>بانه وان كان وضع اللفظ بإزاء المعنى المقيد بكونه مرادا بالتفهيم محالا لاستلزامه الدور او الخلف</w:t>
      </w:r>
      <w:r w:rsidR="00603323" w:rsidRPr="00FD211F">
        <w:rPr>
          <w:sz w:val="36"/>
          <w:szCs w:val="36"/>
          <w:rtl/>
        </w:rPr>
        <w:t xml:space="preserve">، </w:t>
      </w:r>
      <w:r w:rsidRPr="00FD211F">
        <w:rPr>
          <w:sz w:val="36"/>
          <w:szCs w:val="36"/>
          <w:rtl/>
        </w:rPr>
        <w:t>لكنه لامانع ثبوتا من وضع اللفظ للمعنى المقرون باراد</w:t>
      </w:r>
      <w:r w:rsidR="00EC7EDF" w:rsidRPr="00FD211F">
        <w:rPr>
          <w:sz w:val="36"/>
          <w:szCs w:val="36"/>
          <w:rtl/>
        </w:rPr>
        <w:t xml:space="preserve">ة </w:t>
      </w:r>
      <w:r w:rsidRPr="00FD211F">
        <w:rPr>
          <w:sz w:val="36"/>
          <w:szCs w:val="36"/>
          <w:rtl/>
        </w:rPr>
        <w:t>تفهيمه بنحو الحص</w:t>
      </w:r>
      <w:r w:rsidR="00EC7EDF" w:rsidRPr="00FD211F">
        <w:rPr>
          <w:sz w:val="36"/>
          <w:szCs w:val="36"/>
          <w:rtl/>
        </w:rPr>
        <w:t xml:space="preserve">ة </w:t>
      </w:r>
      <w:r w:rsidRPr="00FD211F">
        <w:rPr>
          <w:sz w:val="36"/>
          <w:szCs w:val="36"/>
          <w:rtl/>
        </w:rPr>
        <w:t>التوأم</w:t>
      </w:r>
      <w:r w:rsidR="00EC7EDF" w:rsidRPr="00FD211F">
        <w:rPr>
          <w:sz w:val="36"/>
          <w:szCs w:val="36"/>
          <w:rtl/>
        </w:rPr>
        <w:t>ة</w:t>
      </w:r>
      <w:r w:rsidR="00603323" w:rsidRPr="00FD211F">
        <w:rPr>
          <w:sz w:val="36"/>
          <w:szCs w:val="36"/>
          <w:rtl/>
        </w:rPr>
        <w:t xml:space="preserve">، </w:t>
      </w:r>
      <w:r w:rsidRPr="00FD211F">
        <w:rPr>
          <w:sz w:val="36"/>
          <w:szCs w:val="36"/>
          <w:rtl/>
        </w:rPr>
        <w:t>وذكر انه لو كان الغرض من الوضع خصوص تفهيم المعنى دون مطلق خطور المعنى عند سماع اللفظ فحيث ان التفهيم يلازم إراد</w:t>
      </w:r>
      <w:r w:rsidR="00EC7EDF" w:rsidRPr="00FD211F">
        <w:rPr>
          <w:sz w:val="36"/>
          <w:szCs w:val="36"/>
          <w:rtl/>
        </w:rPr>
        <w:t xml:space="preserve">ة </w:t>
      </w:r>
      <w:r w:rsidRPr="00FD211F">
        <w:rPr>
          <w:sz w:val="36"/>
          <w:szCs w:val="36"/>
          <w:rtl/>
        </w:rPr>
        <w:t>المعنى حين القاء اللفظ فلاجرم يقتضي ضيق الغرض من الوضع التضييق في دائر</w:t>
      </w:r>
      <w:r w:rsidR="00EC7EDF" w:rsidRPr="00FD211F">
        <w:rPr>
          <w:sz w:val="36"/>
          <w:szCs w:val="36"/>
          <w:rtl/>
        </w:rPr>
        <w:t xml:space="preserve">ة </w:t>
      </w:r>
      <w:r w:rsidRPr="00FD211F">
        <w:rPr>
          <w:sz w:val="36"/>
          <w:szCs w:val="36"/>
          <w:rtl/>
        </w:rPr>
        <w:t>الوضع وبتبعه يتضيق موضوع الوضع قهرا ويمتنع اطلاقه لغير فرض اراد</w:t>
      </w:r>
      <w:r w:rsidR="00EC7EDF" w:rsidRPr="00FD211F">
        <w:rPr>
          <w:sz w:val="36"/>
          <w:szCs w:val="36"/>
          <w:rtl/>
        </w:rPr>
        <w:t xml:space="preserve">ة </w:t>
      </w:r>
      <w:r w:rsidRPr="00FD211F">
        <w:rPr>
          <w:sz w:val="36"/>
          <w:szCs w:val="36"/>
          <w:rtl/>
        </w:rPr>
        <w:t>المعنى</w:t>
      </w:r>
      <w:r w:rsidR="00603323" w:rsidRPr="00FD211F">
        <w:rPr>
          <w:sz w:val="36"/>
          <w:szCs w:val="36"/>
          <w:rtl/>
        </w:rPr>
        <w:t xml:space="preserve">، </w:t>
      </w:r>
      <w:r w:rsidRPr="00FD211F">
        <w:rPr>
          <w:sz w:val="36"/>
          <w:szCs w:val="36"/>
          <w:rtl/>
        </w:rPr>
        <w:t>الا انه اجاب عنه بمنع كون الغرض من الوضع هو تفهيم المعنى</w:t>
      </w:r>
      <w:r w:rsidR="00603323" w:rsidRPr="00FD211F">
        <w:rPr>
          <w:sz w:val="36"/>
          <w:szCs w:val="36"/>
          <w:rtl/>
        </w:rPr>
        <w:t xml:space="preserve">، </w:t>
      </w:r>
      <w:r w:rsidRPr="00FD211F">
        <w:rPr>
          <w:sz w:val="36"/>
          <w:szCs w:val="36"/>
          <w:rtl/>
        </w:rPr>
        <w:t>بل الغرض سببي</w:t>
      </w:r>
      <w:r w:rsidR="00EC7EDF" w:rsidRPr="00FD211F">
        <w:rPr>
          <w:sz w:val="36"/>
          <w:szCs w:val="36"/>
          <w:rtl/>
        </w:rPr>
        <w:t xml:space="preserve">ة </w:t>
      </w:r>
      <w:r w:rsidRPr="00FD211F">
        <w:rPr>
          <w:sz w:val="36"/>
          <w:szCs w:val="36"/>
          <w:rtl/>
        </w:rPr>
        <w:t>سماع اللفظ لتصور المعنى مطلقا</w:t>
      </w:r>
      <w:r w:rsidR="009C58C8" w:rsidRPr="00FD211F">
        <w:rPr>
          <w:rStyle w:val="a6"/>
          <w:sz w:val="36"/>
          <w:szCs w:val="36"/>
          <w:rtl/>
        </w:rPr>
        <w:t>(</w:t>
      </w:r>
      <w:r w:rsidR="009C58C8" w:rsidRPr="00FD211F">
        <w:rPr>
          <w:rStyle w:val="a6"/>
          <w:sz w:val="36"/>
          <w:szCs w:val="36"/>
          <w:rtl/>
        </w:rPr>
        <w:footnoteReference w:id="278"/>
      </w:r>
      <w:r w:rsidR="009C58C8" w:rsidRPr="00FD211F">
        <w:rPr>
          <w:rStyle w:val="a6"/>
          <w:sz w:val="36"/>
          <w:szCs w:val="36"/>
          <w:rtl/>
        </w:rPr>
        <w:t>)</w:t>
      </w:r>
      <w:r w:rsidRPr="00FD211F">
        <w:rPr>
          <w:sz w:val="36"/>
          <w:szCs w:val="36"/>
          <w:rtl/>
        </w:rPr>
        <w:t>.</w:t>
      </w:r>
    </w:p>
    <w:p w14:paraId="59B7E2CA" w14:textId="77777777" w:rsidR="000D11F4" w:rsidRPr="00FD211F" w:rsidRDefault="000D11F4" w:rsidP="009C58C8">
      <w:pPr>
        <w:ind w:left="0" w:firstLine="227"/>
        <w:jc w:val="both"/>
        <w:rPr>
          <w:sz w:val="36"/>
          <w:szCs w:val="36"/>
          <w:rtl/>
        </w:rPr>
      </w:pPr>
      <w:r w:rsidRPr="00FD211F">
        <w:rPr>
          <w:sz w:val="36"/>
          <w:szCs w:val="36"/>
          <w:rtl/>
        </w:rPr>
        <w:t xml:space="preserve">ويلاحظ عليه </w:t>
      </w:r>
      <w:r w:rsidRPr="00FD211F">
        <w:rPr>
          <w:b/>
          <w:bCs/>
          <w:sz w:val="36"/>
          <w:szCs w:val="36"/>
          <w:rtl/>
        </w:rPr>
        <w:t>اولا</w:t>
      </w:r>
      <w:r w:rsidRPr="00FD211F">
        <w:rPr>
          <w:sz w:val="36"/>
          <w:szCs w:val="36"/>
          <w:rtl/>
        </w:rPr>
        <w:t>: انه لو استحال وضع اللفظ على المعنى المقيد بكونه مرادا بالتفهيم كما هو المفروض في كلامه فلايمكن رفع غائل</w:t>
      </w:r>
      <w:r w:rsidR="00EC7EDF" w:rsidRPr="00FD211F">
        <w:rPr>
          <w:sz w:val="36"/>
          <w:szCs w:val="36"/>
          <w:rtl/>
        </w:rPr>
        <w:t xml:space="preserve">ة </w:t>
      </w:r>
      <w:r w:rsidRPr="00FD211F">
        <w:rPr>
          <w:sz w:val="36"/>
          <w:szCs w:val="36"/>
          <w:rtl/>
        </w:rPr>
        <w:t>استحال</w:t>
      </w:r>
      <w:r w:rsidR="00EC7EDF" w:rsidRPr="00FD211F">
        <w:rPr>
          <w:sz w:val="36"/>
          <w:szCs w:val="36"/>
          <w:rtl/>
        </w:rPr>
        <w:t xml:space="preserve">ة </w:t>
      </w:r>
      <w:r w:rsidRPr="00FD211F">
        <w:rPr>
          <w:sz w:val="36"/>
          <w:szCs w:val="36"/>
          <w:rtl/>
        </w:rPr>
        <w:t>التقييد بالتوصل الى اخذ الحص</w:t>
      </w:r>
      <w:r w:rsidR="00EC7EDF" w:rsidRPr="00FD211F">
        <w:rPr>
          <w:sz w:val="36"/>
          <w:szCs w:val="36"/>
          <w:rtl/>
        </w:rPr>
        <w:t xml:space="preserve">ة </w:t>
      </w:r>
      <w:r w:rsidRPr="00FD211F">
        <w:rPr>
          <w:sz w:val="36"/>
          <w:szCs w:val="36"/>
          <w:rtl/>
        </w:rPr>
        <w:t>التوأم</w:t>
      </w:r>
      <w:r w:rsidR="00EC7EDF" w:rsidRPr="00FD211F">
        <w:rPr>
          <w:sz w:val="36"/>
          <w:szCs w:val="36"/>
          <w:rtl/>
        </w:rPr>
        <w:t xml:space="preserve">ة </w:t>
      </w:r>
      <w:r w:rsidRPr="00FD211F">
        <w:rPr>
          <w:sz w:val="36"/>
          <w:szCs w:val="36"/>
          <w:rtl/>
        </w:rPr>
        <w:t>موضوعا للوضع</w:t>
      </w:r>
      <w:r w:rsidR="00603323" w:rsidRPr="00FD211F">
        <w:rPr>
          <w:sz w:val="36"/>
          <w:szCs w:val="36"/>
          <w:rtl/>
        </w:rPr>
        <w:t xml:space="preserve">، </w:t>
      </w:r>
      <w:r w:rsidRPr="00FD211F">
        <w:rPr>
          <w:sz w:val="36"/>
          <w:szCs w:val="36"/>
          <w:rtl/>
        </w:rPr>
        <w:t>اذ لاتتحقق حص</w:t>
      </w:r>
      <w:r w:rsidR="00EC7EDF" w:rsidRPr="00FD211F">
        <w:rPr>
          <w:sz w:val="36"/>
          <w:szCs w:val="36"/>
          <w:rtl/>
        </w:rPr>
        <w:t xml:space="preserve">ة </w:t>
      </w:r>
      <w:r w:rsidRPr="00FD211F">
        <w:rPr>
          <w:sz w:val="36"/>
          <w:szCs w:val="36"/>
          <w:rtl/>
        </w:rPr>
        <w:t>توأم</w:t>
      </w:r>
      <w:r w:rsidR="00EC7EDF" w:rsidRPr="00FD211F">
        <w:rPr>
          <w:sz w:val="36"/>
          <w:szCs w:val="36"/>
          <w:rtl/>
        </w:rPr>
        <w:t xml:space="preserve">ة </w:t>
      </w:r>
      <w:r w:rsidRPr="00FD211F">
        <w:rPr>
          <w:sz w:val="36"/>
          <w:szCs w:val="36"/>
          <w:rtl/>
        </w:rPr>
        <w:t>في المفهوم الكلي الا بلحاظه مقيدا</w:t>
      </w:r>
      <w:r w:rsidR="00603323" w:rsidRPr="00FD211F">
        <w:rPr>
          <w:sz w:val="36"/>
          <w:szCs w:val="36"/>
          <w:rtl/>
        </w:rPr>
        <w:t xml:space="preserve">، </w:t>
      </w:r>
      <w:r w:rsidRPr="00FD211F">
        <w:rPr>
          <w:sz w:val="36"/>
          <w:szCs w:val="36"/>
          <w:rtl/>
        </w:rPr>
        <w:t xml:space="preserve">وهذا ما أجيب به عما ذكره </w:t>
      </w:r>
      <w:r w:rsidR="00366A5E" w:rsidRPr="00FD211F">
        <w:rPr>
          <w:sz w:val="36"/>
          <w:szCs w:val="36"/>
          <w:rtl/>
        </w:rPr>
        <w:t>"</w:t>
      </w:r>
      <w:r w:rsidRPr="00FD211F">
        <w:rPr>
          <w:sz w:val="36"/>
          <w:szCs w:val="36"/>
          <w:rtl/>
        </w:rPr>
        <w:t>قده</w:t>
      </w:r>
      <w:r w:rsidR="00366A5E" w:rsidRPr="00FD211F">
        <w:rPr>
          <w:sz w:val="36"/>
          <w:szCs w:val="36"/>
          <w:rtl/>
        </w:rPr>
        <w:t>"</w:t>
      </w:r>
      <w:r w:rsidRPr="00FD211F">
        <w:rPr>
          <w:sz w:val="36"/>
          <w:szCs w:val="36"/>
          <w:rtl/>
        </w:rPr>
        <w:t xml:space="preserve"> في بحث اخذ العلم بالحكم في موضوع الحكم من أنه وان كان أخذ العلم بالحكم في موضوع الحكم مستحيلا لكنه يمكن اخذ الحص</w:t>
      </w:r>
      <w:r w:rsidR="00EC7EDF" w:rsidRPr="00FD211F">
        <w:rPr>
          <w:sz w:val="36"/>
          <w:szCs w:val="36"/>
          <w:rtl/>
        </w:rPr>
        <w:t xml:space="preserve">ة </w:t>
      </w:r>
      <w:r w:rsidRPr="00FD211F">
        <w:rPr>
          <w:sz w:val="36"/>
          <w:szCs w:val="36"/>
          <w:rtl/>
        </w:rPr>
        <w:t>التوأم</w:t>
      </w:r>
      <w:r w:rsidR="00EC7EDF" w:rsidRPr="00FD211F">
        <w:rPr>
          <w:sz w:val="36"/>
          <w:szCs w:val="36"/>
          <w:rtl/>
        </w:rPr>
        <w:t xml:space="preserve">ة </w:t>
      </w:r>
      <w:r w:rsidRPr="00FD211F">
        <w:rPr>
          <w:sz w:val="36"/>
          <w:szCs w:val="36"/>
          <w:rtl/>
        </w:rPr>
        <w:t>اي ذات المكلف العالم بالحكم موضوعا للحكم فان ذات المقيد تكون متضيق</w:t>
      </w:r>
      <w:r w:rsidR="00EC7EDF" w:rsidRPr="00FD211F">
        <w:rPr>
          <w:sz w:val="36"/>
          <w:szCs w:val="36"/>
          <w:rtl/>
        </w:rPr>
        <w:t xml:space="preserve">ة </w:t>
      </w:r>
      <w:r w:rsidRPr="00FD211F">
        <w:rPr>
          <w:sz w:val="36"/>
          <w:szCs w:val="36"/>
          <w:rtl/>
        </w:rPr>
        <w:t>قهرا في طول تقيدها بالقيد وان</w:t>
      </w:r>
      <w:r w:rsidR="008D7B3D" w:rsidRPr="00FD211F">
        <w:rPr>
          <w:sz w:val="36"/>
          <w:szCs w:val="36"/>
          <w:rtl/>
        </w:rPr>
        <w:t xml:space="preserve"> لم‌</w:t>
      </w:r>
      <w:r w:rsidRPr="00FD211F">
        <w:rPr>
          <w:sz w:val="36"/>
          <w:szCs w:val="36"/>
          <w:rtl/>
        </w:rPr>
        <w:t>يلحظ قيدها</w:t>
      </w:r>
      <w:r w:rsidR="00603323" w:rsidRPr="00FD211F">
        <w:rPr>
          <w:sz w:val="36"/>
          <w:szCs w:val="36"/>
          <w:rtl/>
        </w:rPr>
        <w:t xml:space="preserve">، </w:t>
      </w:r>
      <w:r w:rsidRPr="00FD211F">
        <w:rPr>
          <w:sz w:val="36"/>
          <w:szCs w:val="36"/>
          <w:rtl/>
        </w:rPr>
        <w:t>ولايكون لها اطلاق للذات الفاقد</w:t>
      </w:r>
      <w:r w:rsidR="00EC7EDF" w:rsidRPr="00FD211F">
        <w:rPr>
          <w:sz w:val="36"/>
          <w:szCs w:val="36"/>
          <w:rtl/>
        </w:rPr>
        <w:t xml:space="preserve">ة </w:t>
      </w:r>
      <w:r w:rsidRPr="00FD211F">
        <w:rPr>
          <w:sz w:val="36"/>
          <w:szCs w:val="36"/>
          <w:rtl/>
        </w:rPr>
        <w:t>للقيد</w:t>
      </w:r>
      <w:r w:rsidR="00603323" w:rsidRPr="00FD211F">
        <w:rPr>
          <w:sz w:val="36"/>
          <w:szCs w:val="36"/>
          <w:rtl/>
        </w:rPr>
        <w:t xml:space="preserve">، </w:t>
      </w:r>
      <w:r w:rsidRPr="00FD211F">
        <w:rPr>
          <w:sz w:val="36"/>
          <w:szCs w:val="36"/>
          <w:rtl/>
        </w:rPr>
        <w:t>نظير ما يقال من ان الصادر من النار مثلا ليس هو الحرار</w:t>
      </w:r>
      <w:r w:rsidR="00EC7EDF" w:rsidRPr="00FD211F">
        <w:rPr>
          <w:sz w:val="36"/>
          <w:szCs w:val="36"/>
          <w:rtl/>
        </w:rPr>
        <w:t xml:space="preserve">ة </w:t>
      </w:r>
      <w:r w:rsidRPr="00FD211F">
        <w:rPr>
          <w:sz w:val="36"/>
          <w:szCs w:val="36"/>
          <w:rtl/>
        </w:rPr>
        <w:t>مع قيد صدورها عن هذه النار ولكنها ذات متضيق</w:t>
      </w:r>
      <w:r w:rsidR="00EC7EDF" w:rsidRPr="00FD211F">
        <w:rPr>
          <w:sz w:val="36"/>
          <w:szCs w:val="36"/>
          <w:rtl/>
        </w:rPr>
        <w:t xml:space="preserve">ة </w:t>
      </w:r>
      <w:r w:rsidRPr="00FD211F">
        <w:rPr>
          <w:sz w:val="36"/>
          <w:szCs w:val="36"/>
          <w:rtl/>
        </w:rPr>
        <w:t>لااطلاق لها للحرار</w:t>
      </w:r>
      <w:r w:rsidR="00EC7EDF" w:rsidRPr="00FD211F">
        <w:rPr>
          <w:sz w:val="36"/>
          <w:szCs w:val="36"/>
          <w:rtl/>
        </w:rPr>
        <w:t xml:space="preserve">ة </w:t>
      </w:r>
      <w:r w:rsidRPr="00FD211F">
        <w:rPr>
          <w:sz w:val="36"/>
          <w:szCs w:val="36"/>
          <w:rtl/>
        </w:rPr>
        <w:t>غير الصادر</w:t>
      </w:r>
      <w:r w:rsidR="00EC7EDF" w:rsidRPr="00FD211F">
        <w:rPr>
          <w:sz w:val="36"/>
          <w:szCs w:val="36"/>
          <w:rtl/>
        </w:rPr>
        <w:t xml:space="preserve">ة </w:t>
      </w:r>
      <w:r w:rsidRPr="00FD211F">
        <w:rPr>
          <w:sz w:val="36"/>
          <w:szCs w:val="36"/>
          <w:rtl/>
        </w:rPr>
        <w:t>من هذه النار</w:t>
      </w:r>
      <w:r w:rsidR="00603323" w:rsidRPr="00FD211F">
        <w:rPr>
          <w:sz w:val="36"/>
          <w:szCs w:val="36"/>
          <w:rtl/>
        </w:rPr>
        <w:t xml:space="preserve">، </w:t>
      </w:r>
      <w:r w:rsidRPr="00FD211F">
        <w:rPr>
          <w:sz w:val="36"/>
          <w:szCs w:val="36"/>
          <w:rtl/>
        </w:rPr>
        <w:t>وعليه فيمكن الإشار</w:t>
      </w:r>
      <w:r w:rsidR="00EC7EDF" w:rsidRPr="00FD211F">
        <w:rPr>
          <w:sz w:val="36"/>
          <w:szCs w:val="36"/>
          <w:rtl/>
        </w:rPr>
        <w:t xml:space="preserve">ة </w:t>
      </w:r>
      <w:r w:rsidRPr="00FD211F">
        <w:rPr>
          <w:sz w:val="36"/>
          <w:szCs w:val="36"/>
          <w:rtl/>
        </w:rPr>
        <w:t>الى الذات المتضيق</w:t>
      </w:r>
      <w:r w:rsidR="00EC7EDF" w:rsidRPr="00FD211F">
        <w:rPr>
          <w:sz w:val="36"/>
          <w:szCs w:val="36"/>
          <w:rtl/>
        </w:rPr>
        <w:t xml:space="preserve">ة </w:t>
      </w:r>
      <w:r w:rsidRPr="00FD211F">
        <w:rPr>
          <w:sz w:val="36"/>
          <w:szCs w:val="36"/>
          <w:rtl/>
        </w:rPr>
        <w:t>للمكلف العالم بالحكم وأخذها في موضوع الحكم</w:t>
      </w:r>
      <w:r w:rsidR="00603323" w:rsidRPr="00FD211F">
        <w:rPr>
          <w:sz w:val="36"/>
          <w:szCs w:val="36"/>
          <w:rtl/>
        </w:rPr>
        <w:t xml:space="preserve">، </w:t>
      </w:r>
      <w:r w:rsidRPr="00FD211F">
        <w:rPr>
          <w:sz w:val="36"/>
          <w:szCs w:val="36"/>
          <w:rtl/>
        </w:rPr>
        <w:t>فانه أورد عليه في محله بانه لايمكن لحاظ الذات المتضيق</w:t>
      </w:r>
      <w:r w:rsidR="00EC7EDF" w:rsidRPr="00FD211F">
        <w:rPr>
          <w:sz w:val="36"/>
          <w:szCs w:val="36"/>
          <w:rtl/>
        </w:rPr>
        <w:t xml:space="preserve">ة </w:t>
      </w:r>
      <w:r w:rsidRPr="00FD211F">
        <w:rPr>
          <w:sz w:val="36"/>
          <w:szCs w:val="36"/>
          <w:rtl/>
        </w:rPr>
        <w:t>في المفاهيم الكلي</w:t>
      </w:r>
      <w:r w:rsidR="00EC7EDF" w:rsidRPr="00FD211F">
        <w:rPr>
          <w:sz w:val="36"/>
          <w:szCs w:val="36"/>
          <w:rtl/>
        </w:rPr>
        <w:t xml:space="preserve">ة </w:t>
      </w:r>
      <w:r w:rsidRPr="00FD211F">
        <w:rPr>
          <w:sz w:val="36"/>
          <w:szCs w:val="36"/>
          <w:rtl/>
        </w:rPr>
        <w:t>الا بلحاظها مقيد</w:t>
      </w:r>
      <w:r w:rsidR="00EC7EDF" w:rsidRPr="00FD211F">
        <w:rPr>
          <w:sz w:val="36"/>
          <w:szCs w:val="36"/>
          <w:rtl/>
        </w:rPr>
        <w:t>ة</w:t>
      </w:r>
      <w:r w:rsidR="00603323" w:rsidRPr="00FD211F">
        <w:rPr>
          <w:sz w:val="36"/>
          <w:szCs w:val="36"/>
          <w:rtl/>
        </w:rPr>
        <w:t xml:space="preserve">، </w:t>
      </w:r>
      <w:r w:rsidRPr="00FD211F">
        <w:rPr>
          <w:sz w:val="36"/>
          <w:szCs w:val="36"/>
          <w:rtl/>
        </w:rPr>
        <w:t>والا فلو اقتصر على لحاظ ذاتها لما تضيقت أبداً</w:t>
      </w:r>
      <w:r w:rsidR="00603323" w:rsidRPr="00FD211F">
        <w:rPr>
          <w:sz w:val="36"/>
          <w:szCs w:val="36"/>
          <w:rtl/>
        </w:rPr>
        <w:t xml:space="preserve">، </w:t>
      </w:r>
      <w:r w:rsidRPr="00FD211F">
        <w:rPr>
          <w:sz w:val="36"/>
          <w:szCs w:val="36"/>
          <w:rtl/>
        </w:rPr>
        <w:t>نعم يمكن بالنسب</w:t>
      </w:r>
      <w:r w:rsidR="00EC7EDF" w:rsidRPr="00FD211F">
        <w:rPr>
          <w:sz w:val="36"/>
          <w:szCs w:val="36"/>
          <w:rtl/>
        </w:rPr>
        <w:t xml:space="preserve">ة </w:t>
      </w:r>
      <w:r w:rsidRPr="00FD211F">
        <w:rPr>
          <w:sz w:val="36"/>
          <w:szCs w:val="36"/>
          <w:rtl/>
        </w:rPr>
        <w:t>الى الموجودات الخارجي</w:t>
      </w:r>
      <w:r w:rsidR="00EC7EDF" w:rsidRPr="00FD211F">
        <w:rPr>
          <w:sz w:val="36"/>
          <w:szCs w:val="36"/>
          <w:rtl/>
        </w:rPr>
        <w:t xml:space="preserve">ة </w:t>
      </w:r>
      <w:r w:rsidRPr="00FD211F">
        <w:rPr>
          <w:sz w:val="36"/>
          <w:szCs w:val="36"/>
          <w:rtl/>
        </w:rPr>
        <w:t>ان يشار الى ذاتها المتميز</w:t>
      </w:r>
      <w:r w:rsidR="00EC7EDF" w:rsidRPr="00FD211F">
        <w:rPr>
          <w:sz w:val="36"/>
          <w:szCs w:val="36"/>
          <w:rtl/>
        </w:rPr>
        <w:t xml:space="preserve">ة </w:t>
      </w:r>
      <w:r w:rsidRPr="00FD211F">
        <w:rPr>
          <w:sz w:val="36"/>
          <w:szCs w:val="36"/>
          <w:rtl/>
        </w:rPr>
        <w:t>والمتعين</w:t>
      </w:r>
      <w:r w:rsidR="00EC7EDF" w:rsidRPr="00FD211F">
        <w:rPr>
          <w:sz w:val="36"/>
          <w:szCs w:val="36"/>
          <w:rtl/>
        </w:rPr>
        <w:t xml:space="preserve">ة </w:t>
      </w:r>
      <w:r w:rsidRPr="00FD211F">
        <w:rPr>
          <w:sz w:val="36"/>
          <w:szCs w:val="36"/>
          <w:rtl/>
        </w:rPr>
        <w:t>واقعا من دون لحاظ تقيدها</w:t>
      </w:r>
      <w:r w:rsidR="00603323" w:rsidRPr="00FD211F">
        <w:rPr>
          <w:sz w:val="36"/>
          <w:szCs w:val="36"/>
          <w:rtl/>
        </w:rPr>
        <w:t xml:space="preserve">، </w:t>
      </w:r>
      <w:r w:rsidRPr="00FD211F">
        <w:rPr>
          <w:sz w:val="36"/>
          <w:szCs w:val="36"/>
          <w:rtl/>
        </w:rPr>
        <w:t>ولكنه لايمكن ذلك في المفاهيم الكلي</w:t>
      </w:r>
      <w:r w:rsidR="00EC7EDF" w:rsidRPr="00FD211F">
        <w:rPr>
          <w:sz w:val="36"/>
          <w:szCs w:val="36"/>
          <w:rtl/>
        </w:rPr>
        <w:t>ة</w:t>
      </w:r>
      <w:r w:rsidR="00A61BAE" w:rsidRPr="00FD211F">
        <w:rPr>
          <w:sz w:val="36"/>
          <w:szCs w:val="36"/>
          <w:rtl/>
        </w:rPr>
        <w:t>.</w:t>
      </w:r>
    </w:p>
    <w:p w14:paraId="7E84419C" w14:textId="77777777" w:rsidR="000D11F4" w:rsidRPr="00FD211F" w:rsidRDefault="000D11F4" w:rsidP="009C58C8">
      <w:pPr>
        <w:ind w:left="0" w:firstLine="227"/>
        <w:jc w:val="both"/>
        <w:rPr>
          <w:sz w:val="36"/>
          <w:szCs w:val="36"/>
          <w:rtl/>
        </w:rPr>
      </w:pPr>
      <w:r w:rsidRPr="00FD211F">
        <w:rPr>
          <w:b/>
          <w:bCs/>
          <w:sz w:val="36"/>
          <w:szCs w:val="36"/>
          <w:rtl/>
        </w:rPr>
        <w:t>وثانيا</w:t>
      </w:r>
      <w:r w:rsidRPr="00FD211F">
        <w:rPr>
          <w:sz w:val="36"/>
          <w:szCs w:val="36"/>
          <w:rtl/>
        </w:rPr>
        <w:t>: انه لو فرض وضع اللفظ بإزاء الحص</w:t>
      </w:r>
      <w:r w:rsidR="00EC7EDF" w:rsidRPr="00FD211F">
        <w:rPr>
          <w:sz w:val="36"/>
          <w:szCs w:val="36"/>
          <w:rtl/>
        </w:rPr>
        <w:t xml:space="preserve">ة </w:t>
      </w:r>
      <w:r w:rsidRPr="00FD211F">
        <w:rPr>
          <w:sz w:val="36"/>
          <w:szCs w:val="36"/>
          <w:rtl/>
        </w:rPr>
        <w:t>التوأم</w:t>
      </w:r>
      <w:r w:rsidR="00EC7EDF" w:rsidRPr="00FD211F">
        <w:rPr>
          <w:sz w:val="36"/>
          <w:szCs w:val="36"/>
          <w:rtl/>
        </w:rPr>
        <w:t xml:space="preserve">ة </w:t>
      </w:r>
      <w:r w:rsidRPr="00FD211F">
        <w:rPr>
          <w:sz w:val="36"/>
          <w:szCs w:val="36"/>
          <w:rtl/>
        </w:rPr>
        <w:t>للمعنى المراد تفهيمه فلاينطبق ذلك على المعنى الذي يتصوره المستعمل الا بعد تعلق ارادته بتفهيمه</w:t>
      </w:r>
      <w:r w:rsidR="00603323" w:rsidRPr="00FD211F">
        <w:rPr>
          <w:sz w:val="36"/>
          <w:szCs w:val="36"/>
          <w:rtl/>
        </w:rPr>
        <w:t xml:space="preserve">، </w:t>
      </w:r>
      <w:r w:rsidRPr="00FD211F">
        <w:rPr>
          <w:sz w:val="36"/>
          <w:szCs w:val="36"/>
          <w:rtl/>
        </w:rPr>
        <w:t>وحيث فرض انه يلزم تعلق اراد</w:t>
      </w:r>
      <w:r w:rsidR="00EC7EDF" w:rsidRPr="00FD211F">
        <w:rPr>
          <w:sz w:val="36"/>
          <w:szCs w:val="36"/>
          <w:rtl/>
        </w:rPr>
        <w:t xml:space="preserve">ة </w:t>
      </w:r>
      <w:r w:rsidRPr="00FD211F">
        <w:rPr>
          <w:sz w:val="36"/>
          <w:szCs w:val="36"/>
          <w:rtl/>
        </w:rPr>
        <w:t>التفهيم بالمعنى فلابد من تعلقها بالحص</w:t>
      </w:r>
      <w:r w:rsidR="00EC7EDF" w:rsidRPr="00FD211F">
        <w:rPr>
          <w:sz w:val="36"/>
          <w:szCs w:val="36"/>
          <w:rtl/>
        </w:rPr>
        <w:t xml:space="preserve">ة </w:t>
      </w:r>
      <w:r w:rsidRPr="00FD211F">
        <w:rPr>
          <w:sz w:val="36"/>
          <w:szCs w:val="36"/>
          <w:rtl/>
        </w:rPr>
        <w:t>التوأم</w:t>
      </w:r>
      <w:r w:rsidR="00EC7EDF" w:rsidRPr="00FD211F">
        <w:rPr>
          <w:sz w:val="36"/>
          <w:szCs w:val="36"/>
          <w:rtl/>
        </w:rPr>
        <w:t xml:space="preserve">ة </w:t>
      </w:r>
      <w:r w:rsidRPr="00FD211F">
        <w:rPr>
          <w:sz w:val="36"/>
          <w:szCs w:val="36"/>
          <w:rtl/>
        </w:rPr>
        <w:t>التي فرض توقفها على نفس اراد</w:t>
      </w:r>
      <w:r w:rsidR="00EC7EDF" w:rsidRPr="00FD211F">
        <w:rPr>
          <w:sz w:val="36"/>
          <w:szCs w:val="36"/>
          <w:rtl/>
        </w:rPr>
        <w:t xml:space="preserve">ة </w:t>
      </w:r>
      <w:r w:rsidRPr="00FD211F">
        <w:rPr>
          <w:sz w:val="36"/>
          <w:szCs w:val="36"/>
          <w:rtl/>
        </w:rPr>
        <w:t>التفهيم المعنى الموضوع له</w:t>
      </w:r>
      <w:r w:rsidR="00603323" w:rsidRPr="00FD211F">
        <w:rPr>
          <w:sz w:val="36"/>
          <w:szCs w:val="36"/>
          <w:rtl/>
        </w:rPr>
        <w:t xml:space="preserve">، </w:t>
      </w:r>
      <w:r w:rsidRPr="00FD211F">
        <w:rPr>
          <w:sz w:val="36"/>
          <w:szCs w:val="36"/>
          <w:rtl/>
        </w:rPr>
        <w:t>وحينئذ يكون تعلق اراد</w:t>
      </w:r>
      <w:r w:rsidR="00EC7EDF" w:rsidRPr="00FD211F">
        <w:rPr>
          <w:sz w:val="36"/>
          <w:szCs w:val="36"/>
          <w:rtl/>
        </w:rPr>
        <w:t xml:space="preserve">ة </w:t>
      </w:r>
      <w:r w:rsidRPr="00FD211F">
        <w:rPr>
          <w:sz w:val="36"/>
          <w:szCs w:val="36"/>
          <w:rtl/>
        </w:rPr>
        <w:t>التفهيم به من تعلق الاراد</w:t>
      </w:r>
      <w:r w:rsidR="00EC7EDF" w:rsidRPr="00FD211F">
        <w:rPr>
          <w:sz w:val="36"/>
          <w:szCs w:val="36"/>
          <w:rtl/>
        </w:rPr>
        <w:t xml:space="preserve">ة </w:t>
      </w:r>
      <w:r w:rsidRPr="00FD211F">
        <w:rPr>
          <w:sz w:val="36"/>
          <w:szCs w:val="36"/>
          <w:rtl/>
        </w:rPr>
        <w:t>بعد فرض تعلق الاراد</w:t>
      </w:r>
      <w:r w:rsidR="00EC7EDF" w:rsidRPr="00FD211F">
        <w:rPr>
          <w:sz w:val="36"/>
          <w:szCs w:val="36"/>
          <w:rtl/>
        </w:rPr>
        <w:t xml:space="preserve">ة </w:t>
      </w:r>
      <w:r w:rsidRPr="00FD211F">
        <w:rPr>
          <w:sz w:val="36"/>
          <w:szCs w:val="36"/>
          <w:rtl/>
        </w:rPr>
        <w:t>فيعود الاشكال.</w:t>
      </w:r>
    </w:p>
    <w:p w14:paraId="32D602E5" w14:textId="77777777" w:rsidR="000D11F4" w:rsidRPr="00FD211F" w:rsidRDefault="000D11F4" w:rsidP="009C58C8">
      <w:pPr>
        <w:ind w:left="0" w:firstLine="227"/>
        <w:jc w:val="both"/>
        <w:rPr>
          <w:sz w:val="36"/>
          <w:szCs w:val="36"/>
          <w:rtl/>
        </w:rPr>
      </w:pPr>
      <w:r w:rsidRPr="00FD211F">
        <w:rPr>
          <w:sz w:val="36"/>
          <w:szCs w:val="36"/>
          <w:rtl/>
        </w:rPr>
        <w:t>نعم لوتمّ ما ذكره من أنه لو كان الغرض من وضع اللفظ لمعنى هو تفهيمه به فيوجب ذلك التضييق في دائر</w:t>
      </w:r>
      <w:r w:rsidR="00EC7EDF" w:rsidRPr="00FD211F">
        <w:rPr>
          <w:sz w:val="36"/>
          <w:szCs w:val="36"/>
          <w:rtl/>
        </w:rPr>
        <w:t xml:space="preserve">ة </w:t>
      </w:r>
      <w:r w:rsidRPr="00FD211F">
        <w:rPr>
          <w:sz w:val="36"/>
          <w:szCs w:val="36"/>
          <w:rtl/>
        </w:rPr>
        <w:t>الوضع فلااشكال حينئذ في انه بتبع تضيق الوضع وتقيده يتضيق المعنى الموضوع له</w:t>
      </w:r>
      <w:r w:rsidR="00603323" w:rsidRPr="00FD211F">
        <w:rPr>
          <w:sz w:val="36"/>
          <w:szCs w:val="36"/>
          <w:rtl/>
        </w:rPr>
        <w:t xml:space="preserve">، </w:t>
      </w:r>
      <w:r w:rsidRPr="00FD211F">
        <w:rPr>
          <w:sz w:val="36"/>
          <w:szCs w:val="36"/>
          <w:rtl/>
        </w:rPr>
        <w:t>نظير ما يقال من ان تقييد الهيئ</w:t>
      </w:r>
      <w:r w:rsidR="00EC7EDF" w:rsidRPr="00FD211F">
        <w:rPr>
          <w:sz w:val="36"/>
          <w:szCs w:val="36"/>
          <w:rtl/>
        </w:rPr>
        <w:t xml:space="preserve">ة </w:t>
      </w:r>
      <w:r w:rsidRPr="00FD211F">
        <w:rPr>
          <w:sz w:val="36"/>
          <w:szCs w:val="36"/>
          <w:rtl/>
        </w:rPr>
        <w:t>يوجب تضيق الماد</w:t>
      </w:r>
      <w:r w:rsidR="00EC7EDF" w:rsidRPr="00FD211F">
        <w:rPr>
          <w:sz w:val="36"/>
          <w:szCs w:val="36"/>
          <w:rtl/>
        </w:rPr>
        <w:t xml:space="preserve">ة </w:t>
      </w:r>
      <w:r w:rsidRPr="00FD211F">
        <w:rPr>
          <w:sz w:val="36"/>
          <w:szCs w:val="36"/>
          <w:rtl/>
        </w:rPr>
        <w:t>قهرا</w:t>
      </w:r>
      <w:r w:rsidR="00603323" w:rsidRPr="00FD211F">
        <w:rPr>
          <w:sz w:val="36"/>
          <w:szCs w:val="36"/>
          <w:rtl/>
        </w:rPr>
        <w:t xml:space="preserve">، </w:t>
      </w:r>
      <w:r w:rsidRPr="00FD211F">
        <w:rPr>
          <w:sz w:val="36"/>
          <w:szCs w:val="36"/>
          <w:rtl/>
        </w:rPr>
        <w:t>كما لو قال المولى ان استطعت فحجّ</w:t>
      </w:r>
      <w:r w:rsidR="00603323" w:rsidRPr="00FD211F">
        <w:rPr>
          <w:sz w:val="36"/>
          <w:szCs w:val="36"/>
          <w:rtl/>
        </w:rPr>
        <w:t xml:space="preserve">، </w:t>
      </w:r>
      <w:r w:rsidRPr="00FD211F">
        <w:rPr>
          <w:sz w:val="36"/>
          <w:szCs w:val="36"/>
          <w:rtl/>
        </w:rPr>
        <w:t>فان تقييد وجوب الحج بفرض الاستطاع</w:t>
      </w:r>
      <w:r w:rsidR="00EC7EDF" w:rsidRPr="00FD211F">
        <w:rPr>
          <w:sz w:val="36"/>
          <w:szCs w:val="36"/>
          <w:rtl/>
        </w:rPr>
        <w:t xml:space="preserve">ة </w:t>
      </w:r>
      <w:r w:rsidRPr="00FD211F">
        <w:rPr>
          <w:sz w:val="36"/>
          <w:szCs w:val="36"/>
          <w:rtl/>
        </w:rPr>
        <w:t>يوجب عدم انطباق الحج الذي تعلق به الوجوب على الحج الصادر من غير المستطيع</w:t>
      </w:r>
      <w:r w:rsidR="00603323" w:rsidRPr="00FD211F">
        <w:rPr>
          <w:sz w:val="36"/>
          <w:szCs w:val="36"/>
          <w:rtl/>
        </w:rPr>
        <w:t xml:space="preserve">، </w:t>
      </w:r>
      <w:r w:rsidRPr="00FD211F">
        <w:rPr>
          <w:sz w:val="36"/>
          <w:szCs w:val="36"/>
          <w:rtl/>
        </w:rPr>
        <w:t>فكذلك لو قيد الواضع وضعه اللفظ على معنى بفرض كون المتكلم في مقام اراد</w:t>
      </w:r>
      <w:r w:rsidR="00EC7EDF" w:rsidRPr="00FD211F">
        <w:rPr>
          <w:sz w:val="36"/>
          <w:szCs w:val="36"/>
          <w:rtl/>
        </w:rPr>
        <w:t xml:space="preserve">ة </w:t>
      </w:r>
      <w:r w:rsidRPr="00FD211F">
        <w:rPr>
          <w:sz w:val="36"/>
          <w:szCs w:val="36"/>
          <w:rtl/>
        </w:rPr>
        <w:t>تفهيم معنى</w:t>
      </w:r>
      <w:r w:rsidR="00E8128F">
        <w:rPr>
          <w:sz w:val="36"/>
          <w:szCs w:val="36"/>
          <w:rtl/>
        </w:rPr>
        <w:t xml:space="preserve"> </w:t>
      </w:r>
      <w:r w:rsidRPr="00FD211F">
        <w:rPr>
          <w:sz w:val="36"/>
          <w:szCs w:val="36"/>
          <w:rtl/>
        </w:rPr>
        <w:t>مّا</w:t>
      </w:r>
      <w:r w:rsidR="00603323" w:rsidRPr="00FD211F">
        <w:rPr>
          <w:sz w:val="36"/>
          <w:szCs w:val="36"/>
          <w:rtl/>
        </w:rPr>
        <w:t xml:space="preserve">، </w:t>
      </w:r>
      <w:r w:rsidRPr="00FD211F">
        <w:rPr>
          <w:sz w:val="36"/>
          <w:szCs w:val="36"/>
          <w:rtl/>
        </w:rPr>
        <w:t>فيوجب ذلك عدم انطباق المعنى الموضوع له على فرض ما لو كان المتكلم بهذا اللفظ غير قاصد تفهيم معنى به.</w:t>
      </w:r>
    </w:p>
    <w:p w14:paraId="5739E388" w14:textId="77777777" w:rsidR="000D11F4" w:rsidRPr="00FD211F" w:rsidRDefault="000D11F4" w:rsidP="009C58C8">
      <w:pPr>
        <w:ind w:left="0" w:firstLine="227"/>
        <w:jc w:val="both"/>
        <w:rPr>
          <w:sz w:val="36"/>
          <w:szCs w:val="36"/>
          <w:rtl/>
        </w:rPr>
      </w:pPr>
      <w:r w:rsidRPr="00FD211F">
        <w:rPr>
          <w:sz w:val="36"/>
          <w:szCs w:val="36"/>
          <w:rtl/>
        </w:rPr>
        <w:t>ولكن المهم عدم تمامي</w:t>
      </w:r>
      <w:r w:rsidR="00EC7EDF" w:rsidRPr="00FD211F">
        <w:rPr>
          <w:sz w:val="36"/>
          <w:szCs w:val="36"/>
          <w:rtl/>
        </w:rPr>
        <w:t xml:space="preserve">ة </w:t>
      </w:r>
      <w:r w:rsidRPr="00FD211F">
        <w:rPr>
          <w:sz w:val="36"/>
          <w:szCs w:val="36"/>
          <w:rtl/>
        </w:rPr>
        <w:t>ما ذكره من ان ضيق الغرض من الوضع يوجب التضييق في دائر</w:t>
      </w:r>
      <w:r w:rsidR="00EC7EDF" w:rsidRPr="00FD211F">
        <w:rPr>
          <w:sz w:val="36"/>
          <w:szCs w:val="36"/>
          <w:rtl/>
        </w:rPr>
        <w:t xml:space="preserve">ة </w:t>
      </w:r>
      <w:r w:rsidRPr="00FD211F">
        <w:rPr>
          <w:sz w:val="36"/>
          <w:szCs w:val="36"/>
          <w:rtl/>
        </w:rPr>
        <w:t>الوضع قهرا</w:t>
      </w:r>
      <w:r w:rsidR="00603323" w:rsidRPr="00FD211F">
        <w:rPr>
          <w:sz w:val="36"/>
          <w:szCs w:val="36"/>
          <w:rtl/>
        </w:rPr>
        <w:t xml:space="preserve">، </w:t>
      </w:r>
      <w:r w:rsidRPr="00FD211F">
        <w:rPr>
          <w:sz w:val="36"/>
          <w:szCs w:val="36"/>
          <w:rtl/>
        </w:rPr>
        <w:t>فان</w:t>
      </w:r>
      <w:r w:rsidR="009E7B34" w:rsidRPr="00FD211F">
        <w:rPr>
          <w:sz w:val="36"/>
          <w:szCs w:val="36"/>
          <w:rtl/>
        </w:rPr>
        <w:t>ه ان</w:t>
      </w:r>
      <w:r w:rsidR="00B253CE" w:rsidRPr="00FD211F">
        <w:rPr>
          <w:sz w:val="36"/>
          <w:szCs w:val="36"/>
          <w:rtl/>
        </w:rPr>
        <w:t xml:space="preserve"> </w:t>
      </w:r>
      <w:r w:rsidRPr="00FD211F">
        <w:rPr>
          <w:sz w:val="36"/>
          <w:szCs w:val="36"/>
          <w:rtl/>
        </w:rPr>
        <w:t>كان مقصوده لغوي</w:t>
      </w:r>
      <w:r w:rsidR="00EC7EDF" w:rsidRPr="00FD211F">
        <w:rPr>
          <w:sz w:val="36"/>
          <w:szCs w:val="36"/>
          <w:rtl/>
        </w:rPr>
        <w:t xml:space="preserve">ة </w:t>
      </w:r>
      <w:r w:rsidRPr="00FD211F">
        <w:rPr>
          <w:sz w:val="36"/>
          <w:szCs w:val="36"/>
          <w:rtl/>
        </w:rPr>
        <w:t>اطلاق الوضع لغير فرض إراد</w:t>
      </w:r>
      <w:r w:rsidR="00EC7EDF" w:rsidRPr="00FD211F">
        <w:rPr>
          <w:sz w:val="36"/>
          <w:szCs w:val="36"/>
          <w:rtl/>
        </w:rPr>
        <w:t xml:space="preserve">ة </w:t>
      </w:r>
      <w:r w:rsidRPr="00FD211F">
        <w:rPr>
          <w:sz w:val="36"/>
          <w:szCs w:val="36"/>
          <w:rtl/>
        </w:rPr>
        <w:t>تفهيم المعنى لاختصاص الداعي الى الوضع بفرض اراد</w:t>
      </w:r>
      <w:r w:rsidR="00EC7EDF" w:rsidRPr="00FD211F">
        <w:rPr>
          <w:sz w:val="36"/>
          <w:szCs w:val="36"/>
          <w:rtl/>
        </w:rPr>
        <w:t xml:space="preserve">ة </w:t>
      </w:r>
      <w:r w:rsidRPr="00FD211F">
        <w:rPr>
          <w:sz w:val="36"/>
          <w:szCs w:val="36"/>
          <w:rtl/>
        </w:rPr>
        <w:t>تفهيم المعنى ففيه انه لالغوي</w:t>
      </w:r>
      <w:r w:rsidR="00EC7EDF" w:rsidRPr="00FD211F">
        <w:rPr>
          <w:sz w:val="36"/>
          <w:szCs w:val="36"/>
          <w:rtl/>
        </w:rPr>
        <w:t xml:space="preserve">ة </w:t>
      </w:r>
      <w:r w:rsidRPr="00FD211F">
        <w:rPr>
          <w:sz w:val="36"/>
          <w:szCs w:val="36"/>
          <w:rtl/>
        </w:rPr>
        <w:t>عرفا في اطلاق الوضع لفرض عدم اراد</w:t>
      </w:r>
      <w:r w:rsidR="00EC7EDF" w:rsidRPr="00FD211F">
        <w:rPr>
          <w:sz w:val="36"/>
          <w:szCs w:val="36"/>
          <w:rtl/>
        </w:rPr>
        <w:t xml:space="preserve">ة </w:t>
      </w:r>
      <w:r w:rsidRPr="00FD211F">
        <w:rPr>
          <w:sz w:val="36"/>
          <w:szCs w:val="36"/>
          <w:rtl/>
        </w:rPr>
        <w:t>تفهيم المعنى بعد ان كان في التقييد مؤون</w:t>
      </w:r>
      <w:r w:rsidR="00EC7EDF" w:rsidRPr="00FD211F">
        <w:rPr>
          <w:sz w:val="36"/>
          <w:szCs w:val="36"/>
          <w:rtl/>
        </w:rPr>
        <w:t xml:space="preserve">ة </w:t>
      </w:r>
      <w:r w:rsidRPr="00FD211F">
        <w:rPr>
          <w:sz w:val="36"/>
          <w:szCs w:val="36"/>
          <w:rtl/>
        </w:rPr>
        <w:t>زائد</w:t>
      </w:r>
      <w:r w:rsidR="00EC7EDF" w:rsidRPr="00FD211F">
        <w:rPr>
          <w:sz w:val="36"/>
          <w:szCs w:val="36"/>
          <w:rtl/>
        </w:rPr>
        <w:t xml:space="preserve">ة </w:t>
      </w:r>
      <w:r w:rsidRPr="00FD211F">
        <w:rPr>
          <w:sz w:val="36"/>
          <w:szCs w:val="36"/>
          <w:rtl/>
        </w:rPr>
        <w:t>عرفي</w:t>
      </w:r>
      <w:r w:rsidR="00EC7EDF" w:rsidRPr="00FD211F">
        <w:rPr>
          <w:sz w:val="36"/>
          <w:szCs w:val="36"/>
          <w:rtl/>
        </w:rPr>
        <w:t>ة</w:t>
      </w:r>
      <w:r w:rsidR="00603323" w:rsidRPr="00FD211F">
        <w:rPr>
          <w:sz w:val="36"/>
          <w:szCs w:val="36"/>
          <w:rtl/>
        </w:rPr>
        <w:t xml:space="preserve">، </w:t>
      </w:r>
      <w:r w:rsidRPr="00FD211F">
        <w:rPr>
          <w:sz w:val="36"/>
          <w:szCs w:val="36"/>
          <w:rtl/>
        </w:rPr>
        <w:t>على انه لايجري هذا الاشكال بناء على مسلك القرن الأكيد الذي يرى الوضع اقترانا واقعيا بين اللفظ والمعنى.</w:t>
      </w:r>
    </w:p>
    <w:p w14:paraId="62DAB82A" w14:textId="77777777" w:rsidR="00AC1F38" w:rsidRPr="00FD211F" w:rsidRDefault="00AC1F38" w:rsidP="009C58C8">
      <w:pPr>
        <w:ind w:left="0" w:firstLine="227"/>
        <w:jc w:val="both"/>
        <w:rPr>
          <w:sz w:val="36"/>
          <w:szCs w:val="36"/>
          <w:rtl/>
        </w:rPr>
      </w:pPr>
      <w:r w:rsidRPr="00FD211F">
        <w:rPr>
          <w:sz w:val="36"/>
          <w:szCs w:val="36"/>
          <w:rtl/>
        </w:rPr>
        <w:t xml:space="preserve">وكيف كان فقد تحصل ان الصحيح هو عدم تبعية الدلالة الوضعية للارادة </w:t>
      </w:r>
      <w:r w:rsidR="006C7B2F" w:rsidRPr="00FD211F">
        <w:rPr>
          <w:sz w:val="36"/>
          <w:szCs w:val="36"/>
          <w:rtl/>
        </w:rPr>
        <w:t>وكون الدلالة الوضعية تصورية</w:t>
      </w:r>
      <w:r w:rsidR="00C774D9" w:rsidRPr="00FD211F">
        <w:rPr>
          <w:sz w:val="36"/>
          <w:szCs w:val="36"/>
          <w:rtl/>
        </w:rPr>
        <w:t>.</w:t>
      </w:r>
    </w:p>
    <w:p w14:paraId="7BD80257" w14:textId="77777777" w:rsidR="000B0E61" w:rsidRPr="00FD211F" w:rsidRDefault="000B0E61" w:rsidP="009C58C8">
      <w:pPr>
        <w:pStyle w:val="3"/>
        <w:ind w:firstLine="227"/>
        <w:jc w:val="both"/>
        <w:rPr>
          <w:rtl/>
        </w:rPr>
        <w:sectPr w:rsidR="000B0E61" w:rsidRPr="00FD211F" w:rsidSect="00D24300">
          <w:headerReference w:type="default" r:id="rId21"/>
          <w:footnotePr>
            <w:numRestart w:val="eachPage"/>
          </w:footnotePr>
          <w:pgSz w:w="10319" w:h="14578" w:code="138"/>
          <w:pgMar w:top="1418" w:right="1701" w:bottom="1418" w:left="1701" w:header="1418" w:footer="964" w:gutter="0"/>
          <w:cols w:space="720"/>
          <w:bidi/>
          <w:rtlGutter/>
          <w:docGrid w:linePitch="360"/>
        </w:sectPr>
      </w:pPr>
      <w:bookmarkStart w:id="289" w:name="_Toc151944603"/>
      <w:bookmarkStart w:id="290" w:name="_Toc154131730"/>
      <w:bookmarkStart w:id="291" w:name="_Toc156401518"/>
      <w:bookmarkStart w:id="292" w:name="درس024دقيقه34"/>
      <w:bookmarkStart w:id="293" w:name="_Toc192092901"/>
      <w:bookmarkEnd w:id="292"/>
    </w:p>
    <w:p w14:paraId="28DEB0B4" w14:textId="77777777" w:rsidR="00DF1803" w:rsidRPr="00FD211F" w:rsidRDefault="00DF1803" w:rsidP="009C58C8">
      <w:pPr>
        <w:pStyle w:val="3"/>
        <w:ind w:firstLine="227"/>
        <w:jc w:val="both"/>
        <w:rPr>
          <w:rtl/>
        </w:rPr>
      </w:pPr>
      <w:bookmarkStart w:id="294" w:name="_Toc223890379"/>
      <w:r w:rsidRPr="00FD211F">
        <w:rPr>
          <w:rtl/>
        </w:rPr>
        <w:t>استعمال اللفظ في المعنى المجازي</w:t>
      </w:r>
      <w:bookmarkEnd w:id="289"/>
      <w:bookmarkEnd w:id="290"/>
      <w:bookmarkEnd w:id="291"/>
      <w:bookmarkEnd w:id="293"/>
      <w:bookmarkEnd w:id="294"/>
    </w:p>
    <w:p w14:paraId="022DAEDA" w14:textId="77777777" w:rsidR="00DF1803" w:rsidRPr="00FD211F" w:rsidRDefault="00DF1803" w:rsidP="009C58C8">
      <w:pPr>
        <w:ind w:left="0" w:firstLine="227"/>
        <w:jc w:val="both"/>
        <w:rPr>
          <w:sz w:val="36"/>
          <w:szCs w:val="36"/>
          <w:rtl/>
        </w:rPr>
      </w:pPr>
      <w:r w:rsidRPr="00FD211F">
        <w:rPr>
          <w:sz w:val="36"/>
          <w:szCs w:val="36"/>
          <w:rtl/>
        </w:rPr>
        <w:t>وقع الكلام في انه هل يكفي في استعمال اللفظ في المعنى المجازي استحسان الطبع له كما هو مختار صاحب الكفاي</w:t>
      </w:r>
      <w:r w:rsidR="00EC7EDF" w:rsidRPr="00FD211F">
        <w:rPr>
          <w:sz w:val="36"/>
          <w:szCs w:val="36"/>
          <w:rtl/>
        </w:rPr>
        <w:t xml:space="preserve">ة </w:t>
      </w:r>
      <w:r w:rsidR="009E7B34" w:rsidRPr="00FD211F">
        <w:rPr>
          <w:sz w:val="36"/>
          <w:szCs w:val="36"/>
          <w:rtl/>
        </w:rPr>
        <w:t>"</w:t>
      </w:r>
      <w:r w:rsidRPr="00FD211F">
        <w:rPr>
          <w:sz w:val="36"/>
          <w:szCs w:val="36"/>
          <w:rtl/>
        </w:rPr>
        <w:t>قده</w:t>
      </w:r>
      <w:r w:rsidR="009E7B34" w:rsidRPr="00FD211F">
        <w:rPr>
          <w:sz w:val="36"/>
          <w:szCs w:val="36"/>
          <w:rtl/>
        </w:rPr>
        <w:t>"</w:t>
      </w:r>
      <w:r w:rsidRPr="00FD211F">
        <w:rPr>
          <w:sz w:val="36"/>
          <w:szCs w:val="36"/>
          <w:rtl/>
        </w:rPr>
        <w:t xml:space="preserve"> او يحتاج الى اذن الواضع</w:t>
      </w:r>
      <w:r w:rsidR="00603323" w:rsidRPr="00FD211F">
        <w:rPr>
          <w:sz w:val="36"/>
          <w:szCs w:val="36"/>
          <w:rtl/>
        </w:rPr>
        <w:t xml:space="preserve">، </w:t>
      </w:r>
      <w:r w:rsidRPr="00FD211F">
        <w:rPr>
          <w:sz w:val="36"/>
          <w:szCs w:val="36"/>
          <w:rtl/>
        </w:rPr>
        <w:t>والمراد منه هو أنه وضع بوضع نوعي كل لفظ للمعنى الذي يكون بينه وبين معناه الحقيقي علاق</w:t>
      </w:r>
      <w:r w:rsidR="00EC7EDF" w:rsidRPr="00FD211F">
        <w:rPr>
          <w:sz w:val="36"/>
          <w:szCs w:val="36"/>
          <w:rtl/>
        </w:rPr>
        <w:t xml:space="preserve">ة </w:t>
      </w:r>
      <w:r w:rsidRPr="00FD211F">
        <w:rPr>
          <w:sz w:val="36"/>
          <w:szCs w:val="36"/>
          <w:rtl/>
        </w:rPr>
        <w:t>معين</w:t>
      </w:r>
      <w:r w:rsidR="00EC7EDF" w:rsidRPr="00FD211F">
        <w:rPr>
          <w:sz w:val="36"/>
          <w:szCs w:val="36"/>
          <w:rtl/>
        </w:rPr>
        <w:t xml:space="preserve">ة </w:t>
      </w:r>
      <w:r w:rsidRPr="00FD211F">
        <w:rPr>
          <w:sz w:val="36"/>
          <w:szCs w:val="36"/>
          <w:rtl/>
        </w:rPr>
        <w:t>من العلاقات التي بيّنت في علم المعاني والبيان</w:t>
      </w:r>
      <w:r w:rsidR="00603323" w:rsidRPr="00FD211F">
        <w:rPr>
          <w:sz w:val="36"/>
          <w:szCs w:val="36"/>
          <w:rtl/>
        </w:rPr>
        <w:t xml:space="preserve">، </w:t>
      </w:r>
      <w:r w:rsidRPr="00FD211F">
        <w:rPr>
          <w:sz w:val="36"/>
          <w:szCs w:val="36"/>
          <w:rtl/>
        </w:rPr>
        <w:t>وهذا ما حكي عن المشهور</w:t>
      </w:r>
      <w:r w:rsidR="00603323" w:rsidRPr="00FD211F">
        <w:rPr>
          <w:sz w:val="36"/>
          <w:szCs w:val="36"/>
          <w:rtl/>
        </w:rPr>
        <w:t xml:space="preserve">، </w:t>
      </w:r>
      <w:r w:rsidRPr="00FD211F">
        <w:rPr>
          <w:sz w:val="36"/>
          <w:szCs w:val="36"/>
          <w:rtl/>
        </w:rPr>
        <w:t>وتنقيح الكلام في ضمن جهات:</w:t>
      </w:r>
    </w:p>
    <w:p w14:paraId="2D99A349" w14:textId="77777777" w:rsidR="00DF1803" w:rsidRPr="00FD211F" w:rsidRDefault="00DF1803" w:rsidP="009C58C8">
      <w:pPr>
        <w:ind w:left="0" w:firstLine="227"/>
        <w:jc w:val="both"/>
        <w:rPr>
          <w:sz w:val="36"/>
          <w:szCs w:val="36"/>
          <w:rtl/>
        </w:rPr>
      </w:pPr>
      <w:r w:rsidRPr="00FD211F">
        <w:rPr>
          <w:b/>
          <w:bCs/>
          <w:sz w:val="36"/>
          <w:szCs w:val="36"/>
          <w:rtl/>
        </w:rPr>
        <w:t>الجه</w:t>
      </w:r>
      <w:r w:rsidR="00EC7EDF" w:rsidRPr="00FD211F">
        <w:rPr>
          <w:b/>
          <w:bCs/>
          <w:sz w:val="36"/>
          <w:szCs w:val="36"/>
          <w:rtl/>
        </w:rPr>
        <w:t xml:space="preserve">ة </w:t>
      </w:r>
      <w:r w:rsidRPr="00FD211F">
        <w:rPr>
          <w:b/>
          <w:bCs/>
          <w:sz w:val="36"/>
          <w:szCs w:val="36"/>
          <w:rtl/>
        </w:rPr>
        <w:t>الأولى</w:t>
      </w:r>
      <w:r w:rsidRPr="00FD211F">
        <w:rPr>
          <w:sz w:val="36"/>
          <w:szCs w:val="36"/>
          <w:rtl/>
        </w:rPr>
        <w:t>: ان هذا الاختلاف يبتني على كون اللفظ في موارد المجاز مستعملا في غير ما وضع له كما هو المشهور</w:t>
      </w:r>
      <w:r w:rsidR="00603323" w:rsidRPr="00FD211F">
        <w:rPr>
          <w:sz w:val="36"/>
          <w:szCs w:val="36"/>
          <w:rtl/>
        </w:rPr>
        <w:t xml:space="preserve">، </w:t>
      </w:r>
      <w:r w:rsidRPr="00FD211F">
        <w:rPr>
          <w:sz w:val="36"/>
          <w:szCs w:val="36"/>
          <w:rtl/>
        </w:rPr>
        <w:t>ولكن يوجد في قباله نظريتان:</w:t>
      </w:r>
    </w:p>
    <w:p w14:paraId="7A19E2F0" w14:textId="77777777" w:rsidR="006C7B2F" w:rsidRPr="00FD211F" w:rsidRDefault="00DF1803" w:rsidP="009C58C8">
      <w:pPr>
        <w:ind w:left="0" w:firstLine="227"/>
        <w:jc w:val="both"/>
        <w:rPr>
          <w:sz w:val="36"/>
          <w:szCs w:val="36"/>
          <w:rtl/>
        </w:rPr>
      </w:pPr>
      <w:r w:rsidRPr="00FD211F">
        <w:rPr>
          <w:sz w:val="36"/>
          <w:szCs w:val="36"/>
          <w:rtl/>
        </w:rPr>
        <w:t>1- ما عن السكاكي من ان المجاز على قسمين</w:t>
      </w:r>
      <w:r w:rsidR="00856647" w:rsidRPr="00FD211F">
        <w:rPr>
          <w:sz w:val="36"/>
          <w:szCs w:val="36"/>
          <w:rtl/>
        </w:rPr>
        <w:t>:</w:t>
      </w:r>
    </w:p>
    <w:p w14:paraId="4E24039A" w14:textId="77777777" w:rsidR="006C7B2F" w:rsidRPr="00FD211F" w:rsidRDefault="00DF1803" w:rsidP="009C58C8">
      <w:pPr>
        <w:ind w:left="0" w:firstLine="227"/>
        <w:jc w:val="both"/>
        <w:rPr>
          <w:sz w:val="36"/>
          <w:szCs w:val="36"/>
          <w:rtl/>
        </w:rPr>
      </w:pPr>
      <w:r w:rsidRPr="00FD211F">
        <w:rPr>
          <w:sz w:val="36"/>
          <w:szCs w:val="36"/>
          <w:rtl/>
        </w:rPr>
        <w:t>احدهما: المجاز المرسل أي ما كان المجاز فيه بغير علاق</w:t>
      </w:r>
      <w:r w:rsidR="00EC7EDF" w:rsidRPr="00FD211F">
        <w:rPr>
          <w:sz w:val="36"/>
          <w:szCs w:val="36"/>
          <w:rtl/>
        </w:rPr>
        <w:t xml:space="preserve">ة </w:t>
      </w:r>
      <w:r w:rsidRPr="00FD211F">
        <w:rPr>
          <w:sz w:val="36"/>
          <w:szCs w:val="36"/>
          <w:rtl/>
        </w:rPr>
        <w:t>المشابه</w:t>
      </w:r>
      <w:r w:rsidR="00EC7EDF" w:rsidRPr="00FD211F">
        <w:rPr>
          <w:sz w:val="36"/>
          <w:szCs w:val="36"/>
          <w:rtl/>
        </w:rPr>
        <w:t xml:space="preserve">ة </w:t>
      </w:r>
      <w:r w:rsidRPr="00FD211F">
        <w:rPr>
          <w:sz w:val="36"/>
          <w:szCs w:val="36"/>
          <w:rtl/>
        </w:rPr>
        <w:t>كعلاق</w:t>
      </w:r>
      <w:r w:rsidR="00EC7EDF" w:rsidRPr="00FD211F">
        <w:rPr>
          <w:sz w:val="36"/>
          <w:szCs w:val="36"/>
          <w:rtl/>
        </w:rPr>
        <w:t xml:space="preserve">ة </w:t>
      </w:r>
      <w:r w:rsidRPr="00FD211F">
        <w:rPr>
          <w:sz w:val="36"/>
          <w:szCs w:val="36"/>
          <w:rtl/>
        </w:rPr>
        <w:t>الجزء والكل او علاق</w:t>
      </w:r>
      <w:r w:rsidR="00EC7EDF" w:rsidRPr="00FD211F">
        <w:rPr>
          <w:sz w:val="36"/>
          <w:szCs w:val="36"/>
          <w:rtl/>
        </w:rPr>
        <w:t xml:space="preserve">ة </w:t>
      </w:r>
      <w:r w:rsidRPr="00FD211F">
        <w:rPr>
          <w:sz w:val="36"/>
          <w:szCs w:val="36"/>
          <w:rtl/>
        </w:rPr>
        <w:t>السبب والمسبب ونحو ذلك</w:t>
      </w:r>
      <w:r w:rsidR="00C774D9" w:rsidRPr="00FD211F">
        <w:rPr>
          <w:sz w:val="36"/>
          <w:szCs w:val="36"/>
          <w:rtl/>
        </w:rPr>
        <w:t>.</w:t>
      </w:r>
    </w:p>
    <w:p w14:paraId="56AB12DF" w14:textId="77777777" w:rsidR="000C5BBA" w:rsidRPr="00FD211F" w:rsidRDefault="00DF1803" w:rsidP="009C58C8">
      <w:pPr>
        <w:ind w:left="0" w:firstLine="227"/>
        <w:jc w:val="both"/>
        <w:rPr>
          <w:sz w:val="36"/>
          <w:szCs w:val="36"/>
          <w:rtl/>
        </w:rPr>
      </w:pPr>
      <w:r w:rsidRPr="00FD211F">
        <w:rPr>
          <w:sz w:val="36"/>
          <w:szCs w:val="36"/>
          <w:rtl/>
        </w:rPr>
        <w:t>وثانيهما: مجاز الاستعار</w:t>
      </w:r>
      <w:r w:rsidR="00EC7EDF" w:rsidRPr="00FD211F">
        <w:rPr>
          <w:sz w:val="36"/>
          <w:szCs w:val="36"/>
          <w:rtl/>
        </w:rPr>
        <w:t xml:space="preserve">ة </w:t>
      </w:r>
      <w:r w:rsidRPr="00FD211F">
        <w:rPr>
          <w:sz w:val="36"/>
          <w:szCs w:val="36"/>
          <w:rtl/>
        </w:rPr>
        <w:t>أي ما كان المجاز فيه بعلاق</w:t>
      </w:r>
      <w:r w:rsidR="00EC7EDF" w:rsidRPr="00FD211F">
        <w:rPr>
          <w:sz w:val="36"/>
          <w:szCs w:val="36"/>
          <w:rtl/>
        </w:rPr>
        <w:t xml:space="preserve">ة </w:t>
      </w:r>
      <w:r w:rsidRPr="00FD211F">
        <w:rPr>
          <w:sz w:val="36"/>
          <w:szCs w:val="36"/>
          <w:rtl/>
        </w:rPr>
        <w:t>المشابه</w:t>
      </w:r>
      <w:r w:rsidR="00EC7EDF" w:rsidRPr="00FD211F">
        <w:rPr>
          <w:sz w:val="36"/>
          <w:szCs w:val="36"/>
          <w:rtl/>
        </w:rPr>
        <w:t>ة</w:t>
      </w:r>
      <w:r w:rsidR="006C7B2F" w:rsidRPr="00FD211F">
        <w:rPr>
          <w:sz w:val="36"/>
          <w:szCs w:val="36"/>
          <w:rtl/>
        </w:rPr>
        <w:t>.</w:t>
      </w:r>
    </w:p>
    <w:p w14:paraId="7BFFCC60" w14:textId="77777777" w:rsidR="00DF1803" w:rsidRPr="00FD211F" w:rsidRDefault="00DF1803" w:rsidP="009C58C8">
      <w:pPr>
        <w:ind w:left="0" w:firstLine="227"/>
        <w:jc w:val="both"/>
        <w:rPr>
          <w:sz w:val="36"/>
          <w:szCs w:val="36"/>
          <w:rtl/>
        </w:rPr>
      </w:pPr>
      <w:r w:rsidRPr="00FD211F">
        <w:rPr>
          <w:sz w:val="36"/>
          <w:szCs w:val="36"/>
          <w:rtl/>
        </w:rPr>
        <w:t>ويختص استعمال اللفظ في غير ما وضع له بالقسم الأول</w:t>
      </w:r>
      <w:r w:rsidR="00603323" w:rsidRPr="00FD211F">
        <w:rPr>
          <w:sz w:val="36"/>
          <w:szCs w:val="36"/>
          <w:rtl/>
        </w:rPr>
        <w:t xml:space="preserve">، </w:t>
      </w:r>
      <w:r w:rsidRPr="00FD211F">
        <w:rPr>
          <w:sz w:val="36"/>
          <w:szCs w:val="36"/>
          <w:rtl/>
        </w:rPr>
        <w:t>وأما القسم الثاني وهو مجاز الاستعار</w:t>
      </w:r>
      <w:r w:rsidR="00EC7EDF" w:rsidRPr="00FD211F">
        <w:rPr>
          <w:sz w:val="36"/>
          <w:szCs w:val="36"/>
          <w:rtl/>
        </w:rPr>
        <w:t xml:space="preserve">ة </w:t>
      </w:r>
      <w:r w:rsidRPr="00FD211F">
        <w:rPr>
          <w:sz w:val="36"/>
          <w:szCs w:val="36"/>
          <w:rtl/>
        </w:rPr>
        <w:t>فليس اللفظ مستعملا فيه في غير ما وضع له</w:t>
      </w:r>
      <w:r w:rsidR="00603323" w:rsidRPr="00FD211F">
        <w:rPr>
          <w:sz w:val="36"/>
          <w:szCs w:val="36"/>
          <w:rtl/>
        </w:rPr>
        <w:t xml:space="preserve">، </w:t>
      </w:r>
      <w:r w:rsidRPr="00FD211F">
        <w:rPr>
          <w:sz w:val="36"/>
          <w:szCs w:val="36"/>
          <w:rtl/>
        </w:rPr>
        <w:t>بل هو مستعمل في نفس ذلك المعنى وانما يكون المجاز في تطبيق ذلك المعنى على المورد</w:t>
      </w:r>
      <w:r w:rsidR="00603323" w:rsidRPr="00FD211F">
        <w:rPr>
          <w:sz w:val="36"/>
          <w:szCs w:val="36"/>
          <w:rtl/>
        </w:rPr>
        <w:t xml:space="preserve">، </w:t>
      </w:r>
      <w:r w:rsidRPr="00FD211F">
        <w:rPr>
          <w:sz w:val="36"/>
          <w:szCs w:val="36"/>
          <w:rtl/>
        </w:rPr>
        <w:t>فالمراد من الاسد في قولنا "زيد أسد" هو نفس معنى الحيوان المفترس</w:t>
      </w:r>
      <w:r w:rsidR="00603323" w:rsidRPr="00FD211F">
        <w:rPr>
          <w:sz w:val="36"/>
          <w:szCs w:val="36"/>
          <w:rtl/>
        </w:rPr>
        <w:t xml:space="preserve">، </w:t>
      </w:r>
      <w:r w:rsidRPr="00FD211F">
        <w:rPr>
          <w:sz w:val="36"/>
          <w:szCs w:val="36"/>
          <w:rtl/>
        </w:rPr>
        <w:t>وانما يكون المجاز في تطبيقه على زيد فيكون هذا الاستعمال استعمالا حقيقيا لغ</w:t>
      </w:r>
      <w:r w:rsidR="00EC7EDF" w:rsidRPr="00FD211F">
        <w:rPr>
          <w:sz w:val="36"/>
          <w:szCs w:val="36"/>
          <w:rtl/>
        </w:rPr>
        <w:t xml:space="preserve">ة </w:t>
      </w:r>
      <w:r w:rsidRPr="00FD211F">
        <w:rPr>
          <w:sz w:val="36"/>
          <w:szCs w:val="36"/>
          <w:rtl/>
        </w:rPr>
        <w:t>ومجازا عقليا من باب المجاز في الإسناد</w:t>
      </w:r>
      <w:r w:rsidR="00603323" w:rsidRPr="00FD211F">
        <w:rPr>
          <w:sz w:val="36"/>
          <w:szCs w:val="36"/>
          <w:rtl/>
        </w:rPr>
        <w:t xml:space="preserve">، </w:t>
      </w:r>
      <w:r w:rsidRPr="00FD211F">
        <w:rPr>
          <w:sz w:val="36"/>
          <w:szCs w:val="36"/>
          <w:rtl/>
        </w:rPr>
        <w:t>وقد يسمى ذلك بالمجاز الادعائي أيضا.</w:t>
      </w:r>
    </w:p>
    <w:p w14:paraId="1F507723" w14:textId="77777777" w:rsidR="000C5BBA" w:rsidRPr="00FD211F" w:rsidRDefault="00DF1803" w:rsidP="009C58C8">
      <w:pPr>
        <w:ind w:left="0" w:firstLine="227"/>
        <w:jc w:val="both"/>
        <w:rPr>
          <w:sz w:val="36"/>
          <w:szCs w:val="36"/>
          <w:rtl/>
        </w:rPr>
      </w:pPr>
      <w:r w:rsidRPr="00FD211F">
        <w:rPr>
          <w:sz w:val="36"/>
          <w:szCs w:val="36"/>
          <w:rtl/>
        </w:rPr>
        <w:t>وقد ذكر في البحوث عد</w:t>
      </w:r>
      <w:r w:rsidR="00EC7EDF" w:rsidRPr="00FD211F">
        <w:rPr>
          <w:sz w:val="36"/>
          <w:szCs w:val="36"/>
          <w:rtl/>
        </w:rPr>
        <w:t xml:space="preserve">ة </w:t>
      </w:r>
      <w:r w:rsidRPr="00FD211F">
        <w:rPr>
          <w:sz w:val="36"/>
          <w:szCs w:val="36"/>
          <w:rtl/>
        </w:rPr>
        <w:t>قرائن على نفي هذه النظري</w:t>
      </w:r>
      <w:r w:rsidR="00EC7EDF" w:rsidRPr="00FD211F">
        <w:rPr>
          <w:sz w:val="36"/>
          <w:szCs w:val="36"/>
          <w:rtl/>
        </w:rPr>
        <w:t>ة</w:t>
      </w:r>
      <w:r w:rsidR="00057D31" w:rsidRPr="00FD211F">
        <w:rPr>
          <w:sz w:val="36"/>
          <w:szCs w:val="36"/>
          <w:rtl/>
        </w:rPr>
        <w:t>:</w:t>
      </w:r>
    </w:p>
    <w:p w14:paraId="6CF741B8" w14:textId="77777777" w:rsidR="00DF1803" w:rsidRPr="00FD211F" w:rsidRDefault="00DF1803" w:rsidP="009C58C8">
      <w:pPr>
        <w:ind w:left="0" w:firstLine="227"/>
        <w:jc w:val="both"/>
        <w:rPr>
          <w:sz w:val="36"/>
          <w:szCs w:val="36"/>
          <w:rtl/>
        </w:rPr>
      </w:pPr>
      <w:r w:rsidRPr="00FD211F">
        <w:rPr>
          <w:b/>
          <w:bCs/>
          <w:sz w:val="36"/>
          <w:szCs w:val="36"/>
          <w:rtl/>
        </w:rPr>
        <w:t>منها</w:t>
      </w:r>
      <w:r w:rsidRPr="00FD211F">
        <w:rPr>
          <w:sz w:val="36"/>
          <w:szCs w:val="36"/>
          <w:rtl/>
        </w:rPr>
        <w:t>: انه لو فرض كون المراد الاستعمالي في قولنا زيد اسد هو معناه الحقيقي أي الحيوان المفترس فلايكون المجاز بلحاظ مرحل</w:t>
      </w:r>
      <w:r w:rsidR="00EC7EDF" w:rsidRPr="00FD211F">
        <w:rPr>
          <w:sz w:val="36"/>
          <w:szCs w:val="36"/>
          <w:rtl/>
        </w:rPr>
        <w:t xml:space="preserve">ة </w:t>
      </w:r>
      <w:r w:rsidRPr="00FD211F">
        <w:rPr>
          <w:sz w:val="36"/>
          <w:szCs w:val="36"/>
          <w:rtl/>
        </w:rPr>
        <w:t>الاراد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فلابد ان يكون المجاز بلحاظ مرحل</w:t>
      </w:r>
      <w:r w:rsidR="00EC7EDF" w:rsidRPr="00FD211F">
        <w:rPr>
          <w:sz w:val="36"/>
          <w:szCs w:val="36"/>
          <w:rtl/>
        </w:rPr>
        <w:t xml:space="preserve">ة </w:t>
      </w:r>
      <w:r w:rsidRPr="00FD211F">
        <w:rPr>
          <w:sz w:val="36"/>
          <w:szCs w:val="36"/>
          <w:rtl/>
        </w:rPr>
        <w:t>الاراد</w:t>
      </w:r>
      <w:r w:rsidR="00EC7EDF" w:rsidRPr="00FD211F">
        <w:rPr>
          <w:sz w:val="36"/>
          <w:szCs w:val="36"/>
          <w:rtl/>
        </w:rPr>
        <w:t xml:space="preserve">ة </w:t>
      </w:r>
      <w:r w:rsidRPr="00FD211F">
        <w:rPr>
          <w:sz w:val="36"/>
          <w:szCs w:val="36"/>
          <w:rtl/>
        </w:rPr>
        <w:t>الجدي</w:t>
      </w:r>
      <w:r w:rsidR="00EC7EDF" w:rsidRPr="00FD211F">
        <w:rPr>
          <w:sz w:val="36"/>
          <w:szCs w:val="36"/>
          <w:rtl/>
        </w:rPr>
        <w:t xml:space="preserve">ة </w:t>
      </w:r>
      <w:r w:rsidRPr="00FD211F">
        <w:rPr>
          <w:sz w:val="36"/>
          <w:szCs w:val="36"/>
          <w:rtl/>
        </w:rPr>
        <w:t>من جه</w:t>
      </w:r>
      <w:r w:rsidR="00EC7EDF" w:rsidRPr="00FD211F">
        <w:rPr>
          <w:sz w:val="36"/>
          <w:szCs w:val="36"/>
          <w:rtl/>
        </w:rPr>
        <w:t xml:space="preserve">ة </w:t>
      </w:r>
      <w:r w:rsidRPr="00FD211F">
        <w:rPr>
          <w:sz w:val="36"/>
          <w:szCs w:val="36"/>
          <w:rtl/>
        </w:rPr>
        <w:t>ادعاء ان زيدا اسد</w:t>
      </w:r>
      <w:r w:rsidR="00603323" w:rsidRPr="00FD211F">
        <w:rPr>
          <w:sz w:val="36"/>
          <w:szCs w:val="36"/>
          <w:rtl/>
        </w:rPr>
        <w:t xml:space="preserve">، </w:t>
      </w:r>
      <w:r w:rsidRPr="00FD211F">
        <w:rPr>
          <w:sz w:val="36"/>
          <w:szCs w:val="36"/>
          <w:rtl/>
        </w:rPr>
        <w:t>ولكن ماذا يقال في فرض ما لو كان الغرض من هذا الكلام هو الهزل فلم تتحقق اي</w:t>
      </w:r>
      <w:r w:rsidR="00EC7EDF" w:rsidRPr="00FD211F">
        <w:rPr>
          <w:sz w:val="36"/>
          <w:szCs w:val="36"/>
          <w:rtl/>
        </w:rPr>
        <w:t xml:space="preserve">ة </w:t>
      </w:r>
      <w:r w:rsidRPr="00FD211F">
        <w:rPr>
          <w:sz w:val="36"/>
          <w:szCs w:val="36"/>
          <w:rtl/>
        </w:rPr>
        <w:t>اراد</w:t>
      </w:r>
      <w:r w:rsidR="00EC7EDF" w:rsidRPr="00FD211F">
        <w:rPr>
          <w:sz w:val="36"/>
          <w:szCs w:val="36"/>
          <w:rtl/>
        </w:rPr>
        <w:t xml:space="preserve">ة </w:t>
      </w:r>
      <w:r w:rsidRPr="00FD211F">
        <w:rPr>
          <w:sz w:val="36"/>
          <w:szCs w:val="36"/>
          <w:rtl/>
        </w:rPr>
        <w:t>جدي</w:t>
      </w:r>
      <w:r w:rsidR="00EC7EDF" w:rsidRPr="00FD211F">
        <w:rPr>
          <w:sz w:val="36"/>
          <w:szCs w:val="36"/>
          <w:rtl/>
        </w:rPr>
        <w:t xml:space="preserve">ة </w:t>
      </w:r>
      <w:r w:rsidRPr="00FD211F">
        <w:rPr>
          <w:sz w:val="36"/>
          <w:szCs w:val="36"/>
          <w:rtl/>
        </w:rPr>
        <w:t>فيه.</w:t>
      </w:r>
    </w:p>
    <w:p w14:paraId="64A11F09" w14:textId="77777777" w:rsidR="00DF1803" w:rsidRPr="00FD211F" w:rsidRDefault="00DF1803" w:rsidP="009C58C8">
      <w:pPr>
        <w:ind w:left="0" w:firstLine="227"/>
        <w:jc w:val="both"/>
        <w:rPr>
          <w:sz w:val="36"/>
          <w:szCs w:val="36"/>
          <w:rtl/>
        </w:rPr>
      </w:pPr>
      <w:r w:rsidRPr="00FD211F">
        <w:rPr>
          <w:b/>
          <w:bCs/>
          <w:sz w:val="36"/>
          <w:szCs w:val="36"/>
          <w:rtl/>
        </w:rPr>
        <w:t>ومنها</w:t>
      </w:r>
      <w:r w:rsidRPr="00FD211F">
        <w:rPr>
          <w:sz w:val="36"/>
          <w:szCs w:val="36"/>
          <w:rtl/>
        </w:rPr>
        <w:t>: انه في مثل قولنا</w:t>
      </w:r>
      <w:r w:rsidR="006563A8">
        <w:rPr>
          <w:rFonts w:hint="cs"/>
          <w:sz w:val="36"/>
          <w:szCs w:val="36"/>
          <w:rtl/>
        </w:rPr>
        <w:t xml:space="preserve"> </w:t>
      </w:r>
      <w:r w:rsidR="00DE04FB" w:rsidRPr="00FD211F">
        <w:rPr>
          <w:sz w:val="36"/>
          <w:szCs w:val="36"/>
          <w:rtl/>
        </w:rPr>
        <w:t>"</w:t>
      </w:r>
      <w:r w:rsidRPr="00FD211F">
        <w:rPr>
          <w:sz w:val="36"/>
          <w:szCs w:val="36"/>
          <w:rtl/>
        </w:rPr>
        <w:t>ان يوسف بدر</w:t>
      </w:r>
      <w:r w:rsidR="00DE04FB" w:rsidRPr="00FD211F">
        <w:rPr>
          <w:sz w:val="36"/>
          <w:szCs w:val="36"/>
          <w:rtl/>
        </w:rPr>
        <w:t>"</w:t>
      </w:r>
      <w:r w:rsidRPr="00FD211F">
        <w:rPr>
          <w:sz w:val="36"/>
          <w:szCs w:val="36"/>
          <w:rtl/>
        </w:rPr>
        <w:t xml:space="preserve"> يكون ادعاء انه بدر بمعناه الحقيقي نقضا للغرض اذ الغرض هو بيان حسن وجهه مع ان كونه بدرا حقيقيا يعني كونه مستديرا وهذا ليس موجبا لحسنه كإنسان.</w:t>
      </w:r>
    </w:p>
    <w:p w14:paraId="14308B64" w14:textId="77777777" w:rsidR="00DF1803" w:rsidRPr="00FD211F" w:rsidRDefault="00DF1803" w:rsidP="00290E2C">
      <w:pPr>
        <w:ind w:left="0" w:firstLine="227"/>
        <w:jc w:val="both"/>
        <w:rPr>
          <w:sz w:val="36"/>
          <w:szCs w:val="36"/>
          <w:rtl/>
        </w:rPr>
      </w:pPr>
      <w:r w:rsidRPr="00FD211F">
        <w:rPr>
          <w:b/>
          <w:bCs/>
          <w:sz w:val="36"/>
          <w:szCs w:val="36"/>
          <w:rtl/>
        </w:rPr>
        <w:t>ومنها</w:t>
      </w:r>
      <w:r w:rsidRPr="00FD211F">
        <w:rPr>
          <w:sz w:val="36"/>
          <w:szCs w:val="36"/>
          <w:rtl/>
        </w:rPr>
        <w:t>: أنه قد يكون المحمول في الاستعمال المجازي جزئيا كما في مثل قولنا</w:t>
      </w:r>
      <w:r w:rsidR="00290E2C" w:rsidRPr="00FD211F">
        <w:rPr>
          <w:sz w:val="36"/>
          <w:szCs w:val="36"/>
          <w:rtl/>
        </w:rPr>
        <w:t xml:space="preserve"> </w:t>
      </w:r>
      <w:r w:rsidR="00DE04FB" w:rsidRPr="00FD211F">
        <w:rPr>
          <w:sz w:val="36"/>
          <w:szCs w:val="36"/>
          <w:rtl/>
        </w:rPr>
        <w:t>"</w:t>
      </w:r>
      <w:r w:rsidRPr="00FD211F">
        <w:rPr>
          <w:sz w:val="36"/>
          <w:szCs w:val="36"/>
          <w:rtl/>
        </w:rPr>
        <w:t>زيد قمر</w:t>
      </w:r>
      <w:r w:rsidR="00DE04FB" w:rsidRPr="00FD211F">
        <w:rPr>
          <w:sz w:val="36"/>
          <w:szCs w:val="36"/>
          <w:rtl/>
        </w:rPr>
        <w:t>"</w:t>
      </w:r>
      <w:r w:rsidR="00603323" w:rsidRPr="00FD211F">
        <w:rPr>
          <w:sz w:val="36"/>
          <w:szCs w:val="36"/>
          <w:rtl/>
        </w:rPr>
        <w:t xml:space="preserve">، </w:t>
      </w:r>
      <w:r w:rsidRPr="00FD211F">
        <w:rPr>
          <w:sz w:val="36"/>
          <w:szCs w:val="36"/>
          <w:rtl/>
        </w:rPr>
        <w:t>فانه لامجال فيه لادعاء كون زيد فردا من المعنى الحقيقي للقمر لان معناه ليس كليا حتى يتم فيه هذا الادعاء.</w:t>
      </w:r>
    </w:p>
    <w:p w14:paraId="25603D1E" w14:textId="77777777" w:rsidR="00DF1803" w:rsidRPr="00FD211F" w:rsidRDefault="00BD2B2D" w:rsidP="009C58C8">
      <w:pPr>
        <w:ind w:left="0" w:firstLine="227"/>
        <w:jc w:val="both"/>
        <w:rPr>
          <w:sz w:val="36"/>
          <w:szCs w:val="36"/>
          <w:rtl/>
        </w:rPr>
      </w:pPr>
      <w:r w:rsidRPr="00FD211F">
        <w:rPr>
          <w:sz w:val="36"/>
          <w:szCs w:val="36"/>
          <w:rtl/>
        </w:rPr>
        <w:t>ثم ذكر</w:t>
      </w:r>
      <w:r w:rsidR="00290E2C" w:rsidRPr="00FD211F">
        <w:rPr>
          <w:sz w:val="36"/>
          <w:szCs w:val="36"/>
          <w:rtl/>
        </w:rPr>
        <w:t xml:space="preserve"> </w:t>
      </w:r>
      <w:r w:rsidRPr="00FD211F">
        <w:rPr>
          <w:sz w:val="36"/>
          <w:szCs w:val="36"/>
          <w:rtl/>
        </w:rPr>
        <w:t>أ</w:t>
      </w:r>
      <w:r w:rsidR="00DF1803" w:rsidRPr="00FD211F">
        <w:rPr>
          <w:sz w:val="36"/>
          <w:szCs w:val="36"/>
          <w:rtl/>
        </w:rPr>
        <w:t>نه ان ما يحس من الفرق بين التعبير بان زيدا اسد وبين التعبير بانه رجل شجاع لايكون شاهدا على تمامي</w:t>
      </w:r>
      <w:r w:rsidR="00EC7EDF" w:rsidRPr="00FD211F">
        <w:rPr>
          <w:sz w:val="36"/>
          <w:szCs w:val="36"/>
          <w:rtl/>
        </w:rPr>
        <w:t xml:space="preserve">ة </w:t>
      </w:r>
      <w:r w:rsidR="00DF1803" w:rsidRPr="00FD211F">
        <w:rPr>
          <w:sz w:val="36"/>
          <w:szCs w:val="36"/>
          <w:rtl/>
        </w:rPr>
        <w:t>نظري</w:t>
      </w:r>
      <w:r w:rsidR="00EC7EDF" w:rsidRPr="00FD211F">
        <w:rPr>
          <w:sz w:val="36"/>
          <w:szCs w:val="36"/>
          <w:rtl/>
        </w:rPr>
        <w:t xml:space="preserve">ة </w:t>
      </w:r>
      <w:r w:rsidR="00DF1803" w:rsidRPr="00FD211F">
        <w:rPr>
          <w:sz w:val="36"/>
          <w:szCs w:val="36"/>
          <w:rtl/>
        </w:rPr>
        <w:t>السكاكي فان نكت</w:t>
      </w:r>
      <w:r w:rsidR="00EC7EDF" w:rsidRPr="00FD211F">
        <w:rPr>
          <w:sz w:val="36"/>
          <w:szCs w:val="36"/>
          <w:rtl/>
        </w:rPr>
        <w:t xml:space="preserve">ة </w:t>
      </w:r>
      <w:r w:rsidR="00DF1803" w:rsidRPr="00FD211F">
        <w:rPr>
          <w:sz w:val="36"/>
          <w:szCs w:val="36"/>
          <w:rtl/>
        </w:rPr>
        <w:t>هذا الفرق في دلال</w:t>
      </w:r>
      <w:r w:rsidR="00EC7EDF" w:rsidRPr="00FD211F">
        <w:rPr>
          <w:sz w:val="36"/>
          <w:szCs w:val="36"/>
          <w:rtl/>
        </w:rPr>
        <w:t xml:space="preserve">ة </w:t>
      </w:r>
      <w:r w:rsidR="00DF1803" w:rsidRPr="00FD211F">
        <w:rPr>
          <w:sz w:val="36"/>
          <w:szCs w:val="36"/>
          <w:rtl/>
        </w:rPr>
        <w:t>التعبير الاول على المشابه</w:t>
      </w:r>
      <w:r w:rsidR="00EC7EDF" w:rsidRPr="00FD211F">
        <w:rPr>
          <w:sz w:val="36"/>
          <w:szCs w:val="36"/>
          <w:rtl/>
        </w:rPr>
        <w:t xml:space="preserve">ة </w:t>
      </w:r>
      <w:r w:rsidR="00DF1803" w:rsidRPr="00FD211F">
        <w:rPr>
          <w:sz w:val="36"/>
          <w:szCs w:val="36"/>
          <w:rtl/>
        </w:rPr>
        <w:t>بين زيد وبين الحيوان المفترس ولاتوجد هذه الدلال</w:t>
      </w:r>
      <w:r w:rsidR="00EC7EDF" w:rsidRPr="00FD211F">
        <w:rPr>
          <w:sz w:val="36"/>
          <w:szCs w:val="36"/>
          <w:rtl/>
        </w:rPr>
        <w:t xml:space="preserve">ة </w:t>
      </w:r>
      <w:r w:rsidR="00DF1803" w:rsidRPr="00FD211F">
        <w:rPr>
          <w:sz w:val="36"/>
          <w:szCs w:val="36"/>
          <w:rtl/>
        </w:rPr>
        <w:t>في التعبير الثاني</w:t>
      </w:r>
      <w:r w:rsidR="00603323" w:rsidRPr="00FD211F">
        <w:rPr>
          <w:sz w:val="36"/>
          <w:szCs w:val="36"/>
          <w:rtl/>
        </w:rPr>
        <w:t xml:space="preserve">، </w:t>
      </w:r>
      <w:r w:rsidR="00DF1803" w:rsidRPr="00FD211F">
        <w:rPr>
          <w:sz w:val="36"/>
          <w:szCs w:val="36"/>
          <w:rtl/>
        </w:rPr>
        <w:t>فالصحيح ما عليه المشهور من ان الاصل في المجاز كونه استعمالا للّفظ في غير معناه الموضوع له</w:t>
      </w:r>
      <w:r w:rsidR="00603323" w:rsidRPr="00FD211F">
        <w:rPr>
          <w:sz w:val="36"/>
          <w:szCs w:val="36"/>
          <w:rtl/>
        </w:rPr>
        <w:t xml:space="preserve">، </w:t>
      </w:r>
      <w:r w:rsidR="00DF1803" w:rsidRPr="00FD211F">
        <w:rPr>
          <w:sz w:val="36"/>
          <w:szCs w:val="36"/>
          <w:rtl/>
        </w:rPr>
        <w:t>وما ذكره السكاكي لايصلح ان يكون تفسيرا عاما للمجاز</w:t>
      </w:r>
      <w:r w:rsidR="009C58C8" w:rsidRPr="00FD211F">
        <w:rPr>
          <w:rStyle w:val="a6"/>
          <w:sz w:val="36"/>
          <w:szCs w:val="36"/>
          <w:rtl/>
        </w:rPr>
        <w:t>(</w:t>
      </w:r>
      <w:r w:rsidR="009C58C8" w:rsidRPr="00FD211F">
        <w:rPr>
          <w:rStyle w:val="a6"/>
          <w:sz w:val="36"/>
          <w:szCs w:val="36"/>
          <w:rtl/>
        </w:rPr>
        <w:footnoteReference w:id="279"/>
      </w:r>
      <w:r w:rsidR="009C58C8" w:rsidRPr="00FD211F">
        <w:rPr>
          <w:rStyle w:val="a6"/>
          <w:sz w:val="36"/>
          <w:szCs w:val="36"/>
          <w:rtl/>
        </w:rPr>
        <w:t>)</w:t>
      </w:r>
      <w:r w:rsidR="00DF1803" w:rsidRPr="00FD211F">
        <w:rPr>
          <w:sz w:val="36"/>
          <w:szCs w:val="36"/>
          <w:rtl/>
        </w:rPr>
        <w:t>.</w:t>
      </w:r>
    </w:p>
    <w:p w14:paraId="78156DCE" w14:textId="77777777" w:rsidR="000C5BBA" w:rsidRPr="00FD211F" w:rsidRDefault="00DF1803" w:rsidP="009C58C8">
      <w:pPr>
        <w:ind w:left="0" w:firstLine="227"/>
        <w:jc w:val="both"/>
        <w:rPr>
          <w:sz w:val="36"/>
          <w:szCs w:val="36"/>
          <w:rtl/>
        </w:rPr>
      </w:pPr>
      <w:bookmarkStart w:id="295" w:name="درس025دقيقه17"/>
      <w:bookmarkEnd w:id="295"/>
      <w:r w:rsidRPr="00FD211F">
        <w:rPr>
          <w:sz w:val="36"/>
          <w:szCs w:val="36"/>
          <w:rtl/>
        </w:rPr>
        <w:t>و</w:t>
      </w:r>
      <w:r w:rsidR="00BD2B2D" w:rsidRPr="00FD211F">
        <w:rPr>
          <w:sz w:val="36"/>
          <w:szCs w:val="36"/>
          <w:rtl/>
        </w:rPr>
        <w:t>الظاهر عدم تمامي</w:t>
      </w:r>
      <w:r w:rsidR="00EC7EDF" w:rsidRPr="00FD211F">
        <w:rPr>
          <w:sz w:val="36"/>
          <w:szCs w:val="36"/>
          <w:rtl/>
        </w:rPr>
        <w:t xml:space="preserve">ة </w:t>
      </w:r>
      <w:r w:rsidR="00BD2B2D" w:rsidRPr="00FD211F">
        <w:rPr>
          <w:sz w:val="36"/>
          <w:szCs w:val="36"/>
          <w:rtl/>
        </w:rPr>
        <w:t>هذه</w:t>
      </w:r>
      <w:r w:rsidR="00DE04FB" w:rsidRPr="00FD211F">
        <w:rPr>
          <w:sz w:val="36"/>
          <w:szCs w:val="36"/>
          <w:rtl/>
        </w:rPr>
        <w:t xml:space="preserve"> القرائن:</w:t>
      </w:r>
    </w:p>
    <w:p w14:paraId="692263BB" w14:textId="77777777" w:rsidR="00DF1803" w:rsidRPr="00FD211F" w:rsidRDefault="00DF1803" w:rsidP="00290E2C">
      <w:pPr>
        <w:ind w:left="0" w:firstLine="227"/>
        <w:jc w:val="both"/>
        <w:rPr>
          <w:sz w:val="36"/>
          <w:szCs w:val="36"/>
          <w:rtl/>
        </w:rPr>
      </w:pPr>
      <w:r w:rsidRPr="00FD211F">
        <w:rPr>
          <w:sz w:val="36"/>
          <w:szCs w:val="36"/>
          <w:rtl/>
        </w:rPr>
        <w:t>أما القرين</w:t>
      </w:r>
      <w:r w:rsidR="00EC7EDF" w:rsidRPr="00FD211F">
        <w:rPr>
          <w:sz w:val="36"/>
          <w:szCs w:val="36"/>
          <w:rtl/>
        </w:rPr>
        <w:t xml:space="preserve">ة </w:t>
      </w:r>
      <w:r w:rsidRPr="00FD211F">
        <w:rPr>
          <w:sz w:val="36"/>
          <w:szCs w:val="36"/>
          <w:rtl/>
        </w:rPr>
        <w:t>الأولى فلأن المراد من المجاز الادعائي هو الادعاء الانشائي</w:t>
      </w:r>
      <w:r w:rsidR="00603323" w:rsidRPr="00FD211F">
        <w:rPr>
          <w:sz w:val="36"/>
          <w:szCs w:val="36"/>
          <w:rtl/>
        </w:rPr>
        <w:t xml:space="preserve">، </w:t>
      </w:r>
      <w:r w:rsidRPr="00FD211F">
        <w:rPr>
          <w:sz w:val="36"/>
          <w:szCs w:val="36"/>
          <w:rtl/>
        </w:rPr>
        <w:t>ولو كان الداعي اليه هو الهزل</w:t>
      </w:r>
      <w:r w:rsidR="00603323" w:rsidRPr="00FD211F">
        <w:rPr>
          <w:sz w:val="36"/>
          <w:szCs w:val="36"/>
          <w:rtl/>
        </w:rPr>
        <w:t xml:space="preserve">، </w:t>
      </w:r>
      <w:r w:rsidRPr="00FD211F">
        <w:rPr>
          <w:sz w:val="36"/>
          <w:szCs w:val="36"/>
          <w:rtl/>
        </w:rPr>
        <w:t>فلو قال</w:t>
      </w:r>
      <w:r w:rsidR="00290E2C" w:rsidRPr="00FD211F">
        <w:rPr>
          <w:sz w:val="36"/>
          <w:szCs w:val="36"/>
          <w:rtl/>
        </w:rPr>
        <w:t xml:space="preserve"> </w:t>
      </w:r>
      <w:r w:rsidR="00DE04FB" w:rsidRPr="00FD211F">
        <w:rPr>
          <w:sz w:val="36"/>
          <w:szCs w:val="36"/>
          <w:rtl/>
        </w:rPr>
        <w:t>"</w:t>
      </w:r>
      <w:r w:rsidRPr="00FD211F">
        <w:rPr>
          <w:sz w:val="36"/>
          <w:szCs w:val="36"/>
          <w:rtl/>
        </w:rPr>
        <w:t>ان زيدا اسد</w:t>
      </w:r>
      <w:r w:rsidR="00DE04FB" w:rsidRPr="00FD211F">
        <w:rPr>
          <w:sz w:val="36"/>
          <w:szCs w:val="36"/>
          <w:rtl/>
        </w:rPr>
        <w:t>"</w:t>
      </w:r>
      <w:r w:rsidRPr="00FD211F">
        <w:rPr>
          <w:sz w:val="36"/>
          <w:szCs w:val="36"/>
          <w:rtl/>
        </w:rPr>
        <w:t xml:space="preserve"> فيكون المدلول الاستعمالي منه هو ادعاء أنه حيوان مفترس</w:t>
      </w:r>
      <w:r w:rsidR="00603323" w:rsidRPr="00FD211F">
        <w:rPr>
          <w:sz w:val="36"/>
          <w:szCs w:val="36"/>
          <w:rtl/>
        </w:rPr>
        <w:t xml:space="preserve">، </w:t>
      </w:r>
      <w:r w:rsidRPr="00FD211F">
        <w:rPr>
          <w:sz w:val="36"/>
          <w:szCs w:val="36"/>
          <w:rtl/>
        </w:rPr>
        <w:t>فالمجاز الادعائي لايوجب ان يكون المجاز بلحاظ مرحل</w:t>
      </w:r>
      <w:r w:rsidR="00EC7EDF" w:rsidRPr="00FD211F">
        <w:rPr>
          <w:sz w:val="36"/>
          <w:szCs w:val="36"/>
          <w:rtl/>
        </w:rPr>
        <w:t xml:space="preserve">ة </w:t>
      </w:r>
      <w:r w:rsidRPr="00FD211F">
        <w:rPr>
          <w:sz w:val="36"/>
          <w:szCs w:val="36"/>
          <w:rtl/>
        </w:rPr>
        <w:t>الاراد</w:t>
      </w:r>
      <w:r w:rsidR="00EC7EDF" w:rsidRPr="00FD211F">
        <w:rPr>
          <w:sz w:val="36"/>
          <w:szCs w:val="36"/>
          <w:rtl/>
        </w:rPr>
        <w:t xml:space="preserve">ة </w:t>
      </w:r>
      <w:r w:rsidRPr="00FD211F">
        <w:rPr>
          <w:sz w:val="36"/>
          <w:szCs w:val="36"/>
          <w:rtl/>
        </w:rPr>
        <w:t>الجدي</w:t>
      </w:r>
      <w:r w:rsidR="00EC7EDF" w:rsidRPr="00FD211F">
        <w:rPr>
          <w:sz w:val="36"/>
          <w:szCs w:val="36"/>
          <w:rtl/>
        </w:rPr>
        <w:t xml:space="preserve">ة </w:t>
      </w:r>
      <w:r w:rsidRPr="00FD211F">
        <w:rPr>
          <w:sz w:val="36"/>
          <w:szCs w:val="36"/>
          <w:rtl/>
        </w:rPr>
        <w:t>فحسب.</w:t>
      </w:r>
    </w:p>
    <w:p w14:paraId="6758EC5A" w14:textId="77777777" w:rsidR="00DF1803" w:rsidRPr="00FD211F" w:rsidRDefault="00DF1803" w:rsidP="009C58C8">
      <w:pPr>
        <w:ind w:left="0" w:firstLine="227"/>
        <w:jc w:val="both"/>
        <w:rPr>
          <w:sz w:val="36"/>
          <w:szCs w:val="36"/>
          <w:rtl/>
        </w:rPr>
      </w:pPr>
      <w:r w:rsidRPr="00FD211F">
        <w:rPr>
          <w:sz w:val="36"/>
          <w:szCs w:val="36"/>
          <w:rtl/>
        </w:rPr>
        <w:t>وأما القرين</w:t>
      </w:r>
      <w:r w:rsidR="00EC7EDF" w:rsidRPr="00FD211F">
        <w:rPr>
          <w:sz w:val="36"/>
          <w:szCs w:val="36"/>
          <w:rtl/>
        </w:rPr>
        <w:t xml:space="preserve">ة </w:t>
      </w:r>
      <w:r w:rsidRPr="00FD211F">
        <w:rPr>
          <w:sz w:val="36"/>
          <w:szCs w:val="36"/>
          <w:rtl/>
        </w:rPr>
        <w:t>الثاني</w:t>
      </w:r>
      <w:r w:rsidR="00EC7EDF" w:rsidRPr="00FD211F">
        <w:rPr>
          <w:sz w:val="36"/>
          <w:szCs w:val="36"/>
          <w:rtl/>
        </w:rPr>
        <w:t xml:space="preserve">ة </w:t>
      </w:r>
      <w:r w:rsidRPr="00FD211F">
        <w:rPr>
          <w:sz w:val="36"/>
          <w:szCs w:val="36"/>
          <w:rtl/>
        </w:rPr>
        <w:t>فلأن ادعاء كون يوسف بدرا ليس من جميع الجهات وانما هو من جه</w:t>
      </w:r>
      <w:r w:rsidR="00EC7EDF" w:rsidRPr="00FD211F">
        <w:rPr>
          <w:sz w:val="36"/>
          <w:szCs w:val="36"/>
          <w:rtl/>
        </w:rPr>
        <w:t xml:space="preserve">ة </w:t>
      </w:r>
      <w:r w:rsidRPr="00FD211F">
        <w:rPr>
          <w:sz w:val="36"/>
          <w:szCs w:val="36"/>
          <w:rtl/>
        </w:rPr>
        <w:t>حسن الوجه</w:t>
      </w:r>
      <w:r w:rsidR="00603323" w:rsidRPr="00FD211F">
        <w:rPr>
          <w:sz w:val="36"/>
          <w:szCs w:val="36"/>
          <w:rtl/>
        </w:rPr>
        <w:t xml:space="preserve">، </w:t>
      </w:r>
      <w:r w:rsidRPr="00FD211F">
        <w:rPr>
          <w:sz w:val="36"/>
          <w:szCs w:val="36"/>
          <w:rtl/>
        </w:rPr>
        <w:t xml:space="preserve">كما ان قولنا </w:t>
      </w:r>
      <w:r w:rsidR="00DE04FB" w:rsidRPr="00FD211F">
        <w:rPr>
          <w:sz w:val="36"/>
          <w:szCs w:val="36"/>
          <w:rtl/>
        </w:rPr>
        <w:t>"</w:t>
      </w:r>
      <w:r w:rsidRPr="00FD211F">
        <w:rPr>
          <w:sz w:val="36"/>
          <w:szCs w:val="36"/>
          <w:rtl/>
        </w:rPr>
        <w:t xml:space="preserve">زيد اسد </w:t>
      </w:r>
      <w:r w:rsidR="00DE04FB" w:rsidRPr="00FD211F">
        <w:rPr>
          <w:sz w:val="36"/>
          <w:szCs w:val="36"/>
          <w:rtl/>
        </w:rPr>
        <w:t>"</w:t>
      </w:r>
      <w:r w:rsidRPr="00FD211F">
        <w:rPr>
          <w:sz w:val="36"/>
          <w:szCs w:val="36"/>
          <w:rtl/>
        </w:rPr>
        <w:t>لم يكن بغرض ادعاء انه اسد حتى بلحاظ بُخر فمه.</w:t>
      </w:r>
    </w:p>
    <w:p w14:paraId="5970165B" w14:textId="77777777" w:rsidR="00DF1803" w:rsidRPr="00FD211F" w:rsidRDefault="00DF1803" w:rsidP="009C58C8">
      <w:pPr>
        <w:ind w:left="0" w:firstLine="227"/>
        <w:jc w:val="both"/>
        <w:rPr>
          <w:sz w:val="36"/>
          <w:szCs w:val="36"/>
          <w:rtl/>
        </w:rPr>
      </w:pPr>
      <w:r w:rsidRPr="00FD211F">
        <w:rPr>
          <w:sz w:val="36"/>
          <w:szCs w:val="36"/>
          <w:rtl/>
        </w:rPr>
        <w:t>وأما القرين</w:t>
      </w:r>
      <w:r w:rsidR="00EC7EDF" w:rsidRPr="00FD211F">
        <w:rPr>
          <w:sz w:val="36"/>
          <w:szCs w:val="36"/>
          <w:rtl/>
        </w:rPr>
        <w:t xml:space="preserve">ة </w:t>
      </w:r>
      <w:r w:rsidRPr="00FD211F">
        <w:rPr>
          <w:sz w:val="36"/>
          <w:szCs w:val="36"/>
          <w:rtl/>
        </w:rPr>
        <w:t>الثالث</w:t>
      </w:r>
      <w:r w:rsidR="00EC7EDF" w:rsidRPr="00FD211F">
        <w:rPr>
          <w:sz w:val="36"/>
          <w:szCs w:val="36"/>
          <w:rtl/>
        </w:rPr>
        <w:t xml:space="preserve">ة </w:t>
      </w:r>
      <w:r w:rsidRPr="00FD211F">
        <w:rPr>
          <w:sz w:val="36"/>
          <w:szCs w:val="36"/>
          <w:rtl/>
        </w:rPr>
        <w:t>فلأنه يكفي في كون زيد قمرا ادعاء الهوهوي</w:t>
      </w:r>
      <w:r w:rsidR="00EC7EDF" w:rsidRPr="00FD211F">
        <w:rPr>
          <w:sz w:val="36"/>
          <w:szCs w:val="36"/>
          <w:rtl/>
        </w:rPr>
        <w:t xml:space="preserve">ة </w:t>
      </w:r>
      <w:r w:rsidRPr="00FD211F">
        <w:rPr>
          <w:sz w:val="36"/>
          <w:szCs w:val="36"/>
          <w:rtl/>
        </w:rPr>
        <w:t>بينه وبين القمر</w:t>
      </w:r>
      <w:r w:rsidR="00603323" w:rsidRPr="00FD211F">
        <w:rPr>
          <w:sz w:val="36"/>
          <w:szCs w:val="36"/>
          <w:rtl/>
        </w:rPr>
        <w:t xml:space="preserve">، </w:t>
      </w:r>
      <w:r w:rsidRPr="00FD211F">
        <w:rPr>
          <w:sz w:val="36"/>
          <w:szCs w:val="36"/>
          <w:rtl/>
        </w:rPr>
        <w:t>ولايلزم ان يكون القمر كليا</w:t>
      </w:r>
      <w:r w:rsidR="00603323" w:rsidRPr="00FD211F">
        <w:rPr>
          <w:sz w:val="36"/>
          <w:szCs w:val="36"/>
          <w:rtl/>
        </w:rPr>
        <w:t xml:space="preserve">، </w:t>
      </w:r>
      <w:r w:rsidRPr="00FD211F">
        <w:rPr>
          <w:sz w:val="36"/>
          <w:szCs w:val="36"/>
          <w:rtl/>
        </w:rPr>
        <w:t>ونظيره التعبير بان زيدا حاتم</w:t>
      </w:r>
      <w:r w:rsidR="00603323" w:rsidRPr="00FD211F">
        <w:rPr>
          <w:sz w:val="36"/>
          <w:szCs w:val="36"/>
          <w:rtl/>
        </w:rPr>
        <w:t xml:space="preserve">، </w:t>
      </w:r>
      <w:r w:rsidR="00093A7A" w:rsidRPr="00FD211F">
        <w:rPr>
          <w:sz w:val="36"/>
          <w:szCs w:val="36"/>
          <w:rtl/>
        </w:rPr>
        <w:t>والالتزام باستعمال القمر والحاتم في مفهوم كلي وهو الجميل والجواد خلاف المرتكز جدّا.</w:t>
      </w:r>
    </w:p>
    <w:p w14:paraId="3C167CD9" w14:textId="77777777" w:rsidR="00DF1803" w:rsidRPr="00FD211F" w:rsidRDefault="00BD2B2D" w:rsidP="009C58C8">
      <w:pPr>
        <w:ind w:left="0" w:firstLine="227"/>
        <w:jc w:val="both"/>
        <w:rPr>
          <w:sz w:val="36"/>
          <w:szCs w:val="36"/>
          <w:rtl/>
        </w:rPr>
      </w:pPr>
      <w:r w:rsidRPr="00FD211F">
        <w:rPr>
          <w:sz w:val="36"/>
          <w:szCs w:val="36"/>
          <w:rtl/>
        </w:rPr>
        <w:t>وأما ما ذكره</w:t>
      </w:r>
      <w:r w:rsidR="00B253CE" w:rsidRPr="00FD211F">
        <w:rPr>
          <w:sz w:val="36"/>
          <w:szCs w:val="36"/>
          <w:rtl/>
        </w:rPr>
        <w:t xml:space="preserve"> </w:t>
      </w:r>
      <w:r w:rsidR="00DF1803" w:rsidRPr="00FD211F">
        <w:rPr>
          <w:sz w:val="36"/>
          <w:szCs w:val="36"/>
          <w:rtl/>
        </w:rPr>
        <w:t>في بيان نكت</w:t>
      </w:r>
      <w:r w:rsidR="00EC7EDF" w:rsidRPr="00FD211F">
        <w:rPr>
          <w:sz w:val="36"/>
          <w:szCs w:val="36"/>
          <w:rtl/>
        </w:rPr>
        <w:t xml:space="preserve">ة </w:t>
      </w:r>
      <w:r w:rsidR="00DF1803" w:rsidRPr="00FD211F">
        <w:rPr>
          <w:sz w:val="36"/>
          <w:szCs w:val="36"/>
          <w:rtl/>
        </w:rPr>
        <w:t>الفرق بين التعبير بان زيدا اسد وبين التعبير بانه رجل شجاع من ان مفاد الاول هو بيان مشابه</w:t>
      </w:r>
      <w:r w:rsidR="00EC7EDF" w:rsidRPr="00FD211F">
        <w:rPr>
          <w:sz w:val="36"/>
          <w:szCs w:val="36"/>
          <w:rtl/>
        </w:rPr>
        <w:t xml:space="preserve">ة </w:t>
      </w:r>
      <w:r w:rsidR="00DF1803" w:rsidRPr="00FD211F">
        <w:rPr>
          <w:sz w:val="36"/>
          <w:szCs w:val="36"/>
          <w:rtl/>
        </w:rPr>
        <w:t>زيد للحيوان المفترس ففيه: انه يوجد فرق وجدانا بين التعبير بان زيدا اسد وانه مثل الاسد</w:t>
      </w:r>
      <w:r w:rsidR="00603323" w:rsidRPr="00FD211F">
        <w:rPr>
          <w:sz w:val="36"/>
          <w:szCs w:val="36"/>
          <w:rtl/>
        </w:rPr>
        <w:t xml:space="preserve">، </w:t>
      </w:r>
      <w:r w:rsidR="00093A7A" w:rsidRPr="00FD211F">
        <w:rPr>
          <w:sz w:val="36"/>
          <w:szCs w:val="36"/>
          <w:rtl/>
        </w:rPr>
        <w:t>ولأجل ذلك قد يقال زيد رجل شجاع بل اسد او يقال زيد مثل الاسد بل هو الاسد</w:t>
      </w:r>
      <w:r w:rsidR="00603323" w:rsidRPr="00FD211F">
        <w:rPr>
          <w:sz w:val="36"/>
          <w:szCs w:val="36"/>
          <w:rtl/>
        </w:rPr>
        <w:t xml:space="preserve">، </w:t>
      </w:r>
      <w:r w:rsidR="00093A7A" w:rsidRPr="00FD211F">
        <w:rPr>
          <w:sz w:val="36"/>
          <w:szCs w:val="36"/>
          <w:rtl/>
        </w:rPr>
        <w:t>كما يقال انه ليس مثل الاسد بل هو الاسد</w:t>
      </w:r>
      <w:r w:rsidR="00603323" w:rsidRPr="00FD211F">
        <w:rPr>
          <w:sz w:val="36"/>
          <w:szCs w:val="36"/>
          <w:rtl/>
        </w:rPr>
        <w:t xml:space="preserve">، </w:t>
      </w:r>
      <w:r w:rsidR="00DF1803" w:rsidRPr="00FD211F">
        <w:rPr>
          <w:sz w:val="36"/>
          <w:szCs w:val="36"/>
          <w:rtl/>
        </w:rPr>
        <w:t>وليس ذلك الا لأجل ان مفاد الأول ان زيدا فرد الأسد بما له من المعنى الحقيقي.</w:t>
      </w:r>
    </w:p>
    <w:p w14:paraId="45C057DD" w14:textId="77777777" w:rsidR="00DF1803" w:rsidRPr="00FD211F" w:rsidRDefault="00DF1803" w:rsidP="009C58C8">
      <w:pPr>
        <w:ind w:left="0" w:firstLine="227"/>
        <w:jc w:val="both"/>
        <w:rPr>
          <w:sz w:val="36"/>
          <w:szCs w:val="36"/>
          <w:rtl/>
        </w:rPr>
      </w:pPr>
      <w:r w:rsidRPr="00FD211F">
        <w:rPr>
          <w:sz w:val="36"/>
          <w:szCs w:val="36"/>
          <w:rtl/>
        </w:rPr>
        <w:t>فالظاهر تمامي</w:t>
      </w:r>
      <w:r w:rsidR="00EC7EDF" w:rsidRPr="00FD211F">
        <w:rPr>
          <w:sz w:val="36"/>
          <w:szCs w:val="36"/>
          <w:rtl/>
        </w:rPr>
        <w:t xml:space="preserve">ة </w:t>
      </w:r>
      <w:r w:rsidRPr="00FD211F">
        <w:rPr>
          <w:sz w:val="36"/>
          <w:szCs w:val="36"/>
          <w:rtl/>
        </w:rPr>
        <w:t>نظري</w:t>
      </w:r>
      <w:r w:rsidR="00EC7EDF" w:rsidRPr="00FD211F">
        <w:rPr>
          <w:sz w:val="36"/>
          <w:szCs w:val="36"/>
          <w:rtl/>
        </w:rPr>
        <w:t xml:space="preserve">ة </w:t>
      </w:r>
      <w:r w:rsidRPr="00FD211F">
        <w:rPr>
          <w:sz w:val="36"/>
          <w:szCs w:val="36"/>
          <w:rtl/>
        </w:rPr>
        <w:t>السكاكي</w:t>
      </w:r>
      <w:r w:rsidR="00603323" w:rsidRPr="00FD211F">
        <w:rPr>
          <w:sz w:val="36"/>
          <w:szCs w:val="36"/>
          <w:rtl/>
        </w:rPr>
        <w:t xml:space="preserve">، </w:t>
      </w:r>
      <w:r w:rsidRPr="00FD211F">
        <w:rPr>
          <w:sz w:val="36"/>
          <w:szCs w:val="36"/>
          <w:rtl/>
        </w:rPr>
        <w:t>ويشهد لها ان ما نحس به من اللطاف</w:t>
      </w:r>
      <w:r w:rsidR="00EC7EDF" w:rsidRPr="00FD211F">
        <w:rPr>
          <w:sz w:val="36"/>
          <w:szCs w:val="36"/>
          <w:rtl/>
        </w:rPr>
        <w:t xml:space="preserve">ة </w:t>
      </w:r>
      <w:r w:rsidRPr="00FD211F">
        <w:rPr>
          <w:sz w:val="36"/>
          <w:szCs w:val="36"/>
          <w:rtl/>
        </w:rPr>
        <w:t>في مثل التعبير بان زيدا اسد لانحس به في مثل التعبير بانه رجل شجاع او انه مثل الأسد.</w:t>
      </w:r>
    </w:p>
    <w:p w14:paraId="7EF79A9D" w14:textId="77777777" w:rsidR="000C5BBA" w:rsidRPr="00FD211F" w:rsidRDefault="00DF1803" w:rsidP="009C58C8">
      <w:pPr>
        <w:ind w:left="0" w:firstLine="227"/>
        <w:jc w:val="both"/>
        <w:rPr>
          <w:sz w:val="36"/>
          <w:szCs w:val="36"/>
          <w:rtl/>
        </w:rPr>
      </w:pPr>
      <w:r w:rsidRPr="00FD211F">
        <w:rPr>
          <w:sz w:val="36"/>
          <w:szCs w:val="36"/>
          <w:rtl/>
        </w:rPr>
        <w:t>وان شئت فلاحظ قول الشاعر:</w:t>
      </w:r>
    </w:p>
    <w:p w14:paraId="7BF3775C" w14:textId="77777777" w:rsidR="00DF1803" w:rsidRPr="00FD211F" w:rsidRDefault="00DF1803" w:rsidP="009C58C8">
      <w:pPr>
        <w:ind w:left="0" w:firstLine="227"/>
        <w:jc w:val="both"/>
        <w:rPr>
          <w:sz w:val="36"/>
          <w:szCs w:val="36"/>
          <w:rtl/>
        </w:rPr>
      </w:pPr>
      <w:r w:rsidRPr="00FD211F">
        <w:rPr>
          <w:sz w:val="36"/>
          <w:szCs w:val="36"/>
          <w:rtl/>
        </w:rPr>
        <w:t>قامت تظللني ومن عجب</w:t>
      </w:r>
      <w:r w:rsidR="001A10EB" w:rsidRPr="00FD211F">
        <w:rPr>
          <w:sz w:val="36"/>
          <w:szCs w:val="36"/>
          <w:rtl/>
        </w:rPr>
        <w:t xml:space="preserve">                </w:t>
      </w:r>
      <w:r w:rsidR="00C7588D" w:rsidRPr="00FD211F">
        <w:rPr>
          <w:sz w:val="36"/>
          <w:szCs w:val="36"/>
          <w:rtl/>
        </w:rPr>
        <w:t xml:space="preserve"> </w:t>
      </w:r>
      <w:r w:rsidRPr="00FD211F">
        <w:rPr>
          <w:sz w:val="36"/>
          <w:szCs w:val="36"/>
          <w:rtl/>
        </w:rPr>
        <w:t>شمس تظللني من الشمس</w:t>
      </w:r>
    </w:p>
    <w:p w14:paraId="46370E37" w14:textId="77777777" w:rsidR="00DF1803" w:rsidRPr="00FD211F" w:rsidRDefault="00DF1803" w:rsidP="009C58C8">
      <w:pPr>
        <w:ind w:left="0" w:firstLine="227"/>
        <w:jc w:val="both"/>
        <w:rPr>
          <w:sz w:val="36"/>
          <w:szCs w:val="36"/>
          <w:rtl/>
        </w:rPr>
      </w:pPr>
      <w:r w:rsidRPr="00FD211F">
        <w:rPr>
          <w:sz w:val="36"/>
          <w:szCs w:val="36"/>
          <w:rtl/>
        </w:rPr>
        <w:t>فان لفظ "الشمس" لو كان مستعملا في معنى "الحسن الوجه" فلايبقى مجال للتعجب من حجبه عن ضوء الشمس</w:t>
      </w:r>
      <w:r w:rsidR="00603323" w:rsidRPr="00FD211F">
        <w:rPr>
          <w:sz w:val="36"/>
          <w:szCs w:val="36"/>
          <w:rtl/>
        </w:rPr>
        <w:t xml:space="preserve">، </w:t>
      </w:r>
      <w:r w:rsidRPr="00FD211F">
        <w:rPr>
          <w:sz w:val="36"/>
          <w:szCs w:val="36"/>
          <w:rtl/>
        </w:rPr>
        <w:t>وانما يصح التعجب من حجب الشمس عن ضوء نفسها.</w:t>
      </w:r>
    </w:p>
    <w:p w14:paraId="49292F51" w14:textId="77777777" w:rsidR="00DF1803" w:rsidRPr="00FD211F" w:rsidRDefault="005C384B" w:rsidP="009C58C8">
      <w:pPr>
        <w:ind w:left="0" w:firstLine="227"/>
        <w:jc w:val="both"/>
        <w:rPr>
          <w:sz w:val="36"/>
          <w:szCs w:val="36"/>
          <w:rtl/>
        </w:rPr>
      </w:pPr>
      <w:r w:rsidRPr="00FD211F">
        <w:rPr>
          <w:sz w:val="36"/>
          <w:szCs w:val="36"/>
          <w:rtl/>
        </w:rPr>
        <w:t>وقد يستشهد على تمامي</w:t>
      </w:r>
      <w:r w:rsidR="00EC7EDF" w:rsidRPr="00FD211F">
        <w:rPr>
          <w:sz w:val="36"/>
          <w:szCs w:val="36"/>
          <w:rtl/>
        </w:rPr>
        <w:t xml:space="preserve">ة </w:t>
      </w:r>
      <w:r w:rsidR="00DF1803" w:rsidRPr="00FD211F">
        <w:rPr>
          <w:sz w:val="36"/>
          <w:szCs w:val="36"/>
          <w:rtl/>
        </w:rPr>
        <w:t>نظري</w:t>
      </w:r>
      <w:r w:rsidR="00EC7EDF" w:rsidRPr="00FD211F">
        <w:rPr>
          <w:sz w:val="36"/>
          <w:szCs w:val="36"/>
          <w:rtl/>
        </w:rPr>
        <w:t xml:space="preserve">ة </w:t>
      </w:r>
      <w:r w:rsidRPr="00FD211F">
        <w:rPr>
          <w:sz w:val="36"/>
          <w:szCs w:val="36"/>
          <w:rtl/>
        </w:rPr>
        <w:t xml:space="preserve">السكاكي </w:t>
      </w:r>
      <w:r w:rsidR="00DF1803" w:rsidRPr="00FD211F">
        <w:rPr>
          <w:sz w:val="36"/>
          <w:szCs w:val="36"/>
          <w:rtl/>
        </w:rPr>
        <w:t>بانه قد يستعمل اللفظ في المجاز بلاعلم للمستعمل بالمعنى الحقيقي</w:t>
      </w:r>
      <w:r w:rsidR="00603323" w:rsidRPr="00FD211F">
        <w:rPr>
          <w:sz w:val="36"/>
          <w:szCs w:val="36"/>
          <w:rtl/>
        </w:rPr>
        <w:t xml:space="preserve">، </w:t>
      </w:r>
      <w:r w:rsidR="006563A8">
        <w:rPr>
          <w:sz w:val="36"/>
          <w:szCs w:val="36"/>
          <w:rtl/>
        </w:rPr>
        <w:t>فاذاقلنا بان الاس</w:t>
      </w:r>
      <w:r w:rsidR="006563A8">
        <w:rPr>
          <w:rFonts w:hint="cs"/>
          <w:sz w:val="36"/>
          <w:szCs w:val="36"/>
          <w:rtl/>
        </w:rPr>
        <w:t>ت</w:t>
      </w:r>
      <w:r w:rsidR="00DE04FB" w:rsidRPr="00FD211F">
        <w:rPr>
          <w:sz w:val="36"/>
          <w:szCs w:val="36"/>
          <w:rtl/>
        </w:rPr>
        <w:t>عمال المجازي هو استعمال اللفظ في معني آخر لمشابه</w:t>
      </w:r>
      <w:r w:rsidR="00EC7EDF" w:rsidRPr="00FD211F">
        <w:rPr>
          <w:sz w:val="36"/>
          <w:szCs w:val="36"/>
          <w:rtl/>
        </w:rPr>
        <w:t xml:space="preserve">ة </w:t>
      </w:r>
      <w:r w:rsidR="00DE04FB" w:rsidRPr="00FD211F">
        <w:rPr>
          <w:sz w:val="36"/>
          <w:szCs w:val="36"/>
          <w:rtl/>
        </w:rPr>
        <w:t>بينه وبين المعنى الحقيقي</w:t>
      </w:r>
      <w:r w:rsidR="008D7B3D" w:rsidRPr="00FD211F">
        <w:rPr>
          <w:sz w:val="36"/>
          <w:szCs w:val="36"/>
          <w:rtl/>
        </w:rPr>
        <w:t xml:space="preserve"> لم‌</w:t>
      </w:r>
      <w:r w:rsidRPr="00FD211F">
        <w:rPr>
          <w:sz w:val="36"/>
          <w:szCs w:val="36"/>
          <w:rtl/>
        </w:rPr>
        <w:t>يمكن توجيه هذاالفرض</w:t>
      </w:r>
      <w:r w:rsidR="00603323" w:rsidRPr="00FD211F">
        <w:rPr>
          <w:sz w:val="36"/>
          <w:szCs w:val="36"/>
          <w:rtl/>
        </w:rPr>
        <w:t xml:space="preserve">، </w:t>
      </w:r>
      <w:r w:rsidR="00DF1803" w:rsidRPr="00FD211F">
        <w:rPr>
          <w:sz w:val="36"/>
          <w:szCs w:val="36"/>
          <w:rtl/>
        </w:rPr>
        <w:t>ولكن ي</w:t>
      </w:r>
      <w:r w:rsidRPr="00FD211F">
        <w:rPr>
          <w:sz w:val="36"/>
          <w:szCs w:val="36"/>
          <w:rtl/>
        </w:rPr>
        <w:t>مكن توجيهه ب</w:t>
      </w:r>
      <w:r w:rsidR="00DF1803" w:rsidRPr="00FD211F">
        <w:rPr>
          <w:sz w:val="36"/>
          <w:szCs w:val="36"/>
          <w:rtl/>
        </w:rPr>
        <w:t xml:space="preserve">أنه </w:t>
      </w:r>
      <w:r w:rsidRPr="00FD211F">
        <w:rPr>
          <w:sz w:val="36"/>
          <w:szCs w:val="36"/>
          <w:rtl/>
        </w:rPr>
        <w:t>يمكن ان يكون استعمال الجاهل</w:t>
      </w:r>
      <w:r w:rsidR="00DF1803" w:rsidRPr="00FD211F">
        <w:rPr>
          <w:sz w:val="36"/>
          <w:szCs w:val="36"/>
          <w:rtl/>
        </w:rPr>
        <w:t xml:space="preserve"> بتبع العالم بالعلاق</w:t>
      </w:r>
      <w:r w:rsidR="00EC7EDF" w:rsidRPr="00FD211F">
        <w:rPr>
          <w:sz w:val="36"/>
          <w:szCs w:val="36"/>
          <w:rtl/>
        </w:rPr>
        <w:t xml:space="preserve">ة </w:t>
      </w:r>
      <w:r w:rsidR="00DF1803" w:rsidRPr="00FD211F">
        <w:rPr>
          <w:sz w:val="36"/>
          <w:szCs w:val="36"/>
          <w:rtl/>
        </w:rPr>
        <w:t>بين المعنى الحقيقي والمعنى المستعمل فيه والملاك لحاظ حال العالم.</w:t>
      </w:r>
    </w:p>
    <w:p w14:paraId="4C092060" w14:textId="77777777" w:rsidR="00DF1803" w:rsidRPr="00FD211F" w:rsidRDefault="00DF1803" w:rsidP="009C58C8">
      <w:pPr>
        <w:ind w:left="0" w:firstLine="227"/>
        <w:jc w:val="both"/>
        <w:rPr>
          <w:sz w:val="36"/>
          <w:szCs w:val="36"/>
          <w:rtl/>
        </w:rPr>
      </w:pPr>
      <w:r w:rsidRPr="00FD211F">
        <w:rPr>
          <w:sz w:val="36"/>
          <w:szCs w:val="36"/>
          <w:rtl/>
        </w:rPr>
        <w:t>ثم لايخفى ان المجاز الادعائي لايختص بخصوص مجاز الاستعار</w:t>
      </w:r>
      <w:r w:rsidR="00EC7EDF" w:rsidRPr="00FD211F">
        <w:rPr>
          <w:sz w:val="36"/>
          <w:szCs w:val="36"/>
          <w:rtl/>
        </w:rPr>
        <w:t xml:space="preserve">ة </w:t>
      </w:r>
      <w:r w:rsidRPr="00FD211F">
        <w:rPr>
          <w:sz w:val="36"/>
          <w:szCs w:val="36"/>
          <w:rtl/>
        </w:rPr>
        <w:t>بل يأتي في بعض موارد المجاز المرسل</w:t>
      </w:r>
      <w:r w:rsidR="00603323" w:rsidRPr="00FD211F">
        <w:rPr>
          <w:sz w:val="36"/>
          <w:szCs w:val="36"/>
          <w:rtl/>
        </w:rPr>
        <w:t xml:space="preserve">، </w:t>
      </w:r>
      <w:r w:rsidRPr="00FD211F">
        <w:rPr>
          <w:sz w:val="36"/>
          <w:szCs w:val="36"/>
          <w:rtl/>
        </w:rPr>
        <w:t>كما في قوله "أعصر خمرا" فانه مجاز ادعائي بعلاق</w:t>
      </w:r>
      <w:r w:rsidR="00EC7EDF" w:rsidRPr="00FD211F">
        <w:rPr>
          <w:sz w:val="36"/>
          <w:szCs w:val="36"/>
          <w:rtl/>
        </w:rPr>
        <w:t xml:space="preserve">ة </w:t>
      </w:r>
      <w:r w:rsidRPr="00FD211F">
        <w:rPr>
          <w:sz w:val="36"/>
          <w:szCs w:val="36"/>
          <w:rtl/>
        </w:rPr>
        <w:t>الأَول والمشا</w:t>
      </w:r>
      <w:r w:rsidR="00093A7A" w:rsidRPr="00FD211F">
        <w:rPr>
          <w:sz w:val="36"/>
          <w:szCs w:val="36"/>
          <w:rtl/>
        </w:rPr>
        <w:t>رف</w:t>
      </w:r>
      <w:r w:rsidR="00EC7EDF" w:rsidRPr="00FD211F">
        <w:rPr>
          <w:sz w:val="36"/>
          <w:szCs w:val="36"/>
          <w:rtl/>
        </w:rPr>
        <w:t>ة</w:t>
      </w:r>
      <w:r w:rsidR="00603323" w:rsidRPr="00FD211F">
        <w:rPr>
          <w:sz w:val="36"/>
          <w:szCs w:val="36"/>
          <w:rtl/>
        </w:rPr>
        <w:t xml:space="preserve">، </w:t>
      </w:r>
      <w:r w:rsidRPr="00FD211F">
        <w:rPr>
          <w:sz w:val="36"/>
          <w:szCs w:val="36"/>
          <w:rtl/>
        </w:rPr>
        <w:t>وكذ</w:t>
      </w:r>
      <w:r w:rsidR="00093A7A" w:rsidRPr="00FD211F">
        <w:rPr>
          <w:sz w:val="36"/>
          <w:szCs w:val="36"/>
          <w:rtl/>
        </w:rPr>
        <w:t>ا في اطلاق اسم المسبب على السبب</w:t>
      </w:r>
      <w:r w:rsidR="00603323" w:rsidRPr="00FD211F">
        <w:rPr>
          <w:sz w:val="36"/>
          <w:szCs w:val="36"/>
          <w:rtl/>
        </w:rPr>
        <w:t xml:space="preserve">، </w:t>
      </w:r>
      <w:r w:rsidR="00093A7A" w:rsidRPr="00FD211F">
        <w:rPr>
          <w:sz w:val="36"/>
          <w:szCs w:val="36"/>
          <w:rtl/>
        </w:rPr>
        <w:t>وكذا في مثل مجاز المركب كقولك لمن يتردد في امر</w:t>
      </w:r>
      <w:r w:rsidR="006C7B2F" w:rsidRPr="00FD211F">
        <w:rPr>
          <w:sz w:val="36"/>
          <w:szCs w:val="36"/>
          <w:rtl/>
        </w:rPr>
        <w:t>"</w:t>
      </w:r>
      <w:r w:rsidR="00093A7A" w:rsidRPr="00FD211F">
        <w:rPr>
          <w:sz w:val="36"/>
          <w:szCs w:val="36"/>
          <w:rtl/>
        </w:rPr>
        <w:t xml:space="preserve"> ار</w:t>
      </w:r>
      <w:r w:rsidR="006C7B2F" w:rsidRPr="00FD211F">
        <w:rPr>
          <w:sz w:val="36"/>
          <w:szCs w:val="36"/>
          <w:rtl/>
        </w:rPr>
        <w:t>ا</w:t>
      </w:r>
      <w:r w:rsidR="00093A7A" w:rsidRPr="00FD211F">
        <w:rPr>
          <w:sz w:val="36"/>
          <w:szCs w:val="36"/>
          <w:rtl/>
        </w:rPr>
        <w:t>ك تقدم رجلا وتؤخر أخرى</w:t>
      </w:r>
      <w:r w:rsidR="006C7B2F" w:rsidRPr="00FD211F">
        <w:rPr>
          <w:sz w:val="36"/>
          <w:szCs w:val="36"/>
          <w:rtl/>
        </w:rPr>
        <w:t>"</w:t>
      </w:r>
      <w:r w:rsidR="00603323" w:rsidRPr="00FD211F">
        <w:rPr>
          <w:sz w:val="36"/>
          <w:szCs w:val="36"/>
          <w:rtl/>
        </w:rPr>
        <w:t xml:space="preserve">، </w:t>
      </w:r>
      <w:r w:rsidR="00093A7A" w:rsidRPr="00FD211F">
        <w:rPr>
          <w:sz w:val="36"/>
          <w:szCs w:val="36"/>
          <w:rtl/>
        </w:rPr>
        <w:t>فانه مستعمل في معناه الحقيقي</w:t>
      </w:r>
      <w:r w:rsidR="00603323" w:rsidRPr="00FD211F">
        <w:rPr>
          <w:sz w:val="36"/>
          <w:szCs w:val="36"/>
          <w:rtl/>
        </w:rPr>
        <w:t xml:space="preserve">، </w:t>
      </w:r>
      <w:r w:rsidR="00093A7A" w:rsidRPr="00FD211F">
        <w:rPr>
          <w:sz w:val="36"/>
          <w:szCs w:val="36"/>
          <w:rtl/>
        </w:rPr>
        <w:t>وانما المجاز في مرحل</w:t>
      </w:r>
      <w:r w:rsidR="00EC7EDF" w:rsidRPr="00FD211F">
        <w:rPr>
          <w:sz w:val="36"/>
          <w:szCs w:val="36"/>
          <w:rtl/>
        </w:rPr>
        <w:t xml:space="preserve">ة </w:t>
      </w:r>
      <w:r w:rsidR="00093A7A" w:rsidRPr="00FD211F">
        <w:rPr>
          <w:sz w:val="36"/>
          <w:szCs w:val="36"/>
          <w:rtl/>
        </w:rPr>
        <w:t>التصديق ويكون مجازا ادعائيا.</w:t>
      </w:r>
    </w:p>
    <w:p w14:paraId="152BD693" w14:textId="77777777" w:rsidR="00DF1803" w:rsidRPr="00FD211F" w:rsidRDefault="00DF1803" w:rsidP="00DD3C08">
      <w:pPr>
        <w:ind w:left="0" w:firstLine="227"/>
        <w:jc w:val="both"/>
        <w:rPr>
          <w:sz w:val="36"/>
          <w:szCs w:val="36"/>
          <w:rtl/>
        </w:rPr>
      </w:pPr>
      <w:bookmarkStart w:id="296" w:name="درس025دقيقه27"/>
      <w:bookmarkEnd w:id="296"/>
      <w:r w:rsidRPr="00FD211F">
        <w:rPr>
          <w:sz w:val="36"/>
          <w:szCs w:val="36"/>
          <w:rtl/>
        </w:rPr>
        <w:t>2- ما اختاره جمل</w:t>
      </w:r>
      <w:r w:rsidR="00EC7EDF" w:rsidRPr="00FD211F">
        <w:rPr>
          <w:sz w:val="36"/>
          <w:szCs w:val="36"/>
          <w:rtl/>
        </w:rPr>
        <w:t xml:space="preserve">ة </w:t>
      </w:r>
      <w:r w:rsidRPr="00FD211F">
        <w:rPr>
          <w:sz w:val="36"/>
          <w:szCs w:val="36"/>
          <w:rtl/>
        </w:rPr>
        <w:t xml:space="preserve">من الأعلام </w:t>
      </w:r>
      <w:r w:rsidR="005C384B" w:rsidRPr="00FD211F">
        <w:rPr>
          <w:sz w:val="36"/>
          <w:szCs w:val="36"/>
          <w:rtl/>
        </w:rPr>
        <w:t>-</w:t>
      </w:r>
      <w:r w:rsidRPr="00FD211F">
        <w:rPr>
          <w:sz w:val="36"/>
          <w:szCs w:val="36"/>
          <w:rtl/>
        </w:rPr>
        <w:t xml:space="preserve">كالسيد البروجردي والمحقق الشيخ محمد رضا الاصفهاني والسيد الخوئي والسيد الامام </w:t>
      </w:r>
      <w:r w:rsidR="005C384B" w:rsidRPr="00FD211F">
        <w:rPr>
          <w:sz w:val="36"/>
          <w:szCs w:val="36"/>
          <w:rtl/>
        </w:rPr>
        <w:t>"</w:t>
      </w:r>
      <w:r w:rsidRPr="00FD211F">
        <w:rPr>
          <w:sz w:val="36"/>
          <w:szCs w:val="36"/>
          <w:rtl/>
        </w:rPr>
        <w:t>قدهم</w:t>
      </w:r>
      <w:r w:rsidR="005C384B" w:rsidRPr="00FD211F">
        <w:rPr>
          <w:sz w:val="36"/>
          <w:szCs w:val="36"/>
          <w:rtl/>
        </w:rPr>
        <w:t>"</w:t>
      </w:r>
      <w:r w:rsidR="00DD3C08" w:rsidRPr="00FD211F">
        <w:rPr>
          <w:sz w:val="36"/>
          <w:szCs w:val="36"/>
          <w:rtl/>
        </w:rPr>
        <w:t xml:space="preserve"> </w:t>
      </w:r>
      <w:r w:rsidR="005C384B" w:rsidRPr="00FD211F">
        <w:rPr>
          <w:sz w:val="36"/>
          <w:szCs w:val="36"/>
          <w:rtl/>
        </w:rPr>
        <w:t>وبعض الساد</w:t>
      </w:r>
      <w:r w:rsidR="00EC7EDF" w:rsidRPr="00FD211F">
        <w:rPr>
          <w:sz w:val="36"/>
          <w:szCs w:val="36"/>
          <w:rtl/>
        </w:rPr>
        <w:t xml:space="preserve">ة </w:t>
      </w:r>
      <w:r w:rsidR="005C384B" w:rsidRPr="00FD211F">
        <w:rPr>
          <w:sz w:val="36"/>
          <w:szCs w:val="36"/>
          <w:rtl/>
        </w:rPr>
        <w:t>الاعلام</w:t>
      </w:r>
      <w:r w:rsidR="007A4A0D" w:rsidRPr="00FD211F">
        <w:rPr>
          <w:sz w:val="36"/>
          <w:szCs w:val="36"/>
          <w:rtl/>
        </w:rPr>
        <w:t xml:space="preserve"> </w:t>
      </w:r>
      <w:r w:rsidR="00DD3C08" w:rsidRPr="00FD211F">
        <w:rPr>
          <w:sz w:val="36"/>
          <w:szCs w:val="36"/>
          <w:rtl/>
        </w:rPr>
        <w:t>"</w:t>
      </w:r>
      <w:r w:rsidR="007A4A0D" w:rsidRPr="00FD211F">
        <w:rPr>
          <w:sz w:val="36"/>
          <w:szCs w:val="36"/>
          <w:rtl/>
        </w:rPr>
        <w:t>دام‌ظله</w:t>
      </w:r>
      <w:r w:rsidR="00DD3C08" w:rsidRPr="00FD211F">
        <w:rPr>
          <w:sz w:val="36"/>
          <w:szCs w:val="36"/>
          <w:rtl/>
        </w:rPr>
        <w:t>"</w:t>
      </w:r>
      <w:r w:rsidR="005C384B" w:rsidRPr="00FD211F">
        <w:rPr>
          <w:sz w:val="36"/>
          <w:szCs w:val="36"/>
          <w:rtl/>
        </w:rPr>
        <w:t>-</w:t>
      </w:r>
      <w:r w:rsidRPr="00FD211F">
        <w:rPr>
          <w:sz w:val="36"/>
          <w:szCs w:val="36"/>
          <w:rtl/>
        </w:rPr>
        <w:t xml:space="preserve"> من ان الاستعمال المجازي يكون من قبيل المجاز الادعائي دائما</w:t>
      </w:r>
      <w:r w:rsidR="009C58C8" w:rsidRPr="00FD211F">
        <w:rPr>
          <w:rStyle w:val="a6"/>
          <w:sz w:val="36"/>
          <w:szCs w:val="36"/>
          <w:rtl/>
        </w:rPr>
        <w:t>(</w:t>
      </w:r>
      <w:r w:rsidR="009C58C8" w:rsidRPr="00FD211F">
        <w:rPr>
          <w:rStyle w:val="a6"/>
          <w:sz w:val="36"/>
          <w:szCs w:val="36"/>
          <w:rtl/>
        </w:rPr>
        <w:footnoteReference w:id="280"/>
      </w:r>
      <w:r w:rsidR="009C58C8" w:rsidRPr="00FD211F">
        <w:rPr>
          <w:rStyle w:val="a6"/>
          <w:sz w:val="36"/>
          <w:szCs w:val="36"/>
          <w:rtl/>
        </w:rPr>
        <w:t>)</w:t>
      </w:r>
      <w:r w:rsidRPr="00FD211F">
        <w:rPr>
          <w:sz w:val="36"/>
          <w:szCs w:val="36"/>
          <w:rtl/>
        </w:rPr>
        <w:t>.</w:t>
      </w:r>
    </w:p>
    <w:p w14:paraId="4DD374C2" w14:textId="77777777" w:rsidR="00DF1803" w:rsidRPr="00FD211F" w:rsidRDefault="00DF1803" w:rsidP="00290E2C">
      <w:pPr>
        <w:ind w:left="0" w:firstLine="227"/>
        <w:jc w:val="both"/>
        <w:rPr>
          <w:sz w:val="36"/>
          <w:szCs w:val="36"/>
          <w:rtl/>
        </w:rPr>
      </w:pPr>
      <w:r w:rsidRPr="00FD211F">
        <w:rPr>
          <w:sz w:val="36"/>
          <w:szCs w:val="36"/>
          <w:rtl/>
        </w:rPr>
        <w:t>ولكنه غير ظاهر في جميع موارد الاستعمالات المجازي</w:t>
      </w:r>
      <w:r w:rsidR="00EC7EDF" w:rsidRPr="00FD211F">
        <w:rPr>
          <w:sz w:val="36"/>
          <w:szCs w:val="36"/>
          <w:rtl/>
        </w:rPr>
        <w:t>ة</w:t>
      </w:r>
      <w:r w:rsidR="00603323" w:rsidRPr="00FD211F">
        <w:rPr>
          <w:sz w:val="36"/>
          <w:szCs w:val="36"/>
          <w:rtl/>
        </w:rPr>
        <w:t xml:space="preserve">، </w:t>
      </w:r>
      <w:r w:rsidRPr="00FD211F">
        <w:rPr>
          <w:sz w:val="36"/>
          <w:szCs w:val="36"/>
          <w:rtl/>
        </w:rPr>
        <w:t>فاستعمال لفظ الرقب</w:t>
      </w:r>
      <w:r w:rsidR="00EC7EDF" w:rsidRPr="00FD211F">
        <w:rPr>
          <w:sz w:val="36"/>
          <w:szCs w:val="36"/>
          <w:rtl/>
        </w:rPr>
        <w:t xml:space="preserve">ة </w:t>
      </w:r>
      <w:r w:rsidRPr="00FD211F">
        <w:rPr>
          <w:sz w:val="36"/>
          <w:szCs w:val="36"/>
          <w:rtl/>
        </w:rPr>
        <w:t>مثلا في الانسان ليس باعتبار أنه عنق ادعاءا</w:t>
      </w:r>
      <w:r w:rsidR="00603323" w:rsidRPr="00FD211F">
        <w:rPr>
          <w:sz w:val="36"/>
          <w:szCs w:val="36"/>
          <w:rtl/>
        </w:rPr>
        <w:t xml:space="preserve">، </w:t>
      </w:r>
      <w:r w:rsidRPr="00FD211F">
        <w:rPr>
          <w:sz w:val="36"/>
          <w:szCs w:val="36"/>
          <w:rtl/>
        </w:rPr>
        <w:t>وما يرى من عدم صح</w:t>
      </w:r>
      <w:r w:rsidR="00EC7EDF" w:rsidRPr="00FD211F">
        <w:rPr>
          <w:sz w:val="36"/>
          <w:szCs w:val="36"/>
          <w:rtl/>
        </w:rPr>
        <w:t xml:space="preserve">ة </w:t>
      </w:r>
      <w:r w:rsidRPr="00FD211F">
        <w:rPr>
          <w:sz w:val="36"/>
          <w:szCs w:val="36"/>
          <w:rtl/>
        </w:rPr>
        <w:t>استعمال ا</w:t>
      </w:r>
      <w:r w:rsidR="008331A9" w:rsidRPr="00FD211F">
        <w:rPr>
          <w:sz w:val="36"/>
          <w:szCs w:val="36"/>
          <w:rtl/>
        </w:rPr>
        <w:t>لرقب</w:t>
      </w:r>
      <w:r w:rsidR="00EC7EDF" w:rsidRPr="00FD211F">
        <w:rPr>
          <w:sz w:val="36"/>
          <w:szCs w:val="36"/>
          <w:rtl/>
        </w:rPr>
        <w:t xml:space="preserve">ة </w:t>
      </w:r>
      <w:r w:rsidR="008331A9" w:rsidRPr="00FD211F">
        <w:rPr>
          <w:sz w:val="36"/>
          <w:szCs w:val="36"/>
          <w:rtl/>
        </w:rPr>
        <w:t>في غير مقام العتق والفكّ</w:t>
      </w:r>
      <w:r w:rsidR="00603323" w:rsidRPr="00FD211F">
        <w:rPr>
          <w:sz w:val="36"/>
          <w:szCs w:val="36"/>
          <w:rtl/>
        </w:rPr>
        <w:t xml:space="preserve">، </w:t>
      </w:r>
      <w:r w:rsidR="008331A9" w:rsidRPr="00FD211F">
        <w:rPr>
          <w:sz w:val="36"/>
          <w:szCs w:val="36"/>
          <w:rtl/>
        </w:rPr>
        <w:t xml:space="preserve">حيث </w:t>
      </w:r>
      <w:r w:rsidRPr="00FD211F">
        <w:rPr>
          <w:sz w:val="36"/>
          <w:szCs w:val="36"/>
          <w:rtl/>
        </w:rPr>
        <w:t>لايقال</w:t>
      </w:r>
      <w:r w:rsidR="00290E2C" w:rsidRPr="00FD211F">
        <w:rPr>
          <w:sz w:val="36"/>
          <w:szCs w:val="36"/>
          <w:rtl/>
        </w:rPr>
        <w:t xml:space="preserve"> </w:t>
      </w:r>
      <w:r w:rsidR="005C384B" w:rsidRPr="00FD211F">
        <w:rPr>
          <w:sz w:val="36"/>
          <w:szCs w:val="36"/>
          <w:rtl/>
        </w:rPr>
        <w:t>"</w:t>
      </w:r>
      <w:r w:rsidRPr="00FD211F">
        <w:rPr>
          <w:sz w:val="36"/>
          <w:szCs w:val="36"/>
          <w:rtl/>
        </w:rPr>
        <w:t>جاء رقب</w:t>
      </w:r>
      <w:r w:rsidR="00EC7EDF" w:rsidRPr="00FD211F">
        <w:rPr>
          <w:sz w:val="36"/>
          <w:szCs w:val="36"/>
          <w:rtl/>
        </w:rPr>
        <w:t>ة</w:t>
      </w:r>
      <w:r w:rsidR="005C384B" w:rsidRPr="00FD211F">
        <w:rPr>
          <w:sz w:val="36"/>
          <w:szCs w:val="36"/>
          <w:rtl/>
        </w:rPr>
        <w:t>"</w:t>
      </w:r>
      <w:r w:rsidRPr="00FD211F">
        <w:rPr>
          <w:sz w:val="36"/>
          <w:szCs w:val="36"/>
          <w:rtl/>
        </w:rPr>
        <w:t xml:space="preserve"> وانما يقال</w:t>
      </w:r>
      <w:r w:rsidR="00290E2C" w:rsidRPr="00FD211F">
        <w:rPr>
          <w:sz w:val="36"/>
          <w:szCs w:val="36"/>
          <w:rtl/>
        </w:rPr>
        <w:t xml:space="preserve"> </w:t>
      </w:r>
      <w:r w:rsidR="005C384B" w:rsidRPr="00FD211F">
        <w:rPr>
          <w:sz w:val="36"/>
          <w:szCs w:val="36"/>
          <w:rtl/>
        </w:rPr>
        <w:t>"</w:t>
      </w:r>
      <w:r w:rsidRPr="00FD211F">
        <w:rPr>
          <w:sz w:val="36"/>
          <w:szCs w:val="36"/>
          <w:rtl/>
        </w:rPr>
        <w:t>عتق رقب</w:t>
      </w:r>
      <w:r w:rsidR="00EC7EDF" w:rsidRPr="00FD211F">
        <w:rPr>
          <w:sz w:val="36"/>
          <w:szCs w:val="36"/>
          <w:rtl/>
        </w:rPr>
        <w:t>ة</w:t>
      </w:r>
      <w:r w:rsidR="005C384B" w:rsidRPr="00FD211F">
        <w:rPr>
          <w:sz w:val="36"/>
          <w:szCs w:val="36"/>
          <w:rtl/>
        </w:rPr>
        <w:t>"</w:t>
      </w:r>
      <w:r w:rsidRPr="00FD211F">
        <w:rPr>
          <w:sz w:val="36"/>
          <w:szCs w:val="36"/>
          <w:rtl/>
        </w:rPr>
        <w:t xml:space="preserve"> او يقال</w:t>
      </w:r>
      <w:r w:rsidR="00290E2C" w:rsidRPr="00FD211F">
        <w:rPr>
          <w:sz w:val="36"/>
          <w:szCs w:val="36"/>
          <w:rtl/>
        </w:rPr>
        <w:t xml:space="preserve"> </w:t>
      </w:r>
      <w:r w:rsidR="005C384B" w:rsidRPr="00FD211F">
        <w:rPr>
          <w:sz w:val="36"/>
          <w:szCs w:val="36"/>
          <w:rtl/>
        </w:rPr>
        <w:t>"</w:t>
      </w:r>
      <w:r w:rsidRPr="00FD211F">
        <w:rPr>
          <w:sz w:val="36"/>
          <w:szCs w:val="36"/>
          <w:rtl/>
        </w:rPr>
        <w:t>اللهم فكّ رقبتي</w:t>
      </w:r>
      <w:r w:rsidR="005C384B" w:rsidRPr="00FD211F">
        <w:rPr>
          <w:sz w:val="36"/>
          <w:szCs w:val="36"/>
          <w:rtl/>
        </w:rPr>
        <w:t>"</w:t>
      </w:r>
      <w:r w:rsidRPr="00FD211F">
        <w:rPr>
          <w:sz w:val="36"/>
          <w:szCs w:val="36"/>
          <w:rtl/>
        </w:rPr>
        <w:t xml:space="preserve"> فانما هو لأجل عدم أي</w:t>
      </w:r>
      <w:r w:rsidR="00EC7EDF" w:rsidRPr="00FD211F">
        <w:rPr>
          <w:sz w:val="36"/>
          <w:szCs w:val="36"/>
          <w:rtl/>
        </w:rPr>
        <w:t xml:space="preserve">ة </w:t>
      </w:r>
      <w:r w:rsidRPr="00FD211F">
        <w:rPr>
          <w:sz w:val="36"/>
          <w:szCs w:val="36"/>
          <w:rtl/>
        </w:rPr>
        <w:t>مناسب</w:t>
      </w:r>
      <w:r w:rsidR="00EC7EDF" w:rsidRPr="00FD211F">
        <w:rPr>
          <w:sz w:val="36"/>
          <w:szCs w:val="36"/>
          <w:rtl/>
        </w:rPr>
        <w:t xml:space="preserve">ة </w:t>
      </w:r>
      <w:r w:rsidRPr="00FD211F">
        <w:rPr>
          <w:sz w:val="36"/>
          <w:szCs w:val="36"/>
          <w:rtl/>
        </w:rPr>
        <w:t>تقتضي حسن استعمال هذا اللفظ في معنى الانسان مجازا في غير مورد العتق والفكّ فلايقتضي كون استعمال الرقب</w:t>
      </w:r>
      <w:r w:rsidR="00EC7EDF" w:rsidRPr="00FD211F">
        <w:rPr>
          <w:sz w:val="36"/>
          <w:szCs w:val="36"/>
          <w:rtl/>
        </w:rPr>
        <w:t xml:space="preserve">ة </w:t>
      </w:r>
      <w:r w:rsidRPr="00FD211F">
        <w:rPr>
          <w:sz w:val="36"/>
          <w:szCs w:val="36"/>
          <w:rtl/>
        </w:rPr>
        <w:t>في مورد العتق والفكّ من باب المجاز الادعا</w:t>
      </w:r>
      <w:r w:rsidR="006C7B2F" w:rsidRPr="00FD211F">
        <w:rPr>
          <w:sz w:val="36"/>
          <w:szCs w:val="36"/>
          <w:rtl/>
        </w:rPr>
        <w:t>ئي</w:t>
      </w:r>
      <w:r w:rsidR="00603323" w:rsidRPr="00FD211F">
        <w:rPr>
          <w:sz w:val="36"/>
          <w:szCs w:val="36"/>
          <w:rtl/>
        </w:rPr>
        <w:t xml:space="preserve">، </w:t>
      </w:r>
      <w:r w:rsidR="006C7B2F" w:rsidRPr="00FD211F">
        <w:rPr>
          <w:sz w:val="36"/>
          <w:szCs w:val="36"/>
          <w:rtl/>
        </w:rPr>
        <w:t>ويشهد عليه انه لايصح ان ي</w:t>
      </w:r>
      <w:r w:rsidRPr="00FD211F">
        <w:rPr>
          <w:sz w:val="36"/>
          <w:szCs w:val="36"/>
          <w:rtl/>
        </w:rPr>
        <w:t>بدل</w:t>
      </w:r>
      <w:r w:rsidR="006C7B2F" w:rsidRPr="00FD211F">
        <w:rPr>
          <w:sz w:val="36"/>
          <w:szCs w:val="36"/>
          <w:rtl/>
        </w:rPr>
        <w:t xml:space="preserve"> قولنا "</w:t>
      </w:r>
      <w:r w:rsidRPr="00FD211F">
        <w:rPr>
          <w:sz w:val="36"/>
          <w:szCs w:val="36"/>
          <w:rtl/>
        </w:rPr>
        <w:t xml:space="preserve"> عتق الرقب</w:t>
      </w:r>
      <w:r w:rsidR="00EC7EDF" w:rsidRPr="00FD211F">
        <w:rPr>
          <w:sz w:val="36"/>
          <w:szCs w:val="36"/>
          <w:rtl/>
        </w:rPr>
        <w:t xml:space="preserve">ة </w:t>
      </w:r>
      <w:r w:rsidRPr="00FD211F">
        <w:rPr>
          <w:sz w:val="36"/>
          <w:szCs w:val="36"/>
          <w:rtl/>
        </w:rPr>
        <w:t>المؤمن</w:t>
      </w:r>
      <w:r w:rsidR="00EC7EDF" w:rsidRPr="00FD211F">
        <w:rPr>
          <w:sz w:val="36"/>
          <w:szCs w:val="36"/>
          <w:rtl/>
        </w:rPr>
        <w:t xml:space="preserve">ة </w:t>
      </w:r>
      <w:r w:rsidR="006C7B2F" w:rsidRPr="00FD211F">
        <w:rPr>
          <w:sz w:val="36"/>
          <w:szCs w:val="36"/>
          <w:rtl/>
        </w:rPr>
        <w:t>"بجملة "</w:t>
      </w:r>
      <w:r w:rsidRPr="00FD211F">
        <w:rPr>
          <w:sz w:val="36"/>
          <w:szCs w:val="36"/>
          <w:rtl/>
        </w:rPr>
        <w:t>عتق العنق المؤمن</w:t>
      </w:r>
      <w:r w:rsidR="006C7B2F" w:rsidRPr="00FD211F">
        <w:rPr>
          <w:sz w:val="36"/>
          <w:szCs w:val="36"/>
          <w:rtl/>
        </w:rPr>
        <w:t>"</w:t>
      </w:r>
      <w:r w:rsidRPr="00FD211F">
        <w:rPr>
          <w:sz w:val="36"/>
          <w:szCs w:val="36"/>
          <w:rtl/>
        </w:rPr>
        <w:t>.</w:t>
      </w:r>
    </w:p>
    <w:p w14:paraId="44330886" w14:textId="77777777" w:rsidR="00DF1803" w:rsidRPr="00FD211F" w:rsidRDefault="00DF1803" w:rsidP="009C58C8">
      <w:pPr>
        <w:ind w:left="0" w:firstLine="227"/>
        <w:jc w:val="both"/>
        <w:rPr>
          <w:sz w:val="36"/>
          <w:szCs w:val="36"/>
          <w:rtl/>
        </w:rPr>
      </w:pPr>
      <w:r w:rsidRPr="00FD211F">
        <w:rPr>
          <w:b/>
          <w:bCs/>
          <w:sz w:val="36"/>
          <w:szCs w:val="36"/>
          <w:rtl/>
        </w:rPr>
        <w:t>الجه</w:t>
      </w:r>
      <w:r w:rsidR="00EC7EDF" w:rsidRPr="00FD211F">
        <w:rPr>
          <w:b/>
          <w:bCs/>
          <w:sz w:val="36"/>
          <w:szCs w:val="36"/>
          <w:rtl/>
        </w:rPr>
        <w:t xml:space="preserve">ة </w:t>
      </w: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sz w:val="36"/>
          <w:szCs w:val="36"/>
          <w:rtl/>
        </w:rPr>
        <w:t xml:space="preserve"> ان المجاز الادعائي وان كان بحاج</w:t>
      </w:r>
      <w:r w:rsidR="00EC7EDF" w:rsidRPr="00FD211F">
        <w:rPr>
          <w:sz w:val="36"/>
          <w:szCs w:val="36"/>
          <w:rtl/>
        </w:rPr>
        <w:t xml:space="preserve">ة </w:t>
      </w:r>
      <w:r w:rsidRPr="00FD211F">
        <w:rPr>
          <w:sz w:val="36"/>
          <w:szCs w:val="36"/>
          <w:rtl/>
        </w:rPr>
        <w:t>الى مصحح الادعاء عرفا فلايقال لأبخر الفم انه أسد بملاحظ</w:t>
      </w:r>
      <w:r w:rsidR="00EC7EDF" w:rsidRPr="00FD211F">
        <w:rPr>
          <w:sz w:val="36"/>
          <w:szCs w:val="36"/>
          <w:rtl/>
        </w:rPr>
        <w:t xml:space="preserve">ة </w:t>
      </w:r>
      <w:r w:rsidRPr="00FD211F">
        <w:rPr>
          <w:sz w:val="36"/>
          <w:szCs w:val="36"/>
          <w:rtl/>
        </w:rPr>
        <w:t>ان الاسد أبخر الفم</w:t>
      </w:r>
      <w:r w:rsidR="00603323" w:rsidRPr="00FD211F">
        <w:rPr>
          <w:sz w:val="36"/>
          <w:szCs w:val="36"/>
          <w:rtl/>
        </w:rPr>
        <w:t xml:space="preserve">، </w:t>
      </w:r>
      <w:r w:rsidRPr="00FD211F">
        <w:rPr>
          <w:sz w:val="36"/>
          <w:szCs w:val="36"/>
          <w:rtl/>
        </w:rPr>
        <w:t>ولكنه خارج عن محل الخلاف بين المشهور وصاحب الكفاي</w:t>
      </w:r>
      <w:r w:rsidR="00EC7EDF" w:rsidRPr="00FD211F">
        <w:rPr>
          <w:sz w:val="36"/>
          <w:szCs w:val="36"/>
          <w:rtl/>
        </w:rPr>
        <w:t>ة</w:t>
      </w:r>
      <w:r w:rsidR="00603323" w:rsidRPr="00FD211F">
        <w:rPr>
          <w:sz w:val="36"/>
          <w:szCs w:val="36"/>
          <w:rtl/>
        </w:rPr>
        <w:t xml:space="preserve">، </w:t>
      </w:r>
      <w:r w:rsidRPr="00FD211F">
        <w:rPr>
          <w:sz w:val="36"/>
          <w:szCs w:val="36"/>
          <w:rtl/>
        </w:rPr>
        <w:t>حيث أنه ليس استعمالا في المعنى الذي</w:t>
      </w:r>
      <w:r w:rsidR="008D7B3D" w:rsidRPr="00FD211F">
        <w:rPr>
          <w:sz w:val="36"/>
          <w:szCs w:val="36"/>
          <w:rtl/>
        </w:rPr>
        <w:t xml:space="preserve"> لم‌</w:t>
      </w:r>
      <w:r w:rsidRPr="00FD211F">
        <w:rPr>
          <w:sz w:val="36"/>
          <w:szCs w:val="36"/>
          <w:rtl/>
        </w:rPr>
        <w:t>يوضع له اللفظ حتى يأتي فيه قول المشهور من لزوم إذن الواضع</w:t>
      </w:r>
      <w:r w:rsidR="00603323" w:rsidRPr="00FD211F">
        <w:rPr>
          <w:sz w:val="36"/>
          <w:szCs w:val="36"/>
          <w:rtl/>
        </w:rPr>
        <w:t xml:space="preserve">، </w:t>
      </w:r>
      <w:r w:rsidRPr="00FD211F">
        <w:rPr>
          <w:sz w:val="36"/>
          <w:szCs w:val="36"/>
          <w:rtl/>
        </w:rPr>
        <w:t>وأما الاستعمال المجازي في غير المعنى الموضوع له بناء على تحققه –ولو في الجمل</w:t>
      </w:r>
      <w:r w:rsidR="00EC7EDF" w:rsidRPr="00FD211F">
        <w:rPr>
          <w:sz w:val="36"/>
          <w:szCs w:val="36"/>
          <w:rtl/>
        </w:rPr>
        <w:t xml:space="preserve">ة </w:t>
      </w:r>
      <w:r w:rsidRPr="00FD211F">
        <w:rPr>
          <w:sz w:val="36"/>
          <w:szCs w:val="36"/>
          <w:rtl/>
        </w:rPr>
        <w:t>كما هو المختار- فيقع فيه الكلام في أنه هل يكفي في هذا الاستعمال المجازي استحسان الطبع له او يحتاج الى اذن الواضع</w:t>
      </w:r>
      <w:r w:rsidR="00603323" w:rsidRPr="00FD211F">
        <w:rPr>
          <w:sz w:val="36"/>
          <w:szCs w:val="36"/>
          <w:rtl/>
        </w:rPr>
        <w:t xml:space="preserve">، </w:t>
      </w:r>
      <w:r w:rsidRPr="00FD211F">
        <w:rPr>
          <w:sz w:val="36"/>
          <w:szCs w:val="36"/>
          <w:rtl/>
        </w:rPr>
        <w:t>والظاهر انه يكفي فيه استحسان الطبع</w:t>
      </w:r>
      <w:r w:rsidR="00603323" w:rsidRPr="00FD211F">
        <w:rPr>
          <w:sz w:val="36"/>
          <w:szCs w:val="36"/>
          <w:rtl/>
        </w:rPr>
        <w:t xml:space="preserve">، </w:t>
      </w:r>
      <w:r w:rsidRPr="00FD211F">
        <w:rPr>
          <w:sz w:val="36"/>
          <w:szCs w:val="36"/>
          <w:rtl/>
        </w:rPr>
        <w:t>كما هو مسلك صاحب الكفاي</w:t>
      </w:r>
      <w:r w:rsidR="00EC7EDF" w:rsidRPr="00FD211F">
        <w:rPr>
          <w:sz w:val="36"/>
          <w:szCs w:val="36"/>
          <w:rtl/>
        </w:rPr>
        <w:t xml:space="preserve">ة </w:t>
      </w:r>
      <w:r w:rsidR="00F452FE" w:rsidRPr="00FD211F">
        <w:rPr>
          <w:sz w:val="36"/>
          <w:szCs w:val="36"/>
          <w:rtl/>
        </w:rPr>
        <w:t>"</w:t>
      </w:r>
      <w:r w:rsidRPr="00FD211F">
        <w:rPr>
          <w:sz w:val="36"/>
          <w:szCs w:val="36"/>
          <w:rtl/>
        </w:rPr>
        <w:t>قده</w:t>
      </w:r>
      <w:r w:rsidR="00F452FE" w:rsidRPr="00FD211F">
        <w:rPr>
          <w:sz w:val="36"/>
          <w:szCs w:val="36"/>
          <w:rtl/>
        </w:rPr>
        <w:t>"</w:t>
      </w:r>
      <w:r w:rsidRPr="00FD211F">
        <w:rPr>
          <w:sz w:val="36"/>
          <w:szCs w:val="36"/>
          <w:rtl/>
        </w:rPr>
        <w:t>.</w:t>
      </w:r>
    </w:p>
    <w:p w14:paraId="74DAD28B" w14:textId="77777777" w:rsidR="00DF1803" w:rsidRPr="00FD211F" w:rsidRDefault="00DF1803" w:rsidP="009C58C8">
      <w:pPr>
        <w:ind w:left="0" w:firstLine="227"/>
        <w:jc w:val="both"/>
        <w:rPr>
          <w:sz w:val="36"/>
          <w:szCs w:val="36"/>
          <w:rtl/>
        </w:rPr>
      </w:pPr>
      <w:r w:rsidRPr="00FD211F">
        <w:rPr>
          <w:sz w:val="36"/>
          <w:szCs w:val="36"/>
          <w:rtl/>
        </w:rPr>
        <w:t>وقد است</w:t>
      </w:r>
      <w:r w:rsidR="008331A9" w:rsidRPr="00FD211F">
        <w:rPr>
          <w:sz w:val="36"/>
          <w:szCs w:val="36"/>
          <w:rtl/>
        </w:rPr>
        <w:t>دل في البحوث على ذلك بان منشأ</w:t>
      </w:r>
      <w:r w:rsidR="00290E2C" w:rsidRPr="00FD211F">
        <w:rPr>
          <w:sz w:val="36"/>
          <w:szCs w:val="36"/>
          <w:rtl/>
        </w:rPr>
        <w:t xml:space="preserve"> </w:t>
      </w:r>
      <w:r w:rsidR="008331A9" w:rsidRPr="00FD211F">
        <w:rPr>
          <w:sz w:val="36"/>
          <w:szCs w:val="36"/>
          <w:rtl/>
        </w:rPr>
        <w:t>دعوى احتياج</w:t>
      </w:r>
      <w:r w:rsidR="00B253CE" w:rsidRPr="00FD211F">
        <w:rPr>
          <w:sz w:val="36"/>
          <w:szCs w:val="36"/>
          <w:rtl/>
        </w:rPr>
        <w:t xml:space="preserve"> </w:t>
      </w:r>
      <w:r w:rsidRPr="00FD211F">
        <w:rPr>
          <w:sz w:val="36"/>
          <w:szCs w:val="36"/>
          <w:rtl/>
        </w:rPr>
        <w:t>الاستعمال المجازي الى وضع الواضع كل لفظ بالو</w:t>
      </w:r>
      <w:r w:rsidR="008331A9" w:rsidRPr="00FD211F">
        <w:rPr>
          <w:sz w:val="36"/>
          <w:szCs w:val="36"/>
          <w:rtl/>
        </w:rPr>
        <w:t>ضع النوعي في المعنى الذي يكون بينه وبين المعنى الحقيقي</w:t>
      </w:r>
      <w:r w:rsidR="00B253CE" w:rsidRPr="00FD211F">
        <w:rPr>
          <w:sz w:val="36"/>
          <w:szCs w:val="36"/>
          <w:rtl/>
        </w:rPr>
        <w:t xml:space="preserve"> </w:t>
      </w:r>
      <w:r w:rsidR="008331A9" w:rsidRPr="00FD211F">
        <w:rPr>
          <w:sz w:val="36"/>
          <w:szCs w:val="36"/>
          <w:rtl/>
        </w:rPr>
        <w:t>علاق</w:t>
      </w:r>
      <w:r w:rsidR="00EC7EDF" w:rsidRPr="00FD211F">
        <w:rPr>
          <w:sz w:val="36"/>
          <w:szCs w:val="36"/>
          <w:rtl/>
        </w:rPr>
        <w:t xml:space="preserve">ة </w:t>
      </w:r>
      <w:r w:rsidR="008331A9" w:rsidRPr="00FD211F">
        <w:rPr>
          <w:sz w:val="36"/>
          <w:szCs w:val="36"/>
          <w:rtl/>
        </w:rPr>
        <w:t>معين</w:t>
      </w:r>
      <w:r w:rsidR="00EC7EDF" w:rsidRPr="00FD211F">
        <w:rPr>
          <w:sz w:val="36"/>
          <w:szCs w:val="36"/>
          <w:rtl/>
        </w:rPr>
        <w:t>ة</w:t>
      </w:r>
      <w:r w:rsidR="00603323" w:rsidRPr="00FD211F">
        <w:rPr>
          <w:sz w:val="36"/>
          <w:szCs w:val="36"/>
          <w:rtl/>
        </w:rPr>
        <w:t xml:space="preserve">، </w:t>
      </w:r>
      <w:r w:rsidR="008331A9" w:rsidRPr="00FD211F">
        <w:rPr>
          <w:sz w:val="36"/>
          <w:szCs w:val="36"/>
          <w:rtl/>
        </w:rPr>
        <w:t>إما ان ي</w:t>
      </w:r>
      <w:r w:rsidRPr="00FD211F">
        <w:rPr>
          <w:sz w:val="36"/>
          <w:szCs w:val="36"/>
          <w:rtl/>
        </w:rPr>
        <w:t xml:space="preserve">كون </w:t>
      </w:r>
      <w:r w:rsidR="008331A9" w:rsidRPr="00FD211F">
        <w:rPr>
          <w:sz w:val="36"/>
          <w:szCs w:val="36"/>
          <w:rtl/>
        </w:rPr>
        <w:t>هو</w:t>
      </w:r>
      <w:r w:rsidR="00290E2C" w:rsidRPr="00FD211F">
        <w:rPr>
          <w:sz w:val="36"/>
          <w:szCs w:val="36"/>
          <w:rtl/>
        </w:rPr>
        <w:t xml:space="preserve"> </w:t>
      </w:r>
      <w:r w:rsidR="00F75BE9" w:rsidRPr="00FD211F">
        <w:rPr>
          <w:sz w:val="36"/>
          <w:szCs w:val="36"/>
          <w:rtl/>
        </w:rPr>
        <w:t>امكان</w:t>
      </w:r>
      <w:r w:rsidRPr="00FD211F">
        <w:rPr>
          <w:sz w:val="36"/>
          <w:szCs w:val="36"/>
          <w:rtl/>
        </w:rPr>
        <w:t xml:space="preserve"> تفسير صلاحي</w:t>
      </w:r>
      <w:r w:rsidR="00EC7EDF" w:rsidRPr="00FD211F">
        <w:rPr>
          <w:sz w:val="36"/>
          <w:szCs w:val="36"/>
          <w:rtl/>
        </w:rPr>
        <w:t xml:space="preserve">ة </w:t>
      </w:r>
      <w:r w:rsidRPr="00FD211F">
        <w:rPr>
          <w:sz w:val="36"/>
          <w:szCs w:val="36"/>
          <w:rtl/>
        </w:rPr>
        <w:t>دلال</w:t>
      </w:r>
      <w:r w:rsidR="00EC7EDF" w:rsidRPr="00FD211F">
        <w:rPr>
          <w:sz w:val="36"/>
          <w:szCs w:val="36"/>
          <w:rtl/>
        </w:rPr>
        <w:t xml:space="preserve">ة </w:t>
      </w:r>
      <w:r w:rsidRPr="00FD211F">
        <w:rPr>
          <w:sz w:val="36"/>
          <w:szCs w:val="36"/>
          <w:rtl/>
        </w:rPr>
        <w:t>اللفظ على المعنى ال</w:t>
      </w:r>
      <w:r w:rsidR="00F75BE9" w:rsidRPr="00FD211F">
        <w:rPr>
          <w:sz w:val="36"/>
          <w:szCs w:val="36"/>
          <w:rtl/>
        </w:rPr>
        <w:t>مجازي مع عدم وضعه له</w:t>
      </w:r>
      <w:r w:rsidR="00603323" w:rsidRPr="00FD211F">
        <w:rPr>
          <w:sz w:val="36"/>
          <w:szCs w:val="36"/>
          <w:rtl/>
        </w:rPr>
        <w:t xml:space="preserve">، </w:t>
      </w:r>
      <w:bookmarkStart w:id="297" w:name="اوتصحیح"/>
      <w:bookmarkEnd w:id="297"/>
      <w:r w:rsidR="00F75BE9" w:rsidRPr="00FD211F">
        <w:rPr>
          <w:sz w:val="36"/>
          <w:szCs w:val="36"/>
          <w:rtl/>
        </w:rPr>
        <w:t>او</w:t>
      </w:r>
      <w:r w:rsidRPr="00FD211F">
        <w:rPr>
          <w:sz w:val="36"/>
          <w:szCs w:val="36"/>
          <w:rtl/>
        </w:rPr>
        <w:t xml:space="preserve"> تصحيح الاستعمال المجازي بعد الفراغ عن مرحل</w:t>
      </w:r>
      <w:r w:rsidR="00EC7EDF" w:rsidRPr="00FD211F">
        <w:rPr>
          <w:sz w:val="36"/>
          <w:szCs w:val="36"/>
          <w:rtl/>
        </w:rPr>
        <w:t xml:space="preserve">ة </w:t>
      </w:r>
      <w:r w:rsidRPr="00FD211F">
        <w:rPr>
          <w:sz w:val="36"/>
          <w:szCs w:val="36"/>
          <w:rtl/>
        </w:rPr>
        <w:t>صلاحي</w:t>
      </w:r>
      <w:r w:rsidR="00EC7EDF" w:rsidRPr="00FD211F">
        <w:rPr>
          <w:sz w:val="36"/>
          <w:szCs w:val="36"/>
          <w:rtl/>
        </w:rPr>
        <w:t xml:space="preserve">ة </w:t>
      </w:r>
      <w:r w:rsidRPr="00FD211F">
        <w:rPr>
          <w:sz w:val="36"/>
          <w:szCs w:val="36"/>
          <w:rtl/>
        </w:rPr>
        <w:t>اللفظ للدلال</w:t>
      </w:r>
      <w:r w:rsidR="00EC7EDF" w:rsidRPr="00FD211F">
        <w:rPr>
          <w:sz w:val="36"/>
          <w:szCs w:val="36"/>
          <w:rtl/>
        </w:rPr>
        <w:t xml:space="preserve">ة </w:t>
      </w:r>
      <w:r w:rsidRPr="00FD211F">
        <w:rPr>
          <w:sz w:val="36"/>
          <w:szCs w:val="36"/>
          <w:rtl/>
        </w:rPr>
        <w:t>على المعنى المجازي</w:t>
      </w:r>
      <w:r w:rsidR="00603323" w:rsidRPr="00FD211F">
        <w:rPr>
          <w:sz w:val="36"/>
          <w:szCs w:val="36"/>
          <w:rtl/>
        </w:rPr>
        <w:t xml:space="preserve">، </w:t>
      </w:r>
      <w:r w:rsidR="00F75BE9" w:rsidRPr="00FD211F">
        <w:rPr>
          <w:sz w:val="36"/>
          <w:szCs w:val="36"/>
          <w:rtl/>
        </w:rPr>
        <w:t xml:space="preserve">ثم ذكر أن </w:t>
      </w:r>
      <w:r w:rsidRPr="00FD211F">
        <w:rPr>
          <w:sz w:val="36"/>
          <w:szCs w:val="36"/>
          <w:rtl/>
        </w:rPr>
        <w:t>الصحيح عدم الحاج</w:t>
      </w:r>
      <w:r w:rsidR="00EC7EDF" w:rsidRPr="00FD211F">
        <w:rPr>
          <w:sz w:val="36"/>
          <w:szCs w:val="36"/>
          <w:rtl/>
        </w:rPr>
        <w:t xml:space="preserve">ة </w:t>
      </w:r>
      <w:r w:rsidR="00F75BE9" w:rsidRPr="00FD211F">
        <w:rPr>
          <w:sz w:val="36"/>
          <w:szCs w:val="36"/>
          <w:rtl/>
        </w:rPr>
        <w:t>الى وضع الواضع في أي منهما</w:t>
      </w:r>
      <w:r w:rsidRPr="00FD211F">
        <w:rPr>
          <w:sz w:val="36"/>
          <w:szCs w:val="36"/>
          <w:rtl/>
        </w:rPr>
        <w:t>.</w:t>
      </w:r>
    </w:p>
    <w:p w14:paraId="09CC24D9" w14:textId="77777777" w:rsidR="000C5BBA" w:rsidRPr="00FD211F" w:rsidRDefault="00F75BE9" w:rsidP="009C58C8">
      <w:pPr>
        <w:ind w:left="0" w:firstLine="227"/>
        <w:jc w:val="both"/>
        <w:rPr>
          <w:sz w:val="36"/>
          <w:szCs w:val="36"/>
          <w:rtl/>
        </w:rPr>
      </w:pPr>
      <w:r w:rsidRPr="00FD211F">
        <w:rPr>
          <w:b/>
          <w:bCs/>
          <w:sz w:val="36"/>
          <w:szCs w:val="36"/>
          <w:rtl/>
        </w:rPr>
        <w:t>أما</w:t>
      </w:r>
      <w:r w:rsidR="00DD3C08" w:rsidRPr="00FD211F">
        <w:rPr>
          <w:b/>
          <w:bCs/>
          <w:sz w:val="36"/>
          <w:szCs w:val="36"/>
          <w:rtl/>
        </w:rPr>
        <w:t xml:space="preserve"> </w:t>
      </w:r>
      <w:r w:rsidR="00DF1803" w:rsidRPr="00FD211F">
        <w:rPr>
          <w:b/>
          <w:bCs/>
          <w:sz w:val="36"/>
          <w:szCs w:val="36"/>
          <w:rtl/>
        </w:rPr>
        <w:t>الأول</w:t>
      </w:r>
      <w:r w:rsidRPr="00FD211F">
        <w:rPr>
          <w:sz w:val="36"/>
          <w:szCs w:val="36"/>
          <w:rtl/>
        </w:rPr>
        <w:t>-</w:t>
      </w:r>
      <w:r w:rsidR="00DF1803" w:rsidRPr="00FD211F">
        <w:rPr>
          <w:sz w:val="36"/>
          <w:szCs w:val="36"/>
          <w:rtl/>
        </w:rPr>
        <w:t xml:space="preserve"> وهو تفسير صلاحي</w:t>
      </w:r>
      <w:r w:rsidR="00EC7EDF" w:rsidRPr="00FD211F">
        <w:rPr>
          <w:sz w:val="36"/>
          <w:szCs w:val="36"/>
          <w:rtl/>
        </w:rPr>
        <w:t xml:space="preserve">ة </w:t>
      </w:r>
      <w:r w:rsidRPr="00FD211F">
        <w:rPr>
          <w:sz w:val="36"/>
          <w:szCs w:val="36"/>
          <w:rtl/>
        </w:rPr>
        <w:t>دلال</w:t>
      </w:r>
      <w:r w:rsidR="00EC7EDF" w:rsidRPr="00FD211F">
        <w:rPr>
          <w:sz w:val="36"/>
          <w:szCs w:val="36"/>
          <w:rtl/>
        </w:rPr>
        <w:t xml:space="preserve">ة </w:t>
      </w:r>
      <w:r w:rsidRPr="00FD211F">
        <w:rPr>
          <w:sz w:val="36"/>
          <w:szCs w:val="36"/>
          <w:rtl/>
        </w:rPr>
        <w:t xml:space="preserve">اللفظ على المعنى المجازي- </w:t>
      </w:r>
      <w:r w:rsidR="00DF1803" w:rsidRPr="00FD211F">
        <w:rPr>
          <w:sz w:val="36"/>
          <w:szCs w:val="36"/>
          <w:rtl/>
        </w:rPr>
        <w:t>فيمكن ان يكون ذلك بطريق آخر غير و</w:t>
      </w:r>
      <w:r w:rsidRPr="00FD211F">
        <w:rPr>
          <w:sz w:val="36"/>
          <w:szCs w:val="36"/>
          <w:rtl/>
        </w:rPr>
        <w:t>ضع اللفظ نوعا على معناه المجازي.</w:t>
      </w:r>
    </w:p>
    <w:p w14:paraId="77AE402B" w14:textId="77777777" w:rsidR="00DF1803" w:rsidRPr="00FD211F" w:rsidRDefault="00DF1803" w:rsidP="009C58C8">
      <w:pPr>
        <w:ind w:left="0" w:firstLine="227"/>
        <w:jc w:val="both"/>
        <w:rPr>
          <w:sz w:val="36"/>
          <w:szCs w:val="36"/>
          <w:rtl/>
        </w:rPr>
      </w:pPr>
      <w:r w:rsidRPr="00FD211F">
        <w:rPr>
          <w:sz w:val="36"/>
          <w:szCs w:val="36"/>
          <w:rtl/>
        </w:rPr>
        <w:t>توضيحه</w:t>
      </w:r>
      <w:r w:rsidR="00EC7EDF" w:rsidRPr="00FD211F">
        <w:rPr>
          <w:sz w:val="36"/>
          <w:szCs w:val="36"/>
          <w:rtl/>
        </w:rPr>
        <w:t>:</w:t>
      </w:r>
      <w:r w:rsidRPr="00FD211F">
        <w:rPr>
          <w:sz w:val="36"/>
          <w:szCs w:val="36"/>
          <w:rtl/>
        </w:rPr>
        <w:t>انه حينما يواجه الانسان سؤالا وهو انه من اين نشأت دلال</w:t>
      </w:r>
      <w:r w:rsidR="00EC7EDF" w:rsidRPr="00FD211F">
        <w:rPr>
          <w:sz w:val="36"/>
          <w:szCs w:val="36"/>
          <w:rtl/>
        </w:rPr>
        <w:t xml:space="preserve">ة </w:t>
      </w:r>
      <w:r w:rsidRPr="00FD211F">
        <w:rPr>
          <w:sz w:val="36"/>
          <w:szCs w:val="36"/>
          <w:rtl/>
        </w:rPr>
        <w:t>اللفظ على المعنى المجازي مع عدم وضعه له؟</w:t>
      </w:r>
      <w:r w:rsidR="00603323" w:rsidRPr="00FD211F">
        <w:rPr>
          <w:sz w:val="36"/>
          <w:szCs w:val="36"/>
          <w:rtl/>
        </w:rPr>
        <w:t xml:space="preserve">، </w:t>
      </w:r>
      <w:r w:rsidRPr="00FD211F">
        <w:rPr>
          <w:sz w:val="36"/>
          <w:szCs w:val="36"/>
          <w:rtl/>
        </w:rPr>
        <w:t>فقد يجاب عنه بان هذه الدلال</w:t>
      </w:r>
      <w:r w:rsidR="00EC7EDF" w:rsidRPr="00FD211F">
        <w:rPr>
          <w:sz w:val="36"/>
          <w:szCs w:val="36"/>
          <w:rtl/>
        </w:rPr>
        <w:t xml:space="preserve">ة </w:t>
      </w:r>
      <w:r w:rsidRPr="00FD211F">
        <w:rPr>
          <w:sz w:val="36"/>
          <w:szCs w:val="36"/>
          <w:rtl/>
        </w:rPr>
        <w:t>نشأت من القرين</w:t>
      </w:r>
      <w:r w:rsidR="00EC7EDF" w:rsidRPr="00FD211F">
        <w:rPr>
          <w:sz w:val="36"/>
          <w:szCs w:val="36"/>
          <w:rtl/>
        </w:rPr>
        <w:t xml:space="preserve">ة </w:t>
      </w:r>
      <w:r w:rsidRPr="00FD211F">
        <w:rPr>
          <w:sz w:val="36"/>
          <w:szCs w:val="36"/>
          <w:rtl/>
        </w:rPr>
        <w:t>على المجاز</w:t>
      </w:r>
      <w:r w:rsidR="00603323" w:rsidRPr="00FD211F">
        <w:rPr>
          <w:sz w:val="36"/>
          <w:szCs w:val="36"/>
          <w:rtl/>
        </w:rPr>
        <w:t xml:space="preserve">، </w:t>
      </w:r>
      <w:r w:rsidRPr="00FD211F">
        <w:rPr>
          <w:sz w:val="36"/>
          <w:szCs w:val="36"/>
          <w:rtl/>
        </w:rPr>
        <w:t>ولكن هذا الجواب غير تامّ</w:t>
      </w:r>
      <w:r w:rsidR="00603323" w:rsidRPr="00FD211F">
        <w:rPr>
          <w:sz w:val="36"/>
          <w:szCs w:val="36"/>
          <w:rtl/>
        </w:rPr>
        <w:t xml:space="preserve">، </w:t>
      </w:r>
      <w:r w:rsidRPr="00FD211F">
        <w:rPr>
          <w:sz w:val="36"/>
          <w:szCs w:val="36"/>
          <w:rtl/>
        </w:rPr>
        <w:t xml:space="preserve">حيث أنه </w:t>
      </w:r>
      <w:r w:rsidRPr="00FD211F">
        <w:rPr>
          <w:b/>
          <w:bCs/>
          <w:sz w:val="36"/>
          <w:szCs w:val="36"/>
          <w:rtl/>
        </w:rPr>
        <w:t>اولا</w:t>
      </w:r>
      <w:r w:rsidRPr="00FD211F">
        <w:rPr>
          <w:sz w:val="36"/>
          <w:szCs w:val="36"/>
          <w:rtl/>
        </w:rPr>
        <w:t>: يكون اللفظ بحد ذاته واجدا لصلاحي</w:t>
      </w:r>
      <w:r w:rsidR="00EC7EDF" w:rsidRPr="00FD211F">
        <w:rPr>
          <w:sz w:val="36"/>
          <w:szCs w:val="36"/>
          <w:rtl/>
        </w:rPr>
        <w:t xml:space="preserve">ة </w:t>
      </w:r>
      <w:r w:rsidRPr="00FD211F">
        <w:rPr>
          <w:sz w:val="36"/>
          <w:szCs w:val="36"/>
          <w:rtl/>
        </w:rPr>
        <w:t>اخطار المعنى المجازي وان كان بدرج</w:t>
      </w:r>
      <w:r w:rsidR="00EC7EDF" w:rsidRPr="00FD211F">
        <w:rPr>
          <w:sz w:val="36"/>
          <w:szCs w:val="36"/>
          <w:rtl/>
        </w:rPr>
        <w:t xml:space="preserve">ة </w:t>
      </w:r>
      <w:r w:rsidRPr="00FD211F">
        <w:rPr>
          <w:sz w:val="36"/>
          <w:szCs w:val="36"/>
          <w:rtl/>
        </w:rPr>
        <w:t>أضعف من اقتضاءه لإخطار المعنى الحقيقي ولولا ذلك لما صح استعمال اللفظ في المعنى المجازي بلاقرين</w:t>
      </w:r>
      <w:r w:rsidR="00EC7EDF" w:rsidRPr="00FD211F">
        <w:rPr>
          <w:sz w:val="36"/>
          <w:szCs w:val="36"/>
          <w:rtl/>
        </w:rPr>
        <w:t>ة</w:t>
      </w:r>
      <w:r w:rsidR="00A61BAE" w:rsidRPr="00FD211F">
        <w:rPr>
          <w:sz w:val="36"/>
          <w:szCs w:val="36"/>
          <w:rtl/>
        </w:rPr>
        <w:t>.</w:t>
      </w:r>
    </w:p>
    <w:p w14:paraId="72E09952" w14:textId="77777777" w:rsidR="00DF1803" w:rsidRPr="00FD211F" w:rsidRDefault="00DF1803" w:rsidP="00DD3C08">
      <w:pPr>
        <w:ind w:left="0" w:firstLine="227"/>
        <w:jc w:val="both"/>
        <w:rPr>
          <w:sz w:val="36"/>
          <w:szCs w:val="36"/>
          <w:rtl/>
        </w:rPr>
      </w:pPr>
      <w:r w:rsidRPr="00FD211F">
        <w:rPr>
          <w:b/>
          <w:bCs/>
          <w:sz w:val="36"/>
          <w:szCs w:val="36"/>
          <w:rtl/>
        </w:rPr>
        <w:t>وثانيا</w:t>
      </w:r>
      <w:r w:rsidRPr="00FD211F">
        <w:rPr>
          <w:sz w:val="36"/>
          <w:szCs w:val="36"/>
          <w:rtl/>
        </w:rPr>
        <w:t>: ان القرين</w:t>
      </w:r>
      <w:r w:rsidR="00EC7EDF" w:rsidRPr="00FD211F">
        <w:rPr>
          <w:sz w:val="36"/>
          <w:szCs w:val="36"/>
          <w:rtl/>
        </w:rPr>
        <w:t xml:space="preserve">ة </w:t>
      </w:r>
      <w:r w:rsidRPr="00FD211F">
        <w:rPr>
          <w:sz w:val="36"/>
          <w:szCs w:val="36"/>
          <w:rtl/>
        </w:rPr>
        <w:t>غالبا لاتصلح لإخطار المعنى المجازي وانما تصلح لصرف الذهن عن المعنى الحقيقي</w:t>
      </w:r>
      <w:r w:rsidR="00603323" w:rsidRPr="00FD211F">
        <w:rPr>
          <w:sz w:val="36"/>
          <w:szCs w:val="36"/>
          <w:rtl/>
        </w:rPr>
        <w:t xml:space="preserve">، </w:t>
      </w:r>
      <w:r w:rsidRPr="00FD211F">
        <w:rPr>
          <w:sz w:val="36"/>
          <w:szCs w:val="36"/>
          <w:rtl/>
        </w:rPr>
        <w:t>ففي قولنا</w:t>
      </w:r>
      <w:r w:rsidR="00DD3C08" w:rsidRPr="00FD211F">
        <w:rPr>
          <w:sz w:val="36"/>
          <w:szCs w:val="36"/>
          <w:rtl/>
        </w:rPr>
        <w:t xml:space="preserve"> </w:t>
      </w:r>
      <w:r w:rsidR="00F75BE9" w:rsidRPr="00FD211F">
        <w:rPr>
          <w:sz w:val="36"/>
          <w:szCs w:val="36"/>
          <w:rtl/>
        </w:rPr>
        <w:t>"</w:t>
      </w:r>
      <w:r w:rsidRPr="00FD211F">
        <w:rPr>
          <w:sz w:val="36"/>
          <w:szCs w:val="36"/>
          <w:rtl/>
        </w:rPr>
        <w:t>رأيت أسدا يرمي</w:t>
      </w:r>
      <w:r w:rsidR="00F75BE9" w:rsidRPr="00FD211F">
        <w:rPr>
          <w:sz w:val="36"/>
          <w:szCs w:val="36"/>
          <w:rtl/>
        </w:rPr>
        <w:t>"</w:t>
      </w:r>
      <w:r w:rsidRPr="00FD211F">
        <w:rPr>
          <w:sz w:val="36"/>
          <w:szCs w:val="36"/>
          <w:rtl/>
        </w:rPr>
        <w:t xml:space="preserve"> ليس في كلم</w:t>
      </w:r>
      <w:r w:rsidR="00EC7EDF" w:rsidRPr="00FD211F">
        <w:rPr>
          <w:sz w:val="36"/>
          <w:szCs w:val="36"/>
          <w:rtl/>
        </w:rPr>
        <w:t xml:space="preserve">ة </w:t>
      </w:r>
      <w:r w:rsidR="00F75BE9" w:rsidRPr="00FD211F">
        <w:rPr>
          <w:sz w:val="36"/>
          <w:szCs w:val="36"/>
          <w:rtl/>
        </w:rPr>
        <w:t>"</w:t>
      </w:r>
      <w:r w:rsidRPr="00FD211F">
        <w:rPr>
          <w:sz w:val="36"/>
          <w:szCs w:val="36"/>
          <w:rtl/>
        </w:rPr>
        <w:t>يرمي</w:t>
      </w:r>
      <w:r w:rsidR="00F75BE9" w:rsidRPr="00FD211F">
        <w:rPr>
          <w:sz w:val="36"/>
          <w:szCs w:val="36"/>
          <w:rtl/>
        </w:rPr>
        <w:t>"</w:t>
      </w:r>
      <w:r w:rsidR="00DD3C08" w:rsidRPr="00FD211F">
        <w:rPr>
          <w:sz w:val="36"/>
          <w:szCs w:val="36"/>
          <w:rtl/>
        </w:rPr>
        <w:t xml:space="preserve"> </w:t>
      </w:r>
      <w:r w:rsidRPr="00FD211F">
        <w:rPr>
          <w:sz w:val="36"/>
          <w:szCs w:val="36"/>
          <w:rtl/>
        </w:rPr>
        <w:t>أي</w:t>
      </w:r>
      <w:r w:rsidR="00EC7EDF" w:rsidRPr="00FD211F">
        <w:rPr>
          <w:sz w:val="36"/>
          <w:szCs w:val="36"/>
          <w:rtl/>
        </w:rPr>
        <w:t xml:space="preserve">ة </w:t>
      </w:r>
      <w:r w:rsidRPr="00FD211F">
        <w:rPr>
          <w:sz w:val="36"/>
          <w:szCs w:val="36"/>
          <w:rtl/>
        </w:rPr>
        <w:t>دلال</w:t>
      </w:r>
      <w:r w:rsidR="00EC7EDF" w:rsidRPr="00FD211F">
        <w:rPr>
          <w:sz w:val="36"/>
          <w:szCs w:val="36"/>
          <w:rtl/>
        </w:rPr>
        <w:t xml:space="preserve">ة </w:t>
      </w:r>
      <w:r w:rsidRPr="00FD211F">
        <w:rPr>
          <w:sz w:val="36"/>
          <w:szCs w:val="36"/>
          <w:rtl/>
        </w:rPr>
        <w:t>على الرجل الشجاع</w:t>
      </w:r>
      <w:r w:rsidR="00603323" w:rsidRPr="00FD211F">
        <w:rPr>
          <w:sz w:val="36"/>
          <w:szCs w:val="36"/>
          <w:rtl/>
        </w:rPr>
        <w:t xml:space="preserve">، </w:t>
      </w:r>
      <w:r w:rsidRPr="00FD211F">
        <w:rPr>
          <w:sz w:val="36"/>
          <w:szCs w:val="36"/>
          <w:rtl/>
        </w:rPr>
        <w:t>بل فيها دلال</w:t>
      </w:r>
      <w:r w:rsidR="00EC7EDF" w:rsidRPr="00FD211F">
        <w:rPr>
          <w:sz w:val="36"/>
          <w:szCs w:val="36"/>
          <w:rtl/>
        </w:rPr>
        <w:t xml:space="preserve">ة </w:t>
      </w:r>
      <w:r w:rsidRPr="00FD211F">
        <w:rPr>
          <w:sz w:val="36"/>
          <w:szCs w:val="36"/>
          <w:rtl/>
        </w:rPr>
        <w:t>على كون المرئي انسانا</w:t>
      </w:r>
      <w:r w:rsidR="00603323" w:rsidRPr="00FD211F">
        <w:rPr>
          <w:sz w:val="36"/>
          <w:szCs w:val="36"/>
          <w:rtl/>
        </w:rPr>
        <w:t xml:space="preserve">، </w:t>
      </w:r>
      <w:r w:rsidRPr="00FD211F">
        <w:rPr>
          <w:sz w:val="36"/>
          <w:szCs w:val="36"/>
          <w:rtl/>
        </w:rPr>
        <w:t>وأما كونه رجلا شجاعا فهو بدلال</w:t>
      </w:r>
      <w:r w:rsidR="00EC7EDF" w:rsidRPr="00FD211F">
        <w:rPr>
          <w:sz w:val="36"/>
          <w:szCs w:val="36"/>
          <w:rtl/>
        </w:rPr>
        <w:t xml:space="preserve">ة </w:t>
      </w:r>
      <w:r w:rsidRPr="00FD211F">
        <w:rPr>
          <w:sz w:val="36"/>
          <w:szCs w:val="36"/>
          <w:rtl/>
        </w:rPr>
        <w:t>نفس لفظ الاسد.</w:t>
      </w:r>
    </w:p>
    <w:p w14:paraId="2D66C79D" w14:textId="77777777" w:rsidR="00DF1803" w:rsidRPr="00FD211F" w:rsidRDefault="00DF1803" w:rsidP="009C58C8">
      <w:pPr>
        <w:ind w:left="0" w:firstLine="227"/>
        <w:jc w:val="both"/>
        <w:rPr>
          <w:sz w:val="36"/>
          <w:szCs w:val="36"/>
          <w:rtl/>
        </w:rPr>
      </w:pPr>
      <w:r w:rsidRPr="00FD211F">
        <w:rPr>
          <w:sz w:val="36"/>
          <w:szCs w:val="36"/>
          <w:rtl/>
        </w:rPr>
        <w:t>وقد يجاب عن هذا السؤال بجواب آخر وهو ان يقال بان صلاحي</w:t>
      </w:r>
      <w:r w:rsidR="00EC7EDF" w:rsidRPr="00FD211F">
        <w:rPr>
          <w:sz w:val="36"/>
          <w:szCs w:val="36"/>
          <w:rtl/>
        </w:rPr>
        <w:t xml:space="preserve">ة </w:t>
      </w:r>
      <w:r w:rsidRPr="00FD211F">
        <w:rPr>
          <w:sz w:val="36"/>
          <w:szCs w:val="36"/>
          <w:rtl/>
        </w:rPr>
        <w:t>دلال</w:t>
      </w:r>
      <w:r w:rsidR="00EC7EDF" w:rsidRPr="00FD211F">
        <w:rPr>
          <w:sz w:val="36"/>
          <w:szCs w:val="36"/>
          <w:rtl/>
        </w:rPr>
        <w:t xml:space="preserve">ة </w:t>
      </w:r>
      <w:r w:rsidRPr="00FD211F">
        <w:rPr>
          <w:sz w:val="36"/>
          <w:szCs w:val="36"/>
          <w:rtl/>
        </w:rPr>
        <w:t>اللفظ على المعنى المجازي تكون ناشئ</w:t>
      </w:r>
      <w:r w:rsidR="00EC7EDF" w:rsidRPr="00FD211F">
        <w:rPr>
          <w:sz w:val="36"/>
          <w:szCs w:val="36"/>
          <w:rtl/>
        </w:rPr>
        <w:t xml:space="preserve">ة </w:t>
      </w:r>
      <w:r w:rsidRPr="00FD211F">
        <w:rPr>
          <w:sz w:val="36"/>
          <w:szCs w:val="36"/>
          <w:rtl/>
        </w:rPr>
        <w:t>من وضع آخر نوعي للّفظ غير وضعه على معناه الحقيقي.</w:t>
      </w:r>
    </w:p>
    <w:p w14:paraId="5B04B05E" w14:textId="77777777" w:rsidR="00DF1803" w:rsidRPr="00FD211F" w:rsidRDefault="00DF1803" w:rsidP="009C58C8">
      <w:pPr>
        <w:ind w:left="0" w:firstLine="227"/>
        <w:jc w:val="both"/>
        <w:rPr>
          <w:sz w:val="36"/>
          <w:szCs w:val="36"/>
          <w:rtl/>
        </w:rPr>
      </w:pPr>
      <w:r w:rsidRPr="00FD211F">
        <w:rPr>
          <w:sz w:val="36"/>
          <w:szCs w:val="36"/>
          <w:rtl/>
        </w:rPr>
        <w:t>وهذا الجواب غير متجّه أيضا</w:t>
      </w:r>
      <w:r w:rsidR="00603323" w:rsidRPr="00FD211F">
        <w:rPr>
          <w:sz w:val="36"/>
          <w:szCs w:val="36"/>
          <w:rtl/>
        </w:rPr>
        <w:t xml:space="preserve">، </w:t>
      </w:r>
      <w:r w:rsidRPr="00FD211F">
        <w:rPr>
          <w:sz w:val="36"/>
          <w:szCs w:val="36"/>
          <w:rtl/>
        </w:rPr>
        <w:t>والصحيح هو نشوء هذه الصلاحي</w:t>
      </w:r>
      <w:r w:rsidR="00EC7EDF" w:rsidRPr="00FD211F">
        <w:rPr>
          <w:sz w:val="36"/>
          <w:szCs w:val="36"/>
          <w:rtl/>
        </w:rPr>
        <w:t xml:space="preserve">ة </w:t>
      </w:r>
      <w:r w:rsidRPr="00FD211F">
        <w:rPr>
          <w:sz w:val="36"/>
          <w:szCs w:val="36"/>
          <w:rtl/>
        </w:rPr>
        <w:t>لدلال</w:t>
      </w:r>
      <w:r w:rsidR="00EC7EDF" w:rsidRPr="00FD211F">
        <w:rPr>
          <w:sz w:val="36"/>
          <w:szCs w:val="36"/>
          <w:rtl/>
        </w:rPr>
        <w:t xml:space="preserve">ة </w:t>
      </w:r>
      <w:r w:rsidRPr="00FD211F">
        <w:rPr>
          <w:sz w:val="36"/>
          <w:szCs w:val="36"/>
          <w:rtl/>
        </w:rPr>
        <w:t>اللفظ على معناه المجازي من نفس الوضع الأول للّفظ بإزاء معناه الحقيقي فان اللفظ يكتسب بسبب وضعه للمعنى الحقيقي صلاحي</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على كل معنى متناسب مع معناه الحقيقي</w:t>
      </w:r>
      <w:r w:rsidR="00603323" w:rsidRPr="00FD211F">
        <w:rPr>
          <w:sz w:val="36"/>
          <w:szCs w:val="36"/>
          <w:rtl/>
        </w:rPr>
        <w:t xml:space="preserve">، </w:t>
      </w:r>
      <w:r w:rsidRPr="00FD211F">
        <w:rPr>
          <w:sz w:val="36"/>
          <w:szCs w:val="36"/>
          <w:rtl/>
        </w:rPr>
        <w:t>الا ان هذه الصلاحي</w:t>
      </w:r>
      <w:r w:rsidR="00EC7EDF" w:rsidRPr="00FD211F">
        <w:rPr>
          <w:sz w:val="36"/>
          <w:szCs w:val="36"/>
          <w:rtl/>
        </w:rPr>
        <w:t xml:space="preserve">ة </w:t>
      </w:r>
      <w:r w:rsidRPr="00FD211F">
        <w:rPr>
          <w:sz w:val="36"/>
          <w:szCs w:val="36"/>
          <w:rtl/>
        </w:rPr>
        <w:t>تكون أضعف من صلاحي</w:t>
      </w:r>
      <w:r w:rsidR="00EC7EDF" w:rsidRPr="00FD211F">
        <w:rPr>
          <w:sz w:val="36"/>
          <w:szCs w:val="36"/>
          <w:rtl/>
        </w:rPr>
        <w:t xml:space="preserve">ة </w:t>
      </w:r>
      <w:r w:rsidRPr="00FD211F">
        <w:rPr>
          <w:sz w:val="36"/>
          <w:szCs w:val="36"/>
          <w:rtl/>
        </w:rPr>
        <w:t>اللفظ للدلال</w:t>
      </w:r>
      <w:r w:rsidR="00EC7EDF" w:rsidRPr="00FD211F">
        <w:rPr>
          <w:sz w:val="36"/>
          <w:szCs w:val="36"/>
          <w:rtl/>
        </w:rPr>
        <w:t xml:space="preserve">ة </w:t>
      </w:r>
      <w:r w:rsidRPr="00FD211F">
        <w:rPr>
          <w:sz w:val="36"/>
          <w:szCs w:val="36"/>
          <w:rtl/>
        </w:rPr>
        <w:t>على معناه الحقيقي</w:t>
      </w:r>
      <w:r w:rsidR="00603323" w:rsidRPr="00FD211F">
        <w:rPr>
          <w:sz w:val="36"/>
          <w:szCs w:val="36"/>
          <w:rtl/>
        </w:rPr>
        <w:t xml:space="preserve">، </w:t>
      </w:r>
      <w:r w:rsidRPr="00FD211F">
        <w:rPr>
          <w:sz w:val="36"/>
          <w:szCs w:val="36"/>
          <w:rtl/>
        </w:rPr>
        <w:t>لأن صلاحي</w:t>
      </w:r>
      <w:r w:rsidR="00EC7EDF" w:rsidRPr="00FD211F">
        <w:rPr>
          <w:sz w:val="36"/>
          <w:szCs w:val="36"/>
          <w:rtl/>
        </w:rPr>
        <w:t xml:space="preserve">ة </w:t>
      </w:r>
      <w:r w:rsidRPr="00FD211F">
        <w:rPr>
          <w:sz w:val="36"/>
          <w:szCs w:val="36"/>
          <w:rtl/>
        </w:rPr>
        <w:t>دلالته على المعنى المجازي تكون نتيج</w:t>
      </w:r>
      <w:r w:rsidR="00EC7EDF" w:rsidRPr="00FD211F">
        <w:rPr>
          <w:sz w:val="36"/>
          <w:szCs w:val="36"/>
          <w:rtl/>
        </w:rPr>
        <w:t xml:space="preserve">ة </w:t>
      </w:r>
      <w:r w:rsidRPr="00FD211F">
        <w:rPr>
          <w:sz w:val="36"/>
          <w:szCs w:val="36"/>
          <w:rtl/>
        </w:rPr>
        <w:t>مجموع أمرين</w:t>
      </w:r>
      <w:r w:rsidR="00856647" w:rsidRPr="00FD211F">
        <w:rPr>
          <w:sz w:val="36"/>
          <w:szCs w:val="36"/>
          <w:rtl/>
        </w:rPr>
        <w:t>:</w:t>
      </w:r>
      <w:r w:rsidR="003F396C" w:rsidRPr="00FD211F">
        <w:rPr>
          <w:sz w:val="36"/>
          <w:szCs w:val="36"/>
        </w:rPr>
        <w:t xml:space="preserve"> </w:t>
      </w:r>
      <w:r w:rsidRPr="00FD211F">
        <w:rPr>
          <w:sz w:val="36"/>
          <w:szCs w:val="36"/>
          <w:rtl/>
        </w:rPr>
        <w:t xml:space="preserve">احدهما اقتران اللفظ </w:t>
      </w:r>
      <w:r w:rsidR="004C7EB6" w:rsidRPr="00FD211F">
        <w:rPr>
          <w:sz w:val="36"/>
          <w:szCs w:val="36"/>
          <w:rtl/>
        </w:rPr>
        <w:t xml:space="preserve">بنحو أكيد </w:t>
      </w:r>
      <w:r w:rsidRPr="00FD211F">
        <w:rPr>
          <w:sz w:val="36"/>
          <w:szCs w:val="36"/>
          <w:rtl/>
        </w:rPr>
        <w:t>بمعناه الحقيقي</w:t>
      </w:r>
      <w:r w:rsidR="00603323" w:rsidRPr="00FD211F">
        <w:rPr>
          <w:sz w:val="36"/>
          <w:szCs w:val="36"/>
          <w:rtl/>
        </w:rPr>
        <w:t xml:space="preserve">، </w:t>
      </w:r>
      <w:r w:rsidRPr="00FD211F">
        <w:rPr>
          <w:sz w:val="36"/>
          <w:szCs w:val="36"/>
          <w:rtl/>
        </w:rPr>
        <w:t>وثانيهما اقتران المعنى الحقيقي بالمعنى المجازي والتناسب الموجود بينهما</w:t>
      </w:r>
      <w:r w:rsidR="00603323" w:rsidRPr="00FD211F">
        <w:rPr>
          <w:sz w:val="36"/>
          <w:szCs w:val="36"/>
          <w:rtl/>
        </w:rPr>
        <w:t xml:space="preserve">، </w:t>
      </w:r>
      <w:r w:rsidRPr="00FD211F">
        <w:rPr>
          <w:sz w:val="36"/>
          <w:szCs w:val="36"/>
          <w:rtl/>
        </w:rPr>
        <w:t>واذا كان اللفظ مصحوبا بالقرين</w:t>
      </w:r>
      <w:r w:rsidR="00EC7EDF" w:rsidRPr="00FD211F">
        <w:rPr>
          <w:sz w:val="36"/>
          <w:szCs w:val="36"/>
          <w:rtl/>
        </w:rPr>
        <w:t xml:space="preserve">ة </w:t>
      </w:r>
      <w:r w:rsidRPr="00FD211F">
        <w:rPr>
          <w:sz w:val="36"/>
          <w:szCs w:val="36"/>
          <w:rtl/>
        </w:rPr>
        <w:t>الصارف</w:t>
      </w:r>
      <w:r w:rsidR="00EC7EDF" w:rsidRPr="00FD211F">
        <w:rPr>
          <w:sz w:val="36"/>
          <w:szCs w:val="36"/>
          <w:rtl/>
        </w:rPr>
        <w:t xml:space="preserve">ة </w:t>
      </w:r>
      <w:r w:rsidRPr="00FD211F">
        <w:rPr>
          <w:sz w:val="36"/>
          <w:szCs w:val="36"/>
          <w:rtl/>
        </w:rPr>
        <w:t>عن المعنى الحقيقي فيصبح دالا على المعنى المجازي فعلا</w:t>
      </w:r>
      <w:r w:rsidR="00603323" w:rsidRPr="00FD211F">
        <w:rPr>
          <w:sz w:val="36"/>
          <w:szCs w:val="36"/>
          <w:rtl/>
        </w:rPr>
        <w:t xml:space="preserve">، </w:t>
      </w:r>
      <w:r w:rsidRPr="00FD211F">
        <w:rPr>
          <w:sz w:val="36"/>
          <w:szCs w:val="36"/>
          <w:rtl/>
        </w:rPr>
        <w:t>وأما مع انتفاء القرين</w:t>
      </w:r>
      <w:r w:rsidR="00EC7EDF" w:rsidRPr="00FD211F">
        <w:rPr>
          <w:sz w:val="36"/>
          <w:szCs w:val="36"/>
          <w:rtl/>
        </w:rPr>
        <w:t xml:space="preserve">ة </w:t>
      </w:r>
      <w:r w:rsidRPr="00FD211F">
        <w:rPr>
          <w:sz w:val="36"/>
          <w:szCs w:val="36"/>
          <w:rtl/>
        </w:rPr>
        <w:t>فينعقد للّفظ دلال</w:t>
      </w:r>
      <w:r w:rsidR="00EC7EDF" w:rsidRPr="00FD211F">
        <w:rPr>
          <w:sz w:val="36"/>
          <w:szCs w:val="36"/>
          <w:rtl/>
        </w:rPr>
        <w:t xml:space="preserve">ة </w:t>
      </w:r>
      <w:r w:rsidRPr="00FD211F">
        <w:rPr>
          <w:sz w:val="36"/>
          <w:szCs w:val="36"/>
          <w:rtl/>
        </w:rPr>
        <w:t>فعلي</w:t>
      </w:r>
      <w:r w:rsidR="00EC7EDF" w:rsidRPr="00FD211F">
        <w:rPr>
          <w:sz w:val="36"/>
          <w:szCs w:val="36"/>
          <w:rtl/>
        </w:rPr>
        <w:t xml:space="preserve">ة </w:t>
      </w:r>
      <w:r w:rsidRPr="00FD211F">
        <w:rPr>
          <w:sz w:val="36"/>
          <w:szCs w:val="36"/>
          <w:rtl/>
        </w:rPr>
        <w:t>على معناه الحقيقي بلاحاج</w:t>
      </w:r>
      <w:r w:rsidR="00EC7EDF" w:rsidRPr="00FD211F">
        <w:rPr>
          <w:sz w:val="36"/>
          <w:szCs w:val="36"/>
          <w:rtl/>
        </w:rPr>
        <w:t xml:space="preserve">ة </w:t>
      </w:r>
      <w:r w:rsidRPr="00FD211F">
        <w:rPr>
          <w:sz w:val="36"/>
          <w:szCs w:val="36"/>
          <w:rtl/>
        </w:rPr>
        <w:t>الى قرين</w:t>
      </w:r>
      <w:r w:rsidR="00EC7EDF" w:rsidRPr="00FD211F">
        <w:rPr>
          <w:sz w:val="36"/>
          <w:szCs w:val="36"/>
          <w:rtl/>
        </w:rPr>
        <w:t xml:space="preserve">ة </w:t>
      </w:r>
      <w:r w:rsidRPr="00FD211F">
        <w:rPr>
          <w:sz w:val="36"/>
          <w:szCs w:val="36"/>
          <w:rtl/>
        </w:rPr>
        <w:t>تقتضي ذلك</w:t>
      </w:r>
      <w:r w:rsidR="00603323" w:rsidRPr="00FD211F">
        <w:rPr>
          <w:sz w:val="36"/>
          <w:szCs w:val="36"/>
          <w:rtl/>
        </w:rPr>
        <w:t xml:space="preserve">، </w:t>
      </w:r>
      <w:r w:rsidRPr="00FD211F">
        <w:rPr>
          <w:sz w:val="36"/>
          <w:szCs w:val="36"/>
          <w:rtl/>
        </w:rPr>
        <w:t>حيث أن دلالته عليه تكون ناشئ</w:t>
      </w:r>
      <w:r w:rsidR="00EC7EDF" w:rsidRPr="00FD211F">
        <w:rPr>
          <w:sz w:val="36"/>
          <w:szCs w:val="36"/>
          <w:rtl/>
        </w:rPr>
        <w:t xml:space="preserve">ة </w:t>
      </w:r>
      <w:r w:rsidRPr="00FD211F">
        <w:rPr>
          <w:sz w:val="36"/>
          <w:szCs w:val="36"/>
          <w:rtl/>
        </w:rPr>
        <w:t>من اقتران واحد وهو اقتران هذا اللفظ مع هذا المعنى الحقيقي بمقتضى الوضع.</w:t>
      </w:r>
    </w:p>
    <w:p w14:paraId="5DEEFA49" w14:textId="77777777" w:rsidR="00DF1803" w:rsidRPr="00FD211F" w:rsidRDefault="00DF1803" w:rsidP="009C58C8">
      <w:pPr>
        <w:ind w:left="0" w:firstLine="227"/>
        <w:jc w:val="both"/>
        <w:rPr>
          <w:sz w:val="36"/>
          <w:szCs w:val="36"/>
          <w:rtl/>
        </w:rPr>
      </w:pPr>
      <w:r w:rsidRPr="00FD211F">
        <w:rPr>
          <w:sz w:val="36"/>
          <w:szCs w:val="36"/>
          <w:rtl/>
        </w:rPr>
        <w:t>ولانقصد مما ذكرناه من استناد دلال</w:t>
      </w:r>
      <w:r w:rsidR="00EC7EDF" w:rsidRPr="00FD211F">
        <w:rPr>
          <w:sz w:val="36"/>
          <w:szCs w:val="36"/>
          <w:rtl/>
        </w:rPr>
        <w:t xml:space="preserve">ة </w:t>
      </w:r>
      <w:r w:rsidRPr="00FD211F">
        <w:rPr>
          <w:sz w:val="36"/>
          <w:szCs w:val="36"/>
          <w:rtl/>
        </w:rPr>
        <w:t>اللفظ على المعنى المجازي الى مجموع اقترانين وهو اقتران اللفظ بمعناه الحقيقي واقتران المعنى الحقيقي بالمعنى المجازي هو أنه يحتاج ذهن السامع ان ينتقل اولا من اللفظ الى المعنى الحقيقي ثم الى المعنى المجازي</w:t>
      </w:r>
      <w:r w:rsidR="00603323" w:rsidRPr="00FD211F">
        <w:rPr>
          <w:sz w:val="36"/>
          <w:szCs w:val="36"/>
          <w:rtl/>
        </w:rPr>
        <w:t xml:space="preserve">، </w:t>
      </w:r>
      <w:r w:rsidRPr="00FD211F">
        <w:rPr>
          <w:sz w:val="36"/>
          <w:szCs w:val="36"/>
          <w:rtl/>
        </w:rPr>
        <w:t>فان الاقتران بين اللفظ والمعنى الحقيقي أي كون سماعه سببا لانتقال الذهن الى هذا المعنى يكون حيثي</w:t>
      </w:r>
      <w:r w:rsidR="00EC7EDF" w:rsidRPr="00FD211F">
        <w:rPr>
          <w:sz w:val="36"/>
          <w:szCs w:val="36"/>
          <w:rtl/>
        </w:rPr>
        <w:t xml:space="preserve">ة </w:t>
      </w:r>
      <w:r w:rsidRPr="00FD211F">
        <w:rPr>
          <w:sz w:val="36"/>
          <w:szCs w:val="36"/>
          <w:rtl/>
        </w:rPr>
        <w:t>تعليلي</w:t>
      </w:r>
      <w:r w:rsidR="00EC7EDF" w:rsidRPr="00FD211F">
        <w:rPr>
          <w:sz w:val="36"/>
          <w:szCs w:val="36"/>
          <w:rtl/>
        </w:rPr>
        <w:t xml:space="preserve">ة </w:t>
      </w:r>
      <w:r w:rsidRPr="00FD211F">
        <w:rPr>
          <w:sz w:val="36"/>
          <w:szCs w:val="36"/>
          <w:rtl/>
        </w:rPr>
        <w:t>لكون هذا اللفظ سببا لانتقال الذهن الى المعنى المجازي بدرج</w:t>
      </w:r>
      <w:r w:rsidR="00EC7EDF" w:rsidRPr="00FD211F">
        <w:rPr>
          <w:sz w:val="36"/>
          <w:szCs w:val="36"/>
          <w:rtl/>
        </w:rPr>
        <w:t xml:space="preserve">ة </w:t>
      </w:r>
      <w:r w:rsidRPr="00FD211F">
        <w:rPr>
          <w:sz w:val="36"/>
          <w:szCs w:val="36"/>
          <w:rtl/>
        </w:rPr>
        <w:t>اضعف من سببيته للانتقال الى المعنى الحقيقي</w:t>
      </w:r>
      <w:r w:rsidR="00603323" w:rsidRPr="00FD211F">
        <w:rPr>
          <w:sz w:val="36"/>
          <w:szCs w:val="36"/>
          <w:rtl/>
        </w:rPr>
        <w:t xml:space="preserve">، </w:t>
      </w:r>
      <w:r w:rsidRPr="00FD211F">
        <w:rPr>
          <w:sz w:val="36"/>
          <w:szCs w:val="36"/>
          <w:rtl/>
        </w:rPr>
        <w:t>وليس حيثي</w:t>
      </w:r>
      <w:r w:rsidR="00EC7EDF" w:rsidRPr="00FD211F">
        <w:rPr>
          <w:sz w:val="36"/>
          <w:szCs w:val="36"/>
          <w:rtl/>
        </w:rPr>
        <w:t xml:space="preserve">ة </w:t>
      </w:r>
      <w:r w:rsidRPr="00FD211F">
        <w:rPr>
          <w:sz w:val="36"/>
          <w:szCs w:val="36"/>
          <w:rtl/>
        </w:rPr>
        <w:t>تقييدي</w:t>
      </w:r>
      <w:r w:rsidR="00EC7EDF" w:rsidRPr="00FD211F">
        <w:rPr>
          <w:sz w:val="36"/>
          <w:szCs w:val="36"/>
          <w:rtl/>
        </w:rPr>
        <w:t xml:space="preserve">ة </w:t>
      </w:r>
      <w:r w:rsidRPr="00FD211F">
        <w:rPr>
          <w:sz w:val="36"/>
          <w:szCs w:val="36"/>
          <w:rtl/>
        </w:rPr>
        <w:t>على نحو يكون انتقال ذهن السامع من سماع اللفظ الى المعنى المجازي في طول انتقال ذهنه الى المعنى الحقيقي.</w:t>
      </w:r>
    </w:p>
    <w:p w14:paraId="3404B131" w14:textId="77777777" w:rsidR="00DF1803" w:rsidRPr="00FD211F" w:rsidRDefault="00DF1803" w:rsidP="009C58C8">
      <w:pPr>
        <w:ind w:left="0" w:firstLine="227"/>
        <w:jc w:val="both"/>
        <w:rPr>
          <w:sz w:val="36"/>
          <w:szCs w:val="36"/>
          <w:rtl/>
        </w:rPr>
      </w:pPr>
      <w:r w:rsidRPr="00FD211F">
        <w:rPr>
          <w:sz w:val="36"/>
          <w:szCs w:val="36"/>
          <w:rtl/>
        </w:rPr>
        <w:t>أما من يفسّر نشوء صلاحي</w:t>
      </w:r>
      <w:r w:rsidR="00EC7EDF" w:rsidRPr="00FD211F">
        <w:rPr>
          <w:sz w:val="36"/>
          <w:szCs w:val="36"/>
          <w:rtl/>
        </w:rPr>
        <w:t xml:space="preserve">ة </w:t>
      </w:r>
      <w:r w:rsidRPr="00FD211F">
        <w:rPr>
          <w:sz w:val="36"/>
          <w:szCs w:val="36"/>
          <w:rtl/>
        </w:rPr>
        <w:t>دلال</w:t>
      </w:r>
      <w:r w:rsidR="00EC7EDF" w:rsidRPr="00FD211F">
        <w:rPr>
          <w:sz w:val="36"/>
          <w:szCs w:val="36"/>
          <w:rtl/>
        </w:rPr>
        <w:t xml:space="preserve">ة </w:t>
      </w:r>
      <w:r w:rsidRPr="00FD211F">
        <w:rPr>
          <w:sz w:val="36"/>
          <w:szCs w:val="36"/>
          <w:rtl/>
        </w:rPr>
        <w:t>اللفظ على المعنى المجازي على اساس وضع آخر نوعي للفظ على كل معنى يناسب معناه الحقيقي فيصعب عليه حينئذ تفسير نكت</w:t>
      </w:r>
      <w:r w:rsidR="00EC7EDF" w:rsidRPr="00FD211F">
        <w:rPr>
          <w:sz w:val="36"/>
          <w:szCs w:val="36"/>
          <w:rtl/>
        </w:rPr>
        <w:t xml:space="preserve">ة </w:t>
      </w:r>
      <w:r w:rsidRPr="00FD211F">
        <w:rPr>
          <w:sz w:val="36"/>
          <w:szCs w:val="36"/>
          <w:rtl/>
        </w:rPr>
        <w:t>ان دلال</w:t>
      </w:r>
      <w:r w:rsidR="00EC7EDF" w:rsidRPr="00FD211F">
        <w:rPr>
          <w:sz w:val="36"/>
          <w:szCs w:val="36"/>
          <w:rtl/>
        </w:rPr>
        <w:t xml:space="preserve">ة </w:t>
      </w:r>
      <w:r w:rsidRPr="00FD211F">
        <w:rPr>
          <w:sz w:val="36"/>
          <w:szCs w:val="36"/>
          <w:rtl/>
        </w:rPr>
        <w:t>اللفظ على المعنى الحقيقي لماذا صارت أقوى من دلالته على المعنى المجازي</w:t>
      </w:r>
      <w:r w:rsidR="00603323" w:rsidRPr="00FD211F">
        <w:rPr>
          <w:sz w:val="36"/>
          <w:szCs w:val="36"/>
          <w:rtl/>
        </w:rPr>
        <w:t xml:space="preserve">، </w:t>
      </w:r>
      <w:r w:rsidRPr="00FD211F">
        <w:rPr>
          <w:sz w:val="36"/>
          <w:szCs w:val="36"/>
          <w:rtl/>
        </w:rPr>
        <w:t xml:space="preserve">بحيث يكون حمله على الثاني في طول تعذّر </w:t>
      </w:r>
      <w:r w:rsidR="00F452FE" w:rsidRPr="00FD211F">
        <w:rPr>
          <w:sz w:val="36"/>
          <w:szCs w:val="36"/>
          <w:rtl/>
        </w:rPr>
        <w:t xml:space="preserve">حمله على </w:t>
      </w:r>
      <w:r w:rsidRPr="00FD211F">
        <w:rPr>
          <w:sz w:val="36"/>
          <w:szCs w:val="36"/>
          <w:rtl/>
        </w:rPr>
        <w:t>الأول.</w:t>
      </w:r>
    </w:p>
    <w:p w14:paraId="330E6324" w14:textId="77777777" w:rsidR="00DF1803" w:rsidRPr="00FD211F" w:rsidRDefault="00DF1803" w:rsidP="009C58C8">
      <w:pPr>
        <w:ind w:left="0" w:firstLine="227"/>
        <w:jc w:val="both"/>
        <w:rPr>
          <w:sz w:val="36"/>
          <w:szCs w:val="36"/>
          <w:rtl/>
        </w:rPr>
      </w:pPr>
      <w:r w:rsidRPr="00FD211F">
        <w:rPr>
          <w:sz w:val="36"/>
          <w:szCs w:val="36"/>
          <w:rtl/>
        </w:rPr>
        <w:t>فانه لايكفي في توجيه ذلك مجرد كون وضع اللفظ للمعنى المجازي في طول وضعه للمعنى الحقيقي -باعتبار ان اللفظ يكون موضوعا لما يشبه المعنى الموضوع له</w:t>
      </w:r>
      <w:r w:rsidR="00603323" w:rsidRPr="00FD211F">
        <w:rPr>
          <w:sz w:val="36"/>
          <w:szCs w:val="36"/>
          <w:rtl/>
        </w:rPr>
        <w:t xml:space="preserve">، </w:t>
      </w:r>
      <w:r w:rsidRPr="00FD211F">
        <w:rPr>
          <w:sz w:val="36"/>
          <w:szCs w:val="36"/>
          <w:rtl/>
        </w:rPr>
        <w:t>فقد أخذ في موضوع الوضع المجازي وجود المعنى الموضوع له للّفظ كي يوضع اللفظ بوضع نوعي للمعنى المتناسب له- فان مجرد الطولي</w:t>
      </w:r>
      <w:r w:rsidR="00EC7EDF" w:rsidRPr="00FD211F">
        <w:rPr>
          <w:sz w:val="36"/>
          <w:szCs w:val="36"/>
          <w:rtl/>
        </w:rPr>
        <w:t xml:space="preserve">ة </w:t>
      </w:r>
      <w:r w:rsidRPr="00FD211F">
        <w:rPr>
          <w:sz w:val="36"/>
          <w:szCs w:val="36"/>
          <w:rtl/>
        </w:rPr>
        <w:t>في الوضع لايقتضي اقوائي</w:t>
      </w:r>
      <w:r w:rsidR="00EC7EDF" w:rsidRPr="00FD211F">
        <w:rPr>
          <w:sz w:val="36"/>
          <w:szCs w:val="36"/>
          <w:rtl/>
        </w:rPr>
        <w:t xml:space="preserve">ة </w:t>
      </w:r>
      <w:r w:rsidRPr="00FD211F">
        <w:rPr>
          <w:sz w:val="36"/>
          <w:szCs w:val="36"/>
          <w:rtl/>
        </w:rPr>
        <w:t>احدى الدلالتين على الأخرى.</w:t>
      </w:r>
    </w:p>
    <w:p w14:paraId="49FE3AB6" w14:textId="77777777" w:rsidR="00DF1803" w:rsidRPr="00FD211F" w:rsidRDefault="00DF1803" w:rsidP="009C58C8">
      <w:pPr>
        <w:ind w:left="0" w:firstLine="227"/>
        <w:jc w:val="both"/>
        <w:rPr>
          <w:sz w:val="36"/>
          <w:szCs w:val="36"/>
          <w:rtl/>
        </w:rPr>
      </w:pPr>
      <w:r w:rsidRPr="00FD211F">
        <w:rPr>
          <w:sz w:val="36"/>
          <w:szCs w:val="36"/>
          <w:rtl/>
        </w:rPr>
        <w:t>وكذا لايكفي دعوى وضع اللفظ للمعنى المجازي مشروطا بعدم اراد</w:t>
      </w:r>
      <w:r w:rsidR="00EC7EDF" w:rsidRPr="00FD211F">
        <w:rPr>
          <w:sz w:val="36"/>
          <w:szCs w:val="36"/>
          <w:rtl/>
        </w:rPr>
        <w:t xml:space="preserve">ة </w:t>
      </w:r>
      <w:r w:rsidRPr="00FD211F">
        <w:rPr>
          <w:sz w:val="36"/>
          <w:szCs w:val="36"/>
          <w:rtl/>
        </w:rPr>
        <w:t>المستعمل للمعنى الحقيقي</w:t>
      </w:r>
      <w:r w:rsidR="00603323" w:rsidRPr="00FD211F">
        <w:rPr>
          <w:sz w:val="36"/>
          <w:szCs w:val="36"/>
          <w:rtl/>
        </w:rPr>
        <w:t xml:space="preserve">، </w:t>
      </w:r>
      <w:r w:rsidRPr="00FD211F">
        <w:rPr>
          <w:sz w:val="36"/>
          <w:szCs w:val="36"/>
          <w:rtl/>
        </w:rPr>
        <w:t>فانه لااشكال في اننا لو سمعنا اللفظ من شخص غير مريد لمعنى اصلا لانسبق ذهننا الى معناه الحقيقي فيسأل حينئذ عن نكت</w:t>
      </w:r>
      <w:r w:rsidR="00EC7EDF" w:rsidRPr="00FD211F">
        <w:rPr>
          <w:sz w:val="36"/>
          <w:szCs w:val="36"/>
          <w:rtl/>
        </w:rPr>
        <w:t xml:space="preserve">ة </w:t>
      </w:r>
      <w:r w:rsidRPr="00FD211F">
        <w:rPr>
          <w:sz w:val="36"/>
          <w:szCs w:val="36"/>
          <w:rtl/>
        </w:rPr>
        <w:t>هذا الانسباق</w:t>
      </w:r>
      <w:r w:rsidR="00603323" w:rsidRPr="00FD211F">
        <w:rPr>
          <w:sz w:val="36"/>
          <w:szCs w:val="36"/>
          <w:rtl/>
        </w:rPr>
        <w:t xml:space="preserve">، </w:t>
      </w:r>
      <w:r w:rsidRPr="00FD211F">
        <w:rPr>
          <w:sz w:val="36"/>
          <w:szCs w:val="36"/>
          <w:rtl/>
        </w:rPr>
        <w:t>فان دلال</w:t>
      </w:r>
      <w:r w:rsidR="00EC7EDF" w:rsidRPr="00FD211F">
        <w:rPr>
          <w:sz w:val="36"/>
          <w:szCs w:val="36"/>
          <w:rtl/>
        </w:rPr>
        <w:t xml:space="preserve">ة </w:t>
      </w:r>
      <w:r w:rsidRPr="00FD211F">
        <w:rPr>
          <w:sz w:val="36"/>
          <w:szCs w:val="36"/>
          <w:rtl/>
        </w:rPr>
        <w:t>اللفظ على كل من المعنى الحقيقي والمجازي اذا كان بسبب الوضع فلماذا يتبادر المعنى الحقيقي في مقابل المعنى المجازي تصورا.</w:t>
      </w:r>
    </w:p>
    <w:p w14:paraId="391F41C4" w14:textId="77777777" w:rsidR="00DF1803" w:rsidRPr="00FD211F" w:rsidRDefault="00DF1803" w:rsidP="009C58C8">
      <w:pPr>
        <w:ind w:left="0" w:firstLine="227"/>
        <w:jc w:val="both"/>
        <w:rPr>
          <w:sz w:val="36"/>
          <w:szCs w:val="36"/>
          <w:rtl/>
        </w:rPr>
      </w:pPr>
      <w:r w:rsidRPr="00FD211F">
        <w:rPr>
          <w:sz w:val="36"/>
          <w:szCs w:val="36"/>
          <w:rtl/>
        </w:rPr>
        <w:t>كما لايكفي في توجيهه دعوى كون الموضوع للمعنى المجازي هو اللفظ المقرون بالقرين</w:t>
      </w:r>
      <w:r w:rsidR="00EC7EDF" w:rsidRPr="00FD211F">
        <w:rPr>
          <w:sz w:val="36"/>
          <w:szCs w:val="36"/>
          <w:rtl/>
        </w:rPr>
        <w:t xml:space="preserve">ة </w:t>
      </w:r>
      <w:r w:rsidRPr="00FD211F">
        <w:rPr>
          <w:sz w:val="36"/>
          <w:szCs w:val="36"/>
          <w:rtl/>
        </w:rPr>
        <w:t>النافي</w:t>
      </w:r>
      <w:r w:rsidR="00EC7EDF" w:rsidRPr="00FD211F">
        <w:rPr>
          <w:sz w:val="36"/>
          <w:szCs w:val="36"/>
          <w:rtl/>
        </w:rPr>
        <w:t xml:space="preserve">ة </w:t>
      </w:r>
      <w:r w:rsidRPr="00FD211F">
        <w:rPr>
          <w:sz w:val="36"/>
          <w:szCs w:val="36"/>
          <w:rtl/>
        </w:rPr>
        <w:t>للمعنى الحقيقي او دعوى ان الموضوع للمعنى المجازي هو اللفظ المقرون بالقرين</w:t>
      </w:r>
      <w:r w:rsidR="00EC7EDF" w:rsidRPr="00FD211F">
        <w:rPr>
          <w:sz w:val="36"/>
          <w:szCs w:val="36"/>
          <w:rtl/>
        </w:rPr>
        <w:t xml:space="preserve">ة </w:t>
      </w:r>
      <w:r w:rsidRPr="00FD211F">
        <w:rPr>
          <w:sz w:val="36"/>
          <w:szCs w:val="36"/>
          <w:rtl/>
        </w:rPr>
        <w:t>المثبت</w:t>
      </w:r>
      <w:r w:rsidR="00EC7EDF" w:rsidRPr="00FD211F">
        <w:rPr>
          <w:sz w:val="36"/>
          <w:szCs w:val="36"/>
          <w:rtl/>
        </w:rPr>
        <w:t xml:space="preserve">ة </w:t>
      </w:r>
      <w:r w:rsidRPr="00FD211F">
        <w:rPr>
          <w:sz w:val="36"/>
          <w:szCs w:val="36"/>
          <w:rtl/>
        </w:rPr>
        <w:t>للمعنى المجازي</w:t>
      </w:r>
      <w:r w:rsidR="00603323" w:rsidRPr="00FD211F">
        <w:rPr>
          <w:sz w:val="36"/>
          <w:szCs w:val="36"/>
          <w:rtl/>
        </w:rPr>
        <w:t xml:space="preserve">، </w:t>
      </w:r>
      <w:r w:rsidRPr="00FD211F">
        <w:rPr>
          <w:sz w:val="36"/>
          <w:szCs w:val="36"/>
          <w:rtl/>
        </w:rPr>
        <w:t>حيث ان لازم ذلك عدم صح</w:t>
      </w:r>
      <w:r w:rsidR="00EC7EDF" w:rsidRPr="00FD211F">
        <w:rPr>
          <w:sz w:val="36"/>
          <w:szCs w:val="36"/>
          <w:rtl/>
        </w:rPr>
        <w:t xml:space="preserve">ة </w:t>
      </w:r>
      <w:r w:rsidRPr="00FD211F">
        <w:rPr>
          <w:sz w:val="36"/>
          <w:szCs w:val="36"/>
          <w:rtl/>
        </w:rPr>
        <w:t>استعمال اللفظ في المعنى المجازي بلاقرين</w:t>
      </w:r>
      <w:r w:rsidR="00EC7EDF" w:rsidRPr="00FD211F">
        <w:rPr>
          <w:sz w:val="36"/>
          <w:szCs w:val="36"/>
          <w:rtl/>
        </w:rPr>
        <w:t xml:space="preserve">ة </w:t>
      </w:r>
      <w:r w:rsidRPr="00FD211F">
        <w:rPr>
          <w:sz w:val="36"/>
          <w:szCs w:val="36"/>
          <w:rtl/>
        </w:rPr>
        <w:t>مع انه صحيح وجدانا.</w:t>
      </w:r>
    </w:p>
    <w:p w14:paraId="7F2ADA62" w14:textId="77777777" w:rsidR="00DF1803" w:rsidRPr="00FD211F" w:rsidRDefault="00DF1803" w:rsidP="009C58C8">
      <w:pPr>
        <w:ind w:left="0" w:firstLine="227"/>
        <w:jc w:val="both"/>
        <w:rPr>
          <w:sz w:val="36"/>
          <w:szCs w:val="36"/>
          <w:rtl/>
        </w:rPr>
      </w:pPr>
      <w:r w:rsidRPr="00FD211F">
        <w:rPr>
          <w:sz w:val="36"/>
          <w:szCs w:val="36"/>
          <w:rtl/>
        </w:rPr>
        <w:t>نعم يمكن ان يقال في توجيهه بان وضع اللفظ للمعنى المجازي يكون مشروطا بفرض وجود احد أمرين إما القرين</w:t>
      </w:r>
      <w:r w:rsidR="00EC7EDF" w:rsidRPr="00FD211F">
        <w:rPr>
          <w:sz w:val="36"/>
          <w:szCs w:val="36"/>
          <w:rtl/>
        </w:rPr>
        <w:t xml:space="preserve">ة </w:t>
      </w:r>
      <w:r w:rsidRPr="00FD211F">
        <w:rPr>
          <w:sz w:val="36"/>
          <w:szCs w:val="36"/>
          <w:rtl/>
        </w:rPr>
        <w:t>الصارف</w:t>
      </w:r>
      <w:r w:rsidR="00EC7EDF" w:rsidRPr="00FD211F">
        <w:rPr>
          <w:sz w:val="36"/>
          <w:szCs w:val="36"/>
          <w:rtl/>
        </w:rPr>
        <w:t xml:space="preserve">ة </w:t>
      </w:r>
      <w:r w:rsidRPr="00FD211F">
        <w:rPr>
          <w:sz w:val="36"/>
          <w:szCs w:val="36"/>
          <w:rtl/>
        </w:rPr>
        <w:t>عن المعنى الحقيقي او كون غرض المستعمل اجمال اللفظ</w:t>
      </w:r>
      <w:r w:rsidR="00603323" w:rsidRPr="00FD211F">
        <w:rPr>
          <w:sz w:val="36"/>
          <w:szCs w:val="36"/>
          <w:rtl/>
        </w:rPr>
        <w:t xml:space="preserve">، </w:t>
      </w:r>
      <w:r w:rsidRPr="00FD211F">
        <w:rPr>
          <w:sz w:val="36"/>
          <w:szCs w:val="36"/>
          <w:rtl/>
        </w:rPr>
        <w:t>وعليه فاذا قال المتكلم رأيت أسدا فحيث لاتوجد قرين</w:t>
      </w:r>
      <w:r w:rsidR="00EC7EDF" w:rsidRPr="00FD211F">
        <w:rPr>
          <w:sz w:val="36"/>
          <w:szCs w:val="36"/>
          <w:rtl/>
        </w:rPr>
        <w:t xml:space="preserve">ة </w:t>
      </w:r>
      <w:r w:rsidRPr="00FD211F">
        <w:rPr>
          <w:sz w:val="36"/>
          <w:szCs w:val="36"/>
          <w:rtl/>
        </w:rPr>
        <w:t>صارف</w:t>
      </w:r>
      <w:r w:rsidR="00EC7EDF" w:rsidRPr="00FD211F">
        <w:rPr>
          <w:sz w:val="36"/>
          <w:szCs w:val="36"/>
          <w:rtl/>
        </w:rPr>
        <w:t xml:space="preserve">ة </w:t>
      </w:r>
      <w:r w:rsidRPr="00FD211F">
        <w:rPr>
          <w:sz w:val="36"/>
          <w:szCs w:val="36"/>
          <w:rtl/>
        </w:rPr>
        <w:t>عن المعنى الحقيقي وكذا يجري الاصل العقلائي لنفي احتمال كون غرض المستعمل هو الإجمال فلايتحقق شرط وضع اللفظ في المعنى المجازي فيكون ظاهرا في معناه الحقيقي</w:t>
      </w:r>
      <w:r w:rsidR="00603323" w:rsidRPr="00FD211F">
        <w:rPr>
          <w:sz w:val="36"/>
          <w:szCs w:val="36"/>
          <w:rtl/>
        </w:rPr>
        <w:t xml:space="preserve">، </w:t>
      </w:r>
      <w:r w:rsidRPr="00FD211F">
        <w:rPr>
          <w:sz w:val="36"/>
          <w:szCs w:val="36"/>
          <w:rtl/>
        </w:rPr>
        <w:t>ولكن لايتم هذا التوجيه على مسلك من يرى ان الوضع هو الاقتران الاكيد اذ مر انه بناء عليه يستحيل تقييد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بأي قيد ومنه تقييد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في المقام بين اللفظ والمعنى المجازي بفرض كون غرض المستعمل اجمال اللفظ.</w:t>
      </w:r>
    </w:p>
    <w:p w14:paraId="2A08EE2B" w14:textId="77777777" w:rsidR="00DF1803" w:rsidRPr="00FD211F" w:rsidRDefault="00DF1803" w:rsidP="009C58C8">
      <w:pPr>
        <w:ind w:left="0" w:firstLine="227"/>
        <w:jc w:val="both"/>
        <w:rPr>
          <w:sz w:val="36"/>
          <w:szCs w:val="36"/>
          <w:rtl/>
        </w:rPr>
      </w:pPr>
      <w:r w:rsidRPr="00FD211F">
        <w:rPr>
          <w:sz w:val="36"/>
          <w:szCs w:val="36"/>
          <w:rtl/>
        </w:rPr>
        <w:t>فلم يتم بناء على القول بوضع اللفظ نوعا على المعنى المتناسب للمعنى الحقيقي تفسير مناسب لنكت</w:t>
      </w:r>
      <w:r w:rsidR="00EC7EDF" w:rsidRPr="00FD211F">
        <w:rPr>
          <w:sz w:val="36"/>
          <w:szCs w:val="36"/>
          <w:rtl/>
        </w:rPr>
        <w:t xml:space="preserve">ة </w:t>
      </w:r>
      <w:r w:rsidRPr="00FD211F">
        <w:rPr>
          <w:sz w:val="36"/>
          <w:szCs w:val="36"/>
          <w:rtl/>
        </w:rPr>
        <w:t>اقوائي</w:t>
      </w:r>
      <w:r w:rsidR="00EC7EDF" w:rsidRPr="00FD211F">
        <w:rPr>
          <w:sz w:val="36"/>
          <w:szCs w:val="36"/>
          <w:rtl/>
        </w:rPr>
        <w:t xml:space="preserve">ة </w:t>
      </w:r>
      <w:r w:rsidRPr="00FD211F">
        <w:rPr>
          <w:sz w:val="36"/>
          <w:szCs w:val="36"/>
          <w:rtl/>
        </w:rPr>
        <w:t>دلال</w:t>
      </w:r>
      <w:r w:rsidR="00EC7EDF" w:rsidRPr="00FD211F">
        <w:rPr>
          <w:sz w:val="36"/>
          <w:szCs w:val="36"/>
          <w:rtl/>
        </w:rPr>
        <w:t xml:space="preserve">ة </w:t>
      </w:r>
      <w:r w:rsidRPr="00FD211F">
        <w:rPr>
          <w:sz w:val="36"/>
          <w:szCs w:val="36"/>
          <w:rtl/>
        </w:rPr>
        <w:t>اللفظ على معناه الحقيقي من دلالته على معناه المجازي</w:t>
      </w:r>
      <w:r w:rsidR="00603323" w:rsidRPr="00FD211F">
        <w:rPr>
          <w:sz w:val="36"/>
          <w:szCs w:val="36"/>
          <w:rtl/>
        </w:rPr>
        <w:t xml:space="preserve">، </w:t>
      </w:r>
      <w:r w:rsidRPr="00FD211F">
        <w:rPr>
          <w:sz w:val="36"/>
          <w:szCs w:val="36"/>
          <w:rtl/>
        </w:rPr>
        <w:t>وعليه فالتفسير الصحيح في نشوء صلاحي</w:t>
      </w:r>
      <w:r w:rsidR="00EC7EDF" w:rsidRPr="00FD211F">
        <w:rPr>
          <w:sz w:val="36"/>
          <w:szCs w:val="36"/>
          <w:rtl/>
        </w:rPr>
        <w:t xml:space="preserve">ة </w:t>
      </w:r>
      <w:r w:rsidRPr="00FD211F">
        <w:rPr>
          <w:sz w:val="36"/>
          <w:szCs w:val="36"/>
          <w:rtl/>
        </w:rPr>
        <w:t>دلال</w:t>
      </w:r>
      <w:r w:rsidR="00EC7EDF" w:rsidRPr="00FD211F">
        <w:rPr>
          <w:sz w:val="36"/>
          <w:szCs w:val="36"/>
          <w:rtl/>
        </w:rPr>
        <w:t xml:space="preserve">ة </w:t>
      </w:r>
      <w:r w:rsidRPr="00FD211F">
        <w:rPr>
          <w:sz w:val="36"/>
          <w:szCs w:val="36"/>
          <w:rtl/>
        </w:rPr>
        <w:t>اللفظ على المعنى المجازي هو كونه على اساس وضع اللفظ لمعناه الحقيقي من غير حاج</w:t>
      </w:r>
      <w:r w:rsidR="00EC7EDF" w:rsidRPr="00FD211F">
        <w:rPr>
          <w:sz w:val="36"/>
          <w:szCs w:val="36"/>
          <w:rtl/>
        </w:rPr>
        <w:t xml:space="preserve">ة </w:t>
      </w:r>
      <w:r w:rsidRPr="00FD211F">
        <w:rPr>
          <w:sz w:val="36"/>
          <w:szCs w:val="36"/>
          <w:rtl/>
        </w:rPr>
        <w:t>الى وضع آخر للّفظ على معناه المجازي ولو بوضع نوعي.</w:t>
      </w:r>
    </w:p>
    <w:p w14:paraId="33A5B82C" w14:textId="77777777" w:rsidR="000C5BBA" w:rsidRPr="00FD211F" w:rsidRDefault="00DF1803" w:rsidP="009C58C8">
      <w:pPr>
        <w:ind w:left="0" w:firstLine="227"/>
        <w:jc w:val="both"/>
        <w:rPr>
          <w:sz w:val="36"/>
          <w:szCs w:val="36"/>
          <w:rtl/>
        </w:rPr>
      </w:pPr>
      <w:r w:rsidRPr="00FD211F">
        <w:rPr>
          <w:sz w:val="36"/>
          <w:szCs w:val="36"/>
          <w:rtl/>
        </w:rPr>
        <w:t>هذا كله في منشأ صلاحي</w:t>
      </w:r>
      <w:r w:rsidR="00EC7EDF" w:rsidRPr="00FD211F">
        <w:rPr>
          <w:sz w:val="36"/>
          <w:szCs w:val="36"/>
          <w:rtl/>
        </w:rPr>
        <w:t xml:space="preserve">ة </w:t>
      </w:r>
      <w:r w:rsidR="00F75BE9" w:rsidRPr="00FD211F">
        <w:rPr>
          <w:sz w:val="36"/>
          <w:szCs w:val="36"/>
          <w:rtl/>
        </w:rPr>
        <w:t>دلال</w:t>
      </w:r>
      <w:r w:rsidR="00EC7EDF" w:rsidRPr="00FD211F">
        <w:rPr>
          <w:sz w:val="36"/>
          <w:szCs w:val="36"/>
          <w:rtl/>
        </w:rPr>
        <w:t xml:space="preserve">ة </w:t>
      </w:r>
      <w:r w:rsidR="00F75BE9" w:rsidRPr="00FD211F">
        <w:rPr>
          <w:sz w:val="36"/>
          <w:szCs w:val="36"/>
          <w:rtl/>
        </w:rPr>
        <w:t>اللفظ على معناه المجازي.</w:t>
      </w:r>
    </w:p>
    <w:p w14:paraId="77972D93" w14:textId="77777777" w:rsidR="00DF1803" w:rsidRPr="00FD211F" w:rsidRDefault="00003DA2" w:rsidP="009C58C8">
      <w:pPr>
        <w:ind w:left="0" w:firstLine="227"/>
        <w:jc w:val="both"/>
        <w:rPr>
          <w:sz w:val="36"/>
          <w:szCs w:val="36"/>
          <w:rtl/>
        </w:rPr>
      </w:pPr>
      <w:hyperlink w:anchor="اوتصحیح" w:history="1">
        <w:r w:rsidR="00DF1803" w:rsidRPr="00003DA2">
          <w:rPr>
            <w:rStyle w:val="a9"/>
            <w:b/>
            <w:bCs/>
            <w:sz w:val="36"/>
            <w:szCs w:val="36"/>
            <w:rtl/>
          </w:rPr>
          <w:t>وأم</w:t>
        </w:r>
        <w:r w:rsidR="00DF1803" w:rsidRPr="00003DA2">
          <w:rPr>
            <w:rStyle w:val="a9"/>
            <w:b/>
            <w:bCs/>
            <w:sz w:val="36"/>
            <w:szCs w:val="36"/>
            <w:rtl/>
          </w:rPr>
          <w:t>ا</w:t>
        </w:r>
        <w:r w:rsidR="00DD3C08" w:rsidRPr="00003DA2">
          <w:rPr>
            <w:rStyle w:val="a9"/>
            <w:b/>
            <w:bCs/>
            <w:sz w:val="36"/>
            <w:szCs w:val="36"/>
            <w:rtl/>
          </w:rPr>
          <w:t xml:space="preserve"> </w:t>
        </w:r>
        <w:r w:rsidR="00F75BE9" w:rsidRPr="00003DA2">
          <w:rPr>
            <w:rStyle w:val="a9"/>
            <w:b/>
            <w:bCs/>
            <w:sz w:val="36"/>
            <w:szCs w:val="36"/>
            <w:rtl/>
          </w:rPr>
          <w:t>ال</w:t>
        </w:r>
        <w:r w:rsidR="00F75BE9" w:rsidRPr="00003DA2">
          <w:rPr>
            <w:rStyle w:val="a9"/>
            <w:b/>
            <w:bCs/>
            <w:sz w:val="36"/>
            <w:szCs w:val="36"/>
            <w:rtl/>
          </w:rPr>
          <w:t>ث</w:t>
        </w:r>
        <w:r w:rsidR="00F75BE9" w:rsidRPr="00003DA2">
          <w:rPr>
            <w:rStyle w:val="a9"/>
            <w:b/>
            <w:bCs/>
            <w:sz w:val="36"/>
            <w:szCs w:val="36"/>
            <w:rtl/>
          </w:rPr>
          <w:t>اني</w:t>
        </w:r>
      </w:hyperlink>
      <w:r w:rsidR="00F75BE9" w:rsidRPr="00FD211F">
        <w:rPr>
          <w:sz w:val="36"/>
          <w:szCs w:val="36"/>
          <w:rtl/>
        </w:rPr>
        <w:t xml:space="preserve"> </w:t>
      </w:r>
      <w:r w:rsidR="00060483" w:rsidRPr="00FD211F">
        <w:rPr>
          <w:sz w:val="36"/>
          <w:szCs w:val="36"/>
          <w:rtl/>
        </w:rPr>
        <w:t>–وهو</w:t>
      </w:r>
      <w:r w:rsidR="00DF1803" w:rsidRPr="00FD211F">
        <w:rPr>
          <w:sz w:val="36"/>
          <w:szCs w:val="36"/>
          <w:rtl/>
        </w:rPr>
        <w:t xml:space="preserve"> الحاج</w:t>
      </w:r>
      <w:r w:rsidR="00EC7EDF" w:rsidRPr="00FD211F">
        <w:rPr>
          <w:sz w:val="36"/>
          <w:szCs w:val="36"/>
          <w:rtl/>
        </w:rPr>
        <w:t xml:space="preserve">ة </w:t>
      </w:r>
      <w:r w:rsidR="00DF1803" w:rsidRPr="00FD211F">
        <w:rPr>
          <w:sz w:val="36"/>
          <w:szCs w:val="36"/>
          <w:rtl/>
        </w:rPr>
        <w:t>في تصحيح استعمال اللفظ في المعنى المجازي الى وضع ذلك اللفظ بالوضع النوعي عليه كما هو مسلك المشهور</w:t>
      </w:r>
      <w:r w:rsidR="00603323" w:rsidRPr="00FD211F">
        <w:rPr>
          <w:sz w:val="36"/>
          <w:szCs w:val="36"/>
          <w:rtl/>
        </w:rPr>
        <w:t xml:space="preserve">، </w:t>
      </w:r>
      <w:r w:rsidR="00DF1803" w:rsidRPr="00FD211F">
        <w:rPr>
          <w:sz w:val="36"/>
          <w:szCs w:val="36"/>
          <w:rtl/>
        </w:rPr>
        <w:t>حيث ذكروا ان الاستعمال المجازي يحتاج الى اذن الواضع</w:t>
      </w:r>
      <w:r w:rsidR="00060483" w:rsidRPr="00FD211F">
        <w:rPr>
          <w:sz w:val="36"/>
          <w:szCs w:val="36"/>
          <w:rtl/>
        </w:rPr>
        <w:t>-</w:t>
      </w:r>
      <w:r w:rsidR="00DF1803" w:rsidRPr="00FD211F">
        <w:rPr>
          <w:sz w:val="36"/>
          <w:szCs w:val="36"/>
          <w:rtl/>
        </w:rPr>
        <w:t xml:space="preserve"> فيرد عليه انه ان كان المقصود من هذا الوضع تحسين استعماله في</w:t>
      </w:r>
      <w:r w:rsidR="00060483" w:rsidRPr="00FD211F">
        <w:rPr>
          <w:sz w:val="36"/>
          <w:szCs w:val="36"/>
          <w:rtl/>
        </w:rPr>
        <w:t xml:space="preserve"> هذا المعنى المجازي فالمفروض أن حسن الاستعمال حاصل بدون هذا الوضع</w:t>
      </w:r>
      <w:r w:rsidR="00603323" w:rsidRPr="00FD211F">
        <w:rPr>
          <w:sz w:val="36"/>
          <w:szCs w:val="36"/>
          <w:rtl/>
        </w:rPr>
        <w:t xml:space="preserve">، </w:t>
      </w:r>
      <w:r w:rsidR="00060483" w:rsidRPr="00FD211F">
        <w:rPr>
          <w:sz w:val="36"/>
          <w:szCs w:val="36"/>
          <w:rtl/>
        </w:rPr>
        <w:t>والا</w:t>
      </w:r>
      <w:r w:rsidR="008D7B3D" w:rsidRPr="00FD211F">
        <w:rPr>
          <w:sz w:val="36"/>
          <w:szCs w:val="36"/>
          <w:rtl/>
        </w:rPr>
        <w:t xml:space="preserve"> لم‌</w:t>
      </w:r>
      <w:r w:rsidR="00060483" w:rsidRPr="00FD211F">
        <w:rPr>
          <w:sz w:val="36"/>
          <w:szCs w:val="36"/>
          <w:rtl/>
        </w:rPr>
        <w:t>يك</w:t>
      </w:r>
      <w:r w:rsidR="00DF1803" w:rsidRPr="00FD211F">
        <w:rPr>
          <w:sz w:val="36"/>
          <w:szCs w:val="36"/>
          <w:rtl/>
        </w:rPr>
        <w:t>ن أي جدوى في هذا الوضع</w:t>
      </w:r>
      <w:r w:rsidR="00603323" w:rsidRPr="00FD211F">
        <w:rPr>
          <w:sz w:val="36"/>
          <w:szCs w:val="36"/>
          <w:rtl/>
        </w:rPr>
        <w:t xml:space="preserve">، </w:t>
      </w:r>
      <w:r w:rsidR="00DF1803" w:rsidRPr="00FD211F">
        <w:rPr>
          <w:sz w:val="36"/>
          <w:szCs w:val="36"/>
          <w:rtl/>
        </w:rPr>
        <w:t xml:space="preserve">وان </w:t>
      </w:r>
      <w:r w:rsidR="00060483" w:rsidRPr="00FD211F">
        <w:rPr>
          <w:sz w:val="36"/>
          <w:szCs w:val="36"/>
          <w:rtl/>
        </w:rPr>
        <w:t>كان المقصود</w:t>
      </w:r>
      <w:r w:rsidR="00DF1803" w:rsidRPr="00FD211F">
        <w:rPr>
          <w:sz w:val="36"/>
          <w:szCs w:val="36"/>
          <w:rtl/>
        </w:rPr>
        <w:t xml:space="preserve"> ترخيص الواضع في الاستعمال المجازي ف</w:t>
      </w:r>
      <w:r w:rsidR="00060483" w:rsidRPr="00FD211F">
        <w:rPr>
          <w:sz w:val="36"/>
          <w:szCs w:val="36"/>
          <w:rtl/>
        </w:rPr>
        <w:t xml:space="preserve">فيه أنه </w:t>
      </w:r>
      <w:r w:rsidR="00DF1803" w:rsidRPr="00FD211F">
        <w:rPr>
          <w:sz w:val="36"/>
          <w:szCs w:val="36"/>
          <w:rtl/>
        </w:rPr>
        <w:t xml:space="preserve">لايكون الاستعمال </w:t>
      </w:r>
      <w:r w:rsidR="00060483" w:rsidRPr="00FD211F">
        <w:rPr>
          <w:sz w:val="36"/>
          <w:szCs w:val="36"/>
          <w:rtl/>
        </w:rPr>
        <w:t xml:space="preserve">المجازي بدون اذن الواضع </w:t>
      </w:r>
      <w:r w:rsidR="00DF1803" w:rsidRPr="00FD211F">
        <w:rPr>
          <w:sz w:val="36"/>
          <w:szCs w:val="36"/>
          <w:rtl/>
        </w:rPr>
        <w:t>غلطا حتى لو فرض مولويته</w:t>
      </w:r>
      <w:r w:rsidR="00060483" w:rsidRPr="00FD211F">
        <w:rPr>
          <w:sz w:val="36"/>
          <w:szCs w:val="36"/>
          <w:rtl/>
        </w:rPr>
        <w:t xml:space="preserve"> ووجوب أطاعته</w:t>
      </w:r>
      <w:r w:rsidR="00EC7EDF" w:rsidRPr="00FD211F">
        <w:rPr>
          <w:sz w:val="36"/>
          <w:szCs w:val="36"/>
          <w:rtl/>
        </w:rPr>
        <w:t>.</w:t>
      </w:r>
    </w:p>
    <w:p w14:paraId="7DBC4614" w14:textId="77777777" w:rsidR="00DF1803" w:rsidRPr="00FD211F" w:rsidRDefault="00DF1803" w:rsidP="009C58C8">
      <w:pPr>
        <w:ind w:left="0" w:firstLine="227"/>
        <w:jc w:val="both"/>
        <w:rPr>
          <w:sz w:val="36"/>
          <w:szCs w:val="36"/>
          <w:rtl/>
        </w:rPr>
      </w:pPr>
      <w:r w:rsidRPr="00FD211F">
        <w:rPr>
          <w:sz w:val="36"/>
          <w:szCs w:val="36"/>
          <w:rtl/>
        </w:rPr>
        <w:t>وعليه فلانحتاج في الاستعمال المجازي الى اكثر من وضع اللفظ لمعناه الحقيقي واستحسان الطبع لاستعماله في المعنى الآخر لمناسب</w:t>
      </w:r>
      <w:r w:rsidR="00EC7EDF" w:rsidRPr="00FD211F">
        <w:rPr>
          <w:sz w:val="36"/>
          <w:szCs w:val="36"/>
          <w:rtl/>
        </w:rPr>
        <w:t xml:space="preserve">ة </w:t>
      </w:r>
      <w:r w:rsidRPr="00FD211F">
        <w:rPr>
          <w:sz w:val="36"/>
          <w:szCs w:val="36"/>
          <w:rtl/>
        </w:rPr>
        <w:t>بينهما</w:t>
      </w:r>
      <w:r w:rsidR="009C58C8" w:rsidRPr="00FD211F">
        <w:rPr>
          <w:rStyle w:val="a6"/>
          <w:sz w:val="36"/>
          <w:szCs w:val="36"/>
          <w:rtl/>
        </w:rPr>
        <w:t>(</w:t>
      </w:r>
      <w:r w:rsidR="009C58C8" w:rsidRPr="00FD211F">
        <w:rPr>
          <w:rStyle w:val="a6"/>
          <w:sz w:val="36"/>
          <w:szCs w:val="36"/>
          <w:rtl/>
        </w:rPr>
        <w:footnoteReference w:id="281"/>
      </w:r>
      <w:r w:rsidR="009C58C8" w:rsidRPr="00FD211F">
        <w:rPr>
          <w:rStyle w:val="a6"/>
          <w:sz w:val="36"/>
          <w:szCs w:val="36"/>
          <w:rtl/>
        </w:rPr>
        <w:t>)</w:t>
      </w:r>
      <w:r w:rsidRPr="00FD211F">
        <w:rPr>
          <w:sz w:val="36"/>
          <w:szCs w:val="36"/>
          <w:rtl/>
        </w:rPr>
        <w:t>.</w:t>
      </w:r>
    </w:p>
    <w:p w14:paraId="3AD959D6" w14:textId="77777777" w:rsidR="00DF1803" w:rsidRPr="00FD211F" w:rsidRDefault="00DF1803" w:rsidP="00DD3C08">
      <w:pPr>
        <w:ind w:left="0" w:firstLine="227"/>
        <w:jc w:val="both"/>
        <w:rPr>
          <w:sz w:val="36"/>
          <w:szCs w:val="36"/>
          <w:rtl/>
        </w:rPr>
      </w:pPr>
      <w:r w:rsidRPr="00FD211F">
        <w:rPr>
          <w:sz w:val="36"/>
          <w:szCs w:val="36"/>
          <w:rtl/>
        </w:rPr>
        <w:t>اقول: ما أفاده من عدم الحاج</w:t>
      </w:r>
      <w:r w:rsidR="00EC7EDF" w:rsidRPr="00FD211F">
        <w:rPr>
          <w:sz w:val="36"/>
          <w:szCs w:val="36"/>
          <w:rtl/>
        </w:rPr>
        <w:t xml:space="preserve">ة </w:t>
      </w:r>
      <w:r w:rsidRPr="00FD211F">
        <w:rPr>
          <w:sz w:val="36"/>
          <w:szCs w:val="36"/>
          <w:rtl/>
        </w:rPr>
        <w:t>في الاستعمال المجازي الى وضع الواضع زائدا على وضعه الاول اللفظ لمعناه الحقيقي فهو وان كان تامّا جدّا</w:t>
      </w:r>
      <w:r w:rsidR="00603323" w:rsidRPr="00FD211F">
        <w:rPr>
          <w:sz w:val="36"/>
          <w:szCs w:val="36"/>
          <w:rtl/>
        </w:rPr>
        <w:t xml:space="preserve">، </w:t>
      </w:r>
      <w:r w:rsidRPr="00FD211F">
        <w:rPr>
          <w:sz w:val="36"/>
          <w:szCs w:val="36"/>
          <w:rtl/>
        </w:rPr>
        <w:t>الا ان ما ذكره من كون الدال على المعنى المجازي هو نفس اللفظ -فان له صلاحي</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على المعنى المجازي وتكون القرين</w:t>
      </w:r>
      <w:r w:rsidR="00EC7EDF" w:rsidRPr="00FD211F">
        <w:rPr>
          <w:sz w:val="36"/>
          <w:szCs w:val="36"/>
          <w:rtl/>
        </w:rPr>
        <w:t xml:space="preserve">ة </w:t>
      </w:r>
      <w:r w:rsidRPr="00FD211F">
        <w:rPr>
          <w:sz w:val="36"/>
          <w:szCs w:val="36"/>
          <w:rtl/>
        </w:rPr>
        <w:t>الصارف</w:t>
      </w:r>
      <w:r w:rsidR="00EC7EDF" w:rsidRPr="00FD211F">
        <w:rPr>
          <w:sz w:val="36"/>
          <w:szCs w:val="36"/>
          <w:rtl/>
        </w:rPr>
        <w:t xml:space="preserve">ة </w:t>
      </w:r>
      <w:r w:rsidRPr="00FD211F">
        <w:rPr>
          <w:sz w:val="36"/>
          <w:szCs w:val="36"/>
          <w:rtl/>
        </w:rPr>
        <w:t>عن المعنى الحقيقي حيثي</w:t>
      </w:r>
      <w:r w:rsidR="00EC7EDF" w:rsidRPr="00FD211F">
        <w:rPr>
          <w:sz w:val="36"/>
          <w:szCs w:val="36"/>
          <w:rtl/>
        </w:rPr>
        <w:t xml:space="preserve">ة </w:t>
      </w:r>
      <w:r w:rsidRPr="00FD211F">
        <w:rPr>
          <w:sz w:val="36"/>
          <w:szCs w:val="36"/>
          <w:rtl/>
        </w:rPr>
        <w:t>تعليلي</w:t>
      </w:r>
      <w:r w:rsidR="00EC7EDF" w:rsidRPr="00FD211F">
        <w:rPr>
          <w:sz w:val="36"/>
          <w:szCs w:val="36"/>
          <w:rtl/>
        </w:rPr>
        <w:t xml:space="preserve">ة </w:t>
      </w:r>
      <w:r w:rsidRPr="00FD211F">
        <w:rPr>
          <w:sz w:val="36"/>
          <w:szCs w:val="36"/>
          <w:rtl/>
        </w:rPr>
        <w:t>لفعلي</w:t>
      </w:r>
      <w:r w:rsidR="00EC7EDF" w:rsidRPr="00FD211F">
        <w:rPr>
          <w:sz w:val="36"/>
          <w:szCs w:val="36"/>
          <w:rtl/>
        </w:rPr>
        <w:t xml:space="preserve">ة </w:t>
      </w:r>
      <w:r w:rsidRPr="00FD211F">
        <w:rPr>
          <w:sz w:val="36"/>
          <w:szCs w:val="36"/>
          <w:rtl/>
        </w:rPr>
        <w:t>دلال</w:t>
      </w:r>
      <w:r w:rsidR="00EC7EDF" w:rsidRPr="00FD211F">
        <w:rPr>
          <w:sz w:val="36"/>
          <w:szCs w:val="36"/>
          <w:rtl/>
        </w:rPr>
        <w:t xml:space="preserve">ة </w:t>
      </w:r>
      <w:r w:rsidRPr="00FD211F">
        <w:rPr>
          <w:sz w:val="36"/>
          <w:szCs w:val="36"/>
          <w:rtl/>
        </w:rPr>
        <w:t>اللفظ على المعنى المجازي- قابل للنقاش</w:t>
      </w:r>
      <w:r w:rsidR="00603323" w:rsidRPr="00FD211F">
        <w:rPr>
          <w:sz w:val="36"/>
          <w:szCs w:val="36"/>
          <w:rtl/>
        </w:rPr>
        <w:t xml:space="preserve">، </w:t>
      </w:r>
      <w:r w:rsidRPr="00FD211F">
        <w:rPr>
          <w:sz w:val="36"/>
          <w:szCs w:val="36"/>
          <w:rtl/>
        </w:rPr>
        <w:t>اذ يمكن ان يقال بان الدال على المعنى المجازي هو مجموع القرين</w:t>
      </w:r>
      <w:r w:rsidR="00EC7EDF" w:rsidRPr="00FD211F">
        <w:rPr>
          <w:sz w:val="36"/>
          <w:szCs w:val="36"/>
          <w:rtl/>
        </w:rPr>
        <w:t xml:space="preserve">ة </w:t>
      </w:r>
      <w:r w:rsidRPr="00FD211F">
        <w:rPr>
          <w:sz w:val="36"/>
          <w:szCs w:val="36"/>
          <w:rtl/>
        </w:rPr>
        <w:t>واللفظ –كما افاده السيد الخوئي خلافا لاستاذه المحقق الاصفهاني</w:t>
      </w:r>
      <w:r w:rsidR="00F452FE" w:rsidRPr="00FD211F">
        <w:rPr>
          <w:sz w:val="36"/>
          <w:szCs w:val="36"/>
          <w:rtl/>
        </w:rPr>
        <w:t>"</w:t>
      </w:r>
      <w:r w:rsidRPr="00FD211F">
        <w:rPr>
          <w:sz w:val="36"/>
          <w:szCs w:val="36"/>
          <w:rtl/>
        </w:rPr>
        <w:t xml:space="preserve"> قدهما</w:t>
      </w:r>
      <w:r w:rsidR="00F452FE" w:rsidRPr="00FD211F">
        <w:rPr>
          <w:sz w:val="36"/>
          <w:szCs w:val="36"/>
          <w:rtl/>
        </w:rPr>
        <w:t>"</w:t>
      </w:r>
      <w:r w:rsidRPr="00FD211F">
        <w:rPr>
          <w:sz w:val="36"/>
          <w:szCs w:val="36"/>
          <w:rtl/>
        </w:rPr>
        <w:t>- نعم لاريب في ان المنكشف بهما هو استعمال اللفظ بنفسه في هذا المعنى</w:t>
      </w:r>
      <w:r w:rsidR="00603323" w:rsidRPr="00FD211F">
        <w:rPr>
          <w:sz w:val="36"/>
          <w:szCs w:val="36"/>
          <w:rtl/>
        </w:rPr>
        <w:t xml:space="preserve">، </w:t>
      </w:r>
      <w:r w:rsidRPr="00FD211F">
        <w:rPr>
          <w:sz w:val="36"/>
          <w:szCs w:val="36"/>
          <w:rtl/>
        </w:rPr>
        <w:t>ولكنه لاينافي كون الدال على هذا الاستعمال مجموع اللفظ والقرين</w:t>
      </w:r>
      <w:r w:rsidR="00EC7EDF" w:rsidRPr="00FD211F">
        <w:rPr>
          <w:sz w:val="36"/>
          <w:szCs w:val="36"/>
          <w:rtl/>
        </w:rPr>
        <w:t>ة</w:t>
      </w:r>
      <w:r w:rsidRPr="00FD211F">
        <w:rPr>
          <w:sz w:val="36"/>
          <w:szCs w:val="36"/>
          <w:rtl/>
        </w:rPr>
        <w:t>؛ وأما استشهاده</w:t>
      </w:r>
      <w:r w:rsidR="00A61BAE" w:rsidRPr="00FD211F">
        <w:rPr>
          <w:sz w:val="36"/>
          <w:szCs w:val="36"/>
          <w:rtl/>
        </w:rPr>
        <w:t xml:space="preserve"> </w:t>
      </w:r>
      <w:r w:rsidR="003F396C" w:rsidRPr="00FD211F">
        <w:rPr>
          <w:sz w:val="36"/>
          <w:szCs w:val="36"/>
          <w:rtl/>
        </w:rPr>
        <w:t>"</w:t>
      </w:r>
      <w:r w:rsidR="005D03BA" w:rsidRPr="00FD211F">
        <w:rPr>
          <w:sz w:val="36"/>
          <w:szCs w:val="36"/>
          <w:rtl/>
        </w:rPr>
        <w:t>قده</w:t>
      </w:r>
      <w:r w:rsidR="00DD3C08" w:rsidRPr="00FD211F">
        <w:rPr>
          <w:sz w:val="36"/>
          <w:szCs w:val="36"/>
          <w:rtl/>
        </w:rPr>
        <w:t>"</w:t>
      </w:r>
      <w:r w:rsidR="00A61BAE" w:rsidRPr="00FD211F">
        <w:rPr>
          <w:sz w:val="36"/>
          <w:szCs w:val="36"/>
          <w:rtl/>
        </w:rPr>
        <w:t xml:space="preserve"> </w:t>
      </w:r>
      <w:r w:rsidRPr="00FD211F">
        <w:rPr>
          <w:sz w:val="36"/>
          <w:szCs w:val="36"/>
          <w:rtl/>
        </w:rPr>
        <w:t>بصح</w:t>
      </w:r>
      <w:r w:rsidR="00EC7EDF" w:rsidRPr="00FD211F">
        <w:rPr>
          <w:sz w:val="36"/>
          <w:szCs w:val="36"/>
          <w:rtl/>
        </w:rPr>
        <w:t xml:space="preserve">ة </w:t>
      </w:r>
      <w:r w:rsidRPr="00FD211F">
        <w:rPr>
          <w:sz w:val="36"/>
          <w:szCs w:val="36"/>
          <w:rtl/>
        </w:rPr>
        <w:t>الاستعمال المجازي بلاقرين</w:t>
      </w:r>
      <w:r w:rsidR="00EC7EDF" w:rsidRPr="00FD211F">
        <w:rPr>
          <w:sz w:val="36"/>
          <w:szCs w:val="36"/>
          <w:rtl/>
        </w:rPr>
        <w:t xml:space="preserve">ة </w:t>
      </w:r>
      <w:r w:rsidRPr="00FD211F">
        <w:rPr>
          <w:sz w:val="36"/>
          <w:szCs w:val="36"/>
          <w:rtl/>
        </w:rPr>
        <w:t>على صلاحي</w:t>
      </w:r>
      <w:r w:rsidR="00EC7EDF" w:rsidRPr="00FD211F">
        <w:rPr>
          <w:sz w:val="36"/>
          <w:szCs w:val="36"/>
          <w:rtl/>
        </w:rPr>
        <w:t xml:space="preserve">ة </w:t>
      </w:r>
      <w:r w:rsidRPr="00FD211F">
        <w:rPr>
          <w:sz w:val="36"/>
          <w:szCs w:val="36"/>
          <w:rtl/>
        </w:rPr>
        <w:t>اللفظ لدلالته على المعنى المجازي ففيه: ان صح</w:t>
      </w:r>
      <w:r w:rsidR="00EC7EDF" w:rsidRPr="00FD211F">
        <w:rPr>
          <w:sz w:val="36"/>
          <w:szCs w:val="36"/>
          <w:rtl/>
        </w:rPr>
        <w:t xml:space="preserve">ة </w:t>
      </w:r>
      <w:r w:rsidRPr="00FD211F">
        <w:rPr>
          <w:sz w:val="36"/>
          <w:szCs w:val="36"/>
          <w:rtl/>
        </w:rPr>
        <w:t>الاستعمال لاتساوق صلاحي</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حيث ان المقصود من صلاحي</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انه لو وجدت القرين</w:t>
      </w:r>
      <w:r w:rsidR="00EC7EDF" w:rsidRPr="00FD211F">
        <w:rPr>
          <w:sz w:val="36"/>
          <w:szCs w:val="36"/>
          <w:rtl/>
        </w:rPr>
        <w:t xml:space="preserve">ة </w:t>
      </w:r>
      <w:r w:rsidRPr="00FD211F">
        <w:rPr>
          <w:sz w:val="36"/>
          <w:szCs w:val="36"/>
          <w:rtl/>
        </w:rPr>
        <w:t>الصارف</w:t>
      </w:r>
      <w:r w:rsidR="00EC7EDF" w:rsidRPr="00FD211F">
        <w:rPr>
          <w:sz w:val="36"/>
          <w:szCs w:val="36"/>
          <w:rtl/>
        </w:rPr>
        <w:t xml:space="preserve">ة </w:t>
      </w:r>
      <w:r w:rsidRPr="00FD211F">
        <w:rPr>
          <w:sz w:val="36"/>
          <w:szCs w:val="36"/>
          <w:rtl/>
        </w:rPr>
        <w:t>عن المعنى الحقيقي لصار اللفظ بنفسه دالا فعليا على المعنى المجازي</w:t>
      </w:r>
      <w:r w:rsidR="00603323" w:rsidRPr="00FD211F">
        <w:rPr>
          <w:sz w:val="36"/>
          <w:szCs w:val="36"/>
          <w:rtl/>
        </w:rPr>
        <w:t xml:space="preserve">، </w:t>
      </w:r>
      <w:r w:rsidRPr="00FD211F">
        <w:rPr>
          <w:sz w:val="36"/>
          <w:szCs w:val="36"/>
          <w:rtl/>
        </w:rPr>
        <w:t>فان الظاهر ان صح</w:t>
      </w:r>
      <w:r w:rsidR="00EC7EDF" w:rsidRPr="00FD211F">
        <w:rPr>
          <w:sz w:val="36"/>
          <w:szCs w:val="36"/>
          <w:rtl/>
        </w:rPr>
        <w:t xml:space="preserve">ة </w:t>
      </w:r>
      <w:r w:rsidRPr="00FD211F">
        <w:rPr>
          <w:sz w:val="36"/>
          <w:szCs w:val="36"/>
          <w:rtl/>
        </w:rPr>
        <w:t>الاستعمال المجازي تابع</w:t>
      </w:r>
      <w:r w:rsidR="00EC7EDF" w:rsidRPr="00FD211F">
        <w:rPr>
          <w:sz w:val="36"/>
          <w:szCs w:val="36"/>
          <w:rtl/>
        </w:rPr>
        <w:t xml:space="preserve">ة </w:t>
      </w:r>
      <w:r w:rsidRPr="00FD211F">
        <w:rPr>
          <w:sz w:val="36"/>
          <w:szCs w:val="36"/>
          <w:rtl/>
        </w:rPr>
        <w:t>لاستحسان الطبع لالصلاحي</w:t>
      </w:r>
      <w:r w:rsidR="00EC7EDF" w:rsidRPr="00FD211F">
        <w:rPr>
          <w:sz w:val="36"/>
          <w:szCs w:val="36"/>
          <w:rtl/>
        </w:rPr>
        <w:t xml:space="preserve">ة </w:t>
      </w:r>
      <w:r w:rsidRPr="00FD211F">
        <w:rPr>
          <w:sz w:val="36"/>
          <w:szCs w:val="36"/>
          <w:rtl/>
        </w:rPr>
        <w:t>اللفظ للدلال</w:t>
      </w:r>
      <w:r w:rsidR="00EC7EDF" w:rsidRPr="00FD211F">
        <w:rPr>
          <w:sz w:val="36"/>
          <w:szCs w:val="36"/>
          <w:rtl/>
        </w:rPr>
        <w:t>ة</w:t>
      </w:r>
      <w:r w:rsidR="00603323" w:rsidRPr="00FD211F">
        <w:rPr>
          <w:sz w:val="36"/>
          <w:szCs w:val="36"/>
          <w:rtl/>
        </w:rPr>
        <w:t xml:space="preserve">، </w:t>
      </w:r>
      <w:r w:rsidRPr="00FD211F">
        <w:rPr>
          <w:sz w:val="36"/>
          <w:szCs w:val="36"/>
          <w:rtl/>
        </w:rPr>
        <w:t>وان شئت قلت: ان صح</w:t>
      </w:r>
      <w:r w:rsidR="00EC7EDF" w:rsidRPr="00FD211F">
        <w:rPr>
          <w:sz w:val="36"/>
          <w:szCs w:val="36"/>
          <w:rtl/>
        </w:rPr>
        <w:t xml:space="preserve">ة </w:t>
      </w:r>
      <w:r w:rsidRPr="00FD211F">
        <w:rPr>
          <w:sz w:val="36"/>
          <w:szCs w:val="36"/>
          <w:rtl/>
        </w:rPr>
        <w:t>الاستعمال تابع</w:t>
      </w:r>
      <w:r w:rsidR="00EC7EDF" w:rsidRPr="00FD211F">
        <w:rPr>
          <w:sz w:val="36"/>
          <w:szCs w:val="36"/>
          <w:rtl/>
        </w:rPr>
        <w:t xml:space="preserve">ة </w:t>
      </w:r>
      <w:r w:rsidRPr="00FD211F">
        <w:rPr>
          <w:sz w:val="36"/>
          <w:szCs w:val="36"/>
          <w:rtl/>
        </w:rPr>
        <w:t>لصلاحي</w:t>
      </w:r>
      <w:r w:rsidR="00EC7EDF" w:rsidRPr="00FD211F">
        <w:rPr>
          <w:sz w:val="36"/>
          <w:szCs w:val="36"/>
          <w:rtl/>
        </w:rPr>
        <w:t xml:space="preserve">ة </w:t>
      </w:r>
      <w:r w:rsidRPr="00FD211F">
        <w:rPr>
          <w:sz w:val="36"/>
          <w:szCs w:val="36"/>
          <w:rtl/>
        </w:rPr>
        <w:t>مجموع اللفظ والقرين</w:t>
      </w:r>
      <w:r w:rsidR="00EC7EDF" w:rsidRPr="00FD211F">
        <w:rPr>
          <w:sz w:val="36"/>
          <w:szCs w:val="36"/>
          <w:rtl/>
        </w:rPr>
        <w:t xml:space="preserve">ة </w:t>
      </w:r>
      <w:r w:rsidRPr="00FD211F">
        <w:rPr>
          <w:sz w:val="36"/>
          <w:szCs w:val="36"/>
          <w:rtl/>
        </w:rPr>
        <w:t>للدلال</w:t>
      </w:r>
      <w:r w:rsidR="00EC7EDF" w:rsidRPr="00FD211F">
        <w:rPr>
          <w:sz w:val="36"/>
          <w:szCs w:val="36"/>
          <w:rtl/>
        </w:rPr>
        <w:t xml:space="preserve">ة </w:t>
      </w:r>
      <w:r w:rsidRPr="00FD211F">
        <w:rPr>
          <w:sz w:val="36"/>
          <w:szCs w:val="36"/>
          <w:rtl/>
        </w:rPr>
        <w:t>على المعنى المجازي.</w:t>
      </w:r>
    </w:p>
    <w:p w14:paraId="3F584839" w14:textId="77777777" w:rsidR="00DF1803" w:rsidRPr="00FD211F" w:rsidRDefault="00DF1803" w:rsidP="009C58C8">
      <w:pPr>
        <w:ind w:left="0" w:firstLine="227"/>
        <w:jc w:val="both"/>
        <w:rPr>
          <w:sz w:val="36"/>
          <w:szCs w:val="36"/>
          <w:rtl/>
        </w:rPr>
      </w:pPr>
      <w:r w:rsidRPr="00FD211F">
        <w:rPr>
          <w:b/>
          <w:bCs/>
          <w:sz w:val="36"/>
          <w:szCs w:val="36"/>
          <w:rtl/>
        </w:rPr>
        <w:t>الجه</w:t>
      </w:r>
      <w:r w:rsidR="00EC7EDF" w:rsidRPr="00FD211F">
        <w:rPr>
          <w:b/>
          <w:bCs/>
          <w:sz w:val="36"/>
          <w:szCs w:val="36"/>
          <w:rtl/>
        </w:rPr>
        <w:t xml:space="preserve">ة </w:t>
      </w: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Pr="00FD211F">
        <w:rPr>
          <w:sz w:val="36"/>
          <w:szCs w:val="36"/>
          <w:rtl/>
        </w:rPr>
        <w:t xml:space="preserve"> ذكر السيد الخوئي </w:t>
      </w:r>
      <w:r w:rsidR="00F452FE" w:rsidRPr="00FD211F">
        <w:rPr>
          <w:sz w:val="36"/>
          <w:szCs w:val="36"/>
          <w:rtl/>
        </w:rPr>
        <w:t>"</w:t>
      </w:r>
      <w:r w:rsidRPr="00FD211F">
        <w:rPr>
          <w:sz w:val="36"/>
          <w:szCs w:val="36"/>
          <w:rtl/>
        </w:rPr>
        <w:t>قده</w:t>
      </w:r>
      <w:r w:rsidR="00F452FE" w:rsidRPr="00FD211F">
        <w:rPr>
          <w:sz w:val="36"/>
          <w:szCs w:val="36"/>
          <w:rtl/>
        </w:rPr>
        <w:t>"</w:t>
      </w:r>
      <w:r w:rsidRPr="00FD211F">
        <w:rPr>
          <w:sz w:val="36"/>
          <w:szCs w:val="36"/>
          <w:rtl/>
        </w:rPr>
        <w:t xml:space="preserve"> انه بناء على المسلك المختار في تفسير حقيق</w:t>
      </w:r>
      <w:r w:rsidR="00EC7EDF" w:rsidRPr="00FD211F">
        <w:rPr>
          <w:sz w:val="36"/>
          <w:szCs w:val="36"/>
          <w:rtl/>
        </w:rPr>
        <w:t xml:space="preserve">ة </w:t>
      </w:r>
      <w:r w:rsidRPr="00FD211F">
        <w:rPr>
          <w:sz w:val="36"/>
          <w:szCs w:val="36"/>
          <w:rtl/>
        </w:rPr>
        <w:t>الوضع وهو مسلك التعهد وأن كل مستعمل واضع حقيق</w:t>
      </w:r>
      <w:r w:rsidR="00EC7EDF" w:rsidRPr="00FD211F">
        <w:rPr>
          <w:sz w:val="36"/>
          <w:szCs w:val="36"/>
          <w:rtl/>
        </w:rPr>
        <w:t xml:space="preserve">ة </w:t>
      </w:r>
      <w:r w:rsidRPr="00FD211F">
        <w:rPr>
          <w:sz w:val="36"/>
          <w:szCs w:val="36"/>
          <w:rtl/>
        </w:rPr>
        <w:t>ولايختص الوضع بشخص دون شخص</w:t>
      </w:r>
      <w:r w:rsidR="00603323" w:rsidRPr="00FD211F">
        <w:rPr>
          <w:sz w:val="36"/>
          <w:szCs w:val="36"/>
          <w:rtl/>
        </w:rPr>
        <w:t xml:space="preserve">، </w:t>
      </w:r>
      <w:r w:rsidRPr="00FD211F">
        <w:rPr>
          <w:sz w:val="36"/>
          <w:szCs w:val="36"/>
          <w:rtl/>
        </w:rPr>
        <w:t>فلامعنى لدعوى اعتبار اذن الواضع في الاستعمال المجازي</w:t>
      </w:r>
      <w:r w:rsidR="00603323" w:rsidRPr="00FD211F">
        <w:rPr>
          <w:sz w:val="36"/>
          <w:szCs w:val="36"/>
          <w:rtl/>
        </w:rPr>
        <w:t xml:space="preserve">، </w:t>
      </w:r>
      <w:r w:rsidRPr="00FD211F">
        <w:rPr>
          <w:sz w:val="36"/>
          <w:szCs w:val="36"/>
          <w:rtl/>
        </w:rPr>
        <w:t>فالتعهد والالتزام كما هو موجود بالقياس الى تفهيم المعنى الحقيقي حيث يتعهد المتكلم بانه متى ما قصد المعنى الحقيقي يتكلم بهذا اللفظ المخصوص مجردا عن القرين</w:t>
      </w:r>
      <w:r w:rsidR="00EC7EDF" w:rsidRPr="00FD211F">
        <w:rPr>
          <w:sz w:val="36"/>
          <w:szCs w:val="36"/>
          <w:rtl/>
        </w:rPr>
        <w:t xml:space="preserve">ة </w:t>
      </w:r>
      <w:r w:rsidRPr="00FD211F">
        <w:rPr>
          <w:sz w:val="36"/>
          <w:szCs w:val="36"/>
          <w:rtl/>
        </w:rPr>
        <w:t>فكذلك هذا التعهد والالتزام موجود بالقياس الى تفهيم المعنى المجازي فيتعهد بانه متى ما قصد تفهيم معنى مناسب للمعنى الموضوع له يتكلم بذلك اللفظ مصحوبا بالقرين</w:t>
      </w:r>
      <w:r w:rsidR="00EC7EDF" w:rsidRPr="00FD211F">
        <w:rPr>
          <w:sz w:val="36"/>
          <w:szCs w:val="36"/>
          <w:rtl/>
        </w:rPr>
        <w:t xml:space="preserve">ة </w:t>
      </w:r>
      <w:r w:rsidRPr="00FD211F">
        <w:rPr>
          <w:sz w:val="36"/>
          <w:szCs w:val="36"/>
          <w:rtl/>
        </w:rPr>
        <w:t>ليكون المجموع مبرزا له</w:t>
      </w:r>
      <w:r w:rsidR="00603323" w:rsidRPr="00FD211F">
        <w:rPr>
          <w:sz w:val="36"/>
          <w:szCs w:val="36"/>
          <w:rtl/>
        </w:rPr>
        <w:t xml:space="preserve">، </w:t>
      </w:r>
      <w:r w:rsidRPr="00FD211F">
        <w:rPr>
          <w:sz w:val="36"/>
          <w:szCs w:val="36"/>
          <w:rtl/>
        </w:rPr>
        <w:t>غايته ان الوضع على المعنى الحقيقي شخصي والوضع على المعنى المجازي نوعي باعتبار ان العلائق والقرائن غير منحصر</w:t>
      </w:r>
      <w:r w:rsidR="00EC7EDF" w:rsidRPr="00FD211F">
        <w:rPr>
          <w:sz w:val="36"/>
          <w:szCs w:val="36"/>
          <w:rtl/>
        </w:rPr>
        <w:t xml:space="preserve">ة </w:t>
      </w:r>
      <w:r w:rsidRPr="00FD211F">
        <w:rPr>
          <w:sz w:val="36"/>
          <w:szCs w:val="36"/>
          <w:rtl/>
        </w:rPr>
        <w:t>بواحد</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82"/>
      </w:r>
      <w:r w:rsidR="009C58C8" w:rsidRPr="00FD211F">
        <w:rPr>
          <w:rStyle w:val="a6"/>
          <w:sz w:val="36"/>
          <w:szCs w:val="36"/>
          <w:rtl/>
        </w:rPr>
        <w:t>)</w:t>
      </w:r>
      <w:r w:rsidRPr="00FD211F">
        <w:rPr>
          <w:sz w:val="36"/>
          <w:szCs w:val="36"/>
          <w:rtl/>
        </w:rPr>
        <w:t>.</w:t>
      </w:r>
    </w:p>
    <w:p w14:paraId="38D7989C" w14:textId="77777777" w:rsidR="00DF1803" w:rsidRPr="00FD211F" w:rsidRDefault="00DF1803" w:rsidP="009C58C8">
      <w:pPr>
        <w:ind w:left="0" w:firstLine="227"/>
        <w:jc w:val="both"/>
        <w:rPr>
          <w:sz w:val="36"/>
          <w:szCs w:val="36"/>
          <w:rtl/>
        </w:rPr>
      </w:pPr>
      <w:r w:rsidRPr="00FD211F">
        <w:rPr>
          <w:sz w:val="36"/>
          <w:szCs w:val="36"/>
          <w:rtl/>
        </w:rPr>
        <w:t>واورد عليه في البحوث</w:t>
      </w:r>
      <w:r w:rsidR="00A36422" w:rsidRPr="00FD211F">
        <w:rPr>
          <w:sz w:val="36"/>
          <w:szCs w:val="36"/>
          <w:rtl/>
        </w:rPr>
        <w:t xml:space="preserve"> بان اللفظ المقرون</w:t>
      </w:r>
      <w:r w:rsidRPr="00FD211F">
        <w:rPr>
          <w:sz w:val="36"/>
          <w:szCs w:val="36"/>
          <w:rtl/>
        </w:rPr>
        <w:t xml:space="preserve"> بالقرين</w:t>
      </w:r>
      <w:r w:rsidR="00EC7EDF" w:rsidRPr="00FD211F">
        <w:rPr>
          <w:sz w:val="36"/>
          <w:szCs w:val="36"/>
          <w:rtl/>
        </w:rPr>
        <w:t xml:space="preserve">ة </w:t>
      </w:r>
      <w:r w:rsidRPr="00FD211F">
        <w:rPr>
          <w:sz w:val="36"/>
          <w:szCs w:val="36"/>
          <w:rtl/>
        </w:rPr>
        <w:t>الصارف</w:t>
      </w:r>
      <w:r w:rsidR="00EC7EDF" w:rsidRPr="00FD211F">
        <w:rPr>
          <w:sz w:val="36"/>
          <w:szCs w:val="36"/>
          <w:rtl/>
        </w:rPr>
        <w:t xml:space="preserve">ة </w:t>
      </w:r>
      <w:r w:rsidRPr="00FD211F">
        <w:rPr>
          <w:sz w:val="36"/>
          <w:szCs w:val="36"/>
          <w:rtl/>
        </w:rPr>
        <w:t>عن المعنى الحقيقي</w:t>
      </w:r>
      <w:r w:rsidR="00980174" w:rsidRPr="00FD211F">
        <w:rPr>
          <w:sz w:val="36"/>
          <w:szCs w:val="36"/>
          <w:rtl/>
        </w:rPr>
        <w:t xml:space="preserve"> بعد ما كان يدل على </w:t>
      </w:r>
      <w:r w:rsidRPr="00FD211F">
        <w:rPr>
          <w:sz w:val="36"/>
          <w:szCs w:val="36"/>
          <w:rtl/>
        </w:rPr>
        <w:t>اراد</w:t>
      </w:r>
      <w:r w:rsidR="00EC7EDF" w:rsidRPr="00FD211F">
        <w:rPr>
          <w:sz w:val="36"/>
          <w:szCs w:val="36"/>
          <w:rtl/>
        </w:rPr>
        <w:t xml:space="preserve">ة </w:t>
      </w:r>
      <w:r w:rsidRPr="00FD211F">
        <w:rPr>
          <w:sz w:val="36"/>
          <w:szCs w:val="36"/>
          <w:rtl/>
        </w:rPr>
        <w:t>المتكلم للمعنى المجازي</w:t>
      </w:r>
      <w:r w:rsidR="00980174" w:rsidRPr="00FD211F">
        <w:rPr>
          <w:sz w:val="36"/>
          <w:szCs w:val="36"/>
          <w:rtl/>
        </w:rPr>
        <w:t xml:space="preserve"> حيث ان</w:t>
      </w:r>
      <w:r w:rsidRPr="00FD211F">
        <w:rPr>
          <w:sz w:val="36"/>
          <w:szCs w:val="36"/>
          <w:rtl/>
        </w:rPr>
        <w:t xml:space="preserve"> مقتضى ظهور حاله نوعا وعقلاء انه لايقصد به المعاني التي لايدل عليها اللفظ ولو شأنا</w:t>
      </w:r>
      <w:r w:rsidR="00603323" w:rsidRPr="00FD211F">
        <w:rPr>
          <w:sz w:val="36"/>
          <w:szCs w:val="36"/>
          <w:rtl/>
        </w:rPr>
        <w:t xml:space="preserve">، </w:t>
      </w:r>
      <w:r w:rsidR="00BD2B2D" w:rsidRPr="00FD211F">
        <w:rPr>
          <w:sz w:val="36"/>
          <w:szCs w:val="36"/>
          <w:rtl/>
        </w:rPr>
        <w:t xml:space="preserve">فحينئذ </w:t>
      </w:r>
      <w:r w:rsidR="00980174" w:rsidRPr="00FD211F">
        <w:rPr>
          <w:sz w:val="36"/>
          <w:szCs w:val="36"/>
          <w:rtl/>
        </w:rPr>
        <w:t>يلغو تع</w:t>
      </w:r>
      <w:r w:rsidRPr="00FD211F">
        <w:rPr>
          <w:sz w:val="36"/>
          <w:szCs w:val="36"/>
          <w:rtl/>
        </w:rPr>
        <w:t xml:space="preserve">هد المتكلم بانه متى ما قصد تفهيم معنى مناسب للمعنى الموضوع له </w:t>
      </w:r>
      <w:r w:rsidR="00980174" w:rsidRPr="00FD211F">
        <w:rPr>
          <w:sz w:val="36"/>
          <w:szCs w:val="36"/>
          <w:rtl/>
        </w:rPr>
        <w:t>ف</w:t>
      </w:r>
      <w:r w:rsidRPr="00FD211F">
        <w:rPr>
          <w:sz w:val="36"/>
          <w:szCs w:val="36"/>
          <w:rtl/>
        </w:rPr>
        <w:t xml:space="preserve">يتكلم بهذا اللفظ </w:t>
      </w:r>
      <w:r w:rsidR="00980174" w:rsidRPr="00FD211F">
        <w:rPr>
          <w:sz w:val="36"/>
          <w:szCs w:val="36"/>
          <w:rtl/>
        </w:rPr>
        <w:t>المقرون</w:t>
      </w:r>
      <w:r w:rsidRPr="00FD211F">
        <w:rPr>
          <w:sz w:val="36"/>
          <w:szCs w:val="36"/>
          <w:rtl/>
        </w:rPr>
        <w:t xml:space="preserve"> بالقرين</w:t>
      </w:r>
      <w:r w:rsidR="00EC7EDF" w:rsidRPr="00FD211F">
        <w:rPr>
          <w:sz w:val="36"/>
          <w:szCs w:val="36"/>
          <w:rtl/>
        </w:rPr>
        <w:t xml:space="preserve">ة </w:t>
      </w:r>
      <w:r w:rsidR="00980174" w:rsidRPr="00FD211F">
        <w:rPr>
          <w:sz w:val="36"/>
          <w:szCs w:val="36"/>
          <w:rtl/>
        </w:rPr>
        <w:t>الصارف</w:t>
      </w:r>
      <w:r w:rsidR="00EC7EDF" w:rsidRPr="00FD211F">
        <w:rPr>
          <w:sz w:val="36"/>
          <w:szCs w:val="36"/>
          <w:rtl/>
        </w:rPr>
        <w:t xml:space="preserve">ة </w:t>
      </w:r>
      <w:r w:rsidR="00980174" w:rsidRPr="00FD211F">
        <w:rPr>
          <w:sz w:val="36"/>
          <w:szCs w:val="36"/>
          <w:rtl/>
        </w:rPr>
        <w:t>عن المعنى الحقيقي</w:t>
      </w:r>
      <w:r w:rsidRPr="00FD211F">
        <w:rPr>
          <w:sz w:val="36"/>
          <w:szCs w:val="36"/>
          <w:rtl/>
        </w:rPr>
        <w:t>.</w:t>
      </w:r>
    </w:p>
    <w:p w14:paraId="420673B6" w14:textId="77777777" w:rsidR="00DF1803" w:rsidRPr="00FD211F" w:rsidRDefault="00DF1803" w:rsidP="00290E2C">
      <w:pPr>
        <w:ind w:left="0" w:firstLine="227"/>
        <w:jc w:val="both"/>
        <w:rPr>
          <w:sz w:val="36"/>
          <w:szCs w:val="36"/>
          <w:rtl/>
        </w:rPr>
      </w:pPr>
      <w:r w:rsidRPr="00FD211F">
        <w:rPr>
          <w:sz w:val="36"/>
          <w:szCs w:val="36"/>
          <w:rtl/>
        </w:rPr>
        <w:t>وفيه انه لالغوي</w:t>
      </w:r>
      <w:r w:rsidR="00EC7EDF" w:rsidRPr="00FD211F">
        <w:rPr>
          <w:sz w:val="36"/>
          <w:szCs w:val="36"/>
          <w:rtl/>
        </w:rPr>
        <w:t xml:space="preserve">ة </w:t>
      </w:r>
      <w:r w:rsidRPr="00FD211F">
        <w:rPr>
          <w:sz w:val="36"/>
          <w:szCs w:val="36"/>
          <w:rtl/>
        </w:rPr>
        <w:t>عرفا في تعهد كل مستعمل بان لايصدر منه اللفظ الظاهر في معنى –بنفسه كما في المعنى الحقيقي او بقرين</w:t>
      </w:r>
      <w:r w:rsidR="00EC7EDF" w:rsidRPr="00FD211F">
        <w:rPr>
          <w:sz w:val="36"/>
          <w:szCs w:val="36"/>
          <w:rtl/>
        </w:rPr>
        <w:t xml:space="preserve">ة </w:t>
      </w:r>
      <w:r w:rsidRPr="00FD211F">
        <w:rPr>
          <w:sz w:val="36"/>
          <w:szCs w:val="36"/>
          <w:rtl/>
        </w:rPr>
        <w:t>كما في المعنى المجازي- الا في معناه الظاهر فيه</w:t>
      </w:r>
      <w:r w:rsidR="00603323" w:rsidRPr="00FD211F">
        <w:rPr>
          <w:sz w:val="36"/>
          <w:szCs w:val="36"/>
          <w:rtl/>
        </w:rPr>
        <w:t xml:space="preserve">، </w:t>
      </w:r>
      <w:r w:rsidRPr="00FD211F">
        <w:rPr>
          <w:sz w:val="36"/>
          <w:szCs w:val="36"/>
          <w:rtl/>
        </w:rPr>
        <w:t>وان</w:t>
      </w:r>
      <w:r w:rsidR="008D7B3D" w:rsidRPr="00FD211F">
        <w:rPr>
          <w:sz w:val="36"/>
          <w:szCs w:val="36"/>
          <w:rtl/>
        </w:rPr>
        <w:t xml:space="preserve"> لم‌</w:t>
      </w:r>
      <w:r w:rsidRPr="00FD211F">
        <w:rPr>
          <w:sz w:val="36"/>
          <w:szCs w:val="36"/>
          <w:rtl/>
        </w:rPr>
        <w:t>يحتج انعقاد الظهور الاستعمالي الى تحقق هذا التعهد منه</w:t>
      </w:r>
      <w:r w:rsidR="00603323" w:rsidRPr="00FD211F">
        <w:rPr>
          <w:sz w:val="36"/>
          <w:szCs w:val="36"/>
          <w:rtl/>
        </w:rPr>
        <w:t xml:space="preserve">، </w:t>
      </w:r>
      <w:r w:rsidRPr="00FD211F">
        <w:rPr>
          <w:sz w:val="36"/>
          <w:szCs w:val="36"/>
          <w:rtl/>
        </w:rPr>
        <w:t>ولو تم اشكاله</w:t>
      </w:r>
      <w:r w:rsidR="00A61BAE" w:rsidRPr="00FD211F">
        <w:rPr>
          <w:sz w:val="36"/>
          <w:szCs w:val="36"/>
          <w:rtl/>
        </w:rPr>
        <w:t xml:space="preserve"> </w:t>
      </w:r>
      <w:r w:rsidR="00290E2C" w:rsidRPr="00FD211F">
        <w:rPr>
          <w:sz w:val="36"/>
          <w:szCs w:val="36"/>
          <w:rtl/>
        </w:rPr>
        <w:t>"</w:t>
      </w:r>
      <w:r w:rsidR="005D03BA" w:rsidRPr="00FD211F">
        <w:rPr>
          <w:sz w:val="36"/>
          <w:szCs w:val="36"/>
          <w:rtl/>
        </w:rPr>
        <w:t>قده</w:t>
      </w:r>
      <w:r w:rsidR="00290E2C" w:rsidRPr="00FD211F">
        <w:rPr>
          <w:sz w:val="36"/>
          <w:szCs w:val="36"/>
          <w:rtl/>
        </w:rPr>
        <w:t>"</w:t>
      </w:r>
      <w:r w:rsidR="00A61BAE" w:rsidRPr="00FD211F">
        <w:rPr>
          <w:sz w:val="36"/>
          <w:szCs w:val="36"/>
          <w:rtl/>
        </w:rPr>
        <w:t xml:space="preserve"> </w:t>
      </w:r>
      <w:r w:rsidRPr="00FD211F">
        <w:rPr>
          <w:sz w:val="36"/>
          <w:szCs w:val="36"/>
          <w:rtl/>
        </w:rPr>
        <w:t>من لغوي</w:t>
      </w:r>
      <w:r w:rsidR="00EC7EDF" w:rsidRPr="00FD211F">
        <w:rPr>
          <w:sz w:val="36"/>
          <w:szCs w:val="36"/>
          <w:rtl/>
        </w:rPr>
        <w:t xml:space="preserve">ة </w:t>
      </w:r>
      <w:r w:rsidRPr="00FD211F">
        <w:rPr>
          <w:sz w:val="36"/>
          <w:szCs w:val="36"/>
          <w:rtl/>
        </w:rPr>
        <w:t>التعهد فيسري هذا الاشكال في غير الوضع التعييني الصادر من الواضع الاول</w:t>
      </w:r>
      <w:r w:rsidR="00603323" w:rsidRPr="00FD211F">
        <w:rPr>
          <w:sz w:val="36"/>
          <w:szCs w:val="36"/>
          <w:rtl/>
        </w:rPr>
        <w:t xml:space="preserve">، </w:t>
      </w:r>
      <w:r w:rsidRPr="00FD211F">
        <w:rPr>
          <w:sz w:val="36"/>
          <w:szCs w:val="36"/>
          <w:rtl/>
        </w:rPr>
        <w:t>فانه يقال حينئذ بعدم الحاج</w:t>
      </w:r>
      <w:r w:rsidR="00EC7EDF" w:rsidRPr="00FD211F">
        <w:rPr>
          <w:sz w:val="36"/>
          <w:szCs w:val="36"/>
          <w:rtl/>
        </w:rPr>
        <w:t xml:space="preserve">ة </w:t>
      </w:r>
      <w:r w:rsidRPr="00FD211F">
        <w:rPr>
          <w:sz w:val="36"/>
          <w:szCs w:val="36"/>
          <w:rtl/>
        </w:rPr>
        <w:t>في انعقاد الظهور الاستعمالي الى تعهد المستعمل بعد انعقاد الدلال</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-وان شئت فعبِّر عنها بالدلال</w:t>
      </w:r>
      <w:r w:rsidR="00EC7EDF" w:rsidRPr="00FD211F">
        <w:rPr>
          <w:sz w:val="36"/>
          <w:szCs w:val="36"/>
          <w:rtl/>
        </w:rPr>
        <w:t xml:space="preserve">ة </w:t>
      </w:r>
      <w:r w:rsidRPr="00FD211F">
        <w:rPr>
          <w:sz w:val="36"/>
          <w:szCs w:val="36"/>
          <w:rtl/>
        </w:rPr>
        <w:t>الأنسي</w:t>
      </w:r>
      <w:r w:rsidR="00EC7EDF" w:rsidRPr="00FD211F">
        <w:rPr>
          <w:sz w:val="36"/>
          <w:szCs w:val="36"/>
          <w:rtl/>
        </w:rPr>
        <w:t xml:space="preserve">ة </w:t>
      </w:r>
      <w:r w:rsidRPr="00FD211F">
        <w:rPr>
          <w:sz w:val="36"/>
          <w:szCs w:val="36"/>
          <w:rtl/>
        </w:rPr>
        <w:t>- بين اللفظ والمعنى</w:t>
      </w:r>
      <w:r w:rsidR="00603323" w:rsidRPr="00FD211F">
        <w:rPr>
          <w:sz w:val="36"/>
          <w:szCs w:val="36"/>
          <w:rtl/>
        </w:rPr>
        <w:t xml:space="preserve">، </w:t>
      </w:r>
      <w:r w:rsidRPr="00FD211F">
        <w:rPr>
          <w:sz w:val="36"/>
          <w:szCs w:val="36"/>
          <w:rtl/>
        </w:rPr>
        <w:t>بسبب تعهد الواضع الاول او بسبب كثر</w:t>
      </w:r>
      <w:r w:rsidR="00EC7EDF" w:rsidRPr="00FD211F">
        <w:rPr>
          <w:sz w:val="36"/>
          <w:szCs w:val="36"/>
          <w:rtl/>
        </w:rPr>
        <w:t xml:space="preserve">ة </w:t>
      </w:r>
      <w:r w:rsidRPr="00FD211F">
        <w:rPr>
          <w:sz w:val="36"/>
          <w:szCs w:val="36"/>
          <w:rtl/>
        </w:rPr>
        <w:t>الاستعمال</w:t>
      </w:r>
      <w:r w:rsidR="00603323" w:rsidRPr="00FD211F">
        <w:rPr>
          <w:sz w:val="36"/>
          <w:szCs w:val="36"/>
          <w:rtl/>
        </w:rPr>
        <w:t xml:space="preserve">، </w:t>
      </w:r>
      <w:r w:rsidRPr="00FD211F">
        <w:rPr>
          <w:sz w:val="36"/>
          <w:szCs w:val="36"/>
          <w:rtl/>
        </w:rPr>
        <w:t>وان كان الصحيح هو خلوّ اذهان العرف وارتكازاتهم عن مثل هذه التعهدات والالتزامات</w:t>
      </w:r>
      <w:r w:rsidR="00603323" w:rsidRPr="00FD211F">
        <w:rPr>
          <w:sz w:val="36"/>
          <w:szCs w:val="36"/>
          <w:rtl/>
        </w:rPr>
        <w:t xml:space="preserve">، </w:t>
      </w:r>
      <w:r w:rsidRPr="00FD211F">
        <w:rPr>
          <w:sz w:val="36"/>
          <w:szCs w:val="36"/>
          <w:rtl/>
        </w:rPr>
        <w:t>كما مر بيانه عند الاشكال على مسلك التعهد.</w:t>
      </w:r>
    </w:p>
    <w:p w14:paraId="0C91DB32" w14:textId="77777777" w:rsidR="008639D6" w:rsidRPr="00FD211F" w:rsidRDefault="008639D6" w:rsidP="009C58C8">
      <w:pPr>
        <w:pStyle w:val="3"/>
        <w:ind w:firstLine="227"/>
        <w:jc w:val="both"/>
        <w:rPr>
          <w:rtl/>
        </w:rPr>
        <w:sectPr w:rsidR="008639D6" w:rsidRPr="00FD211F" w:rsidSect="00D24300">
          <w:headerReference w:type="default" r:id="rId22"/>
          <w:footnotePr>
            <w:numRestart w:val="eachPage"/>
          </w:footnotePr>
          <w:pgSz w:w="10319" w:h="14578" w:code="138"/>
          <w:pgMar w:top="1418" w:right="1701" w:bottom="1418" w:left="1701" w:header="1418" w:footer="964" w:gutter="0"/>
          <w:cols w:space="720"/>
          <w:bidi/>
          <w:rtlGutter/>
          <w:docGrid w:linePitch="360"/>
        </w:sectPr>
      </w:pPr>
      <w:bookmarkStart w:id="298" w:name="_Toc192092902"/>
    </w:p>
    <w:p w14:paraId="5292CAFB" w14:textId="77777777" w:rsidR="00DF1803" w:rsidRPr="00FD211F" w:rsidRDefault="00DF1803" w:rsidP="009C58C8">
      <w:pPr>
        <w:pStyle w:val="3"/>
        <w:ind w:firstLine="227"/>
        <w:jc w:val="both"/>
        <w:rPr>
          <w:rtl/>
        </w:rPr>
      </w:pPr>
      <w:bookmarkStart w:id="299" w:name="_Toc223890380"/>
      <w:r w:rsidRPr="00FD211F">
        <w:rPr>
          <w:rtl/>
        </w:rPr>
        <w:t>اقسام الدلال</w:t>
      </w:r>
      <w:r w:rsidR="00EC7EDF" w:rsidRPr="00FD211F">
        <w:rPr>
          <w:rtl/>
        </w:rPr>
        <w:t xml:space="preserve">ة </w:t>
      </w:r>
      <w:r w:rsidR="00F26EB4" w:rsidRPr="00FD211F">
        <w:rPr>
          <w:rtl/>
        </w:rPr>
        <w:t>وحقيق</w:t>
      </w:r>
      <w:r w:rsidR="00EC7EDF" w:rsidRPr="00FD211F">
        <w:rPr>
          <w:rtl/>
        </w:rPr>
        <w:t xml:space="preserve">ة </w:t>
      </w:r>
      <w:r w:rsidR="00F26EB4" w:rsidRPr="00FD211F">
        <w:rPr>
          <w:rtl/>
        </w:rPr>
        <w:t>الاستعمال</w:t>
      </w:r>
      <w:bookmarkEnd w:id="298"/>
      <w:bookmarkEnd w:id="299"/>
    </w:p>
    <w:p w14:paraId="6481D367" w14:textId="77777777" w:rsidR="00DF1803" w:rsidRPr="00FD211F" w:rsidRDefault="00DF1803" w:rsidP="009C58C8">
      <w:pPr>
        <w:ind w:left="0" w:firstLine="227"/>
        <w:jc w:val="both"/>
        <w:rPr>
          <w:sz w:val="36"/>
          <w:szCs w:val="36"/>
          <w:rtl/>
        </w:rPr>
      </w:pPr>
      <w:r w:rsidRPr="00FD211F">
        <w:rPr>
          <w:sz w:val="36"/>
          <w:szCs w:val="36"/>
          <w:rtl/>
        </w:rPr>
        <w:t>انه يوجد لعلاق</w:t>
      </w:r>
      <w:r w:rsidR="00EC7EDF" w:rsidRPr="00FD211F">
        <w:rPr>
          <w:sz w:val="36"/>
          <w:szCs w:val="36"/>
          <w:rtl/>
        </w:rPr>
        <w:t xml:space="preserve">ة </w:t>
      </w:r>
      <w:r w:rsidRPr="00FD211F">
        <w:rPr>
          <w:sz w:val="36"/>
          <w:szCs w:val="36"/>
          <w:rtl/>
        </w:rPr>
        <w:t>اللفظ بالمعنى جانبان احدهما: مرتبط بالسامع ويعبر عنها بالدلال</w:t>
      </w:r>
      <w:r w:rsidR="00EC7EDF" w:rsidRPr="00FD211F">
        <w:rPr>
          <w:sz w:val="36"/>
          <w:szCs w:val="36"/>
          <w:rtl/>
        </w:rPr>
        <w:t xml:space="preserve">ة </w:t>
      </w:r>
      <w:r w:rsidRPr="00FD211F">
        <w:rPr>
          <w:sz w:val="36"/>
          <w:szCs w:val="36"/>
          <w:rtl/>
        </w:rPr>
        <w:t>حيث يوجب سماع اللفظ انتقال ذهن السامع الى تصور المعنى ثانيهما: يرتبط بالمتكلم ويعبر عنها بالاستعمال</w:t>
      </w:r>
      <w:r w:rsidR="00603323" w:rsidRPr="00FD211F">
        <w:rPr>
          <w:sz w:val="36"/>
          <w:szCs w:val="36"/>
          <w:rtl/>
        </w:rPr>
        <w:t xml:space="preserve">، </w:t>
      </w:r>
      <w:r w:rsidRPr="00FD211F">
        <w:rPr>
          <w:sz w:val="36"/>
          <w:szCs w:val="36"/>
          <w:rtl/>
        </w:rPr>
        <w:t>وقد تكلمنا سابقا عن منا</w:t>
      </w:r>
      <w:r w:rsidR="00251CB6" w:rsidRPr="00FD211F">
        <w:rPr>
          <w:sz w:val="36"/>
          <w:szCs w:val="36"/>
          <w:rtl/>
        </w:rPr>
        <w:t xml:space="preserve">شيء </w:t>
      </w:r>
      <w:r w:rsidRPr="00FD211F">
        <w:rPr>
          <w:sz w:val="36"/>
          <w:szCs w:val="36"/>
          <w:rtl/>
        </w:rPr>
        <w:t>دلال</w:t>
      </w:r>
      <w:r w:rsidR="00EC7EDF" w:rsidRPr="00FD211F">
        <w:rPr>
          <w:sz w:val="36"/>
          <w:szCs w:val="36"/>
          <w:rtl/>
        </w:rPr>
        <w:t xml:space="preserve">ة </w:t>
      </w:r>
      <w:r w:rsidRPr="00FD211F">
        <w:rPr>
          <w:sz w:val="36"/>
          <w:szCs w:val="36"/>
          <w:rtl/>
        </w:rPr>
        <w:t>اللفظ على المعنى وحقيق</w:t>
      </w:r>
      <w:r w:rsidR="00EC7EDF" w:rsidRPr="00FD211F">
        <w:rPr>
          <w:sz w:val="36"/>
          <w:szCs w:val="36"/>
          <w:rtl/>
        </w:rPr>
        <w:t xml:space="preserve">ة </w:t>
      </w:r>
      <w:r w:rsidRPr="00FD211F">
        <w:rPr>
          <w:sz w:val="36"/>
          <w:szCs w:val="36"/>
          <w:rtl/>
        </w:rPr>
        <w:t>تلك الدلال</w:t>
      </w:r>
      <w:r w:rsidR="00EC7EDF" w:rsidRPr="00FD211F">
        <w:rPr>
          <w:sz w:val="36"/>
          <w:szCs w:val="36"/>
          <w:rtl/>
        </w:rPr>
        <w:t>ة</w:t>
      </w:r>
      <w:r w:rsidR="00603323" w:rsidRPr="00FD211F">
        <w:rPr>
          <w:sz w:val="36"/>
          <w:szCs w:val="36"/>
          <w:rtl/>
        </w:rPr>
        <w:t xml:space="preserve">، </w:t>
      </w:r>
      <w:r w:rsidRPr="00FD211F">
        <w:rPr>
          <w:sz w:val="36"/>
          <w:szCs w:val="36"/>
          <w:rtl/>
        </w:rPr>
        <w:t>والآن نتكلم عن حقيق</w:t>
      </w:r>
      <w:r w:rsidR="00EC7EDF" w:rsidRPr="00FD211F">
        <w:rPr>
          <w:sz w:val="36"/>
          <w:szCs w:val="36"/>
          <w:rtl/>
        </w:rPr>
        <w:t xml:space="preserve">ة </w:t>
      </w:r>
      <w:r w:rsidRPr="00FD211F">
        <w:rPr>
          <w:sz w:val="36"/>
          <w:szCs w:val="36"/>
          <w:rtl/>
        </w:rPr>
        <w:t>الاستعمال في ضمن عد</w:t>
      </w:r>
      <w:r w:rsidR="00EC7EDF" w:rsidRPr="00FD211F">
        <w:rPr>
          <w:sz w:val="36"/>
          <w:szCs w:val="36"/>
          <w:rtl/>
        </w:rPr>
        <w:t xml:space="preserve">ة </w:t>
      </w:r>
      <w:r w:rsidRPr="00FD211F">
        <w:rPr>
          <w:sz w:val="36"/>
          <w:szCs w:val="36"/>
          <w:rtl/>
        </w:rPr>
        <w:t>أمور:</w:t>
      </w:r>
    </w:p>
    <w:p w14:paraId="6397F68D" w14:textId="77777777" w:rsidR="009A4EEC" w:rsidRPr="00FD211F" w:rsidRDefault="009A4EEC" w:rsidP="009C58C8">
      <w:pPr>
        <w:pStyle w:val="3"/>
        <w:ind w:firstLine="227"/>
        <w:jc w:val="both"/>
        <w:rPr>
          <w:rtl/>
        </w:rPr>
      </w:pPr>
      <w:bookmarkStart w:id="300" w:name="_Toc223890381"/>
      <w:r w:rsidRPr="00FD211F">
        <w:rPr>
          <w:rtl/>
        </w:rPr>
        <w:t>اقسام الدلال</w:t>
      </w:r>
      <w:r w:rsidR="00EC7EDF" w:rsidRPr="00FD211F">
        <w:rPr>
          <w:rtl/>
        </w:rPr>
        <w:t>ة</w:t>
      </w:r>
      <w:bookmarkEnd w:id="300"/>
      <w:r w:rsidR="00EC7EDF" w:rsidRPr="00FD211F">
        <w:rPr>
          <w:rtl/>
        </w:rPr>
        <w:t xml:space="preserve"> </w:t>
      </w:r>
    </w:p>
    <w:p w14:paraId="57DA5AC9" w14:textId="77777777" w:rsidR="00DF1803" w:rsidRPr="00FD211F" w:rsidRDefault="00DF1803" w:rsidP="009C58C8">
      <w:pPr>
        <w:ind w:left="0" w:firstLine="227"/>
        <w:jc w:val="both"/>
        <w:rPr>
          <w:sz w:val="36"/>
          <w:szCs w:val="36"/>
          <w:rtl/>
        </w:rPr>
      </w:pPr>
      <w:r w:rsidRPr="00FD211F">
        <w:rPr>
          <w:b/>
          <w:bCs/>
          <w:sz w:val="36"/>
          <w:szCs w:val="36"/>
          <w:rtl/>
        </w:rPr>
        <w:t>الاول</w:t>
      </w:r>
      <w:r w:rsidRPr="00FD211F">
        <w:rPr>
          <w:sz w:val="36"/>
          <w:szCs w:val="36"/>
          <w:rtl/>
        </w:rPr>
        <w:t>: انه يوجد في نفس المتكلم حين صدور اللفظ منه ثلاث ارادات:</w:t>
      </w:r>
    </w:p>
    <w:p w14:paraId="6ED9A982" w14:textId="77777777" w:rsidR="002C2B14" w:rsidRPr="00FD211F" w:rsidRDefault="00DF1803" w:rsidP="009C58C8">
      <w:pPr>
        <w:ind w:left="0" w:firstLine="227"/>
        <w:jc w:val="both"/>
        <w:rPr>
          <w:sz w:val="36"/>
          <w:szCs w:val="36"/>
          <w:rtl/>
        </w:rPr>
      </w:pPr>
      <w:r w:rsidRPr="00FD211F">
        <w:rPr>
          <w:sz w:val="36"/>
          <w:szCs w:val="36"/>
          <w:rtl/>
        </w:rPr>
        <w:t>1- الإراد</w:t>
      </w:r>
      <w:r w:rsidR="00EC7EDF" w:rsidRPr="00FD211F">
        <w:rPr>
          <w:sz w:val="36"/>
          <w:szCs w:val="36"/>
          <w:rtl/>
        </w:rPr>
        <w:t xml:space="preserve">ة </w:t>
      </w:r>
      <w:r w:rsidRPr="00FD211F">
        <w:rPr>
          <w:sz w:val="36"/>
          <w:szCs w:val="36"/>
          <w:rtl/>
        </w:rPr>
        <w:t>الاس</w:t>
      </w:r>
      <w:r w:rsidR="002C2B14" w:rsidRPr="00FD211F">
        <w:rPr>
          <w:sz w:val="36"/>
          <w:szCs w:val="36"/>
          <w:rtl/>
        </w:rPr>
        <w:t>تعمالي</w:t>
      </w:r>
      <w:r w:rsidR="00EC7EDF" w:rsidRPr="00FD211F">
        <w:rPr>
          <w:sz w:val="36"/>
          <w:szCs w:val="36"/>
          <w:rtl/>
        </w:rPr>
        <w:t>ة</w:t>
      </w:r>
      <w:r w:rsidR="00A61BAE" w:rsidRPr="00FD211F">
        <w:rPr>
          <w:sz w:val="36"/>
          <w:szCs w:val="36"/>
          <w:rtl/>
        </w:rPr>
        <w:t>.</w:t>
      </w:r>
    </w:p>
    <w:p w14:paraId="2F48CDEC" w14:textId="77777777" w:rsidR="000C5BBA" w:rsidRPr="00FD211F" w:rsidRDefault="002C2B14" w:rsidP="009C58C8">
      <w:pPr>
        <w:ind w:left="0" w:firstLine="227"/>
        <w:jc w:val="both"/>
        <w:rPr>
          <w:sz w:val="36"/>
          <w:szCs w:val="36"/>
          <w:rtl/>
        </w:rPr>
      </w:pPr>
      <w:r w:rsidRPr="00FD211F">
        <w:rPr>
          <w:sz w:val="36"/>
          <w:szCs w:val="36"/>
          <w:rtl/>
        </w:rPr>
        <w:t>2</w:t>
      </w:r>
      <w:r w:rsidR="00DF1803" w:rsidRPr="00FD211F">
        <w:rPr>
          <w:sz w:val="36"/>
          <w:szCs w:val="36"/>
          <w:rtl/>
        </w:rPr>
        <w:t>- الاراد</w:t>
      </w:r>
      <w:r w:rsidR="00EC7EDF" w:rsidRPr="00FD211F">
        <w:rPr>
          <w:sz w:val="36"/>
          <w:szCs w:val="36"/>
          <w:rtl/>
        </w:rPr>
        <w:t xml:space="preserve">ة </w:t>
      </w:r>
      <w:r w:rsidR="00DF1803" w:rsidRPr="00FD211F">
        <w:rPr>
          <w:sz w:val="36"/>
          <w:szCs w:val="36"/>
          <w:rtl/>
        </w:rPr>
        <w:t>التفهيمي</w:t>
      </w:r>
      <w:r w:rsidR="00EC7EDF" w:rsidRPr="00FD211F">
        <w:rPr>
          <w:sz w:val="36"/>
          <w:szCs w:val="36"/>
          <w:rtl/>
        </w:rPr>
        <w:t>ة</w:t>
      </w:r>
      <w:r w:rsidR="00A61BAE" w:rsidRPr="00FD211F">
        <w:rPr>
          <w:sz w:val="36"/>
          <w:szCs w:val="36"/>
          <w:rtl/>
        </w:rPr>
        <w:t>.</w:t>
      </w:r>
    </w:p>
    <w:p w14:paraId="1710AD94" w14:textId="77777777" w:rsidR="000C5BBA" w:rsidRPr="00FD211F" w:rsidRDefault="002C2B14" w:rsidP="009C58C8">
      <w:pPr>
        <w:ind w:left="0" w:firstLine="227"/>
        <w:jc w:val="both"/>
        <w:rPr>
          <w:sz w:val="36"/>
          <w:szCs w:val="36"/>
          <w:rtl/>
        </w:rPr>
      </w:pPr>
      <w:r w:rsidRPr="00FD211F">
        <w:rPr>
          <w:sz w:val="36"/>
          <w:szCs w:val="36"/>
          <w:rtl/>
        </w:rPr>
        <w:t>3- الاراد</w:t>
      </w:r>
      <w:r w:rsidR="00EC7EDF" w:rsidRPr="00FD211F">
        <w:rPr>
          <w:sz w:val="36"/>
          <w:szCs w:val="36"/>
          <w:rtl/>
        </w:rPr>
        <w:t xml:space="preserve">ة </w:t>
      </w:r>
      <w:r w:rsidRPr="00FD211F">
        <w:rPr>
          <w:sz w:val="36"/>
          <w:szCs w:val="36"/>
          <w:rtl/>
        </w:rPr>
        <w:t>الجدي</w:t>
      </w:r>
      <w:r w:rsidR="00EC7EDF" w:rsidRPr="00FD211F">
        <w:rPr>
          <w:sz w:val="36"/>
          <w:szCs w:val="36"/>
          <w:rtl/>
        </w:rPr>
        <w:t>ة</w:t>
      </w:r>
      <w:r w:rsidR="00A61BAE" w:rsidRPr="00FD211F">
        <w:rPr>
          <w:sz w:val="36"/>
          <w:szCs w:val="36"/>
          <w:rtl/>
        </w:rPr>
        <w:t>.</w:t>
      </w:r>
    </w:p>
    <w:p w14:paraId="75DFCE3F" w14:textId="77777777" w:rsidR="00DF1803" w:rsidRPr="00FD211F" w:rsidRDefault="00DF1803" w:rsidP="009C58C8">
      <w:pPr>
        <w:ind w:left="0" w:firstLine="227"/>
        <w:jc w:val="both"/>
        <w:rPr>
          <w:sz w:val="36"/>
          <w:szCs w:val="36"/>
          <w:rtl/>
        </w:rPr>
      </w:pPr>
      <w:r w:rsidRPr="00FD211F">
        <w:rPr>
          <w:sz w:val="36"/>
          <w:szCs w:val="36"/>
          <w:rtl/>
        </w:rPr>
        <w:t>والمراد من الأخير واضح وهو ان يكون المراد الاستعمالي في الجمل</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صادرا بداعي الجد لاالهزل او التقي</w:t>
      </w:r>
      <w:r w:rsidR="00EC7EDF" w:rsidRPr="00FD211F">
        <w:rPr>
          <w:sz w:val="36"/>
          <w:szCs w:val="36"/>
          <w:rtl/>
        </w:rPr>
        <w:t xml:space="preserve">ة </w:t>
      </w:r>
      <w:r w:rsidRPr="00FD211F">
        <w:rPr>
          <w:sz w:val="36"/>
          <w:szCs w:val="36"/>
          <w:rtl/>
        </w:rPr>
        <w:t>ونحو ذلك</w:t>
      </w:r>
      <w:r w:rsidR="00603323" w:rsidRPr="00FD211F">
        <w:rPr>
          <w:sz w:val="36"/>
          <w:szCs w:val="36"/>
          <w:rtl/>
        </w:rPr>
        <w:t xml:space="preserve">، </w:t>
      </w:r>
      <w:r w:rsidRPr="00FD211F">
        <w:rPr>
          <w:sz w:val="36"/>
          <w:szCs w:val="36"/>
          <w:rtl/>
        </w:rPr>
        <w:t>انما المهم تفسير حقيق</w:t>
      </w:r>
      <w:r w:rsidR="00EC7EDF" w:rsidRPr="00FD211F">
        <w:rPr>
          <w:sz w:val="36"/>
          <w:szCs w:val="36"/>
          <w:rtl/>
        </w:rPr>
        <w:t xml:space="preserve">ة </w:t>
      </w:r>
      <w:r w:rsidRPr="00FD211F">
        <w:rPr>
          <w:sz w:val="36"/>
          <w:szCs w:val="36"/>
          <w:rtl/>
        </w:rPr>
        <w:t>الاراد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والتفهيمي</w:t>
      </w:r>
      <w:r w:rsidR="00EC7EDF" w:rsidRPr="00FD211F">
        <w:rPr>
          <w:sz w:val="36"/>
          <w:szCs w:val="36"/>
          <w:rtl/>
        </w:rPr>
        <w:t xml:space="preserve">ة </w:t>
      </w:r>
      <w:r w:rsidRPr="00FD211F">
        <w:rPr>
          <w:sz w:val="36"/>
          <w:szCs w:val="36"/>
          <w:rtl/>
        </w:rPr>
        <w:t>وبيان الفرق بينهما</w:t>
      </w:r>
      <w:r w:rsidR="00603323" w:rsidRPr="00FD211F">
        <w:rPr>
          <w:sz w:val="36"/>
          <w:szCs w:val="36"/>
          <w:rtl/>
        </w:rPr>
        <w:t xml:space="preserve">، </w:t>
      </w:r>
      <w:r w:rsidRPr="00FD211F">
        <w:rPr>
          <w:sz w:val="36"/>
          <w:szCs w:val="36"/>
          <w:rtl/>
        </w:rPr>
        <w:t>فانه قد تتحقق الاراد</w:t>
      </w:r>
      <w:r w:rsidR="00EC7EDF" w:rsidRPr="00FD211F">
        <w:rPr>
          <w:sz w:val="36"/>
          <w:szCs w:val="36"/>
          <w:rtl/>
        </w:rPr>
        <w:t xml:space="preserve">ة </w:t>
      </w:r>
      <w:r w:rsidRPr="00FD211F">
        <w:rPr>
          <w:sz w:val="36"/>
          <w:szCs w:val="36"/>
          <w:rtl/>
        </w:rPr>
        <w:t>التفهيمي</w:t>
      </w:r>
      <w:r w:rsidR="00EC7EDF" w:rsidRPr="00FD211F">
        <w:rPr>
          <w:sz w:val="36"/>
          <w:szCs w:val="36"/>
          <w:rtl/>
        </w:rPr>
        <w:t xml:space="preserve">ة </w:t>
      </w:r>
      <w:r w:rsidRPr="00FD211F">
        <w:rPr>
          <w:sz w:val="36"/>
          <w:szCs w:val="36"/>
          <w:rtl/>
        </w:rPr>
        <w:t>دون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كما في موارد التوري</w:t>
      </w:r>
      <w:r w:rsidR="00EC7EDF" w:rsidRPr="00FD211F">
        <w:rPr>
          <w:sz w:val="36"/>
          <w:szCs w:val="36"/>
          <w:rtl/>
        </w:rPr>
        <w:t xml:space="preserve">ة </w:t>
      </w:r>
      <w:r w:rsidRPr="00FD211F">
        <w:rPr>
          <w:sz w:val="36"/>
          <w:szCs w:val="36"/>
          <w:rtl/>
        </w:rPr>
        <w:t>حيث يكون صدور اللفظ ناشئا عن اراد</w:t>
      </w:r>
      <w:r w:rsidR="00EC7EDF" w:rsidRPr="00FD211F">
        <w:rPr>
          <w:sz w:val="36"/>
          <w:szCs w:val="36"/>
          <w:rtl/>
        </w:rPr>
        <w:t xml:space="preserve">ة </w:t>
      </w:r>
      <w:r w:rsidRPr="00FD211F">
        <w:rPr>
          <w:sz w:val="36"/>
          <w:szCs w:val="36"/>
          <w:rtl/>
        </w:rPr>
        <w:t>اخطار المعنى في ذهن المخاطب ولكن المتكلم لايريد الحكاي</w:t>
      </w:r>
      <w:r w:rsidR="00EC7EDF" w:rsidRPr="00FD211F">
        <w:rPr>
          <w:sz w:val="36"/>
          <w:szCs w:val="36"/>
          <w:rtl/>
        </w:rPr>
        <w:t xml:space="preserve">ة </w:t>
      </w:r>
      <w:r w:rsidRPr="00FD211F">
        <w:rPr>
          <w:sz w:val="36"/>
          <w:szCs w:val="36"/>
          <w:rtl/>
        </w:rPr>
        <w:t>عنه</w:t>
      </w:r>
      <w:r w:rsidR="00603323" w:rsidRPr="00FD211F">
        <w:rPr>
          <w:sz w:val="36"/>
          <w:szCs w:val="36"/>
          <w:rtl/>
        </w:rPr>
        <w:t xml:space="preserve">، </w:t>
      </w:r>
      <w:r w:rsidRPr="00FD211F">
        <w:rPr>
          <w:sz w:val="36"/>
          <w:szCs w:val="36"/>
          <w:rtl/>
        </w:rPr>
        <w:t xml:space="preserve">فيقول مثلا </w:t>
      </w:r>
      <w:r w:rsidR="00F452FE" w:rsidRPr="00FD211F">
        <w:rPr>
          <w:sz w:val="36"/>
          <w:szCs w:val="36"/>
          <w:rtl/>
        </w:rPr>
        <w:t>"</w:t>
      </w:r>
      <w:r w:rsidRPr="00FD211F">
        <w:rPr>
          <w:sz w:val="36"/>
          <w:szCs w:val="36"/>
          <w:rtl/>
        </w:rPr>
        <w:t>زيد عادل</w:t>
      </w:r>
      <w:r w:rsidR="00F452FE" w:rsidRPr="00FD211F">
        <w:rPr>
          <w:sz w:val="36"/>
          <w:szCs w:val="36"/>
          <w:rtl/>
        </w:rPr>
        <w:t>"</w:t>
      </w:r>
      <w:r w:rsidRPr="00FD211F">
        <w:rPr>
          <w:sz w:val="36"/>
          <w:szCs w:val="36"/>
          <w:rtl/>
        </w:rPr>
        <w:t xml:space="preserve"> ويريد به كونه عادلا ومنحرفا عن الحق مع ان المخاطب يفهم منه معنى آخر وهو كونه ورعا متقيا</w:t>
      </w:r>
      <w:r w:rsidR="00603323" w:rsidRPr="00FD211F">
        <w:rPr>
          <w:sz w:val="36"/>
          <w:szCs w:val="36"/>
          <w:rtl/>
        </w:rPr>
        <w:t xml:space="preserve">، </w:t>
      </w:r>
      <w:r w:rsidRPr="00FD211F">
        <w:rPr>
          <w:sz w:val="36"/>
          <w:szCs w:val="36"/>
          <w:rtl/>
        </w:rPr>
        <w:t>كما انه قد تتحقق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دون الاراد</w:t>
      </w:r>
      <w:r w:rsidR="00EC7EDF" w:rsidRPr="00FD211F">
        <w:rPr>
          <w:sz w:val="36"/>
          <w:szCs w:val="36"/>
          <w:rtl/>
        </w:rPr>
        <w:t xml:space="preserve">ة </w:t>
      </w:r>
      <w:r w:rsidRPr="00FD211F">
        <w:rPr>
          <w:sz w:val="36"/>
          <w:szCs w:val="36"/>
          <w:rtl/>
        </w:rPr>
        <w:t>التفهيمي</w:t>
      </w:r>
      <w:r w:rsidR="00EC7EDF" w:rsidRPr="00FD211F">
        <w:rPr>
          <w:sz w:val="36"/>
          <w:szCs w:val="36"/>
          <w:rtl/>
        </w:rPr>
        <w:t xml:space="preserve">ة </w:t>
      </w:r>
      <w:r w:rsidRPr="00FD211F">
        <w:rPr>
          <w:sz w:val="36"/>
          <w:szCs w:val="36"/>
          <w:rtl/>
        </w:rPr>
        <w:t>كما في موارد استعمال لفظ مجمل كاللفظ المشترك بلاأي</w:t>
      </w:r>
      <w:r w:rsidR="00EC7EDF" w:rsidRPr="00FD211F">
        <w:rPr>
          <w:sz w:val="36"/>
          <w:szCs w:val="36"/>
          <w:rtl/>
        </w:rPr>
        <w:t xml:space="preserve">ة </w:t>
      </w:r>
      <w:r w:rsidRPr="00FD211F">
        <w:rPr>
          <w:sz w:val="36"/>
          <w:szCs w:val="36"/>
          <w:rtl/>
        </w:rPr>
        <w:t>قرين</w:t>
      </w:r>
      <w:r w:rsidR="00EC7EDF" w:rsidRPr="00FD211F">
        <w:rPr>
          <w:sz w:val="36"/>
          <w:szCs w:val="36"/>
          <w:rtl/>
        </w:rPr>
        <w:t xml:space="preserve">ة </w:t>
      </w:r>
      <w:r w:rsidRPr="00FD211F">
        <w:rPr>
          <w:sz w:val="36"/>
          <w:szCs w:val="36"/>
          <w:rtl/>
        </w:rPr>
        <w:t>تعين احد معانيه</w:t>
      </w:r>
      <w:r w:rsidR="00603323" w:rsidRPr="00FD211F">
        <w:rPr>
          <w:sz w:val="36"/>
          <w:szCs w:val="36"/>
          <w:rtl/>
        </w:rPr>
        <w:t xml:space="preserve">، </w:t>
      </w:r>
      <w:r w:rsidRPr="00FD211F">
        <w:rPr>
          <w:sz w:val="36"/>
          <w:szCs w:val="36"/>
          <w:rtl/>
        </w:rPr>
        <w:t>فانه يوجد فيه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دون الإراد</w:t>
      </w:r>
      <w:r w:rsidR="00EC7EDF" w:rsidRPr="00FD211F">
        <w:rPr>
          <w:sz w:val="36"/>
          <w:szCs w:val="36"/>
          <w:rtl/>
        </w:rPr>
        <w:t xml:space="preserve">ة </w:t>
      </w:r>
      <w:r w:rsidRPr="00FD211F">
        <w:rPr>
          <w:sz w:val="36"/>
          <w:szCs w:val="36"/>
          <w:rtl/>
        </w:rPr>
        <w:t>التفهيمي</w:t>
      </w:r>
      <w:r w:rsidR="00EC7EDF" w:rsidRPr="00FD211F">
        <w:rPr>
          <w:sz w:val="36"/>
          <w:szCs w:val="36"/>
          <w:rtl/>
        </w:rPr>
        <w:t xml:space="preserve">ة </w:t>
      </w:r>
      <w:r w:rsidRPr="00FD211F">
        <w:rPr>
          <w:sz w:val="36"/>
          <w:szCs w:val="36"/>
          <w:rtl/>
        </w:rPr>
        <w:t>حيث</w:t>
      </w:r>
      <w:r w:rsidR="008D7B3D" w:rsidRPr="00FD211F">
        <w:rPr>
          <w:sz w:val="36"/>
          <w:szCs w:val="36"/>
          <w:rtl/>
        </w:rPr>
        <w:t xml:space="preserve"> لم‌</w:t>
      </w:r>
      <w:r w:rsidRPr="00FD211F">
        <w:rPr>
          <w:sz w:val="36"/>
          <w:szCs w:val="36"/>
          <w:rtl/>
        </w:rPr>
        <w:t>يأت المتكلم بما يوجب تفهيم المعنى بالفعل</w:t>
      </w:r>
      <w:r w:rsidR="00603323" w:rsidRPr="00FD211F">
        <w:rPr>
          <w:sz w:val="36"/>
          <w:szCs w:val="36"/>
          <w:rtl/>
        </w:rPr>
        <w:t xml:space="preserve">، </w:t>
      </w:r>
      <w:r w:rsidRPr="00FD211F">
        <w:rPr>
          <w:sz w:val="36"/>
          <w:szCs w:val="36"/>
          <w:rtl/>
        </w:rPr>
        <w:t>وقد يمثل له أيضا بما اذا كان المتكلم قاصدا للحكاي</w:t>
      </w:r>
      <w:r w:rsidR="00EC7EDF" w:rsidRPr="00FD211F">
        <w:rPr>
          <w:sz w:val="36"/>
          <w:szCs w:val="36"/>
          <w:rtl/>
        </w:rPr>
        <w:t xml:space="preserve">ة </w:t>
      </w:r>
      <w:r w:rsidRPr="00FD211F">
        <w:rPr>
          <w:sz w:val="36"/>
          <w:szCs w:val="36"/>
          <w:rtl/>
        </w:rPr>
        <w:t>عن معنى ولكن لايريد ان يسمعه احد كمن غضب ويتكلم مع نفسه لأجل التشفي.</w:t>
      </w:r>
    </w:p>
    <w:p w14:paraId="25F82BAB" w14:textId="77777777" w:rsidR="00DF1803" w:rsidRPr="00FD211F" w:rsidRDefault="00DF1803" w:rsidP="009C58C8">
      <w:pPr>
        <w:ind w:left="0" w:firstLine="227"/>
        <w:jc w:val="both"/>
        <w:rPr>
          <w:sz w:val="36"/>
          <w:szCs w:val="36"/>
          <w:rtl/>
        </w:rPr>
      </w:pPr>
      <w:r w:rsidRPr="00FD211F">
        <w:rPr>
          <w:sz w:val="36"/>
          <w:szCs w:val="36"/>
          <w:rtl/>
        </w:rPr>
        <w:t>والمقصود من الإراد</w:t>
      </w:r>
      <w:r w:rsidR="00EC7EDF" w:rsidRPr="00FD211F">
        <w:rPr>
          <w:sz w:val="36"/>
          <w:szCs w:val="36"/>
          <w:rtl/>
        </w:rPr>
        <w:t xml:space="preserve">ة </w:t>
      </w:r>
      <w:r w:rsidRPr="00FD211F">
        <w:rPr>
          <w:sz w:val="36"/>
          <w:szCs w:val="36"/>
          <w:rtl/>
        </w:rPr>
        <w:t>التفهيمي</w:t>
      </w:r>
      <w:r w:rsidR="00EC7EDF" w:rsidRPr="00FD211F">
        <w:rPr>
          <w:sz w:val="36"/>
          <w:szCs w:val="36"/>
          <w:rtl/>
        </w:rPr>
        <w:t xml:space="preserve">ة </w:t>
      </w:r>
      <w:r w:rsidRPr="00FD211F">
        <w:rPr>
          <w:sz w:val="36"/>
          <w:szCs w:val="36"/>
          <w:rtl/>
        </w:rPr>
        <w:t>هو اراد</w:t>
      </w:r>
      <w:r w:rsidR="00EC7EDF" w:rsidRPr="00FD211F">
        <w:rPr>
          <w:sz w:val="36"/>
          <w:szCs w:val="36"/>
          <w:rtl/>
        </w:rPr>
        <w:t xml:space="preserve">ة </w:t>
      </w:r>
      <w:r w:rsidRPr="00FD211F">
        <w:rPr>
          <w:sz w:val="36"/>
          <w:szCs w:val="36"/>
          <w:rtl/>
        </w:rPr>
        <w:t>تفهيم المخاطب للمعنى بالفعل</w:t>
      </w:r>
      <w:r w:rsidR="00603323" w:rsidRPr="00FD211F">
        <w:rPr>
          <w:sz w:val="36"/>
          <w:szCs w:val="36"/>
          <w:rtl/>
        </w:rPr>
        <w:t xml:space="preserve">، </w:t>
      </w:r>
      <w:r w:rsidRPr="00FD211F">
        <w:rPr>
          <w:sz w:val="36"/>
          <w:szCs w:val="36"/>
          <w:rtl/>
        </w:rPr>
        <w:t>وذلك بالتلفظ بلفظ بغرض اخطار المعنى في ذهن المخاطب.</w:t>
      </w:r>
    </w:p>
    <w:p w14:paraId="3CAFFE70" w14:textId="77777777" w:rsidR="00DF1803" w:rsidRPr="00FD211F" w:rsidRDefault="00DF1803" w:rsidP="009C58C8">
      <w:pPr>
        <w:ind w:left="0" w:firstLine="227"/>
        <w:jc w:val="both"/>
        <w:rPr>
          <w:sz w:val="36"/>
          <w:szCs w:val="36"/>
          <w:rtl/>
        </w:rPr>
      </w:pPr>
      <w:r w:rsidRPr="00FD211F">
        <w:rPr>
          <w:sz w:val="36"/>
          <w:szCs w:val="36"/>
          <w:rtl/>
        </w:rPr>
        <w:t>ولكن قد وقع الخلاف في حقيق</w:t>
      </w:r>
      <w:r w:rsidR="00EC7EDF" w:rsidRPr="00FD211F">
        <w:rPr>
          <w:sz w:val="36"/>
          <w:szCs w:val="36"/>
          <w:rtl/>
        </w:rPr>
        <w:t xml:space="preserve">ة </w:t>
      </w:r>
      <w:r w:rsidRPr="00FD211F">
        <w:rPr>
          <w:sz w:val="36"/>
          <w:szCs w:val="36"/>
          <w:rtl/>
        </w:rPr>
        <w:t>الاراد</w:t>
      </w:r>
      <w:r w:rsidR="00EC7EDF" w:rsidRPr="00FD211F">
        <w:rPr>
          <w:sz w:val="36"/>
          <w:szCs w:val="36"/>
          <w:rtl/>
        </w:rPr>
        <w:t xml:space="preserve">ة </w:t>
      </w:r>
      <w:r w:rsidRPr="00FD211F">
        <w:rPr>
          <w:sz w:val="36"/>
          <w:szCs w:val="36"/>
          <w:rtl/>
        </w:rPr>
        <w:t>الاستعمالي</w:t>
      </w:r>
      <w:r w:rsidR="00EC7EDF" w:rsidRPr="00FD211F">
        <w:rPr>
          <w:sz w:val="36"/>
          <w:szCs w:val="36"/>
          <w:rtl/>
        </w:rPr>
        <w:t>ة</w:t>
      </w:r>
      <w:r w:rsidR="00603323" w:rsidRPr="00FD211F">
        <w:rPr>
          <w:sz w:val="36"/>
          <w:szCs w:val="36"/>
          <w:rtl/>
        </w:rPr>
        <w:t xml:space="preserve">، </w:t>
      </w:r>
      <w:r w:rsidRPr="00FD211F">
        <w:rPr>
          <w:sz w:val="36"/>
          <w:szCs w:val="36"/>
          <w:rtl/>
        </w:rPr>
        <w:t>ويذكر في بيان المراد منها عد</w:t>
      </w:r>
      <w:r w:rsidR="00EC7EDF" w:rsidRPr="00FD211F">
        <w:rPr>
          <w:sz w:val="36"/>
          <w:szCs w:val="36"/>
          <w:rtl/>
        </w:rPr>
        <w:t xml:space="preserve">ة </w:t>
      </w:r>
      <w:r w:rsidRPr="00FD211F">
        <w:rPr>
          <w:sz w:val="36"/>
          <w:szCs w:val="36"/>
          <w:rtl/>
        </w:rPr>
        <w:t>وجوه:</w:t>
      </w:r>
    </w:p>
    <w:p w14:paraId="46C0D4D2" w14:textId="77777777" w:rsidR="00DF1803" w:rsidRPr="00FD211F" w:rsidRDefault="00DF1803" w:rsidP="005946E3">
      <w:pPr>
        <w:ind w:left="0" w:firstLine="227"/>
        <w:jc w:val="both"/>
        <w:rPr>
          <w:sz w:val="36"/>
          <w:szCs w:val="36"/>
          <w:rtl/>
        </w:rPr>
      </w:pPr>
      <w:r w:rsidRPr="00FD211F">
        <w:rPr>
          <w:sz w:val="36"/>
          <w:szCs w:val="36"/>
          <w:rtl/>
        </w:rPr>
        <w:t>1- ما ذكره المحقق الاصفهاني</w:t>
      </w:r>
      <w:r w:rsidR="00A61BAE" w:rsidRPr="00FD211F">
        <w:rPr>
          <w:sz w:val="36"/>
          <w:szCs w:val="36"/>
          <w:rtl/>
        </w:rPr>
        <w:t xml:space="preserve"> </w:t>
      </w:r>
      <w:r w:rsidR="005946E3" w:rsidRPr="00FD211F">
        <w:rPr>
          <w:sz w:val="36"/>
          <w:szCs w:val="36"/>
          <w:rtl/>
        </w:rPr>
        <w:t>"</w:t>
      </w:r>
      <w:r w:rsidR="005D03BA" w:rsidRPr="00FD211F">
        <w:rPr>
          <w:sz w:val="36"/>
          <w:szCs w:val="36"/>
          <w:rtl/>
        </w:rPr>
        <w:t>قده</w:t>
      </w:r>
      <w:r w:rsidR="005946E3" w:rsidRPr="00FD211F">
        <w:rPr>
          <w:sz w:val="36"/>
          <w:szCs w:val="36"/>
          <w:rtl/>
        </w:rPr>
        <w:t>"</w:t>
      </w:r>
      <w:r w:rsidR="00A61BAE" w:rsidRPr="00FD211F">
        <w:rPr>
          <w:sz w:val="36"/>
          <w:szCs w:val="36"/>
          <w:rtl/>
        </w:rPr>
        <w:t xml:space="preserve"> </w:t>
      </w:r>
      <w:r w:rsidRPr="00FD211F">
        <w:rPr>
          <w:sz w:val="36"/>
          <w:szCs w:val="36"/>
          <w:rtl/>
        </w:rPr>
        <w:t>من ان الاراد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هي اراد</w:t>
      </w:r>
      <w:r w:rsidR="00EC7EDF" w:rsidRPr="00FD211F">
        <w:rPr>
          <w:sz w:val="36"/>
          <w:szCs w:val="36"/>
          <w:rtl/>
        </w:rPr>
        <w:t xml:space="preserve">ة </w:t>
      </w:r>
      <w:r w:rsidRPr="00FD211F">
        <w:rPr>
          <w:sz w:val="36"/>
          <w:szCs w:val="36"/>
          <w:rtl/>
        </w:rPr>
        <w:t>ا</w:t>
      </w:r>
      <w:r w:rsidR="002C2B14" w:rsidRPr="00FD211F">
        <w:rPr>
          <w:sz w:val="36"/>
          <w:szCs w:val="36"/>
          <w:rtl/>
        </w:rPr>
        <w:t>لايجاد بالعرض والمجاز</w:t>
      </w:r>
      <w:r w:rsidR="00C94A47" w:rsidRPr="00FD211F">
        <w:rPr>
          <w:sz w:val="36"/>
          <w:szCs w:val="36"/>
          <w:rtl/>
        </w:rPr>
        <w:t xml:space="preserve"> </w:t>
      </w:r>
      <w:r w:rsidR="002C2B14" w:rsidRPr="00FD211F">
        <w:rPr>
          <w:sz w:val="36"/>
          <w:szCs w:val="36"/>
          <w:rtl/>
        </w:rPr>
        <w:t>ل</w:t>
      </w:r>
      <w:r w:rsidRPr="00FD211F">
        <w:rPr>
          <w:sz w:val="36"/>
          <w:szCs w:val="36"/>
          <w:rtl/>
        </w:rPr>
        <w:t>لمعنى ب</w:t>
      </w:r>
      <w:r w:rsidR="002C2B14" w:rsidRPr="00FD211F">
        <w:rPr>
          <w:sz w:val="36"/>
          <w:szCs w:val="36"/>
          <w:rtl/>
        </w:rPr>
        <w:t>واسط</w:t>
      </w:r>
      <w:r w:rsidR="00EC7EDF" w:rsidRPr="00FD211F">
        <w:rPr>
          <w:sz w:val="36"/>
          <w:szCs w:val="36"/>
          <w:rtl/>
        </w:rPr>
        <w:t xml:space="preserve">ة </w:t>
      </w:r>
      <w:r w:rsidR="002C2B14" w:rsidRPr="00FD211F">
        <w:rPr>
          <w:sz w:val="36"/>
          <w:szCs w:val="36"/>
          <w:rtl/>
        </w:rPr>
        <w:t>ايجاد اللفظ</w:t>
      </w:r>
      <w:r w:rsidR="00603323" w:rsidRPr="00FD211F">
        <w:rPr>
          <w:sz w:val="36"/>
          <w:szCs w:val="36"/>
          <w:rtl/>
        </w:rPr>
        <w:t xml:space="preserve">، </w:t>
      </w:r>
      <w:r w:rsidRPr="00FD211F">
        <w:rPr>
          <w:sz w:val="36"/>
          <w:szCs w:val="36"/>
          <w:rtl/>
        </w:rPr>
        <w:t>فان اللفظ وجود ادعائي وتنزيلي للمعنى</w:t>
      </w:r>
      <w:r w:rsidR="009C58C8" w:rsidRPr="00FD211F">
        <w:rPr>
          <w:rStyle w:val="a6"/>
          <w:sz w:val="36"/>
          <w:szCs w:val="36"/>
          <w:rtl/>
        </w:rPr>
        <w:t>(</w:t>
      </w:r>
      <w:r w:rsidR="009C58C8" w:rsidRPr="00FD211F">
        <w:rPr>
          <w:rStyle w:val="a6"/>
          <w:sz w:val="36"/>
          <w:szCs w:val="36"/>
          <w:rtl/>
        </w:rPr>
        <w:footnoteReference w:id="283"/>
      </w:r>
      <w:r w:rsidR="009C58C8" w:rsidRPr="00FD211F">
        <w:rPr>
          <w:rStyle w:val="a6"/>
          <w:sz w:val="36"/>
          <w:szCs w:val="36"/>
          <w:rtl/>
        </w:rPr>
        <w:t>)</w:t>
      </w:r>
      <w:r w:rsidRPr="00FD211F">
        <w:rPr>
          <w:sz w:val="36"/>
          <w:szCs w:val="36"/>
          <w:rtl/>
        </w:rPr>
        <w:t>.</w:t>
      </w:r>
    </w:p>
    <w:p w14:paraId="6EB156BA" w14:textId="77777777" w:rsidR="00DF1803" w:rsidRPr="00FD211F" w:rsidRDefault="00DF1803" w:rsidP="009C58C8">
      <w:pPr>
        <w:ind w:left="0" w:firstLine="227"/>
        <w:jc w:val="both"/>
        <w:rPr>
          <w:sz w:val="36"/>
          <w:szCs w:val="36"/>
          <w:rtl/>
        </w:rPr>
      </w:pPr>
      <w:r w:rsidRPr="00FD211F">
        <w:rPr>
          <w:sz w:val="36"/>
          <w:szCs w:val="36"/>
          <w:rtl/>
        </w:rPr>
        <w:t>ولكن</w:t>
      </w:r>
      <w:r w:rsidR="00B253CE" w:rsidRPr="00FD211F">
        <w:rPr>
          <w:sz w:val="36"/>
          <w:szCs w:val="36"/>
          <w:rtl/>
        </w:rPr>
        <w:t xml:space="preserve"> </w:t>
      </w:r>
      <w:r w:rsidRPr="00FD211F">
        <w:rPr>
          <w:sz w:val="36"/>
          <w:szCs w:val="36"/>
          <w:rtl/>
        </w:rPr>
        <w:t>لامنشأ ل</w:t>
      </w:r>
      <w:r w:rsidR="00722297" w:rsidRPr="00FD211F">
        <w:rPr>
          <w:sz w:val="36"/>
          <w:szCs w:val="36"/>
          <w:rtl/>
        </w:rPr>
        <w:t>دعوى كون</w:t>
      </w:r>
      <w:r w:rsidR="00B253CE" w:rsidRPr="00FD211F">
        <w:rPr>
          <w:sz w:val="36"/>
          <w:szCs w:val="36"/>
          <w:rtl/>
        </w:rPr>
        <w:t xml:space="preserve"> </w:t>
      </w:r>
      <w:r w:rsidRPr="00FD211F">
        <w:rPr>
          <w:sz w:val="36"/>
          <w:szCs w:val="36"/>
          <w:rtl/>
        </w:rPr>
        <w:t>اللفظ وجودا ادعائيا للمعنى</w:t>
      </w:r>
      <w:r w:rsidR="00603323" w:rsidRPr="00FD211F">
        <w:rPr>
          <w:sz w:val="36"/>
          <w:szCs w:val="36"/>
          <w:rtl/>
        </w:rPr>
        <w:t xml:space="preserve">، </w:t>
      </w:r>
      <w:r w:rsidR="002C2B14" w:rsidRPr="00FD211F">
        <w:rPr>
          <w:sz w:val="36"/>
          <w:szCs w:val="36"/>
          <w:rtl/>
        </w:rPr>
        <w:t>عدا ما يقال من أ</w:t>
      </w:r>
      <w:r w:rsidRPr="00FD211F">
        <w:rPr>
          <w:sz w:val="36"/>
          <w:szCs w:val="36"/>
          <w:rtl/>
        </w:rPr>
        <w:t>ن حقيق</w:t>
      </w:r>
      <w:r w:rsidR="00EC7EDF" w:rsidRPr="00FD211F">
        <w:rPr>
          <w:sz w:val="36"/>
          <w:szCs w:val="36"/>
          <w:rtl/>
        </w:rPr>
        <w:t xml:space="preserve">ة </w:t>
      </w:r>
      <w:r w:rsidRPr="00FD211F">
        <w:rPr>
          <w:sz w:val="36"/>
          <w:szCs w:val="36"/>
          <w:rtl/>
        </w:rPr>
        <w:t xml:space="preserve">الوضع </w:t>
      </w:r>
      <w:r w:rsidR="002C2B14" w:rsidRPr="00FD211F">
        <w:rPr>
          <w:sz w:val="36"/>
          <w:szCs w:val="36"/>
          <w:rtl/>
        </w:rPr>
        <w:t>هي إ</w:t>
      </w:r>
      <w:r w:rsidR="00722297" w:rsidRPr="00FD211F">
        <w:rPr>
          <w:sz w:val="36"/>
          <w:szCs w:val="36"/>
          <w:rtl/>
        </w:rPr>
        <w:t>عتبار</w:t>
      </w:r>
      <w:r w:rsidR="002C2B14" w:rsidRPr="00FD211F">
        <w:rPr>
          <w:sz w:val="36"/>
          <w:szCs w:val="36"/>
          <w:rtl/>
        </w:rPr>
        <w:t xml:space="preserve"> وجود اللفظ</w:t>
      </w:r>
      <w:r w:rsidRPr="00FD211F">
        <w:rPr>
          <w:sz w:val="36"/>
          <w:szCs w:val="36"/>
          <w:rtl/>
        </w:rPr>
        <w:t xml:space="preserve"> وجود</w:t>
      </w:r>
      <w:r w:rsidR="002C2B14" w:rsidRPr="00FD211F">
        <w:rPr>
          <w:sz w:val="36"/>
          <w:szCs w:val="36"/>
          <w:rtl/>
        </w:rPr>
        <w:t>ا ل</w:t>
      </w:r>
      <w:r w:rsidRPr="00FD211F">
        <w:rPr>
          <w:sz w:val="36"/>
          <w:szCs w:val="36"/>
          <w:rtl/>
        </w:rPr>
        <w:t xml:space="preserve">لمعنى </w:t>
      </w:r>
      <w:r w:rsidR="00B73C2F" w:rsidRPr="00FD211F">
        <w:rPr>
          <w:sz w:val="36"/>
          <w:szCs w:val="36"/>
          <w:rtl/>
        </w:rPr>
        <w:t>تنزيلا وادعاء</w:t>
      </w:r>
      <w:r w:rsidR="00603323" w:rsidRPr="00FD211F">
        <w:rPr>
          <w:sz w:val="36"/>
          <w:szCs w:val="36"/>
          <w:rtl/>
        </w:rPr>
        <w:t xml:space="preserve">، </w:t>
      </w:r>
      <w:r w:rsidR="00EC7EDF" w:rsidRPr="00FD211F">
        <w:rPr>
          <w:sz w:val="36"/>
          <w:szCs w:val="36"/>
          <w:rtl/>
        </w:rPr>
        <w:t>و</w:t>
      </w:r>
      <w:r w:rsidR="00722297" w:rsidRPr="00FD211F">
        <w:rPr>
          <w:sz w:val="36"/>
          <w:szCs w:val="36"/>
          <w:rtl/>
        </w:rPr>
        <w:t>حيث</w:t>
      </w:r>
      <w:r w:rsidR="00B73C2F" w:rsidRPr="00FD211F">
        <w:rPr>
          <w:sz w:val="36"/>
          <w:szCs w:val="36"/>
          <w:rtl/>
        </w:rPr>
        <w:t xml:space="preserve"> </w:t>
      </w:r>
      <w:r w:rsidR="00FA6047" w:rsidRPr="00FD211F">
        <w:rPr>
          <w:sz w:val="36"/>
          <w:szCs w:val="36"/>
          <w:rtl/>
        </w:rPr>
        <w:t>أن</w:t>
      </w:r>
      <w:r w:rsidR="00B73C2F" w:rsidRPr="00FD211F">
        <w:rPr>
          <w:sz w:val="36"/>
          <w:szCs w:val="36"/>
          <w:rtl/>
        </w:rPr>
        <w:t xml:space="preserve"> </w:t>
      </w:r>
      <w:r w:rsidR="00722297" w:rsidRPr="00FD211F">
        <w:rPr>
          <w:sz w:val="36"/>
          <w:szCs w:val="36"/>
          <w:rtl/>
        </w:rPr>
        <w:t xml:space="preserve">الاستعمال </w:t>
      </w:r>
      <w:r w:rsidR="00FA6047" w:rsidRPr="00FD211F">
        <w:rPr>
          <w:sz w:val="36"/>
          <w:szCs w:val="36"/>
          <w:rtl/>
        </w:rPr>
        <w:t>يعني</w:t>
      </w:r>
      <w:r w:rsidR="00B73C2F" w:rsidRPr="00FD211F">
        <w:rPr>
          <w:sz w:val="36"/>
          <w:szCs w:val="36"/>
          <w:rtl/>
        </w:rPr>
        <w:t xml:space="preserve"> وجود اللفظ ف</w:t>
      </w:r>
      <w:r w:rsidR="00FA6047" w:rsidRPr="00FD211F">
        <w:rPr>
          <w:sz w:val="36"/>
          <w:szCs w:val="36"/>
          <w:rtl/>
        </w:rPr>
        <w:t xml:space="preserve">بذلك يصير اعتبار كون وجود اللفظ </w:t>
      </w:r>
      <w:r w:rsidR="00B73C2F" w:rsidRPr="00FD211F">
        <w:rPr>
          <w:sz w:val="36"/>
          <w:szCs w:val="36"/>
          <w:rtl/>
        </w:rPr>
        <w:t>وجود المعنى</w:t>
      </w:r>
      <w:r w:rsidR="00603323" w:rsidRPr="00FD211F">
        <w:rPr>
          <w:sz w:val="36"/>
          <w:szCs w:val="36"/>
          <w:rtl/>
        </w:rPr>
        <w:t xml:space="preserve">، </w:t>
      </w:r>
      <w:r w:rsidR="00B73C2F" w:rsidRPr="00FD211F">
        <w:rPr>
          <w:sz w:val="36"/>
          <w:szCs w:val="36"/>
          <w:rtl/>
        </w:rPr>
        <w:t>فعليا بفعلي</w:t>
      </w:r>
      <w:r w:rsidR="00EC7EDF" w:rsidRPr="00FD211F">
        <w:rPr>
          <w:sz w:val="36"/>
          <w:szCs w:val="36"/>
          <w:rtl/>
        </w:rPr>
        <w:t xml:space="preserve">ة </w:t>
      </w:r>
      <w:r w:rsidR="00B73C2F" w:rsidRPr="00FD211F">
        <w:rPr>
          <w:sz w:val="36"/>
          <w:szCs w:val="36"/>
          <w:rtl/>
        </w:rPr>
        <w:t>موضوعه</w:t>
      </w:r>
      <w:r w:rsidR="00603323" w:rsidRPr="00FD211F">
        <w:rPr>
          <w:sz w:val="36"/>
          <w:szCs w:val="36"/>
          <w:rtl/>
        </w:rPr>
        <w:t xml:space="preserve">، </w:t>
      </w:r>
      <w:r w:rsidRPr="00FD211F">
        <w:rPr>
          <w:sz w:val="36"/>
          <w:szCs w:val="36"/>
          <w:rtl/>
        </w:rPr>
        <w:t xml:space="preserve">ولكن يرد عليه -مضافا الى انه خلاف مسلك المحقق الاصفهاني </w:t>
      </w:r>
      <w:r w:rsidR="00B73C2F" w:rsidRPr="00FD211F">
        <w:rPr>
          <w:sz w:val="36"/>
          <w:szCs w:val="36"/>
          <w:rtl/>
        </w:rPr>
        <w:t>"</w:t>
      </w:r>
      <w:r w:rsidRPr="00FD211F">
        <w:rPr>
          <w:sz w:val="36"/>
          <w:szCs w:val="36"/>
          <w:rtl/>
        </w:rPr>
        <w:t>قده</w:t>
      </w:r>
      <w:r w:rsidR="00B73C2F" w:rsidRPr="00FD211F">
        <w:rPr>
          <w:sz w:val="36"/>
          <w:szCs w:val="36"/>
          <w:rtl/>
        </w:rPr>
        <w:t>"</w:t>
      </w:r>
      <w:r w:rsidRPr="00FD211F">
        <w:rPr>
          <w:sz w:val="36"/>
          <w:szCs w:val="36"/>
          <w:rtl/>
        </w:rPr>
        <w:t xml:space="preserve"> في تفسير حقيق</w:t>
      </w:r>
      <w:r w:rsidR="00EC7EDF" w:rsidRPr="00FD211F">
        <w:rPr>
          <w:sz w:val="36"/>
          <w:szCs w:val="36"/>
          <w:rtl/>
        </w:rPr>
        <w:t xml:space="preserve">ة </w:t>
      </w:r>
      <w:r w:rsidRPr="00FD211F">
        <w:rPr>
          <w:sz w:val="36"/>
          <w:szCs w:val="36"/>
          <w:rtl/>
        </w:rPr>
        <w:t>الوضع حيث يراه اعتبار وضع اللفظ على المعنى على وزان وضع العَلَم على المكان ليدل على انه رأس الفرسخ مثلا- انه لايلزم مطابق</w:t>
      </w:r>
      <w:r w:rsidR="00EC7EDF" w:rsidRPr="00FD211F">
        <w:rPr>
          <w:sz w:val="36"/>
          <w:szCs w:val="36"/>
          <w:rtl/>
        </w:rPr>
        <w:t xml:space="preserve">ة </w:t>
      </w:r>
      <w:r w:rsidRPr="00FD211F">
        <w:rPr>
          <w:sz w:val="36"/>
          <w:szCs w:val="36"/>
          <w:rtl/>
        </w:rPr>
        <w:t>حقيق</w:t>
      </w:r>
      <w:r w:rsidR="00EC7EDF" w:rsidRPr="00FD211F">
        <w:rPr>
          <w:sz w:val="36"/>
          <w:szCs w:val="36"/>
          <w:rtl/>
        </w:rPr>
        <w:t xml:space="preserve">ة </w:t>
      </w:r>
      <w:r w:rsidRPr="00FD211F">
        <w:rPr>
          <w:sz w:val="36"/>
          <w:szCs w:val="36"/>
          <w:rtl/>
        </w:rPr>
        <w:t>الوضع مع حقيق</w:t>
      </w:r>
      <w:r w:rsidR="00EC7EDF" w:rsidRPr="00FD211F">
        <w:rPr>
          <w:sz w:val="36"/>
          <w:szCs w:val="36"/>
          <w:rtl/>
        </w:rPr>
        <w:t xml:space="preserve">ة </w:t>
      </w:r>
      <w:r w:rsidRPr="00FD211F">
        <w:rPr>
          <w:sz w:val="36"/>
          <w:szCs w:val="36"/>
          <w:rtl/>
        </w:rPr>
        <w:t>الاستعمال فان الغرض من الوضع</w:t>
      </w:r>
      <w:r w:rsidR="007974F6" w:rsidRPr="00FD211F">
        <w:rPr>
          <w:sz w:val="36"/>
          <w:szCs w:val="36"/>
          <w:rtl/>
        </w:rPr>
        <w:t xml:space="preserve"> ليس هو </w:t>
      </w:r>
      <w:r w:rsidRPr="00FD211F">
        <w:rPr>
          <w:sz w:val="36"/>
          <w:szCs w:val="36"/>
          <w:rtl/>
        </w:rPr>
        <w:t>تعيين كيفي</w:t>
      </w:r>
      <w:r w:rsidR="00EC7EDF" w:rsidRPr="00FD211F">
        <w:rPr>
          <w:sz w:val="36"/>
          <w:szCs w:val="36"/>
          <w:rtl/>
        </w:rPr>
        <w:t xml:space="preserve">ة </w:t>
      </w:r>
      <w:r w:rsidRPr="00FD211F">
        <w:rPr>
          <w:sz w:val="36"/>
          <w:szCs w:val="36"/>
          <w:rtl/>
        </w:rPr>
        <w:t>استعمال اللفظ في معناه</w:t>
      </w:r>
      <w:r w:rsidR="00603323" w:rsidRPr="00FD211F">
        <w:rPr>
          <w:sz w:val="36"/>
          <w:szCs w:val="36"/>
          <w:rtl/>
        </w:rPr>
        <w:t xml:space="preserve">، </w:t>
      </w:r>
      <w:r w:rsidR="007974F6" w:rsidRPr="00FD211F">
        <w:rPr>
          <w:sz w:val="36"/>
          <w:szCs w:val="36"/>
          <w:rtl/>
        </w:rPr>
        <w:t>بل الغرض منه ايجاد دلال</w:t>
      </w:r>
      <w:r w:rsidR="00EC7EDF" w:rsidRPr="00FD211F">
        <w:rPr>
          <w:sz w:val="36"/>
          <w:szCs w:val="36"/>
          <w:rtl/>
        </w:rPr>
        <w:t xml:space="preserve">ة </w:t>
      </w:r>
      <w:r w:rsidR="007974F6" w:rsidRPr="00FD211F">
        <w:rPr>
          <w:sz w:val="36"/>
          <w:szCs w:val="36"/>
          <w:rtl/>
        </w:rPr>
        <w:t>اللفظ على المعنى</w:t>
      </w:r>
      <w:r w:rsidRPr="00FD211F">
        <w:rPr>
          <w:sz w:val="36"/>
          <w:szCs w:val="36"/>
          <w:rtl/>
        </w:rPr>
        <w:t>.</w:t>
      </w:r>
    </w:p>
    <w:p w14:paraId="245900A1" w14:textId="77777777" w:rsidR="00DF1803" w:rsidRPr="00FD211F" w:rsidRDefault="00DF1803" w:rsidP="009C58C8">
      <w:pPr>
        <w:ind w:left="0" w:firstLine="227"/>
        <w:jc w:val="both"/>
        <w:rPr>
          <w:sz w:val="36"/>
          <w:szCs w:val="36"/>
          <w:rtl/>
        </w:rPr>
      </w:pPr>
      <w:r w:rsidRPr="00FD211F">
        <w:rPr>
          <w:sz w:val="36"/>
          <w:szCs w:val="36"/>
          <w:rtl/>
        </w:rPr>
        <w:t xml:space="preserve">2- ما ذكره السيد الخوئي </w:t>
      </w:r>
      <w:r w:rsidR="00F452FE" w:rsidRPr="00FD211F">
        <w:rPr>
          <w:sz w:val="36"/>
          <w:szCs w:val="36"/>
          <w:rtl/>
        </w:rPr>
        <w:t>"</w:t>
      </w:r>
      <w:r w:rsidRPr="00FD211F">
        <w:rPr>
          <w:sz w:val="36"/>
          <w:szCs w:val="36"/>
          <w:rtl/>
        </w:rPr>
        <w:t>قده</w:t>
      </w:r>
      <w:r w:rsidR="00F452FE" w:rsidRPr="00FD211F">
        <w:rPr>
          <w:sz w:val="36"/>
          <w:szCs w:val="36"/>
          <w:rtl/>
        </w:rPr>
        <w:t>"</w:t>
      </w:r>
      <w:r w:rsidRPr="00FD211F">
        <w:rPr>
          <w:sz w:val="36"/>
          <w:szCs w:val="36"/>
          <w:rtl/>
        </w:rPr>
        <w:t xml:space="preserve"> من انه بناء على المسلك الصحيح في حقيق</w:t>
      </w:r>
      <w:r w:rsidR="00EC7EDF" w:rsidRPr="00FD211F">
        <w:rPr>
          <w:sz w:val="36"/>
          <w:szCs w:val="36"/>
          <w:rtl/>
        </w:rPr>
        <w:t xml:space="preserve">ة </w:t>
      </w:r>
      <w:r w:rsidR="004C7EB6" w:rsidRPr="00FD211F">
        <w:rPr>
          <w:sz w:val="36"/>
          <w:szCs w:val="36"/>
          <w:rtl/>
        </w:rPr>
        <w:t>الوضع من انه</w:t>
      </w:r>
      <w:r w:rsidRPr="00FD211F">
        <w:rPr>
          <w:sz w:val="36"/>
          <w:szCs w:val="36"/>
          <w:rtl/>
        </w:rPr>
        <w:t xml:space="preserve"> التعهد والالتزام النفساني بان لايتلفظ باللفظ الفلاني الا اذا كان قاصدا تفهيم معنى معين</w:t>
      </w:r>
      <w:r w:rsidR="00603323" w:rsidRPr="00FD211F">
        <w:rPr>
          <w:sz w:val="36"/>
          <w:szCs w:val="36"/>
          <w:rtl/>
        </w:rPr>
        <w:t xml:space="preserve">، </w:t>
      </w:r>
      <w:r w:rsidRPr="00FD211F">
        <w:rPr>
          <w:sz w:val="36"/>
          <w:szCs w:val="36"/>
          <w:rtl/>
        </w:rPr>
        <w:t>فلايكون الاستعمال الا فعلي</w:t>
      </w:r>
      <w:r w:rsidR="00EC7EDF" w:rsidRPr="00FD211F">
        <w:rPr>
          <w:sz w:val="36"/>
          <w:szCs w:val="36"/>
          <w:rtl/>
        </w:rPr>
        <w:t xml:space="preserve">ة </w:t>
      </w:r>
      <w:r w:rsidRPr="00FD211F">
        <w:rPr>
          <w:sz w:val="36"/>
          <w:szCs w:val="36"/>
          <w:rtl/>
        </w:rPr>
        <w:t>ذلك التعهد</w:t>
      </w:r>
      <w:r w:rsidR="007974F6" w:rsidRPr="00FD211F">
        <w:rPr>
          <w:sz w:val="36"/>
          <w:szCs w:val="36"/>
          <w:rtl/>
        </w:rPr>
        <w:t xml:space="preserve"> اي جعل اللفظ مبرزا للمعنى</w:t>
      </w:r>
      <w:r w:rsidRPr="00FD211F">
        <w:rPr>
          <w:sz w:val="36"/>
          <w:szCs w:val="36"/>
          <w:rtl/>
        </w:rPr>
        <w:t xml:space="preserve"> الذي قصد المتكلم تفهيمه</w:t>
      </w:r>
      <w:r w:rsidR="009C58C8" w:rsidRPr="00FD211F">
        <w:rPr>
          <w:rStyle w:val="a6"/>
          <w:sz w:val="36"/>
          <w:szCs w:val="36"/>
          <w:rtl/>
        </w:rPr>
        <w:t>(</w:t>
      </w:r>
      <w:r w:rsidR="009C58C8" w:rsidRPr="00FD211F">
        <w:rPr>
          <w:rStyle w:val="a6"/>
          <w:sz w:val="36"/>
          <w:szCs w:val="36"/>
          <w:rtl/>
        </w:rPr>
        <w:footnoteReference w:id="284"/>
      </w:r>
      <w:r w:rsidR="009C58C8" w:rsidRPr="00FD211F">
        <w:rPr>
          <w:rStyle w:val="a6"/>
          <w:sz w:val="36"/>
          <w:szCs w:val="36"/>
          <w:rtl/>
        </w:rPr>
        <w:t>)</w:t>
      </w:r>
      <w:r w:rsidRPr="00FD211F">
        <w:rPr>
          <w:sz w:val="36"/>
          <w:szCs w:val="36"/>
          <w:rtl/>
        </w:rPr>
        <w:t>.</w:t>
      </w:r>
    </w:p>
    <w:p w14:paraId="0579D910" w14:textId="77777777" w:rsidR="00DF1803" w:rsidRPr="00FD211F" w:rsidRDefault="00DF1803" w:rsidP="009C58C8">
      <w:pPr>
        <w:ind w:left="0" w:firstLine="227"/>
        <w:jc w:val="both"/>
        <w:rPr>
          <w:sz w:val="36"/>
          <w:szCs w:val="36"/>
          <w:rtl/>
        </w:rPr>
      </w:pPr>
      <w:r w:rsidRPr="00FD211F">
        <w:rPr>
          <w:sz w:val="36"/>
          <w:szCs w:val="36"/>
          <w:rtl/>
        </w:rPr>
        <w:t>ويلاحظ عليه: ان تفسيرحقيق</w:t>
      </w:r>
      <w:r w:rsidR="00EC7EDF" w:rsidRPr="00FD211F">
        <w:rPr>
          <w:sz w:val="36"/>
          <w:szCs w:val="36"/>
          <w:rtl/>
        </w:rPr>
        <w:t xml:space="preserve">ة </w:t>
      </w:r>
      <w:r w:rsidRPr="00FD211F">
        <w:rPr>
          <w:sz w:val="36"/>
          <w:szCs w:val="36"/>
          <w:rtl/>
        </w:rPr>
        <w:t>الوضع بالتعهد لايتكفل لبيان حقيق</w:t>
      </w:r>
      <w:r w:rsidR="00EC7EDF" w:rsidRPr="00FD211F">
        <w:rPr>
          <w:sz w:val="36"/>
          <w:szCs w:val="36"/>
          <w:rtl/>
        </w:rPr>
        <w:t xml:space="preserve">ة </w:t>
      </w:r>
      <w:r w:rsidRPr="00FD211F">
        <w:rPr>
          <w:sz w:val="36"/>
          <w:szCs w:val="36"/>
          <w:rtl/>
        </w:rPr>
        <w:t>الاستعمال</w:t>
      </w:r>
      <w:r w:rsidR="00603323" w:rsidRPr="00FD211F">
        <w:rPr>
          <w:sz w:val="36"/>
          <w:szCs w:val="36"/>
          <w:rtl/>
        </w:rPr>
        <w:t xml:space="preserve">، </w:t>
      </w:r>
      <w:r w:rsidRPr="00FD211F">
        <w:rPr>
          <w:sz w:val="36"/>
          <w:szCs w:val="36"/>
          <w:rtl/>
        </w:rPr>
        <w:t>ويشهد على ذلك انه في موارد التوري</w:t>
      </w:r>
      <w:r w:rsidR="00EC7EDF" w:rsidRPr="00FD211F">
        <w:rPr>
          <w:sz w:val="36"/>
          <w:szCs w:val="36"/>
          <w:rtl/>
        </w:rPr>
        <w:t xml:space="preserve">ة </w:t>
      </w:r>
      <w:r w:rsidRPr="00FD211F">
        <w:rPr>
          <w:sz w:val="36"/>
          <w:szCs w:val="36"/>
          <w:rtl/>
        </w:rPr>
        <w:t>يكون المتكلم قاصدا لتفهيم معنى آخر للمخاطب و</w:t>
      </w:r>
      <w:r w:rsidR="007974F6" w:rsidRPr="00FD211F">
        <w:rPr>
          <w:sz w:val="36"/>
          <w:szCs w:val="36"/>
          <w:rtl/>
        </w:rPr>
        <w:t>إ</w:t>
      </w:r>
      <w:r w:rsidRPr="00FD211F">
        <w:rPr>
          <w:sz w:val="36"/>
          <w:szCs w:val="36"/>
          <w:rtl/>
        </w:rPr>
        <w:t>خ</w:t>
      </w:r>
      <w:r w:rsidR="007974F6" w:rsidRPr="00FD211F">
        <w:rPr>
          <w:sz w:val="36"/>
          <w:szCs w:val="36"/>
          <w:rtl/>
        </w:rPr>
        <w:t>ط</w:t>
      </w:r>
      <w:r w:rsidRPr="00FD211F">
        <w:rPr>
          <w:sz w:val="36"/>
          <w:szCs w:val="36"/>
          <w:rtl/>
        </w:rPr>
        <w:t>اره في ذهنه غير المعنى الذي استعمل اللفظ فيه</w:t>
      </w:r>
      <w:r w:rsidR="00603323" w:rsidRPr="00FD211F">
        <w:rPr>
          <w:sz w:val="36"/>
          <w:szCs w:val="36"/>
          <w:rtl/>
        </w:rPr>
        <w:t xml:space="preserve">، </w:t>
      </w:r>
      <w:r w:rsidRPr="00FD211F">
        <w:rPr>
          <w:sz w:val="36"/>
          <w:szCs w:val="36"/>
          <w:rtl/>
        </w:rPr>
        <w:t>كما أنه قد لايكون المتكلم قاصدا تفهيم المعنى بالفعل</w:t>
      </w:r>
      <w:r w:rsidR="00603323" w:rsidRPr="00FD211F">
        <w:rPr>
          <w:sz w:val="36"/>
          <w:szCs w:val="36"/>
          <w:rtl/>
        </w:rPr>
        <w:t xml:space="preserve">، </w:t>
      </w:r>
      <w:r w:rsidRPr="00FD211F">
        <w:rPr>
          <w:sz w:val="36"/>
          <w:szCs w:val="36"/>
          <w:rtl/>
        </w:rPr>
        <w:t>كما في استعمال اللفظ المشترك في احد معانيه بلاقرين</w:t>
      </w:r>
      <w:r w:rsidR="00EC7EDF" w:rsidRPr="00FD211F">
        <w:rPr>
          <w:sz w:val="36"/>
          <w:szCs w:val="36"/>
          <w:rtl/>
        </w:rPr>
        <w:t xml:space="preserve">ة </w:t>
      </w:r>
      <w:r w:rsidRPr="00FD211F">
        <w:rPr>
          <w:sz w:val="36"/>
          <w:szCs w:val="36"/>
          <w:rtl/>
        </w:rPr>
        <w:t>او استعمال اللفظ في المعنى المجازي مع انتفاء القرين</w:t>
      </w:r>
      <w:r w:rsidR="00EC7EDF" w:rsidRPr="00FD211F">
        <w:rPr>
          <w:sz w:val="36"/>
          <w:szCs w:val="36"/>
          <w:rtl/>
        </w:rPr>
        <w:t xml:space="preserve">ة </w:t>
      </w:r>
      <w:r w:rsidRPr="00FD211F">
        <w:rPr>
          <w:sz w:val="36"/>
          <w:szCs w:val="36"/>
          <w:rtl/>
        </w:rPr>
        <w:t>المتصل</w:t>
      </w:r>
      <w:r w:rsidR="00EC7EDF" w:rsidRPr="00FD211F">
        <w:rPr>
          <w:sz w:val="36"/>
          <w:szCs w:val="36"/>
          <w:rtl/>
        </w:rPr>
        <w:t>ة</w:t>
      </w:r>
      <w:r w:rsidR="00603323" w:rsidRPr="00FD211F">
        <w:rPr>
          <w:sz w:val="36"/>
          <w:szCs w:val="36"/>
          <w:rtl/>
        </w:rPr>
        <w:t xml:space="preserve">، </w:t>
      </w:r>
      <w:r w:rsidRPr="00FD211F">
        <w:rPr>
          <w:sz w:val="36"/>
          <w:szCs w:val="36"/>
          <w:rtl/>
        </w:rPr>
        <w:t>فان ظاهر حال المتكلم وان كان هو وفاءه بتعهده بان لايستعمل هذا اللفظ في غير معناه الحقيقي من دون نصب قرين</w:t>
      </w:r>
      <w:r w:rsidR="00EC7EDF" w:rsidRPr="00FD211F">
        <w:rPr>
          <w:sz w:val="36"/>
          <w:szCs w:val="36"/>
          <w:rtl/>
        </w:rPr>
        <w:t xml:space="preserve">ة </w:t>
      </w:r>
      <w:r w:rsidRPr="00FD211F">
        <w:rPr>
          <w:sz w:val="36"/>
          <w:szCs w:val="36"/>
          <w:rtl/>
        </w:rPr>
        <w:t xml:space="preserve">حسب ما التزم به </w:t>
      </w:r>
      <w:r w:rsidR="00B73C2F" w:rsidRPr="00FD211F">
        <w:rPr>
          <w:sz w:val="36"/>
          <w:szCs w:val="36"/>
          <w:rtl/>
        </w:rPr>
        <w:t>"</w:t>
      </w:r>
      <w:r w:rsidRPr="00FD211F">
        <w:rPr>
          <w:sz w:val="36"/>
          <w:szCs w:val="36"/>
          <w:rtl/>
        </w:rPr>
        <w:t>قده</w:t>
      </w:r>
      <w:r w:rsidR="00B73C2F" w:rsidRPr="00FD211F">
        <w:rPr>
          <w:sz w:val="36"/>
          <w:szCs w:val="36"/>
          <w:rtl/>
        </w:rPr>
        <w:t>"</w:t>
      </w:r>
      <w:r w:rsidR="00603323" w:rsidRPr="00FD211F">
        <w:rPr>
          <w:sz w:val="36"/>
          <w:szCs w:val="36"/>
          <w:rtl/>
        </w:rPr>
        <w:t xml:space="preserve">، </w:t>
      </w:r>
      <w:r w:rsidRPr="00FD211F">
        <w:rPr>
          <w:sz w:val="36"/>
          <w:szCs w:val="36"/>
          <w:rtl/>
        </w:rPr>
        <w:t>لكنه لايعني انتفاء حقيق</w:t>
      </w:r>
      <w:r w:rsidR="00EC7EDF" w:rsidRPr="00FD211F">
        <w:rPr>
          <w:sz w:val="36"/>
          <w:szCs w:val="36"/>
          <w:rtl/>
        </w:rPr>
        <w:t xml:space="preserve">ة </w:t>
      </w:r>
      <w:r w:rsidRPr="00FD211F">
        <w:rPr>
          <w:sz w:val="36"/>
          <w:szCs w:val="36"/>
          <w:rtl/>
        </w:rPr>
        <w:t>الاستعمال في</w:t>
      </w:r>
      <w:r w:rsidR="007974F6" w:rsidRPr="00FD211F">
        <w:rPr>
          <w:sz w:val="36"/>
          <w:szCs w:val="36"/>
          <w:rtl/>
        </w:rPr>
        <w:t xml:space="preserve"> مورد الاستعمال</w:t>
      </w:r>
      <w:r w:rsidRPr="00FD211F">
        <w:rPr>
          <w:sz w:val="36"/>
          <w:szCs w:val="36"/>
          <w:rtl/>
        </w:rPr>
        <w:t xml:space="preserve"> المجازي بلاقرين</w:t>
      </w:r>
      <w:r w:rsidR="00EC7EDF" w:rsidRPr="00FD211F">
        <w:rPr>
          <w:sz w:val="36"/>
          <w:szCs w:val="36"/>
          <w:rtl/>
        </w:rPr>
        <w:t>ة</w:t>
      </w:r>
      <w:r w:rsidR="00A61BAE" w:rsidRPr="00FD211F">
        <w:rPr>
          <w:sz w:val="36"/>
          <w:szCs w:val="36"/>
          <w:rtl/>
        </w:rPr>
        <w:t>.</w:t>
      </w:r>
    </w:p>
    <w:p w14:paraId="2E88F39C" w14:textId="77777777" w:rsidR="00DF1803" w:rsidRPr="00FD211F" w:rsidRDefault="00DF1803" w:rsidP="009C58C8">
      <w:pPr>
        <w:ind w:left="0" w:firstLine="227"/>
        <w:jc w:val="both"/>
        <w:rPr>
          <w:sz w:val="36"/>
          <w:szCs w:val="36"/>
          <w:rtl/>
        </w:rPr>
      </w:pPr>
      <w:r w:rsidRPr="00FD211F">
        <w:rPr>
          <w:sz w:val="36"/>
          <w:szCs w:val="36"/>
          <w:rtl/>
        </w:rPr>
        <w:t>3- ما ذكره في البحوث من ان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هي إراد</w:t>
      </w:r>
      <w:r w:rsidR="00EC7EDF" w:rsidRPr="00FD211F">
        <w:rPr>
          <w:sz w:val="36"/>
          <w:szCs w:val="36"/>
          <w:rtl/>
        </w:rPr>
        <w:t xml:space="preserve">ة </w:t>
      </w:r>
      <w:r w:rsidRPr="00FD211F">
        <w:rPr>
          <w:sz w:val="36"/>
          <w:szCs w:val="36"/>
          <w:rtl/>
        </w:rPr>
        <w:t>الاتيان بلفظ</w:t>
      </w:r>
      <w:r w:rsidR="004C7EB6" w:rsidRPr="00FD211F">
        <w:rPr>
          <w:sz w:val="36"/>
          <w:szCs w:val="36"/>
          <w:rtl/>
        </w:rPr>
        <w:t>ٍ</w:t>
      </w:r>
      <w:r w:rsidRPr="00FD211F">
        <w:rPr>
          <w:sz w:val="36"/>
          <w:szCs w:val="36"/>
          <w:rtl/>
        </w:rPr>
        <w:t xml:space="preserve"> يصلح للحكاي</w:t>
      </w:r>
      <w:r w:rsidR="00EC7EDF" w:rsidRPr="00FD211F">
        <w:rPr>
          <w:sz w:val="36"/>
          <w:szCs w:val="36"/>
          <w:rtl/>
        </w:rPr>
        <w:t xml:space="preserve">ة </w:t>
      </w:r>
      <w:r w:rsidRPr="00FD211F">
        <w:rPr>
          <w:sz w:val="36"/>
          <w:szCs w:val="36"/>
          <w:rtl/>
        </w:rPr>
        <w:t>عن المعنى من حيث انه كذلك لامن حيث انه صوت</w:t>
      </w:r>
      <w:r w:rsidR="00603323" w:rsidRPr="00FD211F">
        <w:rPr>
          <w:sz w:val="36"/>
          <w:szCs w:val="36"/>
          <w:rtl/>
        </w:rPr>
        <w:t xml:space="preserve">، </w:t>
      </w:r>
      <w:r w:rsidRPr="00FD211F">
        <w:rPr>
          <w:sz w:val="36"/>
          <w:szCs w:val="36"/>
          <w:rtl/>
        </w:rPr>
        <w:t>ومنه الاتيان باللفظ المشترك بلاقرين</w:t>
      </w:r>
      <w:r w:rsidR="00EC7EDF" w:rsidRPr="00FD211F">
        <w:rPr>
          <w:sz w:val="36"/>
          <w:szCs w:val="36"/>
          <w:rtl/>
        </w:rPr>
        <w:t xml:space="preserve">ة </w:t>
      </w:r>
      <w:r w:rsidRPr="00FD211F">
        <w:rPr>
          <w:sz w:val="36"/>
          <w:szCs w:val="36"/>
          <w:rtl/>
        </w:rPr>
        <w:t>تعين احد معانيه</w:t>
      </w:r>
      <w:r w:rsidR="00603323" w:rsidRPr="00FD211F">
        <w:rPr>
          <w:sz w:val="36"/>
          <w:szCs w:val="36"/>
          <w:rtl/>
        </w:rPr>
        <w:t xml:space="preserve">، </w:t>
      </w:r>
      <w:r w:rsidRPr="00FD211F">
        <w:rPr>
          <w:sz w:val="36"/>
          <w:szCs w:val="36"/>
          <w:rtl/>
        </w:rPr>
        <w:t>والإراد</w:t>
      </w:r>
      <w:r w:rsidR="00EC7EDF" w:rsidRPr="00FD211F">
        <w:rPr>
          <w:sz w:val="36"/>
          <w:szCs w:val="36"/>
          <w:rtl/>
        </w:rPr>
        <w:t xml:space="preserve">ة </w:t>
      </w:r>
      <w:r w:rsidRPr="00FD211F">
        <w:rPr>
          <w:sz w:val="36"/>
          <w:szCs w:val="36"/>
          <w:rtl/>
        </w:rPr>
        <w:t>التفهيمي</w:t>
      </w:r>
      <w:r w:rsidR="00EC7EDF" w:rsidRPr="00FD211F">
        <w:rPr>
          <w:sz w:val="36"/>
          <w:szCs w:val="36"/>
          <w:rtl/>
        </w:rPr>
        <w:t xml:space="preserve">ة </w:t>
      </w:r>
      <w:r w:rsidRPr="00FD211F">
        <w:rPr>
          <w:sz w:val="36"/>
          <w:szCs w:val="36"/>
          <w:rtl/>
        </w:rPr>
        <w:t>هو اراد</w:t>
      </w:r>
      <w:r w:rsidR="00EC7EDF" w:rsidRPr="00FD211F">
        <w:rPr>
          <w:sz w:val="36"/>
          <w:szCs w:val="36"/>
          <w:rtl/>
        </w:rPr>
        <w:t xml:space="preserve">ة </w:t>
      </w:r>
      <w:r w:rsidRPr="00FD211F">
        <w:rPr>
          <w:sz w:val="36"/>
          <w:szCs w:val="36"/>
          <w:rtl/>
        </w:rPr>
        <w:t>الاتيان بما يحكي فعلا عن المعنى فلو جاء بلفظ مشترك فلابد ان يكون مصحوبا بالقرين</w:t>
      </w:r>
      <w:r w:rsidR="00EC7EDF" w:rsidRPr="00FD211F">
        <w:rPr>
          <w:sz w:val="36"/>
          <w:szCs w:val="36"/>
          <w:rtl/>
        </w:rPr>
        <w:t xml:space="preserve">ة </w:t>
      </w:r>
      <w:r w:rsidR="007974F6" w:rsidRPr="00FD211F">
        <w:rPr>
          <w:sz w:val="36"/>
          <w:szCs w:val="36"/>
          <w:rtl/>
        </w:rPr>
        <w:t>التي تعيِّن ا</w:t>
      </w:r>
      <w:r w:rsidRPr="00FD211F">
        <w:rPr>
          <w:sz w:val="36"/>
          <w:szCs w:val="36"/>
          <w:rtl/>
        </w:rPr>
        <w:t>لمعنى المستعمل فيه حتى تتم بذلك الاراد</w:t>
      </w:r>
      <w:r w:rsidR="00EC7EDF" w:rsidRPr="00FD211F">
        <w:rPr>
          <w:sz w:val="36"/>
          <w:szCs w:val="36"/>
          <w:rtl/>
        </w:rPr>
        <w:t xml:space="preserve">ة </w:t>
      </w:r>
      <w:r w:rsidRPr="00FD211F">
        <w:rPr>
          <w:sz w:val="36"/>
          <w:szCs w:val="36"/>
          <w:rtl/>
        </w:rPr>
        <w:t>التفهيمي</w:t>
      </w:r>
      <w:r w:rsidR="00EC7EDF" w:rsidRPr="00FD211F">
        <w:rPr>
          <w:sz w:val="36"/>
          <w:szCs w:val="36"/>
          <w:rtl/>
        </w:rPr>
        <w:t>ة</w:t>
      </w:r>
      <w:r w:rsidR="00A61BAE" w:rsidRPr="00FD211F">
        <w:rPr>
          <w:sz w:val="36"/>
          <w:szCs w:val="36"/>
          <w:rtl/>
        </w:rPr>
        <w:t>.</w:t>
      </w:r>
      <w:r w:rsidR="009C58C8" w:rsidRPr="00FD211F">
        <w:rPr>
          <w:rStyle w:val="a6"/>
          <w:sz w:val="36"/>
          <w:szCs w:val="36"/>
          <w:rtl/>
        </w:rPr>
        <w:t>(</w:t>
      </w:r>
      <w:r w:rsidR="009C58C8" w:rsidRPr="00FD211F">
        <w:rPr>
          <w:rStyle w:val="a6"/>
          <w:sz w:val="36"/>
          <w:szCs w:val="36"/>
          <w:rtl/>
        </w:rPr>
        <w:footnoteReference w:id="285"/>
      </w:r>
      <w:r w:rsidR="009C58C8" w:rsidRPr="00FD211F">
        <w:rPr>
          <w:rStyle w:val="a6"/>
          <w:sz w:val="36"/>
          <w:szCs w:val="36"/>
          <w:rtl/>
        </w:rPr>
        <w:t>)</w:t>
      </w:r>
    </w:p>
    <w:p w14:paraId="56F6755F" w14:textId="77777777" w:rsidR="00DF1803" w:rsidRPr="00FD211F" w:rsidRDefault="00DF1803" w:rsidP="009C58C8">
      <w:pPr>
        <w:ind w:left="0" w:firstLine="227"/>
        <w:jc w:val="both"/>
        <w:rPr>
          <w:sz w:val="36"/>
          <w:szCs w:val="36"/>
          <w:rtl/>
        </w:rPr>
      </w:pPr>
      <w:r w:rsidRPr="00FD211F">
        <w:rPr>
          <w:sz w:val="36"/>
          <w:szCs w:val="36"/>
          <w:rtl/>
        </w:rPr>
        <w:t>ويلاحظ عليه</w:t>
      </w:r>
      <w:r w:rsidRPr="00FD211F">
        <w:rPr>
          <w:b/>
          <w:bCs/>
          <w:sz w:val="36"/>
          <w:szCs w:val="36"/>
          <w:rtl/>
        </w:rPr>
        <w:t xml:space="preserve"> اولا</w:t>
      </w:r>
      <w:r w:rsidRPr="00FD211F">
        <w:rPr>
          <w:sz w:val="36"/>
          <w:szCs w:val="36"/>
          <w:rtl/>
        </w:rPr>
        <w:t>: انه في مورد التوري</w:t>
      </w:r>
      <w:r w:rsidR="00EC7EDF" w:rsidRPr="00FD211F">
        <w:rPr>
          <w:sz w:val="36"/>
          <w:szCs w:val="36"/>
          <w:rtl/>
        </w:rPr>
        <w:t xml:space="preserve">ة </w:t>
      </w:r>
      <w:r w:rsidRPr="00FD211F">
        <w:rPr>
          <w:sz w:val="36"/>
          <w:szCs w:val="36"/>
          <w:rtl/>
        </w:rPr>
        <w:t>يريد المتكلم الاتيان بلفظ يصلح للحكاي</w:t>
      </w:r>
      <w:r w:rsidR="00EC7EDF" w:rsidRPr="00FD211F">
        <w:rPr>
          <w:sz w:val="36"/>
          <w:szCs w:val="36"/>
          <w:rtl/>
        </w:rPr>
        <w:t xml:space="preserve">ة </w:t>
      </w:r>
      <w:r w:rsidRPr="00FD211F">
        <w:rPr>
          <w:sz w:val="36"/>
          <w:szCs w:val="36"/>
          <w:rtl/>
        </w:rPr>
        <w:t>عن المعنى من حيث انه كذلك</w:t>
      </w:r>
      <w:r w:rsidR="00603323" w:rsidRPr="00FD211F">
        <w:rPr>
          <w:sz w:val="36"/>
          <w:szCs w:val="36"/>
          <w:rtl/>
        </w:rPr>
        <w:t xml:space="preserve">، </w:t>
      </w:r>
      <w:r w:rsidRPr="00FD211F">
        <w:rPr>
          <w:sz w:val="36"/>
          <w:szCs w:val="36"/>
          <w:rtl/>
        </w:rPr>
        <w:t>كما انه يوجد فيها اراد</w:t>
      </w:r>
      <w:r w:rsidR="00EC7EDF" w:rsidRPr="00FD211F">
        <w:rPr>
          <w:sz w:val="36"/>
          <w:szCs w:val="36"/>
          <w:rtl/>
        </w:rPr>
        <w:t xml:space="preserve">ة </w:t>
      </w:r>
      <w:r w:rsidRPr="00FD211F">
        <w:rPr>
          <w:sz w:val="36"/>
          <w:szCs w:val="36"/>
          <w:rtl/>
        </w:rPr>
        <w:t>الاتيان بما يحكي فعلا عن المعنى ولكنه مع ذلك يكون فاقدا لنكت</w:t>
      </w:r>
      <w:r w:rsidR="00EC7EDF" w:rsidRPr="00FD211F">
        <w:rPr>
          <w:sz w:val="36"/>
          <w:szCs w:val="36"/>
          <w:rtl/>
        </w:rPr>
        <w:t xml:space="preserve">ة </w:t>
      </w:r>
      <w:r w:rsidRPr="00FD211F">
        <w:rPr>
          <w:sz w:val="36"/>
          <w:szCs w:val="36"/>
          <w:rtl/>
        </w:rPr>
        <w:t>توجد في موارد الكذب مثلا</w:t>
      </w:r>
      <w:r w:rsidR="00603323" w:rsidRPr="00FD211F">
        <w:rPr>
          <w:sz w:val="36"/>
          <w:szCs w:val="36"/>
          <w:rtl/>
        </w:rPr>
        <w:t xml:space="preserve">، </w:t>
      </w:r>
      <w:r w:rsidRPr="00FD211F">
        <w:rPr>
          <w:sz w:val="36"/>
          <w:szCs w:val="36"/>
          <w:rtl/>
        </w:rPr>
        <w:t xml:space="preserve">فلو قال </w:t>
      </w:r>
      <w:r w:rsidR="00496746" w:rsidRPr="00FD211F">
        <w:rPr>
          <w:sz w:val="36"/>
          <w:szCs w:val="36"/>
          <w:rtl/>
        </w:rPr>
        <w:t xml:space="preserve">شخص </w:t>
      </w:r>
      <w:r w:rsidRPr="00FD211F">
        <w:rPr>
          <w:sz w:val="36"/>
          <w:szCs w:val="36"/>
          <w:rtl/>
        </w:rPr>
        <w:t>"ليس زيد موجودا ههنا" فان قصد به الحكاي</w:t>
      </w:r>
      <w:r w:rsidR="00EC7EDF" w:rsidRPr="00FD211F">
        <w:rPr>
          <w:sz w:val="36"/>
          <w:szCs w:val="36"/>
          <w:rtl/>
        </w:rPr>
        <w:t xml:space="preserve">ة </w:t>
      </w:r>
      <w:r w:rsidRPr="00FD211F">
        <w:rPr>
          <w:sz w:val="36"/>
          <w:szCs w:val="36"/>
          <w:rtl/>
        </w:rPr>
        <w:t>عن عدم كونه في هذا المكان الذي قام فيه المتكلم ولكن اراد ان يفهم منه المخاطب انه ليس في هذا البلد فيكون ذلك توري</w:t>
      </w:r>
      <w:r w:rsidR="00EC7EDF" w:rsidRPr="00FD211F">
        <w:rPr>
          <w:sz w:val="36"/>
          <w:szCs w:val="36"/>
          <w:rtl/>
        </w:rPr>
        <w:t>ة</w:t>
      </w:r>
      <w:r w:rsidR="00603323" w:rsidRPr="00FD211F">
        <w:rPr>
          <w:sz w:val="36"/>
          <w:szCs w:val="36"/>
          <w:rtl/>
        </w:rPr>
        <w:t xml:space="preserve">، </w:t>
      </w:r>
      <w:r w:rsidRPr="00FD211F">
        <w:rPr>
          <w:sz w:val="36"/>
          <w:szCs w:val="36"/>
          <w:rtl/>
        </w:rPr>
        <w:t>واما لو قصد به الحكاي</w:t>
      </w:r>
      <w:r w:rsidR="00EC7EDF" w:rsidRPr="00FD211F">
        <w:rPr>
          <w:sz w:val="36"/>
          <w:szCs w:val="36"/>
          <w:rtl/>
        </w:rPr>
        <w:t xml:space="preserve">ة </w:t>
      </w:r>
      <w:r w:rsidRPr="00FD211F">
        <w:rPr>
          <w:sz w:val="36"/>
          <w:szCs w:val="36"/>
          <w:rtl/>
        </w:rPr>
        <w:t>عن عدم كونه في البلد كان كذبا.</w:t>
      </w:r>
    </w:p>
    <w:p w14:paraId="4801A536" w14:textId="77777777" w:rsidR="00DF1803" w:rsidRPr="00FD211F" w:rsidRDefault="00DF1803" w:rsidP="009C58C8">
      <w:pPr>
        <w:ind w:left="0" w:firstLine="227"/>
        <w:jc w:val="both"/>
        <w:rPr>
          <w:sz w:val="36"/>
          <w:szCs w:val="36"/>
          <w:rtl/>
        </w:rPr>
      </w:pPr>
      <w:r w:rsidRPr="00FD211F">
        <w:rPr>
          <w:b/>
          <w:bCs/>
          <w:sz w:val="36"/>
          <w:szCs w:val="36"/>
          <w:rtl/>
        </w:rPr>
        <w:t>وثانيا</w:t>
      </w:r>
      <w:r w:rsidRPr="00FD211F">
        <w:rPr>
          <w:sz w:val="36"/>
          <w:szCs w:val="36"/>
          <w:rtl/>
        </w:rPr>
        <w:t>: انه بناء عليه لايختلف الاتيان باللفظ المشترك</w:t>
      </w:r>
      <w:r w:rsidR="007974F6" w:rsidRPr="00FD211F">
        <w:rPr>
          <w:sz w:val="36"/>
          <w:szCs w:val="36"/>
          <w:rtl/>
        </w:rPr>
        <w:t xml:space="preserve"> –بلاقرين</w:t>
      </w:r>
      <w:r w:rsidR="00EC7EDF" w:rsidRPr="00FD211F">
        <w:rPr>
          <w:sz w:val="36"/>
          <w:szCs w:val="36"/>
          <w:rtl/>
        </w:rPr>
        <w:t xml:space="preserve">ة </w:t>
      </w:r>
      <w:r w:rsidR="00A02D7A" w:rsidRPr="00FD211F">
        <w:rPr>
          <w:sz w:val="36"/>
          <w:szCs w:val="36"/>
          <w:rtl/>
        </w:rPr>
        <w:t>معيِّن</w:t>
      </w:r>
      <w:r w:rsidR="00EC7EDF" w:rsidRPr="00FD211F">
        <w:rPr>
          <w:sz w:val="36"/>
          <w:szCs w:val="36"/>
          <w:rtl/>
        </w:rPr>
        <w:t xml:space="preserve">ة </w:t>
      </w:r>
      <w:r w:rsidR="00A02D7A" w:rsidRPr="00FD211F">
        <w:rPr>
          <w:sz w:val="36"/>
          <w:szCs w:val="36"/>
          <w:rtl/>
        </w:rPr>
        <w:t>ل</w:t>
      </w:r>
      <w:r w:rsidR="007974F6" w:rsidRPr="00FD211F">
        <w:rPr>
          <w:sz w:val="36"/>
          <w:szCs w:val="36"/>
          <w:rtl/>
        </w:rPr>
        <w:t>اراد</w:t>
      </w:r>
      <w:r w:rsidR="00EC7EDF" w:rsidRPr="00FD211F">
        <w:rPr>
          <w:sz w:val="36"/>
          <w:szCs w:val="36"/>
          <w:rtl/>
        </w:rPr>
        <w:t xml:space="preserve">ة </w:t>
      </w:r>
      <w:r w:rsidR="007974F6" w:rsidRPr="00FD211F">
        <w:rPr>
          <w:sz w:val="36"/>
          <w:szCs w:val="36"/>
          <w:rtl/>
        </w:rPr>
        <w:t>معنى مخصوص من معانيه-</w:t>
      </w:r>
      <w:r w:rsidRPr="00FD211F">
        <w:rPr>
          <w:sz w:val="36"/>
          <w:szCs w:val="36"/>
          <w:rtl/>
        </w:rPr>
        <w:t xml:space="preserve"> بما انه يصلح للحكاي</w:t>
      </w:r>
      <w:r w:rsidR="00EC7EDF" w:rsidRPr="00FD211F">
        <w:rPr>
          <w:sz w:val="36"/>
          <w:szCs w:val="36"/>
          <w:rtl/>
        </w:rPr>
        <w:t xml:space="preserve">ة </w:t>
      </w:r>
      <w:r w:rsidRPr="00FD211F">
        <w:rPr>
          <w:sz w:val="36"/>
          <w:szCs w:val="36"/>
          <w:rtl/>
        </w:rPr>
        <w:t>عن معانيه بين ان يكون قاصدا لواحد من تلك المعاني بخصوصه او</w:t>
      </w:r>
      <w:r w:rsidR="008D7B3D" w:rsidRPr="00FD211F">
        <w:rPr>
          <w:sz w:val="36"/>
          <w:szCs w:val="36"/>
          <w:rtl/>
        </w:rPr>
        <w:t xml:space="preserve"> لم‌</w:t>
      </w:r>
      <w:r w:rsidRPr="00FD211F">
        <w:rPr>
          <w:sz w:val="36"/>
          <w:szCs w:val="36"/>
          <w:rtl/>
        </w:rPr>
        <w:t>يكن قاصدا لأيّ منها</w:t>
      </w:r>
      <w:r w:rsidR="00603323" w:rsidRPr="00FD211F">
        <w:rPr>
          <w:sz w:val="36"/>
          <w:szCs w:val="36"/>
          <w:rtl/>
        </w:rPr>
        <w:t xml:space="preserve">، </w:t>
      </w:r>
      <w:r w:rsidR="007974F6" w:rsidRPr="00FD211F">
        <w:rPr>
          <w:sz w:val="36"/>
          <w:szCs w:val="36"/>
          <w:rtl/>
        </w:rPr>
        <w:t>مع وضوح الفرق بينهما في مرحل</w:t>
      </w:r>
      <w:r w:rsidR="00EC7EDF" w:rsidRPr="00FD211F">
        <w:rPr>
          <w:sz w:val="36"/>
          <w:szCs w:val="36"/>
          <w:rtl/>
        </w:rPr>
        <w:t xml:space="preserve">ة </w:t>
      </w:r>
      <w:r w:rsidR="007974F6" w:rsidRPr="00FD211F">
        <w:rPr>
          <w:sz w:val="36"/>
          <w:szCs w:val="36"/>
          <w:rtl/>
        </w:rPr>
        <w:t>الاراد</w:t>
      </w:r>
      <w:r w:rsidR="00EC7EDF" w:rsidRPr="00FD211F">
        <w:rPr>
          <w:sz w:val="36"/>
          <w:szCs w:val="36"/>
          <w:rtl/>
        </w:rPr>
        <w:t xml:space="preserve">ة </w:t>
      </w:r>
      <w:r w:rsidR="007974F6" w:rsidRPr="00FD211F">
        <w:rPr>
          <w:sz w:val="36"/>
          <w:szCs w:val="36"/>
          <w:rtl/>
        </w:rPr>
        <w:t>الاستعمالي</w:t>
      </w:r>
      <w:r w:rsidR="00EC7EDF" w:rsidRPr="00FD211F">
        <w:rPr>
          <w:sz w:val="36"/>
          <w:szCs w:val="36"/>
          <w:rtl/>
        </w:rPr>
        <w:t>ة</w:t>
      </w:r>
      <w:r w:rsidR="00A61BAE" w:rsidRPr="00FD211F">
        <w:rPr>
          <w:sz w:val="36"/>
          <w:szCs w:val="36"/>
          <w:rtl/>
        </w:rPr>
        <w:t>.</w:t>
      </w:r>
    </w:p>
    <w:p w14:paraId="022BF172" w14:textId="77777777" w:rsidR="00DF1803" w:rsidRPr="00FD211F" w:rsidRDefault="00DF1803" w:rsidP="009C58C8">
      <w:pPr>
        <w:ind w:left="0" w:firstLine="227"/>
        <w:jc w:val="both"/>
        <w:rPr>
          <w:sz w:val="36"/>
          <w:szCs w:val="36"/>
          <w:rtl/>
        </w:rPr>
      </w:pPr>
      <w:r w:rsidRPr="00FD211F">
        <w:rPr>
          <w:sz w:val="36"/>
          <w:szCs w:val="36"/>
          <w:rtl/>
        </w:rPr>
        <w:t>4- ما نسب الى المشهور من ان حقيق</w:t>
      </w:r>
      <w:r w:rsidR="00EC7EDF" w:rsidRPr="00FD211F">
        <w:rPr>
          <w:sz w:val="36"/>
          <w:szCs w:val="36"/>
          <w:rtl/>
        </w:rPr>
        <w:t xml:space="preserve">ة </w:t>
      </w:r>
      <w:r w:rsidRPr="00FD211F">
        <w:rPr>
          <w:sz w:val="36"/>
          <w:szCs w:val="36"/>
          <w:rtl/>
        </w:rPr>
        <w:t>استعمال اللفظ في المعنى هو إفناءه فيه</w:t>
      </w:r>
      <w:r w:rsidR="00603323" w:rsidRPr="00FD211F">
        <w:rPr>
          <w:sz w:val="36"/>
          <w:szCs w:val="36"/>
          <w:rtl/>
        </w:rPr>
        <w:t xml:space="preserve">، </w:t>
      </w:r>
      <w:r w:rsidRPr="00FD211F">
        <w:rPr>
          <w:sz w:val="36"/>
          <w:szCs w:val="36"/>
          <w:rtl/>
        </w:rPr>
        <w:t>وقد ذكر صاحب الكفاي</w:t>
      </w:r>
      <w:r w:rsidR="00EC7EDF" w:rsidRPr="00FD211F">
        <w:rPr>
          <w:sz w:val="36"/>
          <w:szCs w:val="36"/>
          <w:rtl/>
        </w:rPr>
        <w:t xml:space="preserve">ة </w:t>
      </w:r>
      <w:r w:rsidRPr="00FD211F">
        <w:rPr>
          <w:sz w:val="36"/>
          <w:szCs w:val="36"/>
          <w:rtl/>
        </w:rPr>
        <w:t>في تقريب ذلك: ان حقيق</w:t>
      </w:r>
      <w:r w:rsidR="00EC7EDF" w:rsidRPr="00FD211F">
        <w:rPr>
          <w:sz w:val="36"/>
          <w:szCs w:val="36"/>
          <w:rtl/>
        </w:rPr>
        <w:t xml:space="preserve">ة </w:t>
      </w:r>
      <w:r w:rsidRPr="00FD211F">
        <w:rPr>
          <w:sz w:val="36"/>
          <w:szCs w:val="36"/>
          <w:rtl/>
        </w:rPr>
        <w:t>الاستعمال ليس مجرد جعل اللفظ علام</w:t>
      </w:r>
      <w:r w:rsidR="00EC7EDF" w:rsidRPr="00FD211F">
        <w:rPr>
          <w:sz w:val="36"/>
          <w:szCs w:val="36"/>
          <w:rtl/>
        </w:rPr>
        <w:t xml:space="preserve">ة </w:t>
      </w:r>
      <w:r w:rsidRPr="00FD211F">
        <w:rPr>
          <w:sz w:val="36"/>
          <w:szCs w:val="36"/>
          <w:rtl/>
        </w:rPr>
        <w:t>لإراد</w:t>
      </w:r>
      <w:r w:rsidR="00EC7EDF" w:rsidRPr="00FD211F">
        <w:rPr>
          <w:sz w:val="36"/>
          <w:szCs w:val="36"/>
          <w:rtl/>
        </w:rPr>
        <w:t xml:space="preserve">ة </w:t>
      </w:r>
      <w:r w:rsidRPr="00FD211F">
        <w:rPr>
          <w:sz w:val="36"/>
          <w:szCs w:val="36"/>
          <w:rtl/>
        </w:rPr>
        <w:t>المعنى</w:t>
      </w:r>
      <w:r w:rsidR="00603323" w:rsidRPr="00FD211F">
        <w:rPr>
          <w:sz w:val="36"/>
          <w:szCs w:val="36"/>
          <w:rtl/>
        </w:rPr>
        <w:t xml:space="preserve">، </w:t>
      </w:r>
      <w:r w:rsidRPr="00FD211F">
        <w:rPr>
          <w:sz w:val="36"/>
          <w:szCs w:val="36"/>
          <w:rtl/>
        </w:rPr>
        <w:t>بل حقيقته جعل اللفظ عنوانا للمعنى بنحو يكون المعنى كأنه هو الملقى الى المخاطب</w:t>
      </w:r>
      <w:r w:rsidR="00603323" w:rsidRPr="00FD211F">
        <w:rPr>
          <w:sz w:val="36"/>
          <w:szCs w:val="36"/>
          <w:rtl/>
        </w:rPr>
        <w:t xml:space="preserve">، </w:t>
      </w:r>
      <w:r w:rsidRPr="00FD211F">
        <w:rPr>
          <w:sz w:val="36"/>
          <w:szCs w:val="36"/>
          <w:rtl/>
        </w:rPr>
        <w:t>واستشهد على ذلك بسريان قبح المعنى وحسنه الى اللفظ</w:t>
      </w:r>
      <w:r w:rsidR="00603323" w:rsidRPr="00FD211F">
        <w:rPr>
          <w:sz w:val="36"/>
          <w:szCs w:val="36"/>
          <w:rtl/>
        </w:rPr>
        <w:t xml:space="preserve">، </w:t>
      </w:r>
      <w:r w:rsidRPr="00FD211F">
        <w:rPr>
          <w:sz w:val="36"/>
          <w:szCs w:val="36"/>
          <w:rtl/>
        </w:rPr>
        <w:t>فلحاظ اللفظ كذلك لايكون الا بتبع لحاظ المعنى وفناء اللفظ في المعنى فناء العنوان في المعنون</w:t>
      </w:r>
      <w:r w:rsidR="00603323" w:rsidRPr="00FD211F">
        <w:rPr>
          <w:sz w:val="36"/>
          <w:szCs w:val="36"/>
          <w:rtl/>
        </w:rPr>
        <w:t xml:space="preserve">، </w:t>
      </w:r>
      <w:r w:rsidRPr="00FD211F">
        <w:rPr>
          <w:sz w:val="36"/>
          <w:szCs w:val="36"/>
          <w:rtl/>
        </w:rPr>
        <w:t>وبذلك يختلف اللفظ والمعنى عن العلام</w:t>
      </w:r>
      <w:r w:rsidR="00EC7EDF" w:rsidRPr="00FD211F">
        <w:rPr>
          <w:sz w:val="36"/>
          <w:szCs w:val="36"/>
          <w:rtl/>
        </w:rPr>
        <w:t xml:space="preserve">ة </w:t>
      </w:r>
      <w:r w:rsidRPr="00FD211F">
        <w:rPr>
          <w:sz w:val="36"/>
          <w:szCs w:val="36"/>
          <w:rtl/>
        </w:rPr>
        <w:t>وذي العلام</w:t>
      </w:r>
      <w:r w:rsidR="00EC7EDF" w:rsidRPr="00FD211F">
        <w:rPr>
          <w:sz w:val="36"/>
          <w:szCs w:val="36"/>
          <w:rtl/>
        </w:rPr>
        <w:t>ة</w:t>
      </w:r>
      <w:r w:rsidR="00A61BAE" w:rsidRPr="00FD211F">
        <w:rPr>
          <w:sz w:val="36"/>
          <w:szCs w:val="36"/>
          <w:rtl/>
        </w:rPr>
        <w:t>.</w:t>
      </w:r>
    </w:p>
    <w:p w14:paraId="6ADA5A4F" w14:textId="77777777" w:rsidR="00DF1803" w:rsidRPr="00FD211F" w:rsidRDefault="00DF1803" w:rsidP="009C58C8">
      <w:pPr>
        <w:ind w:left="0" w:firstLine="227"/>
        <w:jc w:val="both"/>
        <w:rPr>
          <w:sz w:val="36"/>
          <w:szCs w:val="36"/>
          <w:rtl/>
        </w:rPr>
      </w:pPr>
      <w:r w:rsidRPr="00FD211F">
        <w:rPr>
          <w:sz w:val="36"/>
          <w:szCs w:val="36"/>
          <w:rtl/>
        </w:rPr>
        <w:t xml:space="preserve">ويلاحظ عليه </w:t>
      </w:r>
      <w:r w:rsidRPr="00FD211F">
        <w:rPr>
          <w:b/>
          <w:bCs/>
          <w:sz w:val="36"/>
          <w:szCs w:val="36"/>
          <w:rtl/>
        </w:rPr>
        <w:t>اولا</w:t>
      </w:r>
      <w:r w:rsidRPr="00FD211F">
        <w:rPr>
          <w:sz w:val="36"/>
          <w:szCs w:val="36"/>
          <w:rtl/>
        </w:rPr>
        <w:t>: ان ما استشهد به على إفناء اللفظ في المعنى من سريان قبح المعنى او حسنه الى اللفظ فليس ذلك من لوازم الاستعمال</w:t>
      </w:r>
      <w:r w:rsidR="00603323" w:rsidRPr="00FD211F">
        <w:rPr>
          <w:sz w:val="36"/>
          <w:szCs w:val="36"/>
          <w:rtl/>
        </w:rPr>
        <w:t xml:space="preserve">، </w:t>
      </w:r>
      <w:r w:rsidR="00496746" w:rsidRPr="00FD211F">
        <w:rPr>
          <w:sz w:val="36"/>
          <w:szCs w:val="36"/>
          <w:rtl/>
        </w:rPr>
        <w:t>نعم قد ت</w:t>
      </w:r>
      <w:r w:rsidRPr="00FD211F">
        <w:rPr>
          <w:sz w:val="36"/>
          <w:szCs w:val="36"/>
          <w:rtl/>
        </w:rPr>
        <w:t>وجب شد</w:t>
      </w:r>
      <w:r w:rsidR="00EC7EDF" w:rsidRPr="00FD211F">
        <w:rPr>
          <w:sz w:val="36"/>
          <w:szCs w:val="36"/>
          <w:rtl/>
        </w:rPr>
        <w:t xml:space="preserve">ة </w:t>
      </w:r>
      <w:r w:rsidRPr="00FD211F">
        <w:rPr>
          <w:sz w:val="36"/>
          <w:szCs w:val="36"/>
          <w:rtl/>
        </w:rPr>
        <w:t>الأنس الذهني بين اللفظ والمعنى ذلك أحيانا ولكنه لايختص باللفظ والمعنى</w:t>
      </w:r>
      <w:r w:rsidR="00603323" w:rsidRPr="00FD211F">
        <w:rPr>
          <w:sz w:val="36"/>
          <w:szCs w:val="36"/>
          <w:rtl/>
        </w:rPr>
        <w:t xml:space="preserve">، </w:t>
      </w:r>
      <w:r w:rsidRPr="00FD211F">
        <w:rPr>
          <w:sz w:val="36"/>
          <w:szCs w:val="36"/>
          <w:rtl/>
        </w:rPr>
        <w:t>وقد يوجد في العلام</w:t>
      </w:r>
      <w:r w:rsidR="00EC7EDF" w:rsidRPr="00FD211F">
        <w:rPr>
          <w:sz w:val="36"/>
          <w:szCs w:val="36"/>
          <w:rtl/>
        </w:rPr>
        <w:t xml:space="preserve">ة </w:t>
      </w:r>
      <w:r w:rsidRPr="00FD211F">
        <w:rPr>
          <w:sz w:val="36"/>
          <w:szCs w:val="36"/>
          <w:rtl/>
        </w:rPr>
        <w:t>وذي العلام</w:t>
      </w:r>
      <w:r w:rsidR="00EC7EDF" w:rsidRPr="00FD211F">
        <w:rPr>
          <w:sz w:val="36"/>
          <w:szCs w:val="36"/>
          <w:rtl/>
        </w:rPr>
        <w:t xml:space="preserve">ة </w:t>
      </w:r>
      <w:r w:rsidRPr="00FD211F">
        <w:rPr>
          <w:sz w:val="36"/>
          <w:szCs w:val="36"/>
          <w:rtl/>
        </w:rPr>
        <w:t>أيضا</w:t>
      </w:r>
      <w:r w:rsidR="00603323" w:rsidRPr="00FD211F">
        <w:rPr>
          <w:sz w:val="36"/>
          <w:szCs w:val="36"/>
          <w:rtl/>
        </w:rPr>
        <w:t xml:space="preserve">، </w:t>
      </w:r>
      <w:r w:rsidRPr="00FD211F">
        <w:rPr>
          <w:sz w:val="36"/>
          <w:szCs w:val="36"/>
          <w:rtl/>
        </w:rPr>
        <w:t xml:space="preserve">فان عَلَم مجلس عزاء الحسين </w:t>
      </w:r>
      <w:r w:rsidR="007A4A0D" w:rsidRPr="00FD211F">
        <w:rPr>
          <w:sz w:val="36"/>
          <w:szCs w:val="36"/>
          <w:rtl/>
        </w:rPr>
        <w:t>(عليه‌السلام)</w:t>
      </w:r>
      <w:r w:rsidRPr="00FD211F">
        <w:rPr>
          <w:sz w:val="36"/>
          <w:szCs w:val="36"/>
          <w:rtl/>
        </w:rPr>
        <w:t xml:space="preserve"> حسن ومحبوب وعَلَم مجلس اللهو قبيح ويشمئزّه طباع المؤمنين.</w:t>
      </w:r>
    </w:p>
    <w:p w14:paraId="55C775DF" w14:textId="77777777" w:rsidR="00DF1803" w:rsidRPr="00FD211F" w:rsidRDefault="00DF1803" w:rsidP="009C58C8">
      <w:pPr>
        <w:ind w:left="0" w:firstLine="227"/>
        <w:jc w:val="both"/>
        <w:rPr>
          <w:sz w:val="36"/>
          <w:szCs w:val="36"/>
          <w:rtl/>
        </w:rPr>
      </w:pPr>
      <w:r w:rsidRPr="00FD211F">
        <w:rPr>
          <w:b/>
          <w:bCs/>
          <w:sz w:val="36"/>
          <w:szCs w:val="36"/>
          <w:rtl/>
        </w:rPr>
        <w:t>وثانيا</w:t>
      </w:r>
      <w:r w:rsidRPr="00FD211F">
        <w:rPr>
          <w:sz w:val="36"/>
          <w:szCs w:val="36"/>
          <w:rtl/>
        </w:rPr>
        <w:t xml:space="preserve">: ما ذكره السيد الخوئي </w:t>
      </w:r>
      <w:r w:rsidR="004D49AF" w:rsidRPr="00FD211F">
        <w:rPr>
          <w:sz w:val="36"/>
          <w:szCs w:val="36"/>
          <w:rtl/>
        </w:rPr>
        <w:t>"</w:t>
      </w:r>
      <w:r w:rsidRPr="00FD211F">
        <w:rPr>
          <w:sz w:val="36"/>
          <w:szCs w:val="36"/>
          <w:rtl/>
        </w:rPr>
        <w:t>قده</w:t>
      </w:r>
      <w:r w:rsidR="004D49AF" w:rsidRPr="00FD211F">
        <w:rPr>
          <w:sz w:val="36"/>
          <w:szCs w:val="36"/>
          <w:rtl/>
        </w:rPr>
        <w:t>"</w:t>
      </w:r>
      <w:r w:rsidRPr="00FD211F">
        <w:rPr>
          <w:sz w:val="36"/>
          <w:szCs w:val="36"/>
          <w:rtl/>
        </w:rPr>
        <w:t xml:space="preserve"> من ان ما هو المشهور بين المتأخرين من ان حقيق</w:t>
      </w:r>
      <w:r w:rsidR="00EC7EDF" w:rsidRPr="00FD211F">
        <w:rPr>
          <w:sz w:val="36"/>
          <w:szCs w:val="36"/>
          <w:rtl/>
        </w:rPr>
        <w:t xml:space="preserve">ة </w:t>
      </w:r>
      <w:r w:rsidRPr="00FD211F">
        <w:rPr>
          <w:sz w:val="36"/>
          <w:szCs w:val="36"/>
          <w:rtl/>
        </w:rPr>
        <w:t>الاستعمال ليس مجرد جعل اللفظ علام</w:t>
      </w:r>
      <w:r w:rsidR="00EC7EDF" w:rsidRPr="00FD211F">
        <w:rPr>
          <w:sz w:val="36"/>
          <w:szCs w:val="36"/>
          <w:rtl/>
        </w:rPr>
        <w:t xml:space="preserve">ة </w:t>
      </w:r>
      <w:r w:rsidRPr="00FD211F">
        <w:rPr>
          <w:sz w:val="36"/>
          <w:szCs w:val="36"/>
          <w:rtl/>
        </w:rPr>
        <w:t>لإراد</w:t>
      </w:r>
      <w:r w:rsidR="00EC7EDF" w:rsidRPr="00FD211F">
        <w:rPr>
          <w:sz w:val="36"/>
          <w:szCs w:val="36"/>
          <w:rtl/>
        </w:rPr>
        <w:t xml:space="preserve">ة </w:t>
      </w:r>
      <w:r w:rsidRPr="00FD211F">
        <w:rPr>
          <w:sz w:val="36"/>
          <w:szCs w:val="36"/>
          <w:rtl/>
        </w:rPr>
        <w:t>تفهيم المعنى</w:t>
      </w:r>
      <w:r w:rsidR="00603323" w:rsidRPr="00FD211F">
        <w:rPr>
          <w:sz w:val="36"/>
          <w:szCs w:val="36"/>
          <w:rtl/>
        </w:rPr>
        <w:t xml:space="preserve">، </w:t>
      </w:r>
      <w:r w:rsidRPr="00FD211F">
        <w:rPr>
          <w:sz w:val="36"/>
          <w:szCs w:val="36"/>
          <w:rtl/>
        </w:rPr>
        <w:t>بل حقيقته ايجاد المعنى باللفظ وجعله فانيا فيه انما يبتني على بعض المسالك في الوضع وهو كون اللفظ وجودا تنزيليا للمعنى</w:t>
      </w:r>
      <w:r w:rsidR="00603323" w:rsidRPr="00FD211F">
        <w:rPr>
          <w:sz w:val="36"/>
          <w:szCs w:val="36"/>
          <w:rtl/>
        </w:rPr>
        <w:t xml:space="preserve">، </w:t>
      </w:r>
      <w:r w:rsidRPr="00FD211F">
        <w:rPr>
          <w:sz w:val="36"/>
          <w:szCs w:val="36"/>
          <w:rtl/>
        </w:rPr>
        <w:t>وأما بناء على مسلك التعهد او اعتبار الملازم</w:t>
      </w:r>
      <w:r w:rsidR="00EC7EDF" w:rsidRPr="00FD211F">
        <w:rPr>
          <w:sz w:val="36"/>
          <w:szCs w:val="36"/>
          <w:rtl/>
        </w:rPr>
        <w:t xml:space="preserve">ة </w:t>
      </w:r>
      <w:r w:rsidRPr="00FD211F">
        <w:rPr>
          <w:sz w:val="36"/>
          <w:szCs w:val="36"/>
          <w:rtl/>
        </w:rPr>
        <w:t>بين اللفظ والمعنى او اعتبار وضع اللفظ على المعنى على وزان وضع العَلَم على المكان ليدل على انه رأس الفرسخ مثلا فلايستدعي فناء اللفظ في المعنى في مقام الاستعمال</w:t>
      </w:r>
      <w:r w:rsidR="009C58C8" w:rsidRPr="00FD211F">
        <w:rPr>
          <w:rStyle w:val="a6"/>
          <w:sz w:val="36"/>
          <w:szCs w:val="36"/>
          <w:rtl/>
        </w:rPr>
        <w:t>(</w:t>
      </w:r>
      <w:r w:rsidR="009C58C8" w:rsidRPr="00FD211F">
        <w:rPr>
          <w:rStyle w:val="a6"/>
          <w:sz w:val="36"/>
          <w:szCs w:val="36"/>
          <w:rtl/>
        </w:rPr>
        <w:footnoteReference w:id="286"/>
      </w:r>
      <w:r w:rsidR="009C58C8" w:rsidRPr="00FD211F">
        <w:rPr>
          <w:rStyle w:val="a6"/>
          <w:sz w:val="36"/>
          <w:szCs w:val="36"/>
          <w:rtl/>
        </w:rPr>
        <w:t>)</w:t>
      </w:r>
      <w:r w:rsidRPr="00FD211F">
        <w:rPr>
          <w:sz w:val="36"/>
          <w:szCs w:val="36"/>
          <w:rtl/>
        </w:rPr>
        <w:t>.</w:t>
      </w:r>
    </w:p>
    <w:p w14:paraId="6001CF71" w14:textId="77777777" w:rsidR="00DF1803" w:rsidRPr="00FD211F" w:rsidRDefault="00DF1803" w:rsidP="009C58C8">
      <w:pPr>
        <w:ind w:left="0" w:firstLine="227"/>
        <w:jc w:val="both"/>
        <w:rPr>
          <w:sz w:val="36"/>
          <w:szCs w:val="36"/>
          <w:rtl/>
        </w:rPr>
      </w:pPr>
      <w:r w:rsidRPr="00FD211F">
        <w:rPr>
          <w:sz w:val="36"/>
          <w:szCs w:val="36"/>
          <w:rtl/>
        </w:rPr>
        <w:t>اقول: ان مسلك تنزيل اللفظ منزل</w:t>
      </w:r>
      <w:r w:rsidR="00EC7EDF" w:rsidRPr="00FD211F">
        <w:rPr>
          <w:sz w:val="36"/>
          <w:szCs w:val="36"/>
          <w:rtl/>
        </w:rPr>
        <w:t xml:space="preserve">ة </w:t>
      </w:r>
      <w:r w:rsidRPr="00FD211F">
        <w:rPr>
          <w:sz w:val="36"/>
          <w:szCs w:val="36"/>
          <w:rtl/>
        </w:rPr>
        <w:t>المعنى لايستدعي لحاظ اللفظ فانيا في المعنى في مقام الاستعمال</w:t>
      </w:r>
      <w:r w:rsidR="00603323" w:rsidRPr="00FD211F">
        <w:rPr>
          <w:sz w:val="36"/>
          <w:szCs w:val="36"/>
          <w:rtl/>
        </w:rPr>
        <w:t xml:space="preserve">، </w:t>
      </w:r>
      <w:r w:rsidRPr="00FD211F">
        <w:rPr>
          <w:sz w:val="36"/>
          <w:szCs w:val="36"/>
          <w:rtl/>
        </w:rPr>
        <w:t>فان ادعاء كون اللفظ عين المعنى ووجودا تنزيليا له في مقام الوضع لايستلزم لحاظه فانيا فيه في مقام الاستعمال</w:t>
      </w:r>
      <w:r w:rsidR="00603323" w:rsidRPr="00FD211F">
        <w:rPr>
          <w:sz w:val="36"/>
          <w:szCs w:val="36"/>
          <w:rtl/>
        </w:rPr>
        <w:t xml:space="preserve">، </w:t>
      </w:r>
      <w:r w:rsidRPr="00FD211F">
        <w:rPr>
          <w:sz w:val="36"/>
          <w:szCs w:val="36"/>
          <w:rtl/>
        </w:rPr>
        <w:t>فان النائب عن شخص مثلا وان كان وجودا تنزيليا للمنوب عنه ولكنه لايستلزم لحاظه فانيا في المنوب عنه.</w:t>
      </w:r>
    </w:p>
    <w:p w14:paraId="407FFD50" w14:textId="77777777" w:rsidR="00DF1803" w:rsidRPr="00FD211F" w:rsidRDefault="00DF1803" w:rsidP="009C58C8">
      <w:pPr>
        <w:ind w:left="0" w:firstLine="227"/>
        <w:jc w:val="both"/>
        <w:rPr>
          <w:sz w:val="36"/>
          <w:szCs w:val="36"/>
          <w:rtl/>
        </w:rPr>
      </w:pPr>
      <w:r w:rsidRPr="00FD211F">
        <w:rPr>
          <w:b/>
          <w:bCs/>
          <w:sz w:val="36"/>
          <w:szCs w:val="36"/>
          <w:rtl/>
        </w:rPr>
        <w:t>وثالثا</w:t>
      </w:r>
      <w:r w:rsidRPr="00FD211F">
        <w:rPr>
          <w:sz w:val="36"/>
          <w:szCs w:val="36"/>
          <w:rtl/>
        </w:rPr>
        <w:t>: ما في البحوث من ان كون لحاظ اللفظ في مقام الاستعمال آليا وفانيا في المعنى لايكفي في تفسير حقيق</w:t>
      </w:r>
      <w:r w:rsidR="00EC7EDF" w:rsidRPr="00FD211F">
        <w:rPr>
          <w:sz w:val="36"/>
          <w:szCs w:val="36"/>
          <w:rtl/>
        </w:rPr>
        <w:t xml:space="preserve">ة </w:t>
      </w:r>
      <w:r w:rsidRPr="00FD211F">
        <w:rPr>
          <w:sz w:val="36"/>
          <w:szCs w:val="36"/>
          <w:rtl/>
        </w:rPr>
        <w:t>الاستعمال</w:t>
      </w:r>
      <w:r w:rsidR="00603323" w:rsidRPr="00FD211F">
        <w:rPr>
          <w:sz w:val="36"/>
          <w:szCs w:val="36"/>
          <w:rtl/>
        </w:rPr>
        <w:t xml:space="preserve">، </w:t>
      </w:r>
      <w:r w:rsidRPr="00FD211F">
        <w:rPr>
          <w:sz w:val="36"/>
          <w:szCs w:val="36"/>
          <w:rtl/>
        </w:rPr>
        <w:t>بل لايعدو عن كونه بيانا لشرط الاستعمال</w:t>
      </w:r>
      <w:r w:rsidR="00603323" w:rsidRPr="00FD211F">
        <w:rPr>
          <w:sz w:val="36"/>
          <w:szCs w:val="36"/>
          <w:rtl/>
        </w:rPr>
        <w:t xml:space="preserve">، </w:t>
      </w:r>
      <w:r w:rsidRPr="00FD211F">
        <w:rPr>
          <w:sz w:val="36"/>
          <w:szCs w:val="36"/>
          <w:rtl/>
        </w:rPr>
        <w:t>وهو كون لحاظ اللفظ آليا لااستقلاليا.</w:t>
      </w:r>
    </w:p>
    <w:p w14:paraId="0925C90C" w14:textId="77777777" w:rsidR="00DF1803" w:rsidRPr="00FD211F" w:rsidRDefault="00DF1803" w:rsidP="009C58C8">
      <w:pPr>
        <w:ind w:left="0" w:firstLine="227"/>
        <w:jc w:val="both"/>
        <w:rPr>
          <w:sz w:val="36"/>
          <w:szCs w:val="36"/>
          <w:rtl/>
        </w:rPr>
      </w:pPr>
      <w:r w:rsidRPr="00FD211F">
        <w:rPr>
          <w:sz w:val="36"/>
          <w:szCs w:val="36"/>
          <w:rtl/>
        </w:rPr>
        <w:t>5- ما ذكرناه في الدور</w:t>
      </w:r>
      <w:r w:rsidR="00EC7EDF" w:rsidRPr="00FD211F">
        <w:rPr>
          <w:sz w:val="36"/>
          <w:szCs w:val="36"/>
          <w:rtl/>
        </w:rPr>
        <w:t xml:space="preserve">ة </w:t>
      </w:r>
      <w:r w:rsidRPr="00FD211F">
        <w:rPr>
          <w:sz w:val="36"/>
          <w:szCs w:val="36"/>
          <w:rtl/>
        </w:rPr>
        <w:t>السابق</w:t>
      </w:r>
      <w:r w:rsidR="00EC7EDF" w:rsidRPr="00FD211F">
        <w:rPr>
          <w:sz w:val="36"/>
          <w:szCs w:val="36"/>
          <w:rtl/>
        </w:rPr>
        <w:t xml:space="preserve">ة </w:t>
      </w:r>
      <w:r w:rsidRPr="00FD211F">
        <w:rPr>
          <w:sz w:val="36"/>
          <w:szCs w:val="36"/>
          <w:rtl/>
        </w:rPr>
        <w:t>من ان الاراد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هي اراد</w:t>
      </w:r>
      <w:r w:rsidR="00EC7EDF" w:rsidRPr="00FD211F">
        <w:rPr>
          <w:sz w:val="36"/>
          <w:szCs w:val="36"/>
          <w:rtl/>
        </w:rPr>
        <w:t xml:space="preserve">ة </w:t>
      </w:r>
      <w:r w:rsidRPr="00FD211F">
        <w:rPr>
          <w:sz w:val="36"/>
          <w:szCs w:val="36"/>
          <w:rtl/>
        </w:rPr>
        <w:t>الحكاي</w:t>
      </w:r>
      <w:r w:rsidR="00EC7EDF" w:rsidRPr="00FD211F">
        <w:rPr>
          <w:sz w:val="36"/>
          <w:szCs w:val="36"/>
          <w:rtl/>
        </w:rPr>
        <w:t xml:space="preserve">ة </w:t>
      </w:r>
      <w:r w:rsidRPr="00FD211F">
        <w:rPr>
          <w:sz w:val="36"/>
          <w:szCs w:val="36"/>
          <w:rtl/>
        </w:rPr>
        <w:t>عن المعنى باللفظ</w:t>
      </w:r>
      <w:r w:rsidR="00603323" w:rsidRPr="00FD211F">
        <w:rPr>
          <w:sz w:val="36"/>
          <w:szCs w:val="36"/>
          <w:rtl/>
        </w:rPr>
        <w:t xml:space="preserve">، </w:t>
      </w:r>
      <w:r w:rsidRPr="00FD211F">
        <w:rPr>
          <w:sz w:val="36"/>
          <w:szCs w:val="36"/>
          <w:rtl/>
        </w:rPr>
        <w:t xml:space="preserve">فلو قال </w:t>
      </w:r>
      <w:r w:rsidR="00A02D7A" w:rsidRPr="00FD211F">
        <w:rPr>
          <w:sz w:val="36"/>
          <w:szCs w:val="36"/>
          <w:rtl/>
        </w:rPr>
        <w:t>"</w:t>
      </w:r>
      <w:r w:rsidRPr="00FD211F">
        <w:rPr>
          <w:sz w:val="36"/>
          <w:szCs w:val="36"/>
          <w:rtl/>
        </w:rPr>
        <w:t>ليس زيد موجودا ههنا</w:t>
      </w:r>
      <w:r w:rsidR="00A02D7A" w:rsidRPr="00FD211F">
        <w:rPr>
          <w:sz w:val="36"/>
          <w:szCs w:val="36"/>
          <w:rtl/>
        </w:rPr>
        <w:t>"</w:t>
      </w:r>
      <w:r w:rsidRPr="00FD211F">
        <w:rPr>
          <w:sz w:val="36"/>
          <w:szCs w:val="36"/>
          <w:rtl/>
        </w:rPr>
        <w:t xml:space="preserve"> واراد به أنه ليس موجودا في هذا المكان الذي أنا قائم فيه</w:t>
      </w:r>
      <w:r w:rsidR="00603323" w:rsidRPr="00FD211F">
        <w:rPr>
          <w:sz w:val="36"/>
          <w:szCs w:val="36"/>
          <w:rtl/>
        </w:rPr>
        <w:t xml:space="preserve">، </w:t>
      </w:r>
      <w:r w:rsidRPr="00FD211F">
        <w:rPr>
          <w:sz w:val="36"/>
          <w:szCs w:val="36"/>
          <w:rtl/>
        </w:rPr>
        <w:t>فيكون المراد الاستعمالي هو المعنى الذي قصد الحكاي</w:t>
      </w:r>
      <w:r w:rsidR="00EC7EDF" w:rsidRPr="00FD211F">
        <w:rPr>
          <w:sz w:val="36"/>
          <w:szCs w:val="36"/>
          <w:rtl/>
        </w:rPr>
        <w:t xml:space="preserve">ة </w:t>
      </w:r>
      <w:r w:rsidRPr="00FD211F">
        <w:rPr>
          <w:sz w:val="36"/>
          <w:szCs w:val="36"/>
          <w:rtl/>
        </w:rPr>
        <w:t>عنه وهو عدم وجود زيد في هذا المكان الخاص</w:t>
      </w:r>
      <w:r w:rsidR="00603323" w:rsidRPr="00FD211F">
        <w:rPr>
          <w:sz w:val="36"/>
          <w:szCs w:val="36"/>
          <w:rtl/>
        </w:rPr>
        <w:t xml:space="preserve">، </w:t>
      </w:r>
      <w:r w:rsidRPr="00FD211F">
        <w:rPr>
          <w:sz w:val="36"/>
          <w:szCs w:val="36"/>
          <w:rtl/>
        </w:rPr>
        <w:t>وان كان غرضه من هذا اللفظ هو اخطار معنى آخر في ذهن المخاطب وهو أنه ليس موجودا في هذا البلد.</w:t>
      </w:r>
    </w:p>
    <w:p w14:paraId="099E82D1" w14:textId="77777777" w:rsidR="00DF1803" w:rsidRPr="00FD211F" w:rsidRDefault="00DF1803" w:rsidP="009C58C8">
      <w:pPr>
        <w:ind w:left="0" w:firstLine="227"/>
        <w:jc w:val="both"/>
        <w:rPr>
          <w:sz w:val="36"/>
          <w:szCs w:val="36"/>
          <w:rtl/>
        </w:rPr>
      </w:pPr>
      <w:r w:rsidRPr="00FD211F">
        <w:rPr>
          <w:sz w:val="36"/>
          <w:szCs w:val="36"/>
          <w:rtl/>
        </w:rPr>
        <w:t>ولكن يمكن ان يقال بان صدور اللفظ بقصد الحكاي</w:t>
      </w:r>
      <w:r w:rsidR="00EC7EDF" w:rsidRPr="00FD211F">
        <w:rPr>
          <w:sz w:val="36"/>
          <w:szCs w:val="36"/>
          <w:rtl/>
        </w:rPr>
        <w:t xml:space="preserve">ة </w:t>
      </w:r>
      <w:r w:rsidRPr="00FD211F">
        <w:rPr>
          <w:sz w:val="36"/>
          <w:szCs w:val="36"/>
          <w:rtl/>
        </w:rPr>
        <w:t>عن المعنى ليس شيئا وراء صدوره بغرض دلالته عليه</w:t>
      </w:r>
      <w:r w:rsidR="00603323" w:rsidRPr="00FD211F">
        <w:rPr>
          <w:sz w:val="36"/>
          <w:szCs w:val="36"/>
          <w:rtl/>
        </w:rPr>
        <w:t xml:space="preserve">، </w:t>
      </w:r>
      <w:r w:rsidRPr="00FD211F">
        <w:rPr>
          <w:sz w:val="36"/>
          <w:szCs w:val="36"/>
          <w:rtl/>
        </w:rPr>
        <w:t>وهذا عين صدوره بغرض اخطار المعنى في ذهن المخاطب</w:t>
      </w:r>
      <w:r w:rsidR="00603323" w:rsidRPr="00FD211F">
        <w:rPr>
          <w:sz w:val="36"/>
          <w:szCs w:val="36"/>
          <w:rtl/>
        </w:rPr>
        <w:t xml:space="preserve">، </w:t>
      </w:r>
      <w:r w:rsidRPr="00FD211F">
        <w:rPr>
          <w:sz w:val="36"/>
          <w:szCs w:val="36"/>
          <w:rtl/>
        </w:rPr>
        <w:t>ففي مورد التوري</w:t>
      </w:r>
      <w:r w:rsidR="00EC7EDF" w:rsidRPr="00FD211F">
        <w:rPr>
          <w:sz w:val="36"/>
          <w:szCs w:val="36"/>
          <w:rtl/>
        </w:rPr>
        <w:t xml:space="preserve">ة </w:t>
      </w:r>
      <w:r w:rsidRPr="00FD211F">
        <w:rPr>
          <w:sz w:val="36"/>
          <w:szCs w:val="36"/>
          <w:rtl/>
        </w:rPr>
        <w:t>أيضا يقصد المتكلم حكاي</w:t>
      </w:r>
      <w:r w:rsidR="00EC7EDF" w:rsidRPr="00FD211F">
        <w:rPr>
          <w:sz w:val="36"/>
          <w:szCs w:val="36"/>
          <w:rtl/>
        </w:rPr>
        <w:t xml:space="preserve">ة </w:t>
      </w:r>
      <w:r w:rsidRPr="00FD211F">
        <w:rPr>
          <w:sz w:val="36"/>
          <w:szCs w:val="36"/>
          <w:rtl/>
        </w:rPr>
        <w:t>اللفظ عن المعنى الظاهر وسببيته لإخطار هذا المعنى في ذهن المخاطب مع ان المعنى المستعمل فيه غيره</w:t>
      </w:r>
      <w:r w:rsidR="00603323" w:rsidRPr="00FD211F">
        <w:rPr>
          <w:sz w:val="36"/>
          <w:szCs w:val="36"/>
          <w:rtl/>
        </w:rPr>
        <w:t xml:space="preserve">، </w:t>
      </w:r>
      <w:r w:rsidRPr="00FD211F">
        <w:rPr>
          <w:sz w:val="36"/>
          <w:szCs w:val="36"/>
          <w:rtl/>
        </w:rPr>
        <w:t>فهذا المقدار من البيان لايكفي لتفسير حقيق</w:t>
      </w:r>
      <w:r w:rsidR="00EC7EDF" w:rsidRPr="00FD211F">
        <w:rPr>
          <w:sz w:val="36"/>
          <w:szCs w:val="36"/>
          <w:rtl/>
        </w:rPr>
        <w:t xml:space="preserve">ة </w:t>
      </w:r>
      <w:r w:rsidRPr="00FD211F">
        <w:rPr>
          <w:sz w:val="36"/>
          <w:szCs w:val="36"/>
          <w:rtl/>
        </w:rPr>
        <w:t>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ة</w:t>
      </w:r>
      <w:r w:rsidR="00A61BAE" w:rsidRPr="00FD211F">
        <w:rPr>
          <w:sz w:val="36"/>
          <w:szCs w:val="36"/>
          <w:rtl/>
        </w:rPr>
        <w:t>.</w:t>
      </w:r>
    </w:p>
    <w:p w14:paraId="210D3AE8" w14:textId="77777777" w:rsidR="00DF1803" w:rsidRPr="00FD211F" w:rsidRDefault="00DF1803" w:rsidP="009C58C8">
      <w:pPr>
        <w:ind w:left="0" w:firstLine="227"/>
        <w:jc w:val="both"/>
        <w:rPr>
          <w:sz w:val="36"/>
          <w:szCs w:val="36"/>
          <w:rtl/>
        </w:rPr>
      </w:pPr>
      <w:r w:rsidRPr="00FD211F">
        <w:rPr>
          <w:sz w:val="36"/>
          <w:szCs w:val="36"/>
          <w:rtl/>
        </w:rPr>
        <w:t>6- ما قد يقال من ان حقيق</w:t>
      </w:r>
      <w:r w:rsidR="00EC7EDF" w:rsidRPr="00FD211F">
        <w:rPr>
          <w:sz w:val="36"/>
          <w:szCs w:val="36"/>
          <w:rtl/>
        </w:rPr>
        <w:t xml:space="preserve">ة </w:t>
      </w:r>
      <w:r w:rsidRPr="00FD211F">
        <w:rPr>
          <w:sz w:val="36"/>
          <w:szCs w:val="36"/>
          <w:rtl/>
        </w:rPr>
        <w:t>الاراد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في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هو قصد الإخبار عن المعنى</w:t>
      </w:r>
      <w:r w:rsidR="00603323" w:rsidRPr="00FD211F">
        <w:rPr>
          <w:sz w:val="36"/>
          <w:szCs w:val="36"/>
          <w:rtl/>
        </w:rPr>
        <w:t xml:space="preserve">، </w:t>
      </w:r>
      <w:r w:rsidRPr="00FD211F">
        <w:rPr>
          <w:sz w:val="36"/>
          <w:szCs w:val="36"/>
          <w:rtl/>
        </w:rPr>
        <w:t>وفي مورد الجمل</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هو قصد الإنشاء</w:t>
      </w:r>
      <w:r w:rsidR="00603323" w:rsidRPr="00FD211F">
        <w:rPr>
          <w:sz w:val="36"/>
          <w:szCs w:val="36"/>
          <w:rtl/>
        </w:rPr>
        <w:t xml:space="preserve">، </w:t>
      </w:r>
      <w:r w:rsidRPr="00FD211F">
        <w:rPr>
          <w:sz w:val="36"/>
          <w:szCs w:val="36"/>
          <w:rtl/>
        </w:rPr>
        <w:t>وعليه فاذا كان المتكلم في مقام التوري</w:t>
      </w:r>
      <w:r w:rsidR="00EC7EDF" w:rsidRPr="00FD211F">
        <w:rPr>
          <w:sz w:val="36"/>
          <w:szCs w:val="36"/>
          <w:rtl/>
        </w:rPr>
        <w:t xml:space="preserve">ة </w:t>
      </w:r>
      <w:r w:rsidRPr="00FD211F">
        <w:rPr>
          <w:sz w:val="36"/>
          <w:szCs w:val="36"/>
          <w:rtl/>
        </w:rPr>
        <w:t>فتكون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على طبق ما قصد الإخبار عنه واقعا</w:t>
      </w:r>
      <w:r w:rsidR="00603323" w:rsidRPr="00FD211F">
        <w:rPr>
          <w:sz w:val="36"/>
          <w:szCs w:val="36"/>
          <w:rtl/>
        </w:rPr>
        <w:t xml:space="preserve">، </w:t>
      </w:r>
      <w:r w:rsidRPr="00FD211F">
        <w:rPr>
          <w:sz w:val="36"/>
          <w:szCs w:val="36"/>
          <w:rtl/>
        </w:rPr>
        <w:t>وان كانت ارادته التفهيمي</w:t>
      </w:r>
      <w:r w:rsidR="00EC7EDF" w:rsidRPr="00FD211F">
        <w:rPr>
          <w:sz w:val="36"/>
          <w:szCs w:val="36"/>
          <w:rtl/>
        </w:rPr>
        <w:t xml:space="preserve">ة </w:t>
      </w:r>
      <w:r w:rsidRPr="00FD211F">
        <w:rPr>
          <w:sz w:val="36"/>
          <w:szCs w:val="36"/>
          <w:rtl/>
        </w:rPr>
        <w:t>قد تعلقت بتفهيم معنى آخر للمخاطب وإخطاره في ذهنه</w:t>
      </w:r>
      <w:r w:rsidR="00603323" w:rsidRPr="00FD211F">
        <w:rPr>
          <w:sz w:val="36"/>
          <w:szCs w:val="36"/>
          <w:rtl/>
        </w:rPr>
        <w:t xml:space="preserve">، </w:t>
      </w:r>
      <w:r w:rsidRPr="00FD211F">
        <w:rPr>
          <w:sz w:val="36"/>
          <w:szCs w:val="36"/>
          <w:rtl/>
        </w:rPr>
        <w:t>وهو المعنى الظاهر للكلام.</w:t>
      </w:r>
    </w:p>
    <w:p w14:paraId="1399ABDA" w14:textId="77777777" w:rsidR="00DF1803" w:rsidRPr="00FD211F" w:rsidRDefault="00DF1803" w:rsidP="009C58C8">
      <w:pPr>
        <w:ind w:left="0" w:firstLine="227"/>
        <w:jc w:val="both"/>
        <w:rPr>
          <w:sz w:val="36"/>
          <w:szCs w:val="36"/>
          <w:rtl/>
        </w:rPr>
      </w:pPr>
      <w:r w:rsidRPr="00FD211F">
        <w:rPr>
          <w:sz w:val="36"/>
          <w:szCs w:val="36"/>
          <w:rtl/>
        </w:rPr>
        <w:t xml:space="preserve">ويرد عليه </w:t>
      </w:r>
      <w:r w:rsidRPr="00FD211F">
        <w:rPr>
          <w:b/>
          <w:bCs/>
          <w:sz w:val="36"/>
          <w:szCs w:val="36"/>
          <w:rtl/>
        </w:rPr>
        <w:t>اولا</w:t>
      </w:r>
      <w:r w:rsidRPr="00FD211F">
        <w:rPr>
          <w:sz w:val="36"/>
          <w:szCs w:val="36"/>
          <w:rtl/>
        </w:rPr>
        <w:t>: انه قد يتكلم المتكلم بلفظ مفرد او جمل</w:t>
      </w:r>
      <w:r w:rsidR="00EC7EDF" w:rsidRPr="00FD211F">
        <w:rPr>
          <w:sz w:val="36"/>
          <w:szCs w:val="36"/>
          <w:rtl/>
        </w:rPr>
        <w:t xml:space="preserve">ة </w:t>
      </w:r>
      <w:r w:rsidRPr="00FD211F">
        <w:rPr>
          <w:sz w:val="36"/>
          <w:szCs w:val="36"/>
          <w:rtl/>
        </w:rPr>
        <w:t>ناقص</w:t>
      </w:r>
      <w:r w:rsidR="00EC7EDF" w:rsidRPr="00FD211F">
        <w:rPr>
          <w:sz w:val="36"/>
          <w:szCs w:val="36"/>
          <w:rtl/>
        </w:rPr>
        <w:t xml:space="preserve">ة </w:t>
      </w:r>
      <w:r w:rsidRPr="00FD211F">
        <w:rPr>
          <w:sz w:val="36"/>
          <w:szCs w:val="36"/>
          <w:rtl/>
        </w:rPr>
        <w:t>بغرض اخطار معنى في ذهن المخاطب غير المعنى الذي استعمله فيه</w:t>
      </w:r>
      <w:r w:rsidR="00603323" w:rsidRPr="00FD211F">
        <w:rPr>
          <w:sz w:val="36"/>
          <w:szCs w:val="36"/>
          <w:rtl/>
        </w:rPr>
        <w:t xml:space="preserve">، </w:t>
      </w:r>
      <w:r w:rsidRPr="00FD211F">
        <w:rPr>
          <w:sz w:val="36"/>
          <w:szCs w:val="36"/>
          <w:rtl/>
        </w:rPr>
        <w:t>كما لو صاح أمام جماع</w:t>
      </w:r>
      <w:r w:rsidR="00EC7EDF" w:rsidRPr="00FD211F">
        <w:rPr>
          <w:sz w:val="36"/>
          <w:szCs w:val="36"/>
          <w:rtl/>
        </w:rPr>
        <w:t xml:space="preserve">ة </w:t>
      </w:r>
      <w:r w:rsidRPr="00FD211F">
        <w:rPr>
          <w:sz w:val="36"/>
          <w:szCs w:val="36"/>
          <w:rtl/>
        </w:rPr>
        <w:t>وقال "حيّ</w:t>
      </w:r>
      <w:r w:rsidR="00EC7EDF" w:rsidRPr="00FD211F">
        <w:rPr>
          <w:sz w:val="36"/>
          <w:szCs w:val="36"/>
          <w:rtl/>
        </w:rPr>
        <w:t xml:space="preserve">ة </w:t>
      </w:r>
      <w:r w:rsidRPr="00FD211F">
        <w:rPr>
          <w:sz w:val="36"/>
          <w:szCs w:val="36"/>
          <w:rtl/>
        </w:rPr>
        <w:t>" بغرض ان يلقي في ذهن السامعين وجود حيّ</w:t>
      </w:r>
      <w:r w:rsidR="00EC7EDF" w:rsidRPr="00FD211F">
        <w:rPr>
          <w:sz w:val="36"/>
          <w:szCs w:val="36"/>
          <w:rtl/>
        </w:rPr>
        <w:t xml:space="preserve">ة </w:t>
      </w:r>
      <w:r w:rsidRPr="00FD211F">
        <w:rPr>
          <w:sz w:val="36"/>
          <w:szCs w:val="36"/>
          <w:rtl/>
        </w:rPr>
        <w:t>في المكان ولكنه قصد من هذا المطلب معنى آخر وهو المرأ</w:t>
      </w:r>
      <w:r w:rsidR="00EC7EDF" w:rsidRPr="00FD211F">
        <w:rPr>
          <w:sz w:val="36"/>
          <w:szCs w:val="36"/>
          <w:rtl/>
        </w:rPr>
        <w:t xml:space="preserve">ة </w:t>
      </w:r>
      <w:r w:rsidRPr="00FD211F">
        <w:rPr>
          <w:sz w:val="36"/>
          <w:szCs w:val="36"/>
          <w:rtl/>
        </w:rPr>
        <w:t>الحي</w:t>
      </w:r>
      <w:r w:rsidR="00EC7EDF" w:rsidRPr="00FD211F">
        <w:rPr>
          <w:sz w:val="36"/>
          <w:szCs w:val="36"/>
          <w:rtl/>
        </w:rPr>
        <w:t xml:space="preserve">ة </w:t>
      </w:r>
      <w:r w:rsidRPr="00FD211F">
        <w:rPr>
          <w:sz w:val="36"/>
          <w:szCs w:val="36"/>
          <w:rtl/>
        </w:rPr>
        <w:t>بما انها مفهوم مفرد.</w:t>
      </w:r>
    </w:p>
    <w:p w14:paraId="09628E4F" w14:textId="77777777" w:rsidR="00DF1803" w:rsidRPr="00FD211F" w:rsidRDefault="00DF1803" w:rsidP="009C58C8">
      <w:pPr>
        <w:ind w:left="0" w:firstLine="227"/>
        <w:jc w:val="both"/>
        <w:rPr>
          <w:sz w:val="36"/>
          <w:szCs w:val="36"/>
          <w:rtl/>
        </w:rPr>
      </w:pPr>
      <w:r w:rsidRPr="00FD211F">
        <w:rPr>
          <w:b/>
          <w:bCs/>
          <w:sz w:val="36"/>
          <w:szCs w:val="36"/>
          <w:rtl/>
        </w:rPr>
        <w:t>وثانيا</w:t>
      </w:r>
      <w:r w:rsidRPr="00FD211F">
        <w:rPr>
          <w:sz w:val="36"/>
          <w:szCs w:val="36"/>
          <w:rtl/>
        </w:rPr>
        <w:t>: انه لايمكن بناء على هذا الوجه إبداء الفرق بين صدور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00A02D7A" w:rsidRPr="00FD211F">
        <w:rPr>
          <w:sz w:val="36"/>
          <w:szCs w:val="36"/>
          <w:rtl/>
        </w:rPr>
        <w:t>مثلا في مورد التوري</w:t>
      </w:r>
      <w:r w:rsidR="00EC7EDF" w:rsidRPr="00FD211F">
        <w:rPr>
          <w:sz w:val="36"/>
          <w:szCs w:val="36"/>
          <w:rtl/>
        </w:rPr>
        <w:t xml:space="preserve">ة </w:t>
      </w:r>
      <w:r w:rsidR="00A02D7A" w:rsidRPr="00FD211F">
        <w:rPr>
          <w:sz w:val="36"/>
          <w:szCs w:val="36"/>
          <w:rtl/>
        </w:rPr>
        <w:t>كما لو قال"</w:t>
      </w:r>
      <w:r w:rsidRPr="00FD211F">
        <w:rPr>
          <w:sz w:val="36"/>
          <w:szCs w:val="36"/>
          <w:rtl/>
        </w:rPr>
        <w:t>زيد عادل</w:t>
      </w:r>
      <w:r w:rsidR="00A02D7A" w:rsidRPr="00FD211F">
        <w:rPr>
          <w:sz w:val="36"/>
          <w:szCs w:val="36"/>
          <w:rtl/>
        </w:rPr>
        <w:t>"</w:t>
      </w:r>
      <w:r w:rsidRPr="00FD211F">
        <w:rPr>
          <w:sz w:val="36"/>
          <w:szCs w:val="36"/>
          <w:rtl/>
        </w:rPr>
        <w:t xml:space="preserve"> وأراد به انه عادل ومنحرف عن الحقّ وبين صدورها في مورد الهزل مع استعماله في معناه الظاهر؛ بينما أنه يوجد فرق بينهما وجدانا.</w:t>
      </w:r>
    </w:p>
    <w:p w14:paraId="24FA2473" w14:textId="77777777" w:rsidR="00DF1803" w:rsidRPr="00FD211F" w:rsidRDefault="00DF1803" w:rsidP="009C58C8">
      <w:pPr>
        <w:ind w:left="0" w:firstLine="227"/>
        <w:jc w:val="both"/>
        <w:rPr>
          <w:sz w:val="36"/>
          <w:szCs w:val="36"/>
          <w:rtl/>
        </w:rPr>
      </w:pPr>
      <w:r w:rsidRPr="00FD211F">
        <w:rPr>
          <w:sz w:val="36"/>
          <w:szCs w:val="36"/>
          <w:rtl/>
        </w:rPr>
        <w:t>7- ما يمكن ان يقال بان استعمال اللفظ في المعنى يكون بالتوجه النفساني التفصيلي الى المعنى ويكون الإتيان باللفظ كوجهٍ وقالبٍ لذلك المعنى</w:t>
      </w:r>
      <w:r w:rsidR="00603323" w:rsidRPr="00FD211F">
        <w:rPr>
          <w:sz w:val="36"/>
          <w:szCs w:val="36"/>
          <w:rtl/>
        </w:rPr>
        <w:t xml:space="preserve">، </w:t>
      </w:r>
      <w:r w:rsidRPr="00FD211F">
        <w:rPr>
          <w:sz w:val="36"/>
          <w:szCs w:val="36"/>
          <w:rtl/>
        </w:rPr>
        <w:t>وان كان داعيه لإتيانه باللفظ هو إخطار معنى آخر في ذهن المخاطب</w:t>
      </w:r>
      <w:r w:rsidR="00603323" w:rsidRPr="00FD211F">
        <w:rPr>
          <w:sz w:val="36"/>
          <w:szCs w:val="36"/>
          <w:rtl/>
        </w:rPr>
        <w:t xml:space="preserve">، </w:t>
      </w:r>
      <w:r w:rsidRPr="00FD211F">
        <w:rPr>
          <w:sz w:val="36"/>
          <w:szCs w:val="36"/>
          <w:rtl/>
        </w:rPr>
        <w:t>وهذا لاينافي التفات المتكلم الى ذلك المعنى الآخر أيضا</w:t>
      </w:r>
      <w:r w:rsidR="00603323" w:rsidRPr="00FD211F">
        <w:rPr>
          <w:sz w:val="36"/>
          <w:szCs w:val="36"/>
          <w:rtl/>
        </w:rPr>
        <w:t xml:space="preserve">، </w:t>
      </w:r>
      <w:r w:rsidRPr="00FD211F">
        <w:rPr>
          <w:sz w:val="36"/>
          <w:szCs w:val="36"/>
          <w:rtl/>
        </w:rPr>
        <w:t>الا انه حين صدور اللفظ منه لايتوجه اليه تفصيلا وانما يلتفت اليه اجمالا.</w:t>
      </w:r>
    </w:p>
    <w:p w14:paraId="2B5508A6" w14:textId="77777777" w:rsidR="00DF1803" w:rsidRPr="00FD211F" w:rsidRDefault="00DF1803" w:rsidP="009C58C8">
      <w:pPr>
        <w:ind w:left="0" w:firstLine="227"/>
        <w:jc w:val="both"/>
        <w:rPr>
          <w:sz w:val="36"/>
          <w:szCs w:val="36"/>
          <w:rtl/>
        </w:rPr>
      </w:pPr>
      <w:r w:rsidRPr="00FD211F">
        <w:rPr>
          <w:sz w:val="36"/>
          <w:szCs w:val="36"/>
          <w:rtl/>
        </w:rPr>
        <w:t>هذا تمام الكلام في بيان الفرق بين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والتفهيمي</w:t>
      </w:r>
      <w:r w:rsidR="00EC7EDF" w:rsidRPr="00FD211F">
        <w:rPr>
          <w:sz w:val="36"/>
          <w:szCs w:val="36"/>
          <w:rtl/>
        </w:rPr>
        <w:t>ة</w:t>
      </w:r>
      <w:r w:rsidR="00603323" w:rsidRPr="00FD211F">
        <w:rPr>
          <w:sz w:val="36"/>
          <w:szCs w:val="36"/>
          <w:rtl/>
        </w:rPr>
        <w:t xml:space="preserve">، </w:t>
      </w:r>
      <w:r w:rsidRPr="00FD211F">
        <w:rPr>
          <w:sz w:val="36"/>
          <w:szCs w:val="36"/>
          <w:rtl/>
        </w:rPr>
        <w:t>وقد ظهر انه في مورد التوري</w:t>
      </w:r>
      <w:r w:rsidR="00EC7EDF" w:rsidRPr="00FD211F">
        <w:rPr>
          <w:sz w:val="36"/>
          <w:szCs w:val="36"/>
          <w:rtl/>
        </w:rPr>
        <w:t xml:space="preserve">ة </w:t>
      </w:r>
      <w:r w:rsidRPr="00FD211F">
        <w:rPr>
          <w:sz w:val="36"/>
          <w:szCs w:val="36"/>
          <w:rtl/>
        </w:rPr>
        <w:t>يكون المراد التفهيمي غير المراد الاستعمالي.</w:t>
      </w:r>
    </w:p>
    <w:p w14:paraId="78399CF8" w14:textId="77777777" w:rsidR="00DF1803" w:rsidRPr="00FD211F" w:rsidRDefault="00DF1803" w:rsidP="009C58C8">
      <w:pPr>
        <w:pStyle w:val="3"/>
        <w:ind w:firstLine="227"/>
        <w:jc w:val="both"/>
        <w:rPr>
          <w:rtl/>
        </w:rPr>
      </w:pPr>
      <w:bookmarkStart w:id="301" w:name="_Toc151944605"/>
      <w:bookmarkStart w:id="302" w:name="_Toc154131732"/>
      <w:bookmarkStart w:id="303" w:name="_Toc156401520"/>
      <w:bookmarkStart w:id="304" w:name="_Toc192092903"/>
      <w:bookmarkStart w:id="305" w:name="_Toc223890382"/>
      <w:r w:rsidRPr="00FD211F">
        <w:rPr>
          <w:rtl/>
        </w:rPr>
        <w:t>هل نسب</w:t>
      </w:r>
      <w:r w:rsidR="00EC7EDF" w:rsidRPr="00FD211F">
        <w:rPr>
          <w:rtl/>
        </w:rPr>
        <w:t xml:space="preserve">ة </w:t>
      </w:r>
      <w:r w:rsidRPr="00FD211F">
        <w:rPr>
          <w:rtl/>
        </w:rPr>
        <w:t>اللفظ الى المعنى نسب</w:t>
      </w:r>
      <w:r w:rsidR="00EC7EDF" w:rsidRPr="00FD211F">
        <w:rPr>
          <w:rtl/>
        </w:rPr>
        <w:t xml:space="preserve">ة </w:t>
      </w:r>
      <w:r w:rsidRPr="00FD211F">
        <w:rPr>
          <w:rtl/>
        </w:rPr>
        <w:t>المرآتي</w:t>
      </w:r>
      <w:r w:rsidR="00EC7EDF" w:rsidRPr="00FD211F">
        <w:rPr>
          <w:rtl/>
        </w:rPr>
        <w:t xml:space="preserve">ة </w:t>
      </w:r>
      <w:r w:rsidRPr="00FD211F">
        <w:rPr>
          <w:rtl/>
        </w:rPr>
        <w:t>او نسب</w:t>
      </w:r>
      <w:r w:rsidR="00EC7EDF" w:rsidRPr="00FD211F">
        <w:rPr>
          <w:rtl/>
        </w:rPr>
        <w:t xml:space="preserve">ة </w:t>
      </w:r>
      <w:r w:rsidRPr="00FD211F">
        <w:rPr>
          <w:rtl/>
        </w:rPr>
        <w:t>العلامي</w:t>
      </w:r>
      <w:r w:rsidR="00EC7EDF" w:rsidRPr="00FD211F">
        <w:rPr>
          <w:rtl/>
        </w:rPr>
        <w:t>ة</w:t>
      </w:r>
      <w:bookmarkEnd w:id="305"/>
      <w:r w:rsidR="00EC7EDF" w:rsidRPr="00FD211F">
        <w:rPr>
          <w:rtl/>
        </w:rPr>
        <w:t xml:space="preserve"> </w:t>
      </w:r>
      <w:bookmarkEnd w:id="301"/>
      <w:bookmarkEnd w:id="302"/>
      <w:bookmarkEnd w:id="303"/>
      <w:bookmarkEnd w:id="304"/>
    </w:p>
    <w:p w14:paraId="5547E009" w14:textId="77777777" w:rsidR="00DF1803" w:rsidRPr="00FD211F" w:rsidRDefault="00DF1803" w:rsidP="009C58C8">
      <w:pPr>
        <w:ind w:left="0" w:firstLine="227"/>
        <w:jc w:val="both"/>
        <w:rPr>
          <w:sz w:val="36"/>
          <w:szCs w:val="36"/>
          <w:rtl/>
        </w:rPr>
      </w:pPr>
      <w:r w:rsidRPr="00FD211F">
        <w:rPr>
          <w:b/>
          <w:bCs/>
          <w:sz w:val="36"/>
          <w:szCs w:val="36"/>
          <w:rtl/>
        </w:rPr>
        <w:t>الثاني</w:t>
      </w:r>
      <w:r w:rsidRPr="00FD211F">
        <w:rPr>
          <w:sz w:val="36"/>
          <w:szCs w:val="36"/>
          <w:rtl/>
        </w:rPr>
        <w:t>: وقع الخلاف في انه هل يكون استعمال اللفظ في المعنى من باب المرآتي</w:t>
      </w:r>
      <w:r w:rsidR="00EC7EDF" w:rsidRPr="00FD211F">
        <w:rPr>
          <w:sz w:val="36"/>
          <w:szCs w:val="36"/>
          <w:rtl/>
        </w:rPr>
        <w:t xml:space="preserve">ة </w:t>
      </w:r>
      <w:r w:rsidRPr="00FD211F">
        <w:rPr>
          <w:sz w:val="36"/>
          <w:szCs w:val="36"/>
          <w:rtl/>
        </w:rPr>
        <w:t>او العلامي</w:t>
      </w:r>
      <w:r w:rsidR="00EC7EDF" w:rsidRPr="00FD211F">
        <w:rPr>
          <w:sz w:val="36"/>
          <w:szCs w:val="36"/>
          <w:rtl/>
        </w:rPr>
        <w:t xml:space="preserve">ة </w:t>
      </w:r>
      <w:r w:rsidRPr="00FD211F">
        <w:rPr>
          <w:sz w:val="36"/>
          <w:szCs w:val="36"/>
          <w:rtl/>
        </w:rPr>
        <w:t>فذهب المشهور الى الأول وأن اللفظ حين الاستعمال يلحظ آل</w:t>
      </w:r>
      <w:r w:rsidR="00EC7EDF" w:rsidRPr="00FD211F">
        <w:rPr>
          <w:sz w:val="36"/>
          <w:szCs w:val="36"/>
          <w:rtl/>
        </w:rPr>
        <w:t xml:space="preserve">ة </w:t>
      </w:r>
      <w:r w:rsidRPr="00FD211F">
        <w:rPr>
          <w:sz w:val="36"/>
          <w:szCs w:val="36"/>
          <w:rtl/>
        </w:rPr>
        <w:t>ومرآ</w:t>
      </w:r>
      <w:r w:rsidR="00EC7EDF" w:rsidRPr="00FD211F">
        <w:rPr>
          <w:sz w:val="36"/>
          <w:szCs w:val="36"/>
          <w:rtl/>
        </w:rPr>
        <w:t xml:space="preserve">ة </w:t>
      </w:r>
      <w:r w:rsidRPr="00FD211F">
        <w:rPr>
          <w:sz w:val="36"/>
          <w:szCs w:val="36"/>
          <w:rtl/>
        </w:rPr>
        <w:t>الى المعنى وفانيا فيه</w:t>
      </w:r>
      <w:r w:rsidR="00603323" w:rsidRPr="00FD211F">
        <w:rPr>
          <w:sz w:val="36"/>
          <w:szCs w:val="36"/>
          <w:rtl/>
        </w:rPr>
        <w:t xml:space="preserve">، </w:t>
      </w:r>
      <w:r w:rsidRPr="00FD211F">
        <w:rPr>
          <w:sz w:val="36"/>
          <w:szCs w:val="36"/>
          <w:rtl/>
        </w:rPr>
        <w:t>وليست نسبته الى المعنى نسب</w:t>
      </w:r>
      <w:r w:rsidR="00EC7EDF" w:rsidRPr="00FD211F">
        <w:rPr>
          <w:sz w:val="36"/>
          <w:szCs w:val="36"/>
          <w:rtl/>
        </w:rPr>
        <w:t xml:space="preserve">ة </w:t>
      </w:r>
      <w:r w:rsidRPr="00FD211F">
        <w:rPr>
          <w:sz w:val="36"/>
          <w:szCs w:val="36"/>
          <w:rtl/>
        </w:rPr>
        <w:t>العلام</w:t>
      </w:r>
      <w:r w:rsidR="00EC7EDF" w:rsidRPr="00FD211F">
        <w:rPr>
          <w:sz w:val="36"/>
          <w:szCs w:val="36"/>
          <w:rtl/>
        </w:rPr>
        <w:t xml:space="preserve">ة </w:t>
      </w:r>
      <w:r w:rsidRPr="00FD211F">
        <w:rPr>
          <w:sz w:val="36"/>
          <w:szCs w:val="36"/>
          <w:rtl/>
        </w:rPr>
        <w:t>الى ذي العلام</w:t>
      </w:r>
      <w:r w:rsidR="00EC7EDF" w:rsidRPr="00FD211F">
        <w:rPr>
          <w:sz w:val="36"/>
          <w:szCs w:val="36"/>
          <w:rtl/>
        </w:rPr>
        <w:t xml:space="preserve">ة </w:t>
      </w:r>
      <w:r w:rsidRPr="00FD211F">
        <w:rPr>
          <w:sz w:val="36"/>
          <w:szCs w:val="36"/>
          <w:rtl/>
        </w:rPr>
        <w:t>–كالعَلَم المنصوب في مكان ليدل على انه رأس الفرسخ- فان العلام</w:t>
      </w:r>
      <w:r w:rsidR="00EC7EDF" w:rsidRPr="00FD211F">
        <w:rPr>
          <w:sz w:val="36"/>
          <w:szCs w:val="36"/>
          <w:rtl/>
        </w:rPr>
        <w:t xml:space="preserve">ة </w:t>
      </w:r>
      <w:r w:rsidRPr="00FD211F">
        <w:rPr>
          <w:sz w:val="36"/>
          <w:szCs w:val="36"/>
          <w:rtl/>
        </w:rPr>
        <w:t>تلحظ استقلالا كما يلحظ ذو العلام</w:t>
      </w:r>
      <w:r w:rsidR="00EC7EDF" w:rsidRPr="00FD211F">
        <w:rPr>
          <w:sz w:val="36"/>
          <w:szCs w:val="36"/>
          <w:rtl/>
        </w:rPr>
        <w:t xml:space="preserve">ة </w:t>
      </w:r>
      <w:r w:rsidRPr="00FD211F">
        <w:rPr>
          <w:sz w:val="36"/>
          <w:szCs w:val="36"/>
          <w:rtl/>
        </w:rPr>
        <w:t>أيضا كذلك.</w:t>
      </w:r>
    </w:p>
    <w:p w14:paraId="416AA28B" w14:textId="77777777" w:rsidR="00DF1803" w:rsidRPr="00FD211F" w:rsidRDefault="00DF1803" w:rsidP="009C58C8">
      <w:pPr>
        <w:ind w:left="0" w:firstLine="227"/>
        <w:jc w:val="both"/>
        <w:rPr>
          <w:sz w:val="36"/>
          <w:szCs w:val="36"/>
          <w:rtl/>
        </w:rPr>
      </w:pPr>
      <w:r w:rsidRPr="00FD211F">
        <w:rPr>
          <w:sz w:val="36"/>
          <w:szCs w:val="36"/>
          <w:rtl/>
        </w:rPr>
        <w:t>وقد ذكرت عد</w:t>
      </w:r>
      <w:r w:rsidR="00EC7EDF" w:rsidRPr="00FD211F">
        <w:rPr>
          <w:sz w:val="36"/>
          <w:szCs w:val="36"/>
          <w:rtl/>
        </w:rPr>
        <w:t xml:space="preserve">ة </w:t>
      </w:r>
      <w:r w:rsidRPr="00FD211F">
        <w:rPr>
          <w:sz w:val="36"/>
          <w:szCs w:val="36"/>
          <w:rtl/>
        </w:rPr>
        <w:t>وجوه على تمامي</w:t>
      </w:r>
      <w:r w:rsidR="00EC7EDF" w:rsidRPr="00FD211F">
        <w:rPr>
          <w:sz w:val="36"/>
          <w:szCs w:val="36"/>
          <w:rtl/>
        </w:rPr>
        <w:t xml:space="preserve">ة </w:t>
      </w:r>
      <w:r w:rsidRPr="00FD211F">
        <w:rPr>
          <w:sz w:val="36"/>
          <w:szCs w:val="36"/>
          <w:rtl/>
        </w:rPr>
        <w:t>مسلك المشهور:</w:t>
      </w:r>
    </w:p>
    <w:p w14:paraId="32EA9034" w14:textId="77777777" w:rsidR="00DF1803" w:rsidRPr="00FD211F" w:rsidRDefault="00DF1803" w:rsidP="009C58C8">
      <w:pPr>
        <w:ind w:left="0" w:firstLine="227"/>
        <w:jc w:val="both"/>
        <w:rPr>
          <w:sz w:val="36"/>
          <w:szCs w:val="36"/>
          <w:rtl/>
        </w:rPr>
      </w:pPr>
      <w:r w:rsidRPr="00FD211F">
        <w:rPr>
          <w:sz w:val="36"/>
          <w:szCs w:val="36"/>
          <w:rtl/>
        </w:rPr>
        <w:t>1- ما مر عن صاحب الكفاي</w:t>
      </w:r>
      <w:r w:rsidR="00EC7EDF" w:rsidRPr="00FD211F">
        <w:rPr>
          <w:sz w:val="36"/>
          <w:szCs w:val="36"/>
          <w:rtl/>
        </w:rPr>
        <w:t xml:space="preserve">ة </w:t>
      </w:r>
      <w:r w:rsidR="004D49AF" w:rsidRPr="00FD211F">
        <w:rPr>
          <w:sz w:val="36"/>
          <w:szCs w:val="36"/>
          <w:rtl/>
        </w:rPr>
        <w:t>"قده"</w:t>
      </w:r>
      <w:r w:rsidRPr="00FD211F">
        <w:rPr>
          <w:sz w:val="36"/>
          <w:szCs w:val="36"/>
          <w:rtl/>
        </w:rPr>
        <w:t xml:space="preserve"> من ان استعمال اللفظ في المعنى هو جعل اللفظ وجها وعنوانا للمعنى</w:t>
      </w:r>
      <w:r w:rsidR="00603323" w:rsidRPr="00FD211F">
        <w:rPr>
          <w:sz w:val="36"/>
          <w:szCs w:val="36"/>
          <w:rtl/>
        </w:rPr>
        <w:t xml:space="preserve">، </w:t>
      </w:r>
      <w:r w:rsidRPr="00FD211F">
        <w:rPr>
          <w:sz w:val="36"/>
          <w:szCs w:val="36"/>
          <w:rtl/>
        </w:rPr>
        <w:t xml:space="preserve">بل </w:t>
      </w:r>
      <w:r w:rsidR="00C27D8C" w:rsidRPr="00FD211F">
        <w:rPr>
          <w:sz w:val="36"/>
          <w:szCs w:val="36"/>
          <w:rtl/>
        </w:rPr>
        <w:t>يجعل بوجهٍ</w:t>
      </w:r>
      <w:r w:rsidRPr="00FD211F">
        <w:rPr>
          <w:sz w:val="36"/>
          <w:szCs w:val="36"/>
          <w:rtl/>
        </w:rPr>
        <w:t xml:space="preserve"> نفس المعنى كأنه هو الملقى الى المخاطب</w:t>
      </w:r>
      <w:r w:rsidR="00603323" w:rsidRPr="00FD211F">
        <w:rPr>
          <w:sz w:val="36"/>
          <w:szCs w:val="36"/>
          <w:rtl/>
        </w:rPr>
        <w:t xml:space="preserve">، </w:t>
      </w:r>
      <w:r w:rsidRPr="00FD211F">
        <w:rPr>
          <w:sz w:val="36"/>
          <w:szCs w:val="36"/>
          <w:rtl/>
        </w:rPr>
        <w:t>ولذا يسري الى اللفظ قبح المعنى وحسنه</w:t>
      </w:r>
      <w:r w:rsidR="00603323" w:rsidRPr="00FD211F">
        <w:rPr>
          <w:sz w:val="36"/>
          <w:szCs w:val="36"/>
          <w:rtl/>
        </w:rPr>
        <w:t xml:space="preserve">، </w:t>
      </w:r>
      <w:r w:rsidRPr="00FD211F">
        <w:rPr>
          <w:sz w:val="36"/>
          <w:szCs w:val="36"/>
          <w:rtl/>
        </w:rPr>
        <w:t>فلايلحظ اللفظ حين الاستعمال الا فانيا في المعنى فناء الوجه في ذي الوجه والعنوان في المعنون</w:t>
      </w:r>
      <w:r w:rsidR="009C58C8" w:rsidRPr="00FD211F">
        <w:rPr>
          <w:rStyle w:val="a6"/>
          <w:sz w:val="36"/>
          <w:szCs w:val="36"/>
          <w:rtl/>
        </w:rPr>
        <w:t>(</w:t>
      </w:r>
      <w:r w:rsidR="009C58C8" w:rsidRPr="00FD211F">
        <w:rPr>
          <w:rStyle w:val="a6"/>
          <w:sz w:val="36"/>
          <w:szCs w:val="36"/>
          <w:rtl/>
        </w:rPr>
        <w:footnoteReference w:id="287"/>
      </w:r>
      <w:r w:rsidR="009C58C8" w:rsidRPr="00FD211F">
        <w:rPr>
          <w:rStyle w:val="a6"/>
          <w:sz w:val="36"/>
          <w:szCs w:val="36"/>
          <w:rtl/>
        </w:rPr>
        <w:t>)</w:t>
      </w:r>
      <w:r w:rsidRPr="00FD211F">
        <w:rPr>
          <w:sz w:val="36"/>
          <w:szCs w:val="36"/>
          <w:rtl/>
        </w:rPr>
        <w:t>.</w:t>
      </w:r>
    </w:p>
    <w:p w14:paraId="6BAAEF55" w14:textId="77777777" w:rsidR="00DF1803" w:rsidRPr="00FD211F" w:rsidRDefault="00DF1803" w:rsidP="009C58C8">
      <w:pPr>
        <w:ind w:left="0" w:firstLine="227"/>
        <w:jc w:val="both"/>
        <w:rPr>
          <w:sz w:val="36"/>
          <w:szCs w:val="36"/>
          <w:rtl/>
        </w:rPr>
      </w:pPr>
      <w:r w:rsidRPr="00FD211F">
        <w:rPr>
          <w:sz w:val="36"/>
          <w:szCs w:val="36"/>
          <w:rtl/>
        </w:rPr>
        <w:t xml:space="preserve">اقول: ان فناء </w:t>
      </w:r>
      <w:r w:rsidR="008D7B3D" w:rsidRPr="00FD211F">
        <w:rPr>
          <w:sz w:val="36"/>
          <w:szCs w:val="36"/>
          <w:rtl/>
        </w:rPr>
        <w:t xml:space="preserve">شيء </w:t>
      </w:r>
      <w:r w:rsidRPr="00FD211F">
        <w:rPr>
          <w:sz w:val="36"/>
          <w:szCs w:val="36"/>
          <w:rtl/>
        </w:rPr>
        <w:t xml:space="preserve">في </w:t>
      </w:r>
      <w:r w:rsidR="008D7B3D" w:rsidRPr="00FD211F">
        <w:rPr>
          <w:sz w:val="36"/>
          <w:szCs w:val="36"/>
          <w:rtl/>
        </w:rPr>
        <w:t xml:space="preserve">شيء </w:t>
      </w:r>
      <w:r w:rsidRPr="00FD211F">
        <w:rPr>
          <w:sz w:val="36"/>
          <w:szCs w:val="36"/>
          <w:rtl/>
        </w:rPr>
        <w:t>إما فناء حقيقي كفناء الوجود الرابط والمعنى الحرفي في طرفيه حيث انه عين التعلق بهما</w:t>
      </w:r>
      <w:r w:rsidR="00603323" w:rsidRPr="00FD211F">
        <w:rPr>
          <w:sz w:val="36"/>
          <w:szCs w:val="36"/>
          <w:rtl/>
        </w:rPr>
        <w:t xml:space="preserve">، </w:t>
      </w:r>
      <w:r w:rsidRPr="00FD211F">
        <w:rPr>
          <w:sz w:val="36"/>
          <w:szCs w:val="36"/>
          <w:rtl/>
        </w:rPr>
        <w:t>او فناء لحاظي كتصور مفهوم الانسان فانيا فيما هو انسان بالحمل الشائع</w:t>
      </w:r>
      <w:r w:rsidR="00603323" w:rsidRPr="00FD211F">
        <w:rPr>
          <w:sz w:val="36"/>
          <w:szCs w:val="36"/>
          <w:rtl/>
        </w:rPr>
        <w:t xml:space="preserve">، </w:t>
      </w:r>
      <w:r w:rsidRPr="00FD211F">
        <w:rPr>
          <w:sz w:val="36"/>
          <w:szCs w:val="36"/>
          <w:rtl/>
        </w:rPr>
        <w:t>حيث ان مفهوم الانسان في الذهن وان كان كيفا نفسانيا بالحمل الشائع لكنه انسان بالحمل الأولي</w:t>
      </w:r>
      <w:r w:rsidR="00603323" w:rsidRPr="00FD211F">
        <w:rPr>
          <w:sz w:val="36"/>
          <w:szCs w:val="36"/>
          <w:rtl/>
        </w:rPr>
        <w:t xml:space="preserve">، </w:t>
      </w:r>
      <w:r w:rsidRPr="00FD211F">
        <w:rPr>
          <w:sz w:val="36"/>
          <w:szCs w:val="36"/>
          <w:rtl/>
        </w:rPr>
        <w:t>فيلحظ فانيا في الإنسان بالحمل الشائع.</w:t>
      </w:r>
    </w:p>
    <w:p w14:paraId="17AC84EB" w14:textId="77777777" w:rsidR="00DF1803" w:rsidRPr="00FD211F" w:rsidRDefault="00DF1803" w:rsidP="009C58C8">
      <w:pPr>
        <w:ind w:left="0" w:firstLine="227"/>
        <w:jc w:val="both"/>
        <w:rPr>
          <w:sz w:val="36"/>
          <w:szCs w:val="36"/>
          <w:rtl/>
        </w:rPr>
      </w:pPr>
      <w:r w:rsidRPr="00FD211F">
        <w:rPr>
          <w:sz w:val="36"/>
          <w:szCs w:val="36"/>
          <w:rtl/>
        </w:rPr>
        <w:t>ومن الواضح عدم كون فناء اللفظ في المعنى فناءا حقيقيا حيث انه له وجودا مستقلا في قبال وجود المعنى</w:t>
      </w:r>
      <w:r w:rsidR="00603323" w:rsidRPr="00FD211F">
        <w:rPr>
          <w:sz w:val="36"/>
          <w:szCs w:val="36"/>
          <w:rtl/>
        </w:rPr>
        <w:t xml:space="preserve">، </w:t>
      </w:r>
      <w:r w:rsidRPr="00FD211F">
        <w:rPr>
          <w:sz w:val="36"/>
          <w:szCs w:val="36"/>
          <w:rtl/>
        </w:rPr>
        <w:t>وانما الذي يمكن دعواه هو فناء اللفظ في المعنى فناءا لحاظيا كما هو ظاهر صاحب الكفاي</w:t>
      </w:r>
      <w:r w:rsidR="00EC7EDF" w:rsidRPr="00FD211F">
        <w:rPr>
          <w:sz w:val="36"/>
          <w:szCs w:val="36"/>
          <w:rtl/>
        </w:rPr>
        <w:t>ة</w:t>
      </w:r>
      <w:r w:rsidR="00603323" w:rsidRPr="00FD211F">
        <w:rPr>
          <w:sz w:val="36"/>
          <w:szCs w:val="36"/>
          <w:rtl/>
        </w:rPr>
        <w:t xml:space="preserve">، </w:t>
      </w:r>
      <w:r w:rsidRPr="00FD211F">
        <w:rPr>
          <w:sz w:val="36"/>
          <w:szCs w:val="36"/>
          <w:rtl/>
        </w:rPr>
        <w:t>ولكن أورد عليه في البحوث بانه لاتتم فيه نكت</w:t>
      </w:r>
      <w:r w:rsidR="00EC7EDF" w:rsidRPr="00FD211F">
        <w:rPr>
          <w:sz w:val="36"/>
          <w:szCs w:val="36"/>
          <w:rtl/>
        </w:rPr>
        <w:t xml:space="preserve">ة </w:t>
      </w:r>
      <w:r w:rsidRPr="00FD211F">
        <w:rPr>
          <w:sz w:val="36"/>
          <w:szCs w:val="36"/>
          <w:rtl/>
        </w:rPr>
        <w:t>الفناء اللحاظي</w:t>
      </w:r>
      <w:r w:rsidR="00603323" w:rsidRPr="00FD211F">
        <w:rPr>
          <w:sz w:val="36"/>
          <w:szCs w:val="36"/>
          <w:rtl/>
        </w:rPr>
        <w:t xml:space="preserve">، </w:t>
      </w:r>
      <w:r w:rsidRPr="00FD211F">
        <w:rPr>
          <w:sz w:val="36"/>
          <w:szCs w:val="36"/>
          <w:rtl/>
        </w:rPr>
        <w:t>اذ ليس بين اللفظ والمعنى اتحاد بالحمل الأولي</w:t>
      </w:r>
      <w:r w:rsidR="00603323" w:rsidRPr="00FD211F">
        <w:rPr>
          <w:sz w:val="36"/>
          <w:szCs w:val="36"/>
          <w:rtl/>
        </w:rPr>
        <w:t xml:space="preserve">، </w:t>
      </w:r>
      <w:r w:rsidRPr="00FD211F">
        <w:rPr>
          <w:sz w:val="36"/>
          <w:szCs w:val="36"/>
          <w:rtl/>
        </w:rPr>
        <w:t>فان لفظ الماء مثلا ليس معنى الماء حتى بالحمل الأولي والنظر التصوري</w:t>
      </w:r>
      <w:r w:rsidR="009C58C8" w:rsidRPr="00FD211F">
        <w:rPr>
          <w:rStyle w:val="a6"/>
          <w:sz w:val="36"/>
          <w:szCs w:val="36"/>
          <w:rtl/>
        </w:rPr>
        <w:t>(</w:t>
      </w:r>
      <w:r w:rsidR="009C58C8" w:rsidRPr="00FD211F">
        <w:rPr>
          <w:rStyle w:val="a6"/>
          <w:sz w:val="36"/>
          <w:szCs w:val="36"/>
          <w:rtl/>
        </w:rPr>
        <w:footnoteReference w:id="288"/>
      </w:r>
      <w:r w:rsidR="009C58C8" w:rsidRPr="00FD211F">
        <w:rPr>
          <w:rStyle w:val="a6"/>
          <w:sz w:val="36"/>
          <w:szCs w:val="36"/>
          <w:rtl/>
        </w:rPr>
        <w:t>)</w:t>
      </w:r>
      <w:r w:rsidR="00603323" w:rsidRPr="00FD211F">
        <w:rPr>
          <w:sz w:val="36"/>
          <w:szCs w:val="36"/>
          <w:rtl/>
        </w:rPr>
        <w:t xml:space="preserve">، </w:t>
      </w:r>
      <w:r w:rsidRPr="00FD211F">
        <w:rPr>
          <w:sz w:val="36"/>
          <w:szCs w:val="36"/>
          <w:rtl/>
        </w:rPr>
        <w:t>ولابأس بما افاده</w:t>
      </w:r>
      <w:r w:rsidR="00603323" w:rsidRPr="00FD211F">
        <w:rPr>
          <w:sz w:val="36"/>
          <w:szCs w:val="36"/>
          <w:rtl/>
        </w:rPr>
        <w:t xml:space="preserve">، </w:t>
      </w:r>
      <w:r w:rsidRPr="00FD211F">
        <w:rPr>
          <w:sz w:val="36"/>
          <w:szCs w:val="36"/>
          <w:rtl/>
        </w:rPr>
        <w:t>نعم لو كان مقصود صاحب الكفاي</w:t>
      </w:r>
      <w:r w:rsidR="00EC7EDF" w:rsidRPr="00FD211F">
        <w:rPr>
          <w:sz w:val="36"/>
          <w:szCs w:val="36"/>
          <w:rtl/>
        </w:rPr>
        <w:t xml:space="preserve">ة </w:t>
      </w:r>
      <w:r w:rsidRPr="00FD211F">
        <w:rPr>
          <w:sz w:val="36"/>
          <w:szCs w:val="36"/>
          <w:rtl/>
        </w:rPr>
        <w:t>ما مر في الوجه السابع من البحث السابق فهو لايستدعي عدم لحاظ اللفظ تفصيلا حين الاستعمال</w:t>
      </w:r>
      <w:r w:rsidR="00603323" w:rsidRPr="00FD211F">
        <w:rPr>
          <w:sz w:val="36"/>
          <w:szCs w:val="36"/>
          <w:rtl/>
        </w:rPr>
        <w:t xml:space="preserve">، </w:t>
      </w:r>
      <w:r w:rsidRPr="00FD211F">
        <w:rPr>
          <w:sz w:val="36"/>
          <w:szCs w:val="36"/>
          <w:rtl/>
        </w:rPr>
        <w:t>كما يتضح وجهه قريبا.</w:t>
      </w:r>
    </w:p>
    <w:p w14:paraId="5073FAB8" w14:textId="77777777" w:rsidR="00DF1803" w:rsidRPr="00FD211F" w:rsidRDefault="00DF1803"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وأما ما استشهد به صاحب الكفاي</w:t>
      </w:r>
      <w:r w:rsidR="00EC7EDF" w:rsidRPr="00FD211F">
        <w:rPr>
          <w:sz w:val="36"/>
          <w:szCs w:val="36"/>
          <w:rtl/>
        </w:rPr>
        <w:t xml:space="preserve">ة </w:t>
      </w:r>
      <w:r w:rsidR="002C2B14" w:rsidRPr="00FD211F">
        <w:rPr>
          <w:sz w:val="36"/>
          <w:szCs w:val="36"/>
          <w:rtl/>
        </w:rPr>
        <w:t>"قده"</w:t>
      </w:r>
      <w:r w:rsidRPr="00FD211F">
        <w:rPr>
          <w:sz w:val="36"/>
          <w:szCs w:val="36"/>
          <w:rtl/>
        </w:rPr>
        <w:t>على ما ذكره بسريان حسن المعنى وقبحه الى اللفظ فقد مرّ أنه ليس من لوازم الاستعمال وان كان قد يحصل ذلك أحيانا في بعض الألفاظ كما قد يحدث ذلك في العلامات أيضا</w:t>
      </w:r>
      <w:r w:rsidR="00603323" w:rsidRPr="00FD211F">
        <w:rPr>
          <w:sz w:val="36"/>
          <w:szCs w:val="36"/>
          <w:rtl/>
        </w:rPr>
        <w:t xml:space="preserve">، </w:t>
      </w:r>
      <w:r w:rsidRPr="00FD211F">
        <w:rPr>
          <w:sz w:val="36"/>
          <w:szCs w:val="36"/>
          <w:rtl/>
        </w:rPr>
        <w:t>فان بعض الطيور كالبوم مما يستقبحه الإنسان ويشمئز من رؤيته حيث يراه علام</w:t>
      </w:r>
      <w:r w:rsidR="00EC7EDF" w:rsidRPr="00FD211F">
        <w:rPr>
          <w:sz w:val="36"/>
          <w:szCs w:val="36"/>
          <w:rtl/>
        </w:rPr>
        <w:t xml:space="preserve">ة </w:t>
      </w:r>
      <w:r w:rsidRPr="00FD211F">
        <w:rPr>
          <w:sz w:val="36"/>
          <w:szCs w:val="36"/>
          <w:rtl/>
        </w:rPr>
        <w:t>على أمر سوء</w:t>
      </w:r>
      <w:r w:rsidR="00603323" w:rsidRPr="00FD211F">
        <w:rPr>
          <w:sz w:val="36"/>
          <w:szCs w:val="36"/>
          <w:rtl/>
        </w:rPr>
        <w:t xml:space="preserve">، </w:t>
      </w:r>
      <w:r w:rsidRPr="00FD211F">
        <w:rPr>
          <w:sz w:val="36"/>
          <w:szCs w:val="36"/>
          <w:rtl/>
        </w:rPr>
        <w:t>كما يستقبح ويشمئز من عَلَم مجالس اللهو بينما يستحسن ويحب عَلَم مج</w:t>
      </w:r>
      <w:r w:rsidR="002C2B14" w:rsidRPr="00FD211F">
        <w:rPr>
          <w:sz w:val="36"/>
          <w:szCs w:val="36"/>
          <w:rtl/>
        </w:rPr>
        <w:t>ا</w:t>
      </w:r>
      <w:r w:rsidRPr="00FD211F">
        <w:rPr>
          <w:sz w:val="36"/>
          <w:szCs w:val="36"/>
          <w:rtl/>
        </w:rPr>
        <w:t xml:space="preserve">لس الحسين </w:t>
      </w:r>
      <w:r w:rsidR="007A4A0D" w:rsidRPr="00FD211F">
        <w:rPr>
          <w:sz w:val="36"/>
          <w:szCs w:val="36"/>
          <w:rtl/>
        </w:rPr>
        <w:t>(عليه‌السلام)</w:t>
      </w:r>
      <w:r w:rsidRPr="00FD211F">
        <w:rPr>
          <w:sz w:val="36"/>
          <w:szCs w:val="36"/>
          <w:rtl/>
        </w:rPr>
        <w:t>.</w:t>
      </w:r>
    </w:p>
    <w:p w14:paraId="0C664C66" w14:textId="77777777" w:rsidR="00DF1803" w:rsidRPr="00FD211F" w:rsidRDefault="00DF1803" w:rsidP="005946E3">
      <w:pPr>
        <w:ind w:left="0" w:firstLine="227"/>
        <w:jc w:val="both"/>
        <w:rPr>
          <w:sz w:val="36"/>
          <w:szCs w:val="36"/>
          <w:rtl/>
        </w:rPr>
      </w:pPr>
      <w:r w:rsidRPr="00FD211F">
        <w:rPr>
          <w:sz w:val="36"/>
          <w:szCs w:val="36"/>
          <w:rtl/>
        </w:rPr>
        <w:t>2- ما ذكره السيد الخوئي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من أنه بناء على تفسير حقيق</w:t>
      </w:r>
      <w:r w:rsidR="00EC7EDF" w:rsidRPr="00FD211F">
        <w:rPr>
          <w:sz w:val="36"/>
          <w:szCs w:val="36"/>
          <w:rtl/>
        </w:rPr>
        <w:t xml:space="preserve">ة </w:t>
      </w:r>
      <w:r w:rsidRPr="00FD211F">
        <w:rPr>
          <w:sz w:val="36"/>
          <w:szCs w:val="36"/>
          <w:rtl/>
        </w:rPr>
        <w:t>الوضع بأنه هو تنزيل اللفظ منزل</w:t>
      </w:r>
      <w:r w:rsidR="00EC7EDF" w:rsidRPr="00FD211F">
        <w:rPr>
          <w:sz w:val="36"/>
          <w:szCs w:val="36"/>
          <w:rtl/>
        </w:rPr>
        <w:t xml:space="preserve">ة </w:t>
      </w:r>
      <w:r w:rsidRPr="00FD211F">
        <w:rPr>
          <w:sz w:val="36"/>
          <w:szCs w:val="36"/>
          <w:rtl/>
        </w:rPr>
        <w:t>المعنى فيكون اللفظ وجودا تنزيليا للمعنى فيتم ما هو المشهور بين المتأخرين من أن اللفظ حين الاستعمال يكون فانيا في المعنى</w:t>
      </w:r>
      <w:r w:rsidR="00603323" w:rsidRPr="00FD211F">
        <w:rPr>
          <w:sz w:val="36"/>
          <w:szCs w:val="36"/>
          <w:rtl/>
        </w:rPr>
        <w:t xml:space="preserve">، </w:t>
      </w:r>
      <w:r w:rsidRPr="00FD211F">
        <w:rPr>
          <w:sz w:val="36"/>
          <w:szCs w:val="36"/>
          <w:rtl/>
        </w:rPr>
        <w:t>ولكن سائر المسالك في الوضع كمسلك التعهد والالتزام النفساني بعدم استعمال اللفظ الا عند إراد</w:t>
      </w:r>
      <w:r w:rsidR="00EC7EDF" w:rsidRPr="00FD211F">
        <w:rPr>
          <w:sz w:val="36"/>
          <w:szCs w:val="36"/>
          <w:rtl/>
        </w:rPr>
        <w:t xml:space="preserve">ة </w:t>
      </w:r>
      <w:r w:rsidRPr="00FD211F">
        <w:rPr>
          <w:sz w:val="36"/>
          <w:szCs w:val="36"/>
          <w:rtl/>
        </w:rPr>
        <w:t>تفهيم معناه كما هو المختار</w:t>
      </w:r>
      <w:r w:rsidR="00603323" w:rsidRPr="00FD211F">
        <w:rPr>
          <w:sz w:val="36"/>
          <w:szCs w:val="36"/>
          <w:rtl/>
        </w:rPr>
        <w:t xml:space="preserve">، </w:t>
      </w:r>
      <w:r w:rsidRPr="00FD211F">
        <w:rPr>
          <w:sz w:val="36"/>
          <w:szCs w:val="36"/>
          <w:rtl/>
        </w:rPr>
        <w:t>او كون الوضع هو اعتبار الملازم</w:t>
      </w:r>
      <w:r w:rsidR="00EC7EDF" w:rsidRPr="00FD211F">
        <w:rPr>
          <w:sz w:val="36"/>
          <w:szCs w:val="36"/>
          <w:rtl/>
        </w:rPr>
        <w:t xml:space="preserve">ة </w:t>
      </w:r>
      <w:r w:rsidRPr="00FD211F">
        <w:rPr>
          <w:sz w:val="36"/>
          <w:szCs w:val="36"/>
          <w:rtl/>
        </w:rPr>
        <w:t>بين اللفظ والمعنى</w:t>
      </w:r>
      <w:r w:rsidR="00603323" w:rsidRPr="00FD211F">
        <w:rPr>
          <w:sz w:val="36"/>
          <w:szCs w:val="36"/>
          <w:rtl/>
        </w:rPr>
        <w:t xml:space="preserve">، </w:t>
      </w:r>
      <w:r w:rsidRPr="00FD211F">
        <w:rPr>
          <w:sz w:val="36"/>
          <w:szCs w:val="36"/>
          <w:rtl/>
        </w:rPr>
        <w:t xml:space="preserve">او كونه هو اعتبار وضع اللفظ على المعنى نظير وضع العَلَم على المكان كما هو مختار محقق الاصفهاني </w:t>
      </w:r>
      <w:r w:rsidR="004D49AF" w:rsidRPr="00FD211F">
        <w:rPr>
          <w:sz w:val="36"/>
          <w:szCs w:val="36"/>
          <w:rtl/>
        </w:rPr>
        <w:t>"</w:t>
      </w:r>
      <w:r w:rsidRPr="00FD211F">
        <w:rPr>
          <w:sz w:val="36"/>
          <w:szCs w:val="36"/>
          <w:rtl/>
        </w:rPr>
        <w:t>قده</w:t>
      </w:r>
      <w:r w:rsidR="004D49AF" w:rsidRPr="00FD211F">
        <w:rPr>
          <w:sz w:val="36"/>
          <w:szCs w:val="36"/>
          <w:rtl/>
        </w:rPr>
        <w:t>"</w:t>
      </w:r>
      <w:r w:rsidR="00603323" w:rsidRPr="00FD211F">
        <w:rPr>
          <w:sz w:val="36"/>
          <w:szCs w:val="36"/>
          <w:rtl/>
        </w:rPr>
        <w:t xml:space="preserve">، </w:t>
      </w:r>
      <w:r w:rsidRPr="00FD211F">
        <w:rPr>
          <w:sz w:val="36"/>
          <w:szCs w:val="36"/>
          <w:rtl/>
        </w:rPr>
        <w:t>فلايستدعي فناء اللفظ في المعنى حين الاستعمال</w:t>
      </w:r>
      <w:r w:rsidR="009C58C8" w:rsidRPr="00FD211F">
        <w:rPr>
          <w:rStyle w:val="a6"/>
          <w:sz w:val="36"/>
          <w:szCs w:val="36"/>
          <w:rtl/>
        </w:rPr>
        <w:t>(</w:t>
      </w:r>
      <w:r w:rsidR="009C58C8" w:rsidRPr="00FD211F">
        <w:rPr>
          <w:rStyle w:val="a6"/>
          <w:sz w:val="36"/>
          <w:szCs w:val="36"/>
          <w:rtl/>
        </w:rPr>
        <w:footnoteReference w:id="289"/>
      </w:r>
      <w:r w:rsidR="009C58C8" w:rsidRPr="00FD211F">
        <w:rPr>
          <w:rStyle w:val="a6"/>
          <w:sz w:val="36"/>
          <w:szCs w:val="36"/>
          <w:rtl/>
        </w:rPr>
        <w:t>)</w:t>
      </w:r>
      <w:r w:rsidRPr="00FD211F">
        <w:rPr>
          <w:sz w:val="36"/>
          <w:szCs w:val="36"/>
          <w:rtl/>
        </w:rPr>
        <w:t>.</w:t>
      </w:r>
    </w:p>
    <w:p w14:paraId="4B8D9994" w14:textId="77777777" w:rsidR="00DF1803" w:rsidRPr="00FD211F" w:rsidRDefault="00DF1803" w:rsidP="009C58C8">
      <w:pPr>
        <w:ind w:left="0" w:firstLine="227"/>
        <w:jc w:val="both"/>
        <w:rPr>
          <w:sz w:val="36"/>
          <w:szCs w:val="36"/>
          <w:rtl/>
        </w:rPr>
      </w:pPr>
      <w:r w:rsidRPr="00FD211F">
        <w:rPr>
          <w:sz w:val="36"/>
          <w:szCs w:val="36"/>
          <w:rtl/>
        </w:rPr>
        <w:t>ويلاحظ عليه: ان مسلك تنزيل اللفظ منزل</w:t>
      </w:r>
      <w:r w:rsidR="00EC7EDF" w:rsidRPr="00FD211F">
        <w:rPr>
          <w:sz w:val="36"/>
          <w:szCs w:val="36"/>
          <w:rtl/>
        </w:rPr>
        <w:t xml:space="preserve">ة </w:t>
      </w:r>
      <w:r w:rsidRPr="00FD211F">
        <w:rPr>
          <w:sz w:val="36"/>
          <w:szCs w:val="36"/>
          <w:rtl/>
        </w:rPr>
        <w:t>المعنى ايضا لايستدعي لحاظ اللفظ فانيا في المعنى عند الاستعمال</w:t>
      </w:r>
      <w:r w:rsidR="00603323" w:rsidRPr="00FD211F">
        <w:rPr>
          <w:sz w:val="36"/>
          <w:szCs w:val="36"/>
          <w:rtl/>
        </w:rPr>
        <w:t xml:space="preserve">، </w:t>
      </w:r>
      <w:r w:rsidRPr="00FD211F">
        <w:rPr>
          <w:sz w:val="36"/>
          <w:szCs w:val="36"/>
          <w:rtl/>
        </w:rPr>
        <w:t>فان مجرد اعتبار كون اللفظ عين المعنى ووجودا تنزيليا له لايستدعي ان يلحظه المستعمل فانيا في المعنى.</w:t>
      </w:r>
    </w:p>
    <w:p w14:paraId="1249A945" w14:textId="77777777" w:rsidR="00DF1803" w:rsidRPr="00FD211F" w:rsidRDefault="00DF1803" w:rsidP="009C58C8">
      <w:pPr>
        <w:ind w:left="0" w:firstLine="227"/>
        <w:jc w:val="both"/>
        <w:rPr>
          <w:sz w:val="36"/>
          <w:szCs w:val="36"/>
          <w:rtl/>
        </w:rPr>
      </w:pPr>
      <w:r w:rsidRPr="00FD211F">
        <w:rPr>
          <w:sz w:val="36"/>
          <w:szCs w:val="36"/>
          <w:rtl/>
        </w:rPr>
        <w:t>3- ما قد يقال من ان اللفظ الذي وضع بإزاء مفهوم كلّي كلفظ الانسان فحيث ان المفهوم الكلي لايتصور في الذهن عاد</w:t>
      </w:r>
      <w:r w:rsidR="00EC7EDF" w:rsidRPr="00FD211F">
        <w:rPr>
          <w:sz w:val="36"/>
          <w:szCs w:val="36"/>
          <w:rtl/>
        </w:rPr>
        <w:t xml:space="preserve">ة </w:t>
      </w:r>
      <w:r w:rsidRPr="00FD211F">
        <w:rPr>
          <w:sz w:val="36"/>
          <w:szCs w:val="36"/>
          <w:rtl/>
        </w:rPr>
        <w:t>الا في ضمن الخصوصيات –فانه لو فرض كون تصوره بلاأي</w:t>
      </w:r>
      <w:r w:rsidR="00EC7EDF" w:rsidRPr="00FD211F">
        <w:rPr>
          <w:sz w:val="36"/>
          <w:szCs w:val="36"/>
          <w:rtl/>
        </w:rPr>
        <w:t xml:space="preserve">ة </w:t>
      </w:r>
      <w:r w:rsidRPr="00FD211F">
        <w:rPr>
          <w:sz w:val="36"/>
          <w:szCs w:val="36"/>
          <w:rtl/>
        </w:rPr>
        <w:t>خصوصي</w:t>
      </w:r>
      <w:r w:rsidR="00EC7EDF" w:rsidRPr="00FD211F">
        <w:rPr>
          <w:sz w:val="36"/>
          <w:szCs w:val="36"/>
          <w:rtl/>
        </w:rPr>
        <w:t xml:space="preserve">ة </w:t>
      </w:r>
      <w:r w:rsidRPr="00FD211F">
        <w:rPr>
          <w:sz w:val="36"/>
          <w:szCs w:val="36"/>
          <w:rtl/>
        </w:rPr>
        <w:t>ممكنا عقلا فمع ذلك يكون مشكلا عاد</w:t>
      </w:r>
      <w:r w:rsidR="00EC7EDF" w:rsidRPr="00FD211F">
        <w:rPr>
          <w:sz w:val="36"/>
          <w:szCs w:val="36"/>
          <w:rtl/>
        </w:rPr>
        <w:t>ة</w:t>
      </w:r>
      <w:r w:rsidR="00603323" w:rsidRPr="00FD211F">
        <w:rPr>
          <w:sz w:val="36"/>
          <w:szCs w:val="36"/>
          <w:rtl/>
        </w:rPr>
        <w:t xml:space="preserve">، </w:t>
      </w:r>
      <w:r w:rsidRPr="00FD211F">
        <w:rPr>
          <w:sz w:val="36"/>
          <w:szCs w:val="36"/>
          <w:rtl/>
        </w:rPr>
        <w:t>فانه كيف نتصور انسانا بدون فرض طول خاص او لون خاص ونحو ذلك- ولايبقى بعد اسقاط كل هذه الخصوصيات الا نفس لفظ الانسان كرمز يعبِّر عن ذلك المفهوم الكلي فمن هنا يكون النظر الى اللفظ نظرا مرآتيا</w:t>
      </w:r>
      <w:r w:rsidR="00603323" w:rsidRPr="00FD211F">
        <w:rPr>
          <w:sz w:val="36"/>
          <w:szCs w:val="36"/>
          <w:rtl/>
        </w:rPr>
        <w:t xml:space="preserve">، </w:t>
      </w:r>
      <w:r w:rsidRPr="00FD211F">
        <w:rPr>
          <w:sz w:val="36"/>
          <w:szCs w:val="36"/>
          <w:rtl/>
        </w:rPr>
        <w:t>وهذا بخلاف العلامات -كوضع العَلَم على مكان ليدل على انه رأس الفرسخ- فانها تدل على اشياء جزئي</w:t>
      </w:r>
      <w:r w:rsidR="00EC7EDF" w:rsidRPr="00FD211F">
        <w:rPr>
          <w:sz w:val="36"/>
          <w:szCs w:val="36"/>
          <w:rtl/>
        </w:rPr>
        <w:t xml:space="preserve">ة </w:t>
      </w:r>
      <w:r w:rsidRPr="00FD211F">
        <w:rPr>
          <w:sz w:val="36"/>
          <w:szCs w:val="36"/>
          <w:rtl/>
        </w:rPr>
        <w:t>يمكن تصورها بصور</w:t>
      </w:r>
      <w:r w:rsidR="00EC7EDF" w:rsidRPr="00FD211F">
        <w:rPr>
          <w:sz w:val="36"/>
          <w:szCs w:val="36"/>
          <w:rtl/>
        </w:rPr>
        <w:t xml:space="preserve">ة </w:t>
      </w:r>
      <w:r w:rsidRPr="00FD211F">
        <w:rPr>
          <w:sz w:val="36"/>
          <w:szCs w:val="36"/>
          <w:rtl/>
        </w:rPr>
        <w:t>مستقل</w:t>
      </w:r>
      <w:r w:rsidR="00EC7EDF" w:rsidRPr="00FD211F">
        <w:rPr>
          <w:sz w:val="36"/>
          <w:szCs w:val="36"/>
          <w:rtl/>
        </w:rPr>
        <w:t xml:space="preserve">ة </w:t>
      </w:r>
      <w:r w:rsidRPr="00FD211F">
        <w:rPr>
          <w:sz w:val="36"/>
          <w:szCs w:val="36"/>
          <w:rtl/>
        </w:rPr>
        <w:t>عن تصور العلام</w:t>
      </w:r>
      <w:r w:rsidR="00EC7EDF" w:rsidRPr="00FD211F">
        <w:rPr>
          <w:sz w:val="36"/>
          <w:szCs w:val="36"/>
          <w:rtl/>
        </w:rPr>
        <w:t>ة</w:t>
      </w:r>
      <w:r w:rsidR="00A61BAE" w:rsidRPr="00FD211F">
        <w:rPr>
          <w:sz w:val="36"/>
          <w:szCs w:val="36"/>
          <w:rtl/>
        </w:rPr>
        <w:t>.</w:t>
      </w:r>
    </w:p>
    <w:p w14:paraId="2EEF8220" w14:textId="77777777" w:rsidR="00DF1803" w:rsidRPr="00FD211F" w:rsidRDefault="00DF1803" w:rsidP="009C58C8">
      <w:pPr>
        <w:ind w:left="0" w:firstLine="227"/>
        <w:jc w:val="both"/>
        <w:rPr>
          <w:sz w:val="36"/>
          <w:szCs w:val="36"/>
          <w:rtl/>
        </w:rPr>
      </w:pPr>
      <w:r w:rsidRPr="00FD211F">
        <w:rPr>
          <w:sz w:val="36"/>
          <w:szCs w:val="36"/>
          <w:rtl/>
        </w:rPr>
        <w:t xml:space="preserve">وفيه </w:t>
      </w:r>
      <w:r w:rsidRPr="00FD211F">
        <w:rPr>
          <w:b/>
          <w:bCs/>
          <w:sz w:val="36"/>
          <w:szCs w:val="36"/>
          <w:rtl/>
        </w:rPr>
        <w:t>اولا</w:t>
      </w:r>
      <w:r w:rsidRPr="00FD211F">
        <w:rPr>
          <w:sz w:val="36"/>
          <w:szCs w:val="36"/>
          <w:rtl/>
        </w:rPr>
        <w:t>: أنه لو فرض صح</w:t>
      </w:r>
      <w:r w:rsidR="00EC7EDF" w:rsidRPr="00FD211F">
        <w:rPr>
          <w:sz w:val="36"/>
          <w:szCs w:val="36"/>
          <w:rtl/>
        </w:rPr>
        <w:t xml:space="preserve">ة </w:t>
      </w:r>
      <w:r w:rsidRPr="00FD211F">
        <w:rPr>
          <w:sz w:val="36"/>
          <w:szCs w:val="36"/>
          <w:rtl/>
        </w:rPr>
        <w:t>هذه الدعوى في المفاهيم الكلي</w:t>
      </w:r>
      <w:r w:rsidR="00EC7EDF" w:rsidRPr="00FD211F">
        <w:rPr>
          <w:sz w:val="36"/>
          <w:szCs w:val="36"/>
          <w:rtl/>
        </w:rPr>
        <w:t xml:space="preserve">ة </w:t>
      </w:r>
      <w:r w:rsidRPr="00FD211F">
        <w:rPr>
          <w:sz w:val="36"/>
          <w:szCs w:val="36"/>
          <w:rtl/>
        </w:rPr>
        <w:t>فلاتأتي في المعاني الجزئي</w:t>
      </w:r>
      <w:r w:rsidR="00EC7EDF" w:rsidRPr="00FD211F">
        <w:rPr>
          <w:sz w:val="36"/>
          <w:szCs w:val="36"/>
          <w:rtl/>
        </w:rPr>
        <w:t xml:space="preserve">ة </w:t>
      </w:r>
      <w:r w:rsidRPr="00FD211F">
        <w:rPr>
          <w:sz w:val="36"/>
          <w:szCs w:val="36"/>
          <w:rtl/>
        </w:rPr>
        <w:t>التي يمكن تصورها بما هي عليها كمعاني أسماء الأعلام</w:t>
      </w:r>
      <w:r w:rsidR="00603323" w:rsidRPr="00FD211F">
        <w:rPr>
          <w:sz w:val="36"/>
          <w:szCs w:val="36"/>
          <w:rtl/>
        </w:rPr>
        <w:t xml:space="preserve">، </w:t>
      </w:r>
      <w:r w:rsidRPr="00FD211F">
        <w:rPr>
          <w:sz w:val="36"/>
          <w:szCs w:val="36"/>
          <w:rtl/>
        </w:rPr>
        <w:t>وحيث ان الالفاظ الموضوع</w:t>
      </w:r>
      <w:r w:rsidR="00EC7EDF" w:rsidRPr="00FD211F">
        <w:rPr>
          <w:sz w:val="36"/>
          <w:szCs w:val="36"/>
          <w:rtl/>
        </w:rPr>
        <w:t xml:space="preserve">ة </w:t>
      </w:r>
      <w:r w:rsidRPr="00FD211F">
        <w:rPr>
          <w:sz w:val="36"/>
          <w:szCs w:val="36"/>
          <w:rtl/>
        </w:rPr>
        <w:t>بإزاء تلك المعاني الجزئي</w:t>
      </w:r>
      <w:r w:rsidR="00EC7EDF" w:rsidRPr="00FD211F">
        <w:rPr>
          <w:sz w:val="36"/>
          <w:szCs w:val="36"/>
          <w:rtl/>
        </w:rPr>
        <w:t xml:space="preserve">ة </w:t>
      </w:r>
      <w:r w:rsidRPr="00FD211F">
        <w:rPr>
          <w:sz w:val="36"/>
          <w:szCs w:val="36"/>
          <w:rtl/>
        </w:rPr>
        <w:t>تلحظ حين استعمالها على وزان ما تلحظ الألفاظ الموضوع</w:t>
      </w:r>
      <w:r w:rsidR="00EC7EDF" w:rsidRPr="00FD211F">
        <w:rPr>
          <w:sz w:val="36"/>
          <w:szCs w:val="36"/>
          <w:rtl/>
        </w:rPr>
        <w:t xml:space="preserve">ة </w:t>
      </w:r>
      <w:r w:rsidRPr="00FD211F">
        <w:rPr>
          <w:sz w:val="36"/>
          <w:szCs w:val="36"/>
          <w:rtl/>
        </w:rPr>
        <w:t>للمعاني الكلي</w:t>
      </w:r>
      <w:r w:rsidR="00EC7EDF" w:rsidRPr="00FD211F">
        <w:rPr>
          <w:sz w:val="36"/>
          <w:szCs w:val="36"/>
          <w:rtl/>
        </w:rPr>
        <w:t>ة</w:t>
      </w:r>
      <w:r w:rsidR="00603323" w:rsidRPr="00FD211F">
        <w:rPr>
          <w:sz w:val="36"/>
          <w:szCs w:val="36"/>
          <w:rtl/>
        </w:rPr>
        <w:t xml:space="preserve">، </w:t>
      </w:r>
      <w:r w:rsidRPr="00FD211F">
        <w:rPr>
          <w:sz w:val="36"/>
          <w:szCs w:val="36"/>
          <w:rtl/>
        </w:rPr>
        <w:t>فان ادعي كون لحاظ الالفاظ لحاظا آليا ومرآتيا الى معانيها فلايمكن ان يستند في ذلك الى هذا الوجه لعدم شموله لألفاظ الأعلام.</w:t>
      </w:r>
    </w:p>
    <w:p w14:paraId="355FD919" w14:textId="77777777" w:rsidR="00DF1803" w:rsidRPr="00FD211F" w:rsidRDefault="00DF1803" w:rsidP="009C58C8">
      <w:pPr>
        <w:ind w:left="0" w:firstLine="227"/>
        <w:jc w:val="both"/>
        <w:rPr>
          <w:sz w:val="36"/>
          <w:szCs w:val="36"/>
          <w:rtl/>
        </w:rPr>
      </w:pPr>
      <w:r w:rsidRPr="00FD211F">
        <w:rPr>
          <w:b/>
          <w:bCs/>
          <w:sz w:val="36"/>
          <w:szCs w:val="36"/>
          <w:rtl/>
        </w:rPr>
        <w:t>وثانيا</w:t>
      </w:r>
      <w:r w:rsidRPr="00FD211F">
        <w:rPr>
          <w:sz w:val="36"/>
          <w:szCs w:val="36"/>
          <w:rtl/>
        </w:rPr>
        <w:t>: ان ما ذكر لايقتضي أكثر من عدم لحاظ المفهوم الكلي الا من خلال جعل اللفظ مشيرا اليه</w:t>
      </w:r>
      <w:r w:rsidR="00603323" w:rsidRPr="00FD211F">
        <w:rPr>
          <w:sz w:val="36"/>
          <w:szCs w:val="36"/>
          <w:rtl/>
        </w:rPr>
        <w:t xml:space="preserve">، </w:t>
      </w:r>
      <w:r w:rsidRPr="00FD211F">
        <w:rPr>
          <w:sz w:val="36"/>
          <w:szCs w:val="36"/>
          <w:rtl/>
        </w:rPr>
        <w:t>ولكنه لايعني عدم امكان لحاظ هذا اللفظ المشير لحاظا استقلالا</w:t>
      </w:r>
      <w:r w:rsidR="00603323" w:rsidRPr="00FD211F">
        <w:rPr>
          <w:sz w:val="36"/>
          <w:szCs w:val="36"/>
          <w:rtl/>
        </w:rPr>
        <w:t xml:space="preserve">، </w:t>
      </w:r>
      <w:r w:rsidRPr="00FD211F">
        <w:rPr>
          <w:sz w:val="36"/>
          <w:szCs w:val="36"/>
          <w:rtl/>
        </w:rPr>
        <w:t>والذي يشهد على ذلك دلال</w:t>
      </w:r>
      <w:r w:rsidR="00EC7EDF" w:rsidRPr="00FD211F">
        <w:rPr>
          <w:sz w:val="36"/>
          <w:szCs w:val="36"/>
          <w:rtl/>
        </w:rPr>
        <w:t xml:space="preserve">ة </w:t>
      </w:r>
      <w:r w:rsidRPr="00FD211F">
        <w:rPr>
          <w:sz w:val="36"/>
          <w:szCs w:val="36"/>
          <w:rtl/>
        </w:rPr>
        <w:t>إشار</w:t>
      </w:r>
      <w:r w:rsidR="00EC7EDF" w:rsidRPr="00FD211F">
        <w:rPr>
          <w:sz w:val="36"/>
          <w:szCs w:val="36"/>
          <w:rtl/>
        </w:rPr>
        <w:t xml:space="preserve">ة </w:t>
      </w:r>
      <w:r w:rsidRPr="00FD211F">
        <w:rPr>
          <w:sz w:val="36"/>
          <w:szCs w:val="36"/>
          <w:rtl/>
        </w:rPr>
        <w:t>الأخرس على المعنى</w:t>
      </w:r>
      <w:r w:rsidR="00603323" w:rsidRPr="00FD211F">
        <w:rPr>
          <w:sz w:val="36"/>
          <w:szCs w:val="36"/>
          <w:rtl/>
        </w:rPr>
        <w:t xml:space="preserve">، </w:t>
      </w:r>
      <w:r w:rsidRPr="00FD211F">
        <w:rPr>
          <w:sz w:val="36"/>
          <w:szCs w:val="36"/>
          <w:rtl/>
        </w:rPr>
        <w:t>فانه يلحظ إشارته باللحاظ التفصيلي.</w:t>
      </w:r>
    </w:p>
    <w:p w14:paraId="391854E5" w14:textId="77777777" w:rsidR="00DF1803" w:rsidRPr="00FD211F" w:rsidRDefault="00DF1803" w:rsidP="009C58C8">
      <w:pPr>
        <w:ind w:left="0" w:firstLine="227"/>
        <w:jc w:val="both"/>
        <w:rPr>
          <w:sz w:val="36"/>
          <w:szCs w:val="36"/>
          <w:rtl/>
        </w:rPr>
      </w:pPr>
      <w:r w:rsidRPr="00FD211F">
        <w:rPr>
          <w:sz w:val="36"/>
          <w:szCs w:val="36"/>
          <w:rtl/>
        </w:rPr>
        <w:t>4- ما قد يقال من ان الانتقال الذهني الى المعنى المدلول للفظ يكون على نحوين:</w:t>
      </w:r>
    </w:p>
    <w:p w14:paraId="757DB399" w14:textId="77777777" w:rsidR="00655FFA" w:rsidRPr="00FD211F" w:rsidRDefault="00DF1803" w:rsidP="009C58C8">
      <w:pPr>
        <w:ind w:left="0" w:firstLine="227"/>
        <w:jc w:val="both"/>
        <w:rPr>
          <w:sz w:val="36"/>
          <w:szCs w:val="36"/>
          <w:rtl/>
        </w:rPr>
      </w:pPr>
      <w:r w:rsidRPr="00FD211F">
        <w:rPr>
          <w:b/>
          <w:bCs/>
          <w:sz w:val="36"/>
          <w:szCs w:val="36"/>
          <w:rtl/>
        </w:rPr>
        <w:t>احدهما</w:t>
      </w:r>
      <w:r w:rsidRPr="00FD211F">
        <w:rPr>
          <w:sz w:val="36"/>
          <w:szCs w:val="36"/>
          <w:rtl/>
        </w:rPr>
        <w:t>: انتقال السامع او القارئ -من خلال سماعه للفظ او قرائته له- الى المعنى</w:t>
      </w:r>
      <w:r w:rsidR="00655FFA" w:rsidRPr="00FD211F">
        <w:rPr>
          <w:sz w:val="36"/>
          <w:szCs w:val="36"/>
          <w:rtl/>
        </w:rPr>
        <w:t>.</w:t>
      </w:r>
    </w:p>
    <w:p w14:paraId="725FEFB0" w14:textId="77777777" w:rsidR="00DF1803" w:rsidRPr="00FD211F" w:rsidRDefault="00DF1803" w:rsidP="009C58C8">
      <w:pPr>
        <w:ind w:left="0" w:firstLine="227"/>
        <w:jc w:val="both"/>
        <w:rPr>
          <w:sz w:val="36"/>
          <w:szCs w:val="36"/>
          <w:rtl/>
        </w:rPr>
      </w:pPr>
      <w:r w:rsidRPr="00FD211F">
        <w:rPr>
          <w:b/>
          <w:bCs/>
          <w:sz w:val="36"/>
          <w:szCs w:val="36"/>
          <w:rtl/>
        </w:rPr>
        <w:t xml:space="preserve">ثانيهما </w:t>
      </w:r>
      <w:r w:rsidRPr="00FD211F">
        <w:rPr>
          <w:sz w:val="36"/>
          <w:szCs w:val="36"/>
          <w:rtl/>
        </w:rPr>
        <w:t>انتقال المتكلم الى المعنى</w:t>
      </w:r>
      <w:r w:rsidR="00603323" w:rsidRPr="00FD211F">
        <w:rPr>
          <w:sz w:val="36"/>
          <w:szCs w:val="36"/>
          <w:rtl/>
        </w:rPr>
        <w:t xml:space="preserve">، </w:t>
      </w:r>
      <w:r w:rsidRPr="00FD211F">
        <w:rPr>
          <w:sz w:val="36"/>
          <w:szCs w:val="36"/>
          <w:rtl/>
        </w:rPr>
        <w:t>وهذا الانتقال سابق على تصور اللفظ</w:t>
      </w:r>
      <w:r w:rsidR="00603323" w:rsidRPr="00FD211F">
        <w:rPr>
          <w:sz w:val="36"/>
          <w:szCs w:val="36"/>
          <w:rtl/>
        </w:rPr>
        <w:t xml:space="preserve">، </w:t>
      </w:r>
      <w:r w:rsidRPr="00FD211F">
        <w:rPr>
          <w:sz w:val="36"/>
          <w:szCs w:val="36"/>
          <w:rtl/>
        </w:rPr>
        <w:t>حيث ينقدح في نفس المتكلم اولا المعنى</w:t>
      </w:r>
      <w:r w:rsidR="00603323" w:rsidRPr="00FD211F">
        <w:rPr>
          <w:sz w:val="36"/>
          <w:szCs w:val="36"/>
          <w:rtl/>
        </w:rPr>
        <w:t xml:space="preserve">، </w:t>
      </w:r>
      <w:r w:rsidRPr="00FD211F">
        <w:rPr>
          <w:sz w:val="36"/>
          <w:szCs w:val="36"/>
          <w:rtl/>
        </w:rPr>
        <w:t>ثم ينتقل الى اللفظ اذا قصد تفهيمه للمخاطب</w:t>
      </w:r>
      <w:r w:rsidR="00603323" w:rsidRPr="00FD211F">
        <w:rPr>
          <w:sz w:val="36"/>
          <w:szCs w:val="36"/>
          <w:rtl/>
        </w:rPr>
        <w:t xml:space="preserve">، </w:t>
      </w:r>
      <w:r w:rsidRPr="00FD211F">
        <w:rPr>
          <w:sz w:val="36"/>
          <w:szCs w:val="36"/>
          <w:rtl/>
        </w:rPr>
        <w:t>ولهذا فان المتكلم الذي يعرف لغتين بصور</w:t>
      </w:r>
      <w:r w:rsidR="00EC7EDF" w:rsidRPr="00FD211F">
        <w:rPr>
          <w:sz w:val="36"/>
          <w:szCs w:val="36"/>
          <w:rtl/>
        </w:rPr>
        <w:t xml:space="preserve">ة </w:t>
      </w:r>
      <w:r w:rsidRPr="00FD211F">
        <w:rPr>
          <w:sz w:val="36"/>
          <w:szCs w:val="36"/>
          <w:rtl/>
        </w:rPr>
        <w:t>متساوي</w:t>
      </w:r>
      <w:r w:rsidR="00EC7EDF" w:rsidRPr="00FD211F">
        <w:rPr>
          <w:sz w:val="36"/>
          <w:szCs w:val="36"/>
          <w:rtl/>
        </w:rPr>
        <w:t xml:space="preserve">ة </w:t>
      </w:r>
      <w:r w:rsidRPr="00FD211F">
        <w:rPr>
          <w:sz w:val="36"/>
          <w:szCs w:val="36"/>
          <w:rtl/>
        </w:rPr>
        <w:t>بعدما تصور المعنى وقصد تفهيمه قد يفكِّر في اختيار اللفظ من إحدى اللغتين</w:t>
      </w:r>
      <w:r w:rsidR="00603323" w:rsidRPr="00FD211F">
        <w:rPr>
          <w:sz w:val="36"/>
          <w:szCs w:val="36"/>
          <w:rtl/>
        </w:rPr>
        <w:t xml:space="preserve">، </w:t>
      </w:r>
      <w:r w:rsidRPr="00FD211F">
        <w:rPr>
          <w:sz w:val="36"/>
          <w:szCs w:val="36"/>
          <w:rtl/>
        </w:rPr>
        <w:t>وقد يبقى المتكلم يفتِّش عن لفظ مناسب للمعنى المقصود له حتى يجدها</w:t>
      </w:r>
      <w:r w:rsidR="00603323" w:rsidRPr="00FD211F">
        <w:rPr>
          <w:sz w:val="36"/>
          <w:szCs w:val="36"/>
          <w:rtl/>
        </w:rPr>
        <w:t xml:space="preserve">، </w:t>
      </w:r>
      <w:r w:rsidRPr="00FD211F">
        <w:rPr>
          <w:sz w:val="36"/>
          <w:szCs w:val="36"/>
          <w:rtl/>
        </w:rPr>
        <w:t>وهذا يعني ان انتقاله الى اللفظ في طول انتقاله الى المعنى.</w:t>
      </w:r>
    </w:p>
    <w:p w14:paraId="657B1D8F" w14:textId="77777777" w:rsidR="00DF1803" w:rsidRPr="00FD211F" w:rsidRDefault="00DF1803" w:rsidP="009C58C8">
      <w:pPr>
        <w:ind w:left="0" w:firstLine="227"/>
        <w:jc w:val="both"/>
        <w:rPr>
          <w:sz w:val="36"/>
          <w:szCs w:val="36"/>
          <w:rtl/>
        </w:rPr>
      </w:pPr>
      <w:r w:rsidRPr="00FD211F">
        <w:rPr>
          <w:sz w:val="36"/>
          <w:szCs w:val="36"/>
          <w:rtl/>
        </w:rPr>
        <w:t>أما في الانتقال الأول فمقتضى حصول الاقتران الأكيد بين اللفظ والمعنى بحيث يستلزم تصور اللفظ لتصور المعنى</w:t>
      </w:r>
      <w:r w:rsidR="009C58C8" w:rsidRPr="00FD211F">
        <w:rPr>
          <w:rStyle w:val="a6"/>
          <w:sz w:val="36"/>
          <w:szCs w:val="36"/>
          <w:rtl/>
        </w:rPr>
        <w:t>(</w:t>
      </w:r>
      <w:r w:rsidR="009C58C8" w:rsidRPr="00FD211F">
        <w:rPr>
          <w:rStyle w:val="a6"/>
          <w:sz w:val="36"/>
          <w:szCs w:val="36"/>
          <w:rtl/>
        </w:rPr>
        <w:footnoteReference w:id="290"/>
      </w:r>
      <w:r w:rsidR="009C58C8" w:rsidRPr="00FD211F">
        <w:rPr>
          <w:rStyle w:val="a6"/>
          <w:sz w:val="36"/>
          <w:szCs w:val="36"/>
          <w:rtl/>
        </w:rPr>
        <w:t>)</w:t>
      </w:r>
      <w:r w:rsidRPr="00FD211F">
        <w:rPr>
          <w:sz w:val="36"/>
          <w:szCs w:val="36"/>
          <w:rtl/>
        </w:rPr>
        <w:t xml:space="preserve"> هو أن الاحساس باللفظ يقوم مقام تصوره</w:t>
      </w:r>
      <w:r w:rsidR="00603323" w:rsidRPr="00FD211F">
        <w:rPr>
          <w:sz w:val="36"/>
          <w:szCs w:val="36"/>
          <w:rtl/>
        </w:rPr>
        <w:t xml:space="preserve">، </w:t>
      </w:r>
      <w:r w:rsidRPr="00FD211F">
        <w:rPr>
          <w:sz w:val="36"/>
          <w:szCs w:val="36"/>
          <w:rtl/>
        </w:rPr>
        <w:t>فكما ان تصور اللفظ كان مستتبعا لتصور المعنى نتيج</w:t>
      </w:r>
      <w:r w:rsidR="00EC7EDF" w:rsidRPr="00FD211F">
        <w:rPr>
          <w:sz w:val="36"/>
          <w:szCs w:val="36"/>
          <w:rtl/>
        </w:rPr>
        <w:t xml:space="preserve">ة </w:t>
      </w:r>
      <w:r w:rsidRPr="00FD211F">
        <w:rPr>
          <w:sz w:val="36"/>
          <w:szCs w:val="36"/>
          <w:rtl/>
        </w:rPr>
        <w:t>الاقتران الأكيد بينهما فكذلك يكون الإحساس باللفظ مستتبعا لتصور المعنى من دون ان يتصور اللفظ تفصيلا</w:t>
      </w:r>
      <w:r w:rsidR="00603323" w:rsidRPr="00FD211F">
        <w:rPr>
          <w:sz w:val="36"/>
          <w:szCs w:val="36"/>
          <w:rtl/>
        </w:rPr>
        <w:t xml:space="preserve">، </w:t>
      </w:r>
      <w:r w:rsidRPr="00FD211F">
        <w:rPr>
          <w:sz w:val="36"/>
          <w:szCs w:val="36"/>
          <w:rtl/>
        </w:rPr>
        <w:t>فعلاق</w:t>
      </w:r>
      <w:r w:rsidR="00EC7EDF" w:rsidRPr="00FD211F">
        <w:rPr>
          <w:sz w:val="36"/>
          <w:szCs w:val="36"/>
          <w:rtl/>
        </w:rPr>
        <w:t xml:space="preserve">ة </w:t>
      </w:r>
      <w:r w:rsidRPr="00FD211F">
        <w:rPr>
          <w:sz w:val="36"/>
          <w:szCs w:val="36"/>
          <w:rtl/>
        </w:rPr>
        <w:t>السببي</w:t>
      </w:r>
      <w:r w:rsidR="00EC7EDF" w:rsidRPr="00FD211F">
        <w:rPr>
          <w:sz w:val="36"/>
          <w:szCs w:val="36"/>
          <w:rtl/>
        </w:rPr>
        <w:t xml:space="preserve">ة </w:t>
      </w:r>
      <w:r w:rsidRPr="00FD211F">
        <w:rPr>
          <w:sz w:val="36"/>
          <w:szCs w:val="36"/>
          <w:rtl/>
        </w:rPr>
        <w:t>بين تصور اللفظ وتصور المعنى تسري الى سببي</w:t>
      </w:r>
      <w:r w:rsidR="00EC7EDF" w:rsidRPr="00FD211F">
        <w:rPr>
          <w:sz w:val="36"/>
          <w:szCs w:val="36"/>
          <w:rtl/>
        </w:rPr>
        <w:t xml:space="preserve">ة </w:t>
      </w:r>
      <w:r w:rsidRPr="00FD211F">
        <w:rPr>
          <w:sz w:val="36"/>
          <w:szCs w:val="36"/>
          <w:rtl/>
        </w:rPr>
        <w:t>الاحساس باللفظ لتصور المعنى مباشر</w:t>
      </w:r>
      <w:r w:rsidR="00EC7EDF" w:rsidRPr="00FD211F">
        <w:rPr>
          <w:sz w:val="36"/>
          <w:szCs w:val="36"/>
          <w:rtl/>
        </w:rPr>
        <w:t xml:space="preserve">ة </w:t>
      </w:r>
      <w:r w:rsidRPr="00FD211F">
        <w:rPr>
          <w:sz w:val="36"/>
          <w:szCs w:val="36"/>
          <w:rtl/>
        </w:rPr>
        <w:t>على اساس الربط الموجود بين الاحساس باللفظ وتصوره</w:t>
      </w:r>
      <w:r w:rsidR="00603323" w:rsidRPr="00FD211F">
        <w:rPr>
          <w:sz w:val="36"/>
          <w:szCs w:val="36"/>
          <w:rtl/>
        </w:rPr>
        <w:t xml:space="preserve">، </w:t>
      </w:r>
      <w:r w:rsidRPr="00FD211F">
        <w:rPr>
          <w:sz w:val="36"/>
          <w:szCs w:val="36"/>
          <w:rtl/>
        </w:rPr>
        <w:t>وبذلك يصح ان يقال بان اللفظ مغفول عنه ومرآ</w:t>
      </w:r>
      <w:r w:rsidR="00EC7EDF" w:rsidRPr="00FD211F">
        <w:rPr>
          <w:sz w:val="36"/>
          <w:szCs w:val="36"/>
          <w:rtl/>
        </w:rPr>
        <w:t xml:space="preserve">ة </w:t>
      </w:r>
      <w:r w:rsidRPr="00FD211F">
        <w:rPr>
          <w:sz w:val="36"/>
          <w:szCs w:val="36"/>
          <w:rtl/>
        </w:rPr>
        <w:t>ونحو ذلك من التعابير.</w:t>
      </w:r>
    </w:p>
    <w:p w14:paraId="3F29E312" w14:textId="77777777" w:rsidR="00DF1803" w:rsidRPr="00FD211F" w:rsidRDefault="00DF1803" w:rsidP="009C58C8">
      <w:pPr>
        <w:ind w:left="0" w:firstLine="227"/>
        <w:jc w:val="both"/>
        <w:rPr>
          <w:sz w:val="36"/>
          <w:szCs w:val="36"/>
          <w:rtl/>
        </w:rPr>
      </w:pPr>
      <w:r w:rsidRPr="00FD211F">
        <w:rPr>
          <w:sz w:val="36"/>
          <w:szCs w:val="36"/>
          <w:rtl/>
        </w:rPr>
        <w:t>ان قلت: انه بعد الاحساس باللفظ توجد صور</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للفظ في ذهن السامع او القارئ</w:t>
      </w:r>
      <w:r w:rsidR="00603323" w:rsidRPr="00FD211F">
        <w:rPr>
          <w:sz w:val="36"/>
          <w:szCs w:val="36"/>
          <w:rtl/>
        </w:rPr>
        <w:t xml:space="preserve">، </w:t>
      </w:r>
      <w:r w:rsidRPr="00FD211F">
        <w:rPr>
          <w:sz w:val="36"/>
          <w:szCs w:val="36"/>
          <w:rtl/>
        </w:rPr>
        <w:t>وهذه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حاضر</w:t>
      </w:r>
      <w:r w:rsidR="00EC7EDF" w:rsidRPr="00FD211F">
        <w:rPr>
          <w:sz w:val="36"/>
          <w:szCs w:val="36"/>
          <w:rtl/>
        </w:rPr>
        <w:t xml:space="preserve">ة </w:t>
      </w:r>
      <w:r w:rsidRPr="00FD211F">
        <w:rPr>
          <w:sz w:val="36"/>
          <w:szCs w:val="36"/>
          <w:rtl/>
        </w:rPr>
        <w:t>لدى النفس بذاتها</w:t>
      </w:r>
      <w:r w:rsidR="00603323" w:rsidRPr="00FD211F">
        <w:rPr>
          <w:sz w:val="36"/>
          <w:szCs w:val="36"/>
          <w:rtl/>
        </w:rPr>
        <w:t xml:space="preserve">، </w:t>
      </w:r>
      <w:r w:rsidRPr="00FD211F">
        <w:rPr>
          <w:sz w:val="36"/>
          <w:szCs w:val="36"/>
          <w:rtl/>
        </w:rPr>
        <w:t>فما معنى كونها مغفولا عنها؟</w:t>
      </w:r>
    </w:p>
    <w:p w14:paraId="44F90780" w14:textId="77777777" w:rsidR="00DF1803" w:rsidRPr="00FD211F" w:rsidRDefault="00DF1803" w:rsidP="009C58C8">
      <w:pPr>
        <w:ind w:left="0" w:firstLine="227"/>
        <w:jc w:val="both"/>
        <w:rPr>
          <w:sz w:val="36"/>
          <w:szCs w:val="36"/>
          <w:rtl/>
        </w:rPr>
      </w:pPr>
      <w:r w:rsidRPr="00FD211F">
        <w:rPr>
          <w:sz w:val="36"/>
          <w:szCs w:val="36"/>
          <w:rtl/>
        </w:rPr>
        <w:t xml:space="preserve">قلت: ان وجود </w:t>
      </w:r>
      <w:r w:rsidR="008D7B3D" w:rsidRPr="00FD211F">
        <w:rPr>
          <w:sz w:val="36"/>
          <w:szCs w:val="36"/>
          <w:rtl/>
        </w:rPr>
        <w:t xml:space="preserve">شيء </w:t>
      </w:r>
      <w:r w:rsidRPr="00FD211F">
        <w:rPr>
          <w:sz w:val="36"/>
          <w:szCs w:val="36"/>
          <w:rtl/>
        </w:rPr>
        <w:t>في صقع النفس لايستلزم توجه النفس اليه تفصيلا</w:t>
      </w:r>
      <w:r w:rsidR="00603323" w:rsidRPr="00FD211F">
        <w:rPr>
          <w:sz w:val="36"/>
          <w:szCs w:val="36"/>
          <w:rtl/>
        </w:rPr>
        <w:t xml:space="preserve">، </w:t>
      </w:r>
      <w:r w:rsidRPr="00FD211F">
        <w:rPr>
          <w:sz w:val="36"/>
          <w:szCs w:val="36"/>
          <w:rtl/>
        </w:rPr>
        <w:t>كما ان الانسان قد لايلتفت الى علمه ب</w:t>
      </w:r>
      <w:r w:rsidR="008D7B3D" w:rsidRPr="00FD211F">
        <w:rPr>
          <w:sz w:val="36"/>
          <w:szCs w:val="36"/>
          <w:rtl/>
        </w:rPr>
        <w:t xml:space="preserve">شيء </w:t>
      </w:r>
      <w:r w:rsidRPr="00FD211F">
        <w:rPr>
          <w:sz w:val="36"/>
          <w:szCs w:val="36"/>
          <w:rtl/>
        </w:rPr>
        <w:t>مع وجود هذا العلم في صقع نفسه</w:t>
      </w:r>
      <w:r w:rsidR="00603323" w:rsidRPr="00FD211F">
        <w:rPr>
          <w:sz w:val="36"/>
          <w:szCs w:val="36"/>
          <w:rtl/>
        </w:rPr>
        <w:t xml:space="preserve">، </w:t>
      </w:r>
      <w:r w:rsidRPr="00FD211F">
        <w:rPr>
          <w:sz w:val="36"/>
          <w:szCs w:val="36"/>
          <w:rtl/>
        </w:rPr>
        <w:t>وكذا تكون لديه ني</w:t>
      </w:r>
      <w:r w:rsidR="00EC7EDF" w:rsidRPr="00FD211F">
        <w:rPr>
          <w:sz w:val="36"/>
          <w:szCs w:val="36"/>
          <w:rtl/>
        </w:rPr>
        <w:t xml:space="preserve">ة </w:t>
      </w:r>
      <w:r w:rsidRPr="00FD211F">
        <w:rPr>
          <w:sz w:val="36"/>
          <w:szCs w:val="36"/>
          <w:rtl/>
        </w:rPr>
        <w:t>ارتكازي</w:t>
      </w:r>
      <w:r w:rsidR="00EC7EDF" w:rsidRPr="00FD211F">
        <w:rPr>
          <w:sz w:val="36"/>
          <w:szCs w:val="36"/>
          <w:rtl/>
        </w:rPr>
        <w:t xml:space="preserve">ة </w:t>
      </w:r>
      <w:r w:rsidRPr="00FD211F">
        <w:rPr>
          <w:sz w:val="36"/>
          <w:szCs w:val="36"/>
          <w:rtl/>
        </w:rPr>
        <w:t>ولكن لايتوجه اليه تفصيلا</w:t>
      </w:r>
      <w:r w:rsidR="00603323" w:rsidRPr="00FD211F">
        <w:rPr>
          <w:sz w:val="36"/>
          <w:szCs w:val="36"/>
          <w:rtl/>
        </w:rPr>
        <w:t xml:space="preserve">، </w:t>
      </w:r>
      <w:r w:rsidRPr="00FD211F">
        <w:rPr>
          <w:sz w:val="36"/>
          <w:szCs w:val="36"/>
          <w:rtl/>
        </w:rPr>
        <w:t>وانما يكون بنحو لو سئل لأجاب بأني ناوٍ لصلا</w:t>
      </w:r>
      <w:r w:rsidR="00EC7EDF" w:rsidRPr="00FD211F">
        <w:rPr>
          <w:sz w:val="36"/>
          <w:szCs w:val="36"/>
          <w:rtl/>
        </w:rPr>
        <w:t xml:space="preserve">ة </w:t>
      </w:r>
      <w:r w:rsidRPr="00FD211F">
        <w:rPr>
          <w:sz w:val="36"/>
          <w:szCs w:val="36"/>
          <w:rtl/>
        </w:rPr>
        <w:t>الظهر مثلا.</w:t>
      </w:r>
    </w:p>
    <w:p w14:paraId="20A18ACD" w14:textId="77777777" w:rsidR="00DF1803" w:rsidRPr="00FD211F" w:rsidRDefault="00DF1803" w:rsidP="009C58C8">
      <w:pPr>
        <w:ind w:left="0" w:firstLine="227"/>
        <w:jc w:val="both"/>
        <w:rPr>
          <w:sz w:val="36"/>
          <w:szCs w:val="36"/>
          <w:rtl/>
        </w:rPr>
      </w:pPr>
      <w:r w:rsidRPr="00FD211F">
        <w:rPr>
          <w:sz w:val="36"/>
          <w:szCs w:val="36"/>
          <w:rtl/>
        </w:rPr>
        <w:t>وفي المقام أيضا الصور</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للفظ بوجودها في صقع الذهن قد لاتكون ملتفتا اليها</w:t>
      </w:r>
      <w:r w:rsidR="00603323" w:rsidRPr="00FD211F">
        <w:rPr>
          <w:sz w:val="36"/>
          <w:szCs w:val="36"/>
          <w:rtl/>
        </w:rPr>
        <w:t xml:space="preserve">، </w:t>
      </w:r>
      <w:r w:rsidRPr="00FD211F">
        <w:rPr>
          <w:sz w:val="36"/>
          <w:szCs w:val="36"/>
          <w:rtl/>
        </w:rPr>
        <w:t>ولكن مع ذلك تكون هي السبب لتصور المعنى من غير حاج</w:t>
      </w:r>
      <w:r w:rsidR="00EC7EDF" w:rsidRPr="00FD211F">
        <w:rPr>
          <w:sz w:val="36"/>
          <w:szCs w:val="36"/>
          <w:rtl/>
        </w:rPr>
        <w:t xml:space="preserve">ة </w:t>
      </w:r>
      <w:r w:rsidRPr="00FD211F">
        <w:rPr>
          <w:sz w:val="36"/>
          <w:szCs w:val="36"/>
          <w:rtl/>
        </w:rPr>
        <w:t>الى الالتفات اليها والتوجه نحوها</w:t>
      </w:r>
      <w:r w:rsidR="00603323" w:rsidRPr="00FD211F">
        <w:rPr>
          <w:sz w:val="36"/>
          <w:szCs w:val="36"/>
          <w:rtl/>
        </w:rPr>
        <w:t xml:space="preserve">، </w:t>
      </w:r>
      <w:r w:rsidRPr="00FD211F">
        <w:rPr>
          <w:sz w:val="36"/>
          <w:szCs w:val="36"/>
          <w:rtl/>
        </w:rPr>
        <w:t>فالاقتران الأكيد يكون بين الوجود الذهني للفظ والوجود الذهني للمعنى</w:t>
      </w:r>
      <w:r w:rsidR="00603323" w:rsidRPr="00FD211F">
        <w:rPr>
          <w:sz w:val="36"/>
          <w:szCs w:val="36"/>
          <w:rtl/>
        </w:rPr>
        <w:t xml:space="preserve">، </w:t>
      </w:r>
      <w:r w:rsidRPr="00FD211F">
        <w:rPr>
          <w:sz w:val="36"/>
          <w:szCs w:val="36"/>
          <w:rtl/>
        </w:rPr>
        <w:t>فالوجود الذهني للفظ يستتبع الوجود الذهني للمعنى</w:t>
      </w:r>
      <w:r w:rsidR="00603323" w:rsidRPr="00FD211F">
        <w:rPr>
          <w:sz w:val="36"/>
          <w:szCs w:val="36"/>
          <w:rtl/>
        </w:rPr>
        <w:t xml:space="preserve">، </w:t>
      </w:r>
      <w:r w:rsidRPr="00FD211F">
        <w:rPr>
          <w:sz w:val="36"/>
          <w:szCs w:val="36"/>
          <w:rtl/>
        </w:rPr>
        <w:t>وحينئذ يمكن للنفس ان تتوجه الى المعنى ابتداءا من غير توجهه الى اللفظ</w:t>
      </w:r>
      <w:r w:rsidR="00603323" w:rsidRPr="00FD211F">
        <w:rPr>
          <w:sz w:val="36"/>
          <w:szCs w:val="36"/>
          <w:rtl/>
        </w:rPr>
        <w:t xml:space="preserve">، </w:t>
      </w:r>
      <w:r w:rsidRPr="00FD211F">
        <w:rPr>
          <w:sz w:val="36"/>
          <w:szCs w:val="36"/>
          <w:rtl/>
        </w:rPr>
        <w:t>كما ان الناظر في المرآ</w:t>
      </w:r>
      <w:r w:rsidR="00EC7EDF" w:rsidRPr="00FD211F">
        <w:rPr>
          <w:sz w:val="36"/>
          <w:szCs w:val="36"/>
          <w:rtl/>
        </w:rPr>
        <w:t xml:space="preserve">ة </w:t>
      </w:r>
      <w:r w:rsidRPr="00FD211F">
        <w:rPr>
          <w:sz w:val="36"/>
          <w:szCs w:val="36"/>
          <w:rtl/>
        </w:rPr>
        <w:t>على الرغم من انه يرى المرآ</w:t>
      </w:r>
      <w:r w:rsidR="00EC7EDF" w:rsidRPr="00FD211F">
        <w:rPr>
          <w:sz w:val="36"/>
          <w:szCs w:val="36"/>
          <w:rtl/>
        </w:rPr>
        <w:t xml:space="preserve">ة </w:t>
      </w:r>
      <w:r w:rsidRPr="00FD211F">
        <w:rPr>
          <w:sz w:val="36"/>
          <w:szCs w:val="36"/>
          <w:rtl/>
        </w:rPr>
        <w:t>ويرى الصور</w:t>
      </w:r>
      <w:r w:rsidR="00EC7EDF" w:rsidRPr="00FD211F">
        <w:rPr>
          <w:sz w:val="36"/>
          <w:szCs w:val="36"/>
          <w:rtl/>
        </w:rPr>
        <w:t xml:space="preserve">ة </w:t>
      </w:r>
      <w:r w:rsidRPr="00FD211F">
        <w:rPr>
          <w:sz w:val="36"/>
          <w:szCs w:val="36"/>
          <w:rtl/>
        </w:rPr>
        <w:t>في المرآ</w:t>
      </w:r>
      <w:r w:rsidR="00EC7EDF" w:rsidRPr="00FD211F">
        <w:rPr>
          <w:sz w:val="36"/>
          <w:szCs w:val="36"/>
          <w:rtl/>
        </w:rPr>
        <w:t xml:space="preserve">ة </w:t>
      </w:r>
      <w:r w:rsidRPr="00FD211F">
        <w:rPr>
          <w:sz w:val="36"/>
          <w:szCs w:val="36"/>
          <w:rtl/>
        </w:rPr>
        <w:t>معا ولكنه يغفل عن رؤيته للمرآ</w:t>
      </w:r>
      <w:r w:rsidR="00EC7EDF" w:rsidRPr="00FD211F">
        <w:rPr>
          <w:sz w:val="36"/>
          <w:szCs w:val="36"/>
          <w:rtl/>
        </w:rPr>
        <w:t xml:space="preserve">ة </w:t>
      </w:r>
      <w:r w:rsidRPr="00FD211F">
        <w:rPr>
          <w:sz w:val="36"/>
          <w:szCs w:val="36"/>
          <w:rtl/>
        </w:rPr>
        <w:t>ويتوجه الى رؤيته للصور</w:t>
      </w:r>
      <w:r w:rsidR="00EC7EDF" w:rsidRPr="00FD211F">
        <w:rPr>
          <w:sz w:val="36"/>
          <w:szCs w:val="36"/>
          <w:rtl/>
        </w:rPr>
        <w:t>ة</w:t>
      </w:r>
      <w:r w:rsidR="00603323" w:rsidRPr="00FD211F">
        <w:rPr>
          <w:sz w:val="36"/>
          <w:szCs w:val="36"/>
          <w:rtl/>
        </w:rPr>
        <w:t xml:space="preserve">، </w:t>
      </w:r>
      <w:r w:rsidRPr="00FD211F">
        <w:rPr>
          <w:sz w:val="36"/>
          <w:szCs w:val="36"/>
          <w:rtl/>
        </w:rPr>
        <w:t>فكذلك السامع للفظ فانه على الرغم من وجود اللفظ والمعنى في ذهنه معا لكنه لايتوجه الا الى المعنى ويغفل عن وجود اللفظ في ذهنه</w:t>
      </w:r>
      <w:r w:rsidR="00603323" w:rsidRPr="00FD211F">
        <w:rPr>
          <w:sz w:val="36"/>
          <w:szCs w:val="36"/>
          <w:rtl/>
        </w:rPr>
        <w:t xml:space="preserve">، </w:t>
      </w:r>
      <w:r w:rsidRPr="00FD211F">
        <w:rPr>
          <w:sz w:val="36"/>
          <w:szCs w:val="36"/>
          <w:rtl/>
        </w:rPr>
        <w:t>فيترأى له حسب توجهه التفصيلي كأنه لايواجه الا المعنى.</w:t>
      </w:r>
    </w:p>
    <w:p w14:paraId="70569105" w14:textId="77777777" w:rsidR="00DF1803" w:rsidRPr="00FD211F" w:rsidRDefault="00DF1803" w:rsidP="009C58C8">
      <w:pPr>
        <w:ind w:left="0" w:firstLine="227"/>
        <w:jc w:val="both"/>
        <w:rPr>
          <w:sz w:val="36"/>
          <w:szCs w:val="36"/>
          <w:rtl/>
        </w:rPr>
      </w:pPr>
      <w:r w:rsidRPr="00FD211F">
        <w:rPr>
          <w:sz w:val="36"/>
          <w:szCs w:val="36"/>
          <w:rtl/>
        </w:rPr>
        <w:t>وهذا هو المنشأ في اختلاف نسب</w:t>
      </w:r>
      <w:r w:rsidR="00EC7EDF" w:rsidRPr="00FD211F">
        <w:rPr>
          <w:sz w:val="36"/>
          <w:szCs w:val="36"/>
          <w:rtl/>
        </w:rPr>
        <w:t xml:space="preserve">ة </w:t>
      </w:r>
      <w:r w:rsidRPr="00FD211F">
        <w:rPr>
          <w:sz w:val="36"/>
          <w:szCs w:val="36"/>
          <w:rtl/>
        </w:rPr>
        <w:t>اللفظ مع المعنى مع نسب</w:t>
      </w:r>
      <w:r w:rsidR="00EC7EDF" w:rsidRPr="00FD211F">
        <w:rPr>
          <w:sz w:val="36"/>
          <w:szCs w:val="36"/>
          <w:rtl/>
        </w:rPr>
        <w:t xml:space="preserve">ة </w:t>
      </w:r>
      <w:r w:rsidRPr="00FD211F">
        <w:rPr>
          <w:sz w:val="36"/>
          <w:szCs w:val="36"/>
          <w:rtl/>
        </w:rPr>
        <w:t>العلام</w:t>
      </w:r>
      <w:r w:rsidR="00EC7EDF" w:rsidRPr="00FD211F">
        <w:rPr>
          <w:sz w:val="36"/>
          <w:szCs w:val="36"/>
          <w:rtl/>
        </w:rPr>
        <w:t xml:space="preserve">ة </w:t>
      </w:r>
      <w:r w:rsidRPr="00FD211F">
        <w:rPr>
          <w:sz w:val="36"/>
          <w:szCs w:val="36"/>
          <w:rtl/>
        </w:rPr>
        <w:t>مع ذي العلام</w:t>
      </w:r>
      <w:r w:rsidR="00EC7EDF" w:rsidRPr="00FD211F">
        <w:rPr>
          <w:sz w:val="36"/>
          <w:szCs w:val="36"/>
          <w:rtl/>
        </w:rPr>
        <w:t>ة</w:t>
      </w:r>
      <w:r w:rsidR="00603323" w:rsidRPr="00FD211F">
        <w:rPr>
          <w:sz w:val="36"/>
          <w:szCs w:val="36"/>
          <w:rtl/>
        </w:rPr>
        <w:t xml:space="preserve">، </w:t>
      </w:r>
      <w:r w:rsidRPr="00FD211F">
        <w:rPr>
          <w:sz w:val="36"/>
          <w:szCs w:val="36"/>
          <w:rtl/>
        </w:rPr>
        <w:t>حيث أن دلال</w:t>
      </w:r>
      <w:r w:rsidR="00EC7EDF" w:rsidRPr="00FD211F">
        <w:rPr>
          <w:sz w:val="36"/>
          <w:szCs w:val="36"/>
          <w:rtl/>
        </w:rPr>
        <w:t xml:space="preserve">ة </w:t>
      </w:r>
      <w:r w:rsidRPr="00FD211F">
        <w:rPr>
          <w:sz w:val="36"/>
          <w:szCs w:val="36"/>
          <w:rtl/>
        </w:rPr>
        <w:t>العلام</w:t>
      </w:r>
      <w:r w:rsidR="00EC7EDF" w:rsidRPr="00FD211F">
        <w:rPr>
          <w:sz w:val="36"/>
          <w:szCs w:val="36"/>
          <w:rtl/>
        </w:rPr>
        <w:t xml:space="preserve">ة </w:t>
      </w:r>
      <w:r w:rsidRPr="00FD211F">
        <w:rPr>
          <w:sz w:val="36"/>
          <w:szCs w:val="36"/>
          <w:rtl/>
        </w:rPr>
        <w:t>على ذي العلام</w:t>
      </w:r>
      <w:r w:rsidR="00EC7EDF" w:rsidRPr="00FD211F">
        <w:rPr>
          <w:sz w:val="36"/>
          <w:szCs w:val="36"/>
          <w:rtl/>
        </w:rPr>
        <w:t xml:space="preserve">ة </w:t>
      </w:r>
      <w:r w:rsidRPr="00FD211F">
        <w:rPr>
          <w:sz w:val="36"/>
          <w:szCs w:val="36"/>
          <w:rtl/>
        </w:rPr>
        <w:t>تكون دلال</w:t>
      </w:r>
      <w:r w:rsidR="00EC7EDF" w:rsidRPr="00FD211F">
        <w:rPr>
          <w:sz w:val="36"/>
          <w:szCs w:val="36"/>
          <w:rtl/>
        </w:rPr>
        <w:t xml:space="preserve">ة </w:t>
      </w:r>
      <w:r w:rsidRPr="00FD211F">
        <w:rPr>
          <w:sz w:val="36"/>
          <w:szCs w:val="36"/>
          <w:rtl/>
        </w:rPr>
        <w:t>تصديقي</w:t>
      </w:r>
      <w:r w:rsidR="00EC7EDF" w:rsidRPr="00FD211F">
        <w:rPr>
          <w:sz w:val="36"/>
          <w:szCs w:val="36"/>
          <w:rtl/>
        </w:rPr>
        <w:t>ة</w:t>
      </w:r>
      <w:r w:rsidR="00603323" w:rsidRPr="00FD211F">
        <w:rPr>
          <w:sz w:val="36"/>
          <w:szCs w:val="36"/>
          <w:rtl/>
        </w:rPr>
        <w:t xml:space="preserve">، </w:t>
      </w:r>
      <w:r w:rsidRPr="00FD211F">
        <w:rPr>
          <w:sz w:val="36"/>
          <w:szCs w:val="36"/>
          <w:rtl/>
        </w:rPr>
        <w:t>ففي مثل العَلَم المنصوب على المكان ليدل على انه رأس الفرسخ لايكفي مجرد الإحساس به للتصديق بكون هذا المكان رأس الفرسخ</w:t>
      </w:r>
      <w:r w:rsidR="00603323" w:rsidRPr="00FD211F">
        <w:rPr>
          <w:sz w:val="36"/>
          <w:szCs w:val="36"/>
          <w:rtl/>
        </w:rPr>
        <w:t xml:space="preserve">، </w:t>
      </w:r>
      <w:r w:rsidRPr="00FD211F">
        <w:rPr>
          <w:sz w:val="36"/>
          <w:szCs w:val="36"/>
          <w:rtl/>
        </w:rPr>
        <w:t>اذ مجرد الإحساس بالعَلَم لايقوم مقام التصديق بوجوده</w:t>
      </w:r>
      <w:r w:rsidR="00603323" w:rsidRPr="00FD211F">
        <w:rPr>
          <w:sz w:val="36"/>
          <w:szCs w:val="36"/>
          <w:rtl/>
        </w:rPr>
        <w:t xml:space="preserve">، </w:t>
      </w:r>
      <w:r w:rsidRPr="00FD211F">
        <w:rPr>
          <w:sz w:val="36"/>
          <w:szCs w:val="36"/>
          <w:rtl/>
        </w:rPr>
        <w:t xml:space="preserve">حيث ان التصديق بوجود </w:t>
      </w:r>
      <w:r w:rsidR="008D7B3D" w:rsidRPr="00FD211F">
        <w:rPr>
          <w:sz w:val="36"/>
          <w:szCs w:val="36"/>
          <w:rtl/>
        </w:rPr>
        <w:t xml:space="preserve">شيء </w:t>
      </w:r>
      <w:r w:rsidRPr="00FD211F">
        <w:rPr>
          <w:sz w:val="36"/>
          <w:szCs w:val="36"/>
          <w:rtl/>
        </w:rPr>
        <w:t>يحتاج الى الالتفات والتوجه اليه تفصيلا</w:t>
      </w:r>
      <w:r w:rsidR="00603323" w:rsidRPr="00FD211F">
        <w:rPr>
          <w:sz w:val="36"/>
          <w:szCs w:val="36"/>
          <w:rtl/>
        </w:rPr>
        <w:t xml:space="preserve">، </w:t>
      </w:r>
      <w:r w:rsidRPr="00FD211F">
        <w:rPr>
          <w:sz w:val="36"/>
          <w:szCs w:val="36"/>
          <w:rtl/>
        </w:rPr>
        <w:t>وأما في اللفظ فكان يقوم الإحساس به مقام تصوره فحسب</w:t>
      </w:r>
      <w:r w:rsidR="00603323" w:rsidRPr="00FD211F">
        <w:rPr>
          <w:sz w:val="36"/>
          <w:szCs w:val="36"/>
          <w:rtl/>
        </w:rPr>
        <w:t xml:space="preserve">، </w:t>
      </w:r>
      <w:r w:rsidRPr="00FD211F">
        <w:rPr>
          <w:sz w:val="36"/>
          <w:szCs w:val="36"/>
          <w:rtl/>
        </w:rPr>
        <w:t>وعند ذلك كان يستتبع الاحساس باللفظ لتصور المعنى.</w:t>
      </w:r>
    </w:p>
    <w:p w14:paraId="44064FA6" w14:textId="77777777" w:rsidR="00DF1803" w:rsidRPr="00FD211F" w:rsidRDefault="00DF1803" w:rsidP="009C58C8">
      <w:pPr>
        <w:ind w:left="0" w:firstLine="227"/>
        <w:jc w:val="both"/>
        <w:rPr>
          <w:sz w:val="36"/>
          <w:szCs w:val="36"/>
          <w:rtl/>
        </w:rPr>
      </w:pPr>
      <w:r w:rsidRPr="00FD211F">
        <w:rPr>
          <w:sz w:val="36"/>
          <w:szCs w:val="36"/>
          <w:rtl/>
        </w:rPr>
        <w:t>وأما في الانتقال الثاني أي انتقال المتكلم الى المعنى الذي يستتبع الانتقال الى اللفظ فيكون توجه المتكلم منصبّا على المعنى وقصد تفهيمه</w:t>
      </w:r>
      <w:r w:rsidR="00603323" w:rsidRPr="00FD211F">
        <w:rPr>
          <w:sz w:val="36"/>
          <w:szCs w:val="36"/>
          <w:rtl/>
        </w:rPr>
        <w:t xml:space="preserve">، </w:t>
      </w:r>
      <w:r w:rsidRPr="00FD211F">
        <w:rPr>
          <w:sz w:val="36"/>
          <w:szCs w:val="36"/>
          <w:rtl/>
        </w:rPr>
        <w:t>وأما أدا</w:t>
      </w:r>
      <w:r w:rsidR="00EC7EDF" w:rsidRPr="00FD211F">
        <w:rPr>
          <w:sz w:val="36"/>
          <w:szCs w:val="36"/>
          <w:rtl/>
        </w:rPr>
        <w:t xml:space="preserve">ة </w:t>
      </w:r>
      <w:r w:rsidRPr="00FD211F">
        <w:rPr>
          <w:sz w:val="36"/>
          <w:szCs w:val="36"/>
          <w:rtl/>
        </w:rPr>
        <w:t>التفهيم التي هي اللفظ فلايتوجه اليها الا تبعا كما هو الشأن في كل أدا</w:t>
      </w:r>
      <w:r w:rsidR="00EC7EDF" w:rsidRPr="00FD211F">
        <w:rPr>
          <w:sz w:val="36"/>
          <w:szCs w:val="36"/>
          <w:rtl/>
        </w:rPr>
        <w:t xml:space="preserve">ة </w:t>
      </w:r>
      <w:r w:rsidRPr="00FD211F">
        <w:rPr>
          <w:sz w:val="36"/>
          <w:szCs w:val="36"/>
          <w:rtl/>
        </w:rPr>
        <w:t>نشأت العاد</w:t>
      </w:r>
      <w:r w:rsidR="00EC7EDF" w:rsidRPr="00FD211F">
        <w:rPr>
          <w:sz w:val="36"/>
          <w:szCs w:val="36"/>
          <w:rtl/>
        </w:rPr>
        <w:t xml:space="preserve">ة </w:t>
      </w:r>
      <w:r w:rsidRPr="00FD211F">
        <w:rPr>
          <w:sz w:val="36"/>
          <w:szCs w:val="36"/>
          <w:rtl/>
        </w:rPr>
        <w:t>على استعمالها لأغراض معين</w:t>
      </w:r>
      <w:r w:rsidR="00EC7EDF" w:rsidRPr="00FD211F">
        <w:rPr>
          <w:sz w:val="36"/>
          <w:szCs w:val="36"/>
          <w:rtl/>
        </w:rPr>
        <w:t xml:space="preserve">ة </w:t>
      </w:r>
      <w:r w:rsidRPr="00FD211F">
        <w:rPr>
          <w:sz w:val="36"/>
          <w:szCs w:val="36"/>
          <w:rtl/>
        </w:rPr>
        <w:t>على نحو أصبح استعمالها شبه عمل آلي يمارسه الإنسان بشكل تلقائي كأنه يصدر منه بلاتفسير مسبق</w:t>
      </w:r>
      <w:r w:rsidR="00603323" w:rsidRPr="00FD211F">
        <w:rPr>
          <w:sz w:val="36"/>
          <w:szCs w:val="36"/>
          <w:rtl/>
        </w:rPr>
        <w:t xml:space="preserve">، </w:t>
      </w:r>
      <w:r w:rsidRPr="00FD211F">
        <w:rPr>
          <w:sz w:val="36"/>
          <w:szCs w:val="36"/>
          <w:rtl/>
        </w:rPr>
        <w:t>فمن اعتاد ان يكتب بالقلم فحين ما يكتب به فلايتوجه تفصيلا اليه وانما يكون توجهه منصبا على ما يكتب</w:t>
      </w:r>
      <w:r w:rsidR="00603323" w:rsidRPr="00FD211F">
        <w:rPr>
          <w:sz w:val="36"/>
          <w:szCs w:val="36"/>
          <w:rtl/>
        </w:rPr>
        <w:t xml:space="preserve">، </w:t>
      </w:r>
      <w:r w:rsidRPr="00FD211F">
        <w:rPr>
          <w:sz w:val="36"/>
          <w:szCs w:val="36"/>
          <w:rtl/>
        </w:rPr>
        <w:t>وتكون الأدا</w:t>
      </w:r>
      <w:r w:rsidR="00EC7EDF" w:rsidRPr="00FD211F">
        <w:rPr>
          <w:sz w:val="36"/>
          <w:szCs w:val="36"/>
          <w:rtl/>
        </w:rPr>
        <w:t xml:space="preserve">ة </w:t>
      </w:r>
      <w:r w:rsidRPr="00FD211F">
        <w:rPr>
          <w:sz w:val="36"/>
          <w:szCs w:val="36"/>
          <w:rtl/>
        </w:rPr>
        <w:t>ملتفتا اليها تبعا.</w:t>
      </w:r>
    </w:p>
    <w:p w14:paraId="412A5D42" w14:textId="77777777" w:rsidR="00DF1803" w:rsidRPr="00FD211F" w:rsidRDefault="00DF1803" w:rsidP="009C58C8">
      <w:pPr>
        <w:ind w:left="0" w:firstLine="227"/>
        <w:jc w:val="both"/>
        <w:rPr>
          <w:sz w:val="36"/>
          <w:szCs w:val="36"/>
          <w:rtl/>
        </w:rPr>
      </w:pPr>
      <w:r w:rsidRPr="00FD211F">
        <w:rPr>
          <w:sz w:val="36"/>
          <w:szCs w:val="36"/>
          <w:rtl/>
        </w:rPr>
        <w:t>ويلاحظ عليه: أن ما ذكر من "كون اللفظ ملحوظا للسامع ارتكازا لكنه مغفول عنه طبعا</w:t>
      </w:r>
      <w:r w:rsidR="00603323" w:rsidRPr="00FD211F">
        <w:rPr>
          <w:sz w:val="36"/>
          <w:szCs w:val="36"/>
          <w:rtl/>
        </w:rPr>
        <w:t xml:space="preserve">، </w:t>
      </w:r>
      <w:r w:rsidRPr="00FD211F">
        <w:rPr>
          <w:sz w:val="36"/>
          <w:szCs w:val="36"/>
          <w:rtl/>
        </w:rPr>
        <w:t>وكذلك يكون المتكلم غافلا تفصيلا عن اللفظ حيث يكون توجهه منصبّا على المعنى وقصد تفهيمه</w:t>
      </w:r>
      <w:r w:rsidR="00603323" w:rsidRPr="00FD211F">
        <w:rPr>
          <w:sz w:val="36"/>
          <w:szCs w:val="36"/>
          <w:rtl/>
        </w:rPr>
        <w:t xml:space="preserve">، </w:t>
      </w:r>
      <w:r w:rsidRPr="00FD211F">
        <w:rPr>
          <w:sz w:val="36"/>
          <w:szCs w:val="36"/>
          <w:rtl/>
        </w:rPr>
        <w:t>وأما أدا</w:t>
      </w:r>
      <w:r w:rsidR="00EC7EDF" w:rsidRPr="00FD211F">
        <w:rPr>
          <w:sz w:val="36"/>
          <w:szCs w:val="36"/>
          <w:rtl/>
        </w:rPr>
        <w:t xml:space="preserve">ة </w:t>
      </w:r>
      <w:r w:rsidRPr="00FD211F">
        <w:rPr>
          <w:sz w:val="36"/>
          <w:szCs w:val="36"/>
          <w:rtl/>
        </w:rPr>
        <w:t>التفهيم التي هي اللفظ فلايتوجه اليها الا تبعا"</w:t>
      </w:r>
      <w:r w:rsidR="00603323" w:rsidRPr="00FD211F">
        <w:rPr>
          <w:sz w:val="36"/>
          <w:szCs w:val="36"/>
          <w:rtl/>
        </w:rPr>
        <w:t xml:space="preserve">، </w:t>
      </w:r>
      <w:r w:rsidRPr="00FD211F">
        <w:rPr>
          <w:sz w:val="36"/>
          <w:szCs w:val="36"/>
          <w:rtl/>
        </w:rPr>
        <w:t>ليس من مقومات الاستعمال</w:t>
      </w:r>
      <w:r w:rsidR="00603323" w:rsidRPr="00FD211F">
        <w:rPr>
          <w:sz w:val="36"/>
          <w:szCs w:val="36"/>
          <w:rtl/>
        </w:rPr>
        <w:t xml:space="preserve">، </w:t>
      </w:r>
      <w:r w:rsidRPr="00FD211F">
        <w:rPr>
          <w:sz w:val="36"/>
          <w:szCs w:val="36"/>
          <w:rtl/>
        </w:rPr>
        <w:t>وانما هو نتيج</w:t>
      </w:r>
      <w:r w:rsidR="00EC7EDF" w:rsidRPr="00FD211F">
        <w:rPr>
          <w:sz w:val="36"/>
          <w:szCs w:val="36"/>
          <w:rtl/>
        </w:rPr>
        <w:t xml:space="preserve">ة </w:t>
      </w:r>
      <w:r w:rsidRPr="00FD211F">
        <w:rPr>
          <w:sz w:val="36"/>
          <w:szCs w:val="36"/>
          <w:rtl/>
        </w:rPr>
        <w:t>صيرور</w:t>
      </w:r>
      <w:r w:rsidR="00EC7EDF" w:rsidRPr="00FD211F">
        <w:rPr>
          <w:sz w:val="36"/>
          <w:szCs w:val="36"/>
          <w:rtl/>
        </w:rPr>
        <w:t xml:space="preserve">ة </w:t>
      </w:r>
      <w:r w:rsidRPr="00FD211F">
        <w:rPr>
          <w:sz w:val="36"/>
          <w:szCs w:val="36"/>
          <w:rtl/>
        </w:rPr>
        <w:t>الألفاظ كملك</w:t>
      </w:r>
      <w:r w:rsidR="00EC7EDF" w:rsidRPr="00FD211F">
        <w:rPr>
          <w:sz w:val="36"/>
          <w:szCs w:val="36"/>
          <w:rtl/>
        </w:rPr>
        <w:t xml:space="preserve">ة </w:t>
      </w:r>
      <w:r w:rsidRPr="00FD211F">
        <w:rPr>
          <w:sz w:val="36"/>
          <w:szCs w:val="36"/>
          <w:rtl/>
        </w:rPr>
        <w:t>راسخ</w:t>
      </w:r>
      <w:r w:rsidR="00EC7EDF" w:rsidRPr="00FD211F">
        <w:rPr>
          <w:sz w:val="36"/>
          <w:szCs w:val="36"/>
          <w:rtl/>
        </w:rPr>
        <w:t xml:space="preserve">ة </w:t>
      </w:r>
      <w:r w:rsidRPr="00FD211F">
        <w:rPr>
          <w:sz w:val="36"/>
          <w:szCs w:val="36"/>
          <w:rtl/>
        </w:rPr>
        <w:t>قد اعتادها الإنسان الذي يسمع او يتكلم بلغ</w:t>
      </w:r>
      <w:r w:rsidR="00EC7EDF" w:rsidRPr="00FD211F">
        <w:rPr>
          <w:sz w:val="36"/>
          <w:szCs w:val="36"/>
          <w:rtl/>
        </w:rPr>
        <w:t xml:space="preserve">ة </w:t>
      </w:r>
      <w:r w:rsidRPr="00FD211F">
        <w:rPr>
          <w:sz w:val="36"/>
          <w:szCs w:val="36"/>
          <w:rtl/>
        </w:rPr>
        <w:t>يحسنها</w:t>
      </w:r>
      <w:r w:rsidR="00603323" w:rsidRPr="00FD211F">
        <w:rPr>
          <w:sz w:val="36"/>
          <w:szCs w:val="36"/>
          <w:rtl/>
        </w:rPr>
        <w:t xml:space="preserve">، </w:t>
      </w:r>
      <w:r w:rsidRPr="00FD211F">
        <w:rPr>
          <w:sz w:val="36"/>
          <w:szCs w:val="36"/>
          <w:rtl/>
        </w:rPr>
        <w:t>ومع ذلك فهو لايكون غافلا عن اللفظ بالمر</w:t>
      </w:r>
      <w:r w:rsidR="00EC7EDF" w:rsidRPr="00FD211F">
        <w:rPr>
          <w:sz w:val="36"/>
          <w:szCs w:val="36"/>
          <w:rtl/>
        </w:rPr>
        <w:t xml:space="preserve">ة </w:t>
      </w:r>
      <w:r w:rsidRPr="00FD211F">
        <w:rPr>
          <w:sz w:val="36"/>
          <w:szCs w:val="36"/>
          <w:rtl/>
        </w:rPr>
        <w:t>فلو أخطأ في تلفظه فيلتفت اليه فورا كما يلتفت اليه السامع</w:t>
      </w:r>
      <w:r w:rsidR="00603323" w:rsidRPr="00FD211F">
        <w:rPr>
          <w:sz w:val="36"/>
          <w:szCs w:val="36"/>
          <w:rtl/>
        </w:rPr>
        <w:t xml:space="preserve">، </w:t>
      </w:r>
      <w:r w:rsidRPr="00FD211F">
        <w:rPr>
          <w:sz w:val="36"/>
          <w:szCs w:val="36"/>
          <w:rtl/>
        </w:rPr>
        <w:t>وأما اذا كان يسمع او يتكلم بلغ</w:t>
      </w:r>
      <w:r w:rsidR="00EC7EDF" w:rsidRPr="00FD211F">
        <w:rPr>
          <w:sz w:val="36"/>
          <w:szCs w:val="36"/>
          <w:rtl/>
        </w:rPr>
        <w:t xml:space="preserve">ة </w:t>
      </w:r>
      <w:r w:rsidRPr="00FD211F">
        <w:rPr>
          <w:sz w:val="36"/>
          <w:szCs w:val="36"/>
          <w:rtl/>
        </w:rPr>
        <w:t>لايحسنها ويحتاج في انتقاله الى المعنى الى التأمل والدق</w:t>
      </w:r>
      <w:r w:rsidR="00EC7EDF" w:rsidRPr="00FD211F">
        <w:rPr>
          <w:sz w:val="36"/>
          <w:szCs w:val="36"/>
          <w:rtl/>
        </w:rPr>
        <w:t xml:space="preserve">ة </w:t>
      </w:r>
      <w:r w:rsidRPr="00FD211F">
        <w:rPr>
          <w:sz w:val="36"/>
          <w:szCs w:val="36"/>
          <w:rtl/>
        </w:rPr>
        <w:t>فهو يلحظ الألفاظ حين سماعها او التكلم بها لحاظا تفصيليا.</w:t>
      </w:r>
    </w:p>
    <w:p w14:paraId="11489189" w14:textId="77777777" w:rsidR="00DF1803" w:rsidRPr="00FD211F" w:rsidRDefault="00DF1803" w:rsidP="009C58C8">
      <w:pPr>
        <w:ind w:left="0" w:firstLine="227"/>
        <w:jc w:val="both"/>
        <w:rPr>
          <w:sz w:val="36"/>
          <w:szCs w:val="36"/>
          <w:rtl/>
        </w:rPr>
      </w:pPr>
      <w:r w:rsidRPr="00FD211F">
        <w:rPr>
          <w:sz w:val="36"/>
          <w:szCs w:val="36"/>
          <w:rtl/>
        </w:rPr>
        <w:t>وما ذكر من ان الفرق بين اللفظ والعلام</w:t>
      </w:r>
      <w:r w:rsidR="00EC7EDF" w:rsidRPr="00FD211F">
        <w:rPr>
          <w:sz w:val="36"/>
          <w:szCs w:val="36"/>
          <w:rtl/>
        </w:rPr>
        <w:t xml:space="preserve">ة </w:t>
      </w:r>
      <w:r w:rsidRPr="00FD211F">
        <w:rPr>
          <w:sz w:val="36"/>
          <w:szCs w:val="36"/>
          <w:rtl/>
        </w:rPr>
        <w:t>في كون اللفظ مغفولا عنه عاد</w:t>
      </w:r>
      <w:r w:rsidR="00EC7EDF" w:rsidRPr="00FD211F">
        <w:rPr>
          <w:sz w:val="36"/>
          <w:szCs w:val="36"/>
          <w:rtl/>
        </w:rPr>
        <w:t xml:space="preserve">ة </w:t>
      </w:r>
      <w:r w:rsidRPr="00FD211F">
        <w:rPr>
          <w:sz w:val="36"/>
          <w:szCs w:val="36"/>
          <w:rtl/>
        </w:rPr>
        <w:t>دون العلام</w:t>
      </w:r>
      <w:r w:rsidR="00EC7EDF" w:rsidRPr="00FD211F">
        <w:rPr>
          <w:sz w:val="36"/>
          <w:szCs w:val="36"/>
          <w:rtl/>
        </w:rPr>
        <w:t xml:space="preserve">ة </w:t>
      </w:r>
      <w:r w:rsidRPr="00FD211F">
        <w:rPr>
          <w:sz w:val="36"/>
          <w:szCs w:val="36"/>
          <w:rtl/>
        </w:rPr>
        <w:t>لأجل ان دلال</w:t>
      </w:r>
      <w:r w:rsidR="00EC7EDF" w:rsidRPr="00FD211F">
        <w:rPr>
          <w:sz w:val="36"/>
          <w:szCs w:val="36"/>
          <w:rtl/>
        </w:rPr>
        <w:t xml:space="preserve">ة </w:t>
      </w:r>
      <w:r w:rsidRPr="00FD211F">
        <w:rPr>
          <w:sz w:val="36"/>
          <w:szCs w:val="36"/>
          <w:rtl/>
        </w:rPr>
        <w:t>اللفظ تصوري</w:t>
      </w:r>
      <w:r w:rsidR="00EC7EDF" w:rsidRPr="00FD211F">
        <w:rPr>
          <w:sz w:val="36"/>
          <w:szCs w:val="36"/>
          <w:rtl/>
        </w:rPr>
        <w:t xml:space="preserve">ة </w:t>
      </w:r>
      <w:r w:rsidRPr="00FD211F">
        <w:rPr>
          <w:sz w:val="36"/>
          <w:szCs w:val="36"/>
          <w:rtl/>
        </w:rPr>
        <w:t>بخلاف دلال</w:t>
      </w:r>
      <w:r w:rsidR="00EC7EDF" w:rsidRPr="00FD211F">
        <w:rPr>
          <w:sz w:val="36"/>
          <w:szCs w:val="36"/>
          <w:rtl/>
        </w:rPr>
        <w:t xml:space="preserve">ة </w:t>
      </w:r>
      <w:r w:rsidRPr="00FD211F">
        <w:rPr>
          <w:sz w:val="36"/>
          <w:szCs w:val="36"/>
          <w:rtl/>
        </w:rPr>
        <w:t>العلام</w:t>
      </w:r>
      <w:r w:rsidR="00EC7EDF" w:rsidRPr="00FD211F">
        <w:rPr>
          <w:sz w:val="36"/>
          <w:szCs w:val="36"/>
          <w:rtl/>
        </w:rPr>
        <w:t xml:space="preserve">ة </w:t>
      </w:r>
      <w:r w:rsidRPr="00FD211F">
        <w:rPr>
          <w:sz w:val="36"/>
          <w:szCs w:val="36"/>
          <w:rtl/>
        </w:rPr>
        <w:t>فغير تامّ</w:t>
      </w:r>
      <w:r w:rsidR="00603323" w:rsidRPr="00FD211F">
        <w:rPr>
          <w:sz w:val="36"/>
          <w:szCs w:val="36"/>
          <w:rtl/>
        </w:rPr>
        <w:t xml:space="preserve">، </w:t>
      </w:r>
      <w:r w:rsidRPr="00FD211F">
        <w:rPr>
          <w:sz w:val="36"/>
          <w:szCs w:val="36"/>
          <w:rtl/>
        </w:rPr>
        <w:t>اذ الفارق بين اللفظ والعلام</w:t>
      </w:r>
      <w:r w:rsidR="00EC7EDF" w:rsidRPr="00FD211F">
        <w:rPr>
          <w:sz w:val="36"/>
          <w:szCs w:val="36"/>
          <w:rtl/>
        </w:rPr>
        <w:t xml:space="preserve">ة </w:t>
      </w:r>
      <w:r w:rsidRPr="00FD211F">
        <w:rPr>
          <w:sz w:val="36"/>
          <w:szCs w:val="36"/>
          <w:rtl/>
        </w:rPr>
        <w:t>هو كون الاقتران الأكيد بين اللفظ والمعنى في ذهن أبناء كل لغ</w:t>
      </w:r>
      <w:r w:rsidR="00EC7EDF" w:rsidRPr="00FD211F">
        <w:rPr>
          <w:sz w:val="36"/>
          <w:szCs w:val="36"/>
          <w:rtl/>
        </w:rPr>
        <w:t xml:space="preserve">ة </w:t>
      </w:r>
      <w:r w:rsidRPr="00FD211F">
        <w:rPr>
          <w:sz w:val="36"/>
          <w:szCs w:val="36"/>
          <w:rtl/>
        </w:rPr>
        <w:t>مترسخا جدّا بخلاف العلام</w:t>
      </w:r>
      <w:r w:rsidR="00EC7EDF" w:rsidRPr="00FD211F">
        <w:rPr>
          <w:sz w:val="36"/>
          <w:szCs w:val="36"/>
          <w:rtl/>
        </w:rPr>
        <w:t>ة</w:t>
      </w:r>
      <w:r w:rsidR="00603323" w:rsidRPr="00FD211F">
        <w:rPr>
          <w:sz w:val="36"/>
          <w:szCs w:val="36"/>
          <w:rtl/>
        </w:rPr>
        <w:t xml:space="preserve">، </w:t>
      </w:r>
      <w:r w:rsidRPr="00FD211F">
        <w:rPr>
          <w:sz w:val="36"/>
          <w:szCs w:val="36"/>
          <w:rtl/>
        </w:rPr>
        <w:t>فان العلام</w:t>
      </w:r>
      <w:r w:rsidR="00EC7EDF" w:rsidRPr="00FD211F">
        <w:rPr>
          <w:sz w:val="36"/>
          <w:szCs w:val="36"/>
          <w:rtl/>
        </w:rPr>
        <w:t xml:space="preserve">ة </w:t>
      </w:r>
      <w:r w:rsidRPr="00FD211F">
        <w:rPr>
          <w:sz w:val="36"/>
          <w:szCs w:val="36"/>
          <w:rtl/>
        </w:rPr>
        <w:t>حتى لو كانت تصوري</w:t>
      </w:r>
      <w:r w:rsidR="00EC7EDF" w:rsidRPr="00FD211F">
        <w:rPr>
          <w:sz w:val="36"/>
          <w:szCs w:val="36"/>
          <w:rtl/>
        </w:rPr>
        <w:t xml:space="preserve">ة </w:t>
      </w:r>
      <w:r w:rsidRPr="00FD211F">
        <w:rPr>
          <w:sz w:val="36"/>
          <w:szCs w:val="36"/>
          <w:rtl/>
        </w:rPr>
        <w:t>كما في علامي</w:t>
      </w:r>
      <w:r w:rsidR="00EC7EDF" w:rsidRPr="00FD211F">
        <w:rPr>
          <w:sz w:val="36"/>
          <w:szCs w:val="36"/>
          <w:rtl/>
        </w:rPr>
        <w:t xml:space="preserve">ة </w:t>
      </w:r>
      <w:r w:rsidRPr="00FD211F">
        <w:rPr>
          <w:sz w:val="36"/>
          <w:szCs w:val="36"/>
          <w:rtl/>
        </w:rPr>
        <w:t>إشار</w:t>
      </w:r>
      <w:r w:rsidR="00EC7EDF" w:rsidRPr="00FD211F">
        <w:rPr>
          <w:sz w:val="36"/>
          <w:szCs w:val="36"/>
          <w:rtl/>
        </w:rPr>
        <w:t xml:space="preserve">ة </w:t>
      </w:r>
      <w:r w:rsidRPr="00FD211F">
        <w:rPr>
          <w:sz w:val="36"/>
          <w:szCs w:val="36"/>
          <w:rtl/>
        </w:rPr>
        <w:t>الأخرس على معناها التصوري فحيث أن الانتقال منها بحاج</w:t>
      </w:r>
      <w:r w:rsidR="00EC7EDF" w:rsidRPr="00FD211F">
        <w:rPr>
          <w:sz w:val="36"/>
          <w:szCs w:val="36"/>
          <w:rtl/>
        </w:rPr>
        <w:t xml:space="preserve">ة </w:t>
      </w:r>
      <w:r w:rsidRPr="00FD211F">
        <w:rPr>
          <w:sz w:val="36"/>
          <w:szCs w:val="36"/>
          <w:rtl/>
        </w:rPr>
        <w:t>الى التأمل فلأجل ذلك تلحظ عاد</w:t>
      </w:r>
      <w:r w:rsidR="00EC7EDF" w:rsidRPr="00FD211F">
        <w:rPr>
          <w:sz w:val="36"/>
          <w:szCs w:val="36"/>
          <w:rtl/>
        </w:rPr>
        <w:t xml:space="preserve">ة </w:t>
      </w:r>
      <w:r w:rsidRPr="00FD211F">
        <w:rPr>
          <w:sz w:val="36"/>
          <w:szCs w:val="36"/>
          <w:rtl/>
        </w:rPr>
        <w:t>باللحاظ الاستقلالي.</w:t>
      </w:r>
    </w:p>
    <w:p w14:paraId="2803DF1B" w14:textId="77777777" w:rsidR="00DF1803" w:rsidRPr="00FD211F" w:rsidRDefault="00E41EAD" w:rsidP="009C58C8">
      <w:pPr>
        <w:ind w:left="0" w:firstLine="227"/>
        <w:jc w:val="both"/>
        <w:rPr>
          <w:sz w:val="36"/>
          <w:szCs w:val="36"/>
          <w:rtl/>
        </w:rPr>
      </w:pPr>
      <w:r w:rsidRPr="00FD211F">
        <w:rPr>
          <w:sz w:val="36"/>
          <w:szCs w:val="36"/>
          <w:rtl/>
        </w:rPr>
        <w:t xml:space="preserve">وعليه فما ذكر في البحوث والمنتقى </w:t>
      </w:r>
      <w:r w:rsidR="00DF1803" w:rsidRPr="00FD211F">
        <w:rPr>
          <w:sz w:val="36"/>
          <w:szCs w:val="36"/>
          <w:rtl/>
        </w:rPr>
        <w:t>-من ان نكت</w:t>
      </w:r>
      <w:r w:rsidR="00EC7EDF" w:rsidRPr="00FD211F">
        <w:rPr>
          <w:sz w:val="36"/>
          <w:szCs w:val="36"/>
          <w:rtl/>
        </w:rPr>
        <w:t xml:space="preserve">ة </w:t>
      </w:r>
      <w:r w:rsidR="00DF1803" w:rsidRPr="00FD211F">
        <w:rPr>
          <w:sz w:val="36"/>
          <w:szCs w:val="36"/>
          <w:rtl/>
        </w:rPr>
        <w:t>الفرق بين اللفظ والعلام</w:t>
      </w:r>
      <w:r w:rsidR="00EC7EDF" w:rsidRPr="00FD211F">
        <w:rPr>
          <w:sz w:val="36"/>
          <w:szCs w:val="36"/>
          <w:rtl/>
        </w:rPr>
        <w:t xml:space="preserve">ة </w:t>
      </w:r>
      <w:r w:rsidR="00DF1803" w:rsidRPr="00FD211F">
        <w:rPr>
          <w:sz w:val="36"/>
          <w:szCs w:val="36"/>
          <w:rtl/>
        </w:rPr>
        <w:t>هو كون دلال</w:t>
      </w:r>
      <w:r w:rsidR="00EC7EDF" w:rsidRPr="00FD211F">
        <w:rPr>
          <w:sz w:val="36"/>
          <w:szCs w:val="36"/>
          <w:rtl/>
        </w:rPr>
        <w:t xml:space="preserve">ة </w:t>
      </w:r>
      <w:r w:rsidR="00DF1803" w:rsidRPr="00FD211F">
        <w:rPr>
          <w:sz w:val="36"/>
          <w:szCs w:val="36"/>
          <w:rtl/>
        </w:rPr>
        <w:t>اللفظ تصوري</w:t>
      </w:r>
      <w:r w:rsidR="00EC7EDF" w:rsidRPr="00FD211F">
        <w:rPr>
          <w:sz w:val="36"/>
          <w:szCs w:val="36"/>
          <w:rtl/>
        </w:rPr>
        <w:t xml:space="preserve">ة </w:t>
      </w:r>
      <w:r w:rsidR="00DF1803" w:rsidRPr="00FD211F">
        <w:rPr>
          <w:sz w:val="36"/>
          <w:szCs w:val="36"/>
          <w:rtl/>
        </w:rPr>
        <w:t>أي يستلزم تصور اللفظ تصور المعنى</w:t>
      </w:r>
      <w:r w:rsidR="00603323" w:rsidRPr="00FD211F">
        <w:rPr>
          <w:sz w:val="36"/>
          <w:szCs w:val="36"/>
          <w:rtl/>
        </w:rPr>
        <w:t xml:space="preserve">، </w:t>
      </w:r>
      <w:r w:rsidR="00DF1803" w:rsidRPr="00FD211F">
        <w:rPr>
          <w:sz w:val="36"/>
          <w:szCs w:val="36"/>
          <w:rtl/>
        </w:rPr>
        <w:t>فيقوم الإحساس باللفظ مقام تصوره في سببيته لتصور المعنى بخلاف العلام</w:t>
      </w:r>
      <w:r w:rsidR="00EC7EDF" w:rsidRPr="00FD211F">
        <w:rPr>
          <w:sz w:val="36"/>
          <w:szCs w:val="36"/>
          <w:rtl/>
        </w:rPr>
        <w:t>ة</w:t>
      </w:r>
      <w:r w:rsidR="00603323" w:rsidRPr="00FD211F">
        <w:rPr>
          <w:sz w:val="36"/>
          <w:szCs w:val="36"/>
          <w:rtl/>
        </w:rPr>
        <w:t xml:space="preserve">، </w:t>
      </w:r>
      <w:r w:rsidR="00DF1803" w:rsidRPr="00FD211F">
        <w:rPr>
          <w:sz w:val="36"/>
          <w:szCs w:val="36"/>
          <w:rtl/>
        </w:rPr>
        <w:t>فان دلالتها تصديقي</w:t>
      </w:r>
      <w:r w:rsidR="00EC7EDF" w:rsidRPr="00FD211F">
        <w:rPr>
          <w:sz w:val="36"/>
          <w:szCs w:val="36"/>
          <w:rtl/>
        </w:rPr>
        <w:t xml:space="preserve">ة </w:t>
      </w:r>
      <w:r w:rsidR="00DF1803" w:rsidRPr="00FD211F">
        <w:rPr>
          <w:sz w:val="36"/>
          <w:szCs w:val="36"/>
          <w:rtl/>
        </w:rPr>
        <w:t>حيث يستلزم التصديق بوجود العلام</w:t>
      </w:r>
      <w:r w:rsidR="00EC7EDF" w:rsidRPr="00FD211F">
        <w:rPr>
          <w:sz w:val="36"/>
          <w:szCs w:val="36"/>
          <w:rtl/>
        </w:rPr>
        <w:t xml:space="preserve">ة </w:t>
      </w:r>
      <w:r w:rsidR="00DF1803" w:rsidRPr="00FD211F">
        <w:rPr>
          <w:sz w:val="36"/>
          <w:szCs w:val="36"/>
          <w:rtl/>
        </w:rPr>
        <w:t>للتصديق بوجود ذيها</w:t>
      </w:r>
      <w:r w:rsidR="00603323" w:rsidRPr="00FD211F">
        <w:rPr>
          <w:sz w:val="36"/>
          <w:szCs w:val="36"/>
          <w:rtl/>
        </w:rPr>
        <w:t xml:space="preserve">، </w:t>
      </w:r>
      <w:r w:rsidR="00DF1803" w:rsidRPr="00FD211F">
        <w:rPr>
          <w:sz w:val="36"/>
          <w:szCs w:val="36"/>
          <w:rtl/>
        </w:rPr>
        <w:t>ويحتاج التصديق بوجود العلام</w:t>
      </w:r>
      <w:r w:rsidR="00EC7EDF" w:rsidRPr="00FD211F">
        <w:rPr>
          <w:sz w:val="36"/>
          <w:szCs w:val="36"/>
          <w:rtl/>
        </w:rPr>
        <w:t xml:space="preserve">ة </w:t>
      </w:r>
      <w:r w:rsidR="00DF1803" w:rsidRPr="00FD211F">
        <w:rPr>
          <w:sz w:val="36"/>
          <w:szCs w:val="36"/>
          <w:rtl/>
        </w:rPr>
        <w:t>الى لحاظها استقلالا</w:t>
      </w:r>
      <w:r w:rsidR="009C58C8" w:rsidRPr="00FD211F">
        <w:rPr>
          <w:rStyle w:val="a6"/>
          <w:sz w:val="36"/>
          <w:szCs w:val="36"/>
          <w:rtl/>
        </w:rPr>
        <w:t>(</w:t>
      </w:r>
      <w:r w:rsidR="009C58C8" w:rsidRPr="00FD211F">
        <w:rPr>
          <w:rStyle w:val="a6"/>
          <w:sz w:val="36"/>
          <w:szCs w:val="36"/>
          <w:rtl/>
        </w:rPr>
        <w:footnoteReference w:id="291"/>
      </w:r>
      <w:r w:rsidR="009C58C8" w:rsidRPr="00FD211F">
        <w:rPr>
          <w:rStyle w:val="a6"/>
          <w:sz w:val="36"/>
          <w:szCs w:val="36"/>
          <w:rtl/>
        </w:rPr>
        <w:t>)</w:t>
      </w:r>
      <w:r w:rsidR="00DF1803" w:rsidRPr="00FD211F">
        <w:rPr>
          <w:sz w:val="36"/>
          <w:szCs w:val="36"/>
          <w:rtl/>
        </w:rPr>
        <w:t>- فلايظهر له وجه لما مر من انه قد تكون دلال</w:t>
      </w:r>
      <w:r w:rsidR="00EC7EDF" w:rsidRPr="00FD211F">
        <w:rPr>
          <w:sz w:val="36"/>
          <w:szCs w:val="36"/>
          <w:rtl/>
        </w:rPr>
        <w:t xml:space="preserve">ة </w:t>
      </w:r>
      <w:r w:rsidR="00DF1803" w:rsidRPr="00FD211F">
        <w:rPr>
          <w:sz w:val="36"/>
          <w:szCs w:val="36"/>
          <w:rtl/>
        </w:rPr>
        <w:t>العلام</w:t>
      </w:r>
      <w:r w:rsidR="00EC7EDF" w:rsidRPr="00FD211F">
        <w:rPr>
          <w:sz w:val="36"/>
          <w:szCs w:val="36"/>
          <w:rtl/>
        </w:rPr>
        <w:t xml:space="preserve">ة </w:t>
      </w:r>
      <w:r w:rsidR="00DF1803" w:rsidRPr="00FD211F">
        <w:rPr>
          <w:sz w:val="36"/>
          <w:szCs w:val="36"/>
          <w:rtl/>
        </w:rPr>
        <w:t>على ذيها دلال</w:t>
      </w:r>
      <w:r w:rsidR="00EC7EDF" w:rsidRPr="00FD211F">
        <w:rPr>
          <w:sz w:val="36"/>
          <w:szCs w:val="36"/>
          <w:rtl/>
        </w:rPr>
        <w:t xml:space="preserve">ة </w:t>
      </w:r>
      <w:r w:rsidR="00DF1803" w:rsidRPr="00FD211F">
        <w:rPr>
          <w:sz w:val="36"/>
          <w:szCs w:val="36"/>
          <w:rtl/>
        </w:rPr>
        <w:t>تصوري</w:t>
      </w:r>
      <w:r w:rsidR="00EC7EDF" w:rsidRPr="00FD211F">
        <w:rPr>
          <w:sz w:val="36"/>
          <w:szCs w:val="36"/>
          <w:rtl/>
        </w:rPr>
        <w:t>ة</w:t>
      </w:r>
      <w:r w:rsidR="00A61BAE" w:rsidRPr="00FD211F">
        <w:rPr>
          <w:sz w:val="36"/>
          <w:szCs w:val="36"/>
          <w:rtl/>
        </w:rPr>
        <w:t>.</w:t>
      </w:r>
    </w:p>
    <w:p w14:paraId="3792DA56" w14:textId="77777777" w:rsidR="00DF1803" w:rsidRPr="00FD211F" w:rsidRDefault="00DF1803" w:rsidP="009C58C8">
      <w:pPr>
        <w:ind w:left="0" w:firstLine="227"/>
        <w:jc w:val="both"/>
        <w:rPr>
          <w:sz w:val="36"/>
          <w:szCs w:val="36"/>
          <w:rtl/>
        </w:rPr>
      </w:pPr>
      <w:r w:rsidRPr="00FD211F">
        <w:rPr>
          <w:sz w:val="36"/>
          <w:szCs w:val="36"/>
          <w:rtl/>
        </w:rPr>
        <w:t>وكيف كان فقد تحصل من جميع ما ذكرناه أنه</w:t>
      </w:r>
      <w:r w:rsidR="008D7B3D" w:rsidRPr="00FD211F">
        <w:rPr>
          <w:sz w:val="36"/>
          <w:szCs w:val="36"/>
          <w:rtl/>
        </w:rPr>
        <w:t xml:space="preserve"> لم‌</w:t>
      </w:r>
      <w:r w:rsidRPr="00FD211F">
        <w:rPr>
          <w:sz w:val="36"/>
          <w:szCs w:val="36"/>
          <w:rtl/>
        </w:rPr>
        <w:t>يتم أي وجه على تمامي</w:t>
      </w:r>
      <w:r w:rsidR="00EC7EDF" w:rsidRPr="00FD211F">
        <w:rPr>
          <w:sz w:val="36"/>
          <w:szCs w:val="36"/>
          <w:rtl/>
        </w:rPr>
        <w:t xml:space="preserve">ة </w:t>
      </w:r>
      <w:r w:rsidRPr="00FD211F">
        <w:rPr>
          <w:sz w:val="36"/>
          <w:szCs w:val="36"/>
          <w:rtl/>
        </w:rPr>
        <w:t>مسلك المشهور من تقوم الاستعمال بلحاظ اللفظ فانيا في المعنى</w:t>
      </w:r>
      <w:r w:rsidR="00603323" w:rsidRPr="00FD211F">
        <w:rPr>
          <w:sz w:val="36"/>
          <w:szCs w:val="36"/>
          <w:rtl/>
        </w:rPr>
        <w:t xml:space="preserve">، </w:t>
      </w:r>
      <w:r w:rsidRPr="00FD211F">
        <w:rPr>
          <w:sz w:val="36"/>
          <w:szCs w:val="36"/>
          <w:rtl/>
        </w:rPr>
        <w:t>بل يمكن توجه النفس الى اللفظ استقلالا كما نشاهده في الخطيب الذي يريد ان يختار ألفاظا رشيق</w:t>
      </w:r>
      <w:r w:rsidR="00EC7EDF" w:rsidRPr="00FD211F">
        <w:rPr>
          <w:sz w:val="36"/>
          <w:szCs w:val="36"/>
          <w:rtl/>
        </w:rPr>
        <w:t xml:space="preserve">ة </w:t>
      </w:r>
      <w:r w:rsidRPr="00FD211F">
        <w:rPr>
          <w:sz w:val="36"/>
          <w:szCs w:val="36"/>
          <w:rtl/>
        </w:rPr>
        <w:t>وكلمات جميل</w:t>
      </w:r>
      <w:r w:rsidR="00EC7EDF" w:rsidRPr="00FD211F">
        <w:rPr>
          <w:sz w:val="36"/>
          <w:szCs w:val="36"/>
          <w:rtl/>
        </w:rPr>
        <w:t>ة</w:t>
      </w:r>
      <w:r w:rsidR="00603323" w:rsidRPr="00FD211F">
        <w:rPr>
          <w:sz w:val="36"/>
          <w:szCs w:val="36"/>
          <w:rtl/>
        </w:rPr>
        <w:t xml:space="preserve">، </w:t>
      </w:r>
      <w:r w:rsidRPr="00FD211F">
        <w:rPr>
          <w:sz w:val="36"/>
          <w:szCs w:val="36"/>
          <w:rtl/>
        </w:rPr>
        <w:t>كما ان الناظر الى المرآ</w:t>
      </w:r>
      <w:r w:rsidR="00EC7EDF" w:rsidRPr="00FD211F">
        <w:rPr>
          <w:sz w:val="36"/>
          <w:szCs w:val="36"/>
          <w:rtl/>
        </w:rPr>
        <w:t xml:space="preserve">ة </w:t>
      </w:r>
      <w:r w:rsidRPr="00FD211F">
        <w:rPr>
          <w:sz w:val="36"/>
          <w:szCs w:val="36"/>
          <w:rtl/>
        </w:rPr>
        <w:t>يمكنه ان يلحظ كلا من المرآ</w:t>
      </w:r>
      <w:r w:rsidR="00EC7EDF" w:rsidRPr="00FD211F">
        <w:rPr>
          <w:sz w:val="36"/>
          <w:szCs w:val="36"/>
          <w:rtl/>
        </w:rPr>
        <w:t xml:space="preserve">ة </w:t>
      </w:r>
      <w:r w:rsidRPr="00FD211F">
        <w:rPr>
          <w:sz w:val="36"/>
          <w:szCs w:val="36"/>
          <w:rtl/>
        </w:rPr>
        <w:t>والصور</w:t>
      </w:r>
      <w:r w:rsidR="00EC7EDF" w:rsidRPr="00FD211F">
        <w:rPr>
          <w:sz w:val="36"/>
          <w:szCs w:val="36"/>
          <w:rtl/>
        </w:rPr>
        <w:t xml:space="preserve">ة </w:t>
      </w:r>
      <w:r w:rsidRPr="00FD211F">
        <w:rPr>
          <w:sz w:val="36"/>
          <w:szCs w:val="36"/>
          <w:rtl/>
        </w:rPr>
        <w:t>التي فيها في آن واحد باللحاظ الاستقلالي.</w:t>
      </w:r>
    </w:p>
    <w:p w14:paraId="17CEF2AE" w14:textId="77777777" w:rsidR="00DF1803" w:rsidRPr="00FD211F" w:rsidRDefault="00DF1803" w:rsidP="009C58C8">
      <w:pPr>
        <w:ind w:left="0" w:firstLine="227"/>
        <w:jc w:val="both"/>
        <w:rPr>
          <w:sz w:val="36"/>
          <w:szCs w:val="36"/>
          <w:rtl/>
        </w:rPr>
      </w:pPr>
      <w:r w:rsidRPr="00FD211F">
        <w:rPr>
          <w:sz w:val="36"/>
          <w:szCs w:val="36"/>
          <w:rtl/>
        </w:rPr>
        <w:t xml:space="preserve">هذا وقد ذكر بعض الاعلام </w:t>
      </w:r>
      <w:r w:rsidR="00AB1B12" w:rsidRPr="00FD211F">
        <w:rPr>
          <w:sz w:val="36"/>
          <w:szCs w:val="36"/>
          <w:rtl/>
        </w:rPr>
        <w:t>"</w:t>
      </w:r>
      <w:r w:rsidRPr="00FD211F">
        <w:rPr>
          <w:sz w:val="36"/>
          <w:szCs w:val="36"/>
          <w:rtl/>
        </w:rPr>
        <w:t>قده</w:t>
      </w:r>
      <w:r w:rsidR="00AB1B12" w:rsidRPr="00FD211F">
        <w:rPr>
          <w:sz w:val="36"/>
          <w:szCs w:val="36"/>
          <w:rtl/>
        </w:rPr>
        <w:t>"</w:t>
      </w:r>
      <w:r w:rsidRPr="00FD211F">
        <w:rPr>
          <w:sz w:val="36"/>
          <w:szCs w:val="36"/>
          <w:rtl/>
        </w:rPr>
        <w:t xml:space="preserve"> ان سنخ استعمال اللفظ في المعنى ليس كسنخ استعمال المرآ</w:t>
      </w:r>
      <w:r w:rsidR="00EC7EDF" w:rsidRPr="00FD211F">
        <w:rPr>
          <w:sz w:val="36"/>
          <w:szCs w:val="36"/>
          <w:rtl/>
        </w:rPr>
        <w:t xml:space="preserve">ة </w:t>
      </w:r>
      <w:r w:rsidRPr="00FD211F">
        <w:rPr>
          <w:sz w:val="36"/>
          <w:szCs w:val="36"/>
          <w:rtl/>
        </w:rPr>
        <w:t>في رؤي</w:t>
      </w:r>
      <w:r w:rsidR="00EC7EDF" w:rsidRPr="00FD211F">
        <w:rPr>
          <w:sz w:val="36"/>
          <w:szCs w:val="36"/>
          <w:rtl/>
        </w:rPr>
        <w:t xml:space="preserve">ة </w:t>
      </w:r>
      <w:r w:rsidRPr="00FD211F">
        <w:rPr>
          <w:sz w:val="36"/>
          <w:szCs w:val="36"/>
          <w:rtl/>
        </w:rPr>
        <w:t>الصور</w:t>
      </w:r>
      <w:r w:rsidR="00EC7EDF" w:rsidRPr="00FD211F">
        <w:rPr>
          <w:sz w:val="36"/>
          <w:szCs w:val="36"/>
          <w:rtl/>
        </w:rPr>
        <w:t xml:space="preserve">ة </w:t>
      </w:r>
      <w:r w:rsidRPr="00FD211F">
        <w:rPr>
          <w:sz w:val="36"/>
          <w:szCs w:val="36"/>
          <w:rtl/>
        </w:rPr>
        <w:t>ولاكسنخ الاستعمالات الكنائي</w:t>
      </w:r>
      <w:r w:rsidR="00EC7EDF" w:rsidRPr="00FD211F">
        <w:rPr>
          <w:sz w:val="36"/>
          <w:szCs w:val="36"/>
          <w:rtl/>
        </w:rPr>
        <w:t xml:space="preserve">ة </w:t>
      </w:r>
      <w:r w:rsidRPr="00FD211F">
        <w:rPr>
          <w:sz w:val="36"/>
          <w:szCs w:val="36"/>
          <w:rtl/>
        </w:rPr>
        <w:t>التي يكون المستعمل فيها معنى ويراد منه لازمه</w:t>
      </w:r>
      <w:r w:rsidR="00603323" w:rsidRPr="00FD211F">
        <w:rPr>
          <w:sz w:val="36"/>
          <w:szCs w:val="36"/>
          <w:rtl/>
        </w:rPr>
        <w:t xml:space="preserve">، </w:t>
      </w:r>
      <w:r w:rsidRPr="00FD211F">
        <w:rPr>
          <w:sz w:val="36"/>
          <w:szCs w:val="36"/>
          <w:rtl/>
        </w:rPr>
        <w:t>بل هو سنخ ثالث.</w:t>
      </w:r>
    </w:p>
    <w:p w14:paraId="7940C417" w14:textId="77777777" w:rsidR="00DF1803" w:rsidRPr="00FD211F" w:rsidRDefault="00DF1803" w:rsidP="009C58C8">
      <w:pPr>
        <w:ind w:left="0" w:firstLine="227"/>
        <w:jc w:val="both"/>
        <w:rPr>
          <w:sz w:val="36"/>
          <w:szCs w:val="36"/>
          <w:rtl/>
        </w:rPr>
      </w:pPr>
      <w:r w:rsidRPr="00FD211F">
        <w:rPr>
          <w:sz w:val="36"/>
          <w:szCs w:val="36"/>
          <w:rtl/>
        </w:rPr>
        <w:t>توضيح ذلك: ان استعمال المرآ</w:t>
      </w:r>
      <w:r w:rsidR="00EC7EDF" w:rsidRPr="00FD211F">
        <w:rPr>
          <w:sz w:val="36"/>
          <w:szCs w:val="36"/>
          <w:rtl/>
        </w:rPr>
        <w:t xml:space="preserve">ة </w:t>
      </w:r>
      <w:r w:rsidRPr="00FD211F">
        <w:rPr>
          <w:sz w:val="36"/>
          <w:szCs w:val="36"/>
          <w:rtl/>
        </w:rPr>
        <w:t>لرؤي</w:t>
      </w:r>
      <w:r w:rsidR="00EC7EDF" w:rsidRPr="00FD211F">
        <w:rPr>
          <w:sz w:val="36"/>
          <w:szCs w:val="36"/>
          <w:rtl/>
        </w:rPr>
        <w:t xml:space="preserve">ة </w:t>
      </w:r>
      <w:r w:rsidRPr="00FD211F">
        <w:rPr>
          <w:sz w:val="36"/>
          <w:szCs w:val="36"/>
          <w:rtl/>
        </w:rPr>
        <w:t>الصور</w:t>
      </w:r>
      <w:r w:rsidR="00EC7EDF" w:rsidRPr="00FD211F">
        <w:rPr>
          <w:sz w:val="36"/>
          <w:szCs w:val="36"/>
          <w:rtl/>
        </w:rPr>
        <w:t xml:space="preserve">ة </w:t>
      </w:r>
      <w:r w:rsidRPr="00FD211F">
        <w:rPr>
          <w:sz w:val="36"/>
          <w:szCs w:val="36"/>
          <w:rtl/>
        </w:rPr>
        <w:t>المرتسم</w:t>
      </w:r>
      <w:r w:rsidR="00EC7EDF" w:rsidRPr="00FD211F">
        <w:rPr>
          <w:sz w:val="36"/>
          <w:szCs w:val="36"/>
          <w:rtl/>
        </w:rPr>
        <w:t xml:space="preserve">ة </w:t>
      </w:r>
      <w:r w:rsidRPr="00FD211F">
        <w:rPr>
          <w:sz w:val="36"/>
          <w:szCs w:val="36"/>
          <w:rtl/>
        </w:rPr>
        <w:t>فيها يوجب ان يكون الملتفت اليه خصوص تلك الصور</w:t>
      </w:r>
      <w:r w:rsidR="00EC7EDF" w:rsidRPr="00FD211F">
        <w:rPr>
          <w:sz w:val="36"/>
          <w:szCs w:val="36"/>
          <w:rtl/>
        </w:rPr>
        <w:t>ة</w:t>
      </w:r>
      <w:r w:rsidR="00603323" w:rsidRPr="00FD211F">
        <w:rPr>
          <w:sz w:val="36"/>
          <w:szCs w:val="36"/>
          <w:rtl/>
        </w:rPr>
        <w:t xml:space="preserve">، </w:t>
      </w:r>
      <w:r w:rsidRPr="00FD211F">
        <w:rPr>
          <w:sz w:val="36"/>
          <w:szCs w:val="36"/>
          <w:rtl/>
        </w:rPr>
        <w:t>وأما نفس المرآ</w:t>
      </w:r>
      <w:r w:rsidR="00EC7EDF" w:rsidRPr="00FD211F">
        <w:rPr>
          <w:sz w:val="36"/>
          <w:szCs w:val="36"/>
          <w:rtl/>
        </w:rPr>
        <w:t xml:space="preserve">ة </w:t>
      </w:r>
      <w:r w:rsidRPr="00FD211F">
        <w:rPr>
          <w:sz w:val="36"/>
          <w:szCs w:val="36"/>
          <w:rtl/>
        </w:rPr>
        <w:t>فهي مغفول عنها ولايلتفت اليها اصلا فلايلتفت الى لون المرآ</w:t>
      </w:r>
      <w:r w:rsidR="00EC7EDF" w:rsidRPr="00FD211F">
        <w:rPr>
          <w:sz w:val="36"/>
          <w:szCs w:val="36"/>
          <w:rtl/>
        </w:rPr>
        <w:t xml:space="preserve">ة </w:t>
      </w:r>
      <w:r w:rsidRPr="00FD211F">
        <w:rPr>
          <w:sz w:val="36"/>
          <w:szCs w:val="36"/>
          <w:rtl/>
        </w:rPr>
        <w:t>وخصوصيتها في هذا المكان</w:t>
      </w:r>
      <w:r w:rsidR="00603323" w:rsidRPr="00FD211F">
        <w:rPr>
          <w:sz w:val="36"/>
          <w:szCs w:val="36"/>
          <w:rtl/>
        </w:rPr>
        <w:t xml:space="preserve">، </w:t>
      </w:r>
      <w:r w:rsidRPr="00FD211F">
        <w:rPr>
          <w:sz w:val="36"/>
          <w:szCs w:val="36"/>
          <w:rtl/>
        </w:rPr>
        <w:t>ولو التفت الى المرآ</w:t>
      </w:r>
      <w:r w:rsidR="00EC7EDF" w:rsidRPr="00FD211F">
        <w:rPr>
          <w:sz w:val="36"/>
          <w:szCs w:val="36"/>
          <w:rtl/>
        </w:rPr>
        <w:t xml:space="preserve">ة </w:t>
      </w:r>
      <w:r w:rsidRPr="00FD211F">
        <w:rPr>
          <w:sz w:val="36"/>
          <w:szCs w:val="36"/>
          <w:rtl/>
        </w:rPr>
        <w:t>صارت الصور</w:t>
      </w:r>
      <w:r w:rsidR="00EC7EDF" w:rsidRPr="00FD211F">
        <w:rPr>
          <w:sz w:val="36"/>
          <w:szCs w:val="36"/>
          <w:rtl/>
        </w:rPr>
        <w:t xml:space="preserve">ة </w:t>
      </w:r>
      <w:r w:rsidRPr="00FD211F">
        <w:rPr>
          <w:sz w:val="36"/>
          <w:szCs w:val="36"/>
          <w:rtl/>
        </w:rPr>
        <w:t>المرتسم</w:t>
      </w:r>
      <w:r w:rsidR="00EC7EDF" w:rsidRPr="00FD211F">
        <w:rPr>
          <w:sz w:val="36"/>
          <w:szCs w:val="36"/>
          <w:rtl/>
        </w:rPr>
        <w:t xml:space="preserve">ة </w:t>
      </w:r>
      <w:r w:rsidRPr="00FD211F">
        <w:rPr>
          <w:sz w:val="36"/>
          <w:szCs w:val="36"/>
          <w:rtl/>
        </w:rPr>
        <w:t>فيها مغفولا عنها وغير ملتفت اليها</w:t>
      </w:r>
      <w:r w:rsidR="00603323" w:rsidRPr="00FD211F">
        <w:rPr>
          <w:sz w:val="36"/>
          <w:szCs w:val="36"/>
          <w:rtl/>
        </w:rPr>
        <w:t xml:space="preserve">، </w:t>
      </w:r>
      <w:r w:rsidRPr="00FD211F">
        <w:rPr>
          <w:sz w:val="36"/>
          <w:szCs w:val="36"/>
          <w:rtl/>
        </w:rPr>
        <w:t>ومن البديهي ان استعمال اللفظ في المعنى ليس من هذا القبيل</w:t>
      </w:r>
      <w:r w:rsidR="00603323" w:rsidRPr="00FD211F">
        <w:rPr>
          <w:sz w:val="36"/>
          <w:szCs w:val="36"/>
          <w:rtl/>
        </w:rPr>
        <w:t xml:space="preserve">، </w:t>
      </w:r>
      <w:r w:rsidRPr="00FD211F">
        <w:rPr>
          <w:sz w:val="36"/>
          <w:szCs w:val="36"/>
          <w:rtl/>
        </w:rPr>
        <w:t>فانه يمكن الالتفات الى اللفظ وخصوصياته حال الاستعمال</w:t>
      </w:r>
      <w:r w:rsidR="00603323" w:rsidRPr="00FD211F">
        <w:rPr>
          <w:sz w:val="36"/>
          <w:szCs w:val="36"/>
          <w:rtl/>
        </w:rPr>
        <w:t xml:space="preserve">، </w:t>
      </w:r>
      <w:r w:rsidRPr="00FD211F">
        <w:rPr>
          <w:sz w:val="36"/>
          <w:szCs w:val="36"/>
          <w:rtl/>
        </w:rPr>
        <w:t>ولذا يختار الخطيب الألفاظ الرشيق</w:t>
      </w:r>
      <w:r w:rsidR="00EC7EDF" w:rsidRPr="00FD211F">
        <w:rPr>
          <w:sz w:val="36"/>
          <w:szCs w:val="36"/>
          <w:rtl/>
        </w:rPr>
        <w:t xml:space="preserve">ة </w:t>
      </w:r>
      <w:r w:rsidRPr="00FD211F">
        <w:rPr>
          <w:sz w:val="36"/>
          <w:szCs w:val="36"/>
          <w:rtl/>
        </w:rPr>
        <w:t>في مقام أداء المعاني.</w:t>
      </w:r>
    </w:p>
    <w:p w14:paraId="44AFA01D" w14:textId="77777777" w:rsidR="00DF1803" w:rsidRPr="00FD211F" w:rsidRDefault="00DF1803" w:rsidP="009C58C8">
      <w:pPr>
        <w:ind w:left="0" w:firstLine="227"/>
        <w:jc w:val="both"/>
        <w:rPr>
          <w:sz w:val="36"/>
          <w:szCs w:val="36"/>
          <w:rtl/>
        </w:rPr>
      </w:pPr>
      <w:r w:rsidRPr="00FD211F">
        <w:rPr>
          <w:sz w:val="36"/>
          <w:szCs w:val="36"/>
          <w:rtl/>
        </w:rPr>
        <w:t>و</w:t>
      </w:r>
      <w:r w:rsidR="0035564B" w:rsidRPr="00FD211F">
        <w:rPr>
          <w:sz w:val="36"/>
          <w:szCs w:val="36"/>
          <w:rtl/>
        </w:rPr>
        <w:t>ه</w:t>
      </w:r>
      <w:r w:rsidRPr="00FD211F">
        <w:rPr>
          <w:sz w:val="36"/>
          <w:szCs w:val="36"/>
          <w:rtl/>
        </w:rPr>
        <w:t>كذا الاستعمالات الكنائي</w:t>
      </w:r>
      <w:r w:rsidR="00EC7EDF" w:rsidRPr="00FD211F">
        <w:rPr>
          <w:sz w:val="36"/>
          <w:szCs w:val="36"/>
          <w:rtl/>
        </w:rPr>
        <w:t xml:space="preserve">ة </w:t>
      </w:r>
      <w:r w:rsidRPr="00FD211F">
        <w:rPr>
          <w:sz w:val="36"/>
          <w:szCs w:val="36"/>
          <w:rtl/>
        </w:rPr>
        <w:t>التي يكون المستعمل فيها معنى ولكن المراد منها هو لازمه او ملزومه فاللازم والملزوم في هذا الاستعمال ملحوظان مستقلا وملتفت اليهما معا</w:t>
      </w:r>
      <w:r w:rsidR="00603323" w:rsidRPr="00FD211F">
        <w:rPr>
          <w:sz w:val="36"/>
          <w:szCs w:val="36"/>
          <w:rtl/>
        </w:rPr>
        <w:t xml:space="preserve">، </w:t>
      </w:r>
      <w:r w:rsidRPr="00FD211F">
        <w:rPr>
          <w:sz w:val="36"/>
          <w:szCs w:val="36"/>
          <w:rtl/>
        </w:rPr>
        <w:t>ولذا يصح الحكم على كل منهما بحكم في آن واحد</w:t>
      </w:r>
      <w:r w:rsidR="00603323" w:rsidRPr="00FD211F">
        <w:rPr>
          <w:sz w:val="36"/>
          <w:szCs w:val="36"/>
          <w:rtl/>
        </w:rPr>
        <w:t xml:space="preserve">، </w:t>
      </w:r>
      <w:r w:rsidRPr="00FD211F">
        <w:rPr>
          <w:sz w:val="36"/>
          <w:szCs w:val="36"/>
          <w:rtl/>
        </w:rPr>
        <w:t>وتتعلق بهما الإراد</w:t>
      </w:r>
      <w:r w:rsidR="00EC7EDF" w:rsidRPr="00FD211F">
        <w:rPr>
          <w:sz w:val="36"/>
          <w:szCs w:val="36"/>
          <w:rtl/>
        </w:rPr>
        <w:t xml:space="preserve">ة </w:t>
      </w:r>
      <w:r w:rsidRPr="00FD211F">
        <w:rPr>
          <w:sz w:val="36"/>
          <w:szCs w:val="36"/>
          <w:rtl/>
        </w:rPr>
        <w:t>والقصد في حين واحد</w:t>
      </w:r>
      <w:r w:rsidR="00603323" w:rsidRPr="00FD211F">
        <w:rPr>
          <w:sz w:val="36"/>
          <w:szCs w:val="36"/>
          <w:rtl/>
        </w:rPr>
        <w:t xml:space="preserve">، </w:t>
      </w:r>
      <w:r w:rsidRPr="00FD211F">
        <w:rPr>
          <w:sz w:val="36"/>
          <w:szCs w:val="36"/>
          <w:rtl/>
        </w:rPr>
        <w:t>ومن الظاهر ان اللفظ حال الاستعمال لايكون ملتفتا اليه بالاستقلال وملحوظا في نفسه</w:t>
      </w:r>
      <w:r w:rsidR="00603323" w:rsidRPr="00FD211F">
        <w:rPr>
          <w:sz w:val="36"/>
          <w:szCs w:val="36"/>
          <w:rtl/>
        </w:rPr>
        <w:t xml:space="preserve">، </w:t>
      </w:r>
      <w:r w:rsidRPr="00FD211F">
        <w:rPr>
          <w:sz w:val="36"/>
          <w:szCs w:val="36"/>
          <w:rtl/>
        </w:rPr>
        <w:t>لوضوح عدم امكان الحكم عليه بما انه لفظ في ذلك الحال</w:t>
      </w:r>
      <w:r w:rsidR="00603323" w:rsidRPr="00FD211F">
        <w:rPr>
          <w:sz w:val="36"/>
          <w:szCs w:val="36"/>
          <w:rtl/>
        </w:rPr>
        <w:t xml:space="preserve">، </w:t>
      </w:r>
      <w:r w:rsidRPr="00FD211F">
        <w:rPr>
          <w:sz w:val="36"/>
          <w:szCs w:val="36"/>
          <w:rtl/>
        </w:rPr>
        <w:t>ولو كان ملحوظا استقلالا لصح الحكم عليه بلااشكال.</w:t>
      </w:r>
    </w:p>
    <w:p w14:paraId="209E58D2" w14:textId="77777777" w:rsidR="00DF1803" w:rsidRPr="00FD211F" w:rsidRDefault="00DF1803" w:rsidP="009C58C8">
      <w:pPr>
        <w:ind w:left="0" w:firstLine="227"/>
        <w:jc w:val="both"/>
        <w:rPr>
          <w:sz w:val="36"/>
          <w:szCs w:val="36"/>
          <w:rtl/>
        </w:rPr>
      </w:pPr>
      <w:r w:rsidRPr="00FD211F">
        <w:rPr>
          <w:sz w:val="36"/>
          <w:szCs w:val="36"/>
          <w:rtl/>
        </w:rPr>
        <w:t>وعليه فاللفظ في حال استعماله في المعنى لايكون مغفولا عنه كالمرآ</w:t>
      </w:r>
      <w:r w:rsidR="00EC7EDF" w:rsidRPr="00FD211F">
        <w:rPr>
          <w:sz w:val="36"/>
          <w:szCs w:val="36"/>
          <w:rtl/>
        </w:rPr>
        <w:t xml:space="preserve">ة </w:t>
      </w:r>
      <w:r w:rsidRPr="00FD211F">
        <w:rPr>
          <w:sz w:val="36"/>
          <w:szCs w:val="36"/>
          <w:rtl/>
        </w:rPr>
        <w:t>ولاملحوظا استقلالا كالاستعمال الكنائي وانما يكون ملحوظا باللحاظ الطريقي الآلي</w:t>
      </w:r>
      <w:r w:rsidR="00603323" w:rsidRPr="00FD211F">
        <w:rPr>
          <w:sz w:val="36"/>
          <w:szCs w:val="36"/>
          <w:rtl/>
        </w:rPr>
        <w:t xml:space="preserve">، </w:t>
      </w:r>
      <w:r w:rsidRPr="00FD211F">
        <w:rPr>
          <w:sz w:val="36"/>
          <w:szCs w:val="36"/>
          <w:rtl/>
        </w:rPr>
        <w:t>فالاستعمال على هذا ليس إفناء اللفظ في المعنى وإلغاء اللفظ ولاذكر اللفظ مستقلا فينتقل منه الى المعنى كالكنايات بل هو ايجاد اللفظ في الخارج بداعي حصول الانتقال الى المعنى</w:t>
      </w:r>
      <w:r w:rsidR="00603323" w:rsidRPr="00FD211F">
        <w:rPr>
          <w:sz w:val="36"/>
          <w:szCs w:val="36"/>
          <w:rtl/>
        </w:rPr>
        <w:t xml:space="preserve">، </w:t>
      </w:r>
      <w:r w:rsidRPr="00FD211F">
        <w:rPr>
          <w:sz w:val="36"/>
          <w:szCs w:val="36"/>
          <w:rtl/>
        </w:rPr>
        <w:t>فهو منظور طريقا وعبر</w:t>
      </w:r>
      <w:r w:rsidR="00EC7EDF" w:rsidRPr="00FD211F">
        <w:rPr>
          <w:sz w:val="36"/>
          <w:szCs w:val="36"/>
          <w:rtl/>
        </w:rPr>
        <w:t xml:space="preserve">ة </w:t>
      </w:r>
      <w:r w:rsidRPr="00FD211F">
        <w:rPr>
          <w:sz w:val="36"/>
          <w:szCs w:val="36"/>
          <w:rtl/>
        </w:rPr>
        <w:t>للمعنى لامستقلا ولامغفولا عنه</w:t>
      </w:r>
      <w:r w:rsidR="009C58C8" w:rsidRPr="00FD211F">
        <w:rPr>
          <w:rStyle w:val="a6"/>
          <w:sz w:val="36"/>
          <w:szCs w:val="36"/>
          <w:rtl/>
        </w:rPr>
        <w:t>(</w:t>
      </w:r>
      <w:r w:rsidR="009C58C8" w:rsidRPr="00FD211F">
        <w:rPr>
          <w:rStyle w:val="a6"/>
          <w:sz w:val="36"/>
          <w:szCs w:val="36"/>
          <w:rtl/>
        </w:rPr>
        <w:footnoteReference w:id="292"/>
      </w:r>
      <w:r w:rsidR="009C58C8" w:rsidRPr="00FD211F">
        <w:rPr>
          <w:rStyle w:val="a6"/>
          <w:sz w:val="36"/>
          <w:szCs w:val="36"/>
          <w:rtl/>
        </w:rPr>
        <w:t>)</w:t>
      </w:r>
      <w:r w:rsidRPr="00FD211F">
        <w:rPr>
          <w:sz w:val="36"/>
          <w:szCs w:val="36"/>
          <w:rtl/>
        </w:rPr>
        <w:t>.</w:t>
      </w:r>
    </w:p>
    <w:p w14:paraId="75C2336C" w14:textId="77777777" w:rsidR="00DF1803" w:rsidRPr="00FD211F" w:rsidRDefault="00DF1803" w:rsidP="009C58C8">
      <w:pPr>
        <w:ind w:left="0" w:firstLine="227"/>
        <w:jc w:val="both"/>
        <w:rPr>
          <w:sz w:val="36"/>
          <w:szCs w:val="36"/>
          <w:rtl/>
        </w:rPr>
      </w:pPr>
      <w:r w:rsidRPr="00FD211F">
        <w:rPr>
          <w:sz w:val="36"/>
          <w:szCs w:val="36"/>
          <w:rtl/>
        </w:rPr>
        <w:t>اقول:</w:t>
      </w:r>
      <w:r w:rsidR="008D7B3D" w:rsidRPr="00FD211F">
        <w:rPr>
          <w:sz w:val="36"/>
          <w:szCs w:val="36"/>
          <w:rtl/>
        </w:rPr>
        <w:t xml:space="preserve"> لم‌</w:t>
      </w:r>
      <w:r w:rsidRPr="00FD211F">
        <w:rPr>
          <w:sz w:val="36"/>
          <w:szCs w:val="36"/>
          <w:rtl/>
        </w:rPr>
        <w:t>يتضح لنا نكت</w:t>
      </w:r>
      <w:r w:rsidR="00EC7EDF" w:rsidRPr="00FD211F">
        <w:rPr>
          <w:sz w:val="36"/>
          <w:szCs w:val="36"/>
          <w:rtl/>
        </w:rPr>
        <w:t xml:space="preserve">ة </w:t>
      </w:r>
      <w:r w:rsidRPr="00FD211F">
        <w:rPr>
          <w:sz w:val="36"/>
          <w:szCs w:val="36"/>
          <w:rtl/>
        </w:rPr>
        <w:t>الفرق بين استعمال اللفظ في المعنى وبين استعمال المرآ</w:t>
      </w:r>
      <w:r w:rsidR="00EC7EDF" w:rsidRPr="00FD211F">
        <w:rPr>
          <w:sz w:val="36"/>
          <w:szCs w:val="36"/>
          <w:rtl/>
        </w:rPr>
        <w:t xml:space="preserve">ة </w:t>
      </w:r>
      <w:r w:rsidRPr="00FD211F">
        <w:rPr>
          <w:sz w:val="36"/>
          <w:szCs w:val="36"/>
          <w:rtl/>
        </w:rPr>
        <w:t>لرؤي</w:t>
      </w:r>
      <w:r w:rsidR="00EC7EDF" w:rsidRPr="00FD211F">
        <w:rPr>
          <w:sz w:val="36"/>
          <w:szCs w:val="36"/>
          <w:rtl/>
        </w:rPr>
        <w:t xml:space="preserve">ة </w:t>
      </w:r>
      <w:r w:rsidRPr="00FD211F">
        <w:rPr>
          <w:sz w:val="36"/>
          <w:szCs w:val="36"/>
          <w:rtl/>
        </w:rPr>
        <w:t>الصور</w:t>
      </w:r>
      <w:r w:rsidR="00EC7EDF" w:rsidRPr="00FD211F">
        <w:rPr>
          <w:sz w:val="36"/>
          <w:szCs w:val="36"/>
          <w:rtl/>
        </w:rPr>
        <w:t xml:space="preserve">ة </w:t>
      </w:r>
      <w:r w:rsidRPr="00FD211F">
        <w:rPr>
          <w:sz w:val="36"/>
          <w:szCs w:val="36"/>
          <w:rtl/>
        </w:rPr>
        <w:t>المرتسم</w:t>
      </w:r>
      <w:r w:rsidR="00EC7EDF" w:rsidRPr="00FD211F">
        <w:rPr>
          <w:sz w:val="36"/>
          <w:szCs w:val="36"/>
          <w:rtl/>
        </w:rPr>
        <w:t xml:space="preserve">ة </w:t>
      </w:r>
      <w:r w:rsidRPr="00FD211F">
        <w:rPr>
          <w:sz w:val="36"/>
          <w:szCs w:val="36"/>
          <w:rtl/>
        </w:rPr>
        <w:t>فيها</w:t>
      </w:r>
      <w:r w:rsidR="00603323" w:rsidRPr="00FD211F">
        <w:rPr>
          <w:sz w:val="36"/>
          <w:szCs w:val="36"/>
          <w:rtl/>
        </w:rPr>
        <w:t xml:space="preserve">، </w:t>
      </w:r>
      <w:r w:rsidRPr="00FD211F">
        <w:rPr>
          <w:sz w:val="36"/>
          <w:szCs w:val="36"/>
          <w:rtl/>
        </w:rPr>
        <w:t>فانه لاوجه للمنع عن لحاظ كل من المرآ</w:t>
      </w:r>
      <w:r w:rsidR="00EC7EDF" w:rsidRPr="00FD211F">
        <w:rPr>
          <w:sz w:val="36"/>
          <w:szCs w:val="36"/>
          <w:rtl/>
        </w:rPr>
        <w:t xml:space="preserve">ة </w:t>
      </w:r>
      <w:r w:rsidRPr="00FD211F">
        <w:rPr>
          <w:sz w:val="36"/>
          <w:szCs w:val="36"/>
          <w:rtl/>
        </w:rPr>
        <w:t>والصور</w:t>
      </w:r>
      <w:r w:rsidR="00EC7EDF" w:rsidRPr="00FD211F">
        <w:rPr>
          <w:sz w:val="36"/>
          <w:szCs w:val="36"/>
          <w:rtl/>
        </w:rPr>
        <w:t xml:space="preserve">ة </w:t>
      </w:r>
      <w:r w:rsidRPr="00FD211F">
        <w:rPr>
          <w:sz w:val="36"/>
          <w:szCs w:val="36"/>
          <w:rtl/>
        </w:rPr>
        <w:t>المرتسم</w:t>
      </w:r>
      <w:r w:rsidR="00EC7EDF" w:rsidRPr="00FD211F">
        <w:rPr>
          <w:sz w:val="36"/>
          <w:szCs w:val="36"/>
          <w:rtl/>
        </w:rPr>
        <w:t xml:space="preserve">ة </w:t>
      </w:r>
      <w:r w:rsidRPr="00FD211F">
        <w:rPr>
          <w:sz w:val="36"/>
          <w:szCs w:val="36"/>
          <w:rtl/>
        </w:rPr>
        <w:t>فيها باللحاظ الاستقلالي</w:t>
      </w:r>
      <w:r w:rsidR="00603323" w:rsidRPr="00FD211F">
        <w:rPr>
          <w:sz w:val="36"/>
          <w:szCs w:val="36"/>
          <w:rtl/>
        </w:rPr>
        <w:t xml:space="preserve">، </w:t>
      </w:r>
      <w:r w:rsidRPr="00FD211F">
        <w:rPr>
          <w:sz w:val="36"/>
          <w:szCs w:val="36"/>
          <w:rtl/>
        </w:rPr>
        <w:t>نعم يكون ذلك خلاف الطبع والطريق</w:t>
      </w:r>
      <w:r w:rsidR="00EC7EDF" w:rsidRPr="00FD211F">
        <w:rPr>
          <w:sz w:val="36"/>
          <w:szCs w:val="36"/>
          <w:rtl/>
        </w:rPr>
        <w:t xml:space="preserve">ة </w:t>
      </w:r>
      <w:r w:rsidRPr="00FD211F">
        <w:rPr>
          <w:sz w:val="36"/>
          <w:szCs w:val="36"/>
          <w:rtl/>
        </w:rPr>
        <w:t>الاعتيادي</w:t>
      </w:r>
      <w:r w:rsidR="00EC7EDF" w:rsidRPr="00FD211F">
        <w:rPr>
          <w:sz w:val="36"/>
          <w:szCs w:val="36"/>
          <w:rtl/>
        </w:rPr>
        <w:t>ة</w:t>
      </w:r>
      <w:r w:rsidR="00603323" w:rsidRPr="00FD211F">
        <w:rPr>
          <w:sz w:val="36"/>
          <w:szCs w:val="36"/>
          <w:rtl/>
        </w:rPr>
        <w:t xml:space="preserve">، </w:t>
      </w:r>
      <w:r w:rsidRPr="00FD211F">
        <w:rPr>
          <w:sz w:val="36"/>
          <w:szCs w:val="36"/>
          <w:rtl/>
        </w:rPr>
        <w:t>كما ان ما ذكره في مقام ابداء الفرق بين استعمال اللفظ في المعنى وبين الاستعمالات الكنائي</w:t>
      </w:r>
      <w:r w:rsidR="00EC7EDF" w:rsidRPr="00FD211F">
        <w:rPr>
          <w:sz w:val="36"/>
          <w:szCs w:val="36"/>
          <w:rtl/>
        </w:rPr>
        <w:t xml:space="preserve">ة </w:t>
      </w:r>
      <w:r w:rsidRPr="00FD211F">
        <w:rPr>
          <w:sz w:val="36"/>
          <w:szCs w:val="36"/>
          <w:rtl/>
        </w:rPr>
        <w:t>من عدم امكان الحكم على اللفظ في هذا الاستعمال غير تامّ</w:t>
      </w:r>
      <w:r w:rsidR="00603323" w:rsidRPr="00FD211F">
        <w:rPr>
          <w:sz w:val="36"/>
          <w:szCs w:val="36"/>
          <w:rtl/>
        </w:rPr>
        <w:t xml:space="preserve">، </w:t>
      </w:r>
      <w:r w:rsidRPr="00FD211F">
        <w:rPr>
          <w:sz w:val="36"/>
          <w:szCs w:val="36"/>
          <w:rtl/>
        </w:rPr>
        <w:t>اذ لاوجه للمنع عن امكان لحاظ كل من اللفظ والمعنى مستقلا</w:t>
      </w:r>
      <w:r w:rsidR="00603323" w:rsidRPr="00FD211F">
        <w:rPr>
          <w:sz w:val="36"/>
          <w:szCs w:val="36"/>
          <w:rtl/>
        </w:rPr>
        <w:t xml:space="preserve">، </w:t>
      </w:r>
      <w:r w:rsidRPr="00FD211F">
        <w:rPr>
          <w:sz w:val="36"/>
          <w:szCs w:val="36"/>
          <w:rtl/>
        </w:rPr>
        <w:t>كما قيل "قلب بهرام ما رهب" ويراد بذلك أن قلب لفظ "بهرام" يصير "ما رهب" كما يراد منه ايضا ان قلب الرجل الذي كان معروفا ببهرام گور</w:t>
      </w:r>
      <w:r w:rsidR="008D7B3D" w:rsidRPr="00FD211F">
        <w:rPr>
          <w:sz w:val="36"/>
          <w:szCs w:val="36"/>
          <w:rtl/>
        </w:rPr>
        <w:t xml:space="preserve"> لم‌</w:t>
      </w:r>
      <w:r w:rsidRPr="00FD211F">
        <w:rPr>
          <w:sz w:val="36"/>
          <w:szCs w:val="36"/>
          <w:rtl/>
        </w:rPr>
        <w:t xml:space="preserve">يرهب </w:t>
      </w:r>
      <w:r w:rsidR="009977FE" w:rsidRPr="00FD211F">
        <w:rPr>
          <w:sz w:val="36"/>
          <w:szCs w:val="36"/>
          <w:rtl/>
        </w:rPr>
        <w:t>و</w:t>
      </w:r>
      <w:r w:rsidR="008D7B3D" w:rsidRPr="00FD211F">
        <w:rPr>
          <w:sz w:val="36"/>
          <w:szCs w:val="36"/>
          <w:rtl/>
        </w:rPr>
        <w:t xml:space="preserve"> لم‌</w:t>
      </w:r>
      <w:r w:rsidRPr="00FD211F">
        <w:rPr>
          <w:sz w:val="36"/>
          <w:szCs w:val="36"/>
          <w:rtl/>
        </w:rPr>
        <w:t>يدخل فيه خوف أبدا</w:t>
      </w:r>
      <w:r w:rsidR="00603323" w:rsidRPr="00FD211F">
        <w:rPr>
          <w:sz w:val="36"/>
          <w:szCs w:val="36"/>
          <w:rtl/>
        </w:rPr>
        <w:t xml:space="preserve">، </w:t>
      </w:r>
      <w:r w:rsidRPr="00FD211F">
        <w:rPr>
          <w:sz w:val="36"/>
          <w:szCs w:val="36"/>
          <w:rtl/>
        </w:rPr>
        <w:t>وكذا يقال "قلب كل ساق قاس" حيث يراد به ان مقلوب لفظ</w:t>
      </w:r>
      <w:r w:rsidR="00EC7EDF" w:rsidRPr="00FD211F">
        <w:rPr>
          <w:sz w:val="36"/>
          <w:szCs w:val="36"/>
          <w:rtl/>
        </w:rPr>
        <w:t xml:space="preserve">ة </w:t>
      </w:r>
      <w:r w:rsidRPr="00FD211F">
        <w:rPr>
          <w:sz w:val="36"/>
          <w:szCs w:val="36"/>
          <w:rtl/>
        </w:rPr>
        <w:t>ساق يكون قاس كما يراد ان قلب الشخص الساقي يكون قاسيا</w:t>
      </w:r>
      <w:r w:rsidR="00603323" w:rsidRPr="00FD211F">
        <w:rPr>
          <w:sz w:val="36"/>
          <w:szCs w:val="36"/>
          <w:rtl/>
        </w:rPr>
        <w:t xml:space="preserve">، </w:t>
      </w:r>
      <w:r w:rsidRPr="00FD211F">
        <w:rPr>
          <w:sz w:val="36"/>
          <w:szCs w:val="36"/>
          <w:rtl/>
        </w:rPr>
        <w:t>او يقال "قلب ملوم مولم" ويراد به ان مقلوب لفظ</w:t>
      </w:r>
      <w:r w:rsidR="00EC7EDF" w:rsidRPr="00FD211F">
        <w:rPr>
          <w:sz w:val="36"/>
          <w:szCs w:val="36"/>
          <w:rtl/>
        </w:rPr>
        <w:t xml:space="preserve">ة </w:t>
      </w:r>
      <w:r w:rsidRPr="00FD211F">
        <w:rPr>
          <w:sz w:val="36"/>
          <w:szCs w:val="36"/>
          <w:rtl/>
        </w:rPr>
        <w:t>ملوم يكون م</w:t>
      </w:r>
      <w:r w:rsidR="009977FE" w:rsidRPr="00FD211F">
        <w:rPr>
          <w:sz w:val="36"/>
          <w:szCs w:val="36"/>
          <w:rtl/>
        </w:rPr>
        <w:t>و</w:t>
      </w:r>
      <w:r w:rsidR="008D7B3D" w:rsidRPr="00FD211F">
        <w:rPr>
          <w:sz w:val="36"/>
          <w:szCs w:val="36"/>
          <w:rtl/>
        </w:rPr>
        <w:t xml:space="preserve"> لم‌</w:t>
      </w:r>
      <w:r w:rsidRPr="00FD211F">
        <w:rPr>
          <w:sz w:val="36"/>
          <w:szCs w:val="36"/>
          <w:rtl/>
        </w:rPr>
        <w:t>كما يراد به ان قلب الشخص الملوم يكون مولما ومتأذيا</w:t>
      </w:r>
      <w:r w:rsidR="00603323" w:rsidRPr="00FD211F">
        <w:rPr>
          <w:sz w:val="36"/>
          <w:szCs w:val="36"/>
          <w:rtl/>
        </w:rPr>
        <w:t xml:space="preserve">، </w:t>
      </w:r>
      <w:r w:rsidRPr="00FD211F">
        <w:rPr>
          <w:sz w:val="36"/>
          <w:szCs w:val="36"/>
          <w:rtl/>
        </w:rPr>
        <w:t>فاتضح عدم تقوّم الاستعمال بكون اللفظ ملحوظا مرآ</w:t>
      </w:r>
      <w:r w:rsidR="00EC7EDF" w:rsidRPr="00FD211F">
        <w:rPr>
          <w:sz w:val="36"/>
          <w:szCs w:val="36"/>
          <w:rtl/>
        </w:rPr>
        <w:t xml:space="preserve">ة </w:t>
      </w:r>
      <w:r w:rsidRPr="00FD211F">
        <w:rPr>
          <w:sz w:val="36"/>
          <w:szCs w:val="36"/>
          <w:rtl/>
        </w:rPr>
        <w:t>وفانيا في المعنى بحيث لايتوجه الى اللفظ تفصيلا</w:t>
      </w:r>
      <w:r w:rsidR="00603323" w:rsidRPr="00FD211F">
        <w:rPr>
          <w:sz w:val="36"/>
          <w:szCs w:val="36"/>
          <w:rtl/>
        </w:rPr>
        <w:t xml:space="preserve">، </w:t>
      </w:r>
      <w:r w:rsidRPr="00FD211F">
        <w:rPr>
          <w:sz w:val="36"/>
          <w:szCs w:val="36"/>
          <w:rtl/>
        </w:rPr>
        <w:t>وسيظهر ثمر</w:t>
      </w:r>
      <w:r w:rsidR="00EC7EDF" w:rsidRPr="00FD211F">
        <w:rPr>
          <w:sz w:val="36"/>
          <w:szCs w:val="36"/>
          <w:rtl/>
        </w:rPr>
        <w:t xml:space="preserve">ة </w:t>
      </w:r>
      <w:r w:rsidRPr="00FD211F">
        <w:rPr>
          <w:sz w:val="36"/>
          <w:szCs w:val="36"/>
          <w:rtl/>
        </w:rPr>
        <w:t>هذا البحث في بحث استعمال اللفظ في اكثر من معنى</w:t>
      </w:r>
      <w:r w:rsidR="00603323" w:rsidRPr="00FD211F">
        <w:rPr>
          <w:sz w:val="36"/>
          <w:szCs w:val="36"/>
          <w:rtl/>
        </w:rPr>
        <w:t xml:space="preserve">، </w:t>
      </w:r>
      <w:r w:rsidRPr="00FD211F">
        <w:rPr>
          <w:sz w:val="36"/>
          <w:szCs w:val="36"/>
          <w:rtl/>
        </w:rPr>
        <w:t>فانتظر.</w:t>
      </w:r>
    </w:p>
    <w:p w14:paraId="363BACD9" w14:textId="77777777" w:rsidR="00DF1803" w:rsidRPr="00FD211F" w:rsidRDefault="00DF1803" w:rsidP="009C58C8">
      <w:pPr>
        <w:pStyle w:val="3"/>
        <w:ind w:firstLine="227"/>
        <w:jc w:val="both"/>
        <w:rPr>
          <w:rtl/>
        </w:rPr>
      </w:pPr>
      <w:bookmarkStart w:id="306" w:name="_Toc151944606"/>
      <w:bookmarkStart w:id="307" w:name="_Toc154131733"/>
      <w:bookmarkStart w:id="308" w:name="_Toc156401521"/>
      <w:bookmarkStart w:id="309" w:name="_Toc192092904"/>
      <w:bookmarkStart w:id="310" w:name="_Toc223890383"/>
      <w:r w:rsidRPr="00FD211F">
        <w:rPr>
          <w:rtl/>
        </w:rPr>
        <w:t>استعمال اللفظ واراد</w:t>
      </w:r>
      <w:r w:rsidR="00EC7EDF" w:rsidRPr="00FD211F">
        <w:rPr>
          <w:rtl/>
        </w:rPr>
        <w:t xml:space="preserve">ة </w:t>
      </w:r>
      <w:r w:rsidRPr="00FD211F">
        <w:rPr>
          <w:rtl/>
        </w:rPr>
        <w:t>شخصه</w:t>
      </w:r>
      <w:bookmarkEnd w:id="306"/>
      <w:bookmarkEnd w:id="307"/>
      <w:bookmarkEnd w:id="308"/>
      <w:bookmarkEnd w:id="309"/>
      <w:bookmarkEnd w:id="310"/>
      <w:r w:rsidRPr="00FD211F">
        <w:rPr>
          <w:rtl/>
        </w:rPr>
        <w:t xml:space="preserve"> </w:t>
      </w:r>
    </w:p>
    <w:p w14:paraId="2A62C8FD" w14:textId="77777777" w:rsidR="00DF1803" w:rsidRPr="00FD211F" w:rsidRDefault="00DF1803" w:rsidP="008809DE">
      <w:pPr>
        <w:ind w:left="0" w:firstLine="227"/>
        <w:jc w:val="both"/>
        <w:rPr>
          <w:sz w:val="36"/>
          <w:szCs w:val="36"/>
          <w:rtl/>
        </w:rPr>
      </w:pPr>
      <w:r w:rsidRPr="00FD211F">
        <w:rPr>
          <w:b/>
          <w:bCs/>
          <w:sz w:val="36"/>
          <w:szCs w:val="36"/>
          <w:rtl/>
        </w:rPr>
        <w:t>الثالث</w:t>
      </w:r>
      <w:r w:rsidRPr="00FD211F">
        <w:rPr>
          <w:sz w:val="36"/>
          <w:szCs w:val="36"/>
          <w:rtl/>
        </w:rPr>
        <w:t>: قد يستعمل اللفظ ويراد به شخصه كما في قولنا</w:t>
      </w:r>
      <w:r w:rsidR="008809DE" w:rsidRPr="00FD211F">
        <w:rPr>
          <w:sz w:val="36"/>
          <w:szCs w:val="36"/>
          <w:rtl/>
        </w:rPr>
        <w:t xml:space="preserve"> </w:t>
      </w:r>
      <w:r w:rsidR="00E41EAD" w:rsidRPr="00FD211F">
        <w:rPr>
          <w:sz w:val="36"/>
          <w:szCs w:val="36"/>
          <w:rtl/>
        </w:rPr>
        <w:t>"</w:t>
      </w:r>
      <w:r w:rsidRPr="00FD211F">
        <w:rPr>
          <w:sz w:val="36"/>
          <w:szCs w:val="36"/>
          <w:rtl/>
        </w:rPr>
        <w:t xml:space="preserve">زيد </w:t>
      </w:r>
      <w:commentRangeStart w:id="311"/>
      <w:r w:rsidRPr="00FD211F">
        <w:rPr>
          <w:sz w:val="36"/>
          <w:szCs w:val="36"/>
          <w:rtl/>
        </w:rPr>
        <w:t>لفظ</w:t>
      </w:r>
      <w:commentRangeEnd w:id="311"/>
      <w:r w:rsidR="00D0180F" w:rsidRPr="00FD211F">
        <w:rPr>
          <w:rStyle w:val="ab"/>
          <w:sz w:val="36"/>
          <w:szCs w:val="36"/>
          <w:rtl/>
        </w:rPr>
        <w:commentReference w:id="311"/>
      </w:r>
      <w:r w:rsidR="00E41EAD" w:rsidRPr="00FD211F">
        <w:rPr>
          <w:sz w:val="36"/>
          <w:szCs w:val="36"/>
          <w:rtl/>
        </w:rPr>
        <w:t>"</w:t>
      </w:r>
      <w:r w:rsidR="00603323" w:rsidRPr="00FD211F">
        <w:rPr>
          <w:sz w:val="36"/>
          <w:szCs w:val="36"/>
          <w:rtl/>
        </w:rPr>
        <w:t xml:space="preserve">، </w:t>
      </w:r>
      <w:r w:rsidRPr="00FD211F">
        <w:rPr>
          <w:sz w:val="36"/>
          <w:szCs w:val="36"/>
          <w:rtl/>
        </w:rPr>
        <w:t>فمن الواضح انه ليس من قبيل استعمال اللفظ في المعنى</w:t>
      </w:r>
      <w:r w:rsidR="00603323" w:rsidRPr="00FD211F">
        <w:rPr>
          <w:sz w:val="36"/>
          <w:szCs w:val="36"/>
          <w:rtl/>
        </w:rPr>
        <w:t xml:space="preserve">، </w:t>
      </w:r>
      <w:r w:rsidRPr="00FD211F">
        <w:rPr>
          <w:sz w:val="36"/>
          <w:szCs w:val="36"/>
          <w:rtl/>
        </w:rPr>
        <w:t>بل هو بنفسه ايجاد للمعنى ولايكون من قبيل الاتيان بالدالّ ليدل على شيئ</w:t>
      </w:r>
      <w:r w:rsidR="00603323" w:rsidRPr="00FD211F">
        <w:rPr>
          <w:sz w:val="36"/>
          <w:szCs w:val="36"/>
          <w:rtl/>
        </w:rPr>
        <w:t xml:space="preserve">، </w:t>
      </w:r>
      <w:r w:rsidRPr="00FD211F">
        <w:rPr>
          <w:sz w:val="36"/>
          <w:szCs w:val="36"/>
          <w:rtl/>
        </w:rPr>
        <w:t>فانه يعتبر التعدد والتغاير في الدالّ والمدلول.</w:t>
      </w:r>
    </w:p>
    <w:p w14:paraId="2AC568AE" w14:textId="77777777" w:rsidR="00DF1803" w:rsidRPr="00FD211F" w:rsidRDefault="00DF1803" w:rsidP="009C58C8">
      <w:pPr>
        <w:ind w:left="0" w:firstLine="227"/>
        <w:jc w:val="both"/>
        <w:rPr>
          <w:sz w:val="36"/>
          <w:szCs w:val="36"/>
          <w:rtl/>
        </w:rPr>
      </w:pPr>
      <w:r w:rsidRPr="00FD211F">
        <w:rPr>
          <w:sz w:val="36"/>
          <w:szCs w:val="36"/>
          <w:rtl/>
        </w:rPr>
        <w:t>وما ذكره صاحب الكفاي</w:t>
      </w:r>
      <w:r w:rsidR="00EC7EDF" w:rsidRPr="00FD211F">
        <w:rPr>
          <w:sz w:val="36"/>
          <w:szCs w:val="36"/>
          <w:rtl/>
        </w:rPr>
        <w:t xml:space="preserve">ة </w:t>
      </w:r>
      <w:r w:rsidR="004D49AF" w:rsidRPr="00FD211F">
        <w:rPr>
          <w:sz w:val="36"/>
          <w:szCs w:val="36"/>
          <w:rtl/>
        </w:rPr>
        <w:t>"</w:t>
      </w:r>
      <w:r w:rsidRPr="00FD211F">
        <w:rPr>
          <w:sz w:val="36"/>
          <w:szCs w:val="36"/>
          <w:rtl/>
        </w:rPr>
        <w:t>قده</w:t>
      </w:r>
      <w:r w:rsidR="004D49AF" w:rsidRPr="00FD211F">
        <w:rPr>
          <w:sz w:val="36"/>
          <w:szCs w:val="36"/>
          <w:rtl/>
        </w:rPr>
        <w:t>"</w:t>
      </w:r>
      <w:r w:rsidRPr="00FD211F">
        <w:rPr>
          <w:sz w:val="36"/>
          <w:szCs w:val="36"/>
          <w:rtl/>
        </w:rPr>
        <w:t xml:space="preserve"> من كفاي</w:t>
      </w:r>
      <w:r w:rsidR="00EC7EDF" w:rsidRPr="00FD211F">
        <w:rPr>
          <w:sz w:val="36"/>
          <w:szCs w:val="36"/>
          <w:rtl/>
        </w:rPr>
        <w:t xml:space="preserve">ة </w:t>
      </w:r>
      <w:r w:rsidRPr="00FD211F">
        <w:rPr>
          <w:sz w:val="36"/>
          <w:szCs w:val="36"/>
          <w:rtl/>
        </w:rPr>
        <w:t>التغاير الحيثي فاللفظ بما هو لفظ صادر يكون دالا وبما هو مراد يكون مدلولا</w:t>
      </w:r>
      <w:r w:rsidR="00603323" w:rsidRPr="00FD211F">
        <w:rPr>
          <w:sz w:val="36"/>
          <w:szCs w:val="36"/>
          <w:rtl/>
        </w:rPr>
        <w:t xml:space="preserve">، </w:t>
      </w:r>
      <w:r w:rsidRPr="00FD211F">
        <w:rPr>
          <w:sz w:val="36"/>
          <w:szCs w:val="36"/>
          <w:rtl/>
        </w:rPr>
        <w:t xml:space="preserve">نظير ان الشخص </w:t>
      </w:r>
      <w:r w:rsidR="00E41EAD" w:rsidRPr="00FD211F">
        <w:rPr>
          <w:sz w:val="36"/>
          <w:szCs w:val="36"/>
          <w:rtl/>
        </w:rPr>
        <w:t>العالم</w:t>
      </w:r>
      <w:r w:rsidRPr="00FD211F">
        <w:rPr>
          <w:sz w:val="36"/>
          <w:szCs w:val="36"/>
          <w:rtl/>
        </w:rPr>
        <w:t xml:space="preserve"> بنفسه </w:t>
      </w:r>
      <w:r w:rsidR="00E41EAD" w:rsidRPr="00FD211F">
        <w:rPr>
          <w:sz w:val="36"/>
          <w:szCs w:val="36"/>
          <w:rtl/>
        </w:rPr>
        <w:t xml:space="preserve">يكون </w:t>
      </w:r>
      <w:r w:rsidRPr="00FD211F">
        <w:rPr>
          <w:sz w:val="36"/>
          <w:szCs w:val="36"/>
          <w:rtl/>
        </w:rPr>
        <w:t>عالم</w:t>
      </w:r>
      <w:r w:rsidR="00E41EAD" w:rsidRPr="00FD211F">
        <w:rPr>
          <w:sz w:val="36"/>
          <w:szCs w:val="36"/>
          <w:rtl/>
        </w:rPr>
        <w:t>ا</w:t>
      </w:r>
      <w:r w:rsidRPr="00FD211F">
        <w:rPr>
          <w:sz w:val="36"/>
          <w:szCs w:val="36"/>
          <w:rtl/>
        </w:rPr>
        <w:t xml:space="preserve"> ومعلوم</w:t>
      </w:r>
      <w:r w:rsidR="00E41EAD" w:rsidRPr="00FD211F">
        <w:rPr>
          <w:sz w:val="36"/>
          <w:szCs w:val="36"/>
          <w:rtl/>
        </w:rPr>
        <w:t>ا</w:t>
      </w:r>
      <w:r w:rsidR="009C58C8" w:rsidRPr="00FD211F">
        <w:rPr>
          <w:rStyle w:val="a6"/>
          <w:sz w:val="36"/>
          <w:szCs w:val="36"/>
          <w:rtl/>
        </w:rPr>
        <w:t>(</w:t>
      </w:r>
      <w:r w:rsidR="009C58C8" w:rsidRPr="00FD211F">
        <w:rPr>
          <w:rStyle w:val="a6"/>
          <w:sz w:val="36"/>
          <w:szCs w:val="36"/>
          <w:rtl/>
        </w:rPr>
        <w:footnoteReference w:id="293"/>
      </w:r>
      <w:r w:rsidR="009C58C8" w:rsidRPr="00FD211F">
        <w:rPr>
          <w:rStyle w:val="a6"/>
          <w:sz w:val="36"/>
          <w:szCs w:val="36"/>
          <w:rtl/>
        </w:rPr>
        <w:t>)</w:t>
      </w:r>
      <w:r w:rsidR="00603323" w:rsidRPr="00FD211F">
        <w:rPr>
          <w:sz w:val="36"/>
          <w:szCs w:val="36"/>
          <w:rtl/>
        </w:rPr>
        <w:t xml:space="preserve">، </w:t>
      </w:r>
      <w:r w:rsidRPr="00FD211F">
        <w:rPr>
          <w:sz w:val="36"/>
          <w:szCs w:val="36"/>
          <w:rtl/>
        </w:rPr>
        <w:t>فيرد عليه: ان لزوم تغاير الدال والمدلول ليس لأجل تضايفهما حتى يقال بكفاي</w:t>
      </w:r>
      <w:r w:rsidR="00EC7EDF" w:rsidRPr="00FD211F">
        <w:rPr>
          <w:sz w:val="36"/>
          <w:szCs w:val="36"/>
          <w:rtl/>
        </w:rPr>
        <w:t xml:space="preserve">ة </w:t>
      </w:r>
      <w:r w:rsidRPr="00FD211F">
        <w:rPr>
          <w:sz w:val="36"/>
          <w:szCs w:val="36"/>
          <w:rtl/>
        </w:rPr>
        <w:t>المغاير</w:t>
      </w:r>
      <w:r w:rsidR="00EC7EDF" w:rsidRPr="00FD211F">
        <w:rPr>
          <w:sz w:val="36"/>
          <w:szCs w:val="36"/>
          <w:rtl/>
        </w:rPr>
        <w:t xml:space="preserve">ة </w:t>
      </w:r>
      <w:r w:rsidRPr="00FD211F">
        <w:rPr>
          <w:sz w:val="36"/>
          <w:szCs w:val="36"/>
          <w:rtl/>
        </w:rPr>
        <w:t>الحيثي</w:t>
      </w:r>
      <w:r w:rsidR="00EC7EDF" w:rsidRPr="00FD211F">
        <w:rPr>
          <w:sz w:val="36"/>
          <w:szCs w:val="36"/>
          <w:rtl/>
        </w:rPr>
        <w:t xml:space="preserve">ة </w:t>
      </w:r>
      <w:r w:rsidRPr="00FD211F">
        <w:rPr>
          <w:sz w:val="36"/>
          <w:szCs w:val="36"/>
          <w:rtl/>
        </w:rPr>
        <w:t>كما في العالم والمعلوم</w:t>
      </w:r>
      <w:r w:rsidR="00603323" w:rsidRPr="00FD211F">
        <w:rPr>
          <w:sz w:val="36"/>
          <w:szCs w:val="36"/>
          <w:rtl/>
        </w:rPr>
        <w:t xml:space="preserve">، </w:t>
      </w:r>
      <w:r w:rsidRPr="00FD211F">
        <w:rPr>
          <w:sz w:val="36"/>
          <w:szCs w:val="36"/>
          <w:rtl/>
        </w:rPr>
        <w:t>وانما هو لأجل كون تصور الدال عل</w:t>
      </w:r>
      <w:r w:rsidR="00EC7EDF" w:rsidRPr="00FD211F">
        <w:rPr>
          <w:sz w:val="36"/>
          <w:szCs w:val="36"/>
          <w:rtl/>
        </w:rPr>
        <w:t xml:space="preserve">ة </w:t>
      </w:r>
      <w:r w:rsidRPr="00FD211F">
        <w:rPr>
          <w:sz w:val="36"/>
          <w:szCs w:val="36"/>
          <w:rtl/>
        </w:rPr>
        <w:t>لتصور المدلول</w:t>
      </w:r>
      <w:r w:rsidR="00603323" w:rsidRPr="00FD211F">
        <w:rPr>
          <w:sz w:val="36"/>
          <w:szCs w:val="36"/>
          <w:rtl/>
        </w:rPr>
        <w:t xml:space="preserve">، </w:t>
      </w:r>
      <w:r w:rsidRPr="00FD211F">
        <w:rPr>
          <w:sz w:val="36"/>
          <w:szCs w:val="36"/>
          <w:rtl/>
        </w:rPr>
        <w:t>فتكون النسب</w:t>
      </w:r>
      <w:r w:rsidR="00EC7EDF" w:rsidRPr="00FD211F">
        <w:rPr>
          <w:sz w:val="36"/>
          <w:szCs w:val="36"/>
          <w:rtl/>
        </w:rPr>
        <w:t xml:space="preserve">ة </w:t>
      </w:r>
      <w:r w:rsidRPr="00FD211F">
        <w:rPr>
          <w:sz w:val="36"/>
          <w:szCs w:val="36"/>
          <w:rtl/>
        </w:rPr>
        <w:t>بينهما نسب</w:t>
      </w:r>
      <w:r w:rsidR="00EC7EDF" w:rsidRPr="00FD211F">
        <w:rPr>
          <w:sz w:val="36"/>
          <w:szCs w:val="36"/>
          <w:rtl/>
        </w:rPr>
        <w:t xml:space="preserve">ة </w:t>
      </w:r>
      <w:r w:rsidRPr="00FD211F">
        <w:rPr>
          <w:sz w:val="36"/>
          <w:szCs w:val="36"/>
          <w:rtl/>
        </w:rPr>
        <w:t>العل</w:t>
      </w:r>
      <w:r w:rsidR="00EC7EDF" w:rsidRPr="00FD211F">
        <w:rPr>
          <w:sz w:val="36"/>
          <w:szCs w:val="36"/>
          <w:rtl/>
        </w:rPr>
        <w:t xml:space="preserve">ة </w:t>
      </w:r>
      <w:r w:rsidRPr="00FD211F">
        <w:rPr>
          <w:sz w:val="36"/>
          <w:szCs w:val="36"/>
          <w:rtl/>
        </w:rPr>
        <w:t>والمعلول ولاتكفي المغاير</w:t>
      </w:r>
      <w:r w:rsidR="00EC7EDF" w:rsidRPr="00FD211F">
        <w:rPr>
          <w:sz w:val="36"/>
          <w:szCs w:val="36"/>
          <w:rtl/>
        </w:rPr>
        <w:t xml:space="preserve">ة </w:t>
      </w:r>
      <w:r w:rsidRPr="00FD211F">
        <w:rPr>
          <w:sz w:val="36"/>
          <w:szCs w:val="36"/>
          <w:rtl/>
        </w:rPr>
        <w:t>الحيثي</w:t>
      </w:r>
      <w:r w:rsidR="00EC7EDF" w:rsidRPr="00FD211F">
        <w:rPr>
          <w:sz w:val="36"/>
          <w:szCs w:val="36"/>
          <w:rtl/>
        </w:rPr>
        <w:t xml:space="preserve">ة </w:t>
      </w:r>
      <w:r w:rsidRPr="00FD211F">
        <w:rPr>
          <w:sz w:val="36"/>
          <w:szCs w:val="36"/>
          <w:rtl/>
        </w:rPr>
        <w:t>بين العل</w:t>
      </w:r>
      <w:r w:rsidR="00EC7EDF" w:rsidRPr="00FD211F">
        <w:rPr>
          <w:sz w:val="36"/>
          <w:szCs w:val="36"/>
          <w:rtl/>
        </w:rPr>
        <w:t xml:space="preserve">ة </w:t>
      </w:r>
      <w:r w:rsidRPr="00FD211F">
        <w:rPr>
          <w:sz w:val="36"/>
          <w:szCs w:val="36"/>
          <w:rtl/>
        </w:rPr>
        <w:t>والمعلول</w:t>
      </w:r>
      <w:r w:rsidR="00603323" w:rsidRPr="00FD211F">
        <w:rPr>
          <w:sz w:val="36"/>
          <w:szCs w:val="36"/>
          <w:rtl/>
        </w:rPr>
        <w:t xml:space="preserve">، </w:t>
      </w:r>
      <w:r w:rsidRPr="00FD211F">
        <w:rPr>
          <w:sz w:val="36"/>
          <w:szCs w:val="36"/>
          <w:rtl/>
        </w:rPr>
        <w:t xml:space="preserve">بل يلزم تغايرهما </w:t>
      </w:r>
      <w:commentRangeStart w:id="312"/>
      <w:r w:rsidRPr="00FD211F">
        <w:rPr>
          <w:sz w:val="36"/>
          <w:szCs w:val="36"/>
          <w:rtl/>
        </w:rPr>
        <w:t>وجودا</w:t>
      </w:r>
      <w:commentRangeEnd w:id="312"/>
      <w:r w:rsidR="008809DE" w:rsidRPr="00FD211F">
        <w:rPr>
          <w:rStyle w:val="ab"/>
          <w:sz w:val="36"/>
          <w:szCs w:val="36"/>
          <w:rtl/>
        </w:rPr>
        <w:commentReference w:id="312"/>
      </w:r>
      <w:r w:rsidR="00603323" w:rsidRPr="00FD211F">
        <w:rPr>
          <w:sz w:val="36"/>
          <w:szCs w:val="36"/>
          <w:rtl/>
        </w:rPr>
        <w:t xml:space="preserve">، </w:t>
      </w:r>
      <w:r w:rsidRPr="00FD211F">
        <w:rPr>
          <w:sz w:val="36"/>
          <w:szCs w:val="36"/>
          <w:rtl/>
        </w:rPr>
        <w:t>وما ورد في دعاء ابي حمز</w:t>
      </w:r>
      <w:r w:rsidR="00EC7EDF" w:rsidRPr="00FD211F">
        <w:rPr>
          <w:sz w:val="36"/>
          <w:szCs w:val="36"/>
          <w:rtl/>
        </w:rPr>
        <w:t xml:space="preserve">ة </w:t>
      </w:r>
      <w:r w:rsidRPr="00FD211F">
        <w:rPr>
          <w:sz w:val="36"/>
          <w:szCs w:val="36"/>
          <w:rtl/>
        </w:rPr>
        <w:t xml:space="preserve">الثمالي من قوله </w:t>
      </w:r>
      <w:r w:rsidR="007A4A0D" w:rsidRPr="00FD211F">
        <w:rPr>
          <w:sz w:val="36"/>
          <w:szCs w:val="36"/>
          <w:rtl/>
        </w:rPr>
        <w:t>(عليه‌السلام)</w:t>
      </w:r>
      <w:r w:rsidRPr="00FD211F">
        <w:rPr>
          <w:sz w:val="36"/>
          <w:szCs w:val="36"/>
          <w:rtl/>
        </w:rPr>
        <w:t>: "انت دللتني عليك" فقد</w:t>
      </w:r>
      <w:r w:rsidR="00554DB8" w:rsidRPr="00FD211F">
        <w:rPr>
          <w:sz w:val="36"/>
          <w:szCs w:val="36"/>
          <w:rtl/>
        </w:rPr>
        <w:t xml:space="preserve"> يراد منه انه تعالى هو سبب الهداي</w:t>
      </w:r>
      <w:r w:rsidR="00EC7EDF" w:rsidRPr="00FD211F">
        <w:rPr>
          <w:sz w:val="36"/>
          <w:szCs w:val="36"/>
          <w:rtl/>
        </w:rPr>
        <w:t xml:space="preserve">ة </w:t>
      </w:r>
      <w:r w:rsidR="00554DB8" w:rsidRPr="00FD211F">
        <w:rPr>
          <w:sz w:val="36"/>
          <w:szCs w:val="36"/>
          <w:rtl/>
        </w:rPr>
        <w:t>الى معرفته</w:t>
      </w:r>
      <w:r w:rsidR="00603323" w:rsidRPr="00FD211F">
        <w:rPr>
          <w:sz w:val="36"/>
          <w:szCs w:val="36"/>
          <w:rtl/>
        </w:rPr>
        <w:t xml:space="preserve">، </w:t>
      </w:r>
      <w:r w:rsidR="00554DB8" w:rsidRPr="00FD211F">
        <w:rPr>
          <w:sz w:val="36"/>
          <w:szCs w:val="36"/>
          <w:rtl/>
        </w:rPr>
        <w:t xml:space="preserve">ويشهد له ما في ذيله من قوله </w:t>
      </w:r>
      <w:r w:rsidR="007A4A0D" w:rsidRPr="00FD211F">
        <w:rPr>
          <w:sz w:val="36"/>
          <w:szCs w:val="36"/>
          <w:rtl/>
        </w:rPr>
        <w:t>(عليه‌السلام)</w:t>
      </w:r>
      <w:r w:rsidR="00554DB8" w:rsidRPr="00FD211F">
        <w:rPr>
          <w:sz w:val="36"/>
          <w:szCs w:val="36"/>
          <w:rtl/>
        </w:rPr>
        <w:t>: "ولولا انت</w:t>
      </w:r>
      <w:r w:rsidR="008D7B3D" w:rsidRPr="00FD211F">
        <w:rPr>
          <w:sz w:val="36"/>
          <w:szCs w:val="36"/>
          <w:rtl/>
        </w:rPr>
        <w:t xml:space="preserve"> لم‌</w:t>
      </w:r>
      <w:r w:rsidR="00554DB8" w:rsidRPr="00FD211F">
        <w:rPr>
          <w:sz w:val="36"/>
          <w:szCs w:val="36"/>
          <w:rtl/>
        </w:rPr>
        <w:t>ادر ما انت"</w:t>
      </w:r>
      <w:r w:rsidR="00603323" w:rsidRPr="00FD211F">
        <w:rPr>
          <w:sz w:val="36"/>
          <w:szCs w:val="36"/>
          <w:rtl/>
        </w:rPr>
        <w:t xml:space="preserve">، </w:t>
      </w:r>
      <w:r w:rsidR="00554DB8" w:rsidRPr="00FD211F">
        <w:rPr>
          <w:sz w:val="36"/>
          <w:szCs w:val="36"/>
          <w:rtl/>
        </w:rPr>
        <w:t>او</w:t>
      </w:r>
      <w:r w:rsidRPr="00FD211F">
        <w:rPr>
          <w:sz w:val="36"/>
          <w:szCs w:val="36"/>
          <w:rtl/>
        </w:rPr>
        <w:t>يراد منه انه تعالى لايحتاج الى دليل يدل عليه لفرط نوره وظهوره</w:t>
      </w:r>
      <w:r w:rsidR="00603323" w:rsidRPr="00FD211F">
        <w:rPr>
          <w:sz w:val="36"/>
          <w:szCs w:val="36"/>
          <w:rtl/>
        </w:rPr>
        <w:t xml:space="preserve">، </w:t>
      </w:r>
      <w:r w:rsidRPr="00FD211F">
        <w:rPr>
          <w:sz w:val="36"/>
          <w:szCs w:val="36"/>
          <w:rtl/>
        </w:rPr>
        <w:t>كما ورد في ذيل دعاء عرف</w:t>
      </w:r>
      <w:r w:rsidR="00EC7EDF" w:rsidRPr="00FD211F">
        <w:rPr>
          <w:sz w:val="36"/>
          <w:szCs w:val="36"/>
          <w:rtl/>
        </w:rPr>
        <w:t>ة</w:t>
      </w:r>
      <w:r w:rsidR="00057D31" w:rsidRPr="00FD211F">
        <w:rPr>
          <w:sz w:val="36"/>
          <w:szCs w:val="36"/>
          <w:rtl/>
        </w:rPr>
        <w:t>:</w:t>
      </w:r>
      <w:r w:rsidRPr="00FD211F">
        <w:rPr>
          <w:sz w:val="36"/>
          <w:szCs w:val="36"/>
          <w:rtl/>
        </w:rPr>
        <w:t xml:space="preserve"> "أيكون لغيرك من الظهور ما ليس لك حتى يكون هو المظهر لك</w:t>
      </w:r>
      <w:r w:rsidR="00603323" w:rsidRPr="00FD211F">
        <w:rPr>
          <w:sz w:val="36"/>
          <w:szCs w:val="36"/>
          <w:rtl/>
        </w:rPr>
        <w:t xml:space="preserve">، </w:t>
      </w:r>
      <w:r w:rsidRPr="00FD211F">
        <w:rPr>
          <w:sz w:val="36"/>
          <w:szCs w:val="36"/>
          <w:rtl/>
        </w:rPr>
        <w:t>متى غبت حتى تحتاج إلى دليل يدل عليك" وهو الظاهر من قوله في دعاء الص</w:t>
      </w:r>
      <w:r w:rsidR="000F5574" w:rsidRPr="00FD211F">
        <w:rPr>
          <w:sz w:val="36"/>
          <w:szCs w:val="36"/>
          <w:rtl/>
        </w:rPr>
        <w:t>باح: "يا من دل على ذاته بذاته"</w:t>
      </w:r>
      <w:r w:rsidR="00C774D9" w:rsidRPr="00FD211F">
        <w:rPr>
          <w:sz w:val="36"/>
          <w:szCs w:val="36"/>
          <w:rtl/>
        </w:rPr>
        <w:t>.</w:t>
      </w:r>
    </w:p>
    <w:p w14:paraId="724D9BB9" w14:textId="77777777" w:rsidR="000C5BBA" w:rsidRPr="00FD211F" w:rsidRDefault="00DF1803" w:rsidP="009C58C8">
      <w:pPr>
        <w:ind w:left="0" w:firstLine="227"/>
        <w:jc w:val="both"/>
        <w:rPr>
          <w:rStyle w:val="a6"/>
          <w:sz w:val="36"/>
          <w:szCs w:val="36"/>
          <w:rtl/>
        </w:rPr>
      </w:pPr>
      <w:r w:rsidRPr="00FD211F">
        <w:rPr>
          <w:sz w:val="36"/>
          <w:szCs w:val="36"/>
          <w:rtl/>
        </w:rPr>
        <w:t>وأ</w:t>
      </w:r>
      <w:r w:rsidR="004D49AF" w:rsidRPr="00FD211F">
        <w:rPr>
          <w:sz w:val="36"/>
          <w:szCs w:val="36"/>
          <w:rtl/>
        </w:rPr>
        <w:t>ما ما اورده المحقق الاصفهاني</w:t>
      </w:r>
      <w:r w:rsidRPr="00FD211F">
        <w:rPr>
          <w:sz w:val="36"/>
          <w:szCs w:val="36"/>
          <w:rtl/>
        </w:rPr>
        <w:t xml:space="preserve"> على صاحب الكفاي</w:t>
      </w:r>
      <w:r w:rsidR="00EC7EDF" w:rsidRPr="00FD211F">
        <w:rPr>
          <w:sz w:val="36"/>
          <w:szCs w:val="36"/>
          <w:rtl/>
        </w:rPr>
        <w:t xml:space="preserve">ة </w:t>
      </w:r>
      <w:r w:rsidR="004D49AF" w:rsidRPr="00FD211F">
        <w:rPr>
          <w:sz w:val="36"/>
          <w:szCs w:val="36"/>
          <w:rtl/>
        </w:rPr>
        <w:t>"قدهما"</w:t>
      </w:r>
      <w:r w:rsidRPr="00FD211F">
        <w:rPr>
          <w:sz w:val="36"/>
          <w:szCs w:val="36"/>
          <w:rtl/>
        </w:rPr>
        <w:t xml:space="preserve"> من ان دلال</w:t>
      </w:r>
      <w:r w:rsidR="00EC7EDF" w:rsidRPr="00FD211F">
        <w:rPr>
          <w:sz w:val="36"/>
          <w:szCs w:val="36"/>
          <w:rtl/>
        </w:rPr>
        <w:t xml:space="preserve">ة </w:t>
      </w:r>
      <w:r w:rsidRPr="00FD211F">
        <w:rPr>
          <w:sz w:val="36"/>
          <w:szCs w:val="36"/>
          <w:rtl/>
        </w:rPr>
        <w:t>اللفظ على الإراد</w:t>
      </w:r>
      <w:r w:rsidR="00EC7EDF" w:rsidRPr="00FD211F">
        <w:rPr>
          <w:sz w:val="36"/>
          <w:szCs w:val="36"/>
          <w:rtl/>
        </w:rPr>
        <w:t xml:space="preserve">ة </w:t>
      </w:r>
      <w:r w:rsidRPr="00FD211F">
        <w:rPr>
          <w:sz w:val="36"/>
          <w:szCs w:val="36"/>
          <w:rtl/>
        </w:rPr>
        <w:t>عقلي والكلام في الدلال</w:t>
      </w:r>
      <w:r w:rsidR="00EC7EDF" w:rsidRPr="00FD211F">
        <w:rPr>
          <w:sz w:val="36"/>
          <w:szCs w:val="36"/>
          <w:rtl/>
        </w:rPr>
        <w:t xml:space="preserve">ة </w:t>
      </w:r>
      <w:r w:rsidRPr="00FD211F">
        <w:rPr>
          <w:sz w:val="36"/>
          <w:szCs w:val="36"/>
          <w:rtl/>
        </w:rPr>
        <w:t>اللفظي</w:t>
      </w:r>
      <w:r w:rsidR="00EC7EDF" w:rsidRPr="00FD211F">
        <w:rPr>
          <w:sz w:val="36"/>
          <w:szCs w:val="36"/>
          <w:rtl/>
        </w:rPr>
        <w:t>ة</w:t>
      </w:r>
      <w:r w:rsidR="00603323" w:rsidRPr="00FD211F">
        <w:rPr>
          <w:sz w:val="36"/>
          <w:szCs w:val="36"/>
          <w:rtl/>
        </w:rPr>
        <w:t xml:space="preserve">، </w:t>
      </w:r>
      <w:r w:rsidRPr="00FD211F">
        <w:rPr>
          <w:sz w:val="36"/>
          <w:szCs w:val="36"/>
          <w:rtl/>
        </w:rPr>
        <w:t>فما ذكره</w:t>
      </w:r>
      <w:r w:rsidR="008C2376" w:rsidRPr="00FD211F">
        <w:rPr>
          <w:sz w:val="36"/>
          <w:szCs w:val="36"/>
          <w:rtl/>
        </w:rPr>
        <w:t xml:space="preserve"> صاحب الكفاي</w:t>
      </w:r>
      <w:r w:rsidR="00EC7EDF" w:rsidRPr="00FD211F">
        <w:rPr>
          <w:sz w:val="36"/>
          <w:szCs w:val="36"/>
          <w:rtl/>
        </w:rPr>
        <w:t xml:space="preserve">ة </w:t>
      </w:r>
      <w:r w:rsidRPr="00FD211F">
        <w:rPr>
          <w:sz w:val="36"/>
          <w:szCs w:val="36"/>
          <w:rtl/>
        </w:rPr>
        <w:t>من كفاي</w:t>
      </w:r>
      <w:r w:rsidR="00EC7EDF" w:rsidRPr="00FD211F">
        <w:rPr>
          <w:sz w:val="36"/>
          <w:szCs w:val="36"/>
          <w:rtl/>
        </w:rPr>
        <w:t xml:space="preserve">ة </w:t>
      </w:r>
      <w:r w:rsidRPr="00FD211F">
        <w:rPr>
          <w:sz w:val="36"/>
          <w:szCs w:val="36"/>
          <w:rtl/>
        </w:rPr>
        <w:t>دلال</w:t>
      </w:r>
      <w:r w:rsidR="00EC7EDF" w:rsidRPr="00FD211F">
        <w:rPr>
          <w:sz w:val="36"/>
          <w:szCs w:val="36"/>
          <w:rtl/>
        </w:rPr>
        <w:t xml:space="preserve">ة </w:t>
      </w:r>
      <w:r w:rsidRPr="00FD211F">
        <w:rPr>
          <w:sz w:val="36"/>
          <w:szCs w:val="36"/>
          <w:rtl/>
        </w:rPr>
        <w:t>اللفظ على كونه مرادا غير متجه</w:t>
      </w:r>
      <w:r w:rsidR="009C58C8" w:rsidRPr="00FD211F">
        <w:rPr>
          <w:rStyle w:val="a6"/>
          <w:sz w:val="36"/>
          <w:szCs w:val="36"/>
          <w:rtl/>
        </w:rPr>
        <w:t>(</w:t>
      </w:r>
      <w:r w:rsidR="009C58C8" w:rsidRPr="00FD211F">
        <w:rPr>
          <w:rStyle w:val="a6"/>
          <w:sz w:val="36"/>
          <w:szCs w:val="36"/>
          <w:rtl/>
        </w:rPr>
        <w:footnoteReference w:id="294"/>
      </w:r>
      <w:r w:rsidR="009C58C8" w:rsidRPr="00FD211F">
        <w:rPr>
          <w:rStyle w:val="a6"/>
          <w:sz w:val="36"/>
          <w:szCs w:val="36"/>
          <w:rtl/>
        </w:rPr>
        <w:t>)</w:t>
      </w:r>
      <w:r w:rsidR="008C2376" w:rsidRPr="00FD211F">
        <w:rPr>
          <w:rStyle w:val="a6"/>
          <w:sz w:val="36"/>
          <w:szCs w:val="36"/>
          <w:rtl/>
        </w:rPr>
        <w:t>.</w:t>
      </w:r>
    </w:p>
    <w:p w14:paraId="265BF11C" w14:textId="77777777" w:rsidR="00DF1803" w:rsidRPr="00FD211F" w:rsidRDefault="00DF1803" w:rsidP="009C58C8">
      <w:pPr>
        <w:ind w:left="0" w:firstLine="227"/>
        <w:jc w:val="both"/>
        <w:rPr>
          <w:sz w:val="36"/>
          <w:szCs w:val="36"/>
          <w:rtl/>
        </w:rPr>
      </w:pPr>
      <w:r w:rsidRPr="00FD211F">
        <w:rPr>
          <w:sz w:val="36"/>
          <w:szCs w:val="36"/>
          <w:rtl/>
        </w:rPr>
        <w:t>ففيه: انه ليس مراد صاحب الكفاي</w:t>
      </w:r>
      <w:r w:rsidR="00EC7EDF" w:rsidRPr="00FD211F">
        <w:rPr>
          <w:sz w:val="36"/>
          <w:szCs w:val="36"/>
          <w:rtl/>
        </w:rPr>
        <w:t xml:space="preserve">ة </w:t>
      </w:r>
      <w:r w:rsidRPr="00FD211F">
        <w:rPr>
          <w:sz w:val="36"/>
          <w:szCs w:val="36"/>
          <w:rtl/>
        </w:rPr>
        <w:t>دلال</w:t>
      </w:r>
      <w:r w:rsidR="00EC7EDF" w:rsidRPr="00FD211F">
        <w:rPr>
          <w:sz w:val="36"/>
          <w:szCs w:val="36"/>
          <w:rtl/>
        </w:rPr>
        <w:t xml:space="preserve">ة </w:t>
      </w:r>
      <w:r w:rsidRPr="00FD211F">
        <w:rPr>
          <w:sz w:val="36"/>
          <w:szCs w:val="36"/>
          <w:rtl/>
        </w:rPr>
        <w:t>اللفظ على اراد</w:t>
      </w:r>
      <w:r w:rsidR="00EC7EDF" w:rsidRPr="00FD211F">
        <w:rPr>
          <w:sz w:val="36"/>
          <w:szCs w:val="36"/>
          <w:rtl/>
        </w:rPr>
        <w:t xml:space="preserve">ة </w:t>
      </w:r>
      <w:r w:rsidRPr="00FD211F">
        <w:rPr>
          <w:sz w:val="36"/>
          <w:szCs w:val="36"/>
          <w:rtl/>
        </w:rPr>
        <w:t xml:space="preserve">ايجاده حتى يرد عليه ان </w:t>
      </w:r>
      <w:r w:rsidR="008C2376" w:rsidRPr="00FD211F">
        <w:rPr>
          <w:sz w:val="36"/>
          <w:szCs w:val="36"/>
          <w:rtl/>
        </w:rPr>
        <w:t>دلالته عليها عقلي</w:t>
      </w:r>
      <w:r w:rsidR="00EC7EDF" w:rsidRPr="00FD211F">
        <w:rPr>
          <w:sz w:val="36"/>
          <w:szCs w:val="36"/>
          <w:rtl/>
        </w:rPr>
        <w:t>ة</w:t>
      </w:r>
      <w:r w:rsidR="00603323" w:rsidRPr="00FD211F">
        <w:rPr>
          <w:sz w:val="36"/>
          <w:szCs w:val="36"/>
          <w:rtl/>
        </w:rPr>
        <w:t xml:space="preserve">، </w:t>
      </w:r>
      <w:r w:rsidR="008C2376" w:rsidRPr="00FD211F">
        <w:rPr>
          <w:sz w:val="36"/>
          <w:szCs w:val="36"/>
          <w:rtl/>
        </w:rPr>
        <w:t>بل مراده</w:t>
      </w:r>
      <w:r w:rsidRPr="00FD211F">
        <w:rPr>
          <w:sz w:val="36"/>
          <w:szCs w:val="36"/>
          <w:rtl/>
        </w:rPr>
        <w:t xml:space="preserve"> دلال</w:t>
      </w:r>
      <w:r w:rsidR="00EC7EDF" w:rsidRPr="00FD211F">
        <w:rPr>
          <w:sz w:val="36"/>
          <w:szCs w:val="36"/>
          <w:rtl/>
        </w:rPr>
        <w:t xml:space="preserve">ة </w:t>
      </w:r>
      <w:r w:rsidRPr="00FD211F">
        <w:rPr>
          <w:sz w:val="36"/>
          <w:szCs w:val="36"/>
          <w:rtl/>
        </w:rPr>
        <w:t>اللفظ على كونه مرادا بالتفهيم</w:t>
      </w:r>
      <w:r w:rsidR="00603323" w:rsidRPr="00FD211F">
        <w:rPr>
          <w:sz w:val="36"/>
          <w:szCs w:val="36"/>
          <w:rtl/>
        </w:rPr>
        <w:t xml:space="preserve">، </w:t>
      </w:r>
      <w:r w:rsidRPr="00FD211F">
        <w:rPr>
          <w:sz w:val="36"/>
          <w:szCs w:val="36"/>
          <w:rtl/>
        </w:rPr>
        <w:t>فاللفظ بما انه اريد به التفهيم يكون دالا</w:t>
      </w:r>
      <w:r w:rsidR="00603323" w:rsidRPr="00FD211F">
        <w:rPr>
          <w:sz w:val="36"/>
          <w:szCs w:val="36"/>
          <w:rtl/>
        </w:rPr>
        <w:t xml:space="preserve">، </w:t>
      </w:r>
      <w:r w:rsidRPr="00FD211F">
        <w:rPr>
          <w:sz w:val="36"/>
          <w:szCs w:val="36"/>
          <w:rtl/>
        </w:rPr>
        <w:t>وبما ان المراد هو تفهيم نفسه فيكون مدلولا</w:t>
      </w:r>
      <w:r w:rsidR="00603323" w:rsidRPr="00FD211F">
        <w:rPr>
          <w:sz w:val="36"/>
          <w:szCs w:val="36"/>
          <w:rtl/>
        </w:rPr>
        <w:t xml:space="preserve">، </w:t>
      </w:r>
      <w:r w:rsidRPr="00FD211F">
        <w:rPr>
          <w:sz w:val="36"/>
          <w:szCs w:val="36"/>
          <w:rtl/>
        </w:rPr>
        <w:t>وهذا لايخرج عن الدلال</w:t>
      </w:r>
      <w:r w:rsidR="00EC7EDF" w:rsidRPr="00FD211F">
        <w:rPr>
          <w:sz w:val="36"/>
          <w:szCs w:val="36"/>
          <w:rtl/>
        </w:rPr>
        <w:t xml:space="preserve">ة </w:t>
      </w:r>
      <w:r w:rsidRPr="00FD211F">
        <w:rPr>
          <w:sz w:val="36"/>
          <w:szCs w:val="36"/>
          <w:rtl/>
        </w:rPr>
        <w:t>اللفظي</w:t>
      </w:r>
      <w:r w:rsidR="00EC7EDF" w:rsidRPr="00FD211F">
        <w:rPr>
          <w:sz w:val="36"/>
          <w:szCs w:val="36"/>
          <w:rtl/>
        </w:rPr>
        <w:t>ة</w:t>
      </w:r>
      <w:r w:rsidR="00A61BAE" w:rsidRPr="00FD211F">
        <w:rPr>
          <w:sz w:val="36"/>
          <w:szCs w:val="36"/>
          <w:rtl/>
        </w:rPr>
        <w:t>.</w:t>
      </w:r>
    </w:p>
    <w:p w14:paraId="303D7E0A" w14:textId="77777777" w:rsidR="00DF1803" w:rsidRPr="00FD211F" w:rsidRDefault="00DF1803"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وقد ذكر في الفصول: انه لايصح اراد</w:t>
      </w:r>
      <w:r w:rsidR="00EC7EDF" w:rsidRPr="00FD211F">
        <w:rPr>
          <w:sz w:val="36"/>
          <w:szCs w:val="36"/>
          <w:rtl/>
        </w:rPr>
        <w:t xml:space="preserve">ة </w:t>
      </w:r>
      <w:r w:rsidRPr="00FD211F">
        <w:rPr>
          <w:sz w:val="36"/>
          <w:szCs w:val="36"/>
          <w:rtl/>
        </w:rPr>
        <w:t xml:space="preserve">شخص اللفظ من قولنا </w:t>
      </w:r>
      <w:r w:rsidR="008C2376" w:rsidRPr="00FD211F">
        <w:rPr>
          <w:sz w:val="36"/>
          <w:szCs w:val="36"/>
          <w:rtl/>
        </w:rPr>
        <w:t>"</w:t>
      </w:r>
      <w:r w:rsidRPr="00FD211F">
        <w:rPr>
          <w:sz w:val="36"/>
          <w:szCs w:val="36"/>
          <w:rtl/>
        </w:rPr>
        <w:t>زيد لفظ</w:t>
      </w:r>
      <w:r w:rsidR="008C2376" w:rsidRPr="00FD211F">
        <w:rPr>
          <w:sz w:val="36"/>
          <w:szCs w:val="36"/>
          <w:rtl/>
        </w:rPr>
        <w:t>"</w:t>
      </w:r>
      <w:r w:rsidRPr="00FD211F">
        <w:rPr>
          <w:sz w:val="36"/>
          <w:szCs w:val="36"/>
          <w:rtl/>
        </w:rPr>
        <w:t xml:space="preserve"> لأنه ان لوحظ دلالته على نفسه لزم اتحاد الدال والمدلول</w:t>
      </w:r>
      <w:r w:rsidR="00603323" w:rsidRPr="00FD211F">
        <w:rPr>
          <w:sz w:val="36"/>
          <w:szCs w:val="36"/>
          <w:rtl/>
        </w:rPr>
        <w:t xml:space="preserve">، </w:t>
      </w:r>
      <w:r w:rsidRPr="00FD211F">
        <w:rPr>
          <w:sz w:val="36"/>
          <w:szCs w:val="36"/>
          <w:rtl/>
        </w:rPr>
        <w:t>وان</w:t>
      </w:r>
      <w:r w:rsidR="008D7B3D" w:rsidRPr="00FD211F">
        <w:rPr>
          <w:sz w:val="36"/>
          <w:szCs w:val="36"/>
          <w:rtl/>
        </w:rPr>
        <w:t xml:space="preserve"> لم‌</w:t>
      </w:r>
      <w:r w:rsidRPr="00FD211F">
        <w:rPr>
          <w:sz w:val="36"/>
          <w:szCs w:val="36"/>
          <w:rtl/>
        </w:rPr>
        <w:t>تلحظ دلالته على نفسه لزم انتفاء الموضوع في الواقع الذي يحكي عنه هذه الجمل</w:t>
      </w:r>
      <w:r w:rsidR="00EC7EDF" w:rsidRPr="00FD211F">
        <w:rPr>
          <w:sz w:val="36"/>
          <w:szCs w:val="36"/>
          <w:rtl/>
        </w:rPr>
        <w:t xml:space="preserve">ة </w:t>
      </w:r>
      <w:r w:rsidRPr="00FD211F">
        <w:rPr>
          <w:sz w:val="36"/>
          <w:szCs w:val="36"/>
          <w:rtl/>
        </w:rPr>
        <w:t>الخبري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295"/>
      </w:r>
      <w:r w:rsidR="009C58C8" w:rsidRPr="00FD211F">
        <w:rPr>
          <w:rStyle w:val="a6"/>
          <w:sz w:val="36"/>
          <w:szCs w:val="36"/>
          <w:rtl/>
        </w:rPr>
        <w:t>)</w:t>
      </w:r>
      <w:r w:rsidRPr="00FD211F">
        <w:rPr>
          <w:sz w:val="36"/>
          <w:szCs w:val="36"/>
          <w:rtl/>
        </w:rPr>
        <w:t>.</w:t>
      </w:r>
    </w:p>
    <w:p w14:paraId="42190852" w14:textId="77777777" w:rsidR="000C5BBA" w:rsidRPr="00FD211F" w:rsidRDefault="00DF1803" w:rsidP="009C58C8">
      <w:pPr>
        <w:ind w:left="0" w:firstLine="227"/>
        <w:jc w:val="both"/>
        <w:rPr>
          <w:sz w:val="36"/>
          <w:szCs w:val="36"/>
          <w:rtl/>
        </w:rPr>
      </w:pPr>
      <w:r w:rsidRPr="00FD211F">
        <w:rPr>
          <w:sz w:val="36"/>
          <w:szCs w:val="36"/>
          <w:rtl/>
        </w:rPr>
        <w:t>وفيه ان ايراده الأول</w:t>
      </w:r>
      <w:r w:rsidR="008C2376" w:rsidRPr="00FD211F">
        <w:rPr>
          <w:sz w:val="36"/>
          <w:szCs w:val="36"/>
          <w:rtl/>
        </w:rPr>
        <w:t>-</w:t>
      </w:r>
      <w:r w:rsidRPr="00FD211F">
        <w:rPr>
          <w:sz w:val="36"/>
          <w:szCs w:val="36"/>
          <w:rtl/>
        </w:rPr>
        <w:t xml:space="preserve"> وهو لزوم اتحاد الدال والمدلول ان لوحظت دلالته على نفسه </w:t>
      </w:r>
      <w:r w:rsidR="008C2376" w:rsidRPr="00FD211F">
        <w:rPr>
          <w:sz w:val="36"/>
          <w:szCs w:val="36"/>
          <w:rtl/>
        </w:rPr>
        <w:t>-</w:t>
      </w:r>
      <w:r w:rsidRPr="00FD211F">
        <w:rPr>
          <w:sz w:val="36"/>
          <w:szCs w:val="36"/>
          <w:rtl/>
        </w:rPr>
        <w:t>وان كان تاما</w:t>
      </w:r>
      <w:r w:rsidR="00603323" w:rsidRPr="00FD211F">
        <w:rPr>
          <w:sz w:val="36"/>
          <w:szCs w:val="36"/>
          <w:rtl/>
        </w:rPr>
        <w:t xml:space="preserve">، </w:t>
      </w:r>
      <w:r w:rsidRPr="00FD211F">
        <w:rPr>
          <w:sz w:val="36"/>
          <w:szCs w:val="36"/>
          <w:rtl/>
        </w:rPr>
        <w:t>ولكن لايتم ايراده الثاني</w:t>
      </w:r>
      <w:r w:rsidR="00603323" w:rsidRPr="00FD211F">
        <w:rPr>
          <w:sz w:val="36"/>
          <w:szCs w:val="36"/>
          <w:rtl/>
        </w:rPr>
        <w:t xml:space="preserve">، </w:t>
      </w:r>
      <w:r w:rsidRPr="00FD211F">
        <w:rPr>
          <w:sz w:val="36"/>
          <w:szCs w:val="36"/>
          <w:rtl/>
        </w:rPr>
        <w:t>فانه يلزم منه بطلان مثل قولنا زيد لفظ صادر مني في هذه الساع</w:t>
      </w:r>
      <w:r w:rsidR="00EC7EDF" w:rsidRPr="00FD211F">
        <w:rPr>
          <w:sz w:val="36"/>
          <w:szCs w:val="36"/>
          <w:rtl/>
        </w:rPr>
        <w:t>ة</w:t>
      </w:r>
      <w:r w:rsidR="00603323" w:rsidRPr="00FD211F">
        <w:rPr>
          <w:sz w:val="36"/>
          <w:szCs w:val="36"/>
          <w:rtl/>
        </w:rPr>
        <w:t xml:space="preserve">، </w:t>
      </w:r>
      <w:r w:rsidRPr="00FD211F">
        <w:rPr>
          <w:sz w:val="36"/>
          <w:szCs w:val="36"/>
          <w:rtl/>
        </w:rPr>
        <w:t>مع شهاد</w:t>
      </w:r>
      <w:r w:rsidR="00EC7EDF" w:rsidRPr="00FD211F">
        <w:rPr>
          <w:sz w:val="36"/>
          <w:szCs w:val="36"/>
          <w:rtl/>
        </w:rPr>
        <w:t xml:space="preserve">ة </w:t>
      </w:r>
      <w:r w:rsidRPr="00FD211F">
        <w:rPr>
          <w:sz w:val="36"/>
          <w:szCs w:val="36"/>
          <w:rtl/>
        </w:rPr>
        <w:t>الوجدان بعدم بطلانه</w:t>
      </w:r>
      <w:r w:rsidR="00603323" w:rsidRPr="00FD211F">
        <w:rPr>
          <w:sz w:val="36"/>
          <w:szCs w:val="36"/>
          <w:rtl/>
        </w:rPr>
        <w:t xml:space="preserve">، </w:t>
      </w:r>
      <w:r w:rsidRPr="00FD211F">
        <w:rPr>
          <w:sz w:val="36"/>
          <w:szCs w:val="36"/>
          <w:rtl/>
        </w:rPr>
        <w:t>فان الموضوع للواقع الذي يكون مطابَقا لهذه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قد وجد بنفس التلفظ بلفظ "زيد"</w:t>
      </w:r>
      <w:r w:rsidR="00603323" w:rsidRPr="00FD211F">
        <w:rPr>
          <w:sz w:val="36"/>
          <w:szCs w:val="36"/>
          <w:rtl/>
        </w:rPr>
        <w:t xml:space="preserve">، </w:t>
      </w:r>
      <w:r w:rsidRPr="00FD211F">
        <w:rPr>
          <w:sz w:val="36"/>
          <w:szCs w:val="36"/>
          <w:rtl/>
        </w:rPr>
        <w:t>ولاحاج</w:t>
      </w:r>
      <w:r w:rsidR="00EC7EDF" w:rsidRPr="00FD211F">
        <w:rPr>
          <w:sz w:val="36"/>
          <w:szCs w:val="36"/>
          <w:rtl/>
        </w:rPr>
        <w:t xml:space="preserve">ة </w:t>
      </w:r>
      <w:r w:rsidRPr="00FD211F">
        <w:rPr>
          <w:sz w:val="36"/>
          <w:szCs w:val="36"/>
          <w:rtl/>
        </w:rPr>
        <w:t>الى ان يكون الموضوع في الواقع الذي يحكي عنه هذه الجمل</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مغايرا للفظ الذي صار موضوعا في نفس الجمل</w:t>
      </w:r>
      <w:r w:rsidR="00EC7EDF" w:rsidRPr="00FD211F">
        <w:rPr>
          <w:sz w:val="36"/>
          <w:szCs w:val="36"/>
          <w:rtl/>
        </w:rPr>
        <w:t xml:space="preserve">ة </w:t>
      </w:r>
      <w:r w:rsidRPr="00FD211F">
        <w:rPr>
          <w:sz w:val="36"/>
          <w:szCs w:val="36"/>
          <w:rtl/>
        </w:rPr>
        <w:t>الخبري</w:t>
      </w:r>
      <w:r w:rsidR="00EC7EDF" w:rsidRPr="00FD211F">
        <w:rPr>
          <w:sz w:val="36"/>
          <w:szCs w:val="36"/>
          <w:rtl/>
        </w:rPr>
        <w:t>ة</w:t>
      </w:r>
      <w:r w:rsidR="00603323" w:rsidRPr="00FD211F">
        <w:rPr>
          <w:sz w:val="36"/>
          <w:szCs w:val="36"/>
          <w:rtl/>
        </w:rPr>
        <w:t xml:space="preserve">، </w:t>
      </w:r>
      <w:r w:rsidRPr="00FD211F">
        <w:rPr>
          <w:sz w:val="36"/>
          <w:szCs w:val="36"/>
          <w:rtl/>
        </w:rPr>
        <w:t>وعليه فيكفي في صح</w:t>
      </w:r>
      <w:r w:rsidR="00EC7EDF" w:rsidRPr="00FD211F">
        <w:rPr>
          <w:sz w:val="36"/>
          <w:szCs w:val="36"/>
          <w:rtl/>
        </w:rPr>
        <w:t xml:space="preserve">ة </w:t>
      </w:r>
      <w:r w:rsidRPr="00FD211F">
        <w:rPr>
          <w:sz w:val="36"/>
          <w:szCs w:val="36"/>
          <w:rtl/>
        </w:rPr>
        <w:t>هذه القضي</w:t>
      </w:r>
      <w:r w:rsidR="00EC7EDF" w:rsidRPr="00FD211F">
        <w:rPr>
          <w:sz w:val="36"/>
          <w:szCs w:val="36"/>
          <w:rtl/>
        </w:rPr>
        <w:t xml:space="preserve">ة </w:t>
      </w:r>
      <w:r w:rsidRPr="00FD211F">
        <w:rPr>
          <w:sz w:val="36"/>
          <w:szCs w:val="36"/>
          <w:rtl/>
        </w:rPr>
        <w:t>الخبري</w:t>
      </w:r>
      <w:r w:rsidR="00EC7EDF" w:rsidRPr="00FD211F">
        <w:rPr>
          <w:sz w:val="36"/>
          <w:szCs w:val="36"/>
          <w:rtl/>
        </w:rPr>
        <w:t xml:space="preserve">ة </w:t>
      </w:r>
      <w:r w:rsidRPr="00FD211F">
        <w:rPr>
          <w:sz w:val="36"/>
          <w:szCs w:val="36"/>
          <w:rtl/>
        </w:rPr>
        <w:t>ايجاد الموضوع للواق</w:t>
      </w:r>
      <w:r w:rsidR="008C2376" w:rsidRPr="00FD211F">
        <w:rPr>
          <w:sz w:val="36"/>
          <w:szCs w:val="36"/>
          <w:rtl/>
        </w:rPr>
        <w:t>ع الذي يخبر عنه بدل الحكاي</w:t>
      </w:r>
      <w:r w:rsidR="00EC7EDF" w:rsidRPr="00FD211F">
        <w:rPr>
          <w:sz w:val="36"/>
          <w:szCs w:val="36"/>
          <w:rtl/>
        </w:rPr>
        <w:t xml:space="preserve">ة </w:t>
      </w:r>
      <w:r w:rsidR="008C2376" w:rsidRPr="00FD211F">
        <w:rPr>
          <w:sz w:val="36"/>
          <w:szCs w:val="36"/>
          <w:rtl/>
        </w:rPr>
        <w:t>عنه.</w:t>
      </w:r>
    </w:p>
    <w:p w14:paraId="5560FE97" w14:textId="77777777" w:rsidR="008C2376" w:rsidRPr="00FD211F" w:rsidRDefault="00DF1803" w:rsidP="009C58C8">
      <w:pPr>
        <w:ind w:left="0" w:firstLine="227"/>
        <w:jc w:val="both"/>
        <w:rPr>
          <w:sz w:val="36"/>
          <w:szCs w:val="36"/>
          <w:rtl/>
        </w:rPr>
      </w:pPr>
      <w:r w:rsidRPr="00FD211F">
        <w:rPr>
          <w:sz w:val="36"/>
          <w:szCs w:val="36"/>
          <w:rtl/>
        </w:rPr>
        <w:t xml:space="preserve">وما ذكره المحقق الاصفهاني </w:t>
      </w:r>
      <w:r w:rsidR="008C2376" w:rsidRPr="00FD211F">
        <w:rPr>
          <w:sz w:val="36"/>
          <w:szCs w:val="36"/>
          <w:rtl/>
        </w:rPr>
        <w:t>"</w:t>
      </w:r>
      <w:r w:rsidRPr="00FD211F">
        <w:rPr>
          <w:sz w:val="36"/>
          <w:szCs w:val="36"/>
          <w:rtl/>
        </w:rPr>
        <w:t>قده</w:t>
      </w:r>
      <w:r w:rsidR="008C2376" w:rsidRPr="00FD211F">
        <w:rPr>
          <w:sz w:val="36"/>
          <w:szCs w:val="36"/>
          <w:rtl/>
        </w:rPr>
        <w:t>"</w:t>
      </w:r>
      <w:r w:rsidRPr="00FD211F">
        <w:rPr>
          <w:sz w:val="36"/>
          <w:szCs w:val="36"/>
          <w:rtl/>
        </w:rPr>
        <w:t xml:space="preserve"> من انه لايكفي في صح</w:t>
      </w:r>
      <w:r w:rsidR="00EC7EDF" w:rsidRPr="00FD211F">
        <w:rPr>
          <w:sz w:val="36"/>
          <w:szCs w:val="36"/>
          <w:rtl/>
        </w:rPr>
        <w:t xml:space="preserve">ة </w:t>
      </w:r>
      <w:r w:rsidRPr="00FD211F">
        <w:rPr>
          <w:sz w:val="36"/>
          <w:szCs w:val="36"/>
          <w:rtl/>
        </w:rPr>
        <w:t>النسب</w:t>
      </w:r>
      <w:r w:rsidR="00EC7EDF" w:rsidRPr="00FD211F">
        <w:rPr>
          <w:sz w:val="36"/>
          <w:szCs w:val="36"/>
          <w:rtl/>
        </w:rPr>
        <w:t xml:space="preserve">ة </w:t>
      </w:r>
      <w:r w:rsidRPr="00FD211F">
        <w:rPr>
          <w:sz w:val="36"/>
          <w:szCs w:val="36"/>
          <w:rtl/>
        </w:rPr>
        <w:t>في القضي</w:t>
      </w:r>
      <w:r w:rsidR="00EC7EDF" w:rsidRPr="00FD211F">
        <w:rPr>
          <w:sz w:val="36"/>
          <w:szCs w:val="36"/>
          <w:rtl/>
        </w:rPr>
        <w:t xml:space="preserve">ة </w:t>
      </w:r>
      <w:r w:rsidRPr="00FD211F">
        <w:rPr>
          <w:sz w:val="36"/>
          <w:szCs w:val="36"/>
          <w:rtl/>
        </w:rPr>
        <w:t>الحملي</w:t>
      </w:r>
      <w:r w:rsidR="00EC7EDF" w:rsidRPr="00FD211F">
        <w:rPr>
          <w:sz w:val="36"/>
          <w:szCs w:val="36"/>
          <w:rtl/>
        </w:rPr>
        <w:t xml:space="preserve">ة </w:t>
      </w:r>
      <w:r w:rsidRPr="00FD211F">
        <w:rPr>
          <w:sz w:val="36"/>
          <w:szCs w:val="36"/>
          <w:rtl/>
        </w:rPr>
        <w:t>مجرد ايجاد الموضوع بدل الحكاي</w:t>
      </w:r>
      <w:r w:rsidR="00EC7EDF" w:rsidRPr="00FD211F">
        <w:rPr>
          <w:sz w:val="36"/>
          <w:szCs w:val="36"/>
          <w:rtl/>
        </w:rPr>
        <w:t xml:space="preserve">ة </w:t>
      </w:r>
      <w:r w:rsidRPr="00FD211F">
        <w:rPr>
          <w:sz w:val="36"/>
          <w:szCs w:val="36"/>
          <w:rtl/>
        </w:rPr>
        <w:t>عنه</w:t>
      </w:r>
      <w:r w:rsidR="00603323" w:rsidRPr="00FD211F">
        <w:rPr>
          <w:sz w:val="36"/>
          <w:szCs w:val="36"/>
          <w:rtl/>
        </w:rPr>
        <w:t xml:space="preserve">، </w:t>
      </w:r>
      <w:r w:rsidRPr="00FD211F">
        <w:rPr>
          <w:sz w:val="36"/>
          <w:szCs w:val="36"/>
          <w:rtl/>
        </w:rPr>
        <w:t>ألاترى انه لو ضرب بيده على ا</w:t>
      </w:r>
      <w:r w:rsidR="008C2376" w:rsidRPr="00FD211F">
        <w:rPr>
          <w:sz w:val="36"/>
          <w:szCs w:val="36"/>
          <w:rtl/>
        </w:rPr>
        <w:t>لجدار ثم قال: "ضربٌ" كان غلطا</w:t>
      </w:r>
      <w:r w:rsidR="009C58C8" w:rsidRPr="00FD211F">
        <w:rPr>
          <w:rStyle w:val="a6"/>
          <w:sz w:val="36"/>
          <w:szCs w:val="36"/>
          <w:rtl/>
        </w:rPr>
        <w:t>(</w:t>
      </w:r>
      <w:r w:rsidR="009C58C8" w:rsidRPr="00FD211F">
        <w:rPr>
          <w:rStyle w:val="a6"/>
          <w:sz w:val="36"/>
          <w:szCs w:val="36"/>
          <w:rtl/>
        </w:rPr>
        <w:footnoteReference w:id="296"/>
      </w:r>
      <w:r w:rsidR="009C58C8" w:rsidRPr="00FD211F">
        <w:rPr>
          <w:rStyle w:val="a6"/>
          <w:sz w:val="36"/>
          <w:szCs w:val="36"/>
          <w:rtl/>
        </w:rPr>
        <w:t>)</w:t>
      </w:r>
      <w:r w:rsidR="008C2376" w:rsidRPr="00FD211F">
        <w:rPr>
          <w:sz w:val="36"/>
          <w:szCs w:val="36"/>
          <w:rtl/>
        </w:rPr>
        <w:t>.</w:t>
      </w:r>
    </w:p>
    <w:p w14:paraId="0513C7AB" w14:textId="77777777" w:rsidR="000C5BBA" w:rsidRPr="00FD211F" w:rsidRDefault="008C2376" w:rsidP="009C58C8">
      <w:pPr>
        <w:ind w:left="0" w:firstLine="227"/>
        <w:jc w:val="both"/>
        <w:rPr>
          <w:sz w:val="36"/>
          <w:szCs w:val="36"/>
          <w:rtl/>
        </w:rPr>
      </w:pPr>
      <w:r w:rsidRPr="00FD211F">
        <w:rPr>
          <w:sz w:val="36"/>
          <w:szCs w:val="36"/>
          <w:rtl/>
        </w:rPr>
        <w:t>ف</w:t>
      </w:r>
      <w:r w:rsidR="00DF1803" w:rsidRPr="00FD211F">
        <w:rPr>
          <w:sz w:val="36"/>
          <w:szCs w:val="36"/>
          <w:rtl/>
        </w:rPr>
        <w:t>فيه: ان نكت</w:t>
      </w:r>
      <w:r w:rsidR="00EC7EDF" w:rsidRPr="00FD211F">
        <w:rPr>
          <w:sz w:val="36"/>
          <w:szCs w:val="36"/>
          <w:rtl/>
        </w:rPr>
        <w:t xml:space="preserve">ة </w:t>
      </w:r>
      <w:r w:rsidR="00DF1803" w:rsidRPr="00FD211F">
        <w:rPr>
          <w:sz w:val="36"/>
          <w:szCs w:val="36"/>
          <w:rtl/>
        </w:rPr>
        <w:t>عدم صح</w:t>
      </w:r>
      <w:r w:rsidR="00EC7EDF" w:rsidRPr="00FD211F">
        <w:rPr>
          <w:sz w:val="36"/>
          <w:szCs w:val="36"/>
          <w:rtl/>
        </w:rPr>
        <w:t xml:space="preserve">ة </w:t>
      </w:r>
      <w:r w:rsidR="00DF1803" w:rsidRPr="00FD211F">
        <w:rPr>
          <w:sz w:val="36"/>
          <w:szCs w:val="36"/>
          <w:rtl/>
        </w:rPr>
        <w:t>الاكتفاء بإيجاد الموضوع بدل حكايته في مثال الضرب على الجدار ثم التعبير بقوله "ضربٌ" هو عدم وضع النسب</w:t>
      </w:r>
      <w:r w:rsidR="00EC7EDF" w:rsidRPr="00FD211F">
        <w:rPr>
          <w:sz w:val="36"/>
          <w:szCs w:val="36"/>
          <w:rtl/>
        </w:rPr>
        <w:t xml:space="preserve">ة </w:t>
      </w:r>
      <w:r w:rsidR="00DF1803" w:rsidRPr="00FD211F">
        <w:rPr>
          <w:sz w:val="36"/>
          <w:szCs w:val="36"/>
          <w:rtl/>
        </w:rPr>
        <w:t>الحملي</w:t>
      </w:r>
      <w:r w:rsidR="00EC7EDF" w:rsidRPr="00FD211F">
        <w:rPr>
          <w:sz w:val="36"/>
          <w:szCs w:val="36"/>
          <w:rtl/>
        </w:rPr>
        <w:t xml:space="preserve">ة </w:t>
      </w:r>
      <w:r w:rsidR="00DF1803" w:rsidRPr="00FD211F">
        <w:rPr>
          <w:sz w:val="36"/>
          <w:szCs w:val="36"/>
          <w:rtl/>
        </w:rPr>
        <w:t>فيه</w:t>
      </w:r>
      <w:r w:rsidR="00603323" w:rsidRPr="00FD211F">
        <w:rPr>
          <w:sz w:val="36"/>
          <w:szCs w:val="36"/>
          <w:rtl/>
        </w:rPr>
        <w:t xml:space="preserve">، </w:t>
      </w:r>
      <w:r w:rsidR="00DF1803" w:rsidRPr="00FD211F">
        <w:rPr>
          <w:sz w:val="36"/>
          <w:szCs w:val="36"/>
          <w:rtl/>
        </w:rPr>
        <w:t>حيث تتقوم بالوجود اللفظي للموضوع</w:t>
      </w:r>
      <w:r w:rsidR="00603323" w:rsidRPr="00FD211F">
        <w:rPr>
          <w:sz w:val="36"/>
          <w:szCs w:val="36"/>
          <w:rtl/>
        </w:rPr>
        <w:t xml:space="preserve">، </w:t>
      </w:r>
      <w:r w:rsidR="00DF1803" w:rsidRPr="00FD211F">
        <w:rPr>
          <w:sz w:val="36"/>
          <w:szCs w:val="36"/>
          <w:rtl/>
        </w:rPr>
        <w:t>وهذا الاشكال لايأتي في مثل قولنا "زيد لفظ"</w:t>
      </w:r>
      <w:r w:rsidR="00603323" w:rsidRPr="00FD211F">
        <w:rPr>
          <w:sz w:val="36"/>
          <w:szCs w:val="36"/>
          <w:rtl/>
        </w:rPr>
        <w:t xml:space="preserve">، </w:t>
      </w:r>
      <w:r w:rsidR="00DF1803" w:rsidRPr="00FD211F">
        <w:rPr>
          <w:sz w:val="36"/>
          <w:szCs w:val="36"/>
          <w:rtl/>
        </w:rPr>
        <w:t xml:space="preserve">حيث </w:t>
      </w:r>
      <w:r w:rsidRPr="00FD211F">
        <w:rPr>
          <w:sz w:val="36"/>
          <w:szCs w:val="36"/>
          <w:rtl/>
        </w:rPr>
        <w:t>وجد طرف النسب</w:t>
      </w:r>
      <w:r w:rsidR="00EC7EDF" w:rsidRPr="00FD211F">
        <w:rPr>
          <w:sz w:val="36"/>
          <w:szCs w:val="36"/>
          <w:rtl/>
        </w:rPr>
        <w:t xml:space="preserve">ة </w:t>
      </w:r>
      <w:r w:rsidRPr="00FD211F">
        <w:rPr>
          <w:sz w:val="36"/>
          <w:szCs w:val="36"/>
          <w:rtl/>
        </w:rPr>
        <w:t>الحملي</w:t>
      </w:r>
      <w:r w:rsidR="00EC7EDF" w:rsidRPr="00FD211F">
        <w:rPr>
          <w:sz w:val="36"/>
          <w:szCs w:val="36"/>
          <w:rtl/>
        </w:rPr>
        <w:t xml:space="preserve">ة </w:t>
      </w:r>
      <w:r w:rsidRPr="00FD211F">
        <w:rPr>
          <w:sz w:val="36"/>
          <w:szCs w:val="36"/>
          <w:rtl/>
        </w:rPr>
        <w:t>في اللفظ.</w:t>
      </w:r>
    </w:p>
    <w:p w14:paraId="62DF924F" w14:textId="77777777" w:rsidR="008C2376" w:rsidRPr="00FD211F" w:rsidRDefault="00DF1803" w:rsidP="009C58C8">
      <w:pPr>
        <w:ind w:left="0" w:firstLine="227"/>
        <w:jc w:val="both"/>
        <w:rPr>
          <w:sz w:val="36"/>
          <w:szCs w:val="36"/>
          <w:rtl/>
        </w:rPr>
      </w:pPr>
      <w:r w:rsidRPr="00FD211F">
        <w:rPr>
          <w:sz w:val="36"/>
          <w:szCs w:val="36"/>
          <w:rtl/>
        </w:rPr>
        <w:t>وأما ما</w:t>
      </w:r>
      <w:r w:rsidR="005D6FA8" w:rsidRPr="00FD211F">
        <w:rPr>
          <w:sz w:val="36"/>
          <w:szCs w:val="36"/>
          <w:rtl/>
        </w:rPr>
        <w:t xml:space="preserve">حكي </w:t>
      </w:r>
      <w:r w:rsidRPr="00FD211F">
        <w:rPr>
          <w:sz w:val="36"/>
          <w:szCs w:val="36"/>
          <w:rtl/>
        </w:rPr>
        <w:t xml:space="preserve">عن المحقق العراقي </w:t>
      </w:r>
      <w:r w:rsidR="008C2376" w:rsidRPr="00FD211F">
        <w:rPr>
          <w:sz w:val="36"/>
          <w:szCs w:val="36"/>
          <w:rtl/>
        </w:rPr>
        <w:t>"</w:t>
      </w:r>
      <w:r w:rsidRPr="00FD211F">
        <w:rPr>
          <w:sz w:val="36"/>
          <w:szCs w:val="36"/>
          <w:rtl/>
        </w:rPr>
        <w:t>قده</w:t>
      </w:r>
      <w:r w:rsidR="008C2376" w:rsidRPr="00FD211F">
        <w:rPr>
          <w:sz w:val="36"/>
          <w:szCs w:val="36"/>
          <w:rtl/>
        </w:rPr>
        <w:t>"</w:t>
      </w:r>
      <w:r w:rsidRPr="00FD211F">
        <w:rPr>
          <w:sz w:val="36"/>
          <w:szCs w:val="36"/>
          <w:rtl/>
        </w:rPr>
        <w:t xml:space="preserve"> من ان الفرق بينهما عدم حصول الاعتياد للإنسان من ان ينتقل من الفعل الى المعنى</w:t>
      </w:r>
      <w:r w:rsidR="00603323" w:rsidRPr="00FD211F">
        <w:rPr>
          <w:sz w:val="36"/>
          <w:szCs w:val="36"/>
          <w:rtl/>
        </w:rPr>
        <w:t xml:space="preserve">، </w:t>
      </w:r>
      <w:r w:rsidRPr="00FD211F">
        <w:rPr>
          <w:sz w:val="36"/>
          <w:szCs w:val="36"/>
          <w:rtl/>
        </w:rPr>
        <w:t>وانما ينتقل من اللفظ اليه</w:t>
      </w:r>
      <w:r w:rsidR="009C58C8" w:rsidRPr="00FD211F">
        <w:rPr>
          <w:rStyle w:val="a6"/>
          <w:sz w:val="36"/>
          <w:szCs w:val="36"/>
          <w:rtl/>
        </w:rPr>
        <w:t>(</w:t>
      </w:r>
      <w:r w:rsidR="009C58C8" w:rsidRPr="00FD211F">
        <w:rPr>
          <w:rStyle w:val="a6"/>
          <w:sz w:val="36"/>
          <w:szCs w:val="36"/>
          <w:rtl/>
        </w:rPr>
        <w:footnoteReference w:id="297"/>
      </w:r>
      <w:r w:rsidR="009C58C8" w:rsidRPr="00FD211F">
        <w:rPr>
          <w:rStyle w:val="a6"/>
          <w:sz w:val="36"/>
          <w:szCs w:val="36"/>
          <w:rtl/>
        </w:rPr>
        <w:t>)</w:t>
      </w:r>
      <w:r w:rsidR="008C2376" w:rsidRPr="00FD211F">
        <w:rPr>
          <w:sz w:val="36"/>
          <w:szCs w:val="36"/>
          <w:rtl/>
        </w:rPr>
        <w:t>.</w:t>
      </w:r>
    </w:p>
    <w:p w14:paraId="35FCBA77" w14:textId="77777777" w:rsidR="00DF1803" w:rsidRPr="00FD211F" w:rsidRDefault="00DF1803" w:rsidP="009C58C8">
      <w:pPr>
        <w:ind w:left="0" w:firstLine="227"/>
        <w:jc w:val="both"/>
        <w:rPr>
          <w:sz w:val="36"/>
          <w:szCs w:val="36"/>
          <w:rtl/>
        </w:rPr>
      </w:pPr>
      <w:r w:rsidRPr="00FD211F">
        <w:rPr>
          <w:sz w:val="36"/>
          <w:szCs w:val="36"/>
          <w:rtl/>
        </w:rPr>
        <w:t>ففيه ان المهم هو الاحساس بنفس الشيئ</w:t>
      </w:r>
      <w:r w:rsidR="00603323" w:rsidRPr="00FD211F">
        <w:rPr>
          <w:sz w:val="36"/>
          <w:szCs w:val="36"/>
          <w:rtl/>
        </w:rPr>
        <w:t xml:space="preserve">، </w:t>
      </w:r>
      <w:r w:rsidRPr="00FD211F">
        <w:rPr>
          <w:sz w:val="36"/>
          <w:szCs w:val="36"/>
          <w:rtl/>
        </w:rPr>
        <w:t>ولافرق في ذلك بين الفعل واللفظ</w:t>
      </w:r>
      <w:r w:rsidR="00603323" w:rsidRPr="00FD211F">
        <w:rPr>
          <w:sz w:val="36"/>
          <w:szCs w:val="36"/>
          <w:rtl/>
        </w:rPr>
        <w:t xml:space="preserve">، </w:t>
      </w:r>
      <w:r w:rsidRPr="00FD211F">
        <w:rPr>
          <w:sz w:val="36"/>
          <w:szCs w:val="36"/>
          <w:rtl/>
        </w:rPr>
        <w:t>فالعمد</w:t>
      </w:r>
      <w:r w:rsidR="00EC7EDF" w:rsidRPr="00FD211F">
        <w:rPr>
          <w:sz w:val="36"/>
          <w:szCs w:val="36"/>
          <w:rtl/>
        </w:rPr>
        <w:t xml:space="preserve">ة </w:t>
      </w:r>
      <w:r w:rsidRPr="00FD211F">
        <w:rPr>
          <w:sz w:val="36"/>
          <w:szCs w:val="36"/>
          <w:rtl/>
        </w:rPr>
        <w:t>في الفرق هو ما ذكر من تقوم النسب</w:t>
      </w:r>
      <w:r w:rsidR="00EC7EDF" w:rsidRPr="00FD211F">
        <w:rPr>
          <w:sz w:val="36"/>
          <w:szCs w:val="36"/>
          <w:rtl/>
        </w:rPr>
        <w:t xml:space="preserve">ة </w:t>
      </w:r>
      <w:r w:rsidRPr="00FD211F">
        <w:rPr>
          <w:sz w:val="36"/>
          <w:szCs w:val="36"/>
          <w:rtl/>
        </w:rPr>
        <w:t>الحملي</w:t>
      </w:r>
      <w:r w:rsidR="00EC7EDF" w:rsidRPr="00FD211F">
        <w:rPr>
          <w:sz w:val="36"/>
          <w:szCs w:val="36"/>
          <w:rtl/>
        </w:rPr>
        <w:t xml:space="preserve">ة </w:t>
      </w:r>
      <w:r w:rsidRPr="00FD211F">
        <w:rPr>
          <w:sz w:val="36"/>
          <w:szCs w:val="36"/>
          <w:rtl/>
        </w:rPr>
        <w:t>في وضع الهيئ</w:t>
      </w:r>
      <w:r w:rsidR="00EC7EDF" w:rsidRPr="00FD211F">
        <w:rPr>
          <w:sz w:val="36"/>
          <w:szCs w:val="36"/>
          <w:rtl/>
        </w:rPr>
        <w:t xml:space="preserve">ة </w:t>
      </w:r>
      <w:r w:rsidRPr="00FD211F">
        <w:rPr>
          <w:sz w:val="36"/>
          <w:szCs w:val="36"/>
          <w:rtl/>
        </w:rPr>
        <w:t>للكلام بالوجود اللفظي لكلا طرفيها</w:t>
      </w:r>
      <w:r w:rsidR="00603323" w:rsidRPr="00FD211F">
        <w:rPr>
          <w:sz w:val="36"/>
          <w:szCs w:val="36"/>
          <w:rtl/>
        </w:rPr>
        <w:t xml:space="preserve">، </w:t>
      </w:r>
      <w:r w:rsidRPr="00FD211F">
        <w:rPr>
          <w:sz w:val="36"/>
          <w:szCs w:val="36"/>
          <w:rtl/>
        </w:rPr>
        <w:t>وهذا موجود في قولنا زيد لفظ دون النقض الذي ذكره المحقق الاصفهاني</w:t>
      </w:r>
      <w:r w:rsidR="008D7B3D" w:rsidRPr="00FD211F">
        <w:rPr>
          <w:sz w:val="36"/>
          <w:szCs w:val="36"/>
          <w:rtl/>
        </w:rPr>
        <w:t xml:space="preserve"> "قده".</w:t>
      </w:r>
    </w:p>
    <w:p w14:paraId="3B8A31EF" w14:textId="77777777" w:rsidR="00DF1803" w:rsidRPr="00FD211F" w:rsidRDefault="00DF1803" w:rsidP="009C58C8">
      <w:pPr>
        <w:pStyle w:val="3"/>
        <w:ind w:firstLine="227"/>
        <w:jc w:val="both"/>
        <w:rPr>
          <w:rtl/>
        </w:rPr>
      </w:pPr>
      <w:bookmarkStart w:id="313" w:name="_Toc151944607"/>
      <w:bookmarkStart w:id="314" w:name="_Toc154131734"/>
      <w:bookmarkStart w:id="315" w:name="_Toc156401522"/>
      <w:bookmarkStart w:id="316" w:name="_Toc192092905"/>
      <w:bookmarkStart w:id="317" w:name="_Toc223890384"/>
      <w:r w:rsidRPr="00FD211F">
        <w:rPr>
          <w:rtl/>
        </w:rPr>
        <w:t>استعمال اللفظ واراد</w:t>
      </w:r>
      <w:r w:rsidR="00EC7EDF" w:rsidRPr="00FD211F">
        <w:rPr>
          <w:rtl/>
        </w:rPr>
        <w:t xml:space="preserve">ة </w:t>
      </w:r>
      <w:r w:rsidRPr="00FD211F">
        <w:rPr>
          <w:rtl/>
        </w:rPr>
        <w:t>نوعه او صنفه او مثله</w:t>
      </w:r>
      <w:bookmarkEnd w:id="313"/>
      <w:bookmarkEnd w:id="314"/>
      <w:bookmarkEnd w:id="315"/>
      <w:bookmarkEnd w:id="316"/>
      <w:bookmarkEnd w:id="317"/>
    </w:p>
    <w:p w14:paraId="3FAA7B56" w14:textId="77777777" w:rsidR="00DF1803" w:rsidRPr="00FD211F" w:rsidRDefault="00DF1803" w:rsidP="00D0180F">
      <w:pPr>
        <w:ind w:left="0" w:firstLine="227"/>
        <w:jc w:val="both"/>
        <w:rPr>
          <w:sz w:val="36"/>
          <w:szCs w:val="36"/>
          <w:rtl/>
        </w:rPr>
      </w:pPr>
      <w:r w:rsidRPr="00FD211F">
        <w:rPr>
          <w:b/>
          <w:bCs/>
          <w:sz w:val="36"/>
          <w:szCs w:val="36"/>
          <w:rtl/>
        </w:rPr>
        <w:t>الرابع</w:t>
      </w:r>
      <w:r w:rsidRPr="00FD211F">
        <w:rPr>
          <w:sz w:val="36"/>
          <w:szCs w:val="36"/>
          <w:rtl/>
        </w:rPr>
        <w:t xml:space="preserve">: قد يستعمل اللفظ ويراد به </w:t>
      </w:r>
      <w:commentRangeStart w:id="318"/>
      <w:r w:rsidRPr="00FD211F">
        <w:rPr>
          <w:sz w:val="36"/>
          <w:szCs w:val="36"/>
          <w:rtl/>
        </w:rPr>
        <w:t>نوعه</w:t>
      </w:r>
      <w:commentRangeEnd w:id="318"/>
      <w:r w:rsidR="00D0180F" w:rsidRPr="00FD211F">
        <w:rPr>
          <w:rStyle w:val="ab"/>
          <w:sz w:val="36"/>
          <w:szCs w:val="36"/>
          <w:rtl/>
        </w:rPr>
        <w:commentReference w:id="318"/>
      </w:r>
      <w:r w:rsidRPr="00FD211F">
        <w:rPr>
          <w:sz w:val="36"/>
          <w:szCs w:val="36"/>
          <w:rtl/>
        </w:rPr>
        <w:t xml:space="preserve"> كما يقال "ض</w:t>
      </w:r>
      <w:r w:rsidR="000F5574" w:rsidRPr="00FD211F">
        <w:rPr>
          <w:sz w:val="36"/>
          <w:szCs w:val="36"/>
          <w:rtl/>
        </w:rPr>
        <w:t>َ</w:t>
      </w:r>
      <w:r w:rsidRPr="00FD211F">
        <w:rPr>
          <w:sz w:val="36"/>
          <w:szCs w:val="36"/>
          <w:rtl/>
        </w:rPr>
        <w:t>ر</w:t>
      </w:r>
      <w:r w:rsidR="000F5574" w:rsidRPr="00FD211F">
        <w:rPr>
          <w:sz w:val="36"/>
          <w:szCs w:val="36"/>
          <w:rtl/>
        </w:rPr>
        <w:t>َ</w:t>
      </w:r>
      <w:r w:rsidRPr="00FD211F">
        <w:rPr>
          <w:sz w:val="36"/>
          <w:szCs w:val="36"/>
          <w:rtl/>
        </w:rPr>
        <w:t>ب</w:t>
      </w:r>
      <w:r w:rsidR="000F5574" w:rsidRPr="00FD211F">
        <w:rPr>
          <w:sz w:val="36"/>
          <w:szCs w:val="36"/>
          <w:rtl/>
        </w:rPr>
        <w:t>َ</w:t>
      </w:r>
      <w:r w:rsidRPr="00FD211F">
        <w:rPr>
          <w:sz w:val="36"/>
          <w:szCs w:val="36"/>
          <w:rtl/>
        </w:rPr>
        <w:t xml:space="preserve"> كلم</w:t>
      </w:r>
      <w:r w:rsidR="00EC7EDF" w:rsidRPr="00FD211F">
        <w:rPr>
          <w:sz w:val="36"/>
          <w:szCs w:val="36"/>
          <w:rtl/>
        </w:rPr>
        <w:t>ة</w:t>
      </w:r>
      <w:r w:rsidR="000F5574" w:rsidRPr="00FD211F">
        <w:rPr>
          <w:sz w:val="36"/>
          <w:szCs w:val="36"/>
          <w:rtl/>
        </w:rPr>
        <w:t>ٌ</w:t>
      </w:r>
      <w:r w:rsidRPr="00FD211F">
        <w:rPr>
          <w:sz w:val="36"/>
          <w:szCs w:val="36"/>
          <w:rtl/>
        </w:rPr>
        <w:t>"</w:t>
      </w:r>
      <w:r w:rsidR="00603323" w:rsidRPr="00FD211F">
        <w:rPr>
          <w:sz w:val="36"/>
          <w:szCs w:val="36"/>
          <w:rtl/>
        </w:rPr>
        <w:t xml:space="preserve">، </w:t>
      </w:r>
      <w:r w:rsidRPr="00FD211F">
        <w:rPr>
          <w:sz w:val="36"/>
          <w:szCs w:val="36"/>
          <w:rtl/>
        </w:rPr>
        <w:t>او يراد به صنفه كما يقال "زيد مبتدأ" وقد يستعمل ويراد به مثله كما يقال "ض</w:t>
      </w:r>
      <w:r w:rsidR="000F5574" w:rsidRPr="00FD211F">
        <w:rPr>
          <w:sz w:val="36"/>
          <w:szCs w:val="36"/>
          <w:rtl/>
        </w:rPr>
        <w:t>َ</w:t>
      </w:r>
      <w:r w:rsidRPr="00FD211F">
        <w:rPr>
          <w:sz w:val="36"/>
          <w:szCs w:val="36"/>
          <w:rtl/>
        </w:rPr>
        <w:t>ر</w:t>
      </w:r>
      <w:r w:rsidR="000F5574" w:rsidRPr="00FD211F">
        <w:rPr>
          <w:sz w:val="36"/>
          <w:szCs w:val="36"/>
          <w:rtl/>
        </w:rPr>
        <w:t>َ</w:t>
      </w:r>
      <w:r w:rsidRPr="00FD211F">
        <w:rPr>
          <w:sz w:val="36"/>
          <w:szCs w:val="36"/>
          <w:rtl/>
        </w:rPr>
        <w:t>ب</w:t>
      </w:r>
      <w:r w:rsidR="000F5574" w:rsidRPr="00FD211F">
        <w:rPr>
          <w:sz w:val="36"/>
          <w:szCs w:val="36"/>
          <w:rtl/>
        </w:rPr>
        <w:t>َ</w:t>
      </w:r>
      <w:r w:rsidRPr="00FD211F">
        <w:rPr>
          <w:sz w:val="36"/>
          <w:szCs w:val="36"/>
          <w:rtl/>
        </w:rPr>
        <w:t xml:space="preserve"> فعل ماض" حيث ان لفظ ضرب في هذا المثال ليس فعلا ماضيا وانما هو كلم</w:t>
      </w:r>
      <w:r w:rsidR="00EC7EDF" w:rsidRPr="00FD211F">
        <w:rPr>
          <w:sz w:val="36"/>
          <w:szCs w:val="36"/>
          <w:rtl/>
        </w:rPr>
        <w:t xml:space="preserve">ة </w:t>
      </w:r>
      <w:r w:rsidRPr="00FD211F">
        <w:rPr>
          <w:sz w:val="36"/>
          <w:szCs w:val="36"/>
          <w:rtl/>
        </w:rPr>
        <w:t>واسم</w:t>
      </w:r>
      <w:r w:rsidR="00603323" w:rsidRPr="00FD211F">
        <w:rPr>
          <w:sz w:val="36"/>
          <w:szCs w:val="36"/>
          <w:rtl/>
        </w:rPr>
        <w:t xml:space="preserve">، </w:t>
      </w:r>
      <w:r w:rsidRPr="00FD211F">
        <w:rPr>
          <w:sz w:val="36"/>
          <w:szCs w:val="36"/>
          <w:rtl/>
        </w:rPr>
        <w:t>نعم هو مماثل ومشابه لما هو فعل ماض</w:t>
      </w:r>
      <w:r w:rsidR="00603323" w:rsidRPr="00FD211F">
        <w:rPr>
          <w:sz w:val="36"/>
          <w:szCs w:val="36"/>
          <w:rtl/>
        </w:rPr>
        <w:t xml:space="preserve">، </w:t>
      </w:r>
      <w:r w:rsidRPr="00FD211F">
        <w:rPr>
          <w:sz w:val="36"/>
          <w:szCs w:val="36"/>
          <w:rtl/>
        </w:rPr>
        <w:t>والظاهر ان اللفظ قد استعمل في هذه الموارد للحكاي</w:t>
      </w:r>
      <w:r w:rsidR="00EC7EDF" w:rsidRPr="00FD211F">
        <w:rPr>
          <w:sz w:val="36"/>
          <w:szCs w:val="36"/>
          <w:rtl/>
        </w:rPr>
        <w:t xml:space="preserve">ة </w:t>
      </w:r>
      <w:r w:rsidRPr="00FD211F">
        <w:rPr>
          <w:sz w:val="36"/>
          <w:szCs w:val="36"/>
          <w:rtl/>
        </w:rPr>
        <w:t>عن المعنى الذي قد يكون نوعا او صنفا لهذا اللفظ كما في المثالين الأولين وقد يكون مثلا له كما في المثال الثالث</w:t>
      </w:r>
      <w:r w:rsidR="00603323" w:rsidRPr="00FD211F">
        <w:rPr>
          <w:sz w:val="36"/>
          <w:szCs w:val="36"/>
          <w:rtl/>
        </w:rPr>
        <w:t xml:space="preserve">، </w:t>
      </w:r>
      <w:r w:rsidRPr="00FD211F">
        <w:rPr>
          <w:sz w:val="36"/>
          <w:szCs w:val="36"/>
          <w:rtl/>
        </w:rPr>
        <w:t>وهذا هو المحكي عن المشهور.</w:t>
      </w:r>
    </w:p>
    <w:p w14:paraId="0A4A6019" w14:textId="77777777" w:rsidR="00DF1803" w:rsidRPr="00FD211F" w:rsidRDefault="00DF1803" w:rsidP="005946E3">
      <w:pPr>
        <w:ind w:left="0" w:firstLine="227"/>
        <w:jc w:val="both"/>
        <w:rPr>
          <w:sz w:val="36"/>
          <w:szCs w:val="36"/>
          <w:rtl/>
        </w:rPr>
      </w:pPr>
      <w:r w:rsidRPr="00FD211F">
        <w:rPr>
          <w:sz w:val="36"/>
          <w:szCs w:val="36"/>
          <w:rtl/>
        </w:rPr>
        <w:t>ولكن ذكر السيد الخوئي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انه ليس ذلك من باب الحكاي</w:t>
      </w:r>
      <w:r w:rsidR="00EC7EDF" w:rsidRPr="00FD211F">
        <w:rPr>
          <w:sz w:val="36"/>
          <w:szCs w:val="36"/>
          <w:rtl/>
        </w:rPr>
        <w:t xml:space="preserve">ة </w:t>
      </w:r>
      <w:r w:rsidRPr="00FD211F">
        <w:rPr>
          <w:sz w:val="36"/>
          <w:szCs w:val="36"/>
          <w:rtl/>
        </w:rPr>
        <w:t>عن المعنى بل من ايجاده بنفسه</w:t>
      </w:r>
      <w:r w:rsidR="00603323" w:rsidRPr="00FD211F">
        <w:rPr>
          <w:sz w:val="36"/>
          <w:szCs w:val="36"/>
          <w:rtl/>
        </w:rPr>
        <w:t xml:space="preserve">، </w:t>
      </w:r>
      <w:r w:rsidRPr="00FD211F">
        <w:rPr>
          <w:sz w:val="36"/>
          <w:szCs w:val="36"/>
          <w:rtl/>
        </w:rPr>
        <w:t>فقولك "ضرب فعل ماض" يكون من ايجاد الكلي والنوع بوجود فرده وكذا قولك "زيد في ضرب زيد فاعل" يكون من ايجاد لفظ زيد مع تضييقه في كونه فاعلا بواسط</w:t>
      </w:r>
      <w:r w:rsidR="00EC7EDF" w:rsidRPr="00FD211F">
        <w:rPr>
          <w:sz w:val="36"/>
          <w:szCs w:val="36"/>
          <w:rtl/>
        </w:rPr>
        <w:t xml:space="preserve">ة </w:t>
      </w:r>
      <w:r w:rsidRPr="00FD211F">
        <w:rPr>
          <w:sz w:val="36"/>
          <w:szCs w:val="36"/>
          <w:rtl/>
        </w:rPr>
        <w:t>استخدام حرف "في"</w:t>
      </w:r>
      <w:r w:rsidR="00603323" w:rsidRPr="00FD211F">
        <w:rPr>
          <w:sz w:val="36"/>
          <w:szCs w:val="36"/>
          <w:rtl/>
        </w:rPr>
        <w:t xml:space="preserve">، </w:t>
      </w:r>
      <w:r w:rsidRPr="00FD211F">
        <w:rPr>
          <w:sz w:val="36"/>
          <w:szCs w:val="36"/>
          <w:rtl/>
        </w:rPr>
        <w:t>فكلم</w:t>
      </w:r>
      <w:r w:rsidR="00EC7EDF" w:rsidRPr="00FD211F">
        <w:rPr>
          <w:sz w:val="36"/>
          <w:szCs w:val="36"/>
          <w:rtl/>
        </w:rPr>
        <w:t xml:space="preserve">ة </w:t>
      </w:r>
      <w:r w:rsidRPr="00FD211F">
        <w:rPr>
          <w:sz w:val="36"/>
          <w:szCs w:val="36"/>
          <w:rtl/>
        </w:rPr>
        <w:t>"في" تدل على تخصيص طبيعي لفظ زيد بخصوصي</w:t>
      </w:r>
      <w:r w:rsidR="00EC7EDF" w:rsidRPr="00FD211F">
        <w:rPr>
          <w:sz w:val="36"/>
          <w:szCs w:val="36"/>
          <w:rtl/>
        </w:rPr>
        <w:t xml:space="preserve">ة </w:t>
      </w:r>
      <w:r w:rsidRPr="00FD211F">
        <w:rPr>
          <w:sz w:val="36"/>
          <w:szCs w:val="36"/>
          <w:rtl/>
        </w:rPr>
        <w:t>مّا من الصنف او المثل</w:t>
      </w:r>
      <w:r w:rsidR="009C58C8" w:rsidRPr="00FD211F">
        <w:rPr>
          <w:rStyle w:val="a6"/>
          <w:sz w:val="36"/>
          <w:szCs w:val="36"/>
          <w:rtl/>
        </w:rPr>
        <w:t>(</w:t>
      </w:r>
      <w:r w:rsidR="009C58C8" w:rsidRPr="00FD211F">
        <w:rPr>
          <w:rStyle w:val="a6"/>
          <w:sz w:val="36"/>
          <w:szCs w:val="36"/>
          <w:rtl/>
        </w:rPr>
        <w:footnoteReference w:id="298"/>
      </w:r>
      <w:r w:rsidR="009C58C8" w:rsidRPr="00FD211F">
        <w:rPr>
          <w:rStyle w:val="a6"/>
          <w:sz w:val="36"/>
          <w:szCs w:val="36"/>
          <w:rtl/>
        </w:rPr>
        <w:t>)</w:t>
      </w:r>
      <w:r w:rsidRPr="00FD211F">
        <w:rPr>
          <w:sz w:val="36"/>
          <w:szCs w:val="36"/>
          <w:rtl/>
        </w:rPr>
        <w:t>.</w:t>
      </w:r>
    </w:p>
    <w:p w14:paraId="625547FE" w14:textId="77777777" w:rsidR="00DF1803" w:rsidRPr="00FD211F" w:rsidRDefault="00DF1803" w:rsidP="009C58C8">
      <w:pPr>
        <w:ind w:left="0" w:firstLine="227"/>
        <w:jc w:val="both"/>
        <w:rPr>
          <w:sz w:val="36"/>
          <w:szCs w:val="36"/>
          <w:rtl/>
        </w:rPr>
      </w:pPr>
      <w:r w:rsidRPr="00FD211F">
        <w:rPr>
          <w:sz w:val="36"/>
          <w:szCs w:val="36"/>
          <w:rtl/>
        </w:rPr>
        <w:t>وفيه ما لايخفي</w:t>
      </w:r>
      <w:r w:rsidR="00603323" w:rsidRPr="00FD211F">
        <w:rPr>
          <w:sz w:val="36"/>
          <w:szCs w:val="36"/>
          <w:rtl/>
        </w:rPr>
        <w:t xml:space="preserve">، </w:t>
      </w:r>
      <w:r w:rsidRPr="00FD211F">
        <w:rPr>
          <w:sz w:val="36"/>
          <w:szCs w:val="36"/>
          <w:rtl/>
        </w:rPr>
        <w:t>أما بالنسب</w:t>
      </w:r>
      <w:r w:rsidR="00EC7EDF" w:rsidRPr="00FD211F">
        <w:rPr>
          <w:sz w:val="36"/>
          <w:szCs w:val="36"/>
          <w:rtl/>
        </w:rPr>
        <w:t xml:space="preserve">ة </w:t>
      </w:r>
      <w:r w:rsidRPr="00FD211F">
        <w:rPr>
          <w:sz w:val="36"/>
          <w:szCs w:val="36"/>
          <w:rtl/>
        </w:rPr>
        <w:t>الى استعمال اللفظ واراد</w:t>
      </w:r>
      <w:r w:rsidR="00EC7EDF" w:rsidRPr="00FD211F">
        <w:rPr>
          <w:sz w:val="36"/>
          <w:szCs w:val="36"/>
          <w:rtl/>
        </w:rPr>
        <w:t xml:space="preserve">ة </w:t>
      </w:r>
      <w:r w:rsidRPr="00FD211F">
        <w:rPr>
          <w:sz w:val="36"/>
          <w:szCs w:val="36"/>
          <w:rtl/>
        </w:rPr>
        <w:t>نوعه او صنفه فحيث أن إيجاد الفرد ليس ايجادا للكلي لابشرط</w:t>
      </w:r>
      <w:r w:rsidR="00603323" w:rsidRPr="00FD211F">
        <w:rPr>
          <w:sz w:val="36"/>
          <w:szCs w:val="36"/>
          <w:rtl/>
        </w:rPr>
        <w:t xml:space="preserve">، </w:t>
      </w:r>
      <w:r w:rsidRPr="00FD211F">
        <w:rPr>
          <w:sz w:val="36"/>
          <w:szCs w:val="36"/>
          <w:rtl/>
        </w:rPr>
        <w:t>حيث لايمكن للسامع ان يحسّ مباشر</w:t>
      </w:r>
      <w:r w:rsidR="00EC7EDF" w:rsidRPr="00FD211F">
        <w:rPr>
          <w:sz w:val="36"/>
          <w:szCs w:val="36"/>
          <w:rtl/>
        </w:rPr>
        <w:t xml:space="preserve">ة </w:t>
      </w:r>
      <w:r w:rsidRPr="00FD211F">
        <w:rPr>
          <w:sz w:val="36"/>
          <w:szCs w:val="36"/>
          <w:rtl/>
        </w:rPr>
        <w:t>بالكلي لابشرط فلابد ان يكون الفرد حاكيا عن نوعه او صنفه</w:t>
      </w:r>
      <w:r w:rsidR="00603323" w:rsidRPr="00FD211F">
        <w:rPr>
          <w:sz w:val="36"/>
          <w:szCs w:val="36"/>
          <w:rtl/>
        </w:rPr>
        <w:t xml:space="preserve">، </w:t>
      </w:r>
      <w:r w:rsidRPr="00FD211F">
        <w:rPr>
          <w:sz w:val="36"/>
          <w:szCs w:val="36"/>
          <w:rtl/>
        </w:rPr>
        <w:t>ولايستلزم ذلك اتحاد الدال والمدلول</w:t>
      </w:r>
      <w:r w:rsidR="00603323" w:rsidRPr="00FD211F">
        <w:rPr>
          <w:sz w:val="36"/>
          <w:szCs w:val="36"/>
          <w:rtl/>
        </w:rPr>
        <w:t xml:space="preserve">، </w:t>
      </w:r>
      <w:r w:rsidRPr="00FD211F">
        <w:rPr>
          <w:sz w:val="36"/>
          <w:szCs w:val="36"/>
          <w:rtl/>
        </w:rPr>
        <w:t>حيث ان الدال هو الفرد والمدلول هو الكلي لابشرط</w:t>
      </w:r>
      <w:r w:rsidR="00603323" w:rsidRPr="00FD211F">
        <w:rPr>
          <w:sz w:val="36"/>
          <w:szCs w:val="36"/>
          <w:rtl/>
        </w:rPr>
        <w:t xml:space="preserve">، </w:t>
      </w:r>
      <w:r w:rsidRPr="00FD211F">
        <w:rPr>
          <w:sz w:val="36"/>
          <w:szCs w:val="36"/>
          <w:rtl/>
        </w:rPr>
        <w:t>ويصير تصور الفرد فيه موجبا لانتقال الذهن الى الكلي</w:t>
      </w:r>
      <w:r w:rsidR="00603323" w:rsidRPr="00FD211F">
        <w:rPr>
          <w:sz w:val="36"/>
          <w:szCs w:val="36"/>
          <w:rtl/>
        </w:rPr>
        <w:t xml:space="preserve">، </w:t>
      </w:r>
      <w:r w:rsidRPr="00FD211F">
        <w:rPr>
          <w:sz w:val="36"/>
          <w:szCs w:val="36"/>
          <w:rtl/>
        </w:rPr>
        <w:t>وليس فيه أي محذور.</w:t>
      </w:r>
    </w:p>
    <w:p w14:paraId="7CB7BBDA" w14:textId="77777777" w:rsidR="00DF1803" w:rsidRPr="00FD211F" w:rsidRDefault="00DF1803" w:rsidP="009C58C8">
      <w:pPr>
        <w:ind w:left="0" w:firstLine="227"/>
        <w:jc w:val="both"/>
        <w:rPr>
          <w:sz w:val="36"/>
          <w:szCs w:val="36"/>
          <w:rtl/>
        </w:rPr>
      </w:pPr>
      <w:r w:rsidRPr="00FD211F">
        <w:rPr>
          <w:sz w:val="36"/>
          <w:szCs w:val="36"/>
          <w:rtl/>
        </w:rPr>
        <w:t>وأما مثال "ضرب فعل ماض" فليس إيجادا للكلي بوجود فرده</w:t>
      </w:r>
      <w:r w:rsidR="00603323" w:rsidRPr="00FD211F">
        <w:rPr>
          <w:sz w:val="36"/>
          <w:szCs w:val="36"/>
          <w:rtl/>
        </w:rPr>
        <w:t xml:space="preserve">، </w:t>
      </w:r>
      <w:r w:rsidRPr="00FD211F">
        <w:rPr>
          <w:sz w:val="36"/>
          <w:szCs w:val="36"/>
          <w:rtl/>
        </w:rPr>
        <w:t>حيث ان لفظ ضرب في هذه القضي</w:t>
      </w:r>
      <w:r w:rsidR="00EC7EDF" w:rsidRPr="00FD211F">
        <w:rPr>
          <w:sz w:val="36"/>
          <w:szCs w:val="36"/>
          <w:rtl/>
        </w:rPr>
        <w:t xml:space="preserve">ة </w:t>
      </w:r>
      <w:r w:rsidRPr="00FD211F">
        <w:rPr>
          <w:sz w:val="36"/>
          <w:szCs w:val="36"/>
          <w:rtl/>
        </w:rPr>
        <w:t>ليس فعل ماض وانما هو مشابه ومماثل لما هو فعل ماض</w:t>
      </w:r>
      <w:r w:rsidR="00603323" w:rsidRPr="00FD211F">
        <w:rPr>
          <w:sz w:val="36"/>
          <w:szCs w:val="36"/>
          <w:rtl/>
        </w:rPr>
        <w:t xml:space="preserve">، </w:t>
      </w:r>
      <w:r w:rsidRPr="00FD211F">
        <w:rPr>
          <w:sz w:val="36"/>
          <w:szCs w:val="36"/>
          <w:rtl/>
        </w:rPr>
        <w:t>فهو من قبيل استعمال اللفظ واراد</w:t>
      </w:r>
      <w:r w:rsidR="00EC7EDF" w:rsidRPr="00FD211F">
        <w:rPr>
          <w:sz w:val="36"/>
          <w:szCs w:val="36"/>
          <w:rtl/>
        </w:rPr>
        <w:t xml:space="preserve">ة </w:t>
      </w:r>
      <w:r w:rsidRPr="00FD211F">
        <w:rPr>
          <w:sz w:val="36"/>
          <w:szCs w:val="36"/>
          <w:rtl/>
        </w:rPr>
        <w:t>مثله لامن قبيل استعمال اللفظ واراد</w:t>
      </w:r>
      <w:r w:rsidR="00EC7EDF" w:rsidRPr="00FD211F">
        <w:rPr>
          <w:sz w:val="36"/>
          <w:szCs w:val="36"/>
          <w:rtl/>
        </w:rPr>
        <w:t xml:space="preserve">ة </w:t>
      </w:r>
      <w:r w:rsidRPr="00FD211F">
        <w:rPr>
          <w:sz w:val="36"/>
          <w:szCs w:val="36"/>
          <w:rtl/>
        </w:rPr>
        <w:t xml:space="preserve">نوعه كما هو ظاهر كلامه </w:t>
      </w:r>
      <w:r w:rsidR="00AB1B12" w:rsidRPr="00FD211F">
        <w:rPr>
          <w:sz w:val="36"/>
          <w:szCs w:val="36"/>
          <w:rtl/>
        </w:rPr>
        <w:t>"</w:t>
      </w:r>
      <w:r w:rsidRPr="00FD211F">
        <w:rPr>
          <w:sz w:val="36"/>
          <w:szCs w:val="36"/>
          <w:rtl/>
        </w:rPr>
        <w:t>قده</w:t>
      </w:r>
      <w:r w:rsidR="00AB1B12" w:rsidRPr="00FD211F">
        <w:rPr>
          <w:sz w:val="36"/>
          <w:szCs w:val="36"/>
          <w:rtl/>
        </w:rPr>
        <w:t>"</w:t>
      </w:r>
      <w:r w:rsidRPr="00FD211F">
        <w:rPr>
          <w:sz w:val="36"/>
          <w:szCs w:val="36"/>
          <w:rtl/>
        </w:rPr>
        <w:t>.</w:t>
      </w:r>
    </w:p>
    <w:p w14:paraId="2FAE9F92" w14:textId="77777777" w:rsidR="00DF1803" w:rsidRPr="00FD211F" w:rsidRDefault="00DF1803" w:rsidP="009C58C8">
      <w:pPr>
        <w:ind w:left="0" w:firstLine="227"/>
        <w:jc w:val="both"/>
        <w:rPr>
          <w:sz w:val="36"/>
          <w:szCs w:val="36"/>
          <w:rtl/>
        </w:rPr>
      </w:pPr>
      <w:r w:rsidRPr="00FD211F">
        <w:rPr>
          <w:sz w:val="36"/>
          <w:szCs w:val="36"/>
          <w:rtl/>
        </w:rPr>
        <w:t>وكذا قولنا "زيد في ضرب زيد فاعل" لايراد به كون "زيد" الذي وقع مبتدأ في هذه الجمل</w:t>
      </w:r>
      <w:r w:rsidR="00EC7EDF" w:rsidRPr="00FD211F">
        <w:rPr>
          <w:sz w:val="36"/>
          <w:szCs w:val="36"/>
          <w:rtl/>
        </w:rPr>
        <w:t xml:space="preserve">ة </w:t>
      </w:r>
      <w:r w:rsidRPr="00FD211F">
        <w:rPr>
          <w:sz w:val="36"/>
          <w:szCs w:val="36"/>
          <w:rtl/>
        </w:rPr>
        <w:t>هو الفاعل وانما هو مشابه ومماثل لما هو فاعل</w:t>
      </w:r>
      <w:r w:rsidR="00603323" w:rsidRPr="00FD211F">
        <w:rPr>
          <w:sz w:val="36"/>
          <w:szCs w:val="36"/>
          <w:rtl/>
        </w:rPr>
        <w:t xml:space="preserve">، </w:t>
      </w:r>
      <w:r w:rsidRPr="00FD211F">
        <w:rPr>
          <w:sz w:val="36"/>
          <w:szCs w:val="36"/>
          <w:rtl/>
        </w:rPr>
        <w:t>ومن الواضح ان استعمال اللفظ واراد</w:t>
      </w:r>
      <w:r w:rsidR="00EC7EDF" w:rsidRPr="00FD211F">
        <w:rPr>
          <w:sz w:val="36"/>
          <w:szCs w:val="36"/>
          <w:rtl/>
        </w:rPr>
        <w:t xml:space="preserve">ة </w:t>
      </w:r>
      <w:r w:rsidRPr="00FD211F">
        <w:rPr>
          <w:sz w:val="36"/>
          <w:szCs w:val="36"/>
          <w:rtl/>
        </w:rPr>
        <w:t>مثله لايكون من ايجاد ال</w:t>
      </w:r>
      <w:r w:rsidR="008D7B3D" w:rsidRPr="00FD211F">
        <w:rPr>
          <w:sz w:val="36"/>
          <w:szCs w:val="36"/>
          <w:rtl/>
        </w:rPr>
        <w:t xml:space="preserve">شيء </w:t>
      </w:r>
      <w:r w:rsidRPr="00FD211F">
        <w:rPr>
          <w:sz w:val="36"/>
          <w:szCs w:val="36"/>
          <w:rtl/>
        </w:rPr>
        <w:t>بايجاد فرده</w:t>
      </w:r>
      <w:r w:rsidR="00603323" w:rsidRPr="00FD211F">
        <w:rPr>
          <w:sz w:val="36"/>
          <w:szCs w:val="36"/>
          <w:rtl/>
        </w:rPr>
        <w:t xml:space="preserve">، </w:t>
      </w:r>
      <w:r w:rsidRPr="00FD211F">
        <w:rPr>
          <w:sz w:val="36"/>
          <w:szCs w:val="36"/>
          <w:rtl/>
        </w:rPr>
        <w:t>بل يكون من باب الحكاي</w:t>
      </w:r>
      <w:r w:rsidR="00EC7EDF" w:rsidRPr="00FD211F">
        <w:rPr>
          <w:sz w:val="36"/>
          <w:szCs w:val="36"/>
          <w:rtl/>
        </w:rPr>
        <w:t xml:space="preserve">ة </w:t>
      </w:r>
      <w:r w:rsidRPr="00FD211F">
        <w:rPr>
          <w:sz w:val="36"/>
          <w:szCs w:val="36"/>
          <w:rtl/>
        </w:rPr>
        <w:t>والدلال</w:t>
      </w:r>
      <w:r w:rsidR="00EC7EDF" w:rsidRPr="00FD211F">
        <w:rPr>
          <w:sz w:val="36"/>
          <w:szCs w:val="36"/>
          <w:rtl/>
        </w:rPr>
        <w:t xml:space="preserve">ة </w:t>
      </w:r>
      <w:r w:rsidRPr="00FD211F">
        <w:rPr>
          <w:sz w:val="36"/>
          <w:szCs w:val="36"/>
          <w:rtl/>
        </w:rPr>
        <w:t>على المعنى</w:t>
      </w:r>
      <w:r w:rsidR="00603323" w:rsidRPr="00FD211F">
        <w:rPr>
          <w:sz w:val="36"/>
          <w:szCs w:val="36"/>
          <w:rtl/>
        </w:rPr>
        <w:t xml:space="preserve">، </w:t>
      </w:r>
      <w:r w:rsidRPr="00FD211F">
        <w:rPr>
          <w:sz w:val="36"/>
          <w:szCs w:val="36"/>
          <w:rtl/>
        </w:rPr>
        <w:t>وعليه فلايعقل ان يكون حرف "في" موجبا لتضييق لفظ "زيد" الذي وقع مبتدأ في هذه الجمل</w:t>
      </w:r>
      <w:r w:rsidR="00EC7EDF" w:rsidRPr="00FD211F">
        <w:rPr>
          <w:sz w:val="36"/>
          <w:szCs w:val="36"/>
          <w:rtl/>
        </w:rPr>
        <w:t xml:space="preserve">ة </w:t>
      </w:r>
      <w:r w:rsidRPr="00FD211F">
        <w:rPr>
          <w:sz w:val="36"/>
          <w:szCs w:val="36"/>
          <w:rtl/>
        </w:rPr>
        <w:t>بان يضيِّقه ويجعله فاعلا</w:t>
      </w:r>
      <w:r w:rsidR="00603323" w:rsidRPr="00FD211F">
        <w:rPr>
          <w:sz w:val="36"/>
          <w:szCs w:val="36"/>
          <w:rtl/>
        </w:rPr>
        <w:t xml:space="preserve">، </w:t>
      </w:r>
      <w:r w:rsidRPr="00FD211F">
        <w:rPr>
          <w:sz w:val="36"/>
          <w:szCs w:val="36"/>
          <w:rtl/>
        </w:rPr>
        <w:t>فانه غير معقول</w:t>
      </w:r>
      <w:r w:rsidR="00603323" w:rsidRPr="00FD211F">
        <w:rPr>
          <w:sz w:val="36"/>
          <w:szCs w:val="36"/>
          <w:rtl/>
        </w:rPr>
        <w:t xml:space="preserve">، </w:t>
      </w:r>
      <w:r w:rsidRPr="00FD211F">
        <w:rPr>
          <w:sz w:val="36"/>
          <w:szCs w:val="36"/>
          <w:rtl/>
        </w:rPr>
        <w:t>نعم لفظ "زيد" الذي وقع مبتدأ استعمل ليدل على معنى وهو طبيعي لفظ زيد</w:t>
      </w:r>
      <w:r w:rsidR="00603323" w:rsidRPr="00FD211F">
        <w:rPr>
          <w:sz w:val="36"/>
          <w:szCs w:val="36"/>
          <w:rtl/>
        </w:rPr>
        <w:t xml:space="preserve">، </w:t>
      </w:r>
      <w:r w:rsidRPr="00FD211F">
        <w:rPr>
          <w:sz w:val="36"/>
          <w:szCs w:val="36"/>
          <w:rtl/>
        </w:rPr>
        <w:t>وحينئذ فيتضيق هذا المعنى –بواسط</w:t>
      </w:r>
      <w:r w:rsidR="00EC7EDF" w:rsidRPr="00FD211F">
        <w:rPr>
          <w:sz w:val="36"/>
          <w:szCs w:val="36"/>
          <w:rtl/>
        </w:rPr>
        <w:t xml:space="preserve">ة </w:t>
      </w:r>
      <w:r w:rsidRPr="00FD211F">
        <w:rPr>
          <w:sz w:val="36"/>
          <w:szCs w:val="36"/>
          <w:rtl/>
        </w:rPr>
        <w:t>استخدام حرف "في"- بما يقع فاعل فعل كما في قولنا</w:t>
      </w:r>
      <w:r w:rsidR="000F5574" w:rsidRPr="00FD211F">
        <w:rPr>
          <w:sz w:val="36"/>
          <w:szCs w:val="36"/>
          <w:rtl/>
        </w:rPr>
        <w:t>"</w:t>
      </w:r>
      <w:r w:rsidRPr="00FD211F">
        <w:rPr>
          <w:sz w:val="36"/>
          <w:szCs w:val="36"/>
          <w:rtl/>
        </w:rPr>
        <w:t xml:space="preserve"> ضرب زيد</w:t>
      </w:r>
      <w:r w:rsidR="000F5574" w:rsidRPr="00FD211F">
        <w:rPr>
          <w:sz w:val="36"/>
          <w:szCs w:val="36"/>
          <w:rtl/>
        </w:rPr>
        <w:t>"</w:t>
      </w:r>
      <w:r w:rsidRPr="00FD211F">
        <w:rPr>
          <w:sz w:val="36"/>
          <w:szCs w:val="36"/>
          <w:rtl/>
        </w:rPr>
        <w:t>.</w:t>
      </w:r>
    </w:p>
    <w:p w14:paraId="592C63CD" w14:textId="77777777" w:rsidR="00DF1803" w:rsidRPr="00FD211F" w:rsidRDefault="00DF1803" w:rsidP="009C58C8">
      <w:pPr>
        <w:ind w:left="0" w:firstLine="227"/>
        <w:jc w:val="both"/>
        <w:rPr>
          <w:sz w:val="36"/>
          <w:szCs w:val="36"/>
          <w:rtl/>
        </w:rPr>
      </w:pPr>
      <w:r w:rsidRPr="00FD211F">
        <w:rPr>
          <w:sz w:val="36"/>
          <w:szCs w:val="36"/>
          <w:rtl/>
        </w:rPr>
        <w:t>فاتضح ان استعمال اللفظ واراد</w:t>
      </w:r>
      <w:r w:rsidR="00EC7EDF" w:rsidRPr="00FD211F">
        <w:rPr>
          <w:sz w:val="36"/>
          <w:szCs w:val="36"/>
          <w:rtl/>
        </w:rPr>
        <w:t xml:space="preserve">ة </w:t>
      </w:r>
      <w:r w:rsidRPr="00FD211F">
        <w:rPr>
          <w:sz w:val="36"/>
          <w:szCs w:val="36"/>
          <w:rtl/>
        </w:rPr>
        <w:t>نوعه او صنفه او مثله يكون من باب حكايته ودلالته عليه لا من باب ايجاد الكلي بايجاد فرده</w:t>
      </w:r>
      <w:r w:rsidR="00603323" w:rsidRPr="00FD211F">
        <w:rPr>
          <w:sz w:val="36"/>
          <w:szCs w:val="36"/>
          <w:rtl/>
        </w:rPr>
        <w:t xml:space="preserve">، </w:t>
      </w:r>
      <w:r w:rsidRPr="00FD211F">
        <w:rPr>
          <w:sz w:val="36"/>
          <w:szCs w:val="36"/>
          <w:rtl/>
        </w:rPr>
        <w:t>نعم هذا الاستعمال استعمال مجازي</w:t>
      </w:r>
      <w:r w:rsidR="00603323" w:rsidRPr="00FD211F">
        <w:rPr>
          <w:sz w:val="36"/>
          <w:szCs w:val="36"/>
          <w:rtl/>
        </w:rPr>
        <w:t xml:space="preserve">، </w:t>
      </w:r>
      <w:r w:rsidRPr="00FD211F">
        <w:rPr>
          <w:sz w:val="36"/>
          <w:szCs w:val="36"/>
          <w:rtl/>
        </w:rPr>
        <w:t>وقد مر انه يكفي فيه استحسان الطبع ولايحتاج الى وجود علائق المجاز</w:t>
      </w:r>
      <w:r w:rsidR="00603323" w:rsidRPr="00FD211F">
        <w:rPr>
          <w:sz w:val="36"/>
          <w:szCs w:val="36"/>
          <w:rtl/>
        </w:rPr>
        <w:t xml:space="preserve">، </w:t>
      </w:r>
      <w:r w:rsidRPr="00FD211F">
        <w:rPr>
          <w:sz w:val="36"/>
          <w:szCs w:val="36"/>
          <w:rtl/>
        </w:rPr>
        <w:t>بل قد لايكون اللفظ موضوعا على معنى أبدا كما يقال</w:t>
      </w:r>
      <w:r w:rsidR="000F5574" w:rsidRPr="00FD211F">
        <w:rPr>
          <w:sz w:val="36"/>
          <w:szCs w:val="36"/>
          <w:rtl/>
        </w:rPr>
        <w:t>"</w:t>
      </w:r>
      <w:r w:rsidRPr="00FD211F">
        <w:rPr>
          <w:sz w:val="36"/>
          <w:szCs w:val="36"/>
          <w:rtl/>
        </w:rPr>
        <w:t xml:space="preserve"> ديز مهمل</w:t>
      </w:r>
      <w:r w:rsidR="000F5574" w:rsidRPr="00FD211F">
        <w:rPr>
          <w:sz w:val="36"/>
          <w:szCs w:val="36"/>
          <w:rtl/>
        </w:rPr>
        <w:t>"</w:t>
      </w:r>
      <w:r w:rsidR="00603323" w:rsidRPr="00FD211F">
        <w:rPr>
          <w:sz w:val="36"/>
          <w:szCs w:val="36"/>
          <w:rtl/>
        </w:rPr>
        <w:t xml:space="preserve">، </w:t>
      </w:r>
      <w:r w:rsidRPr="00FD211F">
        <w:rPr>
          <w:sz w:val="36"/>
          <w:szCs w:val="36"/>
          <w:rtl/>
        </w:rPr>
        <w:t xml:space="preserve">وما ذكره السيد الخوئي </w:t>
      </w:r>
      <w:r w:rsidR="00AB1B12" w:rsidRPr="00FD211F">
        <w:rPr>
          <w:sz w:val="36"/>
          <w:szCs w:val="36"/>
          <w:rtl/>
        </w:rPr>
        <w:t>"</w:t>
      </w:r>
      <w:r w:rsidRPr="00FD211F">
        <w:rPr>
          <w:sz w:val="36"/>
          <w:szCs w:val="36"/>
          <w:rtl/>
        </w:rPr>
        <w:t>قده</w:t>
      </w:r>
      <w:r w:rsidR="00AB1B12" w:rsidRPr="00FD211F">
        <w:rPr>
          <w:sz w:val="36"/>
          <w:szCs w:val="36"/>
          <w:rtl/>
        </w:rPr>
        <w:t>"</w:t>
      </w:r>
      <w:r w:rsidRPr="00FD211F">
        <w:rPr>
          <w:sz w:val="36"/>
          <w:szCs w:val="36"/>
          <w:rtl/>
        </w:rPr>
        <w:t xml:space="preserve"> من انه لامانع من الالتزام بتعهد الشخص بانه اذا اراد الحكاي</w:t>
      </w:r>
      <w:r w:rsidR="00EC7EDF" w:rsidRPr="00FD211F">
        <w:rPr>
          <w:sz w:val="36"/>
          <w:szCs w:val="36"/>
          <w:rtl/>
        </w:rPr>
        <w:t xml:space="preserve">ة </w:t>
      </w:r>
      <w:r w:rsidRPr="00FD211F">
        <w:rPr>
          <w:sz w:val="36"/>
          <w:szCs w:val="36"/>
          <w:rtl/>
        </w:rPr>
        <w:t>عن نوع اللفظ مثلا أتى بلفظه</w:t>
      </w:r>
      <w:r w:rsidR="00603323" w:rsidRPr="00FD211F">
        <w:rPr>
          <w:sz w:val="36"/>
          <w:szCs w:val="36"/>
          <w:rtl/>
        </w:rPr>
        <w:t xml:space="preserve">، </w:t>
      </w:r>
      <w:r w:rsidRPr="00FD211F">
        <w:rPr>
          <w:sz w:val="36"/>
          <w:szCs w:val="36"/>
          <w:rtl/>
        </w:rPr>
        <w:t>وحيث ان حقيق</w:t>
      </w:r>
      <w:r w:rsidR="00EC7EDF" w:rsidRPr="00FD211F">
        <w:rPr>
          <w:sz w:val="36"/>
          <w:szCs w:val="36"/>
          <w:rtl/>
        </w:rPr>
        <w:t xml:space="preserve">ة </w:t>
      </w:r>
      <w:r w:rsidRPr="00FD211F">
        <w:rPr>
          <w:sz w:val="36"/>
          <w:szCs w:val="36"/>
          <w:rtl/>
        </w:rPr>
        <w:t>الوضع هو التعهد والالتزام النفساني فلامانع من الالتزام بوضع اللفظ للحكاي</w:t>
      </w:r>
      <w:r w:rsidR="00EC7EDF" w:rsidRPr="00FD211F">
        <w:rPr>
          <w:sz w:val="36"/>
          <w:szCs w:val="36"/>
          <w:rtl/>
        </w:rPr>
        <w:t xml:space="preserve">ة </w:t>
      </w:r>
      <w:r w:rsidRPr="00FD211F">
        <w:rPr>
          <w:sz w:val="36"/>
          <w:szCs w:val="36"/>
          <w:rtl/>
        </w:rPr>
        <w:t>عن نوعه او صنفه او مثله ولو بوضع نوعي</w:t>
      </w:r>
      <w:r w:rsidR="00603323" w:rsidRPr="00FD211F">
        <w:rPr>
          <w:sz w:val="36"/>
          <w:szCs w:val="36"/>
          <w:rtl/>
        </w:rPr>
        <w:t xml:space="preserve">، </w:t>
      </w:r>
      <w:r w:rsidRPr="00FD211F">
        <w:rPr>
          <w:sz w:val="36"/>
          <w:szCs w:val="36"/>
          <w:rtl/>
        </w:rPr>
        <w:t>ففيه: ان ما افاده خلاف المرتكز جدّا حتى لو سلمنا مسلكه في حقيق</w:t>
      </w:r>
      <w:r w:rsidR="00EC7EDF" w:rsidRPr="00FD211F">
        <w:rPr>
          <w:sz w:val="36"/>
          <w:szCs w:val="36"/>
          <w:rtl/>
        </w:rPr>
        <w:t xml:space="preserve">ة </w:t>
      </w:r>
      <w:r w:rsidRPr="00FD211F">
        <w:rPr>
          <w:sz w:val="36"/>
          <w:szCs w:val="36"/>
          <w:rtl/>
        </w:rPr>
        <w:t>الوضع.</w:t>
      </w:r>
    </w:p>
    <w:p w14:paraId="16FD9F6B" w14:textId="77777777" w:rsidR="00057D31" w:rsidRPr="00FD211F" w:rsidRDefault="00057D31" w:rsidP="009C58C8">
      <w:pPr>
        <w:pStyle w:val="3"/>
        <w:ind w:firstLine="227"/>
        <w:jc w:val="both"/>
        <w:rPr>
          <w:rtl/>
        </w:rPr>
        <w:sectPr w:rsidR="00057D31" w:rsidRPr="00FD211F" w:rsidSect="00D24300">
          <w:headerReference w:type="default" r:id="rId23"/>
          <w:footnotePr>
            <w:numRestart w:val="eachPage"/>
          </w:footnotePr>
          <w:pgSz w:w="10319" w:h="14578" w:code="138"/>
          <w:pgMar w:top="1418" w:right="1701" w:bottom="1418" w:left="1701" w:header="1418" w:footer="964" w:gutter="0"/>
          <w:cols w:space="720"/>
          <w:bidi/>
          <w:rtlGutter/>
          <w:docGrid w:linePitch="360"/>
        </w:sectPr>
      </w:pPr>
      <w:bookmarkStart w:id="319" w:name="درس019دقيقه35"/>
      <w:bookmarkStart w:id="320" w:name="درس020"/>
      <w:bookmarkStart w:id="321" w:name="درس021"/>
      <w:bookmarkStart w:id="322" w:name="_Toc192092906"/>
      <w:bookmarkEnd w:id="319"/>
      <w:bookmarkEnd w:id="320"/>
      <w:bookmarkEnd w:id="321"/>
    </w:p>
    <w:p w14:paraId="1AD98D96" w14:textId="77777777" w:rsidR="00556BC0" w:rsidRPr="00FD211F" w:rsidRDefault="00556BC0" w:rsidP="009C58C8">
      <w:pPr>
        <w:pStyle w:val="3"/>
        <w:ind w:firstLine="227"/>
        <w:jc w:val="both"/>
        <w:rPr>
          <w:rtl/>
        </w:rPr>
      </w:pPr>
      <w:bookmarkStart w:id="323" w:name="_Toc223890385"/>
      <w:r w:rsidRPr="00FD211F">
        <w:rPr>
          <w:rtl/>
        </w:rPr>
        <w:t>وضع المركبات</w:t>
      </w:r>
      <w:bookmarkEnd w:id="322"/>
      <w:bookmarkEnd w:id="323"/>
    </w:p>
    <w:p w14:paraId="2719726F" w14:textId="77777777" w:rsidR="005D6FA8" w:rsidRPr="00FD211F" w:rsidRDefault="00556BC0" w:rsidP="009C58C8">
      <w:pPr>
        <w:ind w:left="0" w:firstLine="227"/>
        <w:jc w:val="both"/>
        <w:rPr>
          <w:sz w:val="36"/>
          <w:szCs w:val="36"/>
          <w:rtl/>
        </w:rPr>
      </w:pPr>
      <w:r w:rsidRPr="00FD211F">
        <w:rPr>
          <w:sz w:val="36"/>
          <w:szCs w:val="36"/>
          <w:rtl/>
        </w:rPr>
        <w:t>يقع الكلام في انه في المركب مثل قولنا "زيد قائم" بعد وضع زيد لمعناه ووضع ماد</w:t>
      </w:r>
      <w:r w:rsidR="00EC7EDF" w:rsidRPr="00FD211F">
        <w:rPr>
          <w:sz w:val="36"/>
          <w:szCs w:val="36"/>
          <w:rtl/>
        </w:rPr>
        <w:t xml:space="preserve">ة </w:t>
      </w:r>
      <w:r w:rsidRPr="00FD211F">
        <w:rPr>
          <w:sz w:val="36"/>
          <w:szCs w:val="36"/>
          <w:rtl/>
        </w:rPr>
        <w:t>القائم لمعناها ووضع هيئته بالوضع النوعي لمعناها وكذا وضع هيئ</w:t>
      </w:r>
      <w:r w:rsidR="00EC7EDF" w:rsidRPr="00FD211F">
        <w:rPr>
          <w:sz w:val="36"/>
          <w:szCs w:val="36"/>
          <w:rtl/>
        </w:rPr>
        <w:t xml:space="preserve">ة </w:t>
      </w:r>
      <w:r w:rsidRPr="00FD211F">
        <w:rPr>
          <w:sz w:val="36"/>
          <w:szCs w:val="36"/>
          <w:rtl/>
        </w:rPr>
        <w:t>الجمل</w:t>
      </w:r>
      <w:r w:rsidR="00EC7EDF" w:rsidRPr="00FD211F">
        <w:rPr>
          <w:sz w:val="36"/>
          <w:szCs w:val="36"/>
          <w:rtl/>
        </w:rPr>
        <w:t xml:space="preserve">ة </w:t>
      </w:r>
      <w:r w:rsidRPr="00FD211F">
        <w:rPr>
          <w:sz w:val="36"/>
          <w:szCs w:val="36"/>
          <w:rtl/>
        </w:rPr>
        <w:t>لمعناها الذي هو النسب</w:t>
      </w:r>
      <w:r w:rsidR="00EC7EDF" w:rsidRPr="00FD211F">
        <w:rPr>
          <w:sz w:val="36"/>
          <w:szCs w:val="36"/>
          <w:rtl/>
        </w:rPr>
        <w:t xml:space="preserve">ة </w:t>
      </w:r>
      <w:r w:rsidRPr="00FD211F">
        <w:rPr>
          <w:sz w:val="36"/>
          <w:szCs w:val="36"/>
          <w:rtl/>
        </w:rPr>
        <w:t>التام</w:t>
      </w:r>
      <w:r w:rsidR="00EC7EDF" w:rsidRPr="00FD211F">
        <w:rPr>
          <w:sz w:val="36"/>
          <w:szCs w:val="36"/>
          <w:rtl/>
        </w:rPr>
        <w:t xml:space="preserve">ة </w:t>
      </w:r>
      <w:r w:rsidRPr="00FD211F">
        <w:rPr>
          <w:sz w:val="36"/>
          <w:szCs w:val="36"/>
          <w:rtl/>
        </w:rPr>
        <w:t>فهل هناك وضع آخر لمجموع الجمل</w:t>
      </w:r>
      <w:r w:rsidR="00EC7EDF" w:rsidRPr="00FD211F">
        <w:rPr>
          <w:sz w:val="36"/>
          <w:szCs w:val="36"/>
          <w:rtl/>
        </w:rPr>
        <w:t xml:space="preserve">ة </w:t>
      </w:r>
      <w:r w:rsidRPr="00FD211F">
        <w:rPr>
          <w:sz w:val="36"/>
          <w:szCs w:val="36"/>
          <w:rtl/>
        </w:rPr>
        <w:t>بموادها وهيئاتها على مجموع المعاني مر</w:t>
      </w:r>
      <w:r w:rsidR="00EC7EDF" w:rsidRPr="00FD211F">
        <w:rPr>
          <w:sz w:val="36"/>
          <w:szCs w:val="36"/>
          <w:rtl/>
        </w:rPr>
        <w:t xml:space="preserve">ة </w:t>
      </w:r>
      <w:r w:rsidRPr="00FD211F">
        <w:rPr>
          <w:sz w:val="36"/>
          <w:szCs w:val="36"/>
          <w:rtl/>
        </w:rPr>
        <w:t>أخرى</w:t>
      </w:r>
      <w:r w:rsidR="00603323" w:rsidRPr="00FD211F">
        <w:rPr>
          <w:sz w:val="36"/>
          <w:szCs w:val="36"/>
          <w:rtl/>
        </w:rPr>
        <w:t xml:space="preserve">، </w:t>
      </w:r>
      <w:r w:rsidRPr="00FD211F">
        <w:rPr>
          <w:sz w:val="36"/>
          <w:szCs w:val="36"/>
          <w:rtl/>
        </w:rPr>
        <w:t>ويكون هذا الوضع لامحال</w:t>
      </w:r>
      <w:r w:rsidR="00EC7EDF" w:rsidRPr="00FD211F">
        <w:rPr>
          <w:sz w:val="36"/>
          <w:szCs w:val="36"/>
          <w:rtl/>
        </w:rPr>
        <w:t xml:space="preserve">ة </w:t>
      </w:r>
      <w:r w:rsidRPr="00FD211F">
        <w:rPr>
          <w:sz w:val="36"/>
          <w:szCs w:val="36"/>
          <w:rtl/>
        </w:rPr>
        <w:t>وضعا نوعيا بعد عدم امك</w:t>
      </w:r>
      <w:r w:rsidR="005D6FA8" w:rsidRPr="00FD211F">
        <w:rPr>
          <w:sz w:val="36"/>
          <w:szCs w:val="36"/>
          <w:rtl/>
        </w:rPr>
        <w:t>ان الوضع الشخصي لكل جمل</w:t>
      </w:r>
      <w:r w:rsidR="00EC7EDF" w:rsidRPr="00FD211F">
        <w:rPr>
          <w:sz w:val="36"/>
          <w:szCs w:val="36"/>
          <w:rtl/>
        </w:rPr>
        <w:t xml:space="preserve">ة </w:t>
      </w:r>
      <w:r w:rsidR="005D6FA8" w:rsidRPr="00FD211F">
        <w:rPr>
          <w:sz w:val="36"/>
          <w:szCs w:val="36"/>
          <w:rtl/>
        </w:rPr>
        <w:t>متصور</w:t>
      </w:r>
      <w:r w:rsidR="00EC7EDF" w:rsidRPr="00FD211F">
        <w:rPr>
          <w:sz w:val="36"/>
          <w:szCs w:val="36"/>
          <w:rtl/>
        </w:rPr>
        <w:t>ة</w:t>
      </w:r>
      <w:r w:rsidR="00A61BAE" w:rsidRPr="00FD211F">
        <w:rPr>
          <w:sz w:val="36"/>
          <w:szCs w:val="36"/>
          <w:rtl/>
        </w:rPr>
        <w:t>.</w:t>
      </w:r>
    </w:p>
    <w:p w14:paraId="1647D5FB" w14:textId="77777777" w:rsidR="00556BC0" w:rsidRPr="00FD211F" w:rsidRDefault="0055773D" w:rsidP="009C58C8">
      <w:pPr>
        <w:ind w:left="0" w:firstLine="227"/>
        <w:jc w:val="both"/>
        <w:rPr>
          <w:sz w:val="36"/>
          <w:szCs w:val="36"/>
          <w:rtl/>
        </w:rPr>
      </w:pPr>
      <w:r w:rsidRPr="00FD211F">
        <w:rPr>
          <w:sz w:val="36"/>
          <w:szCs w:val="36"/>
          <w:rtl/>
        </w:rPr>
        <w:t xml:space="preserve">فنقول ان </w:t>
      </w:r>
      <w:r w:rsidR="00556BC0" w:rsidRPr="00FD211F">
        <w:rPr>
          <w:sz w:val="36"/>
          <w:szCs w:val="36"/>
          <w:rtl/>
        </w:rPr>
        <w:t>من البع</w:t>
      </w:r>
      <w:r w:rsidR="005D6FA8" w:rsidRPr="00FD211F">
        <w:rPr>
          <w:sz w:val="36"/>
          <w:szCs w:val="36"/>
          <w:rtl/>
        </w:rPr>
        <w:t>يد جدّا ان يدعي</w:t>
      </w:r>
      <w:r w:rsidR="00556BC0" w:rsidRPr="00FD211F">
        <w:rPr>
          <w:sz w:val="36"/>
          <w:szCs w:val="36"/>
          <w:rtl/>
        </w:rPr>
        <w:t xml:space="preserve"> احد</w:t>
      </w:r>
      <w:r w:rsidRPr="00FD211F">
        <w:rPr>
          <w:sz w:val="36"/>
          <w:szCs w:val="36"/>
          <w:rtl/>
        </w:rPr>
        <w:t xml:space="preserve"> ثبوت هذا ال</w:t>
      </w:r>
      <w:r w:rsidR="005D6FA8" w:rsidRPr="00FD211F">
        <w:rPr>
          <w:sz w:val="36"/>
          <w:szCs w:val="36"/>
          <w:rtl/>
        </w:rPr>
        <w:t>وضع</w:t>
      </w:r>
      <w:r w:rsidR="00603323" w:rsidRPr="00FD211F">
        <w:rPr>
          <w:sz w:val="36"/>
          <w:szCs w:val="36"/>
          <w:rtl/>
        </w:rPr>
        <w:t xml:space="preserve">، </w:t>
      </w:r>
      <w:r w:rsidR="00556BC0" w:rsidRPr="00FD211F">
        <w:rPr>
          <w:sz w:val="36"/>
          <w:szCs w:val="36"/>
          <w:rtl/>
        </w:rPr>
        <w:t>ولعل من حكى عنه ذلك اراد وضع هيئ</w:t>
      </w:r>
      <w:r w:rsidR="00EC7EDF" w:rsidRPr="00FD211F">
        <w:rPr>
          <w:sz w:val="36"/>
          <w:szCs w:val="36"/>
          <w:rtl/>
        </w:rPr>
        <w:t xml:space="preserve">ة </w:t>
      </w:r>
      <w:r w:rsidR="00556BC0" w:rsidRPr="00FD211F">
        <w:rPr>
          <w:sz w:val="36"/>
          <w:szCs w:val="36"/>
          <w:rtl/>
        </w:rPr>
        <w:t>الجمل</w:t>
      </w:r>
      <w:r w:rsidR="00EC7EDF" w:rsidRPr="00FD211F">
        <w:rPr>
          <w:sz w:val="36"/>
          <w:szCs w:val="36"/>
          <w:rtl/>
        </w:rPr>
        <w:t xml:space="preserve">ة </w:t>
      </w:r>
      <w:r w:rsidR="00556BC0" w:rsidRPr="00FD211F">
        <w:rPr>
          <w:sz w:val="36"/>
          <w:szCs w:val="36"/>
          <w:rtl/>
        </w:rPr>
        <w:t>للنسب</w:t>
      </w:r>
      <w:r w:rsidR="00EC7EDF" w:rsidRPr="00FD211F">
        <w:rPr>
          <w:sz w:val="36"/>
          <w:szCs w:val="36"/>
          <w:rtl/>
        </w:rPr>
        <w:t xml:space="preserve">ة </w:t>
      </w:r>
      <w:r w:rsidR="00556BC0" w:rsidRPr="00FD211F">
        <w:rPr>
          <w:sz w:val="36"/>
          <w:szCs w:val="36"/>
          <w:rtl/>
        </w:rPr>
        <w:t>التام</w:t>
      </w:r>
      <w:r w:rsidR="00EC7EDF" w:rsidRPr="00FD211F">
        <w:rPr>
          <w:sz w:val="36"/>
          <w:szCs w:val="36"/>
          <w:rtl/>
        </w:rPr>
        <w:t>ة</w:t>
      </w:r>
      <w:r w:rsidR="00603323" w:rsidRPr="00FD211F">
        <w:rPr>
          <w:sz w:val="36"/>
          <w:szCs w:val="36"/>
          <w:rtl/>
        </w:rPr>
        <w:t xml:space="preserve">، </w:t>
      </w:r>
      <w:r w:rsidR="001F6FCB" w:rsidRPr="00FD211F">
        <w:rPr>
          <w:sz w:val="36"/>
          <w:szCs w:val="36"/>
          <w:rtl/>
        </w:rPr>
        <w:t xml:space="preserve">وقد ذكر السيد الإمام </w:t>
      </w:r>
      <w:r w:rsidR="00FF2055" w:rsidRPr="00FD211F">
        <w:rPr>
          <w:sz w:val="36"/>
          <w:szCs w:val="36"/>
          <w:rtl/>
        </w:rPr>
        <w:t>"</w:t>
      </w:r>
      <w:r w:rsidR="001F6FCB" w:rsidRPr="00FD211F">
        <w:rPr>
          <w:sz w:val="36"/>
          <w:szCs w:val="36"/>
          <w:rtl/>
        </w:rPr>
        <w:t>قده</w:t>
      </w:r>
      <w:r w:rsidR="00FF2055" w:rsidRPr="00FD211F">
        <w:rPr>
          <w:sz w:val="36"/>
          <w:szCs w:val="36"/>
          <w:rtl/>
        </w:rPr>
        <w:t>"</w:t>
      </w:r>
      <w:r w:rsidR="001F6FCB" w:rsidRPr="00FD211F">
        <w:rPr>
          <w:sz w:val="36"/>
          <w:szCs w:val="36"/>
          <w:rtl/>
        </w:rPr>
        <w:t xml:space="preserve"> انه يمكن ان يكون النزاع في ان الدال على النسب</w:t>
      </w:r>
      <w:r w:rsidR="00EC7EDF" w:rsidRPr="00FD211F">
        <w:rPr>
          <w:sz w:val="36"/>
          <w:szCs w:val="36"/>
          <w:rtl/>
        </w:rPr>
        <w:t xml:space="preserve">ة </w:t>
      </w:r>
      <w:r w:rsidR="001F6FCB" w:rsidRPr="00FD211F">
        <w:rPr>
          <w:sz w:val="36"/>
          <w:szCs w:val="36"/>
          <w:rtl/>
        </w:rPr>
        <w:t>التام</w:t>
      </w:r>
      <w:r w:rsidR="00EC7EDF" w:rsidRPr="00FD211F">
        <w:rPr>
          <w:sz w:val="36"/>
          <w:szCs w:val="36"/>
          <w:rtl/>
        </w:rPr>
        <w:t xml:space="preserve">ة </w:t>
      </w:r>
      <w:r w:rsidR="001F6FCB" w:rsidRPr="00FD211F">
        <w:rPr>
          <w:sz w:val="36"/>
          <w:szCs w:val="36"/>
          <w:rtl/>
        </w:rPr>
        <w:t>هل هو مجموع الجمل</w:t>
      </w:r>
      <w:r w:rsidR="00EC7EDF" w:rsidRPr="00FD211F">
        <w:rPr>
          <w:sz w:val="36"/>
          <w:szCs w:val="36"/>
          <w:rtl/>
        </w:rPr>
        <w:t xml:space="preserve">ة </w:t>
      </w:r>
      <w:r w:rsidR="001F6FCB" w:rsidRPr="00FD211F">
        <w:rPr>
          <w:sz w:val="36"/>
          <w:szCs w:val="36"/>
          <w:rtl/>
        </w:rPr>
        <w:t>او الهيئات</w:t>
      </w:r>
      <w:r w:rsidR="00603323" w:rsidRPr="00FD211F">
        <w:rPr>
          <w:sz w:val="36"/>
          <w:szCs w:val="36"/>
          <w:rtl/>
        </w:rPr>
        <w:t xml:space="preserve">، </w:t>
      </w:r>
      <w:r w:rsidR="001F6FCB" w:rsidRPr="00FD211F">
        <w:rPr>
          <w:sz w:val="36"/>
          <w:szCs w:val="36"/>
          <w:rtl/>
        </w:rPr>
        <w:t>فالمشهور على الثاني وشرذم</w:t>
      </w:r>
      <w:r w:rsidR="00EC7EDF" w:rsidRPr="00FD211F">
        <w:rPr>
          <w:sz w:val="36"/>
          <w:szCs w:val="36"/>
          <w:rtl/>
        </w:rPr>
        <w:t xml:space="preserve">ة </w:t>
      </w:r>
      <w:r w:rsidR="001F6FCB" w:rsidRPr="00FD211F">
        <w:rPr>
          <w:sz w:val="36"/>
          <w:szCs w:val="36"/>
          <w:rtl/>
        </w:rPr>
        <w:t>على الأول</w:t>
      </w:r>
      <w:r w:rsidR="009C58C8" w:rsidRPr="00FD211F">
        <w:rPr>
          <w:rStyle w:val="a6"/>
          <w:sz w:val="36"/>
          <w:szCs w:val="36"/>
          <w:rtl/>
        </w:rPr>
        <w:t>(</w:t>
      </w:r>
      <w:r w:rsidR="009C58C8" w:rsidRPr="00FD211F">
        <w:rPr>
          <w:rStyle w:val="a6"/>
          <w:sz w:val="36"/>
          <w:szCs w:val="36"/>
          <w:rtl/>
        </w:rPr>
        <w:footnoteReference w:id="299"/>
      </w:r>
      <w:r w:rsidR="009C58C8" w:rsidRPr="00FD211F">
        <w:rPr>
          <w:rStyle w:val="a6"/>
          <w:sz w:val="36"/>
          <w:szCs w:val="36"/>
          <w:rtl/>
        </w:rPr>
        <w:t>)</w:t>
      </w:r>
      <w:r w:rsidR="00556BC0" w:rsidRPr="00FD211F">
        <w:rPr>
          <w:sz w:val="36"/>
          <w:szCs w:val="36"/>
          <w:rtl/>
        </w:rPr>
        <w:t>.</w:t>
      </w:r>
    </w:p>
    <w:p w14:paraId="5CE8C6DD" w14:textId="77777777" w:rsidR="00556BC0" w:rsidRPr="00FD211F" w:rsidRDefault="00556BC0" w:rsidP="009C58C8">
      <w:pPr>
        <w:ind w:left="0" w:firstLine="227"/>
        <w:jc w:val="both"/>
        <w:rPr>
          <w:sz w:val="36"/>
          <w:szCs w:val="36"/>
          <w:rtl/>
        </w:rPr>
      </w:pPr>
      <w:r w:rsidRPr="00FD211F">
        <w:rPr>
          <w:sz w:val="36"/>
          <w:szCs w:val="36"/>
          <w:rtl/>
        </w:rPr>
        <w:t>وكيف كان فاستدل في الكفاي</w:t>
      </w:r>
      <w:r w:rsidR="00EC7EDF" w:rsidRPr="00FD211F">
        <w:rPr>
          <w:sz w:val="36"/>
          <w:szCs w:val="36"/>
          <w:rtl/>
        </w:rPr>
        <w:t xml:space="preserve">ة </w:t>
      </w:r>
      <w:r w:rsidRPr="00FD211F">
        <w:rPr>
          <w:sz w:val="36"/>
          <w:szCs w:val="36"/>
          <w:rtl/>
        </w:rPr>
        <w:t>على ابطال احتمال وضع المركب بما محصله ان تعدد الوضع يوجب تعدد الدال وتعدد الدال يوجب تعدد تصور المعنى</w:t>
      </w:r>
      <w:r w:rsidR="00603323" w:rsidRPr="00FD211F">
        <w:rPr>
          <w:sz w:val="36"/>
          <w:szCs w:val="36"/>
          <w:rtl/>
        </w:rPr>
        <w:t xml:space="preserve">، </w:t>
      </w:r>
      <w:r w:rsidRPr="00FD211F">
        <w:rPr>
          <w:sz w:val="36"/>
          <w:szCs w:val="36"/>
          <w:rtl/>
        </w:rPr>
        <w:t>وهو غير محتمل في المركب</w:t>
      </w:r>
      <w:r w:rsidR="009C58C8" w:rsidRPr="00FD211F">
        <w:rPr>
          <w:rStyle w:val="a6"/>
          <w:sz w:val="36"/>
          <w:szCs w:val="36"/>
          <w:rtl/>
        </w:rPr>
        <w:t>(</w:t>
      </w:r>
      <w:r w:rsidR="009C58C8" w:rsidRPr="00FD211F">
        <w:rPr>
          <w:rStyle w:val="a6"/>
          <w:sz w:val="36"/>
          <w:szCs w:val="36"/>
          <w:rtl/>
        </w:rPr>
        <w:footnoteReference w:id="300"/>
      </w:r>
      <w:r w:rsidR="009C58C8" w:rsidRPr="00FD211F">
        <w:rPr>
          <w:rStyle w:val="a6"/>
          <w:sz w:val="36"/>
          <w:szCs w:val="36"/>
          <w:rtl/>
        </w:rPr>
        <w:t>)</w:t>
      </w:r>
      <w:r w:rsidR="00603323" w:rsidRPr="00FD211F">
        <w:rPr>
          <w:sz w:val="36"/>
          <w:szCs w:val="36"/>
          <w:rtl/>
        </w:rPr>
        <w:t xml:space="preserve">، </w:t>
      </w:r>
      <w:r w:rsidRPr="00FD211F">
        <w:rPr>
          <w:sz w:val="36"/>
          <w:szCs w:val="36"/>
          <w:rtl/>
        </w:rPr>
        <w:t>وما ذكره غريب جدّا فان تعدد الواضع لدال الواحد لايعني تعدد الدال حيث يكون نظير ما لو وضع كل من الاب والأم اسما واحدا على ولدهما</w:t>
      </w:r>
      <w:r w:rsidR="00603323" w:rsidRPr="00FD211F">
        <w:rPr>
          <w:sz w:val="36"/>
          <w:szCs w:val="36"/>
          <w:rtl/>
        </w:rPr>
        <w:t xml:space="preserve">، </w:t>
      </w:r>
      <w:r w:rsidRPr="00FD211F">
        <w:rPr>
          <w:sz w:val="36"/>
          <w:szCs w:val="36"/>
          <w:rtl/>
        </w:rPr>
        <w:t>فانه لايعني تعدد الدال حتى يكون لازمه تعدد تصور المعنى</w:t>
      </w:r>
      <w:r w:rsidR="00603323" w:rsidRPr="00FD211F">
        <w:rPr>
          <w:sz w:val="36"/>
          <w:szCs w:val="36"/>
          <w:rtl/>
        </w:rPr>
        <w:t xml:space="preserve">، </w:t>
      </w:r>
      <w:r w:rsidRPr="00FD211F">
        <w:rPr>
          <w:sz w:val="36"/>
          <w:szCs w:val="36"/>
          <w:rtl/>
        </w:rPr>
        <w:t>وان شئت قلت ان سبب تصور المعنى هو نفس اللفظ والوضع موجد لسببيته فمع وحد</w:t>
      </w:r>
      <w:r w:rsidR="00EC7EDF" w:rsidRPr="00FD211F">
        <w:rPr>
          <w:sz w:val="36"/>
          <w:szCs w:val="36"/>
          <w:rtl/>
        </w:rPr>
        <w:t xml:space="preserve">ة </w:t>
      </w:r>
      <w:r w:rsidRPr="00FD211F">
        <w:rPr>
          <w:sz w:val="36"/>
          <w:szCs w:val="36"/>
          <w:rtl/>
        </w:rPr>
        <w:t>اللفظ فلايتعدد تصور المعنى.</w:t>
      </w:r>
    </w:p>
    <w:p w14:paraId="6921ED77" w14:textId="77777777" w:rsidR="00556BC0" w:rsidRPr="00FD211F" w:rsidRDefault="00556BC0" w:rsidP="009C58C8">
      <w:pPr>
        <w:ind w:left="0" w:firstLine="227"/>
        <w:jc w:val="both"/>
        <w:rPr>
          <w:sz w:val="36"/>
          <w:szCs w:val="36"/>
          <w:rtl/>
        </w:rPr>
      </w:pPr>
      <w:r w:rsidRPr="00FD211F">
        <w:rPr>
          <w:sz w:val="36"/>
          <w:szCs w:val="36"/>
          <w:rtl/>
        </w:rPr>
        <w:t>فالمهم ان وضع المركب مر</w:t>
      </w:r>
      <w:r w:rsidR="00EC7EDF" w:rsidRPr="00FD211F">
        <w:rPr>
          <w:sz w:val="36"/>
          <w:szCs w:val="36"/>
          <w:rtl/>
        </w:rPr>
        <w:t xml:space="preserve">ة </w:t>
      </w:r>
      <w:r w:rsidRPr="00FD211F">
        <w:rPr>
          <w:sz w:val="36"/>
          <w:szCs w:val="36"/>
          <w:rtl/>
        </w:rPr>
        <w:t>اخرى لمعناه لغو محض</w:t>
      </w:r>
      <w:r w:rsidR="009C58C8" w:rsidRPr="00FD211F">
        <w:rPr>
          <w:rStyle w:val="a6"/>
          <w:sz w:val="36"/>
          <w:szCs w:val="36"/>
          <w:rtl/>
        </w:rPr>
        <w:t>(</w:t>
      </w:r>
      <w:r w:rsidR="009C58C8" w:rsidRPr="00FD211F">
        <w:rPr>
          <w:rStyle w:val="a6"/>
          <w:sz w:val="36"/>
          <w:szCs w:val="36"/>
          <w:rtl/>
        </w:rPr>
        <w:footnoteReference w:id="301"/>
      </w:r>
      <w:r w:rsidR="009C58C8" w:rsidRPr="00FD211F">
        <w:rPr>
          <w:rStyle w:val="a6"/>
          <w:sz w:val="36"/>
          <w:szCs w:val="36"/>
          <w:rtl/>
        </w:rPr>
        <w:t>)</w:t>
      </w:r>
      <w:r w:rsidR="00603323" w:rsidRPr="00FD211F">
        <w:rPr>
          <w:sz w:val="36"/>
          <w:szCs w:val="36"/>
          <w:rtl/>
        </w:rPr>
        <w:t xml:space="preserve">، </w:t>
      </w:r>
      <w:r w:rsidRPr="00FD211F">
        <w:rPr>
          <w:sz w:val="36"/>
          <w:szCs w:val="36"/>
          <w:rtl/>
        </w:rPr>
        <w:t>نعم ذكر المحقق الايرواني</w:t>
      </w:r>
      <w:r w:rsidR="00A61BAE" w:rsidRPr="00FD211F">
        <w:rPr>
          <w:sz w:val="36"/>
          <w:szCs w:val="36"/>
          <w:rtl/>
        </w:rPr>
        <w:t xml:space="preserve"> </w:t>
      </w:r>
      <w:r w:rsidR="009C58C8" w:rsidRPr="00FD211F">
        <w:rPr>
          <w:sz w:val="36"/>
          <w:szCs w:val="36"/>
          <w:rtl/>
        </w:rPr>
        <w:t>"</w:t>
      </w:r>
      <w:r w:rsidR="005D03BA" w:rsidRPr="00FD211F">
        <w:rPr>
          <w:sz w:val="36"/>
          <w:szCs w:val="36"/>
          <w:rtl/>
        </w:rPr>
        <w:t>قده</w:t>
      </w:r>
      <w:r w:rsidR="009C58C8" w:rsidRPr="00FD211F">
        <w:rPr>
          <w:sz w:val="36"/>
          <w:szCs w:val="36"/>
          <w:rtl/>
        </w:rPr>
        <w:t>"</w:t>
      </w:r>
      <w:r w:rsidR="00A61BAE" w:rsidRPr="00FD211F">
        <w:rPr>
          <w:sz w:val="36"/>
          <w:szCs w:val="36"/>
          <w:rtl/>
        </w:rPr>
        <w:t xml:space="preserve"> </w:t>
      </w:r>
      <w:r w:rsidRPr="00FD211F">
        <w:rPr>
          <w:sz w:val="36"/>
          <w:szCs w:val="36"/>
          <w:rtl/>
        </w:rPr>
        <w:t>انه حيث لايدل الحرف على معنى مستقل فلابد من وضع الجمل</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الحرف على معناها</w:t>
      </w:r>
      <w:r w:rsidR="009C58C8" w:rsidRPr="00FD211F">
        <w:rPr>
          <w:rStyle w:val="a6"/>
          <w:sz w:val="36"/>
          <w:szCs w:val="36"/>
          <w:rtl/>
        </w:rPr>
        <w:t>(</w:t>
      </w:r>
      <w:r w:rsidR="009C58C8" w:rsidRPr="00FD211F">
        <w:rPr>
          <w:rStyle w:val="a6"/>
          <w:sz w:val="36"/>
          <w:szCs w:val="36"/>
          <w:rtl/>
        </w:rPr>
        <w:footnoteReference w:id="302"/>
      </w:r>
      <w:r w:rsidR="009C58C8" w:rsidRPr="00FD211F">
        <w:rPr>
          <w:rStyle w:val="a6"/>
          <w:sz w:val="36"/>
          <w:szCs w:val="36"/>
          <w:rtl/>
        </w:rPr>
        <w:t>)</w:t>
      </w:r>
      <w:r w:rsidR="00603323" w:rsidRPr="00FD211F">
        <w:rPr>
          <w:sz w:val="36"/>
          <w:szCs w:val="36"/>
          <w:rtl/>
        </w:rPr>
        <w:t xml:space="preserve">، </w:t>
      </w:r>
      <w:r w:rsidRPr="00FD211F">
        <w:rPr>
          <w:sz w:val="36"/>
          <w:szCs w:val="36"/>
          <w:rtl/>
        </w:rPr>
        <w:t>وقد ذكر في البحوث أيضا ان الحروف الدال</w:t>
      </w:r>
      <w:r w:rsidR="00EC7EDF" w:rsidRPr="00FD211F">
        <w:rPr>
          <w:sz w:val="36"/>
          <w:szCs w:val="36"/>
          <w:rtl/>
        </w:rPr>
        <w:t xml:space="preserve">ة </w:t>
      </w:r>
      <w:r w:rsidRPr="00FD211F">
        <w:rPr>
          <w:sz w:val="36"/>
          <w:szCs w:val="36"/>
          <w:rtl/>
        </w:rPr>
        <w:t>على النسب التحليلي</w:t>
      </w:r>
      <w:r w:rsidR="00EC7EDF" w:rsidRPr="00FD211F">
        <w:rPr>
          <w:sz w:val="36"/>
          <w:szCs w:val="36"/>
          <w:rtl/>
        </w:rPr>
        <w:t xml:space="preserve">ة </w:t>
      </w:r>
      <w:r w:rsidRPr="00FD211F">
        <w:rPr>
          <w:sz w:val="36"/>
          <w:szCs w:val="36"/>
          <w:rtl/>
        </w:rPr>
        <w:t>لايمكن وضعها الا بوضع جملتها بالوضع النوعي على معنى الجمل</w:t>
      </w:r>
      <w:r w:rsidR="00EC7EDF" w:rsidRPr="00FD211F">
        <w:rPr>
          <w:sz w:val="36"/>
          <w:szCs w:val="36"/>
          <w:rtl/>
        </w:rPr>
        <w:t xml:space="preserve">ة </w:t>
      </w:r>
      <w:r w:rsidRPr="00FD211F">
        <w:rPr>
          <w:sz w:val="36"/>
          <w:szCs w:val="36"/>
          <w:rtl/>
        </w:rPr>
        <w:t>الذي يكون معنى بسيطا تصورا لامحال</w:t>
      </w:r>
      <w:r w:rsidR="00EC7EDF" w:rsidRPr="00FD211F">
        <w:rPr>
          <w:sz w:val="36"/>
          <w:szCs w:val="36"/>
          <w:rtl/>
        </w:rPr>
        <w:t xml:space="preserve">ة </w:t>
      </w:r>
      <w:r w:rsidRPr="00FD211F">
        <w:rPr>
          <w:sz w:val="36"/>
          <w:szCs w:val="36"/>
          <w:rtl/>
        </w:rPr>
        <w:t>وان كان ينحل بالتعمل العقلي الى ثلاث</w:t>
      </w:r>
      <w:r w:rsidR="00EC7EDF" w:rsidRPr="00FD211F">
        <w:rPr>
          <w:sz w:val="36"/>
          <w:szCs w:val="36"/>
          <w:rtl/>
        </w:rPr>
        <w:t xml:space="preserve">ة </w:t>
      </w:r>
      <w:r w:rsidRPr="00FD211F">
        <w:rPr>
          <w:sz w:val="36"/>
          <w:szCs w:val="36"/>
          <w:rtl/>
        </w:rPr>
        <w:t>أجزاء</w:t>
      </w:r>
      <w:r w:rsidR="00603323" w:rsidRPr="00FD211F">
        <w:rPr>
          <w:sz w:val="36"/>
          <w:szCs w:val="36"/>
          <w:rtl/>
        </w:rPr>
        <w:t xml:space="preserve">، </w:t>
      </w:r>
      <w:r w:rsidRPr="00FD211F">
        <w:rPr>
          <w:sz w:val="36"/>
          <w:szCs w:val="36"/>
          <w:rtl/>
        </w:rPr>
        <w:t>فجمل</w:t>
      </w:r>
      <w:r w:rsidR="00EC7EDF" w:rsidRPr="00FD211F">
        <w:rPr>
          <w:sz w:val="36"/>
          <w:szCs w:val="36"/>
          <w:rtl/>
        </w:rPr>
        <w:t xml:space="preserve">ة </w:t>
      </w:r>
      <w:r w:rsidRPr="00FD211F">
        <w:rPr>
          <w:sz w:val="36"/>
          <w:szCs w:val="36"/>
          <w:rtl/>
        </w:rPr>
        <w:t>"الجالس في الدار" موضوع</w:t>
      </w:r>
      <w:r w:rsidR="00EC7EDF" w:rsidRPr="00FD211F">
        <w:rPr>
          <w:sz w:val="36"/>
          <w:szCs w:val="36"/>
          <w:rtl/>
        </w:rPr>
        <w:t xml:space="preserve">ة </w:t>
      </w:r>
      <w:r w:rsidRPr="00FD211F">
        <w:rPr>
          <w:sz w:val="36"/>
          <w:szCs w:val="36"/>
          <w:rtl/>
        </w:rPr>
        <w:t>على حص</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من الجالس ونظير الحروف الهيئات الدال</w:t>
      </w:r>
      <w:r w:rsidR="00EC7EDF" w:rsidRPr="00FD211F">
        <w:rPr>
          <w:sz w:val="36"/>
          <w:szCs w:val="36"/>
          <w:rtl/>
        </w:rPr>
        <w:t xml:space="preserve">ة </w:t>
      </w:r>
      <w:r w:rsidRPr="00FD211F">
        <w:rPr>
          <w:sz w:val="36"/>
          <w:szCs w:val="36"/>
          <w:rtl/>
        </w:rPr>
        <w:t>على النسب التحليلي</w:t>
      </w:r>
      <w:r w:rsidR="00EC7EDF" w:rsidRPr="00FD211F">
        <w:rPr>
          <w:sz w:val="36"/>
          <w:szCs w:val="36"/>
          <w:rtl/>
        </w:rPr>
        <w:t>ة</w:t>
      </w:r>
      <w:r w:rsidR="00603323" w:rsidRPr="00FD211F">
        <w:rPr>
          <w:sz w:val="36"/>
          <w:szCs w:val="36"/>
          <w:rtl/>
        </w:rPr>
        <w:t xml:space="preserve">، </w:t>
      </w:r>
      <w:r w:rsidRPr="00FD211F">
        <w:rPr>
          <w:sz w:val="36"/>
          <w:szCs w:val="36"/>
          <w:rtl/>
        </w:rPr>
        <w:t>فجمل</w:t>
      </w:r>
      <w:r w:rsidR="00EC7EDF" w:rsidRPr="00FD211F">
        <w:rPr>
          <w:sz w:val="36"/>
          <w:szCs w:val="36"/>
          <w:rtl/>
        </w:rPr>
        <w:t xml:space="preserve">ة </w:t>
      </w:r>
      <w:r w:rsidRPr="00FD211F">
        <w:rPr>
          <w:sz w:val="36"/>
          <w:szCs w:val="36"/>
          <w:rtl/>
        </w:rPr>
        <w:t>الاضاف</w:t>
      </w:r>
      <w:r w:rsidR="00EC7EDF" w:rsidRPr="00FD211F">
        <w:rPr>
          <w:sz w:val="36"/>
          <w:szCs w:val="36"/>
          <w:rtl/>
        </w:rPr>
        <w:t xml:space="preserve">ة </w:t>
      </w:r>
      <w:r w:rsidRPr="00FD211F">
        <w:rPr>
          <w:sz w:val="36"/>
          <w:szCs w:val="36"/>
          <w:rtl/>
        </w:rPr>
        <w:t>كقولنا: "ضرب زيدٍ" موضوع</w:t>
      </w:r>
      <w:r w:rsidR="00EC7EDF" w:rsidRPr="00FD211F">
        <w:rPr>
          <w:sz w:val="36"/>
          <w:szCs w:val="36"/>
          <w:rtl/>
        </w:rPr>
        <w:t xml:space="preserve">ة </w:t>
      </w:r>
      <w:r w:rsidRPr="00FD211F">
        <w:rPr>
          <w:sz w:val="36"/>
          <w:szCs w:val="36"/>
          <w:rtl/>
        </w:rPr>
        <w:t>على حص</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من الضرب</w:t>
      </w:r>
      <w:r w:rsidR="00603323" w:rsidRPr="00FD211F">
        <w:rPr>
          <w:sz w:val="36"/>
          <w:szCs w:val="36"/>
          <w:rtl/>
        </w:rPr>
        <w:t xml:space="preserve">، </w:t>
      </w:r>
      <w:r w:rsidRPr="00FD211F">
        <w:rPr>
          <w:sz w:val="36"/>
          <w:szCs w:val="36"/>
          <w:rtl/>
        </w:rPr>
        <w:t>والجمل</w:t>
      </w:r>
      <w:r w:rsidR="00EC7EDF" w:rsidRPr="00FD211F">
        <w:rPr>
          <w:sz w:val="36"/>
          <w:szCs w:val="36"/>
          <w:rtl/>
        </w:rPr>
        <w:t xml:space="preserve">ة </w:t>
      </w:r>
      <w:r w:rsidRPr="00FD211F">
        <w:rPr>
          <w:sz w:val="36"/>
          <w:szCs w:val="36"/>
          <w:rtl/>
        </w:rPr>
        <w:t>الوصفي</w:t>
      </w:r>
      <w:r w:rsidR="00EC7EDF" w:rsidRPr="00FD211F">
        <w:rPr>
          <w:sz w:val="36"/>
          <w:szCs w:val="36"/>
          <w:rtl/>
        </w:rPr>
        <w:t xml:space="preserve">ة </w:t>
      </w:r>
      <w:r w:rsidRPr="00FD211F">
        <w:rPr>
          <w:sz w:val="36"/>
          <w:szCs w:val="36"/>
          <w:rtl/>
        </w:rPr>
        <w:t>كقولنا "الرجل العالم" موضوع</w:t>
      </w:r>
      <w:r w:rsidR="00EC7EDF" w:rsidRPr="00FD211F">
        <w:rPr>
          <w:sz w:val="36"/>
          <w:szCs w:val="36"/>
          <w:rtl/>
        </w:rPr>
        <w:t xml:space="preserve">ة </w:t>
      </w:r>
      <w:r w:rsidRPr="00FD211F">
        <w:rPr>
          <w:sz w:val="36"/>
          <w:szCs w:val="36"/>
          <w:rtl/>
        </w:rPr>
        <w:t>لحص</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من الرج</w:t>
      </w:r>
      <w:r w:rsidR="00EC206A" w:rsidRPr="00FD211F">
        <w:rPr>
          <w:sz w:val="36"/>
          <w:szCs w:val="36"/>
          <w:rtl/>
        </w:rPr>
        <w:t>ل</w:t>
      </w:r>
      <w:r w:rsidR="00603323" w:rsidRPr="00FD211F">
        <w:rPr>
          <w:sz w:val="36"/>
          <w:szCs w:val="36"/>
          <w:rtl/>
        </w:rPr>
        <w:t xml:space="preserve">، </w:t>
      </w:r>
      <w:r w:rsidR="00EC206A" w:rsidRPr="00FD211F">
        <w:rPr>
          <w:sz w:val="36"/>
          <w:szCs w:val="36"/>
          <w:rtl/>
        </w:rPr>
        <w:t xml:space="preserve">وقدمرعدم </w:t>
      </w:r>
      <w:r w:rsidRPr="00FD211F">
        <w:rPr>
          <w:sz w:val="36"/>
          <w:szCs w:val="36"/>
          <w:rtl/>
        </w:rPr>
        <w:t>تمامي</w:t>
      </w:r>
      <w:r w:rsidR="00EC7EDF" w:rsidRPr="00FD211F">
        <w:rPr>
          <w:sz w:val="36"/>
          <w:szCs w:val="36"/>
          <w:rtl/>
        </w:rPr>
        <w:t xml:space="preserve">ة </w:t>
      </w:r>
      <w:r w:rsidRPr="00FD211F">
        <w:rPr>
          <w:sz w:val="36"/>
          <w:szCs w:val="36"/>
          <w:rtl/>
        </w:rPr>
        <w:t>هذا الكلام.</w:t>
      </w:r>
    </w:p>
    <w:p w14:paraId="559FDE9F" w14:textId="77777777" w:rsidR="00057D31" w:rsidRPr="00FD211F" w:rsidRDefault="00057D31" w:rsidP="009C58C8">
      <w:pPr>
        <w:pStyle w:val="3"/>
        <w:ind w:firstLine="227"/>
        <w:jc w:val="both"/>
        <w:rPr>
          <w:rtl/>
        </w:rPr>
        <w:sectPr w:rsidR="00057D31" w:rsidRPr="00FD211F" w:rsidSect="00D24300">
          <w:headerReference w:type="default" r:id="rId24"/>
          <w:footnotePr>
            <w:numRestart w:val="eachPage"/>
          </w:footnotePr>
          <w:pgSz w:w="10319" w:h="14578" w:code="138"/>
          <w:pgMar w:top="1418" w:right="1701" w:bottom="1418" w:left="1701" w:header="1418" w:footer="964" w:gutter="0"/>
          <w:cols w:space="720"/>
          <w:bidi/>
          <w:rtlGutter/>
          <w:docGrid w:linePitch="360"/>
        </w:sectPr>
      </w:pPr>
      <w:bookmarkStart w:id="324" w:name="_Toc154131736"/>
      <w:bookmarkStart w:id="325" w:name="_Toc156401524"/>
      <w:bookmarkStart w:id="326" w:name="_Toc192092907"/>
    </w:p>
    <w:p w14:paraId="712C6548" w14:textId="77777777" w:rsidR="009C2B11" w:rsidRPr="00FD211F" w:rsidRDefault="00052BF2" w:rsidP="009C58C8">
      <w:pPr>
        <w:pStyle w:val="3"/>
        <w:ind w:firstLine="227"/>
        <w:jc w:val="both"/>
        <w:rPr>
          <w:rtl/>
        </w:rPr>
      </w:pPr>
      <w:bookmarkStart w:id="327" w:name="_Toc223890386"/>
      <w:r w:rsidRPr="00FD211F">
        <w:rPr>
          <w:rtl/>
        </w:rPr>
        <w:t>علائم الحقيق</w:t>
      </w:r>
      <w:r w:rsidR="00EC7EDF" w:rsidRPr="00FD211F">
        <w:rPr>
          <w:rtl/>
        </w:rPr>
        <w:t xml:space="preserve">ة </w:t>
      </w:r>
      <w:r w:rsidRPr="00FD211F">
        <w:rPr>
          <w:rtl/>
        </w:rPr>
        <w:t>والمجاز</w:t>
      </w:r>
      <w:bookmarkEnd w:id="324"/>
      <w:bookmarkEnd w:id="325"/>
      <w:bookmarkEnd w:id="326"/>
      <w:bookmarkEnd w:id="327"/>
      <w:r w:rsidR="009C2B11" w:rsidRPr="00FD211F">
        <w:rPr>
          <w:rtl/>
        </w:rPr>
        <w:t xml:space="preserve"> </w:t>
      </w:r>
    </w:p>
    <w:p w14:paraId="4F366E18" w14:textId="77777777" w:rsidR="000C5BBA" w:rsidRPr="00FD211F" w:rsidRDefault="009C2B11" w:rsidP="000F5EC0">
      <w:pPr>
        <w:ind w:left="0" w:firstLine="227"/>
        <w:jc w:val="both"/>
        <w:rPr>
          <w:rFonts w:hint="cs"/>
          <w:sz w:val="36"/>
          <w:szCs w:val="36"/>
          <w:rtl/>
        </w:rPr>
      </w:pPr>
      <w:r w:rsidRPr="00FD211F">
        <w:rPr>
          <w:sz w:val="36"/>
          <w:szCs w:val="36"/>
          <w:rtl/>
        </w:rPr>
        <w:t>قبل الكلام حول علامات الحقيق</w:t>
      </w:r>
      <w:r w:rsidR="00EC7EDF" w:rsidRPr="00FD211F">
        <w:rPr>
          <w:sz w:val="36"/>
          <w:szCs w:val="36"/>
          <w:rtl/>
        </w:rPr>
        <w:t xml:space="preserve">ة </w:t>
      </w:r>
      <w:r w:rsidRPr="00FD211F">
        <w:rPr>
          <w:sz w:val="36"/>
          <w:szCs w:val="36"/>
          <w:rtl/>
        </w:rPr>
        <w:t>لابأس بنقل كلام المحقق العراقي"</w:t>
      </w:r>
      <w:r w:rsidR="007A4A0D" w:rsidRPr="00FD211F">
        <w:rPr>
          <w:sz w:val="36"/>
          <w:szCs w:val="36"/>
          <w:rtl/>
        </w:rPr>
        <w:t>قده</w:t>
      </w:r>
      <w:r w:rsidRPr="00FD211F">
        <w:rPr>
          <w:sz w:val="36"/>
          <w:szCs w:val="36"/>
          <w:rtl/>
        </w:rPr>
        <w:t>" في الم</w:t>
      </w:r>
      <w:r w:rsidR="000F5EC0" w:rsidRPr="00FD211F">
        <w:rPr>
          <w:sz w:val="36"/>
          <w:szCs w:val="36"/>
          <w:rtl/>
        </w:rPr>
        <w:t>ق</w:t>
      </w:r>
      <w:r w:rsidRPr="00FD211F">
        <w:rPr>
          <w:sz w:val="36"/>
          <w:szCs w:val="36"/>
          <w:rtl/>
        </w:rPr>
        <w:t>ام حيث أنكر الثمر</w:t>
      </w:r>
      <w:r w:rsidR="00EC7EDF" w:rsidRPr="00FD211F">
        <w:rPr>
          <w:sz w:val="36"/>
          <w:szCs w:val="36"/>
          <w:rtl/>
        </w:rPr>
        <w:t xml:space="preserve">ة </w:t>
      </w:r>
      <w:r w:rsidRPr="00FD211F">
        <w:rPr>
          <w:sz w:val="36"/>
          <w:szCs w:val="36"/>
          <w:rtl/>
        </w:rPr>
        <w:t>العملي</w:t>
      </w:r>
      <w:r w:rsidR="00EC7EDF" w:rsidRPr="00FD211F">
        <w:rPr>
          <w:sz w:val="36"/>
          <w:szCs w:val="36"/>
          <w:rtl/>
        </w:rPr>
        <w:t xml:space="preserve">ة </w:t>
      </w:r>
      <w:r w:rsidRPr="00FD211F">
        <w:rPr>
          <w:sz w:val="36"/>
          <w:szCs w:val="36"/>
          <w:rtl/>
        </w:rPr>
        <w:t>لهذا البحث بدعوى ان مدار الحجي</w:t>
      </w:r>
      <w:r w:rsidR="00EC7EDF" w:rsidRPr="00FD211F">
        <w:rPr>
          <w:sz w:val="36"/>
          <w:szCs w:val="36"/>
          <w:rtl/>
        </w:rPr>
        <w:t xml:space="preserve">ة </w:t>
      </w:r>
      <w:r w:rsidRPr="00FD211F">
        <w:rPr>
          <w:sz w:val="36"/>
          <w:szCs w:val="36"/>
          <w:rtl/>
        </w:rPr>
        <w:t>على الظهور سواء كان حقيق</w:t>
      </w:r>
      <w:r w:rsidR="00EC7EDF" w:rsidRPr="00FD211F">
        <w:rPr>
          <w:sz w:val="36"/>
          <w:szCs w:val="36"/>
          <w:rtl/>
        </w:rPr>
        <w:t xml:space="preserve">ة </w:t>
      </w:r>
      <w:r w:rsidRPr="00FD211F">
        <w:rPr>
          <w:sz w:val="36"/>
          <w:szCs w:val="36"/>
          <w:rtl/>
        </w:rPr>
        <w:t>او مجازا</w:t>
      </w:r>
      <w:r w:rsidR="00603323" w:rsidRPr="00FD211F">
        <w:rPr>
          <w:sz w:val="36"/>
          <w:szCs w:val="36"/>
          <w:rtl/>
        </w:rPr>
        <w:t xml:space="preserve">، </w:t>
      </w:r>
      <w:r w:rsidRPr="00FD211F">
        <w:rPr>
          <w:sz w:val="36"/>
          <w:szCs w:val="36"/>
          <w:rtl/>
        </w:rPr>
        <w:t>فلو فرض اجمال اللفظ سقط عن الحجي</w:t>
      </w:r>
      <w:r w:rsidR="00EC7EDF" w:rsidRPr="00FD211F">
        <w:rPr>
          <w:sz w:val="36"/>
          <w:szCs w:val="36"/>
          <w:rtl/>
        </w:rPr>
        <w:t xml:space="preserve">ة </w:t>
      </w:r>
      <w:r w:rsidRPr="00FD211F">
        <w:rPr>
          <w:sz w:val="36"/>
          <w:szCs w:val="36"/>
          <w:rtl/>
        </w:rPr>
        <w:t>ولو ثبت كونه حقيق</w:t>
      </w:r>
      <w:r w:rsidR="00EC7EDF" w:rsidRPr="00FD211F">
        <w:rPr>
          <w:sz w:val="36"/>
          <w:szCs w:val="36"/>
          <w:rtl/>
        </w:rPr>
        <w:t xml:space="preserve">ة </w:t>
      </w:r>
      <w:r w:rsidRPr="00FD211F">
        <w:rPr>
          <w:sz w:val="36"/>
          <w:szCs w:val="36"/>
          <w:rtl/>
        </w:rPr>
        <w:t>في معنى معين</w:t>
      </w:r>
      <w:r w:rsidR="00603323" w:rsidRPr="00FD211F">
        <w:rPr>
          <w:sz w:val="36"/>
          <w:szCs w:val="36"/>
          <w:rtl/>
        </w:rPr>
        <w:t xml:space="preserve">، </w:t>
      </w:r>
      <w:r w:rsidRPr="00FD211F">
        <w:rPr>
          <w:sz w:val="36"/>
          <w:szCs w:val="36"/>
          <w:rtl/>
        </w:rPr>
        <w:t>ولامجرى هنا لأصال</w:t>
      </w:r>
      <w:r w:rsidR="00EC7EDF" w:rsidRPr="00FD211F">
        <w:rPr>
          <w:sz w:val="36"/>
          <w:szCs w:val="36"/>
          <w:rtl/>
        </w:rPr>
        <w:t xml:space="preserve">ة </w:t>
      </w:r>
      <w:r w:rsidRPr="00FD211F">
        <w:rPr>
          <w:sz w:val="36"/>
          <w:szCs w:val="36"/>
          <w:rtl/>
        </w:rPr>
        <w:t>الحقيق</w:t>
      </w:r>
      <w:r w:rsidR="00EC7EDF" w:rsidRPr="00FD211F">
        <w:rPr>
          <w:sz w:val="36"/>
          <w:szCs w:val="36"/>
          <w:rtl/>
        </w:rPr>
        <w:t xml:space="preserve">ة </w:t>
      </w:r>
      <w:r w:rsidRPr="00FD211F">
        <w:rPr>
          <w:sz w:val="36"/>
          <w:szCs w:val="36"/>
          <w:rtl/>
        </w:rPr>
        <w:t>لان مرجعها الى اصال</w:t>
      </w:r>
      <w:r w:rsidR="00EC7EDF" w:rsidRPr="00FD211F">
        <w:rPr>
          <w:sz w:val="36"/>
          <w:szCs w:val="36"/>
          <w:rtl/>
        </w:rPr>
        <w:t xml:space="preserve">ة </w:t>
      </w:r>
      <w:r w:rsidRPr="00FD211F">
        <w:rPr>
          <w:sz w:val="36"/>
          <w:szCs w:val="36"/>
          <w:rtl/>
        </w:rPr>
        <w:t>الظهور</w:t>
      </w:r>
      <w:r w:rsidR="009C58C8" w:rsidRPr="00FD211F">
        <w:rPr>
          <w:rStyle w:val="a6"/>
          <w:sz w:val="36"/>
          <w:szCs w:val="36"/>
          <w:rtl/>
        </w:rPr>
        <w:t>(</w:t>
      </w:r>
      <w:r w:rsidR="009C58C8" w:rsidRPr="00FD211F">
        <w:rPr>
          <w:rStyle w:val="a6"/>
          <w:sz w:val="36"/>
          <w:szCs w:val="36"/>
          <w:rtl/>
        </w:rPr>
        <w:footnoteReference w:id="303"/>
      </w:r>
      <w:r w:rsidR="009C58C8" w:rsidRPr="00FD211F">
        <w:rPr>
          <w:rStyle w:val="a6"/>
          <w:sz w:val="36"/>
          <w:szCs w:val="36"/>
          <w:rtl/>
        </w:rPr>
        <w:t>)</w:t>
      </w:r>
      <w:r w:rsidR="0082246C">
        <w:rPr>
          <w:rFonts w:hint="cs"/>
          <w:sz w:val="36"/>
          <w:szCs w:val="36"/>
          <w:rtl/>
        </w:rPr>
        <w:t>.</w:t>
      </w:r>
    </w:p>
    <w:p w14:paraId="762A8122" w14:textId="77777777" w:rsidR="009C2B11" w:rsidRPr="00FD211F" w:rsidRDefault="009C2B11" w:rsidP="009C58C8">
      <w:pPr>
        <w:ind w:left="0" w:firstLine="227"/>
        <w:jc w:val="both"/>
        <w:rPr>
          <w:sz w:val="36"/>
          <w:szCs w:val="36"/>
          <w:rtl/>
        </w:rPr>
      </w:pPr>
      <w:r w:rsidRPr="00FD211F">
        <w:rPr>
          <w:sz w:val="36"/>
          <w:szCs w:val="36"/>
          <w:rtl/>
        </w:rPr>
        <w:t>ولكن يرد عليه انه لايرفع</w:t>
      </w:r>
      <w:r w:rsidR="00B253CE" w:rsidRPr="00FD211F">
        <w:rPr>
          <w:sz w:val="36"/>
          <w:szCs w:val="36"/>
          <w:rtl/>
        </w:rPr>
        <w:t xml:space="preserve"> </w:t>
      </w:r>
      <w:r w:rsidRPr="00FD211F">
        <w:rPr>
          <w:sz w:val="36"/>
          <w:szCs w:val="36"/>
          <w:rtl/>
        </w:rPr>
        <w:t>الحاج</w:t>
      </w:r>
      <w:r w:rsidR="00EC7EDF" w:rsidRPr="00FD211F">
        <w:rPr>
          <w:sz w:val="36"/>
          <w:szCs w:val="36"/>
          <w:rtl/>
        </w:rPr>
        <w:t xml:space="preserve">ة </w:t>
      </w:r>
      <w:r w:rsidRPr="00FD211F">
        <w:rPr>
          <w:sz w:val="36"/>
          <w:szCs w:val="36"/>
          <w:rtl/>
        </w:rPr>
        <w:t>الى كشف المعنى الحقيقي لل</w:t>
      </w:r>
      <w:r w:rsidR="000F5574" w:rsidRPr="00FD211F">
        <w:rPr>
          <w:sz w:val="36"/>
          <w:szCs w:val="36"/>
          <w:rtl/>
        </w:rPr>
        <w:t>ّ</w:t>
      </w:r>
      <w:r w:rsidRPr="00FD211F">
        <w:rPr>
          <w:sz w:val="36"/>
          <w:szCs w:val="36"/>
          <w:rtl/>
        </w:rPr>
        <w:t>فظ فانه يعلم غالبا بظهور الكلام في معناه الحقيقي المعلوم لدى العرف العام اذا احرز عدم قرين</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في البين</w:t>
      </w:r>
      <w:r w:rsidR="00603323" w:rsidRPr="00FD211F">
        <w:rPr>
          <w:sz w:val="36"/>
          <w:szCs w:val="36"/>
          <w:rtl/>
        </w:rPr>
        <w:t xml:space="preserve">، </w:t>
      </w:r>
      <w:r w:rsidRPr="00FD211F">
        <w:rPr>
          <w:sz w:val="36"/>
          <w:szCs w:val="36"/>
          <w:rtl/>
        </w:rPr>
        <w:t>فيكون البحث عن المعنى الحقيقي وسيل</w:t>
      </w:r>
      <w:r w:rsidR="00EC7EDF" w:rsidRPr="00FD211F">
        <w:rPr>
          <w:sz w:val="36"/>
          <w:szCs w:val="36"/>
          <w:rtl/>
        </w:rPr>
        <w:t xml:space="preserve">ة </w:t>
      </w:r>
      <w:r w:rsidRPr="00FD211F">
        <w:rPr>
          <w:sz w:val="36"/>
          <w:szCs w:val="36"/>
          <w:rtl/>
        </w:rPr>
        <w:t xml:space="preserve">لإحراز الظهور التصديقي النوعي للكلام. </w:t>
      </w:r>
    </w:p>
    <w:p w14:paraId="57A8DD33" w14:textId="77777777" w:rsidR="00052BF2" w:rsidRPr="00FD211F" w:rsidRDefault="009C2B11" w:rsidP="009C58C8">
      <w:pPr>
        <w:ind w:left="0" w:firstLine="227"/>
        <w:jc w:val="both"/>
        <w:rPr>
          <w:sz w:val="36"/>
          <w:szCs w:val="36"/>
          <w:rtl/>
        </w:rPr>
      </w:pPr>
      <w:r w:rsidRPr="00FD211F">
        <w:rPr>
          <w:sz w:val="36"/>
          <w:szCs w:val="36"/>
          <w:rtl/>
        </w:rPr>
        <w:t xml:space="preserve">وكيف كان فقد </w:t>
      </w:r>
      <w:r w:rsidR="00052BF2" w:rsidRPr="00FD211F">
        <w:rPr>
          <w:sz w:val="36"/>
          <w:szCs w:val="36"/>
          <w:rtl/>
        </w:rPr>
        <w:t>ذكروا علامات لمعرف</w:t>
      </w:r>
      <w:r w:rsidR="00EC7EDF" w:rsidRPr="00FD211F">
        <w:rPr>
          <w:sz w:val="36"/>
          <w:szCs w:val="36"/>
          <w:rtl/>
        </w:rPr>
        <w:t xml:space="preserve">ة </w:t>
      </w:r>
      <w:r w:rsidR="00052BF2" w:rsidRPr="00FD211F">
        <w:rPr>
          <w:sz w:val="36"/>
          <w:szCs w:val="36"/>
          <w:rtl/>
        </w:rPr>
        <w:t>المعنى الحقيقي عن المعنى المجازي وهي التبادر وصح</w:t>
      </w:r>
      <w:r w:rsidR="00EC7EDF" w:rsidRPr="00FD211F">
        <w:rPr>
          <w:sz w:val="36"/>
          <w:szCs w:val="36"/>
          <w:rtl/>
        </w:rPr>
        <w:t xml:space="preserve">ة </w:t>
      </w:r>
      <w:r w:rsidR="00052BF2" w:rsidRPr="00FD211F">
        <w:rPr>
          <w:sz w:val="36"/>
          <w:szCs w:val="36"/>
          <w:rtl/>
        </w:rPr>
        <w:t>الحمل والاطراد.</w:t>
      </w:r>
    </w:p>
    <w:p w14:paraId="043AE471" w14:textId="77777777" w:rsidR="00052BF2" w:rsidRPr="00FD211F" w:rsidRDefault="00052BF2" w:rsidP="009C58C8">
      <w:pPr>
        <w:pStyle w:val="3"/>
        <w:ind w:firstLine="227"/>
        <w:jc w:val="both"/>
        <w:rPr>
          <w:rtl/>
        </w:rPr>
      </w:pPr>
      <w:bookmarkStart w:id="328" w:name="_Toc154131737"/>
      <w:bookmarkStart w:id="329" w:name="_Toc156401525"/>
      <w:bookmarkStart w:id="330" w:name="_Toc192092908"/>
      <w:bookmarkStart w:id="331" w:name="_Toc223890387"/>
      <w:r w:rsidRPr="00FD211F">
        <w:rPr>
          <w:rtl/>
        </w:rPr>
        <w:t>التبادر</w:t>
      </w:r>
      <w:bookmarkEnd w:id="328"/>
      <w:bookmarkEnd w:id="329"/>
      <w:bookmarkEnd w:id="330"/>
      <w:bookmarkEnd w:id="331"/>
    </w:p>
    <w:p w14:paraId="625A80A4" w14:textId="77777777" w:rsidR="00052BF2" w:rsidRPr="00FD211F" w:rsidRDefault="00052BF2" w:rsidP="009C58C8">
      <w:pPr>
        <w:ind w:left="0" w:firstLine="227"/>
        <w:jc w:val="both"/>
        <w:rPr>
          <w:sz w:val="36"/>
          <w:szCs w:val="36"/>
          <w:rtl/>
        </w:rPr>
      </w:pPr>
      <w:r w:rsidRPr="00FD211F">
        <w:rPr>
          <w:sz w:val="36"/>
          <w:szCs w:val="36"/>
          <w:rtl/>
        </w:rPr>
        <w:t>فيقع الكلام اولا في التبادر</w:t>
      </w:r>
      <w:r w:rsidR="00603323" w:rsidRPr="00FD211F">
        <w:rPr>
          <w:sz w:val="36"/>
          <w:szCs w:val="36"/>
          <w:rtl/>
        </w:rPr>
        <w:t xml:space="preserve">، </w:t>
      </w:r>
      <w:r w:rsidRPr="00FD211F">
        <w:rPr>
          <w:sz w:val="36"/>
          <w:szCs w:val="36"/>
          <w:rtl/>
        </w:rPr>
        <w:t>وقد ذكروا ان التبادر وهو انسباق معنى عند سماع اللفظ بلا قرين</w:t>
      </w:r>
      <w:r w:rsidR="00EC7EDF" w:rsidRPr="00FD211F">
        <w:rPr>
          <w:sz w:val="36"/>
          <w:szCs w:val="36"/>
          <w:rtl/>
        </w:rPr>
        <w:t xml:space="preserve">ة </w:t>
      </w:r>
      <w:r w:rsidRPr="00FD211F">
        <w:rPr>
          <w:sz w:val="36"/>
          <w:szCs w:val="36"/>
          <w:rtl/>
        </w:rPr>
        <w:t>يكشف عن تحقق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بينهما</w:t>
      </w:r>
      <w:r w:rsidR="00603323" w:rsidRPr="00FD211F">
        <w:rPr>
          <w:sz w:val="36"/>
          <w:szCs w:val="36"/>
          <w:rtl/>
        </w:rPr>
        <w:t xml:space="preserve">، </w:t>
      </w:r>
      <w:r w:rsidRPr="00FD211F">
        <w:rPr>
          <w:sz w:val="36"/>
          <w:szCs w:val="36"/>
          <w:rtl/>
        </w:rPr>
        <w:t>كما يكشف انسباق خصوص ذلك المعنى دون غيره ان اللفظ ليس مشتركا لفظيا بين هذا المعنى وبين معنى آخر في العرف العام الذي يعيش فيه هذا السامع.</w:t>
      </w:r>
    </w:p>
    <w:p w14:paraId="4505F941" w14:textId="77777777" w:rsidR="00052BF2" w:rsidRPr="00FD211F" w:rsidRDefault="00052BF2" w:rsidP="009C58C8">
      <w:pPr>
        <w:ind w:left="0" w:firstLine="227"/>
        <w:jc w:val="both"/>
        <w:rPr>
          <w:sz w:val="36"/>
          <w:szCs w:val="36"/>
          <w:rtl/>
        </w:rPr>
      </w:pPr>
      <w:r w:rsidRPr="00FD211F">
        <w:rPr>
          <w:sz w:val="36"/>
          <w:szCs w:val="36"/>
          <w:rtl/>
        </w:rPr>
        <w:t>وقد اورد عليه بان التبادر يكون موقوفا على العلم بالوضع حيث لايحصل ذلك لدى الجاهل بالوضع</w:t>
      </w:r>
      <w:r w:rsidR="00603323" w:rsidRPr="00FD211F">
        <w:rPr>
          <w:sz w:val="36"/>
          <w:szCs w:val="36"/>
          <w:rtl/>
        </w:rPr>
        <w:t xml:space="preserve">، </w:t>
      </w:r>
      <w:r w:rsidRPr="00FD211F">
        <w:rPr>
          <w:sz w:val="36"/>
          <w:szCs w:val="36"/>
          <w:rtl/>
        </w:rPr>
        <w:t>وحينئذ فلو اريد جعل التبادر عل</w:t>
      </w:r>
      <w:r w:rsidR="00EC7EDF" w:rsidRPr="00FD211F">
        <w:rPr>
          <w:sz w:val="36"/>
          <w:szCs w:val="36"/>
          <w:rtl/>
        </w:rPr>
        <w:t xml:space="preserve">ة </w:t>
      </w:r>
      <w:r w:rsidRPr="00FD211F">
        <w:rPr>
          <w:sz w:val="36"/>
          <w:szCs w:val="36"/>
          <w:rtl/>
        </w:rPr>
        <w:t>لحصول العلم بالوضع لزم الدور.</w:t>
      </w:r>
    </w:p>
    <w:p w14:paraId="11381F1D" w14:textId="77777777" w:rsidR="00052BF2" w:rsidRPr="00FD211F" w:rsidRDefault="00052BF2" w:rsidP="009C58C8">
      <w:pPr>
        <w:ind w:left="0" w:firstLine="227"/>
        <w:jc w:val="both"/>
        <w:rPr>
          <w:sz w:val="36"/>
          <w:szCs w:val="36"/>
          <w:rtl/>
        </w:rPr>
      </w:pPr>
      <w:r w:rsidRPr="00FD211F">
        <w:rPr>
          <w:sz w:val="36"/>
          <w:szCs w:val="36"/>
          <w:rtl/>
        </w:rPr>
        <w:t>وقد أجيب عن هذا الدور بوجوه:</w:t>
      </w:r>
    </w:p>
    <w:p w14:paraId="310E4F9D" w14:textId="77777777" w:rsidR="00052BF2" w:rsidRPr="00FD211F" w:rsidRDefault="00052BF2" w:rsidP="005946E3">
      <w:pPr>
        <w:ind w:left="0" w:firstLine="227"/>
        <w:jc w:val="both"/>
        <w:rPr>
          <w:sz w:val="36"/>
          <w:szCs w:val="36"/>
          <w:rtl/>
        </w:rPr>
      </w:pPr>
      <w:r w:rsidRPr="00FD211F">
        <w:rPr>
          <w:sz w:val="36"/>
          <w:szCs w:val="36"/>
          <w:rtl/>
        </w:rPr>
        <w:t>1- ما حكي عن المحقق الطهراني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ان العلم بالوضع ليس مقتضيا وعل</w:t>
      </w:r>
      <w:r w:rsidR="00EC7EDF" w:rsidRPr="00FD211F">
        <w:rPr>
          <w:sz w:val="36"/>
          <w:szCs w:val="36"/>
          <w:rtl/>
        </w:rPr>
        <w:t xml:space="preserve">ة </w:t>
      </w:r>
      <w:r w:rsidRPr="00FD211F">
        <w:rPr>
          <w:sz w:val="36"/>
          <w:szCs w:val="36"/>
          <w:rtl/>
        </w:rPr>
        <w:t>للتبادر بل المقتضي والعل</w:t>
      </w:r>
      <w:r w:rsidR="00EC7EDF" w:rsidRPr="00FD211F">
        <w:rPr>
          <w:sz w:val="36"/>
          <w:szCs w:val="36"/>
          <w:rtl/>
        </w:rPr>
        <w:t xml:space="preserve">ة </w:t>
      </w:r>
      <w:r w:rsidRPr="00FD211F">
        <w:rPr>
          <w:sz w:val="36"/>
          <w:szCs w:val="36"/>
          <w:rtl/>
        </w:rPr>
        <w:t>للتبادر هو الوضع وانما يكون شرط تأثيره في تحقق التبادر هو العلم به.</w:t>
      </w:r>
    </w:p>
    <w:p w14:paraId="0D10F6BB" w14:textId="77777777" w:rsidR="00052BF2" w:rsidRPr="00FD211F" w:rsidRDefault="00052BF2" w:rsidP="009C58C8">
      <w:pPr>
        <w:ind w:left="0" w:firstLine="227"/>
        <w:jc w:val="both"/>
        <w:rPr>
          <w:sz w:val="36"/>
          <w:szCs w:val="36"/>
          <w:rtl/>
        </w:rPr>
      </w:pPr>
      <w:r w:rsidRPr="00FD211F">
        <w:rPr>
          <w:sz w:val="36"/>
          <w:szCs w:val="36"/>
          <w:rtl/>
        </w:rPr>
        <w:t>وهذا الجواب لايخلو من غراب</w:t>
      </w:r>
      <w:r w:rsidR="00EC7EDF" w:rsidRPr="00FD211F">
        <w:rPr>
          <w:sz w:val="36"/>
          <w:szCs w:val="36"/>
          <w:rtl/>
        </w:rPr>
        <w:t>ة</w:t>
      </w:r>
      <w:r w:rsidR="00603323" w:rsidRPr="00FD211F">
        <w:rPr>
          <w:sz w:val="36"/>
          <w:szCs w:val="36"/>
          <w:rtl/>
        </w:rPr>
        <w:t xml:space="preserve">، </w:t>
      </w:r>
      <w:r w:rsidRPr="00FD211F">
        <w:rPr>
          <w:sz w:val="36"/>
          <w:szCs w:val="36"/>
          <w:rtl/>
        </w:rPr>
        <w:t>فان مجرد ما ذكره لايرفع غائل</w:t>
      </w:r>
      <w:r w:rsidR="00EC7EDF" w:rsidRPr="00FD211F">
        <w:rPr>
          <w:sz w:val="36"/>
          <w:szCs w:val="36"/>
          <w:rtl/>
        </w:rPr>
        <w:t xml:space="preserve">ة </w:t>
      </w:r>
      <w:r w:rsidRPr="00FD211F">
        <w:rPr>
          <w:sz w:val="36"/>
          <w:szCs w:val="36"/>
          <w:rtl/>
        </w:rPr>
        <w:t>الدور</w:t>
      </w:r>
      <w:r w:rsidR="00603323" w:rsidRPr="00FD211F">
        <w:rPr>
          <w:sz w:val="36"/>
          <w:szCs w:val="36"/>
          <w:rtl/>
        </w:rPr>
        <w:t xml:space="preserve">، </w:t>
      </w:r>
      <w:r w:rsidRPr="00FD211F">
        <w:rPr>
          <w:sz w:val="36"/>
          <w:szCs w:val="36"/>
          <w:rtl/>
        </w:rPr>
        <w:t xml:space="preserve">اذ </w:t>
      </w:r>
      <w:commentRangeStart w:id="332"/>
      <w:r w:rsidRPr="00FD211F">
        <w:rPr>
          <w:sz w:val="36"/>
          <w:szCs w:val="36"/>
          <w:rtl/>
        </w:rPr>
        <w:t>يقال</w:t>
      </w:r>
      <w:commentRangeEnd w:id="332"/>
      <w:r w:rsidR="00145BC5">
        <w:rPr>
          <w:rStyle w:val="ab"/>
          <w:rtl/>
        </w:rPr>
        <w:commentReference w:id="332"/>
      </w:r>
      <w:r w:rsidRPr="00FD211F">
        <w:rPr>
          <w:sz w:val="36"/>
          <w:szCs w:val="36"/>
          <w:rtl/>
        </w:rPr>
        <w:t xml:space="preserve"> حينئذ بانه يمتنع كون التبادر سببا للعلم بالوضع بعد ان كان العلم بالوضع موقوفا عليه توقف المعلول على تحقق شرطه.</w:t>
      </w:r>
    </w:p>
    <w:p w14:paraId="5ED61C5A" w14:textId="77777777" w:rsidR="00052BF2" w:rsidRPr="00FD211F" w:rsidRDefault="00052BF2" w:rsidP="009C58C8">
      <w:pPr>
        <w:ind w:left="0" w:firstLine="227"/>
        <w:jc w:val="both"/>
        <w:rPr>
          <w:sz w:val="36"/>
          <w:szCs w:val="36"/>
          <w:rtl/>
        </w:rPr>
      </w:pPr>
      <w:r w:rsidRPr="00FD211F">
        <w:rPr>
          <w:sz w:val="36"/>
          <w:szCs w:val="36"/>
          <w:rtl/>
        </w:rPr>
        <w:t xml:space="preserve">الا ان المحقق الاصفهاني </w:t>
      </w:r>
      <w:r w:rsidR="00EC206A" w:rsidRPr="00FD211F">
        <w:rPr>
          <w:sz w:val="36"/>
          <w:szCs w:val="36"/>
          <w:rtl/>
        </w:rPr>
        <w:t>"</w:t>
      </w:r>
      <w:r w:rsidRPr="00FD211F">
        <w:rPr>
          <w:sz w:val="36"/>
          <w:szCs w:val="36"/>
          <w:rtl/>
        </w:rPr>
        <w:t>قده</w:t>
      </w:r>
      <w:r w:rsidR="00EC206A" w:rsidRPr="00FD211F">
        <w:rPr>
          <w:sz w:val="36"/>
          <w:szCs w:val="36"/>
          <w:rtl/>
        </w:rPr>
        <w:t>"</w:t>
      </w:r>
      <w:r w:rsidR="008D7B3D" w:rsidRPr="00FD211F">
        <w:rPr>
          <w:sz w:val="36"/>
          <w:szCs w:val="36"/>
          <w:rtl/>
        </w:rPr>
        <w:t xml:space="preserve"> لم‌</w:t>
      </w:r>
      <w:r w:rsidRPr="00FD211F">
        <w:rPr>
          <w:sz w:val="36"/>
          <w:szCs w:val="36"/>
          <w:rtl/>
        </w:rPr>
        <w:t>يكتف بهذا</w:t>
      </w:r>
      <w:r w:rsidR="00603323" w:rsidRPr="00FD211F">
        <w:rPr>
          <w:sz w:val="36"/>
          <w:szCs w:val="36"/>
          <w:rtl/>
        </w:rPr>
        <w:t xml:space="preserve">، </w:t>
      </w:r>
      <w:r w:rsidRPr="00FD211F">
        <w:rPr>
          <w:sz w:val="36"/>
          <w:szCs w:val="36"/>
          <w:rtl/>
        </w:rPr>
        <w:t>بل تصدى لإبطال ما ذكره من كون الوضع مقتضيا للتبادر فذكر ان الوضع هو إنشاء كون طبيعي اللفظ هو طبيعي المعنى</w:t>
      </w:r>
      <w:r w:rsidR="00603323" w:rsidRPr="00FD211F">
        <w:rPr>
          <w:sz w:val="36"/>
          <w:szCs w:val="36"/>
          <w:rtl/>
        </w:rPr>
        <w:t xml:space="preserve">، </w:t>
      </w:r>
      <w:r w:rsidRPr="00FD211F">
        <w:rPr>
          <w:sz w:val="36"/>
          <w:szCs w:val="36"/>
          <w:rtl/>
        </w:rPr>
        <w:t>وهذه الملازم</w:t>
      </w:r>
      <w:r w:rsidR="00EC7EDF" w:rsidRPr="00FD211F">
        <w:rPr>
          <w:sz w:val="36"/>
          <w:szCs w:val="36"/>
          <w:rtl/>
        </w:rPr>
        <w:t xml:space="preserve">ة </w:t>
      </w:r>
      <w:r w:rsidRPr="00FD211F">
        <w:rPr>
          <w:sz w:val="36"/>
          <w:szCs w:val="36"/>
          <w:rtl/>
        </w:rPr>
        <w:t>الجعلي</w:t>
      </w:r>
      <w:r w:rsidR="00EC7EDF" w:rsidRPr="00FD211F">
        <w:rPr>
          <w:sz w:val="36"/>
          <w:szCs w:val="36"/>
          <w:rtl/>
        </w:rPr>
        <w:t xml:space="preserve">ة </w:t>
      </w:r>
      <w:r w:rsidRPr="00FD211F">
        <w:rPr>
          <w:sz w:val="36"/>
          <w:szCs w:val="36"/>
          <w:rtl/>
        </w:rPr>
        <w:t>بين اللفظ والمعنى ليست من سنخ الوجود الحقيقي حتى يمكن تأثيرها في إيجاد تبادر المعنى الذي هو من سنخ الوجود الحقيقي الذهني</w:t>
      </w:r>
      <w:r w:rsidR="00603323" w:rsidRPr="00FD211F">
        <w:rPr>
          <w:sz w:val="36"/>
          <w:szCs w:val="36"/>
          <w:rtl/>
        </w:rPr>
        <w:t xml:space="preserve">، </w:t>
      </w:r>
      <w:r w:rsidRPr="00FD211F">
        <w:rPr>
          <w:sz w:val="36"/>
          <w:szCs w:val="36"/>
          <w:rtl/>
        </w:rPr>
        <w:t>فالوضع لايمكن ان يكون مقتضيا ومؤثرا في تحقق تبادر المعنى</w:t>
      </w:r>
      <w:r w:rsidR="00603323" w:rsidRPr="00FD211F">
        <w:rPr>
          <w:sz w:val="36"/>
          <w:szCs w:val="36"/>
          <w:rtl/>
        </w:rPr>
        <w:t xml:space="preserve">، </w:t>
      </w:r>
      <w:r w:rsidRPr="00FD211F">
        <w:rPr>
          <w:sz w:val="36"/>
          <w:szCs w:val="36"/>
          <w:rtl/>
        </w:rPr>
        <w:t>وانما يكون المقتضي له هو العلم بالوضع اي الملازم</w:t>
      </w:r>
      <w:r w:rsidR="00EC7EDF" w:rsidRPr="00FD211F">
        <w:rPr>
          <w:sz w:val="36"/>
          <w:szCs w:val="36"/>
          <w:rtl/>
        </w:rPr>
        <w:t xml:space="preserve">ة </w:t>
      </w:r>
      <w:r w:rsidRPr="00FD211F">
        <w:rPr>
          <w:sz w:val="36"/>
          <w:szCs w:val="36"/>
          <w:rtl/>
        </w:rPr>
        <w:t>الجعلي</w:t>
      </w:r>
      <w:r w:rsidR="00EC7EDF" w:rsidRPr="00FD211F">
        <w:rPr>
          <w:sz w:val="36"/>
          <w:szCs w:val="36"/>
          <w:rtl/>
        </w:rPr>
        <w:t xml:space="preserve">ة </w:t>
      </w:r>
      <w:r w:rsidRPr="00FD211F">
        <w:rPr>
          <w:sz w:val="36"/>
          <w:szCs w:val="36"/>
          <w:rtl/>
        </w:rPr>
        <w:t>بين اللفظ والمعنى</w:t>
      </w:r>
      <w:r w:rsidR="00603323" w:rsidRPr="00FD211F">
        <w:rPr>
          <w:sz w:val="36"/>
          <w:szCs w:val="36"/>
          <w:rtl/>
        </w:rPr>
        <w:t xml:space="preserve">، </w:t>
      </w:r>
      <w:r w:rsidRPr="00FD211F">
        <w:rPr>
          <w:sz w:val="36"/>
          <w:szCs w:val="36"/>
          <w:rtl/>
        </w:rPr>
        <w:t>فكما ان العلم بالإحراق يكون معلولا للعلم بالملازم</w:t>
      </w:r>
      <w:r w:rsidR="00EC7EDF" w:rsidRPr="00FD211F">
        <w:rPr>
          <w:sz w:val="36"/>
          <w:szCs w:val="36"/>
          <w:rtl/>
        </w:rPr>
        <w:t xml:space="preserve">ة </w:t>
      </w:r>
      <w:r w:rsidRPr="00FD211F">
        <w:rPr>
          <w:sz w:val="36"/>
          <w:szCs w:val="36"/>
          <w:rtl/>
        </w:rPr>
        <w:t>بين النار والإحراق بشرط العلم بالنار فكذلك تصور المعنى يكون معلولا للعلم بالوضع التي هي ملازم</w:t>
      </w:r>
      <w:r w:rsidR="00EC7EDF" w:rsidRPr="00FD211F">
        <w:rPr>
          <w:sz w:val="36"/>
          <w:szCs w:val="36"/>
          <w:rtl/>
        </w:rPr>
        <w:t xml:space="preserve">ة </w:t>
      </w:r>
      <w:r w:rsidRPr="00FD211F">
        <w:rPr>
          <w:sz w:val="36"/>
          <w:szCs w:val="36"/>
          <w:rtl/>
        </w:rPr>
        <w:t>جعلي</w:t>
      </w:r>
      <w:r w:rsidR="00EC7EDF" w:rsidRPr="00FD211F">
        <w:rPr>
          <w:sz w:val="36"/>
          <w:szCs w:val="36"/>
          <w:rtl/>
        </w:rPr>
        <w:t xml:space="preserve">ة </w:t>
      </w:r>
      <w:r w:rsidRPr="00FD211F">
        <w:rPr>
          <w:sz w:val="36"/>
          <w:szCs w:val="36"/>
          <w:rtl/>
        </w:rPr>
        <w:t>بين اللفظ والمعنى بشرط تصور اللفظ.</w:t>
      </w:r>
    </w:p>
    <w:p w14:paraId="570AA048" w14:textId="77777777" w:rsidR="00EF54ED" w:rsidRDefault="00052BF2" w:rsidP="009C58C8">
      <w:pPr>
        <w:ind w:left="0" w:firstLine="227"/>
        <w:jc w:val="both"/>
        <w:rPr>
          <w:sz w:val="36"/>
          <w:szCs w:val="36"/>
          <w:rtl/>
        </w:rPr>
      </w:pPr>
      <w:r w:rsidRPr="00FD211F">
        <w:rPr>
          <w:sz w:val="36"/>
          <w:szCs w:val="36"/>
          <w:rtl/>
        </w:rPr>
        <w:t>وأما كون تصور المعنى معلولا لتصور اللفظ بان يكون تصور اللفظ مقتضيا لتصور المعنى ويكون العلم بالملازم</w:t>
      </w:r>
      <w:r w:rsidR="00EC7EDF" w:rsidRPr="00FD211F">
        <w:rPr>
          <w:sz w:val="36"/>
          <w:szCs w:val="36"/>
          <w:rtl/>
        </w:rPr>
        <w:t xml:space="preserve">ة </w:t>
      </w:r>
      <w:r w:rsidRPr="00FD211F">
        <w:rPr>
          <w:sz w:val="36"/>
          <w:szCs w:val="36"/>
          <w:rtl/>
        </w:rPr>
        <w:t>الجعلي</w:t>
      </w:r>
      <w:r w:rsidR="00EC7EDF" w:rsidRPr="00FD211F">
        <w:rPr>
          <w:sz w:val="36"/>
          <w:szCs w:val="36"/>
          <w:rtl/>
        </w:rPr>
        <w:t xml:space="preserve">ة </w:t>
      </w:r>
      <w:r w:rsidRPr="00FD211F">
        <w:rPr>
          <w:sz w:val="36"/>
          <w:szCs w:val="36"/>
          <w:rtl/>
        </w:rPr>
        <w:t>شرطا في تأثيره في تحققه فلايتم أيضا</w:t>
      </w:r>
      <w:r w:rsidR="00603323" w:rsidRPr="00FD211F">
        <w:rPr>
          <w:sz w:val="36"/>
          <w:szCs w:val="36"/>
          <w:rtl/>
        </w:rPr>
        <w:t xml:space="preserve">، </w:t>
      </w:r>
      <w:r w:rsidRPr="00FD211F">
        <w:rPr>
          <w:sz w:val="36"/>
          <w:szCs w:val="36"/>
          <w:rtl/>
        </w:rPr>
        <w:t>لان تصور احد المتلازمين عند تصور الآخر لايختص باحدهما دون الآخر</w:t>
      </w:r>
      <w:r w:rsidR="00603323" w:rsidRPr="00FD211F">
        <w:rPr>
          <w:sz w:val="36"/>
          <w:szCs w:val="36"/>
          <w:rtl/>
        </w:rPr>
        <w:t xml:space="preserve">، </w:t>
      </w:r>
      <w:r w:rsidRPr="00FD211F">
        <w:rPr>
          <w:sz w:val="36"/>
          <w:szCs w:val="36"/>
          <w:rtl/>
        </w:rPr>
        <w:t>فيلزم حينئذ علي</w:t>
      </w:r>
      <w:r w:rsidR="00EC7EDF" w:rsidRPr="00FD211F">
        <w:rPr>
          <w:sz w:val="36"/>
          <w:szCs w:val="36"/>
          <w:rtl/>
        </w:rPr>
        <w:t xml:space="preserve">ة </w:t>
      </w:r>
      <w:r w:rsidRPr="00FD211F">
        <w:rPr>
          <w:sz w:val="36"/>
          <w:szCs w:val="36"/>
          <w:rtl/>
        </w:rPr>
        <w:t>تصور كل</w:t>
      </w:r>
      <w:r w:rsidR="00A10F25" w:rsidRPr="00FD211F">
        <w:rPr>
          <w:sz w:val="36"/>
          <w:szCs w:val="36"/>
          <w:rtl/>
        </w:rPr>
        <w:t xml:space="preserve"> واحد</w:t>
      </w:r>
      <w:r w:rsidRPr="00FD211F">
        <w:rPr>
          <w:sz w:val="36"/>
          <w:szCs w:val="36"/>
          <w:rtl/>
        </w:rPr>
        <w:t xml:space="preserve"> منهما لتصور الآخر وهو غير معقول</w:t>
      </w:r>
      <w:r w:rsidR="00603323" w:rsidRPr="00FD211F">
        <w:rPr>
          <w:sz w:val="36"/>
          <w:szCs w:val="36"/>
          <w:rtl/>
        </w:rPr>
        <w:t xml:space="preserve">، </w:t>
      </w:r>
      <w:r w:rsidRPr="00FD211F">
        <w:rPr>
          <w:sz w:val="36"/>
          <w:szCs w:val="36"/>
          <w:rtl/>
        </w:rPr>
        <w:t>مضافا الى ان اللفظ أمر مباين عن المعنى فلايعقل ان يكون تصوره عل</w:t>
      </w:r>
      <w:r w:rsidR="00EC7EDF" w:rsidRPr="00FD211F">
        <w:rPr>
          <w:sz w:val="36"/>
          <w:szCs w:val="36"/>
          <w:rtl/>
        </w:rPr>
        <w:t xml:space="preserve">ة </w:t>
      </w:r>
      <w:r w:rsidRPr="00FD211F">
        <w:rPr>
          <w:sz w:val="36"/>
          <w:szCs w:val="36"/>
          <w:rtl/>
        </w:rPr>
        <w:t>لتصور المعنى</w:t>
      </w:r>
      <w:r w:rsidR="00EF54ED">
        <w:rPr>
          <w:sz w:val="36"/>
          <w:szCs w:val="36"/>
          <w:rtl/>
        </w:rPr>
        <w:t>.</w:t>
      </w:r>
    </w:p>
    <w:p w14:paraId="4DB3C019" w14:textId="77777777" w:rsidR="00052BF2" w:rsidRPr="00FD211F" w:rsidRDefault="00052BF2" w:rsidP="009C58C8">
      <w:pPr>
        <w:ind w:left="0" w:firstLine="227"/>
        <w:jc w:val="both"/>
        <w:rPr>
          <w:sz w:val="36"/>
          <w:szCs w:val="36"/>
          <w:rtl/>
        </w:rPr>
      </w:pPr>
      <w:r w:rsidRPr="00FD211F">
        <w:rPr>
          <w:sz w:val="36"/>
          <w:szCs w:val="36"/>
          <w:rtl/>
        </w:rPr>
        <w:t>فتحصل ان العلم بالوضع او فقل الملازم</w:t>
      </w:r>
      <w:r w:rsidR="00EC7EDF" w:rsidRPr="00FD211F">
        <w:rPr>
          <w:sz w:val="36"/>
          <w:szCs w:val="36"/>
          <w:rtl/>
        </w:rPr>
        <w:t xml:space="preserve">ة </w:t>
      </w:r>
      <w:r w:rsidRPr="00FD211F">
        <w:rPr>
          <w:sz w:val="36"/>
          <w:szCs w:val="36"/>
          <w:rtl/>
        </w:rPr>
        <w:t>الجعلي</w:t>
      </w:r>
      <w:r w:rsidR="00EC7EDF" w:rsidRPr="00FD211F">
        <w:rPr>
          <w:sz w:val="36"/>
          <w:szCs w:val="36"/>
          <w:rtl/>
        </w:rPr>
        <w:t xml:space="preserve">ة </w:t>
      </w:r>
      <w:r w:rsidRPr="00FD211F">
        <w:rPr>
          <w:sz w:val="36"/>
          <w:szCs w:val="36"/>
          <w:rtl/>
        </w:rPr>
        <w:t>بين اللفظ والمعنى هو العل</w:t>
      </w:r>
      <w:r w:rsidR="00EC7EDF" w:rsidRPr="00FD211F">
        <w:rPr>
          <w:sz w:val="36"/>
          <w:szCs w:val="36"/>
          <w:rtl/>
        </w:rPr>
        <w:t xml:space="preserve">ة </w:t>
      </w:r>
      <w:r w:rsidRPr="00FD211F">
        <w:rPr>
          <w:sz w:val="36"/>
          <w:szCs w:val="36"/>
          <w:rtl/>
        </w:rPr>
        <w:t>لتصور المعنى بشرط تصور اللفظ</w:t>
      </w:r>
      <w:r w:rsidR="00603323" w:rsidRPr="00FD211F">
        <w:rPr>
          <w:sz w:val="36"/>
          <w:szCs w:val="36"/>
          <w:rtl/>
        </w:rPr>
        <w:t xml:space="preserve">، </w:t>
      </w:r>
      <w:r w:rsidRPr="00FD211F">
        <w:rPr>
          <w:sz w:val="36"/>
          <w:szCs w:val="36"/>
          <w:rtl/>
        </w:rPr>
        <w:t>وادعاء ان العلم بالملازم</w:t>
      </w:r>
      <w:r w:rsidR="00EC7EDF" w:rsidRPr="00FD211F">
        <w:rPr>
          <w:sz w:val="36"/>
          <w:szCs w:val="36"/>
          <w:rtl/>
        </w:rPr>
        <w:t xml:space="preserve">ة </w:t>
      </w:r>
      <w:r w:rsidRPr="00FD211F">
        <w:rPr>
          <w:sz w:val="36"/>
          <w:szCs w:val="36"/>
          <w:rtl/>
        </w:rPr>
        <w:t>الجعلي</w:t>
      </w:r>
      <w:r w:rsidR="00EC7EDF" w:rsidRPr="00FD211F">
        <w:rPr>
          <w:sz w:val="36"/>
          <w:szCs w:val="36"/>
          <w:rtl/>
        </w:rPr>
        <w:t xml:space="preserve">ة </w:t>
      </w:r>
      <w:r w:rsidRPr="00FD211F">
        <w:rPr>
          <w:sz w:val="36"/>
          <w:szCs w:val="36"/>
          <w:rtl/>
        </w:rPr>
        <w:t>معلول لنفس الملازم</w:t>
      </w:r>
      <w:r w:rsidR="00EC7EDF" w:rsidRPr="00FD211F">
        <w:rPr>
          <w:sz w:val="36"/>
          <w:szCs w:val="36"/>
          <w:rtl/>
        </w:rPr>
        <w:t xml:space="preserve">ة </w:t>
      </w:r>
      <w:r w:rsidRPr="00FD211F">
        <w:rPr>
          <w:sz w:val="36"/>
          <w:szCs w:val="36"/>
          <w:rtl/>
        </w:rPr>
        <w:t>الجعلي</w:t>
      </w:r>
      <w:r w:rsidR="00EC7EDF" w:rsidRPr="00FD211F">
        <w:rPr>
          <w:sz w:val="36"/>
          <w:szCs w:val="36"/>
          <w:rtl/>
        </w:rPr>
        <w:t xml:space="preserve">ة </w:t>
      </w:r>
      <w:r w:rsidRPr="00FD211F">
        <w:rPr>
          <w:sz w:val="36"/>
          <w:szCs w:val="36"/>
          <w:rtl/>
        </w:rPr>
        <w:t>فيكون تصور المعنى معلولا لها بالواسط</w:t>
      </w:r>
      <w:r w:rsidR="00EC7EDF" w:rsidRPr="00FD211F">
        <w:rPr>
          <w:sz w:val="36"/>
          <w:szCs w:val="36"/>
          <w:rtl/>
        </w:rPr>
        <w:t>ة</w:t>
      </w:r>
      <w:r w:rsidR="00EF54ED">
        <w:rPr>
          <w:rFonts w:hint="cs"/>
          <w:sz w:val="36"/>
          <w:szCs w:val="36"/>
          <w:rtl/>
        </w:rPr>
        <w:t>،</w:t>
      </w:r>
      <w:r w:rsidR="00EC7EDF" w:rsidRPr="00FD211F">
        <w:rPr>
          <w:sz w:val="36"/>
          <w:szCs w:val="36"/>
          <w:rtl/>
        </w:rPr>
        <w:t xml:space="preserve"> </w:t>
      </w:r>
      <w:r w:rsidRPr="00FD211F">
        <w:rPr>
          <w:sz w:val="36"/>
          <w:szCs w:val="36"/>
          <w:rtl/>
        </w:rPr>
        <w:t>غير متجه</w:t>
      </w:r>
      <w:r w:rsidR="00603323" w:rsidRPr="00FD211F">
        <w:rPr>
          <w:sz w:val="36"/>
          <w:szCs w:val="36"/>
          <w:rtl/>
        </w:rPr>
        <w:t xml:space="preserve">، </w:t>
      </w:r>
      <w:r w:rsidRPr="00FD211F">
        <w:rPr>
          <w:sz w:val="36"/>
          <w:szCs w:val="36"/>
          <w:rtl/>
        </w:rPr>
        <w:t>لان الواقع الذي يتعلق به العلم لايكون عل</w:t>
      </w:r>
      <w:r w:rsidR="00EC7EDF" w:rsidRPr="00FD211F">
        <w:rPr>
          <w:sz w:val="36"/>
          <w:szCs w:val="36"/>
          <w:rtl/>
        </w:rPr>
        <w:t xml:space="preserve">ة </w:t>
      </w:r>
      <w:r w:rsidRPr="00FD211F">
        <w:rPr>
          <w:sz w:val="36"/>
          <w:szCs w:val="36"/>
          <w:rtl/>
        </w:rPr>
        <w:t>للعلم</w:t>
      </w:r>
      <w:r w:rsidR="00603323" w:rsidRPr="00FD211F">
        <w:rPr>
          <w:sz w:val="36"/>
          <w:szCs w:val="36"/>
          <w:rtl/>
        </w:rPr>
        <w:t xml:space="preserve">، </w:t>
      </w:r>
      <w:r w:rsidRPr="00FD211F">
        <w:rPr>
          <w:sz w:val="36"/>
          <w:szCs w:val="36"/>
          <w:rtl/>
        </w:rPr>
        <w:t>مضافا الى انه لايضر بالمقصود من اثبات علي</w:t>
      </w:r>
      <w:r w:rsidR="00EC7EDF" w:rsidRPr="00FD211F">
        <w:rPr>
          <w:sz w:val="36"/>
          <w:szCs w:val="36"/>
          <w:rtl/>
        </w:rPr>
        <w:t xml:space="preserve">ة </w:t>
      </w:r>
      <w:r w:rsidRPr="00FD211F">
        <w:rPr>
          <w:sz w:val="36"/>
          <w:szCs w:val="36"/>
          <w:rtl/>
        </w:rPr>
        <w:t>العلم بالملازم</w:t>
      </w:r>
      <w:r w:rsidR="00EC7EDF" w:rsidRPr="00FD211F">
        <w:rPr>
          <w:sz w:val="36"/>
          <w:szCs w:val="36"/>
          <w:rtl/>
        </w:rPr>
        <w:t xml:space="preserve">ة </w:t>
      </w:r>
      <w:r w:rsidRPr="00FD211F">
        <w:rPr>
          <w:sz w:val="36"/>
          <w:szCs w:val="36"/>
          <w:rtl/>
        </w:rPr>
        <w:t>الجعلي</w:t>
      </w:r>
      <w:r w:rsidR="00EC7EDF" w:rsidRPr="00FD211F">
        <w:rPr>
          <w:sz w:val="36"/>
          <w:szCs w:val="36"/>
          <w:rtl/>
        </w:rPr>
        <w:t xml:space="preserve">ة </w:t>
      </w:r>
      <w:r w:rsidRPr="00FD211F">
        <w:rPr>
          <w:sz w:val="36"/>
          <w:szCs w:val="36"/>
          <w:rtl/>
        </w:rPr>
        <w:t>لتصور المعنى</w:t>
      </w:r>
      <w:r w:rsidR="009C58C8" w:rsidRPr="00FD211F">
        <w:rPr>
          <w:rStyle w:val="a6"/>
          <w:sz w:val="36"/>
          <w:szCs w:val="36"/>
          <w:rtl/>
        </w:rPr>
        <w:t>(</w:t>
      </w:r>
      <w:r w:rsidR="009C58C8" w:rsidRPr="00FD211F">
        <w:rPr>
          <w:rStyle w:val="a6"/>
          <w:sz w:val="36"/>
          <w:szCs w:val="36"/>
          <w:rtl/>
        </w:rPr>
        <w:footnoteReference w:id="304"/>
      </w:r>
      <w:r w:rsidR="009C58C8" w:rsidRPr="00FD211F">
        <w:rPr>
          <w:rStyle w:val="a6"/>
          <w:sz w:val="36"/>
          <w:szCs w:val="36"/>
          <w:rtl/>
        </w:rPr>
        <w:t>)</w:t>
      </w:r>
      <w:r w:rsidRPr="00FD211F">
        <w:rPr>
          <w:sz w:val="36"/>
          <w:szCs w:val="36"/>
          <w:rtl/>
        </w:rPr>
        <w:t>.</w:t>
      </w:r>
    </w:p>
    <w:p w14:paraId="03DD660A" w14:textId="77777777" w:rsidR="00052BF2" w:rsidRPr="00FD211F" w:rsidRDefault="00A66B7B" w:rsidP="005946E3">
      <w:pPr>
        <w:ind w:left="0" w:firstLine="227"/>
        <w:jc w:val="both"/>
        <w:rPr>
          <w:sz w:val="36"/>
          <w:szCs w:val="36"/>
          <w:rtl/>
        </w:rPr>
      </w:pPr>
      <w:r w:rsidRPr="00FD211F">
        <w:rPr>
          <w:sz w:val="36"/>
          <w:szCs w:val="36"/>
          <w:rtl/>
        </w:rPr>
        <w:t>واورد في البحوث</w:t>
      </w:r>
      <w:r w:rsidR="00052BF2" w:rsidRPr="00FD211F">
        <w:rPr>
          <w:sz w:val="36"/>
          <w:szCs w:val="36"/>
          <w:rtl/>
        </w:rPr>
        <w:t xml:space="preserve"> على ما </w:t>
      </w:r>
      <w:r w:rsidR="000F5574" w:rsidRPr="00FD211F">
        <w:rPr>
          <w:sz w:val="36"/>
          <w:szCs w:val="36"/>
          <w:rtl/>
        </w:rPr>
        <w:t>ذكره</w:t>
      </w:r>
      <w:r w:rsidR="00C7588D" w:rsidRPr="00FD211F">
        <w:rPr>
          <w:sz w:val="36"/>
          <w:szCs w:val="36"/>
          <w:rtl/>
        </w:rPr>
        <w:t xml:space="preserve"> </w:t>
      </w:r>
      <w:r w:rsidR="00052BF2" w:rsidRPr="00FD211F">
        <w:rPr>
          <w:sz w:val="36"/>
          <w:szCs w:val="36"/>
          <w:rtl/>
        </w:rPr>
        <w:t>المحقق الاصفهاني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000F5574" w:rsidRPr="00FD211F">
        <w:rPr>
          <w:sz w:val="36"/>
          <w:szCs w:val="36"/>
          <w:rtl/>
        </w:rPr>
        <w:t>ب</w:t>
      </w:r>
      <w:r w:rsidR="00052BF2" w:rsidRPr="00FD211F">
        <w:rPr>
          <w:sz w:val="36"/>
          <w:szCs w:val="36"/>
          <w:rtl/>
        </w:rPr>
        <w:t>أنا اذا قسنا الملازم</w:t>
      </w:r>
      <w:r w:rsidR="00EC7EDF" w:rsidRPr="00FD211F">
        <w:rPr>
          <w:sz w:val="36"/>
          <w:szCs w:val="36"/>
          <w:rtl/>
        </w:rPr>
        <w:t xml:space="preserve">ة </w:t>
      </w:r>
      <w:r w:rsidR="00052BF2" w:rsidRPr="00FD211F">
        <w:rPr>
          <w:sz w:val="36"/>
          <w:szCs w:val="36"/>
          <w:rtl/>
        </w:rPr>
        <w:t>الجعلي</w:t>
      </w:r>
      <w:r w:rsidR="00EC7EDF" w:rsidRPr="00FD211F">
        <w:rPr>
          <w:sz w:val="36"/>
          <w:szCs w:val="36"/>
          <w:rtl/>
        </w:rPr>
        <w:t xml:space="preserve">ة </w:t>
      </w:r>
      <w:r w:rsidR="00052BF2" w:rsidRPr="00FD211F">
        <w:rPr>
          <w:sz w:val="36"/>
          <w:szCs w:val="36"/>
          <w:rtl/>
        </w:rPr>
        <w:t>الوضعي</w:t>
      </w:r>
      <w:r w:rsidR="00EC7EDF" w:rsidRPr="00FD211F">
        <w:rPr>
          <w:sz w:val="36"/>
          <w:szCs w:val="36"/>
          <w:rtl/>
        </w:rPr>
        <w:t xml:space="preserve">ة </w:t>
      </w:r>
      <w:r w:rsidR="00052BF2" w:rsidRPr="00FD211F">
        <w:rPr>
          <w:sz w:val="36"/>
          <w:szCs w:val="36"/>
          <w:rtl/>
        </w:rPr>
        <w:t>بالملازمات الواقعي</w:t>
      </w:r>
      <w:r w:rsidR="00EC7EDF" w:rsidRPr="00FD211F">
        <w:rPr>
          <w:sz w:val="36"/>
          <w:szCs w:val="36"/>
          <w:rtl/>
        </w:rPr>
        <w:t xml:space="preserve">ة </w:t>
      </w:r>
      <w:r w:rsidR="00052BF2" w:rsidRPr="00FD211F">
        <w:rPr>
          <w:sz w:val="36"/>
          <w:szCs w:val="36"/>
          <w:rtl/>
        </w:rPr>
        <w:t>وطبّقنا عليه القانون الذي ادعاه من ان العلم باللازم يستند دائما الى العلم بالملازم</w:t>
      </w:r>
      <w:r w:rsidR="00EC7EDF" w:rsidRPr="00FD211F">
        <w:rPr>
          <w:sz w:val="36"/>
          <w:szCs w:val="36"/>
          <w:rtl/>
        </w:rPr>
        <w:t xml:space="preserve">ة </w:t>
      </w:r>
      <w:r w:rsidR="00052BF2" w:rsidRPr="00FD211F">
        <w:rPr>
          <w:sz w:val="36"/>
          <w:szCs w:val="36"/>
          <w:rtl/>
        </w:rPr>
        <w:t>لاالى ذات الملزوم -كما في العلم بالإحراق حيث يستند الى العلم بالملازم</w:t>
      </w:r>
      <w:r w:rsidR="00EC7EDF" w:rsidRPr="00FD211F">
        <w:rPr>
          <w:sz w:val="36"/>
          <w:szCs w:val="36"/>
          <w:rtl/>
        </w:rPr>
        <w:t xml:space="preserve">ة </w:t>
      </w:r>
      <w:r w:rsidR="00052BF2" w:rsidRPr="00FD211F">
        <w:rPr>
          <w:sz w:val="36"/>
          <w:szCs w:val="36"/>
          <w:rtl/>
        </w:rPr>
        <w:t>بين النار والإحراق بشرط العلم بالنار- وجدنا الأمر يؤدي الى عكس مقصوده لأنه يرى اللازم في المقام هو المعنى ويقصد من العلم باللازم تبادر المعنى الى الذهن</w:t>
      </w:r>
      <w:r w:rsidR="00603323" w:rsidRPr="00FD211F">
        <w:rPr>
          <w:sz w:val="36"/>
          <w:szCs w:val="36"/>
          <w:rtl/>
        </w:rPr>
        <w:t xml:space="preserve">، </w:t>
      </w:r>
      <w:r w:rsidR="00052BF2" w:rsidRPr="00FD211F">
        <w:rPr>
          <w:sz w:val="36"/>
          <w:szCs w:val="36"/>
          <w:rtl/>
        </w:rPr>
        <w:t>بينما ان هذا التبادر ليس علما باللازم وانما هو نفس اللازم</w:t>
      </w:r>
      <w:r w:rsidR="00603323" w:rsidRPr="00FD211F">
        <w:rPr>
          <w:sz w:val="36"/>
          <w:szCs w:val="36"/>
          <w:rtl/>
        </w:rPr>
        <w:t xml:space="preserve">، </w:t>
      </w:r>
      <w:r w:rsidR="00052BF2" w:rsidRPr="00FD211F">
        <w:rPr>
          <w:sz w:val="36"/>
          <w:szCs w:val="36"/>
          <w:rtl/>
        </w:rPr>
        <w:t>لوضوح ان الملازم</w:t>
      </w:r>
      <w:r w:rsidR="00EC7EDF" w:rsidRPr="00FD211F">
        <w:rPr>
          <w:sz w:val="36"/>
          <w:szCs w:val="36"/>
          <w:rtl/>
        </w:rPr>
        <w:t xml:space="preserve">ة </w:t>
      </w:r>
      <w:r w:rsidR="00052BF2" w:rsidRPr="00FD211F">
        <w:rPr>
          <w:sz w:val="36"/>
          <w:szCs w:val="36"/>
          <w:rtl/>
        </w:rPr>
        <w:t>قائم</w:t>
      </w:r>
      <w:r w:rsidR="00EC7EDF" w:rsidRPr="00FD211F">
        <w:rPr>
          <w:sz w:val="36"/>
          <w:szCs w:val="36"/>
          <w:rtl/>
        </w:rPr>
        <w:t xml:space="preserve">ة </w:t>
      </w:r>
      <w:r w:rsidR="00052BF2" w:rsidRPr="00FD211F">
        <w:rPr>
          <w:sz w:val="36"/>
          <w:szCs w:val="36"/>
          <w:rtl/>
        </w:rPr>
        <w:t>بين تصور اللفظ وتبادر المعنى</w:t>
      </w:r>
      <w:r w:rsidR="00603323" w:rsidRPr="00FD211F">
        <w:rPr>
          <w:sz w:val="36"/>
          <w:szCs w:val="36"/>
          <w:rtl/>
        </w:rPr>
        <w:t xml:space="preserve">، </w:t>
      </w:r>
      <w:r w:rsidR="00052BF2" w:rsidRPr="00FD211F">
        <w:rPr>
          <w:sz w:val="36"/>
          <w:szCs w:val="36"/>
          <w:rtl/>
        </w:rPr>
        <w:t>ولاشك في ان اللازم يتحقق بمجرد تحقق الملزوم ولايحتاج الى العلم بالملازم</w:t>
      </w:r>
      <w:r w:rsidR="00EC7EDF" w:rsidRPr="00FD211F">
        <w:rPr>
          <w:sz w:val="36"/>
          <w:szCs w:val="36"/>
          <w:rtl/>
        </w:rPr>
        <w:t>ة</w:t>
      </w:r>
      <w:r w:rsidR="00603323" w:rsidRPr="00FD211F">
        <w:rPr>
          <w:sz w:val="36"/>
          <w:szCs w:val="36"/>
          <w:rtl/>
        </w:rPr>
        <w:t xml:space="preserve">، </w:t>
      </w:r>
      <w:r w:rsidR="00052BF2" w:rsidRPr="00FD211F">
        <w:rPr>
          <w:sz w:val="36"/>
          <w:szCs w:val="36"/>
          <w:rtl/>
        </w:rPr>
        <w:t xml:space="preserve">فإدراك </w:t>
      </w:r>
      <w:r w:rsidR="008D7B3D" w:rsidRPr="00FD211F">
        <w:rPr>
          <w:sz w:val="36"/>
          <w:szCs w:val="36"/>
          <w:rtl/>
        </w:rPr>
        <w:t xml:space="preserve">شيء </w:t>
      </w:r>
      <w:r w:rsidR="00052BF2" w:rsidRPr="00FD211F">
        <w:rPr>
          <w:sz w:val="36"/>
          <w:szCs w:val="36"/>
          <w:rtl/>
        </w:rPr>
        <w:t>انما يكون موقوفا على ادراك الملازم</w:t>
      </w:r>
      <w:r w:rsidR="00EC7EDF" w:rsidRPr="00FD211F">
        <w:rPr>
          <w:sz w:val="36"/>
          <w:szCs w:val="36"/>
          <w:rtl/>
        </w:rPr>
        <w:t xml:space="preserve">ة </w:t>
      </w:r>
      <w:r w:rsidR="00052BF2" w:rsidRPr="00FD211F">
        <w:rPr>
          <w:sz w:val="36"/>
          <w:szCs w:val="36"/>
          <w:rtl/>
        </w:rPr>
        <w:t>اذا كانت الملازم</w:t>
      </w:r>
      <w:r w:rsidR="00EC7EDF" w:rsidRPr="00FD211F">
        <w:rPr>
          <w:sz w:val="36"/>
          <w:szCs w:val="36"/>
          <w:rtl/>
        </w:rPr>
        <w:t xml:space="preserve">ة </w:t>
      </w:r>
      <w:r w:rsidR="00052BF2" w:rsidRPr="00FD211F">
        <w:rPr>
          <w:sz w:val="36"/>
          <w:szCs w:val="36"/>
          <w:rtl/>
        </w:rPr>
        <w:t>بين ذات ال</w:t>
      </w:r>
      <w:r w:rsidR="008D7B3D" w:rsidRPr="00FD211F">
        <w:rPr>
          <w:sz w:val="36"/>
          <w:szCs w:val="36"/>
          <w:rtl/>
        </w:rPr>
        <w:t xml:space="preserve">شيء </w:t>
      </w:r>
      <w:r w:rsidR="00052BF2" w:rsidRPr="00FD211F">
        <w:rPr>
          <w:sz w:val="36"/>
          <w:szCs w:val="36"/>
          <w:rtl/>
        </w:rPr>
        <w:t xml:space="preserve">وبين </w:t>
      </w:r>
      <w:r w:rsidR="008D7B3D" w:rsidRPr="00FD211F">
        <w:rPr>
          <w:sz w:val="36"/>
          <w:szCs w:val="36"/>
          <w:rtl/>
        </w:rPr>
        <w:t xml:space="preserve">شيء </w:t>
      </w:r>
      <w:r w:rsidR="00052BF2" w:rsidRPr="00FD211F">
        <w:rPr>
          <w:sz w:val="36"/>
          <w:szCs w:val="36"/>
          <w:rtl/>
        </w:rPr>
        <w:t>آخر</w:t>
      </w:r>
      <w:r w:rsidR="00603323" w:rsidRPr="00FD211F">
        <w:rPr>
          <w:sz w:val="36"/>
          <w:szCs w:val="36"/>
          <w:rtl/>
        </w:rPr>
        <w:t xml:space="preserve">، </w:t>
      </w:r>
      <w:r w:rsidR="00052BF2" w:rsidRPr="00FD211F">
        <w:rPr>
          <w:sz w:val="36"/>
          <w:szCs w:val="36"/>
          <w:rtl/>
        </w:rPr>
        <w:t>وأما اذا كان طرفها نفس الادراك كما في المقام فلااشكال في حصوله بمجرد حصول الملزوم من دون حاج</w:t>
      </w:r>
      <w:r w:rsidR="00EC7EDF" w:rsidRPr="00FD211F">
        <w:rPr>
          <w:sz w:val="36"/>
          <w:szCs w:val="36"/>
          <w:rtl/>
        </w:rPr>
        <w:t xml:space="preserve">ة </w:t>
      </w:r>
      <w:r w:rsidR="00052BF2" w:rsidRPr="00FD211F">
        <w:rPr>
          <w:sz w:val="36"/>
          <w:szCs w:val="36"/>
          <w:rtl/>
        </w:rPr>
        <w:t>الى ادراك الملازم</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305"/>
      </w:r>
      <w:r w:rsidR="009C58C8" w:rsidRPr="00FD211F">
        <w:rPr>
          <w:rStyle w:val="a6"/>
          <w:sz w:val="36"/>
          <w:szCs w:val="36"/>
          <w:rtl/>
        </w:rPr>
        <w:t>)</w:t>
      </w:r>
      <w:r w:rsidR="00052BF2" w:rsidRPr="00FD211F">
        <w:rPr>
          <w:sz w:val="36"/>
          <w:szCs w:val="36"/>
          <w:rtl/>
        </w:rPr>
        <w:t>.</w:t>
      </w:r>
    </w:p>
    <w:p w14:paraId="5FA030C6" w14:textId="77777777" w:rsidR="00052BF2" w:rsidRPr="00FD211F" w:rsidRDefault="00052BF2" w:rsidP="005946E3">
      <w:pPr>
        <w:ind w:left="0" w:firstLine="227"/>
        <w:jc w:val="both"/>
        <w:rPr>
          <w:sz w:val="36"/>
          <w:szCs w:val="36"/>
          <w:rtl/>
        </w:rPr>
      </w:pPr>
      <w:r w:rsidRPr="00FD211F">
        <w:rPr>
          <w:sz w:val="36"/>
          <w:szCs w:val="36"/>
          <w:rtl/>
        </w:rPr>
        <w:t xml:space="preserve">اقول: هذا الإيراد وان كان قد يرد على تمثيل المحقق الاصفهاني </w:t>
      </w:r>
      <w:r w:rsidR="00EC206A" w:rsidRPr="00FD211F">
        <w:rPr>
          <w:sz w:val="36"/>
          <w:szCs w:val="36"/>
          <w:rtl/>
        </w:rPr>
        <w:t>"</w:t>
      </w:r>
      <w:r w:rsidRPr="00FD211F">
        <w:rPr>
          <w:sz w:val="36"/>
          <w:szCs w:val="36"/>
          <w:rtl/>
        </w:rPr>
        <w:t>قده</w:t>
      </w:r>
      <w:r w:rsidR="00EC206A" w:rsidRPr="00FD211F">
        <w:rPr>
          <w:sz w:val="36"/>
          <w:szCs w:val="36"/>
          <w:rtl/>
        </w:rPr>
        <w:t>"</w:t>
      </w:r>
      <w:r w:rsidRPr="00FD211F">
        <w:rPr>
          <w:sz w:val="36"/>
          <w:szCs w:val="36"/>
          <w:rtl/>
        </w:rPr>
        <w:t xml:space="preserve"> للمقام بالعلم بالإحراق</w:t>
      </w:r>
      <w:r w:rsidR="00603323" w:rsidRPr="00FD211F">
        <w:rPr>
          <w:sz w:val="36"/>
          <w:szCs w:val="36"/>
          <w:rtl/>
        </w:rPr>
        <w:t xml:space="preserve">، </w:t>
      </w:r>
      <w:r w:rsidRPr="00FD211F">
        <w:rPr>
          <w:sz w:val="36"/>
          <w:szCs w:val="36"/>
          <w:rtl/>
        </w:rPr>
        <w:t>حيث ذكر انه كما يكون العلم بالإحراق معلولا للعلم بالملازم</w:t>
      </w:r>
      <w:r w:rsidR="00EC7EDF" w:rsidRPr="00FD211F">
        <w:rPr>
          <w:sz w:val="36"/>
          <w:szCs w:val="36"/>
          <w:rtl/>
        </w:rPr>
        <w:t xml:space="preserve">ة </w:t>
      </w:r>
      <w:r w:rsidRPr="00FD211F">
        <w:rPr>
          <w:sz w:val="36"/>
          <w:szCs w:val="36"/>
          <w:rtl/>
        </w:rPr>
        <w:t>بين النار والإحراق بشرط العلم بالنار فكذلك تصور المعنى معلول للعلم بالملازم</w:t>
      </w:r>
      <w:r w:rsidR="00EC7EDF" w:rsidRPr="00FD211F">
        <w:rPr>
          <w:sz w:val="36"/>
          <w:szCs w:val="36"/>
          <w:rtl/>
        </w:rPr>
        <w:t xml:space="preserve">ة </w:t>
      </w:r>
      <w:r w:rsidRPr="00FD211F">
        <w:rPr>
          <w:sz w:val="36"/>
          <w:szCs w:val="36"/>
          <w:rtl/>
        </w:rPr>
        <w:t>الجعلي</w:t>
      </w:r>
      <w:r w:rsidR="00EC7EDF" w:rsidRPr="00FD211F">
        <w:rPr>
          <w:sz w:val="36"/>
          <w:szCs w:val="36"/>
          <w:rtl/>
        </w:rPr>
        <w:t xml:space="preserve">ة </w:t>
      </w:r>
      <w:r w:rsidRPr="00FD211F">
        <w:rPr>
          <w:sz w:val="36"/>
          <w:szCs w:val="36"/>
          <w:rtl/>
        </w:rPr>
        <w:t>بشرط تصور اللفظ</w:t>
      </w:r>
      <w:r w:rsidR="00603323" w:rsidRPr="00FD211F">
        <w:rPr>
          <w:sz w:val="36"/>
          <w:szCs w:val="36"/>
          <w:rtl/>
        </w:rPr>
        <w:t xml:space="preserve">، </w:t>
      </w:r>
      <w:r w:rsidRPr="00FD211F">
        <w:rPr>
          <w:sz w:val="36"/>
          <w:szCs w:val="36"/>
          <w:rtl/>
        </w:rPr>
        <w:t>ولكن حاقّ مقصود محقق الاصفهاني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ان الوضع حيث يكون امرا اعتباريا وملازم</w:t>
      </w:r>
      <w:r w:rsidR="00EC7EDF" w:rsidRPr="00FD211F">
        <w:rPr>
          <w:sz w:val="36"/>
          <w:szCs w:val="36"/>
          <w:rtl/>
        </w:rPr>
        <w:t xml:space="preserve">ة </w:t>
      </w:r>
      <w:r w:rsidRPr="00FD211F">
        <w:rPr>
          <w:sz w:val="36"/>
          <w:szCs w:val="36"/>
          <w:rtl/>
        </w:rPr>
        <w:t>جعلي</w:t>
      </w:r>
      <w:r w:rsidR="00EC7EDF" w:rsidRPr="00FD211F">
        <w:rPr>
          <w:sz w:val="36"/>
          <w:szCs w:val="36"/>
          <w:rtl/>
        </w:rPr>
        <w:t xml:space="preserve">ة </w:t>
      </w:r>
      <w:r w:rsidRPr="00FD211F">
        <w:rPr>
          <w:sz w:val="36"/>
          <w:szCs w:val="36"/>
          <w:rtl/>
        </w:rPr>
        <w:t>بين اللفظ والمعنى فلايعقل ان يكون هو المؤثر في تحقق تبادر المعنى</w:t>
      </w:r>
      <w:r w:rsidR="00603323" w:rsidRPr="00FD211F">
        <w:rPr>
          <w:sz w:val="36"/>
          <w:szCs w:val="36"/>
          <w:rtl/>
        </w:rPr>
        <w:t xml:space="preserve">، </w:t>
      </w:r>
      <w:r w:rsidRPr="00FD211F">
        <w:rPr>
          <w:sz w:val="36"/>
          <w:szCs w:val="36"/>
          <w:rtl/>
        </w:rPr>
        <w:t>وانما المؤثر فيه هو العلم بهذه الملازم</w:t>
      </w:r>
      <w:r w:rsidR="00EC7EDF" w:rsidRPr="00FD211F">
        <w:rPr>
          <w:sz w:val="36"/>
          <w:szCs w:val="36"/>
          <w:rtl/>
        </w:rPr>
        <w:t xml:space="preserve">ة </w:t>
      </w:r>
      <w:r w:rsidRPr="00FD211F">
        <w:rPr>
          <w:sz w:val="36"/>
          <w:szCs w:val="36"/>
          <w:rtl/>
        </w:rPr>
        <w:t>الجعلي</w:t>
      </w:r>
      <w:r w:rsidR="00EC7EDF" w:rsidRPr="00FD211F">
        <w:rPr>
          <w:sz w:val="36"/>
          <w:szCs w:val="36"/>
          <w:rtl/>
        </w:rPr>
        <w:t>ة</w:t>
      </w:r>
      <w:r w:rsidR="00603323" w:rsidRPr="00FD211F">
        <w:rPr>
          <w:sz w:val="36"/>
          <w:szCs w:val="36"/>
          <w:rtl/>
        </w:rPr>
        <w:t xml:space="preserve">، </w:t>
      </w:r>
      <w:r w:rsidRPr="00FD211F">
        <w:rPr>
          <w:sz w:val="36"/>
          <w:szCs w:val="36"/>
          <w:rtl/>
        </w:rPr>
        <w:t>وهذا كلام متين جدّا</w:t>
      </w:r>
      <w:r w:rsidR="00603323" w:rsidRPr="00FD211F">
        <w:rPr>
          <w:sz w:val="36"/>
          <w:szCs w:val="36"/>
          <w:rtl/>
        </w:rPr>
        <w:t xml:space="preserve">، </w:t>
      </w:r>
      <w:r w:rsidRPr="00FD211F">
        <w:rPr>
          <w:sz w:val="36"/>
          <w:szCs w:val="36"/>
          <w:rtl/>
        </w:rPr>
        <w:t>وعملي</w:t>
      </w:r>
      <w:r w:rsidR="00EC7EDF" w:rsidRPr="00FD211F">
        <w:rPr>
          <w:sz w:val="36"/>
          <w:szCs w:val="36"/>
          <w:rtl/>
        </w:rPr>
        <w:t xml:space="preserve">ة </w:t>
      </w:r>
      <w:r w:rsidRPr="00FD211F">
        <w:rPr>
          <w:sz w:val="36"/>
          <w:szCs w:val="36"/>
          <w:rtl/>
        </w:rPr>
        <w:t>الجعل والاعتبار وان كانت تكويني</w:t>
      </w:r>
      <w:r w:rsidR="00EC7EDF" w:rsidRPr="00FD211F">
        <w:rPr>
          <w:sz w:val="36"/>
          <w:szCs w:val="36"/>
          <w:rtl/>
        </w:rPr>
        <w:t xml:space="preserve">ة </w:t>
      </w:r>
      <w:r w:rsidRPr="00FD211F">
        <w:rPr>
          <w:sz w:val="36"/>
          <w:szCs w:val="36"/>
          <w:rtl/>
        </w:rPr>
        <w:t>ويمكن ان تكون عل</w:t>
      </w:r>
      <w:r w:rsidR="00EC7EDF" w:rsidRPr="00FD211F">
        <w:rPr>
          <w:sz w:val="36"/>
          <w:szCs w:val="36"/>
          <w:rtl/>
        </w:rPr>
        <w:t xml:space="preserve">ة </w:t>
      </w:r>
      <w:r w:rsidRPr="00FD211F">
        <w:rPr>
          <w:sz w:val="36"/>
          <w:szCs w:val="36"/>
          <w:rtl/>
        </w:rPr>
        <w:t>لأمر تكويني آخر كتبادر المعنى</w:t>
      </w:r>
      <w:r w:rsidR="00603323" w:rsidRPr="00FD211F">
        <w:rPr>
          <w:sz w:val="36"/>
          <w:szCs w:val="36"/>
          <w:rtl/>
        </w:rPr>
        <w:t xml:space="preserve">، </w:t>
      </w:r>
      <w:r w:rsidRPr="00FD211F">
        <w:rPr>
          <w:sz w:val="36"/>
          <w:szCs w:val="36"/>
          <w:rtl/>
        </w:rPr>
        <w:t>لكن لاريب في عدم كونه عل</w:t>
      </w:r>
      <w:r w:rsidR="00EC7EDF" w:rsidRPr="00FD211F">
        <w:rPr>
          <w:sz w:val="36"/>
          <w:szCs w:val="36"/>
          <w:rtl/>
        </w:rPr>
        <w:t xml:space="preserve">ة </w:t>
      </w:r>
      <w:r w:rsidRPr="00FD211F">
        <w:rPr>
          <w:sz w:val="36"/>
          <w:szCs w:val="36"/>
          <w:rtl/>
        </w:rPr>
        <w:t>فاعل</w:t>
      </w:r>
      <w:r w:rsidR="00EC7EDF" w:rsidRPr="00FD211F">
        <w:rPr>
          <w:sz w:val="36"/>
          <w:szCs w:val="36"/>
          <w:rtl/>
        </w:rPr>
        <w:t xml:space="preserve">ة </w:t>
      </w:r>
      <w:r w:rsidRPr="00FD211F">
        <w:rPr>
          <w:sz w:val="36"/>
          <w:szCs w:val="36"/>
          <w:rtl/>
        </w:rPr>
        <w:t>له</w:t>
      </w:r>
      <w:r w:rsidR="00603323" w:rsidRPr="00FD211F">
        <w:rPr>
          <w:sz w:val="36"/>
          <w:szCs w:val="36"/>
          <w:rtl/>
        </w:rPr>
        <w:t xml:space="preserve">، </w:t>
      </w:r>
      <w:r w:rsidRPr="00FD211F">
        <w:rPr>
          <w:sz w:val="36"/>
          <w:szCs w:val="36"/>
          <w:rtl/>
        </w:rPr>
        <w:t>وانما هي مجرد معدّ له</w:t>
      </w:r>
      <w:r w:rsidR="00603323" w:rsidRPr="00FD211F">
        <w:rPr>
          <w:sz w:val="36"/>
          <w:szCs w:val="36"/>
          <w:rtl/>
        </w:rPr>
        <w:t xml:space="preserve">، </w:t>
      </w:r>
      <w:r w:rsidRPr="00FD211F">
        <w:rPr>
          <w:sz w:val="36"/>
          <w:szCs w:val="36"/>
          <w:rtl/>
        </w:rPr>
        <w:t>ويشهد عليه بقاء تبادر المعنى عند سماع اللفظ حتى بعد ذهاب عملي</w:t>
      </w:r>
      <w:r w:rsidR="00EC7EDF" w:rsidRPr="00FD211F">
        <w:rPr>
          <w:sz w:val="36"/>
          <w:szCs w:val="36"/>
          <w:rtl/>
        </w:rPr>
        <w:t xml:space="preserve">ة </w:t>
      </w:r>
      <w:r w:rsidRPr="00FD211F">
        <w:rPr>
          <w:sz w:val="36"/>
          <w:szCs w:val="36"/>
          <w:rtl/>
        </w:rPr>
        <w:t>الجعل والاعتبار</w:t>
      </w:r>
      <w:r w:rsidR="00603323" w:rsidRPr="00FD211F">
        <w:rPr>
          <w:sz w:val="36"/>
          <w:szCs w:val="36"/>
          <w:rtl/>
        </w:rPr>
        <w:t xml:space="preserve">، </w:t>
      </w:r>
      <w:r w:rsidRPr="00FD211F">
        <w:rPr>
          <w:sz w:val="36"/>
          <w:szCs w:val="36"/>
          <w:rtl/>
        </w:rPr>
        <w:t xml:space="preserve">كما ان ما ذكره </w:t>
      </w:r>
      <w:r w:rsidR="00A10F25" w:rsidRPr="00FD211F">
        <w:rPr>
          <w:sz w:val="36"/>
          <w:szCs w:val="36"/>
          <w:rtl/>
        </w:rPr>
        <w:t>المحقق الاصفهاني "قده"</w:t>
      </w:r>
      <w:r w:rsidRPr="00FD211F">
        <w:rPr>
          <w:sz w:val="36"/>
          <w:szCs w:val="36"/>
          <w:rtl/>
        </w:rPr>
        <w:t>-من ان اللفظ يباين المعنى في حد ذاته فلايعقل ان يكون تصوره مقتضيا ومؤثرا في تصور المعنى</w:t>
      </w:r>
      <w:r w:rsidR="00603323" w:rsidRPr="00FD211F">
        <w:rPr>
          <w:sz w:val="36"/>
          <w:szCs w:val="36"/>
          <w:rtl/>
        </w:rPr>
        <w:t xml:space="preserve">، </w:t>
      </w:r>
      <w:r w:rsidRPr="00FD211F">
        <w:rPr>
          <w:sz w:val="36"/>
          <w:szCs w:val="36"/>
          <w:rtl/>
        </w:rPr>
        <w:t>بحيث يكون العلم بالوضع شرطا في تأثيره فقط- تام أيضا</w:t>
      </w:r>
      <w:r w:rsidR="00603323" w:rsidRPr="00FD211F">
        <w:rPr>
          <w:sz w:val="36"/>
          <w:szCs w:val="36"/>
          <w:rtl/>
        </w:rPr>
        <w:t xml:space="preserve">، </w:t>
      </w:r>
      <w:r w:rsidRPr="00FD211F">
        <w:rPr>
          <w:sz w:val="36"/>
          <w:szCs w:val="36"/>
          <w:rtl/>
        </w:rPr>
        <w:t>نعم سيأتي ان ما هو المقتضي والمؤثر لتبادر المعنى وتصوره ليس هو العلم بالوضع وانما هو الاقتران الأكيد بين اللفظ والمعنى وهو ليس من مقول</w:t>
      </w:r>
      <w:r w:rsidR="00EC7EDF" w:rsidRPr="00FD211F">
        <w:rPr>
          <w:sz w:val="36"/>
          <w:szCs w:val="36"/>
          <w:rtl/>
        </w:rPr>
        <w:t xml:space="preserve">ة </w:t>
      </w:r>
      <w:r w:rsidRPr="00FD211F">
        <w:rPr>
          <w:sz w:val="36"/>
          <w:szCs w:val="36"/>
          <w:rtl/>
        </w:rPr>
        <w:t>العلم كما سيأتي توضيحه.</w:t>
      </w:r>
    </w:p>
    <w:p w14:paraId="1F7BFD0A" w14:textId="77777777" w:rsidR="00052BF2" w:rsidRPr="00FD211F" w:rsidRDefault="00052BF2" w:rsidP="009C58C8">
      <w:pPr>
        <w:ind w:left="0" w:firstLine="227"/>
        <w:jc w:val="both"/>
        <w:rPr>
          <w:sz w:val="36"/>
          <w:szCs w:val="36"/>
          <w:rtl/>
        </w:rPr>
      </w:pPr>
      <w:r w:rsidRPr="00FD211F">
        <w:rPr>
          <w:sz w:val="36"/>
          <w:szCs w:val="36"/>
          <w:rtl/>
        </w:rPr>
        <w:t>ثم لايخفى أنا</w:t>
      </w:r>
      <w:r w:rsidR="008D7B3D" w:rsidRPr="00FD211F">
        <w:rPr>
          <w:sz w:val="36"/>
          <w:szCs w:val="36"/>
          <w:rtl/>
        </w:rPr>
        <w:t xml:space="preserve"> لم‌</w:t>
      </w:r>
      <w:r w:rsidRPr="00FD211F">
        <w:rPr>
          <w:sz w:val="36"/>
          <w:szCs w:val="36"/>
          <w:rtl/>
        </w:rPr>
        <w:t xml:space="preserve">نفهم وجه ما ذكره المحقق الاصفهاني </w:t>
      </w:r>
      <w:r w:rsidR="00EC206A" w:rsidRPr="00FD211F">
        <w:rPr>
          <w:sz w:val="36"/>
          <w:szCs w:val="36"/>
          <w:rtl/>
        </w:rPr>
        <w:t>"</w:t>
      </w:r>
      <w:r w:rsidRPr="00FD211F">
        <w:rPr>
          <w:sz w:val="36"/>
          <w:szCs w:val="36"/>
          <w:rtl/>
        </w:rPr>
        <w:t>قده</w:t>
      </w:r>
      <w:r w:rsidR="00EC206A" w:rsidRPr="00FD211F">
        <w:rPr>
          <w:sz w:val="36"/>
          <w:szCs w:val="36"/>
          <w:rtl/>
        </w:rPr>
        <w:t>"</w:t>
      </w:r>
      <w:r w:rsidRPr="00FD211F">
        <w:rPr>
          <w:sz w:val="36"/>
          <w:szCs w:val="36"/>
          <w:rtl/>
        </w:rPr>
        <w:t xml:space="preserve"> من عدم معقولي</w:t>
      </w:r>
      <w:r w:rsidR="00EC7EDF" w:rsidRPr="00FD211F">
        <w:rPr>
          <w:sz w:val="36"/>
          <w:szCs w:val="36"/>
          <w:rtl/>
        </w:rPr>
        <w:t xml:space="preserve">ة </w:t>
      </w:r>
      <w:r w:rsidRPr="00FD211F">
        <w:rPr>
          <w:sz w:val="36"/>
          <w:szCs w:val="36"/>
          <w:rtl/>
        </w:rPr>
        <w:t>صلاحي</w:t>
      </w:r>
      <w:r w:rsidR="00EC7EDF" w:rsidRPr="00FD211F">
        <w:rPr>
          <w:sz w:val="36"/>
          <w:szCs w:val="36"/>
          <w:rtl/>
        </w:rPr>
        <w:t xml:space="preserve">ة </w:t>
      </w:r>
      <w:r w:rsidRPr="00FD211F">
        <w:rPr>
          <w:sz w:val="36"/>
          <w:szCs w:val="36"/>
          <w:rtl/>
        </w:rPr>
        <w:t>علي</w:t>
      </w:r>
      <w:r w:rsidR="00EC7EDF" w:rsidRPr="00FD211F">
        <w:rPr>
          <w:sz w:val="36"/>
          <w:szCs w:val="36"/>
          <w:rtl/>
        </w:rPr>
        <w:t xml:space="preserve">ة </w:t>
      </w:r>
      <w:r w:rsidRPr="00FD211F">
        <w:rPr>
          <w:sz w:val="36"/>
          <w:szCs w:val="36"/>
          <w:rtl/>
        </w:rPr>
        <w:t>تصور كل من المتلازمين لتصور الآخر</w:t>
      </w:r>
      <w:r w:rsidR="00603323" w:rsidRPr="00FD211F">
        <w:rPr>
          <w:sz w:val="36"/>
          <w:szCs w:val="36"/>
          <w:rtl/>
        </w:rPr>
        <w:t xml:space="preserve">، </w:t>
      </w:r>
      <w:r w:rsidRPr="00FD211F">
        <w:rPr>
          <w:sz w:val="36"/>
          <w:szCs w:val="36"/>
          <w:rtl/>
        </w:rPr>
        <w:t>فانه</w:t>
      </w:r>
      <w:r w:rsidR="008D7B3D" w:rsidRPr="00FD211F">
        <w:rPr>
          <w:sz w:val="36"/>
          <w:szCs w:val="36"/>
          <w:rtl/>
        </w:rPr>
        <w:t xml:space="preserve"> لم‌</w:t>
      </w:r>
      <w:r w:rsidRPr="00FD211F">
        <w:rPr>
          <w:sz w:val="36"/>
          <w:szCs w:val="36"/>
          <w:rtl/>
        </w:rPr>
        <w:t>يقم أي برهان على عدم معقوليته</w:t>
      </w:r>
      <w:r w:rsidR="00603323" w:rsidRPr="00FD211F">
        <w:rPr>
          <w:sz w:val="36"/>
          <w:szCs w:val="36"/>
          <w:rtl/>
        </w:rPr>
        <w:t xml:space="preserve">، </w:t>
      </w:r>
      <w:r w:rsidRPr="00FD211F">
        <w:rPr>
          <w:sz w:val="36"/>
          <w:szCs w:val="36"/>
          <w:rtl/>
        </w:rPr>
        <w:t>وأي مانع من ان يفرض شيئان</w:t>
      </w:r>
      <w:r w:rsidR="00603323" w:rsidRPr="00FD211F">
        <w:rPr>
          <w:sz w:val="36"/>
          <w:szCs w:val="36"/>
          <w:rtl/>
        </w:rPr>
        <w:t xml:space="preserve">، </w:t>
      </w:r>
      <w:r w:rsidRPr="00FD211F">
        <w:rPr>
          <w:sz w:val="36"/>
          <w:szCs w:val="36"/>
          <w:rtl/>
        </w:rPr>
        <w:t>يكون كل منهما مقتضيا لإيجاد</w:t>
      </w:r>
      <w:r w:rsidR="00675470" w:rsidRPr="00FD211F">
        <w:rPr>
          <w:sz w:val="36"/>
          <w:szCs w:val="36"/>
          <w:rtl/>
        </w:rPr>
        <w:t xml:space="preserve"> الآخر بشرط عدم انحصار المقتضي</w:t>
      </w:r>
      <w:r w:rsidRPr="00FD211F">
        <w:rPr>
          <w:sz w:val="36"/>
          <w:szCs w:val="36"/>
          <w:rtl/>
        </w:rPr>
        <w:t xml:space="preserve"> به</w:t>
      </w:r>
      <w:r w:rsidR="00675470" w:rsidRPr="00FD211F">
        <w:rPr>
          <w:sz w:val="36"/>
          <w:szCs w:val="36"/>
          <w:rtl/>
        </w:rPr>
        <w:t>ما</w:t>
      </w:r>
      <w:r w:rsidRPr="00FD211F">
        <w:rPr>
          <w:sz w:val="36"/>
          <w:szCs w:val="36"/>
          <w:rtl/>
        </w:rPr>
        <w:t xml:space="preserve"> فأيهما وجد أولا</w:t>
      </w:r>
      <w:r w:rsidR="00675470" w:rsidRPr="00FD211F">
        <w:rPr>
          <w:sz w:val="36"/>
          <w:szCs w:val="36"/>
          <w:rtl/>
        </w:rPr>
        <w:t>ً</w:t>
      </w:r>
      <w:r w:rsidRPr="00FD211F">
        <w:rPr>
          <w:sz w:val="36"/>
          <w:szCs w:val="36"/>
          <w:rtl/>
        </w:rPr>
        <w:t xml:space="preserve"> </w:t>
      </w:r>
      <w:r w:rsidR="00675470" w:rsidRPr="00FD211F">
        <w:rPr>
          <w:sz w:val="36"/>
          <w:szCs w:val="36"/>
          <w:rtl/>
        </w:rPr>
        <w:t xml:space="preserve">بسبب مقتضٍ ثالث اقتضي </w:t>
      </w:r>
      <w:r w:rsidRPr="00FD211F">
        <w:rPr>
          <w:sz w:val="36"/>
          <w:szCs w:val="36"/>
          <w:rtl/>
        </w:rPr>
        <w:t>تحقق الآخر.</w:t>
      </w:r>
    </w:p>
    <w:p w14:paraId="72A72BB1" w14:textId="77777777" w:rsidR="00052BF2" w:rsidRPr="00FD211F" w:rsidRDefault="002720F6" w:rsidP="009C58C8">
      <w:pPr>
        <w:ind w:left="0" w:firstLine="227"/>
        <w:jc w:val="both"/>
        <w:rPr>
          <w:sz w:val="36"/>
          <w:szCs w:val="36"/>
          <w:rtl/>
        </w:rPr>
      </w:pPr>
      <w:r w:rsidRPr="00FD211F">
        <w:rPr>
          <w:sz w:val="36"/>
          <w:szCs w:val="36"/>
          <w:rtl/>
        </w:rPr>
        <w:t>2-</w:t>
      </w:r>
      <w:r w:rsidR="00052BF2" w:rsidRPr="00FD211F">
        <w:rPr>
          <w:sz w:val="36"/>
          <w:szCs w:val="36"/>
          <w:rtl/>
        </w:rPr>
        <w:t xml:space="preserve"> ما ذكره صاحب الكفاي</w:t>
      </w:r>
      <w:r w:rsidR="00EC7EDF" w:rsidRPr="00FD211F">
        <w:rPr>
          <w:sz w:val="36"/>
          <w:szCs w:val="36"/>
          <w:rtl/>
        </w:rPr>
        <w:t>ة</w:t>
      </w:r>
      <w:r w:rsidR="008D7B3D" w:rsidRPr="00FD211F">
        <w:rPr>
          <w:sz w:val="36"/>
          <w:szCs w:val="36"/>
          <w:rtl/>
        </w:rPr>
        <w:t xml:space="preserve"> </w:t>
      </w:r>
      <w:r w:rsidR="000563CE" w:rsidRPr="00FD211F">
        <w:rPr>
          <w:sz w:val="36"/>
          <w:szCs w:val="36"/>
          <w:rtl/>
        </w:rPr>
        <w:t>"قده"</w:t>
      </w:r>
      <w:r w:rsidR="00A61BAE" w:rsidRPr="00FD211F">
        <w:rPr>
          <w:sz w:val="36"/>
          <w:szCs w:val="36"/>
          <w:rtl/>
        </w:rPr>
        <w:t xml:space="preserve"> </w:t>
      </w:r>
      <w:r w:rsidR="00052BF2" w:rsidRPr="00FD211F">
        <w:rPr>
          <w:sz w:val="36"/>
          <w:szCs w:val="36"/>
          <w:rtl/>
        </w:rPr>
        <w:t>من انه تار</w:t>
      </w:r>
      <w:r w:rsidR="00EC7EDF" w:rsidRPr="00FD211F">
        <w:rPr>
          <w:sz w:val="36"/>
          <w:szCs w:val="36"/>
          <w:rtl/>
        </w:rPr>
        <w:t xml:space="preserve">ة </w:t>
      </w:r>
      <w:r w:rsidR="00052BF2" w:rsidRPr="00FD211F">
        <w:rPr>
          <w:sz w:val="36"/>
          <w:szCs w:val="36"/>
          <w:rtl/>
        </w:rPr>
        <w:t>يراد جعل التبادر لدى العالم بالوضع أمار</w:t>
      </w:r>
      <w:r w:rsidR="00EC7EDF" w:rsidRPr="00FD211F">
        <w:rPr>
          <w:sz w:val="36"/>
          <w:szCs w:val="36"/>
          <w:rtl/>
        </w:rPr>
        <w:t xml:space="preserve">ة </w:t>
      </w:r>
      <w:r w:rsidR="00052BF2" w:rsidRPr="00FD211F">
        <w:rPr>
          <w:sz w:val="36"/>
          <w:szCs w:val="36"/>
          <w:rtl/>
        </w:rPr>
        <w:t>على الوضع كي يكون سببا لعلم الجاهل الذي يستعلم الحال</w:t>
      </w:r>
      <w:r w:rsidR="00603323" w:rsidRPr="00FD211F">
        <w:rPr>
          <w:sz w:val="36"/>
          <w:szCs w:val="36"/>
          <w:rtl/>
        </w:rPr>
        <w:t xml:space="preserve">، </w:t>
      </w:r>
      <w:r w:rsidR="00052BF2" w:rsidRPr="00FD211F">
        <w:rPr>
          <w:sz w:val="36"/>
          <w:szCs w:val="36"/>
          <w:rtl/>
        </w:rPr>
        <w:t>فلاتأتي شبه</w:t>
      </w:r>
      <w:r w:rsidR="00EC7EDF" w:rsidRPr="00FD211F">
        <w:rPr>
          <w:sz w:val="36"/>
          <w:szCs w:val="36"/>
          <w:rtl/>
        </w:rPr>
        <w:t xml:space="preserve">ة </w:t>
      </w:r>
      <w:r w:rsidR="00052BF2" w:rsidRPr="00FD211F">
        <w:rPr>
          <w:sz w:val="36"/>
          <w:szCs w:val="36"/>
          <w:rtl/>
        </w:rPr>
        <w:t>الدور في هذا الفرض أبدا</w:t>
      </w:r>
      <w:r w:rsidR="00603323" w:rsidRPr="00FD211F">
        <w:rPr>
          <w:sz w:val="36"/>
          <w:szCs w:val="36"/>
          <w:rtl/>
        </w:rPr>
        <w:t xml:space="preserve">، </w:t>
      </w:r>
      <w:r w:rsidR="00052BF2" w:rsidRPr="00FD211F">
        <w:rPr>
          <w:sz w:val="36"/>
          <w:szCs w:val="36"/>
          <w:rtl/>
        </w:rPr>
        <w:t>وأخرى يراد جعل التبادر لدى نفس المستعلم سببا لعلمه بالوضع فهنا تأتي شبه</w:t>
      </w:r>
      <w:r w:rsidR="00EC7EDF" w:rsidRPr="00FD211F">
        <w:rPr>
          <w:sz w:val="36"/>
          <w:szCs w:val="36"/>
          <w:rtl/>
        </w:rPr>
        <w:t xml:space="preserve">ة </w:t>
      </w:r>
      <w:r w:rsidR="00052BF2" w:rsidRPr="00FD211F">
        <w:rPr>
          <w:sz w:val="36"/>
          <w:szCs w:val="36"/>
          <w:rtl/>
        </w:rPr>
        <w:t>الدور</w:t>
      </w:r>
      <w:r w:rsidR="00603323" w:rsidRPr="00FD211F">
        <w:rPr>
          <w:sz w:val="36"/>
          <w:szCs w:val="36"/>
          <w:rtl/>
        </w:rPr>
        <w:t xml:space="preserve">، </w:t>
      </w:r>
      <w:r w:rsidR="00052BF2" w:rsidRPr="00FD211F">
        <w:rPr>
          <w:sz w:val="36"/>
          <w:szCs w:val="36"/>
          <w:rtl/>
        </w:rPr>
        <w:t>وحلها بان يقال ان الموقوف عليه التبادر هو العلم الارتكازي بالوضع والحاصل بعد التبادر هو العلم التفصيلي وبذلك يرتفع الدور</w:t>
      </w:r>
      <w:r w:rsidR="009C58C8" w:rsidRPr="00FD211F">
        <w:rPr>
          <w:rStyle w:val="a6"/>
          <w:sz w:val="36"/>
          <w:szCs w:val="36"/>
          <w:rtl/>
        </w:rPr>
        <w:t>(</w:t>
      </w:r>
      <w:r w:rsidR="009C58C8" w:rsidRPr="00FD211F">
        <w:rPr>
          <w:rStyle w:val="a6"/>
          <w:sz w:val="36"/>
          <w:szCs w:val="36"/>
          <w:rtl/>
        </w:rPr>
        <w:footnoteReference w:id="306"/>
      </w:r>
      <w:r w:rsidR="009C58C8" w:rsidRPr="00FD211F">
        <w:rPr>
          <w:rStyle w:val="a6"/>
          <w:sz w:val="36"/>
          <w:szCs w:val="36"/>
          <w:rtl/>
        </w:rPr>
        <w:t>)</w:t>
      </w:r>
      <w:r w:rsidR="00052BF2" w:rsidRPr="00FD211F">
        <w:rPr>
          <w:sz w:val="36"/>
          <w:szCs w:val="36"/>
          <w:rtl/>
        </w:rPr>
        <w:t>.</w:t>
      </w:r>
    </w:p>
    <w:p w14:paraId="124414F2" w14:textId="77777777" w:rsidR="00052BF2" w:rsidRPr="00FD211F" w:rsidRDefault="00052BF2" w:rsidP="009C58C8">
      <w:pPr>
        <w:ind w:left="0" w:firstLine="227"/>
        <w:jc w:val="both"/>
        <w:rPr>
          <w:sz w:val="36"/>
          <w:szCs w:val="36"/>
          <w:rtl/>
        </w:rPr>
      </w:pPr>
      <w:r w:rsidRPr="00FD211F">
        <w:rPr>
          <w:sz w:val="36"/>
          <w:szCs w:val="36"/>
          <w:rtl/>
        </w:rPr>
        <w:t>ولابأس به لولا ما نذكره من ان ما يتوقف عليه التبادر ليس من مقول</w:t>
      </w:r>
      <w:r w:rsidR="00EC7EDF" w:rsidRPr="00FD211F">
        <w:rPr>
          <w:sz w:val="36"/>
          <w:szCs w:val="36"/>
          <w:rtl/>
        </w:rPr>
        <w:t xml:space="preserve">ة </w:t>
      </w:r>
      <w:r w:rsidRPr="00FD211F">
        <w:rPr>
          <w:sz w:val="36"/>
          <w:szCs w:val="36"/>
          <w:rtl/>
        </w:rPr>
        <w:t>العلم.</w:t>
      </w:r>
    </w:p>
    <w:p w14:paraId="58E45444" w14:textId="77777777" w:rsidR="00052BF2" w:rsidRPr="00FD211F" w:rsidRDefault="002720F6" w:rsidP="009C58C8">
      <w:pPr>
        <w:ind w:left="0" w:firstLine="227"/>
        <w:jc w:val="both"/>
        <w:rPr>
          <w:sz w:val="36"/>
          <w:szCs w:val="36"/>
          <w:rtl/>
        </w:rPr>
      </w:pPr>
      <w:r w:rsidRPr="00FD211F">
        <w:rPr>
          <w:sz w:val="36"/>
          <w:szCs w:val="36"/>
          <w:rtl/>
        </w:rPr>
        <w:t>3-</w:t>
      </w:r>
      <w:r w:rsidR="00052BF2" w:rsidRPr="00FD211F">
        <w:rPr>
          <w:sz w:val="36"/>
          <w:szCs w:val="36"/>
          <w:rtl/>
        </w:rPr>
        <w:t xml:space="preserve"> </w:t>
      </w:r>
      <w:r w:rsidRPr="00FD211F">
        <w:rPr>
          <w:sz w:val="36"/>
          <w:szCs w:val="36"/>
          <w:rtl/>
        </w:rPr>
        <w:t xml:space="preserve">مافي البحوث من </w:t>
      </w:r>
      <w:r w:rsidR="00052BF2" w:rsidRPr="00FD211F">
        <w:rPr>
          <w:sz w:val="36"/>
          <w:szCs w:val="36"/>
          <w:rtl/>
        </w:rPr>
        <w:t>ان الذي يتوقف عليه التبادر انما هو الملازم</w:t>
      </w:r>
      <w:r w:rsidR="00EC7EDF" w:rsidRPr="00FD211F">
        <w:rPr>
          <w:sz w:val="36"/>
          <w:szCs w:val="36"/>
          <w:rtl/>
        </w:rPr>
        <w:t xml:space="preserve">ة </w:t>
      </w:r>
      <w:r w:rsidR="00052BF2" w:rsidRPr="00FD211F">
        <w:rPr>
          <w:sz w:val="36"/>
          <w:szCs w:val="36"/>
          <w:rtl/>
        </w:rPr>
        <w:t>الذهني</w:t>
      </w:r>
      <w:r w:rsidR="00EC7EDF" w:rsidRPr="00FD211F">
        <w:rPr>
          <w:sz w:val="36"/>
          <w:szCs w:val="36"/>
          <w:rtl/>
        </w:rPr>
        <w:t xml:space="preserve">ة </w:t>
      </w:r>
      <w:r w:rsidR="00052BF2" w:rsidRPr="00FD211F">
        <w:rPr>
          <w:sz w:val="36"/>
          <w:szCs w:val="36"/>
          <w:rtl/>
        </w:rPr>
        <w:t>بين اللفظ والمعنى</w:t>
      </w:r>
      <w:r w:rsidR="00603323" w:rsidRPr="00FD211F">
        <w:rPr>
          <w:sz w:val="36"/>
          <w:szCs w:val="36"/>
          <w:rtl/>
        </w:rPr>
        <w:t xml:space="preserve">، </w:t>
      </w:r>
      <w:r w:rsidR="00052BF2" w:rsidRPr="00FD211F">
        <w:rPr>
          <w:sz w:val="36"/>
          <w:szCs w:val="36"/>
          <w:rtl/>
        </w:rPr>
        <w:t>وليست هذه الملازم</w:t>
      </w:r>
      <w:r w:rsidR="00EC7EDF" w:rsidRPr="00FD211F">
        <w:rPr>
          <w:sz w:val="36"/>
          <w:szCs w:val="36"/>
          <w:rtl/>
        </w:rPr>
        <w:t xml:space="preserve">ة </w:t>
      </w:r>
      <w:r w:rsidR="00052BF2" w:rsidRPr="00FD211F">
        <w:rPr>
          <w:sz w:val="36"/>
          <w:szCs w:val="36"/>
          <w:rtl/>
        </w:rPr>
        <w:t>من سنخ العلم بل هي حال</w:t>
      </w:r>
      <w:r w:rsidR="00EC7EDF" w:rsidRPr="00FD211F">
        <w:rPr>
          <w:sz w:val="36"/>
          <w:szCs w:val="36"/>
          <w:rtl/>
        </w:rPr>
        <w:t xml:space="preserve">ة </w:t>
      </w:r>
      <w:r w:rsidR="00052BF2" w:rsidRPr="00FD211F">
        <w:rPr>
          <w:sz w:val="36"/>
          <w:szCs w:val="36"/>
          <w:rtl/>
        </w:rPr>
        <w:t>استجاب</w:t>
      </w:r>
      <w:r w:rsidR="00EC7EDF" w:rsidRPr="00FD211F">
        <w:rPr>
          <w:sz w:val="36"/>
          <w:szCs w:val="36"/>
          <w:rtl/>
        </w:rPr>
        <w:t xml:space="preserve">ة </w:t>
      </w:r>
      <w:r w:rsidR="00052BF2" w:rsidRPr="00FD211F">
        <w:rPr>
          <w:sz w:val="36"/>
          <w:szCs w:val="36"/>
          <w:rtl/>
        </w:rPr>
        <w:t>شرطي</w:t>
      </w:r>
      <w:r w:rsidR="00EC7EDF" w:rsidRPr="00FD211F">
        <w:rPr>
          <w:sz w:val="36"/>
          <w:szCs w:val="36"/>
          <w:rtl/>
        </w:rPr>
        <w:t xml:space="preserve">ة </w:t>
      </w:r>
      <w:r w:rsidR="00052BF2" w:rsidRPr="00FD211F">
        <w:rPr>
          <w:sz w:val="36"/>
          <w:szCs w:val="36"/>
          <w:rtl/>
        </w:rPr>
        <w:t>توجد في الطفل الرضيع أيضا</w:t>
      </w:r>
      <w:r w:rsidR="00603323" w:rsidRPr="00FD211F">
        <w:rPr>
          <w:sz w:val="36"/>
          <w:szCs w:val="36"/>
          <w:rtl/>
        </w:rPr>
        <w:t xml:space="preserve">، </w:t>
      </w:r>
      <w:r w:rsidR="00052BF2" w:rsidRPr="00FD211F">
        <w:rPr>
          <w:sz w:val="36"/>
          <w:szCs w:val="36"/>
          <w:rtl/>
        </w:rPr>
        <w:t>كما توجد نظيرها في البهائم أيضا</w:t>
      </w:r>
      <w:r w:rsidR="00603323" w:rsidRPr="00FD211F">
        <w:rPr>
          <w:sz w:val="36"/>
          <w:szCs w:val="36"/>
          <w:rtl/>
        </w:rPr>
        <w:t xml:space="preserve">، </w:t>
      </w:r>
      <w:r w:rsidR="00052BF2" w:rsidRPr="00FD211F">
        <w:rPr>
          <w:sz w:val="36"/>
          <w:szCs w:val="36"/>
          <w:rtl/>
        </w:rPr>
        <w:t>ويسمى ذلك بالقرن الأكيد</w:t>
      </w:r>
      <w:r w:rsidR="00603323" w:rsidRPr="00FD211F">
        <w:rPr>
          <w:sz w:val="36"/>
          <w:szCs w:val="36"/>
          <w:rtl/>
        </w:rPr>
        <w:t xml:space="preserve">، </w:t>
      </w:r>
      <w:r w:rsidR="00052BF2" w:rsidRPr="00FD211F">
        <w:rPr>
          <w:sz w:val="36"/>
          <w:szCs w:val="36"/>
          <w:rtl/>
        </w:rPr>
        <w:t>نعم هذه الملازم</w:t>
      </w:r>
      <w:r w:rsidR="00EC7EDF" w:rsidRPr="00FD211F">
        <w:rPr>
          <w:sz w:val="36"/>
          <w:szCs w:val="36"/>
          <w:rtl/>
        </w:rPr>
        <w:t xml:space="preserve">ة </w:t>
      </w:r>
      <w:r w:rsidR="00052BF2" w:rsidRPr="00FD211F">
        <w:rPr>
          <w:sz w:val="36"/>
          <w:szCs w:val="36"/>
          <w:rtl/>
        </w:rPr>
        <w:t>الذهني</w:t>
      </w:r>
      <w:r w:rsidR="00EC7EDF" w:rsidRPr="00FD211F">
        <w:rPr>
          <w:sz w:val="36"/>
          <w:szCs w:val="36"/>
          <w:rtl/>
        </w:rPr>
        <w:t xml:space="preserve">ة </w:t>
      </w:r>
      <w:r w:rsidR="00052BF2" w:rsidRPr="00FD211F">
        <w:rPr>
          <w:sz w:val="36"/>
          <w:szCs w:val="36"/>
          <w:rtl/>
        </w:rPr>
        <w:t>لاتستند دائما الى الوضع التعييني</w:t>
      </w:r>
      <w:r w:rsidR="00603323" w:rsidRPr="00FD211F">
        <w:rPr>
          <w:sz w:val="36"/>
          <w:szCs w:val="36"/>
          <w:rtl/>
        </w:rPr>
        <w:t xml:space="preserve">، </w:t>
      </w:r>
      <w:r w:rsidR="00052BF2" w:rsidRPr="00FD211F">
        <w:rPr>
          <w:sz w:val="36"/>
          <w:szCs w:val="36"/>
          <w:rtl/>
        </w:rPr>
        <w:t>بل قد تستند الى كثر</w:t>
      </w:r>
      <w:r w:rsidR="00EC7EDF" w:rsidRPr="00FD211F">
        <w:rPr>
          <w:sz w:val="36"/>
          <w:szCs w:val="36"/>
          <w:rtl/>
        </w:rPr>
        <w:t xml:space="preserve">ة </w:t>
      </w:r>
      <w:r w:rsidR="00052BF2" w:rsidRPr="00FD211F">
        <w:rPr>
          <w:sz w:val="36"/>
          <w:szCs w:val="36"/>
          <w:rtl/>
        </w:rPr>
        <w:t>الاستعمال التي تسمى بالوضع التعيني</w:t>
      </w:r>
      <w:r w:rsidR="00603323" w:rsidRPr="00FD211F">
        <w:rPr>
          <w:sz w:val="36"/>
          <w:szCs w:val="36"/>
          <w:rtl/>
        </w:rPr>
        <w:t xml:space="preserve">، </w:t>
      </w:r>
      <w:r w:rsidR="00052BF2" w:rsidRPr="00FD211F">
        <w:rPr>
          <w:sz w:val="36"/>
          <w:szCs w:val="36"/>
          <w:rtl/>
        </w:rPr>
        <w:t>لكنه ليس بمهم في المقام</w:t>
      </w:r>
      <w:r w:rsidR="009C58C8" w:rsidRPr="00FD211F">
        <w:rPr>
          <w:rStyle w:val="a6"/>
          <w:sz w:val="36"/>
          <w:szCs w:val="36"/>
          <w:rtl/>
        </w:rPr>
        <w:t>(</w:t>
      </w:r>
      <w:r w:rsidR="009C58C8" w:rsidRPr="00FD211F">
        <w:rPr>
          <w:rStyle w:val="a6"/>
          <w:sz w:val="36"/>
          <w:szCs w:val="36"/>
          <w:rtl/>
        </w:rPr>
        <w:footnoteReference w:id="307"/>
      </w:r>
      <w:r w:rsidR="009C58C8" w:rsidRPr="00FD211F">
        <w:rPr>
          <w:rStyle w:val="a6"/>
          <w:sz w:val="36"/>
          <w:szCs w:val="36"/>
          <w:rtl/>
        </w:rPr>
        <w:t>)</w:t>
      </w:r>
      <w:r w:rsidR="00603323" w:rsidRPr="00FD211F">
        <w:rPr>
          <w:sz w:val="36"/>
          <w:szCs w:val="36"/>
          <w:rtl/>
        </w:rPr>
        <w:t xml:space="preserve">، </w:t>
      </w:r>
      <w:r w:rsidR="0001343D" w:rsidRPr="00FD211F">
        <w:rPr>
          <w:sz w:val="36"/>
          <w:szCs w:val="36"/>
          <w:rtl/>
        </w:rPr>
        <w:t>ولابأس بما أفاده.</w:t>
      </w:r>
    </w:p>
    <w:p w14:paraId="4A819210" w14:textId="77777777" w:rsidR="00BB6676" w:rsidRPr="00FD211F" w:rsidRDefault="0001343D" w:rsidP="009C58C8">
      <w:pPr>
        <w:ind w:left="0" w:firstLine="227"/>
        <w:jc w:val="both"/>
        <w:rPr>
          <w:sz w:val="36"/>
          <w:szCs w:val="36"/>
          <w:rtl/>
        </w:rPr>
      </w:pPr>
      <w:r w:rsidRPr="00FD211F">
        <w:rPr>
          <w:sz w:val="36"/>
          <w:szCs w:val="36"/>
          <w:rtl/>
        </w:rPr>
        <w:t xml:space="preserve">هذا </w:t>
      </w:r>
      <w:r w:rsidR="00052BF2" w:rsidRPr="00FD211F">
        <w:rPr>
          <w:sz w:val="36"/>
          <w:szCs w:val="36"/>
          <w:rtl/>
        </w:rPr>
        <w:t>وقد ذكر في البحوث انه بناء على كون الوضع من مقول</w:t>
      </w:r>
      <w:r w:rsidR="00EC7EDF" w:rsidRPr="00FD211F">
        <w:rPr>
          <w:sz w:val="36"/>
          <w:szCs w:val="36"/>
          <w:rtl/>
        </w:rPr>
        <w:t xml:space="preserve">ة </w:t>
      </w:r>
      <w:r w:rsidR="00052BF2" w:rsidRPr="00FD211F">
        <w:rPr>
          <w:sz w:val="36"/>
          <w:szCs w:val="36"/>
          <w:rtl/>
        </w:rPr>
        <w:t xml:space="preserve">الاعتبار لاالقرن الأكيد </w:t>
      </w:r>
      <w:r w:rsidR="00BB6676" w:rsidRPr="00FD211F">
        <w:rPr>
          <w:sz w:val="36"/>
          <w:szCs w:val="36"/>
          <w:rtl/>
        </w:rPr>
        <w:t xml:space="preserve">فلايصح جعل </w:t>
      </w:r>
      <w:r w:rsidR="00052BF2" w:rsidRPr="00FD211F">
        <w:rPr>
          <w:sz w:val="36"/>
          <w:szCs w:val="36"/>
          <w:rtl/>
        </w:rPr>
        <w:t>التبادر لدى المستعلم</w:t>
      </w:r>
      <w:r w:rsidR="00BB6676" w:rsidRPr="00FD211F">
        <w:rPr>
          <w:sz w:val="36"/>
          <w:szCs w:val="36"/>
          <w:rtl/>
        </w:rPr>
        <w:t xml:space="preserve"> علام</w:t>
      </w:r>
      <w:r w:rsidR="00EC7EDF" w:rsidRPr="00FD211F">
        <w:rPr>
          <w:sz w:val="36"/>
          <w:szCs w:val="36"/>
          <w:rtl/>
        </w:rPr>
        <w:t>ة</w:t>
      </w:r>
      <w:r w:rsidR="00603323" w:rsidRPr="00FD211F">
        <w:rPr>
          <w:sz w:val="36"/>
          <w:szCs w:val="36"/>
          <w:rtl/>
        </w:rPr>
        <w:t xml:space="preserve">، </w:t>
      </w:r>
      <w:r w:rsidR="00052BF2" w:rsidRPr="00FD211F">
        <w:rPr>
          <w:sz w:val="36"/>
          <w:szCs w:val="36"/>
          <w:rtl/>
        </w:rPr>
        <w:t>حيث ان المقصود ان كان جعل التبادر</w:t>
      </w:r>
      <w:r w:rsidRPr="00FD211F">
        <w:rPr>
          <w:sz w:val="36"/>
          <w:szCs w:val="36"/>
          <w:rtl/>
        </w:rPr>
        <w:t>لديه</w:t>
      </w:r>
      <w:r w:rsidR="00B253CE" w:rsidRPr="00FD211F">
        <w:rPr>
          <w:sz w:val="36"/>
          <w:szCs w:val="36"/>
          <w:rtl/>
        </w:rPr>
        <w:t xml:space="preserve"> </w:t>
      </w:r>
      <w:r w:rsidRPr="00FD211F">
        <w:rPr>
          <w:sz w:val="36"/>
          <w:szCs w:val="36"/>
          <w:rtl/>
        </w:rPr>
        <w:t xml:space="preserve">كاشفا </w:t>
      </w:r>
      <w:r w:rsidR="00052BF2" w:rsidRPr="00FD211F">
        <w:rPr>
          <w:sz w:val="36"/>
          <w:szCs w:val="36"/>
          <w:rtl/>
        </w:rPr>
        <w:t xml:space="preserve">إنّيا </w:t>
      </w:r>
      <w:r w:rsidRPr="00FD211F">
        <w:rPr>
          <w:sz w:val="36"/>
          <w:szCs w:val="36"/>
          <w:rtl/>
        </w:rPr>
        <w:t xml:space="preserve">عن </w:t>
      </w:r>
      <w:r w:rsidR="00052BF2" w:rsidRPr="00FD211F">
        <w:rPr>
          <w:sz w:val="36"/>
          <w:szCs w:val="36"/>
          <w:rtl/>
        </w:rPr>
        <w:t>الوضع بما هو جعل قائم بالواضع</w:t>
      </w:r>
      <w:r w:rsidR="00603323" w:rsidRPr="00FD211F">
        <w:rPr>
          <w:sz w:val="36"/>
          <w:szCs w:val="36"/>
          <w:rtl/>
        </w:rPr>
        <w:t xml:space="preserve">، </w:t>
      </w:r>
      <w:r w:rsidR="00052BF2" w:rsidRPr="00FD211F">
        <w:rPr>
          <w:sz w:val="36"/>
          <w:szCs w:val="36"/>
          <w:rtl/>
        </w:rPr>
        <w:t>فيرد عليه ان الوضع ب</w:t>
      </w:r>
      <w:r w:rsidRPr="00FD211F">
        <w:rPr>
          <w:sz w:val="36"/>
          <w:szCs w:val="36"/>
          <w:rtl/>
        </w:rPr>
        <w:t xml:space="preserve">ماهو جعل </w:t>
      </w:r>
      <w:r w:rsidR="00052BF2" w:rsidRPr="00FD211F">
        <w:rPr>
          <w:sz w:val="36"/>
          <w:szCs w:val="36"/>
          <w:rtl/>
        </w:rPr>
        <w:t>قائم بالواضع ليس عل</w:t>
      </w:r>
      <w:r w:rsidR="00EC7EDF" w:rsidRPr="00FD211F">
        <w:rPr>
          <w:sz w:val="36"/>
          <w:szCs w:val="36"/>
          <w:rtl/>
        </w:rPr>
        <w:t xml:space="preserve">ة </w:t>
      </w:r>
      <w:r w:rsidR="00052BF2" w:rsidRPr="00FD211F">
        <w:rPr>
          <w:sz w:val="36"/>
          <w:szCs w:val="36"/>
          <w:rtl/>
        </w:rPr>
        <w:t>للتبادر</w:t>
      </w:r>
      <w:r w:rsidR="00603323" w:rsidRPr="00FD211F">
        <w:rPr>
          <w:sz w:val="36"/>
          <w:szCs w:val="36"/>
          <w:rtl/>
        </w:rPr>
        <w:t xml:space="preserve">، </w:t>
      </w:r>
      <w:r w:rsidR="00052BF2" w:rsidRPr="00FD211F">
        <w:rPr>
          <w:sz w:val="36"/>
          <w:szCs w:val="36"/>
          <w:rtl/>
        </w:rPr>
        <w:t>ليكون التبادر كاشفا إنّيا عنه</w:t>
      </w:r>
      <w:r w:rsidR="00603323" w:rsidRPr="00FD211F">
        <w:rPr>
          <w:sz w:val="36"/>
          <w:szCs w:val="36"/>
          <w:rtl/>
        </w:rPr>
        <w:t xml:space="preserve">، </w:t>
      </w:r>
      <w:r w:rsidR="00052BF2" w:rsidRPr="00FD211F">
        <w:rPr>
          <w:sz w:val="36"/>
          <w:szCs w:val="36"/>
          <w:rtl/>
        </w:rPr>
        <w:t>بل تمام العل</w:t>
      </w:r>
      <w:r w:rsidR="00EC7EDF" w:rsidRPr="00FD211F">
        <w:rPr>
          <w:sz w:val="36"/>
          <w:szCs w:val="36"/>
          <w:rtl/>
        </w:rPr>
        <w:t xml:space="preserve">ة </w:t>
      </w:r>
      <w:r w:rsidR="00052BF2" w:rsidRPr="00FD211F">
        <w:rPr>
          <w:sz w:val="36"/>
          <w:szCs w:val="36"/>
          <w:rtl/>
        </w:rPr>
        <w:t>للتبادر نفس العلم بالوضع سواء كان هناك وضع في الواقع ام لا</w:t>
      </w:r>
      <w:r w:rsidR="00603323" w:rsidRPr="00FD211F">
        <w:rPr>
          <w:sz w:val="36"/>
          <w:szCs w:val="36"/>
          <w:rtl/>
        </w:rPr>
        <w:t xml:space="preserve">، </w:t>
      </w:r>
      <w:r w:rsidR="00052BF2" w:rsidRPr="00FD211F">
        <w:rPr>
          <w:sz w:val="36"/>
          <w:szCs w:val="36"/>
          <w:rtl/>
        </w:rPr>
        <w:t>وان كان المقصود جعل التبادر برهانا انيا عند المستعلم على علمه بالوضع فهو غير معقول</w:t>
      </w:r>
      <w:r w:rsidR="00603323" w:rsidRPr="00FD211F">
        <w:rPr>
          <w:sz w:val="36"/>
          <w:szCs w:val="36"/>
          <w:rtl/>
        </w:rPr>
        <w:t xml:space="preserve">، </w:t>
      </w:r>
      <w:r w:rsidR="00052BF2" w:rsidRPr="00FD211F">
        <w:rPr>
          <w:sz w:val="36"/>
          <w:szCs w:val="36"/>
          <w:rtl/>
        </w:rPr>
        <w:t>ل</w:t>
      </w:r>
      <w:r w:rsidR="00BB6676" w:rsidRPr="00FD211F">
        <w:rPr>
          <w:sz w:val="36"/>
          <w:szCs w:val="36"/>
          <w:rtl/>
        </w:rPr>
        <w:t>ان العالم بمجرد استعلامه عن علم</w:t>
      </w:r>
      <w:r w:rsidR="00052BF2" w:rsidRPr="00FD211F">
        <w:rPr>
          <w:sz w:val="36"/>
          <w:szCs w:val="36"/>
          <w:rtl/>
        </w:rPr>
        <w:t xml:space="preserve"> نفسه يحصل له اليقين بعلمه اذا كان عالما</w:t>
      </w:r>
      <w:r w:rsidR="00603323" w:rsidRPr="00FD211F">
        <w:rPr>
          <w:sz w:val="36"/>
          <w:szCs w:val="36"/>
          <w:rtl/>
        </w:rPr>
        <w:t xml:space="preserve">، </w:t>
      </w:r>
      <w:r w:rsidR="00BB6676" w:rsidRPr="00FD211F">
        <w:rPr>
          <w:sz w:val="36"/>
          <w:szCs w:val="36"/>
          <w:rtl/>
        </w:rPr>
        <w:t>لان العلم حاضر في افق نفسه</w:t>
      </w:r>
      <w:r w:rsidR="00603323" w:rsidRPr="00FD211F">
        <w:rPr>
          <w:sz w:val="36"/>
          <w:szCs w:val="36"/>
          <w:rtl/>
        </w:rPr>
        <w:t xml:space="preserve">، </w:t>
      </w:r>
      <w:r w:rsidR="00BB6676" w:rsidRPr="00FD211F">
        <w:rPr>
          <w:sz w:val="36"/>
          <w:szCs w:val="36"/>
          <w:rtl/>
        </w:rPr>
        <w:t>ف</w:t>
      </w:r>
      <w:r w:rsidR="00052BF2" w:rsidRPr="00FD211F">
        <w:rPr>
          <w:sz w:val="36"/>
          <w:szCs w:val="36"/>
          <w:rtl/>
        </w:rPr>
        <w:t>يستحيل ان ي</w:t>
      </w:r>
      <w:r w:rsidR="00BB6676" w:rsidRPr="00FD211F">
        <w:rPr>
          <w:sz w:val="36"/>
          <w:szCs w:val="36"/>
          <w:rtl/>
        </w:rPr>
        <w:t>حتاج الى وسيط يكشف عنه</w:t>
      </w:r>
      <w:r w:rsidR="00EC7EDF" w:rsidRPr="00FD211F">
        <w:rPr>
          <w:sz w:val="36"/>
          <w:szCs w:val="36"/>
          <w:rtl/>
        </w:rPr>
        <w:t>.</w:t>
      </w:r>
    </w:p>
    <w:p w14:paraId="67CD5616" w14:textId="77777777" w:rsidR="00BB6676" w:rsidRPr="00FD211F" w:rsidRDefault="00BB6676" w:rsidP="009C58C8">
      <w:pPr>
        <w:ind w:left="0" w:firstLine="227"/>
        <w:jc w:val="both"/>
        <w:rPr>
          <w:sz w:val="36"/>
          <w:szCs w:val="36"/>
          <w:rtl/>
        </w:rPr>
      </w:pPr>
      <w:r w:rsidRPr="00FD211F">
        <w:rPr>
          <w:sz w:val="36"/>
          <w:szCs w:val="36"/>
          <w:rtl/>
        </w:rPr>
        <w:t xml:space="preserve">نعم </w:t>
      </w:r>
      <w:r w:rsidR="00052BF2" w:rsidRPr="00FD211F">
        <w:rPr>
          <w:sz w:val="36"/>
          <w:szCs w:val="36"/>
          <w:rtl/>
        </w:rPr>
        <w:t xml:space="preserve">بناء على </w:t>
      </w:r>
      <w:r w:rsidRPr="00FD211F">
        <w:rPr>
          <w:sz w:val="36"/>
          <w:szCs w:val="36"/>
          <w:rtl/>
        </w:rPr>
        <w:t>مسلكنا من كون الوضع هو</w:t>
      </w:r>
      <w:r w:rsidR="00C73E44" w:rsidRPr="00FD211F">
        <w:rPr>
          <w:sz w:val="36"/>
          <w:szCs w:val="36"/>
          <w:rtl/>
        </w:rPr>
        <w:t xml:space="preserve"> </w:t>
      </w:r>
      <w:r w:rsidRPr="00FD211F">
        <w:rPr>
          <w:sz w:val="36"/>
          <w:szCs w:val="36"/>
          <w:rtl/>
        </w:rPr>
        <w:t>ال</w:t>
      </w:r>
      <w:r w:rsidR="00052BF2" w:rsidRPr="00FD211F">
        <w:rPr>
          <w:sz w:val="36"/>
          <w:szCs w:val="36"/>
          <w:rtl/>
        </w:rPr>
        <w:t xml:space="preserve">قرن </w:t>
      </w:r>
      <w:r w:rsidRPr="00FD211F">
        <w:rPr>
          <w:sz w:val="36"/>
          <w:szCs w:val="36"/>
          <w:rtl/>
        </w:rPr>
        <w:t xml:space="preserve">الاكيد </w:t>
      </w:r>
      <w:r w:rsidR="00052BF2" w:rsidRPr="00FD211F">
        <w:rPr>
          <w:sz w:val="36"/>
          <w:szCs w:val="36"/>
          <w:rtl/>
        </w:rPr>
        <w:t>بين اللفظ</w:t>
      </w:r>
      <w:r w:rsidR="00EC7EDF" w:rsidRPr="00FD211F">
        <w:rPr>
          <w:sz w:val="36"/>
          <w:szCs w:val="36"/>
          <w:rtl/>
        </w:rPr>
        <w:t xml:space="preserve"> و</w:t>
      </w:r>
      <w:r w:rsidR="00052BF2" w:rsidRPr="00FD211F">
        <w:rPr>
          <w:sz w:val="36"/>
          <w:szCs w:val="36"/>
          <w:rtl/>
        </w:rPr>
        <w:t>المعنى في ذهن السامع بنحو يوجب انتقال الذهن من احدهما الى الآخر</w:t>
      </w:r>
      <w:r w:rsidR="00603323" w:rsidRPr="00FD211F">
        <w:rPr>
          <w:sz w:val="36"/>
          <w:szCs w:val="36"/>
          <w:rtl/>
        </w:rPr>
        <w:t xml:space="preserve">، </w:t>
      </w:r>
      <w:r w:rsidR="00052BF2" w:rsidRPr="00FD211F">
        <w:rPr>
          <w:sz w:val="36"/>
          <w:szCs w:val="36"/>
          <w:rtl/>
        </w:rPr>
        <w:t>تكون علامي</w:t>
      </w:r>
      <w:r w:rsidR="00EC7EDF" w:rsidRPr="00FD211F">
        <w:rPr>
          <w:sz w:val="36"/>
          <w:szCs w:val="36"/>
          <w:rtl/>
        </w:rPr>
        <w:t xml:space="preserve">ة </w:t>
      </w:r>
      <w:r w:rsidR="00052BF2" w:rsidRPr="00FD211F">
        <w:rPr>
          <w:sz w:val="36"/>
          <w:szCs w:val="36"/>
          <w:rtl/>
        </w:rPr>
        <w:t>التبادر معقول</w:t>
      </w:r>
      <w:r w:rsidR="00EC7EDF" w:rsidRPr="00FD211F">
        <w:rPr>
          <w:sz w:val="36"/>
          <w:szCs w:val="36"/>
          <w:rtl/>
        </w:rPr>
        <w:t xml:space="preserve">ة </w:t>
      </w:r>
      <w:r w:rsidR="00052BF2" w:rsidRPr="00FD211F">
        <w:rPr>
          <w:sz w:val="36"/>
          <w:szCs w:val="36"/>
          <w:rtl/>
        </w:rPr>
        <w:t>لان انسباق ذهن السامع الى معنى</w:t>
      </w:r>
      <w:r w:rsidRPr="00FD211F">
        <w:rPr>
          <w:sz w:val="36"/>
          <w:szCs w:val="36"/>
          <w:rtl/>
        </w:rPr>
        <w:t>ً</w:t>
      </w:r>
      <w:r w:rsidR="00052BF2" w:rsidRPr="00FD211F">
        <w:rPr>
          <w:sz w:val="36"/>
          <w:szCs w:val="36"/>
          <w:rtl/>
        </w:rPr>
        <w:t xml:space="preserve"> من اللفظ فرع الملازم</w:t>
      </w:r>
      <w:r w:rsidR="00EC7EDF" w:rsidRPr="00FD211F">
        <w:rPr>
          <w:sz w:val="36"/>
          <w:szCs w:val="36"/>
          <w:rtl/>
        </w:rPr>
        <w:t xml:space="preserve">ة </w:t>
      </w:r>
      <w:r w:rsidR="00052BF2" w:rsidRPr="00FD211F">
        <w:rPr>
          <w:sz w:val="36"/>
          <w:szCs w:val="36"/>
          <w:rtl/>
        </w:rPr>
        <w:t>بين تصور اللفظ وتصور المعنى في ذهنه</w:t>
      </w:r>
      <w:r w:rsidR="00603323" w:rsidRPr="00FD211F">
        <w:rPr>
          <w:sz w:val="36"/>
          <w:szCs w:val="36"/>
          <w:rtl/>
        </w:rPr>
        <w:t xml:space="preserve">، </w:t>
      </w:r>
      <w:r w:rsidR="00052BF2" w:rsidRPr="00FD211F">
        <w:rPr>
          <w:sz w:val="36"/>
          <w:szCs w:val="36"/>
          <w:rtl/>
        </w:rPr>
        <w:t>وهذه الملازم</w:t>
      </w:r>
      <w:r w:rsidR="00EC7EDF" w:rsidRPr="00FD211F">
        <w:rPr>
          <w:sz w:val="36"/>
          <w:szCs w:val="36"/>
          <w:rtl/>
        </w:rPr>
        <w:t xml:space="preserve">ة </w:t>
      </w:r>
      <w:r w:rsidR="00052BF2" w:rsidRPr="00FD211F">
        <w:rPr>
          <w:sz w:val="36"/>
          <w:szCs w:val="36"/>
          <w:rtl/>
        </w:rPr>
        <w:t>فرع القرن الأكيد بين اللفظ والمعنى الذي هو روح المعنى</w:t>
      </w:r>
      <w:r w:rsidR="00603323" w:rsidRPr="00FD211F">
        <w:rPr>
          <w:sz w:val="36"/>
          <w:szCs w:val="36"/>
          <w:rtl/>
        </w:rPr>
        <w:t xml:space="preserve">، </w:t>
      </w:r>
      <w:r w:rsidR="00052BF2" w:rsidRPr="00FD211F">
        <w:rPr>
          <w:sz w:val="36"/>
          <w:szCs w:val="36"/>
          <w:rtl/>
        </w:rPr>
        <w:t>وهو امر واقعي وليس من مقول</w:t>
      </w:r>
      <w:r w:rsidR="00EC7EDF" w:rsidRPr="00FD211F">
        <w:rPr>
          <w:sz w:val="36"/>
          <w:szCs w:val="36"/>
          <w:rtl/>
        </w:rPr>
        <w:t xml:space="preserve">ة </w:t>
      </w:r>
      <w:r w:rsidR="00052BF2" w:rsidRPr="00FD211F">
        <w:rPr>
          <w:sz w:val="36"/>
          <w:szCs w:val="36"/>
          <w:rtl/>
        </w:rPr>
        <w:t xml:space="preserve">العلم والتصديق فلايكون </w:t>
      </w:r>
      <w:r w:rsidRPr="00FD211F">
        <w:rPr>
          <w:sz w:val="36"/>
          <w:szCs w:val="36"/>
          <w:rtl/>
        </w:rPr>
        <w:t>التبادر موقوفا على العلم بالوضع.</w:t>
      </w:r>
      <w:r w:rsidR="00052BF2" w:rsidRPr="00FD211F">
        <w:rPr>
          <w:sz w:val="36"/>
          <w:szCs w:val="36"/>
          <w:rtl/>
        </w:rPr>
        <w:t xml:space="preserve"> </w:t>
      </w:r>
    </w:p>
    <w:p w14:paraId="4B6C87DF" w14:textId="77777777" w:rsidR="00052BF2" w:rsidRPr="00FD211F" w:rsidRDefault="00052BF2" w:rsidP="009C58C8">
      <w:pPr>
        <w:ind w:left="0" w:firstLine="227"/>
        <w:jc w:val="both"/>
        <w:rPr>
          <w:sz w:val="36"/>
          <w:szCs w:val="36"/>
          <w:rtl/>
        </w:rPr>
      </w:pPr>
      <w:r w:rsidRPr="00FD211F">
        <w:rPr>
          <w:sz w:val="36"/>
          <w:szCs w:val="36"/>
          <w:rtl/>
        </w:rPr>
        <w:t>نعم علامي</w:t>
      </w:r>
      <w:r w:rsidR="00EC7EDF" w:rsidRPr="00FD211F">
        <w:rPr>
          <w:sz w:val="36"/>
          <w:szCs w:val="36"/>
          <w:rtl/>
        </w:rPr>
        <w:t xml:space="preserve">ة </w:t>
      </w:r>
      <w:r w:rsidRPr="00FD211F">
        <w:rPr>
          <w:sz w:val="36"/>
          <w:szCs w:val="36"/>
          <w:rtl/>
        </w:rPr>
        <w:t>التبادر لدى العالم بالوضع بالنسب</w:t>
      </w:r>
      <w:r w:rsidR="00EC7EDF" w:rsidRPr="00FD211F">
        <w:rPr>
          <w:sz w:val="36"/>
          <w:szCs w:val="36"/>
          <w:rtl/>
        </w:rPr>
        <w:t xml:space="preserve">ة </w:t>
      </w:r>
      <w:r w:rsidRPr="00FD211F">
        <w:rPr>
          <w:sz w:val="36"/>
          <w:szCs w:val="36"/>
          <w:rtl/>
        </w:rPr>
        <w:t>الى الآخرين ليس فيها محذور على جميع المسالك في حقيق</w:t>
      </w:r>
      <w:r w:rsidR="00EC7EDF" w:rsidRPr="00FD211F">
        <w:rPr>
          <w:sz w:val="36"/>
          <w:szCs w:val="36"/>
          <w:rtl/>
        </w:rPr>
        <w:t xml:space="preserve">ة </w:t>
      </w:r>
      <w:r w:rsidRPr="00FD211F">
        <w:rPr>
          <w:sz w:val="36"/>
          <w:szCs w:val="36"/>
          <w:rtl/>
        </w:rPr>
        <w:t>الوضع</w:t>
      </w:r>
      <w:r w:rsidR="009C58C8" w:rsidRPr="00FD211F">
        <w:rPr>
          <w:rStyle w:val="a6"/>
          <w:sz w:val="36"/>
          <w:szCs w:val="36"/>
          <w:rtl/>
        </w:rPr>
        <w:t>(</w:t>
      </w:r>
      <w:r w:rsidR="009C58C8" w:rsidRPr="00FD211F">
        <w:rPr>
          <w:rStyle w:val="a6"/>
          <w:sz w:val="36"/>
          <w:szCs w:val="36"/>
          <w:rtl/>
        </w:rPr>
        <w:footnoteReference w:id="308"/>
      </w:r>
      <w:r w:rsidR="009C58C8" w:rsidRPr="00FD211F">
        <w:rPr>
          <w:rStyle w:val="a6"/>
          <w:sz w:val="36"/>
          <w:szCs w:val="36"/>
          <w:rtl/>
        </w:rPr>
        <w:t>)</w:t>
      </w:r>
      <w:r w:rsidRPr="00FD211F">
        <w:rPr>
          <w:sz w:val="36"/>
          <w:szCs w:val="36"/>
          <w:rtl/>
        </w:rPr>
        <w:t>.</w:t>
      </w:r>
    </w:p>
    <w:p w14:paraId="1DA555D9" w14:textId="77777777" w:rsidR="00880F83" w:rsidRPr="00FD211F" w:rsidRDefault="00052BF2" w:rsidP="009C58C8">
      <w:pPr>
        <w:ind w:left="0" w:firstLine="227"/>
        <w:jc w:val="both"/>
        <w:rPr>
          <w:sz w:val="36"/>
          <w:szCs w:val="36"/>
          <w:rtl/>
        </w:rPr>
      </w:pPr>
      <w:r w:rsidRPr="00FD211F">
        <w:rPr>
          <w:sz w:val="36"/>
          <w:szCs w:val="36"/>
          <w:rtl/>
        </w:rPr>
        <w:t>ويلاحظ عليه: ان التبادر يكون معلولا للملازم</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بين اللفظ والمعنى</w:t>
      </w:r>
      <w:r w:rsidR="00603323" w:rsidRPr="00FD211F">
        <w:rPr>
          <w:sz w:val="36"/>
          <w:szCs w:val="36"/>
          <w:rtl/>
        </w:rPr>
        <w:t xml:space="preserve">، </w:t>
      </w:r>
      <w:r w:rsidRPr="00FD211F">
        <w:rPr>
          <w:sz w:val="36"/>
          <w:szCs w:val="36"/>
          <w:rtl/>
        </w:rPr>
        <w:t>وهذه الملازم</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إما ناشئ</w:t>
      </w:r>
      <w:r w:rsidR="00EC7EDF" w:rsidRPr="00FD211F">
        <w:rPr>
          <w:sz w:val="36"/>
          <w:szCs w:val="36"/>
          <w:rtl/>
        </w:rPr>
        <w:t xml:space="preserve">ة </w:t>
      </w:r>
      <w:r w:rsidRPr="00FD211F">
        <w:rPr>
          <w:sz w:val="36"/>
          <w:szCs w:val="36"/>
          <w:rtl/>
        </w:rPr>
        <w:t>من الوضع التعييني او الوضع التعيني</w:t>
      </w:r>
      <w:r w:rsidR="00603323" w:rsidRPr="00FD211F">
        <w:rPr>
          <w:sz w:val="36"/>
          <w:szCs w:val="36"/>
          <w:rtl/>
        </w:rPr>
        <w:t xml:space="preserve">، </w:t>
      </w:r>
      <w:r w:rsidR="00BB6676" w:rsidRPr="00FD211F">
        <w:rPr>
          <w:sz w:val="36"/>
          <w:szCs w:val="36"/>
          <w:rtl/>
        </w:rPr>
        <w:t xml:space="preserve">حتى </w:t>
      </w:r>
      <w:r w:rsidRPr="00FD211F">
        <w:rPr>
          <w:sz w:val="36"/>
          <w:szCs w:val="36"/>
          <w:rtl/>
        </w:rPr>
        <w:t>لو قلنا بان الوضع التعييني اعتبار خاص بين اللفظ والمعنى</w:t>
      </w:r>
      <w:r w:rsidR="00603323" w:rsidRPr="00FD211F">
        <w:rPr>
          <w:sz w:val="36"/>
          <w:szCs w:val="36"/>
          <w:rtl/>
        </w:rPr>
        <w:t xml:space="preserve">، </w:t>
      </w:r>
      <w:r w:rsidR="00815622" w:rsidRPr="00FD211F">
        <w:rPr>
          <w:sz w:val="36"/>
          <w:szCs w:val="36"/>
          <w:rtl/>
        </w:rPr>
        <w:t>فان اختلاف المسالك في تفسير حقيق</w:t>
      </w:r>
      <w:r w:rsidR="00EC7EDF" w:rsidRPr="00FD211F">
        <w:rPr>
          <w:sz w:val="36"/>
          <w:szCs w:val="36"/>
          <w:rtl/>
        </w:rPr>
        <w:t xml:space="preserve">ة </w:t>
      </w:r>
      <w:r w:rsidR="00815622" w:rsidRPr="00FD211F">
        <w:rPr>
          <w:sz w:val="36"/>
          <w:szCs w:val="36"/>
          <w:rtl/>
        </w:rPr>
        <w:t>الوضع لايؤثر في المقام أبدا</w:t>
      </w:r>
      <w:r w:rsidR="00880F83" w:rsidRPr="00FD211F">
        <w:rPr>
          <w:sz w:val="36"/>
          <w:szCs w:val="36"/>
          <w:rtl/>
        </w:rPr>
        <w:t>.</w:t>
      </w:r>
      <w:r w:rsidR="00815622" w:rsidRPr="00FD211F">
        <w:rPr>
          <w:sz w:val="36"/>
          <w:szCs w:val="36"/>
          <w:rtl/>
        </w:rPr>
        <w:t xml:space="preserve"> </w:t>
      </w:r>
    </w:p>
    <w:p w14:paraId="6ADB2585" w14:textId="77777777" w:rsidR="000C5BBA" w:rsidRPr="00FD211F" w:rsidRDefault="00815622" w:rsidP="009C58C8">
      <w:pPr>
        <w:ind w:left="0" w:firstLine="227"/>
        <w:jc w:val="both"/>
        <w:rPr>
          <w:sz w:val="36"/>
          <w:szCs w:val="36"/>
          <w:rtl/>
        </w:rPr>
      </w:pPr>
      <w:r w:rsidRPr="00FD211F">
        <w:rPr>
          <w:sz w:val="36"/>
          <w:szCs w:val="36"/>
          <w:rtl/>
        </w:rPr>
        <w:t>نعم اذا احتمل الشخص أن تبادر</w:t>
      </w:r>
      <w:r w:rsidR="003D18B1" w:rsidRPr="00FD211F">
        <w:rPr>
          <w:sz w:val="36"/>
          <w:szCs w:val="36"/>
          <w:rtl/>
        </w:rPr>
        <w:t xml:space="preserve"> </w:t>
      </w:r>
      <w:r w:rsidRPr="00FD211F">
        <w:rPr>
          <w:sz w:val="36"/>
          <w:szCs w:val="36"/>
          <w:rtl/>
        </w:rPr>
        <w:t xml:space="preserve">المعنى الى ذهنه عندسماع اللفظ </w:t>
      </w:r>
      <w:r w:rsidR="00880F83" w:rsidRPr="00FD211F">
        <w:rPr>
          <w:sz w:val="36"/>
          <w:szCs w:val="36"/>
          <w:rtl/>
        </w:rPr>
        <w:t xml:space="preserve">لاجل </w:t>
      </w:r>
      <w:r w:rsidRPr="00FD211F">
        <w:rPr>
          <w:sz w:val="36"/>
          <w:szCs w:val="36"/>
          <w:rtl/>
        </w:rPr>
        <w:t>نشوء الملازم</w:t>
      </w:r>
      <w:r w:rsidR="00EC7EDF" w:rsidRPr="00FD211F">
        <w:rPr>
          <w:sz w:val="36"/>
          <w:szCs w:val="36"/>
          <w:rtl/>
        </w:rPr>
        <w:t xml:space="preserve">ة </w:t>
      </w:r>
      <w:r w:rsidRPr="00FD211F">
        <w:rPr>
          <w:sz w:val="36"/>
          <w:szCs w:val="36"/>
          <w:rtl/>
        </w:rPr>
        <w:t>بين اللفظ والمعنى في ذهنه عن عوامل شخصي</w:t>
      </w:r>
      <w:r w:rsidR="00EC7EDF" w:rsidRPr="00FD211F">
        <w:rPr>
          <w:sz w:val="36"/>
          <w:szCs w:val="36"/>
          <w:rtl/>
        </w:rPr>
        <w:t xml:space="preserve">ة </w:t>
      </w:r>
      <w:r w:rsidRPr="00FD211F">
        <w:rPr>
          <w:sz w:val="36"/>
          <w:szCs w:val="36"/>
          <w:rtl/>
        </w:rPr>
        <w:t>محيط</w:t>
      </w:r>
      <w:r w:rsidR="00EC7EDF" w:rsidRPr="00FD211F">
        <w:rPr>
          <w:sz w:val="36"/>
          <w:szCs w:val="36"/>
          <w:rtl/>
        </w:rPr>
        <w:t xml:space="preserve">ة </w:t>
      </w:r>
      <w:r w:rsidRPr="00FD211F">
        <w:rPr>
          <w:sz w:val="36"/>
          <w:szCs w:val="36"/>
          <w:rtl/>
        </w:rPr>
        <w:t xml:space="preserve">به غير الوضع </w:t>
      </w:r>
      <w:r w:rsidR="00880F83" w:rsidRPr="00FD211F">
        <w:rPr>
          <w:sz w:val="36"/>
          <w:szCs w:val="36"/>
          <w:rtl/>
        </w:rPr>
        <w:t>فلابد من المحاول</w:t>
      </w:r>
      <w:r w:rsidR="00EC7EDF" w:rsidRPr="00FD211F">
        <w:rPr>
          <w:sz w:val="36"/>
          <w:szCs w:val="36"/>
          <w:rtl/>
        </w:rPr>
        <w:t xml:space="preserve">ة </w:t>
      </w:r>
      <w:r w:rsidR="00880F83" w:rsidRPr="00FD211F">
        <w:rPr>
          <w:sz w:val="36"/>
          <w:szCs w:val="36"/>
          <w:rtl/>
        </w:rPr>
        <w:t>لزوال هذا الاحتمال</w:t>
      </w:r>
      <w:r w:rsidR="00603323" w:rsidRPr="00FD211F">
        <w:rPr>
          <w:sz w:val="36"/>
          <w:szCs w:val="36"/>
          <w:rtl/>
        </w:rPr>
        <w:t xml:space="preserve">، </w:t>
      </w:r>
      <w:r w:rsidR="00880F83" w:rsidRPr="00FD211F">
        <w:rPr>
          <w:sz w:val="36"/>
          <w:szCs w:val="36"/>
          <w:rtl/>
        </w:rPr>
        <w:t>ف</w:t>
      </w:r>
      <w:r w:rsidR="00052BF2" w:rsidRPr="00FD211F">
        <w:rPr>
          <w:sz w:val="36"/>
          <w:szCs w:val="36"/>
          <w:rtl/>
        </w:rPr>
        <w:t>انّ تبادر المعنى لدى شخص المستعلم لايكفي بمجرده لإحراز الوضع اذ قد يكون هذا التبادر ناشئا من ظروف خاص</w:t>
      </w:r>
      <w:r w:rsidR="00EC7EDF" w:rsidRPr="00FD211F">
        <w:rPr>
          <w:sz w:val="36"/>
          <w:szCs w:val="36"/>
          <w:rtl/>
        </w:rPr>
        <w:t xml:space="preserve">ة </w:t>
      </w:r>
      <w:r w:rsidR="00052BF2" w:rsidRPr="00FD211F">
        <w:rPr>
          <w:sz w:val="36"/>
          <w:szCs w:val="36"/>
          <w:rtl/>
        </w:rPr>
        <w:t>-عائلي</w:t>
      </w:r>
      <w:r w:rsidR="00EC7EDF" w:rsidRPr="00FD211F">
        <w:rPr>
          <w:sz w:val="36"/>
          <w:szCs w:val="36"/>
          <w:rtl/>
        </w:rPr>
        <w:t xml:space="preserve">ة </w:t>
      </w:r>
      <w:r w:rsidR="00052BF2" w:rsidRPr="00FD211F">
        <w:rPr>
          <w:sz w:val="36"/>
          <w:szCs w:val="36"/>
          <w:rtl/>
        </w:rPr>
        <w:t>ونحوها- تحيط بهذا الشخص المستعلم</w:t>
      </w:r>
      <w:r w:rsidR="00603323" w:rsidRPr="00FD211F">
        <w:rPr>
          <w:sz w:val="36"/>
          <w:szCs w:val="36"/>
          <w:rtl/>
        </w:rPr>
        <w:t xml:space="preserve">، </w:t>
      </w:r>
      <w:r w:rsidR="00052BF2" w:rsidRPr="00FD211F">
        <w:rPr>
          <w:sz w:val="36"/>
          <w:szCs w:val="36"/>
          <w:rtl/>
        </w:rPr>
        <w:t>فلابد من تأكده من است</w:t>
      </w:r>
      <w:r w:rsidR="00880F83" w:rsidRPr="00FD211F">
        <w:rPr>
          <w:sz w:val="36"/>
          <w:szCs w:val="36"/>
          <w:rtl/>
        </w:rPr>
        <w:t>ناد هذا التبادر الى ذهنه العرفي.</w:t>
      </w:r>
    </w:p>
    <w:p w14:paraId="743B484A" w14:textId="77777777" w:rsidR="000C5BBA" w:rsidRPr="00FD211F" w:rsidRDefault="00052BF2" w:rsidP="009C58C8">
      <w:pPr>
        <w:ind w:left="0" w:firstLine="227"/>
        <w:jc w:val="both"/>
        <w:rPr>
          <w:sz w:val="36"/>
          <w:szCs w:val="36"/>
          <w:rtl/>
        </w:rPr>
      </w:pPr>
      <w:r w:rsidRPr="00FD211F">
        <w:rPr>
          <w:sz w:val="36"/>
          <w:szCs w:val="36"/>
          <w:rtl/>
        </w:rPr>
        <w:t>وما ذكر في البحوث من انه ان اريد جعل تبادر المعنى لدى العالم بالوضع علام</w:t>
      </w:r>
      <w:r w:rsidR="00EC7EDF" w:rsidRPr="00FD211F">
        <w:rPr>
          <w:sz w:val="36"/>
          <w:szCs w:val="36"/>
          <w:rtl/>
        </w:rPr>
        <w:t xml:space="preserve">ة </w:t>
      </w:r>
      <w:r w:rsidRPr="00FD211F">
        <w:rPr>
          <w:sz w:val="36"/>
          <w:szCs w:val="36"/>
          <w:rtl/>
        </w:rPr>
        <w:t>توجب حصول العلم للجاهل بالوضع</w:t>
      </w:r>
      <w:r w:rsidR="00603323" w:rsidRPr="00FD211F">
        <w:rPr>
          <w:sz w:val="36"/>
          <w:szCs w:val="36"/>
          <w:rtl/>
        </w:rPr>
        <w:t xml:space="preserve">، </w:t>
      </w:r>
      <w:r w:rsidRPr="00FD211F">
        <w:rPr>
          <w:sz w:val="36"/>
          <w:szCs w:val="36"/>
          <w:rtl/>
        </w:rPr>
        <w:t>فالصحيح انه يلزم التأكد من اطراد هذا التبادر لدى العرف العام ولايكفي التبادر لدى شخص واحد ما</w:t>
      </w:r>
      <w:r w:rsidR="008D7B3D" w:rsidRPr="00FD211F">
        <w:rPr>
          <w:sz w:val="36"/>
          <w:szCs w:val="36"/>
          <w:rtl/>
        </w:rPr>
        <w:t xml:space="preserve"> لم‌</w:t>
      </w:r>
      <w:r w:rsidRPr="00FD211F">
        <w:rPr>
          <w:sz w:val="36"/>
          <w:szCs w:val="36"/>
          <w:rtl/>
        </w:rPr>
        <w:t>يحصل التأكد من عدم شذوذه عن الآخرين</w:t>
      </w:r>
      <w:r w:rsidR="00603323" w:rsidRPr="00FD211F">
        <w:rPr>
          <w:sz w:val="36"/>
          <w:szCs w:val="36"/>
          <w:rtl/>
        </w:rPr>
        <w:t xml:space="preserve">، </w:t>
      </w:r>
      <w:r w:rsidRPr="00FD211F">
        <w:rPr>
          <w:sz w:val="36"/>
          <w:szCs w:val="36"/>
          <w:rtl/>
        </w:rPr>
        <w:t>ولكن لو أريد جعل التبادر لدى المستعلم نفسه علام</w:t>
      </w:r>
      <w:r w:rsidR="00EC7EDF" w:rsidRPr="00FD211F">
        <w:rPr>
          <w:sz w:val="36"/>
          <w:szCs w:val="36"/>
          <w:rtl/>
        </w:rPr>
        <w:t xml:space="preserve">ة </w:t>
      </w:r>
      <w:r w:rsidRPr="00FD211F">
        <w:rPr>
          <w:sz w:val="36"/>
          <w:szCs w:val="36"/>
          <w:rtl/>
        </w:rPr>
        <w:t>على الوضع فيكفي هذا التبادر الشخصي لان احتمال نشوءه من ظروف خاص</w:t>
      </w:r>
      <w:r w:rsidR="00EC7EDF" w:rsidRPr="00FD211F">
        <w:rPr>
          <w:sz w:val="36"/>
          <w:szCs w:val="36"/>
          <w:rtl/>
        </w:rPr>
        <w:t xml:space="preserve">ة </w:t>
      </w:r>
      <w:r w:rsidRPr="00FD211F">
        <w:rPr>
          <w:sz w:val="36"/>
          <w:szCs w:val="36"/>
          <w:rtl/>
        </w:rPr>
        <w:t>في حياته بحيث جعلته يتبادر الى ذهنه هذا المعنى منفي بالاصل العقلائي الحاكم بحجي</w:t>
      </w:r>
      <w:r w:rsidR="00EC7EDF" w:rsidRPr="00FD211F">
        <w:rPr>
          <w:sz w:val="36"/>
          <w:szCs w:val="36"/>
          <w:rtl/>
        </w:rPr>
        <w:t xml:space="preserve">ة </w:t>
      </w:r>
      <w:r w:rsidRPr="00FD211F">
        <w:rPr>
          <w:sz w:val="36"/>
          <w:szCs w:val="36"/>
          <w:rtl/>
        </w:rPr>
        <w:t>الظهور لدى الشخص على ك</w:t>
      </w:r>
      <w:r w:rsidR="00880F83" w:rsidRPr="00FD211F">
        <w:rPr>
          <w:sz w:val="36"/>
          <w:szCs w:val="36"/>
          <w:rtl/>
        </w:rPr>
        <w:t>ونه ظهورا نوعيا لدى العرف العام</w:t>
      </w:r>
      <w:r w:rsidR="009C58C8" w:rsidRPr="00FD211F">
        <w:rPr>
          <w:rStyle w:val="a6"/>
          <w:sz w:val="36"/>
          <w:szCs w:val="36"/>
          <w:rtl/>
        </w:rPr>
        <w:t>(</w:t>
      </w:r>
      <w:r w:rsidR="009C58C8" w:rsidRPr="00FD211F">
        <w:rPr>
          <w:rStyle w:val="a6"/>
          <w:sz w:val="36"/>
          <w:szCs w:val="36"/>
          <w:rtl/>
        </w:rPr>
        <w:footnoteReference w:id="309"/>
      </w:r>
      <w:r w:rsidR="009C58C8" w:rsidRPr="00FD211F">
        <w:rPr>
          <w:rStyle w:val="a6"/>
          <w:sz w:val="36"/>
          <w:szCs w:val="36"/>
          <w:rtl/>
        </w:rPr>
        <w:t>)</w:t>
      </w:r>
      <w:r w:rsidR="00880F83" w:rsidRPr="00FD211F">
        <w:rPr>
          <w:sz w:val="36"/>
          <w:szCs w:val="36"/>
          <w:rtl/>
        </w:rPr>
        <w:t>.</w:t>
      </w:r>
    </w:p>
    <w:p w14:paraId="21512B28" w14:textId="77777777" w:rsidR="00052BF2" w:rsidRPr="00FD211F" w:rsidRDefault="00880F83" w:rsidP="009C58C8">
      <w:pPr>
        <w:ind w:left="0" w:firstLine="227"/>
        <w:jc w:val="both"/>
        <w:rPr>
          <w:sz w:val="36"/>
          <w:szCs w:val="36"/>
          <w:rtl/>
        </w:rPr>
      </w:pPr>
      <w:r w:rsidRPr="00FD211F">
        <w:rPr>
          <w:sz w:val="36"/>
          <w:szCs w:val="36"/>
          <w:rtl/>
        </w:rPr>
        <w:t>ف</w:t>
      </w:r>
      <w:r w:rsidR="00052BF2" w:rsidRPr="00FD211F">
        <w:rPr>
          <w:sz w:val="36"/>
          <w:szCs w:val="36"/>
          <w:rtl/>
        </w:rPr>
        <w:t>فيه انه</w:t>
      </w:r>
      <w:r w:rsidR="008D7B3D" w:rsidRPr="00FD211F">
        <w:rPr>
          <w:sz w:val="36"/>
          <w:szCs w:val="36"/>
          <w:rtl/>
        </w:rPr>
        <w:t xml:space="preserve"> لم‌</w:t>
      </w:r>
      <w:r w:rsidR="00052BF2" w:rsidRPr="00FD211F">
        <w:rPr>
          <w:sz w:val="36"/>
          <w:szCs w:val="36"/>
          <w:rtl/>
        </w:rPr>
        <w:t>يعلم اصل عقلائي من هذا القبيل بل لابد من حصول الاطمئنان بتبادره لدى العرف العام ولو لأجل الاطمئنان بعدم خصوصي</w:t>
      </w:r>
      <w:r w:rsidR="00EC7EDF" w:rsidRPr="00FD211F">
        <w:rPr>
          <w:sz w:val="36"/>
          <w:szCs w:val="36"/>
          <w:rtl/>
        </w:rPr>
        <w:t xml:space="preserve">ة </w:t>
      </w:r>
      <w:r w:rsidR="00052BF2" w:rsidRPr="00FD211F">
        <w:rPr>
          <w:sz w:val="36"/>
          <w:szCs w:val="36"/>
          <w:rtl/>
        </w:rPr>
        <w:t>لذهنه</w:t>
      </w:r>
      <w:r w:rsidR="00603323" w:rsidRPr="00FD211F">
        <w:rPr>
          <w:sz w:val="36"/>
          <w:szCs w:val="36"/>
          <w:rtl/>
        </w:rPr>
        <w:t xml:space="preserve">، </w:t>
      </w:r>
      <w:r w:rsidR="00052BF2" w:rsidRPr="00FD211F">
        <w:rPr>
          <w:sz w:val="36"/>
          <w:szCs w:val="36"/>
          <w:rtl/>
        </w:rPr>
        <w:t>او بملاحظته حال الآخرين ومشاهد</w:t>
      </w:r>
      <w:r w:rsidR="00EC7EDF" w:rsidRPr="00FD211F">
        <w:rPr>
          <w:sz w:val="36"/>
          <w:szCs w:val="36"/>
          <w:rtl/>
        </w:rPr>
        <w:t xml:space="preserve">ة </w:t>
      </w:r>
      <w:r w:rsidR="00052BF2" w:rsidRPr="00FD211F">
        <w:rPr>
          <w:sz w:val="36"/>
          <w:szCs w:val="36"/>
          <w:rtl/>
        </w:rPr>
        <w:t>تبادر هذا المعنى في ذهنهم أيضا.</w:t>
      </w:r>
    </w:p>
    <w:p w14:paraId="41F16324" w14:textId="77777777" w:rsidR="00052BF2" w:rsidRPr="00FD211F" w:rsidRDefault="00052BF2" w:rsidP="009C58C8">
      <w:pPr>
        <w:ind w:left="0" w:firstLine="227"/>
        <w:jc w:val="both"/>
        <w:rPr>
          <w:sz w:val="36"/>
          <w:szCs w:val="36"/>
          <w:rtl/>
        </w:rPr>
      </w:pPr>
      <w:r w:rsidRPr="00FD211F">
        <w:rPr>
          <w:sz w:val="36"/>
          <w:szCs w:val="36"/>
          <w:rtl/>
        </w:rPr>
        <w:t>هذا ومن جه</w:t>
      </w:r>
      <w:r w:rsidR="00EC7EDF" w:rsidRPr="00FD211F">
        <w:rPr>
          <w:sz w:val="36"/>
          <w:szCs w:val="36"/>
          <w:rtl/>
        </w:rPr>
        <w:t xml:space="preserve">ة </w:t>
      </w:r>
      <w:r w:rsidRPr="00FD211F">
        <w:rPr>
          <w:sz w:val="36"/>
          <w:szCs w:val="36"/>
          <w:rtl/>
        </w:rPr>
        <w:t xml:space="preserve">أخرى يلزم </w:t>
      </w:r>
      <w:r w:rsidR="00880F83" w:rsidRPr="00FD211F">
        <w:rPr>
          <w:sz w:val="36"/>
          <w:szCs w:val="36"/>
          <w:rtl/>
        </w:rPr>
        <w:t xml:space="preserve">في </w:t>
      </w:r>
      <w:r w:rsidRPr="00FD211F">
        <w:rPr>
          <w:sz w:val="36"/>
          <w:szCs w:val="36"/>
          <w:rtl/>
        </w:rPr>
        <w:t>علامي</w:t>
      </w:r>
      <w:r w:rsidR="00EC7EDF" w:rsidRPr="00FD211F">
        <w:rPr>
          <w:sz w:val="36"/>
          <w:szCs w:val="36"/>
          <w:rtl/>
        </w:rPr>
        <w:t xml:space="preserve">ة </w:t>
      </w:r>
      <w:r w:rsidRPr="00FD211F">
        <w:rPr>
          <w:sz w:val="36"/>
          <w:szCs w:val="36"/>
          <w:rtl/>
        </w:rPr>
        <w:t>التبادر من التأكد من استناد تبادر المعنى الى ذات اللفظ دون القرائن المحتف</w:t>
      </w:r>
      <w:r w:rsidR="00EC7EDF" w:rsidRPr="00FD211F">
        <w:rPr>
          <w:sz w:val="36"/>
          <w:szCs w:val="36"/>
          <w:rtl/>
        </w:rPr>
        <w:t xml:space="preserve">ة </w:t>
      </w:r>
      <w:r w:rsidRPr="00FD211F">
        <w:rPr>
          <w:sz w:val="36"/>
          <w:szCs w:val="36"/>
          <w:rtl/>
        </w:rPr>
        <w:t>به أحيانا</w:t>
      </w:r>
      <w:r w:rsidR="00603323" w:rsidRPr="00FD211F">
        <w:rPr>
          <w:sz w:val="36"/>
          <w:szCs w:val="36"/>
          <w:rtl/>
        </w:rPr>
        <w:t xml:space="preserve">، </w:t>
      </w:r>
      <w:r w:rsidRPr="00FD211F">
        <w:rPr>
          <w:sz w:val="36"/>
          <w:szCs w:val="36"/>
          <w:rtl/>
        </w:rPr>
        <w:t>ويكون ذلك بتكرار الاستعمال ونحوه</w:t>
      </w:r>
      <w:r w:rsidR="00603323" w:rsidRPr="00FD211F">
        <w:rPr>
          <w:sz w:val="36"/>
          <w:szCs w:val="36"/>
          <w:rtl/>
        </w:rPr>
        <w:t xml:space="preserve">، </w:t>
      </w:r>
      <w:r w:rsidRPr="00FD211F">
        <w:rPr>
          <w:sz w:val="36"/>
          <w:szCs w:val="36"/>
          <w:rtl/>
        </w:rPr>
        <w:t xml:space="preserve">ليحصل الاطمئنان </w:t>
      </w:r>
      <w:r w:rsidR="00880F83" w:rsidRPr="00FD211F">
        <w:rPr>
          <w:sz w:val="36"/>
          <w:szCs w:val="36"/>
          <w:rtl/>
        </w:rPr>
        <w:t xml:space="preserve">بكون </w:t>
      </w:r>
      <w:r w:rsidRPr="00FD211F">
        <w:rPr>
          <w:sz w:val="36"/>
          <w:szCs w:val="36"/>
          <w:rtl/>
        </w:rPr>
        <w:t>التبادر مستندا الى حاق اللفظ.</w:t>
      </w:r>
    </w:p>
    <w:p w14:paraId="64752C1A" w14:textId="77777777" w:rsidR="00140E75" w:rsidRPr="00FD211F" w:rsidRDefault="00052BF2" w:rsidP="005946E3">
      <w:pPr>
        <w:ind w:left="0" w:firstLine="227"/>
        <w:jc w:val="both"/>
        <w:rPr>
          <w:sz w:val="36"/>
          <w:szCs w:val="36"/>
          <w:rtl/>
        </w:rPr>
      </w:pPr>
      <w:r w:rsidRPr="00FD211F">
        <w:rPr>
          <w:sz w:val="36"/>
          <w:szCs w:val="36"/>
          <w:rtl/>
        </w:rPr>
        <w:t>وأما ما قد يقال من انه في مورد الشك في استناد التبادر الى القرين</w:t>
      </w:r>
      <w:r w:rsidR="00EC7EDF" w:rsidRPr="00FD211F">
        <w:rPr>
          <w:sz w:val="36"/>
          <w:szCs w:val="36"/>
          <w:rtl/>
        </w:rPr>
        <w:t xml:space="preserve">ة </w:t>
      </w:r>
      <w:r w:rsidRPr="00FD211F">
        <w:rPr>
          <w:sz w:val="36"/>
          <w:szCs w:val="36"/>
          <w:rtl/>
        </w:rPr>
        <w:t>تجري اصال</w:t>
      </w:r>
      <w:r w:rsidR="00EC7EDF" w:rsidRPr="00FD211F">
        <w:rPr>
          <w:sz w:val="36"/>
          <w:szCs w:val="36"/>
          <w:rtl/>
        </w:rPr>
        <w:t xml:space="preserve">ة </w:t>
      </w:r>
      <w:r w:rsidRPr="00FD211F">
        <w:rPr>
          <w:sz w:val="36"/>
          <w:szCs w:val="36"/>
          <w:rtl/>
        </w:rPr>
        <w:t>عدم القرين</w:t>
      </w:r>
      <w:r w:rsidR="00EC7EDF" w:rsidRPr="00FD211F">
        <w:rPr>
          <w:sz w:val="36"/>
          <w:szCs w:val="36"/>
          <w:rtl/>
        </w:rPr>
        <w:t xml:space="preserve">ة </w:t>
      </w:r>
      <w:r w:rsidRPr="00FD211F">
        <w:rPr>
          <w:sz w:val="36"/>
          <w:szCs w:val="36"/>
          <w:rtl/>
        </w:rPr>
        <w:t>لنفي هذا الاحتمال فقد اجاب عنه صاحب الكفاي</w:t>
      </w:r>
      <w:r w:rsidR="00EC7EDF" w:rsidRPr="00FD211F">
        <w:rPr>
          <w:sz w:val="36"/>
          <w:szCs w:val="36"/>
          <w:rtl/>
        </w:rPr>
        <w:t>ة</w:t>
      </w:r>
      <w:r w:rsidR="008D7B3D"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ان العقلاء انما يجرون الاصول اللفظي</w:t>
      </w:r>
      <w:r w:rsidR="00EC7EDF" w:rsidRPr="00FD211F">
        <w:rPr>
          <w:sz w:val="36"/>
          <w:szCs w:val="36"/>
          <w:rtl/>
        </w:rPr>
        <w:t xml:space="preserve">ة </w:t>
      </w:r>
      <w:r w:rsidRPr="00FD211F">
        <w:rPr>
          <w:sz w:val="36"/>
          <w:szCs w:val="36"/>
          <w:rtl/>
        </w:rPr>
        <w:t>لإحراز المراد</w:t>
      </w:r>
      <w:r w:rsidR="00603323" w:rsidRPr="00FD211F">
        <w:rPr>
          <w:sz w:val="36"/>
          <w:szCs w:val="36"/>
          <w:rtl/>
        </w:rPr>
        <w:t xml:space="preserve">، </w:t>
      </w:r>
      <w:r w:rsidRPr="00FD211F">
        <w:rPr>
          <w:sz w:val="36"/>
          <w:szCs w:val="36"/>
          <w:rtl/>
        </w:rPr>
        <w:t>اما مع احرازه والشك في كيفيته وانه بنحو الحقيق</w:t>
      </w:r>
      <w:r w:rsidR="00EC7EDF" w:rsidRPr="00FD211F">
        <w:rPr>
          <w:sz w:val="36"/>
          <w:szCs w:val="36"/>
          <w:rtl/>
        </w:rPr>
        <w:t xml:space="preserve">ة </w:t>
      </w:r>
      <w:r w:rsidRPr="00FD211F">
        <w:rPr>
          <w:sz w:val="36"/>
          <w:szCs w:val="36"/>
          <w:rtl/>
        </w:rPr>
        <w:t>والمجاز فلا مجرى لاصال</w:t>
      </w:r>
      <w:r w:rsidR="00EC7EDF" w:rsidRPr="00FD211F">
        <w:rPr>
          <w:sz w:val="36"/>
          <w:szCs w:val="36"/>
          <w:rtl/>
        </w:rPr>
        <w:t xml:space="preserve">ة </w:t>
      </w:r>
      <w:r w:rsidRPr="00FD211F">
        <w:rPr>
          <w:sz w:val="36"/>
          <w:szCs w:val="36"/>
          <w:rtl/>
        </w:rPr>
        <w:t>عدم القرين</w:t>
      </w:r>
      <w:r w:rsidR="00EC7EDF" w:rsidRPr="00FD211F">
        <w:rPr>
          <w:sz w:val="36"/>
          <w:szCs w:val="36"/>
          <w:rtl/>
        </w:rPr>
        <w:t xml:space="preserve">ة </w:t>
      </w:r>
      <w:r w:rsidRPr="00FD211F">
        <w:rPr>
          <w:sz w:val="36"/>
          <w:szCs w:val="36"/>
          <w:rtl/>
        </w:rPr>
        <w:t>كما لامجرى لاصال</w:t>
      </w:r>
      <w:r w:rsidR="00EC7EDF" w:rsidRPr="00FD211F">
        <w:rPr>
          <w:sz w:val="36"/>
          <w:szCs w:val="36"/>
          <w:rtl/>
        </w:rPr>
        <w:t xml:space="preserve">ة </w:t>
      </w:r>
      <w:r w:rsidRPr="00FD211F">
        <w:rPr>
          <w:sz w:val="36"/>
          <w:szCs w:val="36"/>
          <w:rtl/>
        </w:rPr>
        <w:t>الحقيق</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310"/>
      </w:r>
      <w:r w:rsidR="009C58C8" w:rsidRPr="00FD211F">
        <w:rPr>
          <w:rStyle w:val="a6"/>
          <w:sz w:val="36"/>
          <w:szCs w:val="36"/>
          <w:rtl/>
        </w:rPr>
        <w:t>)</w:t>
      </w:r>
      <w:r w:rsidR="00C01CDC" w:rsidRPr="00FD211F">
        <w:rPr>
          <w:sz w:val="36"/>
          <w:szCs w:val="36"/>
          <w:rtl/>
        </w:rPr>
        <w:t xml:space="preserve"> </w:t>
      </w:r>
      <w:r w:rsidRPr="00FD211F">
        <w:rPr>
          <w:sz w:val="36"/>
          <w:szCs w:val="36"/>
          <w:rtl/>
        </w:rPr>
        <w:t>وما ذكره متين جدا</w:t>
      </w:r>
      <w:r w:rsidR="00603323" w:rsidRPr="00FD211F">
        <w:rPr>
          <w:sz w:val="36"/>
          <w:szCs w:val="36"/>
          <w:rtl/>
        </w:rPr>
        <w:t xml:space="preserve">، </w:t>
      </w:r>
      <w:r w:rsidRPr="00FD211F">
        <w:rPr>
          <w:sz w:val="36"/>
          <w:szCs w:val="36"/>
          <w:rtl/>
        </w:rPr>
        <w:t>اضف اليه انه لااساس لاصال</w:t>
      </w:r>
      <w:r w:rsidR="00EC7EDF" w:rsidRPr="00FD211F">
        <w:rPr>
          <w:sz w:val="36"/>
          <w:szCs w:val="36"/>
          <w:rtl/>
        </w:rPr>
        <w:t xml:space="preserve">ة </w:t>
      </w:r>
      <w:r w:rsidRPr="00FD211F">
        <w:rPr>
          <w:sz w:val="36"/>
          <w:szCs w:val="36"/>
          <w:rtl/>
        </w:rPr>
        <w:t>عدم القرين</w:t>
      </w:r>
      <w:r w:rsidR="00EC7EDF" w:rsidRPr="00FD211F">
        <w:rPr>
          <w:sz w:val="36"/>
          <w:szCs w:val="36"/>
          <w:rtl/>
        </w:rPr>
        <w:t xml:space="preserve">ة </w:t>
      </w:r>
      <w:r w:rsidRPr="00FD211F">
        <w:rPr>
          <w:sz w:val="36"/>
          <w:szCs w:val="36"/>
          <w:rtl/>
        </w:rPr>
        <w:t>اذ مع احتمال القرين</w:t>
      </w:r>
      <w:r w:rsidR="00EC7EDF" w:rsidRPr="00FD211F">
        <w:rPr>
          <w:sz w:val="36"/>
          <w:szCs w:val="36"/>
          <w:rtl/>
        </w:rPr>
        <w:t xml:space="preserve">ة </w:t>
      </w:r>
      <w:r w:rsidRPr="00FD211F">
        <w:rPr>
          <w:sz w:val="36"/>
          <w:szCs w:val="36"/>
          <w:rtl/>
        </w:rPr>
        <w:t>المتصل</w:t>
      </w:r>
      <w:r w:rsidR="00EC7EDF" w:rsidRPr="00FD211F">
        <w:rPr>
          <w:sz w:val="36"/>
          <w:szCs w:val="36"/>
          <w:rtl/>
        </w:rPr>
        <w:t xml:space="preserve">ة </w:t>
      </w:r>
      <w:r w:rsidRPr="00FD211F">
        <w:rPr>
          <w:sz w:val="36"/>
          <w:szCs w:val="36"/>
          <w:rtl/>
        </w:rPr>
        <w:t>فلايحرز ظهور الكلام</w:t>
      </w:r>
      <w:r w:rsidR="00603323" w:rsidRPr="00FD211F">
        <w:rPr>
          <w:sz w:val="36"/>
          <w:szCs w:val="36"/>
          <w:rtl/>
        </w:rPr>
        <w:t xml:space="preserve">، </w:t>
      </w:r>
      <w:r w:rsidRPr="00FD211F">
        <w:rPr>
          <w:sz w:val="36"/>
          <w:szCs w:val="36"/>
          <w:rtl/>
        </w:rPr>
        <w:t>ولادليل على عمل العقلاء بخطاب يحتمل احتفافه بالقرين</w:t>
      </w:r>
      <w:r w:rsidR="00EC7EDF" w:rsidRPr="00FD211F">
        <w:rPr>
          <w:sz w:val="36"/>
          <w:szCs w:val="36"/>
          <w:rtl/>
        </w:rPr>
        <w:t xml:space="preserve">ة </w:t>
      </w:r>
      <w:r w:rsidRPr="00FD211F">
        <w:rPr>
          <w:sz w:val="36"/>
          <w:szCs w:val="36"/>
          <w:rtl/>
        </w:rPr>
        <w:t>المتصل</w:t>
      </w:r>
      <w:r w:rsidR="00EC7EDF" w:rsidRPr="00FD211F">
        <w:rPr>
          <w:sz w:val="36"/>
          <w:szCs w:val="36"/>
          <w:rtl/>
        </w:rPr>
        <w:t xml:space="preserve">ة </w:t>
      </w:r>
      <w:r w:rsidRPr="00FD211F">
        <w:rPr>
          <w:sz w:val="36"/>
          <w:szCs w:val="36"/>
          <w:rtl/>
        </w:rPr>
        <w:t>الصارف</w:t>
      </w:r>
      <w:r w:rsidR="00EC7EDF" w:rsidRPr="00FD211F">
        <w:rPr>
          <w:sz w:val="36"/>
          <w:szCs w:val="36"/>
          <w:rtl/>
        </w:rPr>
        <w:t xml:space="preserve">ة </w:t>
      </w:r>
      <w:r w:rsidRPr="00FD211F">
        <w:rPr>
          <w:sz w:val="36"/>
          <w:szCs w:val="36"/>
          <w:rtl/>
        </w:rPr>
        <w:t>عن ظهوره الاولي</w:t>
      </w:r>
      <w:r w:rsidR="00603323" w:rsidRPr="00FD211F">
        <w:rPr>
          <w:sz w:val="36"/>
          <w:szCs w:val="36"/>
          <w:rtl/>
        </w:rPr>
        <w:t xml:space="preserve">، </w:t>
      </w:r>
      <w:r w:rsidRPr="00FD211F">
        <w:rPr>
          <w:sz w:val="36"/>
          <w:szCs w:val="36"/>
          <w:rtl/>
        </w:rPr>
        <w:t>الا اذا كان سكوت الراوي لهذا الخطاب عن بيان قرين</w:t>
      </w:r>
      <w:r w:rsidR="00EC7EDF" w:rsidRPr="00FD211F">
        <w:rPr>
          <w:sz w:val="36"/>
          <w:szCs w:val="36"/>
          <w:rtl/>
        </w:rPr>
        <w:t xml:space="preserve">ة </w:t>
      </w:r>
      <w:r w:rsidRPr="00FD211F">
        <w:rPr>
          <w:sz w:val="36"/>
          <w:szCs w:val="36"/>
          <w:rtl/>
        </w:rPr>
        <w:t>متصل</w:t>
      </w:r>
      <w:r w:rsidR="00EC7EDF" w:rsidRPr="00FD211F">
        <w:rPr>
          <w:sz w:val="36"/>
          <w:szCs w:val="36"/>
          <w:rtl/>
        </w:rPr>
        <w:t xml:space="preserve">ة </w:t>
      </w:r>
      <w:r w:rsidRPr="00FD211F">
        <w:rPr>
          <w:sz w:val="36"/>
          <w:szCs w:val="36"/>
          <w:rtl/>
        </w:rPr>
        <w:t>نافيا لهذا الاحتمال كما هو كذلك في القرين</w:t>
      </w:r>
      <w:r w:rsidR="00EC7EDF" w:rsidRPr="00FD211F">
        <w:rPr>
          <w:sz w:val="36"/>
          <w:szCs w:val="36"/>
          <w:rtl/>
        </w:rPr>
        <w:t xml:space="preserve">ة </w:t>
      </w:r>
      <w:r w:rsidRPr="00FD211F">
        <w:rPr>
          <w:sz w:val="36"/>
          <w:szCs w:val="36"/>
          <w:rtl/>
        </w:rPr>
        <w:t>اللفظي</w:t>
      </w:r>
      <w:r w:rsidR="00EC7EDF" w:rsidRPr="00FD211F">
        <w:rPr>
          <w:sz w:val="36"/>
          <w:szCs w:val="36"/>
          <w:rtl/>
        </w:rPr>
        <w:t xml:space="preserve">ة </w:t>
      </w:r>
      <w:r w:rsidRPr="00FD211F">
        <w:rPr>
          <w:sz w:val="36"/>
          <w:szCs w:val="36"/>
          <w:rtl/>
        </w:rPr>
        <w:t>او الحالي</w:t>
      </w:r>
      <w:r w:rsidR="00EC7EDF" w:rsidRPr="00FD211F">
        <w:rPr>
          <w:sz w:val="36"/>
          <w:szCs w:val="36"/>
          <w:rtl/>
        </w:rPr>
        <w:t xml:space="preserve">ة </w:t>
      </w:r>
      <w:r w:rsidRPr="00FD211F">
        <w:rPr>
          <w:sz w:val="36"/>
          <w:szCs w:val="36"/>
          <w:rtl/>
        </w:rPr>
        <w:t>الشخصي</w:t>
      </w:r>
      <w:r w:rsidR="00EC7EDF" w:rsidRPr="00FD211F">
        <w:rPr>
          <w:sz w:val="36"/>
          <w:szCs w:val="36"/>
          <w:rtl/>
        </w:rPr>
        <w:t xml:space="preserve">ة </w:t>
      </w:r>
      <w:r w:rsidRPr="00FD211F">
        <w:rPr>
          <w:sz w:val="36"/>
          <w:szCs w:val="36"/>
          <w:rtl/>
        </w:rPr>
        <w:t>المتصل</w:t>
      </w:r>
      <w:r w:rsidR="00EC7EDF" w:rsidRPr="00FD211F">
        <w:rPr>
          <w:sz w:val="36"/>
          <w:szCs w:val="36"/>
          <w:rtl/>
        </w:rPr>
        <w:t>ة</w:t>
      </w:r>
      <w:r w:rsidR="00603323" w:rsidRPr="00FD211F">
        <w:rPr>
          <w:sz w:val="36"/>
          <w:szCs w:val="36"/>
          <w:rtl/>
        </w:rPr>
        <w:t xml:space="preserve">، </w:t>
      </w:r>
      <w:r w:rsidRPr="00FD211F">
        <w:rPr>
          <w:sz w:val="36"/>
          <w:szCs w:val="36"/>
          <w:rtl/>
        </w:rPr>
        <w:t>دون موارد احتمال قرين</w:t>
      </w:r>
      <w:r w:rsidR="00EC7EDF" w:rsidRPr="00FD211F">
        <w:rPr>
          <w:sz w:val="36"/>
          <w:szCs w:val="36"/>
          <w:rtl/>
        </w:rPr>
        <w:t xml:space="preserve">ة </w:t>
      </w:r>
      <w:r w:rsidRPr="00FD211F">
        <w:rPr>
          <w:sz w:val="36"/>
          <w:szCs w:val="36"/>
          <w:rtl/>
        </w:rPr>
        <w:t>نوعي</w:t>
      </w:r>
      <w:r w:rsidR="00EC7EDF" w:rsidRPr="00FD211F">
        <w:rPr>
          <w:sz w:val="36"/>
          <w:szCs w:val="36"/>
          <w:rtl/>
        </w:rPr>
        <w:t xml:space="preserve">ة </w:t>
      </w:r>
      <w:r w:rsidRPr="00FD211F">
        <w:rPr>
          <w:sz w:val="36"/>
          <w:szCs w:val="36"/>
          <w:rtl/>
        </w:rPr>
        <w:t>متصل</w:t>
      </w:r>
      <w:r w:rsidR="00EC7EDF" w:rsidRPr="00FD211F">
        <w:rPr>
          <w:sz w:val="36"/>
          <w:szCs w:val="36"/>
          <w:rtl/>
        </w:rPr>
        <w:t xml:space="preserve">ة </w:t>
      </w:r>
      <w:r w:rsidRPr="00FD211F">
        <w:rPr>
          <w:sz w:val="36"/>
          <w:szCs w:val="36"/>
          <w:rtl/>
        </w:rPr>
        <w:t>من ارتكاز متشرعي ونحوه</w:t>
      </w:r>
      <w:r w:rsidR="00603323" w:rsidRPr="00FD211F">
        <w:rPr>
          <w:sz w:val="36"/>
          <w:szCs w:val="36"/>
          <w:rtl/>
        </w:rPr>
        <w:t xml:space="preserve">، </w:t>
      </w:r>
      <w:r w:rsidRPr="00FD211F">
        <w:rPr>
          <w:sz w:val="36"/>
          <w:szCs w:val="36"/>
          <w:rtl/>
        </w:rPr>
        <w:t>ومع احتمال القرين</w:t>
      </w:r>
      <w:r w:rsidR="00EC7EDF" w:rsidRPr="00FD211F">
        <w:rPr>
          <w:sz w:val="36"/>
          <w:szCs w:val="36"/>
          <w:rtl/>
        </w:rPr>
        <w:t xml:space="preserve">ة </w:t>
      </w:r>
      <w:r w:rsidRPr="00FD211F">
        <w:rPr>
          <w:sz w:val="36"/>
          <w:szCs w:val="36"/>
          <w:rtl/>
        </w:rPr>
        <w:t>المنفصل</w:t>
      </w:r>
      <w:r w:rsidR="00EC7EDF" w:rsidRPr="00FD211F">
        <w:rPr>
          <w:sz w:val="36"/>
          <w:szCs w:val="36"/>
          <w:rtl/>
        </w:rPr>
        <w:t xml:space="preserve">ة </w:t>
      </w:r>
      <w:r w:rsidRPr="00FD211F">
        <w:rPr>
          <w:sz w:val="36"/>
          <w:szCs w:val="36"/>
          <w:rtl/>
        </w:rPr>
        <w:t>فبعد الفحص يبني العقلاء على العمل بظهور الكلام من غير سبق بناء منهم على عدم القرين</w:t>
      </w:r>
      <w:r w:rsidR="00EC7EDF" w:rsidRPr="00FD211F">
        <w:rPr>
          <w:sz w:val="36"/>
          <w:szCs w:val="36"/>
          <w:rtl/>
        </w:rPr>
        <w:t xml:space="preserve">ة </w:t>
      </w:r>
      <w:r w:rsidRPr="00FD211F">
        <w:rPr>
          <w:sz w:val="36"/>
          <w:szCs w:val="36"/>
          <w:rtl/>
        </w:rPr>
        <w:t>المنفصل</w:t>
      </w:r>
      <w:r w:rsidR="00EC7EDF" w:rsidRPr="00FD211F">
        <w:rPr>
          <w:sz w:val="36"/>
          <w:szCs w:val="36"/>
          <w:rtl/>
        </w:rPr>
        <w:t>ة</w:t>
      </w:r>
      <w:r w:rsidR="00603323" w:rsidRPr="00FD211F">
        <w:rPr>
          <w:sz w:val="36"/>
          <w:szCs w:val="36"/>
          <w:rtl/>
        </w:rPr>
        <w:t xml:space="preserve">، </w:t>
      </w:r>
      <w:r w:rsidRPr="00FD211F">
        <w:rPr>
          <w:sz w:val="36"/>
          <w:szCs w:val="36"/>
          <w:rtl/>
        </w:rPr>
        <w:t>هذا وأما اجراء استصحاب عدم القرين</w:t>
      </w:r>
      <w:r w:rsidR="00EC7EDF" w:rsidRPr="00FD211F">
        <w:rPr>
          <w:sz w:val="36"/>
          <w:szCs w:val="36"/>
          <w:rtl/>
        </w:rPr>
        <w:t xml:space="preserve">ة </w:t>
      </w:r>
      <w:r w:rsidRPr="00FD211F">
        <w:rPr>
          <w:sz w:val="36"/>
          <w:szCs w:val="36"/>
          <w:rtl/>
        </w:rPr>
        <w:t>مطلقا فيكون اثبات كون المتبادر معنى حقيقيا للفظ به يكون من اوضح انحاء الاصل المثبت.</w:t>
      </w:r>
    </w:p>
    <w:p w14:paraId="7E29BAFB" w14:textId="77777777" w:rsidR="000C5BBA" w:rsidRPr="00FD211F" w:rsidRDefault="00140E75" w:rsidP="009C58C8">
      <w:pPr>
        <w:ind w:left="0" w:firstLine="227"/>
        <w:jc w:val="both"/>
        <w:rPr>
          <w:sz w:val="36"/>
          <w:szCs w:val="36"/>
          <w:rtl/>
        </w:rPr>
      </w:pPr>
      <w:r w:rsidRPr="00FD211F">
        <w:rPr>
          <w:sz w:val="36"/>
          <w:szCs w:val="36"/>
          <w:rtl/>
        </w:rPr>
        <w:t>وبذلك تبين الاشكال فيماذكره المحقق الايرواني "قده"من أنه</w:t>
      </w:r>
      <w:r w:rsidR="00B253CE" w:rsidRPr="00FD211F">
        <w:rPr>
          <w:sz w:val="36"/>
          <w:szCs w:val="36"/>
          <w:rtl/>
        </w:rPr>
        <w:t xml:space="preserve"> </w:t>
      </w:r>
      <w:r w:rsidRPr="00FD211F">
        <w:rPr>
          <w:sz w:val="36"/>
          <w:szCs w:val="36"/>
          <w:rtl/>
        </w:rPr>
        <w:t>لا يبعد جريان أصال</w:t>
      </w:r>
      <w:r w:rsidR="00EC7EDF" w:rsidRPr="00FD211F">
        <w:rPr>
          <w:sz w:val="36"/>
          <w:szCs w:val="36"/>
          <w:rtl/>
        </w:rPr>
        <w:t xml:space="preserve">ة </w:t>
      </w:r>
      <w:r w:rsidRPr="00FD211F">
        <w:rPr>
          <w:sz w:val="36"/>
          <w:szCs w:val="36"/>
          <w:rtl/>
        </w:rPr>
        <w:t>عدم القرين</w:t>
      </w:r>
      <w:r w:rsidR="00EC7EDF" w:rsidRPr="00FD211F">
        <w:rPr>
          <w:sz w:val="36"/>
          <w:szCs w:val="36"/>
          <w:rtl/>
        </w:rPr>
        <w:t xml:space="preserve">ة </w:t>
      </w:r>
      <w:r w:rsidRPr="00FD211F">
        <w:rPr>
          <w:sz w:val="36"/>
          <w:szCs w:val="36"/>
          <w:rtl/>
        </w:rPr>
        <w:t>في مثل ذلك</w:t>
      </w:r>
      <w:r w:rsidR="00EC7EDF" w:rsidRPr="00FD211F">
        <w:rPr>
          <w:sz w:val="36"/>
          <w:szCs w:val="36"/>
          <w:rtl/>
        </w:rPr>
        <w:t xml:space="preserve"> و</w:t>
      </w:r>
      <w:r w:rsidRPr="00FD211F">
        <w:rPr>
          <w:sz w:val="36"/>
          <w:szCs w:val="36"/>
          <w:rtl/>
        </w:rPr>
        <w:t>ان بناء العرف على حمل لفظ كل لغ</w:t>
      </w:r>
      <w:r w:rsidR="00EC7EDF" w:rsidRPr="00FD211F">
        <w:rPr>
          <w:sz w:val="36"/>
          <w:szCs w:val="36"/>
          <w:rtl/>
        </w:rPr>
        <w:t xml:space="preserve">ة </w:t>
      </w:r>
      <w:r w:rsidRPr="00FD211F">
        <w:rPr>
          <w:sz w:val="36"/>
          <w:szCs w:val="36"/>
          <w:rtl/>
        </w:rPr>
        <w:t>على المعنى الّذي يرى إطلاق لفظه عليه من أهل تلك اللغ</w:t>
      </w:r>
      <w:r w:rsidR="00EC7EDF" w:rsidRPr="00FD211F">
        <w:rPr>
          <w:sz w:val="36"/>
          <w:szCs w:val="36"/>
          <w:rtl/>
        </w:rPr>
        <w:t>ة و</w:t>
      </w:r>
      <w:r w:rsidRPr="00FD211F">
        <w:rPr>
          <w:sz w:val="36"/>
          <w:szCs w:val="36"/>
          <w:rtl/>
        </w:rPr>
        <w:t>لو دفع</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Pr="00FD211F">
        <w:rPr>
          <w:sz w:val="36"/>
          <w:szCs w:val="36"/>
          <w:rtl/>
        </w:rPr>
        <w:t>أو فهمهم ذلك عند إطلاقه</w:t>
      </w:r>
      <w:r w:rsidR="00EC7EDF" w:rsidRPr="00FD211F">
        <w:rPr>
          <w:sz w:val="36"/>
          <w:szCs w:val="36"/>
          <w:rtl/>
        </w:rPr>
        <w:t xml:space="preserve"> و</w:t>
      </w:r>
      <w:r w:rsidRPr="00FD211F">
        <w:rPr>
          <w:sz w:val="36"/>
          <w:szCs w:val="36"/>
          <w:rtl/>
        </w:rPr>
        <w:t>لا يعتنون باحتمال ان ذلك من جه</w:t>
      </w:r>
      <w:r w:rsidR="00EC7EDF" w:rsidRPr="00FD211F">
        <w:rPr>
          <w:sz w:val="36"/>
          <w:szCs w:val="36"/>
          <w:rtl/>
        </w:rPr>
        <w:t xml:space="preserve">ة </w:t>
      </w:r>
      <w:r w:rsidRPr="00FD211F">
        <w:rPr>
          <w:sz w:val="36"/>
          <w:szCs w:val="36"/>
          <w:rtl/>
        </w:rPr>
        <w:t>القرين</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311"/>
      </w:r>
      <w:r w:rsidR="009C58C8" w:rsidRPr="00FD211F">
        <w:rPr>
          <w:rStyle w:val="a6"/>
          <w:sz w:val="36"/>
          <w:szCs w:val="36"/>
          <w:rtl/>
        </w:rPr>
        <w:t>)</w:t>
      </w:r>
      <w:r w:rsidRPr="00FD211F">
        <w:rPr>
          <w:sz w:val="36"/>
          <w:szCs w:val="36"/>
          <w:rtl/>
        </w:rPr>
        <w:t>.</w:t>
      </w:r>
    </w:p>
    <w:p w14:paraId="21F731B6" w14:textId="77777777" w:rsidR="00052BF2" w:rsidRPr="00FD211F" w:rsidRDefault="00EC206A" w:rsidP="009C58C8">
      <w:pPr>
        <w:ind w:left="0" w:firstLine="227"/>
        <w:jc w:val="both"/>
        <w:rPr>
          <w:sz w:val="36"/>
          <w:szCs w:val="36"/>
          <w:rtl/>
        </w:rPr>
      </w:pPr>
      <w:r w:rsidRPr="00FD211F">
        <w:rPr>
          <w:sz w:val="36"/>
          <w:szCs w:val="36"/>
          <w:rtl/>
        </w:rPr>
        <w:t>ثم انه</w:t>
      </w:r>
      <w:r w:rsidR="00052BF2" w:rsidRPr="00FD211F">
        <w:rPr>
          <w:sz w:val="36"/>
          <w:szCs w:val="36"/>
          <w:rtl/>
        </w:rPr>
        <w:t xml:space="preserve"> قد يحتاج احراز ظهور خطاب صادر في الازمن</w:t>
      </w:r>
      <w:r w:rsidR="00EC7EDF" w:rsidRPr="00FD211F">
        <w:rPr>
          <w:sz w:val="36"/>
          <w:szCs w:val="36"/>
          <w:rtl/>
        </w:rPr>
        <w:t xml:space="preserve">ة </w:t>
      </w:r>
      <w:r w:rsidR="00052BF2" w:rsidRPr="00FD211F">
        <w:rPr>
          <w:sz w:val="36"/>
          <w:szCs w:val="36"/>
          <w:rtl/>
        </w:rPr>
        <w:t>السابق</w:t>
      </w:r>
      <w:r w:rsidR="00EC7EDF" w:rsidRPr="00FD211F">
        <w:rPr>
          <w:sz w:val="36"/>
          <w:szCs w:val="36"/>
          <w:rtl/>
        </w:rPr>
        <w:t xml:space="preserve">ة </w:t>
      </w:r>
      <w:r w:rsidR="00052BF2" w:rsidRPr="00FD211F">
        <w:rPr>
          <w:sz w:val="36"/>
          <w:szCs w:val="36"/>
          <w:rtl/>
        </w:rPr>
        <w:t>التي يحتمل تغير معنى اللفظ في خلالها الى اصال</w:t>
      </w:r>
      <w:r w:rsidR="00EC7EDF" w:rsidRPr="00FD211F">
        <w:rPr>
          <w:sz w:val="36"/>
          <w:szCs w:val="36"/>
          <w:rtl/>
        </w:rPr>
        <w:t xml:space="preserve">ة </w:t>
      </w:r>
      <w:r w:rsidR="00052BF2" w:rsidRPr="00FD211F">
        <w:rPr>
          <w:sz w:val="36"/>
          <w:szCs w:val="36"/>
          <w:rtl/>
        </w:rPr>
        <w:t>عدم النقل ولكنه امر آخر لاربط له بالمقام</w:t>
      </w:r>
      <w:r w:rsidR="00603323" w:rsidRPr="00FD211F">
        <w:rPr>
          <w:sz w:val="36"/>
          <w:szCs w:val="36"/>
          <w:rtl/>
        </w:rPr>
        <w:t xml:space="preserve">، </w:t>
      </w:r>
      <w:r w:rsidR="00052BF2" w:rsidRPr="00FD211F">
        <w:rPr>
          <w:sz w:val="36"/>
          <w:szCs w:val="36"/>
          <w:rtl/>
        </w:rPr>
        <w:t>وسيأتي انه لااصل لها الا الاطمئنان.</w:t>
      </w:r>
    </w:p>
    <w:p w14:paraId="233AD6C8" w14:textId="77777777" w:rsidR="00052BF2" w:rsidRPr="00FD211F" w:rsidRDefault="00052BF2" w:rsidP="009C58C8">
      <w:pPr>
        <w:pStyle w:val="3"/>
        <w:ind w:firstLine="227"/>
        <w:jc w:val="both"/>
        <w:rPr>
          <w:rtl/>
        </w:rPr>
      </w:pPr>
      <w:bookmarkStart w:id="333" w:name="_Toc154131738"/>
      <w:bookmarkStart w:id="334" w:name="_Toc156401526"/>
      <w:bookmarkStart w:id="335" w:name="_Toc192092909"/>
      <w:bookmarkStart w:id="336" w:name="_Toc223890388"/>
      <w:r w:rsidRPr="00FD211F">
        <w:rPr>
          <w:rtl/>
        </w:rPr>
        <w:t>صح</w:t>
      </w:r>
      <w:r w:rsidR="00EC7EDF" w:rsidRPr="00FD211F">
        <w:rPr>
          <w:rtl/>
        </w:rPr>
        <w:t xml:space="preserve">ة </w:t>
      </w:r>
      <w:r w:rsidRPr="00FD211F">
        <w:rPr>
          <w:rtl/>
        </w:rPr>
        <w:t>الحمل</w:t>
      </w:r>
      <w:bookmarkEnd w:id="333"/>
      <w:bookmarkEnd w:id="334"/>
      <w:bookmarkEnd w:id="335"/>
      <w:bookmarkEnd w:id="336"/>
    </w:p>
    <w:p w14:paraId="234E6AF5" w14:textId="77777777" w:rsidR="00052BF2" w:rsidRPr="00FD211F" w:rsidRDefault="00052BF2" w:rsidP="009C58C8">
      <w:pPr>
        <w:ind w:left="0" w:firstLine="227"/>
        <w:jc w:val="both"/>
        <w:rPr>
          <w:sz w:val="36"/>
          <w:szCs w:val="36"/>
          <w:rtl/>
        </w:rPr>
      </w:pPr>
      <w:r w:rsidRPr="00FD211F">
        <w:rPr>
          <w:sz w:val="36"/>
          <w:szCs w:val="36"/>
          <w:rtl/>
        </w:rPr>
        <w:t>ذكروا ان صح</w:t>
      </w:r>
      <w:r w:rsidR="00EC7EDF" w:rsidRPr="00FD211F">
        <w:rPr>
          <w:sz w:val="36"/>
          <w:szCs w:val="36"/>
          <w:rtl/>
        </w:rPr>
        <w:t xml:space="preserve">ة </w:t>
      </w:r>
      <w:r w:rsidRPr="00FD211F">
        <w:rPr>
          <w:sz w:val="36"/>
          <w:szCs w:val="36"/>
          <w:rtl/>
        </w:rPr>
        <w:t>حمل اللفظ -بما له من المعنى المرتكز في الأذهان- على معنى يكون علام</w:t>
      </w:r>
      <w:r w:rsidR="00EC7EDF" w:rsidRPr="00FD211F">
        <w:rPr>
          <w:sz w:val="36"/>
          <w:szCs w:val="36"/>
          <w:rtl/>
        </w:rPr>
        <w:t xml:space="preserve">ة </w:t>
      </w:r>
      <w:r w:rsidRPr="00FD211F">
        <w:rPr>
          <w:sz w:val="36"/>
          <w:szCs w:val="36"/>
          <w:rtl/>
        </w:rPr>
        <w:t>على كونه هو المعنى الموضوع له لذلك اللفظ</w:t>
      </w:r>
      <w:r w:rsidR="00603323" w:rsidRPr="00FD211F">
        <w:rPr>
          <w:sz w:val="36"/>
          <w:szCs w:val="36"/>
          <w:rtl/>
        </w:rPr>
        <w:t xml:space="preserve">، </w:t>
      </w:r>
      <w:r w:rsidRPr="00FD211F">
        <w:rPr>
          <w:sz w:val="36"/>
          <w:szCs w:val="36"/>
          <w:rtl/>
        </w:rPr>
        <w:t>وهذا الحمل يكون حملا اوليّا</w:t>
      </w:r>
      <w:r w:rsidR="00603323" w:rsidRPr="00FD211F">
        <w:rPr>
          <w:sz w:val="36"/>
          <w:szCs w:val="36"/>
          <w:rtl/>
        </w:rPr>
        <w:t xml:space="preserve">، </w:t>
      </w:r>
      <w:r w:rsidRPr="00FD211F">
        <w:rPr>
          <w:sz w:val="36"/>
          <w:szCs w:val="36"/>
          <w:rtl/>
        </w:rPr>
        <w:t xml:space="preserve">كقولنا </w:t>
      </w:r>
      <w:r w:rsidR="008463AE" w:rsidRPr="00FD211F">
        <w:rPr>
          <w:sz w:val="36"/>
          <w:szCs w:val="36"/>
          <w:rtl/>
        </w:rPr>
        <w:t>"</w:t>
      </w:r>
      <w:r w:rsidRPr="00FD211F">
        <w:rPr>
          <w:sz w:val="36"/>
          <w:szCs w:val="36"/>
          <w:rtl/>
        </w:rPr>
        <w:t>الجلوس هو القعود</w:t>
      </w:r>
      <w:r w:rsidR="008463AE" w:rsidRPr="00FD211F">
        <w:rPr>
          <w:sz w:val="36"/>
          <w:szCs w:val="36"/>
          <w:rtl/>
        </w:rPr>
        <w:t>"</w:t>
      </w:r>
      <w:r w:rsidR="00603323" w:rsidRPr="00FD211F">
        <w:rPr>
          <w:sz w:val="36"/>
          <w:szCs w:val="36"/>
          <w:rtl/>
        </w:rPr>
        <w:t xml:space="preserve">، </w:t>
      </w:r>
      <w:r w:rsidRPr="00FD211F">
        <w:rPr>
          <w:sz w:val="36"/>
          <w:szCs w:val="36"/>
          <w:rtl/>
        </w:rPr>
        <w:t>كما ان صح</w:t>
      </w:r>
      <w:r w:rsidR="00EC7EDF" w:rsidRPr="00FD211F">
        <w:rPr>
          <w:sz w:val="36"/>
          <w:szCs w:val="36"/>
          <w:rtl/>
        </w:rPr>
        <w:t xml:space="preserve">ة </w:t>
      </w:r>
      <w:r w:rsidRPr="00FD211F">
        <w:rPr>
          <w:sz w:val="36"/>
          <w:szCs w:val="36"/>
          <w:rtl/>
        </w:rPr>
        <w:t>حمل اللفظ -بما له من المعنى المرتكز في الأذهان- على فرد يكون علام</w:t>
      </w:r>
      <w:r w:rsidR="00EC7EDF" w:rsidRPr="00FD211F">
        <w:rPr>
          <w:sz w:val="36"/>
          <w:szCs w:val="36"/>
          <w:rtl/>
        </w:rPr>
        <w:t xml:space="preserve">ة </w:t>
      </w:r>
      <w:r w:rsidRPr="00FD211F">
        <w:rPr>
          <w:sz w:val="36"/>
          <w:szCs w:val="36"/>
          <w:rtl/>
        </w:rPr>
        <w:t>كونه مصداقا للمعنى الموضوع له ذلك اللفظ</w:t>
      </w:r>
      <w:r w:rsidR="00603323" w:rsidRPr="00FD211F">
        <w:rPr>
          <w:sz w:val="36"/>
          <w:szCs w:val="36"/>
          <w:rtl/>
        </w:rPr>
        <w:t xml:space="preserve">، </w:t>
      </w:r>
      <w:r w:rsidRPr="00FD211F">
        <w:rPr>
          <w:sz w:val="36"/>
          <w:szCs w:val="36"/>
          <w:rtl/>
        </w:rPr>
        <w:t>كما لو أشير الى الماء المختلط بمقدار قليل من التراب فقيل</w:t>
      </w:r>
      <w:r w:rsidR="008463AE" w:rsidRPr="00FD211F">
        <w:rPr>
          <w:sz w:val="36"/>
          <w:szCs w:val="36"/>
          <w:rtl/>
        </w:rPr>
        <w:t>"</w:t>
      </w:r>
      <w:r w:rsidRPr="00FD211F">
        <w:rPr>
          <w:sz w:val="36"/>
          <w:szCs w:val="36"/>
          <w:rtl/>
        </w:rPr>
        <w:t>هذا ماء</w:t>
      </w:r>
      <w:r w:rsidR="008463AE" w:rsidRPr="00FD211F">
        <w:rPr>
          <w:sz w:val="36"/>
          <w:szCs w:val="36"/>
          <w:rtl/>
        </w:rPr>
        <w:t>"</w:t>
      </w:r>
      <w:r w:rsidR="00603323" w:rsidRPr="00FD211F">
        <w:rPr>
          <w:sz w:val="36"/>
          <w:szCs w:val="36"/>
          <w:rtl/>
        </w:rPr>
        <w:t xml:space="preserve">، </w:t>
      </w:r>
      <w:r w:rsidRPr="00FD211F">
        <w:rPr>
          <w:sz w:val="36"/>
          <w:szCs w:val="36"/>
          <w:rtl/>
        </w:rPr>
        <w:t>وهذا الحمل يكون حملا شايعا صناعيا.</w:t>
      </w:r>
    </w:p>
    <w:p w14:paraId="126A0A9B" w14:textId="77777777" w:rsidR="000C5BBA" w:rsidRPr="00FD211F" w:rsidRDefault="00052BF2" w:rsidP="009C58C8">
      <w:pPr>
        <w:ind w:left="0" w:firstLine="227"/>
        <w:jc w:val="both"/>
        <w:rPr>
          <w:sz w:val="36"/>
          <w:szCs w:val="36"/>
          <w:rtl/>
        </w:rPr>
      </w:pPr>
      <w:r w:rsidRPr="00FD211F">
        <w:rPr>
          <w:sz w:val="36"/>
          <w:szCs w:val="36"/>
          <w:rtl/>
        </w:rPr>
        <w:t>وقد يستشكل في علامي</w:t>
      </w:r>
      <w:r w:rsidR="00EC7EDF" w:rsidRPr="00FD211F">
        <w:rPr>
          <w:sz w:val="36"/>
          <w:szCs w:val="36"/>
          <w:rtl/>
        </w:rPr>
        <w:t xml:space="preserve">ة </w:t>
      </w:r>
      <w:r w:rsidRPr="00FD211F">
        <w:rPr>
          <w:sz w:val="36"/>
          <w:szCs w:val="36"/>
          <w:rtl/>
        </w:rPr>
        <w:t>صح</w:t>
      </w:r>
      <w:r w:rsidR="00EC7EDF" w:rsidRPr="00FD211F">
        <w:rPr>
          <w:sz w:val="36"/>
          <w:szCs w:val="36"/>
          <w:rtl/>
        </w:rPr>
        <w:t xml:space="preserve">ة </w:t>
      </w:r>
      <w:r w:rsidRPr="00FD211F">
        <w:rPr>
          <w:sz w:val="36"/>
          <w:szCs w:val="36"/>
          <w:rtl/>
        </w:rPr>
        <w:t>الحمل بكل</w:t>
      </w:r>
      <w:r w:rsidR="0097338E" w:rsidRPr="00FD211F">
        <w:rPr>
          <w:sz w:val="36"/>
          <w:szCs w:val="36"/>
          <w:rtl/>
        </w:rPr>
        <w:t>ا قسميه من الحمل الأولي والشائع.</w:t>
      </w:r>
    </w:p>
    <w:p w14:paraId="0925885F" w14:textId="77777777" w:rsidR="00637409" w:rsidRPr="00FD211F" w:rsidRDefault="00052BF2" w:rsidP="009C58C8">
      <w:pPr>
        <w:ind w:left="0" w:firstLine="227"/>
        <w:jc w:val="both"/>
        <w:rPr>
          <w:sz w:val="36"/>
          <w:szCs w:val="36"/>
          <w:rtl/>
        </w:rPr>
      </w:pPr>
      <w:r w:rsidRPr="00FD211F">
        <w:rPr>
          <w:sz w:val="36"/>
          <w:szCs w:val="36"/>
          <w:rtl/>
        </w:rPr>
        <w:t xml:space="preserve">أما الإشكال في </w:t>
      </w:r>
      <w:r w:rsidR="00637409" w:rsidRPr="00FD211F">
        <w:rPr>
          <w:sz w:val="36"/>
          <w:szCs w:val="36"/>
          <w:rtl/>
        </w:rPr>
        <w:t>علامي</w:t>
      </w:r>
      <w:r w:rsidR="00EC7EDF" w:rsidRPr="00FD211F">
        <w:rPr>
          <w:sz w:val="36"/>
          <w:szCs w:val="36"/>
          <w:rtl/>
        </w:rPr>
        <w:t xml:space="preserve">ة </w:t>
      </w:r>
      <w:r w:rsidRPr="00FD211F">
        <w:rPr>
          <w:sz w:val="36"/>
          <w:szCs w:val="36"/>
          <w:rtl/>
        </w:rPr>
        <w:t>الحمل الأولي فبأ</w:t>
      </w:r>
      <w:r w:rsidR="00637409" w:rsidRPr="00FD211F">
        <w:rPr>
          <w:sz w:val="36"/>
          <w:szCs w:val="36"/>
          <w:rtl/>
        </w:rPr>
        <w:t>حد وجهين:</w:t>
      </w:r>
    </w:p>
    <w:p w14:paraId="7FED507E" w14:textId="77777777" w:rsidR="00052BF2" w:rsidRPr="00FD211F" w:rsidRDefault="00637409" w:rsidP="009C58C8">
      <w:pPr>
        <w:ind w:left="0" w:firstLine="227"/>
        <w:jc w:val="both"/>
        <w:rPr>
          <w:sz w:val="36"/>
          <w:szCs w:val="36"/>
          <w:rtl/>
        </w:rPr>
      </w:pPr>
      <w:r w:rsidRPr="00FD211F">
        <w:rPr>
          <w:sz w:val="36"/>
          <w:szCs w:val="36"/>
          <w:rtl/>
        </w:rPr>
        <w:t>1-ان</w:t>
      </w:r>
      <w:r w:rsidR="00052BF2" w:rsidRPr="00FD211F">
        <w:rPr>
          <w:sz w:val="36"/>
          <w:szCs w:val="36"/>
          <w:rtl/>
        </w:rPr>
        <w:t xml:space="preserve"> الحمل الأولي كما يحتاج الى اتحاد بين الموضوع والمحمول كذلك يحتاج الى مغاير</w:t>
      </w:r>
      <w:r w:rsidR="00EC7EDF" w:rsidRPr="00FD211F">
        <w:rPr>
          <w:sz w:val="36"/>
          <w:szCs w:val="36"/>
          <w:rtl/>
        </w:rPr>
        <w:t xml:space="preserve">ة </w:t>
      </w:r>
      <w:r w:rsidR="00052BF2" w:rsidRPr="00FD211F">
        <w:rPr>
          <w:sz w:val="36"/>
          <w:szCs w:val="36"/>
          <w:rtl/>
        </w:rPr>
        <w:t>ما بينهما</w:t>
      </w:r>
      <w:r w:rsidR="00603323" w:rsidRPr="00FD211F">
        <w:rPr>
          <w:sz w:val="36"/>
          <w:szCs w:val="36"/>
          <w:rtl/>
        </w:rPr>
        <w:t xml:space="preserve">، </w:t>
      </w:r>
      <w:r w:rsidR="00052BF2" w:rsidRPr="00FD211F">
        <w:rPr>
          <w:sz w:val="36"/>
          <w:szCs w:val="36"/>
          <w:rtl/>
        </w:rPr>
        <w:t>والا</w:t>
      </w:r>
      <w:r w:rsidR="008D7B3D" w:rsidRPr="00FD211F">
        <w:rPr>
          <w:sz w:val="36"/>
          <w:szCs w:val="36"/>
          <w:rtl/>
        </w:rPr>
        <w:t xml:space="preserve"> لم‌</w:t>
      </w:r>
      <w:r w:rsidR="00052BF2" w:rsidRPr="00FD211F">
        <w:rPr>
          <w:sz w:val="36"/>
          <w:szCs w:val="36"/>
          <w:rtl/>
        </w:rPr>
        <w:t>يكن للحمل معنى</w:t>
      </w:r>
      <w:r w:rsidR="00603323" w:rsidRPr="00FD211F">
        <w:rPr>
          <w:sz w:val="36"/>
          <w:szCs w:val="36"/>
          <w:rtl/>
        </w:rPr>
        <w:t xml:space="preserve">، </w:t>
      </w:r>
      <w:r w:rsidR="00052BF2" w:rsidRPr="00FD211F">
        <w:rPr>
          <w:sz w:val="36"/>
          <w:szCs w:val="36"/>
          <w:rtl/>
        </w:rPr>
        <w:t>وعليه فكيف يكشف الحمل الأولي للفظ -بما له من المعنى المرتكز- على معنى عن كونه نفس المعنى الموضوع له</w:t>
      </w:r>
      <w:r w:rsidR="00603323" w:rsidRPr="00FD211F">
        <w:rPr>
          <w:sz w:val="36"/>
          <w:szCs w:val="36"/>
          <w:rtl/>
        </w:rPr>
        <w:t xml:space="preserve">، </w:t>
      </w:r>
      <w:r w:rsidR="00052BF2" w:rsidRPr="00FD211F">
        <w:rPr>
          <w:sz w:val="36"/>
          <w:szCs w:val="36"/>
          <w:rtl/>
        </w:rPr>
        <w:t>مع أنه يلزم المغاير</w:t>
      </w:r>
      <w:r w:rsidR="00EC7EDF" w:rsidRPr="00FD211F">
        <w:rPr>
          <w:sz w:val="36"/>
          <w:szCs w:val="36"/>
          <w:rtl/>
        </w:rPr>
        <w:t xml:space="preserve">ة </w:t>
      </w:r>
      <w:r w:rsidR="00052BF2" w:rsidRPr="00FD211F">
        <w:rPr>
          <w:sz w:val="36"/>
          <w:szCs w:val="36"/>
          <w:rtl/>
        </w:rPr>
        <w:t xml:space="preserve">بين الموضوع والمحمول بالحمل الأولي </w:t>
      </w:r>
      <w:commentRangeStart w:id="337"/>
      <w:r w:rsidR="00052BF2" w:rsidRPr="00FD211F">
        <w:rPr>
          <w:sz w:val="36"/>
          <w:szCs w:val="36"/>
          <w:rtl/>
        </w:rPr>
        <w:t>أيضا</w:t>
      </w:r>
      <w:commentRangeEnd w:id="337"/>
      <w:r w:rsidR="00A902FE">
        <w:rPr>
          <w:rStyle w:val="ab"/>
          <w:rtl/>
        </w:rPr>
        <w:commentReference w:id="337"/>
      </w:r>
      <w:r w:rsidR="00052BF2" w:rsidRPr="00FD211F">
        <w:rPr>
          <w:sz w:val="36"/>
          <w:szCs w:val="36"/>
          <w:rtl/>
        </w:rPr>
        <w:t>.</w:t>
      </w:r>
    </w:p>
    <w:p w14:paraId="4E35E384" w14:textId="77777777" w:rsidR="0097338E" w:rsidRPr="00FD211F" w:rsidRDefault="00052BF2" w:rsidP="009C58C8">
      <w:pPr>
        <w:ind w:left="0" w:firstLine="227"/>
        <w:jc w:val="both"/>
        <w:rPr>
          <w:sz w:val="36"/>
          <w:szCs w:val="36"/>
          <w:rtl/>
        </w:rPr>
      </w:pPr>
      <w:r w:rsidRPr="00FD211F">
        <w:rPr>
          <w:sz w:val="36"/>
          <w:szCs w:val="36"/>
          <w:rtl/>
        </w:rPr>
        <w:t xml:space="preserve">وفيه </w:t>
      </w:r>
      <w:r w:rsidRPr="00FD211F">
        <w:rPr>
          <w:b/>
          <w:bCs/>
          <w:sz w:val="36"/>
          <w:szCs w:val="36"/>
          <w:rtl/>
        </w:rPr>
        <w:t>اولا</w:t>
      </w:r>
      <w:r w:rsidRPr="00FD211F">
        <w:rPr>
          <w:sz w:val="36"/>
          <w:szCs w:val="36"/>
          <w:rtl/>
        </w:rPr>
        <w:t>: انه لاملزم في الحمل الأولي من فرض مغاير</w:t>
      </w:r>
      <w:r w:rsidR="00EC7EDF" w:rsidRPr="00FD211F">
        <w:rPr>
          <w:sz w:val="36"/>
          <w:szCs w:val="36"/>
          <w:rtl/>
        </w:rPr>
        <w:t xml:space="preserve">ة </w:t>
      </w:r>
      <w:r w:rsidRPr="00FD211F">
        <w:rPr>
          <w:sz w:val="36"/>
          <w:szCs w:val="36"/>
          <w:rtl/>
        </w:rPr>
        <w:t>ما بين الموضوع والمحمول</w:t>
      </w:r>
      <w:r w:rsidR="00603323" w:rsidRPr="00FD211F">
        <w:rPr>
          <w:sz w:val="36"/>
          <w:szCs w:val="36"/>
          <w:rtl/>
        </w:rPr>
        <w:t xml:space="preserve">، </w:t>
      </w:r>
      <w:r w:rsidRPr="00FD211F">
        <w:rPr>
          <w:sz w:val="36"/>
          <w:szCs w:val="36"/>
          <w:rtl/>
        </w:rPr>
        <w:t>فلامانع من ان يقال</w:t>
      </w:r>
      <w:r w:rsidR="0097338E" w:rsidRPr="00FD211F">
        <w:rPr>
          <w:sz w:val="36"/>
          <w:szCs w:val="36"/>
          <w:rtl/>
        </w:rPr>
        <w:t>"</w:t>
      </w:r>
      <w:r w:rsidRPr="00FD211F">
        <w:rPr>
          <w:sz w:val="36"/>
          <w:szCs w:val="36"/>
          <w:rtl/>
        </w:rPr>
        <w:t xml:space="preserve"> الانسان انسان</w:t>
      </w:r>
      <w:r w:rsidR="0097338E" w:rsidRPr="00FD211F">
        <w:rPr>
          <w:sz w:val="36"/>
          <w:szCs w:val="36"/>
          <w:rtl/>
        </w:rPr>
        <w:t>"</w:t>
      </w:r>
      <w:r w:rsidR="00603323" w:rsidRPr="00FD211F">
        <w:rPr>
          <w:sz w:val="36"/>
          <w:szCs w:val="36"/>
          <w:rtl/>
        </w:rPr>
        <w:t xml:space="preserve">، </w:t>
      </w:r>
      <w:r w:rsidRPr="00FD211F">
        <w:rPr>
          <w:sz w:val="36"/>
          <w:szCs w:val="36"/>
          <w:rtl/>
        </w:rPr>
        <w:t>ويراد به عيني</w:t>
      </w:r>
      <w:r w:rsidR="00EC7EDF" w:rsidRPr="00FD211F">
        <w:rPr>
          <w:sz w:val="36"/>
          <w:szCs w:val="36"/>
          <w:rtl/>
        </w:rPr>
        <w:t xml:space="preserve">ة </w:t>
      </w:r>
      <w:r w:rsidRPr="00FD211F">
        <w:rPr>
          <w:sz w:val="36"/>
          <w:szCs w:val="36"/>
          <w:rtl/>
        </w:rPr>
        <w:t>مفهوم الموضوع والمحمول في هذه القضي</w:t>
      </w:r>
      <w:r w:rsidR="00EC7EDF" w:rsidRPr="00FD211F">
        <w:rPr>
          <w:sz w:val="36"/>
          <w:szCs w:val="36"/>
          <w:rtl/>
        </w:rPr>
        <w:t>ة</w:t>
      </w:r>
      <w:r w:rsidR="00603323" w:rsidRPr="00FD211F">
        <w:rPr>
          <w:sz w:val="36"/>
          <w:szCs w:val="36"/>
          <w:rtl/>
        </w:rPr>
        <w:t xml:space="preserve">، </w:t>
      </w:r>
      <w:r w:rsidRPr="00FD211F">
        <w:rPr>
          <w:sz w:val="36"/>
          <w:szCs w:val="36"/>
          <w:rtl/>
        </w:rPr>
        <w:t>ولايصح دعوى ان الحمل عملي</w:t>
      </w:r>
      <w:r w:rsidR="00EC7EDF" w:rsidRPr="00FD211F">
        <w:rPr>
          <w:sz w:val="36"/>
          <w:szCs w:val="36"/>
          <w:rtl/>
        </w:rPr>
        <w:t xml:space="preserve">ة </w:t>
      </w:r>
      <w:r w:rsidRPr="00FD211F">
        <w:rPr>
          <w:sz w:val="36"/>
          <w:szCs w:val="36"/>
          <w:rtl/>
        </w:rPr>
        <w:t>ذهني</w:t>
      </w:r>
      <w:r w:rsidR="00EC7EDF" w:rsidRPr="00FD211F">
        <w:rPr>
          <w:sz w:val="36"/>
          <w:szCs w:val="36"/>
          <w:rtl/>
        </w:rPr>
        <w:t xml:space="preserve">ة </w:t>
      </w:r>
      <w:r w:rsidRPr="00FD211F">
        <w:rPr>
          <w:sz w:val="36"/>
          <w:szCs w:val="36"/>
          <w:rtl/>
        </w:rPr>
        <w:t>بين شيئين حيث يحمل احدهما على الآخر</w:t>
      </w:r>
      <w:r w:rsidR="00603323" w:rsidRPr="00FD211F">
        <w:rPr>
          <w:sz w:val="36"/>
          <w:szCs w:val="36"/>
          <w:rtl/>
        </w:rPr>
        <w:t xml:space="preserve">، </w:t>
      </w:r>
      <w:r w:rsidRPr="00FD211F">
        <w:rPr>
          <w:sz w:val="36"/>
          <w:szCs w:val="36"/>
          <w:rtl/>
        </w:rPr>
        <w:t>فلابد من فرض المغاير</w:t>
      </w:r>
      <w:r w:rsidR="00EC7EDF" w:rsidRPr="00FD211F">
        <w:rPr>
          <w:sz w:val="36"/>
          <w:szCs w:val="36"/>
          <w:rtl/>
        </w:rPr>
        <w:t xml:space="preserve">ة </w:t>
      </w:r>
      <w:r w:rsidRPr="00FD211F">
        <w:rPr>
          <w:sz w:val="36"/>
          <w:szCs w:val="36"/>
          <w:rtl/>
        </w:rPr>
        <w:t>بينهما</w:t>
      </w:r>
      <w:r w:rsidR="00603323" w:rsidRPr="00FD211F">
        <w:rPr>
          <w:sz w:val="36"/>
          <w:szCs w:val="36"/>
          <w:rtl/>
        </w:rPr>
        <w:t xml:space="preserve">، </w:t>
      </w:r>
      <w:r w:rsidRPr="00FD211F">
        <w:rPr>
          <w:sz w:val="36"/>
          <w:szCs w:val="36"/>
          <w:rtl/>
        </w:rPr>
        <w:t xml:space="preserve">فانه يكفي في الحمل الذهني وجود تصورين عن </w:t>
      </w:r>
      <w:r w:rsidR="008D7B3D" w:rsidRPr="00FD211F">
        <w:rPr>
          <w:sz w:val="36"/>
          <w:szCs w:val="36"/>
          <w:rtl/>
        </w:rPr>
        <w:t xml:space="preserve">شيء </w:t>
      </w:r>
      <w:r w:rsidRPr="00FD211F">
        <w:rPr>
          <w:sz w:val="36"/>
          <w:szCs w:val="36"/>
          <w:rtl/>
        </w:rPr>
        <w:t>واحد</w:t>
      </w:r>
      <w:r w:rsidR="00603323" w:rsidRPr="00FD211F">
        <w:rPr>
          <w:sz w:val="36"/>
          <w:szCs w:val="36"/>
          <w:rtl/>
        </w:rPr>
        <w:t xml:space="preserve">، </w:t>
      </w:r>
      <w:r w:rsidRPr="00FD211F">
        <w:rPr>
          <w:sz w:val="36"/>
          <w:szCs w:val="36"/>
          <w:rtl/>
        </w:rPr>
        <w:t>فيحمل احدهما على الآخر بلحاظ وحد</w:t>
      </w:r>
      <w:r w:rsidR="00EC7EDF" w:rsidRPr="00FD211F">
        <w:rPr>
          <w:sz w:val="36"/>
          <w:szCs w:val="36"/>
          <w:rtl/>
        </w:rPr>
        <w:t xml:space="preserve">ة </w:t>
      </w:r>
      <w:r w:rsidRPr="00FD211F">
        <w:rPr>
          <w:sz w:val="36"/>
          <w:szCs w:val="36"/>
          <w:rtl/>
        </w:rPr>
        <w:t>المتصور بالعرض</w:t>
      </w:r>
      <w:r w:rsidR="00603323" w:rsidRPr="00FD211F">
        <w:rPr>
          <w:sz w:val="36"/>
          <w:szCs w:val="36"/>
          <w:rtl/>
        </w:rPr>
        <w:t xml:space="preserve">، </w:t>
      </w:r>
      <w:r w:rsidRPr="00FD211F">
        <w:rPr>
          <w:sz w:val="36"/>
          <w:szCs w:val="36"/>
          <w:rtl/>
        </w:rPr>
        <w:t xml:space="preserve">فيقال </w:t>
      </w:r>
      <w:r w:rsidR="0097338E" w:rsidRPr="00FD211F">
        <w:rPr>
          <w:sz w:val="36"/>
          <w:szCs w:val="36"/>
          <w:rtl/>
        </w:rPr>
        <w:t>"</w:t>
      </w:r>
      <w:r w:rsidRPr="00FD211F">
        <w:rPr>
          <w:sz w:val="36"/>
          <w:szCs w:val="36"/>
          <w:rtl/>
        </w:rPr>
        <w:t>الانسان انسان</w:t>
      </w:r>
      <w:r w:rsidR="0097338E" w:rsidRPr="00FD211F">
        <w:rPr>
          <w:sz w:val="36"/>
          <w:szCs w:val="36"/>
          <w:rtl/>
        </w:rPr>
        <w:t>"</w:t>
      </w:r>
      <w:r w:rsidR="00603323" w:rsidRPr="00FD211F">
        <w:rPr>
          <w:sz w:val="36"/>
          <w:szCs w:val="36"/>
          <w:rtl/>
        </w:rPr>
        <w:t xml:space="preserve">، </w:t>
      </w:r>
      <w:r w:rsidRPr="00FD211F">
        <w:rPr>
          <w:sz w:val="36"/>
          <w:szCs w:val="36"/>
          <w:rtl/>
        </w:rPr>
        <w:t>وما يرى من عدم معهودي</w:t>
      </w:r>
      <w:r w:rsidR="00EC7EDF" w:rsidRPr="00FD211F">
        <w:rPr>
          <w:sz w:val="36"/>
          <w:szCs w:val="36"/>
          <w:rtl/>
        </w:rPr>
        <w:t xml:space="preserve">ة </w:t>
      </w:r>
      <w:r w:rsidRPr="00FD211F">
        <w:rPr>
          <w:sz w:val="36"/>
          <w:szCs w:val="36"/>
          <w:rtl/>
        </w:rPr>
        <w:t>مثل هذا الكلام فانما هو لأجل عدم فائد</w:t>
      </w:r>
      <w:r w:rsidR="00EC7EDF" w:rsidRPr="00FD211F">
        <w:rPr>
          <w:sz w:val="36"/>
          <w:szCs w:val="36"/>
          <w:rtl/>
        </w:rPr>
        <w:t xml:space="preserve">ة </w:t>
      </w:r>
      <w:r w:rsidRPr="00FD211F">
        <w:rPr>
          <w:sz w:val="36"/>
          <w:szCs w:val="36"/>
          <w:rtl/>
        </w:rPr>
        <w:t>فيه</w:t>
      </w:r>
      <w:r w:rsidR="00603323" w:rsidRPr="00FD211F">
        <w:rPr>
          <w:sz w:val="36"/>
          <w:szCs w:val="36"/>
          <w:rtl/>
        </w:rPr>
        <w:t xml:space="preserve">، </w:t>
      </w:r>
      <w:r w:rsidRPr="00FD211F">
        <w:rPr>
          <w:sz w:val="36"/>
          <w:szCs w:val="36"/>
          <w:rtl/>
        </w:rPr>
        <w:t>فيكون لغوا</w:t>
      </w:r>
      <w:r w:rsidR="00603323" w:rsidRPr="00FD211F">
        <w:rPr>
          <w:sz w:val="36"/>
          <w:szCs w:val="36"/>
          <w:rtl/>
        </w:rPr>
        <w:t xml:space="preserve">، </w:t>
      </w:r>
      <w:r w:rsidRPr="00FD211F">
        <w:rPr>
          <w:sz w:val="36"/>
          <w:szCs w:val="36"/>
          <w:rtl/>
        </w:rPr>
        <w:t xml:space="preserve">وهذا المحذور لايأتي في المقام كما في قولنا </w:t>
      </w:r>
      <w:r w:rsidR="0097338E" w:rsidRPr="00FD211F">
        <w:rPr>
          <w:sz w:val="36"/>
          <w:szCs w:val="36"/>
          <w:rtl/>
        </w:rPr>
        <w:t>"</w:t>
      </w:r>
      <w:r w:rsidRPr="00FD211F">
        <w:rPr>
          <w:sz w:val="36"/>
          <w:szCs w:val="36"/>
          <w:rtl/>
        </w:rPr>
        <w:t>الجلوس هو القعود</w:t>
      </w:r>
      <w:r w:rsidR="0097338E" w:rsidRPr="00FD211F">
        <w:rPr>
          <w:sz w:val="36"/>
          <w:szCs w:val="36"/>
          <w:rtl/>
        </w:rPr>
        <w:t>"</w:t>
      </w:r>
      <w:r w:rsidR="00603323" w:rsidRPr="00FD211F">
        <w:rPr>
          <w:sz w:val="36"/>
          <w:szCs w:val="36"/>
          <w:rtl/>
        </w:rPr>
        <w:t xml:space="preserve">، </w:t>
      </w:r>
      <w:r w:rsidRPr="00FD211F">
        <w:rPr>
          <w:sz w:val="36"/>
          <w:szCs w:val="36"/>
          <w:rtl/>
        </w:rPr>
        <w:t>حيث ان الغرض معرف</w:t>
      </w:r>
      <w:r w:rsidR="00EC7EDF" w:rsidRPr="00FD211F">
        <w:rPr>
          <w:sz w:val="36"/>
          <w:szCs w:val="36"/>
          <w:rtl/>
        </w:rPr>
        <w:t xml:space="preserve">ة </w:t>
      </w:r>
      <w:r w:rsidRPr="00FD211F">
        <w:rPr>
          <w:sz w:val="36"/>
          <w:szCs w:val="36"/>
          <w:rtl/>
        </w:rPr>
        <w:t>المعنى الموضوع له للفظ</w:t>
      </w:r>
      <w:r w:rsidR="00603323" w:rsidRPr="00FD211F">
        <w:rPr>
          <w:sz w:val="36"/>
          <w:szCs w:val="36"/>
          <w:rtl/>
        </w:rPr>
        <w:t xml:space="preserve">، </w:t>
      </w:r>
      <w:r w:rsidRPr="00FD211F">
        <w:rPr>
          <w:sz w:val="36"/>
          <w:szCs w:val="36"/>
          <w:rtl/>
        </w:rPr>
        <w:t>فلايكون لغوا</w:t>
      </w:r>
      <w:r w:rsidR="00EC7EDF" w:rsidRPr="00FD211F">
        <w:rPr>
          <w:sz w:val="36"/>
          <w:szCs w:val="36"/>
          <w:rtl/>
        </w:rPr>
        <w:t>.</w:t>
      </w:r>
    </w:p>
    <w:p w14:paraId="04660E9B" w14:textId="77777777" w:rsidR="00052BF2"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انه يكفي مغاير</w:t>
      </w:r>
      <w:r w:rsidR="00EC7EDF" w:rsidRPr="00FD211F">
        <w:rPr>
          <w:sz w:val="36"/>
          <w:szCs w:val="36"/>
          <w:rtl/>
        </w:rPr>
        <w:t xml:space="preserve">ة </w:t>
      </w:r>
      <w:r w:rsidRPr="00FD211F">
        <w:rPr>
          <w:sz w:val="36"/>
          <w:szCs w:val="36"/>
          <w:rtl/>
        </w:rPr>
        <w:t>الموضوع والمحمول في الحمل الأولي من حيث اختلاف اللفظ</w:t>
      </w:r>
      <w:r w:rsidR="00603323" w:rsidRPr="00FD211F">
        <w:rPr>
          <w:sz w:val="36"/>
          <w:szCs w:val="36"/>
          <w:rtl/>
        </w:rPr>
        <w:t xml:space="preserve">، </w:t>
      </w:r>
      <w:r w:rsidRPr="00FD211F">
        <w:rPr>
          <w:sz w:val="36"/>
          <w:szCs w:val="36"/>
          <w:rtl/>
        </w:rPr>
        <w:t xml:space="preserve">فهذا يوجب التغاير بين الموضوع والمحمول من حيث اضافتهما الى اللفظ الدال </w:t>
      </w:r>
      <w:r w:rsidR="0097338E" w:rsidRPr="00FD211F">
        <w:rPr>
          <w:sz w:val="36"/>
          <w:szCs w:val="36"/>
          <w:rtl/>
        </w:rPr>
        <w:t>عليهما</w:t>
      </w:r>
      <w:r w:rsidR="00603323" w:rsidRPr="00FD211F">
        <w:rPr>
          <w:sz w:val="36"/>
          <w:szCs w:val="36"/>
          <w:rtl/>
        </w:rPr>
        <w:t xml:space="preserve">، </w:t>
      </w:r>
      <w:r w:rsidR="0097338E" w:rsidRPr="00FD211F">
        <w:rPr>
          <w:sz w:val="36"/>
          <w:szCs w:val="36"/>
          <w:rtl/>
        </w:rPr>
        <w:t>فيصح ان يقال "</w:t>
      </w:r>
      <w:r w:rsidRPr="00FD211F">
        <w:rPr>
          <w:sz w:val="36"/>
          <w:szCs w:val="36"/>
          <w:rtl/>
        </w:rPr>
        <w:t>الجلوس قعود</w:t>
      </w:r>
      <w:r w:rsidR="0097338E" w:rsidRPr="00FD211F">
        <w:rPr>
          <w:sz w:val="36"/>
          <w:szCs w:val="36"/>
          <w:rtl/>
        </w:rPr>
        <w:t>"</w:t>
      </w:r>
      <w:r w:rsidRPr="00FD211F">
        <w:rPr>
          <w:sz w:val="36"/>
          <w:szCs w:val="36"/>
          <w:rtl/>
        </w:rPr>
        <w:t xml:space="preserve"> و</w:t>
      </w:r>
      <w:r w:rsidR="0097338E" w:rsidRPr="00FD211F">
        <w:rPr>
          <w:sz w:val="36"/>
          <w:szCs w:val="36"/>
          <w:rtl/>
        </w:rPr>
        <w:t>"</w:t>
      </w:r>
      <w:r w:rsidRPr="00FD211F">
        <w:rPr>
          <w:sz w:val="36"/>
          <w:szCs w:val="36"/>
          <w:rtl/>
        </w:rPr>
        <w:t>البشر انسان</w:t>
      </w:r>
      <w:r w:rsidR="0097338E" w:rsidRPr="00FD211F">
        <w:rPr>
          <w:sz w:val="36"/>
          <w:szCs w:val="36"/>
          <w:rtl/>
        </w:rPr>
        <w:t>"</w:t>
      </w:r>
      <w:r w:rsidR="00603323" w:rsidRPr="00FD211F">
        <w:rPr>
          <w:sz w:val="36"/>
          <w:szCs w:val="36"/>
          <w:rtl/>
        </w:rPr>
        <w:t xml:space="preserve">، </w:t>
      </w:r>
      <w:r w:rsidRPr="00FD211F">
        <w:rPr>
          <w:sz w:val="36"/>
          <w:szCs w:val="36"/>
          <w:rtl/>
        </w:rPr>
        <w:t>اي ان مفهوم الجلوس هو مفهوم القعود ومفهوم البشر هو مفهوم الانسان.</w:t>
      </w:r>
    </w:p>
    <w:p w14:paraId="5A4B0701" w14:textId="77777777" w:rsidR="00215812" w:rsidRPr="00FD211F" w:rsidRDefault="00637409" w:rsidP="005946E3">
      <w:pPr>
        <w:pStyle w:val="a4"/>
        <w:ind w:left="0" w:firstLine="227"/>
        <w:jc w:val="both"/>
        <w:rPr>
          <w:sz w:val="36"/>
          <w:szCs w:val="36"/>
          <w:rtl/>
        </w:rPr>
      </w:pPr>
      <w:r w:rsidRPr="00FD211F">
        <w:rPr>
          <w:sz w:val="36"/>
          <w:szCs w:val="36"/>
          <w:rtl/>
        </w:rPr>
        <w:t>2-</w:t>
      </w:r>
      <w:r w:rsidR="003F1B97" w:rsidRPr="00FD211F">
        <w:rPr>
          <w:sz w:val="36"/>
          <w:szCs w:val="36"/>
          <w:rtl/>
        </w:rPr>
        <w:t>ما</w:t>
      </w:r>
      <w:r w:rsidR="00052BF2" w:rsidRPr="00FD211F">
        <w:rPr>
          <w:sz w:val="36"/>
          <w:szCs w:val="36"/>
          <w:rtl/>
        </w:rPr>
        <w:t xml:space="preserve"> ذكر</w:t>
      </w:r>
      <w:r w:rsidR="003F1B97" w:rsidRPr="00FD211F">
        <w:rPr>
          <w:sz w:val="36"/>
          <w:szCs w:val="36"/>
          <w:rtl/>
        </w:rPr>
        <w:t>ه</w:t>
      </w:r>
      <w:r w:rsidR="00052BF2" w:rsidRPr="00FD211F">
        <w:rPr>
          <w:sz w:val="36"/>
          <w:szCs w:val="36"/>
          <w:rtl/>
        </w:rPr>
        <w:t xml:space="preserve"> المحقق العراقي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00D610D8" w:rsidRPr="00FD211F">
        <w:rPr>
          <w:sz w:val="36"/>
          <w:szCs w:val="36"/>
          <w:rtl/>
        </w:rPr>
        <w:t>أن المدار في الحقيق</w:t>
      </w:r>
      <w:r w:rsidR="00EC7EDF" w:rsidRPr="00FD211F">
        <w:rPr>
          <w:sz w:val="36"/>
          <w:szCs w:val="36"/>
          <w:rtl/>
        </w:rPr>
        <w:t xml:space="preserve">ة </w:t>
      </w:r>
      <w:r w:rsidR="00D610D8" w:rsidRPr="00FD211F">
        <w:rPr>
          <w:sz w:val="36"/>
          <w:szCs w:val="36"/>
          <w:rtl/>
        </w:rPr>
        <w:t>انما هو على وحد</w:t>
      </w:r>
      <w:r w:rsidR="00EC7EDF" w:rsidRPr="00FD211F">
        <w:rPr>
          <w:sz w:val="36"/>
          <w:szCs w:val="36"/>
          <w:rtl/>
        </w:rPr>
        <w:t xml:space="preserve">ة </w:t>
      </w:r>
      <w:r w:rsidR="00D610D8" w:rsidRPr="00FD211F">
        <w:rPr>
          <w:sz w:val="36"/>
          <w:szCs w:val="36"/>
          <w:rtl/>
        </w:rPr>
        <w:t>المفهوم</w:t>
      </w:r>
      <w:r w:rsidR="00B253CE" w:rsidRPr="00FD211F">
        <w:rPr>
          <w:sz w:val="36"/>
          <w:szCs w:val="36"/>
          <w:rtl/>
        </w:rPr>
        <w:t xml:space="preserve"> </w:t>
      </w:r>
      <w:r w:rsidR="00D610D8" w:rsidRPr="00FD211F">
        <w:rPr>
          <w:sz w:val="36"/>
          <w:szCs w:val="36"/>
          <w:rtl/>
        </w:rPr>
        <w:t>كما في الإنسان</w:t>
      </w:r>
      <w:r w:rsidR="00EC7EDF" w:rsidRPr="00FD211F">
        <w:rPr>
          <w:sz w:val="36"/>
          <w:szCs w:val="36"/>
          <w:rtl/>
        </w:rPr>
        <w:t xml:space="preserve"> و</w:t>
      </w:r>
      <w:r w:rsidR="00D610D8" w:rsidRPr="00FD211F">
        <w:rPr>
          <w:sz w:val="36"/>
          <w:szCs w:val="36"/>
          <w:rtl/>
        </w:rPr>
        <w:t>البشر</w:t>
      </w:r>
      <w:r w:rsidR="00603323" w:rsidRPr="00FD211F">
        <w:rPr>
          <w:sz w:val="36"/>
          <w:szCs w:val="36"/>
          <w:rtl/>
        </w:rPr>
        <w:t xml:space="preserve">، </w:t>
      </w:r>
      <w:r w:rsidR="00EC7EDF" w:rsidRPr="00FD211F">
        <w:rPr>
          <w:sz w:val="36"/>
          <w:szCs w:val="36"/>
          <w:rtl/>
        </w:rPr>
        <w:t>و</w:t>
      </w:r>
      <w:r w:rsidR="00D610D8" w:rsidRPr="00FD211F">
        <w:rPr>
          <w:sz w:val="36"/>
          <w:szCs w:val="36"/>
          <w:rtl/>
        </w:rPr>
        <w:t>صح</w:t>
      </w:r>
      <w:r w:rsidR="00EC7EDF" w:rsidRPr="00FD211F">
        <w:rPr>
          <w:sz w:val="36"/>
          <w:szCs w:val="36"/>
          <w:rtl/>
        </w:rPr>
        <w:t xml:space="preserve">ة </w:t>
      </w:r>
      <w:r w:rsidR="00D610D8" w:rsidRPr="00FD211F">
        <w:rPr>
          <w:sz w:val="36"/>
          <w:szCs w:val="36"/>
          <w:rtl/>
        </w:rPr>
        <w:t>الحمل الاولي لا تقتضي وحد</w:t>
      </w:r>
      <w:r w:rsidR="00EC7EDF" w:rsidRPr="00FD211F">
        <w:rPr>
          <w:sz w:val="36"/>
          <w:szCs w:val="36"/>
          <w:rtl/>
        </w:rPr>
        <w:t xml:space="preserve">ة </w:t>
      </w:r>
      <w:r w:rsidR="00D610D8" w:rsidRPr="00FD211F">
        <w:rPr>
          <w:sz w:val="36"/>
          <w:szCs w:val="36"/>
          <w:rtl/>
        </w:rPr>
        <w:t xml:space="preserve">المفهوم </w:t>
      </w:r>
      <w:r w:rsidR="00022130">
        <w:rPr>
          <w:sz w:val="36"/>
          <w:szCs w:val="36"/>
          <w:rtl/>
        </w:rPr>
        <w:t>بنح</w:t>
      </w:r>
      <w:r w:rsidR="00022130">
        <w:rPr>
          <w:rFonts w:hint="cs"/>
          <w:sz w:val="36"/>
          <w:szCs w:val="36"/>
          <w:rtl/>
        </w:rPr>
        <w:t>و</w:t>
      </w:r>
      <w:r w:rsidR="00183852" w:rsidRPr="00FD211F">
        <w:rPr>
          <w:sz w:val="36"/>
          <w:szCs w:val="36"/>
          <w:rtl/>
        </w:rPr>
        <w:t xml:space="preserve"> توجب </w:t>
      </w:r>
      <w:r w:rsidR="00D610D8" w:rsidRPr="00FD211F">
        <w:rPr>
          <w:sz w:val="36"/>
          <w:szCs w:val="36"/>
          <w:rtl/>
        </w:rPr>
        <w:t>صح</w:t>
      </w:r>
      <w:r w:rsidR="00EC7EDF" w:rsidRPr="00FD211F">
        <w:rPr>
          <w:sz w:val="36"/>
          <w:szCs w:val="36"/>
          <w:rtl/>
        </w:rPr>
        <w:t xml:space="preserve">ة </w:t>
      </w:r>
      <w:r w:rsidR="00D610D8" w:rsidRPr="00FD211F">
        <w:rPr>
          <w:sz w:val="36"/>
          <w:szCs w:val="36"/>
          <w:rtl/>
        </w:rPr>
        <w:t>استعمال أحد اللفظين في الآخر بنحو الحقيق</w:t>
      </w:r>
      <w:r w:rsidR="00EC7EDF" w:rsidRPr="00FD211F">
        <w:rPr>
          <w:sz w:val="36"/>
          <w:szCs w:val="36"/>
          <w:rtl/>
        </w:rPr>
        <w:t>ة</w:t>
      </w:r>
      <w:r w:rsidR="00603323" w:rsidRPr="00FD211F">
        <w:rPr>
          <w:sz w:val="36"/>
          <w:szCs w:val="36"/>
          <w:rtl/>
        </w:rPr>
        <w:t xml:space="preserve">، </w:t>
      </w:r>
      <w:r w:rsidR="00D610D8" w:rsidRPr="00FD211F">
        <w:rPr>
          <w:sz w:val="36"/>
          <w:szCs w:val="36"/>
          <w:rtl/>
        </w:rPr>
        <w:t>لأنه يكفى في صح</w:t>
      </w:r>
      <w:r w:rsidR="00EC7EDF" w:rsidRPr="00FD211F">
        <w:rPr>
          <w:sz w:val="36"/>
          <w:szCs w:val="36"/>
          <w:rtl/>
        </w:rPr>
        <w:t xml:space="preserve">ة </w:t>
      </w:r>
      <w:r w:rsidR="00D610D8" w:rsidRPr="00FD211F">
        <w:rPr>
          <w:sz w:val="36"/>
          <w:szCs w:val="36"/>
          <w:rtl/>
        </w:rPr>
        <w:t>الحمل الاولي</w:t>
      </w:r>
      <w:r w:rsidR="00B253CE" w:rsidRPr="00FD211F">
        <w:rPr>
          <w:sz w:val="36"/>
          <w:szCs w:val="36"/>
          <w:rtl/>
        </w:rPr>
        <w:t xml:space="preserve"> </w:t>
      </w:r>
      <w:r w:rsidR="00D610D8" w:rsidRPr="00FD211F">
        <w:rPr>
          <w:sz w:val="36"/>
          <w:szCs w:val="36"/>
          <w:rtl/>
        </w:rPr>
        <w:t>مجرّد الاتّحاد ذاتا</w:t>
      </w:r>
      <w:r w:rsidR="00EC7EDF" w:rsidRPr="00FD211F">
        <w:rPr>
          <w:sz w:val="36"/>
          <w:szCs w:val="36"/>
          <w:rtl/>
        </w:rPr>
        <w:t xml:space="preserve"> و</w:t>
      </w:r>
      <w:r w:rsidR="00D610D8" w:rsidRPr="00FD211F">
        <w:rPr>
          <w:sz w:val="36"/>
          <w:szCs w:val="36"/>
          <w:rtl/>
        </w:rPr>
        <w:t>ان اختلفا في حدود المفهوم</w:t>
      </w:r>
      <w:r w:rsidR="00603323" w:rsidRPr="00FD211F">
        <w:rPr>
          <w:sz w:val="36"/>
          <w:szCs w:val="36"/>
          <w:rtl/>
        </w:rPr>
        <w:t xml:space="preserve">، </w:t>
      </w:r>
      <w:r w:rsidR="00D610D8" w:rsidRPr="00FD211F">
        <w:rPr>
          <w:sz w:val="36"/>
          <w:szCs w:val="36"/>
          <w:rtl/>
        </w:rPr>
        <w:t>مثل قولهم "الانسان حيوان ناطق"</w:t>
      </w:r>
      <w:r w:rsidR="00603323" w:rsidRPr="00FD211F">
        <w:rPr>
          <w:sz w:val="36"/>
          <w:szCs w:val="36"/>
          <w:rtl/>
        </w:rPr>
        <w:t xml:space="preserve">، </w:t>
      </w:r>
      <w:r w:rsidR="00215812" w:rsidRPr="00FD211F">
        <w:rPr>
          <w:sz w:val="36"/>
          <w:szCs w:val="36"/>
          <w:rtl/>
        </w:rPr>
        <w:t>فانه وان صح</w:t>
      </w:r>
      <w:r w:rsidR="00D610D8" w:rsidRPr="00FD211F">
        <w:rPr>
          <w:sz w:val="36"/>
          <w:szCs w:val="36"/>
          <w:rtl/>
        </w:rPr>
        <w:t xml:space="preserve"> الحمل الاولى</w:t>
      </w:r>
      <w:r w:rsidR="00215812" w:rsidRPr="00FD211F">
        <w:rPr>
          <w:sz w:val="36"/>
          <w:szCs w:val="36"/>
          <w:rtl/>
        </w:rPr>
        <w:t xml:space="preserve"> بينهما</w:t>
      </w:r>
      <w:r w:rsidR="00D610D8" w:rsidRPr="00FD211F">
        <w:rPr>
          <w:sz w:val="36"/>
          <w:szCs w:val="36"/>
          <w:rtl/>
        </w:rPr>
        <w:t xml:space="preserve"> ولكنهما</w:t>
      </w:r>
      <w:r w:rsidR="00022130">
        <w:rPr>
          <w:rFonts w:hint="cs"/>
          <w:sz w:val="36"/>
          <w:szCs w:val="36"/>
          <w:rtl/>
        </w:rPr>
        <w:t xml:space="preserve"> </w:t>
      </w:r>
      <w:r w:rsidR="00215812" w:rsidRPr="00FD211F">
        <w:rPr>
          <w:sz w:val="36"/>
          <w:szCs w:val="36"/>
          <w:rtl/>
        </w:rPr>
        <w:t>م</w:t>
      </w:r>
      <w:r w:rsidR="00D610D8" w:rsidRPr="00FD211F">
        <w:rPr>
          <w:sz w:val="36"/>
          <w:szCs w:val="36"/>
          <w:rtl/>
        </w:rPr>
        <w:t>تغاير</w:t>
      </w:r>
      <w:r w:rsidR="00215812" w:rsidRPr="00FD211F">
        <w:rPr>
          <w:sz w:val="36"/>
          <w:szCs w:val="36"/>
          <w:rtl/>
        </w:rPr>
        <w:t>ان</w:t>
      </w:r>
      <w:r w:rsidR="00D610D8" w:rsidRPr="00FD211F">
        <w:rPr>
          <w:sz w:val="36"/>
          <w:szCs w:val="36"/>
          <w:rtl/>
        </w:rPr>
        <w:t xml:space="preserve"> بالإجمال والتفصيل</w:t>
      </w:r>
      <w:r w:rsidR="00603323" w:rsidRPr="00FD211F">
        <w:rPr>
          <w:sz w:val="36"/>
          <w:szCs w:val="36"/>
          <w:rtl/>
        </w:rPr>
        <w:t xml:space="preserve">، </w:t>
      </w:r>
      <w:r w:rsidR="00D610D8" w:rsidRPr="00FD211F">
        <w:rPr>
          <w:sz w:val="36"/>
          <w:szCs w:val="36"/>
          <w:rtl/>
        </w:rPr>
        <w:t>فكيف يفرض وحد</w:t>
      </w:r>
      <w:r w:rsidR="00EC7EDF" w:rsidRPr="00FD211F">
        <w:rPr>
          <w:sz w:val="36"/>
          <w:szCs w:val="36"/>
          <w:rtl/>
        </w:rPr>
        <w:t xml:space="preserve">ة </w:t>
      </w:r>
      <w:r w:rsidR="00D610D8" w:rsidRPr="00FD211F">
        <w:rPr>
          <w:sz w:val="36"/>
          <w:szCs w:val="36"/>
          <w:rtl/>
        </w:rPr>
        <w:t>مفهومهما</w:t>
      </w:r>
      <w:r w:rsidR="009C58C8" w:rsidRPr="00FD211F">
        <w:rPr>
          <w:rStyle w:val="a6"/>
          <w:sz w:val="36"/>
          <w:szCs w:val="36"/>
          <w:rtl/>
        </w:rPr>
        <w:t>(</w:t>
      </w:r>
      <w:r w:rsidR="009C58C8" w:rsidRPr="00FD211F">
        <w:rPr>
          <w:rStyle w:val="a6"/>
          <w:sz w:val="36"/>
          <w:szCs w:val="36"/>
          <w:rtl/>
        </w:rPr>
        <w:footnoteReference w:id="312"/>
      </w:r>
      <w:r w:rsidR="009C58C8" w:rsidRPr="00FD211F">
        <w:rPr>
          <w:rStyle w:val="a6"/>
          <w:sz w:val="36"/>
          <w:szCs w:val="36"/>
          <w:rtl/>
        </w:rPr>
        <w:t>)</w:t>
      </w:r>
      <w:r w:rsidR="00215812" w:rsidRPr="00FD211F">
        <w:rPr>
          <w:sz w:val="36"/>
          <w:szCs w:val="36"/>
          <w:rtl/>
        </w:rPr>
        <w:t>.</w:t>
      </w:r>
    </w:p>
    <w:p w14:paraId="0B58A222" w14:textId="77777777" w:rsidR="00052BF2" w:rsidRPr="00FD211F" w:rsidRDefault="00D610D8" w:rsidP="009C58C8">
      <w:pPr>
        <w:pStyle w:val="a4"/>
        <w:ind w:left="0" w:firstLine="227"/>
        <w:jc w:val="both"/>
        <w:rPr>
          <w:sz w:val="36"/>
          <w:szCs w:val="36"/>
          <w:rtl/>
        </w:rPr>
      </w:pPr>
      <w:r w:rsidRPr="00FD211F">
        <w:rPr>
          <w:sz w:val="36"/>
          <w:szCs w:val="36"/>
          <w:rtl/>
        </w:rPr>
        <w:t xml:space="preserve">ويلاحظ عليه: ان المراد </w:t>
      </w:r>
      <w:r w:rsidR="00215812" w:rsidRPr="00FD211F">
        <w:rPr>
          <w:sz w:val="36"/>
          <w:szCs w:val="36"/>
          <w:rtl/>
        </w:rPr>
        <w:t>من علامي</w:t>
      </w:r>
      <w:r w:rsidR="00EC7EDF" w:rsidRPr="00FD211F">
        <w:rPr>
          <w:sz w:val="36"/>
          <w:szCs w:val="36"/>
          <w:rtl/>
        </w:rPr>
        <w:t xml:space="preserve">ة </w:t>
      </w:r>
      <w:r w:rsidR="00215812" w:rsidRPr="00FD211F">
        <w:rPr>
          <w:sz w:val="36"/>
          <w:szCs w:val="36"/>
          <w:rtl/>
        </w:rPr>
        <w:t>صح</w:t>
      </w:r>
      <w:r w:rsidR="00EC7EDF" w:rsidRPr="00FD211F">
        <w:rPr>
          <w:sz w:val="36"/>
          <w:szCs w:val="36"/>
          <w:rtl/>
        </w:rPr>
        <w:t xml:space="preserve">ة </w:t>
      </w:r>
      <w:r w:rsidR="00215812" w:rsidRPr="00FD211F">
        <w:rPr>
          <w:sz w:val="36"/>
          <w:szCs w:val="36"/>
          <w:rtl/>
        </w:rPr>
        <w:t xml:space="preserve">الحمل الاولي </w:t>
      </w:r>
      <w:r w:rsidR="00965CAB" w:rsidRPr="00FD211F">
        <w:rPr>
          <w:sz w:val="36"/>
          <w:szCs w:val="36"/>
          <w:rtl/>
        </w:rPr>
        <w:t xml:space="preserve">بين مفهومين </w:t>
      </w:r>
      <w:r w:rsidR="00215812" w:rsidRPr="00FD211F">
        <w:rPr>
          <w:sz w:val="36"/>
          <w:szCs w:val="36"/>
          <w:rtl/>
        </w:rPr>
        <w:t>احراز</w:t>
      </w:r>
      <w:r w:rsidR="00965CAB" w:rsidRPr="00FD211F">
        <w:rPr>
          <w:sz w:val="36"/>
          <w:szCs w:val="36"/>
          <w:rtl/>
        </w:rPr>
        <w:t>وحدتهما</w:t>
      </w:r>
      <w:r w:rsidRPr="00FD211F">
        <w:rPr>
          <w:sz w:val="36"/>
          <w:szCs w:val="36"/>
          <w:rtl/>
        </w:rPr>
        <w:t xml:space="preserve"> ذات</w:t>
      </w:r>
      <w:r w:rsidR="00965CAB" w:rsidRPr="00FD211F">
        <w:rPr>
          <w:sz w:val="36"/>
          <w:szCs w:val="36"/>
          <w:rtl/>
        </w:rPr>
        <w:t>ا</w:t>
      </w:r>
      <w:r w:rsidRPr="00FD211F">
        <w:rPr>
          <w:sz w:val="36"/>
          <w:szCs w:val="36"/>
          <w:rtl/>
        </w:rPr>
        <w:t xml:space="preserve"> مع غمض العين عن خصوصي</w:t>
      </w:r>
      <w:r w:rsidR="00EC7EDF" w:rsidRPr="00FD211F">
        <w:rPr>
          <w:sz w:val="36"/>
          <w:szCs w:val="36"/>
          <w:rtl/>
        </w:rPr>
        <w:t xml:space="preserve">ة </w:t>
      </w:r>
      <w:r w:rsidRPr="00FD211F">
        <w:rPr>
          <w:sz w:val="36"/>
          <w:szCs w:val="36"/>
          <w:rtl/>
        </w:rPr>
        <w:t>الاجمال والتفصيل</w:t>
      </w:r>
      <w:r w:rsidR="00EC7EDF" w:rsidRPr="00FD211F">
        <w:rPr>
          <w:sz w:val="36"/>
          <w:szCs w:val="36"/>
          <w:rtl/>
        </w:rPr>
        <w:t>.</w:t>
      </w:r>
      <w:r w:rsidR="00637409" w:rsidRPr="00FD211F">
        <w:rPr>
          <w:sz w:val="36"/>
          <w:szCs w:val="36"/>
          <w:rtl/>
        </w:rPr>
        <w:t xml:space="preserve"> </w:t>
      </w:r>
    </w:p>
    <w:p w14:paraId="6250B3FD" w14:textId="77777777" w:rsidR="00965CAB" w:rsidRPr="00FD211F" w:rsidRDefault="0097338E" w:rsidP="009C58C8">
      <w:pPr>
        <w:ind w:left="0" w:firstLine="227"/>
        <w:jc w:val="both"/>
        <w:rPr>
          <w:sz w:val="36"/>
          <w:szCs w:val="36"/>
          <w:rtl/>
        </w:rPr>
      </w:pPr>
      <w:r w:rsidRPr="00FD211F">
        <w:rPr>
          <w:sz w:val="36"/>
          <w:szCs w:val="36"/>
          <w:rtl/>
        </w:rPr>
        <w:t xml:space="preserve">هذا كله بلحاظ الاشكال </w:t>
      </w:r>
      <w:r w:rsidR="00A81FB3" w:rsidRPr="00FD211F">
        <w:rPr>
          <w:sz w:val="36"/>
          <w:szCs w:val="36"/>
          <w:rtl/>
        </w:rPr>
        <w:t>ف</w:t>
      </w:r>
      <w:r w:rsidR="00D24E79" w:rsidRPr="00FD211F">
        <w:rPr>
          <w:sz w:val="36"/>
          <w:szCs w:val="36"/>
          <w:rtl/>
        </w:rPr>
        <w:t>ي علامي</w:t>
      </w:r>
      <w:r w:rsidR="00EC7EDF" w:rsidRPr="00FD211F">
        <w:rPr>
          <w:sz w:val="36"/>
          <w:szCs w:val="36"/>
          <w:rtl/>
        </w:rPr>
        <w:t xml:space="preserve">ة </w:t>
      </w:r>
      <w:r w:rsidR="00D24E79" w:rsidRPr="00FD211F">
        <w:rPr>
          <w:sz w:val="36"/>
          <w:szCs w:val="36"/>
          <w:rtl/>
        </w:rPr>
        <w:t>صح</w:t>
      </w:r>
      <w:r w:rsidR="00EC7EDF" w:rsidRPr="00FD211F">
        <w:rPr>
          <w:sz w:val="36"/>
          <w:szCs w:val="36"/>
          <w:rtl/>
        </w:rPr>
        <w:t xml:space="preserve">ة </w:t>
      </w:r>
      <w:r w:rsidR="00D24E79" w:rsidRPr="00FD211F">
        <w:rPr>
          <w:sz w:val="36"/>
          <w:szCs w:val="36"/>
          <w:rtl/>
        </w:rPr>
        <w:t>الحمل الاولي</w:t>
      </w:r>
      <w:r w:rsidR="00965CAB" w:rsidRPr="00FD211F">
        <w:rPr>
          <w:sz w:val="36"/>
          <w:szCs w:val="36"/>
          <w:rtl/>
        </w:rPr>
        <w:t>.</w:t>
      </w:r>
      <w:r w:rsidR="00D24E79" w:rsidRPr="00FD211F">
        <w:rPr>
          <w:sz w:val="36"/>
          <w:szCs w:val="36"/>
          <w:rtl/>
        </w:rPr>
        <w:t xml:space="preserve"> </w:t>
      </w:r>
    </w:p>
    <w:p w14:paraId="4D15CF3F" w14:textId="77777777" w:rsidR="000C5BBA" w:rsidRPr="00FD211F" w:rsidRDefault="00052BF2" w:rsidP="009C58C8">
      <w:pPr>
        <w:ind w:left="0" w:firstLine="227"/>
        <w:jc w:val="both"/>
        <w:rPr>
          <w:sz w:val="36"/>
          <w:szCs w:val="36"/>
          <w:rtl/>
        </w:rPr>
      </w:pPr>
      <w:r w:rsidRPr="00FD211F">
        <w:rPr>
          <w:sz w:val="36"/>
          <w:szCs w:val="36"/>
          <w:rtl/>
        </w:rPr>
        <w:t>أما الاشكال في علامي</w:t>
      </w:r>
      <w:r w:rsidR="00EC7EDF" w:rsidRPr="00FD211F">
        <w:rPr>
          <w:sz w:val="36"/>
          <w:szCs w:val="36"/>
          <w:rtl/>
        </w:rPr>
        <w:t xml:space="preserve">ة </w:t>
      </w:r>
      <w:r w:rsidRPr="00FD211F">
        <w:rPr>
          <w:sz w:val="36"/>
          <w:szCs w:val="36"/>
          <w:rtl/>
        </w:rPr>
        <w:t>صح</w:t>
      </w:r>
      <w:r w:rsidR="00EC7EDF" w:rsidRPr="00FD211F">
        <w:rPr>
          <w:sz w:val="36"/>
          <w:szCs w:val="36"/>
          <w:rtl/>
        </w:rPr>
        <w:t xml:space="preserve">ة </w:t>
      </w:r>
      <w:r w:rsidRPr="00FD211F">
        <w:rPr>
          <w:sz w:val="36"/>
          <w:szCs w:val="36"/>
          <w:rtl/>
        </w:rPr>
        <w:t>الحمل الشايع ف</w:t>
      </w:r>
      <w:r w:rsidR="00965CAB" w:rsidRPr="00FD211F">
        <w:rPr>
          <w:sz w:val="36"/>
          <w:szCs w:val="36"/>
          <w:rtl/>
        </w:rPr>
        <w:t>هو ما</w:t>
      </w:r>
      <w:r w:rsidR="004317A3" w:rsidRPr="00FD211F">
        <w:rPr>
          <w:sz w:val="36"/>
          <w:szCs w:val="36"/>
          <w:rtl/>
        </w:rPr>
        <w:t xml:space="preserve"> </w:t>
      </w:r>
      <w:r w:rsidR="00965CAB" w:rsidRPr="00FD211F">
        <w:rPr>
          <w:sz w:val="36"/>
          <w:szCs w:val="36"/>
          <w:rtl/>
        </w:rPr>
        <w:t>ذكره المحقق العراقي "قده"</w:t>
      </w:r>
      <w:r w:rsidR="004317A3" w:rsidRPr="00FD211F">
        <w:rPr>
          <w:sz w:val="36"/>
          <w:szCs w:val="36"/>
          <w:rtl/>
        </w:rPr>
        <w:t xml:space="preserve"> </w:t>
      </w:r>
      <w:r w:rsidR="00965CAB" w:rsidRPr="00FD211F">
        <w:rPr>
          <w:sz w:val="36"/>
          <w:szCs w:val="36"/>
          <w:rtl/>
        </w:rPr>
        <w:t xml:space="preserve">من </w:t>
      </w:r>
      <w:r w:rsidR="001D5EF1" w:rsidRPr="00FD211F">
        <w:rPr>
          <w:sz w:val="36"/>
          <w:szCs w:val="36"/>
          <w:rtl/>
        </w:rPr>
        <w:t>أن ملاك الحمل الشائ</w:t>
      </w:r>
      <w:r w:rsidRPr="00FD211F">
        <w:rPr>
          <w:sz w:val="36"/>
          <w:szCs w:val="36"/>
          <w:rtl/>
        </w:rPr>
        <w:t>ع هو الوحد</w:t>
      </w:r>
      <w:r w:rsidR="00EC7EDF" w:rsidRPr="00FD211F">
        <w:rPr>
          <w:sz w:val="36"/>
          <w:szCs w:val="36"/>
          <w:rtl/>
        </w:rPr>
        <w:t xml:space="preserve">ة </w:t>
      </w:r>
      <w:r w:rsidRPr="00FD211F">
        <w:rPr>
          <w:sz w:val="36"/>
          <w:szCs w:val="36"/>
          <w:rtl/>
        </w:rPr>
        <w:t>الوجودي</w:t>
      </w:r>
      <w:r w:rsidR="00EC7EDF" w:rsidRPr="00FD211F">
        <w:rPr>
          <w:sz w:val="36"/>
          <w:szCs w:val="36"/>
          <w:rtl/>
        </w:rPr>
        <w:t xml:space="preserve">ة </w:t>
      </w:r>
      <w:r w:rsidRPr="00FD211F">
        <w:rPr>
          <w:sz w:val="36"/>
          <w:szCs w:val="36"/>
          <w:rtl/>
        </w:rPr>
        <w:t>بين الموضوع والمحمول</w:t>
      </w:r>
      <w:r w:rsidR="00603323" w:rsidRPr="00FD211F">
        <w:rPr>
          <w:sz w:val="36"/>
          <w:szCs w:val="36"/>
          <w:rtl/>
        </w:rPr>
        <w:t xml:space="preserve">، </w:t>
      </w:r>
      <w:r w:rsidRPr="00FD211F">
        <w:rPr>
          <w:sz w:val="36"/>
          <w:szCs w:val="36"/>
          <w:rtl/>
        </w:rPr>
        <w:t>فلاتكشف عن المعنى الموضوع له للفظ</w:t>
      </w:r>
      <w:r w:rsidR="00603323" w:rsidRPr="00FD211F">
        <w:rPr>
          <w:sz w:val="36"/>
          <w:szCs w:val="36"/>
          <w:rtl/>
        </w:rPr>
        <w:t xml:space="preserve">، </w:t>
      </w:r>
      <w:r w:rsidRPr="00FD211F">
        <w:rPr>
          <w:sz w:val="36"/>
          <w:szCs w:val="36"/>
          <w:rtl/>
        </w:rPr>
        <w:t>ويشهد على ذلك صح</w:t>
      </w:r>
      <w:r w:rsidR="00EC7EDF" w:rsidRPr="00FD211F">
        <w:rPr>
          <w:sz w:val="36"/>
          <w:szCs w:val="36"/>
          <w:rtl/>
        </w:rPr>
        <w:t xml:space="preserve">ة </w:t>
      </w:r>
      <w:r w:rsidRPr="00FD211F">
        <w:rPr>
          <w:sz w:val="36"/>
          <w:szCs w:val="36"/>
          <w:rtl/>
        </w:rPr>
        <w:t xml:space="preserve">حمل الجنس على الفصل كما في قولنا </w:t>
      </w:r>
      <w:r w:rsidR="0097338E" w:rsidRPr="00FD211F">
        <w:rPr>
          <w:sz w:val="36"/>
          <w:szCs w:val="36"/>
          <w:rtl/>
        </w:rPr>
        <w:t>"</w:t>
      </w:r>
      <w:r w:rsidRPr="00FD211F">
        <w:rPr>
          <w:sz w:val="36"/>
          <w:szCs w:val="36"/>
          <w:rtl/>
        </w:rPr>
        <w:t>الناطق حيوان</w:t>
      </w:r>
      <w:r w:rsidR="0097338E" w:rsidRPr="00FD211F">
        <w:rPr>
          <w:sz w:val="36"/>
          <w:szCs w:val="36"/>
          <w:rtl/>
        </w:rPr>
        <w:t>"</w:t>
      </w:r>
      <w:r w:rsidR="00603323" w:rsidRPr="00FD211F">
        <w:rPr>
          <w:sz w:val="36"/>
          <w:szCs w:val="36"/>
          <w:rtl/>
        </w:rPr>
        <w:t xml:space="preserve">، </w:t>
      </w:r>
      <w:r w:rsidRPr="00FD211F">
        <w:rPr>
          <w:sz w:val="36"/>
          <w:szCs w:val="36"/>
          <w:rtl/>
        </w:rPr>
        <w:t>ولكنه لاينكشف به مفهوم الحيوان ولا اشتمال معنى الناطق له ابدا</w:t>
      </w:r>
      <w:r w:rsidR="00603323" w:rsidRPr="00FD211F">
        <w:rPr>
          <w:sz w:val="36"/>
          <w:szCs w:val="36"/>
          <w:rtl/>
        </w:rPr>
        <w:t xml:space="preserve">، </w:t>
      </w:r>
      <w:r w:rsidRPr="00FD211F">
        <w:rPr>
          <w:sz w:val="36"/>
          <w:szCs w:val="36"/>
          <w:rtl/>
        </w:rPr>
        <w:t>اذ الجنس ليس داخلا في مفهوم الفصل</w:t>
      </w:r>
      <w:r w:rsidR="00603323" w:rsidRPr="00FD211F">
        <w:rPr>
          <w:sz w:val="36"/>
          <w:szCs w:val="36"/>
          <w:rtl/>
        </w:rPr>
        <w:t xml:space="preserve">، </w:t>
      </w:r>
      <w:r w:rsidRPr="00FD211F">
        <w:rPr>
          <w:sz w:val="36"/>
          <w:szCs w:val="36"/>
          <w:rtl/>
        </w:rPr>
        <w:t xml:space="preserve">وكذا لو كان الموضوع والمحمول عرضيين كما في قولنا </w:t>
      </w:r>
      <w:r w:rsidR="0097338E" w:rsidRPr="00FD211F">
        <w:rPr>
          <w:sz w:val="36"/>
          <w:szCs w:val="36"/>
          <w:rtl/>
        </w:rPr>
        <w:t>"</w:t>
      </w:r>
      <w:r w:rsidRPr="00FD211F">
        <w:rPr>
          <w:sz w:val="36"/>
          <w:szCs w:val="36"/>
          <w:rtl/>
        </w:rPr>
        <w:t>الضاحك متعجب</w:t>
      </w:r>
      <w:r w:rsidR="0097338E" w:rsidRPr="00FD211F">
        <w:rPr>
          <w:sz w:val="36"/>
          <w:szCs w:val="36"/>
          <w:rtl/>
        </w:rPr>
        <w:t>"</w:t>
      </w:r>
      <w:r w:rsidR="00603323" w:rsidRPr="00FD211F">
        <w:rPr>
          <w:sz w:val="36"/>
          <w:szCs w:val="36"/>
          <w:rtl/>
        </w:rPr>
        <w:t xml:space="preserve">، </w:t>
      </w:r>
      <w:r w:rsidRPr="00FD211F">
        <w:rPr>
          <w:sz w:val="36"/>
          <w:szCs w:val="36"/>
          <w:rtl/>
        </w:rPr>
        <w:t xml:space="preserve">او كان احدهما عرضيا كما في قولنا </w:t>
      </w:r>
      <w:r w:rsidR="0097338E" w:rsidRPr="00FD211F">
        <w:rPr>
          <w:sz w:val="36"/>
          <w:szCs w:val="36"/>
          <w:rtl/>
        </w:rPr>
        <w:t>"</w:t>
      </w:r>
      <w:r w:rsidRPr="00FD211F">
        <w:rPr>
          <w:sz w:val="36"/>
          <w:szCs w:val="36"/>
          <w:rtl/>
        </w:rPr>
        <w:t xml:space="preserve">الضاحك حيوان </w:t>
      </w:r>
      <w:r w:rsidR="0097338E" w:rsidRPr="00FD211F">
        <w:rPr>
          <w:sz w:val="36"/>
          <w:szCs w:val="36"/>
          <w:rtl/>
        </w:rPr>
        <w:t>"</w:t>
      </w:r>
      <w:r w:rsidRPr="00FD211F">
        <w:rPr>
          <w:sz w:val="36"/>
          <w:szCs w:val="36"/>
          <w:rtl/>
        </w:rPr>
        <w:t>او</w:t>
      </w:r>
      <w:r w:rsidR="0097338E" w:rsidRPr="00FD211F">
        <w:rPr>
          <w:sz w:val="36"/>
          <w:szCs w:val="36"/>
          <w:rtl/>
        </w:rPr>
        <w:t>"</w:t>
      </w:r>
      <w:r w:rsidRPr="00FD211F">
        <w:rPr>
          <w:sz w:val="36"/>
          <w:szCs w:val="36"/>
          <w:rtl/>
        </w:rPr>
        <w:t xml:space="preserve"> الناطق ضاحك</w:t>
      </w:r>
      <w:r w:rsidR="0097338E" w:rsidRPr="00FD211F">
        <w:rPr>
          <w:sz w:val="36"/>
          <w:szCs w:val="36"/>
          <w:rtl/>
        </w:rPr>
        <w:t>"</w:t>
      </w:r>
      <w:r w:rsidR="00603323" w:rsidRPr="00FD211F">
        <w:rPr>
          <w:sz w:val="36"/>
          <w:szCs w:val="36"/>
          <w:rtl/>
        </w:rPr>
        <w:t xml:space="preserve">، </w:t>
      </w:r>
      <w:r w:rsidRPr="00FD211F">
        <w:rPr>
          <w:sz w:val="36"/>
          <w:szCs w:val="36"/>
          <w:rtl/>
        </w:rPr>
        <w:t>فان صح</w:t>
      </w:r>
      <w:r w:rsidR="00EC7EDF" w:rsidRPr="00FD211F">
        <w:rPr>
          <w:sz w:val="36"/>
          <w:szCs w:val="36"/>
          <w:rtl/>
        </w:rPr>
        <w:t xml:space="preserve">ة </w:t>
      </w:r>
      <w:r w:rsidRPr="00FD211F">
        <w:rPr>
          <w:sz w:val="36"/>
          <w:szCs w:val="36"/>
          <w:rtl/>
        </w:rPr>
        <w:t>الحمل الشائع في هذه الموارد لاتستلزم انكشاف اشتمال معنى الموضوع لمعنى المحمول</w:t>
      </w:r>
      <w:r w:rsidR="00603323" w:rsidRPr="00FD211F">
        <w:rPr>
          <w:sz w:val="36"/>
          <w:szCs w:val="36"/>
          <w:rtl/>
        </w:rPr>
        <w:t xml:space="preserve">، </w:t>
      </w:r>
      <w:r w:rsidRPr="00FD211F">
        <w:rPr>
          <w:sz w:val="36"/>
          <w:szCs w:val="36"/>
          <w:rtl/>
        </w:rPr>
        <w:t>فان معنى الضاحك لايشتمل على مفهوم المتعجب مثلا</w:t>
      </w:r>
      <w:r w:rsidR="00603323" w:rsidRPr="00FD211F">
        <w:rPr>
          <w:sz w:val="36"/>
          <w:szCs w:val="36"/>
          <w:rtl/>
        </w:rPr>
        <w:t>،</w:t>
      </w:r>
      <w:r w:rsidR="00C774D9" w:rsidRPr="00FD211F">
        <w:rPr>
          <w:sz w:val="36"/>
          <w:szCs w:val="36"/>
          <w:rtl/>
        </w:rPr>
        <w:t>.</w:t>
      </w:r>
    </w:p>
    <w:p w14:paraId="58BC71A9" w14:textId="77777777" w:rsidR="001D5EF1" w:rsidRPr="00FD211F" w:rsidRDefault="00EC7EDF" w:rsidP="009C58C8">
      <w:pPr>
        <w:ind w:left="0" w:firstLine="227"/>
        <w:jc w:val="both"/>
        <w:rPr>
          <w:sz w:val="36"/>
          <w:szCs w:val="36"/>
          <w:rtl/>
        </w:rPr>
      </w:pPr>
      <w:r w:rsidRPr="00FD211F">
        <w:rPr>
          <w:sz w:val="36"/>
          <w:szCs w:val="36"/>
          <w:rtl/>
        </w:rPr>
        <w:t>و</w:t>
      </w:r>
      <w:r w:rsidR="004555C5" w:rsidRPr="00FD211F">
        <w:rPr>
          <w:sz w:val="36"/>
          <w:szCs w:val="36"/>
          <w:rtl/>
        </w:rPr>
        <w:t>عليه فلا يكون مجرد صح</w:t>
      </w:r>
      <w:r w:rsidRPr="00FD211F">
        <w:rPr>
          <w:sz w:val="36"/>
          <w:szCs w:val="36"/>
          <w:rtl/>
        </w:rPr>
        <w:t xml:space="preserve">ة </w:t>
      </w:r>
      <w:r w:rsidR="004555C5" w:rsidRPr="00FD211F">
        <w:rPr>
          <w:sz w:val="36"/>
          <w:szCs w:val="36"/>
          <w:rtl/>
        </w:rPr>
        <w:t>الحمل</w:t>
      </w:r>
      <w:r w:rsidRPr="00FD211F">
        <w:rPr>
          <w:sz w:val="36"/>
          <w:szCs w:val="36"/>
          <w:rtl/>
        </w:rPr>
        <w:t xml:space="preserve"> و</w:t>
      </w:r>
      <w:r w:rsidR="004555C5" w:rsidRPr="00FD211F">
        <w:rPr>
          <w:sz w:val="36"/>
          <w:szCs w:val="36"/>
          <w:rtl/>
        </w:rPr>
        <w:t>عدم صح</w:t>
      </w:r>
      <w:r w:rsidRPr="00FD211F">
        <w:rPr>
          <w:sz w:val="36"/>
          <w:szCs w:val="36"/>
          <w:rtl/>
        </w:rPr>
        <w:t xml:space="preserve">ة </w:t>
      </w:r>
      <w:r w:rsidR="004555C5" w:rsidRPr="00FD211F">
        <w:rPr>
          <w:sz w:val="36"/>
          <w:szCs w:val="36"/>
          <w:rtl/>
        </w:rPr>
        <w:t>السلب علام</w:t>
      </w:r>
      <w:r w:rsidRPr="00FD211F">
        <w:rPr>
          <w:sz w:val="36"/>
          <w:szCs w:val="36"/>
          <w:rtl/>
        </w:rPr>
        <w:t xml:space="preserve">ة </w:t>
      </w:r>
      <w:r w:rsidR="004555C5" w:rsidRPr="00FD211F">
        <w:rPr>
          <w:sz w:val="36"/>
          <w:szCs w:val="36"/>
          <w:rtl/>
        </w:rPr>
        <w:t>الحقيق</w:t>
      </w:r>
      <w:r w:rsidRPr="00FD211F">
        <w:rPr>
          <w:sz w:val="36"/>
          <w:szCs w:val="36"/>
          <w:rtl/>
        </w:rPr>
        <w:t xml:space="preserve">ة </w:t>
      </w:r>
      <w:r w:rsidR="004555C5" w:rsidRPr="00FD211F">
        <w:rPr>
          <w:sz w:val="36"/>
          <w:szCs w:val="36"/>
          <w:rtl/>
        </w:rPr>
        <w:t>بقول مطلق</w:t>
      </w:r>
      <w:r w:rsidRPr="00FD211F">
        <w:rPr>
          <w:sz w:val="36"/>
          <w:szCs w:val="36"/>
          <w:rtl/>
        </w:rPr>
        <w:t xml:space="preserve"> و</w:t>
      </w:r>
      <w:r w:rsidR="004555C5" w:rsidRPr="00FD211F">
        <w:rPr>
          <w:sz w:val="36"/>
          <w:szCs w:val="36"/>
          <w:rtl/>
        </w:rPr>
        <w:t>كاشفا عن وحد</w:t>
      </w:r>
      <w:r w:rsidRPr="00FD211F">
        <w:rPr>
          <w:sz w:val="36"/>
          <w:szCs w:val="36"/>
          <w:rtl/>
        </w:rPr>
        <w:t xml:space="preserve">ة </w:t>
      </w:r>
      <w:r w:rsidR="004555C5" w:rsidRPr="00FD211F">
        <w:rPr>
          <w:sz w:val="36"/>
          <w:szCs w:val="36"/>
          <w:rtl/>
        </w:rPr>
        <w:t>المفهوم</w:t>
      </w:r>
      <w:r w:rsidR="00603323" w:rsidRPr="00FD211F">
        <w:rPr>
          <w:sz w:val="36"/>
          <w:szCs w:val="36"/>
          <w:rtl/>
        </w:rPr>
        <w:t xml:space="preserve">، </w:t>
      </w:r>
      <w:r w:rsidR="004555C5" w:rsidRPr="00FD211F">
        <w:rPr>
          <w:sz w:val="36"/>
          <w:szCs w:val="36"/>
          <w:rtl/>
        </w:rPr>
        <w:t>نعم صحّ</w:t>
      </w:r>
      <w:r w:rsidRPr="00FD211F">
        <w:rPr>
          <w:sz w:val="36"/>
          <w:szCs w:val="36"/>
          <w:rtl/>
        </w:rPr>
        <w:t xml:space="preserve">ة </w:t>
      </w:r>
      <w:r w:rsidR="004555C5" w:rsidRPr="00FD211F">
        <w:rPr>
          <w:sz w:val="36"/>
          <w:szCs w:val="36"/>
          <w:rtl/>
        </w:rPr>
        <w:t>السلب بقول مطلق من علائم المجاز من جه</w:t>
      </w:r>
      <w:r w:rsidRPr="00FD211F">
        <w:rPr>
          <w:sz w:val="36"/>
          <w:szCs w:val="36"/>
          <w:rtl/>
        </w:rPr>
        <w:t xml:space="preserve">ة </w:t>
      </w:r>
      <w:r w:rsidR="004555C5" w:rsidRPr="00FD211F">
        <w:rPr>
          <w:sz w:val="36"/>
          <w:szCs w:val="36"/>
          <w:rtl/>
        </w:rPr>
        <w:t>كشفه حينئذ عن اختلاف المفهومين</w:t>
      </w:r>
      <w:r w:rsidRPr="00FD211F">
        <w:rPr>
          <w:sz w:val="36"/>
          <w:szCs w:val="36"/>
          <w:rtl/>
        </w:rPr>
        <w:t xml:space="preserve"> و</w:t>
      </w:r>
      <w:r w:rsidR="004555C5" w:rsidRPr="00FD211F">
        <w:rPr>
          <w:sz w:val="36"/>
          <w:szCs w:val="36"/>
          <w:rtl/>
        </w:rPr>
        <w:t>عدم اتّحادهما</w:t>
      </w:r>
      <w:r w:rsidR="00603323" w:rsidRPr="00FD211F">
        <w:rPr>
          <w:sz w:val="36"/>
          <w:szCs w:val="36"/>
          <w:rtl/>
        </w:rPr>
        <w:t xml:space="preserve">، </w:t>
      </w:r>
      <w:r w:rsidR="004555C5" w:rsidRPr="00FD211F">
        <w:rPr>
          <w:sz w:val="36"/>
          <w:szCs w:val="36"/>
          <w:rtl/>
        </w:rPr>
        <w:t>و لذلك ترى خلوّ كلمات السابقين عن ذلك حيث انّهم جعلوا صحّ</w:t>
      </w:r>
      <w:r w:rsidRPr="00FD211F">
        <w:rPr>
          <w:sz w:val="36"/>
          <w:szCs w:val="36"/>
          <w:rtl/>
        </w:rPr>
        <w:t xml:space="preserve">ة </w:t>
      </w:r>
      <w:r w:rsidR="004555C5" w:rsidRPr="00FD211F">
        <w:rPr>
          <w:sz w:val="36"/>
          <w:szCs w:val="36"/>
          <w:rtl/>
        </w:rPr>
        <w:t>السلب بقول مطلق من علامات المجاز</w:t>
      </w:r>
      <w:r w:rsidRPr="00FD211F">
        <w:rPr>
          <w:sz w:val="36"/>
          <w:szCs w:val="36"/>
          <w:rtl/>
        </w:rPr>
        <w:t xml:space="preserve"> </w:t>
      </w:r>
      <w:r w:rsidR="009977FE" w:rsidRPr="00FD211F">
        <w:rPr>
          <w:sz w:val="36"/>
          <w:szCs w:val="36"/>
          <w:rtl/>
        </w:rPr>
        <w:t>و</w:t>
      </w:r>
      <w:r w:rsidR="008D7B3D" w:rsidRPr="00FD211F">
        <w:rPr>
          <w:sz w:val="36"/>
          <w:szCs w:val="36"/>
          <w:rtl/>
        </w:rPr>
        <w:t xml:space="preserve"> لم‌</w:t>
      </w:r>
      <w:r w:rsidR="004555C5" w:rsidRPr="00FD211F">
        <w:rPr>
          <w:sz w:val="36"/>
          <w:szCs w:val="36"/>
          <w:rtl/>
        </w:rPr>
        <w:t>يذكروا صح</w:t>
      </w:r>
      <w:r w:rsidRPr="00FD211F">
        <w:rPr>
          <w:sz w:val="36"/>
          <w:szCs w:val="36"/>
          <w:rtl/>
        </w:rPr>
        <w:t xml:space="preserve">ة </w:t>
      </w:r>
      <w:r w:rsidR="004555C5" w:rsidRPr="00FD211F">
        <w:rPr>
          <w:sz w:val="36"/>
          <w:szCs w:val="36"/>
          <w:rtl/>
        </w:rPr>
        <w:t>الحمل</w:t>
      </w:r>
      <w:r w:rsidRPr="00FD211F">
        <w:rPr>
          <w:sz w:val="36"/>
          <w:szCs w:val="36"/>
          <w:rtl/>
        </w:rPr>
        <w:t xml:space="preserve"> و</w:t>
      </w:r>
      <w:r w:rsidR="004555C5" w:rsidRPr="00FD211F">
        <w:rPr>
          <w:sz w:val="36"/>
          <w:szCs w:val="36"/>
          <w:rtl/>
        </w:rPr>
        <w:t>عدم السلب من علامات الحقيق</w:t>
      </w:r>
      <w:r w:rsidRPr="00FD211F">
        <w:rPr>
          <w:sz w:val="36"/>
          <w:szCs w:val="36"/>
          <w:rtl/>
        </w:rPr>
        <w:t>ة</w:t>
      </w:r>
      <w:r w:rsidR="009C58C8" w:rsidRPr="00FD211F">
        <w:rPr>
          <w:rStyle w:val="a6"/>
          <w:sz w:val="36"/>
          <w:szCs w:val="36"/>
          <w:rtl/>
        </w:rPr>
        <w:t>(</w:t>
      </w:r>
      <w:r w:rsidR="009C58C8" w:rsidRPr="00FD211F">
        <w:rPr>
          <w:rStyle w:val="a6"/>
          <w:sz w:val="36"/>
          <w:szCs w:val="36"/>
          <w:rtl/>
        </w:rPr>
        <w:footnoteReference w:id="313"/>
      </w:r>
      <w:r w:rsidR="009C58C8" w:rsidRPr="00FD211F">
        <w:rPr>
          <w:rStyle w:val="a6"/>
          <w:sz w:val="36"/>
          <w:szCs w:val="36"/>
          <w:rtl/>
        </w:rPr>
        <w:t>)</w:t>
      </w:r>
      <w:r w:rsidR="00746814" w:rsidRPr="00FD211F">
        <w:rPr>
          <w:sz w:val="36"/>
          <w:szCs w:val="36"/>
          <w:rtl/>
        </w:rPr>
        <w:t>.</w:t>
      </w:r>
      <w:r w:rsidR="004555C5" w:rsidRPr="00FD211F">
        <w:rPr>
          <w:sz w:val="36"/>
          <w:szCs w:val="36"/>
          <w:rtl/>
        </w:rPr>
        <w:t xml:space="preserve"> </w:t>
      </w:r>
    </w:p>
    <w:p w14:paraId="50614F10" w14:textId="77777777" w:rsidR="00A75E13" w:rsidRPr="00FD211F" w:rsidRDefault="00A75E13" w:rsidP="009C58C8">
      <w:pPr>
        <w:ind w:left="0" w:firstLine="227"/>
        <w:jc w:val="both"/>
        <w:rPr>
          <w:sz w:val="36"/>
          <w:szCs w:val="36"/>
          <w:rtl/>
        </w:rPr>
      </w:pPr>
      <w:r w:rsidRPr="00FD211F">
        <w:rPr>
          <w:sz w:val="36"/>
          <w:szCs w:val="36"/>
          <w:rtl/>
        </w:rPr>
        <w:t>اقول</w:t>
      </w:r>
      <w:r w:rsidR="00EC7EDF" w:rsidRPr="00FD211F">
        <w:rPr>
          <w:sz w:val="36"/>
          <w:szCs w:val="36"/>
          <w:rtl/>
        </w:rPr>
        <w:t>:</w:t>
      </w:r>
      <w:r w:rsidRPr="00FD211F">
        <w:rPr>
          <w:sz w:val="36"/>
          <w:szCs w:val="36"/>
          <w:rtl/>
        </w:rPr>
        <w:t xml:space="preserve"> ان فائد</w:t>
      </w:r>
      <w:r w:rsidR="00EC7EDF" w:rsidRPr="00FD211F">
        <w:rPr>
          <w:sz w:val="36"/>
          <w:szCs w:val="36"/>
          <w:rtl/>
        </w:rPr>
        <w:t xml:space="preserve">ة </w:t>
      </w:r>
      <w:r w:rsidRPr="00FD211F">
        <w:rPr>
          <w:sz w:val="36"/>
          <w:szCs w:val="36"/>
          <w:rtl/>
        </w:rPr>
        <w:t xml:space="preserve">الحمل الشائع هو استكشاف ان مفهوم المحمول </w:t>
      </w:r>
      <w:r w:rsidR="008D7B3D" w:rsidRPr="00FD211F">
        <w:rPr>
          <w:sz w:val="36"/>
          <w:szCs w:val="36"/>
          <w:rtl/>
        </w:rPr>
        <w:t xml:space="preserve">شيء </w:t>
      </w:r>
      <w:r w:rsidRPr="00FD211F">
        <w:rPr>
          <w:sz w:val="36"/>
          <w:szCs w:val="36"/>
          <w:rtl/>
        </w:rPr>
        <w:t>ينطبق على الموضوع وجودا</w:t>
      </w:r>
      <w:r w:rsidR="00603323" w:rsidRPr="00FD211F">
        <w:rPr>
          <w:sz w:val="36"/>
          <w:szCs w:val="36"/>
          <w:rtl/>
        </w:rPr>
        <w:t xml:space="preserve">، </w:t>
      </w:r>
      <w:r w:rsidRPr="00FD211F">
        <w:rPr>
          <w:sz w:val="36"/>
          <w:szCs w:val="36"/>
          <w:rtl/>
        </w:rPr>
        <w:t>والغرض من ذلك هو التمسك بعموم دليله بالنسب</w:t>
      </w:r>
      <w:r w:rsidR="00EC7EDF" w:rsidRPr="00FD211F">
        <w:rPr>
          <w:sz w:val="36"/>
          <w:szCs w:val="36"/>
          <w:rtl/>
        </w:rPr>
        <w:t xml:space="preserve">ة </w:t>
      </w:r>
      <w:r w:rsidRPr="00FD211F">
        <w:rPr>
          <w:sz w:val="36"/>
          <w:szCs w:val="36"/>
          <w:rtl/>
        </w:rPr>
        <w:t>الى هذا الموضوع</w:t>
      </w:r>
      <w:r w:rsidR="00603323" w:rsidRPr="00FD211F">
        <w:rPr>
          <w:sz w:val="36"/>
          <w:szCs w:val="36"/>
          <w:rtl/>
        </w:rPr>
        <w:t xml:space="preserve">، </w:t>
      </w:r>
      <w:r w:rsidRPr="00FD211F">
        <w:rPr>
          <w:sz w:val="36"/>
          <w:szCs w:val="36"/>
          <w:rtl/>
        </w:rPr>
        <w:t>وهذا مما يحصل من خلال صح</w:t>
      </w:r>
      <w:r w:rsidR="00EC7EDF" w:rsidRPr="00FD211F">
        <w:rPr>
          <w:sz w:val="36"/>
          <w:szCs w:val="36"/>
          <w:rtl/>
        </w:rPr>
        <w:t xml:space="preserve">ة </w:t>
      </w:r>
      <w:r w:rsidRPr="00FD211F">
        <w:rPr>
          <w:sz w:val="36"/>
          <w:szCs w:val="36"/>
          <w:rtl/>
        </w:rPr>
        <w:t>الحمل الشائع.</w:t>
      </w:r>
    </w:p>
    <w:p w14:paraId="4022FD84" w14:textId="77777777" w:rsidR="00052BF2" w:rsidRPr="00FD211F" w:rsidRDefault="00A75E13" w:rsidP="009C58C8">
      <w:pPr>
        <w:ind w:left="0" w:firstLine="227"/>
        <w:jc w:val="both"/>
        <w:rPr>
          <w:sz w:val="36"/>
          <w:szCs w:val="36"/>
          <w:rtl/>
        </w:rPr>
      </w:pPr>
      <w:r w:rsidRPr="00FD211F">
        <w:rPr>
          <w:sz w:val="36"/>
          <w:szCs w:val="36"/>
          <w:rtl/>
        </w:rPr>
        <w:t>هذا</w:t>
      </w:r>
      <w:r w:rsidR="004317A3" w:rsidRPr="00FD211F">
        <w:rPr>
          <w:sz w:val="36"/>
          <w:szCs w:val="36"/>
          <w:rtl/>
        </w:rPr>
        <w:t xml:space="preserve"> </w:t>
      </w:r>
      <w:r w:rsidR="001D5EF1" w:rsidRPr="00FD211F">
        <w:rPr>
          <w:sz w:val="36"/>
          <w:szCs w:val="36"/>
          <w:rtl/>
        </w:rPr>
        <w:t>وقد</w:t>
      </w:r>
      <w:r w:rsidR="004317A3" w:rsidRPr="00FD211F">
        <w:rPr>
          <w:sz w:val="36"/>
          <w:szCs w:val="36"/>
          <w:rtl/>
        </w:rPr>
        <w:t xml:space="preserve"> </w:t>
      </w:r>
      <w:r w:rsidR="001D5EF1" w:rsidRPr="00FD211F">
        <w:rPr>
          <w:sz w:val="36"/>
          <w:szCs w:val="36"/>
          <w:rtl/>
        </w:rPr>
        <w:t>ي</w:t>
      </w:r>
      <w:r w:rsidRPr="00FD211F">
        <w:rPr>
          <w:sz w:val="36"/>
          <w:szCs w:val="36"/>
          <w:rtl/>
        </w:rPr>
        <w:t>فصَّل في</w:t>
      </w:r>
      <w:r w:rsidR="00B253CE" w:rsidRPr="00FD211F">
        <w:rPr>
          <w:sz w:val="36"/>
          <w:szCs w:val="36"/>
          <w:rtl/>
        </w:rPr>
        <w:t xml:space="preserve"> </w:t>
      </w:r>
      <w:r w:rsidR="002864A8" w:rsidRPr="00FD211F">
        <w:rPr>
          <w:sz w:val="36"/>
          <w:szCs w:val="36"/>
          <w:rtl/>
        </w:rPr>
        <w:t>علامي</w:t>
      </w:r>
      <w:r w:rsidR="00EC7EDF" w:rsidRPr="00FD211F">
        <w:rPr>
          <w:sz w:val="36"/>
          <w:szCs w:val="36"/>
          <w:rtl/>
        </w:rPr>
        <w:t xml:space="preserve">ة </w:t>
      </w:r>
      <w:r w:rsidR="002864A8" w:rsidRPr="00FD211F">
        <w:rPr>
          <w:sz w:val="36"/>
          <w:szCs w:val="36"/>
          <w:rtl/>
        </w:rPr>
        <w:t>صح</w:t>
      </w:r>
      <w:r w:rsidR="00EC7EDF" w:rsidRPr="00FD211F">
        <w:rPr>
          <w:sz w:val="36"/>
          <w:szCs w:val="36"/>
          <w:rtl/>
        </w:rPr>
        <w:t xml:space="preserve">ة </w:t>
      </w:r>
      <w:r w:rsidR="002864A8" w:rsidRPr="00FD211F">
        <w:rPr>
          <w:sz w:val="36"/>
          <w:szCs w:val="36"/>
          <w:rtl/>
        </w:rPr>
        <w:t xml:space="preserve">الحمل الشائع </w:t>
      </w:r>
      <w:r w:rsidRPr="00FD211F">
        <w:rPr>
          <w:sz w:val="36"/>
          <w:szCs w:val="36"/>
          <w:rtl/>
        </w:rPr>
        <w:t>فيدَّعى اختصاصهابم</w:t>
      </w:r>
      <w:r w:rsidR="002864A8" w:rsidRPr="00FD211F">
        <w:rPr>
          <w:sz w:val="36"/>
          <w:szCs w:val="36"/>
          <w:rtl/>
        </w:rPr>
        <w:t>ا</w:t>
      </w:r>
      <w:r w:rsidR="004317A3" w:rsidRPr="00FD211F">
        <w:rPr>
          <w:sz w:val="36"/>
          <w:szCs w:val="36"/>
          <w:rtl/>
        </w:rPr>
        <w:t xml:space="preserve"> </w:t>
      </w:r>
      <w:r w:rsidRPr="00FD211F">
        <w:rPr>
          <w:sz w:val="36"/>
          <w:szCs w:val="36"/>
          <w:rtl/>
        </w:rPr>
        <w:t>اذا</w:t>
      </w:r>
      <w:r w:rsidR="00746814" w:rsidRPr="00FD211F">
        <w:rPr>
          <w:sz w:val="36"/>
          <w:szCs w:val="36"/>
          <w:rtl/>
        </w:rPr>
        <w:t xml:space="preserve"> احرز في مورد</w:t>
      </w:r>
      <w:r w:rsidR="001D5EF1" w:rsidRPr="00FD211F">
        <w:rPr>
          <w:sz w:val="36"/>
          <w:szCs w:val="36"/>
          <w:rtl/>
        </w:rPr>
        <w:t>ٍ</w:t>
      </w:r>
      <w:r w:rsidR="00746814" w:rsidRPr="00FD211F">
        <w:rPr>
          <w:sz w:val="36"/>
          <w:szCs w:val="36"/>
          <w:rtl/>
        </w:rPr>
        <w:t xml:space="preserve"> </w:t>
      </w:r>
      <w:r w:rsidR="00183852" w:rsidRPr="00FD211F">
        <w:rPr>
          <w:sz w:val="36"/>
          <w:szCs w:val="36"/>
          <w:rtl/>
        </w:rPr>
        <w:t>بكونه</w:t>
      </w:r>
      <w:r w:rsidR="00C7588D" w:rsidRPr="00FD211F">
        <w:rPr>
          <w:sz w:val="36"/>
          <w:szCs w:val="36"/>
          <w:rtl/>
        </w:rPr>
        <w:t xml:space="preserve"> </w:t>
      </w:r>
      <w:r w:rsidR="00746814" w:rsidRPr="00FD211F">
        <w:rPr>
          <w:sz w:val="36"/>
          <w:szCs w:val="36"/>
          <w:rtl/>
        </w:rPr>
        <w:t>على تقدير صح</w:t>
      </w:r>
      <w:r w:rsidR="00EC7EDF" w:rsidRPr="00FD211F">
        <w:rPr>
          <w:sz w:val="36"/>
          <w:szCs w:val="36"/>
          <w:rtl/>
        </w:rPr>
        <w:t xml:space="preserve">ة </w:t>
      </w:r>
      <w:r w:rsidR="00183852" w:rsidRPr="00FD211F">
        <w:rPr>
          <w:sz w:val="36"/>
          <w:szCs w:val="36"/>
          <w:rtl/>
        </w:rPr>
        <w:t>الحمل الشائع يكون</w:t>
      </w:r>
      <w:r w:rsidR="00746814" w:rsidRPr="00FD211F">
        <w:rPr>
          <w:sz w:val="36"/>
          <w:szCs w:val="36"/>
          <w:rtl/>
        </w:rPr>
        <w:t xml:space="preserve"> من قبيل حمل النوع على فرده او من قبيل حمل الجنس على نوعه كقولنا</w:t>
      </w:r>
      <w:r w:rsidR="001D5EF1" w:rsidRPr="00FD211F">
        <w:rPr>
          <w:sz w:val="36"/>
          <w:szCs w:val="36"/>
          <w:rtl/>
        </w:rPr>
        <w:t>"</w:t>
      </w:r>
      <w:r w:rsidR="00746814" w:rsidRPr="00FD211F">
        <w:rPr>
          <w:sz w:val="36"/>
          <w:szCs w:val="36"/>
          <w:rtl/>
        </w:rPr>
        <w:t xml:space="preserve"> الانسان حيوان</w:t>
      </w:r>
      <w:r w:rsidR="001D5EF1" w:rsidRPr="00FD211F">
        <w:rPr>
          <w:sz w:val="36"/>
          <w:szCs w:val="36"/>
          <w:rtl/>
        </w:rPr>
        <w:t>"</w:t>
      </w:r>
      <w:r w:rsidR="00746814" w:rsidRPr="00FD211F">
        <w:rPr>
          <w:sz w:val="36"/>
          <w:szCs w:val="36"/>
          <w:rtl/>
        </w:rPr>
        <w:t xml:space="preserve"> اومن قبيل حمل الفصل على نوعه كقولنا</w:t>
      </w:r>
      <w:r w:rsidR="001D5EF1" w:rsidRPr="00FD211F">
        <w:rPr>
          <w:sz w:val="36"/>
          <w:szCs w:val="36"/>
          <w:rtl/>
        </w:rPr>
        <w:t>"</w:t>
      </w:r>
      <w:r w:rsidR="00746814" w:rsidRPr="00FD211F">
        <w:rPr>
          <w:sz w:val="36"/>
          <w:szCs w:val="36"/>
          <w:rtl/>
        </w:rPr>
        <w:t xml:space="preserve"> الانسان ناطق</w:t>
      </w:r>
      <w:r w:rsidR="001D5EF1" w:rsidRPr="00FD211F">
        <w:rPr>
          <w:sz w:val="36"/>
          <w:szCs w:val="36"/>
          <w:rtl/>
        </w:rPr>
        <w:t>"</w:t>
      </w:r>
      <w:r w:rsidR="00603323" w:rsidRPr="00FD211F">
        <w:rPr>
          <w:sz w:val="36"/>
          <w:szCs w:val="36"/>
          <w:rtl/>
        </w:rPr>
        <w:t xml:space="preserve">، </w:t>
      </w:r>
      <w:r w:rsidR="001D5EF1" w:rsidRPr="00FD211F">
        <w:rPr>
          <w:sz w:val="36"/>
          <w:szCs w:val="36"/>
          <w:rtl/>
        </w:rPr>
        <w:t xml:space="preserve">فتكشف </w:t>
      </w:r>
      <w:r w:rsidR="00746814" w:rsidRPr="00FD211F">
        <w:rPr>
          <w:sz w:val="36"/>
          <w:szCs w:val="36"/>
          <w:rtl/>
        </w:rPr>
        <w:t>صح</w:t>
      </w:r>
      <w:r w:rsidR="00EC7EDF" w:rsidRPr="00FD211F">
        <w:rPr>
          <w:sz w:val="36"/>
          <w:szCs w:val="36"/>
          <w:rtl/>
        </w:rPr>
        <w:t xml:space="preserve">ة </w:t>
      </w:r>
      <w:r w:rsidR="00746814" w:rsidRPr="00FD211F">
        <w:rPr>
          <w:sz w:val="36"/>
          <w:szCs w:val="36"/>
          <w:rtl/>
        </w:rPr>
        <w:t xml:space="preserve">الحمل الشائع </w:t>
      </w:r>
      <w:r w:rsidR="001D5EF1" w:rsidRPr="00FD211F">
        <w:rPr>
          <w:sz w:val="36"/>
          <w:szCs w:val="36"/>
          <w:rtl/>
        </w:rPr>
        <w:t xml:space="preserve">عن </w:t>
      </w:r>
      <w:r w:rsidR="00746814" w:rsidRPr="00FD211F">
        <w:rPr>
          <w:sz w:val="36"/>
          <w:szCs w:val="36"/>
          <w:rtl/>
        </w:rPr>
        <w:t>اشتمال معنى الموضوع على مفهوم المحمول؛ فالانسان يشتمل على مفهوم الحيوان والناطق باعتبار ان الجنس والفصل جزءان تحليليان للنوع</w:t>
      </w:r>
      <w:r w:rsidR="00603323" w:rsidRPr="00FD211F">
        <w:rPr>
          <w:b/>
          <w:bCs/>
          <w:sz w:val="36"/>
          <w:szCs w:val="36"/>
          <w:rtl/>
        </w:rPr>
        <w:t xml:space="preserve">، </w:t>
      </w:r>
      <w:r w:rsidR="001D5EF1" w:rsidRPr="00FD211F">
        <w:rPr>
          <w:sz w:val="36"/>
          <w:szCs w:val="36"/>
          <w:rtl/>
        </w:rPr>
        <w:t>وهذا ما يستفاد من حاشي</w:t>
      </w:r>
      <w:r w:rsidR="00EC7EDF" w:rsidRPr="00FD211F">
        <w:rPr>
          <w:sz w:val="36"/>
          <w:szCs w:val="36"/>
          <w:rtl/>
        </w:rPr>
        <w:t xml:space="preserve">ة </w:t>
      </w:r>
      <w:r w:rsidR="001D5EF1" w:rsidRPr="00FD211F">
        <w:rPr>
          <w:sz w:val="36"/>
          <w:szCs w:val="36"/>
          <w:rtl/>
        </w:rPr>
        <w:t xml:space="preserve">المحقق الخراساني </w:t>
      </w:r>
      <w:r w:rsidR="00EC7EDF" w:rsidRPr="00FD211F">
        <w:rPr>
          <w:sz w:val="36"/>
          <w:szCs w:val="36"/>
          <w:rtl/>
        </w:rPr>
        <w:t xml:space="preserve">"قده" </w:t>
      </w:r>
      <w:r w:rsidR="001D5EF1" w:rsidRPr="00FD211F">
        <w:rPr>
          <w:sz w:val="36"/>
          <w:szCs w:val="36"/>
          <w:rtl/>
        </w:rPr>
        <w:t>على الكفاي</w:t>
      </w:r>
      <w:r w:rsidR="00EC7EDF" w:rsidRPr="00FD211F">
        <w:rPr>
          <w:sz w:val="36"/>
          <w:szCs w:val="36"/>
          <w:rtl/>
        </w:rPr>
        <w:t>ة</w:t>
      </w:r>
      <w:r w:rsidR="00603323" w:rsidRPr="00FD211F">
        <w:rPr>
          <w:sz w:val="36"/>
          <w:szCs w:val="36"/>
          <w:rtl/>
        </w:rPr>
        <w:t xml:space="preserve">، </w:t>
      </w:r>
      <w:r w:rsidR="001D5EF1" w:rsidRPr="00FD211F">
        <w:rPr>
          <w:sz w:val="36"/>
          <w:szCs w:val="36"/>
          <w:rtl/>
        </w:rPr>
        <w:t>حيث قي</w:t>
      </w:r>
      <w:r w:rsidR="00183852" w:rsidRPr="00FD211F">
        <w:rPr>
          <w:sz w:val="36"/>
          <w:szCs w:val="36"/>
          <w:rtl/>
        </w:rPr>
        <w:t>َّ</w:t>
      </w:r>
      <w:r w:rsidR="001D5EF1" w:rsidRPr="00FD211F">
        <w:rPr>
          <w:sz w:val="36"/>
          <w:szCs w:val="36"/>
          <w:rtl/>
        </w:rPr>
        <w:t>د علامي</w:t>
      </w:r>
      <w:r w:rsidR="00EC7EDF" w:rsidRPr="00FD211F">
        <w:rPr>
          <w:sz w:val="36"/>
          <w:szCs w:val="36"/>
          <w:rtl/>
        </w:rPr>
        <w:t xml:space="preserve">ة </w:t>
      </w:r>
      <w:r w:rsidR="001D5EF1" w:rsidRPr="00FD211F">
        <w:rPr>
          <w:sz w:val="36"/>
          <w:szCs w:val="36"/>
          <w:rtl/>
        </w:rPr>
        <w:t>الحمل الشائع على كون الموضوع من مصاديق المحمول وافراده الحقيقي</w:t>
      </w:r>
      <w:r w:rsidR="00EC7EDF" w:rsidRPr="00FD211F">
        <w:rPr>
          <w:sz w:val="36"/>
          <w:szCs w:val="36"/>
          <w:rtl/>
        </w:rPr>
        <w:t xml:space="preserve">ة </w:t>
      </w:r>
      <w:r w:rsidR="001D5EF1" w:rsidRPr="00FD211F">
        <w:rPr>
          <w:sz w:val="36"/>
          <w:szCs w:val="36"/>
          <w:rtl/>
        </w:rPr>
        <w:t>بما اذا كان نسب</w:t>
      </w:r>
      <w:r w:rsidR="00EC7EDF" w:rsidRPr="00FD211F">
        <w:rPr>
          <w:sz w:val="36"/>
          <w:szCs w:val="36"/>
          <w:rtl/>
        </w:rPr>
        <w:t xml:space="preserve">ة </w:t>
      </w:r>
      <w:r w:rsidR="001D5EF1" w:rsidRPr="00FD211F">
        <w:rPr>
          <w:sz w:val="36"/>
          <w:szCs w:val="36"/>
          <w:rtl/>
        </w:rPr>
        <w:t>المحمول الى الموضوع نسب</w:t>
      </w:r>
      <w:r w:rsidR="00EC7EDF" w:rsidRPr="00FD211F">
        <w:rPr>
          <w:sz w:val="36"/>
          <w:szCs w:val="36"/>
          <w:rtl/>
        </w:rPr>
        <w:t xml:space="preserve">ة </w:t>
      </w:r>
      <w:r w:rsidR="001D5EF1" w:rsidRPr="00FD211F">
        <w:rPr>
          <w:sz w:val="36"/>
          <w:szCs w:val="36"/>
          <w:rtl/>
        </w:rPr>
        <w:t>الكلي الى الفرد</w:t>
      </w:r>
      <w:r w:rsidR="00603323" w:rsidRPr="00FD211F">
        <w:rPr>
          <w:sz w:val="36"/>
          <w:szCs w:val="36"/>
          <w:rtl/>
        </w:rPr>
        <w:t xml:space="preserve">، </w:t>
      </w:r>
      <w:r w:rsidR="002864A8" w:rsidRPr="00FD211F">
        <w:rPr>
          <w:sz w:val="36"/>
          <w:szCs w:val="36"/>
          <w:rtl/>
        </w:rPr>
        <w:t xml:space="preserve">لافيما اذا كانا كليين </w:t>
      </w:r>
      <w:commentRangeStart w:id="338"/>
      <w:r w:rsidR="002864A8" w:rsidRPr="00FD211F">
        <w:rPr>
          <w:sz w:val="36"/>
          <w:szCs w:val="36"/>
          <w:rtl/>
        </w:rPr>
        <w:t>متساويين</w:t>
      </w:r>
      <w:commentRangeEnd w:id="338"/>
      <w:r w:rsidR="0036334A">
        <w:rPr>
          <w:rStyle w:val="ab"/>
          <w:rtl/>
        </w:rPr>
        <w:commentReference w:id="338"/>
      </w:r>
      <w:r w:rsidR="00746814" w:rsidRPr="00FD211F">
        <w:rPr>
          <w:sz w:val="36"/>
          <w:szCs w:val="36"/>
          <w:rtl/>
        </w:rPr>
        <w:t>.</w:t>
      </w:r>
    </w:p>
    <w:p w14:paraId="19648F97" w14:textId="77777777" w:rsidR="000C5BBA" w:rsidRPr="00FD211F" w:rsidRDefault="00052BF2" w:rsidP="009C58C8">
      <w:pPr>
        <w:ind w:left="0" w:firstLine="227"/>
        <w:jc w:val="both"/>
        <w:rPr>
          <w:sz w:val="36"/>
          <w:szCs w:val="36"/>
          <w:rtl/>
        </w:rPr>
      </w:pPr>
      <w:r w:rsidRPr="00FD211F">
        <w:rPr>
          <w:sz w:val="36"/>
          <w:szCs w:val="36"/>
          <w:rtl/>
        </w:rPr>
        <w:t xml:space="preserve">وقد أجاب في البحوث </w:t>
      </w:r>
      <w:r w:rsidR="001D5EF1" w:rsidRPr="00FD211F">
        <w:rPr>
          <w:sz w:val="36"/>
          <w:szCs w:val="36"/>
          <w:rtl/>
        </w:rPr>
        <w:t xml:space="preserve">عن </w:t>
      </w:r>
      <w:r w:rsidR="00A75E13" w:rsidRPr="00FD211F">
        <w:rPr>
          <w:sz w:val="36"/>
          <w:szCs w:val="36"/>
          <w:rtl/>
        </w:rPr>
        <w:t xml:space="preserve">ذلك </w:t>
      </w:r>
      <w:r w:rsidRPr="00FD211F">
        <w:rPr>
          <w:sz w:val="36"/>
          <w:szCs w:val="36"/>
          <w:rtl/>
        </w:rPr>
        <w:t>بما محصله: ان فائد</w:t>
      </w:r>
      <w:r w:rsidR="00EC7EDF" w:rsidRPr="00FD211F">
        <w:rPr>
          <w:sz w:val="36"/>
          <w:szCs w:val="36"/>
          <w:rtl/>
        </w:rPr>
        <w:t xml:space="preserve">ة </w:t>
      </w:r>
      <w:r w:rsidRPr="00FD211F">
        <w:rPr>
          <w:sz w:val="36"/>
          <w:szCs w:val="36"/>
          <w:rtl/>
        </w:rPr>
        <w:t>الحمل الشائع هو تضييق دائر</w:t>
      </w:r>
      <w:r w:rsidR="00EC7EDF" w:rsidRPr="00FD211F">
        <w:rPr>
          <w:sz w:val="36"/>
          <w:szCs w:val="36"/>
          <w:rtl/>
        </w:rPr>
        <w:t xml:space="preserve">ة </w:t>
      </w:r>
      <w:r w:rsidRPr="00FD211F">
        <w:rPr>
          <w:sz w:val="36"/>
          <w:szCs w:val="36"/>
          <w:rtl/>
        </w:rPr>
        <w:t>احتمالات معنى المحمول</w:t>
      </w:r>
      <w:r w:rsidR="00603323" w:rsidRPr="00FD211F">
        <w:rPr>
          <w:sz w:val="36"/>
          <w:szCs w:val="36"/>
          <w:rtl/>
        </w:rPr>
        <w:t xml:space="preserve">، </w:t>
      </w:r>
      <w:r w:rsidRPr="00FD211F">
        <w:rPr>
          <w:sz w:val="36"/>
          <w:szCs w:val="36"/>
          <w:rtl/>
        </w:rPr>
        <w:t>فاذا قيل</w:t>
      </w:r>
      <w:r w:rsidR="00746814" w:rsidRPr="00FD211F">
        <w:rPr>
          <w:sz w:val="36"/>
          <w:szCs w:val="36"/>
          <w:rtl/>
        </w:rPr>
        <w:t>"</w:t>
      </w:r>
      <w:r w:rsidRPr="00FD211F">
        <w:rPr>
          <w:sz w:val="36"/>
          <w:szCs w:val="36"/>
          <w:rtl/>
        </w:rPr>
        <w:t xml:space="preserve"> الضاحك حيوان</w:t>
      </w:r>
      <w:r w:rsidR="00746814" w:rsidRPr="00FD211F">
        <w:rPr>
          <w:sz w:val="36"/>
          <w:szCs w:val="36"/>
          <w:rtl/>
        </w:rPr>
        <w:t>"</w:t>
      </w:r>
      <w:r w:rsidRPr="00FD211F">
        <w:rPr>
          <w:sz w:val="36"/>
          <w:szCs w:val="36"/>
          <w:rtl/>
        </w:rPr>
        <w:t xml:space="preserve"> فبعد ما يرى ان الضاحك ليس بحجر ولاشجر فيعلم ان مفهوم الحيوان لايساوي مفهوم الحجر او الشجر</w:t>
      </w:r>
      <w:r w:rsidR="00603323" w:rsidRPr="00FD211F">
        <w:rPr>
          <w:sz w:val="36"/>
          <w:szCs w:val="36"/>
          <w:rtl/>
        </w:rPr>
        <w:t xml:space="preserve">، </w:t>
      </w:r>
      <w:r w:rsidRPr="00FD211F">
        <w:rPr>
          <w:sz w:val="36"/>
          <w:szCs w:val="36"/>
          <w:rtl/>
        </w:rPr>
        <w:t>حيث يصح حمل الحيوان على الضاحك ولايصح حمل الشجر او الحجر عليه</w:t>
      </w:r>
      <w:r w:rsidR="00603323" w:rsidRPr="00FD211F">
        <w:rPr>
          <w:sz w:val="36"/>
          <w:szCs w:val="36"/>
          <w:rtl/>
        </w:rPr>
        <w:t xml:space="preserve">، </w:t>
      </w:r>
      <w:r w:rsidRPr="00FD211F">
        <w:rPr>
          <w:sz w:val="36"/>
          <w:szCs w:val="36"/>
          <w:rtl/>
        </w:rPr>
        <w:t>والأمر كذلك حتى في حمل النوع على فرده والجنس على نوعه والفصل على نوعه</w:t>
      </w:r>
      <w:r w:rsidR="00603323" w:rsidRPr="00FD211F">
        <w:rPr>
          <w:sz w:val="36"/>
          <w:szCs w:val="36"/>
          <w:rtl/>
        </w:rPr>
        <w:t xml:space="preserve">، </w:t>
      </w:r>
      <w:r w:rsidRPr="00FD211F">
        <w:rPr>
          <w:sz w:val="36"/>
          <w:szCs w:val="36"/>
          <w:rtl/>
        </w:rPr>
        <w:t>اذ لاينكشف بهذا الحمل المعنى الموضوع له في المحمول</w:t>
      </w:r>
      <w:r w:rsidR="00603323" w:rsidRPr="00FD211F">
        <w:rPr>
          <w:sz w:val="36"/>
          <w:szCs w:val="36"/>
          <w:rtl/>
        </w:rPr>
        <w:t xml:space="preserve">، </w:t>
      </w:r>
      <w:r w:rsidRPr="00FD211F">
        <w:rPr>
          <w:sz w:val="36"/>
          <w:szCs w:val="36"/>
          <w:rtl/>
        </w:rPr>
        <w:t>بعد انطباق غ</w:t>
      </w:r>
      <w:r w:rsidR="00A75E13" w:rsidRPr="00FD211F">
        <w:rPr>
          <w:sz w:val="36"/>
          <w:szCs w:val="36"/>
          <w:rtl/>
        </w:rPr>
        <w:t>ير واحد</w:t>
      </w:r>
      <w:r w:rsidR="002864A8" w:rsidRPr="00FD211F">
        <w:rPr>
          <w:sz w:val="36"/>
          <w:szCs w:val="36"/>
          <w:rtl/>
        </w:rPr>
        <w:t>من العناوين على الموضوع</w:t>
      </w:r>
      <w:r w:rsidR="00EC7EDF" w:rsidRPr="00FD211F">
        <w:rPr>
          <w:sz w:val="36"/>
          <w:szCs w:val="36"/>
          <w:rtl/>
        </w:rPr>
        <w:t>.</w:t>
      </w:r>
    </w:p>
    <w:p w14:paraId="41E55724" w14:textId="77777777" w:rsidR="00052BF2" w:rsidRPr="00FD211F" w:rsidRDefault="00052BF2" w:rsidP="009C58C8">
      <w:pPr>
        <w:ind w:left="0" w:firstLine="227"/>
        <w:jc w:val="both"/>
        <w:rPr>
          <w:sz w:val="36"/>
          <w:szCs w:val="36"/>
          <w:rtl/>
        </w:rPr>
      </w:pPr>
      <w:r w:rsidRPr="00FD211F">
        <w:rPr>
          <w:sz w:val="36"/>
          <w:szCs w:val="36"/>
          <w:rtl/>
        </w:rPr>
        <w:t xml:space="preserve">وقد </w:t>
      </w:r>
      <w:r w:rsidR="001D5EF1" w:rsidRPr="00FD211F">
        <w:rPr>
          <w:sz w:val="36"/>
          <w:szCs w:val="36"/>
          <w:rtl/>
        </w:rPr>
        <w:t xml:space="preserve">يعيّن المعنى الموضوع له من طريق </w:t>
      </w:r>
      <w:r w:rsidRPr="00FD211F">
        <w:rPr>
          <w:sz w:val="36"/>
          <w:szCs w:val="36"/>
          <w:rtl/>
        </w:rPr>
        <w:t>صح</w:t>
      </w:r>
      <w:r w:rsidR="00EC7EDF" w:rsidRPr="00FD211F">
        <w:rPr>
          <w:sz w:val="36"/>
          <w:szCs w:val="36"/>
          <w:rtl/>
        </w:rPr>
        <w:t xml:space="preserve">ة </w:t>
      </w:r>
      <w:r w:rsidRPr="00FD211F">
        <w:rPr>
          <w:sz w:val="36"/>
          <w:szCs w:val="36"/>
          <w:rtl/>
        </w:rPr>
        <w:t xml:space="preserve">الحمل </w:t>
      </w:r>
      <w:r w:rsidR="001D5EF1" w:rsidRPr="00FD211F">
        <w:rPr>
          <w:sz w:val="36"/>
          <w:szCs w:val="36"/>
          <w:rtl/>
        </w:rPr>
        <w:t xml:space="preserve">الشائع </w:t>
      </w:r>
      <w:r w:rsidR="002864A8" w:rsidRPr="00FD211F">
        <w:rPr>
          <w:sz w:val="36"/>
          <w:szCs w:val="36"/>
          <w:rtl/>
        </w:rPr>
        <w:t xml:space="preserve">اذا امكن </w:t>
      </w:r>
      <w:r w:rsidRPr="00FD211F">
        <w:rPr>
          <w:sz w:val="36"/>
          <w:szCs w:val="36"/>
          <w:rtl/>
        </w:rPr>
        <w:t>ابطال سائر المحتملات</w:t>
      </w:r>
      <w:r w:rsidR="00603323" w:rsidRPr="00FD211F">
        <w:rPr>
          <w:sz w:val="36"/>
          <w:szCs w:val="36"/>
          <w:rtl/>
        </w:rPr>
        <w:t xml:space="preserve">، </w:t>
      </w:r>
      <w:r w:rsidRPr="00FD211F">
        <w:rPr>
          <w:sz w:val="36"/>
          <w:szCs w:val="36"/>
          <w:rtl/>
        </w:rPr>
        <w:t>كما في لفظ الصعيد</w:t>
      </w:r>
      <w:r w:rsidR="00603323" w:rsidRPr="00FD211F">
        <w:rPr>
          <w:sz w:val="36"/>
          <w:szCs w:val="36"/>
          <w:rtl/>
        </w:rPr>
        <w:t xml:space="preserve">، </w:t>
      </w:r>
      <w:r w:rsidRPr="00FD211F">
        <w:rPr>
          <w:sz w:val="36"/>
          <w:szCs w:val="36"/>
          <w:rtl/>
        </w:rPr>
        <w:t>حيث يدور امره بين ان يكون موضوعا لخصوص التراب او لمطلق وجه الأرض</w:t>
      </w:r>
      <w:r w:rsidR="00603323" w:rsidRPr="00FD211F">
        <w:rPr>
          <w:sz w:val="36"/>
          <w:szCs w:val="36"/>
          <w:rtl/>
        </w:rPr>
        <w:t xml:space="preserve">، </w:t>
      </w:r>
      <w:r w:rsidRPr="00FD211F">
        <w:rPr>
          <w:sz w:val="36"/>
          <w:szCs w:val="36"/>
          <w:rtl/>
        </w:rPr>
        <w:t>فبعد ما يرى من صح</w:t>
      </w:r>
      <w:r w:rsidR="00EC7EDF" w:rsidRPr="00FD211F">
        <w:rPr>
          <w:sz w:val="36"/>
          <w:szCs w:val="36"/>
          <w:rtl/>
        </w:rPr>
        <w:t xml:space="preserve">ة </w:t>
      </w:r>
      <w:r w:rsidRPr="00FD211F">
        <w:rPr>
          <w:sz w:val="36"/>
          <w:szCs w:val="36"/>
          <w:rtl/>
        </w:rPr>
        <w:t>حمله على الحجر حيث يقال الحجر صعيد</w:t>
      </w:r>
      <w:r w:rsidR="00603323" w:rsidRPr="00FD211F">
        <w:rPr>
          <w:sz w:val="36"/>
          <w:szCs w:val="36"/>
          <w:rtl/>
        </w:rPr>
        <w:t xml:space="preserve">، </w:t>
      </w:r>
      <w:r w:rsidRPr="00FD211F">
        <w:rPr>
          <w:sz w:val="36"/>
          <w:szCs w:val="36"/>
          <w:rtl/>
        </w:rPr>
        <w:t>ومن ناحي</w:t>
      </w:r>
      <w:r w:rsidR="00EC7EDF" w:rsidRPr="00FD211F">
        <w:rPr>
          <w:sz w:val="36"/>
          <w:szCs w:val="36"/>
          <w:rtl/>
        </w:rPr>
        <w:t xml:space="preserve">ة </w:t>
      </w:r>
      <w:r w:rsidRPr="00FD211F">
        <w:rPr>
          <w:sz w:val="36"/>
          <w:szCs w:val="36"/>
          <w:rtl/>
        </w:rPr>
        <w:t>أخرى يعلم ان الحجر ليس ترابا فيعلم من خلال ذلك ان مفهوم الصعيد غير مفهوم التراب</w:t>
      </w:r>
      <w:r w:rsidR="00603323" w:rsidRPr="00FD211F">
        <w:rPr>
          <w:sz w:val="36"/>
          <w:szCs w:val="36"/>
          <w:rtl/>
        </w:rPr>
        <w:t xml:space="preserve">، </w:t>
      </w:r>
      <w:r w:rsidRPr="00FD211F">
        <w:rPr>
          <w:sz w:val="36"/>
          <w:szCs w:val="36"/>
          <w:rtl/>
        </w:rPr>
        <w:t>فينحصر معناه الموضوع له في كونه مطلق وجه الأرض</w:t>
      </w:r>
      <w:r w:rsidR="009C58C8" w:rsidRPr="00FD211F">
        <w:rPr>
          <w:rStyle w:val="a6"/>
          <w:sz w:val="36"/>
          <w:szCs w:val="36"/>
          <w:rtl/>
        </w:rPr>
        <w:t>(</w:t>
      </w:r>
      <w:r w:rsidR="009C58C8" w:rsidRPr="00FD211F">
        <w:rPr>
          <w:rStyle w:val="a6"/>
          <w:sz w:val="36"/>
          <w:szCs w:val="36"/>
          <w:rtl/>
        </w:rPr>
        <w:footnoteReference w:id="314"/>
      </w:r>
      <w:r w:rsidR="009C58C8" w:rsidRPr="00FD211F">
        <w:rPr>
          <w:rStyle w:val="a6"/>
          <w:sz w:val="36"/>
          <w:szCs w:val="36"/>
          <w:rtl/>
        </w:rPr>
        <w:t>)</w:t>
      </w:r>
      <w:r w:rsidRPr="00FD211F">
        <w:rPr>
          <w:sz w:val="36"/>
          <w:szCs w:val="36"/>
          <w:rtl/>
        </w:rPr>
        <w:t>.</w:t>
      </w:r>
    </w:p>
    <w:p w14:paraId="164CDE44" w14:textId="77777777" w:rsidR="000C5BBA" w:rsidRPr="00FD211F" w:rsidRDefault="00A75E13" w:rsidP="009C58C8">
      <w:pPr>
        <w:ind w:left="0" w:firstLine="227"/>
        <w:jc w:val="both"/>
        <w:rPr>
          <w:sz w:val="36"/>
          <w:szCs w:val="36"/>
          <w:rtl/>
        </w:rPr>
      </w:pPr>
      <w:r w:rsidRPr="00FD211F">
        <w:rPr>
          <w:sz w:val="36"/>
          <w:szCs w:val="36"/>
          <w:rtl/>
        </w:rPr>
        <w:t>اقول</w:t>
      </w:r>
      <w:r w:rsidR="00EC7EDF" w:rsidRPr="00FD211F">
        <w:rPr>
          <w:sz w:val="36"/>
          <w:szCs w:val="36"/>
          <w:rtl/>
        </w:rPr>
        <w:t>:</w:t>
      </w:r>
      <w:r w:rsidRPr="00FD211F">
        <w:rPr>
          <w:sz w:val="36"/>
          <w:szCs w:val="36"/>
          <w:rtl/>
        </w:rPr>
        <w:t>ان ا</w:t>
      </w:r>
      <w:r w:rsidR="00183852" w:rsidRPr="00FD211F">
        <w:rPr>
          <w:sz w:val="36"/>
          <w:szCs w:val="36"/>
          <w:rtl/>
        </w:rPr>
        <w:t xml:space="preserve">لقائل بالتفصيل </w:t>
      </w:r>
      <w:r w:rsidR="00052BF2" w:rsidRPr="00FD211F">
        <w:rPr>
          <w:sz w:val="36"/>
          <w:szCs w:val="36"/>
          <w:rtl/>
        </w:rPr>
        <w:t>كان بصدد</w:t>
      </w:r>
      <w:r w:rsidR="004317A3" w:rsidRPr="00FD211F">
        <w:rPr>
          <w:sz w:val="36"/>
          <w:szCs w:val="36"/>
          <w:rtl/>
        </w:rPr>
        <w:t xml:space="preserve"> </w:t>
      </w:r>
      <w:r w:rsidRPr="00FD211F">
        <w:rPr>
          <w:sz w:val="36"/>
          <w:szCs w:val="36"/>
          <w:rtl/>
        </w:rPr>
        <w:t>استخدام صح</w:t>
      </w:r>
      <w:r w:rsidR="00EC7EDF" w:rsidRPr="00FD211F">
        <w:rPr>
          <w:sz w:val="36"/>
          <w:szCs w:val="36"/>
          <w:rtl/>
        </w:rPr>
        <w:t xml:space="preserve">ة </w:t>
      </w:r>
      <w:r w:rsidRPr="00FD211F">
        <w:rPr>
          <w:sz w:val="36"/>
          <w:szCs w:val="36"/>
          <w:rtl/>
        </w:rPr>
        <w:t>الحمل الشائع لغرض</w:t>
      </w:r>
      <w:r w:rsidR="00052BF2" w:rsidRPr="00FD211F">
        <w:rPr>
          <w:sz w:val="36"/>
          <w:szCs w:val="36"/>
          <w:rtl/>
        </w:rPr>
        <w:t xml:space="preserve"> استكشاف معنى الموضوع في القضي</w:t>
      </w:r>
      <w:r w:rsidR="00EC7EDF" w:rsidRPr="00FD211F">
        <w:rPr>
          <w:sz w:val="36"/>
          <w:szCs w:val="36"/>
          <w:rtl/>
        </w:rPr>
        <w:t xml:space="preserve">ة </w:t>
      </w:r>
      <w:r w:rsidRPr="00FD211F">
        <w:rPr>
          <w:sz w:val="36"/>
          <w:szCs w:val="36"/>
          <w:rtl/>
        </w:rPr>
        <w:t xml:space="preserve">حتى يعلم أنه </w:t>
      </w:r>
      <w:r w:rsidR="00052BF2" w:rsidRPr="00FD211F">
        <w:rPr>
          <w:sz w:val="36"/>
          <w:szCs w:val="36"/>
          <w:rtl/>
        </w:rPr>
        <w:t>هل ي</w:t>
      </w:r>
      <w:r w:rsidR="00903AF8" w:rsidRPr="00FD211F">
        <w:rPr>
          <w:sz w:val="36"/>
          <w:szCs w:val="36"/>
          <w:rtl/>
        </w:rPr>
        <w:t>كون متضمنا ل</w:t>
      </w:r>
      <w:r w:rsidR="00052BF2" w:rsidRPr="00FD211F">
        <w:rPr>
          <w:sz w:val="36"/>
          <w:szCs w:val="36"/>
          <w:rtl/>
        </w:rPr>
        <w:t xml:space="preserve">مفهوم المحمول </w:t>
      </w:r>
      <w:r w:rsidR="00903AF8" w:rsidRPr="00FD211F">
        <w:rPr>
          <w:sz w:val="36"/>
          <w:szCs w:val="36"/>
          <w:rtl/>
        </w:rPr>
        <w:t>في القضي</w:t>
      </w:r>
      <w:r w:rsidR="00EC7EDF" w:rsidRPr="00FD211F">
        <w:rPr>
          <w:sz w:val="36"/>
          <w:szCs w:val="36"/>
          <w:rtl/>
        </w:rPr>
        <w:t xml:space="preserve">ة </w:t>
      </w:r>
      <w:r w:rsidR="00052BF2" w:rsidRPr="00FD211F">
        <w:rPr>
          <w:sz w:val="36"/>
          <w:szCs w:val="36"/>
          <w:rtl/>
        </w:rPr>
        <w:t>ام لا</w:t>
      </w:r>
      <w:r w:rsidR="00603323" w:rsidRPr="00FD211F">
        <w:rPr>
          <w:sz w:val="36"/>
          <w:szCs w:val="36"/>
          <w:rtl/>
        </w:rPr>
        <w:t xml:space="preserve">، </w:t>
      </w:r>
      <w:r w:rsidR="00052BF2" w:rsidRPr="00FD211F">
        <w:rPr>
          <w:sz w:val="36"/>
          <w:szCs w:val="36"/>
          <w:rtl/>
        </w:rPr>
        <w:t>فذكر انه لايجدي بحاله صح</w:t>
      </w:r>
      <w:r w:rsidR="00EC7EDF" w:rsidRPr="00FD211F">
        <w:rPr>
          <w:sz w:val="36"/>
          <w:szCs w:val="36"/>
          <w:rtl/>
        </w:rPr>
        <w:t xml:space="preserve">ة </w:t>
      </w:r>
      <w:r w:rsidR="00052BF2" w:rsidRPr="00FD211F">
        <w:rPr>
          <w:sz w:val="36"/>
          <w:szCs w:val="36"/>
          <w:rtl/>
        </w:rPr>
        <w:t>الحمل الشائع</w:t>
      </w:r>
      <w:r w:rsidR="00603323" w:rsidRPr="00FD211F">
        <w:rPr>
          <w:sz w:val="36"/>
          <w:szCs w:val="36"/>
          <w:rtl/>
        </w:rPr>
        <w:t xml:space="preserve">، </w:t>
      </w:r>
      <w:r w:rsidR="00052BF2" w:rsidRPr="00FD211F">
        <w:rPr>
          <w:sz w:val="36"/>
          <w:szCs w:val="36"/>
          <w:rtl/>
        </w:rPr>
        <w:t>الا اذا علم من الخارج النسب</w:t>
      </w:r>
      <w:r w:rsidR="00EC7EDF" w:rsidRPr="00FD211F">
        <w:rPr>
          <w:sz w:val="36"/>
          <w:szCs w:val="36"/>
          <w:rtl/>
        </w:rPr>
        <w:t xml:space="preserve">ة </w:t>
      </w:r>
      <w:r w:rsidR="00052BF2" w:rsidRPr="00FD211F">
        <w:rPr>
          <w:sz w:val="36"/>
          <w:szCs w:val="36"/>
          <w:rtl/>
        </w:rPr>
        <w:t>بين الموضوع والمحمول في القضي</w:t>
      </w:r>
      <w:r w:rsidR="00EC7EDF" w:rsidRPr="00FD211F">
        <w:rPr>
          <w:sz w:val="36"/>
          <w:szCs w:val="36"/>
          <w:rtl/>
        </w:rPr>
        <w:t xml:space="preserve">ة </w:t>
      </w:r>
      <w:r w:rsidR="00052BF2" w:rsidRPr="00FD211F">
        <w:rPr>
          <w:sz w:val="36"/>
          <w:szCs w:val="36"/>
          <w:rtl/>
        </w:rPr>
        <w:t>على تقدير صح</w:t>
      </w:r>
      <w:r w:rsidR="00EC7EDF" w:rsidRPr="00FD211F">
        <w:rPr>
          <w:sz w:val="36"/>
          <w:szCs w:val="36"/>
          <w:rtl/>
        </w:rPr>
        <w:t xml:space="preserve">ة </w:t>
      </w:r>
      <w:r w:rsidR="00052BF2" w:rsidRPr="00FD211F">
        <w:rPr>
          <w:sz w:val="36"/>
          <w:szCs w:val="36"/>
          <w:rtl/>
        </w:rPr>
        <w:t>الحمل هي نسب</w:t>
      </w:r>
      <w:r w:rsidR="00EC7EDF" w:rsidRPr="00FD211F">
        <w:rPr>
          <w:sz w:val="36"/>
          <w:szCs w:val="36"/>
          <w:rtl/>
        </w:rPr>
        <w:t xml:space="preserve">ة </w:t>
      </w:r>
      <w:r w:rsidR="00052BF2" w:rsidRPr="00FD211F">
        <w:rPr>
          <w:sz w:val="36"/>
          <w:szCs w:val="36"/>
          <w:rtl/>
        </w:rPr>
        <w:t>ا</w:t>
      </w:r>
      <w:r w:rsidR="00903AF8" w:rsidRPr="00FD211F">
        <w:rPr>
          <w:sz w:val="36"/>
          <w:szCs w:val="36"/>
          <w:rtl/>
        </w:rPr>
        <w:t>لنوع الى جنسه او الفرد الى نوعه.</w:t>
      </w:r>
    </w:p>
    <w:p w14:paraId="1DF7968B" w14:textId="77777777" w:rsidR="00052BF2" w:rsidRPr="00FD211F" w:rsidRDefault="00052BF2" w:rsidP="009C58C8">
      <w:pPr>
        <w:ind w:left="0" w:firstLine="227"/>
        <w:jc w:val="both"/>
        <w:rPr>
          <w:sz w:val="36"/>
          <w:szCs w:val="36"/>
          <w:rtl/>
        </w:rPr>
      </w:pPr>
      <w:r w:rsidRPr="00FD211F">
        <w:rPr>
          <w:sz w:val="36"/>
          <w:szCs w:val="36"/>
          <w:rtl/>
        </w:rPr>
        <w:t>بينما انه في البحوث كان بصدد كشف</w:t>
      </w:r>
      <w:r w:rsidR="00903AF8" w:rsidRPr="00FD211F">
        <w:rPr>
          <w:sz w:val="36"/>
          <w:szCs w:val="36"/>
          <w:rtl/>
        </w:rPr>
        <w:t xml:space="preserve"> معنى المحمول في القضي</w:t>
      </w:r>
      <w:r w:rsidR="00EC7EDF" w:rsidRPr="00FD211F">
        <w:rPr>
          <w:sz w:val="36"/>
          <w:szCs w:val="36"/>
          <w:rtl/>
        </w:rPr>
        <w:t xml:space="preserve">ة </w:t>
      </w:r>
      <w:r w:rsidR="00903AF8" w:rsidRPr="00FD211F">
        <w:rPr>
          <w:sz w:val="36"/>
          <w:szCs w:val="36"/>
          <w:rtl/>
        </w:rPr>
        <w:t>كقولنا</w:t>
      </w:r>
      <w:r w:rsidR="000563CE" w:rsidRPr="00FD211F">
        <w:rPr>
          <w:sz w:val="36"/>
          <w:szCs w:val="36"/>
          <w:rtl/>
        </w:rPr>
        <w:t xml:space="preserve"> </w:t>
      </w:r>
      <w:r w:rsidR="00183852" w:rsidRPr="00FD211F">
        <w:rPr>
          <w:sz w:val="36"/>
          <w:szCs w:val="36"/>
          <w:rtl/>
        </w:rPr>
        <w:t>"الحج</w:t>
      </w:r>
      <w:r w:rsidR="00903AF8" w:rsidRPr="00FD211F">
        <w:rPr>
          <w:sz w:val="36"/>
          <w:szCs w:val="36"/>
          <w:rtl/>
        </w:rPr>
        <w:t>ر صعيد</w:t>
      </w:r>
      <w:r w:rsidR="00183852" w:rsidRPr="00FD211F">
        <w:rPr>
          <w:sz w:val="36"/>
          <w:szCs w:val="36"/>
          <w:rtl/>
        </w:rPr>
        <w:t>"</w:t>
      </w:r>
      <w:r w:rsidR="000563CE" w:rsidRPr="00FD211F">
        <w:rPr>
          <w:sz w:val="36"/>
          <w:szCs w:val="36"/>
          <w:rtl/>
        </w:rPr>
        <w:t xml:space="preserve"> </w:t>
      </w:r>
      <w:r w:rsidR="00903AF8" w:rsidRPr="00FD211F">
        <w:rPr>
          <w:sz w:val="36"/>
          <w:szCs w:val="36"/>
          <w:rtl/>
        </w:rPr>
        <w:t>فالملحوظ في كلام البحوث يختلف عما هو الملحوظ في كلام المفصِّل</w:t>
      </w:r>
      <w:r w:rsidRPr="00FD211F">
        <w:rPr>
          <w:sz w:val="36"/>
          <w:szCs w:val="36"/>
          <w:rtl/>
        </w:rPr>
        <w:t xml:space="preserve"> </w:t>
      </w:r>
      <w:r w:rsidR="00903AF8" w:rsidRPr="00FD211F">
        <w:rPr>
          <w:sz w:val="36"/>
          <w:szCs w:val="36"/>
          <w:rtl/>
        </w:rPr>
        <w:t>فلاينبغي عد ما ذكره اشكالا عليه</w:t>
      </w:r>
      <w:r w:rsidR="00EC7EDF" w:rsidRPr="00FD211F">
        <w:rPr>
          <w:sz w:val="36"/>
          <w:szCs w:val="36"/>
          <w:rtl/>
        </w:rPr>
        <w:t>.</w:t>
      </w:r>
    </w:p>
    <w:p w14:paraId="3E57230B" w14:textId="77777777" w:rsidR="00903AF8" w:rsidRPr="00FD211F" w:rsidRDefault="00052BF2" w:rsidP="009C58C8">
      <w:pPr>
        <w:ind w:left="0" w:firstLine="227"/>
        <w:jc w:val="both"/>
        <w:rPr>
          <w:sz w:val="36"/>
          <w:szCs w:val="36"/>
          <w:rtl/>
        </w:rPr>
      </w:pPr>
      <w:r w:rsidRPr="00FD211F">
        <w:rPr>
          <w:sz w:val="36"/>
          <w:szCs w:val="36"/>
          <w:rtl/>
        </w:rPr>
        <w:t>وكيف كان ف</w:t>
      </w:r>
      <w:r w:rsidR="00903AF8" w:rsidRPr="00FD211F">
        <w:rPr>
          <w:sz w:val="36"/>
          <w:szCs w:val="36"/>
          <w:rtl/>
        </w:rPr>
        <w:t xml:space="preserve">قدتحصل مما ذكرناه </w:t>
      </w:r>
      <w:r w:rsidRPr="00FD211F">
        <w:rPr>
          <w:sz w:val="36"/>
          <w:szCs w:val="36"/>
          <w:rtl/>
        </w:rPr>
        <w:t>تمامي</w:t>
      </w:r>
      <w:r w:rsidR="00EC7EDF" w:rsidRPr="00FD211F">
        <w:rPr>
          <w:sz w:val="36"/>
          <w:szCs w:val="36"/>
          <w:rtl/>
        </w:rPr>
        <w:t xml:space="preserve">ة </w:t>
      </w:r>
      <w:r w:rsidRPr="00FD211F">
        <w:rPr>
          <w:sz w:val="36"/>
          <w:szCs w:val="36"/>
          <w:rtl/>
        </w:rPr>
        <w:t>علام</w:t>
      </w:r>
      <w:r w:rsidR="00903AF8" w:rsidRPr="00FD211F">
        <w:rPr>
          <w:sz w:val="36"/>
          <w:szCs w:val="36"/>
          <w:rtl/>
        </w:rPr>
        <w:t>ي</w:t>
      </w:r>
      <w:r w:rsidR="00EC7EDF" w:rsidRPr="00FD211F">
        <w:rPr>
          <w:sz w:val="36"/>
          <w:szCs w:val="36"/>
          <w:rtl/>
        </w:rPr>
        <w:t xml:space="preserve">ة </w:t>
      </w:r>
      <w:r w:rsidR="00903AF8" w:rsidRPr="00FD211F">
        <w:rPr>
          <w:sz w:val="36"/>
          <w:szCs w:val="36"/>
          <w:rtl/>
        </w:rPr>
        <w:t>صح</w:t>
      </w:r>
      <w:r w:rsidR="00EC7EDF" w:rsidRPr="00FD211F">
        <w:rPr>
          <w:sz w:val="36"/>
          <w:szCs w:val="36"/>
          <w:rtl/>
        </w:rPr>
        <w:t xml:space="preserve">ة </w:t>
      </w:r>
      <w:r w:rsidR="00903AF8" w:rsidRPr="00FD211F">
        <w:rPr>
          <w:sz w:val="36"/>
          <w:szCs w:val="36"/>
          <w:rtl/>
        </w:rPr>
        <w:t>الحمل الأولي والشائع معا.</w:t>
      </w:r>
    </w:p>
    <w:p w14:paraId="2FE840F4" w14:textId="77777777" w:rsidR="008B2617" w:rsidRPr="00FD211F" w:rsidRDefault="008B2617" w:rsidP="009C58C8">
      <w:pPr>
        <w:ind w:left="0" w:firstLine="227"/>
        <w:jc w:val="both"/>
        <w:rPr>
          <w:sz w:val="36"/>
          <w:szCs w:val="36"/>
          <w:rtl/>
        </w:rPr>
      </w:pPr>
      <w:r w:rsidRPr="00FD211F">
        <w:rPr>
          <w:sz w:val="36"/>
          <w:szCs w:val="36"/>
          <w:rtl/>
        </w:rPr>
        <w:t>ثم انه اورد على علامي</w:t>
      </w:r>
      <w:r w:rsidR="00EC7EDF" w:rsidRPr="00FD211F">
        <w:rPr>
          <w:sz w:val="36"/>
          <w:szCs w:val="36"/>
          <w:rtl/>
        </w:rPr>
        <w:t xml:space="preserve">ة </w:t>
      </w:r>
      <w:r w:rsidRPr="00FD211F">
        <w:rPr>
          <w:sz w:val="36"/>
          <w:szCs w:val="36"/>
          <w:rtl/>
        </w:rPr>
        <w:t>صح</w:t>
      </w:r>
      <w:r w:rsidR="00EC7EDF" w:rsidRPr="00FD211F">
        <w:rPr>
          <w:sz w:val="36"/>
          <w:szCs w:val="36"/>
          <w:rtl/>
        </w:rPr>
        <w:t xml:space="preserve">ة </w:t>
      </w:r>
      <w:r w:rsidRPr="00FD211F">
        <w:rPr>
          <w:sz w:val="36"/>
          <w:szCs w:val="36"/>
          <w:rtl/>
        </w:rPr>
        <w:t>الحمل بايرادين آخرين ايضا:</w:t>
      </w:r>
    </w:p>
    <w:p w14:paraId="7C108FF4" w14:textId="77777777" w:rsidR="000C5BBA" w:rsidRPr="00FD211F" w:rsidRDefault="008B2617" w:rsidP="009C58C8">
      <w:pPr>
        <w:ind w:left="0" w:firstLine="227"/>
        <w:jc w:val="both"/>
        <w:rPr>
          <w:sz w:val="36"/>
          <w:szCs w:val="36"/>
          <w:rtl/>
        </w:rPr>
      </w:pPr>
      <w:r w:rsidRPr="00FD211F">
        <w:rPr>
          <w:b/>
          <w:bCs/>
          <w:sz w:val="36"/>
          <w:szCs w:val="36"/>
          <w:rtl/>
        </w:rPr>
        <w:t>احدهما</w:t>
      </w:r>
      <w:r w:rsidRPr="00FD211F">
        <w:rPr>
          <w:sz w:val="36"/>
          <w:szCs w:val="36"/>
          <w:rtl/>
        </w:rPr>
        <w:t>:</w:t>
      </w:r>
      <w:r w:rsidR="00903AF8" w:rsidRPr="00FD211F">
        <w:rPr>
          <w:sz w:val="36"/>
          <w:szCs w:val="36"/>
          <w:rtl/>
        </w:rPr>
        <w:t>ما</w:t>
      </w:r>
      <w:r w:rsidR="00052BF2" w:rsidRPr="00FD211F">
        <w:rPr>
          <w:sz w:val="36"/>
          <w:szCs w:val="36"/>
          <w:rtl/>
        </w:rPr>
        <w:t xml:space="preserve"> ذكره السيد الخوئي</w:t>
      </w:r>
      <w:r w:rsidR="00A61BAE" w:rsidRPr="00FD211F">
        <w:rPr>
          <w:sz w:val="36"/>
          <w:szCs w:val="36"/>
          <w:rtl/>
        </w:rPr>
        <w:t xml:space="preserve"> </w:t>
      </w:r>
      <w:r w:rsidR="000563CE" w:rsidRPr="00FD211F">
        <w:rPr>
          <w:sz w:val="36"/>
          <w:szCs w:val="36"/>
          <w:rtl/>
        </w:rPr>
        <w:t>"قده"</w:t>
      </w:r>
      <w:r w:rsidR="00A61BAE" w:rsidRPr="00FD211F">
        <w:rPr>
          <w:sz w:val="36"/>
          <w:szCs w:val="36"/>
          <w:rtl/>
        </w:rPr>
        <w:t xml:space="preserve"> </w:t>
      </w:r>
      <w:r w:rsidR="00052BF2" w:rsidRPr="00FD211F">
        <w:rPr>
          <w:sz w:val="36"/>
          <w:szCs w:val="36"/>
          <w:rtl/>
        </w:rPr>
        <w:t>من ان صح</w:t>
      </w:r>
      <w:r w:rsidR="00EC7EDF" w:rsidRPr="00FD211F">
        <w:rPr>
          <w:sz w:val="36"/>
          <w:szCs w:val="36"/>
          <w:rtl/>
        </w:rPr>
        <w:t xml:space="preserve">ة </w:t>
      </w:r>
      <w:r w:rsidR="00052BF2" w:rsidRPr="00FD211F">
        <w:rPr>
          <w:sz w:val="36"/>
          <w:szCs w:val="36"/>
          <w:rtl/>
        </w:rPr>
        <w:t>الحمل تابع</w:t>
      </w:r>
      <w:r w:rsidR="00EC7EDF" w:rsidRPr="00FD211F">
        <w:rPr>
          <w:sz w:val="36"/>
          <w:szCs w:val="36"/>
          <w:rtl/>
        </w:rPr>
        <w:t xml:space="preserve">ة </w:t>
      </w:r>
      <w:r w:rsidR="00052BF2" w:rsidRPr="00FD211F">
        <w:rPr>
          <w:sz w:val="36"/>
          <w:szCs w:val="36"/>
          <w:rtl/>
        </w:rPr>
        <w:t>لما يراد من اللفظ</w:t>
      </w:r>
      <w:r w:rsidR="00603323" w:rsidRPr="00FD211F">
        <w:rPr>
          <w:sz w:val="36"/>
          <w:szCs w:val="36"/>
          <w:rtl/>
        </w:rPr>
        <w:t xml:space="preserve">، </w:t>
      </w:r>
      <w:r w:rsidR="00052BF2" w:rsidRPr="00FD211F">
        <w:rPr>
          <w:sz w:val="36"/>
          <w:szCs w:val="36"/>
          <w:rtl/>
        </w:rPr>
        <w:t>فاذا اريد من لفظ الاسد مثلا الرجل الشجاع صح حمله على الإنسان</w:t>
      </w:r>
      <w:r w:rsidR="00603323" w:rsidRPr="00FD211F">
        <w:rPr>
          <w:sz w:val="36"/>
          <w:szCs w:val="36"/>
          <w:rtl/>
        </w:rPr>
        <w:t xml:space="preserve">، </w:t>
      </w:r>
      <w:r w:rsidR="00052BF2" w:rsidRPr="00FD211F">
        <w:rPr>
          <w:sz w:val="36"/>
          <w:szCs w:val="36"/>
          <w:rtl/>
        </w:rPr>
        <w:t>واذا اريد به الحيوان المفترس</w:t>
      </w:r>
      <w:r w:rsidR="008D7B3D" w:rsidRPr="00FD211F">
        <w:rPr>
          <w:sz w:val="36"/>
          <w:szCs w:val="36"/>
          <w:rtl/>
        </w:rPr>
        <w:t xml:space="preserve"> لم‌</w:t>
      </w:r>
      <w:r w:rsidR="00052BF2" w:rsidRPr="00FD211F">
        <w:rPr>
          <w:sz w:val="36"/>
          <w:szCs w:val="36"/>
          <w:rtl/>
        </w:rPr>
        <w:t>يصح حمله على الانسان</w:t>
      </w:r>
      <w:r w:rsidR="00603323" w:rsidRPr="00FD211F">
        <w:rPr>
          <w:sz w:val="36"/>
          <w:szCs w:val="36"/>
          <w:rtl/>
        </w:rPr>
        <w:t xml:space="preserve">، </w:t>
      </w:r>
      <w:r w:rsidR="00052BF2" w:rsidRPr="00FD211F">
        <w:rPr>
          <w:sz w:val="36"/>
          <w:szCs w:val="36"/>
          <w:rtl/>
        </w:rPr>
        <w:t>فيلزم في استكشاف ان أيّا من المعنيين هو المعنى الحقيقي للفظ الاسد الى طريق آخر غير صح</w:t>
      </w:r>
      <w:r w:rsidR="00EC7EDF" w:rsidRPr="00FD211F">
        <w:rPr>
          <w:sz w:val="36"/>
          <w:szCs w:val="36"/>
          <w:rtl/>
        </w:rPr>
        <w:t xml:space="preserve">ة </w:t>
      </w:r>
      <w:r w:rsidR="00052BF2" w:rsidRPr="00FD211F">
        <w:rPr>
          <w:sz w:val="36"/>
          <w:szCs w:val="36"/>
          <w:rtl/>
        </w:rPr>
        <w:t>الحمل</w:t>
      </w:r>
      <w:r w:rsidR="00603323" w:rsidRPr="00FD211F">
        <w:rPr>
          <w:sz w:val="36"/>
          <w:szCs w:val="36"/>
          <w:rtl/>
        </w:rPr>
        <w:t xml:space="preserve">، </w:t>
      </w:r>
      <w:r w:rsidR="00052BF2" w:rsidRPr="00FD211F">
        <w:rPr>
          <w:sz w:val="36"/>
          <w:szCs w:val="36"/>
          <w:rtl/>
        </w:rPr>
        <w:t>ولايكون ذلك الا التبادر</w:t>
      </w:r>
      <w:r w:rsidR="009C58C8" w:rsidRPr="00FD211F">
        <w:rPr>
          <w:rStyle w:val="a6"/>
          <w:sz w:val="36"/>
          <w:szCs w:val="36"/>
          <w:rtl/>
        </w:rPr>
        <w:t>(</w:t>
      </w:r>
      <w:r w:rsidR="009C58C8" w:rsidRPr="00FD211F">
        <w:rPr>
          <w:rStyle w:val="a6"/>
          <w:sz w:val="36"/>
          <w:szCs w:val="36"/>
          <w:rtl/>
        </w:rPr>
        <w:footnoteReference w:id="315"/>
      </w:r>
      <w:r w:rsidR="009C58C8" w:rsidRPr="00FD211F">
        <w:rPr>
          <w:rStyle w:val="a6"/>
          <w:sz w:val="36"/>
          <w:szCs w:val="36"/>
          <w:rtl/>
        </w:rPr>
        <w:t>)</w:t>
      </w:r>
    </w:p>
    <w:p w14:paraId="226F7024" w14:textId="77777777" w:rsidR="00052BF2" w:rsidRPr="00FD211F" w:rsidRDefault="008B2617" w:rsidP="009C58C8">
      <w:pPr>
        <w:ind w:left="0" w:firstLine="227"/>
        <w:jc w:val="both"/>
        <w:rPr>
          <w:sz w:val="36"/>
          <w:szCs w:val="36"/>
          <w:rtl/>
        </w:rPr>
      </w:pPr>
      <w:r w:rsidRPr="00FD211F">
        <w:rPr>
          <w:sz w:val="36"/>
          <w:szCs w:val="36"/>
          <w:rtl/>
        </w:rPr>
        <w:t>وفيه</w:t>
      </w:r>
      <w:r w:rsidR="00052BF2" w:rsidRPr="00FD211F">
        <w:rPr>
          <w:sz w:val="36"/>
          <w:szCs w:val="36"/>
          <w:rtl/>
        </w:rPr>
        <w:t xml:space="preserve"> ان وجداني</w:t>
      </w:r>
      <w:r w:rsidR="00EC7EDF" w:rsidRPr="00FD211F">
        <w:rPr>
          <w:sz w:val="36"/>
          <w:szCs w:val="36"/>
          <w:rtl/>
        </w:rPr>
        <w:t xml:space="preserve">ة </w:t>
      </w:r>
      <w:r w:rsidR="00052BF2" w:rsidRPr="00FD211F">
        <w:rPr>
          <w:sz w:val="36"/>
          <w:szCs w:val="36"/>
          <w:rtl/>
        </w:rPr>
        <w:t>صح</w:t>
      </w:r>
      <w:r w:rsidR="00EC7EDF" w:rsidRPr="00FD211F">
        <w:rPr>
          <w:sz w:val="36"/>
          <w:szCs w:val="36"/>
          <w:rtl/>
        </w:rPr>
        <w:t xml:space="preserve">ة </w:t>
      </w:r>
      <w:r w:rsidR="00052BF2" w:rsidRPr="00FD211F">
        <w:rPr>
          <w:sz w:val="36"/>
          <w:szCs w:val="36"/>
          <w:rtl/>
        </w:rPr>
        <w:t xml:space="preserve">حمل اللفظ بما له من المعنى المرتكز على </w:t>
      </w:r>
      <w:r w:rsidR="008D7B3D" w:rsidRPr="00FD211F">
        <w:rPr>
          <w:sz w:val="36"/>
          <w:szCs w:val="36"/>
          <w:rtl/>
        </w:rPr>
        <w:t xml:space="preserve">شيء </w:t>
      </w:r>
      <w:r w:rsidR="00052BF2" w:rsidRPr="00FD211F">
        <w:rPr>
          <w:sz w:val="36"/>
          <w:szCs w:val="36"/>
          <w:rtl/>
        </w:rPr>
        <w:t>تصلح ان تكون كاشف</w:t>
      </w:r>
      <w:r w:rsidR="00EC7EDF" w:rsidRPr="00FD211F">
        <w:rPr>
          <w:sz w:val="36"/>
          <w:szCs w:val="36"/>
          <w:rtl/>
        </w:rPr>
        <w:t xml:space="preserve">ة </w:t>
      </w:r>
      <w:r w:rsidR="00052BF2" w:rsidRPr="00FD211F">
        <w:rPr>
          <w:sz w:val="36"/>
          <w:szCs w:val="36"/>
          <w:rtl/>
        </w:rPr>
        <w:t>عن وجود الملازم</w:t>
      </w:r>
      <w:r w:rsidR="00EC7EDF" w:rsidRPr="00FD211F">
        <w:rPr>
          <w:sz w:val="36"/>
          <w:szCs w:val="36"/>
          <w:rtl/>
        </w:rPr>
        <w:t xml:space="preserve">ة </w:t>
      </w:r>
      <w:r w:rsidR="00052BF2" w:rsidRPr="00FD211F">
        <w:rPr>
          <w:sz w:val="36"/>
          <w:szCs w:val="36"/>
          <w:rtl/>
        </w:rPr>
        <w:t>الذهني</w:t>
      </w:r>
      <w:r w:rsidR="00EC7EDF" w:rsidRPr="00FD211F">
        <w:rPr>
          <w:sz w:val="36"/>
          <w:szCs w:val="36"/>
          <w:rtl/>
        </w:rPr>
        <w:t xml:space="preserve">ة </w:t>
      </w:r>
      <w:r w:rsidR="00052BF2" w:rsidRPr="00FD211F">
        <w:rPr>
          <w:sz w:val="36"/>
          <w:szCs w:val="36"/>
          <w:rtl/>
        </w:rPr>
        <w:t>بين اللفظ والمعنى.</w:t>
      </w:r>
    </w:p>
    <w:p w14:paraId="282DC928" w14:textId="77777777" w:rsidR="008B2617" w:rsidRPr="00FD211F" w:rsidRDefault="008B2617" w:rsidP="009C58C8">
      <w:pPr>
        <w:ind w:left="0" w:firstLine="227"/>
        <w:jc w:val="both"/>
        <w:rPr>
          <w:sz w:val="36"/>
          <w:szCs w:val="36"/>
          <w:rtl/>
        </w:rPr>
      </w:pPr>
      <w:r w:rsidRPr="00FD211F">
        <w:rPr>
          <w:b/>
          <w:bCs/>
          <w:sz w:val="36"/>
          <w:szCs w:val="36"/>
          <w:rtl/>
        </w:rPr>
        <w:t>ثانيهما</w:t>
      </w:r>
      <w:r w:rsidRPr="00FD211F">
        <w:rPr>
          <w:sz w:val="36"/>
          <w:szCs w:val="36"/>
          <w:rtl/>
        </w:rPr>
        <w:t>:</w:t>
      </w:r>
      <w:r w:rsidR="00052BF2" w:rsidRPr="00FD211F">
        <w:rPr>
          <w:sz w:val="36"/>
          <w:szCs w:val="36"/>
          <w:rtl/>
        </w:rPr>
        <w:t>ما قد يقال من ان ادراك صح</w:t>
      </w:r>
      <w:r w:rsidR="00EC7EDF" w:rsidRPr="00FD211F">
        <w:rPr>
          <w:sz w:val="36"/>
          <w:szCs w:val="36"/>
          <w:rtl/>
        </w:rPr>
        <w:t xml:space="preserve">ة </w:t>
      </w:r>
      <w:r w:rsidR="00052BF2" w:rsidRPr="00FD211F">
        <w:rPr>
          <w:sz w:val="36"/>
          <w:szCs w:val="36"/>
          <w:rtl/>
        </w:rPr>
        <w:t>الحمل يتوقف على العلم بالوضع</w:t>
      </w:r>
      <w:r w:rsidR="00603323" w:rsidRPr="00FD211F">
        <w:rPr>
          <w:sz w:val="36"/>
          <w:szCs w:val="36"/>
          <w:rtl/>
        </w:rPr>
        <w:t xml:space="preserve">، </w:t>
      </w:r>
      <w:r w:rsidR="00052BF2" w:rsidRPr="00FD211F">
        <w:rPr>
          <w:sz w:val="36"/>
          <w:szCs w:val="36"/>
          <w:rtl/>
        </w:rPr>
        <w:t>فلايمكن ان يجعل علام</w:t>
      </w:r>
      <w:r w:rsidR="00EC7EDF" w:rsidRPr="00FD211F">
        <w:rPr>
          <w:sz w:val="36"/>
          <w:szCs w:val="36"/>
          <w:rtl/>
        </w:rPr>
        <w:t xml:space="preserve">ة </w:t>
      </w:r>
      <w:r w:rsidR="00052BF2" w:rsidRPr="00FD211F">
        <w:rPr>
          <w:sz w:val="36"/>
          <w:szCs w:val="36"/>
          <w:rtl/>
        </w:rPr>
        <w:t>توجب العلم بالوضع</w:t>
      </w:r>
      <w:r w:rsidR="00603323" w:rsidRPr="00FD211F">
        <w:rPr>
          <w:sz w:val="36"/>
          <w:szCs w:val="36"/>
          <w:rtl/>
        </w:rPr>
        <w:t xml:space="preserve">، </w:t>
      </w:r>
      <w:r w:rsidR="00052BF2" w:rsidRPr="00FD211F">
        <w:rPr>
          <w:sz w:val="36"/>
          <w:szCs w:val="36"/>
          <w:rtl/>
        </w:rPr>
        <w:t>فانه مستلزم للدور</w:t>
      </w:r>
      <w:r w:rsidRPr="00FD211F">
        <w:rPr>
          <w:sz w:val="36"/>
          <w:szCs w:val="36"/>
          <w:rtl/>
        </w:rPr>
        <w:t>.</w:t>
      </w:r>
    </w:p>
    <w:p w14:paraId="7F8AC038" w14:textId="77777777" w:rsidR="000C5BBA" w:rsidRPr="00FD211F" w:rsidRDefault="008B2617" w:rsidP="009C58C8">
      <w:pPr>
        <w:ind w:left="0" w:firstLine="227"/>
        <w:jc w:val="both"/>
        <w:rPr>
          <w:sz w:val="36"/>
          <w:szCs w:val="36"/>
          <w:rtl/>
        </w:rPr>
      </w:pPr>
      <w:r w:rsidRPr="00FD211F">
        <w:rPr>
          <w:sz w:val="36"/>
          <w:szCs w:val="36"/>
          <w:rtl/>
        </w:rPr>
        <w:t>وفيه</w:t>
      </w:r>
      <w:r w:rsidR="00052BF2" w:rsidRPr="00FD211F">
        <w:rPr>
          <w:sz w:val="36"/>
          <w:szCs w:val="36"/>
          <w:rtl/>
        </w:rPr>
        <w:t xml:space="preserve"> ان ادراك صح</w:t>
      </w:r>
      <w:r w:rsidR="00EC7EDF" w:rsidRPr="00FD211F">
        <w:rPr>
          <w:sz w:val="36"/>
          <w:szCs w:val="36"/>
          <w:rtl/>
        </w:rPr>
        <w:t xml:space="preserve">ة </w:t>
      </w:r>
      <w:r w:rsidR="00052BF2" w:rsidRPr="00FD211F">
        <w:rPr>
          <w:sz w:val="36"/>
          <w:szCs w:val="36"/>
          <w:rtl/>
        </w:rPr>
        <w:t xml:space="preserve">حمل اللفظ بما له من المعنى المرتكز على </w:t>
      </w:r>
      <w:r w:rsidR="008D7B3D" w:rsidRPr="00FD211F">
        <w:rPr>
          <w:sz w:val="36"/>
          <w:szCs w:val="36"/>
          <w:rtl/>
        </w:rPr>
        <w:t xml:space="preserve">شيء </w:t>
      </w:r>
      <w:r w:rsidR="00052BF2" w:rsidRPr="00FD211F">
        <w:rPr>
          <w:sz w:val="36"/>
          <w:szCs w:val="36"/>
          <w:rtl/>
        </w:rPr>
        <w:t>لايتوقف على العلم الت</w:t>
      </w:r>
      <w:r w:rsidRPr="00FD211F">
        <w:rPr>
          <w:sz w:val="36"/>
          <w:szCs w:val="36"/>
          <w:rtl/>
        </w:rPr>
        <w:t>فصيلي</w:t>
      </w:r>
      <w:r w:rsidR="00052BF2" w:rsidRPr="00FD211F">
        <w:rPr>
          <w:sz w:val="36"/>
          <w:szCs w:val="36"/>
          <w:rtl/>
        </w:rPr>
        <w:t xml:space="preserve"> بالوضع</w:t>
      </w:r>
      <w:r w:rsidR="00603323" w:rsidRPr="00FD211F">
        <w:rPr>
          <w:sz w:val="36"/>
          <w:szCs w:val="36"/>
          <w:rtl/>
        </w:rPr>
        <w:t xml:space="preserve">، </w:t>
      </w:r>
      <w:r w:rsidR="00052BF2" w:rsidRPr="00FD211F">
        <w:rPr>
          <w:sz w:val="36"/>
          <w:szCs w:val="36"/>
          <w:rtl/>
        </w:rPr>
        <w:t>وانما يتوقف على وجود الملازم</w:t>
      </w:r>
      <w:r w:rsidR="00EC7EDF" w:rsidRPr="00FD211F">
        <w:rPr>
          <w:sz w:val="36"/>
          <w:szCs w:val="36"/>
          <w:rtl/>
        </w:rPr>
        <w:t xml:space="preserve">ة </w:t>
      </w:r>
      <w:r w:rsidR="00052BF2" w:rsidRPr="00FD211F">
        <w:rPr>
          <w:sz w:val="36"/>
          <w:szCs w:val="36"/>
          <w:rtl/>
        </w:rPr>
        <w:t>الذهني</w:t>
      </w:r>
      <w:r w:rsidR="00EC7EDF" w:rsidRPr="00FD211F">
        <w:rPr>
          <w:sz w:val="36"/>
          <w:szCs w:val="36"/>
          <w:rtl/>
        </w:rPr>
        <w:t xml:space="preserve">ة </w:t>
      </w:r>
      <w:r w:rsidR="00052BF2" w:rsidRPr="00FD211F">
        <w:rPr>
          <w:sz w:val="36"/>
          <w:szCs w:val="36"/>
          <w:rtl/>
        </w:rPr>
        <w:t>بين اللفظ والمعنى في صقع النفس وان</w:t>
      </w:r>
      <w:r w:rsidR="008D7B3D" w:rsidRPr="00FD211F">
        <w:rPr>
          <w:sz w:val="36"/>
          <w:szCs w:val="36"/>
          <w:rtl/>
        </w:rPr>
        <w:t xml:space="preserve"> لم‌</w:t>
      </w:r>
      <w:r w:rsidR="00052BF2" w:rsidRPr="00FD211F">
        <w:rPr>
          <w:sz w:val="36"/>
          <w:szCs w:val="36"/>
          <w:rtl/>
        </w:rPr>
        <w:t>يلتفت اليها تفصيلا</w:t>
      </w:r>
      <w:r w:rsidR="00603323" w:rsidRPr="00FD211F">
        <w:rPr>
          <w:sz w:val="36"/>
          <w:szCs w:val="36"/>
          <w:rtl/>
        </w:rPr>
        <w:t xml:space="preserve">، </w:t>
      </w:r>
      <w:r w:rsidRPr="00FD211F">
        <w:rPr>
          <w:sz w:val="36"/>
          <w:szCs w:val="36"/>
          <w:rtl/>
        </w:rPr>
        <w:t>بل مرَّ ان الملازم</w:t>
      </w:r>
      <w:r w:rsidR="00EC7EDF" w:rsidRPr="00FD211F">
        <w:rPr>
          <w:sz w:val="36"/>
          <w:szCs w:val="36"/>
          <w:rtl/>
        </w:rPr>
        <w:t xml:space="preserve">ة </w:t>
      </w:r>
      <w:r w:rsidRPr="00FD211F">
        <w:rPr>
          <w:sz w:val="36"/>
          <w:szCs w:val="36"/>
          <w:rtl/>
        </w:rPr>
        <w:t>الذهني</w:t>
      </w:r>
      <w:r w:rsidR="00EC7EDF" w:rsidRPr="00FD211F">
        <w:rPr>
          <w:sz w:val="36"/>
          <w:szCs w:val="36"/>
          <w:rtl/>
        </w:rPr>
        <w:t xml:space="preserve">ة </w:t>
      </w:r>
      <w:r w:rsidRPr="00FD211F">
        <w:rPr>
          <w:sz w:val="36"/>
          <w:szCs w:val="36"/>
          <w:rtl/>
        </w:rPr>
        <w:t>ليست من مقول</w:t>
      </w:r>
      <w:r w:rsidR="00EC7EDF" w:rsidRPr="00FD211F">
        <w:rPr>
          <w:sz w:val="36"/>
          <w:szCs w:val="36"/>
          <w:rtl/>
        </w:rPr>
        <w:t xml:space="preserve">ة </w:t>
      </w:r>
      <w:r w:rsidRPr="00FD211F">
        <w:rPr>
          <w:sz w:val="36"/>
          <w:szCs w:val="36"/>
          <w:rtl/>
        </w:rPr>
        <w:t xml:space="preserve">العلم فقد توجد لدى الحيوانات او الطفل الرضيع </w:t>
      </w:r>
      <w:r w:rsidR="007522D6" w:rsidRPr="00FD211F">
        <w:rPr>
          <w:sz w:val="36"/>
          <w:szCs w:val="36"/>
          <w:rtl/>
        </w:rPr>
        <w:t>كمالواقترن لفظ الحليب في ذهنه بالحليب</w:t>
      </w:r>
      <w:r w:rsidR="00603323" w:rsidRPr="00FD211F">
        <w:rPr>
          <w:sz w:val="36"/>
          <w:szCs w:val="36"/>
          <w:rtl/>
        </w:rPr>
        <w:t xml:space="preserve">، </w:t>
      </w:r>
      <w:r w:rsidR="00052BF2" w:rsidRPr="00FD211F">
        <w:rPr>
          <w:sz w:val="36"/>
          <w:szCs w:val="36"/>
          <w:rtl/>
        </w:rPr>
        <w:t>وقد يشك الانسان في تلك الملازم</w:t>
      </w:r>
      <w:r w:rsidR="00EC7EDF" w:rsidRPr="00FD211F">
        <w:rPr>
          <w:sz w:val="36"/>
          <w:szCs w:val="36"/>
          <w:rtl/>
        </w:rPr>
        <w:t xml:space="preserve">ة </w:t>
      </w:r>
      <w:r w:rsidR="00052BF2" w:rsidRPr="00FD211F">
        <w:rPr>
          <w:sz w:val="36"/>
          <w:szCs w:val="36"/>
          <w:rtl/>
        </w:rPr>
        <w:t>الذهني</w:t>
      </w:r>
      <w:r w:rsidR="00EC7EDF" w:rsidRPr="00FD211F">
        <w:rPr>
          <w:sz w:val="36"/>
          <w:szCs w:val="36"/>
          <w:rtl/>
        </w:rPr>
        <w:t xml:space="preserve">ة </w:t>
      </w:r>
      <w:r w:rsidR="00052BF2" w:rsidRPr="00FD211F">
        <w:rPr>
          <w:sz w:val="36"/>
          <w:szCs w:val="36"/>
          <w:rtl/>
        </w:rPr>
        <w:t>مع وجودها في صقع ذهنه</w:t>
      </w:r>
      <w:r w:rsidR="00603323" w:rsidRPr="00FD211F">
        <w:rPr>
          <w:sz w:val="36"/>
          <w:szCs w:val="36"/>
          <w:rtl/>
        </w:rPr>
        <w:t xml:space="preserve">، </w:t>
      </w:r>
      <w:r w:rsidR="00052BF2" w:rsidRPr="00FD211F">
        <w:rPr>
          <w:sz w:val="36"/>
          <w:szCs w:val="36"/>
          <w:rtl/>
        </w:rPr>
        <w:t>فيتوصل الى استكشافها من خلال احساسه بصح</w:t>
      </w:r>
      <w:r w:rsidR="00EC7EDF" w:rsidRPr="00FD211F">
        <w:rPr>
          <w:sz w:val="36"/>
          <w:szCs w:val="36"/>
          <w:rtl/>
        </w:rPr>
        <w:t xml:space="preserve">ة </w:t>
      </w:r>
      <w:r w:rsidR="00052BF2" w:rsidRPr="00FD211F">
        <w:rPr>
          <w:sz w:val="36"/>
          <w:szCs w:val="36"/>
          <w:rtl/>
        </w:rPr>
        <w:t>حمل اللفظ بما له م</w:t>
      </w:r>
      <w:r w:rsidR="00907149" w:rsidRPr="00FD211F">
        <w:rPr>
          <w:sz w:val="36"/>
          <w:szCs w:val="36"/>
          <w:rtl/>
        </w:rPr>
        <w:t>ن المعنى المرتكز على هذا المعنى.</w:t>
      </w:r>
    </w:p>
    <w:p w14:paraId="08FD297F" w14:textId="77777777" w:rsidR="00052BF2" w:rsidRPr="00FD211F" w:rsidRDefault="00052BF2" w:rsidP="009C58C8">
      <w:pPr>
        <w:ind w:left="0" w:firstLine="227"/>
        <w:jc w:val="both"/>
        <w:rPr>
          <w:sz w:val="36"/>
          <w:szCs w:val="36"/>
          <w:rtl/>
        </w:rPr>
      </w:pPr>
      <w:r w:rsidRPr="00FD211F">
        <w:rPr>
          <w:sz w:val="36"/>
          <w:szCs w:val="36"/>
          <w:rtl/>
        </w:rPr>
        <w:t>وهذا هو الجواب الصحيح عن اشكال الدور</w:t>
      </w:r>
      <w:r w:rsidR="00603323" w:rsidRPr="00FD211F">
        <w:rPr>
          <w:sz w:val="36"/>
          <w:szCs w:val="36"/>
          <w:rtl/>
        </w:rPr>
        <w:t xml:space="preserve">، </w:t>
      </w:r>
      <w:r w:rsidR="00907149" w:rsidRPr="00FD211F">
        <w:rPr>
          <w:sz w:val="36"/>
          <w:szCs w:val="36"/>
          <w:rtl/>
        </w:rPr>
        <w:t>وقد سبق نظيره في علامي</w:t>
      </w:r>
      <w:r w:rsidR="00EC7EDF" w:rsidRPr="00FD211F">
        <w:rPr>
          <w:sz w:val="36"/>
          <w:szCs w:val="36"/>
          <w:rtl/>
        </w:rPr>
        <w:t xml:space="preserve">ة </w:t>
      </w:r>
      <w:r w:rsidR="00907149" w:rsidRPr="00FD211F">
        <w:rPr>
          <w:sz w:val="36"/>
          <w:szCs w:val="36"/>
          <w:rtl/>
        </w:rPr>
        <w:t>التبادر</w:t>
      </w:r>
      <w:r w:rsidR="00603323" w:rsidRPr="00FD211F">
        <w:rPr>
          <w:sz w:val="36"/>
          <w:szCs w:val="36"/>
          <w:rtl/>
        </w:rPr>
        <w:t xml:space="preserve">، </w:t>
      </w:r>
      <w:r w:rsidRPr="00FD211F">
        <w:rPr>
          <w:sz w:val="36"/>
          <w:szCs w:val="36"/>
          <w:rtl/>
        </w:rPr>
        <w:t>ومعه فلاحاج</w:t>
      </w:r>
      <w:r w:rsidR="00EC7EDF" w:rsidRPr="00FD211F">
        <w:rPr>
          <w:sz w:val="36"/>
          <w:szCs w:val="36"/>
          <w:rtl/>
        </w:rPr>
        <w:t xml:space="preserve">ة </w:t>
      </w:r>
      <w:r w:rsidRPr="00FD211F">
        <w:rPr>
          <w:sz w:val="36"/>
          <w:szCs w:val="36"/>
          <w:rtl/>
        </w:rPr>
        <w:t>الى ما ذكره في الكفاي</w:t>
      </w:r>
      <w:r w:rsidR="00EC7EDF" w:rsidRPr="00FD211F">
        <w:rPr>
          <w:sz w:val="36"/>
          <w:szCs w:val="36"/>
          <w:rtl/>
        </w:rPr>
        <w:t xml:space="preserve">ة </w:t>
      </w:r>
      <w:r w:rsidRPr="00FD211F">
        <w:rPr>
          <w:sz w:val="36"/>
          <w:szCs w:val="36"/>
          <w:rtl/>
        </w:rPr>
        <w:t>من جواز جعل صح</w:t>
      </w:r>
      <w:r w:rsidR="00EC7EDF" w:rsidRPr="00FD211F">
        <w:rPr>
          <w:sz w:val="36"/>
          <w:szCs w:val="36"/>
          <w:rtl/>
        </w:rPr>
        <w:t xml:space="preserve">ة </w:t>
      </w:r>
      <w:r w:rsidRPr="00FD211F">
        <w:rPr>
          <w:sz w:val="36"/>
          <w:szCs w:val="36"/>
          <w:rtl/>
        </w:rPr>
        <w:t>الحمل لدى العالم بالوضع علام</w:t>
      </w:r>
      <w:r w:rsidR="00EC7EDF" w:rsidRPr="00FD211F">
        <w:rPr>
          <w:sz w:val="36"/>
          <w:szCs w:val="36"/>
          <w:rtl/>
        </w:rPr>
        <w:t xml:space="preserve">ة </w:t>
      </w:r>
      <w:r w:rsidRPr="00FD211F">
        <w:rPr>
          <w:sz w:val="36"/>
          <w:szCs w:val="36"/>
          <w:rtl/>
        </w:rPr>
        <w:t>موجب</w:t>
      </w:r>
      <w:r w:rsidR="00EC7EDF" w:rsidRPr="00FD211F">
        <w:rPr>
          <w:sz w:val="36"/>
          <w:szCs w:val="36"/>
          <w:rtl/>
        </w:rPr>
        <w:t xml:space="preserve">ة </w:t>
      </w:r>
      <w:r w:rsidRPr="00FD211F">
        <w:rPr>
          <w:sz w:val="36"/>
          <w:szCs w:val="36"/>
          <w:rtl/>
        </w:rPr>
        <w:t>لعلم المستعلم الجاهل بالوضع فعلا</w:t>
      </w:r>
      <w:r w:rsidR="009C58C8" w:rsidRPr="00FD211F">
        <w:rPr>
          <w:rStyle w:val="a6"/>
          <w:sz w:val="36"/>
          <w:szCs w:val="36"/>
          <w:rtl/>
        </w:rPr>
        <w:t>(</w:t>
      </w:r>
      <w:r w:rsidR="009C58C8" w:rsidRPr="00FD211F">
        <w:rPr>
          <w:rStyle w:val="a6"/>
          <w:sz w:val="36"/>
          <w:szCs w:val="36"/>
          <w:rtl/>
        </w:rPr>
        <w:footnoteReference w:id="316"/>
      </w:r>
      <w:r w:rsidR="009C58C8" w:rsidRPr="00FD211F">
        <w:rPr>
          <w:rStyle w:val="a6"/>
          <w:sz w:val="36"/>
          <w:szCs w:val="36"/>
          <w:rtl/>
        </w:rPr>
        <w:t>)</w:t>
      </w:r>
      <w:r w:rsidRPr="00FD211F">
        <w:rPr>
          <w:sz w:val="36"/>
          <w:szCs w:val="36"/>
          <w:rtl/>
        </w:rPr>
        <w:t>.</w:t>
      </w:r>
    </w:p>
    <w:p w14:paraId="732D9811" w14:textId="77777777" w:rsidR="00052BF2" w:rsidRPr="00FD211F" w:rsidRDefault="00052BF2" w:rsidP="004317A3">
      <w:pPr>
        <w:ind w:left="0" w:firstLine="227"/>
        <w:jc w:val="both"/>
        <w:rPr>
          <w:sz w:val="36"/>
          <w:szCs w:val="36"/>
          <w:rtl/>
        </w:rPr>
      </w:pPr>
      <w:r w:rsidRPr="00FD211F">
        <w:rPr>
          <w:sz w:val="36"/>
          <w:szCs w:val="36"/>
          <w:rtl/>
        </w:rPr>
        <w:t>ثم ان ما ذكرناه من علامي</w:t>
      </w:r>
      <w:r w:rsidR="00EC7EDF" w:rsidRPr="00FD211F">
        <w:rPr>
          <w:sz w:val="36"/>
          <w:szCs w:val="36"/>
          <w:rtl/>
        </w:rPr>
        <w:t xml:space="preserve">ة </w:t>
      </w:r>
      <w:r w:rsidRPr="00FD211F">
        <w:rPr>
          <w:sz w:val="36"/>
          <w:szCs w:val="36"/>
          <w:rtl/>
        </w:rPr>
        <w:t>صح</w:t>
      </w:r>
      <w:r w:rsidR="00EC7EDF" w:rsidRPr="00FD211F">
        <w:rPr>
          <w:sz w:val="36"/>
          <w:szCs w:val="36"/>
          <w:rtl/>
        </w:rPr>
        <w:t xml:space="preserve">ة </w:t>
      </w:r>
      <w:r w:rsidRPr="00FD211F">
        <w:rPr>
          <w:sz w:val="36"/>
          <w:szCs w:val="36"/>
          <w:rtl/>
        </w:rPr>
        <w:t>الحمل وعدم صح</w:t>
      </w:r>
      <w:r w:rsidR="00EC7EDF" w:rsidRPr="00FD211F">
        <w:rPr>
          <w:sz w:val="36"/>
          <w:szCs w:val="36"/>
          <w:rtl/>
        </w:rPr>
        <w:t xml:space="preserve">ة </w:t>
      </w:r>
      <w:r w:rsidRPr="00FD211F">
        <w:rPr>
          <w:sz w:val="36"/>
          <w:szCs w:val="36"/>
          <w:rtl/>
        </w:rPr>
        <w:t>السلب على كون المعنى حقيقيا يجري في علامي</w:t>
      </w:r>
      <w:r w:rsidR="00EC7EDF" w:rsidRPr="00FD211F">
        <w:rPr>
          <w:sz w:val="36"/>
          <w:szCs w:val="36"/>
          <w:rtl/>
        </w:rPr>
        <w:t xml:space="preserve">ة </w:t>
      </w:r>
      <w:r w:rsidRPr="00FD211F">
        <w:rPr>
          <w:sz w:val="36"/>
          <w:szCs w:val="36"/>
          <w:rtl/>
        </w:rPr>
        <w:t>صح</w:t>
      </w:r>
      <w:r w:rsidR="00EC7EDF" w:rsidRPr="00FD211F">
        <w:rPr>
          <w:sz w:val="36"/>
          <w:szCs w:val="36"/>
          <w:rtl/>
        </w:rPr>
        <w:t xml:space="preserve">ة </w:t>
      </w:r>
      <w:r w:rsidRPr="00FD211F">
        <w:rPr>
          <w:sz w:val="36"/>
          <w:szCs w:val="36"/>
          <w:rtl/>
        </w:rPr>
        <w:t>السلب وعدم صح</w:t>
      </w:r>
      <w:r w:rsidR="00EC7EDF" w:rsidRPr="00FD211F">
        <w:rPr>
          <w:sz w:val="36"/>
          <w:szCs w:val="36"/>
          <w:rtl/>
        </w:rPr>
        <w:t xml:space="preserve">ة </w:t>
      </w:r>
      <w:r w:rsidRPr="00FD211F">
        <w:rPr>
          <w:sz w:val="36"/>
          <w:szCs w:val="36"/>
          <w:rtl/>
        </w:rPr>
        <w:t>الحمل على كون المعنى مجازيا</w:t>
      </w:r>
      <w:r w:rsidR="00603323" w:rsidRPr="00FD211F">
        <w:rPr>
          <w:sz w:val="36"/>
          <w:szCs w:val="36"/>
          <w:rtl/>
        </w:rPr>
        <w:t xml:space="preserve">، </w:t>
      </w:r>
      <w:r w:rsidRPr="00FD211F">
        <w:rPr>
          <w:sz w:val="36"/>
          <w:szCs w:val="36"/>
          <w:rtl/>
        </w:rPr>
        <w:t>كصح</w:t>
      </w:r>
      <w:r w:rsidR="00EC7EDF" w:rsidRPr="00FD211F">
        <w:rPr>
          <w:sz w:val="36"/>
          <w:szCs w:val="36"/>
          <w:rtl/>
        </w:rPr>
        <w:t xml:space="preserve">ة </w:t>
      </w:r>
      <w:r w:rsidRPr="00FD211F">
        <w:rPr>
          <w:sz w:val="36"/>
          <w:szCs w:val="36"/>
          <w:rtl/>
        </w:rPr>
        <w:t>سلب الماء بما له من المعنى المرتكز عن الماء الخليط بالتراب بدرج</w:t>
      </w:r>
      <w:r w:rsidR="00EC7EDF" w:rsidRPr="00FD211F">
        <w:rPr>
          <w:sz w:val="36"/>
          <w:szCs w:val="36"/>
          <w:rtl/>
        </w:rPr>
        <w:t xml:space="preserve">ة </w:t>
      </w:r>
      <w:r w:rsidRPr="00FD211F">
        <w:rPr>
          <w:sz w:val="36"/>
          <w:szCs w:val="36"/>
          <w:rtl/>
        </w:rPr>
        <w:t>يصح سلب الماء عنه عرفا</w:t>
      </w:r>
      <w:r w:rsidR="00603323" w:rsidRPr="00FD211F">
        <w:rPr>
          <w:sz w:val="36"/>
          <w:szCs w:val="36"/>
          <w:rtl/>
        </w:rPr>
        <w:t xml:space="preserve">، </w:t>
      </w:r>
      <w:r w:rsidRPr="00FD211F">
        <w:rPr>
          <w:sz w:val="36"/>
          <w:szCs w:val="36"/>
          <w:rtl/>
        </w:rPr>
        <w:t>فيقال</w:t>
      </w:r>
      <w:r w:rsidR="004317A3" w:rsidRPr="00FD211F">
        <w:rPr>
          <w:sz w:val="36"/>
          <w:szCs w:val="36"/>
          <w:rtl/>
        </w:rPr>
        <w:t xml:space="preserve"> </w:t>
      </w:r>
      <w:r w:rsidR="004F6B64" w:rsidRPr="00FD211F">
        <w:rPr>
          <w:sz w:val="36"/>
          <w:szCs w:val="36"/>
          <w:rtl/>
        </w:rPr>
        <w:t>"</w:t>
      </w:r>
      <w:r w:rsidRPr="00FD211F">
        <w:rPr>
          <w:sz w:val="36"/>
          <w:szCs w:val="36"/>
          <w:rtl/>
        </w:rPr>
        <w:t>هذا ليس ماء</w:t>
      </w:r>
      <w:r w:rsidR="004F6B64" w:rsidRPr="00FD211F">
        <w:rPr>
          <w:sz w:val="36"/>
          <w:szCs w:val="36"/>
          <w:rtl/>
        </w:rPr>
        <w:t>"</w:t>
      </w:r>
      <w:r w:rsidR="00603323" w:rsidRPr="00FD211F">
        <w:rPr>
          <w:sz w:val="36"/>
          <w:szCs w:val="36"/>
          <w:rtl/>
        </w:rPr>
        <w:t xml:space="preserve">، </w:t>
      </w:r>
      <w:r w:rsidRPr="00FD211F">
        <w:rPr>
          <w:sz w:val="36"/>
          <w:szCs w:val="36"/>
          <w:rtl/>
        </w:rPr>
        <w:t>وينكشف به عدم كونه مصداقا للمعنى الموضوع له لفظ الماء.</w:t>
      </w:r>
    </w:p>
    <w:p w14:paraId="372FC773" w14:textId="77777777" w:rsidR="00052BF2" w:rsidRPr="00FD211F" w:rsidRDefault="00052BF2" w:rsidP="004317A3">
      <w:pPr>
        <w:ind w:left="0" w:firstLine="227"/>
        <w:jc w:val="both"/>
        <w:rPr>
          <w:sz w:val="36"/>
          <w:szCs w:val="36"/>
          <w:rtl/>
        </w:rPr>
      </w:pPr>
      <w:r w:rsidRPr="00FD211F">
        <w:rPr>
          <w:sz w:val="36"/>
          <w:szCs w:val="36"/>
          <w:rtl/>
        </w:rPr>
        <w:t>ولايخفى انه قد لايمكن التوصل بعلامي</w:t>
      </w:r>
      <w:r w:rsidR="00EC7EDF" w:rsidRPr="00FD211F">
        <w:rPr>
          <w:sz w:val="36"/>
          <w:szCs w:val="36"/>
          <w:rtl/>
        </w:rPr>
        <w:t xml:space="preserve">ة </w:t>
      </w:r>
      <w:r w:rsidRPr="00FD211F">
        <w:rPr>
          <w:sz w:val="36"/>
          <w:szCs w:val="36"/>
          <w:rtl/>
        </w:rPr>
        <w:t>التبادر لكشف الحقيق</w:t>
      </w:r>
      <w:r w:rsidR="00EC7EDF" w:rsidRPr="00FD211F">
        <w:rPr>
          <w:sz w:val="36"/>
          <w:szCs w:val="36"/>
          <w:rtl/>
        </w:rPr>
        <w:t>ة</w:t>
      </w:r>
      <w:r w:rsidR="00603323" w:rsidRPr="00FD211F">
        <w:rPr>
          <w:sz w:val="36"/>
          <w:szCs w:val="36"/>
          <w:rtl/>
        </w:rPr>
        <w:t xml:space="preserve">، </w:t>
      </w:r>
      <w:r w:rsidR="00907149" w:rsidRPr="00FD211F">
        <w:rPr>
          <w:sz w:val="36"/>
          <w:szCs w:val="36"/>
          <w:rtl/>
        </w:rPr>
        <w:t xml:space="preserve">كما </w:t>
      </w:r>
      <w:r w:rsidRPr="00FD211F">
        <w:rPr>
          <w:sz w:val="36"/>
          <w:szCs w:val="36"/>
          <w:rtl/>
        </w:rPr>
        <w:t>لو شك في مايع مخلوط بمقدار من التراب انه ماء ام لا</w:t>
      </w:r>
      <w:r w:rsidR="00603323" w:rsidRPr="00FD211F">
        <w:rPr>
          <w:sz w:val="36"/>
          <w:szCs w:val="36"/>
          <w:rtl/>
        </w:rPr>
        <w:t xml:space="preserve">، </w:t>
      </w:r>
      <w:r w:rsidRPr="00FD211F">
        <w:rPr>
          <w:sz w:val="36"/>
          <w:szCs w:val="36"/>
          <w:rtl/>
        </w:rPr>
        <w:t>فلايتبادر عاد</w:t>
      </w:r>
      <w:r w:rsidR="00EC7EDF" w:rsidRPr="00FD211F">
        <w:rPr>
          <w:sz w:val="36"/>
          <w:szCs w:val="36"/>
          <w:rtl/>
        </w:rPr>
        <w:t xml:space="preserve">ة </w:t>
      </w:r>
      <w:r w:rsidRPr="00FD211F">
        <w:rPr>
          <w:sz w:val="36"/>
          <w:szCs w:val="36"/>
          <w:rtl/>
        </w:rPr>
        <w:t>من لفظ الماء الا معناه في الجمل</w:t>
      </w:r>
      <w:r w:rsidR="00EC7EDF" w:rsidRPr="00FD211F">
        <w:rPr>
          <w:sz w:val="36"/>
          <w:szCs w:val="36"/>
          <w:rtl/>
        </w:rPr>
        <w:t xml:space="preserve">ة </w:t>
      </w:r>
      <w:r w:rsidRPr="00FD211F">
        <w:rPr>
          <w:sz w:val="36"/>
          <w:szCs w:val="36"/>
          <w:rtl/>
        </w:rPr>
        <w:t>من دون تبين حدوده</w:t>
      </w:r>
      <w:r w:rsidR="00603323" w:rsidRPr="00FD211F">
        <w:rPr>
          <w:sz w:val="36"/>
          <w:szCs w:val="36"/>
          <w:rtl/>
        </w:rPr>
        <w:t xml:space="preserve">، </w:t>
      </w:r>
      <w:r w:rsidR="00907149" w:rsidRPr="00FD211F">
        <w:rPr>
          <w:sz w:val="36"/>
          <w:szCs w:val="36"/>
          <w:rtl/>
        </w:rPr>
        <w:t>فحينئذ</w:t>
      </w:r>
      <w:r w:rsidR="003D18B1" w:rsidRPr="00FD211F">
        <w:rPr>
          <w:sz w:val="36"/>
          <w:szCs w:val="36"/>
          <w:rtl/>
        </w:rPr>
        <w:t xml:space="preserve"> </w:t>
      </w:r>
      <w:r w:rsidR="00907149" w:rsidRPr="00FD211F">
        <w:rPr>
          <w:sz w:val="36"/>
          <w:szCs w:val="36"/>
          <w:rtl/>
        </w:rPr>
        <w:t xml:space="preserve">يتوسل </w:t>
      </w:r>
      <w:r w:rsidRPr="00FD211F">
        <w:rPr>
          <w:sz w:val="36"/>
          <w:szCs w:val="36"/>
          <w:rtl/>
        </w:rPr>
        <w:t>بصح</w:t>
      </w:r>
      <w:r w:rsidR="00EC7EDF" w:rsidRPr="00FD211F">
        <w:rPr>
          <w:sz w:val="36"/>
          <w:szCs w:val="36"/>
          <w:rtl/>
        </w:rPr>
        <w:t xml:space="preserve">ة </w:t>
      </w:r>
      <w:r w:rsidRPr="00FD211F">
        <w:rPr>
          <w:sz w:val="36"/>
          <w:szCs w:val="36"/>
          <w:rtl/>
        </w:rPr>
        <w:t>الحمل وعدم صح</w:t>
      </w:r>
      <w:r w:rsidR="00EC7EDF" w:rsidRPr="00FD211F">
        <w:rPr>
          <w:sz w:val="36"/>
          <w:szCs w:val="36"/>
          <w:rtl/>
        </w:rPr>
        <w:t xml:space="preserve">ة </w:t>
      </w:r>
      <w:r w:rsidRPr="00FD211F">
        <w:rPr>
          <w:sz w:val="36"/>
          <w:szCs w:val="36"/>
          <w:rtl/>
        </w:rPr>
        <w:t>السلب</w:t>
      </w:r>
      <w:r w:rsidR="00907149" w:rsidRPr="00FD211F">
        <w:rPr>
          <w:sz w:val="36"/>
          <w:szCs w:val="36"/>
          <w:rtl/>
        </w:rPr>
        <w:t xml:space="preserve"> الى تحديد حدود معناه</w:t>
      </w:r>
      <w:r w:rsidR="00603323" w:rsidRPr="00FD211F">
        <w:rPr>
          <w:sz w:val="36"/>
          <w:szCs w:val="36"/>
          <w:rtl/>
        </w:rPr>
        <w:t xml:space="preserve">، </w:t>
      </w:r>
      <w:r w:rsidRPr="00FD211F">
        <w:rPr>
          <w:sz w:val="36"/>
          <w:szCs w:val="36"/>
          <w:rtl/>
        </w:rPr>
        <w:t>فيشار الى هذا المائع المخلوط بالتراب</w:t>
      </w:r>
      <w:r w:rsidR="00907149" w:rsidRPr="00FD211F">
        <w:rPr>
          <w:sz w:val="36"/>
          <w:szCs w:val="36"/>
          <w:rtl/>
        </w:rPr>
        <w:t xml:space="preserve"> ويقال</w:t>
      </w:r>
      <w:r w:rsidR="004317A3" w:rsidRPr="00FD211F">
        <w:rPr>
          <w:sz w:val="36"/>
          <w:szCs w:val="36"/>
          <w:rtl/>
        </w:rPr>
        <w:t xml:space="preserve"> </w:t>
      </w:r>
      <w:r w:rsidR="004F6B64" w:rsidRPr="00FD211F">
        <w:rPr>
          <w:sz w:val="36"/>
          <w:szCs w:val="36"/>
          <w:rtl/>
        </w:rPr>
        <w:t>"</w:t>
      </w:r>
      <w:r w:rsidRPr="00FD211F">
        <w:rPr>
          <w:sz w:val="36"/>
          <w:szCs w:val="36"/>
          <w:rtl/>
        </w:rPr>
        <w:t>انه ماء</w:t>
      </w:r>
      <w:r w:rsidR="004F6B64" w:rsidRPr="00FD211F">
        <w:rPr>
          <w:sz w:val="36"/>
          <w:szCs w:val="36"/>
          <w:rtl/>
        </w:rPr>
        <w:t>"</w:t>
      </w:r>
      <w:r w:rsidR="00603323" w:rsidRPr="00FD211F">
        <w:rPr>
          <w:sz w:val="36"/>
          <w:szCs w:val="36"/>
          <w:rtl/>
        </w:rPr>
        <w:t xml:space="preserve">، </w:t>
      </w:r>
      <w:r w:rsidRPr="00FD211F">
        <w:rPr>
          <w:sz w:val="36"/>
          <w:szCs w:val="36"/>
          <w:rtl/>
        </w:rPr>
        <w:t>ف</w:t>
      </w:r>
      <w:r w:rsidR="00907149" w:rsidRPr="00FD211F">
        <w:rPr>
          <w:sz w:val="36"/>
          <w:szCs w:val="36"/>
          <w:rtl/>
        </w:rPr>
        <w:t>اذا</w:t>
      </w:r>
      <w:r w:rsidR="004317A3" w:rsidRPr="00FD211F">
        <w:rPr>
          <w:sz w:val="36"/>
          <w:szCs w:val="36"/>
          <w:rtl/>
        </w:rPr>
        <w:t xml:space="preserve"> </w:t>
      </w:r>
      <w:r w:rsidR="00907149" w:rsidRPr="00FD211F">
        <w:rPr>
          <w:sz w:val="36"/>
          <w:szCs w:val="36"/>
          <w:rtl/>
        </w:rPr>
        <w:t>ا</w:t>
      </w:r>
      <w:r w:rsidRPr="00FD211F">
        <w:rPr>
          <w:sz w:val="36"/>
          <w:szCs w:val="36"/>
          <w:rtl/>
        </w:rPr>
        <w:t>حس</w:t>
      </w:r>
      <w:r w:rsidR="00907149" w:rsidRPr="00FD211F">
        <w:rPr>
          <w:sz w:val="36"/>
          <w:szCs w:val="36"/>
          <w:rtl/>
        </w:rPr>
        <w:t>َّ</w:t>
      </w:r>
      <w:r w:rsidRPr="00FD211F">
        <w:rPr>
          <w:sz w:val="36"/>
          <w:szCs w:val="36"/>
          <w:rtl/>
        </w:rPr>
        <w:t xml:space="preserve"> بصح</w:t>
      </w:r>
      <w:r w:rsidR="00EC7EDF" w:rsidRPr="00FD211F">
        <w:rPr>
          <w:sz w:val="36"/>
          <w:szCs w:val="36"/>
          <w:rtl/>
        </w:rPr>
        <w:t xml:space="preserve">ة </w:t>
      </w:r>
      <w:r w:rsidRPr="00FD211F">
        <w:rPr>
          <w:sz w:val="36"/>
          <w:szCs w:val="36"/>
          <w:rtl/>
        </w:rPr>
        <w:t>هذا الحمل وعدم صح</w:t>
      </w:r>
      <w:r w:rsidR="00EC7EDF" w:rsidRPr="00FD211F">
        <w:rPr>
          <w:sz w:val="36"/>
          <w:szCs w:val="36"/>
          <w:rtl/>
        </w:rPr>
        <w:t xml:space="preserve">ة </w:t>
      </w:r>
      <w:r w:rsidRPr="00FD211F">
        <w:rPr>
          <w:sz w:val="36"/>
          <w:szCs w:val="36"/>
          <w:rtl/>
        </w:rPr>
        <w:t>سلب الماء بما له من المعنى المركوز في الذهن عنه</w:t>
      </w:r>
      <w:r w:rsidR="00603323" w:rsidRPr="00FD211F">
        <w:rPr>
          <w:sz w:val="36"/>
          <w:szCs w:val="36"/>
          <w:rtl/>
        </w:rPr>
        <w:t xml:space="preserve">، </w:t>
      </w:r>
      <w:r w:rsidRPr="00FD211F">
        <w:rPr>
          <w:sz w:val="36"/>
          <w:szCs w:val="36"/>
          <w:rtl/>
        </w:rPr>
        <w:t>فيثبت بذلك انه ماء مطلق ويترتب عليه احكامه.</w:t>
      </w:r>
    </w:p>
    <w:p w14:paraId="3F03699C" w14:textId="77777777" w:rsidR="00052BF2" w:rsidRPr="00FD211F" w:rsidRDefault="00052BF2" w:rsidP="009C58C8">
      <w:pPr>
        <w:pStyle w:val="3"/>
        <w:ind w:firstLine="227"/>
        <w:jc w:val="both"/>
        <w:rPr>
          <w:rtl/>
        </w:rPr>
      </w:pPr>
      <w:bookmarkStart w:id="339" w:name="_Toc154131739"/>
      <w:bookmarkStart w:id="340" w:name="_Toc156401527"/>
      <w:bookmarkStart w:id="341" w:name="_Toc192092910"/>
      <w:bookmarkStart w:id="342" w:name="_Toc223890389"/>
      <w:r w:rsidRPr="00FD211F">
        <w:rPr>
          <w:rtl/>
        </w:rPr>
        <w:t>الاطراد</w:t>
      </w:r>
      <w:bookmarkEnd w:id="339"/>
      <w:bookmarkEnd w:id="340"/>
      <w:bookmarkEnd w:id="341"/>
      <w:bookmarkEnd w:id="342"/>
    </w:p>
    <w:p w14:paraId="00F74F8E" w14:textId="77777777" w:rsidR="00F03267" w:rsidRPr="00FD211F" w:rsidRDefault="00052BF2" w:rsidP="009C58C8">
      <w:pPr>
        <w:ind w:left="0" w:firstLine="227"/>
        <w:jc w:val="both"/>
        <w:rPr>
          <w:sz w:val="36"/>
          <w:szCs w:val="36"/>
          <w:rtl/>
        </w:rPr>
      </w:pPr>
      <w:r w:rsidRPr="00FD211F">
        <w:rPr>
          <w:sz w:val="36"/>
          <w:szCs w:val="36"/>
          <w:rtl/>
        </w:rPr>
        <w:t>ذكروا ان الاطراد وشيوع الحمل يكون علام</w:t>
      </w:r>
      <w:r w:rsidR="00EC7EDF" w:rsidRPr="00FD211F">
        <w:rPr>
          <w:sz w:val="36"/>
          <w:szCs w:val="36"/>
          <w:rtl/>
        </w:rPr>
        <w:t xml:space="preserve">ة </w:t>
      </w:r>
      <w:r w:rsidRPr="00FD211F">
        <w:rPr>
          <w:sz w:val="36"/>
          <w:szCs w:val="36"/>
          <w:rtl/>
        </w:rPr>
        <w:t>على الحقيق</w:t>
      </w:r>
      <w:r w:rsidR="00EC7EDF" w:rsidRPr="00FD211F">
        <w:rPr>
          <w:sz w:val="36"/>
          <w:szCs w:val="36"/>
          <w:rtl/>
        </w:rPr>
        <w:t>ة</w:t>
      </w:r>
      <w:r w:rsidR="00603323" w:rsidRPr="00FD211F">
        <w:rPr>
          <w:sz w:val="36"/>
          <w:szCs w:val="36"/>
          <w:rtl/>
        </w:rPr>
        <w:t xml:space="preserve">، </w:t>
      </w:r>
      <w:r w:rsidR="00F03267" w:rsidRPr="00FD211F">
        <w:rPr>
          <w:sz w:val="36"/>
          <w:szCs w:val="36"/>
          <w:rtl/>
        </w:rPr>
        <w:t>وقد ذكر في تقريبه عد</w:t>
      </w:r>
      <w:r w:rsidR="00EC7EDF" w:rsidRPr="00FD211F">
        <w:rPr>
          <w:sz w:val="36"/>
          <w:szCs w:val="36"/>
          <w:rtl/>
        </w:rPr>
        <w:t xml:space="preserve">ة </w:t>
      </w:r>
      <w:r w:rsidR="00F03267" w:rsidRPr="00FD211F">
        <w:rPr>
          <w:sz w:val="36"/>
          <w:szCs w:val="36"/>
          <w:rtl/>
        </w:rPr>
        <w:t>وجوه</w:t>
      </w:r>
      <w:r w:rsidR="00EC7EDF" w:rsidRPr="00FD211F">
        <w:rPr>
          <w:sz w:val="36"/>
          <w:szCs w:val="36"/>
          <w:rtl/>
        </w:rPr>
        <w:t>.</w:t>
      </w:r>
    </w:p>
    <w:p w14:paraId="2AB3B1CF" w14:textId="77777777" w:rsidR="004C6100" w:rsidRPr="00FD211F" w:rsidRDefault="00F03267" w:rsidP="009C58C8">
      <w:pPr>
        <w:ind w:left="0" w:firstLine="227"/>
        <w:jc w:val="both"/>
        <w:rPr>
          <w:sz w:val="36"/>
          <w:szCs w:val="36"/>
          <w:rtl/>
        </w:rPr>
      </w:pPr>
      <w:r w:rsidRPr="00FD211F">
        <w:rPr>
          <w:sz w:val="36"/>
          <w:szCs w:val="36"/>
          <w:rtl/>
        </w:rPr>
        <w:t>1-</w:t>
      </w:r>
      <w:r w:rsidR="00504D94" w:rsidRPr="00FD211F">
        <w:rPr>
          <w:sz w:val="36"/>
          <w:szCs w:val="36"/>
          <w:rtl/>
        </w:rPr>
        <w:t>الاطراد بلحاظ نكت</w:t>
      </w:r>
      <w:r w:rsidR="00EC7EDF" w:rsidRPr="00FD211F">
        <w:rPr>
          <w:sz w:val="36"/>
          <w:szCs w:val="36"/>
          <w:rtl/>
        </w:rPr>
        <w:t xml:space="preserve">ة </w:t>
      </w:r>
      <w:r w:rsidR="00504D94" w:rsidRPr="00FD211F">
        <w:rPr>
          <w:sz w:val="36"/>
          <w:szCs w:val="36"/>
          <w:rtl/>
        </w:rPr>
        <w:t>الاستعمال فان اطلاق</w:t>
      </w:r>
      <w:r w:rsidR="00052BF2" w:rsidRPr="00FD211F">
        <w:rPr>
          <w:sz w:val="36"/>
          <w:szCs w:val="36"/>
          <w:rtl/>
        </w:rPr>
        <w:t xml:space="preserve"> لفظ الاسد على مصاديق ذاك الحيوان المفترس </w:t>
      </w:r>
      <w:r w:rsidR="00504D94" w:rsidRPr="00FD211F">
        <w:rPr>
          <w:sz w:val="36"/>
          <w:szCs w:val="36"/>
          <w:rtl/>
        </w:rPr>
        <w:t>يكون مطردا وشائعا بخلاف اطلاقه</w:t>
      </w:r>
      <w:r w:rsidR="00B253CE" w:rsidRPr="00FD211F">
        <w:rPr>
          <w:sz w:val="36"/>
          <w:szCs w:val="36"/>
          <w:rtl/>
        </w:rPr>
        <w:t xml:space="preserve"> </w:t>
      </w:r>
      <w:r w:rsidR="00052BF2" w:rsidRPr="00FD211F">
        <w:rPr>
          <w:sz w:val="36"/>
          <w:szCs w:val="36"/>
          <w:rtl/>
        </w:rPr>
        <w:t>على غيرها بعلاق</w:t>
      </w:r>
      <w:r w:rsidR="00EC7EDF" w:rsidRPr="00FD211F">
        <w:rPr>
          <w:sz w:val="36"/>
          <w:szCs w:val="36"/>
          <w:rtl/>
        </w:rPr>
        <w:t xml:space="preserve">ة </w:t>
      </w:r>
      <w:r w:rsidR="00052BF2" w:rsidRPr="00FD211F">
        <w:rPr>
          <w:sz w:val="36"/>
          <w:szCs w:val="36"/>
          <w:rtl/>
        </w:rPr>
        <w:t>المشابه</w:t>
      </w:r>
      <w:r w:rsidR="00EC7EDF" w:rsidRPr="00FD211F">
        <w:rPr>
          <w:sz w:val="36"/>
          <w:szCs w:val="36"/>
          <w:rtl/>
        </w:rPr>
        <w:t>ة</w:t>
      </w:r>
      <w:r w:rsidR="00603323" w:rsidRPr="00FD211F">
        <w:rPr>
          <w:sz w:val="36"/>
          <w:szCs w:val="36"/>
          <w:rtl/>
        </w:rPr>
        <w:t xml:space="preserve">، </w:t>
      </w:r>
      <w:r w:rsidR="00052BF2" w:rsidRPr="00FD211F">
        <w:rPr>
          <w:sz w:val="36"/>
          <w:szCs w:val="36"/>
          <w:rtl/>
        </w:rPr>
        <w:t>فانه لايكون مطردا وشائعا</w:t>
      </w:r>
      <w:r w:rsidR="00603323" w:rsidRPr="00FD211F">
        <w:rPr>
          <w:sz w:val="36"/>
          <w:szCs w:val="36"/>
          <w:rtl/>
        </w:rPr>
        <w:t xml:space="preserve">، </w:t>
      </w:r>
      <w:r w:rsidR="00052BF2" w:rsidRPr="00FD211F">
        <w:rPr>
          <w:sz w:val="36"/>
          <w:szCs w:val="36"/>
          <w:rtl/>
        </w:rPr>
        <w:t>حيث يختص بالرجل الشجاع ولايطرد في غيره</w:t>
      </w:r>
      <w:r w:rsidR="00603323" w:rsidRPr="00FD211F">
        <w:rPr>
          <w:sz w:val="36"/>
          <w:szCs w:val="36"/>
          <w:rtl/>
        </w:rPr>
        <w:t xml:space="preserve">، </w:t>
      </w:r>
      <w:r w:rsidR="00052BF2" w:rsidRPr="00FD211F">
        <w:rPr>
          <w:sz w:val="36"/>
          <w:szCs w:val="36"/>
          <w:rtl/>
        </w:rPr>
        <w:t xml:space="preserve">فلايقال مثلا لأبخر الفم مثلا انه اسد مع وجود </w:t>
      </w:r>
      <w:r w:rsidR="004F6B64" w:rsidRPr="00FD211F">
        <w:rPr>
          <w:sz w:val="36"/>
          <w:szCs w:val="36"/>
          <w:rtl/>
        </w:rPr>
        <w:t>نكتة ال</w:t>
      </w:r>
      <w:r w:rsidR="00052BF2" w:rsidRPr="00FD211F">
        <w:rPr>
          <w:sz w:val="36"/>
          <w:szCs w:val="36"/>
          <w:rtl/>
        </w:rPr>
        <w:t>مشابه</w:t>
      </w:r>
      <w:r w:rsidR="00EC7EDF" w:rsidRPr="00FD211F">
        <w:rPr>
          <w:sz w:val="36"/>
          <w:szCs w:val="36"/>
          <w:rtl/>
        </w:rPr>
        <w:t xml:space="preserve">ة </w:t>
      </w:r>
      <w:r w:rsidR="00052BF2" w:rsidRPr="00FD211F">
        <w:rPr>
          <w:sz w:val="36"/>
          <w:szCs w:val="36"/>
          <w:rtl/>
        </w:rPr>
        <w:t>بينه وبين الاسد</w:t>
      </w:r>
      <w:r w:rsidR="00603323" w:rsidRPr="00FD211F">
        <w:rPr>
          <w:sz w:val="36"/>
          <w:szCs w:val="36"/>
          <w:rtl/>
        </w:rPr>
        <w:t xml:space="preserve">، </w:t>
      </w:r>
      <w:r w:rsidR="00052BF2" w:rsidRPr="00FD211F">
        <w:rPr>
          <w:sz w:val="36"/>
          <w:szCs w:val="36"/>
          <w:rtl/>
        </w:rPr>
        <w:t xml:space="preserve">بل لايقال </w:t>
      </w:r>
      <w:r w:rsidR="00504D94" w:rsidRPr="00FD211F">
        <w:rPr>
          <w:sz w:val="36"/>
          <w:szCs w:val="36"/>
          <w:rtl/>
        </w:rPr>
        <w:t>ل</w:t>
      </w:r>
      <w:r w:rsidR="00A62FCA" w:rsidRPr="00FD211F">
        <w:rPr>
          <w:sz w:val="36"/>
          <w:szCs w:val="36"/>
          <w:rtl/>
        </w:rPr>
        <w:t>لنمل</w:t>
      </w:r>
      <w:r w:rsidR="00EC7EDF" w:rsidRPr="00FD211F">
        <w:rPr>
          <w:sz w:val="36"/>
          <w:szCs w:val="36"/>
          <w:rtl/>
        </w:rPr>
        <w:t xml:space="preserve">ة </w:t>
      </w:r>
      <w:r w:rsidRPr="00FD211F">
        <w:rPr>
          <w:sz w:val="36"/>
          <w:szCs w:val="36"/>
          <w:rtl/>
        </w:rPr>
        <w:t>الشجاع</w:t>
      </w:r>
      <w:r w:rsidR="004C6100" w:rsidRPr="00FD211F">
        <w:rPr>
          <w:sz w:val="36"/>
          <w:szCs w:val="36"/>
          <w:rtl/>
        </w:rPr>
        <w:t xml:space="preserve"> انها أسد.</w:t>
      </w:r>
    </w:p>
    <w:p w14:paraId="4AB92705" w14:textId="77777777" w:rsidR="004C6100" w:rsidRPr="00FD211F" w:rsidRDefault="004C6100" w:rsidP="009C58C8">
      <w:pPr>
        <w:ind w:left="0" w:firstLine="227"/>
        <w:jc w:val="both"/>
        <w:rPr>
          <w:sz w:val="36"/>
          <w:szCs w:val="36"/>
          <w:rtl/>
        </w:rPr>
      </w:pPr>
      <w:r w:rsidRPr="00FD211F">
        <w:rPr>
          <w:sz w:val="36"/>
          <w:szCs w:val="36"/>
          <w:rtl/>
        </w:rPr>
        <w:t>و</w:t>
      </w:r>
      <w:r w:rsidR="00CF4DA0" w:rsidRPr="00FD211F">
        <w:rPr>
          <w:sz w:val="36"/>
          <w:szCs w:val="36"/>
          <w:rtl/>
        </w:rPr>
        <w:t xml:space="preserve">اشكل عليه </w:t>
      </w:r>
      <w:r w:rsidR="00052BF2" w:rsidRPr="00FD211F">
        <w:rPr>
          <w:sz w:val="36"/>
          <w:szCs w:val="36"/>
          <w:rtl/>
        </w:rPr>
        <w:t>في الكفاي</w:t>
      </w:r>
      <w:r w:rsidR="00EC7EDF" w:rsidRPr="00FD211F">
        <w:rPr>
          <w:sz w:val="36"/>
          <w:szCs w:val="36"/>
          <w:rtl/>
        </w:rPr>
        <w:t xml:space="preserve">ة </w:t>
      </w:r>
      <w:r w:rsidR="00052BF2" w:rsidRPr="00FD211F">
        <w:rPr>
          <w:sz w:val="36"/>
          <w:szCs w:val="36"/>
          <w:rtl/>
        </w:rPr>
        <w:t>بان حمل اللفظ على المعنى المجازي بلحاظ شخص المشابه</w:t>
      </w:r>
      <w:r w:rsidR="00EC7EDF" w:rsidRPr="00FD211F">
        <w:rPr>
          <w:sz w:val="36"/>
          <w:szCs w:val="36"/>
          <w:rtl/>
        </w:rPr>
        <w:t xml:space="preserve">ة </w:t>
      </w:r>
      <w:r w:rsidR="00052BF2" w:rsidRPr="00FD211F">
        <w:rPr>
          <w:sz w:val="36"/>
          <w:szCs w:val="36"/>
          <w:rtl/>
        </w:rPr>
        <w:t>التي اوجب</w:t>
      </w:r>
      <w:r w:rsidR="00CF4DA0" w:rsidRPr="00FD211F">
        <w:rPr>
          <w:sz w:val="36"/>
          <w:szCs w:val="36"/>
          <w:rtl/>
        </w:rPr>
        <w:t>ت</w:t>
      </w:r>
      <w:r w:rsidR="00052BF2" w:rsidRPr="00FD211F">
        <w:rPr>
          <w:sz w:val="36"/>
          <w:szCs w:val="36"/>
          <w:rtl/>
        </w:rPr>
        <w:t xml:space="preserve"> استعمال اللفظ في المعنى المجازي يكون مطردا وشائعا</w:t>
      </w:r>
      <w:r w:rsidR="00603323" w:rsidRPr="00FD211F">
        <w:rPr>
          <w:sz w:val="36"/>
          <w:szCs w:val="36"/>
          <w:rtl/>
        </w:rPr>
        <w:t xml:space="preserve">، </w:t>
      </w:r>
      <w:r w:rsidR="00052BF2" w:rsidRPr="00FD211F">
        <w:rPr>
          <w:sz w:val="36"/>
          <w:szCs w:val="36"/>
          <w:rtl/>
        </w:rPr>
        <w:t>فترى ان لفظ الاسد يحمل على كل رجل شجاع</w:t>
      </w:r>
      <w:r w:rsidR="009C58C8" w:rsidRPr="00FD211F">
        <w:rPr>
          <w:rStyle w:val="a6"/>
          <w:sz w:val="36"/>
          <w:szCs w:val="36"/>
          <w:rtl/>
        </w:rPr>
        <w:t>(</w:t>
      </w:r>
      <w:r w:rsidR="009C58C8" w:rsidRPr="00FD211F">
        <w:rPr>
          <w:rStyle w:val="a6"/>
          <w:sz w:val="36"/>
          <w:szCs w:val="36"/>
          <w:rtl/>
        </w:rPr>
        <w:footnoteReference w:id="317"/>
      </w:r>
      <w:r w:rsidR="009C58C8" w:rsidRPr="00FD211F">
        <w:rPr>
          <w:rStyle w:val="a6"/>
          <w:sz w:val="36"/>
          <w:szCs w:val="36"/>
          <w:rtl/>
        </w:rPr>
        <w:t>)</w:t>
      </w:r>
      <w:r w:rsidRPr="00FD211F">
        <w:rPr>
          <w:sz w:val="36"/>
          <w:szCs w:val="36"/>
          <w:rtl/>
        </w:rPr>
        <w:t>.</w:t>
      </w:r>
    </w:p>
    <w:p w14:paraId="3C1AC179" w14:textId="77777777" w:rsidR="00052BF2" w:rsidRPr="00FD211F" w:rsidRDefault="00CF4DA0" w:rsidP="009C58C8">
      <w:pPr>
        <w:ind w:left="0" w:firstLine="227"/>
        <w:jc w:val="both"/>
        <w:rPr>
          <w:sz w:val="36"/>
          <w:szCs w:val="36"/>
          <w:rtl/>
        </w:rPr>
      </w:pPr>
      <w:r w:rsidRPr="00FD211F">
        <w:rPr>
          <w:sz w:val="36"/>
          <w:szCs w:val="36"/>
          <w:rtl/>
        </w:rPr>
        <w:t>2- ماذكره</w:t>
      </w:r>
      <w:r w:rsidR="004C6100" w:rsidRPr="00FD211F">
        <w:rPr>
          <w:sz w:val="36"/>
          <w:szCs w:val="36"/>
          <w:rtl/>
        </w:rPr>
        <w:t xml:space="preserve"> </w:t>
      </w:r>
      <w:r w:rsidR="00EC206A" w:rsidRPr="00FD211F">
        <w:rPr>
          <w:sz w:val="36"/>
          <w:szCs w:val="36"/>
          <w:rtl/>
        </w:rPr>
        <w:t>المحقق الايرواني</w:t>
      </w:r>
      <w:r w:rsidR="004317A3" w:rsidRPr="00FD211F">
        <w:rPr>
          <w:sz w:val="36"/>
          <w:szCs w:val="36"/>
          <w:rtl/>
        </w:rPr>
        <w:t xml:space="preserve"> </w:t>
      </w:r>
      <w:r w:rsidR="004C6100" w:rsidRPr="00FD211F">
        <w:rPr>
          <w:sz w:val="36"/>
          <w:szCs w:val="36"/>
          <w:rtl/>
        </w:rPr>
        <w:t>"قده"</w:t>
      </w:r>
      <w:r w:rsidR="00052BF2" w:rsidRPr="00FD211F">
        <w:rPr>
          <w:sz w:val="36"/>
          <w:szCs w:val="36"/>
          <w:rtl/>
        </w:rPr>
        <w:t xml:space="preserve"> </w:t>
      </w:r>
      <w:r w:rsidRPr="00FD211F">
        <w:rPr>
          <w:sz w:val="36"/>
          <w:szCs w:val="36"/>
          <w:rtl/>
        </w:rPr>
        <w:t xml:space="preserve">من </w:t>
      </w:r>
      <w:r w:rsidR="00052BF2" w:rsidRPr="00FD211F">
        <w:rPr>
          <w:sz w:val="36"/>
          <w:szCs w:val="36"/>
          <w:rtl/>
        </w:rPr>
        <w:t>ان المراد</w:t>
      </w:r>
      <w:r w:rsidRPr="00FD211F">
        <w:rPr>
          <w:sz w:val="36"/>
          <w:szCs w:val="36"/>
          <w:rtl/>
        </w:rPr>
        <w:t>من الاطراد</w:t>
      </w:r>
      <w:r w:rsidR="00B253CE" w:rsidRPr="00FD211F">
        <w:rPr>
          <w:sz w:val="36"/>
          <w:szCs w:val="36"/>
          <w:rtl/>
        </w:rPr>
        <w:t xml:space="preserve"> </w:t>
      </w:r>
      <w:r w:rsidR="00052BF2" w:rsidRPr="00FD211F">
        <w:rPr>
          <w:sz w:val="36"/>
          <w:szCs w:val="36"/>
          <w:rtl/>
        </w:rPr>
        <w:t>ه</w:t>
      </w:r>
      <w:r w:rsidR="004C6100" w:rsidRPr="00FD211F">
        <w:rPr>
          <w:sz w:val="36"/>
          <w:szCs w:val="36"/>
          <w:rtl/>
        </w:rPr>
        <w:t>و الاطراد في التراكيب المختلف</w:t>
      </w:r>
      <w:r w:rsidR="00EC7EDF" w:rsidRPr="00FD211F">
        <w:rPr>
          <w:sz w:val="36"/>
          <w:szCs w:val="36"/>
          <w:rtl/>
        </w:rPr>
        <w:t xml:space="preserve">ة </w:t>
      </w:r>
      <w:r w:rsidR="004C6100" w:rsidRPr="00FD211F">
        <w:rPr>
          <w:sz w:val="36"/>
          <w:szCs w:val="36"/>
          <w:rtl/>
        </w:rPr>
        <w:t>ف</w:t>
      </w:r>
      <w:r w:rsidR="00052BF2" w:rsidRPr="00FD211F">
        <w:rPr>
          <w:sz w:val="36"/>
          <w:szCs w:val="36"/>
          <w:rtl/>
        </w:rPr>
        <w:t>لايقال عن</w:t>
      </w:r>
      <w:r w:rsidR="00E80A70" w:rsidRPr="00FD211F">
        <w:rPr>
          <w:sz w:val="36"/>
          <w:szCs w:val="36"/>
          <w:rtl/>
        </w:rPr>
        <w:t>د</w:t>
      </w:r>
      <w:r w:rsidR="005D6C5B">
        <w:rPr>
          <w:rFonts w:hint="cs"/>
          <w:sz w:val="36"/>
          <w:szCs w:val="36"/>
          <w:rtl/>
        </w:rPr>
        <w:t xml:space="preserve"> </w:t>
      </w:r>
      <w:r w:rsidR="00E80A70" w:rsidRPr="00FD211F">
        <w:rPr>
          <w:sz w:val="36"/>
          <w:szCs w:val="36"/>
          <w:rtl/>
        </w:rPr>
        <w:t>ما</w:t>
      </w:r>
      <w:r w:rsidR="005D6C5B">
        <w:rPr>
          <w:rFonts w:hint="cs"/>
          <w:sz w:val="36"/>
          <w:szCs w:val="36"/>
          <w:rtl/>
        </w:rPr>
        <w:t xml:space="preserve"> </w:t>
      </w:r>
      <w:r w:rsidR="00E80A70" w:rsidRPr="00FD211F">
        <w:rPr>
          <w:sz w:val="36"/>
          <w:szCs w:val="36"/>
          <w:rtl/>
        </w:rPr>
        <w:t>يأكل</w:t>
      </w:r>
      <w:r w:rsidR="00052BF2" w:rsidRPr="00FD211F">
        <w:rPr>
          <w:sz w:val="36"/>
          <w:szCs w:val="36"/>
          <w:rtl/>
        </w:rPr>
        <w:t xml:space="preserve"> الرجل الشجاع </w:t>
      </w:r>
      <w:r w:rsidR="00E80A70" w:rsidRPr="00FD211F">
        <w:rPr>
          <w:sz w:val="36"/>
          <w:szCs w:val="36"/>
          <w:rtl/>
        </w:rPr>
        <w:t>"أكل</w:t>
      </w:r>
      <w:r w:rsidR="00052BF2" w:rsidRPr="00FD211F">
        <w:rPr>
          <w:sz w:val="36"/>
          <w:szCs w:val="36"/>
          <w:rtl/>
        </w:rPr>
        <w:t xml:space="preserve"> الاسد</w:t>
      </w:r>
      <w:r w:rsidR="00E80A70" w:rsidRPr="00FD211F">
        <w:rPr>
          <w:sz w:val="36"/>
          <w:szCs w:val="36"/>
          <w:rtl/>
        </w:rPr>
        <w:t>"</w:t>
      </w:r>
      <w:r w:rsidR="00603323" w:rsidRPr="00FD211F">
        <w:rPr>
          <w:sz w:val="36"/>
          <w:szCs w:val="36"/>
          <w:rtl/>
        </w:rPr>
        <w:t xml:space="preserve">، </w:t>
      </w:r>
      <w:r w:rsidR="00E80A70" w:rsidRPr="00FD211F">
        <w:rPr>
          <w:sz w:val="36"/>
          <w:szCs w:val="36"/>
          <w:rtl/>
        </w:rPr>
        <w:t>ولا</w:t>
      </w:r>
      <w:r w:rsidR="0097338E" w:rsidRPr="00FD211F">
        <w:rPr>
          <w:sz w:val="36"/>
          <w:szCs w:val="36"/>
          <w:rtl/>
        </w:rPr>
        <w:t>عند نومه "انه نام الاسد"</w:t>
      </w:r>
      <w:r w:rsidR="00052BF2" w:rsidRPr="00FD211F">
        <w:rPr>
          <w:sz w:val="36"/>
          <w:szCs w:val="36"/>
          <w:rtl/>
        </w:rPr>
        <w:t xml:space="preserve"> وكذا لايقال </w:t>
      </w:r>
      <w:r w:rsidR="0097338E" w:rsidRPr="00FD211F">
        <w:rPr>
          <w:sz w:val="36"/>
          <w:szCs w:val="36"/>
          <w:rtl/>
        </w:rPr>
        <w:t>"</w:t>
      </w:r>
      <w:r w:rsidR="00052BF2" w:rsidRPr="00FD211F">
        <w:rPr>
          <w:sz w:val="36"/>
          <w:szCs w:val="36"/>
          <w:rtl/>
        </w:rPr>
        <w:t>جاء رقب</w:t>
      </w:r>
      <w:r w:rsidR="00EC7EDF" w:rsidRPr="00FD211F">
        <w:rPr>
          <w:sz w:val="36"/>
          <w:szCs w:val="36"/>
          <w:rtl/>
        </w:rPr>
        <w:t xml:space="preserve">ة </w:t>
      </w:r>
      <w:r w:rsidR="0097338E" w:rsidRPr="00FD211F">
        <w:rPr>
          <w:sz w:val="36"/>
          <w:szCs w:val="36"/>
          <w:rtl/>
        </w:rPr>
        <w:t>"</w:t>
      </w:r>
      <w:r w:rsidR="00052BF2" w:rsidRPr="00FD211F">
        <w:rPr>
          <w:sz w:val="36"/>
          <w:szCs w:val="36"/>
          <w:rtl/>
        </w:rPr>
        <w:t xml:space="preserve"> وانما يقال</w:t>
      </w:r>
      <w:r w:rsidR="000563CE" w:rsidRPr="00FD211F">
        <w:rPr>
          <w:sz w:val="36"/>
          <w:szCs w:val="36"/>
          <w:rtl/>
        </w:rPr>
        <w:t xml:space="preserve"> </w:t>
      </w:r>
      <w:r w:rsidR="0097338E" w:rsidRPr="00FD211F">
        <w:rPr>
          <w:sz w:val="36"/>
          <w:szCs w:val="36"/>
          <w:rtl/>
        </w:rPr>
        <w:t>"</w:t>
      </w:r>
      <w:r w:rsidR="00052BF2" w:rsidRPr="00FD211F">
        <w:rPr>
          <w:sz w:val="36"/>
          <w:szCs w:val="36"/>
          <w:rtl/>
        </w:rPr>
        <w:t>اعتق رقب</w:t>
      </w:r>
      <w:r w:rsidR="00EC7EDF" w:rsidRPr="00FD211F">
        <w:rPr>
          <w:sz w:val="36"/>
          <w:szCs w:val="36"/>
          <w:rtl/>
        </w:rPr>
        <w:t>ة</w:t>
      </w:r>
      <w:r w:rsidR="0097338E" w:rsidRPr="00FD211F">
        <w:rPr>
          <w:sz w:val="36"/>
          <w:szCs w:val="36"/>
          <w:rtl/>
        </w:rPr>
        <w:t>"</w:t>
      </w:r>
      <w:r w:rsidR="00052BF2" w:rsidRPr="00FD211F">
        <w:rPr>
          <w:sz w:val="36"/>
          <w:szCs w:val="36"/>
          <w:rtl/>
        </w:rPr>
        <w:t xml:space="preserve"> في مقام فك الرقي</w:t>
      </w:r>
      <w:r w:rsidR="00EC7EDF" w:rsidRPr="00FD211F">
        <w:rPr>
          <w:sz w:val="36"/>
          <w:szCs w:val="36"/>
          <w:rtl/>
        </w:rPr>
        <w:t xml:space="preserve">ة </w:t>
      </w:r>
      <w:r w:rsidR="00052BF2" w:rsidRPr="00FD211F">
        <w:rPr>
          <w:sz w:val="36"/>
          <w:szCs w:val="36"/>
          <w:rtl/>
        </w:rPr>
        <w:t>عنها</w:t>
      </w:r>
      <w:r w:rsidR="009C58C8" w:rsidRPr="00FD211F">
        <w:rPr>
          <w:rStyle w:val="a6"/>
          <w:sz w:val="36"/>
          <w:szCs w:val="36"/>
          <w:rtl/>
        </w:rPr>
        <w:t>(</w:t>
      </w:r>
      <w:r w:rsidR="009C58C8" w:rsidRPr="00FD211F">
        <w:rPr>
          <w:rStyle w:val="a6"/>
          <w:sz w:val="36"/>
          <w:szCs w:val="36"/>
          <w:rtl/>
        </w:rPr>
        <w:footnoteReference w:id="318"/>
      </w:r>
      <w:r w:rsidR="009C58C8" w:rsidRPr="00FD211F">
        <w:rPr>
          <w:rStyle w:val="a6"/>
          <w:sz w:val="36"/>
          <w:szCs w:val="36"/>
          <w:rtl/>
        </w:rPr>
        <w:t>)</w:t>
      </w:r>
      <w:r w:rsidR="00052BF2" w:rsidRPr="00FD211F">
        <w:rPr>
          <w:sz w:val="36"/>
          <w:szCs w:val="36"/>
          <w:rtl/>
        </w:rPr>
        <w:t>.</w:t>
      </w:r>
    </w:p>
    <w:p w14:paraId="697D083C" w14:textId="77777777" w:rsidR="00A62FCA" w:rsidRPr="00FD211F" w:rsidRDefault="00CF4DA0" w:rsidP="009C58C8">
      <w:pPr>
        <w:ind w:left="0" w:firstLine="227"/>
        <w:jc w:val="both"/>
        <w:rPr>
          <w:sz w:val="36"/>
          <w:szCs w:val="36"/>
          <w:rtl/>
        </w:rPr>
      </w:pPr>
      <w:r w:rsidRPr="00FD211F">
        <w:rPr>
          <w:sz w:val="36"/>
          <w:szCs w:val="36"/>
          <w:rtl/>
        </w:rPr>
        <w:t>وهذا</w:t>
      </w:r>
      <w:r w:rsidR="00605CC0">
        <w:rPr>
          <w:rFonts w:hint="cs"/>
          <w:sz w:val="36"/>
          <w:szCs w:val="36"/>
          <w:rtl/>
        </w:rPr>
        <w:t xml:space="preserve"> </w:t>
      </w:r>
      <w:r w:rsidR="00052BF2" w:rsidRPr="00FD211F">
        <w:rPr>
          <w:sz w:val="36"/>
          <w:szCs w:val="36"/>
          <w:rtl/>
        </w:rPr>
        <w:t>ان تمّ فانما يتمّ في المجاز الادعائي</w:t>
      </w:r>
      <w:r w:rsidR="00603323" w:rsidRPr="00FD211F">
        <w:rPr>
          <w:sz w:val="36"/>
          <w:szCs w:val="36"/>
          <w:rtl/>
        </w:rPr>
        <w:t xml:space="preserve">، </w:t>
      </w:r>
      <w:r w:rsidR="00052BF2" w:rsidRPr="00FD211F">
        <w:rPr>
          <w:sz w:val="36"/>
          <w:szCs w:val="36"/>
          <w:rtl/>
        </w:rPr>
        <w:t>حيث انه يحتاج الى نكت</w:t>
      </w:r>
      <w:r w:rsidR="00EC7EDF" w:rsidRPr="00FD211F">
        <w:rPr>
          <w:sz w:val="36"/>
          <w:szCs w:val="36"/>
          <w:rtl/>
        </w:rPr>
        <w:t xml:space="preserve">ة </w:t>
      </w:r>
      <w:r w:rsidR="00052BF2" w:rsidRPr="00FD211F">
        <w:rPr>
          <w:sz w:val="36"/>
          <w:szCs w:val="36"/>
          <w:rtl/>
        </w:rPr>
        <w:t>مصحح</w:t>
      </w:r>
      <w:r w:rsidR="00EC7EDF" w:rsidRPr="00FD211F">
        <w:rPr>
          <w:sz w:val="36"/>
          <w:szCs w:val="36"/>
          <w:rtl/>
        </w:rPr>
        <w:t xml:space="preserve">ة </w:t>
      </w:r>
      <w:r w:rsidR="00052BF2" w:rsidRPr="00FD211F">
        <w:rPr>
          <w:sz w:val="36"/>
          <w:szCs w:val="36"/>
          <w:rtl/>
        </w:rPr>
        <w:t>للادعاء واما في المجاز اللغوي فقد يكون الحمل المجازي مطردا وشائعا</w:t>
      </w:r>
      <w:r w:rsidR="00603323" w:rsidRPr="00FD211F">
        <w:rPr>
          <w:sz w:val="36"/>
          <w:szCs w:val="36"/>
          <w:rtl/>
        </w:rPr>
        <w:t xml:space="preserve">، </w:t>
      </w:r>
      <w:r w:rsidR="00052BF2" w:rsidRPr="00FD211F">
        <w:rPr>
          <w:sz w:val="36"/>
          <w:szCs w:val="36"/>
          <w:rtl/>
        </w:rPr>
        <w:t>كما في حمل الذهب على البلاتين.</w:t>
      </w:r>
      <w:r w:rsidR="00A62FCA" w:rsidRPr="00FD211F">
        <w:rPr>
          <w:sz w:val="36"/>
          <w:szCs w:val="36"/>
          <w:rtl/>
        </w:rPr>
        <w:t xml:space="preserve"> </w:t>
      </w:r>
    </w:p>
    <w:p w14:paraId="7CB1D85C" w14:textId="77777777" w:rsidR="00CC7AF3" w:rsidRPr="00FD211F" w:rsidRDefault="00CF4DA0" w:rsidP="009C58C8">
      <w:pPr>
        <w:ind w:left="0" w:firstLine="227"/>
        <w:jc w:val="both"/>
        <w:rPr>
          <w:sz w:val="36"/>
          <w:szCs w:val="36"/>
          <w:rtl/>
        </w:rPr>
      </w:pPr>
      <w:r w:rsidRPr="00FD211F">
        <w:rPr>
          <w:sz w:val="36"/>
          <w:szCs w:val="36"/>
          <w:rtl/>
        </w:rPr>
        <w:t>3-</w:t>
      </w:r>
      <w:r w:rsidR="00054D71">
        <w:rPr>
          <w:rFonts w:hint="cs"/>
          <w:sz w:val="36"/>
          <w:szCs w:val="36"/>
          <w:rtl/>
        </w:rPr>
        <w:t xml:space="preserve"> </w:t>
      </w:r>
      <w:r w:rsidRPr="00FD211F">
        <w:rPr>
          <w:sz w:val="36"/>
          <w:szCs w:val="36"/>
          <w:rtl/>
        </w:rPr>
        <w:t>م</w:t>
      </w:r>
      <w:r w:rsidR="001E3883" w:rsidRPr="00FD211F">
        <w:rPr>
          <w:sz w:val="36"/>
          <w:szCs w:val="36"/>
          <w:rtl/>
        </w:rPr>
        <w:t>ا</w:t>
      </w:r>
      <w:r w:rsidR="00054D71">
        <w:rPr>
          <w:rFonts w:hint="cs"/>
          <w:sz w:val="36"/>
          <w:szCs w:val="36"/>
          <w:rtl/>
        </w:rPr>
        <w:t xml:space="preserve"> </w:t>
      </w:r>
      <w:r w:rsidR="00625804" w:rsidRPr="00FD211F">
        <w:rPr>
          <w:sz w:val="36"/>
          <w:szCs w:val="36"/>
          <w:rtl/>
        </w:rPr>
        <w:t xml:space="preserve">حكي عن </w:t>
      </w:r>
      <w:r w:rsidR="00A62FCA" w:rsidRPr="00FD211F">
        <w:rPr>
          <w:sz w:val="36"/>
          <w:szCs w:val="36"/>
          <w:rtl/>
        </w:rPr>
        <w:t>المحقق النائيني "قده"</w:t>
      </w:r>
      <w:r w:rsidR="00054D71">
        <w:rPr>
          <w:rFonts w:hint="cs"/>
          <w:sz w:val="36"/>
          <w:szCs w:val="36"/>
          <w:rtl/>
        </w:rPr>
        <w:t xml:space="preserve"> </w:t>
      </w:r>
      <w:r w:rsidRPr="00FD211F">
        <w:rPr>
          <w:sz w:val="36"/>
          <w:szCs w:val="36"/>
          <w:rtl/>
        </w:rPr>
        <w:t>ومحصله</w:t>
      </w:r>
      <w:r w:rsidR="00EC7EDF" w:rsidRPr="00FD211F">
        <w:rPr>
          <w:sz w:val="36"/>
          <w:szCs w:val="36"/>
          <w:rtl/>
        </w:rPr>
        <w:t>:</w:t>
      </w:r>
      <w:r w:rsidR="00CC7AF3" w:rsidRPr="00FD211F">
        <w:rPr>
          <w:sz w:val="36"/>
          <w:szCs w:val="36"/>
          <w:rtl/>
        </w:rPr>
        <w:t xml:space="preserve"> </w:t>
      </w:r>
      <w:r w:rsidR="00A62FCA" w:rsidRPr="00FD211F">
        <w:rPr>
          <w:sz w:val="36"/>
          <w:szCs w:val="36"/>
          <w:rtl/>
        </w:rPr>
        <w:t>أن مورد الاطراد</w:t>
      </w:r>
      <w:r w:rsidR="00EC7EDF" w:rsidRPr="00FD211F">
        <w:rPr>
          <w:sz w:val="36"/>
          <w:szCs w:val="36"/>
          <w:rtl/>
        </w:rPr>
        <w:t xml:space="preserve"> و</w:t>
      </w:r>
      <w:r w:rsidR="00A62FCA" w:rsidRPr="00FD211F">
        <w:rPr>
          <w:sz w:val="36"/>
          <w:szCs w:val="36"/>
          <w:rtl/>
        </w:rPr>
        <w:t xml:space="preserve">عدمه </w:t>
      </w:r>
      <w:r w:rsidR="00CC7AF3" w:rsidRPr="00FD211F">
        <w:rPr>
          <w:sz w:val="36"/>
          <w:szCs w:val="36"/>
          <w:rtl/>
        </w:rPr>
        <w:t>ما</w:t>
      </w:r>
      <w:r w:rsidR="004317A3" w:rsidRPr="00FD211F">
        <w:rPr>
          <w:sz w:val="36"/>
          <w:szCs w:val="36"/>
          <w:rtl/>
        </w:rPr>
        <w:t xml:space="preserve"> </w:t>
      </w:r>
      <w:r w:rsidR="00CC7AF3" w:rsidRPr="00FD211F">
        <w:rPr>
          <w:sz w:val="36"/>
          <w:szCs w:val="36"/>
          <w:rtl/>
        </w:rPr>
        <w:t>اذا</w:t>
      </w:r>
      <w:r w:rsidR="004317A3" w:rsidRPr="00FD211F">
        <w:rPr>
          <w:sz w:val="36"/>
          <w:szCs w:val="36"/>
          <w:rtl/>
        </w:rPr>
        <w:t xml:space="preserve"> </w:t>
      </w:r>
      <w:r w:rsidR="00CC7AF3" w:rsidRPr="00FD211F">
        <w:rPr>
          <w:sz w:val="36"/>
          <w:szCs w:val="36"/>
          <w:rtl/>
        </w:rPr>
        <w:t>إطل</w:t>
      </w:r>
      <w:r w:rsidR="00A62FCA" w:rsidRPr="00FD211F">
        <w:rPr>
          <w:sz w:val="36"/>
          <w:szCs w:val="36"/>
          <w:rtl/>
        </w:rPr>
        <w:t>ق لفظ على فرد</w:t>
      </w:r>
      <w:r w:rsidR="00CC7AF3" w:rsidRPr="00FD211F">
        <w:rPr>
          <w:sz w:val="36"/>
          <w:szCs w:val="36"/>
          <w:rtl/>
        </w:rPr>
        <w:t>ٍ باعتبار أنه مصداق لمعنى كلي</w:t>
      </w:r>
      <w:r w:rsidR="00603323" w:rsidRPr="00FD211F">
        <w:rPr>
          <w:sz w:val="36"/>
          <w:szCs w:val="36"/>
          <w:rtl/>
        </w:rPr>
        <w:t xml:space="preserve">، </w:t>
      </w:r>
      <w:r w:rsidR="00CC7AF3" w:rsidRPr="00FD211F">
        <w:rPr>
          <w:sz w:val="36"/>
          <w:szCs w:val="36"/>
          <w:rtl/>
        </w:rPr>
        <w:t>فان كان مطرداً كشف عن كون ذلك المعنى الكلى معنى حقيقيا لذاك اللفظ و</w:t>
      </w:r>
      <w:r w:rsidR="00A62FCA" w:rsidRPr="00FD211F">
        <w:rPr>
          <w:sz w:val="36"/>
          <w:szCs w:val="36"/>
          <w:rtl/>
        </w:rPr>
        <w:t>ان</w:t>
      </w:r>
      <w:r w:rsidR="008D7B3D" w:rsidRPr="00FD211F">
        <w:rPr>
          <w:sz w:val="36"/>
          <w:szCs w:val="36"/>
          <w:rtl/>
        </w:rPr>
        <w:t xml:space="preserve"> لم‌</w:t>
      </w:r>
      <w:r w:rsidR="00A62FCA" w:rsidRPr="00FD211F">
        <w:rPr>
          <w:sz w:val="36"/>
          <w:szCs w:val="36"/>
          <w:rtl/>
        </w:rPr>
        <w:t xml:space="preserve">يكن مطرداً كشف عن كونه </w:t>
      </w:r>
      <w:r w:rsidR="00CC7AF3" w:rsidRPr="00FD211F">
        <w:rPr>
          <w:sz w:val="36"/>
          <w:szCs w:val="36"/>
          <w:rtl/>
        </w:rPr>
        <w:t>معنى مجازيا.</w:t>
      </w:r>
    </w:p>
    <w:p w14:paraId="4DC63735" w14:textId="77777777" w:rsidR="000C5BBA" w:rsidRPr="00FD211F" w:rsidRDefault="00A62FCA" w:rsidP="009C58C8">
      <w:pPr>
        <w:ind w:left="0" w:firstLine="227"/>
        <w:jc w:val="both"/>
        <w:rPr>
          <w:sz w:val="36"/>
          <w:szCs w:val="36"/>
          <w:rtl/>
        </w:rPr>
      </w:pPr>
      <w:r w:rsidRPr="00FD211F">
        <w:rPr>
          <w:sz w:val="36"/>
          <w:szCs w:val="36"/>
          <w:rtl/>
        </w:rPr>
        <w:t>مث</w:t>
      </w:r>
      <w:r w:rsidR="00CC7AF3" w:rsidRPr="00FD211F">
        <w:rPr>
          <w:sz w:val="36"/>
          <w:szCs w:val="36"/>
          <w:rtl/>
        </w:rPr>
        <w:t xml:space="preserve">ال ذلك أنّ </w:t>
      </w:r>
      <w:r w:rsidR="00141685" w:rsidRPr="00FD211F">
        <w:rPr>
          <w:sz w:val="36"/>
          <w:szCs w:val="36"/>
          <w:rtl/>
        </w:rPr>
        <w:t>لفظ الأسد</w:t>
      </w:r>
      <w:r w:rsidRPr="00FD211F">
        <w:rPr>
          <w:sz w:val="36"/>
          <w:szCs w:val="36"/>
          <w:rtl/>
        </w:rPr>
        <w:t xml:space="preserve"> </w:t>
      </w:r>
      <w:r w:rsidR="00CC7AF3" w:rsidRPr="00FD211F">
        <w:rPr>
          <w:sz w:val="36"/>
          <w:szCs w:val="36"/>
          <w:rtl/>
        </w:rPr>
        <w:t xml:space="preserve">يطلق </w:t>
      </w:r>
      <w:r w:rsidR="00141685" w:rsidRPr="00FD211F">
        <w:rPr>
          <w:sz w:val="36"/>
          <w:szCs w:val="36"/>
          <w:rtl/>
        </w:rPr>
        <w:t>على كل فرد من افراد الحيوان المفترس</w:t>
      </w:r>
      <w:r w:rsidRPr="00FD211F">
        <w:rPr>
          <w:sz w:val="36"/>
          <w:szCs w:val="36"/>
          <w:rtl/>
        </w:rPr>
        <w:t xml:space="preserve"> مع العلم بعدم كون الفرد بخصوصه</w:t>
      </w:r>
      <w:r w:rsidR="00141685" w:rsidRPr="00FD211F">
        <w:rPr>
          <w:sz w:val="36"/>
          <w:szCs w:val="36"/>
          <w:rtl/>
        </w:rPr>
        <w:t xml:space="preserve"> هو الموضوع له للفظ الاسد</w:t>
      </w:r>
      <w:r w:rsidR="00603323" w:rsidRPr="00FD211F">
        <w:rPr>
          <w:sz w:val="36"/>
          <w:szCs w:val="36"/>
          <w:rtl/>
        </w:rPr>
        <w:t xml:space="preserve">، </w:t>
      </w:r>
      <w:r w:rsidR="00141685" w:rsidRPr="00FD211F">
        <w:rPr>
          <w:sz w:val="36"/>
          <w:szCs w:val="36"/>
          <w:rtl/>
        </w:rPr>
        <w:t>وحيث أنه يكو</w:t>
      </w:r>
      <w:r w:rsidRPr="00FD211F">
        <w:rPr>
          <w:sz w:val="36"/>
          <w:szCs w:val="36"/>
          <w:rtl/>
        </w:rPr>
        <w:t xml:space="preserve">ن مطرداً </w:t>
      </w:r>
      <w:r w:rsidR="00141685" w:rsidRPr="00FD211F">
        <w:rPr>
          <w:sz w:val="36"/>
          <w:szCs w:val="36"/>
          <w:rtl/>
        </w:rPr>
        <w:t>فيكشف ذلك عن كون الحيوان المفترس</w:t>
      </w:r>
      <w:r w:rsidRPr="00FD211F">
        <w:rPr>
          <w:sz w:val="36"/>
          <w:szCs w:val="36"/>
          <w:rtl/>
        </w:rPr>
        <w:t xml:space="preserve"> معنى حقيقياً له</w:t>
      </w:r>
      <w:r w:rsidR="00603323" w:rsidRPr="00FD211F">
        <w:rPr>
          <w:sz w:val="36"/>
          <w:szCs w:val="36"/>
          <w:rtl/>
        </w:rPr>
        <w:t xml:space="preserve">، </w:t>
      </w:r>
      <w:r w:rsidRPr="00FD211F">
        <w:rPr>
          <w:sz w:val="36"/>
          <w:szCs w:val="36"/>
          <w:rtl/>
        </w:rPr>
        <w:t>و</w:t>
      </w:r>
      <w:r w:rsidR="00141685" w:rsidRPr="00FD211F">
        <w:rPr>
          <w:sz w:val="36"/>
          <w:szCs w:val="36"/>
          <w:rtl/>
        </w:rPr>
        <w:t>هذابخلاف</w:t>
      </w:r>
      <w:r w:rsidR="00B253CE" w:rsidRPr="00FD211F">
        <w:rPr>
          <w:sz w:val="36"/>
          <w:szCs w:val="36"/>
          <w:rtl/>
        </w:rPr>
        <w:t xml:space="preserve"> </w:t>
      </w:r>
      <w:r w:rsidR="00141685" w:rsidRPr="00FD211F">
        <w:rPr>
          <w:sz w:val="36"/>
          <w:szCs w:val="36"/>
          <w:rtl/>
        </w:rPr>
        <w:t xml:space="preserve">إطلاقه على كل فرد من افراد </w:t>
      </w:r>
      <w:r w:rsidRPr="00FD211F">
        <w:rPr>
          <w:sz w:val="36"/>
          <w:szCs w:val="36"/>
          <w:rtl/>
        </w:rPr>
        <w:t>ال</w:t>
      </w:r>
      <w:r w:rsidR="00141685" w:rsidRPr="00FD211F">
        <w:rPr>
          <w:sz w:val="36"/>
          <w:szCs w:val="36"/>
          <w:rtl/>
        </w:rPr>
        <w:t>شجاع</w:t>
      </w:r>
      <w:r w:rsidRPr="00FD211F">
        <w:rPr>
          <w:sz w:val="36"/>
          <w:szCs w:val="36"/>
          <w:rtl/>
        </w:rPr>
        <w:t xml:space="preserve"> </w:t>
      </w:r>
      <w:r w:rsidR="00141685" w:rsidRPr="00FD211F">
        <w:rPr>
          <w:sz w:val="36"/>
          <w:szCs w:val="36"/>
          <w:rtl/>
        </w:rPr>
        <w:t>فانه ليس مطرداً</w:t>
      </w:r>
      <w:r w:rsidR="00603323" w:rsidRPr="00FD211F">
        <w:rPr>
          <w:sz w:val="36"/>
          <w:szCs w:val="36"/>
          <w:rtl/>
        </w:rPr>
        <w:t xml:space="preserve">، </w:t>
      </w:r>
      <w:r w:rsidR="00141685" w:rsidRPr="00FD211F">
        <w:rPr>
          <w:sz w:val="36"/>
          <w:szCs w:val="36"/>
          <w:rtl/>
        </w:rPr>
        <w:t>حيث</w:t>
      </w:r>
      <w:r w:rsidR="00B253CE" w:rsidRPr="00FD211F">
        <w:rPr>
          <w:sz w:val="36"/>
          <w:szCs w:val="36"/>
          <w:rtl/>
        </w:rPr>
        <w:t xml:space="preserve"> </w:t>
      </w:r>
      <w:r w:rsidR="00141685" w:rsidRPr="00FD211F">
        <w:rPr>
          <w:sz w:val="36"/>
          <w:szCs w:val="36"/>
          <w:rtl/>
        </w:rPr>
        <w:t xml:space="preserve">يصح إطلاق لفظ الاسد </w:t>
      </w:r>
      <w:r w:rsidRPr="00FD211F">
        <w:rPr>
          <w:sz w:val="36"/>
          <w:szCs w:val="36"/>
          <w:rtl/>
        </w:rPr>
        <w:t xml:space="preserve">باعتبار </w:t>
      </w:r>
      <w:r w:rsidR="00141685" w:rsidRPr="00FD211F">
        <w:rPr>
          <w:sz w:val="36"/>
          <w:szCs w:val="36"/>
          <w:rtl/>
        </w:rPr>
        <w:t>معنى الشجاع على الإنسان الشجاع</w:t>
      </w:r>
      <w:r w:rsidR="00EC7EDF" w:rsidRPr="00FD211F">
        <w:rPr>
          <w:sz w:val="36"/>
          <w:szCs w:val="36"/>
          <w:rtl/>
        </w:rPr>
        <w:t xml:space="preserve"> و</w:t>
      </w:r>
      <w:r w:rsidRPr="00FD211F">
        <w:rPr>
          <w:sz w:val="36"/>
          <w:szCs w:val="36"/>
          <w:rtl/>
        </w:rPr>
        <w:t xml:space="preserve">على </w:t>
      </w:r>
      <w:r w:rsidR="00141685" w:rsidRPr="00FD211F">
        <w:rPr>
          <w:sz w:val="36"/>
          <w:szCs w:val="36"/>
          <w:rtl/>
        </w:rPr>
        <w:t>بعض الحيوانات</w:t>
      </w:r>
      <w:r w:rsidR="00603323" w:rsidRPr="00FD211F">
        <w:rPr>
          <w:sz w:val="36"/>
          <w:szCs w:val="36"/>
          <w:rtl/>
        </w:rPr>
        <w:t xml:space="preserve">، </w:t>
      </w:r>
      <w:r w:rsidR="00141685" w:rsidRPr="00FD211F">
        <w:rPr>
          <w:sz w:val="36"/>
          <w:szCs w:val="36"/>
          <w:rtl/>
        </w:rPr>
        <w:t>إلا انه لا يصح إطلاقه على النمل</w:t>
      </w:r>
      <w:r w:rsidR="00EC7EDF" w:rsidRPr="00FD211F">
        <w:rPr>
          <w:sz w:val="36"/>
          <w:szCs w:val="36"/>
          <w:rtl/>
        </w:rPr>
        <w:t xml:space="preserve">ة </w:t>
      </w:r>
      <w:r w:rsidR="00141685" w:rsidRPr="00FD211F">
        <w:rPr>
          <w:sz w:val="36"/>
          <w:szCs w:val="36"/>
          <w:rtl/>
        </w:rPr>
        <w:t>الشجاع</w:t>
      </w:r>
      <w:r w:rsidR="00B253CE" w:rsidRPr="00FD211F">
        <w:rPr>
          <w:sz w:val="36"/>
          <w:szCs w:val="36"/>
          <w:rtl/>
        </w:rPr>
        <w:t xml:space="preserve"> </w:t>
      </w:r>
      <w:r w:rsidR="00141685" w:rsidRPr="00FD211F">
        <w:rPr>
          <w:sz w:val="36"/>
          <w:szCs w:val="36"/>
          <w:rtl/>
        </w:rPr>
        <w:t>مثلا كشف ذلك عن كون الشجاع معنى مجازيا للفظ الاسد</w:t>
      </w:r>
      <w:r w:rsidRPr="00FD211F">
        <w:rPr>
          <w:sz w:val="36"/>
          <w:szCs w:val="36"/>
          <w:rtl/>
        </w:rPr>
        <w:t xml:space="preserve">. </w:t>
      </w:r>
    </w:p>
    <w:p w14:paraId="4840DAC6" w14:textId="77777777" w:rsidR="00A62FCA" w:rsidRPr="00FD211F" w:rsidRDefault="00A62FCA" w:rsidP="009C58C8">
      <w:pPr>
        <w:ind w:left="0" w:firstLine="227"/>
        <w:jc w:val="both"/>
        <w:rPr>
          <w:sz w:val="36"/>
          <w:szCs w:val="36"/>
          <w:rtl/>
        </w:rPr>
      </w:pPr>
      <w:r w:rsidRPr="00FD211F">
        <w:rPr>
          <w:sz w:val="36"/>
          <w:szCs w:val="36"/>
          <w:rtl/>
        </w:rPr>
        <w:t>و</w:t>
      </w:r>
      <w:r w:rsidR="00625804" w:rsidRPr="00FD211F">
        <w:rPr>
          <w:sz w:val="36"/>
          <w:szCs w:val="36"/>
          <w:rtl/>
        </w:rPr>
        <w:t>اورد عليه السيد الخوئي "قده"</w:t>
      </w:r>
      <w:r w:rsidRPr="00FD211F">
        <w:rPr>
          <w:sz w:val="36"/>
          <w:szCs w:val="36"/>
          <w:rtl/>
        </w:rPr>
        <w:t xml:space="preserve"> أن انطباق الطبيعي على افراده</w:t>
      </w:r>
      <w:r w:rsidR="00EC7EDF" w:rsidRPr="00FD211F">
        <w:rPr>
          <w:sz w:val="36"/>
          <w:szCs w:val="36"/>
          <w:rtl/>
        </w:rPr>
        <w:t xml:space="preserve"> و</w:t>
      </w:r>
      <w:r w:rsidRPr="00FD211F">
        <w:rPr>
          <w:sz w:val="36"/>
          <w:szCs w:val="36"/>
          <w:rtl/>
        </w:rPr>
        <w:t>الكلي على مصاديقه أمر عقلي</w:t>
      </w:r>
      <w:r w:rsidR="00603323" w:rsidRPr="00FD211F">
        <w:rPr>
          <w:sz w:val="36"/>
          <w:szCs w:val="36"/>
          <w:rtl/>
        </w:rPr>
        <w:t xml:space="preserve">، </w:t>
      </w:r>
      <w:r w:rsidR="00EC7EDF" w:rsidRPr="00FD211F">
        <w:rPr>
          <w:sz w:val="36"/>
          <w:szCs w:val="36"/>
          <w:rtl/>
        </w:rPr>
        <w:t>و</w:t>
      </w:r>
      <w:r w:rsidRPr="00FD211F">
        <w:rPr>
          <w:sz w:val="36"/>
          <w:szCs w:val="36"/>
          <w:rtl/>
        </w:rPr>
        <w:t>أجنبي عن الاستعمال بالكلي</w:t>
      </w:r>
      <w:r w:rsidR="00EC7EDF" w:rsidRPr="00FD211F">
        <w:rPr>
          <w:sz w:val="36"/>
          <w:szCs w:val="36"/>
          <w:rtl/>
        </w:rPr>
        <w:t>ة</w:t>
      </w:r>
      <w:r w:rsidR="00603323" w:rsidRPr="00FD211F">
        <w:rPr>
          <w:sz w:val="36"/>
          <w:szCs w:val="36"/>
          <w:rtl/>
        </w:rPr>
        <w:t xml:space="preserve">، </w:t>
      </w:r>
      <w:r w:rsidRPr="00FD211F">
        <w:rPr>
          <w:sz w:val="36"/>
          <w:szCs w:val="36"/>
          <w:rtl/>
        </w:rPr>
        <w:t>فلا يعقل ان يكون المعنى كلياً</w:t>
      </w:r>
      <w:r w:rsidR="00EC7EDF" w:rsidRPr="00FD211F">
        <w:rPr>
          <w:sz w:val="36"/>
          <w:szCs w:val="36"/>
          <w:rtl/>
        </w:rPr>
        <w:t xml:space="preserve"> و</w:t>
      </w:r>
      <w:r w:rsidRPr="00FD211F">
        <w:rPr>
          <w:sz w:val="36"/>
          <w:szCs w:val="36"/>
          <w:rtl/>
        </w:rPr>
        <w:t>مع ذلك لا ينطبق على تمام افراده</w:t>
      </w:r>
      <w:r w:rsidR="00EC7EDF" w:rsidRPr="00FD211F">
        <w:rPr>
          <w:sz w:val="36"/>
          <w:szCs w:val="36"/>
          <w:rtl/>
        </w:rPr>
        <w:t xml:space="preserve"> و</w:t>
      </w:r>
      <w:r w:rsidR="00625804" w:rsidRPr="00FD211F">
        <w:rPr>
          <w:sz w:val="36"/>
          <w:szCs w:val="36"/>
          <w:rtl/>
        </w:rPr>
        <w:t>مصاديقه</w:t>
      </w:r>
      <w:r w:rsidR="00603323" w:rsidRPr="00FD211F">
        <w:rPr>
          <w:sz w:val="36"/>
          <w:szCs w:val="36"/>
          <w:rtl/>
        </w:rPr>
        <w:t xml:space="preserve">، </w:t>
      </w:r>
      <w:r w:rsidRPr="00FD211F">
        <w:rPr>
          <w:sz w:val="36"/>
          <w:szCs w:val="36"/>
          <w:rtl/>
        </w:rPr>
        <w:t>فهذا من الواضحات الأولي</w:t>
      </w:r>
      <w:r w:rsidR="00EC7EDF" w:rsidRPr="00FD211F">
        <w:rPr>
          <w:sz w:val="36"/>
          <w:szCs w:val="36"/>
          <w:rtl/>
        </w:rPr>
        <w:t>ة و</w:t>
      </w:r>
      <w:r w:rsidRPr="00FD211F">
        <w:rPr>
          <w:sz w:val="36"/>
          <w:szCs w:val="36"/>
          <w:rtl/>
        </w:rPr>
        <w:t xml:space="preserve">غير قابل للنزاع فيه أصلا. </w:t>
      </w:r>
    </w:p>
    <w:p w14:paraId="7B15B4B2" w14:textId="77777777" w:rsidR="00625804" w:rsidRPr="00FD211F" w:rsidRDefault="00A62FCA" w:rsidP="009C58C8">
      <w:pPr>
        <w:ind w:left="0" w:firstLine="227"/>
        <w:jc w:val="both"/>
        <w:rPr>
          <w:sz w:val="36"/>
          <w:szCs w:val="36"/>
          <w:rtl/>
        </w:rPr>
      </w:pPr>
      <w:r w:rsidRPr="00FD211F">
        <w:rPr>
          <w:sz w:val="36"/>
          <w:szCs w:val="36"/>
          <w:rtl/>
        </w:rPr>
        <w:t>و اما عدم انطباق بعض المفاهيم في بعض الموارد فهو انما كان من جه</w:t>
      </w:r>
      <w:r w:rsidR="00EC7EDF" w:rsidRPr="00FD211F">
        <w:rPr>
          <w:sz w:val="36"/>
          <w:szCs w:val="36"/>
          <w:rtl/>
        </w:rPr>
        <w:t xml:space="preserve">ة </w:t>
      </w:r>
      <w:r w:rsidRPr="00FD211F">
        <w:rPr>
          <w:sz w:val="36"/>
          <w:szCs w:val="36"/>
          <w:rtl/>
        </w:rPr>
        <w:t>ضيق دائر</w:t>
      </w:r>
      <w:r w:rsidR="00EC7EDF" w:rsidRPr="00FD211F">
        <w:rPr>
          <w:sz w:val="36"/>
          <w:szCs w:val="36"/>
          <w:rtl/>
        </w:rPr>
        <w:t xml:space="preserve">ة </w:t>
      </w:r>
      <w:r w:rsidRPr="00FD211F">
        <w:rPr>
          <w:sz w:val="36"/>
          <w:szCs w:val="36"/>
          <w:rtl/>
        </w:rPr>
        <w:t>ذلك المفهوم من ناحي</w:t>
      </w:r>
      <w:r w:rsidR="00EC7EDF" w:rsidRPr="00FD211F">
        <w:rPr>
          <w:sz w:val="36"/>
          <w:szCs w:val="36"/>
          <w:rtl/>
        </w:rPr>
        <w:t xml:space="preserve">ة </w:t>
      </w:r>
      <w:r w:rsidRPr="00FD211F">
        <w:rPr>
          <w:sz w:val="36"/>
          <w:szCs w:val="36"/>
          <w:rtl/>
        </w:rPr>
        <w:t>تخصصه بخصوصي</w:t>
      </w:r>
      <w:r w:rsidR="00EC7EDF" w:rsidRPr="00FD211F">
        <w:rPr>
          <w:sz w:val="36"/>
          <w:szCs w:val="36"/>
          <w:rtl/>
        </w:rPr>
        <w:t xml:space="preserve">ة </w:t>
      </w:r>
      <w:r w:rsidRPr="00FD211F">
        <w:rPr>
          <w:sz w:val="36"/>
          <w:szCs w:val="36"/>
          <w:rtl/>
        </w:rPr>
        <w:t>ما عرفاً</w:t>
      </w:r>
      <w:r w:rsidR="00603323" w:rsidRPr="00FD211F">
        <w:rPr>
          <w:sz w:val="36"/>
          <w:szCs w:val="36"/>
          <w:rtl/>
        </w:rPr>
        <w:t xml:space="preserve">، </w:t>
      </w:r>
      <w:r w:rsidR="00EC7EDF" w:rsidRPr="00FD211F">
        <w:rPr>
          <w:sz w:val="36"/>
          <w:szCs w:val="36"/>
          <w:rtl/>
        </w:rPr>
        <w:t>و</w:t>
      </w:r>
      <w:r w:rsidRPr="00FD211F">
        <w:rPr>
          <w:sz w:val="36"/>
          <w:szCs w:val="36"/>
          <w:rtl/>
        </w:rPr>
        <w:t>من الواضح ان مثل هذا المفهوم لا ينطبق إلا على افراد تلك الحص</w:t>
      </w:r>
      <w:r w:rsidR="00EC7EDF" w:rsidRPr="00FD211F">
        <w:rPr>
          <w:sz w:val="36"/>
          <w:szCs w:val="36"/>
          <w:rtl/>
        </w:rPr>
        <w:t xml:space="preserve">ة </w:t>
      </w:r>
      <w:r w:rsidRPr="00FD211F">
        <w:rPr>
          <w:sz w:val="36"/>
          <w:szCs w:val="36"/>
          <w:rtl/>
        </w:rPr>
        <w:t>خاص</w:t>
      </w:r>
      <w:r w:rsidR="00EC7EDF" w:rsidRPr="00FD211F">
        <w:rPr>
          <w:sz w:val="36"/>
          <w:szCs w:val="36"/>
          <w:rtl/>
        </w:rPr>
        <w:t>ة</w:t>
      </w:r>
      <w:r w:rsidR="00603323" w:rsidRPr="00FD211F">
        <w:rPr>
          <w:sz w:val="36"/>
          <w:szCs w:val="36"/>
          <w:rtl/>
        </w:rPr>
        <w:t xml:space="preserve">، </w:t>
      </w:r>
      <w:r w:rsidRPr="00FD211F">
        <w:rPr>
          <w:sz w:val="36"/>
          <w:szCs w:val="36"/>
          <w:rtl/>
        </w:rPr>
        <w:t>دون غيرها</w:t>
      </w:r>
      <w:r w:rsidR="00625804" w:rsidRPr="00FD211F">
        <w:rPr>
          <w:sz w:val="36"/>
          <w:szCs w:val="36"/>
          <w:rtl/>
        </w:rPr>
        <w:t>.</w:t>
      </w:r>
    </w:p>
    <w:p w14:paraId="0AC1F78B" w14:textId="77777777" w:rsidR="00052BF2" w:rsidRPr="00FD211F" w:rsidRDefault="00625804" w:rsidP="009C58C8">
      <w:pPr>
        <w:ind w:left="0" w:firstLine="227"/>
        <w:jc w:val="both"/>
        <w:rPr>
          <w:sz w:val="36"/>
          <w:szCs w:val="36"/>
          <w:rtl/>
        </w:rPr>
      </w:pPr>
      <w:r w:rsidRPr="00FD211F">
        <w:rPr>
          <w:sz w:val="36"/>
          <w:szCs w:val="36"/>
          <w:rtl/>
        </w:rPr>
        <w:t>ف</w:t>
      </w:r>
      <w:r w:rsidR="00A62FCA" w:rsidRPr="00FD211F">
        <w:rPr>
          <w:sz w:val="36"/>
          <w:szCs w:val="36"/>
          <w:rtl/>
        </w:rPr>
        <w:t>عدم اطراد إطلاق لفظ الأسد باعتبار مفهوم الشجاع على كل فرد من افراده</w:t>
      </w:r>
      <w:r w:rsidR="00603323" w:rsidRPr="00FD211F">
        <w:rPr>
          <w:sz w:val="36"/>
          <w:szCs w:val="36"/>
          <w:rtl/>
        </w:rPr>
        <w:t xml:space="preserve">، </w:t>
      </w:r>
      <w:r w:rsidR="00A62FCA" w:rsidRPr="00FD211F">
        <w:rPr>
          <w:sz w:val="36"/>
          <w:szCs w:val="36"/>
          <w:rtl/>
        </w:rPr>
        <w:t>لا يكون إلا من جه</w:t>
      </w:r>
      <w:r w:rsidR="00EC7EDF" w:rsidRPr="00FD211F">
        <w:rPr>
          <w:sz w:val="36"/>
          <w:szCs w:val="36"/>
          <w:rtl/>
        </w:rPr>
        <w:t xml:space="preserve">ة </w:t>
      </w:r>
      <w:r w:rsidRPr="00FD211F">
        <w:rPr>
          <w:sz w:val="36"/>
          <w:szCs w:val="36"/>
          <w:rtl/>
        </w:rPr>
        <w:t xml:space="preserve">تقييد ذلك المفهوم بقيد يمنعه من شمول بعض افراد الشجاع </w:t>
      </w:r>
      <w:r w:rsidR="00B3664C" w:rsidRPr="00FD211F">
        <w:rPr>
          <w:sz w:val="36"/>
          <w:szCs w:val="36"/>
          <w:rtl/>
        </w:rPr>
        <w:t>كالنمل</w:t>
      </w:r>
      <w:r w:rsidR="00EC7EDF" w:rsidRPr="00FD211F">
        <w:rPr>
          <w:sz w:val="36"/>
          <w:szCs w:val="36"/>
          <w:rtl/>
        </w:rPr>
        <w:t xml:space="preserve">ة </w:t>
      </w:r>
      <w:r w:rsidR="00B3664C" w:rsidRPr="00FD211F">
        <w:rPr>
          <w:sz w:val="36"/>
          <w:szCs w:val="36"/>
          <w:rtl/>
        </w:rPr>
        <w:t>الشجاع وانمايشمل حص</w:t>
      </w:r>
      <w:r w:rsidR="00EC7EDF" w:rsidRPr="00FD211F">
        <w:rPr>
          <w:sz w:val="36"/>
          <w:szCs w:val="36"/>
          <w:rtl/>
        </w:rPr>
        <w:t xml:space="preserve">ة </w:t>
      </w:r>
      <w:r w:rsidR="00B3664C" w:rsidRPr="00FD211F">
        <w:rPr>
          <w:sz w:val="36"/>
          <w:szCs w:val="36"/>
          <w:rtl/>
        </w:rPr>
        <w:t>من الشجاع</w:t>
      </w:r>
      <w:r w:rsidR="00603323" w:rsidRPr="00FD211F">
        <w:rPr>
          <w:sz w:val="36"/>
          <w:szCs w:val="36"/>
          <w:rtl/>
        </w:rPr>
        <w:t xml:space="preserve">، </w:t>
      </w:r>
      <w:r w:rsidR="00B3664C" w:rsidRPr="00FD211F">
        <w:rPr>
          <w:sz w:val="36"/>
          <w:szCs w:val="36"/>
          <w:rtl/>
        </w:rPr>
        <w:t xml:space="preserve">ومن المعلوم أن </w:t>
      </w:r>
      <w:r w:rsidR="00A62FCA" w:rsidRPr="00FD211F">
        <w:rPr>
          <w:sz w:val="36"/>
          <w:szCs w:val="36"/>
          <w:rtl/>
        </w:rPr>
        <w:t xml:space="preserve">إطلاق </w:t>
      </w:r>
      <w:r w:rsidR="00B3664C" w:rsidRPr="00FD211F">
        <w:rPr>
          <w:sz w:val="36"/>
          <w:szCs w:val="36"/>
          <w:rtl/>
        </w:rPr>
        <w:t xml:space="preserve">لفظ الاسد </w:t>
      </w:r>
      <w:r w:rsidR="00A62FCA" w:rsidRPr="00FD211F">
        <w:rPr>
          <w:sz w:val="36"/>
          <w:szCs w:val="36"/>
          <w:rtl/>
        </w:rPr>
        <w:t>باعتبار تلك الحص</w:t>
      </w:r>
      <w:r w:rsidR="00EC7EDF" w:rsidRPr="00FD211F">
        <w:rPr>
          <w:sz w:val="36"/>
          <w:szCs w:val="36"/>
          <w:rtl/>
        </w:rPr>
        <w:t xml:space="preserve">ة </w:t>
      </w:r>
      <w:r w:rsidR="00B3664C" w:rsidRPr="00FD211F">
        <w:rPr>
          <w:sz w:val="36"/>
          <w:szCs w:val="36"/>
          <w:rtl/>
        </w:rPr>
        <w:t xml:space="preserve">من الشجاع </w:t>
      </w:r>
      <w:r w:rsidR="00A62FCA" w:rsidRPr="00FD211F">
        <w:rPr>
          <w:sz w:val="36"/>
          <w:szCs w:val="36"/>
          <w:rtl/>
        </w:rPr>
        <w:t>مطرد</w:t>
      </w:r>
      <w:r w:rsidR="009C58C8" w:rsidRPr="00FD211F">
        <w:rPr>
          <w:rStyle w:val="a6"/>
          <w:sz w:val="36"/>
          <w:szCs w:val="36"/>
          <w:rtl/>
        </w:rPr>
        <w:t>(</w:t>
      </w:r>
      <w:r w:rsidR="009C58C8" w:rsidRPr="00FD211F">
        <w:rPr>
          <w:rStyle w:val="a6"/>
          <w:sz w:val="36"/>
          <w:szCs w:val="36"/>
          <w:rtl/>
        </w:rPr>
        <w:footnoteReference w:id="319"/>
      </w:r>
      <w:r w:rsidR="009C58C8" w:rsidRPr="00FD211F">
        <w:rPr>
          <w:rStyle w:val="a6"/>
          <w:sz w:val="36"/>
          <w:szCs w:val="36"/>
          <w:rtl/>
        </w:rPr>
        <w:t>)</w:t>
      </w:r>
      <w:r w:rsidR="00603323" w:rsidRPr="00FD211F">
        <w:rPr>
          <w:sz w:val="36"/>
          <w:szCs w:val="36"/>
          <w:rtl/>
        </w:rPr>
        <w:t xml:space="preserve">، </w:t>
      </w:r>
      <w:r w:rsidR="00CF4DA0" w:rsidRPr="00FD211F">
        <w:rPr>
          <w:sz w:val="36"/>
          <w:szCs w:val="36"/>
          <w:rtl/>
        </w:rPr>
        <w:t>ولابأس بما</w:t>
      </w:r>
      <w:r w:rsidR="004317A3" w:rsidRPr="00FD211F">
        <w:rPr>
          <w:sz w:val="36"/>
          <w:szCs w:val="36"/>
          <w:rtl/>
        </w:rPr>
        <w:t xml:space="preserve"> </w:t>
      </w:r>
      <w:r w:rsidR="00CF4DA0" w:rsidRPr="00FD211F">
        <w:rPr>
          <w:sz w:val="36"/>
          <w:szCs w:val="36"/>
          <w:rtl/>
        </w:rPr>
        <w:t>افاده.</w:t>
      </w:r>
    </w:p>
    <w:p w14:paraId="4E42521B" w14:textId="77777777" w:rsidR="005A2060" w:rsidRPr="00FD211F" w:rsidRDefault="00CF4DA0" w:rsidP="009C58C8">
      <w:pPr>
        <w:ind w:left="0" w:firstLine="227"/>
        <w:jc w:val="both"/>
        <w:rPr>
          <w:sz w:val="36"/>
          <w:szCs w:val="36"/>
          <w:rtl/>
        </w:rPr>
      </w:pPr>
      <w:r w:rsidRPr="00FD211F">
        <w:rPr>
          <w:sz w:val="36"/>
          <w:szCs w:val="36"/>
          <w:rtl/>
        </w:rPr>
        <w:t>4-ما</w:t>
      </w:r>
      <w:r w:rsidR="00054D71">
        <w:rPr>
          <w:rFonts w:hint="cs"/>
          <w:sz w:val="36"/>
          <w:szCs w:val="36"/>
          <w:rtl/>
        </w:rPr>
        <w:t xml:space="preserve"> </w:t>
      </w:r>
      <w:r w:rsidRPr="00FD211F">
        <w:rPr>
          <w:sz w:val="36"/>
          <w:szCs w:val="36"/>
          <w:rtl/>
        </w:rPr>
        <w:t>هو</w:t>
      </w:r>
      <w:r w:rsidR="00054D71">
        <w:rPr>
          <w:rFonts w:hint="cs"/>
          <w:sz w:val="36"/>
          <w:szCs w:val="36"/>
          <w:rtl/>
        </w:rPr>
        <w:t xml:space="preserve"> </w:t>
      </w:r>
      <w:r w:rsidR="00052BF2" w:rsidRPr="00FD211F">
        <w:rPr>
          <w:sz w:val="36"/>
          <w:szCs w:val="36"/>
          <w:rtl/>
        </w:rPr>
        <w:t>الصحيح</w:t>
      </w:r>
      <w:r w:rsidRPr="00FD211F">
        <w:rPr>
          <w:sz w:val="36"/>
          <w:szCs w:val="36"/>
          <w:rtl/>
        </w:rPr>
        <w:t xml:space="preserve"> من </w:t>
      </w:r>
      <w:r w:rsidR="00052BF2" w:rsidRPr="00FD211F">
        <w:rPr>
          <w:sz w:val="36"/>
          <w:szCs w:val="36"/>
          <w:rtl/>
        </w:rPr>
        <w:t xml:space="preserve">ان </w:t>
      </w:r>
      <w:r w:rsidRPr="00FD211F">
        <w:rPr>
          <w:sz w:val="36"/>
          <w:szCs w:val="36"/>
          <w:rtl/>
        </w:rPr>
        <w:t xml:space="preserve">المراد من الاطراد هو </w:t>
      </w:r>
      <w:r w:rsidR="00052BF2" w:rsidRPr="00FD211F">
        <w:rPr>
          <w:sz w:val="36"/>
          <w:szCs w:val="36"/>
          <w:rtl/>
        </w:rPr>
        <w:t>اطراد الاستعمال في معنى بلاقرين</w:t>
      </w:r>
      <w:r w:rsidR="00EC7EDF" w:rsidRPr="00FD211F">
        <w:rPr>
          <w:sz w:val="36"/>
          <w:szCs w:val="36"/>
          <w:rtl/>
        </w:rPr>
        <w:t>ة</w:t>
      </w:r>
      <w:r w:rsidR="00603323" w:rsidRPr="00FD211F">
        <w:rPr>
          <w:sz w:val="36"/>
          <w:szCs w:val="36"/>
          <w:rtl/>
        </w:rPr>
        <w:t xml:space="preserve">، </w:t>
      </w:r>
      <w:r w:rsidR="004F6B64" w:rsidRPr="00FD211F">
        <w:rPr>
          <w:sz w:val="36"/>
          <w:szCs w:val="36"/>
          <w:rtl/>
        </w:rPr>
        <w:t xml:space="preserve">فانه يوجب </w:t>
      </w:r>
      <w:r w:rsidR="009C2B11" w:rsidRPr="00FD211F">
        <w:rPr>
          <w:sz w:val="36"/>
          <w:szCs w:val="36"/>
          <w:rtl/>
        </w:rPr>
        <w:t>حصول الاطمئنان عاد</w:t>
      </w:r>
      <w:r w:rsidR="00EC7EDF" w:rsidRPr="00FD211F">
        <w:rPr>
          <w:sz w:val="36"/>
          <w:szCs w:val="36"/>
          <w:rtl/>
        </w:rPr>
        <w:t xml:space="preserve">ة </w:t>
      </w:r>
      <w:r w:rsidR="009C2B11" w:rsidRPr="00FD211F">
        <w:rPr>
          <w:sz w:val="36"/>
          <w:szCs w:val="36"/>
          <w:rtl/>
        </w:rPr>
        <w:t>بكونه استعمالا حقيقيا</w:t>
      </w:r>
      <w:r w:rsidR="00603323" w:rsidRPr="00FD211F">
        <w:rPr>
          <w:sz w:val="36"/>
          <w:szCs w:val="36"/>
          <w:rtl/>
        </w:rPr>
        <w:t xml:space="preserve">، </w:t>
      </w:r>
      <w:r w:rsidR="009C2B11" w:rsidRPr="00FD211F">
        <w:rPr>
          <w:sz w:val="36"/>
          <w:szCs w:val="36"/>
          <w:rtl/>
        </w:rPr>
        <w:t>كما لو ذهبنا الى بلد</w:t>
      </w:r>
      <w:r w:rsidR="00EC7EDF" w:rsidRPr="00FD211F">
        <w:rPr>
          <w:sz w:val="36"/>
          <w:szCs w:val="36"/>
          <w:rtl/>
        </w:rPr>
        <w:t xml:space="preserve">ة </w:t>
      </w:r>
      <w:r w:rsidR="009C2B11" w:rsidRPr="00FD211F">
        <w:rPr>
          <w:sz w:val="36"/>
          <w:szCs w:val="36"/>
          <w:rtl/>
        </w:rPr>
        <w:t>اجنبي</w:t>
      </w:r>
      <w:r w:rsidR="00EC7EDF" w:rsidRPr="00FD211F">
        <w:rPr>
          <w:sz w:val="36"/>
          <w:szCs w:val="36"/>
          <w:rtl/>
        </w:rPr>
        <w:t xml:space="preserve">ة </w:t>
      </w:r>
      <w:r w:rsidR="009C2B11" w:rsidRPr="00FD211F">
        <w:rPr>
          <w:sz w:val="36"/>
          <w:szCs w:val="36"/>
          <w:rtl/>
        </w:rPr>
        <w:t>فرأينا</w:t>
      </w:r>
      <w:r w:rsidR="00052BF2" w:rsidRPr="00FD211F">
        <w:rPr>
          <w:sz w:val="36"/>
          <w:szCs w:val="36"/>
          <w:rtl/>
        </w:rPr>
        <w:t xml:space="preserve"> شيوع است</w:t>
      </w:r>
      <w:r w:rsidR="009C2B11" w:rsidRPr="00FD211F">
        <w:rPr>
          <w:sz w:val="36"/>
          <w:szCs w:val="36"/>
          <w:rtl/>
        </w:rPr>
        <w:t>عمال اللفظ في معنى بلاقرين</w:t>
      </w:r>
      <w:r w:rsidR="00EC7EDF" w:rsidRPr="00FD211F">
        <w:rPr>
          <w:sz w:val="36"/>
          <w:szCs w:val="36"/>
          <w:rtl/>
        </w:rPr>
        <w:t xml:space="preserve">ة </w:t>
      </w:r>
      <w:r w:rsidR="009C2B11" w:rsidRPr="00FD211F">
        <w:rPr>
          <w:sz w:val="36"/>
          <w:szCs w:val="36"/>
          <w:rtl/>
        </w:rPr>
        <w:t>معين</w:t>
      </w:r>
      <w:r w:rsidR="00EC7EDF" w:rsidRPr="00FD211F">
        <w:rPr>
          <w:sz w:val="36"/>
          <w:szCs w:val="36"/>
          <w:rtl/>
        </w:rPr>
        <w:t>ة</w:t>
      </w:r>
      <w:r w:rsidR="00603323" w:rsidRPr="00FD211F">
        <w:rPr>
          <w:sz w:val="36"/>
          <w:szCs w:val="36"/>
          <w:rtl/>
        </w:rPr>
        <w:t xml:space="preserve">، </w:t>
      </w:r>
      <w:r w:rsidR="00052BF2" w:rsidRPr="00FD211F">
        <w:rPr>
          <w:sz w:val="36"/>
          <w:szCs w:val="36"/>
          <w:rtl/>
        </w:rPr>
        <w:t>فيحصل الاطمئنان بكون استعماله فيه استعمالا حقيقي</w:t>
      </w:r>
      <w:r w:rsidR="005A2060" w:rsidRPr="00FD211F">
        <w:rPr>
          <w:sz w:val="36"/>
          <w:szCs w:val="36"/>
          <w:rtl/>
        </w:rPr>
        <w:t>ا.</w:t>
      </w:r>
    </w:p>
    <w:p w14:paraId="6154C201" w14:textId="77777777" w:rsidR="005A2060" w:rsidRPr="00FD211F" w:rsidRDefault="00052BF2" w:rsidP="009C58C8">
      <w:pPr>
        <w:ind w:left="0" w:firstLine="227"/>
        <w:jc w:val="both"/>
        <w:rPr>
          <w:sz w:val="36"/>
          <w:szCs w:val="36"/>
          <w:rtl/>
        </w:rPr>
      </w:pPr>
      <w:r w:rsidRPr="00FD211F">
        <w:rPr>
          <w:sz w:val="36"/>
          <w:szCs w:val="36"/>
          <w:rtl/>
        </w:rPr>
        <w:t xml:space="preserve">وقد ذكر السيد الخوئي </w:t>
      </w:r>
      <w:r w:rsidR="00EC206A" w:rsidRPr="00FD211F">
        <w:rPr>
          <w:sz w:val="36"/>
          <w:szCs w:val="36"/>
          <w:rtl/>
        </w:rPr>
        <w:t>"</w:t>
      </w:r>
      <w:r w:rsidRPr="00FD211F">
        <w:rPr>
          <w:sz w:val="36"/>
          <w:szCs w:val="36"/>
          <w:rtl/>
        </w:rPr>
        <w:t>قده</w:t>
      </w:r>
      <w:r w:rsidR="00EC206A" w:rsidRPr="00FD211F">
        <w:rPr>
          <w:sz w:val="36"/>
          <w:szCs w:val="36"/>
          <w:rtl/>
        </w:rPr>
        <w:t>"</w:t>
      </w:r>
      <w:r w:rsidR="00B253CE" w:rsidRPr="00FD211F">
        <w:rPr>
          <w:sz w:val="36"/>
          <w:szCs w:val="36"/>
          <w:rtl/>
        </w:rPr>
        <w:t xml:space="preserve"> </w:t>
      </w:r>
      <w:r w:rsidR="005A2060" w:rsidRPr="00FD211F">
        <w:rPr>
          <w:sz w:val="36"/>
          <w:szCs w:val="36"/>
          <w:rtl/>
        </w:rPr>
        <w:t>ان الاطراد الكاشف عن الحقيق</w:t>
      </w:r>
      <w:r w:rsidR="00EC7EDF" w:rsidRPr="00FD211F">
        <w:rPr>
          <w:sz w:val="36"/>
          <w:szCs w:val="36"/>
          <w:rtl/>
        </w:rPr>
        <w:t xml:space="preserve">ة </w:t>
      </w:r>
      <w:r w:rsidR="005A2060" w:rsidRPr="00FD211F">
        <w:rPr>
          <w:sz w:val="36"/>
          <w:szCs w:val="36"/>
          <w:rtl/>
        </w:rPr>
        <w:t>في الجمل</w:t>
      </w:r>
      <w:r w:rsidR="00EC7EDF" w:rsidRPr="00FD211F">
        <w:rPr>
          <w:sz w:val="36"/>
          <w:szCs w:val="36"/>
          <w:rtl/>
        </w:rPr>
        <w:t xml:space="preserve">ة </w:t>
      </w:r>
      <w:r w:rsidR="005A2060" w:rsidRPr="00FD211F">
        <w:rPr>
          <w:sz w:val="36"/>
          <w:szCs w:val="36"/>
          <w:rtl/>
        </w:rPr>
        <w:t>عبار</w:t>
      </w:r>
      <w:r w:rsidR="00EC7EDF" w:rsidRPr="00FD211F">
        <w:rPr>
          <w:sz w:val="36"/>
          <w:szCs w:val="36"/>
          <w:rtl/>
        </w:rPr>
        <w:t xml:space="preserve">ة </w:t>
      </w:r>
      <w:r w:rsidR="005A2060" w:rsidRPr="00FD211F">
        <w:rPr>
          <w:sz w:val="36"/>
          <w:szCs w:val="36"/>
          <w:rtl/>
        </w:rPr>
        <w:t>عن استعمال لفظ خاص في معنى مخصوص في موارد مختلف</w:t>
      </w:r>
      <w:r w:rsidR="00EC7EDF" w:rsidRPr="00FD211F">
        <w:rPr>
          <w:sz w:val="36"/>
          <w:szCs w:val="36"/>
          <w:rtl/>
        </w:rPr>
        <w:t xml:space="preserve">ة </w:t>
      </w:r>
      <w:r w:rsidR="005A2060" w:rsidRPr="00FD211F">
        <w:rPr>
          <w:sz w:val="36"/>
          <w:szCs w:val="36"/>
          <w:rtl/>
        </w:rPr>
        <w:t>بمحمولات عديد</w:t>
      </w:r>
      <w:r w:rsidR="00EC7EDF" w:rsidRPr="00FD211F">
        <w:rPr>
          <w:sz w:val="36"/>
          <w:szCs w:val="36"/>
          <w:rtl/>
        </w:rPr>
        <w:t>ة</w:t>
      </w:r>
      <w:r w:rsidR="00603323" w:rsidRPr="00FD211F">
        <w:rPr>
          <w:sz w:val="36"/>
          <w:szCs w:val="36"/>
          <w:rtl/>
        </w:rPr>
        <w:t xml:space="preserve">، </w:t>
      </w:r>
      <w:r w:rsidR="005A2060" w:rsidRPr="00FD211F">
        <w:rPr>
          <w:sz w:val="36"/>
          <w:szCs w:val="36"/>
          <w:rtl/>
        </w:rPr>
        <w:t>مع إلغاء جميع ما يحتمل أن يكون قرين</w:t>
      </w:r>
      <w:r w:rsidR="00EC7EDF" w:rsidRPr="00FD211F">
        <w:rPr>
          <w:sz w:val="36"/>
          <w:szCs w:val="36"/>
          <w:rtl/>
        </w:rPr>
        <w:t xml:space="preserve">ة </w:t>
      </w:r>
      <w:r w:rsidR="005A2060" w:rsidRPr="00FD211F">
        <w:rPr>
          <w:sz w:val="36"/>
          <w:szCs w:val="36"/>
          <w:rtl/>
        </w:rPr>
        <w:t>على إراد</w:t>
      </w:r>
      <w:r w:rsidR="00EC7EDF" w:rsidRPr="00FD211F">
        <w:rPr>
          <w:sz w:val="36"/>
          <w:szCs w:val="36"/>
          <w:rtl/>
        </w:rPr>
        <w:t xml:space="preserve">ة </w:t>
      </w:r>
      <w:r w:rsidR="005A2060" w:rsidRPr="00FD211F">
        <w:rPr>
          <w:sz w:val="36"/>
          <w:szCs w:val="36"/>
          <w:rtl/>
        </w:rPr>
        <w:t>المجاز</w:t>
      </w:r>
      <w:r w:rsidR="00603323" w:rsidRPr="00FD211F">
        <w:rPr>
          <w:sz w:val="36"/>
          <w:szCs w:val="36"/>
          <w:rtl/>
        </w:rPr>
        <w:t xml:space="preserve">، </w:t>
      </w:r>
      <w:r w:rsidR="005A2060" w:rsidRPr="00FD211F">
        <w:rPr>
          <w:sz w:val="36"/>
          <w:szCs w:val="36"/>
          <w:rtl/>
        </w:rPr>
        <w:t>فهذا طريق</w:t>
      </w:r>
      <w:r w:rsidR="00EC7EDF" w:rsidRPr="00FD211F">
        <w:rPr>
          <w:sz w:val="36"/>
          <w:szCs w:val="36"/>
          <w:rtl/>
        </w:rPr>
        <w:t xml:space="preserve">ة </w:t>
      </w:r>
      <w:r w:rsidR="005A2060" w:rsidRPr="00FD211F">
        <w:rPr>
          <w:sz w:val="36"/>
          <w:szCs w:val="36"/>
          <w:rtl/>
        </w:rPr>
        <w:t>عملي</w:t>
      </w:r>
      <w:r w:rsidR="00EC7EDF" w:rsidRPr="00FD211F">
        <w:rPr>
          <w:sz w:val="36"/>
          <w:szCs w:val="36"/>
          <w:rtl/>
        </w:rPr>
        <w:t xml:space="preserve">ة </w:t>
      </w:r>
      <w:r w:rsidR="005A2060" w:rsidRPr="00FD211F">
        <w:rPr>
          <w:sz w:val="36"/>
          <w:szCs w:val="36"/>
          <w:rtl/>
        </w:rPr>
        <w:t>لتعليم اللغات الأجنبي</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005A2060" w:rsidRPr="00FD211F">
        <w:rPr>
          <w:sz w:val="36"/>
          <w:szCs w:val="36"/>
          <w:rtl/>
        </w:rPr>
        <w:t>استكشاف حقائقها العرفي</w:t>
      </w:r>
      <w:r w:rsidR="00EC7EDF" w:rsidRPr="00FD211F">
        <w:rPr>
          <w:sz w:val="36"/>
          <w:szCs w:val="36"/>
          <w:rtl/>
        </w:rPr>
        <w:t>ة</w:t>
      </w:r>
      <w:r w:rsidR="00A61BAE" w:rsidRPr="00FD211F">
        <w:rPr>
          <w:sz w:val="36"/>
          <w:szCs w:val="36"/>
          <w:rtl/>
        </w:rPr>
        <w:t>.</w:t>
      </w:r>
      <w:r w:rsidR="005A2060" w:rsidRPr="00FD211F">
        <w:rPr>
          <w:sz w:val="36"/>
          <w:szCs w:val="36"/>
          <w:rtl/>
        </w:rPr>
        <w:t xml:space="preserve"> </w:t>
      </w:r>
    </w:p>
    <w:p w14:paraId="0BA3854C" w14:textId="77777777" w:rsidR="005A2060" w:rsidRPr="00FD211F" w:rsidRDefault="005A2060" w:rsidP="009C58C8">
      <w:pPr>
        <w:ind w:left="0" w:firstLine="227"/>
        <w:jc w:val="both"/>
        <w:rPr>
          <w:sz w:val="36"/>
          <w:szCs w:val="36"/>
          <w:rtl/>
        </w:rPr>
      </w:pPr>
      <w:r w:rsidRPr="00FD211F">
        <w:rPr>
          <w:sz w:val="36"/>
          <w:szCs w:val="36"/>
          <w:rtl/>
        </w:rPr>
        <w:t>توضيح ذلك: هو ان من جاء</w:t>
      </w:r>
      <w:r w:rsidR="004F6B64" w:rsidRPr="00FD211F">
        <w:rPr>
          <w:sz w:val="36"/>
          <w:szCs w:val="36"/>
          <w:rtl/>
        </w:rPr>
        <w:t xml:space="preserve"> من بلد إلى بلد آخر لا يعرف لغتهم إذا تصدى لتعل</w:t>
      </w:r>
      <w:r w:rsidRPr="00FD211F">
        <w:rPr>
          <w:sz w:val="36"/>
          <w:szCs w:val="36"/>
          <w:rtl/>
        </w:rPr>
        <w:t>م اللغ</w:t>
      </w:r>
      <w:r w:rsidR="00EC7EDF" w:rsidRPr="00FD211F">
        <w:rPr>
          <w:sz w:val="36"/>
          <w:szCs w:val="36"/>
          <w:rtl/>
        </w:rPr>
        <w:t xml:space="preserve">ة </w:t>
      </w:r>
      <w:r w:rsidR="004F6B64" w:rsidRPr="00FD211F">
        <w:rPr>
          <w:sz w:val="36"/>
          <w:szCs w:val="36"/>
          <w:rtl/>
        </w:rPr>
        <w:t>الشائعة</w:t>
      </w:r>
      <w:r w:rsidR="00EC7EDF" w:rsidRPr="00FD211F">
        <w:rPr>
          <w:sz w:val="36"/>
          <w:szCs w:val="36"/>
          <w:rtl/>
        </w:rPr>
        <w:t xml:space="preserve"> </w:t>
      </w:r>
      <w:r w:rsidRPr="00FD211F">
        <w:rPr>
          <w:sz w:val="36"/>
          <w:szCs w:val="36"/>
          <w:rtl/>
        </w:rPr>
        <w:t>في هذا البلد رأى ان أهل البلد يطلقون لفظاً</w:t>
      </w:r>
      <w:r w:rsidR="00EC7EDF" w:rsidRPr="00FD211F">
        <w:rPr>
          <w:sz w:val="36"/>
          <w:szCs w:val="36"/>
          <w:rtl/>
        </w:rPr>
        <w:t xml:space="preserve"> و</w:t>
      </w:r>
      <w:r w:rsidRPr="00FD211F">
        <w:rPr>
          <w:sz w:val="36"/>
          <w:szCs w:val="36"/>
          <w:rtl/>
        </w:rPr>
        <w:t>يريدون به معنى</w:t>
      </w:r>
      <w:r w:rsidR="00603323" w:rsidRPr="00FD211F">
        <w:rPr>
          <w:sz w:val="36"/>
          <w:szCs w:val="36"/>
          <w:rtl/>
        </w:rPr>
        <w:t xml:space="preserve">، </w:t>
      </w:r>
      <w:r w:rsidR="00EC7EDF" w:rsidRPr="00FD211F">
        <w:rPr>
          <w:sz w:val="36"/>
          <w:szCs w:val="36"/>
          <w:rtl/>
        </w:rPr>
        <w:t>و</w:t>
      </w:r>
      <w:r w:rsidRPr="00FD211F">
        <w:rPr>
          <w:sz w:val="36"/>
          <w:szCs w:val="36"/>
          <w:rtl/>
        </w:rPr>
        <w:t>يطلقون لفظاً آخر</w:t>
      </w:r>
      <w:r w:rsidR="00EC7EDF" w:rsidRPr="00FD211F">
        <w:rPr>
          <w:sz w:val="36"/>
          <w:szCs w:val="36"/>
          <w:rtl/>
        </w:rPr>
        <w:t xml:space="preserve"> و</w:t>
      </w:r>
      <w:r w:rsidRPr="00FD211F">
        <w:rPr>
          <w:sz w:val="36"/>
          <w:szCs w:val="36"/>
          <w:rtl/>
        </w:rPr>
        <w:t>يريدون به معنى آخر</w:t>
      </w:r>
      <w:r w:rsidR="00603323" w:rsidRPr="00FD211F">
        <w:rPr>
          <w:sz w:val="36"/>
          <w:szCs w:val="36"/>
          <w:rtl/>
        </w:rPr>
        <w:t xml:space="preserve">، </w:t>
      </w:r>
      <w:r w:rsidR="00EC7EDF" w:rsidRPr="00FD211F">
        <w:rPr>
          <w:sz w:val="36"/>
          <w:szCs w:val="36"/>
          <w:rtl/>
        </w:rPr>
        <w:t>و</w:t>
      </w:r>
      <w:r w:rsidRPr="00FD211F">
        <w:rPr>
          <w:sz w:val="36"/>
          <w:szCs w:val="36"/>
          <w:rtl/>
        </w:rPr>
        <w:t>هكذا</w:t>
      </w:r>
      <w:r w:rsidR="00603323" w:rsidRPr="00FD211F">
        <w:rPr>
          <w:sz w:val="36"/>
          <w:szCs w:val="36"/>
          <w:rtl/>
        </w:rPr>
        <w:t xml:space="preserve">، </w:t>
      </w:r>
      <w:r w:rsidR="00EC7EDF" w:rsidRPr="00FD211F">
        <w:rPr>
          <w:sz w:val="36"/>
          <w:szCs w:val="36"/>
          <w:rtl/>
        </w:rPr>
        <w:t>و</w:t>
      </w:r>
      <w:r w:rsidRPr="00FD211F">
        <w:rPr>
          <w:sz w:val="36"/>
          <w:szCs w:val="36"/>
          <w:rtl/>
        </w:rPr>
        <w:t>لكنه لا يعلم ان هذه الإطلاقات من الإطلاقات الحقيقي</w:t>
      </w:r>
      <w:r w:rsidR="00EC7EDF" w:rsidRPr="00FD211F">
        <w:rPr>
          <w:sz w:val="36"/>
          <w:szCs w:val="36"/>
          <w:rtl/>
        </w:rPr>
        <w:t>ة</w:t>
      </w:r>
      <w:r w:rsidR="00603323" w:rsidRPr="00FD211F">
        <w:rPr>
          <w:sz w:val="36"/>
          <w:szCs w:val="36"/>
          <w:rtl/>
        </w:rPr>
        <w:t xml:space="preserve">، </w:t>
      </w:r>
      <w:r w:rsidRPr="00FD211F">
        <w:rPr>
          <w:sz w:val="36"/>
          <w:szCs w:val="36"/>
          <w:rtl/>
        </w:rPr>
        <w:t>أو المجازي</w:t>
      </w:r>
      <w:r w:rsidR="00EC7EDF" w:rsidRPr="00FD211F">
        <w:rPr>
          <w:sz w:val="36"/>
          <w:szCs w:val="36"/>
          <w:rtl/>
        </w:rPr>
        <w:t>ة</w:t>
      </w:r>
      <w:r w:rsidR="00603323" w:rsidRPr="00FD211F">
        <w:rPr>
          <w:sz w:val="36"/>
          <w:szCs w:val="36"/>
          <w:rtl/>
        </w:rPr>
        <w:t xml:space="preserve">، </w:t>
      </w:r>
      <w:r w:rsidRPr="00FD211F">
        <w:rPr>
          <w:sz w:val="36"/>
          <w:szCs w:val="36"/>
          <w:rtl/>
        </w:rPr>
        <w:t>فإذا رأى أنهم يطلقون هذه الألفاظ</w:t>
      </w:r>
      <w:r w:rsidR="00EC7EDF" w:rsidRPr="00FD211F">
        <w:rPr>
          <w:sz w:val="36"/>
          <w:szCs w:val="36"/>
          <w:rtl/>
        </w:rPr>
        <w:t xml:space="preserve"> و</w:t>
      </w:r>
      <w:r w:rsidRPr="00FD211F">
        <w:rPr>
          <w:sz w:val="36"/>
          <w:szCs w:val="36"/>
          <w:rtl/>
        </w:rPr>
        <w:t>يريدون بها تلك المعاني في جميع الموارد حصل له العلم</w:t>
      </w:r>
      <w:r w:rsidR="00603323" w:rsidRPr="00FD211F">
        <w:rPr>
          <w:sz w:val="36"/>
          <w:szCs w:val="36"/>
          <w:rtl/>
        </w:rPr>
        <w:t xml:space="preserve">، </w:t>
      </w:r>
      <w:r w:rsidRPr="00FD211F">
        <w:rPr>
          <w:sz w:val="36"/>
          <w:szCs w:val="36"/>
          <w:rtl/>
        </w:rPr>
        <w:t>بأنها معاني حقيقي</w:t>
      </w:r>
      <w:r w:rsidR="00EC7EDF" w:rsidRPr="00FD211F">
        <w:rPr>
          <w:sz w:val="36"/>
          <w:szCs w:val="36"/>
          <w:rtl/>
        </w:rPr>
        <w:t>ة</w:t>
      </w:r>
      <w:r w:rsidR="00603323" w:rsidRPr="00FD211F">
        <w:rPr>
          <w:sz w:val="36"/>
          <w:szCs w:val="36"/>
          <w:rtl/>
        </w:rPr>
        <w:t xml:space="preserve">، </w:t>
      </w:r>
      <w:r w:rsidRPr="00FD211F">
        <w:rPr>
          <w:sz w:val="36"/>
          <w:szCs w:val="36"/>
          <w:rtl/>
        </w:rPr>
        <w:t>لأن جواز الاستعمال معلول لأحد أمرين: اما الوضع</w:t>
      </w:r>
      <w:r w:rsidR="00603323" w:rsidRPr="00FD211F">
        <w:rPr>
          <w:sz w:val="36"/>
          <w:szCs w:val="36"/>
          <w:rtl/>
        </w:rPr>
        <w:t xml:space="preserve">، </w:t>
      </w:r>
      <w:r w:rsidRPr="00FD211F">
        <w:rPr>
          <w:sz w:val="36"/>
          <w:szCs w:val="36"/>
          <w:rtl/>
        </w:rPr>
        <w:t>أو القرين</w:t>
      </w:r>
      <w:r w:rsidR="00EC7EDF" w:rsidRPr="00FD211F">
        <w:rPr>
          <w:sz w:val="36"/>
          <w:szCs w:val="36"/>
          <w:rtl/>
        </w:rPr>
        <w:t>ة و</w:t>
      </w:r>
      <w:r w:rsidRPr="00FD211F">
        <w:rPr>
          <w:sz w:val="36"/>
          <w:szCs w:val="36"/>
          <w:rtl/>
        </w:rPr>
        <w:t>حيث فرض انتفاء القرين</w:t>
      </w:r>
      <w:r w:rsidR="00EC7EDF" w:rsidRPr="00FD211F">
        <w:rPr>
          <w:sz w:val="36"/>
          <w:szCs w:val="36"/>
          <w:rtl/>
        </w:rPr>
        <w:t xml:space="preserve">ة </w:t>
      </w:r>
      <w:r w:rsidRPr="00FD211F">
        <w:rPr>
          <w:sz w:val="36"/>
          <w:szCs w:val="36"/>
          <w:rtl/>
        </w:rPr>
        <w:t>من جه</w:t>
      </w:r>
      <w:r w:rsidR="00EC7EDF" w:rsidRPr="00FD211F">
        <w:rPr>
          <w:sz w:val="36"/>
          <w:szCs w:val="36"/>
          <w:rtl/>
        </w:rPr>
        <w:t xml:space="preserve">ة </w:t>
      </w:r>
      <w:r w:rsidRPr="00FD211F">
        <w:rPr>
          <w:sz w:val="36"/>
          <w:szCs w:val="36"/>
          <w:rtl/>
        </w:rPr>
        <w:t>الاطراد فلا محال</w:t>
      </w:r>
      <w:r w:rsidR="00EC7EDF" w:rsidRPr="00FD211F">
        <w:rPr>
          <w:sz w:val="36"/>
          <w:szCs w:val="36"/>
          <w:rtl/>
        </w:rPr>
        <w:t xml:space="preserve">ة </w:t>
      </w:r>
      <w:r w:rsidRPr="00FD211F">
        <w:rPr>
          <w:sz w:val="36"/>
          <w:szCs w:val="36"/>
          <w:rtl/>
        </w:rPr>
        <w:t>يكون مستنداً إلى الوضع - مثلا - إذا رأى أحد ان العرب يستعملون لفظ الماء في معناه المعهود</w:t>
      </w:r>
      <w:r w:rsidR="00603323" w:rsidRPr="00FD211F">
        <w:rPr>
          <w:sz w:val="36"/>
          <w:szCs w:val="36"/>
          <w:rtl/>
        </w:rPr>
        <w:t xml:space="preserve">، </w:t>
      </w:r>
      <w:r w:rsidR="00EC7EDF" w:rsidRPr="00FD211F">
        <w:rPr>
          <w:sz w:val="36"/>
          <w:szCs w:val="36"/>
          <w:rtl/>
        </w:rPr>
        <w:t>و</w:t>
      </w:r>
      <w:r w:rsidRPr="00FD211F">
        <w:rPr>
          <w:sz w:val="36"/>
          <w:szCs w:val="36"/>
          <w:rtl/>
        </w:rPr>
        <w:t>لكنه شك في انه من المعاني الحقيقي</w:t>
      </w:r>
      <w:r w:rsidR="00EC7EDF" w:rsidRPr="00FD211F">
        <w:rPr>
          <w:sz w:val="36"/>
          <w:szCs w:val="36"/>
          <w:rtl/>
        </w:rPr>
        <w:t>ة</w:t>
      </w:r>
      <w:r w:rsidR="00603323" w:rsidRPr="00FD211F">
        <w:rPr>
          <w:sz w:val="36"/>
          <w:szCs w:val="36"/>
          <w:rtl/>
        </w:rPr>
        <w:t xml:space="preserve">، </w:t>
      </w:r>
      <w:r w:rsidRPr="00FD211F">
        <w:rPr>
          <w:sz w:val="36"/>
          <w:szCs w:val="36"/>
          <w:rtl/>
        </w:rPr>
        <w:t>أو من المعاني المجازي</w:t>
      </w:r>
      <w:r w:rsidR="00EC7EDF" w:rsidRPr="00FD211F">
        <w:rPr>
          <w:sz w:val="36"/>
          <w:szCs w:val="36"/>
          <w:rtl/>
        </w:rPr>
        <w:t>ة</w:t>
      </w:r>
      <w:r w:rsidR="00603323" w:rsidRPr="00FD211F">
        <w:rPr>
          <w:sz w:val="36"/>
          <w:szCs w:val="36"/>
          <w:rtl/>
        </w:rPr>
        <w:t xml:space="preserve">، </w:t>
      </w:r>
      <w:r w:rsidRPr="00FD211F">
        <w:rPr>
          <w:sz w:val="36"/>
          <w:szCs w:val="36"/>
          <w:rtl/>
        </w:rPr>
        <w:t>فمن إلغاء ما يحتمل أن يكون قرين</w:t>
      </w:r>
      <w:r w:rsidR="00EC7EDF" w:rsidRPr="00FD211F">
        <w:rPr>
          <w:sz w:val="36"/>
          <w:szCs w:val="36"/>
          <w:rtl/>
        </w:rPr>
        <w:t xml:space="preserve">ة </w:t>
      </w:r>
      <w:r w:rsidRPr="00FD211F">
        <w:rPr>
          <w:sz w:val="36"/>
          <w:szCs w:val="36"/>
          <w:rtl/>
        </w:rPr>
        <w:t>من جه</w:t>
      </w:r>
      <w:r w:rsidR="00EC7EDF" w:rsidRPr="00FD211F">
        <w:rPr>
          <w:sz w:val="36"/>
          <w:szCs w:val="36"/>
          <w:rtl/>
        </w:rPr>
        <w:t xml:space="preserve">ة </w:t>
      </w:r>
      <w:r w:rsidRPr="00FD211F">
        <w:rPr>
          <w:sz w:val="36"/>
          <w:szCs w:val="36"/>
          <w:rtl/>
        </w:rPr>
        <w:t>الاطراد علم بأنه من المعاني الحقيقي</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Pr="00FD211F">
        <w:rPr>
          <w:sz w:val="36"/>
          <w:szCs w:val="36"/>
          <w:rtl/>
        </w:rPr>
        <w:t>لا يكون فهمه منه مستنداً إلى قرين</w:t>
      </w:r>
      <w:r w:rsidR="00EC7EDF" w:rsidRPr="00FD211F">
        <w:rPr>
          <w:sz w:val="36"/>
          <w:szCs w:val="36"/>
          <w:rtl/>
        </w:rPr>
        <w:t xml:space="preserve">ة </w:t>
      </w:r>
      <w:r w:rsidRPr="00FD211F">
        <w:rPr>
          <w:sz w:val="36"/>
          <w:szCs w:val="36"/>
          <w:rtl/>
        </w:rPr>
        <w:t>حالي</w:t>
      </w:r>
      <w:r w:rsidR="00EC7EDF" w:rsidRPr="00FD211F">
        <w:rPr>
          <w:sz w:val="36"/>
          <w:szCs w:val="36"/>
          <w:rtl/>
        </w:rPr>
        <w:t>ة</w:t>
      </w:r>
      <w:r w:rsidR="00603323" w:rsidRPr="00FD211F">
        <w:rPr>
          <w:sz w:val="36"/>
          <w:szCs w:val="36"/>
          <w:rtl/>
        </w:rPr>
        <w:t xml:space="preserve">، </w:t>
      </w:r>
      <w:r w:rsidRPr="00FD211F">
        <w:rPr>
          <w:sz w:val="36"/>
          <w:szCs w:val="36"/>
          <w:rtl/>
        </w:rPr>
        <w:t>أو مقالي</w:t>
      </w:r>
      <w:r w:rsidR="00EC7EDF" w:rsidRPr="00FD211F">
        <w:rPr>
          <w:sz w:val="36"/>
          <w:szCs w:val="36"/>
          <w:rtl/>
        </w:rPr>
        <w:t>ة</w:t>
      </w:r>
      <w:r w:rsidR="00A61BAE" w:rsidRPr="00FD211F">
        <w:rPr>
          <w:sz w:val="36"/>
          <w:szCs w:val="36"/>
          <w:rtl/>
        </w:rPr>
        <w:t>.</w:t>
      </w:r>
      <w:r w:rsidRPr="00FD211F">
        <w:rPr>
          <w:sz w:val="36"/>
          <w:szCs w:val="36"/>
          <w:rtl/>
        </w:rPr>
        <w:t xml:space="preserve"> </w:t>
      </w:r>
    </w:p>
    <w:p w14:paraId="1B3D5B6D" w14:textId="77777777" w:rsidR="005A2060" w:rsidRPr="00FD211F" w:rsidRDefault="005A2060" w:rsidP="009C58C8">
      <w:pPr>
        <w:ind w:left="0" w:firstLine="227"/>
        <w:jc w:val="both"/>
        <w:rPr>
          <w:sz w:val="36"/>
          <w:szCs w:val="36"/>
          <w:rtl/>
        </w:rPr>
      </w:pPr>
      <w:r w:rsidRPr="00FD211F">
        <w:rPr>
          <w:sz w:val="36"/>
          <w:szCs w:val="36"/>
          <w:rtl/>
        </w:rPr>
        <w:t>و بهذه الطريق</w:t>
      </w:r>
      <w:r w:rsidR="00EC7EDF" w:rsidRPr="00FD211F">
        <w:rPr>
          <w:sz w:val="36"/>
          <w:szCs w:val="36"/>
          <w:rtl/>
        </w:rPr>
        <w:t xml:space="preserve">ة </w:t>
      </w:r>
      <w:r w:rsidRPr="00FD211F">
        <w:rPr>
          <w:sz w:val="36"/>
          <w:szCs w:val="36"/>
          <w:rtl/>
        </w:rPr>
        <w:t>غالباً يتعلم الأطفال</w:t>
      </w:r>
      <w:r w:rsidR="00EC7EDF" w:rsidRPr="00FD211F">
        <w:rPr>
          <w:sz w:val="36"/>
          <w:szCs w:val="36"/>
          <w:rtl/>
        </w:rPr>
        <w:t xml:space="preserve"> </w:t>
      </w:r>
      <w:r w:rsidRPr="00FD211F">
        <w:rPr>
          <w:sz w:val="36"/>
          <w:szCs w:val="36"/>
          <w:rtl/>
        </w:rPr>
        <w:t>اللغات</w:t>
      </w:r>
      <w:r w:rsidR="00EC7EDF" w:rsidRPr="00FD211F">
        <w:rPr>
          <w:sz w:val="36"/>
          <w:szCs w:val="36"/>
          <w:rtl/>
        </w:rPr>
        <w:t xml:space="preserve"> و</w:t>
      </w:r>
      <w:r w:rsidRPr="00FD211F">
        <w:rPr>
          <w:sz w:val="36"/>
          <w:szCs w:val="36"/>
          <w:rtl/>
        </w:rPr>
        <w:t xml:space="preserve">الألفاظ. </w:t>
      </w:r>
    </w:p>
    <w:p w14:paraId="1BE91B86" w14:textId="77777777" w:rsidR="00052BF2" w:rsidRPr="00FD211F" w:rsidRDefault="005A2060" w:rsidP="009C58C8">
      <w:pPr>
        <w:ind w:left="0" w:firstLine="227"/>
        <w:jc w:val="both"/>
        <w:rPr>
          <w:sz w:val="36"/>
          <w:szCs w:val="36"/>
          <w:rtl/>
        </w:rPr>
      </w:pPr>
      <w:r w:rsidRPr="00FD211F">
        <w:rPr>
          <w:sz w:val="36"/>
          <w:szCs w:val="36"/>
          <w:rtl/>
        </w:rPr>
        <w:t>فقد تحصل من ذلك ان الاطراد بهذا التفسير الّذي ذكرناه علام</w:t>
      </w:r>
      <w:r w:rsidR="00EC7EDF" w:rsidRPr="00FD211F">
        <w:rPr>
          <w:sz w:val="36"/>
          <w:szCs w:val="36"/>
          <w:rtl/>
        </w:rPr>
        <w:t xml:space="preserve">ة </w:t>
      </w:r>
      <w:r w:rsidRPr="00FD211F">
        <w:rPr>
          <w:sz w:val="36"/>
          <w:szCs w:val="36"/>
          <w:rtl/>
        </w:rPr>
        <w:t>لإثبات الحقيق</w:t>
      </w:r>
      <w:r w:rsidR="00EC7EDF" w:rsidRPr="00FD211F">
        <w:rPr>
          <w:sz w:val="36"/>
          <w:szCs w:val="36"/>
          <w:rtl/>
        </w:rPr>
        <w:t xml:space="preserve">ة </w:t>
      </w:r>
      <w:r w:rsidRPr="00FD211F">
        <w:rPr>
          <w:sz w:val="36"/>
          <w:szCs w:val="36"/>
          <w:rtl/>
        </w:rPr>
        <w:t>بل ان هذا هو السبب الوحيد لمعرف</w:t>
      </w:r>
      <w:r w:rsidR="00EC7EDF" w:rsidRPr="00FD211F">
        <w:rPr>
          <w:sz w:val="36"/>
          <w:szCs w:val="36"/>
          <w:rtl/>
        </w:rPr>
        <w:t xml:space="preserve">ة </w:t>
      </w:r>
      <w:r w:rsidRPr="00FD211F">
        <w:rPr>
          <w:sz w:val="36"/>
          <w:szCs w:val="36"/>
          <w:rtl/>
        </w:rPr>
        <w:t>الحقيق</w:t>
      </w:r>
      <w:r w:rsidR="00EC7EDF" w:rsidRPr="00FD211F">
        <w:rPr>
          <w:sz w:val="36"/>
          <w:szCs w:val="36"/>
          <w:rtl/>
        </w:rPr>
        <w:t xml:space="preserve">ة </w:t>
      </w:r>
      <w:r w:rsidRPr="00FD211F">
        <w:rPr>
          <w:sz w:val="36"/>
          <w:szCs w:val="36"/>
          <w:rtl/>
        </w:rPr>
        <w:t>غالباً</w:t>
      </w:r>
      <w:r w:rsidR="00603323" w:rsidRPr="00FD211F">
        <w:rPr>
          <w:sz w:val="36"/>
          <w:szCs w:val="36"/>
          <w:rtl/>
        </w:rPr>
        <w:t xml:space="preserve">، </w:t>
      </w:r>
      <w:r w:rsidRPr="00FD211F">
        <w:rPr>
          <w:sz w:val="36"/>
          <w:szCs w:val="36"/>
          <w:rtl/>
        </w:rPr>
        <w:t>فان تصريح الواضع</w:t>
      </w:r>
      <w:r w:rsidR="00EC7EDF" w:rsidRPr="00FD211F">
        <w:rPr>
          <w:sz w:val="36"/>
          <w:szCs w:val="36"/>
          <w:rtl/>
        </w:rPr>
        <w:t xml:space="preserve"> و</w:t>
      </w:r>
      <w:r w:rsidRPr="00FD211F">
        <w:rPr>
          <w:sz w:val="36"/>
          <w:szCs w:val="36"/>
          <w:rtl/>
        </w:rPr>
        <w:t>ان كان يعلم به الحقيق</w:t>
      </w:r>
      <w:r w:rsidR="00EC7EDF" w:rsidRPr="00FD211F">
        <w:rPr>
          <w:sz w:val="36"/>
          <w:szCs w:val="36"/>
          <w:rtl/>
        </w:rPr>
        <w:t xml:space="preserve">ة </w:t>
      </w:r>
      <w:r w:rsidRPr="00FD211F">
        <w:rPr>
          <w:sz w:val="36"/>
          <w:szCs w:val="36"/>
          <w:rtl/>
        </w:rPr>
        <w:t>إلا انه نادر جداً</w:t>
      </w:r>
      <w:r w:rsidR="00603323" w:rsidRPr="00FD211F">
        <w:rPr>
          <w:sz w:val="36"/>
          <w:szCs w:val="36"/>
          <w:rtl/>
        </w:rPr>
        <w:t xml:space="preserve">، </w:t>
      </w:r>
      <w:r w:rsidR="00EC7EDF" w:rsidRPr="00FD211F">
        <w:rPr>
          <w:sz w:val="36"/>
          <w:szCs w:val="36"/>
          <w:rtl/>
        </w:rPr>
        <w:t>و</w:t>
      </w:r>
      <w:r w:rsidRPr="00FD211F">
        <w:rPr>
          <w:sz w:val="36"/>
          <w:szCs w:val="36"/>
          <w:rtl/>
        </w:rPr>
        <w:t>اما التبادر فهو</w:t>
      </w:r>
      <w:r w:rsidR="00EC7EDF" w:rsidRPr="00FD211F">
        <w:rPr>
          <w:sz w:val="36"/>
          <w:szCs w:val="36"/>
          <w:rtl/>
        </w:rPr>
        <w:t xml:space="preserve"> و</w:t>
      </w:r>
      <w:r w:rsidRPr="00FD211F">
        <w:rPr>
          <w:sz w:val="36"/>
          <w:szCs w:val="36"/>
          <w:rtl/>
        </w:rPr>
        <w:t>إن كان يثبت به الوضع</w:t>
      </w:r>
      <w:r w:rsidR="00603323" w:rsidRPr="00FD211F">
        <w:rPr>
          <w:sz w:val="36"/>
          <w:szCs w:val="36"/>
          <w:rtl/>
        </w:rPr>
        <w:t xml:space="preserve">، </w:t>
      </w:r>
      <w:r w:rsidRPr="00FD211F">
        <w:rPr>
          <w:sz w:val="36"/>
          <w:szCs w:val="36"/>
          <w:rtl/>
        </w:rPr>
        <w:t>كما عرفت إلا انه لا بد من أن يستند إلى العلم بالوضع</w:t>
      </w:r>
      <w:r w:rsidR="00603323" w:rsidRPr="00FD211F">
        <w:rPr>
          <w:sz w:val="36"/>
          <w:szCs w:val="36"/>
          <w:rtl/>
        </w:rPr>
        <w:t xml:space="preserve">، </w:t>
      </w:r>
      <w:r w:rsidRPr="00FD211F">
        <w:rPr>
          <w:sz w:val="36"/>
          <w:szCs w:val="36"/>
          <w:rtl/>
        </w:rPr>
        <w:t>إما من جه</w:t>
      </w:r>
      <w:r w:rsidR="00EC7EDF" w:rsidRPr="00FD211F">
        <w:rPr>
          <w:sz w:val="36"/>
          <w:szCs w:val="36"/>
          <w:rtl/>
        </w:rPr>
        <w:t xml:space="preserve">ة </w:t>
      </w:r>
      <w:r w:rsidRPr="00FD211F">
        <w:rPr>
          <w:sz w:val="36"/>
          <w:szCs w:val="36"/>
          <w:rtl/>
        </w:rPr>
        <w:t>تصريح الواضع</w:t>
      </w:r>
      <w:r w:rsidR="00603323" w:rsidRPr="00FD211F">
        <w:rPr>
          <w:sz w:val="36"/>
          <w:szCs w:val="36"/>
          <w:rtl/>
        </w:rPr>
        <w:t xml:space="preserve">، </w:t>
      </w:r>
      <w:r w:rsidRPr="00FD211F">
        <w:rPr>
          <w:sz w:val="36"/>
          <w:szCs w:val="36"/>
          <w:rtl/>
        </w:rPr>
        <w:t>أو من جه</w:t>
      </w:r>
      <w:r w:rsidR="00EC7EDF" w:rsidRPr="00FD211F">
        <w:rPr>
          <w:sz w:val="36"/>
          <w:szCs w:val="36"/>
          <w:rtl/>
        </w:rPr>
        <w:t xml:space="preserve">ة </w:t>
      </w:r>
      <w:r w:rsidRPr="00FD211F">
        <w:rPr>
          <w:sz w:val="36"/>
          <w:szCs w:val="36"/>
          <w:rtl/>
        </w:rPr>
        <w:t>الاطراد</w:t>
      </w:r>
      <w:r w:rsidR="00603323" w:rsidRPr="00FD211F">
        <w:rPr>
          <w:sz w:val="36"/>
          <w:szCs w:val="36"/>
          <w:rtl/>
        </w:rPr>
        <w:t xml:space="preserve">، </w:t>
      </w:r>
      <w:r w:rsidR="00EC7EDF" w:rsidRPr="00FD211F">
        <w:rPr>
          <w:sz w:val="36"/>
          <w:szCs w:val="36"/>
          <w:rtl/>
        </w:rPr>
        <w:t>و</w:t>
      </w:r>
      <w:r w:rsidRPr="00FD211F">
        <w:rPr>
          <w:sz w:val="36"/>
          <w:szCs w:val="36"/>
          <w:rtl/>
        </w:rPr>
        <w:t>الأول نادر فيستند إلى الثاني لا محال</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320"/>
      </w:r>
      <w:r w:rsidR="009C58C8" w:rsidRPr="00FD211F">
        <w:rPr>
          <w:rStyle w:val="a6"/>
          <w:sz w:val="36"/>
          <w:szCs w:val="36"/>
          <w:rtl/>
        </w:rPr>
        <w:t>)</w:t>
      </w:r>
      <w:r w:rsidR="00052BF2" w:rsidRPr="00FD211F">
        <w:rPr>
          <w:sz w:val="36"/>
          <w:szCs w:val="36"/>
          <w:rtl/>
        </w:rPr>
        <w:t xml:space="preserve">. </w:t>
      </w:r>
    </w:p>
    <w:p w14:paraId="58D19CA0" w14:textId="77777777" w:rsidR="0097338E" w:rsidRPr="00FD211F" w:rsidRDefault="00052BF2" w:rsidP="009C58C8">
      <w:pPr>
        <w:ind w:left="0" w:firstLine="227"/>
        <w:jc w:val="both"/>
        <w:rPr>
          <w:sz w:val="36"/>
          <w:szCs w:val="36"/>
          <w:rtl/>
        </w:rPr>
      </w:pPr>
      <w:r w:rsidRPr="00FD211F">
        <w:rPr>
          <w:sz w:val="36"/>
          <w:szCs w:val="36"/>
          <w:rtl/>
        </w:rPr>
        <w:t>هذ</w:t>
      </w:r>
      <w:r w:rsidR="0097338E" w:rsidRPr="00FD211F">
        <w:rPr>
          <w:sz w:val="36"/>
          <w:szCs w:val="36"/>
          <w:rtl/>
        </w:rPr>
        <w:t>ا تمام الكلام في علائم الحقيق</w:t>
      </w:r>
      <w:r w:rsidR="00EC7EDF" w:rsidRPr="00FD211F">
        <w:rPr>
          <w:sz w:val="36"/>
          <w:szCs w:val="36"/>
          <w:rtl/>
        </w:rPr>
        <w:t>ة</w:t>
      </w:r>
      <w:r w:rsidR="00A61BAE" w:rsidRPr="00FD211F">
        <w:rPr>
          <w:sz w:val="36"/>
          <w:szCs w:val="36"/>
          <w:rtl/>
        </w:rPr>
        <w:t>.</w:t>
      </w:r>
    </w:p>
    <w:p w14:paraId="7C7281C2" w14:textId="77777777" w:rsidR="00057D31" w:rsidRPr="00FD211F" w:rsidRDefault="00057D31" w:rsidP="009C58C8">
      <w:pPr>
        <w:pStyle w:val="3"/>
        <w:ind w:firstLine="227"/>
        <w:jc w:val="both"/>
        <w:rPr>
          <w:rtl/>
        </w:rPr>
        <w:sectPr w:rsidR="00057D31" w:rsidRPr="00FD211F" w:rsidSect="00D24300">
          <w:headerReference w:type="default" r:id="rId25"/>
          <w:footnotePr>
            <w:numRestart w:val="eachPage"/>
          </w:footnotePr>
          <w:pgSz w:w="10319" w:h="14578" w:code="138"/>
          <w:pgMar w:top="1418" w:right="1701" w:bottom="1418" w:left="1701" w:header="1418" w:footer="964" w:gutter="0"/>
          <w:cols w:space="720"/>
          <w:bidi/>
          <w:rtlGutter/>
          <w:docGrid w:linePitch="360"/>
        </w:sectPr>
      </w:pPr>
      <w:bookmarkStart w:id="343" w:name="_Toc154131740"/>
      <w:bookmarkStart w:id="344" w:name="_Toc156401528"/>
      <w:bookmarkStart w:id="345" w:name="_Toc192092911"/>
    </w:p>
    <w:p w14:paraId="4FE8F54C" w14:textId="77777777" w:rsidR="00052BF2" w:rsidRPr="00FD211F" w:rsidRDefault="00052BF2" w:rsidP="009C58C8">
      <w:pPr>
        <w:pStyle w:val="3"/>
        <w:ind w:firstLine="227"/>
        <w:jc w:val="both"/>
        <w:rPr>
          <w:rtl/>
        </w:rPr>
      </w:pPr>
      <w:bookmarkStart w:id="346" w:name="_Toc223890390"/>
      <w:r w:rsidRPr="00FD211F">
        <w:rPr>
          <w:rtl/>
        </w:rPr>
        <w:t>تعارض الأحوال</w:t>
      </w:r>
      <w:bookmarkEnd w:id="343"/>
      <w:bookmarkEnd w:id="344"/>
      <w:bookmarkEnd w:id="345"/>
      <w:bookmarkEnd w:id="346"/>
    </w:p>
    <w:p w14:paraId="37174E56" w14:textId="77777777" w:rsidR="00052BF2" w:rsidRPr="00FD211F" w:rsidRDefault="00052BF2" w:rsidP="009C58C8">
      <w:pPr>
        <w:ind w:left="0" w:firstLine="227"/>
        <w:jc w:val="both"/>
        <w:rPr>
          <w:sz w:val="36"/>
          <w:szCs w:val="36"/>
          <w:rtl/>
        </w:rPr>
      </w:pPr>
      <w:r w:rsidRPr="00FD211F">
        <w:rPr>
          <w:sz w:val="36"/>
          <w:szCs w:val="36"/>
          <w:rtl/>
        </w:rPr>
        <w:t>ذكر صاحب الكفاي</w:t>
      </w:r>
      <w:r w:rsidR="00EC7EDF" w:rsidRPr="00FD211F">
        <w:rPr>
          <w:sz w:val="36"/>
          <w:szCs w:val="36"/>
          <w:rtl/>
        </w:rPr>
        <w:t xml:space="preserve">ة </w:t>
      </w:r>
      <w:r w:rsidR="00EC206A" w:rsidRPr="00FD211F">
        <w:rPr>
          <w:sz w:val="36"/>
          <w:szCs w:val="36"/>
          <w:rtl/>
        </w:rPr>
        <w:t>"</w:t>
      </w:r>
      <w:r w:rsidRPr="00FD211F">
        <w:rPr>
          <w:sz w:val="36"/>
          <w:szCs w:val="36"/>
          <w:rtl/>
        </w:rPr>
        <w:t>قده</w:t>
      </w:r>
      <w:r w:rsidR="00EC206A" w:rsidRPr="00FD211F">
        <w:rPr>
          <w:sz w:val="36"/>
          <w:szCs w:val="36"/>
          <w:rtl/>
        </w:rPr>
        <w:t>"</w:t>
      </w:r>
      <w:r w:rsidRPr="00FD211F">
        <w:rPr>
          <w:sz w:val="36"/>
          <w:szCs w:val="36"/>
          <w:rtl/>
        </w:rPr>
        <w:t xml:space="preserve"> ان للفظ احوالا خمس</w:t>
      </w:r>
      <w:r w:rsidR="00EC7EDF" w:rsidRPr="00FD211F">
        <w:rPr>
          <w:sz w:val="36"/>
          <w:szCs w:val="36"/>
          <w:rtl/>
        </w:rPr>
        <w:t xml:space="preserve">ة </w:t>
      </w:r>
      <w:r w:rsidRPr="00FD211F">
        <w:rPr>
          <w:sz w:val="36"/>
          <w:szCs w:val="36"/>
          <w:rtl/>
        </w:rPr>
        <w:t>وهي التجوز</w:t>
      </w:r>
      <w:r w:rsidR="00603323" w:rsidRPr="00FD211F">
        <w:rPr>
          <w:sz w:val="36"/>
          <w:szCs w:val="36"/>
          <w:rtl/>
        </w:rPr>
        <w:t xml:space="preserve">، </w:t>
      </w:r>
      <w:r w:rsidRPr="00FD211F">
        <w:rPr>
          <w:sz w:val="36"/>
          <w:szCs w:val="36"/>
          <w:rtl/>
        </w:rPr>
        <w:t>والاشتراك</w:t>
      </w:r>
      <w:r w:rsidR="00603323" w:rsidRPr="00FD211F">
        <w:rPr>
          <w:sz w:val="36"/>
          <w:szCs w:val="36"/>
          <w:rtl/>
        </w:rPr>
        <w:t xml:space="preserve">، </w:t>
      </w:r>
      <w:r w:rsidRPr="00FD211F">
        <w:rPr>
          <w:sz w:val="36"/>
          <w:szCs w:val="36"/>
          <w:rtl/>
        </w:rPr>
        <w:t>والتخصيص</w:t>
      </w:r>
      <w:r w:rsidR="00603323" w:rsidRPr="00FD211F">
        <w:rPr>
          <w:sz w:val="36"/>
          <w:szCs w:val="36"/>
          <w:rtl/>
        </w:rPr>
        <w:t xml:space="preserve">، </w:t>
      </w:r>
      <w:r w:rsidRPr="00FD211F">
        <w:rPr>
          <w:sz w:val="36"/>
          <w:szCs w:val="36"/>
          <w:rtl/>
        </w:rPr>
        <w:t>والنقل</w:t>
      </w:r>
      <w:r w:rsidR="00603323" w:rsidRPr="00FD211F">
        <w:rPr>
          <w:sz w:val="36"/>
          <w:szCs w:val="36"/>
          <w:rtl/>
        </w:rPr>
        <w:t xml:space="preserve">، </w:t>
      </w:r>
      <w:r w:rsidRPr="00FD211F">
        <w:rPr>
          <w:sz w:val="36"/>
          <w:szCs w:val="36"/>
          <w:rtl/>
        </w:rPr>
        <w:t>والإضمار</w:t>
      </w:r>
      <w:r w:rsidR="000563CE" w:rsidRPr="00FD211F">
        <w:rPr>
          <w:sz w:val="36"/>
          <w:szCs w:val="36"/>
          <w:rtl/>
        </w:rPr>
        <w:t xml:space="preserve"> </w:t>
      </w:r>
      <w:r w:rsidR="00546C88" w:rsidRPr="00FD211F">
        <w:rPr>
          <w:sz w:val="36"/>
          <w:szCs w:val="36"/>
          <w:rtl/>
        </w:rPr>
        <w:t>والتقدير</w:t>
      </w:r>
      <w:r w:rsidR="00603323" w:rsidRPr="00FD211F">
        <w:rPr>
          <w:sz w:val="36"/>
          <w:szCs w:val="36"/>
          <w:rtl/>
        </w:rPr>
        <w:t xml:space="preserve">، </w:t>
      </w:r>
      <w:r w:rsidRPr="00FD211F">
        <w:rPr>
          <w:sz w:val="36"/>
          <w:szCs w:val="36"/>
          <w:rtl/>
        </w:rPr>
        <w:t>ولاي</w:t>
      </w:r>
      <w:r w:rsidR="00A65593" w:rsidRPr="00FD211F">
        <w:rPr>
          <w:sz w:val="36"/>
          <w:szCs w:val="36"/>
          <w:rtl/>
        </w:rPr>
        <w:t>حمل اللفظ ع</w:t>
      </w:r>
      <w:r w:rsidRPr="00FD211F">
        <w:rPr>
          <w:sz w:val="36"/>
          <w:szCs w:val="36"/>
          <w:rtl/>
        </w:rPr>
        <w:t>لى احدها فيما اذا دار الأمر بينه وبين المعنى الحقيقي الا بقرين</w:t>
      </w:r>
      <w:r w:rsidR="00EC7EDF" w:rsidRPr="00FD211F">
        <w:rPr>
          <w:sz w:val="36"/>
          <w:szCs w:val="36"/>
          <w:rtl/>
        </w:rPr>
        <w:t xml:space="preserve">ة </w:t>
      </w:r>
      <w:r w:rsidRPr="00FD211F">
        <w:rPr>
          <w:sz w:val="36"/>
          <w:szCs w:val="36"/>
          <w:rtl/>
        </w:rPr>
        <w:t>صارف</w:t>
      </w:r>
      <w:r w:rsidR="00EC7EDF" w:rsidRPr="00FD211F">
        <w:rPr>
          <w:sz w:val="36"/>
          <w:szCs w:val="36"/>
          <w:rtl/>
        </w:rPr>
        <w:t xml:space="preserve">ة </w:t>
      </w:r>
      <w:r w:rsidRPr="00FD211F">
        <w:rPr>
          <w:sz w:val="36"/>
          <w:szCs w:val="36"/>
          <w:rtl/>
        </w:rPr>
        <w:t>عن المعنى الحقيقي</w:t>
      </w:r>
      <w:r w:rsidR="00603323" w:rsidRPr="00FD211F">
        <w:rPr>
          <w:sz w:val="36"/>
          <w:szCs w:val="36"/>
          <w:rtl/>
        </w:rPr>
        <w:t xml:space="preserve">، </w:t>
      </w:r>
      <w:r w:rsidRPr="00FD211F">
        <w:rPr>
          <w:sz w:val="36"/>
          <w:szCs w:val="36"/>
          <w:rtl/>
        </w:rPr>
        <w:t>وأما اذا علم بعدم اراد</w:t>
      </w:r>
      <w:r w:rsidR="00EC7EDF" w:rsidRPr="00FD211F">
        <w:rPr>
          <w:sz w:val="36"/>
          <w:szCs w:val="36"/>
          <w:rtl/>
        </w:rPr>
        <w:t xml:space="preserve">ة </w:t>
      </w:r>
      <w:r w:rsidRPr="00FD211F">
        <w:rPr>
          <w:sz w:val="36"/>
          <w:szCs w:val="36"/>
          <w:rtl/>
        </w:rPr>
        <w:t>المعنى الحقيقي ودار الأمر بين تلك الاحوال فالأصوليون وان ذكروا لترجيح بعضها على بعض وجوها الا انها وجوه استحساني</w:t>
      </w:r>
      <w:r w:rsidR="00EC7EDF" w:rsidRPr="00FD211F">
        <w:rPr>
          <w:sz w:val="36"/>
          <w:szCs w:val="36"/>
          <w:rtl/>
        </w:rPr>
        <w:t xml:space="preserve">ة </w:t>
      </w:r>
      <w:r w:rsidRPr="00FD211F">
        <w:rPr>
          <w:sz w:val="36"/>
          <w:szCs w:val="36"/>
          <w:rtl/>
        </w:rPr>
        <w:t>لااعتبار بها الا اذا كانت موجب</w:t>
      </w:r>
      <w:r w:rsidR="00EC7EDF" w:rsidRPr="00FD211F">
        <w:rPr>
          <w:sz w:val="36"/>
          <w:szCs w:val="36"/>
          <w:rtl/>
        </w:rPr>
        <w:t xml:space="preserve">ة </w:t>
      </w:r>
      <w:r w:rsidRPr="00FD211F">
        <w:rPr>
          <w:sz w:val="36"/>
          <w:szCs w:val="36"/>
          <w:rtl/>
        </w:rPr>
        <w:t>لظهور اللفظ في المعنى لعدم مساعد</w:t>
      </w:r>
      <w:r w:rsidR="00EC7EDF" w:rsidRPr="00FD211F">
        <w:rPr>
          <w:sz w:val="36"/>
          <w:szCs w:val="36"/>
          <w:rtl/>
        </w:rPr>
        <w:t xml:space="preserve">ة </w:t>
      </w:r>
      <w:r w:rsidRPr="00FD211F">
        <w:rPr>
          <w:sz w:val="36"/>
          <w:szCs w:val="36"/>
          <w:rtl/>
        </w:rPr>
        <w:t>دليل على اعتبارها بدون ذلك.</w:t>
      </w:r>
    </w:p>
    <w:p w14:paraId="1424F809" w14:textId="77777777" w:rsidR="00052BF2" w:rsidRPr="00FD211F" w:rsidRDefault="00052BF2" w:rsidP="009C58C8">
      <w:pPr>
        <w:ind w:left="0" w:firstLine="227"/>
        <w:jc w:val="both"/>
        <w:rPr>
          <w:sz w:val="36"/>
          <w:szCs w:val="36"/>
          <w:rtl/>
        </w:rPr>
      </w:pPr>
      <w:commentRangeStart w:id="347"/>
      <w:r w:rsidRPr="00FD211F">
        <w:rPr>
          <w:sz w:val="36"/>
          <w:szCs w:val="36"/>
          <w:rtl/>
        </w:rPr>
        <w:t>اقول</w:t>
      </w:r>
      <w:commentRangeEnd w:id="347"/>
      <w:r w:rsidR="00D66285">
        <w:rPr>
          <w:rStyle w:val="ab"/>
          <w:rtl/>
        </w:rPr>
        <w:commentReference w:id="347"/>
      </w:r>
      <w:r w:rsidRPr="00FD211F">
        <w:rPr>
          <w:sz w:val="36"/>
          <w:szCs w:val="36"/>
          <w:rtl/>
        </w:rPr>
        <w:t>: ان هذه الحالات ليس لها مركز واحد</w:t>
      </w:r>
      <w:r w:rsidR="00603323" w:rsidRPr="00FD211F">
        <w:rPr>
          <w:sz w:val="36"/>
          <w:szCs w:val="36"/>
          <w:rtl/>
        </w:rPr>
        <w:t xml:space="preserve">، </w:t>
      </w:r>
      <w:r w:rsidRPr="00FD211F">
        <w:rPr>
          <w:sz w:val="36"/>
          <w:szCs w:val="36"/>
          <w:rtl/>
        </w:rPr>
        <w:t>فان بعضها يرتبط بمرحل</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التصوري</w:t>
      </w:r>
      <w:r w:rsidR="00EC7EDF" w:rsidRPr="00FD211F">
        <w:rPr>
          <w:sz w:val="36"/>
          <w:szCs w:val="36"/>
          <w:rtl/>
        </w:rPr>
        <w:t>ة</w:t>
      </w:r>
      <w:r w:rsidR="00603323" w:rsidRPr="00FD211F">
        <w:rPr>
          <w:sz w:val="36"/>
          <w:szCs w:val="36"/>
          <w:rtl/>
        </w:rPr>
        <w:t xml:space="preserve">، </w:t>
      </w:r>
      <w:r w:rsidRPr="00FD211F">
        <w:rPr>
          <w:sz w:val="36"/>
          <w:szCs w:val="36"/>
          <w:rtl/>
        </w:rPr>
        <w:t>وبعضها يرتبط بمرحل</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الاولى</w:t>
      </w:r>
      <w:r w:rsidR="00546C88" w:rsidRPr="00FD211F">
        <w:rPr>
          <w:sz w:val="36"/>
          <w:szCs w:val="36"/>
          <w:rtl/>
        </w:rPr>
        <w:t xml:space="preserve"> اي الاراد</w:t>
      </w:r>
      <w:r w:rsidR="00EC7EDF" w:rsidRPr="00FD211F">
        <w:rPr>
          <w:sz w:val="36"/>
          <w:szCs w:val="36"/>
          <w:rtl/>
        </w:rPr>
        <w:t xml:space="preserve">ة </w:t>
      </w:r>
      <w:r w:rsidRPr="00FD211F">
        <w:rPr>
          <w:sz w:val="36"/>
          <w:szCs w:val="36"/>
          <w:rtl/>
        </w:rPr>
        <w:t>الاستعمالي</w:t>
      </w:r>
      <w:r w:rsidR="00EC7EDF" w:rsidRPr="00FD211F">
        <w:rPr>
          <w:sz w:val="36"/>
          <w:szCs w:val="36"/>
          <w:rtl/>
        </w:rPr>
        <w:t>ة</w:t>
      </w:r>
      <w:r w:rsidR="00603323" w:rsidRPr="00FD211F">
        <w:rPr>
          <w:sz w:val="36"/>
          <w:szCs w:val="36"/>
          <w:rtl/>
        </w:rPr>
        <w:t xml:space="preserve">، </w:t>
      </w:r>
      <w:r w:rsidRPr="00FD211F">
        <w:rPr>
          <w:sz w:val="36"/>
          <w:szCs w:val="36"/>
          <w:rtl/>
        </w:rPr>
        <w:t>وبعضها يرتبط بمرحل</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الثاني</w:t>
      </w:r>
      <w:r w:rsidR="00EC7EDF" w:rsidRPr="00FD211F">
        <w:rPr>
          <w:sz w:val="36"/>
          <w:szCs w:val="36"/>
          <w:rtl/>
        </w:rPr>
        <w:t xml:space="preserve">ة </w:t>
      </w:r>
      <w:r w:rsidR="00546C88" w:rsidRPr="00FD211F">
        <w:rPr>
          <w:sz w:val="36"/>
          <w:szCs w:val="36"/>
          <w:rtl/>
        </w:rPr>
        <w:t xml:space="preserve">اي </w:t>
      </w:r>
      <w:r w:rsidRPr="00FD211F">
        <w:rPr>
          <w:sz w:val="36"/>
          <w:szCs w:val="36"/>
          <w:rtl/>
        </w:rPr>
        <w:t>الاراد</w:t>
      </w:r>
      <w:r w:rsidR="00EC7EDF" w:rsidRPr="00FD211F">
        <w:rPr>
          <w:sz w:val="36"/>
          <w:szCs w:val="36"/>
          <w:rtl/>
        </w:rPr>
        <w:t xml:space="preserve">ة </w:t>
      </w:r>
      <w:r w:rsidRPr="00FD211F">
        <w:rPr>
          <w:sz w:val="36"/>
          <w:szCs w:val="36"/>
          <w:rtl/>
        </w:rPr>
        <w:t>الجدي</w:t>
      </w:r>
      <w:r w:rsidR="00EC7EDF" w:rsidRPr="00FD211F">
        <w:rPr>
          <w:sz w:val="36"/>
          <w:szCs w:val="36"/>
          <w:rtl/>
        </w:rPr>
        <w:t>ة</w:t>
      </w:r>
      <w:r w:rsidR="00A61BAE" w:rsidRPr="00FD211F">
        <w:rPr>
          <w:sz w:val="36"/>
          <w:szCs w:val="36"/>
          <w:rtl/>
        </w:rPr>
        <w:t>.</w:t>
      </w:r>
    </w:p>
    <w:p w14:paraId="694C2CFC" w14:textId="77777777" w:rsidR="00052BF2" w:rsidRPr="00FD211F" w:rsidRDefault="00052BF2" w:rsidP="009C58C8">
      <w:pPr>
        <w:ind w:left="0" w:firstLine="227"/>
        <w:jc w:val="both"/>
        <w:rPr>
          <w:sz w:val="36"/>
          <w:szCs w:val="36"/>
          <w:rtl/>
        </w:rPr>
      </w:pPr>
      <w:r w:rsidRPr="00FD211F">
        <w:rPr>
          <w:sz w:val="36"/>
          <w:szCs w:val="36"/>
          <w:rtl/>
        </w:rPr>
        <w:t>أما ما يرتبط بمرحل</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التصوري</w:t>
      </w:r>
      <w:r w:rsidR="00EC7EDF" w:rsidRPr="00FD211F">
        <w:rPr>
          <w:sz w:val="36"/>
          <w:szCs w:val="36"/>
          <w:rtl/>
        </w:rPr>
        <w:t xml:space="preserve">ة </w:t>
      </w:r>
      <w:r w:rsidRPr="00FD211F">
        <w:rPr>
          <w:sz w:val="36"/>
          <w:szCs w:val="36"/>
          <w:rtl/>
        </w:rPr>
        <w:t>فهو النقل والاشتراك</w:t>
      </w:r>
      <w:r w:rsidR="00603323" w:rsidRPr="00FD211F">
        <w:rPr>
          <w:sz w:val="36"/>
          <w:szCs w:val="36"/>
          <w:rtl/>
        </w:rPr>
        <w:t xml:space="preserve">، </w:t>
      </w:r>
      <w:r w:rsidRPr="00FD211F">
        <w:rPr>
          <w:sz w:val="36"/>
          <w:szCs w:val="36"/>
          <w:rtl/>
        </w:rPr>
        <w:t>فلو دار الأمر بين بقاء اللفظ على معناه الحقيقي وبين نقله الى معنى آخر</w:t>
      </w:r>
      <w:r w:rsidR="00603323" w:rsidRPr="00FD211F">
        <w:rPr>
          <w:sz w:val="36"/>
          <w:szCs w:val="36"/>
          <w:rtl/>
        </w:rPr>
        <w:t xml:space="preserve">، </w:t>
      </w:r>
      <w:r w:rsidRPr="00FD211F">
        <w:rPr>
          <w:sz w:val="36"/>
          <w:szCs w:val="36"/>
          <w:rtl/>
        </w:rPr>
        <w:t>فتار</w:t>
      </w:r>
      <w:r w:rsidR="00EC7EDF" w:rsidRPr="00FD211F">
        <w:rPr>
          <w:sz w:val="36"/>
          <w:szCs w:val="36"/>
          <w:rtl/>
        </w:rPr>
        <w:t xml:space="preserve">ة </w:t>
      </w:r>
      <w:r w:rsidRPr="00FD211F">
        <w:rPr>
          <w:sz w:val="36"/>
          <w:szCs w:val="36"/>
          <w:rtl/>
        </w:rPr>
        <w:t>يعلم معناه السابق على زمان صدور الخطاب وانما يحتمل نقله الى معنى آخر في زمان صدور الخطاب</w:t>
      </w:r>
      <w:r w:rsidR="00603323" w:rsidRPr="00FD211F">
        <w:rPr>
          <w:sz w:val="36"/>
          <w:szCs w:val="36"/>
          <w:rtl/>
        </w:rPr>
        <w:t xml:space="preserve">، </w:t>
      </w:r>
      <w:r w:rsidRPr="00FD211F">
        <w:rPr>
          <w:sz w:val="36"/>
          <w:szCs w:val="36"/>
          <w:rtl/>
        </w:rPr>
        <w:t>كما في خطاب الأمر بأداء خمس المال الحلال المختلط بالحرام</w:t>
      </w:r>
      <w:r w:rsidR="00603323" w:rsidRPr="00FD211F">
        <w:rPr>
          <w:sz w:val="36"/>
          <w:szCs w:val="36"/>
          <w:rtl/>
        </w:rPr>
        <w:t xml:space="preserve">، </w:t>
      </w:r>
      <w:r w:rsidRPr="00FD211F">
        <w:rPr>
          <w:sz w:val="36"/>
          <w:szCs w:val="36"/>
          <w:rtl/>
        </w:rPr>
        <w:t>حيث ان المعنى اللغوي للخمس يجتمع مع كونه صدق</w:t>
      </w:r>
      <w:r w:rsidR="00EC7EDF" w:rsidRPr="00FD211F">
        <w:rPr>
          <w:sz w:val="36"/>
          <w:szCs w:val="36"/>
          <w:rtl/>
        </w:rPr>
        <w:t xml:space="preserve">ة </w:t>
      </w:r>
      <w:r w:rsidRPr="00FD211F">
        <w:rPr>
          <w:sz w:val="36"/>
          <w:szCs w:val="36"/>
          <w:rtl/>
        </w:rPr>
        <w:t>على الفقراء</w:t>
      </w:r>
      <w:r w:rsidR="00603323" w:rsidRPr="00FD211F">
        <w:rPr>
          <w:sz w:val="36"/>
          <w:szCs w:val="36"/>
          <w:rtl/>
        </w:rPr>
        <w:t xml:space="preserve">، </w:t>
      </w:r>
      <w:r w:rsidRPr="00FD211F">
        <w:rPr>
          <w:sz w:val="36"/>
          <w:szCs w:val="36"/>
          <w:rtl/>
        </w:rPr>
        <w:t>ولكن يحتمل نقله في زمان صدور هذا الخطاب الى معنى الخمس المصطلح الذي يكون نصفه سهم الإمام</w:t>
      </w:r>
      <w:r w:rsidR="007A4A0D" w:rsidRPr="00FD211F">
        <w:rPr>
          <w:sz w:val="36"/>
          <w:szCs w:val="36"/>
          <w:rtl/>
        </w:rPr>
        <w:t>(عليه‌السلام)</w:t>
      </w:r>
      <w:r w:rsidRPr="00FD211F">
        <w:rPr>
          <w:sz w:val="36"/>
          <w:szCs w:val="36"/>
          <w:rtl/>
        </w:rPr>
        <w:t xml:space="preserve"> ونصفه الآخر سهم الساد</w:t>
      </w:r>
      <w:r w:rsidR="00EC7EDF" w:rsidRPr="00FD211F">
        <w:rPr>
          <w:sz w:val="36"/>
          <w:szCs w:val="36"/>
          <w:rtl/>
        </w:rPr>
        <w:t>ة</w:t>
      </w:r>
      <w:r w:rsidR="00603323" w:rsidRPr="00FD211F">
        <w:rPr>
          <w:sz w:val="36"/>
          <w:szCs w:val="36"/>
          <w:rtl/>
        </w:rPr>
        <w:t xml:space="preserve">، </w:t>
      </w:r>
      <w:r w:rsidRPr="00FD211F">
        <w:rPr>
          <w:sz w:val="36"/>
          <w:szCs w:val="36"/>
          <w:rtl/>
        </w:rPr>
        <w:t>وأخرى يعلم معناه الفعلي</w:t>
      </w:r>
      <w:r w:rsidR="00603323" w:rsidRPr="00FD211F">
        <w:rPr>
          <w:sz w:val="36"/>
          <w:szCs w:val="36"/>
          <w:rtl/>
        </w:rPr>
        <w:t xml:space="preserve">، </w:t>
      </w:r>
      <w:r w:rsidRPr="00FD211F">
        <w:rPr>
          <w:sz w:val="36"/>
          <w:szCs w:val="36"/>
          <w:rtl/>
        </w:rPr>
        <w:t>ولكن يحتمل انه كان ظاهرا حين صدور الخطاب في معنى آخر فطرأ عليه النقل الى معناه الظاهر فعلا.</w:t>
      </w:r>
    </w:p>
    <w:p w14:paraId="2A66B6D6" w14:textId="77777777" w:rsidR="00052BF2" w:rsidRPr="00FD211F" w:rsidRDefault="00052BF2" w:rsidP="009C58C8">
      <w:pPr>
        <w:ind w:left="0" w:firstLine="227"/>
        <w:jc w:val="both"/>
        <w:rPr>
          <w:sz w:val="36"/>
          <w:szCs w:val="36"/>
          <w:rtl/>
        </w:rPr>
      </w:pPr>
      <w:r w:rsidRPr="00FD211F">
        <w:rPr>
          <w:sz w:val="36"/>
          <w:szCs w:val="36"/>
          <w:rtl/>
        </w:rPr>
        <w:t>فقد يتمسك في الفرض الأول باستصحاب بقاء الظهور السابق الى زمان صدور الخطاب</w:t>
      </w:r>
      <w:r w:rsidR="00603323" w:rsidRPr="00FD211F">
        <w:rPr>
          <w:sz w:val="36"/>
          <w:szCs w:val="36"/>
          <w:rtl/>
        </w:rPr>
        <w:t xml:space="preserve">، </w:t>
      </w:r>
      <w:r w:rsidRPr="00FD211F">
        <w:rPr>
          <w:sz w:val="36"/>
          <w:szCs w:val="36"/>
          <w:rtl/>
        </w:rPr>
        <w:t>هذا ولو علم بنقل اللفظ الى معنى آخر ولكن شك في ان الخطاب هل كان صادرا قبل النقل او بعده</w:t>
      </w:r>
      <w:r w:rsidR="00603323" w:rsidRPr="00FD211F">
        <w:rPr>
          <w:sz w:val="36"/>
          <w:szCs w:val="36"/>
          <w:rtl/>
        </w:rPr>
        <w:t xml:space="preserve">، </w:t>
      </w:r>
      <w:r w:rsidRPr="00FD211F">
        <w:rPr>
          <w:sz w:val="36"/>
          <w:szCs w:val="36"/>
          <w:rtl/>
        </w:rPr>
        <w:t>فان فرض الجهل بتاريخ كل من صدور الخطاب والنقل فلايجري استصحاب عدم النقل الى زمان صدور الخطاب ولو لأجل معارضته مع استصحاب عدم صدور الخطاب الى زمان النقل</w:t>
      </w:r>
      <w:r w:rsidR="00603323" w:rsidRPr="00FD211F">
        <w:rPr>
          <w:sz w:val="36"/>
          <w:szCs w:val="36"/>
          <w:rtl/>
        </w:rPr>
        <w:t xml:space="preserve">، </w:t>
      </w:r>
      <w:r w:rsidRPr="00FD211F">
        <w:rPr>
          <w:sz w:val="36"/>
          <w:szCs w:val="36"/>
          <w:rtl/>
        </w:rPr>
        <w:t>وهكذا لو فرض الجهل بتاريخ صدور الخطاب والعلم بتاريخ النقل</w:t>
      </w:r>
      <w:r w:rsidR="00603323" w:rsidRPr="00FD211F">
        <w:rPr>
          <w:sz w:val="36"/>
          <w:szCs w:val="36"/>
          <w:rtl/>
        </w:rPr>
        <w:t xml:space="preserve">، </w:t>
      </w:r>
      <w:r w:rsidRPr="00FD211F">
        <w:rPr>
          <w:sz w:val="36"/>
          <w:szCs w:val="36"/>
          <w:rtl/>
        </w:rPr>
        <w:t>وأما لو علم تاريخ صدور الخطاب وجهل تاريخ النقل</w:t>
      </w:r>
      <w:r w:rsidR="00603323" w:rsidRPr="00FD211F">
        <w:rPr>
          <w:sz w:val="36"/>
          <w:szCs w:val="36"/>
          <w:rtl/>
        </w:rPr>
        <w:t xml:space="preserve">، </w:t>
      </w:r>
      <w:r w:rsidRPr="00FD211F">
        <w:rPr>
          <w:sz w:val="36"/>
          <w:szCs w:val="36"/>
          <w:rtl/>
        </w:rPr>
        <w:t>كما لو علم بصدور هذا الخطاب في القرن الاول على اي تقدير ولكن احتمل تأخر النقل الى القرن الثاني فبناء على المسلك الصحيح في تعاقب الحادثين من جريان الاستصحاب في مجهول التاريخ دون معلومه فقد يقال بجريان استصحاب بقاء الظهور السابق وعدم حدوث النقل الى زمان صدور الخطاب.</w:t>
      </w:r>
    </w:p>
    <w:p w14:paraId="4180E9D0" w14:textId="77777777" w:rsidR="00052BF2" w:rsidRPr="00FD211F" w:rsidRDefault="00052BF2" w:rsidP="009C58C8">
      <w:pPr>
        <w:ind w:left="0" w:firstLine="227"/>
        <w:jc w:val="both"/>
        <w:rPr>
          <w:sz w:val="36"/>
          <w:szCs w:val="36"/>
          <w:rtl/>
        </w:rPr>
      </w:pPr>
      <w:r w:rsidRPr="00FD211F">
        <w:rPr>
          <w:sz w:val="36"/>
          <w:szCs w:val="36"/>
          <w:rtl/>
        </w:rPr>
        <w:t>ولكن يرد عليه ان استصحاب بقاء الظهور السابق وعدم النقل انما</w:t>
      </w:r>
      <w:r w:rsidR="00EC206A" w:rsidRPr="00FD211F">
        <w:rPr>
          <w:sz w:val="36"/>
          <w:szCs w:val="36"/>
          <w:rtl/>
        </w:rPr>
        <w:t xml:space="preserve"> يثبت بقاء الظهور التصوري في حد ذاته لولا القرين</w:t>
      </w:r>
      <w:r w:rsidR="00EC7EDF" w:rsidRPr="00FD211F">
        <w:rPr>
          <w:sz w:val="36"/>
          <w:szCs w:val="36"/>
          <w:rtl/>
        </w:rPr>
        <w:t xml:space="preserve">ة </w:t>
      </w:r>
      <w:r w:rsidR="00EC206A" w:rsidRPr="00FD211F">
        <w:rPr>
          <w:sz w:val="36"/>
          <w:szCs w:val="36"/>
          <w:rtl/>
        </w:rPr>
        <w:t>الصارف</w:t>
      </w:r>
      <w:r w:rsidR="00EC7EDF" w:rsidRPr="00FD211F">
        <w:rPr>
          <w:sz w:val="36"/>
          <w:szCs w:val="36"/>
          <w:rtl/>
        </w:rPr>
        <w:t xml:space="preserve">ة </w:t>
      </w:r>
      <w:r w:rsidRPr="00FD211F">
        <w:rPr>
          <w:sz w:val="36"/>
          <w:szCs w:val="36"/>
          <w:rtl/>
        </w:rPr>
        <w:t>في اللفظ</w:t>
      </w:r>
      <w:r w:rsidR="00603323" w:rsidRPr="00FD211F">
        <w:rPr>
          <w:sz w:val="36"/>
          <w:szCs w:val="36"/>
          <w:rtl/>
        </w:rPr>
        <w:t xml:space="preserve">، </w:t>
      </w:r>
      <w:r w:rsidRPr="00FD211F">
        <w:rPr>
          <w:sz w:val="36"/>
          <w:szCs w:val="36"/>
          <w:rtl/>
        </w:rPr>
        <w:t>بينما ان الموضوع للحجي</w:t>
      </w:r>
      <w:r w:rsidR="00EC7EDF" w:rsidRPr="00FD211F">
        <w:rPr>
          <w:sz w:val="36"/>
          <w:szCs w:val="36"/>
          <w:rtl/>
        </w:rPr>
        <w:t xml:space="preserve">ة </w:t>
      </w:r>
      <w:r w:rsidRPr="00FD211F">
        <w:rPr>
          <w:sz w:val="36"/>
          <w:szCs w:val="36"/>
          <w:rtl/>
        </w:rPr>
        <w:t>هو الظهور التصديقي الفعلي الذي يتأثر من القرائن الحالي</w:t>
      </w:r>
      <w:r w:rsidR="00EC7EDF" w:rsidRPr="00FD211F">
        <w:rPr>
          <w:sz w:val="36"/>
          <w:szCs w:val="36"/>
          <w:rtl/>
        </w:rPr>
        <w:t xml:space="preserve">ة </w:t>
      </w:r>
      <w:r w:rsidRPr="00FD211F">
        <w:rPr>
          <w:sz w:val="36"/>
          <w:szCs w:val="36"/>
          <w:rtl/>
        </w:rPr>
        <w:t>ومنها زمان صدور الخطاب أيضا</w:t>
      </w:r>
      <w:r w:rsidR="00603323" w:rsidRPr="00FD211F">
        <w:rPr>
          <w:sz w:val="36"/>
          <w:szCs w:val="36"/>
          <w:rtl/>
        </w:rPr>
        <w:t xml:space="preserve">، </w:t>
      </w:r>
      <w:r w:rsidRPr="00FD211F">
        <w:rPr>
          <w:sz w:val="36"/>
          <w:szCs w:val="36"/>
          <w:rtl/>
        </w:rPr>
        <w:t>وإثبات الظهور التصديقي الفعلي ب</w:t>
      </w:r>
      <w:r w:rsidR="000A16F8" w:rsidRPr="00FD211F">
        <w:rPr>
          <w:sz w:val="36"/>
          <w:szCs w:val="36"/>
          <w:rtl/>
        </w:rPr>
        <w:t xml:space="preserve">ذاك </w:t>
      </w:r>
      <w:r w:rsidRPr="00FD211F">
        <w:rPr>
          <w:sz w:val="36"/>
          <w:szCs w:val="36"/>
          <w:rtl/>
        </w:rPr>
        <w:t>ا</w:t>
      </w:r>
      <w:r w:rsidR="000A16F8" w:rsidRPr="00FD211F">
        <w:rPr>
          <w:sz w:val="36"/>
          <w:szCs w:val="36"/>
          <w:rtl/>
        </w:rPr>
        <w:t>لا</w:t>
      </w:r>
      <w:r w:rsidRPr="00FD211F">
        <w:rPr>
          <w:sz w:val="36"/>
          <w:szCs w:val="36"/>
          <w:rtl/>
        </w:rPr>
        <w:t>س</w:t>
      </w:r>
      <w:r w:rsidR="000A16F8" w:rsidRPr="00FD211F">
        <w:rPr>
          <w:sz w:val="36"/>
          <w:szCs w:val="36"/>
          <w:rtl/>
        </w:rPr>
        <w:t>تصحاب</w:t>
      </w:r>
      <w:r w:rsidRPr="00FD211F">
        <w:rPr>
          <w:sz w:val="36"/>
          <w:szCs w:val="36"/>
          <w:rtl/>
        </w:rPr>
        <w:t xml:space="preserve"> من اوضح انحاء الأصل المثبت.</w:t>
      </w:r>
    </w:p>
    <w:p w14:paraId="0996A1A3" w14:textId="77777777" w:rsidR="00052BF2" w:rsidRPr="00FD211F" w:rsidRDefault="00052BF2" w:rsidP="009C58C8">
      <w:pPr>
        <w:ind w:left="0" w:firstLine="227"/>
        <w:jc w:val="both"/>
        <w:rPr>
          <w:sz w:val="36"/>
          <w:szCs w:val="36"/>
          <w:rtl/>
        </w:rPr>
      </w:pPr>
      <w:r w:rsidRPr="00FD211F">
        <w:rPr>
          <w:sz w:val="36"/>
          <w:szCs w:val="36"/>
          <w:rtl/>
        </w:rPr>
        <w:t>وأما استصحاب انه لو صدر هذا الخطاب سابقا لانعقد له ظهور تصديقي في هذا المعنى فهو من الاستصحاب التعليقي في الموضوعات الذي يكون من الاصل المثبت</w:t>
      </w:r>
      <w:r w:rsidR="00603323" w:rsidRPr="00FD211F">
        <w:rPr>
          <w:sz w:val="36"/>
          <w:szCs w:val="36"/>
          <w:rtl/>
        </w:rPr>
        <w:t xml:space="preserve">، </w:t>
      </w:r>
      <w:r w:rsidRPr="00FD211F">
        <w:rPr>
          <w:sz w:val="36"/>
          <w:szCs w:val="36"/>
          <w:rtl/>
        </w:rPr>
        <w:t>نظير ما لو شككنا في بقاء زيد في الغرف</w:t>
      </w:r>
      <w:r w:rsidR="00EC7EDF" w:rsidRPr="00FD211F">
        <w:rPr>
          <w:sz w:val="36"/>
          <w:szCs w:val="36"/>
          <w:rtl/>
        </w:rPr>
        <w:t xml:space="preserve">ة </w:t>
      </w:r>
      <w:r w:rsidRPr="00FD211F">
        <w:rPr>
          <w:sz w:val="36"/>
          <w:szCs w:val="36"/>
          <w:rtl/>
        </w:rPr>
        <w:t>فلو هدم شخص تلك الغرف</w:t>
      </w:r>
      <w:r w:rsidR="00EC7EDF" w:rsidRPr="00FD211F">
        <w:rPr>
          <w:sz w:val="36"/>
          <w:szCs w:val="36"/>
          <w:rtl/>
        </w:rPr>
        <w:t xml:space="preserve">ة </w:t>
      </w:r>
      <w:r w:rsidRPr="00FD211F">
        <w:rPr>
          <w:sz w:val="36"/>
          <w:szCs w:val="36"/>
          <w:rtl/>
        </w:rPr>
        <w:t>فلايجدي استصحاب انه لو هدمها سابقا لقتل زيدا</w:t>
      </w:r>
      <w:r w:rsidR="00603323" w:rsidRPr="00FD211F">
        <w:rPr>
          <w:sz w:val="36"/>
          <w:szCs w:val="36"/>
          <w:rtl/>
        </w:rPr>
        <w:t xml:space="preserve">، </w:t>
      </w:r>
      <w:r w:rsidRPr="00FD211F">
        <w:rPr>
          <w:sz w:val="36"/>
          <w:szCs w:val="36"/>
          <w:rtl/>
        </w:rPr>
        <w:t>فانه لايثبت وقوع القتل فعلا الا بنحو الاصل المثبت.</w:t>
      </w:r>
    </w:p>
    <w:p w14:paraId="72C3B238" w14:textId="77777777" w:rsidR="000C5BBA" w:rsidRPr="00FD211F" w:rsidRDefault="00052BF2" w:rsidP="009C58C8">
      <w:pPr>
        <w:ind w:left="0" w:firstLine="227"/>
        <w:jc w:val="both"/>
        <w:rPr>
          <w:sz w:val="36"/>
          <w:szCs w:val="36"/>
          <w:rtl/>
        </w:rPr>
      </w:pPr>
      <w:r w:rsidRPr="00FD211F">
        <w:rPr>
          <w:sz w:val="36"/>
          <w:szCs w:val="36"/>
          <w:rtl/>
        </w:rPr>
        <w:t>وقد يتمسك باستصحاب بقاء الظهور وعدم حدوث النقل في الفرض الثاني أيضا</w:t>
      </w:r>
      <w:r w:rsidR="00603323" w:rsidRPr="00FD211F">
        <w:rPr>
          <w:sz w:val="36"/>
          <w:szCs w:val="36"/>
          <w:rtl/>
        </w:rPr>
        <w:t xml:space="preserve">، </w:t>
      </w:r>
      <w:r w:rsidRPr="00FD211F">
        <w:rPr>
          <w:sz w:val="36"/>
          <w:szCs w:val="36"/>
          <w:rtl/>
        </w:rPr>
        <w:t>وهو ما اذا احرز الظهور الفعلي وشك في ان الخطاب هل كان ظاهرا في زمان صدوره في هذا المعنى او كان ظاهرا في معنى آخر وانما طرأ عليه النقل فيقال ان مقتضى الاستصحاب هو بقاء الظهور السابق للفظ وعدم طرو حال</w:t>
      </w:r>
      <w:r w:rsidR="00EC7EDF" w:rsidRPr="00FD211F">
        <w:rPr>
          <w:sz w:val="36"/>
          <w:szCs w:val="36"/>
          <w:rtl/>
        </w:rPr>
        <w:t xml:space="preserve">ة </w:t>
      </w:r>
      <w:r w:rsidRPr="00FD211F">
        <w:rPr>
          <w:sz w:val="36"/>
          <w:szCs w:val="36"/>
          <w:rtl/>
        </w:rPr>
        <w:t>النقل عليه</w:t>
      </w:r>
      <w:r w:rsidR="00603323" w:rsidRPr="00FD211F">
        <w:rPr>
          <w:sz w:val="36"/>
          <w:szCs w:val="36"/>
          <w:rtl/>
        </w:rPr>
        <w:t xml:space="preserve">، </w:t>
      </w:r>
      <w:r w:rsidRPr="00FD211F">
        <w:rPr>
          <w:sz w:val="36"/>
          <w:szCs w:val="36"/>
          <w:rtl/>
        </w:rPr>
        <w:t>فبضم ذلك الى احراز ظهوره فعلا في معنى معين يثبت انه كان ظاهرا سابقا في نفس هذا المعنى</w:t>
      </w:r>
      <w:r w:rsidR="00546C88" w:rsidRPr="00FD211F">
        <w:rPr>
          <w:sz w:val="36"/>
          <w:szCs w:val="36"/>
          <w:rtl/>
        </w:rPr>
        <w:t>.</w:t>
      </w:r>
    </w:p>
    <w:p w14:paraId="5898FD89" w14:textId="77777777" w:rsidR="00052BF2" w:rsidRPr="00FD211F" w:rsidRDefault="00546C88" w:rsidP="009C58C8">
      <w:pPr>
        <w:ind w:left="0" w:firstLine="227"/>
        <w:jc w:val="both"/>
        <w:rPr>
          <w:sz w:val="36"/>
          <w:szCs w:val="36"/>
          <w:rtl/>
        </w:rPr>
      </w:pPr>
      <w:r w:rsidRPr="00FD211F">
        <w:rPr>
          <w:sz w:val="36"/>
          <w:szCs w:val="36"/>
          <w:rtl/>
        </w:rPr>
        <w:t>وفي</w:t>
      </w:r>
      <w:r w:rsidR="00052BF2" w:rsidRPr="00FD211F">
        <w:rPr>
          <w:sz w:val="36"/>
          <w:szCs w:val="36"/>
          <w:rtl/>
        </w:rPr>
        <w:t xml:space="preserve">ه </w:t>
      </w:r>
      <w:r w:rsidRPr="00FD211F">
        <w:rPr>
          <w:sz w:val="36"/>
          <w:szCs w:val="36"/>
          <w:rtl/>
        </w:rPr>
        <w:t xml:space="preserve">أنه </w:t>
      </w:r>
      <w:r w:rsidR="00052BF2" w:rsidRPr="00FD211F">
        <w:rPr>
          <w:sz w:val="36"/>
          <w:szCs w:val="36"/>
          <w:rtl/>
        </w:rPr>
        <w:t>من اوضح انحاء الأصل المثبت.</w:t>
      </w:r>
    </w:p>
    <w:p w14:paraId="00435FE4" w14:textId="77777777" w:rsidR="000C5BBA" w:rsidRPr="00FD211F" w:rsidRDefault="00052BF2" w:rsidP="009C58C8">
      <w:pPr>
        <w:ind w:left="0" w:firstLine="227"/>
        <w:jc w:val="both"/>
        <w:rPr>
          <w:sz w:val="36"/>
          <w:szCs w:val="36"/>
          <w:rtl/>
        </w:rPr>
      </w:pPr>
      <w:r w:rsidRPr="00FD211F">
        <w:rPr>
          <w:sz w:val="36"/>
          <w:szCs w:val="36"/>
          <w:rtl/>
        </w:rPr>
        <w:t>وأما ما يقال من بناء العقلاء على نفي احتمال النقل في اللفظ والذي قد يعبر عنه باصال</w:t>
      </w:r>
      <w:r w:rsidR="00EC7EDF" w:rsidRPr="00FD211F">
        <w:rPr>
          <w:sz w:val="36"/>
          <w:szCs w:val="36"/>
          <w:rtl/>
        </w:rPr>
        <w:t xml:space="preserve">ة </w:t>
      </w:r>
      <w:r w:rsidRPr="00FD211F">
        <w:rPr>
          <w:sz w:val="36"/>
          <w:szCs w:val="36"/>
          <w:rtl/>
        </w:rPr>
        <w:t>الثبات في اللغ</w:t>
      </w:r>
      <w:r w:rsidR="00EC7EDF" w:rsidRPr="00FD211F">
        <w:rPr>
          <w:sz w:val="36"/>
          <w:szCs w:val="36"/>
          <w:rtl/>
        </w:rPr>
        <w:t xml:space="preserve">ة </w:t>
      </w:r>
      <w:r w:rsidRPr="00FD211F">
        <w:rPr>
          <w:sz w:val="36"/>
          <w:szCs w:val="36"/>
          <w:rtl/>
        </w:rPr>
        <w:t>-او يعبر عنه بالاستصحاب القهقرائي</w:t>
      </w:r>
      <w:r w:rsidR="00546C88" w:rsidRPr="00FD211F">
        <w:rPr>
          <w:sz w:val="36"/>
          <w:szCs w:val="36"/>
          <w:rtl/>
        </w:rPr>
        <w:t>-</w:t>
      </w:r>
      <w:r w:rsidRPr="00FD211F">
        <w:rPr>
          <w:sz w:val="36"/>
          <w:szCs w:val="36"/>
          <w:rtl/>
        </w:rPr>
        <w:t xml:space="preserve"> فيما اذا أحرز الظهور الفعلي للفظ </w:t>
      </w:r>
      <w:r w:rsidR="009977FE" w:rsidRPr="00FD211F">
        <w:rPr>
          <w:sz w:val="36"/>
          <w:szCs w:val="36"/>
          <w:rtl/>
        </w:rPr>
        <w:t>و</w:t>
      </w:r>
      <w:r w:rsidR="008D7B3D" w:rsidRPr="00FD211F">
        <w:rPr>
          <w:sz w:val="36"/>
          <w:szCs w:val="36"/>
          <w:rtl/>
        </w:rPr>
        <w:t xml:space="preserve"> لم‌</w:t>
      </w:r>
      <w:r w:rsidRPr="00FD211F">
        <w:rPr>
          <w:sz w:val="36"/>
          <w:szCs w:val="36"/>
          <w:rtl/>
        </w:rPr>
        <w:t xml:space="preserve">يعلم انه هل كان </w:t>
      </w:r>
      <w:r w:rsidR="00546C88" w:rsidRPr="00FD211F">
        <w:rPr>
          <w:sz w:val="36"/>
          <w:szCs w:val="36"/>
          <w:rtl/>
        </w:rPr>
        <w:t>ظاهرا فيه حين صدور الخطاب ام لا.</w:t>
      </w:r>
    </w:p>
    <w:p w14:paraId="33C26F9E" w14:textId="77777777" w:rsidR="000C5BBA" w:rsidRPr="00FD211F" w:rsidRDefault="00052BF2" w:rsidP="009C58C8">
      <w:pPr>
        <w:ind w:left="0" w:firstLine="227"/>
        <w:jc w:val="both"/>
        <w:rPr>
          <w:sz w:val="36"/>
          <w:szCs w:val="36"/>
          <w:rtl/>
        </w:rPr>
      </w:pPr>
      <w:r w:rsidRPr="00FD211F">
        <w:rPr>
          <w:sz w:val="36"/>
          <w:szCs w:val="36"/>
          <w:rtl/>
        </w:rPr>
        <w:t>ففيه انه</w:t>
      </w:r>
      <w:r w:rsidR="008D7B3D" w:rsidRPr="00FD211F">
        <w:rPr>
          <w:sz w:val="36"/>
          <w:szCs w:val="36"/>
          <w:rtl/>
        </w:rPr>
        <w:t xml:space="preserve"> لم‌</w:t>
      </w:r>
      <w:r w:rsidRPr="00FD211F">
        <w:rPr>
          <w:sz w:val="36"/>
          <w:szCs w:val="36"/>
          <w:rtl/>
        </w:rPr>
        <w:t>يثبت أي بناء من العقلاء على مثل ذلك بل</w:t>
      </w:r>
      <w:r w:rsidR="002E7779" w:rsidRPr="00FD211F">
        <w:rPr>
          <w:sz w:val="36"/>
          <w:szCs w:val="36"/>
          <w:rtl/>
        </w:rPr>
        <w:t xml:space="preserve"> يحتاج الى حصول الاطمئنان بذلك.</w:t>
      </w:r>
    </w:p>
    <w:p w14:paraId="4540C64F" w14:textId="77777777" w:rsidR="00052BF2" w:rsidRPr="00FD211F" w:rsidRDefault="00E80A70" w:rsidP="009C58C8">
      <w:pPr>
        <w:ind w:left="0" w:firstLine="227"/>
        <w:jc w:val="both"/>
        <w:rPr>
          <w:sz w:val="36"/>
          <w:szCs w:val="36"/>
          <w:rtl/>
        </w:rPr>
      </w:pPr>
      <w:r w:rsidRPr="00FD211F">
        <w:rPr>
          <w:sz w:val="36"/>
          <w:szCs w:val="36"/>
          <w:rtl/>
        </w:rPr>
        <w:t>وما</w:t>
      </w:r>
      <w:r w:rsidR="002E7779" w:rsidRPr="00FD211F">
        <w:rPr>
          <w:sz w:val="36"/>
          <w:szCs w:val="36"/>
          <w:rtl/>
        </w:rPr>
        <w:t>قديقال من</w:t>
      </w:r>
      <w:r w:rsidR="00052BF2" w:rsidRPr="00FD211F">
        <w:rPr>
          <w:sz w:val="36"/>
          <w:szCs w:val="36"/>
          <w:rtl/>
        </w:rPr>
        <w:t xml:space="preserve"> </w:t>
      </w:r>
      <w:r w:rsidR="002E7779" w:rsidRPr="00FD211F">
        <w:rPr>
          <w:sz w:val="36"/>
          <w:szCs w:val="36"/>
          <w:rtl/>
        </w:rPr>
        <w:t xml:space="preserve">انه لولاذلك فينسد </w:t>
      </w:r>
      <w:r w:rsidR="00052BF2" w:rsidRPr="00FD211F">
        <w:rPr>
          <w:sz w:val="36"/>
          <w:szCs w:val="36"/>
          <w:rtl/>
        </w:rPr>
        <w:t>باب العمل بعبارات الوقوف والوصايا القديم</w:t>
      </w:r>
      <w:r w:rsidR="00EC7EDF" w:rsidRPr="00FD211F">
        <w:rPr>
          <w:sz w:val="36"/>
          <w:szCs w:val="36"/>
          <w:rtl/>
        </w:rPr>
        <w:t xml:space="preserve">ة </w:t>
      </w:r>
      <w:r w:rsidR="002E7779" w:rsidRPr="00FD211F">
        <w:rPr>
          <w:sz w:val="36"/>
          <w:szCs w:val="36"/>
          <w:rtl/>
        </w:rPr>
        <w:t>بل باب الاستنباط</w:t>
      </w:r>
      <w:r w:rsidR="00603323" w:rsidRPr="00FD211F">
        <w:rPr>
          <w:sz w:val="36"/>
          <w:szCs w:val="36"/>
          <w:rtl/>
        </w:rPr>
        <w:t xml:space="preserve">، </w:t>
      </w:r>
      <w:r w:rsidR="002E7779" w:rsidRPr="00FD211F">
        <w:rPr>
          <w:sz w:val="36"/>
          <w:szCs w:val="36"/>
          <w:rtl/>
        </w:rPr>
        <w:t xml:space="preserve">ففيه انه </w:t>
      </w:r>
      <w:r w:rsidR="000A16F8" w:rsidRPr="00FD211F">
        <w:rPr>
          <w:sz w:val="36"/>
          <w:szCs w:val="36"/>
          <w:rtl/>
        </w:rPr>
        <w:t>يحص</w:t>
      </w:r>
      <w:r w:rsidR="00052BF2" w:rsidRPr="00FD211F">
        <w:rPr>
          <w:sz w:val="36"/>
          <w:szCs w:val="36"/>
          <w:rtl/>
        </w:rPr>
        <w:t>ل الوثوق والاطمئنان غالبا بعدم حدوث النقل</w:t>
      </w:r>
      <w:r w:rsidR="00603323" w:rsidRPr="00FD211F">
        <w:rPr>
          <w:sz w:val="36"/>
          <w:szCs w:val="36"/>
          <w:rtl/>
        </w:rPr>
        <w:t xml:space="preserve">، </w:t>
      </w:r>
      <w:r w:rsidR="000A16F8" w:rsidRPr="00FD211F">
        <w:rPr>
          <w:sz w:val="36"/>
          <w:szCs w:val="36"/>
          <w:rtl/>
        </w:rPr>
        <w:t>فلايوجب انكاراصال</w:t>
      </w:r>
      <w:r w:rsidR="00EC7EDF" w:rsidRPr="00FD211F">
        <w:rPr>
          <w:sz w:val="36"/>
          <w:szCs w:val="36"/>
          <w:rtl/>
        </w:rPr>
        <w:t xml:space="preserve">ة </w:t>
      </w:r>
      <w:r w:rsidR="000A16F8" w:rsidRPr="00FD211F">
        <w:rPr>
          <w:sz w:val="36"/>
          <w:szCs w:val="36"/>
          <w:rtl/>
        </w:rPr>
        <w:t>عدم النقل انسداد باب ال</w:t>
      </w:r>
      <w:r w:rsidR="002E7779" w:rsidRPr="00FD211F">
        <w:rPr>
          <w:sz w:val="36"/>
          <w:szCs w:val="36"/>
          <w:rtl/>
        </w:rPr>
        <w:t>استنباط وال</w:t>
      </w:r>
      <w:r w:rsidR="000A16F8" w:rsidRPr="00FD211F">
        <w:rPr>
          <w:sz w:val="36"/>
          <w:szCs w:val="36"/>
          <w:rtl/>
        </w:rPr>
        <w:t>عمل بالعبارات القديم</w:t>
      </w:r>
      <w:r w:rsidR="00EC7EDF" w:rsidRPr="00FD211F">
        <w:rPr>
          <w:sz w:val="36"/>
          <w:szCs w:val="36"/>
          <w:rtl/>
        </w:rPr>
        <w:t>ة</w:t>
      </w:r>
      <w:r w:rsidR="00A61BAE" w:rsidRPr="00FD211F">
        <w:rPr>
          <w:sz w:val="36"/>
          <w:szCs w:val="36"/>
          <w:rtl/>
        </w:rPr>
        <w:t>.</w:t>
      </w:r>
    </w:p>
    <w:p w14:paraId="6104989E" w14:textId="77777777" w:rsidR="00052BF2" w:rsidRPr="00FD211F" w:rsidRDefault="00052BF2" w:rsidP="009C58C8">
      <w:pPr>
        <w:ind w:left="0" w:firstLine="227"/>
        <w:jc w:val="both"/>
        <w:rPr>
          <w:sz w:val="36"/>
          <w:szCs w:val="36"/>
          <w:rtl/>
        </w:rPr>
      </w:pPr>
      <w:r w:rsidRPr="00FD211F">
        <w:rPr>
          <w:sz w:val="36"/>
          <w:szCs w:val="36"/>
          <w:rtl/>
        </w:rPr>
        <w:t>ثم انه لو سلم بناء عقلائي من هذا القبيل فيختص بما اذا شك فى حدوث النقل</w:t>
      </w:r>
      <w:r w:rsidR="00603323" w:rsidRPr="00FD211F">
        <w:rPr>
          <w:sz w:val="36"/>
          <w:szCs w:val="36"/>
          <w:rtl/>
        </w:rPr>
        <w:t xml:space="preserve">، </w:t>
      </w:r>
      <w:r w:rsidRPr="00FD211F">
        <w:rPr>
          <w:sz w:val="36"/>
          <w:szCs w:val="36"/>
          <w:rtl/>
        </w:rPr>
        <w:t>واما اذا علم بحدوث النقل وشك في تاخره عن زمان صدور الخطاب او تقدمه عليه فلم يثبت بناء العقلاء على تأخر النقل عن زمان صدور الخطاب كي يحكم بظهور الخطاب في المعنى السابق</w:t>
      </w:r>
      <w:r w:rsidR="00603323" w:rsidRPr="00FD211F">
        <w:rPr>
          <w:sz w:val="36"/>
          <w:szCs w:val="36"/>
          <w:rtl/>
        </w:rPr>
        <w:t xml:space="preserve">، </w:t>
      </w:r>
      <w:r w:rsidRPr="00FD211F">
        <w:rPr>
          <w:sz w:val="36"/>
          <w:szCs w:val="36"/>
          <w:rtl/>
        </w:rPr>
        <w:t>كما</w:t>
      </w:r>
      <w:r w:rsidR="008D7B3D" w:rsidRPr="00FD211F">
        <w:rPr>
          <w:sz w:val="36"/>
          <w:szCs w:val="36"/>
          <w:rtl/>
        </w:rPr>
        <w:t xml:space="preserve"> لم‌</w:t>
      </w:r>
      <w:r w:rsidRPr="00FD211F">
        <w:rPr>
          <w:sz w:val="36"/>
          <w:szCs w:val="36"/>
          <w:rtl/>
        </w:rPr>
        <w:t>يثبت بناء العقلاء على تقدمه عليه كي يحكم بظهور الخطاب في المعنى الذي يكون اللفظ ظاهرا فيه فعلا.</w:t>
      </w:r>
    </w:p>
    <w:p w14:paraId="085FD006" w14:textId="77777777" w:rsidR="00052BF2" w:rsidRPr="00FD211F" w:rsidRDefault="00052BF2" w:rsidP="009C58C8">
      <w:pPr>
        <w:ind w:left="0" w:firstLine="227"/>
        <w:jc w:val="both"/>
        <w:rPr>
          <w:sz w:val="36"/>
          <w:szCs w:val="36"/>
          <w:rtl/>
        </w:rPr>
      </w:pPr>
      <w:r w:rsidRPr="00FD211F">
        <w:rPr>
          <w:sz w:val="36"/>
          <w:szCs w:val="36"/>
          <w:rtl/>
        </w:rPr>
        <w:t>هذا كله في فرض احتمال النقل</w:t>
      </w:r>
      <w:r w:rsidR="00603323" w:rsidRPr="00FD211F">
        <w:rPr>
          <w:sz w:val="36"/>
          <w:szCs w:val="36"/>
          <w:rtl/>
        </w:rPr>
        <w:t xml:space="preserve">، </w:t>
      </w:r>
      <w:r w:rsidRPr="00FD211F">
        <w:rPr>
          <w:sz w:val="36"/>
          <w:szCs w:val="36"/>
          <w:rtl/>
        </w:rPr>
        <w:t>ونظيره فرض احتمال الاشتراك</w:t>
      </w:r>
      <w:r w:rsidR="00603323" w:rsidRPr="00FD211F">
        <w:rPr>
          <w:sz w:val="36"/>
          <w:szCs w:val="36"/>
          <w:rtl/>
        </w:rPr>
        <w:t xml:space="preserve">، </w:t>
      </w:r>
      <w:r w:rsidRPr="00FD211F">
        <w:rPr>
          <w:sz w:val="36"/>
          <w:szCs w:val="36"/>
          <w:rtl/>
        </w:rPr>
        <w:t>فانه بناء على ما ذكرناه لابد من حصول الاطمئنان بعدم طرو حال</w:t>
      </w:r>
      <w:r w:rsidR="00EC7EDF" w:rsidRPr="00FD211F">
        <w:rPr>
          <w:sz w:val="36"/>
          <w:szCs w:val="36"/>
          <w:rtl/>
        </w:rPr>
        <w:t xml:space="preserve">ة </w:t>
      </w:r>
      <w:r w:rsidRPr="00FD211F">
        <w:rPr>
          <w:sz w:val="36"/>
          <w:szCs w:val="36"/>
          <w:rtl/>
        </w:rPr>
        <w:t>اشتراك اللفظ بين المعنى الذي كان ظاهرا فيه سابقا وبين معنى آخر</w:t>
      </w:r>
      <w:r w:rsidR="00603323" w:rsidRPr="00FD211F">
        <w:rPr>
          <w:sz w:val="36"/>
          <w:szCs w:val="36"/>
          <w:rtl/>
        </w:rPr>
        <w:t xml:space="preserve">، </w:t>
      </w:r>
      <w:r w:rsidRPr="00FD211F">
        <w:rPr>
          <w:sz w:val="36"/>
          <w:szCs w:val="36"/>
          <w:rtl/>
        </w:rPr>
        <w:t>وأما العلم بعدم اشتراكه فعلا فلايجدي لنفي احتمال الاشتراك في زمان صدور الخطاب</w:t>
      </w:r>
      <w:r w:rsidR="00603323" w:rsidRPr="00FD211F">
        <w:rPr>
          <w:sz w:val="36"/>
          <w:szCs w:val="36"/>
          <w:rtl/>
        </w:rPr>
        <w:t xml:space="preserve">، </w:t>
      </w:r>
      <w:r w:rsidRPr="00FD211F">
        <w:rPr>
          <w:sz w:val="36"/>
          <w:szCs w:val="36"/>
          <w:rtl/>
        </w:rPr>
        <w:t>لما مر من انه</w:t>
      </w:r>
      <w:r w:rsidR="008D7B3D" w:rsidRPr="00FD211F">
        <w:rPr>
          <w:sz w:val="36"/>
          <w:szCs w:val="36"/>
          <w:rtl/>
        </w:rPr>
        <w:t xml:space="preserve"> لم‌</w:t>
      </w:r>
      <w:r w:rsidRPr="00FD211F">
        <w:rPr>
          <w:sz w:val="36"/>
          <w:szCs w:val="36"/>
          <w:rtl/>
        </w:rPr>
        <w:t>يثبت بناء من العقلاء على جريان أصال</w:t>
      </w:r>
      <w:r w:rsidR="00EC7EDF" w:rsidRPr="00FD211F">
        <w:rPr>
          <w:sz w:val="36"/>
          <w:szCs w:val="36"/>
          <w:rtl/>
        </w:rPr>
        <w:t xml:space="preserve">ة </w:t>
      </w:r>
      <w:r w:rsidRPr="00FD211F">
        <w:rPr>
          <w:sz w:val="36"/>
          <w:szCs w:val="36"/>
          <w:rtl/>
        </w:rPr>
        <w:t>الثبات في اللغ</w:t>
      </w:r>
      <w:r w:rsidR="00EC7EDF" w:rsidRPr="00FD211F">
        <w:rPr>
          <w:sz w:val="36"/>
          <w:szCs w:val="36"/>
          <w:rtl/>
        </w:rPr>
        <w:t>ة</w:t>
      </w:r>
      <w:r w:rsidR="00603323" w:rsidRPr="00FD211F">
        <w:rPr>
          <w:sz w:val="36"/>
          <w:szCs w:val="36"/>
          <w:rtl/>
        </w:rPr>
        <w:t xml:space="preserve">، </w:t>
      </w:r>
      <w:r w:rsidRPr="00FD211F">
        <w:rPr>
          <w:sz w:val="36"/>
          <w:szCs w:val="36"/>
          <w:rtl/>
        </w:rPr>
        <w:t>ما</w:t>
      </w:r>
      <w:r w:rsidR="008D7B3D" w:rsidRPr="00FD211F">
        <w:rPr>
          <w:sz w:val="36"/>
          <w:szCs w:val="36"/>
          <w:rtl/>
        </w:rPr>
        <w:t xml:space="preserve"> لم‌</w:t>
      </w:r>
      <w:r w:rsidRPr="00FD211F">
        <w:rPr>
          <w:sz w:val="36"/>
          <w:szCs w:val="36"/>
          <w:rtl/>
        </w:rPr>
        <w:t>يحصل الوثوق والاطمئنان بذلك.</w:t>
      </w:r>
    </w:p>
    <w:p w14:paraId="5EBC3BDD" w14:textId="77777777" w:rsidR="000C5BBA" w:rsidRPr="00FD211F" w:rsidRDefault="00052BF2" w:rsidP="009C58C8">
      <w:pPr>
        <w:ind w:left="0" w:firstLine="227"/>
        <w:jc w:val="both"/>
        <w:rPr>
          <w:sz w:val="36"/>
          <w:szCs w:val="36"/>
          <w:rtl/>
        </w:rPr>
      </w:pPr>
      <w:r w:rsidRPr="00FD211F">
        <w:rPr>
          <w:sz w:val="36"/>
          <w:szCs w:val="36"/>
          <w:rtl/>
        </w:rPr>
        <w:t>وأما ما يرتبط بمرحل</w:t>
      </w:r>
      <w:r w:rsidR="00EC7EDF" w:rsidRPr="00FD211F">
        <w:rPr>
          <w:sz w:val="36"/>
          <w:szCs w:val="36"/>
          <w:rtl/>
        </w:rPr>
        <w:t xml:space="preserve">ة </w:t>
      </w:r>
      <w:r w:rsidRPr="00FD211F">
        <w:rPr>
          <w:sz w:val="36"/>
          <w:szCs w:val="36"/>
          <w:rtl/>
        </w:rPr>
        <w:t>ال</w:t>
      </w:r>
      <w:r w:rsidR="00546C88" w:rsidRPr="00FD211F">
        <w:rPr>
          <w:sz w:val="36"/>
          <w:szCs w:val="36"/>
          <w:rtl/>
        </w:rPr>
        <w:t>اراد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00E80A70" w:rsidRPr="00FD211F">
        <w:rPr>
          <w:sz w:val="36"/>
          <w:szCs w:val="36"/>
          <w:rtl/>
        </w:rPr>
        <w:t>فهو التجوز والإضمار والاستخدام.</w:t>
      </w:r>
    </w:p>
    <w:p w14:paraId="76516446" w14:textId="77777777" w:rsidR="000C5BBA" w:rsidRPr="00FD211F" w:rsidRDefault="00052BF2" w:rsidP="009C58C8">
      <w:pPr>
        <w:ind w:left="0" w:firstLine="227"/>
        <w:jc w:val="both"/>
        <w:rPr>
          <w:sz w:val="36"/>
          <w:szCs w:val="36"/>
          <w:rtl/>
        </w:rPr>
      </w:pPr>
      <w:r w:rsidRPr="00FD211F">
        <w:rPr>
          <w:sz w:val="36"/>
          <w:szCs w:val="36"/>
          <w:rtl/>
        </w:rPr>
        <w:t>اما التجوز فهو المجاز في الكلم</w:t>
      </w:r>
      <w:r w:rsidR="00EC7EDF" w:rsidRPr="00FD211F">
        <w:rPr>
          <w:sz w:val="36"/>
          <w:szCs w:val="36"/>
          <w:rtl/>
        </w:rPr>
        <w:t xml:space="preserve">ة </w:t>
      </w:r>
      <w:r w:rsidRPr="00FD211F">
        <w:rPr>
          <w:sz w:val="36"/>
          <w:szCs w:val="36"/>
          <w:rtl/>
        </w:rPr>
        <w:t>كإراد</w:t>
      </w:r>
      <w:r w:rsidR="00EC7EDF" w:rsidRPr="00FD211F">
        <w:rPr>
          <w:sz w:val="36"/>
          <w:szCs w:val="36"/>
          <w:rtl/>
        </w:rPr>
        <w:t xml:space="preserve">ة </w:t>
      </w:r>
      <w:r w:rsidR="00E80A70" w:rsidRPr="00FD211F">
        <w:rPr>
          <w:sz w:val="36"/>
          <w:szCs w:val="36"/>
          <w:rtl/>
        </w:rPr>
        <w:t>معنى الرجل الشجاع من لفظ الاسد.</w:t>
      </w:r>
    </w:p>
    <w:p w14:paraId="2B80CD36" w14:textId="77777777" w:rsidR="000C5BBA" w:rsidRPr="00FD211F" w:rsidRDefault="00052BF2" w:rsidP="009C58C8">
      <w:pPr>
        <w:ind w:left="0" w:firstLine="227"/>
        <w:jc w:val="both"/>
        <w:rPr>
          <w:sz w:val="36"/>
          <w:szCs w:val="36"/>
          <w:rtl/>
        </w:rPr>
      </w:pPr>
      <w:r w:rsidRPr="00FD211F">
        <w:rPr>
          <w:sz w:val="36"/>
          <w:szCs w:val="36"/>
          <w:rtl/>
        </w:rPr>
        <w:t>وأما الإضمار فهو نظير قوله تعالى "واسئل القري</w:t>
      </w:r>
      <w:r w:rsidR="00EC7EDF" w:rsidRPr="00FD211F">
        <w:rPr>
          <w:sz w:val="36"/>
          <w:szCs w:val="36"/>
          <w:rtl/>
        </w:rPr>
        <w:t xml:space="preserve">ة </w:t>
      </w:r>
      <w:r w:rsidRPr="00FD211F">
        <w:rPr>
          <w:sz w:val="36"/>
          <w:szCs w:val="36"/>
          <w:rtl/>
        </w:rPr>
        <w:t>"</w:t>
      </w:r>
      <w:r w:rsidR="009C58C8" w:rsidRPr="00FD211F">
        <w:rPr>
          <w:rStyle w:val="a6"/>
          <w:sz w:val="36"/>
          <w:szCs w:val="36"/>
          <w:rtl/>
        </w:rPr>
        <w:t>(</w:t>
      </w:r>
      <w:r w:rsidR="009C58C8" w:rsidRPr="00FD211F">
        <w:rPr>
          <w:rStyle w:val="a6"/>
          <w:sz w:val="36"/>
          <w:szCs w:val="36"/>
          <w:rtl/>
        </w:rPr>
        <w:footnoteReference w:id="321"/>
      </w:r>
      <w:r w:rsidR="009C58C8" w:rsidRPr="00FD211F">
        <w:rPr>
          <w:rStyle w:val="a6"/>
          <w:sz w:val="36"/>
          <w:szCs w:val="36"/>
          <w:rtl/>
        </w:rPr>
        <w:t>)</w:t>
      </w:r>
      <w:r w:rsidR="00603323" w:rsidRPr="00FD211F">
        <w:rPr>
          <w:sz w:val="36"/>
          <w:szCs w:val="36"/>
          <w:rtl/>
        </w:rPr>
        <w:t xml:space="preserve">، </w:t>
      </w:r>
      <w:r w:rsidRPr="00FD211F">
        <w:rPr>
          <w:sz w:val="36"/>
          <w:szCs w:val="36"/>
          <w:rtl/>
        </w:rPr>
        <w:t>حيث ذكر المفسرون انه من المجاز في الاضمار والتقدير اي واسئل اهل القري</w:t>
      </w:r>
      <w:r w:rsidR="00EC7EDF" w:rsidRPr="00FD211F">
        <w:rPr>
          <w:sz w:val="36"/>
          <w:szCs w:val="36"/>
          <w:rtl/>
        </w:rPr>
        <w:t>ة</w:t>
      </w:r>
      <w:r w:rsidR="00603323" w:rsidRPr="00FD211F">
        <w:rPr>
          <w:sz w:val="36"/>
          <w:szCs w:val="36"/>
          <w:rtl/>
        </w:rPr>
        <w:t xml:space="preserve">، </w:t>
      </w:r>
      <w:r w:rsidRPr="00FD211F">
        <w:rPr>
          <w:sz w:val="36"/>
          <w:szCs w:val="36"/>
          <w:rtl/>
        </w:rPr>
        <w:t>وان كان الصحيح كونه مجازا ادعائيا بلااي اضمار وتقدير</w:t>
      </w:r>
      <w:r w:rsidR="00E80A70" w:rsidRPr="00FD211F">
        <w:rPr>
          <w:sz w:val="36"/>
          <w:szCs w:val="36"/>
          <w:rtl/>
        </w:rPr>
        <w:t>.</w:t>
      </w:r>
    </w:p>
    <w:p w14:paraId="074D6D28" w14:textId="77777777" w:rsidR="00052BF2" w:rsidRPr="00FD211F" w:rsidRDefault="00052BF2" w:rsidP="009C58C8">
      <w:pPr>
        <w:ind w:left="0" w:firstLine="227"/>
        <w:jc w:val="both"/>
        <w:rPr>
          <w:sz w:val="36"/>
          <w:szCs w:val="36"/>
          <w:rtl/>
        </w:rPr>
      </w:pPr>
      <w:r w:rsidRPr="00FD211F">
        <w:rPr>
          <w:sz w:val="36"/>
          <w:szCs w:val="36"/>
          <w:rtl/>
        </w:rPr>
        <w:t>واما الاستخدام الذي هو ايضا نحو من التجوز في ارجاع الضمير الى مرجعه</w:t>
      </w:r>
      <w:r w:rsidR="00603323" w:rsidRPr="00FD211F">
        <w:rPr>
          <w:sz w:val="36"/>
          <w:szCs w:val="36"/>
          <w:rtl/>
        </w:rPr>
        <w:t xml:space="preserve">، </w:t>
      </w:r>
      <w:r w:rsidRPr="00FD211F">
        <w:rPr>
          <w:sz w:val="36"/>
          <w:szCs w:val="36"/>
          <w:rtl/>
        </w:rPr>
        <w:t>فهو نظير قوله تعالى</w:t>
      </w:r>
      <w:r w:rsidR="00A65593" w:rsidRPr="00FD211F">
        <w:rPr>
          <w:sz w:val="36"/>
          <w:szCs w:val="36"/>
          <w:rtl/>
        </w:rPr>
        <w:t>"</w:t>
      </w:r>
      <w:r w:rsidRPr="00FD211F">
        <w:rPr>
          <w:sz w:val="36"/>
          <w:szCs w:val="36"/>
          <w:rtl/>
        </w:rPr>
        <w:t>والمطلقات يتربصن بانفسهن ثلاث</w:t>
      </w:r>
      <w:r w:rsidR="00EC7EDF" w:rsidRPr="00FD211F">
        <w:rPr>
          <w:sz w:val="36"/>
          <w:szCs w:val="36"/>
          <w:rtl/>
        </w:rPr>
        <w:t xml:space="preserve">ة </w:t>
      </w:r>
      <w:r w:rsidRPr="00FD211F">
        <w:rPr>
          <w:sz w:val="36"/>
          <w:szCs w:val="36"/>
          <w:rtl/>
        </w:rPr>
        <w:t>قروء وبعولتهن احق بردهن في ذلك</w:t>
      </w:r>
      <w:r w:rsidR="00A65593" w:rsidRPr="00FD211F">
        <w:rPr>
          <w:sz w:val="36"/>
          <w:szCs w:val="36"/>
          <w:rtl/>
        </w:rPr>
        <w:t>"</w:t>
      </w:r>
      <w:r w:rsidR="009C58C8" w:rsidRPr="00FD211F">
        <w:rPr>
          <w:rStyle w:val="a6"/>
          <w:sz w:val="36"/>
          <w:szCs w:val="36"/>
          <w:rtl/>
        </w:rPr>
        <w:t>(</w:t>
      </w:r>
      <w:r w:rsidR="009C58C8" w:rsidRPr="00FD211F">
        <w:rPr>
          <w:rStyle w:val="a6"/>
          <w:sz w:val="36"/>
          <w:szCs w:val="36"/>
          <w:rtl/>
        </w:rPr>
        <w:footnoteReference w:id="322"/>
      </w:r>
      <w:r w:rsidR="009C58C8" w:rsidRPr="00FD211F">
        <w:rPr>
          <w:rStyle w:val="a6"/>
          <w:sz w:val="36"/>
          <w:szCs w:val="36"/>
          <w:rtl/>
        </w:rPr>
        <w:t>)</w:t>
      </w:r>
      <w:r w:rsidR="00603323" w:rsidRPr="00FD211F">
        <w:rPr>
          <w:sz w:val="36"/>
          <w:szCs w:val="36"/>
          <w:rtl/>
        </w:rPr>
        <w:t xml:space="preserve">، </w:t>
      </w:r>
      <w:r w:rsidRPr="00FD211F">
        <w:rPr>
          <w:sz w:val="36"/>
          <w:szCs w:val="36"/>
          <w:rtl/>
        </w:rPr>
        <w:t>حيث قالوا ان الضمير في بعولتهن يرجع الى بعض المطلقات</w:t>
      </w:r>
      <w:r w:rsidR="00603323" w:rsidRPr="00FD211F">
        <w:rPr>
          <w:sz w:val="36"/>
          <w:szCs w:val="36"/>
          <w:rtl/>
        </w:rPr>
        <w:t xml:space="preserve">، </w:t>
      </w:r>
      <w:r w:rsidRPr="00FD211F">
        <w:rPr>
          <w:sz w:val="36"/>
          <w:szCs w:val="36"/>
          <w:rtl/>
        </w:rPr>
        <w:t>وهي المطلقات الرجعي</w:t>
      </w:r>
      <w:r w:rsidR="00EC7EDF" w:rsidRPr="00FD211F">
        <w:rPr>
          <w:sz w:val="36"/>
          <w:szCs w:val="36"/>
          <w:rtl/>
        </w:rPr>
        <w:t>ة</w:t>
      </w:r>
      <w:r w:rsidR="00A61BAE" w:rsidRPr="00FD211F">
        <w:rPr>
          <w:sz w:val="36"/>
          <w:szCs w:val="36"/>
          <w:rtl/>
        </w:rPr>
        <w:t>.</w:t>
      </w:r>
      <w:r w:rsidRPr="00FD211F">
        <w:rPr>
          <w:sz w:val="36"/>
          <w:szCs w:val="36"/>
          <w:rtl/>
        </w:rPr>
        <w:t xml:space="preserve"> </w:t>
      </w:r>
    </w:p>
    <w:p w14:paraId="40615785" w14:textId="77777777" w:rsidR="00052BF2" w:rsidRPr="00FD211F" w:rsidRDefault="00052BF2" w:rsidP="009C58C8">
      <w:pPr>
        <w:ind w:left="0" w:firstLine="227"/>
        <w:jc w:val="both"/>
        <w:rPr>
          <w:sz w:val="36"/>
          <w:szCs w:val="36"/>
          <w:rtl/>
        </w:rPr>
      </w:pPr>
      <w:r w:rsidRPr="00FD211F">
        <w:rPr>
          <w:sz w:val="36"/>
          <w:szCs w:val="36"/>
          <w:rtl/>
        </w:rPr>
        <w:t>وحينئذ فلو</w:t>
      </w:r>
      <w:r w:rsidR="008D7B3D" w:rsidRPr="00FD211F">
        <w:rPr>
          <w:sz w:val="36"/>
          <w:szCs w:val="36"/>
          <w:rtl/>
        </w:rPr>
        <w:t xml:space="preserve"> لم‌</w:t>
      </w:r>
      <w:r w:rsidRPr="00FD211F">
        <w:rPr>
          <w:sz w:val="36"/>
          <w:szCs w:val="36"/>
          <w:rtl/>
        </w:rPr>
        <w:t>نعلم باراد</w:t>
      </w:r>
      <w:r w:rsidR="00EC7EDF" w:rsidRPr="00FD211F">
        <w:rPr>
          <w:sz w:val="36"/>
          <w:szCs w:val="36"/>
          <w:rtl/>
        </w:rPr>
        <w:t xml:space="preserve">ة </w:t>
      </w:r>
      <w:r w:rsidRPr="00FD211F">
        <w:rPr>
          <w:sz w:val="36"/>
          <w:szCs w:val="36"/>
          <w:rtl/>
        </w:rPr>
        <w:t>المستعمل لتفهيم المعنى الحقيقي او المجازي فلاينبغي الاشكال في انعقاد الظهور التصديقي في اراد</w:t>
      </w:r>
      <w:r w:rsidR="00EC7EDF" w:rsidRPr="00FD211F">
        <w:rPr>
          <w:sz w:val="36"/>
          <w:szCs w:val="36"/>
          <w:rtl/>
        </w:rPr>
        <w:t xml:space="preserve">ة </w:t>
      </w:r>
      <w:r w:rsidRPr="00FD211F">
        <w:rPr>
          <w:sz w:val="36"/>
          <w:szCs w:val="36"/>
          <w:rtl/>
        </w:rPr>
        <w:t>المتكلم المعنى الحقيقي حيث ان ظاهر حال المتكلم بمقتضى الغلب</w:t>
      </w:r>
      <w:r w:rsidR="00EC7EDF" w:rsidRPr="00FD211F">
        <w:rPr>
          <w:sz w:val="36"/>
          <w:szCs w:val="36"/>
          <w:rtl/>
        </w:rPr>
        <w:t xml:space="preserve">ة </w:t>
      </w:r>
      <w:r w:rsidRPr="00FD211F">
        <w:rPr>
          <w:sz w:val="36"/>
          <w:szCs w:val="36"/>
          <w:rtl/>
        </w:rPr>
        <w:t>هو اراد</w:t>
      </w:r>
      <w:r w:rsidR="00EC7EDF" w:rsidRPr="00FD211F">
        <w:rPr>
          <w:sz w:val="36"/>
          <w:szCs w:val="36"/>
          <w:rtl/>
        </w:rPr>
        <w:t xml:space="preserve">ة </w:t>
      </w:r>
      <w:r w:rsidRPr="00FD211F">
        <w:rPr>
          <w:sz w:val="36"/>
          <w:szCs w:val="36"/>
          <w:rtl/>
        </w:rPr>
        <w:t>تفهيم المعنى الذي يكون مدلولا تصوريا للفظ اذا فرض انتفاء القرين</w:t>
      </w:r>
      <w:r w:rsidR="00EC7EDF" w:rsidRPr="00FD211F">
        <w:rPr>
          <w:sz w:val="36"/>
          <w:szCs w:val="36"/>
          <w:rtl/>
        </w:rPr>
        <w:t xml:space="preserve">ة </w:t>
      </w:r>
      <w:r w:rsidRPr="00FD211F">
        <w:rPr>
          <w:sz w:val="36"/>
          <w:szCs w:val="36"/>
          <w:rtl/>
        </w:rPr>
        <w:t>على الخلاف</w:t>
      </w:r>
      <w:r w:rsidR="00603323" w:rsidRPr="00FD211F">
        <w:rPr>
          <w:sz w:val="36"/>
          <w:szCs w:val="36"/>
          <w:rtl/>
        </w:rPr>
        <w:t xml:space="preserve">، </w:t>
      </w:r>
      <w:r w:rsidRPr="00FD211F">
        <w:rPr>
          <w:sz w:val="36"/>
          <w:szCs w:val="36"/>
          <w:rtl/>
        </w:rPr>
        <w:t>وذلك لان ظاهر حال العقلاء هو عدم ارادتهم تفهيم معنى لايكون مدلولا تصوريا للفظ بدون نصب قرين</w:t>
      </w:r>
      <w:r w:rsidR="00EC7EDF" w:rsidRPr="00FD211F">
        <w:rPr>
          <w:sz w:val="36"/>
          <w:szCs w:val="36"/>
          <w:rtl/>
        </w:rPr>
        <w:t xml:space="preserve">ة </w:t>
      </w:r>
      <w:r w:rsidRPr="00FD211F">
        <w:rPr>
          <w:sz w:val="36"/>
          <w:szCs w:val="36"/>
          <w:rtl/>
        </w:rPr>
        <w:t>عليه.</w:t>
      </w:r>
    </w:p>
    <w:p w14:paraId="716767CC" w14:textId="77777777" w:rsidR="00052BF2" w:rsidRPr="00FD211F" w:rsidRDefault="00052BF2" w:rsidP="009C58C8">
      <w:pPr>
        <w:ind w:left="0" w:firstLine="227"/>
        <w:jc w:val="both"/>
        <w:rPr>
          <w:sz w:val="36"/>
          <w:szCs w:val="36"/>
          <w:rtl/>
        </w:rPr>
      </w:pPr>
      <w:r w:rsidRPr="00FD211F">
        <w:rPr>
          <w:sz w:val="36"/>
          <w:szCs w:val="36"/>
          <w:rtl/>
        </w:rPr>
        <w:t>وان علمنا بعدم اراد</w:t>
      </w:r>
      <w:r w:rsidR="00EC7EDF" w:rsidRPr="00FD211F">
        <w:rPr>
          <w:sz w:val="36"/>
          <w:szCs w:val="36"/>
          <w:rtl/>
        </w:rPr>
        <w:t xml:space="preserve">ة </w:t>
      </w:r>
      <w:r w:rsidRPr="00FD211F">
        <w:rPr>
          <w:sz w:val="36"/>
          <w:szCs w:val="36"/>
          <w:rtl/>
        </w:rPr>
        <w:t>المعنى الحقيقي جزما ودار الأمر بين انحاء المجازات</w:t>
      </w:r>
      <w:r w:rsidR="00603323" w:rsidRPr="00FD211F">
        <w:rPr>
          <w:sz w:val="36"/>
          <w:szCs w:val="36"/>
          <w:rtl/>
        </w:rPr>
        <w:t xml:space="preserve">، </w:t>
      </w:r>
      <w:r w:rsidRPr="00FD211F">
        <w:rPr>
          <w:sz w:val="36"/>
          <w:szCs w:val="36"/>
          <w:rtl/>
        </w:rPr>
        <w:t>كما اذا دار الأمر بين المجاز في الكلم</w:t>
      </w:r>
      <w:r w:rsidR="00EC7EDF" w:rsidRPr="00FD211F">
        <w:rPr>
          <w:sz w:val="36"/>
          <w:szCs w:val="36"/>
          <w:rtl/>
        </w:rPr>
        <w:t xml:space="preserve">ة </w:t>
      </w:r>
      <w:r w:rsidRPr="00FD211F">
        <w:rPr>
          <w:sz w:val="36"/>
          <w:szCs w:val="36"/>
          <w:rtl/>
        </w:rPr>
        <w:t>وبين المجاز في الاستخدا</w:t>
      </w:r>
      <w:r w:rsidR="001F5CC7" w:rsidRPr="00FD211F">
        <w:rPr>
          <w:sz w:val="36"/>
          <w:szCs w:val="36"/>
          <w:rtl/>
        </w:rPr>
        <w:t>م كما قد يدعى ذلك في قوله تعالى"</w:t>
      </w:r>
      <w:r w:rsidRPr="00FD211F">
        <w:rPr>
          <w:sz w:val="36"/>
          <w:szCs w:val="36"/>
          <w:rtl/>
        </w:rPr>
        <w:t>والمطلقات يتربصن بانفسهن ثلاث</w:t>
      </w:r>
      <w:r w:rsidR="00EC7EDF" w:rsidRPr="00FD211F">
        <w:rPr>
          <w:sz w:val="36"/>
          <w:szCs w:val="36"/>
          <w:rtl/>
        </w:rPr>
        <w:t xml:space="preserve">ة </w:t>
      </w:r>
      <w:r w:rsidRPr="00FD211F">
        <w:rPr>
          <w:sz w:val="36"/>
          <w:szCs w:val="36"/>
          <w:rtl/>
        </w:rPr>
        <w:t>قروء وبعولتهن احق بردهن في ذلك</w:t>
      </w:r>
      <w:r w:rsidR="001F5CC7" w:rsidRPr="00FD211F">
        <w:rPr>
          <w:sz w:val="36"/>
          <w:szCs w:val="36"/>
          <w:rtl/>
        </w:rPr>
        <w:t>"</w:t>
      </w:r>
      <w:r w:rsidR="00C7588D" w:rsidRPr="00FD211F">
        <w:rPr>
          <w:sz w:val="36"/>
          <w:szCs w:val="36"/>
          <w:rtl/>
        </w:rPr>
        <w:t xml:space="preserve"> </w:t>
      </w:r>
      <w:r w:rsidRPr="00FD211F">
        <w:rPr>
          <w:sz w:val="36"/>
          <w:szCs w:val="36"/>
          <w:rtl/>
        </w:rPr>
        <w:t>حيث قيل انه يدور امر هذه الآي</w:t>
      </w:r>
      <w:r w:rsidR="00EC7EDF" w:rsidRPr="00FD211F">
        <w:rPr>
          <w:sz w:val="36"/>
          <w:szCs w:val="36"/>
          <w:rtl/>
        </w:rPr>
        <w:t xml:space="preserve">ة </w:t>
      </w:r>
      <w:r w:rsidRPr="00FD211F">
        <w:rPr>
          <w:sz w:val="36"/>
          <w:szCs w:val="36"/>
          <w:rtl/>
        </w:rPr>
        <w:t>بين ان يراد من المطلقات خصوص المطلقات الرجعي</w:t>
      </w:r>
      <w:r w:rsidR="00EC7EDF" w:rsidRPr="00FD211F">
        <w:rPr>
          <w:sz w:val="36"/>
          <w:szCs w:val="36"/>
          <w:rtl/>
        </w:rPr>
        <w:t xml:space="preserve">ة </w:t>
      </w:r>
      <w:r w:rsidRPr="00FD211F">
        <w:rPr>
          <w:sz w:val="36"/>
          <w:szCs w:val="36"/>
          <w:rtl/>
        </w:rPr>
        <w:t>فيكون من المجاز في الكلم</w:t>
      </w:r>
      <w:r w:rsidR="00EC7EDF" w:rsidRPr="00FD211F">
        <w:rPr>
          <w:sz w:val="36"/>
          <w:szCs w:val="36"/>
          <w:rtl/>
        </w:rPr>
        <w:t xml:space="preserve">ة </w:t>
      </w:r>
      <w:r w:rsidRPr="00FD211F">
        <w:rPr>
          <w:sz w:val="36"/>
          <w:szCs w:val="36"/>
          <w:rtl/>
        </w:rPr>
        <w:t>-حيث يقال بانه يكون من قبيل استعمال العام او المطلق</w:t>
      </w:r>
      <w:r w:rsidR="00EC7EDF" w:rsidRPr="00FD211F">
        <w:rPr>
          <w:sz w:val="36"/>
          <w:szCs w:val="36"/>
          <w:rtl/>
        </w:rPr>
        <w:t xml:space="preserve"> و</w:t>
      </w:r>
      <w:r w:rsidRPr="00FD211F">
        <w:rPr>
          <w:sz w:val="36"/>
          <w:szCs w:val="36"/>
          <w:rtl/>
        </w:rPr>
        <w:t>اراد</w:t>
      </w:r>
      <w:r w:rsidR="00EC7EDF" w:rsidRPr="00FD211F">
        <w:rPr>
          <w:sz w:val="36"/>
          <w:szCs w:val="36"/>
          <w:rtl/>
        </w:rPr>
        <w:t xml:space="preserve">ة </w:t>
      </w:r>
      <w:r w:rsidRPr="00FD211F">
        <w:rPr>
          <w:sz w:val="36"/>
          <w:szCs w:val="36"/>
          <w:rtl/>
        </w:rPr>
        <w:t>الخاص والمقيد منهما- وبين ان يراد من الضمير في "وبعولتهن</w:t>
      </w:r>
      <w:r w:rsidR="00EC7EDF" w:rsidRPr="00FD211F">
        <w:rPr>
          <w:sz w:val="36"/>
          <w:szCs w:val="36"/>
          <w:rtl/>
        </w:rPr>
        <w:t>.</w:t>
      </w:r>
      <w:r w:rsidRPr="00FD211F">
        <w:rPr>
          <w:sz w:val="36"/>
          <w:szCs w:val="36"/>
          <w:rtl/>
        </w:rPr>
        <w:t>.." خصوص الرجعي</w:t>
      </w:r>
      <w:r w:rsidR="00EC7EDF" w:rsidRPr="00FD211F">
        <w:rPr>
          <w:sz w:val="36"/>
          <w:szCs w:val="36"/>
          <w:rtl/>
        </w:rPr>
        <w:t xml:space="preserve">ة </w:t>
      </w:r>
      <w:r w:rsidRPr="00FD211F">
        <w:rPr>
          <w:sz w:val="36"/>
          <w:szCs w:val="36"/>
          <w:rtl/>
        </w:rPr>
        <w:t>منهن فيكون من المجاز في الاستخدام -حيث انه اريد من الضمير بعض مرجعه</w:t>
      </w:r>
      <w:r w:rsidR="00603323" w:rsidRPr="00FD211F">
        <w:rPr>
          <w:sz w:val="36"/>
          <w:szCs w:val="36"/>
          <w:rtl/>
        </w:rPr>
        <w:t xml:space="preserve">، </w:t>
      </w:r>
      <w:r w:rsidRPr="00FD211F">
        <w:rPr>
          <w:sz w:val="36"/>
          <w:szCs w:val="36"/>
          <w:rtl/>
        </w:rPr>
        <w:t>لاكله- فان كانا في كلامين منفصلين</w:t>
      </w:r>
      <w:r w:rsidR="00603323" w:rsidRPr="00FD211F">
        <w:rPr>
          <w:sz w:val="36"/>
          <w:szCs w:val="36"/>
          <w:rtl/>
        </w:rPr>
        <w:t xml:space="preserve">، </w:t>
      </w:r>
      <w:r w:rsidRPr="00FD211F">
        <w:rPr>
          <w:sz w:val="36"/>
          <w:szCs w:val="36"/>
          <w:rtl/>
        </w:rPr>
        <w:t>او كانا في كلام واحد</w:t>
      </w:r>
      <w:r w:rsidR="00EC7EDF" w:rsidRPr="00FD211F">
        <w:rPr>
          <w:sz w:val="36"/>
          <w:szCs w:val="36"/>
          <w:rtl/>
        </w:rPr>
        <w:t xml:space="preserve"> و</w:t>
      </w:r>
      <w:r w:rsidRPr="00FD211F">
        <w:rPr>
          <w:sz w:val="36"/>
          <w:szCs w:val="36"/>
          <w:rtl/>
        </w:rPr>
        <w:t>لكن علم بسبب القرين</w:t>
      </w:r>
      <w:r w:rsidR="00EC7EDF" w:rsidRPr="00FD211F">
        <w:rPr>
          <w:sz w:val="36"/>
          <w:szCs w:val="36"/>
          <w:rtl/>
        </w:rPr>
        <w:t xml:space="preserve">ة </w:t>
      </w:r>
      <w:r w:rsidRPr="00FD211F">
        <w:rPr>
          <w:sz w:val="36"/>
          <w:szCs w:val="36"/>
          <w:rtl/>
        </w:rPr>
        <w:t>المنفصل</w:t>
      </w:r>
      <w:r w:rsidR="00EC7EDF" w:rsidRPr="00FD211F">
        <w:rPr>
          <w:sz w:val="36"/>
          <w:szCs w:val="36"/>
          <w:rtl/>
        </w:rPr>
        <w:t xml:space="preserve">ة </w:t>
      </w:r>
      <w:r w:rsidRPr="00FD211F">
        <w:rPr>
          <w:sz w:val="36"/>
          <w:szCs w:val="36"/>
          <w:rtl/>
        </w:rPr>
        <w:t>عدم اراد</w:t>
      </w:r>
      <w:r w:rsidR="00EC7EDF" w:rsidRPr="00FD211F">
        <w:rPr>
          <w:sz w:val="36"/>
          <w:szCs w:val="36"/>
          <w:rtl/>
        </w:rPr>
        <w:t xml:space="preserve">ة </w:t>
      </w:r>
      <w:r w:rsidRPr="00FD211F">
        <w:rPr>
          <w:sz w:val="36"/>
          <w:szCs w:val="36"/>
          <w:rtl/>
        </w:rPr>
        <w:t>المعنى الحقيقي</w:t>
      </w:r>
      <w:r w:rsidR="00603323" w:rsidRPr="00FD211F">
        <w:rPr>
          <w:sz w:val="36"/>
          <w:szCs w:val="36"/>
          <w:rtl/>
        </w:rPr>
        <w:t xml:space="preserve">، </w:t>
      </w:r>
      <w:r w:rsidRPr="00FD211F">
        <w:rPr>
          <w:sz w:val="36"/>
          <w:szCs w:val="36"/>
          <w:rtl/>
        </w:rPr>
        <w:t>وحيث انعقد الظهور التصديقي في انتفاء كلا نحوي المجاز فيقع التعارض بين الظهورين فيما اذا علم خارجا باراد</w:t>
      </w:r>
      <w:r w:rsidR="00EC7EDF" w:rsidRPr="00FD211F">
        <w:rPr>
          <w:sz w:val="36"/>
          <w:szCs w:val="36"/>
          <w:rtl/>
        </w:rPr>
        <w:t xml:space="preserve">ة </w:t>
      </w:r>
      <w:r w:rsidRPr="00FD211F">
        <w:rPr>
          <w:sz w:val="36"/>
          <w:szCs w:val="36"/>
          <w:rtl/>
        </w:rPr>
        <w:t>احد المجازين</w:t>
      </w:r>
      <w:r w:rsidR="00603323" w:rsidRPr="00FD211F">
        <w:rPr>
          <w:sz w:val="36"/>
          <w:szCs w:val="36"/>
          <w:rtl/>
        </w:rPr>
        <w:t xml:space="preserve">، </w:t>
      </w:r>
      <w:r w:rsidRPr="00FD211F">
        <w:rPr>
          <w:sz w:val="36"/>
          <w:szCs w:val="36"/>
          <w:rtl/>
        </w:rPr>
        <w:t>وأما لو كانا في كلام واحد وعلم بعدم اراد</w:t>
      </w:r>
      <w:r w:rsidR="00EC7EDF" w:rsidRPr="00FD211F">
        <w:rPr>
          <w:sz w:val="36"/>
          <w:szCs w:val="36"/>
          <w:rtl/>
        </w:rPr>
        <w:t xml:space="preserve">ة </w:t>
      </w:r>
      <w:r w:rsidRPr="00FD211F">
        <w:rPr>
          <w:sz w:val="36"/>
          <w:szCs w:val="36"/>
          <w:rtl/>
        </w:rPr>
        <w:t>المعنى الحقيقي بسبب القرين</w:t>
      </w:r>
      <w:r w:rsidR="00EC7EDF" w:rsidRPr="00FD211F">
        <w:rPr>
          <w:sz w:val="36"/>
          <w:szCs w:val="36"/>
          <w:rtl/>
        </w:rPr>
        <w:t xml:space="preserve">ة </w:t>
      </w:r>
      <w:r w:rsidRPr="00FD211F">
        <w:rPr>
          <w:sz w:val="36"/>
          <w:szCs w:val="36"/>
          <w:rtl/>
        </w:rPr>
        <w:t>المتصل</w:t>
      </w:r>
      <w:r w:rsidR="00EC7EDF" w:rsidRPr="00FD211F">
        <w:rPr>
          <w:sz w:val="36"/>
          <w:szCs w:val="36"/>
          <w:rtl/>
        </w:rPr>
        <w:t xml:space="preserve">ة </w:t>
      </w:r>
      <w:r w:rsidRPr="00FD211F">
        <w:rPr>
          <w:sz w:val="36"/>
          <w:szCs w:val="36"/>
          <w:rtl/>
        </w:rPr>
        <w:t>فيصير الخطاب مجملا ما</w:t>
      </w:r>
      <w:r w:rsidR="008D7B3D" w:rsidRPr="00FD211F">
        <w:rPr>
          <w:sz w:val="36"/>
          <w:szCs w:val="36"/>
          <w:rtl/>
        </w:rPr>
        <w:t xml:space="preserve"> لم‌</w:t>
      </w:r>
      <w:r w:rsidRPr="00FD211F">
        <w:rPr>
          <w:sz w:val="36"/>
          <w:szCs w:val="36"/>
          <w:rtl/>
        </w:rPr>
        <w:t>يفترض وجود قرين</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تعين احد المجازين.</w:t>
      </w:r>
    </w:p>
    <w:p w14:paraId="2705FF30" w14:textId="77777777" w:rsidR="00052BF2" w:rsidRPr="00FD211F" w:rsidRDefault="00052BF2" w:rsidP="009C58C8">
      <w:pPr>
        <w:ind w:left="0" w:firstLine="227"/>
        <w:jc w:val="both"/>
        <w:rPr>
          <w:sz w:val="36"/>
          <w:szCs w:val="36"/>
          <w:rtl/>
        </w:rPr>
      </w:pPr>
      <w:r w:rsidRPr="00FD211F">
        <w:rPr>
          <w:sz w:val="36"/>
          <w:szCs w:val="36"/>
          <w:rtl/>
        </w:rPr>
        <w:t>واما ما يرتبط بمرحل</w:t>
      </w:r>
      <w:r w:rsidR="00EC7EDF" w:rsidRPr="00FD211F">
        <w:rPr>
          <w:sz w:val="36"/>
          <w:szCs w:val="36"/>
          <w:rtl/>
        </w:rPr>
        <w:t xml:space="preserve">ة </w:t>
      </w:r>
      <w:r w:rsidRPr="00FD211F">
        <w:rPr>
          <w:sz w:val="36"/>
          <w:szCs w:val="36"/>
          <w:rtl/>
        </w:rPr>
        <w:t>الاراد</w:t>
      </w:r>
      <w:r w:rsidR="00EC7EDF" w:rsidRPr="00FD211F">
        <w:rPr>
          <w:sz w:val="36"/>
          <w:szCs w:val="36"/>
          <w:rtl/>
        </w:rPr>
        <w:t xml:space="preserve">ة </w:t>
      </w:r>
      <w:r w:rsidRPr="00FD211F">
        <w:rPr>
          <w:sz w:val="36"/>
          <w:szCs w:val="36"/>
          <w:rtl/>
        </w:rPr>
        <w:t>الجدي</w:t>
      </w:r>
      <w:r w:rsidR="00EC7EDF" w:rsidRPr="00FD211F">
        <w:rPr>
          <w:sz w:val="36"/>
          <w:szCs w:val="36"/>
          <w:rtl/>
        </w:rPr>
        <w:t xml:space="preserve">ة </w:t>
      </w:r>
      <w:r w:rsidRPr="00FD211F">
        <w:rPr>
          <w:sz w:val="36"/>
          <w:szCs w:val="36"/>
          <w:rtl/>
        </w:rPr>
        <w:t>فهو التقييد والتخصيص</w:t>
      </w:r>
      <w:r w:rsidR="00603323" w:rsidRPr="00FD211F">
        <w:rPr>
          <w:sz w:val="36"/>
          <w:szCs w:val="36"/>
          <w:rtl/>
        </w:rPr>
        <w:t xml:space="preserve">، </w:t>
      </w:r>
      <w:r w:rsidRPr="00FD211F">
        <w:rPr>
          <w:sz w:val="36"/>
          <w:szCs w:val="36"/>
          <w:rtl/>
        </w:rPr>
        <w:t>حيث ان الصحيح عدم استلزام اراد</w:t>
      </w:r>
      <w:r w:rsidR="00EC7EDF" w:rsidRPr="00FD211F">
        <w:rPr>
          <w:sz w:val="36"/>
          <w:szCs w:val="36"/>
          <w:rtl/>
        </w:rPr>
        <w:t xml:space="preserve">ة </w:t>
      </w:r>
      <w:r w:rsidRPr="00FD211F">
        <w:rPr>
          <w:sz w:val="36"/>
          <w:szCs w:val="36"/>
          <w:rtl/>
        </w:rPr>
        <w:t>المقيد من الخطاب أيّ تجوز في مرحل</w:t>
      </w:r>
      <w:r w:rsidR="00EC7EDF" w:rsidRPr="00FD211F">
        <w:rPr>
          <w:sz w:val="36"/>
          <w:szCs w:val="36"/>
          <w:rtl/>
        </w:rPr>
        <w:t xml:space="preserve">ة </w:t>
      </w:r>
      <w:r w:rsidRPr="00FD211F">
        <w:rPr>
          <w:sz w:val="36"/>
          <w:szCs w:val="36"/>
          <w:rtl/>
        </w:rPr>
        <w:t>الاراد</w:t>
      </w:r>
      <w:r w:rsidR="00EC7EDF" w:rsidRPr="00FD211F">
        <w:rPr>
          <w:sz w:val="36"/>
          <w:szCs w:val="36"/>
          <w:rtl/>
        </w:rPr>
        <w:t xml:space="preserve">ة </w:t>
      </w:r>
      <w:r w:rsidRPr="00FD211F">
        <w:rPr>
          <w:sz w:val="36"/>
          <w:szCs w:val="36"/>
          <w:rtl/>
        </w:rPr>
        <w:t>الاستعمالي</w:t>
      </w:r>
      <w:r w:rsidR="00EC7EDF" w:rsidRPr="00FD211F">
        <w:rPr>
          <w:sz w:val="36"/>
          <w:szCs w:val="36"/>
          <w:rtl/>
        </w:rPr>
        <w:t>ة</w:t>
      </w:r>
      <w:r w:rsidR="00603323" w:rsidRPr="00FD211F">
        <w:rPr>
          <w:sz w:val="36"/>
          <w:szCs w:val="36"/>
          <w:rtl/>
        </w:rPr>
        <w:t xml:space="preserve">، </w:t>
      </w:r>
      <w:r w:rsidRPr="00FD211F">
        <w:rPr>
          <w:sz w:val="36"/>
          <w:szCs w:val="36"/>
          <w:rtl/>
        </w:rPr>
        <w:t>فلم يستعمل المطلق في المقيد</w:t>
      </w:r>
      <w:r w:rsidR="00603323" w:rsidRPr="00FD211F">
        <w:rPr>
          <w:sz w:val="36"/>
          <w:szCs w:val="36"/>
          <w:rtl/>
        </w:rPr>
        <w:t xml:space="preserve">، </w:t>
      </w:r>
      <w:r w:rsidRPr="00FD211F">
        <w:rPr>
          <w:sz w:val="36"/>
          <w:szCs w:val="36"/>
          <w:rtl/>
        </w:rPr>
        <w:t>وانما تكون اراد</w:t>
      </w:r>
      <w:r w:rsidR="00EC7EDF" w:rsidRPr="00FD211F">
        <w:rPr>
          <w:sz w:val="36"/>
          <w:szCs w:val="36"/>
          <w:rtl/>
        </w:rPr>
        <w:t xml:space="preserve">ة </w:t>
      </w:r>
      <w:r w:rsidRPr="00FD211F">
        <w:rPr>
          <w:sz w:val="36"/>
          <w:szCs w:val="36"/>
          <w:rtl/>
        </w:rPr>
        <w:t>المقيد نحو تصرف في المراد الجدي</w:t>
      </w:r>
      <w:r w:rsidR="00603323" w:rsidRPr="00FD211F">
        <w:rPr>
          <w:sz w:val="36"/>
          <w:szCs w:val="36"/>
          <w:rtl/>
        </w:rPr>
        <w:t xml:space="preserve">، </w:t>
      </w:r>
      <w:r w:rsidRPr="00FD211F">
        <w:rPr>
          <w:sz w:val="36"/>
          <w:szCs w:val="36"/>
          <w:rtl/>
        </w:rPr>
        <w:t>وكذا اراد</w:t>
      </w:r>
      <w:r w:rsidR="00EC7EDF" w:rsidRPr="00FD211F">
        <w:rPr>
          <w:sz w:val="36"/>
          <w:szCs w:val="36"/>
          <w:rtl/>
        </w:rPr>
        <w:t xml:space="preserve">ة </w:t>
      </w:r>
      <w:r w:rsidRPr="00FD211F">
        <w:rPr>
          <w:sz w:val="36"/>
          <w:szCs w:val="36"/>
          <w:rtl/>
        </w:rPr>
        <w:t>الخاص ايضا من الخطاب العام لاتستلزم التجوز في مرحل</w:t>
      </w:r>
      <w:r w:rsidR="00EC7EDF" w:rsidRPr="00FD211F">
        <w:rPr>
          <w:sz w:val="36"/>
          <w:szCs w:val="36"/>
          <w:rtl/>
        </w:rPr>
        <w:t xml:space="preserve">ة </w:t>
      </w:r>
      <w:r w:rsidRPr="00FD211F">
        <w:rPr>
          <w:sz w:val="36"/>
          <w:szCs w:val="36"/>
          <w:rtl/>
        </w:rPr>
        <w:t>الاراد</w:t>
      </w:r>
      <w:r w:rsidR="00EC7EDF" w:rsidRPr="00FD211F">
        <w:rPr>
          <w:sz w:val="36"/>
          <w:szCs w:val="36"/>
          <w:rtl/>
        </w:rPr>
        <w:t xml:space="preserve">ة </w:t>
      </w:r>
      <w:r w:rsidRPr="00FD211F">
        <w:rPr>
          <w:sz w:val="36"/>
          <w:szCs w:val="36"/>
          <w:rtl/>
        </w:rPr>
        <w:t>الاستعمالي</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Pr="00FD211F">
        <w:rPr>
          <w:sz w:val="36"/>
          <w:szCs w:val="36"/>
          <w:rtl/>
        </w:rPr>
        <w:t>انما يرتبط بمرحل</w:t>
      </w:r>
      <w:r w:rsidR="00EC7EDF" w:rsidRPr="00FD211F">
        <w:rPr>
          <w:sz w:val="36"/>
          <w:szCs w:val="36"/>
          <w:rtl/>
        </w:rPr>
        <w:t xml:space="preserve">ة </w:t>
      </w:r>
      <w:r w:rsidRPr="00FD211F">
        <w:rPr>
          <w:sz w:val="36"/>
          <w:szCs w:val="36"/>
          <w:rtl/>
        </w:rPr>
        <w:t>الاراد</w:t>
      </w:r>
      <w:r w:rsidR="00EC7EDF" w:rsidRPr="00FD211F">
        <w:rPr>
          <w:sz w:val="36"/>
          <w:szCs w:val="36"/>
          <w:rtl/>
        </w:rPr>
        <w:t xml:space="preserve">ة </w:t>
      </w:r>
      <w:r w:rsidRPr="00FD211F">
        <w:rPr>
          <w:sz w:val="36"/>
          <w:szCs w:val="36"/>
          <w:rtl/>
        </w:rPr>
        <w:t>الجدي</w:t>
      </w:r>
      <w:r w:rsidR="00EC7EDF" w:rsidRPr="00FD211F">
        <w:rPr>
          <w:sz w:val="36"/>
          <w:szCs w:val="36"/>
          <w:rtl/>
        </w:rPr>
        <w:t>ة</w:t>
      </w:r>
      <w:r w:rsidR="00603323" w:rsidRPr="00FD211F">
        <w:rPr>
          <w:sz w:val="36"/>
          <w:szCs w:val="36"/>
          <w:rtl/>
        </w:rPr>
        <w:t xml:space="preserve">، </w:t>
      </w:r>
      <w:r w:rsidRPr="00FD211F">
        <w:rPr>
          <w:sz w:val="36"/>
          <w:szCs w:val="36"/>
          <w:rtl/>
        </w:rPr>
        <w:t>وكيف كان فاذا دار الأمر بين الاطلاق والتقييد فيكون المرجع اصال</w:t>
      </w:r>
      <w:r w:rsidR="00EC7EDF" w:rsidRPr="00FD211F">
        <w:rPr>
          <w:sz w:val="36"/>
          <w:szCs w:val="36"/>
          <w:rtl/>
        </w:rPr>
        <w:t xml:space="preserve">ة </w:t>
      </w:r>
      <w:r w:rsidRPr="00FD211F">
        <w:rPr>
          <w:sz w:val="36"/>
          <w:szCs w:val="36"/>
          <w:rtl/>
        </w:rPr>
        <w:t>الاطلاق</w:t>
      </w:r>
      <w:r w:rsidR="00603323" w:rsidRPr="00FD211F">
        <w:rPr>
          <w:sz w:val="36"/>
          <w:szCs w:val="36"/>
          <w:rtl/>
        </w:rPr>
        <w:t xml:space="preserve">، </w:t>
      </w:r>
      <w:r w:rsidRPr="00FD211F">
        <w:rPr>
          <w:sz w:val="36"/>
          <w:szCs w:val="36"/>
          <w:rtl/>
        </w:rPr>
        <w:t>كما انه اذا دار الأمر بين العموم والتخصيص فيكون المرجع فيه اصال</w:t>
      </w:r>
      <w:r w:rsidR="00EC7EDF" w:rsidRPr="00FD211F">
        <w:rPr>
          <w:sz w:val="36"/>
          <w:szCs w:val="36"/>
          <w:rtl/>
        </w:rPr>
        <w:t xml:space="preserve">ة </w:t>
      </w:r>
      <w:r w:rsidRPr="00FD211F">
        <w:rPr>
          <w:sz w:val="36"/>
          <w:szCs w:val="36"/>
          <w:rtl/>
        </w:rPr>
        <w:t>العموم.</w:t>
      </w:r>
    </w:p>
    <w:p w14:paraId="2C1B9481" w14:textId="77777777" w:rsidR="00052BF2" w:rsidRPr="00FD211F" w:rsidRDefault="00052BF2" w:rsidP="007D43A0">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 xml:space="preserve">وأما اذا دار </w:t>
      </w:r>
      <w:r w:rsidR="001B3112" w:rsidRPr="00FD211F">
        <w:rPr>
          <w:sz w:val="36"/>
          <w:szCs w:val="36"/>
          <w:rtl/>
        </w:rPr>
        <w:t>الأمر</w:t>
      </w:r>
      <w:r w:rsidRPr="00FD211F">
        <w:rPr>
          <w:sz w:val="36"/>
          <w:szCs w:val="36"/>
          <w:rtl/>
        </w:rPr>
        <w:t xml:space="preserve"> بين التقييد وبين بعض ما يرتبط بمرحل</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 xml:space="preserve">كما لو دار </w:t>
      </w:r>
      <w:r w:rsidR="001B3112" w:rsidRPr="00FD211F">
        <w:rPr>
          <w:sz w:val="36"/>
          <w:szCs w:val="36"/>
          <w:rtl/>
        </w:rPr>
        <w:t>الأمر</w:t>
      </w:r>
      <w:r w:rsidRPr="00FD211F">
        <w:rPr>
          <w:sz w:val="36"/>
          <w:szCs w:val="36"/>
          <w:rtl/>
        </w:rPr>
        <w:t xml:space="preserve"> بين التقييد والاستخدام</w:t>
      </w:r>
      <w:r w:rsidR="00603323" w:rsidRPr="00FD211F">
        <w:rPr>
          <w:sz w:val="36"/>
          <w:szCs w:val="36"/>
          <w:rtl/>
        </w:rPr>
        <w:t xml:space="preserve">، </w:t>
      </w:r>
      <w:r w:rsidRPr="00FD211F">
        <w:rPr>
          <w:sz w:val="36"/>
          <w:szCs w:val="36"/>
          <w:rtl/>
        </w:rPr>
        <w:t>فيكون مرجعه الى التعارض بين الظهور الوضعي المرتبط بمرحل</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وبين مرحل</w:t>
      </w:r>
      <w:r w:rsidR="00EC7EDF" w:rsidRPr="00FD211F">
        <w:rPr>
          <w:sz w:val="36"/>
          <w:szCs w:val="36"/>
          <w:rtl/>
        </w:rPr>
        <w:t xml:space="preserve">ة </w:t>
      </w:r>
      <w:r w:rsidRPr="00FD211F">
        <w:rPr>
          <w:sz w:val="36"/>
          <w:szCs w:val="36"/>
          <w:rtl/>
        </w:rPr>
        <w:t>الظهور الاطلاقي المرتبط بمر</w:t>
      </w:r>
      <w:r w:rsidR="007D43A0" w:rsidRPr="00FD211F">
        <w:rPr>
          <w:sz w:val="36"/>
          <w:szCs w:val="36"/>
          <w:rtl/>
        </w:rPr>
        <w:t>ح</w:t>
      </w:r>
      <w:r w:rsidRPr="00FD211F">
        <w:rPr>
          <w:sz w:val="36"/>
          <w:szCs w:val="36"/>
          <w:rtl/>
        </w:rPr>
        <w:t>ل</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الجدي</w:t>
      </w:r>
      <w:r w:rsidR="00EC7EDF" w:rsidRPr="00FD211F">
        <w:rPr>
          <w:sz w:val="36"/>
          <w:szCs w:val="36"/>
          <w:rtl/>
        </w:rPr>
        <w:t xml:space="preserve">ة </w:t>
      </w:r>
      <w:r w:rsidRPr="00FD211F">
        <w:rPr>
          <w:sz w:val="36"/>
          <w:szCs w:val="36"/>
          <w:rtl/>
        </w:rPr>
        <w:t>فقد يقال بانه يلزم تقديم الظهور الوضعي على الظهور الاطلاقي فيكون المقام نظير تعارض العام والاطلاق كما لو ورد في خطابٍ اكرم العالم وورد في خطاب آخر "لاتكرم اي فاسق"</w:t>
      </w:r>
      <w:r w:rsidR="00603323" w:rsidRPr="00FD211F">
        <w:rPr>
          <w:sz w:val="36"/>
          <w:szCs w:val="36"/>
          <w:rtl/>
        </w:rPr>
        <w:t xml:space="preserve">، </w:t>
      </w:r>
      <w:r w:rsidRPr="00FD211F">
        <w:rPr>
          <w:sz w:val="36"/>
          <w:szCs w:val="36"/>
          <w:rtl/>
        </w:rPr>
        <w:t>حيث ذكروا انه يقدم الخطاب الثاني لأجل كونه عاما وضعيا على الخطاب الاول لكونه مطلقا.</w:t>
      </w:r>
    </w:p>
    <w:p w14:paraId="391CD7F4" w14:textId="77777777" w:rsidR="00052BF2" w:rsidRPr="00FD211F" w:rsidRDefault="00052BF2" w:rsidP="009C58C8">
      <w:pPr>
        <w:ind w:left="0" w:firstLine="227"/>
        <w:jc w:val="both"/>
        <w:rPr>
          <w:sz w:val="36"/>
          <w:szCs w:val="36"/>
          <w:rtl/>
        </w:rPr>
      </w:pPr>
      <w:r w:rsidRPr="00FD211F">
        <w:rPr>
          <w:sz w:val="36"/>
          <w:szCs w:val="36"/>
          <w:rtl/>
        </w:rPr>
        <w:t xml:space="preserve">ولايخفى ان ما ذكر انما يختص بفرض دوران </w:t>
      </w:r>
      <w:r w:rsidR="001B3112" w:rsidRPr="00FD211F">
        <w:rPr>
          <w:sz w:val="36"/>
          <w:szCs w:val="36"/>
          <w:rtl/>
        </w:rPr>
        <w:t>الأمر</w:t>
      </w:r>
      <w:r w:rsidRPr="00FD211F">
        <w:rPr>
          <w:sz w:val="36"/>
          <w:szCs w:val="36"/>
          <w:rtl/>
        </w:rPr>
        <w:t xml:space="preserve"> بين التقييد وبين بعض ما يرتبط بمرحل</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الاستعمالي</w:t>
      </w:r>
      <w:r w:rsidR="00EC7EDF" w:rsidRPr="00FD211F">
        <w:rPr>
          <w:sz w:val="36"/>
          <w:szCs w:val="36"/>
          <w:rtl/>
        </w:rPr>
        <w:t>ة</w:t>
      </w:r>
      <w:r w:rsidR="00603323" w:rsidRPr="00FD211F">
        <w:rPr>
          <w:sz w:val="36"/>
          <w:szCs w:val="36"/>
          <w:rtl/>
        </w:rPr>
        <w:t xml:space="preserve">، </w:t>
      </w:r>
      <w:r w:rsidRPr="00FD211F">
        <w:rPr>
          <w:sz w:val="36"/>
          <w:szCs w:val="36"/>
          <w:rtl/>
        </w:rPr>
        <w:t xml:space="preserve">وأما اذا دار </w:t>
      </w:r>
      <w:r w:rsidR="001B3112" w:rsidRPr="00FD211F">
        <w:rPr>
          <w:sz w:val="36"/>
          <w:szCs w:val="36"/>
          <w:rtl/>
        </w:rPr>
        <w:t>الأمر</w:t>
      </w:r>
      <w:r w:rsidRPr="00FD211F">
        <w:rPr>
          <w:sz w:val="36"/>
          <w:szCs w:val="36"/>
          <w:rtl/>
        </w:rPr>
        <w:t xml:space="preserve"> بين التخصيص وبين بعض ما يرتبط بمرحل</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فلامرجح لتقديم الحال</w:t>
      </w:r>
      <w:r w:rsidR="00EC7EDF" w:rsidRPr="00FD211F">
        <w:rPr>
          <w:sz w:val="36"/>
          <w:szCs w:val="36"/>
          <w:rtl/>
        </w:rPr>
        <w:t xml:space="preserve">ة </w:t>
      </w:r>
      <w:r w:rsidRPr="00FD211F">
        <w:rPr>
          <w:sz w:val="36"/>
          <w:szCs w:val="36"/>
          <w:rtl/>
        </w:rPr>
        <w:t>التي ترتبط بمرحل</w:t>
      </w:r>
      <w:r w:rsidR="00EC7EDF" w:rsidRPr="00FD211F">
        <w:rPr>
          <w:sz w:val="36"/>
          <w:szCs w:val="36"/>
          <w:rtl/>
        </w:rPr>
        <w:t xml:space="preserve">ة </w:t>
      </w:r>
      <w:r w:rsidRPr="00FD211F">
        <w:rPr>
          <w:sz w:val="36"/>
          <w:szCs w:val="36"/>
          <w:rtl/>
        </w:rPr>
        <w:t>الاراد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على اصال</w:t>
      </w:r>
      <w:r w:rsidR="00EC7EDF" w:rsidRPr="00FD211F">
        <w:rPr>
          <w:sz w:val="36"/>
          <w:szCs w:val="36"/>
          <w:rtl/>
        </w:rPr>
        <w:t xml:space="preserve">ة </w:t>
      </w:r>
      <w:r w:rsidRPr="00FD211F">
        <w:rPr>
          <w:sz w:val="36"/>
          <w:szCs w:val="36"/>
          <w:rtl/>
        </w:rPr>
        <w:t>العموم</w:t>
      </w:r>
      <w:r w:rsidR="00603323" w:rsidRPr="00FD211F">
        <w:rPr>
          <w:sz w:val="36"/>
          <w:szCs w:val="36"/>
          <w:rtl/>
        </w:rPr>
        <w:t xml:space="preserve">، </w:t>
      </w:r>
      <w:r w:rsidRPr="00FD211F">
        <w:rPr>
          <w:sz w:val="36"/>
          <w:szCs w:val="36"/>
          <w:rtl/>
        </w:rPr>
        <w:t>فان التخصيص وان كان يرتبط بمرحل</w:t>
      </w:r>
      <w:r w:rsidR="00EC7EDF" w:rsidRPr="00FD211F">
        <w:rPr>
          <w:sz w:val="36"/>
          <w:szCs w:val="36"/>
          <w:rtl/>
        </w:rPr>
        <w:t xml:space="preserve">ة </w:t>
      </w:r>
      <w:r w:rsidRPr="00FD211F">
        <w:rPr>
          <w:sz w:val="36"/>
          <w:szCs w:val="36"/>
          <w:rtl/>
        </w:rPr>
        <w:t>الاراد</w:t>
      </w:r>
      <w:r w:rsidR="00EC7EDF" w:rsidRPr="00FD211F">
        <w:rPr>
          <w:sz w:val="36"/>
          <w:szCs w:val="36"/>
          <w:rtl/>
        </w:rPr>
        <w:t xml:space="preserve">ة </w:t>
      </w:r>
      <w:r w:rsidRPr="00FD211F">
        <w:rPr>
          <w:sz w:val="36"/>
          <w:szCs w:val="36"/>
          <w:rtl/>
        </w:rPr>
        <w:t>الجدي</w:t>
      </w:r>
      <w:r w:rsidR="00EC7EDF" w:rsidRPr="00FD211F">
        <w:rPr>
          <w:sz w:val="36"/>
          <w:szCs w:val="36"/>
          <w:rtl/>
        </w:rPr>
        <w:t xml:space="preserve">ة </w:t>
      </w:r>
      <w:r w:rsidRPr="00FD211F">
        <w:rPr>
          <w:sz w:val="36"/>
          <w:szCs w:val="36"/>
          <w:rtl/>
        </w:rPr>
        <w:t>ولايستلزم استعمال العام في معنى الخاص ولكن دلال</w:t>
      </w:r>
      <w:r w:rsidR="00EC7EDF" w:rsidRPr="00FD211F">
        <w:rPr>
          <w:sz w:val="36"/>
          <w:szCs w:val="36"/>
          <w:rtl/>
        </w:rPr>
        <w:t xml:space="preserve">ة </w:t>
      </w:r>
      <w:r w:rsidRPr="00FD211F">
        <w:rPr>
          <w:sz w:val="36"/>
          <w:szCs w:val="36"/>
          <w:rtl/>
        </w:rPr>
        <w:t>العام على العموم تكون دلال</w:t>
      </w:r>
      <w:r w:rsidR="00EC7EDF" w:rsidRPr="00FD211F">
        <w:rPr>
          <w:sz w:val="36"/>
          <w:szCs w:val="36"/>
          <w:rtl/>
        </w:rPr>
        <w:t xml:space="preserve">ة </w:t>
      </w:r>
      <w:r w:rsidRPr="00FD211F">
        <w:rPr>
          <w:sz w:val="36"/>
          <w:szCs w:val="36"/>
          <w:rtl/>
        </w:rPr>
        <w:t>وضعي</w:t>
      </w:r>
      <w:r w:rsidR="00EC7EDF" w:rsidRPr="00FD211F">
        <w:rPr>
          <w:sz w:val="36"/>
          <w:szCs w:val="36"/>
          <w:rtl/>
        </w:rPr>
        <w:t>ة</w:t>
      </w:r>
      <w:r w:rsidR="00603323" w:rsidRPr="00FD211F">
        <w:rPr>
          <w:sz w:val="36"/>
          <w:szCs w:val="36"/>
          <w:rtl/>
        </w:rPr>
        <w:t xml:space="preserve">، </w:t>
      </w:r>
      <w:r w:rsidRPr="00FD211F">
        <w:rPr>
          <w:sz w:val="36"/>
          <w:szCs w:val="36"/>
          <w:rtl/>
        </w:rPr>
        <w:t>فلو دار الأمر في قوله تعالى "والمطلقات يتربصن بانفسهن ثلاث</w:t>
      </w:r>
      <w:r w:rsidR="00EC7EDF" w:rsidRPr="00FD211F">
        <w:rPr>
          <w:sz w:val="36"/>
          <w:szCs w:val="36"/>
          <w:rtl/>
        </w:rPr>
        <w:t xml:space="preserve">ة </w:t>
      </w:r>
      <w:r w:rsidRPr="00FD211F">
        <w:rPr>
          <w:sz w:val="36"/>
          <w:szCs w:val="36"/>
          <w:rtl/>
        </w:rPr>
        <w:t>قروء وبعولتهن احق بردهن في ذلك" بين تخصيص العموم في الجمع المحلى باللام في قوله "المطلَّقات" بالمطلَّقات الرجعي</w:t>
      </w:r>
      <w:r w:rsidR="00EC7EDF" w:rsidRPr="00FD211F">
        <w:rPr>
          <w:sz w:val="36"/>
          <w:szCs w:val="36"/>
          <w:rtl/>
        </w:rPr>
        <w:t xml:space="preserve">ة </w:t>
      </w:r>
      <w:r w:rsidRPr="00FD211F">
        <w:rPr>
          <w:sz w:val="36"/>
          <w:szCs w:val="36"/>
          <w:rtl/>
        </w:rPr>
        <w:t>وبين الاستخدام في الضمير في قوله "وبعولتهن" فلاوجه لتقديم اصال</w:t>
      </w:r>
      <w:r w:rsidR="00EC7EDF" w:rsidRPr="00FD211F">
        <w:rPr>
          <w:sz w:val="36"/>
          <w:szCs w:val="36"/>
          <w:rtl/>
        </w:rPr>
        <w:t xml:space="preserve">ة </w:t>
      </w:r>
      <w:r w:rsidRPr="00FD211F">
        <w:rPr>
          <w:sz w:val="36"/>
          <w:szCs w:val="36"/>
          <w:rtl/>
        </w:rPr>
        <w:t>عدم الاستخدام في الضمير على اصال</w:t>
      </w:r>
      <w:r w:rsidR="00EC7EDF" w:rsidRPr="00FD211F">
        <w:rPr>
          <w:sz w:val="36"/>
          <w:szCs w:val="36"/>
          <w:rtl/>
        </w:rPr>
        <w:t xml:space="preserve">ة </w:t>
      </w:r>
      <w:r w:rsidRPr="00FD211F">
        <w:rPr>
          <w:sz w:val="36"/>
          <w:szCs w:val="36"/>
          <w:rtl/>
        </w:rPr>
        <w:t>العموم في المطلَّقات</w:t>
      </w:r>
      <w:r w:rsidR="00603323" w:rsidRPr="00FD211F">
        <w:rPr>
          <w:sz w:val="36"/>
          <w:szCs w:val="36"/>
          <w:rtl/>
        </w:rPr>
        <w:t xml:space="preserve">، </w:t>
      </w:r>
      <w:r w:rsidRPr="00FD211F">
        <w:rPr>
          <w:sz w:val="36"/>
          <w:szCs w:val="36"/>
          <w:rtl/>
        </w:rPr>
        <w:t>هذا ومن جه</w:t>
      </w:r>
      <w:r w:rsidR="00EC7EDF" w:rsidRPr="00FD211F">
        <w:rPr>
          <w:sz w:val="36"/>
          <w:szCs w:val="36"/>
          <w:rtl/>
        </w:rPr>
        <w:t xml:space="preserve">ة </w:t>
      </w:r>
      <w:r w:rsidRPr="00FD211F">
        <w:rPr>
          <w:sz w:val="36"/>
          <w:szCs w:val="36"/>
          <w:rtl/>
        </w:rPr>
        <w:t>اخري ان الصحيح في موارد تعارض الظهور الوضعي والظهور الاطلاقي هو استقرار التعارض بينهما وعدم ترجيح للظهور الوضعي على الظ</w:t>
      </w:r>
      <w:r w:rsidR="006F5243" w:rsidRPr="00FD211F">
        <w:rPr>
          <w:sz w:val="36"/>
          <w:szCs w:val="36"/>
          <w:rtl/>
        </w:rPr>
        <w:t>هور الاطلاقي</w:t>
      </w:r>
      <w:r w:rsidR="00603323" w:rsidRPr="00FD211F">
        <w:rPr>
          <w:sz w:val="36"/>
          <w:szCs w:val="36"/>
          <w:rtl/>
        </w:rPr>
        <w:t xml:space="preserve">، </w:t>
      </w:r>
      <w:r w:rsidR="006F5243" w:rsidRPr="00FD211F">
        <w:rPr>
          <w:sz w:val="36"/>
          <w:szCs w:val="36"/>
          <w:rtl/>
        </w:rPr>
        <w:t>وتفصيله موكول الى محله</w:t>
      </w:r>
      <w:r w:rsidR="00EC7EDF" w:rsidRPr="00FD211F">
        <w:rPr>
          <w:sz w:val="36"/>
          <w:szCs w:val="36"/>
          <w:rtl/>
        </w:rPr>
        <w:t>.</w:t>
      </w:r>
    </w:p>
    <w:p w14:paraId="2295833C" w14:textId="77777777" w:rsidR="00057D31" w:rsidRPr="00FD211F" w:rsidRDefault="00057D31" w:rsidP="009C58C8">
      <w:pPr>
        <w:pStyle w:val="3"/>
        <w:ind w:firstLine="227"/>
        <w:jc w:val="both"/>
        <w:rPr>
          <w:rtl/>
        </w:rPr>
        <w:sectPr w:rsidR="00057D31" w:rsidRPr="00FD211F" w:rsidSect="00D24300">
          <w:headerReference w:type="default" r:id="rId26"/>
          <w:footnotePr>
            <w:numRestart w:val="eachPage"/>
          </w:footnotePr>
          <w:pgSz w:w="10319" w:h="14578" w:code="138"/>
          <w:pgMar w:top="1418" w:right="1701" w:bottom="1418" w:left="1701" w:header="1418" w:footer="964" w:gutter="0"/>
          <w:cols w:space="720"/>
          <w:bidi/>
          <w:rtlGutter/>
          <w:docGrid w:linePitch="360"/>
        </w:sectPr>
      </w:pPr>
      <w:bookmarkStart w:id="348" w:name="_Toc156401529"/>
      <w:bookmarkStart w:id="349" w:name="_Toc192092912"/>
    </w:p>
    <w:p w14:paraId="5CD8553C" w14:textId="77777777" w:rsidR="000C5BBA" w:rsidRPr="00FD211F" w:rsidRDefault="00052BF2" w:rsidP="009C58C8">
      <w:pPr>
        <w:pStyle w:val="3"/>
        <w:ind w:firstLine="227"/>
        <w:jc w:val="both"/>
        <w:rPr>
          <w:rtl/>
        </w:rPr>
      </w:pPr>
      <w:bookmarkStart w:id="350" w:name="_Toc223890391"/>
      <w:r w:rsidRPr="00FD211F">
        <w:rPr>
          <w:rtl/>
        </w:rPr>
        <w:t>الحقيق</w:t>
      </w:r>
      <w:r w:rsidR="00EC7EDF" w:rsidRPr="00FD211F">
        <w:rPr>
          <w:rtl/>
        </w:rPr>
        <w:t xml:space="preserve">ة </w:t>
      </w:r>
      <w:r w:rsidRPr="00FD211F">
        <w:rPr>
          <w:rtl/>
        </w:rPr>
        <w:t>الشرعي</w:t>
      </w:r>
      <w:r w:rsidR="00EC7EDF" w:rsidRPr="00FD211F">
        <w:rPr>
          <w:rtl/>
        </w:rPr>
        <w:t>ة</w:t>
      </w:r>
      <w:bookmarkEnd w:id="350"/>
      <w:r w:rsidR="00EC7EDF" w:rsidRPr="00FD211F">
        <w:rPr>
          <w:rtl/>
        </w:rPr>
        <w:t xml:space="preserve"> </w:t>
      </w:r>
      <w:bookmarkEnd w:id="348"/>
      <w:bookmarkEnd w:id="349"/>
    </w:p>
    <w:p w14:paraId="724AC0BA" w14:textId="77777777" w:rsidR="00052BF2" w:rsidRPr="00FD211F" w:rsidRDefault="00052BF2" w:rsidP="007D43A0">
      <w:pPr>
        <w:ind w:left="0" w:firstLine="227"/>
        <w:jc w:val="both"/>
        <w:rPr>
          <w:sz w:val="36"/>
          <w:szCs w:val="36"/>
          <w:rtl/>
        </w:rPr>
      </w:pPr>
      <w:r w:rsidRPr="00FD211F">
        <w:rPr>
          <w:sz w:val="36"/>
          <w:szCs w:val="36"/>
          <w:rtl/>
        </w:rPr>
        <w:t>انه قد ورد في القرآن الكريم والروايات عد</w:t>
      </w:r>
      <w:r w:rsidR="00EC7EDF" w:rsidRPr="00FD211F">
        <w:rPr>
          <w:sz w:val="36"/>
          <w:szCs w:val="36"/>
          <w:rtl/>
        </w:rPr>
        <w:t xml:space="preserve">ة </w:t>
      </w:r>
      <w:r w:rsidRPr="00FD211F">
        <w:rPr>
          <w:sz w:val="36"/>
          <w:szCs w:val="36"/>
          <w:rtl/>
        </w:rPr>
        <w:t>الفاظ استعملت في معاني شرعي</w:t>
      </w:r>
      <w:r w:rsidR="00EC7EDF" w:rsidRPr="00FD211F">
        <w:rPr>
          <w:sz w:val="36"/>
          <w:szCs w:val="36"/>
          <w:rtl/>
        </w:rPr>
        <w:t>ة</w:t>
      </w:r>
      <w:r w:rsidR="00603323" w:rsidRPr="00FD211F">
        <w:rPr>
          <w:sz w:val="36"/>
          <w:szCs w:val="36"/>
          <w:rtl/>
        </w:rPr>
        <w:t xml:space="preserve">، </w:t>
      </w:r>
      <w:r w:rsidRPr="00FD211F">
        <w:rPr>
          <w:sz w:val="36"/>
          <w:szCs w:val="36"/>
          <w:rtl/>
        </w:rPr>
        <w:t>كلفظ</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حيث ان معناها في اللغ</w:t>
      </w:r>
      <w:r w:rsidR="00EC7EDF" w:rsidRPr="00FD211F">
        <w:rPr>
          <w:sz w:val="36"/>
          <w:szCs w:val="36"/>
          <w:rtl/>
        </w:rPr>
        <w:t xml:space="preserve">ة </w:t>
      </w:r>
      <w:r w:rsidRPr="00FD211F">
        <w:rPr>
          <w:sz w:val="36"/>
          <w:szCs w:val="36"/>
          <w:rtl/>
        </w:rPr>
        <w:t>الميل والعطف</w:t>
      </w:r>
      <w:r w:rsidR="00603323" w:rsidRPr="00FD211F">
        <w:rPr>
          <w:sz w:val="36"/>
          <w:szCs w:val="36"/>
          <w:rtl/>
        </w:rPr>
        <w:t xml:space="preserve">، </w:t>
      </w:r>
      <w:r w:rsidRPr="00FD211F">
        <w:rPr>
          <w:sz w:val="36"/>
          <w:szCs w:val="36"/>
          <w:rtl/>
        </w:rPr>
        <w:t>فالعطف من الله سبحانه هو الرحم</w:t>
      </w:r>
      <w:r w:rsidR="00EC7EDF" w:rsidRPr="00FD211F">
        <w:rPr>
          <w:sz w:val="36"/>
          <w:szCs w:val="36"/>
          <w:rtl/>
        </w:rPr>
        <w:t xml:space="preserve">ة </w:t>
      </w:r>
      <w:r w:rsidRPr="00FD211F">
        <w:rPr>
          <w:sz w:val="36"/>
          <w:szCs w:val="36"/>
          <w:rtl/>
        </w:rPr>
        <w:t>والمغفر</w:t>
      </w:r>
      <w:r w:rsidR="00EC7EDF" w:rsidRPr="00FD211F">
        <w:rPr>
          <w:sz w:val="36"/>
          <w:szCs w:val="36"/>
          <w:rtl/>
        </w:rPr>
        <w:t xml:space="preserve">ة </w:t>
      </w:r>
      <w:r w:rsidRPr="00FD211F">
        <w:rPr>
          <w:sz w:val="36"/>
          <w:szCs w:val="36"/>
          <w:rtl/>
        </w:rPr>
        <w:t>كما في قوله تعالى "هو الذي يصلي عليكم"</w:t>
      </w:r>
      <w:r w:rsidR="009C58C8" w:rsidRPr="00FD211F">
        <w:rPr>
          <w:rStyle w:val="a6"/>
          <w:sz w:val="36"/>
          <w:szCs w:val="36"/>
          <w:rtl/>
        </w:rPr>
        <w:t>(</w:t>
      </w:r>
      <w:r w:rsidR="009C58C8" w:rsidRPr="00FD211F">
        <w:rPr>
          <w:rStyle w:val="a6"/>
          <w:sz w:val="36"/>
          <w:szCs w:val="36"/>
          <w:rtl/>
        </w:rPr>
        <w:footnoteReference w:id="323"/>
      </w:r>
      <w:r w:rsidR="009C58C8" w:rsidRPr="00FD211F">
        <w:rPr>
          <w:rStyle w:val="a6"/>
          <w:sz w:val="36"/>
          <w:szCs w:val="36"/>
          <w:rtl/>
        </w:rPr>
        <w:t>)</w:t>
      </w:r>
      <w:r w:rsidR="00603323" w:rsidRPr="00FD211F">
        <w:rPr>
          <w:sz w:val="36"/>
          <w:szCs w:val="36"/>
          <w:rtl/>
        </w:rPr>
        <w:t xml:space="preserve">، </w:t>
      </w:r>
      <w:r w:rsidRPr="00FD211F">
        <w:rPr>
          <w:sz w:val="36"/>
          <w:szCs w:val="36"/>
          <w:rtl/>
        </w:rPr>
        <w:t>والعطف من العباد هو طلب الرحم</w:t>
      </w:r>
      <w:r w:rsidR="00EC7EDF" w:rsidRPr="00FD211F">
        <w:rPr>
          <w:sz w:val="36"/>
          <w:szCs w:val="36"/>
          <w:rtl/>
        </w:rPr>
        <w:t xml:space="preserve">ة </w:t>
      </w:r>
      <w:r w:rsidRPr="00FD211F">
        <w:rPr>
          <w:sz w:val="36"/>
          <w:szCs w:val="36"/>
          <w:rtl/>
        </w:rPr>
        <w:t>والمغفر</w:t>
      </w:r>
      <w:r w:rsidR="00EC7EDF" w:rsidRPr="00FD211F">
        <w:rPr>
          <w:sz w:val="36"/>
          <w:szCs w:val="36"/>
          <w:rtl/>
        </w:rPr>
        <w:t xml:space="preserve">ة </w:t>
      </w:r>
      <w:r w:rsidRPr="00FD211F">
        <w:rPr>
          <w:sz w:val="36"/>
          <w:szCs w:val="36"/>
          <w:rtl/>
        </w:rPr>
        <w:t>كقوله تعالى "ياايها الذين آمنوا صلوا عليه وسلموا تسليما</w:t>
      </w:r>
      <w:r w:rsidR="009C58C8" w:rsidRPr="00FD211F">
        <w:rPr>
          <w:rStyle w:val="a6"/>
          <w:sz w:val="36"/>
          <w:szCs w:val="36"/>
          <w:rtl/>
        </w:rPr>
        <w:t>(</w:t>
      </w:r>
      <w:r w:rsidR="009C58C8" w:rsidRPr="00FD211F">
        <w:rPr>
          <w:rStyle w:val="a6"/>
          <w:sz w:val="36"/>
          <w:szCs w:val="36"/>
          <w:rtl/>
        </w:rPr>
        <w:footnoteReference w:id="324"/>
      </w:r>
      <w:r w:rsidR="009C58C8" w:rsidRPr="00FD211F">
        <w:rPr>
          <w:rStyle w:val="a6"/>
          <w:sz w:val="36"/>
          <w:szCs w:val="36"/>
          <w:rtl/>
        </w:rPr>
        <w:t>)</w:t>
      </w:r>
      <w:r w:rsidRPr="00FD211F">
        <w:rPr>
          <w:sz w:val="36"/>
          <w:szCs w:val="36"/>
          <w:rtl/>
        </w:rPr>
        <w:t>" وكذا قوله تعالى "خذ من اموالهم صدق</w:t>
      </w:r>
      <w:r w:rsidR="00EC7EDF" w:rsidRPr="00FD211F">
        <w:rPr>
          <w:sz w:val="36"/>
          <w:szCs w:val="36"/>
          <w:rtl/>
        </w:rPr>
        <w:t xml:space="preserve">ة </w:t>
      </w:r>
      <w:r w:rsidRPr="00FD211F">
        <w:rPr>
          <w:sz w:val="36"/>
          <w:szCs w:val="36"/>
          <w:rtl/>
        </w:rPr>
        <w:t>تطهرهم وتزكيهم بها وصل عليهم"</w:t>
      </w:r>
      <w:r w:rsidR="009C58C8" w:rsidRPr="00FD211F">
        <w:rPr>
          <w:rStyle w:val="a6"/>
          <w:sz w:val="36"/>
          <w:szCs w:val="36"/>
          <w:rtl/>
        </w:rPr>
        <w:t>(</w:t>
      </w:r>
      <w:r w:rsidR="009C58C8" w:rsidRPr="00FD211F">
        <w:rPr>
          <w:rStyle w:val="a6"/>
          <w:sz w:val="36"/>
          <w:szCs w:val="36"/>
          <w:rtl/>
        </w:rPr>
        <w:footnoteReference w:id="325"/>
      </w:r>
      <w:r w:rsidR="009C58C8" w:rsidRPr="00FD211F">
        <w:rPr>
          <w:rStyle w:val="a6"/>
          <w:sz w:val="36"/>
          <w:szCs w:val="36"/>
          <w:rtl/>
        </w:rPr>
        <w:t>)</w:t>
      </w:r>
      <w:r w:rsidR="00603323" w:rsidRPr="00FD211F">
        <w:rPr>
          <w:sz w:val="36"/>
          <w:szCs w:val="36"/>
          <w:rtl/>
        </w:rPr>
        <w:t xml:space="preserve">، </w:t>
      </w:r>
      <w:r w:rsidRPr="00FD211F">
        <w:rPr>
          <w:sz w:val="36"/>
          <w:szCs w:val="36"/>
          <w:rtl/>
        </w:rPr>
        <w:t>ولكن استعملت لفظ</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 xml:space="preserve">في المعنى الشرعي </w:t>
      </w:r>
      <w:r w:rsidR="00A66B7B" w:rsidRPr="00FD211F">
        <w:rPr>
          <w:sz w:val="36"/>
          <w:szCs w:val="36"/>
          <w:rtl/>
        </w:rPr>
        <w:t>الذي يعبرعنه في الفارسي</w:t>
      </w:r>
      <w:r w:rsidR="00EC7EDF" w:rsidRPr="00FD211F">
        <w:rPr>
          <w:sz w:val="36"/>
          <w:szCs w:val="36"/>
          <w:rtl/>
        </w:rPr>
        <w:t xml:space="preserve">ة </w:t>
      </w:r>
      <w:r w:rsidR="00A66B7B" w:rsidRPr="00FD211F">
        <w:rPr>
          <w:sz w:val="36"/>
          <w:szCs w:val="36"/>
          <w:rtl/>
        </w:rPr>
        <w:t>ب</w:t>
      </w:r>
      <w:r w:rsidR="007D43A0" w:rsidRPr="00FD211F">
        <w:rPr>
          <w:sz w:val="36"/>
          <w:szCs w:val="36"/>
          <w:rtl/>
        </w:rPr>
        <w:t xml:space="preserve">ـ </w:t>
      </w:r>
      <w:r w:rsidRPr="00FD211F">
        <w:rPr>
          <w:sz w:val="36"/>
          <w:szCs w:val="36"/>
          <w:rtl/>
        </w:rPr>
        <w:t>(نماز)</w:t>
      </w:r>
      <w:r w:rsidR="00603323" w:rsidRPr="00FD211F">
        <w:rPr>
          <w:sz w:val="36"/>
          <w:szCs w:val="36"/>
          <w:rtl/>
        </w:rPr>
        <w:t xml:space="preserve">، </w:t>
      </w:r>
      <w:r w:rsidRPr="00FD211F">
        <w:rPr>
          <w:sz w:val="36"/>
          <w:szCs w:val="36"/>
          <w:rtl/>
        </w:rPr>
        <w:t>ووقع الكلام في انها هل صارت حقيق</w:t>
      </w:r>
      <w:r w:rsidR="00EC7EDF" w:rsidRPr="00FD211F">
        <w:rPr>
          <w:sz w:val="36"/>
          <w:szCs w:val="36"/>
          <w:rtl/>
        </w:rPr>
        <w:t xml:space="preserve">ة </w:t>
      </w:r>
      <w:r w:rsidRPr="00FD211F">
        <w:rPr>
          <w:sz w:val="36"/>
          <w:szCs w:val="36"/>
          <w:rtl/>
        </w:rPr>
        <w:t>شرعي</w:t>
      </w:r>
      <w:r w:rsidR="00EC7EDF" w:rsidRPr="00FD211F">
        <w:rPr>
          <w:sz w:val="36"/>
          <w:szCs w:val="36"/>
          <w:rtl/>
        </w:rPr>
        <w:t xml:space="preserve">ة </w:t>
      </w:r>
      <w:r w:rsidRPr="00FD211F">
        <w:rPr>
          <w:sz w:val="36"/>
          <w:szCs w:val="36"/>
          <w:rtl/>
        </w:rPr>
        <w:t>في هذا المعنى بان نقلت في الاسلام اليه بحيث لو استعملت في الكتاب والسن</w:t>
      </w:r>
      <w:r w:rsidR="00EC7EDF" w:rsidRPr="00FD211F">
        <w:rPr>
          <w:sz w:val="36"/>
          <w:szCs w:val="36"/>
          <w:rtl/>
        </w:rPr>
        <w:t xml:space="preserve">ة </w:t>
      </w:r>
      <w:r w:rsidRPr="00FD211F">
        <w:rPr>
          <w:sz w:val="36"/>
          <w:szCs w:val="36"/>
          <w:rtl/>
        </w:rPr>
        <w:t>بدون قرين</w:t>
      </w:r>
      <w:r w:rsidR="00EC7EDF" w:rsidRPr="00FD211F">
        <w:rPr>
          <w:sz w:val="36"/>
          <w:szCs w:val="36"/>
          <w:rtl/>
        </w:rPr>
        <w:t xml:space="preserve">ة </w:t>
      </w:r>
      <w:r w:rsidRPr="00FD211F">
        <w:rPr>
          <w:sz w:val="36"/>
          <w:szCs w:val="36"/>
          <w:rtl/>
        </w:rPr>
        <w:t>–كما في قوله تعالى "قد افلح من تزكى وذكر اسم ربه فصلى"- لكانت ظاهر</w:t>
      </w:r>
      <w:r w:rsidR="00EC7EDF" w:rsidRPr="00FD211F">
        <w:rPr>
          <w:sz w:val="36"/>
          <w:szCs w:val="36"/>
          <w:rtl/>
        </w:rPr>
        <w:t xml:space="preserve">ة </w:t>
      </w:r>
      <w:r w:rsidRPr="00FD211F">
        <w:rPr>
          <w:sz w:val="36"/>
          <w:szCs w:val="36"/>
          <w:rtl/>
        </w:rPr>
        <w:t>فيه</w:t>
      </w:r>
      <w:r w:rsidR="00603323" w:rsidRPr="00FD211F">
        <w:rPr>
          <w:sz w:val="36"/>
          <w:szCs w:val="36"/>
          <w:rtl/>
        </w:rPr>
        <w:t xml:space="preserve">، </w:t>
      </w:r>
      <w:r w:rsidRPr="00FD211F">
        <w:rPr>
          <w:sz w:val="36"/>
          <w:szCs w:val="36"/>
          <w:rtl/>
        </w:rPr>
        <w:t>فيصح الاستدلال به على استحباب الصلا</w:t>
      </w:r>
      <w:r w:rsidR="00EC7EDF" w:rsidRPr="00FD211F">
        <w:rPr>
          <w:sz w:val="36"/>
          <w:szCs w:val="36"/>
          <w:rtl/>
        </w:rPr>
        <w:t xml:space="preserve">ة </w:t>
      </w:r>
      <w:r w:rsidRPr="00FD211F">
        <w:rPr>
          <w:sz w:val="36"/>
          <w:szCs w:val="36"/>
          <w:rtl/>
        </w:rPr>
        <w:t>بمعناها المعهود الشرعي مطلقا</w:t>
      </w:r>
      <w:r w:rsidR="00603323" w:rsidRPr="00FD211F">
        <w:rPr>
          <w:sz w:val="36"/>
          <w:szCs w:val="36"/>
          <w:rtl/>
        </w:rPr>
        <w:t xml:space="preserve">، </w:t>
      </w:r>
      <w:r w:rsidRPr="00FD211F">
        <w:rPr>
          <w:sz w:val="36"/>
          <w:szCs w:val="36"/>
          <w:rtl/>
        </w:rPr>
        <w:t>او انه يحكم ببقاء ظهورها في معناها اللغوي او يحكم بإجمالها.</w:t>
      </w:r>
    </w:p>
    <w:p w14:paraId="38D088EC" w14:textId="77777777" w:rsidR="00052BF2" w:rsidRPr="00FD211F" w:rsidRDefault="00052BF2" w:rsidP="009C58C8">
      <w:pPr>
        <w:ind w:left="0" w:firstLine="227"/>
        <w:jc w:val="both"/>
        <w:rPr>
          <w:sz w:val="36"/>
          <w:szCs w:val="36"/>
          <w:rtl/>
        </w:rPr>
      </w:pPr>
      <w:r w:rsidRPr="00FD211F">
        <w:rPr>
          <w:sz w:val="36"/>
          <w:szCs w:val="36"/>
          <w:rtl/>
        </w:rPr>
        <w:t>والكلام يقع تار</w:t>
      </w:r>
      <w:r w:rsidR="00EC7EDF" w:rsidRPr="00FD211F">
        <w:rPr>
          <w:sz w:val="36"/>
          <w:szCs w:val="36"/>
          <w:rtl/>
        </w:rPr>
        <w:t xml:space="preserve">ة </w:t>
      </w:r>
      <w:r w:rsidRPr="00FD211F">
        <w:rPr>
          <w:sz w:val="36"/>
          <w:szCs w:val="36"/>
          <w:rtl/>
        </w:rPr>
        <w:t>في ثبوت الحقيق</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وأخرى في الثمر</w:t>
      </w:r>
      <w:r w:rsidR="00EC7EDF" w:rsidRPr="00FD211F">
        <w:rPr>
          <w:sz w:val="36"/>
          <w:szCs w:val="36"/>
          <w:rtl/>
        </w:rPr>
        <w:t xml:space="preserve">ة </w:t>
      </w:r>
      <w:r w:rsidRPr="00FD211F">
        <w:rPr>
          <w:sz w:val="36"/>
          <w:szCs w:val="36"/>
          <w:rtl/>
        </w:rPr>
        <w:t>العملي</w:t>
      </w:r>
      <w:r w:rsidR="00EC7EDF" w:rsidRPr="00FD211F">
        <w:rPr>
          <w:sz w:val="36"/>
          <w:szCs w:val="36"/>
          <w:rtl/>
        </w:rPr>
        <w:t xml:space="preserve">ة </w:t>
      </w:r>
      <w:r w:rsidRPr="00FD211F">
        <w:rPr>
          <w:sz w:val="36"/>
          <w:szCs w:val="36"/>
          <w:rtl/>
        </w:rPr>
        <w:t>المترتب</w:t>
      </w:r>
      <w:r w:rsidR="00EC7EDF" w:rsidRPr="00FD211F">
        <w:rPr>
          <w:sz w:val="36"/>
          <w:szCs w:val="36"/>
          <w:rtl/>
        </w:rPr>
        <w:t xml:space="preserve">ة </w:t>
      </w:r>
      <w:r w:rsidRPr="00FD211F">
        <w:rPr>
          <w:sz w:val="36"/>
          <w:szCs w:val="36"/>
          <w:rtl/>
        </w:rPr>
        <w:t>عليها.</w:t>
      </w:r>
    </w:p>
    <w:p w14:paraId="33218832" w14:textId="77777777" w:rsidR="00052BF2" w:rsidRPr="00FD211F" w:rsidRDefault="00052BF2" w:rsidP="009C58C8">
      <w:pPr>
        <w:pStyle w:val="3"/>
        <w:ind w:firstLine="227"/>
        <w:jc w:val="both"/>
        <w:rPr>
          <w:rtl/>
        </w:rPr>
      </w:pPr>
      <w:bookmarkStart w:id="351" w:name="_Toc156401530"/>
      <w:bookmarkStart w:id="352" w:name="_Toc192092913"/>
      <w:bookmarkStart w:id="353" w:name="_Toc223890392"/>
      <w:r w:rsidRPr="00FD211F">
        <w:rPr>
          <w:rtl/>
        </w:rPr>
        <w:t>1- ثبوت الحقيق</w:t>
      </w:r>
      <w:r w:rsidR="00EC7EDF" w:rsidRPr="00FD211F">
        <w:rPr>
          <w:rtl/>
        </w:rPr>
        <w:t xml:space="preserve">ة </w:t>
      </w:r>
      <w:r w:rsidRPr="00FD211F">
        <w:rPr>
          <w:rtl/>
        </w:rPr>
        <w:t>الشرعي</w:t>
      </w:r>
      <w:r w:rsidR="00EC7EDF" w:rsidRPr="00FD211F">
        <w:rPr>
          <w:rtl/>
        </w:rPr>
        <w:t>ة</w:t>
      </w:r>
      <w:bookmarkEnd w:id="353"/>
      <w:r w:rsidR="00EC7EDF" w:rsidRPr="00FD211F">
        <w:rPr>
          <w:rtl/>
        </w:rPr>
        <w:t xml:space="preserve"> </w:t>
      </w:r>
      <w:bookmarkEnd w:id="351"/>
      <w:bookmarkEnd w:id="352"/>
    </w:p>
    <w:p w14:paraId="2872C46D" w14:textId="77777777" w:rsidR="00052BF2" w:rsidRPr="00FD211F" w:rsidRDefault="00052BF2" w:rsidP="009C58C8">
      <w:pPr>
        <w:ind w:left="0" w:firstLine="227"/>
        <w:jc w:val="both"/>
        <w:rPr>
          <w:sz w:val="36"/>
          <w:szCs w:val="36"/>
          <w:rtl/>
        </w:rPr>
      </w:pPr>
      <w:r w:rsidRPr="00FD211F">
        <w:rPr>
          <w:sz w:val="36"/>
          <w:szCs w:val="36"/>
          <w:rtl/>
        </w:rPr>
        <w:t>يتوقف ثبوت الحقيق</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–بمعنى صيرور</w:t>
      </w:r>
      <w:r w:rsidR="00EC7EDF" w:rsidRPr="00FD211F">
        <w:rPr>
          <w:sz w:val="36"/>
          <w:szCs w:val="36"/>
          <w:rtl/>
        </w:rPr>
        <w:t xml:space="preserve">ة </w:t>
      </w:r>
      <w:r w:rsidRPr="00FD211F">
        <w:rPr>
          <w:sz w:val="36"/>
          <w:szCs w:val="36"/>
          <w:rtl/>
        </w:rPr>
        <w:t>الالفاظ المستعمل</w:t>
      </w:r>
      <w:r w:rsidR="00EC7EDF" w:rsidRPr="00FD211F">
        <w:rPr>
          <w:sz w:val="36"/>
          <w:szCs w:val="36"/>
          <w:rtl/>
        </w:rPr>
        <w:t xml:space="preserve">ة </w:t>
      </w:r>
      <w:r w:rsidRPr="00FD211F">
        <w:rPr>
          <w:sz w:val="36"/>
          <w:szCs w:val="36"/>
          <w:rtl/>
        </w:rPr>
        <w:t>في معانيها الشرعي</w:t>
      </w:r>
      <w:r w:rsidR="00EC7EDF" w:rsidRPr="00FD211F">
        <w:rPr>
          <w:sz w:val="36"/>
          <w:szCs w:val="36"/>
          <w:rtl/>
        </w:rPr>
        <w:t xml:space="preserve">ة </w:t>
      </w:r>
      <w:r w:rsidRPr="00FD211F">
        <w:rPr>
          <w:sz w:val="36"/>
          <w:szCs w:val="36"/>
          <w:rtl/>
        </w:rPr>
        <w:t>في الكتاب والسن</w:t>
      </w:r>
      <w:r w:rsidR="00EC7EDF" w:rsidRPr="00FD211F">
        <w:rPr>
          <w:sz w:val="36"/>
          <w:szCs w:val="36"/>
          <w:rtl/>
        </w:rPr>
        <w:t xml:space="preserve">ة </w:t>
      </w:r>
      <w:r w:rsidRPr="00FD211F">
        <w:rPr>
          <w:sz w:val="36"/>
          <w:szCs w:val="36"/>
          <w:rtl/>
        </w:rPr>
        <w:t>حقائق في تلك المعاني- على ثبوت وضع تعييني او تعيني من قبل الشارع</w:t>
      </w:r>
      <w:r w:rsidR="00603323" w:rsidRPr="00FD211F">
        <w:rPr>
          <w:sz w:val="36"/>
          <w:szCs w:val="36"/>
          <w:rtl/>
        </w:rPr>
        <w:t xml:space="preserve">، </w:t>
      </w:r>
      <w:r w:rsidRPr="00FD211F">
        <w:rPr>
          <w:sz w:val="36"/>
          <w:szCs w:val="36"/>
          <w:rtl/>
        </w:rPr>
        <w:t>وقد مر ان الوضع التعييني قد يكون بتصريح من قبل الواضع كقول الأب "سميت ولدي عليا" وقد يكون باستعماله كقوله "جئني بولدي علي" قاصدا به تحقق الوضع.</w:t>
      </w:r>
    </w:p>
    <w:p w14:paraId="55E65067" w14:textId="77777777" w:rsidR="00052BF2" w:rsidRPr="00FD211F" w:rsidRDefault="00052BF2" w:rsidP="009C58C8">
      <w:pPr>
        <w:ind w:left="0" w:firstLine="227"/>
        <w:jc w:val="both"/>
        <w:rPr>
          <w:sz w:val="36"/>
          <w:szCs w:val="36"/>
          <w:rtl/>
        </w:rPr>
      </w:pPr>
      <w:r w:rsidRPr="00FD211F">
        <w:rPr>
          <w:sz w:val="36"/>
          <w:szCs w:val="36"/>
          <w:rtl/>
        </w:rPr>
        <w:t>اما الوضع التعييني التصريحي من الشارع فهو غير محتمل</w:t>
      </w:r>
      <w:r w:rsidR="00603323" w:rsidRPr="00FD211F">
        <w:rPr>
          <w:sz w:val="36"/>
          <w:szCs w:val="36"/>
          <w:rtl/>
        </w:rPr>
        <w:t xml:space="preserve">، </w:t>
      </w:r>
      <w:r w:rsidRPr="00FD211F">
        <w:rPr>
          <w:sz w:val="36"/>
          <w:szCs w:val="36"/>
          <w:rtl/>
        </w:rPr>
        <w:t>لعدم اثر منه في التاريخ</w:t>
      </w:r>
      <w:r w:rsidR="00603323" w:rsidRPr="00FD211F">
        <w:rPr>
          <w:sz w:val="36"/>
          <w:szCs w:val="36"/>
          <w:rtl/>
        </w:rPr>
        <w:t xml:space="preserve">، </w:t>
      </w:r>
      <w:r w:rsidRPr="00FD211F">
        <w:rPr>
          <w:sz w:val="36"/>
          <w:szCs w:val="36"/>
          <w:rtl/>
        </w:rPr>
        <w:t>وهذا يكشف عن عدم تحققه</w:t>
      </w:r>
      <w:r w:rsidR="00603323" w:rsidRPr="00FD211F">
        <w:rPr>
          <w:sz w:val="36"/>
          <w:szCs w:val="36"/>
          <w:rtl/>
        </w:rPr>
        <w:t xml:space="preserve">، </w:t>
      </w:r>
      <w:r w:rsidRPr="00FD211F">
        <w:rPr>
          <w:sz w:val="36"/>
          <w:szCs w:val="36"/>
          <w:rtl/>
        </w:rPr>
        <w:t xml:space="preserve">اذ لو صدر </w:t>
      </w:r>
      <w:r w:rsidR="008D7B3D" w:rsidRPr="00FD211F">
        <w:rPr>
          <w:sz w:val="36"/>
          <w:szCs w:val="36"/>
          <w:rtl/>
        </w:rPr>
        <w:t xml:space="preserve">شيء </w:t>
      </w:r>
      <w:r w:rsidRPr="00FD211F">
        <w:rPr>
          <w:sz w:val="36"/>
          <w:szCs w:val="36"/>
          <w:rtl/>
        </w:rPr>
        <w:t xml:space="preserve">من هذا القبيل عن النبي </w:t>
      </w:r>
      <w:r w:rsidR="007A4A0D" w:rsidRPr="00FD211F">
        <w:rPr>
          <w:sz w:val="36"/>
          <w:szCs w:val="36"/>
          <w:rtl/>
        </w:rPr>
        <w:t>(صلى‌الله‌عليه‌وآله)</w:t>
      </w:r>
      <w:r w:rsidRPr="00FD211F">
        <w:rPr>
          <w:sz w:val="36"/>
          <w:szCs w:val="36"/>
          <w:rtl/>
        </w:rPr>
        <w:t xml:space="preserve"> لكان ينبغي ان يكون بمرآى ومسمع من الناس كي يكون له فائد</w:t>
      </w:r>
      <w:r w:rsidR="00EC7EDF" w:rsidRPr="00FD211F">
        <w:rPr>
          <w:sz w:val="36"/>
          <w:szCs w:val="36"/>
          <w:rtl/>
        </w:rPr>
        <w:t xml:space="preserve">ة </w:t>
      </w:r>
      <w:r w:rsidRPr="00FD211F">
        <w:rPr>
          <w:sz w:val="36"/>
          <w:szCs w:val="36"/>
          <w:rtl/>
        </w:rPr>
        <w:t>عرفا ولو كان كذلك لكان ينتشر أمره</w:t>
      </w:r>
      <w:r w:rsidR="00603323" w:rsidRPr="00FD211F">
        <w:rPr>
          <w:sz w:val="36"/>
          <w:szCs w:val="36"/>
          <w:rtl/>
        </w:rPr>
        <w:t xml:space="preserve">، </w:t>
      </w:r>
      <w:r w:rsidRPr="00FD211F">
        <w:rPr>
          <w:sz w:val="36"/>
          <w:szCs w:val="36"/>
          <w:rtl/>
        </w:rPr>
        <w:t>لعدم كونه مثل قضي</w:t>
      </w:r>
      <w:r w:rsidR="00EC7EDF" w:rsidRPr="00FD211F">
        <w:rPr>
          <w:sz w:val="36"/>
          <w:szCs w:val="36"/>
          <w:rtl/>
        </w:rPr>
        <w:t xml:space="preserve">ة </w:t>
      </w:r>
      <w:r w:rsidR="001F37C9" w:rsidRPr="00FD211F">
        <w:rPr>
          <w:sz w:val="36"/>
          <w:szCs w:val="36"/>
          <w:rtl/>
        </w:rPr>
        <w:t>نصوص الامام</w:t>
      </w:r>
      <w:r w:rsidR="00EC7EDF" w:rsidRPr="00FD211F">
        <w:rPr>
          <w:sz w:val="36"/>
          <w:szCs w:val="36"/>
          <w:rtl/>
        </w:rPr>
        <w:t xml:space="preserve">ة </w:t>
      </w:r>
      <w:r w:rsidRPr="00FD211F">
        <w:rPr>
          <w:sz w:val="36"/>
          <w:szCs w:val="36"/>
          <w:rtl/>
        </w:rPr>
        <w:t>مما تكون الدواعي على إخفائها.</w:t>
      </w:r>
    </w:p>
    <w:p w14:paraId="7FA77234" w14:textId="77777777" w:rsidR="00052BF2" w:rsidRPr="00FD211F" w:rsidRDefault="00052BF2" w:rsidP="009C58C8">
      <w:pPr>
        <w:ind w:left="0" w:firstLine="227"/>
        <w:jc w:val="both"/>
        <w:rPr>
          <w:sz w:val="36"/>
          <w:szCs w:val="36"/>
          <w:rtl/>
        </w:rPr>
      </w:pPr>
      <w:r w:rsidRPr="00FD211F">
        <w:rPr>
          <w:sz w:val="36"/>
          <w:szCs w:val="36"/>
          <w:rtl/>
        </w:rPr>
        <w:t>فيبقى احتمال الوضع التعييني الاستعمالي او الوضع التعيني النا</w:t>
      </w:r>
      <w:r w:rsidR="00251CB6" w:rsidRPr="00FD211F">
        <w:rPr>
          <w:sz w:val="36"/>
          <w:szCs w:val="36"/>
          <w:rtl/>
        </w:rPr>
        <w:t xml:space="preserve">شيء </w:t>
      </w:r>
      <w:r w:rsidRPr="00FD211F">
        <w:rPr>
          <w:sz w:val="36"/>
          <w:szCs w:val="36"/>
          <w:rtl/>
        </w:rPr>
        <w:t>من كثر</w:t>
      </w:r>
      <w:r w:rsidR="00EC7EDF" w:rsidRPr="00FD211F">
        <w:rPr>
          <w:sz w:val="36"/>
          <w:szCs w:val="36"/>
          <w:rtl/>
        </w:rPr>
        <w:t xml:space="preserve">ة </w:t>
      </w:r>
      <w:r w:rsidRPr="00FD211F">
        <w:rPr>
          <w:sz w:val="36"/>
          <w:szCs w:val="36"/>
          <w:rtl/>
        </w:rPr>
        <w:t>الاستعمال.</w:t>
      </w:r>
    </w:p>
    <w:p w14:paraId="55D53F95" w14:textId="77777777" w:rsidR="00052BF2" w:rsidRPr="00FD211F" w:rsidRDefault="00052BF2" w:rsidP="009C58C8">
      <w:pPr>
        <w:ind w:left="0" w:firstLine="227"/>
        <w:jc w:val="both"/>
        <w:rPr>
          <w:sz w:val="36"/>
          <w:szCs w:val="36"/>
          <w:rtl/>
        </w:rPr>
      </w:pPr>
      <w:r w:rsidRPr="00FD211F">
        <w:rPr>
          <w:sz w:val="36"/>
          <w:szCs w:val="36"/>
          <w:rtl/>
        </w:rPr>
        <w:t>أما الوضع التعييني الاستعمالي فقد ذكر صاحب الكفاي</w:t>
      </w:r>
      <w:r w:rsidR="00EC7EDF" w:rsidRPr="00FD211F">
        <w:rPr>
          <w:sz w:val="36"/>
          <w:szCs w:val="36"/>
          <w:rtl/>
        </w:rPr>
        <w:t xml:space="preserve">ة </w:t>
      </w:r>
      <w:r w:rsidR="00913070" w:rsidRPr="00FD211F">
        <w:rPr>
          <w:sz w:val="36"/>
          <w:szCs w:val="36"/>
          <w:rtl/>
        </w:rPr>
        <w:t>"</w:t>
      </w:r>
      <w:r w:rsidRPr="00FD211F">
        <w:rPr>
          <w:sz w:val="36"/>
          <w:szCs w:val="36"/>
          <w:rtl/>
        </w:rPr>
        <w:t>قده</w:t>
      </w:r>
      <w:r w:rsidR="00913070" w:rsidRPr="00FD211F">
        <w:rPr>
          <w:sz w:val="36"/>
          <w:szCs w:val="36"/>
          <w:rtl/>
        </w:rPr>
        <w:t>"</w:t>
      </w:r>
      <w:r w:rsidRPr="00FD211F">
        <w:rPr>
          <w:sz w:val="36"/>
          <w:szCs w:val="36"/>
          <w:rtl/>
        </w:rPr>
        <w:t xml:space="preserve"> ما محصله: انه لو ثبت كون المعاني الشرعي</w:t>
      </w:r>
      <w:r w:rsidR="00EC7EDF" w:rsidRPr="00FD211F">
        <w:rPr>
          <w:sz w:val="36"/>
          <w:szCs w:val="36"/>
          <w:rtl/>
        </w:rPr>
        <w:t xml:space="preserve">ة </w:t>
      </w:r>
      <w:r w:rsidRPr="00FD211F">
        <w:rPr>
          <w:sz w:val="36"/>
          <w:szCs w:val="36"/>
          <w:rtl/>
        </w:rPr>
        <w:t>كالصلا</w:t>
      </w:r>
      <w:r w:rsidR="00EC7EDF" w:rsidRPr="00FD211F">
        <w:rPr>
          <w:sz w:val="36"/>
          <w:szCs w:val="36"/>
          <w:rtl/>
        </w:rPr>
        <w:t xml:space="preserve">ة </w:t>
      </w:r>
      <w:r w:rsidRPr="00FD211F">
        <w:rPr>
          <w:sz w:val="36"/>
          <w:szCs w:val="36"/>
          <w:rtl/>
        </w:rPr>
        <w:t>والصوم والزكا</w:t>
      </w:r>
      <w:r w:rsidR="00EC7EDF" w:rsidRPr="00FD211F">
        <w:rPr>
          <w:sz w:val="36"/>
          <w:szCs w:val="36"/>
          <w:rtl/>
        </w:rPr>
        <w:t xml:space="preserve">ة </w:t>
      </w:r>
      <w:r w:rsidRPr="00FD211F">
        <w:rPr>
          <w:sz w:val="36"/>
          <w:szCs w:val="36"/>
          <w:rtl/>
        </w:rPr>
        <w:t xml:space="preserve">ماهيات اخترعها الاسلام </w:t>
      </w:r>
      <w:r w:rsidR="009977FE" w:rsidRPr="00FD211F">
        <w:rPr>
          <w:sz w:val="36"/>
          <w:szCs w:val="36"/>
          <w:rtl/>
        </w:rPr>
        <w:t>و</w:t>
      </w:r>
      <w:r w:rsidR="008D7B3D" w:rsidRPr="00FD211F">
        <w:rPr>
          <w:sz w:val="36"/>
          <w:szCs w:val="36"/>
          <w:rtl/>
        </w:rPr>
        <w:t xml:space="preserve"> لم‌</w:t>
      </w:r>
      <w:r w:rsidRPr="00FD211F">
        <w:rPr>
          <w:sz w:val="36"/>
          <w:szCs w:val="36"/>
          <w:rtl/>
        </w:rPr>
        <w:t>تكن سابق</w:t>
      </w:r>
      <w:r w:rsidR="00EC7EDF" w:rsidRPr="00FD211F">
        <w:rPr>
          <w:sz w:val="36"/>
          <w:szCs w:val="36"/>
          <w:rtl/>
        </w:rPr>
        <w:t xml:space="preserve">ة </w:t>
      </w:r>
      <w:r w:rsidRPr="00FD211F">
        <w:rPr>
          <w:sz w:val="36"/>
          <w:szCs w:val="36"/>
          <w:rtl/>
        </w:rPr>
        <w:t>عليه فلايبعد دعوى الوضع التعييني الاستعمالي لتلك الالفاظ على معانيها الشرعي</w:t>
      </w:r>
      <w:r w:rsidR="00EC7EDF" w:rsidRPr="00FD211F">
        <w:rPr>
          <w:sz w:val="36"/>
          <w:szCs w:val="36"/>
          <w:rtl/>
        </w:rPr>
        <w:t>ة</w:t>
      </w:r>
      <w:r w:rsidR="00603323" w:rsidRPr="00FD211F">
        <w:rPr>
          <w:sz w:val="36"/>
          <w:szCs w:val="36"/>
          <w:rtl/>
        </w:rPr>
        <w:t xml:space="preserve">، </w:t>
      </w:r>
      <w:r w:rsidRPr="00FD211F">
        <w:rPr>
          <w:sz w:val="36"/>
          <w:szCs w:val="36"/>
          <w:rtl/>
        </w:rPr>
        <w:t>اذ احتمال استعمال تلك الالفاظ في المعاني الشرعي</w:t>
      </w:r>
      <w:r w:rsidR="00EC7EDF" w:rsidRPr="00FD211F">
        <w:rPr>
          <w:sz w:val="36"/>
          <w:szCs w:val="36"/>
          <w:rtl/>
        </w:rPr>
        <w:t xml:space="preserve">ة </w:t>
      </w:r>
      <w:r w:rsidRPr="00FD211F">
        <w:rPr>
          <w:sz w:val="36"/>
          <w:szCs w:val="36"/>
          <w:rtl/>
        </w:rPr>
        <w:t>مج</w:t>
      </w:r>
      <w:r w:rsidR="00A66B7B" w:rsidRPr="00FD211F">
        <w:rPr>
          <w:sz w:val="36"/>
          <w:szCs w:val="36"/>
          <w:rtl/>
        </w:rPr>
        <w:t>ازا موهوم</w:t>
      </w:r>
      <w:r w:rsidR="00603323" w:rsidRPr="00FD211F">
        <w:rPr>
          <w:sz w:val="36"/>
          <w:szCs w:val="36"/>
          <w:rtl/>
        </w:rPr>
        <w:t xml:space="preserve">، </w:t>
      </w:r>
      <w:r w:rsidR="00A66B7B" w:rsidRPr="00FD211F">
        <w:rPr>
          <w:sz w:val="36"/>
          <w:szCs w:val="36"/>
          <w:rtl/>
        </w:rPr>
        <w:t>حيث انه لامناسب</w:t>
      </w:r>
      <w:r w:rsidR="00EC7EDF" w:rsidRPr="00FD211F">
        <w:rPr>
          <w:sz w:val="36"/>
          <w:szCs w:val="36"/>
          <w:rtl/>
        </w:rPr>
        <w:t xml:space="preserve">ة </w:t>
      </w:r>
      <w:r w:rsidR="00A66B7B" w:rsidRPr="00FD211F">
        <w:rPr>
          <w:sz w:val="36"/>
          <w:szCs w:val="36"/>
          <w:rtl/>
        </w:rPr>
        <w:t>لاستعمال كلم</w:t>
      </w:r>
      <w:r w:rsidR="00EC7EDF" w:rsidRPr="00FD211F">
        <w:rPr>
          <w:sz w:val="36"/>
          <w:szCs w:val="36"/>
          <w:rtl/>
        </w:rPr>
        <w:t xml:space="preserve">ة </w:t>
      </w:r>
      <w:r w:rsidRPr="00FD211F">
        <w:rPr>
          <w:sz w:val="36"/>
          <w:szCs w:val="36"/>
          <w:rtl/>
        </w:rPr>
        <w:t>الصل</w:t>
      </w:r>
      <w:r w:rsidR="00A66B7B" w:rsidRPr="00FD211F">
        <w:rPr>
          <w:sz w:val="36"/>
          <w:szCs w:val="36"/>
          <w:rtl/>
        </w:rPr>
        <w:t>ا</w:t>
      </w:r>
      <w:r w:rsidR="00EC7EDF" w:rsidRPr="00FD211F">
        <w:rPr>
          <w:sz w:val="36"/>
          <w:szCs w:val="36"/>
          <w:rtl/>
        </w:rPr>
        <w:t xml:space="preserve">ة </w:t>
      </w:r>
      <w:r w:rsidR="00A66B7B" w:rsidRPr="00FD211F">
        <w:rPr>
          <w:sz w:val="36"/>
          <w:szCs w:val="36"/>
          <w:rtl/>
        </w:rPr>
        <w:t>مثلا التي هي بمعنى الدعاء في</w:t>
      </w:r>
      <w:r w:rsidRPr="00FD211F">
        <w:rPr>
          <w:sz w:val="36"/>
          <w:szCs w:val="36"/>
          <w:rtl/>
        </w:rPr>
        <w:t xml:space="preserve"> الصلا</w:t>
      </w:r>
      <w:r w:rsidR="00EC7EDF" w:rsidRPr="00FD211F">
        <w:rPr>
          <w:sz w:val="36"/>
          <w:szCs w:val="36"/>
          <w:rtl/>
        </w:rPr>
        <w:t xml:space="preserve">ة </w:t>
      </w:r>
      <w:r w:rsidRPr="00FD211F">
        <w:rPr>
          <w:sz w:val="36"/>
          <w:szCs w:val="36"/>
          <w:rtl/>
        </w:rPr>
        <w:t>المعهود</w:t>
      </w:r>
      <w:r w:rsidR="00EC7EDF" w:rsidRPr="00FD211F">
        <w:rPr>
          <w:sz w:val="36"/>
          <w:szCs w:val="36"/>
          <w:rtl/>
        </w:rPr>
        <w:t>ة</w:t>
      </w:r>
      <w:r w:rsidR="00603323" w:rsidRPr="00FD211F">
        <w:rPr>
          <w:sz w:val="36"/>
          <w:szCs w:val="36"/>
          <w:rtl/>
        </w:rPr>
        <w:t xml:space="preserve">، </w:t>
      </w:r>
      <w:r w:rsidRPr="00FD211F">
        <w:rPr>
          <w:sz w:val="36"/>
          <w:szCs w:val="36"/>
          <w:rtl/>
        </w:rPr>
        <w:t>ومجرد كون الدعاء جزءا منه لايكفي في الاستعمال المجازي من باب علاق</w:t>
      </w:r>
      <w:r w:rsidR="00EC7EDF" w:rsidRPr="00FD211F">
        <w:rPr>
          <w:sz w:val="36"/>
          <w:szCs w:val="36"/>
          <w:rtl/>
        </w:rPr>
        <w:t xml:space="preserve">ة </w:t>
      </w:r>
      <w:r w:rsidRPr="00FD211F">
        <w:rPr>
          <w:sz w:val="36"/>
          <w:szCs w:val="36"/>
          <w:rtl/>
        </w:rPr>
        <w:t>الجزء والكل</w:t>
      </w:r>
      <w:r w:rsidR="00603323" w:rsidRPr="00FD211F">
        <w:rPr>
          <w:sz w:val="36"/>
          <w:szCs w:val="36"/>
          <w:rtl/>
        </w:rPr>
        <w:t xml:space="preserve">، </w:t>
      </w:r>
      <w:r w:rsidRPr="00FD211F">
        <w:rPr>
          <w:sz w:val="36"/>
          <w:szCs w:val="36"/>
          <w:rtl/>
        </w:rPr>
        <w:t>لانه انما يصح استعمال اللفظ الموضوع على الجزء في الكل اذا كان جزءا رئيسيا</w:t>
      </w:r>
      <w:r w:rsidR="00603323" w:rsidRPr="00FD211F">
        <w:rPr>
          <w:sz w:val="36"/>
          <w:szCs w:val="36"/>
          <w:rtl/>
        </w:rPr>
        <w:t xml:space="preserve">، </w:t>
      </w:r>
      <w:r w:rsidRPr="00FD211F">
        <w:rPr>
          <w:sz w:val="36"/>
          <w:szCs w:val="36"/>
          <w:rtl/>
        </w:rPr>
        <w:t>وليس الدعاء بالنسب</w:t>
      </w:r>
      <w:r w:rsidR="00EC7EDF" w:rsidRPr="00FD211F">
        <w:rPr>
          <w:sz w:val="36"/>
          <w:szCs w:val="36"/>
          <w:rtl/>
        </w:rPr>
        <w:t xml:space="preserve">ة </w:t>
      </w:r>
      <w:r w:rsidRPr="00FD211F">
        <w:rPr>
          <w:sz w:val="36"/>
          <w:szCs w:val="36"/>
          <w:rtl/>
        </w:rPr>
        <w:t>الى الصلا</w:t>
      </w:r>
      <w:r w:rsidR="00EC7EDF" w:rsidRPr="00FD211F">
        <w:rPr>
          <w:sz w:val="36"/>
          <w:szCs w:val="36"/>
          <w:rtl/>
        </w:rPr>
        <w:t xml:space="preserve">ة </w:t>
      </w:r>
      <w:r w:rsidRPr="00FD211F">
        <w:rPr>
          <w:sz w:val="36"/>
          <w:szCs w:val="36"/>
          <w:rtl/>
        </w:rPr>
        <w:t>من هذا القبيل.</w:t>
      </w:r>
    </w:p>
    <w:p w14:paraId="70F5195B" w14:textId="77777777" w:rsidR="00E60472" w:rsidRPr="00FD211F" w:rsidRDefault="00052BF2" w:rsidP="009C58C8">
      <w:pPr>
        <w:ind w:left="0" w:firstLine="227"/>
        <w:jc w:val="both"/>
        <w:rPr>
          <w:sz w:val="36"/>
          <w:szCs w:val="36"/>
          <w:rtl/>
        </w:rPr>
      </w:pPr>
      <w:r w:rsidRPr="00FD211F">
        <w:rPr>
          <w:sz w:val="36"/>
          <w:szCs w:val="36"/>
          <w:rtl/>
        </w:rPr>
        <w:t>ثم ذكر</w:t>
      </w:r>
      <w:r w:rsidR="008F14E7" w:rsidRPr="00FD211F">
        <w:rPr>
          <w:sz w:val="36"/>
          <w:szCs w:val="36"/>
          <w:rtl/>
        </w:rPr>
        <w:t xml:space="preserve"> "قده"</w:t>
      </w:r>
      <w:r w:rsidRPr="00FD211F">
        <w:rPr>
          <w:sz w:val="36"/>
          <w:szCs w:val="36"/>
          <w:rtl/>
        </w:rPr>
        <w:t>: ان ظاهر غير واحد من الآيات كون تلك المعاني الشرعي</w:t>
      </w:r>
      <w:r w:rsidR="00EC7EDF" w:rsidRPr="00FD211F">
        <w:rPr>
          <w:sz w:val="36"/>
          <w:szCs w:val="36"/>
          <w:rtl/>
        </w:rPr>
        <w:t xml:space="preserve">ة </w:t>
      </w:r>
      <w:r w:rsidRPr="00FD211F">
        <w:rPr>
          <w:sz w:val="36"/>
          <w:szCs w:val="36"/>
          <w:rtl/>
        </w:rPr>
        <w:t>ثابت</w:t>
      </w:r>
      <w:r w:rsidR="00EC7EDF" w:rsidRPr="00FD211F">
        <w:rPr>
          <w:sz w:val="36"/>
          <w:szCs w:val="36"/>
          <w:rtl/>
        </w:rPr>
        <w:t xml:space="preserve">ة </w:t>
      </w:r>
      <w:r w:rsidRPr="00FD211F">
        <w:rPr>
          <w:sz w:val="36"/>
          <w:szCs w:val="36"/>
          <w:rtl/>
        </w:rPr>
        <w:t>في الشرا</w:t>
      </w:r>
      <w:r w:rsidR="00913070" w:rsidRPr="00FD211F">
        <w:rPr>
          <w:sz w:val="36"/>
          <w:szCs w:val="36"/>
          <w:rtl/>
        </w:rPr>
        <w:t>يع السابق</w:t>
      </w:r>
      <w:r w:rsidR="00EC7EDF" w:rsidRPr="00FD211F">
        <w:rPr>
          <w:sz w:val="36"/>
          <w:szCs w:val="36"/>
          <w:rtl/>
        </w:rPr>
        <w:t xml:space="preserve">ة </w:t>
      </w:r>
      <w:r w:rsidR="00913070" w:rsidRPr="00FD211F">
        <w:rPr>
          <w:sz w:val="36"/>
          <w:szCs w:val="36"/>
          <w:rtl/>
        </w:rPr>
        <w:t>أيضا</w:t>
      </w:r>
      <w:r w:rsidR="00603323" w:rsidRPr="00FD211F">
        <w:rPr>
          <w:sz w:val="36"/>
          <w:szCs w:val="36"/>
          <w:rtl/>
        </w:rPr>
        <w:t xml:space="preserve">، </w:t>
      </w:r>
      <w:r w:rsidR="00913070" w:rsidRPr="00FD211F">
        <w:rPr>
          <w:sz w:val="36"/>
          <w:szCs w:val="36"/>
          <w:rtl/>
        </w:rPr>
        <w:t>مثل قوله تعالى"</w:t>
      </w:r>
      <w:r w:rsidRPr="00FD211F">
        <w:rPr>
          <w:sz w:val="36"/>
          <w:szCs w:val="36"/>
          <w:rtl/>
        </w:rPr>
        <w:t xml:space="preserve"> كتب عليكم الصيام كما كتب على الذين من قبلكم</w:t>
      </w:r>
      <w:r w:rsidR="00913070" w:rsidRPr="00FD211F">
        <w:rPr>
          <w:sz w:val="36"/>
          <w:szCs w:val="36"/>
          <w:rtl/>
        </w:rPr>
        <w:t>"</w:t>
      </w:r>
      <w:r w:rsidR="009C58C8" w:rsidRPr="00FD211F">
        <w:rPr>
          <w:rStyle w:val="a6"/>
          <w:sz w:val="36"/>
          <w:szCs w:val="36"/>
          <w:rtl/>
        </w:rPr>
        <w:t>(</w:t>
      </w:r>
      <w:r w:rsidR="009C58C8" w:rsidRPr="00FD211F">
        <w:rPr>
          <w:rStyle w:val="a6"/>
          <w:sz w:val="36"/>
          <w:szCs w:val="36"/>
          <w:rtl/>
        </w:rPr>
        <w:footnoteReference w:id="326"/>
      </w:r>
      <w:r w:rsidR="009C58C8" w:rsidRPr="00FD211F">
        <w:rPr>
          <w:rStyle w:val="a6"/>
          <w:sz w:val="36"/>
          <w:szCs w:val="36"/>
          <w:rtl/>
        </w:rPr>
        <w:t>)</w:t>
      </w:r>
      <w:r w:rsidRPr="00FD211F">
        <w:rPr>
          <w:sz w:val="36"/>
          <w:szCs w:val="36"/>
          <w:rtl/>
        </w:rPr>
        <w:t xml:space="preserve">وكذا قوله تعالى مخاطبا ابراهيم </w:t>
      </w:r>
      <w:r w:rsidR="007A4A0D" w:rsidRPr="00FD211F">
        <w:rPr>
          <w:sz w:val="36"/>
          <w:szCs w:val="36"/>
          <w:rtl/>
        </w:rPr>
        <w:t>(عليه‌السلام)</w:t>
      </w:r>
      <w:r w:rsidR="00913070" w:rsidRPr="00FD211F">
        <w:rPr>
          <w:sz w:val="36"/>
          <w:szCs w:val="36"/>
          <w:rtl/>
        </w:rPr>
        <w:t>" وأذن في الناس بالحج"</w:t>
      </w:r>
      <w:r w:rsidR="009C58C8" w:rsidRPr="00FD211F">
        <w:rPr>
          <w:rStyle w:val="a6"/>
          <w:sz w:val="36"/>
          <w:szCs w:val="36"/>
          <w:rtl/>
        </w:rPr>
        <w:t>(</w:t>
      </w:r>
      <w:r w:rsidR="009C58C8" w:rsidRPr="00FD211F">
        <w:rPr>
          <w:rStyle w:val="a6"/>
          <w:sz w:val="36"/>
          <w:szCs w:val="36"/>
          <w:rtl/>
        </w:rPr>
        <w:footnoteReference w:id="327"/>
      </w:r>
      <w:r w:rsidR="009C58C8" w:rsidRPr="00FD211F">
        <w:rPr>
          <w:rStyle w:val="a6"/>
          <w:sz w:val="36"/>
          <w:szCs w:val="36"/>
          <w:rtl/>
        </w:rPr>
        <w:t>)</w:t>
      </w:r>
      <w:r w:rsidRPr="00FD211F">
        <w:rPr>
          <w:sz w:val="36"/>
          <w:szCs w:val="36"/>
          <w:rtl/>
        </w:rPr>
        <w:t xml:space="preserve"> وكذا قوله تعالى حاكيا عن عيسى</w:t>
      </w:r>
      <w:r w:rsidR="00727951" w:rsidRPr="00FD211F">
        <w:rPr>
          <w:sz w:val="36"/>
          <w:szCs w:val="36"/>
          <w:rtl/>
        </w:rPr>
        <w:t>(</w:t>
      </w:r>
      <w:r w:rsidR="007A4A0D" w:rsidRPr="00FD211F">
        <w:rPr>
          <w:sz w:val="36"/>
          <w:szCs w:val="36"/>
          <w:rtl/>
        </w:rPr>
        <w:t>عليه‌السلام)</w:t>
      </w:r>
      <w:r w:rsidR="00913070" w:rsidRPr="00FD211F">
        <w:rPr>
          <w:sz w:val="36"/>
          <w:szCs w:val="36"/>
          <w:rtl/>
        </w:rPr>
        <w:t>"</w:t>
      </w:r>
      <w:r w:rsidRPr="00FD211F">
        <w:rPr>
          <w:sz w:val="36"/>
          <w:szCs w:val="36"/>
          <w:rtl/>
        </w:rPr>
        <w:t xml:space="preserve"> واو</w:t>
      </w:r>
      <w:r w:rsidR="00913070" w:rsidRPr="00FD211F">
        <w:rPr>
          <w:sz w:val="36"/>
          <w:szCs w:val="36"/>
          <w:rtl/>
        </w:rPr>
        <w:t>صاني بالصلا</w:t>
      </w:r>
      <w:r w:rsidR="00EC7EDF" w:rsidRPr="00FD211F">
        <w:rPr>
          <w:sz w:val="36"/>
          <w:szCs w:val="36"/>
          <w:rtl/>
        </w:rPr>
        <w:t xml:space="preserve">ة </w:t>
      </w:r>
      <w:r w:rsidR="00913070" w:rsidRPr="00FD211F">
        <w:rPr>
          <w:sz w:val="36"/>
          <w:szCs w:val="36"/>
          <w:rtl/>
        </w:rPr>
        <w:t>والزكا</w:t>
      </w:r>
      <w:r w:rsidR="00EC7EDF" w:rsidRPr="00FD211F">
        <w:rPr>
          <w:sz w:val="36"/>
          <w:szCs w:val="36"/>
          <w:rtl/>
        </w:rPr>
        <w:t xml:space="preserve">ة </w:t>
      </w:r>
      <w:r w:rsidR="00913070" w:rsidRPr="00FD211F">
        <w:rPr>
          <w:sz w:val="36"/>
          <w:szCs w:val="36"/>
          <w:rtl/>
        </w:rPr>
        <w:t>ما دمت حيا"</w:t>
      </w:r>
      <w:r w:rsidR="009C58C8" w:rsidRPr="00FD211F">
        <w:rPr>
          <w:rStyle w:val="a6"/>
          <w:sz w:val="36"/>
          <w:szCs w:val="36"/>
          <w:rtl/>
        </w:rPr>
        <w:t>(</w:t>
      </w:r>
      <w:r w:rsidR="009C58C8" w:rsidRPr="00FD211F">
        <w:rPr>
          <w:rStyle w:val="a6"/>
          <w:sz w:val="36"/>
          <w:szCs w:val="36"/>
          <w:rtl/>
        </w:rPr>
        <w:footnoteReference w:id="328"/>
      </w:r>
      <w:r w:rsidR="009C58C8" w:rsidRPr="00FD211F">
        <w:rPr>
          <w:rStyle w:val="a6"/>
          <w:sz w:val="36"/>
          <w:szCs w:val="36"/>
          <w:rtl/>
        </w:rPr>
        <w:t>)</w:t>
      </w:r>
      <w:r w:rsidRPr="00FD211F">
        <w:rPr>
          <w:sz w:val="36"/>
          <w:szCs w:val="36"/>
          <w:rtl/>
        </w:rPr>
        <w:t xml:space="preserve"> الى غير ذلك</w:t>
      </w:r>
      <w:r w:rsidR="00603323" w:rsidRPr="00FD211F">
        <w:rPr>
          <w:sz w:val="36"/>
          <w:szCs w:val="36"/>
          <w:rtl/>
        </w:rPr>
        <w:t xml:space="preserve">، </w:t>
      </w:r>
      <w:r w:rsidRPr="00FD211F">
        <w:rPr>
          <w:sz w:val="36"/>
          <w:szCs w:val="36"/>
          <w:rtl/>
        </w:rPr>
        <w:t>وعليه فلايكون استعمال تلك الالفاظ في معانيها الشرعي</w:t>
      </w:r>
      <w:r w:rsidR="00EC7EDF" w:rsidRPr="00FD211F">
        <w:rPr>
          <w:sz w:val="36"/>
          <w:szCs w:val="36"/>
          <w:rtl/>
        </w:rPr>
        <w:t xml:space="preserve">ة </w:t>
      </w:r>
      <w:r w:rsidRPr="00FD211F">
        <w:rPr>
          <w:sz w:val="36"/>
          <w:szCs w:val="36"/>
          <w:rtl/>
        </w:rPr>
        <w:t>ظاهرا في الوضع التعييني الاستعمالي</w:t>
      </w:r>
      <w:r w:rsidR="00603323" w:rsidRPr="00FD211F">
        <w:rPr>
          <w:sz w:val="36"/>
          <w:szCs w:val="36"/>
          <w:rtl/>
        </w:rPr>
        <w:t xml:space="preserve">، </w:t>
      </w:r>
      <w:r w:rsidRPr="00FD211F">
        <w:rPr>
          <w:sz w:val="36"/>
          <w:szCs w:val="36"/>
          <w:rtl/>
        </w:rPr>
        <w:t>بل تكون حقائق لغوي</w:t>
      </w:r>
      <w:r w:rsidR="00EC7EDF" w:rsidRPr="00FD211F">
        <w:rPr>
          <w:sz w:val="36"/>
          <w:szCs w:val="36"/>
          <w:rtl/>
        </w:rPr>
        <w:t xml:space="preserve">ة </w:t>
      </w:r>
      <w:r w:rsidRPr="00FD211F">
        <w:rPr>
          <w:sz w:val="36"/>
          <w:szCs w:val="36"/>
          <w:rtl/>
        </w:rPr>
        <w:t>لاشرعي</w:t>
      </w:r>
      <w:r w:rsidR="00EC7EDF" w:rsidRPr="00FD211F">
        <w:rPr>
          <w:sz w:val="36"/>
          <w:szCs w:val="36"/>
          <w:rtl/>
        </w:rPr>
        <w:t>ة</w:t>
      </w:r>
      <w:r w:rsidR="00603323" w:rsidRPr="00FD211F">
        <w:rPr>
          <w:sz w:val="36"/>
          <w:szCs w:val="36"/>
          <w:rtl/>
        </w:rPr>
        <w:t xml:space="preserve">، </w:t>
      </w:r>
      <w:r w:rsidRPr="00FD211F">
        <w:rPr>
          <w:sz w:val="36"/>
          <w:szCs w:val="36"/>
          <w:rtl/>
        </w:rPr>
        <w:t>واختلاف الشرائع في</w:t>
      </w:r>
      <w:r w:rsidR="00A66B7B" w:rsidRPr="00FD211F">
        <w:rPr>
          <w:sz w:val="36"/>
          <w:szCs w:val="36"/>
          <w:rtl/>
        </w:rPr>
        <w:t xml:space="preserve"> أجزائهاوشرائطها</w:t>
      </w:r>
      <w:r w:rsidRPr="00FD211F">
        <w:rPr>
          <w:sz w:val="36"/>
          <w:szCs w:val="36"/>
          <w:rtl/>
        </w:rPr>
        <w:t xml:space="preserve"> لايوجب اختلافها </w:t>
      </w:r>
      <w:r w:rsidR="00A66B7B" w:rsidRPr="00FD211F">
        <w:rPr>
          <w:sz w:val="36"/>
          <w:szCs w:val="36"/>
          <w:rtl/>
        </w:rPr>
        <w:t>في الحقيق</w:t>
      </w:r>
      <w:r w:rsidR="00EC7EDF" w:rsidRPr="00FD211F">
        <w:rPr>
          <w:sz w:val="36"/>
          <w:szCs w:val="36"/>
          <w:rtl/>
        </w:rPr>
        <w:t xml:space="preserve">ة </w:t>
      </w:r>
      <w:r w:rsidR="00A66B7B" w:rsidRPr="00FD211F">
        <w:rPr>
          <w:sz w:val="36"/>
          <w:szCs w:val="36"/>
          <w:rtl/>
        </w:rPr>
        <w:t>والماهي</w:t>
      </w:r>
      <w:r w:rsidR="00EC7EDF" w:rsidRPr="00FD211F">
        <w:rPr>
          <w:sz w:val="36"/>
          <w:szCs w:val="36"/>
          <w:rtl/>
        </w:rPr>
        <w:t>ة</w:t>
      </w:r>
      <w:r w:rsidR="00603323" w:rsidRPr="00FD211F">
        <w:rPr>
          <w:sz w:val="36"/>
          <w:szCs w:val="36"/>
          <w:rtl/>
        </w:rPr>
        <w:t xml:space="preserve">، </w:t>
      </w:r>
      <w:r w:rsidR="00A66B7B" w:rsidRPr="00FD211F">
        <w:rPr>
          <w:sz w:val="36"/>
          <w:szCs w:val="36"/>
          <w:rtl/>
        </w:rPr>
        <w:t xml:space="preserve">اذ لعله </w:t>
      </w:r>
      <w:r w:rsidRPr="00FD211F">
        <w:rPr>
          <w:sz w:val="36"/>
          <w:szCs w:val="36"/>
          <w:rtl/>
        </w:rPr>
        <w:t>من قبيل الاختلاف في المصاديق كاختلاف</w:t>
      </w:r>
      <w:r w:rsidR="00A66B7B" w:rsidRPr="00FD211F">
        <w:rPr>
          <w:sz w:val="36"/>
          <w:szCs w:val="36"/>
          <w:rtl/>
        </w:rPr>
        <w:t xml:space="preserve"> </w:t>
      </w:r>
      <w:r w:rsidR="00E60472" w:rsidRPr="00FD211F">
        <w:rPr>
          <w:sz w:val="36"/>
          <w:szCs w:val="36"/>
          <w:rtl/>
        </w:rPr>
        <w:t>مصاديق الصلا</w:t>
      </w:r>
      <w:r w:rsidR="00EC7EDF" w:rsidRPr="00FD211F">
        <w:rPr>
          <w:sz w:val="36"/>
          <w:szCs w:val="36"/>
          <w:rtl/>
        </w:rPr>
        <w:t xml:space="preserve">ة </w:t>
      </w:r>
      <w:r w:rsidR="00E60472" w:rsidRPr="00FD211F">
        <w:rPr>
          <w:sz w:val="36"/>
          <w:szCs w:val="36"/>
          <w:rtl/>
        </w:rPr>
        <w:t xml:space="preserve">ونحوها بحسب </w:t>
      </w:r>
      <w:r w:rsidRPr="00FD211F">
        <w:rPr>
          <w:sz w:val="36"/>
          <w:szCs w:val="36"/>
          <w:rtl/>
        </w:rPr>
        <w:t xml:space="preserve">حالات </w:t>
      </w:r>
      <w:r w:rsidR="00E60472" w:rsidRPr="00FD211F">
        <w:rPr>
          <w:sz w:val="36"/>
          <w:szCs w:val="36"/>
          <w:rtl/>
        </w:rPr>
        <w:t xml:space="preserve">المكلفين </w:t>
      </w:r>
      <w:r w:rsidRPr="00FD211F">
        <w:rPr>
          <w:sz w:val="36"/>
          <w:szCs w:val="36"/>
          <w:rtl/>
        </w:rPr>
        <w:t>في شرعنا</w:t>
      </w:r>
      <w:r w:rsidR="009C58C8" w:rsidRPr="00FD211F">
        <w:rPr>
          <w:rStyle w:val="a6"/>
          <w:sz w:val="36"/>
          <w:szCs w:val="36"/>
          <w:rtl/>
        </w:rPr>
        <w:t>(</w:t>
      </w:r>
      <w:r w:rsidR="009C58C8" w:rsidRPr="00FD211F">
        <w:rPr>
          <w:rStyle w:val="a6"/>
          <w:sz w:val="36"/>
          <w:szCs w:val="36"/>
          <w:rtl/>
        </w:rPr>
        <w:footnoteReference w:id="329"/>
      </w:r>
      <w:r w:rsidR="009C58C8" w:rsidRPr="00FD211F">
        <w:rPr>
          <w:rStyle w:val="a6"/>
          <w:sz w:val="36"/>
          <w:szCs w:val="36"/>
          <w:rtl/>
        </w:rPr>
        <w:t>)</w:t>
      </w:r>
    </w:p>
    <w:p w14:paraId="05DABD49" w14:textId="77777777" w:rsidR="00052BF2" w:rsidRPr="00FD211F" w:rsidRDefault="00E60472" w:rsidP="009C58C8">
      <w:pPr>
        <w:ind w:left="0" w:firstLine="227"/>
        <w:jc w:val="both"/>
        <w:rPr>
          <w:sz w:val="36"/>
          <w:szCs w:val="36"/>
          <w:rtl/>
        </w:rPr>
      </w:pPr>
      <w:r w:rsidRPr="00FD211F">
        <w:rPr>
          <w:sz w:val="36"/>
          <w:szCs w:val="36"/>
          <w:rtl/>
        </w:rPr>
        <w:t>اقول</w:t>
      </w:r>
      <w:r w:rsidR="00EC7EDF" w:rsidRPr="00FD211F">
        <w:rPr>
          <w:sz w:val="36"/>
          <w:szCs w:val="36"/>
          <w:rtl/>
        </w:rPr>
        <w:t>:</w:t>
      </w:r>
      <w:r w:rsidRPr="00FD211F">
        <w:rPr>
          <w:sz w:val="36"/>
          <w:szCs w:val="36"/>
          <w:rtl/>
        </w:rPr>
        <w:t>هنا</w:t>
      </w:r>
      <w:r w:rsidR="00052BF2" w:rsidRPr="00FD211F">
        <w:rPr>
          <w:sz w:val="36"/>
          <w:szCs w:val="36"/>
          <w:rtl/>
        </w:rPr>
        <w:t xml:space="preserve"> عد</w:t>
      </w:r>
      <w:r w:rsidR="00EC7EDF" w:rsidRPr="00FD211F">
        <w:rPr>
          <w:sz w:val="36"/>
          <w:szCs w:val="36"/>
          <w:rtl/>
        </w:rPr>
        <w:t xml:space="preserve">ة </w:t>
      </w:r>
      <w:r w:rsidR="00052BF2" w:rsidRPr="00FD211F">
        <w:rPr>
          <w:sz w:val="36"/>
          <w:szCs w:val="36"/>
          <w:rtl/>
        </w:rPr>
        <w:t>ملاحظات:</w:t>
      </w:r>
    </w:p>
    <w:p w14:paraId="339C4B7F" w14:textId="77777777" w:rsidR="00052BF2" w:rsidRPr="00FD211F" w:rsidRDefault="00052BF2" w:rsidP="009C58C8">
      <w:pPr>
        <w:ind w:left="0" w:firstLine="227"/>
        <w:jc w:val="both"/>
        <w:rPr>
          <w:sz w:val="36"/>
          <w:szCs w:val="36"/>
          <w:rtl/>
        </w:rPr>
      </w:pPr>
      <w:r w:rsidRPr="00FD211F">
        <w:rPr>
          <w:sz w:val="36"/>
          <w:szCs w:val="36"/>
          <w:rtl/>
        </w:rPr>
        <w:t>1- ان ما ذكره</w:t>
      </w:r>
      <w:r w:rsidR="00A61BAE" w:rsidRPr="00FD211F">
        <w:rPr>
          <w:sz w:val="36"/>
          <w:szCs w:val="36"/>
          <w:rtl/>
        </w:rPr>
        <w:t xml:space="preserve"> </w:t>
      </w:r>
      <w:r w:rsidR="000563CE" w:rsidRPr="00FD211F">
        <w:rPr>
          <w:sz w:val="36"/>
          <w:szCs w:val="36"/>
          <w:rtl/>
        </w:rPr>
        <w:t>"قده"</w:t>
      </w:r>
      <w:r w:rsidR="00A61BAE" w:rsidRPr="00FD211F">
        <w:rPr>
          <w:sz w:val="36"/>
          <w:szCs w:val="36"/>
          <w:rtl/>
        </w:rPr>
        <w:t xml:space="preserve"> </w:t>
      </w:r>
      <w:r w:rsidRPr="00FD211F">
        <w:rPr>
          <w:sz w:val="36"/>
          <w:szCs w:val="36"/>
          <w:rtl/>
        </w:rPr>
        <w:t>من انه لو ثبت كون تلك المعاني الشرعي</w:t>
      </w:r>
      <w:r w:rsidR="00EC7EDF" w:rsidRPr="00FD211F">
        <w:rPr>
          <w:sz w:val="36"/>
          <w:szCs w:val="36"/>
          <w:rtl/>
        </w:rPr>
        <w:t xml:space="preserve">ة </w:t>
      </w:r>
      <w:r w:rsidRPr="00FD211F">
        <w:rPr>
          <w:sz w:val="36"/>
          <w:szCs w:val="36"/>
          <w:rtl/>
        </w:rPr>
        <w:t>ماهيات مخترع</w:t>
      </w:r>
      <w:r w:rsidR="00EC7EDF" w:rsidRPr="00FD211F">
        <w:rPr>
          <w:sz w:val="36"/>
          <w:szCs w:val="36"/>
          <w:rtl/>
        </w:rPr>
        <w:t xml:space="preserve">ة </w:t>
      </w:r>
      <w:r w:rsidRPr="00FD211F">
        <w:rPr>
          <w:sz w:val="36"/>
          <w:szCs w:val="36"/>
          <w:rtl/>
        </w:rPr>
        <w:t>في الاسلام فلايبعد دعوى الوضع التعييني الاستعمالي لها في معانيها الشرعي</w:t>
      </w:r>
      <w:r w:rsidR="00EC7EDF" w:rsidRPr="00FD211F">
        <w:rPr>
          <w:sz w:val="36"/>
          <w:szCs w:val="36"/>
          <w:rtl/>
        </w:rPr>
        <w:t>ة</w:t>
      </w:r>
      <w:r w:rsidR="00603323" w:rsidRPr="00FD211F">
        <w:rPr>
          <w:sz w:val="36"/>
          <w:szCs w:val="36"/>
          <w:rtl/>
        </w:rPr>
        <w:t xml:space="preserve">، </w:t>
      </w:r>
      <w:r w:rsidRPr="00FD211F">
        <w:rPr>
          <w:sz w:val="36"/>
          <w:szCs w:val="36"/>
          <w:rtl/>
        </w:rPr>
        <w:t>فقد ذكر المحقق العراقي</w:t>
      </w:r>
      <w:r w:rsidR="00A61BAE" w:rsidRPr="00FD211F">
        <w:rPr>
          <w:sz w:val="36"/>
          <w:szCs w:val="36"/>
          <w:rtl/>
        </w:rPr>
        <w:t xml:space="preserve"> </w:t>
      </w:r>
      <w:r w:rsidR="000563CE" w:rsidRPr="00FD211F">
        <w:rPr>
          <w:sz w:val="36"/>
          <w:szCs w:val="36"/>
          <w:rtl/>
        </w:rPr>
        <w:t>"قده"</w:t>
      </w:r>
      <w:r w:rsidR="00A61BAE" w:rsidRPr="00FD211F">
        <w:rPr>
          <w:sz w:val="36"/>
          <w:szCs w:val="36"/>
          <w:rtl/>
        </w:rPr>
        <w:t xml:space="preserve"> </w:t>
      </w:r>
      <w:r w:rsidRPr="00FD211F">
        <w:rPr>
          <w:sz w:val="36"/>
          <w:szCs w:val="36"/>
          <w:rtl/>
        </w:rPr>
        <w:t>في وجهه أن السير</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Pr="00FD211F">
        <w:rPr>
          <w:sz w:val="36"/>
          <w:szCs w:val="36"/>
          <w:rtl/>
        </w:rPr>
        <w:t>قائم</w:t>
      </w:r>
      <w:r w:rsidR="00EC7EDF" w:rsidRPr="00FD211F">
        <w:rPr>
          <w:sz w:val="36"/>
          <w:szCs w:val="36"/>
          <w:rtl/>
        </w:rPr>
        <w:t xml:space="preserve">ة </w:t>
      </w:r>
      <w:r w:rsidRPr="00FD211F">
        <w:rPr>
          <w:sz w:val="36"/>
          <w:szCs w:val="36"/>
          <w:rtl/>
        </w:rPr>
        <w:t>على ان من اخترع شيئا يضع له اسما</w:t>
      </w:r>
      <w:r w:rsidR="00603323" w:rsidRPr="00FD211F">
        <w:rPr>
          <w:sz w:val="36"/>
          <w:szCs w:val="36"/>
          <w:rtl/>
        </w:rPr>
        <w:t xml:space="preserve">، </w:t>
      </w:r>
      <w:r w:rsidRPr="00FD211F">
        <w:rPr>
          <w:sz w:val="36"/>
          <w:szCs w:val="36"/>
          <w:rtl/>
        </w:rPr>
        <w:t>وحينئذ فلو استعمل لفظا فيه فظاهره انه قد وضعه له</w:t>
      </w:r>
      <w:r w:rsidR="009C58C8" w:rsidRPr="00FD211F">
        <w:rPr>
          <w:rStyle w:val="a6"/>
          <w:sz w:val="36"/>
          <w:szCs w:val="36"/>
          <w:rtl/>
        </w:rPr>
        <w:t>(</w:t>
      </w:r>
      <w:r w:rsidR="009C58C8" w:rsidRPr="00FD211F">
        <w:rPr>
          <w:rStyle w:val="a6"/>
          <w:sz w:val="36"/>
          <w:szCs w:val="36"/>
          <w:rtl/>
        </w:rPr>
        <w:footnoteReference w:id="330"/>
      </w:r>
      <w:r w:rsidR="009C58C8" w:rsidRPr="00FD211F">
        <w:rPr>
          <w:rStyle w:val="a6"/>
          <w:sz w:val="36"/>
          <w:szCs w:val="36"/>
          <w:rtl/>
        </w:rPr>
        <w:t>)</w:t>
      </w:r>
      <w:r w:rsidRPr="00FD211F">
        <w:rPr>
          <w:sz w:val="36"/>
          <w:szCs w:val="36"/>
          <w:rtl/>
        </w:rPr>
        <w:t>.</w:t>
      </w:r>
    </w:p>
    <w:p w14:paraId="0E0926E6" w14:textId="77777777" w:rsidR="00052BF2" w:rsidRPr="00FD211F" w:rsidRDefault="00052BF2" w:rsidP="009C58C8">
      <w:pPr>
        <w:ind w:left="0" w:firstLine="227"/>
        <w:jc w:val="both"/>
        <w:rPr>
          <w:sz w:val="36"/>
          <w:szCs w:val="36"/>
          <w:rtl/>
        </w:rPr>
      </w:pPr>
      <w:r w:rsidRPr="00FD211F">
        <w:rPr>
          <w:sz w:val="36"/>
          <w:szCs w:val="36"/>
          <w:rtl/>
        </w:rPr>
        <w:t>ويلاحظ عليه: انه</w:t>
      </w:r>
      <w:r w:rsidR="008D7B3D" w:rsidRPr="00FD211F">
        <w:rPr>
          <w:sz w:val="36"/>
          <w:szCs w:val="36"/>
          <w:rtl/>
        </w:rPr>
        <w:t xml:space="preserve"> لم‌</w:t>
      </w:r>
      <w:r w:rsidRPr="00FD211F">
        <w:rPr>
          <w:sz w:val="36"/>
          <w:szCs w:val="36"/>
          <w:rtl/>
        </w:rPr>
        <w:t>يظهر لنا وجود مثل هذه السير</w:t>
      </w:r>
      <w:r w:rsidR="00EC7EDF" w:rsidRPr="00FD211F">
        <w:rPr>
          <w:sz w:val="36"/>
          <w:szCs w:val="36"/>
          <w:rtl/>
        </w:rPr>
        <w:t xml:space="preserve">ة </w:t>
      </w:r>
      <w:r w:rsidRPr="00FD211F">
        <w:rPr>
          <w:sz w:val="36"/>
          <w:szCs w:val="36"/>
          <w:rtl/>
        </w:rPr>
        <w:t>العقلائي</w:t>
      </w:r>
      <w:r w:rsidR="00EC7EDF" w:rsidRPr="00FD211F">
        <w:rPr>
          <w:sz w:val="36"/>
          <w:szCs w:val="36"/>
          <w:rtl/>
        </w:rPr>
        <w:t>ة</w:t>
      </w:r>
      <w:r w:rsidR="00603323" w:rsidRPr="00FD211F">
        <w:rPr>
          <w:sz w:val="36"/>
          <w:szCs w:val="36"/>
          <w:rtl/>
        </w:rPr>
        <w:t xml:space="preserve">، </w:t>
      </w:r>
      <w:r w:rsidRPr="00FD211F">
        <w:rPr>
          <w:sz w:val="36"/>
          <w:szCs w:val="36"/>
          <w:rtl/>
        </w:rPr>
        <w:t>فان المخترع قد لايضع اسما على ما اخترعه</w:t>
      </w:r>
      <w:r w:rsidR="00603323" w:rsidRPr="00FD211F">
        <w:rPr>
          <w:sz w:val="36"/>
          <w:szCs w:val="36"/>
          <w:rtl/>
        </w:rPr>
        <w:t xml:space="preserve">، </w:t>
      </w:r>
      <w:r w:rsidRPr="00FD211F">
        <w:rPr>
          <w:sz w:val="36"/>
          <w:szCs w:val="36"/>
          <w:rtl/>
        </w:rPr>
        <w:t>وانما يطلق عليه لفظا من باب تطبيق الكلي على فرده او من باب المجاز</w:t>
      </w:r>
      <w:r w:rsidR="00603323" w:rsidRPr="00FD211F">
        <w:rPr>
          <w:sz w:val="36"/>
          <w:szCs w:val="36"/>
          <w:rtl/>
        </w:rPr>
        <w:t xml:space="preserve">، </w:t>
      </w:r>
      <w:r w:rsidR="006F4DC0" w:rsidRPr="00FD211F">
        <w:rPr>
          <w:sz w:val="36"/>
          <w:szCs w:val="36"/>
          <w:rtl/>
        </w:rPr>
        <w:t xml:space="preserve">فلعل </w:t>
      </w:r>
      <w:r w:rsidRPr="00FD211F">
        <w:rPr>
          <w:sz w:val="36"/>
          <w:szCs w:val="36"/>
          <w:rtl/>
        </w:rPr>
        <w:t>الالفاظ المستعمل</w:t>
      </w:r>
      <w:r w:rsidR="00EC7EDF" w:rsidRPr="00FD211F">
        <w:rPr>
          <w:sz w:val="36"/>
          <w:szCs w:val="36"/>
          <w:rtl/>
        </w:rPr>
        <w:t xml:space="preserve">ة </w:t>
      </w:r>
      <w:r w:rsidRPr="00FD211F">
        <w:rPr>
          <w:sz w:val="36"/>
          <w:szCs w:val="36"/>
          <w:rtl/>
        </w:rPr>
        <w:t>في المعاني الشرعي</w:t>
      </w:r>
      <w:r w:rsidR="00EC7EDF" w:rsidRPr="00FD211F">
        <w:rPr>
          <w:sz w:val="36"/>
          <w:szCs w:val="36"/>
          <w:rtl/>
        </w:rPr>
        <w:t xml:space="preserve">ة </w:t>
      </w:r>
      <w:r w:rsidRPr="00FD211F">
        <w:rPr>
          <w:sz w:val="36"/>
          <w:szCs w:val="36"/>
          <w:rtl/>
        </w:rPr>
        <w:t>قد يكون من هذا القبيل</w:t>
      </w:r>
      <w:r w:rsidR="00603323" w:rsidRPr="00FD211F">
        <w:rPr>
          <w:sz w:val="36"/>
          <w:szCs w:val="36"/>
          <w:rtl/>
        </w:rPr>
        <w:t xml:space="preserve">، </w:t>
      </w:r>
      <w:r w:rsidRPr="00FD211F">
        <w:rPr>
          <w:sz w:val="36"/>
          <w:szCs w:val="36"/>
          <w:rtl/>
        </w:rPr>
        <w:t>كما ذكر المحقق الاصفهاني</w:t>
      </w:r>
      <w:r w:rsidR="00A61BAE" w:rsidRPr="00FD211F">
        <w:rPr>
          <w:sz w:val="36"/>
          <w:szCs w:val="36"/>
          <w:rtl/>
        </w:rPr>
        <w:t xml:space="preserve"> </w:t>
      </w:r>
      <w:r w:rsidR="000563CE" w:rsidRPr="00FD211F">
        <w:rPr>
          <w:sz w:val="36"/>
          <w:szCs w:val="36"/>
          <w:rtl/>
        </w:rPr>
        <w:t>"قده"</w:t>
      </w:r>
      <w:r w:rsidR="00A61BAE" w:rsidRPr="00FD211F">
        <w:rPr>
          <w:sz w:val="36"/>
          <w:szCs w:val="36"/>
          <w:rtl/>
        </w:rPr>
        <w:t xml:space="preserve"> </w:t>
      </w:r>
      <w:r w:rsidRPr="00FD211F">
        <w:rPr>
          <w:sz w:val="36"/>
          <w:szCs w:val="36"/>
          <w:rtl/>
        </w:rPr>
        <w:t>ان الصلا</w:t>
      </w:r>
      <w:r w:rsidR="00EC7EDF" w:rsidRPr="00FD211F">
        <w:rPr>
          <w:sz w:val="36"/>
          <w:szCs w:val="36"/>
          <w:rtl/>
        </w:rPr>
        <w:t xml:space="preserve">ة </w:t>
      </w:r>
      <w:r w:rsidRPr="00FD211F">
        <w:rPr>
          <w:sz w:val="36"/>
          <w:szCs w:val="36"/>
          <w:rtl/>
        </w:rPr>
        <w:t>المعهود</w:t>
      </w:r>
      <w:r w:rsidR="00EC7EDF" w:rsidRPr="00FD211F">
        <w:rPr>
          <w:sz w:val="36"/>
          <w:szCs w:val="36"/>
          <w:rtl/>
        </w:rPr>
        <w:t xml:space="preserve">ة </w:t>
      </w:r>
      <w:r w:rsidRPr="00FD211F">
        <w:rPr>
          <w:sz w:val="36"/>
          <w:szCs w:val="36"/>
          <w:rtl/>
        </w:rPr>
        <w:t>عطف وميل من العبد الى المولى</w:t>
      </w:r>
      <w:r w:rsidR="00603323" w:rsidRPr="00FD211F">
        <w:rPr>
          <w:sz w:val="36"/>
          <w:szCs w:val="36"/>
          <w:rtl/>
        </w:rPr>
        <w:t xml:space="preserve">، </w:t>
      </w:r>
      <w:r w:rsidRPr="00FD211F">
        <w:rPr>
          <w:sz w:val="36"/>
          <w:szCs w:val="36"/>
          <w:rtl/>
        </w:rPr>
        <w:t>فيكون من استعمال اللفظ في معناه الكلي مع تطبيقه على احد مصاديقه.</w:t>
      </w:r>
    </w:p>
    <w:p w14:paraId="1025FE47" w14:textId="77777777" w:rsidR="00052BF2" w:rsidRPr="00FD211F" w:rsidRDefault="00052BF2" w:rsidP="009C58C8">
      <w:pPr>
        <w:ind w:left="0" w:firstLine="227"/>
        <w:jc w:val="both"/>
        <w:rPr>
          <w:sz w:val="36"/>
          <w:szCs w:val="36"/>
          <w:rtl/>
        </w:rPr>
      </w:pPr>
      <w:r w:rsidRPr="00FD211F">
        <w:rPr>
          <w:sz w:val="36"/>
          <w:szCs w:val="36"/>
          <w:rtl/>
        </w:rPr>
        <w:t>2- اورد المحقق الاصفهاني على صاحب الكفاي</w:t>
      </w:r>
      <w:r w:rsidR="00EC7EDF" w:rsidRPr="00FD211F">
        <w:rPr>
          <w:sz w:val="36"/>
          <w:szCs w:val="36"/>
          <w:rtl/>
        </w:rPr>
        <w:t xml:space="preserve">ة </w:t>
      </w:r>
      <w:r w:rsidR="00913070" w:rsidRPr="00FD211F">
        <w:rPr>
          <w:sz w:val="36"/>
          <w:szCs w:val="36"/>
          <w:rtl/>
        </w:rPr>
        <w:t>"</w:t>
      </w:r>
      <w:r w:rsidRPr="00FD211F">
        <w:rPr>
          <w:sz w:val="36"/>
          <w:szCs w:val="36"/>
          <w:rtl/>
        </w:rPr>
        <w:t>قدهما</w:t>
      </w:r>
      <w:r w:rsidR="00913070" w:rsidRPr="00FD211F">
        <w:rPr>
          <w:sz w:val="36"/>
          <w:szCs w:val="36"/>
          <w:rtl/>
        </w:rPr>
        <w:t>"</w:t>
      </w:r>
      <w:r w:rsidRPr="00FD211F">
        <w:rPr>
          <w:sz w:val="36"/>
          <w:szCs w:val="36"/>
          <w:rtl/>
        </w:rPr>
        <w:t xml:space="preserve"> بانه</w:t>
      </w:r>
      <w:r w:rsidR="008D7B3D" w:rsidRPr="00FD211F">
        <w:rPr>
          <w:sz w:val="36"/>
          <w:szCs w:val="36"/>
          <w:rtl/>
        </w:rPr>
        <w:t xml:space="preserve"> لم‌</w:t>
      </w:r>
      <w:r w:rsidRPr="00FD211F">
        <w:rPr>
          <w:sz w:val="36"/>
          <w:szCs w:val="36"/>
          <w:rtl/>
        </w:rPr>
        <w:t>يتعلق أي اختراع من الشارع بالنسب</w:t>
      </w:r>
      <w:r w:rsidR="00EC7EDF" w:rsidRPr="00FD211F">
        <w:rPr>
          <w:sz w:val="36"/>
          <w:szCs w:val="36"/>
          <w:rtl/>
        </w:rPr>
        <w:t xml:space="preserve">ة </w:t>
      </w:r>
      <w:r w:rsidRPr="00FD211F">
        <w:rPr>
          <w:sz w:val="36"/>
          <w:szCs w:val="36"/>
          <w:rtl/>
        </w:rPr>
        <w:t>الى المعاني الشرعي</w:t>
      </w:r>
      <w:r w:rsidR="00EC7EDF" w:rsidRPr="00FD211F">
        <w:rPr>
          <w:sz w:val="36"/>
          <w:szCs w:val="36"/>
          <w:rtl/>
        </w:rPr>
        <w:t>ة</w:t>
      </w:r>
      <w:r w:rsidR="00603323" w:rsidRPr="00FD211F">
        <w:rPr>
          <w:sz w:val="36"/>
          <w:szCs w:val="36"/>
          <w:rtl/>
        </w:rPr>
        <w:t xml:space="preserve">، </w:t>
      </w:r>
      <w:r w:rsidRPr="00FD211F">
        <w:rPr>
          <w:sz w:val="36"/>
          <w:szCs w:val="36"/>
          <w:rtl/>
        </w:rPr>
        <w:t>وانما الذي حدث له هو انه قد تعلق امره بها</w:t>
      </w:r>
      <w:r w:rsidR="00603323" w:rsidRPr="00FD211F">
        <w:rPr>
          <w:sz w:val="36"/>
          <w:szCs w:val="36"/>
          <w:rtl/>
        </w:rPr>
        <w:t xml:space="preserve">، </w:t>
      </w:r>
      <w:r w:rsidRPr="00FD211F">
        <w:rPr>
          <w:sz w:val="36"/>
          <w:szCs w:val="36"/>
          <w:rtl/>
        </w:rPr>
        <w:t>فيختلف عن الماهيات المخترع</w:t>
      </w:r>
      <w:r w:rsidR="00EC7EDF" w:rsidRPr="00FD211F">
        <w:rPr>
          <w:sz w:val="36"/>
          <w:szCs w:val="36"/>
          <w:rtl/>
        </w:rPr>
        <w:t xml:space="preserve">ة </w:t>
      </w:r>
      <w:r w:rsidRPr="00FD211F">
        <w:rPr>
          <w:sz w:val="36"/>
          <w:szCs w:val="36"/>
          <w:rtl/>
        </w:rPr>
        <w:t>التي تعارف وضع المخترع اسما لما اخترعه.</w:t>
      </w:r>
    </w:p>
    <w:p w14:paraId="1C98B087" w14:textId="77777777" w:rsidR="00052BF2" w:rsidRPr="00FD211F" w:rsidRDefault="00052BF2" w:rsidP="009C58C8">
      <w:pPr>
        <w:ind w:left="0" w:firstLine="227"/>
        <w:jc w:val="both"/>
        <w:rPr>
          <w:sz w:val="36"/>
          <w:szCs w:val="36"/>
          <w:rtl/>
        </w:rPr>
      </w:pPr>
      <w:r w:rsidRPr="00FD211F">
        <w:rPr>
          <w:sz w:val="36"/>
          <w:szCs w:val="36"/>
          <w:rtl/>
        </w:rPr>
        <w:t xml:space="preserve">وقد اجاب عنه في البحوث بان المقصود باختراع الشارع لتلك المعاني هو ان الشارع حيث </w:t>
      </w:r>
      <w:r w:rsidR="006F4DC0" w:rsidRPr="00FD211F">
        <w:rPr>
          <w:sz w:val="36"/>
          <w:szCs w:val="36"/>
          <w:rtl/>
        </w:rPr>
        <w:t xml:space="preserve">يطلق </w:t>
      </w:r>
      <w:r w:rsidRPr="00FD211F">
        <w:rPr>
          <w:sz w:val="36"/>
          <w:szCs w:val="36"/>
          <w:rtl/>
        </w:rPr>
        <w:t>لفظ الصلا</w:t>
      </w:r>
      <w:r w:rsidR="00EC7EDF" w:rsidRPr="00FD211F">
        <w:rPr>
          <w:sz w:val="36"/>
          <w:szCs w:val="36"/>
          <w:rtl/>
        </w:rPr>
        <w:t xml:space="preserve">ة </w:t>
      </w:r>
      <w:r w:rsidRPr="00FD211F">
        <w:rPr>
          <w:sz w:val="36"/>
          <w:szCs w:val="36"/>
          <w:rtl/>
        </w:rPr>
        <w:t xml:space="preserve">على </w:t>
      </w:r>
      <w:r w:rsidR="006F4DC0" w:rsidRPr="00FD211F">
        <w:rPr>
          <w:sz w:val="36"/>
          <w:szCs w:val="36"/>
          <w:rtl/>
        </w:rPr>
        <w:t>مجموع</w:t>
      </w:r>
      <w:r w:rsidR="00EC7EDF" w:rsidRPr="00FD211F">
        <w:rPr>
          <w:sz w:val="36"/>
          <w:szCs w:val="36"/>
          <w:rtl/>
        </w:rPr>
        <w:t xml:space="preserve">ة </w:t>
      </w:r>
      <w:r w:rsidRPr="00FD211F">
        <w:rPr>
          <w:sz w:val="36"/>
          <w:szCs w:val="36"/>
          <w:rtl/>
        </w:rPr>
        <w:t>امور مختلف</w:t>
      </w:r>
      <w:r w:rsidR="00EC7EDF" w:rsidRPr="00FD211F">
        <w:rPr>
          <w:sz w:val="36"/>
          <w:szCs w:val="36"/>
          <w:rtl/>
        </w:rPr>
        <w:t xml:space="preserve">ة </w:t>
      </w:r>
      <w:r w:rsidR="006F4DC0" w:rsidRPr="00FD211F">
        <w:rPr>
          <w:sz w:val="36"/>
          <w:szCs w:val="36"/>
          <w:rtl/>
        </w:rPr>
        <w:t>تكون أجزاء الصلا</w:t>
      </w:r>
      <w:r w:rsidR="00EC7EDF" w:rsidRPr="00FD211F">
        <w:rPr>
          <w:sz w:val="36"/>
          <w:szCs w:val="36"/>
          <w:rtl/>
        </w:rPr>
        <w:t>ة</w:t>
      </w:r>
      <w:r w:rsidR="00603323" w:rsidRPr="00FD211F">
        <w:rPr>
          <w:sz w:val="36"/>
          <w:szCs w:val="36"/>
          <w:rtl/>
        </w:rPr>
        <w:t xml:space="preserve">، </w:t>
      </w:r>
      <w:r w:rsidRPr="00FD211F">
        <w:rPr>
          <w:sz w:val="36"/>
          <w:szCs w:val="36"/>
          <w:rtl/>
        </w:rPr>
        <w:t>فلابد ان يلحظ لها وحد</w:t>
      </w:r>
      <w:r w:rsidR="00EC7EDF" w:rsidRPr="00FD211F">
        <w:rPr>
          <w:sz w:val="36"/>
          <w:szCs w:val="36"/>
          <w:rtl/>
        </w:rPr>
        <w:t xml:space="preserve">ة </w:t>
      </w:r>
      <w:r w:rsidRPr="00FD211F">
        <w:rPr>
          <w:sz w:val="36"/>
          <w:szCs w:val="36"/>
          <w:rtl/>
        </w:rPr>
        <w:t>اعتباري</w:t>
      </w:r>
      <w:r w:rsidR="00EC7EDF" w:rsidRPr="00FD211F">
        <w:rPr>
          <w:sz w:val="36"/>
          <w:szCs w:val="36"/>
          <w:rtl/>
        </w:rPr>
        <w:t>ة</w:t>
      </w:r>
      <w:r w:rsidR="00603323" w:rsidRPr="00FD211F">
        <w:rPr>
          <w:sz w:val="36"/>
          <w:szCs w:val="36"/>
          <w:rtl/>
        </w:rPr>
        <w:t xml:space="preserve">، </w:t>
      </w:r>
      <w:r w:rsidRPr="00FD211F">
        <w:rPr>
          <w:sz w:val="36"/>
          <w:szCs w:val="36"/>
          <w:rtl/>
        </w:rPr>
        <w:t>ضرور</w:t>
      </w:r>
      <w:r w:rsidR="00EC7EDF" w:rsidRPr="00FD211F">
        <w:rPr>
          <w:sz w:val="36"/>
          <w:szCs w:val="36"/>
          <w:rtl/>
        </w:rPr>
        <w:t xml:space="preserve">ة </w:t>
      </w:r>
      <w:r w:rsidRPr="00FD211F">
        <w:rPr>
          <w:sz w:val="36"/>
          <w:szCs w:val="36"/>
          <w:rtl/>
        </w:rPr>
        <w:t>ان كل معنى يستعمل فيه اللفظ لابد ان يكون فيه جه</w:t>
      </w:r>
      <w:r w:rsidR="00EC7EDF" w:rsidRPr="00FD211F">
        <w:rPr>
          <w:sz w:val="36"/>
          <w:szCs w:val="36"/>
          <w:rtl/>
        </w:rPr>
        <w:t xml:space="preserve">ة </w:t>
      </w:r>
      <w:r w:rsidRPr="00FD211F">
        <w:rPr>
          <w:sz w:val="36"/>
          <w:szCs w:val="36"/>
          <w:rtl/>
        </w:rPr>
        <w:t>وحد</w:t>
      </w:r>
      <w:r w:rsidR="00EC7EDF" w:rsidRPr="00FD211F">
        <w:rPr>
          <w:sz w:val="36"/>
          <w:szCs w:val="36"/>
          <w:rtl/>
        </w:rPr>
        <w:t xml:space="preserve">ة </w:t>
      </w:r>
      <w:r w:rsidRPr="00FD211F">
        <w:rPr>
          <w:sz w:val="36"/>
          <w:szCs w:val="36"/>
          <w:rtl/>
        </w:rPr>
        <w:t>ليكون المستعمل فيه واحدا</w:t>
      </w:r>
      <w:r w:rsidR="00603323" w:rsidRPr="00FD211F">
        <w:rPr>
          <w:sz w:val="36"/>
          <w:szCs w:val="36"/>
          <w:rtl/>
        </w:rPr>
        <w:t xml:space="preserve">، </w:t>
      </w:r>
      <w:r w:rsidRPr="00FD211F">
        <w:rPr>
          <w:sz w:val="36"/>
          <w:szCs w:val="36"/>
          <w:rtl/>
        </w:rPr>
        <w:t>وعليه فلفظ الصلا</w:t>
      </w:r>
      <w:r w:rsidR="00EC7EDF" w:rsidRPr="00FD211F">
        <w:rPr>
          <w:sz w:val="36"/>
          <w:szCs w:val="36"/>
          <w:rtl/>
        </w:rPr>
        <w:t xml:space="preserve">ة </w:t>
      </w:r>
      <w:r w:rsidRPr="00FD211F">
        <w:rPr>
          <w:sz w:val="36"/>
          <w:szCs w:val="36"/>
          <w:rtl/>
        </w:rPr>
        <w:t>مثلا يستعمل في العباد</w:t>
      </w:r>
      <w:r w:rsidR="00EC7EDF" w:rsidRPr="00FD211F">
        <w:rPr>
          <w:sz w:val="36"/>
          <w:szCs w:val="36"/>
          <w:rtl/>
        </w:rPr>
        <w:t xml:space="preserve">ة </w:t>
      </w:r>
      <w:r w:rsidRPr="00FD211F">
        <w:rPr>
          <w:sz w:val="36"/>
          <w:szCs w:val="36"/>
          <w:rtl/>
        </w:rPr>
        <w:t>الخاص</w:t>
      </w:r>
      <w:r w:rsidR="00EC7EDF" w:rsidRPr="00FD211F">
        <w:rPr>
          <w:sz w:val="36"/>
          <w:szCs w:val="36"/>
          <w:rtl/>
        </w:rPr>
        <w:t xml:space="preserve">ة </w:t>
      </w:r>
      <w:r w:rsidRPr="00FD211F">
        <w:rPr>
          <w:sz w:val="36"/>
          <w:szCs w:val="36"/>
          <w:rtl/>
        </w:rPr>
        <w:t>بما لها من وحد</w:t>
      </w:r>
      <w:r w:rsidR="00EC7EDF" w:rsidRPr="00FD211F">
        <w:rPr>
          <w:sz w:val="36"/>
          <w:szCs w:val="36"/>
          <w:rtl/>
        </w:rPr>
        <w:t xml:space="preserve">ة </w:t>
      </w:r>
      <w:r w:rsidRPr="00FD211F">
        <w:rPr>
          <w:sz w:val="36"/>
          <w:szCs w:val="36"/>
          <w:rtl/>
        </w:rPr>
        <w:t>اعتباري</w:t>
      </w:r>
      <w:r w:rsidR="00EC7EDF" w:rsidRPr="00FD211F">
        <w:rPr>
          <w:sz w:val="36"/>
          <w:szCs w:val="36"/>
          <w:rtl/>
        </w:rPr>
        <w:t xml:space="preserve">ة </w:t>
      </w:r>
      <w:r w:rsidRPr="00FD211F">
        <w:rPr>
          <w:sz w:val="36"/>
          <w:szCs w:val="36"/>
          <w:rtl/>
        </w:rPr>
        <w:t>مع قطع النظر عن تعلق الأمر بها</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331"/>
      </w:r>
      <w:r w:rsidR="00C17D0B" w:rsidRPr="00FD211F">
        <w:rPr>
          <w:rStyle w:val="a6"/>
          <w:sz w:val="36"/>
          <w:szCs w:val="36"/>
          <w:rtl/>
        </w:rPr>
        <w:t>)</w:t>
      </w:r>
      <w:r w:rsidRPr="00FD211F">
        <w:rPr>
          <w:sz w:val="36"/>
          <w:szCs w:val="36"/>
          <w:rtl/>
        </w:rPr>
        <w:t xml:space="preserve"> ولابأس بما افاده.</w:t>
      </w:r>
    </w:p>
    <w:p w14:paraId="28B8F081" w14:textId="77777777" w:rsidR="00052BF2" w:rsidRPr="00FD211F" w:rsidRDefault="00052BF2" w:rsidP="009C58C8">
      <w:pPr>
        <w:ind w:left="0" w:firstLine="227"/>
        <w:jc w:val="both"/>
        <w:rPr>
          <w:sz w:val="36"/>
          <w:szCs w:val="36"/>
          <w:rtl/>
        </w:rPr>
      </w:pPr>
      <w:r w:rsidRPr="00FD211F">
        <w:rPr>
          <w:sz w:val="36"/>
          <w:szCs w:val="36"/>
          <w:rtl/>
        </w:rPr>
        <w:t>3- ان ما ذكره صاحب الكفاي</w:t>
      </w:r>
      <w:r w:rsidR="00EC7EDF" w:rsidRPr="00FD211F">
        <w:rPr>
          <w:sz w:val="36"/>
          <w:szCs w:val="36"/>
          <w:rtl/>
        </w:rPr>
        <w:t>ة</w:t>
      </w:r>
      <w:r w:rsidR="008D7B3D" w:rsidRPr="00FD211F">
        <w:rPr>
          <w:sz w:val="36"/>
          <w:szCs w:val="36"/>
          <w:rtl/>
        </w:rPr>
        <w:t xml:space="preserve"> </w:t>
      </w:r>
      <w:r w:rsidR="000563CE" w:rsidRPr="00FD211F">
        <w:rPr>
          <w:sz w:val="36"/>
          <w:szCs w:val="36"/>
          <w:rtl/>
        </w:rPr>
        <w:t>"قده"</w:t>
      </w:r>
      <w:r w:rsidR="00A61BAE" w:rsidRPr="00FD211F">
        <w:rPr>
          <w:sz w:val="36"/>
          <w:szCs w:val="36"/>
          <w:rtl/>
        </w:rPr>
        <w:t xml:space="preserve"> </w:t>
      </w:r>
      <w:r w:rsidRPr="00FD211F">
        <w:rPr>
          <w:sz w:val="36"/>
          <w:szCs w:val="36"/>
          <w:rtl/>
        </w:rPr>
        <w:t>من عدم مناسب</w:t>
      </w:r>
      <w:r w:rsidR="00EC7EDF" w:rsidRPr="00FD211F">
        <w:rPr>
          <w:sz w:val="36"/>
          <w:szCs w:val="36"/>
          <w:rtl/>
        </w:rPr>
        <w:t xml:space="preserve">ة </w:t>
      </w:r>
      <w:r w:rsidRPr="00FD211F">
        <w:rPr>
          <w:sz w:val="36"/>
          <w:szCs w:val="36"/>
          <w:rtl/>
        </w:rPr>
        <w:t>لاستعمال تلك الالفاظ في المعاني الشرعي</w:t>
      </w:r>
      <w:r w:rsidR="00EC7EDF" w:rsidRPr="00FD211F">
        <w:rPr>
          <w:sz w:val="36"/>
          <w:szCs w:val="36"/>
          <w:rtl/>
        </w:rPr>
        <w:t xml:space="preserve">ة </w:t>
      </w:r>
      <w:r w:rsidRPr="00FD211F">
        <w:rPr>
          <w:sz w:val="36"/>
          <w:szCs w:val="36"/>
          <w:rtl/>
        </w:rPr>
        <w:t>مجازا فيلاحظ عليه: ان من المحتمل استعمالها في تلك المعاني من باب تطبيق المعنى الكلي على فرده</w:t>
      </w:r>
      <w:r w:rsidR="00603323" w:rsidRPr="00FD211F">
        <w:rPr>
          <w:sz w:val="36"/>
          <w:szCs w:val="36"/>
          <w:rtl/>
        </w:rPr>
        <w:t xml:space="preserve">، </w:t>
      </w:r>
      <w:r w:rsidRPr="00FD211F">
        <w:rPr>
          <w:sz w:val="36"/>
          <w:szCs w:val="36"/>
          <w:rtl/>
        </w:rPr>
        <w:t xml:space="preserve">كما مر نقله عن المحقق الاصفهاني </w:t>
      </w:r>
      <w:r w:rsidR="007E0BB0" w:rsidRPr="00FD211F">
        <w:rPr>
          <w:sz w:val="36"/>
          <w:szCs w:val="36"/>
          <w:rtl/>
        </w:rPr>
        <w:t>"</w:t>
      </w:r>
      <w:r w:rsidRPr="00FD211F">
        <w:rPr>
          <w:sz w:val="36"/>
          <w:szCs w:val="36"/>
          <w:rtl/>
        </w:rPr>
        <w:t>قده</w:t>
      </w:r>
      <w:r w:rsidR="007E0BB0" w:rsidRPr="00FD211F">
        <w:rPr>
          <w:sz w:val="36"/>
          <w:szCs w:val="36"/>
          <w:rtl/>
        </w:rPr>
        <w:t>"</w:t>
      </w:r>
      <w:r w:rsidRPr="00FD211F">
        <w:rPr>
          <w:sz w:val="36"/>
          <w:szCs w:val="36"/>
          <w:rtl/>
        </w:rPr>
        <w:t xml:space="preserve"> في لفظ الصلا</w:t>
      </w:r>
      <w:r w:rsidR="00EC7EDF" w:rsidRPr="00FD211F">
        <w:rPr>
          <w:sz w:val="36"/>
          <w:szCs w:val="36"/>
          <w:rtl/>
        </w:rPr>
        <w:t>ة</w:t>
      </w:r>
      <w:r w:rsidR="00603323" w:rsidRPr="00FD211F">
        <w:rPr>
          <w:sz w:val="36"/>
          <w:szCs w:val="36"/>
          <w:rtl/>
        </w:rPr>
        <w:t xml:space="preserve">، </w:t>
      </w:r>
      <w:r w:rsidRPr="00FD211F">
        <w:rPr>
          <w:sz w:val="36"/>
          <w:szCs w:val="36"/>
          <w:rtl/>
        </w:rPr>
        <w:t>حيث ذكر انها بمعنى العطف والميل</w:t>
      </w:r>
      <w:r w:rsidR="00603323" w:rsidRPr="00FD211F">
        <w:rPr>
          <w:sz w:val="36"/>
          <w:szCs w:val="36"/>
          <w:rtl/>
        </w:rPr>
        <w:t xml:space="preserve">، </w:t>
      </w:r>
      <w:r w:rsidRPr="00FD211F">
        <w:rPr>
          <w:sz w:val="36"/>
          <w:szCs w:val="36"/>
          <w:rtl/>
        </w:rPr>
        <w:t>فيكون تطبيقها على الصلا</w:t>
      </w:r>
      <w:r w:rsidR="00EC7EDF" w:rsidRPr="00FD211F">
        <w:rPr>
          <w:sz w:val="36"/>
          <w:szCs w:val="36"/>
          <w:rtl/>
        </w:rPr>
        <w:t xml:space="preserve">ة </w:t>
      </w:r>
      <w:r w:rsidRPr="00FD211F">
        <w:rPr>
          <w:sz w:val="36"/>
          <w:szCs w:val="36"/>
          <w:rtl/>
        </w:rPr>
        <w:t>المعهود</w:t>
      </w:r>
      <w:r w:rsidR="00EC7EDF" w:rsidRPr="00FD211F">
        <w:rPr>
          <w:sz w:val="36"/>
          <w:szCs w:val="36"/>
          <w:rtl/>
        </w:rPr>
        <w:t xml:space="preserve">ة </w:t>
      </w:r>
      <w:r w:rsidRPr="00FD211F">
        <w:rPr>
          <w:sz w:val="36"/>
          <w:szCs w:val="36"/>
          <w:rtl/>
        </w:rPr>
        <w:t>من باب تطبيق المعنى الكلي على فرده.</w:t>
      </w:r>
    </w:p>
    <w:p w14:paraId="59EF46F3" w14:textId="77777777" w:rsidR="00052BF2" w:rsidRPr="00FD211F" w:rsidRDefault="00052BF2" w:rsidP="009C58C8">
      <w:pPr>
        <w:ind w:left="0" w:firstLine="227"/>
        <w:jc w:val="both"/>
        <w:rPr>
          <w:sz w:val="36"/>
          <w:szCs w:val="36"/>
          <w:rtl/>
        </w:rPr>
      </w:pPr>
      <w:r w:rsidRPr="00FD211F">
        <w:rPr>
          <w:sz w:val="36"/>
          <w:szCs w:val="36"/>
          <w:rtl/>
        </w:rPr>
        <w:t>4- ان ما ذكره صاحب الكفاي</w:t>
      </w:r>
      <w:r w:rsidR="00EC7EDF" w:rsidRPr="00FD211F">
        <w:rPr>
          <w:sz w:val="36"/>
          <w:szCs w:val="36"/>
          <w:rtl/>
        </w:rPr>
        <w:t xml:space="preserve">ة </w:t>
      </w:r>
      <w:r w:rsidR="007E0BB0" w:rsidRPr="00FD211F">
        <w:rPr>
          <w:sz w:val="36"/>
          <w:szCs w:val="36"/>
          <w:rtl/>
        </w:rPr>
        <w:t>"قده"</w:t>
      </w:r>
      <w:r w:rsidRPr="00FD211F">
        <w:rPr>
          <w:sz w:val="36"/>
          <w:szCs w:val="36"/>
          <w:rtl/>
        </w:rPr>
        <w:t xml:space="preserve"> من ان ظاهر جمل</w:t>
      </w:r>
      <w:r w:rsidR="00EC7EDF" w:rsidRPr="00FD211F">
        <w:rPr>
          <w:sz w:val="36"/>
          <w:szCs w:val="36"/>
          <w:rtl/>
        </w:rPr>
        <w:t xml:space="preserve">ة </w:t>
      </w:r>
      <w:r w:rsidRPr="00FD211F">
        <w:rPr>
          <w:sz w:val="36"/>
          <w:szCs w:val="36"/>
          <w:rtl/>
        </w:rPr>
        <w:t>من الآيات كون تلك المعاني الشرعي</w:t>
      </w:r>
      <w:r w:rsidR="00EC7EDF" w:rsidRPr="00FD211F">
        <w:rPr>
          <w:sz w:val="36"/>
          <w:szCs w:val="36"/>
          <w:rtl/>
        </w:rPr>
        <w:t xml:space="preserve">ة </w:t>
      </w:r>
      <w:r w:rsidRPr="00FD211F">
        <w:rPr>
          <w:sz w:val="36"/>
          <w:szCs w:val="36"/>
          <w:rtl/>
        </w:rPr>
        <w:t>ثابت</w:t>
      </w:r>
      <w:r w:rsidR="00EC7EDF" w:rsidRPr="00FD211F">
        <w:rPr>
          <w:sz w:val="36"/>
          <w:szCs w:val="36"/>
          <w:rtl/>
        </w:rPr>
        <w:t xml:space="preserve">ة </w:t>
      </w:r>
      <w:r w:rsidRPr="00FD211F">
        <w:rPr>
          <w:sz w:val="36"/>
          <w:szCs w:val="36"/>
          <w:rtl/>
        </w:rPr>
        <w:t>في الشرائع السابق</w:t>
      </w:r>
      <w:r w:rsidR="00EC7EDF" w:rsidRPr="00FD211F">
        <w:rPr>
          <w:sz w:val="36"/>
          <w:szCs w:val="36"/>
          <w:rtl/>
        </w:rPr>
        <w:t>ة</w:t>
      </w:r>
      <w:r w:rsidR="00603323" w:rsidRPr="00FD211F">
        <w:rPr>
          <w:sz w:val="36"/>
          <w:szCs w:val="36"/>
          <w:rtl/>
        </w:rPr>
        <w:t xml:space="preserve">، </w:t>
      </w:r>
      <w:r w:rsidRPr="00FD211F">
        <w:rPr>
          <w:sz w:val="36"/>
          <w:szCs w:val="36"/>
          <w:rtl/>
        </w:rPr>
        <w:t>وعليه فتكون الالفاظ المستعمل</w:t>
      </w:r>
      <w:r w:rsidR="00EC7EDF" w:rsidRPr="00FD211F">
        <w:rPr>
          <w:sz w:val="36"/>
          <w:szCs w:val="36"/>
          <w:rtl/>
        </w:rPr>
        <w:t xml:space="preserve">ة </w:t>
      </w:r>
      <w:r w:rsidRPr="00FD211F">
        <w:rPr>
          <w:sz w:val="36"/>
          <w:szCs w:val="36"/>
          <w:rtl/>
        </w:rPr>
        <w:t>في تلك المعاني حقائق لغوي</w:t>
      </w:r>
      <w:r w:rsidR="00EC7EDF" w:rsidRPr="00FD211F">
        <w:rPr>
          <w:sz w:val="36"/>
          <w:szCs w:val="36"/>
          <w:rtl/>
        </w:rPr>
        <w:t xml:space="preserve">ة </w:t>
      </w:r>
      <w:r w:rsidRPr="00FD211F">
        <w:rPr>
          <w:sz w:val="36"/>
          <w:szCs w:val="36"/>
          <w:rtl/>
        </w:rPr>
        <w:t>فيها لاحقائق شرعي</w:t>
      </w:r>
      <w:r w:rsidR="00EC7EDF" w:rsidRPr="00FD211F">
        <w:rPr>
          <w:sz w:val="36"/>
          <w:szCs w:val="36"/>
          <w:rtl/>
        </w:rPr>
        <w:t>ة</w:t>
      </w:r>
      <w:r w:rsidR="00603323" w:rsidRPr="00FD211F">
        <w:rPr>
          <w:sz w:val="36"/>
          <w:szCs w:val="36"/>
          <w:rtl/>
        </w:rPr>
        <w:t xml:space="preserve">، </w:t>
      </w:r>
      <w:r w:rsidRPr="00FD211F">
        <w:rPr>
          <w:sz w:val="36"/>
          <w:szCs w:val="36"/>
          <w:rtl/>
        </w:rPr>
        <w:t>فقد ا</w:t>
      </w:r>
      <w:r w:rsidR="00DD289A" w:rsidRPr="00FD211F">
        <w:rPr>
          <w:sz w:val="36"/>
          <w:szCs w:val="36"/>
          <w:rtl/>
        </w:rPr>
        <w:t>شكل</w:t>
      </w:r>
      <w:r w:rsidRPr="00FD211F">
        <w:rPr>
          <w:sz w:val="36"/>
          <w:szCs w:val="36"/>
          <w:rtl/>
        </w:rPr>
        <w:t xml:space="preserve"> عليه في البحوث بانه لايمكن الاستدلال بتلك الآيات على ثبوت تلك المع</w:t>
      </w:r>
      <w:r w:rsidR="00E60472" w:rsidRPr="00FD211F">
        <w:rPr>
          <w:sz w:val="36"/>
          <w:szCs w:val="36"/>
          <w:rtl/>
        </w:rPr>
        <w:t>اني الشرعي</w:t>
      </w:r>
      <w:r w:rsidR="00EC7EDF" w:rsidRPr="00FD211F">
        <w:rPr>
          <w:sz w:val="36"/>
          <w:szCs w:val="36"/>
          <w:rtl/>
        </w:rPr>
        <w:t xml:space="preserve">ة </w:t>
      </w:r>
      <w:r w:rsidR="00E60472" w:rsidRPr="00FD211F">
        <w:rPr>
          <w:sz w:val="36"/>
          <w:szCs w:val="36"/>
          <w:rtl/>
        </w:rPr>
        <w:t>في الشرائع السابق</w:t>
      </w:r>
      <w:r w:rsidR="00EC7EDF" w:rsidRPr="00FD211F">
        <w:rPr>
          <w:sz w:val="36"/>
          <w:szCs w:val="36"/>
          <w:rtl/>
        </w:rPr>
        <w:t xml:space="preserve">ة </w:t>
      </w:r>
      <w:r w:rsidR="00E60472" w:rsidRPr="00FD211F">
        <w:rPr>
          <w:sz w:val="36"/>
          <w:szCs w:val="36"/>
          <w:rtl/>
        </w:rPr>
        <w:t>ل</w:t>
      </w:r>
      <w:r w:rsidRPr="00FD211F">
        <w:rPr>
          <w:sz w:val="36"/>
          <w:szCs w:val="36"/>
          <w:rtl/>
        </w:rPr>
        <w:t>احتمال ان يكون الثابت في تلك الشرائع سنخ</w:t>
      </w:r>
      <w:r w:rsidR="00CC65DB" w:rsidRPr="00FD211F">
        <w:rPr>
          <w:sz w:val="36"/>
          <w:szCs w:val="36"/>
          <w:rtl/>
        </w:rPr>
        <w:t>ا</w:t>
      </w:r>
      <w:r w:rsidRPr="00FD211F">
        <w:rPr>
          <w:sz w:val="36"/>
          <w:szCs w:val="36"/>
          <w:rtl/>
        </w:rPr>
        <w:t xml:space="preserve"> آخر من العبادات بحيث لايكون بينها وبين العباد</w:t>
      </w:r>
      <w:r w:rsidR="00EC7EDF" w:rsidRPr="00FD211F">
        <w:rPr>
          <w:sz w:val="36"/>
          <w:szCs w:val="36"/>
          <w:rtl/>
        </w:rPr>
        <w:t xml:space="preserve">ة </w:t>
      </w:r>
      <w:r w:rsidRPr="00FD211F">
        <w:rPr>
          <w:sz w:val="36"/>
          <w:szCs w:val="36"/>
          <w:rtl/>
        </w:rPr>
        <w:t>الثابت</w:t>
      </w:r>
      <w:r w:rsidR="00EC7EDF" w:rsidRPr="00FD211F">
        <w:rPr>
          <w:sz w:val="36"/>
          <w:szCs w:val="36"/>
          <w:rtl/>
        </w:rPr>
        <w:t xml:space="preserve">ة </w:t>
      </w:r>
      <w:r w:rsidRPr="00FD211F">
        <w:rPr>
          <w:sz w:val="36"/>
          <w:szCs w:val="36"/>
          <w:rtl/>
        </w:rPr>
        <w:t>في شريع</w:t>
      </w:r>
      <w:r w:rsidR="00EC7EDF" w:rsidRPr="00FD211F">
        <w:rPr>
          <w:sz w:val="36"/>
          <w:szCs w:val="36"/>
          <w:rtl/>
        </w:rPr>
        <w:t xml:space="preserve">ة </w:t>
      </w:r>
      <w:r w:rsidRPr="00FD211F">
        <w:rPr>
          <w:sz w:val="36"/>
          <w:szCs w:val="36"/>
          <w:rtl/>
        </w:rPr>
        <w:t>الاسلام أيّ جامع</w:t>
      </w:r>
      <w:r w:rsidR="00603323" w:rsidRPr="00FD211F">
        <w:rPr>
          <w:sz w:val="36"/>
          <w:szCs w:val="36"/>
          <w:rtl/>
        </w:rPr>
        <w:t xml:space="preserve">، </w:t>
      </w:r>
      <w:r w:rsidRPr="00FD211F">
        <w:rPr>
          <w:sz w:val="36"/>
          <w:szCs w:val="36"/>
          <w:rtl/>
        </w:rPr>
        <w:t>ف</w:t>
      </w:r>
      <w:r w:rsidR="00CC65DB" w:rsidRPr="00FD211F">
        <w:rPr>
          <w:sz w:val="36"/>
          <w:szCs w:val="36"/>
          <w:rtl/>
        </w:rPr>
        <w:t xml:space="preserve">لعل </w:t>
      </w:r>
      <w:r w:rsidRPr="00FD211F">
        <w:rPr>
          <w:sz w:val="36"/>
          <w:szCs w:val="36"/>
          <w:rtl/>
        </w:rPr>
        <w:t>الصلا</w:t>
      </w:r>
      <w:r w:rsidR="00EC7EDF" w:rsidRPr="00FD211F">
        <w:rPr>
          <w:sz w:val="36"/>
          <w:szCs w:val="36"/>
          <w:rtl/>
        </w:rPr>
        <w:t xml:space="preserve">ة </w:t>
      </w:r>
      <w:r w:rsidRPr="00FD211F">
        <w:rPr>
          <w:sz w:val="36"/>
          <w:szCs w:val="36"/>
          <w:rtl/>
        </w:rPr>
        <w:t>العيسوي</w:t>
      </w:r>
      <w:r w:rsidR="00EC7EDF" w:rsidRPr="00FD211F">
        <w:rPr>
          <w:sz w:val="36"/>
          <w:szCs w:val="36"/>
          <w:rtl/>
        </w:rPr>
        <w:t xml:space="preserve">ة </w:t>
      </w:r>
      <w:r w:rsidRPr="00FD211F">
        <w:rPr>
          <w:sz w:val="36"/>
          <w:szCs w:val="36"/>
          <w:rtl/>
        </w:rPr>
        <w:t>م</w:t>
      </w:r>
      <w:r w:rsidR="00CC65DB" w:rsidRPr="00FD211F">
        <w:rPr>
          <w:sz w:val="36"/>
          <w:szCs w:val="36"/>
          <w:rtl/>
        </w:rPr>
        <w:t>ع الصلا</w:t>
      </w:r>
      <w:r w:rsidR="00EC7EDF" w:rsidRPr="00FD211F">
        <w:rPr>
          <w:sz w:val="36"/>
          <w:szCs w:val="36"/>
          <w:rtl/>
        </w:rPr>
        <w:t xml:space="preserve">ة </w:t>
      </w:r>
      <w:r w:rsidR="00CC65DB" w:rsidRPr="00FD211F">
        <w:rPr>
          <w:sz w:val="36"/>
          <w:szCs w:val="36"/>
          <w:rtl/>
        </w:rPr>
        <w:t>الاسلامي</w:t>
      </w:r>
      <w:r w:rsidR="00EC7EDF" w:rsidRPr="00FD211F">
        <w:rPr>
          <w:sz w:val="36"/>
          <w:szCs w:val="36"/>
          <w:rtl/>
        </w:rPr>
        <w:t xml:space="preserve">ة </w:t>
      </w:r>
      <w:r w:rsidR="00CC65DB" w:rsidRPr="00FD211F">
        <w:rPr>
          <w:sz w:val="36"/>
          <w:szCs w:val="36"/>
          <w:rtl/>
        </w:rPr>
        <w:t xml:space="preserve">ليستا صنفين من </w:t>
      </w:r>
      <w:r w:rsidRPr="00FD211F">
        <w:rPr>
          <w:sz w:val="36"/>
          <w:szCs w:val="36"/>
          <w:rtl/>
        </w:rPr>
        <w:t>مركب اعتباري واحد</w:t>
      </w:r>
      <w:r w:rsidR="00603323" w:rsidRPr="00FD211F">
        <w:rPr>
          <w:sz w:val="36"/>
          <w:szCs w:val="36"/>
          <w:rtl/>
        </w:rPr>
        <w:t xml:space="preserve">، </w:t>
      </w:r>
      <w:r w:rsidRPr="00FD211F">
        <w:rPr>
          <w:sz w:val="36"/>
          <w:szCs w:val="36"/>
          <w:rtl/>
        </w:rPr>
        <w:t>فيكون اطلاق لفظ الصلا</w:t>
      </w:r>
      <w:r w:rsidR="00EC7EDF" w:rsidRPr="00FD211F">
        <w:rPr>
          <w:sz w:val="36"/>
          <w:szCs w:val="36"/>
          <w:rtl/>
        </w:rPr>
        <w:t xml:space="preserve">ة </w:t>
      </w:r>
      <w:r w:rsidRPr="00FD211F">
        <w:rPr>
          <w:sz w:val="36"/>
          <w:szCs w:val="36"/>
          <w:rtl/>
        </w:rPr>
        <w:t>على الصلا</w:t>
      </w:r>
      <w:r w:rsidR="00EC7EDF" w:rsidRPr="00FD211F">
        <w:rPr>
          <w:sz w:val="36"/>
          <w:szCs w:val="36"/>
          <w:rtl/>
        </w:rPr>
        <w:t xml:space="preserve">ة </w:t>
      </w:r>
      <w:r w:rsidRPr="00FD211F">
        <w:rPr>
          <w:sz w:val="36"/>
          <w:szCs w:val="36"/>
          <w:rtl/>
        </w:rPr>
        <w:t>العيسوي</w:t>
      </w:r>
      <w:r w:rsidR="00EC7EDF" w:rsidRPr="00FD211F">
        <w:rPr>
          <w:sz w:val="36"/>
          <w:szCs w:val="36"/>
          <w:rtl/>
        </w:rPr>
        <w:t xml:space="preserve">ة </w:t>
      </w:r>
      <w:r w:rsidRPr="00FD211F">
        <w:rPr>
          <w:sz w:val="36"/>
          <w:szCs w:val="36"/>
          <w:rtl/>
        </w:rPr>
        <w:t>من باب المجاز</w:t>
      </w:r>
      <w:r w:rsidR="00603323" w:rsidRPr="00FD211F">
        <w:rPr>
          <w:sz w:val="36"/>
          <w:szCs w:val="36"/>
          <w:rtl/>
        </w:rPr>
        <w:t xml:space="preserve">، </w:t>
      </w:r>
      <w:r w:rsidRPr="00FD211F">
        <w:rPr>
          <w:sz w:val="36"/>
          <w:szCs w:val="36"/>
          <w:rtl/>
        </w:rPr>
        <w:t>ولايمكن نفي هذا الاحتمال الا بعد اثبات كون لفظ الصلا</w:t>
      </w:r>
      <w:r w:rsidR="00EC7EDF" w:rsidRPr="00FD211F">
        <w:rPr>
          <w:sz w:val="36"/>
          <w:szCs w:val="36"/>
          <w:rtl/>
        </w:rPr>
        <w:t xml:space="preserve">ة </w:t>
      </w:r>
      <w:r w:rsidRPr="00FD211F">
        <w:rPr>
          <w:sz w:val="36"/>
          <w:szCs w:val="36"/>
          <w:rtl/>
        </w:rPr>
        <w:t>في قوله تعالى "واوصاني بالصلا</w:t>
      </w:r>
      <w:r w:rsidR="00EC7EDF" w:rsidRPr="00FD211F">
        <w:rPr>
          <w:sz w:val="36"/>
          <w:szCs w:val="36"/>
          <w:rtl/>
        </w:rPr>
        <w:t xml:space="preserve">ة </w:t>
      </w:r>
      <w:r w:rsidRPr="00FD211F">
        <w:rPr>
          <w:sz w:val="36"/>
          <w:szCs w:val="36"/>
          <w:rtl/>
        </w:rPr>
        <w:t>والزكا</w:t>
      </w:r>
      <w:r w:rsidR="00EC7EDF" w:rsidRPr="00FD211F">
        <w:rPr>
          <w:sz w:val="36"/>
          <w:szCs w:val="36"/>
          <w:rtl/>
        </w:rPr>
        <w:t xml:space="preserve">ة </w:t>
      </w:r>
      <w:r w:rsidRPr="00FD211F">
        <w:rPr>
          <w:sz w:val="36"/>
          <w:szCs w:val="36"/>
          <w:rtl/>
        </w:rPr>
        <w:t>مادمت حيّا" مستعملا في المعنى الشرعي المعهود</w:t>
      </w:r>
      <w:r w:rsidR="00603323" w:rsidRPr="00FD211F">
        <w:rPr>
          <w:sz w:val="36"/>
          <w:szCs w:val="36"/>
          <w:rtl/>
        </w:rPr>
        <w:t xml:space="preserve">، </w:t>
      </w:r>
      <w:r w:rsidRPr="00FD211F">
        <w:rPr>
          <w:sz w:val="36"/>
          <w:szCs w:val="36"/>
          <w:rtl/>
        </w:rPr>
        <w:t>وهذا اول الكلام</w:t>
      </w:r>
      <w:r w:rsidR="00603323" w:rsidRPr="00FD211F">
        <w:rPr>
          <w:sz w:val="36"/>
          <w:szCs w:val="36"/>
          <w:rtl/>
        </w:rPr>
        <w:t xml:space="preserve">، </w:t>
      </w:r>
      <w:r w:rsidRPr="00FD211F">
        <w:rPr>
          <w:sz w:val="36"/>
          <w:szCs w:val="36"/>
          <w:rtl/>
        </w:rPr>
        <w:t>فانه ما</w:t>
      </w:r>
      <w:r w:rsidR="008D7B3D" w:rsidRPr="00FD211F">
        <w:rPr>
          <w:sz w:val="36"/>
          <w:szCs w:val="36"/>
          <w:rtl/>
        </w:rPr>
        <w:t xml:space="preserve"> لم‌</w:t>
      </w:r>
      <w:r w:rsidRPr="00FD211F">
        <w:rPr>
          <w:sz w:val="36"/>
          <w:szCs w:val="36"/>
          <w:rtl/>
        </w:rPr>
        <w:t>يحرز كون لفظ الصلا</w:t>
      </w:r>
      <w:r w:rsidR="00EC7EDF" w:rsidRPr="00FD211F">
        <w:rPr>
          <w:sz w:val="36"/>
          <w:szCs w:val="36"/>
          <w:rtl/>
        </w:rPr>
        <w:t xml:space="preserve">ة </w:t>
      </w:r>
      <w:r w:rsidRPr="00FD211F">
        <w:rPr>
          <w:sz w:val="36"/>
          <w:szCs w:val="36"/>
          <w:rtl/>
        </w:rPr>
        <w:t>حقيق</w:t>
      </w:r>
      <w:r w:rsidR="00EC7EDF" w:rsidRPr="00FD211F">
        <w:rPr>
          <w:sz w:val="36"/>
          <w:szCs w:val="36"/>
          <w:rtl/>
        </w:rPr>
        <w:t xml:space="preserve">ة </w:t>
      </w:r>
      <w:r w:rsidRPr="00FD211F">
        <w:rPr>
          <w:sz w:val="36"/>
          <w:szCs w:val="36"/>
          <w:rtl/>
        </w:rPr>
        <w:t>في المع</w:t>
      </w:r>
      <w:r w:rsidR="00CC65DB" w:rsidRPr="00FD211F">
        <w:rPr>
          <w:sz w:val="36"/>
          <w:szCs w:val="36"/>
          <w:rtl/>
        </w:rPr>
        <w:t>نى الشرعي المعهود لايمكن اجراء أ</w:t>
      </w:r>
      <w:r w:rsidRPr="00FD211F">
        <w:rPr>
          <w:sz w:val="36"/>
          <w:szCs w:val="36"/>
          <w:rtl/>
        </w:rPr>
        <w:t>صال</w:t>
      </w:r>
      <w:r w:rsidR="00EC7EDF" w:rsidRPr="00FD211F">
        <w:rPr>
          <w:sz w:val="36"/>
          <w:szCs w:val="36"/>
          <w:rtl/>
        </w:rPr>
        <w:t xml:space="preserve">ة </w:t>
      </w:r>
      <w:r w:rsidRPr="00FD211F">
        <w:rPr>
          <w:sz w:val="36"/>
          <w:szCs w:val="36"/>
          <w:rtl/>
        </w:rPr>
        <w:t>الحقيق</w:t>
      </w:r>
      <w:r w:rsidR="00EC7EDF" w:rsidRPr="00FD211F">
        <w:rPr>
          <w:sz w:val="36"/>
          <w:szCs w:val="36"/>
          <w:rtl/>
        </w:rPr>
        <w:t xml:space="preserve">ة </w:t>
      </w:r>
      <w:r w:rsidRPr="00FD211F">
        <w:rPr>
          <w:sz w:val="36"/>
          <w:szCs w:val="36"/>
          <w:rtl/>
        </w:rPr>
        <w:t>لاحراز استعماله في الآي</w:t>
      </w:r>
      <w:r w:rsidR="00EC7EDF" w:rsidRPr="00FD211F">
        <w:rPr>
          <w:sz w:val="36"/>
          <w:szCs w:val="36"/>
          <w:rtl/>
        </w:rPr>
        <w:t xml:space="preserve">ة </w:t>
      </w:r>
      <w:r w:rsidRPr="00FD211F">
        <w:rPr>
          <w:sz w:val="36"/>
          <w:szCs w:val="36"/>
          <w:rtl/>
        </w:rPr>
        <w:t>الشريف</w:t>
      </w:r>
      <w:r w:rsidR="00EC7EDF" w:rsidRPr="00FD211F">
        <w:rPr>
          <w:sz w:val="36"/>
          <w:szCs w:val="36"/>
          <w:rtl/>
        </w:rPr>
        <w:t xml:space="preserve">ة </w:t>
      </w:r>
      <w:r w:rsidRPr="00FD211F">
        <w:rPr>
          <w:sz w:val="36"/>
          <w:szCs w:val="36"/>
          <w:rtl/>
        </w:rPr>
        <w:t>في هذا المعنى.</w:t>
      </w:r>
    </w:p>
    <w:p w14:paraId="4B81BA0F" w14:textId="77777777" w:rsidR="00052BF2" w:rsidRPr="00FD211F" w:rsidRDefault="00052BF2" w:rsidP="009C58C8">
      <w:pPr>
        <w:ind w:left="0" w:firstLine="227"/>
        <w:jc w:val="both"/>
        <w:rPr>
          <w:sz w:val="36"/>
          <w:szCs w:val="36"/>
          <w:rtl/>
        </w:rPr>
      </w:pPr>
      <w:r w:rsidRPr="00FD211F">
        <w:rPr>
          <w:sz w:val="36"/>
          <w:szCs w:val="36"/>
          <w:rtl/>
        </w:rPr>
        <w:t>وأما ما يقال من ان ظاهر قوله تعالى "كتب عليكم الصيام كما كتب على الذين من قبلكم" هو اتحاد سنخ الصوم في الشريع</w:t>
      </w:r>
      <w:r w:rsidR="00EC7EDF" w:rsidRPr="00FD211F">
        <w:rPr>
          <w:sz w:val="36"/>
          <w:szCs w:val="36"/>
          <w:rtl/>
        </w:rPr>
        <w:t xml:space="preserve">ة </w:t>
      </w:r>
      <w:r w:rsidRPr="00FD211F">
        <w:rPr>
          <w:sz w:val="36"/>
          <w:szCs w:val="36"/>
          <w:rtl/>
        </w:rPr>
        <w:t>الاسلامي</w:t>
      </w:r>
      <w:r w:rsidR="00EC7EDF" w:rsidRPr="00FD211F">
        <w:rPr>
          <w:sz w:val="36"/>
          <w:szCs w:val="36"/>
          <w:rtl/>
        </w:rPr>
        <w:t xml:space="preserve">ة </w:t>
      </w:r>
      <w:r w:rsidRPr="00FD211F">
        <w:rPr>
          <w:sz w:val="36"/>
          <w:szCs w:val="36"/>
          <w:rtl/>
        </w:rPr>
        <w:t>مع الشرائع السابق</w:t>
      </w:r>
      <w:r w:rsidR="00EC7EDF" w:rsidRPr="00FD211F">
        <w:rPr>
          <w:sz w:val="36"/>
          <w:szCs w:val="36"/>
          <w:rtl/>
        </w:rPr>
        <w:t>ة</w:t>
      </w:r>
      <w:r w:rsidR="00603323" w:rsidRPr="00FD211F">
        <w:rPr>
          <w:sz w:val="36"/>
          <w:szCs w:val="36"/>
          <w:rtl/>
        </w:rPr>
        <w:t xml:space="preserve">، </w:t>
      </w:r>
      <w:r w:rsidRPr="00FD211F">
        <w:rPr>
          <w:sz w:val="36"/>
          <w:szCs w:val="36"/>
          <w:rtl/>
        </w:rPr>
        <w:t xml:space="preserve">والا لزم الاستخدام في قوله </w:t>
      </w:r>
      <w:r w:rsidR="007D43A0" w:rsidRPr="00FD211F">
        <w:rPr>
          <w:sz w:val="36"/>
          <w:szCs w:val="36"/>
          <w:rtl/>
        </w:rPr>
        <w:t>"</w:t>
      </w:r>
      <w:r w:rsidRPr="00FD211F">
        <w:rPr>
          <w:sz w:val="36"/>
          <w:szCs w:val="36"/>
          <w:rtl/>
        </w:rPr>
        <w:t>كما كتب على الذين من قبلكم" ففيه ان من الممكن حمل لفظ الصوم في الآي</w:t>
      </w:r>
      <w:r w:rsidR="00EC7EDF" w:rsidRPr="00FD211F">
        <w:rPr>
          <w:sz w:val="36"/>
          <w:szCs w:val="36"/>
          <w:rtl/>
        </w:rPr>
        <w:t xml:space="preserve">ة </w:t>
      </w:r>
      <w:r w:rsidRPr="00FD211F">
        <w:rPr>
          <w:sz w:val="36"/>
          <w:szCs w:val="36"/>
          <w:rtl/>
        </w:rPr>
        <w:t>على معناه اللغوي وهو الامساك الجامع بين الصوم في الشريع</w:t>
      </w:r>
      <w:r w:rsidR="00EC7EDF" w:rsidRPr="00FD211F">
        <w:rPr>
          <w:sz w:val="36"/>
          <w:szCs w:val="36"/>
          <w:rtl/>
        </w:rPr>
        <w:t xml:space="preserve">ة </w:t>
      </w:r>
      <w:r w:rsidRPr="00FD211F">
        <w:rPr>
          <w:sz w:val="36"/>
          <w:szCs w:val="36"/>
          <w:rtl/>
        </w:rPr>
        <w:t>الاسلامي</w:t>
      </w:r>
      <w:r w:rsidR="00EC7EDF" w:rsidRPr="00FD211F">
        <w:rPr>
          <w:sz w:val="36"/>
          <w:szCs w:val="36"/>
          <w:rtl/>
        </w:rPr>
        <w:t xml:space="preserve">ة </w:t>
      </w:r>
      <w:r w:rsidRPr="00FD211F">
        <w:rPr>
          <w:sz w:val="36"/>
          <w:szCs w:val="36"/>
          <w:rtl/>
        </w:rPr>
        <w:t>مع الصوم في الشرائع السابق</w:t>
      </w:r>
      <w:r w:rsidR="00EC7EDF" w:rsidRPr="00FD211F">
        <w:rPr>
          <w:sz w:val="36"/>
          <w:szCs w:val="36"/>
          <w:rtl/>
        </w:rPr>
        <w:t>ة</w:t>
      </w:r>
      <w:r w:rsidR="00603323" w:rsidRPr="00FD211F">
        <w:rPr>
          <w:sz w:val="36"/>
          <w:szCs w:val="36"/>
          <w:rtl/>
        </w:rPr>
        <w:t xml:space="preserve">، </w:t>
      </w:r>
      <w:r w:rsidRPr="00FD211F">
        <w:rPr>
          <w:sz w:val="36"/>
          <w:szCs w:val="36"/>
          <w:rtl/>
        </w:rPr>
        <w:t>فلاتكون هذه الآي</w:t>
      </w:r>
      <w:r w:rsidR="00EC7EDF" w:rsidRPr="00FD211F">
        <w:rPr>
          <w:sz w:val="36"/>
          <w:szCs w:val="36"/>
          <w:rtl/>
        </w:rPr>
        <w:t xml:space="preserve">ة </w:t>
      </w:r>
      <w:r w:rsidRPr="00FD211F">
        <w:rPr>
          <w:sz w:val="36"/>
          <w:szCs w:val="36"/>
          <w:rtl/>
        </w:rPr>
        <w:t>دليلا على كون الصوم المعهود في الشريع</w:t>
      </w:r>
      <w:r w:rsidR="00EC7EDF" w:rsidRPr="00FD211F">
        <w:rPr>
          <w:sz w:val="36"/>
          <w:szCs w:val="36"/>
          <w:rtl/>
        </w:rPr>
        <w:t xml:space="preserve">ة </w:t>
      </w:r>
      <w:r w:rsidRPr="00FD211F">
        <w:rPr>
          <w:sz w:val="36"/>
          <w:szCs w:val="36"/>
          <w:rtl/>
        </w:rPr>
        <w:t>الاسلامي</w:t>
      </w:r>
      <w:r w:rsidR="00EC7EDF" w:rsidRPr="00FD211F">
        <w:rPr>
          <w:sz w:val="36"/>
          <w:szCs w:val="36"/>
          <w:rtl/>
        </w:rPr>
        <w:t xml:space="preserve">ة </w:t>
      </w:r>
      <w:r w:rsidRPr="00FD211F">
        <w:rPr>
          <w:sz w:val="36"/>
          <w:szCs w:val="36"/>
          <w:rtl/>
        </w:rPr>
        <w:t>ثابتا في الشرائع السابق</w:t>
      </w:r>
      <w:r w:rsidR="00EC7EDF" w:rsidRPr="00FD211F">
        <w:rPr>
          <w:sz w:val="36"/>
          <w:szCs w:val="36"/>
          <w:rtl/>
        </w:rPr>
        <w:t xml:space="preserve">ة </w:t>
      </w:r>
      <w:r w:rsidRPr="00FD211F">
        <w:rPr>
          <w:sz w:val="36"/>
          <w:szCs w:val="36"/>
          <w:rtl/>
        </w:rPr>
        <w:t>فلم يقم دليل على قدم هذه المعاني الشرعي</w:t>
      </w:r>
      <w:r w:rsidR="00EC7EDF" w:rsidRPr="00FD211F">
        <w:rPr>
          <w:sz w:val="36"/>
          <w:szCs w:val="36"/>
          <w:rtl/>
        </w:rPr>
        <w:t>ة</w:t>
      </w:r>
      <w:r w:rsidR="00603323" w:rsidRPr="00FD211F">
        <w:rPr>
          <w:sz w:val="36"/>
          <w:szCs w:val="36"/>
          <w:rtl/>
        </w:rPr>
        <w:t xml:space="preserve">، </w:t>
      </w:r>
      <w:r w:rsidRPr="00FD211F">
        <w:rPr>
          <w:sz w:val="36"/>
          <w:szCs w:val="36"/>
          <w:rtl/>
        </w:rPr>
        <w:t>نعم الصحيح انه يكفي لعدم احراز الوضع التعييني الاستعمالي مجرد احتمال ثبوت هذه المعاني الشرعي</w:t>
      </w:r>
      <w:r w:rsidR="00EC7EDF" w:rsidRPr="00FD211F">
        <w:rPr>
          <w:sz w:val="36"/>
          <w:szCs w:val="36"/>
          <w:rtl/>
        </w:rPr>
        <w:t xml:space="preserve">ة </w:t>
      </w:r>
      <w:r w:rsidRPr="00FD211F">
        <w:rPr>
          <w:sz w:val="36"/>
          <w:szCs w:val="36"/>
          <w:rtl/>
        </w:rPr>
        <w:t>في الشرائع السابق</w:t>
      </w:r>
      <w:r w:rsidR="00EC7EDF" w:rsidRPr="00FD211F">
        <w:rPr>
          <w:sz w:val="36"/>
          <w:szCs w:val="36"/>
          <w:rtl/>
        </w:rPr>
        <w:t xml:space="preserve">ة </w:t>
      </w:r>
      <w:r w:rsidRPr="00FD211F">
        <w:rPr>
          <w:sz w:val="36"/>
          <w:szCs w:val="36"/>
          <w:rtl/>
        </w:rPr>
        <w:t>وعدم اختراعها في الاسلام</w:t>
      </w:r>
      <w:r w:rsidR="009C58C8" w:rsidRPr="00FD211F">
        <w:rPr>
          <w:rStyle w:val="a6"/>
          <w:sz w:val="36"/>
          <w:szCs w:val="36"/>
          <w:rtl/>
        </w:rPr>
        <w:t>(</w:t>
      </w:r>
      <w:r w:rsidR="009C58C8" w:rsidRPr="00FD211F">
        <w:rPr>
          <w:rStyle w:val="a6"/>
          <w:sz w:val="36"/>
          <w:szCs w:val="36"/>
          <w:rtl/>
        </w:rPr>
        <w:footnoteReference w:id="332"/>
      </w:r>
      <w:r w:rsidR="009C58C8" w:rsidRPr="00FD211F">
        <w:rPr>
          <w:rStyle w:val="a6"/>
          <w:sz w:val="36"/>
          <w:szCs w:val="36"/>
          <w:rtl/>
        </w:rPr>
        <w:t>)</w:t>
      </w:r>
      <w:r w:rsidRPr="00FD211F">
        <w:rPr>
          <w:sz w:val="36"/>
          <w:szCs w:val="36"/>
          <w:rtl/>
        </w:rPr>
        <w:t>.</w:t>
      </w:r>
    </w:p>
    <w:p w14:paraId="4ACBACDD" w14:textId="77777777" w:rsidR="00052BF2" w:rsidRPr="00FD211F" w:rsidRDefault="00052BF2" w:rsidP="009C58C8">
      <w:pPr>
        <w:ind w:left="0" w:firstLine="227"/>
        <w:jc w:val="both"/>
        <w:rPr>
          <w:sz w:val="36"/>
          <w:szCs w:val="36"/>
          <w:rtl/>
        </w:rPr>
      </w:pPr>
      <w:r w:rsidRPr="00FD211F">
        <w:rPr>
          <w:sz w:val="36"/>
          <w:szCs w:val="36"/>
          <w:rtl/>
        </w:rPr>
        <w:t>و يمكن ان يجاب عن هذا الاشكال بانه حيث يعلم على اي تقدير –بعد افتراض ظهور استعمال تلك الالفاظ في معانيها الشرعي</w:t>
      </w:r>
      <w:r w:rsidR="00EC7EDF" w:rsidRPr="00FD211F">
        <w:rPr>
          <w:sz w:val="36"/>
          <w:szCs w:val="36"/>
          <w:rtl/>
        </w:rPr>
        <w:t xml:space="preserve">ة </w:t>
      </w:r>
      <w:r w:rsidRPr="00FD211F">
        <w:rPr>
          <w:sz w:val="36"/>
          <w:szCs w:val="36"/>
          <w:rtl/>
        </w:rPr>
        <w:t>على تقدير كونها مخترع</w:t>
      </w:r>
      <w:r w:rsidR="00EC7EDF" w:rsidRPr="00FD211F">
        <w:rPr>
          <w:sz w:val="36"/>
          <w:szCs w:val="36"/>
          <w:rtl/>
        </w:rPr>
        <w:t xml:space="preserve">ة </w:t>
      </w:r>
      <w:r w:rsidRPr="00FD211F">
        <w:rPr>
          <w:sz w:val="36"/>
          <w:szCs w:val="36"/>
          <w:rtl/>
        </w:rPr>
        <w:t>في الاسلام في الوضع التعييني الاستعمالي- بصيرور</w:t>
      </w:r>
      <w:r w:rsidR="00EC7EDF" w:rsidRPr="00FD211F">
        <w:rPr>
          <w:sz w:val="36"/>
          <w:szCs w:val="36"/>
          <w:rtl/>
        </w:rPr>
        <w:t xml:space="preserve">ة </w:t>
      </w:r>
      <w:r w:rsidRPr="00FD211F">
        <w:rPr>
          <w:sz w:val="36"/>
          <w:szCs w:val="36"/>
          <w:rtl/>
        </w:rPr>
        <w:t>هذه الالفاظ ظاهر</w:t>
      </w:r>
      <w:r w:rsidR="00EC7EDF" w:rsidRPr="00FD211F">
        <w:rPr>
          <w:sz w:val="36"/>
          <w:szCs w:val="36"/>
          <w:rtl/>
        </w:rPr>
        <w:t xml:space="preserve">ة </w:t>
      </w:r>
      <w:r w:rsidRPr="00FD211F">
        <w:rPr>
          <w:sz w:val="36"/>
          <w:szCs w:val="36"/>
          <w:rtl/>
        </w:rPr>
        <w:t>في معانيها الشرعي</w:t>
      </w:r>
      <w:r w:rsidR="00EC7EDF" w:rsidRPr="00FD211F">
        <w:rPr>
          <w:sz w:val="36"/>
          <w:szCs w:val="36"/>
          <w:rtl/>
        </w:rPr>
        <w:t xml:space="preserve">ة </w:t>
      </w:r>
      <w:r w:rsidRPr="00FD211F">
        <w:rPr>
          <w:sz w:val="36"/>
          <w:szCs w:val="36"/>
          <w:rtl/>
        </w:rPr>
        <w:t>حين نزول هذه الآيات</w:t>
      </w:r>
      <w:r w:rsidR="00603323" w:rsidRPr="00FD211F">
        <w:rPr>
          <w:sz w:val="36"/>
          <w:szCs w:val="36"/>
          <w:rtl/>
        </w:rPr>
        <w:t xml:space="preserve">، </w:t>
      </w:r>
      <w:r w:rsidRPr="00FD211F">
        <w:rPr>
          <w:sz w:val="36"/>
          <w:szCs w:val="36"/>
          <w:rtl/>
        </w:rPr>
        <w:t>إما لاختراعها في الاسلام فيكون وضعا تعيينيا استعماليا او لثبوتها في الشرائع السابق</w:t>
      </w:r>
      <w:r w:rsidR="00EC7EDF" w:rsidRPr="00FD211F">
        <w:rPr>
          <w:sz w:val="36"/>
          <w:szCs w:val="36"/>
          <w:rtl/>
        </w:rPr>
        <w:t xml:space="preserve">ة </w:t>
      </w:r>
      <w:r w:rsidRPr="00FD211F">
        <w:rPr>
          <w:sz w:val="36"/>
          <w:szCs w:val="36"/>
          <w:rtl/>
        </w:rPr>
        <w:t>فتكون حقيق</w:t>
      </w:r>
      <w:r w:rsidR="00EC7EDF" w:rsidRPr="00FD211F">
        <w:rPr>
          <w:sz w:val="36"/>
          <w:szCs w:val="36"/>
          <w:rtl/>
        </w:rPr>
        <w:t xml:space="preserve">ة </w:t>
      </w:r>
      <w:r w:rsidRPr="00FD211F">
        <w:rPr>
          <w:sz w:val="36"/>
          <w:szCs w:val="36"/>
          <w:rtl/>
        </w:rPr>
        <w:t>لغوي</w:t>
      </w:r>
      <w:r w:rsidR="00EC7EDF" w:rsidRPr="00FD211F">
        <w:rPr>
          <w:sz w:val="36"/>
          <w:szCs w:val="36"/>
          <w:rtl/>
        </w:rPr>
        <w:t>ة</w:t>
      </w:r>
      <w:r w:rsidR="00603323" w:rsidRPr="00FD211F">
        <w:rPr>
          <w:sz w:val="36"/>
          <w:szCs w:val="36"/>
          <w:rtl/>
        </w:rPr>
        <w:t xml:space="preserve">، </w:t>
      </w:r>
      <w:r w:rsidRPr="00FD211F">
        <w:rPr>
          <w:sz w:val="36"/>
          <w:szCs w:val="36"/>
          <w:rtl/>
        </w:rPr>
        <w:t>وحينئذ فمقتضى اصال</w:t>
      </w:r>
      <w:r w:rsidR="00EC7EDF" w:rsidRPr="00FD211F">
        <w:rPr>
          <w:sz w:val="36"/>
          <w:szCs w:val="36"/>
          <w:rtl/>
        </w:rPr>
        <w:t xml:space="preserve">ة </w:t>
      </w:r>
      <w:r w:rsidRPr="00FD211F">
        <w:rPr>
          <w:sz w:val="36"/>
          <w:szCs w:val="36"/>
          <w:rtl/>
        </w:rPr>
        <w:t>الحقيق</w:t>
      </w:r>
      <w:r w:rsidR="00EC7EDF" w:rsidRPr="00FD211F">
        <w:rPr>
          <w:sz w:val="36"/>
          <w:szCs w:val="36"/>
          <w:rtl/>
        </w:rPr>
        <w:t xml:space="preserve">ة </w:t>
      </w:r>
      <w:r w:rsidRPr="00FD211F">
        <w:rPr>
          <w:sz w:val="36"/>
          <w:szCs w:val="36"/>
          <w:rtl/>
        </w:rPr>
        <w:t>استعمالها في نفس هذه المعاني الشرعي</w:t>
      </w:r>
      <w:r w:rsidR="00EC7EDF" w:rsidRPr="00FD211F">
        <w:rPr>
          <w:sz w:val="36"/>
          <w:szCs w:val="36"/>
          <w:rtl/>
        </w:rPr>
        <w:t>ة</w:t>
      </w:r>
      <w:r w:rsidR="00603323" w:rsidRPr="00FD211F">
        <w:rPr>
          <w:sz w:val="36"/>
          <w:szCs w:val="36"/>
          <w:rtl/>
        </w:rPr>
        <w:t xml:space="preserve">، </w:t>
      </w:r>
      <w:r w:rsidRPr="00FD211F">
        <w:rPr>
          <w:sz w:val="36"/>
          <w:szCs w:val="36"/>
          <w:rtl/>
        </w:rPr>
        <w:t>فيثبت بذلك كون الأمم السابق</w:t>
      </w:r>
      <w:r w:rsidR="00EC7EDF" w:rsidRPr="00FD211F">
        <w:rPr>
          <w:sz w:val="36"/>
          <w:szCs w:val="36"/>
          <w:rtl/>
        </w:rPr>
        <w:t xml:space="preserve">ة </w:t>
      </w:r>
      <w:r w:rsidRPr="00FD211F">
        <w:rPr>
          <w:sz w:val="36"/>
          <w:szCs w:val="36"/>
          <w:rtl/>
        </w:rPr>
        <w:t>مكلفين بنفس هذه المعاني الشرعي</w:t>
      </w:r>
      <w:r w:rsidR="00EC7EDF" w:rsidRPr="00FD211F">
        <w:rPr>
          <w:sz w:val="36"/>
          <w:szCs w:val="36"/>
          <w:rtl/>
        </w:rPr>
        <w:t xml:space="preserve">ة </w:t>
      </w:r>
      <w:r w:rsidRPr="00FD211F">
        <w:rPr>
          <w:sz w:val="36"/>
          <w:szCs w:val="36"/>
          <w:rtl/>
        </w:rPr>
        <w:t>المعهود</w:t>
      </w:r>
      <w:r w:rsidR="00EC7EDF" w:rsidRPr="00FD211F">
        <w:rPr>
          <w:sz w:val="36"/>
          <w:szCs w:val="36"/>
          <w:rtl/>
        </w:rPr>
        <w:t>ة</w:t>
      </w:r>
      <w:r w:rsidR="00603323" w:rsidRPr="00FD211F">
        <w:rPr>
          <w:sz w:val="36"/>
          <w:szCs w:val="36"/>
          <w:rtl/>
        </w:rPr>
        <w:t xml:space="preserve">، </w:t>
      </w:r>
      <w:r w:rsidRPr="00FD211F">
        <w:rPr>
          <w:sz w:val="36"/>
          <w:szCs w:val="36"/>
          <w:rtl/>
        </w:rPr>
        <w:t>وبذلك يحرز سبقها وبالتالي يثبت كونها حقائق لغوي</w:t>
      </w:r>
      <w:r w:rsidR="00EC7EDF" w:rsidRPr="00FD211F">
        <w:rPr>
          <w:sz w:val="36"/>
          <w:szCs w:val="36"/>
          <w:rtl/>
        </w:rPr>
        <w:t xml:space="preserve">ة </w:t>
      </w:r>
      <w:r w:rsidRPr="00FD211F">
        <w:rPr>
          <w:sz w:val="36"/>
          <w:szCs w:val="36"/>
          <w:rtl/>
        </w:rPr>
        <w:t>لاشرعي</w:t>
      </w:r>
      <w:r w:rsidR="00EC7EDF" w:rsidRPr="00FD211F">
        <w:rPr>
          <w:sz w:val="36"/>
          <w:szCs w:val="36"/>
          <w:rtl/>
        </w:rPr>
        <w:t>ة</w:t>
      </w:r>
      <w:r w:rsidR="00A61BAE" w:rsidRPr="00FD211F">
        <w:rPr>
          <w:sz w:val="36"/>
          <w:szCs w:val="36"/>
          <w:rtl/>
        </w:rPr>
        <w:t>.</w:t>
      </w:r>
    </w:p>
    <w:p w14:paraId="02B364D8" w14:textId="77777777" w:rsidR="00052BF2" w:rsidRPr="00FD211F" w:rsidRDefault="00052BF2" w:rsidP="009C58C8">
      <w:pPr>
        <w:ind w:left="0" w:firstLine="227"/>
        <w:jc w:val="both"/>
        <w:rPr>
          <w:sz w:val="36"/>
          <w:szCs w:val="36"/>
          <w:rtl/>
        </w:rPr>
      </w:pPr>
      <w:r w:rsidRPr="00FD211F">
        <w:rPr>
          <w:sz w:val="36"/>
          <w:szCs w:val="36"/>
          <w:rtl/>
        </w:rPr>
        <w:t>5- اورد السيد الخوئي على صاحب الكفاي</w:t>
      </w:r>
      <w:r w:rsidR="00EC7EDF" w:rsidRPr="00FD211F">
        <w:rPr>
          <w:sz w:val="36"/>
          <w:szCs w:val="36"/>
          <w:rtl/>
        </w:rPr>
        <w:t xml:space="preserve">ة </w:t>
      </w:r>
      <w:r w:rsidR="007E0BB0" w:rsidRPr="00FD211F">
        <w:rPr>
          <w:sz w:val="36"/>
          <w:szCs w:val="36"/>
          <w:rtl/>
        </w:rPr>
        <w:t>"</w:t>
      </w:r>
      <w:r w:rsidRPr="00FD211F">
        <w:rPr>
          <w:sz w:val="36"/>
          <w:szCs w:val="36"/>
          <w:rtl/>
        </w:rPr>
        <w:t xml:space="preserve"> قدهما</w:t>
      </w:r>
      <w:r w:rsidR="007E0BB0" w:rsidRPr="00FD211F">
        <w:rPr>
          <w:sz w:val="36"/>
          <w:szCs w:val="36"/>
          <w:rtl/>
        </w:rPr>
        <w:t>"</w:t>
      </w:r>
      <w:r w:rsidRPr="00FD211F">
        <w:rPr>
          <w:sz w:val="36"/>
          <w:szCs w:val="36"/>
          <w:rtl/>
        </w:rPr>
        <w:t xml:space="preserve"> أنه لايهمنا عدم كون هذه الالفاظ حقائق شرعي</w:t>
      </w:r>
      <w:r w:rsidR="00EC7EDF" w:rsidRPr="00FD211F">
        <w:rPr>
          <w:sz w:val="36"/>
          <w:szCs w:val="36"/>
          <w:rtl/>
        </w:rPr>
        <w:t xml:space="preserve">ة </w:t>
      </w:r>
      <w:r w:rsidRPr="00FD211F">
        <w:rPr>
          <w:sz w:val="36"/>
          <w:szCs w:val="36"/>
          <w:rtl/>
        </w:rPr>
        <w:t>في معانيها الشرعي</w:t>
      </w:r>
      <w:r w:rsidR="00EC7EDF" w:rsidRPr="00FD211F">
        <w:rPr>
          <w:sz w:val="36"/>
          <w:szCs w:val="36"/>
          <w:rtl/>
        </w:rPr>
        <w:t>ة</w:t>
      </w:r>
      <w:r w:rsidR="00603323" w:rsidRPr="00FD211F">
        <w:rPr>
          <w:sz w:val="36"/>
          <w:szCs w:val="36"/>
          <w:rtl/>
        </w:rPr>
        <w:t xml:space="preserve">، </w:t>
      </w:r>
      <w:r w:rsidRPr="00FD211F">
        <w:rPr>
          <w:sz w:val="36"/>
          <w:szCs w:val="36"/>
          <w:rtl/>
        </w:rPr>
        <w:t>بل يكفي كونها حقائق لغوي</w:t>
      </w:r>
      <w:r w:rsidR="00EC7EDF" w:rsidRPr="00FD211F">
        <w:rPr>
          <w:sz w:val="36"/>
          <w:szCs w:val="36"/>
          <w:rtl/>
        </w:rPr>
        <w:t xml:space="preserve">ة </w:t>
      </w:r>
      <w:r w:rsidRPr="00FD211F">
        <w:rPr>
          <w:sz w:val="36"/>
          <w:szCs w:val="36"/>
          <w:rtl/>
        </w:rPr>
        <w:t>فيها</w:t>
      </w:r>
      <w:r w:rsidR="00603323" w:rsidRPr="00FD211F">
        <w:rPr>
          <w:sz w:val="36"/>
          <w:szCs w:val="36"/>
          <w:rtl/>
        </w:rPr>
        <w:t xml:space="preserve">، </w:t>
      </w:r>
      <w:r w:rsidRPr="00FD211F">
        <w:rPr>
          <w:sz w:val="36"/>
          <w:szCs w:val="36"/>
          <w:rtl/>
        </w:rPr>
        <w:t>حيث ان المهم هو اثبات ظهور الآيات والروايات المشتمل</w:t>
      </w:r>
      <w:r w:rsidR="00EC7EDF" w:rsidRPr="00FD211F">
        <w:rPr>
          <w:sz w:val="36"/>
          <w:szCs w:val="36"/>
          <w:rtl/>
        </w:rPr>
        <w:t xml:space="preserve">ة </w:t>
      </w:r>
      <w:r w:rsidRPr="00FD211F">
        <w:rPr>
          <w:sz w:val="36"/>
          <w:szCs w:val="36"/>
          <w:rtl/>
        </w:rPr>
        <w:t>على هذه الالفاظ في المعاني الشرعي</w:t>
      </w:r>
      <w:r w:rsidR="00EC7EDF" w:rsidRPr="00FD211F">
        <w:rPr>
          <w:sz w:val="36"/>
          <w:szCs w:val="36"/>
          <w:rtl/>
        </w:rPr>
        <w:t xml:space="preserve">ة </w:t>
      </w:r>
      <w:r w:rsidRPr="00FD211F">
        <w:rPr>
          <w:sz w:val="36"/>
          <w:szCs w:val="36"/>
          <w:rtl/>
        </w:rPr>
        <w:t>سواء كانت حقائق لغوي</w:t>
      </w:r>
      <w:r w:rsidR="00EC7EDF" w:rsidRPr="00FD211F">
        <w:rPr>
          <w:sz w:val="36"/>
          <w:szCs w:val="36"/>
          <w:rtl/>
        </w:rPr>
        <w:t xml:space="preserve">ة </w:t>
      </w:r>
      <w:r w:rsidRPr="00FD211F">
        <w:rPr>
          <w:sz w:val="36"/>
          <w:szCs w:val="36"/>
          <w:rtl/>
        </w:rPr>
        <w:t>او حقائق شرعي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333"/>
      </w:r>
      <w:r w:rsidR="009C58C8" w:rsidRPr="00FD211F">
        <w:rPr>
          <w:rStyle w:val="a6"/>
          <w:sz w:val="36"/>
          <w:szCs w:val="36"/>
          <w:rtl/>
        </w:rPr>
        <w:t>)</w:t>
      </w:r>
      <w:r w:rsidRPr="00FD211F">
        <w:rPr>
          <w:sz w:val="36"/>
          <w:szCs w:val="36"/>
          <w:rtl/>
        </w:rPr>
        <w:t>.</w:t>
      </w:r>
    </w:p>
    <w:p w14:paraId="37305BAE" w14:textId="77777777" w:rsidR="00052BF2" w:rsidRPr="00FD211F" w:rsidRDefault="00052BF2" w:rsidP="009C58C8">
      <w:pPr>
        <w:ind w:left="0" w:firstLine="227"/>
        <w:jc w:val="both"/>
        <w:rPr>
          <w:sz w:val="36"/>
          <w:szCs w:val="36"/>
          <w:rtl/>
        </w:rPr>
      </w:pPr>
      <w:r w:rsidRPr="00FD211F">
        <w:rPr>
          <w:sz w:val="36"/>
          <w:szCs w:val="36"/>
          <w:rtl/>
        </w:rPr>
        <w:t>وقد اورد عليه في البحوث بانه لو فرض احراز كونها مخترع</w:t>
      </w:r>
      <w:r w:rsidR="00EC7EDF" w:rsidRPr="00FD211F">
        <w:rPr>
          <w:sz w:val="36"/>
          <w:szCs w:val="36"/>
          <w:rtl/>
        </w:rPr>
        <w:t xml:space="preserve">ة </w:t>
      </w:r>
      <w:r w:rsidRPr="00FD211F">
        <w:rPr>
          <w:sz w:val="36"/>
          <w:szCs w:val="36"/>
          <w:rtl/>
        </w:rPr>
        <w:t>في الاسلام فيكون الظاهر نقل هذه الالفاظ الى هذه المعاني</w:t>
      </w:r>
      <w:r w:rsidR="00603323" w:rsidRPr="00FD211F">
        <w:rPr>
          <w:sz w:val="36"/>
          <w:szCs w:val="36"/>
          <w:rtl/>
        </w:rPr>
        <w:t xml:space="preserve">، </w:t>
      </w:r>
      <w:r w:rsidRPr="00FD211F">
        <w:rPr>
          <w:sz w:val="36"/>
          <w:szCs w:val="36"/>
          <w:rtl/>
        </w:rPr>
        <w:t>كما هو ظاهر استعمال اي مخترع في انه لايستعمل اللفظ الذي وضعه على مااخترعه بالوضع التعييني الاستعمالي الا في مخترعه دون المعنى السابق</w:t>
      </w:r>
      <w:r w:rsidR="00603323" w:rsidRPr="00FD211F">
        <w:rPr>
          <w:sz w:val="36"/>
          <w:szCs w:val="36"/>
          <w:rtl/>
        </w:rPr>
        <w:t xml:space="preserve">، </w:t>
      </w:r>
      <w:r w:rsidRPr="00FD211F">
        <w:rPr>
          <w:sz w:val="36"/>
          <w:szCs w:val="36"/>
          <w:rtl/>
        </w:rPr>
        <w:t>وأما على فرض كونها حقائق لغوي</w:t>
      </w:r>
      <w:r w:rsidR="00EC7EDF" w:rsidRPr="00FD211F">
        <w:rPr>
          <w:sz w:val="36"/>
          <w:szCs w:val="36"/>
          <w:rtl/>
        </w:rPr>
        <w:t xml:space="preserve">ة </w:t>
      </w:r>
      <w:r w:rsidRPr="00FD211F">
        <w:rPr>
          <w:sz w:val="36"/>
          <w:szCs w:val="36"/>
          <w:rtl/>
        </w:rPr>
        <w:t>في تلك المعاني الشرعي</w:t>
      </w:r>
      <w:r w:rsidR="00EC7EDF" w:rsidRPr="00FD211F">
        <w:rPr>
          <w:sz w:val="36"/>
          <w:szCs w:val="36"/>
          <w:rtl/>
        </w:rPr>
        <w:t xml:space="preserve">ة </w:t>
      </w:r>
      <w:r w:rsidRPr="00FD211F">
        <w:rPr>
          <w:sz w:val="36"/>
          <w:szCs w:val="36"/>
          <w:rtl/>
        </w:rPr>
        <w:t>فلادافع لاحتمال اشتراك تلك الالفاظ بين المعاني اللغوي</w:t>
      </w:r>
      <w:r w:rsidR="00EC7EDF" w:rsidRPr="00FD211F">
        <w:rPr>
          <w:sz w:val="36"/>
          <w:szCs w:val="36"/>
          <w:rtl/>
        </w:rPr>
        <w:t xml:space="preserve">ة </w:t>
      </w:r>
      <w:r w:rsidRPr="00FD211F">
        <w:rPr>
          <w:sz w:val="36"/>
          <w:szCs w:val="36"/>
          <w:rtl/>
        </w:rPr>
        <w:t>الاصلي</w:t>
      </w:r>
      <w:r w:rsidR="00EC7EDF" w:rsidRPr="00FD211F">
        <w:rPr>
          <w:sz w:val="36"/>
          <w:szCs w:val="36"/>
          <w:rtl/>
        </w:rPr>
        <w:t xml:space="preserve">ة </w:t>
      </w:r>
      <w:r w:rsidRPr="00FD211F">
        <w:rPr>
          <w:sz w:val="36"/>
          <w:szCs w:val="36"/>
          <w:rtl/>
        </w:rPr>
        <w:t>وبين تلك المعاني الشرعي</w:t>
      </w:r>
      <w:r w:rsidR="00EC7EDF" w:rsidRPr="00FD211F">
        <w:rPr>
          <w:sz w:val="36"/>
          <w:szCs w:val="36"/>
          <w:rtl/>
        </w:rPr>
        <w:t xml:space="preserve">ة </w:t>
      </w:r>
      <w:r w:rsidRPr="00FD211F">
        <w:rPr>
          <w:sz w:val="36"/>
          <w:szCs w:val="36"/>
          <w:rtl/>
        </w:rPr>
        <w:t>فتكون مجمل</w:t>
      </w:r>
      <w:r w:rsidR="00EC7EDF" w:rsidRPr="00FD211F">
        <w:rPr>
          <w:sz w:val="36"/>
          <w:szCs w:val="36"/>
          <w:rtl/>
        </w:rPr>
        <w:t>ة</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334"/>
      </w:r>
      <w:r w:rsidR="00C17D0B" w:rsidRPr="00FD211F">
        <w:rPr>
          <w:rStyle w:val="a6"/>
          <w:sz w:val="36"/>
          <w:szCs w:val="36"/>
          <w:rtl/>
        </w:rPr>
        <w:t>)</w:t>
      </w:r>
      <w:r w:rsidRPr="00FD211F">
        <w:rPr>
          <w:sz w:val="36"/>
          <w:szCs w:val="36"/>
          <w:rtl/>
        </w:rPr>
        <w:t xml:space="preserve"> وما افاده تام جدا.</w:t>
      </w:r>
    </w:p>
    <w:p w14:paraId="5539F84E" w14:textId="77777777" w:rsidR="00052BF2" w:rsidRPr="00FD211F" w:rsidRDefault="00052BF2" w:rsidP="009C58C8">
      <w:pPr>
        <w:ind w:left="0" w:firstLine="227"/>
        <w:jc w:val="both"/>
        <w:rPr>
          <w:sz w:val="36"/>
          <w:szCs w:val="36"/>
          <w:rtl/>
        </w:rPr>
      </w:pPr>
      <w:r w:rsidRPr="00FD211F">
        <w:rPr>
          <w:sz w:val="36"/>
          <w:szCs w:val="36"/>
          <w:rtl/>
        </w:rPr>
        <w:t xml:space="preserve">6- اورد المحقق الاصفهاني والسيد الخوئي </w:t>
      </w:r>
      <w:r w:rsidR="007E0BB0" w:rsidRPr="00FD211F">
        <w:rPr>
          <w:sz w:val="36"/>
          <w:szCs w:val="36"/>
          <w:rtl/>
        </w:rPr>
        <w:t>"قدهما"</w:t>
      </w:r>
      <w:r w:rsidRPr="00FD211F">
        <w:rPr>
          <w:sz w:val="36"/>
          <w:szCs w:val="36"/>
          <w:rtl/>
        </w:rPr>
        <w:t>على صاحب الكفاي</w:t>
      </w:r>
      <w:r w:rsidR="00EC7EDF" w:rsidRPr="00FD211F">
        <w:rPr>
          <w:sz w:val="36"/>
          <w:szCs w:val="36"/>
          <w:rtl/>
        </w:rPr>
        <w:t xml:space="preserve">ة </w:t>
      </w:r>
      <w:r w:rsidR="007E0BB0" w:rsidRPr="00FD211F">
        <w:rPr>
          <w:sz w:val="36"/>
          <w:szCs w:val="36"/>
          <w:rtl/>
        </w:rPr>
        <w:t>"قده</w:t>
      </w:r>
      <w:r w:rsidR="00AB1B12" w:rsidRPr="00FD211F">
        <w:rPr>
          <w:sz w:val="36"/>
          <w:szCs w:val="36"/>
          <w:rtl/>
        </w:rPr>
        <w:t>"</w:t>
      </w:r>
      <w:r w:rsidRPr="00FD211F">
        <w:rPr>
          <w:sz w:val="36"/>
          <w:szCs w:val="36"/>
          <w:rtl/>
        </w:rPr>
        <w:t xml:space="preserve"> ان مجرد ثبوت تلك المعاني الشرعي</w:t>
      </w:r>
      <w:r w:rsidR="00EC7EDF" w:rsidRPr="00FD211F">
        <w:rPr>
          <w:sz w:val="36"/>
          <w:szCs w:val="36"/>
          <w:rtl/>
        </w:rPr>
        <w:t xml:space="preserve">ة </w:t>
      </w:r>
      <w:r w:rsidRPr="00FD211F">
        <w:rPr>
          <w:sz w:val="36"/>
          <w:szCs w:val="36"/>
          <w:rtl/>
        </w:rPr>
        <w:t>في الشرائع السابق</w:t>
      </w:r>
      <w:r w:rsidR="00EC7EDF" w:rsidRPr="00FD211F">
        <w:rPr>
          <w:sz w:val="36"/>
          <w:szCs w:val="36"/>
          <w:rtl/>
        </w:rPr>
        <w:t xml:space="preserve">ة </w:t>
      </w:r>
      <w:r w:rsidRPr="00FD211F">
        <w:rPr>
          <w:sz w:val="36"/>
          <w:szCs w:val="36"/>
          <w:rtl/>
        </w:rPr>
        <w:t>لايعنى كون هذه الالفاظ العربي</w:t>
      </w:r>
      <w:r w:rsidR="00EC7EDF" w:rsidRPr="00FD211F">
        <w:rPr>
          <w:sz w:val="36"/>
          <w:szCs w:val="36"/>
          <w:rtl/>
        </w:rPr>
        <w:t xml:space="preserve">ة </w:t>
      </w:r>
      <w:r w:rsidRPr="00FD211F">
        <w:rPr>
          <w:sz w:val="36"/>
          <w:szCs w:val="36"/>
          <w:rtl/>
        </w:rPr>
        <w:t>حقائق لغوي</w:t>
      </w:r>
      <w:r w:rsidR="00EC7EDF" w:rsidRPr="00FD211F">
        <w:rPr>
          <w:sz w:val="36"/>
          <w:szCs w:val="36"/>
          <w:rtl/>
        </w:rPr>
        <w:t xml:space="preserve">ة </w:t>
      </w:r>
      <w:r w:rsidRPr="00FD211F">
        <w:rPr>
          <w:sz w:val="36"/>
          <w:szCs w:val="36"/>
          <w:rtl/>
        </w:rPr>
        <w:t>فيها</w:t>
      </w:r>
      <w:r w:rsidR="00603323" w:rsidRPr="00FD211F">
        <w:rPr>
          <w:sz w:val="36"/>
          <w:szCs w:val="36"/>
          <w:rtl/>
        </w:rPr>
        <w:t xml:space="preserve">، </w:t>
      </w:r>
      <w:r w:rsidRPr="00FD211F">
        <w:rPr>
          <w:sz w:val="36"/>
          <w:szCs w:val="36"/>
          <w:rtl/>
        </w:rPr>
        <w:t>فان ما وضع لها في الشرائع السابق</w:t>
      </w:r>
      <w:r w:rsidR="00EC7EDF" w:rsidRPr="00FD211F">
        <w:rPr>
          <w:sz w:val="36"/>
          <w:szCs w:val="36"/>
          <w:rtl/>
        </w:rPr>
        <w:t xml:space="preserve">ة </w:t>
      </w:r>
      <w:r w:rsidRPr="00FD211F">
        <w:rPr>
          <w:sz w:val="36"/>
          <w:szCs w:val="36"/>
          <w:rtl/>
        </w:rPr>
        <w:t>كانت الفاظا غير عربي</w:t>
      </w:r>
      <w:r w:rsidR="00EC7EDF" w:rsidRPr="00FD211F">
        <w:rPr>
          <w:sz w:val="36"/>
          <w:szCs w:val="36"/>
          <w:rtl/>
        </w:rPr>
        <w:t xml:space="preserve">ة </w:t>
      </w:r>
      <w:r w:rsidRPr="00FD211F">
        <w:rPr>
          <w:sz w:val="36"/>
          <w:szCs w:val="36"/>
          <w:rtl/>
        </w:rPr>
        <w:t>بمقتضى اختلاف لغات اهل تلك الشرائع</w:t>
      </w:r>
      <w:r w:rsidR="00603323" w:rsidRPr="00FD211F">
        <w:rPr>
          <w:sz w:val="36"/>
          <w:szCs w:val="36"/>
          <w:rtl/>
        </w:rPr>
        <w:t xml:space="preserve">، </w:t>
      </w:r>
      <w:r w:rsidRPr="00FD211F">
        <w:rPr>
          <w:sz w:val="36"/>
          <w:szCs w:val="36"/>
          <w:rtl/>
        </w:rPr>
        <w:t>فثبوت المعنى الشرعي في الشرائع السابق</w:t>
      </w:r>
      <w:r w:rsidR="00EC7EDF" w:rsidRPr="00FD211F">
        <w:rPr>
          <w:sz w:val="36"/>
          <w:szCs w:val="36"/>
          <w:rtl/>
        </w:rPr>
        <w:t xml:space="preserve">ة </w:t>
      </w:r>
      <w:r w:rsidRPr="00FD211F">
        <w:rPr>
          <w:sz w:val="36"/>
          <w:szCs w:val="36"/>
          <w:rtl/>
        </w:rPr>
        <w:t>لايستلزم كونه مسمى في السابق بنفس هذا اللفظ الذي استعمل فيه في الاسلام</w:t>
      </w:r>
      <w:r w:rsidR="00603323" w:rsidRPr="00FD211F">
        <w:rPr>
          <w:sz w:val="36"/>
          <w:szCs w:val="36"/>
          <w:rtl/>
        </w:rPr>
        <w:t xml:space="preserve">، </w:t>
      </w:r>
      <w:r w:rsidRPr="00FD211F">
        <w:rPr>
          <w:sz w:val="36"/>
          <w:szCs w:val="36"/>
          <w:rtl/>
        </w:rPr>
        <w:t>حتى يثبت كونه حقيق</w:t>
      </w:r>
      <w:r w:rsidR="00EC7EDF" w:rsidRPr="00FD211F">
        <w:rPr>
          <w:sz w:val="36"/>
          <w:szCs w:val="36"/>
          <w:rtl/>
        </w:rPr>
        <w:t xml:space="preserve">ة </w:t>
      </w:r>
      <w:r w:rsidRPr="00FD211F">
        <w:rPr>
          <w:sz w:val="36"/>
          <w:szCs w:val="36"/>
          <w:rtl/>
        </w:rPr>
        <w:t>لغوي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335"/>
      </w:r>
      <w:r w:rsidR="009C58C8" w:rsidRPr="00FD211F">
        <w:rPr>
          <w:rStyle w:val="a6"/>
          <w:sz w:val="36"/>
          <w:szCs w:val="36"/>
          <w:rtl/>
        </w:rPr>
        <w:t>)</w:t>
      </w:r>
      <w:r w:rsidRPr="00FD211F">
        <w:rPr>
          <w:sz w:val="36"/>
          <w:szCs w:val="36"/>
          <w:rtl/>
        </w:rPr>
        <w:t>.</w:t>
      </w:r>
    </w:p>
    <w:p w14:paraId="2BF7ADDE" w14:textId="77777777" w:rsidR="00052BF2" w:rsidRPr="00FD211F" w:rsidRDefault="00626255" w:rsidP="009C58C8">
      <w:pPr>
        <w:ind w:left="0" w:firstLine="227"/>
        <w:jc w:val="both"/>
        <w:rPr>
          <w:sz w:val="36"/>
          <w:szCs w:val="36"/>
          <w:rtl/>
        </w:rPr>
      </w:pPr>
      <w:r w:rsidRPr="00FD211F">
        <w:rPr>
          <w:sz w:val="36"/>
          <w:szCs w:val="36"/>
          <w:rtl/>
        </w:rPr>
        <w:t>ونتيج</w:t>
      </w:r>
      <w:r w:rsidR="00EC7EDF" w:rsidRPr="00FD211F">
        <w:rPr>
          <w:sz w:val="36"/>
          <w:szCs w:val="36"/>
          <w:rtl/>
        </w:rPr>
        <w:t xml:space="preserve">ة </w:t>
      </w:r>
      <w:r w:rsidRPr="00FD211F">
        <w:rPr>
          <w:sz w:val="36"/>
          <w:szCs w:val="36"/>
          <w:rtl/>
        </w:rPr>
        <w:t>ماذكراه</w:t>
      </w:r>
      <w:r w:rsidR="00052BF2" w:rsidRPr="00FD211F">
        <w:rPr>
          <w:sz w:val="36"/>
          <w:szCs w:val="36"/>
          <w:rtl/>
        </w:rPr>
        <w:t xml:space="preserve"> انه حيث</w:t>
      </w:r>
      <w:r w:rsidR="008D7B3D" w:rsidRPr="00FD211F">
        <w:rPr>
          <w:sz w:val="36"/>
          <w:szCs w:val="36"/>
          <w:rtl/>
        </w:rPr>
        <w:t xml:space="preserve"> لم‌</w:t>
      </w:r>
      <w:r w:rsidR="00052BF2" w:rsidRPr="00FD211F">
        <w:rPr>
          <w:sz w:val="36"/>
          <w:szCs w:val="36"/>
          <w:rtl/>
        </w:rPr>
        <w:t>يحرز كون هذه المعاني الشرعي</w:t>
      </w:r>
      <w:r w:rsidR="00EC7EDF" w:rsidRPr="00FD211F">
        <w:rPr>
          <w:sz w:val="36"/>
          <w:szCs w:val="36"/>
          <w:rtl/>
        </w:rPr>
        <w:t xml:space="preserve">ة </w:t>
      </w:r>
      <w:r w:rsidR="00052BF2" w:rsidRPr="00FD211F">
        <w:rPr>
          <w:sz w:val="36"/>
          <w:szCs w:val="36"/>
          <w:rtl/>
        </w:rPr>
        <w:t>ماهيات مخترع</w:t>
      </w:r>
      <w:r w:rsidR="00EC7EDF" w:rsidRPr="00FD211F">
        <w:rPr>
          <w:sz w:val="36"/>
          <w:szCs w:val="36"/>
          <w:rtl/>
        </w:rPr>
        <w:t xml:space="preserve">ة </w:t>
      </w:r>
      <w:r w:rsidR="00052BF2" w:rsidRPr="00FD211F">
        <w:rPr>
          <w:sz w:val="36"/>
          <w:szCs w:val="36"/>
          <w:rtl/>
        </w:rPr>
        <w:t xml:space="preserve">في الاسلام فلايظهر من استعمال </w:t>
      </w:r>
      <w:r w:rsidR="00DD289A" w:rsidRPr="00FD211F">
        <w:rPr>
          <w:sz w:val="36"/>
          <w:szCs w:val="36"/>
          <w:rtl/>
        </w:rPr>
        <w:t>ا</w:t>
      </w:r>
      <w:r w:rsidR="00052BF2" w:rsidRPr="00FD211F">
        <w:rPr>
          <w:sz w:val="36"/>
          <w:szCs w:val="36"/>
          <w:rtl/>
        </w:rPr>
        <w:t>لف</w:t>
      </w:r>
      <w:r w:rsidR="00DD289A" w:rsidRPr="00FD211F">
        <w:rPr>
          <w:sz w:val="36"/>
          <w:szCs w:val="36"/>
          <w:rtl/>
        </w:rPr>
        <w:t>ا</w:t>
      </w:r>
      <w:r w:rsidR="00052BF2" w:rsidRPr="00FD211F">
        <w:rPr>
          <w:sz w:val="36"/>
          <w:szCs w:val="36"/>
          <w:rtl/>
        </w:rPr>
        <w:t>ظ</w:t>
      </w:r>
      <w:r w:rsidR="00DD289A" w:rsidRPr="00FD211F">
        <w:rPr>
          <w:sz w:val="36"/>
          <w:szCs w:val="36"/>
          <w:rtl/>
        </w:rPr>
        <w:t xml:space="preserve"> العبادات</w:t>
      </w:r>
      <w:r w:rsidR="00B253CE" w:rsidRPr="00FD211F">
        <w:rPr>
          <w:sz w:val="36"/>
          <w:szCs w:val="36"/>
          <w:rtl/>
        </w:rPr>
        <w:t xml:space="preserve"> </w:t>
      </w:r>
      <w:r w:rsidR="00052BF2" w:rsidRPr="00FD211F">
        <w:rPr>
          <w:sz w:val="36"/>
          <w:szCs w:val="36"/>
          <w:rtl/>
        </w:rPr>
        <w:t xml:space="preserve">فيها وضع </w:t>
      </w:r>
      <w:r w:rsidR="00DD289A" w:rsidRPr="00FD211F">
        <w:rPr>
          <w:sz w:val="36"/>
          <w:szCs w:val="36"/>
          <w:rtl/>
        </w:rPr>
        <w:t>ت</w:t>
      </w:r>
      <w:r w:rsidR="00052BF2" w:rsidRPr="00FD211F">
        <w:rPr>
          <w:sz w:val="36"/>
          <w:szCs w:val="36"/>
          <w:rtl/>
        </w:rPr>
        <w:t>لك ال</w:t>
      </w:r>
      <w:r w:rsidR="00DD289A" w:rsidRPr="00FD211F">
        <w:rPr>
          <w:sz w:val="36"/>
          <w:szCs w:val="36"/>
          <w:rtl/>
        </w:rPr>
        <w:t>ا</w:t>
      </w:r>
      <w:r w:rsidR="00052BF2" w:rsidRPr="00FD211F">
        <w:rPr>
          <w:sz w:val="36"/>
          <w:szCs w:val="36"/>
          <w:rtl/>
        </w:rPr>
        <w:t>لف</w:t>
      </w:r>
      <w:r w:rsidR="00DD289A" w:rsidRPr="00FD211F">
        <w:rPr>
          <w:sz w:val="36"/>
          <w:szCs w:val="36"/>
          <w:rtl/>
        </w:rPr>
        <w:t>ا</w:t>
      </w:r>
      <w:r w:rsidR="00052BF2" w:rsidRPr="00FD211F">
        <w:rPr>
          <w:sz w:val="36"/>
          <w:szCs w:val="36"/>
          <w:rtl/>
        </w:rPr>
        <w:t>ظ</w:t>
      </w:r>
      <w:r w:rsidR="00DD289A" w:rsidRPr="00FD211F">
        <w:rPr>
          <w:sz w:val="36"/>
          <w:szCs w:val="36"/>
          <w:rtl/>
        </w:rPr>
        <w:t xml:space="preserve"> في المعاني الشرعي</w:t>
      </w:r>
      <w:r w:rsidR="00EC7EDF" w:rsidRPr="00FD211F">
        <w:rPr>
          <w:sz w:val="36"/>
          <w:szCs w:val="36"/>
          <w:rtl/>
        </w:rPr>
        <w:t xml:space="preserve">ة </w:t>
      </w:r>
      <w:r w:rsidR="00052BF2" w:rsidRPr="00FD211F">
        <w:rPr>
          <w:sz w:val="36"/>
          <w:szCs w:val="36"/>
          <w:rtl/>
        </w:rPr>
        <w:t>بوضع تعييني استعمالي</w:t>
      </w:r>
      <w:r w:rsidR="00603323" w:rsidRPr="00FD211F">
        <w:rPr>
          <w:sz w:val="36"/>
          <w:szCs w:val="36"/>
          <w:rtl/>
        </w:rPr>
        <w:t xml:space="preserve">، </w:t>
      </w:r>
      <w:r w:rsidR="00052BF2" w:rsidRPr="00FD211F">
        <w:rPr>
          <w:sz w:val="36"/>
          <w:szCs w:val="36"/>
          <w:rtl/>
        </w:rPr>
        <w:t>كما ان</w:t>
      </w:r>
      <w:r w:rsidR="00E60472" w:rsidRPr="00FD211F">
        <w:rPr>
          <w:sz w:val="36"/>
          <w:szCs w:val="36"/>
          <w:rtl/>
        </w:rPr>
        <w:t>ه</w:t>
      </w:r>
      <w:r w:rsidR="00052BF2" w:rsidRPr="00FD211F">
        <w:rPr>
          <w:sz w:val="36"/>
          <w:szCs w:val="36"/>
          <w:rtl/>
        </w:rPr>
        <w:t xml:space="preserve"> حيث لايحرز تسمي</w:t>
      </w:r>
      <w:r w:rsidR="00EC7EDF" w:rsidRPr="00FD211F">
        <w:rPr>
          <w:sz w:val="36"/>
          <w:szCs w:val="36"/>
          <w:rtl/>
        </w:rPr>
        <w:t xml:space="preserve">ة </w:t>
      </w:r>
      <w:r w:rsidR="00052BF2" w:rsidRPr="00FD211F">
        <w:rPr>
          <w:sz w:val="36"/>
          <w:szCs w:val="36"/>
          <w:rtl/>
        </w:rPr>
        <w:t>تلك المعاني الشرعي</w:t>
      </w:r>
      <w:r w:rsidR="00EC7EDF" w:rsidRPr="00FD211F">
        <w:rPr>
          <w:sz w:val="36"/>
          <w:szCs w:val="36"/>
          <w:rtl/>
        </w:rPr>
        <w:t xml:space="preserve">ة </w:t>
      </w:r>
      <w:r w:rsidR="00052BF2" w:rsidRPr="00FD211F">
        <w:rPr>
          <w:sz w:val="36"/>
          <w:szCs w:val="36"/>
          <w:rtl/>
        </w:rPr>
        <w:t>بنفس هذه الالفاظ فلايحرز كونها حقائق لغوي</w:t>
      </w:r>
      <w:r w:rsidR="00EC7EDF" w:rsidRPr="00FD211F">
        <w:rPr>
          <w:sz w:val="36"/>
          <w:szCs w:val="36"/>
          <w:rtl/>
        </w:rPr>
        <w:t xml:space="preserve">ة </w:t>
      </w:r>
      <w:r w:rsidR="00052BF2" w:rsidRPr="00FD211F">
        <w:rPr>
          <w:sz w:val="36"/>
          <w:szCs w:val="36"/>
          <w:rtl/>
        </w:rPr>
        <w:t>لها فلعلها مستعمل</w:t>
      </w:r>
      <w:r w:rsidR="00EC7EDF" w:rsidRPr="00FD211F">
        <w:rPr>
          <w:sz w:val="36"/>
          <w:szCs w:val="36"/>
          <w:rtl/>
        </w:rPr>
        <w:t xml:space="preserve">ة </w:t>
      </w:r>
      <w:r w:rsidR="00052BF2" w:rsidRPr="00FD211F">
        <w:rPr>
          <w:sz w:val="36"/>
          <w:szCs w:val="36"/>
          <w:rtl/>
        </w:rPr>
        <w:t>فيها مجازا.</w:t>
      </w:r>
    </w:p>
    <w:p w14:paraId="57D5D5D8" w14:textId="77777777" w:rsidR="00052BF2" w:rsidRPr="00FD211F" w:rsidRDefault="00052BF2" w:rsidP="00C17D0B">
      <w:pPr>
        <w:ind w:left="0" w:firstLine="227"/>
        <w:jc w:val="both"/>
        <w:rPr>
          <w:sz w:val="36"/>
          <w:szCs w:val="36"/>
          <w:rtl/>
        </w:rPr>
      </w:pPr>
      <w:r w:rsidRPr="00FD211F">
        <w:rPr>
          <w:sz w:val="36"/>
          <w:szCs w:val="36"/>
          <w:rtl/>
        </w:rPr>
        <w:t>و</w:t>
      </w:r>
      <w:r w:rsidR="00626255" w:rsidRPr="00FD211F">
        <w:rPr>
          <w:sz w:val="36"/>
          <w:szCs w:val="36"/>
          <w:rtl/>
        </w:rPr>
        <w:t>قد</w:t>
      </w:r>
      <w:r w:rsidRPr="00FD211F">
        <w:rPr>
          <w:sz w:val="36"/>
          <w:szCs w:val="36"/>
          <w:rtl/>
        </w:rPr>
        <w:t xml:space="preserve"> اجاب في البحوث عن اشكال المحقق الاصفهاني والسيد الخوئي</w:t>
      </w:r>
      <w:r w:rsidR="00C17D0B" w:rsidRPr="00FD211F">
        <w:rPr>
          <w:sz w:val="36"/>
          <w:szCs w:val="36"/>
        </w:rPr>
        <w:t xml:space="preserve"> </w:t>
      </w:r>
      <w:r w:rsidR="007E0BB0" w:rsidRPr="00FD211F">
        <w:rPr>
          <w:sz w:val="36"/>
          <w:szCs w:val="36"/>
          <w:rtl/>
        </w:rPr>
        <w:t>"</w:t>
      </w:r>
      <w:r w:rsidRPr="00FD211F">
        <w:rPr>
          <w:sz w:val="36"/>
          <w:szCs w:val="36"/>
          <w:rtl/>
        </w:rPr>
        <w:t>قدهما</w:t>
      </w:r>
      <w:r w:rsidR="007E0BB0" w:rsidRPr="00FD211F">
        <w:rPr>
          <w:sz w:val="36"/>
          <w:szCs w:val="36"/>
          <w:rtl/>
        </w:rPr>
        <w:t>"</w:t>
      </w:r>
      <w:r w:rsidR="00C17D0B" w:rsidRPr="00FD211F">
        <w:rPr>
          <w:sz w:val="36"/>
          <w:szCs w:val="36"/>
        </w:rPr>
        <w:t xml:space="preserve"> </w:t>
      </w:r>
      <w:r w:rsidRPr="00FD211F">
        <w:rPr>
          <w:sz w:val="36"/>
          <w:szCs w:val="36"/>
          <w:rtl/>
        </w:rPr>
        <w:t>بان هذه المعاني الشرعي</w:t>
      </w:r>
      <w:r w:rsidR="00EC7EDF" w:rsidRPr="00FD211F">
        <w:rPr>
          <w:sz w:val="36"/>
          <w:szCs w:val="36"/>
          <w:rtl/>
        </w:rPr>
        <w:t xml:space="preserve">ة </w:t>
      </w:r>
      <w:r w:rsidRPr="00FD211F">
        <w:rPr>
          <w:sz w:val="36"/>
          <w:szCs w:val="36"/>
          <w:rtl/>
        </w:rPr>
        <w:t>كانت متداول</w:t>
      </w:r>
      <w:r w:rsidR="00EC7EDF" w:rsidRPr="00FD211F">
        <w:rPr>
          <w:sz w:val="36"/>
          <w:szCs w:val="36"/>
          <w:rtl/>
        </w:rPr>
        <w:t xml:space="preserve">ة </w:t>
      </w:r>
      <w:r w:rsidRPr="00FD211F">
        <w:rPr>
          <w:sz w:val="36"/>
          <w:szCs w:val="36"/>
          <w:rtl/>
        </w:rPr>
        <w:t>بين العرب قبل الاسلام بما فيهم اهل الكتاب وقد كانوا مختلطين بسائر الأقوام</w:t>
      </w:r>
      <w:r w:rsidR="00603323" w:rsidRPr="00FD211F">
        <w:rPr>
          <w:sz w:val="36"/>
          <w:szCs w:val="36"/>
          <w:rtl/>
        </w:rPr>
        <w:t xml:space="preserve">، </w:t>
      </w:r>
      <w:r w:rsidRPr="00FD211F">
        <w:rPr>
          <w:sz w:val="36"/>
          <w:szCs w:val="36"/>
          <w:rtl/>
        </w:rPr>
        <w:t>فيوجب ذلك انتشار هذه الالفاظ المستعمل</w:t>
      </w:r>
      <w:r w:rsidR="00EC7EDF" w:rsidRPr="00FD211F">
        <w:rPr>
          <w:sz w:val="36"/>
          <w:szCs w:val="36"/>
          <w:rtl/>
        </w:rPr>
        <w:t xml:space="preserve">ة </w:t>
      </w:r>
      <w:r w:rsidRPr="00FD211F">
        <w:rPr>
          <w:sz w:val="36"/>
          <w:szCs w:val="36"/>
          <w:rtl/>
        </w:rPr>
        <w:t>في المعاني الشرعي</w:t>
      </w:r>
      <w:r w:rsidR="00EC7EDF" w:rsidRPr="00FD211F">
        <w:rPr>
          <w:sz w:val="36"/>
          <w:szCs w:val="36"/>
          <w:rtl/>
        </w:rPr>
        <w:t xml:space="preserve">ة </w:t>
      </w:r>
      <w:r w:rsidRPr="00FD211F">
        <w:rPr>
          <w:sz w:val="36"/>
          <w:szCs w:val="36"/>
          <w:rtl/>
        </w:rPr>
        <w:t>بينهم</w:t>
      </w:r>
      <w:r w:rsidR="00603323" w:rsidRPr="00FD211F">
        <w:rPr>
          <w:sz w:val="36"/>
          <w:szCs w:val="36"/>
          <w:rtl/>
        </w:rPr>
        <w:t xml:space="preserve">، </w:t>
      </w:r>
      <w:r w:rsidRPr="00FD211F">
        <w:rPr>
          <w:sz w:val="36"/>
          <w:szCs w:val="36"/>
          <w:rtl/>
        </w:rPr>
        <w:t>بل كان للمشركين عبادات خاص</w:t>
      </w:r>
      <w:r w:rsidR="00EC7EDF" w:rsidRPr="00FD211F">
        <w:rPr>
          <w:sz w:val="36"/>
          <w:szCs w:val="36"/>
          <w:rtl/>
        </w:rPr>
        <w:t xml:space="preserve">ة </w:t>
      </w:r>
      <w:r w:rsidRPr="00FD211F">
        <w:rPr>
          <w:sz w:val="36"/>
          <w:szCs w:val="36"/>
          <w:rtl/>
        </w:rPr>
        <w:t>كالحج على ما هو مذكور في التاريخ</w:t>
      </w:r>
      <w:r w:rsidR="00603323" w:rsidRPr="00FD211F">
        <w:rPr>
          <w:sz w:val="36"/>
          <w:szCs w:val="36"/>
          <w:rtl/>
        </w:rPr>
        <w:t xml:space="preserve">، </w:t>
      </w:r>
      <w:r w:rsidRPr="00FD211F">
        <w:rPr>
          <w:sz w:val="36"/>
          <w:szCs w:val="36"/>
          <w:rtl/>
        </w:rPr>
        <w:t>وكذا الصلا</w:t>
      </w:r>
      <w:r w:rsidR="00EC7EDF" w:rsidRPr="00FD211F">
        <w:rPr>
          <w:sz w:val="36"/>
          <w:szCs w:val="36"/>
          <w:rtl/>
        </w:rPr>
        <w:t xml:space="preserve">ة </w:t>
      </w:r>
      <w:r w:rsidRPr="00FD211F">
        <w:rPr>
          <w:sz w:val="36"/>
          <w:szCs w:val="36"/>
          <w:rtl/>
        </w:rPr>
        <w:t>كما يشهد له قوله تعالى: وما كان صلاتهم عند البيت الا مكاء وتصدي</w:t>
      </w:r>
      <w:r w:rsidR="00EC7EDF" w:rsidRPr="00FD211F">
        <w:rPr>
          <w:sz w:val="36"/>
          <w:szCs w:val="36"/>
          <w:rtl/>
        </w:rPr>
        <w:t>ة</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336"/>
      </w:r>
      <w:r w:rsidR="00C17D0B" w:rsidRPr="00FD211F">
        <w:rPr>
          <w:rStyle w:val="a6"/>
          <w:sz w:val="36"/>
          <w:szCs w:val="36"/>
          <w:rtl/>
        </w:rPr>
        <w:t>)</w:t>
      </w:r>
      <w:r w:rsidRPr="00FD211F">
        <w:rPr>
          <w:sz w:val="36"/>
          <w:szCs w:val="36"/>
          <w:rtl/>
        </w:rPr>
        <w:t xml:space="preserve"> حيث انه يظهر منه ان الصلا</w:t>
      </w:r>
      <w:r w:rsidR="00EC7EDF" w:rsidRPr="00FD211F">
        <w:rPr>
          <w:sz w:val="36"/>
          <w:szCs w:val="36"/>
          <w:rtl/>
        </w:rPr>
        <w:t xml:space="preserve">ة </w:t>
      </w:r>
      <w:r w:rsidRPr="00FD211F">
        <w:rPr>
          <w:sz w:val="36"/>
          <w:szCs w:val="36"/>
          <w:rtl/>
        </w:rPr>
        <w:t>كانت معهود</w:t>
      </w:r>
      <w:r w:rsidR="00EC7EDF" w:rsidRPr="00FD211F">
        <w:rPr>
          <w:sz w:val="36"/>
          <w:szCs w:val="36"/>
          <w:rtl/>
        </w:rPr>
        <w:t xml:space="preserve">ة </w:t>
      </w:r>
      <w:r w:rsidRPr="00FD211F">
        <w:rPr>
          <w:sz w:val="36"/>
          <w:szCs w:val="36"/>
          <w:rtl/>
        </w:rPr>
        <w:t>عندهم لكن كانوا يطبقونها على مثل المكاء والتصدي</w:t>
      </w:r>
      <w:r w:rsidR="00EC7EDF" w:rsidRPr="00FD211F">
        <w:rPr>
          <w:sz w:val="36"/>
          <w:szCs w:val="36"/>
          <w:rtl/>
        </w:rPr>
        <w:t>ة</w:t>
      </w:r>
      <w:r w:rsidR="00603323" w:rsidRPr="00FD211F">
        <w:rPr>
          <w:sz w:val="36"/>
          <w:szCs w:val="36"/>
          <w:rtl/>
        </w:rPr>
        <w:t xml:space="preserve">، </w:t>
      </w:r>
      <w:r w:rsidRPr="00FD211F">
        <w:rPr>
          <w:sz w:val="36"/>
          <w:szCs w:val="36"/>
          <w:rtl/>
        </w:rPr>
        <w:t>واحتمال استعمال الفاظ أخر لتلك المعاني في المجتمع العربي قبل الاسلام مندفع بانه لو كان كذلك لنقل في تاريخ الأدب العربي</w:t>
      </w:r>
      <w:r w:rsidR="00603323" w:rsidRPr="00FD211F">
        <w:rPr>
          <w:sz w:val="36"/>
          <w:szCs w:val="36"/>
          <w:rtl/>
        </w:rPr>
        <w:t xml:space="preserve">، </w:t>
      </w:r>
      <w:r w:rsidRPr="00FD211F">
        <w:rPr>
          <w:sz w:val="36"/>
          <w:szCs w:val="36"/>
          <w:rtl/>
        </w:rPr>
        <w:t>وقد يقال ان "صلوت وزكوت" لفظتان عبريتان وقد كانتا بمعنى العبادتين المعهودتين</w:t>
      </w:r>
      <w:r w:rsidR="00603323" w:rsidRPr="00FD211F">
        <w:rPr>
          <w:sz w:val="36"/>
          <w:szCs w:val="36"/>
          <w:rtl/>
        </w:rPr>
        <w:t xml:space="preserve">، </w:t>
      </w:r>
      <w:r w:rsidRPr="00FD211F">
        <w:rPr>
          <w:sz w:val="36"/>
          <w:szCs w:val="36"/>
          <w:rtl/>
        </w:rPr>
        <w:t>فعرّبتا وحفظ</w:t>
      </w:r>
      <w:r w:rsidR="0009513C" w:rsidRPr="00FD211F">
        <w:rPr>
          <w:sz w:val="36"/>
          <w:szCs w:val="36"/>
          <w:rtl/>
        </w:rPr>
        <w:t>ت</w:t>
      </w:r>
      <w:r w:rsidRPr="00FD211F">
        <w:rPr>
          <w:sz w:val="36"/>
          <w:szCs w:val="36"/>
          <w:rtl/>
        </w:rPr>
        <w:t xml:space="preserve"> الواو الزائد</w:t>
      </w:r>
      <w:r w:rsidR="00EC7EDF" w:rsidRPr="00FD211F">
        <w:rPr>
          <w:sz w:val="36"/>
          <w:szCs w:val="36"/>
          <w:rtl/>
        </w:rPr>
        <w:t xml:space="preserve">ة </w:t>
      </w:r>
      <w:r w:rsidRPr="00FD211F">
        <w:rPr>
          <w:sz w:val="36"/>
          <w:szCs w:val="36"/>
          <w:rtl/>
        </w:rPr>
        <w:t>فيهما فهذان اللفظان كانا مستعملين في المعنى المعهود قبل الاسلام</w:t>
      </w:r>
      <w:r w:rsidR="00603323" w:rsidRPr="00FD211F">
        <w:rPr>
          <w:sz w:val="36"/>
          <w:szCs w:val="36"/>
          <w:rtl/>
        </w:rPr>
        <w:t xml:space="preserve">، </w:t>
      </w:r>
      <w:r w:rsidRPr="00FD211F">
        <w:rPr>
          <w:sz w:val="36"/>
          <w:szCs w:val="36"/>
          <w:rtl/>
        </w:rPr>
        <w:t>ويؤيد ما ذكر من ان هذه الالفاظ كانت موضوع</w:t>
      </w:r>
      <w:r w:rsidR="00EC7EDF" w:rsidRPr="00FD211F">
        <w:rPr>
          <w:sz w:val="36"/>
          <w:szCs w:val="36"/>
          <w:rtl/>
        </w:rPr>
        <w:t xml:space="preserve">ة </w:t>
      </w:r>
      <w:r w:rsidRPr="00FD211F">
        <w:rPr>
          <w:sz w:val="36"/>
          <w:szCs w:val="36"/>
          <w:rtl/>
        </w:rPr>
        <w:t>قبل الاسلام في معانيها الشرعي</w:t>
      </w:r>
      <w:r w:rsidR="00EC7EDF" w:rsidRPr="00FD211F">
        <w:rPr>
          <w:sz w:val="36"/>
          <w:szCs w:val="36"/>
          <w:rtl/>
        </w:rPr>
        <w:t xml:space="preserve">ة </w:t>
      </w:r>
      <w:r w:rsidRPr="00FD211F">
        <w:rPr>
          <w:sz w:val="36"/>
          <w:szCs w:val="36"/>
          <w:rtl/>
        </w:rPr>
        <w:t xml:space="preserve">في المجتمع العربي ان النبي </w:t>
      </w:r>
      <w:r w:rsidR="007A4A0D" w:rsidRPr="00FD211F">
        <w:rPr>
          <w:sz w:val="36"/>
          <w:szCs w:val="36"/>
          <w:rtl/>
        </w:rPr>
        <w:t>(صلى‌الله‌عليه‌وآله)</w:t>
      </w:r>
      <w:r w:rsidRPr="00FD211F">
        <w:rPr>
          <w:sz w:val="36"/>
          <w:szCs w:val="36"/>
          <w:rtl/>
        </w:rPr>
        <w:t xml:space="preserve"> في ابتداء امره كان مستضعفا لايتناسب حاله مع إبداع عرف لغوي جديد</w:t>
      </w:r>
      <w:r w:rsidR="00603323" w:rsidRPr="00FD211F">
        <w:rPr>
          <w:sz w:val="36"/>
          <w:szCs w:val="36"/>
          <w:rtl/>
        </w:rPr>
        <w:t xml:space="preserve">، </w:t>
      </w:r>
      <w:r w:rsidRPr="00FD211F">
        <w:rPr>
          <w:sz w:val="36"/>
          <w:szCs w:val="36"/>
          <w:rtl/>
        </w:rPr>
        <w:t>وبذلك يندفع احتمال الوضع التعييني الاستعمالي في الاسلام</w:t>
      </w:r>
      <w:r w:rsidR="009C58C8" w:rsidRPr="00FD211F">
        <w:rPr>
          <w:rStyle w:val="a6"/>
          <w:sz w:val="36"/>
          <w:szCs w:val="36"/>
          <w:rtl/>
        </w:rPr>
        <w:t>(</w:t>
      </w:r>
      <w:r w:rsidR="009C58C8" w:rsidRPr="00FD211F">
        <w:rPr>
          <w:rStyle w:val="a6"/>
          <w:sz w:val="36"/>
          <w:szCs w:val="36"/>
          <w:rtl/>
        </w:rPr>
        <w:footnoteReference w:id="337"/>
      </w:r>
      <w:r w:rsidR="009C58C8" w:rsidRPr="00FD211F">
        <w:rPr>
          <w:rStyle w:val="a6"/>
          <w:sz w:val="36"/>
          <w:szCs w:val="36"/>
          <w:rtl/>
        </w:rPr>
        <w:t>)</w:t>
      </w:r>
      <w:r w:rsidRPr="00FD211F">
        <w:rPr>
          <w:sz w:val="36"/>
          <w:szCs w:val="36"/>
          <w:rtl/>
        </w:rPr>
        <w:t>.</w:t>
      </w:r>
    </w:p>
    <w:p w14:paraId="4179A226" w14:textId="77777777" w:rsidR="00052BF2" w:rsidRPr="00FD211F" w:rsidRDefault="00052BF2" w:rsidP="009C58C8">
      <w:pPr>
        <w:ind w:left="0" w:firstLine="227"/>
        <w:jc w:val="both"/>
        <w:rPr>
          <w:sz w:val="36"/>
          <w:szCs w:val="36"/>
          <w:rtl/>
        </w:rPr>
      </w:pPr>
      <w:r w:rsidRPr="00FD211F">
        <w:rPr>
          <w:sz w:val="36"/>
          <w:szCs w:val="36"/>
          <w:rtl/>
        </w:rPr>
        <w:t>اقول: انه وان كان لايبعد في مثل لفظ الصلا</w:t>
      </w:r>
      <w:r w:rsidR="00EC7EDF" w:rsidRPr="00FD211F">
        <w:rPr>
          <w:sz w:val="36"/>
          <w:szCs w:val="36"/>
          <w:rtl/>
        </w:rPr>
        <w:t xml:space="preserve">ة </w:t>
      </w:r>
      <w:r w:rsidRPr="00FD211F">
        <w:rPr>
          <w:sz w:val="36"/>
          <w:szCs w:val="36"/>
          <w:rtl/>
        </w:rPr>
        <w:t>والحج كونهما موضوعين للمعنى الشرعي في المجتمع العربي قبل الاسلام لما ذكره</w:t>
      </w:r>
      <w:r w:rsidR="008F14E7" w:rsidRPr="00FD211F">
        <w:rPr>
          <w:sz w:val="36"/>
          <w:szCs w:val="36"/>
          <w:rtl/>
        </w:rPr>
        <w:t xml:space="preserve"> "قده"</w:t>
      </w:r>
      <w:r w:rsidR="00603323" w:rsidRPr="00FD211F">
        <w:rPr>
          <w:sz w:val="36"/>
          <w:szCs w:val="36"/>
          <w:rtl/>
        </w:rPr>
        <w:t xml:space="preserve">، </w:t>
      </w:r>
      <w:r w:rsidRPr="00FD211F">
        <w:rPr>
          <w:sz w:val="36"/>
          <w:szCs w:val="36"/>
          <w:rtl/>
        </w:rPr>
        <w:t>لكن لايسعنا احراز ذلك في جميع الالفاظ المستعمل</w:t>
      </w:r>
      <w:r w:rsidR="00EC7EDF" w:rsidRPr="00FD211F">
        <w:rPr>
          <w:sz w:val="36"/>
          <w:szCs w:val="36"/>
          <w:rtl/>
        </w:rPr>
        <w:t xml:space="preserve">ة </w:t>
      </w:r>
      <w:r w:rsidRPr="00FD211F">
        <w:rPr>
          <w:sz w:val="36"/>
          <w:szCs w:val="36"/>
          <w:rtl/>
        </w:rPr>
        <w:t>في المعاني الشرعي</w:t>
      </w:r>
      <w:r w:rsidR="00EC7EDF" w:rsidRPr="00FD211F">
        <w:rPr>
          <w:sz w:val="36"/>
          <w:szCs w:val="36"/>
          <w:rtl/>
        </w:rPr>
        <w:t>ة</w:t>
      </w:r>
      <w:r w:rsidR="00603323" w:rsidRPr="00FD211F">
        <w:rPr>
          <w:sz w:val="36"/>
          <w:szCs w:val="36"/>
          <w:rtl/>
        </w:rPr>
        <w:t xml:space="preserve">، </w:t>
      </w:r>
      <w:r w:rsidRPr="00FD211F">
        <w:rPr>
          <w:sz w:val="36"/>
          <w:szCs w:val="36"/>
          <w:rtl/>
        </w:rPr>
        <w:t>وعليه فاحراز كون جميع تلك الالفاظ ظاهر</w:t>
      </w:r>
      <w:r w:rsidR="00EC7EDF" w:rsidRPr="00FD211F">
        <w:rPr>
          <w:sz w:val="36"/>
          <w:szCs w:val="36"/>
          <w:rtl/>
        </w:rPr>
        <w:t xml:space="preserve">ة </w:t>
      </w:r>
      <w:r w:rsidRPr="00FD211F">
        <w:rPr>
          <w:sz w:val="36"/>
          <w:szCs w:val="36"/>
          <w:rtl/>
        </w:rPr>
        <w:t>في المجتمع العربي قبل الاسلام في معانيها الشر</w:t>
      </w:r>
      <w:r w:rsidR="0009513C" w:rsidRPr="00FD211F">
        <w:rPr>
          <w:sz w:val="36"/>
          <w:szCs w:val="36"/>
          <w:rtl/>
        </w:rPr>
        <w:t>عي</w:t>
      </w:r>
      <w:r w:rsidR="00EC7EDF" w:rsidRPr="00FD211F">
        <w:rPr>
          <w:sz w:val="36"/>
          <w:szCs w:val="36"/>
          <w:rtl/>
        </w:rPr>
        <w:t xml:space="preserve">ة </w:t>
      </w:r>
      <w:r w:rsidR="0009513C" w:rsidRPr="00FD211F">
        <w:rPr>
          <w:sz w:val="36"/>
          <w:szCs w:val="36"/>
          <w:rtl/>
        </w:rPr>
        <w:t>مشكل جدا</w:t>
      </w:r>
      <w:r w:rsidR="00603323" w:rsidRPr="00FD211F">
        <w:rPr>
          <w:sz w:val="36"/>
          <w:szCs w:val="36"/>
          <w:rtl/>
        </w:rPr>
        <w:t xml:space="preserve">، </w:t>
      </w:r>
      <w:r w:rsidR="0009513C" w:rsidRPr="00FD211F">
        <w:rPr>
          <w:sz w:val="36"/>
          <w:szCs w:val="36"/>
          <w:rtl/>
        </w:rPr>
        <w:t>وما يقال من ان المخاطبي</w:t>
      </w:r>
      <w:r w:rsidRPr="00FD211F">
        <w:rPr>
          <w:sz w:val="36"/>
          <w:szCs w:val="36"/>
          <w:rtl/>
        </w:rPr>
        <w:t>ن بالآيات</w:t>
      </w:r>
      <w:r w:rsidR="008D7B3D" w:rsidRPr="00FD211F">
        <w:rPr>
          <w:sz w:val="36"/>
          <w:szCs w:val="36"/>
          <w:rtl/>
        </w:rPr>
        <w:t xml:space="preserve"> لم‌</w:t>
      </w:r>
      <w:r w:rsidR="0009513C" w:rsidRPr="00FD211F">
        <w:rPr>
          <w:sz w:val="36"/>
          <w:szCs w:val="36"/>
          <w:rtl/>
        </w:rPr>
        <w:t>يكونوا</w:t>
      </w:r>
      <w:r w:rsidRPr="00FD211F">
        <w:rPr>
          <w:sz w:val="36"/>
          <w:szCs w:val="36"/>
          <w:rtl/>
        </w:rPr>
        <w:t xml:space="preserve"> جاهلين بمعانيها فهو رجم بالغيب</w:t>
      </w:r>
      <w:r w:rsidR="00603323" w:rsidRPr="00FD211F">
        <w:rPr>
          <w:sz w:val="36"/>
          <w:szCs w:val="36"/>
          <w:rtl/>
        </w:rPr>
        <w:t xml:space="preserve">، </w:t>
      </w:r>
      <w:r w:rsidRPr="00FD211F">
        <w:rPr>
          <w:sz w:val="36"/>
          <w:szCs w:val="36"/>
          <w:rtl/>
        </w:rPr>
        <w:t xml:space="preserve">فلعل النبي </w:t>
      </w:r>
      <w:r w:rsidR="007A4A0D" w:rsidRPr="00FD211F">
        <w:rPr>
          <w:sz w:val="36"/>
          <w:szCs w:val="36"/>
          <w:rtl/>
        </w:rPr>
        <w:t>(صلى‌الله‌عليه‌وآله)</w:t>
      </w:r>
      <w:r w:rsidRPr="00FD211F">
        <w:rPr>
          <w:sz w:val="36"/>
          <w:szCs w:val="36"/>
          <w:rtl/>
        </w:rPr>
        <w:t xml:space="preserve"> كان يفسرها لهم كما في آي</w:t>
      </w:r>
      <w:r w:rsidR="00EC7EDF" w:rsidRPr="00FD211F">
        <w:rPr>
          <w:sz w:val="36"/>
          <w:szCs w:val="36"/>
          <w:rtl/>
        </w:rPr>
        <w:t xml:space="preserve">ة </w:t>
      </w:r>
      <w:r w:rsidRPr="00FD211F">
        <w:rPr>
          <w:sz w:val="36"/>
          <w:szCs w:val="36"/>
          <w:rtl/>
        </w:rPr>
        <w:t>التيمم</w:t>
      </w:r>
      <w:r w:rsidR="00603323" w:rsidRPr="00FD211F">
        <w:rPr>
          <w:sz w:val="36"/>
          <w:szCs w:val="36"/>
          <w:rtl/>
        </w:rPr>
        <w:t xml:space="preserve">، </w:t>
      </w:r>
      <w:r w:rsidRPr="00FD211F">
        <w:rPr>
          <w:sz w:val="36"/>
          <w:szCs w:val="36"/>
          <w:rtl/>
        </w:rPr>
        <w:t>حيث</w:t>
      </w:r>
      <w:r w:rsidR="008D7B3D" w:rsidRPr="00FD211F">
        <w:rPr>
          <w:sz w:val="36"/>
          <w:szCs w:val="36"/>
          <w:rtl/>
        </w:rPr>
        <w:t xml:space="preserve"> لم‌</w:t>
      </w:r>
      <w:r w:rsidRPr="00FD211F">
        <w:rPr>
          <w:sz w:val="36"/>
          <w:szCs w:val="36"/>
          <w:rtl/>
        </w:rPr>
        <w:t>يكن المسلمون يعرفون حقيق</w:t>
      </w:r>
      <w:r w:rsidR="00EC7EDF" w:rsidRPr="00FD211F">
        <w:rPr>
          <w:sz w:val="36"/>
          <w:szCs w:val="36"/>
          <w:rtl/>
        </w:rPr>
        <w:t xml:space="preserve">ة </w:t>
      </w:r>
      <w:r w:rsidRPr="00FD211F">
        <w:rPr>
          <w:sz w:val="36"/>
          <w:szCs w:val="36"/>
          <w:rtl/>
        </w:rPr>
        <w:t>التيمم.</w:t>
      </w:r>
    </w:p>
    <w:p w14:paraId="724E6E1C" w14:textId="77777777" w:rsidR="00052BF2" w:rsidRPr="00FD211F" w:rsidRDefault="00052BF2" w:rsidP="009C58C8">
      <w:pPr>
        <w:ind w:left="0" w:firstLine="227"/>
        <w:jc w:val="both"/>
        <w:rPr>
          <w:sz w:val="36"/>
          <w:szCs w:val="36"/>
          <w:rtl/>
        </w:rPr>
      </w:pPr>
      <w:r w:rsidRPr="00FD211F">
        <w:rPr>
          <w:sz w:val="36"/>
          <w:szCs w:val="36"/>
          <w:rtl/>
        </w:rPr>
        <w:t>هذا ومن ناحي</w:t>
      </w:r>
      <w:r w:rsidR="00EC7EDF" w:rsidRPr="00FD211F">
        <w:rPr>
          <w:sz w:val="36"/>
          <w:szCs w:val="36"/>
          <w:rtl/>
        </w:rPr>
        <w:t xml:space="preserve">ة </w:t>
      </w:r>
      <w:r w:rsidRPr="00FD211F">
        <w:rPr>
          <w:sz w:val="36"/>
          <w:szCs w:val="36"/>
          <w:rtl/>
        </w:rPr>
        <w:t>أخرى قد مر انه على تقدير كون تلك المعاني الشرعي</w:t>
      </w:r>
      <w:r w:rsidR="00EC7EDF" w:rsidRPr="00FD211F">
        <w:rPr>
          <w:sz w:val="36"/>
          <w:szCs w:val="36"/>
          <w:rtl/>
        </w:rPr>
        <w:t xml:space="preserve">ة </w:t>
      </w:r>
      <w:r w:rsidRPr="00FD211F">
        <w:rPr>
          <w:sz w:val="36"/>
          <w:szCs w:val="36"/>
          <w:rtl/>
        </w:rPr>
        <w:t>مخترع</w:t>
      </w:r>
      <w:r w:rsidR="00EC7EDF" w:rsidRPr="00FD211F">
        <w:rPr>
          <w:sz w:val="36"/>
          <w:szCs w:val="36"/>
          <w:rtl/>
        </w:rPr>
        <w:t xml:space="preserve">ة </w:t>
      </w:r>
      <w:r w:rsidRPr="00FD211F">
        <w:rPr>
          <w:sz w:val="36"/>
          <w:szCs w:val="36"/>
          <w:rtl/>
        </w:rPr>
        <w:t>في الاسلام</w:t>
      </w:r>
      <w:r w:rsidR="00603323" w:rsidRPr="00FD211F">
        <w:rPr>
          <w:sz w:val="36"/>
          <w:szCs w:val="36"/>
          <w:rtl/>
        </w:rPr>
        <w:t xml:space="preserve">، </w:t>
      </w:r>
      <w:r w:rsidRPr="00FD211F">
        <w:rPr>
          <w:sz w:val="36"/>
          <w:szCs w:val="36"/>
          <w:rtl/>
        </w:rPr>
        <w:t>فمع ذلك لايكون استعمال تلك الالفاظ في معانيها الشرعي</w:t>
      </w:r>
      <w:r w:rsidR="00EC7EDF" w:rsidRPr="00FD211F">
        <w:rPr>
          <w:sz w:val="36"/>
          <w:szCs w:val="36"/>
          <w:rtl/>
        </w:rPr>
        <w:t xml:space="preserve">ة </w:t>
      </w:r>
      <w:r w:rsidRPr="00FD211F">
        <w:rPr>
          <w:sz w:val="36"/>
          <w:szCs w:val="36"/>
          <w:rtl/>
        </w:rPr>
        <w:t>ظاهرا في الوضع التعييني الاستعمالي</w:t>
      </w:r>
      <w:r w:rsidR="00603323" w:rsidRPr="00FD211F">
        <w:rPr>
          <w:sz w:val="36"/>
          <w:szCs w:val="36"/>
          <w:rtl/>
        </w:rPr>
        <w:t xml:space="preserve">، </w:t>
      </w:r>
      <w:r w:rsidRPr="00FD211F">
        <w:rPr>
          <w:sz w:val="36"/>
          <w:szCs w:val="36"/>
          <w:rtl/>
        </w:rPr>
        <w:t>لعدم ظهور استعمال المخترع لفظا في وضعه لما اخترعه بالوضع التعييني الاستعمالي.</w:t>
      </w:r>
    </w:p>
    <w:p w14:paraId="45E30E00" w14:textId="77777777" w:rsidR="00052BF2" w:rsidRPr="00FD211F" w:rsidRDefault="00052BF2" w:rsidP="009C58C8">
      <w:pPr>
        <w:ind w:left="0" w:firstLine="227"/>
        <w:jc w:val="both"/>
        <w:rPr>
          <w:sz w:val="36"/>
          <w:szCs w:val="36"/>
          <w:rtl/>
        </w:rPr>
      </w:pPr>
      <w:r w:rsidRPr="00FD211F">
        <w:rPr>
          <w:sz w:val="36"/>
          <w:szCs w:val="36"/>
          <w:rtl/>
        </w:rPr>
        <w:t>هذا كله في الوضع التعييني الاستعمالي</w:t>
      </w:r>
      <w:r w:rsidR="00603323" w:rsidRPr="00FD211F">
        <w:rPr>
          <w:sz w:val="36"/>
          <w:szCs w:val="36"/>
          <w:rtl/>
        </w:rPr>
        <w:t xml:space="preserve">، </w:t>
      </w:r>
      <w:r w:rsidRPr="00FD211F">
        <w:rPr>
          <w:sz w:val="36"/>
          <w:szCs w:val="36"/>
          <w:rtl/>
        </w:rPr>
        <w:t>وقد تحصل مما ذكرنا عدم احراز ذلك</w:t>
      </w:r>
      <w:r w:rsidR="00603323" w:rsidRPr="00FD211F">
        <w:rPr>
          <w:sz w:val="36"/>
          <w:szCs w:val="36"/>
          <w:rtl/>
        </w:rPr>
        <w:t xml:space="preserve">، </w:t>
      </w:r>
      <w:r w:rsidRPr="00FD211F">
        <w:rPr>
          <w:sz w:val="36"/>
          <w:szCs w:val="36"/>
          <w:rtl/>
        </w:rPr>
        <w:t>كما</w:t>
      </w:r>
      <w:r w:rsidR="008D7B3D" w:rsidRPr="00FD211F">
        <w:rPr>
          <w:sz w:val="36"/>
          <w:szCs w:val="36"/>
          <w:rtl/>
        </w:rPr>
        <w:t xml:space="preserve"> لم‌</w:t>
      </w:r>
      <w:r w:rsidRPr="00FD211F">
        <w:rPr>
          <w:sz w:val="36"/>
          <w:szCs w:val="36"/>
          <w:rtl/>
        </w:rPr>
        <w:t>يحرز كون جميع تلك الالفاظ المستعمل</w:t>
      </w:r>
      <w:r w:rsidR="00EC7EDF" w:rsidRPr="00FD211F">
        <w:rPr>
          <w:sz w:val="36"/>
          <w:szCs w:val="36"/>
          <w:rtl/>
        </w:rPr>
        <w:t xml:space="preserve">ة </w:t>
      </w:r>
      <w:r w:rsidRPr="00FD211F">
        <w:rPr>
          <w:sz w:val="36"/>
          <w:szCs w:val="36"/>
          <w:rtl/>
        </w:rPr>
        <w:t>في معانيها الشرعي</w:t>
      </w:r>
      <w:r w:rsidR="00EC7EDF" w:rsidRPr="00FD211F">
        <w:rPr>
          <w:sz w:val="36"/>
          <w:szCs w:val="36"/>
          <w:rtl/>
        </w:rPr>
        <w:t xml:space="preserve">ة </w:t>
      </w:r>
      <w:r w:rsidRPr="00FD211F">
        <w:rPr>
          <w:sz w:val="36"/>
          <w:szCs w:val="36"/>
          <w:rtl/>
        </w:rPr>
        <w:t>حقائق لغوي</w:t>
      </w:r>
      <w:r w:rsidR="00EC7EDF" w:rsidRPr="00FD211F">
        <w:rPr>
          <w:sz w:val="36"/>
          <w:szCs w:val="36"/>
          <w:rtl/>
        </w:rPr>
        <w:t xml:space="preserve">ة </w:t>
      </w:r>
      <w:r w:rsidRPr="00FD211F">
        <w:rPr>
          <w:sz w:val="36"/>
          <w:szCs w:val="36"/>
          <w:rtl/>
        </w:rPr>
        <w:t>فيها قبل الاسلام</w:t>
      </w:r>
      <w:r w:rsidR="00603323" w:rsidRPr="00FD211F">
        <w:rPr>
          <w:sz w:val="36"/>
          <w:szCs w:val="36"/>
          <w:rtl/>
        </w:rPr>
        <w:t xml:space="preserve">، </w:t>
      </w:r>
      <w:r w:rsidRPr="00FD211F">
        <w:rPr>
          <w:sz w:val="36"/>
          <w:szCs w:val="36"/>
          <w:rtl/>
        </w:rPr>
        <w:t>فيقع الكلام في احراز الوضع التعيني لتلك الالفاظ على معانيها الشرعي</w:t>
      </w:r>
      <w:r w:rsidR="00EC7EDF" w:rsidRPr="00FD211F">
        <w:rPr>
          <w:sz w:val="36"/>
          <w:szCs w:val="36"/>
          <w:rtl/>
        </w:rPr>
        <w:t>ة</w:t>
      </w:r>
      <w:r w:rsidR="00603323" w:rsidRPr="00FD211F">
        <w:rPr>
          <w:sz w:val="36"/>
          <w:szCs w:val="36"/>
          <w:rtl/>
        </w:rPr>
        <w:t xml:space="preserve">، </w:t>
      </w:r>
      <w:r w:rsidRPr="00FD211F">
        <w:rPr>
          <w:sz w:val="36"/>
          <w:szCs w:val="36"/>
          <w:rtl/>
        </w:rPr>
        <w:t>فلاينبغي الاشكال في تحقق الوضع التعيني في اواسط عصر النبي</w:t>
      </w:r>
      <w:r w:rsidR="007A4A0D" w:rsidRPr="00FD211F">
        <w:rPr>
          <w:sz w:val="36"/>
          <w:szCs w:val="36"/>
          <w:rtl/>
        </w:rPr>
        <w:t>(صلى‌الله‌عليه‌وآله)</w:t>
      </w:r>
      <w:r w:rsidRPr="00FD211F">
        <w:rPr>
          <w:sz w:val="36"/>
          <w:szCs w:val="36"/>
          <w:rtl/>
        </w:rPr>
        <w:t xml:space="preserve"> في الالفاظ المتداول</w:t>
      </w:r>
      <w:r w:rsidR="00EC7EDF" w:rsidRPr="00FD211F">
        <w:rPr>
          <w:sz w:val="36"/>
          <w:szCs w:val="36"/>
          <w:rtl/>
        </w:rPr>
        <w:t xml:space="preserve">ة </w:t>
      </w:r>
      <w:r w:rsidRPr="00FD211F">
        <w:rPr>
          <w:sz w:val="36"/>
          <w:szCs w:val="36"/>
          <w:rtl/>
        </w:rPr>
        <w:t>في الماهيات الشرعي</w:t>
      </w:r>
      <w:r w:rsidR="00EC7EDF" w:rsidRPr="00FD211F">
        <w:rPr>
          <w:sz w:val="36"/>
          <w:szCs w:val="36"/>
          <w:rtl/>
        </w:rPr>
        <w:t xml:space="preserve">ة </w:t>
      </w:r>
      <w:r w:rsidRPr="00FD211F">
        <w:rPr>
          <w:sz w:val="36"/>
          <w:szCs w:val="36"/>
          <w:rtl/>
        </w:rPr>
        <w:t>المعروف</w:t>
      </w:r>
      <w:r w:rsidR="00EC7EDF" w:rsidRPr="00FD211F">
        <w:rPr>
          <w:sz w:val="36"/>
          <w:szCs w:val="36"/>
          <w:rtl/>
        </w:rPr>
        <w:t xml:space="preserve">ة </w:t>
      </w:r>
      <w:r w:rsidRPr="00FD211F">
        <w:rPr>
          <w:sz w:val="36"/>
          <w:szCs w:val="36"/>
          <w:rtl/>
        </w:rPr>
        <w:t>كالصلا</w:t>
      </w:r>
      <w:r w:rsidR="00EC7EDF" w:rsidRPr="00FD211F">
        <w:rPr>
          <w:sz w:val="36"/>
          <w:szCs w:val="36"/>
          <w:rtl/>
        </w:rPr>
        <w:t xml:space="preserve">ة </w:t>
      </w:r>
      <w:r w:rsidRPr="00FD211F">
        <w:rPr>
          <w:sz w:val="36"/>
          <w:szCs w:val="36"/>
          <w:rtl/>
        </w:rPr>
        <w:t>والصوم والزكا</w:t>
      </w:r>
      <w:r w:rsidR="00EC7EDF" w:rsidRPr="00FD211F">
        <w:rPr>
          <w:sz w:val="36"/>
          <w:szCs w:val="36"/>
          <w:rtl/>
        </w:rPr>
        <w:t xml:space="preserve">ة </w:t>
      </w:r>
      <w:r w:rsidRPr="00FD211F">
        <w:rPr>
          <w:sz w:val="36"/>
          <w:szCs w:val="36"/>
          <w:rtl/>
        </w:rPr>
        <w:t>والحج</w:t>
      </w:r>
      <w:r w:rsidR="00603323" w:rsidRPr="00FD211F">
        <w:rPr>
          <w:sz w:val="36"/>
          <w:szCs w:val="36"/>
          <w:rtl/>
        </w:rPr>
        <w:t xml:space="preserve">، </w:t>
      </w:r>
      <w:r w:rsidRPr="00FD211F">
        <w:rPr>
          <w:sz w:val="36"/>
          <w:szCs w:val="36"/>
          <w:rtl/>
        </w:rPr>
        <w:t>فان احرز ان نزول آي</w:t>
      </w:r>
      <w:r w:rsidR="00EC7EDF" w:rsidRPr="00FD211F">
        <w:rPr>
          <w:sz w:val="36"/>
          <w:szCs w:val="36"/>
          <w:rtl/>
        </w:rPr>
        <w:t xml:space="preserve">ة </w:t>
      </w:r>
      <w:r w:rsidRPr="00FD211F">
        <w:rPr>
          <w:sz w:val="36"/>
          <w:szCs w:val="36"/>
          <w:rtl/>
        </w:rPr>
        <w:t>مشتمل</w:t>
      </w:r>
      <w:r w:rsidR="00EC7EDF" w:rsidRPr="00FD211F">
        <w:rPr>
          <w:sz w:val="36"/>
          <w:szCs w:val="36"/>
          <w:rtl/>
        </w:rPr>
        <w:t xml:space="preserve">ة </w:t>
      </w:r>
      <w:r w:rsidRPr="00FD211F">
        <w:rPr>
          <w:sz w:val="36"/>
          <w:szCs w:val="36"/>
          <w:rtl/>
        </w:rPr>
        <w:t xml:space="preserve">على تلك الالفاظ او صدور حديث مشتمل عليها عن النبي </w:t>
      </w:r>
      <w:r w:rsidR="007A4A0D" w:rsidRPr="00FD211F">
        <w:rPr>
          <w:sz w:val="36"/>
          <w:szCs w:val="36"/>
          <w:rtl/>
        </w:rPr>
        <w:t>(صلى‌الله‌عليه‌وآله)</w:t>
      </w:r>
      <w:r w:rsidRPr="00FD211F">
        <w:rPr>
          <w:sz w:val="36"/>
          <w:szCs w:val="36"/>
          <w:rtl/>
        </w:rPr>
        <w:t xml:space="preserve"> كان في اواسط حياته فيحمل على المعنى الشرعي</w:t>
      </w:r>
      <w:r w:rsidR="00603323" w:rsidRPr="00FD211F">
        <w:rPr>
          <w:sz w:val="36"/>
          <w:szCs w:val="36"/>
          <w:rtl/>
        </w:rPr>
        <w:t xml:space="preserve">، </w:t>
      </w:r>
      <w:r w:rsidRPr="00FD211F">
        <w:rPr>
          <w:sz w:val="36"/>
          <w:szCs w:val="36"/>
          <w:rtl/>
        </w:rPr>
        <w:t>وأما سائر الالفاظ التي لاتكون متداول</w:t>
      </w:r>
      <w:r w:rsidR="00EC7EDF" w:rsidRPr="00FD211F">
        <w:rPr>
          <w:sz w:val="36"/>
          <w:szCs w:val="36"/>
          <w:rtl/>
        </w:rPr>
        <w:t xml:space="preserve">ة </w:t>
      </w:r>
      <w:r w:rsidRPr="00FD211F">
        <w:rPr>
          <w:sz w:val="36"/>
          <w:szCs w:val="36"/>
          <w:rtl/>
        </w:rPr>
        <w:t>على درج</w:t>
      </w:r>
      <w:r w:rsidR="00EC7EDF" w:rsidRPr="00FD211F">
        <w:rPr>
          <w:sz w:val="36"/>
          <w:szCs w:val="36"/>
          <w:rtl/>
        </w:rPr>
        <w:t xml:space="preserve">ة </w:t>
      </w:r>
      <w:r w:rsidRPr="00FD211F">
        <w:rPr>
          <w:sz w:val="36"/>
          <w:szCs w:val="36"/>
          <w:rtl/>
        </w:rPr>
        <w:t>تداول الفاظ الماهيات الشرعي</w:t>
      </w:r>
      <w:r w:rsidR="00EC7EDF" w:rsidRPr="00FD211F">
        <w:rPr>
          <w:sz w:val="36"/>
          <w:szCs w:val="36"/>
          <w:rtl/>
        </w:rPr>
        <w:t xml:space="preserve">ة </w:t>
      </w:r>
      <w:r w:rsidRPr="00FD211F">
        <w:rPr>
          <w:sz w:val="36"/>
          <w:szCs w:val="36"/>
          <w:rtl/>
        </w:rPr>
        <w:t>المعهود</w:t>
      </w:r>
      <w:r w:rsidR="00EC7EDF" w:rsidRPr="00FD211F">
        <w:rPr>
          <w:sz w:val="36"/>
          <w:szCs w:val="36"/>
          <w:rtl/>
        </w:rPr>
        <w:t xml:space="preserve">ة </w:t>
      </w:r>
      <w:r w:rsidRPr="00FD211F">
        <w:rPr>
          <w:sz w:val="36"/>
          <w:szCs w:val="36"/>
          <w:rtl/>
        </w:rPr>
        <w:t>كلفظ "البين</w:t>
      </w:r>
      <w:r w:rsidR="00EC7EDF" w:rsidRPr="00FD211F">
        <w:rPr>
          <w:sz w:val="36"/>
          <w:szCs w:val="36"/>
          <w:rtl/>
        </w:rPr>
        <w:t xml:space="preserve">ة </w:t>
      </w:r>
      <w:r w:rsidRPr="00FD211F">
        <w:rPr>
          <w:sz w:val="36"/>
          <w:szCs w:val="36"/>
          <w:rtl/>
        </w:rPr>
        <w:t>" الذي يكون معناه اللغوي ما يبي</w:t>
      </w:r>
      <w:r w:rsidR="007E0BB0" w:rsidRPr="00FD211F">
        <w:rPr>
          <w:sz w:val="36"/>
          <w:szCs w:val="36"/>
          <w:rtl/>
        </w:rPr>
        <w:t>ّ</w:t>
      </w:r>
      <w:r w:rsidRPr="00FD211F">
        <w:rPr>
          <w:sz w:val="36"/>
          <w:szCs w:val="36"/>
          <w:rtl/>
        </w:rPr>
        <w:t xml:space="preserve">ن الواقع –ومنه قوله تعالى </w:t>
      </w:r>
      <w:r w:rsidR="007E0BB0" w:rsidRPr="00FD211F">
        <w:rPr>
          <w:sz w:val="36"/>
          <w:szCs w:val="36"/>
          <w:rtl/>
        </w:rPr>
        <w:t>"</w:t>
      </w:r>
      <w:r w:rsidRPr="00FD211F">
        <w:rPr>
          <w:sz w:val="36"/>
          <w:szCs w:val="36"/>
          <w:rtl/>
        </w:rPr>
        <w:t>لم يكن الذين كفروا من اهل الكتاب والمشركين منفكين حتى تأتيهم البين</w:t>
      </w:r>
      <w:r w:rsidR="00EC7EDF" w:rsidRPr="00FD211F">
        <w:rPr>
          <w:sz w:val="36"/>
          <w:szCs w:val="36"/>
          <w:rtl/>
        </w:rPr>
        <w:t>ة</w:t>
      </w:r>
      <w:r w:rsidR="007E0BB0" w:rsidRPr="00FD211F">
        <w:rPr>
          <w:sz w:val="36"/>
          <w:szCs w:val="36"/>
          <w:rtl/>
        </w:rPr>
        <w:t>"</w:t>
      </w:r>
      <w:r w:rsidR="009C58C8" w:rsidRPr="00FD211F">
        <w:rPr>
          <w:rStyle w:val="a6"/>
          <w:sz w:val="36"/>
          <w:szCs w:val="36"/>
          <w:rtl/>
        </w:rPr>
        <w:t>(</w:t>
      </w:r>
      <w:r w:rsidR="009C58C8" w:rsidRPr="00FD211F">
        <w:rPr>
          <w:rStyle w:val="a6"/>
          <w:sz w:val="36"/>
          <w:szCs w:val="36"/>
          <w:rtl/>
        </w:rPr>
        <w:footnoteReference w:id="338"/>
      </w:r>
      <w:r w:rsidR="009C58C8" w:rsidRPr="00FD211F">
        <w:rPr>
          <w:rStyle w:val="a6"/>
          <w:sz w:val="36"/>
          <w:szCs w:val="36"/>
          <w:rtl/>
        </w:rPr>
        <w:t>)</w:t>
      </w:r>
      <w:r w:rsidR="00603323" w:rsidRPr="00FD211F">
        <w:rPr>
          <w:sz w:val="36"/>
          <w:szCs w:val="36"/>
          <w:rtl/>
        </w:rPr>
        <w:t xml:space="preserve">، </w:t>
      </w:r>
      <w:r w:rsidRPr="00FD211F">
        <w:rPr>
          <w:sz w:val="36"/>
          <w:szCs w:val="36"/>
          <w:rtl/>
        </w:rPr>
        <w:t>وكذا قوله تعالى</w:t>
      </w:r>
      <w:r w:rsidR="000563CE" w:rsidRPr="00FD211F">
        <w:rPr>
          <w:sz w:val="36"/>
          <w:szCs w:val="36"/>
          <w:rtl/>
        </w:rPr>
        <w:t xml:space="preserve"> </w:t>
      </w:r>
      <w:r w:rsidR="007E0BB0" w:rsidRPr="00FD211F">
        <w:rPr>
          <w:sz w:val="36"/>
          <w:szCs w:val="36"/>
          <w:rtl/>
        </w:rPr>
        <w:t>"</w:t>
      </w:r>
      <w:r w:rsidRPr="00FD211F">
        <w:rPr>
          <w:sz w:val="36"/>
          <w:szCs w:val="36"/>
          <w:rtl/>
        </w:rPr>
        <w:t>اني على بين</w:t>
      </w:r>
      <w:r w:rsidR="00EC7EDF" w:rsidRPr="00FD211F">
        <w:rPr>
          <w:sz w:val="36"/>
          <w:szCs w:val="36"/>
          <w:rtl/>
        </w:rPr>
        <w:t xml:space="preserve">ة </w:t>
      </w:r>
      <w:r w:rsidRPr="00FD211F">
        <w:rPr>
          <w:sz w:val="36"/>
          <w:szCs w:val="36"/>
          <w:rtl/>
        </w:rPr>
        <w:t>من ربي</w:t>
      </w:r>
      <w:r w:rsidR="009C58C8" w:rsidRPr="00FD211F">
        <w:rPr>
          <w:rStyle w:val="a6"/>
          <w:sz w:val="36"/>
          <w:szCs w:val="36"/>
          <w:rtl/>
        </w:rPr>
        <w:t>(</w:t>
      </w:r>
      <w:r w:rsidR="009C58C8" w:rsidRPr="00FD211F">
        <w:rPr>
          <w:rStyle w:val="a6"/>
          <w:sz w:val="36"/>
          <w:szCs w:val="36"/>
          <w:rtl/>
        </w:rPr>
        <w:footnoteReference w:id="339"/>
      </w:r>
      <w:r w:rsidR="009C58C8" w:rsidRPr="00FD211F">
        <w:rPr>
          <w:rStyle w:val="a6"/>
          <w:sz w:val="36"/>
          <w:szCs w:val="36"/>
          <w:rtl/>
        </w:rPr>
        <w:t>)</w:t>
      </w:r>
      <w:r w:rsidR="007E0BB0" w:rsidRPr="00FD211F">
        <w:rPr>
          <w:sz w:val="36"/>
          <w:szCs w:val="36"/>
          <w:rtl/>
        </w:rPr>
        <w:t>"</w:t>
      </w:r>
      <w:r w:rsidRPr="00FD211F">
        <w:rPr>
          <w:sz w:val="36"/>
          <w:szCs w:val="36"/>
          <w:rtl/>
        </w:rPr>
        <w:t>- ولكن قد يستعمل في معناها الشرعي اي شهاد</w:t>
      </w:r>
      <w:r w:rsidR="00EC7EDF" w:rsidRPr="00FD211F">
        <w:rPr>
          <w:sz w:val="36"/>
          <w:szCs w:val="36"/>
          <w:rtl/>
        </w:rPr>
        <w:t xml:space="preserve">ة </w:t>
      </w:r>
      <w:r w:rsidRPr="00FD211F">
        <w:rPr>
          <w:sz w:val="36"/>
          <w:szCs w:val="36"/>
          <w:rtl/>
        </w:rPr>
        <w:t>العدلين</w:t>
      </w:r>
      <w:r w:rsidR="00603323" w:rsidRPr="00FD211F">
        <w:rPr>
          <w:sz w:val="36"/>
          <w:szCs w:val="36"/>
          <w:rtl/>
        </w:rPr>
        <w:t xml:space="preserve">، </w:t>
      </w:r>
      <w:r w:rsidRPr="00FD211F">
        <w:rPr>
          <w:sz w:val="36"/>
          <w:szCs w:val="36"/>
          <w:rtl/>
        </w:rPr>
        <w:t>وكذا لفظ "الخُمس" حيث قد يستعمل في معناه الشرعي وهو الخمس المعهود الذي يكون نصفه للإمام ونصفه للساد</w:t>
      </w:r>
      <w:r w:rsidR="00EC7EDF" w:rsidRPr="00FD211F">
        <w:rPr>
          <w:sz w:val="36"/>
          <w:szCs w:val="36"/>
          <w:rtl/>
        </w:rPr>
        <w:t xml:space="preserve">ة </w:t>
      </w:r>
      <w:r w:rsidRPr="00FD211F">
        <w:rPr>
          <w:sz w:val="36"/>
          <w:szCs w:val="36"/>
          <w:rtl/>
        </w:rPr>
        <w:t>الفقراء</w:t>
      </w:r>
      <w:r w:rsidR="00603323" w:rsidRPr="00FD211F">
        <w:rPr>
          <w:sz w:val="36"/>
          <w:szCs w:val="36"/>
          <w:rtl/>
        </w:rPr>
        <w:t xml:space="preserve">، </w:t>
      </w:r>
      <w:r w:rsidRPr="00FD211F">
        <w:rPr>
          <w:sz w:val="36"/>
          <w:szCs w:val="36"/>
          <w:rtl/>
        </w:rPr>
        <w:t>وكذا لفظ "الطهار</w:t>
      </w:r>
      <w:r w:rsidR="00EC7EDF" w:rsidRPr="00FD211F">
        <w:rPr>
          <w:sz w:val="36"/>
          <w:szCs w:val="36"/>
          <w:rtl/>
        </w:rPr>
        <w:t xml:space="preserve">ة </w:t>
      </w:r>
      <w:r w:rsidRPr="00FD211F">
        <w:rPr>
          <w:sz w:val="36"/>
          <w:szCs w:val="36"/>
          <w:rtl/>
        </w:rPr>
        <w:t>" و"النجاس</w:t>
      </w:r>
      <w:r w:rsidR="00EC7EDF" w:rsidRPr="00FD211F">
        <w:rPr>
          <w:sz w:val="36"/>
          <w:szCs w:val="36"/>
          <w:rtl/>
        </w:rPr>
        <w:t xml:space="preserve">ة </w:t>
      </w:r>
      <w:r w:rsidRPr="00FD211F">
        <w:rPr>
          <w:sz w:val="36"/>
          <w:szCs w:val="36"/>
          <w:rtl/>
        </w:rPr>
        <w:t>" حيث يستعملان في معناهما الشرعي المعهود</w:t>
      </w:r>
      <w:r w:rsidR="00603323" w:rsidRPr="00FD211F">
        <w:rPr>
          <w:sz w:val="36"/>
          <w:szCs w:val="36"/>
          <w:rtl/>
        </w:rPr>
        <w:t xml:space="preserve">، </w:t>
      </w:r>
      <w:r w:rsidRPr="00FD211F">
        <w:rPr>
          <w:sz w:val="36"/>
          <w:szCs w:val="36"/>
          <w:rtl/>
        </w:rPr>
        <w:t xml:space="preserve">فاحراز انعقاد ظهورها في تلك المعاني في عصر النبي </w:t>
      </w:r>
      <w:r w:rsidR="007A4A0D" w:rsidRPr="00FD211F">
        <w:rPr>
          <w:sz w:val="36"/>
          <w:szCs w:val="36"/>
          <w:rtl/>
        </w:rPr>
        <w:t>(صلى‌الله‌عليه‌وآله)</w:t>
      </w:r>
      <w:r w:rsidRPr="00FD211F">
        <w:rPr>
          <w:sz w:val="36"/>
          <w:szCs w:val="36"/>
          <w:rtl/>
        </w:rPr>
        <w:t xml:space="preserve"> مشكل جدا</w:t>
      </w:r>
      <w:r w:rsidR="00603323" w:rsidRPr="00FD211F">
        <w:rPr>
          <w:sz w:val="36"/>
          <w:szCs w:val="36"/>
          <w:rtl/>
        </w:rPr>
        <w:t xml:space="preserve">، </w:t>
      </w:r>
      <w:r w:rsidRPr="00FD211F">
        <w:rPr>
          <w:sz w:val="36"/>
          <w:szCs w:val="36"/>
          <w:rtl/>
        </w:rPr>
        <w:t>وعليه فيشكل حمل لفظ البين</w:t>
      </w:r>
      <w:r w:rsidR="00EC7EDF" w:rsidRPr="00FD211F">
        <w:rPr>
          <w:sz w:val="36"/>
          <w:szCs w:val="36"/>
          <w:rtl/>
        </w:rPr>
        <w:t xml:space="preserve">ة </w:t>
      </w:r>
      <w:r w:rsidRPr="00FD211F">
        <w:rPr>
          <w:sz w:val="36"/>
          <w:szCs w:val="36"/>
          <w:rtl/>
        </w:rPr>
        <w:t>على اراد</w:t>
      </w:r>
      <w:r w:rsidR="00EC7EDF" w:rsidRPr="00FD211F">
        <w:rPr>
          <w:sz w:val="36"/>
          <w:szCs w:val="36"/>
          <w:rtl/>
        </w:rPr>
        <w:t xml:space="preserve">ة </w:t>
      </w:r>
      <w:r w:rsidRPr="00FD211F">
        <w:rPr>
          <w:sz w:val="36"/>
          <w:szCs w:val="36"/>
          <w:rtl/>
        </w:rPr>
        <w:t>شهاد</w:t>
      </w:r>
      <w:r w:rsidR="00EC7EDF" w:rsidRPr="00FD211F">
        <w:rPr>
          <w:sz w:val="36"/>
          <w:szCs w:val="36"/>
          <w:rtl/>
        </w:rPr>
        <w:t xml:space="preserve">ة </w:t>
      </w:r>
      <w:r w:rsidRPr="00FD211F">
        <w:rPr>
          <w:sz w:val="36"/>
          <w:szCs w:val="36"/>
          <w:rtl/>
        </w:rPr>
        <w:t xml:space="preserve">عدلين فيما ورد هذا اللفظ في كلام النبي </w:t>
      </w:r>
      <w:r w:rsidR="007A4A0D" w:rsidRPr="00FD211F">
        <w:rPr>
          <w:sz w:val="36"/>
          <w:szCs w:val="36"/>
          <w:rtl/>
        </w:rPr>
        <w:t>(صلى‌الله‌عليه‌وآله)</w:t>
      </w:r>
      <w:r w:rsidRPr="00FD211F">
        <w:rPr>
          <w:sz w:val="36"/>
          <w:szCs w:val="36"/>
          <w:rtl/>
        </w:rPr>
        <w:t xml:space="preserve"> كقوله </w:t>
      </w:r>
      <w:r w:rsidR="00B05561" w:rsidRPr="00FD211F">
        <w:rPr>
          <w:sz w:val="36"/>
          <w:szCs w:val="36"/>
          <w:rtl/>
        </w:rPr>
        <w:t>"</w:t>
      </w:r>
      <w:r w:rsidRPr="00FD211F">
        <w:rPr>
          <w:sz w:val="36"/>
          <w:szCs w:val="36"/>
          <w:rtl/>
        </w:rPr>
        <w:t>انما اقضي بينكم بالبينات والأيمان</w:t>
      </w:r>
      <w:r w:rsidR="00B05561" w:rsidRPr="00FD211F">
        <w:rPr>
          <w:sz w:val="36"/>
          <w:szCs w:val="36"/>
          <w:rtl/>
        </w:rPr>
        <w:t>"</w:t>
      </w:r>
      <w:r w:rsidR="00603323" w:rsidRPr="00FD211F">
        <w:rPr>
          <w:sz w:val="36"/>
          <w:szCs w:val="36"/>
          <w:rtl/>
        </w:rPr>
        <w:t xml:space="preserve">، </w:t>
      </w:r>
      <w:r w:rsidRPr="00FD211F">
        <w:rPr>
          <w:sz w:val="36"/>
          <w:szCs w:val="36"/>
          <w:rtl/>
        </w:rPr>
        <w:t>نعم</w:t>
      </w:r>
      <w:r w:rsidR="00B05561" w:rsidRPr="00FD211F">
        <w:rPr>
          <w:sz w:val="36"/>
          <w:szCs w:val="36"/>
          <w:rtl/>
        </w:rPr>
        <w:t xml:space="preserve"> قد يدعى </w:t>
      </w:r>
      <w:r w:rsidRPr="00FD211F">
        <w:rPr>
          <w:sz w:val="36"/>
          <w:szCs w:val="36"/>
          <w:rtl/>
        </w:rPr>
        <w:t>ظهور هذا اللفظ في عهد الصادقين عليهما السلام في شهاد</w:t>
      </w:r>
      <w:r w:rsidR="00EC7EDF" w:rsidRPr="00FD211F">
        <w:rPr>
          <w:sz w:val="36"/>
          <w:szCs w:val="36"/>
          <w:rtl/>
        </w:rPr>
        <w:t xml:space="preserve">ة </w:t>
      </w:r>
      <w:r w:rsidRPr="00FD211F">
        <w:rPr>
          <w:sz w:val="36"/>
          <w:szCs w:val="36"/>
          <w:rtl/>
        </w:rPr>
        <w:t>عدلين لكثر</w:t>
      </w:r>
      <w:r w:rsidR="00EC7EDF" w:rsidRPr="00FD211F">
        <w:rPr>
          <w:sz w:val="36"/>
          <w:szCs w:val="36"/>
          <w:rtl/>
        </w:rPr>
        <w:t xml:space="preserve">ة </w:t>
      </w:r>
      <w:r w:rsidRPr="00FD211F">
        <w:rPr>
          <w:sz w:val="36"/>
          <w:szCs w:val="36"/>
          <w:rtl/>
        </w:rPr>
        <w:t>استعمالها في ذلك</w:t>
      </w:r>
      <w:r w:rsidR="00603323" w:rsidRPr="00FD211F">
        <w:rPr>
          <w:sz w:val="36"/>
          <w:szCs w:val="36"/>
          <w:rtl/>
        </w:rPr>
        <w:t xml:space="preserve">، </w:t>
      </w:r>
      <w:r w:rsidRPr="00FD211F">
        <w:rPr>
          <w:sz w:val="36"/>
          <w:szCs w:val="36"/>
          <w:rtl/>
        </w:rPr>
        <w:t>كما ورد في رواي</w:t>
      </w:r>
      <w:r w:rsidR="00EC7EDF" w:rsidRPr="00FD211F">
        <w:rPr>
          <w:sz w:val="36"/>
          <w:szCs w:val="36"/>
          <w:rtl/>
        </w:rPr>
        <w:t xml:space="preserve">ة </w:t>
      </w:r>
      <w:r w:rsidRPr="00FD211F">
        <w:rPr>
          <w:sz w:val="36"/>
          <w:szCs w:val="36"/>
          <w:rtl/>
        </w:rPr>
        <w:t>مسعد</w:t>
      </w:r>
      <w:r w:rsidR="00EC7EDF" w:rsidRPr="00FD211F">
        <w:rPr>
          <w:sz w:val="36"/>
          <w:szCs w:val="36"/>
          <w:rtl/>
        </w:rPr>
        <w:t xml:space="preserve">ة </w:t>
      </w:r>
      <w:r w:rsidRPr="00FD211F">
        <w:rPr>
          <w:sz w:val="36"/>
          <w:szCs w:val="36"/>
          <w:rtl/>
        </w:rPr>
        <w:t>بن صدق</w:t>
      </w:r>
      <w:r w:rsidR="00EC7EDF" w:rsidRPr="00FD211F">
        <w:rPr>
          <w:sz w:val="36"/>
          <w:szCs w:val="36"/>
          <w:rtl/>
        </w:rPr>
        <w:t xml:space="preserve">ة </w:t>
      </w:r>
      <w:r w:rsidRPr="00FD211F">
        <w:rPr>
          <w:sz w:val="36"/>
          <w:szCs w:val="36"/>
          <w:rtl/>
        </w:rPr>
        <w:t xml:space="preserve">عن الصادق </w:t>
      </w:r>
      <w:r w:rsidR="007A4A0D" w:rsidRPr="00FD211F">
        <w:rPr>
          <w:sz w:val="36"/>
          <w:szCs w:val="36"/>
          <w:rtl/>
        </w:rPr>
        <w:t>(عليه‌السلام)</w:t>
      </w:r>
      <w:r w:rsidRPr="00FD211F">
        <w:rPr>
          <w:sz w:val="36"/>
          <w:szCs w:val="36"/>
          <w:rtl/>
        </w:rPr>
        <w:t xml:space="preserve"> كل </w:t>
      </w:r>
      <w:r w:rsidR="008D7B3D" w:rsidRPr="00FD211F">
        <w:rPr>
          <w:sz w:val="36"/>
          <w:szCs w:val="36"/>
          <w:rtl/>
        </w:rPr>
        <w:t xml:space="preserve">شيء </w:t>
      </w:r>
      <w:r w:rsidRPr="00FD211F">
        <w:rPr>
          <w:sz w:val="36"/>
          <w:szCs w:val="36"/>
          <w:rtl/>
        </w:rPr>
        <w:t>لك حلال حتى تعرف انه حرام بعينه</w:t>
      </w:r>
      <w:r w:rsidR="00EC7EDF" w:rsidRPr="00FD211F">
        <w:rPr>
          <w:sz w:val="36"/>
          <w:szCs w:val="36"/>
          <w:rtl/>
        </w:rPr>
        <w:t>.</w:t>
      </w:r>
      <w:r w:rsidRPr="00FD211F">
        <w:rPr>
          <w:sz w:val="36"/>
          <w:szCs w:val="36"/>
          <w:rtl/>
        </w:rPr>
        <w:t>.. والاشياء كلها على هذا حتى يستبين لك غير ذلك او تقوم به البين</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340"/>
      </w:r>
      <w:r w:rsidR="009C58C8" w:rsidRPr="00FD211F">
        <w:rPr>
          <w:rStyle w:val="a6"/>
          <w:sz w:val="36"/>
          <w:szCs w:val="36"/>
          <w:rtl/>
        </w:rPr>
        <w:t>)</w:t>
      </w:r>
      <w:r w:rsidRPr="00FD211F">
        <w:rPr>
          <w:sz w:val="36"/>
          <w:szCs w:val="36"/>
          <w:rtl/>
        </w:rPr>
        <w:t xml:space="preserve"> وان ذكر السيد الخوئي </w:t>
      </w:r>
      <w:r w:rsidR="007E0BB0" w:rsidRPr="00FD211F">
        <w:rPr>
          <w:sz w:val="36"/>
          <w:szCs w:val="36"/>
          <w:rtl/>
        </w:rPr>
        <w:t>"</w:t>
      </w:r>
      <w:r w:rsidRPr="00FD211F">
        <w:rPr>
          <w:sz w:val="36"/>
          <w:szCs w:val="36"/>
          <w:rtl/>
        </w:rPr>
        <w:t>قده</w:t>
      </w:r>
      <w:r w:rsidR="007E0BB0" w:rsidRPr="00FD211F">
        <w:rPr>
          <w:sz w:val="36"/>
          <w:szCs w:val="36"/>
          <w:rtl/>
        </w:rPr>
        <w:t>"</w:t>
      </w:r>
      <w:r w:rsidRPr="00FD211F">
        <w:rPr>
          <w:sz w:val="36"/>
          <w:szCs w:val="36"/>
          <w:rtl/>
        </w:rPr>
        <w:t xml:space="preserve"> ظهورها في المعنى اللغوي ايضا</w:t>
      </w:r>
      <w:r w:rsidR="00603323" w:rsidRPr="00FD211F">
        <w:rPr>
          <w:sz w:val="36"/>
          <w:szCs w:val="36"/>
          <w:rtl/>
        </w:rPr>
        <w:t xml:space="preserve">، </w:t>
      </w:r>
      <w:r w:rsidRPr="00FD211F">
        <w:rPr>
          <w:sz w:val="36"/>
          <w:szCs w:val="36"/>
          <w:rtl/>
        </w:rPr>
        <w:t>وهكذا يشكل حمل الخمس على الخمس المعهود فيما اذا تجرد عن القرين</w:t>
      </w:r>
      <w:r w:rsidR="00EC7EDF" w:rsidRPr="00FD211F">
        <w:rPr>
          <w:sz w:val="36"/>
          <w:szCs w:val="36"/>
          <w:rtl/>
        </w:rPr>
        <w:t>ة</w:t>
      </w:r>
      <w:r w:rsidR="00603323" w:rsidRPr="00FD211F">
        <w:rPr>
          <w:sz w:val="36"/>
          <w:szCs w:val="36"/>
          <w:rtl/>
        </w:rPr>
        <w:t xml:space="preserve">، </w:t>
      </w:r>
      <w:r w:rsidRPr="00FD211F">
        <w:rPr>
          <w:sz w:val="36"/>
          <w:szCs w:val="36"/>
          <w:rtl/>
        </w:rPr>
        <w:t>كما في خمس الحلال المختلط بالحرام</w:t>
      </w:r>
      <w:r w:rsidR="00603323" w:rsidRPr="00FD211F">
        <w:rPr>
          <w:sz w:val="36"/>
          <w:szCs w:val="36"/>
          <w:rtl/>
        </w:rPr>
        <w:t xml:space="preserve">، </w:t>
      </w:r>
      <w:r w:rsidRPr="00FD211F">
        <w:rPr>
          <w:sz w:val="36"/>
          <w:szCs w:val="36"/>
          <w:rtl/>
        </w:rPr>
        <w:t xml:space="preserve">حيث يحتمل ان يكون </w:t>
      </w:r>
      <w:r w:rsidR="001B3112" w:rsidRPr="00FD211F">
        <w:rPr>
          <w:sz w:val="36"/>
          <w:szCs w:val="36"/>
          <w:rtl/>
        </w:rPr>
        <w:t>الأمر</w:t>
      </w:r>
      <w:r w:rsidRPr="00FD211F">
        <w:rPr>
          <w:sz w:val="36"/>
          <w:szCs w:val="36"/>
          <w:rtl/>
        </w:rPr>
        <w:t xml:space="preserve"> بدفع خمسه بمعنى لزوم التصدق به على الفقراء</w:t>
      </w:r>
      <w:r w:rsidR="00603323" w:rsidRPr="00FD211F">
        <w:rPr>
          <w:sz w:val="36"/>
          <w:szCs w:val="36"/>
          <w:rtl/>
        </w:rPr>
        <w:t xml:space="preserve">، </w:t>
      </w:r>
      <w:r w:rsidRPr="00FD211F">
        <w:rPr>
          <w:sz w:val="36"/>
          <w:szCs w:val="36"/>
          <w:rtl/>
        </w:rPr>
        <w:t>ولايظهر منه كونه بمعنى الخمس المعهود الذي يكون نصفه للإمام ونصفه للساد</w:t>
      </w:r>
      <w:r w:rsidR="00EC7EDF" w:rsidRPr="00FD211F">
        <w:rPr>
          <w:sz w:val="36"/>
          <w:szCs w:val="36"/>
          <w:rtl/>
        </w:rPr>
        <w:t xml:space="preserve">ة </w:t>
      </w:r>
      <w:r w:rsidRPr="00FD211F">
        <w:rPr>
          <w:sz w:val="36"/>
          <w:szCs w:val="36"/>
          <w:rtl/>
        </w:rPr>
        <w:t>الفقراء</w:t>
      </w:r>
      <w:r w:rsidR="00603323" w:rsidRPr="00FD211F">
        <w:rPr>
          <w:sz w:val="36"/>
          <w:szCs w:val="36"/>
          <w:rtl/>
        </w:rPr>
        <w:t xml:space="preserve">، </w:t>
      </w:r>
      <w:r w:rsidRPr="00FD211F">
        <w:rPr>
          <w:sz w:val="36"/>
          <w:szCs w:val="36"/>
          <w:rtl/>
        </w:rPr>
        <w:t xml:space="preserve">وكذا يشكل الاستدلال بمثل قوله </w:t>
      </w:r>
      <w:r w:rsidR="007A4A0D" w:rsidRPr="00FD211F">
        <w:rPr>
          <w:sz w:val="36"/>
          <w:szCs w:val="36"/>
          <w:rtl/>
        </w:rPr>
        <w:t>(عليه‌السلام)</w:t>
      </w:r>
      <w:r w:rsidR="007E0BB0" w:rsidRPr="00FD211F">
        <w:rPr>
          <w:sz w:val="36"/>
          <w:szCs w:val="36"/>
          <w:rtl/>
        </w:rPr>
        <w:t>"</w:t>
      </w:r>
      <w:r w:rsidRPr="00FD211F">
        <w:rPr>
          <w:sz w:val="36"/>
          <w:szCs w:val="36"/>
          <w:rtl/>
        </w:rPr>
        <w:t xml:space="preserve"> </w:t>
      </w:r>
      <w:r w:rsidR="009116E7" w:rsidRPr="00FD211F">
        <w:rPr>
          <w:sz w:val="36"/>
          <w:szCs w:val="36"/>
          <w:rtl/>
        </w:rPr>
        <w:t>ان الله تبارك وتعالى</w:t>
      </w:r>
      <w:r w:rsidR="008D7B3D" w:rsidRPr="00FD211F">
        <w:rPr>
          <w:sz w:val="36"/>
          <w:szCs w:val="36"/>
          <w:rtl/>
        </w:rPr>
        <w:t xml:space="preserve"> لم‌</w:t>
      </w:r>
      <w:r w:rsidR="009116E7" w:rsidRPr="00FD211F">
        <w:rPr>
          <w:sz w:val="36"/>
          <w:szCs w:val="36"/>
          <w:rtl/>
        </w:rPr>
        <w:t>يخلق</w:t>
      </w:r>
      <w:r w:rsidR="00243122" w:rsidRPr="00FD211F">
        <w:rPr>
          <w:sz w:val="36"/>
          <w:szCs w:val="36"/>
          <w:rtl/>
        </w:rPr>
        <w:t xml:space="preserve"> خلقا أنجس من الكلب و</w:t>
      </w:r>
      <w:r w:rsidR="009116E7" w:rsidRPr="00FD211F">
        <w:rPr>
          <w:sz w:val="36"/>
          <w:szCs w:val="36"/>
          <w:rtl/>
        </w:rPr>
        <w:t xml:space="preserve">ان </w:t>
      </w:r>
      <w:r w:rsidRPr="00FD211F">
        <w:rPr>
          <w:sz w:val="36"/>
          <w:szCs w:val="36"/>
          <w:rtl/>
        </w:rPr>
        <w:t xml:space="preserve">الناصب </w:t>
      </w:r>
      <w:r w:rsidR="007E0BB0" w:rsidRPr="00FD211F">
        <w:rPr>
          <w:sz w:val="36"/>
          <w:szCs w:val="36"/>
          <w:rtl/>
        </w:rPr>
        <w:t xml:space="preserve">لنا اهل البيت </w:t>
      </w:r>
      <w:r w:rsidR="00243122" w:rsidRPr="00FD211F">
        <w:rPr>
          <w:sz w:val="36"/>
          <w:szCs w:val="36"/>
          <w:rtl/>
        </w:rPr>
        <w:t>لانجس منه</w:t>
      </w:r>
      <w:r w:rsidR="00DE4FF9" w:rsidRPr="00FD211F">
        <w:rPr>
          <w:sz w:val="36"/>
          <w:szCs w:val="36"/>
          <w:rtl/>
        </w:rPr>
        <w:t>"</w:t>
      </w:r>
      <w:r w:rsidR="009C58C8" w:rsidRPr="00FD211F">
        <w:rPr>
          <w:rStyle w:val="a6"/>
          <w:sz w:val="36"/>
          <w:szCs w:val="36"/>
          <w:rtl/>
        </w:rPr>
        <w:t>(</w:t>
      </w:r>
      <w:r w:rsidR="009C58C8" w:rsidRPr="00FD211F">
        <w:rPr>
          <w:rStyle w:val="a6"/>
          <w:sz w:val="36"/>
          <w:szCs w:val="36"/>
          <w:rtl/>
        </w:rPr>
        <w:footnoteReference w:id="341"/>
      </w:r>
      <w:r w:rsidR="009C58C8" w:rsidRPr="00FD211F">
        <w:rPr>
          <w:rStyle w:val="a6"/>
          <w:sz w:val="36"/>
          <w:szCs w:val="36"/>
          <w:rtl/>
        </w:rPr>
        <w:t>)</w:t>
      </w:r>
      <w:r w:rsidRPr="00FD211F">
        <w:rPr>
          <w:sz w:val="36"/>
          <w:szCs w:val="36"/>
          <w:rtl/>
        </w:rPr>
        <w:t xml:space="preserve"> على النجاس</w:t>
      </w:r>
      <w:r w:rsidR="00EC7EDF" w:rsidRPr="00FD211F">
        <w:rPr>
          <w:sz w:val="36"/>
          <w:szCs w:val="36"/>
          <w:rtl/>
        </w:rPr>
        <w:t xml:space="preserve">ة </w:t>
      </w:r>
      <w:r w:rsidRPr="00FD211F">
        <w:rPr>
          <w:sz w:val="36"/>
          <w:szCs w:val="36"/>
          <w:rtl/>
        </w:rPr>
        <w:t>الفقهي</w:t>
      </w:r>
      <w:r w:rsidR="00EC7EDF" w:rsidRPr="00FD211F">
        <w:rPr>
          <w:sz w:val="36"/>
          <w:szCs w:val="36"/>
          <w:rtl/>
        </w:rPr>
        <w:t xml:space="preserve">ة </w:t>
      </w:r>
      <w:r w:rsidRPr="00FD211F">
        <w:rPr>
          <w:sz w:val="36"/>
          <w:szCs w:val="36"/>
          <w:rtl/>
        </w:rPr>
        <w:t>للناصب</w:t>
      </w:r>
      <w:r w:rsidR="00603323" w:rsidRPr="00FD211F">
        <w:rPr>
          <w:sz w:val="36"/>
          <w:szCs w:val="36"/>
          <w:rtl/>
        </w:rPr>
        <w:t xml:space="preserve">، </w:t>
      </w:r>
      <w:r w:rsidRPr="00FD211F">
        <w:rPr>
          <w:sz w:val="36"/>
          <w:szCs w:val="36"/>
          <w:rtl/>
        </w:rPr>
        <w:t>فلعلها بمعنى القذار</w:t>
      </w:r>
      <w:r w:rsidR="00EC7EDF" w:rsidRPr="00FD211F">
        <w:rPr>
          <w:sz w:val="36"/>
          <w:szCs w:val="36"/>
          <w:rtl/>
        </w:rPr>
        <w:t xml:space="preserve">ة </w:t>
      </w:r>
      <w:r w:rsidRPr="00FD211F">
        <w:rPr>
          <w:sz w:val="36"/>
          <w:szCs w:val="36"/>
          <w:rtl/>
        </w:rPr>
        <w:t>المعنوي</w:t>
      </w:r>
      <w:r w:rsidR="00EC7EDF" w:rsidRPr="00FD211F">
        <w:rPr>
          <w:sz w:val="36"/>
          <w:szCs w:val="36"/>
          <w:rtl/>
        </w:rPr>
        <w:t>ة</w:t>
      </w:r>
      <w:r w:rsidR="00A61BAE" w:rsidRPr="00FD211F">
        <w:rPr>
          <w:sz w:val="36"/>
          <w:szCs w:val="36"/>
          <w:rtl/>
        </w:rPr>
        <w:t>.</w:t>
      </w:r>
    </w:p>
    <w:p w14:paraId="329CEA25" w14:textId="77777777" w:rsidR="00052BF2" w:rsidRPr="00FD211F" w:rsidRDefault="00052BF2" w:rsidP="009C58C8">
      <w:pPr>
        <w:ind w:left="0" w:firstLine="227"/>
        <w:jc w:val="both"/>
        <w:rPr>
          <w:sz w:val="36"/>
          <w:szCs w:val="36"/>
          <w:rtl/>
        </w:rPr>
      </w:pPr>
      <w:r w:rsidRPr="00FD211F">
        <w:rPr>
          <w:sz w:val="36"/>
          <w:szCs w:val="36"/>
          <w:rtl/>
        </w:rPr>
        <w:t>وقد يورد على ثبوت الوضع التعيني الشرعي بانه</w:t>
      </w:r>
      <w:r w:rsidR="008D7B3D" w:rsidRPr="00FD211F">
        <w:rPr>
          <w:sz w:val="36"/>
          <w:szCs w:val="36"/>
          <w:rtl/>
        </w:rPr>
        <w:t xml:space="preserve"> لم‌</w:t>
      </w:r>
      <w:r w:rsidRPr="00FD211F">
        <w:rPr>
          <w:sz w:val="36"/>
          <w:szCs w:val="36"/>
          <w:rtl/>
        </w:rPr>
        <w:t>يعلم كثر</w:t>
      </w:r>
      <w:r w:rsidR="00EC7EDF" w:rsidRPr="00FD211F">
        <w:rPr>
          <w:sz w:val="36"/>
          <w:szCs w:val="36"/>
          <w:rtl/>
        </w:rPr>
        <w:t xml:space="preserve">ة </w:t>
      </w:r>
      <w:r w:rsidRPr="00FD211F">
        <w:rPr>
          <w:sz w:val="36"/>
          <w:szCs w:val="36"/>
          <w:rtl/>
        </w:rPr>
        <w:t>استعمال تلك الالفاظ في معانيها الشرعي</w:t>
      </w:r>
      <w:r w:rsidR="00EC7EDF" w:rsidRPr="00FD211F">
        <w:rPr>
          <w:sz w:val="36"/>
          <w:szCs w:val="36"/>
          <w:rtl/>
        </w:rPr>
        <w:t xml:space="preserve">ة </w:t>
      </w:r>
      <w:r w:rsidRPr="00FD211F">
        <w:rPr>
          <w:sz w:val="36"/>
          <w:szCs w:val="36"/>
          <w:rtl/>
        </w:rPr>
        <w:t xml:space="preserve">في كلام النبي </w:t>
      </w:r>
      <w:r w:rsidR="007A4A0D" w:rsidRPr="00FD211F">
        <w:rPr>
          <w:sz w:val="36"/>
          <w:szCs w:val="36"/>
          <w:rtl/>
        </w:rPr>
        <w:t>(صلى‌الله‌عليه‌وآله)</w:t>
      </w:r>
      <w:r w:rsidR="00603323" w:rsidRPr="00FD211F">
        <w:rPr>
          <w:sz w:val="36"/>
          <w:szCs w:val="36"/>
          <w:rtl/>
        </w:rPr>
        <w:t xml:space="preserve">، </w:t>
      </w:r>
      <w:r w:rsidRPr="00FD211F">
        <w:rPr>
          <w:sz w:val="36"/>
          <w:szCs w:val="36"/>
          <w:rtl/>
        </w:rPr>
        <w:t>وانما المعلوم كثر</w:t>
      </w:r>
      <w:r w:rsidR="00EC7EDF" w:rsidRPr="00FD211F">
        <w:rPr>
          <w:sz w:val="36"/>
          <w:szCs w:val="36"/>
          <w:rtl/>
        </w:rPr>
        <w:t xml:space="preserve">ة </w:t>
      </w:r>
      <w:r w:rsidRPr="00FD211F">
        <w:rPr>
          <w:sz w:val="36"/>
          <w:szCs w:val="36"/>
          <w:rtl/>
        </w:rPr>
        <w:t>الاستعمال في كلامه وكلام أتباعه</w:t>
      </w:r>
      <w:r w:rsidR="00603323" w:rsidRPr="00FD211F">
        <w:rPr>
          <w:sz w:val="36"/>
          <w:szCs w:val="36"/>
          <w:rtl/>
        </w:rPr>
        <w:t xml:space="preserve">، </w:t>
      </w:r>
      <w:r w:rsidRPr="00FD211F">
        <w:rPr>
          <w:sz w:val="36"/>
          <w:szCs w:val="36"/>
          <w:rtl/>
        </w:rPr>
        <w:t>وغاي</w:t>
      </w:r>
      <w:r w:rsidR="00EC7EDF" w:rsidRPr="00FD211F">
        <w:rPr>
          <w:sz w:val="36"/>
          <w:szCs w:val="36"/>
          <w:rtl/>
        </w:rPr>
        <w:t xml:space="preserve">ة </w:t>
      </w:r>
      <w:r w:rsidRPr="00FD211F">
        <w:rPr>
          <w:sz w:val="36"/>
          <w:szCs w:val="36"/>
          <w:rtl/>
        </w:rPr>
        <w:t>ما يثبت بذلك الحقيق</w:t>
      </w:r>
      <w:r w:rsidR="00EC7EDF" w:rsidRPr="00FD211F">
        <w:rPr>
          <w:sz w:val="36"/>
          <w:szCs w:val="36"/>
          <w:rtl/>
        </w:rPr>
        <w:t xml:space="preserve">ة </w:t>
      </w:r>
      <w:r w:rsidRPr="00FD211F">
        <w:rPr>
          <w:sz w:val="36"/>
          <w:szCs w:val="36"/>
          <w:rtl/>
        </w:rPr>
        <w:t>المتشرعي</w:t>
      </w:r>
      <w:r w:rsidR="00EC7EDF" w:rsidRPr="00FD211F">
        <w:rPr>
          <w:sz w:val="36"/>
          <w:szCs w:val="36"/>
          <w:rtl/>
        </w:rPr>
        <w:t>ة</w:t>
      </w:r>
      <w:r w:rsidR="00A61BAE" w:rsidRPr="00FD211F">
        <w:rPr>
          <w:sz w:val="36"/>
          <w:szCs w:val="36"/>
          <w:rtl/>
        </w:rPr>
        <w:t>.</w:t>
      </w:r>
    </w:p>
    <w:p w14:paraId="48CF669B" w14:textId="77777777" w:rsidR="00052BF2" w:rsidRPr="00FD211F" w:rsidRDefault="00052BF2" w:rsidP="009C58C8">
      <w:pPr>
        <w:ind w:left="0" w:firstLine="227"/>
        <w:jc w:val="both"/>
        <w:rPr>
          <w:sz w:val="36"/>
          <w:szCs w:val="36"/>
          <w:rtl/>
        </w:rPr>
      </w:pPr>
      <w:r w:rsidRPr="00FD211F">
        <w:rPr>
          <w:sz w:val="36"/>
          <w:szCs w:val="36"/>
          <w:rtl/>
        </w:rPr>
        <w:t xml:space="preserve">وفيه: ان المهم هو احراز الوضع التعيني في عصره </w:t>
      </w:r>
      <w:r w:rsidR="007A4A0D" w:rsidRPr="00FD211F">
        <w:rPr>
          <w:sz w:val="36"/>
          <w:szCs w:val="36"/>
          <w:rtl/>
        </w:rPr>
        <w:t>(صلى‌الله‌عليه‌وآله)</w:t>
      </w:r>
      <w:r w:rsidRPr="00FD211F">
        <w:rPr>
          <w:sz w:val="36"/>
          <w:szCs w:val="36"/>
          <w:rtl/>
        </w:rPr>
        <w:t xml:space="preserve"> ولو كان منشأه كثر</w:t>
      </w:r>
      <w:r w:rsidR="00EC7EDF" w:rsidRPr="00FD211F">
        <w:rPr>
          <w:sz w:val="36"/>
          <w:szCs w:val="36"/>
          <w:rtl/>
        </w:rPr>
        <w:t xml:space="preserve">ة </w:t>
      </w:r>
      <w:r w:rsidRPr="00FD211F">
        <w:rPr>
          <w:sz w:val="36"/>
          <w:szCs w:val="36"/>
          <w:rtl/>
        </w:rPr>
        <w:t>الاستعمال في مجموع كلامه وكلام اتباعه</w:t>
      </w:r>
      <w:r w:rsidR="00603323" w:rsidRPr="00FD211F">
        <w:rPr>
          <w:sz w:val="36"/>
          <w:szCs w:val="36"/>
          <w:rtl/>
        </w:rPr>
        <w:t xml:space="preserve">، </w:t>
      </w:r>
      <w:r w:rsidRPr="00FD211F">
        <w:rPr>
          <w:sz w:val="36"/>
          <w:szCs w:val="36"/>
          <w:rtl/>
        </w:rPr>
        <w:t>نعم ل</w:t>
      </w:r>
      <w:r w:rsidR="009977FE" w:rsidRPr="00FD211F">
        <w:rPr>
          <w:sz w:val="36"/>
          <w:szCs w:val="36"/>
          <w:rtl/>
        </w:rPr>
        <w:t>و</w:t>
      </w:r>
      <w:r w:rsidR="008D7B3D" w:rsidRPr="00FD211F">
        <w:rPr>
          <w:sz w:val="36"/>
          <w:szCs w:val="36"/>
          <w:rtl/>
        </w:rPr>
        <w:t xml:space="preserve"> لم‌</w:t>
      </w:r>
      <w:r w:rsidRPr="00FD211F">
        <w:rPr>
          <w:sz w:val="36"/>
          <w:szCs w:val="36"/>
          <w:rtl/>
        </w:rPr>
        <w:t>يحرز تحقق الوضعي التعيني في عصره بان احتمل عدم كثر</w:t>
      </w:r>
      <w:r w:rsidR="00EC7EDF" w:rsidRPr="00FD211F">
        <w:rPr>
          <w:sz w:val="36"/>
          <w:szCs w:val="36"/>
          <w:rtl/>
        </w:rPr>
        <w:t xml:space="preserve">ة </w:t>
      </w:r>
      <w:r w:rsidRPr="00FD211F">
        <w:rPr>
          <w:sz w:val="36"/>
          <w:szCs w:val="36"/>
          <w:rtl/>
        </w:rPr>
        <w:t>الاستعمال في زمانه بدرج</w:t>
      </w:r>
      <w:r w:rsidR="00EC7EDF" w:rsidRPr="00FD211F">
        <w:rPr>
          <w:sz w:val="36"/>
          <w:szCs w:val="36"/>
          <w:rtl/>
        </w:rPr>
        <w:t xml:space="preserve">ة </w:t>
      </w:r>
      <w:r w:rsidRPr="00FD211F">
        <w:rPr>
          <w:sz w:val="36"/>
          <w:szCs w:val="36"/>
          <w:rtl/>
        </w:rPr>
        <w:t>توجب الوضع التعيني وانما احرز ذلك بعده فيكون من الحقيق</w:t>
      </w:r>
      <w:r w:rsidR="00EC7EDF" w:rsidRPr="00FD211F">
        <w:rPr>
          <w:sz w:val="36"/>
          <w:szCs w:val="36"/>
          <w:rtl/>
        </w:rPr>
        <w:t xml:space="preserve">ة </w:t>
      </w:r>
      <w:r w:rsidRPr="00FD211F">
        <w:rPr>
          <w:sz w:val="36"/>
          <w:szCs w:val="36"/>
          <w:rtl/>
        </w:rPr>
        <w:t>المتشرعي</w:t>
      </w:r>
      <w:r w:rsidR="00EC7EDF" w:rsidRPr="00FD211F">
        <w:rPr>
          <w:sz w:val="36"/>
          <w:szCs w:val="36"/>
          <w:rtl/>
        </w:rPr>
        <w:t>ة</w:t>
      </w:r>
      <w:r w:rsidR="00A61BAE" w:rsidRPr="00FD211F">
        <w:rPr>
          <w:sz w:val="36"/>
          <w:szCs w:val="36"/>
          <w:rtl/>
        </w:rPr>
        <w:t>.</w:t>
      </w:r>
    </w:p>
    <w:p w14:paraId="57A027FE" w14:textId="77777777" w:rsidR="00052BF2" w:rsidRPr="00FD211F" w:rsidRDefault="00052BF2" w:rsidP="009C58C8">
      <w:pPr>
        <w:ind w:left="0" w:firstLine="227"/>
        <w:jc w:val="both"/>
        <w:rPr>
          <w:sz w:val="36"/>
          <w:szCs w:val="36"/>
          <w:rtl/>
        </w:rPr>
      </w:pPr>
      <w:r w:rsidRPr="00FD211F">
        <w:rPr>
          <w:sz w:val="36"/>
          <w:szCs w:val="36"/>
          <w:rtl/>
        </w:rPr>
        <w:t>هذا وأما ما حكي عن الباقلاني من انه يحتمل استعمال تلك الالفاظ في معانيها اللغوي</w:t>
      </w:r>
      <w:r w:rsidR="00EC7EDF" w:rsidRPr="00FD211F">
        <w:rPr>
          <w:sz w:val="36"/>
          <w:szCs w:val="36"/>
          <w:rtl/>
        </w:rPr>
        <w:t xml:space="preserve">ة </w:t>
      </w:r>
      <w:r w:rsidRPr="00FD211F">
        <w:rPr>
          <w:sz w:val="36"/>
          <w:szCs w:val="36"/>
          <w:rtl/>
        </w:rPr>
        <w:t>ويكون تفهيم المعاني الشرعي</w:t>
      </w:r>
      <w:r w:rsidR="00EC7EDF" w:rsidRPr="00FD211F">
        <w:rPr>
          <w:sz w:val="36"/>
          <w:szCs w:val="36"/>
          <w:rtl/>
        </w:rPr>
        <w:t xml:space="preserve">ة </w:t>
      </w:r>
      <w:r w:rsidRPr="00FD211F">
        <w:rPr>
          <w:sz w:val="36"/>
          <w:szCs w:val="36"/>
          <w:rtl/>
        </w:rPr>
        <w:t>التي تكون من مصاديق تلك المعاني اللغوي</w:t>
      </w:r>
      <w:r w:rsidR="00EC7EDF" w:rsidRPr="00FD211F">
        <w:rPr>
          <w:sz w:val="36"/>
          <w:szCs w:val="36"/>
          <w:rtl/>
        </w:rPr>
        <w:t xml:space="preserve">ة </w:t>
      </w:r>
      <w:r w:rsidRPr="00FD211F">
        <w:rPr>
          <w:sz w:val="36"/>
          <w:szCs w:val="36"/>
          <w:rtl/>
        </w:rPr>
        <w:t>بنحو تعدد الدال والمدلول</w:t>
      </w:r>
      <w:r w:rsidR="00603323" w:rsidRPr="00FD211F">
        <w:rPr>
          <w:sz w:val="36"/>
          <w:szCs w:val="36"/>
          <w:rtl/>
        </w:rPr>
        <w:t xml:space="preserve">، </w:t>
      </w:r>
      <w:r w:rsidRPr="00FD211F">
        <w:rPr>
          <w:sz w:val="36"/>
          <w:szCs w:val="36"/>
          <w:rtl/>
        </w:rPr>
        <w:t>فلاينافي تحقق الوضعي التعيني في المعاني الشرعي</w:t>
      </w:r>
      <w:r w:rsidR="00EC7EDF" w:rsidRPr="00FD211F">
        <w:rPr>
          <w:sz w:val="36"/>
          <w:szCs w:val="36"/>
          <w:rtl/>
        </w:rPr>
        <w:t xml:space="preserve">ة </w:t>
      </w:r>
      <w:r w:rsidRPr="00FD211F">
        <w:rPr>
          <w:sz w:val="36"/>
          <w:szCs w:val="36"/>
          <w:rtl/>
        </w:rPr>
        <w:t>بعد ان كانت القرائن على اراد</w:t>
      </w:r>
      <w:r w:rsidR="00EC7EDF" w:rsidRPr="00FD211F">
        <w:rPr>
          <w:sz w:val="36"/>
          <w:szCs w:val="36"/>
          <w:rtl/>
        </w:rPr>
        <w:t xml:space="preserve">ة </w:t>
      </w:r>
      <w:r w:rsidRPr="00FD211F">
        <w:rPr>
          <w:sz w:val="36"/>
          <w:szCs w:val="36"/>
          <w:rtl/>
        </w:rPr>
        <w:t>تلك المعاني الشرعي</w:t>
      </w:r>
      <w:r w:rsidR="00EC7EDF" w:rsidRPr="00FD211F">
        <w:rPr>
          <w:sz w:val="36"/>
          <w:szCs w:val="36"/>
          <w:rtl/>
        </w:rPr>
        <w:t xml:space="preserve">ة </w:t>
      </w:r>
      <w:r w:rsidRPr="00FD211F">
        <w:rPr>
          <w:sz w:val="36"/>
          <w:szCs w:val="36"/>
          <w:rtl/>
        </w:rPr>
        <w:t>مختلف</w:t>
      </w:r>
      <w:r w:rsidR="00EC7EDF" w:rsidRPr="00FD211F">
        <w:rPr>
          <w:sz w:val="36"/>
          <w:szCs w:val="36"/>
          <w:rtl/>
        </w:rPr>
        <w:t>ة</w:t>
      </w:r>
      <w:r w:rsidR="00603323" w:rsidRPr="00FD211F">
        <w:rPr>
          <w:sz w:val="36"/>
          <w:szCs w:val="36"/>
          <w:rtl/>
        </w:rPr>
        <w:t xml:space="preserve">، </w:t>
      </w:r>
      <w:r w:rsidRPr="00FD211F">
        <w:rPr>
          <w:sz w:val="36"/>
          <w:szCs w:val="36"/>
          <w:rtl/>
        </w:rPr>
        <w:t>وقد تكون قرين</w:t>
      </w:r>
      <w:r w:rsidR="00EC7EDF" w:rsidRPr="00FD211F">
        <w:rPr>
          <w:sz w:val="36"/>
          <w:szCs w:val="36"/>
          <w:rtl/>
        </w:rPr>
        <w:t xml:space="preserve">ة </w:t>
      </w:r>
      <w:r w:rsidRPr="00FD211F">
        <w:rPr>
          <w:sz w:val="36"/>
          <w:szCs w:val="36"/>
          <w:rtl/>
        </w:rPr>
        <w:t>حالي</w:t>
      </w:r>
      <w:r w:rsidR="00EC7EDF" w:rsidRPr="00FD211F">
        <w:rPr>
          <w:sz w:val="36"/>
          <w:szCs w:val="36"/>
          <w:rtl/>
        </w:rPr>
        <w:t xml:space="preserve">ة </w:t>
      </w:r>
      <w:r w:rsidRPr="00FD211F">
        <w:rPr>
          <w:sz w:val="36"/>
          <w:szCs w:val="36"/>
          <w:rtl/>
        </w:rPr>
        <w:t>نوعي</w:t>
      </w:r>
      <w:r w:rsidR="00EC7EDF" w:rsidRPr="00FD211F">
        <w:rPr>
          <w:sz w:val="36"/>
          <w:szCs w:val="36"/>
          <w:rtl/>
        </w:rPr>
        <w:t xml:space="preserve">ة </w:t>
      </w:r>
      <w:r w:rsidRPr="00FD211F">
        <w:rPr>
          <w:sz w:val="36"/>
          <w:szCs w:val="36"/>
          <w:rtl/>
        </w:rPr>
        <w:t>مع التحفظ على ذات اللفظ</w:t>
      </w:r>
      <w:r w:rsidR="00603323" w:rsidRPr="00FD211F">
        <w:rPr>
          <w:sz w:val="36"/>
          <w:szCs w:val="36"/>
          <w:rtl/>
        </w:rPr>
        <w:t xml:space="preserve">، </w:t>
      </w:r>
      <w:r w:rsidRPr="00FD211F">
        <w:rPr>
          <w:sz w:val="36"/>
          <w:szCs w:val="36"/>
          <w:rtl/>
        </w:rPr>
        <w:t>فيتحقق بذلك القرن الأكيد بين ذات اللفظ وبين هذا المعنى الشرعي.</w:t>
      </w:r>
    </w:p>
    <w:p w14:paraId="362B1364" w14:textId="77777777" w:rsidR="00243122" w:rsidRPr="00FD211F" w:rsidRDefault="00DE4FF9" w:rsidP="009C58C8">
      <w:pPr>
        <w:ind w:left="0" w:firstLine="227"/>
        <w:jc w:val="both"/>
        <w:rPr>
          <w:sz w:val="36"/>
          <w:szCs w:val="36"/>
          <w:rtl/>
        </w:rPr>
      </w:pPr>
      <w:r w:rsidRPr="00FD211F">
        <w:rPr>
          <w:sz w:val="36"/>
          <w:szCs w:val="36"/>
          <w:rtl/>
        </w:rPr>
        <w:t>ثم انه</w:t>
      </w:r>
      <w:r w:rsidR="00052BF2" w:rsidRPr="00FD211F">
        <w:rPr>
          <w:sz w:val="36"/>
          <w:szCs w:val="36"/>
          <w:rtl/>
        </w:rPr>
        <w:t xml:space="preserve"> استدل </w:t>
      </w:r>
      <w:r w:rsidRPr="00FD211F">
        <w:rPr>
          <w:sz w:val="36"/>
          <w:szCs w:val="36"/>
          <w:rtl/>
        </w:rPr>
        <w:t xml:space="preserve">في البحوث </w:t>
      </w:r>
      <w:r w:rsidR="00052BF2" w:rsidRPr="00FD211F">
        <w:rPr>
          <w:sz w:val="36"/>
          <w:szCs w:val="36"/>
          <w:rtl/>
        </w:rPr>
        <w:t>على ظهور تلك الالفاظ في معانيها الشرعي</w:t>
      </w:r>
      <w:r w:rsidR="00EC7EDF" w:rsidRPr="00FD211F">
        <w:rPr>
          <w:sz w:val="36"/>
          <w:szCs w:val="36"/>
          <w:rtl/>
        </w:rPr>
        <w:t xml:space="preserve">ة </w:t>
      </w:r>
      <w:r w:rsidR="00052BF2" w:rsidRPr="00FD211F">
        <w:rPr>
          <w:sz w:val="36"/>
          <w:szCs w:val="36"/>
          <w:rtl/>
        </w:rPr>
        <w:t xml:space="preserve">بان هناك احدى فرضيات ثلاث لايخلو </w:t>
      </w:r>
      <w:r w:rsidR="00243122" w:rsidRPr="00FD211F">
        <w:rPr>
          <w:sz w:val="36"/>
          <w:szCs w:val="36"/>
          <w:rtl/>
        </w:rPr>
        <w:t xml:space="preserve">الواقع </w:t>
      </w:r>
      <w:r w:rsidR="00052BF2" w:rsidRPr="00FD211F">
        <w:rPr>
          <w:sz w:val="36"/>
          <w:szCs w:val="36"/>
          <w:rtl/>
        </w:rPr>
        <w:t>من إحديها:</w:t>
      </w:r>
    </w:p>
    <w:p w14:paraId="2D93AE2F" w14:textId="77777777" w:rsidR="009B6B5F" w:rsidRPr="00FD211F" w:rsidRDefault="009B6B5F" w:rsidP="009C58C8">
      <w:pPr>
        <w:ind w:left="0" w:firstLine="227"/>
        <w:jc w:val="both"/>
        <w:rPr>
          <w:sz w:val="36"/>
          <w:szCs w:val="36"/>
          <w:rtl/>
        </w:rPr>
      </w:pPr>
      <w:r w:rsidRPr="00FD211F">
        <w:rPr>
          <w:sz w:val="36"/>
          <w:szCs w:val="36"/>
          <w:rtl/>
        </w:rPr>
        <w:t>1-</w:t>
      </w:r>
      <w:r w:rsidR="00052BF2" w:rsidRPr="00FD211F">
        <w:rPr>
          <w:sz w:val="36"/>
          <w:szCs w:val="36"/>
          <w:rtl/>
        </w:rPr>
        <w:t>ان لاتكون هذه المعاني الشرعي</w:t>
      </w:r>
      <w:r w:rsidR="00EC7EDF" w:rsidRPr="00FD211F">
        <w:rPr>
          <w:sz w:val="36"/>
          <w:szCs w:val="36"/>
          <w:rtl/>
        </w:rPr>
        <w:t xml:space="preserve">ة </w:t>
      </w:r>
      <w:r w:rsidR="00052BF2" w:rsidRPr="00FD211F">
        <w:rPr>
          <w:sz w:val="36"/>
          <w:szCs w:val="36"/>
          <w:rtl/>
        </w:rPr>
        <w:t>ثابت</w:t>
      </w:r>
      <w:r w:rsidR="00EC7EDF" w:rsidRPr="00FD211F">
        <w:rPr>
          <w:sz w:val="36"/>
          <w:szCs w:val="36"/>
          <w:rtl/>
        </w:rPr>
        <w:t xml:space="preserve">ة </w:t>
      </w:r>
      <w:r w:rsidR="00052BF2" w:rsidRPr="00FD211F">
        <w:rPr>
          <w:sz w:val="36"/>
          <w:szCs w:val="36"/>
          <w:rtl/>
        </w:rPr>
        <w:t>قبل الاسلام</w:t>
      </w:r>
      <w:r w:rsidR="00603323" w:rsidRPr="00FD211F">
        <w:rPr>
          <w:sz w:val="36"/>
          <w:szCs w:val="36"/>
          <w:rtl/>
        </w:rPr>
        <w:t xml:space="preserve">، </w:t>
      </w:r>
      <w:r w:rsidR="00052BF2" w:rsidRPr="00FD211F">
        <w:rPr>
          <w:sz w:val="36"/>
          <w:szCs w:val="36"/>
          <w:rtl/>
        </w:rPr>
        <w:t>فلامحال</w:t>
      </w:r>
      <w:r w:rsidR="00EC7EDF" w:rsidRPr="00FD211F">
        <w:rPr>
          <w:sz w:val="36"/>
          <w:szCs w:val="36"/>
          <w:rtl/>
        </w:rPr>
        <w:t xml:space="preserve">ة </w:t>
      </w:r>
      <w:r w:rsidR="00052BF2" w:rsidRPr="00FD211F">
        <w:rPr>
          <w:sz w:val="36"/>
          <w:szCs w:val="36"/>
          <w:rtl/>
        </w:rPr>
        <w:t>تكون مخترع</w:t>
      </w:r>
      <w:r w:rsidR="00EC7EDF" w:rsidRPr="00FD211F">
        <w:rPr>
          <w:sz w:val="36"/>
          <w:szCs w:val="36"/>
          <w:rtl/>
        </w:rPr>
        <w:t xml:space="preserve">ة </w:t>
      </w:r>
      <w:r w:rsidR="00052BF2" w:rsidRPr="00FD211F">
        <w:rPr>
          <w:sz w:val="36"/>
          <w:szCs w:val="36"/>
          <w:rtl/>
        </w:rPr>
        <w:t xml:space="preserve">من </w:t>
      </w:r>
      <w:r w:rsidR="000A58C7" w:rsidRPr="00FD211F">
        <w:rPr>
          <w:sz w:val="36"/>
          <w:szCs w:val="36"/>
          <w:rtl/>
        </w:rPr>
        <w:t>ناحي</w:t>
      </w:r>
      <w:r w:rsidR="00EC7EDF" w:rsidRPr="00FD211F">
        <w:rPr>
          <w:sz w:val="36"/>
          <w:szCs w:val="36"/>
          <w:rtl/>
        </w:rPr>
        <w:t xml:space="preserve">ة </w:t>
      </w:r>
      <w:r w:rsidR="000A58C7" w:rsidRPr="00FD211F">
        <w:rPr>
          <w:sz w:val="36"/>
          <w:szCs w:val="36"/>
          <w:rtl/>
        </w:rPr>
        <w:t>الشارع</w:t>
      </w:r>
      <w:r w:rsidR="00603323" w:rsidRPr="00FD211F">
        <w:rPr>
          <w:sz w:val="36"/>
          <w:szCs w:val="36"/>
          <w:rtl/>
        </w:rPr>
        <w:t xml:space="preserve">، </w:t>
      </w:r>
      <w:r w:rsidR="00052BF2" w:rsidRPr="00FD211F">
        <w:rPr>
          <w:sz w:val="36"/>
          <w:szCs w:val="36"/>
          <w:rtl/>
        </w:rPr>
        <w:t>فيثبت عندئذ الحقيق</w:t>
      </w:r>
      <w:r w:rsidR="00EC7EDF" w:rsidRPr="00FD211F">
        <w:rPr>
          <w:sz w:val="36"/>
          <w:szCs w:val="36"/>
          <w:rtl/>
        </w:rPr>
        <w:t xml:space="preserve">ة </w:t>
      </w:r>
      <w:r w:rsidR="00052BF2" w:rsidRPr="00FD211F">
        <w:rPr>
          <w:sz w:val="36"/>
          <w:szCs w:val="36"/>
          <w:rtl/>
        </w:rPr>
        <w:t>الش</w:t>
      </w:r>
      <w:r w:rsidRPr="00FD211F">
        <w:rPr>
          <w:sz w:val="36"/>
          <w:szCs w:val="36"/>
          <w:rtl/>
        </w:rPr>
        <w:t>رعي</w:t>
      </w:r>
      <w:r w:rsidR="00EC7EDF" w:rsidRPr="00FD211F">
        <w:rPr>
          <w:sz w:val="36"/>
          <w:szCs w:val="36"/>
          <w:rtl/>
        </w:rPr>
        <w:t xml:space="preserve">ة </w:t>
      </w:r>
      <w:r w:rsidRPr="00FD211F">
        <w:rPr>
          <w:sz w:val="36"/>
          <w:szCs w:val="36"/>
          <w:rtl/>
        </w:rPr>
        <w:t>بالوضع التعييني الاستعمالي.</w:t>
      </w:r>
    </w:p>
    <w:p w14:paraId="158E0629" w14:textId="77777777" w:rsidR="009B6B5F" w:rsidRPr="00FD211F" w:rsidRDefault="009B6B5F" w:rsidP="009C58C8">
      <w:pPr>
        <w:ind w:left="0" w:firstLine="227"/>
        <w:jc w:val="both"/>
        <w:rPr>
          <w:sz w:val="36"/>
          <w:szCs w:val="36"/>
          <w:rtl/>
        </w:rPr>
      </w:pPr>
      <w:r w:rsidRPr="00FD211F">
        <w:rPr>
          <w:sz w:val="36"/>
          <w:szCs w:val="36"/>
          <w:rtl/>
        </w:rPr>
        <w:t>2-</w:t>
      </w:r>
      <w:r w:rsidR="00052BF2" w:rsidRPr="00FD211F">
        <w:rPr>
          <w:sz w:val="36"/>
          <w:szCs w:val="36"/>
          <w:rtl/>
        </w:rPr>
        <w:t xml:space="preserve"> ان تكون تلك المعاني الشرعي</w:t>
      </w:r>
      <w:r w:rsidR="00EC7EDF" w:rsidRPr="00FD211F">
        <w:rPr>
          <w:sz w:val="36"/>
          <w:szCs w:val="36"/>
          <w:rtl/>
        </w:rPr>
        <w:t xml:space="preserve">ة </w:t>
      </w:r>
      <w:r w:rsidR="00052BF2" w:rsidRPr="00FD211F">
        <w:rPr>
          <w:sz w:val="36"/>
          <w:szCs w:val="36"/>
          <w:rtl/>
        </w:rPr>
        <w:t>بالفاظها ثابت</w:t>
      </w:r>
      <w:r w:rsidR="00EC7EDF" w:rsidRPr="00FD211F">
        <w:rPr>
          <w:sz w:val="36"/>
          <w:szCs w:val="36"/>
          <w:rtl/>
        </w:rPr>
        <w:t xml:space="preserve">ة </w:t>
      </w:r>
      <w:r w:rsidR="00052BF2" w:rsidRPr="00FD211F">
        <w:rPr>
          <w:sz w:val="36"/>
          <w:szCs w:val="36"/>
          <w:rtl/>
        </w:rPr>
        <w:t>في المجتمع العربي قبل الاسلام بحيث</w:t>
      </w:r>
      <w:r w:rsidR="008D7B3D" w:rsidRPr="00FD211F">
        <w:rPr>
          <w:sz w:val="36"/>
          <w:szCs w:val="36"/>
          <w:rtl/>
        </w:rPr>
        <w:t xml:space="preserve"> لم‌</w:t>
      </w:r>
      <w:r w:rsidR="00052BF2" w:rsidRPr="00FD211F">
        <w:rPr>
          <w:sz w:val="36"/>
          <w:szCs w:val="36"/>
          <w:rtl/>
        </w:rPr>
        <w:t>يصدر من قبل الشارع عدا تغيير في بعض التفاصيل والشروط غير مقوم</w:t>
      </w:r>
      <w:r w:rsidR="00EC7EDF" w:rsidRPr="00FD211F">
        <w:rPr>
          <w:sz w:val="36"/>
          <w:szCs w:val="36"/>
          <w:rtl/>
        </w:rPr>
        <w:t xml:space="preserve">ة </w:t>
      </w:r>
      <w:r w:rsidR="00052BF2" w:rsidRPr="00FD211F">
        <w:rPr>
          <w:sz w:val="36"/>
          <w:szCs w:val="36"/>
          <w:rtl/>
        </w:rPr>
        <w:t>لحقيق</w:t>
      </w:r>
      <w:r w:rsidR="00EC7EDF" w:rsidRPr="00FD211F">
        <w:rPr>
          <w:sz w:val="36"/>
          <w:szCs w:val="36"/>
          <w:rtl/>
        </w:rPr>
        <w:t xml:space="preserve">ة </w:t>
      </w:r>
      <w:r w:rsidR="00052BF2" w:rsidRPr="00FD211F">
        <w:rPr>
          <w:sz w:val="36"/>
          <w:szCs w:val="36"/>
          <w:rtl/>
        </w:rPr>
        <w:t>ذلك المعنى السابق</w:t>
      </w:r>
      <w:r w:rsidR="00603323" w:rsidRPr="00FD211F">
        <w:rPr>
          <w:sz w:val="36"/>
          <w:szCs w:val="36"/>
          <w:rtl/>
        </w:rPr>
        <w:t xml:space="preserve">، </w:t>
      </w:r>
      <w:r w:rsidR="00052BF2" w:rsidRPr="00FD211F">
        <w:rPr>
          <w:sz w:val="36"/>
          <w:szCs w:val="36"/>
          <w:rtl/>
        </w:rPr>
        <w:t>فيثبت عندئذ ان المعاني الشرعي</w:t>
      </w:r>
      <w:r w:rsidR="00EC7EDF" w:rsidRPr="00FD211F">
        <w:rPr>
          <w:sz w:val="36"/>
          <w:szCs w:val="36"/>
          <w:rtl/>
        </w:rPr>
        <w:t xml:space="preserve">ة </w:t>
      </w:r>
      <w:r w:rsidR="00052BF2" w:rsidRPr="00FD211F">
        <w:rPr>
          <w:sz w:val="36"/>
          <w:szCs w:val="36"/>
          <w:rtl/>
        </w:rPr>
        <w:t>الجامع</w:t>
      </w:r>
      <w:r w:rsidR="00EC7EDF" w:rsidRPr="00FD211F">
        <w:rPr>
          <w:sz w:val="36"/>
          <w:szCs w:val="36"/>
          <w:rtl/>
        </w:rPr>
        <w:t xml:space="preserve">ة </w:t>
      </w:r>
      <w:r w:rsidR="00052BF2" w:rsidRPr="00FD211F">
        <w:rPr>
          <w:sz w:val="36"/>
          <w:szCs w:val="36"/>
          <w:rtl/>
        </w:rPr>
        <w:t>بين ما جاء به الاسلام وما جاءت به الشرائع السابق</w:t>
      </w:r>
      <w:r w:rsidR="00EC7EDF" w:rsidRPr="00FD211F">
        <w:rPr>
          <w:sz w:val="36"/>
          <w:szCs w:val="36"/>
          <w:rtl/>
        </w:rPr>
        <w:t xml:space="preserve">ة </w:t>
      </w:r>
      <w:r w:rsidR="00052BF2" w:rsidRPr="00FD211F">
        <w:rPr>
          <w:sz w:val="36"/>
          <w:szCs w:val="36"/>
          <w:rtl/>
        </w:rPr>
        <w:t>مع ما بينهما من الاختلاف في التفاصيل ك</w:t>
      </w:r>
      <w:r w:rsidRPr="00FD211F">
        <w:rPr>
          <w:sz w:val="36"/>
          <w:szCs w:val="36"/>
          <w:rtl/>
        </w:rPr>
        <w:t>انت حقائق لغوي</w:t>
      </w:r>
      <w:r w:rsidR="00EC7EDF" w:rsidRPr="00FD211F">
        <w:rPr>
          <w:sz w:val="36"/>
          <w:szCs w:val="36"/>
          <w:rtl/>
        </w:rPr>
        <w:t xml:space="preserve">ة </w:t>
      </w:r>
      <w:r w:rsidRPr="00FD211F">
        <w:rPr>
          <w:sz w:val="36"/>
          <w:szCs w:val="36"/>
          <w:rtl/>
        </w:rPr>
        <w:t>لهذه الالفاظ.</w:t>
      </w:r>
    </w:p>
    <w:p w14:paraId="048F1882" w14:textId="77777777" w:rsidR="000C5BBA" w:rsidRPr="00FD211F" w:rsidRDefault="009B6B5F" w:rsidP="009C58C8">
      <w:pPr>
        <w:ind w:left="0" w:firstLine="227"/>
        <w:jc w:val="both"/>
        <w:rPr>
          <w:sz w:val="36"/>
          <w:szCs w:val="36"/>
          <w:rtl/>
        </w:rPr>
      </w:pPr>
      <w:r w:rsidRPr="00FD211F">
        <w:rPr>
          <w:sz w:val="36"/>
          <w:szCs w:val="36"/>
          <w:rtl/>
        </w:rPr>
        <w:t>3-</w:t>
      </w:r>
      <w:r w:rsidR="00052BF2" w:rsidRPr="00FD211F">
        <w:rPr>
          <w:sz w:val="36"/>
          <w:szCs w:val="36"/>
          <w:rtl/>
        </w:rPr>
        <w:t xml:space="preserve"> ان يد</w:t>
      </w:r>
      <w:r w:rsidRPr="00FD211F">
        <w:rPr>
          <w:sz w:val="36"/>
          <w:szCs w:val="36"/>
          <w:rtl/>
        </w:rPr>
        <w:t>َّ</w:t>
      </w:r>
      <w:r w:rsidR="00052BF2" w:rsidRPr="00FD211F">
        <w:rPr>
          <w:sz w:val="36"/>
          <w:szCs w:val="36"/>
          <w:rtl/>
        </w:rPr>
        <w:t>عى ان المعاني الشرعي</w:t>
      </w:r>
      <w:r w:rsidR="00EC7EDF" w:rsidRPr="00FD211F">
        <w:rPr>
          <w:sz w:val="36"/>
          <w:szCs w:val="36"/>
          <w:rtl/>
        </w:rPr>
        <w:t xml:space="preserve">ة </w:t>
      </w:r>
      <w:r w:rsidR="00052BF2" w:rsidRPr="00FD211F">
        <w:rPr>
          <w:sz w:val="36"/>
          <w:szCs w:val="36"/>
          <w:rtl/>
        </w:rPr>
        <w:t>وان كانت ثابت</w:t>
      </w:r>
      <w:r w:rsidR="00EC7EDF" w:rsidRPr="00FD211F">
        <w:rPr>
          <w:sz w:val="36"/>
          <w:szCs w:val="36"/>
          <w:rtl/>
        </w:rPr>
        <w:t xml:space="preserve">ة </w:t>
      </w:r>
      <w:r w:rsidR="00052BF2" w:rsidRPr="00FD211F">
        <w:rPr>
          <w:sz w:val="36"/>
          <w:szCs w:val="36"/>
          <w:rtl/>
        </w:rPr>
        <w:t>الا ان</w:t>
      </w:r>
      <w:r w:rsidR="000A58C7" w:rsidRPr="00FD211F">
        <w:rPr>
          <w:sz w:val="36"/>
          <w:szCs w:val="36"/>
          <w:rtl/>
        </w:rPr>
        <w:t>ه</w:t>
      </w:r>
      <w:r w:rsidR="00052BF2" w:rsidRPr="00FD211F">
        <w:rPr>
          <w:sz w:val="36"/>
          <w:szCs w:val="36"/>
          <w:rtl/>
        </w:rPr>
        <w:t xml:space="preserve"> </w:t>
      </w:r>
      <w:r w:rsidR="000A58C7" w:rsidRPr="00FD211F">
        <w:rPr>
          <w:sz w:val="36"/>
          <w:szCs w:val="36"/>
          <w:rtl/>
        </w:rPr>
        <w:t>لايجزم ب</w:t>
      </w:r>
      <w:r w:rsidR="00052BF2" w:rsidRPr="00FD211F">
        <w:rPr>
          <w:sz w:val="36"/>
          <w:szCs w:val="36"/>
          <w:rtl/>
        </w:rPr>
        <w:t>استعمال نفس تلك الالفاظ فيها بنحو تصبح حق</w:t>
      </w:r>
      <w:r w:rsidR="000A58C7" w:rsidRPr="00FD211F">
        <w:rPr>
          <w:sz w:val="36"/>
          <w:szCs w:val="36"/>
          <w:rtl/>
        </w:rPr>
        <w:t>ائق</w:t>
      </w:r>
      <w:r w:rsidR="00052BF2" w:rsidRPr="00FD211F">
        <w:rPr>
          <w:sz w:val="36"/>
          <w:szCs w:val="36"/>
          <w:rtl/>
        </w:rPr>
        <w:t xml:space="preserve"> لغوي</w:t>
      </w:r>
      <w:r w:rsidR="00EC7EDF" w:rsidRPr="00FD211F">
        <w:rPr>
          <w:sz w:val="36"/>
          <w:szCs w:val="36"/>
          <w:rtl/>
        </w:rPr>
        <w:t xml:space="preserve">ة </w:t>
      </w:r>
      <w:r w:rsidR="00052BF2" w:rsidRPr="00FD211F">
        <w:rPr>
          <w:sz w:val="36"/>
          <w:szCs w:val="36"/>
          <w:rtl/>
        </w:rPr>
        <w:t xml:space="preserve">فيها </w:t>
      </w:r>
      <w:r w:rsidR="000A58C7" w:rsidRPr="00FD211F">
        <w:rPr>
          <w:sz w:val="36"/>
          <w:szCs w:val="36"/>
          <w:rtl/>
        </w:rPr>
        <w:t>الاب</w:t>
      </w:r>
      <w:r w:rsidR="00052BF2" w:rsidRPr="00FD211F">
        <w:rPr>
          <w:sz w:val="36"/>
          <w:szCs w:val="36"/>
          <w:rtl/>
        </w:rPr>
        <w:t>ملاحظ</w:t>
      </w:r>
      <w:r w:rsidR="00EC7EDF" w:rsidRPr="00FD211F">
        <w:rPr>
          <w:sz w:val="36"/>
          <w:szCs w:val="36"/>
          <w:rtl/>
        </w:rPr>
        <w:t xml:space="preserve">ة </w:t>
      </w:r>
      <w:r w:rsidR="000A58C7" w:rsidRPr="00FD211F">
        <w:rPr>
          <w:sz w:val="36"/>
          <w:szCs w:val="36"/>
          <w:rtl/>
        </w:rPr>
        <w:t>مضي</w:t>
      </w:r>
      <w:r w:rsidR="00052BF2" w:rsidRPr="00FD211F">
        <w:rPr>
          <w:sz w:val="36"/>
          <w:szCs w:val="36"/>
          <w:rtl/>
        </w:rPr>
        <w:t xml:space="preserve"> فتر</w:t>
      </w:r>
      <w:r w:rsidR="00EC7EDF" w:rsidRPr="00FD211F">
        <w:rPr>
          <w:sz w:val="36"/>
          <w:szCs w:val="36"/>
          <w:rtl/>
        </w:rPr>
        <w:t xml:space="preserve">ة </w:t>
      </w:r>
      <w:r w:rsidR="000A58C7" w:rsidRPr="00FD211F">
        <w:rPr>
          <w:sz w:val="36"/>
          <w:szCs w:val="36"/>
          <w:rtl/>
        </w:rPr>
        <w:t xml:space="preserve">من </w:t>
      </w:r>
      <w:r w:rsidR="00052BF2" w:rsidRPr="00FD211F">
        <w:rPr>
          <w:sz w:val="36"/>
          <w:szCs w:val="36"/>
          <w:rtl/>
        </w:rPr>
        <w:t>مجيئ الاسلام واستعمال تلك الالفاظ في معانيها الشرعي</w:t>
      </w:r>
      <w:r w:rsidR="00EC7EDF" w:rsidRPr="00FD211F">
        <w:rPr>
          <w:sz w:val="36"/>
          <w:szCs w:val="36"/>
          <w:rtl/>
        </w:rPr>
        <w:t xml:space="preserve">ة </w:t>
      </w:r>
      <w:r w:rsidR="00052BF2" w:rsidRPr="00FD211F">
        <w:rPr>
          <w:sz w:val="36"/>
          <w:szCs w:val="36"/>
          <w:rtl/>
        </w:rPr>
        <w:t>في غير واحد من كلمات</w:t>
      </w:r>
      <w:r w:rsidR="000A58C7" w:rsidRPr="00FD211F">
        <w:rPr>
          <w:sz w:val="36"/>
          <w:szCs w:val="36"/>
          <w:rtl/>
        </w:rPr>
        <w:t xml:space="preserve"> الشارع</w:t>
      </w:r>
      <w:r w:rsidR="00603323" w:rsidRPr="00FD211F">
        <w:rPr>
          <w:sz w:val="36"/>
          <w:szCs w:val="36"/>
          <w:rtl/>
        </w:rPr>
        <w:t xml:space="preserve">، </w:t>
      </w:r>
      <w:r w:rsidR="00052BF2" w:rsidRPr="00FD211F">
        <w:rPr>
          <w:sz w:val="36"/>
          <w:szCs w:val="36"/>
          <w:rtl/>
        </w:rPr>
        <w:t>ف</w:t>
      </w:r>
      <w:r w:rsidR="000A58C7" w:rsidRPr="00FD211F">
        <w:rPr>
          <w:sz w:val="36"/>
          <w:szCs w:val="36"/>
          <w:rtl/>
        </w:rPr>
        <w:t>بذلك تثبت</w:t>
      </w:r>
      <w:r w:rsidR="00B253CE" w:rsidRPr="00FD211F">
        <w:rPr>
          <w:sz w:val="36"/>
          <w:szCs w:val="36"/>
          <w:rtl/>
        </w:rPr>
        <w:t xml:space="preserve"> </w:t>
      </w:r>
      <w:r w:rsidR="000A58C7" w:rsidRPr="00FD211F">
        <w:rPr>
          <w:sz w:val="36"/>
          <w:szCs w:val="36"/>
          <w:rtl/>
        </w:rPr>
        <w:t>الحقيق</w:t>
      </w:r>
      <w:r w:rsidR="00EC7EDF" w:rsidRPr="00FD211F">
        <w:rPr>
          <w:sz w:val="36"/>
          <w:szCs w:val="36"/>
          <w:rtl/>
        </w:rPr>
        <w:t xml:space="preserve">ة </w:t>
      </w:r>
      <w:r w:rsidR="000A58C7" w:rsidRPr="00FD211F">
        <w:rPr>
          <w:sz w:val="36"/>
          <w:szCs w:val="36"/>
          <w:rtl/>
        </w:rPr>
        <w:t>الشرعي</w:t>
      </w:r>
      <w:r w:rsidR="00EC7EDF" w:rsidRPr="00FD211F">
        <w:rPr>
          <w:sz w:val="36"/>
          <w:szCs w:val="36"/>
          <w:rtl/>
        </w:rPr>
        <w:t xml:space="preserve">ة </w:t>
      </w:r>
      <w:r w:rsidR="000A58C7" w:rsidRPr="00FD211F">
        <w:rPr>
          <w:sz w:val="36"/>
          <w:szCs w:val="36"/>
          <w:rtl/>
        </w:rPr>
        <w:t>التعيّني</w:t>
      </w:r>
      <w:r w:rsidR="00EC7EDF" w:rsidRPr="00FD211F">
        <w:rPr>
          <w:sz w:val="36"/>
          <w:szCs w:val="36"/>
          <w:rtl/>
        </w:rPr>
        <w:t>ة</w:t>
      </w:r>
      <w:r w:rsidR="00A61BAE" w:rsidRPr="00FD211F">
        <w:rPr>
          <w:sz w:val="36"/>
          <w:szCs w:val="36"/>
          <w:rtl/>
        </w:rPr>
        <w:t>.</w:t>
      </w:r>
    </w:p>
    <w:p w14:paraId="00ABDCE4" w14:textId="77777777" w:rsidR="00052BF2" w:rsidRPr="00FD211F" w:rsidRDefault="00052BF2" w:rsidP="009C58C8">
      <w:pPr>
        <w:ind w:left="0" w:firstLine="227"/>
        <w:jc w:val="both"/>
        <w:rPr>
          <w:sz w:val="36"/>
          <w:szCs w:val="36"/>
          <w:rtl/>
        </w:rPr>
      </w:pPr>
      <w:r w:rsidRPr="00FD211F">
        <w:rPr>
          <w:sz w:val="36"/>
          <w:szCs w:val="36"/>
          <w:rtl/>
        </w:rPr>
        <w:t>وانكار جميع هذه الفرضيات وادعاء ان هذه الالفاظ</w:t>
      </w:r>
      <w:r w:rsidR="008D7B3D" w:rsidRPr="00FD211F">
        <w:rPr>
          <w:sz w:val="36"/>
          <w:szCs w:val="36"/>
          <w:rtl/>
        </w:rPr>
        <w:t xml:space="preserve"> لم‌</w:t>
      </w:r>
      <w:r w:rsidRPr="00FD211F">
        <w:rPr>
          <w:sz w:val="36"/>
          <w:szCs w:val="36"/>
          <w:rtl/>
        </w:rPr>
        <w:t>تكن حقيق</w:t>
      </w:r>
      <w:r w:rsidR="00EC7EDF" w:rsidRPr="00FD211F">
        <w:rPr>
          <w:sz w:val="36"/>
          <w:szCs w:val="36"/>
          <w:rtl/>
        </w:rPr>
        <w:t xml:space="preserve">ة </w:t>
      </w:r>
      <w:r w:rsidRPr="00FD211F">
        <w:rPr>
          <w:sz w:val="36"/>
          <w:szCs w:val="36"/>
          <w:rtl/>
        </w:rPr>
        <w:t>في المعاني الشرعي</w:t>
      </w:r>
      <w:r w:rsidR="00EC7EDF" w:rsidRPr="00FD211F">
        <w:rPr>
          <w:sz w:val="36"/>
          <w:szCs w:val="36"/>
          <w:rtl/>
        </w:rPr>
        <w:t xml:space="preserve">ة </w:t>
      </w:r>
      <w:r w:rsidRPr="00FD211F">
        <w:rPr>
          <w:sz w:val="36"/>
          <w:szCs w:val="36"/>
          <w:rtl/>
        </w:rPr>
        <w:t xml:space="preserve">قبل الاسلام </w:t>
      </w:r>
      <w:r w:rsidR="009977FE" w:rsidRPr="00FD211F">
        <w:rPr>
          <w:sz w:val="36"/>
          <w:szCs w:val="36"/>
          <w:rtl/>
        </w:rPr>
        <w:t>و</w:t>
      </w:r>
      <w:r w:rsidR="008D7B3D" w:rsidRPr="00FD211F">
        <w:rPr>
          <w:sz w:val="36"/>
          <w:szCs w:val="36"/>
          <w:rtl/>
        </w:rPr>
        <w:t xml:space="preserve"> لم‌</w:t>
      </w:r>
      <w:r w:rsidRPr="00FD211F">
        <w:rPr>
          <w:sz w:val="36"/>
          <w:szCs w:val="36"/>
          <w:rtl/>
        </w:rPr>
        <w:t>يبلغ استعمالها فيها مرتب</w:t>
      </w:r>
      <w:r w:rsidR="00EC7EDF" w:rsidRPr="00FD211F">
        <w:rPr>
          <w:sz w:val="36"/>
          <w:szCs w:val="36"/>
          <w:rtl/>
        </w:rPr>
        <w:t xml:space="preserve">ة </w:t>
      </w:r>
      <w:r w:rsidRPr="00FD211F">
        <w:rPr>
          <w:sz w:val="36"/>
          <w:szCs w:val="36"/>
          <w:rtl/>
        </w:rPr>
        <w:t>الحقيق</w:t>
      </w:r>
      <w:r w:rsidR="00EC7EDF" w:rsidRPr="00FD211F">
        <w:rPr>
          <w:sz w:val="36"/>
          <w:szCs w:val="36"/>
          <w:rtl/>
        </w:rPr>
        <w:t xml:space="preserve">ة </w:t>
      </w:r>
      <w:r w:rsidRPr="00FD211F">
        <w:rPr>
          <w:sz w:val="36"/>
          <w:szCs w:val="36"/>
          <w:rtl/>
        </w:rPr>
        <w:t>التعيني</w:t>
      </w:r>
      <w:r w:rsidR="00EC7EDF" w:rsidRPr="00FD211F">
        <w:rPr>
          <w:sz w:val="36"/>
          <w:szCs w:val="36"/>
          <w:rtl/>
        </w:rPr>
        <w:t xml:space="preserve">ة </w:t>
      </w:r>
      <w:r w:rsidRPr="00FD211F">
        <w:rPr>
          <w:sz w:val="36"/>
          <w:szCs w:val="36"/>
          <w:rtl/>
        </w:rPr>
        <w:t>بعد الاسلام بعيد جدا</w:t>
      </w:r>
      <w:r w:rsidR="00603323" w:rsidRPr="00FD211F">
        <w:rPr>
          <w:sz w:val="36"/>
          <w:szCs w:val="36"/>
          <w:rtl/>
        </w:rPr>
        <w:t xml:space="preserve">، </w:t>
      </w:r>
      <w:r w:rsidRPr="00FD211F">
        <w:rPr>
          <w:sz w:val="36"/>
          <w:szCs w:val="36"/>
          <w:rtl/>
        </w:rPr>
        <w:t>مع تلك المرتب</w:t>
      </w:r>
      <w:r w:rsidR="00EC7EDF" w:rsidRPr="00FD211F">
        <w:rPr>
          <w:sz w:val="36"/>
          <w:szCs w:val="36"/>
          <w:rtl/>
        </w:rPr>
        <w:t xml:space="preserve">ة </w:t>
      </w:r>
      <w:r w:rsidRPr="00FD211F">
        <w:rPr>
          <w:sz w:val="36"/>
          <w:szCs w:val="36"/>
          <w:rtl/>
        </w:rPr>
        <w:t>من شيوع الاستعمالات المذكور</w:t>
      </w:r>
      <w:r w:rsidR="00EC7EDF" w:rsidRPr="00FD211F">
        <w:rPr>
          <w:sz w:val="36"/>
          <w:szCs w:val="36"/>
          <w:rtl/>
        </w:rPr>
        <w:t xml:space="preserve">ة </w:t>
      </w:r>
      <w:r w:rsidRPr="00FD211F">
        <w:rPr>
          <w:sz w:val="36"/>
          <w:szCs w:val="36"/>
          <w:rtl/>
        </w:rPr>
        <w:t>قبل الاسلام وبعده</w:t>
      </w:r>
      <w:r w:rsidR="009C58C8" w:rsidRPr="00FD211F">
        <w:rPr>
          <w:rStyle w:val="a6"/>
          <w:sz w:val="36"/>
          <w:szCs w:val="36"/>
          <w:rtl/>
        </w:rPr>
        <w:t>(</w:t>
      </w:r>
      <w:r w:rsidR="009C58C8" w:rsidRPr="00FD211F">
        <w:rPr>
          <w:rStyle w:val="a6"/>
          <w:sz w:val="36"/>
          <w:szCs w:val="36"/>
          <w:rtl/>
        </w:rPr>
        <w:footnoteReference w:id="342"/>
      </w:r>
      <w:r w:rsidR="009C58C8" w:rsidRPr="00FD211F">
        <w:rPr>
          <w:rStyle w:val="a6"/>
          <w:sz w:val="36"/>
          <w:szCs w:val="36"/>
          <w:rtl/>
        </w:rPr>
        <w:t>)</w:t>
      </w:r>
      <w:r w:rsidR="00EC7EDF" w:rsidRPr="00FD211F">
        <w:rPr>
          <w:sz w:val="36"/>
          <w:szCs w:val="36"/>
          <w:rtl/>
        </w:rPr>
        <w:t>.</w:t>
      </w:r>
    </w:p>
    <w:p w14:paraId="5C45CA01" w14:textId="77777777" w:rsidR="00052BF2" w:rsidRPr="00FD211F" w:rsidRDefault="00052BF2" w:rsidP="009C58C8">
      <w:pPr>
        <w:ind w:left="0" w:firstLine="227"/>
        <w:jc w:val="both"/>
        <w:rPr>
          <w:sz w:val="36"/>
          <w:szCs w:val="36"/>
          <w:rtl/>
        </w:rPr>
      </w:pPr>
      <w:r w:rsidRPr="00FD211F">
        <w:rPr>
          <w:sz w:val="36"/>
          <w:szCs w:val="36"/>
          <w:rtl/>
        </w:rPr>
        <w:t xml:space="preserve">اقول: ما ذكره </w:t>
      </w:r>
      <w:r w:rsidR="000A58C7" w:rsidRPr="00FD211F">
        <w:rPr>
          <w:sz w:val="36"/>
          <w:szCs w:val="36"/>
          <w:rtl/>
        </w:rPr>
        <w:t>"</w:t>
      </w:r>
      <w:r w:rsidRPr="00FD211F">
        <w:rPr>
          <w:sz w:val="36"/>
          <w:szCs w:val="36"/>
          <w:rtl/>
        </w:rPr>
        <w:t>قده</w:t>
      </w:r>
      <w:r w:rsidR="000A58C7" w:rsidRPr="00FD211F">
        <w:rPr>
          <w:sz w:val="36"/>
          <w:szCs w:val="36"/>
          <w:rtl/>
        </w:rPr>
        <w:t>"</w:t>
      </w:r>
      <w:r w:rsidRPr="00FD211F">
        <w:rPr>
          <w:sz w:val="36"/>
          <w:szCs w:val="36"/>
          <w:rtl/>
        </w:rPr>
        <w:t xml:space="preserve"> وان كان تاما في الماهيات الشرعي</w:t>
      </w:r>
      <w:r w:rsidR="00EC7EDF" w:rsidRPr="00FD211F">
        <w:rPr>
          <w:sz w:val="36"/>
          <w:szCs w:val="36"/>
          <w:rtl/>
        </w:rPr>
        <w:t xml:space="preserve">ة </w:t>
      </w:r>
      <w:r w:rsidRPr="00FD211F">
        <w:rPr>
          <w:sz w:val="36"/>
          <w:szCs w:val="36"/>
          <w:rtl/>
        </w:rPr>
        <w:t>المعروف</w:t>
      </w:r>
      <w:r w:rsidR="00EC7EDF" w:rsidRPr="00FD211F">
        <w:rPr>
          <w:sz w:val="36"/>
          <w:szCs w:val="36"/>
          <w:rtl/>
        </w:rPr>
        <w:t xml:space="preserve">ة </w:t>
      </w:r>
      <w:r w:rsidRPr="00FD211F">
        <w:rPr>
          <w:sz w:val="36"/>
          <w:szCs w:val="36"/>
          <w:rtl/>
        </w:rPr>
        <w:t>مثل الصلا</w:t>
      </w:r>
      <w:r w:rsidR="00EC7EDF" w:rsidRPr="00FD211F">
        <w:rPr>
          <w:sz w:val="36"/>
          <w:szCs w:val="36"/>
          <w:rtl/>
        </w:rPr>
        <w:t xml:space="preserve">ة </w:t>
      </w:r>
      <w:r w:rsidRPr="00FD211F">
        <w:rPr>
          <w:sz w:val="36"/>
          <w:szCs w:val="36"/>
          <w:rtl/>
        </w:rPr>
        <w:t>والحج</w:t>
      </w:r>
      <w:r w:rsidR="00603323" w:rsidRPr="00FD211F">
        <w:rPr>
          <w:sz w:val="36"/>
          <w:szCs w:val="36"/>
          <w:rtl/>
        </w:rPr>
        <w:t xml:space="preserve">، </w:t>
      </w:r>
      <w:r w:rsidRPr="00FD211F">
        <w:rPr>
          <w:sz w:val="36"/>
          <w:szCs w:val="36"/>
          <w:rtl/>
        </w:rPr>
        <w:t>لكن لايمكن الجزم به في جميع الالفاظ المستعمل</w:t>
      </w:r>
      <w:r w:rsidR="00EC7EDF" w:rsidRPr="00FD211F">
        <w:rPr>
          <w:sz w:val="36"/>
          <w:szCs w:val="36"/>
          <w:rtl/>
        </w:rPr>
        <w:t xml:space="preserve">ة </w:t>
      </w:r>
      <w:r w:rsidRPr="00FD211F">
        <w:rPr>
          <w:sz w:val="36"/>
          <w:szCs w:val="36"/>
          <w:rtl/>
        </w:rPr>
        <w:t>في المعاني الشرعي</w:t>
      </w:r>
      <w:r w:rsidR="00EC7EDF" w:rsidRPr="00FD211F">
        <w:rPr>
          <w:sz w:val="36"/>
          <w:szCs w:val="36"/>
          <w:rtl/>
        </w:rPr>
        <w:t xml:space="preserve">ة </w:t>
      </w:r>
      <w:r w:rsidRPr="00FD211F">
        <w:rPr>
          <w:sz w:val="36"/>
          <w:szCs w:val="36"/>
          <w:rtl/>
        </w:rPr>
        <w:t>في الكتاب والسن</w:t>
      </w:r>
      <w:r w:rsidR="00EC7EDF" w:rsidRPr="00FD211F">
        <w:rPr>
          <w:sz w:val="36"/>
          <w:szCs w:val="36"/>
          <w:rtl/>
        </w:rPr>
        <w:t>ة</w:t>
      </w:r>
      <w:r w:rsidR="00603323" w:rsidRPr="00FD211F">
        <w:rPr>
          <w:sz w:val="36"/>
          <w:szCs w:val="36"/>
          <w:rtl/>
        </w:rPr>
        <w:t xml:space="preserve">، </w:t>
      </w:r>
      <w:r w:rsidRPr="00FD211F">
        <w:rPr>
          <w:sz w:val="36"/>
          <w:szCs w:val="36"/>
          <w:rtl/>
        </w:rPr>
        <w:t>كما مر بيانه سابقا</w:t>
      </w:r>
      <w:r w:rsidR="00603323" w:rsidRPr="00FD211F">
        <w:rPr>
          <w:sz w:val="36"/>
          <w:szCs w:val="36"/>
          <w:rtl/>
        </w:rPr>
        <w:t xml:space="preserve">، </w:t>
      </w:r>
      <w:r w:rsidRPr="00FD211F">
        <w:rPr>
          <w:sz w:val="36"/>
          <w:szCs w:val="36"/>
          <w:rtl/>
        </w:rPr>
        <w:t>وعليه فالانصاف ان احراز الحقيق</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في جميع الالفاظ المستعمل</w:t>
      </w:r>
      <w:r w:rsidR="00EC7EDF" w:rsidRPr="00FD211F">
        <w:rPr>
          <w:sz w:val="36"/>
          <w:szCs w:val="36"/>
          <w:rtl/>
        </w:rPr>
        <w:t xml:space="preserve">ة </w:t>
      </w:r>
      <w:r w:rsidRPr="00FD211F">
        <w:rPr>
          <w:sz w:val="36"/>
          <w:szCs w:val="36"/>
          <w:rtl/>
        </w:rPr>
        <w:t>في الكتاب والسن</w:t>
      </w:r>
      <w:r w:rsidR="00EC7EDF" w:rsidRPr="00FD211F">
        <w:rPr>
          <w:sz w:val="36"/>
          <w:szCs w:val="36"/>
          <w:rtl/>
        </w:rPr>
        <w:t xml:space="preserve">ة </w:t>
      </w:r>
      <w:r w:rsidRPr="00FD211F">
        <w:rPr>
          <w:sz w:val="36"/>
          <w:szCs w:val="36"/>
          <w:rtl/>
        </w:rPr>
        <w:t>في المعاني الشرعي</w:t>
      </w:r>
      <w:r w:rsidR="00EC7EDF" w:rsidRPr="00FD211F">
        <w:rPr>
          <w:sz w:val="36"/>
          <w:szCs w:val="36"/>
          <w:rtl/>
        </w:rPr>
        <w:t xml:space="preserve">ة </w:t>
      </w:r>
      <w:r w:rsidRPr="00FD211F">
        <w:rPr>
          <w:sz w:val="36"/>
          <w:szCs w:val="36"/>
          <w:rtl/>
        </w:rPr>
        <w:t>مشكل جدّا.</w:t>
      </w:r>
    </w:p>
    <w:p w14:paraId="7C636486" w14:textId="77777777" w:rsidR="00052BF2" w:rsidRPr="00FD211F" w:rsidRDefault="00052BF2" w:rsidP="009C58C8">
      <w:pPr>
        <w:pStyle w:val="3"/>
        <w:ind w:firstLine="227"/>
        <w:jc w:val="both"/>
        <w:rPr>
          <w:rtl/>
        </w:rPr>
      </w:pPr>
      <w:bookmarkStart w:id="354" w:name="_Toc156401531"/>
      <w:bookmarkStart w:id="355" w:name="_Toc192092914"/>
      <w:bookmarkStart w:id="356" w:name="_Toc223890393"/>
      <w:r w:rsidRPr="00FD211F">
        <w:rPr>
          <w:rtl/>
        </w:rPr>
        <w:t>2- ثمر</w:t>
      </w:r>
      <w:r w:rsidR="00EC7EDF" w:rsidRPr="00FD211F">
        <w:rPr>
          <w:rtl/>
        </w:rPr>
        <w:t xml:space="preserve">ة </w:t>
      </w:r>
      <w:r w:rsidRPr="00FD211F">
        <w:rPr>
          <w:rtl/>
        </w:rPr>
        <w:t>القول بالحقيق</w:t>
      </w:r>
      <w:r w:rsidR="00EC7EDF" w:rsidRPr="00FD211F">
        <w:rPr>
          <w:rtl/>
        </w:rPr>
        <w:t xml:space="preserve">ة </w:t>
      </w:r>
      <w:r w:rsidRPr="00FD211F">
        <w:rPr>
          <w:rtl/>
        </w:rPr>
        <w:t>الشرعي</w:t>
      </w:r>
      <w:r w:rsidR="00EC7EDF" w:rsidRPr="00FD211F">
        <w:rPr>
          <w:rtl/>
        </w:rPr>
        <w:t>ة</w:t>
      </w:r>
      <w:bookmarkEnd w:id="356"/>
      <w:r w:rsidR="00EC7EDF" w:rsidRPr="00FD211F">
        <w:rPr>
          <w:rtl/>
        </w:rPr>
        <w:t xml:space="preserve"> </w:t>
      </w:r>
      <w:bookmarkEnd w:id="354"/>
      <w:bookmarkEnd w:id="355"/>
    </w:p>
    <w:p w14:paraId="0C145E05" w14:textId="77777777" w:rsidR="00052BF2" w:rsidRPr="00FD211F" w:rsidRDefault="00052BF2" w:rsidP="009C58C8">
      <w:pPr>
        <w:ind w:left="0" w:firstLine="227"/>
        <w:jc w:val="both"/>
        <w:rPr>
          <w:sz w:val="36"/>
          <w:szCs w:val="36"/>
          <w:rtl/>
        </w:rPr>
      </w:pPr>
      <w:r w:rsidRPr="00FD211F">
        <w:rPr>
          <w:sz w:val="36"/>
          <w:szCs w:val="36"/>
          <w:rtl/>
        </w:rPr>
        <w:t>ذكروا ان</w:t>
      </w:r>
      <w:r w:rsidR="00276301" w:rsidRPr="00FD211F">
        <w:rPr>
          <w:sz w:val="36"/>
          <w:szCs w:val="36"/>
          <w:rtl/>
        </w:rPr>
        <w:t>ه تظهر</w:t>
      </w:r>
      <w:r w:rsidRPr="00FD211F">
        <w:rPr>
          <w:sz w:val="36"/>
          <w:szCs w:val="36"/>
          <w:rtl/>
        </w:rPr>
        <w:t xml:space="preserve"> ثمر</w:t>
      </w:r>
      <w:r w:rsidR="00EC7EDF" w:rsidRPr="00FD211F">
        <w:rPr>
          <w:sz w:val="36"/>
          <w:szCs w:val="36"/>
          <w:rtl/>
        </w:rPr>
        <w:t xml:space="preserve">ة </w:t>
      </w:r>
      <w:r w:rsidRPr="00FD211F">
        <w:rPr>
          <w:sz w:val="36"/>
          <w:szCs w:val="36"/>
          <w:rtl/>
        </w:rPr>
        <w:t>القول بالحقيق</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في الخطابات الشرعي</w:t>
      </w:r>
      <w:r w:rsidR="00EC7EDF" w:rsidRPr="00FD211F">
        <w:rPr>
          <w:sz w:val="36"/>
          <w:szCs w:val="36"/>
          <w:rtl/>
        </w:rPr>
        <w:t xml:space="preserve">ة </w:t>
      </w:r>
      <w:r w:rsidRPr="00FD211F">
        <w:rPr>
          <w:sz w:val="36"/>
          <w:szCs w:val="36"/>
          <w:rtl/>
        </w:rPr>
        <w:t>التي ورد فيها هذه الالفاظ</w:t>
      </w:r>
      <w:r w:rsidR="00603323" w:rsidRPr="00FD211F">
        <w:rPr>
          <w:sz w:val="36"/>
          <w:szCs w:val="36"/>
          <w:rtl/>
        </w:rPr>
        <w:t xml:space="preserve">، </w:t>
      </w:r>
      <w:r w:rsidRPr="00FD211F">
        <w:rPr>
          <w:sz w:val="36"/>
          <w:szCs w:val="36"/>
          <w:rtl/>
        </w:rPr>
        <w:t>فانه على تقدير ثبوت وضع شرعي لها فيكون مقتضى اصال</w:t>
      </w:r>
      <w:r w:rsidR="00EC7EDF" w:rsidRPr="00FD211F">
        <w:rPr>
          <w:sz w:val="36"/>
          <w:szCs w:val="36"/>
          <w:rtl/>
        </w:rPr>
        <w:t xml:space="preserve">ة </w:t>
      </w:r>
      <w:r w:rsidRPr="00FD211F">
        <w:rPr>
          <w:sz w:val="36"/>
          <w:szCs w:val="36"/>
          <w:rtl/>
        </w:rPr>
        <w:t>الحقيق</w:t>
      </w:r>
      <w:r w:rsidR="00EC7EDF" w:rsidRPr="00FD211F">
        <w:rPr>
          <w:sz w:val="36"/>
          <w:szCs w:val="36"/>
          <w:rtl/>
        </w:rPr>
        <w:t xml:space="preserve">ة </w:t>
      </w:r>
      <w:r w:rsidRPr="00FD211F">
        <w:rPr>
          <w:sz w:val="36"/>
          <w:szCs w:val="36"/>
          <w:rtl/>
        </w:rPr>
        <w:t>حملها على اراد</w:t>
      </w:r>
      <w:r w:rsidR="00EC7EDF" w:rsidRPr="00FD211F">
        <w:rPr>
          <w:sz w:val="36"/>
          <w:szCs w:val="36"/>
          <w:rtl/>
        </w:rPr>
        <w:t xml:space="preserve">ة </w:t>
      </w:r>
      <w:r w:rsidRPr="00FD211F">
        <w:rPr>
          <w:sz w:val="36"/>
          <w:szCs w:val="36"/>
          <w:rtl/>
        </w:rPr>
        <w:t>المعنى الشرعي</w:t>
      </w:r>
      <w:r w:rsidR="00603323" w:rsidRPr="00FD211F">
        <w:rPr>
          <w:sz w:val="36"/>
          <w:szCs w:val="36"/>
          <w:rtl/>
        </w:rPr>
        <w:t xml:space="preserve">، </w:t>
      </w:r>
      <w:r w:rsidRPr="00FD211F">
        <w:rPr>
          <w:sz w:val="36"/>
          <w:szCs w:val="36"/>
          <w:rtl/>
        </w:rPr>
        <w:t xml:space="preserve">ولكن ذكر المحقق النائيني والسيد الخوئي </w:t>
      </w:r>
      <w:r w:rsidR="00276301" w:rsidRPr="00FD211F">
        <w:rPr>
          <w:sz w:val="36"/>
          <w:szCs w:val="36"/>
          <w:rtl/>
        </w:rPr>
        <w:t>"</w:t>
      </w:r>
      <w:r w:rsidRPr="00FD211F">
        <w:rPr>
          <w:sz w:val="36"/>
          <w:szCs w:val="36"/>
          <w:rtl/>
        </w:rPr>
        <w:t>قدهما</w:t>
      </w:r>
      <w:r w:rsidR="00276301" w:rsidRPr="00FD211F">
        <w:rPr>
          <w:sz w:val="36"/>
          <w:szCs w:val="36"/>
          <w:rtl/>
        </w:rPr>
        <w:t>"</w:t>
      </w:r>
      <w:r w:rsidRPr="00FD211F">
        <w:rPr>
          <w:sz w:val="36"/>
          <w:szCs w:val="36"/>
          <w:rtl/>
        </w:rPr>
        <w:t xml:space="preserve"> انه لاتوجد ثمر</w:t>
      </w:r>
      <w:r w:rsidR="00EC7EDF" w:rsidRPr="00FD211F">
        <w:rPr>
          <w:sz w:val="36"/>
          <w:szCs w:val="36"/>
          <w:rtl/>
        </w:rPr>
        <w:t xml:space="preserve">ة </w:t>
      </w:r>
      <w:r w:rsidRPr="00FD211F">
        <w:rPr>
          <w:sz w:val="36"/>
          <w:szCs w:val="36"/>
          <w:rtl/>
        </w:rPr>
        <w:t>عملي</w:t>
      </w:r>
      <w:r w:rsidR="00EC7EDF" w:rsidRPr="00FD211F">
        <w:rPr>
          <w:sz w:val="36"/>
          <w:szCs w:val="36"/>
          <w:rtl/>
        </w:rPr>
        <w:t xml:space="preserve">ة </w:t>
      </w:r>
      <w:r w:rsidRPr="00FD211F">
        <w:rPr>
          <w:sz w:val="36"/>
          <w:szCs w:val="36"/>
          <w:rtl/>
        </w:rPr>
        <w:t>في المقام</w:t>
      </w:r>
      <w:r w:rsidR="00603323" w:rsidRPr="00FD211F">
        <w:rPr>
          <w:sz w:val="36"/>
          <w:szCs w:val="36"/>
          <w:rtl/>
        </w:rPr>
        <w:t xml:space="preserve">، </w:t>
      </w:r>
      <w:r w:rsidRPr="00FD211F">
        <w:rPr>
          <w:sz w:val="36"/>
          <w:szCs w:val="36"/>
          <w:rtl/>
        </w:rPr>
        <w:t>لعدم الشك في المراد الاستعمالي من هذه الالفاظ</w:t>
      </w:r>
      <w:r w:rsidR="00603323" w:rsidRPr="00FD211F">
        <w:rPr>
          <w:sz w:val="36"/>
          <w:szCs w:val="36"/>
          <w:rtl/>
        </w:rPr>
        <w:t xml:space="preserve">، </w:t>
      </w:r>
      <w:r w:rsidRPr="00FD211F">
        <w:rPr>
          <w:sz w:val="36"/>
          <w:szCs w:val="36"/>
          <w:rtl/>
        </w:rPr>
        <w:t>سواء قلنا بثبوت الحقيق</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او</w:t>
      </w:r>
      <w:r w:rsidR="008D7B3D" w:rsidRPr="00FD211F">
        <w:rPr>
          <w:sz w:val="36"/>
          <w:szCs w:val="36"/>
          <w:rtl/>
        </w:rPr>
        <w:t xml:space="preserve"> لم‌</w:t>
      </w:r>
      <w:r w:rsidRPr="00FD211F">
        <w:rPr>
          <w:sz w:val="36"/>
          <w:szCs w:val="36"/>
          <w:rtl/>
        </w:rPr>
        <w:t>نقل</w:t>
      </w:r>
      <w:r w:rsidR="00603323" w:rsidRPr="00FD211F">
        <w:rPr>
          <w:sz w:val="36"/>
          <w:szCs w:val="36"/>
          <w:rtl/>
        </w:rPr>
        <w:t xml:space="preserve">، </w:t>
      </w:r>
      <w:r w:rsidRPr="00FD211F">
        <w:rPr>
          <w:sz w:val="36"/>
          <w:szCs w:val="36"/>
          <w:rtl/>
        </w:rPr>
        <w:t>فهي على كلا التقديرين استعملت في عرف المتشرع</w:t>
      </w:r>
      <w:r w:rsidR="00EC7EDF" w:rsidRPr="00FD211F">
        <w:rPr>
          <w:sz w:val="36"/>
          <w:szCs w:val="36"/>
          <w:rtl/>
        </w:rPr>
        <w:t xml:space="preserve">ة </w:t>
      </w:r>
      <w:r w:rsidRPr="00FD211F">
        <w:rPr>
          <w:sz w:val="36"/>
          <w:szCs w:val="36"/>
          <w:rtl/>
        </w:rPr>
        <w:t>في المعاني الشرعي</w:t>
      </w:r>
      <w:r w:rsidR="00EC7EDF" w:rsidRPr="00FD211F">
        <w:rPr>
          <w:sz w:val="36"/>
          <w:szCs w:val="36"/>
          <w:rtl/>
        </w:rPr>
        <w:t>ة</w:t>
      </w:r>
      <w:r w:rsidR="00603323" w:rsidRPr="00FD211F">
        <w:rPr>
          <w:sz w:val="36"/>
          <w:szCs w:val="36"/>
          <w:rtl/>
        </w:rPr>
        <w:t xml:space="preserve">، </w:t>
      </w:r>
      <w:r w:rsidR="00B05561" w:rsidRPr="00FD211F">
        <w:rPr>
          <w:sz w:val="36"/>
          <w:szCs w:val="36"/>
          <w:rtl/>
        </w:rPr>
        <w:t>ف</w:t>
      </w:r>
      <w:r w:rsidRPr="00FD211F">
        <w:rPr>
          <w:sz w:val="36"/>
          <w:szCs w:val="36"/>
          <w:rtl/>
        </w:rPr>
        <w:t>ان الفاظ الكتاب والسن</w:t>
      </w:r>
      <w:r w:rsidR="00EC7EDF" w:rsidRPr="00FD211F">
        <w:rPr>
          <w:sz w:val="36"/>
          <w:szCs w:val="36"/>
          <w:rtl/>
        </w:rPr>
        <w:t xml:space="preserve">ة </w:t>
      </w:r>
      <w:r w:rsidRPr="00FD211F">
        <w:rPr>
          <w:sz w:val="36"/>
          <w:szCs w:val="36"/>
          <w:rtl/>
        </w:rPr>
        <w:t>قد وصلت الينا من النبي الأكرم</w:t>
      </w:r>
      <w:r w:rsidR="007A4A0D" w:rsidRPr="00FD211F">
        <w:rPr>
          <w:sz w:val="36"/>
          <w:szCs w:val="36"/>
          <w:rtl/>
        </w:rPr>
        <w:t>(صلى‌الله‌عليه‌وآله)</w:t>
      </w:r>
      <w:r w:rsidRPr="00FD211F">
        <w:rPr>
          <w:sz w:val="36"/>
          <w:szCs w:val="36"/>
          <w:rtl/>
        </w:rPr>
        <w:t xml:space="preserve"> بواسط</w:t>
      </w:r>
      <w:r w:rsidR="00EC7EDF" w:rsidRPr="00FD211F">
        <w:rPr>
          <w:sz w:val="36"/>
          <w:szCs w:val="36"/>
          <w:rtl/>
        </w:rPr>
        <w:t xml:space="preserve">ة </w:t>
      </w:r>
      <w:r w:rsidRPr="00FD211F">
        <w:rPr>
          <w:sz w:val="36"/>
          <w:szCs w:val="36"/>
          <w:rtl/>
        </w:rPr>
        <w:t>الأئم</w:t>
      </w:r>
      <w:r w:rsidR="00EC7EDF" w:rsidRPr="00FD211F">
        <w:rPr>
          <w:sz w:val="36"/>
          <w:szCs w:val="36"/>
          <w:rtl/>
        </w:rPr>
        <w:t xml:space="preserve">ة </w:t>
      </w:r>
      <w:r w:rsidRPr="00FD211F">
        <w:rPr>
          <w:sz w:val="36"/>
          <w:szCs w:val="36"/>
          <w:rtl/>
        </w:rPr>
        <w:t>ال</w:t>
      </w:r>
      <w:r w:rsidR="00276301" w:rsidRPr="00FD211F">
        <w:rPr>
          <w:sz w:val="36"/>
          <w:szCs w:val="36"/>
          <w:rtl/>
        </w:rPr>
        <w:t xml:space="preserve">طاهرين(عليهم </w:t>
      </w:r>
      <w:r w:rsidRPr="00FD211F">
        <w:rPr>
          <w:sz w:val="36"/>
          <w:szCs w:val="36"/>
          <w:rtl/>
        </w:rPr>
        <w:t>السلام</w:t>
      </w:r>
      <w:r w:rsidR="00276301" w:rsidRPr="00FD211F">
        <w:rPr>
          <w:sz w:val="36"/>
          <w:szCs w:val="36"/>
          <w:rtl/>
        </w:rPr>
        <w:t>)</w:t>
      </w:r>
      <w:r w:rsidR="00603323" w:rsidRPr="00FD211F">
        <w:rPr>
          <w:sz w:val="36"/>
          <w:szCs w:val="36"/>
          <w:rtl/>
        </w:rPr>
        <w:t xml:space="preserve">، </w:t>
      </w:r>
      <w:r w:rsidRPr="00FD211F">
        <w:rPr>
          <w:sz w:val="36"/>
          <w:szCs w:val="36"/>
          <w:rtl/>
        </w:rPr>
        <w:t>ومن الواضح جدا ان الحقيق</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وان فرض انها</w:t>
      </w:r>
      <w:r w:rsidR="008D7B3D" w:rsidRPr="00FD211F">
        <w:rPr>
          <w:sz w:val="36"/>
          <w:szCs w:val="36"/>
          <w:rtl/>
        </w:rPr>
        <w:t xml:space="preserve"> لم‌</w:t>
      </w:r>
      <w:r w:rsidRPr="00FD211F">
        <w:rPr>
          <w:sz w:val="36"/>
          <w:szCs w:val="36"/>
          <w:rtl/>
        </w:rPr>
        <w:t>تثبت الاانه لاشبه</w:t>
      </w:r>
      <w:r w:rsidR="00EC7EDF" w:rsidRPr="00FD211F">
        <w:rPr>
          <w:sz w:val="36"/>
          <w:szCs w:val="36"/>
          <w:rtl/>
        </w:rPr>
        <w:t xml:space="preserve">ة </w:t>
      </w:r>
      <w:r w:rsidRPr="00FD211F">
        <w:rPr>
          <w:sz w:val="36"/>
          <w:szCs w:val="36"/>
          <w:rtl/>
        </w:rPr>
        <w:t>في ثبوت الحقيق</w:t>
      </w:r>
      <w:r w:rsidR="00EC7EDF" w:rsidRPr="00FD211F">
        <w:rPr>
          <w:sz w:val="36"/>
          <w:szCs w:val="36"/>
          <w:rtl/>
        </w:rPr>
        <w:t xml:space="preserve">ة </w:t>
      </w:r>
      <w:r w:rsidRPr="00FD211F">
        <w:rPr>
          <w:sz w:val="36"/>
          <w:szCs w:val="36"/>
          <w:rtl/>
        </w:rPr>
        <w:t>المتشرعي</w:t>
      </w:r>
      <w:r w:rsidR="00EC7EDF" w:rsidRPr="00FD211F">
        <w:rPr>
          <w:sz w:val="36"/>
          <w:szCs w:val="36"/>
          <w:rtl/>
        </w:rPr>
        <w:t xml:space="preserve">ة </w:t>
      </w:r>
      <w:r w:rsidRPr="00FD211F">
        <w:rPr>
          <w:sz w:val="36"/>
          <w:szCs w:val="36"/>
          <w:rtl/>
        </w:rPr>
        <w:t>في زمان الأئم</w:t>
      </w:r>
      <w:r w:rsidR="00EC7EDF" w:rsidRPr="00FD211F">
        <w:rPr>
          <w:sz w:val="36"/>
          <w:szCs w:val="36"/>
          <w:rtl/>
        </w:rPr>
        <w:t xml:space="preserve">ة </w:t>
      </w:r>
      <w:r w:rsidR="00276301" w:rsidRPr="00FD211F">
        <w:rPr>
          <w:sz w:val="36"/>
          <w:szCs w:val="36"/>
          <w:rtl/>
        </w:rPr>
        <w:t>(</w:t>
      </w:r>
      <w:r w:rsidRPr="00FD211F">
        <w:rPr>
          <w:sz w:val="36"/>
          <w:szCs w:val="36"/>
          <w:rtl/>
        </w:rPr>
        <w:t>عليهم السلام</w:t>
      </w:r>
      <w:r w:rsidR="00276301" w:rsidRPr="00FD211F">
        <w:rPr>
          <w:sz w:val="36"/>
          <w:szCs w:val="36"/>
          <w:rtl/>
        </w:rPr>
        <w:t>)</w:t>
      </w:r>
      <w:r w:rsidR="00603323" w:rsidRPr="00FD211F">
        <w:rPr>
          <w:sz w:val="36"/>
          <w:szCs w:val="36"/>
          <w:rtl/>
        </w:rPr>
        <w:t xml:space="preserve">، </w:t>
      </w:r>
      <w:r w:rsidRPr="00FD211F">
        <w:rPr>
          <w:sz w:val="36"/>
          <w:szCs w:val="36"/>
          <w:rtl/>
        </w:rPr>
        <w:t xml:space="preserve">نعم لو فرض وصول كلام من النبي </w:t>
      </w:r>
      <w:r w:rsidR="007A4A0D" w:rsidRPr="00FD211F">
        <w:rPr>
          <w:sz w:val="36"/>
          <w:szCs w:val="36"/>
          <w:rtl/>
        </w:rPr>
        <w:t>(صلى‌الله‌عليه‌وآله)</w:t>
      </w:r>
      <w:r w:rsidR="00276301" w:rsidRPr="00FD211F">
        <w:rPr>
          <w:sz w:val="36"/>
          <w:szCs w:val="36"/>
          <w:rtl/>
        </w:rPr>
        <w:t xml:space="preserve"> بلاوساط</w:t>
      </w:r>
      <w:r w:rsidR="00EC7EDF" w:rsidRPr="00FD211F">
        <w:rPr>
          <w:sz w:val="36"/>
          <w:szCs w:val="36"/>
          <w:rtl/>
        </w:rPr>
        <w:t xml:space="preserve">ة </w:t>
      </w:r>
      <w:r w:rsidR="00276301" w:rsidRPr="00FD211F">
        <w:rPr>
          <w:sz w:val="36"/>
          <w:szCs w:val="36"/>
          <w:rtl/>
        </w:rPr>
        <w:t>الأئم</w:t>
      </w:r>
      <w:r w:rsidR="00EC7EDF" w:rsidRPr="00FD211F">
        <w:rPr>
          <w:sz w:val="36"/>
          <w:szCs w:val="36"/>
          <w:rtl/>
        </w:rPr>
        <w:t xml:space="preserve">ة </w:t>
      </w:r>
      <w:r w:rsidR="00276301" w:rsidRPr="00FD211F">
        <w:rPr>
          <w:sz w:val="36"/>
          <w:szCs w:val="36"/>
          <w:rtl/>
        </w:rPr>
        <w:t>ال</w:t>
      </w:r>
      <w:r w:rsidRPr="00FD211F">
        <w:rPr>
          <w:sz w:val="36"/>
          <w:szCs w:val="36"/>
          <w:rtl/>
        </w:rPr>
        <w:t>ط</w:t>
      </w:r>
      <w:r w:rsidR="00276301" w:rsidRPr="00FD211F">
        <w:rPr>
          <w:sz w:val="36"/>
          <w:szCs w:val="36"/>
          <w:rtl/>
        </w:rPr>
        <w:t>اه</w:t>
      </w:r>
      <w:r w:rsidRPr="00FD211F">
        <w:rPr>
          <w:sz w:val="36"/>
          <w:szCs w:val="36"/>
          <w:rtl/>
        </w:rPr>
        <w:t>ر</w:t>
      </w:r>
      <w:r w:rsidR="00276301" w:rsidRPr="00FD211F">
        <w:rPr>
          <w:sz w:val="36"/>
          <w:szCs w:val="36"/>
          <w:rtl/>
        </w:rPr>
        <w:t>ين</w:t>
      </w:r>
      <w:r w:rsidRPr="00FD211F">
        <w:rPr>
          <w:sz w:val="36"/>
          <w:szCs w:val="36"/>
          <w:rtl/>
        </w:rPr>
        <w:t xml:space="preserve"> </w:t>
      </w:r>
      <w:r w:rsidR="00276301" w:rsidRPr="00FD211F">
        <w:rPr>
          <w:sz w:val="36"/>
          <w:szCs w:val="36"/>
          <w:rtl/>
        </w:rPr>
        <w:t>(</w:t>
      </w:r>
      <w:r w:rsidRPr="00FD211F">
        <w:rPr>
          <w:sz w:val="36"/>
          <w:szCs w:val="36"/>
          <w:rtl/>
        </w:rPr>
        <w:t>عليهم السلام</w:t>
      </w:r>
      <w:r w:rsidR="00276301" w:rsidRPr="00FD211F">
        <w:rPr>
          <w:sz w:val="36"/>
          <w:szCs w:val="36"/>
          <w:rtl/>
        </w:rPr>
        <w:t>)</w:t>
      </w:r>
      <w:r w:rsidRPr="00FD211F">
        <w:rPr>
          <w:sz w:val="36"/>
          <w:szCs w:val="36"/>
          <w:rtl/>
        </w:rPr>
        <w:t xml:space="preserve"> فيمكن ان تظهر الثمر</w:t>
      </w:r>
      <w:r w:rsidR="00EC7EDF" w:rsidRPr="00FD211F">
        <w:rPr>
          <w:sz w:val="36"/>
          <w:szCs w:val="36"/>
          <w:rtl/>
        </w:rPr>
        <w:t xml:space="preserve">ة </w:t>
      </w:r>
      <w:r w:rsidRPr="00FD211F">
        <w:rPr>
          <w:sz w:val="36"/>
          <w:szCs w:val="36"/>
          <w:rtl/>
        </w:rPr>
        <w:t>فيه</w:t>
      </w:r>
      <w:r w:rsidR="00603323" w:rsidRPr="00FD211F">
        <w:rPr>
          <w:sz w:val="36"/>
          <w:szCs w:val="36"/>
          <w:rtl/>
        </w:rPr>
        <w:t xml:space="preserve">، </w:t>
      </w:r>
      <w:r w:rsidRPr="00FD211F">
        <w:rPr>
          <w:sz w:val="36"/>
          <w:szCs w:val="36"/>
          <w:rtl/>
        </w:rPr>
        <w:t>لكنه مجرد فرض</w:t>
      </w:r>
      <w:r w:rsidR="009C58C8" w:rsidRPr="00FD211F">
        <w:rPr>
          <w:rStyle w:val="a6"/>
          <w:sz w:val="36"/>
          <w:szCs w:val="36"/>
          <w:rtl/>
        </w:rPr>
        <w:t>(</w:t>
      </w:r>
      <w:r w:rsidR="009C58C8" w:rsidRPr="00FD211F">
        <w:rPr>
          <w:rStyle w:val="a6"/>
          <w:sz w:val="36"/>
          <w:szCs w:val="36"/>
          <w:rtl/>
        </w:rPr>
        <w:footnoteReference w:id="343"/>
      </w:r>
      <w:r w:rsidR="009C58C8" w:rsidRPr="00FD211F">
        <w:rPr>
          <w:rStyle w:val="a6"/>
          <w:sz w:val="36"/>
          <w:szCs w:val="36"/>
          <w:rtl/>
        </w:rPr>
        <w:t>)</w:t>
      </w:r>
      <w:r w:rsidRPr="00FD211F">
        <w:rPr>
          <w:sz w:val="36"/>
          <w:szCs w:val="36"/>
          <w:rtl/>
        </w:rPr>
        <w:t>.</w:t>
      </w:r>
    </w:p>
    <w:p w14:paraId="0467AAAE" w14:textId="77777777" w:rsidR="00052BF2" w:rsidRPr="00FD211F" w:rsidRDefault="00052BF2" w:rsidP="009C58C8">
      <w:pPr>
        <w:ind w:left="0" w:firstLine="227"/>
        <w:jc w:val="both"/>
        <w:rPr>
          <w:sz w:val="36"/>
          <w:szCs w:val="36"/>
          <w:rtl/>
        </w:rPr>
      </w:pPr>
      <w:r w:rsidRPr="00FD211F">
        <w:rPr>
          <w:sz w:val="36"/>
          <w:szCs w:val="36"/>
          <w:rtl/>
        </w:rPr>
        <w:t xml:space="preserve">ويلاحظ عليه </w:t>
      </w:r>
      <w:r w:rsidRPr="00FD211F">
        <w:rPr>
          <w:b/>
          <w:bCs/>
          <w:sz w:val="36"/>
          <w:szCs w:val="36"/>
          <w:rtl/>
        </w:rPr>
        <w:t>اولا</w:t>
      </w:r>
      <w:r w:rsidRPr="00FD211F">
        <w:rPr>
          <w:sz w:val="36"/>
          <w:szCs w:val="36"/>
          <w:rtl/>
        </w:rPr>
        <w:t>: انه قد وصل الينا ولو بواسط</w:t>
      </w:r>
      <w:r w:rsidR="00EC7EDF" w:rsidRPr="00FD211F">
        <w:rPr>
          <w:sz w:val="36"/>
          <w:szCs w:val="36"/>
          <w:rtl/>
        </w:rPr>
        <w:t xml:space="preserve">ة </w:t>
      </w:r>
      <w:r w:rsidRPr="00FD211F">
        <w:rPr>
          <w:sz w:val="36"/>
          <w:szCs w:val="36"/>
          <w:rtl/>
        </w:rPr>
        <w:t>الأئم</w:t>
      </w:r>
      <w:r w:rsidR="00EC7EDF" w:rsidRPr="00FD211F">
        <w:rPr>
          <w:sz w:val="36"/>
          <w:szCs w:val="36"/>
          <w:rtl/>
        </w:rPr>
        <w:t xml:space="preserve">ة </w:t>
      </w:r>
      <w:r w:rsidRPr="00FD211F">
        <w:rPr>
          <w:sz w:val="36"/>
          <w:szCs w:val="36"/>
          <w:rtl/>
        </w:rPr>
        <w:t>عليهم السلام احاديث نبوي</w:t>
      </w:r>
      <w:r w:rsidR="00EC7EDF" w:rsidRPr="00FD211F">
        <w:rPr>
          <w:sz w:val="36"/>
          <w:szCs w:val="36"/>
          <w:rtl/>
        </w:rPr>
        <w:t xml:space="preserve">ة </w:t>
      </w:r>
      <w:r w:rsidRPr="00FD211F">
        <w:rPr>
          <w:sz w:val="36"/>
          <w:szCs w:val="36"/>
          <w:rtl/>
        </w:rPr>
        <w:t xml:space="preserve">بنفس اللفظ الصادر عنه </w:t>
      </w:r>
      <w:r w:rsidR="007A4A0D" w:rsidRPr="00FD211F">
        <w:rPr>
          <w:sz w:val="36"/>
          <w:szCs w:val="36"/>
          <w:rtl/>
        </w:rPr>
        <w:t>(صلى‌الله‌عليه‌وآله)</w:t>
      </w:r>
      <w:r w:rsidR="00603323" w:rsidRPr="00FD211F">
        <w:rPr>
          <w:sz w:val="36"/>
          <w:szCs w:val="36"/>
          <w:rtl/>
        </w:rPr>
        <w:t xml:space="preserve">، </w:t>
      </w:r>
      <w:r w:rsidRPr="00FD211F">
        <w:rPr>
          <w:sz w:val="36"/>
          <w:szCs w:val="36"/>
          <w:rtl/>
        </w:rPr>
        <w:t>فيقع الكلام حينئذ في ظهوره في المعنى الشرعي.</w:t>
      </w:r>
    </w:p>
    <w:p w14:paraId="180B85EB" w14:textId="77777777" w:rsidR="00052BF2"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انه قد ورد في القرآن الكريم عد</w:t>
      </w:r>
      <w:r w:rsidR="00EC7EDF" w:rsidRPr="00FD211F">
        <w:rPr>
          <w:sz w:val="36"/>
          <w:szCs w:val="36"/>
          <w:rtl/>
        </w:rPr>
        <w:t xml:space="preserve">ة </w:t>
      </w:r>
      <w:r w:rsidRPr="00FD211F">
        <w:rPr>
          <w:sz w:val="36"/>
          <w:szCs w:val="36"/>
          <w:rtl/>
        </w:rPr>
        <w:t>آيات مشتمل</w:t>
      </w:r>
      <w:r w:rsidR="00EC7EDF" w:rsidRPr="00FD211F">
        <w:rPr>
          <w:sz w:val="36"/>
          <w:szCs w:val="36"/>
          <w:rtl/>
        </w:rPr>
        <w:t xml:space="preserve">ة </w:t>
      </w:r>
      <w:r w:rsidRPr="00FD211F">
        <w:rPr>
          <w:sz w:val="36"/>
          <w:szCs w:val="36"/>
          <w:rtl/>
        </w:rPr>
        <w:t>على تلك الاالفاظ</w:t>
      </w:r>
      <w:r w:rsidR="00603323" w:rsidRPr="00FD211F">
        <w:rPr>
          <w:sz w:val="36"/>
          <w:szCs w:val="36"/>
          <w:rtl/>
        </w:rPr>
        <w:t xml:space="preserve">، </w:t>
      </w:r>
      <w:r w:rsidRPr="00FD211F">
        <w:rPr>
          <w:sz w:val="36"/>
          <w:szCs w:val="36"/>
          <w:rtl/>
        </w:rPr>
        <w:t>كقوله تعالى</w:t>
      </w:r>
      <w:r w:rsidR="00B05561" w:rsidRPr="00FD211F">
        <w:rPr>
          <w:sz w:val="36"/>
          <w:szCs w:val="36"/>
          <w:rtl/>
        </w:rPr>
        <w:t>"</w:t>
      </w:r>
      <w:r w:rsidRPr="00FD211F">
        <w:rPr>
          <w:sz w:val="36"/>
          <w:szCs w:val="36"/>
          <w:rtl/>
        </w:rPr>
        <w:t xml:space="preserve"> فذكر اسم ربه فصلى</w:t>
      </w:r>
      <w:r w:rsidR="00B05561" w:rsidRPr="00FD211F">
        <w:rPr>
          <w:sz w:val="36"/>
          <w:szCs w:val="36"/>
          <w:rtl/>
        </w:rPr>
        <w:t>"</w:t>
      </w:r>
      <w:r w:rsidR="009C58C8" w:rsidRPr="00FD211F">
        <w:rPr>
          <w:rStyle w:val="a6"/>
          <w:sz w:val="36"/>
          <w:szCs w:val="36"/>
          <w:rtl/>
        </w:rPr>
        <w:t>(</w:t>
      </w:r>
      <w:r w:rsidR="009C58C8" w:rsidRPr="00FD211F">
        <w:rPr>
          <w:rStyle w:val="a6"/>
          <w:sz w:val="36"/>
          <w:szCs w:val="36"/>
          <w:rtl/>
        </w:rPr>
        <w:footnoteReference w:id="344"/>
      </w:r>
      <w:r w:rsidR="009C58C8" w:rsidRPr="00FD211F">
        <w:rPr>
          <w:rStyle w:val="a6"/>
          <w:sz w:val="36"/>
          <w:szCs w:val="36"/>
          <w:rtl/>
        </w:rPr>
        <w:t>)</w:t>
      </w:r>
      <w:r w:rsidR="00603323" w:rsidRPr="00FD211F">
        <w:rPr>
          <w:sz w:val="36"/>
          <w:szCs w:val="36"/>
          <w:rtl/>
        </w:rPr>
        <w:t xml:space="preserve">، </w:t>
      </w:r>
      <w:r w:rsidRPr="00FD211F">
        <w:rPr>
          <w:sz w:val="36"/>
          <w:szCs w:val="36"/>
          <w:rtl/>
        </w:rPr>
        <w:t>فبناء على ثبوت الحقيق</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فتكون الآي</w:t>
      </w:r>
      <w:r w:rsidR="00EC7EDF" w:rsidRPr="00FD211F">
        <w:rPr>
          <w:sz w:val="36"/>
          <w:szCs w:val="36"/>
          <w:rtl/>
        </w:rPr>
        <w:t xml:space="preserve">ة </w:t>
      </w:r>
      <w:r w:rsidRPr="00FD211F">
        <w:rPr>
          <w:sz w:val="36"/>
          <w:szCs w:val="36"/>
          <w:rtl/>
        </w:rPr>
        <w:t>ظاهر</w:t>
      </w:r>
      <w:r w:rsidR="00EC7EDF" w:rsidRPr="00FD211F">
        <w:rPr>
          <w:sz w:val="36"/>
          <w:szCs w:val="36"/>
          <w:rtl/>
        </w:rPr>
        <w:t xml:space="preserve">ة </w:t>
      </w:r>
      <w:r w:rsidRPr="00FD211F">
        <w:rPr>
          <w:sz w:val="36"/>
          <w:szCs w:val="36"/>
          <w:rtl/>
        </w:rPr>
        <w:t>في استحباب الصلا</w:t>
      </w:r>
      <w:r w:rsidR="00EC7EDF" w:rsidRPr="00FD211F">
        <w:rPr>
          <w:sz w:val="36"/>
          <w:szCs w:val="36"/>
          <w:rtl/>
        </w:rPr>
        <w:t xml:space="preserve">ة </w:t>
      </w:r>
      <w:r w:rsidRPr="00FD211F">
        <w:rPr>
          <w:sz w:val="36"/>
          <w:szCs w:val="36"/>
          <w:rtl/>
        </w:rPr>
        <w:t>لمعناها المعهود مطلقا</w:t>
      </w:r>
      <w:r w:rsidR="00603323" w:rsidRPr="00FD211F">
        <w:rPr>
          <w:sz w:val="36"/>
          <w:szCs w:val="36"/>
          <w:rtl/>
        </w:rPr>
        <w:t xml:space="preserve">، </w:t>
      </w:r>
      <w:r w:rsidRPr="00FD211F">
        <w:rPr>
          <w:sz w:val="36"/>
          <w:szCs w:val="36"/>
          <w:rtl/>
        </w:rPr>
        <w:t>وان كنا لانحتاج اليها لوضوح هذا القول في الفقه</w:t>
      </w:r>
      <w:r w:rsidR="00603323" w:rsidRPr="00FD211F">
        <w:rPr>
          <w:sz w:val="36"/>
          <w:szCs w:val="36"/>
          <w:rtl/>
        </w:rPr>
        <w:t xml:space="preserve">، </w:t>
      </w:r>
      <w:r w:rsidRPr="00FD211F">
        <w:rPr>
          <w:sz w:val="36"/>
          <w:szCs w:val="36"/>
          <w:rtl/>
        </w:rPr>
        <w:t>وكذا قوله تعالى: انما المشركون نجس</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345"/>
      </w:r>
      <w:r w:rsidR="00C17D0B" w:rsidRPr="00FD211F">
        <w:rPr>
          <w:rStyle w:val="a6"/>
          <w:sz w:val="36"/>
          <w:szCs w:val="36"/>
          <w:rtl/>
        </w:rPr>
        <w:t>)</w:t>
      </w:r>
      <w:r w:rsidRPr="00FD211F">
        <w:rPr>
          <w:sz w:val="36"/>
          <w:szCs w:val="36"/>
          <w:rtl/>
        </w:rPr>
        <w:t xml:space="preserve"> ولانعلم ان المراد به هل هو القذار</w:t>
      </w:r>
      <w:r w:rsidR="00EC7EDF" w:rsidRPr="00FD211F">
        <w:rPr>
          <w:sz w:val="36"/>
          <w:szCs w:val="36"/>
          <w:rtl/>
        </w:rPr>
        <w:t xml:space="preserve">ة </w:t>
      </w:r>
      <w:r w:rsidRPr="00FD211F">
        <w:rPr>
          <w:sz w:val="36"/>
          <w:szCs w:val="36"/>
          <w:rtl/>
        </w:rPr>
        <w:t>المعنوي</w:t>
      </w:r>
      <w:r w:rsidR="00EC7EDF" w:rsidRPr="00FD211F">
        <w:rPr>
          <w:sz w:val="36"/>
          <w:szCs w:val="36"/>
          <w:rtl/>
        </w:rPr>
        <w:t xml:space="preserve">ة </w:t>
      </w:r>
      <w:r w:rsidRPr="00FD211F">
        <w:rPr>
          <w:sz w:val="36"/>
          <w:szCs w:val="36"/>
          <w:rtl/>
        </w:rPr>
        <w:t>او النجاس</w:t>
      </w:r>
      <w:r w:rsidR="00EC7EDF" w:rsidRPr="00FD211F">
        <w:rPr>
          <w:sz w:val="36"/>
          <w:szCs w:val="36"/>
          <w:rtl/>
        </w:rPr>
        <w:t xml:space="preserve">ة </w:t>
      </w:r>
      <w:r w:rsidRPr="00FD211F">
        <w:rPr>
          <w:sz w:val="36"/>
          <w:szCs w:val="36"/>
          <w:rtl/>
        </w:rPr>
        <w:t>الشرعي</w:t>
      </w:r>
      <w:r w:rsidR="00EC7EDF" w:rsidRPr="00FD211F">
        <w:rPr>
          <w:sz w:val="36"/>
          <w:szCs w:val="36"/>
          <w:rtl/>
        </w:rPr>
        <w:t>ة</w:t>
      </w:r>
      <w:r w:rsidR="00603323" w:rsidRPr="00FD211F">
        <w:rPr>
          <w:sz w:val="36"/>
          <w:szCs w:val="36"/>
          <w:rtl/>
        </w:rPr>
        <w:t xml:space="preserve">، </w:t>
      </w:r>
      <w:r w:rsidRPr="00FD211F">
        <w:rPr>
          <w:sz w:val="36"/>
          <w:szCs w:val="36"/>
          <w:rtl/>
        </w:rPr>
        <w:t>فبناء على ثبوت الحقيق</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ستكون الآي</w:t>
      </w:r>
      <w:r w:rsidR="00EC7EDF" w:rsidRPr="00FD211F">
        <w:rPr>
          <w:sz w:val="36"/>
          <w:szCs w:val="36"/>
          <w:rtl/>
        </w:rPr>
        <w:t xml:space="preserve">ة </w:t>
      </w:r>
      <w:r w:rsidRPr="00FD211F">
        <w:rPr>
          <w:sz w:val="36"/>
          <w:szCs w:val="36"/>
          <w:rtl/>
        </w:rPr>
        <w:t>ظاهر</w:t>
      </w:r>
      <w:r w:rsidR="00EC7EDF" w:rsidRPr="00FD211F">
        <w:rPr>
          <w:sz w:val="36"/>
          <w:szCs w:val="36"/>
          <w:rtl/>
        </w:rPr>
        <w:t xml:space="preserve">ة </w:t>
      </w:r>
      <w:r w:rsidRPr="00FD211F">
        <w:rPr>
          <w:sz w:val="36"/>
          <w:szCs w:val="36"/>
          <w:rtl/>
        </w:rPr>
        <w:t>في النجاس</w:t>
      </w:r>
      <w:r w:rsidR="00EC7EDF" w:rsidRPr="00FD211F">
        <w:rPr>
          <w:sz w:val="36"/>
          <w:szCs w:val="36"/>
          <w:rtl/>
        </w:rPr>
        <w:t xml:space="preserve">ة </w:t>
      </w:r>
      <w:r w:rsidRPr="00FD211F">
        <w:rPr>
          <w:sz w:val="36"/>
          <w:szCs w:val="36"/>
          <w:rtl/>
        </w:rPr>
        <w:t>الشرعي</w:t>
      </w:r>
      <w:r w:rsidR="00EC7EDF" w:rsidRPr="00FD211F">
        <w:rPr>
          <w:sz w:val="36"/>
          <w:szCs w:val="36"/>
          <w:rtl/>
        </w:rPr>
        <w:t>ة</w:t>
      </w:r>
      <w:r w:rsidR="00603323" w:rsidRPr="00FD211F">
        <w:rPr>
          <w:sz w:val="36"/>
          <w:szCs w:val="36"/>
          <w:rtl/>
        </w:rPr>
        <w:t xml:space="preserve">، </w:t>
      </w:r>
      <w:r w:rsidRPr="00FD211F">
        <w:rPr>
          <w:sz w:val="36"/>
          <w:szCs w:val="36"/>
          <w:rtl/>
        </w:rPr>
        <w:t>وكذا ورد في قوله تعالى: فتيمموا صعيدا طيبا</w:t>
      </w:r>
      <w:r w:rsidR="009C58C8" w:rsidRPr="00FD211F">
        <w:rPr>
          <w:rStyle w:val="a6"/>
          <w:sz w:val="36"/>
          <w:szCs w:val="36"/>
          <w:rtl/>
        </w:rPr>
        <w:t>(</w:t>
      </w:r>
      <w:r w:rsidR="009C58C8" w:rsidRPr="00FD211F">
        <w:rPr>
          <w:rStyle w:val="a6"/>
          <w:sz w:val="36"/>
          <w:szCs w:val="36"/>
          <w:rtl/>
        </w:rPr>
        <w:footnoteReference w:id="346"/>
      </w:r>
      <w:r w:rsidR="009C58C8" w:rsidRPr="00FD211F">
        <w:rPr>
          <w:rStyle w:val="a6"/>
          <w:sz w:val="36"/>
          <w:szCs w:val="36"/>
          <w:rtl/>
        </w:rPr>
        <w:t>)</w:t>
      </w:r>
      <w:r w:rsidR="00603323" w:rsidRPr="00FD211F">
        <w:rPr>
          <w:sz w:val="36"/>
          <w:szCs w:val="36"/>
          <w:rtl/>
        </w:rPr>
        <w:t xml:space="preserve">، </w:t>
      </w:r>
      <w:r w:rsidRPr="00FD211F">
        <w:rPr>
          <w:sz w:val="36"/>
          <w:szCs w:val="36"/>
          <w:rtl/>
        </w:rPr>
        <w:t>ولاندري هل هو بمعنى الطهار</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ام لا</w:t>
      </w:r>
      <w:r w:rsidR="00603323" w:rsidRPr="00FD211F">
        <w:rPr>
          <w:sz w:val="36"/>
          <w:szCs w:val="36"/>
          <w:rtl/>
        </w:rPr>
        <w:t xml:space="preserve">، </w:t>
      </w:r>
      <w:r w:rsidRPr="00FD211F">
        <w:rPr>
          <w:sz w:val="36"/>
          <w:szCs w:val="36"/>
          <w:rtl/>
        </w:rPr>
        <w:t>فلو تمت كبرى الحقيق</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افادتنا في هذه المجالات بلااشكال.</w:t>
      </w:r>
    </w:p>
    <w:p w14:paraId="0D1D3E66" w14:textId="77777777" w:rsidR="00052BF2" w:rsidRPr="00FD211F" w:rsidRDefault="00052BF2" w:rsidP="009C58C8">
      <w:pPr>
        <w:ind w:left="0" w:firstLine="227"/>
        <w:jc w:val="both"/>
        <w:rPr>
          <w:sz w:val="36"/>
          <w:szCs w:val="36"/>
          <w:rtl/>
        </w:rPr>
      </w:pPr>
      <w:r w:rsidRPr="00FD211F">
        <w:rPr>
          <w:sz w:val="36"/>
          <w:szCs w:val="36"/>
          <w:rtl/>
        </w:rPr>
        <w:t>وعليه فان ثبتت الحقيق</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بنحو يوجب النقل اي ظهور اللفظ في المعنى الشرعي وهجر المعنى السابق</w:t>
      </w:r>
      <w:r w:rsidR="00603323" w:rsidRPr="00FD211F">
        <w:rPr>
          <w:sz w:val="36"/>
          <w:szCs w:val="36"/>
          <w:rtl/>
        </w:rPr>
        <w:t xml:space="preserve">، </w:t>
      </w:r>
      <w:r w:rsidRPr="00FD211F">
        <w:rPr>
          <w:sz w:val="36"/>
          <w:szCs w:val="36"/>
          <w:rtl/>
        </w:rPr>
        <w:t>كما هو مقتضى القول بثبوت الوضع التعييني الاستقلالي</w:t>
      </w:r>
      <w:r w:rsidR="00603323" w:rsidRPr="00FD211F">
        <w:rPr>
          <w:sz w:val="36"/>
          <w:szCs w:val="36"/>
          <w:rtl/>
        </w:rPr>
        <w:t xml:space="preserve">، </w:t>
      </w:r>
      <w:r w:rsidRPr="00FD211F">
        <w:rPr>
          <w:sz w:val="36"/>
          <w:szCs w:val="36"/>
          <w:rtl/>
        </w:rPr>
        <w:t>تعين الحمل على المعنى الشرعي</w:t>
      </w:r>
      <w:r w:rsidR="00603323" w:rsidRPr="00FD211F">
        <w:rPr>
          <w:sz w:val="36"/>
          <w:szCs w:val="36"/>
          <w:rtl/>
        </w:rPr>
        <w:t xml:space="preserve">، </w:t>
      </w:r>
      <w:r w:rsidRPr="00FD211F">
        <w:rPr>
          <w:sz w:val="36"/>
          <w:szCs w:val="36"/>
          <w:rtl/>
        </w:rPr>
        <w:t>وان ثبتت الحقيق</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بنحو يوجب الاشتراك بين المعنى الشرعي والمعنى السابق</w:t>
      </w:r>
      <w:r w:rsidR="00603323" w:rsidRPr="00FD211F">
        <w:rPr>
          <w:sz w:val="36"/>
          <w:szCs w:val="36"/>
          <w:rtl/>
        </w:rPr>
        <w:t xml:space="preserve">، </w:t>
      </w:r>
      <w:r w:rsidRPr="00FD211F">
        <w:rPr>
          <w:sz w:val="36"/>
          <w:szCs w:val="36"/>
          <w:rtl/>
        </w:rPr>
        <w:t>كما لو كانت حاصل</w:t>
      </w:r>
      <w:r w:rsidR="00EC7EDF" w:rsidRPr="00FD211F">
        <w:rPr>
          <w:sz w:val="36"/>
          <w:szCs w:val="36"/>
          <w:rtl/>
        </w:rPr>
        <w:t xml:space="preserve">ة </w:t>
      </w:r>
      <w:r w:rsidRPr="00FD211F">
        <w:rPr>
          <w:sz w:val="36"/>
          <w:szCs w:val="36"/>
          <w:rtl/>
        </w:rPr>
        <w:t>بمجرد كثر</w:t>
      </w:r>
      <w:r w:rsidR="00EC7EDF" w:rsidRPr="00FD211F">
        <w:rPr>
          <w:sz w:val="36"/>
          <w:szCs w:val="36"/>
          <w:rtl/>
        </w:rPr>
        <w:t xml:space="preserve">ة </w:t>
      </w:r>
      <w:r w:rsidRPr="00FD211F">
        <w:rPr>
          <w:sz w:val="36"/>
          <w:szCs w:val="36"/>
          <w:rtl/>
        </w:rPr>
        <w:t>الاستعمال من دون ان يصير المعنى السابق مهجورا</w:t>
      </w:r>
      <w:r w:rsidR="00603323" w:rsidRPr="00FD211F">
        <w:rPr>
          <w:sz w:val="36"/>
          <w:szCs w:val="36"/>
          <w:rtl/>
        </w:rPr>
        <w:t xml:space="preserve">، </w:t>
      </w:r>
      <w:r w:rsidRPr="00FD211F">
        <w:rPr>
          <w:sz w:val="36"/>
          <w:szCs w:val="36"/>
          <w:rtl/>
        </w:rPr>
        <w:t>فيكون الخطاب مجملا</w:t>
      </w:r>
      <w:r w:rsidR="00603323" w:rsidRPr="00FD211F">
        <w:rPr>
          <w:sz w:val="36"/>
          <w:szCs w:val="36"/>
          <w:rtl/>
        </w:rPr>
        <w:t xml:space="preserve">، </w:t>
      </w:r>
      <w:r w:rsidRPr="00FD211F">
        <w:rPr>
          <w:sz w:val="36"/>
          <w:szCs w:val="36"/>
          <w:rtl/>
        </w:rPr>
        <w:t>وان احتمل كونها مستعمل</w:t>
      </w:r>
      <w:r w:rsidR="00EC7EDF" w:rsidRPr="00FD211F">
        <w:rPr>
          <w:sz w:val="36"/>
          <w:szCs w:val="36"/>
          <w:rtl/>
        </w:rPr>
        <w:t xml:space="preserve">ة </w:t>
      </w:r>
      <w:r w:rsidRPr="00FD211F">
        <w:rPr>
          <w:sz w:val="36"/>
          <w:szCs w:val="36"/>
          <w:rtl/>
        </w:rPr>
        <w:t>في معانيها الشرعي</w:t>
      </w:r>
      <w:r w:rsidR="00EC7EDF" w:rsidRPr="00FD211F">
        <w:rPr>
          <w:sz w:val="36"/>
          <w:szCs w:val="36"/>
          <w:rtl/>
        </w:rPr>
        <w:t xml:space="preserve">ة </w:t>
      </w:r>
      <w:r w:rsidRPr="00FD211F">
        <w:rPr>
          <w:sz w:val="36"/>
          <w:szCs w:val="36"/>
          <w:rtl/>
        </w:rPr>
        <w:t>في لسان الشارع مجازا</w:t>
      </w:r>
      <w:r w:rsidR="00603323" w:rsidRPr="00FD211F">
        <w:rPr>
          <w:sz w:val="36"/>
          <w:szCs w:val="36"/>
          <w:rtl/>
        </w:rPr>
        <w:t xml:space="preserve">، </w:t>
      </w:r>
      <w:r w:rsidRPr="00FD211F">
        <w:rPr>
          <w:sz w:val="36"/>
          <w:szCs w:val="36"/>
          <w:rtl/>
        </w:rPr>
        <w:t>تعين الحمل على المعنى اللغوي في موارد عدم القرين</w:t>
      </w:r>
      <w:r w:rsidR="00EC7EDF" w:rsidRPr="00FD211F">
        <w:rPr>
          <w:sz w:val="36"/>
          <w:szCs w:val="36"/>
          <w:rtl/>
        </w:rPr>
        <w:t xml:space="preserve">ة </w:t>
      </w:r>
      <w:r w:rsidRPr="00FD211F">
        <w:rPr>
          <w:sz w:val="36"/>
          <w:szCs w:val="36"/>
          <w:rtl/>
        </w:rPr>
        <w:t>مالم يصر من المجاز المشهور</w:t>
      </w:r>
      <w:r w:rsidR="00603323" w:rsidRPr="00FD211F">
        <w:rPr>
          <w:sz w:val="36"/>
          <w:szCs w:val="36"/>
          <w:rtl/>
        </w:rPr>
        <w:t xml:space="preserve">، </w:t>
      </w:r>
      <w:r w:rsidRPr="00FD211F">
        <w:rPr>
          <w:sz w:val="36"/>
          <w:szCs w:val="36"/>
          <w:rtl/>
        </w:rPr>
        <w:t>فان وصل الى المجاز المشهور فيكون الخطاب مجملا</w:t>
      </w:r>
      <w:r w:rsidR="00603323" w:rsidRPr="00FD211F">
        <w:rPr>
          <w:sz w:val="36"/>
          <w:szCs w:val="36"/>
          <w:rtl/>
        </w:rPr>
        <w:t xml:space="preserve">، </w:t>
      </w:r>
      <w:r w:rsidRPr="00FD211F">
        <w:rPr>
          <w:sz w:val="36"/>
          <w:szCs w:val="36"/>
          <w:rtl/>
        </w:rPr>
        <w:t>وان علم بالحقيق</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وطرو حال</w:t>
      </w:r>
      <w:r w:rsidR="00EC7EDF" w:rsidRPr="00FD211F">
        <w:rPr>
          <w:sz w:val="36"/>
          <w:szCs w:val="36"/>
          <w:rtl/>
        </w:rPr>
        <w:t xml:space="preserve">ة </w:t>
      </w:r>
      <w:r w:rsidRPr="00FD211F">
        <w:rPr>
          <w:sz w:val="36"/>
          <w:szCs w:val="36"/>
          <w:rtl/>
        </w:rPr>
        <w:t>النقل الى المعنى الشرعي ولكن شك في زمان صدور الكلام من الشارع في انه هل كان قبل النقل كي يجب حمل كلامه على المعنى اللغوي او كان بعد النقل كي يجب حمل كلامه على المعنى الشرعي</w:t>
      </w:r>
      <w:r w:rsidR="00603323" w:rsidRPr="00FD211F">
        <w:rPr>
          <w:sz w:val="36"/>
          <w:szCs w:val="36"/>
          <w:rtl/>
        </w:rPr>
        <w:t xml:space="preserve">، </w:t>
      </w:r>
      <w:r w:rsidRPr="00FD211F">
        <w:rPr>
          <w:sz w:val="36"/>
          <w:szCs w:val="36"/>
          <w:rtl/>
        </w:rPr>
        <w:t>فقد مر انه يبقى الكلام مجملا</w:t>
      </w:r>
      <w:r w:rsidR="00603323" w:rsidRPr="00FD211F">
        <w:rPr>
          <w:sz w:val="36"/>
          <w:szCs w:val="36"/>
          <w:rtl/>
        </w:rPr>
        <w:t xml:space="preserve">، </w:t>
      </w:r>
      <w:r w:rsidRPr="00FD211F">
        <w:rPr>
          <w:sz w:val="36"/>
          <w:szCs w:val="36"/>
          <w:rtl/>
        </w:rPr>
        <w:t>ولايوجد اصل عقلائي او عملي لإحراز تأخر النقل او تأخر الاستعمال</w:t>
      </w:r>
      <w:r w:rsidR="00603323" w:rsidRPr="00FD211F">
        <w:rPr>
          <w:sz w:val="36"/>
          <w:szCs w:val="36"/>
          <w:rtl/>
        </w:rPr>
        <w:t xml:space="preserve">، </w:t>
      </w:r>
      <w:r w:rsidRPr="00FD211F">
        <w:rPr>
          <w:sz w:val="36"/>
          <w:szCs w:val="36"/>
          <w:rtl/>
        </w:rPr>
        <w:t>بل مر ان الاحتمال العقلائي لطرو حال</w:t>
      </w:r>
      <w:r w:rsidR="00EC7EDF" w:rsidRPr="00FD211F">
        <w:rPr>
          <w:sz w:val="36"/>
          <w:szCs w:val="36"/>
          <w:rtl/>
        </w:rPr>
        <w:t xml:space="preserve">ة </w:t>
      </w:r>
      <w:r w:rsidRPr="00FD211F">
        <w:rPr>
          <w:sz w:val="36"/>
          <w:szCs w:val="36"/>
          <w:rtl/>
        </w:rPr>
        <w:t>النقل كاف في عدم امكان حمل كلام الشارع على معناه اللغوي</w:t>
      </w:r>
      <w:r w:rsidR="00603323" w:rsidRPr="00FD211F">
        <w:rPr>
          <w:sz w:val="36"/>
          <w:szCs w:val="36"/>
          <w:rtl/>
        </w:rPr>
        <w:t xml:space="preserve">، </w:t>
      </w:r>
      <w:r w:rsidRPr="00FD211F">
        <w:rPr>
          <w:sz w:val="36"/>
          <w:szCs w:val="36"/>
          <w:rtl/>
        </w:rPr>
        <w:t>فيكون الكلام مجملا.</w:t>
      </w:r>
    </w:p>
    <w:p w14:paraId="35EF811C" w14:textId="77777777" w:rsidR="00057D31" w:rsidRPr="00FD211F" w:rsidRDefault="00057D31" w:rsidP="009C58C8">
      <w:pPr>
        <w:pStyle w:val="3"/>
        <w:ind w:firstLine="227"/>
        <w:jc w:val="both"/>
        <w:rPr>
          <w:rtl/>
        </w:rPr>
        <w:sectPr w:rsidR="00057D31" w:rsidRPr="00FD211F" w:rsidSect="00D24300">
          <w:headerReference w:type="default" r:id="rId27"/>
          <w:footnotePr>
            <w:numRestart w:val="eachPage"/>
          </w:footnotePr>
          <w:pgSz w:w="10319" w:h="14578" w:code="138"/>
          <w:pgMar w:top="1418" w:right="1701" w:bottom="1418" w:left="1701" w:header="1418" w:footer="964" w:gutter="0"/>
          <w:cols w:space="720"/>
          <w:bidi/>
          <w:rtlGutter/>
          <w:docGrid w:linePitch="360"/>
        </w:sectPr>
      </w:pPr>
      <w:bookmarkStart w:id="357" w:name="_Toc192092915"/>
    </w:p>
    <w:p w14:paraId="4038CF89" w14:textId="77777777" w:rsidR="00052BF2" w:rsidRPr="00FD211F" w:rsidRDefault="00052BF2" w:rsidP="009C58C8">
      <w:pPr>
        <w:pStyle w:val="3"/>
        <w:ind w:firstLine="227"/>
        <w:jc w:val="both"/>
        <w:rPr>
          <w:rtl/>
        </w:rPr>
      </w:pPr>
      <w:bookmarkStart w:id="358" w:name="_Toc223890394"/>
      <w:r w:rsidRPr="00FD211F">
        <w:rPr>
          <w:rtl/>
        </w:rPr>
        <w:t>الصحيح والأعم</w:t>
      </w:r>
      <w:bookmarkEnd w:id="357"/>
      <w:bookmarkEnd w:id="358"/>
    </w:p>
    <w:p w14:paraId="5E7E95BB" w14:textId="77777777" w:rsidR="00052BF2" w:rsidRPr="00FD211F" w:rsidRDefault="00052BF2" w:rsidP="009C58C8">
      <w:pPr>
        <w:ind w:left="0" w:firstLine="227"/>
        <w:jc w:val="both"/>
        <w:rPr>
          <w:sz w:val="36"/>
          <w:szCs w:val="36"/>
          <w:rtl/>
        </w:rPr>
      </w:pPr>
      <w:r w:rsidRPr="00FD211F">
        <w:rPr>
          <w:sz w:val="36"/>
          <w:szCs w:val="36"/>
          <w:rtl/>
        </w:rPr>
        <w:t>وقع الكلام بين الأعلام في ان الفاظ العبادا</w:t>
      </w:r>
      <w:r w:rsidR="00F2285E" w:rsidRPr="00FD211F">
        <w:rPr>
          <w:sz w:val="36"/>
          <w:szCs w:val="36"/>
          <w:rtl/>
        </w:rPr>
        <w:t>ت والمعاملات هل تكون أسامي ل</w:t>
      </w:r>
      <w:r w:rsidRPr="00FD211F">
        <w:rPr>
          <w:sz w:val="36"/>
          <w:szCs w:val="36"/>
          <w:rtl/>
        </w:rPr>
        <w:t>لصحيح منهما او تشمل الأعم من الصحيح والفاسد</w:t>
      </w:r>
      <w:r w:rsidR="00603323" w:rsidRPr="00FD211F">
        <w:rPr>
          <w:sz w:val="36"/>
          <w:szCs w:val="36"/>
          <w:rtl/>
        </w:rPr>
        <w:t xml:space="preserve">، </w:t>
      </w:r>
      <w:r w:rsidRPr="00FD211F">
        <w:rPr>
          <w:sz w:val="36"/>
          <w:szCs w:val="36"/>
          <w:rtl/>
        </w:rPr>
        <w:t>فيقع الكلام تار</w:t>
      </w:r>
      <w:r w:rsidR="00EC7EDF" w:rsidRPr="00FD211F">
        <w:rPr>
          <w:sz w:val="36"/>
          <w:szCs w:val="36"/>
          <w:rtl/>
        </w:rPr>
        <w:t xml:space="preserve">ة </w:t>
      </w:r>
      <w:r w:rsidRPr="00FD211F">
        <w:rPr>
          <w:sz w:val="36"/>
          <w:szCs w:val="36"/>
          <w:rtl/>
        </w:rPr>
        <w:t>في أسماء العبادات وأخرى في أسماء المعاملات.</w:t>
      </w:r>
    </w:p>
    <w:p w14:paraId="39431468" w14:textId="77777777" w:rsidR="00052BF2" w:rsidRPr="00FD211F" w:rsidRDefault="00052BF2" w:rsidP="009C58C8">
      <w:pPr>
        <w:pStyle w:val="3"/>
        <w:ind w:firstLine="227"/>
        <w:jc w:val="both"/>
        <w:rPr>
          <w:rtl/>
        </w:rPr>
      </w:pPr>
      <w:bookmarkStart w:id="359" w:name="_Toc192092916"/>
      <w:bookmarkStart w:id="360" w:name="_Toc223890395"/>
      <w:r w:rsidRPr="00FD211F">
        <w:rPr>
          <w:rtl/>
        </w:rPr>
        <w:t>أسماء العبادات</w:t>
      </w:r>
      <w:bookmarkEnd w:id="359"/>
      <w:bookmarkEnd w:id="360"/>
    </w:p>
    <w:p w14:paraId="5D729BB7" w14:textId="77777777" w:rsidR="00052BF2" w:rsidRPr="00FD211F" w:rsidRDefault="00052BF2" w:rsidP="009C58C8">
      <w:pPr>
        <w:ind w:left="0" w:firstLine="227"/>
        <w:jc w:val="both"/>
        <w:rPr>
          <w:sz w:val="36"/>
          <w:szCs w:val="36"/>
          <w:rtl/>
        </w:rPr>
      </w:pPr>
      <w:r w:rsidRPr="00FD211F">
        <w:rPr>
          <w:sz w:val="36"/>
          <w:szCs w:val="36"/>
          <w:rtl/>
        </w:rPr>
        <w:t>ويقع البحث عنها في عد</w:t>
      </w:r>
      <w:r w:rsidR="00EC7EDF" w:rsidRPr="00FD211F">
        <w:rPr>
          <w:sz w:val="36"/>
          <w:szCs w:val="36"/>
          <w:rtl/>
        </w:rPr>
        <w:t xml:space="preserve">ة </w:t>
      </w:r>
      <w:r w:rsidRPr="00FD211F">
        <w:rPr>
          <w:sz w:val="36"/>
          <w:szCs w:val="36"/>
          <w:rtl/>
        </w:rPr>
        <w:t>جهات:</w:t>
      </w:r>
    </w:p>
    <w:p w14:paraId="10CCB5B1" w14:textId="77777777" w:rsidR="00052BF2" w:rsidRPr="00FD211F" w:rsidRDefault="00052BF2" w:rsidP="009C58C8">
      <w:pPr>
        <w:pStyle w:val="3"/>
        <w:ind w:firstLine="227"/>
        <w:jc w:val="both"/>
        <w:rPr>
          <w:rtl/>
        </w:rPr>
      </w:pPr>
      <w:bookmarkStart w:id="361" w:name="_Toc192092917"/>
      <w:bookmarkStart w:id="362" w:name="_Toc223890396"/>
      <w:r w:rsidRPr="00FD211F">
        <w:rPr>
          <w:rtl/>
        </w:rPr>
        <w:t>عدم ابتناء هذا البحث على بحث الحقيق</w:t>
      </w:r>
      <w:r w:rsidR="00EC7EDF" w:rsidRPr="00FD211F">
        <w:rPr>
          <w:rtl/>
        </w:rPr>
        <w:t xml:space="preserve">ة </w:t>
      </w:r>
      <w:r w:rsidRPr="00FD211F">
        <w:rPr>
          <w:rtl/>
        </w:rPr>
        <w:t>الشرعي</w:t>
      </w:r>
      <w:r w:rsidR="00EC7EDF" w:rsidRPr="00FD211F">
        <w:rPr>
          <w:rtl/>
        </w:rPr>
        <w:t>ة</w:t>
      </w:r>
      <w:bookmarkEnd w:id="362"/>
      <w:r w:rsidR="00EC7EDF" w:rsidRPr="00FD211F">
        <w:rPr>
          <w:rtl/>
        </w:rPr>
        <w:t xml:space="preserve"> </w:t>
      </w:r>
      <w:bookmarkEnd w:id="361"/>
    </w:p>
    <w:p w14:paraId="18630498" w14:textId="77777777" w:rsidR="00052BF2" w:rsidRPr="00FD211F" w:rsidRDefault="00052BF2" w:rsidP="009C58C8">
      <w:pPr>
        <w:ind w:left="0" w:firstLine="227"/>
        <w:jc w:val="both"/>
        <w:rPr>
          <w:sz w:val="36"/>
          <w:szCs w:val="36"/>
          <w:rtl/>
        </w:rPr>
      </w:pPr>
      <w:r w:rsidRPr="00FD211F">
        <w:rPr>
          <w:b/>
          <w:bCs/>
          <w:sz w:val="36"/>
          <w:szCs w:val="36"/>
          <w:rtl/>
        </w:rPr>
        <w:t>الجه</w:t>
      </w:r>
      <w:r w:rsidR="00EC7EDF" w:rsidRPr="00FD211F">
        <w:rPr>
          <w:b/>
          <w:bCs/>
          <w:sz w:val="36"/>
          <w:szCs w:val="36"/>
          <w:rtl/>
        </w:rPr>
        <w:t xml:space="preserve">ة </w:t>
      </w:r>
      <w:r w:rsidRPr="00FD211F">
        <w:rPr>
          <w:b/>
          <w:bCs/>
          <w:sz w:val="36"/>
          <w:szCs w:val="36"/>
          <w:rtl/>
        </w:rPr>
        <w:t>الأولى</w:t>
      </w:r>
      <w:r w:rsidRPr="00FD211F">
        <w:rPr>
          <w:sz w:val="36"/>
          <w:szCs w:val="36"/>
          <w:rtl/>
        </w:rPr>
        <w:t>: لااشكال في جريان النزاع</w:t>
      </w:r>
      <w:r w:rsidR="00F2285E" w:rsidRPr="00FD211F">
        <w:rPr>
          <w:sz w:val="36"/>
          <w:szCs w:val="36"/>
          <w:rtl/>
        </w:rPr>
        <w:t xml:space="preserve"> في وضع اسماء العبادات للصحيح او للاعم</w:t>
      </w:r>
      <w:r w:rsidR="00B253CE" w:rsidRPr="00FD211F">
        <w:rPr>
          <w:sz w:val="36"/>
          <w:szCs w:val="36"/>
          <w:rtl/>
        </w:rPr>
        <w:t xml:space="preserve"> </w:t>
      </w:r>
      <w:r w:rsidRPr="00FD211F">
        <w:rPr>
          <w:sz w:val="36"/>
          <w:szCs w:val="36"/>
          <w:rtl/>
        </w:rPr>
        <w:t>على القول بثبوت الحقيق</w:t>
      </w:r>
      <w:r w:rsidR="00EC7EDF" w:rsidRPr="00FD211F">
        <w:rPr>
          <w:sz w:val="36"/>
          <w:szCs w:val="36"/>
          <w:rtl/>
        </w:rPr>
        <w:t xml:space="preserve">ة </w:t>
      </w:r>
      <w:r w:rsidRPr="00FD211F">
        <w:rPr>
          <w:sz w:val="36"/>
          <w:szCs w:val="36"/>
          <w:rtl/>
        </w:rPr>
        <w:t>الشرعي</w:t>
      </w:r>
      <w:r w:rsidR="00EC7EDF" w:rsidRPr="00FD211F">
        <w:rPr>
          <w:sz w:val="36"/>
          <w:szCs w:val="36"/>
          <w:rtl/>
        </w:rPr>
        <w:t>ة</w:t>
      </w:r>
      <w:r w:rsidR="00603323" w:rsidRPr="00FD211F">
        <w:rPr>
          <w:sz w:val="36"/>
          <w:szCs w:val="36"/>
          <w:rtl/>
        </w:rPr>
        <w:t xml:space="preserve">، </w:t>
      </w:r>
      <w:r w:rsidRPr="00FD211F">
        <w:rPr>
          <w:sz w:val="36"/>
          <w:szCs w:val="36"/>
          <w:rtl/>
        </w:rPr>
        <w:t>حيث يبحث عن ان اسماء العبادات التي وضعها الشارع لمعانيها الشرعي</w:t>
      </w:r>
      <w:r w:rsidR="00EC7EDF" w:rsidRPr="00FD211F">
        <w:rPr>
          <w:sz w:val="36"/>
          <w:szCs w:val="36"/>
          <w:rtl/>
        </w:rPr>
        <w:t xml:space="preserve">ة </w:t>
      </w:r>
      <w:r w:rsidRPr="00FD211F">
        <w:rPr>
          <w:sz w:val="36"/>
          <w:szCs w:val="36"/>
          <w:rtl/>
        </w:rPr>
        <w:t>هل وضعها لخصوص الصحيح منها او للأعم</w:t>
      </w:r>
      <w:r w:rsidR="00603323" w:rsidRPr="00FD211F">
        <w:rPr>
          <w:sz w:val="36"/>
          <w:szCs w:val="36"/>
          <w:rtl/>
        </w:rPr>
        <w:t xml:space="preserve">، </w:t>
      </w:r>
      <w:r w:rsidRPr="00FD211F">
        <w:rPr>
          <w:sz w:val="36"/>
          <w:szCs w:val="36"/>
          <w:rtl/>
        </w:rPr>
        <w:t>كما لااشكال في جريان النزاع بناء على مسلك صاحب الكفاي</w:t>
      </w:r>
      <w:r w:rsidR="00EC7EDF" w:rsidRPr="00FD211F">
        <w:rPr>
          <w:sz w:val="36"/>
          <w:szCs w:val="36"/>
          <w:rtl/>
        </w:rPr>
        <w:t xml:space="preserve">ة </w:t>
      </w:r>
      <w:r w:rsidR="00F2285E" w:rsidRPr="00FD211F">
        <w:rPr>
          <w:sz w:val="36"/>
          <w:szCs w:val="36"/>
          <w:rtl/>
        </w:rPr>
        <w:t>"</w:t>
      </w:r>
      <w:r w:rsidRPr="00FD211F">
        <w:rPr>
          <w:sz w:val="36"/>
          <w:szCs w:val="36"/>
          <w:rtl/>
        </w:rPr>
        <w:t>قده</w:t>
      </w:r>
      <w:r w:rsidR="00F2285E" w:rsidRPr="00FD211F">
        <w:rPr>
          <w:sz w:val="36"/>
          <w:szCs w:val="36"/>
          <w:rtl/>
        </w:rPr>
        <w:t>"</w:t>
      </w:r>
      <w:r w:rsidRPr="00FD211F">
        <w:rPr>
          <w:sz w:val="36"/>
          <w:szCs w:val="36"/>
          <w:rtl/>
        </w:rPr>
        <w:t xml:space="preserve"> من كونها حقائق عرفي</w:t>
      </w:r>
      <w:r w:rsidR="00EC7EDF" w:rsidRPr="00FD211F">
        <w:rPr>
          <w:sz w:val="36"/>
          <w:szCs w:val="36"/>
          <w:rtl/>
        </w:rPr>
        <w:t xml:space="preserve">ة </w:t>
      </w:r>
      <w:r w:rsidRPr="00FD211F">
        <w:rPr>
          <w:sz w:val="36"/>
          <w:szCs w:val="36"/>
          <w:rtl/>
        </w:rPr>
        <w:t>في م</w:t>
      </w:r>
      <w:r w:rsidR="00F2285E" w:rsidRPr="00FD211F">
        <w:rPr>
          <w:sz w:val="36"/>
          <w:szCs w:val="36"/>
          <w:rtl/>
        </w:rPr>
        <w:t>عانيها الشرعي</w:t>
      </w:r>
      <w:r w:rsidR="00EC7EDF" w:rsidRPr="00FD211F">
        <w:rPr>
          <w:sz w:val="36"/>
          <w:szCs w:val="36"/>
          <w:rtl/>
        </w:rPr>
        <w:t xml:space="preserve">ة </w:t>
      </w:r>
      <w:r w:rsidR="00F2285E" w:rsidRPr="00FD211F">
        <w:rPr>
          <w:sz w:val="36"/>
          <w:szCs w:val="36"/>
          <w:rtl/>
        </w:rPr>
        <w:t xml:space="preserve">حيث ادعى </w:t>
      </w:r>
      <w:r w:rsidRPr="00FD211F">
        <w:rPr>
          <w:sz w:val="36"/>
          <w:szCs w:val="36"/>
          <w:rtl/>
        </w:rPr>
        <w:t>ثبوت تلك المعاني في الشرائع السابق</w:t>
      </w:r>
      <w:r w:rsidR="00EC7EDF" w:rsidRPr="00FD211F">
        <w:rPr>
          <w:sz w:val="36"/>
          <w:szCs w:val="36"/>
          <w:rtl/>
        </w:rPr>
        <w:t xml:space="preserve">ة </w:t>
      </w:r>
      <w:r w:rsidRPr="00FD211F">
        <w:rPr>
          <w:sz w:val="36"/>
          <w:szCs w:val="36"/>
          <w:rtl/>
        </w:rPr>
        <w:t>وعدم كونها من مخترعات الاسلام.</w:t>
      </w:r>
    </w:p>
    <w:p w14:paraId="29B40506" w14:textId="77777777" w:rsidR="00052BF2" w:rsidRPr="00FD211F" w:rsidRDefault="00052BF2" w:rsidP="009C58C8">
      <w:pPr>
        <w:ind w:left="0" w:firstLine="227"/>
        <w:jc w:val="both"/>
        <w:rPr>
          <w:sz w:val="36"/>
          <w:szCs w:val="36"/>
          <w:rtl/>
        </w:rPr>
      </w:pPr>
      <w:r w:rsidRPr="00FD211F">
        <w:rPr>
          <w:sz w:val="36"/>
          <w:szCs w:val="36"/>
          <w:rtl/>
        </w:rPr>
        <w:t xml:space="preserve">وانما الاشكال في جريان النزاع </w:t>
      </w:r>
      <w:r w:rsidR="00F2285E" w:rsidRPr="00FD211F">
        <w:rPr>
          <w:sz w:val="36"/>
          <w:szCs w:val="36"/>
          <w:rtl/>
        </w:rPr>
        <w:t xml:space="preserve">بين الصحيح والاعم </w:t>
      </w:r>
      <w:r w:rsidR="000A6008" w:rsidRPr="00FD211F">
        <w:rPr>
          <w:sz w:val="36"/>
          <w:szCs w:val="36"/>
          <w:rtl/>
        </w:rPr>
        <w:t xml:space="preserve">بناء على </w:t>
      </w:r>
      <w:r w:rsidRPr="00FD211F">
        <w:rPr>
          <w:sz w:val="36"/>
          <w:szCs w:val="36"/>
          <w:rtl/>
        </w:rPr>
        <w:t>كون استعمال الشارع ل</w:t>
      </w:r>
      <w:r w:rsidR="000A6008" w:rsidRPr="00FD211F">
        <w:rPr>
          <w:sz w:val="36"/>
          <w:szCs w:val="36"/>
          <w:rtl/>
        </w:rPr>
        <w:t xml:space="preserve">اسماء العبادات </w:t>
      </w:r>
      <w:r w:rsidRPr="00FD211F">
        <w:rPr>
          <w:sz w:val="36"/>
          <w:szCs w:val="36"/>
          <w:rtl/>
        </w:rPr>
        <w:t>في المعاني الشرعي</w:t>
      </w:r>
      <w:r w:rsidR="00EC7EDF" w:rsidRPr="00FD211F">
        <w:rPr>
          <w:sz w:val="36"/>
          <w:szCs w:val="36"/>
          <w:rtl/>
        </w:rPr>
        <w:t xml:space="preserve">ة </w:t>
      </w:r>
      <w:r w:rsidRPr="00FD211F">
        <w:rPr>
          <w:sz w:val="36"/>
          <w:szCs w:val="36"/>
          <w:rtl/>
        </w:rPr>
        <w:t>بنحو المجاز</w:t>
      </w:r>
      <w:r w:rsidR="0092344A" w:rsidRPr="00FD211F">
        <w:rPr>
          <w:sz w:val="36"/>
          <w:szCs w:val="36"/>
          <w:rtl/>
        </w:rPr>
        <w:t>.</w:t>
      </w:r>
    </w:p>
    <w:p w14:paraId="7A318DCB" w14:textId="77777777" w:rsidR="00052BF2" w:rsidRPr="00FD211F" w:rsidRDefault="0092344A" w:rsidP="007D43A0">
      <w:pPr>
        <w:ind w:left="0" w:firstLine="227"/>
        <w:jc w:val="both"/>
        <w:rPr>
          <w:sz w:val="36"/>
          <w:szCs w:val="36"/>
          <w:rtl/>
        </w:rPr>
      </w:pPr>
      <w:r w:rsidRPr="00FD211F">
        <w:rPr>
          <w:sz w:val="36"/>
          <w:szCs w:val="36"/>
          <w:rtl/>
        </w:rPr>
        <w:t>فقد</w:t>
      </w:r>
      <w:r w:rsidR="00052BF2" w:rsidRPr="00FD211F">
        <w:rPr>
          <w:sz w:val="36"/>
          <w:szCs w:val="36"/>
          <w:rtl/>
        </w:rPr>
        <w:t xml:space="preserve"> </w:t>
      </w:r>
      <w:r w:rsidRPr="00FD211F">
        <w:rPr>
          <w:sz w:val="36"/>
          <w:szCs w:val="36"/>
          <w:rtl/>
        </w:rPr>
        <w:t>ذكر</w:t>
      </w:r>
      <w:r w:rsidR="00052BF2" w:rsidRPr="00FD211F">
        <w:rPr>
          <w:sz w:val="36"/>
          <w:szCs w:val="36"/>
          <w:rtl/>
        </w:rPr>
        <w:t xml:space="preserve"> صاحب الكفاي</w:t>
      </w:r>
      <w:r w:rsidR="00EC7EDF" w:rsidRPr="00FD211F">
        <w:rPr>
          <w:sz w:val="36"/>
          <w:szCs w:val="36"/>
          <w:rtl/>
        </w:rPr>
        <w:t xml:space="preserve">ة </w:t>
      </w:r>
      <w:r w:rsidR="000A6008" w:rsidRPr="00FD211F">
        <w:rPr>
          <w:sz w:val="36"/>
          <w:szCs w:val="36"/>
          <w:rtl/>
        </w:rPr>
        <w:t>"قده"</w:t>
      </w:r>
      <w:r w:rsidR="00052BF2" w:rsidRPr="00FD211F">
        <w:rPr>
          <w:sz w:val="36"/>
          <w:szCs w:val="36"/>
          <w:rtl/>
        </w:rPr>
        <w:t xml:space="preserve"> ان غاي</w:t>
      </w:r>
      <w:r w:rsidR="00EC7EDF" w:rsidRPr="00FD211F">
        <w:rPr>
          <w:sz w:val="36"/>
          <w:szCs w:val="36"/>
          <w:rtl/>
        </w:rPr>
        <w:t xml:space="preserve">ة </w:t>
      </w:r>
      <w:r w:rsidR="00052BF2" w:rsidRPr="00FD211F">
        <w:rPr>
          <w:sz w:val="36"/>
          <w:szCs w:val="36"/>
          <w:rtl/>
        </w:rPr>
        <w:t>ما يمكن ان يقال في تصوير النزاع على القول بعدم ثبوت الحقيق</w:t>
      </w:r>
      <w:r w:rsidR="00EC7EDF" w:rsidRPr="00FD211F">
        <w:rPr>
          <w:sz w:val="36"/>
          <w:szCs w:val="36"/>
          <w:rtl/>
        </w:rPr>
        <w:t xml:space="preserve">ة </w:t>
      </w:r>
      <w:r w:rsidR="00052BF2" w:rsidRPr="00FD211F">
        <w:rPr>
          <w:sz w:val="36"/>
          <w:szCs w:val="36"/>
          <w:rtl/>
        </w:rPr>
        <w:t>الشرعي</w:t>
      </w:r>
      <w:r w:rsidR="00EC7EDF" w:rsidRPr="00FD211F">
        <w:rPr>
          <w:sz w:val="36"/>
          <w:szCs w:val="36"/>
          <w:rtl/>
        </w:rPr>
        <w:t xml:space="preserve">ة </w:t>
      </w:r>
      <w:r w:rsidR="00052BF2" w:rsidRPr="00FD211F">
        <w:rPr>
          <w:sz w:val="36"/>
          <w:szCs w:val="36"/>
          <w:rtl/>
        </w:rPr>
        <w:t>هو ان النزاع وقع في ان الاصل في هذه الالفاظ المستعمل</w:t>
      </w:r>
      <w:r w:rsidR="00EC7EDF" w:rsidRPr="00FD211F">
        <w:rPr>
          <w:sz w:val="36"/>
          <w:szCs w:val="36"/>
          <w:rtl/>
        </w:rPr>
        <w:t xml:space="preserve">ة </w:t>
      </w:r>
      <w:r w:rsidR="00052BF2" w:rsidRPr="00FD211F">
        <w:rPr>
          <w:sz w:val="36"/>
          <w:szCs w:val="36"/>
          <w:rtl/>
        </w:rPr>
        <w:t xml:space="preserve">مجازا في كلام الشارع </w:t>
      </w:r>
      <w:r w:rsidR="000A6008" w:rsidRPr="00FD211F">
        <w:rPr>
          <w:sz w:val="36"/>
          <w:szCs w:val="36"/>
          <w:rtl/>
        </w:rPr>
        <w:t>في معانيها الشرعي</w:t>
      </w:r>
      <w:r w:rsidR="00EC7EDF" w:rsidRPr="00FD211F">
        <w:rPr>
          <w:sz w:val="36"/>
          <w:szCs w:val="36"/>
          <w:rtl/>
        </w:rPr>
        <w:t xml:space="preserve">ة </w:t>
      </w:r>
      <w:r w:rsidR="00052BF2" w:rsidRPr="00FD211F">
        <w:rPr>
          <w:sz w:val="36"/>
          <w:szCs w:val="36"/>
          <w:rtl/>
        </w:rPr>
        <w:t>هل هو استعمالها في خصوص الصحيح او استعمالها في الاعم</w:t>
      </w:r>
      <w:r w:rsidR="00603323" w:rsidRPr="00FD211F">
        <w:rPr>
          <w:sz w:val="36"/>
          <w:szCs w:val="36"/>
          <w:rtl/>
        </w:rPr>
        <w:t xml:space="preserve">، </w:t>
      </w:r>
      <w:r w:rsidR="00052BF2" w:rsidRPr="00FD211F">
        <w:rPr>
          <w:sz w:val="36"/>
          <w:szCs w:val="36"/>
          <w:rtl/>
        </w:rPr>
        <w:t>بمعنى ان</w:t>
      </w:r>
      <w:r w:rsidR="000A6008" w:rsidRPr="00FD211F">
        <w:rPr>
          <w:sz w:val="36"/>
          <w:szCs w:val="36"/>
          <w:rtl/>
        </w:rPr>
        <w:t>ه هل</w:t>
      </w:r>
      <w:r w:rsidR="00B253CE" w:rsidRPr="00FD211F">
        <w:rPr>
          <w:sz w:val="36"/>
          <w:szCs w:val="36"/>
          <w:rtl/>
        </w:rPr>
        <w:t xml:space="preserve"> </w:t>
      </w:r>
      <w:r w:rsidR="000A6008" w:rsidRPr="00FD211F">
        <w:rPr>
          <w:sz w:val="36"/>
          <w:szCs w:val="36"/>
          <w:rtl/>
        </w:rPr>
        <w:t>لوحظ</w:t>
      </w:r>
      <w:r w:rsidR="00E60472" w:rsidRPr="00FD211F">
        <w:rPr>
          <w:sz w:val="36"/>
          <w:szCs w:val="36"/>
          <w:rtl/>
        </w:rPr>
        <w:t>ت</w:t>
      </w:r>
      <w:r w:rsidR="000A6008" w:rsidRPr="00FD211F">
        <w:rPr>
          <w:sz w:val="36"/>
          <w:szCs w:val="36"/>
          <w:rtl/>
        </w:rPr>
        <w:t xml:space="preserve"> العلاق</w:t>
      </w:r>
      <w:r w:rsidR="00EC7EDF" w:rsidRPr="00FD211F">
        <w:rPr>
          <w:sz w:val="36"/>
          <w:szCs w:val="36"/>
          <w:rtl/>
        </w:rPr>
        <w:t xml:space="preserve">ة </w:t>
      </w:r>
      <w:r w:rsidR="000A6008" w:rsidRPr="00FD211F">
        <w:rPr>
          <w:sz w:val="36"/>
          <w:szCs w:val="36"/>
          <w:rtl/>
        </w:rPr>
        <w:t>بين المعنى الشرعي الصحيح</w:t>
      </w:r>
      <w:r w:rsidR="00B253CE" w:rsidRPr="00FD211F">
        <w:rPr>
          <w:sz w:val="36"/>
          <w:szCs w:val="36"/>
          <w:rtl/>
        </w:rPr>
        <w:t xml:space="preserve"> </w:t>
      </w:r>
      <w:r w:rsidR="00052BF2" w:rsidRPr="00FD211F">
        <w:rPr>
          <w:sz w:val="36"/>
          <w:szCs w:val="36"/>
          <w:rtl/>
        </w:rPr>
        <w:t>وبين المعنى اللغوي ابتداء ثم استعمل</w:t>
      </w:r>
      <w:r w:rsidR="000A6008" w:rsidRPr="00FD211F">
        <w:rPr>
          <w:sz w:val="36"/>
          <w:szCs w:val="36"/>
          <w:rtl/>
        </w:rPr>
        <w:t>ت تلك الالفاظ</w:t>
      </w:r>
      <w:r w:rsidR="00B253CE" w:rsidRPr="00FD211F">
        <w:rPr>
          <w:sz w:val="36"/>
          <w:szCs w:val="36"/>
          <w:rtl/>
        </w:rPr>
        <w:t xml:space="preserve"> </w:t>
      </w:r>
      <w:r w:rsidR="00052BF2" w:rsidRPr="00FD211F">
        <w:rPr>
          <w:sz w:val="36"/>
          <w:szCs w:val="36"/>
          <w:rtl/>
        </w:rPr>
        <w:t>في المعنى ال</w:t>
      </w:r>
      <w:r w:rsidR="000A6008" w:rsidRPr="00FD211F">
        <w:rPr>
          <w:sz w:val="36"/>
          <w:szCs w:val="36"/>
          <w:rtl/>
        </w:rPr>
        <w:t>شرعي الاعم من الصحيح والفاسد بتبعه ومناسبته</w:t>
      </w:r>
      <w:r w:rsidR="00603323" w:rsidRPr="00FD211F">
        <w:rPr>
          <w:sz w:val="36"/>
          <w:szCs w:val="36"/>
          <w:rtl/>
        </w:rPr>
        <w:t xml:space="preserve">، </w:t>
      </w:r>
      <w:r w:rsidR="000A6008" w:rsidRPr="00FD211F">
        <w:rPr>
          <w:sz w:val="36"/>
          <w:szCs w:val="36"/>
          <w:rtl/>
        </w:rPr>
        <w:t>كي ينزَّل كلام الشارع</w:t>
      </w:r>
      <w:r w:rsidR="00B253CE" w:rsidRPr="00FD211F">
        <w:rPr>
          <w:sz w:val="36"/>
          <w:szCs w:val="36"/>
          <w:rtl/>
        </w:rPr>
        <w:t xml:space="preserve"> </w:t>
      </w:r>
      <w:r w:rsidR="000A6008" w:rsidRPr="00FD211F">
        <w:rPr>
          <w:sz w:val="36"/>
          <w:szCs w:val="36"/>
          <w:rtl/>
        </w:rPr>
        <w:t>على ال</w:t>
      </w:r>
      <w:r w:rsidR="007D43A0" w:rsidRPr="00FD211F">
        <w:rPr>
          <w:sz w:val="36"/>
          <w:szCs w:val="36"/>
          <w:rtl/>
        </w:rPr>
        <w:t>م</w:t>
      </w:r>
      <w:r w:rsidR="000A6008" w:rsidRPr="00FD211F">
        <w:rPr>
          <w:sz w:val="36"/>
          <w:szCs w:val="36"/>
          <w:rtl/>
        </w:rPr>
        <w:t>عنى الشرعي الصحيح في فرض</w:t>
      </w:r>
      <w:r w:rsidR="00052BF2" w:rsidRPr="00FD211F">
        <w:rPr>
          <w:sz w:val="36"/>
          <w:szCs w:val="36"/>
          <w:rtl/>
        </w:rPr>
        <w:t xml:space="preserve"> القرين</w:t>
      </w:r>
      <w:r w:rsidR="00EC7EDF" w:rsidRPr="00FD211F">
        <w:rPr>
          <w:sz w:val="36"/>
          <w:szCs w:val="36"/>
          <w:rtl/>
        </w:rPr>
        <w:t xml:space="preserve">ة </w:t>
      </w:r>
      <w:r w:rsidR="00052BF2" w:rsidRPr="00FD211F">
        <w:rPr>
          <w:sz w:val="36"/>
          <w:szCs w:val="36"/>
          <w:rtl/>
        </w:rPr>
        <w:t>الصارف</w:t>
      </w:r>
      <w:r w:rsidR="00EC7EDF" w:rsidRPr="00FD211F">
        <w:rPr>
          <w:sz w:val="36"/>
          <w:szCs w:val="36"/>
          <w:rtl/>
        </w:rPr>
        <w:t xml:space="preserve">ة </w:t>
      </w:r>
      <w:r w:rsidR="00052BF2" w:rsidRPr="00FD211F">
        <w:rPr>
          <w:sz w:val="36"/>
          <w:szCs w:val="36"/>
          <w:rtl/>
        </w:rPr>
        <w:t>عن المعنى اللغوي وعدم قرين</w:t>
      </w:r>
      <w:r w:rsidR="00EC7EDF" w:rsidRPr="00FD211F">
        <w:rPr>
          <w:sz w:val="36"/>
          <w:szCs w:val="36"/>
          <w:rtl/>
        </w:rPr>
        <w:t xml:space="preserve">ة </w:t>
      </w:r>
      <w:r w:rsidR="00052BF2" w:rsidRPr="00FD211F">
        <w:rPr>
          <w:sz w:val="36"/>
          <w:szCs w:val="36"/>
          <w:rtl/>
        </w:rPr>
        <w:t>على اراد</w:t>
      </w:r>
      <w:r w:rsidR="00EC7EDF" w:rsidRPr="00FD211F">
        <w:rPr>
          <w:sz w:val="36"/>
          <w:szCs w:val="36"/>
          <w:rtl/>
        </w:rPr>
        <w:t xml:space="preserve">ة </w:t>
      </w:r>
      <w:r w:rsidR="00052BF2" w:rsidRPr="00FD211F">
        <w:rPr>
          <w:sz w:val="36"/>
          <w:szCs w:val="36"/>
          <w:rtl/>
        </w:rPr>
        <w:t>المعنى ال</w:t>
      </w:r>
      <w:r w:rsidR="000A6008" w:rsidRPr="00FD211F">
        <w:rPr>
          <w:sz w:val="36"/>
          <w:szCs w:val="36"/>
          <w:rtl/>
        </w:rPr>
        <w:t>شرعي الاعم او انه لوحظت العلاق</w:t>
      </w:r>
      <w:r w:rsidR="00EC7EDF" w:rsidRPr="00FD211F">
        <w:rPr>
          <w:sz w:val="36"/>
          <w:szCs w:val="36"/>
          <w:rtl/>
        </w:rPr>
        <w:t xml:space="preserve">ة </w:t>
      </w:r>
      <w:r w:rsidR="000A6008" w:rsidRPr="00FD211F">
        <w:rPr>
          <w:sz w:val="36"/>
          <w:szCs w:val="36"/>
          <w:rtl/>
        </w:rPr>
        <w:t>بين المعنى اللغوي لتلك الالفاظ</w:t>
      </w:r>
      <w:r w:rsidR="005132FE" w:rsidRPr="00FD211F">
        <w:rPr>
          <w:sz w:val="36"/>
          <w:szCs w:val="36"/>
          <w:rtl/>
        </w:rPr>
        <w:t xml:space="preserve"> </w:t>
      </w:r>
      <w:r w:rsidR="000A6008" w:rsidRPr="00FD211F">
        <w:rPr>
          <w:sz w:val="36"/>
          <w:szCs w:val="36"/>
          <w:rtl/>
        </w:rPr>
        <w:t xml:space="preserve">وبين المعنى الشرعي الاعم </w:t>
      </w:r>
      <w:r w:rsidR="005132FE" w:rsidRPr="00FD211F">
        <w:rPr>
          <w:sz w:val="36"/>
          <w:szCs w:val="36"/>
          <w:rtl/>
        </w:rPr>
        <w:t>ابتداء ثم استعملت في المعنى الشرعي الصحيح بتبعه ومناسبته كي ينزَّل كلام الشارع</w:t>
      </w:r>
      <w:r w:rsidR="00B253CE" w:rsidRPr="00FD211F">
        <w:rPr>
          <w:sz w:val="36"/>
          <w:szCs w:val="36"/>
          <w:rtl/>
        </w:rPr>
        <w:t xml:space="preserve"> </w:t>
      </w:r>
      <w:r w:rsidR="005132FE" w:rsidRPr="00FD211F">
        <w:rPr>
          <w:sz w:val="36"/>
          <w:szCs w:val="36"/>
          <w:rtl/>
        </w:rPr>
        <w:t>على المعنى الشرعي الاعم في فرض القرين</w:t>
      </w:r>
      <w:r w:rsidR="00EC7EDF" w:rsidRPr="00FD211F">
        <w:rPr>
          <w:sz w:val="36"/>
          <w:szCs w:val="36"/>
          <w:rtl/>
        </w:rPr>
        <w:t xml:space="preserve">ة </w:t>
      </w:r>
      <w:r w:rsidR="005132FE" w:rsidRPr="00FD211F">
        <w:rPr>
          <w:sz w:val="36"/>
          <w:szCs w:val="36"/>
          <w:rtl/>
        </w:rPr>
        <w:t>الصارف</w:t>
      </w:r>
      <w:r w:rsidR="00EC7EDF" w:rsidRPr="00FD211F">
        <w:rPr>
          <w:sz w:val="36"/>
          <w:szCs w:val="36"/>
          <w:rtl/>
        </w:rPr>
        <w:t xml:space="preserve">ة </w:t>
      </w:r>
      <w:r w:rsidR="005132FE" w:rsidRPr="00FD211F">
        <w:rPr>
          <w:sz w:val="36"/>
          <w:szCs w:val="36"/>
          <w:rtl/>
        </w:rPr>
        <w:t>عن المعنى اللغوي وعدم قرين</w:t>
      </w:r>
      <w:r w:rsidR="00EC7EDF" w:rsidRPr="00FD211F">
        <w:rPr>
          <w:sz w:val="36"/>
          <w:szCs w:val="36"/>
          <w:rtl/>
        </w:rPr>
        <w:t xml:space="preserve">ة </w:t>
      </w:r>
      <w:r w:rsidR="005132FE" w:rsidRPr="00FD211F">
        <w:rPr>
          <w:sz w:val="36"/>
          <w:szCs w:val="36"/>
          <w:rtl/>
        </w:rPr>
        <w:t>على اراد</w:t>
      </w:r>
      <w:r w:rsidR="00EC7EDF" w:rsidRPr="00FD211F">
        <w:rPr>
          <w:sz w:val="36"/>
          <w:szCs w:val="36"/>
          <w:rtl/>
        </w:rPr>
        <w:t xml:space="preserve">ة </w:t>
      </w:r>
      <w:r w:rsidR="005132FE" w:rsidRPr="00FD211F">
        <w:rPr>
          <w:sz w:val="36"/>
          <w:szCs w:val="36"/>
          <w:rtl/>
        </w:rPr>
        <w:t>المعنى الشرعي</w:t>
      </w:r>
      <w:r w:rsidR="00B253CE" w:rsidRPr="00FD211F">
        <w:rPr>
          <w:sz w:val="36"/>
          <w:szCs w:val="36"/>
          <w:rtl/>
        </w:rPr>
        <w:t xml:space="preserve"> </w:t>
      </w:r>
      <w:r w:rsidR="005132FE" w:rsidRPr="00FD211F">
        <w:rPr>
          <w:sz w:val="36"/>
          <w:szCs w:val="36"/>
          <w:rtl/>
        </w:rPr>
        <w:t>الصحيح</w:t>
      </w:r>
      <w:r w:rsidR="00EC7EDF" w:rsidRPr="00FD211F">
        <w:rPr>
          <w:sz w:val="36"/>
          <w:szCs w:val="36"/>
          <w:rtl/>
        </w:rPr>
        <w:t>.</w:t>
      </w:r>
    </w:p>
    <w:p w14:paraId="5A19A40C" w14:textId="77777777" w:rsidR="00052BF2" w:rsidRPr="00FD211F" w:rsidRDefault="00052BF2" w:rsidP="009C58C8">
      <w:pPr>
        <w:ind w:left="0" w:firstLine="227"/>
        <w:jc w:val="both"/>
        <w:rPr>
          <w:sz w:val="36"/>
          <w:szCs w:val="36"/>
          <w:rtl/>
        </w:rPr>
      </w:pPr>
      <w:r w:rsidRPr="00FD211F">
        <w:rPr>
          <w:sz w:val="36"/>
          <w:szCs w:val="36"/>
          <w:rtl/>
        </w:rPr>
        <w:t xml:space="preserve">ثم اورد عليه </w:t>
      </w:r>
      <w:r w:rsidR="005132FE" w:rsidRPr="00FD211F">
        <w:rPr>
          <w:sz w:val="36"/>
          <w:szCs w:val="36"/>
          <w:rtl/>
        </w:rPr>
        <w:t>صاحب الكفاي</w:t>
      </w:r>
      <w:r w:rsidR="00EC7EDF" w:rsidRPr="00FD211F">
        <w:rPr>
          <w:sz w:val="36"/>
          <w:szCs w:val="36"/>
          <w:rtl/>
        </w:rPr>
        <w:t xml:space="preserve">ة </w:t>
      </w:r>
      <w:r w:rsidR="005132FE" w:rsidRPr="00FD211F">
        <w:rPr>
          <w:sz w:val="36"/>
          <w:szCs w:val="36"/>
          <w:rtl/>
        </w:rPr>
        <w:t>"قده"</w:t>
      </w:r>
      <w:r w:rsidRPr="00FD211F">
        <w:rPr>
          <w:sz w:val="36"/>
          <w:szCs w:val="36"/>
          <w:rtl/>
        </w:rPr>
        <w:t>بانه انما يصح ذل</w:t>
      </w:r>
      <w:r w:rsidR="005132FE" w:rsidRPr="00FD211F">
        <w:rPr>
          <w:sz w:val="36"/>
          <w:szCs w:val="36"/>
          <w:rtl/>
        </w:rPr>
        <w:t xml:space="preserve">ك اذا علم </w:t>
      </w:r>
      <w:r w:rsidRPr="00FD211F">
        <w:rPr>
          <w:sz w:val="36"/>
          <w:szCs w:val="36"/>
          <w:rtl/>
        </w:rPr>
        <w:t>استقرار بناء الشارع في محاوراته -عند نصب قرين</w:t>
      </w:r>
      <w:r w:rsidR="00EC7EDF" w:rsidRPr="00FD211F">
        <w:rPr>
          <w:sz w:val="36"/>
          <w:szCs w:val="36"/>
          <w:rtl/>
        </w:rPr>
        <w:t xml:space="preserve">ة </w:t>
      </w:r>
      <w:r w:rsidRPr="00FD211F">
        <w:rPr>
          <w:sz w:val="36"/>
          <w:szCs w:val="36"/>
          <w:rtl/>
        </w:rPr>
        <w:t>صارف</w:t>
      </w:r>
      <w:r w:rsidR="00EC7EDF" w:rsidRPr="00FD211F">
        <w:rPr>
          <w:sz w:val="36"/>
          <w:szCs w:val="36"/>
          <w:rtl/>
        </w:rPr>
        <w:t xml:space="preserve">ة </w:t>
      </w:r>
      <w:r w:rsidRPr="00FD211F">
        <w:rPr>
          <w:sz w:val="36"/>
          <w:szCs w:val="36"/>
          <w:rtl/>
        </w:rPr>
        <w:t>عن المعنى اللغوي وعدم نصب قرين</w:t>
      </w:r>
      <w:r w:rsidR="00EC7EDF" w:rsidRPr="00FD211F">
        <w:rPr>
          <w:sz w:val="36"/>
          <w:szCs w:val="36"/>
          <w:rtl/>
        </w:rPr>
        <w:t xml:space="preserve">ة </w:t>
      </w:r>
      <w:r w:rsidRPr="00FD211F">
        <w:rPr>
          <w:sz w:val="36"/>
          <w:szCs w:val="36"/>
          <w:rtl/>
        </w:rPr>
        <w:t>أخرى على اراد</w:t>
      </w:r>
      <w:r w:rsidR="00EC7EDF" w:rsidRPr="00FD211F">
        <w:rPr>
          <w:sz w:val="36"/>
          <w:szCs w:val="36"/>
          <w:rtl/>
        </w:rPr>
        <w:t xml:space="preserve">ة </w:t>
      </w:r>
      <w:r w:rsidRPr="00FD211F">
        <w:rPr>
          <w:sz w:val="36"/>
          <w:szCs w:val="36"/>
          <w:rtl/>
        </w:rPr>
        <w:t>معنى معين- على استعمال تلك الالفاظ في خصوص الصحيح مثلا</w:t>
      </w:r>
      <w:r w:rsidR="00603323" w:rsidRPr="00FD211F">
        <w:rPr>
          <w:sz w:val="36"/>
          <w:szCs w:val="36"/>
          <w:rtl/>
        </w:rPr>
        <w:t xml:space="preserve">، </w:t>
      </w:r>
      <w:r w:rsidRPr="00FD211F">
        <w:rPr>
          <w:sz w:val="36"/>
          <w:szCs w:val="36"/>
          <w:rtl/>
        </w:rPr>
        <w:t>بح</w:t>
      </w:r>
      <w:r w:rsidR="005132FE" w:rsidRPr="00FD211F">
        <w:rPr>
          <w:sz w:val="36"/>
          <w:szCs w:val="36"/>
          <w:rtl/>
        </w:rPr>
        <w:t>يث يكون ذلك قرين</w:t>
      </w:r>
      <w:r w:rsidR="00EC7EDF" w:rsidRPr="00FD211F">
        <w:rPr>
          <w:sz w:val="36"/>
          <w:szCs w:val="36"/>
          <w:rtl/>
        </w:rPr>
        <w:t xml:space="preserve">ة </w:t>
      </w:r>
      <w:r w:rsidR="005132FE" w:rsidRPr="00FD211F">
        <w:rPr>
          <w:sz w:val="36"/>
          <w:szCs w:val="36"/>
          <w:rtl/>
        </w:rPr>
        <w:t>عام</w:t>
      </w:r>
      <w:r w:rsidR="00EC7EDF" w:rsidRPr="00FD211F">
        <w:rPr>
          <w:sz w:val="36"/>
          <w:szCs w:val="36"/>
          <w:rtl/>
        </w:rPr>
        <w:t xml:space="preserve">ة </w:t>
      </w:r>
      <w:r w:rsidR="005132FE" w:rsidRPr="00FD211F">
        <w:rPr>
          <w:sz w:val="36"/>
          <w:szCs w:val="36"/>
          <w:rtl/>
        </w:rPr>
        <w:t>على ارادته</w:t>
      </w:r>
      <w:r w:rsidRPr="00FD211F">
        <w:rPr>
          <w:sz w:val="36"/>
          <w:szCs w:val="36"/>
          <w:rtl/>
        </w:rPr>
        <w:t xml:space="preserve"> في محاورات الشارع</w:t>
      </w:r>
      <w:r w:rsidR="00603323" w:rsidRPr="00FD211F">
        <w:rPr>
          <w:sz w:val="36"/>
          <w:szCs w:val="36"/>
          <w:rtl/>
        </w:rPr>
        <w:t xml:space="preserve">، </w:t>
      </w:r>
      <w:r w:rsidRPr="00FD211F">
        <w:rPr>
          <w:sz w:val="36"/>
          <w:szCs w:val="36"/>
          <w:rtl/>
        </w:rPr>
        <w:t>وأنّى يمكن اثبات مثل هذه القرين</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347"/>
      </w:r>
      <w:r w:rsidR="009C58C8" w:rsidRPr="00FD211F">
        <w:rPr>
          <w:rStyle w:val="a6"/>
          <w:sz w:val="36"/>
          <w:szCs w:val="36"/>
          <w:rtl/>
        </w:rPr>
        <w:t>)</w:t>
      </w:r>
      <w:r w:rsidRPr="00FD211F">
        <w:rPr>
          <w:sz w:val="36"/>
          <w:szCs w:val="36"/>
          <w:rtl/>
        </w:rPr>
        <w:t>.</w:t>
      </w:r>
    </w:p>
    <w:p w14:paraId="24B75194" w14:textId="77777777" w:rsidR="003F7100" w:rsidRPr="00FD211F" w:rsidRDefault="005132FE" w:rsidP="009C58C8">
      <w:pPr>
        <w:ind w:left="0" w:firstLine="227"/>
        <w:jc w:val="both"/>
        <w:rPr>
          <w:sz w:val="36"/>
          <w:szCs w:val="36"/>
          <w:rtl/>
        </w:rPr>
      </w:pPr>
      <w:r w:rsidRPr="00FD211F">
        <w:rPr>
          <w:sz w:val="36"/>
          <w:szCs w:val="36"/>
          <w:rtl/>
        </w:rPr>
        <w:t>وقد فهم</w:t>
      </w:r>
      <w:r w:rsidR="00E60472" w:rsidRPr="00FD211F">
        <w:rPr>
          <w:sz w:val="36"/>
          <w:szCs w:val="36"/>
          <w:rtl/>
        </w:rPr>
        <w:t xml:space="preserve"> في البحوث من هذا</w:t>
      </w:r>
      <w:r w:rsidR="007D43A0" w:rsidRPr="00FD211F">
        <w:rPr>
          <w:sz w:val="36"/>
          <w:szCs w:val="36"/>
          <w:rtl/>
        </w:rPr>
        <w:t xml:space="preserve"> </w:t>
      </w:r>
      <w:r w:rsidR="00E60472" w:rsidRPr="00FD211F">
        <w:rPr>
          <w:sz w:val="36"/>
          <w:szCs w:val="36"/>
          <w:rtl/>
        </w:rPr>
        <w:t>الايراد</w:t>
      </w:r>
      <w:r w:rsidRPr="00FD211F">
        <w:rPr>
          <w:sz w:val="36"/>
          <w:szCs w:val="36"/>
          <w:rtl/>
        </w:rPr>
        <w:t xml:space="preserve"> </w:t>
      </w:r>
      <w:r w:rsidR="00E60472" w:rsidRPr="00FD211F">
        <w:rPr>
          <w:sz w:val="36"/>
          <w:szCs w:val="36"/>
          <w:rtl/>
        </w:rPr>
        <w:t>أن صاحب الكفاي</w:t>
      </w:r>
      <w:r w:rsidR="00EC7EDF" w:rsidRPr="00FD211F">
        <w:rPr>
          <w:sz w:val="36"/>
          <w:szCs w:val="36"/>
          <w:rtl/>
        </w:rPr>
        <w:t xml:space="preserve">ة </w:t>
      </w:r>
      <w:r w:rsidRPr="00FD211F">
        <w:rPr>
          <w:sz w:val="36"/>
          <w:szCs w:val="36"/>
          <w:rtl/>
        </w:rPr>
        <w:t>"قده"</w:t>
      </w:r>
      <w:r w:rsidR="00D9639E" w:rsidRPr="00FD211F">
        <w:rPr>
          <w:sz w:val="36"/>
          <w:szCs w:val="36"/>
          <w:rtl/>
        </w:rPr>
        <w:t xml:space="preserve"> </w:t>
      </w:r>
      <w:r w:rsidR="00E60472" w:rsidRPr="00FD211F">
        <w:rPr>
          <w:sz w:val="36"/>
          <w:szCs w:val="36"/>
          <w:rtl/>
        </w:rPr>
        <w:t>بصدد</w:t>
      </w:r>
      <w:r w:rsidR="00052BF2" w:rsidRPr="00FD211F">
        <w:rPr>
          <w:sz w:val="36"/>
          <w:szCs w:val="36"/>
          <w:rtl/>
        </w:rPr>
        <w:t xml:space="preserve"> </w:t>
      </w:r>
      <w:r w:rsidR="00E60472" w:rsidRPr="00FD211F">
        <w:rPr>
          <w:sz w:val="36"/>
          <w:szCs w:val="36"/>
          <w:rtl/>
        </w:rPr>
        <w:t>انكار</w:t>
      </w:r>
      <w:r w:rsidR="00C33AD6" w:rsidRPr="00FD211F">
        <w:rPr>
          <w:sz w:val="36"/>
          <w:szCs w:val="36"/>
          <w:rtl/>
        </w:rPr>
        <w:t xml:space="preserve"> </w:t>
      </w:r>
      <w:r w:rsidR="00052BF2" w:rsidRPr="00FD211F">
        <w:rPr>
          <w:sz w:val="36"/>
          <w:szCs w:val="36"/>
          <w:rtl/>
        </w:rPr>
        <w:t>ال</w:t>
      </w:r>
      <w:r w:rsidR="003F7100" w:rsidRPr="00FD211F">
        <w:rPr>
          <w:sz w:val="36"/>
          <w:szCs w:val="36"/>
          <w:rtl/>
        </w:rPr>
        <w:t>طولي</w:t>
      </w:r>
      <w:r w:rsidR="00EC7EDF" w:rsidRPr="00FD211F">
        <w:rPr>
          <w:sz w:val="36"/>
          <w:szCs w:val="36"/>
          <w:rtl/>
        </w:rPr>
        <w:t xml:space="preserve">ة </w:t>
      </w:r>
      <w:r w:rsidR="003F7100" w:rsidRPr="00FD211F">
        <w:rPr>
          <w:sz w:val="36"/>
          <w:szCs w:val="36"/>
          <w:rtl/>
        </w:rPr>
        <w:t>بين المعاني المجازي</w:t>
      </w:r>
      <w:r w:rsidR="00EC7EDF" w:rsidRPr="00FD211F">
        <w:rPr>
          <w:sz w:val="36"/>
          <w:szCs w:val="36"/>
          <w:rtl/>
        </w:rPr>
        <w:t>ة</w:t>
      </w:r>
      <w:r w:rsidR="00603323" w:rsidRPr="00FD211F">
        <w:rPr>
          <w:sz w:val="36"/>
          <w:szCs w:val="36"/>
          <w:rtl/>
        </w:rPr>
        <w:t xml:space="preserve">، </w:t>
      </w:r>
      <w:r w:rsidR="00D80F1D" w:rsidRPr="00FD211F">
        <w:rPr>
          <w:sz w:val="36"/>
          <w:szCs w:val="36"/>
          <w:rtl/>
        </w:rPr>
        <w:t>(</w:t>
      </w:r>
      <w:r w:rsidRPr="00FD211F">
        <w:rPr>
          <w:sz w:val="36"/>
          <w:szCs w:val="36"/>
          <w:rtl/>
        </w:rPr>
        <w:t>والمراد من الطولي</w:t>
      </w:r>
      <w:r w:rsidR="00EC7EDF" w:rsidRPr="00FD211F">
        <w:rPr>
          <w:sz w:val="36"/>
          <w:szCs w:val="36"/>
          <w:rtl/>
        </w:rPr>
        <w:t xml:space="preserve">ة </w:t>
      </w:r>
      <w:r w:rsidRPr="00FD211F">
        <w:rPr>
          <w:sz w:val="36"/>
          <w:szCs w:val="36"/>
          <w:rtl/>
        </w:rPr>
        <w:t>بين المعاني المجازي</w:t>
      </w:r>
      <w:r w:rsidR="00EC7EDF" w:rsidRPr="00FD211F">
        <w:rPr>
          <w:sz w:val="36"/>
          <w:szCs w:val="36"/>
          <w:rtl/>
        </w:rPr>
        <w:t xml:space="preserve">ة </w:t>
      </w:r>
      <w:r w:rsidRPr="00FD211F">
        <w:rPr>
          <w:sz w:val="36"/>
          <w:szCs w:val="36"/>
          <w:rtl/>
        </w:rPr>
        <w:t>هو</w:t>
      </w:r>
      <w:r w:rsidR="003F7100" w:rsidRPr="00FD211F">
        <w:rPr>
          <w:sz w:val="36"/>
          <w:szCs w:val="36"/>
          <w:rtl/>
        </w:rPr>
        <w:t>أن يكون اللفظ عند</w:t>
      </w:r>
      <w:r w:rsidR="00052BF2" w:rsidRPr="00FD211F">
        <w:rPr>
          <w:sz w:val="36"/>
          <w:szCs w:val="36"/>
          <w:rtl/>
        </w:rPr>
        <w:t xml:space="preserve"> القرين</w:t>
      </w:r>
      <w:r w:rsidR="00EC7EDF" w:rsidRPr="00FD211F">
        <w:rPr>
          <w:sz w:val="36"/>
          <w:szCs w:val="36"/>
          <w:rtl/>
        </w:rPr>
        <w:t xml:space="preserve">ة </w:t>
      </w:r>
      <w:r w:rsidR="00052BF2" w:rsidRPr="00FD211F">
        <w:rPr>
          <w:sz w:val="36"/>
          <w:szCs w:val="36"/>
          <w:rtl/>
        </w:rPr>
        <w:t>الصارف</w:t>
      </w:r>
      <w:r w:rsidR="00EC7EDF" w:rsidRPr="00FD211F">
        <w:rPr>
          <w:sz w:val="36"/>
          <w:szCs w:val="36"/>
          <w:rtl/>
        </w:rPr>
        <w:t xml:space="preserve">ة </w:t>
      </w:r>
      <w:r w:rsidR="00052BF2" w:rsidRPr="00FD211F">
        <w:rPr>
          <w:sz w:val="36"/>
          <w:szCs w:val="36"/>
          <w:rtl/>
        </w:rPr>
        <w:t>عن المعنى الحقيقي ظاهرا في احد المعنيين</w:t>
      </w:r>
      <w:r w:rsidRPr="00FD211F">
        <w:rPr>
          <w:sz w:val="36"/>
          <w:szCs w:val="36"/>
          <w:rtl/>
        </w:rPr>
        <w:t xml:space="preserve"> المجازيين دون الآخر نعم </w:t>
      </w:r>
      <w:r w:rsidR="003F7100" w:rsidRPr="00FD211F">
        <w:rPr>
          <w:sz w:val="36"/>
          <w:szCs w:val="36"/>
          <w:rtl/>
        </w:rPr>
        <w:t>اذا</w:t>
      </w:r>
      <w:r w:rsidR="00052BF2" w:rsidRPr="00FD211F">
        <w:rPr>
          <w:sz w:val="36"/>
          <w:szCs w:val="36"/>
          <w:rtl/>
        </w:rPr>
        <w:t>وجد</w:t>
      </w:r>
      <w:r w:rsidR="003F7100" w:rsidRPr="00FD211F">
        <w:rPr>
          <w:sz w:val="36"/>
          <w:szCs w:val="36"/>
          <w:rtl/>
        </w:rPr>
        <w:t>ت</w:t>
      </w:r>
      <w:r w:rsidR="00052BF2" w:rsidRPr="00FD211F">
        <w:rPr>
          <w:sz w:val="36"/>
          <w:szCs w:val="36"/>
          <w:rtl/>
        </w:rPr>
        <w:t xml:space="preserve"> قرين</w:t>
      </w:r>
      <w:r w:rsidR="00EC7EDF" w:rsidRPr="00FD211F">
        <w:rPr>
          <w:sz w:val="36"/>
          <w:szCs w:val="36"/>
          <w:rtl/>
        </w:rPr>
        <w:t xml:space="preserve">ة </w:t>
      </w:r>
      <w:r w:rsidR="00052BF2" w:rsidRPr="00FD211F">
        <w:rPr>
          <w:sz w:val="36"/>
          <w:szCs w:val="36"/>
          <w:rtl/>
        </w:rPr>
        <w:t>صا</w:t>
      </w:r>
      <w:r w:rsidR="003F7100" w:rsidRPr="00FD211F">
        <w:rPr>
          <w:sz w:val="36"/>
          <w:szCs w:val="36"/>
          <w:rtl/>
        </w:rPr>
        <w:t>رف</w:t>
      </w:r>
      <w:r w:rsidR="00EC7EDF" w:rsidRPr="00FD211F">
        <w:rPr>
          <w:sz w:val="36"/>
          <w:szCs w:val="36"/>
          <w:rtl/>
        </w:rPr>
        <w:t xml:space="preserve">ة </w:t>
      </w:r>
      <w:r w:rsidR="003F7100" w:rsidRPr="00FD211F">
        <w:rPr>
          <w:sz w:val="36"/>
          <w:szCs w:val="36"/>
          <w:rtl/>
        </w:rPr>
        <w:t>عن المعنى المجازي الأول</w:t>
      </w:r>
      <w:r w:rsidR="00B253CE" w:rsidRPr="00FD211F">
        <w:rPr>
          <w:sz w:val="36"/>
          <w:szCs w:val="36"/>
          <w:rtl/>
        </w:rPr>
        <w:t xml:space="preserve"> </w:t>
      </w:r>
      <w:r w:rsidR="00052BF2" w:rsidRPr="00FD211F">
        <w:rPr>
          <w:sz w:val="36"/>
          <w:szCs w:val="36"/>
          <w:rtl/>
        </w:rPr>
        <w:t>فيكون اللفظ</w:t>
      </w:r>
      <w:r w:rsidR="003F7100" w:rsidRPr="00FD211F">
        <w:rPr>
          <w:sz w:val="36"/>
          <w:szCs w:val="36"/>
          <w:rtl/>
        </w:rPr>
        <w:t xml:space="preserve"> ظاهرا</w:t>
      </w:r>
      <w:r w:rsidR="007D43A0" w:rsidRPr="00FD211F">
        <w:rPr>
          <w:sz w:val="36"/>
          <w:szCs w:val="36"/>
          <w:rtl/>
        </w:rPr>
        <w:t xml:space="preserve"> </w:t>
      </w:r>
      <w:r w:rsidR="003F7100" w:rsidRPr="00FD211F">
        <w:rPr>
          <w:sz w:val="36"/>
          <w:szCs w:val="36"/>
          <w:rtl/>
        </w:rPr>
        <w:t>حينئذ في المعنى المجازي الثاني</w:t>
      </w:r>
      <w:r w:rsidR="00D80F1D" w:rsidRPr="00FD211F">
        <w:rPr>
          <w:sz w:val="36"/>
          <w:szCs w:val="36"/>
          <w:rtl/>
        </w:rPr>
        <w:t>).</w:t>
      </w:r>
    </w:p>
    <w:p w14:paraId="27C15FDA" w14:textId="77777777" w:rsidR="000C5BBA" w:rsidRPr="00FD211F" w:rsidRDefault="003F7100" w:rsidP="009C58C8">
      <w:pPr>
        <w:ind w:left="0" w:firstLine="227"/>
        <w:jc w:val="both"/>
        <w:rPr>
          <w:sz w:val="36"/>
          <w:szCs w:val="36"/>
          <w:rtl/>
        </w:rPr>
      </w:pPr>
      <w:r w:rsidRPr="00FD211F">
        <w:rPr>
          <w:sz w:val="36"/>
          <w:szCs w:val="36"/>
          <w:rtl/>
        </w:rPr>
        <w:t>فأورد</w:t>
      </w:r>
      <w:r w:rsidR="007D43A0" w:rsidRPr="00FD211F">
        <w:rPr>
          <w:sz w:val="36"/>
          <w:szCs w:val="36"/>
          <w:rtl/>
        </w:rPr>
        <w:t xml:space="preserve"> </w:t>
      </w:r>
      <w:r w:rsidRPr="00FD211F">
        <w:rPr>
          <w:sz w:val="36"/>
          <w:szCs w:val="36"/>
          <w:rtl/>
        </w:rPr>
        <w:t>عليه بانه لاوجه لانكار</w:t>
      </w:r>
      <w:r w:rsidR="00D9639E" w:rsidRPr="00FD211F">
        <w:rPr>
          <w:sz w:val="36"/>
          <w:szCs w:val="36"/>
          <w:rtl/>
        </w:rPr>
        <w:t xml:space="preserve"> </w:t>
      </w:r>
      <w:r w:rsidRPr="00FD211F">
        <w:rPr>
          <w:sz w:val="36"/>
          <w:szCs w:val="36"/>
          <w:rtl/>
        </w:rPr>
        <w:t>كبرى الطولي</w:t>
      </w:r>
      <w:r w:rsidR="00EC7EDF" w:rsidRPr="00FD211F">
        <w:rPr>
          <w:sz w:val="36"/>
          <w:szCs w:val="36"/>
          <w:rtl/>
        </w:rPr>
        <w:t xml:space="preserve">ة </w:t>
      </w:r>
      <w:r w:rsidRPr="00FD211F">
        <w:rPr>
          <w:sz w:val="36"/>
          <w:szCs w:val="36"/>
          <w:rtl/>
        </w:rPr>
        <w:t>بين المعاني المجازي</w:t>
      </w:r>
      <w:r w:rsidR="00EC7EDF" w:rsidRPr="00FD211F">
        <w:rPr>
          <w:sz w:val="36"/>
          <w:szCs w:val="36"/>
          <w:rtl/>
        </w:rPr>
        <w:t xml:space="preserve">ة </w:t>
      </w:r>
      <w:r w:rsidR="00052BF2" w:rsidRPr="00FD211F">
        <w:rPr>
          <w:sz w:val="36"/>
          <w:szCs w:val="36"/>
          <w:rtl/>
        </w:rPr>
        <w:t>فان الاستعمال المجازي انما يكون على اساس العلاق</w:t>
      </w:r>
      <w:r w:rsidR="00EC7EDF" w:rsidRPr="00FD211F">
        <w:rPr>
          <w:sz w:val="36"/>
          <w:szCs w:val="36"/>
          <w:rtl/>
        </w:rPr>
        <w:t xml:space="preserve">ة </w:t>
      </w:r>
      <w:r w:rsidR="00052BF2" w:rsidRPr="00FD211F">
        <w:rPr>
          <w:sz w:val="36"/>
          <w:szCs w:val="36"/>
          <w:rtl/>
        </w:rPr>
        <w:t>والمناسب</w:t>
      </w:r>
      <w:r w:rsidR="00EC7EDF" w:rsidRPr="00FD211F">
        <w:rPr>
          <w:sz w:val="36"/>
          <w:szCs w:val="36"/>
          <w:rtl/>
        </w:rPr>
        <w:t xml:space="preserve">ة </w:t>
      </w:r>
      <w:r w:rsidR="00052BF2" w:rsidRPr="00FD211F">
        <w:rPr>
          <w:sz w:val="36"/>
          <w:szCs w:val="36"/>
          <w:rtl/>
        </w:rPr>
        <w:t>بين المعنى المجازي والحقيقي</w:t>
      </w:r>
      <w:r w:rsidR="00603323" w:rsidRPr="00FD211F">
        <w:rPr>
          <w:sz w:val="36"/>
          <w:szCs w:val="36"/>
          <w:rtl/>
        </w:rPr>
        <w:t xml:space="preserve">، </w:t>
      </w:r>
      <w:r w:rsidR="00052BF2" w:rsidRPr="00FD211F">
        <w:rPr>
          <w:sz w:val="36"/>
          <w:szCs w:val="36"/>
          <w:rtl/>
        </w:rPr>
        <w:t>فيقتضي ذلك تحقق القرن الأكيد بين اللفظ وبين المعنى المجازي في طول القرن الأكيد بين اللفظ وبين معناه الحقيقي</w:t>
      </w:r>
      <w:r w:rsidR="00603323" w:rsidRPr="00FD211F">
        <w:rPr>
          <w:sz w:val="36"/>
          <w:szCs w:val="36"/>
          <w:rtl/>
        </w:rPr>
        <w:t xml:space="preserve">، </w:t>
      </w:r>
      <w:r w:rsidR="00052BF2" w:rsidRPr="00FD211F">
        <w:rPr>
          <w:sz w:val="36"/>
          <w:szCs w:val="36"/>
          <w:rtl/>
        </w:rPr>
        <w:t>بحيث لو كان اللفظ م</w:t>
      </w:r>
      <w:r w:rsidR="00D80F1D" w:rsidRPr="00FD211F">
        <w:rPr>
          <w:sz w:val="36"/>
          <w:szCs w:val="36"/>
          <w:rtl/>
        </w:rPr>
        <w:t>حفوفا</w:t>
      </w:r>
      <w:r w:rsidR="00052BF2" w:rsidRPr="00FD211F">
        <w:rPr>
          <w:sz w:val="36"/>
          <w:szCs w:val="36"/>
          <w:rtl/>
        </w:rPr>
        <w:t xml:space="preserve"> بالقرين</w:t>
      </w:r>
      <w:r w:rsidR="00EC7EDF" w:rsidRPr="00FD211F">
        <w:rPr>
          <w:sz w:val="36"/>
          <w:szCs w:val="36"/>
          <w:rtl/>
        </w:rPr>
        <w:t xml:space="preserve">ة </w:t>
      </w:r>
      <w:r w:rsidR="00052BF2" w:rsidRPr="00FD211F">
        <w:rPr>
          <w:sz w:val="36"/>
          <w:szCs w:val="36"/>
          <w:rtl/>
        </w:rPr>
        <w:t>الصارف</w:t>
      </w:r>
      <w:r w:rsidR="00EC7EDF" w:rsidRPr="00FD211F">
        <w:rPr>
          <w:sz w:val="36"/>
          <w:szCs w:val="36"/>
          <w:rtl/>
        </w:rPr>
        <w:t xml:space="preserve">ة </w:t>
      </w:r>
      <w:r w:rsidR="00052BF2" w:rsidRPr="00FD211F">
        <w:rPr>
          <w:sz w:val="36"/>
          <w:szCs w:val="36"/>
          <w:rtl/>
        </w:rPr>
        <w:t>عن المعنى الحقيقي لكان سماعه سببا ل</w:t>
      </w:r>
      <w:r w:rsidR="00D80F1D" w:rsidRPr="00FD211F">
        <w:rPr>
          <w:sz w:val="36"/>
          <w:szCs w:val="36"/>
          <w:rtl/>
        </w:rPr>
        <w:t>انتقال الذهن الى المعنى المجازي.</w:t>
      </w:r>
    </w:p>
    <w:p w14:paraId="4086F3CE" w14:textId="77777777" w:rsidR="00D80F1D" w:rsidRPr="00FD211F" w:rsidRDefault="00052BF2" w:rsidP="009C58C8">
      <w:pPr>
        <w:ind w:left="0" w:firstLine="227"/>
        <w:jc w:val="both"/>
        <w:rPr>
          <w:sz w:val="36"/>
          <w:szCs w:val="36"/>
          <w:rtl/>
        </w:rPr>
      </w:pPr>
      <w:r w:rsidRPr="00FD211F">
        <w:rPr>
          <w:sz w:val="36"/>
          <w:szCs w:val="36"/>
          <w:rtl/>
        </w:rPr>
        <w:t>مثال ذلك انه حي</w:t>
      </w:r>
      <w:r w:rsidR="00D80F1D" w:rsidRPr="00FD211F">
        <w:rPr>
          <w:sz w:val="36"/>
          <w:szCs w:val="36"/>
          <w:rtl/>
        </w:rPr>
        <w:t>نما</w:t>
      </w:r>
      <w:r w:rsidRPr="00FD211F">
        <w:rPr>
          <w:sz w:val="36"/>
          <w:szCs w:val="36"/>
          <w:rtl/>
        </w:rPr>
        <w:t xml:space="preserve"> توجد علق</w:t>
      </w:r>
      <w:r w:rsidR="00EC7EDF" w:rsidRPr="00FD211F">
        <w:rPr>
          <w:sz w:val="36"/>
          <w:szCs w:val="36"/>
          <w:rtl/>
        </w:rPr>
        <w:t xml:space="preserve">ة </w:t>
      </w:r>
      <w:r w:rsidRPr="00FD211F">
        <w:rPr>
          <w:sz w:val="36"/>
          <w:szCs w:val="36"/>
          <w:rtl/>
        </w:rPr>
        <w:t>وضعي</w:t>
      </w:r>
      <w:r w:rsidR="00EC7EDF" w:rsidRPr="00FD211F">
        <w:rPr>
          <w:sz w:val="36"/>
          <w:szCs w:val="36"/>
          <w:rtl/>
        </w:rPr>
        <w:t xml:space="preserve">ة </w:t>
      </w:r>
      <w:r w:rsidRPr="00FD211F">
        <w:rPr>
          <w:sz w:val="36"/>
          <w:szCs w:val="36"/>
          <w:rtl/>
        </w:rPr>
        <w:t>بين لفظ الاسد وبين معنى الحيوان المفترس فيعني ذلك تحقق الاقتران الاكيد بينهما</w:t>
      </w:r>
      <w:r w:rsidR="00603323" w:rsidRPr="00FD211F">
        <w:rPr>
          <w:sz w:val="36"/>
          <w:szCs w:val="36"/>
          <w:rtl/>
        </w:rPr>
        <w:t xml:space="preserve">، </w:t>
      </w:r>
      <w:r w:rsidRPr="00FD211F">
        <w:rPr>
          <w:sz w:val="36"/>
          <w:szCs w:val="36"/>
          <w:rtl/>
        </w:rPr>
        <w:t>بحيث يوجب سماع هذا اللفظ الانتقال الى ذاك المعنى</w:t>
      </w:r>
      <w:r w:rsidR="00603323" w:rsidRPr="00FD211F">
        <w:rPr>
          <w:sz w:val="36"/>
          <w:szCs w:val="36"/>
          <w:rtl/>
        </w:rPr>
        <w:t xml:space="preserve">، </w:t>
      </w:r>
      <w:r w:rsidRPr="00FD211F">
        <w:rPr>
          <w:sz w:val="36"/>
          <w:szCs w:val="36"/>
          <w:rtl/>
        </w:rPr>
        <w:t xml:space="preserve">وحيث يوجد اقتران </w:t>
      </w:r>
      <w:r w:rsidR="00D80F1D" w:rsidRPr="00FD211F">
        <w:rPr>
          <w:sz w:val="36"/>
          <w:szCs w:val="36"/>
          <w:rtl/>
        </w:rPr>
        <w:t>آخر</w:t>
      </w:r>
      <w:r w:rsidR="00D9639E" w:rsidRPr="00FD211F">
        <w:rPr>
          <w:sz w:val="36"/>
          <w:szCs w:val="36"/>
          <w:rtl/>
        </w:rPr>
        <w:t xml:space="preserve"> </w:t>
      </w:r>
      <w:r w:rsidR="00D80F1D" w:rsidRPr="00FD211F">
        <w:rPr>
          <w:sz w:val="36"/>
          <w:szCs w:val="36"/>
          <w:rtl/>
        </w:rPr>
        <w:t xml:space="preserve">ايضا بين </w:t>
      </w:r>
      <w:r w:rsidRPr="00FD211F">
        <w:rPr>
          <w:sz w:val="36"/>
          <w:szCs w:val="36"/>
          <w:rtl/>
        </w:rPr>
        <w:t xml:space="preserve">معنى </w:t>
      </w:r>
      <w:r w:rsidR="00D80F1D" w:rsidRPr="00FD211F">
        <w:rPr>
          <w:sz w:val="36"/>
          <w:szCs w:val="36"/>
          <w:rtl/>
        </w:rPr>
        <w:t xml:space="preserve">الحيوان المفترس </w:t>
      </w:r>
      <w:r w:rsidRPr="00FD211F">
        <w:rPr>
          <w:sz w:val="36"/>
          <w:szCs w:val="36"/>
          <w:rtl/>
        </w:rPr>
        <w:t>وبين معنى الرجل الشجاع لمشابه</w:t>
      </w:r>
      <w:r w:rsidR="00EC7EDF" w:rsidRPr="00FD211F">
        <w:rPr>
          <w:sz w:val="36"/>
          <w:szCs w:val="36"/>
          <w:rtl/>
        </w:rPr>
        <w:t xml:space="preserve">ة </w:t>
      </w:r>
      <w:r w:rsidRPr="00FD211F">
        <w:rPr>
          <w:sz w:val="36"/>
          <w:szCs w:val="36"/>
          <w:rtl/>
        </w:rPr>
        <w:t>بينهما</w:t>
      </w:r>
      <w:r w:rsidR="00603323" w:rsidRPr="00FD211F">
        <w:rPr>
          <w:sz w:val="36"/>
          <w:szCs w:val="36"/>
          <w:rtl/>
        </w:rPr>
        <w:t xml:space="preserve">، </w:t>
      </w:r>
      <w:r w:rsidRPr="00FD211F">
        <w:rPr>
          <w:sz w:val="36"/>
          <w:szCs w:val="36"/>
          <w:rtl/>
        </w:rPr>
        <w:t>فينشأ من هذين الاقترانين انه لو كان لفظ الأسد م</w:t>
      </w:r>
      <w:r w:rsidR="00D80F1D" w:rsidRPr="00FD211F">
        <w:rPr>
          <w:sz w:val="36"/>
          <w:szCs w:val="36"/>
          <w:rtl/>
        </w:rPr>
        <w:t>حفوفا</w:t>
      </w:r>
      <w:r w:rsidRPr="00FD211F">
        <w:rPr>
          <w:sz w:val="36"/>
          <w:szCs w:val="36"/>
          <w:rtl/>
        </w:rPr>
        <w:t xml:space="preserve"> بالقرين</w:t>
      </w:r>
      <w:r w:rsidR="00EC7EDF" w:rsidRPr="00FD211F">
        <w:rPr>
          <w:sz w:val="36"/>
          <w:szCs w:val="36"/>
          <w:rtl/>
        </w:rPr>
        <w:t xml:space="preserve">ة </w:t>
      </w:r>
      <w:r w:rsidRPr="00FD211F">
        <w:rPr>
          <w:sz w:val="36"/>
          <w:szCs w:val="36"/>
          <w:rtl/>
        </w:rPr>
        <w:t>الصارف</w:t>
      </w:r>
      <w:r w:rsidR="00EC7EDF" w:rsidRPr="00FD211F">
        <w:rPr>
          <w:sz w:val="36"/>
          <w:szCs w:val="36"/>
          <w:rtl/>
        </w:rPr>
        <w:t xml:space="preserve">ة </w:t>
      </w:r>
      <w:r w:rsidRPr="00FD211F">
        <w:rPr>
          <w:sz w:val="36"/>
          <w:szCs w:val="36"/>
          <w:rtl/>
        </w:rPr>
        <w:t>عن معناه الحقيقي صار ظاهرا فعلا في معنى الرجل الش</w:t>
      </w:r>
      <w:r w:rsidR="00D80F1D" w:rsidRPr="00FD211F">
        <w:rPr>
          <w:sz w:val="36"/>
          <w:szCs w:val="36"/>
          <w:rtl/>
        </w:rPr>
        <w:t>جاع.</w:t>
      </w:r>
    </w:p>
    <w:p w14:paraId="1443F5DD" w14:textId="77777777" w:rsidR="00D80F1D" w:rsidRPr="00FD211F" w:rsidRDefault="00052BF2" w:rsidP="009C58C8">
      <w:pPr>
        <w:ind w:left="0" w:firstLine="227"/>
        <w:jc w:val="both"/>
        <w:rPr>
          <w:sz w:val="36"/>
          <w:szCs w:val="36"/>
          <w:rtl/>
        </w:rPr>
      </w:pPr>
      <w:r w:rsidRPr="00FD211F">
        <w:rPr>
          <w:sz w:val="36"/>
          <w:szCs w:val="36"/>
          <w:rtl/>
        </w:rPr>
        <w:t>وحينئذ فان فرض وجود معنيين مجازيين للفظ</w:t>
      </w:r>
      <w:r w:rsidR="00D80F1D" w:rsidRPr="00FD211F">
        <w:rPr>
          <w:sz w:val="36"/>
          <w:szCs w:val="36"/>
          <w:rtl/>
        </w:rPr>
        <w:t>ٍ</w:t>
      </w:r>
      <w:r w:rsidRPr="00FD211F">
        <w:rPr>
          <w:sz w:val="36"/>
          <w:szCs w:val="36"/>
          <w:rtl/>
        </w:rPr>
        <w:t xml:space="preserve"> فيعقل ان يكون احدهما اقرب الى اللفظ من الآخر</w:t>
      </w:r>
      <w:r w:rsidR="00603323" w:rsidRPr="00FD211F">
        <w:rPr>
          <w:sz w:val="36"/>
          <w:szCs w:val="36"/>
          <w:rtl/>
        </w:rPr>
        <w:t xml:space="preserve">، </w:t>
      </w:r>
      <w:r w:rsidRPr="00FD211F">
        <w:rPr>
          <w:sz w:val="36"/>
          <w:szCs w:val="36"/>
          <w:rtl/>
        </w:rPr>
        <w:t>إما لكون المعنى المجازي الآخر في طول المعنى المجازي الأول</w:t>
      </w:r>
      <w:r w:rsidR="00603323" w:rsidRPr="00FD211F">
        <w:rPr>
          <w:sz w:val="36"/>
          <w:szCs w:val="36"/>
          <w:rtl/>
        </w:rPr>
        <w:t xml:space="preserve">، </w:t>
      </w:r>
      <w:r w:rsidRPr="00FD211F">
        <w:rPr>
          <w:sz w:val="36"/>
          <w:szCs w:val="36"/>
          <w:rtl/>
        </w:rPr>
        <w:t>بحيث لايتصور الثاني الا بسبب تصور الأول او لكون المعنى المجازي الأول اكثر مشابه</w:t>
      </w:r>
      <w:r w:rsidR="00EC7EDF" w:rsidRPr="00FD211F">
        <w:rPr>
          <w:sz w:val="36"/>
          <w:szCs w:val="36"/>
          <w:rtl/>
        </w:rPr>
        <w:t xml:space="preserve">ة </w:t>
      </w:r>
      <w:r w:rsidRPr="00FD211F">
        <w:rPr>
          <w:sz w:val="36"/>
          <w:szCs w:val="36"/>
          <w:rtl/>
        </w:rPr>
        <w:t>مع المعنى الحقيقي</w:t>
      </w:r>
      <w:r w:rsidR="00603323" w:rsidRPr="00FD211F">
        <w:rPr>
          <w:sz w:val="36"/>
          <w:szCs w:val="36"/>
          <w:rtl/>
        </w:rPr>
        <w:t xml:space="preserve">، </w:t>
      </w:r>
      <w:r w:rsidRPr="00FD211F">
        <w:rPr>
          <w:sz w:val="36"/>
          <w:szCs w:val="36"/>
          <w:rtl/>
        </w:rPr>
        <w:t>فبناء على ذلك اذا وجدت قرين</w:t>
      </w:r>
      <w:r w:rsidR="00EC7EDF" w:rsidRPr="00FD211F">
        <w:rPr>
          <w:sz w:val="36"/>
          <w:szCs w:val="36"/>
          <w:rtl/>
        </w:rPr>
        <w:t xml:space="preserve">ة </w:t>
      </w:r>
      <w:r w:rsidRPr="00FD211F">
        <w:rPr>
          <w:sz w:val="36"/>
          <w:szCs w:val="36"/>
          <w:rtl/>
        </w:rPr>
        <w:t>صارف</w:t>
      </w:r>
      <w:r w:rsidR="00EC7EDF" w:rsidRPr="00FD211F">
        <w:rPr>
          <w:sz w:val="36"/>
          <w:szCs w:val="36"/>
          <w:rtl/>
        </w:rPr>
        <w:t xml:space="preserve">ة </w:t>
      </w:r>
      <w:r w:rsidRPr="00FD211F">
        <w:rPr>
          <w:sz w:val="36"/>
          <w:szCs w:val="36"/>
          <w:rtl/>
        </w:rPr>
        <w:t xml:space="preserve">عن المعنى الحقيقي فيكون اللفظ ظاهرا </w:t>
      </w:r>
      <w:r w:rsidR="00D80F1D" w:rsidRPr="00FD211F">
        <w:rPr>
          <w:sz w:val="36"/>
          <w:szCs w:val="36"/>
          <w:rtl/>
        </w:rPr>
        <w:t>في المعنى المجازي الأول</w:t>
      </w:r>
      <w:r w:rsidR="00603323" w:rsidRPr="00FD211F">
        <w:rPr>
          <w:sz w:val="36"/>
          <w:szCs w:val="36"/>
          <w:rtl/>
        </w:rPr>
        <w:t xml:space="preserve">، </w:t>
      </w:r>
      <w:r w:rsidR="00D80F1D" w:rsidRPr="00FD211F">
        <w:rPr>
          <w:sz w:val="36"/>
          <w:szCs w:val="36"/>
          <w:rtl/>
        </w:rPr>
        <w:t>ما</w:t>
      </w:r>
      <w:r w:rsidR="008D7B3D" w:rsidRPr="00FD211F">
        <w:rPr>
          <w:sz w:val="36"/>
          <w:szCs w:val="36"/>
          <w:rtl/>
        </w:rPr>
        <w:t xml:space="preserve"> لم‌</w:t>
      </w:r>
      <w:r w:rsidR="00D80F1D" w:rsidRPr="00FD211F">
        <w:rPr>
          <w:sz w:val="36"/>
          <w:szCs w:val="36"/>
          <w:rtl/>
        </w:rPr>
        <w:t>تكن</w:t>
      </w:r>
      <w:r w:rsidR="00B253CE" w:rsidRPr="00FD211F">
        <w:rPr>
          <w:sz w:val="36"/>
          <w:szCs w:val="36"/>
          <w:rtl/>
        </w:rPr>
        <w:t xml:space="preserve"> </w:t>
      </w:r>
      <w:r w:rsidR="00D80F1D" w:rsidRPr="00FD211F">
        <w:rPr>
          <w:sz w:val="36"/>
          <w:szCs w:val="36"/>
          <w:rtl/>
        </w:rPr>
        <w:t>قرين</w:t>
      </w:r>
      <w:r w:rsidR="00EC7EDF" w:rsidRPr="00FD211F">
        <w:rPr>
          <w:sz w:val="36"/>
          <w:szCs w:val="36"/>
          <w:rtl/>
        </w:rPr>
        <w:t xml:space="preserve">ة </w:t>
      </w:r>
      <w:r w:rsidR="00D80F1D" w:rsidRPr="00FD211F">
        <w:rPr>
          <w:sz w:val="36"/>
          <w:szCs w:val="36"/>
          <w:rtl/>
        </w:rPr>
        <w:t>على عدم ارادته أيضا.</w:t>
      </w:r>
    </w:p>
    <w:p w14:paraId="0E3BD277" w14:textId="77777777" w:rsidR="00052BF2" w:rsidRPr="00FD211F" w:rsidRDefault="00D80F1D" w:rsidP="009C58C8">
      <w:pPr>
        <w:ind w:left="0" w:firstLine="227"/>
        <w:jc w:val="both"/>
        <w:rPr>
          <w:sz w:val="36"/>
          <w:szCs w:val="36"/>
          <w:rtl/>
        </w:rPr>
      </w:pPr>
      <w:r w:rsidRPr="00FD211F">
        <w:rPr>
          <w:sz w:val="36"/>
          <w:szCs w:val="36"/>
          <w:rtl/>
        </w:rPr>
        <w:t>فانكار كبرى الطولي</w:t>
      </w:r>
      <w:r w:rsidR="00EC7EDF" w:rsidRPr="00FD211F">
        <w:rPr>
          <w:sz w:val="36"/>
          <w:szCs w:val="36"/>
          <w:rtl/>
        </w:rPr>
        <w:t xml:space="preserve">ة </w:t>
      </w:r>
      <w:r w:rsidRPr="00FD211F">
        <w:rPr>
          <w:sz w:val="36"/>
          <w:szCs w:val="36"/>
          <w:rtl/>
        </w:rPr>
        <w:t>بين المع</w:t>
      </w:r>
      <w:r w:rsidR="00780816" w:rsidRPr="00FD211F">
        <w:rPr>
          <w:sz w:val="36"/>
          <w:szCs w:val="36"/>
          <w:rtl/>
        </w:rPr>
        <w:t>ا</w:t>
      </w:r>
      <w:r w:rsidRPr="00FD211F">
        <w:rPr>
          <w:sz w:val="36"/>
          <w:szCs w:val="36"/>
          <w:rtl/>
        </w:rPr>
        <w:t>ني</w:t>
      </w:r>
      <w:r w:rsidR="00B253CE" w:rsidRPr="00FD211F">
        <w:rPr>
          <w:sz w:val="36"/>
          <w:szCs w:val="36"/>
          <w:rtl/>
        </w:rPr>
        <w:t xml:space="preserve"> </w:t>
      </w:r>
      <w:r w:rsidRPr="00FD211F">
        <w:rPr>
          <w:sz w:val="36"/>
          <w:szCs w:val="36"/>
          <w:rtl/>
        </w:rPr>
        <w:t>المجازي</w:t>
      </w:r>
      <w:r w:rsidR="00EC7EDF" w:rsidRPr="00FD211F">
        <w:rPr>
          <w:sz w:val="36"/>
          <w:szCs w:val="36"/>
          <w:rtl/>
        </w:rPr>
        <w:t xml:space="preserve">ة </w:t>
      </w:r>
      <w:r w:rsidRPr="00FD211F">
        <w:rPr>
          <w:sz w:val="36"/>
          <w:szCs w:val="36"/>
          <w:rtl/>
        </w:rPr>
        <w:t>ممالاوجه له</w:t>
      </w:r>
      <w:r w:rsidR="00603323" w:rsidRPr="00FD211F">
        <w:rPr>
          <w:sz w:val="36"/>
          <w:szCs w:val="36"/>
          <w:rtl/>
        </w:rPr>
        <w:t xml:space="preserve">، </w:t>
      </w:r>
      <w:r w:rsidR="00052BF2" w:rsidRPr="00FD211F">
        <w:rPr>
          <w:sz w:val="36"/>
          <w:szCs w:val="36"/>
          <w:rtl/>
        </w:rPr>
        <w:t>نعم تطبيق هذه الكبرى على محل البحث لايخلو من اشكال</w:t>
      </w:r>
      <w:r w:rsidR="00603323" w:rsidRPr="00FD211F">
        <w:rPr>
          <w:sz w:val="36"/>
          <w:szCs w:val="36"/>
          <w:rtl/>
        </w:rPr>
        <w:t xml:space="preserve">، </w:t>
      </w:r>
      <w:r w:rsidR="00052BF2" w:rsidRPr="00FD211F">
        <w:rPr>
          <w:sz w:val="36"/>
          <w:szCs w:val="36"/>
          <w:rtl/>
        </w:rPr>
        <w:t>اذ لامجال لزعم كون الأعم او الصحيح اقرب المجازيين دون الآخر</w:t>
      </w:r>
      <w:r w:rsidR="00603323" w:rsidRPr="00FD211F">
        <w:rPr>
          <w:sz w:val="36"/>
          <w:szCs w:val="36"/>
          <w:rtl/>
        </w:rPr>
        <w:t xml:space="preserve">، </w:t>
      </w:r>
      <w:r w:rsidR="00052BF2" w:rsidRPr="00FD211F">
        <w:rPr>
          <w:sz w:val="36"/>
          <w:szCs w:val="36"/>
          <w:rtl/>
        </w:rPr>
        <w:t>فان العلاق</w:t>
      </w:r>
      <w:r w:rsidR="00EC7EDF" w:rsidRPr="00FD211F">
        <w:rPr>
          <w:sz w:val="36"/>
          <w:szCs w:val="36"/>
          <w:rtl/>
        </w:rPr>
        <w:t xml:space="preserve">ة </w:t>
      </w:r>
      <w:r w:rsidR="00052BF2" w:rsidRPr="00FD211F">
        <w:rPr>
          <w:sz w:val="36"/>
          <w:szCs w:val="36"/>
          <w:rtl/>
        </w:rPr>
        <w:t>المصحح</w:t>
      </w:r>
      <w:r w:rsidR="00EC7EDF" w:rsidRPr="00FD211F">
        <w:rPr>
          <w:sz w:val="36"/>
          <w:szCs w:val="36"/>
          <w:rtl/>
        </w:rPr>
        <w:t xml:space="preserve">ة </w:t>
      </w:r>
      <w:r w:rsidR="00052BF2" w:rsidRPr="00FD211F">
        <w:rPr>
          <w:sz w:val="36"/>
          <w:szCs w:val="36"/>
          <w:rtl/>
        </w:rPr>
        <w:t>لاستعمال اللفظ الموضوع على معناه اللغوي في كل منهما على حد سواء عرفا.</w:t>
      </w:r>
      <w:r w:rsidR="009C58C8" w:rsidRPr="00FD211F">
        <w:rPr>
          <w:rStyle w:val="a6"/>
          <w:sz w:val="36"/>
          <w:szCs w:val="36"/>
          <w:rtl/>
        </w:rPr>
        <w:t>(</w:t>
      </w:r>
      <w:r w:rsidR="009C58C8" w:rsidRPr="00FD211F">
        <w:rPr>
          <w:rStyle w:val="a6"/>
          <w:sz w:val="36"/>
          <w:szCs w:val="36"/>
          <w:rtl/>
        </w:rPr>
        <w:footnoteReference w:id="348"/>
      </w:r>
      <w:r w:rsidR="009C58C8" w:rsidRPr="00FD211F">
        <w:rPr>
          <w:rStyle w:val="a6"/>
          <w:sz w:val="36"/>
          <w:szCs w:val="36"/>
          <w:rtl/>
        </w:rPr>
        <w:t>)</w:t>
      </w:r>
    </w:p>
    <w:p w14:paraId="2805D508" w14:textId="77777777" w:rsidR="00052BF2" w:rsidRPr="00FD211F" w:rsidRDefault="00D80F1D" w:rsidP="009C58C8">
      <w:pPr>
        <w:ind w:left="0" w:firstLine="227"/>
        <w:jc w:val="both"/>
        <w:rPr>
          <w:sz w:val="36"/>
          <w:szCs w:val="36"/>
          <w:rtl/>
        </w:rPr>
      </w:pPr>
      <w:r w:rsidRPr="00FD211F">
        <w:rPr>
          <w:sz w:val="36"/>
          <w:szCs w:val="36"/>
          <w:rtl/>
        </w:rPr>
        <w:t>وما</w:t>
      </w:r>
      <w:r w:rsidR="006A55AE" w:rsidRPr="00FD211F">
        <w:rPr>
          <w:sz w:val="36"/>
          <w:szCs w:val="36"/>
          <w:rtl/>
        </w:rPr>
        <w:t xml:space="preserve">ذكره </w:t>
      </w:r>
      <w:r w:rsidRPr="00FD211F">
        <w:rPr>
          <w:sz w:val="36"/>
          <w:szCs w:val="36"/>
          <w:rtl/>
        </w:rPr>
        <w:t>في البحوث من</w:t>
      </w:r>
      <w:r w:rsidR="00780816" w:rsidRPr="00FD211F">
        <w:rPr>
          <w:sz w:val="36"/>
          <w:szCs w:val="36"/>
          <w:rtl/>
        </w:rPr>
        <w:t xml:space="preserve"> </w:t>
      </w:r>
      <w:r w:rsidRPr="00FD211F">
        <w:rPr>
          <w:sz w:val="36"/>
          <w:szCs w:val="36"/>
          <w:rtl/>
        </w:rPr>
        <w:t xml:space="preserve">ثبوت كبرى </w:t>
      </w:r>
      <w:r w:rsidR="00780816" w:rsidRPr="00FD211F">
        <w:rPr>
          <w:sz w:val="36"/>
          <w:szCs w:val="36"/>
          <w:rtl/>
        </w:rPr>
        <w:t xml:space="preserve">امكان </w:t>
      </w:r>
      <w:r w:rsidRPr="00FD211F">
        <w:rPr>
          <w:sz w:val="36"/>
          <w:szCs w:val="36"/>
          <w:rtl/>
        </w:rPr>
        <w:t>الطولي</w:t>
      </w:r>
      <w:r w:rsidR="00EC7EDF" w:rsidRPr="00FD211F">
        <w:rPr>
          <w:sz w:val="36"/>
          <w:szCs w:val="36"/>
          <w:rtl/>
        </w:rPr>
        <w:t xml:space="preserve">ة </w:t>
      </w:r>
      <w:r w:rsidRPr="00FD211F">
        <w:rPr>
          <w:sz w:val="36"/>
          <w:szCs w:val="36"/>
          <w:rtl/>
        </w:rPr>
        <w:t>بين</w:t>
      </w:r>
      <w:r w:rsidR="00780816" w:rsidRPr="00FD211F">
        <w:rPr>
          <w:sz w:val="36"/>
          <w:szCs w:val="36"/>
          <w:rtl/>
        </w:rPr>
        <w:t xml:space="preserve"> المعاني المجازي</w:t>
      </w:r>
      <w:r w:rsidR="00EC7EDF" w:rsidRPr="00FD211F">
        <w:rPr>
          <w:sz w:val="36"/>
          <w:szCs w:val="36"/>
          <w:rtl/>
        </w:rPr>
        <w:t xml:space="preserve">ة </w:t>
      </w:r>
      <w:r w:rsidR="00052BF2" w:rsidRPr="00FD211F">
        <w:rPr>
          <w:sz w:val="36"/>
          <w:szCs w:val="36"/>
          <w:rtl/>
        </w:rPr>
        <w:t>وان كان تاما في حد ذاته</w:t>
      </w:r>
      <w:r w:rsidR="00603323" w:rsidRPr="00FD211F">
        <w:rPr>
          <w:sz w:val="36"/>
          <w:szCs w:val="36"/>
          <w:rtl/>
        </w:rPr>
        <w:t xml:space="preserve">، </w:t>
      </w:r>
      <w:r w:rsidR="00052BF2" w:rsidRPr="00FD211F">
        <w:rPr>
          <w:sz w:val="36"/>
          <w:szCs w:val="36"/>
          <w:rtl/>
        </w:rPr>
        <w:t>لكن</w:t>
      </w:r>
      <w:r w:rsidR="008D7B3D" w:rsidRPr="00FD211F">
        <w:rPr>
          <w:sz w:val="36"/>
          <w:szCs w:val="36"/>
          <w:rtl/>
        </w:rPr>
        <w:t xml:space="preserve"> لم‌</w:t>
      </w:r>
      <w:r w:rsidR="00052BF2" w:rsidRPr="00FD211F">
        <w:rPr>
          <w:sz w:val="36"/>
          <w:szCs w:val="36"/>
          <w:rtl/>
        </w:rPr>
        <w:t>يتضح لنا</w:t>
      </w:r>
      <w:r w:rsidR="00127CB3" w:rsidRPr="00FD211F">
        <w:rPr>
          <w:sz w:val="36"/>
          <w:szCs w:val="36"/>
          <w:rtl/>
        </w:rPr>
        <w:t xml:space="preserve"> </w:t>
      </w:r>
      <w:r w:rsidR="00780816" w:rsidRPr="00FD211F">
        <w:rPr>
          <w:sz w:val="36"/>
          <w:szCs w:val="36"/>
          <w:rtl/>
        </w:rPr>
        <w:t xml:space="preserve">من </w:t>
      </w:r>
      <w:r w:rsidR="006A55AE" w:rsidRPr="00FD211F">
        <w:rPr>
          <w:sz w:val="36"/>
          <w:szCs w:val="36"/>
          <w:rtl/>
        </w:rPr>
        <w:t>ك</w:t>
      </w:r>
      <w:r w:rsidR="00780816" w:rsidRPr="00FD211F">
        <w:rPr>
          <w:sz w:val="36"/>
          <w:szCs w:val="36"/>
          <w:rtl/>
        </w:rPr>
        <w:t>لام</w:t>
      </w:r>
      <w:r w:rsidR="006A55AE" w:rsidRPr="00FD211F">
        <w:rPr>
          <w:sz w:val="36"/>
          <w:szCs w:val="36"/>
          <w:rtl/>
        </w:rPr>
        <w:t xml:space="preserve"> صاحب الكفاي</w:t>
      </w:r>
      <w:r w:rsidR="00EC7EDF" w:rsidRPr="00FD211F">
        <w:rPr>
          <w:sz w:val="36"/>
          <w:szCs w:val="36"/>
          <w:rtl/>
        </w:rPr>
        <w:t xml:space="preserve">ة </w:t>
      </w:r>
      <w:r w:rsidR="00780816" w:rsidRPr="00FD211F">
        <w:rPr>
          <w:sz w:val="36"/>
          <w:szCs w:val="36"/>
          <w:rtl/>
        </w:rPr>
        <w:t>"قده"</w:t>
      </w:r>
      <w:r w:rsidR="00127CB3" w:rsidRPr="00FD211F">
        <w:rPr>
          <w:sz w:val="36"/>
          <w:szCs w:val="36"/>
          <w:rtl/>
        </w:rPr>
        <w:t xml:space="preserve"> </w:t>
      </w:r>
      <w:r w:rsidR="00780816" w:rsidRPr="00FD211F">
        <w:rPr>
          <w:sz w:val="36"/>
          <w:szCs w:val="36"/>
          <w:rtl/>
        </w:rPr>
        <w:t xml:space="preserve">أنه </w:t>
      </w:r>
      <w:r w:rsidR="006A55AE" w:rsidRPr="00FD211F">
        <w:rPr>
          <w:sz w:val="36"/>
          <w:szCs w:val="36"/>
          <w:rtl/>
        </w:rPr>
        <w:t>بصدد</w:t>
      </w:r>
      <w:r w:rsidR="00127CB3" w:rsidRPr="00FD211F">
        <w:rPr>
          <w:sz w:val="36"/>
          <w:szCs w:val="36"/>
          <w:rtl/>
        </w:rPr>
        <w:t xml:space="preserve"> </w:t>
      </w:r>
      <w:r w:rsidR="006A55AE" w:rsidRPr="00FD211F">
        <w:rPr>
          <w:sz w:val="36"/>
          <w:szCs w:val="36"/>
          <w:rtl/>
        </w:rPr>
        <w:t>انكار</w:t>
      </w:r>
      <w:r w:rsidR="00127CB3" w:rsidRPr="00FD211F">
        <w:rPr>
          <w:sz w:val="36"/>
          <w:szCs w:val="36"/>
          <w:rtl/>
        </w:rPr>
        <w:t xml:space="preserve"> </w:t>
      </w:r>
      <w:r w:rsidR="00780816" w:rsidRPr="00FD211F">
        <w:rPr>
          <w:sz w:val="36"/>
          <w:szCs w:val="36"/>
          <w:rtl/>
        </w:rPr>
        <w:t>هذه ال</w:t>
      </w:r>
      <w:r w:rsidR="008F1EC7" w:rsidRPr="00FD211F">
        <w:rPr>
          <w:sz w:val="36"/>
          <w:szCs w:val="36"/>
          <w:rtl/>
        </w:rPr>
        <w:t>كبرى</w:t>
      </w:r>
      <w:r w:rsidR="00052BF2" w:rsidRPr="00FD211F">
        <w:rPr>
          <w:sz w:val="36"/>
          <w:szCs w:val="36"/>
          <w:rtl/>
        </w:rPr>
        <w:t>.</w:t>
      </w:r>
    </w:p>
    <w:p w14:paraId="02CA576C" w14:textId="77777777" w:rsidR="00052BF2" w:rsidRPr="00FD211F" w:rsidRDefault="00052BF2" w:rsidP="009C58C8">
      <w:pPr>
        <w:ind w:left="0" w:firstLine="227"/>
        <w:jc w:val="both"/>
        <w:rPr>
          <w:sz w:val="36"/>
          <w:szCs w:val="36"/>
          <w:rtl/>
        </w:rPr>
      </w:pPr>
      <w:r w:rsidRPr="00FD211F">
        <w:rPr>
          <w:sz w:val="36"/>
          <w:szCs w:val="36"/>
          <w:rtl/>
        </w:rPr>
        <w:t>وكيف كان فيرد على صاحب الكفاي</w:t>
      </w:r>
      <w:r w:rsidR="00EC7EDF" w:rsidRPr="00FD211F">
        <w:rPr>
          <w:sz w:val="36"/>
          <w:szCs w:val="36"/>
          <w:rtl/>
        </w:rPr>
        <w:t xml:space="preserve">ة </w:t>
      </w:r>
      <w:r w:rsidR="00780816" w:rsidRPr="00FD211F">
        <w:rPr>
          <w:sz w:val="36"/>
          <w:szCs w:val="36"/>
          <w:rtl/>
        </w:rPr>
        <w:t>"قده"</w:t>
      </w:r>
      <w:r w:rsidRPr="00FD211F">
        <w:rPr>
          <w:sz w:val="36"/>
          <w:szCs w:val="36"/>
          <w:rtl/>
        </w:rPr>
        <w:t xml:space="preserve"> ان ظاهر كلامه هو توقف تصوير النزاع</w:t>
      </w:r>
      <w:r w:rsidR="00780816" w:rsidRPr="00FD211F">
        <w:rPr>
          <w:sz w:val="36"/>
          <w:szCs w:val="36"/>
          <w:rtl/>
        </w:rPr>
        <w:t xml:space="preserve"> في المقام- بناء على كون استعمال اسماء العبادات في معانيها الشرعي</w:t>
      </w:r>
      <w:r w:rsidR="00EC7EDF" w:rsidRPr="00FD211F">
        <w:rPr>
          <w:sz w:val="36"/>
          <w:szCs w:val="36"/>
          <w:rtl/>
        </w:rPr>
        <w:t xml:space="preserve">ة </w:t>
      </w:r>
      <w:r w:rsidR="00780816" w:rsidRPr="00FD211F">
        <w:rPr>
          <w:sz w:val="36"/>
          <w:szCs w:val="36"/>
          <w:rtl/>
        </w:rPr>
        <w:t>في خطاب الشارع بنحو المجاز- على كون استعمال اسماء العبادات</w:t>
      </w:r>
      <w:r w:rsidRPr="00FD211F">
        <w:rPr>
          <w:sz w:val="36"/>
          <w:szCs w:val="36"/>
          <w:rtl/>
        </w:rPr>
        <w:t xml:space="preserve"> في خصوص الصحيح مثلا من باب المجاز</w:t>
      </w:r>
      <w:r w:rsidR="00603323" w:rsidRPr="00FD211F">
        <w:rPr>
          <w:sz w:val="36"/>
          <w:szCs w:val="36"/>
          <w:rtl/>
        </w:rPr>
        <w:t xml:space="preserve">، </w:t>
      </w:r>
      <w:r w:rsidRPr="00FD211F">
        <w:rPr>
          <w:sz w:val="36"/>
          <w:szCs w:val="36"/>
          <w:rtl/>
        </w:rPr>
        <w:t>و</w:t>
      </w:r>
      <w:r w:rsidR="00465DB7" w:rsidRPr="00FD211F">
        <w:rPr>
          <w:sz w:val="36"/>
          <w:szCs w:val="36"/>
          <w:rtl/>
        </w:rPr>
        <w:t>استعمالها</w:t>
      </w:r>
      <w:r w:rsidR="007D43A0" w:rsidRPr="00FD211F">
        <w:rPr>
          <w:sz w:val="36"/>
          <w:szCs w:val="36"/>
          <w:rtl/>
        </w:rPr>
        <w:t xml:space="preserve"> </w:t>
      </w:r>
      <w:r w:rsidRPr="00FD211F">
        <w:rPr>
          <w:sz w:val="36"/>
          <w:szCs w:val="36"/>
          <w:rtl/>
        </w:rPr>
        <w:t>في الاعم من باب سبك المجاز في المجاز</w:t>
      </w:r>
      <w:r w:rsidR="00603323" w:rsidRPr="00FD211F">
        <w:rPr>
          <w:sz w:val="36"/>
          <w:szCs w:val="36"/>
          <w:rtl/>
        </w:rPr>
        <w:t xml:space="preserve">، </w:t>
      </w:r>
      <w:r w:rsidR="00780816" w:rsidRPr="00FD211F">
        <w:rPr>
          <w:sz w:val="36"/>
          <w:szCs w:val="36"/>
          <w:rtl/>
        </w:rPr>
        <w:t>و</w:t>
      </w:r>
      <w:r w:rsidRPr="00FD211F">
        <w:rPr>
          <w:sz w:val="36"/>
          <w:szCs w:val="36"/>
          <w:rtl/>
        </w:rPr>
        <w:t>ا</w:t>
      </w:r>
      <w:r w:rsidR="00780816" w:rsidRPr="00FD211F">
        <w:rPr>
          <w:sz w:val="36"/>
          <w:szCs w:val="36"/>
          <w:rtl/>
        </w:rPr>
        <w:t>لمراد من سبك المجاز في المجاز</w:t>
      </w:r>
      <w:r w:rsidR="007D43A0" w:rsidRPr="00FD211F">
        <w:rPr>
          <w:sz w:val="36"/>
          <w:szCs w:val="36"/>
          <w:rtl/>
        </w:rPr>
        <w:t xml:space="preserve"> </w:t>
      </w:r>
      <w:r w:rsidR="00780816" w:rsidRPr="00FD211F">
        <w:rPr>
          <w:sz w:val="36"/>
          <w:szCs w:val="36"/>
          <w:rtl/>
        </w:rPr>
        <w:t>هو</w:t>
      </w:r>
      <w:r w:rsidRPr="00FD211F">
        <w:rPr>
          <w:sz w:val="36"/>
          <w:szCs w:val="36"/>
          <w:rtl/>
        </w:rPr>
        <w:t xml:space="preserve"> است</w:t>
      </w:r>
      <w:r w:rsidR="009638C9" w:rsidRPr="00FD211F">
        <w:rPr>
          <w:sz w:val="36"/>
          <w:szCs w:val="36"/>
          <w:rtl/>
        </w:rPr>
        <w:t>عمال اللفظ في معنى مجازي لاجل</w:t>
      </w:r>
      <w:r w:rsidRPr="00FD211F">
        <w:rPr>
          <w:sz w:val="36"/>
          <w:szCs w:val="36"/>
          <w:rtl/>
        </w:rPr>
        <w:t xml:space="preserve"> علاق</w:t>
      </w:r>
      <w:r w:rsidR="00EC7EDF" w:rsidRPr="00FD211F">
        <w:rPr>
          <w:sz w:val="36"/>
          <w:szCs w:val="36"/>
          <w:rtl/>
        </w:rPr>
        <w:t xml:space="preserve">ة </w:t>
      </w:r>
      <w:r w:rsidRPr="00FD211F">
        <w:rPr>
          <w:sz w:val="36"/>
          <w:szCs w:val="36"/>
          <w:rtl/>
        </w:rPr>
        <w:t>هذا المعنى مع معنى مجازي آخر</w:t>
      </w:r>
      <w:r w:rsidR="00603323" w:rsidRPr="00FD211F">
        <w:rPr>
          <w:sz w:val="36"/>
          <w:szCs w:val="36"/>
          <w:rtl/>
        </w:rPr>
        <w:t xml:space="preserve">، </w:t>
      </w:r>
      <w:r w:rsidRPr="00FD211F">
        <w:rPr>
          <w:sz w:val="36"/>
          <w:szCs w:val="36"/>
          <w:rtl/>
        </w:rPr>
        <w:t xml:space="preserve">مع ان المهم هو ما اشار اليه بنفسه </w:t>
      </w:r>
      <w:r w:rsidR="00355236" w:rsidRPr="00FD211F">
        <w:rPr>
          <w:sz w:val="36"/>
          <w:szCs w:val="36"/>
          <w:rtl/>
        </w:rPr>
        <w:t>في الجواب</w:t>
      </w:r>
      <w:r w:rsidRPr="00FD211F">
        <w:rPr>
          <w:sz w:val="36"/>
          <w:szCs w:val="36"/>
          <w:rtl/>
        </w:rPr>
        <w:t xml:space="preserve"> من لزوم احراز نصب قرين</w:t>
      </w:r>
      <w:r w:rsidR="00EC7EDF" w:rsidRPr="00FD211F">
        <w:rPr>
          <w:sz w:val="36"/>
          <w:szCs w:val="36"/>
          <w:rtl/>
        </w:rPr>
        <w:t xml:space="preserve">ة </w:t>
      </w:r>
      <w:r w:rsidRPr="00FD211F">
        <w:rPr>
          <w:sz w:val="36"/>
          <w:szCs w:val="36"/>
          <w:rtl/>
        </w:rPr>
        <w:t>عام</w:t>
      </w:r>
      <w:r w:rsidR="00EC7EDF" w:rsidRPr="00FD211F">
        <w:rPr>
          <w:sz w:val="36"/>
          <w:szCs w:val="36"/>
          <w:rtl/>
        </w:rPr>
        <w:t xml:space="preserve">ة </w:t>
      </w:r>
      <w:r w:rsidRPr="00FD211F">
        <w:rPr>
          <w:sz w:val="36"/>
          <w:szCs w:val="36"/>
          <w:rtl/>
        </w:rPr>
        <w:t>من قبل الشارع على انه اذا استعمل لفظ الصلا</w:t>
      </w:r>
      <w:r w:rsidR="00EC7EDF" w:rsidRPr="00FD211F">
        <w:rPr>
          <w:sz w:val="36"/>
          <w:szCs w:val="36"/>
          <w:rtl/>
        </w:rPr>
        <w:t xml:space="preserve">ة </w:t>
      </w:r>
      <w:r w:rsidRPr="00FD211F">
        <w:rPr>
          <w:sz w:val="36"/>
          <w:szCs w:val="36"/>
          <w:rtl/>
        </w:rPr>
        <w:t>مثلا مع القرين</w:t>
      </w:r>
      <w:r w:rsidR="00EC7EDF" w:rsidRPr="00FD211F">
        <w:rPr>
          <w:sz w:val="36"/>
          <w:szCs w:val="36"/>
          <w:rtl/>
        </w:rPr>
        <w:t xml:space="preserve">ة </w:t>
      </w:r>
      <w:r w:rsidRPr="00FD211F">
        <w:rPr>
          <w:sz w:val="36"/>
          <w:szCs w:val="36"/>
          <w:rtl/>
        </w:rPr>
        <w:t>الصارف</w:t>
      </w:r>
      <w:r w:rsidR="00EC7EDF" w:rsidRPr="00FD211F">
        <w:rPr>
          <w:sz w:val="36"/>
          <w:szCs w:val="36"/>
          <w:rtl/>
        </w:rPr>
        <w:t xml:space="preserve">ة </w:t>
      </w:r>
      <w:r w:rsidRPr="00FD211F">
        <w:rPr>
          <w:sz w:val="36"/>
          <w:szCs w:val="36"/>
          <w:rtl/>
        </w:rPr>
        <w:t xml:space="preserve">عن معناه الحقيقي فانما يستعمله في خصوص المعنى الشرعي الصحيح </w:t>
      </w:r>
      <w:r w:rsidR="00355236" w:rsidRPr="00FD211F">
        <w:rPr>
          <w:sz w:val="36"/>
          <w:szCs w:val="36"/>
          <w:rtl/>
        </w:rPr>
        <w:t>الا</w:t>
      </w:r>
      <w:r w:rsidR="007D43A0" w:rsidRPr="00FD211F">
        <w:rPr>
          <w:sz w:val="36"/>
          <w:szCs w:val="36"/>
          <w:rtl/>
        </w:rPr>
        <w:t xml:space="preserve"> </w:t>
      </w:r>
      <w:r w:rsidR="00355236" w:rsidRPr="00FD211F">
        <w:rPr>
          <w:sz w:val="36"/>
          <w:szCs w:val="36"/>
          <w:rtl/>
        </w:rPr>
        <w:t>اذا</w:t>
      </w:r>
      <w:r w:rsidR="00127CB3" w:rsidRPr="00FD211F">
        <w:rPr>
          <w:sz w:val="36"/>
          <w:szCs w:val="36"/>
          <w:rtl/>
        </w:rPr>
        <w:t xml:space="preserve"> </w:t>
      </w:r>
      <w:r w:rsidR="00355236" w:rsidRPr="00FD211F">
        <w:rPr>
          <w:sz w:val="36"/>
          <w:szCs w:val="36"/>
          <w:rtl/>
        </w:rPr>
        <w:t>نصب قرين</w:t>
      </w:r>
      <w:r w:rsidR="00EC7EDF" w:rsidRPr="00FD211F">
        <w:rPr>
          <w:sz w:val="36"/>
          <w:szCs w:val="36"/>
          <w:rtl/>
        </w:rPr>
        <w:t xml:space="preserve">ة </w:t>
      </w:r>
      <w:r w:rsidRPr="00FD211F">
        <w:rPr>
          <w:sz w:val="36"/>
          <w:szCs w:val="36"/>
          <w:rtl/>
        </w:rPr>
        <w:t>على اراد</w:t>
      </w:r>
      <w:r w:rsidR="00EC7EDF" w:rsidRPr="00FD211F">
        <w:rPr>
          <w:sz w:val="36"/>
          <w:szCs w:val="36"/>
          <w:rtl/>
        </w:rPr>
        <w:t xml:space="preserve">ة </w:t>
      </w:r>
      <w:r w:rsidRPr="00FD211F">
        <w:rPr>
          <w:sz w:val="36"/>
          <w:szCs w:val="36"/>
          <w:rtl/>
        </w:rPr>
        <w:t>الاعم من الصحيح والفاسد</w:t>
      </w:r>
      <w:r w:rsidR="00603323" w:rsidRPr="00FD211F">
        <w:rPr>
          <w:sz w:val="36"/>
          <w:szCs w:val="36"/>
          <w:rtl/>
        </w:rPr>
        <w:t xml:space="preserve">، </w:t>
      </w:r>
      <w:r w:rsidRPr="00FD211F">
        <w:rPr>
          <w:sz w:val="36"/>
          <w:szCs w:val="36"/>
          <w:rtl/>
        </w:rPr>
        <w:t>وهذا لايتوقف على كون استعمال اللفظ في المعنى المجازي الثاني اي الأعم من باب سبك المجاز في المجاز</w:t>
      </w:r>
      <w:r w:rsidR="00603323" w:rsidRPr="00FD211F">
        <w:rPr>
          <w:sz w:val="36"/>
          <w:szCs w:val="36"/>
          <w:rtl/>
        </w:rPr>
        <w:t xml:space="preserve">، </w:t>
      </w:r>
      <w:r w:rsidRPr="00FD211F">
        <w:rPr>
          <w:sz w:val="36"/>
          <w:szCs w:val="36"/>
          <w:rtl/>
        </w:rPr>
        <w:t>بل يمكن ان يكون بلحاظ علاقته مع المعنى الحقيقي ابتداء.</w:t>
      </w:r>
    </w:p>
    <w:p w14:paraId="27887099" w14:textId="77777777" w:rsidR="00052BF2" w:rsidRPr="00FD211F" w:rsidRDefault="0092344A" w:rsidP="009C58C8">
      <w:pPr>
        <w:ind w:left="0" w:firstLine="227"/>
        <w:jc w:val="both"/>
        <w:rPr>
          <w:sz w:val="36"/>
          <w:szCs w:val="36"/>
          <w:rtl/>
        </w:rPr>
      </w:pPr>
      <w:r w:rsidRPr="00FD211F">
        <w:rPr>
          <w:sz w:val="36"/>
          <w:szCs w:val="36"/>
          <w:rtl/>
        </w:rPr>
        <w:t>ث</w:t>
      </w:r>
      <w:r w:rsidR="00553CB8" w:rsidRPr="00FD211F">
        <w:rPr>
          <w:sz w:val="36"/>
          <w:szCs w:val="36"/>
          <w:rtl/>
        </w:rPr>
        <w:t xml:space="preserve">م ان </w:t>
      </w:r>
      <w:r w:rsidR="00052BF2" w:rsidRPr="00FD211F">
        <w:rPr>
          <w:sz w:val="36"/>
          <w:szCs w:val="36"/>
          <w:rtl/>
        </w:rPr>
        <w:t xml:space="preserve">المحقق الاصفهاني </w:t>
      </w:r>
      <w:r w:rsidR="00355236" w:rsidRPr="00FD211F">
        <w:rPr>
          <w:sz w:val="36"/>
          <w:szCs w:val="36"/>
          <w:rtl/>
        </w:rPr>
        <w:t>"</w:t>
      </w:r>
      <w:r w:rsidR="00052BF2" w:rsidRPr="00FD211F">
        <w:rPr>
          <w:sz w:val="36"/>
          <w:szCs w:val="36"/>
          <w:rtl/>
        </w:rPr>
        <w:t>قده</w:t>
      </w:r>
      <w:r w:rsidR="00355236" w:rsidRPr="00FD211F">
        <w:rPr>
          <w:sz w:val="36"/>
          <w:szCs w:val="36"/>
          <w:rtl/>
        </w:rPr>
        <w:t>"</w:t>
      </w:r>
      <w:r w:rsidR="00052BF2" w:rsidRPr="00FD211F">
        <w:rPr>
          <w:sz w:val="36"/>
          <w:szCs w:val="36"/>
          <w:rtl/>
        </w:rPr>
        <w:t xml:space="preserve"> </w:t>
      </w:r>
      <w:r w:rsidR="00553CB8" w:rsidRPr="00FD211F">
        <w:rPr>
          <w:sz w:val="36"/>
          <w:szCs w:val="36"/>
          <w:rtl/>
        </w:rPr>
        <w:t>ذكر</w:t>
      </w:r>
      <w:r w:rsidR="00127CB3" w:rsidRPr="00FD211F">
        <w:rPr>
          <w:sz w:val="36"/>
          <w:szCs w:val="36"/>
          <w:rtl/>
        </w:rPr>
        <w:t xml:space="preserve"> </w:t>
      </w:r>
      <w:r w:rsidR="00553CB8" w:rsidRPr="00FD211F">
        <w:rPr>
          <w:sz w:val="36"/>
          <w:szCs w:val="36"/>
          <w:rtl/>
        </w:rPr>
        <w:t>ان</w:t>
      </w:r>
      <w:r w:rsidR="00B253CE" w:rsidRPr="00FD211F">
        <w:rPr>
          <w:sz w:val="36"/>
          <w:szCs w:val="36"/>
          <w:rtl/>
        </w:rPr>
        <w:t xml:space="preserve"> </w:t>
      </w:r>
      <w:r w:rsidR="00052BF2" w:rsidRPr="00FD211F">
        <w:rPr>
          <w:sz w:val="36"/>
          <w:szCs w:val="36"/>
          <w:rtl/>
        </w:rPr>
        <w:t xml:space="preserve">تصوير النزاع </w:t>
      </w:r>
      <w:r w:rsidR="00E609D1" w:rsidRPr="00FD211F">
        <w:rPr>
          <w:sz w:val="36"/>
          <w:szCs w:val="36"/>
          <w:rtl/>
        </w:rPr>
        <w:t>- بناء على كون استعمال اسماء العبادات في معانيها الشرعي</w:t>
      </w:r>
      <w:r w:rsidR="00EC7EDF" w:rsidRPr="00FD211F">
        <w:rPr>
          <w:sz w:val="36"/>
          <w:szCs w:val="36"/>
          <w:rtl/>
        </w:rPr>
        <w:t xml:space="preserve">ة </w:t>
      </w:r>
      <w:r w:rsidR="00E609D1" w:rsidRPr="00FD211F">
        <w:rPr>
          <w:sz w:val="36"/>
          <w:szCs w:val="36"/>
          <w:rtl/>
        </w:rPr>
        <w:t xml:space="preserve">في خطاب الشارع بنحو المجاز- </w:t>
      </w:r>
      <w:r w:rsidR="00553CB8" w:rsidRPr="00FD211F">
        <w:rPr>
          <w:sz w:val="36"/>
          <w:szCs w:val="36"/>
          <w:rtl/>
        </w:rPr>
        <w:t>يكون</w:t>
      </w:r>
      <w:r w:rsidR="00355236" w:rsidRPr="00FD211F">
        <w:rPr>
          <w:sz w:val="36"/>
          <w:szCs w:val="36"/>
          <w:rtl/>
        </w:rPr>
        <w:t xml:space="preserve"> </w:t>
      </w:r>
      <w:r w:rsidR="00052BF2" w:rsidRPr="00FD211F">
        <w:rPr>
          <w:sz w:val="36"/>
          <w:szCs w:val="36"/>
          <w:rtl/>
        </w:rPr>
        <w:t>بتقريب ان الصحيحي يدعي كون اللفظ مستعملا دائما في خصوص الصحيح لمشابه</w:t>
      </w:r>
      <w:r w:rsidR="00EC7EDF" w:rsidRPr="00FD211F">
        <w:rPr>
          <w:sz w:val="36"/>
          <w:szCs w:val="36"/>
          <w:rtl/>
        </w:rPr>
        <w:t xml:space="preserve">ة </w:t>
      </w:r>
      <w:r w:rsidR="00052BF2" w:rsidRPr="00FD211F">
        <w:rPr>
          <w:sz w:val="36"/>
          <w:szCs w:val="36"/>
          <w:rtl/>
        </w:rPr>
        <w:t>بينه وبين المعنى اللغوي</w:t>
      </w:r>
      <w:r w:rsidR="00603323" w:rsidRPr="00FD211F">
        <w:rPr>
          <w:sz w:val="36"/>
          <w:szCs w:val="36"/>
          <w:rtl/>
        </w:rPr>
        <w:t xml:space="preserve">، </w:t>
      </w:r>
      <w:r w:rsidR="00052BF2" w:rsidRPr="00FD211F">
        <w:rPr>
          <w:sz w:val="36"/>
          <w:szCs w:val="36"/>
          <w:rtl/>
        </w:rPr>
        <w:t>فاذا اريد منه الاعم من الصحيح والفاسد فلابد ان يكون ذل</w:t>
      </w:r>
      <w:r w:rsidR="008F1EC7" w:rsidRPr="00FD211F">
        <w:rPr>
          <w:sz w:val="36"/>
          <w:szCs w:val="36"/>
          <w:rtl/>
        </w:rPr>
        <w:t>ك من جه</w:t>
      </w:r>
      <w:r w:rsidR="00EC7EDF" w:rsidRPr="00FD211F">
        <w:rPr>
          <w:sz w:val="36"/>
          <w:szCs w:val="36"/>
          <w:rtl/>
        </w:rPr>
        <w:t xml:space="preserve">ة </w:t>
      </w:r>
      <w:r w:rsidR="008F1EC7" w:rsidRPr="00FD211F">
        <w:rPr>
          <w:sz w:val="36"/>
          <w:szCs w:val="36"/>
          <w:rtl/>
        </w:rPr>
        <w:t>ادعاء ان الفاسد مصداق ل</w:t>
      </w:r>
      <w:r w:rsidR="00052BF2" w:rsidRPr="00FD211F">
        <w:rPr>
          <w:sz w:val="36"/>
          <w:szCs w:val="36"/>
          <w:rtl/>
        </w:rPr>
        <w:t>لصحيح لوجدانه لمعظم الأجزاء والشرائط</w:t>
      </w:r>
      <w:r w:rsidR="00603323" w:rsidRPr="00FD211F">
        <w:rPr>
          <w:sz w:val="36"/>
          <w:szCs w:val="36"/>
          <w:rtl/>
        </w:rPr>
        <w:t xml:space="preserve">، </w:t>
      </w:r>
      <w:r w:rsidR="00052BF2" w:rsidRPr="00FD211F">
        <w:rPr>
          <w:sz w:val="36"/>
          <w:szCs w:val="36"/>
          <w:rtl/>
        </w:rPr>
        <w:t>فاللفظ بعد استعماله في خصوص الصحيح طبّق على الأعم من الصحيح والفاسد ادعاء على وزان المجاز الادعائي</w:t>
      </w:r>
      <w:r w:rsidR="00603323" w:rsidRPr="00FD211F">
        <w:rPr>
          <w:sz w:val="36"/>
          <w:szCs w:val="36"/>
          <w:rtl/>
        </w:rPr>
        <w:t xml:space="preserve">، </w:t>
      </w:r>
      <w:r w:rsidR="00052BF2" w:rsidRPr="00FD211F">
        <w:rPr>
          <w:sz w:val="36"/>
          <w:szCs w:val="36"/>
          <w:rtl/>
        </w:rPr>
        <w:t xml:space="preserve">من دون ان يستعمل اللفظ في الاعم </w:t>
      </w:r>
      <w:r w:rsidR="009638C9" w:rsidRPr="00FD211F">
        <w:rPr>
          <w:sz w:val="36"/>
          <w:szCs w:val="36"/>
          <w:rtl/>
        </w:rPr>
        <w:t xml:space="preserve">مجازا </w:t>
      </w:r>
      <w:r w:rsidR="00052BF2" w:rsidRPr="00FD211F">
        <w:rPr>
          <w:sz w:val="36"/>
          <w:szCs w:val="36"/>
          <w:rtl/>
        </w:rPr>
        <w:t>لمشابه</w:t>
      </w:r>
      <w:r w:rsidR="00EC7EDF" w:rsidRPr="00FD211F">
        <w:rPr>
          <w:sz w:val="36"/>
          <w:szCs w:val="36"/>
          <w:rtl/>
        </w:rPr>
        <w:t xml:space="preserve">ة </w:t>
      </w:r>
      <w:r w:rsidR="00052BF2" w:rsidRPr="00FD211F">
        <w:rPr>
          <w:sz w:val="36"/>
          <w:szCs w:val="36"/>
          <w:rtl/>
        </w:rPr>
        <w:t>بي</w:t>
      </w:r>
      <w:r w:rsidR="008F1EC7" w:rsidRPr="00FD211F">
        <w:rPr>
          <w:sz w:val="36"/>
          <w:szCs w:val="36"/>
          <w:rtl/>
        </w:rPr>
        <w:t xml:space="preserve">نه وبين المعنى </w:t>
      </w:r>
      <w:r w:rsidR="00355236" w:rsidRPr="00FD211F">
        <w:rPr>
          <w:sz w:val="36"/>
          <w:szCs w:val="36"/>
          <w:rtl/>
        </w:rPr>
        <w:t xml:space="preserve">الشرعي </w:t>
      </w:r>
      <w:r w:rsidR="008F1EC7" w:rsidRPr="00FD211F">
        <w:rPr>
          <w:sz w:val="36"/>
          <w:szCs w:val="36"/>
          <w:rtl/>
        </w:rPr>
        <w:t>الصحيح</w:t>
      </w:r>
      <w:r w:rsidR="00603323" w:rsidRPr="00FD211F">
        <w:rPr>
          <w:sz w:val="36"/>
          <w:szCs w:val="36"/>
          <w:rtl/>
        </w:rPr>
        <w:t xml:space="preserve">، </w:t>
      </w:r>
      <w:r w:rsidR="008F1EC7" w:rsidRPr="00FD211F">
        <w:rPr>
          <w:sz w:val="36"/>
          <w:szCs w:val="36"/>
          <w:rtl/>
        </w:rPr>
        <w:t xml:space="preserve">اذ </w:t>
      </w:r>
      <w:r w:rsidR="00052BF2" w:rsidRPr="00FD211F">
        <w:rPr>
          <w:sz w:val="36"/>
          <w:szCs w:val="36"/>
          <w:rtl/>
        </w:rPr>
        <w:t>يكون</w:t>
      </w:r>
      <w:r w:rsidR="00B253CE" w:rsidRPr="00FD211F">
        <w:rPr>
          <w:sz w:val="36"/>
          <w:szCs w:val="36"/>
          <w:rtl/>
        </w:rPr>
        <w:t xml:space="preserve"> </w:t>
      </w:r>
      <w:r w:rsidR="00052BF2" w:rsidRPr="00FD211F">
        <w:rPr>
          <w:sz w:val="36"/>
          <w:szCs w:val="36"/>
          <w:rtl/>
        </w:rPr>
        <w:t>من سبك</w:t>
      </w:r>
      <w:r w:rsidR="009638C9" w:rsidRPr="00FD211F">
        <w:rPr>
          <w:sz w:val="36"/>
          <w:szCs w:val="36"/>
          <w:rtl/>
        </w:rPr>
        <w:t xml:space="preserve"> المجاز في المجاز</w:t>
      </w:r>
      <w:r w:rsidR="00603323" w:rsidRPr="00FD211F">
        <w:rPr>
          <w:sz w:val="36"/>
          <w:szCs w:val="36"/>
          <w:rtl/>
        </w:rPr>
        <w:t xml:space="preserve">، </w:t>
      </w:r>
      <w:r w:rsidR="009638C9" w:rsidRPr="00FD211F">
        <w:rPr>
          <w:sz w:val="36"/>
          <w:szCs w:val="36"/>
          <w:rtl/>
        </w:rPr>
        <w:t>وهو غير عرفي</w:t>
      </w:r>
      <w:r w:rsidR="00603323" w:rsidRPr="00FD211F">
        <w:rPr>
          <w:sz w:val="36"/>
          <w:szCs w:val="36"/>
          <w:rtl/>
        </w:rPr>
        <w:t xml:space="preserve">، </w:t>
      </w:r>
      <w:r w:rsidR="009638C9" w:rsidRPr="00FD211F">
        <w:rPr>
          <w:sz w:val="36"/>
          <w:szCs w:val="36"/>
          <w:rtl/>
        </w:rPr>
        <w:t>ولا لمشابه</w:t>
      </w:r>
      <w:r w:rsidR="00EC7EDF" w:rsidRPr="00FD211F">
        <w:rPr>
          <w:sz w:val="36"/>
          <w:szCs w:val="36"/>
          <w:rtl/>
        </w:rPr>
        <w:t xml:space="preserve">ة </w:t>
      </w:r>
      <w:r w:rsidR="009638C9" w:rsidRPr="00FD211F">
        <w:rPr>
          <w:sz w:val="36"/>
          <w:szCs w:val="36"/>
          <w:rtl/>
        </w:rPr>
        <w:t>بينه وبين المعنى اللغوي.</w:t>
      </w:r>
    </w:p>
    <w:p w14:paraId="3854776D" w14:textId="77777777" w:rsidR="000C5BBA" w:rsidRPr="00FD211F" w:rsidRDefault="00052BF2" w:rsidP="009C58C8">
      <w:pPr>
        <w:ind w:left="0" w:firstLine="227"/>
        <w:jc w:val="both"/>
        <w:rPr>
          <w:sz w:val="36"/>
          <w:szCs w:val="36"/>
          <w:rtl/>
        </w:rPr>
      </w:pPr>
      <w:r w:rsidRPr="00FD211F">
        <w:rPr>
          <w:sz w:val="36"/>
          <w:szCs w:val="36"/>
          <w:rtl/>
        </w:rPr>
        <w:t>وأما الاعمي فيدعي ان اللف</w:t>
      </w:r>
      <w:r w:rsidR="009638C9" w:rsidRPr="00FD211F">
        <w:rPr>
          <w:sz w:val="36"/>
          <w:szCs w:val="36"/>
          <w:rtl/>
        </w:rPr>
        <w:t>ظ مستعمل مجازا في الاعم دائما</w:t>
      </w:r>
      <w:r w:rsidR="00603323" w:rsidRPr="00FD211F">
        <w:rPr>
          <w:sz w:val="36"/>
          <w:szCs w:val="36"/>
          <w:rtl/>
        </w:rPr>
        <w:t xml:space="preserve">، </w:t>
      </w:r>
      <w:r w:rsidR="009638C9" w:rsidRPr="00FD211F">
        <w:rPr>
          <w:sz w:val="36"/>
          <w:szCs w:val="36"/>
          <w:rtl/>
        </w:rPr>
        <w:t>و</w:t>
      </w:r>
      <w:r w:rsidRPr="00FD211F">
        <w:rPr>
          <w:sz w:val="36"/>
          <w:szCs w:val="36"/>
          <w:rtl/>
        </w:rPr>
        <w:t>اذا اريد منه خصوص الصحيح اقيمت عليه القرين</w:t>
      </w:r>
      <w:r w:rsidR="00EC7EDF" w:rsidRPr="00FD211F">
        <w:rPr>
          <w:sz w:val="36"/>
          <w:szCs w:val="36"/>
          <w:rtl/>
        </w:rPr>
        <w:t xml:space="preserve">ة </w:t>
      </w:r>
      <w:r w:rsidRPr="00FD211F">
        <w:rPr>
          <w:sz w:val="36"/>
          <w:szCs w:val="36"/>
          <w:rtl/>
        </w:rPr>
        <w:t>بنحو تعدد الدال والمدلول</w:t>
      </w:r>
      <w:r w:rsidR="00603323" w:rsidRPr="00FD211F">
        <w:rPr>
          <w:sz w:val="36"/>
          <w:szCs w:val="36"/>
          <w:rtl/>
        </w:rPr>
        <w:t xml:space="preserve">، </w:t>
      </w:r>
      <w:r w:rsidRPr="00FD211F">
        <w:rPr>
          <w:sz w:val="36"/>
          <w:szCs w:val="36"/>
          <w:rtl/>
        </w:rPr>
        <w:t>فمع عدم تلك القرين</w:t>
      </w:r>
      <w:r w:rsidR="00EC7EDF" w:rsidRPr="00FD211F">
        <w:rPr>
          <w:sz w:val="36"/>
          <w:szCs w:val="36"/>
          <w:rtl/>
        </w:rPr>
        <w:t xml:space="preserve">ة </w:t>
      </w:r>
      <w:r w:rsidRPr="00FD211F">
        <w:rPr>
          <w:sz w:val="36"/>
          <w:szCs w:val="36"/>
          <w:rtl/>
        </w:rPr>
        <w:t>يكون اطلاق اللفظ محك</w:t>
      </w:r>
      <w:r w:rsidR="009638C9" w:rsidRPr="00FD211F">
        <w:rPr>
          <w:sz w:val="36"/>
          <w:szCs w:val="36"/>
          <w:rtl/>
        </w:rPr>
        <w:t>َّما.</w:t>
      </w:r>
    </w:p>
    <w:p w14:paraId="1B7652E9" w14:textId="77777777" w:rsidR="00052BF2" w:rsidRPr="00FD211F" w:rsidRDefault="009638C9" w:rsidP="009C58C8">
      <w:pPr>
        <w:ind w:left="0" w:firstLine="227"/>
        <w:jc w:val="both"/>
        <w:rPr>
          <w:sz w:val="36"/>
          <w:szCs w:val="36"/>
          <w:rtl/>
        </w:rPr>
      </w:pPr>
      <w:r w:rsidRPr="00FD211F">
        <w:rPr>
          <w:sz w:val="36"/>
          <w:szCs w:val="36"/>
          <w:rtl/>
        </w:rPr>
        <w:t>ثم ذكر</w:t>
      </w:r>
      <w:r w:rsidR="00052BF2" w:rsidRPr="00FD211F">
        <w:rPr>
          <w:sz w:val="36"/>
          <w:szCs w:val="36"/>
          <w:rtl/>
        </w:rPr>
        <w:t xml:space="preserve"> انه لايمكن اثبات أيّ من دعوى الصحيحي او الاعمي</w:t>
      </w:r>
      <w:r w:rsidR="009C58C8" w:rsidRPr="00FD211F">
        <w:rPr>
          <w:rStyle w:val="a6"/>
          <w:sz w:val="36"/>
          <w:szCs w:val="36"/>
          <w:rtl/>
        </w:rPr>
        <w:t>(</w:t>
      </w:r>
      <w:r w:rsidR="009C58C8" w:rsidRPr="00FD211F">
        <w:rPr>
          <w:rStyle w:val="a6"/>
          <w:sz w:val="36"/>
          <w:szCs w:val="36"/>
          <w:rtl/>
        </w:rPr>
        <w:footnoteReference w:id="349"/>
      </w:r>
      <w:r w:rsidR="009C58C8" w:rsidRPr="00FD211F">
        <w:rPr>
          <w:rStyle w:val="a6"/>
          <w:sz w:val="36"/>
          <w:szCs w:val="36"/>
          <w:rtl/>
        </w:rPr>
        <w:t>)</w:t>
      </w:r>
      <w:r w:rsidR="00052BF2" w:rsidRPr="00FD211F">
        <w:rPr>
          <w:sz w:val="36"/>
          <w:szCs w:val="36"/>
          <w:rtl/>
        </w:rPr>
        <w:t>.</w:t>
      </w:r>
    </w:p>
    <w:p w14:paraId="255784F8" w14:textId="77777777" w:rsidR="00052BF2" w:rsidRPr="00FD211F" w:rsidRDefault="009638C9" w:rsidP="009C58C8">
      <w:pPr>
        <w:ind w:left="0" w:firstLine="227"/>
        <w:jc w:val="both"/>
        <w:rPr>
          <w:sz w:val="36"/>
          <w:szCs w:val="36"/>
          <w:rtl/>
        </w:rPr>
      </w:pPr>
      <w:r w:rsidRPr="00FD211F">
        <w:rPr>
          <w:sz w:val="36"/>
          <w:szCs w:val="36"/>
          <w:rtl/>
        </w:rPr>
        <w:t>وقدذكر في البحوث ان</w:t>
      </w:r>
      <w:r w:rsidR="00B253CE" w:rsidRPr="00FD211F">
        <w:rPr>
          <w:sz w:val="36"/>
          <w:szCs w:val="36"/>
          <w:rtl/>
        </w:rPr>
        <w:t xml:space="preserve"> </w:t>
      </w:r>
      <w:r w:rsidR="00052BF2" w:rsidRPr="00FD211F">
        <w:rPr>
          <w:sz w:val="36"/>
          <w:szCs w:val="36"/>
          <w:rtl/>
        </w:rPr>
        <w:t>تقريب المحقق الاصف</w:t>
      </w:r>
      <w:r w:rsidR="008F1EC7" w:rsidRPr="00FD211F">
        <w:rPr>
          <w:sz w:val="36"/>
          <w:szCs w:val="36"/>
          <w:rtl/>
        </w:rPr>
        <w:t xml:space="preserve">هاني </w:t>
      </w:r>
      <w:r w:rsidR="00355236" w:rsidRPr="00FD211F">
        <w:rPr>
          <w:sz w:val="36"/>
          <w:szCs w:val="36"/>
          <w:rtl/>
        </w:rPr>
        <w:t>"قده"</w:t>
      </w:r>
      <w:r w:rsidR="00D9639E" w:rsidRPr="00FD211F">
        <w:rPr>
          <w:sz w:val="36"/>
          <w:szCs w:val="36"/>
          <w:rtl/>
        </w:rPr>
        <w:t xml:space="preserve"> </w:t>
      </w:r>
      <w:r w:rsidR="008F1EC7" w:rsidRPr="00FD211F">
        <w:rPr>
          <w:sz w:val="36"/>
          <w:szCs w:val="36"/>
          <w:rtl/>
        </w:rPr>
        <w:t xml:space="preserve">لدعوى الصحيحي </w:t>
      </w:r>
      <w:r w:rsidRPr="00FD211F">
        <w:rPr>
          <w:sz w:val="36"/>
          <w:szCs w:val="36"/>
          <w:rtl/>
        </w:rPr>
        <w:t>غير متجه</w:t>
      </w:r>
      <w:r w:rsidR="00603323" w:rsidRPr="00FD211F">
        <w:rPr>
          <w:sz w:val="36"/>
          <w:szCs w:val="36"/>
          <w:rtl/>
        </w:rPr>
        <w:t xml:space="preserve">، </w:t>
      </w:r>
      <w:r w:rsidRPr="00FD211F">
        <w:rPr>
          <w:sz w:val="36"/>
          <w:szCs w:val="36"/>
          <w:rtl/>
        </w:rPr>
        <w:t>ف</w:t>
      </w:r>
      <w:r w:rsidR="008F1EC7" w:rsidRPr="00FD211F">
        <w:rPr>
          <w:sz w:val="36"/>
          <w:szCs w:val="36"/>
          <w:rtl/>
        </w:rPr>
        <w:t xml:space="preserve">انه قد يقال </w:t>
      </w:r>
      <w:r w:rsidR="00052BF2" w:rsidRPr="00FD211F">
        <w:rPr>
          <w:sz w:val="36"/>
          <w:szCs w:val="36"/>
          <w:rtl/>
        </w:rPr>
        <w:t>انه اذا امكن استعمال اللفظ مجازا في الأعم بملاحظ</w:t>
      </w:r>
      <w:r w:rsidR="00EC7EDF" w:rsidRPr="00FD211F">
        <w:rPr>
          <w:sz w:val="36"/>
          <w:szCs w:val="36"/>
          <w:rtl/>
        </w:rPr>
        <w:t xml:space="preserve">ة </w:t>
      </w:r>
      <w:r w:rsidR="00052BF2" w:rsidRPr="00FD211F">
        <w:rPr>
          <w:sz w:val="36"/>
          <w:szCs w:val="36"/>
          <w:rtl/>
        </w:rPr>
        <w:t>العلاق</w:t>
      </w:r>
      <w:r w:rsidR="00EC7EDF" w:rsidRPr="00FD211F">
        <w:rPr>
          <w:sz w:val="36"/>
          <w:szCs w:val="36"/>
          <w:rtl/>
        </w:rPr>
        <w:t xml:space="preserve">ة </w:t>
      </w:r>
      <w:r w:rsidR="00052BF2" w:rsidRPr="00FD211F">
        <w:rPr>
          <w:sz w:val="36"/>
          <w:szCs w:val="36"/>
          <w:rtl/>
        </w:rPr>
        <w:t>بينه وبين المعنى الحقيقي</w:t>
      </w:r>
      <w:r w:rsidR="00603323" w:rsidRPr="00FD211F">
        <w:rPr>
          <w:sz w:val="36"/>
          <w:szCs w:val="36"/>
          <w:rtl/>
        </w:rPr>
        <w:t xml:space="preserve">، </w:t>
      </w:r>
      <w:r w:rsidR="00052BF2" w:rsidRPr="00FD211F">
        <w:rPr>
          <w:sz w:val="36"/>
          <w:szCs w:val="36"/>
          <w:rtl/>
        </w:rPr>
        <w:t xml:space="preserve">فلايصلح عرفا ان يستعمل </w:t>
      </w:r>
      <w:r w:rsidR="00E609D1" w:rsidRPr="00FD211F">
        <w:rPr>
          <w:sz w:val="36"/>
          <w:szCs w:val="36"/>
          <w:rtl/>
        </w:rPr>
        <w:t xml:space="preserve">اللفظ </w:t>
      </w:r>
      <w:r w:rsidR="00052BF2" w:rsidRPr="00FD211F">
        <w:rPr>
          <w:sz w:val="36"/>
          <w:szCs w:val="36"/>
          <w:rtl/>
        </w:rPr>
        <w:t xml:space="preserve">في </w:t>
      </w:r>
      <w:r w:rsidR="00E609D1" w:rsidRPr="00FD211F">
        <w:rPr>
          <w:sz w:val="36"/>
          <w:szCs w:val="36"/>
          <w:rtl/>
        </w:rPr>
        <w:t xml:space="preserve">المعنى الشرعي </w:t>
      </w:r>
      <w:r w:rsidR="00052BF2" w:rsidRPr="00FD211F">
        <w:rPr>
          <w:sz w:val="36"/>
          <w:szCs w:val="36"/>
          <w:rtl/>
        </w:rPr>
        <w:t>الصحيح مجازا ثم يطبق ادعاء على الفاسد؛</w:t>
      </w:r>
      <w:r w:rsidR="00936111" w:rsidRPr="00FD211F">
        <w:rPr>
          <w:sz w:val="36"/>
          <w:szCs w:val="36"/>
          <w:rtl/>
        </w:rPr>
        <w:t>فانه</w:t>
      </w:r>
      <w:r w:rsidR="00E609D1" w:rsidRPr="00FD211F">
        <w:rPr>
          <w:sz w:val="36"/>
          <w:szCs w:val="36"/>
          <w:rtl/>
        </w:rPr>
        <w:t xml:space="preserve"> يشتمل على تكلف</w:t>
      </w:r>
      <w:r w:rsidR="00936111" w:rsidRPr="00FD211F">
        <w:rPr>
          <w:sz w:val="36"/>
          <w:szCs w:val="36"/>
          <w:rtl/>
        </w:rPr>
        <w:t xml:space="preserve"> غيرعرفي</w:t>
      </w:r>
      <w:r w:rsidR="00603323" w:rsidRPr="00FD211F">
        <w:rPr>
          <w:sz w:val="36"/>
          <w:szCs w:val="36"/>
          <w:rtl/>
        </w:rPr>
        <w:t xml:space="preserve">، </w:t>
      </w:r>
      <w:r w:rsidR="00052BF2" w:rsidRPr="00FD211F">
        <w:rPr>
          <w:sz w:val="36"/>
          <w:szCs w:val="36"/>
          <w:rtl/>
        </w:rPr>
        <w:t>ولو تنزلنا عن ذلك فلااقل من عدم الاشكال في عرفي</w:t>
      </w:r>
      <w:r w:rsidR="00EC7EDF" w:rsidRPr="00FD211F">
        <w:rPr>
          <w:sz w:val="36"/>
          <w:szCs w:val="36"/>
          <w:rtl/>
        </w:rPr>
        <w:t xml:space="preserve">ة </w:t>
      </w:r>
      <w:r w:rsidR="00052BF2" w:rsidRPr="00FD211F">
        <w:rPr>
          <w:sz w:val="36"/>
          <w:szCs w:val="36"/>
          <w:rtl/>
        </w:rPr>
        <w:t>استعمال اللفظ في الاعم من الصحيح والفاسد ابتداء</w:t>
      </w:r>
      <w:r w:rsidR="00603323" w:rsidRPr="00FD211F">
        <w:rPr>
          <w:sz w:val="36"/>
          <w:szCs w:val="36"/>
          <w:rtl/>
        </w:rPr>
        <w:t xml:space="preserve">، </w:t>
      </w:r>
      <w:r w:rsidR="00052BF2" w:rsidRPr="00FD211F">
        <w:rPr>
          <w:sz w:val="36"/>
          <w:szCs w:val="36"/>
          <w:rtl/>
        </w:rPr>
        <w:t>بل لااشكال في وقوعه خارجا</w:t>
      </w:r>
      <w:r w:rsidR="00603323" w:rsidRPr="00FD211F">
        <w:rPr>
          <w:sz w:val="36"/>
          <w:szCs w:val="36"/>
          <w:rtl/>
        </w:rPr>
        <w:t xml:space="preserve">، </w:t>
      </w:r>
      <w:r w:rsidR="00052BF2" w:rsidRPr="00FD211F">
        <w:rPr>
          <w:sz w:val="36"/>
          <w:szCs w:val="36"/>
          <w:rtl/>
        </w:rPr>
        <w:t>كما في موارد التقسيم الى الصحيح والفاسد</w:t>
      </w:r>
      <w:r w:rsidR="00603323" w:rsidRPr="00FD211F">
        <w:rPr>
          <w:sz w:val="36"/>
          <w:szCs w:val="36"/>
          <w:rtl/>
        </w:rPr>
        <w:t xml:space="preserve">، </w:t>
      </w:r>
      <w:r w:rsidR="00052BF2" w:rsidRPr="00FD211F">
        <w:rPr>
          <w:sz w:val="36"/>
          <w:szCs w:val="36"/>
          <w:rtl/>
        </w:rPr>
        <w:t xml:space="preserve">كقولنا </w:t>
      </w:r>
      <w:r w:rsidR="006A67EE" w:rsidRPr="00FD211F">
        <w:rPr>
          <w:sz w:val="36"/>
          <w:szCs w:val="36"/>
          <w:rtl/>
        </w:rPr>
        <w:t>"</w:t>
      </w:r>
      <w:r w:rsidR="00052BF2" w:rsidRPr="00FD211F">
        <w:rPr>
          <w:sz w:val="36"/>
          <w:szCs w:val="36"/>
          <w:rtl/>
        </w:rPr>
        <w:t>الصلا</w:t>
      </w:r>
      <w:r w:rsidR="00EC7EDF" w:rsidRPr="00FD211F">
        <w:rPr>
          <w:sz w:val="36"/>
          <w:szCs w:val="36"/>
          <w:rtl/>
        </w:rPr>
        <w:t xml:space="preserve">ة </w:t>
      </w:r>
      <w:r w:rsidR="00052BF2" w:rsidRPr="00FD211F">
        <w:rPr>
          <w:sz w:val="36"/>
          <w:szCs w:val="36"/>
          <w:rtl/>
        </w:rPr>
        <w:t>اما صحيح</w:t>
      </w:r>
      <w:r w:rsidR="00EC7EDF" w:rsidRPr="00FD211F">
        <w:rPr>
          <w:sz w:val="36"/>
          <w:szCs w:val="36"/>
          <w:rtl/>
        </w:rPr>
        <w:t xml:space="preserve">ة </w:t>
      </w:r>
      <w:r w:rsidR="00052BF2" w:rsidRPr="00FD211F">
        <w:rPr>
          <w:sz w:val="36"/>
          <w:szCs w:val="36"/>
          <w:rtl/>
        </w:rPr>
        <w:t>او فاسد</w:t>
      </w:r>
      <w:r w:rsidR="00EC7EDF" w:rsidRPr="00FD211F">
        <w:rPr>
          <w:sz w:val="36"/>
          <w:szCs w:val="36"/>
          <w:rtl/>
        </w:rPr>
        <w:t>ة</w:t>
      </w:r>
      <w:r w:rsidR="006A67EE" w:rsidRPr="00FD211F">
        <w:rPr>
          <w:sz w:val="36"/>
          <w:szCs w:val="36"/>
          <w:rtl/>
        </w:rPr>
        <w:t>"</w:t>
      </w:r>
      <w:r w:rsidR="00EC7EDF" w:rsidRPr="00FD211F">
        <w:rPr>
          <w:sz w:val="36"/>
          <w:szCs w:val="36"/>
          <w:rtl/>
        </w:rPr>
        <w:t xml:space="preserve"> </w:t>
      </w:r>
      <w:r w:rsidR="00052BF2" w:rsidRPr="00FD211F">
        <w:rPr>
          <w:sz w:val="36"/>
          <w:szCs w:val="36"/>
          <w:rtl/>
        </w:rPr>
        <w:t>حيث يتعين فيها الاستعمال في الاعم</w:t>
      </w:r>
      <w:r w:rsidR="00603323" w:rsidRPr="00FD211F">
        <w:rPr>
          <w:sz w:val="36"/>
          <w:szCs w:val="36"/>
          <w:rtl/>
        </w:rPr>
        <w:t xml:space="preserve">، </w:t>
      </w:r>
      <w:r w:rsidR="00052BF2" w:rsidRPr="00FD211F">
        <w:rPr>
          <w:sz w:val="36"/>
          <w:szCs w:val="36"/>
          <w:rtl/>
        </w:rPr>
        <w:t>فانه لو استعمل في خصوص الصحيح</w:t>
      </w:r>
      <w:r w:rsidR="008D7B3D" w:rsidRPr="00FD211F">
        <w:rPr>
          <w:sz w:val="36"/>
          <w:szCs w:val="36"/>
          <w:rtl/>
        </w:rPr>
        <w:t xml:space="preserve"> لم‌</w:t>
      </w:r>
      <w:r w:rsidR="00052BF2" w:rsidRPr="00FD211F">
        <w:rPr>
          <w:sz w:val="36"/>
          <w:szCs w:val="36"/>
          <w:rtl/>
        </w:rPr>
        <w:t>يصح تقسيمه الى الصحيح والفاسد</w:t>
      </w:r>
      <w:r w:rsidR="00603323" w:rsidRPr="00FD211F">
        <w:rPr>
          <w:sz w:val="36"/>
          <w:szCs w:val="36"/>
          <w:rtl/>
        </w:rPr>
        <w:t xml:space="preserve">، </w:t>
      </w:r>
      <w:r w:rsidR="00052BF2" w:rsidRPr="00FD211F">
        <w:rPr>
          <w:sz w:val="36"/>
          <w:szCs w:val="36"/>
          <w:rtl/>
        </w:rPr>
        <w:t>كما لايصح ان يقال</w:t>
      </w:r>
      <w:r w:rsidR="006A67EE" w:rsidRPr="00FD211F">
        <w:rPr>
          <w:sz w:val="36"/>
          <w:szCs w:val="36"/>
          <w:rtl/>
        </w:rPr>
        <w:t>"</w:t>
      </w:r>
      <w:r w:rsidR="00052BF2" w:rsidRPr="00FD211F">
        <w:rPr>
          <w:sz w:val="36"/>
          <w:szCs w:val="36"/>
          <w:rtl/>
        </w:rPr>
        <w:t xml:space="preserve"> الاسد إما أسد او رجل شجاع</w:t>
      </w:r>
      <w:r w:rsidR="006A67EE" w:rsidRPr="00FD211F">
        <w:rPr>
          <w:sz w:val="36"/>
          <w:szCs w:val="36"/>
          <w:rtl/>
        </w:rPr>
        <w:t>"</w:t>
      </w:r>
      <w:r w:rsidR="00603323" w:rsidRPr="00FD211F">
        <w:rPr>
          <w:sz w:val="36"/>
          <w:szCs w:val="36"/>
          <w:rtl/>
        </w:rPr>
        <w:t xml:space="preserve">، </w:t>
      </w:r>
      <w:r w:rsidR="00052BF2" w:rsidRPr="00FD211F">
        <w:rPr>
          <w:sz w:val="36"/>
          <w:szCs w:val="36"/>
          <w:rtl/>
        </w:rPr>
        <w:t>بلافرق بين ان يكون اطلاق الأسد على الرجل الشجاع من باب المجاز اللغوي او المجاز الادعائي</w:t>
      </w:r>
      <w:r w:rsidR="00603323" w:rsidRPr="00FD211F">
        <w:rPr>
          <w:sz w:val="36"/>
          <w:szCs w:val="36"/>
          <w:rtl/>
        </w:rPr>
        <w:t xml:space="preserve">، </w:t>
      </w:r>
      <w:r w:rsidR="00052BF2" w:rsidRPr="00FD211F">
        <w:rPr>
          <w:sz w:val="36"/>
          <w:szCs w:val="36"/>
          <w:rtl/>
        </w:rPr>
        <w:t>وعليه فلاينحصر تقريب مسلك الصحيحي بالطريق</w:t>
      </w:r>
      <w:r w:rsidR="00EC7EDF" w:rsidRPr="00FD211F">
        <w:rPr>
          <w:sz w:val="36"/>
          <w:szCs w:val="36"/>
          <w:rtl/>
        </w:rPr>
        <w:t xml:space="preserve">ة </w:t>
      </w:r>
      <w:r w:rsidR="00052BF2" w:rsidRPr="00FD211F">
        <w:rPr>
          <w:sz w:val="36"/>
          <w:szCs w:val="36"/>
          <w:rtl/>
        </w:rPr>
        <w:t xml:space="preserve">التي ذكرها </w:t>
      </w:r>
      <w:r w:rsidR="00936111" w:rsidRPr="00FD211F">
        <w:rPr>
          <w:sz w:val="36"/>
          <w:szCs w:val="36"/>
          <w:rtl/>
        </w:rPr>
        <w:t>المحقق الاصفهاني "</w:t>
      </w:r>
      <w:r w:rsidR="00052BF2" w:rsidRPr="00FD211F">
        <w:rPr>
          <w:sz w:val="36"/>
          <w:szCs w:val="36"/>
          <w:rtl/>
        </w:rPr>
        <w:t>قده</w:t>
      </w:r>
      <w:r w:rsidR="00936111" w:rsidRPr="00FD211F">
        <w:rPr>
          <w:sz w:val="36"/>
          <w:szCs w:val="36"/>
          <w:rtl/>
        </w:rPr>
        <w:t>"</w:t>
      </w:r>
      <w:r w:rsidR="008F1EC7" w:rsidRPr="00FD211F">
        <w:rPr>
          <w:sz w:val="36"/>
          <w:szCs w:val="36"/>
          <w:rtl/>
        </w:rPr>
        <w:t xml:space="preserve"> من ان استعمال اللفظ في الاعم من الصحيح والفاسديكون بادعاءكونه مصداقاللصحيح على نحو المجاز الادعائي</w:t>
      </w:r>
      <w:r w:rsidR="00052BF2" w:rsidRPr="00FD211F">
        <w:rPr>
          <w:sz w:val="36"/>
          <w:szCs w:val="36"/>
          <w:rtl/>
        </w:rPr>
        <w:t>.</w:t>
      </w:r>
    </w:p>
    <w:p w14:paraId="2994ED25" w14:textId="77777777" w:rsidR="00052BF2" w:rsidRPr="00FD211F" w:rsidRDefault="00E609D1" w:rsidP="009C58C8">
      <w:pPr>
        <w:ind w:left="0" w:firstLine="227"/>
        <w:jc w:val="both"/>
        <w:rPr>
          <w:sz w:val="36"/>
          <w:szCs w:val="36"/>
          <w:rtl/>
        </w:rPr>
      </w:pPr>
      <w:r w:rsidRPr="00FD211F">
        <w:rPr>
          <w:sz w:val="36"/>
          <w:szCs w:val="36"/>
          <w:rtl/>
        </w:rPr>
        <w:t xml:space="preserve">وهكذا تقريب </w:t>
      </w:r>
      <w:r w:rsidR="00936111" w:rsidRPr="00FD211F">
        <w:rPr>
          <w:sz w:val="36"/>
          <w:szCs w:val="36"/>
          <w:rtl/>
        </w:rPr>
        <w:t>المحقق الاصفهاني "قده"</w:t>
      </w:r>
      <w:r w:rsidRPr="00FD211F">
        <w:rPr>
          <w:sz w:val="36"/>
          <w:szCs w:val="36"/>
          <w:rtl/>
        </w:rPr>
        <w:t xml:space="preserve"> ل</w:t>
      </w:r>
      <w:r w:rsidR="00052BF2" w:rsidRPr="00FD211F">
        <w:rPr>
          <w:sz w:val="36"/>
          <w:szCs w:val="36"/>
          <w:rtl/>
        </w:rPr>
        <w:t>دعوى الاعمي</w:t>
      </w:r>
      <w:r w:rsidRPr="00FD211F">
        <w:rPr>
          <w:sz w:val="36"/>
          <w:szCs w:val="36"/>
          <w:rtl/>
        </w:rPr>
        <w:t>-من</w:t>
      </w:r>
      <w:r w:rsidR="00052BF2" w:rsidRPr="00FD211F">
        <w:rPr>
          <w:sz w:val="36"/>
          <w:szCs w:val="36"/>
          <w:rtl/>
        </w:rPr>
        <w:t xml:space="preserve"> استعمال اللفظ في الاعم مجازا دائما</w:t>
      </w:r>
      <w:r w:rsidR="00603323" w:rsidRPr="00FD211F">
        <w:rPr>
          <w:sz w:val="36"/>
          <w:szCs w:val="36"/>
          <w:rtl/>
        </w:rPr>
        <w:t xml:space="preserve">، </w:t>
      </w:r>
      <w:r w:rsidR="00052BF2" w:rsidRPr="00FD211F">
        <w:rPr>
          <w:sz w:val="36"/>
          <w:szCs w:val="36"/>
          <w:rtl/>
        </w:rPr>
        <w:t>وتكون اراد</w:t>
      </w:r>
      <w:r w:rsidR="00EC7EDF" w:rsidRPr="00FD211F">
        <w:rPr>
          <w:sz w:val="36"/>
          <w:szCs w:val="36"/>
          <w:rtl/>
        </w:rPr>
        <w:t xml:space="preserve">ة </w:t>
      </w:r>
      <w:r w:rsidR="00052BF2" w:rsidRPr="00FD211F">
        <w:rPr>
          <w:sz w:val="36"/>
          <w:szCs w:val="36"/>
          <w:rtl/>
        </w:rPr>
        <w:t>خصوص الصحيح بنحو تعدد الدال والمدلول- بان تعدد الدال والمدلول انما يكون عرفيا فيما اذا اريد التحفظ على المعنى الحقيقي</w:t>
      </w:r>
      <w:r w:rsidR="00603323" w:rsidRPr="00FD211F">
        <w:rPr>
          <w:sz w:val="36"/>
          <w:szCs w:val="36"/>
          <w:rtl/>
        </w:rPr>
        <w:t xml:space="preserve">، </w:t>
      </w:r>
      <w:r w:rsidR="00052BF2" w:rsidRPr="00FD211F">
        <w:rPr>
          <w:sz w:val="36"/>
          <w:szCs w:val="36"/>
          <w:rtl/>
        </w:rPr>
        <w:t>كما في استعمال المطلق واراد</w:t>
      </w:r>
      <w:r w:rsidR="00EC7EDF" w:rsidRPr="00FD211F">
        <w:rPr>
          <w:sz w:val="36"/>
          <w:szCs w:val="36"/>
          <w:rtl/>
        </w:rPr>
        <w:t xml:space="preserve">ة </w:t>
      </w:r>
      <w:r w:rsidR="00052BF2" w:rsidRPr="00FD211F">
        <w:rPr>
          <w:sz w:val="36"/>
          <w:szCs w:val="36"/>
          <w:rtl/>
        </w:rPr>
        <w:t>المقيد</w:t>
      </w:r>
      <w:r w:rsidR="00603323" w:rsidRPr="00FD211F">
        <w:rPr>
          <w:sz w:val="36"/>
          <w:szCs w:val="36"/>
          <w:rtl/>
        </w:rPr>
        <w:t xml:space="preserve">، </w:t>
      </w:r>
      <w:r w:rsidR="00052BF2" w:rsidRPr="00FD211F">
        <w:rPr>
          <w:sz w:val="36"/>
          <w:szCs w:val="36"/>
          <w:rtl/>
        </w:rPr>
        <w:t>لامثل المقام مما يكون الاستعمال في كل من الاعم او الصحيح مجازيا</w:t>
      </w:r>
      <w:r w:rsidR="00603323" w:rsidRPr="00FD211F">
        <w:rPr>
          <w:sz w:val="36"/>
          <w:szCs w:val="36"/>
          <w:rtl/>
        </w:rPr>
        <w:t xml:space="preserve">، </w:t>
      </w:r>
      <w:r w:rsidR="00052BF2" w:rsidRPr="00FD211F">
        <w:rPr>
          <w:sz w:val="36"/>
          <w:szCs w:val="36"/>
          <w:rtl/>
        </w:rPr>
        <w:t>فلايبقى حيئنذ موجب عرفي لاستعمال اللفظ مجازا في الاعم واراد</w:t>
      </w:r>
      <w:r w:rsidR="00EC7EDF" w:rsidRPr="00FD211F">
        <w:rPr>
          <w:sz w:val="36"/>
          <w:szCs w:val="36"/>
          <w:rtl/>
        </w:rPr>
        <w:t xml:space="preserve">ة </w:t>
      </w:r>
      <w:r w:rsidR="00052BF2" w:rsidRPr="00FD211F">
        <w:rPr>
          <w:sz w:val="36"/>
          <w:szCs w:val="36"/>
          <w:rtl/>
        </w:rPr>
        <w:t>خصوص الصحيح من باب تعدد الدال والمدلول</w:t>
      </w:r>
      <w:r w:rsidR="009C58C8" w:rsidRPr="00FD211F">
        <w:rPr>
          <w:rStyle w:val="a6"/>
          <w:sz w:val="36"/>
          <w:szCs w:val="36"/>
          <w:rtl/>
        </w:rPr>
        <w:t>(</w:t>
      </w:r>
      <w:r w:rsidR="009C58C8" w:rsidRPr="00FD211F">
        <w:rPr>
          <w:rStyle w:val="a6"/>
          <w:sz w:val="36"/>
          <w:szCs w:val="36"/>
          <w:rtl/>
        </w:rPr>
        <w:footnoteReference w:id="350"/>
      </w:r>
      <w:r w:rsidR="009C58C8" w:rsidRPr="00FD211F">
        <w:rPr>
          <w:rStyle w:val="a6"/>
          <w:sz w:val="36"/>
          <w:szCs w:val="36"/>
          <w:rtl/>
        </w:rPr>
        <w:t>)</w:t>
      </w:r>
      <w:r w:rsidR="00052BF2" w:rsidRPr="00FD211F">
        <w:rPr>
          <w:sz w:val="36"/>
          <w:szCs w:val="36"/>
          <w:rtl/>
        </w:rPr>
        <w:t>.</w:t>
      </w:r>
    </w:p>
    <w:p w14:paraId="515A701E" w14:textId="77777777" w:rsidR="00052BF2" w:rsidRPr="00FD211F" w:rsidRDefault="00052BF2" w:rsidP="009C58C8">
      <w:pPr>
        <w:ind w:left="0" w:firstLine="227"/>
        <w:jc w:val="both"/>
        <w:rPr>
          <w:sz w:val="36"/>
          <w:szCs w:val="36"/>
          <w:rtl/>
        </w:rPr>
      </w:pPr>
      <w:r w:rsidRPr="00FD211F">
        <w:rPr>
          <w:sz w:val="36"/>
          <w:szCs w:val="36"/>
          <w:rtl/>
        </w:rPr>
        <w:t>اقول: ا</w:t>
      </w:r>
      <w:r w:rsidR="00553CB8" w:rsidRPr="00FD211F">
        <w:rPr>
          <w:sz w:val="36"/>
          <w:szCs w:val="36"/>
          <w:rtl/>
        </w:rPr>
        <w:t>لعمد</w:t>
      </w:r>
      <w:r w:rsidR="00EC7EDF" w:rsidRPr="00FD211F">
        <w:rPr>
          <w:sz w:val="36"/>
          <w:szCs w:val="36"/>
          <w:rtl/>
        </w:rPr>
        <w:t xml:space="preserve">ة </w:t>
      </w:r>
      <w:r w:rsidR="00553CB8" w:rsidRPr="00FD211F">
        <w:rPr>
          <w:sz w:val="36"/>
          <w:szCs w:val="36"/>
          <w:rtl/>
        </w:rPr>
        <w:t>في الاشكال على ما</w:t>
      </w:r>
      <w:r w:rsidRPr="00FD211F">
        <w:rPr>
          <w:sz w:val="36"/>
          <w:szCs w:val="36"/>
          <w:rtl/>
        </w:rPr>
        <w:t>ذكره المحقق الاصفهاني</w:t>
      </w:r>
      <w:r w:rsidR="008F14E7" w:rsidRPr="00FD211F">
        <w:rPr>
          <w:sz w:val="36"/>
          <w:szCs w:val="36"/>
          <w:rtl/>
        </w:rPr>
        <w:t xml:space="preserve"> "قده"</w:t>
      </w:r>
      <w:r w:rsidR="00553CB8" w:rsidRPr="00FD211F">
        <w:rPr>
          <w:sz w:val="36"/>
          <w:szCs w:val="36"/>
          <w:rtl/>
        </w:rPr>
        <w:t>هو ان تصوير النزاع على القول باستعمال الفاظ العبادات في خطاب الشارع في معانيها الشرعي</w:t>
      </w:r>
      <w:r w:rsidR="00EC7EDF" w:rsidRPr="00FD211F">
        <w:rPr>
          <w:sz w:val="36"/>
          <w:szCs w:val="36"/>
          <w:rtl/>
        </w:rPr>
        <w:t xml:space="preserve">ة </w:t>
      </w:r>
      <w:r w:rsidR="00553CB8" w:rsidRPr="00FD211F">
        <w:rPr>
          <w:sz w:val="36"/>
          <w:szCs w:val="36"/>
          <w:rtl/>
        </w:rPr>
        <w:t>بنحو المجاز</w:t>
      </w:r>
      <w:r w:rsidR="00603323" w:rsidRPr="00FD211F">
        <w:rPr>
          <w:sz w:val="36"/>
          <w:szCs w:val="36"/>
          <w:rtl/>
        </w:rPr>
        <w:t xml:space="preserve">، </w:t>
      </w:r>
      <w:r w:rsidR="00553CB8" w:rsidRPr="00FD211F">
        <w:rPr>
          <w:sz w:val="36"/>
          <w:szCs w:val="36"/>
          <w:rtl/>
        </w:rPr>
        <w:t xml:space="preserve">لايتوقف </w:t>
      </w:r>
      <w:r w:rsidRPr="00FD211F">
        <w:rPr>
          <w:sz w:val="36"/>
          <w:szCs w:val="36"/>
          <w:rtl/>
        </w:rPr>
        <w:t>على هذا الوجه الذ</w:t>
      </w:r>
      <w:r w:rsidR="00553CB8" w:rsidRPr="00FD211F">
        <w:rPr>
          <w:sz w:val="36"/>
          <w:szCs w:val="36"/>
          <w:rtl/>
        </w:rPr>
        <w:t>ي ذكره</w:t>
      </w:r>
      <w:r w:rsidRPr="00FD211F">
        <w:rPr>
          <w:sz w:val="36"/>
          <w:szCs w:val="36"/>
          <w:rtl/>
        </w:rPr>
        <w:t>.</w:t>
      </w:r>
    </w:p>
    <w:p w14:paraId="158C1A46" w14:textId="77777777" w:rsidR="00052BF2" w:rsidRPr="00FD211F" w:rsidRDefault="00553CB8" w:rsidP="009C58C8">
      <w:pPr>
        <w:ind w:left="0" w:firstLine="227"/>
        <w:jc w:val="both"/>
        <w:rPr>
          <w:sz w:val="36"/>
          <w:szCs w:val="36"/>
          <w:rtl/>
        </w:rPr>
      </w:pPr>
      <w:r w:rsidRPr="00FD211F">
        <w:rPr>
          <w:sz w:val="36"/>
          <w:szCs w:val="36"/>
          <w:rtl/>
        </w:rPr>
        <w:t xml:space="preserve">بل يمكن ان </w:t>
      </w:r>
      <w:r w:rsidR="00052BF2" w:rsidRPr="00FD211F">
        <w:rPr>
          <w:sz w:val="36"/>
          <w:szCs w:val="36"/>
          <w:rtl/>
        </w:rPr>
        <w:t>يكون النزاع في تحديد مفاد القرين</w:t>
      </w:r>
      <w:r w:rsidR="00EC7EDF" w:rsidRPr="00FD211F">
        <w:rPr>
          <w:sz w:val="36"/>
          <w:szCs w:val="36"/>
          <w:rtl/>
        </w:rPr>
        <w:t xml:space="preserve">ة </w:t>
      </w:r>
      <w:r w:rsidR="00052BF2" w:rsidRPr="00FD211F">
        <w:rPr>
          <w:sz w:val="36"/>
          <w:szCs w:val="36"/>
          <w:rtl/>
        </w:rPr>
        <w:t>العام</w:t>
      </w:r>
      <w:r w:rsidR="00EC7EDF" w:rsidRPr="00FD211F">
        <w:rPr>
          <w:sz w:val="36"/>
          <w:szCs w:val="36"/>
          <w:rtl/>
        </w:rPr>
        <w:t xml:space="preserve">ة </w:t>
      </w:r>
      <w:r w:rsidR="00052BF2" w:rsidRPr="00FD211F">
        <w:rPr>
          <w:sz w:val="36"/>
          <w:szCs w:val="36"/>
          <w:rtl/>
        </w:rPr>
        <w:t>التي نصبها الشارع في استعمال</w:t>
      </w:r>
      <w:r w:rsidR="00936111" w:rsidRPr="00FD211F">
        <w:rPr>
          <w:sz w:val="36"/>
          <w:szCs w:val="36"/>
          <w:rtl/>
        </w:rPr>
        <w:t>ا</w:t>
      </w:r>
      <w:r w:rsidR="00052BF2" w:rsidRPr="00FD211F">
        <w:rPr>
          <w:sz w:val="36"/>
          <w:szCs w:val="36"/>
          <w:rtl/>
        </w:rPr>
        <w:t>ته المجازي</w:t>
      </w:r>
      <w:r w:rsidR="00EC7EDF" w:rsidRPr="00FD211F">
        <w:rPr>
          <w:sz w:val="36"/>
          <w:szCs w:val="36"/>
          <w:rtl/>
        </w:rPr>
        <w:t>ة</w:t>
      </w:r>
      <w:r w:rsidR="00603323" w:rsidRPr="00FD211F">
        <w:rPr>
          <w:sz w:val="36"/>
          <w:szCs w:val="36"/>
          <w:rtl/>
        </w:rPr>
        <w:t xml:space="preserve">، </w:t>
      </w:r>
      <w:r w:rsidR="00052BF2" w:rsidRPr="00FD211F">
        <w:rPr>
          <w:sz w:val="36"/>
          <w:szCs w:val="36"/>
          <w:rtl/>
        </w:rPr>
        <w:t>فالصحيحي يدعي ان القرين</w:t>
      </w:r>
      <w:r w:rsidR="00EC7EDF" w:rsidRPr="00FD211F">
        <w:rPr>
          <w:sz w:val="36"/>
          <w:szCs w:val="36"/>
          <w:rtl/>
        </w:rPr>
        <w:t xml:space="preserve">ة </w:t>
      </w:r>
      <w:r w:rsidR="00052BF2" w:rsidRPr="00FD211F">
        <w:rPr>
          <w:sz w:val="36"/>
          <w:szCs w:val="36"/>
          <w:rtl/>
        </w:rPr>
        <w:t>العام</w:t>
      </w:r>
      <w:r w:rsidR="00EC7EDF" w:rsidRPr="00FD211F">
        <w:rPr>
          <w:sz w:val="36"/>
          <w:szCs w:val="36"/>
          <w:rtl/>
        </w:rPr>
        <w:t xml:space="preserve">ة </w:t>
      </w:r>
      <w:r w:rsidR="00052BF2" w:rsidRPr="00FD211F">
        <w:rPr>
          <w:sz w:val="36"/>
          <w:szCs w:val="36"/>
          <w:rtl/>
        </w:rPr>
        <w:t>قائم</w:t>
      </w:r>
      <w:r w:rsidR="00EC7EDF" w:rsidRPr="00FD211F">
        <w:rPr>
          <w:sz w:val="36"/>
          <w:szCs w:val="36"/>
          <w:rtl/>
        </w:rPr>
        <w:t xml:space="preserve">ة </w:t>
      </w:r>
      <w:r w:rsidR="00052BF2" w:rsidRPr="00FD211F">
        <w:rPr>
          <w:sz w:val="36"/>
          <w:szCs w:val="36"/>
          <w:rtl/>
        </w:rPr>
        <w:t>على استعمال الشارع تلك الالفاظ –فيما اذا نصب قرين</w:t>
      </w:r>
      <w:r w:rsidR="00EC7EDF" w:rsidRPr="00FD211F">
        <w:rPr>
          <w:sz w:val="36"/>
          <w:szCs w:val="36"/>
          <w:rtl/>
        </w:rPr>
        <w:t xml:space="preserve">ة </w:t>
      </w:r>
      <w:r w:rsidR="00052BF2" w:rsidRPr="00FD211F">
        <w:rPr>
          <w:sz w:val="36"/>
          <w:szCs w:val="36"/>
          <w:rtl/>
        </w:rPr>
        <w:t>على عدم اراد</w:t>
      </w:r>
      <w:r w:rsidR="00EC7EDF" w:rsidRPr="00FD211F">
        <w:rPr>
          <w:sz w:val="36"/>
          <w:szCs w:val="36"/>
          <w:rtl/>
        </w:rPr>
        <w:t xml:space="preserve">ة </w:t>
      </w:r>
      <w:r w:rsidR="00052BF2" w:rsidRPr="00FD211F">
        <w:rPr>
          <w:sz w:val="36"/>
          <w:szCs w:val="36"/>
          <w:rtl/>
        </w:rPr>
        <w:t>معانيها اللغوي</w:t>
      </w:r>
      <w:r w:rsidR="00EC7EDF" w:rsidRPr="00FD211F">
        <w:rPr>
          <w:sz w:val="36"/>
          <w:szCs w:val="36"/>
          <w:rtl/>
        </w:rPr>
        <w:t xml:space="preserve">ة </w:t>
      </w:r>
      <w:r w:rsidR="009977FE" w:rsidRPr="00FD211F">
        <w:rPr>
          <w:sz w:val="36"/>
          <w:szCs w:val="36"/>
          <w:rtl/>
        </w:rPr>
        <w:t>و</w:t>
      </w:r>
      <w:r w:rsidR="008D7B3D" w:rsidRPr="00FD211F">
        <w:rPr>
          <w:sz w:val="36"/>
          <w:szCs w:val="36"/>
          <w:rtl/>
        </w:rPr>
        <w:t xml:space="preserve"> لم‌</w:t>
      </w:r>
      <w:r w:rsidR="00052BF2" w:rsidRPr="00FD211F">
        <w:rPr>
          <w:sz w:val="36"/>
          <w:szCs w:val="36"/>
          <w:rtl/>
        </w:rPr>
        <w:t>ينصب قرين</w:t>
      </w:r>
      <w:r w:rsidR="00EC7EDF" w:rsidRPr="00FD211F">
        <w:rPr>
          <w:sz w:val="36"/>
          <w:szCs w:val="36"/>
          <w:rtl/>
        </w:rPr>
        <w:t xml:space="preserve">ة </w:t>
      </w:r>
      <w:r w:rsidR="00052BF2" w:rsidRPr="00FD211F">
        <w:rPr>
          <w:sz w:val="36"/>
          <w:szCs w:val="36"/>
          <w:rtl/>
        </w:rPr>
        <w:t>خاص</w:t>
      </w:r>
      <w:r w:rsidR="00EC7EDF" w:rsidRPr="00FD211F">
        <w:rPr>
          <w:sz w:val="36"/>
          <w:szCs w:val="36"/>
          <w:rtl/>
        </w:rPr>
        <w:t xml:space="preserve">ة </w:t>
      </w:r>
      <w:r w:rsidR="00052BF2" w:rsidRPr="00FD211F">
        <w:rPr>
          <w:sz w:val="36"/>
          <w:szCs w:val="36"/>
          <w:rtl/>
        </w:rPr>
        <w:t>على استعمالها في الاعم- في خصوص الصحيح من المعاني الشرعي</w:t>
      </w:r>
      <w:r w:rsidR="00EC7EDF" w:rsidRPr="00FD211F">
        <w:rPr>
          <w:sz w:val="36"/>
          <w:szCs w:val="36"/>
          <w:rtl/>
        </w:rPr>
        <w:t>ة</w:t>
      </w:r>
      <w:r w:rsidR="00603323" w:rsidRPr="00FD211F">
        <w:rPr>
          <w:sz w:val="36"/>
          <w:szCs w:val="36"/>
          <w:rtl/>
        </w:rPr>
        <w:t xml:space="preserve">، </w:t>
      </w:r>
      <w:r w:rsidR="00052BF2" w:rsidRPr="00FD211F">
        <w:rPr>
          <w:sz w:val="36"/>
          <w:szCs w:val="36"/>
          <w:rtl/>
        </w:rPr>
        <w:t>والأعمي يدعي ان القرين</w:t>
      </w:r>
      <w:r w:rsidR="00EC7EDF" w:rsidRPr="00FD211F">
        <w:rPr>
          <w:sz w:val="36"/>
          <w:szCs w:val="36"/>
          <w:rtl/>
        </w:rPr>
        <w:t xml:space="preserve">ة </w:t>
      </w:r>
      <w:r w:rsidR="00052BF2" w:rsidRPr="00FD211F">
        <w:rPr>
          <w:sz w:val="36"/>
          <w:szCs w:val="36"/>
          <w:rtl/>
        </w:rPr>
        <w:t>العام</w:t>
      </w:r>
      <w:r w:rsidR="00EC7EDF" w:rsidRPr="00FD211F">
        <w:rPr>
          <w:sz w:val="36"/>
          <w:szCs w:val="36"/>
          <w:rtl/>
        </w:rPr>
        <w:t xml:space="preserve">ة </w:t>
      </w:r>
      <w:r w:rsidR="00052BF2" w:rsidRPr="00FD211F">
        <w:rPr>
          <w:sz w:val="36"/>
          <w:szCs w:val="36"/>
          <w:rtl/>
        </w:rPr>
        <w:t>قائم</w:t>
      </w:r>
      <w:r w:rsidR="00EC7EDF" w:rsidRPr="00FD211F">
        <w:rPr>
          <w:sz w:val="36"/>
          <w:szCs w:val="36"/>
          <w:rtl/>
        </w:rPr>
        <w:t xml:space="preserve">ة </w:t>
      </w:r>
      <w:r w:rsidR="00052BF2" w:rsidRPr="00FD211F">
        <w:rPr>
          <w:sz w:val="36"/>
          <w:szCs w:val="36"/>
          <w:rtl/>
        </w:rPr>
        <w:t>على استعمال تلك الالفاظ في الاعم كذلك.</w:t>
      </w:r>
    </w:p>
    <w:p w14:paraId="3AD8AE12" w14:textId="77777777" w:rsidR="00052BF2" w:rsidRPr="00FD211F" w:rsidRDefault="00052BF2" w:rsidP="009C58C8">
      <w:pPr>
        <w:ind w:left="0" w:firstLine="227"/>
        <w:jc w:val="both"/>
        <w:rPr>
          <w:sz w:val="36"/>
          <w:szCs w:val="36"/>
          <w:rtl/>
        </w:rPr>
      </w:pPr>
      <w:r w:rsidRPr="00FD211F">
        <w:rPr>
          <w:sz w:val="36"/>
          <w:szCs w:val="36"/>
          <w:rtl/>
        </w:rPr>
        <w:t>وقد اورد عليه صاحب الكفاي</w:t>
      </w:r>
      <w:r w:rsidR="00EC7EDF" w:rsidRPr="00FD211F">
        <w:rPr>
          <w:sz w:val="36"/>
          <w:szCs w:val="36"/>
          <w:rtl/>
        </w:rPr>
        <w:t xml:space="preserve">ة </w:t>
      </w:r>
      <w:r w:rsidR="00553CB8" w:rsidRPr="00FD211F">
        <w:rPr>
          <w:sz w:val="36"/>
          <w:szCs w:val="36"/>
          <w:rtl/>
        </w:rPr>
        <w:t>"قده"</w:t>
      </w:r>
      <w:r w:rsidRPr="00FD211F">
        <w:rPr>
          <w:sz w:val="36"/>
          <w:szCs w:val="36"/>
          <w:rtl/>
        </w:rPr>
        <w:t>بعدم امكان اثبات تلك القرين</w:t>
      </w:r>
      <w:r w:rsidR="00EC7EDF" w:rsidRPr="00FD211F">
        <w:rPr>
          <w:sz w:val="36"/>
          <w:szCs w:val="36"/>
          <w:rtl/>
        </w:rPr>
        <w:t xml:space="preserve">ة </w:t>
      </w:r>
      <w:r w:rsidRPr="00FD211F">
        <w:rPr>
          <w:sz w:val="36"/>
          <w:szCs w:val="36"/>
          <w:rtl/>
        </w:rPr>
        <w:t>العام</w:t>
      </w:r>
      <w:r w:rsidR="00EC7EDF" w:rsidRPr="00FD211F">
        <w:rPr>
          <w:sz w:val="36"/>
          <w:szCs w:val="36"/>
          <w:rtl/>
        </w:rPr>
        <w:t>ة</w:t>
      </w:r>
      <w:r w:rsidR="00603323" w:rsidRPr="00FD211F">
        <w:rPr>
          <w:sz w:val="36"/>
          <w:szCs w:val="36"/>
          <w:rtl/>
        </w:rPr>
        <w:t xml:space="preserve">، </w:t>
      </w:r>
      <w:r w:rsidRPr="00FD211F">
        <w:rPr>
          <w:sz w:val="36"/>
          <w:szCs w:val="36"/>
          <w:rtl/>
        </w:rPr>
        <w:t>ف</w:t>
      </w:r>
      <w:r w:rsidR="00DB2B48" w:rsidRPr="00FD211F">
        <w:rPr>
          <w:sz w:val="36"/>
          <w:szCs w:val="36"/>
          <w:rtl/>
        </w:rPr>
        <w:t>لايكون النزاع حينئذ نزاعا علميا</w:t>
      </w:r>
      <w:r w:rsidR="00603323" w:rsidRPr="00FD211F">
        <w:rPr>
          <w:sz w:val="36"/>
          <w:szCs w:val="36"/>
          <w:rtl/>
        </w:rPr>
        <w:t xml:space="preserve">، </w:t>
      </w:r>
      <w:r w:rsidR="00DB2B48" w:rsidRPr="00FD211F">
        <w:rPr>
          <w:sz w:val="36"/>
          <w:szCs w:val="36"/>
          <w:rtl/>
        </w:rPr>
        <w:t>لعدم امكان اثبات احد طرفي النزاع بطريق علمي.</w:t>
      </w:r>
    </w:p>
    <w:p w14:paraId="259ABCAF" w14:textId="77777777" w:rsidR="000C5BBA" w:rsidRPr="00FD211F" w:rsidRDefault="00052BF2" w:rsidP="009C58C8">
      <w:pPr>
        <w:ind w:left="0" w:firstLine="227"/>
        <w:jc w:val="both"/>
        <w:rPr>
          <w:sz w:val="36"/>
          <w:szCs w:val="36"/>
          <w:rtl/>
        </w:rPr>
      </w:pPr>
      <w:r w:rsidRPr="00FD211F">
        <w:rPr>
          <w:sz w:val="36"/>
          <w:szCs w:val="36"/>
          <w:rtl/>
        </w:rPr>
        <w:t>ولكن قد يجاب عنه -كما ذكره المحقق الايرواني قده</w:t>
      </w:r>
      <w:r w:rsidR="009C58C8" w:rsidRPr="00FD211F">
        <w:rPr>
          <w:rStyle w:val="a6"/>
          <w:sz w:val="36"/>
          <w:szCs w:val="36"/>
          <w:rtl/>
        </w:rPr>
        <w:t>(</w:t>
      </w:r>
      <w:r w:rsidR="009C58C8" w:rsidRPr="00FD211F">
        <w:rPr>
          <w:rStyle w:val="a6"/>
          <w:sz w:val="36"/>
          <w:szCs w:val="36"/>
          <w:rtl/>
        </w:rPr>
        <w:footnoteReference w:id="351"/>
      </w:r>
      <w:r w:rsidR="009C58C8" w:rsidRPr="00FD211F">
        <w:rPr>
          <w:rStyle w:val="a6"/>
          <w:sz w:val="36"/>
          <w:szCs w:val="36"/>
          <w:rtl/>
        </w:rPr>
        <w:t>)</w:t>
      </w:r>
      <w:r w:rsidRPr="00FD211F">
        <w:rPr>
          <w:sz w:val="36"/>
          <w:szCs w:val="36"/>
          <w:rtl/>
        </w:rPr>
        <w:t>- بامكان احراز القرين</w:t>
      </w:r>
      <w:r w:rsidR="00EC7EDF" w:rsidRPr="00FD211F">
        <w:rPr>
          <w:sz w:val="36"/>
          <w:szCs w:val="36"/>
          <w:rtl/>
        </w:rPr>
        <w:t xml:space="preserve">ة </w:t>
      </w:r>
      <w:r w:rsidRPr="00FD211F">
        <w:rPr>
          <w:sz w:val="36"/>
          <w:szCs w:val="36"/>
          <w:rtl/>
        </w:rPr>
        <w:t>العام</w:t>
      </w:r>
      <w:r w:rsidR="00EC7EDF" w:rsidRPr="00FD211F">
        <w:rPr>
          <w:sz w:val="36"/>
          <w:szCs w:val="36"/>
          <w:rtl/>
        </w:rPr>
        <w:t xml:space="preserve">ة </w:t>
      </w:r>
      <w:r w:rsidRPr="00FD211F">
        <w:rPr>
          <w:sz w:val="36"/>
          <w:szCs w:val="36"/>
          <w:rtl/>
        </w:rPr>
        <w:t>بواسط</w:t>
      </w:r>
      <w:r w:rsidR="00EC7EDF" w:rsidRPr="00FD211F">
        <w:rPr>
          <w:sz w:val="36"/>
          <w:szCs w:val="36"/>
          <w:rtl/>
        </w:rPr>
        <w:t xml:space="preserve">ة </w:t>
      </w:r>
      <w:r w:rsidRPr="00FD211F">
        <w:rPr>
          <w:sz w:val="36"/>
          <w:szCs w:val="36"/>
          <w:rtl/>
        </w:rPr>
        <w:t>تبادر المتشرع</w:t>
      </w:r>
      <w:r w:rsidR="00EC7EDF" w:rsidRPr="00FD211F">
        <w:rPr>
          <w:sz w:val="36"/>
          <w:szCs w:val="36"/>
          <w:rtl/>
        </w:rPr>
        <w:t xml:space="preserve">ة </w:t>
      </w:r>
      <w:r w:rsidRPr="00FD211F">
        <w:rPr>
          <w:sz w:val="36"/>
          <w:szCs w:val="36"/>
          <w:rtl/>
        </w:rPr>
        <w:t>من اللفظ المقرون بالقرين</w:t>
      </w:r>
      <w:r w:rsidR="00EC7EDF" w:rsidRPr="00FD211F">
        <w:rPr>
          <w:sz w:val="36"/>
          <w:szCs w:val="36"/>
          <w:rtl/>
        </w:rPr>
        <w:t xml:space="preserve">ة </w:t>
      </w:r>
      <w:r w:rsidRPr="00FD211F">
        <w:rPr>
          <w:sz w:val="36"/>
          <w:szCs w:val="36"/>
          <w:rtl/>
        </w:rPr>
        <w:t>الصارف</w:t>
      </w:r>
      <w:r w:rsidR="00EC7EDF" w:rsidRPr="00FD211F">
        <w:rPr>
          <w:sz w:val="36"/>
          <w:szCs w:val="36"/>
          <w:rtl/>
        </w:rPr>
        <w:t xml:space="preserve">ة </w:t>
      </w:r>
      <w:r w:rsidRPr="00FD211F">
        <w:rPr>
          <w:sz w:val="36"/>
          <w:szCs w:val="36"/>
          <w:rtl/>
        </w:rPr>
        <w:t>عن معناه الحقيقي</w:t>
      </w:r>
      <w:r w:rsidR="00603323" w:rsidRPr="00FD211F">
        <w:rPr>
          <w:sz w:val="36"/>
          <w:szCs w:val="36"/>
          <w:rtl/>
        </w:rPr>
        <w:t xml:space="preserve">، </w:t>
      </w:r>
      <w:r w:rsidRPr="00FD211F">
        <w:rPr>
          <w:sz w:val="36"/>
          <w:szCs w:val="36"/>
          <w:rtl/>
        </w:rPr>
        <w:t>فيستكشف به وجود قرين</w:t>
      </w:r>
      <w:r w:rsidR="00EC7EDF" w:rsidRPr="00FD211F">
        <w:rPr>
          <w:sz w:val="36"/>
          <w:szCs w:val="36"/>
          <w:rtl/>
        </w:rPr>
        <w:t xml:space="preserve">ة </w:t>
      </w:r>
      <w:r w:rsidRPr="00FD211F">
        <w:rPr>
          <w:sz w:val="36"/>
          <w:szCs w:val="36"/>
          <w:rtl/>
        </w:rPr>
        <w:t>عام</w:t>
      </w:r>
      <w:r w:rsidR="00EC7EDF" w:rsidRPr="00FD211F">
        <w:rPr>
          <w:sz w:val="36"/>
          <w:szCs w:val="36"/>
          <w:rtl/>
        </w:rPr>
        <w:t xml:space="preserve">ة </w:t>
      </w:r>
      <w:r w:rsidR="006A67EE" w:rsidRPr="00FD211F">
        <w:rPr>
          <w:sz w:val="36"/>
          <w:szCs w:val="36"/>
          <w:rtl/>
        </w:rPr>
        <w:t>في استعمالات الشارع.</w:t>
      </w:r>
    </w:p>
    <w:p w14:paraId="3C455EBD" w14:textId="77777777" w:rsidR="00052BF2" w:rsidRPr="00FD211F" w:rsidRDefault="006A67EE" w:rsidP="009C58C8">
      <w:pPr>
        <w:ind w:left="0" w:firstLine="227"/>
        <w:jc w:val="both"/>
        <w:rPr>
          <w:sz w:val="36"/>
          <w:szCs w:val="36"/>
          <w:rtl/>
        </w:rPr>
      </w:pPr>
      <w:r w:rsidRPr="00FD211F">
        <w:rPr>
          <w:sz w:val="36"/>
          <w:szCs w:val="36"/>
          <w:rtl/>
        </w:rPr>
        <w:t>وهذا الجواب</w:t>
      </w:r>
      <w:r w:rsidR="00052BF2" w:rsidRPr="00FD211F">
        <w:rPr>
          <w:sz w:val="36"/>
          <w:szCs w:val="36"/>
          <w:rtl/>
        </w:rPr>
        <w:t xml:space="preserve"> وان كان قابلا</w:t>
      </w:r>
      <w:r w:rsidR="007D43A0" w:rsidRPr="00FD211F">
        <w:rPr>
          <w:sz w:val="36"/>
          <w:szCs w:val="36"/>
          <w:rtl/>
        </w:rPr>
        <w:t xml:space="preserve"> </w:t>
      </w:r>
      <w:r w:rsidR="00DB2B48" w:rsidRPr="00FD211F">
        <w:rPr>
          <w:sz w:val="36"/>
          <w:szCs w:val="36"/>
          <w:rtl/>
        </w:rPr>
        <w:t xml:space="preserve">بنظرنا </w:t>
      </w:r>
      <w:r w:rsidR="00052BF2" w:rsidRPr="00FD211F">
        <w:rPr>
          <w:sz w:val="36"/>
          <w:szCs w:val="36"/>
          <w:rtl/>
        </w:rPr>
        <w:t>للنقاش</w:t>
      </w:r>
      <w:r w:rsidR="00603323" w:rsidRPr="00FD211F">
        <w:rPr>
          <w:sz w:val="36"/>
          <w:szCs w:val="36"/>
          <w:rtl/>
        </w:rPr>
        <w:t xml:space="preserve">، </w:t>
      </w:r>
      <w:r w:rsidR="00052BF2" w:rsidRPr="00FD211F">
        <w:rPr>
          <w:sz w:val="36"/>
          <w:szCs w:val="36"/>
          <w:rtl/>
        </w:rPr>
        <w:t>حيث ان التبادر لدى المتشرع</w:t>
      </w:r>
      <w:r w:rsidR="00EC7EDF" w:rsidRPr="00FD211F">
        <w:rPr>
          <w:sz w:val="36"/>
          <w:szCs w:val="36"/>
          <w:rtl/>
        </w:rPr>
        <w:t xml:space="preserve">ة </w:t>
      </w:r>
      <w:r w:rsidR="00052BF2" w:rsidRPr="00FD211F">
        <w:rPr>
          <w:sz w:val="36"/>
          <w:szCs w:val="36"/>
          <w:rtl/>
        </w:rPr>
        <w:t>لايكشف عن القرين</w:t>
      </w:r>
      <w:r w:rsidR="00EC7EDF" w:rsidRPr="00FD211F">
        <w:rPr>
          <w:sz w:val="36"/>
          <w:szCs w:val="36"/>
          <w:rtl/>
        </w:rPr>
        <w:t xml:space="preserve">ة </w:t>
      </w:r>
      <w:r w:rsidR="00052BF2" w:rsidRPr="00FD211F">
        <w:rPr>
          <w:sz w:val="36"/>
          <w:szCs w:val="36"/>
          <w:rtl/>
        </w:rPr>
        <w:t>العام</w:t>
      </w:r>
      <w:r w:rsidR="00EC7EDF" w:rsidRPr="00FD211F">
        <w:rPr>
          <w:sz w:val="36"/>
          <w:szCs w:val="36"/>
          <w:rtl/>
        </w:rPr>
        <w:t xml:space="preserve">ة </w:t>
      </w:r>
      <w:r w:rsidR="00052BF2" w:rsidRPr="00FD211F">
        <w:rPr>
          <w:sz w:val="36"/>
          <w:szCs w:val="36"/>
          <w:rtl/>
        </w:rPr>
        <w:t>في استعمالات الشارع</w:t>
      </w:r>
      <w:r w:rsidR="00603323" w:rsidRPr="00FD211F">
        <w:rPr>
          <w:sz w:val="36"/>
          <w:szCs w:val="36"/>
          <w:rtl/>
        </w:rPr>
        <w:t xml:space="preserve">، </w:t>
      </w:r>
      <w:r w:rsidR="00052BF2" w:rsidRPr="00FD211F">
        <w:rPr>
          <w:sz w:val="36"/>
          <w:szCs w:val="36"/>
          <w:rtl/>
        </w:rPr>
        <w:t>اذ لعل المتشرع</w:t>
      </w:r>
      <w:r w:rsidR="00EC7EDF" w:rsidRPr="00FD211F">
        <w:rPr>
          <w:sz w:val="36"/>
          <w:szCs w:val="36"/>
          <w:rtl/>
        </w:rPr>
        <w:t xml:space="preserve">ة </w:t>
      </w:r>
      <w:r w:rsidR="00052BF2" w:rsidRPr="00FD211F">
        <w:rPr>
          <w:sz w:val="36"/>
          <w:szCs w:val="36"/>
          <w:rtl/>
        </w:rPr>
        <w:t>بعد عهد الشارع لما أكثروا في استعمال تلك الالفاظ في الاعم مثلا</w:t>
      </w:r>
      <w:r w:rsidR="00603323" w:rsidRPr="00FD211F">
        <w:rPr>
          <w:sz w:val="36"/>
          <w:szCs w:val="36"/>
          <w:rtl/>
        </w:rPr>
        <w:t xml:space="preserve">، </w:t>
      </w:r>
      <w:r w:rsidR="00052BF2" w:rsidRPr="00FD211F">
        <w:rPr>
          <w:sz w:val="36"/>
          <w:szCs w:val="36"/>
          <w:rtl/>
        </w:rPr>
        <w:t>لحاجتهم اليه فصار ذلك سببا لتبادر هذا المعنى من تلك الالفاظ عند وجود قرين</w:t>
      </w:r>
      <w:r w:rsidR="00EC7EDF" w:rsidRPr="00FD211F">
        <w:rPr>
          <w:sz w:val="36"/>
          <w:szCs w:val="36"/>
          <w:rtl/>
        </w:rPr>
        <w:t xml:space="preserve">ة </w:t>
      </w:r>
      <w:r w:rsidR="00052BF2" w:rsidRPr="00FD211F">
        <w:rPr>
          <w:sz w:val="36"/>
          <w:szCs w:val="36"/>
          <w:rtl/>
        </w:rPr>
        <w:t>صارف</w:t>
      </w:r>
      <w:r w:rsidR="00EC7EDF" w:rsidRPr="00FD211F">
        <w:rPr>
          <w:sz w:val="36"/>
          <w:szCs w:val="36"/>
          <w:rtl/>
        </w:rPr>
        <w:t xml:space="preserve">ة </w:t>
      </w:r>
      <w:r w:rsidR="00052BF2" w:rsidRPr="00FD211F">
        <w:rPr>
          <w:sz w:val="36"/>
          <w:szCs w:val="36"/>
          <w:rtl/>
        </w:rPr>
        <w:t>عن معناها اللغوي فصار اقرب المجازات</w:t>
      </w:r>
      <w:r w:rsidR="00603323" w:rsidRPr="00FD211F">
        <w:rPr>
          <w:sz w:val="36"/>
          <w:szCs w:val="36"/>
          <w:rtl/>
        </w:rPr>
        <w:t xml:space="preserve">، </w:t>
      </w:r>
      <w:r w:rsidR="00052BF2" w:rsidRPr="00FD211F">
        <w:rPr>
          <w:sz w:val="36"/>
          <w:szCs w:val="36"/>
          <w:rtl/>
        </w:rPr>
        <w:t>او صار سببا لتبادره من تلك الالفاظ مطلقا</w:t>
      </w:r>
      <w:r w:rsidR="00DB2B48" w:rsidRPr="00FD211F">
        <w:rPr>
          <w:sz w:val="36"/>
          <w:szCs w:val="36"/>
          <w:rtl/>
        </w:rPr>
        <w:t>ولو من دون قرين</w:t>
      </w:r>
      <w:r w:rsidR="00EC7EDF" w:rsidRPr="00FD211F">
        <w:rPr>
          <w:sz w:val="36"/>
          <w:szCs w:val="36"/>
          <w:rtl/>
        </w:rPr>
        <w:t>ة</w:t>
      </w:r>
      <w:r w:rsidR="00603323" w:rsidRPr="00FD211F">
        <w:rPr>
          <w:sz w:val="36"/>
          <w:szCs w:val="36"/>
          <w:rtl/>
        </w:rPr>
        <w:t xml:space="preserve">، </w:t>
      </w:r>
      <w:r w:rsidR="00052BF2" w:rsidRPr="00FD211F">
        <w:rPr>
          <w:sz w:val="36"/>
          <w:szCs w:val="36"/>
          <w:rtl/>
        </w:rPr>
        <w:t>فصارت حقيق</w:t>
      </w:r>
      <w:r w:rsidR="00EC7EDF" w:rsidRPr="00FD211F">
        <w:rPr>
          <w:sz w:val="36"/>
          <w:szCs w:val="36"/>
          <w:rtl/>
        </w:rPr>
        <w:t xml:space="preserve">ة </w:t>
      </w:r>
      <w:r w:rsidR="00052BF2" w:rsidRPr="00FD211F">
        <w:rPr>
          <w:sz w:val="36"/>
          <w:szCs w:val="36"/>
          <w:rtl/>
        </w:rPr>
        <w:t>متشرعي</w:t>
      </w:r>
      <w:r w:rsidR="00EC7EDF" w:rsidRPr="00FD211F">
        <w:rPr>
          <w:sz w:val="36"/>
          <w:szCs w:val="36"/>
          <w:rtl/>
        </w:rPr>
        <w:t xml:space="preserve">ة </w:t>
      </w:r>
      <w:r w:rsidR="00052BF2" w:rsidRPr="00FD211F">
        <w:rPr>
          <w:sz w:val="36"/>
          <w:szCs w:val="36"/>
          <w:rtl/>
        </w:rPr>
        <w:t>فيه</w:t>
      </w:r>
      <w:r w:rsidR="00603323" w:rsidRPr="00FD211F">
        <w:rPr>
          <w:sz w:val="36"/>
          <w:szCs w:val="36"/>
          <w:rtl/>
        </w:rPr>
        <w:t xml:space="preserve">، </w:t>
      </w:r>
      <w:r w:rsidR="00052BF2" w:rsidRPr="00FD211F">
        <w:rPr>
          <w:sz w:val="36"/>
          <w:szCs w:val="36"/>
          <w:rtl/>
        </w:rPr>
        <w:t>ولكن تمامي</w:t>
      </w:r>
      <w:r w:rsidR="00EC7EDF" w:rsidRPr="00FD211F">
        <w:rPr>
          <w:sz w:val="36"/>
          <w:szCs w:val="36"/>
          <w:rtl/>
        </w:rPr>
        <w:t xml:space="preserve">ة </w:t>
      </w:r>
      <w:r w:rsidR="00052BF2" w:rsidRPr="00FD211F">
        <w:rPr>
          <w:sz w:val="36"/>
          <w:szCs w:val="36"/>
          <w:rtl/>
        </w:rPr>
        <w:t>هذا النقاش عندنا لاتعني عدم تأتي النزاع في ذلك</w:t>
      </w:r>
      <w:r w:rsidR="00603323" w:rsidRPr="00FD211F">
        <w:rPr>
          <w:sz w:val="36"/>
          <w:szCs w:val="36"/>
          <w:rtl/>
        </w:rPr>
        <w:t xml:space="preserve">، </w:t>
      </w:r>
      <w:r w:rsidR="00052BF2" w:rsidRPr="00FD211F">
        <w:rPr>
          <w:sz w:val="36"/>
          <w:szCs w:val="36"/>
          <w:rtl/>
        </w:rPr>
        <w:t>فيكون قابلا للبحث والكلام.</w:t>
      </w:r>
    </w:p>
    <w:p w14:paraId="4C505858" w14:textId="77777777" w:rsidR="00052BF2" w:rsidRPr="00FD211F" w:rsidRDefault="00052BF2" w:rsidP="009C58C8">
      <w:pPr>
        <w:ind w:left="0" w:firstLine="227"/>
        <w:jc w:val="both"/>
        <w:rPr>
          <w:sz w:val="36"/>
          <w:szCs w:val="36"/>
          <w:rtl/>
        </w:rPr>
      </w:pPr>
      <w:r w:rsidRPr="00FD211F">
        <w:rPr>
          <w:sz w:val="36"/>
          <w:szCs w:val="36"/>
          <w:rtl/>
        </w:rPr>
        <w:t xml:space="preserve">ويجري </w:t>
      </w:r>
      <w:r w:rsidR="00DB2B48" w:rsidRPr="00FD211F">
        <w:rPr>
          <w:sz w:val="36"/>
          <w:szCs w:val="36"/>
          <w:rtl/>
        </w:rPr>
        <w:t>ماذكرناه –من امكان النزاع في القرين</w:t>
      </w:r>
      <w:r w:rsidR="00EC7EDF" w:rsidRPr="00FD211F">
        <w:rPr>
          <w:sz w:val="36"/>
          <w:szCs w:val="36"/>
          <w:rtl/>
        </w:rPr>
        <w:t xml:space="preserve">ة </w:t>
      </w:r>
      <w:r w:rsidR="00DB2B48" w:rsidRPr="00FD211F">
        <w:rPr>
          <w:sz w:val="36"/>
          <w:szCs w:val="36"/>
          <w:rtl/>
        </w:rPr>
        <w:t>العام</w:t>
      </w:r>
      <w:r w:rsidR="00EC7EDF" w:rsidRPr="00FD211F">
        <w:rPr>
          <w:sz w:val="36"/>
          <w:szCs w:val="36"/>
          <w:rtl/>
        </w:rPr>
        <w:t xml:space="preserve">ة </w:t>
      </w:r>
      <w:r w:rsidR="00DB2B48" w:rsidRPr="00FD211F">
        <w:rPr>
          <w:sz w:val="36"/>
          <w:szCs w:val="36"/>
          <w:rtl/>
        </w:rPr>
        <w:t>-</w:t>
      </w:r>
      <w:r w:rsidRPr="00FD211F">
        <w:rPr>
          <w:sz w:val="36"/>
          <w:szCs w:val="36"/>
          <w:rtl/>
        </w:rPr>
        <w:t xml:space="preserve"> بناء على مسلك الباقلاني</w:t>
      </w:r>
      <w:r w:rsidR="00DB2B48" w:rsidRPr="00FD211F">
        <w:rPr>
          <w:sz w:val="36"/>
          <w:szCs w:val="36"/>
          <w:rtl/>
        </w:rPr>
        <w:t xml:space="preserve"> أيضا</w:t>
      </w:r>
      <w:r w:rsidRPr="00FD211F">
        <w:rPr>
          <w:sz w:val="36"/>
          <w:szCs w:val="36"/>
          <w:rtl/>
        </w:rPr>
        <w:t xml:space="preserve"> من ان هذه الالفاظ مستعمل</w:t>
      </w:r>
      <w:r w:rsidR="00EC7EDF" w:rsidRPr="00FD211F">
        <w:rPr>
          <w:sz w:val="36"/>
          <w:szCs w:val="36"/>
          <w:rtl/>
        </w:rPr>
        <w:t xml:space="preserve">ة </w:t>
      </w:r>
      <w:r w:rsidRPr="00FD211F">
        <w:rPr>
          <w:sz w:val="36"/>
          <w:szCs w:val="36"/>
          <w:rtl/>
        </w:rPr>
        <w:t>في معانيها اللغوي</w:t>
      </w:r>
      <w:r w:rsidR="00EC7EDF" w:rsidRPr="00FD211F">
        <w:rPr>
          <w:sz w:val="36"/>
          <w:szCs w:val="36"/>
          <w:rtl/>
        </w:rPr>
        <w:t>ة</w:t>
      </w:r>
      <w:r w:rsidR="00603323" w:rsidRPr="00FD211F">
        <w:rPr>
          <w:sz w:val="36"/>
          <w:szCs w:val="36"/>
          <w:rtl/>
        </w:rPr>
        <w:t xml:space="preserve">، </w:t>
      </w:r>
      <w:r w:rsidRPr="00FD211F">
        <w:rPr>
          <w:sz w:val="36"/>
          <w:szCs w:val="36"/>
          <w:rtl/>
        </w:rPr>
        <w:t>وانما اريد منها المعاني الشرعي</w:t>
      </w:r>
      <w:r w:rsidR="00EC7EDF" w:rsidRPr="00FD211F">
        <w:rPr>
          <w:sz w:val="36"/>
          <w:szCs w:val="36"/>
          <w:rtl/>
        </w:rPr>
        <w:t xml:space="preserve">ة </w:t>
      </w:r>
      <w:r w:rsidRPr="00FD211F">
        <w:rPr>
          <w:sz w:val="36"/>
          <w:szCs w:val="36"/>
          <w:rtl/>
        </w:rPr>
        <w:t>التي تكون مصاديق لتلك المعاني اللغوي</w:t>
      </w:r>
      <w:r w:rsidR="00EC7EDF" w:rsidRPr="00FD211F">
        <w:rPr>
          <w:sz w:val="36"/>
          <w:szCs w:val="36"/>
          <w:rtl/>
        </w:rPr>
        <w:t xml:space="preserve">ة </w:t>
      </w:r>
      <w:r w:rsidRPr="00FD211F">
        <w:rPr>
          <w:sz w:val="36"/>
          <w:szCs w:val="36"/>
          <w:rtl/>
        </w:rPr>
        <w:t>بنحو تعدد الدال والمدلول</w:t>
      </w:r>
      <w:r w:rsidR="00603323" w:rsidRPr="00FD211F">
        <w:rPr>
          <w:sz w:val="36"/>
          <w:szCs w:val="36"/>
          <w:rtl/>
        </w:rPr>
        <w:t xml:space="preserve">، </w:t>
      </w:r>
      <w:r w:rsidRPr="00FD211F">
        <w:rPr>
          <w:sz w:val="36"/>
          <w:szCs w:val="36"/>
          <w:rtl/>
        </w:rPr>
        <w:t>فيكون النزاع حينئذ عن تعيين المعنى الذي نصبت القرين</w:t>
      </w:r>
      <w:r w:rsidR="00EC7EDF" w:rsidRPr="00FD211F">
        <w:rPr>
          <w:sz w:val="36"/>
          <w:szCs w:val="36"/>
          <w:rtl/>
        </w:rPr>
        <w:t xml:space="preserve">ة </w:t>
      </w:r>
      <w:r w:rsidRPr="00FD211F">
        <w:rPr>
          <w:sz w:val="36"/>
          <w:szCs w:val="36"/>
          <w:rtl/>
        </w:rPr>
        <w:t>العام</w:t>
      </w:r>
      <w:r w:rsidR="00EC7EDF" w:rsidRPr="00FD211F">
        <w:rPr>
          <w:sz w:val="36"/>
          <w:szCs w:val="36"/>
          <w:rtl/>
        </w:rPr>
        <w:t xml:space="preserve">ة </w:t>
      </w:r>
      <w:r w:rsidRPr="00FD211F">
        <w:rPr>
          <w:sz w:val="36"/>
          <w:szCs w:val="36"/>
          <w:rtl/>
        </w:rPr>
        <w:t xml:space="preserve">على ارادته عند وجود </w:t>
      </w:r>
      <w:r w:rsidR="00DB2B48" w:rsidRPr="00FD211F">
        <w:rPr>
          <w:sz w:val="36"/>
          <w:szCs w:val="36"/>
          <w:rtl/>
        </w:rPr>
        <w:t>ال</w:t>
      </w:r>
      <w:r w:rsidRPr="00FD211F">
        <w:rPr>
          <w:sz w:val="36"/>
          <w:szCs w:val="36"/>
          <w:rtl/>
        </w:rPr>
        <w:t>قرين</w:t>
      </w:r>
      <w:r w:rsidR="00EC7EDF" w:rsidRPr="00FD211F">
        <w:rPr>
          <w:sz w:val="36"/>
          <w:szCs w:val="36"/>
          <w:rtl/>
        </w:rPr>
        <w:t xml:space="preserve">ة </w:t>
      </w:r>
      <w:r w:rsidR="00DB2B48" w:rsidRPr="00FD211F">
        <w:rPr>
          <w:sz w:val="36"/>
          <w:szCs w:val="36"/>
          <w:rtl/>
        </w:rPr>
        <w:t>على عدم اراد</w:t>
      </w:r>
      <w:r w:rsidR="00EC7EDF" w:rsidRPr="00FD211F">
        <w:rPr>
          <w:sz w:val="36"/>
          <w:szCs w:val="36"/>
          <w:rtl/>
        </w:rPr>
        <w:t xml:space="preserve">ة </w:t>
      </w:r>
      <w:r w:rsidRPr="00FD211F">
        <w:rPr>
          <w:sz w:val="36"/>
          <w:szCs w:val="36"/>
          <w:rtl/>
        </w:rPr>
        <w:t>المعنى العام</w:t>
      </w:r>
      <w:r w:rsidR="00603323" w:rsidRPr="00FD211F">
        <w:rPr>
          <w:sz w:val="36"/>
          <w:szCs w:val="36"/>
          <w:rtl/>
        </w:rPr>
        <w:t xml:space="preserve">، </w:t>
      </w:r>
      <w:r w:rsidRPr="00FD211F">
        <w:rPr>
          <w:sz w:val="36"/>
          <w:szCs w:val="36"/>
          <w:rtl/>
        </w:rPr>
        <w:t>وأنه هل هو الصحيح او الأعم.</w:t>
      </w:r>
    </w:p>
    <w:p w14:paraId="415A0016" w14:textId="77777777" w:rsidR="00052BF2" w:rsidRPr="00FD211F" w:rsidRDefault="00052BF2" w:rsidP="009C58C8">
      <w:pPr>
        <w:pStyle w:val="3"/>
        <w:ind w:firstLine="227"/>
        <w:jc w:val="both"/>
        <w:rPr>
          <w:rtl/>
        </w:rPr>
      </w:pPr>
      <w:bookmarkStart w:id="363" w:name="_Toc192092918"/>
      <w:bookmarkStart w:id="364" w:name="_Toc223890397"/>
      <w:r w:rsidRPr="00FD211F">
        <w:rPr>
          <w:rtl/>
        </w:rPr>
        <w:t>معنى الصح</w:t>
      </w:r>
      <w:r w:rsidR="00EC7EDF" w:rsidRPr="00FD211F">
        <w:rPr>
          <w:rtl/>
        </w:rPr>
        <w:t xml:space="preserve">ة </w:t>
      </w:r>
      <w:r w:rsidRPr="00FD211F">
        <w:rPr>
          <w:rtl/>
        </w:rPr>
        <w:t>والفساد</w:t>
      </w:r>
      <w:bookmarkEnd w:id="363"/>
      <w:bookmarkEnd w:id="364"/>
    </w:p>
    <w:p w14:paraId="34C216D9" w14:textId="77777777" w:rsidR="00052BF2" w:rsidRPr="00FD211F" w:rsidRDefault="00052BF2" w:rsidP="009C58C8">
      <w:pPr>
        <w:ind w:left="0" w:firstLine="227"/>
        <w:jc w:val="both"/>
        <w:rPr>
          <w:sz w:val="36"/>
          <w:szCs w:val="36"/>
          <w:rtl/>
        </w:rPr>
      </w:pPr>
      <w:r w:rsidRPr="00FD211F">
        <w:rPr>
          <w:b/>
          <w:bCs/>
          <w:sz w:val="36"/>
          <w:szCs w:val="36"/>
          <w:rtl/>
        </w:rPr>
        <w:t>الجه</w:t>
      </w:r>
      <w:r w:rsidR="00EC7EDF" w:rsidRPr="00FD211F">
        <w:rPr>
          <w:b/>
          <w:bCs/>
          <w:sz w:val="36"/>
          <w:szCs w:val="36"/>
          <w:rtl/>
        </w:rPr>
        <w:t xml:space="preserve">ة </w:t>
      </w: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sz w:val="36"/>
          <w:szCs w:val="36"/>
          <w:rtl/>
        </w:rPr>
        <w:t xml:space="preserve"> في المراد من الصح</w:t>
      </w:r>
      <w:r w:rsidR="00EC7EDF" w:rsidRPr="00FD211F">
        <w:rPr>
          <w:sz w:val="36"/>
          <w:szCs w:val="36"/>
          <w:rtl/>
        </w:rPr>
        <w:t xml:space="preserve">ة </w:t>
      </w:r>
      <w:r w:rsidRPr="00FD211F">
        <w:rPr>
          <w:sz w:val="36"/>
          <w:szCs w:val="36"/>
          <w:rtl/>
        </w:rPr>
        <w:t>والفساد</w:t>
      </w:r>
      <w:r w:rsidR="00603323" w:rsidRPr="00FD211F">
        <w:rPr>
          <w:sz w:val="36"/>
          <w:szCs w:val="36"/>
          <w:rtl/>
        </w:rPr>
        <w:t xml:space="preserve">، </w:t>
      </w:r>
      <w:r w:rsidRPr="00FD211F">
        <w:rPr>
          <w:sz w:val="36"/>
          <w:szCs w:val="36"/>
          <w:rtl/>
        </w:rPr>
        <w:t>وفيها عد</w:t>
      </w:r>
      <w:r w:rsidR="00EC7EDF" w:rsidRPr="00FD211F">
        <w:rPr>
          <w:sz w:val="36"/>
          <w:szCs w:val="36"/>
          <w:rtl/>
        </w:rPr>
        <w:t xml:space="preserve">ة </w:t>
      </w:r>
      <w:r w:rsidRPr="00FD211F">
        <w:rPr>
          <w:sz w:val="36"/>
          <w:szCs w:val="36"/>
          <w:rtl/>
        </w:rPr>
        <w:t>نكات:</w:t>
      </w:r>
    </w:p>
    <w:p w14:paraId="14F347EB" w14:textId="77777777" w:rsidR="00052BF2" w:rsidRPr="00FD211F" w:rsidRDefault="00052BF2" w:rsidP="009C58C8">
      <w:pPr>
        <w:ind w:left="0" w:firstLine="227"/>
        <w:jc w:val="both"/>
        <w:rPr>
          <w:sz w:val="36"/>
          <w:szCs w:val="36"/>
          <w:rtl/>
        </w:rPr>
      </w:pPr>
      <w:r w:rsidRPr="00FD211F">
        <w:rPr>
          <w:b/>
          <w:bCs/>
          <w:sz w:val="36"/>
          <w:szCs w:val="36"/>
          <w:rtl/>
        </w:rPr>
        <w:t>النكت</w:t>
      </w:r>
      <w:r w:rsidR="00EC7EDF" w:rsidRPr="00FD211F">
        <w:rPr>
          <w:b/>
          <w:bCs/>
          <w:sz w:val="36"/>
          <w:szCs w:val="36"/>
          <w:rtl/>
        </w:rPr>
        <w:t xml:space="preserve">ة </w:t>
      </w:r>
      <w:r w:rsidRPr="00FD211F">
        <w:rPr>
          <w:b/>
          <w:bCs/>
          <w:sz w:val="36"/>
          <w:szCs w:val="36"/>
          <w:rtl/>
        </w:rPr>
        <w:t>الأولى</w:t>
      </w:r>
      <w:r w:rsidRPr="00FD211F">
        <w:rPr>
          <w:sz w:val="36"/>
          <w:szCs w:val="36"/>
          <w:rtl/>
        </w:rPr>
        <w:t>: ذكروا للصح</w:t>
      </w:r>
      <w:r w:rsidR="00EC7EDF" w:rsidRPr="00FD211F">
        <w:rPr>
          <w:sz w:val="36"/>
          <w:szCs w:val="36"/>
          <w:rtl/>
        </w:rPr>
        <w:t xml:space="preserve">ة </w:t>
      </w:r>
      <w:r w:rsidRPr="00FD211F">
        <w:rPr>
          <w:sz w:val="36"/>
          <w:szCs w:val="36"/>
          <w:rtl/>
        </w:rPr>
        <w:t>معان</w:t>
      </w:r>
      <w:r w:rsidR="002664D5" w:rsidRPr="00FD211F">
        <w:rPr>
          <w:sz w:val="36"/>
          <w:szCs w:val="36"/>
          <w:rtl/>
        </w:rPr>
        <w:t>ٍ</w:t>
      </w:r>
      <w:r w:rsidRPr="00FD211F">
        <w:rPr>
          <w:sz w:val="36"/>
          <w:szCs w:val="36"/>
          <w:rtl/>
        </w:rPr>
        <w:t xml:space="preserve"> مختلف</w:t>
      </w:r>
      <w:r w:rsidR="00EC7EDF" w:rsidRPr="00FD211F">
        <w:rPr>
          <w:sz w:val="36"/>
          <w:szCs w:val="36"/>
          <w:rtl/>
        </w:rPr>
        <w:t xml:space="preserve">ة </w:t>
      </w:r>
      <w:r w:rsidRPr="00FD211F">
        <w:rPr>
          <w:sz w:val="36"/>
          <w:szCs w:val="36"/>
          <w:rtl/>
        </w:rPr>
        <w:t>كموافق</w:t>
      </w:r>
      <w:r w:rsidR="00EC7EDF" w:rsidRPr="00FD211F">
        <w:rPr>
          <w:sz w:val="36"/>
          <w:szCs w:val="36"/>
          <w:rtl/>
        </w:rPr>
        <w:t xml:space="preserve">ة </w:t>
      </w:r>
      <w:r w:rsidR="001B3112" w:rsidRPr="00FD211F">
        <w:rPr>
          <w:sz w:val="36"/>
          <w:szCs w:val="36"/>
          <w:rtl/>
        </w:rPr>
        <w:t>الأمر</w:t>
      </w:r>
      <w:r w:rsidRPr="00FD211F">
        <w:rPr>
          <w:sz w:val="36"/>
          <w:szCs w:val="36"/>
          <w:rtl/>
        </w:rPr>
        <w:t xml:space="preserve"> او سقوط الاعاد</w:t>
      </w:r>
      <w:r w:rsidR="00EC7EDF" w:rsidRPr="00FD211F">
        <w:rPr>
          <w:sz w:val="36"/>
          <w:szCs w:val="36"/>
          <w:rtl/>
        </w:rPr>
        <w:t xml:space="preserve">ة </w:t>
      </w:r>
      <w:r w:rsidRPr="00FD211F">
        <w:rPr>
          <w:sz w:val="36"/>
          <w:szCs w:val="36"/>
          <w:rtl/>
        </w:rPr>
        <w:t>والقضاء او حصول الغرض والملاك كالنهي عن الفحشاء والمنكر بالنسب</w:t>
      </w:r>
      <w:r w:rsidR="00EC7EDF" w:rsidRPr="00FD211F">
        <w:rPr>
          <w:sz w:val="36"/>
          <w:szCs w:val="36"/>
          <w:rtl/>
        </w:rPr>
        <w:t xml:space="preserve">ة </w:t>
      </w:r>
      <w:r w:rsidRPr="00FD211F">
        <w:rPr>
          <w:sz w:val="36"/>
          <w:szCs w:val="36"/>
          <w:rtl/>
        </w:rPr>
        <w:t>الى الصلا</w:t>
      </w:r>
      <w:r w:rsidR="00EC7EDF" w:rsidRPr="00FD211F">
        <w:rPr>
          <w:sz w:val="36"/>
          <w:szCs w:val="36"/>
          <w:rtl/>
        </w:rPr>
        <w:t>ة</w:t>
      </w:r>
      <w:r w:rsidR="00A61BAE" w:rsidRPr="00FD211F">
        <w:rPr>
          <w:sz w:val="36"/>
          <w:szCs w:val="36"/>
          <w:rtl/>
        </w:rPr>
        <w:t>.</w:t>
      </w:r>
    </w:p>
    <w:p w14:paraId="541AC7FB" w14:textId="77777777" w:rsidR="000C5BBA" w:rsidRPr="00FD211F" w:rsidRDefault="00052BF2" w:rsidP="009C58C8">
      <w:pPr>
        <w:ind w:left="0" w:firstLine="227"/>
        <w:jc w:val="both"/>
        <w:rPr>
          <w:sz w:val="36"/>
          <w:szCs w:val="36"/>
          <w:rtl/>
        </w:rPr>
      </w:pPr>
      <w:r w:rsidRPr="00FD211F">
        <w:rPr>
          <w:sz w:val="36"/>
          <w:szCs w:val="36"/>
          <w:rtl/>
        </w:rPr>
        <w:t>وقد ذكر صاحب الكفاي</w:t>
      </w:r>
      <w:r w:rsidR="00EC7EDF" w:rsidRPr="00FD211F">
        <w:rPr>
          <w:sz w:val="36"/>
          <w:szCs w:val="36"/>
          <w:rtl/>
        </w:rPr>
        <w:t xml:space="preserve">ة </w:t>
      </w:r>
      <w:r w:rsidR="002664D5" w:rsidRPr="00FD211F">
        <w:rPr>
          <w:sz w:val="36"/>
          <w:szCs w:val="36"/>
          <w:rtl/>
        </w:rPr>
        <w:t>"قده"</w:t>
      </w:r>
      <w:r w:rsidRPr="00FD211F">
        <w:rPr>
          <w:sz w:val="36"/>
          <w:szCs w:val="36"/>
          <w:rtl/>
        </w:rPr>
        <w:t>ان الصح</w:t>
      </w:r>
      <w:r w:rsidR="00EC7EDF" w:rsidRPr="00FD211F">
        <w:rPr>
          <w:sz w:val="36"/>
          <w:szCs w:val="36"/>
          <w:rtl/>
        </w:rPr>
        <w:t xml:space="preserve">ة </w:t>
      </w:r>
      <w:r w:rsidRPr="00FD211F">
        <w:rPr>
          <w:sz w:val="36"/>
          <w:szCs w:val="36"/>
          <w:rtl/>
        </w:rPr>
        <w:t>عند الجميع بمعنى التمامي</w:t>
      </w:r>
      <w:r w:rsidR="00EC7EDF" w:rsidRPr="00FD211F">
        <w:rPr>
          <w:sz w:val="36"/>
          <w:szCs w:val="36"/>
          <w:rtl/>
        </w:rPr>
        <w:t>ة</w:t>
      </w:r>
      <w:r w:rsidR="00603323" w:rsidRPr="00FD211F">
        <w:rPr>
          <w:sz w:val="36"/>
          <w:szCs w:val="36"/>
          <w:rtl/>
        </w:rPr>
        <w:t xml:space="preserve">، </w:t>
      </w:r>
      <w:r w:rsidRPr="00FD211F">
        <w:rPr>
          <w:sz w:val="36"/>
          <w:szCs w:val="36"/>
          <w:rtl/>
        </w:rPr>
        <w:t>فما ذك</w:t>
      </w:r>
      <w:r w:rsidR="008F1EC7" w:rsidRPr="00FD211F">
        <w:rPr>
          <w:sz w:val="36"/>
          <w:szCs w:val="36"/>
          <w:rtl/>
        </w:rPr>
        <w:t>ر في تفسير الصح</w:t>
      </w:r>
      <w:r w:rsidR="00EC7EDF" w:rsidRPr="00FD211F">
        <w:rPr>
          <w:sz w:val="36"/>
          <w:szCs w:val="36"/>
          <w:rtl/>
        </w:rPr>
        <w:t xml:space="preserve">ة </w:t>
      </w:r>
      <w:r w:rsidR="008F1EC7" w:rsidRPr="00FD211F">
        <w:rPr>
          <w:sz w:val="36"/>
          <w:szCs w:val="36"/>
          <w:rtl/>
        </w:rPr>
        <w:t>من انها بمعنى سقو</w:t>
      </w:r>
      <w:r w:rsidRPr="00FD211F">
        <w:rPr>
          <w:sz w:val="36"/>
          <w:szCs w:val="36"/>
          <w:rtl/>
        </w:rPr>
        <w:t>ط الاعاد</w:t>
      </w:r>
      <w:r w:rsidR="00EC7EDF" w:rsidRPr="00FD211F">
        <w:rPr>
          <w:sz w:val="36"/>
          <w:szCs w:val="36"/>
          <w:rtl/>
        </w:rPr>
        <w:t xml:space="preserve">ة </w:t>
      </w:r>
      <w:r w:rsidRPr="00FD211F">
        <w:rPr>
          <w:sz w:val="36"/>
          <w:szCs w:val="36"/>
          <w:rtl/>
        </w:rPr>
        <w:t>والقضاء او بمعنى موافق</w:t>
      </w:r>
      <w:r w:rsidR="00EC7EDF" w:rsidRPr="00FD211F">
        <w:rPr>
          <w:sz w:val="36"/>
          <w:szCs w:val="36"/>
          <w:rtl/>
        </w:rPr>
        <w:t xml:space="preserve">ة </w:t>
      </w:r>
      <w:r w:rsidR="001B3112" w:rsidRPr="00FD211F">
        <w:rPr>
          <w:sz w:val="36"/>
          <w:szCs w:val="36"/>
          <w:rtl/>
        </w:rPr>
        <w:t>الأمر</w:t>
      </w:r>
      <w:r w:rsidR="00603323" w:rsidRPr="00FD211F">
        <w:rPr>
          <w:sz w:val="36"/>
          <w:szCs w:val="36"/>
          <w:rtl/>
        </w:rPr>
        <w:t xml:space="preserve">، </w:t>
      </w:r>
      <w:r w:rsidRPr="00FD211F">
        <w:rPr>
          <w:sz w:val="36"/>
          <w:szCs w:val="36"/>
          <w:rtl/>
        </w:rPr>
        <w:t>فهو تفسير بلازم المعنى</w:t>
      </w:r>
      <w:r w:rsidR="009C58C8" w:rsidRPr="00FD211F">
        <w:rPr>
          <w:rStyle w:val="a6"/>
          <w:sz w:val="36"/>
          <w:szCs w:val="36"/>
          <w:rtl/>
        </w:rPr>
        <w:t>(</w:t>
      </w:r>
      <w:r w:rsidR="009C58C8" w:rsidRPr="00FD211F">
        <w:rPr>
          <w:rStyle w:val="a6"/>
          <w:sz w:val="36"/>
          <w:szCs w:val="36"/>
          <w:rtl/>
        </w:rPr>
        <w:footnoteReference w:id="352"/>
      </w:r>
      <w:r w:rsidR="009C58C8" w:rsidRPr="00FD211F">
        <w:rPr>
          <w:rStyle w:val="a6"/>
          <w:sz w:val="36"/>
          <w:szCs w:val="36"/>
          <w:rtl/>
        </w:rPr>
        <w:t>)</w:t>
      </w:r>
      <w:r w:rsidR="00603323" w:rsidRPr="00FD211F">
        <w:rPr>
          <w:sz w:val="36"/>
          <w:szCs w:val="36"/>
          <w:rtl/>
        </w:rPr>
        <w:t xml:space="preserve">، </w:t>
      </w:r>
      <w:r w:rsidRPr="00FD211F">
        <w:rPr>
          <w:sz w:val="36"/>
          <w:szCs w:val="36"/>
          <w:rtl/>
        </w:rPr>
        <w:t>وهذا يعني ان تمامي</w:t>
      </w:r>
      <w:r w:rsidR="00EC7EDF" w:rsidRPr="00FD211F">
        <w:rPr>
          <w:sz w:val="36"/>
          <w:szCs w:val="36"/>
          <w:rtl/>
        </w:rPr>
        <w:t xml:space="preserve">ة </w:t>
      </w:r>
      <w:r w:rsidRPr="00FD211F">
        <w:rPr>
          <w:sz w:val="36"/>
          <w:szCs w:val="36"/>
          <w:rtl/>
        </w:rPr>
        <w:t>ال</w:t>
      </w:r>
      <w:r w:rsidR="008D7B3D" w:rsidRPr="00FD211F">
        <w:rPr>
          <w:sz w:val="36"/>
          <w:szCs w:val="36"/>
          <w:rtl/>
        </w:rPr>
        <w:t xml:space="preserve">شيء </w:t>
      </w:r>
      <w:r w:rsidRPr="00FD211F">
        <w:rPr>
          <w:sz w:val="36"/>
          <w:szCs w:val="36"/>
          <w:rtl/>
        </w:rPr>
        <w:t>تكون بالنظر الى ذات ال</w:t>
      </w:r>
      <w:r w:rsidR="008D7B3D" w:rsidRPr="00FD211F">
        <w:rPr>
          <w:sz w:val="36"/>
          <w:szCs w:val="36"/>
          <w:rtl/>
        </w:rPr>
        <w:t xml:space="preserve">شيء </w:t>
      </w:r>
      <w:r w:rsidRPr="00FD211F">
        <w:rPr>
          <w:sz w:val="36"/>
          <w:szCs w:val="36"/>
          <w:rtl/>
        </w:rPr>
        <w:t>ولو مع عدم لحا</w:t>
      </w:r>
      <w:r w:rsidR="002664D5" w:rsidRPr="00FD211F">
        <w:rPr>
          <w:sz w:val="36"/>
          <w:szCs w:val="36"/>
          <w:rtl/>
        </w:rPr>
        <w:t>ظ الآثار التي تترقب ترتبها عليه.</w:t>
      </w:r>
    </w:p>
    <w:p w14:paraId="2276B836" w14:textId="77777777" w:rsidR="00052BF2" w:rsidRPr="00FD211F" w:rsidRDefault="00052BF2" w:rsidP="009C58C8">
      <w:pPr>
        <w:ind w:left="0" w:firstLine="227"/>
        <w:jc w:val="both"/>
        <w:rPr>
          <w:sz w:val="36"/>
          <w:szCs w:val="36"/>
          <w:rtl/>
        </w:rPr>
      </w:pPr>
      <w:r w:rsidRPr="00FD211F">
        <w:rPr>
          <w:sz w:val="36"/>
          <w:szCs w:val="36"/>
          <w:rtl/>
        </w:rPr>
        <w:t>ولكن ظاهر كلامه في بحث اقتضاء النهي عن العباد</w:t>
      </w:r>
      <w:r w:rsidR="00EC7EDF" w:rsidRPr="00FD211F">
        <w:rPr>
          <w:sz w:val="36"/>
          <w:szCs w:val="36"/>
          <w:rtl/>
        </w:rPr>
        <w:t xml:space="preserve">ة </w:t>
      </w:r>
      <w:r w:rsidRPr="00FD211F">
        <w:rPr>
          <w:sz w:val="36"/>
          <w:szCs w:val="36"/>
          <w:rtl/>
        </w:rPr>
        <w:t>للفساد هو ان التمامي</w:t>
      </w:r>
      <w:r w:rsidR="00EC7EDF" w:rsidRPr="00FD211F">
        <w:rPr>
          <w:sz w:val="36"/>
          <w:szCs w:val="36"/>
          <w:rtl/>
        </w:rPr>
        <w:t xml:space="preserve">ة </w:t>
      </w:r>
      <w:r w:rsidRPr="00FD211F">
        <w:rPr>
          <w:sz w:val="36"/>
          <w:szCs w:val="36"/>
          <w:rtl/>
        </w:rPr>
        <w:t>تلحظ بالقياس الى الآثار المترتب</w:t>
      </w:r>
      <w:r w:rsidR="00EC7EDF" w:rsidRPr="00FD211F">
        <w:rPr>
          <w:sz w:val="36"/>
          <w:szCs w:val="36"/>
          <w:rtl/>
        </w:rPr>
        <w:t xml:space="preserve">ة </w:t>
      </w:r>
      <w:r w:rsidRPr="00FD211F">
        <w:rPr>
          <w:sz w:val="36"/>
          <w:szCs w:val="36"/>
          <w:rtl/>
        </w:rPr>
        <w:t>من الشيئ</w:t>
      </w:r>
      <w:r w:rsidR="00603323" w:rsidRPr="00FD211F">
        <w:rPr>
          <w:sz w:val="36"/>
          <w:szCs w:val="36"/>
          <w:rtl/>
        </w:rPr>
        <w:t xml:space="preserve">، </w:t>
      </w:r>
      <w:r w:rsidRPr="00FD211F">
        <w:rPr>
          <w:sz w:val="36"/>
          <w:szCs w:val="36"/>
          <w:rtl/>
        </w:rPr>
        <w:t>حيث قال: لاشبه</w:t>
      </w:r>
      <w:r w:rsidR="00EC7EDF" w:rsidRPr="00FD211F">
        <w:rPr>
          <w:sz w:val="36"/>
          <w:szCs w:val="36"/>
          <w:rtl/>
        </w:rPr>
        <w:t xml:space="preserve">ة </w:t>
      </w:r>
      <w:r w:rsidRPr="00FD211F">
        <w:rPr>
          <w:sz w:val="36"/>
          <w:szCs w:val="36"/>
          <w:rtl/>
        </w:rPr>
        <w:t>في ان الصح</w:t>
      </w:r>
      <w:r w:rsidR="00EC7EDF" w:rsidRPr="00FD211F">
        <w:rPr>
          <w:sz w:val="36"/>
          <w:szCs w:val="36"/>
          <w:rtl/>
        </w:rPr>
        <w:t xml:space="preserve">ة </w:t>
      </w:r>
      <w:r w:rsidRPr="00FD211F">
        <w:rPr>
          <w:sz w:val="36"/>
          <w:szCs w:val="36"/>
          <w:rtl/>
        </w:rPr>
        <w:t>والفساد عند المتكلمين وصفان اعتباريان ينتزعان من مطابق</w:t>
      </w:r>
      <w:r w:rsidR="00EC7EDF" w:rsidRPr="00FD211F">
        <w:rPr>
          <w:sz w:val="36"/>
          <w:szCs w:val="36"/>
          <w:rtl/>
        </w:rPr>
        <w:t xml:space="preserve">ة </w:t>
      </w:r>
      <w:r w:rsidRPr="00FD211F">
        <w:rPr>
          <w:sz w:val="36"/>
          <w:szCs w:val="36"/>
          <w:rtl/>
        </w:rPr>
        <w:t>المأتي به مع المأموربه وعدمها</w:t>
      </w:r>
      <w:r w:rsidR="00603323" w:rsidRPr="00FD211F">
        <w:rPr>
          <w:sz w:val="36"/>
          <w:szCs w:val="36"/>
          <w:rtl/>
        </w:rPr>
        <w:t xml:space="preserve">، </w:t>
      </w:r>
      <w:r w:rsidRPr="00FD211F">
        <w:rPr>
          <w:sz w:val="36"/>
          <w:szCs w:val="36"/>
          <w:rtl/>
        </w:rPr>
        <w:t>وأما الصح</w:t>
      </w:r>
      <w:r w:rsidR="00EC7EDF" w:rsidRPr="00FD211F">
        <w:rPr>
          <w:sz w:val="36"/>
          <w:szCs w:val="36"/>
          <w:rtl/>
        </w:rPr>
        <w:t xml:space="preserve">ة </w:t>
      </w:r>
      <w:r w:rsidRPr="00FD211F">
        <w:rPr>
          <w:sz w:val="36"/>
          <w:szCs w:val="36"/>
          <w:rtl/>
        </w:rPr>
        <w:t>بمعنى سقوط القضاء والاعاد</w:t>
      </w:r>
      <w:r w:rsidR="00EC7EDF" w:rsidRPr="00FD211F">
        <w:rPr>
          <w:sz w:val="36"/>
          <w:szCs w:val="36"/>
          <w:rtl/>
        </w:rPr>
        <w:t xml:space="preserve">ة </w:t>
      </w:r>
      <w:r w:rsidRPr="00FD211F">
        <w:rPr>
          <w:sz w:val="36"/>
          <w:szCs w:val="36"/>
          <w:rtl/>
        </w:rPr>
        <w:t>عند الفقهاء فهي من لوازم الإتيان بالمأمور به</w:t>
      </w:r>
      <w:r w:rsidR="009C58C8" w:rsidRPr="00FD211F">
        <w:rPr>
          <w:rStyle w:val="a6"/>
          <w:sz w:val="36"/>
          <w:szCs w:val="36"/>
          <w:rtl/>
        </w:rPr>
        <w:t>(</w:t>
      </w:r>
      <w:r w:rsidR="009C58C8" w:rsidRPr="00FD211F">
        <w:rPr>
          <w:rStyle w:val="a6"/>
          <w:sz w:val="36"/>
          <w:szCs w:val="36"/>
          <w:rtl/>
        </w:rPr>
        <w:footnoteReference w:id="353"/>
      </w:r>
      <w:r w:rsidR="009C58C8" w:rsidRPr="00FD211F">
        <w:rPr>
          <w:rStyle w:val="a6"/>
          <w:sz w:val="36"/>
          <w:szCs w:val="36"/>
          <w:rtl/>
        </w:rPr>
        <w:t>)</w:t>
      </w:r>
      <w:r w:rsidRPr="00FD211F">
        <w:rPr>
          <w:sz w:val="36"/>
          <w:szCs w:val="36"/>
          <w:rtl/>
        </w:rPr>
        <w:t>.</w:t>
      </w:r>
    </w:p>
    <w:p w14:paraId="3F85A2CB" w14:textId="77777777" w:rsidR="00570F54" w:rsidRPr="00FD211F" w:rsidRDefault="00570F54" w:rsidP="009C58C8">
      <w:pPr>
        <w:ind w:left="0" w:firstLine="227"/>
        <w:jc w:val="both"/>
        <w:rPr>
          <w:sz w:val="36"/>
          <w:szCs w:val="36"/>
          <w:rtl/>
        </w:rPr>
      </w:pPr>
      <w:r w:rsidRPr="00FD211F">
        <w:rPr>
          <w:sz w:val="36"/>
          <w:szCs w:val="36"/>
          <w:rtl/>
        </w:rPr>
        <w:t>وكيف كان فيوجد اشكالان فيما ذكره صاحب الكفاي</w:t>
      </w:r>
      <w:r w:rsidR="00EC7EDF" w:rsidRPr="00FD211F">
        <w:rPr>
          <w:sz w:val="36"/>
          <w:szCs w:val="36"/>
          <w:rtl/>
        </w:rPr>
        <w:t xml:space="preserve">ة </w:t>
      </w:r>
      <w:r w:rsidRPr="00FD211F">
        <w:rPr>
          <w:sz w:val="36"/>
          <w:szCs w:val="36"/>
          <w:rtl/>
        </w:rPr>
        <w:t>في المقام</w:t>
      </w:r>
    </w:p>
    <w:p w14:paraId="04C321E9" w14:textId="77777777" w:rsidR="000C5BBA" w:rsidRPr="00FD211F" w:rsidRDefault="00570F54" w:rsidP="005946E3">
      <w:pPr>
        <w:ind w:left="0" w:firstLine="227"/>
        <w:jc w:val="both"/>
        <w:rPr>
          <w:sz w:val="36"/>
          <w:szCs w:val="36"/>
          <w:rtl/>
        </w:rPr>
      </w:pPr>
      <w:r w:rsidRPr="00FD211F">
        <w:rPr>
          <w:b/>
          <w:bCs/>
          <w:sz w:val="36"/>
          <w:szCs w:val="36"/>
          <w:rtl/>
        </w:rPr>
        <w:t>الاشكال الاول</w:t>
      </w:r>
      <w:r w:rsidR="00EC7EDF" w:rsidRPr="00FD211F">
        <w:rPr>
          <w:sz w:val="36"/>
          <w:szCs w:val="36"/>
          <w:rtl/>
        </w:rPr>
        <w:t>:</w:t>
      </w:r>
      <w:r w:rsidRPr="00FD211F">
        <w:rPr>
          <w:sz w:val="36"/>
          <w:szCs w:val="36"/>
          <w:rtl/>
        </w:rPr>
        <w:t>ماذكره</w:t>
      </w:r>
      <w:r w:rsidR="00052BF2" w:rsidRPr="00FD211F">
        <w:rPr>
          <w:sz w:val="36"/>
          <w:szCs w:val="36"/>
          <w:rtl/>
        </w:rPr>
        <w:t xml:space="preserve"> المحقق الاصفهاني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008F1EC7" w:rsidRPr="00FD211F">
        <w:rPr>
          <w:sz w:val="36"/>
          <w:szCs w:val="36"/>
          <w:rtl/>
        </w:rPr>
        <w:t>من</w:t>
      </w:r>
      <w:r w:rsidR="00833203" w:rsidRPr="00FD211F">
        <w:rPr>
          <w:sz w:val="36"/>
          <w:szCs w:val="36"/>
          <w:rtl/>
        </w:rPr>
        <w:t xml:space="preserve"> </w:t>
      </w:r>
      <w:r w:rsidR="00052BF2" w:rsidRPr="00FD211F">
        <w:rPr>
          <w:sz w:val="36"/>
          <w:szCs w:val="36"/>
          <w:rtl/>
        </w:rPr>
        <w:t>ان حيثي</w:t>
      </w:r>
      <w:r w:rsidR="00EC7EDF" w:rsidRPr="00FD211F">
        <w:rPr>
          <w:sz w:val="36"/>
          <w:szCs w:val="36"/>
          <w:rtl/>
        </w:rPr>
        <w:t xml:space="preserve">ة </w:t>
      </w:r>
      <w:r w:rsidR="00052BF2" w:rsidRPr="00FD211F">
        <w:rPr>
          <w:sz w:val="36"/>
          <w:szCs w:val="36"/>
          <w:rtl/>
        </w:rPr>
        <w:t>اسقاط الاعاد</w:t>
      </w:r>
      <w:r w:rsidR="00EC7EDF" w:rsidRPr="00FD211F">
        <w:rPr>
          <w:sz w:val="36"/>
          <w:szCs w:val="36"/>
          <w:rtl/>
        </w:rPr>
        <w:t xml:space="preserve">ة </w:t>
      </w:r>
      <w:r w:rsidR="00052BF2" w:rsidRPr="00FD211F">
        <w:rPr>
          <w:sz w:val="36"/>
          <w:szCs w:val="36"/>
          <w:rtl/>
        </w:rPr>
        <w:t>والقضاء او حيثي</w:t>
      </w:r>
      <w:r w:rsidR="00EC7EDF" w:rsidRPr="00FD211F">
        <w:rPr>
          <w:sz w:val="36"/>
          <w:szCs w:val="36"/>
          <w:rtl/>
        </w:rPr>
        <w:t xml:space="preserve">ة </w:t>
      </w:r>
      <w:r w:rsidR="00052BF2" w:rsidRPr="00FD211F">
        <w:rPr>
          <w:sz w:val="36"/>
          <w:szCs w:val="36"/>
          <w:rtl/>
        </w:rPr>
        <w:t>موافق</w:t>
      </w:r>
      <w:r w:rsidR="00EC7EDF" w:rsidRPr="00FD211F">
        <w:rPr>
          <w:sz w:val="36"/>
          <w:szCs w:val="36"/>
          <w:rtl/>
        </w:rPr>
        <w:t xml:space="preserve">ة </w:t>
      </w:r>
      <w:r w:rsidR="001B3112" w:rsidRPr="00FD211F">
        <w:rPr>
          <w:sz w:val="36"/>
          <w:szCs w:val="36"/>
          <w:rtl/>
        </w:rPr>
        <w:t>الأمر</w:t>
      </w:r>
      <w:r w:rsidR="00052BF2" w:rsidRPr="00FD211F">
        <w:rPr>
          <w:sz w:val="36"/>
          <w:szCs w:val="36"/>
          <w:rtl/>
        </w:rPr>
        <w:t xml:space="preserve"> ليست من لوازم التمامي</w:t>
      </w:r>
      <w:r w:rsidR="00EC7EDF" w:rsidRPr="00FD211F">
        <w:rPr>
          <w:sz w:val="36"/>
          <w:szCs w:val="36"/>
          <w:rtl/>
        </w:rPr>
        <w:t>ة</w:t>
      </w:r>
      <w:r w:rsidR="00603323" w:rsidRPr="00FD211F">
        <w:rPr>
          <w:sz w:val="36"/>
          <w:szCs w:val="36"/>
          <w:rtl/>
        </w:rPr>
        <w:t xml:space="preserve">، </w:t>
      </w:r>
      <w:r w:rsidR="00833203" w:rsidRPr="00FD211F">
        <w:rPr>
          <w:sz w:val="36"/>
          <w:szCs w:val="36"/>
          <w:rtl/>
        </w:rPr>
        <w:t>فانه</w:t>
      </w:r>
      <w:r w:rsidR="00052BF2" w:rsidRPr="00FD211F">
        <w:rPr>
          <w:sz w:val="36"/>
          <w:szCs w:val="36"/>
          <w:rtl/>
        </w:rPr>
        <w:t xml:space="preserve"> لاواقع للتمامي</w:t>
      </w:r>
      <w:r w:rsidR="00EC7EDF" w:rsidRPr="00FD211F">
        <w:rPr>
          <w:sz w:val="36"/>
          <w:szCs w:val="36"/>
          <w:rtl/>
        </w:rPr>
        <w:t xml:space="preserve">ة </w:t>
      </w:r>
      <w:r w:rsidR="00052BF2" w:rsidRPr="00FD211F">
        <w:rPr>
          <w:sz w:val="36"/>
          <w:szCs w:val="36"/>
          <w:rtl/>
        </w:rPr>
        <w:t>بدون ملاحظ</w:t>
      </w:r>
      <w:r w:rsidR="00EC7EDF" w:rsidRPr="00FD211F">
        <w:rPr>
          <w:sz w:val="36"/>
          <w:szCs w:val="36"/>
          <w:rtl/>
        </w:rPr>
        <w:t xml:space="preserve">ة </w:t>
      </w:r>
      <w:r w:rsidR="00052BF2" w:rsidRPr="00FD211F">
        <w:rPr>
          <w:sz w:val="36"/>
          <w:szCs w:val="36"/>
          <w:rtl/>
        </w:rPr>
        <w:t>حيثي</w:t>
      </w:r>
      <w:r w:rsidR="00EC7EDF" w:rsidRPr="00FD211F">
        <w:rPr>
          <w:sz w:val="36"/>
          <w:szCs w:val="36"/>
          <w:rtl/>
        </w:rPr>
        <w:t xml:space="preserve">ة </w:t>
      </w:r>
      <w:r w:rsidR="00052BF2" w:rsidRPr="00FD211F">
        <w:rPr>
          <w:sz w:val="36"/>
          <w:szCs w:val="36"/>
          <w:rtl/>
        </w:rPr>
        <w:t>اسقاط الإعاد</w:t>
      </w:r>
      <w:r w:rsidR="00EC7EDF" w:rsidRPr="00FD211F">
        <w:rPr>
          <w:sz w:val="36"/>
          <w:szCs w:val="36"/>
          <w:rtl/>
        </w:rPr>
        <w:t xml:space="preserve">ة </w:t>
      </w:r>
      <w:r w:rsidR="00052BF2" w:rsidRPr="00FD211F">
        <w:rPr>
          <w:sz w:val="36"/>
          <w:szCs w:val="36"/>
          <w:rtl/>
        </w:rPr>
        <w:t>والقضاء او حيثي</w:t>
      </w:r>
      <w:r w:rsidR="00EC7EDF" w:rsidRPr="00FD211F">
        <w:rPr>
          <w:sz w:val="36"/>
          <w:szCs w:val="36"/>
          <w:rtl/>
        </w:rPr>
        <w:t xml:space="preserve">ة </w:t>
      </w:r>
      <w:r w:rsidR="00052BF2" w:rsidRPr="00FD211F">
        <w:rPr>
          <w:sz w:val="36"/>
          <w:szCs w:val="36"/>
          <w:rtl/>
        </w:rPr>
        <w:t>موافق</w:t>
      </w:r>
      <w:r w:rsidR="00EC7EDF" w:rsidRPr="00FD211F">
        <w:rPr>
          <w:sz w:val="36"/>
          <w:szCs w:val="36"/>
          <w:rtl/>
        </w:rPr>
        <w:t xml:space="preserve">ة </w:t>
      </w:r>
      <w:r w:rsidR="00052BF2" w:rsidRPr="00FD211F">
        <w:rPr>
          <w:sz w:val="36"/>
          <w:szCs w:val="36"/>
          <w:rtl/>
        </w:rPr>
        <w:t>الأمر او ترتب الأثر</w:t>
      </w:r>
      <w:r w:rsidR="00603323" w:rsidRPr="00FD211F">
        <w:rPr>
          <w:sz w:val="36"/>
          <w:szCs w:val="36"/>
          <w:rtl/>
        </w:rPr>
        <w:t xml:space="preserve">، </w:t>
      </w:r>
      <w:r w:rsidR="00052BF2" w:rsidRPr="00FD211F">
        <w:rPr>
          <w:sz w:val="36"/>
          <w:szCs w:val="36"/>
          <w:rtl/>
        </w:rPr>
        <w:t>فالتمامي</w:t>
      </w:r>
      <w:r w:rsidR="00EC7EDF" w:rsidRPr="00FD211F">
        <w:rPr>
          <w:sz w:val="36"/>
          <w:szCs w:val="36"/>
          <w:rtl/>
        </w:rPr>
        <w:t xml:space="preserve">ة </w:t>
      </w:r>
      <w:r w:rsidR="00052BF2" w:rsidRPr="00FD211F">
        <w:rPr>
          <w:sz w:val="36"/>
          <w:szCs w:val="36"/>
          <w:rtl/>
        </w:rPr>
        <w:t>لاتصدق الا بلحاظ أثر</w:t>
      </w:r>
      <w:r w:rsidR="002664D5" w:rsidRPr="00FD211F">
        <w:rPr>
          <w:sz w:val="36"/>
          <w:szCs w:val="36"/>
          <w:rtl/>
        </w:rPr>
        <w:t>ٍ</w:t>
      </w:r>
      <w:r w:rsidR="00603323" w:rsidRPr="00FD211F">
        <w:rPr>
          <w:sz w:val="36"/>
          <w:szCs w:val="36"/>
          <w:rtl/>
        </w:rPr>
        <w:t xml:space="preserve">، </w:t>
      </w:r>
      <w:r w:rsidR="00052BF2" w:rsidRPr="00FD211F">
        <w:rPr>
          <w:sz w:val="36"/>
          <w:szCs w:val="36"/>
          <w:rtl/>
        </w:rPr>
        <w:t>فه</w:t>
      </w:r>
      <w:r w:rsidR="002664D5" w:rsidRPr="00FD211F">
        <w:rPr>
          <w:sz w:val="36"/>
          <w:szCs w:val="36"/>
          <w:rtl/>
        </w:rPr>
        <w:t>ذاالاثر</w:t>
      </w:r>
      <w:r w:rsidR="00052BF2" w:rsidRPr="00FD211F">
        <w:rPr>
          <w:sz w:val="36"/>
          <w:szCs w:val="36"/>
          <w:rtl/>
        </w:rPr>
        <w:t xml:space="preserve"> مقوِّم لمعن</w:t>
      </w:r>
      <w:r w:rsidR="002664D5" w:rsidRPr="00FD211F">
        <w:rPr>
          <w:sz w:val="36"/>
          <w:szCs w:val="36"/>
          <w:rtl/>
        </w:rPr>
        <w:t xml:space="preserve">ى </w:t>
      </w:r>
      <w:r w:rsidR="00052BF2" w:rsidRPr="00FD211F">
        <w:rPr>
          <w:sz w:val="36"/>
          <w:szCs w:val="36"/>
          <w:rtl/>
        </w:rPr>
        <w:t>ا</w:t>
      </w:r>
      <w:r w:rsidR="002664D5" w:rsidRPr="00FD211F">
        <w:rPr>
          <w:sz w:val="36"/>
          <w:szCs w:val="36"/>
          <w:rtl/>
        </w:rPr>
        <w:t>لتمامي</w:t>
      </w:r>
      <w:r w:rsidR="00EC7EDF" w:rsidRPr="00FD211F">
        <w:rPr>
          <w:sz w:val="36"/>
          <w:szCs w:val="36"/>
          <w:rtl/>
        </w:rPr>
        <w:t xml:space="preserve">ة </w:t>
      </w:r>
      <w:r w:rsidR="00052BF2" w:rsidRPr="00FD211F">
        <w:rPr>
          <w:sz w:val="36"/>
          <w:szCs w:val="36"/>
          <w:rtl/>
        </w:rPr>
        <w:t>وليس لازم</w:t>
      </w:r>
      <w:r w:rsidR="002664D5" w:rsidRPr="00FD211F">
        <w:rPr>
          <w:sz w:val="36"/>
          <w:szCs w:val="36"/>
          <w:rtl/>
        </w:rPr>
        <w:t xml:space="preserve"> التمامي</w:t>
      </w:r>
      <w:r w:rsidR="00EC7EDF" w:rsidRPr="00FD211F">
        <w:rPr>
          <w:sz w:val="36"/>
          <w:szCs w:val="36"/>
          <w:rtl/>
        </w:rPr>
        <w:t>ة</w:t>
      </w:r>
      <w:r w:rsidR="00A61BAE" w:rsidRPr="00FD211F">
        <w:rPr>
          <w:sz w:val="36"/>
          <w:szCs w:val="36"/>
          <w:rtl/>
        </w:rPr>
        <w:t>.</w:t>
      </w:r>
    </w:p>
    <w:p w14:paraId="4CF8AB28" w14:textId="77777777" w:rsidR="00833203" w:rsidRPr="00FD211F" w:rsidRDefault="00052BF2" w:rsidP="009C58C8">
      <w:pPr>
        <w:ind w:left="0" w:firstLine="227"/>
        <w:jc w:val="both"/>
        <w:rPr>
          <w:sz w:val="36"/>
          <w:szCs w:val="36"/>
          <w:rtl/>
        </w:rPr>
      </w:pPr>
      <w:r w:rsidRPr="00FD211F">
        <w:rPr>
          <w:sz w:val="36"/>
          <w:szCs w:val="36"/>
          <w:rtl/>
        </w:rPr>
        <w:t>ثم ذكر في هامش كتابه أن هذا الاشكال على صاحب الكفاي</w:t>
      </w:r>
      <w:r w:rsidR="00EC7EDF" w:rsidRPr="00FD211F">
        <w:rPr>
          <w:sz w:val="36"/>
          <w:szCs w:val="36"/>
          <w:rtl/>
        </w:rPr>
        <w:t xml:space="preserve">ة </w:t>
      </w:r>
      <w:r w:rsidRPr="00FD211F">
        <w:rPr>
          <w:sz w:val="36"/>
          <w:szCs w:val="36"/>
          <w:rtl/>
        </w:rPr>
        <w:t>انما يتم فيما لو كان اللازم من لوازم الوجود</w:t>
      </w:r>
      <w:r w:rsidR="00603323" w:rsidRPr="00FD211F">
        <w:rPr>
          <w:sz w:val="36"/>
          <w:szCs w:val="36"/>
          <w:rtl/>
        </w:rPr>
        <w:t xml:space="preserve">، </w:t>
      </w:r>
      <w:r w:rsidRPr="00FD211F">
        <w:rPr>
          <w:sz w:val="36"/>
          <w:szCs w:val="36"/>
          <w:rtl/>
        </w:rPr>
        <w:t>وأما اذا كان من لوازم الماهي</w:t>
      </w:r>
      <w:r w:rsidR="00EC7EDF" w:rsidRPr="00FD211F">
        <w:rPr>
          <w:sz w:val="36"/>
          <w:szCs w:val="36"/>
          <w:rtl/>
        </w:rPr>
        <w:t xml:space="preserve">ة </w:t>
      </w:r>
      <w:r w:rsidRPr="00FD211F">
        <w:rPr>
          <w:sz w:val="36"/>
          <w:szCs w:val="36"/>
          <w:rtl/>
        </w:rPr>
        <w:t>فلايتم هذا الاشكال</w:t>
      </w:r>
      <w:r w:rsidR="00603323" w:rsidRPr="00FD211F">
        <w:rPr>
          <w:sz w:val="36"/>
          <w:szCs w:val="36"/>
          <w:rtl/>
        </w:rPr>
        <w:t xml:space="preserve">، </w:t>
      </w:r>
      <w:r w:rsidRPr="00FD211F">
        <w:rPr>
          <w:sz w:val="36"/>
          <w:szCs w:val="36"/>
          <w:rtl/>
        </w:rPr>
        <w:t>اذ لامنافا</w:t>
      </w:r>
      <w:r w:rsidR="00EC7EDF" w:rsidRPr="00FD211F">
        <w:rPr>
          <w:sz w:val="36"/>
          <w:szCs w:val="36"/>
          <w:rtl/>
        </w:rPr>
        <w:t xml:space="preserve">ة </w:t>
      </w:r>
      <w:r w:rsidRPr="00FD211F">
        <w:rPr>
          <w:sz w:val="36"/>
          <w:szCs w:val="36"/>
          <w:rtl/>
        </w:rPr>
        <w:t xml:space="preserve">بين كون </w:t>
      </w:r>
      <w:r w:rsidR="008D7B3D" w:rsidRPr="00FD211F">
        <w:rPr>
          <w:sz w:val="36"/>
          <w:szCs w:val="36"/>
          <w:rtl/>
        </w:rPr>
        <w:t xml:space="preserve">شيء </w:t>
      </w:r>
      <w:r w:rsidRPr="00FD211F">
        <w:rPr>
          <w:sz w:val="36"/>
          <w:szCs w:val="36"/>
          <w:rtl/>
        </w:rPr>
        <w:t>لازم الماهي</w:t>
      </w:r>
      <w:r w:rsidR="00EC7EDF" w:rsidRPr="00FD211F">
        <w:rPr>
          <w:sz w:val="36"/>
          <w:szCs w:val="36"/>
          <w:rtl/>
        </w:rPr>
        <w:t xml:space="preserve">ة </w:t>
      </w:r>
      <w:r w:rsidRPr="00FD211F">
        <w:rPr>
          <w:sz w:val="36"/>
          <w:szCs w:val="36"/>
          <w:rtl/>
        </w:rPr>
        <w:t>و</w:t>
      </w:r>
      <w:r w:rsidR="002664D5" w:rsidRPr="00FD211F">
        <w:rPr>
          <w:sz w:val="36"/>
          <w:szCs w:val="36"/>
          <w:rtl/>
        </w:rPr>
        <w:t>عارضا لها وبين كونه</w:t>
      </w:r>
      <w:r w:rsidRPr="00FD211F">
        <w:rPr>
          <w:sz w:val="36"/>
          <w:szCs w:val="36"/>
          <w:rtl/>
        </w:rPr>
        <w:t xml:space="preserve"> محققا لها</w:t>
      </w:r>
      <w:r w:rsidR="00603323" w:rsidRPr="00FD211F">
        <w:rPr>
          <w:sz w:val="36"/>
          <w:szCs w:val="36"/>
          <w:rtl/>
        </w:rPr>
        <w:t xml:space="preserve">، </w:t>
      </w:r>
      <w:r w:rsidRPr="00FD211F">
        <w:rPr>
          <w:sz w:val="36"/>
          <w:szCs w:val="36"/>
          <w:rtl/>
        </w:rPr>
        <w:t>كالفصل بالإضاف</w:t>
      </w:r>
      <w:r w:rsidR="00EC7EDF" w:rsidRPr="00FD211F">
        <w:rPr>
          <w:sz w:val="36"/>
          <w:szCs w:val="36"/>
          <w:rtl/>
        </w:rPr>
        <w:t xml:space="preserve">ة </w:t>
      </w:r>
      <w:r w:rsidRPr="00FD211F">
        <w:rPr>
          <w:sz w:val="36"/>
          <w:szCs w:val="36"/>
          <w:rtl/>
        </w:rPr>
        <w:t>الى الجنس</w:t>
      </w:r>
      <w:r w:rsidR="00603323" w:rsidRPr="00FD211F">
        <w:rPr>
          <w:sz w:val="36"/>
          <w:szCs w:val="36"/>
          <w:rtl/>
        </w:rPr>
        <w:t xml:space="preserve">، </w:t>
      </w:r>
      <w:r w:rsidRPr="00FD211F">
        <w:rPr>
          <w:sz w:val="36"/>
          <w:szCs w:val="36"/>
          <w:rtl/>
        </w:rPr>
        <w:t>فانه عرض خاص له مع ان تحصل الجنس انما يكون بتحصله</w:t>
      </w:r>
      <w:r w:rsidR="009C58C8" w:rsidRPr="00FD211F">
        <w:rPr>
          <w:rStyle w:val="a6"/>
          <w:sz w:val="36"/>
          <w:szCs w:val="36"/>
          <w:rtl/>
        </w:rPr>
        <w:t>(</w:t>
      </w:r>
      <w:r w:rsidR="009C58C8" w:rsidRPr="00FD211F">
        <w:rPr>
          <w:rStyle w:val="a6"/>
          <w:sz w:val="36"/>
          <w:szCs w:val="36"/>
          <w:rtl/>
        </w:rPr>
        <w:footnoteReference w:id="354"/>
      </w:r>
      <w:r w:rsidR="009C58C8" w:rsidRPr="00FD211F">
        <w:rPr>
          <w:rStyle w:val="a6"/>
          <w:sz w:val="36"/>
          <w:szCs w:val="36"/>
          <w:rtl/>
        </w:rPr>
        <w:t>)</w:t>
      </w:r>
      <w:r w:rsidRPr="00FD211F">
        <w:rPr>
          <w:sz w:val="36"/>
          <w:szCs w:val="36"/>
          <w:rtl/>
        </w:rPr>
        <w:t>.</w:t>
      </w:r>
    </w:p>
    <w:p w14:paraId="7ACAEA41" w14:textId="77777777" w:rsidR="00052BF2" w:rsidRPr="00FD211F" w:rsidRDefault="00833203" w:rsidP="009C58C8">
      <w:pPr>
        <w:ind w:left="0" w:firstLine="227"/>
        <w:jc w:val="both"/>
        <w:rPr>
          <w:sz w:val="36"/>
          <w:szCs w:val="36"/>
          <w:rtl/>
        </w:rPr>
      </w:pPr>
      <w:r w:rsidRPr="00FD211F">
        <w:rPr>
          <w:sz w:val="36"/>
          <w:szCs w:val="36"/>
          <w:rtl/>
        </w:rPr>
        <w:t>هذا وقدذكر في كتابه أن عنوان الصح</w:t>
      </w:r>
      <w:r w:rsidR="00EC7EDF" w:rsidRPr="00FD211F">
        <w:rPr>
          <w:sz w:val="36"/>
          <w:szCs w:val="36"/>
          <w:rtl/>
        </w:rPr>
        <w:t xml:space="preserve">ة </w:t>
      </w:r>
      <w:r w:rsidRPr="00FD211F">
        <w:rPr>
          <w:sz w:val="36"/>
          <w:szCs w:val="36"/>
          <w:rtl/>
        </w:rPr>
        <w:t>والتمامي</w:t>
      </w:r>
      <w:r w:rsidR="00EC7EDF" w:rsidRPr="00FD211F">
        <w:rPr>
          <w:sz w:val="36"/>
          <w:szCs w:val="36"/>
          <w:rtl/>
        </w:rPr>
        <w:t xml:space="preserve">ة </w:t>
      </w:r>
      <w:r w:rsidRPr="00FD211F">
        <w:rPr>
          <w:sz w:val="36"/>
          <w:szCs w:val="36"/>
          <w:rtl/>
        </w:rPr>
        <w:t>وان كان ينتزع عن ترتب الأثر لكن تار</w:t>
      </w:r>
      <w:r w:rsidR="00EC7EDF" w:rsidRPr="00FD211F">
        <w:rPr>
          <w:sz w:val="36"/>
          <w:szCs w:val="36"/>
          <w:rtl/>
        </w:rPr>
        <w:t xml:space="preserve">ة </w:t>
      </w:r>
      <w:r w:rsidRPr="00FD211F">
        <w:rPr>
          <w:sz w:val="36"/>
          <w:szCs w:val="36"/>
          <w:rtl/>
        </w:rPr>
        <w:t>يفرض كون المرادمن الصحيح ما يترتب عليه الأثر بالفعل ففي مثله لايمكن فرض الأثر من لوازم الصح</w:t>
      </w:r>
      <w:r w:rsidR="00EC7EDF" w:rsidRPr="00FD211F">
        <w:rPr>
          <w:sz w:val="36"/>
          <w:szCs w:val="36"/>
          <w:rtl/>
        </w:rPr>
        <w:t>ة</w:t>
      </w:r>
      <w:r w:rsidR="00603323" w:rsidRPr="00FD211F">
        <w:rPr>
          <w:sz w:val="36"/>
          <w:szCs w:val="36"/>
          <w:rtl/>
        </w:rPr>
        <w:t xml:space="preserve">، </w:t>
      </w:r>
      <w:r w:rsidRPr="00FD211F">
        <w:rPr>
          <w:sz w:val="36"/>
          <w:szCs w:val="36"/>
          <w:rtl/>
        </w:rPr>
        <w:t>بل يكون مقوماللصح</w:t>
      </w:r>
      <w:r w:rsidR="00EC7EDF" w:rsidRPr="00FD211F">
        <w:rPr>
          <w:sz w:val="36"/>
          <w:szCs w:val="36"/>
          <w:rtl/>
        </w:rPr>
        <w:t>ة</w:t>
      </w:r>
      <w:r w:rsidR="00603323" w:rsidRPr="00FD211F">
        <w:rPr>
          <w:sz w:val="36"/>
          <w:szCs w:val="36"/>
          <w:rtl/>
        </w:rPr>
        <w:t xml:space="preserve">، </w:t>
      </w:r>
      <w:r w:rsidRPr="00FD211F">
        <w:rPr>
          <w:sz w:val="36"/>
          <w:szCs w:val="36"/>
          <w:rtl/>
        </w:rPr>
        <w:t>وأخرى يكون المرادمنه الحص</w:t>
      </w:r>
      <w:r w:rsidR="00EC7EDF" w:rsidRPr="00FD211F">
        <w:rPr>
          <w:sz w:val="36"/>
          <w:szCs w:val="36"/>
          <w:rtl/>
        </w:rPr>
        <w:t xml:space="preserve">ة </w:t>
      </w:r>
      <w:r w:rsidRPr="00FD211F">
        <w:rPr>
          <w:sz w:val="36"/>
          <w:szCs w:val="36"/>
          <w:rtl/>
        </w:rPr>
        <w:t>الملازم</w:t>
      </w:r>
      <w:r w:rsidR="00EC7EDF" w:rsidRPr="00FD211F">
        <w:rPr>
          <w:sz w:val="36"/>
          <w:szCs w:val="36"/>
          <w:rtl/>
        </w:rPr>
        <w:t xml:space="preserve">ة </w:t>
      </w:r>
      <w:r w:rsidRPr="00FD211F">
        <w:rPr>
          <w:sz w:val="36"/>
          <w:szCs w:val="36"/>
          <w:rtl/>
        </w:rPr>
        <w:t>لترتب الأثر</w:t>
      </w:r>
      <w:r w:rsidR="00603323" w:rsidRPr="00FD211F">
        <w:rPr>
          <w:sz w:val="36"/>
          <w:szCs w:val="36"/>
          <w:rtl/>
        </w:rPr>
        <w:t xml:space="preserve">، </w:t>
      </w:r>
      <w:r w:rsidRPr="00FD211F">
        <w:rPr>
          <w:sz w:val="36"/>
          <w:szCs w:val="36"/>
          <w:rtl/>
        </w:rPr>
        <w:t>يعني بلوغ المركب حدّا يترتب عليه الأثر</w:t>
      </w:r>
      <w:r w:rsidR="00603323" w:rsidRPr="00FD211F">
        <w:rPr>
          <w:sz w:val="36"/>
          <w:szCs w:val="36"/>
          <w:rtl/>
        </w:rPr>
        <w:t xml:space="preserve">، </w:t>
      </w:r>
      <w:r w:rsidRPr="00FD211F">
        <w:rPr>
          <w:sz w:val="36"/>
          <w:szCs w:val="36"/>
          <w:rtl/>
        </w:rPr>
        <w:t>كما هو الحال في العل</w:t>
      </w:r>
      <w:r w:rsidR="00EC7EDF" w:rsidRPr="00FD211F">
        <w:rPr>
          <w:sz w:val="36"/>
          <w:szCs w:val="36"/>
          <w:rtl/>
        </w:rPr>
        <w:t xml:space="preserve">ة </w:t>
      </w:r>
      <w:r w:rsidRPr="00FD211F">
        <w:rPr>
          <w:sz w:val="36"/>
          <w:szCs w:val="36"/>
          <w:rtl/>
        </w:rPr>
        <w:t>التامّ</w:t>
      </w:r>
      <w:r w:rsidR="00EC7EDF" w:rsidRPr="00FD211F">
        <w:rPr>
          <w:sz w:val="36"/>
          <w:szCs w:val="36"/>
          <w:rtl/>
        </w:rPr>
        <w:t>ة</w:t>
      </w:r>
      <w:r w:rsidR="00603323" w:rsidRPr="00FD211F">
        <w:rPr>
          <w:sz w:val="36"/>
          <w:szCs w:val="36"/>
          <w:rtl/>
        </w:rPr>
        <w:t xml:space="preserve">، </w:t>
      </w:r>
      <w:r w:rsidRPr="00FD211F">
        <w:rPr>
          <w:sz w:val="36"/>
          <w:szCs w:val="36"/>
          <w:rtl/>
        </w:rPr>
        <w:t>فان كون العل</w:t>
      </w:r>
      <w:r w:rsidR="00EC7EDF" w:rsidRPr="00FD211F">
        <w:rPr>
          <w:sz w:val="36"/>
          <w:szCs w:val="36"/>
          <w:rtl/>
        </w:rPr>
        <w:t xml:space="preserve">ة </w:t>
      </w:r>
      <w:r w:rsidRPr="00FD211F">
        <w:rPr>
          <w:sz w:val="36"/>
          <w:szCs w:val="36"/>
          <w:rtl/>
        </w:rPr>
        <w:t>تام</w:t>
      </w:r>
      <w:r w:rsidR="00EC7EDF" w:rsidRPr="00FD211F">
        <w:rPr>
          <w:sz w:val="36"/>
          <w:szCs w:val="36"/>
          <w:rtl/>
        </w:rPr>
        <w:t xml:space="preserve">ة </w:t>
      </w:r>
      <w:r w:rsidRPr="00FD211F">
        <w:rPr>
          <w:sz w:val="36"/>
          <w:szCs w:val="36"/>
          <w:rtl/>
        </w:rPr>
        <w:t>يعني بلوغ العل</w:t>
      </w:r>
      <w:r w:rsidR="00EC7EDF" w:rsidRPr="00FD211F">
        <w:rPr>
          <w:sz w:val="36"/>
          <w:szCs w:val="36"/>
          <w:rtl/>
        </w:rPr>
        <w:t xml:space="preserve">ة </w:t>
      </w:r>
      <w:r w:rsidRPr="00FD211F">
        <w:rPr>
          <w:sz w:val="36"/>
          <w:szCs w:val="36"/>
          <w:rtl/>
        </w:rPr>
        <w:t>حدا يترتب عليه المعلول</w:t>
      </w:r>
      <w:r w:rsidR="00603323" w:rsidRPr="00FD211F">
        <w:rPr>
          <w:sz w:val="36"/>
          <w:szCs w:val="36"/>
          <w:rtl/>
        </w:rPr>
        <w:t xml:space="preserve">، </w:t>
      </w:r>
      <w:r w:rsidRPr="00FD211F">
        <w:rPr>
          <w:sz w:val="36"/>
          <w:szCs w:val="36"/>
          <w:rtl/>
        </w:rPr>
        <w:t>ففي مثله يصح ان يقال ان المعلول من لوازم العل</w:t>
      </w:r>
      <w:r w:rsidR="00EC7EDF" w:rsidRPr="00FD211F">
        <w:rPr>
          <w:sz w:val="36"/>
          <w:szCs w:val="36"/>
          <w:rtl/>
        </w:rPr>
        <w:t xml:space="preserve">ة </w:t>
      </w:r>
      <w:r w:rsidRPr="00FD211F">
        <w:rPr>
          <w:sz w:val="36"/>
          <w:szCs w:val="36"/>
          <w:rtl/>
        </w:rPr>
        <w:t>وآثارها</w:t>
      </w:r>
      <w:r w:rsidR="00603323" w:rsidRPr="00FD211F">
        <w:rPr>
          <w:sz w:val="36"/>
          <w:szCs w:val="36"/>
          <w:rtl/>
        </w:rPr>
        <w:t xml:space="preserve">، </w:t>
      </w:r>
      <w:r w:rsidRPr="00FD211F">
        <w:rPr>
          <w:sz w:val="36"/>
          <w:szCs w:val="36"/>
          <w:rtl/>
        </w:rPr>
        <w:t>وفي نفس الوقت يكون الاتصاف بالتمامي</w:t>
      </w:r>
      <w:r w:rsidR="00EC7EDF" w:rsidRPr="00FD211F">
        <w:rPr>
          <w:sz w:val="36"/>
          <w:szCs w:val="36"/>
          <w:rtl/>
        </w:rPr>
        <w:t xml:space="preserve">ة </w:t>
      </w:r>
      <w:r w:rsidRPr="00FD211F">
        <w:rPr>
          <w:sz w:val="36"/>
          <w:szCs w:val="36"/>
          <w:rtl/>
        </w:rPr>
        <w:t>بلحاظ المعلول</w:t>
      </w:r>
      <w:r w:rsidR="009C58C8" w:rsidRPr="00FD211F">
        <w:rPr>
          <w:rStyle w:val="a6"/>
          <w:sz w:val="36"/>
          <w:szCs w:val="36"/>
          <w:rtl/>
        </w:rPr>
        <w:t>(</w:t>
      </w:r>
      <w:r w:rsidR="009C58C8" w:rsidRPr="00FD211F">
        <w:rPr>
          <w:rStyle w:val="a6"/>
          <w:sz w:val="36"/>
          <w:szCs w:val="36"/>
          <w:rtl/>
        </w:rPr>
        <w:footnoteReference w:id="355"/>
      </w:r>
      <w:r w:rsidR="009C58C8" w:rsidRPr="00FD211F">
        <w:rPr>
          <w:rStyle w:val="a6"/>
          <w:sz w:val="36"/>
          <w:szCs w:val="36"/>
          <w:rtl/>
        </w:rPr>
        <w:t>)</w:t>
      </w:r>
      <w:r w:rsidRPr="00FD211F">
        <w:rPr>
          <w:sz w:val="36"/>
          <w:szCs w:val="36"/>
          <w:rtl/>
        </w:rPr>
        <w:t xml:space="preserve">؛ </w:t>
      </w:r>
    </w:p>
    <w:p w14:paraId="5589BFD1" w14:textId="77777777" w:rsidR="000C5BBA" w:rsidRPr="00FD211F" w:rsidRDefault="00052BF2" w:rsidP="009C58C8">
      <w:pPr>
        <w:ind w:left="0" w:firstLine="227"/>
        <w:jc w:val="both"/>
        <w:rPr>
          <w:sz w:val="36"/>
          <w:szCs w:val="36"/>
          <w:rtl/>
        </w:rPr>
      </w:pPr>
      <w:r w:rsidRPr="00FD211F">
        <w:rPr>
          <w:sz w:val="36"/>
          <w:szCs w:val="36"/>
          <w:rtl/>
        </w:rPr>
        <w:t>و</w:t>
      </w:r>
      <w:r w:rsidR="00833203" w:rsidRPr="00FD211F">
        <w:rPr>
          <w:sz w:val="36"/>
          <w:szCs w:val="36"/>
          <w:rtl/>
        </w:rPr>
        <w:t>قد</w:t>
      </w:r>
      <w:r w:rsidR="001E3DC7" w:rsidRPr="00FD211F">
        <w:rPr>
          <w:sz w:val="36"/>
          <w:szCs w:val="36"/>
          <w:rtl/>
        </w:rPr>
        <w:t>اجاب</w:t>
      </w:r>
      <w:r w:rsidRPr="00FD211F">
        <w:rPr>
          <w:sz w:val="36"/>
          <w:szCs w:val="36"/>
          <w:rtl/>
        </w:rPr>
        <w:t xml:space="preserve"> السيد الخوئي </w:t>
      </w:r>
      <w:r w:rsidR="008F1EC7" w:rsidRPr="00FD211F">
        <w:rPr>
          <w:sz w:val="36"/>
          <w:szCs w:val="36"/>
          <w:rtl/>
        </w:rPr>
        <w:t>"</w:t>
      </w:r>
      <w:r w:rsidRPr="00FD211F">
        <w:rPr>
          <w:sz w:val="36"/>
          <w:szCs w:val="36"/>
          <w:rtl/>
        </w:rPr>
        <w:t>قده</w:t>
      </w:r>
      <w:r w:rsidR="008F1EC7" w:rsidRPr="00FD211F">
        <w:rPr>
          <w:sz w:val="36"/>
          <w:szCs w:val="36"/>
          <w:rtl/>
        </w:rPr>
        <w:t>"</w:t>
      </w:r>
      <w:r w:rsidRPr="00FD211F">
        <w:rPr>
          <w:sz w:val="36"/>
          <w:szCs w:val="36"/>
          <w:rtl/>
        </w:rPr>
        <w:t xml:space="preserve"> ع</w:t>
      </w:r>
      <w:r w:rsidR="001E3DC7" w:rsidRPr="00FD211F">
        <w:rPr>
          <w:sz w:val="36"/>
          <w:szCs w:val="36"/>
          <w:rtl/>
        </w:rPr>
        <w:t xml:space="preserve">ن </w:t>
      </w:r>
      <w:r w:rsidR="00833203" w:rsidRPr="00FD211F">
        <w:rPr>
          <w:sz w:val="36"/>
          <w:szCs w:val="36"/>
          <w:rtl/>
        </w:rPr>
        <w:t>اشكال المحقق الاصفهانى على صاحب الكفاي</w:t>
      </w:r>
      <w:r w:rsidR="00EC7EDF" w:rsidRPr="00FD211F">
        <w:rPr>
          <w:sz w:val="36"/>
          <w:szCs w:val="36"/>
          <w:rtl/>
        </w:rPr>
        <w:t xml:space="preserve">ة </w:t>
      </w:r>
      <w:r w:rsidR="00995A24" w:rsidRPr="00FD211F">
        <w:rPr>
          <w:sz w:val="36"/>
          <w:szCs w:val="36"/>
          <w:rtl/>
        </w:rPr>
        <w:t>-</w:t>
      </w:r>
      <w:r w:rsidR="00833203" w:rsidRPr="00FD211F">
        <w:rPr>
          <w:sz w:val="36"/>
          <w:szCs w:val="36"/>
          <w:rtl/>
        </w:rPr>
        <w:t>بكون التمامي</w:t>
      </w:r>
      <w:r w:rsidR="00EC7EDF" w:rsidRPr="00FD211F">
        <w:rPr>
          <w:sz w:val="36"/>
          <w:szCs w:val="36"/>
          <w:rtl/>
        </w:rPr>
        <w:t xml:space="preserve">ة </w:t>
      </w:r>
      <w:r w:rsidR="00833203" w:rsidRPr="00FD211F">
        <w:rPr>
          <w:sz w:val="36"/>
          <w:szCs w:val="36"/>
          <w:rtl/>
        </w:rPr>
        <w:t>من مقومات الصح</w:t>
      </w:r>
      <w:r w:rsidR="00EC7EDF" w:rsidRPr="00FD211F">
        <w:rPr>
          <w:sz w:val="36"/>
          <w:szCs w:val="36"/>
          <w:rtl/>
        </w:rPr>
        <w:t xml:space="preserve">ة </w:t>
      </w:r>
      <w:r w:rsidR="00995A24" w:rsidRPr="00FD211F">
        <w:rPr>
          <w:sz w:val="36"/>
          <w:szCs w:val="36"/>
          <w:rtl/>
        </w:rPr>
        <w:t xml:space="preserve">لامن لوازمها - </w:t>
      </w:r>
      <w:r w:rsidRPr="00FD211F">
        <w:rPr>
          <w:sz w:val="36"/>
          <w:szCs w:val="36"/>
          <w:rtl/>
        </w:rPr>
        <w:t>ان الظاهر وقوع الخلط في كلامه</w:t>
      </w:r>
      <w:r w:rsidR="001E3DC7" w:rsidRPr="00FD211F">
        <w:rPr>
          <w:sz w:val="36"/>
          <w:szCs w:val="36"/>
          <w:rtl/>
        </w:rPr>
        <w:t xml:space="preserve"> اما</w:t>
      </w:r>
      <w:r w:rsidRPr="00FD211F">
        <w:rPr>
          <w:sz w:val="36"/>
          <w:szCs w:val="36"/>
          <w:rtl/>
        </w:rPr>
        <w:t xml:space="preserve"> بين تمامي</w:t>
      </w:r>
      <w:r w:rsidR="00EC7EDF" w:rsidRPr="00FD211F">
        <w:rPr>
          <w:sz w:val="36"/>
          <w:szCs w:val="36"/>
          <w:rtl/>
        </w:rPr>
        <w:t xml:space="preserve">ة </w:t>
      </w:r>
      <w:r w:rsidRPr="00FD211F">
        <w:rPr>
          <w:sz w:val="36"/>
          <w:szCs w:val="36"/>
          <w:rtl/>
        </w:rPr>
        <w:t>ال</w:t>
      </w:r>
      <w:r w:rsidR="008D7B3D" w:rsidRPr="00FD211F">
        <w:rPr>
          <w:sz w:val="36"/>
          <w:szCs w:val="36"/>
          <w:rtl/>
        </w:rPr>
        <w:t xml:space="preserve">شيء </w:t>
      </w:r>
      <w:r w:rsidRPr="00FD211F">
        <w:rPr>
          <w:sz w:val="36"/>
          <w:szCs w:val="36"/>
          <w:rtl/>
        </w:rPr>
        <w:t>في نفسه اي تماميته من حيث الأجزاء</w:t>
      </w:r>
      <w:r w:rsidR="008F1EC7" w:rsidRPr="00FD211F">
        <w:rPr>
          <w:sz w:val="36"/>
          <w:szCs w:val="36"/>
          <w:rtl/>
        </w:rPr>
        <w:t xml:space="preserve"> والشرائط</w:t>
      </w:r>
      <w:r w:rsidR="00603323" w:rsidRPr="00FD211F">
        <w:rPr>
          <w:sz w:val="36"/>
          <w:szCs w:val="36"/>
          <w:rtl/>
        </w:rPr>
        <w:t xml:space="preserve">، </w:t>
      </w:r>
      <w:r w:rsidR="001E3DC7" w:rsidRPr="00FD211F">
        <w:rPr>
          <w:sz w:val="36"/>
          <w:szCs w:val="36"/>
          <w:rtl/>
        </w:rPr>
        <w:t>و</w:t>
      </w:r>
      <w:r w:rsidR="008F1EC7" w:rsidRPr="00FD211F">
        <w:rPr>
          <w:sz w:val="36"/>
          <w:szCs w:val="36"/>
          <w:rtl/>
        </w:rPr>
        <w:t>يعبر عنهافي ال</w:t>
      </w:r>
      <w:r w:rsidR="001E3DC7" w:rsidRPr="00FD211F">
        <w:rPr>
          <w:sz w:val="36"/>
          <w:szCs w:val="36"/>
          <w:rtl/>
        </w:rPr>
        <w:t>ل</w:t>
      </w:r>
      <w:r w:rsidR="008F1EC7" w:rsidRPr="00FD211F">
        <w:rPr>
          <w:sz w:val="36"/>
          <w:szCs w:val="36"/>
          <w:rtl/>
        </w:rPr>
        <w:t>غ</w:t>
      </w:r>
      <w:r w:rsidR="00EC7EDF" w:rsidRPr="00FD211F">
        <w:rPr>
          <w:sz w:val="36"/>
          <w:szCs w:val="36"/>
          <w:rtl/>
        </w:rPr>
        <w:t xml:space="preserve">ة </w:t>
      </w:r>
      <w:r w:rsidR="008F1EC7" w:rsidRPr="00FD211F">
        <w:rPr>
          <w:sz w:val="36"/>
          <w:szCs w:val="36"/>
          <w:rtl/>
        </w:rPr>
        <w:t>الفارسي</w:t>
      </w:r>
      <w:r w:rsidR="00EC7EDF" w:rsidRPr="00FD211F">
        <w:rPr>
          <w:sz w:val="36"/>
          <w:szCs w:val="36"/>
          <w:rtl/>
        </w:rPr>
        <w:t xml:space="preserve">ة </w:t>
      </w:r>
      <w:r w:rsidRPr="00FD211F">
        <w:rPr>
          <w:sz w:val="36"/>
          <w:szCs w:val="36"/>
          <w:rtl/>
        </w:rPr>
        <w:t>بكلم</w:t>
      </w:r>
      <w:r w:rsidR="00EC7EDF" w:rsidRPr="00FD211F">
        <w:rPr>
          <w:sz w:val="36"/>
          <w:szCs w:val="36"/>
          <w:rtl/>
        </w:rPr>
        <w:t xml:space="preserve">ة </w:t>
      </w:r>
      <w:r w:rsidRPr="00FD211F">
        <w:rPr>
          <w:sz w:val="36"/>
          <w:szCs w:val="36"/>
          <w:rtl/>
        </w:rPr>
        <w:t>"درستى"</w:t>
      </w:r>
      <w:r w:rsidR="00603323" w:rsidRPr="00FD211F">
        <w:rPr>
          <w:sz w:val="36"/>
          <w:szCs w:val="36"/>
          <w:rtl/>
        </w:rPr>
        <w:t xml:space="preserve">، </w:t>
      </w:r>
      <w:r w:rsidRPr="00FD211F">
        <w:rPr>
          <w:sz w:val="36"/>
          <w:szCs w:val="36"/>
          <w:rtl/>
        </w:rPr>
        <w:t>وبين تمامي</w:t>
      </w:r>
      <w:r w:rsidR="00EC7EDF" w:rsidRPr="00FD211F">
        <w:rPr>
          <w:sz w:val="36"/>
          <w:szCs w:val="36"/>
          <w:rtl/>
        </w:rPr>
        <w:t xml:space="preserve">ة </w:t>
      </w:r>
      <w:r w:rsidR="001E3DC7" w:rsidRPr="00FD211F">
        <w:rPr>
          <w:sz w:val="36"/>
          <w:szCs w:val="36"/>
          <w:rtl/>
        </w:rPr>
        <w:t>ال</w:t>
      </w:r>
      <w:r w:rsidR="00251CB6" w:rsidRPr="00FD211F">
        <w:rPr>
          <w:sz w:val="36"/>
          <w:szCs w:val="36"/>
          <w:rtl/>
        </w:rPr>
        <w:t xml:space="preserve">شيء </w:t>
      </w:r>
      <w:r w:rsidRPr="00FD211F">
        <w:rPr>
          <w:sz w:val="36"/>
          <w:szCs w:val="36"/>
          <w:rtl/>
        </w:rPr>
        <w:t>بلحاظ مرحل</w:t>
      </w:r>
      <w:r w:rsidR="00EC7EDF" w:rsidRPr="00FD211F">
        <w:rPr>
          <w:sz w:val="36"/>
          <w:szCs w:val="36"/>
          <w:rtl/>
        </w:rPr>
        <w:t xml:space="preserve">ة </w:t>
      </w:r>
      <w:r w:rsidRPr="00FD211F">
        <w:rPr>
          <w:sz w:val="36"/>
          <w:szCs w:val="36"/>
          <w:rtl/>
        </w:rPr>
        <w:t>الامتثال والإجزاء</w:t>
      </w:r>
      <w:r w:rsidR="00603323" w:rsidRPr="00FD211F">
        <w:rPr>
          <w:sz w:val="36"/>
          <w:szCs w:val="36"/>
          <w:rtl/>
        </w:rPr>
        <w:t xml:space="preserve">، </w:t>
      </w:r>
      <w:r w:rsidRPr="00FD211F">
        <w:rPr>
          <w:sz w:val="36"/>
          <w:szCs w:val="36"/>
          <w:rtl/>
        </w:rPr>
        <w:t>فان لتمامي</w:t>
      </w:r>
      <w:r w:rsidR="00EC7EDF" w:rsidRPr="00FD211F">
        <w:rPr>
          <w:sz w:val="36"/>
          <w:szCs w:val="36"/>
          <w:rtl/>
        </w:rPr>
        <w:t xml:space="preserve">ة </w:t>
      </w:r>
      <w:r w:rsidRPr="00FD211F">
        <w:rPr>
          <w:sz w:val="36"/>
          <w:szCs w:val="36"/>
          <w:rtl/>
        </w:rPr>
        <w:t>ال</w:t>
      </w:r>
      <w:r w:rsidR="008D7B3D" w:rsidRPr="00FD211F">
        <w:rPr>
          <w:sz w:val="36"/>
          <w:szCs w:val="36"/>
          <w:rtl/>
        </w:rPr>
        <w:t xml:space="preserve">شيء </w:t>
      </w:r>
      <w:r w:rsidRPr="00FD211F">
        <w:rPr>
          <w:sz w:val="36"/>
          <w:szCs w:val="36"/>
          <w:rtl/>
        </w:rPr>
        <w:t>في نفسه اي تماميته من حيث الأجزاء والشرائط واقعي</w:t>
      </w:r>
      <w:r w:rsidR="00EC7EDF" w:rsidRPr="00FD211F">
        <w:rPr>
          <w:sz w:val="36"/>
          <w:szCs w:val="36"/>
          <w:rtl/>
        </w:rPr>
        <w:t>ة</w:t>
      </w:r>
      <w:r w:rsidR="00603323" w:rsidRPr="00FD211F">
        <w:rPr>
          <w:sz w:val="36"/>
          <w:szCs w:val="36"/>
          <w:rtl/>
        </w:rPr>
        <w:t xml:space="preserve">، </w:t>
      </w:r>
      <w:r w:rsidRPr="00FD211F">
        <w:rPr>
          <w:sz w:val="36"/>
          <w:szCs w:val="36"/>
          <w:rtl/>
        </w:rPr>
        <w:t>مع قطع النظر عن آثارها من موافق</w:t>
      </w:r>
      <w:r w:rsidR="00EC7EDF" w:rsidRPr="00FD211F">
        <w:rPr>
          <w:sz w:val="36"/>
          <w:szCs w:val="36"/>
          <w:rtl/>
        </w:rPr>
        <w:t xml:space="preserve">ة </w:t>
      </w:r>
      <w:r w:rsidRPr="00FD211F">
        <w:rPr>
          <w:sz w:val="36"/>
          <w:szCs w:val="36"/>
          <w:rtl/>
        </w:rPr>
        <w:t>الأمر او سقوط الاعاد</w:t>
      </w:r>
      <w:r w:rsidR="00EC7EDF" w:rsidRPr="00FD211F">
        <w:rPr>
          <w:sz w:val="36"/>
          <w:szCs w:val="36"/>
          <w:rtl/>
        </w:rPr>
        <w:t xml:space="preserve">ة </w:t>
      </w:r>
      <w:r w:rsidRPr="00FD211F">
        <w:rPr>
          <w:sz w:val="36"/>
          <w:szCs w:val="36"/>
          <w:rtl/>
        </w:rPr>
        <w:t>والقضاء</w:t>
      </w:r>
      <w:r w:rsidR="00603323" w:rsidRPr="00FD211F">
        <w:rPr>
          <w:sz w:val="36"/>
          <w:szCs w:val="36"/>
          <w:rtl/>
        </w:rPr>
        <w:t xml:space="preserve">، </w:t>
      </w:r>
      <w:r w:rsidRPr="00FD211F">
        <w:rPr>
          <w:sz w:val="36"/>
          <w:szCs w:val="36"/>
          <w:rtl/>
        </w:rPr>
        <w:t>نعم التمامي</w:t>
      </w:r>
      <w:r w:rsidR="00EC7EDF" w:rsidRPr="00FD211F">
        <w:rPr>
          <w:sz w:val="36"/>
          <w:szCs w:val="36"/>
          <w:rtl/>
        </w:rPr>
        <w:t xml:space="preserve">ة </w:t>
      </w:r>
      <w:r w:rsidRPr="00FD211F">
        <w:rPr>
          <w:sz w:val="36"/>
          <w:szCs w:val="36"/>
          <w:rtl/>
        </w:rPr>
        <w:t>بالمعنى الثاني لاواقعي</w:t>
      </w:r>
      <w:r w:rsidR="00EC7EDF" w:rsidRPr="00FD211F">
        <w:rPr>
          <w:sz w:val="36"/>
          <w:szCs w:val="36"/>
          <w:rtl/>
        </w:rPr>
        <w:t xml:space="preserve">ة </w:t>
      </w:r>
      <w:r w:rsidRPr="00FD211F">
        <w:rPr>
          <w:sz w:val="36"/>
          <w:szCs w:val="36"/>
          <w:rtl/>
        </w:rPr>
        <w:t>لها مع قطع النظر عن هذه ا</w:t>
      </w:r>
      <w:r w:rsidR="0045263E" w:rsidRPr="00FD211F">
        <w:rPr>
          <w:sz w:val="36"/>
          <w:szCs w:val="36"/>
          <w:rtl/>
        </w:rPr>
        <w:t>لآثار.</w:t>
      </w:r>
    </w:p>
    <w:p w14:paraId="209086AD" w14:textId="77777777" w:rsidR="00052BF2" w:rsidRPr="00FD211F" w:rsidRDefault="00052BF2" w:rsidP="009C58C8">
      <w:pPr>
        <w:ind w:left="0" w:firstLine="227"/>
        <w:jc w:val="both"/>
        <w:rPr>
          <w:sz w:val="36"/>
          <w:szCs w:val="36"/>
          <w:rtl/>
        </w:rPr>
      </w:pPr>
      <w:r w:rsidRPr="00FD211F">
        <w:rPr>
          <w:sz w:val="36"/>
          <w:szCs w:val="36"/>
          <w:rtl/>
        </w:rPr>
        <w:t>او وقع الخلط في كلامه بين واقع التمامي</w:t>
      </w:r>
      <w:r w:rsidR="00EC7EDF" w:rsidRPr="00FD211F">
        <w:rPr>
          <w:sz w:val="36"/>
          <w:szCs w:val="36"/>
          <w:rtl/>
        </w:rPr>
        <w:t xml:space="preserve">ة </w:t>
      </w:r>
      <w:r w:rsidRPr="00FD211F">
        <w:rPr>
          <w:sz w:val="36"/>
          <w:szCs w:val="36"/>
          <w:rtl/>
        </w:rPr>
        <w:t>وعنوانها</w:t>
      </w:r>
      <w:r w:rsidR="00603323" w:rsidRPr="00FD211F">
        <w:rPr>
          <w:sz w:val="36"/>
          <w:szCs w:val="36"/>
          <w:rtl/>
        </w:rPr>
        <w:t xml:space="preserve">، </w:t>
      </w:r>
      <w:r w:rsidRPr="00FD211F">
        <w:rPr>
          <w:sz w:val="36"/>
          <w:szCs w:val="36"/>
          <w:rtl/>
        </w:rPr>
        <w:t>فان عنوان التمامي</w:t>
      </w:r>
      <w:r w:rsidR="00EC7EDF" w:rsidRPr="00FD211F">
        <w:rPr>
          <w:sz w:val="36"/>
          <w:szCs w:val="36"/>
          <w:rtl/>
        </w:rPr>
        <w:t xml:space="preserve">ة </w:t>
      </w:r>
      <w:r w:rsidRPr="00FD211F">
        <w:rPr>
          <w:sz w:val="36"/>
          <w:szCs w:val="36"/>
          <w:rtl/>
        </w:rPr>
        <w:t xml:space="preserve">عنوان انتزاعي </w:t>
      </w:r>
      <w:r w:rsidR="00701D79" w:rsidRPr="00FD211F">
        <w:rPr>
          <w:sz w:val="36"/>
          <w:szCs w:val="36"/>
          <w:rtl/>
        </w:rPr>
        <w:t>حيث ي</w:t>
      </w:r>
      <w:r w:rsidRPr="00FD211F">
        <w:rPr>
          <w:sz w:val="36"/>
          <w:szCs w:val="36"/>
          <w:rtl/>
        </w:rPr>
        <w:t>نتزع عن ال</w:t>
      </w:r>
      <w:r w:rsidR="008D7B3D" w:rsidRPr="00FD211F">
        <w:rPr>
          <w:sz w:val="36"/>
          <w:szCs w:val="36"/>
          <w:rtl/>
        </w:rPr>
        <w:t xml:space="preserve">شيء </w:t>
      </w:r>
      <w:r w:rsidRPr="00FD211F">
        <w:rPr>
          <w:sz w:val="36"/>
          <w:szCs w:val="36"/>
          <w:rtl/>
        </w:rPr>
        <w:t>باعتبار</w:t>
      </w:r>
      <w:r w:rsidR="00701D79" w:rsidRPr="00FD211F">
        <w:rPr>
          <w:sz w:val="36"/>
          <w:szCs w:val="36"/>
          <w:rtl/>
        </w:rPr>
        <w:t>ترتب</w:t>
      </w:r>
      <w:r w:rsidRPr="00FD211F">
        <w:rPr>
          <w:sz w:val="36"/>
          <w:szCs w:val="36"/>
          <w:rtl/>
        </w:rPr>
        <w:t xml:space="preserve"> اثره</w:t>
      </w:r>
      <w:r w:rsidR="00603323" w:rsidRPr="00FD211F">
        <w:rPr>
          <w:sz w:val="36"/>
          <w:szCs w:val="36"/>
          <w:rtl/>
        </w:rPr>
        <w:t xml:space="preserve">، </w:t>
      </w:r>
      <w:r w:rsidR="00701D79" w:rsidRPr="00FD211F">
        <w:rPr>
          <w:sz w:val="36"/>
          <w:szCs w:val="36"/>
          <w:rtl/>
        </w:rPr>
        <w:t>فلايمكن اتصافه بعنوان التمامي</w:t>
      </w:r>
      <w:r w:rsidR="00EC7EDF" w:rsidRPr="00FD211F">
        <w:rPr>
          <w:sz w:val="36"/>
          <w:szCs w:val="36"/>
          <w:rtl/>
        </w:rPr>
        <w:t xml:space="preserve">ة </w:t>
      </w:r>
      <w:r w:rsidRPr="00FD211F">
        <w:rPr>
          <w:sz w:val="36"/>
          <w:szCs w:val="36"/>
          <w:rtl/>
        </w:rPr>
        <w:t>مع قطع النظر عن ترتب ذلك الاثر</w:t>
      </w:r>
      <w:r w:rsidR="00603323" w:rsidRPr="00FD211F">
        <w:rPr>
          <w:sz w:val="36"/>
          <w:szCs w:val="36"/>
          <w:rtl/>
        </w:rPr>
        <w:t xml:space="preserve">، </w:t>
      </w:r>
      <w:r w:rsidRPr="00FD211F">
        <w:rPr>
          <w:sz w:val="36"/>
          <w:szCs w:val="36"/>
          <w:rtl/>
        </w:rPr>
        <w:t>ولكنه خارج عن محل الكلام</w:t>
      </w:r>
      <w:r w:rsidR="00603323" w:rsidRPr="00FD211F">
        <w:rPr>
          <w:sz w:val="36"/>
          <w:szCs w:val="36"/>
          <w:rtl/>
        </w:rPr>
        <w:t xml:space="preserve">، </w:t>
      </w:r>
      <w:r w:rsidRPr="00FD211F">
        <w:rPr>
          <w:sz w:val="36"/>
          <w:szCs w:val="36"/>
          <w:rtl/>
        </w:rPr>
        <w:t>فان كلم</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مثلا</w:t>
      </w:r>
      <w:r w:rsidR="008D7B3D" w:rsidRPr="00FD211F">
        <w:rPr>
          <w:sz w:val="36"/>
          <w:szCs w:val="36"/>
          <w:rtl/>
        </w:rPr>
        <w:t xml:space="preserve"> لم‌</w:t>
      </w:r>
      <w:r w:rsidR="00701D79" w:rsidRPr="00FD211F">
        <w:rPr>
          <w:sz w:val="36"/>
          <w:szCs w:val="36"/>
          <w:rtl/>
        </w:rPr>
        <w:t>توضع بإزاء عنوان التمامي</w:t>
      </w:r>
      <w:r w:rsidR="00EC7EDF" w:rsidRPr="00FD211F">
        <w:rPr>
          <w:sz w:val="36"/>
          <w:szCs w:val="36"/>
          <w:rtl/>
        </w:rPr>
        <w:t xml:space="preserve">ة </w:t>
      </w:r>
      <w:r w:rsidR="00701D79" w:rsidRPr="00FD211F">
        <w:rPr>
          <w:sz w:val="36"/>
          <w:szCs w:val="36"/>
          <w:rtl/>
        </w:rPr>
        <w:t>جزما</w:t>
      </w:r>
      <w:r w:rsidR="00603323" w:rsidRPr="00FD211F">
        <w:rPr>
          <w:sz w:val="36"/>
          <w:szCs w:val="36"/>
          <w:rtl/>
        </w:rPr>
        <w:t xml:space="preserve">، </w:t>
      </w:r>
      <w:r w:rsidRPr="00FD211F">
        <w:rPr>
          <w:sz w:val="36"/>
          <w:szCs w:val="36"/>
          <w:rtl/>
        </w:rPr>
        <w:t xml:space="preserve">بل وضعت بإزاء واقعه ومعنونه وهو </w:t>
      </w:r>
      <w:r w:rsidR="00701D79" w:rsidRPr="00FD211F">
        <w:rPr>
          <w:sz w:val="36"/>
          <w:szCs w:val="36"/>
          <w:rtl/>
        </w:rPr>
        <w:t xml:space="preserve">وجدان </w:t>
      </w:r>
      <w:r w:rsidRPr="00FD211F">
        <w:rPr>
          <w:sz w:val="36"/>
          <w:szCs w:val="36"/>
          <w:rtl/>
        </w:rPr>
        <w:t>الأجزاء والشرائط</w:t>
      </w:r>
      <w:r w:rsidR="00603323" w:rsidRPr="00FD211F">
        <w:rPr>
          <w:sz w:val="36"/>
          <w:szCs w:val="36"/>
          <w:rtl/>
        </w:rPr>
        <w:t xml:space="preserve">، </w:t>
      </w:r>
      <w:r w:rsidRPr="00FD211F">
        <w:rPr>
          <w:sz w:val="36"/>
          <w:szCs w:val="36"/>
          <w:rtl/>
        </w:rPr>
        <w:t>ومن الظاهر ان حيثي</w:t>
      </w:r>
      <w:r w:rsidR="00EC7EDF" w:rsidRPr="00FD211F">
        <w:rPr>
          <w:sz w:val="36"/>
          <w:szCs w:val="36"/>
          <w:rtl/>
        </w:rPr>
        <w:t xml:space="preserve">ة </w:t>
      </w:r>
      <w:r w:rsidRPr="00FD211F">
        <w:rPr>
          <w:sz w:val="36"/>
          <w:szCs w:val="36"/>
          <w:rtl/>
        </w:rPr>
        <w:t>ترتب الأثر ليست مقوم</w:t>
      </w:r>
      <w:r w:rsidR="00EC7EDF" w:rsidRPr="00FD211F">
        <w:rPr>
          <w:sz w:val="36"/>
          <w:szCs w:val="36"/>
          <w:rtl/>
        </w:rPr>
        <w:t xml:space="preserve">ة </w:t>
      </w:r>
      <w:r w:rsidRPr="00FD211F">
        <w:rPr>
          <w:sz w:val="36"/>
          <w:szCs w:val="36"/>
          <w:rtl/>
        </w:rPr>
        <w:t>لحقيق</w:t>
      </w:r>
      <w:r w:rsidR="00EC7EDF" w:rsidRPr="00FD211F">
        <w:rPr>
          <w:sz w:val="36"/>
          <w:szCs w:val="36"/>
          <w:rtl/>
        </w:rPr>
        <w:t xml:space="preserve">ة </w:t>
      </w:r>
      <w:r w:rsidRPr="00FD211F">
        <w:rPr>
          <w:sz w:val="36"/>
          <w:szCs w:val="36"/>
          <w:rtl/>
        </w:rPr>
        <w:t>تمامي</w:t>
      </w:r>
      <w:r w:rsidR="00EC7EDF" w:rsidRPr="00FD211F">
        <w:rPr>
          <w:sz w:val="36"/>
          <w:szCs w:val="36"/>
          <w:rtl/>
        </w:rPr>
        <w:t xml:space="preserve">ة </w:t>
      </w:r>
      <w:r w:rsidRPr="00FD211F">
        <w:rPr>
          <w:sz w:val="36"/>
          <w:szCs w:val="36"/>
          <w:rtl/>
        </w:rPr>
        <w:t>الأجزاء والشرائط.</w:t>
      </w:r>
    </w:p>
    <w:p w14:paraId="638B54D7" w14:textId="77777777" w:rsidR="00052BF2" w:rsidRPr="00FD211F" w:rsidRDefault="00052BF2" w:rsidP="009C58C8">
      <w:pPr>
        <w:ind w:left="0" w:firstLine="227"/>
        <w:jc w:val="both"/>
        <w:rPr>
          <w:sz w:val="36"/>
          <w:szCs w:val="36"/>
          <w:rtl/>
        </w:rPr>
      </w:pPr>
      <w:r w:rsidRPr="00FD211F">
        <w:rPr>
          <w:sz w:val="36"/>
          <w:szCs w:val="36"/>
          <w:rtl/>
        </w:rPr>
        <w:t>وأما ما افاده</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من التفصيل بين لازم الوجود ولازم الماهي</w:t>
      </w:r>
      <w:r w:rsidR="00EC7EDF" w:rsidRPr="00FD211F">
        <w:rPr>
          <w:sz w:val="36"/>
          <w:szCs w:val="36"/>
          <w:rtl/>
        </w:rPr>
        <w:t xml:space="preserve">ة </w:t>
      </w:r>
      <w:r w:rsidRPr="00FD211F">
        <w:rPr>
          <w:sz w:val="36"/>
          <w:szCs w:val="36"/>
          <w:rtl/>
        </w:rPr>
        <w:t>بدعوى انه لامنافا</w:t>
      </w:r>
      <w:r w:rsidR="00EC7EDF" w:rsidRPr="00FD211F">
        <w:rPr>
          <w:sz w:val="36"/>
          <w:szCs w:val="36"/>
          <w:rtl/>
        </w:rPr>
        <w:t xml:space="preserve">ة </w:t>
      </w:r>
      <w:r w:rsidRPr="00FD211F">
        <w:rPr>
          <w:sz w:val="36"/>
          <w:szCs w:val="36"/>
          <w:rtl/>
        </w:rPr>
        <w:t xml:space="preserve">بين كون </w:t>
      </w:r>
      <w:r w:rsidR="008D7B3D" w:rsidRPr="00FD211F">
        <w:rPr>
          <w:sz w:val="36"/>
          <w:szCs w:val="36"/>
          <w:rtl/>
        </w:rPr>
        <w:t xml:space="preserve">شيء </w:t>
      </w:r>
      <w:r w:rsidRPr="00FD211F">
        <w:rPr>
          <w:sz w:val="36"/>
          <w:szCs w:val="36"/>
          <w:rtl/>
        </w:rPr>
        <w:t>لازما لماهي</w:t>
      </w:r>
      <w:r w:rsidR="00EC7EDF" w:rsidRPr="00FD211F">
        <w:rPr>
          <w:sz w:val="36"/>
          <w:szCs w:val="36"/>
          <w:rtl/>
        </w:rPr>
        <w:t xml:space="preserve">ة </w:t>
      </w:r>
      <w:r w:rsidRPr="00FD211F">
        <w:rPr>
          <w:sz w:val="36"/>
          <w:szCs w:val="36"/>
          <w:rtl/>
        </w:rPr>
        <w:t>وكونه محققا لها فان الفصل لازم لماهي</w:t>
      </w:r>
      <w:r w:rsidR="00EC7EDF" w:rsidRPr="00FD211F">
        <w:rPr>
          <w:sz w:val="36"/>
          <w:szCs w:val="36"/>
          <w:rtl/>
        </w:rPr>
        <w:t xml:space="preserve">ة </w:t>
      </w:r>
      <w:r w:rsidRPr="00FD211F">
        <w:rPr>
          <w:sz w:val="36"/>
          <w:szCs w:val="36"/>
          <w:rtl/>
        </w:rPr>
        <w:t>الجنس مع كونه محققا لها في الخارج</w:t>
      </w:r>
      <w:r w:rsidR="00603323" w:rsidRPr="00FD211F">
        <w:rPr>
          <w:sz w:val="36"/>
          <w:szCs w:val="36"/>
          <w:rtl/>
        </w:rPr>
        <w:t xml:space="preserve">، </w:t>
      </w:r>
      <w:r w:rsidRPr="00FD211F">
        <w:rPr>
          <w:sz w:val="36"/>
          <w:szCs w:val="36"/>
          <w:rtl/>
        </w:rPr>
        <w:t>ففيه: ان ماهي</w:t>
      </w:r>
      <w:r w:rsidR="00EC7EDF" w:rsidRPr="00FD211F">
        <w:rPr>
          <w:sz w:val="36"/>
          <w:szCs w:val="36"/>
          <w:rtl/>
        </w:rPr>
        <w:t xml:space="preserve">ة </w:t>
      </w:r>
      <w:r w:rsidRPr="00FD211F">
        <w:rPr>
          <w:sz w:val="36"/>
          <w:szCs w:val="36"/>
          <w:rtl/>
        </w:rPr>
        <w:t>الفصل بما هي من لوازم ماهي</w:t>
      </w:r>
      <w:r w:rsidR="00EC7EDF" w:rsidRPr="00FD211F">
        <w:rPr>
          <w:sz w:val="36"/>
          <w:szCs w:val="36"/>
          <w:rtl/>
        </w:rPr>
        <w:t xml:space="preserve">ة </w:t>
      </w:r>
      <w:r w:rsidRPr="00FD211F">
        <w:rPr>
          <w:sz w:val="36"/>
          <w:szCs w:val="36"/>
          <w:rtl/>
        </w:rPr>
        <w:t xml:space="preserve">الجنس وعوارضها </w:t>
      </w:r>
      <w:r w:rsidR="00701D79" w:rsidRPr="00FD211F">
        <w:rPr>
          <w:sz w:val="36"/>
          <w:szCs w:val="36"/>
          <w:rtl/>
        </w:rPr>
        <w:t>لايعقل ان تكون من مقوماتها</w:t>
      </w:r>
      <w:r w:rsidR="00603323" w:rsidRPr="00FD211F">
        <w:rPr>
          <w:sz w:val="36"/>
          <w:szCs w:val="36"/>
          <w:rtl/>
        </w:rPr>
        <w:t xml:space="preserve">، </w:t>
      </w:r>
      <w:r w:rsidR="00701D79" w:rsidRPr="00FD211F">
        <w:rPr>
          <w:sz w:val="36"/>
          <w:szCs w:val="36"/>
          <w:rtl/>
        </w:rPr>
        <w:t>فان</w:t>
      </w:r>
      <w:r w:rsidRPr="00FD211F">
        <w:rPr>
          <w:sz w:val="36"/>
          <w:szCs w:val="36"/>
          <w:rtl/>
        </w:rPr>
        <w:t xml:space="preserve"> الفصل </w:t>
      </w:r>
      <w:r w:rsidR="00701D79" w:rsidRPr="00FD211F">
        <w:rPr>
          <w:sz w:val="36"/>
          <w:szCs w:val="36"/>
          <w:rtl/>
        </w:rPr>
        <w:t>ليس داخلافي مفهوم الجنس ابدا</w:t>
      </w:r>
      <w:r w:rsidR="00603323" w:rsidRPr="00FD211F">
        <w:rPr>
          <w:sz w:val="36"/>
          <w:szCs w:val="36"/>
          <w:rtl/>
        </w:rPr>
        <w:t xml:space="preserve">، </w:t>
      </w:r>
      <w:r w:rsidR="00701D79" w:rsidRPr="00FD211F">
        <w:rPr>
          <w:sz w:val="36"/>
          <w:szCs w:val="36"/>
          <w:rtl/>
        </w:rPr>
        <w:t>نعم الفصل بحسب وجوده محصل</w:t>
      </w:r>
      <w:r w:rsidRPr="00FD211F">
        <w:rPr>
          <w:sz w:val="36"/>
          <w:szCs w:val="36"/>
          <w:rtl/>
        </w:rPr>
        <w:t xml:space="preserve"> لوجود الجنس</w:t>
      </w:r>
      <w:r w:rsidR="00603323" w:rsidRPr="00FD211F">
        <w:rPr>
          <w:sz w:val="36"/>
          <w:szCs w:val="36"/>
          <w:rtl/>
        </w:rPr>
        <w:t xml:space="preserve">، </w:t>
      </w:r>
      <w:r w:rsidRPr="00FD211F">
        <w:rPr>
          <w:sz w:val="36"/>
          <w:szCs w:val="36"/>
          <w:rtl/>
        </w:rPr>
        <w:t>بحيث لايوجد الجنس خارجا الا في ضمن فصل</w:t>
      </w:r>
      <w:r w:rsidR="00603323" w:rsidRPr="00FD211F">
        <w:rPr>
          <w:sz w:val="36"/>
          <w:szCs w:val="36"/>
          <w:rtl/>
        </w:rPr>
        <w:t xml:space="preserve">، </w:t>
      </w:r>
      <w:r w:rsidR="00701D79" w:rsidRPr="00FD211F">
        <w:rPr>
          <w:sz w:val="36"/>
          <w:szCs w:val="36"/>
          <w:rtl/>
        </w:rPr>
        <w:t xml:space="preserve">ولكنه </w:t>
      </w:r>
      <w:r w:rsidRPr="00FD211F">
        <w:rPr>
          <w:sz w:val="36"/>
          <w:szCs w:val="36"/>
          <w:rtl/>
        </w:rPr>
        <w:t xml:space="preserve">لايترتبط بما نتكلم فيه في المقام من ان لازم مفهوم </w:t>
      </w:r>
      <w:r w:rsidR="00701D79" w:rsidRPr="00FD211F">
        <w:rPr>
          <w:sz w:val="36"/>
          <w:szCs w:val="36"/>
          <w:rtl/>
        </w:rPr>
        <w:t xml:space="preserve">لايكون داخلا في ضمن ذلك المفهوم. </w:t>
      </w:r>
    </w:p>
    <w:p w14:paraId="7342AC92" w14:textId="77777777" w:rsidR="00833203" w:rsidRPr="00FD211F" w:rsidRDefault="00052BF2" w:rsidP="009C58C8">
      <w:pPr>
        <w:ind w:left="0" w:firstLine="227"/>
        <w:jc w:val="both"/>
        <w:rPr>
          <w:sz w:val="36"/>
          <w:szCs w:val="36"/>
          <w:rtl/>
        </w:rPr>
      </w:pPr>
      <w:r w:rsidRPr="00FD211F">
        <w:rPr>
          <w:sz w:val="36"/>
          <w:szCs w:val="36"/>
          <w:rtl/>
        </w:rPr>
        <w:t>فالمتحصل ان المراد من الصح</w:t>
      </w:r>
      <w:r w:rsidR="00EC7EDF" w:rsidRPr="00FD211F">
        <w:rPr>
          <w:sz w:val="36"/>
          <w:szCs w:val="36"/>
          <w:rtl/>
        </w:rPr>
        <w:t xml:space="preserve">ة </w:t>
      </w:r>
      <w:r w:rsidRPr="00FD211F">
        <w:rPr>
          <w:sz w:val="36"/>
          <w:szCs w:val="36"/>
          <w:rtl/>
        </w:rPr>
        <w:t>هو التمامي</w:t>
      </w:r>
      <w:r w:rsidR="00EC7EDF" w:rsidRPr="00FD211F">
        <w:rPr>
          <w:sz w:val="36"/>
          <w:szCs w:val="36"/>
          <w:rtl/>
        </w:rPr>
        <w:t xml:space="preserve">ة </w:t>
      </w:r>
      <w:r w:rsidRPr="00FD211F">
        <w:rPr>
          <w:sz w:val="36"/>
          <w:szCs w:val="36"/>
          <w:rtl/>
        </w:rPr>
        <w:t>من حيث الأجزاء والشرائط</w:t>
      </w:r>
      <w:r w:rsidR="00603323" w:rsidRPr="00FD211F">
        <w:rPr>
          <w:sz w:val="36"/>
          <w:szCs w:val="36"/>
          <w:rtl/>
        </w:rPr>
        <w:t xml:space="preserve">، </w:t>
      </w:r>
      <w:r w:rsidRPr="00FD211F">
        <w:rPr>
          <w:sz w:val="36"/>
          <w:szCs w:val="36"/>
          <w:rtl/>
        </w:rPr>
        <w:t>والتمامي</w:t>
      </w:r>
      <w:r w:rsidR="00EC7EDF" w:rsidRPr="00FD211F">
        <w:rPr>
          <w:sz w:val="36"/>
          <w:szCs w:val="36"/>
          <w:rtl/>
        </w:rPr>
        <w:t xml:space="preserve">ة </w:t>
      </w:r>
      <w:r w:rsidRPr="00FD211F">
        <w:rPr>
          <w:sz w:val="36"/>
          <w:szCs w:val="36"/>
          <w:rtl/>
        </w:rPr>
        <w:t>بهذا المعنى لها واقعي</w:t>
      </w:r>
      <w:r w:rsidR="00EC7EDF" w:rsidRPr="00FD211F">
        <w:rPr>
          <w:sz w:val="36"/>
          <w:szCs w:val="36"/>
          <w:rtl/>
        </w:rPr>
        <w:t xml:space="preserve">ة </w:t>
      </w:r>
      <w:r w:rsidRPr="00FD211F">
        <w:rPr>
          <w:sz w:val="36"/>
          <w:szCs w:val="36"/>
          <w:rtl/>
        </w:rPr>
        <w:t>مع قطع النظر عن الآثار</w:t>
      </w:r>
      <w:r w:rsidR="00603323" w:rsidRPr="00FD211F">
        <w:rPr>
          <w:sz w:val="36"/>
          <w:szCs w:val="36"/>
          <w:rtl/>
        </w:rPr>
        <w:t xml:space="preserve">، </w:t>
      </w:r>
      <w:r w:rsidRPr="00FD211F">
        <w:rPr>
          <w:sz w:val="36"/>
          <w:szCs w:val="36"/>
          <w:rtl/>
        </w:rPr>
        <w:t>ومن هنا يتبين ان البسيط لايتصف بالصح</w:t>
      </w:r>
      <w:r w:rsidR="00EC7EDF" w:rsidRPr="00FD211F">
        <w:rPr>
          <w:sz w:val="36"/>
          <w:szCs w:val="36"/>
          <w:rtl/>
        </w:rPr>
        <w:t xml:space="preserve">ة </w:t>
      </w:r>
      <w:r w:rsidRPr="00FD211F">
        <w:rPr>
          <w:sz w:val="36"/>
          <w:szCs w:val="36"/>
          <w:rtl/>
        </w:rPr>
        <w:t>والفساد</w:t>
      </w:r>
      <w:r w:rsidR="00603323" w:rsidRPr="00FD211F">
        <w:rPr>
          <w:sz w:val="36"/>
          <w:szCs w:val="36"/>
          <w:rtl/>
        </w:rPr>
        <w:t xml:space="preserve">، </w:t>
      </w:r>
      <w:r w:rsidRPr="00FD211F">
        <w:rPr>
          <w:sz w:val="36"/>
          <w:szCs w:val="36"/>
          <w:rtl/>
        </w:rPr>
        <w:t>لعدم اشتماله على الأجزاء والشرائط كي ينقسم الى تامّ الأجزاء والشرائط وعدمه</w:t>
      </w:r>
      <w:r w:rsidR="00603323" w:rsidRPr="00FD211F">
        <w:rPr>
          <w:sz w:val="36"/>
          <w:szCs w:val="36"/>
          <w:rtl/>
        </w:rPr>
        <w:t xml:space="preserve">، </w:t>
      </w:r>
      <w:r w:rsidRPr="00FD211F">
        <w:rPr>
          <w:sz w:val="36"/>
          <w:szCs w:val="36"/>
          <w:rtl/>
        </w:rPr>
        <w:t>وانما يتصف البسيط بالوجود او العدم</w:t>
      </w:r>
      <w:r w:rsidR="009C58C8" w:rsidRPr="00FD211F">
        <w:rPr>
          <w:rStyle w:val="a6"/>
          <w:sz w:val="36"/>
          <w:szCs w:val="36"/>
          <w:rtl/>
        </w:rPr>
        <w:t>(</w:t>
      </w:r>
      <w:r w:rsidR="009C58C8" w:rsidRPr="00FD211F">
        <w:rPr>
          <w:rStyle w:val="a6"/>
          <w:sz w:val="36"/>
          <w:szCs w:val="36"/>
          <w:rtl/>
        </w:rPr>
        <w:footnoteReference w:id="356"/>
      </w:r>
      <w:r w:rsidR="009C58C8" w:rsidRPr="00FD211F">
        <w:rPr>
          <w:rStyle w:val="a6"/>
          <w:sz w:val="36"/>
          <w:szCs w:val="36"/>
          <w:rtl/>
        </w:rPr>
        <w:t>)</w:t>
      </w:r>
      <w:r w:rsidRPr="00FD211F">
        <w:rPr>
          <w:sz w:val="36"/>
          <w:szCs w:val="36"/>
          <w:rtl/>
        </w:rPr>
        <w:t>.</w:t>
      </w:r>
      <w:r w:rsidR="00833203" w:rsidRPr="00FD211F">
        <w:rPr>
          <w:sz w:val="36"/>
          <w:szCs w:val="36"/>
          <w:rtl/>
        </w:rPr>
        <w:t>.</w:t>
      </w:r>
    </w:p>
    <w:p w14:paraId="5FE34F87" w14:textId="77777777" w:rsidR="000C5BBA" w:rsidRPr="00FD211F" w:rsidRDefault="00052BF2" w:rsidP="009C58C8">
      <w:pPr>
        <w:ind w:left="0" w:firstLine="227"/>
        <w:jc w:val="both"/>
        <w:rPr>
          <w:sz w:val="36"/>
          <w:szCs w:val="36"/>
          <w:rtl/>
        </w:rPr>
      </w:pPr>
      <w:r w:rsidRPr="00FD211F">
        <w:rPr>
          <w:sz w:val="36"/>
          <w:szCs w:val="36"/>
          <w:rtl/>
        </w:rPr>
        <w:t>اقول: لنا حول ما افاده السيد الخوئي</w:t>
      </w:r>
      <w:r w:rsidR="007A4A0D" w:rsidRPr="00FD211F">
        <w:rPr>
          <w:sz w:val="36"/>
          <w:szCs w:val="36"/>
          <w:rtl/>
        </w:rPr>
        <w:t xml:space="preserve"> </w:t>
      </w:r>
      <w:r w:rsidR="00D9639E" w:rsidRPr="00FD211F">
        <w:rPr>
          <w:sz w:val="36"/>
          <w:szCs w:val="36"/>
          <w:rtl/>
        </w:rPr>
        <w:t xml:space="preserve">"قده" </w:t>
      </w:r>
      <w:r w:rsidR="00570F54" w:rsidRPr="00FD211F">
        <w:rPr>
          <w:sz w:val="36"/>
          <w:szCs w:val="36"/>
          <w:rtl/>
        </w:rPr>
        <w:t>ثلاث</w:t>
      </w:r>
      <w:r w:rsidRPr="00FD211F">
        <w:rPr>
          <w:sz w:val="36"/>
          <w:szCs w:val="36"/>
          <w:rtl/>
        </w:rPr>
        <w:t xml:space="preserve"> ملاحظات:</w:t>
      </w:r>
    </w:p>
    <w:p w14:paraId="2E6EDCDD" w14:textId="77777777" w:rsidR="000C5BBA" w:rsidRPr="00FD211F" w:rsidRDefault="00052BF2" w:rsidP="009C58C8">
      <w:pPr>
        <w:ind w:left="0" w:firstLine="227"/>
        <w:jc w:val="both"/>
        <w:rPr>
          <w:sz w:val="36"/>
          <w:szCs w:val="36"/>
          <w:rtl/>
        </w:rPr>
      </w:pPr>
      <w:r w:rsidRPr="00FD211F">
        <w:rPr>
          <w:sz w:val="36"/>
          <w:szCs w:val="36"/>
          <w:rtl/>
        </w:rPr>
        <w:t>1- ان الصح</w:t>
      </w:r>
      <w:r w:rsidR="00EC7EDF" w:rsidRPr="00FD211F">
        <w:rPr>
          <w:sz w:val="36"/>
          <w:szCs w:val="36"/>
          <w:rtl/>
        </w:rPr>
        <w:t xml:space="preserve">ة </w:t>
      </w:r>
      <w:r w:rsidRPr="00FD211F">
        <w:rPr>
          <w:sz w:val="36"/>
          <w:szCs w:val="36"/>
          <w:rtl/>
        </w:rPr>
        <w:t>والفساد غير التمامي</w:t>
      </w:r>
      <w:r w:rsidR="00EC7EDF" w:rsidRPr="00FD211F">
        <w:rPr>
          <w:sz w:val="36"/>
          <w:szCs w:val="36"/>
          <w:rtl/>
        </w:rPr>
        <w:t xml:space="preserve">ة </w:t>
      </w:r>
      <w:r w:rsidRPr="00FD211F">
        <w:rPr>
          <w:sz w:val="36"/>
          <w:szCs w:val="36"/>
          <w:rtl/>
        </w:rPr>
        <w:t>والنقصان</w:t>
      </w:r>
      <w:r w:rsidR="00603323" w:rsidRPr="00FD211F">
        <w:rPr>
          <w:sz w:val="36"/>
          <w:szCs w:val="36"/>
          <w:rtl/>
        </w:rPr>
        <w:t xml:space="preserve">، </w:t>
      </w:r>
      <w:r w:rsidRPr="00FD211F">
        <w:rPr>
          <w:sz w:val="36"/>
          <w:szCs w:val="36"/>
          <w:rtl/>
        </w:rPr>
        <w:t>فلايقال للصلا</w:t>
      </w:r>
      <w:r w:rsidR="00EC7EDF" w:rsidRPr="00FD211F">
        <w:rPr>
          <w:sz w:val="36"/>
          <w:szCs w:val="36"/>
          <w:rtl/>
        </w:rPr>
        <w:t xml:space="preserve">ة </w:t>
      </w:r>
      <w:r w:rsidRPr="00FD211F">
        <w:rPr>
          <w:sz w:val="36"/>
          <w:szCs w:val="36"/>
          <w:rtl/>
        </w:rPr>
        <w:t>التي تركت فيها سجد</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Pr="00FD211F">
        <w:rPr>
          <w:sz w:val="36"/>
          <w:szCs w:val="36"/>
          <w:rtl/>
        </w:rPr>
        <w:t>نسيانا أنها صلا</w:t>
      </w:r>
      <w:r w:rsidR="00EC7EDF" w:rsidRPr="00FD211F">
        <w:rPr>
          <w:sz w:val="36"/>
          <w:szCs w:val="36"/>
          <w:rtl/>
        </w:rPr>
        <w:t xml:space="preserve">ة </w:t>
      </w:r>
      <w:r w:rsidRPr="00FD211F">
        <w:rPr>
          <w:sz w:val="36"/>
          <w:szCs w:val="36"/>
          <w:rtl/>
        </w:rPr>
        <w:t>فاسد</w:t>
      </w:r>
      <w:r w:rsidR="00EC7EDF" w:rsidRPr="00FD211F">
        <w:rPr>
          <w:sz w:val="36"/>
          <w:szCs w:val="36"/>
          <w:rtl/>
        </w:rPr>
        <w:t>ة</w:t>
      </w:r>
      <w:r w:rsidR="00603323" w:rsidRPr="00FD211F">
        <w:rPr>
          <w:sz w:val="36"/>
          <w:szCs w:val="36"/>
          <w:rtl/>
        </w:rPr>
        <w:t xml:space="preserve">، </w:t>
      </w:r>
      <w:r w:rsidRPr="00FD211F">
        <w:rPr>
          <w:sz w:val="36"/>
          <w:szCs w:val="36"/>
          <w:rtl/>
        </w:rPr>
        <w:t>بينما يقال انها صلا</w:t>
      </w:r>
      <w:r w:rsidR="00EC7EDF" w:rsidRPr="00FD211F">
        <w:rPr>
          <w:sz w:val="36"/>
          <w:szCs w:val="36"/>
          <w:rtl/>
        </w:rPr>
        <w:t xml:space="preserve">ة </w:t>
      </w:r>
      <w:r w:rsidRPr="00FD211F">
        <w:rPr>
          <w:sz w:val="36"/>
          <w:szCs w:val="36"/>
          <w:rtl/>
        </w:rPr>
        <w:t>ناقص</w:t>
      </w:r>
      <w:r w:rsidR="00EC7EDF" w:rsidRPr="00FD211F">
        <w:rPr>
          <w:sz w:val="36"/>
          <w:szCs w:val="36"/>
          <w:rtl/>
        </w:rPr>
        <w:t xml:space="preserve">ة </w:t>
      </w:r>
      <w:r w:rsidRPr="00FD211F">
        <w:rPr>
          <w:sz w:val="36"/>
          <w:szCs w:val="36"/>
          <w:rtl/>
        </w:rPr>
        <w:t>حيث يجب قضاء تلك السجد</w:t>
      </w:r>
      <w:r w:rsidR="00EC7EDF" w:rsidRPr="00FD211F">
        <w:rPr>
          <w:sz w:val="36"/>
          <w:szCs w:val="36"/>
          <w:rtl/>
        </w:rPr>
        <w:t xml:space="preserve">ة </w:t>
      </w:r>
      <w:r w:rsidRPr="00FD211F">
        <w:rPr>
          <w:sz w:val="36"/>
          <w:szCs w:val="36"/>
          <w:rtl/>
        </w:rPr>
        <w:t>المنسي</w:t>
      </w:r>
      <w:r w:rsidR="00EC7EDF" w:rsidRPr="00FD211F">
        <w:rPr>
          <w:sz w:val="36"/>
          <w:szCs w:val="36"/>
          <w:rtl/>
        </w:rPr>
        <w:t xml:space="preserve">ة </w:t>
      </w:r>
      <w:r w:rsidRPr="00FD211F">
        <w:rPr>
          <w:sz w:val="36"/>
          <w:szCs w:val="36"/>
          <w:rtl/>
        </w:rPr>
        <w:t>بعدها</w:t>
      </w:r>
      <w:r w:rsidR="00603323" w:rsidRPr="00FD211F">
        <w:rPr>
          <w:sz w:val="36"/>
          <w:szCs w:val="36"/>
          <w:rtl/>
        </w:rPr>
        <w:t xml:space="preserve">، </w:t>
      </w:r>
      <w:r w:rsidR="00701D79" w:rsidRPr="00FD211F">
        <w:rPr>
          <w:sz w:val="36"/>
          <w:szCs w:val="36"/>
          <w:rtl/>
        </w:rPr>
        <w:t>كما أنه لايقال للجسم الناقص انه فاسد</w:t>
      </w:r>
      <w:r w:rsidR="00603323" w:rsidRPr="00FD211F">
        <w:rPr>
          <w:sz w:val="36"/>
          <w:szCs w:val="36"/>
          <w:rtl/>
        </w:rPr>
        <w:t xml:space="preserve">، </w:t>
      </w:r>
      <w:r w:rsidR="00701D79" w:rsidRPr="00FD211F">
        <w:rPr>
          <w:sz w:val="36"/>
          <w:szCs w:val="36"/>
          <w:rtl/>
        </w:rPr>
        <w:t>والفارق بينهما ان الصح</w:t>
      </w:r>
      <w:r w:rsidR="00EC7EDF" w:rsidRPr="00FD211F">
        <w:rPr>
          <w:sz w:val="36"/>
          <w:szCs w:val="36"/>
          <w:rtl/>
        </w:rPr>
        <w:t xml:space="preserve">ة </w:t>
      </w:r>
      <w:r w:rsidR="00701D79" w:rsidRPr="00FD211F">
        <w:rPr>
          <w:sz w:val="36"/>
          <w:szCs w:val="36"/>
          <w:rtl/>
        </w:rPr>
        <w:t>تنتزع عن ال</w:t>
      </w:r>
      <w:r w:rsidR="008D7B3D" w:rsidRPr="00FD211F">
        <w:rPr>
          <w:sz w:val="36"/>
          <w:szCs w:val="36"/>
          <w:rtl/>
        </w:rPr>
        <w:t xml:space="preserve">شيء </w:t>
      </w:r>
      <w:r w:rsidR="00701D79" w:rsidRPr="00FD211F">
        <w:rPr>
          <w:sz w:val="36"/>
          <w:szCs w:val="36"/>
          <w:rtl/>
        </w:rPr>
        <w:t>بلحاظ ترتب الأثر المترقب منه</w:t>
      </w:r>
      <w:r w:rsidR="00603323" w:rsidRPr="00FD211F">
        <w:rPr>
          <w:sz w:val="36"/>
          <w:szCs w:val="36"/>
          <w:rtl/>
        </w:rPr>
        <w:t xml:space="preserve">، </w:t>
      </w:r>
      <w:r w:rsidR="00701D79" w:rsidRPr="00FD211F">
        <w:rPr>
          <w:sz w:val="36"/>
          <w:szCs w:val="36"/>
          <w:rtl/>
        </w:rPr>
        <w:t>فالصلا</w:t>
      </w:r>
      <w:r w:rsidR="00EC7EDF" w:rsidRPr="00FD211F">
        <w:rPr>
          <w:sz w:val="36"/>
          <w:szCs w:val="36"/>
          <w:rtl/>
        </w:rPr>
        <w:t xml:space="preserve">ة </w:t>
      </w:r>
      <w:r w:rsidR="00701D79" w:rsidRPr="00FD211F">
        <w:rPr>
          <w:sz w:val="36"/>
          <w:szCs w:val="36"/>
          <w:rtl/>
        </w:rPr>
        <w:t>التي تركت فيها سجد</w:t>
      </w:r>
      <w:r w:rsidR="00EC7EDF" w:rsidRPr="00FD211F">
        <w:rPr>
          <w:sz w:val="36"/>
          <w:szCs w:val="36"/>
          <w:rtl/>
        </w:rPr>
        <w:t xml:space="preserve">ة </w:t>
      </w:r>
      <w:r w:rsidR="00701D79" w:rsidRPr="00FD211F">
        <w:rPr>
          <w:sz w:val="36"/>
          <w:szCs w:val="36"/>
          <w:rtl/>
        </w:rPr>
        <w:t>واحد</w:t>
      </w:r>
      <w:r w:rsidR="00EC7EDF" w:rsidRPr="00FD211F">
        <w:rPr>
          <w:sz w:val="36"/>
          <w:szCs w:val="36"/>
          <w:rtl/>
        </w:rPr>
        <w:t xml:space="preserve">ة </w:t>
      </w:r>
      <w:r w:rsidR="00701D79" w:rsidRPr="00FD211F">
        <w:rPr>
          <w:sz w:val="36"/>
          <w:szCs w:val="36"/>
          <w:rtl/>
        </w:rPr>
        <w:t>نسيانا حيث يترتب عليها الاثر المترقب منها فلاتكون صلا</w:t>
      </w:r>
      <w:r w:rsidR="00EC7EDF" w:rsidRPr="00FD211F">
        <w:rPr>
          <w:sz w:val="36"/>
          <w:szCs w:val="36"/>
          <w:rtl/>
        </w:rPr>
        <w:t xml:space="preserve">ة </w:t>
      </w:r>
      <w:r w:rsidR="00701D79" w:rsidRPr="00FD211F">
        <w:rPr>
          <w:sz w:val="36"/>
          <w:szCs w:val="36"/>
          <w:rtl/>
        </w:rPr>
        <w:t>فاسد</w:t>
      </w:r>
      <w:r w:rsidR="00EC7EDF" w:rsidRPr="00FD211F">
        <w:rPr>
          <w:sz w:val="36"/>
          <w:szCs w:val="36"/>
          <w:rtl/>
        </w:rPr>
        <w:t>ة</w:t>
      </w:r>
      <w:r w:rsidR="00603323" w:rsidRPr="00FD211F">
        <w:rPr>
          <w:sz w:val="36"/>
          <w:szCs w:val="36"/>
          <w:rtl/>
        </w:rPr>
        <w:t xml:space="preserve">، </w:t>
      </w:r>
      <w:r w:rsidR="00701D79" w:rsidRPr="00FD211F">
        <w:rPr>
          <w:sz w:val="36"/>
          <w:szCs w:val="36"/>
          <w:rtl/>
        </w:rPr>
        <w:t>نعم حيث تحتاج الى التت</w:t>
      </w:r>
      <w:r w:rsidR="001D7B2B" w:rsidRPr="00FD211F">
        <w:rPr>
          <w:sz w:val="36"/>
          <w:szCs w:val="36"/>
          <w:rtl/>
        </w:rPr>
        <w:t>ميم فلاتعتبر تام</w:t>
      </w:r>
      <w:r w:rsidR="00EC7EDF" w:rsidRPr="00FD211F">
        <w:rPr>
          <w:sz w:val="36"/>
          <w:szCs w:val="36"/>
          <w:rtl/>
        </w:rPr>
        <w:t xml:space="preserve">ة </w:t>
      </w:r>
      <w:r w:rsidR="001D7B2B" w:rsidRPr="00FD211F">
        <w:rPr>
          <w:sz w:val="36"/>
          <w:szCs w:val="36"/>
          <w:rtl/>
        </w:rPr>
        <w:t>بل تكون ناقص</w:t>
      </w:r>
      <w:r w:rsidR="00EC7EDF" w:rsidRPr="00FD211F">
        <w:rPr>
          <w:sz w:val="36"/>
          <w:szCs w:val="36"/>
          <w:rtl/>
        </w:rPr>
        <w:t>ة</w:t>
      </w:r>
      <w:r w:rsidR="00A61BAE" w:rsidRPr="00FD211F">
        <w:rPr>
          <w:sz w:val="36"/>
          <w:szCs w:val="36"/>
          <w:rtl/>
        </w:rPr>
        <w:t>.</w:t>
      </w:r>
      <w:r w:rsidR="001D7B2B" w:rsidRPr="00FD211F">
        <w:rPr>
          <w:sz w:val="36"/>
          <w:szCs w:val="36"/>
          <w:rtl/>
        </w:rPr>
        <w:t xml:space="preserve"> </w:t>
      </w:r>
      <w:r w:rsidRPr="00FD211F">
        <w:rPr>
          <w:sz w:val="36"/>
          <w:szCs w:val="36"/>
          <w:rtl/>
        </w:rPr>
        <w:t xml:space="preserve">وقد ادعى السيد الخوئي </w:t>
      </w:r>
      <w:r w:rsidR="0045263E" w:rsidRPr="00FD211F">
        <w:rPr>
          <w:sz w:val="36"/>
          <w:szCs w:val="36"/>
          <w:rtl/>
        </w:rPr>
        <w:t>"</w:t>
      </w:r>
      <w:r w:rsidRPr="00FD211F">
        <w:rPr>
          <w:sz w:val="36"/>
          <w:szCs w:val="36"/>
          <w:rtl/>
        </w:rPr>
        <w:t>قده</w:t>
      </w:r>
      <w:r w:rsidR="0045263E" w:rsidRPr="00FD211F">
        <w:rPr>
          <w:sz w:val="36"/>
          <w:szCs w:val="36"/>
          <w:rtl/>
        </w:rPr>
        <w:t>"</w:t>
      </w:r>
      <w:r w:rsidRPr="00FD211F">
        <w:rPr>
          <w:sz w:val="36"/>
          <w:szCs w:val="36"/>
          <w:rtl/>
        </w:rPr>
        <w:t xml:space="preserve"> في بحث الفقه ان قاعد</w:t>
      </w:r>
      <w:r w:rsidR="00EC7EDF" w:rsidRPr="00FD211F">
        <w:rPr>
          <w:sz w:val="36"/>
          <w:szCs w:val="36"/>
          <w:rtl/>
        </w:rPr>
        <w:t xml:space="preserve">ة </w:t>
      </w:r>
      <w:r w:rsidRPr="00FD211F">
        <w:rPr>
          <w:sz w:val="36"/>
          <w:szCs w:val="36"/>
          <w:rtl/>
        </w:rPr>
        <w:t>الفراغ انما تجري في موارد الشك في الصح</w:t>
      </w:r>
      <w:r w:rsidR="00EC7EDF" w:rsidRPr="00FD211F">
        <w:rPr>
          <w:sz w:val="36"/>
          <w:szCs w:val="36"/>
          <w:rtl/>
        </w:rPr>
        <w:t xml:space="preserve">ة </w:t>
      </w:r>
      <w:r w:rsidRPr="00FD211F">
        <w:rPr>
          <w:sz w:val="36"/>
          <w:szCs w:val="36"/>
          <w:rtl/>
        </w:rPr>
        <w:t>والفساد -كما لو شك في انه هل نسي الركوع في الصلا</w:t>
      </w:r>
      <w:r w:rsidR="00EC7EDF" w:rsidRPr="00FD211F">
        <w:rPr>
          <w:sz w:val="36"/>
          <w:szCs w:val="36"/>
          <w:rtl/>
        </w:rPr>
        <w:t xml:space="preserve">ة </w:t>
      </w:r>
      <w:r w:rsidRPr="00FD211F">
        <w:rPr>
          <w:sz w:val="36"/>
          <w:szCs w:val="36"/>
          <w:rtl/>
        </w:rPr>
        <w:t>ام لا-</w:t>
      </w:r>
      <w:r w:rsidR="00603323" w:rsidRPr="00FD211F">
        <w:rPr>
          <w:sz w:val="36"/>
          <w:szCs w:val="36"/>
          <w:rtl/>
        </w:rPr>
        <w:t xml:space="preserve">، </w:t>
      </w:r>
      <w:r w:rsidRPr="00FD211F">
        <w:rPr>
          <w:sz w:val="36"/>
          <w:szCs w:val="36"/>
          <w:rtl/>
        </w:rPr>
        <w:t>ولاتجري في موارد الشك في التمامي</w:t>
      </w:r>
      <w:r w:rsidR="00EC7EDF" w:rsidRPr="00FD211F">
        <w:rPr>
          <w:sz w:val="36"/>
          <w:szCs w:val="36"/>
          <w:rtl/>
        </w:rPr>
        <w:t xml:space="preserve">ة </w:t>
      </w:r>
      <w:r w:rsidRPr="00FD211F">
        <w:rPr>
          <w:sz w:val="36"/>
          <w:szCs w:val="36"/>
          <w:rtl/>
        </w:rPr>
        <w:t>والنقصان</w:t>
      </w:r>
      <w:r w:rsidR="009C58C8" w:rsidRPr="00FD211F">
        <w:rPr>
          <w:rStyle w:val="a6"/>
          <w:sz w:val="36"/>
          <w:szCs w:val="36"/>
          <w:rtl/>
        </w:rPr>
        <w:t>(</w:t>
      </w:r>
      <w:r w:rsidR="009C58C8" w:rsidRPr="00FD211F">
        <w:rPr>
          <w:rStyle w:val="a6"/>
          <w:sz w:val="36"/>
          <w:szCs w:val="36"/>
          <w:rtl/>
        </w:rPr>
        <w:footnoteReference w:id="357"/>
      </w:r>
      <w:r w:rsidR="009C58C8" w:rsidRPr="00FD211F">
        <w:rPr>
          <w:rStyle w:val="a6"/>
          <w:sz w:val="36"/>
          <w:szCs w:val="36"/>
          <w:rtl/>
        </w:rPr>
        <w:t>)</w:t>
      </w:r>
      <w:r w:rsidR="0045263E" w:rsidRPr="00FD211F">
        <w:rPr>
          <w:sz w:val="36"/>
          <w:szCs w:val="36"/>
          <w:rtl/>
        </w:rPr>
        <w:t>.</w:t>
      </w:r>
    </w:p>
    <w:p w14:paraId="6E1BD68F" w14:textId="77777777" w:rsidR="001D7B2B" w:rsidRPr="00FD211F" w:rsidRDefault="0045263E" w:rsidP="009C58C8">
      <w:pPr>
        <w:ind w:left="0" w:firstLine="227"/>
        <w:jc w:val="both"/>
        <w:rPr>
          <w:sz w:val="36"/>
          <w:szCs w:val="36"/>
          <w:rtl/>
        </w:rPr>
      </w:pPr>
      <w:r w:rsidRPr="00FD211F">
        <w:rPr>
          <w:sz w:val="36"/>
          <w:szCs w:val="36"/>
          <w:rtl/>
        </w:rPr>
        <w:t>وما ذكره هناك وان</w:t>
      </w:r>
      <w:r w:rsidR="008D7B3D" w:rsidRPr="00FD211F">
        <w:rPr>
          <w:sz w:val="36"/>
          <w:szCs w:val="36"/>
          <w:rtl/>
        </w:rPr>
        <w:t xml:space="preserve"> لم‌</w:t>
      </w:r>
      <w:r w:rsidR="00052BF2" w:rsidRPr="00FD211F">
        <w:rPr>
          <w:sz w:val="36"/>
          <w:szCs w:val="36"/>
          <w:rtl/>
        </w:rPr>
        <w:t>يكن</w:t>
      </w:r>
      <w:r w:rsidRPr="00FD211F">
        <w:rPr>
          <w:sz w:val="36"/>
          <w:szCs w:val="36"/>
          <w:rtl/>
        </w:rPr>
        <w:t xml:space="preserve"> تامّا لعموم دليل قاعد</w:t>
      </w:r>
      <w:r w:rsidR="00EC7EDF" w:rsidRPr="00FD211F">
        <w:rPr>
          <w:sz w:val="36"/>
          <w:szCs w:val="36"/>
          <w:rtl/>
        </w:rPr>
        <w:t xml:space="preserve">ة </w:t>
      </w:r>
      <w:r w:rsidRPr="00FD211F">
        <w:rPr>
          <w:sz w:val="36"/>
          <w:szCs w:val="36"/>
          <w:rtl/>
        </w:rPr>
        <w:t>الفراغ</w:t>
      </w:r>
      <w:r w:rsidR="00603323" w:rsidRPr="00FD211F">
        <w:rPr>
          <w:sz w:val="36"/>
          <w:szCs w:val="36"/>
          <w:rtl/>
        </w:rPr>
        <w:t xml:space="preserve">، </w:t>
      </w:r>
      <w:r w:rsidR="00052BF2" w:rsidRPr="00FD211F">
        <w:rPr>
          <w:sz w:val="36"/>
          <w:szCs w:val="36"/>
          <w:rtl/>
        </w:rPr>
        <w:t>كقوله</w:t>
      </w:r>
      <w:r w:rsidR="007A4A0D" w:rsidRPr="00FD211F">
        <w:rPr>
          <w:sz w:val="36"/>
          <w:szCs w:val="36"/>
          <w:rtl/>
        </w:rPr>
        <w:t>(عليه‌السلام)</w:t>
      </w:r>
      <w:r w:rsidR="00052BF2" w:rsidRPr="00FD211F">
        <w:rPr>
          <w:sz w:val="36"/>
          <w:szCs w:val="36"/>
          <w:rtl/>
        </w:rPr>
        <w:t xml:space="preserve"> "كلما شككت فيه مما قد مضى فأمضه كما هو</w:t>
      </w:r>
      <w:r w:rsidR="009C58C8" w:rsidRPr="00FD211F">
        <w:rPr>
          <w:rStyle w:val="a6"/>
          <w:sz w:val="36"/>
          <w:szCs w:val="36"/>
          <w:rtl/>
        </w:rPr>
        <w:t>(</w:t>
      </w:r>
      <w:r w:rsidR="009C58C8" w:rsidRPr="00FD211F">
        <w:rPr>
          <w:rStyle w:val="a6"/>
          <w:sz w:val="36"/>
          <w:szCs w:val="36"/>
          <w:rtl/>
        </w:rPr>
        <w:footnoteReference w:id="358"/>
      </w:r>
      <w:r w:rsidR="009C58C8" w:rsidRPr="00FD211F">
        <w:rPr>
          <w:rStyle w:val="a6"/>
          <w:sz w:val="36"/>
          <w:szCs w:val="36"/>
          <w:rtl/>
        </w:rPr>
        <w:t>)</w:t>
      </w:r>
      <w:r w:rsidRPr="00FD211F">
        <w:rPr>
          <w:sz w:val="36"/>
          <w:szCs w:val="36"/>
          <w:rtl/>
        </w:rPr>
        <w:t>" ولكن المقصود</w:t>
      </w:r>
      <w:r w:rsidR="00052BF2" w:rsidRPr="00FD211F">
        <w:rPr>
          <w:sz w:val="36"/>
          <w:szCs w:val="36"/>
          <w:rtl/>
        </w:rPr>
        <w:t xml:space="preserve"> هو بيان الفرق بين الصح</w:t>
      </w:r>
      <w:r w:rsidR="00EC7EDF" w:rsidRPr="00FD211F">
        <w:rPr>
          <w:sz w:val="36"/>
          <w:szCs w:val="36"/>
          <w:rtl/>
        </w:rPr>
        <w:t xml:space="preserve">ة </w:t>
      </w:r>
      <w:r w:rsidR="00052BF2" w:rsidRPr="00FD211F">
        <w:rPr>
          <w:sz w:val="36"/>
          <w:szCs w:val="36"/>
          <w:rtl/>
        </w:rPr>
        <w:t>والفساد وبين التمامي</w:t>
      </w:r>
      <w:r w:rsidR="00EC7EDF" w:rsidRPr="00FD211F">
        <w:rPr>
          <w:sz w:val="36"/>
          <w:szCs w:val="36"/>
          <w:rtl/>
        </w:rPr>
        <w:t xml:space="preserve">ة </w:t>
      </w:r>
      <w:r w:rsidR="002A2A39" w:rsidRPr="00FD211F">
        <w:rPr>
          <w:sz w:val="36"/>
          <w:szCs w:val="36"/>
          <w:rtl/>
        </w:rPr>
        <w:t>والنقصان</w:t>
      </w:r>
      <w:r w:rsidR="00EC7EDF" w:rsidRPr="00FD211F">
        <w:rPr>
          <w:sz w:val="36"/>
          <w:szCs w:val="36"/>
          <w:rtl/>
        </w:rPr>
        <w:t>.</w:t>
      </w:r>
    </w:p>
    <w:p w14:paraId="3D0328B5" w14:textId="77777777" w:rsidR="001D7B2B" w:rsidRPr="00FD211F" w:rsidRDefault="001D7B2B" w:rsidP="009C58C8">
      <w:pPr>
        <w:ind w:left="0" w:firstLine="227"/>
        <w:jc w:val="both"/>
        <w:rPr>
          <w:sz w:val="36"/>
          <w:szCs w:val="36"/>
          <w:rtl/>
        </w:rPr>
      </w:pPr>
      <w:r w:rsidRPr="00FD211F">
        <w:rPr>
          <w:sz w:val="36"/>
          <w:szCs w:val="36"/>
          <w:rtl/>
        </w:rPr>
        <w:t>كما</w:t>
      </w:r>
      <w:r w:rsidR="007D43A0" w:rsidRPr="00FD211F">
        <w:rPr>
          <w:sz w:val="36"/>
          <w:szCs w:val="36"/>
          <w:rtl/>
        </w:rPr>
        <w:t xml:space="preserve"> </w:t>
      </w:r>
      <w:r w:rsidRPr="00FD211F">
        <w:rPr>
          <w:sz w:val="36"/>
          <w:szCs w:val="36"/>
          <w:rtl/>
        </w:rPr>
        <w:t>انه في مورد الاتمام في موضع القصر او</w:t>
      </w:r>
      <w:r w:rsidR="007D43A0" w:rsidRPr="00FD211F">
        <w:rPr>
          <w:sz w:val="36"/>
          <w:szCs w:val="36"/>
          <w:rtl/>
        </w:rPr>
        <w:t xml:space="preserve"> </w:t>
      </w:r>
      <w:r w:rsidRPr="00FD211F">
        <w:rPr>
          <w:sz w:val="36"/>
          <w:szCs w:val="36"/>
          <w:rtl/>
        </w:rPr>
        <w:t>الجهر</w:t>
      </w:r>
      <w:r w:rsidR="00D9639E" w:rsidRPr="00FD211F">
        <w:rPr>
          <w:sz w:val="36"/>
          <w:szCs w:val="36"/>
          <w:rtl/>
        </w:rPr>
        <w:t xml:space="preserve"> </w:t>
      </w:r>
      <w:r w:rsidRPr="00FD211F">
        <w:rPr>
          <w:sz w:val="36"/>
          <w:szCs w:val="36"/>
          <w:rtl/>
        </w:rPr>
        <w:t>في موضع الاخفات او بالعكس ليست</w:t>
      </w:r>
      <w:r w:rsidR="00B729EB" w:rsidRPr="00FD211F">
        <w:rPr>
          <w:sz w:val="36"/>
          <w:szCs w:val="36"/>
          <w:rtl/>
        </w:rPr>
        <w:t xml:space="preserve"> الصلاة</w:t>
      </w:r>
      <w:r w:rsidRPr="00FD211F">
        <w:rPr>
          <w:sz w:val="36"/>
          <w:szCs w:val="36"/>
          <w:rtl/>
        </w:rPr>
        <w:t xml:space="preserve"> تام</w:t>
      </w:r>
      <w:r w:rsidR="00EC7EDF" w:rsidRPr="00FD211F">
        <w:rPr>
          <w:sz w:val="36"/>
          <w:szCs w:val="36"/>
          <w:rtl/>
        </w:rPr>
        <w:t xml:space="preserve">ة </w:t>
      </w:r>
      <w:r w:rsidRPr="00FD211F">
        <w:rPr>
          <w:sz w:val="36"/>
          <w:szCs w:val="36"/>
          <w:rtl/>
        </w:rPr>
        <w:t>ولذا</w:t>
      </w:r>
      <w:r w:rsidR="00D9639E" w:rsidRPr="00FD211F">
        <w:rPr>
          <w:sz w:val="36"/>
          <w:szCs w:val="36"/>
          <w:rtl/>
        </w:rPr>
        <w:t xml:space="preserve"> </w:t>
      </w:r>
      <w:r w:rsidRPr="00FD211F">
        <w:rPr>
          <w:sz w:val="36"/>
          <w:szCs w:val="36"/>
          <w:rtl/>
        </w:rPr>
        <w:t>يستحق الجاهل المقصر العقاب على رأي المشهور ولكنها</w:t>
      </w:r>
      <w:r w:rsidR="00D9639E" w:rsidRPr="00FD211F">
        <w:rPr>
          <w:sz w:val="36"/>
          <w:szCs w:val="36"/>
          <w:rtl/>
        </w:rPr>
        <w:t xml:space="preserve"> </w:t>
      </w:r>
      <w:r w:rsidRPr="00FD211F">
        <w:rPr>
          <w:sz w:val="36"/>
          <w:szCs w:val="36"/>
          <w:rtl/>
        </w:rPr>
        <w:t>صحيح</w:t>
      </w:r>
      <w:r w:rsidR="00EC7EDF" w:rsidRPr="00FD211F">
        <w:rPr>
          <w:sz w:val="36"/>
          <w:szCs w:val="36"/>
          <w:rtl/>
        </w:rPr>
        <w:t>ة</w:t>
      </w:r>
      <w:r w:rsidR="00D9639E" w:rsidRPr="00FD211F">
        <w:rPr>
          <w:sz w:val="36"/>
          <w:szCs w:val="36"/>
          <w:rtl/>
        </w:rPr>
        <w:t>.</w:t>
      </w:r>
      <w:r w:rsidR="00EC7EDF" w:rsidRPr="00FD211F">
        <w:rPr>
          <w:sz w:val="36"/>
          <w:szCs w:val="36"/>
          <w:rtl/>
        </w:rPr>
        <w:t xml:space="preserve"> </w:t>
      </w:r>
    </w:p>
    <w:p w14:paraId="3D3D6BDD" w14:textId="77777777" w:rsidR="00052BF2" w:rsidRPr="00FD211F" w:rsidRDefault="00052BF2" w:rsidP="005946E3">
      <w:pPr>
        <w:ind w:left="0" w:firstLine="227"/>
        <w:jc w:val="both"/>
        <w:rPr>
          <w:sz w:val="36"/>
          <w:szCs w:val="36"/>
          <w:rtl/>
        </w:rPr>
      </w:pPr>
      <w:r w:rsidRPr="00FD211F">
        <w:rPr>
          <w:sz w:val="36"/>
          <w:szCs w:val="36"/>
          <w:rtl/>
        </w:rPr>
        <w:t>2- ان التمامي</w:t>
      </w:r>
      <w:r w:rsidR="00EC7EDF" w:rsidRPr="00FD211F">
        <w:rPr>
          <w:sz w:val="36"/>
          <w:szCs w:val="36"/>
          <w:rtl/>
        </w:rPr>
        <w:t xml:space="preserve">ة </w:t>
      </w:r>
      <w:r w:rsidRPr="00FD211F">
        <w:rPr>
          <w:sz w:val="36"/>
          <w:szCs w:val="36"/>
          <w:rtl/>
        </w:rPr>
        <w:t>بمعنى الواجدي</w:t>
      </w:r>
      <w:r w:rsidR="00EC7EDF" w:rsidRPr="00FD211F">
        <w:rPr>
          <w:sz w:val="36"/>
          <w:szCs w:val="36"/>
          <w:rtl/>
        </w:rPr>
        <w:t xml:space="preserve">ة </w:t>
      </w:r>
      <w:r w:rsidRPr="00FD211F">
        <w:rPr>
          <w:sz w:val="36"/>
          <w:szCs w:val="36"/>
          <w:rtl/>
        </w:rPr>
        <w:t>للأجزاء والشرائط ليس لها واقعي</w:t>
      </w:r>
      <w:r w:rsidR="00EC7EDF" w:rsidRPr="00FD211F">
        <w:rPr>
          <w:sz w:val="36"/>
          <w:szCs w:val="36"/>
          <w:rtl/>
        </w:rPr>
        <w:t xml:space="preserve">ة </w:t>
      </w:r>
      <w:r w:rsidRPr="00FD211F">
        <w:rPr>
          <w:sz w:val="36"/>
          <w:szCs w:val="36"/>
          <w:rtl/>
        </w:rPr>
        <w:t>مع قصر النظر على ذات المركب من دون ملاحظ</w:t>
      </w:r>
      <w:r w:rsidR="00EC7EDF" w:rsidRPr="00FD211F">
        <w:rPr>
          <w:sz w:val="36"/>
          <w:szCs w:val="36"/>
          <w:rtl/>
        </w:rPr>
        <w:t xml:space="preserve">ة </w:t>
      </w:r>
      <w:r w:rsidRPr="00FD211F">
        <w:rPr>
          <w:sz w:val="36"/>
          <w:szCs w:val="36"/>
          <w:rtl/>
        </w:rPr>
        <w:t>الأثر المترتب عليه كموافق</w:t>
      </w:r>
      <w:r w:rsidR="00EC7EDF" w:rsidRPr="00FD211F">
        <w:rPr>
          <w:sz w:val="36"/>
          <w:szCs w:val="36"/>
          <w:rtl/>
        </w:rPr>
        <w:t xml:space="preserve">ة </w:t>
      </w:r>
      <w:r w:rsidRPr="00FD211F">
        <w:rPr>
          <w:sz w:val="36"/>
          <w:szCs w:val="36"/>
          <w:rtl/>
        </w:rPr>
        <w:t>الأمر ونحو ذلك</w:t>
      </w:r>
      <w:r w:rsidR="00603323" w:rsidRPr="00FD211F">
        <w:rPr>
          <w:sz w:val="36"/>
          <w:szCs w:val="36"/>
          <w:rtl/>
        </w:rPr>
        <w:t xml:space="preserve">، </w:t>
      </w:r>
      <w:r w:rsidRPr="00FD211F">
        <w:rPr>
          <w:sz w:val="36"/>
          <w:szCs w:val="36"/>
          <w:rtl/>
        </w:rPr>
        <w:t xml:space="preserve">فان كل </w:t>
      </w:r>
      <w:r w:rsidR="008D7B3D" w:rsidRPr="00FD211F">
        <w:rPr>
          <w:sz w:val="36"/>
          <w:szCs w:val="36"/>
          <w:rtl/>
        </w:rPr>
        <w:t xml:space="preserve">شيء </w:t>
      </w:r>
      <w:r w:rsidRPr="00FD211F">
        <w:rPr>
          <w:sz w:val="36"/>
          <w:szCs w:val="36"/>
          <w:rtl/>
        </w:rPr>
        <w:t>اذا لوحظ في حد ذاته كان واجدا لأجزاءه</w:t>
      </w:r>
      <w:r w:rsidR="00603323" w:rsidRPr="00FD211F">
        <w:rPr>
          <w:sz w:val="36"/>
          <w:szCs w:val="36"/>
          <w:rtl/>
        </w:rPr>
        <w:t xml:space="preserve">، </w:t>
      </w:r>
      <w:r w:rsidRPr="00FD211F">
        <w:rPr>
          <w:sz w:val="36"/>
          <w:szCs w:val="36"/>
          <w:rtl/>
        </w:rPr>
        <w:t>فالصلا</w:t>
      </w:r>
      <w:r w:rsidR="00EC7EDF" w:rsidRPr="00FD211F">
        <w:rPr>
          <w:sz w:val="36"/>
          <w:szCs w:val="36"/>
          <w:rtl/>
        </w:rPr>
        <w:t xml:space="preserve">ة </w:t>
      </w:r>
      <w:r w:rsidRPr="00FD211F">
        <w:rPr>
          <w:sz w:val="36"/>
          <w:szCs w:val="36"/>
          <w:rtl/>
        </w:rPr>
        <w:t>الفاقد</w:t>
      </w:r>
      <w:r w:rsidR="00EC7EDF" w:rsidRPr="00FD211F">
        <w:rPr>
          <w:sz w:val="36"/>
          <w:szCs w:val="36"/>
          <w:rtl/>
        </w:rPr>
        <w:t xml:space="preserve">ة </w:t>
      </w:r>
      <w:r w:rsidRPr="00FD211F">
        <w:rPr>
          <w:sz w:val="36"/>
          <w:szCs w:val="36"/>
          <w:rtl/>
        </w:rPr>
        <w:t>للركوع أيضا واجد</w:t>
      </w:r>
      <w:r w:rsidR="00EC7EDF" w:rsidRPr="00FD211F">
        <w:rPr>
          <w:sz w:val="36"/>
          <w:szCs w:val="36"/>
          <w:rtl/>
        </w:rPr>
        <w:t xml:space="preserve">ة </w:t>
      </w:r>
      <w:r w:rsidRPr="00FD211F">
        <w:rPr>
          <w:sz w:val="36"/>
          <w:szCs w:val="36"/>
          <w:rtl/>
        </w:rPr>
        <w:t>لعد</w:t>
      </w:r>
      <w:r w:rsidR="00EC7EDF" w:rsidRPr="00FD211F">
        <w:rPr>
          <w:sz w:val="36"/>
          <w:szCs w:val="36"/>
          <w:rtl/>
        </w:rPr>
        <w:t xml:space="preserve">ة </w:t>
      </w:r>
      <w:r w:rsidRPr="00FD211F">
        <w:rPr>
          <w:sz w:val="36"/>
          <w:szCs w:val="36"/>
          <w:rtl/>
        </w:rPr>
        <w:t>أجزاء</w:t>
      </w:r>
      <w:r w:rsidR="00603323" w:rsidRPr="00FD211F">
        <w:rPr>
          <w:sz w:val="36"/>
          <w:szCs w:val="36"/>
          <w:rtl/>
        </w:rPr>
        <w:t xml:space="preserve">، </w:t>
      </w:r>
      <w:r w:rsidRPr="00FD211F">
        <w:rPr>
          <w:sz w:val="36"/>
          <w:szCs w:val="36"/>
          <w:rtl/>
        </w:rPr>
        <w:t>فاتصافها بالفساد او النقصان واتصاف الصلا</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على الركوع مع سائر الأجزاء والشرائط بالصح</w:t>
      </w:r>
      <w:r w:rsidR="00EC7EDF" w:rsidRPr="00FD211F">
        <w:rPr>
          <w:sz w:val="36"/>
          <w:szCs w:val="36"/>
          <w:rtl/>
        </w:rPr>
        <w:t xml:space="preserve">ة </w:t>
      </w:r>
      <w:r w:rsidRPr="00FD211F">
        <w:rPr>
          <w:sz w:val="36"/>
          <w:szCs w:val="36"/>
          <w:rtl/>
        </w:rPr>
        <w:t>والتمامي</w:t>
      </w:r>
      <w:r w:rsidR="00EC7EDF" w:rsidRPr="00FD211F">
        <w:rPr>
          <w:sz w:val="36"/>
          <w:szCs w:val="36"/>
          <w:rtl/>
        </w:rPr>
        <w:t xml:space="preserve">ة </w:t>
      </w:r>
      <w:r w:rsidRPr="00FD211F">
        <w:rPr>
          <w:sz w:val="36"/>
          <w:szCs w:val="36"/>
          <w:rtl/>
        </w:rPr>
        <w:t>لايكون الا بملاحظ</w:t>
      </w:r>
      <w:r w:rsidR="00EC7EDF" w:rsidRPr="00FD211F">
        <w:rPr>
          <w:sz w:val="36"/>
          <w:szCs w:val="36"/>
          <w:rtl/>
        </w:rPr>
        <w:t xml:space="preserve">ة </w:t>
      </w:r>
      <w:r w:rsidRPr="00FD211F">
        <w:rPr>
          <w:sz w:val="36"/>
          <w:szCs w:val="36"/>
          <w:rtl/>
        </w:rPr>
        <w:t>موافق</w:t>
      </w:r>
      <w:r w:rsidR="00EC7EDF" w:rsidRPr="00FD211F">
        <w:rPr>
          <w:sz w:val="36"/>
          <w:szCs w:val="36"/>
          <w:rtl/>
        </w:rPr>
        <w:t xml:space="preserve">ة </w:t>
      </w:r>
      <w:r w:rsidRPr="00FD211F">
        <w:rPr>
          <w:sz w:val="36"/>
          <w:szCs w:val="36"/>
          <w:rtl/>
        </w:rPr>
        <w:t>الأمر وعدمها</w:t>
      </w:r>
      <w:r w:rsidR="00603323" w:rsidRPr="00FD211F">
        <w:rPr>
          <w:sz w:val="36"/>
          <w:szCs w:val="36"/>
          <w:rtl/>
        </w:rPr>
        <w:t xml:space="preserve">، </w:t>
      </w:r>
      <w:r w:rsidRPr="00FD211F">
        <w:rPr>
          <w:sz w:val="36"/>
          <w:szCs w:val="36"/>
          <w:rtl/>
        </w:rPr>
        <w:t>والكلام فعلا في تفسير معنى التمامي</w:t>
      </w:r>
      <w:r w:rsidR="00EC7EDF" w:rsidRPr="00FD211F">
        <w:rPr>
          <w:sz w:val="36"/>
          <w:szCs w:val="36"/>
          <w:rtl/>
        </w:rPr>
        <w:t xml:space="preserve">ة </w:t>
      </w:r>
      <w:r w:rsidRPr="00FD211F">
        <w:rPr>
          <w:sz w:val="36"/>
          <w:szCs w:val="36"/>
          <w:rtl/>
        </w:rPr>
        <w:t>والصح</w:t>
      </w:r>
      <w:r w:rsidR="00EC7EDF" w:rsidRPr="00FD211F">
        <w:rPr>
          <w:sz w:val="36"/>
          <w:szCs w:val="36"/>
          <w:rtl/>
        </w:rPr>
        <w:t>ة</w:t>
      </w:r>
      <w:r w:rsidR="00603323" w:rsidRPr="00FD211F">
        <w:rPr>
          <w:sz w:val="36"/>
          <w:szCs w:val="36"/>
          <w:rtl/>
        </w:rPr>
        <w:t xml:space="preserve">، </w:t>
      </w:r>
      <w:r w:rsidRPr="00FD211F">
        <w:rPr>
          <w:sz w:val="36"/>
          <w:szCs w:val="36"/>
          <w:rtl/>
        </w:rPr>
        <w:t>وأما ما ذكره</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من عدم وضع كلم</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مثلا بإزاء هذا المفهوم</w:t>
      </w:r>
      <w:r w:rsidR="00603323" w:rsidRPr="00FD211F">
        <w:rPr>
          <w:sz w:val="36"/>
          <w:szCs w:val="36"/>
          <w:rtl/>
        </w:rPr>
        <w:t xml:space="preserve">، </w:t>
      </w:r>
      <w:r w:rsidRPr="00FD211F">
        <w:rPr>
          <w:sz w:val="36"/>
          <w:szCs w:val="36"/>
          <w:rtl/>
        </w:rPr>
        <w:t>بل بإزاء واقعه اي المركب من تكبير</w:t>
      </w:r>
      <w:r w:rsidR="00EC7EDF" w:rsidRPr="00FD211F">
        <w:rPr>
          <w:sz w:val="36"/>
          <w:szCs w:val="36"/>
          <w:rtl/>
        </w:rPr>
        <w:t xml:space="preserve">ة </w:t>
      </w:r>
      <w:r w:rsidRPr="00FD211F">
        <w:rPr>
          <w:sz w:val="36"/>
          <w:szCs w:val="36"/>
          <w:rtl/>
        </w:rPr>
        <w:t>الإحرام والركوع والسجود ونحو ذلك</w:t>
      </w:r>
      <w:r w:rsidR="00603323" w:rsidRPr="00FD211F">
        <w:rPr>
          <w:sz w:val="36"/>
          <w:szCs w:val="36"/>
          <w:rtl/>
        </w:rPr>
        <w:t xml:space="preserve">، </w:t>
      </w:r>
      <w:r w:rsidRPr="00FD211F">
        <w:rPr>
          <w:sz w:val="36"/>
          <w:szCs w:val="36"/>
          <w:rtl/>
        </w:rPr>
        <w:t>فهو أمر آخر سنتعرض له.</w:t>
      </w:r>
    </w:p>
    <w:p w14:paraId="785FDB64" w14:textId="77777777" w:rsidR="00052BF2" w:rsidRPr="00FD211F" w:rsidRDefault="00052BF2" w:rsidP="009C58C8">
      <w:pPr>
        <w:ind w:left="0" w:firstLine="227"/>
        <w:jc w:val="both"/>
        <w:rPr>
          <w:sz w:val="36"/>
          <w:szCs w:val="36"/>
          <w:rtl/>
        </w:rPr>
      </w:pPr>
      <w:r w:rsidRPr="00FD211F">
        <w:rPr>
          <w:sz w:val="36"/>
          <w:szCs w:val="36"/>
          <w:rtl/>
        </w:rPr>
        <w:t>فالانصاف ان الصح</w:t>
      </w:r>
      <w:r w:rsidR="00EC7EDF" w:rsidRPr="00FD211F">
        <w:rPr>
          <w:sz w:val="36"/>
          <w:szCs w:val="36"/>
          <w:rtl/>
        </w:rPr>
        <w:t xml:space="preserve">ة </w:t>
      </w:r>
      <w:r w:rsidRPr="00FD211F">
        <w:rPr>
          <w:sz w:val="36"/>
          <w:szCs w:val="36"/>
          <w:rtl/>
        </w:rPr>
        <w:t>والتمامي</w:t>
      </w:r>
      <w:r w:rsidR="00EC7EDF" w:rsidRPr="00FD211F">
        <w:rPr>
          <w:sz w:val="36"/>
          <w:szCs w:val="36"/>
          <w:rtl/>
        </w:rPr>
        <w:t xml:space="preserve">ة </w:t>
      </w:r>
      <w:r w:rsidRPr="00FD211F">
        <w:rPr>
          <w:sz w:val="36"/>
          <w:szCs w:val="36"/>
          <w:rtl/>
        </w:rPr>
        <w:t>أمران نسبيان لابد من ملاحظتهما بالقياس الى أثر كموافق</w:t>
      </w:r>
      <w:r w:rsidR="00EC7EDF" w:rsidRPr="00FD211F">
        <w:rPr>
          <w:sz w:val="36"/>
          <w:szCs w:val="36"/>
          <w:rtl/>
        </w:rPr>
        <w:t xml:space="preserve">ة </w:t>
      </w:r>
      <w:r w:rsidRPr="00FD211F">
        <w:rPr>
          <w:sz w:val="36"/>
          <w:szCs w:val="36"/>
          <w:rtl/>
        </w:rPr>
        <w:t>الأمر ونحو ذلك</w:t>
      </w:r>
      <w:r w:rsidR="00603323" w:rsidRPr="00FD211F">
        <w:rPr>
          <w:sz w:val="36"/>
          <w:szCs w:val="36"/>
          <w:rtl/>
        </w:rPr>
        <w:t xml:space="preserve">، </w:t>
      </w:r>
      <w:r w:rsidRPr="00FD211F">
        <w:rPr>
          <w:sz w:val="36"/>
          <w:szCs w:val="36"/>
          <w:rtl/>
        </w:rPr>
        <w:t>حتى يمكن انتزاع وصف الصح</w:t>
      </w:r>
      <w:r w:rsidR="00EC7EDF" w:rsidRPr="00FD211F">
        <w:rPr>
          <w:sz w:val="36"/>
          <w:szCs w:val="36"/>
          <w:rtl/>
        </w:rPr>
        <w:t xml:space="preserve">ة </w:t>
      </w:r>
      <w:r w:rsidRPr="00FD211F">
        <w:rPr>
          <w:sz w:val="36"/>
          <w:szCs w:val="36"/>
          <w:rtl/>
        </w:rPr>
        <w:t>او التمامي</w:t>
      </w:r>
      <w:r w:rsidR="00EC7EDF" w:rsidRPr="00FD211F">
        <w:rPr>
          <w:sz w:val="36"/>
          <w:szCs w:val="36"/>
          <w:rtl/>
        </w:rPr>
        <w:t xml:space="preserve">ة </w:t>
      </w:r>
      <w:r w:rsidRPr="00FD211F">
        <w:rPr>
          <w:sz w:val="36"/>
          <w:szCs w:val="36"/>
          <w:rtl/>
        </w:rPr>
        <w:t>من العمل بلحاظ ترتب ذلك الأثر.</w:t>
      </w:r>
    </w:p>
    <w:p w14:paraId="107090EE" w14:textId="77777777" w:rsidR="00052BF2" w:rsidRPr="00FD211F" w:rsidRDefault="00995A24" w:rsidP="009C58C8">
      <w:pPr>
        <w:ind w:left="0" w:firstLine="227"/>
        <w:jc w:val="both"/>
        <w:rPr>
          <w:sz w:val="36"/>
          <w:szCs w:val="36"/>
          <w:rtl/>
        </w:rPr>
      </w:pPr>
      <w:r w:rsidRPr="00FD211F">
        <w:rPr>
          <w:sz w:val="36"/>
          <w:szCs w:val="36"/>
          <w:rtl/>
        </w:rPr>
        <w:t>3- ان ما ذكره</w:t>
      </w:r>
      <w:r w:rsidR="0045263E" w:rsidRPr="00FD211F">
        <w:rPr>
          <w:sz w:val="36"/>
          <w:szCs w:val="36"/>
          <w:rtl/>
        </w:rPr>
        <w:t>"قده"</w:t>
      </w:r>
      <w:r w:rsidR="00D9639E" w:rsidRPr="00FD211F">
        <w:rPr>
          <w:sz w:val="36"/>
          <w:szCs w:val="36"/>
          <w:rtl/>
        </w:rPr>
        <w:t xml:space="preserve"> </w:t>
      </w:r>
      <w:r w:rsidR="00052BF2" w:rsidRPr="00FD211F">
        <w:rPr>
          <w:sz w:val="36"/>
          <w:szCs w:val="36"/>
          <w:rtl/>
        </w:rPr>
        <w:t>من ان البسيط لايتصف بالصح</w:t>
      </w:r>
      <w:r w:rsidR="00EC7EDF" w:rsidRPr="00FD211F">
        <w:rPr>
          <w:sz w:val="36"/>
          <w:szCs w:val="36"/>
          <w:rtl/>
        </w:rPr>
        <w:t xml:space="preserve">ة </w:t>
      </w:r>
      <w:r w:rsidR="00052BF2" w:rsidRPr="00FD211F">
        <w:rPr>
          <w:sz w:val="36"/>
          <w:szCs w:val="36"/>
          <w:rtl/>
        </w:rPr>
        <w:t>والفساد غير متجه</w:t>
      </w:r>
      <w:r w:rsidR="00603323" w:rsidRPr="00FD211F">
        <w:rPr>
          <w:sz w:val="36"/>
          <w:szCs w:val="36"/>
          <w:rtl/>
        </w:rPr>
        <w:t xml:space="preserve">، </w:t>
      </w:r>
      <w:r w:rsidR="00052BF2" w:rsidRPr="00FD211F">
        <w:rPr>
          <w:sz w:val="36"/>
          <w:szCs w:val="36"/>
          <w:rtl/>
        </w:rPr>
        <w:t>وذلك لانتقاضه بقولنا ان هذا الفكر صحيح او انه فاسد</w:t>
      </w:r>
      <w:r w:rsidR="00603323" w:rsidRPr="00FD211F">
        <w:rPr>
          <w:sz w:val="36"/>
          <w:szCs w:val="36"/>
          <w:rtl/>
        </w:rPr>
        <w:t xml:space="preserve">، </w:t>
      </w:r>
      <w:r w:rsidR="00052BF2" w:rsidRPr="00FD211F">
        <w:rPr>
          <w:sz w:val="36"/>
          <w:szCs w:val="36"/>
          <w:rtl/>
        </w:rPr>
        <w:t>حيث انه ان كان واجدا للأثر المترقب من الفكر وهو المطابق</w:t>
      </w:r>
      <w:r w:rsidR="00EC7EDF" w:rsidRPr="00FD211F">
        <w:rPr>
          <w:sz w:val="36"/>
          <w:szCs w:val="36"/>
          <w:rtl/>
        </w:rPr>
        <w:t xml:space="preserve">ة </w:t>
      </w:r>
      <w:r w:rsidR="00052BF2" w:rsidRPr="00FD211F">
        <w:rPr>
          <w:sz w:val="36"/>
          <w:szCs w:val="36"/>
          <w:rtl/>
        </w:rPr>
        <w:t>للواقع فيكون صحيحا والا فلا.</w:t>
      </w:r>
    </w:p>
    <w:p w14:paraId="4974A8D7" w14:textId="77777777" w:rsidR="00724342" w:rsidRPr="00FD211F" w:rsidRDefault="00995A24" w:rsidP="009C58C8">
      <w:pPr>
        <w:ind w:left="0" w:firstLine="227"/>
        <w:jc w:val="both"/>
        <w:rPr>
          <w:sz w:val="36"/>
          <w:szCs w:val="36"/>
          <w:rtl/>
        </w:rPr>
      </w:pPr>
      <w:r w:rsidRPr="00FD211F">
        <w:rPr>
          <w:b/>
          <w:bCs/>
          <w:sz w:val="36"/>
          <w:szCs w:val="36"/>
          <w:rtl/>
        </w:rPr>
        <w:t>الاشكال الثاني</w:t>
      </w:r>
      <w:r w:rsidR="00EC7EDF" w:rsidRPr="00FD211F">
        <w:rPr>
          <w:sz w:val="36"/>
          <w:szCs w:val="36"/>
          <w:rtl/>
        </w:rPr>
        <w:t>:</w:t>
      </w:r>
      <w:r w:rsidR="00D9639E" w:rsidRPr="00FD211F">
        <w:rPr>
          <w:sz w:val="36"/>
          <w:szCs w:val="36"/>
          <w:rtl/>
        </w:rPr>
        <w:t xml:space="preserve"> </w:t>
      </w:r>
      <w:r w:rsidR="007A3C32" w:rsidRPr="00FD211F">
        <w:rPr>
          <w:sz w:val="36"/>
          <w:szCs w:val="36"/>
          <w:rtl/>
        </w:rPr>
        <w:t>ان جعل سقوط الاعاد</w:t>
      </w:r>
      <w:r w:rsidR="00EC7EDF" w:rsidRPr="00FD211F">
        <w:rPr>
          <w:sz w:val="36"/>
          <w:szCs w:val="36"/>
          <w:rtl/>
        </w:rPr>
        <w:t xml:space="preserve">ة </w:t>
      </w:r>
      <w:r w:rsidR="007A3C32" w:rsidRPr="00FD211F">
        <w:rPr>
          <w:sz w:val="36"/>
          <w:szCs w:val="36"/>
          <w:rtl/>
        </w:rPr>
        <w:t>والقضاء</w:t>
      </w:r>
      <w:r w:rsidRPr="00FD211F">
        <w:rPr>
          <w:sz w:val="36"/>
          <w:szCs w:val="36"/>
          <w:rtl/>
        </w:rPr>
        <w:t xml:space="preserve"> اوموافق</w:t>
      </w:r>
      <w:r w:rsidR="00EC7EDF" w:rsidRPr="00FD211F">
        <w:rPr>
          <w:sz w:val="36"/>
          <w:szCs w:val="36"/>
          <w:rtl/>
        </w:rPr>
        <w:t xml:space="preserve">ة </w:t>
      </w:r>
      <w:r w:rsidR="001B3112" w:rsidRPr="00FD211F">
        <w:rPr>
          <w:sz w:val="36"/>
          <w:szCs w:val="36"/>
          <w:rtl/>
        </w:rPr>
        <w:t>الأمر</w:t>
      </w:r>
      <w:r w:rsidR="00D9639E" w:rsidRPr="00FD211F">
        <w:rPr>
          <w:sz w:val="36"/>
          <w:szCs w:val="36"/>
          <w:rtl/>
        </w:rPr>
        <w:t xml:space="preserve"> </w:t>
      </w:r>
      <w:r w:rsidR="007A3C32" w:rsidRPr="00FD211F">
        <w:rPr>
          <w:sz w:val="36"/>
          <w:szCs w:val="36"/>
          <w:rtl/>
        </w:rPr>
        <w:t>مقوما</w:t>
      </w:r>
      <w:r w:rsidR="00D9639E" w:rsidRPr="00FD211F">
        <w:rPr>
          <w:sz w:val="36"/>
          <w:szCs w:val="36"/>
          <w:rtl/>
        </w:rPr>
        <w:t xml:space="preserve"> </w:t>
      </w:r>
      <w:r w:rsidR="007A3C32" w:rsidRPr="00FD211F">
        <w:rPr>
          <w:sz w:val="36"/>
          <w:szCs w:val="36"/>
          <w:rtl/>
        </w:rPr>
        <w:t>للصح</w:t>
      </w:r>
      <w:r w:rsidR="00EC7EDF" w:rsidRPr="00FD211F">
        <w:rPr>
          <w:sz w:val="36"/>
          <w:szCs w:val="36"/>
          <w:rtl/>
        </w:rPr>
        <w:t xml:space="preserve">ة </w:t>
      </w:r>
      <w:r w:rsidR="007A3C32" w:rsidRPr="00FD211F">
        <w:rPr>
          <w:sz w:val="36"/>
          <w:szCs w:val="36"/>
          <w:rtl/>
        </w:rPr>
        <w:t>اولازمالها</w:t>
      </w:r>
      <w:r w:rsidR="00B766F0" w:rsidRPr="00FD211F">
        <w:rPr>
          <w:sz w:val="36"/>
          <w:szCs w:val="36"/>
          <w:rtl/>
        </w:rPr>
        <w:t xml:space="preserve"> </w:t>
      </w:r>
      <w:r w:rsidR="007A3C32" w:rsidRPr="00FD211F">
        <w:rPr>
          <w:sz w:val="36"/>
          <w:szCs w:val="36"/>
          <w:rtl/>
        </w:rPr>
        <w:t>لايخلو</w:t>
      </w:r>
      <w:r w:rsidR="00127CB3" w:rsidRPr="00FD211F">
        <w:rPr>
          <w:sz w:val="36"/>
          <w:szCs w:val="36"/>
          <w:rtl/>
        </w:rPr>
        <w:t xml:space="preserve"> </w:t>
      </w:r>
      <w:r w:rsidR="007A3C32" w:rsidRPr="00FD211F">
        <w:rPr>
          <w:sz w:val="36"/>
          <w:szCs w:val="36"/>
          <w:rtl/>
        </w:rPr>
        <w:t>من اشكال لانه قد</w:t>
      </w:r>
      <w:r w:rsidR="00127CB3" w:rsidRPr="00FD211F">
        <w:rPr>
          <w:sz w:val="36"/>
          <w:szCs w:val="36"/>
          <w:rtl/>
        </w:rPr>
        <w:t xml:space="preserve"> </w:t>
      </w:r>
      <w:r w:rsidR="007A3C32" w:rsidRPr="00FD211F">
        <w:rPr>
          <w:sz w:val="36"/>
          <w:szCs w:val="36"/>
          <w:rtl/>
        </w:rPr>
        <w:t>تجب اعاد</w:t>
      </w:r>
      <w:r w:rsidR="00EC7EDF" w:rsidRPr="00FD211F">
        <w:rPr>
          <w:sz w:val="36"/>
          <w:szCs w:val="36"/>
          <w:rtl/>
        </w:rPr>
        <w:t xml:space="preserve">ة </w:t>
      </w:r>
      <w:r w:rsidR="007A3C32" w:rsidRPr="00FD211F">
        <w:rPr>
          <w:sz w:val="36"/>
          <w:szCs w:val="36"/>
          <w:rtl/>
        </w:rPr>
        <w:t>العمل من باب العقوب</w:t>
      </w:r>
      <w:r w:rsidR="00EC7EDF" w:rsidRPr="00FD211F">
        <w:rPr>
          <w:sz w:val="36"/>
          <w:szCs w:val="36"/>
          <w:rtl/>
        </w:rPr>
        <w:t xml:space="preserve">ة </w:t>
      </w:r>
      <w:r w:rsidR="007A3C32" w:rsidRPr="00FD211F">
        <w:rPr>
          <w:sz w:val="36"/>
          <w:szCs w:val="36"/>
          <w:rtl/>
        </w:rPr>
        <w:t>كما</w:t>
      </w:r>
      <w:r w:rsidR="00B766F0" w:rsidRPr="00FD211F">
        <w:rPr>
          <w:sz w:val="36"/>
          <w:szCs w:val="36"/>
          <w:rtl/>
        </w:rPr>
        <w:t xml:space="preserve"> </w:t>
      </w:r>
      <w:r w:rsidR="007A3C32" w:rsidRPr="00FD211F">
        <w:rPr>
          <w:sz w:val="36"/>
          <w:szCs w:val="36"/>
          <w:rtl/>
        </w:rPr>
        <w:t>لو</w:t>
      </w:r>
      <w:r w:rsidR="00127CB3" w:rsidRPr="00FD211F">
        <w:rPr>
          <w:sz w:val="36"/>
          <w:szCs w:val="36"/>
          <w:rtl/>
        </w:rPr>
        <w:t xml:space="preserve"> </w:t>
      </w:r>
      <w:r w:rsidR="007A3C32" w:rsidRPr="00FD211F">
        <w:rPr>
          <w:sz w:val="36"/>
          <w:szCs w:val="36"/>
          <w:rtl/>
        </w:rPr>
        <w:t>جامع المحرم اهله قبل الوقوف بالمشعر</w:t>
      </w:r>
      <w:r w:rsidR="00127CB3" w:rsidRPr="00FD211F">
        <w:rPr>
          <w:sz w:val="36"/>
          <w:szCs w:val="36"/>
          <w:rtl/>
        </w:rPr>
        <w:t xml:space="preserve"> </w:t>
      </w:r>
      <w:r w:rsidR="007A3C32" w:rsidRPr="00FD211F">
        <w:rPr>
          <w:sz w:val="36"/>
          <w:szCs w:val="36"/>
          <w:rtl/>
        </w:rPr>
        <w:t>فانه يجب عليه الحج من قابل لكن الحج</w:t>
      </w:r>
      <w:r w:rsidR="00EC7EDF" w:rsidRPr="00FD211F">
        <w:rPr>
          <w:sz w:val="36"/>
          <w:szCs w:val="36"/>
          <w:rtl/>
        </w:rPr>
        <w:t xml:space="preserve">ة </w:t>
      </w:r>
      <w:r w:rsidR="007A3C32" w:rsidRPr="00FD211F">
        <w:rPr>
          <w:sz w:val="36"/>
          <w:szCs w:val="36"/>
          <w:rtl/>
        </w:rPr>
        <w:t>الاولى تكون حج</w:t>
      </w:r>
      <w:r w:rsidR="00EC7EDF" w:rsidRPr="00FD211F">
        <w:rPr>
          <w:sz w:val="36"/>
          <w:szCs w:val="36"/>
          <w:rtl/>
        </w:rPr>
        <w:t xml:space="preserve">ة </w:t>
      </w:r>
      <w:r w:rsidR="007A3C32" w:rsidRPr="00FD211F">
        <w:rPr>
          <w:sz w:val="36"/>
          <w:szCs w:val="36"/>
          <w:rtl/>
        </w:rPr>
        <w:t>الاسلام والثاني</w:t>
      </w:r>
      <w:r w:rsidR="00EC7EDF" w:rsidRPr="00FD211F">
        <w:rPr>
          <w:sz w:val="36"/>
          <w:szCs w:val="36"/>
          <w:rtl/>
        </w:rPr>
        <w:t xml:space="preserve">ة </w:t>
      </w:r>
      <w:r w:rsidR="00E87B17" w:rsidRPr="00FD211F">
        <w:rPr>
          <w:sz w:val="36"/>
          <w:szCs w:val="36"/>
          <w:rtl/>
        </w:rPr>
        <w:t>عقوب</w:t>
      </w:r>
      <w:r w:rsidR="00EC7EDF" w:rsidRPr="00FD211F">
        <w:rPr>
          <w:sz w:val="36"/>
          <w:szCs w:val="36"/>
          <w:rtl/>
        </w:rPr>
        <w:t xml:space="preserve">ة </w:t>
      </w:r>
      <w:r w:rsidR="00E87B17" w:rsidRPr="00FD211F">
        <w:rPr>
          <w:sz w:val="36"/>
          <w:szCs w:val="36"/>
          <w:rtl/>
        </w:rPr>
        <w:t>كما</w:t>
      </w:r>
      <w:r w:rsidR="00D9639E" w:rsidRPr="00FD211F">
        <w:rPr>
          <w:sz w:val="36"/>
          <w:szCs w:val="36"/>
          <w:rtl/>
        </w:rPr>
        <w:t xml:space="preserve"> </w:t>
      </w:r>
      <w:r w:rsidR="00E87B17" w:rsidRPr="00FD211F">
        <w:rPr>
          <w:sz w:val="36"/>
          <w:szCs w:val="36"/>
          <w:rtl/>
        </w:rPr>
        <w:t>ورد</w:t>
      </w:r>
      <w:r w:rsidR="00D9639E" w:rsidRPr="00FD211F">
        <w:rPr>
          <w:sz w:val="36"/>
          <w:szCs w:val="36"/>
          <w:rtl/>
        </w:rPr>
        <w:t xml:space="preserve"> </w:t>
      </w:r>
      <w:r w:rsidR="00E87B17" w:rsidRPr="00FD211F">
        <w:rPr>
          <w:sz w:val="36"/>
          <w:szCs w:val="36"/>
          <w:rtl/>
        </w:rPr>
        <w:t xml:space="preserve">في </w:t>
      </w:r>
      <w:r w:rsidR="007A3C32" w:rsidRPr="00FD211F">
        <w:rPr>
          <w:sz w:val="36"/>
          <w:szCs w:val="36"/>
          <w:rtl/>
        </w:rPr>
        <w:t>صحيح</w:t>
      </w:r>
      <w:r w:rsidR="00EC7EDF" w:rsidRPr="00FD211F">
        <w:rPr>
          <w:sz w:val="36"/>
          <w:szCs w:val="36"/>
          <w:rtl/>
        </w:rPr>
        <w:t xml:space="preserve">ة </w:t>
      </w:r>
      <w:r w:rsidR="00E87B17" w:rsidRPr="00FD211F">
        <w:rPr>
          <w:sz w:val="36"/>
          <w:szCs w:val="36"/>
          <w:rtl/>
        </w:rPr>
        <w:t>زرار</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359"/>
      </w:r>
      <w:r w:rsidR="009C58C8" w:rsidRPr="00FD211F">
        <w:rPr>
          <w:rStyle w:val="a6"/>
          <w:sz w:val="36"/>
          <w:szCs w:val="36"/>
          <w:rtl/>
        </w:rPr>
        <w:t>)</w:t>
      </w:r>
      <w:r w:rsidR="00E87B17" w:rsidRPr="00FD211F">
        <w:rPr>
          <w:sz w:val="36"/>
          <w:szCs w:val="36"/>
          <w:rtl/>
        </w:rPr>
        <w:t xml:space="preserve"> </w:t>
      </w:r>
      <w:r w:rsidR="004A353E" w:rsidRPr="00FD211F">
        <w:rPr>
          <w:sz w:val="36"/>
          <w:szCs w:val="36"/>
          <w:rtl/>
        </w:rPr>
        <w:t>وهكذا</w:t>
      </w:r>
      <w:r w:rsidR="00C33AD6" w:rsidRPr="00FD211F">
        <w:rPr>
          <w:sz w:val="36"/>
          <w:szCs w:val="36"/>
          <w:rtl/>
        </w:rPr>
        <w:t xml:space="preserve"> </w:t>
      </w:r>
      <w:r w:rsidR="004A353E" w:rsidRPr="00FD211F">
        <w:rPr>
          <w:sz w:val="36"/>
          <w:szCs w:val="36"/>
          <w:rtl/>
        </w:rPr>
        <w:t>افتى بعض الساد</w:t>
      </w:r>
      <w:r w:rsidR="00EC7EDF" w:rsidRPr="00FD211F">
        <w:rPr>
          <w:sz w:val="36"/>
          <w:szCs w:val="36"/>
          <w:rtl/>
        </w:rPr>
        <w:t xml:space="preserve">ة </w:t>
      </w:r>
      <w:r w:rsidR="004A353E" w:rsidRPr="00FD211F">
        <w:rPr>
          <w:sz w:val="36"/>
          <w:szCs w:val="36"/>
          <w:rtl/>
        </w:rPr>
        <w:t>الاعلام</w:t>
      </w:r>
      <w:r w:rsidR="007A4A0D" w:rsidRPr="00FD211F">
        <w:rPr>
          <w:sz w:val="36"/>
          <w:szCs w:val="36"/>
          <w:rtl/>
        </w:rPr>
        <w:t xml:space="preserve"> </w:t>
      </w:r>
      <w:r w:rsidR="00D9639E" w:rsidRPr="00FD211F">
        <w:rPr>
          <w:sz w:val="36"/>
          <w:szCs w:val="36"/>
          <w:rtl/>
        </w:rPr>
        <w:t>"</w:t>
      </w:r>
      <w:r w:rsidR="007A4A0D" w:rsidRPr="00FD211F">
        <w:rPr>
          <w:sz w:val="36"/>
          <w:szCs w:val="36"/>
          <w:rtl/>
        </w:rPr>
        <w:t>دام‌ظله</w:t>
      </w:r>
      <w:r w:rsidR="00D9639E" w:rsidRPr="00FD211F">
        <w:rPr>
          <w:sz w:val="36"/>
          <w:szCs w:val="36"/>
          <w:rtl/>
        </w:rPr>
        <w:t>"</w:t>
      </w:r>
      <w:r w:rsidR="007A4A0D" w:rsidRPr="00FD211F">
        <w:rPr>
          <w:sz w:val="36"/>
          <w:szCs w:val="36"/>
          <w:rtl/>
        </w:rPr>
        <w:t xml:space="preserve"> </w:t>
      </w:r>
      <w:r w:rsidR="004A353E" w:rsidRPr="00FD211F">
        <w:rPr>
          <w:sz w:val="36"/>
          <w:szCs w:val="36"/>
          <w:rtl/>
        </w:rPr>
        <w:t>ب</w:t>
      </w:r>
      <w:r w:rsidRPr="00FD211F">
        <w:rPr>
          <w:sz w:val="36"/>
          <w:szCs w:val="36"/>
          <w:rtl/>
        </w:rPr>
        <w:t>صح</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في ثوب نجس نسيانا وانما تجب</w:t>
      </w:r>
      <w:r w:rsidR="00B253CE" w:rsidRPr="00FD211F">
        <w:rPr>
          <w:sz w:val="36"/>
          <w:szCs w:val="36"/>
          <w:rtl/>
        </w:rPr>
        <w:t xml:space="preserve"> </w:t>
      </w:r>
      <w:r w:rsidR="004A353E" w:rsidRPr="00FD211F">
        <w:rPr>
          <w:sz w:val="36"/>
          <w:szCs w:val="36"/>
          <w:rtl/>
        </w:rPr>
        <w:t>الاعاد</w:t>
      </w:r>
      <w:r w:rsidR="00EC7EDF" w:rsidRPr="00FD211F">
        <w:rPr>
          <w:sz w:val="36"/>
          <w:szCs w:val="36"/>
          <w:rtl/>
        </w:rPr>
        <w:t xml:space="preserve">ة </w:t>
      </w:r>
      <w:r w:rsidR="004A353E" w:rsidRPr="00FD211F">
        <w:rPr>
          <w:sz w:val="36"/>
          <w:szCs w:val="36"/>
          <w:rtl/>
        </w:rPr>
        <w:t>عقوب</w:t>
      </w:r>
      <w:r w:rsidR="00EC7EDF" w:rsidRPr="00FD211F">
        <w:rPr>
          <w:sz w:val="36"/>
          <w:szCs w:val="36"/>
          <w:rtl/>
        </w:rPr>
        <w:t xml:space="preserve">ة </w:t>
      </w:r>
      <w:r w:rsidR="004A353E" w:rsidRPr="00FD211F">
        <w:rPr>
          <w:sz w:val="36"/>
          <w:szCs w:val="36"/>
          <w:rtl/>
        </w:rPr>
        <w:t>اذا</w:t>
      </w:r>
      <w:r w:rsidR="00D9639E" w:rsidRPr="00FD211F">
        <w:rPr>
          <w:sz w:val="36"/>
          <w:szCs w:val="36"/>
          <w:rtl/>
        </w:rPr>
        <w:t xml:space="preserve"> </w:t>
      </w:r>
      <w:r w:rsidR="004A353E" w:rsidRPr="00FD211F">
        <w:rPr>
          <w:sz w:val="36"/>
          <w:szCs w:val="36"/>
          <w:rtl/>
        </w:rPr>
        <w:t xml:space="preserve">كان </w:t>
      </w:r>
      <w:r w:rsidRPr="00FD211F">
        <w:rPr>
          <w:sz w:val="36"/>
          <w:szCs w:val="36"/>
          <w:rtl/>
        </w:rPr>
        <w:t>النسيان</w:t>
      </w:r>
      <w:r w:rsidR="004A353E" w:rsidRPr="00FD211F">
        <w:rPr>
          <w:sz w:val="36"/>
          <w:szCs w:val="36"/>
          <w:rtl/>
        </w:rPr>
        <w:t xml:space="preserve"> ن</w:t>
      </w:r>
      <w:r w:rsidRPr="00FD211F">
        <w:rPr>
          <w:sz w:val="36"/>
          <w:szCs w:val="36"/>
          <w:rtl/>
        </w:rPr>
        <w:t>اشئا</w:t>
      </w:r>
      <w:r w:rsidR="00D9639E" w:rsidRPr="00FD211F">
        <w:rPr>
          <w:sz w:val="36"/>
          <w:szCs w:val="36"/>
          <w:rtl/>
        </w:rPr>
        <w:t xml:space="preserve"> </w:t>
      </w:r>
      <w:r w:rsidRPr="00FD211F">
        <w:rPr>
          <w:sz w:val="36"/>
          <w:szCs w:val="36"/>
          <w:rtl/>
        </w:rPr>
        <w:t>عن الاهمال وذلك لما ورد</w:t>
      </w:r>
      <w:r w:rsidR="00D9639E" w:rsidRPr="00FD211F">
        <w:rPr>
          <w:sz w:val="36"/>
          <w:szCs w:val="36"/>
          <w:rtl/>
        </w:rPr>
        <w:t xml:space="preserve"> </w:t>
      </w:r>
      <w:r w:rsidRPr="00FD211F">
        <w:rPr>
          <w:sz w:val="36"/>
          <w:szCs w:val="36"/>
          <w:rtl/>
        </w:rPr>
        <w:t>في</w:t>
      </w:r>
      <w:r w:rsidR="006A2A3B" w:rsidRPr="00FD211F">
        <w:rPr>
          <w:sz w:val="36"/>
          <w:szCs w:val="36"/>
          <w:rtl/>
        </w:rPr>
        <w:t xml:space="preserve"> موثق</w:t>
      </w:r>
      <w:r w:rsidR="00EC7EDF" w:rsidRPr="00FD211F">
        <w:rPr>
          <w:sz w:val="36"/>
          <w:szCs w:val="36"/>
          <w:rtl/>
        </w:rPr>
        <w:t xml:space="preserve">ة </w:t>
      </w:r>
      <w:r w:rsidR="006A2A3B" w:rsidRPr="00FD211F">
        <w:rPr>
          <w:sz w:val="36"/>
          <w:szCs w:val="36"/>
          <w:rtl/>
        </w:rPr>
        <w:t>سماع</w:t>
      </w:r>
      <w:r w:rsidR="00EC7EDF" w:rsidRPr="00FD211F">
        <w:rPr>
          <w:sz w:val="36"/>
          <w:szCs w:val="36"/>
          <w:rtl/>
        </w:rPr>
        <w:t xml:space="preserve">ة </w:t>
      </w:r>
      <w:r w:rsidR="006A2A3B" w:rsidRPr="00FD211F">
        <w:rPr>
          <w:sz w:val="36"/>
          <w:szCs w:val="36"/>
          <w:rtl/>
        </w:rPr>
        <w:t xml:space="preserve">قال سألت اباعبدالله </w:t>
      </w:r>
      <w:r w:rsidR="007A4A0D" w:rsidRPr="00FD211F">
        <w:rPr>
          <w:sz w:val="36"/>
          <w:szCs w:val="36"/>
          <w:rtl/>
        </w:rPr>
        <w:t>(عليه‌السلام)</w:t>
      </w:r>
      <w:r w:rsidRPr="00FD211F">
        <w:rPr>
          <w:sz w:val="36"/>
          <w:szCs w:val="36"/>
          <w:rtl/>
        </w:rPr>
        <w:t xml:space="preserve"> </w:t>
      </w:r>
      <w:r w:rsidR="006A2A3B" w:rsidRPr="00FD211F">
        <w:rPr>
          <w:sz w:val="36"/>
          <w:szCs w:val="36"/>
          <w:rtl/>
        </w:rPr>
        <w:t>عن الرجل يرى بثوبه الدم فينسى ان يغسله حتى يصلى قال يعيد صلاته كي يهتم بال</w:t>
      </w:r>
      <w:r w:rsidR="00251CB6" w:rsidRPr="00FD211F">
        <w:rPr>
          <w:sz w:val="36"/>
          <w:szCs w:val="36"/>
          <w:rtl/>
        </w:rPr>
        <w:t xml:space="preserve">شيء </w:t>
      </w:r>
      <w:r w:rsidR="006A2A3B" w:rsidRPr="00FD211F">
        <w:rPr>
          <w:sz w:val="36"/>
          <w:szCs w:val="36"/>
          <w:rtl/>
        </w:rPr>
        <w:t>اذا كان في ثوبه عقوب</w:t>
      </w:r>
      <w:r w:rsidR="00EC7EDF" w:rsidRPr="00FD211F">
        <w:rPr>
          <w:sz w:val="36"/>
          <w:szCs w:val="36"/>
          <w:rtl/>
        </w:rPr>
        <w:t xml:space="preserve">ة </w:t>
      </w:r>
      <w:r w:rsidR="006A2A3B" w:rsidRPr="00FD211F">
        <w:rPr>
          <w:sz w:val="36"/>
          <w:szCs w:val="36"/>
          <w:rtl/>
        </w:rPr>
        <w:t>لنسيانه</w:t>
      </w:r>
      <w:r w:rsidR="009C58C8" w:rsidRPr="00FD211F">
        <w:rPr>
          <w:rStyle w:val="a6"/>
          <w:sz w:val="36"/>
          <w:szCs w:val="36"/>
          <w:rtl/>
        </w:rPr>
        <w:t>(</w:t>
      </w:r>
      <w:r w:rsidR="009C58C8" w:rsidRPr="00FD211F">
        <w:rPr>
          <w:rStyle w:val="a6"/>
          <w:sz w:val="36"/>
          <w:szCs w:val="36"/>
          <w:rtl/>
        </w:rPr>
        <w:footnoteReference w:id="360"/>
      </w:r>
      <w:r w:rsidR="009C58C8" w:rsidRPr="00FD211F">
        <w:rPr>
          <w:rStyle w:val="a6"/>
          <w:sz w:val="36"/>
          <w:szCs w:val="36"/>
          <w:rtl/>
        </w:rPr>
        <w:t>)</w:t>
      </w:r>
      <w:r w:rsidR="00724342" w:rsidRPr="00FD211F">
        <w:rPr>
          <w:sz w:val="36"/>
          <w:szCs w:val="36"/>
          <w:rtl/>
        </w:rPr>
        <w:t>.</w:t>
      </w:r>
    </w:p>
    <w:p w14:paraId="1B7E2AA8" w14:textId="77777777" w:rsidR="000C5BBA" w:rsidRPr="00FD211F" w:rsidRDefault="00B766F0" w:rsidP="009C58C8">
      <w:pPr>
        <w:ind w:left="0" w:firstLine="227"/>
        <w:jc w:val="both"/>
        <w:rPr>
          <w:sz w:val="36"/>
          <w:szCs w:val="36"/>
          <w:rtl/>
        </w:rPr>
      </w:pPr>
      <w:r w:rsidRPr="00FD211F">
        <w:rPr>
          <w:sz w:val="36"/>
          <w:szCs w:val="36"/>
          <w:rtl/>
        </w:rPr>
        <w:t xml:space="preserve">كماانه </w:t>
      </w:r>
      <w:r w:rsidR="004A353E" w:rsidRPr="00FD211F">
        <w:rPr>
          <w:sz w:val="36"/>
          <w:szCs w:val="36"/>
          <w:rtl/>
        </w:rPr>
        <w:t>بناء</w:t>
      </w:r>
      <w:r w:rsidRPr="00FD211F">
        <w:rPr>
          <w:sz w:val="36"/>
          <w:szCs w:val="36"/>
          <w:rtl/>
        </w:rPr>
        <w:t xml:space="preserve"> </w:t>
      </w:r>
      <w:r w:rsidR="004A353E" w:rsidRPr="00FD211F">
        <w:rPr>
          <w:sz w:val="36"/>
          <w:szCs w:val="36"/>
          <w:rtl/>
        </w:rPr>
        <w:t>على امتناع اخذ</w:t>
      </w:r>
      <w:r w:rsidRPr="00FD211F">
        <w:rPr>
          <w:sz w:val="36"/>
          <w:szCs w:val="36"/>
          <w:rtl/>
        </w:rPr>
        <w:t xml:space="preserve"> </w:t>
      </w:r>
      <w:r w:rsidR="004A353E" w:rsidRPr="00FD211F">
        <w:rPr>
          <w:sz w:val="36"/>
          <w:szCs w:val="36"/>
          <w:rtl/>
        </w:rPr>
        <w:t>قصد</w:t>
      </w:r>
      <w:r w:rsidRPr="00FD211F">
        <w:rPr>
          <w:sz w:val="36"/>
          <w:szCs w:val="36"/>
          <w:rtl/>
        </w:rPr>
        <w:t xml:space="preserve"> </w:t>
      </w:r>
      <w:r w:rsidR="004A353E" w:rsidRPr="00FD211F">
        <w:rPr>
          <w:sz w:val="36"/>
          <w:szCs w:val="36"/>
          <w:rtl/>
        </w:rPr>
        <w:t>القرب</w:t>
      </w:r>
      <w:r w:rsidR="00EC7EDF" w:rsidRPr="00FD211F">
        <w:rPr>
          <w:sz w:val="36"/>
          <w:szCs w:val="36"/>
          <w:rtl/>
        </w:rPr>
        <w:t xml:space="preserve">ة </w:t>
      </w:r>
      <w:r w:rsidR="004A353E" w:rsidRPr="00FD211F">
        <w:rPr>
          <w:sz w:val="36"/>
          <w:szCs w:val="36"/>
          <w:rtl/>
        </w:rPr>
        <w:t xml:space="preserve">في متعلق </w:t>
      </w:r>
      <w:r w:rsidR="001B3112" w:rsidRPr="00FD211F">
        <w:rPr>
          <w:sz w:val="36"/>
          <w:szCs w:val="36"/>
          <w:rtl/>
        </w:rPr>
        <w:t>الأمر</w:t>
      </w:r>
      <w:r w:rsidRPr="00FD211F">
        <w:rPr>
          <w:sz w:val="36"/>
          <w:szCs w:val="36"/>
          <w:rtl/>
        </w:rPr>
        <w:t xml:space="preserve"> </w:t>
      </w:r>
      <w:r w:rsidR="001D1F79" w:rsidRPr="00FD211F">
        <w:rPr>
          <w:sz w:val="36"/>
          <w:szCs w:val="36"/>
          <w:rtl/>
        </w:rPr>
        <w:t>فالعمل بدون قصدالقرب</w:t>
      </w:r>
      <w:r w:rsidR="00EC7EDF" w:rsidRPr="00FD211F">
        <w:rPr>
          <w:sz w:val="36"/>
          <w:szCs w:val="36"/>
          <w:rtl/>
        </w:rPr>
        <w:t xml:space="preserve">ة </w:t>
      </w:r>
      <w:r w:rsidR="001D1F79" w:rsidRPr="00FD211F">
        <w:rPr>
          <w:sz w:val="36"/>
          <w:szCs w:val="36"/>
          <w:rtl/>
        </w:rPr>
        <w:t>موافق</w:t>
      </w:r>
      <w:r w:rsidR="00EC7EDF" w:rsidRPr="00FD211F">
        <w:rPr>
          <w:sz w:val="36"/>
          <w:szCs w:val="36"/>
          <w:rtl/>
        </w:rPr>
        <w:t xml:space="preserve">ة </w:t>
      </w:r>
      <w:r w:rsidR="001D1F79" w:rsidRPr="00FD211F">
        <w:rPr>
          <w:sz w:val="36"/>
          <w:szCs w:val="36"/>
          <w:rtl/>
        </w:rPr>
        <w:t>لل</w:t>
      </w:r>
      <w:r w:rsidR="00570F54" w:rsidRPr="00FD211F">
        <w:rPr>
          <w:sz w:val="36"/>
          <w:szCs w:val="36"/>
          <w:rtl/>
        </w:rPr>
        <w:t xml:space="preserve">امرولكنه لايوجب سقوط </w:t>
      </w:r>
      <w:r w:rsidR="001B3112" w:rsidRPr="00FD211F">
        <w:rPr>
          <w:sz w:val="36"/>
          <w:szCs w:val="36"/>
          <w:rtl/>
        </w:rPr>
        <w:t>الأمر</w:t>
      </w:r>
      <w:r w:rsidR="002A03B8" w:rsidRPr="00FD211F">
        <w:rPr>
          <w:sz w:val="36"/>
          <w:szCs w:val="36"/>
          <w:rtl/>
        </w:rPr>
        <w:t>لعدم حصول الغرض به</w:t>
      </w:r>
      <w:r w:rsidR="00603323" w:rsidRPr="00FD211F">
        <w:rPr>
          <w:sz w:val="36"/>
          <w:szCs w:val="36"/>
          <w:rtl/>
        </w:rPr>
        <w:t xml:space="preserve">، </w:t>
      </w:r>
      <w:r w:rsidR="00C929EB" w:rsidRPr="00FD211F">
        <w:rPr>
          <w:sz w:val="36"/>
          <w:szCs w:val="36"/>
          <w:rtl/>
        </w:rPr>
        <w:t>واما</w:t>
      </w:r>
      <w:r w:rsidR="008C2FEB" w:rsidRPr="00FD211F">
        <w:rPr>
          <w:sz w:val="36"/>
          <w:szCs w:val="36"/>
          <w:rtl/>
        </w:rPr>
        <w:t xml:space="preserve"> جعل حصول الغرض مقوما للصح</w:t>
      </w:r>
      <w:r w:rsidR="00EC7EDF" w:rsidRPr="00FD211F">
        <w:rPr>
          <w:sz w:val="36"/>
          <w:szCs w:val="36"/>
          <w:rtl/>
        </w:rPr>
        <w:t xml:space="preserve">ة </w:t>
      </w:r>
      <w:r w:rsidR="00C929EB" w:rsidRPr="00FD211F">
        <w:rPr>
          <w:sz w:val="36"/>
          <w:szCs w:val="36"/>
          <w:rtl/>
        </w:rPr>
        <w:t>او لازما لها</w:t>
      </w:r>
      <w:r w:rsidR="00603323" w:rsidRPr="00FD211F">
        <w:rPr>
          <w:sz w:val="36"/>
          <w:szCs w:val="36"/>
          <w:rtl/>
        </w:rPr>
        <w:t xml:space="preserve">، </w:t>
      </w:r>
      <w:r w:rsidR="00C929EB" w:rsidRPr="00FD211F">
        <w:rPr>
          <w:sz w:val="36"/>
          <w:szCs w:val="36"/>
          <w:rtl/>
        </w:rPr>
        <w:t>ف</w:t>
      </w:r>
      <w:r w:rsidR="00311589" w:rsidRPr="00FD211F">
        <w:rPr>
          <w:sz w:val="36"/>
          <w:szCs w:val="36"/>
          <w:rtl/>
        </w:rPr>
        <w:t>يرد عليه النقض بمثل الاتمام في موضع القصر عن جهل بالحكم</w:t>
      </w:r>
      <w:r w:rsidR="00603323" w:rsidRPr="00FD211F">
        <w:rPr>
          <w:sz w:val="36"/>
          <w:szCs w:val="36"/>
          <w:rtl/>
        </w:rPr>
        <w:t xml:space="preserve">، </w:t>
      </w:r>
      <w:r w:rsidR="00311589" w:rsidRPr="00FD211F">
        <w:rPr>
          <w:sz w:val="36"/>
          <w:szCs w:val="36"/>
          <w:rtl/>
        </w:rPr>
        <w:t>فانه وان كان صحيحا لكنه لايكون محصلا لتمام الغرض وانمايكون محصلا لبعض الملاك الملزم ومانعا عن استيفاء بقي</w:t>
      </w:r>
      <w:r w:rsidR="00EC7EDF" w:rsidRPr="00FD211F">
        <w:rPr>
          <w:sz w:val="36"/>
          <w:szCs w:val="36"/>
          <w:rtl/>
        </w:rPr>
        <w:t xml:space="preserve">ة </w:t>
      </w:r>
      <w:r w:rsidR="00311589" w:rsidRPr="00FD211F">
        <w:rPr>
          <w:sz w:val="36"/>
          <w:szCs w:val="36"/>
          <w:rtl/>
        </w:rPr>
        <w:t xml:space="preserve">الملاك </w:t>
      </w:r>
      <w:r w:rsidR="00C929EB" w:rsidRPr="00FD211F">
        <w:rPr>
          <w:sz w:val="36"/>
          <w:szCs w:val="36"/>
          <w:rtl/>
        </w:rPr>
        <w:t>الملزم في صلا</w:t>
      </w:r>
      <w:r w:rsidR="00EC7EDF" w:rsidRPr="00FD211F">
        <w:rPr>
          <w:sz w:val="36"/>
          <w:szCs w:val="36"/>
          <w:rtl/>
        </w:rPr>
        <w:t xml:space="preserve">ة </w:t>
      </w:r>
      <w:r w:rsidR="00C929EB" w:rsidRPr="00FD211F">
        <w:rPr>
          <w:sz w:val="36"/>
          <w:szCs w:val="36"/>
          <w:rtl/>
        </w:rPr>
        <w:t>القصر ولذا يستحق العقاب عليه على رأي المشهور.</w:t>
      </w:r>
    </w:p>
    <w:p w14:paraId="52372DBF" w14:textId="77777777" w:rsidR="00724342" w:rsidRPr="00FD211F" w:rsidRDefault="00C929EB" w:rsidP="009C58C8">
      <w:pPr>
        <w:ind w:left="0" w:firstLine="227"/>
        <w:jc w:val="both"/>
        <w:rPr>
          <w:sz w:val="36"/>
          <w:szCs w:val="36"/>
          <w:rtl/>
        </w:rPr>
      </w:pPr>
      <w:r w:rsidRPr="00FD211F">
        <w:rPr>
          <w:sz w:val="36"/>
          <w:szCs w:val="36"/>
          <w:rtl/>
        </w:rPr>
        <w:t>فالاولى جعل حصول الغرض بتمامه او ببعضه بنحو يمنع من استيفاء البعض الآخر</w:t>
      </w:r>
      <w:r w:rsidR="001D7B2B" w:rsidRPr="00FD211F">
        <w:rPr>
          <w:sz w:val="36"/>
          <w:szCs w:val="36"/>
          <w:rtl/>
        </w:rPr>
        <w:t>-كمافي الاتمام في موضع القصر-مقوما</w:t>
      </w:r>
      <w:r w:rsidRPr="00FD211F">
        <w:rPr>
          <w:sz w:val="36"/>
          <w:szCs w:val="36"/>
          <w:rtl/>
        </w:rPr>
        <w:t xml:space="preserve"> للصح</w:t>
      </w:r>
      <w:r w:rsidR="00EC7EDF" w:rsidRPr="00FD211F">
        <w:rPr>
          <w:sz w:val="36"/>
          <w:szCs w:val="36"/>
          <w:rtl/>
        </w:rPr>
        <w:t xml:space="preserve">ة </w:t>
      </w:r>
      <w:r w:rsidRPr="00FD211F">
        <w:rPr>
          <w:sz w:val="36"/>
          <w:szCs w:val="36"/>
          <w:rtl/>
        </w:rPr>
        <w:t>او لازما لها</w:t>
      </w:r>
      <w:r w:rsidR="001D7B2B" w:rsidRPr="00FD211F">
        <w:rPr>
          <w:sz w:val="36"/>
          <w:szCs w:val="36"/>
          <w:rtl/>
        </w:rPr>
        <w:t>.</w:t>
      </w:r>
      <w:r w:rsidR="00B253CE" w:rsidRPr="00FD211F">
        <w:rPr>
          <w:sz w:val="36"/>
          <w:szCs w:val="36"/>
          <w:rtl/>
        </w:rPr>
        <w:t xml:space="preserve"> </w:t>
      </w:r>
    </w:p>
    <w:p w14:paraId="29E2D380" w14:textId="77777777" w:rsidR="00052BF2" w:rsidRPr="00FD211F" w:rsidRDefault="00052BF2" w:rsidP="009C58C8">
      <w:pPr>
        <w:ind w:left="0" w:firstLine="227"/>
        <w:jc w:val="both"/>
        <w:rPr>
          <w:sz w:val="36"/>
          <w:szCs w:val="36"/>
          <w:rtl/>
        </w:rPr>
      </w:pPr>
      <w:r w:rsidRPr="00FD211F">
        <w:rPr>
          <w:b/>
          <w:bCs/>
          <w:sz w:val="36"/>
          <w:szCs w:val="36"/>
          <w:rtl/>
        </w:rPr>
        <w:t>النكت</w:t>
      </w:r>
      <w:r w:rsidR="00EC7EDF" w:rsidRPr="00FD211F">
        <w:rPr>
          <w:b/>
          <w:bCs/>
          <w:sz w:val="36"/>
          <w:szCs w:val="36"/>
          <w:rtl/>
        </w:rPr>
        <w:t xml:space="preserve">ة </w:t>
      </w: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sz w:val="36"/>
          <w:szCs w:val="36"/>
          <w:rtl/>
        </w:rPr>
        <w:t xml:space="preserve"> ان القائل بوضع اسماء العبادات للصحيح يقصد تار</w:t>
      </w:r>
      <w:r w:rsidR="00EC7EDF" w:rsidRPr="00FD211F">
        <w:rPr>
          <w:sz w:val="36"/>
          <w:szCs w:val="36"/>
          <w:rtl/>
        </w:rPr>
        <w:t xml:space="preserve">ة </w:t>
      </w:r>
      <w:r w:rsidRPr="00FD211F">
        <w:rPr>
          <w:sz w:val="36"/>
          <w:szCs w:val="36"/>
          <w:rtl/>
        </w:rPr>
        <w:t>اخذ واقع الصحيح في مدلولها</w:t>
      </w:r>
      <w:r w:rsidR="00603323" w:rsidRPr="00FD211F">
        <w:rPr>
          <w:sz w:val="36"/>
          <w:szCs w:val="36"/>
          <w:rtl/>
        </w:rPr>
        <w:t xml:space="preserve">، </w:t>
      </w:r>
      <w:r w:rsidRPr="00FD211F">
        <w:rPr>
          <w:sz w:val="36"/>
          <w:szCs w:val="36"/>
          <w:rtl/>
        </w:rPr>
        <w:t>فيكون الموضوع له للفظ الصلا</w:t>
      </w:r>
      <w:r w:rsidR="00EC7EDF" w:rsidRPr="00FD211F">
        <w:rPr>
          <w:sz w:val="36"/>
          <w:szCs w:val="36"/>
          <w:rtl/>
        </w:rPr>
        <w:t xml:space="preserve">ة </w:t>
      </w:r>
      <w:r w:rsidRPr="00FD211F">
        <w:rPr>
          <w:sz w:val="36"/>
          <w:szCs w:val="36"/>
          <w:rtl/>
        </w:rPr>
        <w:t>مثلا ما هو الصحيح بالحمل الشائع</w:t>
      </w:r>
      <w:r w:rsidR="00603323" w:rsidRPr="00FD211F">
        <w:rPr>
          <w:sz w:val="36"/>
          <w:szCs w:val="36"/>
          <w:rtl/>
        </w:rPr>
        <w:t xml:space="preserve">، </w:t>
      </w:r>
      <w:r w:rsidRPr="00FD211F">
        <w:rPr>
          <w:sz w:val="36"/>
          <w:szCs w:val="36"/>
          <w:rtl/>
        </w:rPr>
        <w:t>من دون اخذ مفهوم الصحيح فيه</w:t>
      </w:r>
      <w:r w:rsidR="00603323" w:rsidRPr="00FD211F">
        <w:rPr>
          <w:sz w:val="36"/>
          <w:szCs w:val="36"/>
          <w:rtl/>
        </w:rPr>
        <w:t xml:space="preserve">، </w:t>
      </w:r>
      <w:r w:rsidRPr="00FD211F">
        <w:rPr>
          <w:sz w:val="36"/>
          <w:szCs w:val="36"/>
          <w:rtl/>
        </w:rPr>
        <w:t>وأخري يقصد أخذ مفهوم الصحيح في مدلولها</w:t>
      </w:r>
      <w:r w:rsidR="00603323" w:rsidRPr="00FD211F">
        <w:rPr>
          <w:sz w:val="36"/>
          <w:szCs w:val="36"/>
          <w:rtl/>
        </w:rPr>
        <w:t xml:space="preserve">، </w:t>
      </w:r>
      <w:r w:rsidRPr="00FD211F">
        <w:rPr>
          <w:sz w:val="36"/>
          <w:szCs w:val="36"/>
          <w:rtl/>
        </w:rPr>
        <w:t>أما الفرض الأول فسوف يأتي البحث عنه وعن كيفي</w:t>
      </w:r>
      <w:r w:rsidR="00EC7EDF" w:rsidRPr="00FD211F">
        <w:rPr>
          <w:sz w:val="36"/>
          <w:szCs w:val="36"/>
          <w:rtl/>
        </w:rPr>
        <w:t xml:space="preserve">ة </w:t>
      </w:r>
      <w:r w:rsidRPr="00FD211F">
        <w:rPr>
          <w:sz w:val="36"/>
          <w:szCs w:val="36"/>
          <w:rtl/>
        </w:rPr>
        <w:t>تصوير الجامع بين الأفراد الصحيح</w:t>
      </w:r>
      <w:r w:rsidR="00EC7EDF" w:rsidRPr="00FD211F">
        <w:rPr>
          <w:sz w:val="36"/>
          <w:szCs w:val="36"/>
          <w:rtl/>
        </w:rPr>
        <w:t>ة</w:t>
      </w:r>
      <w:r w:rsidR="00603323" w:rsidRPr="00FD211F">
        <w:rPr>
          <w:sz w:val="36"/>
          <w:szCs w:val="36"/>
          <w:rtl/>
        </w:rPr>
        <w:t xml:space="preserve">، </w:t>
      </w:r>
      <w:r w:rsidRPr="00FD211F">
        <w:rPr>
          <w:sz w:val="36"/>
          <w:szCs w:val="36"/>
          <w:rtl/>
        </w:rPr>
        <w:t>بعد اختلافها بلحاظ اختلاف احوال المكلفين كصلا</w:t>
      </w:r>
      <w:r w:rsidR="00EC7EDF" w:rsidRPr="00FD211F">
        <w:rPr>
          <w:sz w:val="36"/>
          <w:szCs w:val="36"/>
          <w:rtl/>
        </w:rPr>
        <w:t xml:space="preserve">ة </w:t>
      </w:r>
      <w:r w:rsidRPr="00FD211F">
        <w:rPr>
          <w:sz w:val="36"/>
          <w:szCs w:val="36"/>
          <w:rtl/>
        </w:rPr>
        <w:t>القصر للمسافر والتمام للحاضر ونحو ذلك</w:t>
      </w:r>
      <w:r w:rsidR="00603323" w:rsidRPr="00FD211F">
        <w:rPr>
          <w:sz w:val="36"/>
          <w:szCs w:val="36"/>
          <w:rtl/>
        </w:rPr>
        <w:t xml:space="preserve">، </w:t>
      </w:r>
      <w:r w:rsidRPr="00FD211F">
        <w:rPr>
          <w:sz w:val="36"/>
          <w:szCs w:val="36"/>
          <w:rtl/>
        </w:rPr>
        <w:t>وأما الفرض الثاني فان كان المراد من الصحيح ما هو موافق للأمر فلايمكن ان يكون متعلقا للأمر</w:t>
      </w:r>
      <w:r w:rsidR="00603323" w:rsidRPr="00FD211F">
        <w:rPr>
          <w:sz w:val="36"/>
          <w:szCs w:val="36"/>
          <w:rtl/>
        </w:rPr>
        <w:t xml:space="preserve">، </w:t>
      </w:r>
      <w:r w:rsidRPr="00FD211F">
        <w:rPr>
          <w:sz w:val="36"/>
          <w:szCs w:val="36"/>
          <w:rtl/>
        </w:rPr>
        <w:t>حيث أن عنوان موافق</w:t>
      </w:r>
      <w:r w:rsidR="00EC7EDF" w:rsidRPr="00FD211F">
        <w:rPr>
          <w:sz w:val="36"/>
          <w:szCs w:val="36"/>
          <w:rtl/>
        </w:rPr>
        <w:t xml:space="preserve">ة </w:t>
      </w:r>
      <w:r w:rsidRPr="00FD211F">
        <w:rPr>
          <w:sz w:val="36"/>
          <w:szCs w:val="36"/>
          <w:rtl/>
        </w:rPr>
        <w:t>الأمر ينتزع في طول تعلق الأمر الشرعي</w:t>
      </w:r>
      <w:r w:rsidR="00603323" w:rsidRPr="00FD211F">
        <w:rPr>
          <w:sz w:val="36"/>
          <w:szCs w:val="36"/>
          <w:rtl/>
        </w:rPr>
        <w:t xml:space="preserve">، </w:t>
      </w:r>
      <w:r w:rsidRPr="00FD211F">
        <w:rPr>
          <w:sz w:val="36"/>
          <w:szCs w:val="36"/>
          <w:rtl/>
        </w:rPr>
        <w:t>فلايمكن أخذه في مدلول اللفظ الواقع متعلقا لنفس هذا الأمر الشرعي</w:t>
      </w:r>
      <w:r w:rsidR="00603323" w:rsidRPr="00FD211F">
        <w:rPr>
          <w:sz w:val="36"/>
          <w:szCs w:val="36"/>
          <w:rtl/>
        </w:rPr>
        <w:t xml:space="preserve">، </w:t>
      </w:r>
      <w:r w:rsidRPr="00FD211F">
        <w:rPr>
          <w:sz w:val="36"/>
          <w:szCs w:val="36"/>
          <w:rtl/>
        </w:rPr>
        <w:t>ولو كان المراد من الصحيح ما يكون محصلا للغرض والملاك فيكون لفظ الصلا</w:t>
      </w:r>
      <w:r w:rsidR="00EC7EDF" w:rsidRPr="00FD211F">
        <w:rPr>
          <w:sz w:val="36"/>
          <w:szCs w:val="36"/>
          <w:rtl/>
        </w:rPr>
        <w:t xml:space="preserve">ة </w:t>
      </w:r>
      <w:r w:rsidRPr="00FD211F">
        <w:rPr>
          <w:sz w:val="36"/>
          <w:szCs w:val="36"/>
          <w:rtl/>
        </w:rPr>
        <w:t>مثلا اسما لما يكون مؤثرا في الانتهاء عن الفحشاء والمنكر</w:t>
      </w:r>
      <w:r w:rsidR="00603323" w:rsidRPr="00FD211F">
        <w:rPr>
          <w:sz w:val="36"/>
          <w:szCs w:val="36"/>
          <w:rtl/>
        </w:rPr>
        <w:t xml:space="preserve">، </w:t>
      </w:r>
      <w:r w:rsidRPr="00FD211F">
        <w:rPr>
          <w:sz w:val="36"/>
          <w:szCs w:val="36"/>
          <w:rtl/>
        </w:rPr>
        <w:t>فلامانع حينئذ من اخذه في مدلول اللفظ الواقع متعلقا للأمر</w:t>
      </w:r>
      <w:r w:rsidR="00603323" w:rsidRPr="00FD211F">
        <w:rPr>
          <w:sz w:val="36"/>
          <w:szCs w:val="36"/>
          <w:rtl/>
        </w:rPr>
        <w:t xml:space="preserve">، </w:t>
      </w:r>
      <w:r w:rsidRPr="00FD211F">
        <w:rPr>
          <w:sz w:val="36"/>
          <w:szCs w:val="36"/>
          <w:rtl/>
        </w:rPr>
        <w:t>الا ان المهم عدم احتمال اخذ مفهوم الصح</w:t>
      </w:r>
      <w:r w:rsidR="00EC7EDF" w:rsidRPr="00FD211F">
        <w:rPr>
          <w:sz w:val="36"/>
          <w:szCs w:val="36"/>
          <w:rtl/>
        </w:rPr>
        <w:t xml:space="preserve">ة </w:t>
      </w:r>
      <w:r w:rsidRPr="00FD211F">
        <w:rPr>
          <w:sz w:val="36"/>
          <w:szCs w:val="36"/>
          <w:rtl/>
        </w:rPr>
        <w:t>في اسماء العبادات.</w:t>
      </w:r>
    </w:p>
    <w:p w14:paraId="7DD8AA8A" w14:textId="77777777" w:rsidR="00052BF2" w:rsidRPr="00FD211F" w:rsidRDefault="00052BF2" w:rsidP="009C58C8">
      <w:pPr>
        <w:ind w:left="0" w:firstLine="227"/>
        <w:jc w:val="both"/>
        <w:rPr>
          <w:sz w:val="36"/>
          <w:szCs w:val="36"/>
          <w:rtl/>
        </w:rPr>
      </w:pPr>
      <w:r w:rsidRPr="00FD211F">
        <w:rPr>
          <w:b/>
          <w:bCs/>
          <w:sz w:val="36"/>
          <w:szCs w:val="36"/>
          <w:rtl/>
        </w:rPr>
        <w:t>النكت</w:t>
      </w:r>
      <w:r w:rsidR="00EC7EDF" w:rsidRPr="00FD211F">
        <w:rPr>
          <w:b/>
          <w:bCs/>
          <w:sz w:val="36"/>
          <w:szCs w:val="36"/>
          <w:rtl/>
        </w:rPr>
        <w:t xml:space="preserve">ة </w:t>
      </w: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Pr="00FD211F">
        <w:rPr>
          <w:sz w:val="36"/>
          <w:szCs w:val="36"/>
          <w:rtl/>
        </w:rPr>
        <w:t xml:space="preserve"> نسب الى الشيخ الأعظم </w:t>
      </w:r>
      <w:r w:rsidR="004F621F" w:rsidRPr="00FD211F">
        <w:rPr>
          <w:sz w:val="36"/>
          <w:szCs w:val="36"/>
          <w:rtl/>
        </w:rPr>
        <w:t>"</w:t>
      </w:r>
      <w:r w:rsidRPr="00FD211F">
        <w:rPr>
          <w:sz w:val="36"/>
          <w:szCs w:val="36"/>
          <w:rtl/>
        </w:rPr>
        <w:t>قده</w:t>
      </w:r>
      <w:r w:rsidR="004F621F" w:rsidRPr="00FD211F">
        <w:rPr>
          <w:sz w:val="36"/>
          <w:szCs w:val="36"/>
          <w:rtl/>
        </w:rPr>
        <w:t>"</w:t>
      </w:r>
      <w:r w:rsidRPr="00FD211F">
        <w:rPr>
          <w:sz w:val="36"/>
          <w:szCs w:val="36"/>
          <w:rtl/>
        </w:rPr>
        <w:t xml:space="preserve"> تخصيص النزاع بين الصحيحي والأعمي بخصوص أجزاء المركب</w:t>
      </w:r>
      <w:r w:rsidR="00603323" w:rsidRPr="00FD211F">
        <w:rPr>
          <w:sz w:val="36"/>
          <w:szCs w:val="36"/>
          <w:rtl/>
        </w:rPr>
        <w:t xml:space="preserve">، </w:t>
      </w:r>
      <w:r w:rsidRPr="00FD211F">
        <w:rPr>
          <w:sz w:val="36"/>
          <w:szCs w:val="36"/>
          <w:rtl/>
        </w:rPr>
        <w:t>وأما الشرائط فقد ادعى كونها خارج</w:t>
      </w:r>
      <w:r w:rsidR="00EC7EDF" w:rsidRPr="00FD211F">
        <w:rPr>
          <w:sz w:val="36"/>
          <w:szCs w:val="36"/>
          <w:rtl/>
        </w:rPr>
        <w:t xml:space="preserve">ة </w:t>
      </w:r>
      <w:r w:rsidRPr="00FD211F">
        <w:rPr>
          <w:sz w:val="36"/>
          <w:szCs w:val="36"/>
          <w:rtl/>
        </w:rPr>
        <w:t>عن محل النزاع</w:t>
      </w:r>
      <w:r w:rsidR="00603323" w:rsidRPr="00FD211F">
        <w:rPr>
          <w:sz w:val="36"/>
          <w:szCs w:val="36"/>
          <w:rtl/>
        </w:rPr>
        <w:t xml:space="preserve">، </w:t>
      </w:r>
      <w:r w:rsidRPr="00FD211F">
        <w:rPr>
          <w:sz w:val="36"/>
          <w:szCs w:val="36"/>
          <w:rtl/>
        </w:rPr>
        <w:t>لان الشرائط في رتب</w:t>
      </w:r>
      <w:r w:rsidR="00EC7EDF" w:rsidRPr="00FD211F">
        <w:rPr>
          <w:sz w:val="36"/>
          <w:szCs w:val="36"/>
          <w:rtl/>
        </w:rPr>
        <w:t xml:space="preserve">ة </w:t>
      </w:r>
      <w:r w:rsidRPr="00FD211F">
        <w:rPr>
          <w:sz w:val="36"/>
          <w:szCs w:val="36"/>
          <w:rtl/>
        </w:rPr>
        <w:t>متأخر</w:t>
      </w:r>
      <w:r w:rsidR="00EC7EDF" w:rsidRPr="00FD211F">
        <w:rPr>
          <w:sz w:val="36"/>
          <w:szCs w:val="36"/>
          <w:rtl/>
        </w:rPr>
        <w:t xml:space="preserve">ة </w:t>
      </w:r>
      <w:r w:rsidRPr="00FD211F">
        <w:rPr>
          <w:sz w:val="36"/>
          <w:szCs w:val="36"/>
          <w:rtl/>
        </w:rPr>
        <w:t>عن الأجزاء</w:t>
      </w:r>
      <w:r w:rsidR="00603323" w:rsidRPr="00FD211F">
        <w:rPr>
          <w:sz w:val="36"/>
          <w:szCs w:val="36"/>
          <w:rtl/>
        </w:rPr>
        <w:t xml:space="preserve">، </w:t>
      </w:r>
      <w:r w:rsidRPr="00FD211F">
        <w:rPr>
          <w:sz w:val="36"/>
          <w:szCs w:val="36"/>
          <w:rtl/>
        </w:rPr>
        <w:t>باعتبار كون الأجزاء بمنزل</w:t>
      </w:r>
      <w:r w:rsidR="00EC7EDF" w:rsidRPr="00FD211F">
        <w:rPr>
          <w:sz w:val="36"/>
          <w:szCs w:val="36"/>
          <w:rtl/>
        </w:rPr>
        <w:t xml:space="preserve">ة </w:t>
      </w:r>
      <w:r w:rsidRPr="00FD211F">
        <w:rPr>
          <w:sz w:val="36"/>
          <w:szCs w:val="36"/>
          <w:rtl/>
        </w:rPr>
        <w:t>المقتضي لوجود الأثر</w:t>
      </w:r>
      <w:r w:rsidR="00603323" w:rsidRPr="00FD211F">
        <w:rPr>
          <w:sz w:val="36"/>
          <w:szCs w:val="36"/>
          <w:rtl/>
        </w:rPr>
        <w:t xml:space="preserve">، </w:t>
      </w:r>
      <w:r w:rsidRPr="00FD211F">
        <w:rPr>
          <w:sz w:val="36"/>
          <w:szCs w:val="36"/>
          <w:rtl/>
        </w:rPr>
        <w:t>والشرط متأخر عن المقتضي بحسب الرتب</w:t>
      </w:r>
      <w:r w:rsidR="00EC7EDF" w:rsidRPr="00FD211F">
        <w:rPr>
          <w:sz w:val="36"/>
          <w:szCs w:val="36"/>
          <w:rtl/>
        </w:rPr>
        <w:t>ة</w:t>
      </w:r>
      <w:r w:rsidR="00603323" w:rsidRPr="00FD211F">
        <w:rPr>
          <w:sz w:val="36"/>
          <w:szCs w:val="36"/>
          <w:rtl/>
        </w:rPr>
        <w:t xml:space="preserve">، </w:t>
      </w:r>
      <w:r w:rsidRPr="00FD211F">
        <w:rPr>
          <w:sz w:val="36"/>
          <w:szCs w:val="36"/>
          <w:rtl/>
        </w:rPr>
        <w:t>لان الشرط دخيل في فعلي</w:t>
      </w:r>
      <w:r w:rsidR="00EC7EDF" w:rsidRPr="00FD211F">
        <w:rPr>
          <w:sz w:val="36"/>
          <w:szCs w:val="36"/>
          <w:rtl/>
        </w:rPr>
        <w:t xml:space="preserve">ة </w:t>
      </w:r>
      <w:r w:rsidRPr="00FD211F">
        <w:rPr>
          <w:sz w:val="36"/>
          <w:szCs w:val="36"/>
          <w:rtl/>
        </w:rPr>
        <w:t>تأثير المقتضي في تحقق المقتضىٰ</w:t>
      </w:r>
      <w:r w:rsidR="00603323" w:rsidRPr="00FD211F">
        <w:rPr>
          <w:sz w:val="36"/>
          <w:szCs w:val="36"/>
          <w:rtl/>
        </w:rPr>
        <w:t xml:space="preserve">، </w:t>
      </w:r>
      <w:r w:rsidRPr="00FD211F">
        <w:rPr>
          <w:sz w:val="36"/>
          <w:szCs w:val="36"/>
          <w:rtl/>
        </w:rPr>
        <w:t>فلابد ان يفرض وجود ما يقتضي التأثير كي يصير تأثيره بواسط</w:t>
      </w:r>
      <w:r w:rsidR="00EC7EDF" w:rsidRPr="00FD211F">
        <w:rPr>
          <w:sz w:val="36"/>
          <w:szCs w:val="36"/>
          <w:rtl/>
        </w:rPr>
        <w:t xml:space="preserve">ة </w:t>
      </w:r>
      <w:r w:rsidRPr="00FD211F">
        <w:rPr>
          <w:sz w:val="36"/>
          <w:szCs w:val="36"/>
          <w:rtl/>
        </w:rPr>
        <w:t>الشرط فعليا</w:t>
      </w:r>
      <w:r w:rsidR="00603323" w:rsidRPr="00FD211F">
        <w:rPr>
          <w:sz w:val="36"/>
          <w:szCs w:val="36"/>
          <w:rtl/>
        </w:rPr>
        <w:t xml:space="preserve">، </w:t>
      </w:r>
      <w:r w:rsidRPr="00FD211F">
        <w:rPr>
          <w:sz w:val="36"/>
          <w:szCs w:val="36"/>
          <w:rtl/>
        </w:rPr>
        <w:t>وعليه فأخذ الشرط مع الجزء بخصوصيتهما في المسمى يستلزم فرض كون الشرط والجزء في رتب</w:t>
      </w:r>
      <w:r w:rsidR="00EC7EDF" w:rsidRPr="00FD211F">
        <w:rPr>
          <w:sz w:val="36"/>
          <w:szCs w:val="36"/>
          <w:rtl/>
        </w:rPr>
        <w:t xml:space="preserve">ة </w:t>
      </w:r>
      <w:r w:rsidRPr="00FD211F">
        <w:rPr>
          <w:sz w:val="36"/>
          <w:szCs w:val="36"/>
          <w:rtl/>
        </w:rPr>
        <w:t>واحد</w:t>
      </w:r>
      <w:r w:rsidR="00EC7EDF" w:rsidRPr="00FD211F">
        <w:rPr>
          <w:sz w:val="36"/>
          <w:szCs w:val="36"/>
          <w:rtl/>
        </w:rPr>
        <w:t>ة</w:t>
      </w:r>
      <w:r w:rsidR="00603323" w:rsidRPr="00FD211F">
        <w:rPr>
          <w:sz w:val="36"/>
          <w:szCs w:val="36"/>
          <w:rtl/>
        </w:rPr>
        <w:t xml:space="preserve">، </w:t>
      </w:r>
      <w:r w:rsidRPr="00FD211F">
        <w:rPr>
          <w:sz w:val="36"/>
          <w:szCs w:val="36"/>
          <w:rtl/>
        </w:rPr>
        <w:t>وهو خلف</w:t>
      </w:r>
      <w:r w:rsidR="009C58C8" w:rsidRPr="00FD211F">
        <w:rPr>
          <w:rStyle w:val="a6"/>
          <w:sz w:val="36"/>
          <w:szCs w:val="36"/>
          <w:rtl/>
        </w:rPr>
        <w:t>(</w:t>
      </w:r>
      <w:r w:rsidR="009C58C8" w:rsidRPr="00FD211F">
        <w:rPr>
          <w:rStyle w:val="a6"/>
          <w:sz w:val="36"/>
          <w:szCs w:val="36"/>
          <w:rtl/>
        </w:rPr>
        <w:footnoteReference w:id="361"/>
      </w:r>
      <w:r w:rsidR="009C58C8" w:rsidRPr="00FD211F">
        <w:rPr>
          <w:rStyle w:val="a6"/>
          <w:sz w:val="36"/>
          <w:szCs w:val="36"/>
          <w:rtl/>
        </w:rPr>
        <w:t>)</w:t>
      </w:r>
      <w:r w:rsidRPr="00FD211F">
        <w:rPr>
          <w:sz w:val="36"/>
          <w:szCs w:val="36"/>
          <w:rtl/>
        </w:rPr>
        <w:t>.</w:t>
      </w:r>
    </w:p>
    <w:p w14:paraId="7C13768D" w14:textId="77777777" w:rsidR="00052BF2" w:rsidRPr="00FD211F" w:rsidRDefault="00052BF2" w:rsidP="009C58C8">
      <w:pPr>
        <w:ind w:left="0" w:firstLine="227"/>
        <w:jc w:val="both"/>
        <w:rPr>
          <w:sz w:val="36"/>
          <w:szCs w:val="36"/>
          <w:rtl/>
        </w:rPr>
      </w:pPr>
      <w:r w:rsidRPr="00FD211F">
        <w:rPr>
          <w:sz w:val="36"/>
          <w:szCs w:val="36"/>
          <w:rtl/>
        </w:rPr>
        <w:t xml:space="preserve">ويرد عليه </w:t>
      </w:r>
      <w:r w:rsidRPr="00FD211F">
        <w:rPr>
          <w:b/>
          <w:bCs/>
          <w:sz w:val="36"/>
          <w:szCs w:val="36"/>
          <w:rtl/>
        </w:rPr>
        <w:t>اولا</w:t>
      </w:r>
      <w:r w:rsidRPr="00FD211F">
        <w:rPr>
          <w:sz w:val="36"/>
          <w:szCs w:val="36"/>
          <w:rtl/>
        </w:rPr>
        <w:t>: ان ما هو المتأخر رتب</w:t>
      </w:r>
      <w:r w:rsidR="00EC7EDF" w:rsidRPr="00FD211F">
        <w:rPr>
          <w:sz w:val="36"/>
          <w:szCs w:val="36"/>
          <w:rtl/>
        </w:rPr>
        <w:t xml:space="preserve">ة </w:t>
      </w:r>
      <w:r w:rsidRPr="00FD211F">
        <w:rPr>
          <w:sz w:val="36"/>
          <w:szCs w:val="36"/>
          <w:rtl/>
        </w:rPr>
        <w:t>عن المقتضي هو تأثير الشرط في ايصال اقتضاء المقتضي الى مرحل</w:t>
      </w:r>
      <w:r w:rsidR="00EC7EDF" w:rsidRPr="00FD211F">
        <w:rPr>
          <w:sz w:val="36"/>
          <w:szCs w:val="36"/>
          <w:rtl/>
        </w:rPr>
        <w:t xml:space="preserve">ة </w:t>
      </w:r>
      <w:r w:rsidRPr="00FD211F">
        <w:rPr>
          <w:sz w:val="36"/>
          <w:szCs w:val="36"/>
          <w:rtl/>
        </w:rPr>
        <w:t>الفعلي</w:t>
      </w:r>
      <w:r w:rsidR="00EC7EDF" w:rsidRPr="00FD211F">
        <w:rPr>
          <w:sz w:val="36"/>
          <w:szCs w:val="36"/>
          <w:rtl/>
        </w:rPr>
        <w:t>ة</w:t>
      </w:r>
      <w:r w:rsidR="00603323" w:rsidRPr="00FD211F">
        <w:rPr>
          <w:sz w:val="36"/>
          <w:szCs w:val="36"/>
          <w:rtl/>
        </w:rPr>
        <w:t xml:space="preserve">، </w:t>
      </w:r>
      <w:r w:rsidRPr="00FD211F">
        <w:rPr>
          <w:sz w:val="36"/>
          <w:szCs w:val="36"/>
          <w:rtl/>
        </w:rPr>
        <w:t>وأما ذات الشرط فليس متأخرا عن المقتضي أبدا</w:t>
      </w:r>
      <w:r w:rsidR="00603323" w:rsidRPr="00FD211F">
        <w:rPr>
          <w:sz w:val="36"/>
          <w:szCs w:val="36"/>
          <w:rtl/>
        </w:rPr>
        <w:t xml:space="preserve">، </w:t>
      </w:r>
      <w:r w:rsidRPr="00FD211F">
        <w:rPr>
          <w:sz w:val="36"/>
          <w:szCs w:val="36"/>
          <w:rtl/>
        </w:rPr>
        <w:t>فان جفاف القطن</w:t>
      </w:r>
      <w:r w:rsidR="00EC7EDF" w:rsidRPr="00FD211F">
        <w:rPr>
          <w:sz w:val="36"/>
          <w:szCs w:val="36"/>
          <w:rtl/>
        </w:rPr>
        <w:t xml:space="preserve">ة </w:t>
      </w:r>
      <w:r w:rsidRPr="00FD211F">
        <w:rPr>
          <w:sz w:val="36"/>
          <w:szCs w:val="36"/>
          <w:rtl/>
        </w:rPr>
        <w:t>شرط في تأثير النار في احتراقها</w:t>
      </w:r>
      <w:r w:rsidR="00603323" w:rsidRPr="00FD211F">
        <w:rPr>
          <w:sz w:val="36"/>
          <w:szCs w:val="36"/>
          <w:rtl/>
        </w:rPr>
        <w:t xml:space="preserve">، </w:t>
      </w:r>
      <w:r w:rsidRPr="00FD211F">
        <w:rPr>
          <w:sz w:val="36"/>
          <w:szCs w:val="36"/>
          <w:rtl/>
        </w:rPr>
        <w:t>ولكن قد يوجد جفاف القطن</w:t>
      </w:r>
      <w:r w:rsidR="00EC7EDF" w:rsidRPr="00FD211F">
        <w:rPr>
          <w:sz w:val="36"/>
          <w:szCs w:val="36"/>
          <w:rtl/>
        </w:rPr>
        <w:t xml:space="preserve">ة </w:t>
      </w:r>
      <w:r w:rsidRPr="00FD211F">
        <w:rPr>
          <w:sz w:val="36"/>
          <w:szCs w:val="36"/>
          <w:rtl/>
        </w:rPr>
        <w:t>من دون وجود النار</w:t>
      </w:r>
      <w:r w:rsidR="00603323" w:rsidRPr="00FD211F">
        <w:rPr>
          <w:sz w:val="36"/>
          <w:szCs w:val="36"/>
          <w:rtl/>
        </w:rPr>
        <w:t xml:space="preserve">، </w:t>
      </w:r>
      <w:r w:rsidRPr="00FD211F">
        <w:rPr>
          <w:sz w:val="36"/>
          <w:szCs w:val="36"/>
          <w:rtl/>
        </w:rPr>
        <w:t>والمفروض في المقام ان الصحيحي يدعي اندراج تقيد المركب بذات الشرط في المسمى</w:t>
      </w:r>
      <w:r w:rsidR="00603323" w:rsidRPr="00FD211F">
        <w:rPr>
          <w:sz w:val="36"/>
          <w:szCs w:val="36"/>
          <w:rtl/>
        </w:rPr>
        <w:t xml:space="preserve">، </w:t>
      </w:r>
      <w:r w:rsidRPr="00FD211F">
        <w:rPr>
          <w:sz w:val="36"/>
          <w:szCs w:val="36"/>
          <w:rtl/>
        </w:rPr>
        <w:t>لااندراج تقيده بالشرط بما هو مؤثر في فعلي</w:t>
      </w:r>
      <w:r w:rsidR="00EC7EDF" w:rsidRPr="00FD211F">
        <w:rPr>
          <w:sz w:val="36"/>
          <w:szCs w:val="36"/>
          <w:rtl/>
        </w:rPr>
        <w:t xml:space="preserve">ة </w:t>
      </w:r>
      <w:r w:rsidRPr="00FD211F">
        <w:rPr>
          <w:sz w:val="36"/>
          <w:szCs w:val="36"/>
          <w:rtl/>
        </w:rPr>
        <w:t>تأثير المقتضي</w:t>
      </w:r>
      <w:r w:rsidR="00603323" w:rsidRPr="00FD211F">
        <w:rPr>
          <w:sz w:val="36"/>
          <w:szCs w:val="36"/>
          <w:rtl/>
        </w:rPr>
        <w:t xml:space="preserve">، </w:t>
      </w:r>
      <w:r w:rsidRPr="00FD211F">
        <w:rPr>
          <w:sz w:val="36"/>
          <w:szCs w:val="36"/>
          <w:rtl/>
        </w:rPr>
        <w:t>كي يتوجه عليه اشكال الخلف.</w:t>
      </w:r>
    </w:p>
    <w:p w14:paraId="11B7FA55" w14:textId="77777777" w:rsidR="00052BF2"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انه لامانع من تسمي</w:t>
      </w:r>
      <w:r w:rsidR="00EC7EDF" w:rsidRPr="00FD211F">
        <w:rPr>
          <w:sz w:val="36"/>
          <w:szCs w:val="36"/>
          <w:rtl/>
        </w:rPr>
        <w:t xml:space="preserve">ة </w:t>
      </w:r>
      <w:r w:rsidRPr="00FD211F">
        <w:rPr>
          <w:sz w:val="36"/>
          <w:szCs w:val="36"/>
          <w:rtl/>
        </w:rPr>
        <w:t>المتقدم والمتأخر زمانا باسم واحد</w:t>
      </w:r>
      <w:r w:rsidR="00603323" w:rsidRPr="00FD211F">
        <w:rPr>
          <w:sz w:val="36"/>
          <w:szCs w:val="36"/>
          <w:rtl/>
        </w:rPr>
        <w:t xml:space="preserve">، </w:t>
      </w:r>
      <w:r w:rsidRPr="00FD211F">
        <w:rPr>
          <w:sz w:val="36"/>
          <w:szCs w:val="36"/>
          <w:rtl/>
        </w:rPr>
        <w:t>نظير تسمي</w:t>
      </w:r>
      <w:r w:rsidR="00EC7EDF" w:rsidRPr="00FD211F">
        <w:rPr>
          <w:sz w:val="36"/>
          <w:szCs w:val="36"/>
          <w:rtl/>
        </w:rPr>
        <w:t xml:space="preserve">ة </w:t>
      </w:r>
      <w:r w:rsidRPr="00FD211F">
        <w:rPr>
          <w:sz w:val="36"/>
          <w:szCs w:val="36"/>
          <w:rtl/>
        </w:rPr>
        <w:t>قطع</w:t>
      </w:r>
      <w:r w:rsidR="00EC7EDF" w:rsidRPr="00FD211F">
        <w:rPr>
          <w:sz w:val="36"/>
          <w:szCs w:val="36"/>
          <w:rtl/>
        </w:rPr>
        <w:t xml:space="preserve">ة </w:t>
      </w:r>
      <w:r w:rsidRPr="00FD211F">
        <w:rPr>
          <w:sz w:val="36"/>
          <w:szCs w:val="36"/>
          <w:rtl/>
        </w:rPr>
        <w:t>من الزمان باسم الأسبوع</w:t>
      </w:r>
      <w:r w:rsidR="00603323" w:rsidRPr="00FD211F">
        <w:rPr>
          <w:sz w:val="36"/>
          <w:szCs w:val="36"/>
          <w:rtl/>
        </w:rPr>
        <w:t xml:space="preserve">، </w:t>
      </w:r>
      <w:r w:rsidRPr="00FD211F">
        <w:rPr>
          <w:sz w:val="36"/>
          <w:szCs w:val="36"/>
          <w:rtl/>
        </w:rPr>
        <w:t>فكيف بتسمي</w:t>
      </w:r>
      <w:r w:rsidR="00EC7EDF" w:rsidRPr="00FD211F">
        <w:rPr>
          <w:sz w:val="36"/>
          <w:szCs w:val="36"/>
          <w:rtl/>
        </w:rPr>
        <w:t xml:space="preserve">ة </w:t>
      </w:r>
      <w:r w:rsidRPr="00FD211F">
        <w:rPr>
          <w:sz w:val="36"/>
          <w:szCs w:val="36"/>
          <w:rtl/>
        </w:rPr>
        <w:t>المتقدم والمتأخر رتب</w:t>
      </w:r>
      <w:r w:rsidR="00EC7EDF" w:rsidRPr="00FD211F">
        <w:rPr>
          <w:sz w:val="36"/>
          <w:szCs w:val="36"/>
          <w:rtl/>
        </w:rPr>
        <w:t xml:space="preserve">ة </w:t>
      </w:r>
      <w:r w:rsidRPr="00FD211F">
        <w:rPr>
          <w:sz w:val="36"/>
          <w:szCs w:val="36"/>
          <w:rtl/>
        </w:rPr>
        <w:t>باسم واحد.</w:t>
      </w:r>
    </w:p>
    <w:p w14:paraId="5A0B5323" w14:textId="77777777" w:rsidR="00052BF2" w:rsidRPr="00FD211F" w:rsidRDefault="00052BF2" w:rsidP="009C58C8">
      <w:pPr>
        <w:ind w:left="0" w:firstLine="227"/>
        <w:jc w:val="both"/>
        <w:rPr>
          <w:sz w:val="36"/>
          <w:szCs w:val="36"/>
          <w:rtl/>
        </w:rPr>
      </w:pPr>
      <w:r w:rsidRPr="00FD211F">
        <w:rPr>
          <w:b/>
          <w:bCs/>
          <w:sz w:val="36"/>
          <w:szCs w:val="36"/>
          <w:rtl/>
        </w:rPr>
        <w:t>النكت</w:t>
      </w:r>
      <w:r w:rsidR="00EC7EDF" w:rsidRPr="00FD211F">
        <w:rPr>
          <w:b/>
          <w:bCs/>
          <w:sz w:val="36"/>
          <w:szCs w:val="36"/>
          <w:rtl/>
        </w:rPr>
        <w:t xml:space="preserve">ة </w:t>
      </w:r>
      <w:r w:rsidRPr="00FD211F">
        <w:rPr>
          <w:b/>
          <w:bCs/>
          <w:sz w:val="36"/>
          <w:szCs w:val="36"/>
          <w:rtl/>
        </w:rPr>
        <w:t>الرابع</w:t>
      </w:r>
      <w:r w:rsidR="00EC7EDF" w:rsidRPr="00FD211F">
        <w:rPr>
          <w:b/>
          <w:bCs/>
          <w:sz w:val="36"/>
          <w:szCs w:val="36"/>
          <w:rtl/>
        </w:rPr>
        <w:t>ة</w:t>
      </w:r>
      <w:r w:rsidR="00057D31" w:rsidRPr="00FD211F">
        <w:rPr>
          <w:b/>
          <w:bCs/>
          <w:sz w:val="36"/>
          <w:szCs w:val="36"/>
          <w:rtl/>
        </w:rPr>
        <w:t>:</w:t>
      </w:r>
      <w:r w:rsidRPr="00FD211F">
        <w:rPr>
          <w:sz w:val="36"/>
          <w:szCs w:val="36"/>
          <w:rtl/>
        </w:rPr>
        <w:t xml:space="preserve"> ادعى المحقق النائيني</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خروج قصد القرب</w:t>
      </w:r>
      <w:r w:rsidR="00EC7EDF" w:rsidRPr="00FD211F">
        <w:rPr>
          <w:sz w:val="36"/>
          <w:szCs w:val="36"/>
          <w:rtl/>
        </w:rPr>
        <w:t xml:space="preserve">ة </w:t>
      </w:r>
      <w:r w:rsidRPr="00FD211F">
        <w:rPr>
          <w:sz w:val="36"/>
          <w:szCs w:val="36"/>
          <w:rtl/>
        </w:rPr>
        <w:t>وقصد ا</w:t>
      </w:r>
      <w:r w:rsidR="004F621F" w:rsidRPr="00FD211F">
        <w:rPr>
          <w:sz w:val="36"/>
          <w:szCs w:val="36"/>
          <w:rtl/>
        </w:rPr>
        <w:t>لوجه وكذا عدم ابتلاء العباد</w:t>
      </w:r>
      <w:r w:rsidR="00EC7EDF" w:rsidRPr="00FD211F">
        <w:rPr>
          <w:sz w:val="36"/>
          <w:szCs w:val="36"/>
          <w:rtl/>
        </w:rPr>
        <w:t xml:space="preserve">ة </w:t>
      </w:r>
      <w:r w:rsidR="004F621F" w:rsidRPr="00FD211F">
        <w:rPr>
          <w:sz w:val="36"/>
          <w:szCs w:val="36"/>
          <w:rtl/>
        </w:rPr>
        <w:t>بالم</w:t>
      </w:r>
      <w:r w:rsidRPr="00FD211F">
        <w:rPr>
          <w:sz w:val="36"/>
          <w:szCs w:val="36"/>
          <w:rtl/>
        </w:rPr>
        <w:t xml:space="preserve">زاحم </w:t>
      </w:r>
      <w:r w:rsidR="004F621F" w:rsidRPr="00FD211F">
        <w:rPr>
          <w:sz w:val="36"/>
          <w:szCs w:val="36"/>
          <w:rtl/>
        </w:rPr>
        <w:t>–كعدم كون الصلا</w:t>
      </w:r>
      <w:r w:rsidR="00EC7EDF" w:rsidRPr="00FD211F">
        <w:rPr>
          <w:sz w:val="36"/>
          <w:szCs w:val="36"/>
          <w:rtl/>
        </w:rPr>
        <w:t xml:space="preserve">ة </w:t>
      </w:r>
      <w:r w:rsidR="004F621F" w:rsidRPr="00FD211F">
        <w:rPr>
          <w:sz w:val="36"/>
          <w:szCs w:val="36"/>
          <w:rtl/>
        </w:rPr>
        <w:t>في وقت وجوب ازال</w:t>
      </w:r>
      <w:r w:rsidR="00EC7EDF" w:rsidRPr="00FD211F">
        <w:rPr>
          <w:sz w:val="36"/>
          <w:szCs w:val="36"/>
          <w:rtl/>
        </w:rPr>
        <w:t xml:space="preserve">ة </w:t>
      </w:r>
      <w:r w:rsidR="004F621F" w:rsidRPr="00FD211F">
        <w:rPr>
          <w:sz w:val="36"/>
          <w:szCs w:val="36"/>
          <w:rtl/>
        </w:rPr>
        <w:t>النجاس</w:t>
      </w:r>
      <w:r w:rsidR="00EC7EDF" w:rsidRPr="00FD211F">
        <w:rPr>
          <w:sz w:val="36"/>
          <w:szCs w:val="36"/>
          <w:rtl/>
        </w:rPr>
        <w:t xml:space="preserve">ة </w:t>
      </w:r>
      <w:r w:rsidR="004F621F" w:rsidRPr="00FD211F">
        <w:rPr>
          <w:sz w:val="36"/>
          <w:szCs w:val="36"/>
          <w:rtl/>
        </w:rPr>
        <w:t>عن المسجد -</w:t>
      </w:r>
      <w:r w:rsidRPr="00FD211F">
        <w:rPr>
          <w:sz w:val="36"/>
          <w:szCs w:val="36"/>
          <w:rtl/>
        </w:rPr>
        <w:t xml:space="preserve"> او عدم كون العباد</w:t>
      </w:r>
      <w:r w:rsidR="00EC7EDF" w:rsidRPr="00FD211F">
        <w:rPr>
          <w:sz w:val="36"/>
          <w:szCs w:val="36"/>
          <w:rtl/>
        </w:rPr>
        <w:t xml:space="preserve">ة </w:t>
      </w:r>
      <w:r w:rsidRPr="00FD211F">
        <w:rPr>
          <w:sz w:val="36"/>
          <w:szCs w:val="36"/>
          <w:rtl/>
        </w:rPr>
        <w:t>منهيا عنها عن محل النزاع</w:t>
      </w:r>
      <w:r w:rsidR="00603323" w:rsidRPr="00FD211F">
        <w:rPr>
          <w:sz w:val="36"/>
          <w:szCs w:val="36"/>
          <w:rtl/>
        </w:rPr>
        <w:t xml:space="preserve">، </w:t>
      </w:r>
      <w:r w:rsidRPr="00FD211F">
        <w:rPr>
          <w:sz w:val="36"/>
          <w:szCs w:val="36"/>
          <w:rtl/>
        </w:rPr>
        <w:t>حيث ذكر ان الصح</w:t>
      </w:r>
      <w:r w:rsidR="00EC7EDF" w:rsidRPr="00FD211F">
        <w:rPr>
          <w:sz w:val="36"/>
          <w:szCs w:val="36"/>
          <w:rtl/>
        </w:rPr>
        <w:t xml:space="preserve">ة </w:t>
      </w:r>
      <w:r w:rsidRPr="00FD211F">
        <w:rPr>
          <w:sz w:val="36"/>
          <w:szCs w:val="36"/>
          <w:rtl/>
        </w:rPr>
        <w:t>من هذه الجهات في مرتب</w:t>
      </w:r>
      <w:r w:rsidR="00EC7EDF" w:rsidRPr="00FD211F">
        <w:rPr>
          <w:sz w:val="36"/>
          <w:szCs w:val="36"/>
          <w:rtl/>
        </w:rPr>
        <w:t xml:space="preserve">ة </w:t>
      </w:r>
      <w:r w:rsidRPr="00FD211F">
        <w:rPr>
          <w:sz w:val="36"/>
          <w:szCs w:val="36"/>
          <w:rtl/>
        </w:rPr>
        <w:t>متأخر</w:t>
      </w:r>
      <w:r w:rsidR="00EC7EDF" w:rsidRPr="00FD211F">
        <w:rPr>
          <w:sz w:val="36"/>
          <w:szCs w:val="36"/>
          <w:rtl/>
        </w:rPr>
        <w:t xml:space="preserve">ة </w:t>
      </w:r>
      <w:r w:rsidRPr="00FD211F">
        <w:rPr>
          <w:sz w:val="36"/>
          <w:szCs w:val="36"/>
          <w:rtl/>
        </w:rPr>
        <w:t>عن المسمى</w:t>
      </w:r>
      <w:r w:rsidR="00603323" w:rsidRPr="00FD211F">
        <w:rPr>
          <w:sz w:val="36"/>
          <w:szCs w:val="36"/>
          <w:rtl/>
        </w:rPr>
        <w:t xml:space="preserve">، </w:t>
      </w:r>
      <w:r w:rsidRPr="00FD211F">
        <w:rPr>
          <w:sz w:val="36"/>
          <w:szCs w:val="36"/>
          <w:rtl/>
        </w:rPr>
        <w:t>فان قصد امتثال الأمر او قصد الوجه متأخر عن الأمر</w:t>
      </w:r>
      <w:r w:rsidR="00603323" w:rsidRPr="00FD211F">
        <w:rPr>
          <w:sz w:val="36"/>
          <w:szCs w:val="36"/>
          <w:rtl/>
        </w:rPr>
        <w:t xml:space="preserve">، </w:t>
      </w:r>
      <w:r w:rsidRPr="00FD211F">
        <w:rPr>
          <w:sz w:val="36"/>
          <w:szCs w:val="36"/>
          <w:rtl/>
        </w:rPr>
        <w:t>فلايعقل ان يؤخذ في المسمى الذي يتعلق به الأمر</w:t>
      </w:r>
      <w:r w:rsidR="00603323" w:rsidRPr="00FD211F">
        <w:rPr>
          <w:sz w:val="36"/>
          <w:szCs w:val="36"/>
          <w:rtl/>
        </w:rPr>
        <w:t xml:space="preserve">، </w:t>
      </w:r>
      <w:r w:rsidRPr="00FD211F">
        <w:rPr>
          <w:sz w:val="36"/>
          <w:szCs w:val="36"/>
          <w:rtl/>
        </w:rPr>
        <w:t>وكذا اعتبار عدم المزاحم للصلا</w:t>
      </w:r>
      <w:r w:rsidR="00EC7EDF" w:rsidRPr="00FD211F">
        <w:rPr>
          <w:sz w:val="36"/>
          <w:szCs w:val="36"/>
          <w:rtl/>
        </w:rPr>
        <w:t xml:space="preserve">ة </w:t>
      </w:r>
      <w:r w:rsidRPr="00FD211F">
        <w:rPr>
          <w:sz w:val="36"/>
          <w:szCs w:val="36"/>
          <w:rtl/>
        </w:rPr>
        <w:t>مثلا</w:t>
      </w:r>
      <w:r w:rsidR="004F621F" w:rsidRPr="00FD211F">
        <w:rPr>
          <w:sz w:val="36"/>
          <w:szCs w:val="36"/>
          <w:rtl/>
        </w:rPr>
        <w:t>يكون</w:t>
      </w:r>
      <w:r w:rsidR="00B253CE" w:rsidRPr="00FD211F">
        <w:rPr>
          <w:sz w:val="36"/>
          <w:szCs w:val="36"/>
          <w:rtl/>
        </w:rPr>
        <w:t xml:space="preserve"> </w:t>
      </w:r>
      <w:r w:rsidRPr="00FD211F">
        <w:rPr>
          <w:sz w:val="36"/>
          <w:szCs w:val="36"/>
          <w:rtl/>
        </w:rPr>
        <w:t>في مرتب</w:t>
      </w:r>
      <w:r w:rsidR="00EC7EDF" w:rsidRPr="00FD211F">
        <w:rPr>
          <w:sz w:val="36"/>
          <w:szCs w:val="36"/>
          <w:rtl/>
        </w:rPr>
        <w:t xml:space="preserve">ة </w:t>
      </w:r>
      <w:r w:rsidRPr="00FD211F">
        <w:rPr>
          <w:sz w:val="36"/>
          <w:szCs w:val="36"/>
          <w:rtl/>
        </w:rPr>
        <w:t>متأخر</w:t>
      </w:r>
      <w:r w:rsidR="00EC7EDF" w:rsidRPr="00FD211F">
        <w:rPr>
          <w:sz w:val="36"/>
          <w:szCs w:val="36"/>
          <w:rtl/>
        </w:rPr>
        <w:t xml:space="preserve">ة </w:t>
      </w:r>
      <w:r w:rsidRPr="00FD211F">
        <w:rPr>
          <w:sz w:val="36"/>
          <w:szCs w:val="36"/>
          <w:rtl/>
        </w:rPr>
        <w:t>عن مسمى الصلا</w:t>
      </w:r>
      <w:r w:rsidR="00EC7EDF" w:rsidRPr="00FD211F">
        <w:rPr>
          <w:sz w:val="36"/>
          <w:szCs w:val="36"/>
          <w:rtl/>
        </w:rPr>
        <w:t>ة</w:t>
      </w:r>
      <w:r w:rsidR="00603323" w:rsidRPr="00FD211F">
        <w:rPr>
          <w:sz w:val="36"/>
          <w:szCs w:val="36"/>
          <w:rtl/>
        </w:rPr>
        <w:t xml:space="preserve">، </w:t>
      </w:r>
      <w:r w:rsidRPr="00FD211F">
        <w:rPr>
          <w:sz w:val="36"/>
          <w:szCs w:val="36"/>
          <w:rtl/>
        </w:rPr>
        <w:t>فانه لابد من فرض مسمى الصلا</w:t>
      </w:r>
      <w:r w:rsidR="00EC7EDF" w:rsidRPr="00FD211F">
        <w:rPr>
          <w:sz w:val="36"/>
          <w:szCs w:val="36"/>
          <w:rtl/>
        </w:rPr>
        <w:t xml:space="preserve">ة </w:t>
      </w:r>
      <w:r w:rsidRPr="00FD211F">
        <w:rPr>
          <w:sz w:val="36"/>
          <w:szCs w:val="36"/>
          <w:rtl/>
        </w:rPr>
        <w:t>حتى يوجد له مزاحم</w:t>
      </w:r>
      <w:r w:rsidR="00603323" w:rsidRPr="00FD211F">
        <w:rPr>
          <w:sz w:val="36"/>
          <w:szCs w:val="36"/>
          <w:rtl/>
        </w:rPr>
        <w:t xml:space="preserve">، </w:t>
      </w:r>
      <w:r w:rsidRPr="00FD211F">
        <w:rPr>
          <w:sz w:val="36"/>
          <w:szCs w:val="36"/>
          <w:rtl/>
        </w:rPr>
        <w:t>فلايعقل أخذ عدم المزاحم في نفس المسمى</w:t>
      </w:r>
      <w:r w:rsidR="00603323" w:rsidRPr="00FD211F">
        <w:rPr>
          <w:sz w:val="36"/>
          <w:szCs w:val="36"/>
          <w:rtl/>
        </w:rPr>
        <w:t xml:space="preserve">، </w:t>
      </w:r>
      <w:r w:rsidRPr="00FD211F">
        <w:rPr>
          <w:sz w:val="36"/>
          <w:szCs w:val="36"/>
          <w:rtl/>
        </w:rPr>
        <w:t>اذ يكون من قبيل اخذ ما هو متأخر رتب</w:t>
      </w:r>
      <w:r w:rsidR="00EC7EDF" w:rsidRPr="00FD211F">
        <w:rPr>
          <w:sz w:val="36"/>
          <w:szCs w:val="36"/>
          <w:rtl/>
        </w:rPr>
        <w:t xml:space="preserve">ة </w:t>
      </w:r>
      <w:r w:rsidRPr="00FD211F">
        <w:rPr>
          <w:sz w:val="36"/>
          <w:szCs w:val="36"/>
          <w:rtl/>
        </w:rPr>
        <w:t>في المتقدم رتب</w:t>
      </w:r>
      <w:r w:rsidR="00EC7EDF" w:rsidRPr="00FD211F">
        <w:rPr>
          <w:sz w:val="36"/>
          <w:szCs w:val="36"/>
          <w:rtl/>
        </w:rPr>
        <w:t xml:space="preserve">ة </w:t>
      </w:r>
      <w:r w:rsidRPr="00FD211F">
        <w:rPr>
          <w:sz w:val="36"/>
          <w:szCs w:val="36"/>
          <w:rtl/>
        </w:rPr>
        <w:t>وهو محال</w:t>
      </w:r>
      <w:r w:rsidR="00603323" w:rsidRPr="00FD211F">
        <w:rPr>
          <w:sz w:val="36"/>
          <w:szCs w:val="36"/>
          <w:rtl/>
        </w:rPr>
        <w:t xml:space="preserve">، </w:t>
      </w:r>
      <w:r w:rsidRPr="00FD211F">
        <w:rPr>
          <w:sz w:val="36"/>
          <w:szCs w:val="36"/>
          <w:rtl/>
        </w:rPr>
        <w:t>وكذا اعتبار عدم تعلق النهي بالمسمى يعني كون المسمى في رتب</w:t>
      </w:r>
      <w:r w:rsidR="00EC7EDF" w:rsidRPr="00FD211F">
        <w:rPr>
          <w:sz w:val="36"/>
          <w:szCs w:val="36"/>
          <w:rtl/>
        </w:rPr>
        <w:t xml:space="preserve">ة </w:t>
      </w:r>
      <w:r w:rsidRPr="00FD211F">
        <w:rPr>
          <w:sz w:val="36"/>
          <w:szCs w:val="36"/>
          <w:rtl/>
        </w:rPr>
        <w:t>سابق</w:t>
      </w:r>
      <w:r w:rsidR="00EC7EDF" w:rsidRPr="00FD211F">
        <w:rPr>
          <w:sz w:val="36"/>
          <w:szCs w:val="36"/>
          <w:rtl/>
        </w:rPr>
        <w:t xml:space="preserve">ة </w:t>
      </w:r>
      <w:r w:rsidRPr="00FD211F">
        <w:rPr>
          <w:sz w:val="36"/>
          <w:szCs w:val="36"/>
          <w:rtl/>
        </w:rPr>
        <w:t>على النهي كي يفرض تعلق النهي به وعدمه</w:t>
      </w:r>
      <w:r w:rsidR="00603323" w:rsidRPr="00FD211F">
        <w:rPr>
          <w:sz w:val="36"/>
          <w:szCs w:val="36"/>
          <w:rtl/>
        </w:rPr>
        <w:t xml:space="preserve">، </w:t>
      </w:r>
      <w:r w:rsidRPr="00FD211F">
        <w:rPr>
          <w:sz w:val="36"/>
          <w:szCs w:val="36"/>
          <w:rtl/>
        </w:rPr>
        <w:t>فلابد من خروج النهي وجودا وعدما عن المسمى.</w:t>
      </w:r>
    </w:p>
    <w:p w14:paraId="7F8151C2" w14:textId="77777777" w:rsidR="00052BF2" w:rsidRPr="00FD211F" w:rsidRDefault="00052BF2" w:rsidP="009C58C8">
      <w:pPr>
        <w:ind w:left="0" w:firstLine="227"/>
        <w:jc w:val="both"/>
        <w:rPr>
          <w:sz w:val="36"/>
          <w:szCs w:val="36"/>
          <w:rtl/>
        </w:rPr>
      </w:pPr>
      <w:r w:rsidRPr="00FD211F">
        <w:rPr>
          <w:sz w:val="36"/>
          <w:szCs w:val="36"/>
          <w:rtl/>
        </w:rPr>
        <w:t>اقول: الظاهر هو التفصيل بين قصد القرب</w:t>
      </w:r>
      <w:r w:rsidR="00EC7EDF" w:rsidRPr="00FD211F">
        <w:rPr>
          <w:sz w:val="36"/>
          <w:szCs w:val="36"/>
          <w:rtl/>
        </w:rPr>
        <w:t xml:space="preserve">ة </w:t>
      </w:r>
      <w:r w:rsidRPr="00FD211F">
        <w:rPr>
          <w:sz w:val="36"/>
          <w:szCs w:val="36"/>
          <w:rtl/>
        </w:rPr>
        <w:t>وقصد الوجه وبين عدم المزاحم او عدم النهي</w:t>
      </w:r>
      <w:r w:rsidR="00603323" w:rsidRPr="00FD211F">
        <w:rPr>
          <w:sz w:val="36"/>
          <w:szCs w:val="36"/>
          <w:rtl/>
        </w:rPr>
        <w:t xml:space="preserve">، </w:t>
      </w:r>
      <w:r w:rsidRPr="00FD211F">
        <w:rPr>
          <w:sz w:val="36"/>
          <w:szCs w:val="36"/>
          <w:rtl/>
        </w:rPr>
        <w:t>فانه بناء على عدم امكان اخذ قصد القرب</w:t>
      </w:r>
      <w:r w:rsidR="00EC7EDF" w:rsidRPr="00FD211F">
        <w:rPr>
          <w:sz w:val="36"/>
          <w:szCs w:val="36"/>
          <w:rtl/>
        </w:rPr>
        <w:t xml:space="preserve">ة </w:t>
      </w:r>
      <w:r w:rsidRPr="00FD211F">
        <w:rPr>
          <w:sz w:val="36"/>
          <w:szCs w:val="36"/>
          <w:rtl/>
        </w:rPr>
        <w:t>وقصد الوجه في متعلق الأمر الأول فحيث ان غرض الصحيحي هو تصوير معنى لأسماء العبادات بنحو يصلح ان يتعلق به الأمر في الخطابات الشرعي</w:t>
      </w:r>
      <w:r w:rsidR="00EC7EDF" w:rsidRPr="00FD211F">
        <w:rPr>
          <w:sz w:val="36"/>
          <w:szCs w:val="36"/>
          <w:rtl/>
        </w:rPr>
        <w:t>ة</w:t>
      </w:r>
      <w:r w:rsidR="00603323" w:rsidRPr="00FD211F">
        <w:rPr>
          <w:sz w:val="36"/>
          <w:szCs w:val="36"/>
          <w:rtl/>
        </w:rPr>
        <w:t xml:space="preserve">، </w:t>
      </w:r>
      <w:r w:rsidRPr="00FD211F">
        <w:rPr>
          <w:sz w:val="36"/>
          <w:szCs w:val="36"/>
          <w:rtl/>
        </w:rPr>
        <w:t>فادراج مفهوم قصد القرب</w:t>
      </w:r>
      <w:r w:rsidR="00EC7EDF" w:rsidRPr="00FD211F">
        <w:rPr>
          <w:sz w:val="36"/>
          <w:szCs w:val="36"/>
          <w:rtl/>
        </w:rPr>
        <w:t xml:space="preserve">ة </w:t>
      </w:r>
      <w:r w:rsidRPr="00FD211F">
        <w:rPr>
          <w:sz w:val="36"/>
          <w:szCs w:val="36"/>
          <w:rtl/>
        </w:rPr>
        <w:t>او قصد الوجه في المسمى والالتزام باستعمال الفاظ العبادات حين تعلق ا</w:t>
      </w:r>
      <w:r w:rsidR="001D1F79" w:rsidRPr="00FD211F">
        <w:rPr>
          <w:sz w:val="36"/>
          <w:szCs w:val="36"/>
          <w:rtl/>
        </w:rPr>
        <w:t>لأمر بها في جزء المسمى لاكله</w:t>
      </w:r>
      <w:r w:rsidR="00B253CE" w:rsidRPr="00FD211F">
        <w:rPr>
          <w:sz w:val="36"/>
          <w:szCs w:val="36"/>
          <w:rtl/>
        </w:rPr>
        <w:t xml:space="preserve"> </w:t>
      </w:r>
      <w:r w:rsidRPr="00FD211F">
        <w:rPr>
          <w:sz w:val="36"/>
          <w:szCs w:val="36"/>
          <w:rtl/>
        </w:rPr>
        <w:t>خلاف غرض الصحيحي</w:t>
      </w:r>
      <w:r w:rsidR="00603323" w:rsidRPr="00FD211F">
        <w:rPr>
          <w:sz w:val="36"/>
          <w:szCs w:val="36"/>
          <w:rtl/>
        </w:rPr>
        <w:t xml:space="preserve">، </w:t>
      </w:r>
      <w:r w:rsidRPr="00FD211F">
        <w:rPr>
          <w:sz w:val="36"/>
          <w:szCs w:val="36"/>
          <w:rtl/>
        </w:rPr>
        <w:t xml:space="preserve">وأما </w:t>
      </w:r>
      <w:r w:rsidR="004F621F" w:rsidRPr="00FD211F">
        <w:rPr>
          <w:sz w:val="36"/>
          <w:szCs w:val="36"/>
          <w:rtl/>
        </w:rPr>
        <w:t>عدم المزاحم وعدم النهي</w:t>
      </w:r>
      <w:r w:rsidR="00B253CE" w:rsidRPr="00FD211F">
        <w:rPr>
          <w:sz w:val="36"/>
          <w:szCs w:val="36"/>
          <w:rtl/>
        </w:rPr>
        <w:t xml:space="preserve"> </w:t>
      </w:r>
      <w:r w:rsidRPr="00FD211F">
        <w:rPr>
          <w:sz w:val="36"/>
          <w:szCs w:val="36"/>
          <w:rtl/>
        </w:rPr>
        <w:t>فلامانع من أخذهما في المسمى</w:t>
      </w:r>
      <w:r w:rsidR="00603323" w:rsidRPr="00FD211F">
        <w:rPr>
          <w:sz w:val="36"/>
          <w:szCs w:val="36"/>
          <w:rtl/>
        </w:rPr>
        <w:t xml:space="preserve">، </w:t>
      </w:r>
      <w:r w:rsidRPr="00FD211F">
        <w:rPr>
          <w:sz w:val="36"/>
          <w:szCs w:val="36"/>
          <w:rtl/>
        </w:rPr>
        <w:t>اذ لاوجه لافتراض اكثر من عدم تعلق النهي بذات الفعل</w:t>
      </w:r>
      <w:r w:rsidR="00603323" w:rsidRPr="00FD211F">
        <w:rPr>
          <w:sz w:val="36"/>
          <w:szCs w:val="36"/>
          <w:rtl/>
        </w:rPr>
        <w:t xml:space="preserve">، </w:t>
      </w:r>
      <w:r w:rsidRPr="00FD211F">
        <w:rPr>
          <w:sz w:val="36"/>
          <w:szCs w:val="36"/>
          <w:rtl/>
        </w:rPr>
        <w:t>ولاداعي لافتراض عدم تعلق النهي بالمسمى بما هو مسمى</w:t>
      </w:r>
      <w:r w:rsidR="00603323" w:rsidRPr="00FD211F">
        <w:rPr>
          <w:sz w:val="36"/>
          <w:szCs w:val="36"/>
          <w:rtl/>
        </w:rPr>
        <w:t xml:space="preserve">، </w:t>
      </w:r>
      <w:r w:rsidRPr="00FD211F">
        <w:rPr>
          <w:sz w:val="36"/>
          <w:szCs w:val="36"/>
          <w:rtl/>
        </w:rPr>
        <w:t>وكذا يكفي اعتبار عدم ابتلاء ذات الفعل بالمزاحم</w:t>
      </w:r>
      <w:r w:rsidR="00603323" w:rsidRPr="00FD211F">
        <w:rPr>
          <w:sz w:val="36"/>
          <w:szCs w:val="36"/>
          <w:rtl/>
        </w:rPr>
        <w:t xml:space="preserve">، </w:t>
      </w:r>
      <w:r w:rsidRPr="00FD211F">
        <w:rPr>
          <w:sz w:val="36"/>
          <w:szCs w:val="36"/>
          <w:rtl/>
        </w:rPr>
        <w:t>ولاداعي لافتراض عدم ابتلاء المسمى بما هو مسمى بالمزاحم</w:t>
      </w:r>
      <w:r w:rsidR="00603323" w:rsidRPr="00FD211F">
        <w:rPr>
          <w:sz w:val="36"/>
          <w:szCs w:val="36"/>
          <w:rtl/>
        </w:rPr>
        <w:t xml:space="preserve">، </w:t>
      </w:r>
      <w:r w:rsidRPr="00FD211F">
        <w:rPr>
          <w:sz w:val="36"/>
          <w:szCs w:val="36"/>
          <w:rtl/>
        </w:rPr>
        <w:t>فالمتحصل انه لامانع من اخذ عدم النهي عن ذات الفعل وكذا عدم المزاحم لها في المسمى</w:t>
      </w:r>
      <w:r w:rsidR="00603323" w:rsidRPr="00FD211F">
        <w:rPr>
          <w:sz w:val="36"/>
          <w:szCs w:val="36"/>
          <w:rtl/>
        </w:rPr>
        <w:t xml:space="preserve">، </w:t>
      </w:r>
      <w:r w:rsidRPr="00FD211F">
        <w:rPr>
          <w:sz w:val="36"/>
          <w:szCs w:val="36"/>
          <w:rtl/>
        </w:rPr>
        <w:t>ولاوجه لما في المحاضرات من عدم احتمال أخذ عدم النهي وعدم المزاحم لذات الفعل في المسمى.</w:t>
      </w:r>
    </w:p>
    <w:p w14:paraId="1F2A7CD5" w14:textId="77777777" w:rsidR="00052BF2" w:rsidRPr="00FD211F" w:rsidRDefault="00052BF2" w:rsidP="009C58C8">
      <w:pPr>
        <w:pStyle w:val="3"/>
        <w:ind w:firstLine="227"/>
        <w:jc w:val="both"/>
        <w:rPr>
          <w:rtl/>
        </w:rPr>
      </w:pPr>
      <w:bookmarkStart w:id="365" w:name="_Toc192092919"/>
      <w:bookmarkStart w:id="366" w:name="_Toc223890398"/>
      <w:r w:rsidRPr="00FD211F">
        <w:rPr>
          <w:rtl/>
        </w:rPr>
        <w:t>تصوير الجامع</w:t>
      </w:r>
      <w:bookmarkEnd w:id="365"/>
      <w:bookmarkEnd w:id="366"/>
    </w:p>
    <w:p w14:paraId="3C03CCDF" w14:textId="77777777" w:rsidR="00052BF2" w:rsidRPr="00FD211F" w:rsidRDefault="00052BF2" w:rsidP="009C58C8">
      <w:pPr>
        <w:ind w:left="0" w:firstLine="227"/>
        <w:jc w:val="both"/>
        <w:rPr>
          <w:sz w:val="36"/>
          <w:szCs w:val="36"/>
          <w:rtl/>
        </w:rPr>
      </w:pPr>
      <w:r w:rsidRPr="00FD211F">
        <w:rPr>
          <w:b/>
          <w:bCs/>
          <w:sz w:val="36"/>
          <w:szCs w:val="36"/>
          <w:rtl/>
        </w:rPr>
        <w:t>الجه</w:t>
      </w:r>
      <w:r w:rsidR="00EC7EDF" w:rsidRPr="00FD211F">
        <w:rPr>
          <w:b/>
          <w:bCs/>
          <w:sz w:val="36"/>
          <w:szCs w:val="36"/>
          <w:rtl/>
        </w:rPr>
        <w:t xml:space="preserve">ة </w:t>
      </w: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Pr="00FD211F">
        <w:rPr>
          <w:sz w:val="36"/>
          <w:szCs w:val="36"/>
          <w:rtl/>
        </w:rPr>
        <w:t xml:space="preserve"> لاينبغي الاشكال في ان الفاظ العبادات ليست من المشتركات اللفظي</w:t>
      </w:r>
      <w:r w:rsidR="00EC7EDF" w:rsidRPr="00FD211F">
        <w:rPr>
          <w:sz w:val="36"/>
          <w:szCs w:val="36"/>
          <w:rtl/>
        </w:rPr>
        <w:t xml:space="preserve">ة </w:t>
      </w:r>
      <w:r w:rsidRPr="00FD211F">
        <w:rPr>
          <w:sz w:val="36"/>
          <w:szCs w:val="36"/>
          <w:rtl/>
        </w:rPr>
        <w:t>بالنسب</w:t>
      </w:r>
      <w:r w:rsidR="00EC7EDF" w:rsidRPr="00FD211F">
        <w:rPr>
          <w:sz w:val="36"/>
          <w:szCs w:val="36"/>
          <w:rtl/>
        </w:rPr>
        <w:t xml:space="preserve">ة </w:t>
      </w:r>
      <w:r w:rsidRPr="00FD211F">
        <w:rPr>
          <w:sz w:val="36"/>
          <w:szCs w:val="36"/>
          <w:rtl/>
        </w:rPr>
        <w:t>الى مصاديقها المختلف</w:t>
      </w:r>
      <w:r w:rsidR="00EC7EDF" w:rsidRPr="00FD211F">
        <w:rPr>
          <w:sz w:val="36"/>
          <w:szCs w:val="36"/>
          <w:rtl/>
        </w:rPr>
        <w:t>ة</w:t>
      </w:r>
      <w:r w:rsidR="00603323" w:rsidRPr="00FD211F">
        <w:rPr>
          <w:sz w:val="36"/>
          <w:szCs w:val="36"/>
          <w:rtl/>
        </w:rPr>
        <w:t xml:space="preserve">، </w:t>
      </w:r>
      <w:r w:rsidRPr="00FD211F">
        <w:rPr>
          <w:sz w:val="36"/>
          <w:szCs w:val="36"/>
          <w:rtl/>
        </w:rPr>
        <w:t>فلفظ الصلا</w:t>
      </w:r>
      <w:r w:rsidR="00EC7EDF" w:rsidRPr="00FD211F">
        <w:rPr>
          <w:sz w:val="36"/>
          <w:szCs w:val="36"/>
          <w:rtl/>
        </w:rPr>
        <w:t xml:space="preserve">ة </w:t>
      </w:r>
      <w:r w:rsidRPr="00FD211F">
        <w:rPr>
          <w:sz w:val="36"/>
          <w:szCs w:val="36"/>
          <w:rtl/>
        </w:rPr>
        <w:t>مثلا ذو معنى واحد ويكون بمنزل</w:t>
      </w:r>
      <w:r w:rsidR="00EC7EDF" w:rsidRPr="00FD211F">
        <w:rPr>
          <w:sz w:val="36"/>
          <w:szCs w:val="36"/>
          <w:rtl/>
        </w:rPr>
        <w:t xml:space="preserve">ة </w:t>
      </w:r>
      <w:r w:rsidRPr="00FD211F">
        <w:rPr>
          <w:sz w:val="36"/>
          <w:szCs w:val="36"/>
          <w:rtl/>
        </w:rPr>
        <w:t>اسم الجنس لمصاديقه كصلا</w:t>
      </w:r>
      <w:r w:rsidR="00EC7EDF" w:rsidRPr="00FD211F">
        <w:rPr>
          <w:sz w:val="36"/>
          <w:szCs w:val="36"/>
          <w:rtl/>
        </w:rPr>
        <w:t xml:space="preserve">ة </w:t>
      </w:r>
      <w:r w:rsidRPr="00FD211F">
        <w:rPr>
          <w:sz w:val="36"/>
          <w:szCs w:val="36"/>
          <w:rtl/>
        </w:rPr>
        <w:t>الفجر والظهرين والعشائين او صلا</w:t>
      </w:r>
      <w:r w:rsidR="00EC7EDF" w:rsidRPr="00FD211F">
        <w:rPr>
          <w:sz w:val="36"/>
          <w:szCs w:val="36"/>
          <w:rtl/>
        </w:rPr>
        <w:t xml:space="preserve">ة </w:t>
      </w:r>
      <w:r w:rsidRPr="00FD211F">
        <w:rPr>
          <w:sz w:val="36"/>
          <w:szCs w:val="36"/>
          <w:rtl/>
        </w:rPr>
        <w:t>القصر والتمام</w:t>
      </w:r>
      <w:r w:rsidR="00603323" w:rsidRPr="00FD211F">
        <w:rPr>
          <w:sz w:val="36"/>
          <w:szCs w:val="36"/>
          <w:rtl/>
        </w:rPr>
        <w:t xml:space="preserve">، </w:t>
      </w:r>
      <w:r w:rsidRPr="00FD211F">
        <w:rPr>
          <w:sz w:val="36"/>
          <w:szCs w:val="36"/>
          <w:rtl/>
        </w:rPr>
        <w:t>او الصلا</w:t>
      </w:r>
      <w:r w:rsidR="00EC7EDF" w:rsidRPr="00FD211F">
        <w:rPr>
          <w:sz w:val="36"/>
          <w:szCs w:val="36"/>
          <w:rtl/>
        </w:rPr>
        <w:t xml:space="preserve">ة </w:t>
      </w:r>
      <w:r w:rsidRPr="00FD211F">
        <w:rPr>
          <w:sz w:val="36"/>
          <w:szCs w:val="36"/>
          <w:rtl/>
        </w:rPr>
        <w:t>مع الطهار</w:t>
      </w:r>
      <w:r w:rsidR="00EC7EDF" w:rsidRPr="00FD211F">
        <w:rPr>
          <w:sz w:val="36"/>
          <w:szCs w:val="36"/>
          <w:rtl/>
        </w:rPr>
        <w:t xml:space="preserve">ة </w:t>
      </w:r>
      <w:r w:rsidRPr="00FD211F">
        <w:rPr>
          <w:sz w:val="36"/>
          <w:szCs w:val="36"/>
          <w:rtl/>
        </w:rPr>
        <w:t>المائي</w:t>
      </w:r>
      <w:r w:rsidR="00EC7EDF" w:rsidRPr="00FD211F">
        <w:rPr>
          <w:sz w:val="36"/>
          <w:szCs w:val="36"/>
          <w:rtl/>
        </w:rPr>
        <w:t xml:space="preserve">ة </w:t>
      </w:r>
      <w:r w:rsidRPr="00FD211F">
        <w:rPr>
          <w:sz w:val="36"/>
          <w:szCs w:val="36"/>
          <w:rtl/>
        </w:rPr>
        <w:t>والصلا</w:t>
      </w:r>
      <w:r w:rsidR="00EC7EDF" w:rsidRPr="00FD211F">
        <w:rPr>
          <w:sz w:val="36"/>
          <w:szCs w:val="36"/>
          <w:rtl/>
        </w:rPr>
        <w:t xml:space="preserve">ة </w:t>
      </w:r>
      <w:r w:rsidRPr="00FD211F">
        <w:rPr>
          <w:sz w:val="36"/>
          <w:szCs w:val="36"/>
          <w:rtl/>
        </w:rPr>
        <w:t>مع الطهار</w:t>
      </w:r>
      <w:r w:rsidR="00EC7EDF" w:rsidRPr="00FD211F">
        <w:rPr>
          <w:sz w:val="36"/>
          <w:szCs w:val="36"/>
          <w:rtl/>
        </w:rPr>
        <w:t xml:space="preserve">ة </w:t>
      </w:r>
      <w:r w:rsidRPr="00FD211F">
        <w:rPr>
          <w:sz w:val="36"/>
          <w:szCs w:val="36"/>
          <w:rtl/>
        </w:rPr>
        <w:t>الترابي</w:t>
      </w:r>
      <w:r w:rsidR="00EC7EDF" w:rsidRPr="00FD211F">
        <w:rPr>
          <w:sz w:val="36"/>
          <w:szCs w:val="36"/>
          <w:rtl/>
        </w:rPr>
        <w:t>ة</w:t>
      </w:r>
      <w:r w:rsidR="00603323" w:rsidRPr="00FD211F">
        <w:rPr>
          <w:sz w:val="36"/>
          <w:szCs w:val="36"/>
          <w:rtl/>
        </w:rPr>
        <w:t xml:space="preserve">، </w:t>
      </w:r>
      <w:r w:rsidRPr="00FD211F">
        <w:rPr>
          <w:sz w:val="36"/>
          <w:szCs w:val="36"/>
          <w:rtl/>
        </w:rPr>
        <w:t>وحينئذ فيلزم على الصحيحي تصوير معنى جامع يشترك فيه جميع الافراد الصحيح</w:t>
      </w:r>
      <w:r w:rsidR="00EC7EDF" w:rsidRPr="00FD211F">
        <w:rPr>
          <w:sz w:val="36"/>
          <w:szCs w:val="36"/>
          <w:rtl/>
        </w:rPr>
        <w:t>ة</w:t>
      </w:r>
      <w:r w:rsidR="00603323" w:rsidRPr="00FD211F">
        <w:rPr>
          <w:sz w:val="36"/>
          <w:szCs w:val="36"/>
          <w:rtl/>
        </w:rPr>
        <w:t xml:space="preserve">، </w:t>
      </w:r>
      <w:r w:rsidRPr="00FD211F">
        <w:rPr>
          <w:sz w:val="36"/>
          <w:szCs w:val="36"/>
          <w:rtl/>
        </w:rPr>
        <w:t>ويلزم على الاعمي تصوير معنى جامع يشترك فيه الأفراد الأعم من الصحيح</w:t>
      </w:r>
      <w:r w:rsidR="00EC7EDF" w:rsidRPr="00FD211F">
        <w:rPr>
          <w:sz w:val="36"/>
          <w:szCs w:val="36"/>
          <w:rtl/>
        </w:rPr>
        <w:t xml:space="preserve">ة </w:t>
      </w:r>
      <w:r w:rsidRPr="00FD211F">
        <w:rPr>
          <w:sz w:val="36"/>
          <w:szCs w:val="36"/>
          <w:rtl/>
        </w:rPr>
        <w:t>والفاسد</w:t>
      </w:r>
      <w:r w:rsidR="00EC7EDF" w:rsidRPr="00FD211F">
        <w:rPr>
          <w:sz w:val="36"/>
          <w:szCs w:val="36"/>
          <w:rtl/>
        </w:rPr>
        <w:t>ة</w:t>
      </w:r>
      <w:r w:rsidR="00A61BAE" w:rsidRPr="00FD211F">
        <w:rPr>
          <w:sz w:val="36"/>
          <w:szCs w:val="36"/>
          <w:rtl/>
        </w:rPr>
        <w:t>.</w:t>
      </w:r>
    </w:p>
    <w:p w14:paraId="78D76A83" w14:textId="77777777" w:rsidR="000C5BBA" w:rsidRPr="00FD211F" w:rsidRDefault="00052BF2" w:rsidP="009C58C8">
      <w:pPr>
        <w:ind w:left="0" w:firstLine="227"/>
        <w:jc w:val="both"/>
        <w:rPr>
          <w:sz w:val="36"/>
          <w:szCs w:val="36"/>
          <w:rtl/>
        </w:rPr>
      </w:pPr>
      <w:r w:rsidRPr="00FD211F">
        <w:rPr>
          <w:sz w:val="36"/>
          <w:szCs w:val="36"/>
          <w:rtl/>
        </w:rPr>
        <w:t>ولكن حكي عن المحقق النائيني</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انه ادعى عدم ضرور</w:t>
      </w:r>
      <w:r w:rsidR="00EC7EDF" w:rsidRPr="00FD211F">
        <w:rPr>
          <w:sz w:val="36"/>
          <w:szCs w:val="36"/>
          <w:rtl/>
        </w:rPr>
        <w:t xml:space="preserve">ة </w:t>
      </w:r>
      <w:r w:rsidRPr="00FD211F">
        <w:rPr>
          <w:sz w:val="36"/>
          <w:szCs w:val="36"/>
          <w:rtl/>
        </w:rPr>
        <w:t>تدعو الى تصوير جامع على كلا المسلكين</w:t>
      </w:r>
      <w:r w:rsidR="00603323" w:rsidRPr="00FD211F">
        <w:rPr>
          <w:sz w:val="36"/>
          <w:szCs w:val="36"/>
          <w:rtl/>
        </w:rPr>
        <w:t xml:space="preserve">، </w:t>
      </w:r>
      <w:r w:rsidRPr="00FD211F">
        <w:rPr>
          <w:sz w:val="36"/>
          <w:szCs w:val="36"/>
          <w:rtl/>
        </w:rPr>
        <w:t>حيث لايبعد الالتزام بان الموضوع له للفظ الصلا</w:t>
      </w:r>
      <w:r w:rsidR="00EC7EDF" w:rsidRPr="00FD211F">
        <w:rPr>
          <w:sz w:val="36"/>
          <w:szCs w:val="36"/>
          <w:rtl/>
        </w:rPr>
        <w:t xml:space="preserve">ة </w:t>
      </w:r>
      <w:r w:rsidRPr="00FD211F">
        <w:rPr>
          <w:sz w:val="36"/>
          <w:szCs w:val="36"/>
          <w:rtl/>
        </w:rPr>
        <w:t>مثلا هو المرتب</w:t>
      </w:r>
      <w:r w:rsidR="00EC7EDF" w:rsidRPr="00FD211F">
        <w:rPr>
          <w:sz w:val="36"/>
          <w:szCs w:val="36"/>
          <w:rtl/>
        </w:rPr>
        <w:t xml:space="preserve">ة </w:t>
      </w:r>
      <w:r w:rsidRPr="00FD211F">
        <w:rPr>
          <w:sz w:val="36"/>
          <w:szCs w:val="36"/>
          <w:rtl/>
        </w:rPr>
        <w:t>العليا الواجد</w:t>
      </w:r>
      <w:r w:rsidR="00EC7EDF" w:rsidRPr="00FD211F">
        <w:rPr>
          <w:sz w:val="36"/>
          <w:szCs w:val="36"/>
          <w:rtl/>
        </w:rPr>
        <w:t xml:space="preserve">ة </w:t>
      </w:r>
      <w:r w:rsidRPr="00FD211F">
        <w:rPr>
          <w:sz w:val="36"/>
          <w:szCs w:val="36"/>
          <w:rtl/>
        </w:rPr>
        <w:t>لجميع الأجزاء والشرائط</w:t>
      </w:r>
      <w:r w:rsidR="00603323" w:rsidRPr="00FD211F">
        <w:rPr>
          <w:sz w:val="36"/>
          <w:szCs w:val="36"/>
          <w:rtl/>
        </w:rPr>
        <w:t xml:space="preserve">، </w:t>
      </w:r>
      <w:r w:rsidRPr="00FD211F">
        <w:rPr>
          <w:sz w:val="36"/>
          <w:szCs w:val="36"/>
          <w:rtl/>
        </w:rPr>
        <w:t>فان للصلا</w:t>
      </w:r>
      <w:r w:rsidR="00EC7EDF" w:rsidRPr="00FD211F">
        <w:rPr>
          <w:sz w:val="36"/>
          <w:szCs w:val="36"/>
          <w:rtl/>
        </w:rPr>
        <w:t xml:space="preserve">ة </w:t>
      </w:r>
      <w:r w:rsidRPr="00FD211F">
        <w:rPr>
          <w:sz w:val="36"/>
          <w:szCs w:val="36"/>
          <w:rtl/>
        </w:rPr>
        <w:t>مرتب</w:t>
      </w:r>
      <w:r w:rsidR="00EC7EDF" w:rsidRPr="00FD211F">
        <w:rPr>
          <w:sz w:val="36"/>
          <w:szCs w:val="36"/>
          <w:rtl/>
        </w:rPr>
        <w:t xml:space="preserve">ة </w:t>
      </w:r>
      <w:r w:rsidRPr="00FD211F">
        <w:rPr>
          <w:sz w:val="36"/>
          <w:szCs w:val="36"/>
          <w:rtl/>
        </w:rPr>
        <w:t>عليا وهي صلا</w:t>
      </w:r>
      <w:r w:rsidR="00EC7EDF" w:rsidRPr="00FD211F">
        <w:rPr>
          <w:sz w:val="36"/>
          <w:szCs w:val="36"/>
          <w:rtl/>
        </w:rPr>
        <w:t xml:space="preserve">ة </w:t>
      </w:r>
      <w:r w:rsidRPr="00FD211F">
        <w:rPr>
          <w:sz w:val="36"/>
          <w:szCs w:val="36"/>
          <w:rtl/>
        </w:rPr>
        <w:t>المختار ومرتب</w:t>
      </w:r>
      <w:r w:rsidR="00EC7EDF" w:rsidRPr="00FD211F">
        <w:rPr>
          <w:sz w:val="36"/>
          <w:szCs w:val="36"/>
          <w:rtl/>
        </w:rPr>
        <w:t xml:space="preserve">ة </w:t>
      </w:r>
      <w:r w:rsidRPr="00FD211F">
        <w:rPr>
          <w:sz w:val="36"/>
          <w:szCs w:val="36"/>
          <w:rtl/>
        </w:rPr>
        <w:t>دنيا وهي صلا</w:t>
      </w:r>
      <w:r w:rsidR="00EC7EDF" w:rsidRPr="00FD211F">
        <w:rPr>
          <w:sz w:val="36"/>
          <w:szCs w:val="36"/>
          <w:rtl/>
        </w:rPr>
        <w:t xml:space="preserve">ة </w:t>
      </w:r>
      <w:r w:rsidRPr="00FD211F">
        <w:rPr>
          <w:sz w:val="36"/>
          <w:szCs w:val="36"/>
          <w:rtl/>
        </w:rPr>
        <w:t>الغرقى</w:t>
      </w:r>
      <w:r w:rsidR="00603323" w:rsidRPr="00FD211F">
        <w:rPr>
          <w:sz w:val="36"/>
          <w:szCs w:val="36"/>
          <w:rtl/>
        </w:rPr>
        <w:t xml:space="preserve">، </w:t>
      </w:r>
      <w:r w:rsidRPr="00FD211F">
        <w:rPr>
          <w:sz w:val="36"/>
          <w:szCs w:val="36"/>
          <w:rtl/>
        </w:rPr>
        <w:t>وبينهما متوسطات</w:t>
      </w:r>
      <w:r w:rsidR="00603323" w:rsidRPr="00FD211F">
        <w:rPr>
          <w:sz w:val="36"/>
          <w:szCs w:val="36"/>
          <w:rtl/>
        </w:rPr>
        <w:t xml:space="preserve">، </w:t>
      </w:r>
      <w:r w:rsidRPr="00FD211F">
        <w:rPr>
          <w:sz w:val="36"/>
          <w:szCs w:val="36"/>
          <w:rtl/>
        </w:rPr>
        <w:t>فلفظ الصلا</w:t>
      </w:r>
      <w:r w:rsidR="00EC7EDF" w:rsidRPr="00FD211F">
        <w:rPr>
          <w:sz w:val="36"/>
          <w:szCs w:val="36"/>
          <w:rtl/>
        </w:rPr>
        <w:t xml:space="preserve">ة </w:t>
      </w:r>
      <w:r w:rsidRPr="00FD211F">
        <w:rPr>
          <w:sz w:val="36"/>
          <w:szCs w:val="36"/>
          <w:rtl/>
        </w:rPr>
        <w:t>قد وضع للمرتب</w:t>
      </w:r>
      <w:r w:rsidR="00EC7EDF" w:rsidRPr="00FD211F">
        <w:rPr>
          <w:sz w:val="36"/>
          <w:szCs w:val="36"/>
          <w:rtl/>
        </w:rPr>
        <w:t xml:space="preserve">ة </w:t>
      </w:r>
      <w:r w:rsidRPr="00FD211F">
        <w:rPr>
          <w:sz w:val="36"/>
          <w:szCs w:val="36"/>
          <w:rtl/>
        </w:rPr>
        <w:t>الع</w:t>
      </w:r>
      <w:r w:rsidR="001D1F79" w:rsidRPr="00FD211F">
        <w:rPr>
          <w:sz w:val="36"/>
          <w:szCs w:val="36"/>
          <w:rtl/>
        </w:rPr>
        <w:t>الي</w:t>
      </w:r>
      <w:r w:rsidR="00EC7EDF" w:rsidRPr="00FD211F">
        <w:rPr>
          <w:sz w:val="36"/>
          <w:szCs w:val="36"/>
          <w:rtl/>
        </w:rPr>
        <w:t xml:space="preserve">ة </w:t>
      </w:r>
      <w:r w:rsidRPr="00FD211F">
        <w:rPr>
          <w:sz w:val="36"/>
          <w:szCs w:val="36"/>
          <w:rtl/>
        </w:rPr>
        <w:t>على كلا المسلكين</w:t>
      </w:r>
      <w:r w:rsidR="00603323" w:rsidRPr="00FD211F">
        <w:rPr>
          <w:sz w:val="36"/>
          <w:szCs w:val="36"/>
          <w:rtl/>
        </w:rPr>
        <w:t xml:space="preserve">، </w:t>
      </w:r>
      <w:r w:rsidRPr="00FD211F">
        <w:rPr>
          <w:sz w:val="36"/>
          <w:szCs w:val="36"/>
          <w:rtl/>
        </w:rPr>
        <w:t>واستعماله في المراتب النازل</w:t>
      </w:r>
      <w:r w:rsidR="00EC7EDF" w:rsidRPr="00FD211F">
        <w:rPr>
          <w:sz w:val="36"/>
          <w:szCs w:val="36"/>
          <w:rtl/>
        </w:rPr>
        <w:t xml:space="preserve">ة </w:t>
      </w:r>
      <w:r w:rsidRPr="00FD211F">
        <w:rPr>
          <w:sz w:val="36"/>
          <w:szCs w:val="36"/>
          <w:rtl/>
        </w:rPr>
        <w:t>انما يكون من باب الادعاء او من با</w:t>
      </w:r>
      <w:r w:rsidR="00E50E61" w:rsidRPr="00FD211F">
        <w:rPr>
          <w:sz w:val="36"/>
          <w:szCs w:val="36"/>
          <w:rtl/>
        </w:rPr>
        <w:t>ب الاشتراك في الأثر.</w:t>
      </w:r>
    </w:p>
    <w:p w14:paraId="7B1E2C2E" w14:textId="77777777" w:rsidR="000C5BBA" w:rsidRPr="00FD211F" w:rsidRDefault="00E50E61" w:rsidP="009C58C8">
      <w:pPr>
        <w:ind w:left="0" w:firstLine="227"/>
        <w:jc w:val="both"/>
        <w:rPr>
          <w:sz w:val="36"/>
          <w:szCs w:val="36"/>
          <w:rtl/>
        </w:rPr>
      </w:pPr>
      <w:r w:rsidRPr="00FD211F">
        <w:rPr>
          <w:sz w:val="36"/>
          <w:szCs w:val="36"/>
          <w:rtl/>
        </w:rPr>
        <w:t>فالصحيحي يرى</w:t>
      </w:r>
      <w:r w:rsidR="00052BF2" w:rsidRPr="00FD211F">
        <w:rPr>
          <w:sz w:val="36"/>
          <w:szCs w:val="36"/>
          <w:rtl/>
        </w:rPr>
        <w:t xml:space="preserve"> ان استعمال لفظ الصلا</w:t>
      </w:r>
      <w:r w:rsidR="00EC7EDF" w:rsidRPr="00FD211F">
        <w:rPr>
          <w:sz w:val="36"/>
          <w:szCs w:val="36"/>
          <w:rtl/>
        </w:rPr>
        <w:t xml:space="preserve">ة </w:t>
      </w:r>
      <w:r w:rsidR="00052BF2" w:rsidRPr="00FD211F">
        <w:rPr>
          <w:sz w:val="36"/>
          <w:szCs w:val="36"/>
          <w:rtl/>
        </w:rPr>
        <w:t>في بقي</w:t>
      </w:r>
      <w:r w:rsidR="00EC7EDF" w:rsidRPr="00FD211F">
        <w:rPr>
          <w:sz w:val="36"/>
          <w:szCs w:val="36"/>
          <w:rtl/>
        </w:rPr>
        <w:t xml:space="preserve">ة </w:t>
      </w:r>
      <w:r w:rsidR="00052BF2" w:rsidRPr="00FD211F">
        <w:rPr>
          <w:sz w:val="36"/>
          <w:szCs w:val="36"/>
          <w:rtl/>
        </w:rPr>
        <w:t>المراتب الصحيح</w:t>
      </w:r>
      <w:r w:rsidR="00EC7EDF" w:rsidRPr="00FD211F">
        <w:rPr>
          <w:sz w:val="36"/>
          <w:szCs w:val="36"/>
          <w:rtl/>
        </w:rPr>
        <w:t xml:space="preserve">ة </w:t>
      </w:r>
      <w:r w:rsidR="00052BF2" w:rsidRPr="00FD211F">
        <w:rPr>
          <w:sz w:val="36"/>
          <w:szCs w:val="36"/>
          <w:rtl/>
        </w:rPr>
        <w:t xml:space="preserve">إما من باب الادعاء وتنزيل الفاقد للجزء </w:t>
      </w:r>
      <w:r w:rsidRPr="00FD211F">
        <w:rPr>
          <w:sz w:val="36"/>
          <w:szCs w:val="36"/>
          <w:rtl/>
        </w:rPr>
        <w:t>الاختياري مثلا</w:t>
      </w:r>
      <w:r w:rsidR="00052BF2" w:rsidRPr="00FD211F">
        <w:rPr>
          <w:sz w:val="36"/>
          <w:szCs w:val="36"/>
          <w:rtl/>
        </w:rPr>
        <w:t xml:space="preserve"> منزل</w:t>
      </w:r>
      <w:r w:rsidR="00EC7EDF" w:rsidRPr="00FD211F">
        <w:rPr>
          <w:sz w:val="36"/>
          <w:szCs w:val="36"/>
          <w:rtl/>
        </w:rPr>
        <w:t xml:space="preserve">ة </w:t>
      </w:r>
      <w:r w:rsidR="00052BF2" w:rsidRPr="00FD211F">
        <w:rPr>
          <w:sz w:val="36"/>
          <w:szCs w:val="36"/>
          <w:rtl/>
        </w:rPr>
        <w:t>الواجد له</w:t>
      </w:r>
      <w:r w:rsidR="00B253CE" w:rsidRPr="00FD211F">
        <w:rPr>
          <w:sz w:val="36"/>
          <w:szCs w:val="36"/>
          <w:rtl/>
        </w:rPr>
        <w:t xml:space="preserve"> </w:t>
      </w:r>
      <w:r w:rsidR="00052BF2" w:rsidRPr="00FD211F">
        <w:rPr>
          <w:sz w:val="36"/>
          <w:szCs w:val="36"/>
          <w:rtl/>
        </w:rPr>
        <w:t>مسامح</w:t>
      </w:r>
      <w:r w:rsidR="00EC7EDF" w:rsidRPr="00FD211F">
        <w:rPr>
          <w:sz w:val="36"/>
          <w:szCs w:val="36"/>
          <w:rtl/>
        </w:rPr>
        <w:t xml:space="preserve">ة </w:t>
      </w:r>
      <w:r w:rsidR="00052BF2" w:rsidRPr="00FD211F">
        <w:rPr>
          <w:sz w:val="36"/>
          <w:szCs w:val="36"/>
          <w:rtl/>
        </w:rPr>
        <w:t>فيما يصح فيه هذا الادعاء والتنزيل او يكون من باب الاشتراك في الأثر واكتفاء الشارع به في مقام الامتثال كما في صلا</w:t>
      </w:r>
      <w:r w:rsidR="00EC7EDF" w:rsidRPr="00FD211F">
        <w:rPr>
          <w:sz w:val="36"/>
          <w:szCs w:val="36"/>
          <w:rtl/>
        </w:rPr>
        <w:t xml:space="preserve">ة </w:t>
      </w:r>
      <w:r w:rsidR="00052BF2" w:rsidRPr="00FD211F">
        <w:rPr>
          <w:sz w:val="36"/>
          <w:szCs w:val="36"/>
          <w:rtl/>
        </w:rPr>
        <w:t>ال</w:t>
      </w:r>
      <w:r w:rsidRPr="00FD211F">
        <w:rPr>
          <w:sz w:val="36"/>
          <w:szCs w:val="36"/>
          <w:rtl/>
        </w:rPr>
        <w:t>غرقي</w:t>
      </w:r>
      <w:r w:rsidR="00603323" w:rsidRPr="00FD211F">
        <w:rPr>
          <w:sz w:val="36"/>
          <w:szCs w:val="36"/>
          <w:rtl/>
        </w:rPr>
        <w:t xml:space="preserve">، </w:t>
      </w:r>
      <w:r w:rsidRPr="00FD211F">
        <w:rPr>
          <w:sz w:val="36"/>
          <w:szCs w:val="36"/>
          <w:rtl/>
        </w:rPr>
        <w:t>فانه لايمكن فيها الالتزام ب</w:t>
      </w:r>
      <w:r w:rsidR="00052BF2" w:rsidRPr="00FD211F">
        <w:rPr>
          <w:sz w:val="36"/>
          <w:szCs w:val="36"/>
          <w:rtl/>
        </w:rPr>
        <w:t>تنزيل</w:t>
      </w:r>
      <w:r w:rsidRPr="00FD211F">
        <w:rPr>
          <w:sz w:val="36"/>
          <w:szCs w:val="36"/>
          <w:rtl/>
        </w:rPr>
        <w:t>هامنزل</w:t>
      </w:r>
      <w:r w:rsidR="00EC7EDF" w:rsidRPr="00FD211F">
        <w:rPr>
          <w:sz w:val="36"/>
          <w:szCs w:val="36"/>
          <w:rtl/>
        </w:rPr>
        <w:t xml:space="preserve">ة </w:t>
      </w:r>
      <w:r w:rsidRPr="00FD211F">
        <w:rPr>
          <w:sz w:val="36"/>
          <w:szCs w:val="36"/>
          <w:rtl/>
        </w:rPr>
        <w:t>المرتب</w:t>
      </w:r>
      <w:r w:rsidR="00EC7EDF" w:rsidRPr="00FD211F">
        <w:rPr>
          <w:sz w:val="36"/>
          <w:szCs w:val="36"/>
          <w:rtl/>
        </w:rPr>
        <w:t xml:space="preserve">ة </w:t>
      </w:r>
      <w:r w:rsidRPr="00FD211F">
        <w:rPr>
          <w:sz w:val="36"/>
          <w:szCs w:val="36"/>
          <w:rtl/>
        </w:rPr>
        <w:t>العالي</w:t>
      </w:r>
      <w:r w:rsidR="00EC7EDF" w:rsidRPr="00FD211F">
        <w:rPr>
          <w:sz w:val="36"/>
          <w:szCs w:val="36"/>
          <w:rtl/>
        </w:rPr>
        <w:t xml:space="preserve">ة </w:t>
      </w:r>
      <w:r w:rsidRPr="00FD211F">
        <w:rPr>
          <w:sz w:val="36"/>
          <w:szCs w:val="36"/>
          <w:rtl/>
        </w:rPr>
        <w:t>اي الصلا</w:t>
      </w:r>
      <w:r w:rsidR="00EC7EDF" w:rsidRPr="00FD211F">
        <w:rPr>
          <w:sz w:val="36"/>
          <w:szCs w:val="36"/>
          <w:rtl/>
        </w:rPr>
        <w:t xml:space="preserve">ة </w:t>
      </w:r>
      <w:r w:rsidRPr="00FD211F">
        <w:rPr>
          <w:sz w:val="36"/>
          <w:szCs w:val="36"/>
          <w:rtl/>
        </w:rPr>
        <w:t>الاختياري</w:t>
      </w:r>
      <w:r w:rsidR="00EC7EDF" w:rsidRPr="00FD211F">
        <w:rPr>
          <w:sz w:val="36"/>
          <w:szCs w:val="36"/>
          <w:rtl/>
        </w:rPr>
        <w:t xml:space="preserve">ة </w:t>
      </w:r>
      <w:r w:rsidRPr="00FD211F">
        <w:rPr>
          <w:sz w:val="36"/>
          <w:szCs w:val="36"/>
          <w:rtl/>
        </w:rPr>
        <w:t>الواجد</w:t>
      </w:r>
      <w:r w:rsidR="00EC7EDF" w:rsidRPr="00FD211F">
        <w:rPr>
          <w:sz w:val="36"/>
          <w:szCs w:val="36"/>
          <w:rtl/>
        </w:rPr>
        <w:t xml:space="preserve">ة </w:t>
      </w:r>
      <w:r w:rsidRPr="00FD211F">
        <w:rPr>
          <w:sz w:val="36"/>
          <w:szCs w:val="36"/>
          <w:rtl/>
        </w:rPr>
        <w:t>لجميع الاجزاء والشرائط وادعاء أنهاهي</w:t>
      </w:r>
      <w:r w:rsidR="00210474" w:rsidRPr="00FD211F">
        <w:rPr>
          <w:sz w:val="36"/>
          <w:szCs w:val="36"/>
          <w:rtl/>
        </w:rPr>
        <w:t xml:space="preserve"> المرتبة العالية</w:t>
      </w:r>
      <w:r w:rsidR="00603323" w:rsidRPr="00FD211F">
        <w:rPr>
          <w:sz w:val="36"/>
          <w:szCs w:val="36"/>
          <w:rtl/>
        </w:rPr>
        <w:t xml:space="preserve">، </w:t>
      </w:r>
      <w:r w:rsidR="00210474" w:rsidRPr="00FD211F">
        <w:rPr>
          <w:sz w:val="36"/>
          <w:szCs w:val="36"/>
          <w:rtl/>
        </w:rPr>
        <w:t>وذلك</w:t>
      </w:r>
      <w:r w:rsidR="00C7588D" w:rsidRPr="00FD211F">
        <w:rPr>
          <w:sz w:val="36"/>
          <w:szCs w:val="36"/>
          <w:rtl/>
        </w:rPr>
        <w:t xml:space="preserve"> </w:t>
      </w:r>
      <w:r w:rsidR="00052BF2" w:rsidRPr="00FD211F">
        <w:rPr>
          <w:sz w:val="36"/>
          <w:szCs w:val="36"/>
          <w:rtl/>
        </w:rPr>
        <w:t>لفقدها لمعظم أجزاء المرتب</w:t>
      </w:r>
      <w:r w:rsidR="00EC7EDF" w:rsidRPr="00FD211F">
        <w:rPr>
          <w:sz w:val="36"/>
          <w:szCs w:val="36"/>
          <w:rtl/>
        </w:rPr>
        <w:t xml:space="preserve">ة </w:t>
      </w:r>
      <w:r w:rsidR="00052BF2" w:rsidRPr="00FD211F">
        <w:rPr>
          <w:sz w:val="36"/>
          <w:szCs w:val="36"/>
          <w:rtl/>
        </w:rPr>
        <w:t>العالي</w:t>
      </w:r>
      <w:r w:rsidR="00EC7EDF" w:rsidRPr="00FD211F">
        <w:rPr>
          <w:sz w:val="36"/>
          <w:szCs w:val="36"/>
          <w:rtl/>
        </w:rPr>
        <w:t>ة</w:t>
      </w:r>
      <w:r w:rsidR="00603323" w:rsidRPr="00FD211F">
        <w:rPr>
          <w:sz w:val="36"/>
          <w:szCs w:val="36"/>
          <w:rtl/>
        </w:rPr>
        <w:t xml:space="preserve">، </w:t>
      </w:r>
      <w:r w:rsidR="00052BF2" w:rsidRPr="00FD211F">
        <w:rPr>
          <w:sz w:val="36"/>
          <w:szCs w:val="36"/>
          <w:rtl/>
        </w:rPr>
        <w:t>ولكن يطلق عليها اسم الصلا</w:t>
      </w:r>
      <w:r w:rsidR="00EC7EDF" w:rsidRPr="00FD211F">
        <w:rPr>
          <w:sz w:val="36"/>
          <w:szCs w:val="36"/>
          <w:rtl/>
        </w:rPr>
        <w:t xml:space="preserve">ة </w:t>
      </w:r>
      <w:r w:rsidR="00052BF2" w:rsidRPr="00FD211F">
        <w:rPr>
          <w:sz w:val="36"/>
          <w:szCs w:val="36"/>
          <w:rtl/>
        </w:rPr>
        <w:t>لاش</w:t>
      </w:r>
      <w:r w:rsidRPr="00FD211F">
        <w:rPr>
          <w:sz w:val="36"/>
          <w:szCs w:val="36"/>
          <w:rtl/>
        </w:rPr>
        <w:t>تراكها مع صلا</w:t>
      </w:r>
      <w:r w:rsidR="00EC7EDF" w:rsidRPr="00FD211F">
        <w:rPr>
          <w:sz w:val="36"/>
          <w:szCs w:val="36"/>
          <w:rtl/>
        </w:rPr>
        <w:t xml:space="preserve">ة </w:t>
      </w:r>
      <w:r w:rsidRPr="00FD211F">
        <w:rPr>
          <w:sz w:val="36"/>
          <w:szCs w:val="36"/>
          <w:rtl/>
        </w:rPr>
        <w:t>المختار في الأثر.</w:t>
      </w:r>
    </w:p>
    <w:p w14:paraId="4F91E602" w14:textId="77777777" w:rsidR="000C5BBA" w:rsidRPr="00FD211F" w:rsidRDefault="00E50E61" w:rsidP="009C58C8">
      <w:pPr>
        <w:ind w:left="0" w:firstLine="227"/>
        <w:jc w:val="both"/>
        <w:rPr>
          <w:sz w:val="36"/>
          <w:szCs w:val="36"/>
          <w:rtl/>
        </w:rPr>
      </w:pPr>
      <w:r w:rsidRPr="00FD211F">
        <w:rPr>
          <w:sz w:val="36"/>
          <w:szCs w:val="36"/>
          <w:rtl/>
        </w:rPr>
        <w:t>والاعمي يرى</w:t>
      </w:r>
      <w:r w:rsidR="00052BF2" w:rsidRPr="00FD211F">
        <w:rPr>
          <w:sz w:val="36"/>
          <w:szCs w:val="36"/>
          <w:rtl/>
        </w:rPr>
        <w:t xml:space="preserve"> ان استعمال</w:t>
      </w:r>
      <w:r w:rsidRPr="00FD211F">
        <w:rPr>
          <w:sz w:val="36"/>
          <w:szCs w:val="36"/>
          <w:rtl/>
        </w:rPr>
        <w:t xml:space="preserve"> لفظ الصلا</w:t>
      </w:r>
      <w:r w:rsidR="00EC7EDF" w:rsidRPr="00FD211F">
        <w:rPr>
          <w:sz w:val="36"/>
          <w:szCs w:val="36"/>
          <w:rtl/>
        </w:rPr>
        <w:t xml:space="preserve">ة </w:t>
      </w:r>
      <w:r w:rsidR="00052BF2" w:rsidRPr="00FD211F">
        <w:rPr>
          <w:sz w:val="36"/>
          <w:szCs w:val="36"/>
          <w:rtl/>
        </w:rPr>
        <w:t>في المراتب النازل</w:t>
      </w:r>
      <w:r w:rsidR="00EC7EDF" w:rsidRPr="00FD211F">
        <w:rPr>
          <w:sz w:val="36"/>
          <w:szCs w:val="36"/>
          <w:rtl/>
        </w:rPr>
        <w:t xml:space="preserve">ة </w:t>
      </w:r>
      <w:r w:rsidR="00052BF2" w:rsidRPr="00FD211F">
        <w:rPr>
          <w:sz w:val="36"/>
          <w:szCs w:val="36"/>
          <w:rtl/>
        </w:rPr>
        <w:t>الاعم من الصحيح</w:t>
      </w:r>
      <w:r w:rsidR="00EC7EDF" w:rsidRPr="00FD211F">
        <w:rPr>
          <w:sz w:val="36"/>
          <w:szCs w:val="36"/>
          <w:rtl/>
        </w:rPr>
        <w:t xml:space="preserve">ة </w:t>
      </w:r>
      <w:r w:rsidR="00052BF2" w:rsidRPr="00FD211F">
        <w:rPr>
          <w:sz w:val="36"/>
          <w:szCs w:val="36"/>
          <w:rtl/>
        </w:rPr>
        <w:t>والفاسد</w:t>
      </w:r>
      <w:r w:rsidR="00EC7EDF" w:rsidRPr="00FD211F">
        <w:rPr>
          <w:sz w:val="36"/>
          <w:szCs w:val="36"/>
          <w:rtl/>
        </w:rPr>
        <w:t xml:space="preserve">ة </w:t>
      </w:r>
      <w:r w:rsidR="00052BF2" w:rsidRPr="00FD211F">
        <w:rPr>
          <w:sz w:val="36"/>
          <w:szCs w:val="36"/>
          <w:rtl/>
        </w:rPr>
        <w:t>من باب الادعاء والتنزيل او من باب الاشتراك في الأثر</w:t>
      </w:r>
      <w:r w:rsidR="00603323" w:rsidRPr="00FD211F">
        <w:rPr>
          <w:sz w:val="36"/>
          <w:szCs w:val="36"/>
          <w:rtl/>
        </w:rPr>
        <w:t xml:space="preserve">، </w:t>
      </w:r>
      <w:r w:rsidR="00052BF2" w:rsidRPr="00FD211F">
        <w:rPr>
          <w:sz w:val="36"/>
          <w:szCs w:val="36"/>
          <w:rtl/>
        </w:rPr>
        <w:t>فاطلاق لفظ الصلا</w:t>
      </w:r>
      <w:r w:rsidR="00EC7EDF" w:rsidRPr="00FD211F">
        <w:rPr>
          <w:sz w:val="36"/>
          <w:szCs w:val="36"/>
          <w:rtl/>
        </w:rPr>
        <w:t xml:space="preserve">ة </w:t>
      </w:r>
      <w:r w:rsidR="00052BF2" w:rsidRPr="00FD211F">
        <w:rPr>
          <w:sz w:val="36"/>
          <w:szCs w:val="36"/>
          <w:rtl/>
        </w:rPr>
        <w:t>على الصلا</w:t>
      </w:r>
      <w:r w:rsidR="00EC7EDF" w:rsidRPr="00FD211F">
        <w:rPr>
          <w:sz w:val="36"/>
          <w:szCs w:val="36"/>
          <w:rtl/>
        </w:rPr>
        <w:t xml:space="preserve">ة </w:t>
      </w:r>
      <w:r w:rsidR="00052BF2" w:rsidRPr="00FD211F">
        <w:rPr>
          <w:sz w:val="36"/>
          <w:szCs w:val="36"/>
          <w:rtl/>
        </w:rPr>
        <w:t>الصحيح</w:t>
      </w:r>
      <w:r w:rsidR="00EC7EDF" w:rsidRPr="00FD211F">
        <w:rPr>
          <w:sz w:val="36"/>
          <w:szCs w:val="36"/>
          <w:rtl/>
        </w:rPr>
        <w:t xml:space="preserve">ة </w:t>
      </w:r>
      <w:r w:rsidR="00052BF2" w:rsidRPr="00FD211F">
        <w:rPr>
          <w:sz w:val="36"/>
          <w:szCs w:val="36"/>
          <w:rtl/>
        </w:rPr>
        <w:t>للغرقى يكون لأجل اجتزاء الشارع بها في مقام الامتثال</w:t>
      </w:r>
      <w:r w:rsidR="00603323" w:rsidRPr="00FD211F">
        <w:rPr>
          <w:sz w:val="36"/>
          <w:szCs w:val="36"/>
          <w:rtl/>
        </w:rPr>
        <w:t xml:space="preserve">، </w:t>
      </w:r>
      <w:r w:rsidR="00052BF2" w:rsidRPr="00FD211F">
        <w:rPr>
          <w:sz w:val="36"/>
          <w:szCs w:val="36"/>
          <w:rtl/>
        </w:rPr>
        <w:t>واطلاقها على الصلا</w:t>
      </w:r>
      <w:r w:rsidR="00EC7EDF" w:rsidRPr="00FD211F">
        <w:rPr>
          <w:sz w:val="36"/>
          <w:szCs w:val="36"/>
          <w:rtl/>
        </w:rPr>
        <w:t xml:space="preserve">ة </w:t>
      </w:r>
      <w:r w:rsidR="00052BF2" w:rsidRPr="00FD211F">
        <w:rPr>
          <w:sz w:val="36"/>
          <w:szCs w:val="36"/>
          <w:rtl/>
        </w:rPr>
        <w:t>الفاسد</w:t>
      </w:r>
      <w:r w:rsidR="00EC7EDF" w:rsidRPr="00FD211F">
        <w:rPr>
          <w:sz w:val="36"/>
          <w:szCs w:val="36"/>
          <w:rtl/>
        </w:rPr>
        <w:t xml:space="preserve">ة </w:t>
      </w:r>
      <w:r w:rsidR="00052BF2" w:rsidRPr="00FD211F">
        <w:rPr>
          <w:sz w:val="36"/>
          <w:szCs w:val="36"/>
          <w:rtl/>
        </w:rPr>
        <w:t>للغرقى يكون من باب تنزيلها منزل</w:t>
      </w:r>
      <w:r w:rsidR="00EC7EDF" w:rsidRPr="00FD211F">
        <w:rPr>
          <w:sz w:val="36"/>
          <w:szCs w:val="36"/>
          <w:rtl/>
        </w:rPr>
        <w:t xml:space="preserve">ة </w:t>
      </w:r>
      <w:r w:rsidR="00052BF2" w:rsidRPr="00FD211F">
        <w:rPr>
          <w:sz w:val="36"/>
          <w:szCs w:val="36"/>
          <w:rtl/>
        </w:rPr>
        <w:t>الصلا</w:t>
      </w:r>
      <w:r w:rsidR="00EC7EDF" w:rsidRPr="00FD211F">
        <w:rPr>
          <w:sz w:val="36"/>
          <w:szCs w:val="36"/>
          <w:rtl/>
        </w:rPr>
        <w:t xml:space="preserve">ة </w:t>
      </w:r>
      <w:r w:rsidR="00052BF2" w:rsidRPr="00FD211F">
        <w:rPr>
          <w:sz w:val="36"/>
          <w:szCs w:val="36"/>
          <w:rtl/>
        </w:rPr>
        <w:t>الصحيح</w:t>
      </w:r>
      <w:r w:rsidR="00EC7EDF" w:rsidRPr="00FD211F">
        <w:rPr>
          <w:sz w:val="36"/>
          <w:szCs w:val="36"/>
          <w:rtl/>
        </w:rPr>
        <w:t xml:space="preserve">ة </w:t>
      </w:r>
      <w:r w:rsidR="00052BF2" w:rsidRPr="00FD211F">
        <w:rPr>
          <w:sz w:val="36"/>
          <w:szCs w:val="36"/>
          <w:rtl/>
        </w:rPr>
        <w:t>للغرقى من دون استعمال للفظ الصلا</w:t>
      </w:r>
      <w:r w:rsidR="00EC7EDF" w:rsidRPr="00FD211F">
        <w:rPr>
          <w:sz w:val="36"/>
          <w:szCs w:val="36"/>
          <w:rtl/>
        </w:rPr>
        <w:t xml:space="preserve">ة </w:t>
      </w:r>
      <w:r w:rsidR="00052BF2" w:rsidRPr="00FD211F">
        <w:rPr>
          <w:sz w:val="36"/>
          <w:szCs w:val="36"/>
          <w:rtl/>
        </w:rPr>
        <w:t>في غير معنا</w:t>
      </w:r>
      <w:r w:rsidR="00804544" w:rsidRPr="00FD211F">
        <w:rPr>
          <w:sz w:val="36"/>
          <w:szCs w:val="36"/>
          <w:rtl/>
        </w:rPr>
        <w:t>ه الموضوع له</w:t>
      </w:r>
      <w:r w:rsidR="00603323" w:rsidRPr="00FD211F">
        <w:rPr>
          <w:sz w:val="36"/>
          <w:szCs w:val="36"/>
          <w:rtl/>
        </w:rPr>
        <w:t xml:space="preserve">، </w:t>
      </w:r>
      <w:r w:rsidR="00804544" w:rsidRPr="00FD211F">
        <w:rPr>
          <w:sz w:val="36"/>
          <w:szCs w:val="36"/>
          <w:rtl/>
        </w:rPr>
        <w:t>وهو المرتب</w:t>
      </w:r>
      <w:r w:rsidR="00EC7EDF" w:rsidRPr="00FD211F">
        <w:rPr>
          <w:sz w:val="36"/>
          <w:szCs w:val="36"/>
          <w:rtl/>
        </w:rPr>
        <w:t xml:space="preserve">ة </w:t>
      </w:r>
      <w:r w:rsidR="00804544" w:rsidRPr="00FD211F">
        <w:rPr>
          <w:sz w:val="36"/>
          <w:szCs w:val="36"/>
          <w:rtl/>
        </w:rPr>
        <w:t>العليا</w:t>
      </w:r>
      <w:r w:rsidR="00052BF2" w:rsidRPr="00FD211F">
        <w:rPr>
          <w:sz w:val="36"/>
          <w:szCs w:val="36"/>
          <w:rtl/>
        </w:rPr>
        <w:t xml:space="preserve"> الواجد</w:t>
      </w:r>
      <w:r w:rsidR="00EC7EDF" w:rsidRPr="00FD211F">
        <w:rPr>
          <w:sz w:val="36"/>
          <w:szCs w:val="36"/>
          <w:rtl/>
        </w:rPr>
        <w:t xml:space="preserve">ة </w:t>
      </w:r>
      <w:r w:rsidR="00052BF2" w:rsidRPr="00FD211F">
        <w:rPr>
          <w:sz w:val="36"/>
          <w:szCs w:val="36"/>
          <w:rtl/>
        </w:rPr>
        <w:t>لتمام الأجزاء والشرائط</w:t>
      </w:r>
      <w:r w:rsidR="00603323" w:rsidRPr="00FD211F">
        <w:rPr>
          <w:sz w:val="36"/>
          <w:szCs w:val="36"/>
          <w:rtl/>
        </w:rPr>
        <w:t xml:space="preserve">، </w:t>
      </w:r>
      <w:r w:rsidR="00052BF2" w:rsidRPr="00FD211F">
        <w:rPr>
          <w:sz w:val="36"/>
          <w:szCs w:val="36"/>
          <w:rtl/>
        </w:rPr>
        <w:t>والحال في سائر المركبات الاختراعي</w:t>
      </w:r>
      <w:r w:rsidR="00EC7EDF" w:rsidRPr="00FD211F">
        <w:rPr>
          <w:sz w:val="36"/>
          <w:szCs w:val="36"/>
          <w:rtl/>
        </w:rPr>
        <w:t xml:space="preserve">ة </w:t>
      </w:r>
      <w:r w:rsidR="00052BF2" w:rsidRPr="00FD211F">
        <w:rPr>
          <w:sz w:val="36"/>
          <w:szCs w:val="36"/>
          <w:rtl/>
        </w:rPr>
        <w:t>ايضا كذلك</w:t>
      </w:r>
      <w:r w:rsidR="00603323" w:rsidRPr="00FD211F">
        <w:rPr>
          <w:sz w:val="36"/>
          <w:szCs w:val="36"/>
          <w:rtl/>
        </w:rPr>
        <w:t xml:space="preserve">، </w:t>
      </w:r>
      <w:r w:rsidR="00052BF2" w:rsidRPr="00FD211F">
        <w:rPr>
          <w:sz w:val="36"/>
          <w:szCs w:val="36"/>
          <w:rtl/>
        </w:rPr>
        <w:t>فان اللفظ فيها قد وضع ابتداء للمرتب</w:t>
      </w:r>
      <w:r w:rsidR="00EC7EDF" w:rsidRPr="00FD211F">
        <w:rPr>
          <w:sz w:val="36"/>
          <w:szCs w:val="36"/>
          <w:rtl/>
        </w:rPr>
        <w:t xml:space="preserve">ة </w:t>
      </w:r>
      <w:r w:rsidR="00052BF2" w:rsidRPr="00FD211F">
        <w:rPr>
          <w:sz w:val="36"/>
          <w:szCs w:val="36"/>
          <w:rtl/>
        </w:rPr>
        <w:t>العليا واستعمل في بقي</w:t>
      </w:r>
      <w:r w:rsidR="00EC7EDF" w:rsidRPr="00FD211F">
        <w:rPr>
          <w:sz w:val="36"/>
          <w:szCs w:val="36"/>
          <w:rtl/>
        </w:rPr>
        <w:t xml:space="preserve">ة </w:t>
      </w:r>
      <w:r w:rsidR="00052BF2" w:rsidRPr="00FD211F">
        <w:rPr>
          <w:sz w:val="36"/>
          <w:szCs w:val="36"/>
          <w:rtl/>
        </w:rPr>
        <w:t>المراتب من باب الادعاء وتنزيل الفاقد منزل</w:t>
      </w:r>
      <w:r w:rsidR="00EC7EDF" w:rsidRPr="00FD211F">
        <w:rPr>
          <w:sz w:val="36"/>
          <w:szCs w:val="36"/>
          <w:rtl/>
        </w:rPr>
        <w:t xml:space="preserve">ة </w:t>
      </w:r>
      <w:r w:rsidR="00052BF2" w:rsidRPr="00FD211F">
        <w:rPr>
          <w:sz w:val="36"/>
          <w:szCs w:val="36"/>
          <w:rtl/>
        </w:rPr>
        <w:t>الو</w:t>
      </w:r>
      <w:r w:rsidR="00804544" w:rsidRPr="00FD211F">
        <w:rPr>
          <w:sz w:val="36"/>
          <w:szCs w:val="36"/>
          <w:rtl/>
        </w:rPr>
        <w:t>اجد او من جه</w:t>
      </w:r>
      <w:r w:rsidR="00EC7EDF" w:rsidRPr="00FD211F">
        <w:rPr>
          <w:sz w:val="36"/>
          <w:szCs w:val="36"/>
          <w:rtl/>
        </w:rPr>
        <w:t xml:space="preserve">ة </w:t>
      </w:r>
      <w:r w:rsidR="00804544" w:rsidRPr="00FD211F">
        <w:rPr>
          <w:sz w:val="36"/>
          <w:szCs w:val="36"/>
          <w:rtl/>
        </w:rPr>
        <w:t>الاشتراك في الأثر.</w:t>
      </w:r>
    </w:p>
    <w:p w14:paraId="2B31B9F6" w14:textId="77777777" w:rsidR="00052BF2" w:rsidRPr="00FD211F" w:rsidRDefault="00052BF2" w:rsidP="009C58C8">
      <w:pPr>
        <w:ind w:left="0" w:firstLine="227"/>
        <w:jc w:val="both"/>
        <w:rPr>
          <w:sz w:val="36"/>
          <w:szCs w:val="36"/>
          <w:rtl/>
        </w:rPr>
      </w:pPr>
      <w:r w:rsidRPr="00FD211F">
        <w:rPr>
          <w:sz w:val="36"/>
          <w:szCs w:val="36"/>
          <w:rtl/>
        </w:rPr>
        <w:t>نعم لابد من تصوير جامع بين صلا</w:t>
      </w:r>
      <w:r w:rsidR="00EC7EDF" w:rsidRPr="00FD211F">
        <w:rPr>
          <w:sz w:val="36"/>
          <w:szCs w:val="36"/>
          <w:rtl/>
        </w:rPr>
        <w:t xml:space="preserve">ة </w:t>
      </w:r>
      <w:r w:rsidRPr="00FD211F">
        <w:rPr>
          <w:sz w:val="36"/>
          <w:szCs w:val="36"/>
          <w:rtl/>
        </w:rPr>
        <w:t>القصر والتمام على كلا المسلكين حيث أنهما في عرض واحد</w:t>
      </w:r>
      <w:r w:rsidR="00603323" w:rsidRPr="00FD211F">
        <w:rPr>
          <w:sz w:val="36"/>
          <w:szCs w:val="36"/>
          <w:rtl/>
        </w:rPr>
        <w:t xml:space="preserve">، </w:t>
      </w:r>
      <w:r w:rsidRPr="00FD211F">
        <w:rPr>
          <w:sz w:val="36"/>
          <w:szCs w:val="36"/>
          <w:rtl/>
        </w:rPr>
        <w:t>وليس تشريع أي منهما في فرض العجز عن الأخرى</w:t>
      </w:r>
      <w:r w:rsidR="00603323" w:rsidRPr="00FD211F">
        <w:rPr>
          <w:sz w:val="36"/>
          <w:szCs w:val="36"/>
          <w:rtl/>
        </w:rPr>
        <w:t xml:space="preserve">، </w:t>
      </w:r>
      <w:r w:rsidRPr="00FD211F">
        <w:rPr>
          <w:sz w:val="36"/>
          <w:szCs w:val="36"/>
          <w:rtl/>
        </w:rPr>
        <w:t>الا ان تصوير الجامع بينهما سهل.</w:t>
      </w:r>
    </w:p>
    <w:p w14:paraId="2DB7E70A" w14:textId="77777777" w:rsidR="00052BF2" w:rsidRPr="00FD211F" w:rsidRDefault="00052BF2" w:rsidP="009C58C8">
      <w:pPr>
        <w:ind w:left="0" w:firstLine="227"/>
        <w:jc w:val="both"/>
        <w:rPr>
          <w:sz w:val="36"/>
          <w:szCs w:val="36"/>
          <w:rtl/>
        </w:rPr>
      </w:pPr>
      <w:r w:rsidRPr="00FD211F">
        <w:rPr>
          <w:sz w:val="36"/>
          <w:szCs w:val="36"/>
          <w:rtl/>
        </w:rPr>
        <w:t>ويترتب على ما ذكرنا بطلان ثمر</w:t>
      </w:r>
      <w:r w:rsidR="00EC7EDF" w:rsidRPr="00FD211F">
        <w:rPr>
          <w:sz w:val="36"/>
          <w:szCs w:val="36"/>
          <w:rtl/>
        </w:rPr>
        <w:t xml:space="preserve">ة </w:t>
      </w:r>
      <w:r w:rsidRPr="00FD211F">
        <w:rPr>
          <w:sz w:val="36"/>
          <w:szCs w:val="36"/>
          <w:rtl/>
        </w:rPr>
        <w:t>النزاع بين مسلك الاعمي والصحيحي</w:t>
      </w:r>
      <w:r w:rsidR="00603323" w:rsidRPr="00FD211F">
        <w:rPr>
          <w:sz w:val="36"/>
          <w:szCs w:val="36"/>
          <w:rtl/>
        </w:rPr>
        <w:t xml:space="preserve">، </w:t>
      </w:r>
      <w:r w:rsidRPr="00FD211F">
        <w:rPr>
          <w:sz w:val="36"/>
          <w:szCs w:val="36"/>
          <w:rtl/>
        </w:rPr>
        <w:t>حيث أنه</w:t>
      </w:r>
      <w:r w:rsidR="00804544" w:rsidRPr="00FD211F">
        <w:rPr>
          <w:sz w:val="36"/>
          <w:szCs w:val="36"/>
          <w:rtl/>
        </w:rPr>
        <w:t>م ذكروا ان ثمر</w:t>
      </w:r>
      <w:r w:rsidR="00EC7EDF" w:rsidRPr="00FD211F">
        <w:rPr>
          <w:sz w:val="36"/>
          <w:szCs w:val="36"/>
          <w:rtl/>
        </w:rPr>
        <w:t xml:space="preserve">ة </w:t>
      </w:r>
      <w:r w:rsidR="00804544" w:rsidRPr="00FD211F">
        <w:rPr>
          <w:sz w:val="36"/>
          <w:szCs w:val="36"/>
          <w:rtl/>
        </w:rPr>
        <w:t>النزاع بينهما هي</w:t>
      </w:r>
      <w:r w:rsidRPr="00FD211F">
        <w:rPr>
          <w:sz w:val="36"/>
          <w:szCs w:val="36"/>
          <w:rtl/>
        </w:rPr>
        <w:t xml:space="preserve"> انه على مسلك الاعمي يجوز التمسك باطلاق الخطاب كخطاب الأمر بالصلا</w:t>
      </w:r>
      <w:r w:rsidR="00EC7EDF" w:rsidRPr="00FD211F">
        <w:rPr>
          <w:sz w:val="36"/>
          <w:szCs w:val="36"/>
          <w:rtl/>
        </w:rPr>
        <w:t xml:space="preserve">ة </w:t>
      </w:r>
      <w:r w:rsidRPr="00FD211F">
        <w:rPr>
          <w:sz w:val="36"/>
          <w:szCs w:val="36"/>
          <w:rtl/>
        </w:rPr>
        <w:t>لنفي جزئي</w:t>
      </w:r>
      <w:r w:rsidR="00EC7EDF" w:rsidRPr="00FD211F">
        <w:rPr>
          <w:sz w:val="36"/>
          <w:szCs w:val="36"/>
          <w:rtl/>
        </w:rPr>
        <w:t xml:space="preserve">ة </w:t>
      </w:r>
      <w:r w:rsidRPr="00FD211F">
        <w:rPr>
          <w:sz w:val="36"/>
          <w:szCs w:val="36"/>
          <w:rtl/>
        </w:rPr>
        <w:t>ما يشك في جزئيته كالقنوت مثلا</w:t>
      </w:r>
      <w:r w:rsidR="00603323" w:rsidRPr="00FD211F">
        <w:rPr>
          <w:sz w:val="36"/>
          <w:szCs w:val="36"/>
          <w:rtl/>
        </w:rPr>
        <w:t xml:space="preserve">، </w:t>
      </w:r>
      <w:r w:rsidRPr="00FD211F">
        <w:rPr>
          <w:sz w:val="36"/>
          <w:szCs w:val="36"/>
          <w:rtl/>
        </w:rPr>
        <w:t>اذا</w:t>
      </w:r>
      <w:r w:rsidR="008D7B3D" w:rsidRPr="00FD211F">
        <w:rPr>
          <w:sz w:val="36"/>
          <w:szCs w:val="36"/>
          <w:rtl/>
        </w:rPr>
        <w:t xml:space="preserve"> لم‌</w:t>
      </w:r>
      <w:r w:rsidRPr="00FD211F">
        <w:rPr>
          <w:sz w:val="36"/>
          <w:szCs w:val="36"/>
          <w:rtl/>
        </w:rPr>
        <w:t>يكن المولى في مقام الاهمال والإجمال</w:t>
      </w:r>
      <w:r w:rsidR="00603323" w:rsidRPr="00FD211F">
        <w:rPr>
          <w:sz w:val="36"/>
          <w:szCs w:val="36"/>
          <w:rtl/>
        </w:rPr>
        <w:t xml:space="preserve">، </w:t>
      </w:r>
      <w:r w:rsidRPr="00FD211F">
        <w:rPr>
          <w:sz w:val="36"/>
          <w:szCs w:val="36"/>
          <w:rtl/>
        </w:rPr>
        <w:t>ولكن لايجوز ذلك على مسلك الصحيحي</w:t>
      </w:r>
      <w:r w:rsidR="00603323" w:rsidRPr="00FD211F">
        <w:rPr>
          <w:sz w:val="36"/>
          <w:szCs w:val="36"/>
          <w:rtl/>
        </w:rPr>
        <w:t xml:space="preserve">، </w:t>
      </w:r>
      <w:r w:rsidRPr="00FD211F">
        <w:rPr>
          <w:sz w:val="36"/>
          <w:szCs w:val="36"/>
          <w:rtl/>
        </w:rPr>
        <w:t>حيث لايحرز صدق مسمى الصلا</w:t>
      </w:r>
      <w:r w:rsidR="00EC7EDF" w:rsidRPr="00FD211F">
        <w:rPr>
          <w:sz w:val="36"/>
          <w:szCs w:val="36"/>
          <w:rtl/>
        </w:rPr>
        <w:t xml:space="preserve">ة </w:t>
      </w:r>
      <w:r w:rsidRPr="00FD211F">
        <w:rPr>
          <w:sz w:val="36"/>
          <w:szCs w:val="36"/>
          <w:rtl/>
        </w:rPr>
        <w:t>مثلا على فاقد ذلك المشكوك</w:t>
      </w:r>
      <w:r w:rsidR="00603323" w:rsidRPr="00FD211F">
        <w:rPr>
          <w:sz w:val="36"/>
          <w:szCs w:val="36"/>
          <w:rtl/>
        </w:rPr>
        <w:t xml:space="preserve">، </w:t>
      </w:r>
      <w:r w:rsidRPr="00FD211F">
        <w:rPr>
          <w:sz w:val="36"/>
          <w:szCs w:val="36"/>
          <w:rtl/>
        </w:rPr>
        <w:t>حتى يتمسك باطلاق الخطاب لنفي جز</w:t>
      </w:r>
      <w:r w:rsidR="001D1F79" w:rsidRPr="00FD211F">
        <w:rPr>
          <w:sz w:val="36"/>
          <w:szCs w:val="36"/>
          <w:rtl/>
        </w:rPr>
        <w:t>ئيته</w:t>
      </w:r>
      <w:r w:rsidR="00603323" w:rsidRPr="00FD211F">
        <w:rPr>
          <w:sz w:val="36"/>
          <w:szCs w:val="36"/>
          <w:rtl/>
        </w:rPr>
        <w:t xml:space="preserve">، </w:t>
      </w:r>
      <w:r w:rsidR="001D1F79" w:rsidRPr="00FD211F">
        <w:rPr>
          <w:sz w:val="36"/>
          <w:szCs w:val="36"/>
          <w:rtl/>
        </w:rPr>
        <w:t xml:space="preserve">ولكن بناءعلى ماذكرناه من </w:t>
      </w:r>
      <w:r w:rsidRPr="00FD211F">
        <w:rPr>
          <w:sz w:val="36"/>
          <w:szCs w:val="36"/>
          <w:rtl/>
        </w:rPr>
        <w:t>كون الصلا</w:t>
      </w:r>
      <w:r w:rsidR="00EC7EDF" w:rsidRPr="00FD211F">
        <w:rPr>
          <w:sz w:val="36"/>
          <w:szCs w:val="36"/>
          <w:rtl/>
        </w:rPr>
        <w:t xml:space="preserve">ة </w:t>
      </w:r>
      <w:r w:rsidRPr="00FD211F">
        <w:rPr>
          <w:sz w:val="36"/>
          <w:szCs w:val="36"/>
          <w:rtl/>
        </w:rPr>
        <w:t>مثلا موضوع</w:t>
      </w:r>
      <w:r w:rsidR="00EC7EDF" w:rsidRPr="00FD211F">
        <w:rPr>
          <w:sz w:val="36"/>
          <w:szCs w:val="36"/>
          <w:rtl/>
        </w:rPr>
        <w:t xml:space="preserve">ة </w:t>
      </w:r>
      <w:r w:rsidRPr="00FD211F">
        <w:rPr>
          <w:sz w:val="36"/>
          <w:szCs w:val="36"/>
          <w:rtl/>
        </w:rPr>
        <w:t>لخصوص المرتب</w:t>
      </w:r>
      <w:r w:rsidR="00EC7EDF" w:rsidRPr="00FD211F">
        <w:rPr>
          <w:sz w:val="36"/>
          <w:szCs w:val="36"/>
          <w:rtl/>
        </w:rPr>
        <w:t xml:space="preserve">ة </w:t>
      </w:r>
      <w:r w:rsidRPr="00FD211F">
        <w:rPr>
          <w:sz w:val="36"/>
          <w:szCs w:val="36"/>
          <w:rtl/>
        </w:rPr>
        <w:t>العليا وهي صلا</w:t>
      </w:r>
      <w:r w:rsidR="00EC7EDF" w:rsidRPr="00FD211F">
        <w:rPr>
          <w:sz w:val="36"/>
          <w:szCs w:val="36"/>
          <w:rtl/>
        </w:rPr>
        <w:t xml:space="preserve">ة </w:t>
      </w:r>
      <w:r w:rsidRPr="00FD211F">
        <w:rPr>
          <w:sz w:val="36"/>
          <w:szCs w:val="36"/>
          <w:rtl/>
        </w:rPr>
        <w:t>المختار</w:t>
      </w:r>
      <w:r w:rsidR="008D7B3D" w:rsidRPr="00FD211F">
        <w:rPr>
          <w:sz w:val="36"/>
          <w:szCs w:val="36"/>
          <w:rtl/>
        </w:rPr>
        <w:t xml:space="preserve"> لم‌</w:t>
      </w:r>
      <w:r w:rsidRPr="00FD211F">
        <w:rPr>
          <w:sz w:val="36"/>
          <w:szCs w:val="36"/>
          <w:rtl/>
        </w:rPr>
        <w:t>يجز التمسك حتى على مسلك الاعمي باطلاق الخطاب</w:t>
      </w:r>
      <w:r w:rsidR="00603323" w:rsidRPr="00FD211F">
        <w:rPr>
          <w:sz w:val="36"/>
          <w:szCs w:val="36"/>
          <w:rtl/>
        </w:rPr>
        <w:t xml:space="preserve">، </w:t>
      </w:r>
      <w:r w:rsidRPr="00FD211F">
        <w:rPr>
          <w:sz w:val="36"/>
          <w:szCs w:val="36"/>
          <w:rtl/>
        </w:rPr>
        <w:t>لعدم العلم بالتنزيل والادعاء بالنسب</w:t>
      </w:r>
      <w:r w:rsidR="00EC7EDF" w:rsidRPr="00FD211F">
        <w:rPr>
          <w:sz w:val="36"/>
          <w:szCs w:val="36"/>
          <w:rtl/>
        </w:rPr>
        <w:t xml:space="preserve">ة </w:t>
      </w:r>
      <w:r w:rsidRPr="00FD211F">
        <w:rPr>
          <w:sz w:val="36"/>
          <w:szCs w:val="36"/>
          <w:rtl/>
        </w:rPr>
        <w:t>الى المراتب النازل</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362"/>
      </w:r>
      <w:r w:rsidR="009C58C8" w:rsidRPr="00FD211F">
        <w:rPr>
          <w:rStyle w:val="a6"/>
          <w:sz w:val="36"/>
          <w:szCs w:val="36"/>
          <w:rtl/>
        </w:rPr>
        <w:t>)</w:t>
      </w:r>
      <w:r w:rsidRPr="00FD211F">
        <w:rPr>
          <w:sz w:val="36"/>
          <w:szCs w:val="36"/>
          <w:rtl/>
        </w:rPr>
        <w:t>.</w:t>
      </w:r>
    </w:p>
    <w:p w14:paraId="032727DA" w14:textId="77777777" w:rsidR="00052BF2" w:rsidRPr="00FD211F" w:rsidRDefault="00052BF2" w:rsidP="009C58C8">
      <w:pPr>
        <w:ind w:left="0" w:firstLine="227"/>
        <w:jc w:val="both"/>
        <w:rPr>
          <w:sz w:val="36"/>
          <w:szCs w:val="36"/>
          <w:rtl/>
        </w:rPr>
      </w:pPr>
      <w:r w:rsidRPr="00FD211F">
        <w:rPr>
          <w:sz w:val="36"/>
          <w:szCs w:val="36"/>
          <w:rtl/>
        </w:rPr>
        <w:t>ويرد عليه: أن اطلاق الفاظ العبادات كلفظ الصلا</w:t>
      </w:r>
      <w:r w:rsidR="00EC7EDF" w:rsidRPr="00FD211F">
        <w:rPr>
          <w:sz w:val="36"/>
          <w:szCs w:val="36"/>
          <w:rtl/>
        </w:rPr>
        <w:t xml:space="preserve">ة </w:t>
      </w:r>
      <w:r w:rsidRPr="00FD211F">
        <w:rPr>
          <w:sz w:val="36"/>
          <w:szCs w:val="36"/>
          <w:rtl/>
        </w:rPr>
        <w:t>على المراتب العالي</w:t>
      </w:r>
      <w:r w:rsidR="00EC7EDF" w:rsidRPr="00FD211F">
        <w:rPr>
          <w:sz w:val="36"/>
          <w:szCs w:val="36"/>
          <w:rtl/>
        </w:rPr>
        <w:t xml:space="preserve">ة </w:t>
      </w:r>
      <w:r w:rsidRPr="00FD211F">
        <w:rPr>
          <w:sz w:val="36"/>
          <w:szCs w:val="36"/>
          <w:rtl/>
        </w:rPr>
        <w:t>والداني</w:t>
      </w:r>
      <w:r w:rsidR="00EC7EDF" w:rsidRPr="00FD211F">
        <w:rPr>
          <w:sz w:val="36"/>
          <w:szCs w:val="36"/>
          <w:rtl/>
        </w:rPr>
        <w:t xml:space="preserve">ة </w:t>
      </w:r>
      <w:r w:rsidRPr="00FD211F">
        <w:rPr>
          <w:sz w:val="36"/>
          <w:szCs w:val="36"/>
          <w:rtl/>
        </w:rPr>
        <w:t>على نسق واحد عرفا</w:t>
      </w:r>
      <w:r w:rsidR="00603323" w:rsidRPr="00FD211F">
        <w:rPr>
          <w:sz w:val="36"/>
          <w:szCs w:val="36"/>
          <w:rtl/>
        </w:rPr>
        <w:t xml:space="preserve">، </w:t>
      </w:r>
      <w:r w:rsidRPr="00FD211F">
        <w:rPr>
          <w:sz w:val="36"/>
          <w:szCs w:val="36"/>
          <w:rtl/>
        </w:rPr>
        <w:t>فيطلق لفظ الصلا</w:t>
      </w:r>
      <w:r w:rsidR="00EC7EDF" w:rsidRPr="00FD211F">
        <w:rPr>
          <w:sz w:val="36"/>
          <w:szCs w:val="36"/>
          <w:rtl/>
        </w:rPr>
        <w:t xml:space="preserve">ة </w:t>
      </w:r>
      <w:r w:rsidRPr="00FD211F">
        <w:rPr>
          <w:sz w:val="36"/>
          <w:szCs w:val="36"/>
          <w:rtl/>
        </w:rPr>
        <w:t>على صلا</w:t>
      </w:r>
      <w:r w:rsidR="00EC7EDF" w:rsidRPr="00FD211F">
        <w:rPr>
          <w:sz w:val="36"/>
          <w:szCs w:val="36"/>
          <w:rtl/>
        </w:rPr>
        <w:t xml:space="preserve">ة </w:t>
      </w:r>
      <w:r w:rsidRPr="00FD211F">
        <w:rPr>
          <w:sz w:val="36"/>
          <w:szCs w:val="36"/>
          <w:rtl/>
        </w:rPr>
        <w:t>المضطر كالصلا</w:t>
      </w:r>
      <w:r w:rsidR="00EC7EDF" w:rsidRPr="00FD211F">
        <w:rPr>
          <w:sz w:val="36"/>
          <w:szCs w:val="36"/>
          <w:rtl/>
        </w:rPr>
        <w:t xml:space="preserve">ة </w:t>
      </w:r>
      <w:r w:rsidRPr="00FD211F">
        <w:rPr>
          <w:sz w:val="36"/>
          <w:szCs w:val="36"/>
          <w:rtl/>
        </w:rPr>
        <w:t>جالسا بالنسب</w:t>
      </w:r>
      <w:r w:rsidR="00EC7EDF" w:rsidRPr="00FD211F">
        <w:rPr>
          <w:sz w:val="36"/>
          <w:szCs w:val="36"/>
          <w:rtl/>
        </w:rPr>
        <w:t xml:space="preserve">ة </w:t>
      </w:r>
      <w:r w:rsidRPr="00FD211F">
        <w:rPr>
          <w:sz w:val="36"/>
          <w:szCs w:val="36"/>
          <w:rtl/>
        </w:rPr>
        <w:t>الى العاجز عن القيام كما يطلق على صلا</w:t>
      </w:r>
      <w:r w:rsidR="00EC7EDF" w:rsidRPr="00FD211F">
        <w:rPr>
          <w:sz w:val="36"/>
          <w:szCs w:val="36"/>
          <w:rtl/>
        </w:rPr>
        <w:t xml:space="preserve">ة </w:t>
      </w:r>
      <w:r w:rsidRPr="00FD211F">
        <w:rPr>
          <w:sz w:val="36"/>
          <w:szCs w:val="36"/>
          <w:rtl/>
        </w:rPr>
        <w:t>المختار</w:t>
      </w:r>
      <w:r w:rsidR="00603323" w:rsidRPr="00FD211F">
        <w:rPr>
          <w:sz w:val="36"/>
          <w:szCs w:val="36"/>
          <w:rtl/>
        </w:rPr>
        <w:t xml:space="preserve">، </w:t>
      </w:r>
      <w:r w:rsidRPr="00FD211F">
        <w:rPr>
          <w:sz w:val="36"/>
          <w:szCs w:val="36"/>
          <w:rtl/>
        </w:rPr>
        <w:t>وهذا دليل على ان اطلاقها للمراتب النازل</w:t>
      </w:r>
      <w:r w:rsidR="00EC7EDF" w:rsidRPr="00FD211F">
        <w:rPr>
          <w:sz w:val="36"/>
          <w:szCs w:val="36"/>
          <w:rtl/>
        </w:rPr>
        <w:t xml:space="preserve">ة </w:t>
      </w:r>
      <w:r w:rsidR="00804544" w:rsidRPr="00FD211F">
        <w:rPr>
          <w:sz w:val="36"/>
          <w:szCs w:val="36"/>
          <w:rtl/>
        </w:rPr>
        <w:t>يكون من باب الحقيق</w:t>
      </w:r>
      <w:r w:rsidR="00EC7EDF" w:rsidRPr="00FD211F">
        <w:rPr>
          <w:sz w:val="36"/>
          <w:szCs w:val="36"/>
          <w:rtl/>
        </w:rPr>
        <w:t>ة</w:t>
      </w:r>
      <w:r w:rsidR="00603323" w:rsidRPr="00FD211F">
        <w:rPr>
          <w:sz w:val="36"/>
          <w:szCs w:val="36"/>
          <w:rtl/>
        </w:rPr>
        <w:t xml:space="preserve">، </w:t>
      </w:r>
      <w:r w:rsidR="00804544" w:rsidRPr="00FD211F">
        <w:rPr>
          <w:sz w:val="36"/>
          <w:szCs w:val="36"/>
          <w:rtl/>
        </w:rPr>
        <w:t>حيث لايحسّ</w:t>
      </w:r>
      <w:r w:rsidRPr="00FD211F">
        <w:rPr>
          <w:sz w:val="36"/>
          <w:szCs w:val="36"/>
          <w:rtl/>
        </w:rPr>
        <w:t xml:space="preserve"> فيه </w:t>
      </w:r>
      <w:r w:rsidR="00804544" w:rsidRPr="00FD211F">
        <w:rPr>
          <w:sz w:val="36"/>
          <w:szCs w:val="36"/>
          <w:rtl/>
        </w:rPr>
        <w:t>ب</w:t>
      </w:r>
      <w:r w:rsidRPr="00FD211F">
        <w:rPr>
          <w:sz w:val="36"/>
          <w:szCs w:val="36"/>
          <w:rtl/>
        </w:rPr>
        <w:t>أيّ</w:t>
      </w:r>
      <w:r w:rsidR="00EC7EDF" w:rsidRPr="00FD211F">
        <w:rPr>
          <w:sz w:val="36"/>
          <w:szCs w:val="36"/>
          <w:rtl/>
        </w:rPr>
        <w:t xml:space="preserve">ة </w:t>
      </w:r>
      <w:r w:rsidRPr="00FD211F">
        <w:rPr>
          <w:sz w:val="36"/>
          <w:szCs w:val="36"/>
          <w:rtl/>
        </w:rPr>
        <w:t>مسامح</w:t>
      </w:r>
      <w:r w:rsidR="00EC7EDF" w:rsidRPr="00FD211F">
        <w:rPr>
          <w:sz w:val="36"/>
          <w:szCs w:val="36"/>
          <w:rtl/>
        </w:rPr>
        <w:t xml:space="preserve">ة </w:t>
      </w:r>
      <w:r w:rsidRPr="00FD211F">
        <w:rPr>
          <w:sz w:val="36"/>
          <w:szCs w:val="36"/>
          <w:rtl/>
        </w:rPr>
        <w:t>ومجاز</w:t>
      </w:r>
      <w:r w:rsidR="00603323" w:rsidRPr="00FD211F">
        <w:rPr>
          <w:sz w:val="36"/>
          <w:szCs w:val="36"/>
          <w:rtl/>
        </w:rPr>
        <w:t xml:space="preserve">، </w:t>
      </w:r>
      <w:r w:rsidRPr="00FD211F">
        <w:rPr>
          <w:sz w:val="36"/>
          <w:szCs w:val="36"/>
          <w:rtl/>
        </w:rPr>
        <w:t>ومن جه</w:t>
      </w:r>
      <w:r w:rsidR="00EC7EDF" w:rsidRPr="00FD211F">
        <w:rPr>
          <w:sz w:val="36"/>
          <w:szCs w:val="36"/>
          <w:rtl/>
        </w:rPr>
        <w:t xml:space="preserve">ة </w:t>
      </w:r>
      <w:r w:rsidRPr="00FD211F">
        <w:rPr>
          <w:sz w:val="36"/>
          <w:szCs w:val="36"/>
          <w:rtl/>
        </w:rPr>
        <w:t>أخرى ان المرتب</w:t>
      </w:r>
      <w:r w:rsidR="00EC7EDF" w:rsidRPr="00FD211F">
        <w:rPr>
          <w:sz w:val="36"/>
          <w:szCs w:val="36"/>
          <w:rtl/>
        </w:rPr>
        <w:t xml:space="preserve">ة </w:t>
      </w:r>
      <w:r w:rsidRPr="00FD211F">
        <w:rPr>
          <w:sz w:val="36"/>
          <w:szCs w:val="36"/>
          <w:rtl/>
        </w:rPr>
        <w:t>العالي</w:t>
      </w:r>
      <w:r w:rsidR="00EC7EDF" w:rsidRPr="00FD211F">
        <w:rPr>
          <w:sz w:val="36"/>
          <w:szCs w:val="36"/>
          <w:rtl/>
        </w:rPr>
        <w:t xml:space="preserve">ة </w:t>
      </w:r>
      <w:r w:rsidRPr="00FD211F">
        <w:rPr>
          <w:sz w:val="36"/>
          <w:szCs w:val="36"/>
          <w:rtl/>
        </w:rPr>
        <w:t>للصلا</w:t>
      </w:r>
      <w:r w:rsidR="00EC7EDF" w:rsidRPr="00FD211F">
        <w:rPr>
          <w:sz w:val="36"/>
          <w:szCs w:val="36"/>
          <w:rtl/>
        </w:rPr>
        <w:t xml:space="preserve">ة </w:t>
      </w:r>
      <w:r w:rsidRPr="00FD211F">
        <w:rPr>
          <w:sz w:val="36"/>
          <w:szCs w:val="36"/>
          <w:rtl/>
        </w:rPr>
        <w:t>مثلا وهي صلا</w:t>
      </w:r>
      <w:r w:rsidR="00EC7EDF" w:rsidRPr="00FD211F">
        <w:rPr>
          <w:sz w:val="36"/>
          <w:szCs w:val="36"/>
          <w:rtl/>
        </w:rPr>
        <w:t xml:space="preserve">ة </w:t>
      </w:r>
      <w:r w:rsidRPr="00FD211F">
        <w:rPr>
          <w:sz w:val="36"/>
          <w:szCs w:val="36"/>
          <w:rtl/>
        </w:rPr>
        <w:t>المختار لاتنحصر في قسم معين</w:t>
      </w:r>
      <w:r w:rsidR="00603323" w:rsidRPr="00FD211F">
        <w:rPr>
          <w:sz w:val="36"/>
          <w:szCs w:val="36"/>
          <w:rtl/>
        </w:rPr>
        <w:t xml:space="preserve">، </w:t>
      </w:r>
      <w:r w:rsidRPr="00FD211F">
        <w:rPr>
          <w:sz w:val="36"/>
          <w:szCs w:val="36"/>
          <w:rtl/>
        </w:rPr>
        <w:t>فقد تكون صلا</w:t>
      </w:r>
      <w:r w:rsidR="00EC7EDF" w:rsidRPr="00FD211F">
        <w:rPr>
          <w:sz w:val="36"/>
          <w:szCs w:val="36"/>
          <w:rtl/>
        </w:rPr>
        <w:t xml:space="preserve">ة </w:t>
      </w:r>
      <w:r w:rsidRPr="00FD211F">
        <w:rPr>
          <w:sz w:val="36"/>
          <w:szCs w:val="36"/>
          <w:rtl/>
        </w:rPr>
        <w:t>فجر وقد تكون صلا</w:t>
      </w:r>
      <w:r w:rsidR="00EC7EDF" w:rsidRPr="00FD211F">
        <w:rPr>
          <w:sz w:val="36"/>
          <w:szCs w:val="36"/>
          <w:rtl/>
        </w:rPr>
        <w:t xml:space="preserve">ة </w:t>
      </w:r>
      <w:r w:rsidRPr="00FD211F">
        <w:rPr>
          <w:sz w:val="36"/>
          <w:szCs w:val="36"/>
          <w:rtl/>
        </w:rPr>
        <w:t>الظهرين وقد تكون صلا</w:t>
      </w:r>
      <w:r w:rsidR="00EC7EDF" w:rsidRPr="00FD211F">
        <w:rPr>
          <w:sz w:val="36"/>
          <w:szCs w:val="36"/>
          <w:rtl/>
        </w:rPr>
        <w:t xml:space="preserve">ة </w:t>
      </w:r>
      <w:r w:rsidRPr="00FD211F">
        <w:rPr>
          <w:sz w:val="36"/>
          <w:szCs w:val="36"/>
          <w:rtl/>
        </w:rPr>
        <w:t>العشائين وقد تكون صلا</w:t>
      </w:r>
      <w:r w:rsidR="00EC7EDF" w:rsidRPr="00FD211F">
        <w:rPr>
          <w:sz w:val="36"/>
          <w:szCs w:val="36"/>
          <w:rtl/>
        </w:rPr>
        <w:t xml:space="preserve">ة </w:t>
      </w:r>
      <w:r w:rsidRPr="00FD211F">
        <w:rPr>
          <w:sz w:val="36"/>
          <w:szCs w:val="36"/>
          <w:rtl/>
        </w:rPr>
        <w:t>الآيات او صلا</w:t>
      </w:r>
      <w:r w:rsidR="00EC7EDF" w:rsidRPr="00FD211F">
        <w:rPr>
          <w:sz w:val="36"/>
          <w:szCs w:val="36"/>
          <w:rtl/>
        </w:rPr>
        <w:t xml:space="preserve">ة </w:t>
      </w:r>
      <w:r w:rsidRPr="00FD211F">
        <w:rPr>
          <w:sz w:val="36"/>
          <w:szCs w:val="36"/>
          <w:rtl/>
        </w:rPr>
        <w:t>العيدين</w:t>
      </w:r>
      <w:r w:rsidR="00603323" w:rsidRPr="00FD211F">
        <w:rPr>
          <w:sz w:val="36"/>
          <w:szCs w:val="36"/>
          <w:rtl/>
        </w:rPr>
        <w:t xml:space="preserve">، </w:t>
      </w:r>
      <w:r w:rsidRPr="00FD211F">
        <w:rPr>
          <w:sz w:val="36"/>
          <w:szCs w:val="36"/>
          <w:rtl/>
        </w:rPr>
        <w:t>فلصلا</w:t>
      </w:r>
      <w:r w:rsidR="00EC7EDF" w:rsidRPr="00FD211F">
        <w:rPr>
          <w:sz w:val="36"/>
          <w:szCs w:val="36"/>
          <w:rtl/>
        </w:rPr>
        <w:t xml:space="preserve">ة </w:t>
      </w:r>
      <w:r w:rsidRPr="00FD211F">
        <w:rPr>
          <w:sz w:val="36"/>
          <w:szCs w:val="36"/>
          <w:rtl/>
        </w:rPr>
        <w:t>المختار أقسام كثير</w:t>
      </w:r>
      <w:r w:rsidR="00EC7EDF" w:rsidRPr="00FD211F">
        <w:rPr>
          <w:sz w:val="36"/>
          <w:szCs w:val="36"/>
          <w:rtl/>
        </w:rPr>
        <w:t>ة</w:t>
      </w:r>
      <w:r w:rsidR="00603323" w:rsidRPr="00FD211F">
        <w:rPr>
          <w:sz w:val="36"/>
          <w:szCs w:val="36"/>
          <w:rtl/>
        </w:rPr>
        <w:t xml:space="preserve">، </w:t>
      </w:r>
      <w:r w:rsidRPr="00FD211F">
        <w:rPr>
          <w:sz w:val="36"/>
          <w:szCs w:val="36"/>
          <w:rtl/>
        </w:rPr>
        <w:t>والالتزام بوضع اسماء العبادات لخصوص المرتب</w:t>
      </w:r>
      <w:r w:rsidR="00EC7EDF" w:rsidRPr="00FD211F">
        <w:rPr>
          <w:sz w:val="36"/>
          <w:szCs w:val="36"/>
          <w:rtl/>
        </w:rPr>
        <w:t xml:space="preserve">ة </w:t>
      </w:r>
      <w:r w:rsidRPr="00FD211F">
        <w:rPr>
          <w:sz w:val="36"/>
          <w:szCs w:val="36"/>
          <w:rtl/>
        </w:rPr>
        <w:t>العليا لايغني عن تصوير الجامع</w:t>
      </w:r>
      <w:r w:rsidR="00603323" w:rsidRPr="00FD211F">
        <w:rPr>
          <w:sz w:val="36"/>
          <w:szCs w:val="36"/>
          <w:rtl/>
        </w:rPr>
        <w:t xml:space="preserve">، </w:t>
      </w:r>
      <w:r w:rsidRPr="00FD211F">
        <w:rPr>
          <w:sz w:val="36"/>
          <w:szCs w:val="36"/>
          <w:rtl/>
        </w:rPr>
        <w:t>فلايختص لزوم تصوير الجامع بما ذكره</w:t>
      </w:r>
      <w:r w:rsidR="00B253CE" w:rsidRPr="00FD211F">
        <w:rPr>
          <w:sz w:val="36"/>
          <w:szCs w:val="36"/>
          <w:rtl/>
        </w:rPr>
        <w:t xml:space="preserve"> </w:t>
      </w:r>
      <w:r w:rsidRPr="00FD211F">
        <w:rPr>
          <w:sz w:val="36"/>
          <w:szCs w:val="36"/>
          <w:rtl/>
        </w:rPr>
        <w:t>من مورد صلا</w:t>
      </w:r>
      <w:r w:rsidR="00EC7EDF" w:rsidRPr="00FD211F">
        <w:rPr>
          <w:sz w:val="36"/>
          <w:szCs w:val="36"/>
          <w:rtl/>
        </w:rPr>
        <w:t xml:space="preserve">ة </w:t>
      </w:r>
      <w:r w:rsidRPr="00FD211F">
        <w:rPr>
          <w:sz w:val="36"/>
          <w:szCs w:val="36"/>
          <w:rtl/>
        </w:rPr>
        <w:t>القصر والتمام.</w:t>
      </w:r>
    </w:p>
    <w:p w14:paraId="10309909" w14:textId="77777777" w:rsidR="00052BF2" w:rsidRPr="00FD211F" w:rsidRDefault="00052BF2" w:rsidP="009C58C8">
      <w:pPr>
        <w:ind w:left="0" w:firstLine="227"/>
        <w:jc w:val="both"/>
        <w:rPr>
          <w:sz w:val="36"/>
          <w:szCs w:val="36"/>
          <w:rtl/>
        </w:rPr>
      </w:pPr>
      <w:r w:rsidRPr="00FD211F">
        <w:rPr>
          <w:sz w:val="36"/>
          <w:szCs w:val="36"/>
          <w:rtl/>
        </w:rPr>
        <w:t xml:space="preserve">هذا وقد اورد عليه السيد الخوئي </w:t>
      </w:r>
      <w:r w:rsidR="00804544" w:rsidRPr="00FD211F">
        <w:rPr>
          <w:sz w:val="36"/>
          <w:szCs w:val="36"/>
          <w:rtl/>
        </w:rPr>
        <w:t>"</w:t>
      </w:r>
      <w:r w:rsidRPr="00FD211F">
        <w:rPr>
          <w:sz w:val="36"/>
          <w:szCs w:val="36"/>
          <w:rtl/>
        </w:rPr>
        <w:t>قده</w:t>
      </w:r>
      <w:r w:rsidR="00804544" w:rsidRPr="00FD211F">
        <w:rPr>
          <w:sz w:val="36"/>
          <w:szCs w:val="36"/>
          <w:rtl/>
        </w:rPr>
        <w:t>"</w:t>
      </w:r>
      <w:r w:rsidRPr="00FD211F">
        <w:rPr>
          <w:sz w:val="36"/>
          <w:szCs w:val="36"/>
          <w:rtl/>
        </w:rPr>
        <w:t xml:space="preserve"> بان ثمر</w:t>
      </w:r>
      <w:r w:rsidR="00EC7EDF" w:rsidRPr="00FD211F">
        <w:rPr>
          <w:sz w:val="36"/>
          <w:szCs w:val="36"/>
          <w:rtl/>
        </w:rPr>
        <w:t xml:space="preserve">ة </w:t>
      </w:r>
      <w:r w:rsidRPr="00FD211F">
        <w:rPr>
          <w:sz w:val="36"/>
          <w:szCs w:val="36"/>
          <w:rtl/>
        </w:rPr>
        <w:t xml:space="preserve">النزاع بين الاعمي والصحيحي تظهر حتى بناء على </w:t>
      </w:r>
      <w:r w:rsidR="00804544" w:rsidRPr="00FD211F">
        <w:rPr>
          <w:sz w:val="36"/>
          <w:szCs w:val="36"/>
          <w:rtl/>
        </w:rPr>
        <w:t>اختصاص وضع اسماء العبادات بالمر</w:t>
      </w:r>
      <w:r w:rsidRPr="00FD211F">
        <w:rPr>
          <w:sz w:val="36"/>
          <w:szCs w:val="36"/>
          <w:rtl/>
        </w:rPr>
        <w:t>تب</w:t>
      </w:r>
      <w:r w:rsidR="00EC7EDF" w:rsidRPr="00FD211F">
        <w:rPr>
          <w:sz w:val="36"/>
          <w:szCs w:val="36"/>
          <w:rtl/>
        </w:rPr>
        <w:t xml:space="preserve">ة </w:t>
      </w:r>
      <w:r w:rsidRPr="00FD211F">
        <w:rPr>
          <w:sz w:val="36"/>
          <w:szCs w:val="36"/>
          <w:rtl/>
        </w:rPr>
        <w:t>العليا</w:t>
      </w:r>
      <w:r w:rsidR="00603323" w:rsidRPr="00FD211F">
        <w:rPr>
          <w:sz w:val="36"/>
          <w:szCs w:val="36"/>
          <w:rtl/>
        </w:rPr>
        <w:t xml:space="preserve">، </w:t>
      </w:r>
      <w:r w:rsidRPr="00FD211F">
        <w:rPr>
          <w:sz w:val="36"/>
          <w:szCs w:val="36"/>
          <w:rtl/>
        </w:rPr>
        <w:t>بعد فرض عدم اختصاص المرتب</w:t>
      </w:r>
      <w:r w:rsidR="00EC7EDF" w:rsidRPr="00FD211F">
        <w:rPr>
          <w:sz w:val="36"/>
          <w:szCs w:val="36"/>
          <w:rtl/>
        </w:rPr>
        <w:t xml:space="preserve">ة </w:t>
      </w:r>
      <w:r w:rsidRPr="00FD211F">
        <w:rPr>
          <w:sz w:val="36"/>
          <w:szCs w:val="36"/>
          <w:rtl/>
        </w:rPr>
        <w:t>العليا بقسم واحد</w:t>
      </w:r>
      <w:r w:rsidR="00603323" w:rsidRPr="00FD211F">
        <w:rPr>
          <w:sz w:val="36"/>
          <w:szCs w:val="36"/>
          <w:rtl/>
        </w:rPr>
        <w:t xml:space="preserve">، </w:t>
      </w:r>
      <w:r w:rsidRPr="00FD211F">
        <w:rPr>
          <w:sz w:val="36"/>
          <w:szCs w:val="36"/>
          <w:rtl/>
        </w:rPr>
        <w:t>بل لها اقسام مختلف</w:t>
      </w:r>
      <w:r w:rsidR="00EC7EDF" w:rsidRPr="00FD211F">
        <w:rPr>
          <w:sz w:val="36"/>
          <w:szCs w:val="36"/>
          <w:rtl/>
        </w:rPr>
        <w:t xml:space="preserve">ة </w:t>
      </w:r>
      <w:r w:rsidRPr="00FD211F">
        <w:rPr>
          <w:sz w:val="36"/>
          <w:szCs w:val="36"/>
          <w:rtl/>
        </w:rPr>
        <w:t>فتحتاج الى جامع لها فالصحيحي يدعى وضع لفظ الصلا</w:t>
      </w:r>
      <w:r w:rsidR="00EC7EDF" w:rsidRPr="00FD211F">
        <w:rPr>
          <w:sz w:val="36"/>
          <w:szCs w:val="36"/>
          <w:rtl/>
        </w:rPr>
        <w:t xml:space="preserve">ة </w:t>
      </w:r>
      <w:r w:rsidRPr="00FD211F">
        <w:rPr>
          <w:sz w:val="36"/>
          <w:szCs w:val="36"/>
          <w:rtl/>
        </w:rPr>
        <w:t>مثلا لخصوص الصحيح من المرتب</w:t>
      </w:r>
      <w:r w:rsidR="00EC7EDF" w:rsidRPr="00FD211F">
        <w:rPr>
          <w:sz w:val="36"/>
          <w:szCs w:val="36"/>
          <w:rtl/>
        </w:rPr>
        <w:t xml:space="preserve">ة </w:t>
      </w:r>
      <w:r w:rsidRPr="00FD211F">
        <w:rPr>
          <w:sz w:val="36"/>
          <w:szCs w:val="36"/>
          <w:rtl/>
        </w:rPr>
        <w:t>العالي</w:t>
      </w:r>
      <w:r w:rsidR="00EC7EDF" w:rsidRPr="00FD211F">
        <w:rPr>
          <w:sz w:val="36"/>
          <w:szCs w:val="36"/>
          <w:rtl/>
        </w:rPr>
        <w:t>ة</w:t>
      </w:r>
      <w:r w:rsidR="00603323" w:rsidRPr="00FD211F">
        <w:rPr>
          <w:sz w:val="36"/>
          <w:szCs w:val="36"/>
          <w:rtl/>
        </w:rPr>
        <w:t xml:space="preserve">، </w:t>
      </w:r>
      <w:r w:rsidRPr="00FD211F">
        <w:rPr>
          <w:sz w:val="36"/>
          <w:szCs w:val="36"/>
          <w:rtl/>
        </w:rPr>
        <w:t>والاعمي يدعي وضعه للأعم من الصحيح والفاسد من المرتب</w:t>
      </w:r>
      <w:r w:rsidR="00EC7EDF" w:rsidRPr="00FD211F">
        <w:rPr>
          <w:sz w:val="36"/>
          <w:szCs w:val="36"/>
          <w:rtl/>
        </w:rPr>
        <w:t xml:space="preserve">ة </w:t>
      </w:r>
      <w:r w:rsidRPr="00FD211F">
        <w:rPr>
          <w:sz w:val="36"/>
          <w:szCs w:val="36"/>
          <w:rtl/>
        </w:rPr>
        <w:t>العالي</w:t>
      </w:r>
      <w:r w:rsidR="00EC7EDF" w:rsidRPr="00FD211F">
        <w:rPr>
          <w:sz w:val="36"/>
          <w:szCs w:val="36"/>
          <w:rtl/>
        </w:rPr>
        <w:t>ة</w:t>
      </w:r>
      <w:r w:rsidR="00603323" w:rsidRPr="00FD211F">
        <w:rPr>
          <w:sz w:val="36"/>
          <w:szCs w:val="36"/>
          <w:rtl/>
        </w:rPr>
        <w:t xml:space="preserve">، </w:t>
      </w:r>
      <w:r w:rsidRPr="00FD211F">
        <w:rPr>
          <w:sz w:val="36"/>
          <w:szCs w:val="36"/>
          <w:rtl/>
        </w:rPr>
        <w:t xml:space="preserve">فاذا فرض وجود خطاب </w:t>
      </w:r>
      <w:r w:rsidR="001B3112" w:rsidRPr="00FD211F">
        <w:rPr>
          <w:sz w:val="36"/>
          <w:szCs w:val="36"/>
          <w:rtl/>
        </w:rPr>
        <w:t>الأمر</w:t>
      </w:r>
      <w:r w:rsidRPr="00FD211F">
        <w:rPr>
          <w:sz w:val="36"/>
          <w:szCs w:val="36"/>
          <w:rtl/>
        </w:rPr>
        <w:t xml:space="preserve"> بالصلا</w:t>
      </w:r>
      <w:r w:rsidR="00EC7EDF" w:rsidRPr="00FD211F">
        <w:rPr>
          <w:sz w:val="36"/>
          <w:szCs w:val="36"/>
          <w:rtl/>
        </w:rPr>
        <w:t xml:space="preserve">ة </w:t>
      </w:r>
      <w:r w:rsidRPr="00FD211F">
        <w:rPr>
          <w:sz w:val="36"/>
          <w:szCs w:val="36"/>
          <w:rtl/>
        </w:rPr>
        <w:t xml:space="preserve">فشك في اعتبار </w:t>
      </w:r>
      <w:r w:rsidR="008D7B3D" w:rsidRPr="00FD211F">
        <w:rPr>
          <w:sz w:val="36"/>
          <w:szCs w:val="36"/>
          <w:rtl/>
        </w:rPr>
        <w:t xml:space="preserve">شيء </w:t>
      </w:r>
      <w:r w:rsidRPr="00FD211F">
        <w:rPr>
          <w:sz w:val="36"/>
          <w:szCs w:val="36"/>
          <w:rtl/>
        </w:rPr>
        <w:t>مّا جزءً او شرطا في المرتب</w:t>
      </w:r>
      <w:r w:rsidR="00EC7EDF" w:rsidRPr="00FD211F">
        <w:rPr>
          <w:sz w:val="36"/>
          <w:szCs w:val="36"/>
          <w:rtl/>
        </w:rPr>
        <w:t xml:space="preserve">ة </w:t>
      </w:r>
      <w:r w:rsidRPr="00FD211F">
        <w:rPr>
          <w:sz w:val="36"/>
          <w:szCs w:val="36"/>
          <w:rtl/>
        </w:rPr>
        <w:t>العالي</w:t>
      </w:r>
      <w:r w:rsidR="00EC7EDF" w:rsidRPr="00FD211F">
        <w:rPr>
          <w:sz w:val="36"/>
          <w:szCs w:val="36"/>
          <w:rtl/>
        </w:rPr>
        <w:t xml:space="preserve">ة </w:t>
      </w:r>
      <w:r w:rsidRPr="00FD211F">
        <w:rPr>
          <w:sz w:val="36"/>
          <w:szCs w:val="36"/>
          <w:rtl/>
        </w:rPr>
        <w:t>وهي صلا</w:t>
      </w:r>
      <w:r w:rsidR="00EC7EDF" w:rsidRPr="00FD211F">
        <w:rPr>
          <w:sz w:val="36"/>
          <w:szCs w:val="36"/>
          <w:rtl/>
        </w:rPr>
        <w:t xml:space="preserve">ة </w:t>
      </w:r>
      <w:r w:rsidRPr="00FD211F">
        <w:rPr>
          <w:sz w:val="36"/>
          <w:szCs w:val="36"/>
          <w:rtl/>
        </w:rPr>
        <w:t>المختار</w:t>
      </w:r>
      <w:r w:rsidR="00603323" w:rsidRPr="00FD211F">
        <w:rPr>
          <w:sz w:val="36"/>
          <w:szCs w:val="36"/>
          <w:rtl/>
        </w:rPr>
        <w:t xml:space="preserve">، </w:t>
      </w:r>
      <w:r w:rsidRPr="00FD211F">
        <w:rPr>
          <w:sz w:val="36"/>
          <w:szCs w:val="36"/>
          <w:rtl/>
        </w:rPr>
        <w:t>فلايجوز للصحيحي التمسك باطلاق الخطاب لنفي جزئيته او شرطيته</w:t>
      </w:r>
      <w:r w:rsidR="00603323" w:rsidRPr="00FD211F">
        <w:rPr>
          <w:sz w:val="36"/>
          <w:szCs w:val="36"/>
          <w:rtl/>
        </w:rPr>
        <w:t xml:space="preserve">، </w:t>
      </w:r>
      <w:r w:rsidRPr="00FD211F">
        <w:rPr>
          <w:sz w:val="36"/>
          <w:szCs w:val="36"/>
          <w:rtl/>
        </w:rPr>
        <w:t>لان الشك في اعتبار جزئيته او شرطيته مساوق للشك في صدق مسمى الصلا</w:t>
      </w:r>
      <w:r w:rsidR="00EC7EDF" w:rsidRPr="00FD211F">
        <w:rPr>
          <w:sz w:val="36"/>
          <w:szCs w:val="36"/>
          <w:rtl/>
        </w:rPr>
        <w:t xml:space="preserve">ة </w:t>
      </w:r>
      <w:r w:rsidRPr="00FD211F">
        <w:rPr>
          <w:sz w:val="36"/>
          <w:szCs w:val="36"/>
          <w:rtl/>
        </w:rPr>
        <w:t>بدونه</w:t>
      </w:r>
      <w:r w:rsidR="00603323" w:rsidRPr="00FD211F">
        <w:rPr>
          <w:sz w:val="36"/>
          <w:szCs w:val="36"/>
          <w:rtl/>
        </w:rPr>
        <w:t xml:space="preserve">، </w:t>
      </w:r>
      <w:r w:rsidRPr="00FD211F">
        <w:rPr>
          <w:sz w:val="36"/>
          <w:szCs w:val="36"/>
          <w:rtl/>
        </w:rPr>
        <w:t>ولكن يجوز للأعمي التمسك باطلاق الخطاب لنفي جزئي</w:t>
      </w:r>
      <w:r w:rsidR="00EC7EDF" w:rsidRPr="00FD211F">
        <w:rPr>
          <w:sz w:val="36"/>
          <w:szCs w:val="36"/>
          <w:rtl/>
        </w:rPr>
        <w:t xml:space="preserve">ة </w:t>
      </w:r>
      <w:r w:rsidRPr="00FD211F">
        <w:rPr>
          <w:sz w:val="36"/>
          <w:szCs w:val="36"/>
          <w:rtl/>
        </w:rPr>
        <w:t>ذلك ال</w:t>
      </w:r>
      <w:r w:rsidR="008D7B3D" w:rsidRPr="00FD211F">
        <w:rPr>
          <w:sz w:val="36"/>
          <w:szCs w:val="36"/>
          <w:rtl/>
        </w:rPr>
        <w:t xml:space="preserve">شيء </w:t>
      </w:r>
      <w:r w:rsidRPr="00FD211F">
        <w:rPr>
          <w:sz w:val="36"/>
          <w:szCs w:val="36"/>
          <w:rtl/>
        </w:rPr>
        <w:t>او شرطيته</w:t>
      </w:r>
      <w:r w:rsidR="00603323" w:rsidRPr="00FD211F">
        <w:rPr>
          <w:sz w:val="36"/>
          <w:szCs w:val="36"/>
          <w:rtl/>
        </w:rPr>
        <w:t xml:space="preserve">، </w:t>
      </w:r>
      <w:r w:rsidRPr="00FD211F">
        <w:rPr>
          <w:sz w:val="36"/>
          <w:szCs w:val="36"/>
          <w:rtl/>
        </w:rPr>
        <w:t>لان صدق المسمى حينئذ محرز بالوجدان والشك انما هو في اعتبار امر زايد فينفى بالاطلاق</w:t>
      </w:r>
      <w:r w:rsidR="00603323" w:rsidRPr="00FD211F">
        <w:rPr>
          <w:sz w:val="36"/>
          <w:szCs w:val="36"/>
          <w:rtl/>
        </w:rPr>
        <w:t xml:space="preserve">، </w:t>
      </w:r>
      <w:r w:rsidRPr="00FD211F">
        <w:rPr>
          <w:sz w:val="36"/>
          <w:szCs w:val="36"/>
          <w:rtl/>
        </w:rPr>
        <w:t>نعم لايمكن التمسك باطلاق الخطاب بالنسب</w:t>
      </w:r>
      <w:r w:rsidR="00EC7EDF" w:rsidRPr="00FD211F">
        <w:rPr>
          <w:sz w:val="36"/>
          <w:szCs w:val="36"/>
          <w:rtl/>
        </w:rPr>
        <w:t xml:space="preserve">ة </w:t>
      </w:r>
      <w:r w:rsidRPr="00FD211F">
        <w:rPr>
          <w:sz w:val="36"/>
          <w:szCs w:val="36"/>
          <w:rtl/>
        </w:rPr>
        <w:t>الى بقي</w:t>
      </w:r>
      <w:r w:rsidR="00EC7EDF" w:rsidRPr="00FD211F">
        <w:rPr>
          <w:sz w:val="36"/>
          <w:szCs w:val="36"/>
          <w:rtl/>
        </w:rPr>
        <w:t xml:space="preserve">ة </w:t>
      </w:r>
      <w:r w:rsidRPr="00FD211F">
        <w:rPr>
          <w:sz w:val="36"/>
          <w:szCs w:val="36"/>
          <w:rtl/>
        </w:rPr>
        <w:t>المراتب لعدم احراز الاطلاق بالنسب</w:t>
      </w:r>
      <w:r w:rsidR="00EC7EDF" w:rsidRPr="00FD211F">
        <w:rPr>
          <w:sz w:val="36"/>
          <w:szCs w:val="36"/>
          <w:rtl/>
        </w:rPr>
        <w:t xml:space="preserve">ة </w:t>
      </w:r>
      <w:r w:rsidRPr="00FD211F">
        <w:rPr>
          <w:sz w:val="36"/>
          <w:szCs w:val="36"/>
          <w:rtl/>
        </w:rPr>
        <w:t>اليها من جه</w:t>
      </w:r>
      <w:r w:rsidR="00EC7EDF" w:rsidRPr="00FD211F">
        <w:rPr>
          <w:sz w:val="36"/>
          <w:szCs w:val="36"/>
          <w:rtl/>
        </w:rPr>
        <w:t xml:space="preserve">ة </w:t>
      </w:r>
      <w:r w:rsidRPr="00FD211F">
        <w:rPr>
          <w:sz w:val="36"/>
          <w:szCs w:val="36"/>
          <w:rtl/>
        </w:rPr>
        <w:t>عدم العلم بالتنزيل والادعاء</w:t>
      </w:r>
      <w:r w:rsidR="009C58C8" w:rsidRPr="00FD211F">
        <w:rPr>
          <w:rStyle w:val="a6"/>
          <w:sz w:val="36"/>
          <w:szCs w:val="36"/>
          <w:rtl/>
        </w:rPr>
        <w:t>(</w:t>
      </w:r>
      <w:r w:rsidR="009C58C8" w:rsidRPr="00FD211F">
        <w:rPr>
          <w:rStyle w:val="a6"/>
          <w:sz w:val="36"/>
          <w:szCs w:val="36"/>
          <w:rtl/>
        </w:rPr>
        <w:footnoteReference w:id="363"/>
      </w:r>
      <w:r w:rsidR="009C58C8" w:rsidRPr="00FD211F">
        <w:rPr>
          <w:rStyle w:val="a6"/>
          <w:sz w:val="36"/>
          <w:szCs w:val="36"/>
          <w:rtl/>
        </w:rPr>
        <w:t>)</w:t>
      </w:r>
      <w:r w:rsidR="00804544" w:rsidRPr="00FD211F">
        <w:rPr>
          <w:sz w:val="36"/>
          <w:szCs w:val="36"/>
          <w:rtl/>
        </w:rPr>
        <w:t>.</w:t>
      </w:r>
    </w:p>
    <w:p w14:paraId="336BA2A6" w14:textId="77777777" w:rsidR="00052BF2" w:rsidRPr="00FD211F" w:rsidRDefault="00052BF2" w:rsidP="009C58C8">
      <w:pPr>
        <w:ind w:left="0" w:firstLine="227"/>
        <w:jc w:val="both"/>
        <w:rPr>
          <w:sz w:val="36"/>
          <w:szCs w:val="36"/>
          <w:rtl/>
        </w:rPr>
      </w:pPr>
      <w:r w:rsidRPr="00FD211F">
        <w:rPr>
          <w:sz w:val="36"/>
          <w:szCs w:val="36"/>
          <w:rtl/>
        </w:rPr>
        <w:t xml:space="preserve">ولكن يمكن ان يقال بان الظاهر من المحكي عن المحقق النائيني </w:t>
      </w:r>
      <w:r w:rsidR="00804544" w:rsidRPr="00FD211F">
        <w:rPr>
          <w:sz w:val="36"/>
          <w:szCs w:val="36"/>
          <w:rtl/>
        </w:rPr>
        <w:t>"</w:t>
      </w:r>
      <w:r w:rsidRPr="00FD211F">
        <w:rPr>
          <w:sz w:val="36"/>
          <w:szCs w:val="36"/>
          <w:rtl/>
        </w:rPr>
        <w:t>قده</w:t>
      </w:r>
      <w:r w:rsidR="00804544" w:rsidRPr="00FD211F">
        <w:rPr>
          <w:sz w:val="36"/>
          <w:szCs w:val="36"/>
          <w:rtl/>
        </w:rPr>
        <w:t>"</w:t>
      </w:r>
      <w:r w:rsidRPr="00FD211F">
        <w:rPr>
          <w:sz w:val="36"/>
          <w:szCs w:val="36"/>
          <w:rtl/>
        </w:rPr>
        <w:t xml:space="preserve"> انه يرى كون الموضوع للفظ الصلا</w:t>
      </w:r>
      <w:r w:rsidR="00EC7EDF" w:rsidRPr="00FD211F">
        <w:rPr>
          <w:sz w:val="36"/>
          <w:szCs w:val="36"/>
          <w:rtl/>
        </w:rPr>
        <w:t xml:space="preserve">ة </w:t>
      </w:r>
      <w:r w:rsidRPr="00FD211F">
        <w:rPr>
          <w:sz w:val="36"/>
          <w:szCs w:val="36"/>
          <w:rtl/>
        </w:rPr>
        <w:t>مثلا هو المرتب</w:t>
      </w:r>
      <w:r w:rsidR="00EC7EDF" w:rsidRPr="00FD211F">
        <w:rPr>
          <w:sz w:val="36"/>
          <w:szCs w:val="36"/>
          <w:rtl/>
        </w:rPr>
        <w:t xml:space="preserve">ة </w:t>
      </w:r>
      <w:r w:rsidRPr="00FD211F">
        <w:rPr>
          <w:sz w:val="36"/>
          <w:szCs w:val="36"/>
          <w:rtl/>
        </w:rPr>
        <w:t>العليا الواجد</w:t>
      </w:r>
      <w:r w:rsidR="00EC7EDF" w:rsidRPr="00FD211F">
        <w:rPr>
          <w:sz w:val="36"/>
          <w:szCs w:val="36"/>
          <w:rtl/>
        </w:rPr>
        <w:t xml:space="preserve">ة </w:t>
      </w:r>
      <w:r w:rsidRPr="00FD211F">
        <w:rPr>
          <w:sz w:val="36"/>
          <w:szCs w:val="36"/>
          <w:rtl/>
        </w:rPr>
        <w:t>لتمام الأجزاء والشرائط</w:t>
      </w:r>
      <w:r w:rsidR="00603323" w:rsidRPr="00FD211F">
        <w:rPr>
          <w:sz w:val="36"/>
          <w:szCs w:val="36"/>
          <w:rtl/>
        </w:rPr>
        <w:t xml:space="preserve">، </w:t>
      </w:r>
      <w:r w:rsidRPr="00FD211F">
        <w:rPr>
          <w:sz w:val="36"/>
          <w:szCs w:val="36"/>
          <w:rtl/>
        </w:rPr>
        <w:t>اي الصلا</w:t>
      </w:r>
      <w:r w:rsidR="00EC7EDF" w:rsidRPr="00FD211F">
        <w:rPr>
          <w:sz w:val="36"/>
          <w:szCs w:val="36"/>
          <w:rtl/>
        </w:rPr>
        <w:t xml:space="preserve">ة </w:t>
      </w:r>
      <w:r w:rsidRPr="00FD211F">
        <w:rPr>
          <w:sz w:val="36"/>
          <w:szCs w:val="36"/>
          <w:rtl/>
        </w:rPr>
        <w:t>الصحيح</w:t>
      </w:r>
      <w:r w:rsidR="00EC7EDF" w:rsidRPr="00FD211F">
        <w:rPr>
          <w:sz w:val="36"/>
          <w:szCs w:val="36"/>
          <w:rtl/>
        </w:rPr>
        <w:t xml:space="preserve">ة </w:t>
      </w:r>
      <w:r w:rsidRPr="00FD211F">
        <w:rPr>
          <w:sz w:val="36"/>
          <w:szCs w:val="36"/>
          <w:rtl/>
        </w:rPr>
        <w:t>الاختياري</w:t>
      </w:r>
      <w:r w:rsidR="00EC7EDF" w:rsidRPr="00FD211F">
        <w:rPr>
          <w:sz w:val="36"/>
          <w:szCs w:val="36"/>
          <w:rtl/>
        </w:rPr>
        <w:t>ة</w:t>
      </w:r>
      <w:r w:rsidR="00603323" w:rsidRPr="00FD211F">
        <w:rPr>
          <w:sz w:val="36"/>
          <w:szCs w:val="36"/>
          <w:rtl/>
        </w:rPr>
        <w:t xml:space="preserve">، </w:t>
      </w:r>
      <w:r w:rsidRPr="00FD211F">
        <w:rPr>
          <w:sz w:val="36"/>
          <w:szCs w:val="36"/>
          <w:rtl/>
        </w:rPr>
        <w:t>بلافرق بين مسلك الصحيحي والاعمي</w:t>
      </w:r>
      <w:r w:rsidR="00603323" w:rsidRPr="00FD211F">
        <w:rPr>
          <w:sz w:val="36"/>
          <w:szCs w:val="36"/>
          <w:rtl/>
        </w:rPr>
        <w:t xml:space="preserve">، </w:t>
      </w:r>
      <w:r w:rsidRPr="00FD211F">
        <w:rPr>
          <w:sz w:val="36"/>
          <w:szCs w:val="36"/>
          <w:rtl/>
        </w:rPr>
        <w:t>وانما الفرق بينهما في ان الصحيحي يرى اختصاص اطلاق لفظ الصلا</w:t>
      </w:r>
      <w:r w:rsidR="00EC7EDF" w:rsidRPr="00FD211F">
        <w:rPr>
          <w:sz w:val="36"/>
          <w:szCs w:val="36"/>
          <w:rtl/>
        </w:rPr>
        <w:t xml:space="preserve">ة </w:t>
      </w:r>
      <w:r w:rsidRPr="00FD211F">
        <w:rPr>
          <w:sz w:val="36"/>
          <w:szCs w:val="36"/>
          <w:rtl/>
        </w:rPr>
        <w:t>بنحو المجاز الادعائي على خصوص الصحيح من المراتب النازل</w:t>
      </w:r>
      <w:r w:rsidR="00EC7EDF" w:rsidRPr="00FD211F">
        <w:rPr>
          <w:sz w:val="36"/>
          <w:szCs w:val="36"/>
          <w:rtl/>
        </w:rPr>
        <w:t>ة</w:t>
      </w:r>
      <w:r w:rsidR="00603323" w:rsidRPr="00FD211F">
        <w:rPr>
          <w:sz w:val="36"/>
          <w:szCs w:val="36"/>
          <w:rtl/>
        </w:rPr>
        <w:t xml:space="preserve">، </w:t>
      </w:r>
      <w:r w:rsidRPr="00FD211F">
        <w:rPr>
          <w:sz w:val="36"/>
          <w:szCs w:val="36"/>
          <w:rtl/>
        </w:rPr>
        <w:t>بينما يرى الأعمي توسع</w:t>
      </w:r>
      <w:r w:rsidR="00EC7EDF" w:rsidRPr="00FD211F">
        <w:rPr>
          <w:sz w:val="36"/>
          <w:szCs w:val="36"/>
          <w:rtl/>
        </w:rPr>
        <w:t xml:space="preserve">ة </w:t>
      </w:r>
      <w:r w:rsidRPr="00FD211F">
        <w:rPr>
          <w:sz w:val="36"/>
          <w:szCs w:val="36"/>
          <w:rtl/>
        </w:rPr>
        <w:t>المجاز الادعائي للفاسد من جميع المراتب أيضا</w:t>
      </w:r>
      <w:r w:rsidR="00603323" w:rsidRPr="00FD211F">
        <w:rPr>
          <w:sz w:val="36"/>
          <w:szCs w:val="36"/>
          <w:rtl/>
        </w:rPr>
        <w:t xml:space="preserve">، </w:t>
      </w:r>
      <w:r w:rsidRPr="00FD211F">
        <w:rPr>
          <w:sz w:val="36"/>
          <w:szCs w:val="36"/>
          <w:rtl/>
        </w:rPr>
        <w:t>وحينئذ فيدعي المحقق النائيني</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انه لايبقى ثمر</w:t>
      </w:r>
      <w:r w:rsidR="00EC7EDF" w:rsidRPr="00FD211F">
        <w:rPr>
          <w:sz w:val="36"/>
          <w:szCs w:val="36"/>
          <w:rtl/>
        </w:rPr>
        <w:t xml:space="preserve">ة </w:t>
      </w:r>
      <w:r w:rsidRPr="00FD211F">
        <w:rPr>
          <w:sz w:val="36"/>
          <w:szCs w:val="36"/>
          <w:rtl/>
        </w:rPr>
        <w:t>للنزاع</w:t>
      </w:r>
      <w:r w:rsidR="00603323" w:rsidRPr="00FD211F">
        <w:rPr>
          <w:sz w:val="36"/>
          <w:szCs w:val="36"/>
          <w:rtl/>
        </w:rPr>
        <w:t xml:space="preserve">، </w:t>
      </w:r>
      <w:r w:rsidRPr="00FD211F">
        <w:rPr>
          <w:sz w:val="36"/>
          <w:szCs w:val="36"/>
          <w:rtl/>
        </w:rPr>
        <w:t>اذ بعد ان</w:t>
      </w:r>
      <w:r w:rsidR="008D7B3D" w:rsidRPr="00FD211F">
        <w:rPr>
          <w:sz w:val="36"/>
          <w:szCs w:val="36"/>
          <w:rtl/>
        </w:rPr>
        <w:t xml:space="preserve"> لم‌</w:t>
      </w:r>
      <w:r w:rsidRPr="00FD211F">
        <w:rPr>
          <w:sz w:val="36"/>
          <w:szCs w:val="36"/>
          <w:rtl/>
        </w:rPr>
        <w:t>يحرز المسامح</w:t>
      </w:r>
      <w:r w:rsidR="00EC7EDF" w:rsidRPr="00FD211F">
        <w:rPr>
          <w:sz w:val="36"/>
          <w:szCs w:val="36"/>
          <w:rtl/>
        </w:rPr>
        <w:t xml:space="preserve">ة </w:t>
      </w:r>
      <w:r w:rsidRPr="00FD211F">
        <w:rPr>
          <w:sz w:val="36"/>
          <w:szCs w:val="36"/>
          <w:rtl/>
        </w:rPr>
        <w:t>والتنزيل في الاستعمالات الشرعي</w:t>
      </w:r>
      <w:r w:rsidR="00EC7EDF" w:rsidRPr="00FD211F">
        <w:rPr>
          <w:sz w:val="36"/>
          <w:szCs w:val="36"/>
          <w:rtl/>
        </w:rPr>
        <w:t xml:space="preserve">ة </w:t>
      </w:r>
      <w:r w:rsidRPr="00FD211F">
        <w:rPr>
          <w:sz w:val="36"/>
          <w:szCs w:val="36"/>
          <w:rtl/>
        </w:rPr>
        <w:t>فيكون ظاهرها او المتيقن منها المرتب</w:t>
      </w:r>
      <w:r w:rsidR="00EC7EDF" w:rsidRPr="00FD211F">
        <w:rPr>
          <w:sz w:val="36"/>
          <w:szCs w:val="36"/>
          <w:rtl/>
        </w:rPr>
        <w:t xml:space="preserve">ة </w:t>
      </w:r>
      <w:r w:rsidRPr="00FD211F">
        <w:rPr>
          <w:sz w:val="36"/>
          <w:szCs w:val="36"/>
          <w:rtl/>
        </w:rPr>
        <w:t>العالي</w:t>
      </w:r>
      <w:r w:rsidR="00EC7EDF" w:rsidRPr="00FD211F">
        <w:rPr>
          <w:sz w:val="36"/>
          <w:szCs w:val="36"/>
          <w:rtl/>
        </w:rPr>
        <w:t xml:space="preserve">ة </w:t>
      </w:r>
      <w:r w:rsidRPr="00FD211F">
        <w:rPr>
          <w:sz w:val="36"/>
          <w:szCs w:val="36"/>
          <w:rtl/>
        </w:rPr>
        <w:t>الصحيح</w:t>
      </w:r>
      <w:r w:rsidR="00EC7EDF" w:rsidRPr="00FD211F">
        <w:rPr>
          <w:sz w:val="36"/>
          <w:szCs w:val="36"/>
          <w:rtl/>
        </w:rPr>
        <w:t>ة</w:t>
      </w:r>
      <w:r w:rsidR="00603323" w:rsidRPr="00FD211F">
        <w:rPr>
          <w:sz w:val="36"/>
          <w:szCs w:val="36"/>
          <w:rtl/>
        </w:rPr>
        <w:t xml:space="preserve">، </w:t>
      </w:r>
      <w:r w:rsidRPr="00FD211F">
        <w:rPr>
          <w:sz w:val="36"/>
          <w:szCs w:val="36"/>
          <w:rtl/>
        </w:rPr>
        <w:t>ولكن يمكن ان يورد عليه بانه قد تظهر ثمر</w:t>
      </w:r>
      <w:r w:rsidR="00EC7EDF" w:rsidRPr="00FD211F">
        <w:rPr>
          <w:sz w:val="36"/>
          <w:szCs w:val="36"/>
          <w:rtl/>
        </w:rPr>
        <w:t xml:space="preserve">ة </w:t>
      </w:r>
      <w:r w:rsidRPr="00FD211F">
        <w:rPr>
          <w:sz w:val="36"/>
          <w:szCs w:val="36"/>
          <w:rtl/>
        </w:rPr>
        <w:t>النزاع فيما لو قامت قرين</w:t>
      </w:r>
      <w:r w:rsidR="00EC7EDF" w:rsidRPr="00FD211F">
        <w:rPr>
          <w:sz w:val="36"/>
          <w:szCs w:val="36"/>
          <w:rtl/>
        </w:rPr>
        <w:t xml:space="preserve">ة </w:t>
      </w:r>
      <w:r w:rsidRPr="00FD211F">
        <w:rPr>
          <w:sz w:val="36"/>
          <w:szCs w:val="36"/>
          <w:rtl/>
        </w:rPr>
        <w:t>على المسامح</w:t>
      </w:r>
      <w:r w:rsidR="00EC7EDF" w:rsidRPr="00FD211F">
        <w:rPr>
          <w:sz w:val="36"/>
          <w:szCs w:val="36"/>
          <w:rtl/>
        </w:rPr>
        <w:t xml:space="preserve">ة </w:t>
      </w:r>
      <w:r w:rsidRPr="00FD211F">
        <w:rPr>
          <w:sz w:val="36"/>
          <w:szCs w:val="36"/>
          <w:rtl/>
        </w:rPr>
        <w:t>والتنزيل</w:t>
      </w:r>
      <w:r w:rsidR="00603323" w:rsidRPr="00FD211F">
        <w:rPr>
          <w:sz w:val="36"/>
          <w:szCs w:val="36"/>
          <w:rtl/>
        </w:rPr>
        <w:t xml:space="preserve">، </w:t>
      </w:r>
      <w:r w:rsidRPr="00FD211F">
        <w:rPr>
          <w:sz w:val="36"/>
          <w:szCs w:val="36"/>
          <w:rtl/>
        </w:rPr>
        <w:t>كما لو ورد في الخطاب ان المريض يصلي جالسا</w:t>
      </w:r>
      <w:r w:rsidR="00603323" w:rsidRPr="00FD211F">
        <w:rPr>
          <w:sz w:val="36"/>
          <w:szCs w:val="36"/>
          <w:rtl/>
        </w:rPr>
        <w:t xml:space="preserve">، </w:t>
      </w:r>
      <w:r w:rsidRPr="00FD211F">
        <w:rPr>
          <w:sz w:val="36"/>
          <w:szCs w:val="36"/>
          <w:rtl/>
        </w:rPr>
        <w:t>وحينئذ فبناء على مسلك الاعمي يمكن نفي جزئي</w:t>
      </w:r>
      <w:r w:rsidR="00EC7EDF" w:rsidRPr="00FD211F">
        <w:rPr>
          <w:sz w:val="36"/>
          <w:szCs w:val="36"/>
          <w:rtl/>
        </w:rPr>
        <w:t xml:space="preserve">ة </w:t>
      </w:r>
      <w:r w:rsidRPr="00FD211F">
        <w:rPr>
          <w:sz w:val="36"/>
          <w:szCs w:val="36"/>
          <w:rtl/>
        </w:rPr>
        <w:t>المشكوك كلزوم وضع الجالس يديه على ركبتيه</w:t>
      </w:r>
      <w:r w:rsidR="001D1F79" w:rsidRPr="00FD211F">
        <w:rPr>
          <w:sz w:val="36"/>
          <w:szCs w:val="36"/>
          <w:rtl/>
        </w:rPr>
        <w:t xml:space="preserve"> حال الركوع</w:t>
      </w:r>
      <w:r w:rsidR="00603323" w:rsidRPr="00FD211F">
        <w:rPr>
          <w:sz w:val="36"/>
          <w:szCs w:val="36"/>
          <w:rtl/>
        </w:rPr>
        <w:t xml:space="preserve">، </w:t>
      </w:r>
      <w:r w:rsidRPr="00FD211F">
        <w:rPr>
          <w:sz w:val="36"/>
          <w:szCs w:val="36"/>
          <w:rtl/>
        </w:rPr>
        <w:t>حيث يرى الاعمي انه في فرض المسامح</w:t>
      </w:r>
      <w:r w:rsidR="00EC7EDF" w:rsidRPr="00FD211F">
        <w:rPr>
          <w:sz w:val="36"/>
          <w:szCs w:val="36"/>
          <w:rtl/>
        </w:rPr>
        <w:t xml:space="preserve">ة </w:t>
      </w:r>
      <w:r w:rsidRPr="00FD211F">
        <w:rPr>
          <w:sz w:val="36"/>
          <w:szCs w:val="36"/>
          <w:rtl/>
        </w:rPr>
        <w:t>والتنزيل يكون المجاز الادعائي شاملا للصحيح والفاسد</w:t>
      </w:r>
      <w:r w:rsidR="00603323" w:rsidRPr="00FD211F">
        <w:rPr>
          <w:sz w:val="36"/>
          <w:szCs w:val="36"/>
          <w:rtl/>
        </w:rPr>
        <w:t xml:space="preserve">، </w:t>
      </w:r>
      <w:r w:rsidRPr="00FD211F">
        <w:rPr>
          <w:sz w:val="36"/>
          <w:szCs w:val="36"/>
          <w:rtl/>
        </w:rPr>
        <w:t>او فقل انه يرى ان الاصل فيه هو شموله لكليهما.</w:t>
      </w:r>
    </w:p>
    <w:p w14:paraId="434B8382" w14:textId="77777777" w:rsidR="00052BF2" w:rsidRPr="00FD211F" w:rsidRDefault="00052BF2" w:rsidP="009C58C8">
      <w:pPr>
        <w:ind w:left="0" w:firstLine="227"/>
        <w:jc w:val="both"/>
        <w:rPr>
          <w:sz w:val="36"/>
          <w:szCs w:val="36"/>
          <w:rtl/>
        </w:rPr>
      </w:pPr>
      <w:r w:rsidRPr="00FD211F">
        <w:rPr>
          <w:sz w:val="36"/>
          <w:szCs w:val="36"/>
          <w:rtl/>
        </w:rPr>
        <w:t>وكيف كان فبعد ما تحصّل انه يلزم على كل من مسلك الصحيحي او الاعمي تصوير معنى جامع</w:t>
      </w:r>
      <w:r w:rsidR="00603323" w:rsidRPr="00FD211F">
        <w:rPr>
          <w:sz w:val="36"/>
          <w:szCs w:val="36"/>
          <w:rtl/>
        </w:rPr>
        <w:t xml:space="preserve">، </w:t>
      </w:r>
      <w:r w:rsidRPr="00FD211F">
        <w:rPr>
          <w:sz w:val="36"/>
          <w:szCs w:val="36"/>
          <w:rtl/>
        </w:rPr>
        <w:t>فيقع الكلام في امكانه اولا</w:t>
      </w:r>
      <w:r w:rsidR="00603323" w:rsidRPr="00FD211F">
        <w:rPr>
          <w:sz w:val="36"/>
          <w:szCs w:val="36"/>
          <w:rtl/>
        </w:rPr>
        <w:t xml:space="preserve">، </w:t>
      </w:r>
      <w:r w:rsidRPr="00FD211F">
        <w:rPr>
          <w:sz w:val="36"/>
          <w:szCs w:val="36"/>
          <w:rtl/>
        </w:rPr>
        <w:t>ثم اقام</w:t>
      </w:r>
      <w:r w:rsidR="00EC7EDF" w:rsidRPr="00FD211F">
        <w:rPr>
          <w:sz w:val="36"/>
          <w:szCs w:val="36"/>
          <w:rtl/>
        </w:rPr>
        <w:t xml:space="preserve">ة </w:t>
      </w:r>
      <w:r w:rsidRPr="00FD211F">
        <w:rPr>
          <w:sz w:val="36"/>
          <w:szCs w:val="36"/>
          <w:rtl/>
        </w:rPr>
        <w:t>الدليل على وقوعه ثانيا</w:t>
      </w:r>
      <w:r w:rsidR="00603323" w:rsidRPr="00FD211F">
        <w:rPr>
          <w:sz w:val="36"/>
          <w:szCs w:val="36"/>
          <w:rtl/>
        </w:rPr>
        <w:t xml:space="preserve">، </w:t>
      </w:r>
      <w:r w:rsidRPr="00FD211F">
        <w:rPr>
          <w:sz w:val="36"/>
          <w:szCs w:val="36"/>
          <w:rtl/>
        </w:rPr>
        <w:t>وعليه فان قلنا بعدم امكان تصوير جامع للأعم كما عليه صاحب الكفاي</w:t>
      </w:r>
      <w:r w:rsidR="00EC7EDF" w:rsidRPr="00FD211F">
        <w:rPr>
          <w:sz w:val="36"/>
          <w:szCs w:val="36"/>
          <w:rtl/>
        </w:rPr>
        <w:t xml:space="preserve">ة </w:t>
      </w:r>
      <w:r w:rsidR="00804544" w:rsidRPr="00FD211F">
        <w:rPr>
          <w:sz w:val="36"/>
          <w:szCs w:val="36"/>
          <w:rtl/>
        </w:rPr>
        <w:t>"</w:t>
      </w:r>
      <w:r w:rsidRPr="00FD211F">
        <w:rPr>
          <w:sz w:val="36"/>
          <w:szCs w:val="36"/>
          <w:rtl/>
        </w:rPr>
        <w:t>قده</w:t>
      </w:r>
      <w:r w:rsidR="00804544" w:rsidRPr="00FD211F">
        <w:rPr>
          <w:sz w:val="36"/>
          <w:szCs w:val="36"/>
          <w:rtl/>
        </w:rPr>
        <w:t>"</w:t>
      </w:r>
      <w:r w:rsidRPr="00FD211F">
        <w:rPr>
          <w:sz w:val="36"/>
          <w:szCs w:val="36"/>
          <w:rtl/>
        </w:rPr>
        <w:t xml:space="preserve"> او عدم امكان تصوير جامع للصحيح كما عليه المحقق النائيني والسيد الخوئي </w:t>
      </w:r>
      <w:r w:rsidR="00804544" w:rsidRPr="00FD211F">
        <w:rPr>
          <w:sz w:val="36"/>
          <w:szCs w:val="36"/>
          <w:rtl/>
        </w:rPr>
        <w:t>"قدهما"</w:t>
      </w:r>
      <w:r w:rsidRPr="00FD211F">
        <w:rPr>
          <w:sz w:val="36"/>
          <w:szCs w:val="36"/>
          <w:rtl/>
        </w:rPr>
        <w:t xml:space="preserve"> فلايبقى حاج</w:t>
      </w:r>
      <w:r w:rsidR="00EC7EDF" w:rsidRPr="00FD211F">
        <w:rPr>
          <w:sz w:val="36"/>
          <w:szCs w:val="36"/>
          <w:rtl/>
        </w:rPr>
        <w:t xml:space="preserve">ة </w:t>
      </w:r>
      <w:r w:rsidRPr="00FD211F">
        <w:rPr>
          <w:sz w:val="36"/>
          <w:szCs w:val="36"/>
          <w:rtl/>
        </w:rPr>
        <w:t>الى البحث عن مرحل</w:t>
      </w:r>
      <w:r w:rsidR="00EC7EDF" w:rsidRPr="00FD211F">
        <w:rPr>
          <w:sz w:val="36"/>
          <w:szCs w:val="36"/>
          <w:rtl/>
        </w:rPr>
        <w:t xml:space="preserve">ة </w:t>
      </w:r>
      <w:r w:rsidRPr="00FD211F">
        <w:rPr>
          <w:sz w:val="36"/>
          <w:szCs w:val="36"/>
          <w:rtl/>
        </w:rPr>
        <w:t>الوقوع</w:t>
      </w:r>
      <w:r w:rsidR="00603323" w:rsidRPr="00FD211F">
        <w:rPr>
          <w:sz w:val="36"/>
          <w:szCs w:val="36"/>
          <w:rtl/>
        </w:rPr>
        <w:t xml:space="preserve">، </w:t>
      </w:r>
      <w:r w:rsidRPr="00FD211F">
        <w:rPr>
          <w:sz w:val="36"/>
          <w:szCs w:val="36"/>
          <w:rtl/>
        </w:rPr>
        <w:t>اذ بناء على عدم امكان تصوير جامع للاعم يتعين الوضع للصحيح</w:t>
      </w:r>
      <w:r w:rsidR="00603323" w:rsidRPr="00FD211F">
        <w:rPr>
          <w:sz w:val="36"/>
          <w:szCs w:val="36"/>
          <w:rtl/>
        </w:rPr>
        <w:t xml:space="preserve">، </w:t>
      </w:r>
      <w:r w:rsidRPr="00FD211F">
        <w:rPr>
          <w:sz w:val="36"/>
          <w:szCs w:val="36"/>
          <w:rtl/>
        </w:rPr>
        <w:t>كما انه بناء على عدم امكان تصوير جامع للصحيح يتعين الوضع للاعم</w:t>
      </w:r>
      <w:r w:rsidR="00603323" w:rsidRPr="00FD211F">
        <w:rPr>
          <w:sz w:val="36"/>
          <w:szCs w:val="36"/>
          <w:rtl/>
        </w:rPr>
        <w:t xml:space="preserve">، </w:t>
      </w:r>
      <w:r w:rsidRPr="00FD211F">
        <w:rPr>
          <w:sz w:val="36"/>
          <w:szCs w:val="36"/>
          <w:rtl/>
        </w:rPr>
        <w:t>وحينئذ فيقع الكلام في تصوير الجامع للصحيح اولا وللاعم ثانيا.</w:t>
      </w:r>
    </w:p>
    <w:p w14:paraId="4300FDD3" w14:textId="77777777" w:rsidR="00052BF2" w:rsidRPr="00FD211F" w:rsidRDefault="00052BF2" w:rsidP="009C58C8">
      <w:pPr>
        <w:pStyle w:val="3"/>
        <w:ind w:firstLine="227"/>
        <w:jc w:val="both"/>
        <w:rPr>
          <w:rtl/>
        </w:rPr>
      </w:pPr>
      <w:bookmarkStart w:id="367" w:name="_Toc192092920"/>
      <w:bookmarkStart w:id="368" w:name="_Toc223890399"/>
      <w:r w:rsidRPr="00FD211F">
        <w:rPr>
          <w:rtl/>
        </w:rPr>
        <w:t>تصوير الجامع للصحيح</w:t>
      </w:r>
      <w:bookmarkEnd w:id="367"/>
      <w:bookmarkEnd w:id="368"/>
    </w:p>
    <w:p w14:paraId="18165B33" w14:textId="77777777" w:rsidR="000C5BBA" w:rsidRPr="00FD211F" w:rsidRDefault="00052BF2" w:rsidP="005946E3">
      <w:pPr>
        <w:ind w:left="0" w:firstLine="227"/>
        <w:jc w:val="both"/>
        <w:rPr>
          <w:sz w:val="36"/>
          <w:szCs w:val="36"/>
          <w:rtl/>
        </w:rPr>
      </w:pPr>
      <w:r w:rsidRPr="00FD211F">
        <w:rPr>
          <w:sz w:val="36"/>
          <w:szCs w:val="36"/>
          <w:rtl/>
        </w:rPr>
        <w:t>أورد الشيخ الاعظم</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على تصوير الجامع للصحيح بما محصله انه إما يكون هذا الجامع مر</w:t>
      </w:r>
      <w:r w:rsidR="00804544" w:rsidRPr="00FD211F">
        <w:rPr>
          <w:sz w:val="36"/>
          <w:szCs w:val="36"/>
          <w:rtl/>
        </w:rPr>
        <w:t>كبا او بسيطا</w:t>
      </w:r>
      <w:r w:rsidR="00603323" w:rsidRPr="00FD211F">
        <w:rPr>
          <w:sz w:val="36"/>
          <w:szCs w:val="36"/>
          <w:rtl/>
        </w:rPr>
        <w:t xml:space="preserve">، </w:t>
      </w:r>
      <w:r w:rsidR="00804544" w:rsidRPr="00FD211F">
        <w:rPr>
          <w:sz w:val="36"/>
          <w:szCs w:val="36"/>
          <w:rtl/>
        </w:rPr>
        <w:t>وكلاهما غير محتمل.</w:t>
      </w:r>
    </w:p>
    <w:p w14:paraId="2CB57B4F" w14:textId="77777777" w:rsidR="000C5BBA" w:rsidRPr="00FD211F" w:rsidRDefault="00052BF2" w:rsidP="009C58C8">
      <w:pPr>
        <w:ind w:left="0" w:firstLine="227"/>
        <w:jc w:val="both"/>
        <w:rPr>
          <w:sz w:val="36"/>
          <w:szCs w:val="36"/>
          <w:rtl/>
        </w:rPr>
      </w:pPr>
      <w:r w:rsidRPr="00FD211F">
        <w:rPr>
          <w:sz w:val="36"/>
          <w:szCs w:val="36"/>
          <w:rtl/>
        </w:rPr>
        <w:t>أما الجامع المركب فلانه ان أخذ فيه جميع القيود المعتبر</w:t>
      </w:r>
      <w:r w:rsidR="00EC7EDF" w:rsidRPr="00FD211F">
        <w:rPr>
          <w:sz w:val="36"/>
          <w:szCs w:val="36"/>
          <w:rtl/>
        </w:rPr>
        <w:t xml:space="preserve">ة </w:t>
      </w:r>
      <w:r w:rsidRPr="00FD211F">
        <w:rPr>
          <w:sz w:val="36"/>
          <w:szCs w:val="36"/>
          <w:rtl/>
        </w:rPr>
        <w:t>في حال الاختيار</w:t>
      </w:r>
      <w:r w:rsidR="008D7B3D" w:rsidRPr="00FD211F">
        <w:rPr>
          <w:sz w:val="36"/>
          <w:szCs w:val="36"/>
          <w:rtl/>
        </w:rPr>
        <w:t xml:space="preserve"> لم‌</w:t>
      </w:r>
      <w:r w:rsidRPr="00FD211F">
        <w:rPr>
          <w:sz w:val="36"/>
          <w:szCs w:val="36"/>
          <w:rtl/>
        </w:rPr>
        <w:t>ينطبق على الفاقد لبعض تلك القيود في حال الاضطرار</w:t>
      </w:r>
      <w:r w:rsidR="00603323" w:rsidRPr="00FD211F">
        <w:rPr>
          <w:sz w:val="36"/>
          <w:szCs w:val="36"/>
          <w:rtl/>
        </w:rPr>
        <w:t xml:space="preserve">، </w:t>
      </w:r>
      <w:r w:rsidRPr="00FD211F">
        <w:rPr>
          <w:sz w:val="36"/>
          <w:szCs w:val="36"/>
          <w:rtl/>
        </w:rPr>
        <w:t>وان أخذ فيه خصوص القيود المعتبر</w:t>
      </w:r>
      <w:r w:rsidR="00EC7EDF" w:rsidRPr="00FD211F">
        <w:rPr>
          <w:sz w:val="36"/>
          <w:szCs w:val="36"/>
          <w:rtl/>
        </w:rPr>
        <w:t xml:space="preserve">ة </w:t>
      </w:r>
      <w:r w:rsidRPr="00FD211F">
        <w:rPr>
          <w:sz w:val="36"/>
          <w:szCs w:val="36"/>
          <w:rtl/>
        </w:rPr>
        <w:t xml:space="preserve">في جميع الحالات فينطبق على فعل المختار الفاقد لبعض </w:t>
      </w:r>
      <w:r w:rsidR="00804544" w:rsidRPr="00FD211F">
        <w:rPr>
          <w:sz w:val="36"/>
          <w:szCs w:val="36"/>
          <w:rtl/>
        </w:rPr>
        <w:t>القيود المعتبر</w:t>
      </w:r>
      <w:r w:rsidR="00EC7EDF" w:rsidRPr="00FD211F">
        <w:rPr>
          <w:sz w:val="36"/>
          <w:szCs w:val="36"/>
          <w:rtl/>
        </w:rPr>
        <w:t xml:space="preserve">ة </w:t>
      </w:r>
      <w:r w:rsidR="00804544" w:rsidRPr="00FD211F">
        <w:rPr>
          <w:sz w:val="36"/>
          <w:szCs w:val="36"/>
          <w:rtl/>
        </w:rPr>
        <w:t>في حال الاختيار.</w:t>
      </w:r>
    </w:p>
    <w:p w14:paraId="49485FFD" w14:textId="77777777" w:rsidR="00052BF2" w:rsidRPr="00FD211F" w:rsidRDefault="00052BF2" w:rsidP="009C58C8">
      <w:pPr>
        <w:ind w:left="0" w:firstLine="227"/>
        <w:jc w:val="both"/>
        <w:rPr>
          <w:sz w:val="36"/>
          <w:szCs w:val="36"/>
          <w:rtl/>
        </w:rPr>
      </w:pPr>
      <w:r w:rsidRPr="00FD211F">
        <w:rPr>
          <w:sz w:val="36"/>
          <w:szCs w:val="36"/>
          <w:rtl/>
        </w:rPr>
        <w:t>مثال ذلك: أنه اذا أخذ في الجامع المركب للصلا</w:t>
      </w:r>
      <w:r w:rsidR="00EC7EDF" w:rsidRPr="00FD211F">
        <w:rPr>
          <w:sz w:val="36"/>
          <w:szCs w:val="36"/>
          <w:rtl/>
        </w:rPr>
        <w:t xml:space="preserve">ة </w:t>
      </w:r>
      <w:r w:rsidRPr="00FD211F">
        <w:rPr>
          <w:sz w:val="36"/>
          <w:szCs w:val="36"/>
          <w:rtl/>
        </w:rPr>
        <w:t>الصحيح</w:t>
      </w:r>
      <w:r w:rsidR="00EC7EDF" w:rsidRPr="00FD211F">
        <w:rPr>
          <w:sz w:val="36"/>
          <w:szCs w:val="36"/>
          <w:rtl/>
        </w:rPr>
        <w:t xml:space="preserve">ة </w:t>
      </w:r>
      <w:r w:rsidRPr="00FD211F">
        <w:rPr>
          <w:sz w:val="36"/>
          <w:szCs w:val="36"/>
          <w:rtl/>
        </w:rPr>
        <w:t>القيام</w:t>
      </w:r>
      <w:r w:rsidR="008D7B3D" w:rsidRPr="00FD211F">
        <w:rPr>
          <w:sz w:val="36"/>
          <w:szCs w:val="36"/>
          <w:rtl/>
        </w:rPr>
        <w:t xml:space="preserve"> لم‌</w:t>
      </w:r>
      <w:r w:rsidRPr="00FD211F">
        <w:rPr>
          <w:sz w:val="36"/>
          <w:szCs w:val="36"/>
          <w:rtl/>
        </w:rPr>
        <w:t>يشمل الصلا</w:t>
      </w:r>
      <w:r w:rsidR="00EC7EDF" w:rsidRPr="00FD211F">
        <w:rPr>
          <w:sz w:val="36"/>
          <w:szCs w:val="36"/>
          <w:rtl/>
        </w:rPr>
        <w:t xml:space="preserve">ة </w:t>
      </w:r>
      <w:r w:rsidRPr="00FD211F">
        <w:rPr>
          <w:sz w:val="36"/>
          <w:szCs w:val="36"/>
          <w:rtl/>
        </w:rPr>
        <w:t>جالسا في حال الاضطرار</w:t>
      </w:r>
      <w:r w:rsidR="00603323" w:rsidRPr="00FD211F">
        <w:rPr>
          <w:sz w:val="36"/>
          <w:szCs w:val="36"/>
          <w:rtl/>
        </w:rPr>
        <w:t xml:space="preserve">، </w:t>
      </w:r>
      <w:r w:rsidRPr="00FD211F">
        <w:rPr>
          <w:sz w:val="36"/>
          <w:szCs w:val="36"/>
          <w:rtl/>
        </w:rPr>
        <w:t>مع كونها صحيح</w:t>
      </w:r>
      <w:r w:rsidR="00EC7EDF" w:rsidRPr="00FD211F">
        <w:rPr>
          <w:sz w:val="36"/>
          <w:szCs w:val="36"/>
          <w:rtl/>
        </w:rPr>
        <w:t xml:space="preserve">ة </w:t>
      </w:r>
      <w:r w:rsidRPr="00FD211F">
        <w:rPr>
          <w:sz w:val="36"/>
          <w:szCs w:val="36"/>
          <w:rtl/>
        </w:rPr>
        <w:t>بلااشكال</w:t>
      </w:r>
      <w:r w:rsidR="00603323" w:rsidRPr="00FD211F">
        <w:rPr>
          <w:sz w:val="36"/>
          <w:szCs w:val="36"/>
          <w:rtl/>
        </w:rPr>
        <w:t xml:space="preserve">، </w:t>
      </w:r>
      <w:r w:rsidRPr="00FD211F">
        <w:rPr>
          <w:sz w:val="36"/>
          <w:szCs w:val="36"/>
          <w:rtl/>
        </w:rPr>
        <w:t>وان</w:t>
      </w:r>
      <w:r w:rsidR="008D7B3D" w:rsidRPr="00FD211F">
        <w:rPr>
          <w:sz w:val="36"/>
          <w:szCs w:val="36"/>
          <w:rtl/>
        </w:rPr>
        <w:t xml:space="preserve"> لم‌</w:t>
      </w:r>
      <w:r w:rsidRPr="00FD211F">
        <w:rPr>
          <w:sz w:val="36"/>
          <w:szCs w:val="36"/>
          <w:rtl/>
        </w:rPr>
        <w:t>يؤخذ فيه القيام انطبق على صلا</w:t>
      </w:r>
      <w:r w:rsidR="00EC7EDF" w:rsidRPr="00FD211F">
        <w:rPr>
          <w:sz w:val="36"/>
          <w:szCs w:val="36"/>
          <w:rtl/>
        </w:rPr>
        <w:t xml:space="preserve">ة </w:t>
      </w:r>
      <w:r w:rsidRPr="00FD211F">
        <w:rPr>
          <w:sz w:val="36"/>
          <w:szCs w:val="36"/>
          <w:rtl/>
        </w:rPr>
        <w:t>المختار جالسا مع كونها فاسد</w:t>
      </w:r>
      <w:r w:rsidR="00EC7EDF" w:rsidRPr="00FD211F">
        <w:rPr>
          <w:sz w:val="36"/>
          <w:szCs w:val="36"/>
          <w:rtl/>
        </w:rPr>
        <w:t>ة</w:t>
      </w:r>
      <w:r w:rsidR="00603323" w:rsidRPr="00FD211F">
        <w:rPr>
          <w:sz w:val="36"/>
          <w:szCs w:val="36"/>
          <w:rtl/>
        </w:rPr>
        <w:t xml:space="preserve">، </w:t>
      </w:r>
      <w:r w:rsidRPr="00FD211F">
        <w:rPr>
          <w:sz w:val="36"/>
          <w:szCs w:val="36"/>
          <w:rtl/>
        </w:rPr>
        <w:t>على انه في مثل الصلا</w:t>
      </w:r>
      <w:r w:rsidR="00EC7EDF" w:rsidRPr="00FD211F">
        <w:rPr>
          <w:sz w:val="36"/>
          <w:szCs w:val="36"/>
          <w:rtl/>
        </w:rPr>
        <w:t xml:space="preserve">ة </w:t>
      </w:r>
      <w:r w:rsidRPr="00FD211F">
        <w:rPr>
          <w:sz w:val="36"/>
          <w:szCs w:val="36"/>
          <w:rtl/>
        </w:rPr>
        <w:t>التي تكون لها اقسام مختلف</w:t>
      </w:r>
      <w:r w:rsidR="00EC7EDF" w:rsidRPr="00FD211F">
        <w:rPr>
          <w:sz w:val="36"/>
          <w:szCs w:val="36"/>
          <w:rtl/>
        </w:rPr>
        <w:t xml:space="preserve">ة </w:t>
      </w:r>
      <w:r w:rsidRPr="00FD211F">
        <w:rPr>
          <w:sz w:val="36"/>
          <w:szCs w:val="36"/>
          <w:rtl/>
        </w:rPr>
        <w:t>عرضي</w:t>
      </w:r>
      <w:r w:rsidR="00EC7EDF" w:rsidRPr="00FD211F">
        <w:rPr>
          <w:sz w:val="36"/>
          <w:szCs w:val="36"/>
          <w:rtl/>
        </w:rPr>
        <w:t xml:space="preserve">ة </w:t>
      </w:r>
      <w:r w:rsidRPr="00FD211F">
        <w:rPr>
          <w:sz w:val="36"/>
          <w:szCs w:val="36"/>
          <w:rtl/>
        </w:rPr>
        <w:t>كالصلا</w:t>
      </w:r>
      <w:r w:rsidR="00EC7EDF" w:rsidRPr="00FD211F">
        <w:rPr>
          <w:sz w:val="36"/>
          <w:szCs w:val="36"/>
          <w:rtl/>
        </w:rPr>
        <w:t xml:space="preserve">ة </w:t>
      </w:r>
      <w:r w:rsidRPr="00FD211F">
        <w:rPr>
          <w:sz w:val="36"/>
          <w:szCs w:val="36"/>
          <w:rtl/>
        </w:rPr>
        <w:t>الثنائي</w:t>
      </w:r>
      <w:r w:rsidR="00EC7EDF" w:rsidRPr="00FD211F">
        <w:rPr>
          <w:sz w:val="36"/>
          <w:szCs w:val="36"/>
          <w:rtl/>
        </w:rPr>
        <w:t xml:space="preserve">ة </w:t>
      </w:r>
      <w:r w:rsidRPr="00FD211F">
        <w:rPr>
          <w:sz w:val="36"/>
          <w:szCs w:val="36"/>
          <w:rtl/>
        </w:rPr>
        <w:t>والثلاثي</w:t>
      </w:r>
      <w:r w:rsidR="00EC7EDF" w:rsidRPr="00FD211F">
        <w:rPr>
          <w:sz w:val="36"/>
          <w:szCs w:val="36"/>
          <w:rtl/>
        </w:rPr>
        <w:t xml:space="preserve">ة </w:t>
      </w:r>
      <w:r w:rsidRPr="00FD211F">
        <w:rPr>
          <w:sz w:val="36"/>
          <w:szCs w:val="36"/>
          <w:rtl/>
        </w:rPr>
        <w:t>والرباعي</w:t>
      </w:r>
      <w:r w:rsidR="00EC7EDF" w:rsidRPr="00FD211F">
        <w:rPr>
          <w:sz w:val="36"/>
          <w:szCs w:val="36"/>
          <w:rtl/>
        </w:rPr>
        <w:t>ة</w:t>
      </w:r>
      <w:r w:rsidR="00603323" w:rsidRPr="00FD211F">
        <w:rPr>
          <w:sz w:val="36"/>
          <w:szCs w:val="36"/>
          <w:rtl/>
        </w:rPr>
        <w:t xml:space="preserve">، </w:t>
      </w:r>
      <w:r w:rsidRPr="00FD211F">
        <w:rPr>
          <w:sz w:val="36"/>
          <w:szCs w:val="36"/>
          <w:rtl/>
        </w:rPr>
        <w:t>الجهري</w:t>
      </w:r>
      <w:r w:rsidR="00EC7EDF" w:rsidRPr="00FD211F">
        <w:rPr>
          <w:sz w:val="36"/>
          <w:szCs w:val="36"/>
          <w:rtl/>
        </w:rPr>
        <w:t xml:space="preserve">ة </w:t>
      </w:r>
      <w:r w:rsidRPr="00FD211F">
        <w:rPr>
          <w:sz w:val="36"/>
          <w:szCs w:val="36"/>
          <w:rtl/>
        </w:rPr>
        <w:t>والاخفاتي</w:t>
      </w:r>
      <w:r w:rsidR="00EC7EDF" w:rsidRPr="00FD211F">
        <w:rPr>
          <w:sz w:val="36"/>
          <w:szCs w:val="36"/>
          <w:rtl/>
        </w:rPr>
        <w:t>ة</w:t>
      </w:r>
      <w:r w:rsidR="00603323" w:rsidRPr="00FD211F">
        <w:rPr>
          <w:sz w:val="36"/>
          <w:szCs w:val="36"/>
          <w:rtl/>
        </w:rPr>
        <w:t xml:space="preserve">، </w:t>
      </w:r>
      <w:r w:rsidRPr="00FD211F">
        <w:rPr>
          <w:sz w:val="36"/>
          <w:szCs w:val="36"/>
          <w:rtl/>
        </w:rPr>
        <w:t>القصر والتمام</w:t>
      </w:r>
      <w:r w:rsidR="00603323" w:rsidRPr="00FD211F">
        <w:rPr>
          <w:sz w:val="36"/>
          <w:szCs w:val="36"/>
          <w:rtl/>
        </w:rPr>
        <w:t xml:space="preserve">، </w:t>
      </w:r>
      <w:r w:rsidRPr="00FD211F">
        <w:rPr>
          <w:sz w:val="36"/>
          <w:szCs w:val="36"/>
          <w:rtl/>
        </w:rPr>
        <w:t>اليومي</w:t>
      </w:r>
      <w:r w:rsidR="00EC7EDF" w:rsidRPr="00FD211F">
        <w:rPr>
          <w:sz w:val="36"/>
          <w:szCs w:val="36"/>
          <w:rtl/>
        </w:rPr>
        <w:t xml:space="preserve">ة </w:t>
      </w:r>
      <w:r w:rsidRPr="00FD211F">
        <w:rPr>
          <w:sz w:val="36"/>
          <w:szCs w:val="36"/>
          <w:rtl/>
        </w:rPr>
        <w:t>والآيات والعيدين</w:t>
      </w:r>
      <w:r w:rsidR="00603323" w:rsidRPr="00FD211F">
        <w:rPr>
          <w:sz w:val="36"/>
          <w:szCs w:val="36"/>
          <w:rtl/>
        </w:rPr>
        <w:t xml:space="preserve">، </w:t>
      </w:r>
      <w:r w:rsidRPr="00FD211F">
        <w:rPr>
          <w:sz w:val="36"/>
          <w:szCs w:val="36"/>
          <w:rtl/>
        </w:rPr>
        <w:t>فلايمكن الجمع بين قيودها</w:t>
      </w:r>
      <w:r w:rsidR="00603323" w:rsidRPr="00FD211F">
        <w:rPr>
          <w:sz w:val="36"/>
          <w:szCs w:val="36"/>
          <w:rtl/>
        </w:rPr>
        <w:t xml:space="preserve">، </w:t>
      </w:r>
      <w:r w:rsidRPr="00FD211F">
        <w:rPr>
          <w:sz w:val="36"/>
          <w:szCs w:val="36"/>
          <w:rtl/>
        </w:rPr>
        <w:t>حيث أنه لو أخذ خصوصي</w:t>
      </w:r>
      <w:r w:rsidR="00EC7EDF" w:rsidRPr="00FD211F">
        <w:rPr>
          <w:sz w:val="36"/>
          <w:szCs w:val="36"/>
          <w:rtl/>
        </w:rPr>
        <w:t xml:space="preserve">ة </w:t>
      </w:r>
      <w:r w:rsidRPr="00FD211F">
        <w:rPr>
          <w:sz w:val="36"/>
          <w:szCs w:val="36"/>
          <w:rtl/>
        </w:rPr>
        <w:t>أي منها في المركب</w:t>
      </w:r>
      <w:r w:rsidR="008D7B3D" w:rsidRPr="00FD211F">
        <w:rPr>
          <w:sz w:val="36"/>
          <w:szCs w:val="36"/>
          <w:rtl/>
        </w:rPr>
        <w:t xml:space="preserve"> لم‌</w:t>
      </w:r>
      <w:r w:rsidRPr="00FD211F">
        <w:rPr>
          <w:sz w:val="36"/>
          <w:szCs w:val="36"/>
          <w:rtl/>
        </w:rPr>
        <w:t>ينطبق على سائر الخصوصيات</w:t>
      </w:r>
      <w:r w:rsidR="00603323" w:rsidRPr="00FD211F">
        <w:rPr>
          <w:sz w:val="36"/>
          <w:szCs w:val="36"/>
          <w:rtl/>
        </w:rPr>
        <w:t xml:space="preserve">، </w:t>
      </w:r>
      <w:r w:rsidRPr="00FD211F">
        <w:rPr>
          <w:sz w:val="36"/>
          <w:szCs w:val="36"/>
          <w:rtl/>
        </w:rPr>
        <w:t>وان</w:t>
      </w:r>
      <w:r w:rsidR="008D7B3D" w:rsidRPr="00FD211F">
        <w:rPr>
          <w:sz w:val="36"/>
          <w:szCs w:val="36"/>
          <w:rtl/>
        </w:rPr>
        <w:t xml:space="preserve"> لم‌</w:t>
      </w:r>
      <w:r w:rsidRPr="00FD211F">
        <w:rPr>
          <w:sz w:val="36"/>
          <w:szCs w:val="36"/>
          <w:rtl/>
        </w:rPr>
        <w:t>يؤخذ أي</w:t>
      </w:r>
      <w:r w:rsidR="00EC7EDF" w:rsidRPr="00FD211F">
        <w:rPr>
          <w:sz w:val="36"/>
          <w:szCs w:val="36"/>
          <w:rtl/>
        </w:rPr>
        <w:t xml:space="preserve">ة </w:t>
      </w:r>
      <w:r w:rsidRPr="00FD211F">
        <w:rPr>
          <w:sz w:val="36"/>
          <w:szCs w:val="36"/>
          <w:rtl/>
        </w:rPr>
        <w:t>خصوصي</w:t>
      </w:r>
      <w:r w:rsidR="00EC7EDF" w:rsidRPr="00FD211F">
        <w:rPr>
          <w:sz w:val="36"/>
          <w:szCs w:val="36"/>
          <w:rtl/>
        </w:rPr>
        <w:t xml:space="preserve">ة </w:t>
      </w:r>
      <w:r w:rsidRPr="00FD211F">
        <w:rPr>
          <w:sz w:val="36"/>
          <w:szCs w:val="36"/>
          <w:rtl/>
        </w:rPr>
        <w:t>منها في المركب شمل فرض الاتيان بسائر الخصوصيات مكان الخصوصي</w:t>
      </w:r>
      <w:r w:rsidR="00EC7EDF" w:rsidRPr="00FD211F">
        <w:rPr>
          <w:sz w:val="36"/>
          <w:szCs w:val="36"/>
          <w:rtl/>
        </w:rPr>
        <w:t xml:space="preserve">ة </w:t>
      </w:r>
      <w:r w:rsidRPr="00FD211F">
        <w:rPr>
          <w:sz w:val="36"/>
          <w:szCs w:val="36"/>
          <w:rtl/>
        </w:rPr>
        <w:t>الصحيح</w:t>
      </w:r>
      <w:r w:rsidR="00EC7EDF" w:rsidRPr="00FD211F">
        <w:rPr>
          <w:sz w:val="36"/>
          <w:szCs w:val="36"/>
          <w:rtl/>
        </w:rPr>
        <w:t>ة</w:t>
      </w:r>
      <w:r w:rsidR="00603323" w:rsidRPr="00FD211F">
        <w:rPr>
          <w:sz w:val="36"/>
          <w:szCs w:val="36"/>
          <w:rtl/>
        </w:rPr>
        <w:t xml:space="preserve">، </w:t>
      </w:r>
      <w:r w:rsidRPr="00FD211F">
        <w:rPr>
          <w:sz w:val="36"/>
          <w:szCs w:val="36"/>
          <w:rtl/>
        </w:rPr>
        <w:t>كصلا</w:t>
      </w:r>
      <w:r w:rsidR="00EC7EDF" w:rsidRPr="00FD211F">
        <w:rPr>
          <w:sz w:val="36"/>
          <w:szCs w:val="36"/>
          <w:rtl/>
        </w:rPr>
        <w:t xml:space="preserve">ة </w:t>
      </w:r>
      <w:r w:rsidRPr="00FD211F">
        <w:rPr>
          <w:sz w:val="36"/>
          <w:szCs w:val="36"/>
          <w:rtl/>
        </w:rPr>
        <w:t>القصر عند وجوب صلا</w:t>
      </w:r>
      <w:r w:rsidR="00EC7EDF" w:rsidRPr="00FD211F">
        <w:rPr>
          <w:sz w:val="36"/>
          <w:szCs w:val="36"/>
          <w:rtl/>
        </w:rPr>
        <w:t xml:space="preserve">ة </w:t>
      </w:r>
      <w:r w:rsidRPr="00FD211F">
        <w:rPr>
          <w:sz w:val="36"/>
          <w:szCs w:val="36"/>
          <w:rtl/>
        </w:rPr>
        <w:t>التمام</w:t>
      </w:r>
      <w:r w:rsidR="00603323" w:rsidRPr="00FD211F">
        <w:rPr>
          <w:sz w:val="36"/>
          <w:szCs w:val="36"/>
          <w:rtl/>
        </w:rPr>
        <w:t xml:space="preserve">، </w:t>
      </w:r>
      <w:r w:rsidRPr="00FD211F">
        <w:rPr>
          <w:sz w:val="36"/>
          <w:szCs w:val="36"/>
          <w:rtl/>
        </w:rPr>
        <w:t>مع أنها تكون فاسد</w:t>
      </w:r>
      <w:r w:rsidR="00EC7EDF" w:rsidRPr="00FD211F">
        <w:rPr>
          <w:sz w:val="36"/>
          <w:szCs w:val="36"/>
          <w:rtl/>
        </w:rPr>
        <w:t>ة</w:t>
      </w:r>
      <w:r w:rsidR="00A61BAE" w:rsidRPr="00FD211F">
        <w:rPr>
          <w:sz w:val="36"/>
          <w:szCs w:val="36"/>
          <w:rtl/>
        </w:rPr>
        <w:t>.</w:t>
      </w:r>
    </w:p>
    <w:p w14:paraId="78974207" w14:textId="77777777" w:rsidR="000C5BBA" w:rsidRPr="00FD211F" w:rsidRDefault="00052BF2" w:rsidP="009C58C8">
      <w:pPr>
        <w:ind w:left="0" w:firstLine="227"/>
        <w:jc w:val="both"/>
        <w:rPr>
          <w:sz w:val="36"/>
          <w:szCs w:val="36"/>
          <w:rtl/>
        </w:rPr>
      </w:pPr>
      <w:r w:rsidRPr="00FD211F">
        <w:rPr>
          <w:sz w:val="36"/>
          <w:szCs w:val="36"/>
          <w:rtl/>
        </w:rPr>
        <w:t>وأما الجامع البسيط فهو إما يكون عنو</w:t>
      </w:r>
      <w:r w:rsidR="00804544" w:rsidRPr="00FD211F">
        <w:rPr>
          <w:sz w:val="36"/>
          <w:szCs w:val="36"/>
          <w:rtl/>
        </w:rPr>
        <w:t>ان المطلوب او ما يكون ملزوما له.</w:t>
      </w:r>
    </w:p>
    <w:p w14:paraId="5DCCED91" w14:textId="77777777" w:rsidR="00804544" w:rsidRPr="00FD211F" w:rsidRDefault="00052BF2" w:rsidP="009C58C8">
      <w:pPr>
        <w:ind w:left="0" w:firstLine="227"/>
        <w:jc w:val="both"/>
        <w:rPr>
          <w:sz w:val="36"/>
          <w:szCs w:val="36"/>
          <w:rtl/>
        </w:rPr>
      </w:pPr>
      <w:r w:rsidRPr="00FD211F">
        <w:rPr>
          <w:sz w:val="36"/>
          <w:szCs w:val="36"/>
          <w:rtl/>
        </w:rPr>
        <w:t>فان كان الجامع هو عنوان المطلوب لزم منه</w:t>
      </w:r>
      <w:r w:rsidRPr="00FD211F">
        <w:rPr>
          <w:b/>
          <w:bCs/>
          <w:sz w:val="36"/>
          <w:szCs w:val="36"/>
          <w:rtl/>
        </w:rPr>
        <w:t xml:space="preserve"> اولا</w:t>
      </w:r>
      <w:r w:rsidRPr="00FD211F">
        <w:rPr>
          <w:sz w:val="36"/>
          <w:szCs w:val="36"/>
          <w:rtl/>
        </w:rPr>
        <w:t>: الخلف</w:t>
      </w:r>
      <w:r w:rsidR="00603323" w:rsidRPr="00FD211F">
        <w:rPr>
          <w:sz w:val="36"/>
          <w:szCs w:val="36"/>
          <w:rtl/>
        </w:rPr>
        <w:t xml:space="preserve">، </w:t>
      </w:r>
      <w:r w:rsidRPr="00FD211F">
        <w:rPr>
          <w:sz w:val="36"/>
          <w:szCs w:val="36"/>
          <w:rtl/>
        </w:rPr>
        <w:t>اذ هذا العنوان ا</w:t>
      </w:r>
      <w:r w:rsidR="00A7164F" w:rsidRPr="00FD211F">
        <w:rPr>
          <w:sz w:val="36"/>
          <w:szCs w:val="36"/>
          <w:rtl/>
        </w:rPr>
        <w:t>نما ينتزع في طول تعلق الطلب بشيء</w:t>
      </w:r>
      <w:r w:rsidR="00603323" w:rsidRPr="00FD211F">
        <w:rPr>
          <w:sz w:val="36"/>
          <w:szCs w:val="36"/>
          <w:rtl/>
        </w:rPr>
        <w:t xml:space="preserve">، </w:t>
      </w:r>
      <w:r w:rsidRPr="00FD211F">
        <w:rPr>
          <w:sz w:val="36"/>
          <w:szCs w:val="36"/>
          <w:rtl/>
        </w:rPr>
        <w:t>فلايمكن ان يكون متعلق الطلب</w:t>
      </w:r>
      <w:r w:rsidR="00603323" w:rsidRPr="00FD211F">
        <w:rPr>
          <w:sz w:val="36"/>
          <w:szCs w:val="36"/>
          <w:rtl/>
        </w:rPr>
        <w:t xml:space="preserve">، </w:t>
      </w:r>
      <w:r w:rsidRPr="00FD211F">
        <w:rPr>
          <w:sz w:val="36"/>
          <w:szCs w:val="36"/>
          <w:rtl/>
        </w:rPr>
        <w:t>حيث ان متعلق الطلب متقدم رتب</w:t>
      </w:r>
      <w:r w:rsidR="00EC7EDF" w:rsidRPr="00FD211F">
        <w:rPr>
          <w:sz w:val="36"/>
          <w:szCs w:val="36"/>
          <w:rtl/>
        </w:rPr>
        <w:t xml:space="preserve">ة </w:t>
      </w:r>
      <w:r w:rsidRPr="00FD211F">
        <w:rPr>
          <w:sz w:val="36"/>
          <w:szCs w:val="36"/>
          <w:rtl/>
        </w:rPr>
        <w:t>على الطلب</w:t>
      </w:r>
      <w:r w:rsidR="00603323" w:rsidRPr="00FD211F">
        <w:rPr>
          <w:sz w:val="36"/>
          <w:szCs w:val="36"/>
          <w:rtl/>
        </w:rPr>
        <w:t xml:space="preserve">، </w:t>
      </w:r>
      <w:r w:rsidRPr="00FD211F">
        <w:rPr>
          <w:sz w:val="36"/>
          <w:szCs w:val="36"/>
          <w:rtl/>
        </w:rPr>
        <w:t>فلايمكن اخذ الطلب فيه</w:t>
      </w:r>
      <w:r w:rsidR="00EC7EDF" w:rsidRPr="00FD211F">
        <w:rPr>
          <w:sz w:val="36"/>
          <w:szCs w:val="36"/>
          <w:rtl/>
        </w:rPr>
        <w:t>.</w:t>
      </w:r>
    </w:p>
    <w:p w14:paraId="19C2CA97" w14:textId="77777777" w:rsidR="000C5BBA"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يلزم منه كون لفظ الصلا</w:t>
      </w:r>
      <w:r w:rsidR="00EC7EDF" w:rsidRPr="00FD211F">
        <w:rPr>
          <w:sz w:val="36"/>
          <w:szCs w:val="36"/>
          <w:rtl/>
        </w:rPr>
        <w:t xml:space="preserve">ة </w:t>
      </w:r>
      <w:r w:rsidRPr="00FD211F">
        <w:rPr>
          <w:sz w:val="36"/>
          <w:szCs w:val="36"/>
          <w:rtl/>
        </w:rPr>
        <w:t>مترادفا مع لفظ المطلوب</w:t>
      </w:r>
      <w:r w:rsidR="00603323" w:rsidRPr="00FD211F">
        <w:rPr>
          <w:sz w:val="36"/>
          <w:szCs w:val="36"/>
          <w:rtl/>
        </w:rPr>
        <w:t xml:space="preserve">، </w:t>
      </w:r>
      <w:r w:rsidRPr="00FD211F">
        <w:rPr>
          <w:sz w:val="36"/>
          <w:szCs w:val="36"/>
          <w:rtl/>
        </w:rPr>
        <w:t>مع انه باطل جزما لعدم ترادف بينهما عرفا</w:t>
      </w:r>
      <w:r w:rsidR="00804544" w:rsidRPr="00FD211F">
        <w:rPr>
          <w:sz w:val="36"/>
          <w:szCs w:val="36"/>
          <w:rtl/>
        </w:rPr>
        <w:t>.</w:t>
      </w:r>
    </w:p>
    <w:p w14:paraId="60E2C072" w14:textId="77777777" w:rsidR="00052BF2" w:rsidRPr="00FD211F" w:rsidRDefault="00052BF2" w:rsidP="009C58C8">
      <w:pPr>
        <w:ind w:left="0" w:firstLine="227"/>
        <w:jc w:val="both"/>
        <w:rPr>
          <w:sz w:val="36"/>
          <w:szCs w:val="36"/>
          <w:rtl/>
        </w:rPr>
      </w:pPr>
      <w:r w:rsidRPr="00FD211F">
        <w:rPr>
          <w:b/>
          <w:bCs/>
          <w:sz w:val="36"/>
          <w:szCs w:val="36"/>
          <w:rtl/>
        </w:rPr>
        <w:t>وثالثا</w:t>
      </w:r>
      <w:r w:rsidRPr="00FD211F">
        <w:rPr>
          <w:sz w:val="36"/>
          <w:szCs w:val="36"/>
          <w:rtl/>
        </w:rPr>
        <w:t>: يلزم منه عدم جريان البراء</w:t>
      </w:r>
      <w:r w:rsidR="00EC7EDF" w:rsidRPr="00FD211F">
        <w:rPr>
          <w:sz w:val="36"/>
          <w:szCs w:val="36"/>
          <w:rtl/>
        </w:rPr>
        <w:t xml:space="preserve">ة </w:t>
      </w:r>
      <w:r w:rsidRPr="00FD211F">
        <w:rPr>
          <w:sz w:val="36"/>
          <w:szCs w:val="36"/>
          <w:rtl/>
        </w:rPr>
        <w:t>عند الشك في جزئي</w:t>
      </w:r>
      <w:r w:rsidR="00EC7EDF" w:rsidRPr="00FD211F">
        <w:rPr>
          <w:sz w:val="36"/>
          <w:szCs w:val="36"/>
          <w:rtl/>
        </w:rPr>
        <w:t xml:space="preserve">ة </w:t>
      </w:r>
      <w:r w:rsidR="008D7B3D" w:rsidRPr="00FD211F">
        <w:rPr>
          <w:sz w:val="36"/>
          <w:szCs w:val="36"/>
          <w:rtl/>
        </w:rPr>
        <w:t xml:space="preserve">شيء </w:t>
      </w:r>
      <w:r w:rsidRPr="00FD211F">
        <w:rPr>
          <w:sz w:val="36"/>
          <w:szCs w:val="36"/>
          <w:rtl/>
        </w:rPr>
        <w:t>او شرطيته</w:t>
      </w:r>
      <w:r w:rsidR="00603323" w:rsidRPr="00FD211F">
        <w:rPr>
          <w:sz w:val="36"/>
          <w:szCs w:val="36"/>
          <w:rtl/>
        </w:rPr>
        <w:t xml:space="preserve">، </w:t>
      </w:r>
      <w:r w:rsidRPr="00FD211F">
        <w:rPr>
          <w:sz w:val="36"/>
          <w:szCs w:val="36"/>
          <w:rtl/>
        </w:rPr>
        <w:t>حيث يكون المأمور به عنوانا بسيطا لايدور امره بين الاقل والاكثر</w:t>
      </w:r>
      <w:r w:rsidR="00603323" w:rsidRPr="00FD211F">
        <w:rPr>
          <w:sz w:val="36"/>
          <w:szCs w:val="36"/>
          <w:rtl/>
        </w:rPr>
        <w:t xml:space="preserve">، </w:t>
      </w:r>
      <w:r w:rsidRPr="00FD211F">
        <w:rPr>
          <w:sz w:val="36"/>
          <w:szCs w:val="36"/>
          <w:rtl/>
        </w:rPr>
        <w:t>فيكون الشك في المحصل له</w:t>
      </w:r>
      <w:r w:rsidR="00603323" w:rsidRPr="00FD211F">
        <w:rPr>
          <w:sz w:val="36"/>
          <w:szCs w:val="36"/>
          <w:rtl/>
        </w:rPr>
        <w:t xml:space="preserve">، </w:t>
      </w:r>
      <w:r w:rsidRPr="00FD211F">
        <w:rPr>
          <w:sz w:val="36"/>
          <w:szCs w:val="36"/>
          <w:rtl/>
        </w:rPr>
        <w:t>فتجري قاعد</w:t>
      </w:r>
      <w:r w:rsidR="00EC7EDF" w:rsidRPr="00FD211F">
        <w:rPr>
          <w:sz w:val="36"/>
          <w:szCs w:val="36"/>
          <w:rtl/>
        </w:rPr>
        <w:t xml:space="preserve">ة </w:t>
      </w:r>
      <w:r w:rsidRPr="00FD211F">
        <w:rPr>
          <w:sz w:val="36"/>
          <w:szCs w:val="36"/>
          <w:rtl/>
        </w:rPr>
        <w:t>الاشتغال</w:t>
      </w:r>
      <w:r w:rsidR="00603323" w:rsidRPr="00FD211F">
        <w:rPr>
          <w:sz w:val="36"/>
          <w:szCs w:val="36"/>
          <w:rtl/>
        </w:rPr>
        <w:t xml:space="preserve">، </w:t>
      </w:r>
      <w:r w:rsidRPr="00FD211F">
        <w:rPr>
          <w:sz w:val="36"/>
          <w:szCs w:val="36"/>
          <w:rtl/>
        </w:rPr>
        <w:t>مع ان المشهور القائلين بالصحيح قائلون بالبراء</w:t>
      </w:r>
      <w:r w:rsidR="00EC7EDF" w:rsidRPr="00FD211F">
        <w:rPr>
          <w:sz w:val="36"/>
          <w:szCs w:val="36"/>
          <w:rtl/>
        </w:rPr>
        <w:t xml:space="preserve">ة </w:t>
      </w:r>
      <w:r w:rsidRPr="00FD211F">
        <w:rPr>
          <w:sz w:val="36"/>
          <w:szCs w:val="36"/>
          <w:rtl/>
        </w:rPr>
        <w:t>مع الشك في الجزئي</w:t>
      </w:r>
      <w:r w:rsidR="00EC7EDF" w:rsidRPr="00FD211F">
        <w:rPr>
          <w:sz w:val="36"/>
          <w:szCs w:val="36"/>
          <w:rtl/>
        </w:rPr>
        <w:t xml:space="preserve">ة </w:t>
      </w:r>
      <w:r w:rsidRPr="00FD211F">
        <w:rPr>
          <w:sz w:val="36"/>
          <w:szCs w:val="36"/>
          <w:rtl/>
        </w:rPr>
        <w:t>والشرطي</w:t>
      </w:r>
      <w:r w:rsidR="00EC7EDF" w:rsidRPr="00FD211F">
        <w:rPr>
          <w:sz w:val="36"/>
          <w:szCs w:val="36"/>
          <w:rtl/>
        </w:rPr>
        <w:t>ة</w:t>
      </w:r>
      <w:r w:rsidR="00A61BAE" w:rsidRPr="00FD211F">
        <w:rPr>
          <w:sz w:val="36"/>
          <w:szCs w:val="36"/>
          <w:rtl/>
        </w:rPr>
        <w:t>.</w:t>
      </w:r>
    </w:p>
    <w:p w14:paraId="75FDBB17" w14:textId="77777777" w:rsidR="00052BF2" w:rsidRPr="00FD211F" w:rsidRDefault="00052BF2" w:rsidP="009C58C8">
      <w:pPr>
        <w:ind w:left="0" w:firstLine="227"/>
        <w:jc w:val="both"/>
        <w:rPr>
          <w:sz w:val="36"/>
          <w:szCs w:val="36"/>
          <w:rtl/>
        </w:rPr>
      </w:pPr>
      <w:r w:rsidRPr="00FD211F">
        <w:rPr>
          <w:sz w:val="36"/>
          <w:szCs w:val="36"/>
          <w:rtl/>
        </w:rPr>
        <w:t>و</w:t>
      </w:r>
      <w:r w:rsidR="00804544" w:rsidRPr="00FD211F">
        <w:rPr>
          <w:sz w:val="36"/>
          <w:szCs w:val="36"/>
          <w:rtl/>
        </w:rPr>
        <w:t>ان</w:t>
      </w:r>
      <w:r w:rsidRPr="00FD211F">
        <w:rPr>
          <w:sz w:val="36"/>
          <w:szCs w:val="36"/>
          <w:rtl/>
        </w:rPr>
        <w:t xml:space="preserve"> كان الجامع هو ملزوم المطلوب فيرد عليه هذا الاشكال الثالث أيضا</w:t>
      </w:r>
      <w:r w:rsidR="009C58C8" w:rsidRPr="00FD211F">
        <w:rPr>
          <w:rStyle w:val="a6"/>
          <w:sz w:val="36"/>
          <w:szCs w:val="36"/>
          <w:rtl/>
        </w:rPr>
        <w:t>(</w:t>
      </w:r>
      <w:r w:rsidR="009C58C8" w:rsidRPr="00FD211F">
        <w:rPr>
          <w:rStyle w:val="a6"/>
          <w:sz w:val="36"/>
          <w:szCs w:val="36"/>
          <w:rtl/>
        </w:rPr>
        <w:footnoteReference w:id="364"/>
      </w:r>
      <w:r w:rsidR="009C58C8" w:rsidRPr="00FD211F">
        <w:rPr>
          <w:rStyle w:val="a6"/>
          <w:sz w:val="36"/>
          <w:szCs w:val="36"/>
          <w:rtl/>
        </w:rPr>
        <w:t>)</w:t>
      </w:r>
      <w:r w:rsidRPr="00FD211F">
        <w:rPr>
          <w:sz w:val="36"/>
          <w:szCs w:val="36"/>
          <w:rtl/>
        </w:rPr>
        <w:t>.</w:t>
      </w:r>
    </w:p>
    <w:p w14:paraId="21FF4DDB" w14:textId="77777777" w:rsidR="00052BF2" w:rsidRPr="00FD211F" w:rsidRDefault="00052BF2" w:rsidP="009C58C8">
      <w:pPr>
        <w:ind w:left="0" w:firstLine="227"/>
        <w:jc w:val="both"/>
        <w:rPr>
          <w:sz w:val="36"/>
          <w:szCs w:val="36"/>
          <w:rtl/>
        </w:rPr>
      </w:pPr>
      <w:r w:rsidRPr="00FD211F">
        <w:rPr>
          <w:sz w:val="36"/>
          <w:szCs w:val="36"/>
          <w:rtl/>
        </w:rPr>
        <w:t>ومن هنا تصدى جماع</w:t>
      </w:r>
      <w:r w:rsidR="00EC7EDF" w:rsidRPr="00FD211F">
        <w:rPr>
          <w:sz w:val="36"/>
          <w:szCs w:val="36"/>
          <w:rtl/>
        </w:rPr>
        <w:t xml:space="preserve">ة </w:t>
      </w:r>
      <w:r w:rsidRPr="00FD211F">
        <w:rPr>
          <w:sz w:val="36"/>
          <w:szCs w:val="36"/>
          <w:rtl/>
        </w:rPr>
        <w:t>من الاعلام لتصوير جامع صحيحي بنحو يدفع هذا الاشكال.</w:t>
      </w:r>
    </w:p>
    <w:p w14:paraId="5A5A7EA2" w14:textId="77777777" w:rsidR="00052BF2" w:rsidRPr="00FD211F" w:rsidRDefault="00052BF2" w:rsidP="009C58C8">
      <w:pPr>
        <w:pStyle w:val="3"/>
        <w:ind w:firstLine="227"/>
        <w:jc w:val="both"/>
        <w:rPr>
          <w:rtl/>
        </w:rPr>
      </w:pPr>
      <w:bookmarkStart w:id="369" w:name="_Toc192092921"/>
      <w:bookmarkStart w:id="370" w:name="_Toc223890400"/>
      <w:r w:rsidRPr="00FD211F">
        <w:rPr>
          <w:rtl/>
        </w:rPr>
        <w:t>تصوير صاحب الكفاي</w:t>
      </w:r>
      <w:r w:rsidR="00EC7EDF" w:rsidRPr="00FD211F">
        <w:rPr>
          <w:rtl/>
        </w:rPr>
        <w:t xml:space="preserve">ة </w:t>
      </w:r>
      <w:r w:rsidR="00401F8B" w:rsidRPr="00FD211F">
        <w:rPr>
          <w:rtl/>
        </w:rPr>
        <w:t>"قده"</w:t>
      </w:r>
      <w:r w:rsidRPr="00FD211F">
        <w:rPr>
          <w:rtl/>
        </w:rPr>
        <w:t xml:space="preserve"> للجامع الصحيحي</w:t>
      </w:r>
      <w:bookmarkEnd w:id="369"/>
      <w:bookmarkEnd w:id="370"/>
    </w:p>
    <w:p w14:paraId="5CB8EFE8" w14:textId="77777777" w:rsidR="00052BF2" w:rsidRPr="00FD211F" w:rsidRDefault="00052BF2" w:rsidP="009C58C8">
      <w:pPr>
        <w:ind w:left="0" w:firstLine="227"/>
        <w:jc w:val="both"/>
        <w:rPr>
          <w:sz w:val="36"/>
          <w:szCs w:val="36"/>
          <w:rtl/>
        </w:rPr>
      </w:pPr>
      <w:r w:rsidRPr="00FD211F">
        <w:rPr>
          <w:sz w:val="36"/>
          <w:szCs w:val="36"/>
          <w:rtl/>
        </w:rPr>
        <w:t>فذكر صاحب الكفاي</w:t>
      </w:r>
      <w:r w:rsidR="00EC7EDF" w:rsidRPr="00FD211F">
        <w:rPr>
          <w:sz w:val="36"/>
          <w:szCs w:val="36"/>
          <w:rtl/>
        </w:rPr>
        <w:t xml:space="preserve">ة </w:t>
      </w:r>
      <w:r w:rsidR="006715F0" w:rsidRPr="00FD211F">
        <w:rPr>
          <w:sz w:val="36"/>
          <w:szCs w:val="36"/>
          <w:rtl/>
        </w:rPr>
        <w:t>"</w:t>
      </w:r>
      <w:r w:rsidRPr="00FD211F">
        <w:rPr>
          <w:sz w:val="36"/>
          <w:szCs w:val="36"/>
          <w:rtl/>
        </w:rPr>
        <w:t>قده</w:t>
      </w:r>
      <w:r w:rsidR="006715F0" w:rsidRPr="00FD211F">
        <w:rPr>
          <w:sz w:val="36"/>
          <w:szCs w:val="36"/>
          <w:rtl/>
        </w:rPr>
        <w:t>"</w:t>
      </w:r>
      <w:r w:rsidRPr="00FD211F">
        <w:rPr>
          <w:sz w:val="36"/>
          <w:szCs w:val="36"/>
          <w:rtl/>
        </w:rPr>
        <w:t xml:space="preserve"> ان الخطابات الشرعي</w:t>
      </w:r>
      <w:r w:rsidR="00EC7EDF" w:rsidRPr="00FD211F">
        <w:rPr>
          <w:sz w:val="36"/>
          <w:szCs w:val="36"/>
          <w:rtl/>
        </w:rPr>
        <w:t xml:space="preserve">ة </w:t>
      </w:r>
      <w:r w:rsidRPr="00FD211F">
        <w:rPr>
          <w:sz w:val="36"/>
          <w:szCs w:val="36"/>
          <w:rtl/>
        </w:rPr>
        <w:t>قد دلت على اشتراك افراد الصلا</w:t>
      </w:r>
      <w:r w:rsidR="00EC7EDF" w:rsidRPr="00FD211F">
        <w:rPr>
          <w:sz w:val="36"/>
          <w:szCs w:val="36"/>
          <w:rtl/>
        </w:rPr>
        <w:t xml:space="preserve">ة </w:t>
      </w:r>
      <w:r w:rsidRPr="00FD211F">
        <w:rPr>
          <w:sz w:val="36"/>
          <w:szCs w:val="36"/>
          <w:rtl/>
        </w:rPr>
        <w:t>الصحيح</w:t>
      </w:r>
      <w:r w:rsidR="00EC7EDF" w:rsidRPr="00FD211F">
        <w:rPr>
          <w:sz w:val="36"/>
          <w:szCs w:val="36"/>
          <w:rtl/>
        </w:rPr>
        <w:t xml:space="preserve">ة </w:t>
      </w:r>
      <w:r w:rsidRPr="00FD211F">
        <w:rPr>
          <w:sz w:val="36"/>
          <w:szCs w:val="36"/>
          <w:rtl/>
        </w:rPr>
        <w:t>مثلا في اثر واحد -كالنهي عن الفحشاء والمنكر حيث ورد في قوله تعالى ان الصلا</w:t>
      </w:r>
      <w:r w:rsidR="00EC7EDF" w:rsidRPr="00FD211F">
        <w:rPr>
          <w:sz w:val="36"/>
          <w:szCs w:val="36"/>
          <w:rtl/>
        </w:rPr>
        <w:t xml:space="preserve">ة </w:t>
      </w:r>
      <w:r w:rsidRPr="00FD211F">
        <w:rPr>
          <w:sz w:val="36"/>
          <w:szCs w:val="36"/>
          <w:rtl/>
        </w:rPr>
        <w:t>تنهى عن الفحشاء والمنكر</w:t>
      </w:r>
      <w:r w:rsidR="009C58C8" w:rsidRPr="00FD211F">
        <w:rPr>
          <w:rStyle w:val="a6"/>
          <w:sz w:val="36"/>
          <w:szCs w:val="36"/>
          <w:rtl/>
        </w:rPr>
        <w:t>(</w:t>
      </w:r>
      <w:r w:rsidR="009C58C8" w:rsidRPr="00FD211F">
        <w:rPr>
          <w:rStyle w:val="a6"/>
          <w:sz w:val="36"/>
          <w:szCs w:val="36"/>
          <w:rtl/>
        </w:rPr>
        <w:footnoteReference w:id="365"/>
      </w:r>
      <w:r w:rsidR="009C58C8" w:rsidRPr="00FD211F">
        <w:rPr>
          <w:rStyle w:val="a6"/>
          <w:sz w:val="36"/>
          <w:szCs w:val="36"/>
          <w:rtl/>
        </w:rPr>
        <w:t>)</w:t>
      </w:r>
      <w:r w:rsidRPr="00FD211F">
        <w:rPr>
          <w:sz w:val="36"/>
          <w:szCs w:val="36"/>
          <w:rtl/>
        </w:rPr>
        <w:t xml:space="preserve"> او كونها قربانا لكل تقي كما ورد في الحديث عن ابي الحسن الرضا </w:t>
      </w:r>
      <w:r w:rsidR="007A4A0D" w:rsidRPr="00FD211F">
        <w:rPr>
          <w:sz w:val="36"/>
          <w:szCs w:val="36"/>
          <w:rtl/>
        </w:rPr>
        <w:t>(عليه‌السلام)</w:t>
      </w:r>
      <w:r w:rsidR="009C58C8" w:rsidRPr="00FD211F">
        <w:rPr>
          <w:rStyle w:val="a6"/>
          <w:sz w:val="36"/>
          <w:szCs w:val="36"/>
          <w:rtl/>
        </w:rPr>
        <w:t>(</w:t>
      </w:r>
      <w:r w:rsidR="009C58C8" w:rsidRPr="00FD211F">
        <w:rPr>
          <w:rStyle w:val="a6"/>
          <w:sz w:val="36"/>
          <w:szCs w:val="36"/>
          <w:rtl/>
        </w:rPr>
        <w:footnoteReference w:id="366"/>
      </w:r>
      <w:r w:rsidR="009C58C8" w:rsidRPr="00FD211F">
        <w:rPr>
          <w:rStyle w:val="a6"/>
          <w:sz w:val="36"/>
          <w:szCs w:val="36"/>
          <w:rtl/>
        </w:rPr>
        <w:t>)</w:t>
      </w:r>
      <w:r w:rsidRPr="00FD211F">
        <w:rPr>
          <w:sz w:val="36"/>
          <w:szCs w:val="36"/>
          <w:rtl/>
        </w:rPr>
        <w:t xml:space="preserve"> او كونها معراج المؤمن</w:t>
      </w:r>
      <w:r w:rsidR="009C58C8" w:rsidRPr="00FD211F">
        <w:rPr>
          <w:rStyle w:val="a6"/>
          <w:sz w:val="36"/>
          <w:szCs w:val="36"/>
          <w:rtl/>
        </w:rPr>
        <w:t>(</w:t>
      </w:r>
      <w:r w:rsidR="009C58C8" w:rsidRPr="00FD211F">
        <w:rPr>
          <w:rStyle w:val="a6"/>
          <w:sz w:val="36"/>
          <w:szCs w:val="36"/>
          <w:rtl/>
        </w:rPr>
        <w:footnoteReference w:id="367"/>
      </w:r>
      <w:r w:rsidR="009C58C8" w:rsidRPr="00FD211F">
        <w:rPr>
          <w:rStyle w:val="a6"/>
          <w:sz w:val="36"/>
          <w:szCs w:val="36"/>
          <w:rtl/>
        </w:rPr>
        <w:t>)</w:t>
      </w:r>
      <w:r w:rsidRPr="00FD211F">
        <w:rPr>
          <w:sz w:val="36"/>
          <w:szCs w:val="36"/>
          <w:rtl/>
        </w:rPr>
        <w:t>- وترتب الأثر المشترك ولو بنحو الاقتضاء على عد</w:t>
      </w:r>
      <w:r w:rsidR="00EC7EDF" w:rsidRPr="00FD211F">
        <w:rPr>
          <w:sz w:val="36"/>
          <w:szCs w:val="36"/>
          <w:rtl/>
        </w:rPr>
        <w:t xml:space="preserve">ة </w:t>
      </w:r>
      <w:r w:rsidRPr="00FD211F">
        <w:rPr>
          <w:sz w:val="36"/>
          <w:szCs w:val="36"/>
          <w:rtl/>
        </w:rPr>
        <w:t>أمور مختلف</w:t>
      </w:r>
      <w:r w:rsidR="00EC7EDF" w:rsidRPr="00FD211F">
        <w:rPr>
          <w:sz w:val="36"/>
          <w:szCs w:val="36"/>
          <w:rtl/>
        </w:rPr>
        <w:t xml:space="preserve">ة </w:t>
      </w:r>
      <w:r w:rsidRPr="00FD211F">
        <w:rPr>
          <w:sz w:val="36"/>
          <w:szCs w:val="36"/>
          <w:rtl/>
        </w:rPr>
        <w:t>يكشف إنّا عن جامع واحد بينها ويكون هو المؤثر حقيق</w:t>
      </w:r>
      <w:r w:rsidR="00EC7EDF" w:rsidRPr="00FD211F">
        <w:rPr>
          <w:sz w:val="36"/>
          <w:szCs w:val="36"/>
          <w:rtl/>
        </w:rPr>
        <w:t>ة</w:t>
      </w:r>
      <w:r w:rsidR="00603323" w:rsidRPr="00FD211F">
        <w:rPr>
          <w:sz w:val="36"/>
          <w:szCs w:val="36"/>
          <w:rtl/>
        </w:rPr>
        <w:t xml:space="preserve">، </w:t>
      </w:r>
      <w:r w:rsidRPr="00FD211F">
        <w:rPr>
          <w:sz w:val="36"/>
          <w:szCs w:val="36"/>
          <w:rtl/>
        </w:rPr>
        <w:t xml:space="preserve">حيث ان الواحد لايصدر الا عن الواحد فان المعلول لابد ان يكون متسانخا مع علته والا لأمكن صدور كل </w:t>
      </w:r>
      <w:r w:rsidR="008D7B3D" w:rsidRPr="00FD211F">
        <w:rPr>
          <w:sz w:val="36"/>
          <w:szCs w:val="36"/>
          <w:rtl/>
        </w:rPr>
        <w:t xml:space="preserve">شيء </w:t>
      </w:r>
      <w:r w:rsidRPr="00FD211F">
        <w:rPr>
          <w:sz w:val="36"/>
          <w:szCs w:val="36"/>
          <w:rtl/>
        </w:rPr>
        <w:t>من كل شيئ</w:t>
      </w:r>
      <w:r w:rsidR="00603323" w:rsidRPr="00FD211F">
        <w:rPr>
          <w:sz w:val="36"/>
          <w:szCs w:val="36"/>
          <w:rtl/>
        </w:rPr>
        <w:t xml:space="preserve">، </w:t>
      </w:r>
      <w:r w:rsidRPr="00FD211F">
        <w:rPr>
          <w:sz w:val="36"/>
          <w:szCs w:val="36"/>
          <w:rtl/>
        </w:rPr>
        <w:t>وحيث لايمكن تسانخ الواحد مع عد</w:t>
      </w:r>
      <w:r w:rsidR="00EC7EDF" w:rsidRPr="00FD211F">
        <w:rPr>
          <w:sz w:val="36"/>
          <w:szCs w:val="36"/>
          <w:rtl/>
        </w:rPr>
        <w:t xml:space="preserve">ة </w:t>
      </w:r>
      <w:r w:rsidRPr="00FD211F">
        <w:rPr>
          <w:sz w:val="36"/>
          <w:szCs w:val="36"/>
          <w:rtl/>
        </w:rPr>
        <w:t>امور متباين</w:t>
      </w:r>
      <w:r w:rsidR="00EC7EDF" w:rsidRPr="00FD211F">
        <w:rPr>
          <w:sz w:val="36"/>
          <w:szCs w:val="36"/>
          <w:rtl/>
        </w:rPr>
        <w:t xml:space="preserve">ة </w:t>
      </w:r>
      <w:r w:rsidRPr="00FD211F">
        <w:rPr>
          <w:sz w:val="36"/>
          <w:szCs w:val="36"/>
          <w:rtl/>
        </w:rPr>
        <w:t>بما هي متباين</w:t>
      </w:r>
      <w:r w:rsidR="00EC7EDF" w:rsidRPr="00FD211F">
        <w:rPr>
          <w:sz w:val="36"/>
          <w:szCs w:val="36"/>
          <w:rtl/>
        </w:rPr>
        <w:t xml:space="preserve">ة </w:t>
      </w:r>
      <w:r w:rsidRPr="00FD211F">
        <w:rPr>
          <w:sz w:val="36"/>
          <w:szCs w:val="36"/>
          <w:rtl/>
        </w:rPr>
        <w:t>فلابد ان يكون صادرا عن جامع مشترك بينها</w:t>
      </w:r>
      <w:r w:rsidR="00603323" w:rsidRPr="00FD211F">
        <w:rPr>
          <w:sz w:val="36"/>
          <w:szCs w:val="36"/>
          <w:rtl/>
        </w:rPr>
        <w:t xml:space="preserve">، </w:t>
      </w:r>
      <w:r w:rsidRPr="00FD211F">
        <w:rPr>
          <w:sz w:val="36"/>
          <w:szCs w:val="36"/>
          <w:rtl/>
        </w:rPr>
        <w:t>وهذا الجامع البسيط وان</w:t>
      </w:r>
      <w:r w:rsidR="008D7B3D" w:rsidRPr="00FD211F">
        <w:rPr>
          <w:sz w:val="36"/>
          <w:szCs w:val="36"/>
          <w:rtl/>
        </w:rPr>
        <w:t xml:space="preserve"> لم‌</w:t>
      </w:r>
      <w:r w:rsidRPr="00FD211F">
        <w:rPr>
          <w:sz w:val="36"/>
          <w:szCs w:val="36"/>
          <w:rtl/>
        </w:rPr>
        <w:t>يكن لنا طريق الى معرفته بحدوده لكن يكفي ان يشار اليه بعنوان مشير كعنوان الناهي عن الفحشاء ونحو ذلك</w:t>
      </w:r>
      <w:r w:rsidR="00603323" w:rsidRPr="00FD211F">
        <w:rPr>
          <w:sz w:val="36"/>
          <w:szCs w:val="36"/>
          <w:rtl/>
        </w:rPr>
        <w:t xml:space="preserve">، </w:t>
      </w:r>
      <w:r w:rsidRPr="00FD211F">
        <w:rPr>
          <w:sz w:val="36"/>
          <w:szCs w:val="36"/>
          <w:rtl/>
        </w:rPr>
        <w:t>فليس الجامع مركبا ولا جامعا عرضيا بسيطا كعنوان "المطلوب" كي يرد عليه الاشكال</w:t>
      </w:r>
      <w:r w:rsidR="00603323" w:rsidRPr="00FD211F">
        <w:rPr>
          <w:sz w:val="36"/>
          <w:szCs w:val="36"/>
          <w:rtl/>
        </w:rPr>
        <w:t xml:space="preserve">، </w:t>
      </w:r>
      <w:r w:rsidRPr="00FD211F">
        <w:rPr>
          <w:sz w:val="36"/>
          <w:szCs w:val="36"/>
          <w:rtl/>
        </w:rPr>
        <w:t>وانما هو جامع ذاتي بسيط</w:t>
      </w:r>
      <w:r w:rsidR="00603323" w:rsidRPr="00FD211F">
        <w:rPr>
          <w:sz w:val="36"/>
          <w:szCs w:val="36"/>
          <w:rtl/>
        </w:rPr>
        <w:t xml:space="preserve">، </w:t>
      </w:r>
      <w:r w:rsidRPr="00FD211F">
        <w:rPr>
          <w:sz w:val="36"/>
          <w:szCs w:val="36"/>
          <w:rtl/>
        </w:rPr>
        <w:t>والاشكال عليه باستلزامه لجريان قاعد</w:t>
      </w:r>
      <w:r w:rsidR="00EC7EDF" w:rsidRPr="00FD211F">
        <w:rPr>
          <w:sz w:val="36"/>
          <w:szCs w:val="36"/>
          <w:rtl/>
        </w:rPr>
        <w:t xml:space="preserve">ة </w:t>
      </w:r>
      <w:r w:rsidRPr="00FD211F">
        <w:rPr>
          <w:sz w:val="36"/>
          <w:szCs w:val="36"/>
          <w:rtl/>
        </w:rPr>
        <w:t>الاشتغال في الشك في الجزئي</w:t>
      </w:r>
      <w:r w:rsidR="00EC7EDF" w:rsidRPr="00FD211F">
        <w:rPr>
          <w:sz w:val="36"/>
          <w:szCs w:val="36"/>
          <w:rtl/>
        </w:rPr>
        <w:t xml:space="preserve">ة </w:t>
      </w:r>
      <w:r w:rsidRPr="00FD211F">
        <w:rPr>
          <w:sz w:val="36"/>
          <w:szCs w:val="36"/>
          <w:rtl/>
        </w:rPr>
        <w:t>والشرطي</w:t>
      </w:r>
      <w:r w:rsidR="00EC7EDF" w:rsidRPr="00FD211F">
        <w:rPr>
          <w:sz w:val="36"/>
          <w:szCs w:val="36"/>
          <w:rtl/>
        </w:rPr>
        <w:t xml:space="preserve">ة </w:t>
      </w:r>
      <w:r w:rsidRPr="00FD211F">
        <w:rPr>
          <w:sz w:val="36"/>
          <w:szCs w:val="36"/>
          <w:rtl/>
        </w:rPr>
        <w:t>مندفع بان الجامع مفهوم واحد منتزع عن المركبات المختلف</w:t>
      </w:r>
      <w:r w:rsidR="00EC7EDF" w:rsidRPr="00FD211F">
        <w:rPr>
          <w:sz w:val="36"/>
          <w:szCs w:val="36"/>
          <w:rtl/>
        </w:rPr>
        <w:t>ة</w:t>
      </w:r>
      <w:r w:rsidR="00603323" w:rsidRPr="00FD211F">
        <w:rPr>
          <w:sz w:val="36"/>
          <w:szCs w:val="36"/>
          <w:rtl/>
        </w:rPr>
        <w:t xml:space="preserve">، </w:t>
      </w:r>
      <w:r w:rsidRPr="00FD211F">
        <w:rPr>
          <w:sz w:val="36"/>
          <w:szCs w:val="36"/>
          <w:rtl/>
        </w:rPr>
        <w:t>ومتحد معها نحو اتحاد</w:t>
      </w:r>
      <w:r w:rsidR="00603323" w:rsidRPr="00FD211F">
        <w:rPr>
          <w:sz w:val="36"/>
          <w:szCs w:val="36"/>
          <w:rtl/>
        </w:rPr>
        <w:t xml:space="preserve">، </w:t>
      </w:r>
      <w:r w:rsidRPr="00FD211F">
        <w:rPr>
          <w:sz w:val="36"/>
          <w:szCs w:val="36"/>
          <w:rtl/>
        </w:rPr>
        <w:t>وفي مثله تجري البراء</w:t>
      </w:r>
      <w:r w:rsidR="00EC7EDF" w:rsidRPr="00FD211F">
        <w:rPr>
          <w:sz w:val="36"/>
          <w:szCs w:val="36"/>
          <w:rtl/>
        </w:rPr>
        <w:t xml:space="preserve">ة </w:t>
      </w:r>
      <w:r w:rsidRPr="00FD211F">
        <w:rPr>
          <w:sz w:val="36"/>
          <w:szCs w:val="36"/>
          <w:rtl/>
        </w:rPr>
        <w:t>وانما لاتجري فيما اذا كان المأمور به أمرا واحدا خارجيا مسببا عن مركب مردد بين الاقل والأكثر كالطهار</w:t>
      </w:r>
      <w:r w:rsidR="00EC7EDF" w:rsidRPr="00FD211F">
        <w:rPr>
          <w:sz w:val="36"/>
          <w:szCs w:val="36"/>
          <w:rtl/>
        </w:rPr>
        <w:t xml:space="preserve">ة </w:t>
      </w:r>
      <w:r w:rsidRPr="00FD211F">
        <w:rPr>
          <w:sz w:val="36"/>
          <w:szCs w:val="36"/>
          <w:rtl/>
        </w:rPr>
        <w:t>المسبب</w:t>
      </w:r>
      <w:r w:rsidR="00EC7EDF" w:rsidRPr="00FD211F">
        <w:rPr>
          <w:sz w:val="36"/>
          <w:szCs w:val="36"/>
          <w:rtl/>
        </w:rPr>
        <w:t xml:space="preserve">ة </w:t>
      </w:r>
      <w:r w:rsidRPr="00FD211F">
        <w:rPr>
          <w:sz w:val="36"/>
          <w:szCs w:val="36"/>
          <w:rtl/>
        </w:rPr>
        <w:t>عن الغسل والوضوء</w:t>
      </w:r>
      <w:r w:rsidR="00603323" w:rsidRPr="00FD211F">
        <w:rPr>
          <w:sz w:val="36"/>
          <w:szCs w:val="36"/>
          <w:rtl/>
        </w:rPr>
        <w:t xml:space="preserve">، </w:t>
      </w:r>
      <w:r w:rsidRPr="00FD211F">
        <w:rPr>
          <w:sz w:val="36"/>
          <w:szCs w:val="36"/>
          <w:rtl/>
        </w:rPr>
        <w:t>فانه لاتجري البراء</w:t>
      </w:r>
      <w:r w:rsidR="00EC7EDF" w:rsidRPr="00FD211F">
        <w:rPr>
          <w:sz w:val="36"/>
          <w:szCs w:val="36"/>
          <w:rtl/>
        </w:rPr>
        <w:t xml:space="preserve">ة </w:t>
      </w:r>
      <w:r w:rsidRPr="00FD211F">
        <w:rPr>
          <w:sz w:val="36"/>
          <w:szCs w:val="36"/>
          <w:rtl/>
        </w:rPr>
        <w:t>حينئذ فيما اذا شك في أجزائهما</w:t>
      </w:r>
      <w:r w:rsidR="009C58C8" w:rsidRPr="00FD211F">
        <w:rPr>
          <w:rStyle w:val="a6"/>
          <w:sz w:val="36"/>
          <w:szCs w:val="36"/>
          <w:rtl/>
        </w:rPr>
        <w:t>(</w:t>
      </w:r>
      <w:r w:rsidR="009C58C8" w:rsidRPr="00FD211F">
        <w:rPr>
          <w:rStyle w:val="a6"/>
          <w:sz w:val="36"/>
          <w:szCs w:val="36"/>
          <w:rtl/>
        </w:rPr>
        <w:footnoteReference w:id="368"/>
      </w:r>
      <w:r w:rsidR="009C58C8" w:rsidRPr="00FD211F">
        <w:rPr>
          <w:rStyle w:val="a6"/>
          <w:sz w:val="36"/>
          <w:szCs w:val="36"/>
          <w:rtl/>
        </w:rPr>
        <w:t>)</w:t>
      </w:r>
      <w:r w:rsidRPr="00FD211F">
        <w:rPr>
          <w:sz w:val="36"/>
          <w:szCs w:val="36"/>
          <w:rtl/>
        </w:rPr>
        <w:t>.</w:t>
      </w:r>
    </w:p>
    <w:p w14:paraId="3DD87611" w14:textId="77777777" w:rsidR="00052BF2" w:rsidRPr="00FD211F" w:rsidRDefault="006715F0" w:rsidP="009C58C8">
      <w:pPr>
        <w:ind w:left="0" w:firstLine="227"/>
        <w:jc w:val="both"/>
        <w:rPr>
          <w:sz w:val="36"/>
          <w:szCs w:val="36"/>
          <w:rtl/>
        </w:rPr>
      </w:pPr>
      <w:r w:rsidRPr="00FD211F">
        <w:rPr>
          <w:sz w:val="36"/>
          <w:szCs w:val="36"/>
          <w:rtl/>
        </w:rPr>
        <w:t>وقد اورد عليه</w:t>
      </w:r>
      <w:r w:rsidR="00052BF2" w:rsidRPr="00FD211F">
        <w:rPr>
          <w:sz w:val="36"/>
          <w:szCs w:val="36"/>
          <w:rtl/>
        </w:rPr>
        <w:t xml:space="preserve"> </w:t>
      </w:r>
      <w:r w:rsidRPr="00FD211F">
        <w:rPr>
          <w:sz w:val="36"/>
          <w:szCs w:val="36"/>
          <w:rtl/>
        </w:rPr>
        <w:t>ب</w:t>
      </w:r>
      <w:r w:rsidR="00052BF2" w:rsidRPr="00FD211F">
        <w:rPr>
          <w:sz w:val="36"/>
          <w:szCs w:val="36"/>
          <w:rtl/>
        </w:rPr>
        <w:t>عد</w:t>
      </w:r>
      <w:r w:rsidR="00EC7EDF" w:rsidRPr="00FD211F">
        <w:rPr>
          <w:sz w:val="36"/>
          <w:szCs w:val="36"/>
          <w:rtl/>
        </w:rPr>
        <w:t xml:space="preserve">ة </w:t>
      </w:r>
      <w:r w:rsidR="00052BF2" w:rsidRPr="00FD211F">
        <w:rPr>
          <w:sz w:val="36"/>
          <w:szCs w:val="36"/>
          <w:rtl/>
        </w:rPr>
        <w:t>إيرادات:</w:t>
      </w:r>
    </w:p>
    <w:p w14:paraId="34363B66" w14:textId="77777777" w:rsidR="00052BF2" w:rsidRPr="00FD211F" w:rsidRDefault="00052BF2" w:rsidP="009C58C8">
      <w:pPr>
        <w:ind w:left="0" w:firstLine="227"/>
        <w:jc w:val="both"/>
        <w:rPr>
          <w:sz w:val="36"/>
          <w:szCs w:val="36"/>
          <w:rtl/>
        </w:rPr>
      </w:pPr>
      <w:r w:rsidRPr="00FD211F">
        <w:rPr>
          <w:b/>
          <w:bCs/>
          <w:sz w:val="36"/>
          <w:szCs w:val="36"/>
          <w:rtl/>
        </w:rPr>
        <w:t>الاول</w:t>
      </w:r>
      <w:r w:rsidRPr="00FD211F">
        <w:rPr>
          <w:sz w:val="36"/>
          <w:szCs w:val="36"/>
          <w:rtl/>
        </w:rPr>
        <w:t>: ما ذكره المحقق الاصفهاني</w:t>
      </w:r>
      <w:r w:rsidR="006715F0" w:rsidRPr="00FD211F">
        <w:rPr>
          <w:sz w:val="36"/>
          <w:szCs w:val="36"/>
          <w:rtl/>
        </w:rPr>
        <w:t>"</w:t>
      </w:r>
      <w:r w:rsidRPr="00FD211F">
        <w:rPr>
          <w:sz w:val="36"/>
          <w:szCs w:val="36"/>
          <w:rtl/>
        </w:rPr>
        <w:t>قده</w:t>
      </w:r>
      <w:r w:rsidR="006715F0" w:rsidRPr="00FD211F">
        <w:rPr>
          <w:sz w:val="36"/>
          <w:szCs w:val="36"/>
          <w:rtl/>
        </w:rPr>
        <w:t>"</w:t>
      </w:r>
      <w:r w:rsidRPr="00FD211F">
        <w:rPr>
          <w:sz w:val="36"/>
          <w:szCs w:val="36"/>
          <w:rtl/>
        </w:rPr>
        <w:t xml:space="preserve"> من انه لايتصور جامع ذاتي لافراد الصلا</w:t>
      </w:r>
      <w:r w:rsidR="00EC7EDF" w:rsidRPr="00FD211F">
        <w:rPr>
          <w:sz w:val="36"/>
          <w:szCs w:val="36"/>
          <w:rtl/>
        </w:rPr>
        <w:t>ة</w:t>
      </w:r>
      <w:r w:rsidR="00603323" w:rsidRPr="00FD211F">
        <w:rPr>
          <w:sz w:val="36"/>
          <w:szCs w:val="36"/>
          <w:rtl/>
        </w:rPr>
        <w:t xml:space="preserve">، </w:t>
      </w:r>
      <w:r w:rsidRPr="00FD211F">
        <w:rPr>
          <w:sz w:val="36"/>
          <w:szCs w:val="36"/>
          <w:rtl/>
        </w:rPr>
        <w:t>لان الصلا</w:t>
      </w:r>
      <w:r w:rsidR="00EC7EDF" w:rsidRPr="00FD211F">
        <w:rPr>
          <w:sz w:val="36"/>
          <w:szCs w:val="36"/>
          <w:rtl/>
        </w:rPr>
        <w:t xml:space="preserve">ة </w:t>
      </w:r>
      <w:r w:rsidRPr="00FD211F">
        <w:rPr>
          <w:sz w:val="36"/>
          <w:szCs w:val="36"/>
          <w:rtl/>
        </w:rPr>
        <w:t>مؤلف</w:t>
      </w:r>
      <w:r w:rsidR="00EC7EDF" w:rsidRPr="00FD211F">
        <w:rPr>
          <w:sz w:val="36"/>
          <w:szCs w:val="36"/>
          <w:rtl/>
        </w:rPr>
        <w:t xml:space="preserve">ة </w:t>
      </w:r>
      <w:r w:rsidRPr="00FD211F">
        <w:rPr>
          <w:sz w:val="36"/>
          <w:szCs w:val="36"/>
          <w:rtl/>
        </w:rPr>
        <w:t>من عد</w:t>
      </w:r>
      <w:r w:rsidR="00EC7EDF" w:rsidRPr="00FD211F">
        <w:rPr>
          <w:sz w:val="36"/>
          <w:szCs w:val="36"/>
          <w:rtl/>
        </w:rPr>
        <w:t xml:space="preserve">ة </w:t>
      </w:r>
      <w:r w:rsidRPr="00FD211F">
        <w:rPr>
          <w:sz w:val="36"/>
          <w:szCs w:val="36"/>
          <w:rtl/>
        </w:rPr>
        <w:t>مقولات متباين</w:t>
      </w:r>
      <w:r w:rsidR="00EC7EDF" w:rsidRPr="00FD211F">
        <w:rPr>
          <w:sz w:val="36"/>
          <w:szCs w:val="36"/>
          <w:rtl/>
        </w:rPr>
        <w:t>ة</w:t>
      </w:r>
      <w:r w:rsidR="00603323" w:rsidRPr="00FD211F">
        <w:rPr>
          <w:sz w:val="36"/>
          <w:szCs w:val="36"/>
          <w:rtl/>
        </w:rPr>
        <w:t xml:space="preserve">، </w:t>
      </w:r>
      <w:r w:rsidRPr="00FD211F">
        <w:rPr>
          <w:sz w:val="36"/>
          <w:szCs w:val="36"/>
          <w:rtl/>
        </w:rPr>
        <w:t>فالقراء</w:t>
      </w:r>
      <w:r w:rsidR="00EC7EDF" w:rsidRPr="00FD211F">
        <w:rPr>
          <w:sz w:val="36"/>
          <w:szCs w:val="36"/>
          <w:rtl/>
        </w:rPr>
        <w:t xml:space="preserve">ة </w:t>
      </w:r>
      <w:r w:rsidRPr="00FD211F">
        <w:rPr>
          <w:sz w:val="36"/>
          <w:szCs w:val="36"/>
          <w:rtl/>
        </w:rPr>
        <w:t>والذكر من مقول</w:t>
      </w:r>
      <w:r w:rsidR="00EC7EDF" w:rsidRPr="00FD211F">
        <w:rPr>
          <w:sz w:val="36"/>
          <w:szCs w:val="36"/>
          <w:rtl/>
        </w:rPr>
        <w:t xml:space="preserve">ة </w:t>
      </w:r>
      <w:r w:rsidRPr="00FD211F">
        <w:rPr>
          <w:sz w:val="36"/>
          <w:szCs w:val="36"/>
          <w:rtl/>
        </w:rPr>
        <w:t>الكيف المسموع</w:t>
      </w:r>
      <w:r w:rsidR="00603323" w:rsidRPr="00FD211F">
        <w:rPr>
          <w:sz w:val="36"/>
          <w:szCs w:val="36"/>
          <w:rtl/>
        </w:rPr>
        <w:t xml:space="preserve">، </w:t>
      </w:r>
      <w:r w:rsidRPr="00FD211F">
        <w:rPr>
          <w:sz w:val="36"/>
          <w:szCs w:val="36"/>
          <w:rtl/>
        </w:rPr>
        <w:t>والركوع والسجود والقيام من مقول</w:t>
      </w:r>
      <w:r w:rsidR="00EC7EDF" w:rsidRPr="00FD211F">
        <w:rPr>
          <w:sz w:val="36"/>
          <w:szCs w:val="36"/>
          <w:rtl/>
        </w:rPr>
        <w:t xml:space="preserve">ة </w:t>
      </w:r>
      <w:r w:rsidRPr="00FD211F">
        <w:rPr>
          <w:sz w:val="36"/>
          <w:szCs w:val="36"/>
          <w:rtl/>
        </w:rPr>
        <w:t>الوضع</w:t>
      </w:r>
      <w:r w:rsidR="00603323" w:rsidRPr="00FD211F">
        <w:rPr>
          <w:sz w:val="36"/>
          <w:szCs w:val="36"/>
          <w:rtl/>
        </w:rPr>
        <w:t xml:space="preserve">، </w:t>
      </w:r>
      <w:r w:rsidRPr="00FD211F">
        <w:rPr>
          <w:sz w:val="36"/>
          <w:szCs w:val="36"/>
          <w:rtl/>
        </w:rPr>
        <w:t>فليست أجزاء الصلا</w:t>
      </w:r>
      <w:r w:rsidR="00EC7EDF" w:rsidRPr="00FD211F">
        <w:rPr>
          <w:sz w:val="36"/>
          <w:szCs w:val="36"/>
          <w:rtl/>
        </w:rPr>
        <w:t xml:space="preserve">ة </w:t>
      </w:r>
      <w:r w:rsidRPr="00FD211F">
        <w:rPr>
          <w:sz w:val="36"/>
          <w:szCs w:val="36"/>
          <w:rtl/>
        </w:rPr>
        <w:t>من مقول</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Pr="00FD211F">
        <w:rPr>
          <w:sz w:val="36"/>
          <w:szCs w:val="36"/>
          <w:rtl/>
        </w:rPr>
        <w:t>فلايمكن فرض جامع ذاتي مقولي لمرتب</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Pr="00FD211F">
        <w:rPr>
          <w:sz w:val="36"/>
          <w:szCs w:val="36"/>
          <w:rtl/>
        </w:rPr>
        <w:t>من مراتب الصلا</w:t>
      </w:r>
      <w:r w:rsidR="00EC7EDF" w:rsidRPr="00FD211F">
        <w:rPr>
          <w:sz w:val="36"/>
          <w:szCs w:val="36"/>
          <w:rtl/>
        </w:rPr>
        <w:t xml:space="preserve">ة </w:t>
      </w:r>
      <w:r w:rsidRPr="00FD211F">
        <w:rPr>
          <w:sz w:val="36"/>
          <w:szCs w:val="36"/>
          <w:rtl/>
        </w:rPr>
        <w:t>فضلا عن فرض الجامع لجميع مراتب الصلا</w:t>
      </w:r>
      <w:r w:rsidR="00EC7EDF" w:rsidRPr="00FD211F">
        <w:rPr>
          <w:sz w:val="36"/>
          <w:szCs w:val="36"/>
          <w:rtl/>
        </w:rPr>
        <w:t>ة</w:t>
      </w:r>
      <w:r w:rsidR="00603323" w:rsidRPr="00FD211F">
        <w:rPr>
          <w:sz w:val="36"/>
          <w:szCs w:val="36"/>
          <w:rtl/>
        </w:rPr>
        <w:t xml:space="preserve">، </w:t>
      </w:r>
      <w:r w:rsidRPr="00FD211F">
        <w:rPr>
          <w:sz w:val="36"/>
          <w:szCs w:val="36"/>
          <w:rtl/>
        </w:rPr>
        <w:t>فانه قد تقرر في محله ان المقولات اجناس عالي</w:t>
      </w:r>
      <w:r w:rsidR="00EC7EDF" w:rsidRPr="00FD211F">
        <w:rPr>
          <w:sz w:val="36"/>
          <w:szCs w:val="36"/>
          <w:rtl/>
        </w:rPr>
        <w:t xml:space="preserve">ة </w:t>
      </w:r>
      <w:r w:rsidRPr="00FD211F">
        <w:rPr>
          <w:sz w:val="36"/>
          <w:szCs w:val="36"/>
          <w:rtl/>
        </w:rPr>
        <w:t>متباين</w:t>
      </w:r>
      <w:r w:rsidR="00EC7EDF" w:rsidRPr="00FD211F">
        <w:rPr>
          <w:sz w:val="36"/>
          <w:szCs w:val="36"/>
          <w:rtl/>
        </w:rPr>
        <w:t xml:space="preserve">ة </w:t>
      </w:r>
      <w:r w:rsidRPr="00FD211F">
        <w:rPr>
          <w:sz w:val="36"/>
          <w:szCs w:val="36"/>
          <w:rtl/>
        </w:rPr>
        <w:t>بتمام الذات ولايوجد بينها جامع ذاتي</w:t>
      </w:r>
      <w:r w:rsidR="009C58C8" w:rsidRPr="00FD211F">
        <w:rPr>
          <w:rStyle w:val="a6"/>
          <w:sz w:val="36"/>
          <w:szCs w:val="36"/>
          <w:rtl/>
        </w:rPr>
        <w:t>(</w:t>
      </w:r>
      <w:r w:rsidR="009C58C8" w:rsidRPr="00FD211F">
        <w:rPr>
          <w:rStyle w:val="a6"/>
          <w:sz w:val="36"/>
          <w:szCs w:val="36"/>
          <w:rtl/>
        </w:rPr>
        <w:footnoteReference w:id="369"/>
      </w:r>
      <w:r w:rsidR="009C58C8" w:rsidRPr="00FD211F">
        <w:rPr>
          <w:rStyle w:val="a6"/>
          <w:sz w:val="36"/>
          <w:szCs w:val="36"/>
          <w:rtl/>
        </w:rPr>
        <w:t>)</w:t>
      </w:r>
      <w:r w:rsidRPr="00FD211F">
        <w:rPr>
          <w:sz w:val="36"/>
          <w:szCs w:val="36"/>
          <w:rtl/>
        </w:rPr>
        <w:t>.</w:t>
      </w:r>
    </w:p>
    <w:p w14:paraId="1F918E00" w14:textId="77777777" w:rsidR="00052BF2" w:rsidRPr="00FD211F" w:rsidRDefault="00052BF2" w:rsidP="009C58C8">
      <w:pPr>
        <w:ind w:left="0" w:firstLine="227"/>
        <w:jc w:val="both"/>
        <w:rPr>
          <w:sz w:val="36"/>
          <w:szCs w:val="36"/>
          <w:rtl/>
        </w:rPr>
      </w:pPr>
      <w:r w:rsidRPr="00FD211F">
        <w:rPr>
          <w:sz w:val="36"/>
          <w:szCs w:val="36"/>
          <w:rtl/>
        </w:rPr>
        <w:t>وما ذكره متين جدّا</w:t>
      </w:r>
      <w:r w:rsidR="00603323" w:rsidRPr="00FD211F">
        <w:rPr>
          <w:sz w:val="36"/>
          <w:szCs w:val="36"/>
          <w:rtl/>
        </w:rPr>
        <w:t xml:space="preserve">، </w:t>
      </w:r>
      <w:r w:rsidRPr="00FD211F">
        <w:rPr>
          <w:sz w:val="36"/>
          <w:szCs w:val="36"/>
          <w:rtl/>
        </w:rPr>
        <w:t>وينبغي ان يضاف اليه ان صلا</w:t>
      </w:r>
      <w:r w:rsidR="00EC7EDF" w:rsidRPr="00FD211F">
        <w:rPr>
          <w:sz w:val="36"/>
          <w:szCs w:val="36"/>
          <w:rtl/>
        </w:rPr>
        <w:t xml:space="preserve">ة </w:t>
      </w:r>
      <w:r w:rsidRPr="00FD211F">
        <w:rPr>
          <w:sz w:val="36"/>
          <w:szCs w:val="36"/>
          <w:rtl/>
        </w:rPr>
        <w:t>الفجر او صلا</w:t>
      </w:r>
      <w:r w:rsidR="00EC7EDF" w:rsidRPr="00FD211F">
        <w:rPr>
          <w:sz w:val="36"/>
          <w:szCs w:val="36"/>
          <w:rtl/>
        </w:rPr>
        <w:t xml:space="preserve">ة </w:t>
      </w:r>
      <w:r w:rsidRPr="00FD211F">
        <w:rPr>
          <w:sz w:val="36"/>
          <w:szCs w:val="36"/>
          <w:rtl/>
        </w:rPr>
        <w:t>القصر مثلا مشروط</w:t>
      </w:r>
      <w:r w:rsidR="00EC7EDF" w:rsidRPr="00FD211F">
        <w:rPr>
          <w:sz w:val="36"/>
          <w:szCs w:val="36"/>
          <w:rtl/>
        </w:rPr>
        <w:t xml:space="preserve">ة </w:t>
      </w:r>
      <w:r w:rsidRPr="00FD211F">
        <w:rPr>
          <w:sz w:val="36"/>
          <w:szCs w:val="36"/>
          <w:rtl/>
        </w:rPr>
        <w:t>بعدم لحوق الركع</w:t>
      </w:r>
      <w:r w:rsidR="00EC7EDF" w:rsidRPr="00FD211F">
        <w:rPr>
          <w:sz w:val="36"/>
          <w:szCs w:val="36"/>
          <w:rtl/>
        </w:rPr>
        <w:t xml:space="preserve">ة </w:t>
      </w:r>
      <w:r w:rsidRPr="00FD211F">
        <w:rPr>
          <w:sz w:val="36"/>
          <w:szCs w:val="36"/>
          <w:rtl/>
        </w:rPr>
        <w:t>الثالث</w:t>
      </w:r>
      <w:r w:rsidR="00EC7EDF" w:rsidRPr="00FD211F">
        <w:rPr>
          <w:sz w:val="36"/>
          <w:szCs w:val="36"/>
          <w:rtl/>
        </w:rPr>
        <w:t xml:space="preserve">ة </w:t>
      </w:r>
      <w:r w:rsidRPr="00FD211F">
        <w:rPr>
          <w:sz w:val="36"/>
          <w:szCs w:val="36"/>
          <w:rtl/>
        </w:rPr>
        <w:t>والرابع</w:t>
      </w:r>
      <w:r w:rsidR="00EC7EDF" w:rsidRPr="00FD211F">
        <w:rPr>
          <w:sz w:val="36"/>
          <w:szCs w:val="36"/>
          <w:rtl/>
        </w:rPr>
        <w:t xml:space="preserve">ة </w:t>
      </w:r>
      <w:r w:rsidRPr="00FD211F">
        <w:rPr>
          <w:sz w:val="36"/>
          <w:szCs w:val="36"/>
          <w:rtl/>
        </w:rPr>
        <w:t>بها</w:t>
      </w:r>
      <w:r w:rsidR="00603323" w:rsidRPr="00FD211F">
        <w:rPr>
          <w:sz w:val="36"/>
          <w:szCs w:val="36"/>
          <w:rtl/>
        </w:rPr>
        <w:t xml:space="preserve">، </w:t>
      </w:r>
      <w:r w:rsidRPr="00FD211F">
        <w:rPr>
          <w:sz w:val="36"/>
          <w:szCs w:val="36"/>
          <w:rtl/>
        </w:rPr>
        <w:t>بينما ان صلا</w:t>
      </w:r>
      <w:r w:rsidR="00EC7EDF" w:rsidRPr="00FD211F">
        <w:rPr>
          <w:sz w:val="36"/>
          <w:szCs w:val="36"/>
          <w:rtl/>
        </w:rPr>
        <w:t xml:space="preserve">ة </w:t>
      </w:r>
      <w:r w:rsidRPr="00FD211F">
        <w:rPr>
          <w:sz w:val="36"/>
          <w:szCs w:val="36"/>
          <w:rtl/>
        </w:rPr>
        <w:t>الظهر وصلا</w:t>
      </w:r>
      <w:r w:rsidR="00EC7EDF" w:rsidRPr="00FD211F">
        <w:rPr>
          <w:sz w:val="36"/>
          <w:szCs w:val="36"/>
          <w:rtl/>
        </w:rPr>
        <w:t xml:space="preserve">ة </w:t>
      </w:r>
      <w:r w:rsidRPr="00FD211F">
        <w:rPr>
          <w:sz w:val="36"/>
          <w:szCs w:val="36"/>
          <w:rtl/>
        </w:rPr>
        <w:t>التمام في الظهر والعصر والعشاء مشروط</w:t>
      </w:r>
      <w:r w:rsidR="00EC7EDF" w:rsidRPr="00FD211F">
        <w:rPr>
          <w:sz w:val="36"/>
          <w:szCs w:val="36"/>
          <w:rtl/>
        </w:rPr>
        <w:t xml:space="preserve">ة </w:t>
      </w:r>
      <w:r w:rsidRPr="00FD211F">
        <w:rPr>
          <w:sz w:val="36"/>
          <w:szCs w:val="36"/>
          <w:rtl/>
        </w:rPr>
        <w:t>بلحوقهما</w:t>
      </w:r>
      <w:r w:rsidR="00603323" w:rsidRPr="00FD211F">
        <w:rPr>
          <w:sz w:val="36"/>
          <w:szCs w:val="36"/>
          <w:rtl/>
        </w:rPr>
        <w:t xml:space="preserve">، </w:t>
      </w:r>
      <w:r w:rsidRPr="00FD211F">
        <w:rPr>
          <w:sz w:val="36"/>
          <w:szCs w:val="36"/>
          <w:rtl/>
        </w:rPr>
        <w:t>ولايوجد جامع ذاتي بين الوجود والعدم بلااشكال</w:t>
      </w:r>
      <w:r w:rsidR="00603323" w:rsidRPr="00FD211F">
        <w:rPr>
          <w:sz w:val="36"/>
          <w:szCs w:val="36"/>
          <w:rtl/>
        </w:rPr>
        <w:t xml:space="preserve">، </w:t>
      </w:r>
      <w:r w:rsidRPr="00FD211F">
        <w:rPr>
          <w:sz w:val="36"/>
          <w:szCs w:val="36"/>
          <w:rtl/>
        </w:rPr>
        <w:t>كما ان بعض قيود الصلا</w:t>
      </w:r>
      <w:r w:rsidR="00EC7EDF" w:rsidRPr="00FD211F">
        <w:rPr>
          <w:sz w:val="36"/>
          <w:szCs w:val="36"/>
          <w:rtl/>
        </w:rPr>
        <w:t xml:space="preserve">ة </w:t>
      </w:r>
      <w:r w:rsidRPr="00FD211F">
        <w:rPr>
          <w:sz w:val="36"/>
          <w:szCs w:val="36"/>
          <w:rtl/>
        </w:rPr>
        <w:t>اعتباري</w:t>
      </w:r>
      <w:r w:rsidR="00EC7EDF" w:rsidRPr="00FD211F">
        <w:rPr>
          <w:sz w:val="36"/>
          <w:szCs w:val="36"/>
          <w:rtl/>
        </w:rPr>
        <w:t xml:space="preserve">ة </w:t>
      </w:r>
      <w:r w:rsidRPr="00FD211F">
        <w:rPr>
          <w:sz w:val="36"/>
          <w:szCs w:val="36"/>
          <w:rtl/>
        </w:rPr>
        <w:t>كالطهار</w:t>
      </w:r>
      <w:r w:rsidR="00EC7EDF" w:rsidRPr="00FD211F">
        <w:rPr>
          <w:sz w:val="36"/>
          <w:szCs w:val="36"/>
          <w:rtl/>
        </w:rPr>
        <w:t xml:space="preserve">ة </w:t>
      </w:r>
      <w:r w:rsidRPr="00FD211F">
        <w:rPr>
          <w:sz w:val="36"/>
          <w:szCs w:val="36"/>
          <w:rtl/>
        </w:rPr>
        <w:t>من الخبث والحدث</w:t>
      </w:r>
      <w:r w:rsidR="00603323" w:rsidRPr="00FD211F">
        <w:rPr>
          <w:sz w:val="36"/>
          <w:szCs w:val="36"/>
          <w:rtl/>
        </w:rPr>
        <w:t xml:space="preserve">، </w:t>
      </w:r>
      <w:r w:rsidRPr="00FD211F">
        <w:rPr>
          <w:sz w:val="36"/>
          <w:szCs w:val="36"/>
          <w:rtl/>
        </w:rPr>
        <w:t>ولاجامع ذاتي بين القيود الاعتباري</w:t>
      </w:r>
      <w:r w:rsidR="00EC7EDF" w:rsidRPr="00FD211F">
        <w:rPr>
          <w:sz w:val="36"/>
          <w:szCs w:val="36"/>
          <w:rtl/>
        </w:rPr>
        <w:t xml:space="preserve">ة </w:t>
      </w:r>
      <w:r w:rsidRPr="00FD211F">
        <w:rPr>
          <w:sz w:val="36"/>
          <w:szCs w:val="36"/>
          <w:rtl/>
        </w:rPr>
        <w:t>والقيود الحقيقي</w:t>
      </w:r>
      <w:r w:rsidR="00EC7EDF" w:rsidRPr="00FD211F">
        <w:rPr>
          <w:sz w:val="36"/>
          <w:szCs w:val="36"/>
          <w:rtl/>
        </w:rPr>
        <w:t xml:space="preserve">ة </w:t>
      </w:r>
    </w:p>
    <w:p w14:paraId="2E015697" w14:textId="77777777" w:rsidR="00052BF2" w:rsidRPr="00FD211F" w:rsidRDefault="00052BF2" w:rsidP="009C58C8">
      <w:pPr>
        <w:ind w:left="0" w:firstLine="227"/>
        <w:jc w:val="both"/>
        <w:rPr>
          <w:sz w:val="36"/>
          <w:szCs w:val="36"/>
          <w:rtl/>
        </w:rPr>
      </w:pPr>
      <w:r w:rsidRPr="00FD211F">
        <w:rPr>
          <w:b/>
          <w:bCs/>
          <w:sz w:val="36"/>
          <w:szCs w:val="36"/>
          <w:rtl/>
        </w:rPr>
        <w:t>الثاني</w:t>
      </w:r>
      <w:r w:rsidRPr="00FD211F">
        <w:rPr>
          <w:sz w:val="36"/>
          <w:szCs w:val="36"/>
          <w:rtl/>
        </w:rPr>
        <w:t xml:space="preserve">: ما ذكره المحقق الاصفهاني </w:t>
      </w:r>
      <w:r w:rsidR="006715F0" w:rsidRPr="00FD211F">
        <w:rPr>
          <w:sz w:val="36"/>
          <w:szCs w:val="36"/>
          <w:rtl/>
        </w:rPr>
        <w:t>"</w:t>
      </w:r>
      <w:r w:rsidRPr="00FD211F">
        <w:rPr>
          <w:sz w:val="36"/>
          <w:szCs w:val="36"/>
          <w:rtl/>
        </w:rPr>
        <w:t>قده</w:t>
      </w:r>
      <w:r w:rsidR="006715F0" w:rsidRPr="00FD211F">
        <w:rPr>
          <w:sz w:val="36"/>
          <w:szCs w:val="36"/>
          <w:rtl/>
        </w:rPr>
        <w:t>"</w:t>
      </w:r>
      <w:r w:rsidRPr="00FD211F">
        <w:rPr>
          <w:sz w:val="36"/>
          <w:szCs w:val="36"/>
          <w:rtl/>
        </w:rPr>
        <w:t xml:space="preserve"> ايضا من ان النهي عن الفحشاء والمنكر المترتب على الصلوات الصحيح</w:t>
      </w:r>
      <w:r w:rsidR="00EC7EDF" w:rsidRPr="00FD211F">
        <w:rPr>
          <w:sz w:val="36"/>
          <w:szCs w:val="36"/>
          <w:rtl/>
        </w:rPr>
        <w:t xml:space="preserve">ة </w:t>
      </w:r>
      <w:r w:rsidRPr="00FD211F">
        <w:rPr>
          <w:sz w:val="36"/>
          <w:szCs w:val="36"/>
          <w:rtl/>
        </w:rPr>
        <w:t>ليس واحدا شخصيا او نوعيا كي يجري فيه قاعد</w:t>
      </w:r>
      <w:r w:rsidR="00EC7EDF" w:rsidRPr="00FD211F">
        <w:rPr>
          <w:sz w:val="36"/>
          <w:szCs w:val="36"/>
          <w:rtl/>
        </w:rPr>
        <w:t xml:space="preserve">ة </w:t>
      </w:r>
      <w:r w:rsidRPr="00FD211F">
        <w:rPr>
          <w:sz w:val="36"/>
          <w:szCs w:val="36"/>
          <w:rtl/>
        </w:rPr>
        <w:t>ان الواحد لايصدر الا عن الواحد</w:t>
      </w:r>
      <w:r w:rsidR="00603323" w:rsidRPr="00FD211F">
        <w:rPr>
          <w:sz w:val="36"/>
          <w:szCs w:val="36"/>
          <w:rtl/>
        </w:rPr>
        <w:t xml:space="preserve">، </w:t>
      </w:r>
      <w:r w:rsidRPr="00FD211F">
        <w:rPr>
          <w:sz w:val="36"/>
          <w:szCs w:val="36"/>
          <w:rtl/>
        </w:rPr>
        <w:t>وانما هو واحد عنواني –كعنوان الطويل او القصير</w:t>
      </w:r>
      <w:r w:rsidR="00603323" w:rsidRPr="00FD211F">
        <w:rPr>
          <w:sz w:val="36"/>
          <w:szCs w:val="36"/>
          <w:rtl/>
        </w:rPr>
        <w:t xml:space="preserve">، </w:t>
      </w:r>
      <w:r w:rsidRPr="00FD211F">
        <w:rPr>
          <w:sz w:val="36"/>
          <w:szCs w:val="36"/>
          <w:rtl/>
        </w:rPr>
        <w:t>حيث ينتزعان عن حقائق متباين</w:t>
      </w:r>
      <w:r w:rsidR="00EC7EDF" w:rsidRPr="00FD211F">
        <w:rPr>
          <w:sz w:val="36"/>
          <w:szCs w:val="36"/>
          <w:rtl/>
        </w:rPr>
        <w:t xml:space="preserve">ة </w:t>
      </w:r>
      <w:r w:rsidRPr="00FD211F">
        <w:rPr>
          <w:sz w:val="36"/>
          <w:szCs w:val="36"/>
          <w:rtl/>
        </w:rPr>
        <w:t>- لاختلاف افراد النهي عن الفحشاء ذاتا واختلاف انحاء الفحشاء كذلك</w:t>
      </w:r>
      <w:r w:rsidR="00603323" w:rsidRPr="00FD211F">
        <w:rPr>
          <w:sz w:val="36"/>
          <w:szCs w:val="36"/>
          <w:rtl/>
        </w:rPr>
        <w:t xml:space="preserve">، </w:t>
      </w:r>
      <w:r w:rsidRPr="00FD211F">
        <w:rPr>
          <w:sz w:val="36"/>
          <w:szCs w:val="36"/>
          <w:rtl/>
        </w:rPr>
        <w:t>فحقيق</w:t>
      </w:r>
      <w:r w:rsidR="00EC7EDF" w:rsidRPr="00FD211F">
        <w:rPr>
          <w:sz w:val="36"/>
          <w:szCs w:val="36"/>
          <w:rtl/>
        </w:rPr>
        <w:t xml:space="preserve">ة </w:t>
      </w:r>
      <w:r w:rsidRPr="00FD211F">
        <w:rPr>
          <w:sz w:val="36"/>
          <w:szCs w:val="36"/>
          <w:rtl/>
        </w:rPr>
        <w:t>الغصب مثلا الذي هو من الافعال تختلف عن حقيق</w:t>
      </w:r>
      <w:r w:rsidR="00EC7EDF" w:rsidRPr="00FD211F">
        <w:rPr>
          <w:sz w:val="36"/>
          <w:szCs w:val="36"/>
          <w:rtl/>
        </w:rPr>
        <w:t xml:space="preserve">ة </w:t>
      </w:r>
      <w:r w:rsidRPr="00FD211F">
        <w:rPr>
          <w:sz w:val="36"/>
          <w:szCs w:val="36"/>
          <w:rtl/>
        </w:rPr>
        <w:t>الرياء والشرك</w:t>
      </w:r>
      <w:r w:rsidR="00603323" w:rsidRPr="00FD211F">
        <w:rPr>
          <w:sz w:val="36"/>
          <w:szCs w:val="36"/>
          <w:rtl/>
        </w:rPr>
        <w:t xml:space="preserve">، </w:t>
      </w:r>
      <w:r w:rsidRPr="00FD211F">
        <w:rPr>
          <w:sz w:val="36"/>
          <w:szCs w:val="36"/>
          <w:rtl/>
        </w:rPr>
        <w:t>حيث انهما من الصفات</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370"/>
      </w:r>
      <w:r w:rsidR="00C17D0B" w:rsidRPr="00FD211F">
        <w:rPr>
          <w:rStyle w:val="a6"/>
          <w:sz w:val="36"/>
          <w:szCs w:val="36"/>
          <w:rtl/>
        </w:rPr>
        <w:t>)</w:t>
      </w:r>
      <w:r w:rsidRPr="00FD211F">
        <w:rPr>
          <w:sz w:val="36"/>
          <w:szCs w:val="36"/>
          <w:rtl/>
        </w:rPr>
        <w:t xml:space="preserve"> وما ذكره متين جدّا.</w:t>
      </w:r>
    </w:p>
    <w:p w14:paraId="0463A85D" w14:textId="77777777" w:rsidR="000C5BBA" w:rsidRPr="00FD211F" w:rsidRDefault="00052BF2" w:rsidP="009C58C8">
      <w:pPr>
        <w:ind w:left="0" w:firstLine="227"/>
        <w:jc w:val="both"/>
        <w:rPr>
          <w:sz w:val="36"/>
          <w:szCs w:val="36"/>
          <w:rtl/>
        </w:rPr>
      </w:pPr>
      <w:r w:rsidRPr="00FD211F">
        <w:rPr>
          <w:b/>
          <w:bCs/>
          <w:sz w:val="36"/>
          <w:szCs w:val="36"/>
          <w:rtl/>
        </w:rPr>
        <w:t>الثالث</w:t>
      </w:r>
      <w:r w:rsidRPr="00FD211F">
        <w:rPr>
          <w:sz w:val="36"/>
          <w:szCs w:val="36"/>
          <w:rtl/>
        </w:rPr>
        <w:t>: ما ذكره السيد الخوئي</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من ان خصوصيات الصلا</w:t>
      </w:r>
      <w:r w:rsidR="00EC7EDF" w:rsidRPr="00FD211F">
        <w:rPr>
          <w:sz w:val="36"/>
          <w:szCs w:val="36"/>
          <w:rtl/>
        </w:rPr>
        <w:t xml:space="preserve">ة </w:t>
      </w:r>
      <w:r w:rsidRPr="00FD211F">
        <w:rPr>
          <w:sz w:val="36"/>
          <w:szCs w:val="36"/>
          <w:rtl/>
        </w:rPr>
        <w:t>مؤثر</w:t>
      </w:r>
      <w:r w:rsidR="00EC7EDF" w:rsidRPr="00FD211F">
        <w:rPr>
          <w:sz w:val="36"/>
          <w:szCs w:val="36"/>
          <w:rtl/>
        </w:rPr>
        <w:t xml:space="preserve">ة </w:t>
      </w:r>
      <w:r w:rsidRPr="00FD211F">
        <w:rPr>
          <w:sz w:val="36"/>
          <w:szCs w:val="36"/>
          <w:rtl/>
        </w:rPr>
        <w:t>في صح</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والانتهاء عن الفحشاء والمنكر</w:t>
      </w:r>
      <w:r w:rsidR="00603323" w:rsidRPr="00FD211F">
        <w:rPr>
          <w:sz w:val="36"/>
          <w:szCs w:val="36"/>
          <w:rtl/>
        </w:rPr>
        <w:t xml:space="preserve">، </w:t>
      </w:r>
      <w:r w:rsidRPr="00FD211F">
        <w:rPr>
          <w:sz w:val="36"/>
          <w:szCs w:val="36"/>
          <w:rtl/>
        </w:rPr>
        <w:t>فلايكون الانتهاء عن الفحشاء والمنكر معلولا للجامع وانما هو معلول للخصوصيات</w:t>
      </w:r>
      <w:r w:rsidR="00603323" w:rsidRPr="00FD211F">
        <w:rPr>
          <w:sz w:val="36"/>
          <w:szCs w:val="36"/>
          <w:rtl/>
        </w:rPr>
        <w:t xml:space="preserve">، </w:t>
      </w:r>
      <w:r w:rsidRPr="00FD211F">
        <w:rPr>
          <w:sz w:val="36"/>
          <w:szCs w:val="36"/>
          <w:rtl/>
        </w:rPr>
        <w:t>فصح</w:t>
      </w:r>
      <w:r w:rsidR="00EC7EDF" w:rsidRPr="00FD211F">
        <w:rPr>
          <w:sz w:val="36"/>
          <w:szCs w:val="36"/>
          <w:rtl/>
        </w:rPr>
        <w:t xml:space="preserve">ة </w:t>
      </w:r>
      <w:r w:rsidRPr="00FD211F">
        <w:rPr>
          <w:sz w:val="36"/>
          <w:szCs w:val="36"/>
          <w:rtl/>
        </w:rPr>
        <w:t>صلا</w:t>
      </w:r>
      <w:r w:rsidR="00EC7EDF" w:rsidRPr="00FD211F">
        <w:rPr>
          <w:sz w:val="36"/>
          <w:szCs w:val="36"/>
          <w:rtl/>
        </w:rPr>
        <w:t xml:space="preserve">ة </w:t>
      </w:r>
      <w:r w:rsidRPr="00FD211F">
        <w:rPr>
          <w:sz w:val="36"/>
          <w:szCs w:val="36"/>
          <w:rtl/>
        </w:rPr>
        <w:t>الفجر مثلا منوط</w:t>
      </w:r>
      <w:r w:rsidR="00EC7EDF" w:rsidRPr="00FD211F">
        <w:rPr>
          <w:sz w:val="36"/>
          <w:szCs w:val="36"/>
          <w:rtl/>
        </w:rPr>
        <w:t xml:space="preserve">ة </w:t>
      </w:r>
      <w:r w:rsidRPr="00FD211F">
        <w:rPr>
          <w:sz w:val="36"/>
          <w:szCs w:val="36"/>
          <w:rtl/>
        </w:rPr>
        <w:t>بخصوصي</w:t>
      </w:r>
      <w:r w:rsidR="00EC7EDF" w:rsidRPr="00FD211F">
        <w:rPr>
          <w:sz w:val="36"/>
          <w:szCs w:val="36"/>
          <w:rtl/>
        </w:rPr>
        <w:t xml:space="preserve">ة </w:t>
      </w:r>
      <w:r w:rsidRPr="00FD211F">
        <w:rPr>
          <w:sz w:val="36"/>
          <w:szCs w:val="36"/>
          <w:rtl/>
        </w:rPr>
        <w:t>وقوع التسليم</w:t>
      </w:r>
      <w:r w:rsidR="00EC7EDF" w:rsidRPr="00FD211F">
        <w:rPr>
          <w:sz w:val="36"/>
          <w:szCs w:val="36"/>
          <w:rtl/>
        </w:rPr>
        <w:t xml:space="preserve">ة </w:t>
      </w:r>
      <w:r w:rsidRPr="00FD211F">
        <w:rPr>
          <w:sz w:val="36"/>
          <w:szCs w:val="36"/>
          <w:rtl/>
        </w:rPr>
        <w:t>في الركع</w:t>
      </w:r>
      <w:r w:rsidR="00EC7EDF" w:rsidRPr="00FD211F">
        <w:rPr>
          <w:sz w:val="36"/>
          <w:szCs w:val="36"/>
          <w:rtl/>
        </w:rPr>
        <w:t xml:space="preserve">ة </w:t>
      </w:r>
      <w:r w:rsidRPr="00FD211F">
        <w:rPr>
          <w:sz w:val="36"/>
          <w:szCs w:val="36"/>
          <w:rtl/>
        </w:rPr>
        <w:t>الثاني</w:t>
      </w:r>
      <w:r w:rsidR="00EC7EDF" w:rsidRPr="00FD211F">
        <w:rPr>
          <w:sz w:val="36"/>
          <w:szCs w:val="36"/>
          <w:rtl/>
        </w:rPr>
        <w:t xml:space="preserve">ة </w:t>
      </w:r>
      <w:r w:rsidRPr="00FD211F">
        <w:rPr>
          <w:sz w:val="36"/>
          <w:szCs w:val="36"/>
          <w:rtl/>
        </w:rPr>
        <w:t>وصح</w:t>
      </w:r>
      <w:r w:rsidR="00EC7EDF" w:rsidRPr="00FD211F">
        <w:rPr>
          <w:sz w:val="36"/>
          <w:szCs w:val="36"/>
          <w:rtl/>
        </w:rPr>
        <w:t xml:space="preserve">ة </w:t>
      </w:r>
      <w:r w:rsidRPr="00FD211F">
        <w:rPr>
          <w:sz w:val="36"/>
          <w:szCs w:val="36"/>
          <w:rtl/>
        </w:rPr>
        <w:t>صلا</w:t>
      </w:r>
      <w:r w:rsidR="00EC7EDF" w:rsidRPr="00FD211F">
        <w:rPr>
          <w:sz w:val="36"/>
          <w:szCs w:val="36"/>
          <w:rtl/>
        </w:rPr>
        <w:t xml:space="preserve">ة </w:t>
      </w:r>
      <w:r w:rsidRPr="00FD211F">
        <w:rPr>
          <w:sz w:val="36"/>
          <w:szCs w:val="36"/>
          <w:rtl/>
        </w:rPr>
        <w:t>المغرب منوط</w:t>
      </w:r>
      <w:r w:rsidR="00EC7EDF" w:rsidRPr="00FD211F">
        <w:rPr>
          <w:sz w:val="36"/>
          <w:szCs w:val="36"/>
          <w:rtl/>
        </w:rPr>
        <w:t xml:space="preserve">ة </w:t>
      </w:r>
      <w:r w:rsidRPr="00FD211F">
        <w:rPr>
          <w:sz w:val="36"/>
          <w:szCs w:val="36"/>
          <w:rtl/>
        </w:rPr>
        <w:t>بخصوصي</w:t>
      </w:r>
      <w:r w:rsidR="00EC7EDF" w:rsidRPr="00FD211F">
        <w:rPr>
          <w:sz w:val="36"/>
          <w:szCs w:val="36"/>
          <w:rtl/>
        </w:rPr>
        <w:t xml:space="preserve">ة </w:t>
      </w:r>
      <w:r w:rsidRPr="00FD211F">
        <w:rPr>
          <w:sz w:val="36"/>
          <w:szCs w:val="36"/>
          <w:rtl/>
        </w:rPr>
        <w:t>وقوعها في الركع</w:t>
      </w:r>
      <w:r w:rsidR="00EC7EDF" w:rsidRPr="00FD211F">
        <w:rPr>
          <w:sz w:val="36"/>
          <w:szCs w:val="36"/>
          <w:rtl/>
        </w:rPr>
        <w:t xml:space="preserve">ة </w:t>
      </w:r>
      <w:r w:rsidRPr="00FD211F">
        <w:rPr>
          <w:sz w:val="36"/>
          <w:szCs w:val="36"/>
          <w:rtl/>
        </w:rPr>
        <w:t>الثالث</w:t>
      </w:r>
      <w:r w:rsidR="00EC7EDF" w:rsidRPr="00FD211F">
        <w:rPr>
          <w:sz w:val="36"/>
          <w:szCs w:val="36"/>
          <w:rtl/>
        </w:rPr>
        <w:t xml:space="preserve">ة </w:t>
      </w:r>
      <w:r w:rsidRPr="00FD211F">
        <w:rPr>
          <w:sz w:val="36"/>
          <w:szCs w:val="36"/>
          <w:rtl/>
        </w:rPr>
        <w:t>وعدم وقوعها في الركع</w:t>
      </w:r>
      <w:r w:rsidR="00EC7EDF" w:rsidRPr="00FD211F">
        <w:rPr>
          <w:sz w:val="36"/>
          <w:szCs w:val="36"/>
          <w:rtl/>
        </w:rPr>
        <w:t xml:space="preserve">ة </w:t>
      </w:r>
      <w:r w:rsidRPr="00FD211F">
        <w:rPr>
          <w:sz w:val="36"/>
          <w:szCs w:val="36"/>
          <w:rtl/>
        </w:rPr>
        <w:t>الثاني</w:t>
      </w:r>
      <w:r w:rsidR="00EC7EDF" w:rsidRPr="00FD211F">
        <w:rPr>
          <w:sz w:val="36"/>
          <w:szCs w:val="36"/>
          <w:rtl/>
        </w:rPr>
        <w:t>ة</w:t>
      </w:r>
      <w:r w:rsidR="00603323" w:rsidRPr="00FD211F">
        <w:rPr>
          <w:sz w:val="36"/>
          <w:szCs w:val="36"/>
          <w:rtl/>
        </w:rPr>
        <w:t xml:space="preserve">، </w:t>
      </w:r>
      <w:r w:rsidRPr="00FD211F">
        <w:rPr>
          <w:sz w:val="36"/>
          <w:szCs w:val="36"/>
          <w:rtl/>
        </w:rPr>
        <w:t>وصح</w:t>
      </w:r>
      <w:r w:rsidR="00EC7EDF" w:rsidRPr="00FD211F">
        <w:rPr>
          <w:sz w:val="36"/>
          <w:szCs w:val="36"/>
          <w:rtl/>
        </w:rPr>
        <w:t xml:space="preserve">ة </w:t>
      </w:r>
      <w:r w:rsidRPr="00FD211F">
        <w:rPr>
          <w:sz w:val="36"/>
          <w:szCs w:val="36"/>
          <w:rtl/>
        </w:rPr>
        <w:t>صلا</w:t>
      </w:r>
      <w:r w:rsidR="00EC7EDF" w:rsidRPr="00FD211F">
        <w:rPr>
          <w:sz w:val="36"/>
          <w:szCs w:val="36"/>
          <w:rtl/>
        </w:rPr>
        <w:t xml:space="preserve">ة </w:t>
      </w:r>
      <w:r w:rsidRPr="00FD211F">
        <w:rPr>
          <w:sz w:val="36"/>
          <w:szCs w:val="36"/>
          <w:rtl/>
        </w:rPr>
        <w:t>الظهرين او العشاء منوط</w:t>
      </w:r>
      <w:r w:rsidR="00EC7EDF" w:rsidRPr="00FD211F">
        <w:rPr>
          <w:sz w:val="36"/>
          <w:szCs w:val="36"/>
          <w:rtl/>
        </w:rPr>
        <w:t xml:space="preserve">ة </w:t>
      </w:r>
      <w:r w:rsidRPr="00FD211F">
        <w:rPr>
          <w:sz w:val="36"/>
          <w:szCs w:val="36"/>
          <w:rtl/>
        </w:rPr>
        <w:t>بخصوصي</w:t>
      </w:r>
      <w:r w:rsidR="00EC7EDF" w:rsidRPr="00FD211F">
        <w:rPr>
          <w:sz w:val="36"/>
          <w:szCs w:val="36"/>
          <w:rtl/>
        </w:rPr>
        <w:t xml:space="preserve">ة </w:t>
      </w:r>
      <w:r w:rsidRPr="00FD211F">
        <w:rPr>
          <w:sz w:val="36"/>
          <w:szCs w:val="36"/>
          <w:rtl/>
        </w:rPr>
        <w:t>وقوع في الركع</w:t>
      </w:r>
      <w:r w:rsidR="00EC7EDF" w:rsidRPr="00FD211F">
        <w:rPr>
          <w:sz w:val="36"/>
          <w:szCs w:val="36"/>
          <w:rtl/>
        </w:rPr>
        <w:t xml:space="preserve">ة </w:t>
      </w:r>
      <w:r w:rsidRPr="00FD211F">
        <w:rPr>
          <w:sz w:val="36"/>
          <w:szCs w:val="36"/>
          <w:rtl/>
        </w:rPr>
        <w:t>الرابع</w:t>
      </w:r>
      <w:r w:rsidR="00EC7EDF" w:rsidRPr="00FD211F">
        <w:rPr>
          <w:sz w:val="36"/>
          <w:szCs w:val="36"/>
          <w:rtl/>
        </w:rPr>
        <w:t xml:space="preserve">ة </w:t>
      </w:r>
      <w:r w:rsidRPr="00FD211F">
        <w:rPr>
          <w:sz w:val="36"/>
          <w:szCs w:val="36"/>
          <w:rtl/>
        </w:rPr>
        <w:t>وعدم وقوعها في الركع</w:t>
      </w:r>
      <w:r w:rsidR="00EC7EDF" w:rsidRPr="00FD211F">
        <w:rPr>
          <w:sz w:val="36"/>
          <w:szCs w:val="36"/>
          <w:rtl/>
        </w:rPr>
        <w:t xml:space="preserve">ة </w:t>
      </w:r>
      <w:r w:rsidRPr="00FD211F">
        <w:rPr>
          <w:sz w:val="36"/>
          <w:szCs w:val="36"/>
          <w:rtl/>
        </w:rPr>
        <w:t>الثالث</w:t>
      </w:r>
      <w:r w:rsidR="00EC7EDF" w:rsidRPr="00FD211F">
        <w:rPr>
          <w:sz w:val="36"/>
          <w:szCs w:val="36"/>
          <w:rtl/>
        </w:rPr>
        <w:t xml:space="preserve">ة </w:t>
      </w:r>
      <w:r w:rsidRPr="00FD211F">
        <w:rPr>
          <w:sz w:val="36"/>
          <w:szCs w:val="36"/>
          <w:rtl/>
        </w:rPr>
        <w:t>وهكذا بقي</w:t>
      </w:r>
      <w:r w:rsidR="00EC7EDF" w:rsidRPr="00FD211F">
        <w:rPr>
          <w:sz w:val="36"/>
          <w:szCs w:val="36"/>
          <w:rtl/>
        </w:rPr>
        <w:t xml:space="preserve">ة </w:t>
      </w:r>
      <w:r w:rsidRPr="00FD211F">
        <w:rPr>
          <w:sz w:val="36"/>
          <w:szCs w:val="36"/>
          <w:rtl/>
        </w:rPr>
        <w:t>الخصوصيات</w:t>
      </w:r>
      <w:r w:rsidR="00603323" w:rsidRPr="00FD211F">
        <w:rPr>
          <w:sz w:val="36"/>
          <w:szCs w:val="36"/>
          <w:rtl/>
        </w:rPr>
        <w:t xml:space="preserve">، </w:t>
      </w:r>
      <w:r w:rsidRPr="00FD211F">
        <w:rPr>
          <w:sz w:val="36"/>
          <w:szCs w:val="36"/>
          <w:rtl/>
        </w:rPr>
        <w:t>فكيف يمكن القول بان المؤثر هو الجامع</w:t>
      </w:r>
      <w:r w:rsidR="00603323" w:rsidRPr="00FD211F">
        <w:rPr>
          <w:sz w:val="36"/>
          <w:szCs w:val="36"/>
          <w:rtl/>
        </w:rPr>
        <w:t xml:space="preserve">، </w:t>
      </w:r>
      <w:r w:rsidRPr="00FD211F">
        <w:rPr>
          <w:sz w:val="36"/>
          <w:szCs w:val="36"/>
          <w:rtl/>
        </w:rPr>
        <w:t>فان الالتزام بذلك فيما اذا</w:t>
      </w:r>
      <w:r w:rsidR="008D7B3D" w:rsidRPr="00FD211F">
        <w:rPr>
          <w:sz w:val="36"/>
          <w:szCs w:val="36"/>
          <w:rtl/>
        </w:rPr>
        <w:t xml:space="preserve"> لم‌</w:t>
      </w:r>
      <w:r w:rsidRPr="00FD211F">
        <w:rPr>
          <w:sz w:val="36"/>
          <w:szCs w:val="36"/>
          <w:rtl/>
        </w:rPr>
        <w:t>يكن للخصوصيات دخل في ترتب الأثر</w:t>
      </w:r>
      <w:r w:rsidR="00603323" w:rsidRPr="00FD211F">
        <w:rPr>
          <w:sz w:val="36"/>
          <w:szCs w:val="36"/>
          <w:rtl/>
        </w:rPr>
        <w:t xml:space="preserve">، </w:t>
      </w:r>
      <w:r w:rsidRPr="00FD211F">
        <w:rPr>
          <w:sz w:val="36"/>
          <w:szCs w:val="36"/>
          <w:rtl/>
        </w:rPr>
        <w:t>كما في الخصوصيات الفردي</w:t>
      </w:r>
      <w:r w:rsidR="00EC7EDF" w:rsidRPr="00FD211F">
        <w:rPr>
          <w:sz w:val="36"/>
          <w:szCs w:val="36"/>
          <w:rtl/>
        </w:rPr>
        <w:t xml:space="preserve">ة </w:t>
      </w:r>
      <w:r w:rsidRPr="00FD211F">
        <w:rPr>
          <w:sz w:val="36"/>
          <w:szCs w:val="36"/>
          <w:rtl/>
        </w:rPr>
        <w:t>والصنفي</w:t>
      </w:r>
      <w:r w:rsidR="00EC7EDF" w:rsidRPr="00FD211F">
        <w:rPr>
          <w:sz w:val="36"/>
          <w:szCs w:val="36"/>
          <w:rtl/>
        </w:rPr>
        <w:t xml:space="preserve">ة </w:t>
      </w:r>
      <w:r w:rsidRPr="00FD211F">
        <w:rPr>
          <w:sz w:val="36"/>
          <w:szCs w:val="36"/>
          <w:rtl/>
        </w:rPr>
        <w:t>للنار حيث لادخل لها في ترتب الإحراق</w:t>
      </w:r>
      <w:r w:rsidR="009C58C8" w:rsidRPr="00FD211F">
        <w:rPr>
          <w:rStyle w:val="a6"/>
          <w:sz w:val="36"/>
          <w:szCs w:val="36"/>
          <w:rtl/>
        </w:rPr>
        <w:t>(</w:t>
      </w:r>
      <w:r w:rsidR="009C58C8" w:rsidRPr="00FD211F">
        <w:rPr>
          <w:rStyle w:val="a6"/>
          <w:sz w:val="36"/>
          <w:szCs w:val="36"/>
          <w:rtl/>
        </w:rPr>
        <w:footnoteReference w:id="371"/>
      </w:r>
      <w:r w:rsidR="009C58C8" w:rsidRPr="00FD211F">
        <w:rPr>
          <w:rStyle w:val="a6"/>
          <w:sz w:val="36"/>
          <w:szCs w:val="36"/>
          <w:rtl/>
        </w:rPr>
        <w:t>)</w:t>
      </w:r>
      <w:r w:rsidRPr="00FD211F">
        <w:rPr>
          <w:sz w:val="36"/>
          <w:szCs w:val="36"/>
          <w:rtl/>
        </w:rPr>
        <w:t>.</w:t>
      </w:r>
    </w:p>
    <w:p w14:paraId="7E3EB287" w14:textId="77777777" w:rsidR="00052BF2" w:rsidRPr="00FD211F" w:rsidRDefault="00052BF2" w:rsidP="009C58C8">
      <w:pPr>
        <w:ind w:left="0" w:firstLine="227"/>
        <w:jc w:val="both"/>
        <w:rPr>
          <w:sz w:val="36"/>
          <w:szCs w:val="36"/>
          <w:rtl/>
        </w:rPr>
      </w:pPr>
      <w:r w:rsidRPr="00FD211F">
        <w:rPr>
          <w:sz w:val="36"/>
          <w:szCs w:val="36"/>
          <w:rtl/>
        </w:rPr>
        <w:t>ويلاحظ عليه: انه وان كانت دخال</w:t>
      </w:r>
      <w:r w:rsidR="00EC7EDF" w:rsidRPr="00FD211F">
        <w:rPr>
          <w:sz w:val="36"/>
          <w:szCs w:val="36"/>
          <w:rtl/>
        </w:rPr>
        <w:t xml:space="preserve">ة </w:t>
      </w:r>
      <w:r w:rsidRPr="00FD211F">
        <w:rPr>
          <w:sz w:val="36"/>
          <w:szCs w:val="36"/>
          <w:rtl/>
        </w:rPr>
        <w:t>تلك الخصوصيات في تحقق الجامع واضح</w:t>
      </w:r>
      <w:r w:rsidR="00EC7EDF" w:rsidRPr="00FD211F">
        <w:rPr>
          <w:sz w:val="36"/>
          <w:szCs w:val="36"/>
          <w:rtl/>
        </w:rPr>
        <w:t>ة</w:t>
      </w:r>
      <w:r w:rsidR="00603323" w:rsidRPr="00FD211F">
        <w:rPr>
          <w:sz w:val="36"/>
          <w:szCs w:val="36"/>
          <w:rtl/>
        </w:rPr>
        <w:t xml:space="preserve">، </w:t>
      </w:r>
      <w:r w:rsidRPr="00FD211F">
        <w:rPr>
          <w:sz w:val="36"/>
          <w:szCs w:val="36"/>
          <w:rtl/>
        </w:rPr>
        <w:t>ولكن لايلزم من ذلك كون تلك الخصوصيات مؤثر</w:t>
      </w:r>
      <w:r w:rsidR="00EC7EDF" w:rsidRPr="00FD211F">
        <w:rPr>
          <w:sz w:val="36"/>
          <w:szCs w:val="36"/>
          <w:rtl/>
        </w:rPr>
        <w:t xml:space="preserve">ة </w:t>
      </w:r>
      <w:r w:rsidRPr="00FD211F">
        <w:rPr>
          <w:sz w:val="36"/>
          <w:szCs w:val="36"/>
          <w:rtl/>
        </w:rPr>
        <w:t>في ايجاد الأثر المشترك</w:t>
      </w:r>
      <w:r w:rsidR="00603323" w:rsidRPr="00FD211F">
        <w:rPr>
          <w:sz w:val="36"/>
          <w:szCs w:val="36"/>
          <w:rtl/>
        </w:rPr>
        <w:t xml:space="preserve">، </w:t>
      </w:r>
      <w:r w:rsidRPr="00FD211F">
        <w:rPr>
          <w:sz w:val="36"/>
          <w:szCs w:val="36"/>
          <w:rtl/>
        </w:rPr>
        <w:t>فلعلها علل مادي</w:t>
      </w:r>
      <w:r w:rsidR="00EC7EDF" w:rsidRPr="00FD211F">
        <w:rPr>
          <w:sz w:val="36"/>
          <w:szCs w:val="36"/>
          <w:rtl/>
        </w:rPr>
        <w:t xml:space="preserve">ة </w:t>
      </w:r>
      <w:r w:rsidRPr="00FD211F">
        <w:rPr>
          <w:sz w:val="36"/>
          <w:szCs w:val="36"/>
          <w:rtl/>
        </w:rPr>
        <w:t>لوجود الجامع البسيط الذي هو المؤثر في ترتب ذلك الأثر المشترك بمقتضى قاعد</w:t>
      </w:r>
      <w:r w:rsidR="00EC7EDF" w:rsidRPr="00FD211F">
        <w:rPr>
          <w:sz w:val="36"/>
          <w:szCs w:val="36"/>
          <w:rtl/>
        </w:rPr>
        <w:t xml:space="preserve">ة </w:t>
      </w:r>
      <w:r w:rsidRPr="00FD211F">
        <w:rPr>
          <w:sz w:val="36"/>
          <w:szCs w:val="36"/>
          <w:rtl/>
        </w:rPr>
        <w:t xml:space="preserve">عدم صدور الواحد الا عن الواحد. </w:t>
      </w:r>
    </w:p>
    <w:p w14:paraId="4653CE78" w14:textId="77777777" w:rsidR="00052BF2" w:rsidRPr="00FD211F" w:rsidRDefault="00052BF2" w:rsidP="009C58C8">
      <w:pPr>
        <w:ind w:left="0" w:firstLine="227"/>
        <w:jc w:val="both"/>
        <w:rPr>
          <w:sz w:val="36"/>
          <w:szCs w:val="36"/>
          <w:rtl/>
        </w:rPr>
      </w:pPr>
      <w:r w:rsidRPr="00FD211F">
        <w:rPr>
          <w:b/>
          <w:bCs/>
          <w:sz w:val="36"/>
          <w:szCs w:val="36"/>
          <w:rtl/>
        </w:rPr>
        <w:t>الرابع</w:t>
      </w:r>
      <w:r w:rsidRPr="00FD211F">
        <w:rPr>
          <w:sz w:val="36"/>
          <w:szCs w:val="36"/>
          <w:rtl/>
        </w:rPr>
        <w:t>: ما ذكره المحقق النائيني</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00210474" w:rsidRPr="00FD211F">
        <w:rPr>
          <w:sz w:val="36"/>
          <w:szCs w:val="36"/>
          <w:rtl/>
        </w:rPr>
        <w:t>من ان هذا الجامع حيث</w:t>
      </w:r>
      <w:r w:rsidRPr="00FD211F">
        <w:rPr>
          <w:sz w:val="36"/>
          <w:szCs w:val="36"/>
          <w:rtl/>
        </w:rPr>
        <w:t xml:space="preserve"> يكون مجهولا بكنهه ومفهومه فلاعرفي</w:t>
      </w:r>
      <w:r w:rsidR="00EC7EDF" w:rsidRPr="00FD211F">
        <w:rPr>
          <w:sz w:val="36"/>
          <w:szCs w:val="36"/>
          <w:rtl/>
        </w:rPr>
        <w:t xml:space="preserve">ة </w:t>
      </w:r>
      <w:r w:rsidRPr="00FD211F">
        <w:rPr>
          <w:sz w:val="36"/>
          <w:szCs w:val="36"/>
          <w:rtl/>
        </w:rPr>
        <w:t>في وضع لفظ بإزائه</w:t>
      </w:r>
      <w:r w:rsidR="00603323" w:rsidRPr="00FD211F">
        <w:rPr>
          <w:sz w:val="36"/>
          <w:szCs w:val="36"/>
          <w:rtl/>
        </w:rPr>
        <w:t xml:space="preserve">، </w:t>
      </w:r>
      <w:r w:rsidRPr="00FD211F">
        <w:rPr>
          <w:sz w:val="36"/>
          <w:szCs w:val="36"/>
          <w:rtl/>
        </w:rPr>
        <w:t>بعد ان كان الغرض من الوضع هو تفهيم المعنى الى العرف</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372"/>
      </w:r>
      <w:r w:rsidR="00C17D0B" w:rsidRPr="00FD211F">
        <w:rPr>
          <w:rStyle w:val="a6"/>
          <w:sz w:val="36"/>
          <w:szCs w:val="36"/>
          <w:rtl/>
        </w:rPr>
        <w:t>)</w:t>
      </w:r>
      <w:r w:rsidRPr="00FD211F">
        <w:rPr>
          <w:sz w:val="36"/>
          <w:szCs w:val="36"/>
          <w:rtl/>
        </w:rPr>
        <w:t xml:space="preserve"> وما ذكره متين جدّا.</w:t>
      </w:r>
    </w:p>
    <w:p w14:paraId="18249AF4" w14:textId="77777777" w:rsidR="00052BF2" w:rsidRPr="00FD211F" w:rsidRDefault="00052BF2" w:rsidP="009C58C8">
      <w:pPr>
        <w:ind w:left="0" w:firstLine="227"/>
        <w:jc w:val="both"/>
        <w:rPr>
          <w:sz w:val="36"/>
          <w:szCs w:val="36"/>
          <w:rtl/>
        </w:rPr>
      </w:pPr>
      <w:r w:rsidRPr="00FD211F">
        <w:rPr>
          <w:b/>
          <w:bCs/>
          <w:sz w:val="36"/>
          <w:szCs w:val="36"/>
          <w:rtl/>
        </w:rPr>
        <w:t>الخامس</w:t>
      </w:r>
      <w:r w:rsidRPr="00FD211F">
        <w:rPr>
          <w:sz w:val="36"/>
          <w:szCs w:val="36"/>
          <w:rtl/>
        </w:rPr>
        <w:t>: ان الأثر كالانتهاء عن الفحشاء يترتب على الصلا</w:t>
      </w:r>
      <w:r w:rsidR="00EC7EDF" w:rsidRPr="00FD211F">
        <w:rPr>
          <w:sz w:val="36"/>
          <w:szCs w:val="36"/>
          <w:rtl/>
        </w:rPr>
        <w:t xml:space="preserve">ة </w:t>
      </w:r>
      <w:r w:rsidRPr="00FD211F">
        <w:rPr>
          <w:sz w:val="36"/>
          <w:szCs w:val="36"/>
          <w:rtl/>
        </w:rPr>
        <w:t>الصحيح</w:t>
      </w:r>
      <w:r w:rsidR="00EC7EDF" w:rsidRPr="00FD211F">
        <w:rPr>
          <w:sz w:val="36"/>
          <w:szCs w:val="36"/>
          <w:rtl/>
        </w:rPr>
        <w:t xml:space="preserve">ة </w:t>
      </w:r>
      <w:r w:rsidRPr="00FD211F">
        <w:rPr>
          <w:sz w:val="36"/>
          <w:szCs w:val="36"/>
          <w:rtl/>
        </w:rPr>
        <w:t>بالفعل</w:t>
      </w:r>
      <w:r w:rsidR="00603323" w:rsidRPr="00FD211F">
        <w:rPr>
          <w:sz w:val="36"/>
          <w:szCs w:val="36"/>
          <w:rtl/>
        </w:rPr>
        <w:t xml:space="preserve">، </w:t>
      </w:r>
      <w:r w:rsidRPr="00FD211F">
        <w:rPr>
          <w:sz w:val="36"/>
          <w:szCs w:val="36"/>
          <w:rtl/>
        </w:rPr>
        <w:t>فلابد من اشتمالها على مثل قصد القرب</w:t>
      </w:r>
      <w:r w:rsidR="00EC7EDF" w:rsidRPr="00FD211F">
        <w:rPr>
          <w:sz w:val="36"/>
          <w:szCs w:val="36"/>
          <w:rtl/>
        </w:rPr>
        <w:t>ة</w:t>
      </w:r>
      <w:r w:rsidR="00603323" w:rsidRPr="00FD211F">
        <w:rPr>
          <w:sz w:val="36"/>
          <w:szCs w:val="36"/>
          <w:rtl/>
        </w:rPr>
        <w:t xml:space="preserve">، </w:t>
      </w:r>
      <w:r w:rsidRPr="00FD211F">
        <w:rPr>
          <w:sz w:val="36"/>
          <w:szCs w:val="36"/>
          <w:rtl/>
        </w:rPr>
        <w:t>والمفروض خروج قصد القرب</w:t>
      </w:r>
      <w:r w:rsidR="00EC7EDF" w:rsidRPr="00FD211F">
        <w:rPr>
          <w:sz w:val="36"/>
          <w:szCs w:val="36"/>
          <w:rtl/>
        </w:rPr>
        <w:t xml:space="preserve">ة </w:t>
      </w:r>
      <w:r w:rsidRPr="00FD211F">
        <w:rPr>
          <w:sz w:val="36"/>
          <w:szCs w:val="36"/>
          <w:rtl/>
        </w:rPr>
        <w:t>عن مسمى الصلا</w:t>
      </w:r>
      <w:r w:rsidR="00EC7EDF" w:rsidRPr="00FD211F">
        <w:rPr>
          <w:sz w:val="36"/>
          <w:szCs w:val="36"/>
          <w:rtl/>
        </w:rPr>
        <w:t>ة</w:t>
      </w:r>
      <w:r w:rsidR="00603323" w:rsidRPr="00FD211F">
        <w:rPr>
          <w:sz w:val="36"/>
          <w:szCs w:val="36"/>
          <w:rtl/>
        </w:rPr>
        <w:t xml:space="preserve">، </w:t>
      </w:r>
      <w:r w:rsidRPr="00FD211F">
        <w:rPr>
          <w:sz w:val="36"/>
          <w:szCs w:val="36"/>
          <w:rtl/>
        </w:rPr>
        <w:t>اذ لو اخذ ذلك في المسمى فبناء على مسلك المشهور يمتنع وقوع المسمى متعلقا للأمر الشرعي</w:t>
      </w:r>
      <w:r w:rsidR="00603323" w:rsidRPr="00FD211F">
        <w:rPr>
          <w:sz w:val="36"/>
          <w:szCs w:val="36"/>
          <w:rtl/>
        </w:rPr>
        <w:t xml:space="preserve">، </w:t>
      </w:r>
      <w:r w:rsidRPr="00FD211F">
        <w:rPr>
          <w:sz w:val="36"/>
          <w:szCs w:val="36"/>
          <w:rtl/>
        </w:rPr>
        <w:t>وهذا خلف غرض الصحيحي من تحديد المسمى بنحو يصح تعلق الأمر به</w:t>
      </w:r>
      <w:r w:rsidR="00603323" w:rsidRPr="00FD211F">
        <w:rPr>
          <w:sz w:val="36"/>
          <w:szCs w:val="36"/>
          <w:rtl/>
        </w:rPr>
        <w:t xml:space="preserve">، </w:t>
      </w:r>
      <w:r w:rsidRPr="00FD211F">
        <w:rPr>
          <w:sz w:val="36"/>
          <w:szCs w:val="36"/>
          <w:rtl/>
        </w:rPr>
        <w:t>فحيث علم عدم اخذ قصد القرب</w:t>
      </w:r>
      <w:r w:rsidR="00EC7EDF" w:rsidRPr="00FD211F">
        <w:rPr>
          <w:sz w:val="36"/>
          <w:szCs w:val="36"/>
          <w:rtl/>
        </w:rPr>
        <w:t xml:space="preserve">ة </w:t>
      </w:r>
      <w:r w:rsidRPr="00FD211F">
        <w:rPr>
          <w:sz w:val="36"/>
          <w:szCs w:val="36"/>
          <w:rtl/>
        </w:rPr>
        <w:t>في المسمى فلايترتب هذا الأثر المشترك اي الانتهاء عن الفحشاء على المسمى وحده حتى يكشف عن جامع يكون مسمىً للفظ الصلا</w:t>
      </w:r>
      <w:r w:rsidR="00EC7EDF" w:rsidRPr="00FD211F">
        <w:rPr>
          <w:sz w:val="36"/>
          <w:szCs w:val="36"/>
          <w:rtl/>
        </w:rPr>
        <w:t>ة</w:t>
      </w:r>
      <w:r w:rsidR="00A61BAE" w:rsidRPr="00FD211F">
        <w:rPr>
          <w:sz w:val="36"/>
          <w:szCs w:val="36"/>
          <w:rtl/>
        </w:rPr>
        <w:t>.</w:t>
      </w:r>
    </w:p>
    <w:p w14:paraId="4F592F72" w14:textId="77777777" w:rsidR="00052BF2" w:rsidRPr="00FD211F" w:rsidRDefault="00052BF2" w:rsidP="009C58C8">
      <w:pPr>
        <w:ind w:left="0" w:firstLine="227"/>
        <w:jc w:val="both"/>
        <w:rPr>
          <w:sz w:val="36"/>
          <w:szCs w:val="36"/>
          <w:rtl/>
        </w:rPr>
      </w:pPr>
      <w:r w:rsidRPr="00FD211F">
        <w:rPr>
          <w:sz w:val="36"/>
          <w:szCs w:val="36"/>
          <w:rtl/>
        </w:rPr>
        <w:t xml:space="preserve">ولكن يجاب عنه بما ذكره المحقق الاصفهاني </w:t>
      </w:r>
      <w:r w:rsidR="006715F0" w:rsidRPr="00FD211F">
        <w:rPr>
          <w:sz w:val="36"/>
          <w:szCs w:val="36"/>
          <w:rtl/>
        </w:rPr>
        <w:t>"</w:t>
      </w:r>
      <w:r w:rsidRPr="00FD211F">
        <w:rPr>
          <w:sz w:val="36"/>
          <w:szCs w:val="36"/>
          <w:rtl/>
        </w:rPr>
        <w:t>قده</w:t>
      </w:r>
      <w:r w:rsidR="006715F0" w:rsidRPr="00FD211F">
        <w:rPr>
          <w:sz w:val="36"/>
          <w:szCs w:val="36"/>
          <w:rtl/>
        </w:rPr>
        <w:t>"</w:t>
      </w:r>
      <w:r w:rsidRPr="00FD211F">
        <w:rPr>
          <w:sz w:val="36"/>
          <w:szCs w:val="36"/>
          <w:rtl/>
        </w:rPr>
        <w:t xml:space="preserve"> من انه يكفي الأثر التعليقي اي ان المسمى لو انضمّ اليه قصد القرب</w:t>
      </w:r>
      <w:r w:rsidR="00EC7EDF" w:rsidRPr="00FD211F">
        <w:rPr>
          <w:sz w:val="36"/>
          <w:szCs w:val="36"/>
          <w:rtl/>
        </w:rPr>
        <w:t xml:space="preserve">ة </w:t>
      </w:r>
      <w:r w:rsidRPr="00FD211F">
        <w:rPr>
          <w:sz w:val="36"/>
          <w:szCs w:val="36"/>
          <w:rtl/>
        </w:rPr>
        <w:t>لترتب عليه الانتهاء عن الفحشاء</w:t>
      </w:r>
      <w:r w:rsidR="009C58C8" w:rsidRPr="00FD211F">
        <w:rPr>
          <w:rStyle w:val="a6"/>
          <w:sz w:val="36"/>
          <w:szCs w:val="36"/>
          <w:rtl/>
        </w:rPr>
        <w:t>(</w:t>
      </w:r>
      <w:r w:rsidR="009C58C8" w:rsidRPr="00FD211F">
        <w:rPr>
          <w:rStyle w:val="a6"/>
          <w:sz w:val="36"/>
          <w:szCs w:val="36"/>
          <w:rtl/>
        </w:rPr>
        <w:footnoteReference w:id="373"/>
      </w:r>
      <w:r w:rsidR="009C58C8" w:rsidRPr="00FD211F">
        <w:rPr>
          <w:rStyle w:val="a6"/>
          <w:sz w:val="36"/>
          <w:szCs w:val="36"/>
          <w:rtl/>
        </w:rPr>
        <w:t>)</w:t>
      </w:r>
      <w:r w:rsidRPr="00FD211F">
        <w:rPr>
          <w:sz w:val="36"/>
          <w:szCs w:val="36"/>
          <w:rtl/>
        </w:rPr>
        <w:t>.</w:t>
      </w:r>
    </w:p>
    <w:p w14:paraId="2B7E1A15" w14:textId="77777777" w:rsidR="00052BF2" w:rsidRPr="00FD211F" w:rsidRDefault="00052BF2" w:rsidP="009C58C8">
      <w:pPr>
        <w:ind w:left="0" w:firstLine="227"/>
        <w:jc w:val="both"/>
        <w:rPr>
          <w:sz w:val="36"/>
          <w:szCs w:val="36"/>
          <w:rtl/>
        </w:rPr>
      </w:pPr>
      <w:r w:rsidRPr="00FD211F">
        <w:rPr>
          <w:b/>
          <w:bCs/>
          <w:sz w:val="36"/>
          <w:szCs w:val="36"/>
          <w:rtl/>
        </w:rPr>
        <w:t>السادس</w:t>
      </w:r>
      <w:r w:rsidRPr="00FD211F">
        <w:rPr>
          <w:sz w:val="36"/>
          <w:szCs w:val="36"/>
          <w:rtl/>
        </w:rPr>
        <w:t>: انه</w:t>
      </w:r>
      <w:r w:rsidR="008D7B3D" w:rsidRPr="00FD211F">
        <w:rPr>
          <w:sz w:val="36"/>
          <w:szCs w:val="36"/>
          <w:rtl/>
        </w:rPr>
        <w:t xml:space="preserve"> لم‌</w:t>
      </w:r>
      <w:r w:rsidRPr="00FD211F">
        <w:rPr>
          <w:sz w:val="36"/>
          <w:szCs w:val="36"/>
          <w:rtl/>
        </w:rPr>
        <w:t>يعلم وجود أثر مشترك مترتب على خصوص الصلوات الصحيح</w:t>
      </w:r>
      <w:r w:rsidR="00EC7EDF" w:rsidRPr="00FD211F">
        <w:rPr>
          <w:sz w:val="36"/>
          <w:szCs w:val="36"/>
          <w:rtl/>
        </w:rPr>
        <w:t xml:space="preserve">ة </w:t>
      </w:r>
      <w:r w:rsidRPr="00FD211F">
        <w:rPr>
          <w:sz w:val="36"/>
          <w:szCs w:val="36"/>
          <w:rtl/>
        </w:rPr>
        <w:t>كي يكشف عن جامع ذاتي بينها بنحو لايشمل غيرها –فانه يلزم في الجامع الذاتي الذي يراد تسميته باسم الصلا</w:t>
      </w:r>
      <w:r w:rsidR="00EC7EDF" w:rsidRPr="00FD211F">
        <w:rPr>
          <w:sz w:val="36"/>
          <w:szCs w:val="36"/>
          <w:rtl/>
        </w:rPr>
        <w:t xml:space="preserve">ة </w:t>
      </w:r>
      <w:r w:rsidRPr="00FD211F">
        <w:rPr>
          <w:sz w:val="36"/>
          <w:szCs w:val="36"/>
          <w:rtl/>
        </w:rPr>
        <w:t>ان لايشمل غير الصلا</w:t>
      </w:r>
      <w:r w:rsidR="00EC7EDF" w:rsidRPr="00FD211F">
        <w:rPr>
          <w:sz w:val="36"/>
          <w:szCs w:val="36"/>
          <w:rtl/>
        </w:rPr>
        <w:t xml:space="preserve">ة </w:t>
      </w:r>
      <w:r w:rsidRPr="00FD211F">
        <w:rPr>
          <w:sz w:val="36"/>
          <w:szCs w:val="36"/>
          <w:rtl/>
        </w:rPr>
        <w:t>- فلعل النهي عن الفحشاء يترتب على الصوم أيضا</w:t>
      </w:r>
      <w:r w:rsidR="00603323" w:rsidRPr="00FD211F">
        <w:rPr>
          <w:sz w:val="36"/>
          <w:szCs w:val="36"/>
          <w:rtl/>
        </w:rPr>
        <w:t xml:space="preserve">، </w:t>
      </w:r>
      <w:r w:rsidRPr="00FD211F">
        <w:rPr>
          <w:sz w:val="36"/>
          <w:szCs w:val="36"/>
          <w:rtl/>
        </w:rPr>
        <w:t>وقد قال تعالى</w:t>
      </w:r>
      <w:r w:rsidR="006715F0" w:rsidRPr="00FD211F">
        <w:rPr>
          <w:sz w:val="36"/>
          <w:szCs w:val="36"/>
          <w:rtl/>
        </w:rPr>
        <w:t>"</w:t>
      </w:r>
      <w:r w:rsidRPr="00FD211F">
        <w:rPr>
          <w:sz w:val="36"/>
          <w:szCs w:val="36"/>
          <w:rtl/>
        </w:rPr>
        <w:t xml:space="preserve"> كتب عليكم الصيام كما كتب على الذين من قبلكم لعلكم تتقون</w:t>
      </w:r>
      <w:r w:rsidR="006715F0" w:rsidRPr="00FD211F">
        <w:rPr>
          <w:sz w:val="36"/>
          <w:szCs w:val="36"/>
          <w:rtl/>
        </w:rPr>
        <w:t>"</w:t>
      </w:r>
      <w:r w:rsidRPr="00FD211F">
        <w:rPr>
          <w:sz w:val="36"/>
          <w:szCs w:val="36"/>
          <w:rtl/>
        </w:rPr>
        <w:t xml:space="preserve"> ولعل الزكا</w:t>
      </w:r>
      <w:r w:rsidR="00EC7EDF" w:rsidRPr="00FD211F">
        <w:rPr>
          <w:sz w:val="36"/>
          <w:szCs w:val="36"/>
          <w:rtl/>
        </w:rPr>
        <w:t xml:space="preserve">ة </w:t>
      </w:r>
      <w:r w:rsidRPr="00FD211F">
        <w:rPr>
          <w:sz w:val="36"/>
          <w:szCs w:val="36"/>
          <w:rtl/>
        </w:rPr>
        <w:t>أيضا قربان كل تقيّ</w:t>
      </w:r>
      <w:r w:rsidR="001D1F79" w:rsidRPr="00FD211F">
        <w:rPr>
          <w:sz w:val="36"/>
          <w:szCs w:val="36"/>
          <w:rtl/>
        </w:rPr>
        <w:t xml:space="preserve"> كما</w:t>
      </w:r>
      <w:r w:rsidR="00127CB3" w:rsidRPr="00FD211F">
        <w:rPr>
          <w:sz w:val="36"/>
          <w:szCs w:val="36"/>
          <w:rtl/>
        </w:rPr>
        <w:t xml:space="preserve"> </w:t>
      </w:r>
      <w:r w:rsidR="001D1F79" w:rsidRPr="00FD211F">
        <w:rPr>
          <w:sz w:val="36"/>
          <w:szCs w:val="36"/>
          <w:rtl/>
        </w:rPr>
        <w:t>ان النهي عن الفحشاء يترتب</w:t>
      </w:r>
      <w:r w:rsidR="00B253CE" w:rsidRPr="00FD211F">
        <w:rPr>
          <w:sz w:val="36"/>
          <w:szCs w:val="36"/>
          <w:rtl/>
        </w:rPr>
        <w:t xml:space="preserve"> </w:t>
      </w:r>
      <w:r w:rsidR="001D1F79" w:rsidRPr="00FD211F">
        <w:rPr>
          <w:sz w:val="36"/>
          <w:szCs w:val="36"/>
          <w:rtl/>
        </w:rPr>
        <w:t>على الصلا</w:t>
      </w:r>
      <w:r w:rsidR="00EC7EDF" w:rsidRPr="00FD211F">
        <w:rPr>
          <w:sz w:val="36"/>
          <w:szCs w:val="36"/>
          <w:rtl/>
        </w:rPr>
        <w:t xml:space="preserve">ة </w:t>
      </w:r>
      <w:r w:rsidR="001D1F79" w:rsidRPr="00FD211F">
        <w:rPr>
          <w:sz w:val="36"/>
          <w:szCs w:val="36"/>
          <w:rtl/>
        </w:rPr>
        <w:t>الصحيح</w:t>
      </w:r>
      <w:r w:rsidR="00EC7EDF" w:rsidRPr="00FD211F">
        <w:rPr>
          <w:sz w:val="36"/>
          <w:szCs w:val="36"/>
          <w:rtl/>
        </w:rPr>
        <w:t xml:space="preserve">ة </w:t>
      </w:r>
      <w:r w:rsidR="001D1F79" w:rsidRPr="00FD211F">
        <w:rPr>
          <w:sz w:val="36"/>
          <w:szCs w:val="36"/>
          <w:rtl/>
        </w:rPr>
        <w:t>ظاهرا</w:t>
      </w:r>
      <w:r w:rsidR="00127CB3" w:rsidRPr="00FD211F">
        <w:rPr>
          <w:sz w:val="36"/>
          <w:szCs w:val="36"/>
          <w:rtl/>
        </w:rPr>
        <w:t xml:space="preserve"> </w:t>
      </w:r>
      <w:r w:rsidR="001D1F79" w:rsidRPr="00FD211F">
        <w:rPr>
          <w:sz w:val="36"/>
          <w:szCs w:val="36"/>
          <w:rtl/>
        </w:rPr>
        <w:t>وان</w:t>
      </w:r>
      <w:r w:rsidR="00127CB3" w:rsidRPr="00FD211F">
        <w:rPr>
          <w:sz w:val="36"/>
          <w:szCs w:val="36"/>
          <w:rtl/>
        </w:rPr>
        <w:t xml:space="preserve"> </w:t>
      </w:r>
      <w:r w:rsidR="001D1F79" w:rsidRPr="00FD211F">
        <w:rPr>
          <w:sz w:val="36"/>
          <w:szCs w:val="36"/>
          <w:rtl/>
        </w:rPr>
        <w:t>كانت فاسد</w:t>
      </w:r>
      <w:r w:rsidR="00EC7EDF" w:rsidRPr="00FD211F">
        <w:rPr>
          <w:sz w:val="36"/>
          <w:szCs w:val="36"/>
          <w:rtl/>
        </w:rPr>
        <w:t xml:space="preserve">ة </w:t>
      </w:r>
      <w:r w:rsidR="001D1F79" w:rsidRPr="00FD211F">
        <w:rPr>
          <w:sz w:val="36"/>
          <w:szCs w:val="36"/>
          <w:rtl/>
        </w:rPr>
        <w:t>واقعا</w:t>
      </w:r>
      <w:r w:rsidRPr="00FD211F">
        <w:rPr>
          <w:sz w:val="36"/>
          <w:szCs w:val="36"/>
          <w:rtl/>
        </w:rPr>
        <w:t>.</w:t>
      </w:r>
    </w:p>
    <w:p w14:paraId="1FBB6029" w14:textId="77777777" w:rsidR="00052BF2" w:rsidRPr="00FD211F" w:rsidRDefault="00801A1D" w:rsidP="009C58C8">
      <w:pPr>
        <w:ind w:left="0" w:firstLine="227"/>
        <w:jc w:val="both"/>
        <w:rPr>
          <w:sz w:val="36"/>
          <w:szCs w:val="36"/>
          <w:rtl/>
        </w:rPr>
      </w:pPr>
      <w:r w:rsidRPr="00FD211F">
        <w:rPr>
          <w:b/>
          <w:bCs/>
          <w:sz w:val="36"/>
          <w:szCs w:val="36"/>
          <w:rtl/>
        </w:rPr>
        <w:t>السابع</w:t>
      </w:r>
      <w:r w:rsidR="00052BF2" w:rsidRPr="00FD211F">
        <w:rPr>
          <w:sz w:val="36"/>
          <w:szCs w:val="36"/>
          <w:rtl/>
        </w:rPr>
        <w:t>: ان البرهان الذي اقيم على قاعد</w:t>
      </w:r>
      <w:r w:rsidR="00EC7EDF" w:rsidRPr="00FD211F">
        <w:rPr>
          <w:sz w:val="36"/>
          <w:szCs w:val="36"/>
          <w:rtl/>
        </w:rPr>
        <w:t xml:space="preserve">ة </w:t>
      </w:r>
      <w:r w:rsidR="00052BF2" w:rsidRPr="00FD211F">
        <w:rPr>
          <w:sz w:val="36"/>
          <w:szCs w:val="36"/>
          <w:rtl/>
        </w:rPr>
        <w:t>ان الواحد لايصدر الا عن الواحد لايقتضي الا لزوم التسانخ بين العل</w:t>
      </w:r>
      <w:r w:rsidR="00EC7EDF" w:rsidRPr="00FD211F">
        <w:rPr>
          <w:sz w:val="36"/>
          <w:szCs w:val="36"/>
          <w:rtl/>
        </w:rPr>
        <w:t xml:space="preserve">ة </w:t>
      </w:r>
      <w:r w:rsidR="00052BF2" w:rsidRPr="00FD211F">
        <w:rPr>
          <w:sz w:val="36"/>
          <w:szCs w:val="36"/>
          <w:rtl/>
        </w:rPr>
        <w:t>والمعلول ولزوم التسانخ غير لزوم الاشتراك في الجامع الذاتي</w:t>
      </w:r>
      <w:r w:rsidR="00603323" w:rsidRPr="00FD211F">
        <w:rPr>
          <w:sz w:val="36"/>
          <w:szCs w:val="36"/>
          <w:rtl/>
        </w:rPr>
        <w:t xml:space="preserve">، </w:t>
      </w:r>
      <w:r w:rsidR="00052BF2" w:rsidRPr="00FD211F">
        <w:rPr>
          <w:sz w:val="36"/>
          <w:szCs w:val="36"/>
          <w:rtl/>
        </w:rPr>
        <w:t>الا ترى انه قد يكون الجوهر عل</w:t>
      </w:r>
      <w:r w:rsidR="00EC7EDF" w:rsidRPr="00FD211F">
        <w:rPr>
          <w:sz w:val="36"/>
          <w:szCs w:val="36"/>
          <w:rtl/>
        </w:rPr>
        <w:t xml:space="preserve">ة </w:t>
      </w:r>
      <w:r w:rsidR="00052BF2" w:rsidRPr="00FD211F">
        <w:rPr>
          <w:sz w:val="36"/>
          <w:szCs w:val="36"/>
          <w:rtl/>
        </w:rPr>
        <w:t>فاعل</w:t>
      </w:r>
      <w:r w:rsidR="00EC7EDF" w:rsidRPr="00FD211F">
        <w:rPr>
          <w:sz w:val="36"/>
          <w:szCs w:val="36"/>
          <w:rtl/>
        </w:rPr>
        <w:t xml:space="preserve">ة </w:t>
      </w:r>
      <w:r w:rsidR="00052BF2" w:rsidRPr="00FD211F">
        <w:rPr>
          <w:sz w:val="36"/>
          <w:szCs w:val="36"/>
          <w:rtl/>
        </w:rPr>
        <w:t>للعرض</w:t>
      </w:r>
      <w:r w:rsidR="00603323" w:rsidRPr="00FD211F">
        <w:rPr>
          <w:sz w:val="36"/>
          <w:szCs w:val="36"/>
          <w:rtl/>
        </w:rPr>
        <w:t xml:space="preserve">، </w:t>
      </w:r>
      <w:r w:rsidR="00052BF2" w:rsidRPr="00FD211F">
        <w:rPr>
          <w:sz w:val="36"/>
          <w:szCs w:val="36"/>
          <w:rtl/>
        </w:rPr>
        <w:t>مع عدم جامع ذاتي بينهما حسب مسلك مشهور الفلاسف</w:t>
      </w:r>
      <w:r w:rsidR="00EC7EDF" w:rsidRPr="00FD211F">
        <w:rPr>
          <w:sz w:val="36"/>
          <w:szCs w:val="36"/>
          <w:rtl/>
        </w:rPr>
        <w:t>ة</w:t>
      </w:r>
      <w:r w:rsidR="00603323" w:rsidRPr="00FD211F">
        <w:rPr>
          <w:sz w:val="36"/>
          <w:szCs w:val="36"/>
          <w:rtl/>
        </w:rPr>
        <w:t xml:space="preserve">، </w:t>
      </w:r>
      <w:r w:rsidR="00052BF2" w:rsidRPr="00FD211F">
        <w:rPr>
          <w:sz w:val="36"/>
          <w:szCs w:val="36"/>
          <w:rtl/>
        </w:rPr>
        <w:t>وحينئذ فلايوجد اي دليل على لزوم جامع ذاتي بين المعلول وعلته</w:t>
      </w:r>
      <w:r w:rsidR="00603323" w:rsidRPr="00FD211F">
        <w:rPr>
          <w:sz w:val="36"/>
          <w:szCs w:val="36"/>
          <w:rtl/>
        </w:rPr>
        <w:t xml:space="preserve">، </w:t>
      </w:r>
      <w:r w:rsidR="00052BF2" w:rsidRPr="00FD211F">
        <w:rPr>
          <w:sz w:val="36"/>
          <w:szCs w:val="36"/>
          <w:rtl/>
        </w:rPr>
        <w:t xml:space="preserve">فضلا عن لزوم جامع ذاتي بين علل </w:t>
      </w:r>
      <w:r w:rsidR="008D7B3D" w:rsidRPr="00FD211F">
        <w:rPr>
          <w:sz w:val="36"/>
          <w:szCs w:val="36"/>
          <w:rtl/>
        </w:rPr>
        <w:t xml:space="preserve">شيء </w:t>
      </w:r>
      <w:r w:rsidR="00052BF2" w:rsidRPr="00FD211F">
        <w:rPr>
          <w:sz w:val="36"/>
          <w:szCs w:val="36"/>
          <w:rtl/>
        </w:rPr>
        <w:t>واحد.</w:t>
      </w:r>
    </w:p>
    <w:p w14:paraId="7264D823" w14:textId="77777777" w:rsidR="00052BF2" w:rsidRPr="00FD211F" w:rsidRDefault="00052BF2" w:rsidP="009C58C8">
      <w:pPr>
        <w:pStyle w:val="3"/>
        <w:ind w:firstLine="227"/>
        <w:jc w:val="both"/>
        <w:rPr>
          <w:rtl/>
        </w:rPr>
      </w:pPr>
      <w:bookmarkStart w:id="371" w:name="_Toc192092922"/>
      <w:bookmarkStart w:id="372" w:name="_Toc223890401"/>
      <w:r w:rsidRPr="00FD211F">
        <w:rPr>
          <w:rtl/>
        </w:rPr>
        <w:t>تصوير المحقق العراقي</w:t>
      </w:r>
      <w:bookmarkEnd w:id="371"/>
      <w:r w:rsidR="00D9639E" w:rsidRPr="00FD211F">
        <w:rPr>
          <w:rtl/>
        </w:rPr>
        <w:t xml:space="preserve"> "قده"</w:t>
      </w:r>
      <w:bookmarkEnd w:id="372"/>
    </w:p>
    <w:p w14:paraId="21C4AF5A" w14:textId="77777777" w:rsidR="00052BF2" w:rsidRPr="00FD211F" w:rsidRDefault="00052BF2" w:rsidP="009C58C8">
      <w:pPr>
        <w:ind w:left="0" w:firstLine="227"/>
        <w:jc w:val="both"/>
        <w:rPr>
          <w:sz w:val="36"/>
          <w:szCs w:val="36"/>
          <w:rtl/>
        </w:rPr>
      </w:pPr>
      <w:r w:rsidRPr="00FD211F">
        <w:rPr>
          <w:sz w:val="36"/>
          <w:szCs w:val="36"/>
          <w:rtl/>
        </w:rPr>
        <w:t>لما رأى المحقق العراقي</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انه لايمكن فرض جامع ماهوي بين أجزاء الصلا</w:t>
      </w:r>
      <w:r w:rsidR="00EC7EDF" w:rsidRPr="00FD211F">
        <w:rPr>
          <w:sz w:val="36"/>
          <w:szCs w:val="36"/>
          <w:rtl/>
        </w:rPr>
        <w:t xml:space="preserve">ة </w:t>
      </w:r>
      <w:r w:rsidRPr="00FD211F">
        <w:rPr>
          <w:sz w:val="36"/>
          <w:szCs w:val="36"/>
          <w:rtl/>
        </w:rPr>
        <w:t>حيث أنها من مقولات متباين</w:t>
      </w:r>
      <w:r w:rsidR="00EC7EDF" w:rsidRPr="00FD211F">
        <w:rPr>
          <w:sz w:val="36"/>
          <w:szCs w:val="36"/>
          <w:rtl/>
        </w:rPr>
        <w:t xml:space="preserve">ة </w:t>
      </w:r>
      <w:r w:rsidRPr="00FD211F">
        <w:rPr>
          <w:sz w:val="36"/>
          <w:szCs w:val="36"/>
          <w:rtl/>
        </w:rPr>
        <w:t>بتمام الذات</w:t>
      </w:r>
      <w:r w:rsidR="00603323" w:rsidRPr="00FD211F">
        <w:rPr>
          <w:sz w:val="36"/>
          <w:szCs w:val="36"/>
          <w:rtl/>
        </w:rPr>
        <w:t xml:space="preserve">، </w:t>
      </w:r>
      <w:r w:rsidRPr="00FD211F">
        <w:rPr>
          <w:sz w:val="36"/>
          <w:szCs w:val="36"/>
          <w:rtl/>
        </w:rPr>
        <w:t>كما مر توضيحه سابقا</w:t>
      </w:r>
      <w:r w:rsidR="00603323" w:rsidRPr="00FD211F">
        <w:rPr>
          <w:sz w:val="36"/>
          <w:szCs w:val="36"/>
          <w:rtl/>
        </w:rPr>
        <w:t xml:space="preserve">، </w:t>
      </w:r>
      <w:r w:rsidRPr="00FD211F">
        <w:rPr>
          <w:sz w:val="36"/>
          <w:szCs w:val="36"/>
          <w:rtl/>
        </w:rPr>
        <w:t>فذكر ما محصله انه انما يتم الاشكال لو كانت خصوصيات أجزاء الصلا</w:t>
      </w:r>
      <w:r w:rsidR="00EC7EDF" w:rsidRPr="00FD211F">
        <w:rPr>
          <w:sz w:val="36"/>
          <w:szCs w:val="36"/>
          <w:rtl/>
        </w:rPr>
        <w:t xml:space="preserve">ة </w:t>
      </w:r>
      <w:r w:rsidRPr="00FD211F">
        <w:rPr>
          <w:sz w:val="36"/>
          <w:szCs w:val="36"/>
          <w:rtl/>
        </w:rPr>
        <w:t>بماهياتها دخيل</w:t>
      </w:r>
      <w:r w:rsidR="00EC7EDF" w:rsidRPr="00FD211F">
        <w:rPr>
          <w:sz w:val="36"/>
          <w:szCs w:val="36"/>
          <w:rtl/>
        </w:rPr>
        <w:t xml:space="preserve">ة </w:t>
      </w:r>
      <w:r w:rsidRPr="00FD211F">
        <w:rPr>
          <w:sz w:val="36"/>
          <w:szCs w:val="36"/>
          <w:rtl/>
        </w:rPr>
        <w:t>في حقيق</w:t>
      </w:r>
      <w:r w:rsidR="00EC7EDF" w:rsidRPr="00FD211F">
        <w:rPr>
          <w:sz w:val="36"/>
          <w:szCs w:val="36"/>
          <w:rtl/>
        </w:rPr>
        <w:t xml:space="preserve">ة </w:t>
      </w:r>
      <w:r w:rsidRPr="00FD211F">
        <w:rPr>
          <w:sz w:val="36"/>
          <w:szCs w:val="36"/>
          <w:rtl/>
        </w:rPr>
        <w:t>الصلا</w:t>
      </w:r>
      <w:r w:rsidR="00EC7EDF" w:rsidRPr="00FD211F">
        <w:rPr>
          <w:sz w:val="36"/>
          <w:szCs w:val="36"/>
          <w:rtl/>
        </w:rPr>
        <w:t>ة</w:t>
      </w:r>
      <w:r w:rsidR="00603323" w:rsidRPr="00FD211F">
        <w:rPr>
          <w:sz w:val="36"/>
          <w:szCs w:val="36"/>
          <w:rtl/>
        </w:rPr>
        <w:t xml:space="preserve">، </w:t>
      </w:r>
      <w:r w:rsidRPr="00FD211F">
        <w:rPr>
          <w:sz w:val="36"/>
          <w:szCs w:val="36"/>
          <w:rtl/>
        </w:rPr>
        <w:t>ولكن لو قلنا بان الدخيل فيها هو مراتب وجوداتها فحيث ان المفروض ان المقولات المتباين</w:t>
      </w:r>
      <w:r w:rsidR="00EC7EDF" w:rsidRPr="00FD211F">
        <w:rPr>
          <w:sz w:val="36"/>
          <w:szCs w:val="36"/>
          <w:rtl/>
        </w:rPr>
        <w:t xml:space="preserve">ة </w:t>
      </w:r>
      <w:r w:rsidRPr="00FD211F">
        <w:rPr>
          <w:sz w:val="36"/>
          <w:szCs w:val="36"/>
          <w:rtl/>
        </w:rPr>
        <w:t>مشترك</w:t>
      </w:r>
      <w:r w:rsidR="00EC7EDF" w:rsidRPr="00FD211F">
        <w:rPr>
          <w:sz w:val="36"/>
          <w:szCs w:val="36"/>
          <w:rtl/>
        </w:rPr>
        <w:t xml:space="preserve">ة </w:t>
      </w:r>
      <w:r w:rsidRPr="00FD211F">
        <w:rPr>
          <w:sz w:val="36"/>
          <w:szCs w:val="36"/>
          <w:rtl/>
        </w:rPr>
        <w:t>في حيثي</w:t>
      </w:r>
      <w:r w:rsidR="00EC7EDF" w:rsidRPr="00FD211F">
        <w:rPr>
          <w:sz w:val="36"/>
          <w:szCs w:val="36"/>
          <w:rtl/>
        </w:rPr>
        <w:t xml:space="preserve">ة </w:t>
      </w:r>
      <w:r w:rsidRPr="00FD211F">
        <w:rPr>
          <w:sz w:val="36"/>
          <w:szCs w:val="36"/>
          <w:rtl/>
        </w:rPr>
        <w:t>الوجود</w:t>
      </w:r>
      <w:r w:rsidR="00603323" w:rsidRPr="00FD211F">
        <w:rPr>
          <w:sz w:val="36"/>
          <w:szCs w:val="36"/>
          <w:rtl/>
        </w:rPr>
        <w:t xml:space="preserve">، </w:t>
      </w:r>
      <w:r w:rsidRPr="00FD211F">
        <w:rPr>
          <w:sz w:val="36"/>
          <w:szCs w:val="36"/>
          <w:rtl/>
        </w:rPr>
        <w:t>لان الوجود حقيق</w:t>
      </w:r>
      <w:r w:rsidR="00EC7EDF" w:rsidRPr="00FD211F">
        <w:rPr>
          <w:sz w:val="36"/>
          <w:szCs w:val="36"/>
          <w:rtl/>
        </w:rPr>
        <w:t xml:space="preserve">ة </w:t>
      </w:r>
      <w:r w:rsidRPr="00FD211F">
        <w:rPr>
          <w:sz w:val="36"/>
          <w:szCs w:val="36"/>
          <w:rtl/>
        </w:rPr>
        <w:t>مشكك</w:t>
      </w:r>
      <w:r w:rsidR="00EC7EDF" w:rsidRPr="00FD211F">
        <w:rPr>
          <w:sz w:val="36"/>
          <w:szCs w:val="36"/>
          <w:rtl/>
        </w:rPr>
        <w:t>ة</w:t>
      </w:r>
      <w:r w:rsidR="00603323" w:rsidRPr="00FD211F">
        <w:rPr>
          <w:sz w:val="36"/>
          <w:szCs w:val="36"/>
          <w:rtl/>
        </w:rPr>
        <w:t xml:space="preserve">، </w:t>
      </w:r>
      <w:r w:rsidRPr="00FD211F">
        <w:rPr>
          <w:sz w:val="36"/>
          <w:szCs w:val="36"/>
          <w:rtl/>
        </w:rPr>
        <w:t>فلامانع من انتزاع مفهوم جامع من مراتب وجوداتها.</w:t>
      </w:r>
    </w:p>
    <w:p w14:paraId="1187D442" w14:textId="77777777" w:rsidR="00052BF2" w:rsidRPr="00FD211F" w:rsidRDefault="00052BF2" w:rsidP="009C58C8">
      <w:pPr>
        <w:ind w:left="0" w:firstLine="227"/>
        <w:jc w:val="both"/>
        <w:rPr>
          <w:sz w:val="36"/>
          <w:szCs w:val="36"/>
          <w:rtl/>
        </w:rPr>
      </w:pPr>
      <w:r w:rsidRPr="00FD211F">
        <w:rPr>
          <w:sz w:val="36"/>
          <w:szCs w:val="36"/>
          <w:rtl/>
        </w:rPr>
        <w:t>ان قلت: انه يستلزم اشتمال مفهوم الصلا</w:t>
      </w:r>
      <w:r w:rsidR="00EC7EDF" w:rsidRPr="00FD211F">
        <w:rPr>
          <w:sz w:val="36"/>
          <w:szCs w:val="36"/>
          <w:rtl/>
        </w:rPr>
        <w:t xml:space="preserve">ة </w:t>
      </w:r>
      <w:r w:rsidRPr="00FD211F">
        <w:rPr>
          <w:sz w:val="36"/>
          <w:szCs w:val="36"/>
          <w:rtl/>
        </w:rPr>
        <w:t>على مفهوم الوجود الخاص</w:t>
      </w:r>
      <w:r w:rsidR="00603323" w:rsidRPr="00FD211F">
        <w:rPr>
          <w:sz w:val="36"/>
          <w:szCs w:val="36"/>
          <w:rtl/>
        </w:rPr>
        <w:t xml:space="preserve">، </w:t>
      </w:r>
      <w:r w:rsidRPr="00FD211F">
        <w:rPr>
          <w:sz w:val="36"/>
          <w:szCs w:val="36"/>
          <w:rtl/>
        </w:rPr>
        <w:t>وهو خلاف الوجدان.</w:t>
      </w:r>
    </w:p>
    <w:p w14:paraId="22E6A32C" w14:textId="77777777" w:rsidR="00052BF2" w:rsidRPr="00FD211F" w:rsidRDefault="00052BF2" w:rsidP="009C58C8">
      <w:pPr>
        <w:ind w:left="0" w:firstLine="227"/>
        <w:jc w:val="both"/>
        <w:rPr>
          <w:sz w:val="36"/>
          <w:szCs w:val="36"/>
          <w:rtl/>
        </w:rPr>
      </w:pPr>
      <w:r w:rsidRPr="00FD211F">
        <w:rPr>
          <w:sz w:val="36"/>
          <w:szCs w:val="36"/>
          <w:rtl/>
        </w:rPr>
        <w:t>قلت: لامانع من كون مفهوم الوجود جزءً تحليليا لمفهوم الصلا</w:t>
      </w:r>
      <w:r w:rsidR="00EC7EDF" w:rsidRPr="00FD211F">
        <w:rPr>
          <w:sz w:val="36"/>
          <w:szCs w:val="36"/>
          <w:rtl/>
        </w:rPr>
        <w:t xml:space="preserve">ة </w:t>
      </w:r>
      <w:r w:rsidRPr="00FD211F">
        <w:rPr>
          <w:sz w:val="36"/>
          <w:szCs w:val="36"/>
          <w:rtl/>
        </w:rPr>
        <w:t>فيكون داخلا في مفهومها بنحو البساط</w:t>
      </w:r>
      <w:r w:rsidR="00EC7EDF" w:rsidRPr="00FD211F">
        <w:rPr>
          <w:sz w:val="36"/>
          <w:szCs w:val="36"/>
          <w:rtl/>
        </w:rPr>
        <w:t xml:space="preserve">ة </w:t>
      </w:r>
      <w:r w:rsidRPr="00FD211F">
        <w:rPr>
          <w:sz w:val="36"/>
          <w:szCs w:val="36"/>
          <w:rtl/>
        </w:rPr>
        <w:t>لا التركيب</w:t>
      </w:r>
      <w:r w:rsidR="00603323" w:rsidRPr="00FD211F">
        <w:rPr>
          <w:sz w:val="36"/>
          <w:szCs w:val="36"/>
          <w:rtl/>
        </w:rPr>
        <w:t xml:space="preserve">، </w:t>
      </w:r>
      <w:r w:rsidRPr="00FD211F">
        <w:rPr>
          <w:sz w:val="36"/>
          <w:szCs w:val="36"/>
          <w:rtl/>
        </w:rPr>
        <w:t>نظير اشتمال مفهوم الانسان على معنى الحيوان او الناطق الا ان مفهوم الانسان بسيط ومفهوم الحيوان الناطق مركب</w:t>
      </w:r>
      <w:r w:rsidR="009C58C8" w:rsidRPr="00FD211F">
        <w:rPr>
          <w:rStyle w:val="a6"/>
          <w:sz w:val="36"/>
          <w:szCs w:val="36"/>
          <w:rtl/>
        </w:rPr>
        <w:t>(</w:t>
      </w:r>
      <w:r w:rsidR="009C58C8" w:rsidRPr="00FD211F">
        <w:rPr>
          <w:rStyle w:val="a6"/>
          <w:sz w:val="36"/>
          <w:szCs w:val="36"/>
          <w:rtl/>
        </w:rPr>
        <w:footnoteReference w:id="374"/>
      </w:r>
      <w:r w:rsidR="009C58C8" w:rsidRPr="00FD211F">
        <w:rPr>
          <w:rStyle w:val="a6"/>
          <w:sz w:val="36"/>
          <w:szCs w:val="36"/>
          <w:rtl/>
        </w:rPr>
        <w:t>)</w:t>
      </w:r>
      <w:r w:rsidRPr="00FD211F">
        <w:rPr>
          <w:sz w:val="36"/>
          <w:szCs w:val="36"/>
          <w:rtl/>
        </w:rPr>
        <w:t>.</w:t>
      </w:r>
    </w:p>
    <w:p w14:paraId="050E957F" w14:textId="77777777" w:rsidR="00052BF2" w:rsidRPr="00FD211F" w:rsidRDefault="00052BF2" w:rsidP="009C58C8">
      <w:pPr>
        <w:ind w:left="0" w:firstLine="227"/>
        <w:jc w:val="both"/>
        <w:rPr>
          <w:sz w:val="36"/>
          <w:szCs w:val="36"/>
          <w:rtl/>
        </w:rPr>
      </w:pPr>
      <w:r w:rsidRPr="00FD211F">
        <w:rPr>
          <w:sz w:val="36"/>
          <w:szCs w:val="36"/>
          <w:rtl/>
        </w:rPr>
        <w:t>وقد حمل السيد الخوئي</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كلامه على اراد</w:t>
      </w:r>
      <w:r w:rsidR="00EC7EDF" w:rsidRPr="00FD211F">
        <w:rPr>
          <w:sz w:val="36"/>
          <w:szCs w:val="36"/>
          <w:rtl/>
        </w:rPr>
        <w:t xml:space="preserve">ة </w:t>
      </w:r>
      <w:r w:rsidRPr="00FD211F">
        <w:rPr>
          <w:sz w:val="36"/>
          <w:szCs w:val="36"/>
          <w:rtl/>
        </w:rPr>
        <w:t>وضع لفظ الصلا</w:t>
      </w:r>
      <w:r w:rsidR="00EC7EDF" w:rsidRPr="00FD211F">
        <w:rPr>
          <w:sz w:val="36"/>
          <w:szCs w:val="36"/>
          <w:rtl/>
        </w:rPr>
        <w:t xml:space="preserve">ة </w:t>
      </w:r>
      <w:r w:rsidRPr="00FD211F">
        <w:rPr>
          <w:sz w:val="36"/>
          <w:szCs w:val="36"/>
          <w:rtl/>
        </w:rPr>
        <w:t>بإزاء الوجود الخارجي</w:t>
      </w:r>
      <w:r w:rsidR="00603323" w:rsidRPr="00FD211F">
        <w:rPr>
          <w:sz w:val="36"/>
          <w:szCs w:val="36"/>
          <w:rtl/>
        </w:rPr>
        <w:t xml:space="preserve">، </w:t>
      </w:r>
      <w:r w:rsidRPr="00FD211F">
        <w:rPr>
          <w:sz w:val="36"/>
          <w:szCs w:val="36"/>
          <w:rtl/>
        </w:rPr>
        <w:t>فأورد عليه بانه لايوضع الاسم الا بإزاء المفهوم الصالح للوجود الخارجي او الذهني</w:t>
      </w:r>
      <w:r w:rsidR="009C58C8" w:rsidRPr="00FD211F">
        <w:rPr>
          <w:rStyle w:val="a6"/>
          <w:sz w:val="36"/>
          <w:szCs w:val="36"/>
          <w:rtl/>
        </w:rPr>
        <w:t>(</w:t>
      </w:r>
      <w:r w:rsidR="009C58C8" w:rsidRPr="00FD211F">
        <w:rPr>
          <w:rStyle w:val="a6"/>
          <w:sz w:val="36"/>
          <w:szCs w:val="36"/>
          <w:rtl/>
        </w:rPr>
        <w:footnoteReference w:id="375"/>
      </w:r>
      <w:r w:rsidR="009C58C8" w:rsidRPr="00FD211F">
        <w:rPr>
          <w:rStyle w:val="a6"/>
          <w:sz w:val="36"/>
          <w:szCs w:val="36"/>
          <w:rtl/>
        </w:rPr>
        <w:t>)</w:t>
      </w:r>
      <w:r w:rsidR="00603323" w:rsidRPr="00FD211F">
        <w:rPr>
          <w:sz w:val="36"/>
          <w:szCs w:val="36"/>
          <w:rtl/>
        </w:rPr>
        <w:t xml:space="preserve">، </w:t>
      </w:r>
      <w:r w:rsidRPr="00FD211F">
        <w:rPr>
          <w:sz w:val="36"/>
          <w:szCs w:val="36"/>
          <w:rtl/>
        </w:rPr>
        <w:t>وانت ترى انه مخالف لصريح كلام المحقق العراقي</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حيث ذكر ان لفظ الصلا</w:t>
      </w:r>
      <w:r w:rsidR="00EC7EDF" w:rsidRPr="00FD211F">
        <w:rPr>
          <w:sz w:val="36"/>
          <w:szCs w:val="36"/>
          <w:rtl/>
        </w:rPr>
        <w:t xml:space="preserve">ة </w:t>
      </w:r>
      <w:r w:rsidRPr="00FD211F">
        <w:rPr>
          <w:sz w:val="36"/>
          <w:szCs w:val="36"/>
          <w:rtl/>
        </w:rPr>
        <w:t>مثلا قد وضع بإزاء مفهوم منتزع من مراتب الوجود.</w:t>
      </w:r>
    </w:p>
    <w:p w14:paraId="1B89D9B1" w14:textId="77777777" w:rsidR="00052BF2" w:rsidRPr="00FD211F" w:rsidRDefault="00052BF2" w:rsidP="009C58C8">
      <w:pPr>
        <w:ind w:left="0" w:firstLine="227"/>
        <w:jc w:val="both"/>
        <w:rPr>
          <w:sz w:val="36"/>
          <w:szCs w:val="36"/>
          <w:rtl/>
        </w:rPr>
      </w:pPr>
      <w:r w:rsidRPr="00FD211F">
        <w:rPr>
          <w:sz w:val="36"/>
          <w:szCs w:val="36"/>
          <w:rtl/>
        </w:rPr>
        <w:t>والمهم في الاشكال على ما ذكره المحقق العراقي</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ا</w:t>
      </w:r>
      <w:r w:rsidRPr="00FD211F">
        <w:rPr>
          <w:b/>
          <w:bCs/>
          <w:sz w:val="36"/>
          <w:szCs w:val="36"/>
          <w:rtl/>
        </w:rPr>
        <w:t>ولا</w:t>
      </w:r>
      <w:r w:rsidRPr="00FD211F">
        <w:rPr>
          <w:sz w:val="36"/>
          <w:szCs w:val="36"/>
          <w:rtl/>
        </w:rPr>
        <w:t>: ان المفهوم الذي وضع له لفظ الصلا</w:t>
      </w:r>
      <w:r w:rsidR="00EC7EDF" w:rsidRPr="00FD211F">
        <w:rPr>
          <w:sz w:val="36"/>
          <w:szCs w:val="36"/>
          <w:rtl/>
        </w:rPr>
        <w:t xml:space="preserve">ة </w:t>
      </w:r>
      <w:r w:rsidRPr="00FD211F">
        <w:rPr>
          <w:sz w:val="36"/>
          <w:szCs w:val="36"/>
          <w:rtl/>
        </w:rPr>
        <w:t>مثلا بعد ان</w:t>
      </w:r>
      <w:r w:rsidR="008D7B3D" w:rsidRPr="00FD211F">
        <w:rPr>
          <w:sz w:val="36"/>
          <w:szCs w:val="36"/>
          <w:rtl/>
        </w:rPr>
        <w:t xml:space="preserve"> لم‌</w:t>
      </w:r>
      <w:r w:rsidRPr="00FD211F">
        <w:rPr>
          <w:sz w:val="36"/>
          <w:szCs w:val="36"/>
          <w:rtl/>
        </w:rPr>
        <w:t>يكن جامعا ذاتيا وماهويا بين افراد الصلا</w:t>
      </w:r>
      <w:r w:rsidR="00EC7EDF" w:rsidRPr="00FD211F">
        <w:rPr>
          <w:sz w:val="36"/>
          <w:szCs w:val="36"/>
          <w:rtl/>
        </w:rPr>
        <w:t xml:space="preserve">ة </w:t>
      </w:r>
      <w:r w:rsidRPr="00FD211F">
        <w:rPr>
          <w:sz w:val="36"/>
          <w:szCs w:val="36"/>
          <w:rtl/>
        </w:rPr>
        <w:t>الصحيح</w:t>
      </w:r>
      <w:r w:rsidR="00EC7EDF" w:rsidRPr="00FD211F">
        <w:rPr>
          <w:sz w:val="36"/>
          <w:szCs w:val="36"/>
          <w:rtl/>
        </w:rPr>
        <w:t xml:space="preserve">ة </w:t>
      </w:r>
      <w:r w:rsidRPr="00FD211F">
        <w:rPr>
          <w:sz w:val="36"/>
          <w:szCs w:val="36"/>
          <w:rtl/>
        </w:rPr>
        <w:t>كما هو مفروض كلامه فلامحال</w:t>
      </w:r>
      <w:r w:rsidR="00EC7EDF" w:rsidRPr="00FD211F">
        <w:rPr>
          <w:sz w:val="36"/>
          <w:szCs w:val="36"/>
          <w:rtl/>
        </w:rPr>
        <w:t xml:space="preserve">ة </w:t>
      </w:r>
      <w:r w:rsidRPr="00FD211F">
        <w:rPr>
          <w:sz w:val="36"/>
          <w:szCs w:val="36"/>
          <w:rtl/>
        </w:rPr>
        <w:t>يكون جامعا انتزاعيا ولو كان هو مفهوم الوجود المتقيد بقيود خاص</w:t>
      </w:r>
      <w:r w:rsidR="00EC7EDF" w:rsidRPr="00FD211F">
        <w:rPr>
          <w:sz w:val="36"/>
          <w:szCs w:val="36"/>
          <w:rtl/>
        </w:rPr>
        <w:t>ة</w:t>
      </w:r>
      <w:r w:rsidR="00603323" w:rsidRPr="00FD211F">
        <w:rPr>
          <w:sz w:val="36"/>
          <w:szCs w:val="36"/>
          <w:rtl/>
        </w:rPr>
        <w:t xml:space="preserve">، </w:t>
      </w:r>
      <w:r w:rsidRPr="00FD211F">
        <w:rPr>
          <w:sz w:val="36"/>
          <w:szCs w:val="36"/>
          <w:rtl/>
        </w:rPr>
        <w:t>ولايحتمل وضع لفظ الصلا</w:t>
      </w:r>
      <w:r w:rsidR="00EC7EDF" w:rsidRPr="00FD211F">
        <w:rPr>
          <w:sz w:val="36"/>
          <w:szCs w:val="36"/>
          <w:rtl/>
        </w:rPr>
        <w:t xml:space="preserve">ة </w:t>
      </w:r>
      <w:r w:rsidRPr="00FD211F">
        <w:rPr>
          <w:sz w:val="36"/>
          <w:szCs w:val="36"/>
          <w:rtl/>
        </w:rPr>
        <w:t>بإزاء مفهوم انتزاعي من هذا القبيل</w:t>
      </w:r>
      <w:r w:rsidR="00603323" w:rsidRPr="00FD211F">
        <w:rPr>
          <w:sz w:val="36"/>
          <w:szCs w:val="36"/>
          <w:rtl/>
        </w:rPr>
        <w:t xml:space="preserve">، </w:t>
      </w:r>
      <w:r w:rsidRPr="00FD211F">
        <w:rPr>
          <w:sz w:val="36"/>
          <w:szCs w:val="36"/>
          <w:rtl/>
        </w:rPr>
        <w:t>لعدم تبادره الى ذهن المتشرع</w:t>
      </w:r>
      <w:r w:rsidR="00EC7EDF" w:rsidRPr="00FD211F">
        <w:rPr>
          <w:sz w:val="36"/>
          <w:szCs w:val="36"/>
          <w:rtl/>
        </w:rPr>
        <w:t>ة</w:t>
      </w:r>
      <w:r w:rsidR="00A61BAE" w:rsidRPr="00FD211F">
        <w:rPr>
          <w:sz w:val="36"/>
          <w:szCs w:val="36"/>
          <w:rtl/>
        </w:rPr>
        <w:t>.</w:t>
      </w:r>
    </w:p>
    <w:p w14:paraId="127129C1" w14:textId="77777777" w:rsidR="00052BF2"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انه قد يكون الدخيل في الصلا</w:t>
      </w:r>
      <w:r w:rsidR="00EC7EDF" w:rsidRPr="00FD211F">
        <w:rPr>
          <w:sz w:val="36"/>
          <w:szCs w:val="36"/>
          <w:rtl/>
        </w:rPr>
        <w:t xml:space="preserve">ة </w:t>
      </w:r>
      <w:r w:rsidRPr="00FD211F">
        <w:rPr>
          <w:sz w:val="36"/>
          <w:szCs w:val="36"/>
          <w:rtl/>
        </w:rPr>
        <w:t>أمرا اعتباريا كتقيده بالطهار</w:t>
      </w:r>
      <w:r w:rsidR="00EC7EDF" w:rsidRPr="00FD211F">
        <w:rPr>
          <w:sz w:val="36"/>
          <w:szCs w:val="36"/>
          <w:rtl/>
        </w:rPr>
        <w:t>ة</w:t>
      </w:r>
      <w:r w:rsidR="00603323" w:rsidRPr="00FD211F">
        <w:rPr>
          <w:sz w:val="36"/>
          <w:szCs w:val="36"/>
          <w:rtl/>
        </w:rPr>
        <w:t xml:space="preserve">، </w:t>
      </w:r>
      <w:r w:rsidRPr="00FD211F">
        <w:rPr>
          <w:sz w:val="36"/>
          <w:szCs w:val="36"/>
          <w:rtl/>
        </w:rPr>
        <w:t xml:space="preserve">وقد </w:t>
      </w:r>
      <w:r w:rsidR="00401F8B" w:rsidRPr="00FD211F">
        <w:rPr>
          <w:sz w:val="36"/>
          <w:szCs w:val="36"/>
          <w:rtl/>
        </w:rPr>
        <w:t xml:space="preserve">يكون </w:t>
      </w:r>
      <w:r w:rsidRPr="00FD211F">
        <w:rPr>
          <w:sz w:val="36"/>
          <w:szCs w:val="36"/>
          <w:rtl/>
        </w:rPr>
        <w:t xml:space="preserve">عدم </w:t>
      </w:r>
      <w:r w:rsidR="008D7B3D" w:rsidRPr="00FD211F">
        <w:rPr>
          <w:sz w:val="36"/>
          <w:szCs w:val="36"/>
          <w:rtl/>
        </w:rPr>
        <w:t xml:space="preserve">شيء </w:t>
      </w:r>
      <w:r w:rsidRPr="00FD211F">
        <w:rPr>
          <w:sz w:val="36"/>
          <w:szCs w:val="36"/>
          <w:rtl/>
        </w:rPr>
        <w:t>كعدم القهقه</w:t>
      </w:r>
      <w:r w:rsidR="00EC7EDF" w:rsidRPr="00FD211F">
        <w:rPr>
          <w:sz w:val="36"/>
          <w:szCs w:val="36"/>
          <w:rtl/>
        </w:rPr>
        <w:t>ة</w:t>
      </w:r>
      <w:r w:rsidR="00603323" w:rsidRPr="00FD211F">
        <w:rPr>
          <w:sz w:val="36"/>
          <w:szCs w:val="36"/>
          <w:rtl/>
        </w:rPr>
        <w:t xml:space="preserve">، </w:t>
      </w:r>
      <w:r w:rsidRPr="00FD211F">
        <w:rPr>
          <w:sz w:val="36"/>
          <w:szCs w:val="36"/>
          <w:rtl/>
        </w:rPr>
        <w:t>ولايوجد جامع وجودي بين الأمر الاعتباري او العدمي وبين الأمور الوجودي</w:t>
      </w:r>
      <w:r w:rsidR="00EC7EDF" w:rsidRPr="00FD211F">
        <w:rPr>
          <w:sz w:val="36"/>
          <w:szCs w:val="36"/>
          <w:rtl/>
        </w:rPr>
        <w:t>ة</w:t>
      </w:r>
      <w:r w:rsidR="00A61BAE" w:rsidRPr="00FD211F">
        <w:rPr>
          <w:sz w:val="36"/>
          <w:szCs w:val="36"/>
          <w:rtl/>
        </w:rPr>
        <w:t>.</w:t>
      </w:r>
    </w:p>
    <w:p w14:paraId="1A5B8B69" w14:textId="77777777" w:rsidR="00052BF2" w:rsidRPr="00FD211F" w:rsidRDefault="00052BF2" w:rsidP="009C58C8">
      <w:pPr>
        <w:pStyle w:val="3"/>
        <w:ind w:firstLine="227"/>
        <w:jc w:val="both"/>
        <w:rPr>
          <w:rtl/>
        </w:rPr>
      </w:pPr>
      <w:bookmarkStart w:id="373" w:name="_Toc192092923"/>
      <w:bookmarkStart w:id="374" w:name="_Toc223890402"/>
      <w:r w:rsidRPr="00FD211F">
        <w:rPr>
          <w:rtl/>
        </w:rPr>
        <w:t xml:space="preserve">تصوير المحقق الاصفهاني </w:t>
      </w:r>
      <w:r w:rsidR="00401F8B" w:rsidRPr="00FD211F">
        <w:rPr>
          <w:rtl/>
        </w:rPr>
        <w:t>"</w:t>
      </w:r>
      <w:r w:rsidRPr="00FD211F">
        <w:rPr>
          <w:rtl/>
        </w:rPr>
        <w:t>قده</w:t>
      </w:r>
      <w:bookmarkEnd w:id="373"/>
      <w:r w:rsidR="00401F8B" w:rsidRPr="00FD211F">
        <w:rPr>
          <w:rtl/>
        </w:rPr>
        <w:t>"</w:t>
      </w:r>
      <w:bookmarkEnd w:id="374"/>
    </w:p>
    <w:p w14:paraId="44FFFAC2" w14:textId="77777777" w:rsidR="00052BF2" w:rsidRPr="00FD211F" w:rsidRDefault="00052BF2" w:rsidP="009C58C8">
      <w:pPr>
        <w:ind w:left="0" w:firstLine="227"/>
        <w:jc w:val="both"/>
        <w:rPr>
          <w:sz w:val="36"/>
          <w:szCs w:val="36"/>
          <w:rtl/>
        </w:rPr>
      </w:pPr>
      <w:r w:rsidRPr="00FD211F">
        <w:rPr>
          <w:sz w:val="36"/>
          <w:szCs w:val="36"/>
          <w:rtl/>
        </w:rPr>
        <w:t>ذكر المحقق الاصفهاني</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انه اذا اريد وضع لفظ بإزاء الماهيات الاعتباري</w:t>
      </w:r>
      <w:r w:rsidR="00EC7EDF" w:rsidRPr="00FD211F">
        <w:rPr>
          <w:sz w:val="36"/>
          <w:szCs w:val="36"/>
          <w:rtl/>
        </w:rPr>
        <w:t xml:space="preserve">ة </w:t>
      </w:r>
      <w:r w:rsidRPr="00FD211F">
        <w:rPr>
          <w:sz w:val="36"/>
          <w:szCs w:val="36"/>
          <w:rtl/>
        </w:rPr>
        <w:t>المركب</w:t>
      </w:r>
      <w:r w:rsidR="00EC7EDF" w:rsidRPr="00FD211F">
        <w:rPr>
          <w:sz w:val="36"/>
          <w:szCs w:val="36"/>
          <w:rtl/>
        </w:rPr>
        <w:t xml:space="preserve">ة </w:t>
      </w:r>
      <w:r w:rsidRPr="00FD211F">
        <w:rPr>
          <w:sz w:val="36"/>
          <w:szCs w:val="36"/>
          <w:rtl/>
        </w:rPr>
        <w:t>من أمور مختلف</w:t>
      </w:r>
      <w:r w:rsidR="00EC7EDF" w:rsidRPr="00FD211F">
        <w:rPr>
          <w:sz w:val="36"/>
          <w:szCs w:val="36"/>
          <w:rtl/>
        </w:rPr>
        <w:t xml:space="preserve">ة </w:t>
      </w:r>
      <w:r w:rsidRPr="00FD211F">
        <w:rPr>
          <w:sz w:val="36"/>
          <w:szCs w:val="36"/>
          <w:rtl/>
        </w:rPr>
        <w:t>تتغير وتزيد وتنقص فلابد ان يلحظ المعنى الموضوع له مبهما من حيث الخصوصيات</w:t>
      </w:r>
      <w:r w:rsidR="00603323" w:rsidRPr="00FD211F">
        <w:rPr>
          <w:sz w:val="36"/>
          <w:szCs w:val="36"/>
          <w:rtl/>
        </w:rPr>
        <w:t xml:space="preserve">، </w:t>
      </w:r>
      <w:r w:rsidRPr="00FD211F">
        <w:rPr>
          <w:sz w:val="36"/>
          <w:szCs w:val="36"/>
          <w:rtl/>
        </w:rPr>
        <w:t>فكما ان مفهوم الانسان بما انه ماهي</w:t>
      </w:r>
      <w:r w:rsidR="00EC7EDF" w:rsidRPr="00FD211F">
        <w:rPr>
          <w:sz w:val="36"/>
          <w:szCs w:val="36"/>
          <w:rtl/>
        </w:rPr>
        <w:t xml:space="preserve">ة </w:t>
      </w:r>
      <w:r w:rsidRPr="00FD211F">
        <w:rPr>
          <w:sz w:val="36"/>
          <w:szCs w:val="36"/>
          <w:rtl/>
        </w:rPr>
        <w:t>حقيقي</w:t>
      </w:r>
      <w:r w:rsidR="00EC7EDF" w:rsidRPr="00FD211F">
        <w:rPr>
          <w:sz w:val="36"/>
          <w:szCs w:val="36"/>
          <w:rtl/>
        </w:rPr>
        <w:t xml:space="preserve">ة </w:t>
      </w:r>
      <w:r w:rsidRPr="00FD211F">
        <w:rPr>
          <w:sz w:val="36"/>
          <w:szCs w:val="36"/>
          <w:rtl/>
        </w:rPr>
        <w:t>مشتمل</w:t>
      </w:r>
      <w:r w:rsidR="00EC7EDF" w:rsidRPr="00FD211F">
        <w:rPr>
          <w:sz w:val="36"/>
          <w:szCs w:val="36"/>
          <w:rtl/>
        </w:rPr>
        <w:t xml:space="preserve">ة </w:t>
      </w:r>
      <w:r w:rsidRPr="00FD211F">
        <w:rPr>
          <w:sz w:val="36"/>
          <w:szCs w:val="36"/>
          <w:rtl/>
        </w:rPr>
        <w:t>على ذاتياته</w:t>
      </w:r>
      <w:r w:rsidR="00603323" w:rsidRPr="00FD211F">
        <w:rPr>
          <w:sz w:val="36"/>
          <w:szCs w:val="36"/>
          <w:rtl/>
        </w:rPr>
        <w:t xml:space="preserve">، </w:t>
      </w:r>
      <w:r w:rsidRPr="00FD211F">
        <w:rPr>
          <w:sz w:val="36"/>
          <w:szCs w:val="36"/>
          <w:rtl/>
        </w:rPr>
        <w:t>يلحظ مبهما من حيث العوارض الصنفي</w:t>
      </w:r>
      <w:r w:rsidR="00EC7EDF" w:rsidRPr="00FD211F">
        <w:rPr>
          <w:sz w:val="36"/>
          <w:szCs w:val="36"/>
          <w:rtl/>
        </w:rPr>
        <w:t xml:space="preserve">ة </w:t>
      </w:r>
      <w:r w:rsidRPr="00FD211F">
        <w:rPr>
          <w:sz w:val="36"/>
          <w:szCs w:val="36"/>
          <w:rtl/>
        </w:rPr>
        <w:t>والفردي</w:t>
      </w:r>
      <w:r w:rsidR="00EC7EDF" w:rsidRPr="00FD211F">
        <w:rPr>
          <w:sz w:val="36"/>
          <w:szCs w:val="36"/>
          <w:rtl/>
        </w:rPr>
        <w:t xml:space="preserve">ة </w:t>
      </w:r>
      <w:r w:rsidRPr="00FD211F">
        <w:rPr>
          <w:sz w:val="36"/>
          <w:szCs w:val="36"/>
          <w:rtl/>
        </w:rPr>
        <w:t>فيوضع بإزاءه لفظ الانسان</w:t>
      </w:r>
      <w:r w:rsidR="00603323" w:rsidRPr="00FD211F">
        <w:rPr>
          <w:sz w:val="36"/>
          <w:szCs w:val="36"/>
          <w:rtl/>
        </w:rPr>
        <w:t xml:space="preserve">، </w:t>
      </w:r>
      <w:r w:rsidRPr="00FD211F">
        <w:rPr>
          <w:sz w:val="36"/>
          <w:szCs w:val="36"/>
          <w:rtl/>
        </w:rPr>
        <w:t>فكذا لفظ الصلا</w:t>
      </w:r>
      <w:r w:rsidR="00EC7EDF" w:rsidRPr="00FD211F">
        <w:rPr>
          <w:sz w:val="36"/>
          <w:szCs w:val="36"/>
          <w:rtl/>
        </w:rPr>
        <w:t xml:space="preserve">ة </w:t>
      </w:r>
      <w:r w:rsidRPr="00FD211F">
        <w:rPr>
          <w:sz w:val="36"/>
          <w:szCs w:val="36"/>
          <w:rtl/>
        </w:rPr>
        <w:t>موضوع بإزاء مفهوم مبهم لامعرِّف له الا كونه ملزوما للانتهاء عن الفحشاء والمنكر</w:t>
      </w:r>
      <w:r w:rsidR="00603323" w:rsidRPr="00FD211F">
        <w:rPr>
          <w:sz w:val="36"/>
          <w:szCs w:val="36"/>
          <w:rtl/>
        </w:rPr>
        <w:t xml:space="preserve">، </w:t>
      </w:r>
      <w:r w:rsidRPr="00FD211F">
        <w:rPr>
          <w:sz w:val="36"/>
          <w:szCs w:val="36"/>
          <w:rtl/>
        </w:rPr>
        <w:t>وهذا كما يصحح تصوير الجامع للصحيح فكذلك يصحح تصوير الجامع للأعم بان يجعل المعرِّف للمفهوم الموضوع له لفظ الصلا</w:t>
      </w:r>
      <w:r w:rsidR="00EC7EDF" w:rsidRPr="00FD211F">
        <w:rPr>
          <w:sz w:val="36"/>
          <w:szCs w:val="36"/>
          <w:rtl/>
        </w:rPr>
        <w:t xml:space="preserve">ة </w:t>
      </w:r>
      <w:r w:rsidRPr="00FD211F">
        <w:rPr>
          <w:sz w:val="36"/>
          <w:szCs w:val="36"/>
          <w:rtl/>
        </w:rPr>
        <w:t>هو كونه ملزوما لاقتضاء الانتهاء عن الفحشاء والمنكر</w:t>
      </w:r>
      <w:r w:rsidR="00603323" w:rsidRPr="00FD211F">
        <w:rPr>
          <w:sz w:val="36"/>
          <w:szCs w:val="36"/>
          <w:rtl/>
        </w:rPr>
        <w:t xml:space="preserve">، </w:t>
      </w:r>
      <w:r w:rsidRPr="00FD211F">
        <w:rPr>
          <w:sz w:val="36"/>
          <w:szCs w:val="36"/>
          <w:rtl/>
        </w:rPr>
        <w:t>وهذا غير الجامع الذاتي الذي سبق الاشكال على تصويره في المقام</w:t>
      </w:r>
      <w:r w:rsidR="00603323" w:rsidRPr="00FD211F">
        <w:rPr>
          <w:sz w:val="36"/>
          <w:szCs w:val="36"/>
          <w:rtl/>
        </w:rPr>
        <w:t xml:space="preserve">، </w:t>
      </w:r>
      <w:r w:rsidRPr="00FD211F">
        <w:rPr>
          <w:sz w:val="36"/>
          <w:szCs w:val="36"/>
          <w:rtl/>
        </w:rPr>
        <w:t>وكذا ليس هو الجامع الانتزاعي</w:t>
      </w:r>
      <w:r w:rsidR="00603323" w:rsidRPr="00FD211F">
        <w:rPr>
          <w:sz w:val="36"/>
          <w:szCs w:val="36"/>
          <w:rtl/>
        </w:rPr>
        <w:t xml:space="preserve">، </w:t>
      </w:r>
      <w:r w:rsidRPr="00FD211F">
        <w:rPr>
          <w:sz w:val="36"/>
          <w:szCs w:val="36"/>
          <w:rtl/>
        </w:rPr>
        <w:t>حيث لايحتمل وضع اللفظ بازاء جامع انتزاعي كمفهوم الناهي عن الفحشاء والمنكر.</w:t>
      </w:r>
    </w:p>
    <w:p w14:paraId="2B43C67C" w14:textId="77777777" w:rsidR="00052BF2" w:rsidRPr="00FD211F" w:rsidRDefault="00052BF2" w:rsidP="009C58C8">
      <w:pPr>
        <w:ind w:left="0" w:firstLine="227"/>
        <w:jc w:val="both"/>
        <w:rPr>
          <w:sz w:val="36"/>
          <w:szCs w:val="36"/>
          <w:rtl/>
        </w:rPr>
      </w:pPr>
      <w:r w:rsidRPr="00FD211F">
        <w:rPr>
          <w:sz w:val="36"/>
          <w:szCs w:val="36"/>
          <w:rtl/>
        </w:rPr>
        <w:t>هذا وقد انكر</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الجامع المركب بنفس البيان المتقدم عن الشيخ الأعظم</w:t>
      </w:r>
      <w:r w:rsidR="008F14E7" w:rsidRPr="00FD211F">
        <w:rPr>
          <w:sz w:val="36"/>
          <w:szCs w:val="36"/>
          <w:rtl/>
        </w:rPr>
        <w:t xml:space="preserve"> "قده"</w:t>
      </w:r>
      <w:r w:rsidR="009C58C8" w:rsidRPr="00FD211F">
        <w:rPr>
          <w:rStyle w:val="a6"/>
          <w:sz w:val="36"/>
          <w:szCs w:val="36"/>
          <w:rtl/>
        </w:rPr>
        <w:t>(</w:t>
      </w:r>
      <w:r w:rsidR="009C58C8" w:rsidRPr="00FD211F">
        <w:rPr>
          <w:rStyle w:val="a6"/>
          <w:sz w:val="36"/>
          <w:szCs w:val="36"/>
          <w:rtl/>
        </w:rPr>
        <w:footnoteReference w:id="376"/>
      </w:r>
      <w:r w:rsidR="009C58C8" w:rsidRPr="00FD211F">
        <w:rPr>
          <w:rStyle w:val="a6"/>
          <w:sz w:val="36"/>
          <w:szCs w:val="36"/>
          <w:rtl/>
        </w:rPr>
        <w:t>)</w:t>
      </w:r>
      <w:r w:rsidRPr="00FD211F">
        <w:rPr>
          <w:sz w:val="36"/>
          <w:szCs w:val="36"/>
          <w:rtl/>
        </w:rPr>
        <w:t>.</w:t>
      </w:r>
    </w:p>
    <w:p w14:paraId="62224D00" w14:textId="77777777" w:rsidR="00052BF2" w:rsidRPr="00FD211F" w:rsidRDefault="00052BF2" w:rsidP="009C58C8">
      <w:pPr>
        <w:ind w:left="0" w:firstLine="227"/>
        <w:jc w:val="both"/>
        <w:rPr>
          <w:sz w:val="36"/>
          <w:szCs w:val="36"/>
          <w:rtl/>
        </w:rPr>
      </w:pPr>
      <w:r w:rsidRPr="00FD211F">
        <w:rPr>
          <w:sz w:val="36"/>
          <w:szCs w:val="36"/>
          <w:rtl/>
        </w:rPr>
        <w:t>وقد اورد عليه في البحوث ب</w:t>
      </w:r>
      <w:r w:rsidR="001D1F79" w:rsidRPr="00FD211F">
        <w:rPr>
          <w:sz w:val="36"/>
          <w:szCs w:val="36"/>
          <w:rtl/>
        </w:rPr>
        <w:t xml:space="preserve">مامحصله </w:t>
      </w:r>
      <w:r w:rsidRPr="00FD211F">
        <w:rPr>
          <w:sz w:val="36"/>
          <w:szCs w:val="36"/>
          <w:rtl/>
        </w:rPr>
        <w:t>انه ان اريد كون المسمى مبهما ثبوتا فهو غير معقول حتى في الاسماء المبهم</w:t>
      </w:r>
      <w:r w:rsidR="00EC7EDF" w:rsidRPr="00FD211F">
        <w:rPr>
          <w:sz w:val="36"/>
          <w:szCs w:val="36"/>
          <w:rtl/>
        </w:rPr>
        <w:t xml:space="preserve">ة </w:t>
      </w:r>
      <w:r w:rsidRPr="00FD211F">
        <w:rPr>
          <w:sz w:val="36"/>
          <w:szCs w:val="36"/>
          <w:rtl/>
        </w:rPr>
        <w:t>كاسم الاشار</w:t>
      </w:r>
      <w:r w:rsidR="00EC7EDF" w:rsidRPr="00FD211F">
        <w:rPr>
          <w:sz w:val="36"/>
          <w:szCs w:val="36"/>
          <w:rtl/>
        </w:rPr>
        <w:t xml:space="preserve">ة </w:t>
      </w:r>
      <w:r w:rsidRPr="00FD211F">
        <w:rPr>
          <w:sz w:val="36"/>
          <w:szCs w:val="36"/>
          <w:rtl/>
        </w:rPr>
        <w:t>والموصول</w:t>
      </w:r>
      <w:r w:rsidR="00603323" w:rsidRPr="00FD211F">
        <w:rPr>
          <w:sz w:val="36"/>
          <w:szCs w:val="36"/>
          <w:rtl/>
        </w:rPr>
        <w:t xml:space="preserve">، </w:t>
      </w:r>
      <w:r w:rsidRPr="00FD211F">
        <w:rPr>
          <w:sz w:val="36"/>
          <w:szCs w:val="36"/>
          <w:rtl/>
        </w:rPr>
        <w:t>فانه لاابهام في معناها الموضوع له</w:t>
      </w:r>
      <w:r w:rsidR="00603323" w:rsidRPr="00FD211F">
        <w:rPr>
          <w:sz w:val="36"/>
          <w:szCs w:val="36"/>
          <w:rtl/>
        </w:rPr>
        <w:t xml:space="preserve">، </w:t>
      </w:r>
      <w:r w:rsidR="001D1F79" w:rsidRPr="00FD211F">
        <w:rPr>
          <w:sz w:val="36"/>
          <w:szCs w:val="36"/>
          <w:rtl/>
        </w:rPr>
        <w:t>وانما ابهامها من حيث انطباقها على</w:t>
      </w:r>
      <w:r w:rsidR="00B253CE" w:rsidRPr="00FD211F">
        <w:rPr>
          <w:sz w:val="36"/>
          <w:szCs w:val="36"/>
          <w:rtl/>
        </w:rPr>
        <w:t xml:space="preserve"> </w:t>
      </w:r>
      <w:r w:rsidRPr="00FD211F">
        <w:rPr>
          <w:sz w:val="36"/>
          <w:szCs w:val="36"/>
          <w:rtl/>
        </w:rPr>
        <w:t>الخارج</w:t>
      </w:r>
      <w:r w:rsidR="00603323" w:rsidRPr="00FD211F">
        <w:rPr>
          <w:sz w:val="36"/>
          <w:szCs w:val="36"/>
          <w:rtl/>
        </w:rPr>
        <w:t xml:space="preserve">، </w:t>
      </w:r>
      <w:r w:rsidRPr="00FD211F">
        <w:rPr>
          <w:sz w:val="36"/>
          <w:szCs w:val="36"/>
          <w:rtl/>
        </w:rPr>
        <w:t>ولايتجه ما افاده من كون معنى الانسان مبهما</w:t>
      </w:r>
      <w:r w:rsidR="00603323" w:rsidRPr="00FD211F">
        <w:rPr>
          <w:sz w:val="36"/>
          <w:szCs w:val="36"/>
          <w:rtl/>
        </w:rPr>
        <w:t xml:space="preserve">، </w:t>
      </w:r>
      <w:r w:rsidRPr="00FD211F">
        <w:rPr>
          <w:sz w:val="36"/>
          <w:szCs w:val="36"/>
          <w:rtl/>
        </w:rPr>
        <w:t>فان معناه مبين وان كان لابشرط من حيث الخصوصيات.</w:t>
      </w:r>
    </w:p>
    <w:p w14:paraId="58F0DD8D" w14:textId="77777777" w:rsidR="00052BF2" w:rsidRPr="00FD211F" w:rsidRDefault="00052BF2" w:rsidP="009C58C8">
      <w:pPr>
        <w:ind w:left="0" w:firstLine="227"/>
        <w:jc w:val="both"/>
        <w:rPr>
          <w:sz w:val="36"/>
          <w:szCs w:val="36"/>
          <w:rtl/>
        </w:rPr>
      </w:pPr>
      <w:r w:rsidRPr="00FD211F">
        <w:rPr>
          <w:sz w:val="36"/>
          <w:szCs w:val="36"/>
          <w:rtl/>
        </w:rPr>
        <w:t>وان اريد ان المسمى مفهوم عرضي انتزاعي كمفهوم ما امر به الشارع فهو خلاف مرتكز العرف والمتشرع</w:t>
      </w:r>
      <w:r w:rsidR="00EC7EDF" w:rsidRPr="00FD211F">
        <w:rPr>
          <w:sz w:val="36"/>
          <w:szCs w:val="36"/>
          <w:rtl/>
        </w:rPr>
        <w:t xml:space="preserve">ة </w:t>
      </w:r>
      <w:r w:rsidRPr="00FD211F">
        <w:rPr>
          <w:sz w:val="36"/>
          <w:szCs w:val="36"/>
          <w:rtl/>
        </w:rPr>
        <w:t>الذي يرى ان اسماء العبادات والمعاملات تحكي عن عناوين تفصيلي</w:t>
      </w:r>
      <w:r w:rsidR="00EC7EDF" w:rsidRPr="00FD211F">
        <w:rPr>
          <w:sz w:val="36"/>
          <w:szCs w:val="36"/>
          <w:rtl/>
        </w:rPr>
        <w:t xml:space="preserve">ة </w:t>
      </w:r>
      <w:r w:rsidRPr="00FD211F">
        <w:rPr>
          <w:sz w:val="36"/>
          <w:szCs w:val="36"/>
          <w:rtl/>
        </w:rPr>
        <w:t>غير انتزاعي</w:t>
      </w:r>
      <w:r w:rsidR="00EC7EDF" w:rsidRPr="00FD211F">
        <w:rPr>
          <w:sz w:val="36"/>
          <w:szCs w:val="36"/>
          <w:rtl/>
        </w:rPr>
        <w:t>ة</w:t>
      </w:r>
      <w:r w:rsidR="00603323" w:rsidRPr="00FD211F">
        <w:rPr>
          <w:sz w:val="36"/>
          <w:szCs w:val="36"/>
          <w:rtl/>
        </w:rPr>
        <w:t xml:space="preserve">، </w:t>
      </w:r>
      <w:r w:rsidRPr="00FD211F">
        <w:rPr>
          <w:sz w:val="36"/>
          <w:szCs w:val="36"/>
          <w:rtl/>
        </w:rPr>
        <w:t>ولولا انه انكر الجامع المركب لحملنا كلامه على اراد</w:t>
      </w:r>
      <w:r w:rsidR="00EC7EDF" w:rsidRPr="00FD211F">
        <w:rPr>
          <w:sz w:val="36"/>
          <w:szCs w:val="36"/>
          <w:rtl/>
        </w:rPr>
        <w:t xml:space="preserve">ة </w:t>
      </w:r>
      <w:r w:rsidRPr="00FD211F">
        <w:rPr>
          <w:sz w:val="36"/>
          <w:szCs w:val="36"/>
          <w:rtl/>
        </w:rPr>
        <w:t>وضع لفظ الصلا</w:t>
      </w:r>
      <w:r w:rsidR="00EC7EDF" w:rsidRPr="00FD211F">
        <w:rPr>
          <w:sz w:val="36"/>
          <w:szCs w:val="36"/>
          <w:rtl/>
        </w:rPr>
        <w:t xml:space="preserve">ة </w:t>
      </w:r>
      <w:r w:rsidRPr="00FD211F">
        <w:rPr>
          <w:sz w:val="36"/>
          <w:szCs w:val="36"/>
          <w:rtl/>
        </w:rPr>
        <w:t>بإزاء الجامع المركب</w:t>
      </w:r>
      <w:r w:rsidR="00401F8B" w:rsidRPr="00FD211F">
        <w:rPr>
          <w:sz w:val="36"/>
          <w:szCs w:val="36"/>
          <w:rtl/>
        </w:rPr>
        <w:t xml:space="preserve"> الأوي الذي </w:t>
      </w:r>
      <w:r w:rsidRPr="00FD211F">
        <w:rPr>
          <w:sz w:val="36"/>
          <w:szCs w:val="36"/>
          <w:rtl/>
        </w:rPr>
        <w:t>سيأتي توضيحه قريبا</w:t>
      </w:r>
      <w:r w:rsidR="009C58C8" w:rsidRPr="00FD211F">
        <w:rPr>
          <w:rStyle w:val="a6"/>
          <w:sz w:val="36"/>
          <w:szCs w:val="36"/>
          <w:rtl/>
        </w:rPr>
        <w:t>(</w:t>
      </w:r>
      <w:r w:rsidR="009C58C8" w:rsidRPr="00FD211F">
        <w:rPr>
          <w:rStyle w:val="a6"/>
          <w:sz w:val="36"/>
          <w:szCs w:val="36"/>
          <w:rtl/>
        </w:rPr>
        <w:footnoteReference w:id="377"/>
      </w:r>
      <w:r w:rsidR="009C58C8" w:rsidRPr="00FD211F">
        <w:rPr>
          <w:rStyle w:val="a6"/>
          <w:sz w:val="36"/>
          <w:szCs w:val="36"/>
          <w:rtl/>
        </w:rPr>
        <w:t>)</w:t>
      </w:r>
      <w:r w:rsidRPr="00FD211F">
        <w:rPr>
          <w:sz w:val="36"/>
          <w:szCs w:val="36"/>
          <w:rtl/>
        </w:rPr>
        <w:t>.</w:t>
      </w:r>
    </w:p>
    <w:p w14:paraId="2B706149" w14:textId="77777777" w:rsidR="00052BF2" w:rsidRPr="00FD211F" w:rsidRDefault="00052BF2" w:rsidP="009C58C8">
      <w:pPr>
        <w:ind w:left="0" w:firstLine="227"/>
        <w:jc w:val="both"/>
        <w:rPr>
          <w:sz w:val="36"/>
          <w:szCs w:val="36"/>
          <w:rtl/>
        </w:rPr>
      </w:pPr>
      <w:r w:rsidRPr="00FD211F">
        <w:rPr>
          <w:sz w:val="36"/>
          <w:szCs w:val="36"/>
          <w:rtl/>
        </w:rPr>
        <w:t xml:space="preserve">اقول: ان </w:t>
      </w:r>
      <w:r w:rsidR="00401F8B" w:rsidRPr="00FD211F">
        <w:rPr>
          <w:sz w:val="36"/>
          <w:szCs w:val="36"/>
          <w:rtl/>
        </w:rPr>
        <w:t xml:space="preserve">الجامع المركب </w:t>
      </w:r>
      <w:r w:rsidRPr="00FD211F">
        <w:rPr>
          <w:sz w:val="36"/>
          <w:szCs w:val="36"/>
          <w:rtl/>
        </w:rPr>
        <w:t>ا</w:t>
      </w:r>
      <w:r w:rsidR="00401F8B" w:rsidRPr="00FD211F">
        <w:rPr>
          <w:sz w:val="36"/>
          <w:szCs w:val="36"/>
          <w:rtl/>
        </w:rPr>
        <w:t>لذي</w:t>
      </w:r>
      <w:r w:rsidRPr="00FD211F">
        <w:rPr>
          <w:sz w:val="36"/>
          <w:szCs w:val="36"/>
          <w:rtl/>
        </w:rPr>
        <w:t xml:space="preserve"> انكره المحقق الاصفهاني </w:t>
      </w:r>
      <w:r w:rsidR="00401F8B" w:rsidRPr="00FD211F">
        <w:rPr>
          <w:sz w:val="36"/>
          <w:szCs w:val="36"/>
          <w:rtl/>
        </w:rPr>
        <w:t>"</w:t>
      </w:r>
      <w:r w:rsidRPr="00FD211F">
        <w:rPr>
          <w:sz w:val="36"/>
          <w:szCs w:val="36"/>
          <w:rtl/>
        </w:rPr>
        <w:t>قده</w:t>
      </w:r>
      <w:r w:rsidR="00401F8B" w:rsidRPr="00FD211F">
        <w:rPr>
          <w:sz w:val="36"/>
          <w:szCs w:val="36"/>
          <w:rtl/>
        </w:rPr>
        <w:t>"</w:t>
      </w:r>
      <w:r w:rsidRPr="00FD211F">
        <w:rPr>
          <w:sz w:val="36"/>
          <w:szCs w:val="36"/>
          <w:rtl/>
        </w:rPr>
        <w:t xml:space="preserve"> </w:t>
      </w:r>
      <w:r w:rsidR="00401F8B" w:rsidRPr="00FD211F">
        <w:rPr>
          <w:sz w:val="36"/>
          <w:szCs w:val="36"/>
          <w:rtl/>
        </w:rPr>
        <w:t>هو نفس ما انكره الشيخ الاعظم "قده"</w:t>
      </w:r>
      <w:r w:rsidR="00D9639E" w:rsidRPr="00FD211F">
        <w:rPr>
          <w:sz w:val="36"/>
          <w:szCs w:val="36"/>
          <w:rtl/>
        </w:rPr>
        <w:t xml:space="preserve"> </w:t>
      </w:r>
      <w:r w:rsidR="00401F8B" w:rsidRPr="00FD211F">
        <w:rPr>
          <w:sz w:val="36"/>
          <w:szCs w:val="36"/>
          <w:rtl/>
        </w:rPr>
        <w:t>من</w:t>
      </w:r>
      <w:r w:rsidRPr="00FD211F">
        <w:rPr>
          <w:sz w:val="36"/>
          <w:szCs w:val="36"/>
          <w:rtl/>
        </w:rPr>
        <w:t xml:space="preserve"> الجامع المركب الواوي</w:t>
      </w:r>
      <w:r w:rsidR="00603323" w:rsidRPr="00FD211F">
        <w:rPr>
          <w:sz w:val="36"/>
          <w:szCs w:val="36"/>
          <w:rtl/>
        </w:rPr>
        <w:t xml:space="preserve">، </w:t>
      </w:r>
      <w:r w:rsidRPr="00FD211F">
        <w:rPr>
          <w:sz w:val="36"/>
          <w:szCs w:val="36"/>
          <w:rtl/>
        </w:rPr>
        <w:t>لاالجامع المركب الأوي</w:t>
      </w:r>
      <w:r w:rsidR="00603323" w:rsidRPr="00FD211F">
        <w:rPr>
          <w:sz w:val="36"/>
          <w:szCs w:val="36"/>
          <w:rtl/>
        </w:rPr>
        <w:t xml:space="preserve">، </w:t>
      </w:r>
      <w:r w:rsidR="00401F8B" w:rsidRPr="00FD211F">
        <w:rPr>
          <w:sz w:val="36"/>
          <w:szCs w:val="36"/>
          <w:rtl/>
        </w:rPr>
        <w:t>فلعل مقصوده من الجامع المبهم</w:t>
      </w:r>
      <w:r w:rsidR="00B253CE" w:rsidRPr="00FD211F">
        <w:rPr>
          <w:sz w:val="36"/>
          <w:szCs w:val="36"/>
          <w:rtl/>
        </w:rPr>
        <w:t xml:space="preserve"> </w:t>
      </w:r>
      <w:r w:rsidR="00401F8B" w:rsidRPr="00FD211F">
        <w:rPr>
          <w:sz w:val="36"/>
          <w:szCs w:val="36"/>
          <w:rtl/>
        </w:rPr>
        <w:t xml:space="preserve">هونفس </w:t>
      </w:r>
      <w:r w:rsidRPr="00FD211F">
        <w:rPr>
          <w:sz w:val="36"/>
          <w:szCs w:val="36"/>
          <w:rtl/>
        </w:rPr>
        <w:t xml:space="preserve">الجامع المركب الأوي </w:t>
      </w:r>
      <w:r w:rsidR="00401F8B" w:rsidRPr="00FD211F">
        <w:rPr>
          <w:sz w:val="36"/>
          <w:szCs w:val="36"/>
          <w:rtl/>
        </w:rPr>
        <w:t xml:space="preserve">فان الجامع المركب الاوي </w:t>
      </w:r>
      <w:r w:rsidRPr="00FD211F">
        <w:rPr>
          <w:sz w:val="36"/>
          <w:szCs w:val="36"/>
          <w:rtl/>
        </w:rPr>
        <w:t>لايلحظ حين الوضع تفصيلا عاد</w:t>
      </w:r>
      <w:r w:rsidR="00EC7EDF" w:rsidRPr="00FD211F">
        <w:rPr>
          <w:sz w:val="36"/>
          <w:szCs w:val="36"/>
          <w:rtl/>
        </w:rPr>
        <w:t>ة</w:t>
      </w:r>
      <w:r w:rsidR="00603323" w:rsidRPr="00FD211F">
        <w:rPr>
          <w:sz w:val="36"/>
          <w:szCs w:val="36"/>
          <w:rtl/>
        </w:rPr>
        <w:t xml:space="preserve">، </w:t>
      </w:r>
      <w:r w:rsidRPr="00FD211F">
        <w:rPr>
          <w:sz w:val="36"/>
          <w:szCs w:val="36"/>
          <w:rtl/>
        </w:rPr>
        <w:t>كيف وفي مثل الصلا</w:t>
      </w:r>
      <w:r w:rsidR="00EC7EDF" w:rsidRPr="00FD211F">
        <w:rPr>
          <w:sz w:val="36"/>
          <w:szCs w:val="36"/>
          <w:rtl/>
        </w:rPr>
        <w:t xml:space="preserve">ة </w:t>
      </w:r>
      <w:r w:rsidRPr="00FD211F">
        <w:rPr>
          <w:sz w:val="36"/>
          <w:szCs w:val="36"/>
          <w:rtl/>
        </w:rPr>
        <w:t>قد يتحقق تشريع عِدل آخر لمصداق الصلا</w:t>
      </w:r>
      <w:r w:rsidR="00EC7EDF" w:rsidRPr="00FD211F">
        <w:rPr>
          <w:sz w:val="36"/>
          <w:szCs w:val="36"/>
          <w:rtl/>
        </w:rPr>
        <w:t xml:space="preserve">ة </w:t>
      </w:r>
      <w:r w:rsidRPr="00FD211F">
        <w:rPr>
          <w:sz w:val="36"/>
          <w:szCs w:val="36"/>
          <w:rtl/>
        </w:rPr>
        <w:t>الصحيح</w:t>
      </w:r>
      <w:r w:rsidR="00EC7EDF" w:rsidRPr="00FD211F">
        <w:rPr>
          <w:sz w:val="36"/>
          <w:szCs w:val="36"/>
          <w:rtl/>
        </w:rPr>
        <w:t xml:space="preserve">ة </w:t>
      </w:r>
      <w:r w:rsidRPr="00FD211F">
        <w:rPr>
          <w:sz w:val="36"/>
          <w:szCs w:val="36"/>
          <w:rtl/>
        </w:rPr>
        <w:t>متأخرا عن التسمي</w:t>
      </w:r>
      <w:r w:rsidR="00EC7EDF" w:rsidRPr="00FD211F">
        <w:rPr>
          <w:sz w:val="36"/>
          <w:szCs w:val="36"/>
          <w:rtl/>
        </w:rPr>
        <w:t xml:space="preserve">ة </w:t>
      </w:r>
      <w:r w:rsidRPr="00FD211F">
        <w:rPr>
          <w:sz w:val="36"/>
          <w:szCs w:val="36"/>
          <w:rtl/>
        </w:rPr>
        <w:t>باسم الصلا</w:t>
      </w:r>
      <w:r w:rsidR="00EC7EDF" w:rsidRPr="00FD211F">
        <w:rPr>
          <w:sz w:val="36"/>
          <w:szCs w:val="36"/>
          <w:rtl/>
        </w:rPr>
        <w:t>ة</w:t>
      </w:r>
      <w:r w:rsidR="00603323" w:rsidRPr="00FD211F">
        <w:rPr>
          <w:sz w:val="36"/>
          <w:szCs w:val="36"/>
          <w:rtl/>
        </w:rPr>
        <w:t xml:space="preserve">، </w:t>
      </w:r>
      <w:r w:rsidRPr="00FD211F">
        <w:rPr>
          <w:sz w:val="36"/>
          <w:szCs w:val="36"/>
          <w:rtl/>
        </w:rPr>
        <w:t>فلامحيص الا ان يتصور الواضع شبحا من خصوصيات الصلا</w:t>
      </w:r>
      <w:r w:rsidR="00EC7EDF" w:rsidRPr="00FD211F">
        <w:rPr>
          <w:sz w:val="36"/>
          <w:szCs w:val="36"/>
          <w:rtl/>
        </w:rPr>
        <w:t xml:space="preserve">ة </w:t>
      </w:r>
      <w:r w:rsidRPr="00FD211F">
        <w:rPr>
          <w:sz w:val="36"/>
          <w:szCs w:val="36"/>
          <w:rtl/>
        </w:rPr>
        <w:t>الصحيح</w:t>
      </w:r>
      <w:r w:rsidR="00EC7EDF" w:rsidRPr="00FD211F">
        <w:rPr>
          <w:sz w:val="36"/>
          <w:szCs w:val="36"/>
          <w:rtl/>
        </w:rPr>
        <w:t>ة</w:t>
      </w:r>
      <w:r w:rsidR="00603323" w:rsidRPr="00FD211F">
        <w:rPr>
          <w:sz w:val="36"/>
          <w:szCs w:val="36"/>
          <w:rtl/>
        </w:rPr>
        <w:t xml:space="preserve">، </w:t>
      </w:r>
      <w:r w:rsidRPr="00FD211F">
        <w:rPr>
          <w:sz w:val="36"/>
          <w:szCs w:val="36"/>
          <w:rtl/>
        </w:rPr>
        <w:t>ويشير اليها ببعض العناوين الاجمالي</w:t>
      </w:r>
      <w:r w:rsidR="00EC7EDF" w:rsidRPr="00FD211F">
        <w:rPr>
          <w:sz w:val="36"/>
          <w:szCs w:val="36"/>
          <w:rtl/>
        </w:rPr>
        <w:t>ة</w:t>
      </w:r>
      <w:r w:rsidR="00603323" w:rsidRPr="00FD211F">
        <w:rPr>
          <w:sz w:val="36"/>
          <w:szCs w:val="36"/>
          <w:rtl/>
        </w:rPr>
        <w:t xml:space="preserve">، </w:t>
      </w:r>
      <w:r w:rsidRPr="00FD211F">
        <w:rPr>
          <w:sz w:val="36"/>
          <w:szCs w:val="36"/>
          <w:rtl/>
        </w:rPr>
        <w:t>كعنوان ما يؤخذ جزءً</w:t>
      </w:r>
      <w:r w:rsidR="00492821" w:rsidRPr="00FD211F">
        <w:rPr>
          <w:sz w:val="36"/>
          <w:szCs w:val="36"/>
          <w:rtl/>
        </w:rPr>
        <w:t>ا</w:t>
      </w:r>
      <w:r w:rsidRPr="00FD211F">
        <w:rPr>
          <w:sz w:val="36"/>
          <w:szCs w:val="36"/>
          <w:rtl/>
        </w:rPr>
        <w:t xml:space="preserve"> او شرطا في متعلق الأمر بالصلا</w:t>
      </w:r>
      <w:r w:rsidR="00EC7EDF" w:rsidRPr="00FD211F">
        <w:rPr>
          <w:sz w:val="36"/>
          <w:szCs w:val="36"/>
          <w:rtl/>
        </w:rPr>
        <w:t>ة</w:t>
      </w:r>
      <w:r w:rsidR="00A61BAE" w:rsidRPr="00FD211F">
        <w:rPr>
          <w:sz w:val="36"/>
          <w:szCs w:val="36"/>
          <w:rtl/>
        </w:rPr>
        <w:t>.</w:t>
      </w:r>
    </w:p>
    <w:p w14:paraId="1150F90D" w14:textId="77777777" w:rsidR="00052BF2" w:rsidRPr="00FD211F" w:rsidRDefault="00052BF2" w:rsidP="009C58C8">
      <w:pPr>
        <w:pStyle w:val="3"/>
        <w:ind w:firstLine="227"/>
        <w:jc w:val="both"/>
        <w:rPr>
          <w:rtl/>
        </w:rPr>
      </w:pPr>
      <w:bookmarkStart w:id="375" w:name="_Toc192092924"/>
      <w:bookmarkStart w:id="376" w:name="_Toc223890403"/>
      <w:r w:rsidRPr="00FD211F">
        <w:rPr>
          <w:rtl/>
        </w:rPr>
        <w:t>تصوير شيخنا الاستاذ</w:t>
      </w:r>
      <w:bookmarkEnd w:id="375"/>
      <w:r w:rsidR="008F14E7" w:rsidRPr="00FD211F">
        <w:rPr>
          <w:rtl/>
        </w:rPr>
        <w:t xml:space="preserve"> "قده"</w:t>
      </w:r>
      <w:bookmarkEnd w:id="376"/>
    </w:p>
    <w:p w14:paraId="6A6F1ECB" w14:textId="77777777" w:rsidR="00052BF2" w:rsidRPr="00FD211F" w:rsidRDefault="00052BF2" w:rsidP="009C58C8">
      <w:pPr>
        <w:ind w:left="0" w:firstLine="227"/>
        <w:jc w:val="both"/>
        <w:rPr>
          <w:sz w:val="36"/>
          <w:szCs w:val="36"/>
          <w:rtl/>
        </w:rPr>
      </w:pPr>
      <w:r w:rsidRPr="00FD211F">
        <w:rPr>
          <w:sz w:val="36"/>
          <w:szCs w:val="36"/>
          <w:rtl/>
        </w:rPr>
        <w:t xml:space="preserve">ذكر شيخنا الاستاذ </w:t>
      </w:r>
      <w:r w:rsidR="00401F8B" w:rsidRPr="00FD211F">
        <w:rPr>
          <w:sz w:val="36"/>
          <w:szCs w:val="36"/>
          <w:rtl/>
        </w:rPr>
        <w:t>"</w:t>
      </w:r>
      <w:r w:rsidRPr="00FD211F">
        <w:rPr>
          <w:sz w:val="36"/>
          <w:szCs w:val="36"/>
          <w:rtl/>
        </w:rPr>
        <w:t>قده</w:t>
      </w:r>
      <w:r w:rsidR="00401F8B" w:rsidRPr="00FD211F">
        <w:rPr>
          <w:sz w:val="36"/>
          <w:szCs w:val="36"/>
          <w:rtl/>
        </w:rPr>
        <w:t>"</w:t>
      </w:r>
      <w:r w:rsidRPr="00FD211F">
        <w:rPr>
          <w:sz w:val="36"/>
          <w:szCs w:val="36"/>
          <w:rtl/>
        </w:rPr>
        <w:t xml:space="preserve"> ان ما يمكن ان يدعيه القائل بوضع اللفظ للصحيح بنحو يساعده فهم المتشرع</w:t>
      </w:r>
      <w:r w:rsidR="00EC7EDF" w:rsidRPr="00FD211F">
        <w:rPr>
          <w:sz w:val="36"/>
          <w:szCs w:val="36"/>
          <w:rtl/>
        </w:rPr>
        <w:t>ة</w:t>
      </w:r>
      <w:r w:rsidR="00603323" w:rsidRPr="00FD211F">
        <w:rPr>
          <w:sz w:val="36"/>
          <w:szCs w:val="36"/>
          <w:rtl/>
        </w:rPr>
        <w:t xml:space="preserve">، </w:t>
      </w:r>
      <w:r w:rsidRPr="00FD211F">
        <w:rPr>
          <w:sz w:val="36"/>
          <w:szCs w:val="36"/>
          <w:rtl/>
        </w:rPr>
        <w:t>هو ان الشارع لاحظ التكبير</w:t>
      </w:r>
      <w:r w:rsidR="00EC7EDF" w:rsidRPr="00FD211F">
        <w:rPr>
          <w:sz w:val="36"/>
          <w:szCs w:val="36"/>
          <w:rtl/>
        </w:rPr>
        <w:t xml:space="preserve">ة </w:t>
      </w:r>
      <w:r w:rsidRPr="00FD211F">
        <w:rPr>
          <w:sz w:val="36"/>
          <w:szCs w:val="36"/>
          <w:rtl/>
        </w:rPr>
        <w:t>والقراء</w:t>
      </w:r>
      <w:r w:rsidR="00EC7EDF" w:rsidRPr="00FD211F">
        <w:rPr>
          <w:sz w:val="36"/>
          <w:szCs w:val="36"/>
          <w:rtl/>
        </w:rPr>
        <w:t xml:space="preserve">ة </w:t>
      </w:r>
      <w:r w:rsidRPr="00FD211F">
        <w:rPr>
          <w:sz w:val="36"/>
          <w:szCs w:val="36"/>
          <w:rtl/>
        </w:rPr>
        <w:t>والركوع والسجود والتشهد</w:t>
      </w:r>
      <w:r w:rsidR="00EC7EDF" w:rsidRPr="00FD211F">
        <w:rPr>
          <w:sz w:val="36"/>
          <w:szCs w:val="36"/>
          <w:rtl/>
        </w:rPr>
        <w:t xml:space="preserve"> و</w:t>
      </w:r>
      <w:r w:rsidRPr="00FD211F">
        <w:rPr>
          <w:sz w:val="36"/>
          <w:szCs w:val="36"/>
          <w:rtl/>
        </w:rPr>
        <w:t>التسليم</w:t>
      </w:r>
      <w:r w:rsidR="00EC7EDF" w:rsidRPr="00FD211F">
        <w:rPr>
          <w:sz w:val="36"/>
          <w:szCs w:val="36"/>
          <w:rtl/>
        </w:rPr>
        <w:t xml:space="preserve">ة </w:t>
      </w:r>
      <w:r w:rsidRPr="00FD211F">
        <w:rPr>
          <w:sz w:val="36"/>
          <w:szCs w:val="36"/>
          <w:rtl/>
        </w:rPr>
        <w:t>وبنى على ان كل عمل يشرعه فيما بعد ويشتمل على معظم هذه الأفعال هو معنى لفظ الصلا</w:t>
      </w:r>
      <w:r w:rsidR="00EC7EDF" w:rsidRPr="00FD211F">
        <w:rPr>
          <w:sz w:val="36"/>
          <w:szCs w:val="36"/>
          <w:rtl/>
        </w:rPr>
        <w:t xml:space="preserve">ة </w:t>
      </w:r>
      <w:r w:rsidRPr="00FD211F">
        <w:rPr>
          <w:sz w:val="36"/>
          <w:szCs w:val="36"/>
          <w:rtl/>
        </w:rPr>
        <w:t>مثلا</w:t>
      </w:r>
      <w:r w:rsidR="00603323" w:rsidRPr="00FD211F">
        <w:rPr>
          <w:sz w:val="36"/>
          <w:szCs w:val="36"/>
          <w:rtl/>
        </w:rPr>
        <w:t xml:space="preserve">، </w:t>
      </w:r>
      <w:r w:rsidRPr="00FD211F">
        <w:rPr>
          <w:sz w:val="36"/>
          <w:szCs w:val="36"/>
          <w:rtl/>
        </w:rPr>
        <w:t>سواء كان تشريعه بالأمر الوجوبي او الندبي فيكون في الحقيق</w:t>
      </w:r>
      <w:r w:rsidR="00EC7EDF" w:rsidRPr="00FD211F">
        <w:rPr>
          <w:sz w:val="36"/>
          <w:szCs w:val="36"/>
          <w:rtl/>
        </w:rPr>
        <w:t xml:space="preserve">ة </w:t>
      </w:r>
      <w:r w:rsidRPr="00FD211F">
        <w:rPr>
          <w:sz w:val="36"/>
          <w:szCs w:val="36"/>
          <w:rtl/>
        </w:rPr>
        <w:t>لفظ الصلا</w:t>
      </w:r>
      <w:r w:rsidR="00EC7EDF" w:rsidRPr="00FD211F">
        <w:rPr>
          <w:sz w:val="36"/>
          <w:szCs w:val="36"/>
          <w:rtl/>
        </w:rPr>
        <w:t xml:space="preserve">ة </w:t>
      </w:r>
      <w:r w:rsidRPr="00FD211F">
        <w:rPr>
          <w:sz w:val="36"/>
          <w:szCs w:val="36"/>
          <w:rtl/>
        </w:rPr>
        <w:t>موضوعا لأنواع الصلوات الصحيح</w:t>
      </w:r>
      <w:r w:rsidR="00EC7EDF" w:rsidRPr="00FD211F">
        <w:rPr>
          <w:sz w:val="36"/>
          <w:szCs w:val="36"/>
          <w:rtl/>
        </w:rPr>
        <w:t xml:space="preserve">ة </w:t>
      </w:r>
      <w:r w:rsidRPr="00FD211F">
        <w:rPr>
          <w:sz w:val="36"/>
          <w:szCs w:val="36"/>
          <w:rtl/>
        </w:rPr>
        <w:t>بنحو الوضع العام والموضوع له الخاص</w:t>
      </w:r>
      <w:r w:rsidR="00603323" w:rsidRPr="00FD211F">
        <w:rPr>
          <w:sz w:val="36"/>
          <w:szCs w:val="36"/>
          <w:rtl/>
        </w:rPr>
        <w:t xml:space="preserve">، </w:t>
      </w:r>
      <w:r w:rsidRPr="00FD211F">
        <w:rPr>
          <w:sz w:val="36"/>
          <w:szCs w:val="36"/>
          <w:rtl/>
        </w:rPr>
        <w:t>فان كان العمل المركب من تلك الأجزاء مشروعا في حالٍ كحال الاضطرار فهو صلا</w:t>
      </w:r>
      <w:r w:rsidR="00EC7EDF" w:rsidRPr="00FD211F">
        <w:rPr>
          <w:sz w:val="36"/>
          <w:szCs w:val="36"/>
          <w:rtl/>
        </w:rPr>
        <w:t xml:space="preserve">ة </w:t>
      </w:r>
      <w:r w:rsidRPr="00FD211F">
        <w:rPr>
          <w:sz w:val="36"/>
          <w:szCs w:val="36"/>
          <w:rtl/>
        </w:rPr>
        <w:t>في ذلك الحال</w:t>
      </w:r>
      <w:r w:rsidR="00603323" w:rsidRPr="00FD211F">
        <w:rPr>
          <w:sz w:val="36"/>
          <w:szCs w:val="36"/>
          <w:rtl/>
        </w:rPr>
        <w:t xml:space="preserve">، </w:t>
      </w:r>
      <w:r w:rsidRPr="00FD211F">
        <w:rPr>
          <w:sz w:val="36"/>
          <w:szCs w:val="36"/>
          <w:rtl/>
        </w:rPr>
        <w:t>فلو صدر في غير ذلك الحال</w:t>
      </w:r>
      <w:r w:rsidR="008D7B3D" w:rsidRPr="00FD211F">
        <w:rPr>
          <w:sz w:val="36"/>
          <w:szCs w:val="36"/>
          <w:rtl/>
        </w:rPr>
        <w:t xml:space="preserve"> لم‌</w:t>
      </w:r>
      <w:r w:rsidRPr="00FD211F">
        <w:rPr>
          <w:sz w:val="36"/>
          <w:szCs w:val="36"/>
          <w:rtl/>
        </w:rPr>
        <w:t>يكن صلا</w:t>
      </w:r>
      <w:r w:rsidR="00EC7EDF" w:rsidRPr="00FD211F">
        <w:rPr>
          <w:sz w:val="36"/>
          <w:szCs w:val="36"/>
          <w:rtl/>
        </w:rPr>
        <w:t>ة</w:t>
      </w:r>
      <w:r w:rsidR="00603323" w:rsidRPr="00FD211F">
        <w:rPr>
          <w:sz w:val="36"/>
          <w:szCs w:val="36"/>
          <w:rtl/>
        </w:rPr>
        <w:t xml:space="preserve">، </w:t>
      </w:r>
      <w:r w:rsidRPr="00FD211F">
        <w:rPr>
          <w:sz w:val="36"/>
          <w:szCs w:val="36"/>
          <w:rtl/>
        </w:rPr>
        <w:t>لعدم مشروعيته حينئذ</w:t>
      </w:r>
      <w:r w:rsidR="009C58C8" w:rsidRPr="00FD211F">
        <w:rPr>
          <w:rStyle w:val="a6"/>
          <w:sz w:val="36"/>
          <w:szCs w:val="36"/>
          <w:rtl/>
        </w:rPr>
        <w:t>(</w:t>
      </w:r>
      <w:r w:rsidR="009C58C8" w:rsidRPr="00FD211F">
        <w:rPr>
          <w:rStyle w:val="a6"/>
          <w:sz w:val="36"/>
          <w:szCs w:val="36"/>
          <w:rtl/>
        </w:rPr>
        <w:footnoteReference w:id="378"/>
      </w:r>
      <w:r w:rsidR="009C58C8" w:rsidRPr="00FD211F">
        <w:rPr>
          <w:rStyle w:val="a6"/>
          <w:sz w:val="36"/>
          <w:szCs w:val="36"/>
          <w:rtl/>
        </w:rPr>
        <w:t>)</w:t>
      </w:r>
      <w:r w:rsidRPr="00FD211F">
        <w:rPr>
          <w:sz w:val="36"/>
          <w:szCs w:val="36"/>
          <w:rtl/>
        </w:rPr>
        <w:t>.</w:t>
      </w:r>
    </w:p>
    <w:p w14:paraId="43FD3EFE" w14:textId="77777777" w:rsidR="00052BF2" w:rsidRPr="00FD211F" w:rsidRDefault="00052BF2" w:rsidP="009C58C8">
      <w:pPr>
        <w:ind w:left="0" w:firstLine="227"/>
        <w:jc w:val="both"/>
        <w:rPr>
          <w:sz w:val="36"/>
          <w:szCs w:val="36"/>
          <w:rtl/>
        </w:rPr>
      </w:pPr>
      <w:r w:rsidRPr="00FD211F">
        <w:rPr>
          <w:sz w:val="36"/>
          <w:szCs w:val="36"/>
          <w:rtl/>
        </w:rPr>
        <w:t>ويلاحظ عليه ان لازم ما ذكره من كون لفظ الصلا</w:t>
      </w:r>
      <w:r w:rsidR="00EC7EDF" w:rsidRPr="00FD211F">
        <w:rPr>
          <w:sz w:val="36"/>
          <w:szCs w:val="36"/>
          <w:rtl/>
        </w:rPr>
        <w:t xml:space="preserve">ة </w:t>
      </w:r>
      <w:r w:rsidRPr="00FD211F">
        <w:rPr>
          <w:sz w:val="36"/>
          <w:szCs w:val="36"/>
          <w:rtl/>
        </w:rPr>
        <w:t>موضوعا بنحو الوضع العام والموضوع له الخاص هو المجاز في قولنا: الصلا</w:t>
      </w:r>
      <w:r w:rsidR="00EC7EDF" w:rsidRPr="00FD211F">
        <w:rPr>
          <w:sz w:val="36"/>
          <w:szCs w:val="36"/>
          <w:rtl/>
        </w:rPr>
        <w:t xml:space="preserve">ة </w:t>
      </w:r>
      <w:r w:rsidRPr="00FD211F">
        <w:rPr>
          <w:sz w:val="36"/>
          <w:szCs w:val="36"/>
          <w:rtl/>
        </w:rPr>
        <w:t>الصحيح</w:t>
      </w:r>
      <w:r w:rsidR="00EC7EDF" w:rsidRPr="00FD211F">
        <w:rPr>
          <w:sz w:val="36"/>
          <w:szCs w:val="36"/>
          <w:rtl/>
        </w:rPr>
        <w:t xml:space="preserve">ة </w:t>
      </w:r>
      <w:r w:rsidRPr="00FD211F">
        <w:rPr>
          <w:sz w:val="36"/>
          <w:szCs w:val="36"/>
          <w:rtl/>
        </w:rPr>
        <w:t>على اقسام</w:t>
      </w:r>
      <w:r w:rsidR="00603323" w:rsidRPr="00FD211F">
        <w:rPr>
          <w:sz w:val="36"/>
          <w:szCs w:val="36"/>
          <w:rtl/>
        </w:rPr>
        <w:t xml:space="preserve">، </w:t>
      </w:r>
      <w:r w:rsidRPr="00FD211F">
        <w:rPr>
          <w:sz w:val="36"/>
          <w:szCs w:val="36"/>
          <w:rtl/>
        </w:rPr>
        <w:t>فانه يعني استعمال كلم</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الصحيح</w:t>
      </w:r>
      <w:r w:rsidR="00EC7EDF" w:rsidRPr="00FD211F">
        <w:rPr>
          <w:sz w:val="36"/>
          <w:szCs w:val="36"/>
          <w:rtl/>
        </w:rPr>
        <w:t xml:space="preserve">ة </w:t>
      </w:r>
      <w:r w:rsidRPr="00FD211F">
        <w:rPr>
          <w:sz w:val="36"/>
          <w:szCs w:val="36"/>
          <w:rtl/>
        </w:rPr>
        <w:t>في معنى جامع</w:t>
      </w:r>
      <w:r w:rsidR="00603323" w:rsidRPr="00FD211F">
        <w:rPr>
          <w:sz w:val="36"/>
          <w:szCs w:val="36"/>
          <w:rtl/>
        </w:rPr>
        <w:t xml:space="preserve">، </w:t>
      </w:r>
      <w:r w:rsidRPr="00FD211F">
        <w:rPr>
          <w:sz w:val="36"/>
          <w:szCs w:val="36"/>
          <w:rtl/>
        </w:rPr>
        <w:t>وينافيه الالتزام بالوضع العام والموضوع له الخاص</w:t>
      </w:r>
      <w:r w:rsidR="00603323" w:rsidRPr="00FD211F">
        <w:rPr>
          <w:sz w:val="36"/>
          <w:szCs w:val="36"/>
          <w:rtl/>
        </w:rPr>
        <w:t xml:space="preserve">، </w:t>
      </w:r>
      <w:r w:rsidRPr="00FD211F">
        <w:rPr>
          <w:sz w:val="36"/>
          <w:szCs w:val="36"/>
          <w:rtl/>
        </w:rPr>
        <w:t>اذ لايكون حينئذ لفظ الصلا</w:t>
      </w:r>
      <w:r w:rsidR="00EC7EDF" w:rsidRPr="00FD211F">
        <w:rPr>
          <w:sz w:val="36"/>
          <w:szCs w:val="36"/>
          <w:rtl/>
        </w:rPr>
        <w:t xml:space="preserve">ة </w:t>
      </w:r>
      <w:r w:rsidRPr="00FD211F">
        <w:rPr>
          <w:sz w:val="36"/>
          <w:szCs w:val="36"/>
          <w:rtl/>
        </w:rPr>
        <w:t>مشتركا معنويا بين انواع الصلا</w:t>
      </w:r>
      <w:r w:rsidR="00EC7EDF" w:rsidRPr="00FD211F">
        <w:rPr>
          <w:sz w:val="36"/>
          <w:szCs w:val="36"/>
          <w:rtl/>
        </w:rPr>
        <w:t>ة</w:t>
      </w:r>
      <w:r w:rsidR="00127CB3" w:rsidRPr="00FD211F">
        <w:rPr>
          <w:sz w:val="36"/>
          <w:szCs w:val="36"/>
          <w:rtl/>
        </w:rPr>
        <w:t>.</w:t>
      </w:r>
      <w:r w:rsidR="00EC7EDF" w:rsidRPr="00FD211F">
        <w:rPr>
          <w:sz w:val="36"/>
          <w:szCs w:val="36"/>
          <w:rtl/>
        </w:rPr>
        <w:t xml:space="preserve"> </w:t>
      </w:r>
    </w:p>
    <w:p w14:paraId="656669AB" w14:textId="77777777" w:rsidR="00052BF2" w:rsidRPr="00FD211F" w:rsidRDefault="00052BF2" w:rsidP="009C58C8">
      <w:pPr>
        <w:pStyle w:val="3"/>
        <w:ind w:firstLine="227"/>
        <w:jc w:val="both"/>
        <w:rPr>
          <w:rtl/>
        </w:rPr>
      </w:pPr>
      <w:bookmarkStart w:id="377" w:name="_Toc192092925"/>
      <w:bookmarkStart w:id="378" w:name="_Toc223890404"/>
      <w:r w:rsidRPr="00FD211F">
        <w:rPr>
          <w:rtl/>
        </w:rPr>
        <w:t>تصوير جامع مركب أوي</w:t>
      </w:r>
      <w:bookmarkEnd w:id="377"/>
      <w:bookmarkEnd w:id="378"/>
    </w:p>
    <w:p w14:paraId="24F0A555" w14:textId="77777777" w:rsidR="00492821" w:rsidRPr="00FD211F" w:rsidRDefault="00052BF2" w:rsidP="009C58C8">
      <w:pPr>
        <w:ind w:left="0" w:firstLine="227"/>
        <w:jc w:val="both"/>
        <w:rPr>
          <w:sz w:val="36"/>
          <w:szCs w:val="36"/>
          <w:rtl/>
        </w:rPr>
      </w:pPr>
      <w:r w:rsidRPr="00FD211F">
        <w:rPr>
          <w:sz w:val="36"/>
          <w:szCs w:val="36"/>
          <w:rtl/>
        </w:rPr>
        <w:t>ان ما مر من اشكال الشيخ الأعظم</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00401F8B" w:rsidRPr="00FD211F">
        <w:rPr>
          <w:sz w:val="36"/>
          <w:szCs w:val="36"/>
          <w:rtl/>
        </w:rPr>
        <w:t xml:space="preserve">على الجامع </w:t>
      </w:r>
      <w:r w:rsidRPr="00FD211F">
        <w:rPr>
          <w:sz w:val="36"/>
          <w:szCs w:val="36"/>
          <w:rtl/>
        </w:rPr>
        <w:t xml:space="preserve">المركب انما </w:t>
      </w:r>
      <w:r w:rsidR="00401F8B" w:rsidRPr="00FD211F">
        <w:rPr>
          <w:sz w:val="36"/>
          <w:szCs w:val="36"/>
          <w:rtl/>
        </w:rPr>
        <w:t>كان ناظرا الى ال</w:t>
      </w:r>
      <w:r w:rsidRPr="00FD211F">
        <w:rPr>
          <w:sz w:val="36"/>
          <w:szCs w:val="36"/>
          <w:rtl/>
        </w:rPr>
        <w:t xml:space="preserve">جامع </w:t>
      </w:r>
      <w:r w:rsidR="00401F8B" w:rsidRPr="00FD211F">
        <w:rPr>
          <w:sz w:val="36"/>
          <w:szCs w:val="36"/>
          <w:rtl/>
        </w:rPr>
        <w:t>ال</w:t>
      </w:r>
      <w:r w:rsidRPr="00FD211F">
        <w:rPr>
          <w:sz w:val="36"/>
          <w:szCs w:val="36"/>
          <w:rtl/>
        </w:rPr>
        <w:t xml:space="preserve">مركب </w:t>
      </w:r>
      <w:r w:rsidR="00401F8B" w:rsidRPr="00FD211F">
        <w:rPr>
          <w:sz w:val="36"/>
          <w:szCs w:val="36"/>
          <w:rtl/>
        </w:rPr>
        <w:t>الواوي</w:t>
      </w:r>
      <w:r w:rsidR="00603323" w:rsidRPr="00FD211F">
        <w:rPr>
          <w:sz w:val="36"/>
          <w:szCs w:val="36"/>
          <w:rtl/>
        </w:rPr>
        <w:t xml:space="preserve">، </w:t>
      </w:r>
      <w:r w:rsidR="00401F8B" w:rsidRPr="00FD211F">
        <w:rPr>
          <w:sz w:val="36"/>
          <w:szCs w:val="36"/>
          <w:rtl/>
        </w:rPr>
        <w:t>حيث ذكر</w:t>
      </w:r>
      <w:r w:rsidRPr="00FD211F">
        <w:rPr>
          <w:sz w:val="36"/>
          <w:szCs w:val="36"/>
          <w:rtl/>
        </w:rPr>
        <w:t xml:space="preserve"> انه ان اخذ فيه جميع القيود الدخيل</w:t>
      </w:r>
      <w:r w:rsidR="00EC7EDF" w:rsidRPr="00FD211F">
        <w:rPr>
          <w:sz w:val="36"/>
          <w:szCs w:val="36"/>
          <w:rtl/>
        </w:rPr>
        <w:t xml:space="preserve">ة </w:t>
      </w:r>
      <w:r w:rsidRPr="00FD211F">
        <w:rPr>
          <w:sz w:val="36"/>
          <w:szCs w:val="36"/>
          <w:rtl/>
        </w:rPr>
        <w:t>في حال الاختيار</w:t>
      </w:r>
      <w:r w:rsidR="008D7B3D" w:rsidRPr="00FD211F">
        <w:rPr>
          <w:sz w:val="36"/>
          <w:szCs w:val="36"/>
          <w:rtl/>
        </w:rPr>
        <w:t xml:space="preserve"> لم‌</w:t>
      </w:r>
      <w:r w:rsidRPr="00FD211F">
        <w:rPr>
          <w:sz w:val="36"/>
          <w:szCs w:val="36"/>
          <w:rtl/>
        </w:rPr>
        <w:t>ينطبق على الفاقد لبعضها مما يكون صحيحا في حال الاضطرار</w:t>
      </w:r>
      <w:r w:rsidR="00603323" w:rsidRPr="00FD211F">
        <w:rPr>
          <w:sz w:val="36"/>
          <w:szCs w:val="36"/>
          <w:rtl/>
        </w:rPr>
        <w:t xml:space="preserve">، </w:t>
      </w:r>
      <w:r w:rsidRPr="00FD211F">
        <w:rPr>
          <w:sz w:val="36"/>
          <w:szCs w:val="36"/>
          <w:rtl/>
        </w:rPr>
        <w:t>ولو أخذ خصوص القيود المعتبر</w:t>
      </w:r>
      <w:r w:rsidR="00EC7EDF" w:rsidRPr="00FD211F">
        <w:rPr>
          <w:sz w:val="36"/>
          <w:szCs w:val="36"/>
          <w:rtl/>
        </w:rPr>
        <w:t xml:space="preserve">ة </w:t>
      </w:r>
      <w:r w:rsidRPr="00FD211F">
        <w:rPr>
          <w:sz w:val="36"/>
          <w:szCs w:val="36"/>
          <w:rtl/>
        </w:rPr>
        <w:t>في جميع الحالات فينطبق على عمل المختار الفاقد لبعض القيود المعتبر</w:t>
      </w:r>
      <w:r w:rsidR="00EC7EDF" w:rsidRPr="00FD211F">
        <w:rPr>
          <w:sz w:val="36"/>
          <w:szCs w:val="36"/>
          <w:rtl/>
        </w:rPr>
        <w:t xml:space="preserve">ة </w:t>
      </w:r>
      <w:r w:rsidRPr="00FD211F">
        <w:rPr>
          <w:sz w:val="36"/>
          <w:szCs w:val="36"/>
          <w:rtl/>
        </w:rPr>
        <w:t>في حا</w:t>
      </w:r>
      <w:r w:rsidR="00D309BA" w:rsidRPr="00FD211F">
        <w:rPr>
          <w:sz w:val="36"/>
          <w:szCs w:val="36"/>
          <w:rtl/>
        </w:rPr>
        <w:t>ل الاختيار</w:t>
      </w:r>
      <w:r w:rsidR="00603323" w:rsidRPr="00FD211F">
        <w:rPr>
          <w:sz w:val="36"/>
          <w:szCs w:val="36"/>
          <w:rtl/>
        </w:rPr>
        <w:t xml:space="preserve">، </w:t>
      </w:r>
      <w:r w:rsidR="00D309BA" w:rsidRPr="00FD211F">
        <w:rPr>
          <w:sz w:val="36"/>
          <w:szCs w:val="36"/>
          <w:rtl/>
        </w:rPr>
        <w:t>مع كون</w:t>
      </w:r>
      <w:r w:rsidR="00492821" w:rsidRPr="00FD211F">
        <w:rPr>
          <w:sz w:val="36"/>
          <w:szCs w:val="36"/>
          <w:rtl/>
        </w:rPr>
        <w:t>ه فاسدا.</w:t>
      </w:r>
      <w:r w:rsidR="00401F8B" w:rsidRPr="00FD211F">
        <w:rPr>
          <w:sz w:val="36"/>
          <w:szCs w:val="36"/>
          <w:rtl/>
        </w:rPr>
        <w:t xml:space="preserve"> </w:t>
      </w:r>
    </w:p>
    <w:p w14:paraId="3F036A0C" w14:textId="77777777" w:rsidR="00052BF2" w:rsidRPr="00FD211F" w:rsidRDefault="00401F8B" w:rsidP="009C58C8">
      <w:pPr>
        <w:ind w:left="0" w:firstLine="227"/>
        <w:jc w:val="both"/>
        <w:rPr>
          <w:sz w:val="36"/>
          <w:szCs w:val="36"/>
          <w:rtl/>
        </w:rPr>
      </w:pPr>
      <w:r w:rsidRPr="00FD211F">
        <w:rPr>
          <w:sz w:val="36"/>
          <w:szCs w:val="36"/>
          <w:rtl/>
        </w:rPr>
        <w:t>ولكن افاد</w:t>
      </w:r>
      <w:r w:rsidR="00127CB3" w:rsidRPr="00FD211F">
        <w:rPr>
          <w:sz w:val="36"/>
          <w:szCs w:val="36"/>
          <w:rtl/>
        </w:rPr>
        <w:t xml:space="preserve"> </w:t>
      </w:r>
      <w:r w:rsidRPr="00FD211F">
        <w:rPr>
          <w:sz w:val="36"/>
          <w:szCs w:val="36"/>
          <w:rtl/>
        </w:rPr>
        <w:t>في البحوث انه</w:t>
      </w:r>
      <w:r w:rsidR="00052BF2" w:rsidRPr="00FD211F">
        <w:rPr>
          <w:sz w:val="36"/>
          <w:szCs w:val="36"/>
          <w:rtl/>
        </w:rPr>
        <w:t xml:space="preserve"> يمكن تصوير جامع مركب أوي يكون هو المسمى للفظ الصلا</w:t>
      </w:r>
      <w:r w:rsidR="00EC7EDF" w:rsidRPr="00FD211F">
        <w:rPr>
          <w:sz w:val="36"/>
          <w:szCs w:val="36"/>
          <w:rtl/>
        </w:rPr>
        <w:t xml:space="preserve">ة </w:t>
      </w:r>
      <w:r w:rsidR="00052BF2" w:rsidRPr="00FD211F">
        <w:rPr>
          <w:sz w:val="36"/>
          <w:szCs w:val="36"/>
          <w:rtl/>
        </w:rPr>
        <w:t>مثلا</w:t>
      </w:r>
      <w:r w:rsidR="00603323" w:rsidRPr="00FD211F">
        <w:rPr>
          <w:sz w:val="36"/>
          <w:szCs w:val="36"/>
          <w:rtl/>
        </w:rPr>
        <w:t xml:space="preserve">، </w:t>
      </w:r>
      <w:r w:rsidR="00052BF2" w:rsidRPr="00FD211F">
        <w:rPr>
          <w:sz w:val="36"/>
          <w:szCs w:val="36"/>
          <w:rtl/>
        </w:rPr>
        <w:t>بان يؤخذ فيه القيود المعتبر</w:t>
      </w:r>
      <w:r w:rsidR="00EC7EDF" w:rsidRPr="00FD211F">
        <w:rPr>
          <w:sz w:val="36"/>
          <w:szCs w:val="36"/>
          <w:rtl/>
        </w:rPr>
        <w:t xml:space="preserve">ة </w:t>
      </w:r>
      <w:r w:rsidR="00052BF2" w:rsidRPr="00FD211F">
        <w:rPr>
          <w:sz w:val="36"/>
          <w:szCs w:val="36"/>
          <w:rtl/>
        </w:rPr>
        <w:t>في جميع الحالات -كالطهار</w:t>
      </w:r>
      <w:r w:rsidR="00EC7EDF" w:rsidRPr="00FD211F">
        <w:rPr>
          <w:sz w:val="36"/>
          <w:szCs w:val="36"/>
          <w:rtl/>
        </w:rPr>
        <w:t xml:space="preserve">ة </w:t>
      </w:r>
      <w:r w:rsidR="00052BF2" w:rsidRPr="00FD211F">
        <w:rPr>
          <w:sz w:val="36"/>
          <w:szCs w:val="36"/>
          <w:rtl/>
        </w:rPr>
        <w:t>من الحدث مثلا- على نحو التعيين</w:t>
      </w:r>
      <w:r w:rsidR="00603323" w:rsidRPr="00FD211F">
        <w:rPr>
          <w:sz w:val="36"/>
          <w:szCs w:val="36"/>
          <w:rtl/>
        </w:rPr>
        <w:t xml:space="preserve">، </w:t>
      </w:r>
      <w:r w:rsidR="00052BF2" w:rsidRPr="00FD211F">
        <w:rPr>
          <w:sz w:val="36"/>
          <w:szCs w:val="36"/>
          <w:rtl/>
        </w:rPr>
        <w:t>ويؤخذ القيود التخييري</w:t>
      </w:r>
      <w:r w:rsidR="00EC7EDF" w:rsidRPr="00FD211F">
        <w:rPr>
          <w:sz w:val="36"/>
          <w:szCs w:val="36"/>
          <w:rtl/>
        </w:rPr>
        <w:t xml:space="preserve">ة </w:t>
      </w:r>
      <w:r w:rsidR="00052BF2" w:rsidRPr="00FD211F">
        <w:rPr>
          <w:sz w:val="36"/>
          <w:szCs w:val="36"/>
          <w:rtl/>
        </w:rPr>
        <w:t>-كقراء</w:t>
      </w:r>
      <w:r w:rsidR="00EC7EDF" w:rsidRPr="00FD211F">
        <w:rPr>
          <w:sz w:val="36"/>
          <w:szCs w:val="36"/>
          <w:rtl/>
        </w:rPr>
        <w:t xml:space="preserve">ة </w:t>
      </w:r>
      <w:r w:rsidR="00052BF2" w:rsidRPr="00FD211F">
        <w:rPr>
          <w:sz w:val="36"/>
          <w:szCs w:val="36"/>
          <w:rtl/>
        </w:rPr>
        <w:t>سور</w:t>
      </w:r>
      <w:r w:rsidR="00EC7EDF" w:rsidRPr="00FD211F">
        <w:rPr>
          <w:sz w:val="36"/>
          <w:szCs w:val="36"/>
          <w:rtl/>
        </w:rPr>
        <w:t xml:space="preserve">ة </w:t>
      </w:r>
      <w:r w:rsidR="00052BF2" w:rsidRPr="00FD211F">
        <w:rPr>
          <w:sz w:val="36"/>
          <w:szCs w:val="36"/>
          <w:rtl/>
        </w:rPr>
        <w:t xml:space="preserve">الحمد </w:t>
      </w:r>
      <w:r w:rsidR="00D309BA" w:rsidRPr="00FD211F">
        <w:rPr>
          <w:sz w:val="36"/>
          <w:szCs w:val="36"/>
          <w:rtl/>
        </w:rPr>
        <w:t>ا</w:t>
      </w:r>
      <w:r w:rsidR="00052BF2" w:rsidRPr="00FD211F">
        <w:rPr>
          <w:sz w:val="36"/>
          <w:szCs w:val="36"/>
          <w:rtl/>
        </w:rPr>
        <w:t>والتسبيحات الأربع</w:t>
      </w:r>
      <w:r w:rsidR="00EC7EDF" w:rsidRPr="00FD211F">
        <w:rPr>
          <w:sz w:val="36"/>
          <w:szCs w:val="36"/>
          <w:rtl/>
        </w:rPr>
        <w:t xml:space="preserve">ة </w:t>
      </w:r>
      <w:r w:rsidR="00052BF2" w:rsidRPr="00FD211F">
        <w:rPr>
          <w:sz w:val="36"/>
          <w:szCs w:val="36"/>
          <w:rtl/>
        </w:rPr>
        <w:t>في الركعتين الأخيرتين- على نحو التخيير</w:t>
      </w:r>
      <w:r w:rsidR="00603323" w:rsidRPr="00FD211F">
        <w:rPr>
          <w:sz w:val="36"/>
          <w:szCs w:val="36"/>
          <w:rtl/>
        </w:rPr>
        <w:t xml:space="preserve">، </w:t>
      </w:r>
      <w:r w:rsidR="00052BF2" w:rsidRPr="00FD211F">
        <w:rPr>
          <w:sz w:val="36"/>
          <w:szCs w:val="36"/>
          <w:rtl/>
        </w:rPr>
        <w:t>فيكون مسمى الصلا</w:t>
      </w:r>
      <w:r w:rsidR="00EC7EDF" w:rsidRPr="00FD211F">
        <w:rPr>
          <w:sz w:val="36"/>
          <w:szCs w:val="36"/>
          <w:rtl/>
        </w:rPr>
        <w:t xml:space="preserve">ة </w:t>
      </w:r>
      <w:r w:rsidR="00052BF2" w:rsidRPr="00FD211F">
        <w:rPr>
          <w:sz w:val="36"/>
          <w:szCs w:val="36"/>
          <w:rtl/>
        </w:rPr>
        <w:t>هو المركب المشتمل في الركعتين الأخيرتين على قراء</w:t>
      </w:r>
      <w:r w:rsidR="00EC7EDF" w:rsidRPr="00FD211F">
        <w:rPr>
          <w:sz w:val="36"/>
          <w:szCs w:val="36"/>
          <w:rtl/>
        </w:rPr>
        <w:t xml:space="preserve">ة </w:t>
      </w:r>
      <w:r w:rsidR="00052BF2" w:rsidRPr="00FD211F">
        <w:rPr>
          <w:sz w:val="36"/>
          <w:szCs w:val="36"/>
          <w:rtl/>
        </w:rPr>
        <w:t>الحمد او التسبيحات الأربع</w:t>
      </w:r>
      <w:r w:rsidR="00EC7EDF" w:rsidRPr="00FD211F">
        <w:rPr>
          <w:sz w:val="36"/>
          <w:szCs w:val="36"/>
          <w:rtl/>
        </w:rPr>
        <w:t>ة</w:t>
      </w:r>
      <w:r w:rsidR="00603323" w:rsidRPr="00FD211F">
        <w:rPr>
          <w:sz w:val="36"/>
          <w:szCs w:val="36"/>
          <w:rtl/>
        </w:rPr>
        <w:t xml:space="preserve">، </w:t>
      </w:r>
      <w:r w:rsidR="00052BF2" w:rsidRPr="00FD211F">
        <w:rPr>
          <w:sz w:val="36"/>
          <w:szCs w:val="36"/>
          <w:rtl/>
        </w:rPr>
        <w:t>وفي مثل القصر والتمام يكون المأخوذ في المركب هو القصر في السفر او التمام في الحضر</w:t>
      </w:r>
      <w:r w:rsidR="00603323" w:rsidRPr="00FD211F">
        <w:rPr>
          <w:sz w:val="36"/>
          <w:szCs w:val="36"/>
          <w:rtl/>
        </w:rPr>
        <w:t xml:space="preserve">، </w:t>
      </w:r>
      <w:r w:rsidR="00052BF2" w:rsidRPr="00FD211F">
        <w:rPr>
          <w:sz w:val="36"/>
          <w:szCs w:val="36"/>
          <w:rtl/>
        </w:rPr>
        <w:t>وكذا من ناحي</w:t>
      </w:r>
      <w:r w:rsidR="00EC7EDF" w:rsidRPr="00FD211F">
        <w:rPr>
          <w:sz w:val="36"/>
          <w:szCs w:val="36"/>
          <w:rtl/>
        </w:rPr>
        <w:t xml:space="preserve">ة </w:t>
      </w:r>
      <w:r w:rsidR="00052BF2" w:rsidRPr="00FD211F">
        <w:rPr>
          <w:sz w:val="36"/>
          <w:szCs w:val="36"/>
          <w:rtl/>
        </w:rPr>
        <w:t>اختلاف الصلوات</w:t>
      </w:r>
      <w:r w:rsidR="00603323" w:rsidRPr="00FD211F">
        <w:rPr>
          <w:sz w:val="36"/>
          <w:szCs w:val="36"/>
          <w:rtl/>
        </w:rPr>
        <w:t xml:space="preserve">، </w:t>
      </w:r>
      <w:r w:rsidR="00052BF2" w:rsidRPr="00FD211F">
        <w:rPr>
          <w:sz w:val="36"/>
          <w:szCs w:val="36"/>
          <w:rtl/>
        </w:rPr>
        <w:t>النوافل والفرائض</w:t>
      </w:r>
      <w:r w:rsidR="00603323" w:rsidRPr="00FD211F">
        <w:rPr>
          <w:sz w:val="36"/>
          <w:szCs w:val="36"/>
          <w:rtl/>
        </w:rPr>
        <w:t xml:space="preserve">، </w:t>
      </w:r>
      <w:r w:rsidR="00052BF2" w:rsidRPr="00FD211F">
        <w:rPr>
          <w:sz w:val="36"/>
          <w:szCs w:val="36"/>
          <w:rtl/>
        </w:rPr>
        <w:t>اليومي</w:t>
      </w:r>
      <w:r w:rsidR="00EC7EDF" w:rsidRPr="00FD211F">
        <w:rPr>
          <w:sz w:val="36"/>
          <w:szCs w:val="36"/>
          <w:rtl/>
        </w:rPr>
        <w:t xml:space="preserve">ة </w:t>
      </w:r>
      <w:r w:rsidR="00052BF2" w:rsidRPr="00FD211F">
        <w:rPr>
          <w:sz w:val="36"/>
          <w:szCs w:val="36"/>
          <w:rtl/>
        </w:rPr>
        <w:t>والآيات والعيدين</w:t>
      </w:r>
      <w:r w:rsidR="00603323" w:rsidRPr="00FD211F">
        <w:rPr>
          <w:sz w:val="36"/>
          <w:szCs w:val="36"/>
          <w:rtl/>
        </w:rPr>
        <w:t xml:space="preserve">، </w:t>
      </w:r>
      <w:r w:rsidR="00052BF2" w:rsidRPr="00FD211F">
        <w:rPr>
          <w:sz w:val="36"/>
          <w:szCs w:val="36"/>
          <w:rtl/>
        </w:rPr>
        <w:t>وكذا الأدائي</w:t>
      </w:r>
      <w:r w:rsidR="00EC7EDF" w:rsidRPr="00FD211F">
        <w:rPr>
          <w:sz w:val="36"/>
          <w:szCs w:val="36"/>
          <w:rtl/>
        </w:rPr>
        <w:t xml:space="preserve">ة </w:t>
      </w:r>
      <w:r w:rsidR="00052BF2" w:rsidRPr="00FD211F">
        <w:rPr>
          <w:sz w:val="36"/>
          <w:szCs w:val="36"/>
          <w:rtl/>
        </w:rPr>
        <w:t>والقضائي</w:t>
      </w:r>
      <w:r w:rsidR="00EC7EDF" w:rsidRPr="00FD211F">
        <w:rPr>
          <w:sz w:val="36"/>
          <w:szCs w:val="36"/>
          <w:rtl/>
        </w:rPr>
        <w:t>ة</w:t>
      </w:r>
      <w:r w:rsidR="00603323" w:rsidRPr="00FD211F">
        <w:rPr>
          <w:sz w:val="36"/>
          <w:szCs w:val="36"/>
          <w:rtl/>
        </w:rPr>
        <w:t xml:space="preserve">، </w:t>
      </w:r>
      <w:r w:rsidR="00052BF2" w:rsidRPr="00FD211F">
        <w:rPr>
          <w:sz w:val="36"/>
          <w:szCs w:val="36"/>
          <w:rtl/>
        </w:rPr>
        <w:t>فيؤخذ الجامع عن طريق أخذ خصوصي</w:t>
      </w:r>
      <w:r w:rsidR="00EC7EDF" w:rsidRPr="00FD211F">
        <w:rPr>
          <w:sz w:val="36"/>
          <w:szCs w:val="36"/>
          <w:rtl/>
        </w:rPr>
        <w:t xml:space="preserve">ة </w:t>
      </w:r>
      <w:r w:rsidR="00052BF2" w:rsidRPr="00FD211F">
        <w:rPr>
          <w:sz w:val="36"/>
          <w:szCs w:val="36"/>
          <w:rtl/>
        </w:rPr>
        <w:t>كل من هذه الصلوات على وجه التخيير</w:t>
      </w:r>
      <w:r w:rsidR="00603323" w:rsidRPr="00FD211F">
        <w:rPr>
          <w:sz w:val="36"/>
          <w:szCs w:val="36"/>
          <w:rtl/>
        </w:rPr>
        <w:t xml:space="preserve">، </w:t>
      </w:r>
      <w:r w:rsidR="00052BF2" w:rsidRPr="00FD211F">
        <w:rPr>
          <w:sz w:val="36"/>
          <w:szCs w:val="36"/>
          <w:rtl/>
        </w:rPr>
        <w:t>وفي مثل الوضوء والتيمم او القيام والجلوس وغير ذلك مما يكون للصحيح بدل طولي تصل النوب</w:t>
      </w:r>
      <w:r w:rsidR="00EC7EDF" w:rsidRPr="00FD211F">
        <w:rPr>
          <w:sz w:val="36"/>
          <w:szCs w:val="36"/>
          <w:rtl/>
        </w:rPr>
        <w:t xml:space="preserve">ة </w:t>
      </w:r>
      <w:r w:rsidR="00052BF2" w:rsidRPr="00FD211F">
        <w:rPr>
          <w:sz w:val="36"/>
          <w:szCs w:val="36"/>
          <w:rtl/>
        </w:rPr>
        <w:t>اليه في حال الاضطرار</w:t>
      </w:r>
      <w:r w:rsidR="00603323" w:rsidRPr="00FD211F">
        <w:rPr>
          <w:sz w:val="36"/>
          <w:szCs w:val="36"/>
          <w:rtl/>
        </w:rPr>
        <w:t xml:space="preserve">، </w:t>
      </w:r>
      <w:r w:rsidR="00052BF2" w:rsidRPr="00FD211F">
        <w:rPr>
          <w:sz w:val="36"/>
          <w:szCs w:val="36"/>
          <w:rtl/>
        </w:rPr>
        <w:t>فيؤخذ في المركب المبدل حال الاختيار او البدل حال الاضطرار</w:t>
      </w:r>
      <w:r w:rsidR="00603323" w:rsidRPr="00FD211F">
        <w:rPr>
          <w:sz w:val="36"/>
          <w:szCs w:val="36"/>
          <w:rtl/>
        </w:rPr>
        <w:t xml:space="preserve">، </w:t>
      </w:r>
      <w:r w:rsidR="00052BF2" w:rsidRPr="00FD211F">
        <w:rPr>
          <w:sz w:val="36"/>
          <w:szCs w:val="36"/>
          <w:rtl/>
        </w:rPr>
        <w:t>فيكون المسمى للفظ الصلا</w:t>
      </w:r>
      <w:r w:rsidR="00EC7EDF" w:rsidRPr="00FD211F">
        <w:rPr>
          <w:sz w:val="36"/>
          <w:szCs w:val="36"/>
          <w:rtl/>
        </w:rPr>
        <w:t xml:space="preserve">ة </w:t>
      </w:r>
      <w:r w:rsidR="00052BF2" w:rsidRPr="00FD211F">
        <w:rPr>
          <w:sz w:val="36"/>
          <w:szCs w:val="36"/>
          <w:rtl/>
        </w:rPr>
        <w:t>مثلا هو العمل المقيد بالوضوء حال الاختيار او التيمم حال الاضطرار.</w:t>
      </w:r>
    </w:p>
    <w:p w14:paraId="010822BC" w14:textId="77777777" w:rsidR="00052BF2" w:rsidRPr="00FD211F" w:rsidRDefault="00052BF2" w:rsidP="009C58C8">
      <w:pPr>
        <w:ind w:left="0" w:firstLine="227"/>
        <w:jc w:val="both"/>
        <w:rPr>
          <w:sz w:val="36"/>
          <w:szCs w:val="36"/>
          <w:rtl/>
        </w:rPr>
      </w:pPr>
      <w:r w:rsidRPr="00FD211F">
        <w:rPr>
          <w:sz w:val="36"/>
          <w:szCs w:val="36"/>
          <w:rtl/>
        </w:rPr>
        <w:t>ان قلت: ان اريد من التيمم حال الاضطرار هو التيمم حال مطلق الاضطرار ولو كان بسوء الاختيار بان كان عنده ماء منحصر فأتلفه في أثناء الوقت</w:t>
      </w:r>
      <w:r w:rsidR="00603323" w:rsidRPr="00FD211F">
        <w:rPr>
          <w:sz w:val="36"/>
          <w:szCs w:val="36"/>
          <w:rtl/>
        </w:rPr>
        <w:t xml:space="preserve">، </w:t>
      </w:r>
      <w:r w:rsidRPr="00FD211F">
        <w:rPr>
          <w:sz w:val="36"/>
          <w:szCs w:val="36"/>
          <w:rtl/>
        </w:rPr>
        <w:t>فلازم الأمر بالجامع بين الوضوء حال الاختيار او التيمم حال الاضطرار هو جواز تفويته الماء أثناء الوقت والتيمم بعده</w:t>
      </w:r>
      <w:r w:rsidR="00603323" w:rsidRPr="00FD211F">
        <w:rPr>
          <w:sz w:val="36"/>
          <w:szCs w:val="36"/>
          <w:rtl/>
        </w:rPr>
        <w:t xml:space="preserve">، </w:t>
      </w:r>
      <w:r w:rsidRPr="00FD211F">
        <w:rPr>
          <w:sz w:val="36"/>
          <w:szCs w:val="36"/>
          <w:rtl/>
        </w:rPr>
        <w:t>وان اريد خصوص التيمم حال الاضطرار لابسوء الاختيار لزم بطلان الصلا</w:t>
      </w:r>
      <w:r w:rsidR="00EC7EDF" w:rsidRPr="00FD211F">
        <w:rPr>
          <w:sz w:val="36"/>
          <w:szCs w:val="36"/>
          <w:rtl/>
        </w:rPr>
        <w:t xml:space="preserve">ة </w:t>
      </w:r>
      <w:r w:rsidRPr="00FD211F">
        <w:rPr>
          <w:sz w:val="36"/>
          <w:szCs w:val="36"/>
          <w:rtl/>
        </w:rPr>
        <w:t>مع التيمم في حال الاضطرار بسوء الاختيار مع التزام الفقهاء بصحته وان كان آثما بتركه للصلا</w:t>
      </w:r>
      <w:r w:rsidR="00EC7EDF" w:rsidRPr="00FD211F">
        <w:rPr>
          <w:sz w:val="36"/>
          <w:szCs w:val="36"/>
          <w:rtl/>
        </w:rPr>
        <w:t xml:space="preserve">ة </w:t>
      </w:r>
      <w:r w:rsidRPr="00FD211F">
        <w:rPr>
          <w:sz w:val="36"/>
          <w:szCs w:val="36"/>
          <w:rtl/>
        </w:rPr>
        <w:t>مع الوضوء في أول الوقت.</w:t>
      </w:r>
    </w:p>
    <w:p w14:paraId="302927A4" w14:textId="77777777" w:rsidR="00052BF2" w:rsidRPr="00FD211F" w:rsidRDefault="00052BF2" w:rsidP="009C58C8">
      <w:pPr>
        <w:ind w:left="0" w:firstLine="227"/>
        <w:jc w:val="both"/>
        <w:rPr>
          <w:sz w:val="36"/>
          <w:szCs w:val="36"/>
          <w:rtl/>
        </w:rPr>
      </w:pPr>
      <w:r w:rsidRPr="00FD211F">
        <w:rPr>
          <w:sz w:val="36"/>
          <w:szCs w:val="36"/>
          <w:rtl/>
        </w:rPr>
        <w:t>قلت: هذا ليس موجبا للإشكال في مقام التسمي</w:t>
      </w:r>
      <w:r w:rsidR="00EC7EDF" w:rsidRPr="00FD211F">
        <w:rPr>
          <w:sz w:val="36"/>
          <w:szCs w:val="36"/>
          <w:rtl/>
        </w:rPr>
        <w:t xml:space="preserve">ة </w:t>
      </w:r>
      <w:r w:rsidRPr="00FD211F">
        <w:rPr>
          <w:sz w:val="36"/>
          <w:szCs w:val="36"/>
          <w:rtl/>
        </w:rPr>
        <w:t>وانما يوجب الاشكال بلحاظ مقام الأمر</w:t>
      </w:r>
      <w:r w:rsidR="00603323" w:rsidRPr="00FD211F">
        <w:rPr>
          <w:sz w:val="36"/>
          <w:szCs w:val="36"/>
          <w:rtl/>
        </w:rPr>
        <w:t xml:space="preserve">، </w:t>
      </w:r>
      <w:r w:rsidRPr="00FD211F">
        <w:rPr>
          <w:sz w:val="36"/>
          <w:szCs w:val="36"/>
          <w:rtl/>
        </w:rPr>
        <w:t>وحلُّه بأحد طريقين:</w:t>
      </w:r>
    </w:p>
    <w:p w14:paraId="35E291E7" w14:textId="77777777" w:rsidR="00052BF2" w:rsidRPr="00FD211F" w:rsidRDefault="00052BF2" w:rsidP="009C58C8">
      <w:pPr>
        <w:ind w:left="0" w:firstLine="227"/>
        <w:jc w:val="both"/>
        <w:rPr>
          <w:sz w:val="36"/>
          <w:szCs w:val="36"/>
          <w:rtl/>
        </w:rPr>
      </w:pPr>
      <w:r w:rsidRPr="00FD211F">
        <w:rPr>
          <w:sz w:val="36"/>
          <w:szCs w:val="36"/>
          <w:rtl/>
        </w:rPr>
        <w:t>1- الالتزام بتعدد الأمر بان يكون هناك أمر بالجامع بين الصلا</w:t>
      </w:r>
      <w:r w:rsidR="00EC7EDF" w:rsidRPr="00FD211F">
        <w:rPr>
          <w:sz w:val="36"/>
          <w:szCs w:val="36"/>
          <w:rtl/>
        </w:rPr>
        <w:t xml:space="preserve">ة </w:t>
      </w:r>
      <w:r w:rsidRPr="00FD211F">
        <w:rPr>
          <w:sz w:val="36"/>
          <w:szCs w:val="36"/>
          <w:rtl/>
        </w:rPr>
        <w:t>مع الوضوء حال الاختيار او الصلا</w:t>
      </w:r>
      <w:r w:rsidR="00EC7EDF" w:rsidRPr="00FD211F">
        <w:rPr>
          <w:sz w:val="36"/>
          <w:szCs w:val="36"/>
          <w:rtl/>
        </w:rPr>
        <w:t xml:space="preserve">ة </w:t>
      </w:r>
      <w:r w:rsidRPr="00FD211F">
        <w:rPr>
          <w:sz w:val="36"/>
          <w:szCs w:val="36"/>
          <w:rtl/>
        </w:rPr>
        <w:t>مع التيمم حال الاضطرار ولو كان الاضطرار بسوء الاختيار</w:t>
      </w:r>
      <w:r w:rsidR="00603323" w:rsidRPr="00FD211F">
        <w:rPr>
          <w:sz w:val="36"/>
          <w:szCs w:val="36"/>
          <w:rtl/>
        </w:rPr>
        <w:t xml:space="preserve">، </w:t>
      </w:r>
      <w:r w:rsidRPr="00FD211F">
        <w:rPr>
          <w:sz w:val="36"/>
          <w:szCs w:val="36"/>
          <w:rtl/>
        </w:rPr>
        <w:t>وأمر آخر بخصوص الصلا</w:t>
      </w:r>
      <w:r w:rsidR="00EC7EDF" w:rsidRPr="00FD211F">
        <w:rPr>
          <w:sz w:val="36"/>
          <w:szCs w:val="36"/>
          <w:rtl/>
        </w:rPr>
        <w:t xml:space="preserve">ة </w:t>
      </w:r>
      <w:r w:rsidRPr="00FD211F">
        <w:rPr>
          <w:sz w:val="36"/>
          <w:szCs w:val="36"/>
          <w:rtl/>
        </w:rPr>
        <w:t>مع الوضوء في حال الاختيار في حق من كان متمكنا من صرف وجود ذلك في داخل الوقت.</w:t>
      </w:r>
    </w:p>
    <w:p w14:paraId="5004094C" w14:textId="77777777" w:rsidR="00052BF2" w:rsidRPr="00FD211F" w:rsidRDefault="00052BF2" w:rsidP="009C58C8">
      <w:pPr>
        <w:ind w:left="0" w:firstLine="227"/>
        <w:jc w:val="both"/>
        <w:rPr>
          <w:sz w:val="36"/>
          <w:szCs w:val="36"/>
          <w:rtl/>
        </w:rPr>
      </w:pPr>
      <w:r w:rsidRPr="00FD211F">
        <w:rPr>
          <w:sz w:val="36"/>
          <w:szCs w:val="36"/>
          <w:rtl/>
        </w:rPr>
        <w:t>2- الالتزام بثبوت الأمر في اول الوقت بالصلا</w:t>
      </w:r>
      <w:r w:rsidR="00EC7EDF" w:rsidRPr="00FD211F">
        <w:rPr>
          <w:sz w:val="36"/>
          <w:szCs w:val="36"/>
          <w:rtl/>
        </w:rPr>
        <w:t xml:space="preserve">ة </w:t>
      </w:r>
      <w:r w:rsidRPr="00FD211F">
        <w:rPr>
          <w:sz w:val="36"/>
          <w:szCs w:val="36"/>
          <w:rtl/>
        </w:rPr>
        <w:t>مع الوضوء</w:t>
      </w:r>
      <w:r w:rsidR="00603323" w:rsidRPr="00FD211F">
        <w:rPr>
          <w:sz w:val="36"/>
          <w:szCs w:val="36"/>
          <w:rtl/>
        </w:rPr>
        <w:t xml:space="preserve">، </w:t>
      </w:r>
      <w:r w:rsidRPr="00FD211F">
        <w:rPr>
          <w:sz w:val="36"/>
          <w:szCs w:val="36"/>
          <w:rtl/>
        </w:rPr>
        <w:t>فاذا أتلف الماء سقط هذا الأمر بعصيانه ويحدث أمر جديد بالصلا</w:t>
      </w:r>
      <w:r w:rsidR="00EC7EDF" w:rsidRPr="00FD211F">
        <w:rPr>
          <w:sz w:val="36"/>
          <w:szCs w:val="36"/>
          <w:rtl/>
        </w:rPr>
        <w:t xml:space="preserve">ة </w:t>
      </w:r>
      <w:r w:rsidRPr="00FD211F">
        <w:rPr>
          <w:sz w:val="36"/>
          <w:szCs w:val="36"/>
          <w:rtl/>
        </w:rPr>
        <w:t>مع التيمم</w:t>
      </w:r>
      <w:r w:rsidR="00603323" w:rsidRPr="00FD211F">
        <w:rPr>
          <w:sz w:val="36"/>
          <w:szCs w:val="36"/>
          <w:rtl/>
        </w:rPr>
        <w:t xml:space="preserve">، </w:t>
      </w:r>
      <w:r w:rsidRPr="00FD211F">
        <w:rPr>
          <w:sz w:val="36"/>
          <w:szCs w:val="36"/>
          <w:rtl/>
        </w:rPr>
        <w:t>وهذا لاينافي كون مسمى الصلا</w:t>
      </w:r>
      <w:r w:rsidR="00EC7EDF" w:rsidRPr="00FD211F">
        <w:rPr>
          <w:sz w:val="36"/>
          <w:szCs w:val="36"/>
          <w:rtl/>
        </w:rPr>
        <w:t xml:space="preserve">ة </w:t>
      </w:r>
      <w:r w:rsidRPr="00FD211F">
        <w:rPr>
          <w:sz w:val="36"/>
          <w:szCs w:val="36"/>
          <w:rtl/>
        </w:rPr>
        <w:t>هو الجامع</w:t>
      </w:r>
      <w:r w:rsidR="00603323" w:rsidRPr="00FD211F">
        <w:rPr>
          <w:sz w:val="36"/>
          <w:szCs w:val="36"/>
          <w:rtl/>
        </w:rPr>
        <w:t xml:space="preserve">، </w:t>
      </w:r>
      <w:r w:rsidRPr="00FD211F">
        <w:rPr>
          <w:sz w:val="36"/>
          <w:szCs w:val="36"/>
          <w:rtl/>
        </w:rPr>
        <w:t>حيث يستفاد خصوصي</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مع الوضوء من الأمر الأول والصلا</w:t>
      </w:r>
      <w:r w:rsidR="00EC7EDF" w:rsidRPr="00FD211F">
        <w:rPr>
          <w:sz w:val="36"/>
          <w:szCs w:val="36"/>
          <w:rtl/>
        </w:rPr>
        <w:t xml:space="preserve">ة </w:t>
      </w:r>
      <w:r w:rsidRPr="00FD211F">
        <w:rPr>
          <w:sz w:val="36"/>
          <w:szCs w:val="36"/>
          <w:rtl/>
        </w:rPr>
        <w:t>مع التيمم من الأمر الثاني بواسط</w:t>
      </w:r>
      <w:r w:rsidR="00EC7EDF" w:rsidRPr="00FD211F">
        <w:rPr>
          <w:sz w:val="36"/>
          <w:szCs w:val="36"/>
          <w:rtl/>
        </w:rPr>
        <w:t xml:space="preserve">ة </w:t>
      </w:r>
      <w:r w:rsidRPr="00FD211F">
        <w:rPr>
          <w:sz w:val="36"/>
          <w:szCs w:val="36"/>
          <w:rtl/>
        </w:rPr>
        <w:t>القرين</w:t>
      </w:r>
      <w:r w:rsidR="00EC7EDF" w:rsidRPr="00FD211F">
        <w:rPr>
          <w:sz w:val="36"/>
          <w:szCs w:val="36"/>
          <w:rtl/>
        </w:rPr>
        <w:t xml:space="preserve">ة </w:t>
      </w:r>
      <w:r w:rsidRPr="00FD211F">
        <w:rPr>
          <w:sz w:val="36"/>
          <w:szCs w:val="36"/>
          <w:rtl/>
        </w:rPr>
        <w:t>على نحو تعدد الدال والمدلول.</w:t>
      </w:r>
    </w:p>
    <w:p w14:paraId="45E57795" w14:textId="77777777" w:rsidR="00052BF2" w:rsidRPr="00FD211F" w:rsidRDefault="00052BF2" w:rsidP="009C58C8">
      <w:pPr>
        <w:ind w:left="0" w:firstLine="227"/>
        <w:jc w:val="both"/>
        <w:rPr>
          <w:sz w:val="36"/>
          <w:szCs w:val="36"/>
          <w:rtl/>
        </w:rPr>
      </w:pPr>
      <w:r w:rsidRPr="00FD211F">
        <w:rPr>
          <w:sz w:val="36"/>
          <w:szCs w:val="36"/>
          <w:rtl/>
        </w:rPr>
        <w:t>هذا ولكن يشكل تصوير الجامع المركب الأوي بين تقيد الصلا</w:t>
      </w:r>
      <w:r w:rsidR="00EC7EDF" w:rsidRPr="00FD211F">
        <w:rPr>
          <w:sz w:val="36"/>
          <w:szCs w:val="36"/>
          <w:rtl/>
        </w:rPr>
        <w:t xml:space="preserve">ة </w:t>
      </w:r>
      <w:r w:rsidRPr="00FD211F">
        <w:rPr>
          <w:sz w:val="36"/>
          <w:szCs w:val="36"/>
          <w:rtl/>
        </w:rPr>
        <w:t>ب</w:t>
      </w:r>
      <w:r w:rsidR="008D7B3D" w:rsidRPr="00FD211F">
        <w:rPr>
          <w:sz w:val="36"/>
          <w:szCs w:val="36"/>
          <w:rtl/>
        </w:rPr>
        <w:t xml:space="preserve">شيء </w:t>
      </w:r>
      <w:r w:rsidRPr="00FD211F">
        <w:rPr>
          <w:sz w:val="36"/>
          <w:szCs w:val="36"/>
          <w:rtl/>
        </w:rPr>
        <w:t>كالبسمل</w:t>
      </w:r>
      <w:r w:rsidR="00EC7EDF" w:rsidRPr="00FD211F">
        <w:rPr>
          <w:sz w:val="36"/>
          <w:szCs w:val="36"/>
          <w:rtl/>
        </w:rPr>
        <w:t xml:space="preserve">ة </w:t>
      </w:r>
      <w:r w:rsidRPr="00FD211F">
        <w:rPr>
          <w:sz w:val="36"/>
          <w:szCs w:val="36"/>
          <w:rtl/>
        </w:rPr>
        <w:t>في حال الاختيار والالتفات وعدم تقيدها به في حال الاضطرار من تقي</w:t>
      </w:r>
      <w:r w:rsidR="00EC7EDF" w:rsidRPr="00FD211F">
        <w:rPr>
          <w:sz w:val="36"/>
          <w:szCs w:val="36"/>
          <w:rtl/>
        </w:rPr>
        <w:t xml:space="preserve">ة </w:t>
      </w:r>
      <w:r w:rsidRPr="00FD211F">
        <w:rPr>
          <w:sz w:val="36"/>
          <w:szCs w:val="36"/>
          <w:rtl/>
        </w:rPr>
        <w:t>ونحوها او النسيان.</w:t>
      </w:r>
    </w:p>
    <w:p w14:paraId="0F297A34" w14:textId="77777777" w:rsidR="00052BF2" w:rsidRPr="00FD211F" w:rsidRDefault="00052BF2" w:rsidP="009C58C8">
      <w:pPr>
        <w:ind w:left="0" w:firstLine="227"/>
        <w:jc w:val="both"/>
        <w:rPr>
          <w:sz w:val="36"/>
          <w:szCs w:val="36"/>
          <w:rtl/>
        </w:rPr>
      </w:pPr>
      <w:r w:rsidRPr="00FD211F">
        <w:rPr>
          <w:sz w:val="36"/>
          <w:szCs w:val="36"/>
          <w:rtl/>
        </w:rPr>
        <w:t>وقد ذكر في البحوث في حل هذا الاشكال وجهين:</w:t>
      </w:r>
    </w:p>
    <w:p w14:paraId="4541E605" w14:textId="77777777" w:rsidR="00052BF2" w:rsidRPr="00FD211F" w:rsidRDefault="00D309BA" w:rsidP="009C58C8">
      <w:pPr>
        <w:ind w:left="0" w:firstLine="227"/>
        <w:jc w:val="both"/>
        <w:rPr>
          <w:sz w:val="36"/>
          <w:szCs w:val="36"/>
          <w:rtl/>
        </w:rPr>
      </w:pPr>
      <w:r w:rsidRPr="00FD211F">
        <w:rPr>
          <w:b/>
          <w:bCs/>
          <w:sz w:val="36"/>
          <w:szCs w:val="36"/>
          <w:rtl/>
        </w:rPr>
        <w:t>الوجه الاول</w:t>
      </w:r>
      <w:r w:rsidR="00EC7EDF" w:rsidRPr="00FD211F">
        <w:rPr>
          <w:sz w:val="36"/>
          <w:szCs w:val="36"/>
          <w:rtl/>
        </w:rPr>
        <w:t>:</w:t>
      </w:r>
      <w:r w:rsidR="00052BF2" w:rsidRPr="00FD211F">
        <w:rPr>
          <w:sz w:val="36"/>
          <w:szCs w:val="36"/>
          <w:rtl/>
        </w:rPr>
        <w:t xml:space="preserve"> ان يلتزم بان المسمى للصلا</w:t>
      </w:r>
      <w:r w:rsidR="00EC7EDF" w:rsidRPr="00FD211F">
        <w:rPr>
          <w:sz w:val="36"/>
          <w:szCs w:val="36"/>
          <w:rtl/>
        </w:rPr>
        <w:t xml:space="preserve">ة </w:t>
      </w:r>
      <w:r w:rsidR="00052BF2" w:rsidRPr="00FD211F">
        <w:rPr>
          <w:sz w:val="36"/>
          <w:szCs w:val="36"/>
          <w:rtl/>
        </w:rPr>
        <w:t>مثلا هو سائر أجزاء الصلا</w:t>
      </w:r>
      <w:r w:rsidR="00EC7EDF" w:rsidRPr="00FD211F">
        <w:rPr>
          <w:sz w:val="36"/>
          <w:szCs w:val="36"/>
          <w:rtl/>
        </w:rPr>
        <w:t xml:space="preserve">ة </w:t>
      </w:r>
      <w:r w:rsidR="00052BF2" w:rsidRPr="00FD211F">
        <w:rPr>
          <w:sz w:val="36"/>
          <w:szCs w:val="36"/>
          <w:rtl/>
        </w:rPr>
        <w:t>مع تقيدها بعدم ترك البسمل</w:t>
      </w:r>
      <w:r w:rsidR="00EC7EDF" w:rsidRPr="00FD211F">
        <w:rPr>
          <w:sz w:val="36"/>
          <w:szCs w:val="36"/>
          <w:rtl/>
        </w:rPr>
        <w:t xml:space="preserve">ة </w:t>
      </w:r>
      <w:r w:rsidR="00052BF2" w:rsidRPr="00FD211F">
        <w:rPr>
          <w:sz w:val="36"/>
          <w:szCs w:val="36"/>
          <w:rtl/>
        </w:rPr>
        <w:t>في حال الاختيار والالتفات</w:t>
      </w:r>
      <w:r w:rsidR="00603323" w:rsidRPr="00FD211F">
        <w:rPr>
          <w:sz w:val="36"/>
          <w:szCs w:val="36"/>
          <w:rtl/>
        </w:rPr>
        <w:t xml:space="preserve">، </w:t>
      </w:r>
      <w:r w:rsidR="00052BF2" w:rsidRPr="00FD211F">
        <w:rPr>
          <w:sz w:val="36"/>
          <w:szCs w:val="36"/>
          <w:rtl/>
        </w:rPr>
        <w:t>وهذا وان اوجب خروج نفس البسمل</w:t>
      </w:r>
      <w:r w:rsidR="00EC7EDF" w:rsidRPr="00FD211F">
        <w:rPr>
          <w:sz w:val="36"/>
          <w:szCs w:val="36"/>
          <w:rtl/>
        </w:rPr>
        <w:t xml:space="preserve">ة </w:t>
      </w:r>
      <w:r w:rsidR="00052BF2" w:rsidRPr="00FD211F">
        <w:rPr>
          <w:sz w:val="36"/>
          <w:szCs w:val="36"/>
          <w:rtl/>
        </w:rPr>
        <w:t>عن مسمى الصلا</w:t>
      </w:r>
      <w:r w:rsidR="00EC7EDF" w:rsidRPr="00FD211F">
        <w:rPr>
          <w:sz w:val="36"/>
          <w:szCs w:val="36"/>
          <w:rtl/>
        </w:rPr>
        <w:t xml:space="preserve">ة </w:t>
      </w:r>
      <w:r w:rsidR="00052BF2" w:rsidRPr="00FD211F">
        <w:rPr>
          <w:sz w:val="36"/>
          <w:szCs w:val="36"/>
          <w:rtl/>
        </w:rPr>
        <w:t>ولكنه ليس بمهم</w:t>
      </w:r>
      <w:r w:rsidR="00603323" w:rsidRPr="00FD211F">
        <w:rPr>
          <w:sz w:val="36"/>
          <w:szCs w:val="36"/>
          <w:rtl/>
        </w:rPr>
        <w:t xml:space="preserve">، </w:t>
      </w:r>
      <w:r w:rsidR="00052BF2" w:rsidRPr="00FD211F">
        <w:rPr>
          <w:sz w:val="36"/>
          <w:szCs w:val="36"/>
          <w:rtl/>
        </w:rPr>
        <w:t>لعدم الارتكاز القطعي على جزئيتها للصلا</w:t>
      </w:r>
      <w:r w:rsidR="00EC7EDF" w:rsidRPr="00FD211F">
        <w:rPr>
          <w:sz w:val="36"/>
          <w:szCs w:val="36"/>
          <w:rtl/>
        </w:rPr>
        <w:t>ة</w:t>
      </w:r>
      <w:r w:rsidR="00603323" w:rsidRPr="00FD211F">
        <w:rPr>
          <w:sz w:val="36"/>
          <w:szCs w:val="36"/>
          <w:rtl/>
        </w:rPr>
        <w:t xml:space="preserve">، </w:t>
      </w:r>
      <w:r w:rsidR="00052BF2" w:rsidRPr="00FD211F">
        <w:rPr>
          <w:sz w:val="36"/>
          <w:szCs w:val="36"/>
          <w:rtl/>
        </w:rPr>
        <w:t>والمفروض عدم ابتلاء الأجزاء الرئيسي</w:t>
      </w:r>
      <w:r w:rsidR="00EC7EDF" w:rsidRPr="00FD211F">
        <w:rPr>
          <w:sz w:val="36"/>
          <w:szCs w:val="36"/>
          <w:rtl/>
        </w:rPr>
        <w:t xml:space="preserve">ة </w:t>
      </w:r>
      <w:r w:rsidR="00052BF2" w:rsidRPr="00FD211F">
        <w:rPr>
          <w:sz w:val="36"/>
          <w:szCs w:val="36"/>
          <w:rtl/>
        </w:rPr>
        <w:t>للصلا</w:t>
      </w:r>
      <w:r w:rsidR="00EC7EDF" w:rsidRPr="00FD211F">
        <w:rPr>
          <w:sz w:val="36"/>
          <w:szCs w:val="36"/>
          <w:rtl/>
        </w:rPr>
        <w:t xml:space="preserve">ة </w:t>
      </w:r>
      <w:r w:rsidR="00052BF2" w:rsidRPr="00FD211F">
        <w:rPr>
          <w:sz w:val="36"/>
          <w:szCs w:val="36"/>
          <w:rtl/>
        </w:rPr>
        <w:t>بهذه المشكل</w:t>
      </w:r>
      <w:r w:rsidR="00EC7EDF" w:rsidRPr="00FD211F">
        <w:rPr>
          <w:sz w:val="36"/>
          <w:szCs w:val="36"/>
          <w:rtl/>
        </w:rPr>
        <w:t>ة</w:t>
      </w:r>
      <w:r w:rsidR="00A61BAE" w:rsidRPr="00FD211F">
        <w:rPr>
          <w:sz w:val="36"/>
          <w:szCs w:val="36"/>
          <w:rtl/>
        </w:rPr>
        <w:t>.</w:t>
      </w:r>
    </w:p>
    <w:p w14:paraId="0C223273" w14:textId="77777777" w:rsidR="00052BF2" w:rsidRPr="00FD211F" w:rsidRDefault="00D309BA" w:rsidP="009C58C8">
      <w:pPr>
        <w:ind w:left="0" w:firstLine="227"/>
        <w:jc w:val="both"/>
        <w:rPr>
          <w:sz w:val="36"/>
          <w:szCs w:val="36"/>
          <w:rtl/>
        </w:rPr>
      </w:pPr>
      <w:r w:rsidRPr="00FD211F">
        <w:rPr>
          <w:sz w:val="36"/>
          <w:szCs w:val="36"/>
          <w:rtl/>
        </w:rPr>
        <w:t>ا</w:t>
      </w:r>
      <w:r w:rsidRPr="00FD211F">
        <w:rPr>
          <w:b/>
          <w:bCs/>
          <w:sz w:val="36"/>
          <w:szCs w:val="36"/>
          <w:rtl/>
        </w:rPr>
        <w:t>لوجه الثاني</w:t>
      </w:r>
      <w:r w:rsidRPr="00FD211F">
        <w:rPr>
          <w:sz w:val="36"/>
          <w:szCs w:val="36"/>
          <w:rtl/>
        </w:rPr>
        <w:t>:</w:t>
      </w:r>
      <w:r w:rsidR="00052BF2" w:rsidRPr="00FD211F">
        <w:rPr>
          <w:sz w:val="36"/>
          <w:szCs w:val="36"/>
          <w:rtl/>
        </w:rPr>
        <w:t xml:space="preserve"> ان يقال ان المأخوذ في مسمى الصلا</w:t>
      </w:r>
      <w:r w:rsidR="00EC7EDF" w:rsidRPr="00FD211F">
        <w:rPr>
          <w:sz w:val="36"/>
          <w:szCs w:val="36"/>
          <w:rtl/>
        </w:rPr>
        <w:t xml:space="preserve">ة </w:t>
      </w:r>
      <w:r w:rsidR="00052BF2" w:rsidRPr="00FD211F">
        <w:rPr>
          <w:sz w:val="36"/>
          <w:szCs w:val="36"/>
          <w:rtl/>
        </w:rPr>
        <w:t>هو الجامع بين البسمل</w:t>
      </w:r>
      <w:r w:rsidR="00EC7EDF" w:rsidRPr="00FD211F">
        <w:rPr>
          <w:sz w:val="36"/>
          <w:szCs w:val="36"/>
          <w:rtl/>
        </w:rPr>
        <w:t xml:space="preserve">ة </w:t>
      </w:r>
      <w:r w:rsidR="00052BF2" w:rsidRPr="00FD211F">
        <w:rPr>
          <w:sz w:val="36"/>
          <w:szCs w:val="36"/>
          <w:rtl/>
        </w:rPr>
        <w:t>وبين تقيد سائر أجزاء الصلا</w:t>
      </w:r>
      <w:r w:rsidR="00EC7EDF" w:rsidRPr="00FD211F">
        <w:rPr>
          <w:sz w:val="36"/>
          <w:szCs w:val="36"/>
          <w:rtl/>
        </w:rPr>
        <w:t xml:space="preserve">ة </w:t>
      </w:r>
      <w:r w:rsidR="00052BF2" w:rsidRPr="00FD211F">
        <w:rPr>
          <w:sz w:val="36"/>
          <w:szCs w:val="36"/>
          <w:rtl/>
        </w:rPr>
        <w:t>بكونها في حال الاضطرار الى ترك البسمل</w:t>
      </w:r>
      <w:r w:rsidR="00EC7EDF" w:rsidRPr="00FD211F">
        <w:rPr>
          <w:sz w:val="36"/>
          <w:szCs w:val="36"/>
          <w:rtl/>
        </w:rPr>
        <w:t xml:space="preserve">ة </w:t>
      </w:r>
      <w:r w:rsidR="00052BF2" w:rsidRPr="00FD211F">
        <w:rPr>
          <w:sz w:val="36"/>
          <w:szCs w:val="36"/>
          <w:rtl/>
        </w:rPr>
        <w:t>او نسيانها.</w:t>
      </w:r>
    </w:p>
    <w:p w14:paraId="16F61715" w14:textId="77777777" w:rsidR="00052BF2" w:rsidRPr="00FD211F" w:rsidRDefault="00D309BA" w:rsidP="009C58C8">
      <w:pPr>
        <w:ind w:left="0" w:firstLine="227"/>
        <w:jc w:val="both"/>
        <w:rPr>
          <w:sz w:val="36"/>
          <w:szCs w:val="36"/>
          <w:rtl/>
        </w:rPr>
      </w:pPr>
      <w:r w:rsidRPr="00FD211F">
        <w:rPr>
          <w:sz w:val="36"/>
          <w:szCs w:val="36"/>
          <w:rtl/>
        </w:rPr>
        <w:t>وقد يورد على هذا الوجه</w:t>
      </w:r>
      <w:r w:rsidR="00052BF2" w:rsidRPr="00FD211F">
        <w:rPr>
          <w:sz w:val="36"/>
          <w:szCs w:val="36"/>
          <w:rtl/>
        </w:rPr>
        <w:t xml:space="preserve"> بان تقيد سائر اجزاء الصلا</w:t>
      </w:r>
      <w:r w:rsidR="00EC7EDF" w:rsidRPr="00FD211F">
        <w:rPr>
          <w:sz w:val="36"/>
          <w:szCs w:val="36"/>
          <w:rtl/>
        </w:rPr>
        <w:t xml:space="preserve">ة </w:t>
      </w:r>
      <w:r w:rsidR="00052BF2" w:rsidRPr="00FD211F">
        <w:rPr>
          <w:sz w:val="36"/>
          <w:szCs w:val="36"/>
          <w:rtl/>
        </w:rPr>
        <w:t>بكونها في حال الاضطرار او النسيان غير صحيح</w:t>
      </w:r>
      <w:r w:rsidR="00603323" w:rsidRPr="00FD211F">
        <w:rPr>
          <w:sz w:val="36"/>
          <w:szCs w:val="36"/>
          <w:rtl/>
        </w:rPr>
        <w:t xml:space="preserve">، </w:t>
      </w:r>
      <w:r w:rsidR="00052BF2" w:rsidRPr="00FD211F">
        <w:rPr>
          <w:sz w:val="36"/>
          <w:szCs w:val="36"/>
          <w:rtl/>
        </w:rPr>
        <w:t>لانه يكون تكليفا بغير المقدور</w:t>
      </w:r>
      <w:r w:rsidR="00603323" w:rsidRPr="00FD211F">
        <w:rPr>
          <w:sz w:val="36"/>
          <w:szCs w:val="36"/>
          <w:rtl/>
        </w:rPr>
        <w:t xml:space="preserve">، </w:t>
      </w:r>
      <w:r w:rsidR="00052BF2" w:rsidRPr="00FD211F">
        <w:rPr>
          <w:sz w:val="36"/>
          <w:szCs w:val="36"/>
          <w:rtl/>
        </w:rPr>
        <w:t>لعدم كون قيده وهو الاضطرار او النسيان تحت اختيار المكلف</w:t>
      </w:r>
      <w:r w:rsidR="00603323" w:rsidRPr="00FD211F">
        <w:rPr>
          <w:sz w:val="36"/>
          <w:szCs w:val="36"/>
          <w:rtl/>
        </w:rPr>
        <w:t xml:space="preserve">، </w:t>
      </w:r>
      <w:r w:rsidR="00052BF2" w:rsidRPr="00FD211F">
        <w:rPr>
          <w:sz w:val="36"/>
          <w:szCs w:val="36"/>
          <w:rtl/>
        </w:rPr>
        <w:t>كما ان تقيد سائر الأجزاء بكونها في حال نسيان البسمل</w:t>
      </w:r>
      <w:r w:rsidR="00EC7EDF" w:rsidRPr="00FD211F">
        <w:rPr>
          <w:sz w:val="36"/>
          <w:szCs w:val="36"/>
          <w:rtl/>
        </w:rPr>
        <w:t xml:space="preserve">ة </w:t>
      </w:r>
      <w:r w:rsidR="00052BF2" w:rsidRPr="00FD211F">
        <w:rPr>
          <w:sz w:val="36"/>
          <w:szCs w:val="36"/>
          <w:rtl/>
        </w:rPr>
        <w:t>مبتلى باشكال آخر</w:t>
      </w:r>
      <w:r w:rsidR="00603323" w:rsidRPr="00FD211F">
        <w:rPr>
          <w:sz w:val="36"/>
          <w:szCs w:val="36"/>
          <w:rtl/>
        </w:rPr>
        <w:t xml:space="preserve">، </w:t>
      </w:r>
      <w:r w:rsidR="00052BF2" w:rsidRPr="00FD211F">
        <w:rPr>
          <w:sz w:val="36"/>
          <w:szCs w:val="36"/>
          <w:rtl/>
        </w:rPr>
        <w:t>وهو عدم امكان الانبعاث عن الأمر به</w:t>
      </w:r>
      <w:r w:rsidR="00603323" w:rsidRPr="00FD211F">
        <w:rPr>
          <w:sz w:val="36"/>
          <w:szCs w:val="36"/>
          <w:rtl/>
        </w:rPr>
        <w:t xml:space="preserve">، </w:t>
      </w:r>
      <w:r w:rsidR="00052BF2" w:rsidRPr="00FD211F">
        <w:rPr>
          <w:sz w:val="36"/>
          <w:szCs w:val="36"/>
          <w:rtl/>
        </w:rPr>
        <w:t>لعدم الالتفات الى النسيان.</w:t>
      </w:r>
    </w:p>
    <w:p w14:paraId="79E04808" w14:textId="77777777" w:rsidR="00052BF2" w:rsidRPr="00FD211F" w:rsidRDefault="00052BF2" w:rsidP="009C58C8">
      <w:pPr>
        <w:ind w:left="0" w:firstLine="227"/>
        <w:jc w:val="both"/>
        <w:rPr>
          <w:sz w:val="36"/>
          <w:szCs w:val="36"/>
          <w:rtl/>
        </w:rPr>
      </w:pPr>
      <w:r w:rsidRPr="00FD211F">
        <w:rPr>
          <w:sz w:val="36"/>
          <w:szCs w:val="36"/>
          <w:rtl/>
        </w:rPr>
        <w:t>ولكن يمكن ان يجاب عن</w:t>
      </w:r>
      <w:r w:rsidR="00F97AA5" w:rsidRPr="00FD211F">
        <w:rPr>
          <w:sz w:val="36"/>
          <w:szCs w:val="36"/>
          <w:rtl/>
        </w:rPr>
        <w:t xml:space="preserve"> هذا الايراد</w:t>
      </w:r>
      <w:r w:rsidR="00F97AA5" w:rsidRPr="00FD211F">
        <w:rPr>
          <w:b/>
          <w:bCs/>
          <w:sz w:val="36"/>
          <w:szCs w:val="36"/>
          <w:rtl/>
        </w:rPr>
        <w:t xml:space="preserve"> اولا</w:t>
      </w:r>
      <w:r w:rsidR="00F97AA5" w:rsidRPr="00FD211F">
        <w:rPr>
          <w:sz w:val="36"/>
          <w:szCs w:val="36"/>
          <w:rtl/>
        </w:rPr>
        <w:t xml:space="preserve">: ان غايته </w:t>
      </w:r>
      <w:r w:rsidRPr="00FD211F">
        <w:rPr>
          <w:sz w:val="36"/>
          <w:szCs w:val="36"/>
          <w:rtl/>
        </w:rPr>
        <w:t xml:space="preserve">تعلق </w:t>
      </w:r>
      <w:r w:rsidR="001B3112" w:rsidRPr="00FD211F">
        <w:rPr>
          <w:sz w:val="36"/>
          <w:szCs w:val="36"/>
          <w:rtl/>
        </w:rPr>
        <w:t>الأمر</w:t>
      </w:r>
      <w:r w:rsidRPr="00FD211F">
        <w:rPr>
          <w:sz w:val="36"/>
          <w:szCs w:val="36"/>
          <w:rtl/>
        </w:rPr>
        <w:t xml:space="preserve"> بالجامع بين ما يشتمل على البسمل</w:t>
      </w:r>
      <w:r w:rsidR="00EC7EDF" w:rsidRPr="00FD211F">
        <w:rPr>
          <w:sz w:val="36"/>
          <w:szCs w:val="36"/>
          <w:rtl/>
        </w:rPr>
        <w:t xml:space="preserve">ة </w:t>
      </w:r>
      <w:r w:rsidRPr="00FD211F">
        <w:rPr>
          <w:sz w:val="36"/>
          <w:szCs w:val="36"/>
          <w:rtl/>
        </w:rPr>
        <w:t>وبين ما يكون فاقدا للبسمل</w:t>
      </w:r>
      <w:r w:rsidR="00EC7EDF" w:rsidRPr="00FD211F">
        <w:rPr>
          <w:sz w:val="36"/>
          <w:szCs w:val="36"/>
          <w:rtl/>
        </w:rPr>
        <w:t xml:space="preserve">ة </w:t>
      </w:r>
      <w:r w:rsidRPr="00FD211F">
        <w:rPr>
          <w:sz w:val="36"/>
          <w:szCs w:val="36"/>
          <w:rtl/>
        </w:rPr>
        <w:t xml:space="preserve">في حال الاضطرار او النسيان </w:t>
      </w:r>
      <w:r w:rsidR="00F97AA5" w:rsidRPr="00FD211F">
        <w:rPr>
          <w:sz w:val="36"/>
          <w:szCs w:val="36"/>
          <w:rtl/>
        </w:rPr>
        <w:t xml:space="preserve">فيكون </w:t>
      </w:r>
      <w:r w:rsidRPr="00FD211F">
        <w:rPr>
          <w:sz w:val="36"/>
          <w:szCs w:val="36"/>
          <w:rtl/>
        </w:rPr>
        <w:t>أمرا بالجامع بين المقدور وغير المقدور</w:t>
      </w:r>
      <w:r w:rsidR="00603323" w:rsidRPr="00FD211F">
        <w:rPr>
          <w:sz w:val="36"/>
          <w:szCs w:val="36"/>
          <w:rtl/>
        </w:rPr>
        <w:t xml:space="preserve">، </w:t>
      </w:r>
      <w:r w:rsidRPr="00FD211F">
        <w:rPr>
          <w:sz w:val="36"/>
          <w:szCs w:val="36"/>
          <w:rtl/>
        </w:rPr>
        <w:t>و</w:t>
      </w:r>
      <w:r w:rsidR="00F97AA5" w:rsidRPr="00FD211F">
        <w:rPr>
          <w:sz w:val="36"/>
          <w:szCs w:val="36"/>
          <w:rtl/>
        </w:rPr>
        <w:t>الجامع بين المقدور وغير المقدور مقدور.</w:t>
      </w:r>
      <w:r w:rsidR="00B253CE" w:rsidRPr="00FD211F">
        <w:rPr>
          <w:b/>
          <w:bCs/>
          <w:sz w:val="36"/>
          <w:szCs w:val="36"/>
          <w:rtl/>
        </w:rPr>
        <w:t xml:space="preserve"> </w:t>
      </w:r>
      <w:r w:rsidRPr="00FD211F">
        <w:rPr>
          <w:b/>
          <w:bCs/>
          <w:sz w:val="36"/>
          <w:szCs w:val="36"/>
          <w:rtl/>
        </w:rPr>
        <w:t>وثانيا</w:t>
      </w:r>
      <w:r w:rsidRPr="00FD211F">
        <w:rPr>
          <w:sz w:val="36"/>
          <w:szCs w:val="36"/>
          <w:rtl/>
        </w:rPr>
        <w:t>: ان ذلك لايوجب توجه أيّ محذور في أخذ جامع من هذا القبيل في مسمى الصلا</w:t>
      </w:r>
      <w:r w:rsidR="00EC7EDF" w:rsidRPr="00FD211F">
        <w:rPr>
          <w:sz w:val="36"/>
          <w:szCs w:val="36"/>
          <w:rtl/>
        </w:rPr>
        <w:t>ة</w:t>
      </w:r>
      <w:r w:rsidR="00603323" w:rsidRPr="00FD211F">
        <w:rPr>
          <w:sz w:val="36"/>
          <w:szCs w:val="36"/>
          <w:rtl/>
        </w:rPr>
        <w:t xml:space="preserve">، </w:t>
      </w:r>
      <w:r w:rsidRPr="00FD211F">
        <w:rPr>
          <w:sz w:val="36"/>
          <w:szCs w:val="36"/>
          <w:rtl/>
        </w:rPr>
        <w:t>نعم غايته عدم امكان تعلق الأمر بهذا المسمى بتمامه</w:t>
      </w:r>
      <w:r w:rsidR="009C58C8" w:rsidRPr="00FD211F">
        <w:rPr>
          <w:rStyle w:val="a6"/>
          <w:sz w:val="36"/>
          <w:szCs w:val="36"/>
          <w:rtl/>
        </w:rPr>
        <w:t>(</w:t>
      </w:r>
      <w:r w:rsidR="009C58C8" w:rsidRPr="00FD211F">
        <w:rPr>
          <w:rStyle w:val="a6"/>
          <w:sz w:val="36"/>
          <w:szCs w:val="36"/>
          <w:rtl/>
        </w:rPr>
        <w:footnoteReference w:id="379"/>
      </w:r>
      <w:r w:rsidR="009C58C8" w:rsidRPr="00FD211F">
        <w:rPr>
          <w:rStyle w:val="a6"/>
          <w:sz w:val="36"/>
          <w:szCs w:val="36"/>
          <w:rtl/>
        </w:rPr>
        <w:t>)</w:t>
      </w:r>
      <w:r w:rsidRPr="00FD211F">
        <w:rPr>
          <w:sz w:val="36"/>
          <w:szCs w:val="36"/>
          <w:rtl/>
        </w:rPr>
        <w:t>.</w:t>
      </w:r>
    </w:p>
    <w:p w14:paraId="2C385F15" w14:textId="77777777" w:rsidR="00052BF2" w:rsidRPr="00FD211F" w:rsidRDefault="00052BF2" w:rsidP="009C58C8">
      <w:pPr>
        <w:ind w:left="0" w:firstLine="227"/>
        <w:jc w:val="both"/>
        <w:rPr>
          <w:sz w:val="36"/>
          <w:szCs w:val="36"/>
          <w:rtl/>
        </w:rPr>
      </w:pPr>
      <w:r w:rsidRPr="00FD211F">
        <w:rPr>
          <w:sz w:val="36"/>
          <w:szCs w:val="36"/>
          <w:rtl/>
        </w:rPr>
        <w:t xml:space="preserve">وكيف كان فهذا </w:t>
      </w:r>
      <w:r w:rsidR="00F97AA5" w:rsidRPr="00FD211F">
        <w:rPr>
          <w:sz w:val="36"/>
          <w:szCs w:val="36"/>
          <w:rtl/>
        </w:rPr>
        <w:t>الجامع المركب</w:t>
      </w:r>
      <w:r w:rsidRPr="00FD211F">
        <w:rPr>
          <w:sz w:val="36"/>
          <w:szCs w:val="36"/>
          <w:rtl/>
        </w:rPr>
        <w:t xml:space="preserve"> الأوي للصحيح</w:t>
      </w:r>
      <w:r w:rsidR="00F97AA5" w:rsidRPr="00FD211F">
        <w:rPr>
          <w:sz w:val="36"/>
          <w:szCs w:val="36"/>
          <w:rtl/>
        </w:rPr>
        <w:t xml:space="preserve"> وان كان خاليا عن الاشكال</w:t>
      </w:r>
      <w:r w:rsidR="00603323" w:rsidRPr="00FD211F">
        <w:rPr>
          <w:sz w:val="36"/>
          <w:szCs w:val="36"/>
          <w:rtl/>
        </w:rPr>
        <w:t xml:space="preserve">، </w:t>
      </w:r>
      <w:r w:rsidRPr="00FD211F">
        <w:rPr>
          <w:sz w:val="36"/>
          <w:szCs w:val="36"/>
          <w:rtl/>
        </w:rPr>
        <w:t>لكن قد يقال بان معنى لفظ الصلا</w:t>
      </w:r>
      <w:r w:rsidR="00EC7EDF" w:rsidRPr="00FD211F">
        <w:rPr>
          <w:sz w:val="36"/>
          <w:szCs w:val="36"/>
          <w:rtl/>
        </w:rPr>
        <w:t xml:space="preserve">ة </w:t>
      </w:r>
      <w:r w:rsidRPr="00FD211F">
        <w:rPr>
          <w:sz w:val="36"/>
          <w:szCs w:val="36"/>
          <w:rtl/>
        </w:rPr>
        <w:t>مثلا ابسط عند العرف من جامع مركب معقَّد من هذا القبيل</w:t>
      </w:r>
      <w:r w:rsidR="00603323" w:rsidRPr="00FD211F">
        <w:rPr>
          <w:sz w:val="36"/>
          <w:szCs w:val="36"/>
          <w:rtl/>
        </w:rPr>
        <w:t xml:space="preserve">، </w:t>
      </w:r>
      <w:r w:rsidRPr="00FD211F">
        <w:rPr>
          <w:sz w:val="36"/>
          <w:szCs w:val="36"/>
          <w:rtl/>
        </w:rPr>
        <w:t>خاص</w:t>
      </w:r>
      <w:r w:rsidR="00EC7EDF" w:rsidRPr="00FD211F">
        <w:rPr>
          <w:sz w:val="36"/>
          <w:szCs w:val="36"/>
          <w:rtl/>
        </w:rPr>
        <w:t xml:space="preserve">ة </w:t>
      </w:r>
      <w:r w:rsidRPr="00FD211F">
        <w:rPr>
          <w:sz w:val="36"/>
          <w:szCs w:val="36"/>
          <w:rtl/>
        </w:rPr>
        <w:t>لو اخذنا عدم تعلق النهي وكذا عدم الابتلاء بالمزاحم في هذا الجامع المركب.</w:t>
      </w:r>
    </w:p>
    <w:p w14:paraId="09A46BFE" w14:textId="77777777" w:rsidR="00052BF2" w:rsidRPr="00FD211F" w:rsidRDefault="00052BF2" w:rsidP="009C58C8">
      <w:pPr>
        <w:ind w:left="0" w:firstLine="227"/>
        <w:jc w:val="both"/>
        <w:rPr>
          <w:sz w:val="36"/>
          <w:szCs w:val="36"/>
          <w:rtl/>
        </w:rPr>
      </w:pPr>
      <w:r w:rsidRPr="00FD211F">
        <w:rPr>
          <w:sz w:val="36"/>
          <w:szCs w:val="36"/>
          <w:rtl/>
        </w:rPr>
        <w:t>الا انه يمكن ان يجاب عنه بان لنا ان نمنع كون معاني الفاظ العبادات بناء على القول بالوضع للصحيح ابسط من هذا الجامع المركب عرفا</w:t>
      </w:r>
      <w:r w:rsidR="00603323" w:rsidRPr="00FD211F">
        <w:rPr>
          <w:sz w:val="36"/>
          <w:szCs w:val="36"/>
          <w:rtl/>
        </w:rPr>
        <w:t xml:space="preserve">، </w:t>
      </w:r>
      <w:r w:rsidRPr="00FD211F">
        <w:rPr>
          <w:sz w:val="36"/>
          <w:szCs w:val="36"/>
          <w:rtl/>
        </w:rPr>
        <w:t>خصوصا في مثل الصلا</w:t>
      </w:r>
      <w:r w:rsidR="00EC7EDF" w:rsidRPr="00FD211F">
        <w:rPr>
          <w:sz w:val="36"/>
          <w:szCs w:val="36"/>
          <w:rtl/>
        </w:rPr>
        <w:t xml:space="preserve">ة </w:t>
      </w:r>
      <w:r w:rsidRPr="00FD211F">
        <w:rPr>
          <w:sz w:val="36"/>
          <w:szCs w:val="36"/>
          <w:rtl/>
        </w:rPr>
        <w:t>التي يد</w:t>
      </w:r>
      <w:r w:rsidR="00D309BA" w:rsidRPr="00FD211F">
        <w:rPr>
          <w:sz w:val="36"/>
          <w:szCs w:val="36"/>
          <w:rtl/>
        </w:rPr>
        <w:t>رك العرف ان لها آدابا كثير</w:t>
      </w:r>
      <w:r w:rsidR="00EC7EDF" w:rsidRPr="00FD211F">
        <w:rPr>
          <w:sz w:val="36"/>
          <w:szCs w:val="36"/>
          <w:rtl/>
        </w:rPr>
        <w:t>ة</w:t>
      </w:r>
      <w:r w:rsidR="00603323" w:rsidRPr="00FD211F">
        <w:rPr>
          <w:sz w:val="36"/>
          <w:szCs w:val="36"/>
          <w:rtl/>
        </w:rPr>
        <w:t xml:space="preserve">، </w:t>
      </w:r>
      <w:r w:rsidR="00D309BA" w:rsidRPr="00FD211F">
        <w:rPr>
          <w:sz w:val="36"/>
          <w:szCs w:val="36"/>
          <w:rtl/>
        </w:rPr>
        <w:t>وليس من الضروري</w:t>
      </w:r>
      <w:r w:rsidRPr="00FD211F">
        <w:rPr>
          <w:sz w:val="36"/>
          <w:szCs w:val="36"/>
          <w:rtl/>
        </w:rPr>
        <w:t xml:space="preserve"> ان يدركها العرف تفصيلا</w:t>
      </w:r>
      <w:r w:rsidR="00603323" w:rsidRPr="00FD211F">
        <w:rPr>
          <w:sz w:val="36"/>
          <w:szCs w:val="36"/>
          <w:rtl/>
        </w:rPr>
        <w:t xml:space="preserve">، </w:t>
      </w:r>
      <w:r w:rsidRPr="00FD211F">
        <w:rPr>
          <w:sz w:val="36"/>
          <w:szCs w:val="36"/>
          <w:rtl/>
        </w:rPr>
        <w:t>بل يكفي ان يعلم اجمالا ان للمسمى خصوصيات معين</w:t>
      </w:r>
      <w:r w:rsidR="00EC7EDF" w:rsidRPr="00FD211F">
        <w:rPr>
          <w:sz w:val="36"/>
          <w:szCs w:val="36"/>
          <w:rtl/>
        </w:rPr>
        <w:t xml:space="preserve">ة </w:t>
      </w:r>
      <w:r w:rsidRPr="00FD211F">
        <w:rPr>
          <w:sz w:val="36"/>
          <w:szCs w:val="36"/>
          <w:rtl/>
        </w:rPr>
        <w:t>يرجع فيها الى الشارع المخترع لها كما في المعاجين الطبّي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380"/>
      </w:r>
      <w:r w:rsidR="009C58C8" w:rsidRPr="00FD211F">
        <w:rPr>
          <w:rStyle w:val="a6"/>
          <w:sz w:val="36"/>
          <w:szCs w:val="36"/>
          <w:rtl/>
        </w:rPr>
        <w:t>)</w:t>
      </w:r>
      <w:r w:rsidRPr="00FD211F">
        <w:rPr>
          <w:sz w:val="36"/>
          <w:szCs w:val="36"/>
          <w:rtl/>
        </w:rPr>
        <w:t>.</w:t>
      </w:r>
    </w:p>
    <w:p w14:paraId="03CFAE11" w14:textId="77777777" w:rsidR="00EB5F84" w:rsidRPr="00FD211F" w:rsidRDefault="007E69BF" w:rsidP="009C58C8">
      <w:pPr>
        <w:ind w:left="0" w:firstLine="227"/>
        <w:jc w:val="both"/>
        <w:rPr>
          <w:sz w:val="36"/>
          <w:szCs w:val="36"/>
          <w:rtl/>
        </w:rPr>
      </w:pPr>
      <w:r w:rsidRPr="00FD211F">
        <w:rPr>
          <w:sz w:val="36"/>
          <w:szCs w:val="36"/>
          <w:rtl/>
        </w:rPr>
        <w:t>وماذكره متين جدا</w:t>
      </w:r>
      <w:r w:rsidR="00EC7EDF" w:rsidRPr="00FD211F">
        <w:rPr>
          <w:sz w:val="36"/>
          <w:szCs w:val="36"/>
          <w:rtl/>
        </w:rPr>
        <w:t>.</w:t>
      </w:r>
    </w:p>
    <w:p w14:paraId="51557DE5" w14:textId="77777777" w:rsidR="00052BF2" w:rsidRPr="00FD211F" w:rsidRDefault="007E69BF" w:rsidP="009C58C8">
      <w:pPr>
        <w:ind w:left="0" w:firstLine="227"/>
        <w:jc w:val="both"/>
        <w:rPr>
          <w:sz w:val="36"/>
          <w:szCs w:val="36"/>
          <w:rtl/>
        </w:rPr>
      </w:pPr>
      <w:r w:rsidRPr="00FD211F">
        <w:rPr>
          <w:sz w:val="36"/>
          <w:szCs w:val="36"/>
          <w:rtl/>
        </w:rPr>
        <w:t>وبهذا</w:t>
      </w:r>
      <w:r w:rsidR="00D9639E" w:rsidRPr="00FD211F">
        <w:rPr>
          <w:sz w:val="36"/>
          <w:szCs w:val="36"/>
          <w:rtl/>
        </w:rPr>
        <w:t xml:space="preserve"> </w:t>
      </w:r>
      <w:r w:rsidRPr="00FD211F">
        <w:rPr>
          <w:sz w:val="36"/>
          <w:szCs w:val="36"/>
          <w:rtl/>
        </w:rPr>
        <w:t xml:space="preserve">ينتهي الكلام </w:t>
      </w:r>
      <w:r w:rsidR="00052BF2" w:rsidRPr="00FD211F">
        <w:rPr>
          <w:sz w:val="36"/>
          <w:szCs w:val="36"/>
          <w:rtl/>
        </w:rPr>
        <w:t>في الجامع الصحيحي</w:t>
      </w:r>
      <w:r w:rsidR="00603323" w:rsidRPr="00FD211F">
        <w:rPr>
          <w:sz w:val="36"/>
          <w:szCs w:val="36"/>
          <w:rtl/>
        </w:rPr>
        <w:t xml:space="preserve">، </w:t>
      </w:r>
      <w:r w:rsidR="00052BF2" w:rsidRPr="00FD211F">
        <w:rPr>
          <w:sz w:val="36"/>
          <w:szCs w:val="36"/>
          <w:rtl/>
        </w:rPr>
        <w:t>وقد تحصل ان المتعين بناء على مسلك الصحيحي اختيار كون المسمى هو الجام</w:t>
      </w:r>
      <w:r w:rsidRPr="00FD211F">
        <w:rPr>
          <w:sz w:val="36"/>
          <w:szCs w:val="36"/>
          <w:rtl/>
        </w:rPr>
        <w:t>ع المركب الأوي</w:t>
      </w:r>
      <w:r w:rsidR="00603323" w:rsidRPr="00FD211F">
        <w:rPr>
          <w:sz w:val="36"/>
          <w:szCs w:val="36"/>
          <w:rtl/>
        </w:rPr>
        <w:t xml:space="preserve">، </w:t>
      </w:r>
      <w:r w:rsidRPr="00FD211F">
        <w:rPr>
          <w:sz w:val="36"/>
          <w:szCs w:val="36"/>
          <w:rtl/>
        </w:rPr>
        <w:t>دون الجامع المركب</w:t>
      </w:r>
      <w:r w:rsidR="00D309BA" w:rsidRPr="00FD211F">
        <w:rPr>
          <w:sz w:val="36"/>
          <w:szCs w:val="36"/>
          <w:rtl/>
        </w:rPr>
        <w:t xml:space="preserve"> الواوي</w:t>
      </w:r>
      <w:r w:rsidR="00603323" w:rsidRPr="00FD211F">
        <w:rPr>
          <w:sz w:val="36"/>
          <w:szCs w:val="36"/>
          <w:rtl/>
        </w:rPr>
        <w:t xml:space="preserve">، </w:t>
      </w:r>
      <w:r w:rsidR="00052BF2" w:rsidRPr="00FD211F">
        <w:rPr>
          <w:sz w:val="36"/>
          <w:szCs w:val="36"/>
          <w:rtl/>
        </w:rPr>
        <w:t>ولاالجامع البسيط سواء اريد به الجامع البسيط الذاتي بمعنى ذاتي باب الكليات الخمس</w:t>
      </w:r>
      <w:r w:rsidR="00603323" w:rsidRPr="00FD211F">
        <w:rPr>
          <w:sz w:val="36"/>
          <w:szCs w:val="36"/>
          <w:rtl/>
        </w:rPr>
        <w:t xml:space="preserve">، </w:t>
      </w:r>
      <w:r w:rsidR="00052BF2" w:rsidRPr="00FD211F">
        <w:rPr>
          <w:sz w:val="36"/>
          <w:szCs w:val="36"/>
          <w:rtl/>
        </w:rPr>
        <w:t>او اريد به الذاتي في باب البرهان او الجامع البسيط الانتزاعي</w:t>
      </w:r>
      <w:r w:rsidR="00603323" w:rsidRPr="00FD211F">
        <w:rPr>
          <w:sz w:val="36"/>
          <w:szCs w:val="36"/>
          <w:rtl/>
        </w:rPr>
        <w:t xml:space="preserve">، </w:t>
      </w:r>
      <w:r w:rsidR="00052BF2" w:rsidRPr="00FD211F">
        <w:rPr>
          <w:sz w:val="36"/>
          <w:szCs w:val="36"/>
          <w:rtl/>
        </w:rPr>
        <w:t xml:space="preserve">أما ذاتي باب الكليات </w:t>
      </w:r>
      <w:r w:rsidRPr="00FD211F">
        <w:rPr>
          <w:sz w:val="36"/>
          <w:szCs w:val="36"/>
          <w:rtl/>
        </w:rPr>
        <w:t xml:space="preserve">الخمس </w:t>
      </w:r>
      <w:r w:rsidR="00052BF2" w:rsidRPr="00FD211F">
        <w:rPr>
          <w:sz w:val="36"/>
          <w:szCs w:val="36"/>
          <w:rtl/>
        </w:rPr>
        <w:t>فلما مر من عدم جامع مقولي يكون جنسا او نوعا للصلوات الصحيح</w:t>
      </w:r>
      <w:r w:rsidR="00EC7EDF" w:rsidRPr="00FD211F">
        <w:rPr>
          <w:sz w:val="36"/>
          <w:szCs w:val="36"/>
          <w:rtl/>
        </w:rPr>
        <w:t>ة</w:t>
      </w:r>
      <w:r w:rsidR="00603323" w:rsidRPr="00FD211F">
        <w:rPr>
          <w:sz w:val="36"/>
          <w:szCs w:val="36"/>
          <w:rtl/>
        </w:rPr>
        <w:t xml:space="preserve">، </w:t>
      </w:r>
      <w:r w:rsidR="00052BF2" w:rsidRPr="00FD211F">
        <w:rPr>
          <w:sz w:val="36"/>
          <w:szCs w:val="36"/>
          <w:rtl/>
        </w:rPr>
        <w:t>وأما ذاتي باب البرهان فقد ذكر في البحوث ان ذاتي باب البرهان هو ما كان من لوازم الماهي</w:t>
      </w:r>
      <w:r w:rsidR="00EC7EDF" w:rsidRPr="00FD211F">
        <w:rPr>
          <w:sz w:val="36"/>
          <w:szCs w:val="36"/>
          <w:rtl/>
        </w:rPr>
        <w:t xml:space="preserve">ة </w:t>
      </w:r>
      <w:r w:rsidR="00052BF2" w:rsidRPr="00FD211F">
        <w:rPr>
          <w:sz w:val="36"/>
          <w:szCs w:val="36"/>
          <w:rtl/>
        </w:rPr>
        <w:t>وهي بمثاب</w:t>
      </w:r>
      <w:r w:rsidR="00EC7EDF" w:rsidRPr="00FD211F">
        <w:rPr>
          <w:sz w:val="36"/>
          <w:szCs w:val="36"/>
          <w:rtl/>
        </w:rPr>
        <w:t xml:space="preserve">ة </w:t>
      </w:r>
      <w:r w:rsidR="00052BF2" w:rsidRPr="00FD211F">
        <w:rPr>
          <w:sz w:val="36"/>
          <w:szCs w:val="36"/>
          <w:rtl/>
        </w:rPr>
        <w:t>المعلول للماهي</w:t>
      </w:r>
      <w:r w:rsidR="00EC7EDF" w:rsidRPr="00FD211F">
        <w:rPr>
          <w:sz w:val="36"/>
          <w:szCs w:val="36"/>
          <w:rtl/>
        </w:rPr>
        <w:t>ة</w:t>
      </w:r>
      <w:r w:rsidR="00603323" w:rsidRPr="00FD211F">
        <w:rPr>
          <w:sz w:val="36"/>
          <w:szCs w:val="36"/>
          <w:rtl/>
        </w:rPr>
        <w:t xml:space="preserve">، </w:t>
      </w:r>
      <w:r w:rsidR="00052BF2" w:rsidRPr="00FD211F">
        <w:rPr>
          <w:sz w:val="36"/>
          <w:szCs w:val="36"/>
          <w:rtl/>
        </w:rPr>
        <w:t>ويستحيل وجود لازم واحد لماهيات متباين</w:t>
      </w:r>
      <w:r w:rsidR="00EC7EDF" w:rsidRPr="00FD211F">
        <w:rPr>
          <w:sz w:val="36"/>
          <w:szCs w:val="36"/>
          <w:rtl/>
        </w:rPr>
        <w:t xml:space="preserve">ة </w:t>
      </w:r>
      <w:r w:rsidR="00052BF2" w:rsidRPr="00FD211F">
        <w:rPr>
          <w:sz w:val="36"/>
          <w:szCs w:val="36"/>
          <w:rtl/>
        </w:rPr>
        <w:t>لتمام الذات</w:t>
      </w:r>
      <w:r w:rsidR="00603323" w:rsidRPr="00FD211F">
        <w:rPr>
          <w:sz w:val="36"/>
          <w:szCs w:val="36"/>
          <w:rtl/>
        </w:rPr>
        <w:t xml:space="preserve">، </w:t>
      </w:r>
      <w:r w:rsidR="00052BF2" w:rsidRPr="00FD211F">
        <w:rPr>
          <w:sz w:val="36"/>
          <w:szCs w:val="36"/>
          <w:rtl/>
        </w:rPr>
        <w:t>حيث يلزم صدور الواحد عن امور متباين</w:t>
      </w:r>
      <w:r w:rsidR="00EC7EDF" w:rsidRPr="00FD211F">
        <w:rPr>
          <w:sz w:val="36"/>
          <w:szCs w:val="36"/>
          <w:rtl/>
        </w:rPr>
        <w:t xml:space="preserve">ة </w:t>
      </w:r>
      <w:r w:rsidR="00052BF2" w:rsidRPr="00FD211F">
        <w:rPr>
          <w:sz w:val="36"/>
          <w:szCs w:val="36"/>
          <w:rtl/>
        </w:rPr>
        <w:t>بما هي متباين</w:t>
      </w:r>
      <w:r w:rsidR="00EC7EDF" w:rsidRPr="00FD211F">
        <w:rPr>
          <w:sz w:val="36"/>
          <w:szCs w:val="36"/>
          <w:rtl/>
        </w:rPr>
        <w:t xml:space="preserve">ة </w:t>
      </w:r>
      <w:r w:rsidR="00052BF2" w:rsidRPr="00FD211F">
        <w:rPr>
          <w:sz w:val="36"/>
          <w:szCs w:val="36"/>
          <w:rtl/>
        </w:rPr>
        <w:t>وهو محال</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381"/>
      </w:r>
      <w:r w:rsidR="00C17D0B" w:rsidRPr="00FD211F">
        <w:rPr>
          <w:rStyle w:val="a6"/>
          <w:sz w:val="36"/>
          <w:szCs w:val="36"/>
          <w:rtl/>
        </w:rPr>
        <w:t>)</w:t>
      </w:r>
      <w:r w:rsidR="00052BF2" w:rsidRPr="00FD211F">
        <w:rPr>
          <w:sz w:val="36"/>
          <w:szCs w:val="36"/>
          <w:rtl/>
        </w:rPr>
        <w:t xml:space="preserve"> ولكن الصحيح ان ذاتي باب البرهان هو ما كان خارجا عن جنس ال</w:t>
      </w:r>
      <w:r w:rsidR="008D7B3D" w:rsidRPr="00FD211F">
        <w:rPr>
          <w:sz w:val="36"/>
          <w:szCs w:val="36"/>
          <w:rtl/>
        </w:rPr>
        <w:t xml:space="preserve">شيء </w:t>
      </w:r>
      <w:r w:rsidR="00052BF2" w:rsidRPr="00FD211F">
        <w:rPr>
          <w:sz w:val="36"/>
          <w:szCs w:val="36"/>
          <w:rtl/>
        </w:rPr>
        <w:t>وفصله</w:t>
      </w:r>
      <w:r w:rsidR="00603323" w:rsidRPr="00FD211F">
        <w:rPr>
          <w:sz w:val="36"/>
          <w:szCs w:val="36"/>
          <w:rtl/>
        </w:rPr>
        <w:t xml:space="preserve">، </w:t>
      </w:r>
      <w:r w:rsidR="00052BF2" w:rsidRPr="00FD211F">
        <w:rPr>
          <w:sz w:val="36"/>
          <w:szCs w:val="36"/>
          <w:rtl/>
        </w:rPr>
        <w:t xml:space="preserve">ولكن </w:t>
      </w:r>
      <w:r w:rsidRPr="00FD211F">
        <w:rPr>
          <w:sz w:val="36"/>
          <w:szCs w:val="36"/>
          <w:rtl/>
        </w:rPr>
        <w:t>كان عروضه لذلك ال</w:t>
      </w:r>
      <w:r w:rsidR="008D7B3D" w:rsidRPr="00FD211F">
        <w:rPr>
          <w:sz w:val="36"/>
          <w:szCs w:val="36"/>
          <w:rtl/>
        </w:rPr>
        <w:t xml:space="preserve">شيء </w:t>
      </w:r>
      <w:r w:rsidRPr="00FD211F">
        <w:rPr>
          <w:sz w:val="36"/>
          <w:szCs w:val="36"/>
          <w:rtl/>
        </w:rPr>
        <w:t>باقتضاء ذات ذلك ال</w:t>
      </w:r>
      <w:r w:rsidR="00251CB6" w:rsidRPr="00FD211F">
        <w:rPr>
          <w:sz w:val="36"/>
          <w:szCs w:val="36"/>
          <w:rtl/>
        </w:rPr>
        <w:t xml:space="preserve">شيء </w:t>
      </w:r>
      <w:r w:rsidR="00052BF2" w:rsidRPr="00FD211F">
        <w:rPr>
          <w:sz w:val="36"/>
          <w:szCs w:val="36"/>
          <w:rtl/>
        </w:rPr>
        <w:t>بلاحاج</w:t>
      </w:r>
      <w:r w:rsidR="00EC7EDF" w:rsidRPr="00FD211F">
        <w:rPr>
          <w:sz w:val="36"/>
          <w:szCs w:val="36"/>
          <w:rtl/>
        </w:rPr>
        <w:t xml:space="preserve">ة </w:t>
      </w:r>
      <w:r w:rsidR="00052BF2" w:rsidRPr="00FD211F">
        <w:rPr>
          <w:sz w:val="36"/>
          <w:szCs w:val="36"/>
          <w:rtl/>
        </w:rPr>
        <w:t>الى ضميم</w:t>
      </w:r>
      <w:r w:rsidR="00EC7EDF" w:rsidRPr="00FD211F">
        <w:rPr>
          <w:sz w:val="36"/>
          <w:szCs w:val="36"/>
          <w:rtl/>
        </w:rPr>
        <w:t>ة</w:t>
      </w:r>
      <w:r w:rsidR="00603323" w:rsidRPr="00FD211F">
        <w:rPr>
          <w:sz w:val="36"/>
          <w:szCs w:val="36"/>
          <w:rtl/>
        </w:rPr>
        <w:t xml:space="preserve">، </w:t>
      </w:r>
      <w:r w:rsidR="00052BF2" w:rsidRPr="00FD211F">
        <w:rPr>
          <w:sz w:val="36"/>
          <w:szCs w:val="36"/>
          <w:rtl/>
        </w:rPr>
        <w:t>وليس معنى ذلك انه يكون بمثاب</w:t>
      </w:r>
      <w:r w:rsidR="00EC7EDF" w:rsidRPr="00FD211F">
        <w:rPr>
          <w:sz w:val="36"/>
          <w:szCs w:val="36"/>
          <w:rtl/>
        </w:rPr>
        <w:t xml:space="preserve">ة </w:t>
      </w:r>
      <w:r w:rsidR="00052BF2" w:rsidRPr="00FD211F">
        <w:rPr>
          <w:sz w:val="36"/>
          <w:szCs w:val="36"/>
          <w:rtl/>
        </w:rPr>
        <w:t>المعلول للماهي</w:t>
      </w:r>
      <w:r w:rsidR="00EC7EDF" w:rsidRPr="00FD211F">
        <w:rPr>
          <w:sz w:val="36"/>
          <w:szCs w:val="36"/>
          <w:rtl/>
        </w:rPr>
        <w:t>ة</w:t>
      </w:r>
      <w:r w:rsidR="00603323" w:rsidRPr="00FD211F">
        <w:rPr>
          <w:sz w:val="36"/>
          <w:szCs w:val="36"/>
          <w:rtl/>
        </w:rPr>
        <w:t xml:space="preserve">، </w:t>
      </w:r>
      <w:r w:rsidR="00052BF2" w:rsidRPr="00FD211F">
        <w:rPr>
          <w:sz w:val="36"/>
          <w:szCs w:val="36"/>
          <w:rtl/>
        </w:rPr>
        <w:t>ولأجل ذلك نرى ان الامكان ذاتي للجوهر وللأعراض معاً</w:t>
      </w:r>
      <w:r w:rsidR="00603323" w:rsidRPr="00FD211F">
        <w:rPr>
          <w:sz w:val="36"/>
          <w:szCs w:val="36"/>
          <w:rtl/>
        </w:rPr>
        <w:t xml:space="preserve">، </w:t>
      </w:r>
      <w:r w:rsidR="00052BF2" w:rsidRPr="00FD211F">
        <w:rPr>
          <w:sz w:val="36"/>
          <w:szCs w:val="36"/>
          <w:rtl/>
        </w:rPr>
        <w:t>مع كونها مقولات متباين</w:t>
      </w:r>
      <w:r w:rsidR="00EC7EDF" w:rsidRPr="00FD211F">
        <w:rPr>
          <w:sz w:val="36"/>
          <w:szCs w:val="36"/>
          <w:rtl/>
        </w:rPr>
        <w:t xml:space="preserve">ة </w:t>
      </w:r>
      <w:r w:rsidR="00052BF2" w:rsidRPr="00FD211F">
        <w:rPr>
          <w:sz w:val="36"/>
          <w:szCs w:val="36"/>
          <w:rtl/>
        </w:rPr>
        <w:t>بتمام الذات حسب مسلك الفلاسف</w:t>
      </w:r>
      <w:r w:rsidR="00EC7EDF" w:rsidRPr="00FD211F">
        <w:rPr>
          <w:sz w:val="36"/>
          <w:szCs w:val="36"/>
          <w:rtl/>
        </w:rPr>
        <w:t>ة</w:t>
      </w:r>
      <w:r w:rsidR="00603323" w:rsidRPr="00FD211F">
        <w:rPr>
          <w:sz w:val="36"/>
          <w:szCs w:val="36"/>
          <w:rtl/>
        </w:rPr>
        <w:t xml:space="preserve">، </w:t>
      </w:r>
      <w:r w:rsidR="00052BF2" w:rsidRPr="00FD211F">
        <w:rPr>
          <w:sz w:val="36"/>
          <w:szCs w:val="36"/>
          <w:rtl/>
        </w:rPr>
        <w:t>الا ان المهم في المقام انه لايتصور جامع ذاتي من هذا القبيل ايضا لأجزاء الصلا</w:t>
      </w:r>
      <w:r w:rsidR="00EC7EDF" w:rsidRPr="00FD211F">
        <w:rPr>
          <w:sz w:val="36"/>
          <w:szCs w:val="36"/>
          <w:rtl/>
        </w:rPr>
        <w:t xml:space="preserve">ة </w:t>
      </w:r>
      <w:r w:rsidR="00052BF2" w:rsidRPr="00FD211F">
        <w:rPr>
          <w:sz w:val="36"/>
          <w:szCs w:val="36"/>
          <w:rtl/>
        </w:rPr>
        <w:t>وشرائطها</w:t>
      </w:r>
      <w:r w:rsidR="00603323" w:rsidRPr="00FD211F">
        <w:rPr>
          <w:sz w:val="36"/>
          <w:szCs w:val="36"/>
          <w:rtl/>
        </w:rPr>
        <w:t xml:space="preserve">، </w:t>
      </w:r>
      <w:r w:rsidR="00052BF2" w:rsidRPr="00FD211F">
        <w:rPr>
          <w:sz w:val="36"/>
          <w:szCs w:val="36"/>
          <w:rtl/>
        </w:rPr>
        <w:t>حيث ان بعض قيود الصلا</w:t>
      </w:r>
      <w:r w:rsidR="00EC7EDF" w:rsidRPr="00FD211F">
        <w:rPr>
          <w:sz w:val="36"/>
          <w:szCs w:val="36"/>
          <w:rtl/>
        </w:rPr>
        <w:t xml:space="preserve">ة </w:t>
      </w:r>
      <w:r w:rsidR="00052BF2" w:rsidRPr="00FD211F">
        <w:rPr>
          <w:sz w:val="36"/>
          <w:szCs w:val="36"/>
          <w:rtl/>
        </w:rPr>
        <w:t>كالطهار</w:t>
      </w:r>
      <w:r w:rsidR="00EC7EDF" w:rsidRPr="00FD211F">
        <w:rPr>
          <w:sz w:val="36"/>
          <w:szCs w:val="36"/>
          <w:rtl/>
        </w:rPr>
        <w:t xml:space="preserve">ة </w:t>
      </w:r>
      <w:r w:rsidR="00052BF2" w:rsidRPr="00FD211F">
        <w:rPr>
          <w:sz w:val="36"/>
          <w:szCs w:val="36"/>
          <w:rtl/>
        </w:rPr>
        <w:t>اعتباري</w:t>
      </w:r>
      <w:r w:rsidR="00603323" w:rsidRPr="00FD211F">
        <w:rPr>
          <w:sz w:val="36"/>
          <w:szCs w:val="36"/>
          <w:rtl/>
        </w:rPr>
        <w:t xml:space="preserve">، </w:t>
      </w:r>
      <w:r w:rsidR="00052BF2" w:rsidRPr="00FD211F">
        <w:rPr>
          <w:sz w:val="36"/>
          <w:szCs w:val="36"/>
          <w:rtl/>
        </w:rPr>
        <w:t>كما ان بعضها الآخر عدمي</w:t>
      </w:r>
      <w:r w:rsidR="00603323" w:rsidRPr="00FD211F">
        <w:rPr>
          <w:sz w:val="36"/>
          <w:szCs w:val="36"/>
          <w:rtl/>
        </w:rPr>
        <w:t xml:space="preserve">، </w:t>
      </w:r>
      <w:r w:rsidR="00052BF2" w:rsidRPr="00FD211F">
        <w:rPr>
          <w:sz w:val="36"/>
          <w:szCs w:val="36"/>
          <w:rtl/>
        </w:rPr>
        <w:t>ولاجامع ذاتي بينهما وبين القيود الوجودي</w:t>
      </w:r>
      <w:r w:rsidR="00EC7EDF" w:rsidRPr="00FD211F">
        <w:rPr>
          <w:sz w:val="36"/>
          <w:szCs w:val="36"/>
          <w:rtl/>
        </w:rPr>
        <w:t xml:space="preserve">ة </w:t>
      </w:r>
      <w:r w:rsidR="00052BF2" w:rsidRPr="00FD211F">
        <w:rPr>
          <w:sz w:val="36"/>
          <w:szCs w:val="36"/>
          <w:rtl/>
        </w:rPr>
        <w:t>حتى بمعنى ذاتي باب البرهان.</w:t>
      </w:r>
    </w:p>
    <w:p w14:paraId="57CB8B1D" w14:textId="77777777" w:rsidR="00052BF2" w:rsidRPr="00FD211F" w:rsidRDefault="00052BF2" w:rsidP="009C58C8">
      <w:pPr>
        <w:ind w:left="0" w:firstLine="227"/>
        <w:jc w:val="both"/>
        <w:rPr>
          <w:sz w:val="36"/>
          <w:szCs w:val="36"/>
          <w:rtl/>
        </w:rPr>
      </w:pPr>
      <w:r w:rsidRPr="00FD211F">
        <w:rPr>
          <w:sz w:val="36"/>
          <w:szCs w:val="36"/>
          <w:rtl/>
        </w:rPr>
        <w:t>وأما الجامع البسيط العرضي كمفهوم الناهي عن الفحشاء والمنكر فقد مر عدم احتمال كونه مرادفا لمعنى الصلا</w:t>
      </w:r>
      <w:r w:rsidR="00EC7EDF" w:rsidRPr="00FD211F">
        <w:rPr>
          <w:sz w:val="36"/>
          <w:szCs w:val="36"/>
          <w:rtl/>
        </w:rPr>
        <w:t>ة</w:t>
      </w:r>
      <w:r w:rsidR="00A61BAE" w:rsidRPr="00FD211F">
        <w:rPr>
          <w:sz w:val="36"/>
          <w:szCs w:val="36"/>
          <w:rtl/>
        </w:rPr>
        <w:t>.</w:t>
      </w:r>
    </w:p>
    <w:p w14:paraId="36A4B7F8" w14:textId="77777777" w:rsidR="00052BF2" w:rsidRPr="00FD211F" w:rsidRDefault="00052BF2" w:rsidP="009C58C8">
      <w:pPr>
        <w:pStyle w:val="3"/>
        <w:ind w:firstLine="227"/>
        <w:jc w:val="both"/>
        <w:rPr>
          <w:rtl/>
        </w:rPr>
      </w:pPr>
      <w:bookmarkStart w:id="379" w:name="_Toc192092926"/>
      <w:bookmarkStart w:id="380" w:name="_Toc223890405"/>
      <w:r w:rsidRPr="00FD211F">
        <w:rPr>
          <w:rtl/>
        </w:rPr>
        <w:t>تصوير الجامع للأعم</w:t>
      </w:r>
      <w:bookmarkEnd w:id="379"/>
      <w:bookmarkEnd w:id="380"/>
    </w:p>
    <w:p w14:paraId="6832762A" w14:textId="77777777" w:rsidR="00052BF2" w:rsidRPr="00FD211F" w:rsidRDefault="00052BF2" w:rsidP="009C58C8">
      <w:pPr>
        <w:ind w:left="0" w:firstLine="227"/>
        <w:jc w:val="both"/>
        <w:rPr>
          <w:sz w:val="36"/>
          <w:szCs w:val="36"/>
          <w:rtl/>
        </w:rPr>
      </w:pPr>
      <w:r w:rsidRPr="00FD211F">
        <w:rPr>
          <w:sz w:val="36"/>
          <w:szCs w:val="36"/>
          <w:rtl/>
        </w:rPr>
        <w:t>ادعى صاحب الكفاي</w:t>
      </w:r>
      <w:r w:rsidR="00EC7EDF" w:rsidRPr="00FD211F">
        <w:rPr>
          <w:sz w:val="36"/>
          <w:szCs w:val="36"/>
          <w:rtl/>
        </w:rPr>
        <w:t xml:space="preserve">ة </w:t>
      </w:r>
      <w:r w:rsidR="004129AC" w:rsidRPr="00FD211F">
        <w:rPr>
          <w:sz w:val="36"/>
          <w:szCs w:val="36"/>
          <w:rtl/>
        </w:rPr>
        <w:t>"قده"</w:t>
      </w:r>
      <w:r w:rsidR="00D9639E" w:rsidRPr="00FD211F">
        <w:rPr>
          <w:sz w:val="36"/>
          <w:szCs w:val="36"/>
          <w:rtl/>
        </w:rPr>
        <w:t xml:space="preserve"> </w:t>
      </w:r>
      <w:r w:rsidRPr="00FD211F">
        <w:rPr>
          <w:sz w:val="36"/>
          <w:szCs w:val="36"/>
          <w:rtl/>
        </w:rPr>
        <w:t>ان تصوير الجامع للأعم من الصحيح والفاسد في غاي</w:t>
      </w:r>
      <w:r w:rsidR="00EC7EDF" w:rsidRPr="00FD211F">
        <w:rPr>
          <w:sz w:val="36"/>
          <w:szCs w:val="36"/>
          <w:rtl/>
        </w:rPr>
        <w:t xml:space="preserve">ة </w:t>
      </w:r>
      <w:r w:rsidRPr="00FD211F">
        <w:rPr>
          <w:sz w:val="36"/>
          <w:szCs w:val="36"/>
          <w:rtl/>
        </w:rPr>
        <w:t>الاشكال</w:t>
      </w:r>
      <w:r w:rsidR="00603323" w:rsidRPr="00FD211F">
        <w:rPr>
          <w:sz w:val="36"/>
          <w:szCs w:val="36"/>
          <w:rtl/>
        </w:rPr>
        <w:t xml:space="preserve">، </w:t>
      </w:r>
      <w:r w:rsidRPr="00FD211F">
        <w:rPr>
          <w:sz w:val="36"/>
          <w:szCs w:val="36"/>
          <w:rtl/>
        </w:rPr>
        <w:t>ولكن ذُكرت عد</w:t>
      </w:r>
      <w:r w:rsidR="00EC7EDF" w:rsidRPr="00FD211F">
        <w:rPr>
          <w:sz w:val="36"/>
          <w:szCs w:val="36"/>
          <w:rtl/>
        </w:rPr>
        <w:t xml:space="preserve">ة </w:t>
      </w:r>
      <w:r w:rsidRPr="00FD211F">
        <w:rPr>
          <w:sz w:val="36"/>
          <w:szCs w:val="36"/>
          <w:rtl/>
        </w:rPr>
        <w:t>وجوه لتصوير الجامع الأعمي</w:t>
      </w:r>
      <w:r w:rsidR="00603323" w:rsidRPr="00FD211F">
        <w:rPr>
          <w:sz w:val="36"/>
          <w:szCs w:val="36"/>
          <w:rtl/>
        </w:rPr>
        <w:t xml:space="preserve">، </w:t>
      </w:r>
      <w:r w:rsidRPr="00FD211F">
        <w:rPr>
          <w:sz w:val="36"/>
          <w:szCs w:val="36"/>
          <w:rtl/>
        </w:rPr>
        <w:t>أهمها ما يلي:</w:t>
      </w:r>
    </w:p>
    <w:p w14:paraId="72EC17A0" w14:textId="77777777" w:rsidR="00052BF2" w:rsidRPr="00FD211F" w:rsidRDefault="00052BF2" w:rsidP="009C58C8">
      <w:pPr>
        <w:ind w:left="0" w:firstLine="227"/>
        <w:jc w:val="both"/>
        <w:rPr>
          <w:sz w:val="36"/>
          <w:szCs w:val="36"/>
          <w:rtl/>
        </w:rPr>
      </w:pPr>
      <w:r w:rsidRPr="00FD211F">
        <w:rPr>
          <w:b/>
          <w:bCs/>
          <w:sz w:val="36"/>
          <w:szCs w:val="36"/>
          <w:rtl/>
        </w:rPr>
        <w:t>الوجه الأول</w:t>
      </w:r>
      <w:r w:rsidRPr="00FD211F">
        <w:rPr>
          <w:sz w:val="36"/>
          <w:szCs w:val="36"/>
          <w:rtl/>
        </w:rPr>
        <w:t>: ما ذكره المحقق الاصفهاني</w:t>
      </w:r>
      <w:r w:rsidR="004129AC" w:rsidRPr="00FD211F">
        <w:rPr>
          <w:sz w:val="36"/>
          <w:szCs w:val="36"/>
          <w:rtl/>
        </w:rPr>
        <w:t>"قده"</w:t>
      </w:r>
      <w:r w:rsidRPr="00FD211F">
        <w:rPr>
          <w:sz w:val="36"/>
          <w:szCs w:val="36"/>
          <w:rtl/>
        </w:rPr>
        <w:t xml:space="preserve"> من ان الصلا</w:t>
      </w:r>
      <w:r w:rsidR="00EC7EDF" w:rsidRPr="00FD211F">
        <w:rPr>
          <w:sz w:val="36"/>
          <w:szCs w:val="36"/>
          <w:rtl/>
        </w:rPr>
        <w:t xml:space="preserve">ة </w:t>
      </w:r>
      <w:r w:rsidRPr="00FD211F">
        <w:rPr>
          <w:sz w:val="36"/>
          <w:szCs w:val="36"/>
          <w:rtl/>
        </w:rPr>
        <w:t>التي تكون صحيح</w:t>
      </w:r>
      <w:r w:rsidR="00EC7EDF" w:rsidRPr="00FD211F">
        <w:rPr>
          <w:sz w:val="36"/>
          <w:szCs w:val="36"/>
          <w:rtl/>
        </w:rPr>
        <w:t xml:space="preserve">ة </w:t>
      </w:r>
      <w:r w:rsidRPr="00FD211F">
        <w:rPr>
          <w:sz w:val="36"/>
          <w:szCs w:val="36"/>
          <w:rtl/>
        </w:rPr>
        <w:t>ولو في بعض الحالات كالصلا</w:t>
      </w:r>
      <w:r w:rsidR="00EC7EDF" w:rsidRPr="00FD211F">
        <w:rPr>
          <w:sz w:val="36"/>
          <w:szCs w:val="36"/>
          <w:rtl/>
        </w:rPr>
        <w:t xml:space="preserve">ة </w:t>
      </w:r>
      <w:r w:rsidRPr="00FD211F">
        <w:rPr>
          <w:sz w:val="36"/>
          <w:szCs w:val="36"/>
          <w:rtl/>
        </w:rPr>
        <w:t>جالسا او مضطجعا حيث تكون لامحال</w:t>
      </w:r>
      <w:r w:rsidR="00EC7EDF" w:rsidRPr="00FD211F">
        <w:rPr>
          <w:sz w:val="36"/>
          <w:szCs w:val="36"/>
          <w:rtl/>
        </w:rPr>
        <w:t xml:space="preserve">ة </w:t>
      </w:r>
      <w:r w:rsidRPr="00FD211F">
        <w:rPr>
          <w:sz w:val="36"/>
          <w:szCs w:val="36"/>
          <w:rtl/>
        </w:rPr>
        <w:t>مقتضي</w:t>
      </w:r>
      <w:r w:rsidR="00EC7EDF" w:rsidRPr="00FD211F">
        <w:rPr>
          <w:sz w:val="36"/>
          <w:szCs w:val="36"/>
          <w:rtl/>
        </w:rPr>
        <w:t xml:space="preserve">ة </w:t>
      </w:r>
      <w:r w:rsidRPr="00FD211F">
        <w:rPr>
          <w:sz w:val="36"/>
          <w:szCs w:val="36"/>
          <w:rtl/>
        </w:rPr>
        <w:t>لأثر النهي عن الفحشاء والمنكر</w:t>
      </w:r>
      <w:r w:rsidR="00603323" w:rsidRPr="00FD211F">
        <w:rPr>
          <w:sz w:val="36"/>
          <w:szCs w:val="36"/>
          <w:rtl/>
        </w:rPr>
        <w:t xml:space="preserve">، </w:t>
      </w:r>
      <w:r w:rsidRPr="00FD211F">
        <w:rPr>
          <w:sz w:val="36"/>
          <w:szCs w:val="36"/>
          <w:rtl/>
        </w:rPr>
        <w:t>وان كان فعلي</w:t>
      </w:r>
      <w:r w:rsidR="00EC7EDF" w:rsidRPr="00FD211F">
        <w:rPr>
          <w:sz w:val="36"/>
          <w:szCs w:val="36"/>
          <w:rtl/>
        </w:rPr>
        <w:t xml:space="preserve">ة </w:t>
      </w:r>
      <w:r w:rsidRPr="00FD211F">
        <w:rPr>
          <w:sz w:val="36"/>
          <w:szCs w:val="36"/>
          <w:rtl/>
        </w:rPr>
        <w:t>تأثيرها مشروط</w:t>
      </w:r>
      <w:r w:rsidR="00EC7EDF" w:rsidRPr="00FD211F">
        <w:rPr>
          <w:sz w:val="36"/>
          <w:szCs w:val="36"/>
          <w:rtl/>
        </w:rPr>
        <w:t xml:space="preserve">ة </w:t>
      </w:r>
      <w:r w:rsidRPr="00FD211F">
        <w:rPr>
          <w:sz w:val="36"/>
          <w:szCs w:val="36"/>
          <w:rtl/>
        </w:rPr>
        <w:t>بصدورها من فاعل خاص</w:t>
      </w:r>
      <w:r w:rsidR="00603323" w:rsidRPr="00FD211F">
        <w:rPr>
          <w:sz w:val="36"/>
          <w:szCs w:val="36"/>
          <w:rtl/>
        </w:rPr>
        <w:t xml:space="preserve">، </w:t>
      </w:r>
      <w:r w:rsidRPr="00FD211F">
        <w:rPr>
          <w:sz w:val="36"/>
          <w:szCs w:val="36"/>
          <w:rtl/>
        </w:rPr>
        <w:t>فيكون الجامع البسيط الذي استكشفه صاحب الكفاي</w:t>
      </w:r>
      <w:r w:rsidR="00EC7EDF" w:rsidRPr="00FD211F">
        <w:rPr>
          <w:sz w:val="36"/>
          <w:szCs w:val="36"/>
          <w:rtl/>
        </w:rPr>
        <w:t xml:space="preserve">ة </w:t>
      </w:r>
      <w:r w:rsidR="004129AC" w:rsidRPr="00FD211F">
        <w:rPr>
          <w:sz w:val="36"/>
          <w:szCs w:val="36"/>
          <w:rtl/>
        </w:rPr>
        <w:t>"</w:t>
      </w:r>
      <w:r w:rsidRPr="00FD211F">
        <w:rPr>
          <w:sz w:val="36"/>
          <w:szCs w:val="36"/>
          <w:rtl/>
        </w:rPr>
        <w:t>قده</w:t>
      </w:r>
      <w:r w:rsidR="004129AC" w:rsidRPr="00FD211F">
        <w:rPr>
          <w:sz w:val="36"/>
          <w:szCs w:val="36"/>
          <w:rtl/>
        </w:rPr>
        <w:t>"</w:t>
      </w:r>
      <w:r w:rsidRPr="00FD211F">
        <w:rPr>
          <w:sz w:val="36"/>
          <w:szCs w:val="36"/>
          <w:rtl/>
        </w:rPr>
        <w:t xml:space="preserve"> للصلوات الصحيح</w:t>
      </w:r>
      <w:r w:rsidR="00EC7EDF" w:rsidRPr="00FD211F">
        <w:rPr>
          <w:sz w:val="36"/>
          <w:szCs w:val="36"/>
          <w:rtl/>
        </w:rPr>
        <w:t xml:space="preserve">ة </w:t>
      </w:r>
      <w:r w:rsidRPr="00FD211F">
        <w:rPr>
          <w:sz w:val="36"/>
          <w:szCs w:val="36"/>
          <w:rtl/>
        </w:rPr>
        <w:t>من وحد</w:t>
      </w:r>
      <w:r w:rsidR="00EC7EDF" w:rsidRPr="00FD211F">
        <w:rPr>
          <w:sz w:val="36"/>
          <w:szCs w:val="36"/>
          <w:rtl/>
        </w:rPr>
        <w:t xml:space="preserve">ة </w:t>
      </w:r>
      <w:r w:rsidRPr="00FD211F">
        <w:rPr>
          <w:sz w:val="36"/>
          <w:szCs w:val="36"/>
          <w:rtl/>
        </w:rPr>
        <w:t>الأثر بنفسه جامعا للأعم</w:t>
      </w:r>
      <w:r w:rsidR="00603323" w:rsidRPr="00FD211F">
        <w:rPr>
          <w:sz w:val="36"/>
          <w:szCs w:val="36"/>
          <w:rtl/>
        </w:rPr>
        <w:t xml:space="preserve">، </w:t>
      </w:r>
      <w:r w:rsidRPr="00FD211F">
        <w:rPr>
          <w:sz w:val="36"/>
          <w:szCs w:val="36"/>
          <w:rtl/>
        </w:rPr>
        <w:t>حيث يستكشف جامع ذاتي بين الصلا</w:t>
      </w:r>
      <w:r w:rsidR="00EC7EDF" w:rsidRPr="00FD211F">
        <w:rPr>
          <w:sz w:val="36"/>
          <w:szCs w:val="36"/>
          <w:rtl/>
        </w:rPr>
        <w:t xml:space="preserve">ة </w:t>
      </w:r>
      <w:r w:rsidRPr="00FD211F">
        <w:rPr>
          <w:sz w:val="36"/>
          <w:szCs w:val="36"/>
          <w:rtl/>
        </w:rPr>
        <w:t>جالسا وبين الصلا</w:t>
      </w:r>
      <w:r w:rsidR="00EC7EDF" w:rsidRPr="00FD211F">
        <w:rPr>
          <w:sz w:val="36"/>
          <w:szCs w:val="36"/>
          <w:rtl/>
        </w:rPr>
        <w:t xml:space="preserve">ة </w:t>
      </w:r>
      <w:r w:rsidRPr="00FD211F">
        <w:rPr>
          <w:sz w:val="36"/>
          <w:szCs w:val="36"/>
          <w:rtl/>
        </w:rPr>
        <w:t>قائما مثلا</w:t>
      </w:r>
      <w:r w:rsidR="00603323" w:rsidRPr="00FD211F">
        <w:rPr>
          <w:sz w:val="36"/>
          <w:szCs w:val="36"/>
          <w:rtl/>
        </w:rPr>
        <w:t xml:space="preserve">، </w:t>
      </w:r>
      <w:r w:rsidRPr="00FD211F">
        <w:rPr>
          <w:sz w:val="36"/>
          <w:szCs w:val="36"/>
          <w:rtl/>
        </w:rPr>
        <w:t>لاجل ان لكل منهما اقتضاء التأثير في اثر مشترك</w:t>
      </w:r>
      <w:r w:rsidR="00603323" w:rsidRPr="00FD211F">
        <w:rPr>
          <w:sz w:val="36"/>
          <w:szCs w:val="36"/>
          <w:rtl/>
        </w:rPr>
        <w:t xml:space="preserve">، </w:t>
      </w:r>
      <w:r w:rsidRPr="00FD211F">
        <w:rPr>
          <w:sz w:val="36"/>
          <w:szCs w:val="36"/>
          <w:rtl/>
        </w:rPr>
        <w:t>وان كانت فعلي</w:t>
      </w:r>
      <w:r w:rsidR="00EC7EDF" w:rsidRPr="00FD211F">
        <w:rPr>
          <w:sz w:val="36"/>
          <w:szCs w:val="36"/>
          <w:rtl/>
        </w:rPr>
        <w:t xml:space="preserve">ة </w:t>
      </w:r>
      <w:r w:rsidRPr="00FD211F">
        <w:rPr>
          <w:sz w:val="36"/>
          <w:szCs w:val="36"/>
          <w:rtl/>
        </w:rPr>
        <w:t>تأثير أي منهما مشروط</w:t>
      </w:r>
      <w:r w:rsidR="00EC7EDF" w:rsidRPr="00FD211F">
        <w:rPr>
          <w:sz w:val="36"/>
          <w:szCs w:val="36"/>
          <w:rtl/>
        </w:rPr>
        <w:t xml:space="preserve">ة </w:t>
      </w:r>
      <w:r w:rsidRPr="00FD211F">
        <w:rPr>
          <w:sz w:val="36"/>
          <w:szCs w:val="36"/>
          <w:rtl/>
        </w:rPr>
        <w:t>بصدورها في حال خاص.</w:t>
      </w:r>
    </w:p>
    <w:p w14:paraId="66534451" w14:textId="77777777" w:rsidR="00052BF2" w:rsidRPr="00FD211F" w:rsidRDefault="00052BF2" w:rsidP="009C58C8">
      <w:pPr>
        <w:ind w:left="0" w:firstLine="227"/>
        <w:jc w:val="both"/>
        <w:rPr>
          <w:sz w:val="36"/>
          <w:szCs w:val="36"/>
          <w:rtl/>
        </w:rPr>
      </w:pPr>
      <w:r w:rsidRPr="00FD211F">
        <w:rPr>
          <w:sz w:val="36"/>
          <w:szCs w:val="36"/>
          <w:rtl/>
        </w:rPr>
        <w:t>ويلاحظ عليه: ان بعض القيود معتبر</w:t>
      </w:r>
      <w:r w:rsidR="00EC7EDF" w:rsidRPr="00FD211F">
        <w:rPr>
          <w:sz w:val="36"/>
          <w:szCs w:val="36"/>
          <w:rtl/>
        </w:rPr>
        <w:t xml:space="preserve">ة </w:t>
      </w:r>
      <w:r w:rsidRPr="00FD211F">
        <w:rPr>
          <w:sz w:val="36"/>
          <w:szCs w:val="36"/>
          <w:rtl/>
        </w:rPr>
        <w:t>في الصلا</w:t>
      </w:r>
      <w:r w:rsidR="00EC7EDF" w:rsidRPr="00FD211F">
        <w:rPr>
          <w:sz w:val="36"/>
          <w:szCs w:val="36"/>
          <w:rtl/>
        </w:rPr>
        <w:t xml:space="preserve">ة </w:t>
      </w:r>
      <w:r w:rsidRPr="00FD211F">
        <w:rPr>
          <w:sz w:val="36"/>
          <w:szCs w:val="36"/>
          <w:rtl/>
        </w:rPr>
        <w:t>في جميع الحالات كالطهار</w:t>
      </w:r>
      <w:r w:rsidR="00EC7EDF" w:rsidRPr="00FD211F">
        <w:rPr>
          <w:sz w:val="36"/>
          <w:szCs w:val="36"/>
          <w:rtl/>
        </w:rPr>
        <w:t xml:space="preserve">ة </w:t>
      </w:r>
      <w:r w:rsidRPr="00FD211F">
        <w:rPr>
          <w:sz w:val="36"/>
          <w:szCs w:val="36"/>
          <w:rtl/>
        </w:rPr>
        <w:t>من الحدث</w:t>
      </w:r>
      <w:r w:rsidR="00603323" w:rsidRPr="00FD211F">
        <w:rPr>
          <w:sz w:val="36"/>
          <w:szCs w:val="36"/>
          <w:rtl/>
        </w:rPr>
        <w:t xml:space="preserve">، </w:t>
      </w:r>
      <w:r w:rsidRPr="00FD211F">
        <w:rPr>
          <w:sz w:val="36"/>
          <w:szCs w:val="36"/>
          <w:rtl/>
        </w:rPr>
        <w:t>والصلا</w:t>
      </w:r>
      <w:r w:rsidR="00EC7EDF" w:rsidRPr="00FD211F">
        <w:rPr>
          <w:sz w:val="36"/>
          <w:szCs w:val="36"/>
          <w:rtl/>
        </w:rPr>
        <w:t xml:space="preserve">ة </w:t>
      </w:r>
      <w:r w:rsidRPr="00FD211F">
        <w:rPr>
          <w:sz w:val="36"/>
          <w:szCs w:val="36"/>
          <w:rtl/>
        </w:rPr>
        <w:t>بدونها فاسد</w:t>
      </w:r>
      <w:r w:rsidR="00EC7EDF" w:rsidRPr="00FD211F">
        <w:rPr>
          <w:sz w:val="36"/>
          <w:szCs w:val="36"/>
          <w:rtl/>
        </w:rPr>
        <w:t xml:space="preserve">ة </w:t>
      </w:r>
      <w:r w:rsidRPr="00FD211F">
        <w:rPr>
          <w:sz w:val="36"/>
          <w:szCs w:val="36"/>
          <w:rtl/>
        </w:rPr>
        <w:t>على أي حال</w:t>
      </w:r>
      <w:r w:rsidR="00603323" w:rsidRPr="00FD211F">
        <w:rPr>
          <w:sz w:val="36"/>
          <w:szCs w:val="36"/>
          <w:rtl/>
        </w:rPr>
        <w:t xml:space="preserve">، </w:t>
      </w:r>
      <w:r w:rsidRPr="00FD211F">
        <w:rPr>
          <w:sz w:val="36"/>
          <w:szCs w:val="36"/>
          <w:rtl/>
        </w:rPr>
        <w:t>فلازم ما ذكره من التصوير للجامع الأعمي هو عدم صدق مسمى الصلا</w:t>
      </w:r>
      <w:r w:rsidR="00EC7EDF" w:rsidRPr="00FD211F">
        <w:rPr>
          <w:sz w:val="36"/>
          <w:szCs w:val="36"/>
          <w:rtl/>
        </w:rPr>
        <w:t xml:space="preserve">ة </w:t>
      </w:r>
      <w:r w:rsidRPr="00FD211F">
        <w:rPr>
          <w:sz w:val="36"/>
          <w:szCs w:val="36"/>
          <w:rtl/>
        </w:rPr>
        <w:t>على فاقد الطهار</w:t>
      </w:r>
      <w:r w:rsidR="00EC7EDF" w:rsidRPr="00FD211F">
        <w:rPr>
          <w:sz w:val="36"/>
          <w:szCs w:val="36"/>
          <w:rtl/>
        </w:rPr>
        <w:t xml:space="preserve">ة </w:t>
      </w:r>
      <w:r w:rsidRPr="00FD211F">
        <w:rPr>
          <w:sz w:val="36"/>
          <w:szCs w:val="36"/>
          <w:rtl/>
        </w:rPr>
        <w:t>من الحدث</w:t>
      </w:r>
      <w:r w:rsidR="00603323" w:rsidRPr="00FD211F">
        <w:rPr>
          <w:sz w:val="36"/>
          <w:szCs w:val="36"/>
          <w:rtl/>
        </w:rPr>
        <w:t xml:space="preserve">، </w:t>
      </w:r>
      <w:r w:rsidRPr="00FD211F">
        <w:rPr>
          <w:sz w:val="36"/>
          <w:szCs w:val="36"/>
          <w:rtl/>
        </w:rPr>
        <w:t>مع انه قد استعمل فيه لفظ الصلا</w:t>
      </w:r>
      <w:r w:rsidR="00EC7EDF" w:rsidRPr="00FD211F">
        <w:rPr>
          <w:sz w:val="36"/>
          <w:szCs w:val="36"/>
          <w:rtl/>
        </w:rPr>
        <w:t>ة</w:t>
      </w:r>
      <w:r w:rsidR="00603323" w:rsidRPr="00FD211F">
        <w:rPr>
          <w:sz w:val="36"/>
          <w:szCs w:val="36"/>
          <w:rtl/>
        </w:rPr>
        <w:t xml:space="preserve">، </w:t>
      </w:r>
      <w:r w:rsidRPr="00FD211F">
        <w:rPr>
          <w:sz w:val="36"/>
          <w:szCs w:val="36"/>
          <w:rtl/>
        </w:rPr>
        <w:t>فقد ورد في صحيح</w:t>
      </w:r>
      <w:r w:rsidR="00EC7EDF" w:rsidRPr="00FD211F">
        <w:rPr>
          <w:sz w:val="36"/>
          <w:szCs w:val="36"/>
          <w:rtl/>
        </w:rPr>
        <w:t xml:space="preserve">ة </w:t>
      </w:r>
      <w:r w:rsidRPr="00FD211F">
        <w:rPr>
          <w:sz w:val="36"/>
          <w:szCs w:val="36"/>
          <w:rtl/>
        </w:rPr>
        <w:t>زرار</w:t>
      </w:r>
      <w:r w:rsidR="00EC7EDF" w:rsidRPr="00FD211F">
        <w:rPr>
          <w:sz w:val="36"/>
          <w:szCs w:val="36"/>
          <w:rtl/>
        </w:rPr>
        <w:t xml:space="preserve">ة </w:t>
      </w:r>
      <w:r w:rsidRPr="00FD211F">
        <w:rPr>
          <w:sz w:val="36"/>
          <w:szCs w:val="36"/>
          <w:rtl/>
        </w:rPr>
        <w:t xml:space="preserve">عن ابي جعفر </w:t>
      </w:r>
      <w:r w:rsidR="007A4A0D" w:rsidRPr="00FD211F">
        <w:rPr>
          <w:sz w:val="36"/>
          <w:szCs w:val="36"/>
          <w:rtl/>
        </w:rPr>
        <w:t>(عليه‌السلام)</w:t>
      </w:r>
      <w:r w:rsidRPr="00FD211F">
        <w:rPr>
          <w:sz w:val="36"/>
          <w:szCs w:val="36"/>
          <w:rtl/>
        </w:rPr>
        <w:t xml:space="preserve"> انه سئل عن رجل صلى بغير طهور فقال يقضيها اذا ذكرها</w:t>
      </w:r>
      <w:r w:rsidR="009C58C8" w:rsidRPr="00FD211F">
        <w:rPr>
          <w:rStyle w:val="a6"/>
          <w:sz w:val="36"/>
          <w:szCs w:val="36"/>
          <w:rtl/>
        </w:rPr>
        <w:t>(</w:t>
      </w:r>
      <w:r w:rsidR="009C58C8" w:rsidRPr="00FD211F">
        <w:rPr>
          <w:rStyle w:val="a6"/>
          <w:sz w:val="36"/>
          <w:szCs w:val="36"/>
          <w:rtl/>
        </w:rPr>
        <w:footnoteReference w:id="382"/>
      </w:r>
      <w:r w:rsidR="009C58C8" w:rsidRPr="00FD211F">
        <w:rPr>
          <w:rStyle w:val="a6"/>
          <w:sz w:val="36"/>
          <w:szCs w:val="36"/>
          <w:rtl/>
        </w:rPr>
        <w:t>)</w:t>
      </w:r>
      <w:r w:rsidR="00603323" w:rsidRPr="00FD211F">
        <w:rPr>
          <w:sz w:val="36"/>
          <w:szCs w:val="36"/>
          <w:rtl/>
        </w:rPr>
        <w:t xml:space="preserve">، </w:t>
      </w:r>
      <w:r w:rsidRPr="00FD211F">
        <w:rPr>
          <w:sz w:val="36"/>
          <w:szCs w:val="36"/>
          <w:rtl/>
        </w:rPr>
        <w:t>كما</w:t>
      </w:r>
      <w:r w:rsidR="000F3203" w:rsidRPr="00FD211F">
        <w:rPr>
          <w:sz w:val="36"/>
          <w:szCs w:val="36"/>
          <w:rtl/>
        </w:rPr>
        <w:t xml:space="preserve"> ورد انه اذا دخل الوقت فقد وجب</w:t>
      </w:r>
      <w:r w:rsidRPr="00FD211F">
        <w:rPr>
          <w:sz w:val="36"/>
          <w:szCs w:val="36"/>
          <w:rtl/>
        </w:rPr>
        <w:t xml:space="preserve"> </w:t>
      </w:r>
      <w:r w:rsidR="000F3203" w:rsidRPr="00FD211F">
        <w:rPr>
          <w:sz w:val="36"/>
          <w:szCs w:val="36"/>
          <w:rtl/>
        </w:rPr>
        <w:t>الطهور</w:t>
      </w:r>
      <w:r w:rsidR="0071375F" w:rsidRPr="00FD211F">
        <w:rPr>
          <w:sz w:val="36"/>
          <w:szCs w:val="36"/>
          <w:rtl/>
        </w:rPr>
        <w:t xml:space="preserve"> </w:t>
      </w:r>
      <w:r w:rsidR="000F3203" w:rsidRPr="00FD211F">
        <w:rPr>
          <w:sz w:val="36"/>
          <w:szCs w:val="36"/>
          <w:rtl/>
        </w:rPr>
        <w:t>و</w:t>
      </w:r>
      <w:r w:rsidRPr="00FD211F">
        <w:rPr>
          <w:sz w:val="36"/>
          <w:szCs w:val="36"/>
          <w:rtl/>
        </w:rPr>
        <w:t>الصلا</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383"/>
      </w:r>
      <w:r w:rsidR="009C58C8" w:rsidRPr="00FD211F">
        <w:rPr>
          <w:rStyle w:val="a6"/>
          <w:sz w:val="36"/>
          <w:szCs w:val="36"/>
          <w:rtl/>
        </w:rPr>
        <w:t>)</w:t>
      </w:r>
      <w:r w:rsidR="00603323" w:rsidRPr="00FD211F">
        <w:rPr>
          <w:sz w:val="36"/>
          <w:szCs w:val="36"/>
          <w:rtl/>
        </w:rPr>
        <w:t xml:space="preserve">، </w:t>
      </w:r>
      <w:r w:rsidRPr="00FD211F">
        <w:rPr>
          <w:sz w:val="36"/>
          <w:szCs w:val="36"/>
          <w:rtl/>
        </w:rPr>
        <w:t>فلو كان الطهور جزءً لمسمى الصلا</w:t>
      </w:r>
      <w:r w:rsidR="00EC7EDF" w:rsidRPr="00FD211F">
        <w:rPr>
          <w:sz w:val="36"/>
          <w:szCs w:val="36"/>
          <w:rtl/>
        </w:rPr>
        <w:t>ة</w:t>
      </w:r>
      <w:r w:rsidR="008D7B3D" w:rsidRPr="00FD211F">
        <w:rPr>
          <w:sz w:val="36"/>
          <w:szCs w:val="36"/>
          <w:rtl/>
        </w:rPr>
        <w:t xml:space="preserve"> لم‌</w:t>
      </w:r>
      <w:r w:rsidRPr="00FD211F">
        <w:rPr>
          <w:sz w:val="36"/>
          <w:szCs w:val="36"/>
          <w:rtl/>
        </w:rPr>
        <w:t>ي</w:t>
      </w:r>
      <w:r w:rsidR="004129AC" w:rsidRPr="00FD211F">
        <w:rPr>
          <w:sz w:val="36"/>
          <w:szCs w:val="36"/>
          <w:rtl/>
        </w:rPr>
        <w:t>تناسب</w:t>
      </w:r>
      <w:r w:rsidRPr="00FD211F">
        <w:rPr>
          <w:sz w:val="36"/>
          <w:szCs w:val="36"/>
          <w:rtl/>
        </w:rPr>
        <w:t xml:space="preserve"> هذا العطف</w:t>
      </w:r>
      <w:r w:rsidR="00603323" w:rsidRPr="00FD211F">
        <w:rPr>
          <w:sz w:val="36"/>
          <w:szCs w:val="36"/>
          <w:rtl/>
        </w:rPr>
        <w:t xml:space="preserve">، </w:t>
      </w:r>
      <w:r w:rsidRPr="00FD211F">
        <w:rPr>
          <w:sz w:val="36"/>
          <w:szCs w:val="36"/>
          <w:rtl/>
        </w:rPr>
        <w:t>فانه يكون نظير ان يقال وجبت الصلا</w:t>
      </w:r>
      <w:r w:rsidR="00EC7EDF" w:rsidRPr="00FD211F">
        <w:rPr>
          <w:sz w:val="36"/>
          <w:szCs w:val="36"/>
          <w:rtl/>
        </w:rPr>
        <w:t xml:space="preserve">ة </w:t>
      </w:r>
      <w:r w:rsidRPr="00FD211F">
        <w:rPr>
          <w:sz w:val="36"/>
          <w:szCs w:val="36"/>
          <w:rtl/>
        </w:rPr>
        <w:t>والركوع.</w:t>
      </w:r>
    </w:p>
    <w:p w14:paraId="2370C68C" w14:textId="77777777" w:rsidR="00052BF2" w:rsidRPr="00FD211F" w:rsidRDefault="00052BF2" w:rsidP="009C58C8">
      <w:pPr>
        <w:ind w:left="0" w:firstLine="227"/>
        <w:jc w:val="both"/>
        <w:rPr>
          <w:sz w:val="36"/>
          <w:szCs w:val="36"/>
          <w:rtl/>
        </w:rPr>
      </w:pPr>
      <w:r w:rsidRPr="00FD211F">
        <w:rPr>
          <w:b/>
          <w:bCs/>
          <w:sz w:val="36"/>
          <w:szCs w:val="36"/>
          <w:rtl/>
        </w:rPr>
        <w:t>الوجه الثاني</w:t>
      </w:r>
      <w:r w:rsidRPr="00FD211F">
        <w:rPr>
          <w:sz w:val="36"/>
          <w:szCs w:val="36"/>
          <w:rtl/>
        </w:rPr>
        <w:t xml:space="preserve">: ما عن المحقق القمي </w:t>
      </w:r>
      <w:r w:rsidR="004129AC" w:rsidRPr="00FD211F">
        <w:rPr>
          <w:sz w:val="36"/>
          <w:szCs w:val="36"/>
          <w:rtl/>
        </w:rPr>
        <w:t>"</w:t>
      </w:r>
      <w:r w:rsidRPr="00FD211F">
        <w:rPr>
          <w:sz w:val="36"/>
          <w:szCs w:val="36"/>
          <w:rtl/>
        </w:rPr>
        <w:t>قده</w:t>
      </w:r>
      <w:r w:rsidR="004129AC" w:rsidRPr="00FD211F">
        <w:rPr>
          <w:sz w:val="36"/>
          <w:szCs w:val="36"/>
          <w:rtl/>
        </w:rPr>
        <w:t>"</w:t>
      </w:r>
      <w:r w:rsidRPr="00FD211F">
        <w:rPr>
          <w:sz w:val="36"/>
          <w:szCs w:val="36"/>
          <w:rtl/>
        </w:rPr>
        <w:t xml:space="preserve"> من ان الفاظ العبادات موضوع</w:t>
      </w:r>
      <w:r w:rsidR="00EC7EDF" w:rsidRPr="00FD211F">
        <w:rPr>
          <w:sz w:val="36"/>
          <w:szCs w:val="36"/>
          <w:rtl/>
        </w:rPr>
        <w:t xml:space="preserve">ة </w:t>
      </w:r>
      <w:r w:rsidRPr="00FD211F">
        <w:rPr>
          <w:sz w:val="36"/>
          <w:szCs w:val="36"/>
          <w:rtl/>
        </w:rPr>
        <w:t>بإزاء الاركان</w:t>
      </w:r>
      <w:r w:rsidR="00603323" w:rsidRPr="00FD211F">
        <w:rPr>
          <w:sz w:val="36"/>
          <w:szCs w:val="36"/>
          <w:rtl/>
        </w:rPr>
        <w:t xml:space="preserve">، </w:t>
      </w:r>
      <w:r w:rsidRPr="00FD211F">
        <w:rPr>
          <w:sz w:val="36"/>
          <w:szCs w:val="36"/>
          <w:rtl/>
        </w:rPr>
        <w:t>وأما سائر الأجزاء والشرائط فهي دخيل</w:t>
      </w:r>
      <w:r w:rsidR="00EC7EDF" w:rsidRPr="00FD211F">
        <w:rPr>
          <w:sz w:val="36"/>
          <w:szCs w:val="36"/>
          <w:rtl/>
        </w:rPr>
        <w:t xml:space="preserve">ة </w:t>
      </w:r>
      <w:r w:rsidRPr="00FD211F">
        <w:rPr>
          <w:sz w:val="36"/>
          <w:szCs w:val="36"/>
          <w:rtl/>
        </w:rPr>
        <w:t>في المأمور به دون المسمى</w:t>
      </w:r>
      <w:r w:rsidR="00603323" w:rsidRPr="00FD211F">
        <w:rPr>
          <w:sz w:val="36"/>
          <w:szCs w:val="36"/>
          <w:rtl/>
        </w:rPr>
        <w:t xml:space="preserve">، </w:t>
      </w:r>
      <w:r w:rsidRPr="00FD211F">
        <w:rPr>
          <w:sz w:val="36"/>
          <w:szCs w:val="36"/>
          <w:rtl/>
        </w:rPr>
        <w:t>فلفظ الصلا</w:t>
      </w:r>
      <w:r w:rsidR="00EC7EDF" w:rsidRPr="00FD211F">
        <w:rPr>
          <w:sz w:val="36"/>
          <w:szCs w:val="36"/>
          <w:rtl/>
        </w:rPr>
        <w:t xml:space="preserve">ة </w:t>
      </w:r>
      <w:r w:rsidRPr="00FD211F">
        <w:rPr>
          <w:sz w:val="36"/>
          <w:szCs w:val="36"/>
          <w:rtl/>
        </w:rPr>
        <w:t>مثلا موضوع لذات التكبير</w:t>
      </w:r>
      <w:r w:rsidR="00EC7EDF" w:rsidRPr="00FD211F">
        <w:rPr>
          <w:sz w:val="36"/>
          <w:szCs w:val="36"/>
          <w:rtl/>
        </w:rPr>
        <w:t xml:space="preserve">ة </w:t>
      </w:r>
      <w:r w:rsidRPr="00FD211F">
        <w:rPr>
          <w:sz w:val="36"/>
          <w:szCs w:val="36"/>
          <w:rtl/>
        </w:rPr>
        <w:t>والركوع والسجود والطهار</w:t>
      </w:r>
      <w:r w:rsidR="00EC7EDF" w:rsidRPr="00FD211F">
        <w:rPr>
          <w:sz w:val="36"/>
          <w:szCs w:val="36"/>
          <w:rtl/>
        </w:rPr>
        <w:t xml:space="preserve">ة </w:t>
      </w:r>
      <w:r w:rsidRPr="00FD211F">
        <w:rPr>
          <w:sz w:val="36"/>
          <w:szCs w:val="36"/>
          <w:rtl/>
        </w:rPr>
        <w:t>من الحدث</w:t>
      </w:r>
      <w:r w:rsidR="009C58C8" w:rsidRPr="00FD211F">
        <w:rPr>
          <w:rStyle w:val="a6"/>
          <w:sz w:val="36"/>
          <w:szCs w:val="36"/>
          <w:rtl/>
        </w:rPr>
        <w:t>(</w:t>
      </w:r>
      <w:r w:rsidR="009C58C8" w:rsidRPr="00FD211F">
        <w:rPr>
          <w:rStyle w:val="a6"/>
          <w:sz w:val="36"/>
          <w:szCs w:val="36"/>
          <w:rtl/>
        </w:rPr>
        <w:footnoteReference w:id="384"/>
      </w:r>
      <w:r w:rsidR="009C58C8" w:rsidRPr="00FD211F">
        <w:rPr>
          <w:rStyle w:val="a6"/>
          <w:sz w:val="36"/>
          <w:szCs w:val="36"/>
          <w:rtl/>
        </w:rPr>
        <w:t>)</w:t>
      </w:r>
      <w:r w:rsidRPr="00FD211F">
        <w:rPr>
          <w:sz w:val="36"/>
          <w:szCs w:val="36"/>
          <w:rtl/>
        </w:rPr>
        <w:t>.</w:t>
      </w:r>
    </w:p>
    <w:p w14:paraId="387DAAA6" w14:textId="77777777" w:rsidR="00052BF2" w:rsidRPr="00FD211F" w:rsidRDefault="00052BF2" w:rsidP="009C58C8">
      <w:pPr>
        <w:ind w:left="0" w:firstLine="227"/>
        <w:jc w:val="both"/>
        <w:rPr>
          <w:sz w:val="36"/>
          <w:szCs w:val="36"/>
          <w:rtl/>
        </w:rPr>
      </w:pPr>
      <w:r w:rsidRPr="00FD211F">
        <w:rPr>
          <w:sz w:val="36"/>
          <w:szCs w:val="36"/>
          <w:rtl/>
        </w:rPr>
        <w:t xml:space="preserve">وقد </w:t>
      </w:r>
      <w:r w:rsidR="004129AC" w:rsidRPr="00FD211F">
        <w:rPr>
          <w:sz w:val="36"/>
          <w:szCs w:val="36"/>
          <w:rtl/>
        </w:rPr>
        <w:t>ا</w:t>
      </w:r>
      <w:r w:rsidRPr="00FD211F">
        <w:rPr>
          <w:sz w:val="36"/>
          <w:szCs w:val="36"/>
          <w:rtl/>
        </w:rPr>
        <w:t>و</w:t>
      </w:r>
      <w:r w:rsidR="004129AC" w:rsidRPr="00FD211F">
        <w:rPr>
          <w:sz w:val="36"/>
          <w:szCs w:val="36"/>
          <w:rtl/>
        </w:rPr>
        <w:t>رد</w:t>
      </w:r>
      <w:r w:rsidRPr="00FD211F">
        <w:rPr>
          <w:sz w:val="36"/>
          <w:szCs w:val="36"/>
          <w:rtl/>
        </w:rPr>
        <w:t>عليه صاحب الكفاي</w:t>
      </w:r>
      <w:r w:rsidR="00EC7EDF" w:rsidRPr="00FD211F">
        <w:rPr>
          <w:sz w:val="36"/>
          <w:szCs w:val="36"/>
          <w:rtl/>
        </w:rPr>
        <w:t xml:space="preserve">ة </w:t>
      </w:r>
      <w:r w:rsidR="004129AC" w:rsidRPr="00FD211F">
        <w:rPr>
          <w:sz w:val="36"/>
          <w:szCs w:val="36"/>
          <w:rtl/>
        </w:rPr>
        <w:t>"قده"</w:t>
      </w:r>
      <w:r w:rsidRPr="00FD211F">
        <w:rPr>
          <w:sz w:val="36"/>
          <w:szCs w:val="36"/>
          <w:rtl/>
        </w:rPr>
        <w:t>اشكالين:</w:t>
      </w:r>
    </w:p>
    <w:p w14:paraId="48086836" w14:textId="77777777" w:rsidR="00052BF2" w:rsidRPr="00FD211F" w:rsidRDefault="004129AC" w:rsidP="009C58C8">
      <w:pPr>
        <w:ind w:left="0" w:firstLine="227"/>
        <w:jc w:val="both"/>
        <w:rPr>
          <w:sz w:val="36"/>
          <w:szCs w:val="36"/>
          <w:rtl/>
        </w:rPr>
      </w:pPr>
      <w:r w:rsidRPr="00FD211F">
        <w:rPr>
          <w:sz w:val="36"/>
          <w:szCs w:val="36"/>
          <w:rtl/>
        </w:rPr>
        <w:t>1- ان التسمي</w:t>
      </w:r>
      <w:r w:rsidR="00EC7EDF" w:rsidRPr="00FD211F">
        <w:rPr>
          <w:sz w:val="36"/>
          <w:szCs w:val="36"/>
          <w:rtl/>
        </w:rPr>
        <w:t xml:space="preserve">ة </w:t>
      </w:r>
      <w:r w:rsidRPr="00FD211F">
        <w:rPr>
          <w:sz w:val="36"/>
          <w:szCs w:val="36"/>
          <w:rtl/>
        </w:rPr>
        <w:t>با</w:t>
      </w:r>
      <w:r w:rsidR="00052BF2" w:rsidRPr="00FD211F">
        <w:rPr>
          <w:sz w:val="36"/>
          <w:szCs w:val="36"/>
          <w:rtl/>
        </w:rPr>
        <w:t>لصلا</w:t>
      </w:r>
      <w:r w:rsidR="00EC7EDF" w:rsidRPr="00FD211F">
        <w:rPr>
          <w:sz w:val="36"/>
          <w:szCs w:val="36"/>
          <w:rtl/>
        </w:rPr>
        <w:t xml:space="preserve">ة </w:t>
      </w:r>
      <w:r w:rsidR="00052BF2" w:rsidRPr="00FD211F">
        <w:rPr>
          <w:sz w:val="36"/>
          <w:szCs w:val="36"/>
          <w:rtl/>
        </w:rPr>
        <w:t>لاتدور مدار تحقق الاركان</w:t>
      </w:r>
      <w:r w:rsidR="00603323" w:rsidRPr="00FD211F">
        <w:rPr>
          <w:sz w:val="36"/>
          <w:szCs w:val="36"/>
          <w:rtl/>
        </w:rPr>
        <w:t xml:space="preserve">، </w:t>
      </w:r>
      <w:r w:rsidR="00052BF2" w:rsidRPr="00FD211F">
        <w:rPr>
          <w:sz w:val="36"/>
          <w:szCs w:val="36"/>
          <w:rtl/>
        </w:rPr>
        <w:t>ضرور</w:t>
      </w:r>
      <w:r w:rsidR="00EC7EDF" w:rsidRPr="00FD211F">
        <w:rPr>
          <w:sz w:val="36"/>
          <w:szCs w:val="36"/>
          <w:rtl/>
        </w:rPr>
        <w:t xml:space="preserve">ة </w:t>
      </w:r>
      <w:r w:rsidR="00052BF2" w:rsidRPr="00FD211F">
        <w:rPr>
          <w:sz w:val="36"/>
          <w:szCs w:val="36"/>
          <w:rtl/>
        </w:rPr>
        <w:t>صدق الصلا</w:t>
      </w:r>
      <w:r w:rsidR="00EC7EDF" w:rsidRPr="00FD211F">
        <w:rPr>
          <w:sz w:val="36"/>
          <w:szCs w:val="36"/>
          <w:rtl/>
        </w:rPr>
        <w:t xml:space="preserve">ة </w:t>
      </w:r>
      <w:r w:rsidR="00052BF2" w:rsidRPr="00FD211F">
        <w:rPr>
          <w:sz w:val="36"/>
          <w:szCs w:val="36"/>
          <w:rtl/>
        </w:rPr>
        <w:t xml:space="preserve">عند الأعمي مع الاخلال ببعض </w:t>
      </w:r>
      <w:r w:rsidR="00D309BA" w:rsidRPr="00FD211F">
        <w:rPr>
          <w:sz w:val="36"/>
          <w:szCs w:val="36"/>
          <w:rtl/>
        </w:rPr>
        <w:t>الاركان</w:t>
      </w:r>
      <w:r w:rsidR="00603323" w:rsidRPr="00FD211F">
        <w:rPr>
          <w:sz w:val="36"/>
          <w:szCs w:val="36"/>
          <w:rtl/>
        </w:rPr>
        <w:t xml:space="preserve">، </w:t>
      </w:r>
      <w:r w:rsidR="00D309BA" w:rsidRPr="00FD211F">
        <w:rPr>
          <w:sz w:val="36"/>
          <w:szCs w:val="36"/>
          <w:rtl/>
        </w:rPr>
        <w:t>وعدم صدقها على المشتمل على الاركان اذا فقد</w:t>
      </w:r>
      <w:r w:rsidR="00052BF2" w:rsidRPr="00FD211F">
        <w:rPr>
          <w:sz w:val="36"/>
          <w:szCs w:val="36"/>
          <w:rtl/>
        </w:rPr>
        <w:t xml:space="preserve"> سائر الأجزاء والشرائط بالمر</w:t>
      </w:r>
      <w:r w:rsidR="00EC7EDF" w:rsidRPr="00FD211F">
        <w:rPr>
          <w:sz w:val="36"/>
          <w:szCs w:val="36"/>
          <w:rtl/>
        </w:rPr>
        <w:t>ة</w:t>
      </w:r>
      <w:r w:rsidR="00A61BAE" w:rsidRPr="00FD211F">
        <w:rPr>
          <w:sz w:val="36"/>
          <w:szCs w:val="36"/>
          <w:rtl/>
        </w:rPr>
        <w:t>.</w:t>
      </w:r>
    </w:p>
    <w:p w14:paraId="0592CB85" w14:textId="77777777" w:rsidR="000C5BBA" w:rsidRPr="00FD211F" w:rsidRDefault="004129AC" w:rsidP="009C58C8">
      <w:pPr>
        <w:ind w:left="0" w:firstLine="227"/>
        <w:jc w:val="both"/>
        <w:rPr>
          <w:sz w:val="36"/>
          <w:szCs w:val="36"/>
          <w:rtl/>
        </w:rPr>
      </w:pPr>
      <w:r w:rsidRPr="00FD211F">
        <w:rPr>
          <w:sz w:val="36"/>
          <w:szCs w:val="36"/>
          <w:rtl/>
        </w:rPr>
        <w:t>2- ان لازم وضع الصلا</w:t>
      </w:r>
      <w:r w:rsidR="00EC7EDF" w:rsidRPr="00FD211F">
        <w:rPr>
          <w:sz w:val="36"/>
          <w:szCs w:val="36"/>
          <w:rtl/>
        </w:rPr>
        <w:t xml:space="preserve">ة </w:t>
      </w:r>
      <w:r w:rsidR="00052BF2" w:rsidRPr="00FD211F">
        <w:rPr>
          <w:sz w:val="36"/>
          <w:szCs w:val="36"/>
          <w:rtl/>
        </w:rPr>
        <w:t>للأركان كون استعمالها في المشتمل</w:t>
      </w:r>
      <w:r w:rsidR="00EC7EDF" w:rsidRPr="00FD211F">
        <w:rPr>
          <w:sz w:val="36"/>
          <w:szCs w:val="36"/>
          <w:rtl/>
        </w:rPr>
        <w:t xml:space="preserve">ة </w:t>
      </w:r>
      <w:r w:rsidR="00052BF2" w:rsidRPr="00FD211F">
        <w:rPr>
          <w:sz w:val="36"/>
          <w:szCs w:val="36"/>
          <w:rtl/>
        </w:rPr>
        <w:t>على تمام ما يعتبر في المأمور به استعمالا مجازيا من قبيل استعمال اللفظ الموضوع للجزء في الكلّ</w:t>
      </w:r>
      <w:r w:rsidR="00603323" w:rsidRPr="00FD211F">
        <w:rPr>
          <w:sz w:val="36"/>
          <w:szCs w:val="36"/>
          <w:rtl/>
        </w:rPr>
        <w:t xml:space="preserve">، </w:t>
      </w:r>
      <w:r w:rsidR="00052BF2" w:rsidRPr="00FD211F">
        <w:rPr>
          <w:sz w:val="36"/>
          <w:szCs w:val="36"/>
          <w:rtl/>
        </w:rPr>
        <w:t>ولايلتزم به القائل بالأعم</w:t>
      </w:r>
      <w:r w:rsidR="00603323" w:rsidRPr="00FD211F">
        <w:rPr>
          <w:sz w:val="36"/>
          <w:szCs w:val="36"/>
          <w:rtl/>
        </w:rPr>
        <w:t xml:space="preserve">، </w:t>
      </w:r>
      <w:r w:rsidR="00052BF2" w:rsidRPr="00FD211F">
        <w:rPr>
          <w:sz w:val="36"/>
          <w:szCs w:val="36"/>
          <w:rtl/>
        </w:rPr>
        <w:t>فافهم.</w:t>
      </w:r>
    </w:p>
    <w:p w14:paraId="6B965002" w14:textId="77777777" w:rsidR="000C5BBA" w:rsidRPr="00FD211F" w:rsidRDefault="003F7BF4" w:rsidP="009C58C8">
      <w:pPr>
        <w:ind w:left="0" w:firstLine="227"/>
        <w:jc w:val="both"/>
        <w:rPr>
          <w:sz w:val="36"/>
          <w:szCs w:val="36"/>
          <w:rtl/>
        </w:rPr>
      </w:pPr>
      <w:r w:rsidRPr="00FD211F">
        <w:rPr>
          <w:sz w:val="36"/>
          <w:szCs w:val="36"/>
          <w:rtl/>
        </w:rPr>
        <w:t>وقد صاغ المحقق النائيني "قده" هذا الاشكال الثاني بصياغ</w:t>
      </w:r>
      <w:r w:rsidR="00EC7EDF" w:rsidRPr="00FD211F">
        <w:rPr>
          <w:sz w:val="36"/>
          <w:szCs w:val="36"/>
          <w:rtl/>
        </w:rPr>
        <w:t xml:space="preserve">ة </w:t>
      </w:r>
      <w:r w:rsidRPr="00FD211F">
        <w:rPr>
          <w:sz w:val="36"/>
          <w:szCs w:val="36"/>
          <w:rtl/>
        </w:rPr>
        <w:t>أخرى</w:t>
      </w:r>
      <w:r w:rsidR="00603323" w:rsidRPr="00FD211F">
        <w:rPr>
          <w:sz w:val="36"/>
          <w:szCs w:val="36"/>
          <w:rtl/>
        </w:rPr>
        <w:t xml:space="preserve">، </w:t>
      </w:r>
      <w:r w:rsidRPr="00FD211F">
        <w:rPr>
          <w:sz w:val="36"/>
          <w:szCs w:val="36"/>
          <w:rtl/>
        </w:rPr>
        <w:t>فقال: ان لازم وضع لفظ الصلا</w:t>
      </w:r>
      <w:r w:rsidR="00EC7EDF" w:rsidRPr="00FD211F">
        <w:rPr>
          <w:sz w:val="36"/>
          <w:szCs w:val="36"/>
          <w:rtl/>
        </w:rPr>
        <w:t xml:space="preserve">ة </w:t>
      </w:r>
      <w:r w:rsidRPr="00FD211F">
        <w:rPr>
          <w:sz w:val="36"/>
          <w:szCs w:val="36"/>
          <w:rtl/>
        </w:rPr>
        <w:t>لخصوص الاركان مع دخول سائر الأجزاء والشرائط في المسمى على تقدير وجودها هو كون غير الركن</w:t>
      </w:r>
      <w:r w:rsidR="00B253CE" w:rsidRPr="00FD211F">
        <w:rPr>
          <w:sz w:val="36"/>
          <w:szCs w:val="36"/>
          <w:rtl/>
        </w:rPr>
        <w:t xml:space="preserve"> </w:t>
      </w:r>
      <w:r w:rsidRPr="00FD211F">
        <w:rPr>
          <w:sz w:val="36"/>
          <w:szCs w:val="36"/>
          <w:rtl/>
        </w:rPr>
        <w:t>على تقدير وجوده داخلا في حقيق</w:t>
      </w:r>
      <w:r w:rsidR="00EC7EDF" w:rsidRPr="00FD211F">
        <w:rPr>
          <w:sz w:val="36"/>
          <w:szCs w:val="36"/>
          <w:rtl/>
        </w:rPr>
        <w:t xml:space="preserve">ة </w:t>
      </w:r>
      <w:r w:rsidRPr="00FD211F">
        <w:rPr>
          <w:sz w:val="36"/>
          <w:szCs w:val="36"/>
          <w:rtl/>
        </w:rPr>
        <w:t>الشيي وعلى تقدير عدمه خارجا عنها</w:t>
      </w:r>
      <w:r w:rsidR="00603323" w:rsidRPr="00FD211F">
        <w:rPr>
          <w:sz w:val="36"/>
          <w:szCs w:val="36"/>
          <w:rtl/>
        </w:rPr>
        <w:t xml:space="preserve">، </w:t>
      </w:r>
      <w:r w:rsidRPr="00FD211F">
        <w:rPr>
          <w:sz w:val="36"/>
          <w:szCs w:val="36"/>
          <w:rtl/>
        </w:rPr>
        <w:t>ولايمكن ذلك في جزء الحقيق</w:t>
      </w:r>
      <w:r w:rsidR="00EC7EDF" w:rsidRPr="00FD211F">
        <w:rPr>
          <w:sz w:val="36"/>
          <w:szCs w:val="36"/>
          <w:rtl/>
        </w:rPr>
        <w:t>ة</w:t>
      </w:r>
      <w:r w:rsidR="00603323" w:rsidRPr="00FD211F">
        <w:rPr>
          <w:sz w:val="36"/>
          <w:szCs w:val="36"/>
          <w:rtl/>
        </w:rPr>
        <w:t xml:space="preserve">، </w:t>
      </w:r>
      <w:r w:rsidRPr="00FD211F">
        <w:rPr>
          <w:sz w:val="36"/>
          <w:szCs w:val="36"/>
          <w:rtl/>
        </w:rPr>
        <w:t>فان ال</w:t>
      </w:r>
      <w:r w:rsidR="008D7B3D" w:rsidRPr="00FD211F">
        <w:rPr>
          <w:sz w:val="36"/>
          <w:szCs w:val="36"/>
          <w:rtl/>
        </w:rPr>
        <w:t xml:space="preserve">شيء </w:t>
      </w:r>
      <w:r w:rsidRPr="00FD211F">
        <w:rPr>
          <w:sz w:val="36"/>
          <w:szCs w:val="36"/>
          <w:rtl/>
        </w:rPr>
        <w:t>اذا كان مقوما للحقيق</w:t>
      </w:r>
      <w:r w:rsidR="00EC7EDF" w:rsidRPr="00FD211F">
        <w:rPr>
          <w:sz w:val="36"/>
          <w:szCs w:val="36"/>
          <w:rtl/>
        </w:rPr>
        <w:t xml:space="preserve">ة </w:t>
      </w:r>
      <w:r w:rsidRPr="00FD211F">
        <w:rPr>
          <w:sz w:val="36"/>
          <w:szCs w:val="36"/>
          <w:rtl/>
        </w:rPr>
        <w:t>يكون دخيلا فيها مطلقا واذا</w:t>
      </w:r>
      <w:r w:rsidR="008D7B3D" w:rsidRPr="00FD211F">
        <w:rPr>
          <w:sz w:val="36"/>
          <w:szCs w:val="36"/>
          <w:rtl/>
        </w:rPr>
        <w:t xml:space="preserve"> لم‌</w:t>
      </w:r>
      <w:r w:rsidRPr="00FD211F">
        <w:rPr>
          <w:sz w:val="36"/>
          <w:szCs w:val="36"/>
          <w:rtl/>
        </w:rPr>
        <w:t>يكن مقوما</w:t>
      </w:r>
      <w:r w:rsidR="008D7B3D" w:rsidRPr="00FD211F">
        <w:rPr>
          <w:sz w:val="36"/>
          <w:szCs w:val="36"/>
          <w:rtl/>
        </w:rPr>
        <w:t xml:space="preserve"> لم‌</w:t>
      </w:r>
      <w:r w:rsidRPr="00FD211F">
        <w:rPr>
          <w:sz w:val="36"/>
          <w:szCs w:val="36"/>
          <w:rtl/>
        </w:rPr>
        <w:t>يكن دخيلا فيها اصلا</w:t>
      </w:r>
      <w:r w:rsidR="00127CB3" w:rsidRPr="00FD211F">
        <w:rPr>
          <w:sz w:val="36"/>
          <w:szCs w:val="36"/>
          <w:rtl/>
        </w:rPr>
        <w:t>.</w:t>
      </w:r>
    </w:p>
    <w:p w14:paraId="00883A64" w14:textId="77777777" w:rsidR="003F7BF4" w:rsidRPr="00FD211F" w:rsidRDefault="003F7BF4" w:rsidP="009C58C8">
      <w:pPr>
        <w:ind w:left="0" w:firstLine="227"/>
        <w:jc w:val="both"/>
        <w:rPr>
          <w:sz w:val="36"/>
          <w:szCs w:val="36"/>
          <w:rtl/>
        </w:rPr>
      </w:pPr>
      <w:r w:rsidRPr="00FD211F">
        <w:rPr>
          <w:sz w:val="36"/>
          <w:szCs w:val="36"/>
          <w:rtl/>
        </w:rPr>
        <w:t>ان قلت</w:t>
      </w:r>
      <w:r w:rsidR="00EC7EDF" w:rsidRPr="00FD211F">
        <w:rPr>
          <w:sz w:val="36"/>
          <w:szCs w:val="36"/>
          <w:rtl/>
        </w:rPr>
        <w:t>:</w:t>
      </w:r>
      <w:r w:rsidR="00127CB3" w:rsidRPr="00FD211F">
        <w:rPr>
          <w:sz w:val="36"/>
          <w:szCs w:val="36"/>
          <w:rtl/>
        </w:rPr>
        <w:t xml:space="preserve"> </w:t>
      </w:r>
      <w:r w:rsidRPr="00FD211F">
        <w:rPr>
          <w:sz w:val="36"/>
          <w:szCs w:val="36"/>
          <w:rtl/>
        </w:rPr>
        <w:t>يمكن تصحيح ذلك بدعوى ان</w:t>
      </w:r>
      <w:r w:rsidR="00B253CE" w:rsidRPr="00FD211F">
        <w:rPr>
          <w:sz w:val="36"/>
          <w:szCs w:val="36"/>
          <w:rtl/>
        </w:rPr>
        <w:t xml:space="preserve"> </w:t>
      </w:r>
      <w:r w:rsidRPr="00FD211F">
        <w:rPr>
          <w:sz w:val="36"/>
          <w:szCs w:val="36"/>
          <w:rtl/>
        </w:rPr>
        <w:t xml:space="preserve">الالتزام بالتشكيك في الوجود وفي بعض الماهيات كالسواد والبياض ونحوهما يوجب الالتزام بدخول </w:t>
      </w:r>
      <w:r w:rsidR="008D7B3D" w:rsidRPr="00FD211F">
        <w:rPr>
          <w:sz w:val="36"/>
          <w:szCs w:val="36"/>
          <w:rtl/>
        </w:rPr>
        <w:t xml:space="preserve">شيء </w:t>
      </w:r>
      <w:r w:rsidRPr="00FD211F">
        <w:rPr>
          <w:sz w:val="36"/>
          <w:szCs w:val="36"/>
          <w:rtl/>
        </w:rPr>
        <w:t>في الوجود او الماهي</w:t>
      </w:r>
      <w:r w:rsidR="00EC7EDF" w:rsidRPr="00FD211F">
        <w:rPr>
          <w:sz w:val="36"/>
          <w:szCs w:val="36"/>
          <w:rtl/>
        </w:rPr>
        <w:t xml:space="preserve">ة </w:t>
      </w:r>
      <w:r w:rsidRPr="00FD211F">
        <w:rPr>
          <w:sz w:val="36"/>
          <w:szCs w:val="36"/>
          <w:rtl/>
        </w:rPr>
        <w:t>عند وجوده وبعدم دخوله فيه عند عدمه</w:t>
      </w:r>
      <w:r w:rsidR="00603323" w:rsidRPr="00FD211F">
        <w:rPr>
          <w:sz w:val="36"/>
          <w:szCs w:val="36"/>
          <w:rtl/>
        </w:rPr>
        <w:t xml:space="preserve">، </w:t>
      </w:r>
      <w:r w:rsidRPr="00FD211F">
        <w:rPr>
          <w:sz w:val="36"/>
          <w:szCs w:val="36"/>
          <w:rtl/>
        </w:rPr>
        <w:t>فليكن الصلا</w:t>
      </w:r>
      <w:r w:rsidR="00EC7EDF" w:rsidRPr="00FD211F">
        <w:rPr>
          <w:sz w:val="36"/>
          <w:szCs w:val="36"/>
          <w:rtl/>
        </w:rPr>
        <w:t xml:space="preserve">ة </w:t>
      </w:r>
      <w:r w:rsidRPr="00FD211F">
        <w:rPr>
          <w:sz w:val="36"/>
          <w:szCs w:val="36"/>
          <w:rtl/>
        </w:rPr>
        <w:t>ايضا من هذا القبيل</w:t>
      </w:r>
      <w:r w:rsidR="00603323" w:rsidRPr="00FD211F">
        <w:rPr>
          <w:sz w:val="36"/>
          <w:szCs w:val="36"/>
          <w:rtl/>
        </w:rPr>
        <w:t xml:space="preserve">، </w:t>
      </w:r>
      <w:r w:rsidRPr="00FD211F">
        <w:rPr>
          <w:sz w:val="36"/>
          <w:szCs w:val="36"/>
          <w:rtl/>
        </w:rPr>
        <w:t>فتكون صادق</w:t>
      </w:r>
      <w:r w:rsidR="00EC7EDF" w:rsidRPr="00FD211F">
        <w:rPr>
          <w:sz w:val="36"/>
          <w:szCs w:val="36"/>
          <w:rtl/>
        </w:rPr>
        <w:t xml:space="preserve">ة </w:t>
      </w:r>
      <w:r w:rsidRPr="00FD211F">
        <w:rPr>
          <w:sz w:val="36"/>
          <w:szCs w:val="36"/>
          <w:rtl/>
        </w:rPr>
        <w:t>على التام والناقص على نحو التشكيك.</w:t>
      </w:r>
    </w:p>
    <w:p w14:paraId="0534C3E8" w14:textId="77777777" w:rsidR="003F7BF4" w:rsidRPr="00FD211F" w:rsidRDefault="003F7BF4" w:rsidP="009C58C8">
      <w:pPr>
        <w:ind w:left="0" w:firstLine="227"/>
        <w:jc w:val="both"/>
        <w:rPr>
          <w:sz w:val="36"/>
          <w:szCs w:val="36"/>
          <w:rtl/>
        </w:rPr>
      </w:pPr>
      <w:r w:rsidRPr="00FD211F">
        <w:rPr>
          <w:sz w:val="36"/>
          <w:szCs w:val="36"/>
          <w:rtl/>
        </w:rPr>
        <w:t>قلت</w:t>
      </w:r>
      <w:r w:rsidR="00EC7EDF" w:rsidRPr="00FD211F">
        <w:rPr>
          <w:sz w:val="36"/>
          <w:szCs w:val="36"/>
          <w:rtl/>
        </w:rPr>
        <w:t>:</w:t>
      </w:r>
      <w:r w:rsidRPr="00FD211F">
        <w:rPr>
          <w:sz w:val="36"/>
          <w:szCs w:val="36"/>
          <w:rtl/>
        </w:rPr>
        <w:t xml:space="preserve"> ان التشكيك في حقيق</w:t>
      </w:r>
      <w:r w:rsidR="00EC7EDF" w:rsidRPr="00FD211F">
        <w:rPr>
          <w:sz w:val="36"/>
          <w:szCs w:val="36"/>
          <w:rtl/>
        </w:rPr>
        <w:t xml:space="preserve">ة </w:t>
      </w:r>
      <w:r w:rsidRPr="00FD211F">
        <w:rPr>
          <w:sz w:val="36"/>
          <w:szCs w:val="36"/>
          <w:rtl/>
        </w:rPr>
        <w:t>الوجود امر فوق ادارك البشر ولايمكن معرفته الا بالكشف والمجاهد</w:t>
      </w:r>
      <w:r w:rsidR="00EC7EDF" w:rsidRPr="00FD211F">
        <w:rPr>
          <w:sz w:val="36"/>
          <w:szCs w:val="36"/>
          <w:rtl/>
        </w:rPr>
        <w:t xml:space="preserve">ة </w:t>
      </w:r>
      <w:r w:rsidRPr="00FD211F">
        <w:rPr>
          <w:sz w:val="36"/>
          <w:szCs w:val="36"/>
          <w:rtl/>
        </w:rPr>
        <w:t>كما صرح به اهله</w:t>
      </w:r>
      <w:r w:rsidR="00603323" w:rsidRPr="00FD211F">
        <w:rPr>
          <w:sz w:val="36"/>
          <w:szCs w:val="36"/>
          <w:rtl/>
        </w:rPr>
        <w:t xml:space="preserve">، </w:t>
      </w:r>
      <w:r w:rsidRPr="00FD211F">
        <w:rPr>
          <w:sz w:val="36"/>
          <w:szCs w:val="36"/>
          <w:rtl/>
        </w:rPr>
        <w:t>واما التشكيك في الماهيات فيختص بالماهيات البسيط</w:t>
      </w:r>
      <w:r w:rsidR="00EC7EDF" w:rsidRPr="00FD211F">
        <w:rPr>
          <w:sz w:val="36"/>
          <w:szCs w:val="36"/>
          <w:rtl/>
        </w:rPr>
        <w:t xml:space="preserve">ة </w:t>
      </w:r>
      <w:r w:rsidRPr="00FD211F">
        <w:rPr>
          <w:sz w:val="36"/>
          <w:szCs w:val="36"/>
          <w:rtl/>
        </w:rPr>
        <w:t>التي يكون مابه الاشتراك فيها عين ما به الامتياز كالسواد والبياض ونحوهما</w:t>
      </w:r>
      <w:r w:rsidR="00603323" w:rsidRPr="00FD211F">
        <w:rPr>
          <w:sz w:val="36"/>
          <w:szCs w:val="36"/>
          <w:rtl/>
        </w:rPr>
        <w:t xml:space="preserve">، </w:t>
      </w:r>
      <w:r w:rsidRPr="00FD211F">
        <w:rPr>
          <w:sz w:val="36"/>
          <w:szCs w:val="36"/>
          <w:rtl/>
        </w:rPr>
        <w:t>واما الماهيات التي تكون مركب</w:t>
      </w:r>
      <w:r w:rsidR="00EC7EDF" w:rsidRPr="00FD211F">
        <w:rPr>
          <w:sz w:val="36"/>
          <w:szCs w:val="36"/>
          <w:rtl/>
        </w:rPr>
        <w:t xml:space="preserve">ة </w:t>
      </w:r>
      <w:r w:rsidRPr="00FD211F">
        <w:rPr>
          <w:sz w:val="36"/>
          <w:szCs w:val="36"/>
          <w:rtl/>
        </w:rPr>
        <w:t>من الجنس والفصل كالانسان فلايعقل فيها التشكيك</w:t>
      </w:r>
      <w:r w:rsidR="00603323" w:rsidRPr="00FD211F">
        <w:rPr>
          <w:sz w:val="36"/>
          <w:szCs w:val="36"/>
          <w:rtl/>
        </w:rPr>
        <w:t xml:space="preserve">، </w:t>
      </w:r>
      <w:r w:rsidRPr="00FD211F">
        <w:rPr>
          <w:sz w:val="36"/>
          <w:szCs w:val="36"/>
          <w:rtl/>
        </w:rPr>
        <w:t>وعليه فلايعقل التشكيك في الصلا</w:t>
      </w:r>
      <w:r w:rsidR="00EC7EDF" w:rsidRPr="00FD211F">
        <w:rPr>
          <w:sz w:val="36"/>
          <w:szCs w:val="36"/>
          <w:rtl/>
        </w:rPr>
        <w:t xml:space="preserve">ة </w:t>
      </w:r>
      <w:r w:rsidRPr="00FD211F">
        <w:rPr>
          <w:sz w:val="36"/>
          <w:szCs w:val="36"/>
          <w:rtl/>
        </w:rPr>
        <w:t>لانها مركب</w:t>
      </w:r>
      <w:r w:rsidR="00EC7EDF" w:rsidRPr="00FD211F">
        <w:rPr>
          <w:sz w:val="36"/>
          <w:szCs w:val="36"/>
          <w:rtl/>
        </w:rPr>
        <w:t xml:space="preserve">ة </w:t>
      </w:r>
      <w:r w:rsidRPr="00FD211F">
        <w:rPr>
          <w:sz w:val="36"/>
          <w:szCs w:val="36"/>
          <w:rtl/>
        </w:rPr>
        <w:t>من اركان ومقولات عديد</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385"/>
      </w:r>
      <w:r w:rsidR="009C58C8" w:rsidRPr="00FD211F">
        <w:rPr>
          <w:rStyle w:val="a6"/>
          <w:sz w:val="36"/>
          <w:szCs w:val="36"/>
          <w:rtl/>
        </w:rPr>
        <w:t>)</w:t>
      </w:r>
      <w:r w:rsidRPr="00FD211F">
        <w:rPr>
          <w:sz w:val="36"/>
          <w:szCs w:val="36"/>
          <w:rtl/>
        </w:rPr>
        <w:t>.</w:t>
      </w:r>
    </w:p>
    <w:p w14:paraId="544C49E3" w14:textId="77777777" w:rsidR="003F7BF4" w:rsidRPr="00FD211F" w:rsidRDefault="003F7BF4" w:rsidP="009C58C8">
      <w:pPr>
        <w:ind w:left="0" w:firstLine="227"/>
        <w:jc w:val="both"/>
        <w:rPr>
          <w:sz w:val="36"/>
          <w:szCs w:val="36"/>
          <w:rtl/>
        </w:rPr>
      </w:pPr>
      <w:r w:rsidRPr="00FD211F">
        <w:rPr>
          <w:sz w:val="36"/>
          <w:szCs w:val="36"/>
          <w:rtl/>
        </w:rPr>
        <w:t>وهذا</w:t>
      </w:r>
      <w:r w:rsidR="00D9639E" w:rsidRPr="00FD211F">
        <w:rPr>
          <w:sz w:val="36"/>
          <w:szCs w:val="36"/>
          <w:rtl/>
        </w:rPr>
        <w:t xml:space="preserve"> </w:t>
      </w:r>
      <w:r w:rsidRPr="00FD211F">
        <w:rPr>
          <w:sz w:val="36"/>
          <w:szCs w:val="36"/>
          <w:rtl/>
        </w:rPr>
        <w:t>الذي ذكره المحقق النائيني "قده" من ان التشكيك في الوجود ممالايمكن معرفته الابالكشف والشهودلايخلو من غراب</w:t>
      </w:r>
      <w:r w:rsidR="00EC7EDF" w:rsidRPr="00FD211F">
        <w:rPr>
          <w:sz w:val="36"/>
          <w:szCs w:val="36"/>
          <w:rtl/>
        </w:rPr>
        <w:t>ة</w:t>
      </w:r>
      <w:r w:rsidR="00603323" w:rsidRPr="00FD211F">
        <w:rPr>
          <w:sz w:val="36"/>
          <w:szCs w:val="36"/>
          <w:rtl/>
        </w:rPr>
        <w:t xml:space="preserve">، </w:t>
      </w:r>
      <w:r w:rsidRPr="00FD211F">
        <w:rPr>
          <w:sz w:val="36"/>
          <w:szCs w:val="36"/>
          <w:rtl/>
        </w:rPr>
        <w:t>اذ معنى التشكيك في حقيق</w:t>
      </w:r>
      <w:r w:rsidR="00EC7EDF" w:rsidRPr="00FD211F">
        <w:rPr>
          <w:sz w:val="36"/>
          <w:szCs w:val="36"/>
          <w:rtl/>
        </w:rPr>
        <w:t xml:space="preserve">ة </w:t>
      </w:r>
      <w:r w:rsidRPr="00FD211F">
        <w:rPr>
          <w:sz w:val="36"/>
          <w:szCs w:val="36"/>
          <w:rtl/>
        </w:rPr>
        <w:t>الوجود هو ان ما به الامتياز بين الوجود الشديد كوجوده تعالى والوجود الضعيف كالكون الرابط هو نفس ما به الاشتراك بينهما</w:t>
      </w:r>
      <w:r w:rsidR="00603323" w:rsidRPr="00FD211F">
        <w:rPr>
          <w:sz w:val="36"/>
          <w:szCs w:val="36"/>
          <w:rtl/>
        </w:rPr>
        <w:t xml:space="preserve">، </w:t>
      </w:r>
      <w:r w:rsidRPr="00FD211F">
        <w:rPr>
          <w:sz w:val="36"/>
          <w:szCs w:val="36"/>
          <w:rtl/>
        </w:rPr>
        <w:t>اذ ليس الوجود الشديد مشتملا على الوجود وغير الوجود</w:t>
      </w:r>
      <w:r w:rsidR="00603323" w:rsidRPr="00FD211F">
        <w:rPr>
          <w:sz w:val="36"/>
          <w:szCs w:val="36"/>
          <w:rtl/>
        </w:rPr>
        <w:t xml:space="preserve">، </w:t>
      </w:r>
      <w:r w:rsidRPr="00FD211F">
        <w:rPr>
          <w:sz w:val="36"/>
          <w:szCs w:val="36"/>
          <w:rtl/>
        </w:rPr>
        <w:t>وكذلك الوجود الضعيف</w:t>
      </w:r>
      <w:r w:rsidR="00603323" w:rsidRPr="00FD211F">
        <w:rPr>
          <w:sz w:val="36"/>
          <w:szCs w:val="36"/>
          <w:rtl/>
        </w:rPr>
        <w:t xml:space="preserve">، </w:t>
      </w:r>
      <w:r w:rsidRPr="00FD211F">
        <w:rPr>
          <w:sz w:val="36"/>
          <w:szCs w:val="36"/>
          <w:rtl/>
        </w:rPr>
        <w:t>نظير النور الشديد والضعيف</w:t>
      </w:r>
      <w:r w:rsidR="00603323" w:rsidRPr="00FD211F">
        <w:rPr>
          <w:sz w:val="36"/>
          <w:szCs w:val="36"/>
          <w:rtl/>
        </w:rPr>
        <w:t xml:space="preserve">، </w:t>
      </w:r>
      <w:r w:rsidRPr="00FD211F">
        <w:rPr>
          <w:sz w:val="36"/>
          <w:szCs w:val="36"/>
          <w:rtl/>
        </w:rPr>
        <w:t>وهذا امر واضح بناء على اصال</w:t>
      </w:r>
      <w:r w:rsidR="00EC7EDF" w:rsidRPr="00FD211F">
        <w:rPr>
          <w:sz w:val="36"/>
          <w:szCs w:val="36"/>
          <w:rtl/>
        </w:rPr>
        <w:t xml:space="preserve">ة </w:t>
      </w:r>
      <w:r w:rsidRPr="00FD211F">
        <w:rPr>
          <w:sz w:val="36"/>
          <w:szCs w:val="36"/>
          <w:rtl/>
        </w:rPr>
        <w:t>الوجود</w:t>
      </w:r>
      <w:r w:rsidR="00603323" w:rsidRPr="00FD211F">
        <w:rPr>
          <w:sz w:val="36"/>
          <w:szCs w:val="36"/>
          <w:rtl/>
        </w:rPr>
        <w:t xml:space="preserve">، </w:t>
      </w:r>
      <w:r w:rsidRPr="00FD211F">
        <w:rPr>
          <w:sz w:val="36"/>
          <w:szCs w:val="36"/>
          <w:rtl/>
        </w:rPr>
        <w:t>ولايحتاج معرفته الى الكشف والمجاهد</w:t>
      </w:r>
      <w:r w:rsidR="00EC7EDF" w:rsidRPr="00FD211F">
        <w:rPr>
          <w:sz w:val="36"/>
          <w:szCs w:val="36"/>
          <w:rtl/>
        </w:rPr>
        <w:t>ة</w:t>
      </w:r>
      <w:r w:rsidR="00A61BAE" w:rsidRPr="00FD211F">
        <w:rPr>
          <w:sz w:val="36"/>
          <w:szCs w:val="36"/>
          <w:rtl/>
        </w:rPr>
        <w:t>.</w:t>
      </w:r>
    </w:p>
    <w:p w14:paraId="0DBB6E0E" w14:textId="77777777" w:rsidR="00052BF2" w:rsidRPr="00FD211F" w:rsidRDefault="003F7BF4" w:rsidP="009C58C8">
      <w:pPr>
        <w:ind w:left="0" w:firstLine="227"/>
        <w:jc w:val="both"/>
        <w:rPr>
          <w:sz w:val="36"/>
          <w:szCs w:val="36"/>
          <w:rtl/>
        </w:rPr>
      </w:pPr>
      <w:r w:rsidRPr="00FD211F">
        <w:rPr>
          <w:sz w:val="36"/>
          <w:szCs w:val="36"/>
          <w:rtl/>
        </w:rPr>
        <w:t>وكيف كان فقد</w:t>
      </w:r>
      <w:r w:rsidR="00127CB3" w:rsidRPr="00FD211F">
        <w:rPr>
          <w:sz w:val="36"/>
          <w:szCs w:val="36"/>
          <w:rtl/>
        </w:rPr>
        <w:t xml:space="preserve"> </w:t>
      </w:r>
      <w:r w:rsidRPr="00FD211F">
        <w:rPr>
          <w:sz w:val="36"/>
          <w:szCs w:val="36"/>
          <w:rtl/>
        </w:rPr>
        <w:t xml:space="preserve">اجاب </w:t>
      </w:r>
      <w:r w:rsidR="00052BF2" w:rsidRPr="00FD211F">
        <w:rPr>
          <w:sz w:val="36"/>
          <w:szCs w:val="36"/>
          <w:rtl/>
        </w:rPr>
        <w:t xml:space="preserve">السيد الخوئي </w:t>
      </w:r>
      <w:r w:rsidRPr="00FD211F">
        <w:rPr>
          <w:sz w:val="36"/>
          <w:szCs w:val="36"/>
          <w:rtl/>
        </w:rPr>
        <w:t>"قده"</w:t>
      </w:r>
      <w:r w:rsidR="008B5E96" w:rsidRPr="00FD211F">
        <w:rPr>
          <w:sz w:val="36"/>
          <w:szCs w:val="36"/>
          <w:rtl/>
        </w:rPr>
        <w:t xml:space="preserve"> عن الاشكال الاول بان المشتمل على الاركان مع فقده لسائر</w:t>
      </w:r>
      <w:r w:rsidR="00127CB3" w:rsidRPr="00FD211F">
        <w:rPr>
          <w:sz w:val="36"/>
          <w:szCs w:val="36"/>
          <w:rtl/>
        </w:rPr>
        <w:t xml:space="preserve"> </w:t>
      </w:r>
      <w:r w:rsidR="008B5E96" w:rsidRPr="00FD211F">
        <w:rPr>
          <w:sz w:val="36"/>
          <w:szCs w:val="36"/>
          <w:rtl/>
        </w:rPr>
        <w:t>الجزاء</w:t>
      </w:r>
      <w:r w:rsidR="00127CB3" w:rsidRPr="00FD211F">
        <w:rPr>
          <w:sz w:val="36"/>
          <w:szCs w:val="36"/>
          <w:rtl/>
        </w:rPr>
        <w:t xml:space="preserve"> </w:t>
      </w:r>
      <w:r w:rsidR="008B5E96" w:rsidRPr="00FD211F">
        <w:rPr>
          <w:sz w:val="36"/>
          <w:szCs w:val="36"/>
          <w:rtl/>
        </w:rPr>
        <w:t>والشرائط يصدق عليها</w:t>
      </w:r>
      <w:r w:rsidR="00127CB3" w:rsidRPr="00FD211F">
        <w:rPr>
          <w:sz w:val="36"/>
          <w:szCs w:val="36"/>
          <w:rtl/>
        </w:rPr>
        <w:t xml:space="preserve"> </w:t>
      </w:r>
      <w:r w:rsidR="008B5E96" w:rsidRPr="00FD211F">
        <w:rPr>
          <w:sz w:val="36"/>
          <w:szCs w:val="36"/>
          <w:rtl/>
        </w:rPr>
        <w:t>الصلا</w:t>
      </w:r>
      <w:r w:rsidR="00EC7EDF" w:rsidRPr="00FD211F">
        <w:rPr>
          <w:sz w:val="36"/>
          <w:szCs w:val="36"/>
          <w:rtl/>
        </w:rPr>
        <w:t xml:space="preserve">ة </w:t>
      </w:r>
      <w:r w:rsidR="008B5E96" w:rsidRPr="00FD211F">
        <w:rPr>
          <w:sz w:val="36"/>
          <w:szCs w:val="36"/>
          <w:rtl/>
        </w:rPr>
        <w:t>الصحيح</w:t>
      </w:r>
      <w:r w:rsidR="00EC7EDF" w:rsidRPr="00FD211F">
        <w:rPr>
          <w:sz w:val="36"/>
          <w:szCs w:val="36"/>
          <w:rtl/>
        </w:rPr>
        <w:t>ة</w:t>
      </w:r>
      <w:r w:rsidR="00603323" w:rsidRPr="00FD211F">
        <w:rPr>
          <w:sz w:val="36"/>
          <w:szCs w:val="36"/>
          <w:rtl/>
        </w:rPr>
        <w:t xml:space="preserve">، </w:t>
      </w:r>
      <w:r w:rsidR="00052BF2" w:rsidRPr="00FD211F">
        <w:rPr>
          <w:sz w:val="36"/>
          <w:szCs w:val="36"/>
          <w:rtl/>
        </w:rPr>
        <w:t>فلو كبّر المصلي ونسي جميع الأجزاء والشرائط غير الاركان والوقت والقبل</w:t>
      </w:r>
      <w:r w:rsidR="00EC7EDF" w:rsidRPr="00FD211F">
        <w:rPr>
          <w:sz w:val="36"/>
          <w:szCs w:val="36"/>
          <w:rtl/>
        </w:rPr>
        <w:t xml:space="preserve">ة </w:t>
      </w:r>
      <w:r w:rsidR="00052BF2" w:rsidRPr="00FD211F">
        <w:rPr>
          <w:sz w:val="36"/>
          <w:szCs w:val="36"/>
          <w:rtl/>
        </w:rPr>
        <w:t>حتى فر</w:t>
      </w:r>
      <w:r w:rsidR="008B5E96" w:rsidRPr="00FD211F">
        <w:rPr>
          <w:sz w:val="36"/>
          <w:szCs w:val="36"/>
          <w:rtl/>
        </w:rPr>
        <w:t>غ منها</w:t>
      </w:r>
      <w:r w:rsidR="00603323" w:rsidRPr="00FD211F">
        <w:rPr>
          <w:sz w:val="36"/>
          <w:szCs w:val="36"/>
          <w:rtl/>
        </w:rPr>
        <w:t xml:space="preserve">، </w:t>
      </w:r>
      <w:r w:rsidR="008B5E96" w:rsidRPr="00FD211F">
        <w:rPr>
          <w:sz w:val="36"/>
          <w:szCs w:val="36"/>
          <w:rtl/>
        </w:rPr>
        <w:t>يحكم بصح</w:t>
      </w:r>
      <w:r w:rsidR="00EC7EDF" w:rsidRPr="00FD211F">
        <w:rPr>
          <w:sz w:val="36"/>
          <w:szCs w:val="36"/>
          <w:rtl/>
        </w:rPr>
        <w:t xml:space="preserve">ة </w:t>
      </w:r>
      <w:r w:rsidR="008B5E96" w:rsidRPr="00FD211F">
        <w:rPr>
          <w:sz w:val="36"/>
          <w:szCs w:val="36"/>
          <w:rtl/>
        </w:rPr>
        <w:t>صلاته</w:t>
      </w:r>
      <w:r w:rsidR="00603323" w:rsidRPr="00FD211F">
        <w:rPr>
          <w:sz w:val="36"/>
          <w:szCs w:val="36"/>
          <w:rtl/>
        </w:rPr>
        <w:t xml:space="preserve">، </w:t>
      </w:r>
      <w:r w:rsidR="009977FE" w:rsidRPr="00FD211F">
        <w:rPr>
          <w:sz w:val="36"/>
          <w:szCs w:val="36"/>
          <w:rtl/>
        </w:rPr>
        <w:t>و</w:t>
      </w:r>
      <w:r w:rsidR="008D7B3D" w:rsidRPr="00FD211F">
        <w:rPr>
          <w:sz w:val="36"/>
          <w:szCs w:val="36"/>
          <w:rtl/>
        </w:rPr>
        <w:t xml:space="preserve"> لم‌</w:t>
      </w:r>
      <w:r w:rsidR="00052BF2" w:rsidRPr="00FD211F">
        <w:rPr>
          <w:sz w:val="36"/>
          <w:szCs w:val="36"/>
          <w:rtl/>
        </w:rPr>
        <w:t>يستشكل في ذلك احد من الفقهاء</w:t>
      </w:r>
      <w:r w:rsidR="00603323" w:rsidRPr="00FD211F">
        <w:rPr>
          <w:sz w:val="36"/>
          <w:szCs w:val="36"/>
          <w:rtl/>
        </w:rPr>
        <w:t xml:space="preserve">، </w:t>
      </w:r>
      <w:r w:rsidR="00052BF2" w:rsidRPr="00FD211F">
        <w:rPr>
          <w:sz w:val="36"/>
          <w:szCs w:val="36"/>
          <w:rtl/>
        </w:rPr>
        <w:t>كما انه لو فقد بعض الاركان فلايصدق عليه الصلا</w:t>
      </w:r>
      <w:r w:rsidR="00EC7EDF" w:rsidRPr="00FD211F">
        <w:rPr>
          <w:sz w:val="36"/>
          <w:szCs w:val="36"/>
          <w:rtl/>
        </w:rPr>
        <w:t>ة</w:t>
      </w:r>
      <w:r w:rsidR="00603323" w:rsidRPr="00FD211F">
        <w:rPr>
          <w:sz w:val="36"/>
          <w:szCs w:val="36"/>
          <w:rtl/>
        </w:rPr>
        <w:t xml:space="preserve">، </w:t>
      </w:r>
      <w:r w:rsidR="00052BF2" w:rsidRPr="00FD211F">
        <w:rPr>
          <w:sz w:val="36"/>
          <w:szCs w:val="36"/>
          <w:rtl/>
        </w:rPr>
        <w:t>حيث دلت صحيح</w:t>
      </w:r>
      <w:r w:rsidR="00EC7EDF" w:rsidRPr="00FD211F">
        <w:rPr>
          <w:sz w:val="36"/>
          <w:szCs w:val="36"/>
          <w:rtl/>
        </w:rPr>
        <w:t xml:space="preserve">ة </w:t>
      </w:r>
      <w:r w:rsidR="00052BF2" w:rsidRPr="00FD211F">
        <w:rPr>
          <w:sz w:val="36"/>
          <w:szCs w:val="36"/>
          <w:rtl/>
        </w:rPr>
        <w:t>الحلبي على ان الصلا</w:t>
      </w:r>
      <w:r w:rsidR="00EC7EDF" w:rsidRPr="00FD211F">
        <w:rPr>
          <w:sz w:val="36"/>
          <w:szCs w:val="36"/>
          <w:rtl/>
        </w:rPr>
        <w:t xml:space="preserve">ة </w:t>
      </w:r>
      <w:r w:rsidR="00052BF2" w:rsidRPr="00FD211F">
        <w:rPr>
          <w:sz w:val="36"/>
          <w:szCs w:val="36"/>
          <w:rtl/>
        </w:rPr>
        <w:t>ثلاث اثلاث ثلث طهور وثلث ركوع وثلث سجود</w:t>
      </w:r>
      <w:r w:rsidR="009C58C8" w:rsidRPr="00FD211F">
        <w:rPr>
          <w:rStyle w:val="a6"/>
          <w:sz w:val="36"/>
          <w:szCs w:val="36"/>
          <w:rtl/>
        </w:rPr>
        <w:t>(</w:t>
      </w:r>
      <w:r w:rsidR="009C58C8" w:rsidRPr="00FD211F">
        <w:rPr>
          <w:rStyle w:val="a6"/>
          <w:sz w:val="36"/>
          <w:szCs w:val="36"/>
          <w:rtl/>
        </w:rPr>
        <w:footnoteReference w:id="386"/>
      </w:r>
      <w:r w:rsidR="009C58C8" w:rsidRPr="00FD211F">
        <w:rPr>
          <w:rStyle w:val="a6"/>
          <w:sz w:val="36"/>
          <w:szCs w:val="36"/>
          <w:rtl/>
        </w:rPr>
        <w:t>)</w:t>
      </w:r>
      <w:r w:rsidR="00603323" w:rsidRPr="00FD211F">
        <w:rPr>
          <w:sz w:val="36"/>
          <w:szCs w:val="36"/>
          <w:rtl/>
        </w:rPr>
        <w:t xml:space="preserve">، </w:t>
      </w:r>
      <w:r w:rsidR="00052BF2" w:rsidRPr="00FD211F">
        <w:rPr>
          <w:sz w:val="36"/>
          <w:szCs w:val="36"/>
          <w:rtl/>
        </w:rPr>
        <w:t>فقد حصرت الصلا</w:t>
      </w:r>
      <w:r w:rsidR="00EC7EDF" w:rsidRPr="00FD211F">
        <w:rPr>
          <w:sz w:val="36"/>
          <w:szCs w:val="36"/>
          <w:rtl/>
        </w:rPr>
        <w:t xml:space="preserve">ة </w:t>
      </w:r>
      <w:r w:rsidR="00052BF2" w:rsidRPr="00FD211F">
        <w:rPr>
          <w:sz w:val="36"/>
          <w:szCs w:val="36"/>
          <w:rtl/>
        </w:rPr>
        <w:t>بهذه الثلاث</w:t>
      </w:r>
      <w:r w:rsidR="00EC7EDF" w:rsidRPr="00FD211F">
        <w:rPr>
          <w:sz w:val="36"/>
          <w:szCs w:val="36"/>
          <w:rtl/>
        </w:rPr>
        <w:t>ة</w:t>
      </w:r>
      <w:r w:rsidR="00603323" w:rsidRPr="00FD211F">
        <w:rPr>
          <w:sz w:val="36"/>
          <w:szCs w:val="36"/>
          <w:rtl/>
        </w:rPr>
        <w:t xml:space="preserve">، </w:t>
      </w:r>
      <w:r w:rsidR="00052BF2" w:rsidRPr="00FD211F">
        <w:rPr>
          <w:sz w:val="36"/>
          <w:szCs w:val="36"/>
          <w:rtl/>
        </w:rPr>
        <w:t>نعم لابد من رف</w:t>
      </w:r>
      <w:r w:rsidR="008B5E96" w:rsidRPr="00FD211F">
        <w:rPr>
          <w:sz w:val="36"/>
          <w:szCs w:val="36"/>
          <w:rtl/>
        </w:rPr>
        <w:t xml:space="preserve">ع اليد عنها في </w:t>
      </w:r>
      <w:r w:rsidR="00500C38" w:rsidRPr="00FD211F">
        <w:rPr>
          <w:sz w:val="36"/>
          <w:szCs w:val="36"/>
          <w:rtl/>
        </w:rPr>
        <w:t>مورد</w:t>
      </w:r>
      <w:r w:rsidR="00127CB3" w:rsidRPr="00FD211F">
        <w:rPr>
          <w:sz w:val="36"/>
          <w:szCs w:val="36"/>
          <w:rtl/>
        </w:rPr>
        <w:t xml:space="preserve"> </w:t>
      </w:r>
      <w:r w:rsidR="008B5E96" w:rsidRPr="00FD211F">
        <w:rPr>
          <w:sz w:val="36"/>
          <w:szCs w:val="36"/>
          <w:rtl/>
        </w:rPr>
        <w:t>تكبير</w:t>
      </w:r>
      <w:r w:rsidR="00EC7EDF" w:rsidRPr="00FD211F">
        <w:rPr>
          <w:sz w:val="36"/>
          <w:szCs w:val="36"/>
          <w:rtl/>
        </w:rPr>
        <w:t xml:space="preserve">ة </w:t>
      </w:r>
      <w:r w:rsidR="008B5E96" w:rsidRPr="00FD211F">
        <w:rPr>
          <w:sz w:val="36"/>
          <w:szCs w:val="36"/>
          <w:rtl/>
        </w:rPr>
        <w:t xml:space="preserve">الاحرام </w:t>
      </w:r>
      <w:r w:rsidR="00500C38" w:rsidRPr="00FD211F">
        <w:rPr>
          <w:sz w:val="36"/>
          <w:szCs w:val="36"/>
          <w:rtl/>
        </w:rPr>
        <w:t>في</w:t>
      </w:r>
      <w:r w:rsidR="00052BF2" w:rsidRPr="00FD211F">
        <w:rPr>
          <w:sz w:val="36"/>
          <w:szCs w:val="36"/>
          <w:rtl/>
        </w:rPr>
        <w:t>لتز</w:t>
      </w:r>
      <w:r w:rsidR="00500C38" w:rsidRPr="00FD211F">
        <w:rPr>
          <w:sz w:val="36"/>
          <w:szCs w:val="36"/>
          <w:rtl/>
        </w:rPr>
        <w:t xml:space="preserve">م بدخولها في </w:t>
      </w:r>
      <w:r w:rsidR="00052BF2" w:rsidRPr="00FD211F">
        <w:rPr>
          <w:sz w:val="36"/>
          <w:szCs w:val="36"/>
          <w:rtl/>
        </w:rPr>
        <w:t>مسمى</w:t>
      </w:r>
      <w:r w:rsidR="00500C38" w:rsidRPr="00FD211F">
        <w:rPr>
          <w:sz w:val="36"/>
          <w:szCs w:val="36"/>
          <w:rtl/>
        </w:rPr>
        <w:t xml:space="preserve"> الصلا</w:t>
      </w:r>
      <w:r w:rsidR="00EC7EDF" w:rsidRPr="00FD211F">
        <w:rPr>
          <w:sz w:val="36"/>
          <w:szCs w:val="36"/>
          <w:rtl/>
        </w:rPr>
        <w:t xml:space="preserve">ة </w:t>
      </w:r>
      <w:r w:rsidR="00052BF2" w:rsidRPr="00FD211F">
        <w:rPr>
          <w:sz w:val="36"/>
          <w:szCs w:val="36"/>
          <w:rtl/>
        </w:rPr>
        <w:t>لما دل على انه لاصلا</w:t>
      </w:r>
      <w:r w:rsidR="00EC7EDF" w:rsidRPr="00FD211F">
        <w:rPr>
          <w:sz w:val="36"/>
          <w:szCs w:val="36"/>
          <w:rtl/>
        </w:rPr>
        <w:t xml:space="preserve">ة </w:t>
      </w:r>
      <w:r w:rsidR="00052BF2" w:rsidRPr="00FD211F">
        <w:rPr>
          <w:sz w:val="36"/>
          <w:szCs w:val="36"/>
          <w:rtl/>
        </w:rPr>
        <w:t>بغير افتتاح</w:t>
      </w:r>
      <w:r w:rsidR="00603323" w:rsidRPr="00FD211F">
        <w:rPr>
          <w:sz w:val="36"/>
          <w:szCs w:val="36"/>
          <w:rtl/>
        </w:rPr>
        <w:t xml:space="preserve">، </w:t>
      </w:r>
      <w:r w:rsidR="00052BF2" w:rsidRPr="00FD211F">
        <w:rPr>
          <w:sz w:val="36"/>
          <w:szCs w:val="36"/>
          <w:rtl/>
        </w:rPr>
        <w:t>ومعنى هذا هو ان الصلا</w:t>
      </w:r>
      <w:r w:rsidR="00EC7EDF" w:rsidRPr="00FD211F">
        <w:rPr>
          <w:sz w:val="36"/>
          <w:szCs w:val="36"/>
          <w:rtl/>
        </w:rPr>
        <w:t xml:space="preserve">ة </w:t>
      </w:r>
      <w:r w:rsidR="00052BF2" w:rsidRPr="00FD211F">
        <w:rPr>
          <w:sz w:val="36"/>
          <w:szCs w:val="36"/>
          <w:rtl/>
        </w:rPr>
        <w:t>لاتتحقق بدون ذلك</w:t>
      </w:r>
      <w:r w:rsidR="00603323" w:rsidRPr="00FD211F">
        <w:rPr>
          <w:sz w:val="36"/>
          <w:szCs w:val="36"/>
          <w:rtl/>
        </w:rPr>
        <w:t xml:space="preserve">، </w:t>
      </w:r>
      <w:r w:rsidR="00052BF2" w:rsidRPr="00FD211F">
        <w:rPr>
          <w:sz w:val="36"/>
          <w:szCs w:val="36"/>
          <w:rtl/>
        </w:rPr>
        <w:t>فالمصلي لو دخل في القراء</w:t>
      </w:r>
      <w:r w:rsidR="00EC7EDF" w:rsidRPr="00FD211F">
        <w:rPr>
          <w:sz w:val="36"/>
          <w:szCs w:val="36"/>
          <w:rtl/>
        </w:rPr>
        <w:t xml:space="preserve">ة </w:t>
      </w:r>
      <w:r w:rsidR="00052BF2" w:rsidRPr="00FD211F">
        <w:rPr>
          <w:sz w:val="36"/>
          <w:szCs w:val="36"/>
          <w:rtl/>
        </w:rPr>
        <w:t xml:space="preserve">من دون ان </w:t>
      </w:r>
      <w:r w:rsidR="008B5E96" w:rsidRPr="00FD211F">
        <w:rPr>
          <w:sz w:val="36"/>
          <w:szCs w:val="36"/>
          <w:rtl/>
        </w:rPr>
        <w:t>يكبر لايصدق انه دخل في</w:t>
      </w:r>
      <w:r w:rsidR="00DC1D07" w:rsidRPr="00FD211F">
        <w:rPr>
          <w:sz w:val="36"/>
          <w:szCs w:val="36"/>
          <w:rtl/>
        </w:rPr>
        <w:t xml:space="preserve"> الصلا</w:t>
      </w:r>
      <w:r w:rsidR="00EC7EDF" w:rsidRPr="00FD211F">
        <w:rPr>
          <w:sz w:val="36"/>
          <w:szCs w:val="36"/>
          <w:rtl/>
        </w:rPr>
        <w:t>ة</w:t>
      </w:r>
      <w:r w:rsidR="00603323" w:rsidRPr="00FD211F">
        <w:rPr>
          <w:sz w:val="36"/>
          <w:szCs w:val="36"/>
          <w:rtl/>
        </w:rPr>
        <w:t xml:space="preserve">، </w:t>
      </w:r>
      <w:r w:rsidR="00052BF2" w:rsidRPr="00FD211F">
        <w:rPr>
          <w:sz w:val="36"/>
          <w:szCs w:val="36"/>
          <w:rtl/>
        </w:rPr>
        <w:t>ومن هنا يظهر ان عدم ذكر التكبير</w:t>
      </w:r>
      <w:r w:rsidR="00EC7EDF" w:rsidRPr="00FD211F">
        <w:rPr>
          <w:sz w:val="36"/>
          <w:szCs w:val="36"/>
          <w:rtl/>
        </w:rPr>
        <w:t xml:space="preserve">ة </w:t>
      </w:r>
      <w:r w:rsidR="00052BF2" w:rsidRPr="00FD211F">
        <w:rPr>
          <w:sz w:val="36"/>
          <w:szCs w:val="36"/>
          <w:rtl/>
        </w:rPr>
        <w:t>في حديث لاتعاد انما هو من جه</w:t>
      </w:r>
      <w:r w:rsidR="00EC7EDF" w:rsidRPr="00FD211F">
        <w:rPr>
          <w:sz w:val="36"/>
          <w:szCs w:val="36"/>
          <w:rtl/>
        </w:rPr>
        <w:t xml:space="preserve">ة </w:t>
      </w:r>
      <w:r w:rsidR="00052BF2" w:rsidRPr="00FD211F">
        <w:rPr>
          <w:sz w:val="36"/>
          <w:szCs w:val="36"/>
          <w:rtl/>
        </w:rPr>
        <w:t>ان الدخول في الصلا</w:t>
      </w:r>
      <w:r w:rsidR="00EC7EDF" w:rsidRPr="00FD211F">
        <w:rPr>
          <w:sz w:val="36"/>
          <w:szCs w:val="36"/>
          <w:rtl/>
        </w:rPr>
        <w:t xml:space="preserve">ة </w:t>
      </w:r>
      <w:r w:rsidR="00052BF2" w:rsidRPr="00FD211F">
        <w:rPr>
          <w:sz w:val="36"/>
          <w:szCs w:val="36"/>
          <w:rtl/>
        </w:rPr>
        <w:t>لايصدق بدونها</w:t>
      </w:r>
      <w:r w:rsidR="00603323" w:rsidRPr="00FD211F">
        <w:rPr>
          <w:sz w:val="36"/>
          <w:szCs w:val="36"/>
          <w:rtl/>
        </w:rPr>
        <w:t xml:space="preserve">، </w:t>
      </w:r>
      <w:r w:rsidR="00052BF2" w:rsidRPr="00FD211F">
        <w:rPr>
          <w:sz w:val="36"/>
          <w:szCs w:val="36"/>
          <w:rtl/>
        </w:rPr>
        <w:t>حتى يصدق على الاتيان بها الاعاد</w:t>
      </w:r>
      <w:r w:rsidR="00EC7EDF" w:rsidRPr="00FD211F">
        <w:rPr>
          <w:sz w:val="36"/>
          <w:szCs w:val="36"/>
          <w:rtl/>
        </w:rPr>
        <w:t xml:space="preserve">ة </w:t>
      </w:r>
      <w:r w:rsidR="00052BF2" w:rsidRPr="00FD211F">
        <w:rPr>
          <w:sz w:val="36"/>
          <w:szCs w:val="36"/>
          <w:rtl/>
        </w:rPr>
        <w:t>فانها عرفا وجود ثان لل</w:t>
      </w:r>
      <w:r w:rsidR="008D7B3D" w:rsidRPr="00FD211F">
        <w:rPr>
          <w:sz w:val="36"/>
          <w:szCs w:val="36"/>
          <w:rtl/>
        </w:rPr>
        <w:t xml:space="preserve">شيء </w:t>
      </w:r>
      <w:r w:rsidR="00052BF2" w:rsidRPr="00FD211F">
        <w:rPr>
          <w:sz w:val="36"/>
          <w:szCs w:val="36"/>
          <w:rtl/>
        </w:rPr>
        <w:t>بعد وجوده اولا</w:t>
      </w:r>
      <w:r w:rsidR="00603323" w:rsidRPr="00FD211F">
        <w:rPr>
          <w:sz w:val="36"/>
          <w:szCs w:val="36"/>
          <w:rtl/>
        </w:rPr>
        <w:t xml:space="preserve">، </w:t>
      </w:r>
      <w:r w:rsidR="00052BF2" w:rsidRPr="00FD211F">
        <w:rPr>
          <w:sz w:val="36"/>
          <w:szCs w:val="36"/>
          <w:rtl/>
        </w:rPr>
        <w:t>وهكذا يعتبر في صدق الصلا</w:t>
      </w:r>
      <w:r w:rsidR="00EC7EDF" w:rsidRPr="00FD211F">
        <w:rPr>
          <w:sz w:val="36"/>
          <w:szCs w:val="36"/>
          <w:rtl/>
        </w:rPr>
        <w:t xml:space="preserve">ة </w:t>
      </w:r>
      <w:r w:rsidR="00052BF2" w:rsidRPr="00FD211F">
        <w:rPr>
          <w:sz w:val="36"/>
          <w:szCs w:val="36"/>
          <w:rtl/>
        </w:rPr>
        <w:t>الترتيب بين الأركان وكذا الموالا</w:t>
      </w:r>
      <w:r w:rsidR="00EC7EDF" w:rsidRPr="00FD211F">
        <w:rPr>
          <w:sz w:val="36"/>
          <w:szCs w:val="36"/>
          <w:rtl/>
        </w:rPr>
        <w:t>ة</w:t>
      </w:r>
      <w:r w:rsidR="00A61BAE" w:rsidRPr="00FD211F">
        <w:rPr>
          <w:sz w:val="36"/>
          <w:szCs w:val="36"/>
          <w:rtl/>
        </w:rPr>
        <w:t>.</w:t>
      </w:r>
    </w:p>
    <w:p w14:paraId="6A79C87B" w14:textId="77777777" w:rsidR="00052BF2" w:rsidRPr="00FD211F" w:rsidRDefault="00052BF2" w:rsidP="009C58C8">
      <w:pPr>
        <w:ind w:left="0" w:firstLine="227"/>
        <w:jc w:val="both"/>
        <w:rPr>
          <w:sz w:val="36"/>
          <w:szCs w:val="36"/>
          <w:rtl/>
        </w:rPr>
      </w:pPr>
      <w:r w:rsidRPr="00FD211F">
        <w:rPr>
          <w:sz w:val="36"/>
          <w:szCs w:val="36"/>
          <w:rtl/>
        </w:rPr>
        <w:t xml:space="preserve">وكذا اجاب عن </w:t>
      </w:r>
      <w:r w:rsidR="00DC1D07" w:rsidRPr="00FD211F">
        <w:rPr>
          <w:sz w:val="36"/>
          <w:szCs w:val="36"/>
          <w:rtl/>
        </w:rPr>
        <w:t xml:space="preserve">الاشكال </w:t>
      </w:r>
      <w:r w:rsidRPr="00FD211F">
        <w:rPr>
          <w:sz w:val="36"/>
          <w:szCs w:val="36"/>
          <w:rtl/>
        </w:rPr>
        <w:t>الثاني بانه قد وقع فيه الخلط بين المركبات الحقيقي</w:t>
      </w:r>
      <w:r w:rsidR="00EC7EDF" w:rsidRPr="00FD211F">
        <w:rPr>
          <w:sz w:val="36"/>
          <w:szCs w:val="36"/>
          <w:rtl/>
        </w:rPr>
        <w:t xml:space="preserve">ة </w:t>
      </w:r>
      <w:r w:rsidRPr="00FD211F">
        <w:rPr>
          <w:sz w:val="36"/>
          <w:szCs w:val="36"/>
          <w:rtl/>
        </w:rPr>
        <w:t>والمركبات الاعتباري</w:t>
      </w:r>
      <w:r w:rsidR="00EC7EDF" w:rsidRPr="00FD211F">
        <w:rPr>
          <w:sz w:val="36"/>
          <w:szCs w:val="36"/>
          <w:rtl/>
        </w:rPr>
        <w:t>ة</w:t>
      </w:r>
      <w:r w:rsidR="00603323" w:rsidRPr="00FD211F">
        <w:rPr>
          <w:sz w:val="36"/>
          <w:szCs w:val="36"/>
          <w:rtl/>
        </w:rPr>
        <w:t xml:space="preserve">، </w:t>
      </w:r>
      <w:r w:rsidRPr="00FD211F">
        <w:rPr>
          <w:sz w:val="36"/>
          <w:szCs w:val="36"/>
          <w:rtl/>
        </w:rPr>
        <w:t>فان المركبات ال</w:t>
      </w:r>
      <w:r w:rsidR="00DC1D07" w:rsidRPr="00FD211F">
        <w:rPr>
          <w:sz w:val="36"/>
          <w:szCs w:val="36"/>
          <w:rtl/>
        </w:rPr>
        <w:t>حقيقي</w:t>
      </w:r>
      <w:r w:rsidR="00EC7EDF" w:rsidRPr="00FD211F">
        <w:rPr>
          <w:sz w:val="36"/>
          <w:szCs w:val="36"/>
          <w:rtl/>
        </w:rPr>
        <w:t xml:space="preserve">ة </w:t>
      </w:r>
      <w:r w:rsidR="00DC1D07" w:rsidRPr="00FD211F">
        <w:rPr>
          <w:sz w:val="36"/>
          <w:szCs w:val="36"/>
          <w:rtl/>
        </w:rPr>
        <w:t xml:space="preserve">التي تتركب من جنس وفصل تنتفي </w:t>
      </w:r>
      <w:r w:rsidRPr="00FD211F">
        <w:rPr>
          <w:sz w:val="36"/>
          <w:szCs w:val="36"/>
          <w:rtl/>
        </w:rPr>
        <w:t>بانتفاء احدهما</w:t>
      </w:r>
      <w:r w:rsidR="00603323" w:rsidRPr="00FD211F">
        <w:rPr>
          <w:sz w:val="36"/>
          <w:szCs w:val="36"/>
          <w:rtl/>
        </w:rPr>
        <w:t xml:space="preserve">، </w:t>
      </w:r>
      <w:r w:rsidRPr="00FD211F">
        <w:rPr>
          <w:sz w:val="36"/>
          <w:szCs w:val="36"/>
          <w:rtl/>
        </w:rPr>
        <w:t>فالحيوان مثلا جنس للانسان فلايعقل ان يكون جنسا له في حال ولايكون جنسا له في حال آخر</w:t>
      </w:r>
      <w:r w:rsidR="00603323" w:rsidRPr="00FD211F">
        <w:rPr>
          <w:sz w:val="36"/>
          <w:szCs w:val="36"/>
          <w:rtl/>
        </w:rPr>
        <w:t xml:space="preserve">، </w:t>
      </w:r>
      <w:r w:rsidRPr="00FD211F">
        <w:rPr>
          <w:sz w:val="36"/>
          <w:szCs w:val="36"/>
          <w:rtl/>
        </w:rPr>
        <w:t>وكذا الناطق فصل له</w:t>
      </w:r>
      <w:r w:rsidR="00603323" w:rsidRPr="00FD211F">
        <w:rPr>
          <w:sz w:val="36"/>
          <w:szCs w:val="36"/>
          <w:rtl/>
        </w:rPr>
        <w:t xml:space="preserve">، </w:t>
      </w:r>
      <w:r w:rsidRPr="00FD211F">
        <w:rPr>
          <w:sz w:val="36"/>
          <w:szCs w:val="36"/>
          <w:rtl/>
        </w:rPr>
        <w:t>فلايعقل ان يكون فصلا له في حال دون حال</w:t>
      </w:r>
      <w:r w:rsidR="00603323" w:rsidRPr="00FD211F">
        <w:rPr>
          <w:sz w:val="36"/>
          <w:szCs w:val="36"/>
          <w:rtl/>
        </w:rPr>
        <w:t xml:space="preserve">، </w:t>
      </w:r>
      <w:r w:rsidRPr="00FD211F">
        <w:rPr>
          <w:sz w:val="36"/>
          <w:szCs w:val="36"/>
          <w:rtl/>
        </w:rPr>
        <w:t>واما المركبات الاعتباري</w:t>
      </w:r>
      <w:r w:rsidR="00EC7EDF" w:rsidRPr="00FD211F">
        <w:rPr>
          <w:sz w:val="36"/>
          <w:szCs w:val="36"/>
          <w:rtl/>
        </w:rPr>
        <w:t xml:space="preserve">ة </w:t>
      </w:r>
      <w:r w:rsidRPr="00FD211F">
        <w:rPr>
          <w:sz w:val="36"/>
          <w:szCs w:val="36"/>
          <w:rtl/>
        </w:rPr>
        <w:t xml:space="preserve">فلامانع من كون </w:t>
      </w:r>
      <w:r w:rsidR="008D7B3D" w:rsidRPr="00FD211F">
        <w:rPr>
          <w:sz w:val="36"/>
          <w:szCs w:val="36"/>
          <w:rtl/>
        </w:rPr>
        <w:t xml:space="preserve">شيء </w:t>
      </w:r>
      <w:r w:rsidRPr="00FD211F">
        <w:rPr>
          <w:sz w:val="36"/>
          <w:szCs w:val="36"/>
          <w:rtl/>
        </w:rPr>
        <w:t>واحد داخلا فيها عند وجوده وخارجا عنها عند عدمه</w:t>
      </w:r>
      <w:r w:rsidR="00603323" w:rsidRPr="00FD211F">
        <w:rPr>
          <w:sz w:val="36"/>
          <w:szCs w:val="36"/>
          <w:rtl/>
        </w:rPr>
        <w:t xml:space="preserve">، </w:t>
      </w:r>
      <w:r w:rsidRPr="00FD211F">
        <w:rPr>
          <w:sz w:val="36"/>
          <w:szCs w:val="36"/>
          <w:rtl/>
        </w:rPr>
        <w:t>كلفظ الدار الذي هو موضوع لمعنى مركب وهو ما اشتمل على الحيطان والساح</w:t>
      </w:r>
      <w:r w:rsidR="00EC7EDF" w:rsidRPr="00FD211F">
        <w:rPr>
          <w:sz w:val="36"/>
          <w:szCs w:val="36"/>
          <w:rtl/>
        </w:rPr>
        <w:t xml:space="preserve">ة </w:t>
      </w:r>
      <w:r w:rsidRPr="00FD211F">
        <w:rPr>
          <w:sz w:val="36"/>
          <w:szCs w:val="36"/>
          <w:rtl/>
        </w:rPr>
        <w:t>والغرف</w:t>
      </w:r>
      <w:r w:rsidR="00EC7EDF" w:rsidRPr="00FD211F">
        <w:rPr>
          <w:sz w:val="36"/>
          <w:szCs w:val="36"/>
          <w:rtl/>
        </w:rPr>
        <w:t xml:space="preserve">ة </w:t>
      </w:r>
      <w:r w:rsidRPr="00FD211F">
        <w:rPr>
          <w:sz w:val="36"/>
          <w:szCs w:val="36"/>
          <w:rtl/>
        </w:rPr>
        <w:t>فهي اركانها</w:t>
      </w:r>
      <w:r w:rsidR="00603323" w:rsidRPr="00FD211F">
        <w:rPr>
          <w:sz w:val="36"/>
          <w:szCs w:val="36"/>
          <w:rtl/>
        </w:rPr>
        <w:t xml:space="preserve">، </w:t>
      </w:r>
      <w:r w:rsidRPr="00FD211F">
        <w:rPr>
          <w:sz w:val="36"/>
          <w:szCs w:val="36"/>
          <w:rtl/>
        </w:rPr>
        <w:t>فحينئذ ان كان لها سرداب او بئر او حوض او نحو ذلك</w:t>
      </w:r>
      <w:r w:rsidR="00603323" w:rsidRPr="00FD211F">
        <w:rPr>
          <w:sz w:val="36"/>
          <w:szCs w:val="36"/>
          <w:rtl/>
        </w:rPr>
        <w:t xml:space="preserve">، </w:t>
      </w:r>
      <w:r w:rsidRPr="00FD211F">
        <w:rPr>
          <w:sz w:val="36"/>
          <w:szCs w:val="36"/>
          <w:rtl/>
        </w:rPr>
        <w:t>فيكون ذلك من اجزاءها وداخلا في مسمى لفظها</w:t>
      </w:r>
      <w:r w:rsidR="00603323" w:rsidRPr="00FD211F">
        <w:rPr>
          <w:sz w:val="36"/>
          <w:szCs w:val="36"/>
          <w:rtl/>
        </w:rPr>
        <w:t xml:space="preserve">، </w:t>
      </w:r>
      <w:r w:rsidRPr="00FD211F">
        <w:rPr>
          <w:sz w:val="36"/>
          <w:szCs w:val="36"/>
          <w:rtl/>
        </w:rPr>
        <w:t>حيث ان</w:t>
      </w:r>
      <w:r w:rsidR="00500C38" w:rsidRPr="00FD211F">
        <w:rPr>
          <w:sz w:val="36"/>
          <w:szCs w:val="36"/>
          <w:rtl/>
        </w:rPr>
        <w:t xml:space="preserve"> معنى</w:t>
      </w:r>
      <w:r w:rsidRPr="00FD211F">
        <w:rPr>
          <w:sz w:val="36"/>
          <w:szCs w:val="36"/>
          <w:rtl/>
        </w:rPr>
        <w:t xml:space="preserve"> الدار مأخوذ لابشرط بالنسب</w:t>
      </w:r>
      <w:r w:rsidR="00EC7EDF" w:rsidRPr="00FD211F">
        <w:rPr>
          <w:sz w:val="36"/>
          <w:szCs w:val="36"/>
          <w:rtl/>
        </w:rPr>
        <w:t xml:space="preserve">ة </w:t>
      </w:r>
      <w:r w:rsidRPr="00FD211F">
        <w:rPr>
          <w:sz w:val="36"/>
          <w:szCs w:val="36"/>
          <w:rtl/>
        </w:rPr>
        <w:t>الى مثل ذلك</w:t>
      </w:r>
      <w:r w:rsidR="00603323" w:rsidRPr="00FD211F">
        <w:rPr>
          <w:sz w:val="36"/>
          <w:szCs w:val="36"/>
          <w:rtl/>
        </w:rPr>
        <w:t xml:space="preserve">، </w:t>
      </w:r>
      <w:r w:rsidRPr="00FD211F">
        <w:rPr>
          <w:sz w:val="36"/>
          <w:szCs w:val="36"/>
          <w:rtl/>
        </w:rPr>
        <w:t>ومن هذا القبيل لفظ القبا والعباء بالاضاف</w:t>
      </w:r>
      <w:r w:rsidR="00EC7EDF" w:rsidRPr="00FD211F">
        <w:rPr>
          <w:sz w:val="36"/>
          <w:szCs w:val="36"/>
          <w:rtl/>
        </w:rPr>
        <w:t xml:space="preserve">ة </w:t>
      </w:r>
      <w:r w:rsidRPr="00FD211F">
        <w:rPr>
          <w:sz w:val="36"/>
          <w:szCs w:val="36"/>
          <w:rtl/>
        </w:rPr>
        <w:t>الى البطان</w:t>
      </w:r>
      <w:r w:rsidR="00EC7EDF" w:rsidRPr="00FD211F">
        <w:rPr>
          <w:sz w:val="36"/>
          <w:szCs w:val="36"/>
          <w:rtl/>
        </w:rPr>
        <w:t xml:space="preserve">ة </w:t>
      </w:r>
      <w:r w:rsidRPr="00FD211F">
        <w:rPr>
          <w:sz w:val="36"/>
          <w:szCs w:val="36"/>
          <w:rtl/>
        </w:rPr>
        <w:t>ونحوها</w:t>
      </w:r>
      <w:r w:rsidR="00603323" w:rsidRPr="00FD211F">
        <w:rPr>
          <w:sz w:val="36"/>
          <w:szCs w:val="36"/>
          <w:rtl/>
        </w:rPr>
        <w:t xml:space="preserve">، </w:t>
      </w:r>
      <w:r w:rsidRPr="00FD211F">
        <w:rPr>
          <w:sz w:val="36"/>
          <w:szCs w:val="36"/>
          <w:rtl/>
        </w:rPr>
        <w:t>فانها عند وجودها داخل</w:t>
      </w:r>
      <w:r w:rsidR="00EC7EDF" w:rsidRPr="00FD211F">
        <w:rPr>
          <w:sz w:val="36"/>
          <w:szCs w:val="36"/>
          <w:rtl/>
        </w:rPr>
        <w:t xml:space="preserve">ة </w:t>
      </w:r>
      <w:r w:rsidRPr="00FD211F">
        <w:rPr>
          <w:sz w:val="36"/>
          <w:szCs w:val="36"/>
          <w:rtl/>
        </w:rPr>
        <w:t>في المسمى وعند عدمها خارج</w:t>
      </w:r>
      <w:r w:rsidR="00EC7EDF" w:rsidRPr="00FD211F">
        <w:rPr>
          <w:sz w:val="36"/>
          <w:szCs w:val="36"/>
          <w:rtl/>
        </w:rPr>
        <w:t xml:space="preserve">ة </w:t>
      </w:r>
      <w:r w:rsidRPr="00FD211F">
        <w:rPr>
          <w:sz w:val="36"/>
          <w:szCs w:val="36"/>
          <w:rtl/>
        </w:rPr>
        <w:t>عنه</w:t>
      </w:r>
      <w:r w:rsidR="00603323" w:rsidRPr="00FD211F">
        <w:rPr>
          <w:sz w:val="36"/>
          <w:szCs w:val="36"/>
          <w:rtl/>
        </w:rPr>
        <w:t xml:space="preserve">، </w:t>
      </w:r>
      <w:r w:rsidRPr="00FD211F">
        <w:rPr>
          <w:sz w:val="36"/>
          <w:szCs w:val="36"/>
          <w:rtl/>
        </w:rPr>
        <w:t>ومن هذا القبيل ايضا الكلم</w:t>
      </w:r>
      <w:r w:rsidR="00EC7EDF" w:rsidRPr="00FD211F">
        <w:rPr>
          <w:sz w:val="36"/>
          <w:szCs w:val="36"/>
          <w:rtl/>
        </w:rPr>
        <w:t xml:space="preserve">ة </w:t>
      </w:r>
      <w:r w:rsidRPr="00FD211F">
        <w:rPr>
          <w:sz w:val="36"/>
          <w:szCs w:val="36"/>
          <w:rtl/>
        </w:rPr>
        <w:t>والكلام</w:t>
      </w:r>
      <w:r w:rsidR="00603323" w:rsidRPr="00FD211F">
        <w:rPr>
          <w:sz w:val="36"/>
          <w:szCs w:val="36"/>
          <w:rtl/>
        </w:rPr>
        <w:t xml:space="preserve">، </w:t>
      </w:r>
      <w:r w:rsidRPr="00FD211F">
        <w:rPr>
          <w:sz w:val="36"/>
          <w:szCs w:val="36"/>
          <w:rtl/>
        </w:rPr>
        <w:t>فان الكلم</w:t>
      </w:r>
      <w:r w:rsidR="00EC7EDF" w:rsidRPr="00FD211F">
        <w:rPr>
          <w:sz w:val="36"/>
          <w:szCs w:val="36"/>
          <w:rtl/>
        </w:rPr>
        <w:t xml:space="preserve">ة </w:t>
      </w:r>
      <w:r w:rsidRPr="00FD211F">
        <w:rPr>
          <w:sz w:val="36"/>
          <w:szCs w:val="36"/>
          <w:rtl/>
        </w:rPr>
        <w:t>موضوع</w:t>
      </w:r>
      <w:r w:rsidR="00EC7EDF" w:rsidRPr="00FD211F">
        <w:rPr>
          <w:sz w:val="36"/>
          <w:szCs w:val="36"/>
          <w:rtl/>
        </w:rPr>
        <w:t xml:space="preserve">ة </w:t>
      </w:r>
      <w:r w:rsidRPr="00FD211F">
        <w:rPr>
          <w:sz w:val="36"/>
          <w:szCs w:val="36"/>
          <w:rtl/>
        </w:rPr>
        <w:t>للمركب من حرفين فصاعدا</w:t>
      </w:r>
      <w:r w:rsidR="00603323" w:rsidRPr="00FD211F">
        <w:rPr>
          <w:sz w:val="36"/>
          <w:szCs w:val="36"/>
          <w:rtl/>
        </w:rPr>
        <w:t xml:space="preserve">، </w:t>
      </w:r>
      <w:r w:rsidRPr="00FD211F">
        <w:rPr>
          <w:sz w:val="36"/>
          <w:szCs w:val="36"/>
          <w:rtl/>
        </w:rPr>
        <w:t>فان زيد عليهما حرف او ازيد فهو داخل في معناها والا فلا</w:t>
      </w:r>
      <w:r w:rsidR="00603323" w:rsidRPr="00FD211F">
        <w:rPr>
          <w:sz w:val="36"/>
          <w:szCs w:val="36"/>
          <w:rtl/>
        </w:rPr>
        <w:t xml:space="preserve">، </w:t>
      </w:r>
      <w:r w:rsidRPr="00FD211F">
        <w:rPr>
          <w:sz w:val="36"/>
          <w:szCs w:val="36"/>
          <w:rtl/>
        </w:rPr>
        <w:t>والكلام موضوع للمركب من كلمتين فمازاد</w:t>
      </w:r>
      <w:r w:rsidR="00603323" w:rsidRPr="00FD211F">
        <w:rPr>
          <w:sz w:val="36"/>
          <w:szCs w:val="36"/>
          <w:rtl/>
        </w:rPr>
        <w:t xml:space="preserve">، </w:t>
      </w:r>
      <w:r w:rsidRPr="00FD211F">
        <w:rPr>
          <w:sz w:val="36"/>
          <w:szCs w:val="36"/>
          <w:rtl/>
        </w:rPr>
        <w:t>فقولنا</w:t>
      </w:r>
      <w:r w:rsidR="00EA295A" w:rsidRPr="00FD211F">
        <w:rPr>
          <w:sz w:val="36"/>
          <w:szCs w:val="36"/>
          <w:rtl/>
        </w:rPr>
        <w:t>"</w:t>
      </w:r>
      <w:r w:rsidRPr="00FD211F">
        <w:rPr>
          <w:sz w:val="36"/>
          <w:szCs w:val="36"/>
          <w:rtl/>
        </w:rPr>
        <w:t xml:space="preserve">ضرب زيد </w:t>
      </w:r>
      <w:r w:rsidR="00EA295A" w:rsidRPr="00FD211F">
        <w:rPr>
          <w:sz w:val="36"/>
          <w:szCs w:val="36"/>
          <w:rtl/>
        </w:rPr>
        <w:t>"كلام</w:t>
      </w:r>
      <w:r w:rsidR="00603323" w:rsidRPr="00FD211F">
        <w:rPr>
          <w:sz w:val="36"/>
          <w:szCs w:val="36"/>
          <w:rtl/>
        </w:rPr>
        <w:t xml:space="preserve">، </w:t>
      </w:r>
      <w:r w:rsidRPr="00FD211F">
        <w:rPr>
          <w:sz w:val="36"/>
          <w:szCs w:val="36"/>
          <w:rtl/>
        </w:rPr>
        <w:t>كما ان قولنا</w:t>
      </w:r>
      <w:r w:rsidR="00EA295A" w:rsidRPr="00FD211F">
        <w:rPr>
          <w:sz w:val="36"/>
          <w:szCs w:val="36"/>
          <w:rtl/>
        </w:rPr>
        <w:t>"</w:t>
      </w:r>
      <w:r w:rsidRPr="00FD211F">
        <w:rPr>
          <w:sz w:val="36"/>
          <w:szCs w:val="36"/>
          <w:rtl/>
        </w:rPr>
        <w:t xml:space="preserve">ضرب زيد عمروا </w:t>
      </w:r>
      <w:r w:rsidR="00EA295A" w:rsidRPr="00FD211F">
        <w:rPr>
          <w:sz w:val="36"/>
          <w:szCs w:val="36"/>
          <w:rtl/>
        </w:rPr>
        <w:t>"</w:t>
      </w:r>
      <w:r w:rsidRPr="00FD211F">
        <w:rPr>
          <w:sz w:val="36"/>
          <w:szCs w:val="36"/>
          <w:rtl/>
        </w:rPr>
        <w:t>كلام</w:t>
      </w:r>
      <w:r w:rsidR="00603323" w:rsidRPr="00FD211F">
        <w:rPr>
          <w:sz w:val="36"/>
          <w:szCs w:val="36"/>
          <w:rtl/>
        </w:rPr>
        <w:t xml:space="preserve">، </w:t>
      </w:r>
      <w:r w:rsidRPr="00FD211F">
        <w:rPr>
          <w:sz w:val="36"/>
          <w:szCs w:val="36"/>
          <w:rtl/>
        </w:rPr>
        <w:t>وهكذا</w:t>
      </w:r>
      <w:r w:rsidR="00EC7EDF" w:rsidRPr="00FD211F">
        <w:rPr>
          <w:sz w:val="36"/>
          <w:szCs w:val="36"/>
          <w:rtl/>
        </w:rPr>
        <w:t>.</w:t>
      </w:r>
      <w:r w:rsidRPr="00FD211F">
        <w:rPr>
          <w:sz w:val="36"/>
          <w:szCs w:val="36"/>
          <w:rtl/>
        </w:rPr>
        <w:t>...</w:t>
      </w:r>
    </w:p>
    <w:p w14:paraId="5D0CF5C4" w14:textId="77777777" w:rsidR="00B85838" w:rsidRPr="00FD211F" w:rsidRDefault="00052BF2" w:rsidP="009C58C8">
      <w:pPr>
        <w:ind w:left="0" w:firstLine="227"/>
        <w:jc w:val="both"/>
        <w:rPr>
          <w:sz w:val="36"/>
          <w:szCs w:val="36"/>
          <w:rtl/>
        </w:rPr>
      </w:pPr>
      <w:r w:rsidRPr="00FD211F">
        <w:rPr>
          <w:sz w:val="36"/>
          <w:szCs w:val="36"/>
          <w:rtl/>
        </w:rPr>
        <w:t>والمتحصل ان المركبات الاعتباري</w:t>
      </w:r>
      <w:r w:rsidR="00EC7EDF" w:rsidRPr="00FD211F">
        <w:rPr>
          <w:sz w:val="36"/>
          <w:szCs w:val="36"/>
          <w:rtl/>
        </w:rPr>
        <w:t xml:space="preserve">ة </w:t>
      </w:r>
      <w:r w:rsidRPr="00FD211F">
        <w:rPr>
          <w:sz w:val="36"/>
          <w:szCs w:val="36"/>
          <w:rtl/>
        </w:rPr>
        <w:t>على نحوين</w:t>
      </w:r>
      <w:r w:rsidR="00EC7EDF" w:rsidRPr="00FD211F">
        <w:rPr>
          <w:sz w:val="36"/>
          <w:szCs w:val="36"/>
          <w:rtl/>
        </w:rPr>
        <w:t>:</w:t>
      </w:r>
    </w:p>
    <w:p w14:paraId="553D4D4C" w14:textId="77777777" w:rsidR="00B85838" w:rsidRPr="00FD211F" w:rsidRDefault="00B85838" w:rsidP="009C58C8">
      <w:pPr>
        <w:ind w:left="0" w:firstLine="227"/>
        <w:jc w:val="both"/>
        <w:rPr>
          <w:sz w:val="36"/>
          <w:szCs w:val="36"/>
          <w:rtl/>
        </w:rPr>
      </w:pPr>
      <w:r w:rsidRPr="00FD211F">
        <w:rPr>
          <w:sz w:val="36"/>
          <w:szCs w:val="36"/>
          <w:rtl/>
        </w:rPr>
        <w:t>احدهما:</w:t>
      </w:r>
      <w:r w:rsidR="00052BF2" w:rsidRPr="00FD211F">
        <w:rPr>
          <w:sz w:val="36"/>
          <w:szCs w:val="36"/>
          <w:rtl/>
        </w:rPr>
        <w:t xml:space="preserve"> ما لوحظ فيه حد معين من جانب القل</w:t>
      </w:r>
      <w:r w:rsidR="00EC7EDF" w:rsidRPr="00FD211F">
        <w:rPr>
          <w:sz w:val="36"/>
          <w:szCs w:val="36"/>
          <w:rtl/>
        </w:rPr>
        <w:t xml:space="preserve">ة </w:t>
      </w:r>
      <w:r w:rsidR="00052BF2" w:rsidRPr="00FD211F">
        <w:rPr>
          <w:sz w:val="36"/>
          <w:szCs w:val="36"/>
          <w:rtl/>
        </w:rPr>
        <w:t>والكثر</w:t>
      </w:r>
      <w:r w:rsidR="00EC7EDF" w:rsidRPr="00FD211F">
        <w:rPr>
          <w:sz w:val="36"/>
          <w:szCs w:val="36"/>
          <w:rtl/>
        </w:rPr>
        <w:t xml:space="preserve">ة </w:t>
      </w:r>
      <w:r w:rsidR="00052BF2" w:rsidRPr="00FD211F">
        <w:rPr>
          <w:sz w:val="36"/>
          <w:szCs w:val="36"/>
          <w:rtl/>
        </w:rPr>
        <w:t>كالأعداد</w:t>
      </w:r>
      <w:r w:rsidR="00603323" w:rsidRPr="00FD211F">
        <w:rPr>
          <w:sz w:val="36"/>
          <w:szCs w:val="36"/>
          <w:rtl/>
        </w:rPr>
        <w:t xml:space="preserve">، </w:t>
      </w:r>
      <w:r w:rsidR="00052BF2" w:rsidRPr="00FD211F">
        <w:rPr>
          <w:sz w:val="36"/>
          <w:szCs w:val="36"/>
          <w:rtl/>
        </w:rPr>
        <w:t>فان الخمس</w:t>
      </w:r>
      <w:r w:rsidR="00EC7EDF" w:rsidRPr="00FD211F">
        <w:rPr>
          <w:sz w:val="36"/>
          <w:szCs w:val="36"/>
          <w:rtl/>
        </w:rPr>
        <w:t xml:space="preserve">ة </w:t>
      </w:r>
      <w:r w:rsidRPr="00FD211F">
        <w:rPr>
          <w:sz w:val="36"/>
          <w:szCs w:val="36"/>
          <w:rtl/>
        </w:rPr>
        <w:t>مثلا تكون بشرط لا عن الزائد.</w:t>
      </w:r>
    </w:p>
    <w:p w14:paraId="2BCB486F" w14:textId="77777777" w:rsidR="000C5BBA" w:rsidRPr="00FD211F" w:rsidRDefault="00052BF2" w:rsidP="009C58C8">
      <w:pPr>
        <w:ind w:left="0" w:firstLine="227"/>
        <w:jc w:val="both"/>
        <w:rPr>
          <w:sz w:val="36"/>
          <w:szCs w:val="36"/>
          <w:rtl/>
        </w:rPr>
      </w:pPr>
      <w:r w:rsidRPr="00FD211F">
        <w:rPr>
          <w:sz w:val="36"/>
          <w:szCs w:val="36"/>
          <w:rtl/>
        </w:rPr>
        <w:t>ثانيهما: ما لوحظ فيه حد معين من جانب القل</w:t>
      </w:r>
      <w:r w:rsidR="00EC7EDF" w:rsidRPr="00FD211F">
        <w:rPr>
          <w:sz w:val="36"/>
          <w:szCs w:val="36"/>
          <w:rtl/>
        </w:rPr>
        <w:t xml:space="preserve">ة </w:t>
      </w:r>
      <w:r w:rsidRPr="00FD211F">
        <w:rPr>
          <w:sz w:val="36"/>
          <w:szCs w:val="36"/>
          <w:rtl/>
        </w:rPr>
        <w:t>فقط ويكون لابشرط من جانب الكثر</w:t>
      </w:r>
      <w:r w:rsidR="00EC7EDF" w:rsidRPr="00FD211F">
        <w:rPr>
          <w:sz w:val="36"/>
          <w:szCs w:val="36"/>
          <w:rtl/>
        </w:rPr>
        <w:t>ة</w:t>
      </w:r>
      <w:r w:rsidR="00603323" w:rsidRPr="00FD211F">
        <w:rPr>
          <w:sz w:val="36"/>
          <w:szCs w:val="36"/>
          <w:rtl/>
        </w:rPr>
        <w:t xml:space="preserve">، </w:t>
      </w:r>
      <w:r w:rsidRPr="00FD211F">
        <w:rPr>
          <w:sz w:val="36"/>
          <w:szCs w:val="36"/>
          <w:rtl/>
        </w:rPr>
        <w:t>مثل الكلم</w:t>
      </w:r>
      <w:r w:rsidR="00EC7EDF" w:rsidRPr="00FD211F">
        <w:rPr>
          <w:sz w:val="36"/>
          <w:szCs w:val="36"/>
          <w:rtl/>
        </w:rPr>
        <w:t xml:space="preserve">ة </w:t>
      </w:r>
      <w:r w:rsidRPr="00FD211F">
        <w:rPr>
          <w:sz w:val="36"/>
          <w:szCs w:val="36"/>
          <w:rtl/>
        </w:rPr>
        <w:t>والكلام وال</w:t>
      </w:r>
      <w:r w:rsidR="00B85838" w:rsidRPr="00FD211F">
        <w:rPr>
          <w:sz w:val="36"/>
          <w:szCs w:val="36"/>
          <w:rtl/>
        </w:rPr>
        <w:t>دار وامثال ذلك.</w:t>
      </w:r>
    </w:p>
    <w:p w14:paraId="30A68C6A" w14:textId="77777777" w:rsidR="00052BF2" w:rsidRPr="00FD211F" w:rsidRDefault="00052BF2" w:rsidP="009C58C8">
      <w:pPr>
        <w:ind w:left="0" w:firstLine="227"/>
        <w:jc w:val="both"/>
        <w:rPr>
          <w:sz w:val="36"/>
          <w:szCs w:val="36"/>
          <w:rtl/>
        </w:rPr>
      </w:pPr>
      <w:r w:rsidRPr="00FD211F">
        <w:rPr>
          <w:sz w:val="36"/>
          <w:szCs w:val="36"/>
          <w:rtl/>
        </w:rPr>
        <w:t>ولما كانت الصلا</w:t>
      </w:r>
      <w:r w:rsidR="00EC7EDF" w:rsidRPr="00FD211F">
        <w:rPr>
          <w:sz w:val="36"/>
          <w:szCs w:val="36"/>
          <w:rtl/>
        </w:rPr>
        <w:t xml:space="preserve">ة </w:t>
      </w:r>
      <w:r w:rsidRPr="00FD211F">
        <w:rPr>
          <w:sz w:val="36"/>
          <w:szCs w:val="36"/>
          <w:rtl/>
        </w:rPr>
        <w:t>من المركبات الاعتباري</w:t>
      </w:r>
      <w:r w:rsidR="00EC7EDF" w:rsidRPr="00FD211F">
        <w:rPr>
          <w:sz w:val="36"/>
          <w:szCs w:val="36"/>
          <w:rtl/>
        </w:rPr>
        <w:t xml:space="preserve">ة </w:t>
      </w:r>
      <w:r w:rsidRPr="00FD211F">
        <w:rPr>
          <w:sz w:val="36"/>
          <w:szCs w:val="36"/>
          <w:rtl/>
        </w:rPr>
        <w:t>فلامانع من ان تكون لابشرط بالنسب</w:t>
      </w:r>
      <w:r w:rsidR="00EC7EDF" w:rsidRPr="00FD211F">
        <w:rPr>
          <w:sz w:val="36"/>
          <w:szCs w:val="36"/>
          <w:rtl/>
        </w:rPr>
        <w:t xml:space="preserve">ة </w:t>
      </w:r>
      <w:r w:rsidRPr="00FD211F">
        <w:rPr>
          <w:sz w:val="36"/>
          <w:szCs w:val="36"/>
          <w:rtl/>
        </w:rPr>
        <w:t>الى ما عدا الاركان من سائر الأجزاء والشرائط</w:t>
      </w:r>
      <w:r w:rsidR="00603323" w:rsidRPr="00FD211F">
        <w:rPr>
          <w:sz w:val="36"/>
          <w:szCs w:val="36"/>
          <w:rtl/>
        </w:rPr>
        <w:t xml:space="preserve">، </w:t>
      </w:r>
      <w:r w:rsidRPr="00FD211F">
        <w:rPr>
          <w:sz w:val="36"/>
          <w:szCs w:val="36"/>
          <w:rtl/>
        </w:rPr>
        <w:t>فهي عند وجودها داخل</w:t>
      </w:r>
      <w:r w:rsidR="00EC7EDF" w:rsidRPr="00FD211F">
        <w:rPr>
          <w:sz w:val="36"/>
          <w:szCs w:val="36"/>
          <w:rtl/>
        </w:rPr>
        <w:t xml:space="preserve">ة </w:t>
      </w:r>
      <w:r w:rsidRPr="00FD211F">
        <w:rPr>
          <w:sz w:val="36"/>
          <w:szCs w:val="36"/>
          <w:rtl/>
        </w:rPr>
        <w:t>في المسمى وعند عدمها خارج</w:t>
      </w:r>
      <w:r w:rsidR="00EC7EDF" w:rsidRPr="00FD211F">
        <w:rPr>
          <w:sz w:val="36"/>
          <w:szCs w:val="36"/>
          <w:rtl/>
        </w:rPr>
        <w:t xml:space="preserve">ة </w:t>
      </w:r>
      <w:r w:rsidRPr="00FD211F">
        <w:rPr>
          <w:sz w:val="36"/>
          <w:szCs w:val="36"/>
          <w:rtl/>
        </w:rPr>
        <w:t>عنه</w:t>
      </w:r>
      <w:r w:rsidR="00603323" w:rsidRPr="00FD211F">
        <w:rPr>
          <w:sz w:val="36"/>
          <w:szCs w:val="36"/>
          <w:rtl/>
        </w:rPr>
        <w:t xml:space="preserve">، </w:t>
      </w:r>
      <w:r w:rsidRPr="00FD211F">
        <w:rPr>
          <w:sz w:val="36"/>
          <w:szCs w:val="36"/>
          <w:rtl/>
        </w:rPr>
        <w:t>كما ان اختلاف الاركان أيضا لأجل اختلاف الأشخاص كالركوع الاختياري في حق المختار والركوع الاضطراري في حق المضطر لاينافي وضع لفظ الصلا</w:t>
      </w:r>
      <w:r w:rsidR="00EC7EDF" w:rsidRPr="00FD211F">
        <w:rPr>
          <w:sz w:val="36"/>
          <w:szCs w:val="36"/>
          <w:rtl/>
        </w:rPr>
        <w:t xml:space="preserve">ة </w:t>
      </w:r>
      <w:r w:rsidRPr="00FD211F">
        <w:rPr>
          <w:sz w:val="36"/>
          <w:szCs w:val="36"/>
          <w:rtl/>
        </w:rPr>
        <w:t>بإزاء معنى جامع لمراتب الأركان</w:t>
      </w:r>
      <w:r w:rsidR="00603323" w:rsidRPr="00FD211F">
        <w:rPr>
          <w:sz w:val="36"/>
          <w:szCs w:val="36"/>
          <w:rtl/>
        </w:rPr>
        <w:t xml:space="preserve">، </w:t>
      </w:r>
      <w:r w:rsidRPr="00FD211F">
        <w:rPr>
          <w:sz w:val="36"/>
          <w:szCs w:val="36"/>
          <w:rtl/>
        </w:rPr>
        <w:t xml:space="preserve">ولو بان يكون </w:t>
      </w:r>
      <w:r w:rsidR="00DC1D07" w:rsidRPr="00FD211F">
        <w:rPr>
          <w:sz w:val="36"/>
          <w:szCs w:val="36"/>
          <w:rtl/>
        </w:rPr>
        <w:t>الجامع عنوان احدها</w:t>
      </w:r>
      <w:r w:rsidR="00603323" w:rsidRPr="00FD211F">
        <w:rPr>
          <w:sz w:val="36"/>
          <w:szCs w:val="36"/>
          <w:rtl/>
        </w:rPr>
        <w:t xml:space="preserve">، </w:t>
      </w:r>
      <w:r w:rsidRPr="00FD211F">
        <w:rPr>
          <w:sz w:val="36"/>
          <w:szCs w:val="36"/>
          <w:rtl/>
        </w:rPr>
        <w:t xml:space="preserve">اذ لامانع من ان يكون المقوم في المركب الاعتباري احد امور على سبيل البدل كالحلوى فانه موضوع للمركب المطبوخ من </w:t>
      </w:r>
      <w:r w:rsidR="00DC1D07" w:rsidRPr="00FD211F">
        <w:rPr>
          <w:sz w:val="36"/>
          <w:szCs w:val="36"/>
          <w:rtl/>
        </w:rPr>
        <w:t>الس</w:t>
      </w:r>
      <w:r w:rsidRPr="00FD211F">
        <w:rPr>
          <w:sz w:val="36"/>
          <w:szCs w:val="36"/>
          <w:rtl/>
        </w:rPr>
        <w:t>كر وغيره سواء كان ذلك الغير دقيق ارز او حنط</w:t>
      </w:r>
      <w:r w:rsidR="00EC7EDF" w:rsidRPr="00FD211F">
        <w:rPr>
          <w:sz w:val="36"/>
          <w:szCs w:val="36"/>
          <w:rtl/>
        </w:rPr>
        <w:t xml:space="preserve">ة </w:t>
      </w:r>
      <w:r w:rsidRPr="00FD211F">
        <w:rPr>
          <w:sz w:val="36"/>
          <w:szCs w:val="36"/>
          <w:rtl/>
        </w:rPr>
        <w:t>او نحو ذلك</w:t>
      </w:r>
      <w:r w:rsidR="00DC1D07" w:rsidRPr="00FD211F">
        <w:rPr>
          <w:sz w:val="36"/>
          <w:szCs w:val="36"/>
          <w:rtl/>
        </w:rPr>
        <w:t xml:space="preserve"> وبذلك يتم القول بوضع اسماء العبادات لمايشمل الاركان</w:t>
      </w:r>
      <w:r w:rsidR="009C58C8" w:rsidRPr="00FD211F">
        <w:rPr>
          <w:rStyle w:val="a6"/>
          <w:sz w:val="36"/>
          <w:szCs w:val="36"/>
          <w:rtl/>
        </w:rPr>
        <w:t>(</w:t>
      </w:r>
      <w:r w:rsidR="009C58C8" w:rsidRPr="00FD211F">
        <w:rPr>
          <w:rStyle w:val="a6"/>
          <w:sz w:val="36"/>
          <w:szCs w:val="36"/>
          <w:rtl/>
        </w:rPr>
        <w:footnoteReference w:id="387"/>
      </w:r>
      <w:r w:rsidR="009C58C8" w:rsidRPr="00FD211F">
        <w:rPr>
          <w:rStyle w:val="a6"/>
          <w:sz w:val="36"/>
          <w:szCs w:val="36"/>
          <w:rtl/>
        </w:rPr>
        <w:t>)</w:t>
      </w:r>
      <w:r w:rsidRPr="00FD211F">
        <w:rPr>
          <w:sz w:val="36"/>
          <w:szCs w:val="36"/>
          <w:rtl/>
        </w:rPr>
        <w:t>.</w:t>
      </w:r>
    </w:p>
    <w:p w14:paraId="006579EE" w14:textId="77777777" w:rsidR="00052BF2" w:rsidRPr="00FD211F" w:rsidRDefault="00052BF2" w:rsidP="009C58C8">
      <w:pPr>
        <w:ind w:left="0" w:firstLine="227"/>
        <w:jc w:val="both"/>
        <w:rPr>
          <w:sz w:val="36"/>
          <w:szCs w:val="36"/>
          <w:rtl/>
        </w:rPr>
      </w:pPr>
      <w:r w:rsidRPr="00FD211F">
        <w:rPr>
          <w:sz w:val="36"/>
          <w:szCs w:val="36"/>
          <w:rtl/>
        </w:rPr>
        <w:t>اقول: هنا ملاحظات:</w:t>
      </w:r>
    </w:p>
    <w:p w14:paraId="50035482" w14:textId="77777777" w:rsidR="00052BF2" w:rsidRPr="00FD211F" w:rsidRDefault="00052BF2" w:rsidP="009C58C8">
      <w:pPr>
        <w:ind w:left="0" w:firstLine="227"/>
        <w:jc w:val="both"/>
        <w:rPr>
          <w:sz w:val="36"/>
          <w:szCs w:val="36"/>
          <w:rtl/>
        </w:rPr>
      </w:pPr>
      <w:r w:rsidRPr="00FD211F">
        <w:rPr>
          <w:sz w:val="36"/>
          <w:szCs w:val="36"/>
          <w:rtl/>
        </w:rPr>
        <w:t>1- ان ما ادعاه السيد الخوئي</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من عدم استشكال احد من الفقهاء في شمول حديث لاتعاد بما اذا أتى المكلف بأركان الصلا</w:t>
      </w:r>
      <w:r w:rsidR="00EC7EDF" w:rsidRPr="00FD211F">
        <w:rPr>
          <w:sz w:val="36"/>
          <w:szCs w:val="36"/>
          <w:rtl/>
        </w:rPr>
        <w:t xml:space="preserve">ة </w:t>
      </w:r>
      <w:r w:rsidRPr="00FD211F">
        <w:rPr>
          <w:sz w:val="36"/>
          <w:szCs w:val="36"/>
          <w:rtl/>
        </w:rPr>
        <w:t>فحسب وترك سائر الأجزاء والشرا</w:t>
      </w:r>
      <w:r w:rsidR="00DC1D07" w:rsidRPr="00FD211F">
        <w:rPr>
          <w:sz w:val="36"/>
          <w:szCs w:val="36"/>
          <w:rtl/>
        </w:rPr>
        <w:t>ئط رأسا لنسيان ونحوه</w:t>
      </w:r>
      <w:r w:rsidR="00603323" w:rsidRPr="00FD211F">
        <w:rPr>
          <w:sz w:val="36"/>
          <w:szCs w:val="36"/>
          <w:rtl/>
        </w:rPr>
        <w:t xml:space="preserve">، </w:t>
      </w:r>
      <w:r w:rsidR="002D50E6" w:rsidRPr="00FD211F">
        <w:rPr>
          <w:sz w:val="36"/>
          <w:szCs w:val="36"/>
          <w:rtl/>
        </w:rPr>
        <w:t>غيرمتجه</w:t>
      </w:r>
      <w:r w:rsidR="00603323" w:rsidRPr="00FD211F">
        <w:rPr>
          <w:sz w:val="36"/>
          <w:szCs w:val="36"/>
          <w:rtl/>
        </w:rPr>
        <w:t xml:space="preserve">، </w:t>
      </w:r>
      <w:r w:rsidR="002D50E6" w:rsidRPr="00FD211F">
        <w:rPr>
          <w:sz w:val="36"/>
          <w:szCs w:val="36"/>
          <w:rtl/>
        </w:rPr>
        <w:t>ل</w:t>
      </w:r>
      <w:r w:rsidRPr="00FD211F">
        <w:rPr>
          <w:sz w:val="36"/>
          <w:szCs w:val="36"/>
          <w:rtl/>
        </w:rPr>
        <w:t>ان هذه المسأل</w:t>
      </w:r>
      <w:r w:rsidR="00EC7EDF" w:rsidRPr="00FD211F">
        <w:rPr>
          <w:sz w:val="36"/>
          <w:szCs w:val="36"/>
          <w:rtl/>
        </w:rPr>
        <w:t xml:space="preserve">ة </w:t>
      </w:r>
      <w:r w:rsidRPr="00FD211F">
        <w:rPr>
          <w:sz w:val="36"/>
          <w:szCs w:val="36"/>
          <w:rtl/>
        </w:rPr>
        <w:t>غير معنون</w:t>
      </w:r>
      <w:r w:rsidR="00EC7EDF" w:rsidRPr="00FD211F">
        <w:rPr>
          <w:sz w:val="36"/>
          <w:szCs w:val="36"/>
          <w:rtl/>
        </w:rPr>
        <w:t xml:space="preserve">ة </w:t>
      </w:r>
      <w:r w:rsidRPr="00FD211F">
        <w:rPr>
          <w:sz w:val="36"/>
          <w:szCs w:val="36"/>
          <w:rtl/>
        </w:rPr>
        <w:t>في كلمات الاصحاب</w:t>
      </w:r>
      <w:r w:rsidR="00603323" w:rsidRPr="00FD211F">
        <w:rPr>
          <w:sz w:val="36"/>
          <w:szCs w:val="36"/>
          <w:rtl/>
        </w:rPr>
        <w:t xml:space="preserve">، </w:t>
      </w:r>
      <w:r w:rsidRPr="00FD211F">
        <w:rPr>
          <w:sz w:val="36"/>
          <w:szCs w:val="36"/>
          <w:rtl/>
        </w:rPr>
        <w:t>فاذا كان الاخلال بغير الأركان بدرج</w:t>
      </w:r>
      <w:r w:rsidR="00EC7EDF" w:rsidRPr="00FD211F">
        <w:rPr>
          <w:sz w:val="36"/>
          <w:szCs w:val="36"/>
          <w:rtl/>
        </w:rPr>
        <w:t xml:space="preserve">ة </w:t>
      </w:r>
      <w:r w:rsidRPr="00FD211F">
        <w:rPr>
          <w:sz w:val="36"/>
          <w:szCs w:val="36"/>
          <w:rtl/>
        </w:rPr>
        <w:t>تمنع من صدق عنوان الصلا</w:t>
      </w:r>
      <w:r w:rsidR="00EC7EDF" w:rsidRPr="00FD211F">
        <w:rPr>
          <w:sz w:val="36"/>
          <w:szCs w:val="36"/>
          <w:rtl/>
        </w:rPr>
        <w:t xml:space="preserve">ة </w:t>
      </w:r>
      <w:r w:rsidRPr="00FD211F">
        <w:rPr>
          <w:sz w:val="36"/>
          <w:szCs w:val="36"/>
          <w:rtl/>
        </w:rPr>
        <w:t>عرفا فالصحيح انه لا</w:t>
      </w:r>
      <w:r w:rsidR="00110937" w:rsidRPr="00FD211F">
        <w:rPr>
          <w:sz w:val="36"/>
          <w:szCs w:val="36"/>
          <w:rtl/>
        </w:rPr>
        <w:t>يشمله حديث لاتعاد</w:t>
      </w:r>
      <w:r w:rsidR="00603323" w:rsidRPr="00FD211F">
        <w:rPr>
          <w:sz w:val="36"/>
          <w:szCs w:val="36"/>
          <w:rtl/>
        </w:rPr>
        <w:t xml:space="preserve">، </w:t>
      </w:r>
      <w:r w:rsidR="00110937" w:rsidRPr="00FD211F">
        <w:rPr>
          <w:sz w:val="36"/>
          <w:szCs w:val="36"/>
          <w:rtl/>
        </w:rPr>
        <w:t>وقد ا</w:t>
      </w:r>
      <w:r w:rsidR="00DC1D07" w:rsidRPr="00FD211F">
        <w:rPr>
          <w:sz w:val="36"/>
          <w:szCs w:val="36"/>
          <w:rtl/>
        </w:rPr>
        <w:t>دعى</w:t>
      </w:r>
      <w:r w:rsidR="003A1531" w:rsidRPr="00FD211F">
        <w:rPr>
          <w:sz w:val="36"/>
          <w:szCs w:val="36"/>
          <w:rtl/>
        </w:rPr>
        <w:t xml:space="preserve"> صاحب الكفاي</w:t>
      </w:r>
      <w:r w:rsidR="00EC7EDF" w:rsidRPr="00FD211F">
        <w:rPr>
          <w:sz w:val="36"/>
          <w:szCs w:val="36"/>
          <w:rtl/>
        </w:rPr>
        <w:t xml:space="preserve">ة </w:t>
      </w:r>
      <w:r w:rsidR="003A1531" w:rsidRPr="00FD211F">
        <w:rPr>
          <w:sz w:val="36"/>
          <w:szCs w:val="36"/>
          <w:rtl/>
        </w:rPr>
        <w:t>ان</w:t>
      </w:r>
      <w:r w:rsidRPr="00FD211F">
        <w:rPr>
          <w:sz w:val="36"/>
          <w:szCs w:val="36"/>
          <w:rtl/>
        </w:rPr>
        <w:t xml:space="preserve"> فاقد غير الأركان رأسا</w:t>
      </w:r>
      <w:r w:rsidR="003A1531" w:rsidRPr="00FD211F">
        <w:rPr>
          <w:sz w:val="36"/>
          <w:szCs w:val="36"/>
          <w:rtl/>
        </w:rPr>
        <w:t>لايصدق عليه الصلا</w:t>
      </w:r>
      <w:r w:rsidR="00EC7EDF" w:rsidRPr="00FD211F">
        <w:rPr>
          <w:sz w:val="36"/>
          <w:szCs w:val="36"/>
          <w:rtl/>
        </w:rPr>
        <w:t>ة</w:t>
      </w:r>
      <w:r w:rsidR="00603323" w:rsidRPr="00FD211F">
        <w:rPr>
          <w:sz w:val="36"/>
          <w:szCs w:val="36"/>
          <w:rtl/>
        </w:rPr>
        <w:t xml:space="preserve">، </w:t>
      </w:r>
      <w:r w:rsidR="002D50E6" w:rsidRPr="00FD211F">
        <w:rPr>
          <w:sz w:val="36"/>
          <w:szCs w:val="36"/>
          <w:rtl/>
        </w:rPr>
        <w:t xml:space="preserve">وان كان </w:t>
      </w:r>
      <w:r w:rsidRPr="00FD211F">
        <w:rPr>
          <w:sz w:val="36"/>
          <w:szCs w:val="36"/>
          <w:rtl/>
        </w:rPr>
        <w:t>لايبعد صدق اسم الصلا</w:t>
      </w:r>
      <w:r w:rsidR="00EC7EDF" w:rsidRPr="00FD211F">
        <w:rPr>
          <w:sz w:val="36"/>
          <w:szCs w:val="36"/>
          <w:rtl/>
        </w:rPr>
        <w:t xml:space="preserve">ة </w:t>
      </w:r>
      <w:r w:rsidRPr="00FD211F">
        <w:rPr>
          <w:sz w:val="36"/>
          <w:szCs w:val="36"/>
          <w:rtl/>
        </w:rPr>
        <w:t>عليه عرفا.</w:t>
      </w:r>
    </w:p>
    <w:p w14:paraId="2ACDF026" w14:textId="77777777" w:rsidR="00052BF2" w:rsidRPr="00FD211F" w:rsidRDefault="00052BF2" w:rsidP="009C58C8">
      <w:pPr>
        <w:ind w:left="0" w:firstLine="227"/>
        <w:jc w:val="both"/>
        <w:rPr>
          <w:sz w:val="36"/>
          <w:szCs w:val="36"/>
          <w:rtl/>
        </w:rPr>
      </w:pPr>
      <w:r w:rsidRPr="00FD211F">
        <w:rPr>
          <w:sz w:val="36"/>
          <w:szCs w:val="36"/>
          <w:rtl/>
        </w:rPr>
        <w:t>2- ان استدلاله</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بصحيح</w:t>
      </w:r>
      <w:r w:rsidR="00EC7EDF" w:rsidRPr="00FD211F">
        <w:rPr>
          <w:sz w:val="36"/>
          <w:szCs w:val="36"/>
          <w:rtl/>
        </w:rPr>
        <w:t xml:space="preserve">ة </w:t>
      </w:r>
      <w:r w:rsidRPr="00FD211F">
        <w:rPr>
          <w:sz w:val="36"/>
          <w:szCs w:val="36"/>
          <w:rtl/>
        </w:rPr>
        <w:t>الحلبي على تقوّم مسمى الصلا</w:t>
      </w:r>
      <w:r w:rsidR="00EC7EDF" w:rsidRPr="00FD211F">
        <w:rPr>
          <w:sz w:val="36"/>
          <w:szCs w:val="36"/>
          <w:rtl/>
        </w:rPr>
        <w:t xml:space="preserve">ة </w:t>
      </w:r>
      <w:r w:rsidRPr="00FD211F">
        <w:rPr>
          <w:sz w:val="36"/>
          <w:szCs w:val="36"/>
          <w:rtl/>
        </w:rPr>
        <w:t>بالأركان غير تامّ حيث</w:t>
      </w:r>
      <w:r w:rsidR="008D7B3D" w:rsidRPr="00FD211F">
        <w:rPr>
          <w:sz w:val="36"/>
          <w:szCs w:val="36"/>
          <w:rtl/>
        </w:rPr>
        <w:t xml:space="preserve"> لم‌</w:t>
      </w:r>
      <w:r w:rsidRPr="00FD211F">
        <w:rPr>
          <w:sz w:val="36"/>
          <w:szCs w:val="36"/>
          <w:rtl/>
        </w:rPr>
        <w:t>يظهر منها كونها بصدد بيان مسمى الصلا</w:t>
      </w:r>
      <w:r w:rsidR="00EC7EDF" w:rsidRPr="00FD211F">
        <w:rPr>
          <w:sz w:val="36"/>
          <w:szCs w:val="36"/>
          <w:rtl/>
        </w:rPr>
        <w:t>ة</w:t>
      </w:r>
      <w:r w:rsidR="00603323" w:rsidRPr="00FD211F">
        <w:rPr>
          <w:sz w:val="36"/>
          <w:szCs w:val="36"/>
          <w:rtl/>
        </w:rPr>
        <w:t xml:space="preserve">، </w:t>
      </w:r>
      <w:r w:rsidR="003A1531" w:rsidRPr="00FD211F">
        <w:rPr>
          <w:sz w:val="36"/>
          <w:szCs w:val="36"/>
          <w:rtl/>
        </w:rPr>
        <w:t>بل لعلها بصدد بيان ركني</w:t>
      </w:r>
      <w:r w:rsidR="00EC7EDF" w:rsidRPr="00FD211F">
        <w:rPr>
          <w:sz w:val="36"/>
          <w:szCs w:val="36"/>
          <w:rtl/>
        </w:rPr>
        <w:t xml:space="preserve">ة </w:t>
      </w:r>
      <w:r w:rsidR="003A1531" w:rsidRPr="00FD211F">
        <w:rPr>
          <w:sz w:val="36"/>
          <w:szCs w:val="36"/>
          <w:rtl/>
        </w:rPr>
        <w:t>الطهور والركوع والسجود</w:t>
      </w:r>
      <w:r w:rsidRPr="00FD211F">
        <w:rPr>
          <w:sz w:val="36"/>
          <w:szCs w:val="36"/>
          <w:rtl/>
        </w:rPr>
        <w:t xml:space="preserve"> في الصلا</w:t>
      </w:r>
      <w:r w:rsidR="00EC7EDF" w:rsidRPr="00FD211F">
        <w:rPr>
          <w:sz w:val="36"/>
          <w:szCs w:val="36"/>
          <w:rtl/>
        </w:rPr>
        <w:t xml:space="preserve">ة </w:t>
      </w:r>
      <w:r w:rsidRPr="00FD211F">
        <w:rPr>
          <w:sz w:val="36"/>
          <w:szCs w:val="36"/>
          <w:rtl/>
        </w:rPr>
        <w:t>المأمور بها</w:t>
      </w:r>
      <w:r w:rsidR="00603323" w:rsidRPr="00FD211F">
        <w:rPr>
          <w:sz w:val="36"/>
          <w:szCs w:val="36"/>
          <w:rtl/>
        </w:rPr>
        <w:t xml:space="preserve">، </w:t>
      </w:r>
      <w:r w:rsidRPr="00FD211F">
        <w:rPr>
          <w:sz w:val="36"/>
          <w:szCs w:val="36"/>
          <w:rtl/>
        </w:rPr>
        <w:t>وهكذا لايظهر من قوله</w:t>
      </w:r>
      <w:r w:rsidR="00727951" w:rsidRPr="00FD211F">
        <w:rPr>
          <w:sz w:val="36"/>
          <w:szCs w:val="36"/>
          <w:rtl/>
        </w:rPr>
        <w:t>(</w:t>
      </w:r>
      <w:r w:rsidR="007A4A0D" w:rsidRPr="00FD211F">
        <w:rPr>
          <w:sz w:val="36"/>
          <w:szCs w:val="36"/>
          <w:rtl/>
        </w:rPr>
        <w:t>عليه‌السلام)</w:t>
      </w:r>
      <w:r w:rsidRPr="00FD211F">
        <w:rPr>
          <w:sz w:val="36"/>
          <w:szCs w:val="36"/>
          <w:rtl/>
        </w:rPr>
        <w:t xml:space="preserve"> </w:t>
      </w:r>
      <w:r w:rsidR="00110937" w:rsidRPr="00FD211F">
        <w:rPr>
          <w:sz w:val="36"/>
          <w:szCs w:val="36"/>
          <w:rtl/>
        </w:rPr>
        <w:t>"</w:t>
      </w:r>
      <w:r w:rsidRPr="00FD211F">
        <w:rPr>
          <w:sz w:val="36"/>
          <w:szCs w:val="36"/>
          <w:rtl/>
        </w:rPr>
        <w:t>لاصلا</w:t>
      </w:r>
      <w:r w:rsidR="00EC7EDF" w:rsidRPr="00FD211F">
        <w:rPr>
          <w:sz w:val="36"/>
          <w:szCs w:val="36"/>
          <w:rtl/>
        </w:rPr>
        <w:t xml:space="preserve">ة </w:t>
      </w:r>
      <w:r w:rsidRPr="00FD211F">
        <w:rPr>
          <w:sz w:val="36"/>
          <w:szCs w:val="36"/>
          <w:rtl/>
        </w:rPr>
        <w:t>بغير افتتاح</w:t>
      </w:r>
      <w:r w:rsidR="00110937" w:rsidRPr="00FD211F">
        <w:rPr>
          <w:sz w:val="36"/>
          <w:szCs w:val="36"/>
          <w:rtl/>
        </w:rPr>
        <w:t>"</w:t>
      </w:r>
      <w:r w:rsidRPr="00FD211F">
        <w:rPr>
          <w:sz w:val="36"/>
          <w:szCs w:val="36"/>
          <w:rtl/>
        </w:rPr>
        <w:t xml:space="preserve"> اكثر من جزئي</w:t>
      </w:r>
      <w:r w:rsidR="00EC7EDF" w:rsidRPr="00FD211F">
        <w:rPr>
          <w:sz w:val="36"/>
          <w:szCs w:val="36"/>
          <w:rtl/>
        </w:rPr>
        <w:t xml:space="preserve">ة </w:t>
      </w:r>
      <w:r w:rsidRPr="00FD211F">
        <w:rPr>
          <w:sz w:val="36"/>
          <w:szCs w:val="36"/>
          <w:rtl/>
        </w:rPr>
        <w:t>تكبير</w:t>
      </w:r>
      <w:r w:rsidR="00EC7EDF" w:rsidRPr="00FD211F">
        <w:rPr>
          <w:sz w:val="36"/>
          <w:szCs w:val="36"/>
          <w:rtl/>
        </w:rPr>
        <w:t xml:space="preserve">ة </w:t>
      </w:r>
      <w:r w:rsidRPr="00FD211F">
        <w:rPr>
          <w:sz w:val="36"/>
          <w:szCs w:val="36"/>
          <w:rtl/>
        </w:rPr>
        <w:t>الاحرام</w:t>
      </w:r>
      <w:r w:rsidR="00603323" w:rsidRPr="00FD211F">
        <w:rPr>
          <w:sz w:val="36"/>
          <w:szCs w:val="36"/>
          <w:rtl/>
        </w:rPr>
        <w:t xml:space="preserve">، </w:t>
      </w:r>
      <w:r w:rsidRPr="00FD211F">
        <w:rPr>
          <w:sz w:val="36"/>
          <w:szCs w:val="36"/>
          <w:rtl/>
        </w:rPr>
        <w:t>نظير ما ورد من</w:t>
      </w:r>
      <w:r w:rsidR="00F008CF" w:rsidRPr="00FD211F">
        <w:rPr>
          <w:sz w:val="36"/>
          <w:szCs w:val="36"/>
          <w:rtl/>
        </w:rPr>
        <w:t>"</w:t>
      </w:r>
      <w:r w:rsidRPr="00FD211F">
        <w:rPr>
          <w:sz w:val="36"/>
          <w:szCs w:val="36"/>
          <w:rtl/>
        </w:rPr>
        <w:t xml:space="preserve"> انه لاصلا</w:t>
      </w:r>
      <w:r w:rsidR="00EC7EDF" w:rsidRPr="00FD211F">
        <w:rPr>
          <w:sz w:val="36"/>
          <w:szCs w:val="36"/>
          <w:rtl/>
        </w:rPr>
        <w:t xml:space="preserve">ة </w:t>
      </w:r>
      <w:r w:rsidRPr="00FD211F">
        <w:rPr>
          <w:sz w:val="36"/>
          <w:szCs w:val="36"/>
          <w:rtl/>
        </w:rPr>
        <w:t>الا بفاتح</w:t>
      </w:r>
      <w:r w:rsidR="00EC7EDF" w:rsidRPr="00FD211F">
        <w:rPr>
          <w:sz w:val="36"/>
          <w:szCs w:val="36"/>
          <w:rtl/>
        </w:rPr>
        <w:t xml:space="preserve">ة </w:t>
      </w:r>
      <w:r w:rsidRPr="00FD211F">
        <w:rPr>
          <w:sz w:val="36"/>
          <w:szCs w:val="36"/>
          <w:rtl/>
        </w:rPr>
        <w:t>الكتاب</w:t>
      </w:r>
      <w:r w:rsidR="009C58C8" w:rsidRPr="00FD211F">
        <w:rPr>
          <w:rStyle w:val="a6"/>
          <w:sz w:val="36"/>
          <w:szCs w:val="36"/>
          <w:rtl/>
        </w:rPr>
        <w:t>(</w:t>
      </w:r>
      <w:r w:rsidR="009C58C8" w:rsidRPr="00FD211F">
        <w:rPr>
          <w:rStyle w:val="a6"/>
          <w:sz w:val="36"/>
          <w:szCs w:val="36"/>
          <w:rtl/>
        </w:rPr>
        <w:footnoteReference w:id="388"/>
      </w:r>
      <w:r w:rsidR="009C58C8" w:rsidRPr="00FD211F">
        <w:rPr>
          <w:rStyle w:val="a6"/>
          <w:sz w:val="36"/>
          <w:szCs w:val="36"/>
          <w:rtl/>
        </w:rPr>
        <w:t>)</w:t>
      </w:r>
      <w:r w:rsidR="00F008CF" w:rsidRPr="00FD211F">
        <w:rPr>
          <w:rStyle w:val="a6"/>
          <w:sz w:val="36"/>
          <w:szCs w:val="36"/>
          <w:rtl/>
        </w:rPr>
        <w:t>"</w:t>
      </w:r>
      <w:r w:rsidR="00603323" w:rsidRPr="00FD211F">
        <w:rPr>
          <w:sz w:val="36"/>
          <w:szCs w:val="36"/>
          <w:rtl/>
        </w:rPr>
        <w:t xml:space="preserve">، </w:t>
      </w:r>
      <w:r w:rsidRPr="00FD211F">
        <w:rPr>
          <w:sz w:val="36"/>
          <w:szCs w:val="36"/>
          <w:rtl/>
        </w:rPr>
        <w:t>و</w:t>
      </w:r>
      <w:r w:rsidR="00F008CF" w:rsidRPr="00FD211F">
        <w:rPr>
          <w:sz w:val="36"/>
          <w:szCs w:val="36"/>
          <w:rtl/>
        </w:rPr>
        <w:t>"</w:t>
      </w:r>
      <w:r w:rsidRPr="00FD211F">
        <w:rPr>
          <w:sz w:val="36"/>
          <w:szCs w:val="36"/>
          <w:rtl/>
        </w:rPr>
        <w:t>من</w:t>
      </w:r>
      <w:r w:rsidR="008D7B3D" w:rsidRPr="00FD211F">
        <w:rPr>
          <w:sz w:val="36"/>
          <w:szCs w:val="36"/>
          <w:rtl/>
        </w:rPr>
        <w:t xml:space="preserve"> لم‌</w:t>
      </w:r>
      <w:r w:rsidRPr="00FD211F">
        <w:rPr>
          <w:sz w:val="36"/>
          <w:szCs w:val="36"/>
          <w:rtl/>
        </w:rPr>
        <w:t>يقم صلبه ف</w:t>
      </w:r>
      <w:r w:rsidR="00286903" w:rsidRPr="00FD211F">
        <w:rPr>
          <w:sz w:val="36"/>
          <w:szCs w:val="36"/>
          <w:rtl/>
        </w:rPr>
        <w:t xml:space="preserve">لا </w:t>
      </w:r>
      <w:r w:rsidR="003A1531" w:rsidRPr="00FD211F">
        <w:rPr>
          <w:sz w:val="36"/>
          <w:szCs w:val="36"/>
          <w:rtl/>
        </w:rPr>
        <w:t>صلا</w:t>
      </w:r>
      <w:r w:rsidR="00EC7EDF" w:rsidRPr="00FD211F">
        <w:rPr>
          <w:sz w:val="36"/>
          <w:szCs w:val="36"/>
          <w:rtl/>
        </w:rPr>
        <w:t xml:space="preserve">ة </w:t>
      </w:r>
      <w:r w:rsidR="00286903" w:rsidRPr="00FD211F">
        <w:rPr>
          <w:sz w:val="36"/>
          <w:szCs w:val="36"/>
          <w:rtl/>
        </w:rPr>
        <w:t>له</w:t>
      </w:r>
      <w:r w:rsidR="009C58C8" w:rsidRPr="00FD211F">
        <w:rPr>
          <w:rStyle w:val="a6"/>
          <w:sz w:val="36"/>
          <w:szCs w:val="36"/>
          <w:rtl/>
        </w:rPr>
        <w:t>(</w:t>
      </w:r>
      <w:r w:rsidR="009C58C8" w:rsidRPr="00FD211F">
        <w:rPr>
          <w:rStyle w:val="a6"/>
          <w:sz w:val="36"/>
          <w:szCs w:val="36"/>
          <w:rtl/>
        </w:rPr>
        <w:footnoteReference w:id="389"/>
      </w:r>
      <w:r w:rsidR="009C58C8" w:rsidRPr="00FD211F">
        <w:rPr>
          <w:rStyle w:val="a6"/>
          <w:sz w:val="36"/>
          <w:szCs w:val="36"/>
          <w:rtl/>
        </w:rPr>
        <w:t>)</w:t>
      </w:r>
      <w:r w:rsidR="00F008CF" w:rsidRPr="00FD211F">
        <w:rPr>
          <w:sz w:val="36"/>
          <w:szCs w:val="36"/>
          <w:rtl/>
        </w:rPr>
        <w:t>"</w:t>
      </w:r>
      <w:r w:rsidR="00603323" w:rsidRPr="00FD211F">
        <w:rPr>
          <w:sz w:val="36"/>
          <w:szCs w:val="36"/>
          <w:rtl/>
        </w:rPr>
        <w:t xml:space="preserve">، </w:t>
      </w:r>
      <w:r w:rsidR="003A1531" w:rsidRPr="00FD211F">
        <w:rPr>
          <w:sz w:val="36"/>
          <w:szCs w:val="36"/>
          <w:rtl/>
        </w:rPr>
        <w:t>فانه لايظهر من ذلك عدا</w:t>
      </w:r>
      <w:r w:rsidRPr="00FD211F">
        <w:rPr>
          <w:sz w:val="36"/>
          <w:szCs w:val="36"/>
          <w:rtl/>
        </w:rPr>
        <w:t xml:space="preserve"> نفي الحقيق</w:t>
      </w:r>
      <w:r w:rsidR="00EC7EDF" w:rsidRPr="00FD211F">
        <w:rPr>
          <w:sz w:val="36"/>
          <w:szCs w:val="36"/>
          <w:rtl/>
        </w:rPr>
        <w:t xml:space="preserve">ة </w:t>
      </w:r>
      <w:r w:rsidRPr="00FD211F">
        <w:rPr>
          <w:sz w:val="36"/>
          <w:szCs w:val="36"/>
          <w:rtl/>
        </w:rPr>
        <w:t>ادعاء</w:t>
      </w:r>
      <w:r w:rsidR="00603323" w:rsidRPr="00FD211F">
        <w:rPr>
          <w:sz w:val="36"/>
          <w:szCs w:val="36"/>
          <w:rtl/>
        </w:rPr>
        <w:t xml:space="preserve">، </w:t>
      </w:r>
      <w:r w:rsidRPr="00FD211F">
        <w:rPr>
          <w:sz w:val="36"/>
          <w:szCs w:val="36"/>
          <w:rtl/>
        </w:rPr>
        <w:t>ويشهد على ذلك موثق</w:t>
      </w:r>
      <w:r w:rsidR="00EC7EDF" w:rsidRPr="00FD211F">
        <w:rPr>
          <w:sz w:val="36"/>
          <w:szCs w:val="36"/>
          <w:rtl/>
        </w:rPr>
        <w:t xml:space="preserve">ة </w:t>
      </w:r>
      <w:r w:rsidRPr="00FD211F">
        <w:rPr>
          <w:sz w:val="36"/>
          <w:szCs w:val="36"/>
          <w:rtl/>
        </w:rPr>
        <w:t>عمار فيمن سهى الامام فلم يفتتح الصلا</w:t>
      </w:r>
      <w:r w:rsidR="00EC7EDF" w:rsidRPr="00FD211F">
        <w:rPr>
          <w:sz w:val="36"/>
          <w:szCs w:val="36"/>
          <w:rtl/>
        </w:rPr>
        <w:t xml:space="preserve">ة </w:t>
      </w:r>
      <w:r w:rsidRPr="00FD211F">
        <w:rPr>
          <w:sz w:val="36"/>
          <w:szCs w:val="36"/>
          <w:rtl/>
        </w:rPr>
        <w:t>قال يعيد الصلا</w:t>
      </w:r>
      <w:r w:rsidR="00EC7EDF" w:rsidRPr="00FD211F">
        <w:rPr>
          <w:sz w:val="36"/>
          <w:szCs w:val="36"/>
          <w:rtl/>
        </w:rPr>
        <w:t xml:space="preserve">ة </w:t>
      </w:r>
      <w:r w:rsidRPr="00FD211F">
        <w:rPr>
          <w:sz w:val="36"/>
          <w:szCs w:val="36"/>
          <w:rtl/>
        </w:rPr>
        <w:t>ولاصلا</w:t>
      </w:r>
      <w:r w:rsidR="00EC7EDF" w:rsidRPr="00FD211F">
        <w:rPr>
          <w:sz w:val="36"/>
          <w:szCs w:val="36"/>
          <w:rtl/>
        </w:rPr>
        <w:t xml:space="preserve">ة </w:t>
      </w:r>
      <w:r w:rsidRPr="00FD211F">
        <w:rPr>
          <w:sz w:val="36"/>
          <w:szCs w:val="36"/>
          <w:rtl/>
        </w:rPr>
        <w:t>بغير افتتاح</w:t>
      </w:r>
      <w:r w:rsidR="009C58C8" w:rsidRPr="00FD211F">
        <w:rPr>
          <w:rStyle w:val="a6"/>
          <w:sz w:val="36"/>
          <w:szCs w:val="36"/>
          <w:rtl/>
        </w:rPr>
        <w:t>(</w:t>
      </w:r>
      <w:r w:rsidR="009C58C8" w:rsidRPr="00FD211F">
        <w:rPr>
          <w:rStyle w:val="a6"/>
          <w:sz w:val="36"/>
          <w:szCs w:val="36"/>
          <w:rtl/>
        </w:rPr>
        <w:footnoteReference w:id="390"/>
      </w:r>
      <w:r w:rsidR="009C58C8" w:rsidRPr="00FD211F">
        <w:rPr>
          <w:rStyle w:val="a6"/>
          <w:sz w:val="36"/>
          <w:szCs w:val="36"/>
          <w:rtl/>
        </w:rPr>
        <w:t>)</w:t>
      </w:r>
      <w:r w:rsidR="00603323" w:rsidRPr="00FD211F">
        <w:rPr>
          <w:sz w:val="36"/>
          <w:szCs w:val="36"/>
          <w:rtl/>
        </w:rPr>
        <w:t xml:space="preserve">، </w:t>
      </w:r>
      <w:r w:rsidRPr="00FD211F">
        <w:rPr>
          <w:sz w:val="36"/>
          <w:szCs w:val="36"/>
          <w:rtl/>
        </w:rPr>
        <w:t>حيث أمر فيها بإعاد</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مع نسيان تكبير</w:t>
      </w:r>
      <w:r w:rsidR="00EC7EDF" w:rsidRPr="00FD211F">
        <w:rPr>
          <w:sz w:val="36"/>
          <w:szCs w:val="36"/>
          <w:rtl/>
        </w:rPr>
        <w:t xml:space="preserve">ة </w:t>
      </w:r>
      <w:r w:rsidRPr="00FD211F">
        <w:rPr>
          <w:sz w:val="36"/>
          <w:szCs w:val="36"/>
          <w:rtl/>
        </w:rPr>
        <w:t>الإحرام</w:t>
      </w:r>
      <w:r w:rsidR="00603323" w:rsidRPr="00FD211F">
        <w:rPr>
          <w:sz w:val="36"/>
          <w:szCs w:val="36"/>
          <w:rtl/>
        </w:rPr>
        <w:t xml:space="preserve">، </w:t>
      </w:r>
      <w:r w:rsidRPr="00FD211F">
        <w:rPr>
          <w:sz w:val="36"/>
          <w:szCs w:val="36"/>
          <w:rtl/>
        </w:rPr>
        <w:t>وهذا قرين</w:t>
      </w:r>
      <w:r w:rsidR="00EC7EDF" w:rsidRPr="00FD211F">
        <w:rPr>
          <w:sz w:val="36"/>
          <w:szCs w:val="36"/>
          <w:rtl/>
        </w:rPr>
        <w:t xml:space="preserve">ة </w:t>
      </w:r>
      <w:r w:rsidRPr="00FD211F">
        <w:rPr>
          <w:sz w:val="36"/>
          <w:szCs w:val="36"/>
          <w:rtl/>
        </w:rPr>
        <w:t>على صدق مسمى الصلا</w:t>
      </w:r>
      <w:r w:rsidR="00EC7EDF" w:rsidRPr="00FD211F">
        <w:rPr>
          <w:sz w:val="36"/>
          <w:szCs w:val="36"/>
          <w:rtl/>
        </w:rPr>
        <w:t xml:space="preserve">ة </w:t>
      </w:r>
      <w:r w:rsidRPr="00FD211F">
        <w:rPr>
          <w:sz w:val="36"/>
          <w:szCs w:val="36"/>
          <w:rtl/>
        </w:rPr>
        <w:t>بدونها</w:t>
      </w:r>
      <w:r w:rsidR="00603323" w:rsidRPr="00FD211F">
        <w:rPr>
          <w:sz w:val="36"/>
          <w:szCs w:val="36"/>
          <w:rtl/>
        </w:rPr>
        <w:t xml:space="preserve">، </w:t>
      </w:r>
      <w:r w:rsidRPr="00FD211F">
        <w:rPr>
          <w:sz w:val="36"/>
          <w:szCs w:val="36"/>
          <w:rtl/>
        </w:rPr>
        <w:t>واما ما دل على ان تكبير</w:t>
      </w:r>
      <w:r w:rsidR="00EC7EDF" w:rsidRPr="00FD211F">
        <w:rPr>
          <w:sz w:val="36"/>
          <w:szCs w:val="36"/>
          <w:rtl/>
        </w:rPr>
        <w:t xml:space="preserve">ة </w:t>
      </w:r>
      <w:r w:rsidRPr="00FD211F">
        <w:rPr>
          <w:sz w:val="36"/>
          <w:szCs w:val="36"/>
          <w:rtl/>
        </w:rPr>
        <w:t>الاحرام مفتاح الصلا</w:t>
      </w:r>
      <w:r w:rsidR="00EC7EDF" w:rsidRPr="00FD211F">
        <w:rPr>
          <w:sz w:val="36"/>
          <w:szCs w:val="36"/>
          <w:rtl/>
        </w:rPr>
        <w:t xml:space="preserve">ة </w:t>
      </w:r>
      <w:r w:rsidRPr="00FD211F">
        <w:rPr>
          <w:sz w:val="36"/>
          <w:szCs w:val="36"/>
          <w:rtl/>
        </w:rPr>
        <w:t>فلايظهر منه عرفا اكثر من انها اول جزء من الصلا</w:t>
      </w:r>
      <w:r w:rsidR="00EC7EDF" w:rsidRPr="00FD211F">
        <w:rPr>
          <w:sz w:val="36"/>
          <w:szCs w:val="36"/>
          <w:rtl/>
        </w:rPr>
        <w:t xml:space="preserve">ة </w:t>
      </w:r>
      <w:r w:rsidRPr="00FD211F">
        <w:rPr>
          <w:sz w:val="36"/>
          <w:szCs w:val="36"/>
          <w:rtl/>
        </w:rPr>
        <w:t>المأمور بها</w:t>
      </w:r>
      <w:r w:rsidR="00603323" w:rsidRPr="00FD211F">
        <w:rPr>
          <w:sz w:val="36"/>
          <w:szCs w:val="36"/>
          <w:rtl/>
        </w:rPr>
        <w:t xml:space="preserve">، </w:t>
      </w:r>
      <w:r w:rsidRPr="00FD211F">
        <w:rPr>
          <w:sz w:val="36"/>
          <w:szCs w:val="36"/>
          <w:rtl/>
        </w:rPr>
        <w:t>وقد ورد في الروايات اطلاق لفظ الصلا</w:t>
      </w:r>
      <w:r w:rsidR="00EC7EDF" w:rsidRPr="00FD211F">
        <w:rPr>
          <w:sz w:val="36"/>
          <w:szCs w:val="36"/>
          <w:rtl/>
        </w:rPr>
        <w:t xml:space="preserve">ة </w:t>
      </w:r>
      <w:r w:rsidRPr="00FD211F">
        <w:rPr>
          <w:sz w:val="36"/>
          <w:szCs w:val="36"/>
          <w:rtl/>
        </w:rPr>
        <w:t>على فاقد الاركان كرواي</w:t>
      </w:r>
      <w:r w:rsidR="00EC7EDF" w:rsidRPr="00FD211F">
        <w:rPr>
          <w:sz w:val="36"/>
          <w:szCs w:val="36"/>
          <w:rtl/>
        </w:rPr>
        <w:t xml:space="preserve">ة </w:t>
      </w:r>
      <w:r w:rsidRPr="00FD211F">
        <w:rPr>
          <w:sz w:val="36"/>
          <w:szCs w:val="36"/>
          <w:rtl/>
        </w:rPr>
        <w:t>مسعد</w:t>
      </w:r>
      <w:r w:rsidR="00EC7EDF" w:rsidRPr="00FD211F">
        <w:rPr>
          <w:sz w:val="36"/>
          <w:szCs w:val="36"/>
          <w:rtl/>
        </w:rPr>
        <w:t xml:space="preserve">ة </w:t>
      </w:r>
      <w:r w:rsidRPr="00FD211F">
        <w:rPr>
          <w:sz w:val="36"/>
          <w:szCs w:val="36"/>
          <w:rtl/>
        </w:rPr>
        <w:t>بن صدق</w:t>
      </w:r>
      <w:r w:rsidR="00EC7EDF" w:rsidRPr="00FD211F">
        <w:rPr>
          <w:sz w:val="36"/>
          <w:szCs w:val="36"/>
          <w:rtl/>
        </w:rPr>
        <w:t>ة</w:t>
      </w:r>
      <w:r w:rsidR="00F008CF" w:rsidRPr="00FD211F">
        <w:rPr>
          <w:sz w:val="36"/>
          <w:szCs w:val="36"/>
          <w:rtl/>
        </w:rPr>
        <w:t>"</w:t>
      </w:r>
      <w:r w:rsidRPr="00FD211F">
        <w:rPr>
          <w:sz w:val="36"/>
          <w:szCs w:val="36"/>
          <w:rtl/>
        </w:rPr>
        <w:t xml:space="preserve"> افما يخاف من يصلى بغير وضوء ان يخسفه الارض خسفا</w:t>
      </w:r>
      <w:r w:rsidR="009C58C8" w:rsidRPr="00FD211F">
        <w:rPr>
          <w:rStyle w:val="a6"/>
          <w:sz w:val="36"/>
          <w:szCs w:val="36"/>
          <w:rtl/>
        </w:rPr>
        <w:t>(</w:t>
      </w:r>
      <w:r w:rsidR="009C58C8" w:rsidRPr="00FD211F">
        <w:rPr>
          <w:rStyle w:val="a6"/>
          <w:sz w:val="36"/>
          <w:szCs w:val="36"/>
          <w:rtl/>
        </w:rPr>
        <w:footnoteReference w:id="391"/>
      </w:r>
      <w:r w:rsidR="009C58C8" w:rsidRPr="00FD211F">
        <w:rPr>
          <w:rStyle w:val="a6"/>
          <w:sz w:val="36"/>
          <w:szCs w:val="36"/>
          <w:rtl/>
        </w:rPr>
        <w:t>)</w:t>
      </w:r>
      <w:r w:rsidR="00F008CF" w:rsidRPr="00FD211F">
        <w:rPr>
          <w:sz w:val="36"/>
          <w:szCs w:val="36"/>
          <w:rtl/>
        </w:rPr>
        <w:t>"</w:t>
      </w:r>
      <w:r w:rsidR="00603323" w:rsidRPr="00FD211F">
        <w:rPr>
          <w:sz w:val="36"/>
          <w:szCs w:val="36"/>
          <w:rtl/>
        </w:rPr>
        <w:t xml:space="preserve">، </w:t>
      </w:r>
      <w:r w:rsidRPr="00FD211F">
        <w:rPr>
          <w:sz w:val="36"/>
          <w:szCs w:val="36"/>
          <w:rtl/>
        </w:rPr>
        <w:t xml:space="preserve">وقد مر الاستشهاد بقوله </w:t>
      </w:r>
      <w:r w:rsidR="007A4A0D" w:rsidRPr="00FD211F">
        <w:rPr>
          <w:sz w:val="36"/>
          <w:szCs w:val="36"/>
          <w:rtl/>
        </w:rPr>
        <w:t>(عليه‌السلام)</w:t>
      </w:r>
      <w:r w:rsidRPr="00FD211F">
        <w:rPr>
          <w:sz w:val="36"/>
          <w:szCs w:val="36"/>
          <w:rtl/>
        </w:rPr>
        <w:t xml:space="preserve"> </w:t>
      </w:r>
      <w:r w:rsidR="00F008CF" w:rsidRPr="00FD211F">
        <w:rPr>
          <w:sz w:val="36"/>
          <w:szCs w:val="36"/>
          <w:rtl/>
        </w:rPr>
        <w:t>"</w:t>
      </w:r>
      <w:r w:rsidRPr="00FD211F">
        <w:rPr>
          <w:sz w:val="36"/>
          <w:szCs w:val="36"/>
          <w:rtl/>
        </w:rPr>
        <w:t>اذا زالت الشمس فقد وجب الصلا</w:t>
      </w:r>
      <w:r w:rsidR="00EC7EDF" w:rsidRPr="00FD211F">
        <w:rPr>
          <w:sz w:val="36"/>
          <w:szCs w:val="36"/>
          <w:rtl/>
        </w:rPr>
        <w:t xml:space="preserve">ة </w:t>
      </w:r>
      <w:r w:rsidRPr="00FD211F">
        <w:rPr>
          <w:sz w:val="36"/>
          <w:szCs w:val="36"/>
          <w:rtl/>
        </w:rPr>
        <w:t>والطهور</w:t>
      </w:r>
      <w:r w:rsidR="00F008CF" w:rsidRPr="00FD211F">
        <w:rPr>
          <w:sz w:val="36"/>
          <w:szCs w:val="36"/>
          <w:rtl/>
        </w:rPr>
        <w:t>"</w:t>
      </w:r>
      <w:r w:rsidR="00603323" w:rsidRPr="00FD211F">
        <w:rPr>
          <w:sz w:val="36"/>
          <w:szCs w:val="36"/>
          <w:rtl/>
        </w:rPr>
        <w:t xml:space="preserve">، </w:t>
      </w:r>
      <w:r w:rsidRPr="00FD211F">
        <w:rPr>
          <w:sz w:val="36"/>
          <w:szCs w:val="36"/>
          <w:rtl/>
        </w:rPr>
        <w:t>بل اطلق لفظ الصلا</w:t>
      </w:r>
      <w:r w:rsidR="00EC7EDF" w:rsidRPr="00FD211F">
        <w:rPr>
          <w:sz w:val="36"/>
          <w:szCs w:val="36"/>
          <w:rtl/>
        </w:rPr>
        <w:t xml:space="preserve">ة </w:t>
      </w:r>
      <w:r w:rsidRPr="00FD211F">
        <w:rPr>
          <w:sz w:val="36"/>
          <w:szCs w:val="36"/>
          <w:rtl/>
        </w:rPr>
        <w:t>في حديث لاتعاد على الفاقد للأركان</w:t>
      </w:r>
      <w:r w:rsidR="00603323" w:rsidRPr="00FD211F">
        <w:rPr>
          <w:sz w:val="36"/>
          <w:szCs w:val="36"/>
          <w:rtl/>
        </w:rPr>
        <w:t xml:space="preserve">، </w:t>
      </w:r>
      <w:r w:rsidRPr="00FD211F">
        <w:rPr>
          <w:sz w:val="36"/>
          <w:szCs w:val="36"/>
          <w:rtl/>
        </w:rPr>
        <w:t>حيث ورد فيه: انه لاتعاد الصلا</w:t>
      </w:r>
      <w:r w:rsidR="00EC7EDF" w:rsidRPr="00FD211F">
        <w:rPr>
          <w:sz w:val="36"/>
          <w:szCs w:val="36"/>
          <w:rtl/>
        </w:rPr>
        <w:t xml:space="preserve">ة </w:t>
      </w:r>
      <w:r w:rsidRPr="00FD211F">
        <w:rPr>
          <w:sz w:val="36"/>
          <w:szCs w:val="36"/>
          <w:rtl/>
        </w:rPr>
        <w:t>الا من خمس الوقت والقبل</w:t>
      </w:r>
      <w:r w:rsidR="00EC7EDF" w:rsidRPr="00FD211F">
        <w:rPr>
          <w:sz w:val="36"/>
          <w:szCs w:val="36"/>
          <w:rtl/>
        </w:rPr>
        <w:t xml:space="preserve">ة </w:t>
      </w:r>
      <w:r w:rsidRPr="00FD211F">
        <w:rPr>
          <w:sz w:val="36"/>
          <w:szCs w:val="36"/>
          <w:rtl/>
        </w:rPr>
        <w:t>والطهور والركوع والسجود</w:t>
      </w:r>
      <w:r w:rsidR="009C58C8" w:rsidRPr="00FD211F">
        <w:rPr>
          <w:rStyle w:val="a6"/>
          <w:sz w:val="36"/>
          <w:szCs w:val="36"/>
          <w:rtl/>
        </w:rPr>
        <w:t>(</w:t>
      </w:r>
      <w:r w:rsidR="009C58C8" w:rsidRPr="00FD211F">
        <w:rPr>
          <w:rStyle w:val="a6"/>
          <w:sz w:val="36"/>
          <w:szCs w:val="36"/>
          <w:rtl/>
        </w:rPr>
        <w:footnoteReference w:id="392"/>
      </w:r>
      <w:r w:rsidR="009C58C8" w:rsidRPr="00FD211F">
        <w:rPr>
          <w:rStyle w:val="a6"/>
          <w:sz w:val="36"/>
          <w:szCs w:val="36"/>
          <w:rtl/>
        </w:rPr>
        <w:t>)</w:t>
      </w:r>
      <w:r w:rsidR="00603323" w:rsidRPr="00FD211F">
        <w:rPr>
          <w:sz w:val="36"/>
          <w:szCs w:val="36"/>
          <w:rtl/>
        </w:rPr>
        <w:t xml:space="preserve">، </w:t>
      </w:r>
      <w:r w:rsidRPr="00FD211F">
        <w:rPr>
          <w:sz w:val="36"/>
          <w:szCs w:val="36"/>
          <w:rtl/>
        </w:rPr>
        <w:t>فان الظاهر من الأمر باعاد</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عند الإخلال باحد الخمس</w:t>
      </w:r>
      <w:r w:rsidR="00EC7EDF" w:rsidRPr="00FD211F">
        <w:rPr>
          <w:sz w:val="36"/>
          <w:szCs w:val="36"/>
          <w:rtl/>
        </w:rPr>
        <w:t xml:space="preserve">ة </w:t>
      </w:r>
      <w:r w:rsidRPr="00FD211F">
        <w:rPr>
          <w:sz w:val="36"/>
          <w:szCs w:val="36"/>
          <w:rtl/>
        </w:rPr>
        <w:t>المستثنا</w:t>
      </w:r>
      <w:r w:rsidR="00EC7EDF" w:rsidRPr="00FD211F">
        <w:rPr>
          <w:sz w:val="36"/>
          <w:szCs w:val="36"/>
          <w:rtl/>
        </w:rPr>
        <w:t xml:space="preserve">ة </w:t>
      </w:r>
      <w:r w:rsidRPr="00FD211F">
        <w:rPr>
          <w:sz w:val="36"/>
          <w:szCs w:val="36"/>
          <w:rtl/>
        </w:rPr>
        <w:t>التي هي من الأركان صدق مسمى الصلا</w:t>
      </w:r>
      <w:r w:rsidR="00EC7EDF" w:rsidRPr="00FD211F">
        <w:rPr>
          <w:sz w:val="36"/>
          <w:szCs w:val="36"/>
          <w:rtl/>
        </w:rPr>
        <w:t xml:space="preserve">ة </w:t>
      </w:r>
      <w:r w:rsidRPr="00FD211F">
        <w:rPr>
          <w:sz w:val="36"/>
          <w:szCs w:val="36"/>
          <w:rtl/>
        </w:rPr>
        <w:t>على الفاقد</w:t>
      </w:r>
      <w:r w:rsidR="00EC7EDF" w:rsidRPr="00FD211F">
        <w:rPr>
          <w:sz w:val="36"/>
          <w:szCs w:val="36"/>
          <w:rtl/>
        </w:rPr>
        <w:t xml:space="preserve">ة </w:t>
      </w:r>
      <w:r w:rsidRPr="00FD211F">
        <w:rPr>
          <w:sz w:val="36"/>
          <w:szCs w:val="36"/>
          <w:rtl/>
        </w:rPr>
        <w:t>للركن.</w:t>
      </w:r>
    </w:p>
    <w:p w14:paraId="39829967" w14:textId="77777777" w:rsidR="00052BF2" w:rsidRPr="00FD211F" w:rsidRDefault="00052BF2" w:rsidP="009C58C8">
      <w:pPr>
        <w:ind w:left="0" w:firstLine="227"/>
        <w:jc w:val="both"/>
        <w:rPr>
          <w:sz w:val="36"/>
          <w:szCs w:val="36"/>
          <w:rtl/>
        </w:rPr>
      </w:pPr>
      <w:r w:rsidRPr="00FD211F">
        <w:rPr>
          <w:sz w:val="36"/>
          <w:szCs w:val="36"/>
          <w:rtl/>
        </w:rPr>
        <w:t>هذا ومن جه</w:t>
      </w:r>
      <w:r w:rsidR="00EC7EDF" w:rsidRPr="00FD211F">
        <w:rPr>
          <w:sz w:val="36"/>
          <w:szCs w:val="36"/>
          <w:rtl/>
        </w:rPr>
        <w:t xml:space="preserve">ة </w:t>
      </w:r>
      <w:r w:rsidRPr="00FD211F">
        <w:rPr>
          <w:sz w:val="36"/>
          <w:szCs w:val="36"/>
          <w:rtl/>
        </w:rPr>
        <w:t>أخرى ان من صلّى الى غير جه</w:t>
      </w:r>
      <w:r w:rsidR="00EC7EDF" w:rsidRPr="00FD211F">
        <w:rPr>
          <w:sz w:val="36"/>
          <w:szCs w:val="36"/>
          <w:rtl/>
        </w:rPr>
        <w:t xml:space="preserve">ة </w:t>
      </w:r>
      <w:r w:rsidRPr="00FD211F">
        <w:rPr>
          <w:sz w:val="36"/>
          <w:szCs w:val="36"/>
          <w:rtl/>
        </w:rPr>
        <w:t>القبل</w:t>
      </w:r>
      <w:r w:rsidR="00EC7EDF" w:rsidRPr="00FD211F">
        <w:rPr>
          <w:sz w:val="36"/>
          <w:szCs w:val="36"/>
          <w:rtl/>
        </w:rPr>
        <w:t xml:space="preserve">ة </w:t>
      </w:r>
      <w:r w:rsidRPr="00FD211F">
        <w:rPr>
          <w:sz w:val="36"/>
          <w:szCs w:val="36"/>
          <w:rtl/>
        </w:rPr>
        <w:t>او صلّى قبل الوقت فيصدق مسمى الصلا</w:t>
      </w:r>
      <w:r w:rsidR="00EC7EDF" w:rsidRPr="00FD211F">
        <w:rPr>
          <w:sz w:val="36"/>
          <w:szCs w:val="36"/>
          <w:rtl/>
        </w:rPr>
        <w:t xml:space="preserve">ة </w:t>
      </w:r>
      <w:r w:rsidRPr="00FD211F">
        <w:rPr>
          <w:sz w:val="36"/>
          <w:szCs w:val="36"/>
          <w:rtl/>
        </w:rPr>
        <w:t>عليه عرفا مع فرض الإخلال فيه بالاركان</w:t>
      </w:r>
      <w:r w:rsidR="00603323" w:rsidRPr="00FD211F">
        <w:rPr>
          <w:sz w:val="36"/>
          <w:szCs w:val="36"/>
          <w:rtl/>
        </w:rPr>
        <w:t xml:space="preserve">، </w:t>
      </w:r>
      <w:r w:rsidRPr="00FD211F">
        <w:rPr>
          <w:sz w:val="36"/>
          <w:szCs w:val="36"/>
          <w:rtl/>
        </w:rPr>
        <w:t>ومما يشهد على ما ذكرنا انه لااشكال في جريان قاعد</w:t>
      </w:r>
      <w:r w:rsidR="00EC7EDF" w:rsidRPr="00FD211F">
        <w:rPr>
          <w:sz w:val="36"/>
          <w:szCs w:val="36"/>
          <w:rtl/>
        </w:rPr>
        <w:t xml:space="preserve">ة </w:t>
      </w:r>
      <w:r w:rsidRPr="00FD211F">
        <w:rPr>
          <w:sz w:val="36"/>
          <w:szCs w:val="36"/>
          <w:rtl/>
        </w:rPr>
        <w:t>الفراغ في الصلا</w:t>
      </w:r>
      <w:r w:rsidR="00EC7EDF" w:rsidRPr="00FD211F">
        <w:rPr>
          <w:sz w:val="36"/>
          <w:szCs w:val="36"/>
          <w:rtl/>
        </w:rPr>
        <w:t xml:space="preserve">ة </w:t>
      </w:r>
      <w:r w:rsidRPr="00FD211F">
        <w:rPr>
          <w:sz w:val="36"/>
          <w:szCs w:val="36"/>
          <w:rtl/>
        </w:rPr>
        <w:t>عند الشك في الأركان</w:t>
      </w:r>
      <w:r w:rsidR="00603323" w:rsidRPr="00FD211F">
        <w:rPr>
          <w:sz w:val="36"/>
          <w:szCs w:val="36"/>
          <w:rtl/>
        </w:rPr>
        <w:t xml:space="preserve">، </w:t>
      </w:r>
      <w:r w:rsidRPr="00FD211F">
        <w:rPr>
          <w:sz w:val="36"/>
          <w:szCs w:val="36"/>
          <w:rtl/>
        </w:rPr>
        <w:t>كما في الشك في الطهار</w:t>
      </w:r>
      <w:r w:rsidR="00EC7EDF" w:rsidRPr="00FD211F">
        <w:rPr>
          <w:sz w:val="36"/>
          <w:szCs w:val="36"/>
          <w:rtl/>
        </w:rPr>
        <w:t xml:space="preserve">ة </w:t>
      </w:r>
      <w:r w:rsidRPr="00FD211F">
        <w:rPr>
          <w:sz w:val="36"/>
          <w:szCs w:val="36"/>
          <w:rtl/>
        </w:rPr>
        <w:t>من الحدث بعد الفراغ من الصلا</w:t>
      </w:r>
      <w:r w:rsidR="00EC7EDF" w:rsidRPr="00FD211F">
        <w:rPr>
          <w:sz w:val="36"/>
          <w:szCs w:val="36"/>
          <w:rtl/>
        </w:rPr>
        <w:t>ة</w:t>
      </w:r>
      <w:r w:rsidR="00603323" w:rsidRPr="00FD211F">
        <w:rPr>
          <w:sz w:val="36"/>
          <w:szCs w:val="36"/>
          <w:rtl/>
        </w:rPr>
        <w:t xml:space="preserve">، </w:t>
      </w:r>
      <w:r w:rsidRPr="00FD211F">
        <w:rPr>
          <w:sz w:val="36"/>
          <w:szCs w:val="36"/>
          <w:rtl/>
        </w:rPr>
        <w:t>وقد اختار ذلك السيد الخوئي</w:t>
      </w:r>
      <w:r w:rsidR="008F14E7" w:rsidRPr="00FD211F">
        <w:rPr>
          <w:sz w:val="36"/>
          <w:szCs w:val="36"/>
          <w:rtl/>
        </w:rPr>
        <w:t xml:space="preserve"> "قده"</w:t>
      </w:r>
      <w:r w:rsidR="00603323" w:rsidRPr="00FD211F">
        <w:rPr>
          <w:sz w:val="36"/>
          <w:szCs w:val="36"/>
          <w:rtl/>
        </w:rPr>
        <w:t xml:space="preserve">، </w:t>
      </w:r>
      <w:r w:rsidRPr="00FD211F">
        <w:rPr>
          <w:sz w:val="36"/>
          <w:szCs w:val="36"/>
          <w:rtl/>
        </w:rPr>
        <w:t>مع انه</w:t>
      </w:r>
      <w:r w:rsidR="00A61BAE" w:rsidRPr="00FD211F">
        <w:rPr>
          <w:sz w:val="36"/>
          <w:szCs w:val="36"/>
          <w:rtl/>
        </w:rPr>
        <w:t xml:space="preserve"> </w:t>
      </w:r>
      <w:r w:rsidR="00D9639E" w:rsidRPr="00FD211F">
        <w:rPr>
          <w:sz w:val="36"/>
          <w:szCs w:val="36"/>
          <w:rtl/>
        </w:rPr>
        <w:t>"قده"</w:t>
      </w:r>
      <w:r w:rsidR="00A61BAE" w:rsidRPr="00FD211F">
        <w:rPr>
          <w:sz w:val="36"/>
          <w:szCs w:val="36"/>
          <w:rtl/>
        </w:rPr>
        <w:t xml:space="preserve"> </w:t>
      </w:r>
      <w:r w:rsidRPr="00FD211F">
        <w:rPr>
          <w:sz w:val="36"/>
          <w:szCs w:val="36"/>
          <w:rtl/>
        </w:rPr>
        <w:t>يعتبر في جريان قاعد</w:t>
      </w:r>
      <w:r w:rsidR="00EC7EDF" w:rsidRPr="00FD211F">
        <w:rPr>
          <w:sz w:val="36"/>
          <w:szCs w:val="36"/>
          <w:rtl/>
        </w:rPr>
        <w:t xml:space="preserve">ة </w:t>
      </w:r>
      <w:r w:rsidRPr="00FD211F">
        <w:rPr>
          <w:sz w:val="36"/>
          <w:szCs w:val="36"/>
          <w:rtl/>
        </w:rPr>
        <w:t>الفراغ احراز تحقق العنوان.</w:t>
      </w:r>
    </w:p>
    <w:p w14:paraId="6243D5B7" w14:textId="77777777" w:rsidR="00052BF2" w:rsidRPr="00FD211F" w:rsidRDefault="00052BF2" w:rsidP="009C58C8">
      <w:pPr>
        <w:ind w:left="0" w:firstLine="227"/>
        <w:jc w:val="both"/>
        <w:rPr>
          <w:sz w:val="36"/>
          <w:szCs w:val="36"/>
          <w:rtl/>
        </w:rPr>
      </w:pPr>
      <w:r w:rsidRPr="00FD211F">
        <w:rPr>
          <w:sz w:val="36"/>
          <w:szCs w:val="36"/>
          <w:rtl/>
        </w:rPr>
        <w:t>3- قد أورد عليه في البحوث بان</w:t>
      </w:r>
      <w:r w:rsidR="003A1531" w:rsidRPr="00FD211F">
        <w:rPr>
          <w:sz w:val="36"/>
          <w:szCs w:val="36"/>
          <w:rtl/>
        </w:rPr>
        <w:t xml:space="preserve"> دلال</w:t>
      </w:r>
      <w:r w:rsidR="00EC7EDF" w:rsidRPr="00FD211F">
        <w:rPr>
          <w:sz w:val="36"/>
          <w:szCs w:val="36"/>
          <w:rtl/>
        </w:rPr>
        <w:t xml:space="preserve">ة </w:t>
      </w:r>
      <w:r w:rsidR="003A1531" w:rsidRPr="00FD211F">
        <w:rPr>
          <w:sz w:val="36"/>
          <w:szCs w:val="36"/>
          <w:rtl/>
        </w:rPr>
        <w:t>صحيح</w:t>
      </w:r>
      <w:r w:rsidR="00EC7EDF" w:rsidRPr="00FD211F">
        <w:rPr>
          <w:sz w:val="36"/>
          <w:szCs w:val="36"/>
          <w:rtl/>
        </w:rPr>
        <w:t xml:space="preserve">ة </w:t>
      </w:r>
      <w:r w:rsidR="003A1531" w:rsidRPr="00FD211F">
        <w:rPr>
          <w:sz w:val="36"/>
          <w:szCs w:val="36"/>
          <w:rtl/>
        </w:rPr>
        <w:t>الحلبي على تقوم الصلا</w:t>
      </w:r>
      <w:r w:rsidR="00EC7EDF" w:rsidRPr="00FD211F">
        <w:rPr>
          <w:sz w:val="36"/>
          <w:szCs w:val="36"/>
          <w:rtl/>
        </w:rPr>
        <w:t xml:space="preserve">ة </w:t>
      </w:r>
      <w:r w:rsidR="003A1531" w:rsidRPr="00FD211F">
        <w:rPr>
          <w:sz w:val="36"/>
          <w:szCs w:val="36"/>
          <w:rtl/>
        </w:rPr>
        <w:t>بثلاث</w:t>
      </w:r>
      <w:r w:rsidR="00EC7EDF" w:rsidRPr="00FD211F">
        <w:rPr>
          <w:sz w:val="36"/>
          <w:szCs w:val="36"/>
          <w:rtl/>
        </w:rPr>
        <w:t xml:space="preserve">ة </w:t>
      </w:r>
      <w:r w:rsidR="003A1531" w:rsidRPr="00FD211F">
        <w:rPr>
          <w:sz w:val="36"/>
          <w:szCs w:val="36"/>
          <w:rtl/>
        </w:rPr>
        <w:t>اشياء</w:t>
      </w:r>
      <w:r w:rsidR="007465FE" w:rsidRPr="00FD211F">
        <w:rPr>
          <w:sz w:val="36"/>
          <w:szCs w:val="36"/>
          <w:rtl/>
        </w:rPr>
        <w:t xml:space="preserve"> </w:t>
      </w:r>
      <w:r w:rsidRPr="00FD211F">
        <w:rPr>
          <w:sz w:val="36"/>
          <w:szCs w:val="36"/>
          <w:rtl/>
        </w:rPr>
        <w:t>تكون بالوضع فلايمكن ان يجمع بينها وبين دليل ركني</w:t>
      </w:r>
      <w:r w:rsidR="00EC7EDF" w:rsidRPr="00FD211F">
        <w:rPr>
          <w:sz w:val="36"/>
          <w:szCs w:val="36"/>
          <w:rtl/>
        </w:rPr>
        <w:t xml:space="preserve">ة </w:t>
      </w:r>
      <w:r w:rsidRPr="00FD211F">
        <w:rPr>
          <w:sz w:val="36"/>
          <w:szCs w:val="36"/>
          <w:rtl/>
        </w:rPr>
        <w:t>التكبير بالتقييد</w:t>
      </w:r>
      <w:r w:rsidR="00603323" w:rsidRPr="00FD211F">
        <w:rPr>
          <w:sz w:val="36"/>
          <w:szCs w:val="36"/>
          <w:rtl/>
        </w:rPr>
        <w:t xml:space="preserve">، </w:t>
      </w:r>
      <w:r w:rsidR="003A1531" w:rsidRPr="00FD211F">
        <w:rPr>
          <w:sz w:val="36"/>
          <w:szCs w:val="36"/>
          <w:rtl/>
        </w:rPr>
        <w:t>بان يلتزم بتقومها</w:t>
      </w:r>
      <w:r w:rsidR="007465FE" w:rsidRPr="00FD211F">
        <w:rPr>
          <w:sz w:val="36"/>
          <w:szCs w:val="36"/>
          <w:rtl/>
        </w:rPr>
        <w:t xml:space="preserve"> </w:t>
      </w:r>
      <w:r w:rsidR="003A1531" w:rsidRPr="00FD211F">
        <w:rPr>
          <w:sz w:val="36"/>
          <w:szCs w:val="36"/>
          <w:rtl/>
        </w:rPr>
        <w:t>باربع</w:t>
      </w:r>
      <w:r w:rsidR="00EC7EDF" w:rsidRPr="00FD211F">
        <w:rPr>
          <w:sz w:val="36"/>
          <w:szCs w:val="36"/>
          <w:rtl/>
        </w:rPr>
        <w:t xml:space="preserve">ة </w:t>
      </w:r>
      <w:r w:rsidR="003A1531" w:rsidRPr="00FD211F">
        <w:rPr>
          <w:sz w:val="36"/>
          <w:szCs w:val="36"/>
          <w:rtl/>
        </w:rPr>
        <w:t>اشياء</w:t>
      </w:r>
      <w:r w:rsidR="00662BCB" w:rsidRPr="00FD211F">
        <w:rPr>
          <w:sz w:val="36"/>
          <w:szCs w:val="36"/>
          <w:rtl/>
        </w:rPr>
        <w:t xml:space="preserve"> </w:t>
      </w:r>
      <w:r w:rsidR="003A1531" w:rsidRPr="00FD211F">
        <w:rPr>
          <w:sz w:val="36"/>
          <w:szCs w:val="36"/>
          <w:rtl/>
        </w:rPr>
        <w:t>فانه يوجب الغاء</w:t>
      </w:r>
      <w:r w:rsidR="00662BCB" w:rsidRPr="00FD211F">
        <w:rPr>
          <w:sz w:val="36"/>
          <w:szCs w:val="36"/>
          <w:rtl/>
        </w:rPr>
        <w:t xml:space="preserve"> </w:t>
      </w:r>
      <w:r w:rsidR="003A1531" w:rsidRPr="00FD211F">
        <w:rPr>
          <w:sz w:val="36"/>
          <w:szCs w:val="36"/>
          <w:rtl/>
        </w:rPr>
        <w:t>عنوان الثلاث</w:t>
      </w:r>
      <w:r w:rsidR="00EC7EDF" w:rsidRPr="00FD211F">
        <w:rPr>
          <w:sz w:val="36"/>
          <w:szCs w:val="36"/>
          <w:rtl/>
        </w:rPr>
        <w:t xml:space="preserve">ة </w:t>
      </w:r>
      <w:r w:rsidR="003A1531" w:rsidRPr="00FD211F">
        <w:rPr>
          <w:sz w:val="36"/>
          <w:szCs w:val="36"/>
          <w:rtl/>
        </w:rPr>
        <w:t>مع كونه مستفادا</w:t>
      </w:r>
      <w:r w:rsidR="00662BCB" w:rsidRPr="00FD211F">
        <w:rPr>
          <w:sz w:val="36"/>
          <w:szCs w:val="36"/>
          <w:rtl/>
        </w:rPr>
        <w:t xml:space="preserve"> </w:t>
      </w:r>
      <w:r w:rsidR="003A1531" w:rsidRPr="00FD211F">
        <w:rPr>
          <w:sz w:val="36"/>
          <w:szCs w:val="36"/>
          <w:rtl/>
        </w:rPr>
        <w:t>من الدلال</w:t>
      </w:r>
      <w:r w:rsidR="00EC7EDF" w:rsidRPr="00FD211F">
        <w:rPr>
          <w:sz w:val="36"/>
          <w:szCs w:val="36"/>
          <w:rtl/>
        </w:rPr>
        <w:t xml:space="preserve">ة </w:t>
      </w:r>
      <w:r w:rsidR="003A1531" w:rsidRPr="00FD211F">
        <w:rPr>
          <w:sz w:val="36"/>
          <w:szCs w:val="36"/>
          <w:rtl/>
        </w:rPr>
        <w:t>الوضعي</w:t>
      </w:r>
      <w:r w:rsidR="00EC7EDF" w:rsidRPr="00FD211F">
        <w:rPr>
          <w:sz w:val="36"/>
          <w:szCs w:val="36"/>
          <w:rtl/>
        </w:rPr>
        <w:t xml:space="preserve">ة </w:t>
      </w:r>
      <w:r w:rsidRPr="00FD211F">
        <w:rPr>
          <w:sz w:val="36"/>
          <w:szCs w:val="36"/>
          <w:rtl/>
        </w:rPr>
        <w:t>كما لايمكن اراد</w:t>
      </w:r>
      <w:r w:rsidR="00EC7EDF" w:rsidRPr="00FD211F">
        <w:rPr>
          <w:sz w:val="36"/>
          <w:szCs w:val="36"/>
          <w:rtl/>
        </w:rPr>
        <w:t xml:space="preserve">ة </w:t>
      </w:r>
      <w:r w:rsidRPr="00FD211F">
        <w:rPr>
          <w:sz w:val="36"/>
          <w:szCs w:val="36"/>
          <w:rtl/>
        </w:rPr>
        <w:t>مقومات الصلا</w:t>
      </w:r>
      <w:r w:rsidR="00EC7EDF" w:rsidRPr="00FD211F">
        <w:rPr>
          <w:sz w:val="36"/>
          <w:szCs w:val="36"/>
          <w:rtl/>
        </w:rPr>
        <w:t xml:space="preserve">ة </w:t>
      </w:r>
      <w:r w:rsidRPr="00FD211F">
        <w:rPr>
          <w:sz w:val="36"/>
          <w:szCs w:val="36"/>
          <w:rtl/>
        </w:rPr>
        <w:t>بعد الدخول فيها بتكبير</w:t>
      </w:r>
      <w:r w:rsidR="00EC7EDF" w:rsidRPr="00FD211F">
        <w:rPr>
          <w:sz w:val="36"/>
          <w:szCs w:val="36"/>
          <w:rtl/>
        </w:rPr>
        <w:t xml:space="preserve">ة </w:t>
      </w:r>
      <w:r w:rsidRPr="00FD211F">
        <w:rPr>
          <w:sz w:val="36"/>
          <w:szCs w:val="36"/>
          <w:rtl/>
        </w:rPr>
        <w:t>الاحرام لانه ينافي مع كون احد الثلاث</w:t>
      </w:r>
      <w:r w:rsidR="00EC7EDF" w:rsidRPr="00FD211F">
        <w:rPr>
          <w:sz w:val="36"/>
          <w:szCs w:val="36"/>
          <w:rtl/>
        </w:rPr>
        <w:t xml:space="preserve">ة </w:t>
      </w:r>
      <w:r w:rsidRPr="00FD211F">
        <w:rPr>
          <w:sz w:val="36"/>
          <w:szCs w:val="36"/>
          <w:rtl/>
        </w:rPr>
        <w:t>الطهور</w:t>
      </w:r>
      <w:r w:rsidR="00603323" w:rsidRPr="00FD211F">
        <w:rPr>
          <w:sz w:val="36"/>
          <w:szCs w:val="36"/>
          <w:rtl/>
        </w:rPr>
        <w:t xml:space="preserve">، </w:t>
      </w:r>
      <w:r w:rsidRPr="00FD211F">
        <w:rPr>
          <w:sz w:val="36"/>
          <w:szCs w:val="36"/>
          <w:rtl/>
        </w:rPr>
        <w:t>فانه مع الاخلال بالطهور أيضا لايتحقق مسمى الصلا</w:t>
      </w:r>
      <w:r w:rsidR="00EC7EDF" w:rsidRPr="00FD211F">
        <w:rPr>
          <w:sz w:val="36"/>
          <w:szCs w:val="36"/>
          <w:rtl/>
        </w:rPr>
        <w:t xml:space="preserve">ة </w:t>
      </w:r>
      <w:r w:rsidRPr="00FD211F">
        <w:rPr>
          <w:sz w:val="36"/>
          <w:szCs w:val="36"/>
          <w:rtl/>
        </w:rPr>
        <w:t>من بداي</w:t>
      </w:r>
      <w:r w:rsidR="00EC7EDF" w:rsidRPr="00FD211F">
        <w:rPr>
          <w:sz w:val="36"/>
          <w:szCs w:val="36"/>
          <w:rtl/>
        </w:rPr>
        <w:t xml:space="preserve">ة </w:t>
      </w:r>
      <w:r w:rsidRPr="00FD211F">
        <w:rPr>
          <w:sz w:val="36"/>
          <w:szCs w:val="36"/>
          <w:rtl/>
        </w:rPr>
        <w:t>الأمر ايضا</w:t>
      </w:r>
      <w:r w:rsidR="00603323" w:rsidRPr="00FD211F">
        <w:rPr>
          <w:sz w:val="36"/>
          <w:szCs w:val="36"/>
          <w:rtl/>
        </w:rPr>
        <w:t xml:space="preserve">، </w:t>
      </w:r>
      <w:r w:rsidRPr="00FD211F">
        <w:rPr>
          <w:sz w:val="36"/>
          <w:szCs w:val="36"/>
          <w:rtl/>
        </w:rPr>
        <w:t>فيتعين الجمع بينها وبين دليل ركني</w:t>
      </w:r>
      <w:r w:rsidR="00EC7EDF" w:rsidRPr="00FD211F">
        <w:rPr>
          <w:sz w:val="36"/>
          <w:szCs w:val="36"/>
          <w:rtl/>
        </w:rPr>
        <w:t xml:space="preserve">ة </w:t>
      </w:r>
      <w:r w:rsidRPr="00FD211F">
        <w:rPr>
          <w:sz w:val="36"/>
          <w:szCs w:val="36"/>
          <w:rtl/>
        </w:rPr>
        <w:t>التكبير باراد</w:t>
      </w:r>
      <w:r w:rsidR="00EC7EDF" w:rsidRPr="00FD211F">
        <w:rPr>
          <w:sz w:val="36"/>
          <w:szCs w:val="36"/>
          <w:rtl/>
        </w:rPr>
        <w:t xml:space="preserve">ة </w:t>
      </w:r>
      <w:r w:rsidRPr="00FD211F">
        <w:rPr>
          <w:sz w:val="36"/>
          <w:szCs w:val="36"/>
          <w:rtl/>
        </w:rPr>
        <w:t>التثليث من حيث الأهمي</w:t>
      </w:r>
      <w:r w:rsidR="00EC7EDF" w:rsidRPr="00FD211F">
        <w:rPr>
          <w:sz w:val="36"/>
          <w:szCs w:val="36"/>
          <w:rtl/>
        </w:rPr>
        <w:t xml:space="preserve">ة </w:t>
      </w:r>
      <w:r w:rsidRPr="00FD211F">
        <w:rPr>
          <w:sz w:val="36"/>
          <w:szCs w:val="36"/>
          <w:rtl/>
        </w:rPr>
        <w:t>او الثواب</w:t>
      </w:r>
      <w:r w:rsidR="00603323" w:rsidRPr="00FD211F">
        <w:rPr>
          <w:sz w:val="36"/>
          <w:szCs w:val="36"/>
          <w:rtl/>
        </w:rPr>
        <w:t xml:space="preserve">، </w:t>
      </w:r>
      <w:r w:rsidRPr="00FD211F">
        <w:rPr>
          <w:sz w:val="36"/>
          <w:szCs w:val="36"/>
          <w:rtl/>
        </w:rPr>
        <w:t>كما ورد ذلك بشأن سور</w:t>
      </w:r>
      <w:r w:rsidR="00EC7EDF" w:rsidRPr="00FD211F">
        <w:rPr>
          <w:sz w:val="36"/>
          <w:szCs w:val="36"/>
          <w:rtl/>
        </w:rPr>
        <w:t xml:space="preserve">ة </w:t>
      </w:r>
      <w:r w:rsidRPr="00FD211F">
        <w:rPr>
          <w:sz w:val="36"/>
          <w:szCs w:val="36"/>
          <w:rtl/>
        </w:rPr>
        <w:t>الاخلاص من انها ثلث القرآن الكريم</w:t>
      </w:r>
      <w:r w:rsidR="00603323" w:rsidRPr="00FD211F">
        <w:rPr>
          <w:sz w:val="36"/>
          <w:szCs w:val="36"/>
          <w:rtl/>
        </w:rPr>
        <w:t xml:space="preserve">، </w:t>
      </w:r>
      <w:r w:rsidRPr="00FD211F">
        <w:rPr>
          <w:sz w:val="36"/>
          <w:szCs w:val="36"/>
          <w:rtl/>
        </w:rPr>
        <w:t>هذا اذا</w:t>
      </w:r>
      <w:r w:rsidR="008D7B3D" w:rsidRPr="00FD211F">
        <w:rPr>
          <w:sz w:val="36"/>
          <w:szCs w:val="36"/>
          <w:rtl/>
        </w:rPr>
        <w:t xml:space="preserve"> لم‌</w:t>
      </w:r>
      <w:r w:rsidRPr="00FD211F">
        <w:rPr>
          <w:sz w:val="36"/>
          <w:szCs w:val="36"/>
          <w:rtl/>
        </w:rPr>
        <w:t>يدع ظهور سياق دليل التثليث في ذلك من اول الأمر</w:t>
      </w:r>
      <w:r w:rsidR="009C58C8" w:rsidRPr="00FD211F">
        <w:rPr>
          <w:rStyle w:val="a6"/>
          <w:sz w:val="36"/>
          <w:szCs w:val="36"/>
          <w:rtl/>
        </w:rPr>
        <w:t>(</w:t>
      </w:r>
      <w:r w:rsidR="009C58C8" w:rsidRPr="00FD211F">
        <w:rPr>
          <w:rStyle w:val="a6"/>
          <w:sz w:val="36"/>
          <w:szCs w:val="36"/>
          <w:rtl/>
        </w:rPr>
        <w:footnoteReference w:id="393"/>
      </w:r>
      <w:r w:rsidR="009C58C8" w:rsidRPr="00FD211F">
        <w:rPr>
          <w:rStyle w:val="a6"/>
          <w:sz w:val="36"/>
          <w:szCs w:val="36"/>
          <w:rtl/>
        </w:rPr>
        <w:t>)</w:t>
      </w:r>
      <w:r w:rsidRPr="00FD211F">
        <w:rPr>
          <w:sz w:val="36"/>
          <w:szCs w:val="36"/>
          <w:rtl/>
        </w:rPr>
        <w:t>.</w:t>
      </w:r>
    </w:p>
    <w:p w14:paraId="5F6AAA64" w14:textId="77777777" w:rsidR="003A1531" w:rsidRPr="00FD211F" w:rsidRDefault="003A1531" w:rsidP="009C58C8">
      <w:pPr>
        <w:ind w:left="0" w:firstLine="227"/>
        <w:jc w:val="both"/>
        <w:rPr>
          <w:sz w:val="36"/>
          <w:szCs w:val="36"/>
          <w:rtl/>
        </w:rPr>
      </w:pPr>
      <w:r w:rsidRPr="00FD211F">
        <w:rPr>
          <w:sz w:val="36"/>
          <w:szCs w:val="36"/>
          <w:rtl/>
        </w:rPr>
        <w:t xml:space="preserve">ويلاحظ عليه </w:t>
      </w:r>
      <w:r w:rsidR="00052BF2" w:rsidRPr="00FD211F">
        <w:rPr>
          <w:sz w:val="36"/>
          <w:szCs w:val="36"/>
          <w:rtl/>
        </w:rPr>
        <w:t>انه لامانع من تخصيص صحيح</w:t>
      </w:r>
      <w:r w:rsidR="00EC7EDF" w:rsidRPr="00FD211F">
        <w:rPr>
          <w:sz w:val="36"/>
          <w:szCs w:val="36"/>
          <w:rtl/>
        </w:rPr>
        <w:t xml:space="preserve">ة </w:t>
      </w:r>
      <w:r w:rsidR="00052BF2" w:rsidRPr="00FD211F">
        <w:rPr>
          <w:sz w:val="36"/>
          <w:szCs w:val="36"/>
          <w:rtl/>
        </w:rPr>
        <w:t>الحلبي بتكبير</w:t>
      </w:r>
      <w:r w:rsidR="00EC7EDF" w:rsidRPr="00FD211F">
        <w:rPr>
          <w:sz w:val="36"/>
          <w:szCs w:val="36"/>
          <w:rtl/>
        </w:rPr>
        <w:t xml:space="preserve">ة </w:t>
      </w:r>
      <w:r w:rsidR="00052BF2" w:rsidRPr="00FD211F">
        <w:rPr>
          <w:sz w:val="36"/>
          <w:szCs w:val="36"/>
          <w:rtl/>
        </w:rPr>
        <w:t>الإحرام</w:t>
      </w:r>
      <w:r w:rsidR="00603323" w:rsidRPr="00FD211F">
        <w:rPr>
          <w:sz w:val="36"/>
          <w:szCs w:val="36"/>
          <w:rtl/>
        </w:rPr>
        <w:t xml:space="preserve">، </w:t>
      </w:r>
      <w:r w:rsidR="00052BF2" w:rsidRPr="00FD211F">
        <w:rPr>
          <w:sz w:val="36"/>
          <w:szCs w:val="36"/>
          <w:rtl/>
        </w:rPr>
        <w:t>فان الصحيح</w:t>
      </w:r>
      <w:r w:rsidR="00EC7EDF" w:rsidRPr="00FD211F">
        <w:rPr>
          <w:sz w:val="36"/>
          <w:szCs w:val="36"/>
          <w:rtl/>
        </w:rPr>
        <w:t xml:space="preserve">ة </w:t>
      </w:r>
      <w:r w:rsidR="00052BF2" w:rsidRPr="00FD211F">
        <w:rPr>
          <w:sz w:val="36"/>
          <w:szCs w:val="36"/>
          <w:rtl/>
        </w:rPr>
        <w:t>ليست أقوى دلال</w:t>
      </w:r>
      <w:r w:rsidR="00EC7EDF" w:rsidRPr="00FD211F">
        <w:rPr>
          <w:sz w:val="36"/>
          <w:szCs w:val="36"/>
          <w:rtl/>
        </w:rPr>
        <w:t xml:space="preserve">ة </w:t>
      </w:r>
      <w:r w:rsidR="00052BF2" w:rsidRPr="00FD211F">
        <w:rPr>
          <w:sz w:val="36"/>
          <w:szCs w:val="36"/>
          <w:rtl/>
        </w:rPr>
        <w:t xml:space="preserve">من مثل قوله </w:t>
      </w:r>
      <w:r w:rsidR="007A4A0D" w:rsidRPr="00FD211F">
        <w:rPr>
          <w:sz w:val="36"/>
          <w:szCs w:val="36"/>
          <w:rtl/>
        </w:rPr>
        <w:t>(عليه‌السلام)</w:t>
      </w:r>
      <w:r w:rsidR="00F008CF" w:rsidRPr="00FD211F">
        <w:rPr>
          <w:sz w:val="36"/>
          <w:szCs w:val="36"/>
          <w:rtl/>
        </w:rPr>
        <w:t>"</w:t>
      </w:r>
      <w:r w:rsidR="00662BCB" w:rsidRPr="00FD211F">
        <w:rPr>
          <w:sz w:val="36"/>
          <w:szCs w:val="36"/>
          <w:rtl/>
        </w:rPr>
        <w:t xml:space="preserve"> </w:t>
      </w:r>
      <w:r w:rsidR="00052BF2" w:rsidRPr="00FD211F">
        <w:rPr>
          <w:rStyle w:val="hasanChar"/>
          <w:rFonts w:ascii="Scheherazade" w:hAnsi="Scheherazade" w:cs="Scheherazade"/>
          <w:rtl/>
        </w:rPr>
        <w:t>لايضرّ الصائم ما صنع اذا اجتنب أربع</w:t>
      </w:r>
      <w:r w:rsidR="00EC7EDF" w:rsidRPr="00FD211F">
        <w:rPr>
          <w:rStyle w:val="hasanChar"/>
          <w:rFonts w:ascii="Scheherazade" w:hAnsi="Scheherazade" w:cs="Scheherazade"/>
          <w:rtl/>
        </w:rPr>
        <w:t xml:space="preserve">ة </w:t>
      </w:r>
      <w:r w:rsidR="00052BF2" w:rsidRPr="00FD211F">
        <w:rPr>
          <w:rStyle w:val="hasanChar"/>
          <w:rFonts w:ascii="Scheherazade" w:hAnsi="Scheherazade" w:cs="Scheherazade"/>
          <w:rtl/>
        </w:rPr>
        <w:t>خصال الطعام والشراب والنساء والارتماس في الماء</w:t>
      </w:r>
      <w:r w:rsidR="009C58C8" w:rsidRPr="00FD211F">
        <w:rPr>
          <w:sz w:val="36"/>
          <w:szCs w:val="36"/>
          <w:vertAlign w:val="superscript"/>
          <w:rtl/>
        </w:rPr>
        <w:t>(</w:t>
      </w:r>
      <w:r w:rsidR="009C58C8" w:rsidRPr="00FD211F">
        <w:rPr>
          <w:sz w:val="36"/>
          <w:szCs w:val="36"/>
          <w:vertAlign w:val="superscript"/>
          <w:rtl/>
        </w:rPr>
        <w:footnoteReference w:id="394"/>
      </w:r>
      <w:r w:rsidR="009C58C8" w:rsidRPr="00FD211F">
        <w:rPr>
          <w:sz w:val="36"/>
          <w:szCs w:val="36"/>
          <w:vertAlign w:val="superscript"/>
          <w:rtl/>
        </w:rPr>
        <w:t>)</w:t>
      </w:r>
      <w:r w:rsidR="00F008CF" w:rsidRPr="00FD211F">
        <w:rPr>
          <w:sz w:val="36"/>
          <w:szCs w:val="36"/>
          <w:vertAlign w:val="superscript"/>
          <w:rtl/>
        </w:rPr>
        <w:t>"</w:t>
      </w:r>
      <w:r w:rsidR="00603323" w:rsidRPr="00FD211F">
        <w:rPr>
          <w:sz w:val="36"/>
          <w:szCs w:val="36"/>
          <w:rtl/>
        </w:rPr>
        <w:t xml:space="preserve">، </w:t>
      </w:r>
      <w:r w:rsidR="00BE45AB" w:rsidRPr="00FD211F">
        <w:rPr>
          <w:sz w:val="36"/>
          <w:szCs w:val="36"/>
          <w:rtl/>
        </w:rPr>
        <w:t>حيث خصص بسائر المفطرات.</w:t>
      </w:r>
    </w:p>
    <w:p w14:paraId="1A17A129" w14:textId="77777777" w:rsidR="00052BF2" w:rsidRPr="00FD211F" w:rsidRDefault="00052BF2" w:rsidP="009C58C8">
      <w:pPr>
        <w:ind w:left="0" w:firstLine="227"/>
        <w:jc w:val="both"/>
        <w:rPr>
          <w:sz w:val="36"/>
          <w:szCs w:val="36"/>
          <w:rtl/>
        </w:rPr>
      </w:pPr>
      <w:r w:rsidRPr="00FD211F">
        <w:rPr>
          <w:sz w:val="36"/>
          <w:szCs w:val="36"/>
          <w:rtl/>
        </w:rPr>
        <w:t>نعم الصحيح عدم تعين تخصيص صحيح</w:t>
      </w:r>
      <w:r w:rsidR="00EC7EDF" w:rsidRPr="00FD211F">
        <w:rPr>
          <w:sz w:val="36"/>
          <w:szCs w:val="36"/>
          <w:rtl/>
        </w:rPr>
        <w:t xml:space="preserve">ة </w:t>
      </w:r>
      <w:r w:rsidRPr="00FD211F">
        <w:rPr>
          <w:sz w:val="36"/>
          <w:szCs w:val="36"/>
          <w:rtl/>
        </w:rPr>
        <w:t>الحلبي بما دل على ر</w:t>
      </w:r>
      <w:r w:rsidR="00BE45AB" w:rsidRPr="00FD211F">
        <w:rPr>
          <w:sz w:val="36"/>
          <w:szCs w:val="36"/>
          <w:rtl/>
        </w:rPr>
        <w:t>كني</w:t>
      </w:r>
      <w:r w:rsidR="00EC7EDF" w:rsidRPr="00FD211F">
        <w:rPr>
          <w:sz w:val="36"/>
          <w:szCs w:val="36"/>
          <w:rtl/>
        </w:rPr>
        <w:t xml:space="preserve">ة </w:t>
      </w:r>
      <w:r w:rsidR="00BE45AB" w:rsidRPr="00FD211F">
        <w:rPr>
          <w:sz w:val="36"/>
          <w:szCs w:val="36"/>
          <w:rtl/>
        </w:rPr>
        <w:t>تكبير</w:t>
      </w:r>
      <w:r w:rsidR="00EC7EDF" w:rsidRPr="00FD211F">
        <w:rPr>
          <w:sz w:val="36"/>
          <w:szCs w:val="36"/>
          <w:rtl/>
        </w:rPr>
        <w:t xml:space="preserve">ة </w:t>
      </w:r>
      <w:r w:rsidR="00BE45AB" w:rsidRPr="00FD211F">
        <w:rPr>
          <w:sz w:val="36"/>
          <w:szCs w:val="36"/>
          <w:rtl/>
        </w:rPr>
        <w:t>الإحرام</w:t>
      </w:r>
      <w:r w:rsidR="00603323" w:rsidRPr="00FD211F">
        <w:rPr>
          <w:sz w:val="36"/>
          <w:szCs w:val="36"/>
          <w:rtl/>
        </w:rPr>
        <w:t xml:space="preserve">، </w:t>
      </w:r>
      <w:r w:rsidRPr="00FD211F">
        <w:rPr>
          <w:sz w:val="36"/>
          <w:szCs w:val="36"/>
          <w:rtl/>
        </w:rPr>
        <w:t>فيمكن ان يكون ذلك قرين</w:t>
      </w:r>
      <w:r w:rsidR="00EC7EDF" w:rsidRPr="00FD211F">
        <w:rPr>
          <w:sz w:val="36"/>
          <w:szCs w:val="36"/>
          <w:rtl/>
        </w:rPr>
        <w:t xml:space="preserve">ة </w:t>
      </w:r>
      <w:r w:rsidRPr="00FD211F">
        <w:rPr>
          <w:sz w:val="36"/>
          <w:szCs w:val="36"/>
          <w:rtl/>
        </w:rPr>
        <w:t>على حمل صحيح</w:t>
      </w:r>
      <w:r w:rsidR="00EC7EDF" w:rsidRPr="00FD211F">
        <w:rPr>
          <w:sz w:val="36"/>
          <w:szCs w:val="36"/>
          <w:rtl/>
        </w:rPr>
        <w:t xml:space="preserve">ة </w:t>
      </w:r>
      <w:r w:rsidRPr="00FD211F">
        <w:rPr>
          <w:sz w:val="36"/>
          <w:szCs w:val="36"/>
          <w:rtl/>
        </w:rPr>
        <w:t>الحلبي على بيان اهمي</w:t>
      </w:r>
      <w:r w:rsidR="00EC7EDF" w:rsidRPr="00FD211F">
        <w:rPr>
          <w:sz w:val="36"/>
          <w:szCs w:val="36"/>
          <w:rtl/>
        </w:rPr>
        <w:t xml:space="preserve">ة </w:t>
      </w:r>
      <w:r w:rsidRPr="00FD211F">
        <w:rPr>
          <w:sz w:val="36"/>
          <w:szCs w:val="36"/>
          <w:rtl/>
        </w:rPr>
        <w:t>الطهور والركوع والسجود.</w:t>
      </w:r>
    </w:p>
    <w:p w14:paraId="178E6BC7" w14:textId="77777777" w:rsidR="00BE45AB" w:rsidRPr="00FD211F" w:rsidRDefault="00BE45AB" w:rsidP="009C58C8">
      <w:pPr>
        <w:ind w:left="0" w:firstLine="227"/>
        <w:jc w:val="both"/>
        <w:rPr>
          <w:sz w:val="36"/>
          <w:szCs w:val="36"/>
          <w:rtl/>
        </w:rPr>
      </w:pPr>
      <w:r w:rsidRPr="00FD211F">
        <w:rPr>
          <w:sz w:val="36"/>
          <w:szCs w:val="36"/>
          <w:rtl/>
        </w:rPr>
        <w:t>واما</w:t>
      </w:r>
      <w:r w:rsidR="00662BCB" w:rsidRPr="00FD211F">
        <w:rPr>
          <w:sz w:val="36"/>
          <w:szCs w:val="36"/>
          <w:rtl/>
        </w:rPr>
        <w:t xml:space="preserve"> </w:t>
      </w:r>
      <w:r w:rsidRPr="00FD211F">
        <w:rPr>
          <w:sz w:val="36"/>
          <w:szCs w:val="36"/>
          <w:rtl/>
        </w:rPr>
        <w:t>ما</w:t>
      </w:r>
      <w:r w:rsidR="00662BCB" w:rsidRPr="00FD211F">
        <w:rPr>
          <w:sz w:val="36"/>
          <w:szCs w:val="36"/>
          <w:rtl/>
        </w:rPr>
        <w:t xml:space="preserve"> </w:t>
      </w:r>
      <w:r w:rsidRPr="00FD211F">
        <w:rPr>
          <w:sz w:val="36"/>
          <w:szCs w:val="36"/>
          <w:rtl/>
        </w:rPr>
        <w:t>اورده على توجيه السيد</w:t>
      </w:r>
      <w:r w:rsidR="00662BCB" w:rsidRPr="00FD211F">
        <w:rPr>
          <w:sz w:val="36"/>
          <w:szCs w:val="36"/>
          <w:rtl/>
        </w:rPr>
        <w:t xml:space="preserve"> </w:t>
      </w:r>
      <w:r w:rsidRPr="00FD211F">
        <w:rPr>
          <w:sz w:val="36"/>
          <w:szCs w:val="36"/>
          <w:rtl/>
        </w:rPr>
        <w:t>الخوئي لعدم ذكر</w:t>
      </w:r>
      <w:r w:rsidR="00662BCB" w:rsidRPr="00FD211F">
        <w:rPr>
          <w:sz w:val="36"/>
          <w:szCs w:val="36"/>
          <w:rtl/>
        </w:rPr>
        <w:t xml:space="preserve"> </w:t>
      </w:r>
      <w:r w:rsidRPr="00FD211F">
        <w:rPr>
          <w:sz w:val="36"/>
          <w:szCs w:val="36"/>
          <w:rtl/>
        </w:rPr>
        <w:t>تكبير</w:t>
      </w:r>
      <w:r w:rsidR="00EC7EDF" w:rsidRPr="00FD211F">
        <w:rPr>
          <w:sz w:val="36"/>
          <w:szCs w:val="36"/>
          <w:rtl/>
        </w:rPr>
        <w:t xml:space="preserve">ة </w:t>
      </w:r>
      <w:r w:rsidRPr="00FD211F">
        <w:rPr>
          <w:sz w:val="36"/>
          <w:szCs w:val="36"/>
          <w:rtl/>
        </w:rPr>
        <w:t>الاحرام بانه قد</w:t>
      </w:r>
      <w:r w:rsidR="007465FE" w:rsidRPr="00FD211F">
        <w:rPr>
          <w:sz w:val="36"/>
          <w:szCs w:val="36"/>
          <w:rtl/>
        </w:rPr>
        <w:t xml:space="preserve"> </w:t>
      </w:r>
      <w:r w:rsidRPr="00FD211F">
        <w:rPr>
          <w:sz w:val="36"/>
          <w:szCs w:val="36"/>
          <w:rtl/>
        </w:rPr>
        <w:t>يكون المقصود</w:t>
      </w:r>
      <w:r w:rsidR="00662BCB" w:rsidRPr="00FD211F">
        <w:rPr>
          <w:sz w:val="36"/>
          <w:szCs w:val="36"/>
          <w:rtl/>
        </w:rPr>
        <w:t xml:space="preserve"> </w:t>
      </w:r>
      <w:r w:rsidRPr="00FD211F">
        <w:rPr>
          <w:sz w:val="36"/>
          <w:szCs w:val="36"/>
          <w:rtl/>
        </w:rPr>
        <w:t>بيان مقومات الصلا</w:t>
      </w:r>
      <w:r w:rsidR="00EC7EDF" w:rsidRPr="00FD211F">
        <w:rPr>
          <w:sz w:val="36"/>
          <w:szCs w:val="36"/>
          <w:rtl/>
        </w:rPr>
        <w:t xml:space="preserve">ة </w:t>
      </w:r>
      <w:r w:rsidRPr="00FD211F">
        <w:rPr>
          <w:sz w:val="36"/>
          <w:szCs w:val="36"/>
          <w:rtl/>
        </w:rPr>
        <w:t>بعد</w:t>
      </w:r>
      <w:r w:rsidR="00662BCB" w:rsidRPr="00FD211F">
        <w:rPr>
          <w:sz w:val="36"/>
          <w:szCs w:val="36"/>
          <w:rtl/>
        </w:rPr>
        <w:t xml:space="preserve"> </w:t>
      </w:r>
      <w:r w:rsidRPr="00FD211F">
        <w:rPr>
          <w:sz w:val="36"/>
          <w:szCs w:val="36"/>
          <w:rtl/>
        </w:rPr>
        <w:t>الدخول فيها</w:t>
      </w:r>
      <w:r w:rsidR="00662BCB" w:rsidRPr="00FD211F">
        <w:rPr>
          <w:sz w:val="36"/>
          <w:szCs w:val="36"/>
          <w:rtl/>
        </w:rPr>
        <w:t xml:space="preserve"> </w:t>
      </w:r>
      <w:r w:rsidRPr="00FD211F">
        <w:rPr>
          <w:sz w:val="36"/>
          <w:szCs w:val="36"/>
          <w:rtl/>
        </w:rPr>
        <w:t>حيث نقض عليه بانه قد</w:t>
      </w:r>
      <w:r w:rsidR="00662BCB" w:rsidRPr="00FD211F">
        <w:rPr>
          <w:sz w:val="36"/>
          <w:szCs w:val="36"/>
          <w:rtl/>
        </w:rPr>
        <w:t xml:space="preserve"> </w:t>
      </w:r>
      <w:r w:rsidRPr="00FD211F">
        <w:rPr>
          <w:sz w:val="36"/>
          <w:szCs w:val="36"/>
          <w:rtl/>
        </w:rPr>
        <w:t>ذكر</w:t>
      </w:r>
      <w:r w:rsidR="00662BCB" w:rsidRPr="00FD211F">
        <w:rPr>
          <w:sz w:val="36"/>
          <w:szCs w:val="36"/>
          <w:rtl/>
        </w:rPr>
        <w:t xml:space="preserve"> </w:t>
      </w:r>
      <w:r w:rsidRPr="00FD211F">
        <w:rPr>
          <w:sz w:val="36"/>
          <w:szCs w:val="36"/>
          <w:rtl/>
        </w:rPr>
        <w:t>الطهور في الصحيح</w:t>
      </w:r>
      <w:r w:rsidR="00EC7EDF" w:rsidRPr="00FD211F">
        <w:rPr>
          <w:sz w:val="36"/>
          <w:szCs w:val="36"/>
          <w:rtl/>
        </w:rPr>
        <w:t xml:space="preserve">ة </w:t>
      </w:r>
      <w:r w:rsidRPr="00FD211F">
        <w:rPr>
          <w:sz w:val="36"/>
          <w:szCs w:val="36"/>
          <w:rtl/>
        </w:rPr>
        <w:t>فيمكن الجواب عنه</w:t>
      </w:r>
      <w:r w:rsidR="0021060D" w:rsidRPr="00FD211F">
        <w:rPr>
          <w:sz w:val="36"/>
          <w:szCs w:val="36"/>
          <w:rtl/>
        </w:rPr>
        <w:t xml:space="preserve"> بان الطهور قبل الصلا</w:t>
      </w:r>
      <w:r w:rsidR="00EC7EDF" w:rsidRPr="00FD211F">
        <w:rPr>
          <w:sz w:val="36"/>
          <w:szCs w:val="36"/>
          <w:rtl/>
        </w:rPr>
        <w:t xml:space="preserve">ة </w:t>
      </w:r>
      <w:r w:rsidR="0021060D" w:rsidRPr="00FD211F">
        <w:rPr>
          <w:sz w:val="36"/>
          <w:szCs w:val="36"/>
          <w:rtl/>
        </w:rPr>
        <w:t>وان كان يمنع من صدق الدخول في الصلا</w:t>
      </w:r>
      <w:r w:rsidR="00EC7EDF" w:rsidRPr="00FD211F">
        <w:rPr>
          <w:sz w:val="36"/>
          <w:szCs w:val="36"/>
          <w:rtl/>
        </w:rPr>
        <w:t>ة</w:t>
      </w:r>
      <w:r w:rsidR="00603323" w:rsidRPr="00FD211F">
        <w:rPr>
          <w:sz w:val="36"/>
          <w:szCs w:val="36"/>
          <w:rtl/>
        </w:rPr>
        <w:t xml:space="preserve">، </w:t>
      </w:r>
      <w:r w:rsidR="0021060D" w:rsidRPr="00FD211F">
        <w:rPr>
          <w:sz w:val="36"/>
          <w:szCs w:val="36"/>
          <w:rtl/>
        </w:rPr>
        <w:t>لكن حيث يلزم بقاءه الى آخر الصلا</w:t>
      </w:r>
      <w:r w:rsidR="00EC7EDF" w:rsidRPr="00FD211F">
        <w:rPr>
          <w:sz w:val="36"/>
          <w:szCs w:val="36"/>
          <w:rtl/>
        </w:rPr>
        <w:t xml:space="preserve">ة </w:t>
      </w:r>
      <w:r w:rsidR="0021060D" w:rsidRPr="00FD211F">
        <w:rPr>
          <w:sz w:val="36"/>
          <w:szCs w:val="36"/>
          <w:rtl/>
        </w:rPr>
        <w:t>فلعله لأجل ذلك ذكر في الحديث</w:t>
      </w:r>
      <w:r w:rsidR="00603323" w:rsidRPr="00FD211F">
        <w:rPr>
          <w:sz w:val="36"/>
          <w:szCs w:val="36"/>
          <w:rtl/>
        </w:rPr>
        <w:t xml:space="preserve">، </w:t>
      </w:r>
      <w:r w:rsidR="0021060D" w:rsidRPr="00FD211F">
        <w:rPr>
          <w:sz w:val="36"/>
          <w:szCs w:val="36"/>
          <w:rtl/>
        </w:rPr>
        <w:t>وبذلك يختلف عن تكبير</w:t>
      </w:r>
      <w:r w:rsidR="00EC7EDF" w:rsidRPr="00FD211F">
        <w:rPr>
          <w:sz w:val="36"/>
          <w:szCs w:val="36"/>
          <w:rtl/>
        </w:rPr>
        <w:t xml:space="preserve">ة </w:t>
      </w:r>
      <w:r w:rsidR="0021060D" w:rsidRPr="00FD211F">
        <w:rPr>
          <w:sz w:val="36"/>
          <w:szCs w:val="36"/>
          <w:rtl/>
        </w:rPr>
        <w:t>الإحرام</w:t>
      </w:r>
      <w:r w:rsidR="00603323" w:rsidRPr="00FD211F">
        <w:rPr>
          <w:sz w:val="36"/>
          <w:szCs w:val="36"/>
          <w:rtl/>
        </w:rPr>
        <w:t xml:space="preserve">، </w:t>
      </w:r>
      <w:r w:rsidR="0021060D" w:rsidRPr="00FD211F">
        <w:rPr>
          <w:sz w:val="36"/>
          <w:szCs w:val="36"/>
          <w:rtl/>
        </w:rPr>
        <w:t>وهذا الجواب يأتي في صحيح</w:t>
      </w:r>
      <w:r w:rsidR="00EC7EDF" w:rsidRPr="00FD211F">
        <w:rPr>
          <w:sz w:val="36"/>
          <w:szCs w:val="36"/>
          <w:rtl/>
        </w:rPr>
        <w:t xml:space="preserve">ة </w:t>
      </w:r>
      <w:r w:rsidR="0021060D" w:rsidRPr="00FD211F">
        <w:rPr>
          <w:sz w:val="36"/>
          <w:szCs w:val="36"/>
          <w:rtl/>
        </w:rPr>
        <w:t>الحلبي أيضا</w:t>
      </w:r>
      <w:r w:rsidR="00603323" w:rsidRPr="00FD211F">
        <w:rPr>
          <w:sz w:val="36"/>
          <w:szCs w:val="36"/>
          <w:rtl/>
        </w:rPr>
        <w:t xml:space="preserve">، </w:t>
      </w:r>
      <w:r w:rsidR="0021060D" w:rsidRPr="00FD211F">
        <w:rPr>
          <w:sz w:val="36"/>
          <w:szCs w:val="36"/>
          <w:rtl/>
        </w:rPr>
        <w:t>وبذلك يندفع النقض بالطهور.</w:t>
      </w:r>
    </w:p>
    <w:p w14:paraId="4DC96884" w14:textId="77777777" w:rsidR="00052BF2" w:rsidRPr="00FD211F" w:rsidRDefault="00052BF2" w:rsidP="009C58C8">
      <w:pPr>
        <w:ind w:left="0" w:firstLine="227"/>
        <w:jc w:val="both"/>
        <w:rPr>
          <w:sz w:val="36"/>
          <w:szCs w:val="36"/>
          <w:rtl/>
        </w:rPr>
      </w:pPr>
      <w:r w:rsidRPr="00FD211F">
        <w:rPr>
          <w:sz w:val="36"/>
          <w:szCs w:val="36"/>
          <w:rtl/>
        </w:rPr>
        <w:t>4- ان السيد الخوئي</w:t>
      </w:r>
      <w:r w:rsidR="00A61BAE" w:rsidRPr="00FD211F">
        <w:rPr>
          <w:sz w:val="36"/>
          <w:szCs w:val="36"/>
          <w:rtl/>
        </w:rPr>
        <w:t xml:space="preserve"> </w:t>
      </w:r>
      <w:r w:rsidR="00662BCB" w:rsidRPr="00FD211F">
        <w:rPr>
          <w:sz w:val="36"/>
          <w:szCs w:val="36"/>
          <w:rtl/>
        </w:rPr>
        <w:t>"قده"</w:t>
      </w:r>
      <w:r w:rsidR="00A61BAE" w:rsidRPr="00FD211F">
        <w:rPr>
          <w:sz w:val="36"/>
          <w:szCs w:val="36"/>
          <w:rtl/>
        </w:rPr>
        <w:t xml:space="preserve"> </w:t>
      </w:r>
      <w:r w:rsidRPr="00FD211F">
        <w:rPr>
          <w:sz w:val="36"/>
          <w:szCs w:val="36"/>
          <w:rtl/>
        </w:rPr>
        <w:t>جعل المقوم لمسمى الصلا</w:t>
      </w:r>
      <w:r w:rsidR="00EC7EDF" w:rsidRPr="00FD211F">
        <w:rPr>
          <w:sz w:val="36"/>
          <w:szCs w:val="36"/>
          <w:rtl/>
        </w:rPr>
        <w:t xml:space="preserve">ة </w:t>
      </w:r>
      <w:r w:rsidRPr="00FD211F">
        <w:rPr>
          <w:sz w:val="36"/>
          <w:szCs w:val="36"/>
          <w:rtl/>
        </w:rPr>
        <w:t>الجامع بين مراتب الأركان</w:t>
      </w:r>
      <w:r w:rsidR="00603323" w:rsidRPr="00FD211F">
        <w:rPr>
          <w:sz w:val="36"/>
          <w:szCs w:val="36"/>
          <w:rtl/>
        </w:rPr>
        <w:t xml:space="preserve">، </w:t>
      </w:r>
      <w:r w:rsidRPr="00FD211F">
        <w:rPr>
          <w:sz w:val="36"/>
          <w:szCs w:val="36"/>
          <w:rtl/>
        </w:rPr>
        <w:t>ولأجل ذلك</w:t>
      </w:r>
      <w:r w:rsidR="008D7B3D" w:rsidRPr="00FD211F">
        <w:rPr>
          <w:sz w:val="36"/>
          <w:szCs w:val="36"/>
          <w:rtl/>
        </w:rPr>
        <w:t xml:space="preserve"> لم‌</w:t>
      </w:r>
      <w:r w:rsidRPr="00FD211F">
        <w:rPr>
          <w:sz w:val="36"/>
          <w:szCs w:val="36"/>
          <w:rtl/>
        </w:rPr>
        <w:t>يذكر القيام حال تكبير</w:t>
      </w:r>
      <w:r w:rsidR="00EC7EDF" w:rsidRPr="00FD211F">
        <w:rPr>
          <w:sz w:val="36"/>
          <w:szCs w:val="36"/>
          <w:rtl/>
        </w:rPr>
        <w:t xml:space="preserve">ة </w:t>
      </w:r>
      <w:r w:rsidRPr="00FD211F">
        <w:rPr>
          <w:sz w:val="36"/>
          <w:szCs w:val="36"/>
          <w:rtl/>
        </w:rPr>
        <w:t>الاحرام والقيام قبل الركوع والوقت والقبل</w:t>
      </w:r>
      <w:r w:rsidR="00EC7EDF" w:rsidRPr="00FD211F">
        <w:rPr>
          <w:sz w:val="36"/>
          <w:szCs w:val="36"/>
          <w:rtl/>
        </w:rPr>
        <w:t>ة</w:t>
      </w:r>
      <w:r w:rsidR="00603323" w:rsidRPr="00FD211F">
        <w:rPr>
          <w:sz w:val="36"/>
          <w:szCs w:val="36"/>
          <w:rtl/>
        </w:rPr>
        <w:t xml:space="preserve">، </w:t>
      </w:r>
      <w:r w:rsidRPr="00FD211F">
        <w:rPr>
          <w:sz w:val="36"/>
          <w:szCs w:val="36"/>
          <w:rtl/>
        </w:rPr>
        <w:t>لإمكان وجود صلا</w:t>
      </w:r>
      <w:r w:rsidR="00EC7EDF" w:rsidRPr="00FD211F">
        <w:rPr>
          <w:sz w:val="36"/>
          <w:szCs w:val="36"/>
          <w:rtl/>
        </w:rPr>
        <w:t xml:space="preserve">ة </w:t>
      </w:r>
      <w:r w:rsidRPr="00FD211F">
        <w:rPr>
          <w:sz w:val="36"/>
          <w:szCs w:val="36"/>
          <w:rtl/>
        </w:rPr>
        <w:t>صحيح</w:t>
      </w:r>
      <w:r w:rsidR="00EC7EDF" w:rsidRPr="00FD211F">
        <w:rPr>
          <w:sz w:val="36"/>
          <w:szCs w:val="36"/>
          <w:rtl/>
        </w:rPr>
        <w:t xml:space="preserve">ة </w:t>
      </w:r>
      <w:r w:rsidRPr="00FD211F">
        <w:rPr>
          <w:sz w:val="36"/>
          <w:szCs w:val="36"/>
          <w:rtl/>
        </w:rPr>
        <w:t>فاقد</w:t>
      </w:r>
      <w:r w:rsidR="00EC7EDF" w:rsidRPr="00FD211F">
        <w:rPr>
          <w:sz w:val="36"/>
          <w:szCs w:val="36"/>
          <w:rtl/>
        </w:rPr>
        <w:t xml:space="preserve">ة </w:t>
      </w:r>
      <w:r w:rsidRPr="00FD211F">
        <w:rPr>
          <w:sz w:val="36"/>
          <w:szCs w:val="36"/>
          <w:rtl/>
        </w:rPr>
        <w:t>لهذه الأمور</w:t>
      </w:r>
      <w:r w:rsidR="00603323" w:rsidRPr="00FD211F">
        <w:rPr>
          <w:sz w:val="36"/>
          <w:szCs w:val="36"/>
          <w:rtl/>
        </w:rPr>
        <w:t xml:space="preserve">، </w:t>
      </w:r>
      <w:r w:rsidRPr="00FD211F">
        <w:rPr>
          <w:sz w:val="36"/>
          <w:szCs w:val="36"/>
          <w:rtl/>
        </w:rPr>
        <w:t>وعليه فلو أتى القادر على القيام بالصلا</w:t>
      </w:r>
      <w:r w:rsidR="00EC7EDF" w:rsidRPr="00FD211F">
        <w:rPr>
          <w:sz w:val="36"/>
          <w:szCs w:val="36"/>
          <w:rtl/>
        </w:rPr>
        <w:t xml:space="preserve">ة </w:t>
      </w:r>
      <w:r w:rsidRPr="00FD211F">
        <w:rPr>
          <w:sz w:val="36"/>
          <w:szCs w:val="36"/>
          <w:rtl/>
        </w:rPr>
        <w:t>جالسا صدق عليها مسمى الصلا</w:t>
      </w:r>
      <w:r w:rsidR="00EC7EDF" w:rsidRPr="00FD211F">
        <w:rPr>
          <w:sz w:val="36"/>
          <w:szCs w:val="36"/>
          <w:rtl/>
        </w:rPr>
        <w:t>ة</w:t>
      </w:r>
      <w:r w:rsidR="00603323" w:rsidRPr="00FD211F">
        <w:rPr>
          <w:sz w:val="36"/>
          <w:szCs w:val="36"/>
          <w:rtl/>
        </w:rPr>
        <w:t xml:space="preserve">، </w:t>
      </w:r>
      <w:r w:rsidRPr="00FD211F">
        <w:rPr>
          <w:sz w:val="36"/>
          <w:szCs w:val="36"/>
          <w:rtl/>
        </w:rPr>
        <w:t>ولكن</w:t>
      </w:r>
      <w:r w:rsidR="008D7B3D" w:rsidRPr="00FD211F">
        <w:rPr>
          <w:sz w:val="36"/>
          <w:szCs w:val="36"/>
          <w:rtl/>
        </w:rPr>
        <w:t xml:space="preserve"> لم‌</w:t>
      </w:r>
      <w:r w:rsidRPr="00FD211F">
        <w:rPr>
          <w:sz w:val="36"/>
          <w:szCs w:val="36"/>
          <w:rtl/>
        </w:rPr>
        <w:t>يعرف انه لو صلى القادر على الركوع والسجود الاختياريين موميا الى الركوع والسجود فهل يرى</w:t>
      </w:r>
      <w:r w:rsidR="00A61BAE" w:rsidRPr="00FD211F">
        <w:rPr>
          <w:sz w:val="36"/>
          <w:szCs w:val="36"/>
          <w:rtl/>
        </w:rPr>
        <w:t xml:space="preserve"> </w:t>
      </w:r>
      <w:r w:rsidR="00662BCB" w:rsidRPr="00FD211F">
        <w:rPr>
          <w:sz w:val="36"/>
          <w:szCs w:val="36"/>
          <w:rtl/>
        </w:rPr>
        <w:t>"قده"</w:t>
      </w:r>
      <w:r w:rsidR="00A61BAE" w:rsidRPr="00FD211F">
        <w:rPr>
          <w:sz w:val="36"/>
          <w:szCs w:val="36"/>
          <w:rtl/>
        </w:rPr>
        <w:t xml:space="preserve"> </w:t>
      </w:r>
      <w:r w:rsidRPr="00FD211F">
        <w:rPr>
          <w:sz w:val="36"/>
          <w:szCs w:val="36"/>
          <w:rtl/>
        </w:rPr>
        <w:t>تحقق المسمى بذلك ام لا</w:t>
      </w:r>
      <w:r w:rsidR="00603323" w:rsidRPr="00FD211F">
        <w:rPr>
          <w:sz w:val="36"/>
          <w:szCs w:val="36"/>
          <w:rtl/>
        </w:rPr>
        <w:t xml:space="preserve">، </w:t>
      </w:r>
      <w:r w:rsidRPr="00FD211F">
        <w:rPr>
          <w:sz w:val="36"/>
          <w:szCs w:val="36"/>
          <w:rtl/>
        </w:rPr>
        <w:t>فقد يمنع عن تحقق المسمى بدعوى ان الإيماء ليس ركوعا ولاسجودا عرفا</w:t>
      </w:r>
      <w:r w:rsidR="00603323" w:rsidRPr="00FD211F">
        <w:rPr>
          <w:sz w:val="36"/>
          <w:szCs w:val="36"/>
          <w:rtl/>
        </w:rPr>
        <w:t xml:space="preserve">، </w:t>
      </w:r>
      <w:r w:rsidRPr="00FD211F">
        <w:rPr>
          <w:sz w:val="36"/>
          <w:szCs w:val="36"/>
          <w:rtl/>
        </w:rPr>
        <w:t>وانما نزل منزلتهما شرعا في خصوص العاجز دون غيره</w:t>
      </w:r>
      <w:r w:rsidR="00603323" w:rsidRPr="00FD211F">
        <w:rPr>
          <w:sz w:val="36"/>
          <w:szCs w:val="36"/>
          <w:rtl/>
        </w:rPr>
        <w:t xml:space="preserve">، </w:t>
      </w:r>
      <w:r w:rsidRPr="00FD211F">
        <w:rPr>
          <w:sz w:val="36"/>
          <w:szCs w:val="36"/>
          <w:rtl/>
        </w:rPr>
        <w:t>وكذا لو أشار غير الأخرس مكان تكبير</w:t>
      </w:r>
      <w:r w:rsidR="00EC7EDF" w:rsidRPr="00FD211F">
        <w:rPr>
          <w:sz w:val="36"/>
          <w:szCs w:val="36"/>
          <w:rtl/>
        </w:rPr>
        <w:t xml:space="preserve">ة </w:t>
      </w:r>
      <w:r w:rsidRPr="00FD211F">
        <w:rPr>
          <w:sz w:val="36"/>
          <w:szCs w:val="36"/>
          <w:rtl/>
        </w:rPr>
        <w:t>الإحرام</w:t>
      </w:r>
      <w:r w:rsidR="00603323" w:rsidRPr="00FD211F">
        <w:rPr>
          <w:sz w:val="36"/>
          <w:szCs w:val="36"/>
          <w:rtl/>
        </w:rPr>
        <w:t xml:space="preserve">، </w:t>
      </w:r>
      <w:r w:rsidR="009977FE" w:rsidRPr="00FD211F">
        <w:rPr>
          <w:sz w:val="36"/>
          <w:szCs w:val="36"/>
          <w:rtl/>
        </w:rPr>
        <w:t>و</w:t>
      </w:r>
      <w:r w:rsidR="008D7B3D" w:rsidRPr="00FD211F">
        <w:rPr>
          <w:sz w:val="36"/>
          <w:szCs w:val="36"/>
          <w:rtl/>
        </w:rPr>
        <w:t xml:space="preserve"> لم‌</w:t>
      </w:r>
      <w:r w:rsidRPr="00FD211F">
        <w:rPr>
          <w:sz w:val="36"/>
          <w:szCs w:val="36"/>
          <w:rtl/>
        </w:rPr>
        <w:t>يعرف أيضا انه لو أتى المتمكن من الوضوء بالصلا</w:t>
      </w:r>
      <w:r w:rsidR="00EC7EDF" w:rsidRPr="00FD211F">
        <w:rPr>
          <w:sz w:val="36"/>
          <w:szCs w:val="36"/>
          <w:rtl/>
        </w:rPr>
        <w:t xml:space="preserve">ة </w:t>
      </w:r>
      <w:r w:rsidRPr="00FD211F">
        <w:rPr>
          <w:sz w:val="36"/>
          <w:szCs w:val="36"/>
          <w:rtl/>
        </w:rPr>
        <w:t>مع التيمم</w:t>
      </w:r>
      <w:r w:rsidR="00603323" w:rsidRPr="00FD211F">
        <w:rPr>
          <w:sz w:val="36"/>
          <w:szCs w:val="36"/>
          <w:rtl/>
        </w:rPr>
        <w:t xml:space="preserve">، </w:t>
      </w:r>
      <w:r w:rsidRPr="00FD211F">
        <w:rPr>
          <w:sz w:val="36"/>
          <w:szCs w:val="36"/>
          <w:rtl/>
        </w:rPr>
        <w:t>فهل يرى تحقق المسمى بذلك ام لا</w:t>
      </w:r>
      <w:r w:rsidR="00603323" w:rsidRPr="00FD211F">
        <w:rPr>
          <w:sz w:val="36"/>
          <w:szCs w:val="36"/>
          <w:rtl/>
        </w:rPr>
        <w:t xml:space="preserve">، </w:t>
      </w:r>
      <w:r w:rsidRPr="00FD211F">
        <w:rPr>
          <w:sz w:val="36"/>
          <w:szCs w:val="36"/>
          <w:rtl/>
        </w:rPr>
        <w:t>فانه ان أريد من الطهور الطهور الفعلي كما لعله ظاهر صحيح</w:t>
      </w:r>
      <w:r w:rsidR="00EC7EDF" w:rsidRPr="00FD211F">
        <w:rPr>
          <w:sz w:val="36"/>
          <w:szCs w:val="36"/>
          <w:rtl/>
        </w:rPr>
        <w:t xml:space="preserve">ة </w:t>
      </w:r>
      <w:r w:rsidRPr="00FD211F">
        <w:rPr>
          <w:sz w:val="36"/>
          <w:szCs w:val="36"/>
          <w:rtl/>
        </w:rPr>
        <w:t>الحلبي فصلاته فاقد</w:t>
      </w:r>
      <w:r w:rsidR="00EC7EDF" w:rsidRPr="00FD211F">
        <w:rPr>
          <w:sz w:val="36"/>
          <w:szCs w:val="36"/>
          <w:rtl/>
        </w:rPr>
        <w:t xml:space="preserve">ة </w:t>
      </w:r>
      <w:r w:rsidRPr="00FD211F">
        <w:rPr>
          <w:sz w:val="36"/>
          <w:szCs w:val="36"/>
          <w:rtl/>
        </w:rPr>
        <w:t>له</w:t>
      </w:r>
      <w:r w:rsidR="00603323" w:rsidRPr="00FD211F">
        <w:rPr>
          <w:sz w:val="36"/>
          <w:szCs w:val="36"/>
          <w:rtl/>
        </w:rPr>
        <w:t xml:space="preserve">، </w:t>
      </w:r>
      <w:r w:rsidRPr="00FD211F">
        <w:rPr>
          <w:sz w:val="36"/>
          <w:szCs w:val="36"/>
          <w:rtl/>
        </w:rPr>
        <w:t>وان اريد به الجامع بين الوضوء والتيمم فصلاته واجد</w:t>
      </w:r>
      <w:r w:rsidR="00EC7EDF" w:rsidRPr="00FD211F">
        <w:rPr>
          <w:sz w:val="36"/>
          <w:szCs w:val="36"/>
          <w:rtl/>
        </w:rPr>
        <w:t xml:space="preserve">ة </w:t>
      </w:r>
      <w:r w:rsidRPr="00FD211F">
        <w:rPr>
          <w:sz w:val="36"/>
          <w:szCs w:val="36"/>
          <w:rtl/>
        </w:rPr>
        <w:t>للتيمم وان كان تيممه فاسدا لفرض تمكنه من الوضوء.</w:t>
      </w:r>
    </w:p>
    <w:p w14:paraId="42BB64C6" w14:textId="77777777" w:rsidR="00052BF2" w:rsidRPr="00FD211F" w:rsidRDefault="00052BF2" w:rsidP="009C58C8">
      <w:pPr>
        <w:ind w:left="0" w:firstLine="227"/>
        <w:jc w:val="both"/>
        <w:rPr>
          <w:sz w:val="36"/>
          <w:szCs w:val="36"/>
          <w:rtl/>
        </w:rPr>
      </w:pPr>
      <w:r w:rsidRPr="00FD211F">
        <w:rPr>
          <w:sz w:val="36"/>
          <w:szCs w:val="36"/>
          <w:rtl/>
        </w:rPr>
        <w:t>5- ان من جمل</w:t>
      </w:r>
      <w:r w:rsidR="00EC7EDF" w:rsidRPr="00FD211F">
        <w:rPr>
          <w:sz w:val="36"/>
          <w:szCs w:val="36"/>
          <w:rtl/>
        </w:rPr>
        <w:t xml:space="preserve">ة </w:t>
      </w:r>
      <w:r w:rsidRPr="00FD211F">
        <w:rPr>
          <w:sz w:val="36"/>
          <w:szCs w:val="36"/>
          <w:rtl/>
        </w:rPr>
        <w:t>انواع الصلا</w:t>
      </w:r>
      <w:r w:rsidR="00EC7EDF" w:rsidRPr="00FD211F">
        <w:rPr>
          <w:sz w:val="36"/>
          <w:szCs w:val="36"/>
          <w:rtl/>
        </w:rPr>
        <w:t xml:space="preserve">ة </w:t>
      </w:r>
      <w:r w:rsidRPr="00FD211F">
        <w:rPr>
          <w:sz w:val="36"/>
          <w:szCs w:val="36"/>
          <w:rtl/>
        </w:rPr>
        <w:t>صلا</w:t>
      </w:r>
      <w:r w:rsidR="00EC7EDF" w:rsidRPr="00FD211F">
        <w:rPr>
          <w:sz w:val="36"/>
          <w:szCs w:val="36"/>
          <w:rtl/>
        </w:rPr>
        <w:t xml:space="preserve">ة </w:t>
      </w:r>
      <w:r w:rsidRPr="00FD211F">
        <w:rPr>
          <w:sz w:val="36"/>
          <w:szCs w:val="36"/>
          <w:rtl/>
        </w:rPr>
        <w:t>الميت وهي لاتشتمل على الركوع والسجود والطهور</w:t>
      </w:r>
      <w:r w:rsidR="00603323" w:rsidRPr="00FD211F">
        <w:rPr>
          <w:sz w:val="36"/>
          <w:szCs w:val="36"/>
          <w:rtl/>
        </w:rPr>
        <w:t xml:space="preserve">، </w:t>
      </w:r>
      <w:r w:rsidRPr="00FD211F">
        <w:rPr>
          <w:sz w:val="36"/>
          <w:szCs w:val="36"/>
          <w:rtl/>
        </w:rPr>
        <w:t>ولاوجه لدعوى كونها دعاء محضا وان اطلاق لفظ الصلا</w:t>
      </w:r>
      <w:r w:rsidR="00EC7EDF" w:rsidRPr="00FD211F">
        <w:rPr>
          <w:sz w:val="36"/>
          <w:szCs w:val="36"/>
          <w:rtl/>
        </w:rPr>
        <w:t xml:space="preserve">ة </w:t>
      </w:r>
      <w:r w:rsidRPr="00FD211F">
        <w:rPr>
          <w:sz w:val="36"/>
          <w:szCs w:val="36"/>
          <w:rtl/>
        </w:rPr>
        <w:t>عليها بالعناي</w:t>
      </w:r>
      <w:r w:rsidR="00EC7EDF" w:rsidRPr="00FD211F">
        <w:rPr>
          <w:sz w:val="36"/>
          <w:szCs w:val="36"/>
          <w:rtl/>
        </w:rPr>
        <w:t xml:space="preserve">ة </w:t>
      </w:r>
      <w:r w:rsidR="00F008CF" w:rsidRPr="00FD211F">
        <w:rPr>
          <w:sz w:val="36"/>
          <w:szCs w:val="36"/>
          <w:rtl/>
        </w:rPr>
        <w:t>والمجاز</w:t>
      </w:r>
      <w:r w:rsidR="00603323" w:rsidRPr="00FD211F">
        <w:rPr>
          <w:sz w:val="36"/>
          <w:szCs w:val="36"/>
          <w:rtl/>
        </w:rPr>
        <w:t xml:space="preserve">، </w:t>
      </w:r>
      <w:r w:rsidR="00F008CF" w:rsidRPr="00FD211F">
        <w:rPr>
          <w:sz w:val="36"/>
          <w:szCs w:val="36"/>
          <w:rtl/>
        </w:rPr>
        <w:t>فانه لات</w:t>
      </w:r>
      <w:r w:rsidRPr="00FD211F">
        <w:rPr>
          <w:sz w:val="36"/>
          <w:szCs w:val="36"/>
          <w:rtl/>
        </w:rPr>
        <w:t>وجد بحسب المرتكز أي</w:t>
      </w:r>
      <w:r w:rsidR="00F008CF" w:rsidRPr="00FD211F">
        <w:rPr>
          <w:sz w:val="36"/>
          <w:szCs w:val="36"/>
          <w:rtl/>
        </w:rPr>
        <w:t>ة</w:t>
      </w:r>
      <w:r w:rsidRPr="00FD211F">
        <w:rPr>
          <w:sz w:val="36"/>
          <w:szCs w:val="36"/>
          <w:rtl/>
        </w:rPr>
        <w:t xml:space="preserve"> عناي</w:t>
      </w:r>
      <w:r w:rsidR="00EC7EDF" w:rsidRPr="00FD211F">
        <w:rPr>
          <w:sz w:val="36"/>
          <w:szCs w:val="36"/>
          <w:rtl/>
        </w:rPr>
        <w:t xml:space="preserve">ة </w:t>
      </w:r>
      <w:r w:rsidRPr="00FD211F">
        <w:rPr>
          <w:sz w:val="36"/>
          <w:szCs w:val="36"/>
          <w:rtl/>
        </w:rPr>
        <w:t>في حمل لفظ الصلا</w:t>
      </w:r>
      <w:r w:rsidR="00EC7EDF" w:rsidRPr="00FD211F">
        <w:rPr>
          <w:sz w:val="36"/>
          <w:szCs w:val="36"/>
          <w:rtl/>
        </w:rPr>
        <w:t xml:space="preserve">ة </w:t>
      </w:r>
      <w:r w:rsidRPr="00FD211F">
        <w:rPr>
          <w:sz w:val="36"/>
          <w:szCs w:val="36"/>
          <w:rtl/>
        </w:rPr>
        <w:t>عليها</w:t>
      </w:r>
      <w:r w:rsidR="00603323" w:rsidRPr="00FD211F">
        <w:rPr>
          <w:sz w:val="36"/>
          <w:szCs w:val="36"/>
          <w:rtl/>
        </w:rPr>
        <w:t xml:space="preserve">، </w:t>
      </w:r>
      <w:r w:rsidRPr="00FD211F">
        <w:rPr>
          <w:sz w:val="36"/>
          <w:szCs w:val="36"/>
          <w:rtl/>
        </w:rPr>
        <w:t>كما يقال لها في الفارسي</w:t>
      </w:r>
      <w:r w:rsidR="00EC7EDF" w:rsidRPr="00FD211F">
        <w:rPr>
          <w:sz w:val="36"/>
          <w:szCs w:val="36"/>
          <w:rtl/>
        </w:rPr>
        <w:t xml:space="preserve">ة </w:t>
      </w:r>
      <w:r w:rsidRPr="00FD211F">
        <w:rPr>
          <w:sz w:val="36"/>
          <w:szCs w:val="36"/>
          <w:rtl/>
        </w:rPr>
        <w:t>"نماز ميت"</w:t>
      </w:r>
      <w:r w:rsidR="00603323" w:rsidRPr="00FD211F">
        <w:rPr>
          <w:sz w:val="36"/>
          <w:szCs w:val="36"/>
          <w:rtl/>
        </w:rPr>
        <w:t xml:space="preserve">، </w:t>
      </w:r>
      <w:r w:rsidRPr="00FD211F">
        <w:rPr>
          <w:sz w:val="36"/>
          <w:szCs w:val="36"/>
          <w:rtl/>
        </w:rPr>
        <w:t>ويشهد على ذلك ما في صحيح</w:t>
      </w:r>
      <w:r w:rsidR="00EC7EDF" w:rsidRPr="00FD211F">
        <w:rPr>
          <w:sz w:val="36"/>
          <w:szCs w:val="36"/>
          <w:rtl/>
        </w:rPr>
        <w:t xml:space="preserve">ة </w:t>
      </w:r>
      <w:r w:rsidRPr="00FD211F">
        <w:rPr>
          <w:sz w:val="36"/>
          <w:szCs w:val="36"/>
          <w:rtl/>
        </w:rPr>
        <w:t>زرار</w:t>
      </w:r>
      <w:r w:rsidR="00EC7EDF" w:rsidRPr="00FD211F">
        <w:rPr>
          <w:sz w:val="36"/>
          <w:szCs w:val="36"/>
          <w:rtl/>
        </w:rPr>
        <w:t xml:space="preserve">ة </w:t>
      </w:r>
      <w:r w:rsidRPr="00FD211F">
        <w:rPr>
          <w:sz w:val="36"/>
          <w:szCs w:val="36"/>
          <w:rtl/>
        </w:rPr>
        <w:t xml:space="preserve">قال: قال أبو جعفر </w:t>
      </w:r>
      <w:r w:rsidR="007A4A0D" w:rsidRPr="00FD211F">
        <w:rPr>
          <w:sz w:val="36"/>
          <w:szCs w:val="36"/>
          <w:rtl/>
        </w:rPr>
        <w:t>(عليه‌السلام)</w:t>
      </w:r>
      <w:r w:rsidRPr="00FD211F">
        <w:rPr>
          <w:sz w:val="36"/>
          <w:szCs w:val="36"/>
          <w:rtl/>
        </w:rPr>
        <w:t>: فرض الله الصلا</w:t>
      </w:r>
      <w:r w:rsidR="00EC7EDF" w:rsidRPr="00FD211F">
        <w:rPr>
          <w:sz w:val="36"/>
          <w:szCs w:val="36"/>
          <w:rtl/>
        </w:rPr>
        <w:t xml:space="preserve">ة </w:t>
      </w:r>
      <w:r w:rsidRPr="00FD211F">
        <w:rPr>
          <w:sz w:val="36"/>
          <w:szCs w:val="36"/>
          <w:rtl/>
        </w:rPr>
        <w:t xml:space="preserve">وسن رسول الله </w:t>
      </w:r>
      <w:r w:rsidR="007A4A0D" w:rsidRPr="00FD211F">
        <w:rPr>
          <w:sz w:val="36"/>
          <w:szCs w:val="36"/>
          <w:rtl/>
        </w:rPr>
        <w:t>(صلى‌الله‌عليه‌وآله)</w:t>
      </w:r>
      <w:r w:rsidRPr="00FD211F">
        <w:rPr>
          <w:sz w:val="36"/>
          <w:szCs w:val="36"/>
          <w:rtl/>
        </w:rPr>
        <w:t xml:space="preserve"> على عشر</w:t>
      </w:r>
      <w:r w:rsidR="00EC7EDF" w:rsidRPr="00FD211F">
        <w:rPr>
          <w:sz w:val="36"/>
          <w:szCs w:val="36"/>
          <w:rtl/>
        </w:rPr>
        <w:t xml:space="preserve">ة </w:t>
      </w:r>
      <w:r w:rsidRPr="00FD211F">
        <w:rPr>
          <w:sz w:val="36"/>
          <w:szCs w:val="36"/>
          <w:rtl/>
        </w:rPr>
        <w:t>أوجه: صلا</w:t>
      </w:r>
      <w:r w:rsidR="00EC7EDF" w:rsidRPr="00FD211F">
        <w:rPr>
          <w:sz w:val="36"/>
          <w:szCs w:val="36"/>
          <w:rtl/>
        </w:rPr>
        <w:t xml:space="preserve">ة </w:t>
      </w:r>
      <w:r w:rsidRPr="00FD211F">
        <w:rPr>
          <w:sz w:val="36"/>
          <w:szCs w:val="36"/>
          <w:rtl/>
        </w:rPr>
        <w:t>السفر والحضر</w:t>
      </w:r>
      <w:r w:rsidR="00603323" w:rsidRPr="00FD211F">
        <w:rPr>
          <w:sz w:val="36"/>
          <w:szCs w:val="36"/>
          <w:rtl/>
        </w:rPr>
        <w:t xml:space="preserve">، </w:t>
      </w:r>
      <w:r w:rsidRPr="00FD211F">
        <w:rPr>
          <w:sz w:val="36"/>
          <w:szCs w:val="36"/>
          <w:rtl/>
        </w:rPr>
        <w:t>وصلا</w:t>
      </w:r>
      <w:r w:rsidR="00EC7EDF" w:rsidRPr="00FD211F">
        <w:rPr>
          <w:sz w:val="36"/>
          <w:szCs w:val="36"/>
          <w:rtl/>
        </w:rPr>
        <w:t xml:space="preserve">ة </w:t>
      </w:r>
      <w:r w:rsidRPr="00FD211F">
        <w:rPr>
          <w:sz w:val="36"/>
          <w:szCs w:val="36"/>
          <w:rtl/>
        </w:rPr>
        <w:t>الخوف على ثلاث</w:t>
      </w:r>
      <w:r w:rsidR="00EC7EDF" w:rsidRPr="00FD211F">
        <w:rPr>
          <w:sz w:val="36"/>
          <w:szCs w:val="36"/>
          <w:rtl/>
        </w:rPr>
        <w:t xml:space="preserve">ة </w:t>
      </w:r>
      <w:r w:rsidRPr="00FD211F">
        <w:rPr>
          <w:sz w:val="36"/>
          <w:szCs w:val="36"/>
          <w:rtl/>
        </w:rPr>
        <w:t>أوجه</w:t>
      </w:r>
      <w:r w:rsidR="00603323" w:rsidRPr="00FD211F">
        <w:rPr>
          <w:sz w:val="36"/>
          <w:szCs w:val="36"/>
          <w:rtl/>
        </w:rPr>
        <w:t xml:space="preserve">، </w:t>
      </w:r>
      <w:r w:rsidRPr="00FD211F">
        <w:rPr>
          <w:sz w:val="36"/>
          <w:szCs w:val="36"/>
          <w:rtl/>
        </w:rPr>
        <w:t>وصلا</w:t>
      </w:r>
      <w:r w:rsidR="00EC7EDF" w:rsidRPr="00FD211F">
        <w:rPr>
          <w:sz w:val="36"/>
          <w:szCs w:val="36"/>
          <w:rtl/>
        </w:rPr>
        <w:t xml:space="preserve">ة </w:t>
      </w:r>
      <w:r w:rsidRPr="00FD211F">
        <w:rPr>
          <w:sz w:val="36"/>
          <w:szCs w:val="36"/>
          <w:rtl/>
        </w:rPr>
        <w:t>كسوف الشمس والقمر</w:t>
      </w:r>
      <w:r w:rsidR="00603323" w:rsidRPr="00FD211F">
        <w:rPr>
          <w:sz w:val="36"/>
          <w:szCs w:val="36"/>
          <w:rtl/>
        </w:rPr>
        <w:t xml:space="preserve">، </w:t>
      </w:r>
      <w:r w:rsidRPr="00FD211F">
        <w:rPr>
          <w:sz w:val="36"/>
          <w:szCs w:val="36"/>
          <w:rtl/>
        </w:rPr>
        <w:t>وصلا</w:t>
      </w:r>
      <w:r w:rsidR="00EC7EDF" w:rsidRPr="00FD211F">
        <w:rPr>
          <w:sz w:val="36"/>
          <w:szCs w:val="36"/>
          <w:rtl/>
        </w:rPr>
        <w:t xml:space="preserve">ة </w:t>
      </w:r>
      <w:r w:rsidRPr="00FD211F">
        <w:rPr>
          <w:sz w:val="36"/>
          <w:szCs w:val="36"/>
          <w:rtl/>
        </w:rPr>
        <w:t>العيدين وصلا</w:t>
      </w:r>
      <w:r w:rsidR="00EC7EDF" w:rsidRPr="00FD211F">
        <w:rPr>
          <w:sz w:val="36"/>
          <w:szCs w:val="36"/>
          <w:rtl/>
        </w:rPr>
        <w:t xml:space="preserve">ة </w:t>
      </w:r>
      <w:r w:rsidRPr="00FD211F">
        <w:rPr>
          <w:sz w:val="36"/>
          <w:szCs w:val="36"/>
          <w:rtl/>
        </w:rPr>
        <w:t>الاستسقاء</w:t>
      </w:r>
      <w:r w:rsidR="00603323" w:rsidRPr="00FD211F">
        <w:rPr>
          <w:sz w:val="36"/>
          <w:szCs w:val="36"/>
          <w:rtl/>
        </w:rPr>
        <w:t xml:space="preserve">، </w:t>
      </w:r>
      <w:r w:rsidRPr="00FD211F">
        <w:rPr>
          <w:sz w:val="36"/>
          <w:szCs w:val="36"/>
          <w:rtl/>
        </w:rPr>
        <w:t>والصلا</w:t>
      </w:r>
      <w:r w:rsidR="00EC7EDF" w:rsidRPr="00FD211F">
        <w:rPr>
          <w:sz w:val="36"/>
          <w:szCs w:val="36"/>
          <w:rtl/>
        </w:rPr>
        <w:t xml:space="preserve">ة </w:t>
      </w:r>
      <w:r w:rsidRPr="00FD211F">
        <w:rPr>
          <w:sz w:val="36"/>
          <w:szCs w:val="36"/>
          <w:rtl/>
        </w:rPr>
        <w:t>على الميت</w:t>
      </w:r>
      <w:r w:rsidR="009C58C8" w:rsidRPr="00FD211F">
        <w:rPr>
          <w:rStyle w:val="a6"/>
          <w:sz w:val="36"/>
          <w:szCs w:val="36"/>
          <w:rtl/>
        </w:rPr>
        <w:t>(</w:t>
      </w:r>
      <w:r w:rsidR="009C58C8" w:rsidRPr="00FD211F">
        <w:rPr>
          <w:rStyle w:val="a6"/>
          <w:sz w:val="36"/>
          <w:szCs w:val="36"/>
          <w:rtl/>
        </w:rPr>
        <w:footnoteReference w:id="395"/>
      </w:r>
      <w:r w:rsidR="009C58C8" w:rsidRPr="00FD211F">
        <w:rPr>
          <w:rStyle w:val="a6"/>
          <w:sz w:val="36"/>
          <w:szCs w:val="36"/>
          <w:rtl/>
        </w:rPr>
        <w:t>)</w:t>
      </w:r>
      <w:r w:rsidR="00603323" w:rsidRPr="00FD211F">
        <w:rPr>
          <w:sz w:val="36"/>
          <w:szCs w:val="36"/>
          <w:rtl/>
        </w:rPr>
        <w:t xml:space="preserve">، </w:t>
      </w:r>
      <w:r w:rsidRPr="00FD211F">
        <w:rPr>
          <w:sz w:val="36"/>
          <w:szCs w:val="36"/>
          <w:rtl/>
        </w:rPr>
        <w:t>ونظيرها رواي</w:t>
      </w:r>
      <w:r w:rsidR="00EC7EDF" w:rsidRPr="00FD211F">
        <w:rPr>
          <w:sz w:val="36"/>
          <w:szCs w:val="36"/>
          <w:rtl/>
        </w:rPr>
        <w:t xml:space="preserve">ة </w:t>
      </w:r>
      <w:r w:rsidR="009660BB" w:rsidRPr="00FD211F">
        <w:rPr>
          <w:sz w:val="36"/>
          <w:szCs w:val="36"/>
          <w:rtl/>
        </w:rPr>
        <w:t>ال</w:t>
      </w:r>
      <w:r w:rsidRPr="00FD211F">
        <w:rPr>
          <w:sz w:val="36"/>
          <w:szCs w:val="36"/>
          <w:rtl/>
        </w:rPr>
        <w:t>حسين بن علوان</w:t>
      </w:r>
      <w:r w:rsidR="009C58C8" w:rsidRPr="00FD211F">
        <w:rPr>
          <w:rStyle w:val="a6"/>
          <w:sz w:val="36"/>
          <w:szCs w:val="36"/>
          <w:rtl/>
        </w:rPr>
        <w:t>(</w:t>
      </w:r>
      <w:r w:rsidR="009C58C8" w:rsidRPr="00FD211F">
        <w:rPr>
          <w:rStyle w:val="a6"/>
          <w:sz w:val="36"/>
          <w:szCs w:val="36"/>
          <w:rtl/>
        </w:rPr>
        <w:footnoteReference w:id="396"/>
      </w:r>
      <w:r w:rsidR="009C58C8" w:rsidRPr="00FD211F">
        <w:rPr>
          <w:rStyle w:val="a6"/>
          <w:sz w:val="36"/>
          <w:szCs w:val="36"/>
          <w:rtl/>
        </w:rPr>
        <w:t>)</w:t>
      </w:r>
      <w:r w:rsidR="00603323" w:rsidRPr="00FD211F">
        <w:rPr>
          <w:sz w:val="36"/>
          <w:szCs w:val="36"/>
          <w:rtl/>
        </w:rPr>
        <w:t xml:space="preserve">، </w:t>
      </w:r>
      <w:r w:rsidRPr="00FD211F">
        <w:rPr>
          <w:sz w:val="36"/>
          <w:szCs w:val="36"/>
          <w:rtl/>
        </w:rPr>
        <w:t>واما معتبر</w:t>
      </w:r>
      <w:r w:rsidR="00EC7EDF" w:rsidRPr="00FD211F">
        <w:rPr>
          <w:sz w:val="36"/>
          <w:szCs w:val="36"/>
          <w:rtl/>
        </w:rPr>
        <w:t xml:space="preserve">ة </w:t>
      </w:r>
      <w:r w:rsidRPr="00FD211F">
        <w:rPr>
          <w:sz w:val="36"/>
          <w:szCs w:val="36"/>
          <w:rtl/>
        </w:rPr>
        <w:t xml:space="preserve">يونس بن يعقوب قال سألت اباعبدالله </w:t>
      </w:r>
      <w:r w:rsidR="007A4A0D" w:rsidRPr="00FD211F">
        <w:rPr>
          <w:sz w:val="36"/>
          <w:szCs w:val="36"/>
          <w:rtl/>
        </w:rPr>
        <w:t>(عليه‌السلام)</w:t>
      </w:r>
      <w:r w:rsidRPr="00FD211F">
        <w:rPr>
          <w:sz w:val="36"/>
          <w:szCs w:val="36"/>
          <w:rtl/>
        </w:rPr>
        <w:t xml:space="preserve"> قال سألته عن الجناز</w:t>
      </w:r>
      <w:r w:rsidR="00EC7EDF" w:rsidRPr="00FD211F">
        <w:rPr>
          <w:sz w:val="36"/>
          <w:szCs w:val="36"/>
          <w:rtl/>
        </w:rPr>
        <w:t xml:space="preserve">ة </w:t>
      </w:r>
      <w:r w:rsidRPr="00FD211F">
        <w:rPr>
          <w:sz w:val="36"/>
          <w:szCs w:val="36"/>
          <w:rtl/>
        </w:rPr>
        <w:t>اصلي عليها على غير وضوء؟ فقال: نعم</w:t>
      </w:r>
      <w:r w:rsidR="00603323" w:rsidRPr="00FD211F">
        <w:rPr>
          <w:sz w:val="36"/>
          <w:szCs w:val="36"/>
          <w:rtl/>
        </w:rPr>
        <w:t xml:space="preserve">، </w:t>
      </w:r>
      <w:r w:rsidRPr="00FD211F">
        <w:rPr>
          <w:sz w:val="36"/>
          <w:szCs w:val="36"/>
          <w:rtl/>
        </w:rPr>
        <w:t>إنما هو تكبير وتسبيح وتحميد وتهليل</w:t>
      </w:r>
      <w:r w:rsidR="009C58C8" w:rsidRPr="00FD211F">
        <w:rPr>
          <w:rStyle w:val="a6"/>
          <w:sz w:val="36"/>
          <w:szCs w:val="36"/>
          <w:rtl/>
        </w:rPr>
        <w:t>(</w:t>
      </w:r>
      <w:r w:rsidR="009C58C8" w:rsidRPr="00FD211F">
        <w:rPr>
          <w:rStyle w:val="a6"/>
          <w:sz w:val="36"/>
          <w:szCs w:val="36"/>
          <w:rtl/>
        </w:rPr>
        <w:footnoteReference w:id="397"/>
      </w:r>
      <w:r w:rsidR="009C58C8" w:rsidRPr="00FD211F">
        <w:rPr>
          <w:rStyle w:val="a6"/>
          <w:sz w:val="36"/>
          <w:szCs w:val="36"/>
          <w:rtl/>
        </w:rPr>
        <w:t>)</w:t>
      </w:r>
      <w:r w:rsidRPr="00FD211F">
        <w:rPr>
          <w:sz w:val="36"/>
          <w:szCs w:val="36"/>
          <w:rtl/>
        </w:rPr>
        <w:t xml:space="preserve"> فلايظهر منها نفي كونها صلا</w:t>
      </w:r>
      <w:r w:rsidR="00EC7EDF" w:rsidRPr="00FD211F">
        <w:rPr>
          <w:sz w:val="36"/>
          <w:szCs w:val="36"/>
          <w:rtl/>
        </w:rPr>
        <w:t>ة</w:t>
      </w:r>
      <w:r w:rsidR="00603323" w:rsidRPr="00FD211F">
        <w:rPr>
          <w:sz w:val="36"/>
          <w:szCs w:val="36"/>
          <w:rtl/>
        </w:rPr>
        <w:t xml:space="preserve">، </w:t>
      </w:r>
      <w:r w:rsidRPr="00FD211F">
        <w:rPr>
          <w:sz w:val="36"/>
          <w:szCs w:val="36"/>
          <w:rtl/>
        </w:rPr>
        <w:t>فانها نظير صحيح</w:t>
      </w:r>
      <w:r w:rsidR="00EC7EDF" w:rsidRPr="00FD211F">
        <w:rPr>
          <w:sz w:val="36"/>
          <w:szCs w:val="36"/>
          <w:rtl/>
        </w:rPr>
        <w:t xml:space="preserve">ة </w:t>
      </w:r>
      <w:r w:rsidRPr="00FD211F">
        <w:rPr>
          <w:sz w:val="36"/>
          <w:szCs w:val="36"/>
          <w:rtl/>
        </w:rPr>
        <w:t xml:space="preserve">محمد بن مسلم عن ابي جعفر </w:t>
      </w:r>
      <w:r w:rsidR="007A4A0D" w:rsidRPr="00FD211F">
        <w:rPr>
          <w:sz w:val="36"/>
          <w:szCs w:val="36"/>
          <w:rtl/>
        </w:rPr>
        <w:t>(عليه‌السلام)</w:t>
      </w:r>
      <w:r w:rsidRPr="00FD211F">
        <w:rPr>
          <w:sz w:val="36"/>
          <w:szCs w:val="36"/>
          <w:rtl/>
        </w:rPr>
        <w:t xml:space="preserve"> قال تصلي على الجناز</w:t>
      </w:r>
      <w:r w:rsidR="00EC7EDF" w:rsidRPr="00FD211F">
        <w:rPr>
          <w:sz w:val="36"/>
          <w:szCs w:val="36"/>
          <w:rtl/>
        </w:rPr>
        <w:t xml:space="preserve">ة </w:t>
      </w:r>
      <w:r w:rsidRPr="00FD211F">
        <w:rPr>
          <w:sz w:val="36"/>
          <w:szCs w:val="36"/>
          <w:rtl/>
        </w:rPr>
        <w:t>في كل ساع</w:t>
      </w:r>
      <w:r w:rsidR="00EC7EDF" w:rsidRPr="00FD211F">
        <w:rPr>
          <w:sz w:val="36"/>
          <w:szCs w:val="36"/>
          <w:rtl/>
        </w:rPr>
        <w:t>ة</w:t>
      </w:r>
      <w:r w:rsidR="00603323" w:rsidRPr="00FD211F">
        <w:rPr>
          <w:sz w:val="36"/>
          <w:szCs w:val="36"/>
          <w:rtl/>
        </w:rPr>
        <w:t xml:space="preserve">، </w:t>
      </w:r>
      <w:r w:rsidRPr="00FD211F">
        <w:rPr>
          <w:sz w:val="36"/>
          <w:szCs w:val="36"/>
          <w:rtl/>
        </w:rPr>
        <w:t>انها ليست بصلا</w:t>
      </w:r>
      <w:r w:rsidR="00EC7EDF" w:rsidRPr="00FD211F">
        <w:rPr>
          <w:sz w:val="36"/>
          <w:szCs w:val="36"/>
          <w:rtl/>
        </w:rPr>
        <w:t xml:space="preserve">ة </w:t>
      </w:r>
      <w:r w:rsidRPr="00FD211F">
        <w:rPr>
          <w:sz w:val="36"/>
          <w:szCs w:val="36"/>
          <w:rtl/>
        </w:rPr>
        <w:t>ركوع وسجود</w:t>
      </w:r>
      <w:r w:rsidR="009C58C8" w:rsidRPr="00FD211F">
        <w:rPr>
          <w:rStyle w:val="a6"/>
          <w:sz w:val="36"/>
          <w:szCs w:val="36"/>
          <w:rtl/>
        </w:rPr>
        <w:t>(</w:t>
      </w:r>
      <w:r w:rsidR="009C58C8" w:rsidRPr="00FD211F">
        <w:rPr>
          <w:rStyle w:val="a6"/>
          <w:sz w:val="36"/>
          <w:szCs w:val="36"/>
          <w:rtl/>
        </w:rPr>
        <w:footnoteReference w:id="398"/>
      </w:r>
      <w:r w:rsidR="009C58C8" w:rsidRPr="00FD211F">
        <w:rPr>
          <w:rStyle w:val="a6"/>
          <w:sz w:val="36"/>
          <w:szCs w:val="36"/>
          <w:rtl/>
        </w:rPr>
        <w:t>)</w:t>
      </w:r>
      <w:r w:rsidRPr="00FD211F">
        <w:rPr>
          <w:sz w:val="36"/>
          <w:szCs w:val="36"/>
          <w:rtl/>
        </w:rPr>
        <w:t>.</w:t>
      </w:r>
    </w:p>
    <w:p w14:paraId="2A15CB16" w14:textId="77777777" w:rsidR="00F008CF" w:rsidRPr="00FD211F" w:rsidRDefault="00052BF2" w:rsidP="009C58C8">
      <w:pPr>
        <w:ind w:left="0" w:firstLine="227"/>
        <w:jc w:val="both"/>
        <w:rPr>
          <w:sz w:val="36"/>
          <w:szCs w:val="36"/>
          <w:rtl/>
        </w:rPr>
      </w:pPr>
      <w:r w:rsidRPr="00FD211F">
        <w:rPr>
          <w:sz w:val="36"/>
          <w:szCs w:val="36"/>
          <w:rtl/>
        </w:rPr>
        <w:t>وهكذا صلا</w:t>
      </w:r>
      <w:r w:rsidR="00EC7EDF" w:rsidRPr="00FD211F">
        <w:rPr>
          <w:sz w:val="36"/>
          <w:szCs w:val="36"/>
          <w:rtl/>
        </w:rPr>
        <w:t xml:space="preserve">ة </w:t>
      </w:r>
      <w:r w:rsidRPr="00FD211F">
        <w:rPr>
          <w:sz w:val="36"/>
          <w:szCs w:val="36"/>
          <w:rtl/>
        </w:rPr>
        <w:t>المطارد</w:t>
      </w:r>
      <w:r w:rsidR="00EC7EDF" w:rsidRPr="00FD211F">
        <w:rPr>
          <w:sz w:val="36"/>
          <w:szCs w:val="36"/>
          <w:rtl/>
        </w:rPr>
        <w:t xml:space="preserve">ة </w:t>
      </w:r>
      <w:r w:rsidRPr="00FD211F">
        <w:rPr>
          <w:sz w:val="36"/>
          <w:szCs w:val="36"/>
          <w:rtl/>
        </w:rPr>
        <w:t>التي هي من اعلى مراتب صلا</w:t>
      </w:r>
      <w:r w:rsidR="00EC7EDF" w:rsidRPr="00FD211F">
        <w:rPr>
          <w:sz w:val="36"/>
          <w:szCs w:val="36"/>
          <w:rtl/>
        </w:rPr>
        <w:t xml:space="preserve">ة </w:t>
      </w:r>
      <w:r w:rsidRPr="00FD211F">
        <w:rPr>
          <w:sz w:val="36"/>
          <w:szCs w:val="36"/>
          <w:rtl/>
        </w:rPr>
        <w:t>الخوف</w:t>
      </w:r>
      <w:r w:rsidR="00603323" w:rsidRPr="00FD211F">
        <w:rPr>
          <w:sz w:val="36"/>
          <w:szCs w:val="36"/>
          <w:rtl/>
        </w:rPr>
        <w:t xml:space="preserve">، </w:t>
      </w:r>
      <w:r w:rsidRPr="00FD211F">
        <w:rPr>
          <w:sz w:val="36"/>
          <w:szCs w:val="36"/>
          <w:rtl/>
        </w:rPr>
        <w:t>فقد ذكر المحقق في الشرايع في كيفي</w:t>
      </w:r>
      <w:r w:rsidR="00EC7EDF" w:rsidRPr="00FD211F">
        <w:rPr>
          <w:sz w:val="36"/>
          <w:szCs w:val="36"/>
          <w:rtl/>
        </w:rPr>
        <w:t xml:space="preserve">ة </w:t>
      </w:r>
      <w:r w:rsidRPr="00FD211F">
        <w:rPr>
          <w:sz w:val="36"/>
          <w:szCs w:val="36"/>
          <w:rtl/>
        </w:rPr>
        <w:t>صلا</w:t>
      </w:r>
      <w:r w:rsidR="00EC7EDF" w:rsidRPr="00FD211F">
        <w:rPr>
          <w:sz w:val="36"/>
          <w:szCs w:val="36"/>
          <w:rtl/>
        </w:rPr>
        <w:t xml:space="preserve">ة </w:t>
      </w:r>
      <w:r w:rsidRPr="00FD211F">
        <w:rPr>
          <w:sz w:val="36"/>
          <w:szCs w:val="36"/>
          <w:rtl/>
        </w:rPr>
        <w:t>الخوف والمطارد</w:t>
      </w:r>
      <w:r w:rsidR="00EC7EDF" w:rsidRPr="00FD211F">
        <w:rPr>
          <w:sz w:val="36"/>
          <w:szCs w:val="36"/>
          <w:rtl/>
        </w:rPr>
        <w:t>ة</w:t>
      </w:r>
      <w:r w:rsidR="00057D31" w:rsidRPr="00FD211F">
        <w:rPr>
          <w:sz w:val="36"/>
          <w:szCs w:val="36"/>
          <w:rtl/>
        </w:rPr>
        <w:t>:</w:t>
      </w:r>
      <w:r w:rsidRPr="00FD211F">
        <w:rPr>
          <w:sz w:val="36"/>
          <w:szCs w:val="36"/>
          <w:rtl/>
        </w:rPr>
        <w:t xml:space="preserve"> "وأما صلا</w:t>
      </w:r>
      <w:r w:rsidR="00EC7EDF" w:rsidRPr="00FD211F">
        <w:rPr>
          <w:sz w:val="36"/>
          <w:szCs w:val="36"/>
          <w:rtl/>
        </w:rPr>
        <w:t xml:space="preserve">ة </w:t>
      </w:r>
      <w:r w:rsidRPr="00FD211F">
        <w:rPr>
          <w:sz w:val="36"/>
          <w:szCs w:val="36"/>
          <w:rtl/>
        </w:rPr>
        <w:t>المطارد</w:t>
      </w:r>
      <w:r w:rsidR="00EC7EDF" w:rsidRPr="00FD211F">
        <w:rPr>
          <w:sz w:val="36"/>
          <w:szCs w:val="36"/>
          <w:rtl/>
        </w:rPr>
        <w:t>ة و</w:t>
      </w:r>
      <w:r w:rsidRPr="00FD211F">
        <w:rPr>
          <w:sz w:val="36"/>
          <w:szCs w:val="36"/>
          <w:rtl/>
        </w:rPr>
        <w:t>تسمى صلا</w:t>
      </w:r>
      <w:r w:rsidR="00EC7EDF" w:rsidRPr="00FD211F">
        <w:rPr>
          <w:sz w:val="36"/>
          <w:szCs w:val="36"/>
          <w:rtl/>
        </w:rPr>
        <w:t xml:space="preserve">ة </w:t>
      </w:r>
      <w:r w:rsidRPr="00FD211F">
        <w:rPr>
          <w:sz w:val="36"/>
          <w:szCs w:val="36"/>
          <w:rtl/>
        </w:rPr>
        <w:t>شد</w:t>
      </w:r>
      <w:r w:rsidR="00EC7EDF" w:rsidRPr="00FD211F">
        <w:rPr>
          <w:sz w:val="36"/>
          <w:szCs w:val="36"/>
          <w:rtl/>
        </w:rPr>
        <w:t xml:space="preserve">ة </w:t>
      </w:r>
      <w:r w:rsidRPr="00FD211F">
        <w:rPr>
          <w:sz w:val="36"/>
          <w:szCs w:val="36"/>
          <w:rtl/>
        </w:rPr>
        <w:t>الخوف مثل أن ينتهي الحال إلى المعانق</w:t>
      </w:r>
      <w:r w:rsidR="00EC7EDF" w:rsidRPr="00FD211F">
        <w:rPr>
          <w:sz w:val="36"/>
          <w:szCs w:val="36"/>
          <w:rtl/>
        </w:rPr>
        <w:t>ة و</w:t>
      </w:r>
      <w:r w:rsidRPr="00FD211F">
        <w:rPr>
          <w:sz w:val="36"/>
          <w:szCs w:val="36"/>
          <w:rtl/>
        </w:rPr>
        <w:t>المسايف</w:t>
      </w:r>
      <w:r w:rsidR="00EC7EDF" w:rsidRPr="00FD211F">
        <w:rPr>
          <w:sz w:val="36"/>
          <w:szCs w:val="36"/>
          <w:rtl/>
        </w:rPr>
        <w:t xml:space="preserve">ة </w:t>
      </w:r>
      <w:r w:rsidRPr="00FD211F">
        <w:rPr>
          <w:sz w:val="36"/>
          <w:szCs w:val="36"/>
          <w:rtl/>
        </w:rPr>
        <w:t>فيصلي على حسب إمكانه واقفا أو ماشيا أو راكبا</w:t>
      </w:r>
      <w:r w:rsidR="00603323" w:rsidRPr="00FD211F">
        <w:rPr>
          <w:sz w:val="36"/>
          <w:szCs w:val="36"/>
          <w:rtl/>
        </w:rPr>
        <w:t xml:space="preserve">، </w:t>
      </w:r>
      <w:r w:rsidR="00EC7EDF" w:rsidRPr="00FD211F">
        <w:rPr>
          <w:sz w:val="36"/>
          <w:szCs w:val="36"/>
          <w:rtl/>
        </w:rPr>
        <w:t>و</w:t>
      </w:r>
      <w:r w:rsidRPr="00FD211F">
        <w:rPr>
          <w:sz w:val="36"/>
          <w:szCs w:val="36"/>
          <w:rtl/>
        </w:rPr>
        <w:t>يستقبل القبل</w:t>
      </w:r>
      <w:r w:rsidR="00EC7EDF" w:rsidRPr="00FD211F">
        <w:rPr>
          <w:sz w:val="36"/>
          <w:szCs w:val="36"/>
          <w:rtl/>
        </w:rPr>
        <w:t xml:space="preserve">ة </w:t>
      </w:r>
      <w:r w:rsidRPr="00FD211F">
        <w:rPr>
          <w:sz w:val="36"/>
          <w:szCs w:val="36"/>
          <w:rtl/>
        </w:rPr>
        <w:t>بتكبير</w:t>
      </w:r>
      <w:r w:rsidR="00EC7EDF" w:rsidRPr="00FD211F">
        <w:rPr>
          <w:sz w:val="36"/>
          <w:szCs w:val="36"/>
          <w:rtl/>
        </w:rPr>
        <w:t xml:space="preserve">ة </w:t>
      </w:r>
      <w:r w:rsidRPr="00FD211F">
        <w:rPr>
          <w:sz w:val="36"/>
          <w:szCs w:val="36"/>
          <w:rtl/>
        </w:rPr>
        <w:t>الإحرام ثم يستمر إن أمكنه</w:t>
      </w:r>
      <w:r w:rsidR="00EC7EDF" w:rsidRPr="00FD211F">
        <w:rPr>
          <w:sz w:val="36"/>
          <w:szCs w:val="36"/>
          <w:rtl/>
        </w:rPr>
        <w:t xml:space="preserve"> و</w:t>
      </w:r>
      <w:r w:rsidRPr="00FD211F">
        <w:rPr>
          <w:sz w:val="36"/>
          <w:szCs w:val="36"/>
          <w:rtl/>
        </w:rPr>
        <w:t>إلا استقبل بما أمكن</w:t>
      </w:r>
      <w:r w:rsidR="00EC7EDF" w:rsidRPr="00FD211F">
        <w:rPr>
          <w:sz w:val="36"/>
          <w:szCs w:val="36"/>
          <w:rtl/>
        </w:rPr>
        <w:t xml:space="preserve"> و</w:t>
      </w:r>
      <w:r w:rsidRPr="00FD211F">
        <w:rPr>
          <w:sz w:val="36"/>
          <w:szCs w:val="36"/>
          <w:rtl/>
        </w:rPr>
        <w:t>صلى مع التعذر إلى أي الجهات أمكن</w:t>
      </w:r>
      <w:r w:rsidR="00603323" w:rsidRPr="00FD211F">
        <w:rPr>
          <w:sz w:val="36"/>
          <w:szCs w:val="36"/>
          <w:rtl/>
        </w:rPr>
        <w:t xml:space="preserve">، </w:t>
      </w:r>
      <w:r w:rsidR="00EC7EDF" w:rsidRPr="00FD211F">
        <w:rPr>
          <w:sz w:val="36"/>
          <w:szCs w:val="36"/>
          <w:rtl/>
        </w:rPr>
        <w:t>و</w:t>
      </w:r>
      <w:r w:rsidRPr="00FD211F">
        <w:rPr>
          <w:sz w:val="36"/>
          <w:szCs w:val="36"/>
          <w:rtl/>
        </w:rPr>
        <w:t>إذا</w:t>
      </w:r>
      <w:r w:rsidR="008D7B3D" w:rsidRPr="00FD211F">
        <w:rPr>
          <w:sz w:val="36"/>
          <w:szCs w:val="36"/>
          <w:rtl/>
        </w:rPr>
        <w:t xml:space="preserve"> لم‌</w:t>
      </w:r>
      <w:r w:rsidRPr="00FD211F">
        <w:rPr>
          <w:sz w:val="36"/>
          <w:szCs w:val="36"/>
          <w:rtl/>
        </w:rPr>
        <w:t>يتمكن من النزول صلى راكبا</w:t>
      </w:r>
      <w:r w:rsidR="00EC7EDF" w:rsidRPr="00FD211F">
        <w:rPr>
          <w:sz w:val="36"/>
          <w:szCs w:val="36"/>
          <w:rtl/>
        </w:rPr>
        <w:t xml:space="preserve"> و</w:t>
      </w:r>
      <w:r w:rsidRPr="00FD211F">
        <w:rPr>
          <w:sz w:val="36"/>
          <w:szCs w:val="36"/>
          <w:rtl/>
        </w:rPr>
        <w:t>يسجد على قربوس سرجه</w:t>
      </w:r>
      <w:r w:rsidR="00EC7EDF" w:rsidRPr="00FD211F">
        <w:rPr>
          <w:sz w:val="36"/>
          <w:szCs w:val="36"/>
          <w:rtl/>
        </w:rPr>
        <w:t xml:space="preserve"> و</w:t>
      </w:r>
      <w:r w:rsidRPr="00FD211F">
        <w:rPr>
          <w:sz w:val="36"/>
          <w:szCs w:val="36"/>
          <w:rtl/>
        </w:rPr>
        <w:t>إن</w:t>
      </w:r>
      <w:r w:rsidR="008D7B3D" w:rsidRPr="00FD211F">
        <w:rPr>
          <w:sz w:val="36"/>
          <w:szCs w:val="36"/>
          <w:rtl/>
        </w:rPr>
        <w:t xml:space="preserve"> لم‌</w:t>
      </w:r>
      <w:r w:rsidRPr="00FD211F">
        <w:rPr>
          <w:sz w:val="36"/>
          <w:szCs w:val="36"/>
          <w:rtl/>
        </w:rPr>
        <w:t>يتمكن أومأ إيماء فإن خشي صلى بالتسبيح</w:t>
      </w:r>
      <w:r w:rsidR="00EC7EDF" w:rsidRPr="00FD211F">
        <w:rPr>
          <w:sz w:val="36"/>
          <w:szCs w:val="36"/>
          <w:rtl/>
        </w:rPr>
        <w:t xml:space="preserve"> و</w:t>
      </w:r>
      <w:r w:rsidRPr="00FD211F">
        <w:rPr>
          <w:sz w:val="36"/>
          <w:szCs w:val="36"/>
          <w:rtl/>
        </w:rPr>
        <w:t>يسقط الركوع</w:t>
      </w:r>
      <w:r w:rsidR="00EC7EDF" w:rsidRPr="00FD211F">
        <w:rPr>
          <w:sz w:val="36"/>
          <w:szCs w:val="36"/>
          <w:rtl/>
        </w:rPr>
        <w:t xml:space="preserve"> و</w:t>
      </w:r>
      <w:r w:rsidRPr="00FD211F">
        <w:rPr>
          <w:sz w:val="36"/>
          <w:szCs w:val="36"/>
          <w:rtl/>
        </w:rPr>
        <w:t>السجود</w:t>
      </w:r>
      <w:r w:rsidR="00EC7EDF" w:rsidRPr="00FD211F">
        <w:rPr>
          <w:sz w:val="36"/>
          <w:szCs w:val="36"/>
          <w:rtl/>
        </w:rPr>
        <w:t xml:space="preserve"> و</w:t>
      </w:r>
      <w:r w:rsidRPr="00FD211F">
        <w:rPr>
          <w:sz w:val="36"/>
          <w:szCs w:val="36"/>
          <w:rtl/>
        </w:rPr>
        <w:t>يقول بدل كل ركع</w:t>
      </w:r>
      <w:r w:rsidR="00EC7EDF" w:rsidRPr="00FD211F">
        <w:rPr>
          <w:sz w:val="36"/>
          <w:szCs w:val="36"/>
          <w:rtl/>
        </w:rPr>
        <w:t xml:space="preserve">ة </w:t>
      </w:r>
      <w:r w:rsidRPr="00FD211F">
        <w:rPr>
          <w:sz w:val="36"/>
          <w:szCs w:val="36"/>
          <w:rtl/>
        </w:rPr>
        <w:t>سبحان الله</w:t>
      </w:r>
      <w:r w:rsidR="00EC7EDF" w:rsidRPr="00FD211F">
        <w:rPr>
          <w:sz w:val="36"/>
          <w:szCs w:val="36"/>
          <w:rtl/>
        </w:rPr>
        <w:t xml:space="preserve"> و</w:t>
      </w:r>
      <w:r w:rsidRPr="00FD211F">
        <w:rPr>
          <w:sz w:val="36"/>
          <w:szCs w:val="36"/>
          <w:rtl/>
        </w:rPr>
        <w:t>الحمد لله</w:t>
      </w:r>
      <w:r w:rsidR="00EC7EDF" w:rsidRPr="00FD211F">
        <w:rPr>
          <w:sz w:val="36"/>
          <w:szCs w:val="36"/>
          <w:rtl/>
        </w:rPr>
        <w:t xml:space="preserve"> و</w:t>
      </w:r>
      <w:r w:rsidRPr="00FD211F">
        <w:rPr>
          <w:sz w:val="36"/>
          <w:szCs w:val="36"/>
          <w:rtl/>
        </w:rPr>
        <w:t>لا إله إلا الله</w:t>
      </w:r>
      <w:r w:rsidR="00EC7EDF" w:rsidRPr="00FD211F">
        <w:rPr>
          <w:sz w:val="36"/>
          <w:szCs w:val="36"/>
          <w:rtl/>
        </w:rPr>
        <w:t xml:space="preserve"> و</w:t>
      </w:r>
      <w:r w:rsidRPr="00FD211F">
        <w:rPr>
          <w:sz w:val="36"/>
          <w:szCs w:val="36"/>
          <w:rtl/>
        </w:rPr>
        <w:t>الله أكبر</w:t>
      </w:r>
      <w:r w:rsidR="009C58C8" w:rsidRPr="00FD211F">
        <w:rPr>
          <w:rStyle w:val="a6"/>
          <w:sz w:val="36"/>
          <w:szCs w:val="36"/>
          <w:rtl/>
        </w:rPr>
        <w:t>(</w:t>
      </w:r>
      <w:r w:rsidR="009C58C8" w:rsidRPr="00FD211F">
        <w:rPr>
          <w:rStyle w:val="a6"/>
          <w:sz w:val="36"/>
          <w:szCs w:val="36"/>
          <w:rtl/>
        </w:rPr>
        <w:footnoteReference w:id="399"/>
      </w:r>
      <w:r w:rsidR="009C58C8" w:rsidRPr="00FD211F">
        <w:rPr>
          <w:rStyle w:val="a6"/>
          <w:sz w:val="36"/>
          <w:szCs w:val="36"/>
          <w:rtl/>
        </w:rPr>
        <w:t>)</w:t>
      </w:r>
      <w:r w:rsidRPr="00FD211F">
        <w:rPr>
          <w:sz w:val="36"/>
          <w:szCs w:val="36"/>
          <w:rtl/>
        </w:rPr>
        <w:t>"</w:t>
      </w:r>
      <w:r w:rsidR="00C774D9" w:rsidRPr="00FD211F">
        <w:rPr>
          <w:sz w:val="36"/>
          <w:szCs w:val="36"/>
          <w:rtl/>
        </w:rPr>
        <w:t>.</w:t>
      </w:r>
    </w:p>
    <w:p w14:paraId="211CC597" w14:textId="77777777" w:rsidR="00052BF2" w:rsidRPr="00FD211F" w:rsidRDefault="00052BF2" w:rsidP="005946E3">
      <w:pPr>
        <w:ind w:left="0" w:firstLine="227"/>
        <w:jc w:val="both"/>
        <w:rPr>
          <w:sz w:val="36"/>
          <w:szCs w:val="36"/>
          <w:rtl/>
        </w:rPr>
      </w:pPr>
      <w:r w:rsidRPr="00FD211F">
        <w:rPr>
          <w:sz w:val="36"/>
          <w:szCs w:val="36"/>
          <w:rtl/>
        </w:rPr>
        <w:t xml:space="preserve">وقد ذكر المحقق الهمداني </w:t>
      </w:r>
      <w:r w:rsidR="000557CD" w:rsidRPr="00FD211F">
        <w:rPr>
          <w:sz w:val="36"/>
          <w:szCs w:val="36"/>
          <w:rtl/>
        </w:rPr>
        <w:t>"</w:t>
      </w:r>
      <w:r w:rsidRPr="00FD211F">
        <w:rPr>
          <w:sz w:val="36"/>
          <w:szCs w:val="36"/>
          <w:rtl/>
        </w:rPr>
        <w:t>قده</w:t>
      </w:r>
      <w:r w:rsidR="000557CD" w:rsidRPr="00FD211F">
        <w:rPr>
          <w:sz w:val="36"/>
          <w:szCs w:val="36"/>
          <w:rtl/>
        </w:rPr>
        <w:t>"</w:t>
      </w:r>
      <w:r w:rsidRPr="00FD211F">
        <w:rPr>
          <w:sz w:val="36"/>
          <w:szCs w:val="36"/>
          <w:rtl/>
        </w:rPr>
        <w:t xml:space="preserve"> انه ان خشي من الإيماء ولو لأجل كون صرف الذهن اليه موجبا لتشويش باله المؤثر في الفتور في المحارس</w:t>
      </w:r>
      <w:r w:rsidR="00EC7EDF" w:rsidRPr="00FD211F">
        <w:rPr>
          <w:sz w:val="36"/>
          <w:szCs w:val="36"/>
          <w:rtl/>
        </w:rPr>
        <w:t xml:space="preserve">ة </w:t>
      </w:r>
      <w:r w:rsidRPr="00FD211F">
        <w:rPr>
          <w:sz w:val="36"/>
          <w:szCs w:val="36"/>
          <w:rtl/>
        </w:rPr>
        <w:t>على نفسه</w:t>
      </w:r>
      <w:r w:rsidR="00603323" w:rsidRPr="00FD211F">
        <w:rPr>
          <w:sz w:val="36"/>
          <w:szCs w:val="36"/>
          <w:rtl/>
        </w:rPr>
        <w:t xml:space="preserve">، </w:t>
      </w:r>
      <w:r w:rsidRPr="00FD211F">
        <w:rPr>
          <w:sz w:val="36"/>
          <w:szCs w:val="36"/>
          <w:rtl/>
        </w:rPr>
        <w:t>صلى بالتسبيح ويسقط الركوع والسجود ويقول بدل كل ركع</w:t>
      </w:r>
      <w:r w:rsidR="00EC7EDF" w:rsidRPr="00FD211F">
        <w:rPr>
          <w:sz w:val="36"/>
          <w:szCs w:val="36"/>
          <w:rtl/>
        </w:rPr>
        <w:t xml:space="preserve">ة </w:t>
      </w:r>
      <w:r w:rsidRPr="00FD211F">
        <w:rPr>
          <w:sz w:val="36"/>
          <w:szCs w:val="36"/>
          <w:rtl/>
        </w:rPr>
        <w:t>سبحان الله والحمدلله ولااله الا الله والله اكبر</w:t>
      </w:r>
      <w:r w:rsidR="00603323" w:rsidRPr="00FD211F">
        <w:rPr>
          <w:sz w:val="36"/>
          <w:szCs w:val="36"/>
          <w:rtl/>
        </w:rPr>
        <w:t xml:space="preserve">، </w:t>
      </w:r>
      <w:r w:rsidRPr="00FD211F">
        <w:rPr>
          <w:sz w:val="36"/>
          <w:szCs w:val="36"/>
          <w:rtl/>
        </w:rPr>
        <w:t>وهذا اي الاتيان بالصيغ</w:t>
      </w:r>
      <w:r w:rsidR="00EC7EDF" w:rsidRPr="00FD211F">
        <w:rPr>
          <w:sz w:val="36"/>
          <w:szCs w:val="36"/>
          <w:rtl/>
        </w:rPr>
        <w:t xml:space="preserve">ة </w:t>
      </w:r>
      <w:r w:rsidRPr="00FD211F">
        <w:rPr>
          <w:sz w:val="36"/>
          <w:szCs w:val="36"/>
          <w:rtl/>
        </w:rPr>
        <w:t>بدلا عن كل ركع</w:t>
      </w:r>
      <w:r w:rsidR="00EC7EDF" w:rsidRPr="00FD211F">
        <w:rPr>
          <w:sz w:val="36"/>
          <w:szCs w:val="36"/>
          <w:rtl/>
        </w:rPr>
        <w:t xml:space="preserve">ة </w:t>
      </w:r>
      <w:r w:rsidRPr="00FD211F">
        <w:rPr>
          <w:sz w:val="36"/>
          <w:szCs w:val="36"/>
          <w:rtl/>
        </w:rPr>
        <w:t>مجز قطعا</w:t>
      </w:r>
      <w:r w:rsidR="00603323" w:rsidRPr="00FD211F">
        <w:rPr>
          <w:sz w:val="36"/>
          <w:szCs w:val="36"/>
          <w:rtl/>
        </w:rPr>
        <w:t xml:space="preserve">، </w:t>
      </w:r>
      <w:r w:rsidRPr="00FD211F">
        <w:rPr>
          <w:sz w:val="36"/>
          <w:szCs w:val="36"/>
          <w:rtl/>
        </w:rPr>
        <w:t>بل الظاهر عدم الخلاف فيه</w:t>
      </w:r>
      <w:r w:rsidR="00603323" w:rsidRPr="00FD211F">
        <w:rPr>
          <w:sz w:val="36"/>
          <w:szCs w:val="36"/>
          <w:rtl/>
        </w:rPr>
        <w:t xml:space="preserve">، </w:t>
      </w:r>
      <w:r w:rsidRPr="00FD211F">
        <w:rPr>
          <w:sz w:val="36"/>
          <w:szCs w:val="36"/>
          <w:rtl/>
        </w:rPr>
        <w:t>بل ادعى غير واحد في كلماتهم الإجماع عليه</w:t>
      </w:r>
      <w:r w:rsidR="00603323" w:rsidRPr="00FD211F">
        <w:rPr>
          <w:sz w:val="36"/>
          <w:szCs w:val="36"/>
          <w:rtl/>
        </w:rPr>
        <w:t xml:space="preserve">، </w:t>
      </w:r>
      <w:r w:rsidRPr="00FD211F">
        <w:rPr>
          <w:sz w:val="36"/>
          <w:szCs w:val="36"/>
          <w:rtl/>
        </w:rPr>
        <w:t>ثم ذكر</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عدم تعين ذلك وكفاي</w:t>
      </w:r>
      <w:r w:rsidR="00EC7EDF" w:rsidRPr="00FD211F">
        <w:rPr>
          <w:sz w:val="36"/>
          <w:szCs w:val="36"/>
          <w:rtl/>
        </w:rPr>
        <w:t xml:space="preserve">ة </w:t>
      </w:r>
      <w:r w:rsidRPr="00FD211F">
        <w:rPr>
          <w:sz w:val="36"/>
          <w:szCs w:val="36"/>
          <w:rtl/>
        </w:rPr>
        <w:t>الاتيان بالتكبير</w:t>
      </w:r>
      <w:r w:rsidR="00EC7EDF" w:rsidRPr="00FD211F">
        <w:rPr>
          <w:sz w:val="36"/>
          <w:szCs w:val="36"/>
          <w:rtl/>
        </w:rPr>
        <w:t xml:space="preserve">ة </w:t>
      </w:r>
      <w:r w:rsidRPr="00FD211F">
        <w:rPr>
          <w:sz w:val="36"/>
          <w:szCs w:val="36"/>
          <w:rtl/>
        </w:rPr>
        <w:t>بدل كل ركع</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00"/>
      </w:r>
      <w:r w:rsidR="009C58C8" w:rsidRPr="00FD211F">
        <w:rPr>
          <w:rStyle w:val="a6"/>
          <w:sz w:val="36"/>
          <w:szCs w:val="36"/>
          <w:rtl/>
        </w:rPr>
        <w:t>)</w:t>
      </w:r>
      <w:r w:rsidRPr="00FD211F">
        <w:rPr>
          <w:sz w:val="36"/>
          <w:szCs w:val="36"/>
          <w:rtl/>
        </w:rPr>
        <w:t>.</w:t>
      </w:r>
    </w:p>
    <w:p w14:paraId="67D4E6FA" w14:textId="77777777" w:rsidR="00052BF2" w:rsidRPr="00FD211F" w:rsidRDefault="00052BF2" w:rsidP="009C58C8">
      <w:pPr>
        <w:ind w:left="0" w:firstLine="227"/>
        <w:jc w:val="both"/>
        <w:rPr>
          <w:sz w:val="36"/>
          <w:szCs w:val="36"/>
          <w:rtl/>
        </w:rPr>
      </w:pPr>
      <w:r w:rsidRPr="00FD211F">
        <w:rPr>
          <w:sz w:val="36"/>
          <w:szCs w:val="36"/>
          <w:rtl/>
        </w:rPr>
        <w:t>ويدل على ذلك رواي</w:t>
      </w:r>
      <w:r w:rsidR="00EC7EDF" w:rsidRPr="00FD211F">
        <w:rPr>
          <w:sz w:val="36"/>
          <w:szCs w:val="36"/>
          <w:rtl/>
        </w:rPr>
        <w:t xml:space="preserve">ة </w:t>
      </w:r>
      <w:r w:rsidRPr="00FD211F">
        <w:rPr>
          <w:sz w:val="36"/>
          <w:szCs w:val="36"/>
          <w:rtl/>
        </w:rPr>
        <w:t>عبدالله بن المغير</w:t>
      </w:r>
      <w:r w:rsidR="00EC7EDF" w:rsidRPr="00FD211F">
        <w:rPr>
          <w:sz w:val="36"/>
          <w:szCs w:val="36"/>
          <w:rtl/>
        </w:rPr>
        <w:t xml:space="preserve">ة </w:t>
      </w:r>
      <w:r w:rsidRPr="00FD211F">
        <w:rPr>
          <w:sz w:val="36"/>
          <w:szCs w:val="36"/>
          <w:rtl/>
        </w:rPr>
        <w:t xml:space="preserve">ان الصادق </w:t>
      </w:r>
      <w:r w:rsidR="007A4A0D" w:rsidRPr="00FD211F">
        <w:rPr>
          <w:sz w:val="36"/>
          <w:szCs w:val="36"/>
          <w:rtl/>
        </w:rPr>
        <w:t>(عليه‌السلام)</w:t>
      </w:r>
      <w:r w:rsidRPr="00FD211F">
        <w:rPr>
          <w:sz w:val="36"/>
          <w:szCs w:val="36"/>
          <w:rtl/>
        </w:rPr>
        <w:t xml:space="preserve"> قال اقل ما يجزي في حد المسايف</w:t>
      </w:r>
      <w:r w:rsidR="00EC7EDF" w:rsidRPr="00FD211F">
        <w:rPr>
          <w:sz w:val="36"/>
          <w:szCs w:val="36"/>
          <w:rtl/>
        </w:rPr>
        <w:t xml:space="preserve">ة </w:t>
      </w:r>
      <w:r w:rsidRPr="00FD211F">
        <w:rPr>
          <w:sz w:val="36"/>
          <w:szCs w:val="36"/>
          <w:rtl/>
        </w:rPr>
        <w:t>من التكبير تكبيرتان لكل صلا</w:t>
      </w:r>
      <w:r w:rsidR="00EC7EDF" w:rsidRPr="00FD211F">
        <w:rPr>
          <w:sz w:val="36"/>
          <w:szCs w:val="36"/>
          <w:rtl/>
        </w:rPr>
        <w:t xml:space="preserve">ة </w:t>
      </w:r>
      <w:r w:rsidRPr="00FD211F">
        <w:rPr>
          <w:sz w:val="36"/>
          <w:szCs w:val="36"/>
          <w:rtl/>
        </w:rPr>
        <w:t>الا المغرب فان لها ثلاثا</w:t>
      </w:r>
      <w:r w:rsidR="00603323" w:rsidRPr="00FD211F">
        <w:rPr>
          <w:sz w:val="36"/>
          <w:szCs w:val="36"/>
          <w:rtl/>
        </w:rPr>
        <w:t xml:space="preserve">، </w:t>
      </w:r>
      <w:r w:rsidRPr="00FD211F">
        <w:rPr>
          <w:sz w:val="36"/>
          <w:szCs w:val="36"/>
          <w:rtl/>
        </w:rPr>
        <w:t>وفي موثق</w:t>
      </w:r>
      <w:r w:rsidR="00EC7EDF" w:rsidRPr="00FD211F">
        <w:rPr>
          <w:sz w:val="36"/>
          <w:szCs w:val="36"/>
          <w:rtl/>
        </w:rPr>
        <w:t xml:space="preserve">ة </w:t>
      </w:r>
      <w:r w:rsidRPr="00FD211F">
        <w:rPr>
          <w:sz w:val="36"/>
          <w:szCs w:val="36"/>
          <w:rtl/>
        </w:rPr>
        <w:t>سماع</w:t>
      </w:r>
      <w:r w:rsidR="00EC7EDF" w:rsidRPr="00FD211F">
        <w:rPr>
          <w:sz w:val="36"/>
          <w:szCs w:val="36"/>
          <w:rtl/>
        </w:rPr>
        <w:t xml:space="preserve">ة </w:t>
      </w:r>
      <w:r w:rsidRPr="00FD211F">
        <w:rPr>
          <w:sz w:val="36"/>
          <w:szCs w:val="36"/>
          <w:rtl/>
        </w:rPr>
        <w:t xml:space="preserve">بن مهران انه سأل الصادق </w:t>
      </w:r>
      <w:r w:rsidR="007A4A0D" w:rsidRPr="00FD211F">
        <w:rPr>
          <w:sz w:val="36"/>
          <w:szCs w:val="36"/>
          <w:rtl/>
        </w:rPr>
        <w:t>(عليه‌السلام)</w:t>
      </w:r>
      <w:r w:rsidRPr="00FD211F">
        <w:rPr>
          <w:sz w:val="36"/>
          <w:szCs w:val="36"/>
          <w:rtl/>
        </w:rPr>
        <w:t xml:space="preserve"> عن صلا</w:t>
      </w:r>
      <w:r w:rsidR="00EC7EDF" w:rsidRPr="00FD211F">
        <w:rPr>
          <w:sz w:val="36"/>
          <w:szCs w:val="36"/>
          <w:rtl/>
        </w:rPr>
        <w:t xml:space="preserve">ة </w:t>
      </w:r>
      <w:r w:rsidRPr="00FD211F">
        <w:rPr>
          <w:sz w:val="36"/>
          <w:szCs w:val="36"/>
          <w:rtl/>
        </w:rPr>
        <w:t>القتال فقال: إذا التقوا فاقتتلوا فإنما الصلا</w:t>
      </w:r>
      <w:r w:rsidR="00EC7EDF" w:rsidRPr="00FD211F">
        <w:rPr>
          <w:sz w:val="36"/>
          <w:szCs w:val="36"/>
          <w:rtl/>
        </w:rPr>
        <w:t xml:space="preserve">ة </w:t>
      </w:r>
      <w:r w:rsidRPr="00FD211F">
        <w:rPr>
          <w:sz w:val="36"/>
          <w:szCs w:val="36"/>
          <w:rtl/>
        </w:rPr>
        <w:t>حينئذ تكبير وإذا كانوا وقوفا لا يقدرون على الجماع</w:t>
      </w:r>
      <w:r w:rsidR="00EC7EDF" w:rsidRPr="00FD211F">
        <w:rPr>
          <w:sz w:val="36"/>
          <w:szCs w:val="36"/>
          <w:rtl/>
        </w:rPr>
        <w:t xml:space="preserve">ة </w:t>
      </w:r>
      <w:r w:rsidRPr="00FD211F">
        <w:rPr>
          <w:sz w:val="36"/>
          <w:szCs w:val="36"/>
          <w:rtl/>
        </w:rPr>
        <w:t>فالصلا</w:t>
      </w:r>
      <w:r w:rsidR="00EC7EDF" w:rsidRPr="00FD211F">
        <w:rPr>
          <w:sz w:val="36"/>
          <w:szCs w:val="36"/>
          <w:rtl/>
        </w:rPr>
        <w:t xml:space="preserve">ة </w:t>
      </w:r>
      <w:r w:rsidRPr="00FD211F">
        <w:rPr>
          <w:sz w:val="36"/>
          <w:szCs w:val="36"/>
          <w:rtl/>
        </w:rPr>
        <w:t>إيماء</w:t>
      </w:r>
      <w:r w:rsidR="00603323" w:rsidRPr="00FD211F">
        <w:rPr>
          <w:sz w:val="36"/>
          <w:szCs w:val="36"/>
          <w:rtl/>
        </w:rPr>
        <w:t xml:space="preserve">، </w:t>
      </w:r>
      <w:r w:rsidRPr="00FD211F">
        <w:rPr>
          <w:sz w:val="36"/>
          <w:szCs w:val="36"/>
          <w:rtl/>
        </w:rPr>
        <w:t>وفي صحيح</w:t>
      </w:r>
      <w:r w:rsidR="00EC7EDF" w:rsidRPr="00FD211F">
        <w:rPr>
          <w:sz w:val="36"/>
          <w:szCs w:val="36"/>
          <w:rtl/>
        </w:rPr>
        <w:t xml:space="preserve">ة </w:t>
      </w:r>
      <w:r w:rsidRPr="00FD211F">
        <w:rPr>
          <w:sz w:val="36"/>
          <w:szCs w:val="36"/>
          <w:rtl/>
        </w:rPr>
        <w:t>زرار</w:t>
      </w:r>
      <w:r w:rsidR="00EC7EDF" w:rsidRPr="00FD211F">
        <w:rPr>
          <w:sz w:val="36"/>
          <w:szCs w:val="36"/>
          <w:rtl/>
        </w:rPr>
        <w:t xml:space="preserve">ة </w:t>
      </w:r>
      <w:r w:rsidRPr="00FD211F">
        <w:rPr>
          <w:sz w:val="36"/>
          <w:szCs w:val="36"/>
          <w:rtl/>
        </w:rPr>
        <w:t>وفضيل ومحمد بن مسلم عن</w:t>
      </w:r>
      <w:r w:rsidR="000557CD" w:rsidRPr="00FD211F">
        <w:rPr>
          <w:sz w:val="36"/>
          <w:szCs w:val="36"/>
          <w:rtl/>
        </w:rPr>
        <w:t xml:space="preserve"> ابي جعفر </w:t>
      </w:r>
      <w:r w:rsidR="007A4A0D" w:rsidRPr="00FD211F">
        <w:rPr>
          <w:sz w:val="36"/>
          <w:szCs w:val="36"/>
          <w:rtl/>
        </w:rPr>
        <w:t>(عليه‌السلام)</w:t>
      </w:r>
      <w:r w:rsidR="000557CD" w:rsidRPr="00FD211F">
        <w:rPr>
          <w:sz w:val="36"/>
          <w:szCs w:val="36"/>
          <w:rtl/>
        </w:rPr>
        <w:t xml:space="preserve"> ان اصحاب</w:t>
      </w:r>
      <w:r w:rsidRPr="00FD211F">
        <w:rPr>
          <w:sz w:val="36"/>
          <w:szCs w:val="36"/>
          <w:rtl/>
        </w:rPr>
        <w:t xml:space="preserve"> اميرالمؤمنين </w:t>
      </w:r>
      <w:r w:rsidR="007A4A0D" w:rsidRPr="00FD211F">
        <w:rPr>
          <w:sz w:val="36"/>
          <w:szCs w:val="36"/>
          <w:rtl/>
        </w:rPr>
        <w:t>(عليه‌السلام)</w:t>
      </w:r>
      <w:r w:rsidRPr="00FD211F">
        <w:rPr>
          <w:sz w:val="36"/>
          <w:szCs w:val="36"/>
          <w:rtl/>
        </w:rPr>
        <w:t xml:space="preserve"> ليل</w:t>
      </w:r>
      <w:r w:rsidR="00EC7EDF" w:rsidRPr="00FD211F">
        <w:rPr>
          <w:sz w:val="36"/>
          <w:szCs w:val="36"/>
          <w:rtl/>
        </w:rPr>
        <w:t xml:space="preserve">ة </w:t>
      </w:r>
      <w:r w:rsidRPr="00FD211F">
        <w:rPr>
          <w:sz w:val="36"/>
          <w:szCs w:val="36"/>
          <w:rtl/>
        </w:rPr>
        <w:t>صفين وهي ليل</w:t>
      </w:r>
      <w:r w:rsidR="00EC7EDF" w:rsidRPr="00FD211F">
        <w:rPr>
          <w:sz w:val="36"/>
          <w:szCs w:val="36"/>
          <w:rtl/>
        </w:rPr>
        <w:t xml:space="preserve">ة </w:t>
      </w:r>
      <w:r w:rsidRPr="00FD211F">
        <w:rPr>
          <w:sz w:val="36"/>
          <w:szCs w:val="36"/>
          <w:rtl/>
        </w:rPr>
        <w:t>الهرير</w:t>
      </w:r>
      <w:r w:rsidR="008D7B3D" w:rsidRPr="00FD211F">
        <w:rPr>
          <w:sz w:val="36"/>
          <w:szCs w:val="36"/>
          <w:rtl/>
        </w:rPr>
        <w:t xml:space="preserve"> لم‌</w:t>
      </w:r>
      <w:r w:rsidRPr="00FD211F">
        <w:rPr>
          <w:sz w:val="36"/>
          <w:szCs w:val="36"/>
          <w:rtl/>
        </w:rPr>
        <w:t>تكن صلاتهم الظهر والعصر والمغرب والعشاء عند وقت كل صلا</w:t>
      </w:r>
      <w:r w:rsidR="00EC7EDF" w:rsidRPr="00FD211F">
        <w:rPr>
          <w:sz w:val="36"/>
          <w:szCs w:val="36"/>
          <w:rtl/>
        </w:rPr>
        <w:t xml:space="preserve">ة </w:t>
      </w:r>
      <w:r w:rsidRPr="00FD211F">
        <w:rPr>
          <w:sz w:val="36"/>
          <w:szCs w:val="36"/>
          <w:rtl/>
        </w:rPr>
        <w:t>الا بالتكبير والتهليل والتسبيح والتحميد والدعاء</w:t>
      </w:r>
      <w:r w:rsidR="00603323" w:rsidRPr="00FD211F">
        <w:rPr>
          <w:sz w:val="36"/>
          <w:szCs w:val="36"/>
          <w:rtl/>
        </w:rPr>
        <w:t xml:space="preserve">، </w:t>
      </w:r>
      <w:r w:rsidRPr="00FD211F">
        <w:rPr>
          <w:sz w:val="36"/>
          <w:szCs w:val="36"/>
          <w:rtl/>
        </w:rPr>
        <w:t>فكانت تلك صلاتهم</w:t>
      </w:r>
      <w:r w:rsidR="00603323" w:rsidRPr="00FD211F">
        <w:rPr>
          <w:sz w:val="36"/>
          <w:szCs w:val="36"/>
          <w:rtl/>
        </w:rPr>
        <w:t xml:space="preserve">، </w:t>
      </w:r>
      <w:r w:rsidR="009977FE" w:rsidRPr="00FD211F">
        <w:rPr>
          <w:sz w:val="36"/>
          <w:szCs w:val="36"/>
          <w:rtl/>
        </w:rPr>
        <w:t>و</w:t>
      </w:r>
      <w:r w:rsidR="008D7B3D" w:rsidRPr="00FD211F">
        <w:rPr>
          <w:sz w:val="36"/>
          <w:szCs w:val="36"/>
          <w:rtl/>
        </w:rPr>
        <w:t xml:space="preserve"> لم‌</w:t>
      </w:r>
      <w:r w:rsidRPr="00FD211F">
        <w:rPr>
          <w:sz w:val="36"/>
          <w:szCs w:val="36"/>
          <w:rtl/>
        </w:rPr>
        <w:t>يأمرهم باعاد</w:t>
      </w:r>
      <w:r w:rsidR="00EC7EDF" w:rsidRPr="00FD211F">
        <w:rPr>
          <w:sz w:val="36"/>
          <w:szCs w:val="36"/>
          <w:rtl/>
        </w:rPr>
        <w:t xml:space="preserve">ة </w:t>
      </w:r>
      <w:r w:rsidRPr="00FD211F">
        <w:rPr>
          <w:sz w:val="36"/>
          <w:szCs w:val="36"/>
          <w:rtl/>
        </w:rPr>
        <w:t>الصلا</w:t>
      </w:r>
      <w:r w:rsidR="00EC7EDF" w:rsidRPr="00FD211F">
        <w:rPr>
          <w:sz w:val="36"/>
          <w:szCs w:val="36"/>
          <w:rtl/>
        </w:rPr>
        <w:t>ة</w:t>
      </w:r>
      <w:r w:rsidR="00603323" w:rsidRPr="00FD211F">
        <w:rPr>
          <w:sz w:val="36"/>
          <w:szCs w:val="36"/>
          <w:rtl/>
        </w:rPr>
        <w:t xml:space="preserve">، </w:t>
      </w:r>
      <w:r w:rsidRPr="00FD211F">
        <w:rPr>
          <w:sz w:val="36"/>
          <w:szCs w:val="36"/>
          <w:rtl/>
        </w:rPr>
        <w:t>ونظيرها روايات أخر</w:t>
      </w:r>
      <w:r w:rsidR="009C58C8" w:rsidRPr="00FD211F">
        <w:rPr>
          <w:rStyle w:val="a6"/>
          <w:sz w:val="36"/>
          <w:szCs w:val="36"/>
          <w:rtl/>
        </w:rPr>
        <w:t>(</w:t>
      </w:r>
      <w:r w:rsidR="009C58C8" w:rsidRPr="00FD211F">
        <w:rPr>
          <w:rStyle w:val="a6"/>
          <w:sz w:val="36"/>
          <w:szCs w:val="36"/>
          <w:rtl/>
        </w:rPr>
        <w:footnoteReference w:id="401"/>
      </w:r>
      <w:r w:rsidR="009C58C8" w:rsidRPr="00FD211F">
        <w:rPr>
          <w:rStyle w:val="a6"/>
          <w:sz w:val="36"/>
          <w:szCs w:val="36"/>
          <w:rtl/>
        </w:rPr>
        <w:t>)</w:t>
      </w:r>
      <w:r w:rsidRPr="00FD211F">
        <w:rPr>
          <w:sz w:val="36"/>
          <w:szCs w:val="36"/>
          <w:rtl/>
        </w:rPr>
        <w:t>.</w:t>
      </w:r>
    </w:p>
    <w:p w14:paraId="6DADFCB4" w14:textId="77777777" w:rsidR="00052BF2" w:rsidRPr="00FD211F" w:rsidRDefault="00052BF2" w:rsidP="009C58C8">
      <w:pPr>
        <w:ind w:left="0" w:firstLine="227"/>
        <w:jc w:val="both"/>
        <w:rPr>
          <w:sz w:val="36"/>
          <w:szCs w:val="36"/>
          <w:rtl/>
        </w:rPr>
      </w:pPr>
      <w:r w:rsidRPr="00FD211F">
        <w:rPr>
          <w:sz w:val="36"/>
          <w:szCs w:val="36"/>
          <w:rtl/>
        </w:rPr>
        <w:t>هذا وأما دعوى عدم صدق الصلا</w:t>
      </w:r>
      <w:r w:rsidR="00EC7EDF" w:rsidRPr="00FD211F">
        <w:rPr>
          <w:sz w:val="36"/>
          <w:szCs w:val="36"/>
          <w:rtl/>
        </w:rPr>
        <w:t xml:space="preserve">ة </w:t>
      </w:r>
      <w:r w:rsidRPr="00FD211F">
        <w:rPr>
          <w:sz w:val="36"/>
          <w:szCs w:val="36"/>
          <w:rtl/>
        </w:rPr>
        <w:t>على هذا المقدار الا بالعناي</w:t>
      </w:r>
      <w:r w:rsidR="00EC7EDF" w:rsidRPr="00FD211F">
        <w:rPr>
          <w:sz w:val="36"/>
          <w:szCs w:val="36"/>
          <w:rtl/>
        </w:rPr>
        <w:t xml:space="preserve">ة </w:t>
      </w:r>
      <w:r w:rsidRPr="00FD211F">
        <w:rPr>
          <w:sz w:val="36"/>
          <w:szCs w:val="36"/>
          <w:rtl/>
        </w:rPr>
        <w:t xml:space="preserve">والمجاز كما ادعاه السيد الخوئي </w:t>
      </w:r>
      <w:r w:rsidR="000557CD" w:rsidRPr="00FD211F">
        <w:rPr>
          <w:sz w:val="36"/>
          <w:szCs w:val="36"/>
          <w:rtl/>
        </w:rPr>
        <w:t>"</w:t>
      </w:r>
      <w:r w:rsidRPr="00FD211F">
        <w:rPr>
          <w:sz w:val="36"/>
          <w:szCs w:val="36"/>
          <w:rtl/>
        </w:rPr>
        <w:t>قده</w:t>
      </w:r>
      <w:r w:rsidR="000557CD" w:rsidRPr="00FD211F">
        <w:rPr>
          <w:sz w:val="36"/>
          <w:szCs w:val="36"/>
          <w:rtl/>
        </w:rPr>
        <w:t>"</w:t>
      </w:r>
      <w:r w:rsidRPr="00FD211F">
        <w:rPr>
          <w:sz w:val="36"/>
          <w:szCs w:val="36"/>
          <w:rtl/>
        </w:rPr>
        <w:t xml:space="preserve"> بالنسب</w:t>
      </w:r>
      <w:r w:rsidR="00EC7EDF" w:rsidRPr="00FD211F">
        <w:rPr>
          <w:sz w:val="36"/>
          <w:szCs w:val="36"/>
          <w:rtl/>
        </w:rPr>
        <w:t xml:space="preserve">ة </w:t>
      </w:r>
      <w:r w:rsidRPr="00FD211F">
        <w:rPr>
          <w:sz w:val="36"/>
          <w:szCs w:val="36"/>
          <w:rtl/>
        </w:rPr>
        <w:t>الى صلا</w:t>
      </w:r>
      <w:r w:rsidR="00EC7EDF" w:rsidRPr="00FD211F">
        <w:rPr>
          <w:sz w:val="36"/>
          <w:szCs w:val="36"/>
          <w:rtl/>
        </w:rPr>
        <w:t xml:space="preserve">ة </w:t>
      </w:r>
      <w:r w:rsidRPr="00FD211F">
        <w:rPr>
          <w:sz w:val="36"/>
          <w:szCs w:val="36"/>
          <w:rtl/>
        </w:rPr>
        <w:t>الغرقى حيث ذكر ان صلا</w:t>
      </w:r>
      <w:r w:rsidR="00EC7EDF" w:rsidRPr="00FD211F">
        <w:rPr>
          <w:sz w:val="36"/>
          <w:szCs w:val="36"/>
          <w:rtl/>
        </w:rPr>
        <w:t xml:space="preserve">ة </w:t>
      </w:r>
      <w:r w:rsidRPr="00FD211F">
        <w:rPr>
          <w:sz w:val="36"/>
          <w:szCs w:val="36"/>
          <w:rtl/>
        </w:rPr>
        <w:t>الغرقى لاتكون صلا</w:t>
      </w:r>
      <w:r w:rsidR="00EC7EDF" w:rsidRPr="00FD211F">
        <w:rPr>
          <w:sz w:val="36"/>
          <w:szCs w:val="36"/>
          <w:rtl/>
        </w:rPr>
        <w:t xml:space="preserve">ة </w:t>
      </w:r>
      <w:r w:rsidRPr="00FD211F">
        <w:rPr>
          <w:sz w:val="36"/>
          <w:szCs w:val="36"/>
          <w:rtl/>
        </w:rPr>
        <w:t>حقيق</w:t>
      </w:r>
      <w:r w:rsidR="00EC7EDF" w:rsidRPr="00FD211F">
        <w:rPr>
          <w:sz w:val="36"/>
          <w:szCs w:val="36"/>
          <w:rtl/>
        </w:rPr>
        <w:t>ة</w:t>
      </w:r>
      <w:r w:rsidR="00603323" w:rsidRPr="00FD211F">
        <w:rPr>
          <w:sz w:val="36"/>
          <w:szCs w:val="36"/>
          <w:rtl/>
        </w:rPr>
        <w:t xml:space="preserve">، </w:t>
      </w:r>
      <w:r w:rsidRPr="00FD211F">
        <w:rPr>
          <w:sz w:val="36"/>
          <w:szCs w:val="36"/>
          <w:rtl/>
        </w:rPr>
        <w:t>كما يظهر بالوجدان والرجوع الى المتفاهم العرفي</w:t>
      </w:r>
      <w:r w:rsidR="009C58C8" w:rsidRPr="00FD211F">
        <w:rPr>
          <w:rStyle w:val="a6"/>
          <w:sz w:val="36"/>
          <w:szCs w:val="36"/>
          <w:rtl/>
        </w:rPr>
        <w:t>(</w:t>
      </w:r>
      <w:r w:rsidR="009C58C8" w:rsidRPr="00FD211F">
        <w:rPr>
          <w:rStyle w:val="a6"/>
          <w:sz w:val="36"/>
          <w:szCs w:val="36"/>
          <w:rtl/>
        </w:rPr>
        <w:footnoteReference w:id="402"/>
      </w:r>
      <w:r w:rsidR="009C58C8" w:rsidRPr="00FD211F">
        <w:rPr>
          <w:rStyle w:val="a6"/>
          <w:sz w:val="36"/>
          <w:szCs w:val="36"/>
          <w:rtl/>
        </w:rPr>
        <w:t>)</w:t>
      </w:r>
      <w:r w:rsidR="00603323" w:rsidRPr="00FD211F">
        <w:rPr>
          <w:sz w:val="36"/>
          <w:szCs w:val="36"/>
          <w:rtl/>
        </w:rPr>
        <w:t xml:space="preserve">، </w:t>
      </w:r>
      <w:r w:rsidRPr="00FD211F">
        <w:rPr>
          <w:sz w:val="36"/>
          <w:szCs w:val="36"/>
          <w:rtl/>
        </w:rPr>
        <w:t>وذكر نظيره السيد الإمام</w:t>
      </w:r>
      <w:r w:rsidR="008F14E7" w:rsidRPr="00FD211F">
        <w:rPr>
          <w:sz w:val="36"/>
          <w:szCs w:val="36"/>
          <w:rtl/>
        </w:rPr>
        <w:t xml:space="preserve"> "قده"</w:t>
      </w:r>
      <w:r w:rsidR="009C58C8" w:rsidRPr="00FD211F">
        <w:rPr>
          <w:rStyle w:val="a6"/>
          <w:sz w:val="36"/>
          <w:szCs w:val="36"/>
          <w:rtl/>
        </w:rPr>
        <w:t>(</w:t>
      </w:r>
      <w:r w:rsidR="009C58C8" w:rsidRPr="00FD211F">
        <w:rPr>
          <w:rStyle w:val="a6"/>
          <w:sz w:val="36"/>
          <w:szCs w:val="36"/>
          <w:rtl/>
        </w:rPr>
        <w:footnoteReference w:id="403"/>
      </w:r>
      <w:r w:rsidR="009C58C8" w:rsidRPr="00FD211F">
        <w:rPr>
          <w:rStyle w:val="a6"/>
          <w:sz w:val="36"/>
          <w:szCs w:val="36"/>
          <w:rtl/>
        </w:rPr>
        <w:t>)</w:t>
      </w:r>
      <w:r w:rsidR="00603323" w:rsidRPr="00FD211F">
        <w:rPr>
          <w:sz w:val="36"/>
          <w:szCs w:val="36"/>
          <w:rtl/>
        </w:rPr>
        <w:t xml:space="preserve">، </w:t>
      </w:r>
      <w:r w:rsidRPr="00FD211F">
        <w:rPr>
          <w:sz w:val="36"/>
          <w:szCs w:val="36"/>
          <w:rtl/>
        </w:rPr>
        <w:t>فهذا مما لاوجه له</w:t>
      </w:r>
      <w:r w:rsidR="00603323" w:rsidRPr="00FD211F">
        <w:rPr>
          <w:sz w:val="36"/>
          <w:szCs w:val="36"/>
          <w:rtl/>
        </w:rPr>
        <w:t xml:space="preserve">، </w:t>
      </w:r>
      <w:r w:rsidRPr="00FD211F">
        <w:rPr>
          <w:sz w:val="36"/>
          <w:szCs w:val="36"/>
          <w:rtl/>
        </w:rPr>
        <w:t>لعدم وجدان أي</w:t>
      </w:r>
      <w:r w:rsidR="00EC7EDF" w:rsidRPr="00FD211F">
        <w:rPr>
          <w:sz w:val="36"/>
          <w:szCs w:val="36"/>
          <w:rtl/>
        </w:rPr>
        <w:t xml:space="preserve">ة </w:t>
      </w:r>
      <w:r w:rsidRPr="00FD211F">
        <w:rPr>
          <w:sz w:val="36"/>
          <w:szCs w:val="36"/>
          <w:rtl/>
        </w:rPr>
        <w:t>عناي</w:t>
      </w:r>
      <w:r w:rsidR="00EC7EDF" w:rsidRPr="00FD211F">
        <w:rPr>
          <w:sz w:val="36"/>
          <w:szCs w:val="36"/>
          <w:rtl/>
        </w:rPr>
        <w:t xml:space="preserve">ة </w:t>
      </w:r>
      <w:r w:rsidRPr="00FD211F">
        <w:rPr>
          <w:sz w:val="36"/>
          <w:szCs w:val="36"/>
          <w:rtl/>
        </w:rPr>
        <w:t>ومسامح</w:t>
      </w:r>
      <w:r w:rsidR="00EC7EDF" w:rsidRPr="00FD211F">
        <w:rPr>
          <w:sz w:val="36"/>
          <w:szCs w:val="36"/>
          <w:rtl/>
        </w:rPr>
        <w:t xml:space="preserve">ة </w:t>
      </w:r>
      <w:r w:rsidRPr="00FD211F">
        <w:rPr>
          <w:sz w:val="36"/>
          <w:szCs w:val="36"/>
          <w:rtl/>
        </w:rPr>
        <w:t>في اطلاق الصلا</w:t>
      </w:r>
      <w:r w:rsidR="00EC7EDF" w:rsidRPr="00FD211F">
        <w:rPr>
          <w:sz w:val="36"/>
          <w:szCs w:val="36"/>
          <w:rtl/>
        </w:rPr>
        <w:t xml:space="preserve">ة </w:t>
      </w:r>
      <w:r w:rsidRPr="00FD211F">
        <w:rPr>
          <w:sz w:val="36"/>
          <w:szCs w:val="36"/>
          <w:rtl/>
        </w:rPr>
        <w:t>عليها عرفا.</w:t>
      </w:r>
    </w:p>
    <w:p w14:paraId="46C47735" w14:textId="77777777" w:rsidR="00052BF2" w:rsidRPr="00FD211F" w:rsidRDefault="00052BF2" w:rsidP="009C58C8">
      <w:pPr>
        <w:ind w:left="0" w:firstLine="227"/>
        <w:jc w:val="both"/>
        <w:rPr>
          <w:sz w:val="36"/>
          <w:szCs w:val="36"/>
          <w:rtl/>
        </w:rPr>
      </w:pPr>
      <w:r w:rsidRPr="00FD211F">
        <w:rPr>
          <w:sz w:val="36"/>
          <w:szCs w:val="36"/>
          <w:rtl/>
        </w:rPr>
        <w:t>6- ان الصلا</w:t>
      </w:r>
      <w:r w:rsidR="00EC7EDF" w:rsidRPr="00FD211F">
        <w:rPr>
          <w:sz w:val="36"/>
          <w:szCs w:val="36"/>
          <w:rtl/>
        </w:rPr>
        <w:t xml:space="preserve">ة </w:t>
      </w:r>
      <w:r w:rsidRPr="00FD211F">
        <w:rPr>
          <w:sz w:val="36"/>
          <w:szCs w:val="36"/>
          <w:rtl/>
        </w:rPr>
        <w:t>حسب ما يظهر من الآيات والروايات كانت ثابت</w:t>
      </w:r>
      <w:r w:rsidR="00EC7EDF" w:rsidRPr="00FD211F">
        <w:rPr>
          <w:sz w:val="36"/>
          <w:szCs w:val="36"/>
          <w:rtl/>
        </w:rPr>
        <w:t xml:space="preserve">ة </w:t>
      </w:r>
      <w:r w:rsidRPr="00FD211F">
        <w:rPr>
          <w:sz w:val="36"/>
          <w:szCs w:val="36"/>
          <w:rtl/>
        </w:rPr>
        <w:t>في الشرائع السابق</w:t>
      </w:r>
      <w:r w:rsidR="00EC7EDF" w:rsidRPr="00FD211F">
        <w:rPr>
          <w:sz w:val="36"/>
          <w:szCs w:val="36"/>
          <w:rtl/>
        </w:rPr>
        <w:t>ة</w:t>
      </w:r>
      <w:r w:rsidR="00603323" w:rsidRPr="00FD211F">
        <w:rPr>
          <w:sz w:val="36"/>
          <w:szCs w:val="36"/>
          <w:rtl/>
        </w:rPr>
        <w:t xml:space="preserve">، </w:t>
      </w:r>
      <w:r w:rsidRPr="00FD211F">
        <w:rPr>
          <w:sz w:val="36"/>
          <w:szCs w:val="36"/>
          <w:rtl/>
        </w:rPr>
        <w:t>ويستبعد جدا كون الصلا</w:t>
      </w:r>
      <w:r w:rsidR="00EC7EDF" w:rsidRPr="00FD211F">
        <w:rPr>
          <w:sz w:val="36"/>
          <w:szCs w:val="36"/>
          <w:rtl/>
        </w:rPr>
        <w:t xml:space="preserve">ة </w:t>
      </w:r>
      <w:r w:rsidRPr="00FD211F">
        <w:rPr>
          <w:sz w:val="36"/>
          <w:szCs w:val="36"/>
          <w:rtl/>
        </w:rPr>
        <w:t>في الأمم السابق</w:t>
      </w:r>
      <w:r w:rsidR="00EC7EDF" w:rsidRPr="00FD211F">
        <w:rPr>
          <w:sz w:val="36"/>
          <w:szCs w:val="36"/>
          <w:rtl/>
        </w:rPr>
        <w:t xml:space="preserve">ة </w:t>
      </w:r>
      <w:r w:rsidRPr="00FD211F">
        <w:rPr>
          <w:sz w:val="36"/>
          <w:szCs w:val="36"/>
          <w:rtl/>
        </w:rPr>
        <w:t>متقوم</w:t>
      </w:r>
      <w:r w:rsidR="00EC7EDF" w:rsidRPr="00FD211F">
        <w:rPr>
          <w:sz w:val="36"/>
          <w:szCs w:val="36"/>
          <w:rtl/>
        </w:rPr>
        <w:t xml:space="preserve">ة </w:t>
      </w:r>
      <w:r w:rsidRPr="00FD211F">
        <w:rPr>
          <w:sz w:val="36"/>
          <w:szCs w:val="36"/>
          <w:rtl/>
        </w:rPr>
        <w:t>بهذه الاركان المشرع</w:t>
      </w:r>
      <w:r w:rsidR="00EC7EDF" w:rsidRPr="00FD211F">
        <w:rPr>
          <w:sz w:val="36"/>
          <w:szCs w:val="36"/>
          <w:rtl/>
        </w:rPr>
        <w:t xml:space="preserve">ة </w:t>
      </w:r>
      <w:r w:rsidRPr="00FD211F">
        <w:rPr>
          <w:sz w:val="36"/>
          <w:szCs w:val="36"/>
          <w:rtl/>
        </w:rPr>
        <w:t>في الاسلام</w:t>
      </w:r>
      <w:r w:rsidR="00603323" w:rsidRPr="00FD211F">
        <w:rPr>
          <w:sz w:val="36"/>
          <w:szCs w:val="36"/>
          <w:rtl/>
        </w:rPr>
        <w:t xml:space="preserve">، </w:t>
      </w:r>
      <w:r w:rsidRPr="00FD211F">
        <w:rPr>
          <w:sz w:val="36"/>
          <w:szCs w:val="36"/>
          <w:rtl/>
        </w:rPr>
        <w:t>كما كان للمشركين صلا</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فاقد</w:t>
      </w:r>
      <w:r w:rsidR="00EC7EDF" w:rsidRPr="00FD211F">
        <w:rPr>
          <w:sz w:val="36"/>
          <w:szCs w:val="36"/>
          <w:rtl/>
        </w:rPr>
        <w:t xml:space="preserve">ة </w:t>
      </w:r>
      <w:r w:rsidRPr="00FD211F">
        <w:rPr>
          <w:sz w:val="36"/>
          <w:szCs w:val="36"/>
          <w:rtl/>
        </w:rPr>
        <w:t>لهذه الأركان</w:t>
      </w:r>
      <w:r w:rsidR="00603323" w:rsidRPr="00FD211F">
        <w:rPr>
          <w:sz w:val="36"/>
          <w:szCs w:val="36"/>
          <w:rtl/>
        </w:rPr>
        <w:t xml:space="preserve">، </w:t>
      </w:r>
      <w:r w:rsidRPr="00FD211F">
        <w:rPr>
          <w:sz w:val="36"/>
          <w:szCs w:val="36"/>
          <w:rtl/>
        </w:rPr>
        <w:t>وقد قال تعالى</w:t>
      </w:r>
      <w:r w:rsidR="00662BCB" w:rsidRPr="00FD211F">
        <w:rPr>
          <w:sz w:val="36"/>
          <w:szCs w:val="36"/>
          <w:rtl/>
        </w:rPr>
        <w:t xml:space="preserve"> </w:t>
      </w:r>
      <w:r w:rsidR="000557CD" w:rsidRPr="00FD211F">
        <w:rPr>
          <w:sz w:val="36"/>
          <w:szCs w:val="36"/>
          <w:rtl/>
        </w:rPr>
        <w:t>"</w:t>
      </w:r>
      <w:r w:rsidRPr="00FD211F">
        <w:rPr>
          <w:sz w:val="36"/>
          <w:szCs w:val="36"/>
          <w:rtl/>
        </w:rPr>
        <w:t>وما كان صلاتهم عند البيت الا مكاء وتصدي</w:t>
      </w:r>
      <w:r w:rsidR="00EC7EDF" w:rsidRPr="00FD211F">
        <w:rPr>
          <w:sz w:val="36"/>
          <w:szCs w:val="36"/>
          <w:rtl/>
        </w:rPr>
        <w:t>ة</w:t>
      </w:r>
      <w:r w:rsidR="000557CD" w:rsidRPr="00FD211F">
        <w:rPr>
          <w:sz w:val="36"/>
          <w:szCs w:val="36"/>
          <w:rtl/>
        </w:rPr>
        <w:t>"</w:t>
      </w:r>
      <w:r w:rsidRPr="00FD211F">
        <w:rPr>
          <w:sz w:val="36"/>
          <w:szCs w:val="36"/>
          <w:rtl/>
        </w:rPr>
        <w:t>.</w:t>
      </w:r>
    </w:p>
    <w:p w14:paraId="7A1E02CB" w14:textId="77777777" w:rsidR="00052BF2" w:rsidRPr="00FD211F" w:rsidRDefault="007E736F" w:rsidP="009C58C8">
      <w:pPr>
        <w:ind w:left="0" w:firstLine="227"/>
        <w:jc w:val="both"/>
        <w:rPr>
          <w:sz w:val="36"/>
          <w:szCs w:val="36"/>
          <w:rtl/>
        </w:rPr>
      </w:pPr>
      <w:r w:rsidRPr="00FD211F">
        <w:rPr>
          <w:sz w:val="36"/>
          <w:szCs w:val="36"/>
          <w:rtl/>
        </w:rPr>
        <w:t xml:space="preserve">7- ان السيدالخوئي </w:t>
      </w:r>
      <w:r w:rsidR="000557CD" w:rsidRPr="00FD211F">
        <w:rPr>
          <w:sz w:val="36"/>
          <w:szCs w:val="36"/>
          <w:rtl/>
        </w:rPr>
        <w:t>"</w:t>
      </w:r>
      <w:r w:rsidR="00052BF2" w:rsidRPr="00FD211F">
        <w:rPr>
          <w:sz w:val="36"/>
          <w:szCs w:val="36"/>
          <w:rtl/>
        </w:rPr>
        <w:t>قده</w:t>
      </w:r>
      <w:r w:rsidR="000557CD" w:rsidRPr="00FD211F">
        <w:rPr>
          <w:sz w:val="36"/>
          <w:szCs w:val="36"/>
          <w:rtl/>
        </w:rPr>
        <w:t>"</w:t>
      </w:r>
      <w:r w:rsidR="00052BF2" w:rsidRPr="00FD211F">
        <w:rPr>
          <w:sz w:val="36"/>
          <w:szCs w:val="36"/>
          <w:rtl/>
        </w:rPr>
        <w:t xml:space="preserve"> قد ادعى وفاقا للمحقق القمي</w:t>
      </w:r>
      <w:r w:rsidR="00A61BAE" w:rsidRPr="00FD211F">
        <w:rPr>
          <w:sz w:val="36"/>
          <w:szCs w:val="36"/>
          <w:rtl/>
        </w:rPr>
        <w:t xml:space="preserve"> </w:t>
      </w:r>
      <w:r w:rsidR="00662BCB" w:rsidRPr="00FD211F">
        <w:rPr>
          <w:sz w:val="36"/>
          <w:szCs w:val="36"/>
          <w:rtl/>
        </w:rPr>
        <w:t>"قده"</w:t>
      </w:r>
      <w:r w:rsidR="00A61BAE" w:rsidRPr="00FD211F">
        <w:rPr>
          <w:sz w:val="36"/>
          <w:szCs w:val="36"/>
          <w:rtl/>
        </w:rPr>
        <w:t xml:space="preserve"> </w:t>
      </w:r>
      <w:r w:rsidR="00052BF2" w:rsidRPr="00FD211F">
        <w:rPr>
          <w:sz w:val="36"/>
          <w:szCs w:val="36"/>
          <w:rtl/>
        </w:rPr>
        <w:t>وضع اسماء العبادات بشكل عام للأركان</w:t>
      </w:r>
      <w:r w:rsidR="00603323" w:rsidRPr="00FD211F">
        <w:rPr>
          <w:sz w:val="36"/>
          <w:szCs w:val="36"/>
          <w:rtl/>
        </w:rPr>
        <w:t xml:space="preserve">، </w:t>
      </w:r>
      <w:r w:rsidR="00052BF2" w:rsidRPr="00FD211F">
        <w:rPr>
          <w:sz w:val="36"/>
          <w:szCs w:val="36"/>
          <w:rtl/>
        </w:rPr>
        <w:t>وحينئذ فيسأل عن كيفي</w:t>
      </w:r>
      <w:r w:rsidR="00EC7EDF" w:rsidRPr="00FD211F">
        <w:rPr>
          <w:sz w:val="36"/>
          <w:szCs w:val="36"/>
          <w:rtl/>
        </w:rPr>
        <w:t xml:space="preserve">ة </w:t>
      </w:r>
      <w:r w:rsidR="00052BF2" w:rsidRPr="00FD211F">
        <w:rPr>
          <w:sz w:val="36"/>
          <w:szCs w:val="36"/>
          <w:rtl/>
        </w:rPr>
        <w:t>وضع الصيام على خصوص الأركان</w:t>
      </w:r>
      <w:r w:rsidR="00603323" w:rsidRPr="00FD211F">
        <w:rPr>
          <w:sz w:val="36"/>
          <w:szCs w:val="36"/>
          <w:rtl/>
        </w:rPr>
        <w:t xml:space="preserve">، </w:t>
      </w:r>
      <w:r w:rsidR="00052BF2" w:rsidRPr="00FD211F">
        <w:rPr>
          <w:sz w:val="36"/>
          <w:szCs w:val="36"/>
          <w:rtl/>
        </w:rPr>
        <w:t>فقد ذكر ان المفهوم من كلم</w:t>
      </w:r>
      <w:r w:rsidR="00EC7EDF" w:rsidRPr="00FD211F">
        <w:rPr>
          <w:sz w:val="36"/>
          <w:szCs w:val="36"/>
          <w:rtl/>
        </w:rPr>
        <w:t xml:space="preserve">ة </w:t>
      </w:r>
      <w:r w:rsidR="00052BF2" w:rsidRPr="00FD211F">
        <w:rPr>
          <w:sz w:val="36"/>
          <w:szCs w:val="36"/>
          <w:rtl/>
        </w:rPr>
        <w:t>الصيام مثلا كف</w:t>
      </w:r>
      <w:r w:rsidR="00662BCB" w:rsidRPr="00FD211F">
        <w:rPr>
          <w:sz w:val="36"/>
          <w:szCs w:val="36"/>
          <w:rtl/>
        </w:rPr>
        <w:t>ّ</w:t>
      </w:r>
      <w:r w:rsidR="00052BF2" w:rsidRPr="00FD211F">
        <w:rPr>
          <w:sz w:val="36"/>
          <w:szCs w:val="36"/>
          <w:rtl/>
        </w:rPr>
        <w:t xml:space="preserve"> النفس عن الاكل والشرب وهو معناه اللغوي</w:t>
      </w:r>
      <w:r w:rsidR="00603323" w:rsidRPr="00FD211F">
        <w:rPr>
          <w:sz w:val="36"/>
          <w:szCs w:val="36"/>
          <w:rtl/>
        </w:rPr>
        <w:t xml:space="preserve">، </w:t>
      </w:r>
      <w:r w:rsidR="00052BF2" w:rsidRPr="00FD211F">
        <w:rPr>
          <w:sz w:val="36"/>
          <w:szCs w:val="36"/>
          <w:rtl/>
        </w:rPr>
        <w:t>فالصيام بهذا المعنى كان ثابتا في الشرائع والأديان بقرين</w:t>
      </w:r>
      <w:r w:rsidR="00EC7EDF" w:rsidRPr="00FD211F">
        <w:rPr>
          <w:sz w:val="36"/>
          <w:szCs w:val="36"/>
          <w:rtl/>
        </w:rPr>
        <w:t xml:space="preserve">ة </w:t>
      </w:r>
      <w:r w:rsidR="00052BF2" w:rsidRPr="00FD211F">
        <w:rPr>
          <w:sz w:val="36"/>
          <w:szCs w:val="36"/>
          <w:rtl/>
        </w:rPr>
        <w:t>قوله تعالى: كلوا واشربوا حتى يتبين لكم الخيط الابيض من الخيط الاسود من الفجر</w:t>
      </w:r>
      <w:r w:rsidR="00603323" w:rsidRPr="00FD211F">
        <w:rPr>
          <w:sz w:val="36"/>
          <w:szCs w:val="36"/>
          <w:rtl/>
        </w:rPr>
        <w:t xml:space="preserve">، </w:t>
      </w:r>
      <w:r w:rsidR="00052BF2" w:rsidRPr="00FD211F">
        <w:rPr>
          <w:sz w:val="36"/>
          <w:szCs w:val="36"/>
          <w:rtl/>
        </w:rPr>
        <w:t>حيث</w:t>
      </w:r>
      <w:r w:rsidR="008D7B3D" w:rsidRPr="00FD211F">
        <w:rPr>
          <w:sz w:val="36"/>
          <w:szCs w:val="36"/>
          <w:rtl/>
        </w:rPr>
        <w:t xml:space="preserve"> لم‌</w:t>
      </w:r>
      <w:r w:rsidR="00052BF2" w:rsidRPr="00FD211F">
        <w:rPr>
          <w:sz w:val="36"/>
          <w:szCs w:val="36"/>
          <w:rtl/>
        </w:rPr>
        <w:t>يعتبر فيه سوى الكف عن الاكل والشرب عند تبين الخيط الاسود</w:t>
      </w:r>
      <w:r w:rsidR="00603323" w:rsidRPr="00FD211F">
        <w:rPr>
          <w:sz w:val="36"/>
          <w:szCs w:val="36"/>
          <w:rtl/>
        </w:rPr>
        <w:t xml:space="preserve">، </w:t>
      </w:r>
      <w:r w:rsidR="00052BF2" w:rsidRPr="00FD211F">
        <w:rPr>
          <w:sz w:val="36"/>
          <w:szCs w:val="36"/>
          <w:rtl/>
        </w:rPr>
        <w:t>نعم ذلك يختلف باختلاف كيفي</w:t>
      </w:r>
      <w:r w:rsidR="00EC7EDF" w:rsidRPr="00FD211F">
        <w:rPr>
          <w:sz w:val="36"/>
          <w:szCs w:val="36"/>
          <w:rtl/>
        </w:rPr>
        <w:t xml:space="preserve">ة </w:t>
      </w:r>
      <w:r w:rsidR="00052BF2" w:rsidRPr="00FD211F">
        <w:rPr>
          <w:sz w:val="36"/>
          <w:szCs w:val="36"/>
          <w:rtl/>
        </w:rPr>
        <w:t>الشرائع</w:t>
      </w:r>
      <w:r w:rsidR="00603323" w:rsidRPr="00FD211F">
        <w:rPr>
          <w:sz w:val="36"/>
          <w:szCs w:val="36"/>
          <w:rtl/>
        </w:rPr>
        <w:t xml:space="preserve">، </w:t>
      </w:r>
      <w:r w:rsidR="00052BF2" w:rsidRPr="00FD211F">
        <w:rPr>
          <w:sz w:val="36"/>
          <w:szCs w:val="36"/>
          <w:rtl/>
        </w:rPr>
        <w:t>ولكن كل ذلك الاختلاف يرجع الى الخارج عن ماهي</w:t>
      </w:r>
      <w:r w:rsidR="00EC7EDF" w:rsidRPr="00FD211F">
        <w:rPr>
          <w:sz w:val="36"/>
          <w:szCs w:val="36"/>
          <w:rtl/>
        </w:rPr>
        <w:t xml:space="preserve">ة </w:t>
      </w:r>
      <w:r w:rsidR="00052BF2" w:rsidRPr="00FD211F">
        <w:rPr>
          <w:sz w:val="36"/>
          <w:szCs w:val="36"/>
          <w:rtl/>
        </w:rPr>
        <w:t>الصيام</w:t>
      </w:r>
      <w:r w:rsidR="00603323" w:rsidRPr="00FD211F">
        <w:rPr>
          <w:sz w:val="36"/>
          <w:szCs w:val="36"/>
          <w:rtl/>
        </w:rPr>
        <w:t xml:space="preserve">، </w:t>
      </w:r>
      <w:r w:rsidR="00052BF2" w:rsidRPr="00FD211F">
        <w:rPr>
          <w:sz w:val="36"/>
          <w:szCs w:val="36"/>
          <w:rtl/>
        </w:rPr>
        <w:t>واعتبر في شرع الاسلام الكف عن عد</w:t>
      </w:r>
      <w:r w:rsidR="00EC7EDF" w:rsidRPr="00FD211F">
        <w:rPr>
          <w:sz w:val="36"/>
          <w:szCs w:val="36"/>
          <w:rtl/>
        </w:rPr>
        <w:t xml:space="preserve">ة </w:t>
      </w:r>
      <w:r w:rsidR="00052BF2" w:rsidRPr="00FD211F">
        <w:rPr>
          <w:sz w:val="36"/>
          <w:szCs w:val="36"/>
          <w:rtl/>
        </w:rPr>
        <w:t>امور أخر ايضا</w:t>
      </w:r>
      <w:r w:rsidR="00603323" w:rsidRPr="00FD211F">
        <w:rPr>
          <w:sz w:val="36"/>
          <w:szCs w:val="36"/>
          <w:rtl/>
        </w:rPr>
        <w:t xml:space="preserve">، </w:t>
      </w:r>
      <w:r w:rsidR="00052BF2" w:rsidRPr="00FD211F">
        <w:rPr>
          <w:sz w:val="36"/>
          <w:szCs w:val="36"/>
          <w:rtl/>
        </w:rPr>
        <w:t>كالجماع والارتماس في الماء</w:t>
      </w:r>
      <w:r w:rsidR="00603323" w:rsidRPr="00FD211F">
        <w:rPr>
          <w:sz w:val="36"/>
          <w:szCs w:val="36"/>
          <w:rtl/>
        </w:rPr>
        <w:t xml:space="preserve">، </w:t>
      </w:r>
      <w:r w:rsidR="00052BF2" w:rsidRPr="00FD211F">
        <w:rPr>
          <w:sz w:val="36"/>
          <w:szCs w:val="36"/>
          <w:rtl/>
        </w:rPr>
        <w:t>وان</w:t>
      </w:r>
      <w:r w:rsidR="008D7B3D" w:rsidRPr="00FD211F">
        <w:rPr>
          <w:sz w:val="36"/>
          <w:szCs w:val="36"/>
          <w:rtl/>
        </w:rPr>
        <w:t xml:space="preserve"> لم‌</w:t>
      </w:r>
      <w:r w:rsidR="00052BF2" w:rsidRPr="00FD211F">
        <w:rPr>
          <w:sz w:val="36"/>
          <w:szCs w:val="36"/>
          <w:rtl/>
        </w:rPr>
        <w:t>يكن الكف عنها معتبرا في بقي</w:t>
      </w:r>
      <w:r w:rsidR="00EC7EDF" w:rsidRPr="00FD211F">
        <w:rPr>
          <w:sz w:val="36"/>
          <w:szCs w:val="36"/>
          <w:rtl/>
        </w:rPr>
        <w:t xml:space="preserve">ة </w:t>
      </w:r>
      <w:r w:rsidR="00052BF2" w:rsidRPr="00FD211F">
        <w:rPr>
          <w:sz w:val="36"/>
          <w:szCs w:val="36"/>
          <w:rtl/>
        </w:rPr>
        <w:t>الشرائع</w:t>
      </w:r>
      <w:r w:rsidR="00603323" w:rsidRPr="00FD211F">
        <w:rPr>
          <w:sz w:val="36"/>
          <w:szCs w:val="36"/>
          <w:rtl/>
        </w:rPr>
        <w:t xml:space="preserve">، </w:t>
      </w:r>
      <w:r w:rsidR="00052BF2" w:rsidRPr="00FD211F">
        <w:rPr>
          <w:sz w:val="36"/>
          <w:szCs w:val="36"/>
          <w:rtl/>
        </w:rPr>
        <w:t xml:space="preserve">فلو شك في كون الاتماس في الماء مثلا من المفطرات فيمكن التمسك باطلاق قوله تعالى </w:t>
      </w:r>
      <w:r w:rsidR="00662BCB" w:rsidRPr="00FD211F">
        <w:rPr>
          <w:sz w:val="36"/>
          <w:szCs w:val="36"/>
          <w:rtl/>
        </w:rPr>
        <w:t>"</w:t>
      </w:r>
      <w:r w:rsidR="00052BF2" w:rsidRPr="00FD211F">
        <w:rPr>
          <w:sz w:val="36"/>
          <w:szCs w:val="36"/>
          <w:rtl/>
        </w:rPr>
        <w:t>كتب عليكم الصيام</w:t>
      </w:r>
      <w:r w:rsidR="00662BCB" w:rsidRPr="00FD211F">
        <w:rPr>
          <w:sz w:val="36"/>
          <w:szCs w:val="36"/>
          <w:rtl/>
        </w:rPr>
        <w:t>"</w:t>
      </w:r>
      <w:r w:rsidR="00052BF2" w:rsidRPr="00FD211F">
        <w:rPr>
          <w:sz w:val="36"/>
          <w:szCs w:val="36"/>
          <w:rtl/>
        </w:rPr>
        <w:t xml:space="preserve"> لنفي مفطريته</w:t>
      </w:r>
      <w:r w:rsidR="009C58C8" w:rsidRPr="00FD211F">
        <w:rPr>
          <w:rStyle w:val="a6"/>
          <w:sz w:val="36"/>
          <w:szCs w:val="36"/>
          <w:rtl/>
        </w:rPr>
        <w:t>(</w:t>
      </w:r>
      <w:r w:rsidR="009C58C8" w:rsidRPr="00FD211F">
        <w:rPr>
          <w:rStyle w:val="a6"/>
          <w:sz w:val="36"/>
          <w:szCs w:val="36"/>
          <w:rtl/>
        </w:rPr>
        <w:footnoteReference w:id="404"/>
      </w:r>
      <w:r w:rsidR="009C58C8" w:rsidRPr="00FD211F">
        <w:rPr>
          <w:rStyle w:val="a6"/>
          <w:sz w:val="36"/>
          <w:szCs w:val="36"/>
          <w:rtl/>
        </w:rPr>
        <w:t>)</w:t>
      </w:r>
      <w:r w:rsidR="00052BF2" w:rsidRPr="00FD211F">
        <w:rPr>
          <w:sz w:val="36"/>
          <w:szCs w:val="36"/>
          <w:rtl/>
        </w:rPr>
        <w:t>.</w:t>
      </w:r>
    </w:p>
    <w:p w14:paraId="6C5E1E14" w14:textId="77777777" w:rsidR="00052BF2" w:rsidRPr="00FD211F" w:rsidRDefault="00052BF2" w:rsidP="009C58C8">
      <w:pPr>
        <w:ind w:left="0" w:firstLine="227"/>
        <w:jc w:val="both"/>
        <w:rPr>
          <w:sz w:val="36"/>
          <w:szCs w:val="36"/>
          <w:rtl/>
        </w:rPr>
      </w:pPr>
      <w:r w:rsidRPr="00FD211F">
        <w:rPr>
          <w:sz w:val="36"/>
          <w:szCs w:val="36"/>
          <w:rtl/>
        </w:rPr>
        <w:t xml:space="preserve">فيلاحظ عليه انه لو كان مقصوده </w:t>
      </w:r>
      <w:r w:rsidR="000557CD" w:rsidRPr="00FD211F">
        <w:rPr>
          <w:sz w:val="36"/>
          <w:szCs w:val="36"/>
          <w:rtl/>
        </w:rPr>
        <w:t>"</w:t>
      </w:r>
      <w:r w:rsidRPr="00FD211F">
        <w:rPr>
          <w:sz w:val="36"/>
          <w:szCs w:val="36"/>
          <w:rtl/>
        </w:rPr>
        <w:t>قده</w:t>
      </w:r>
      <w:r w:rsidR="000557CD" w:rsidRPr="00FD211F">
        <w:rPr>
          <w:sz w:val="36"/>
          <w:szCs w:val="36"/>
          <w:rtl/>
        </w:rPr>
        <w:t>"</w:t>
      </w:r>
      <w:r w:rsidRPr="00FD211F">
        <w:rPr>
          <w:sz w:val="36"/>
          <w:szCs w:val="36"/>
          <w:rtl/>
        </w:rPr>
        <w:t xml:space="preserve"> ما هو ظاهر كلامه من ان ركن الصوم في جميع الاديان هو الاجتناب عن الاكل والشرب فقط</w:t>
      </w:r>
      <w:r w:rsidR="00603323" w:rsidRPr="00FD211F">
        <w:rPr>
          <w:sz w:val="36"/>
          <w:szCs w:val="36"/>
          <w:rtl/>
        </w:rPr>
        <w:t xml:space="preserve">، </w:t>
      </w:r>
      <w:r w:rsidRPr="00FD211F">
        <w:rPr>
          <w:sz w:val="36"/>
          <w:szCs w:val="36"/>
          <w:rtl/>
        </w:rPr>
        <w:t>فلم يقم عليه اي دليل</w:t>
      </w:r>
      <w:r w:rsidR="00603323" w:rsidRPr="00FD211F">
        <w:rPr>
          <w:sz w:val="36"/>
          <w:szCs w:val="36"/>
          <w:rtl/>
        </w:rPr>
        <w:t xml:space="preserve">، </w:t>
      </w:r>
      <w:r w:rsidRPr="00FD211F">
        <w:rPr>
          <w:sz w:val="36"/>
          <w:szCs w:val="36"/>
          <w:rtl/>
        </w:rPr>
        <w:t>ولايظهر من قوله تعالى كلوا واشربوا</w:t>
      </w:r>
      <w:r w:rsidR="00EC7EDF" w:rsidRPr="00FD211F">
        <w:rPr>
          <w:sz w:val="36"/>
          <w:szCs w:val="36"/>
          <w:rtl/>
        </w:rPr>
        <w:t>.</w:t>
      </w:r>
      <w:r w:rsidRPr="00FD211F">
        <w:rPr>
          <w:sz w:val="36"/>
          <w:szCs w:val="36"/>
          <w:rtl/>
        </w:rPr>
        <w:t>.. الترخيص في ارتكاب ما عدا الاكل والشرب كما هو واضح</w:t>
      </w:r>
      <w:r w:rsidR="00603323" w:rsidRPr="00FD211F">
        <w:rPr>
          <w:sz w:val="36"/>
          <w:szCs w:val="36"/>
          <w:rtl/>
        </w:rPr>
        <w:t xml:space="preserve">، </w:t>
      </w:r>
      <w:r w:rsidRPr="00FD211F">
        <w:rPr>
          <w:sz w:val="36"/>
          <w:szCs w:val="36"/>
          <w:rtl/>
        </w:rPr>
        <w:t>والمفروض ان الصوم حسب دعواه قد وضع لما يشتمل على الأركان الشرعي</w:t>
      </w:r>
      <w:r w:rsidR="00EC7EDF" w:rsidRPr="00FD211F">
        <w:rPr>
          <w:sz w:val="36"/>
          <w:szCs w:val="36"/>
          <w:rtl/>
        </w:rPr>
        <w:t xml:space="preserve">ة </w:t>
      </w:r>
      <w:r w:rsidRPr="00FD211F">
        <w:rPr>
          <w:sz w:val="36"/>
          <w:szCs w:val="36"/>
          <w:rtl/>
        </w:rPr>
        <w:t>لاالعرفي</w:t>
      </w:r>
      <w:r w:rsidR="00EC7EDF" w:rsidRPr="00FD211F">
        <w:rPr>
          <w:sz w:val="36"/>
          <w:szCs w:val="36"/>
          <w:rtl/>
        </w:rPr>
        <w:t xml:space="preserve">ة </w:t>
      </w:r>
      <w:r w:rsidRPr="00FD211F">
        <w:rPr>
          <w:sz w:val="36"/>
          <w:szCs w:val="36"/>
          <w:rtl/>
        </w:rPr>
        <w:t>فقط</w:t>
      </w:r>
      <w:r w:rsidR="00603323" w:rsidRPr="00FD211F">
        <w:rPr>
          <w:sz w:val="36"/>
          <w:szCs w:val="36"/>
          <w:rtl/>
        </w:rPr>
        <w:t xml:space="preserve">، </w:t>
      </w:r>
      <w:r w:rsidRPr="00FD211F">
        <w:rPr>
          <w:sz w:val="36"/>
          <w:szCs w:val="36"/>
          <w:rtl/>
        </w:rPr>
        <w:t>فلايكفي صدق الصوم اللغوي على مجرد الامساك عن الأكل والشرب</w:t>
      </w:r>
      <w:r w:rsidR="00603323" w:rsidRPr="00FD211F">
        <w:rPr>
          <w:sz w:val="36"/>
          <w:szCs w:val="36"/>
          <w:rtl/>
        </w:rPr>
        <w:t xml:space="preserve">، </w:t>
      </w:r>
      <w:r w:rsidRPr="00FD211F">
        <w:rPr>
          <w:sz w:val="36"/>
          <w:szCs w:val="36"/>
          <w:rtl/>
        </w:rPr>
        <w:t>وعلى هذا فكلما يجب الإمساك عنه شرعا فيعتبر ركنا في الصوم حيث يبطل الصوم بارتكابه ولو جهلا بالحكم</w:t>
      </w:r>
      <w:r w:rsidR="00603323" w:rsidRPr="00FD211F">
        <w:rPr>
          <w:sz w:val="36"/>
          <w:szCs w:val="36"/>
          <w:rtl/>
        </w:rPr>
        <w:t xml:space="preserve">، </w:t>
      </w:r>
      <w:r w:rsidRPr="00FD211F">
        <w:rPr>
          <w:sz w:val="36"/>
          <w:szCs w:val="36"/>
          <w:rtl/>
        </w:rPr>
        <w:t>ومعه فلو ارتكب ما يشك في مفطريته فيشك في تحقق مسمى الصوم ولايمكن حينئذ التمسك باطلاق الآي</w:t>
      </w:r>
      <w:r w:rsidR="00EC7EDF" w:rsidRPr="00FD211F">
        <w:rPr>
          <w:sz w:val="36"/>
          <w:szCs w:val="36"/>
          <w:rtl/>
        </w:rPr>
        <w:t xml:space="preserve">ة </w:t>
      </w:r>
      <w:r w:rsidRPr="00FD211F">
        <w:rPr>
          <w:sz w:val="36"/>
          <w:szCs w:val="36"/>
          <w:rtl/>
        </w:rPr>
        <w:t>لنفي مفطريته</w:t>
      </w:r>
      <w:r w:rsidR="00603323" w:rsidRPr="00FD211F">
        <w:rPr>
          <w:sz w:val="36"/>
          <w:szCs w:val="36"/>
          <w:rtl/>
        </w:rPr>
        <w:t xml:space="preserve">، </w:t>
      </w:r>
      <w:r w:rsidRPr="00FD211F">
        <w:rPr>
          <w:sz w:val="36"/>
          <w:szCs w:val="36"/>
          <w:rtl/>
        </w:rPr>
        <w:t>نعم لو تم ما اختاره بعض الساد</w:t>
      </w:r>
      <w:r w:rsidR="00EC7EDF" w:rsidRPr="00FD211F">
        <w:rPr>
          <w:sz w:val="36"/>
          <w:szCs w:val="36"/>
          <w:rtl/>
        </w:rPr>
        <w:t xml:space="preserve">ة </w:t>
      </w:r>
      <w:r w:rsidRPr="00FD211F">
        <w:rPr>
          <w:sz w:val="36"/>
          <w:szCs w:val="36"/>
          <w:rtl/>
        </w:rPr>
        <w:t xml:space="preserve">الأعلام </w:t>
      </w:r>
      <w:r w:rsidR="00662BCB" w:rsidRPr="00FD211F">
        <w:rPr>
          <w:sz w:val="36"/>
          <w:szCs w:val="36"/>
          <w:rtl/>
        </w:rPr>
        <w:t>"</w:t>
      </w:r>
      <w:r w:rsidR="007A4A0D" w:rsidRPr="00FD211F">
        <w:rPr>
          <w:sz w:val="36"/>
          <w:szCs w:val="36"/>
          <w:rtl/>
        </w:rPr>
        <w:t>دام‌ظله</w:t>
      </w:r>
      <w:r w:rsidR="00662BCB" w:rsidRPr="00FD211F">
        <w:rPr>
          <w:sz w:val="36"/>
          <w:szCs w:val="36"/>
          <w:rtl/>
        </w:rPr>
        <w:t>"</w:t>
      </w:r>
      <w:r w:rsidRPr="00FD211F">
        <w:rPr>
          <w:sz w:val="36"/>
          <w:szCs w:val="36"/>
          <w:rtl/>
        </w:rPr>
        <w:t xml:space="preserve"> من ان الصوم مركب من الفريض</w:t>
      </w:r>
      <w:r w:rsidR="00EC7EDF" w:rsidRPr="00FD211F">
        <w:rPr>
          <w:sz w:val="36"/>
          <w:szCs w:val="36"/>
          <w:rtl/>
        </w:rPr>
        <w:t xml:space="preserve">ة </w:t>
      </w:r>
      <w:r w:rsidRPr="00FD211F">
        <w:rPr>
          <w:sz w:val="36"/>
          <w:szCs w:val="36"/>
          <w:rtl/>
        </w:rPr>
        <w:t>والسن</w:t>
      </w:r>
      <w:r w:rsidR="00EC7EDF" w:rsidRPr="00FD211F">
        <w:rPr>
          <w:sz w:val="36"/>
          <w:szCs w:val="36"/>
          <w:rtl/>
        </w:rPr>
        <w:t>ة</w:t>
      </w:r>
      <w:r w:rsidR="00603323" w:rsidRPr="00FD211F">
        <w:rPr>
          <w:sz w:val="36"/>
          <w:szCs w:val="36"/>
          <w:rtl/>
        </w:rPr>
        <w:t xml:space="preserve">، </w:t>
      </w:r>
      <w:r w:rsidRPr="00FD211F">
        <w:rPr>
          <w:sz w:val="36"/>
          <w:szCs w:val="36"/>
          <w:rtl/>
        </w:rPr>
        <w:t>والفريض</w:t>
      </w:r>
      <w:r w:rsidR="00EC7EDF" w:rsidRPr="00FD211F">
        <w:rPr>
          <w:sz w:val="36"/>
          <w:szCs w:val="36"/>
          <w:rtl/>
        </w:rPr>
        <w:t xml:space="preserve">ة </w:t>
      </w:r>
      <w:r w:rsidRPr="00FD211F">
        <w:rPr>
          <w:sz w:val="36"/>
          <w:szCs w:val="36"/>
          <w:rtl/>
        </w:rPr>
        <w:t>في الصوم هي الإمساك عن الاكل والشرب والجماع حيث دل عليه الكتاب الكريم</w:t>
      </w:r>
      <w:r w:rsidR="00603323" w:rsidRPr="00FD211F">
        <w:rPr>
          <w:sz w:val="36"/>
          <w:szCs w:val="36"/>
          <w:rtl/>
        </w:rPr>
        <w:t xml:space="preserve">، </w:t>
      </w:r>
      <w:r w:rsidRPr="00FD211F">
        <w:rPr>
          <w:sz w:val="36"/>
          <w:szCs w:val="36"/>
          <w:rtl/>
        </w:rPr>
        <w:t>وسائر المفطرات تكون من السن</w:t>
      </w:r>
      <w:r w:rsidR="00EC7EDF" w:rsidRPr="00FD211F">
        <w:rPr>
          <w:sz w:val="36"/>
          <w:szCs w:val="36"/>
          <w:rtl/>
        </w:rPr>
        <w:t xml:space="preserve">ة </w:t>
      </w:r>
      <w:r w:rsidRPr="00FD211F">
        <w:rPr>
          <w:sz w:val="36"/>
          <w:szCs w:val="36"/>
          <w:rtl/>
        </w:rPr>
        <w:t>حيث دل عليها الروايات</w:t>
      </w:r>
      <w:r w:rsidR="00603323" w:rsidRPr="00FD211F">
        <w:rPr>
          <w:sz w:val="36"/>
          <w:szCs w:val="36"/>
          <w:rtl/>
        </w:rPr>
        <w:t xml:space="preserve">، </w:t>
      </w:r>
      <w:r w:rsidRPr="00FD211F">
        <w:rPr>
          <w:sz w:val="36"/>
          <w:szCs w:val="36"/>
          <w:rtl/>
        </w:rPr>
        <w:t>فالإخلال بها عن جهل قصوري بالحكم لايوجب انتقاض الصوم للقاعد</w:t>
      </w:r>
      <w:r w:rsidR="00EC7EDF" w:rsidRPr="00FD211F">
        <w:rPr>
          <w:sz w:val="36"/>
          <w:szCs w:val="36"/>
          <w:rtl/>
        </w:rPr>
        <w:t xml:space="preserve">ة </w:t>
      </w:r>
      <w:r w:rsidRPr="00FD211F">
        <w:rPr>
          <w:sz w:val="36"/>
          <w:szCs w:val="36"/>
          <w:rtl/>
        </w:rPr>
        <w:t>المستفاد</w:t>
      </w:r>
      <w:r w:rsidR="00EC7EDF" w:rsidRPr="00FD211F">
        <w:rPr>
          <w:sz w:val="36"/>
          <w:szCs w:val="36"/>
          <w:rtl/>
        </w:rPr>
        <w:t xml:space="preserve">ة </w:t>
      </w:r>
      <w:r w:rsidRPr="00FD211F">
        <w:rPr>
          <w:sz w:val="36"/>
          <w:szCs w:val="36"/>
          <w:rtl/>
        </w:rPr>
        <w:t>من حديث لاتعاد وهي ان السن</w:t>
      </w:r>
      <w:r w:rsidR="00EC7EDF" w:rsidRPr="00FD211F">
        <w:rPr>
          <w:sz w:val="36"/>
          <w:szCs w:val="36"/>
          <w:rtl/>
        </w:rPr>
        <w:t xml:space="preserve">ة </w:t>
      </w:r>
      <w:r w:rsidRPr="00FD211F">
        <w:rPr>
          <w:sz w:val="36"/>
          <w:szCs w:val="36"/>
          <w:rtl/>
        </w:rPr>
        <w:t>لاتنقض الفريض</w:t>
      </w:r>
      <w:r w:rsidR="00EC7EDF" w:rsidRPr="00FD211F">
        <w:rPr>
          <w:sz w:val="36"/>
          <w:szCs w:val="36"/>
          <w:rtl/>
        </w:rPr>
        <w:t>ة</w:t>
      </w:r>
      <w:r w:rsidR="00603323" w:rsidRPr="00FD211F">
        <w:rPr>
          <w:sz w:val="36"/>
          <w:szCs w:val="36"/>
          <w:rtl/>
        </w:rPr>
        <w:t xml:space="preserve">، </w:t>
      </w:r>
      <w:r w:rsidRPr="00FD211F">
        <w:rPr>
          <w:sz w:val="36"/>
          <w:szCs w:val="36"/>
          <w:rtl/>
        </w:rPr>
        <w:t>فيكون بناء على هذا المسلك اركان الصوم هو الاجتناب عن الأكل والشرب والجماع فحسب.</w:t>
      </w:r>
    </w:p>
    <w:p w14:paraId="71B4DAAD" w14:textId="77777777" w:rsidR="00052BF2" w:rsidRPr="00FD211F" w:rsidRDefault="00052BF2" w:rsidP="009C58C8">
      <w:pPr>
        <w:ind w:left="0" w:firstLine="227"/>
        <w:jc w:val="both"/>
        <w:rPr>
          <w:sz w:val="36"/>
          <w:szCs w:val="36"/>
          <w:rtl/>
        </w:rPr>
      </w:pPr>
      <w:r w:rsidRPr="00FD211F">
        <w:rPr>
          <w:sz w:val="36"/>
          <w:szCs w:val="36"/>
          <w:rtl/>
        </w:rPr>
        <w:t xml:space="preserve">8- ان ما ذكره </w:t>
      </w:r>
      <w:r w:rsidR="000557CD" w:rsidRPr="00FD211F">
        <w:rPr>
          <w:sz w:val="36"/>
          <w:szCs w:val="36"/>
          <w:rtl/>
        </w:rPr>
        <w:t>"</w:t>
      </w:r>
      <w:r w:rsidRPr="00FD211F">
        <w:rPr>
          <w:sz w:val="36"/>
          <w:szCs w:val="36"/>
          <w:rtl/>
        </w:rPr>
        <w:t>قده</w:t>
      </w:r>
      <w:r w:rsidR="000557CD" w:rsidRPr="00FD211F">
        <w:rPr>
          <w:sz w:val="36"/>
          <w:szCs w:val="36"/>
          <w:rtl/>
        </w:rPr>
        <w:t>"</w:t>
      </w:r>
      <w:r w:rsidRPr="00FD211F">
        <w:rPr>
          <w:sz w:val="36"/>
          <w:szCs w:val="36"/>
          <w:rtl/>
        </w:rPr>
        <w:t xml:space="preserve"> حول الاشكال الثاني فقد اورد عليه في البحوث ان وضع لفظ الصلا</w:t>
      </w:r>
      <w:r w:rsidR="00EC7EDF" w:rsidRPr="00FD211F">
        <w:rPr>
          <w:sz w:val="36"/>
          <w:szCs w:val="36"/>
          <w:rtl/>
        </w:rPr>
        <w:t xml:space="preserve">ة </w:t>
      </w:r>
      <w:r w:rsidRPr="00FD211F">
        <w:rPr>
          <w:sz w:val="36"/>
          <w:szCs w:val="36"/>
          <w:rtl/>
        </w:rPr>
        <w:t>على خصوص الاركان لابشرط من سائر الاجزاء والشرائط لايجتمع مع شمول مسمى الصلا</w:t>
      </w:r>
      <w:r w:rsidR="00EC7EDF" w:rsidRPr="00FD211F">
        <w:rPr>
          <w:sz w:val="36"/>
          <w:szCs w:val="36"/>
          <w:rtl/>
        </w:rPr>
        <w:t xml:space="preserve">ة </w:t>
      </w:r>
      <w:r w:rsidRPr="00FD211F">
        <w:rPr>
          <w:sz w:val="36"/>
          <w:szCs w:val="36"/>
          <w:rtl/>
        </w:rPr>
        <w:t>لتلك الأجزاء والشرائط لان اللابشرطي</w:t>
      </w:r>
      <w:r w:rsidR="00EC7EDF" w:rsidRPr="00FD211F">
        <w:rPr>
          <w:sz w:val="36"/>
          <w:szCs w:val="36"/>
          <w:rtl/>
        </w:rPr>
        <w:t xml:space="preserve">ة </w:t>
      </w:r>
      <w:r w:rsidRPr="00FD211F">
        <w:rPr>
          <w:sz w:val="36"/>
          <w:szCs w:val="36"/>
          <w:rtl/>
        </w:rPr>
        <w:t>تعني رفض القيد</w:t>
      </w:r>
      <w:r w:rsidR="00603323" w:rsidRPr="00FD211F">
        <w:rPr>
          <w:sz w:val="36"/>
          <w:szCs w:val="36"/>
          <w:rtl/>
        </w:rPr>
        <w:t xml:space="preserve">، </w:t>
      </w:r>
      <w:r w:rsidRPr="00FD211F">
        <w:rPr>
          <w:sz w:val="36"/>
          <w:szCs w:val="36"/>
          <w:rtl/>
        </w:rPr>
        <w:t>وهو يلازم خروجه وجودا وعدما</w:t>
      </w:r>
      <w:r w:rsidR="00603323" w:rsidRPr="00FD211F">
        <w:rPr>
          <w:sz w:val="36"/>
          <w:szCs w:val="36"/>
          <w:rtl/>
        </w:rPr>
        <w:t xml:space="preserve">، </w:t>
      </w:r>
      <w:r w:rsidRPr="00FD211F">
        <w:rPr>
          <w:sz w:val="36"/>
          <w:szCs w:val="36"/>
          <w:rtl/>
        </w:rPr>
        <w:t>وليست بمعنى جمع القيود حتى يكون القيد في حال وجوده داخلا وفي حال عدمه خارجا</w:t>
      </w:r>
      <w:r w:rsidR="00603323" w:rsidRPr="00FD211F">
        <w:rPr>
          <w:sz w:val="36"/>
          <w:szCs w:val="36"/>
          <w:rtl/>
        </w:rPr>
        <w:t xml:space="preserve">، </w:t>
      </w:r>
      <w:r w:rsidRPr="00FD211F">
        <w:rPr>
          <w:sz w:val="36"/>
          <w:szCs w:val="36"/>
          <w:rtl/>
        </w:rPr>
        <w:t>فانه مضافا الى فساد مبنى كون الاطلاق جمع القيود</w:t>
      </w:r>
      <w:r w:rsidR="00603323" w:rsidRPr="00FD211F">
        <w:rPr>
          <w:sz w:val="36"/>
          <w:szCs w:val="36"/>
          <w:rtl/>
        </w:rPr>
        <w:t xml:space="preserve">، </w:t>
      </w:r>
      <w:r w:rsidRPr="00FD211F">
        <w:rPr>
          <w:sz w:val="36"/>
          <w:szCs w:val="36"/>
          <w:rtl/>
        </w:rPr>
        <w:t>يستلزم ان يكون المسمى افراد الصلا</w:t>
      </w:r>
      <w:r w:rsidR="00EC7EDF" w:rsidRPr="00FD211F">
        <w:rPr>
          <w:sz w:val="36"/>
          <w:szCs w:val="36"/>
          <w:rtl/>
        </w:rPr>
        <w:t xml:space="preserve">ة </w:t>
      </w:r>
      <w:r w:rsidRPr="00FD211F">
        <w:rPr>
          <w:sz w:val="36"/>
          <w:szCs w:val="36"/>
          <w:rtl/>
        </w:rPr>
        <w:t>بنحو الوضع العام والموضوع له الخاص</w:t>
      </w:r>
      <w:r w:rsidR="007E736F" w:rsidRPr="00FD211F">
        <w:rPr>
          <w:sz w:val="36"/>
          <w:szCs w:val="36"/>
          <w:rtl/>
        </w:rPr>
        <w:t xml:space="preserve"> وهذا</w:t>
      </w:r>
      <w:r w:rsidR="00396266" w:rsidRPr="00FD211F">
        <w:rPr>
          <w:sz w:val="36"/>
          <w:szCs w:val="36"/>
          <w:rtl/>
        </w:rPr>
        <w:t xml:space="preserve"> </w:t>
      </w:r>
      <w:r w:rsidR="007E736F" w:rsidRPr="00FD211F">
        <w:rPr>
          <w:sz w:val="36"/>
          <w:szCs w:val="36"/>
          <w:rtl/>
        </w:rPr>
        <w:t>خلاف الوجدان اللغوي</w:t>
      </w:r>
      <w:r w:rsidR="00EC7EDF" w:rsidRPr="00FD211F">
        <w:rPr>
          <w:sz w:val="36"/>
          <w:szCs w:val="36"/>
          <w:rtl/>
        </w:rPr>
        <w:t>.</w:t>
      </w:r>
    </w:p>
    <w:p w14:paraId="423610F7" w14:textId="77777777" w:rsidR="00052BF2" w:rsidRPr="00FD211F" w:rsidRDefault="00052BF2" w:rsidP="009C58C8">
      <w:pPr>
        <w:ind w:left="0" w:firstLine="227"/>
        <w:jc w:val="both"/>
        <w:rPr>
          <w:sz w:val="36"/>
          <w:szCs w:val="36"/>
          <w:rtl/>
        </w:rPr>
      </w:pPr>
      <w:r w:rsidRPr="00FD211F">
        <w:rPr>
          <w:sz w:val="36"/>
          <w:szCs w:val="36"/>
          <w:rtl/>
        </w:rPr>
        <w:t>نعم لو فرض وضع اللفظ بإزاء عنوان انتزاعي</w:t>
      </w:r>
      <w:r w:rsidR="00603323" w:rsidRPr="00FD211F">
        <w:rPr>
          <w:sz w:val="36"/>
          <w:szCs w:val="36"/>
          <w:rtl/>
        </w:rPr>
        <w:t xml:space="preserve">، </w:t>
      </w:r>
      <w:r w:rsidRPr="00FD211F">
        <w:rPr>
          <w:sz w:val="36"/>
          <w:szCs w:val="36"/>
          <w:rtl/>
        </w:rPr>
        <w:t>كعنوان المشتمل على الاركان</w:t>
      </w:r>
      <w:r w:rsidR="00603323" w:rsidRPr="00FD211F">
        <w:rPr>
          <w:sz w:val="36"/>
          <w:szCs w:val="36"/>
          <w:rtl/>
        </w:rPr>
        <w:t xml:space="preserve">، </w:t>
      </w:r>
      <w:r w:rsidRPr="00FD211F">
        <w:rPr>
          <w:sz w:val="36"/>
          <w:szCs w:val="36"/>
          <w:rtl/>
        </w:rPr>
        <w:t>كان منطبقا على سائر الأجزاء والشرائط في فرض وجودها زائدا على وجود الأركان</w:t>
      </w:r>
      <w:r w:rsidR="00603323" w:rsidRPr="00FD211F">
        <w:rPr>
          <w:sz w:val="36"/>
          <w:szCs w:val="36"/>
          <w:rtl/>
        </w:rPr>
        <w:t xml:space="preserve">، </w:t>
      </w:r>
      <w:r w:rsidRPr="00FD211F">
        <w:rPr>
          <w:sz w:val="36"/>
          <w:szCs w:val="36"/>
          <w:rtl/>
        </w:rPr>
        <w:t>كما ان الكلم</w:t>
      </w:r>
      <w:r w:rsidR="00EC7EDF" w:rsidRPr="00FD211F">
        <w:rPr>
          <w:sz w:val="36"/>
          <w:szCs w:val="36"/>
          <w:rtl/>
        </w:rPr>
        <w:t xml:space="preserve">ة </w:t>
      </w:r>
      <w:r w:rsidRPr="00FD211F">
        <w:rPr>
          <w:sz w:val="36"/>
          <w:szCs w:val="36"/>
          <w:rtl/>
        </w:rPr>
        <w:t>ما اشتمل على اكثر من حرف مثلا والدار موضوع</w:t>
      </w:r>
      <w:r w:rsidR="00EC7EDF" w:rsidRPr="00FD211F">
        <w:rPr>
          <w:sz w:val="36"/>
          <w:szCs w:val="36"/>
          <w:rtl/>
        </w:rPr>
        <w:t xml:space="preserve">ة </w:t>
      </w:r>
      <w:r w:rsidRPr="00FD211F">
        <w:rPr>
          <w:sz w:val="36"/>
          <w:szCs w:val="36"/>
          <w:rtl/>
        </w:rPr>
        <w:t>على ما اشتمل على غرف</w:t>
      </w:r>
      <w:r w:rsidR="00EC7EDF" w:rsidRPr="00FD211F">
        <w:rPr>
          <w:sz w:val="36"/>
          <w:szCs w:val="36"/>
          <w:rtl/>
        </w:rPr>
        <w:t xml:space="preserve">ة </w:t>
      </w:r>
      <w:r w:rsidRPr="00FD211F">
        <w:rPr>
          <w:sz w:val="36"/>
          <w:szCs w:val="36"/>
          <w:rtl/>
        </w:rPr>
        <w:t>فصاعدا</w:t>
      </w:r>
      <w:r w:rsidR="00603323" w:rsidRPr="00FD211F">
        <w:rPr>
          <w:sz w:val="36"/>
          <w:szCs w:val="36"/>
          <w:rtl/>
        </w:rPr>
        <w:t xml:space="preserve">، </w:t>
      </w:r>
      <w:r w:rsidRPr="00FD211F">
        <w:rPr>
          <w:sz w:val="36"/>
          <w:szCs w:val="36"/>
          <w:rtl/>
        </w:rPr>
        <w:t>وهذا لاينافي ما مر من عدم احتمال وضع لفظ الصلا</w:t>
      </w:r>
      <w:r w:rsidR="00EC7EDF" w:rsidRPr="00FD211F">
        <w:rPr>
          <w:sz w:val="36"/>
          <w:szCs w:val="36"/>
          <w:rtl/>
        </w:rPr>
        <w:t xml:space="preserve">ة </w:t>
      </w:r>
      <w:r w:rsidRPr="00FD211F">
        <w:rPr>
          <w:sz w:val="36"/>
          <w:szCs w:val="36"/>
          <w:rtl/>
        </w:rPr>
        <w:t>مثلا بإزاء معنى انتزاعي</w:t>
      </w:r>
      <w:r w:rsidR="00603323" w:rsidRPr="00FD211F">
        <w:rPr>
          <w:sz w:val="36"/>
          <w:szCs w:val="36"/>
          <w:rtl/>
        </w:rPr>
        <w:t xml:space="preserve">، </w:t>
      </w:r>
      <w:r w:rsidRPr="00FD211F">
        <w:rPr>
          <w:sz w:val="36"/>
          <w:szCs w:val="36"/>
          <w:rtl/>
        </w:rPr>
        <w:t>حيث كان المقصود منه نفي احتمال المعنى المنتزع عما هو خارج عن افعال الصلا</w:t>
      </w:r>
      <w:r w:rsidR="00EC7EDF" w:rsidRPr="00FD211F">
        <w:rPr>
          <w:sz w:val="36"/>
          <w:szCs w:val="36"/>
          <w:rtl/>
        </w:rPr>
        <w:t xml:space="preserve">ة </w:t>
      </w:r>
      <w:r w:rsidRPr="00FD211F">
        <w:rPr>
          <w:sz w:val="36"/>
          <w:szCs w:val="36"/>
          <w:rtl/>
        </w:rPr>
        <w:t>كعنوان الناهي عن الفحشاء والمنكر</w:t>
      </w:r>
      <w:r w:rsidR="009C58C8" w:rsidRPr="00FD211F">
        <w:rPr>
          <w:rStyle w:val="a6"/>
          <w:sz w:val="36"/>
          <w:szCs w:val="36"/>
          <w:rtl/>
        </w:rPr>
        <w:t>(</w:t>
      </w:r>
      <w:r w:rsidR="009C58C8" w:rsidRPr="00FD211F">
        <w:rPr>
          <w:rStyle w:val="a6"/>
          <w:sz w:val="36"/>
          <w:szCs w:val="36"/>
          <w:rtl/>
        </w:rPr>
        <w:footnoteReference w:id="405"/>
      </w:r>
      <w:r w:rsidR="009C58C8" w:rsidRPr="00FD211F">
        <w:rPr>
          <w:rStyle w:val="a6"/>
          <w:sz w:val="36"/>
          <w:szCs w:val="36"/>
          <w:rtl/>
        </w:rPr>
        <w:t>)</w:t>
      </w:r>
      <w:r w:rsidRPr="00FD211F">
        <w:rPr>
          <w:sz w:val="36"/>
          <w:szCs w:val="36"/>
          <w:rtl/>
        </w:rPr>
        <w:t>.</w:t>
      </w:r>
    </w:p>
    <w:p w14:paraId="2F359FC9" w14:textId="77777777" w:rsidR="00A55235" w:rsidRPr="00FD211F" w:rsidRDefault="00052BF2" w:rsidP="009C58C8">
      <w:pPr>
        <w:ind w:left="0" w:firstLine="227"/>
        <w:jc w:val="both"/>
        <w:rPr>
          <w:sz w:val="36"/>
          <w:szCs w:val="36"/>
          <w:rtl/>
        </w:rPr>
      </w:pPr>
      <w:r w:rsidRPr="00FD211F">
        <w:rPr>
          <w:sz w:val="36"/>
          <w:szCs w:val="36"/>
          <w:rtl/>
        </w:rPr>
        <w:t>و</w:t>
      </w:r>
      <w:r w:rsidR="000557CD" w:rsidRPr="00FD211F">
        <w:rPr>
          <w:sz w:val="36"/>
          <w:szCs w:val="36"/>
          <w:rtl/>
        </w:rPr>
        <w:t xml:space="preserve">ماذكره وان كان متينا لكن </w:t>
      </w:r>
      <w:r w:rsidRPr="00FD211F">
        <w:rPr>
          <w:sz w:val="36"/>
          <w:szCs w:val="36"/>
          <w:rtl/>
        </w:rPr>
        <w:t>ينبغي ان يقال بناء على دعوى وضع لفظ الصلا</w:t>
      </w:r>
      <w:r w:rsidR="00EC7EDF" w:rsidRPr="00FD211F">
        <w:rPr>
          <w:sz w:val="36"/>
          <w:szCs w:val="36"/>
          <w:rtl/>
        </w:rPr>
        <w:t xml:space="preserve">ة </w:t>
      </w:r>
      <w:r w:rsidRPr="00FD211F">
        <w:rPr>
          <w:sz w:val="36"/>
          <w:szCs w:val="36"/>
          <w:rtl/>
        </w:rPr>
        <w:t>لخصوص الأركان بانه موضوع لأفعال متسانح</w:t>
      </w:r>
      <w:r w:rsidR="00EC7EDF" w:rsidRPr="00FD211F">
        <w:rPr>
          <w:sz w:val="36"/>
          <w:szCs w:val="36"/>
          <w:rtl/>
        </w:rPr>
        <w:t xml:space="preserve">ة </w:t>
      </w:r>
      <w:r w:rsidRPr="00FD211F">
        <w:rPr>
          <w:sz w:val="36"/>
          <w:szCs w:val="36"/>
          <w:rtl/>
        </w:rPr>
        <w:t>مشتمل</w:t>
      </w:r>
      <w:r w:rsidR="00EC7EDF" w:rsidRPr="00FD211F">
        <w:rPr>
          <w:sz w:val="36"/>
          <w:szCs w:val="36"/>
          <w:rtl/>
        </w:rPr>
        <w:t xml:space="preserve">ة </w:t>
      </w:r>
      <w:r w:rsidRPr="00FD211F">
        <w:rPr>
          <w:sz w:val="36"/>
          <w:szCs w:val="36"/>
          <w:rtl/>
        </w:rPr>
        <w:t>على الأركان</w:t>
      </w:r>
      <w:r w:rsidR="00603323" w:rsidRPr="00FD211F">
        <w:rPr>
          <w:sz w:val="36"/>
          <w:szCs w:val="36"/>
          <w:rtl/>
        </w:rPr>
        <w:t xml:space="preserve">، </w:t>
      </w:r>
      <w:r w:rsidRPr="00FD211F">
        <w:rPr>
          <w:sz w:val="36"/>
          <w:szCs w:val="36"/>
          <w:rtl/>
        </w:rPr>
        <w:t>فان تسريح اللحي</w:t>
      </w:r>
      <w:r w:rsidR="00EC7EDF" w:rsidRPr="00FD211F">
        <w:rPr>
          <w:sz w:val="36"/>
          <w:szCs w:val="36"/>
          <w:rtl/>
        </w:rPr>
        <w:t xml:space="preserve">ة </w:t>
      </w:r>
      <w:r w:rsidRPr="00FD211F">
        <w:rPr>
          <w:sz w:val="36"/>
          <w:szCs w:val="36"/>
          <w:rtl/>
        </w:rPr>
        <w:t>في اثناء الصلا</w:t>
      </w:r>
      <w:r w:rsidR="00EC7EDF" w:rsidRPr="00FD211F">
        <w:rPr>
          <w:sz w:val="36"/>
          <w:szCs w:val="36"/>
          <w:rtl/>
        </w:rPr>
        <w:t xml:space="preserve">ة </w:t>
      </w:r>
      <w:r w:rsidRPr="00FD211F">
        <w:rPr>
          <w:sz w:val="36"/>
          <w:szCs w:val="36"/>
          <w:rtl/>
        </w:rPr>
        <w:t>ليس داخلا في مصداق الصلا</w:t>
      </w:r>
      <w:r w:rsidR="00EC7EDF" w:rsidRPr="00FD211F">
        <w:rPr>
          <w:sz w:val="36"/>
          <w:szCs w:val="36"/>
          <w:rtl/>
        </w:rPr>
        <w:t>ة</w:t>
      </w:r>
      <w:r w:rsidR="00603323" w:rsidRPr="00FD211F">
        <w:rPr>
          <w:sz w:val="36"/>
          <w:szCs w:val="36"/>
          <w:rtl/>
        </w:rPr>
        <w:t xml:space="preserve">، </w:t>
      </w:r>
      <w:r w:rsidRPr="00FD211F">
        <w:rPr>
          <w:sz w:val="36"/>
          <w:szCs w:val="36"/>
          <w:rtl/>
        </w:rPr>
        <w:t>مع ان عنوان المشتمل على الأركان يشمله أيضا.</w:t>
      </w:r>
    </w:p>
    <w:p w14:paraId="373FA382" w14:textId="77777777" w:rsidR="00052BF2" w:rsidRPr="00FD211F" w:rsidRDefault="00A55235" w:rsidP="009C58C8">
      <w:pPr>
        <w:ind w:left="0" w:firstLine="227"/>
        <w:jc w:val="both"/>
        <w:rPr>
          <w:sz w:val="36"/>
          <w:szCs w:val="36"/>
          <w:rtl/>
        </w:rPr>
      </w:pPr>
      <w:r w:rsidRPr="00FD211F">
        <w:rPr>
          <w:sz w:val="36"/>
          <w:szCs w:val="36"/>
          <w:rtl/>
        </w:rPr>
        <w:t>9</w:t>
      </w:r>
      <w:r w:rsidR="007E736F" w:rsidRPr="00FD211F">
        <w:rPr>
          <w:sz w:val="36"/>
          <w:szCs w:val="36"/>
          <w:rtl/>
        </w:rPr>
        <w:t>-</w:t>
      </w:r>
      <w:r w:rsidR="00662BCB" w:rsidRPr="00FD211F">
        <w:rPr>
          <w:sz w:val="36"/>
          <w:szCs w:val="36"/>
          <w:rtl/>
        </w:rPr>
        <w:t xml:space="preserve"> </w:t>
      </w:r>
      <w:r w:rsidR="007E736F" w:rsidRPr="00FD211F">
        <w:rPr>
          <w:sz w:val="36"/>
          <w:szCs w:val="36"/>
          <w:rtl/>
        </w:rPr>
        <w:t>ان ما ذكره من التفصيل بين المركبات الحقيقي</w:t>
      </w:r>
      <w:r w:rsidR="00EC7EDF" w:rsidRPr="00FD211F">
        <w:rPr>
          <w:sz w:val="36"/>
          <w:szCs w:val="36"/>
          <w:rtl/>
        </w:rPr>
        <w:t xml:space="preserve">ة </w:t>
      </w:r>
      <w:r w:rsidR="007E736F" w:rsidRPr="00FD211F">
        <w:rPr>
          <w:sz w:val="36"/>
          <w:szCs w:val="36"/>
          <w:rtl/>
        </w:rPr>
        <w:t>والاعتباري</w:t>
      </w:r>
      <w:r w:rsidR="00EC7EDF" w:rsidRPr="00FD211F">
        <w:rPr>
          <w:sz w:val="36"/>
          <w:szCs w:val="36"/>
          <w:rtl/>
        </w:rPr>
        <w:t xml:space="preserve">ة </w:t>
      </w:r>
      <w:r w:rsidR="007E736F" w:rsidRPr="00FD211F">
        <w:rPr>
          <w:sz w:val="36"/>
          <w:szCs w:val="36"/>
          <w:rtl/>
        </w:rPr>
        <w:t>وان كان حسنا</w:t>
      </w:r>
      <w:r w:rsidR="00662BCB" w:rsidRPr="00FD211F">
        <w:rPr>
          <w:sz w:val="36"/>
          <w:szCs w:val="36"/>
          <w:rtl/>
        </w:rPr>
        <w:t xml:space="preserve"> </w:t>
      </w:r>
      <w:r w:rsidR="007E736F" w:rsidRPr="00FD211F">
        <w:rPr>
          <w:sz w:val="36"/>
          <w:szCs w:val="36"/>
          <w:rtl/>
        </w:rPr>
        <w:t>بالتوجيه الذي مر في الملاحظ</w:t>
      </w:r>
      <w:r w:rsidR="00EC7EDF" w:rsidRPr="00FD211F">
        <w:rPr>
          <w:sz w:val="36"/>
          <w:szCs w:val="36"/>
          <w:rtl/>
        </w:rPr>
        <w:t xml:space="preserve">ة </w:t>
      </w:r>
      <w:r w:rsidR="007E736F" w:rsidRPr="00FD211F">
        <w:rPr>
          <w:sz w:val="36"/>
          <w:szCs w:val="36"/>
          <w:rtl/>
        </w:rPr>
        <w:t>السابق</w:t>
      </w:r>
      <w:r w:rsidR="00EC7EDF" w:rsidRPr="00FD211F">
        <w:rPr>
          <w:sz w:val="36"/>
          <w:szCs w:val="36"/>
          <w:rtl/>
        </w:rPr>
        <w:t xml:space="preserve">ة </w:t>
      </w:r>
      <w:r w:rsidR="007E736F" w:rsidRPr="00FD211F">
        <w:rPr>
          <w:sz w:val="36"/>
          <w:szCs w:val="36"/>
          <w:rtl/>
        </w:rPr>
        <w:t>لكن لايخفى ان المقصود</w:t>
      </w:r>
      <w:r w:rsidR="00662BCB" w:rsidRPr="00FD211F">
        <w:rPr>
          <w:sz w:val="36"/>
          <w:szCs w:val="36"/>
          <w:rtl/>
        </w:rPr>
        <w:t xml:space="preserve"> </w:t>
      </w:r>
      <w:r w:rsidR="007E736F" w:rsidRPr="00FD211F">
        <w:rPr>
          <w:sz w:val="36"/>
          <w:szCs w:val="36"/>
          <w:rtl/>
        </w:rPr>
        <w:t>من المركب الاعتباري ما</w:t>
      </w:r>
      <w:r w:rsidR="007465FE" w:rsidRPr="00FD211F">
        <w:rPr>
          <w:sz w:val="36"/>
          <w:szCs w:val="36"/>
          <w:rtl/>
        </w:rPr>
        <w:t xml:space="preserve"> </w:t>
      </w:r>
      <w:r w:rsidR="007E736F" w:rsidRPr="00FD211F">
        <w:rPr>
          <w:sz w:val="36"/>
          <w:szCs w:val="36"/>
          <w:rtl/>
        </w:rPr>
        <w:t>يقابل المركب من الجنس والفصل</w:t>
      </w:r>
      <w:r w:rsidR="002A23C9" w:rsidRPr="00FD211F">
        <w:rPr>
          <w:sz w:val="36"/>
          <w:szCs w:val="36"/>
          <w:rtl/>
        </w:rPr>
        <w:t xml:space="preserve"> لاالمركب التكويني فا</w:t>
      </w:r>
      <w:r w:rsidR="00590704" w:rsidRPr="00FD211F">
        <w:rPr>
          <w:sz w:val="36"/>
          <w:szCs w:val="36"/>
          <w:rtl/>
        </w:rPr>
        <w:t>ن ا</w:t>
      </w:r>
      <w:r w:rsidR="002A23C9" w:rsidRPr="00FD211F">
        <w:rPr>
          <w:sz w:val="36"/>
          <w:szCs w:val="36"/>
          <w:rtl/>
        </w:rPr>
        <w:t>لانسان</w:t>
      </w:r>
      <w:r w:rsidR="00590704" w:rsidRPr="00FD211F">
        <w:rPr>
          <w:sz w:val="36"/>
          <w:szCs w:val="36"/>
          <w:rtl/>
        </w:rPr>
        <w:t xml:space="preserve"> مع كونه مركبا تكوينيا مع ذلك</w:t>
      </w:r>
      <w:r w:rsidR="00B253CE" w:rsidRPr="00FD211F">
        <w:rPr>
          <w:sz w:val="36"/>
          <w:szCs w:val="36"/>
          <w:rtl/>
        </w:rPr>
        <w:t xml:space="preserve"> </w:t>
      </w:r>
      <w:r w:rsidR="00590704" w:rsidRPr="00FD211F">
        <w:rPr>
          <w:sz w:val="36"/>
          <w:szCs w:val="36"/>
          <w:rtl/>
        </w:rPr>
        <w:t>بلحاظ جسده من حيث الصغر والكبر والزياد</w:t>
      </w:r>
      <w:r w:rsidR="00EC7EDF" w:rsidRPr="00FD211F">
        <w:rPr>
          <w:sz w:val="36"/>
          <w:szCs w:val="36"/>
          <w:rtl/>
        </w:rPr>
        <w:t xml:space="preserve">ة </w:t>
      </w:r>
      <w:r w:rsidR="00590704" w:rsidRPr="00FD211F">
        <w:rPr>
          <w:sz w:val="36"/>
          <w:szCs w:val="36"/>
          <w:rtl/>
        </w:rPr>
        <w:t>والنقصان</w:t>
      </w:r>
      <w:r w:rsidR="00603323" w:rsidRPr="00FD211F">
        <w:rPr>
          <w:sz w:val="36"/>
          <w:szCs w:val="36"/>
          <w:rtl/>
        </w:rPr>
        <w:t xml:space="preserve">، </w:t>
      </w:r>
      <w:r w:rsidR="00590704" w:rsidRPr="00FD211F">
        <w:rPr>
          <w:sz w:val="36"/>
          <w:szCs w:val="36"/>
          <w:rtl/>
        </w:rPr>
        <w:t>يكون كالمركب الاعتباري فاليد مثلا على تقدير وجودها جزء من جسد الإنسان ولكنه لايمنع من صدق الانسان على فاقد اليد</w:t>
      </w:r>
      <w:r w:rsidR="00603323" w:rsidRPr="00FD211F">
        <w:rPr>
          <w:sz w:val="36"/>
          <w:szCs w:val="36"/>
          <w:rtl/>
        </w:rPr>
        <w:t xml:space="preserve">، </w:t>
      </w:r>
      <w:r w:rsidR="00590704" w:rsidRPr="00FD211F">
        <w:rPr>
          <w:sz w:val="36"/>
          <w:szCs w:val="36"/>
          <w:rtl/>
        </w:rPr>
        <w:t>ووجه كونه مركبا اعتباريا عدم وجود حقيق</w:t>
      </w:r>
      <w:r w:rsidR="00EC7EDF" w:rsidRPr="00FD211F">
        <w:rPr>
          <w:sz w:val="36"/>
          <w:szCs w:val="36"/>
          <w:rtl/>
        </w:rPr>
        <w:t xml:space="preserve">ة </w:t>
      </w:r>
      <w:r w:rsidR="00590704" w:rsidRPr="00FD211F">
        <w:rPr>
          <w:sz w:val="36"/>
          <w:szCs w:val="36"/>
          <w:rtl/>
        </w:rPr>
        <w:t>للمركب وراء أجزاءه.</w:t>
      </w:r>
    </w:p>
    <w:p w14:paraId="1F7082A0" w14:textId="77777777" w:rsidR="000C5BBA" w:rsidRPr="00FD211F" w:rsidRDefault="00052BF2" w:rsidP="009C58C8">
      <w:pPr>
        <w:ind w:left="0" w:firstLine="227"/>
        <w:jc w:val="both"/>
        <w:rPr>
          <w:sz w:val="36"/>
          <w:szCs w:val="36"/>
          <w:rtl/>
        </w:rPr>
      </w:pPr>
      <w:r w:rsidRPr="00FD211F">
        <w:rPr>
          <w:b/>
          <w:bCs/>
          <w:sz w:val="36"/>
          <w:szCs w:val="36"/>
          <w:rtl/>
        </w:rPr>
        <w:t>الوجه الثالث</w:t>
      </w:r>
      <w:r w:rsidRPr="00FD211F">
        <w:rPr>
          <w:sz w:val="36"/>
          <w:szCs w:val="36"/>
          <w:rtl/>
        </w:rPr>
        <w:t xml:space="preserve"> من وجوه تصوير الجامع الأعمي ما نسبه الشيخ الأعظم </w:t>
      </w:r>
      <w:r w:rsidR="00A55235" w:rsidRPr="00FD211F">
        <w:rPr>
          <w:sz w:val="36"/>
          <w:szCs w:val="36"/>
          <w:rtl/>
        </w:rPr>
        <w:t>"</w:t>
      </w:r>
      <w:r w:rsidRPr="00FD211F">
        <w:rPr>
          <w:sz w:val="36"/>
          <w:szCs w:val="36"/>
          <w:rtl/>
        </w:rPr>
        <w:t>قده</w:t>
      </w:r>
      <w:r w:rsidR="00A55235" w:rsidRPr="00FD211F">
        <w:rPr>
          <w:sz w:val="36"/>
          <w:szCs w:val="36"/>
          <w:rtl/>
        </w:rPr>
        <w:t>"</w:t>
      </w:r>
      <w:r w:rsidRPr="00FD211F">
        <w:rPr>
          <w:sz w:val="36"/>
          <w:szCs w:val="36"/>
          <w:rtl/>
        </w:rPr>
        <w:t xml:space="preserve"> الى المشهور من ان لفظ </w:t>
      </w:r>
      <w:r w:rsidR="00A55235" w:rsidRPr="00FD211F">
        <w:rPr>
          <w:sz w:val="36"/>
          <w:szCs w:val="36"/>
          <w:rtl/>
        </w:rPr>
        <w:t>الصلا</w:t>
      </w:r>
      <w:r w:rsidR="00EC7EDF" w:rsidRPr="00FD211F">
        <w:rPr>
          <w:sz w:val="36"/>
          <w:szCs w:val="36"/>
          <w:rtl/>
        </w:rPr>
        <w:t xml:space="preserve">ة </w:t>
      </w:r>
      <w:r w:rsidR="00A55235" w:rsidRPr="00FD211F">
        <w:rPr>
          <w:sz w:val="36"/>
          <w:szCs w:val="36"/>
          <w:rtl/>
        </w:rPr>
        <w:t>موضوع بإزاء معظم الأجزاء</w:t>
      </w:r>
      <w:r w:rsidR="009C58C8" w:rsidRPr="00FD211F">
        <w:rPr>
          <w:rStyle w:val="a6"/>
          <w:sz w:val="36"/>
          <w:szCs w:val="36"/>
          <w:rtl/>
        </w:rPr>
        <w:t>(</w:t>
      </w:r>
      <w:r w:rsidR="009C58C8" w:rsidRPr="00FD211F">
        <w:rPr>
          <w:rStyle w:val="a6"/>
          <w:sz w:val="36"/>
          <w:szCs w:val="36"/>
          <w:rtl/>
        </w:rPr>
        <w:footnoteReference w:id="406"/>
      </w:r>
      <w:r w:rsidR="009C58C8" w:rsidRPr="00FD211F">
        <w:rPr>
          <w:rStyle w:val="a6"/>
          <w:sz w:val="36"/>
          <w:szCs w:val="36"/>
          <w:rtl/>
        </w:rPr>
        <w:t>)</w:t>
      </w:r>
      <w:r w:rsidR="00A55235" w:rsidRPr="00FD211F">
        <w:rPr>
          <w:sz w:val="36"/>
          <w:szCs w:val="36"/>
          <w:rtl/>
        </w:rPr>
        <w:t>.</w:t>
      </w:r>
    </w:p>
    <w:p w14:paraId="3A500A25" w14:textId="77777777" w:rsidR="00052BF2" w:rsidRPr="00FD211F" w:rsidRDefault="00052BF2" w:rsidP="009C58C8">
      <w:pPr>
        <w:ind w:left="0" w:firstLine="227"/>
        <w:jc w:val="both"/>
        <w:rPr>
          <w:sz w:val="36"/>
          <w:szCs w:val="36"/>
          <w:rtl/>
        </w:rPr>
      </w:pPr>
      <w:r w:rsidRPr="00FD211F">
        <w:rPr>
          <w:sz w:val="36"/>
          <w:szCs w:val="36"/>
          <w:rtl/>
        </w:rPr>
        <w:t>وأورد عليه صاحب الكفاي</w:t>
      </w:r>
      <w:r w:rsidR="00EC7EDF" w:rsidRPr="00FD211F">
        <w:rPr>
          <w:sz w:val="36"/>
          <w:szCs w:val="36"/>
          <w:rtl/>
        </w:rPr>
        <w:t xml:space="preserve">ة </w:t>
      </w:r>
      <w:r w:rsidR="00A55235" w:rsidRPr="00FD211F">
        <w:rPr>
          <w:sz w:val="36"/>
          <w:szCs w:val="36"/>
          <w:rtl/>
        </w:rPr>
        <w:t>"</w:t>
      </w:r>
      <w:r w:rsidRPr="00FD211F">
        <w:rPr>
          <w:sz w:val="36"/>
          <w:szCs w:val="36"/>
          <w:rtl/>
        </w:rPr>
        <w:t>قده</w:t>
      </w:r>
      <w:r w:rsidR="00A55235" w:rsidRPr="00FD211F">
        <w:rPr>
          <w:sz w:val="36"/>
          <w:szCs w:val="36"/>
          <w:rtl/>
        </w:rPr>
        <w:t>"</w:t>
      </w:r>
      <w:r w:rsidRPr="00FD211F">
        <w:rPr>
          <w:sz w:val="36"/>
          <w:szCs w:val="36"/>
          <w:rtl/>
        </w:rPr>
        <w:t xml:space="preserve"> بوجهين:</w:t>
      </w:r>
    </w:p>
    <w:p w14:paraId="2BA1F500" w14:textId="77777777" w:rsidR="00052BF2" w:rsidRPr="00FD211F" w:rsidRDefault="00052BF2" w:rsidP="009C58C8">
      <w:pPr>
        <w:ind w:left="0" w:firstLine="227"/>
        <w:jc w:val="both"/>
        <w:rPr>
          <w:sz w:val="36"/>
          <w:szCs w:val="36"/>
          <w:rtl/>
        </w:rPr>
      </w:pPr>
      <w:r w:rsidRPr="00FD211F">
        <w:rPr>
          <w:sz w:val="36"/>
          <w:szCs w:val="36"/>
          <w:rtl/>
        </w:rPr>
        <w:t>1- انه يلزم منه كون استعمال لفظ الصلا</w:t>
      </w:r>
      <w:r w:rsidR="00EC7EDF" w:rsidRPr="00FD211F">
        <w:rPr>
          <w:sz w:val="36"/>
          <w:szCs w:val="36"/>
          <w:rtl/>
        </w:rPr>
        <w:t xml:space="preserve">ة </w:t>
      </w:r>
      <w:r w:rsidRPr="00FD211F">
        <w:rPr>
          <w:sz w:val="36"/>
          <w:szCs w:val="36"/>
          <w:rtl/>
        </w:rPr>
        <w:t>فيما هو المأمور به بأجزائه وشرائطه مجازا لأجل استعمال اللفظ الموضوع للجزء في الكل</w:t>
      </w:r>
      <w:r w:rsidR="00603323" w:rsidRPr="00FD211F">
        <w:rPr>
          <w:sz w:val="36"/>
          <w:szCs w:val="36"/>
          <w:rtl/>
        </w:rPr>
        <w:t xml:space="preserve">، </w:t>
      </w:r>
      <w:r w:rsidRPr="00FD211F">
        <w:rPr>
          <w:sz w:val="36"/>
          <w:szCs w:val="36"/>
          <w:rtl/>
        </w:rPr>
        <w:t>وهذا ما لايلتزم به القائل بالأعم.</w:t>
      </w:r>
    </w:p>
    <w:p w14:paraId="7F40C661" w14:textId="77777777" w:rsidR="00052BF2" w:rsidRPr="00FD211F" w:rsidRDefault="00052BF2" w:rsidP="009C58C8">
      <w:pPr>
        <w:ind w:left="0" w:firstLine="227"/>
        <w:jc w:val="both"/>
        <w:rPr>
          <w:sz w:val="36"/>
          <w:szCs w:val="36"/>
          <w:rtl/>
        </w:rPr>
      </w:pPr>
      <w:r w:rsidRPr="00FD211F">
        <w:rPr>
          <w:sz w:val="36"/>
          <w:szCs w:val="36"/>
          <w:rtl/>
        </w:rPr>
        <w:t>2- ان</w:t>
      </w:r>
      <w:r w:rsidR="00A55235" w:rsidRPr="00FD211F">
        <w:rPr>
          <w:sz w:val="36"/>
          <w:szCs w:val="36"/>
          <w:rtl/>
        </w:rPr>
        <w:t>ه</w:t>
      </w:r>
      <w:r w:rsidR="00B253CE" w:rsidRPr="00FD211F">
        <w:rPr>
          <w:sz w:val="36"/>
          <w:szCs w:val="36"/>
          <w:rtl/>
        </w:rPr>
        <w:t xml:space="preserve"> </w:t>
      </w:r>
      <w:r w:rsidR="00A55235" w:rsidRPr="00FD211F">
        <w:rPr>
          <w:sz w:val="36"/>
          <w:szCs w:val="36"/>
          <w:rtl/>
        </w:rPr>
        <w:t>يل</w:t>
      </w:r>
      <w:r w:rsidRPr="00FD211F">
        <w:rPr>
          <w:sz w:val="36"/>
          <w:szCs w:val="36"/>
          <w:rtl/>
        </w:rPr>
        <w:t xml:space="preserve">زم </w:t>
      </w:r>
      <w:r w:rsidR="00A55235" w:rsidRPr="00FD211F">
        <w:rPr>
          <w:sz w:val="36"/>
          <w:szCs w:val="36"/>
          <w:rtl/>
        </w:rPr>
        <w:t xml:space="preserve">منه </w:t>
      </w:r>
      <w:r w:rsidRPr="00FD211F">
        <w:rPr>
          <w:sz w:val="36"/>
          <w:szCs w:val="36"/>
          <w:rtl/>
        </w:rPr>
        <w:t>تبادل ما هو دخيل في المسمى</w:t>
      </w:r>
      <w:r w:rsidR="00603323" w:rsidRPr="00FD211F">
        <w:rPr>
          <w:sz w:val="36"/>
          <w:szCs w:val="36"/>
          <w:rtl/>
        </w:rPr>
        <w:t xml:space="preserve">، </w:t>
      </w:r>
      <w:r w:rsidRPr="00FD211F">
        <w:rPr>
          <w:sz w:val="36"/>
          <w:szCs w:val="36"/>
          <w:rtl/>
        </w:rPr>
        <w:t xml:space="preserve">فيكون </w:t>
      </w:r>
      <w:r w:rsidR="008D7B3D" w:rsidRPr="00FD211F">
        <w:rPr>
          <w:sz w:val="36"/>
          <w:szCs w:val="36"/>
          <w:rtl/>
        </w:rPr>
        <w:t xml:space="preserve">شيء </w:t>
      </w:r>
      <w:r w:rsidRPr="00FD211F">
        <w:rPr>
          <w:sz w:val="36"/>
          <w:szCs w:val="36"/>
          <w:rtl/>
        </w:rPr>
        <w:t>واحد داخلا في المسمى تار</w:t>
      </w:r>
      <w:r w:rsidR="00EC7EDF" w:rsidRPr="00FD211F">
        <w:rPr>
          <w:sz w:val="36"/>
          <w:szCs w:val="36"/>
          <w:rtl/>
        </w:rPr>
        <w:t xml:space="preserve">ة </w:t>
      </w:r>
      <w:r w:rsidRPr="00FD211F">
        <w:rPr>
          <w:sz w:val="36"/>
          <w:szCs w:val="36"/>
          <w:rtl/>
        </w:rPr>
        <w:t>وخارجا عنه أخرى</w:t>
      </w:r>
      <w:r w:rsidR="00603323" w:rsidRPr="00FD211F">
        <w:rPr>
          <w:sz w:val="36"/>
          <w:szCs w:val="36"/>
          <w:rtl/>
        </w:rPr>
        <w:t xml:space="preserve">، </w:t>
      </w:r>
      <w:r w:rsidRPr="00FD211F">
        <w:rPr>
          <w:sz w:val="36"/>
          <w:szCs w:val="36"/>
          <w:rtl/>
        </w:rPr>
        <w:t>بل لو وجد جميع الأجزاء لزم التردد فيما هو دخيل في المسمى</w:t>
      </w:r>
      <w:r w:rsidR="009C58C8" w:rsidRPr="00FD211F">
        <w:rPr>
          <w:rStyle w:val="a6"/>
          <w:sz w:val="36"/>
          <w:szCs w:val="36"/>
          <w:rtl/>
        </w:rPr>
        <w:t>(</w:t>
      </w:r>
      <w:r w:rsidR="009C58C8" w:rsidRPr="00FD211F">
        <w:rPr>
          <w:rStyle w:val="a6"/>
          <w:sz w:val="36"/>
          <w:szCs w:val="36"/>
          <w:rtl/>
        </w:rPr>
        <w:footnoteReference w:id="407"/>
      </w:r>
      <w:r w:rsidR="009C58C8" w:rsidRPr="00FD211F">
        <w:rPr>
          <w:rStyle w:val="a6"/>
          <w:sz w:val="36"/>
          <w:szCs w:val="36"/>
          <w:rtl/>
        </w:rPr>
        <w:t>)</w:t>
      </w:r>
      <w:r w:rsidRPr="00FD211F">
        <w:rPr>
          <w:sz w:val="36"/>
          <w:szCs w:val="36"/>
          <w:rtl/>
        </w:rPr>
        <w:t>.</w:t>
      </w:r>
    </w:p>
    <w:p w14:paraId="73077F15" w14:textId="77777777" w:rsidR="00052BF2" w:rsidRPr="00FD211F" w:rsidRDefault="00052BF2" w:rsidP="009C58C8">
      <w:pPr>
        <w:ind w:left="0" w:firstLine="227"/>
        <w:jc w:val="both"/>
        <w:rPr>
          <w:sz w:val="36"/>
          <w:szCs w:val="36"/>
          <w:rtl/>
        </w:rPr>
      </w:pPr>
      <w:r w:rsidRPr="00FD211F">
        <w:rPr>
          <w:sz w:val="36"/>
          <w:szCs w:val="36"/>
          <w:rtl/>
        </w:rPr>
        <w:t>ولكن ظهر الجواب عن كلا الوجهين لما مر من ان لفظ الصلا</w:t>
      </w:r>
      <w:r w:rsidR="00EC7EDF" w:rsidRPr="00FD211F">
        <w:rPr>
          <w:sz w:val="36"/>
          <w:szCs w:val="36"/>
          <w:rtl/>
        </w:rPr>
        <w:t xml:space="preserve">ة </w:t>
      </w:r>
      <w:r w:rsidRPr="00FD211F">
        <w:rPr>
          <w:sz w:val="36"/>
          <w:szCs w:val="36"/>
          <w:rtl/>
        </w:rPr>
        <w:t>موضوع بإزاء المشتمل على معظم الأجزاء</w:t>
      </w:r>
      <w:r w:rsidR="00603323" w:rsidRPr="00FD211F">
        <w:rPr>
          <w:sz w:val="36"/>
          <w:szCs w:val="36"/>
          <w:rtl/>
        </w:rPr>
        <w:t xml:space="preserve">، </w:t>
      </w:r>
      <w:r w:rsidRPr="00FD211F">
        <w:rPr>
          <w:sz w:val="36"/>
          <w:szCs w:val="36"/>
          <w:rtl/>
        </w:rPr>
        <w:t>فمع اجتماع جميع الأجزاء والشرائط ينطبق المسمى على تمامها</w:t>
      </w:r>
      <w:r w:rsidR="00603323" w:rsidRPr="00FD211F">
        <w:rPr>
          <w:sz w:val="36"/>
          <w:szCs w:val="36"/>
          <w:rtl/>
        </w:rPr>
        <w:t xml:space="preserve">، </w:t>
      </w:r>
      <w:r w:rsidRPr="00FD211F">
        <w:rPr>
          <w:sz w:val="36"/>
          <w:szCs w:val="36"/>
          <w:rtl/>
        </w:rPr>
        <w:t>ولايخفى انه ليس المراد وضع لفظ الصلا</w:t>
      </w:r>
      <w:r w:rsidR="00EC7EDF" w:rsidRPr="00FD211F">
        <w:rPr>
          <w:sz w:val="36"/>
          <w:szCs w:val="36"/>
          <w:rtl/>
        </w:rPr>
        <w:t xml:space="preserve">ة </w:t>
      </w:r>
      <w:r w:rsidRPr="00FD211F">
        <w:rPr>
          <w:sz w:val="36"/>
          <w:szCs w:val="36"/>
          <w:rtl/>
        </w:rPr>
        <w:t>بإزاء مفهوم معظم الإجزاء</w:t>
      </w:r>
      <w:r w:rsidR="00603323" w:rsidRPr="00FD211F">
        <w:rPr>
          <w:sz w:val="36"/>
          <w:szCs w:val="36"/>
          <w:rtl/>
        </w:rPr>
        <w:t xml:space="preserve">، </w:t>
      </w:r>
      <w:r w:rsidRPr="00FD211F">
        <w:rPr>
          <w:sz w:val="36"/>
          <w:szCs w:val="36"/>
          <w:rtl/>
        </w:rPr>
        <w:t>او مفهوم المشتمل على معظم الأجزاء</w:t>
      </w:r>
      <w:r w:rsidR="00603323" w:rsidRPr="00FD211F">
        <w:rPr>
          <w:sz w:val="36"/>
          <w:szCs w:val="36"/>
          <w:rtl/>
        </w:rPr>
        <w:t xml:space="preserve">، </w:t>
      </w:r>
      <w:r w:rsidRPr="00FD211F">
        <w:rPr>
          <w:sz w:val="36"/>
          <w:szCs w:val="36"/>
          <w:rtl/>
        </w:rPr>
        <w:t>كي يكون مرادفا لكلم</w:t>
      </w:r>
      <w:r w:rsidR="00EC7EDF" w:rsidRPr="00FD211F">
        <w:rPr>
          <w:sz w:val="36"/>
          <w:szCs w:val="36"/>
          <w:rtl/>
        </w:rPr>
        <w:t xml:space="preserve">ة </w:t>
      </w:r>
      <w:r w:rsidRPr="00FD211F">
        <w:rPr>
          <w:sz w:val="36"/>
          <w:szCs w:val="36"/>
          <w:rtl/>
        </w:rPr>
        <w:t>معظم الأجزاء او كلم</w:t>
      </w:r>
      <w:r w:rsidR="00EC7EDF" w:rsidRPr="00FD211F">
        <w:rPr>
          <w:sz w:val="36"/>
          <w:szCs w:val="36"/>
          <w:rtl/>
        </w:rPr>
        <w:t xml:space="preserve">ة </w:t>
      </w:r>
      <w:r w:rsidRPr="00FD211F">
        <w:rPr>
          <w:sz w:val="36"/>
          <w:szCs w:val="36"/>
          <w:rtl/>
        </w:rPr>
        <w:t>المشتمل على معظم الأجزاء</w:t>
      </w:r>
      <w:r w:rsidR="00603323" w:rsidRPr="00FD211F">
        <w:rPr>
          <w:sz w:val="36"/>
          <w:szCs w:val="36"/>
          <w:rtl/>
        </w:rPr>
        <w:t xml:space="preserve">، </w:t>
      </w:r>
      <w:r w:rsidRPr="00FD211F">
        <w:rPr>
          <w:sz w:val="36"/>
          <w:szCs w:val="36"/>
          <w:rtl/>
        </w:rPr>
        <w:t>حتى يورد عليه بانه خلاف الوجدان</w:t>
      </w:r>
      <w:r w:rsidR="00603323" w:rsidRPr="00FD211F">
        <w:rPr>
          <w:sz w:val="36"/>
          <w:szCs w:val="36"/>
          <w:rtl/>
        </w:rPr>
        <w:t xml:space="preserve">، </w:t>
      </w:r>
      <w:r w:rsidRPr="00FD211F">
        <w:rPr>
          <w:sz w:val="36"/>
          <w:szCs w:val="36"/>
          <w:rtl/>
        </w:rPr>
        <w:t>بل المراد وضعه بإزاء واقع المشتمل على معظم الأجزاء والذي هو متردد بين مجموع الأجزاء.</w:t>
      </w:r>
    </w:p>
    <w:p w14:paraId="01A32E9C" w14:textId="77777777" w:rsidR="00052BF2" w:rsidRPr="00FD211F" w:rsidRDefault="00052BF2" w:rsidP="009C58C8">
      <w:pPr>
        <w:ind w:left="0" w:firstLine="227"/>
        <w:jc w:val="both"/>
        <w:rPr>
          <w:sz w:val="36"/>
          <w:szCs w:val="36"/>
          <w:rtl/>
        </w:rPr>
      </w:pPr>
      <w:r w:rsidRPr="00FD211F">
        <w:rPr>
          <w:sz w:val="36"/>
          <w:szCs w:val="36"/>
          <w:rtl/>
        </w:rPr>
        <w:t>والانصاف ان هذا الوجه اقرب الوجوه في تصوير الجامع الاعمي</w:t>
      </w:r>
      <w:r w:rsidR="00603323" w:rsidRPr="00FD211F">
        <w:rPr>
          <w:sz w:val="36"/>
          <w:szCs w:val="36"/>
          <w:rtl/>
        </w:rPr>
        <w:t xml:space="preserve">، </w:t>
      </w:r>
      <w:r w:rsidRPr="00FD211F">
        <w:rPr>
          <w:sz w:val="36"/>
          <w:szCs w:val="36"/>
          <w:rtl/>
        </w:rPr>
        <w:t>بل يمكن ان يقال بعدم الحاج</w:t>
      </w:r>
      <w:r w:rsidR="00EC7EDF" w:rsidRPr="00FD211F">
        <w:rPr>
          <w:sz w:val="36"/>
          <w:szCs w:val="36"/>
          <w:rtl/>
        </w:rPr>
        <w:t xml:space="preserve">ة </w:t>
      </w:r>
      <w:r w:rsidRPr="00FD211F">
        <w:rPr>
          <w:sz w:val="36"/>
          <w:szCs w:val="36"/>
          <w:rtl/>
        </w:rPr>
        <w:t>في صدق مسمى الصلا</w:t>
      </w:r>
      <w:r w:rsidR="00EC7EDF" w:rsidRPr="00FD211F">
        <w:rPr>
          <w:sz w:val="36"/>
          <w:szCs w:val="36"/>
          <w:rtl/>
        </w:rPr>
        <w:t xml:space="preserve">ة </w:t>
      </w:r>
      <w:r w:rsidRPr="00FD211F">
        <w:rPr>
          <w:sz w:val="36"/>
          <w:szCs w:val="36"/>
          <w:rtl/>
        </w:rPr>
        <w:t>الى وجود معظم اجزاءها</w:t>
      </w:r>
      <w:r w:rsidR="00603323" w:rsidRPr="00FD211F">
        <w:rPr>
          <w:sz w:val="36"/>
          <w:szCs w:val="36"/>
          <w:rtl/>
        </w:rPr>
        <w:t xml:space="preserve">، </w:t>
      </w:r>
      <w:r w:rsidRPr="00FD211F">
        <w:rPr>
          <w:sz w:val="36"/>
          <w:szCs w:val="36"/>
          <w:rtl/>
        </w:rPr>
        <w:t>بل يكفي وجود عد</w:t>
      </w:r>
      <w:r w:rsidR="00EC7EDF" w:rsidRPr="00FD211F">
        <w:rPr>
          <w:sz w:val="36"/>
          <w:szCs w:val="36"/>
          <w:rtl/>
        </w:rPr>
        <w:t xml:space="preserve">ة </w:t>
      </w:r>
      <w:r w:rsidRPr="00FD211F">
        <w:rPr>
          <w:sz w:val="36"/>
          <w:szCs w:val="36"/>
          <w:rtl/>
        </w:rPr>
        <w:t>معتدّبها من الأجزاء.</w:t>
      </w:r>
    </w:p>
    <w:p w14:paraId="6C3FD263" w14:textId="77777777" w:rsidR="00052BF2" w:rsidRPr="00FD211F" w:rsidRDefault="00052BF2" w:rsidP="009C58C8">
      <w:pPr>
        <w:ind w:left="0" w:firstLine="227"/>
        <w:jc w:val="both"/>
        <w:rPr>
          <w:sz w:val="36"/>
          <w:szCs w:val="36"/>
          <w:rtl/>
        </w:rPr>
      </w:pPr>
      <w:r w:rsidRPr="00FD211F">
        <w:rPr>
          <w:sz w:val="36"/>
          <w:szCs w:val="36"/>
          <w:rtl/>
        </w:rPr>
        <w:t>لكن المهم في الإشكال على هذا الوجه ما أشكلنا به على الوجه السابق من عدم شمول هذا الوجه كالوجه السابق لصلا</w:t>
      </w:r>
      <w:r w:rsidR="00EC7EDF" w:rsidRPr="00FD211F">
        <w:rPr>
          <w:sz w:val="36"/>
          <w:szCs w:val="36"/>
          <w:rtl/>
        </w:rPr>
        <w:t xml:space="preserve">ة </w:t>
      </w:r>
      <w:r w:rsidRPr="00FD211F">
        <w:rPr>
          <w:sz w:val="36"/>
          <w:szCs w:val="36"/>
          <w:rtl/>
        </w:rPr>
        <w:t>الميت وصلا</w:t>
      </w:r>
      <w:r w:rsidR="00EC7EDF" w:rsidRPr="00FD211F">
        <w:rPr>
          <w:sz w:val="36"/>
          <w:szCs w:val="36"/>
          <w:rtl/>
        </w:rPr>
        <w:t xml:space="preserve">ة </w:t>
      </w:r>
      <w:r w:rsidRPr="00FD211F">
        <w:rPr>
          <w:sz w:val="36"/>
          <w:szCs w:val="36"/>
          <w:rtl/>
        </w:rPr>
        <w:t>المطارد</w:t>
      </w:r>
      <w:r w:rsidR="00EC7EDF" w:rsidRPr="00FD211F">
        <w:rPr>
          <w:sz w:val="36"/>
          <w:szCs w:val="36"/>
          <w:rtl/>
        </w:rPr>
        <w:t xml:space="preserve">ة </w:t>
      </w:r>
      <w:r w:rsidRPr="00FD211F">
        <w:rPr>
          <w:sz w:val="36"/>
          <w:szCs w:val="36"/>
          <w:rtl/>
        </w:rPr>
        <w:t>مع أنهما مصداقان للصلا</w:t>
      </w:r>
      <w:r w:rsidR="00EC7EDF" w:rsidRPr="00FD211F">
        <w:rPr>
          <w:sz w:val="36"/>
          <w:szCs w:val="36"/>
          <w:rtl/>
        </w:rPr>
        <w:t xml:space="preserve">ة </w:t>
      </w:r>
      <w:r w:rsidRPr="00FD211F">
        <w:rPr>
          <w:sz w:val="36"/>
          <w:szCs w:val="36"/>
          <w:rtl/>
        </w:rPr>
        <w:t>عرفا.</w:t>
      </w:r>
    </w:p>
    <w:p w14:paraId="67771740" w14:textId="77777777" w:rsidR="00052BF2" w:rsidRPr="00FD211F" w:rsidRDefault="00052BF2" w:rsidP="009C58C8">
      <w:pPr>
        <w:ind w:left="0" w:firstLine="227"/>
        <w:jc w:val="both"/>
        <w:rPr>
          <w:sz w:val="36"/>
          <w:szCs w:val="36"/>
          <w:rtl/>
        </w:rPr>
      </w:pPr>
      <w:r w:rsidRPr="00FD211F">
        <w:rPr>
          <w:b/>
          <w:bCs/>
          <w:sz w:val="36"/>
          <w:szCs w:val="36"/>
          <w:rtl/>
        </w:rPr>
        <w:t>الوجه الرابع</w:t>
      </w:r>
      <w:r w:rsidRPr="00FD211F">
        <w:rPr>
          <w:sz w:val="36"/>
          <w:szCs w:val="36"/>
          <w:rtl/>
        </w:rPr>
        <w:t xml:space="preserve">: ما ذكره السيد البروجردي </w:t>
      </w:r>
      <w:r w:rsidR="00A55235" w:rsidRPr="00FD211F">
        <w:rPr>
          <w:sz w:val="36"/>
          <w:szCs w:val="36"/>
          <w:rtl/>
        </w:rPr>
        <w:t>"</w:t>
      </w:r>
      <w:r w:rsidRPr="00FD211F">
        <w:rPr>
          <w:sz w:val="36"/>
          <w:szCs w:val="36"/>
          <w:rtl/>
        </w:rPr>
        <w:t>قده</w:t>
      </w:r>
      <w:r w:rsidR="00A55235" w:rsidRPr="00FD211F">
        <w:rPr>
          <w:sz w:val="36"/>
          <w:szCs w:val="36"/>
          <w:rtl/>
        </w:rPr>
        <w:t>"</w:t>
      </w:r>
      <w:r w:rsidRPr="00FD211F">
        <w:rPr>
          <w:sz w:val="36"/>
          <w:szCs w:val="36"/>
          <w:rtl/>
        </w:rPr>
        <w:t xml:space="preserve"> من ان الصلا</w:t>
      </w:r>
      <w:r w:rsidR="00EC7EDF" w:rsidRPr="00FD211F">
        <w:rPr>
          <w:sz w:val="36"/>
          <w:szCs w:val="36"/>
          <w:rtl/>
        </w:rPr>
        <w:t xml:space="preserve">ة </w:t>
      </w:r>
      <w:r w:rsidRPr="00FD211F">
        <w:rPr>
          <w:sz w:val="36"/>
          <w:szCs w:val="36"/>
          <w:rtl/>
        </w:rPr>
        <w:t>عنوان اعتباري منتزع من عد</w:t>
      </w:r>
      <w:r w:rsidR="00EC7EDF" w:rsidRPr="00FD211F">
        <w:rPr>
          <w:sz w:val="36"/>
          <w:szCs w:val="36"/>
          <w:rtl/>
        </w:rPr>
        <w:t xml:space="preserve">ة </w:t>
      </w:r>
      <w:r w:rsidRPr="00FD211F">
        <w:rPr>
          <w:sz w:val="36"/>
          <w:szCs w:val="36"/>
          <w:rtl/>
        </w:rPr>
        <w:t>امور متباين</w:t>
      </w:r>
      <w:r w:rsidR="00EC7EDF" w:rsidRPr="00FD211F">
        <w:rPr>
          <w:sz w:val="36"/>
          <w:szCs w:val="36"/>
          <w:rtl/>
        </w:rPr>
        <w:t>ة</w:t>
      </w:r>
      <w:r w:rsidR="00603323" w:rsidRPr="00FD211F">
        <w:rPr>
          <w:sz w:val="36"/>
          <w:szCs w:val="36"/>
          <w:rtl/>
        </w:rPr>
        <w:t xml:space="preserve">، </w:t>
      </w:r>
      <w:r w:rsidRPr="00FD211F">
        <w:rPr>
          <w:sz w:val="36"/>
          <w:szCs w:val="36"/>
          <w:rtl/>
        </w:rPr>
        <w:t>وله مراتب يشترك كلها في كونها تخشّعا مخصوصا أمام الربّ</w:t>
      </w:r>
      <w:r w:rsidR="00603323" w:rsidRPr="00FD211F">
        <w:rPr>
          <w:sz w:val="36"/>
          <w:szCs w:val="36"/>
          <w:rtl/>
        </w:rPr>
        <w:t xml:space="preserve">، </w:t>
      </w:r>
      <w:r w:rsidRPr="00FD211F">
        <w:rPr>
          <w:sz w:val="36"/>
          <w:szCs w:val="36"/>
          <w:rtl/>
        </w:rPr>
        <w:t>وليست الصلا</w:t>
      </w:r>
      <w:r w:rsidR="00EC7EDF" w:rsidRPr="00FD211F">
        <w:rPr>
          <w:sz w:val="36"/>
          <w:szCs w:val="36"/>
          <w:rtl/>
        </w:rPr>
        <w:t xml:space="preserve">ة </w:t>
      </w:r>
      <w:r w:rsidRPr="00FD211F">
        <w:rPr>
          <w:sz w:val="36"/>
          <w:szCs w:val="36"/>
          <w:rtl/>
        </w:rPr>
        <w:t>عبار</w:t>
      </w:r>
      <w:r w:rsidR="00EC7EDF" w:rsidRPr="00FD211F">
        <w:rPr>
          <w:sz w:val="36"/>
          <w:szCs w:val="36"/>
          <w:rtl/>
        </w:rPr>
        <w:t xml:space="preserve">ة </w:t>
      </w:r>
      <w:r w:rsidRPr="00FD211F">
        <w:rPr>
          <w:sz w:val="36"/>
          <w:szCs w:val="36"/>
          <w:rtl/>
        </w:rPr>
        <w:t>عن نفس الأقوال والأفعال المتباين</w:t>
      </w:r>
      <w:r w:rsidR="00EC7EDF" w:rsidRPr="00FD211F">
        <w:rPr>
          <w:sz w:val="36"/>
          <w:szCs w:val="36"/>
          <w:rtl/>
        </w:rPr>
        <w:t xml:space="preserve">ة </w:t>
      </w:r>
      <w:r w:rsidRPr="00FD211F">
        <w:rPr>
          <w:sz w:val="36"/>
          <w:szCs w:val="36"/>
          <w:rtl/>
        </w:rPr>
        <w:t>المتدرِّج</w:t>
      </w:r>
      <w:r w:rsidR="00EC7EDF" w:rsidRPr="00FD211F">
        <w:rPr>
          <w:sz w:val="36"/>
          <w:szCs w:val="36"/>
          <w:rtl/>
        </w:rPr>
        <w:t xml:space="preserve">ة </w:t>
      </w:r>
      <w:r w:rsidRPr="00FD211F">
        <w:rPr>
          <w:sz w:val="36"/>
          <w:szCs w:val="36"/>
          <w:rtl/>
        </w:rPr>
        <w:t>في الوجود بل هي عبار</w:t>
      </w:r>
      <w:r w:rsidR="00EC7EDF" w:rsidRPr="00FD211F">
        <w:rPr>
          <w:sz w:val="36"/>
          <w:szCs w:val="36"/>
          <w:rtl/>
        </w:rPr>
        <w:t xml:space="preserve">ة </w:t>
      </w:r>
      <w:r w:rsidRPr="00FD211F">
        <w:rPr>
          <w:sz w:val="36"/>
          <w:szCs w:val="36"/>
          <w:rtl/>
        </w:rPr>
        <w:t>عن حال</w:t>
      </w:r>
      <w:r w:rsidR="00EC7EDF" w:rsidRPr="00FD211F">
        <w:rPr>
          <w:sz w:val="36"/>
          <w:szCs w:val="36"/>
          <w:rtl/>
        </w:rPr>
        <w:t xml:space="preserve">ة </w:t>
      </w:r>
      <w:r w:rsidRPr="00FD211F">
        <w:rPr>
          <w:sz w:val="36"/>
          <w:szCs w:val="36"/>
          <w:rtl/>
        </w:rPr>
        <w:t>توجه خاص يحصل للعبد ويوجد بالشروع في تلك الأقوال والأفعال الى ان يفرغ منها</w:t>
      </w:r>
      <w:r w:rsidR="00603323" w:rsidRPr="00FD211F">
        <w:rPr>
          <w:sz w:val="36"/>
          <w:szCs w:val="36"/>
          <w:rtl/>
        </w:rPr>
        <w:t xml:space="preserve">، </w:t>
      </w:r>
      <w:r w:rsidRPr="00FD211F">
        <w:rPr>
          <w:sz w:val="36"/>
          <w:szCs w:val="36"/>
          <w:rtl/>
        </w:rPr>
        <w:t>فيكون هو في حال الصلا</w:t>
      </w:r>
      <w:r w:rsidR="00EC7EDF" w:rsidRPr="00FD211F">
        <w:rPr>
          <w:sz w:val="36"/>
          <w:szCs w:val="36"/>
          <w:rtl/>
        </w:rPr>
        <w:t xml:space="preserve">ة </w:t>
      </w:r>
      <w:r w:rsidRPr="00FD211F">
        <w:rPr>
          <w:sz w:val="36"/>
          <w:szCs w:val="36"/>
          <w:rtl/>
        </w:rPr>
        <w:t>حتى في الآنات المتخلل</w:t>
      </w:r>
      <w:r w:rsidR="00EC7EDF" w:rsidRPr="00FD211F">
        <w:rPr>
          <w:sz w:val="36"/>
          <w:szCs w:val="36"/>
          <w:rtl/>
        </w:rPr>
        <w:t>ة</w:t>
      </w:r>
      <w:r w:rsidR="00603323" w:rsidRPr="00FD211F">
        <w:rPr>
          <w:sz w:val="36"/>
          <w:szCs w:val="36"/>
          <w:rtl/>
        </w:rPr>
        <w:t xml:space="preserve">، </w:t>
      </w:r>
      <w:r w:rsidRPr="00FD211F">
        <w:rPr>
          <w:sz w:val="36"/>
          <w:szCs w:val="36"/>
          <w:rtl/>
        </w:rPr>
        <w:t>ولكن لايعني ذلك ان الصلا</w:t>
      </w:r>
      <w:r w:rsidR="00EC7EDF" w:rsidRPr="00FD211F">
        <w:rPr>
          <w:sz w:val="36"/>
          <w:szCs w:val="36"/>
          <w:rtl/>
        </w:rPr>
        <w:t xml:space="preserve">ة </w:t>
      </w:r>
      <w:r w:rsidRPr="00FD211F">
        <w:rPr>
          <w:sz w:val="36"/>
          <w:szCs w:val="36"/>
          <w:rtl/>
        </w:rPr>
        <w:t>توجد بوجود آخر وراء وجودات الأجزاء</w:t>
      </w:r>
      <w:r w:rsidR="00603323" w:rsidRPr="00FD211F">
        <w:rPr>
          <w:sz w:val="36"/>
          <w:szCs w:val="36"/>
          <w:rtl/>
        </w:rPr>
        <w:t xml:space="preserve">، </w:t>
      </w:r>
      <w:r w:rsidRPr="00FD211F">
        <w:rPr>
          <w:sz w:val="36"/>
          <w:szCs w:val="36"/>
          <w:rtl/>
        </w:rPr>
        <w:t>كي تكون الأجزاء محصلات له</w:t>
      </w:r>
      <w:r w:rsidR="00603323" w:rsidRPr="00FD211F">
        <w:rPr>
          <w:sz w:val="36"/>
          <w:szCs w:val="36"/>
          <w:rtl/>
        </w:rPr>
        <w:t xml:space="preserve">، </w:t>
      </w:r>
      <w:r w:rsidRPr="00FD211F">
        <w:rPr>
          <w:sz w:val="36"/>
          <w:szCs w:val="36"/>
          <w:rtl/>
        </w:rPr>
        <w:t>بل هي بمنزل</w:t>
      </w:r>
      <w:r w:rsidR="00EC7EDF" w:rsidRPr="00FD211F">
        <w:rPr>
          <w:sz w:val="36"/>
          <w:szCs w:val="36"/>
          <w:rtl/>
        </w:rPr>
        <w:t xml:space="preserve">ة </w:t>
      </w:r>
      <w:r w:rsidRPr="00FD211F">
        <w:rPr>
          <w:sz w:val="36"/>
          <w:szCs w:val="36"/>
          <w:rtl/>
        </w:rPr>
        <w:t>الصور</w:t>
      </w:r>
      <w:r w:rsidR="00EC7EDF" w:rsidRPr="00FD211F">
        <w:rPr>
          <w:sz w:val="36"/>
          <w:szCs w:val="36"/>
          <w:rtl/>
        </w:rPr>
        <w:t xml:space="preserve">ة </w:t>
      </w:r>
      <w:r w:rsidRPr="00FD211F">
        <w:rPr>
          <w:sz w:val="36"/>
          <w:szCs w:val="36"/>
          <w:rtl/>
        </w:rPr>
        <w:t>لهذه الأجزاء فهي موجود</w:t>
      </w:r>
      <w:r w:rsidR="00EC7EDF" w:rsidRPr="00FD211F">
        <w:rPr>
          <w:sz w:val="36"/>
          <w:szCs w:val="36"/>
          <w:rtl/>
        </w:rPr>
        <w:t xml:space="preserve">ة </w:t>
      </w:r>
      <w:r w:rsidRPr="00FD211F">
        <w:rPr>
          <w:sz w:val="36"/>
          <w:szCs w:val="36"/>
          <w:rtl/>
        </w:rPr>
        <w:t>بعين وجودات الأجزاء</w:t>
      </w:r>
      <w:r w:rsidR="009C58C8" w:rsidRPr="00FD211F">
        <w:rPr>
          <w:rStyle w:val="a6"/>
          <w:sz w:val="36"/>
          <w:szCs w:val="36"/>
          <w:rtl/>
        </w:rPr>
        <w:t>(</w:t>
      </w:r>
      <w:r w:rsidR="009C58C8" w:rsidRPr="00FD211F">
        <w:rPr>
          <w:rStyle w:val="a6"/>
          <w:sz w:val="36"/>
          <w:szCs w:val="36"/>
          <w:rtl/>
        </w:rPr>
        <w:footnoteReference w:id="408"/>
      </w:r>
      <w:r w:rsidR="009C58C8" w:rsidRPr="00FD211F">
        <w:rPr>
          <w:rStyle w:val="a6"/>
          <w:sz w:val="36"/>
          <w:szCs w:val="36"/>
          <w:rtl/>
        </w:rPr>
        <w:t>)</w:t>
      </w:r>
      <w:r w:rsidRPr="00FD211F">
        <w:rPr>
          <w:sz w:val="36"/>
          <w:szCs w:val="36"/>
          <w:rtl/>
        </w:rPr>
        <w:t>.</w:t>
      </w:r>
    </w:p>
    <w:p w14:paraId="5EC3DE38" w14:textId="77777777" w:rsidR="00052BF2" w:rsidRPr="00FD211F" w:rsidRDefault="00052BF2" w:rsidP="009C58C8">
      <w:pPr>
        <w:ind w:left="0" w:firstLine="227"/>
        <w:jc w:val="both"/>
        <w:rPr>
          <w:sz w:val="36"/>
          <w:szCs w:val="36"/>
          <w:rtl/>
          <w:lang w:val="en-GB"/>
        </w:rPr>
      </w:pPr>
      <w:r w:rsidRPr="00FD211F">
        <w:rPr>
          <w:sz w:val="36"/>
          <w:szCs w:val="36"/>
          <w:rtl/>
        </w:rPr>
        <w:t>هذا وقد ذكر</w:t>
      </w:r>
      <w:r w:rsidR="00A61BAE" w:rsidRPr="00FD211F">
        <w:rPr>
          <w:sz w:val="36"/>
          <w:szCs w:val="36"/>
          <w:rtl/>
        </w:rPr>
        <w:t xml:space="preserve"> </w:t>
      </w:r>
      <w:r w:rsidR="00662BCB" w:rsidRPr="00FD211F">
        <w:rPr>
          <w:sz w:val="36"/>
          <w:szCs w:val="36"/>
          <w:rtl/>
        </w:rPr>
        <w:t>"قده"</w:t>
      </w:r>
      <w:r w:rsidR="00A61BAE" w:rsidRPr="00FD211F">
        <w:rPr>
          <w:sz w:val="36"/>
          <w:szCs w:val="36"/>
          <w:rtl/>
        </w:rPr>
        <w:t xml:space="preserve"> </w:t>
      </w:r>
      <w:r w:rsidRPr="00FD211F">
        <w:rPr>
          <w:sz w:val="36"/>
          <w:szCs w:val="36"/>
          <w:rtl/>
        </w:rPr>
        <w:t>في بحث الإجزاء ان كل واحد من المكلفين قد كلفوا بإيجاد طبيعي الصلا</w:t>
      </w:r>
      <w:r w:rsidR="00EC7EDF" w:rsidRPr="00FD211F">
        <w:rPr>
          <w:sz w:val="36"/>
          <w:szCs w:val="36"/>
          <w:rtl/>
        </w:rPr>
        <w:t xml:space="preserve">ة </w:t>
      </w:r>
      <w:r w:rsidRPr="00FD211F">
        <w:rPr>
          <w:sz w:val="36"/>
          <w:szCs w:val="36"/>
          <w:rtl/>
        </w:rPr>
        <w:t>وهي طبيع</w:t>
      </w:r>
      <w:r w:rsidR="00EC7EDF" w:rsidRPr="00FD211F">
        <w:rPr>
          <w:sz w:val="36"/>
          <w:szCs w:val="36"/>
          <w:rtl/>
        </w:rPr>
        <w:t xml:space="preserve">ة </w:t>
      </w:r>
      <w:r w:rsidRPr="00FD211F">
        <w:rPr>
          <w:sz w:val="36"/>
          <w:szCs w:val="36"/>
          <w:rtl/>
        </w:rPr>
        <w:t>مجعول</w:t>
      </w:r>
      <w:r w:rsidR="00EC7EDF" w:rsidRPr="00FD211F">
        <w:rPr>
          <w:sz w:val="36"/>
          <w:szCs w:val="36"/>
          <w:rtl/>
        </w:rPr>
        <w:t xml:space="preserve">ة </w:t>
      </w:r>
      <w:r w:rsidRPr="00FD211F">
        <w:rPr>
          <w:sz w:val="36"/>
          <w:szCs w:val="36"/>
          <w:rtl/>
        </w:rPr>
        <w:t>لاتتعين الابتعيين شارعها</w:t>
      </w:r>
      <w:r w:rsidR="00603323" w:rsidRPr="00FD211F">
        <w:rPr>
          <w:sz w:val="36"/>
          <w:szCs w:val="36"/>
          <w:rtl/>
        </w:rPr>
        <w:t xml:space="preserve">، </w:t>
      </w:r>
      <w:r w:rsidRPr="00FD211F">
        <w:rPr>
          <w:sz w:val="36"/>
          <w:szCs w:val="36"/>
          <w:rtl/>
        </w:rPr>
        <w:t>وقد قامت الأدل</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على ان صلا</w:t>
      </w:r>
      <w:r w:rsidR="00EC7EDF" w:rsidRPr="00FD211F">
        <w:rPr>
          <w:sz w:val="36"/>
          <w:szCs w:val="36"/>
          <w:rtl/>
        </w:rPr>
        <w:t xml:space="preserve">ة </w:t>
      </w:r>
      <w:r w:rsidRPr="00FD211F">
        <w:rPr>
          <w:sz w:val="36"/>
          <w:szCs w:val="36"/>
          <w:rtl/>
        </w:rPr>
        <w:t>المختار هكذا</w:t>
      </w:r>
      <w:r w:rsidR="00603323" w:rsidRPr="00FD211F">
        <w:rPr>
          <w:sz w:val="36"/>
          <w:szCs w:val="36"/>
          <w:rtl/>
        </w:rPr>
        <w:t xml:space="preserve">، </w:t>
      </w:r>
      <w:r w:rsidRPr="00FD211F">
        <w:rPr>
          <w:sz w:val="36"/>
          <w:szCs w:val="36"/>
          <w:rtl/>
        </w:rPr>
        <w:t>وصلا</w:t>
      </w:r>
      <w:r w:rsidR="00EC7EDF" w:rsidRPr="00FD211F">
        <w:rPr>
          <w:sz w:val="36"/>
          <w:szCs w:val="36"/>
          <w:rtl/>
        </w:rPr>
        <w:t xml:space="preserve">ة </w:t>
      </w:r>
      <w:r w:rsidRPr="00FD211F">
        <w:rPr>
          <w:sz w:val="36"/>
          <w:szCs w:val="36"/>
          <w:rtl/>
        </w:rPr>
        <w:t>المضطر هكذا</w:t>
      </w:r>
      <w:r w:rsidR="009C58C8" w:rsidRPr="00FD211F">
        <w:rPr>
          <w:rStyle w:val="a6"/>
          <w:sz w:val="36"/>
          <w:szCs w:val="36"/>
          <w:rtl/>
        </w:rPr>
        <w:t>(</w:t>
      </w:r>
      <w:r w:rsidR="009C58C8" w:rsidRPr="00FD211F">
        <w:rPr>
          <w:rStyle w:val="a6"/>
          <w:sz w:val="36"/>
          <w:szCs w:val="36"/>
          <w:rtl/>
        </w:rPr>
        <w:footnoteReference w:id="409"/>
      </w:r>
      <w:r w:rsidR="009C58C8" w:rsidRPr="00FD211F">
        <w:rPr>
          <w:rStyle w:val="a6"/>
          <w:sz w:val="36"/>
          <w:szCs w:val="36"/>
          <w:rtl/>
        </w:rPr>
        <w:t>)</w:t>
      </w:r>
      <w:r w:rsidRPr="00FD211F">
        <w:rPr>
          <w:sz w:val="36"/>
          <w:szCs w:val="36"/>
          <w:rtl/>
          <w:lang w:val="en-GB"/>
        </w:rPr>
        <w:t>.</w:t>
      </w:r>
    </w:p>
    <w:p w14:paraId="1B3100BC" w14:textId="77777777" w:rsidR="00052BF2" w:rsidRPr="00FD211F" w:rsidRDefault="00052BF2" w:rsidP="009C58C8">
      <w:pPr>
        <w:ind w:left="0" w:firstLine="227"/>
        <w:jc w:val="both"/>
        <w:rPr>
          <w:sz w:val="36"/>
          <w:szCs w:val="36"/>
          <w:rtl/>
        </w:rPr>
      </w:pPr>
      <w:r w:rsidRPr="00FD211F">
        <w:rPr>
          <w:sz w:val="36"/>
          <w:szCs w:val="36"/>
          <w:rtl/>
        </w:rPr>
        <w:t>ولايخفى ان هذا المقدار لايكفي لتوجيه الجامع الأعمي الا ان يضاف اليه ما حكي عنه</w:t>
      </w:r>
      <w:r w:rsidR="00A61BAE" w:rsidRPr="00FD211F">
        <w:rPr>
          <w:sz w:val="36"/>
          <w:szCs w:val="36"/>
          <w:rtl/>
        </w:rPr>
        <w:t xml:space="preserve"> </w:t>
      </w:r>
      <w:r w:rsidR="00662BCB" w:rsidRPr="00FD211F">
        <w:rPr>
          <w:sz w:val="36"/>
          <w:szCs w:val="36"/>
          <w:rtl/>
        </w:rPr>
        <w:t>"قده"</w:t>
      </w:r>
      <w:r w:rsidR="00A61BAE" w:rsidRPr="00FD211F">
        <w:rPr>
          <w:sz w:val="36"/>
          <w:szCs w:val="36"/>
          <w:rtl/>
        </w:rPr>
        <w:t xml:space="preserve"> </w:t>
      </w:r>
      <w:r w:rsidRPr="00FD211F">
        <w:rPr>
          <w:sz w:val="36"/>
          <w:szCs w:val="36"/>
          <w:rtl/>
        </w:rPr>
        <w:t>من ان وضع الفاظ العبادات كالصلا</w:t>
      </w:r>
      <w:r w:rsidR="00EC7EDF" w:rsidRPr="00FD211F">
        <w:rPr>
          <w:sz w:val="36"/>
          <w:szCs w:val="36"/>
          <w:rtl/>
        </w:rPr>
        <w:t xml:space="preserve">ة </w:t>
      </w:r>
      <w:r w:rsidRPr="00FD211F">
        <w:rPr>
          <w:sz w:val="36"/>
          <w:szCs w:val="36"/>
          <w:rtl/>
        </w:rPr>
        <w:t>والصوم ونحوهما لماهياتها ليس بتعيين الشارع</w:t>
      </w:r>
      <w:r w:rsidR="00603323" w:rsidRPr="00FD211F">
        <w:rPr>
          <w:sz w:val="36"/>
          <w:szCs w:val="36"/>
          <w:rtl/>
        </w:rPr>
        <w:t xml:space="preserve">، </w:t>
      </w:r>
      <w:r w:rsidRPr="00FD211F">
        <w:rPr>
          <w:sz w:val="36"/>
          <w:szCs w:val="36"/>
          <w:rtl/>
        </w:rPr>
        <w:t>فان سنخ هذه العبادات كان معمولا متداولا بين جميع ابناء البشر وارباب الملل</w:t>
      </w:r>
      <w:r w:rsidR="00603323" w:rsidRPr="00FD211F">
        <w:rPr>
          <w:sz w:val="36"/>
          <w:szCs w:val="36"/>
          <w:rtl/>
        </w:rPr>
        <w:t xml:space="preserve">، </w:t>
      </w:r>
      <w:r w:rsidRPr="00FD211F">
        <w:rPr>
          <w:sz w:val="36"/>
          <w:szCs w:val="36"/>
          <w:rtl/>
        </w:rPr>
        <w:t>حتى في اعصار الجاهلي</w:t>
      </w:r>
      <w:r w:rsidR="00EC7EDF" w:rsidRPr="00FD211F">
        <w:rPr>
          <w:sz w:val="36"/>
          <w:szCs w:val="36"/>
          <w:rtl/>
        </w:rPr>
        <w:t xml:space="preserve">ة </w:t>
      </w:r>
      <w:r w:rsidRPr="00FD211F">
        <w:rPr>
          <w:sz w:val="36"/>
          <w:szCs w:val="36"/>
          <w:rtl/>
        </w:rPr>
        <w:t>أيضا</w:t>
      </w:r>
      <w:r w:rsidR="00603323" w:rsidRPr="00FD211F">
        <w:rPr>
          <w:sz w:val="36"/>
          <w:szCs w:val="36"/>
          <w:rtl/>
        </w:rPr>
        <w:t xml:space="preserve">، </w:t>
      </w:r>
      <w:r w:rsidRPr="00FD211F">
        <w:rPr>
          <w:sz w:val="36"/>
          <w:szCs w:val="36"/>
          <w:rtl/>
        </w:rPr>
        <w:t>وعلى طبق استعمالهم جرى استعمال الشارع أيضا</w:t>
      </w:r>
      <w:r w:rsidR="00603323" w:rsidRPr="00FD211F">
        <w:rPr>
          <w:sz w:val="36"/>
          <w:szCs w:val="36"/>
          <w:rtl/>
        </w:rPr>
        <w:t xml:space="preserve">، </w:t>
      </w:r>
      <w:r w:rsidRPr="00FD211F">
        <w:rPr>
          <w:sz w:val="36"/>
          <w:szCs w:val="36"/>
          <w:rtl/>
        </w:rPr>
        <w:t>فهذه الألفاظ</w:t>
      </w:r>
      <w:r w:rsidR="008D7B3D" w:rsidRPr="00FD211F">
        <w:rPr>
          <w:sz w:val="36"/>
          <w:szCs w:val="36"/>
          <w:rtl/>
        </w:rPr>
        <w:t xml:space="preserve"> لم‌</w:t>
      </w:r>
      <w:r w:rsidRPr="00FD211F">
        <w:rPr>
          <w:sz w:val="36"/>
          <w:szCs w:val="36"/>
          <w:rtl/>
        </w:rPr>
        <w:t>تستعمل في لسان الشارع الا في نفس هذه الماهيات</w:t>
      </w:r>
      <w:r w:rsidR="00603323" w:rsidRPr="00FD211F">
        <w:rPr>
          <w:sz w:val="36"/>
          <w:szCs w:val="36"/>
          <w:rtl/>
        </w:rPr>
        <w:t xml:space="preserve">، </w:t>
      </w:r>
      <w:r w:rsidRPr="00FD211F">
        <w:rPr>
          <w:sz w:val="36"/>
          <w:szCs w:val="36"/>
          <w:rtl/>
        </w:rPr>
        <w:t>واعتبار القيود والخصوصيات المعتبر</w:t>
      </w:r>
      <w:r w:rsidR="00EC7EDF" w:rsidRPr="00FD211F">
        <w:rPr>
          <w:sz w:val="36"/>
          <w:szCs w:val="36"/>
          <w:rtl/>
        </w:rPr>
        <w:t xml:space="preserve">ة </w:t>
      </w:r>
      <w:r w:rsidRPr="00FD211F">
        <w:rPr>
          <w:sz w:val="36"/>
          <w:szCs w:val="36"/>
          <w:rtl/>
        </w:rPr>
        <w:t>في الاسلام انما ثبت من ادل</w:t>
      </w:r>
      <w:r w:rsidR="00EC7EDF" w:rsidRPr="00FD211F">
        <w:rPr>
          <w:sz w:val="36"/>
          <w:szCs w:val="36"/>
          <w:rtl/>
        </w:rPr>
        <w:t xml:space="preserve">ة </w:t>
      </w:r>
      <w:r w:rsidRPr="00FD211F">
        <w:rPr>
          <w:sz w:val="36"/>
          <w:szCs w:val="36"/>
          <w:rtl/>
        </w:rPr>
        <w:t>أخر</w:t>
      </w:r>
      <w:r w:rsidR="00603323" w:rsidRPr="00FD211F">
        <w:rPr>
          <w:sz w:val="36"/>
          <w:szCs w:val="36"/>
          <w:rtl/>
        </w:rPr>
        <w:t xml:space="preserve">، </w:t>
      </w:r>
      <w:r w:rsidRPr="00FD211F">
        <w:rPr>
          <w:sz w:val="36"/>
          <w:szCs w:val="36"/>
          <w:rtl/>
        </w:rPr>
        <w:t>وليس وضعها بتعيين الشارع حتى يتوهم كون الموضوع له خصوص ما صح عنده واشتمل على جميع ما اعتبر فيه من الأجزاء والشرائط</w:t>
      </w:r>
      <w:r w:rsidR="009C58C8" w:rsidRPr="00FD211F">
        <w:rPr>
          <w:rStyle w:val="a6"/>
          <w:sz w:val="36"/>
          <w:szCs w:val="36"/>
          <w:rtl/>
        </w:rPr>
        <w:t>(</w:t>
      </w:r>
      <w:r w:rsidR="009C58C8" w:rsidRPr="00FD211F">
        <w:rPr>
          <w:rStyle w:val="a6"/>
          <w:sz w:val="36"/>
          <w:szCs w:val="36"/>
          <w:rtl/>
        </w:rPr>
        <w:footnoteReference w:id="410"/>
      </w:r>
      <w:r w:rsidR="009C58C8" w:rsidRPr="00FD211F">
        <w:rPr>
          <w:rStyle w:val="a6"/>
          <w:sz w:val="36"/>
          <w:szCs w:val="36"/>
          <w:rtl/>
        </w:rPr>
        <w:t>)</w:t>
      </w:r>
      <w:r w:rsidRPr="00FD211F">
        <w:rPr>
          <w:sz w:val="36"/>
          <w:szCs w:val="36"/>
          <w:rtl/>
        </w:rPr>
        <w:t>.</w:t>
      </w:r>
    </w:p>
    <w:p w14:paraId="41F5DF79" w14:textId="77777777" w:rsidR="00052BF2" w:rsidRPr="00FD211F" w:rsidRDefault="00CC733C" w:rsidP="009C58C8">
      <w:pPr>
        <w:ind w:left="0" w:firstLine="227"/>
        <w:jc w:val="both"/>
        <w:rPr>
          <w:sz w:val="36"/>
          <w:szCs w:val="36"/>
          <w:rtl/>
        </w:rPr>
      </w:pPr>
      <w:r w:rsidRPr="00FD211F">
        <w:rPr>
          <w:sz w:val="36"/>
          <w:szCs w:val="36"/>
          <w:rtl/>
        </w:rPr>
        <w:t>وحكى عن</w:t>
      </w:r>
      <w:r w:rsidR="00052BF2" w:rsidRPr="00FD211F">
        <w:rPr>
          <w:sz w:val="36"/>
          <w:szCs w:val="36"/>
          <w:rtl/>
        </w:rPr>
        <w:t xml:space="preserve"> بعض الساد</w:t>
      </w:r>
      <w:r w:rsidR="00EC7EDF" w:rsidRPr="00FD211F">
        <w:rPr>
          <w:sz w:val="36"/>
          <w:szCs w:val="36"/>
          <w:rtl/>
        </w:rPr>
        <w:t xml:space="preserve">ة </w:t>
      </w:r>
      <w:r w:rsidRPr="00FD211F">
        <w:rPr>
          <w:sz w:val="36"/>
          <w:szCs w:val="36"/>
          <w:rtl/>
        </w:rPr>
        <w:t>الأعلام</w:t>
      </w:r>
      <w:r w:rsidR="00662BCB" w:rsidRPr="00FD211F">
        <w:rPr>
          <w:sz w:val="36"/>
          <w:szCs w:val="36"/>
          <w:rtl/>
        </w:rPr>
        <w:t xml:space="preserve"> "</w:t>
      </w:r>
      <w:r w:rsidR="007A4A0D" w:rsidRPr="00FD211F">
        <w:rPr>
          <w:sz w:val="36"/>
          <w:szCs w:val="36"/>
          <w:rtl/>
        </w:rPr>
        <w:t>دام‌ظله</w:t>
      </w:r>
      <w:r w:rsidR="00662BCB" w:rsidRPr="00FD211F">
        <w:rPr>
          <w:sz w:val="36"/>
          <w:szCs w:val="36"/>
          <w:rtl/>
        </w:rPr>
        <w:t>"</w:t>
      </w:r>
      <w:r w:rsidRPr="00FD211F">
        <w:rPr>
          <w:sz w:val="36"/>
          <w:szCs w:val="36"/>
          <w:rtl/>
        </w:rPr>
        <w:t xml:space="preserve"> نظيرذلك حيث ذكر </w:t>
      </w:r>
      <w:r w:rsidR="00052BF2" w:rsidRPr="00FD211F">
        <w:rPr>
          <w:sz w:val="36"/>
          <w:szCs w:val="36"/>
          <w:rtl/>
        </w:rPr>
        <w:t>ان الصلا</w:t>
      </w:r>
      <w:r w:rsidR="00EC7EDF" w:rsidRPr="00FD211F">
        <w:rPr>
          <w:sz w:val="36"/>
          <w:szCs w:val="36"/>
          <w:rtl/>
        </w:rPr>
        <w:t xml:space="preserve">ة </w:t>
      </w:r>
      <w:r w:rsidR="00052BF2" w:rsidRPr="00FD211F">
        <w:rPr>
          <w:sz w:val="36"/>
          <w:szCs w:val="36"/>
          <w:rtl/>
        </w:rPr>
        <w:t>ماهي</w:t>
      </w:r>
      <w:r w:rsidR="00EC7EDF" w:rsidRPr="00FD211F">
        <w:rPr>
          <w:sz w:val="36"/>
          <w:szCs w:val="36"/>
          <w:rtl/>
        </w:rPr>
        <w:t xml:space="preserve">ة </w:t>
      </w:r>
      <w:r w:rsidR="00052BF2" w:rsidRPr="00FD211F">
        <w:rPr>
          <w:sz w:val="36"/>
          <w:szCs w:val="36"/>
          <w:rtl/>
        </w:rPr>
        <w:t>اعتباري</w:t>
      </w:r>
      <w:r w:rsidR="00EC7EDF" w:rsidRPr="00FD211F">
        <w:rPr>
          <w:sz w:val="36"/>
          <w:szCs w:val="36"/>
          <w:rtl/>
        </w:rPr>
        <w:t>ة</w:t>
      </w:r>
      <w:r w:rsidR="00603323" w:rsidRPr="00FD211F">
        <w:rPr>
          <w:sz w:val="36"/>
          <w:szCs w:val="36"/>
          <w:rtl/>
        </w:rPr>
        <w:t xml:space="preserve">، </w:t>
      </w:r>
      <w:r w:rsidR="00052BF2" w:rsidRPr="00FD211F">
        <w:rPr>
          <w:sz w:val="36"/>
          <w:szCs w:val="36"/>
          <w:rtl/>
        </w:rPr>
        <w:t>ويكون تعيين مصداقها في الشرائع السابق</w:t>
      </w:r>
      <w:r w:rsidR="00EC7EDF" w:rsidRPr="00FD211F">
        <w:rPr>
          <w:sz w:val="36"/>
          <w:szCs w:val="36"/>
          <w:rtl/>
        </w:rPr>
        <w:t xml:space="preserve">ة </w:t>
      </w:r>
      <w:r w:rsidR="00052BF2" w:rsidRPr="00FD211F">
        <w:rPr>
          <w:sz w:val="36"/>
          <w:szCs w:val="36"/>
          <w:rtl/>
        </w:rPr>
        <w:t>وشريع</w:t>
      </w:r>
      <w:r w:rsidR="00EC7EDF" w:rsidRPr="00FD211F">
        <w:rPr>
          <w:sz w:val="36"/>
          <w:szCs w:val="36"/>
          <w:rtl/>
        </w:rPr>
        <w:t xml:space="preserve">ة </w:t>
      </w:r>
      <w:r w:rsidR="00052BF2" w:rsidRPr="00FD211F">
        <w:rPr>
          <w:sz w:val="36"/>
          <w:szCs w:val="36"/>
          <w:rtl/>
        </w:rPr>
        <w:t>الاسلام على نحو متمم الجعل التطبيقي</w:t>
      </w:r>
      <w:r w:rsidR="00603323" w:rsidRPr="00FD211F">
        <w:rPr>
          <w:sz w:val="36"/>
          <w:szCs w:val="36"/>
          <w:rtl/>
        </w:rPr>
        <w:t xml:space="preserve">، </w:t>
      </w:r>
      <w:r w:rsidR="00052BF2" w:rsidRPr="00FD211F">
        <w:rPr>
          <w:sz w:val="36"/>
          <w:szCs w:val="36"/>
          <w:rtl/>
        </w:rPr>
        <w:t>حيث يقوم دليل آخر -غير خطاب جعل الأمر بالصلا</w:t>
      </w:r>
      <w:r w:rsidR="00EC7EDF" w:rsidRPr="00FD211F">
        <w:rPr>
          <w:sz w:val="36"/>
          <w:szCs w:val="36"/>
          <w:rtl/>
        </w:rPr>
        <w:t xml:space="preserve">ة </w:t>
      </w:r>
      <w:r w:rsidR="00052BF2" w:rsidRPr="00FD211F">
        <w:rPr>
          <w:sz w:val="36"/>
          <w:szCs w:val="36"/>
          <w:rtl/>
        </w:rPr>
        <w:t>- على تعيين الشارع مصاديقها بشتى انواعها والمختلف</w:t>
      </w:r>
      <w:r w:rsidR="00EC7EDF" w:rsidRPr="00FD211F">
        <w:rPr>
          <w:sz w:val="36"/>
          <w:szCs w:val="36"/>
          <w:rtl/>
        </w:rPr>
        <w:t xml:space="preserve">ة </w:t>
      </w:r>
      <w:r w:rsidR="00052BF2" w:rsidRPr="00FD211F">
        <w:rPr>
          <w:sz w:val="36"/>
          <w:szCs w:val="36"/>
          <w:rtl/>
        </w:rPr>
        <w:t>باختلاف حالات المكلفين</w:t>
      </w:r>
      <w:r w:rsidR="00603323" w:rsidRPr="00FD211F">
        <w:rPr>
          <w:sz w:val="36"/>
          <w:szCs w:val="36"/>
          <w:rtl/>
        </w:rPr>
        <w:t xml:space="preserve">، </w:t>
      </w:r>
      <w:r w:rsidR="00052BF2" w:rsidRPr="00FD211F">
        <w:rPr>
          <w:sz w:val="36"/>
          <w:szCs w:val="36"/>
          <w:rtl/>
        </w:rPr>
        <w:t>كما طبّقتها الشرائع السابق</w:t>
      </w:r>
      <w:r w:rsidR="00EC7EDF" w:rsidRPr="00FD211F">
        <w:rPr>
          <w:sz w:val="36"/>
          <w:szCs w:val="36"/>
          <w:rtl/>
        </w:rPr>
        <w:t xml:space="preserve">ة </w:t>
      </w:r>
      <w:r w:rsidR="00052BF2" w:rsidRPr="00FD211F">
        <w:rPr>
          <w:sz w:val="36"/>
          <w:szCs w:val="36"/>
          <w:rtl/>
        </w:rPr>
        <w:t>على اعمال خاص</w:t>
      </w:r>
      <w:r w:rsidR="00EC7EDF" w:rsidRPr="00FD211F">
        <w:rPr>
          <w:sz w:val="36"/>
          <w:szCs w:val="36"/>
          <w:rtl/>
        </w:rPr>
        <w:t>ة</w:t>
      </w:r>
      <w:r w:rsidR="00603323" w:rsidRPr="00FD211F">
        <w:rPr>
          <w:sz w:val="36"/>
          <w:szCs w:val="36"/>
          <w:rtl/>
        </w:rPr>
        <w:t xml:space="preserve">، </w:t>
      </w:r>
      <w:r w:rsidR="00052BF2" w:rsidRPr="00FD211F">
        <w:rPr>
          <w:sz w:val="36"/>
          <w:szCs w:val="36"/>
          <w:rtl/>
        </w:rPr>
        <w:t>ولايمكن تصوير جامع بين هذه الأنواع لما فيها صلا</w:t>
      </w:r>
      <w:r w:rsidR="00EC7EDF" w:rsidRPr="00FD211F">
        <w:rPr>
          <w:sz w:val="36"/>
          <w:szCs w:val="36"/>
          <w:rtl/>
        </w:rPr>
        <w:t xml:space="preserve">ة </w:t>
      </w:r>
      <w:r w:rsidR="00052BF2" w:rsidRPr="00FD211F">
        <w:rPr>
          <w:sz w:val="36"/>
          <w:szCs w:val="36"/>
          <w:rtl/>
        </w:rPr>
        <w:t>المختار وصلا</w:t>
      </w:r>
      <w:r w:rsidR="00EC7EDF" w:rsidRPr="00FD211F">
        <w:rPr>
          <w:sz w:val="36"/>
          <w:szCs w:val="36"/>
          <w:rtl/>
        </w:rPr>
        <w:t xml:space="preserve">ة </w:t>
      </w:r>
      <w:r w:rsidR="00052BF2" w:rsidRPr="00FD211F">
        <w:rPr>
          <w:sz w:val="36"/>
          <w:szCs w:val="36"/>
          <w:rtl/>
        </w:rPr>
        <w:t>الميت وصلا</w:t>
      </w:r>
      <w:r w:rsidR="00EC7EDF" w:rsidRPr="00FD211F">
        <w:rPr>
          <w:sz w:val="36"/>
          <w:szCs w:val="36"/>
          <w:rtl/>
        </w:rPr>
        <w:t xml:space="preserve">ة </w:t>
      </w:r>
      <w:r w:rsidR="00052BF2" w:rsidRPr="00FD211F">
        <w:rPr>
          <w:sz w:val="36"/>
          <w:szCs w:val="36"/>
          <w:rtl/>
        </w:rPr>
        <w:t>المطارد</w:t>
      </w:r>
      <w:r w:rsidR="00EC7EDF" w:rsidRPr="00FD211F">
        <w:rPr>
          <w:sz w:val="36"/>
          <w:szCs w:val="36"/>
          <w:rtl/>
        </w:rPr>
        <w:t xml:space="preserve">ة </w:t>
      </w:r>
      <w:r w:rsidR="00052BF2" w:rsidRPr="00FD211F">
        <w:rPr>
          <w:sz w:val="36"/>
          <w:szCs w:val="36"/>
          <w:rtl/>
        </w:rPr>
        <w:t>والمسايف</w:t>
      </w:r>
      <w:r w:rsidR="00EC7EDF" w:rsidRPr="00FD211F">
        <w:rPr>
          <w:sz w:val="36"/>
          <w:szCs w:val="36"/>
          <w:rtl/>
        </w:rPr>
        <w:t xml:space="preserve">ة </w:t>
      </w:r>
      <w:r w:rsidR="00052BF2" w:rsidRPr="00FD211F">
        <w:rPr>
          <w:sz w:val="36"/>
          <w:szCs w:val="36"/>
          <w:rtl/>
        </w:rPr>
        <w:t>وصلا</w:t>
      </w:r>
      <w:r w:rsidR="00EC7EDF" w:rsidRPr="00FD211F">
        <w:rPr>
          <w:sz w:val="36"/>
          <w:szCs w:val="36"/>
          <w:rtl/>
        </w:rPr>
        <w:t xml:space="preserve">ة </w:t>
      </w:r>
      <w:r w:rsidR="00052BF2" w:rsidRPr="00FD211F">
        <w:rPr>
          <w:sz w:val="36"/>
          <w:szCs w:val="36"/>
          <w:rtl/>
        </w:rPr>
        <w:t>الغرقى والصلا</w:t>
      </w:r>
      <w:r w:rsidR="00EC7EDF" w:rsidRPr="00FD211F">
        <w:rPr>
          <w:sz w:val="36"/>
          <w:szCs w:val="36"/>
          <w:rtl/>
        </w:rPr>
        <w:t xml:space="preserve">ة </w:t>
      </w:r>
      <w:r w:rsidR="00052BF2" w:rsidRPr="00FD211F">
        <w:rPr>
          <w:sz w:val="36"/>
          <w:szCs w:val="36"/>
          <w:rtl/>
        </w:rPr>
        <w:t>في الأمم السابق</w:t>
      </w:r>
      <w:r w:rsidR="00EC7EDF" w:rsidRPr="00FD211F">
        <w:rPr>
          <w:sz w:val="36"/>
          <w:szCs w:val="36"/>
          <w:rtl/>
        </w:rPr>
        <w:t>ة</w:t>
      </w:r>
      <w:r w:rsidR="00603323" w:rsidRPr="00FD211F">
        <w:rPr>
          <w:sz w:val="36"/>
          <w:szCs w:val="36"/>
          <w:rtl/>
        </w:rPr>
        <w:t xml:space="preserve">، </w:t>
      </w:r>
      <w:r w:rsidR="00052BF2" w:rsidRPr="00FD211F">
        <w:rPr>
          <w:sz w:val="36"/>
          <w:szCs w:val="36"/>
          <w:rtl/>
        </w:rPr>
        <w:t>واذا اريد خصوص الصحيح فيراد من الصلا</w:t>
      </w:r>
      <w:r w:rsidR="00EC7EDF" w:rsidRPr="00FD211F">
        <w:rPr>
          <w:sz w:val="36"/>
          <w:szCs w:val="36"/>
          <w:rtl/>
        </w:rPr>
        <w:t xml:space="preserve">ة </w:t>
      </w:r>
      <w:r w:rsidR="00052BF2" w:rsidRPr="00FD211F">
        <w:rPr>
          <w:sz w:val="36"/>
          <w:szCs w:val="36"/>
          <w:rtl/>
        </w:rPr>
        <w:t>الماهي</w:t>
      </w:r>
      <w:r w:rsidR="00EC7EDF" w:rsidRPr="00FD211F">
        <w:rPr>
          <w:sz w:val="36"/>
          <w:szCs w:val="36"/>
          <w:rtl/>
        </w:rPr>
        <w:t xml:space="preserve">ة </w:t>
      </w:r>
      <w:r w:rsidR="00052BF2" w:rsidRPr="00FD211F">
        <w:rPr>
          <w:sz w:val="36"/>
          <w:szCs w:val="36"/>
          <w:rtl/>
        </w:rPr>
        <w:t>الاعتباري</w:t>
      </w:r>
      <w:r w:rsidR="00EC7EDF" w:rsidRPr="00FD211F">
        <w:rPr>
          <w:sz w:val="36"/>
          <w:szCs w:val="36"/>
          <w:rtl/>
        </w:rPr>
        <w:t xml:space="preserve">ة </w:t>
      </w:r>
      <w:r w:rsidR="00052BF2" w:rsidRPr="00FD211F">
        <w:rPr>
          <w:sz w:val="36"/>
          <w:szCs w:val="36"/>
          <w:rtl/>
        </w:rPr>
        <w:t>التي قد اعتبرها الشارع ووافقت القانون.</w:t>
      </w:r>
    </w:p>
    <w:p w14:paraId="108B011F" w14:textId="77777777" w:rsidR="00052BF2" w:rsidRPr="00FD211F" w:rsidRDefault="00052BF2" w:rsidP="009C58C8">
      <w:pPr>
        <w:ind w:left="0" w:firstLine="227"/>
        <w:jc w:val="both"/>
        <w:rPr>
          <w:sz w:val="36"/>
          <w:szCs w:val="36"/>
          <w:rtl/>
        </w:rPr>
      </w:pPr>
      <w:r w:rsidRPr="00FD211F">
        <w:rPr>
          <w:sz w:val="36"/>
          <w:szCs w:val="36"/>
          <w:rtl/>
        </w:rPr>
        <w:t xml:space="preserve">اقول: يلاحظ على هذا الوجه </w:t>
      </w:r>
      <w:r w:rsidRPr="00FD211F">
        <w:rPr>
          <w:b/>
          <w:bCs/>
          <w:sz w:val="36"/>
          <w:szCs w:val="36"/>
          <w:rtl/>
        </w:rPr>
        <w:t>اولا</w:t>
      </w:r>
      <w:r w:rsidRPr="00FD211F">
        <w:rPr>
          <w:sz w:val="36"/>
          <w:szCs w:val="36"/>
          <w:rtl/>
        </w:rPr>
        <w:t>: انه كيف يختلف حينئذ مسمى الصلا</w:t>
      </w:r>
      <w:r w:rsidR="00EC7EDF" w:rsidRPr="00FD211F">
        <w:rPr>
          <w:sz w:val="36"/>
          <w:szCs w:val="36"/>
          <w:rtl/>
        </w:rPr>
        <w:t xml:space="preserve">ة </w:t>
      </w:r>
      <w:r w:rsidRPr="00FD211F">
        <w:rPr>
          <w:sz w:val="36"/>
          <w:szCs w:val="36"/>
          <w:rtl/>
        </w:rPr>
        <w:t>مثلا قبل تبيين مصاديقه من قبل الشارع عن سائر الماهيات كالاعتكاف</w:t>
      </w:r>
      <w:r w:rsidR="00603323" w:rsidRPr="00FD211F">
        <w:rPr>
          <w:sz w:val="36"/>
          <w:szCs w:val="36"/>
          <w:rtl/>
        </w:rPr>
        <w:t xml:space="preserve">، </w:t>
      </w:r>
      <w:r w:rsidRPr="00FD211F">
        <w:rPr>
          <w:sz w:val="36"/>
          <w:szCs w:val="36"/>
          <w:rtl/>
        </w:rPr>
        <w:t xml:space="preserve">ومجرد كونه نحو تخشّع أمام الربّ لايميزه عن غيره لكون الاعتكاف أيضا من هذا القبيل. </w:t>
      </w:r>
    </w:p>
    <w:p w14:paraId="3FB6C5C6" w14:textId="77777777" w:rsidR="00052BF2"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ان لازم ذلك عدم شمول الجامع الاعمي الا لما اعتبر مصداقا للماهي</w:t>
      </w:r>
      <w:r w:rsidR="00EC7EDF" w:rsidRPr="00FD211F">
        <w:rPr>
          <w:sz w:val="36"/>
          <w:szCs w:val="36"/>
          <w:rtl/>
        </w:rPr>
        <w:t xml:space="preserve">ة </w:t>
      </w:r>
      <w:r w:rsidRPr="00FD211F">
        <w:rPr>
          <w:sz w:val="36"/>
          <w:szCs w:val="36"/>
          <w:rtl/>
        </w:rPr>
        <w:t>الاعتباري</w:t>
      </w:r>
      <w:r w:rsidR="00EC7EDF" w:rsidRPr="00FD211F">
        <w:rPr>
          <w:sz w:val="36"/>
          <w:szCs w:val="36"/>
          <w:rtl/>
        </w:rPr>
        <w:t xml:space="preserve">ة </w:t>
      </w:r>
      <w:r w:rsidRPr="00FD211F">
        <w:rPr>
          <w:sz w:val="36"/>
          <w:szCs w:val="36"/>
          <w:rtl/>
        </w:rPr>
        <w:t>ولو في الأمم السابق</w:t>
      </w:r>
      <w:r w:rsidR="00EC7EDF" w:rsidRPr="00FD211F">
        <w:rPr>
          <w:sz w:val="36"/>
          <w:szCs w:val="36"/>
          <w:rtl/>
        </w:rPr>
        <w:t>ة</w:t>
      </w:r>
      <w:r w:rsidR="00603323" w:rsidRPr="00FD211F">
        <w:rPr>
          <w:sz w:val="36"/>
          <w:szCs w:val="36"/>
          <w:rtl/>
        </w:rPr>
        <w:t xml:space="preserve">، </w:t>
      </w:r>
      <w:r w:rsidRPr="00FD211F">
        <w:rPr>
          <w:sz w:val="36"/>
          <w:szCs w:val="36"/>
          <w:rtl/>
        </w:rPr>
        <w:t>فمثل الصلا</w:t>
      </w:r>
      <w:r w:rsidR="00EC7EDF" w:rsidRPr="00FD211F">
        <w:rPr>
          <w:sz w:val="36"/>
          <w:szCs w:val="36"/>
          <w:rtl/>
        </w:rPr>
        <w:t xml:space="preserve">ة </w:t>
      </w:r>
      <w:r w:rsidRPr="00FD211F">
        <w:rPr>
          <w:sz w:val="36"/>
          <w:szCs w:val="36"/>
          <w:rtl/>
        </w:rPr>
        <w:t>الفاقد</w:t>
      </w:r>
      <w:r w:rsidR="00EC7EDF" w:rsidRPr="00FD211F">
        <w:rPr>
          <w:sz w:val="36"/>
          <w:szCs w:val="36"/>
          <w:rtl/>
        </w:rPr>
        <w:t xml:space="preserve">ة </w:t>
      </w:r>
      <w:r w:rsidRPr="00FD211F">
        <w:rPr>
          <w:sz w:val="36"/>
          <w:szCs w:val="36"/>
          <w:rtl/>
        </w:rPr>
        <w:t>للطهور حيث</w:t>
      </w:r>
      <w:r w:rsidR="008D7B3D" w:rsidRPr="00FD211F">
        <w:rPr>
          <w:sz w:val="36"/>
          <w:szCs w:val="36"/>
          <w:rtl/>
        </w:rPr>
        <w:t xml:space="preserve"> لم‌</w:t>
      </w:r>
      <w:r w:rsidRPr="00FD211F">
        <w:rPr>
          <w:sz w:val="36"/>
          <w:szCs w:val="36"/>
          <w:rtl/>
        </w:rPr>
        <w:t>تعتبر مصداقا للماهي</w:t>
      </w:r>
      <w:r w:rsidR="00EC7EDF" w:rsidRPr="00FD211F">
        <w:rPr>
          <w:sz w:val="36"/>
          <w:szCs w:val="36"/>
          <w:rtl/>
        </w:rPr>
        <w:t xml:space="preserve">ة </w:t>
      </w:r>
      <w:r w:rsidRPr="00FD211F">
        <w:rPr>
          <w:sz w:val="36"/>
          <w:szCs w:val="36"/>
          <w:rtl/>
        </w:rPr>
        <w:t>الاعتباري</w:t>
      </w:r>
      <w:r w:rsidR="00EC7EDF" w:rsidRPr="00FD211F">
        <w:rPr>
          <w:sz w:val="36"/>
          <w:szCs w:val="36"/>
          <w:rtl/>
        </w:rPr>
        <w:t xml:space="preserve">ة </w:t>
      </w:r>
      <w:r w:rsidRPr="00FD211F">
        <w:rPr>
          <w:sz w:val="36"/>
          <w:szCs w:val="36"/>
          <w:rtl/>
        </w:rPr>
        <w:t>لافي الشرائع السابق</w:t>
      </w:r>
      <w:r w:rsidR="00EC7EDF" w:rsidRPr="00FD211F">
        <w:rPr>
          <w:sz w:val="36"/>
          <w:szCs w:val="36"/>
          <w:rtl/>
        </w:rPr>
        <w:t xml:space="preserve">ة </w:t>
      </w:r>
      <w:r w:rsidRPr="00FD211F">
        <w:rPr>
          <w:sz w:val="36"/>
          <w:szCs w:val="36"/>
          <w:rtl/>
        </w:rPr>
        <w:t>ولافي هذه الشريع</w:t>
      </w:r>
      <w:r w:rsidR="00EC7EDF" w:rsidRPr="00FD211F">
        <w:rPr>
          <w:sz w:val="36"/>
          <w:szCs w:val="36"/>
          <w:rtl/>
        </w:rPr>
        <w:t>ة</w:t>
      </w:r>
      <w:r w:rsidR="00603323" w:rsidRPr="00FD211F">
        <w:rPr>
          <w:sz w:val="36"/>
          <w:szCs w:val="36"/>
          <w:rtl/>
        </w:rPr>
        <w:t xml:space="preserve">، </w:t>
      </w:r>
      <w:r w:rsidRPr="00FD211F">
        <w:rPr>
          <w:sz w:val="36"/>
          <w:szCs w:val="36"/>
          <w:rtl/>
        </w:rPr>
        <w:t>فلا يمكن ان نطبق عليها لفظ الصلا</w:t>
      </w:r>
      <w:r w:rsidR="00EC7EDF" w:rsidRPr="00FD211F">
        <w:rPr>
          <w:sz w:val="36"/>
          <w:szCs w:val="36"/>
          <w:rtl/>
        </w:rPr>
        <w:t xml:space="preserve">ة </w:t>
      </w:r>
      <w:r w:rsidRPr="00FD211F">
        <w:rPr>
          <w:sz w:val="36"/>
          <w:szCs w:val="36"/>
          <w:rtl/>
        </w:rPr>
        <w:t>؛ مع انه خلاف الوجدان.</w:t>
      </w:r>
    </w:p>
    <w:p w14:paraId="61CE09A8" w14:textId="77777777" w:rsidR="000C5BBA" w:rsidRPr="00FD211F" w:rsidRDefault="00052BF2" w:rsidP="009C58C8">
      <w:pPr>
        <w:ind w:left="0" w:firstLine="227"/>
        <w:jc w:val="both"/>
        <w:rPr>
          <w:sz w:val="36"/>
          <w:szCs w:val="36"/>
          <w:rtl/>
        </w:rPr>
      </w:pPr>
      <w:r w:rsidRPr="00FD211F">
        <w:rPr>
          <w:b/>
          <w:bCs/>
          <w:sz w:val="36"/>
          <w:szCs w:val="36"/>
          <w:rtl/>
        </w:rPr>
        <w:t>الوجه الخامس</w:t>
      </w:r>
      <w:r w:rsidRPr="00FD211F">
        <w:rPr>
          <w:sz w:val="36"/>
          <w:szCs w:val="36"/>
          <w:rtl/>
        </w:rPr>
        <w:t>: ما هو المختار من تصوير جامع مركب أوي</w:t>
      </w:r>
      <w:r w:rsidR="00603323" w:rsidRPr="00FD211F">
        <w:rPr>
          <w:sz w:val="36"/>
          <w:szCs w:val="36"/>
          <w:rtl/>
        </w:rPr>
        <w:t xml:space="preserve">، </w:t>
      </w:r>
      <w:r w:rsidRPr="00FD211F">
        <w:rPr>
          <w:sz w:val="36"/>
          <w:szCs w:val="36"/>
          <w:rtl/>
        </w:rPr>
        <w:t>بان يكون مسمى الصلا</w:t>
      </w:r>
      <w:r w:rsidR="00EC7EDF" w:rsidRPr="00FD211F">
        <w:rPr>
          <w:sz w:val="36"/>
          <w:szCs w:val="36"/>
          <w:rtl/>
        </w:rPr>
        <w:t xml:space="preserve">ة </w:t>
      </w:r>
      <w:r w:rsidRPr="00FD211F">
        <w:rPr>
          <w:sz w:val="36"/>
          <w:szCs w:val="36"/>
          <w:rtl/>
        </w:rPr>
        <w:t>ما يشتمل على عد</w:t>
      </w:r>
      <w:r w:rsidR="00EC7EDF" w:rsidRPr="00FD211F">
        <w:rPr>
          <w:sz w:val="36"/>
          <w:szCs w:val="36"/>
          <w:rtl/>
        </w:rPr>
        <w:t xml:space="preserve">ة </w:t>
      </w:r>
      <w:r w:rsidRPr="00FD211F">
        <w:rPr>
          <w:sz w:val="36"/>
          <w:szCs w:val="36"/>
          <w:rtl/>
        </w:rPr>
        <w:t>معتدّبها من تكبير</w:t>
      </w:r>
      <w:r w:rsidR="00EC7EDF" w:rsidRPr="00FD211F">
        <w:rPr>
          <w:sz w:val="36"/>
          <w:szCs w:val="36"/>
          <w:rtl/>
        </w:rPr>
        <w:t xml:space="preserve">ة </w:t>
      </w:r>
      <w:r w:rsidRPr="00FD211F">
        <w:rPr>
          <w:sz w:val="36"/>
          <w:szCs w:val="36"/>
          <w:rtl/>
        </w:rPr>
        <w:t>الإحرام والركوع والسجود وغيرها من الأجزاء والشرائط المعهود</w:t>
      </w:r>
      <w:r w:rsidR="00EC7EDF" w:rsidRPr="00FD211F">
        <w:rPr>
          <w:sz w:val="36"/>
          <w:szCs w:val="36"/>
          <w:rtl/>
        </w:rPr>
        <w:t xml:space="preserve">ة </w:t>
      </w:r>
      <w:r w:rsidRPr="00FD211F">
        <w:rPr>
          <w:sz w:val="36"/>
          <w:szCs w:val="36"/>
          <w:rtl/>
        </w:rPr>
        <w:t>في الصلا</w:t>
      </w:r>
      <w:r w:rsidR="00EC7EDF" w:rsidRPr="00FD211F">
        <w:rPr>
          <w:sz w:val="36"/>
          <w:szCs w:val="36"/>
          <w:rtl/>
        </w:rPr>
        <w:t>ة</w:t>
      </w:r>
      <w:r w:rsidR="00603323" w:rsidRPr="00FD211F">
        <w:rPr>
          <w:sz w:val="36"/>
          <w:szCs w:val="36"/>
          <w:rtl/>
        </w:rPr>
        <w:t xml:space="preserve">، </w:t>
      </w:r>
      <w:r w:rsidRPr="00FD211F">
        <w:rPr>
          <w:sz w:val="36"/>
          <w:szCs w:val="36"/>
          <w:rtl/>
        </w:rPr>
        <w:t>او يشتمل على عد</w:t>
      </w:r>
      <w:r w:rsidR="00EC7EDF" w:rsidRPr="00FD211F">
        <w:rPr>
          <w:sz w:val="36"/>
          <w:szCs w:val="36"/>
          <w:rtl/>
        </w:rPr>
        <w:t xml:space="preserve">ة </w:t>
      </w:r>
      <w:r w:rsidRPr="00FD211F">
        <w:rPr>
          <w:sz w:val="36"/>
          <w:szCs w:val="36"/>
          <w:rtl/>
        </w:rPr>
        <w:t>معتدّبها من أجزاء صلا</w:t>
      </w:r>
      <w:r w:rsidR="00EC7EDF" w:rsidRPr="00FD211F">
        <w:rPr>
          <w:sz w:val="36"/>
          <w:szCs w:val="36"/>
          <w:rtl/>
        </w:rPr>
        <w:t xml:space="preserve">ة </w:t>
      </w:r>
      <w:r w:rsidRPr="00FD211F">
        <w:rPr>
          <w:sz w:val="36"/>
          <w:szCs w:val="36"/>
          <w:rtl/>
        </w:rPr>
        <w:t>الميت او صلا</w:t>
      </w:r>
      <w:r w:rsidR="00EC7EDF" w:rsidRPr="00FD211F">
        <w:rPr>
          <w:sz w:val="36"/>
          <w:szCs w:val="36"/>
          <w:rtl/>
        </w:rPr>
        <w:t xml:space="preserve">ة </w:t>
      </w:r>
      <w:r w:rsidRPr="00FD211F">
        <w:rPr>
          <w:sz w:val="36"/>
          <w:szCs w:val="36"/>
          <w:rtl/>
        </w:rPr>
        <w:t>الخوف والمطارد</w:t>
      </w:r>
      <w:r w:rsidR="00EC7EDF" w:rsidRPr="00FD211F">
        <w:rPr>
          <w:sz w:val="36"/>
          <w:szCs w:val="36"/>
          <w:rtl/>
        </w:rPr>
        <w:t>ة</w:t>
      </w:r>
      <w:r w:rsidR="00603323" w:rsidRPr="00FD211F">
        <w:rPr>
          <w:sz w:val="36"/>
          <w:szCs w:val="36"/>
          <w:rtl/>
        </w:rPr>
        <w:t xml:space="preserve">، </w:t>
      </w:r>
      <w:r w:rsidRPr="00FD211F">
        <w:rPr>
          <w:sz w:val="36"/>
          <w:szCs w:val="36"/>
          <w:rtl/>
        </w:rPr>
        <w:t>مشروط</w:t>
      </w:r>
      <w:r w:rsidR="00EC7EDF" w:rsidRPr="00FD211F">
        <w:rPr>
          <w:sz w:val="36"/>
          <w:szCs w:val="36"/>
          <w:rtl/>
        </w:rPr>
        <w:t xml:space="preserve">ة </w:t>
      </w:r>
      <w:r w:rsidRPr="00FD211F">
        <w:rPr>
          <w:sz w:val="36"/>
          <w:szCs w:val="36"/>
          <w:rtl/>
        </w:rPr>
        <w:t>بصدورها في هذا الحال</w:t>
      </w:r>
      <w:r w:rsidR="00603323" w:rsidRPr="00FD211F">
        <w:rPr>
          <w:sz w:val="36"/>
          <w:szCs w:val="36"/>
          <w:rtl/>
        </w:rPr>
        <w:t xml:space="preserve">، </w:t>
      </w:r>
      <w:r w:rsidRPr="00FD211F">
        <w:rPr>
          <w:sz w:val="36"/>
          <w:szCs w:val="36"/>
          <w:rtl/>
        </w:rPr>
        <w:t>حيث انه لو صدر في غير هذا الحال ما يكون شبيها بصلا</w:t>
      </w:r>
      <w:r w:rsidR="00EC7EDF" w:rsidRPr="00FD211F">
        <w:rPr>
          <w:sz w:val="36"/>
          <w:szCs w:val="36"/>
          <w:rtl/>
        </w:rPr>
        <w:t xml:space="preserve">ة </w:t>
      </w:r>
      <w:r w:rsidRPr="00FD211F">
        <w:rPr>
          <w:sz w:val="36"/>
          <w:szCs w:val="36"/>
          <w:rtl/>
        </w:rPr>
        <w:t>الخوف والمطارد</w:t>
      </w:r>
      <w:r w:rsidR="00EC7EDF" w:rsidRPr="00FD211F">
        <w:rPr>
          <w:sz w:val="36"/>
          <w:szCs w:val="36"/>
          <w:rtl/>
        </w:rPr>
        <w:t xml:space="preserve">ة </w:t>
      </w:r>
      <w:r w:rsidRPr="00FD211F">
        <w:rPr>
          <w:sz w:val="36"/>
          <w:szCs w:val="36"/>
          <w:rtl/>
        </w:rPr>
        <w:t>فلايكون صلا</w:t>
      </w:r>
      <w:r w:rsidR="00EC7EDF" w:rsidRPr="00FD211F">
        <w:rPr>
          <w:sz w:val="36"/>
          <w:szCs w:val="36"/>
          <w:rtl/>
        </w:rPr>
        <w:t xml:space="preserve">ة </w:t>
      </w:r>
      <w:r w:rsidRPr="00FD211F">
        <w:rPr>
          <w:sz w:val="36"/>
          <w:szCs w:val="36"/>
          <w:rtl/>
        </w:rPr>
        <w:t>عرفا.</w:t>
      </w:r>
    </w:p>
    <w:p w14:paraId="38554BDF" w14:textId="77777777" w:rsidR="00052BF2" w:rsidRPr="00FD211F" w:rsidRDefault="00052BF2"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وقد ذكرت وجوه أخرى لتصوير الجامع الأعمي مما لايرجع الى محصَّل.</w:t>
      </w:r>
    </w:p>
    <w:p w14:paraId="3B4C7BAF" w14:textId="77777777" w:rsidR="00052BF2" w:rsidRPr="00FD211F" w:rsidRDefault="00052BF2" w:rsidP="009C58C8">
      <w:pPr>
        <w:pStyle w:val="3"/>
        <w:ind w:firstLine="227"/>
        <w:jc w:val="both"/>
        <w:rPr>
          <w:rtl/>
        </w:rPr>
      </w:pPr>
      <w:bookmarkStart w:id="381" w:name="_Toc192092927"/>
      <w:bookmarkStart w:id="382" w:name="_Toc223890406"/>
      <w:r w:rsidRPr="00FD211F">
        <w:rPr>
          <w:rtl/>
        </w:rPr>
        <w:t>ثمر</w:t>
      </w:r>
      <w:r w:rsidR="00EC7EDF" w:rsidRPr="00FD211F">
        <w:rPr>
          <w:rtl/>
        </w:rPr>
        <w:t xml:space="preserve">ة </w:t>
      </w:r>
      <w:r w:rsidRPr="00FD211F">
        <w:rPr>
          <w:rtl/>
        </w:rPr>
        <w:t>النزاع بين الصحيحي والأعمي</w:t>
      </w:r>
      <w:bookmarkEnd w:id="381"/>
      <w:bookmarkEnd w:id="382"/>
    </w:p>
    <w:p w14:paraId="0031C1F8" w14:textId="77777777" w:rsidR="000C5BBA" w:rsidRPr="00FD211F" w:rsidRDefault="00052BF2" w:rsidP="009C58C8">
      <w:pPr>
        <w:ind w:left="0" w:firstLine="227"/>
        <w:jc w:val="both"/>
        <w:rPr>
          <w:sz w:val="36"/>
          <w:szCs w:val="36"/>
          <w:rtl/>
        </w:rPr>
      </w:pPr>
      <w:r w:rsidRPr="00FD211F">
        <w:rPr>
          <w:sz w:val="36"/>
          <w:szCs w:val="36"/>
          <w:rtl/>
        </w:rPr>
        <w:t>ذُكرت أربع ثمرات للنزاع بين الصحيحي وا</w:t>
      </w:r>
      <w:r w:rsidR="00D0009F" w:rsidRPr="00FD211F">
        <w:rPr>
          <w:sz w:val="36"/>
          <w:szCs w:val="36"/>
          <w:rtl/>
        </w:rPr>
        <w:t>لأعمي.</w:t>
      </w:r>
    </w:p>
    <w:p w14:paraId="0FEAEEF5" w14:textId="77777777" w:rsidR="004D5A49" w:rsidRPr="00FD211F" w:rsidRDefault="00052BF2" w:rsidP="009C58C8">
      <w:pPr>
        <w:ind w:left="0" w:firstLine="227"/>
        <w:jc w:val="both"/>
        <w:rPr>
          <w:sz w:val="36"/>
          <w:szCs w:val="36"/>
          <w:rtl/>
        </w:rPr>
      </w:pPr>
      <w:r w:rsidRPr="00FD211F">
        <w:rPr>
          <w:b/>
          <w:bCs/>
          <w:sz w:val="36"/>
          <w:szCs w:val="36"/>
          <w:rtl/>
        </w:rPr>
        <w:t>الأولى</w:t>
      </w:r>
      <w:r w:rsidRPr="00FD211F">
        <w:rPr>
          <w:sz w:val="36"/>
          <w:szCs w:val="36"/>
          <w:rtl/>
        </w:rPr>
        <w:t>: ما ذكره المحقق القمي</w:t>
      </w:r>
      <w:r w:rsidR="00A61BAE" w:rsidRPr="00FD211F">
        <w:rPr>
          <w:sz w:val="36"/>
          <w:szCs w:val="36"/>
          <w:rtl/>
        </w:rPr>
        <w:t xml:space="preserve"> </w:t>
      </w:r>
      <w:r w:rsidR="00662BCB" w:rsidRPr="00FD211F">
        <w:rPr>
          <w:sz w:val="36"/>
          <w:szCs w:val="36"/>
          <w:rtl/>
        </w:rPr>
        <w:t>"قده"</w:t>
      </w:r>
      <w:r w:rsidR="00A61BAE" w:rsidRPr="00FD211F">
        <w:rPr>
          <w:sz w:val="36"/>
          <w:szCs w:val="36"/>
          <w:rtl/>
        </w:rPr>
        <w:t xml:space="preserve"> </w:t>
      </w:r>
      <w:r w:rsidRPr="00FD211F">
        <w:rPr>
          <w:sz w:val="36"/>
          <w:szCs w:val="36"/>
          <w:rtl/>
        </w:rPr>
        <w:t>من انه اذا شك في اعتبار جزء او شرط فالصحيحي يتمسك بقاعد</w:t>
      </w:r>
      <w:r w:rsidR="00EC7EDF" w:rsidRPr="00FD211F">
        <w:rPr>
          <w:sz w:val="36"/>
          <w:szCs w:val="36"/>
          <w:rtl/>
        </w:rPr>
        <w:t xml:space="preserve">ة </w:t>
      </w:r>
      <w:r w:rsidRPr="00FD211F">
        <w:rPr>
          <w:sz w:val="36"/>
          <w:szCs w:val="36"/>
          <w:rtl/>
        </w:rPr>
        <w:t>الاشتغال ول</w:t>
      </w:r>
      <w:r w:rsidR="004D5A49" w:rsidRPr="00FD211F">
        <w:rPr>
          <w:sz w:val="36"/>
          <w:szCs w:val="36"/>
          <w:rtl/>
        </w:rPr>
        <w:t>كن الاعمي يتمسك باصال</w:t>
      </w:r>
      <w:r w:rsidR="00EC7EDF" w:rsidRPr="00FD211F">
        <w:rPr>
          <w:sz w:val="36"/>
          <w:szCs w:val="36"/>
          <w:rtl/>
        </w:rPr>
        <w:t xml:space="preserve">ة </w:t>
      </w:r>
      <w:r w:rsidR="004D5A49" w:rsidRPr="00FD211F">
        <w:rPr>
          <w:sz w:val="36"/>
          <w:szCs w:val="36"/>
          <w:rtl/>
        </w:rPr>
        <w:t>البراء</w:t>
      </w:r>
      <w:r w:rsidR="00EC7EDF" w:rsidRPr="00FD211F">
        <w:rPr>
          <w:sz w:val="36"/>
          <w:szCs w:val="36"/>
          <w:rtl/>
        </w:rPr>
        <w:t>ة</w:t>
      </w:r>
      <w:r w:rsidR="00A61BAE" w:rsidRPr="00FD211F">
        <w:rPr>
          <w:sz w:val="36"/>
          <w:szCs w:val="36"/>
          <w:rtl/>
        </w:rPr>
        <w:t>.</w:t>
      </w:r>
    </w:p>
    <w:p w14:paraId="42DDF8C2" w14:textId="77777777" w:rsidR="000C5BBA" w:rsidRPr="00FD211F" w:rsidRDefault="00052BF2" w:rsidP="009C58C8">
      <w:pPr>
        <w:ind w:left="0" w:firstLine="227"/>
        <w:jc w:val="both"/>
        <w:rPr>
          <w:sz w:val="36"/>
          <w:szCs w:val="36"/>
          <w:rtl/>
        </w:rPr>
      </w:pPr>
      <w:r w:rsidRPr="00FD211F">
        <w:rPr>
          <w:sz w:val="36"/>
          <w:szCs w:val="36"/>
          <w:rtl/>
        </w:rPr>
        <w:t>واورد عليه جماع</w:t>
      </w:r>
      <w:r w:rsidR="00EC7EDF" w:rsidRPr="00FD211F">
        <w:rPr>
          <w:sz w:val="36"/>
          <w:szCs w:val="36"/>
          <w:rtl/>
        </w:rPr>
        <w:t xml:space="preserve">ة </w:t>
      </w:r>
      <w:r w:rsidR="00D0009F" w:rsidRPr="00FD211F">
        <w:rPr>
          <w:sz w:val="36"/>
          <w:szCs w:val="36"/>
          <w:rtl/>
        </w:rPr>
        <w:t>-</w:t>
      </w:r>
      <w:r w:rsidRPr="00FD211F">
        <w:rPr>
          <w:sz w:val="36"/>
          <w:szCs w:val="36"/>
          <w:rtl/>
        </w:rPr>
        <w:t xml:space="preserve">منهم الشيخ الاعظم </w:t>
      </w:r>
      <w:r w:rsidR="00D0009F" w:rsidRPr="00FD211F">
        <w:rPr>
          <w:sz w:val="36"/>
          <w:szCs w:val="36"/>
          <w:rtl/>
        </w:rPr>
        <w:t>"</w:t>
      </w:r>
      <w:r w:rsidRPr="00FD211F">
        <w:rPr>
          <w:sz w:val="36"/>
          <w:szCs w:val="36"/>
          <w:rtl/>
        </w:rPr>
        <w:t>قده</w:t>
      </w:r>
      <w:r w:rsidR="00D0009F" w:rsidRPr="00FD211F">
        <w:rPr>
          <w:sz w:val="36"/>
          <w:szCs w:val="36"/>
          <w:rtl/>
        </w:rPr>
        <w:t>"-</w:t>
      </w:r>
      <w:r w:rsidRPr="00FD211F">
        <w:rPr>
          <w:sz w:val="36"/>
          <w:szCs w:val="36"/>
          <w:rtl/>
        </w:rPr>
        <w:t xml:space="preserve"> بعدم الفرق بين المس</w:t>
      </w:r>
      <w:r w:rsidR="004D5A49" w:rsidRPr="00FD211F">
        <w:rPr>
          <w:sz w:val="36"/>
          <w:szCs w:val="36"/>
          <w:rtl/>
        </w:rPr>
        <w:t>لكين في جواز الرجوع الى البراء</w:t>
      </w:r>
      <w:r w:rsidR="00EC7EDF" w:rsidRPr="00FD211F">
        <w:rPr>
          <w:sz w:val="36"/>
          <w:szCs w:val="36"/>
          <w:rtl/>
        </w:rPr>
        <w:t>ة</w:t>
      </w:r>
      <w:r w:rsidR="00CC3D94" w:rsidRPr="00FD211F">
        <w:rPr>
          <w:sz w:val="36"/>
          <w:szCs w:val="36"/>
          <w:rtl/>
        </w:rPr>
        <w:t xml:space="preserve"> بعد دوران امر متعلق التكليف عند الشك في جزئية </w:t>
      </w:r>
      <w:r w:rsidR="00251CB6" w:rsidRPr="00FD211F">
        <w:rPr>
          <w:sz w:val="36"/>
          <w:szCs w:val="36"/>
          <w:rtl/>
        </w:rPr>
        <w:t xml:space="preserve">شيء </w:t>
      </w:r>
      <w:r w:rsidR="00CC3D94" w:rsidRPr="00FD211F">
        <w:rPr>
          <w:sz w:val="36"/>
          <w:szCs w:val="36"/>
          <w:rtl/>
        </w:rPr>
        <w:t>اوشرطيته له بين الاقل والاكثر على كلا المسلكين</w:t>
      </w:r>
      <w:r w:rsidR="00C774D9" w:rsidRPr="00FD211F">
        <w:rPr>
          <w:sz w:val="36"/>
          <w:szCs w:val="36"/>
          <w:rtl/>
        </w:rPr>
        <w:t>.</w:t>
      </w:r>
    </w:p>
    <w:p w14:paraId="589D04D2" w14:textId="77777777" w:rsidR="00052BF2" w:rsidRPr="00FD211F" w:rsidRDefault="00052BF2" w:rsidP="009C58C8">
      <w:pPr>
        <w:ind w:left="0" w:firstLine="227"/>
        <w:jc w:val="both"/>
        <w:rPr>
          <w:sz w:val="36"/>
          <w:szCs w:val="36"/>
          <w:rtl/>
        </w:rPr>
      </w:pPr>
      <w:r w:rsidRPr="00FD211F">
        <w:rPr>
          <w:sz w:val="36"/>
          <w:szCs w:val="36"/>
          <w:rtl/>
        </w:rPr>
        <w:t xml:space="preserve">ولكن وجّه المحقق النائيني </w:t>
      </w:r>
      <w:r w:rsidR="00D0009F" w:rsidRPr="00FD211F">
        <w:rPr>
          <w:sz w:val="36"/>
          <w:szCs w:val="36"/>
          <w:rtl/>
        </w:rPr>
        <w:t>"</w:t>
      </w:r>
      <w:r w:rsidRPr="00FD211F">
        <w:rPr>
          <w:sz w:val="36"/>
          <w:szCs w:val="36"/>
          <w:rtl/>
        </w:rPr>
        <w:t>قده</w:t>
      </w:r>
      <w:r w:rsidR="00D0009F" w:rsidRPr="00FD211F">
        <w:rPr>
          <w:sz w:val="36"/>
          <w:szCs w:val="36"/>
          <w:rtl/>
        </w:rPr>
        <w:t>"</w:t>
      </w:r>
      <w:r w:rsidRPr="00FD211F">
        <w:rPr>
          <w:sz w:val="36"/>
          <w:szCs w:val="36"/>
          <w:rtl/>
        </w:rPr>
        <w:t xml:space="preserve"> كلام المحقق القمي بانه على مسلك الصحيحي حيث يكون المسمى الذي تعلق به ا</w:t>
      </w:r>
      <w:r w:rsidR="00CC3D94" w:rsidRPr="00FD211F">
        <w:rPr>
          <w:sz w:val="36"/>
          <w:szCs w:val="36"/>
          <w:rtl/>
        </w:rPr>
        <w:t>لوجوب</w:t>
      </w:r>
      <w:r w:rsidR="00C7588D" w:rsidRPr="00FD211F">
        <w:rPr>
          <w:sz w:val="36"/>
          <w:szCs w:val="36"/>
          <w:rtl/>
        </w:rPr>
        <w:t xml:space="preserve"> </w:t>
      </w:r>
      <w:r w:rsidRPr="00FD211F">
        <w:rPr>
          <w:sz w:val="36"/>
          <w:szCs w:val="36"/>
          <w:rtl/>
        </w:rPr>
        <w:t xml:space="preserve">امرا بسيطا </w:t>
      </w:r>
      <w:r w:rsidR="00CC3D94" w:rsidRPr="00FD211F">
        <w:rPr>
          <w:sz w:val="36"/>
          <w:szCs w:val="36"/>
          <w:rtl/>
        </w:rPr>
        <w:t>مسببا</w:t>
      </w:r>
      <w:r w:rsidR="00C7588D" w:rsidRPr="00FD211F">
        <w:rPr>
          <w:sz w:val="36"/>
          <w:szCs w:val="36"/>
          <w:rtl/>
        </w:rPr>
        <w:t xml:space="preserve"> </w:t>
      </w:r>
      <w:r w:rsidRPr="00FD211F">
        <w:rPr>
          <w:sz w:val="36"/>
          <w:szCs w:val="36"/>
          <w:rtl/>
        </w:rPr>
        <w:t xml:space="preserve">عن </w:t>
      </w:r>
      <w:r w:rsidR="00CC3D94" w:rsidRPr="00FD211F">
        <w:rPr>
          <w:sz w:val="36"/>
          <w:szCs w:val="36"/>
          <w:rtl/>
        </w:rPr>
        <w:t>العمل المركب</w:t>
      </w:r>
      <w:r w:rsidR="00603323" w:rsidRPr="00FD211F">
        <w:rPr>
          <w:sz w:val="36"/>
          <w:szCs w:val="36"/>
          <w:rtl/>
        </w:rPr>
        <w:t xml:space="preserve">، </w:t>
      </w:r>
      <w:r w:rsidR="00CC3D94" w:rsidRPr="00FD211F">
        <w:rPr>
          <w:sz w:val="36"/>
          <w:szCs w:val="36"/>
          <w:rtl/>
        </w:rPr>
        <w:t xml:space="preserve">فمع الإتيان بهذا العمل مجردا عن الجزء او الشرط المشكوك فيشك في تحقق ذلك الجامع البسيط المأمور به </w:t>
      </w:r>
      <w:r w:rsidRPr="00FD211F">
        <w:rPr>
          <w:sz w:val="36"/>
          <w:szCs w:val="36"/>
          <w:rtl/>
        </w:rPr>
        <w:t>فلابد من القول بالاشتغال لكونه من الشك في المحصل</w:t>
      </w:r>
      <w:r w:rsidR="00603323" w:rsidRPr="00FD211F">
        <w:rPr>
          <w:sz w:val="36"/>
          <w:szCs w:val="36"/>
          <w:rtl/>
        </w:rPr>
        <w:t xml:space="preserve">، </w:t>
      </w:r>
      <w:r w:rsidR="00CC3D94" w:rsidRPr="00FD211F">
        <w:rPr>
          <w:sz w:val="36"/>
          <w:szCs w:val="36"/>
          <w:rtl/>
        </w:rPr>
        <w:t xml:space="preserve">ولكن بناء على مسلك الأعمي </w:t>
      </w:r>
      <w:r w:rsidRPr="00FD211F">
        <w:rPr>
          <w:sz w:val="36"/>
          <w:szCs w:val="36"/>
          <w:rtl/>
        </w:rPr>
        <w:t>لامانع من الرجوع الى البراء</w:t>
      </w:r>
      <w:r w:rsidR="00EC7EDF" w:rsidRPr="00FD211F">
        <w:rPr>
          <w:sz w:val="36"/>
          <w:szCs w:val="36"/>
          <w:rtl/>
        </w:rPr>
        <w:t>ة</w:t>
      </w:r>
      <w:r w:rsidR="00603323" w:rsidRPr="00FD211F">
        <w:rPr>
          <w:sz w:val="36"/>
          <w:szCs w:val="36"/>
          <w:rtl/>
        </w:rPr>
        <w:t xml:space="preserve">، </w:t>
      </w:r>
      <w:r w:rsidRPr="00FD211F">
        <w:rPr>
          <w:sz w:val="36"/>
          <w:szCs w:val="36"/>
          <w:rtl/>
        </w:rPr>
        <w:t>لان المأمور به يكون امرا مركبا فيتردد امره بين الاقل والاكثر.</w:t>
      </w:r>
    </w:p>
    <w:p w14:paraId="1ACED03F" w14:textId="77777777" w:rsidR="000C5BBA" w:rsidRPr="00FD211F" w:rsidRDefault="00052BF2" w:rsidP="009C58C8">
      <w:pPr>
        <w:ind w:left="0" w:firstLine="227"/>
        <w:jc w:val="both"/>
        <w:rPr>
          <w:sz w:val="36"/>
          <w:szCs w:val="36"/>
          <w:rtl/>
        </w:rPr>
      </w:pPr>
      <w:r w:rsidRPr="00FD211F">
        <w:rPr>
          <w:sz w:val="36"/>
          <w:szCs w:val="36"/>
          <w:rtl/>
        </w:rPr>
        <w:t>وما ذكره</w:t>
      </w:r>
      <w:r w:rsidR="00A61BAE" w:rsidRPr="00FD211F">
        <w:rPr>
          <w:sz w:val="36"/>
          <w:szCs w:val="36"/>
          <w:rtl/>
        </w:rPr>
        <w:t xml:space="preserve"> </w:t>
      </w:r>
      <w:r w:rsidR="00662BCB" w:rsidRPr="00FD211F">
        <w:rPr>
          <w:sz w:val="36"/>
          <w:szCs w:val="36"/>
          <w:rtl/>
        </w:rPr>
        <w:t>"قده"</w:t>
      </w:r>
      <w:r w:rsidR="00A61BAE" w:rsidRPr="00FD211F">
        <w:rPr>
          <w:sz w:val="36"/>
          <w:szCs w:val="36"/>
          <w:rtl/>
        </w:rPr>
        <w:t xml:space="preserve"> </w:t>
      </w:r>
      <w:r w:rsidRPr="00FD211F">
        <w:rPr>
          <w:sz w:val="36"/>
          <w:szCs w:val="36"/>
          <w:rtl/>
        </w:rPr>
        <w:t>يبتنى على كون الجامع الصحيحي بسيطا</w:t>
      </w:r>
      <w:r w:rsidR="00603323" w:rsidRPr="00FD211F">
        <w:rPr>
          <w:sz w:val="36"/>
          <w:szCs w:val="36"/>
          <w:rtl/>
        </w:rPr>
        <w:t xml:space="preserve">، </w:t>
      </w:r>
      <w:r w:rsidRPr="00FD211F">
        <w:rPr>
          <w:sz w:val="36"/>
          <w:szCs w:val="36"/>
          <w:rtl/>
        </w:rPr>
        <w:t>وكون الجامع الأعمي مركبا</w:t>
      </w:r>
      <w:r w:rsidR="00603323" w:rsidRPr="00FD211F">
        <w:rPr>
          <w:sz w:val="36"/>
          <w:szCs w:val="36"/>
          <w:rtl/>
        </w:rPr>
        <w:t xml:space="preserve">، </w:t>
      </w:r>
      <w:r w:rsidRPr="00FD211F">
        <w:rPr>
          <w:sz w:val="36"/>
          <w:szCs w:val="36"/>
          <w:rtl/>
        </w:rPr>
        <w:t>الا انه مرّ أنه يمكن ان يكون الجامع الصحيحي جامعا مركبا أُويّا</w:t>
      </w:r>
      <w:r w:rsidR="00603323" w:rsidRPr="00FD211F">
        <w:rPr>
          <w:sz w:val="36"/>
          <w:szCs w:val="36"/>
          <w:rtl/>
        </w:rPr>
        <w:t xml:space="preserve">، </w:t>
      </w:r>
      <w:r w:rsidRPr="00FD211F">
        <w:rPr>
          <w:sz w:val="36"/>
          <w:szCs w:val="36"/>
          <w:rtl/>
        </w:rPr>
        <w:t>ف</w:t>
      </w:r>
      <w:r w:rsidR="00CC3D94" w:rsidRPr="00FD211F">
        <w:rPr>
          <w:sz w:val="36"/>
          <w:szCs w:val="36"/>
          <w:rtl/>
        </w:rPr>
        <w:t>عند</w:t>
      </w:r>
      <w:r w:rsidRPr="00FD211F">
        <w:rPr>
          <w:sz w:val="36"/>
          <w:szCs w:val="36"/>
          <w:rtl/>
        </w:rPr>
        <w:t xml:space="preserve"> الشك في جزئي</w:t>
      </w:r>
      <w:r w:rsidR="00EC7EDF" w:rsidRPr="00FD211F">
        <w:rPr>
          <w:sz w:val="36"/>
          <w:szCs w:val="36"/>
          <w:rtl/>
        </w:rPr>
        <w:t xml:space="preserve">ة </w:t>
      </w:r>
      <w:r w:rsidR="008D7B3D" w:rsidRPr="00FD211F">
        <w:rPr>
          <w:sz w:val="36"/>
          <w:szCs w:val="36"/>
          <w:rtl/>
        </w:rPr>
        <w:t xml:space="preserve">شيء </w:t>
      </w:r>
      <w:r w:rsidRPr="00FD211F">
        <w:rPr>
          <w:sz w:val="36"/>
          <w:szCs w:val="36"/>
          <w:rtl/>
        </w:rPr>
        <w:t xml:space="preserve">او شرطيته </w:t>
      </w:r>
      <w:r w:rsidR="00CC3D94" w:rsidRPr="00FD211F">
        <w:rPr>
          <w:sz w:val="36"/>
          <w:szCs w:val="36"/>
          <w:rtl/>
        </w:rPr>
        <w:t>في هذا الجامع</w:t>
      </w:r>
      <w:r w:rsidR="00C7588D" w:rsidRPr="00FD211F">
        <w:rPr>
          <w:sz w:val="36"/>
          <w:szCs w:val="36"/>
          <w:rtl/>
        </w:rPr>
        <w:t xml:space="preserve"> </w:t>
      </w:r>
      <w:r w:rsidRPr="00FD211F">
        <w:rPr>
          <w:sz w:val="36"/>
          <w:szCs w:val="36"/>
          <w:rtl/>
        </w:rPr>
        <w:t>تجري الب</w:t>
      </w:r>
      <w:r w:rsidR="008D7B3D" w:rsidRPr="00FD211F">
        <w:rPr>
          <w:sz w:val="36"/>
          <w:szCs w:val="36"/>
          <w:rtl/>
        </w:rPr>
        <w:t>راءة</w:t>
      </w:r>
      <w:r w:rsidR="00CC3D94" w:rsidRPr="00FD211F">
        <w:rPr>
          <w:sz w:val="36"/>
          <w:szCs w:val="36"/>
          <w:rtl/>
        </w:rPr>
        <w:t xml:space="preserve"> عنها</w:t>
      </w:r>
      <w:r w:rsidR="00C774D9" w:rsidRPr="00FD211F">
        <w:rPr>
          <w:sz w:val="36"/>
          <w:szCs w:val="36"/>
          <w:rtl/>
        </w:rPr>
        <w:t>.</w:t>
      </w:r>
    </w:p>
    <w:p w14:paraId="0B17C034" w14:textId="77777777" w:rsidR="00052BF2" w:rsidRPr="00FD211F" w:rsidRDefault="00052BF2" w:rsidP="009C58C8">
      <w:pPr>
        <w:ind w:left="0" w:firstLine="227"/>
        <w:jc w:val="both"/>
        <w:rPr>
          <w:sz w:val="36"/>
          <w:szCs w:val="36"/>
          <w:rtl/>
        </w:rPr>
      </w:pPr>
      <w:r w:rsidRPr="00FD211F">
        <w:rPr>
          <w:sz w:val="36"/>
          <w:szCs w:val="36"/>
          <w:rtl/>
        </w:rPr>
        <w:t>كما انه بناء على الوجه الأول من وجوه تصوير الجامع الأعمي يكون الجامع الأعمي بسيطا</w:t>
      </w:r>
      <w:r w:rsidR="00603323" w:rsidRPr="00FD211F">
        <w:rPr>
          <w:sz w:val="36"/>
          <w:szCs w:val="36"/>
          <w:rtl/>
        </w:rPr>
        <w:t xml:space="preserve">، </w:t>
      </w:r>
      <w:r w:rsidRPr="00FD211F">
        <w:rPr>
          <w:sz w:val="36"/>
          <w:szCs w:val="36"/>
          <w:rtl/>
        </w:rPr>
        <w:t>وحينئذ فان شك في اعتبار جزء او شرط مما لايعلم بتحقق الجامع البسيط الاعمي بدونه فتجري قاعد</w:t>
      </w:r>
      <w:r w:rsidR="00EC7EDF" w:rsidRPr="00FD211F">
        <w:rPr>
          <w:sz w:val="36"/>
          <w:szCs w:val="36"/>
          <w:rtl/>
        </w:rPr>
        <w:t xml:space="preserve">ة </w:t>
      </w:r>
      <w:r w:rsidRPr="00FD211F">
        <w:rPr>
          <w:sz w:val="36"/>
          <w:szCs w:val="36"/>
          <w:rtl/>
        </w:rPr>
        <w:t>الاشتغال</w:t>
      </w:r>
      <w:r w:rsidR="00603323" w:rsidRPr="00FD211F">
        <w:rPr>
          <w:sz w:val="36"/>
          <w:szCs w:val="36"/>
          <w:rtl/>
        </w:rPr>
        <w:t xml:space="preserve">، </w:t>
      </w:r>
      <w:r w:rsidRPr="00FD211F">
        <w:rPr>
          <w:sz w:val="36"/>
          <w:szCs w:val="36"/>
          <w:rtl/>
        </w:rPr>
        <w:t>نعم لو علم بان انتفاء ذلك الجزء او الشرط المشكوك لايمنع من تحقق الجامع الأعمي فتجري البراء</w:t>
      </w:r>
      <w:r w:rsidR="00EC7EDF" w:rsidRPr="00FD211F">
        <w:rPr>
          <w:sz w:val="36"/>
          <w:szCs w:val="36"/>
          <w:rtl/>
        </w:rPr>
        <w:t xml:space="preserve">ة </w:t>
      </w:r>
      <w:r w:rsidRPr="00FD211F">
        <w:rPr>
          <w:sz w:val="36"/>
          <w:szCs w:val="36"/>
          <w:rtl/>
        </w:rPr>
        <w:t>بلااشكال.</w:t>
      </w:r>
    </w:p>
    <w:p w14:paraId="29355106" w14:textId="77777777" w:rsidR="000C5BBA" w:rsidRPr="00FD211F" w:rsidRDefault="00052BF2"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 xml:space="preserve">وقد ذكر في البحوث اشكالا آخر على المحقق النائيني </w:t>
      </w:r>
      <w:r w:rsidR="00D0009F" w:rsidRPr="00FD211F">
        <w:rPr>
          <w:sz w:val="36"/>
          <w:szCs w:val="36"/>
          <w:rtl/>
        </w:rPr>
        <w:t>"</w:t>
      </w:r>
      <w:r w:rsidRPr="00FD211F">
        <w:rPr>
          <w:sz w:val="36"/>
          <w:szCs w:val="36"/>
          <w:rtl/>
        </w:rPr>
        <w:t>قده</w:t>
      </w:r>
      <w:r w:rsidR="00D0009F" w:rsidRPr="00FD211F">
        <w:rPr>
          <w:sz w:val="36"/>
          <w:szCs w:val="36"/>
          <w:rtl/>
        </w:rPr>
        <w:t>"</w:t>
      </w:r>
      <w:r w:rsidRPr="00FD211F">
        <w:rPr>
          <w:sz w:val="36"/>
          <w:szCs w:val="36"/>
          <w:rtl/>
        </w:rPr>
        <w:t xml:space="preserve"> وهو ان كون المسمى جامعا بسيطا لايلازم عدم جريان الب</w:t>
      </w:r>
      <w:r w:rsidR="008D7B3D" w:rsidRPr="00FD211F">
        <w:rPr>
          <w:sz w:val="36"/>
          <w:szCs w:val="36"/>
          <w:rtl/>
        </w:rPr>
        <w:t>راءة</w:t>
      </w:r>
      <w:r w:rsidR="00EC7EDF" w:rsidRPr="00FD211F">
        <w:rPr>
          <w:sz w:val="36"/>
          <w:szCs w:val="36"/>
          <w:rtl/>
        </w:rPr>
        <w:t xml:space="preserve"> </w:t>
      </w:r>
      <w:r w:rsidRPr="00FD211F">
        <w:rPr>
          <w:sz w:val="36"/>
          <w:szCs w:val="36"/>
          <w:rtl/>
        </w:rPr>
        <w:t>عند الشك في اعتبار جزء او شرط</w:t>
      </w:r>
      <w:r w:rsidR="00603323" w:rsidRPr="00FD211F">
        <w:rPr>
          <w:sz w:val="36"/>
          <w:szCs w:val="36"/>
          <w:rtl/>
        </w:rPr>
        <w:t xml:space="preserve">، </w:t>
      </w:r>
      <w:r w:rsidRPr="00FD211F">
        <w:rPr>
          <w:sz w:val="36"/>
          <w:szCs w:val="36"/>
          <w:rtl/>
        </w:rPr>
        <w:t>اذ الجامع البسيط يتصور على أنحاء</w:t>
      </w:r>
      <w:r w:rsidR="00BE09CD" w:rsidRPr="00FD211F">
        <w:rPr>
          <w:sz w:val="36"/>
          <w:szCs w:val="36"/>
          <w:rtl/>
        </w:rPr>
        <w:t>:</w:t>
      </w:r>
    </w:p>
    <w:p w14:paraId="7D722D9D" w14:textId="77777777" w:rsidR="00052BF2" w:rsidRPr="00FD211F" w:rsidRDefault="00BE09CD" w:rsidP="009C58C8">
      <w:pPr>
        <w:ind w:left="0" w:firstLine="227"/>
        <w:jc w:val="both"/>
        <w:rPr>
          <w:sz w:val="36"/>
          <w:szCs w:val="36"/>
          <w:rtl/>
        </w:rPr>
      </w:pPr>
      <w:r w:rsidRPr="00FD211F">
        <w:rPr>
          <w:sz w:val="36"/>
          <w:szCs w:val="36"/>
          <w:rtl/>
        </w:rPr>
        <w:t>1-ان يفترض</w:t>
      </w:r>
      <w:r w:rsidR="00CC3D94" w:rsidRPr="00FD211F">
        <w:rPr>
          <w:sz w:val="36"/>
          <w:szCs w:val="36"/>
          <w:rtl/>
        </w:rPr>
        <w:t xml:space="preserve"> </w:t>
      </w:r>
      <w:r w:rsidRPr="00FD211F">
        <w:rPr>
          <w:sz w:val="36"/>
          <w:szCs w:val="36"/>
          <w:rtl/>
        </w:rPr>
        <w:t>كون</w:t>
      </w:r>
      <w:r w:rsidR="00860389" w:rsidRPr="00FD211F">
        <w:rPr>
          <w:sz w:val="36"/>
          <w:szCs w:val="36"/>
          <w:rtl/>
        </w:rPr>
        <w:t xml:space="preserve"> الجامع البسيط</w:t>
      </w:r>
      <w:r w:rsidR="00B253CE" w:rsidRPr="00FD211F">
        <w:rPr>
          <w:sz w:val="36"/>
          <w:szCs w:val="36"/>
          <w:rtl/>
        </w:rPr>
        <w:t xml:space="preserve"> </w:t>
      </w:r>
      <w:r w:rsidR="00052BF2" w:rsidRPr="00FD211F">
        <w:rPr>
          <w:sz w:val="36"/>
          <w:szCs w:val="36"/>
          <w:rtl/>
        </w:rPr>
        <w:t>ذا مراتب</w:t>
      </w:r>
      <w:r w:rsidR="00B253CE" w:rsidRPr="00FD211F">
        <w:rPr>
          <w:sz w:val="36"/>
          <w:szCs w:val="36"/>
          <w:rtl/>
        </w:rPr>
        <w:t xml:space="preserve"> </w:t>
      </w:r>
      <w:r w:rsidR="00052BF2" w:rsidRPr="00FD211F">
        <w:rPr>
          <w:sz w:val="36"/>
          <w:szCs w:val="36"/>
          <w:rtl/>
        </w:rPr>
        <w:t>تشكيكي</w:t>
      </w:r>
      <w:r w:rsidR="00EC7EDF" w:rsidRPr="00FD211F">
        <w:rPr>
          <w:sz w:val="36"/>
          <w:szCs w:val="36"/>
          <w:rtl/>
        </w:rPr>
        <w:t>ة</w:t>
      </w:r>
      <w:r w:rsidR="00603323" w:rsidRPr="00FD211F">
        <w:rPr>
          <w:sz w:val="36"/>
          <w:szCs w:val="36"/>
          <w:rtl/>
        </w:rPr>
        <w:t xml:space="preserve">، </w:t>
      </w:r>
      <w:r w:rsidR="00052BF2" w:rsidRPr="00FD211F">
        <w:rPr>
          <w:sz w:val="36"/>
          <w:szCs w:val="36"/>
          <w:rtl/>
        </w:rPr>
        <w:t>-وان كان</w:t>
      </w:r>
      <w:r w:rsidR="00C7588D" w:rsidRPr="00FD211F">
        <w:rPr>
          <w:sz w:val="36"/>
          <w:szCs w:val="36"/>
          <w:rtl/>
        </w:rPr>
        <w:t xml:space="preserve"> </w:t>
      </w:r>
      <w:r w:rsidR="00CC3D94" w:rsidRPr="00FD211F">
        <w:rPr>
          <w:sz w:val="36"/>
          <w:szCs w:val="36"/>
          <w:rtl/>
        </w:rPr>
        <w:t xml:space="preserve">مفهوم هذا الجامع بسيطا </w:t>
      </w:r>
      <w:r w:rsidR="00052BF2" w:rsidRPr="00FD211F">
        <w:rPr>
          <w:sz w:val="36"/>
          <w:szCs w:val="36"/>
          <w:rtl/>
        </w:rPr>
        <w:t xml:space="preserve">- </w:t>
      </w:r>
      <w:r w:rsidRPr="00FD211F">
        <w:rPr>
          <w:sz w:val="36"/>
          <w:szCs w:val="36"/>
          <w:rtl/>
        </w:rPr>
        <w:t>ف</w:t>
      </w:r>
      <w:r w:rsidR="00860389" w:rsidRPr="00FD211F">
        <w:rPr>
          <w:sz w:val="36"/>
          <w:szCs w:val="36"/>
          <w:rtl/>
        </w:rPr>
        <w:t>العلم بوجوب هذا</w:t>
      </w:r>
      <w:r w:rsidR="00303065" w:rsidRPr="00FD211F">
        <w:rPr>
          <w:sz w:val="36"/>
          <w:szCs w:val="36"/>
          <w:rtl/>
        </w:rPr>
        <w:t xml:space="preserve"> </w:t>
      </w:r>
      <w:r w:rsidR="00860389" w:rsidRPr="00FD211F">
        <w:rPr>
          <w:sz w:val="36"/>
          <w:szCs w:val="36"/>
          <w:rtl/>
        </w:rPr>
        <w:t>الجامع لايمنع من جريان البراء</w:t>
      </w:r>
      <w:r w:rsidR="00EC7EDF" w:rsidRPr="00FD211F">
        <w:rPr>
          <w:sz w:val="36"/>
          <w:szCs w:val="36"/>
          <w:rtl/>
        </w:rPr>
        <w:t>ة</w:t>
      </w:r>
      <w:r w:rsidR="00603323" w:rsidRPr="00FD211F">
        <w:rPr>
          <w:sz w:val="36"/>
          <w:szCs w:val="36"/>
          <w:rtl/>
        </w:rPr>
        <w:t xml:space="preserve">، </w:t>
      </w:r>
      <w:r w:rsidR="00860389" w:rsidRPr="00FD211F">
        <w:rPr>
          <w:sz w:val="36"/>
          <w:szCs w:val="36"/>
          <w:rtl/>
        </w:rPr>
        <w:t>اذ القدر المتيقن هو وجوب المرتب</w:t>
      </w:r>
      <w:r w:rsidR="00EC7EDF" w:rsidRPr="00FD211F">
        <w:rPr>
          <w:sz w:val="36"/>
          <w:szCs w:val="36"/>
          <w:rtl/>
        </w:rPr>
        <w:t xml:space="preserve">ة </w:t>
      </w:r>
      <w:r w:rsidR="00860389" w:rsidRPr="00FD211F">
        <w:rPr>
          <w:sz w:val="36"/>
          <w:szCs w:val="36"/>
          <w:rtl/>
        </w:rPr>
        <w:t>الضعيف</w:t>
      </w:r>
      <w:r w:rsidR="00EC7EDF" w:rsidRPr="00FD211F">
        <w:rPr>
          <w:sz w:val="36"/>
          <w:szCs w:val="36"/>
          <w:rtl/>
        </w:rPr>
        <w:t xml:space="preserve">ة </w:t>
      </w:r>
      <w:r w:rsidR="00860389" w:rsidRPr="00FD211F">
        <w:rPr>
          <w:sz w:val="36"/>
          <w:szCs w:val="36"/>
          <w:rtl/>
        </w:rPr>
        <w:t>منه والمفروض ال</w:t>
      </w:r>
      <w:r w:rsidR="00052BF2" w:rsidRPr="00FD211F">
        <w:rPr>
          <w:sz w:val="36"/>
          <w:szCs w:val="36"/>
          <w:rtl/>
        </w:rPr>
        <w:t>علم بحصوله</w:t>
      </w:r>
      <w:r w:rsidR="00860389" w:rsidRPr="00FD211F">
        <w:rPr>
          <w:sz w:val="36"/>
          <w:szCs w:val="36"/>
          <w:rtl/>
        </w:rPr>
        <w:t>ا</w:t>
      </w:r>
      <w:r w:rsidR="00052BF2" w:rsidRPr="00FD211F">
        <w:rPr>
          <w:sz w:val="36"/>
          <w:szCs w:val="36"/>
          <w:rtl/>
        </w:rPr>
        <w:t xml:space="preserve"> ولو مع الاتيان بالعمل الفاقد لذلك الجزء او الشرط المشكوك</w:t>
      </w:r>
      <w:r w:rsidR="00603323" w:rsidRPr="00FD211F">
        <w:rPr>
          <w:sz w:val="36"/>
          <w:szCs w:val="36"/>
          <w:rtl/>
        </w:rPr>
        <w:t xml:space="preserve">، </w:t>
      </w:r>
      <w:r w:rsidR="00052BF2" w:rsidRPr="00FD211F">
        <w:rPr>
          <w:sz w:val="36"/>
          <w:szCs w:val="36"/>
          <w:rtl/>
        </w:rPr>
        <w:t>وتجري البراء</w:t>
      </w:r>
      <w:r w:rsidR="00EC7EDF" w:rsidRPr="00FD211F">
        <w:rPr>
          <w:sz w:val="36"/>
          <w:szCs w:val="36"/>
          <w:rtl/>
        </w:rPr>
        <w:t xml:space="preserve">ة </w:t>
      </w:r>
      <w:r w:rsidR="00052BF2" w:rsidRPr="00FD211F">
        <w:rPr>
          <w:sz w:val="36"/>
          <w:szCs w:val="36"/>
          <w:rtl/>
        </w:rPr>
        <w:t xml:space="preserve">حينئذ عن </w:t>
      </w:r>
      <w:r w:rsidRPr="00FD211F">
        <w:rPr>
          <w:sz w:val="36"/>
          <w:szCs w:val="36"/>
          <w:rtl/>
        </w:rPr>
        <w:t xml:space="preserve">وجوب </w:t>
      </w:r>
      <w:r w:rsidR="00052BF2" w:rsidRPr="00FD211F">
        <w:rPr>
          <w:sz w:val="36"/>
          <w:szCs w:val="36"/>
          <w:rtl/>
        </w:rPr>
        <w:t>ا</w:t>
      </w:r>
      <w:r w:rsidRPr="00FD211F">
        <w:rPr>
          <w:sz w:val="36"/>
          <w:szCs w:val="36"/>
          <w:rtl/>
        </w:rPr>
        <w:t>يجاد المرتب</w:t>
      </w:r>
      <w:r w:rsidR="00EC7EDF" w:rsidRPr="00FD211F">
        <w:rPr>
          <w:sz w:val="36"/>
          <w:szCs w:val="36"/>
          <w:rtl/>
        </w:rPr>
        <w:t xml:space="preserve">ة </w:t>
      </w:r>
      <w:r w:rsidRPr="00FD211F">
        <w:rPr>
          <w:sz w:val="36"/>
          <w:szCs w:val="36"/>
          <w:rtl/>
        </w:rPr>
        <w:t>الشديد</w:t>
      </w:r>
      <w:r w:rsidR="00EC7EDF" w:rsidRPr="00FD211F">
        <w:rPr>
          <w:sz w:val="36"/>
          <w:szCs w:val="36"/>
          <w:rtl/>
        </w:rPr>
        <w:t xml:space="preserve">ة </w:t>
      </w:r>
      <w:r w:rsidRPr="00FD211F">
        <w:rPr>
          <w:sz w:val="36"/>
          <w:szCs w:val="36"/>
          <w:rtl/>
        </w:rPr>
        <w:t xml:space="preserve">من الجامع </w:t>
      </w:r>
      <w:r w:rsidR="00052BF2" w:rsidRPr="00FD211F">
        <w:rPr>
          <w:sz w:val="36"/>
          <w:szCs w:val="36"/>
          <w:rtl/>
        </w:rPr>
        <w:t>التي قد تتوقف على الاتيان بالعمل الواجد لذلك الجزء او الشرط المشكوك.</w:t>
      </w:r>
    </w:p>
    <w:p w14:paraId="204CE975" w14:textId="77777777" w:rsidR="00052BF2" w:rsidRPr="00FD211F" w:rsidRDefault="00860389" w:rsidP="009C58C8">
      <w:pPr>
        <w:ind w:left="0" w:firstLine="227"/>
        <w:jc w:val="both"/>
        <w:rPr>
          <w:sz w:val="36"/>
          <w:szCs w:val="36"/>
          <w:rtl/>
        </w:rPr>
      </w:pPr>
      <w:r w:rsidRPr="00FD211F">
        <w:rPr>
          <w:sz w:val="36"/>
          <w:szCs w:val="36"/>
          <w:rtl/>
        </w:rPr>
        <w:t>2-ان ي</w:t>
      </w:r>
      <w:r w:rsidR="00052BF2" w:rsidRPr="00FD211F">
        <w:rPr>
          <w:sz w:val="36"/>
          <w:szCs w:val="36"/>
          <w:rtl/>
        </w:rPr>
        <w:t>فترض كون الجامع البسيط غير تشكيكي</w:t>
      </w:r>
      <w:r w:rsidR="00603323" w:rsidRPr="00FD211F">
        <w:rPr>
          <w:sz w:val="36"/>
          <w:szCs w:val="36"/>
          <w:rtl/>
        </w:rPr>
        <w:t xml:space="preserve">، </w:t>
      </w:r>
      <w:r w:rsidR="00052BF2" w:rsidRPr="00FD211F">
        <w:rPr>
          <w:sz w:val="36"/>
          <w:szCs w:val="36"/>
          <w:rtl/>
        </w:rPr>
        <w:t xml:space="preserve">بل كان بسيطا في </w:t>
      </w:r>
      <w:r w:rsidRPr="00FD211F">
        <w:rPr>
          <w:sz w:val="36"/>
          <w:szCs w:val="36"/>
          <w:rtl/>
        </w:rPr>
        <w:t>وجوده كما هو بسيط في مفهومه</w:t>
      </w:r>
      <w:r w:rsidR="00603323" w:rsidRPr="00FD211F">
        <w:rPr>
          <w:sz w:val="36"/>
          <w:szCs w:val="36"/>
          <w:rtl/>
        </w:rPr>
        <w:t xml:space="preserve">، </w:t>
      </w:r>
      <w:r w:rsidRPr="00FD211F">
        <w:rPr>
          <w:sz w:val="36"/>
          <w:szCs w:val="36"/>
          <w:rtl/>
        </w:rPr>
        <w:t>ويفرض كونه مغايرا</w:t>
      </w:r>
      <w:r w:rsidR="00CC3D94" w:rsidRPr="00FD211F">
        <w:rPr>
          <w:sz w:val="36"/>
          <w:szCs w:val="36"/>
          <w:rtl/>
        </w:rPr>
        <w:t xml:space="preserve"> </w:t>
      </w:r>
      <w:r w:rsidRPr="00FD211F">
        <w:rPr>
          <w:sz w:val="36"/>
          <w:szCs w:val="36"/>
          <w:rtl/>
        </w:rPr>
        <w:t>وجودا مع العمل المركب</w:t>
      </w:r>
      <w:r w:rsidR="00052BF2" w:rsidRPr="00FD211F">
        <w:rPr>
          <w:sz w:val="36"/>
          <w:szCs w:val="36"/>
          <w:rtl/>
        </w:rPr>
        <w:t xml:space="preserve"> بان كان مسببا عن</w:t>
      </w:r>
      <w:r w:rsidRPr="00FD211F">
        <w:rPr>
          <w:sz w:val="36"/>
          <w:szCs w:val="36"/>
          <w:rtl/>
        </w:rPr>
        <w:t xml:space="preserve"> ذلك العمل</w:t>
      </w:r>
      <w:r w:rsidR="00603323" w:rsidRPr="00FD211F">
        <w:rPr>
          <w:sz w:val="36"/>
          <w:szCs w:val="36"/>
          <w:rtl/>
        </w:rPr>
        <w:t xml:space="preserve">، </w:t>
      </w:r>
      <w:r w:rsidR="00052BF2" w:rsidRPr="00FD211F">
        <w:rPr>
          <w:sz w:val="36"/>
          <w:szCs w:val="36"/>
          <w:rtl/>
        </w:rPr>
        <w:t>فيرجع الشك حينئذ الى الشك في المحصل</w:t>
      </w:r>
      <w:r w:rsidR="00603323" w:rsidRPr="00FD211F">
        <w:rPr>
          <w:sz w:val="36"/>
          <w:szCs w:val="36"/>
          <w:rtl/>
        </w:rPr>
        <w:t xml:space="preserve">، </w:t>
      </w:r>
      <w:r w:rsidR="00052BF2" w:rsidRPr="00FD211F">
        <w:rPr>
          <w:sz w:val="36"/>
          <w:szCs w:val="36"/>
          <w:rtl/>
        </w:rPr>
        <w:t>فيلزم الاحتياط باتيان كل ما يحتمل اعتباره جزء او شرطا</w:t>
      </w:r>
      <w:r w:rsidR="00603323" w:rsidRPr="00FD211F">
        <w:rPr>
          <w:sz w:val="36"/>
          <w:szCs w:val="36"/>
          <w:rtl/>
        </w:rPr>
        <w:t xml:space="preserve">، </w:t>
      </w:r>
      <w:r w:rsidR="00052BF2" w:rsidRPr="00FD211F">
        <w:rPr>
          <w:sz w:val="36"/>
          <w:szCs w:val="36"/>
          <w:rtl/>
        </w:rPr>
        <w:t>كي يحرز تحقق ذلك الجامع البسيط</w:t>
      </w:r>
      <w:r w:rsidR="00603323" w:rsidRPr="00FD211F">
        <w:rPr>
          <w:sz w:val="36"/>
          <w:szCs w:val="36"/>
          <w:rtl/>
        </w:rPr>
        <w:t xml:space="preserve">، </w:t>
      </w:r>
      <w:r w:rsidR="00052BF2" w:rsidRPr="00FD211F">
        <w:rPr>
          <w:sz w:val="36"/>
          <w:szCs w:val="36"/>
          <w:rtl/>
        </w:rPr>
        <w:t>حيث انه بدونه تجري قاعد</w:t>
      </w:r>
      <w:r w:rsidR="00EC7EDF" w:rsidRPr="00FD211F">
        <w:rPr>
          <w:sz w:val="36"/>
          <w:szCs w:val="36"/>
          <w:rtl/>
        </w:rPr>
        <w:t xml:space="preserve">ة </w:t>
      </w:r>
      <w:r w:rsidR="00052BF2" w:rsidRPr="00FD211F">
        <w:rPr>
          <w:sz w:val="36"/>
          <w:szCs w:val="36"/>
          <w:rtl/>
        </w:rPr>
        <w:t>الاشتغال.</w:t>
      </w:r>
    </w:p>
    <w:p w14:paraId="41A4E613" w14:textId="77777777" w:rsidR="000C5BBA" w:rsidRPr="00FD211F" w:rsidRDefault="00860389" w:rsidP="009C58C8">
      <w:pPr>
        <w:ind w:left="0" w:firstLine="227"/>
        <w:jc w:val="both"/>
        <w:rPr>
          <w:sz w:val="36"/>
          <w:szCs w:val="36"/>
          <w:rtl/>
        </w:rPr>
      </w:pPr>
      <w:r w:rsidRPr="00FD211F">
        <w:rPr>
          <w:sz w:val="36"/>
          <w:szCs w:val="36"/>
          <w:rtl/>
        </w:rPr>
        <w:t>3-</w:t>
      </w:r>
      <w:r w:rsidR="00052BF2" w:rsidRPr="00FD211F">
        <w:rPr>
          <w:sz w:val="36"/>
          <w:szCs w:val="36"/>
          <w:rtl/>
        </w:rPr>
        <w:t>ا</w:t>
      </w:r>
      <w:r w:rsidRPr="00FD211F">
        <w:rPr>
          <w:sz w:val="36"/>
          <w:szCs w:val="36"/>
          <w:rtl/>
        </w:rPr>
        <w:t>ن ي</w:t>
      </w:r>
      <w:r w:rsidR="000622C9" w:rsidRPr="00FD211F">
        <w:rPr>
          <w:sz w:val="36"/>
          <w:szCs w:val="36"/>
          <w:rtl/>
        </w:rPr>
        <w:t>فترض كو</w:t>
      </w:r>
      <w:r w:rsidR="00052BF2" w:rsidRPr="00FD211F">
        <w:rPr>
          <w:sz w:val="36"/>
          <w:szCs w:val="36"/>
          <w:rtl/>
        </w:rPr>
        <w:t xml:space="preserve">ن ذاك الجامع البسيط </w:t>
      </w:r>
      <w:r w:rsidRPr="00FD211F">
        <w:rPr>
          <w:sz w:val="36"/>
          <w:szCs w:val="36"/>
          <w:rtl/>
        </w:rPr>
        <w:t xml:space="preserve">غير التشكيكي </w:t>
      </w:r>
      <w:r w:rsidR="00052BF2" w:rsidRPr="00FD211F">
        <w:rPr>
          <w:sz w:val="36"/>
          <w:szCs w:val="36"/>
          <w:rtl/>
        </w:rPr>
        <w:t>متحد</w:t>
      </w:r>
      <w:r w:rsidRPr="00FD211F">
        <w:rPr>
          <w:sz w:val="36"/>
          <w:szCs w:val="36"/>
          <w:rtl/>
        </w:rPr>
        <w:t>ا</w:t>
      </w:r>
      <w:r w:rsidR="001739E0" w:rsidRPr="00FD211F">
        <w:rPr>
          <w:sz w:val="36"/>
          <w:szCs w:val="36"/>
          <w:rtl/>
        </w:rPr>
        <w:t xml:space="preserve"> </w:t>
      </w:r>
      <w:r w:rsidRPr="00FD211F">
        <w:rPr>
          <w:sz w:val="36"/>
          <w:szCs w:val="36"/>
          <w:rtl/>
        </w:rPr>
        <w:t>وجودا مع العمل المركب</w:t>
      </w:r>
      <w:r w:rsidR="00603323" w:rsidRPr="00FD211F">
        <w:rPr>
          <w:sz w:val="36"/>
          <w:szCs w:val="36"/>
          <w:rtl/>
        </w:rPr>
        <w:t xml:space="preserve">، </w:t>
      </w:r>
      <w:r w:rsidR="000622C9" w:rsidRPr="00FD211F">
        <w:rPr>
          <w:sz w:val="36"/>
          <w:szCs w:val="36"/>
          <w:rtl/>
        </w:rPr>
        <w:t>لكن كان مباينا معه ذاتا</w:t>
      </w:r>
      <w:r w:rsidR="00052BF2" w:rsidRPr="00FD211F">
        <w:rPr>
          <w:sz w:val="36"/>
          <w:szCs w:val="36"/>
          <w:rtl/>
        </w:rPr>
        <w:t xml:space="preserve"> </w:t>
      </w:r>
      <w:r w:rsidR="000622C9" w:rsidRPr="00FD211F">
        <w:rPr>
          <w:sz w:val="36"/>
          <w:szCs w:val="36"/>
          <w:rtl/>
        </w:rPr>
        <w:t>بأ</w:t>
      </w:r>
      <w:r w:rsidR="00052BF2" w:rsidRPr="00FD211F">
        <w:rPr>
          <w:sz w:val="36"/>
          <w:szCs w:val="36"/>
          <w:rtl/>
        </w:rPr>
        <w:t xml:space="preserve">ن </w:t>
      </w:r>
      <w:r w:rsidR="000622C9" w:rsidRPr="00FD211F">
        <w:rPr>
          <w:sz w:val="36"/>
          <w:szCs w:val="36"/>
          <w:rtl/>
        </w:rPr>
        <w:t>لم يك</w:t>
      </w:r>
      <w:r w:rsidR="00052BF2" w:rsidRPr="00FD211F">
        <w:rPr>
          <w:sz w:val="36"/>
          <w:szCs w:val="36"/>
          <w:rtl/>
        </w:rPr>
        <w:t xml:space="preserve">ن </w:t>
      </w:r>
      <w:r w:rsidR="000622C9" w:rsidRPr="00FD211F">
        <w:rPr>
          <w:sz w:val="36"/>
          <w:szCs w:val="36"/>
          <w:rtl/>
        </w:rPr>
        <w:t xml:space="preserve">هذا الجامع </w:t>
      </w:r>
      <w:r w:rsidR="00052BF2" w:rsidRPr="00FD211F">
        <w:rPr>
          <w:sz w:val="36"/>
          <w:szCs w:val="36"/>
          <w:rtl/>
        </w:rPr>
        <w:t xml:space="preserve">منتزعا من </w:t>
      </w:r>
      <w:r w:rsidR="000622C9" w:rsidRPr="00FD211F">
        <w:rPr>
          <w:sz w:val="36"/>
          <w:szCs w:val="36"/>
          <w:rtl/>
        </w:rPr>
        <w:t xml:space="preserve">مرتبة ذات </w:t>
      </w:r>
      <w:r w:rsidR="00052BF2" w:rsidRPr="00FD211F">
        <w:rPr>
          <w:sz w:val="36"/>
          <w:szCs w:val="36"/>
          <w:rtl/>
        </w:rPr>
        <w:t xml:space="preserve">العمل المركب </w:t>
      </w:r>
      <w:r w:rsidR="000622C9" w:rsidRPr="00FD211F">
        <w:rPr>
          <w:sz w:val="36"/>
          <w:szCs w:val="36"/>
          <w:rtl/>
        </w:rPr>
        <w:t xml:space="preserve">بل منتزعا </w:t>
      </w:r>
      <w:r w:rsidR="00BD5EBD" w:rsidRPr="00FD211F">
        <w:rPr>
          <w:sz w:val="36"/>
          <w:szCs w:val="36"/>
          <w:rtl/>
        </w:rPr>
        <w:t>عن</w:t>
      </w:r>
      <w:r w:rsidR="00052BF2" w:rsidRPr="00FD211F">
        <w:rPr>
          <w:sz w:val="36"/>
          <w:szCs w:val="36"/>
          <w:rtl/>
        </w:rPr>
        <w:t xml:space="preserve"> حيثي</w:t>
      </w:r>
      <w:r w:rsidR="00EC7EDF" w:rsidRPr="00FD211F">
        <w:rPr>
          <w:sz w:val="36"/>
          <w:szCs w:val="36"/>
          <w:rtl/>
        </w:rPr>
        <w:t xml:space="preserve">ة </w:t>
      </w:r>
      <w:r w:rsidR="00052BF2" w:rsidRPr="00FD211F">
        <w:rPr>
          <w:sz w:val="36"/>
          <w:szCs w:val="36"/>
          <w:rtl/>
        </w:rPr>
        <w:t>عرضي</w:t>
      </w:r>
      <w:r w:rsidR="00EC7EDF" w:rsidRPr="00FD211F">
        <w:rPr>
          <w:sz w:val="36"/>
          <w:szCs w:val="36"/>
          <w:rtl/>
        </w:rPr>
        <w:t xml:space="preserve">ة </w:t>
      </w:r>
      <w:r w:rsidR="00052BF2" w:rsidRPr="00FD211F">
        <w:rPr>
          <w:sz w:val="36"/>
          <w:szCs w:val="36"/>
          <w:rtl/>
        </w:rPr>
        <w:t>داخل</w:t>
      </w:r>
      <w:r w:rsidR="00EC7EDF" w:rsidRPr="00FD211F">
        <w:rPr>
          <w:sz w:val="36"/>
          <w:szCs w:val="36"/>
          <w:rtl/>
        </w:rPr>
        <w:t xml:space="preserve">ة </w:t>
      </w:r>
      <w:r w:rsidR="00052BF2" w:rsidRPr="00FD211F">
        <w:rPr>
          <w:sz w:val="36"/>
          <w:szCs w:val="36"/>
          <w:rtl/>
        </w:rPr>
        <w:t>في عهد</w:t>
      </w:r>
      <w:r w:rsidR="00EC7EDF" w:rsidRPr="00FD211F">
        <w:rPr>
          <w:sz w:val="36"/>
          <w:szCs w:val="36"/>
          <w:rtl/>
        </w:rPr>
        <w:t xml:space="preserve">ة </w:t>
      </w:r>
      <w:r w:rsidR="00052BF2" w:rsidRPr="00FD211F">
        <w:rPr>
          <w:sz w:val="36"/>
          <w:szCs w:val="36"/>
          <w:rtl/>
        </w:rPr>
        <w:t>المكلف</w:t>
      </w:r>
      <w:r w:rsidR="009C58C8" w:rsidRPr="00FD211F">
        <w:rPr>
          <w:rStyle w:val="a6"/>
          <w:sz w:val="36"/>
          <w:szCs w:val="36"/>
          <w:rtl/>
        </w:rPr>
        <w:t>(</w:t>
      </w:r>
      <w:r w:rsidR="009C58C8" w:rsidRPr="00FD211F">
        <w:rPr>
          <w:rStyle w:val="a6"/>
          <w:sz w:val="36"/>
          <w:szCs w:val="36"/>
          <w:rtl/>
        </w:rPr>
        <w:footnoteReference w:id="411"/>
      </w:r>
      <w:r w:rsidR="009C58C8" w:rsidRPr="00FD211F">
        <w:rPr>
          <w:rStyle w:val="a6"/>
          <w:sz w:val="36"/>
          <w:szCs w:val="36"/>
          <w:rtl/>
        </w:rPr>
        <w:t>)</w:t>
      </w:r>
      <w:r w:rsidR="00603323" w:rsidRPr="00FD211F">
        <w:rPr>
          <w:sz w:val="36"/>
          <w:szCs w:val="36"/>
          <w:rtl/>
        </w:rPr>
        <w:t xml:space="preserve">، </w:t>
      </w:r>
      <w:r w:rsidR="00052BF2" w:rsidRPr="00FD211F">
        <w:rPr>
          <w:sz w:val="36"/>
          <w:szCs w:val="36"/>
          <w:rtl/>
        </w:rPr>
        <w:t xml:space="preserve">نظير عنوان "المؤلم" </w:t>
      </w:r>
      <w:r w:rsidR="000622C9" w:rsidRPr="00FD211F">
        <w:rPr>
          <w:sz w:val="36"/>
          <w:szCs w:val="36"/>
          <w:rtl/>
        </w:rPr>
        <w:t>حيث ي</w:t>
      </w:r>
      <w:r w:rsidR="00052BF2" w:rsidRPr="00FD211F">
        <w:rPr>
          <w:sz w:val="36"/>
          <w:szCs w:val="36"/>
          <w:rtl/>
        </w:rPr>
        <w:t>نتزع من الضرب بلحاظ حيثي</w:t>
      </w:r>
      <w:r w:rsidR="00EC7EDF" w:rsidRPr="00FD211F">
        <w:rPr>
          <w:sz w:val="36"/>
          <w:szCs w:val="36"/>
          <w:rtl/>
        </w:rPr>
        <w:t xml:space="preserve">ة </w:t>
      </w:r>
      <w:r w:rsidR="00052BF2" w:rsidRPr="00FD211F">
        <w:rPr>
          <w:sz w:val="36"/>
          <w:szCs w:val="36"/>
          <w:rtl/>
        </w:rPr>
        <w:t>الألم القائم</w:t>
      </w:r>
      <w:r w:rsidR="00EC7EDF" w:rsidRPr="00FD211F">
        <w:rPr>
          <w:sz w:val="36"/>
          <w:szCs w:val="36"/>
          <w:rtl/>
        </w:rPr>
        <w:t xml:space="preserve">ة </w:t>
      </w:r>
      <w:r w:rsidR="00052BF2" w:rsidRPr="00FD211F">
        <w:rPr>
          <w:sz w:val="36"/>
          <w:szCs w:val="36"/>
          <w:rtl/>
        </w:rPr>
        <w:t>بالمضروب</w:t>
      </w:r>
      <w:r w:rsidR="00603323" w:rsidRPr="00FD211F">
        <w:rPr>
          <w:sz w:val="36"/>
          <w:szCs w:val="36"/>
          <w:rtl/>
        </w:rPr>
        <w:t xml:space="preserve">، </w:t>
      </w:r>
      <w:r w:rsidR="00052BF2" w:rsidRPr="00FD211F">
        <w:rPr>
          <w:sz w:val="36"/>
          <w:szCs w:val="36"/>
          <w:rtl/>
        </w:rPr>
        <w:t>فاذا تعلق الأمر بإيجاد ذلك الأمر الانتزاعي ف</w:t>
      </w:r>
      <w:r w:rsidR="000622C9" w:rsidRPr="00FD211F">
        <w:rPr>
          <w:sz w:val="36"/>
          <w:szCs w:val="36"/>
          <w:rtl/>
        </w:rPr>
        <w:t xml:space="preserve">يكون </w:t>
      </w:r>
      <w:r w:rsidR="00052BF2" w:rsidRPr="00FD211F">
        <w:rPr>
          <w:sz w:val="36"/>
          <w:szCs w:val="36"/>
          <w:rtl/>
        </w:rPr>
        <w:t>الشك بلحاظ ما هو داخل في عهد</w:t>
      </w:r>
      <w:r w:rsidR="00EC7EDF" w:rsidRPr="00FD211F">
        <w:rPr>
          <w:sz w:val="36"/>
          <w:szCs w:val="36"/>
          <w:rtl/>
        </w:rPr>
        <w:t xml:space="preserve">ة </w:t>
      </w:r>
      <w:r w:rsidR="00052BF2" w:rsidRPr="00FD211F">
        <w:rPr>
          <w:sz w:val="36"/>
          <w:szCs w:val="36"/>
          <w:rtl/>
        </w:rPr>
        <w:t xml:space="preserve">المكلف </w:t>
      </w:r>
      <w:r w:rsidR="000622C9" w:rsidRPr="00FD211F">
        <w:rPr>
          <w:sz w:val="36"/>
          <w:szCs w:val="36"/>
          <w:rtl/>
        </w:rPr>
        <w:t xml:space="preserve">يكون </w:t>
      </w:r>
      <w:r w:rsidR="00052BF2" w:rsidRPr="00FD211F">
        <w:rPr>
          <w:sz w:val="36"/>
          <w:szCs w:val="36"/>
          <w:rtl/>
        </w:rPr>
        <w:t>شك</w:t>
      </w:r>
      <w:r w:rsidR="000622C9" w:rsidRPr="00FD211F">
        <w:rPr>
          <w:sz w:val="36"/>
          <w:szCs w:val="36"/>
          <w:rtl/>
        </w:rPr>
        <w:t>ا</w:t>
      </w:r>
      <w:r w:rsidR="00052BF2" w:rsidRPr="00FD211F">
        <w:rPr>
          <w:sz w:val="36"/>
          <w:szCs w:val="36"/>
          <w:rtl/>
        </w:rPr>
        <w:t xml:space="preserve"> في المحصل</w:t>
      </w:r>
      <w:r w:rsidR="00603323" w:rsidRPr="00FD211F">
        <w:rPr>
          <w:sz w:val="36"/>
          <w:szCs w:val="36"/>
          <w:rtl/>
        </w:rPr>
        <w:t xml:space="preserve">، </w:t>
      </w:r>
      <w:r w:rsidR="00052BF2" w:rsidRPr="00FD211F">
        <w:rPr>
          <w:sz w:val="36"/>
          <w:szCs w:val="36"/>
          <w:rtl/>
        </w:rPr>
        <w:t xml:space="preserve">فاذا شك في دخل </w:t>
      </w:r>
      <w:r w:rsidR="008D7B3D" w:rsidRPr="00FD211F">
        <w:rPr>
          <w:sz w:val="36"/>
          <w:szCs w:val="36"/>
          <w:rtl/>
        </w:rPr>
        <w:t xml:space="preserve">شيء </w:t>
      </w:r>
      <w:r w:rsidR="00052BF2" w:rsidRPr="00FD211F">
        <w:rPr>
          <w:sz w:val="36"/>
          <w:szCs w:val="36"/>
          <w:rtl/>
        </w:rPr>
        <w:t>ف</w:t>
      </w:r>
      <w:r w:rsidR="00A03EF4" w:rsidRPr="00FD211F">
        <w:rPr>
          <w:sz w:val="36"/>
          <w:szCs w:val="36"/>
          <w:rtl/>
        </w:rPr>
        <w:t>ي كون الضرب مؤلما</w:t>
      </w:r>
      <w:r w:rsidR="000622C9" w:rsidRPr="00FD211F">
        <w:rPr>
          <w:sz w:val="36"/>
          <w:szCs w:val="36"/>
          <w:rtl/>
        </w:rPr>
        <w:t>ً</w:t>
      </w:r>
      <w:r w:rsidR="00A03EF4" w:rsidRPr="00FD211F">
        <w:rPr>
          <w:sz w:val="36"/>
          <w:szCs w:val="36"/>
          <w:rtl/>
        </w:rPr>
        <w:t xml:space="preserve"> فيجب الاحتياط.</w:t>
      </w:r>
    </w:p>
    <w:p w14:paraId="6E1B460F" w14:textId="77777777" w:rsidR="00052BF2" w:rsidRPr="00FD211F" w:rsidRDefault="00052BF2" w:rsidP="009C58C8">
      <w:pPr>
        <w:ind w:left="0" w:firstLine="227"/>
        <w:jc w:val="both"/>
        <w:rPr>
          <w:sz w:val="36"/>
          <w:szCs w:val="36"/>
          <w:rtl/>
        </w:rPr>
      </w:pPr>
      <w:r w:rsidRPr="00FD211F">
        <w:rPr>
          <w:sz w:val="36"/>
          <w:szCs w:val="36"/>
          <w:rtl/>
        </w:rPr>
        <w:t>فما ذكره صاحب الكفاي</w:t>
      </w:r>
      <w:r w:rsidR="00EC7EDF" w:rsidRPr="00FD211F">
        <w:rPr>
          <w:sz w:val="36"/>
          <w:szCs w:val="36"/>
          <w:rtl/>
        </w:rPr>
        <w:t xml:space="preserve">ة </w:t>
      </w:r>
      <w:r w:rsidR="00BE09CD" w:rsidRPr="00FD211F">
        <w:rPr>
          <w:sz w:val="36"/>
          <w:szCs w:val="36"/>
          <w:rtl/>
        </w:rPr>
        <w:t>"قده"</w:t>
      </w:r>
      <w:r w:rsidRPr="00FD211F">
        <w:rPr>
          <w:sz w:val="36"/>
          <w:szCs w:val="36"/>
          <w:rtl/>
        </w:rPr>
        <w:t xml:space="preserve"> من انه متى كان الجامع البسيط متحدا وجودا مع العمل المركب لامسببا عنه فتجري الب</w:t>
      </w:r>
      <w:r w:rsidR="008D7B3D" w:rsidRPr="00FD211F">
        <w:rPr>
          <w:sz w:val="36"/>
          <w:szCs w:val="36"/>
          <w:rtl/>
        </w:rPr>
        <w:t>راءة</w:t>
      </w:r>
      <w:r w:rsidR="009C58C8" w:rsidRPr="00FD211F">
        <w:rPr>
          <w:rStyle w:val="a6"/>
          <w:sz w:val="36"/>
          <w:szCs w:val="36"/>
          <w:rtl/>
        </w:rPr>
        <w:t>(</w:t>
      </w:r>
      <w:r w:rsidR="009C58C8" w:rsidRPr="00FD211F">
        <w:rPr>
          <w:rStyle w:val="a6"/>
          <w:sz w:val="36"/>
          <w:szCs w:val="36"/>
          <w:rtl/>
        </w:rPr>
        <w:footnoteReference w:id="412"/>
      </w:r>
      <w:r w:rsidR="009C58C8" w:rsidRPr="00FD211F">
        <w:rPr>
          <w:rStyle w:val="a6"/>
          <w:sz w:val="36"/>
          <w:szCs w:val="36"/>
          <w:rtl/>
        </w:rPr>
        <w:t>)</w:t>
      </w:r>
      <w:r w:rsidRPr="00FD211F">
        <w:rPr>
          <w:sz w:val="36"/>
          <w:szCs w:val="36"/>
          <w:rtl/>
        </w:rPr>
        <w:t xml:space="preserve"> فهو كلام غير فنيّ</w:t>
      </w:r>
      <w:r w:rsidR="00603323" w:rsidRPr="00FD211F">
        <w:rPr>
          <w:sz w:val="36"/>
          <w:szCs w:val="36"/>
          <w:rtl/>
        </w:rPr>
        <w:t xml:space="preserve">، </w:t>
      </w:r>
      <w:r w:rsidRPr="00FD211F">
        <w:rPr>
          <w:sz w:val="36"/>
          <w:szCs w:val="36"/>
          <w:rtl/>
        </w:rPr>
        <w:t xml:space="preserve">حيث أنه يشمل باطلاقه </w:t>
      </w:r>
      <w:r w:rsidR="000622C9" w:rsidRPr="00FD211F">
        <w:rPr>
          <w:sz w:val="36"/>
          <w:szCs w:val="36"/>
          <w:rtl/>
        </w:rPr>
        <w:t>هذا الفرض الذي</w:t>
      </w:r>
      <w:r w:rsidR="00C7588D" w:rsidRPr="00FD211F">
        <w:rPr>
          <w:sz w:val="36"/>
          <w:szCs w:val="36"/>
          <w:rtl/>
        </w:rPr>
        <w:t xml:space="preserve"> </w:t>
      </w:r>
      <w:r w:rsidR="000622C9" w:rsidRPr="00FD211F">
        <w:rPr>
          <w:sz w:val="36"/>
          <w:szCs w:val="36"/>
          <w:rtl/>
        </w:rPr>
        <w:t>يكون الجامع</w:t>
      </w:r>
      <w:r w:rsidR="00C7588D" w:rsidRPr="00FD211F">
        <w:rPr>
          <w:sz w:val="36"/>
          <w:szCs w:val="36"/>
          <w:rtl/>
        </w:rPr>
        <w:t xml:space="preserve"> </w:t>
      </w:r>
      <w:r w:rsidR="000622C9" w:rsidRPr="00FD211F">
        <w:rPr>
          <w:sz w:val="36"/>
          <w:szCs w:val="36"/>
          <w:rtl/>
        </w:rPr>
        <w:t>المتحد وجودا مع العمل المركب</w:t>
      </w:r>
      <w:r w:rsidRPr="00FD211F">
        <w:rPr>
          <w:sz w:val="36"/>
          <w:szCs w:val="36"/>
          <w:rtl/>
        </w:rPr>
        <w:t xml:space="preserve"> مباينا معه ذاتا</w:t>
      </w:r>
      <w:r w:rsidR="00603323" w:rsidRPr="00FD211F">
        <w:rPr>
          <w:sz w:val="36"/>
          <w:szCs w:val="36"/>
          <w:rtl/>
        </w:rPr>
        <w:t xml:space="preserve">، </w:t>
      </w:r>
      <w:r w:rsidR="000622C9" w:rsidRPr="00FD211F">
        <w:rPr>
          <w:sz w:val="36"/>
          <w:szCs w:val="36"/>
          <w:rtl/>
        </w:rPr>
        <w:t>بينما</w:t>
      </w:r>
      <w:r w:rsidRPr="00FD211F">
        <w:rPr>
          <w:sz w:val="36"/>
          <w:szCs w:val="36"/>
          <w:rtl/>
        </w:rPr>
        <w:t xml:space="preserve"> انه يجب فيه الاحتياط </w:t>
      </w:r>
      <w:r w:rsidR="000622C9" w:rsidRPr="00FD211F">
        <w:rPr>
          <w:sz w:val="36"/>
          <w:szCs w:val="36"/>
          <w:rtl/>
        </w:rPr>
        <w:t xml:space="preserve">بعد </w:t>
      </w:r>
      <w:r w:rsidRPr="00FD211F">
        <w:rPr>
          <w:sz w:val="36"/>
          <w:szCs w:val="36"/>
          <w:rtl/>
        </w:rPr>
        <w:t>فرض ان الجامع البسيط قد دخل في عهد</w:t>
      </w:r>
      <w:r w:rsidR="00EC7EDF" w:rsidRPr="00FD211F">
        <w:rPr>
          <w:sz w:val="36"/>
          <w:szCs w:val="36"/>
          <w:rtl/>
        </w:rPr>
        <w:t xml:space="preserve">ة </w:t>
      </w:r>
      <w:r w:rsidRPr="00FD211F">
        <w:rPr>
          <w:sz w:val="36"/>
          <w:szCs w:val="36"/>
          <w:rtl/>
        </w:rPr>
        <w:t>المكلف فيكون الشك فيه من الشك في المحصل.</w:t>
      </w:r>
    </w:p>
    <w:p w14:paraId="275BA184" w14:textId="77777777" w:rsidR="004068D0" w:rsidRPr="00FD211F" w:rsidRDefault="00A03EF4" w:rsidP="009C58C8">
      <w:pPr>
        <w:ind w:left="0" w:firstLine="227"/>
        <w:jc w:val="both"/>
        <w:rPr>
          <w:sz w:val="36"/>
          <w:szCs w:val="36"/>
          <w:rtl/>
        </w:rPr>
      </w:pPr>
      <w:r w:rsidRPr="00FD211F">
        <w:rPr>
          <w:sz w:val="36"/>
          <w:szCs w:val="36"/>
          <w:rtl/>
        </w:rPr>
        <w:t>4-</w:t>
      </w:r>
      <w:r w:rsidR="00052BF2" w:rsidRPr="00FD211F">
        <w:rPr>
          <w:sz w:val="36"/>
          <w:szCs w:val="36"/>
          <w:rtl/>
        </w:rPr>
        <w:t xml:space="preserve">ان </w:t>
      </w:r>
      <w:r w:rsidRPr="00FD211F">
        <w:rPr>
          <w:sz w:val="36"/>
          <w:szCs w:val="36"/>
          <w:rtl/>
        </w:rPr>
        <w:t>يفترض كو</w:t>
      </w:r>
      <w:r w:rsidR="00052BF2" w:rsidRPr="00FD211F">
        <w:rPr>
          <w:sz w:val="36"/>
          <w:szCs w:val="36"/>
          <w:rtl/>
        </w:rPr>
        <w:t>ن ذلك الجامع البسيط</w:t>
      </w:r>
      <w:r w:rsidRPr="00FD211F">
        <w:rPr>
          <w:sz w:val="36"/>
          <w:szCs w:val="36"/>
          <w:rtl/>
        </w:rPr>
        <w:t xml:space="preserve"> غير</w:t>
      </w:r>
      <w:r w:rsidR="00303065" w:rsidRPr="00FD211F">
        <w:rPr>
          <w:sz w:val="36"/>
          <w:szCs w:val="36"/>
          <w:rtl/>
        </w:rPr>
        <w:t xml:space="preserve"> </w:t>
      </w:r>
      <w:r w:rsidRPr="00FD211F">
        <w:rPr>
          <w:sz w:val="36"/>
          <w:szCs w:val="36"/>
          <w:rtl/>
        </w:rPr>
        <w:t xml:space="preserve">التشكيكي </w:t>
      </w:r>
      <w:r w:rsidR="00052BF2" w:rsidRPr="00FD211F">
        <w:rPr>
          <w:sz w:val="36"/>
          <w:szCs w:val="36"/>
          <w:rtl/>
        </w:rPr>
        <w:t>متحدا</w:t>
      </w:r>
      <w:r w:rsidR="00662BCB" w:rsidRPr="00FD211F">
        <w:rPr>
          <w:sz w:val="36"/>
          <w:szCs w:val="36"/>
          <w:rtl/>
        </w:rPr>
        <w:t xml:space="preserve"> </w:t>
      </w:r>
      <w:r w:rsidRPr="00FD211F">
        <w:rPr>
          <w:sz w:val="36"/>
          <w:szCs w:val="36"/>
          <w:rtl/>
        </w:rPr>
        <w:t>ذاتا</w:t>
      </w:r>
      <w:r w:rsidR="00662BCB" w:rsidRPr="00FD211F">
        <w:rPr>
          <w:sz w:val="36"/>
          <w:szCs w:val="36"/>
          <w:rtl/>
        </w:rPr>
        <w:t xml:space="preserve"> </w:t>
      </w:r>
      <w:r w:rsidRPr="00FD211F">
        <w:rPr>
          <w:sz w:val="36"/>
          <w:szCs w:val="36"/>
          <w:rtl/>
        </w:rPr>
        <w:t>ووجودا</w:t>
      </w:r>
      <w:r w:rsidR="00052BF2" w:rsidRPr="00FD211F">
        <w:rPr>
          <w:sz w:val="36"/>
          <w:szCs w:val="36"/>
          <w:rtl/>
        </w:rPr>
        <w:t xml:space="preserve"> مع العمل المركب</w:t>
      </w:r>
      <w:r w:rsidR="00603323" w:rsidRPr="00FD211F">
        <w:rPr>
          <w:sz w:val="36"/>
          <w:szCs w:val="36"/>
          <w:rtl/>
        </w:rPr>
        <w:t xml:space="preserve">، </w:t>
      </w:r>
      <w:r w:rsidR="00052BF2" w:rsidRPr="00FD211F">
        <w:rPr>
          <w:sz w:val="36"/>
          <w:szCs w:val="36"/>
          <w:rtl/>
        </w:rPr>
        <w:t xml:space="preserve">بان كان منتزعا </w:t>
      </w:r>
      <w:r w:rsidRPr="00FD211F">
        <w:rPr>
          <w:sz w:val="36"/>
          <w:szCs w:val="36"/>
          <w:rtl/>
        </w:rPr>
        <w:t>عن ذات المركب</w:t>
      </w:r>
      <w:r w:rsidR="00603323" w:rsidRPr="00FD211F">
        <w:rPr>
          <w:sz w:val="36"/>
          <w:szCs w:val="36"/>
          <w:rtl/>
        </w:rPr>
        <w:t xml:space="preserve">، </w:t>
      </w:r>
      <w:r w:rsidRPr="00FD211F">
        <w:rPr>
          <w:sz w:val="36"/>
          <w:szCs w:val="36"/>
          <w:rtl/>
        </w:rPr>
        <w:t>ف</w:t>
      </w:r>
      <w:r w:rsidR="00BD5EBD" w:rsidRPr="00FD211F">
        <w:rPr>
          <w:sz w:val="36"/>
          <w:szCs w:val="36"/>
          <w:rtl/>
        </w:rPr>
        <w:t>عند</w:t>
      </w:r>
      <w:r w:rsidRPr="00FD211F">
        <w:rPr>
          <w:sz w:val="36"/>
          <w:szCs w:val="36"/>
          <w:rtl/>
        </w:rPr>
        <w:t xml:space="preserve"> دوران أمر </w:t>
      </w:r>
      <w:r w:rsidR="00052BF2" w:rsidRPr="00FD211F">
        <w:rPr>
          <w:sz w:val="36"/>
          <w:szCs w:val="36"/>
          <w:rtl/>
        </w:rPr>
        <w:t>المركب ب</w:t>
      </w:r>
      <w:r w:rsidR="00BD5EBD" w:rsidRPr="00FD211F">
        <w:rPr>
          <w:sz w:val="36"/>
          <w:szCs w:val="36"/>
          <w:rtl/>
        </w:rPr>
        <w:t xml:space="preserve">ين الاقل والاكثر </w:t>
      </w:r>
      <w:r w:rsidR="00052BF2" w:rsidRPr="00FD211F">
        <w:rPr>
          <w:sz w:val="36"/>
          <w:szCs w:val="36"/>
          <w:rtl/>
        </w:rPr>
        <w:t>تجري الب</w:t>
      </w:r>
      <w:r w:rsidR="008D7B3D" w:rsidRPr="00FD211F">
        <w:rPr>
          <w:sz w:val="36"/>
          <w:szCs w:val="36"/>
          <w:rtl/>
        </w:rPr>
        <w:t>راءة</w:t>
      </w:r>
      <w:r w:rsidR="00EC7EDF" w:rsidRPr="00FD211F">
        <w:rPr>
          <w:sz w:val="36"/>
          <w:szCs w:val="36"/>
          <w:rtl/>
        </w:rPr>
        <w:t xml:space="preserve"> </w:t>
      </w:r>
      <w:r w:rsidR="00052BF2" w:rsidRPr="00FD211F">
        <w:rPr>
          <w:sz w:val="36"/>
          <w:szCs w:val="36"/>
          <w:rtl/>
        </w:rPr>
        <w:t>عن الاكثر</w:t>
      </w:r>
      <w:r w:rsidR="00603323" w:rsidRPr="00FD211F">
        <w:rPr>
          <w:sz w:val="36"/>
          <w:szCs w:val="36"/>
          <w:rtl/>
        </w:rPr>
        <w:t xml:space="preserve">، </w:t>
      </w:r>
      <w:r w:rsidR="00BD5EBD" w:rsidRPr="00FD211F">
        <w:rPr>
          <w:sz w:val="36"/>
          <w:szCs w:val="36"/>
          <w:rtl/>
        </w:rPr>
        <w:t>لأ</w:t>
      </w:r>
      <w:r w:rsidR="00052BF2" w:rsidRPr="00FD211F">
        <w:rPr>
          <w:sz w:val="36"/>
          <w:szCs w:val="36"/>
          <w:rtl/>
        </w:rPr>
        <w:t>ن ما هو داخل في عهد</w:t>
      </w:r>
      <w:r w:rsidR="00EC7EDF" w:rsidRPr="00FD211F">
        <w:rPr>
          <w:sz w:val="36"/>
          <w:szCs w:val="36"/>
          <w:rtl/>
        </w:rPr>
        <w:t xml:space="preserve">ة </w:t>
      </w:r>
      <w:r w:rsidR="00052BF2" w:rsidRPr="00FD211F">
        <w:rPr>
          <w:sz w:val="36"/>
          <w:szCs w:val="36"/>
          <w:rtl/>
        </w:rPr>
        <w:t>المكلف هو الجامع الذاتي الذي افترضنا اتحاده م</w:t>
      </w:r>
      <w:r w:rsidR="00662BCB" w:rsidRPr="00FD211F">
        <w:rPr>
          <w:sz w:val="36"/>
          <w:szCs w:val="36"/>
          <w:rtl/>
        </w:rPr>
        <w:t>ع المركب ذاتا ووجودا.</w:t>
      </w:r>
    </w:p>
    <w:p w14:paraId="0150065F" w14:textId="77777777" w:rsidR="00052BF2" w:rsidRPr="00FD211F" w:rsidRDefault="004068D0" w:rsidP="009C58C8">
      <w:pPr>
        <w:ind w:left="0" w:firstLine="227"/>
        <w:jc w:val="both"/>
        <w:rPr>
          <w:sz w:val="36"/>
          <w:szCs w:val="36"/>
          <w:rtl/>
        </w:rPr>
      </w:pPr>
      <w:r w:rsidRPr="00FD211F">
        <w:rPr>
          <w:sz w:val="36"/>
          <w:szCs w:val="36"/>
          <w:rtl/>
        </w:rPr>
        <w:t>5-ان يفترض كون</w:t>
      </w:r>
      <w:r w:rsidR="00B253CE" w:rsidRPr="00FD211F">
        <w:rPr>
          <w:sz w:val="36"/>
          <w:szCs w:val="36"/>
          <w:rtl/>
        </w:rPr>
        <w:t xml:space="preserve"> </w:t>
      </w:r>
      <w:r w:rsidR="00052BF2" w:rsidRPr="00FD211F">
        <w:rPr>
          <w:sz w:val="36"/>
          <w:szCs w:val="36"/>
          <w:rtl/>
        </w:rPr>
        <w:t>الجامع البسيط اعتباريا لاخارجيا –سواء كان اعتباريا شرعيا كعنوان الطهور او اعتباريا عقليا كعنوان احدهما- فتجري الب</w:t>
      </w:r>
      <w:r w:rsidR="008D7B3D" w:rsidRPr="00FD211F">
        <w:rPr>
          <w:sz w:val="36"/>
          <w:szCs w:val="36"/>
          <w:rtl/>
        </w:rPr>
        <w:t>راءة</w:t>
      </w:r>
      <w:r w:rsidR="00EC7EDF" w:rsidRPr="00FD211F">
        <w:rPr>
          <w:sz w:val="36"/>
          <w:szCs w:val="36"/>
          <w:rtl/>
        </w:rPr>
        <w:t xml:space="preserve"> </w:t>
      </w:r>
      <w:r w:rsidR="00052BF2" w:rsidRPr="00FD211F">
        <w:rPr>
          <w:sz w:val="36"/>
          <w:szCs w:val="36"/>
          <w:rtl/>
        </w:rPr>
        <w:t>عند الشك في اعتبار جزء او شرط في العمل المركب ولو كان</w:t>
      </w:r>
      <w:r w:rsidR="00BD5EBD" w:rsidRPr="00FD211F">
        <w:rPr>
          <w:sz w:val="36"/>
          <w:szCs w:val="36"/>
          <w:rtl/>
        </w:rPr>
        <w:t>ت</w:t>
      </w:r>
      <w:r w:rsidR="00052BF2" w:rsidRPr="00FD211F">
        <w:rPr>
          <w:sz w:val="36"/>
          <w:szCs w:val="36"/>
          <w:rtl/>
        </w:rPr>
        <w:t xml:space="preserve"> نسب</w:t>
      </w:r>
      <w:r w:rsidR="00EC7EDF" w:rsidRPr="00FD211F">
        <w:rPr>
          <w:sz w:val="36"/>
          <w:szCs w:val="36"/>
          <w:rtl/>
        </w:rPr>
        <w:t xml:space="preserve">ة </w:t>
      </w:r>
      <w:r w:rsidR="00052BF2" w:rsidRPr="00FD211F">
        <w:rPr>
          <w:sz w:val="36"/>
          <w:szCs w:val="36"/>
          <w:rtl/>
        </w:rPr>
        <w:t>الجامع الاعتباري الى ذاك العمل المركب نسب</w:t>
      </w:r>
      <w:r w:rsidR="00EC7EDF" w:rsidRPr="00FD211F">
        <w:rPr>
          <w:sz w:val="36"/>
          <w:szCs w:val="36"/>
          <w:rtl/>
        </w:rPr>
        <w:t xml:space="preserve">ة </w:t>
      </w:r>
      <w:r w:rsidR="00052BF2" w:rsidRPr="00FD211F">
        <w:rPr>
          <w:sz w:val="36"/>
          <w:szCs w:val="36"/>
          <w:rtl/>
        </w:rPr>
        <w:t>المسبب الى السبب</w:t>
      </w:r>
      <w:r w:rsidR="00603323" w:rsidRPr="00FD211F">
        <w:rPr>
          <w:sz w:val="36"/>
          <w:szCs w:val="36"/>
          <w:rtl/>
        </w:rPr>
        <w:t xml:space="preserve">، </w:t>
      </w:r>
      <w:r w:rsidR="00052BF2" w:rsidRPr="00FD211F">
        <w:rPr>
          <w:sz w:val="36"/>
          <w:szCs w:val="36"/>
          <w:rtl/>
        </w:rPr>
        <w:t>كما لو قلنا بان الطهار</w:t>
      </w:r>
      <w:r w:rsidR="00EC7EDF" w:rsidRPr="00FD211F">
        <w:rPr>
          <w:sz w:val="36"/>
          <w:szCs w:val="36"/>
          <w:rtl/>
        </w:rPr>
        <w:t xml:space="preserve">ة </w:t>
      </w:r>
      <w:r w:rsidR="00052BF2" w:rsidRPr="00FD211F">
        <w:rPr>
          <w:sz w:val="36"/>
          <w:szCs w:val="36"/>
          <w:rtl/>
        </w:rPr>
        <w:t>من الحدث مسبب</w:t>
      </w:r>
      <w:r w:rsidR="00EC7EDF" w:rsidRPr="00FD211F">
        <w:rPr>
          <w:sz w:val="36"/>
          <w:szCs w:val="36"/>
          <w:rtl/>
        </w:rPr>
        <w:t xml:space="preserve">ة </w:t>
      </w:r>
      <w:r w:rsidR="00052BF2" w:rsidRPr="00FD211F">
        <w:rPr>
          <w:sz w:val="36"/>
          <w:szCs w:val="36"/>
          <w:rtl/>
        </w:rPr>
        <w:t>عن الوضوء</w:t>
      </w:r>
      <w:r w:rsidR="00603323" w:rsidRPr="00FD211F">
        <w:rPr>
          <w:sz w:val="36"/>
          <w:szCs w:val="36"/>
          <w:rtl/>
        </w:rPr>
        <w:t xml:space="preserve">، </w:t>
      </w:r>
      <w:r w:rsidR="00052BF2" w:rsidRPr="00FD211F">
        <w:rPr>
          <w:sz w:val="36"/>
          <w:szCs w:val="36"/>
          <w:rtl/>
        </w:rPr>
        <w:t>فانه لو شك في اعتبار جزء او شرط في الوضوء فيمكن اجراء البراء</w:t>
      </w:r>
      <w:r w:rsidR="00EC7EDF" w:rsidRPr="00FD211F">
        <w:rPr>
          <w:sz w:val="36"/>
          <w:szCs w:val="36"/>
          <w:rtl/>
        </w:rPr>
        <w:t>ة</w:t>
      </w:r>
      <w:r w:rsidR="00603323" w:rsidRPr="00FD211F">
        <w:rPr>
          <w:sz w:val="36"/>
          <w:szCs w:val="36"/>
          <w:rtl/>
        </w:rPr>
        <w:t xml:space="preserve">، </w:t>
      </w:r>
      <w:r w:rsidR="00052BF2" w:rsidRPr="00FD211F">
        <w:rPr>
          <w:sz w:val="36"/>
          <w:szCs w:val="36"/>
          <w:rtl/>
        </w:rPr>
        <w:t>لأن الارتكاز العرفي المحك</w:t>
      </w:r>
      <w:r w:rsidR="00BD5EBD" w:rsidRPr="00FD211F">
        <w:rPr>
          <w:sz w:val="36"/>
          <w:szCs w:val="36"/>
          <w:rtl/>
        </w:rPr>
        <w:t>َّ</w:t>
      </w:r>
      <w:r w:rsidR="00052BF2" w:rsidRPr="00FD211F">
        <w:rPr>
          <w:sz w:val="36"/>
          <w:szCs w:val="36"/>
          <w:rtl/>
        </w:rPr>
        <w:t>م على الخطابات الشرعي</w:t>
      </w:r>
      <w:r w:rsidR="00EC7EDF" w:rsidRPr="00FD211F">
        <w:rPr>
          <w:sz w:val="36"/>
          <w:szCs w:val="36"/>
          <w:rtl/>
        </w:rPr>
        <w:t xml:space="preserve">ة </w:t>
      </w:r>
      <w:r w:rsidR="00052BF2" w:rsidRPr="00FD211F">
        <w:rPr>
          <w:sz w:val="36"/>
          <w:szCs w:val="36"/>
          <w:rtl/>
        </w:rPr>
        <w:t>ي</w:t>
      </w:r>
      <w:r w:rsidR="00BD5EBD" w:rsidRPr="00FD211F">
        <w:rPr>
          <w:sz w:val="36"/>
          <w:szCs w:val="36"/>
          <w:rtl/>
        </w:rPr>
        <w:t>حكم</w:t>
      </w:r>
      <w:r w:rsidR="00052BF2" w:rsidRPr="00FD211F">
        <w:rPr>
          <w:sz w:val="36"/>
          <w:szCs w:val="36"/>
          <w:rtl/>
        </w:rPr>
        <w:t xml:space="preserve"> بان الأمر بالطهار</w:t>
      </w:r>
      <w:r w:rsidR="00EC7EDF" w:rsidRPr="00FD211F">
        <w:rPr>
          <w:sz w:val="36"/>
          <w:szCs w:val="36"/>
          <w:rtl/>
        </w:rPr>
        <w:t xml:space="preserve">ة </w:t>
      </w:r>
      <w:r w:rsidR="00052BF2" w:rsidRPr="00FD211F">
        <w:rPr>
          <w:sz w:val="36"/>
          <w:szCs w:val="36"/>
          <w:rtl/>
        </w:rPr>
        <w:t xml:space="preserve">من الحدث ظاهر في </w:t>
      </w:r>
      <w:r w:rsidR="00BD5EBD" w:rsidRPr="00FD211F">
        <w:rPr>
          <w:sz w:val="36"/>
          <w:szCs w:val="36"/>
          <w:rtl/>
        </w:rPr>
        <w:t xml:space="preserve">كونه </w:t>
      </w:r>
      <w:r w:rsidR="00052BF2" w:rsidRPr="00FD211F">
        <w:rPr>
          <w:sz w:val="36"/>
          <w:szCs w:val="36"/>
          <w:rtl/>
        </w:rPr>
        <w:t>مشير</w:t>
      </w:r>
      <w:r w:rsidR="00BD5EBD" w:rsidRPr="00FD211F">
        <w:rPr>
          <w:sz w:val="36"/>
          <w:szCs w:val="36"/>
          <w:rtl/>
        </w:rPr>
        <w:t>ا</w:t>
      </w:r>
      <w:r w:rsidR="00EC7EDF" w:rsidRPr="00FD211F">
        <w:rPr>
          <w:sz w:val="36"/>
          <w:szCs w:val="36"/>
          <w:rtl/>
        </w:rPr>
        <w:t xml:space="preserve"> </w:t>
      </w:r>
      <w:r w:rsidR="00052BF2" w:rsidRPr="00FD211F">
        <w:rPr>
          <w:sz w:val="36"/>
          <w:szCs w:val="36"/>
          <w:rtl/>
        </w:rPr>
        <w:t>الى الأمر ب</w:t>
      </w:r>
      <w:r w:rsidR="00BD5EBD" w:rsidRPr="00FD211F">
        <w:rPr>
          <w:sz w:val="36"/>
          <w:szCs w:val="36"/>
          <w:rtl/>
        </w:rPr>
        <w:t>ذات</w:t>
      </w:r>
      <w:r w:rsidR="00052BF2" w:rsidRPr="00FD211F">
        <w:rPr>
          <w:sz w:val="36"/>
          <w:szCs w:val="36"/>
          <w:rtl/>
        </w:rPr>
        <w:t xml:space="preserve"> العمل المركب الذي هو سبب للطهار</w:t>
      </w:r>
      <w:r w:rsidR="00EC7EDF" w:rsidRPr="00FD211F">
        <w:rPr>
          <w:sz w:val="36"/>
          <w:szCs w:val="36"/>
          <w:rtl/>
        </w:rPr>
        <w:t>ة</w:t>
      </w:r>
      <w:r w:rsidR="00603323" w:rsidRPr="00FD211F">
        <w:rPr>
          <w:sz w:val="36"/>
          <w:szCs w:val="36"/>
          <w:rtl/>
        </w:rPr>
        <w:t xml:space="preserve">، </w:t>
      </w:r>
      <w:r w:rsidR="00052BF2" w:rsidRPr="00FD211F">
        <w:rPr>
          <w:sz w:val="36"/>
          <w:szCs w:val="36"/>
          <w:rtl/>
        </w:rPr>
        <w:t>وحينئذ ف</w:t>
      </w:r>
      <w:r w:rsidR="00BD5EBD" w:rsidRPr="00FD211F">
        <w:rPr>
          <w:sz w:val="36"/>
          <w:szCs w:val="36"/>
          <w:rtl/>
        </w:rPr>
        <w:t>لا</w:t>
      </w:r>
      <w:r w:rsidR="00052BF2" w:rsidRPr="00FD211F">
        <w:rPr>
          <w:sz w:val="36"/>
          <w:szCs w:val="36"/>
          <w:rtl/>
        </w:rPr>
        <w:t xml:space="preserve">يكون الشك </w:t>
      </w:r>
      <w:r w:rsidR="00BD5EBD" w:rsidRPr="00FD211F">
        <w:rPr>
          <w:sz w:val="36"/>
          <w:szCs w:val="36"/>
          <w:rtl/>
        </w:rPr>
        <w:t>شكا في المحصل كي يجب فيه الاحتياط</w:t>
      </w:r>
      <w:r w:rsidR="00C17D0B" w:rsidRPr="00FD211F">
        <w:rPr>
          <w:rStyle w:val="a6"/>
          <w:sz w:val="36"/>
          <w:szCs w:val="36"/>
          <w:rtl/>
        </w:rPr>
        <w:t>(</w:t>
      </w:r>
      <w:r w:rsidR="00C17D0B" w:rsidRPr="00FD211F">
        <w:rPr>
          <w:rStyle w:val="a6"/>
          <w:sz w:val="36"/>
          <w:szCs w:val="36"/>
          <w:rtl/>
        </w:rPr>
        <w:footnoteReference w:id="413"/>
      </w:r>
      <w:r w:rsidR="00C17D0B" w:rsidRPr="00FD211F">
        <w:rPr>
          <w:rStyle w:val="a6"/>
          <w:sz w:val="36"/>
          <w:szCs w:val="36"/>
          <w:rtl/>
        </w:rPr>
        <w:t>)</w:t>
      </w:r>
      <w:r w:rsidR="00052BF2" w:rsidRPr="00FD211F">
        <w:rPr>
          <w:sz w:val="36"/>
          <w:szCs w:val="36"/>
          <w:rtl/>
        </w:rPr>
        <w:t>.</w:t>
      </w:r>
    </w:p>
    <w:p w14:paraId="76110D93" w14:textId="77777777" w:rsidR="00052BF2" w:rsidRPr="00FD211F" w:rsidRDefault="00052BF2" w:rsidP="009C58C8">
      <w:pPr>
        <w:ind w:left="0" w:firstLine="227"/>
        <w:jc w:val="both"/>
        <w:rPr>
          <w:sz w:val="36"/>
          <w:szCs w:val="36"/>
          <w:rtl/>
        </w:rPr>
      </w:pPr>
      <w:r w:rsidRPr="00FD211F">
        <w:rPr>
          <w:sz w:val="36"/>
          <w:szCs w:val="36"/>
          <w:rtl/>
        </w:rPr>
        <w:t>اقول: هنا ملاحظات:</w:t>
      </w:r>
    </w:p>
    <w:p w14:paraId="0742C0E9" w14:textId="77777777" w:rsidR="00052BF2" w:rsidRPr="00FD211F" w:rsidRDefault="00052BF2" w:rsidP="009C58C8">
      <w:pPr>
        <w:ind w:left="0" w:firstLine="227"/>
        <w:jc w:val="both"/>
        <w:rPr>
          <w:sz w:val="36"/>
          <w:szCs w:val="36"/>
          <w:rtl/>
        </w:rPr>
      </w:pPr>
      <w:r w:rsidRPr="00FD211F">
        <w:rPr>
          <w:b/>
          <w:bCs/>
          <w:sz w:val="36"/>
          <w:szCs w:val="36"/>
          <w:rtl/>
        </w:rPr>
        <w:t>الأولى</w:t>
      </w:r>
      <w:r w:rsidRPr="00FD211F">
        <w:rPr>
          <w:sz w:val="36"/>
          <w:szCs w:val="36"/>
          <w:rtl/>
        </w:rPr>
        <w:t xml:space="preserve">: </w:t>
      </w:r>
      <w:r w:rsidR="009D1A44" w:rsidRPr="00FD211F">
        <w:rPr>
          <w:sz w:val="36"/>
          <w:szCs w:val="36"/>
          <w:rtl/>
        </w:rPr>
        <w:t>انه كما افاد المحقق الاصفهاني "قده"</w:t>
      </w:r>
      <w:r w:rsidR="00662BCB" w:rsidRPr="00FD211F">
        <w:rPr>
          <w:sz w:val="36"/>
          <w:szCs w:val="36"/>
          <w:rtl/>
        </w:rPr>
        <w:t xml:space="preserve"> </w:t>
      </w:r>
      <w:r w:rsidRPr="00FD211F">
        <w:rPr>
          <w:sz w:val="36"/>
          <w:szCs w:val="36"/>
          <w:rtl/>
        </w:rPr>
        <w:t>ان الاتحاد الذاتي والوجودي بين الجامع الذاتي البسيط وبين العمل المركب امر مستحيل</w:t>
      </w:r>
      <w:r w:rsidR="009C58C8" w:rsidRPr="00FD211F">
        <w:rPr>
          <w:rStyle w:val="a6"/>
          <w:sz w:val="36"/>
          <w:szCs w:val="36"/>
          <w:rtl/>
        </w:rPr>
        <w:t>(</w:t>
      </w:r>
      <w:r w:rsidR="009C58C8" w:rsidRPr="00FD211F">
        <w:rPr>
          <w:rStyle w:val="a6"/>
          <w:sz w:val="36"/>
          <w:szCs w:val="36"/>
          <w:rtl/>
        </w:rPr>
        <w:footnoteReference w:id="414"/>
      </w:r>
      <w:r w:rsidR="009C58C8" w:rsidRPr="00FD211F">
        <w:rPr>
          <w:rStyle w:val="a6"/>
          <w:sz w:val="36"/>
          <w:szCs w:val="36"/>
          <w:rtl/>
        </w:rPr>
        <w:t>)</w:t>
      </w:r>
      <w:r w:rsidR="00603323" w:rsidRPr="00FD211F">
        <w:rPr>
          <w:sz w:val="36"/>
          <w:szCs w:val="36"/>
          <w:rtl/>
        </w:rPr>
        <w:t xml:space="preserve">، </w:t>
      </w:r>
      <w:r w:rsidRPr="00FD211F">
        <w:rPr>
          <w:sz w:val="36"/>
          <w:szCs w:val="36"/>
          <w:rtl/>
        </w:rPr>
        <w:t>فانه كيف يتحد البسيط مع المركب</w:t>
      </w:r>
      <w:r w:rsidR="00603323" w:rsidRPr="00FD211F">
        <w:rPr>
          <w:sz w:val="36"/>
          <w:szCs w:val="36"/>
          <w:rtl/>
        </w:rPr>
        <w:t xml:space="preserve">، </w:t>
      </w:r>
      <w:r w:rsidRPr="00FD211F">
        <w:rPr>
          <w:sz w:val="36"/>
          <w:szCs w:val="36"/>
          <w:rtl/>
        </w:rPr>
        <w:t>ذاتا ووجودا</w:t>
      </w:r>
      <w:r w:rsidR="00603323" w:rsidRPr="00FD211F">
        <w:rPr>
          <w:sz w:val="36"/>
          <w:szCs w:val="36"/>
          <w:rtl/>
        </w:rPr>
        <w:t xml:space="preserve">، </w:t>
      </w:r>
      <w:r w:rsidRPr="00FD211F">
        <w:rPr>
          <w:sz w:val="36"/>
          <w:szCs w:val="36"/>
          <w:rtl/>
        </w:rPr>
        <w:t>ولايقاس ذلك باعتبار عنوان بسيط على معنون مركب كاعتبار الوضوء طهار</w:t>
      </w:r>
      <w:r w:rsidR="00EC7EDF" w:rsidRPr="00FD211F">
        <w:rPr>
          <w:sz w:val="36"/>
          <w:szCs w:val="36"/>
          <w:rtl/>
        </w:rPr>
        <w:t>ة</w:t>
      </w:r>
      <w:r w:rsidR="00603323" w:rsidRPr="00FD211F">
        <w:rPr>
          <w:sz w:val="36"/>
          <w:szCs w:val="36"/>
          <w:rtl/>
        </w:rPr>
        <w:t xml:space="preserve">، </w:t>
      </w:r>
      <w:r w:rsidRPr="00FD211F">
        <w:rPr>
          <w:sz w:val="36"/>
          <w:szCs w:val="36"/>
          <w:rtl/>
        </w:rPr>
        <w:t>فان اتحادهما اعتباري محض</w:t>
      </w:r>
      <w:r w:rsidR="00603323" w:rsidRPr="00FD211F">
        <w:rPr>
          <w:sz w:val="36"/>
          <w:szCs w:val="36"/>
          <w:rtl/>
        </w:rPr>
        <w:t xml:space="preserve">، </w:t>
      </w:r>
      <w:r w:rsidRPr="00FD211F">
        <w:rPr>
          <w:sz w:val="36"/>
          <w:szCs w:val="36"/>
          <w:rtl/>
        </w:rPr>
        <w:t>واين هذا من اتحاد جامع بسيط مع مركب تكوينا.</w:t>
      </w:r>
    </w:p>
    <w:p w14:paraId="26EF5714" w14:textId="77777777" w:rsidR="00052BF2" w:rsidRPr="00FD211F" w:rsidRDefault="00052BF2" w:rsidP="009C58C8">
      <w:pPr>
        <w:ind w:left="0" w:firstLine="227"/>
        <w:jc w:val="both"/>
        <w:rPr>
          <w:sz w:val="36"/>
          <w:szCs w:val="36"/>
          <w:rtl/>
        </w:rPr>
      </w:pP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sz w:val="36"/>
          <w:szCs w:val="36"/>
          <w:rtl/>
        </w:rPr>
        <w:t xml:space="preserve"> اذا كانت النسب</w:t>
      </w:r>
      <w:r w:rsidR="00EC7EDF" w:rsidRPr="00FD211F">
        <w:rPr>
          <w:sz w:val="36"/>
          <w:szCs w:val="36"/>
          <w:rtl/>
        </w:rPr>
        <w:t xml:space="preserve">ة </w:t>
      </w:r>
      <w:r w:rsidRPr="00FD211F">
        <w:rPr>
          <w:sz w:val="36"/>
          <w:szCs w:val="36"/>
          <w:rtl/>
        </w:rPr>
        <w:t>بين الجامع البسيط مع العمل المركب نسب</w:t>
      </w:r>
      <w:r w:rsidR="00EC7EDF" w:rsidRPr="00FD211F">
        <w:rPr>
          <w:sz w:val="36"/>
          <w:szCs w:val="36"/>
          <w:rtl/>
        </w:rPr>
        <w:t xml:space="preserve">ة </w:t>
      </w:r>
      <w:r w:rsidR="001B3112" w:rsidRPr="00FD211F">
        <w:rPr>
          <w:sz w:val="36"/>
          <w:szCs w:val="36"/>
          <w:rtl/>
        </w:rPr>
        <w:t>الأمر</w:t>
      </w:r>
      <w:r w:rsidRPr="00FD211F">
        <w:rPr>
          <w:sz w:val="36"/>
          <w:szCs w:val="36"/>
          <w:rtl/>
        </w:rPr>
        <w:t xml:space="preserve"> الانتزاعي الى منشأ انتزاعه كما اذا قال</w:t>
      </w:r>
      <w:r w:rsidR="004068D0" w:rsidRPr="00FD211F">
        <w:rPr>
          <w:sz w:val="36"/>
          <w:szCs w:val="36"/>
          <w:rtl/>
        </w:rPr>
        <w:t>"</w:t>
      </w:r>
      <w:r w:rsidRPr="00FD211F">
        <w:rPr>
          <w:sz w:val="36"/>
          <w:szCs w:val="36"/>
          <w:rtl/>
        </w:rPr>
        <w:t xml:space="preserve"> أوجد سبب قتل زيد</w:t>
      </w:r>
      <w:r w:rsidR="004068D0" w:rsidRPr="00FD211F">
        <w:rPr>
          <w:sz w:val="36"/>
          <w:szCs w:val="36"/>
          <w:rtl/>
        </w:rPr>
        <w:t>"</w:t>
      </w:r>
      <w:r w:rsidR="00603323" w:rsidRPr="00FD211F">
        <w:rPr>
          <w:sz w:val="36"/>
          <w:szCs w:val="36"/>
          <w:rtl/>
        </w:rPr>
        <w:t xml:space="preserve">، </w:t>
      </w:r>
      <w:r w:rsidRPr="00FD211F">
        <w:rPr>
          <w:sz w:val="36"/>
          <w:szCs w:val="36"/>
          <w:rtl/>
        </w:rPr>
        <w:t>او قال</w:t>
      </w:r>
      <w:r w:rsidR="004068D0" w:rsidRPr="00FD211F">
        <w:rPr>
          <w:sz w:val="36"/>
          <w:szCs w:val="36"/>
          <w:rtl/>
        </w:rPr>
        <w:t>"</w:t>
      </w:r>
      <w:r w:rsidRPr="00FD211F">
        <w:rPr>
          <w:sz w:val="36"/>
          <w:szCs w:val="36"/>
          <w:rtl/>
        </w:rPr>
        <w:t xml:space="preserve"> أوجد سبب النهي عن الفحشاء والمنكر</w:t>
      </w:r>
      <w:r w:rsidR="004068D0" w:rsidRPr="00FD211F">
        <w:rPr>
          <w:sz w:val="36"/>
          <w:szCs w:val="36"/>
          <w:rtl/>
        </w:rPr>
        <w:t>"</w:t>
      </w:r>
      <w:r w:rsidR="00603323" w:rsidRPr="00FD211F">
        <w:rPr>
          <w:sz w:val="36"/>
          <w:szCs w:val="36"/>
          <w:rtl/>
        </w:rPr>
        <w:t xml:space="preserve">، </w:t>
      </w:r>
      <w:r w:rsidRPr="00FD211F">
        <w:rPr>
          <w:sz w:val="36"/>
          <w:szCs w:val="36"/>
          <w:rtl/>
        </w:rPr>
        <w:t>فيلزم فيه الاحتياط</w:t>
      </w:r>
      <w:r w:rsidR="00603323" w:rsidRPr="00FD211F">
        <w:rPr>
          <w:sz w:val="36"/>
          <w:szCs w:val="36"/>
          <w:rtl/>
        </w:rPr>
        <w:t xml:space="preserve">، </w:t>
      </w:r>
      <w:r w:rsidRPr="00FD211F">
        <w:rPr>
          <w:sz w:val="36"/>
          <w:szCs w:val="36"/>
          <w:rtl/>
        </w:rPr>
        <w:t>اذ بعد كون الأمر متعلقا بإيجاد الأمر الانتزاعي فلابد من احراز تحققه</w:t>
      </w:r>
      <w:r w:rsidR="00603323" w:rsidRPr="00FD211F">
        <w:rPr>
          <w:sz w:val="36"/>
          <w:szCs w:val="36"/>
          <w:rtl/>
        </w:rPr>
        <w:t xml:space="preserve">، </w:t>
      </w:r>
      <w:r w:rsidRPr="00FD211F">
        <w:rPr>
          <w:sz w:val="36"/>
          <w:szCs w:val="36"/>
          <w:rtl/>
        </w:rPr>
        <w:t>ولايجدي الشك في منا</w:t>
      </w:r>
      <w:r w:rsidR="00251CB6" w:rsidRPr="00FD211F">
        <w:rPr>
          <w:sz w:val="36"/>
          <w:szCs w:val="36"/>
          <w:rtl/>
        </w:rPr>
        <w:t xml:space="preserve">شيء </w:t>
      </w:r>
      <w:r w:rsidRPr="00FD211F">
        <w:rPr>
          <w:sz w:val="36"/>
          <w:szCs w:val="36"/>
          <w:rtl/>
        </w:rPr>
        <w:t>انتزاعه ودوران امرها بين الأقل والأكثر</w:t>
      </w:r>
      <w:r w:rsidR="00603323" w:rsidRPr="00FD211F">
        <w:rPr>
          <w:sz w:val="36"/>
          <w:szCs w:val="36"/>
          <w:rtl/>
        </w:rPr>
        <w:t xml:space="preserve">، </w:t>
      </w:r>
      <w:r w:rsidRPr="00FD211F">
        <w:rPr>
          <w:sz w:val="36"/>
          <w:szCs w:val="36"/>
          <w:rtl/>
        </w:rPr>
        <w:t>وما ذكره السيد الخوئي</w:t>
      </w:r>
      <w:r w:rsidR="00662BCB" w:rsidRPr="00FD211F">
        <w:rPr>
          <w:sz w:val="36"/>
          <w:szCs w:val="36"/>
          <w:rtl/>
        </w:rPr>
        <w:t xml:space="preserve"> </w:t>
      </w:r>
      <w:r w:rsidR="004068D0" w:rsidRPr="00FD211F">
        <w:rPr>
          <w:sz w:val="36"/>
          <w:szCs w:val="36"/>
          <w:rtl/>
        </w:rPr>
        <w:t>"</w:t>
      </w:r>
      <w:r w:rsidR="007A4A0D" w:rsidRPr="00FD211F">
        <w:rPr>
          <w:sz w:val="36"/>
          <w:szCs w:val="36"/>
          <w:rtl/>
        </w:rPr>
        <w:t>قده</w:t>
      </w:r>
      <w:r w:rsidR="004068D0" w:rsidRPr="00FD211F">
        <w:rPr>
          <w:sz w:val="36"/>
          <w:szCs w:val="36"/>
          <w:rtl/>
        </w:rPr>
        <w:t>"</w:t>
      </w:r>
      <w:r w:rsidR="00662BCB" w:rsidRPr="00FD211F">
        <w:rPr>
          <w:sz w:val="36"/>
          <w:szCs w:val="36"/>
          <w:rtl/>
        </w:rPr>
        <w:t xml:space="preserve"> </w:t>
      </w:r>
      <w:r w:rsidRPr="00FD211F">
        <w:rPr>
          <w:sz w:val="36"/>
          <w:szCs w:val="36"/>
          <w:rtl/>
        </w:rPr>
        <w:t>من انه حيث لاوجود حقيق</w:t>
      </w:r>
      <w:r w:rsidR="00EC7EDF" w:rsidRPr="00FD211F">
        <w:rPr>
          <w:sz w:val="36"/>
          <w:szCs w:val="36"/>
          <w:rtl/>
        </w:rPr>
        <w:t xml:space="preserve">ة </w:t>
      </w:r>
      <w:r w:rsidR="007C3541" w:rsidRPr="00FD211F">
        <w:rPr>
          <w:sz w:val="36"/>
          <w:szCs w:val="36"/>
          <w:rtl/>
        </w:rPr>
        <w:t>في الأمر</w:t>
      </w:r>
      <w:r w:rsidRPr="00FD211F">
        <w:rPr>
          <w:sz w:val="36"/>
          <w:szCs w:val="36"/>
          <w:rtl/>
        </w:rPr>
        <w:t>الانتزاعي الا لمنشأ انتزاع</w:t>
      </w:r>
      <w:r w:rsidR="007C3541" w:rsidRPr="00FD211F">
        <w:rPr>
          <w:sz w:val="36"/>
          <w:szCs w:val="36"/>
          <w:rtl/>
        </w:rPr>
        <w:t>ه</w:t>
      </w:r>
      <w:r w:rsidRPr="00FD211F">
        <w:rPr>
          <w:sz w:val="36"/>
          <w:szCs w:val="36"/>
          <w:rtl/>
        </w:rPr>
        <w:t xml:space="preserve"> فهو الذي يدخل في العهد</w:t>
      </w:r>
      <w:r w:rsidR="00EC7EDF" w:rsidRPr="00FD211F">
        <w:rPr>
          <w:sz w:val="36"/>
          <w:szCs w:val="36"/>
          <w:rtl/>
        </w:rPr>
        <w:t xml:space="preserve">ة </w:t>
      </w:r>
      <w:r w:rsidRPr="00FD211F">
        <w:rPr>
          <w:sz w:val="36"/>
          <w:szCs w:val="36"/>
          <w:rtl/>
        </w:rPr>
        <w:t>شرعا</w:t>
      </w:r>
      <w:r w:rsidR="00603323" w:rsidRPr="00FD211F">
        <w:rPr>
          <w:sz w:val="36"/>
          <w:szCs w:val="36"/>
          <w:rtl/>
        </w:rPr>
        <w:t xml:space="preserve">، </w:t>
      </w:r>
      <w:r w:rsidRPr="00FD211F">
        <w:rPr>
          <w:sz w:val="36"/>
          <w:szCs w:val="36"/>
          <w:rtl/>
        </w:rPr>
        <w:t>فمع دوران امره بين الاقل والاكثر فتج</w:t>
      </w:r>
      <w:r w:rsidR="006C7C82" w:rsidRPr="00FD211F">
        <w:rPr>
          <w:sz w:val="36"/>
          <w:szCs w:val="36"/>
          <w:rtl/>
        </w:rPr>
        <w:t>ري الب</w:t>
      </w:r>
      <w:r w:rsidR="008D7B3D" w:rsidRPr="00FD211F">
        <w:rPr>
          <w:sz w:val="36"/>
          <w:szCs w:val="36"/>
          <w:rtl/>
        </w:rPr>
        <w:t>راءة</w:t>
      </w:r>
      <w:r w:rsidR="009C58C8" w:rsidRPr="00FD211F">
        <w:rPr>
          <w:rStyle w:val="a6"/>
          <w:sz w:val="36"/>
          <w:szCs w:val="36"/>
          <w:rtl/>
        </w:rPr>
        <w:t>(</w:t>
      </w:r>
      <w:r w:rsidR="009C58C8" w:rsidRPr="00FD211F">
        <w:rPr>
          <w:rStyle w:val="a6"/>
          <w:sz w:val="36"/>
          <w:szCs w:val="36"/>
          <w:rtl/>
        </w:rPr>
        <w:footnoteReference w:id="415"/>
      </w:r>
      <w:r w:rsidR="009C58C8" w:rsidRPr="00FD211F">
        <w:rPr>
          <w:rStyle w:val="a6"/>
          <w:sz w:val="36"/>
          <w:szCs w:val="36"/>
          <w:rtl/>
        </w:rPr>
        <w:t>)</w:t>
      </w:r>
      <w:r w:rsidR="00603323" w:rsidRPr="00FD211F">
        <w:rPr>
          <w:sz w:val="36"/>
          <w:szCs w:val="36"/>
          <w:rtl/>
        </w:rPr>
        <w:t xml:space="preserve">، </w:t>
      </w:r>
      <w:r w:rsidRPr="00FD211F">
        <w:rPr>
          <w:sz w:val="36"/>
          <w:szCs w:val="36"/>
          <w:rtl/>
        </w:rPr>
        <w:t xml:space="preserve">فهو مناف لما التزم به في محله من </w:t>
      </w:r>
      <w:r w:rsidR="006C7C82" w:rsidRPr="00FD211F">
        <w:rPr>
          <w:sz w:val="36"/>
          <w:szCs w:val="36"/>
          <w:rtl/>
        </w:rPr>
        <w:t xml:space="preserve">امكان </w:t>
      </w:r>
      <w:r w:rsidR="006F0812" w:rsidRPr="00FD211F">
        <w:rPr>
          <w:sz w:val="36"/>
          <w:szCs w:val="36"/>
          <w:rtl/>
        </w:rPr>
        <w:t>تعلق التكليف</w:t>
      </w:r>
      <w:r w:rsidRPr="00FD211F">
        <w:rPr>
          <w:sz w:val="36"/>
          <w:szCs w:val="36"/>
          <w:rtl/>
        </w:rPr>
        <w:t xml:space="preserve"> </w:t>
      </w:r>
      <w:r w:rsidR="006C7C82" w:rsidRPr="00FD211F">
        <w:rPr>
          <w:sz w:val="36"/>
          <w:szCs w:val="36"/>
          <w:rtl/>
        </w:rPr>
        <w:t>ب</w:t>
      </w:r>
      <w:r w:rsidR="001B3112" w:rsidRPr="00FD211F">
        <w:rPr>
          <w:sz w:val="36"/>
          <w:szCs w:val="36"/>
          <w:rtl/>
        </w:rPr>
        <w:t>الأمر</w:t>
      </w:r>
      <w:r w:rsidR="006C7C82" w:rsidRPr="00FD211F">
        <w:rPr>
          <w:sz w:val="36"/>
          <w:szCs w:val="36"/>
          <w:rtl/>
        </w:rPr>
        <w:t xml:space="preserve"> الانتزاعي </w:t>
      </w:r>
      <w:r w:rsidR="006F0812" w:rsidRPr="00FD211F">
        <w:rPr>
          <w:sz w:val="36"/>
          <w:szCs w:val="36"/>
          <w:rtl/>
        </w:rPr>
        <w:t xml:space="preserve">فان </w:t>
      </w:r>
      <w:r w:rsidR="001B3112" w:rsidRPr="00FD211F">
        <w:rPr>
          <w:sz w:val="36"/>
          <w:szCs w:val="36"/>
          <w:rtl/>
        </w:rPr>
        <w:t>الأمر</w:t>
      </w:r>
      <w:r w:rsidR="006F0812" w:rsidRPr="00FD211F">
        <w:rPr>
          <w:sz w:val="36"/>
          <w:szCs w:val="36"/>
          <w:rtl/>
        </w:rPr>
        <w:t xml:space="preserve"> الانتزاعي مقدورلاجل</w:t>
      </w:r>
      <w:r w:rsidR="00B253CE" w:rsidRPr="00FD211F">
        <w:rPr>
          <w:sz w:val="36"/>
          <w:szCs w:val="36"/>
          <w:rtl/>
        </w:rPr>
        <w:t xml:space="preserve"> </w:t>
      </w:r>
      <w:r w:rsidRPr="00FD211F">
        <w:rPr>
          <w:sz w:val="36"/>
          <w:szCs w:val="36"/>
          <w:rtl/>
        </w:rPr>
        <w:t>القدر</w:t>
      </w:r>
      <w:r w:rsidR="00EC7EDF" w:rsidRPr="00FD211F">
        <w:rPr>
          <w:sz w:val="36"/>
          <w:szCs w:val="36"/>
          <w:rtl/>
        </w:rPr>
        <w:t xml:space="preserve">ة </w:t>
      </w:r>
      <w:r w:rsidRPr="00FD211F">
        <w:rPr>
          <w:sz w:val="36"/>
          <w:szCs w:val="36"/>
          <w:rtl/>
        </w:rPr>
        <w:t xml:space="preserve">على </w:t>
      </w:r>
      <w:r w:rsidR="006F0812" w:rsidRPr="00FD211F">
        <w:rPr>
          <w:sz w:val="36"/>
          <w:szCs w:val="36"/>
          <w:rtl/>
        </w:rPr>
        <w:t>منشا انتزاعه</w:t>
      </w:r>
      <w:r w:rsidR="009C58C8" w:rsidRPr="00FD211F">
        <w:rPr>
          <w:rStyle w:val="a6"/>
          <w:sz w:val="36"/>
          <w:szCs w:val="36"/>
          <w:rtl/>
        </w:rPr>
        <w:t>(</w:t>
      </w:r>
      <w:r w:rsidR="009C58C8" w:rsidRPr="00FD211F">
        <w:rPr>
          <w:rStyle w:val="a6"/>
          <w:sz w:val="36"/>
          <w:szCs w:val="36"/>
          <w:rtl/>
        </w:rPr>
        <w:footnoteReference w:id="416"/>
      </w:r>
      <w:r w:rsidR="009C58C8" w:rsidRPr="00FD211F">
        <w:rPr>
          <w:rStyle w:val="a6"/>
          <w:sz w:val="36"/>
          <w:szCs w:val="36"/>
          <w:rtl/>
        </w:rPr>
        <w:t>)</w:t>
      </w:r>
      <w:r w:rsidRPr="00FD211F">
        <w:rPr>
          <w:sz w:val="36"/>
          <w:szCs w:val="36"/>
          <w:rtl/>
        </w:rPr>
        <w:t>.</w:t>
      </w:r>
    </w:p>
    <w:p w14:paraId="46EC6917" w14:textId="77777777" w:rsidR="001B3747" w:rsidRPr="00FD211F" w:rsidRDefault="00052BF2" w:rsidP="009C58C8">
      <w:pPr>
        <w:pStyle w:val="a4"/>
        <w:ind w:left="0" w:firstLine="227"/>
        <w:jc w:val="both"/>
        <w:rPr>
          <w:sz w:val="36"/>
          <w:szCs w:val="36"/>
          <w:rtl/>
        </w:rPr>
      </w:pP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001B3747" w:rsidRPr="00FD211F">
        <w:rPr>
          <w:rStyle w:val="20"/>
          <w:sz w:val="36"/>
          <w:szCs w:val="36"/>
          <w:rtl/>
        </w:rPr>
        <w:t xml:space="preserve"> </w:t>
      </w:r>
      <w:r w:rsidR="001B3747" w:rsidRPr="00FD211F">
        <w:rPr>
          <w:sz w:val="36"/>
          <w:szCs w:val="36"/>
          <w:rtl/>
        </w:rPr>
        <w:t>ذكر</w:t>
      </w:r>
      <w:r w:rsidR="00303065" w:rsidRPr="00FD211F">
        <w:rPr>
          <w:sz w:val="36"/>
          <w:szCs w:val="36"/>
          <w:rtl/>
        </w:rPr>
        <w:t xml:space="preserve"> </w:t>
      </w:r>
      <w:r w:rsidR="001B3747" w:rsidRPr="00FD211F">
        <w:rPr>
          <w:sz w:val="36"/>
          <w:szCs w:val="36"/>
          <w:rtl/>
        </w:rPr>
        <w:t>بعض الاعلام</w:t>
      </w:r>
      <w:r w:rsidR="00AB1B12" w:rsidRPr="00FD211F">
        <w:rPr>
          <w:sz w:val="36"/>
          <w:szCs w:val="36"/>
          <w:rtl/>
        </w:rPr>
        <w:t>"</w:t>
      </w:r>
      <w:r w:rsidR="001B3747" w:rsidRPr="00FD211F">
        <w:rPr>
          <w:sz w:val="36"/>
          <w:szCs w:val="36"/>
          <w:rtl/>
        </w:rPr>
        <w:t>قده</w:t>
      </w:r>
      <w:r w:rsidR="00AB1B12" w:rsidRPr="00FD211F">
        <w:rPr>
          <w:sz w:val="36"/>
          <w:szCs w:val="36"/>
          <w:rtl/>
        </w:rPr>
        <w:t>"</w:t>
      </w:r>
      <w:r w:rsidR="001B3747" w:rsidRPr="00FD211F">
        <w:rPr>
          <w:sz w:val="36"/>
          <w:szCs w:val="36"/>
          <w:rtl/>
        </w:rPr>
        <w:t xml:space="preserve"> كلاما لعله ينفع في المقام وهو انه لو كانت الطهار</w:t>
      </w:r>
      <w:r w:rsidR="00EC7EDF" w:rsidRPr="00FD211F">
        <w:rPr>
          <w:sz w:val="36"/>
          <w:szCs w:val="36"/>
          <w:rtl/>
        </w:rPr>
        <w:t xml:space="preserve">ة </w:t>
      </w:r>
      <w:r w:rsidR="001B3747" w:rsidRPr="00FD211F">
        <w:rPr>
          <w:sz w:val="36"/>
          <w:szCs w:val="36"/>
          <w:rtl/>
        </w:rPr>
        <w:t>عنوانا للوضوء أيضا</w:t>
      </w:r>
      <w:r w:rsidR="008D7B3D" w:rsidRPr="00FD211F">
        <w:rPr>
          <w:sz w:val="36"/>
          <w:szCs w:val="36"/>
          <w:rtl/>
        </w:rPr>
        <w:t xml:space="preserve"> لم‌</w:t>
      </w:r>
      <w:r w:rsidR="001B3747" w:rsidRPr="00FD211F">
        <w:rPr>
          <w:sz w:val="36"/>
          <w:szCs w:val="36"/>
          <w:rtl/>
        </w:rPr>
        <w:t>يصح اجراء البراء</w:t>
      </w:r>
      <w:r w:rsidR="00EC7EDF" w:rsidRPr="00FD211F">
        <w:rPr>
          <w:sz w:val="36"/>
          <w:szCs w:val="36"/>
          <w:rtl/>
        </w:rPr>
        <w:t>ة</w:t>
      </w:r>
      <w:r w:rsidR="00603323" w:rsidRPr="00FD211F">
        <w:rPr>
          <w:sz w:val="36"/>
          <w:szCs w:val="36"/>
          <w:rtl/>
        </w:rPr>
        <w:t xml:space="preserve">، </w:t>
      </w:r>
      <w:r w:rsidR="001B3747" w:rsidRPr="00FD211F">
        <w:rPr>
          <w:sz w:val="36"/>
          <w:szCs w:val="36"/>
          <w:rtl/>
        </w:rPr>
        <w:t>بعد استظهار كون الشرط هو عنوان الطهار</w:t>
      </w:r>
      <w:r w:rsidR="00EC7EDF" w:rsidRPr="00FD211F">
        <w:rPr>
          <w:sz w:val="36"/>
          <w:szCs w:val="36"/>
          <w:rtl/>
        </w:rPr>
        <w:t>ة</w:t>
      </w:r>
      <w:r w:rsidR="00603323" w:rsidRPr="00FD211F">
        <w:rPr>
          <w:sz w:val="36"/>
          <w:szCs w:val="36"/>
          <w:rtl/>
        </w:rPr>
        <w:t xml:space="preserve">، </w:t>
      </w:r>
      <w:r w:rsidR="001B3747" w:rsidRPr="00FD211F">
        <w:rPr>
          <w:sz w:val="36"/>
          <w:szCs w:val="36"/>
          <w:rtl/>
        </w:rPr>
        <w:t>وانطباقه على الوضوء الفاقد للجزء او الشرط المشكوك غير معلوم</w:t>
      </w:r>
      <w:r w:rsidR="00603323" w:rsidRPr="00FD211F">
        <w:rPr>
          <w:sz w:val="36"/>
          <w:szCs w:val="36"/>
          <w:rtl/>
        </w:rPr>
        <w:t xml:space="preserve">، </w:t>
      </w:r>
      <w:r w:rsidR="001B3747" w:rsidRPr="00FD211F">
        <w:rPr>
          <w:sz w:val="36"/>
          <w:szCs w:val="36"/>
          <w:rtl/>
        </w:rPr>
        <w:t>فيكون من الشك في حصول الشرط الذي علم باشتراط الواجب به</w:t>
      </w:r>
      <w:r w:rsidR="00603323" w:rsidRPr="00FD211F">
        <w:rPr>
          <w:sz w:val="36"/>
          <w:szCs w:val="36"/>
          <w:rtl/>
        </w:rPr>
        <w:t xml:space="preserve">، </w:t>
      </w:r>
      <w:r w:rsidR="001B3747" w:rsidRPr="00FD211F">
        <w:rPr>
          <w:sz w:val="36"/>
          <w:szCs w:val="36"/>
          <w:rtl/>
        </w:rPr>
        <w:t>وتجري فيه قاعد</w:t>
      </w:r>
      <w:r w:rsidR="00EC7EDF" w:rsidRPr="00FD211F">
        <w:rPr>
          <w:sz w:val="36"/>
          <w:szCs w:val="36"/>
          <w:rtl/>
        </w:rPr>
        <w:t xml:space="preserve">ة </w:t>
      </w:r>
      <w:r w:rsidR="001B3747" w:rsidRPr="00FD211F">
        <w:rPr>
          <w:sz w:val="36"/>
          <w:szCs w:val="36"/>
          <w:rtl/>
        </w:rPr>
        <w:t>الاشتغال.</w:t>
      </w:r>
    </w:p>
    <w:p w14:paraId="7688747D" w14:textId="77777777" w:rsidR="00844919" w:rsidRPr="00FD211F" w:rsidRDefault="001B3747" w:rsidP="009C58C8">
      <w:pPr>
        <w:pStyle w:val="a4"/>
        <w:ind w:left="0" w:firstLine="227"/>
        <w:jc w:val="both"/>
        <w:rPr>
          <w:sz w:val="36"/>
          <w:szCs w:val="36"/>
          <w:rtl/>
        </w:rPr>
      </w:pPr>
      <w:r w:rsidRPr="00FD211F">
        <w:rPr>
          <w:sz w:val="36"/>
          <w:szCs w:val="36"/>
          <w:rtl/>
        </w:rPr>
        <w:t>نعم لوثبت ان شرط الصلا</w:t>
      </w:r>
      <w:r w:rsidR="00EC7EDF" w:rsidRPr="00FD211F">
        <w:rPr>
          <w:sz w:val="36"/>
          <w:szCs w:val="36"/>
          <w:rtl/>
        </w:rPr>
        <w:t xml:space="preserve">ة </w:t>
      </w:r>
      <w:r w:rsidRPr="00FD211F">
        <w:rPr>
          <w:sz w:val="36"/>
          <w:szCs w:val="36"/>
          <w:rtl/>
        </w:rPr>
        <w:t>هو نفس الوضوء بعنوانه كما قد يستظهر من قوله تعالى "اذا قمتم الى الصلا</w:t>
      </w:r>
      <w:r w:rsidR="00EC7EDF" w:rsidRPr="00FD211F">
        <w:rPr>
          <w:sz w:val="36"/>
          <w:szCs w:val="36"/>
          <w:rtl/>
        </w:rPr>
        <w:t xml:space="preserve">ة </w:t>
      </w:r>
      <w:r w:rsidRPr="00FD211F">
        <w:rPr>
          <w:sz w:val="36"/>
          <w:szCs w:val="36"/>
          <w:rtl/>
        </w:rPr>
        <w:t>فاغسلوا وجوهكم..." تمّ جريان البراء</w:t>
      </w:r>
      <w:r w:rsidR="00EC7EDF" w:rsidRPr="00FD211F">
        <w:rPr>
          <w:sz w:val="36"/>
          <w:szCs w:val="36"/>
          <w:rtl/>
        </w:rPr>
        <w:t>ة</w:t>
      </w:r>
      <w:r w:rsidR="00603323" w:rsidRPr="00FD211F">
        <w:rPr>
          <w:sz w:val="36"/>
          <w:szCs w:val="36"/>
          <w:rtl/>
        </w:rPr>
        <w:t xml:space="preserve">، </w:t>
      </w:r>
      <w:r w:rsidRPr="00FD211F">
        <w:rPr>
          <w:sz w:val="36"/>
          <w:szCs w:val="36"/>
          <w:rtl/>
        </w:rPr>
        <w:t>لكن لابد من رفع اليد عن ظهور الآي</w:t>
      </w:r>
      <w:r w:rsidR="00EC7EDF" w:rsidRPr="00FD211F">
        <w:rPr>
          <w:sz w:val="36"/>
          <w:szCs w:val="36"/>
          <w:rtl/>
        </w:rPr>
        <w:t xml:space="preserve">ة </w:t>
      </w:r>
      <w:r w:rsidRPr="00FD211F">
        <w:rPr>
          <w:sz w:val="36"/>
          <w:szCs w:val="36"/>
          <w:rtl/>
        </w:rPr>
        <w:t>في شرطي</w:t>
      </w:r>
      <w:r w:rsidR="00EC7EDF" w:rsidRPr="00FD211F">
        <w:rPr>
          <w:sz w:val="36"/>
          <w:szCs w:val="36"/>
          <w:rtl/>
        </w:rPr>
        <w:t xml:space="preserve">ة </w:t>
      </w:r>
      <w:r w:rsidRPr="00FD211F">
        <w:rPr>
          <w:sz w:val="36"/>
          <w:szCs w:val="36"/>
          <w:rtl/>
        </w:rPr>
        <w:t>نفس الوضوء بظاهر الأدل</w:t>
      </w:r>
      <w:r w:rsidR="00EC7EDF" w:rsidRPr="00FD211F">
        <w:rPr>
          <w:sz w:val="36"/>
          <w:szCs w:val="36"/>
          <w:rtl/>
        </w:rPr>
        <w:t xml:space="preserve">ة </w:t>
      </w:r>
      <w:r w:rsidRPr="00FD211F">
        <w:rPr>
          <w:sz w:val="36"/>
          <w:szCs w:val="36"/>
          <w:rtl/>
        </w:rPr>
        <w:t>الدال</w:t>
      </w:r>
      <w:r w:rsidR="00EC7EDF" w:rsidRPr="00FD211F">
        <w:rPr>
          <w:sz w:val="36"/>
          <w:szCs w:val="36"/>
          <w:rtl/>
        </w:rPr>
        <w:t xml:space="preserve">ة </w:t>
      </w:r>
      <w:r w:rsidRPr="00FD211F">
        <w:rPr>
          <w:sz w:val="36"/>
          <w:szCs w:val="36"/>
          <w:rtl/>
        </w:rPr>
        <w:t>على شرطي</w:t>
      </w:r>
      <w:r w:rsidR="00EC7EDF" w:rsidRPr="00FD211F">
        <w:rPr>
          <w:sz w:val="36"/>
          <w:szCs w:val="36"/>
          <w:rtl/>
        </w:rPr>
        <w:t xml:space="preserve">ة </w:t>
      </w:r>
      <w:r w:rsidRPr="00FD211F">
        <w:rPr>
          <w:sz w:val="36"/>
          <w:szCs w:val="36"/>
          <w:rtl/>
        </w:rPr>
        <w:t>الطهار</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17"/>
      </w:r>
      <w:r w:rsidR="009C58C8" w:rsidRPr="00FD211F">
        <w:rPr>
          <w:rStyle w:val="a6"/>
          <w:sz w:val="36"/>
          <w:szCs w:val="36"/>
          <w:rtl/>
        </w:rPr>
        <w:t>)</w:t>
      </w:r>
      <w:r w:rsidRPr="00FD211F">
        <w:rPr>
          <w:sz w:val="36"/>
          <w:szCs w:val="36"/>
          <w:rtl/>
        </w:rPr>
        <w:t>.</w:t>
      </w:r>
    </w:p>
    <w:p w14:paraId="6BE9D725" w14:textId="77777777" w:rsidR="00844919" w:rsidRPr="00FD211F" w:rsidRDefault="00844919" w:rsidP="009C58C8">
      <w:pPr>
        <w:pStyle w:val="a4"/>
        <w:ind w:left="0" w:firstLine="227"/>
        <w:jc w:val="both"/>
        <w:rPr>
          <w:sz w:val="36"/>
          <w:szCs w:val="36"/>
          <w:rtl/>
        </w:rPr>
      </w:pPr>
      <w:r w:rsidRPr="00FD211F">
        <w:rPr>
          <w:sz w:val="36"/>
          <w:szCs w:val="36"/>
          <w:rtl/>
        </w:rPr>
        <w:t>وحينئذ</w:t>
      </w:r>
      <w:r w:rsidR="00303065" w:rsidRPr="00FD211F">
        <w:rPr>
          <w:sz w:val="36"/>
          <w:szCs w:val="36"/>
          <w:rtl/>
        </w:rPr>
        <w:t xml:space="preserve"> </w:t>
      </w:r>
      <w:r w:rsidRPr="00FD211F">
        <w:rPr>
          <w:sz w:val="36"/>
          <w:szCs w:val="36"/>
          <w:rtl/>
        </w:rPr>
        <w:t xml:space="preserve">فيقال في المقام انه اذاكان متعلق </w:t>
      </w:r>
      <w:r w:rsidR="001B3112" w:rsidRPr="00FD211F">
        <w:rPr>
          <w:sz w:val="36"/>
          <w:szCs w:val="36"/>
          <w:rtl/>
        </w:rPr>
        <w:t>الأمر</w:t>
      </w:r>
      <w:r w:rsidRPr="00FD211F">
        <w:rPr>
          <w:sz w:val="36"/>
          <w:szCs w:val="36"/>
          <w:rtl/>
        </w:rPr>
        <w:t xml:space="preserve"> عنوانا بسيطا غير</w:t>
      </w:r>
      <w:r w:rsidR="00303065" w:rsidRPr="00FD211F">
        <w:rPr>
          <w:sz w:val="36"/>
          <w:szCs w:val="36"/>
          <w:rtl/>
        </w:rPr>
        <w:t xml:space="preserve"> </w:t>
      </w:r>
      <w:r w:rsidRPr="00FD211F">
        <w:rPr>
          <w:sz w:val="36"/>
          <w:szCs w:val="36"/>
          <w:rtl/>
        </w:rPr>
        <w:t>تشكيكي فلابد من احراز حصوله وحيث أنه يشك في حصوله عند الاتيان بالمركب الفاقد للجزء او الشرط المشكوك فلابد من الاحتياط بأتيان الاكثر</w:t>
      </w:r>
    </w:p>
    <w:p w14:paraId="04EF8A7A" w14:textId="77777777" w:rsidR="001B3747" w:rsidRPr="00FD211F" w:rsidRDefault="001B3747" w:rsidP="009C58C8">
      <w:pPr>
        <w:pStyle w:val="a4"/>
        <w:ind w:left="0" w:firstLine="227"/>
        <w:jc w:val="both"/>
        <w:rPr>
          <w:sz w:val="36"/>
          <w:szCs w:val="36"/>
          <w:rtl/>
        </w:rPr>
      </w:pPr>
      <w:r w:rsidRPr="00FD211F">
        <w:rPr>
          <w:sz w:val="36"/>
          <w:szCs w:val="36"/>
          <w:rtl/>
        </w:rPr>
        <w:t>و</w:t>
      </w:r>
      <w:r w:rsidR="00844919" w:rsidRPr="00FD211F">
        <w:rPr>
          <w:sz w:val="36"/>
          <w:szCs w:val="36"/>
          <w:rtl/>
        </w:rPr>
        <w:t>فيه</w:t>
      </w:r>
      <w:r w:rsidRPr="00FD211F">
        <w:rPr>
          <w:sz w:val="36"/>
          <w:szCs w:val="36"/>
          <w:rtl/>
        </w:rPr>
        <w:t xml:space="preserve"> انه اذا كانت الطهار</w:t>
      </w:r>
      <w:r w:rsidR="00EC7EDF" w:rsidRPr="00FD211F">
        <w:rPr>
          <w:sz w:val="36"/>
          <w:szCs w:val="36"/>
          <w:rtl/>
        </w:rPr>
        <w:t xml:space="preserve">ة </w:t>
      </w:r>
      <w:r w:rsidRPr="00FD211F">
        <w:rPr>
          <w:sz w:val="36"/>
          <w:szCs w:val="36"/>
          <w:rtl/>
        </w:rPr>
        <w:t>عنوانا اعتباريا للوضوء فالأمر بها عرفا يكون امرا بواقع معنونها وهو الوضوء الذي يدور امره بين الاقل والاكثر</w:t>
      </w:r>
      <w:r w:rsidR="00603323" w:rsidRPr="00FD211F">
        <w:rPr>
          <w:sz w:val="36"/>
          <w:szCs w:val="36"/>
          <w:rtl/>
        </w:rPr>
        <w:t xml:space="preserve">، </w:t>
      </w:r>
      <w:r w:rsidRPr="00FD211F">
        <w:rPr>
          <w:sz w:val="36"/>
          <w:szCs w:val="36"/>
          <w:rtl/>
        </w:rPr>
        <w:t>نظير مالو امر المولى بتعظيم زيد</w:t>
      </w:r>
      <w:r w:rsidR="00603323" w:rsidRPr="00FD211F">
        <w:rPr>
          <w:sz w:val="36"/>
          <w:szCs w:val="36"/>
          <w:rtl/>
        </w:rPr>
        <w:t xml:space="preserve">، </w:t>
      </w:r>
      <w:r w:rsidRPr="00FD211F">
        <w:rPr>
          <w:sz w:val="36"/>
          <w:szCs w:val="36"/>
          <w:rtl/>
        </w:rPr>
        <w:t xml:space="preserve">وقد اعتبر </w:t>
      </w:r>
      <w:r w:rsidR="006F0812" w:rsidRPr="00FD211F">
        <w:rPr>
          <w:sz w:val="36"/>
          <w:szCs w:val="36"/>
          <w:rtl/>
        </w:rPr>
        <w:t xml:space="preserve">المولى </w:t>
      </w:r>
      <w:r w:rsidRPr="00FD211F">
        <w:rPr>
          <w:sz w:val="36"/>
          <w:szCs w:val="36"/>
          <w:rtl/>
        </w:rPr>
        <w:t>كون التعظيم هو القيام بعملي</w:t>
      </w:r>
      <w:r w:rsidR="00EC7EDF" w:rsidRPr="00FD211F">
        <w:rPr>
          <w:sz w:val="36"/>
          <w:szCs w:val="36"/>
          <w:rtl/>
        </w:rPr>
        <w:t xml:space="preserve">ة </w:t>
      </w:r>
      <w:r w:rsidRPr="00FD211F">
        <w:rPr>
          <w:sz w:val="36"/>
          <w:szCs w:val="36"/>
          <w:rtl/>
        </w:rPr>
        <w:t>خاص</w:t>
      </w:r>
      <w:r w:rsidR="00EC7EDF" w:rsidRPr="00FD211F">
        <w:rPr>
          <w:sz w:val="36"/>
          <w:szCs w:val="36"/>
          <w:rtl/>
        </w:rPr>
        <w:t>ة</w:t>
      </w:r>
      <w:r w:rsidR="00603323" w:rsidRPr="00FD211F">
        <w:rPr>
          <w:sz w:val="36"/>
          <w:szCs w:val="36"/>
          <w:rtl/>
        </w:rPr>
        <w:t xml:space="preserve">، </w:t>
      </w:r>
      <w:r w:rsidRPr="00FD211F">
        <w:rPr>
          <w:sz w:val="36"/>
          <w:szCs w:val="36"/>
          <w:rtl/>
        </w:rPr>
        <w:t>فلو شكّ في شرطي</w:t>
      </w:r>
      <w:r w:rsidR="00EC7EDF" w:rsidRPr="00FD211F">
        <w:rPr>
          <w:sz w:val="36"/>
          <w:szCs w:val="36"/>
          <w:rtl/>
        </w:rPr>
        <w:t xml:space="preserve">ة </w:t>
      </w:r>
      <w:r w:rsidRPr="00FD211F">
        <w:rPr>
          <w:sz w:val="36"/>
          <w:szCs w:val="36"/>
          <w:rtl/>
        </w:rPr>
        <w:t>شيء او جزئيته لما اعتبره تعظيما فلاينبغي الاشكال في جريان البراء</w:t>
      </w:r>
      <w:r w:rsidR="00EC7EDF" w:rsidRPr="00FD211F">
        <w:rPr>
          <w:sz w:val="36"/>
          <w:szCs w:val="36"/>
          <w:rtl/>
        </w:rPr>
        <w:t xml:space="preserve">ة </w:t>
      </w:r>
      <w:r w:rsidRPr="00FD211F">
        <w:rPr>
          <w:sz w:val="36"/>
          <w:szCs w:val="36"/>
          <w:rtl/>
        </w:rPr>
        <w:t>عنه</w:t>
      </w:r>
      <w:r w:rsidR="00603323" w:rsidRPr="00FD211F">
        <w:rPr>
          <w:sz w:val="36"/>
          <w:szCs w:val="36"/>
          <w:rtl/>
        </w:rPr>
        <w:t xml:space="preserve">، </w:t>
      </w:r>
      <w:r w:rsidRPr="00FD211F">
        <w:rPr>
          <w:sz w:val="36"/>
          <w:szCs w:val="36"/>
          <w:rtl/>
        </w:rPr>
        <w:t>لان الأمر بالتعظيم يكون ظاهرا في الأمر بالقيام بتلك العملي</w:t>
      </w:r>
      <w:r w:rsidR="00EC7EDF" w:rsidRPr="00FD211F">
        <w:rPr>
          <w:sz w:val="36"/>
          <w:szCs w:val="36"/>
          <w:rtl/>
        </w:rPr>
        <w:t>ة</w:t>
      </w:r>
      <w:r w:rsidR="00603323" w:rsidRPr="00FD211F">
        <w:rPr>
          <w:sz w:val="36"/>
          <w:szCs w:val="36"/>
          <w:rtl/>
        </w:rPr>
        <w:t xml:space="preserve">، </w:t>
      </w:r>
      <w:r w:rsidRPr="00FD211F">
        <w:rPr>
          <w:sz w:val="36"/>
          <w:szCs w:val="36"/>
          <w:rtl/>
        </w:rPr>
        <w:t>بعد ان كان التعظيم الذي تعلق به امره ماهي</w:t>
      </w:r>
      <w:r w:rsidR="00EC7EDF" w:rsidRPr="00FD211F">
        <w:rPr>
          <w:sz w:val="36"/>
          <w:szCs w:val="36"/>
          <w:rtl/>
        </w:rPr>
        <w:t xml:space="preserve">ة </w:t>
      </w:r>
      <w:r w:rsidRPr="00FD211F">
        <w:rPr>
          <w:sz w:val="36"/>
          <w:szCs w:val="36"/>
          <w:rtl/>
        </w:rPr>
        <w:t>اعتباري</w:t>
      </w:r>
      <w:r w:rsidR="00EC7EDF" w:rsidRPr="00FD211F">
        <w:rPr>
          <w:sz w:val="36"/>
          <w:szCs w:val="36"/>
          <w:rtl/>
        </w:rPr>
        <w:t>ة</w:t>
      </w:r>
      <w:r w:rsidR="00603323" w:rsidRPr="00FD211F">
        <w:rPr>
          <w:sz w:val="36"/>
          <w:szCs w:val="36"/>
          <w:rtl/>
        </w:rPr>
        <w:t xml:space="preserve">، </w:t>
      </w:r>
      <w:r w:rsidR="006F0812" w:rsidRPr="00FD211F">
        <w:rPr>
          <w:sz w:val="36"/>
          <w:szCs w:val="36"/>
          <w:rtl/>
        </w:rPr>
        <w:t xml:space="preserve">وعليه </w:t>
      </w:r>
      <w:r w:rsidRPr="00FD211F">
        <w:rPr>
          <w:sz w:val="36"/>
          <w:szCs w:val="36"/>
          <w:rtl/>
        </w:rPr>
        <w:t>فيكون نسب</w:t>
      </w:r>
      <w:r w:rsidR="00EC7EDF" w:rsidRPr="00FD211F">
        <w:rPr>
          <w:sz w:val="36"/>
          <w:szCs w:val="36"/>
          <w:rtl/>
        </w:rPr>
        <w:t xml:space="preserve">ة </w:t>
      </w:r>
      <w:r w:rsidRPr="00FD211F">
        <w:rPr>
          <w:sz w:val="36"/>
          <w:szCs w:val="36"/>
          <w:rtl/>
        </w:rPr>
        <w:t xml:space="preserve">عنوان الطهور الى معنونه </w:t>
      </w:r>
      <w:r w:rsidR="006F0812" w:rsidRPr="00FD211F">
        <w:rPr>
          <w:sz w:val="36"/>
          <w:szCs w:val="36"/>
          <w:rtl/>
        </w:rPr>
        <w:t xml:space="preserve">بحسب اللبّ </w:t>
      </w:r>
      <w:r w:rsidRPr="00FD211F">
        <w:rPr>
          <w:sz w:val="36"/>
          <w:szCs w:val="36"/>
          <w:rtl/>
        </w:rPr>
        <w:t>نسب</w:t>
      </w:r>
      <w:r w:rsidR="00EC7EDF" w:rsidRPr="00FD211F">
        <w:rPr>
          <w:sz w:val="36"/>
          <w:szCs w:val="36"/>
          <w:rtl/>
        </w:rPr>
        <w:t xml:space="preserve">ة </w:t>
      </w:r>
      <w:r w:rsidRPr="00FD211F">
        <w:rPr>
          <w:sz w:val="36"/>
          <w:szCs w:val="36"/>
          <w:rtl/>
        </w:rPr>
        <w:t>الاسم الى المسمى</w:t>
      </w:r>
      <w:r w:rsidR="00603323" w:rsidRPr="00FD211F">
        <w:rPr>
          <w:sz w:val="36"/>
          <w:szCs w:val="36"/>
          <w:rtl/>
        </w:rPr>
        <w:t xml:space="preserve">، </w:t>
      </w:r>
      <w:r w:rsidRPr="00FD211F">
        <w:rPr>
          <w:sz w:val="36"/>
          <w:szCs w:val="36"/>
          <w:rtl/>
        </w:rPr>
        <w:t>ولااشكال في ان الأمر بالإسم امر بالمسمى عرفا</w:t>
      </w:r>
      <w:r w:rsidR="00603323" w:rsidRPr="00FD211F">
        <w:rPr>
          <w:sz w:val="36"/>
          <w:szCs w:val="36"/>
          <w:rtl/>
        </w:rPr>
        <w:t xml:space="preserve">، </w:t>
      </w:r>
      <w:r w:rsidRPr="00FD211F">
        <w:rPr>
          <w:sz w:val="36"/>
          <w:szCs w:val="36"/>
          <w:rtl/>
        </w:rPr>
        <w:t>فلو شكّ في دخل شيء في المسمى فتجري البراء</w:t>
      </w:r>
      <w:r w:rsidR="00EC7EDF" w:rsidRPr="00FD211F">
        <w:rPr>
          <w:sz w:val="36"/>
          <w:szCs w:val="36"/>
          <w:rtl/>
        </w:rPr>
        <w:t xml:space="preserve">ة </w:t>
      </w:r>
      <w:r w:rsidRPr="00FD211F">
        <w:rPr>
          <w:sz w:val="36"/>
          <w:szCs w:val="36"/>
          <w:rtl/>
        </w:rPr>
        <w:t>عنه</w:t>
      </w:r>
      <w:r w:rsidR="00603323" w:rsidRPr="00FD211F">
        <w:rPr>
          <w:sz w:val="36"/>
          <w:szCs w:val="36"/>
          <w:rtl/>
        </w:rPr>
        <w:t xml:space="preserve">، </w:t>
      </w:r>
      <w:r w:rsidR="006F0812" w:rsidRPr="00FD211F">
        <w:rPr>
          <w:sz w:val="36"/>
          <w:szCs w:val="36"/>
          <w:rtl/>
        </w:rPr>
        <w:t>ولا أقل من أ</w:t>
      </w:r>
      <w:r w:rsidRPr="00FD211F">
        <w:rPr>
          <w:sz w:val="36"/>
          <w:szCs w:val="36"/>
          <w:rtl/>
        </w:rPr>
        <w:t xml:space="preserve">نه لايظهر من الأمر بالطهور اكثر من كونه عنوانا مشيرا الى واقع الوضوء </w:t>
      </w:r>
      <w:r w:rsidR="007C3541" w:rsidRPr="00FD211F">
        <w:rPr>
          <w:sz w:val="36"/>
          <w:szCs w:val="36"/>
          <w:rtl/>
        </w:rPr>
        <w:t xml:space="preserve">مثلا </w:t>
      </w:r>
      <w:r w:rsidRPr="00FD211F">
        <w:rPr>
          <w:sz w:val="36"/>
          <w:szCs w:val="36"/>
          <w:rtl/>
        </w:rPr>
        <w:t>الذي يدور امره بين الاقل والاكثر</w:t>
      </w:r>
      <w:r w:rsidR="00603323" w:rsidRPr="00FD211F">
        <w:rPr>
          <w:sz w:val="36"/>
          <w:szCs w:val="36"/>
          <w:rtl/>
        </w:rPr>
        <w:t xml:space="preserve">، </w:t>
      </w:r>
      <w:r w:rsidRPr="00FD211F">
        <w:rPr>
          <w:sz w:val="36"/>
          <w:szCs w:val="36"/>
          <w:rtl/>
        </w:rPr>
        <w:t>ويختلف ذلك عن الأمر بعنوان مبي</w:t>
      </w:r>
      <w:r w:rsidR="007C3541" w:rsidRPr="00FD211F">
        <w:rPr>
          <w:sz w:val="36"/>
          <w:szCs w:val="36"/>
          <w:rtl/>
        </w:rPr>
        <w:t>َّ</w:t>
      </w:r>
      <w:r w:rsidRPr="00FD211F">
        <w:rPr>
          <w:sz w:val="36"/>
          <w:szCs w:val="36"/>
          <w:rtl/>
        </w:rPr>
        <w:t>ن عرفي</w:t>
      </w:r>
      <w:r w:rsidR="00603323" w:rsidRPr="00FD211F">
        <w:rPr>
          <w:sz w:val="36"/>
          <w:szCs w:val="36"/>
          <w:rtl/>
        </w:rPr>
        <w:t xml:space="preserve">، </w:t>
      </w:r>
      <w:r w:rsidRPr="00FD211F">
        <w:rPr>
          <w:sz w:val="36"/>
          <w:szCs w:val="36"/>
          <w:rtl/>
        </w:rPr>
        <w:t>كما لو أمر المولى بصوم شهر هلالي</w:t>
      </w:r>
      <w:r w:rsidR="00603323" w:rsidRPr="00FD211F">
        <w:rPr>
          <w:sz w:val="36"/>
          <w:szCs w:val="36"/>
          <w:rtl/>
        </w:rPr>
        <w:t xml:space="preserve">، </w:t>
      </w:r>
      <w:r w:rsidRPr="00FD211F">
        <w:rPr>
          <w:sz w:val="36"/>
          <w:szCs w:val="36"/>
          <w:rtl/>
        </w:rPr>
        <w:t>فاختار المكلف شهرا لصومه وشك في رؤي</w:t>
      </w:r>
      <w:r w:rsidR="00EC7EDF" w:rsidRPr="00FD211F">
        <w:rPr>
          <w:sz w:val="36"/>
          <w:szCs w:val="36"/>
          <w:rtl/>
        </w:rPr>
        <w:t xml:space="preserve">ة </w:t>
      </w:r>
      <w:r w:rsidRPr="00FD211F">
        <w:rPr>
          <w:sz w:val="36"/>
          <w:szCs w:val="36"/>
          <w:rtl/>
        </w:rPr>
        <w:t>هلال آخر الشهر</w:t>
      </w:r>
      <w:r w:rsidR="00603323" w:rsidRPr="00FD211F">
        <w:rPr>
          <w:sz w:val="36"/>
          <w:szCs w:val="36"/>
          <w:rtl/>
        </w:rPr>
        <w:t xml:space="preserve">، </w:t>
      </w:r>
      <w:r w:rsidRPr="00FD211F">
        <w:rPr>
          <w:sz w:val="36"/>
          <w:szCs w:val="36"/>
          <w:rtl/>
        </w:rPr>
        <w:t>فمقتضى قاعد</w:t>
      </w:r>
      <w:r w:rsidR="00EC7EDF" w:rsidRPr="00FD211F">
        <w:rPr>
          <w:sz w:val="36"/>
          <w:szCs w:val="36"/>
          <w:rtl/>
        </w:rPr>
        <w:t xml:space="preserve">ة </w:t>
      </w:r>
      <w:r w:rsidRPr="00FD211F">
        <w:rPr>
          <w:sz w:val="36"/>
          <w:szCs w:val="36"/>
          <w:rtl/>
        </w:rPr>
        <w:t>الاشتغال هو صوم يوم الشك من آخره</w:t>
      </w:r>
      <w:r w:rsidR="00603323" w:rsidRPr="00FD211F">
        <w:rPr>
          <w:sz w:val="36"/>
          <w:szCs w:val="36"/>
          <w:rtl/>
        </w:rPr>
        <w:t xml:space="preserve">، </w:t>
      </w:r>
      <w:r w:rsidRPr="00FD211F">
        <w:rPr>
          <w:sz w:val="36"/>
          <w:szCs w:val="36"/>
          <w:rtl/>
        </w:rPr>
        <w:t>حتى مع غمض العين عن جريان استصحاب بقاء الشهر</w:t>
      </w:r>
      <w:r w:rsidR="00603323" w:rsidRPr="00FD211F">
        <w:rPr>
          <w:sz w:val="36"/>
          <w:szCs w:val="36"/>
          <w:rtl/>
        </w:rPr>
        <w:t xml:space="preserve">، </w:t>
      </w:r>
      <w:r w:rsidRPr="00FD211F">
        <w:rPr>
          <w:sz w:val="36"/>
          <w:szCs w:val="36"/>
          <w:rtl/>
        </w:rPr>
        <w:t>حيث ان متعلق التكليف معلوم وانما تعلق الشك بامتثاله خارجا</w:t>
      </w:r>
      <w:r w:rsidR="00603323" w:rsidRPr="00FD211F">
        <w:rPr>
          <w:sz w:val="36"/>
          <w:szCs w:val="36"/>
          <w:rtl/>
        </w:rPr>
        <w:t xml:space="preserve">، </w:t>
      </w:r>
      <w:r w:rsidRPr="00FD211F">
        <w:rPr>
          <w:sz w:val="36"/>
          <w:szCs w:val="36"/>
          <w:rtl/>
        </w:rPr>
        <w:t>من غير فرق بين ان يكون التكليف بصوم كل يوم من الشهر الهلالي استقلاليا او ضمنيا.</w:t>
      </w:r>
    </w:p>
    <w:p w14:paraId="74A00A50" w14:textId="77777777" w:rsidR="001B3747" w:rsidRPr="00FD211F" w:rsidRDefault="001B3747" w:rsidP="009C58C8">
      <w:pPr>
        <w:pStyle w:val="a4"/>
        <w:ind w:left="0" w:firstLine="227"/>
        <w:jc w:val="both"/>
        <w:rPr>
          <w:sz w:val="36"/>
          <w:szCs w:val="36"/>
          <w:rtl/>
        </w:rPr>
      </w:pPr>
      <w:r w:rsidRPr="00FD211F">
        <w:rPr>
          <w:sz w:val="36"/>
          <w:szCs w:val="36"/>
          <w:rtl/>
        </w:rPr>
        <w:t xml:space="preserve">نعم لو قال </w:t>
      </w:r>
      <w:r w:rsidR="007C3541" w:rsidRPr="00FD211F">
        <w:rPr>
          <w:sz w:val="36"/>
          <w:szCs w:val="36"/>
          <w:rtl/>
        </w:rPr>
        <w:t>"</w:t>
      </w:r>
      <w:r w:rsidRPr="00FD211F">
        <w:rPr>
          <w:sz w:val="36"/>
          <w:szCs w:val="36"/>
          <w:rtl/>
        </w:rPr>
        <w:t>المولى صم هذا الشهر الهلالي</w:t>
      </w:r>
      <w:r w:rsidR="007C3541" w:rsidRPr="00FD211F">
        <w:rPr>
          <w:sz w:val="36"/>
          <w:szCs w:val="36"/>
          <w:rtl/>
        </w:rPr>
        <w:t>"</w:t>
      </w:r>
      <w:r w:rsidRPr="00FD211F">
        <w:rPr>
          <w:sz w:val="36"/>
          <w:szCs w:val="36"/>
          <w:rtl/>
        </w:rPr>
        <w:t xml:space="preserve"> فمع غمض العين عن استصحاب بقاء الشهر في آخره يكون المرجع هو البراء</w:t>
      </w:r>
      <w:r w:rsidR="00EC7EDF" w:rsidRPr="00FD211F">
        <w:rPr>
          <w:sz w:val="36"/>
          <w:szCs w:val="36"/>
          <w:rtl/>
        </w:rPr>
        <w:t xml:space="preserve">ة </w:t>
      </w:r>
      <w:r w:rsidRPr="00FD211F">
        <w:rPr>
          <w:sz w:val="36"/>
          <w:szCs w:val="36"/>
          <w:rtl/>
        </w:rPr>
        <w:t>عن وجوب صوم يوم الثلاثين</w:t>
      </w:r>
      <w:r w:rsidR="00603323" w:rsidRPr="00FD211F">
        <w:rPr>
          <w:sz w:val="36"/>
          <w:szCs w:val="36"/>
          <w:rtl/>
        </w:rPr>
        <w:t xml:space="preserve">، </w:t>
      </w:r>
      <w:r w:rsidRPr="00FD211F">
        <w:rPr>
          <w:sz w:val="36"/>
          <w:szCs w:val="36"/>
          <w:rtl/>
        </w:rPr>
        <w:t>لان هذا الأمر يكون متعلقا في الحقيق</w:t>
      </w:r>
      <w:r w:rsidR="00EC7EDF" w:rsidRPr="00FD211F">
        <w:rPr>
          <w:sz w:val="36"/>
          <w:szCs w:val="36"/>
          <w:rtl/>
        </w:rPr>
        <w:t xml:space="preserve">ة </w:t>
      </w:r>
      <w:r w:rsidRPr="00FD211F">
        <w:rPr>
          <w:sz w:val="36"/>
          <w:szCs w:val="36"/>
          <w:rtl/>
        </w:rPr>
        <w:t>بواقع هذا الشهر وهو ايامه التي تدور بين الاقل والاكثر</w:t>
      </w:r>
      <w:r w:rsidR="00603323" w:rsidRPr="00FD211F">
        <w:rPr>
          <w:sz w:val="36"/>
          <w:szCs w:val="36"/>
          <w:rtl/>
        </w:rPr>
        <w:t xml:space="preserve">، </w:t>
      </w:r>
      <w:r w:rsidRPr="00FD211F">
        <w:rPr>
          <w:sz w:val="36"/>
          <w:szCs w:val="36"/>
          <w:rtl/>
        </w:rPr>
        <w:t>فتجري البراء</w:t>
      </w:r>
      <w:r w:rsidR="00EC7EDF" w:rsidRPr="00FD211F">
        <w:rPr>
          <w:sz w:val="36"/>
          <w:szCs w:val="36"/>
          <w:rtl/>
        </w:rPr>
        <w:t xml:space="preserve">ة </w:t>
      </w:r>
      <w:r w:rsidRPr="00FD211F">
        <w:rPr>
          <w:sz w:val="36"/>
          <w:szCs w:val="36"/>
          <w:rtl/>
        </w:rPr>
        <w:t>عن الاكثر</w:t>
      </w:r>
      <w:r w:rsidR="00603323" w:rsidRPr="00FD211F">
        <w:rPr>
          <w:sz w:val="36"/>
          <w:szCs w:val="36"/>
          <w:rtl/>
        </w:rPr>
        <w:t xml:space="preserve">، </w:t>
      </w:r>
      <w:r w:rsidRPr="00FD211F">
        <w:rPr>
          <w:sz w:val="36"/>
          <w:szCs w:val="36"/>
          <w:rtl/>
        </w:rPr>
        <w:t>وهكذا لو امر المولى عبده بالإتيان ب</w:t>
      </w:r>
      <w:r w:rsidR="007C3541" w:rsidRPr="00FD211F">
        <w:rPr>
          <w:sz w:val="36"/>
          <w:szCs w:val="36"/>
          <w:rtl/>
        </w:rPr>
        <w:t xml:space="preserve">أحد </w:t>
      </w:r>
      <w:r w:rsidRPr="00FD211F">
        <w:rPr>
          <w:sz w:val="36"/>
          <w:szCs w:val="36"/>
          <w:rtl/>
        </w:rPr>
        <w:t>الواجبات</w:t>
      </w:r>
      <w:r w:rsidR="007C3541" w:rsidRPr="00FD211F">
        <w:rPr>
          <w:sz w:val="36"/>
          <w:szCs w:val="36"/>
          <w:rtl/>
        </w:rPr>
        <w:t xml:space="preserve"> الاستقلالية </w:t>
      </w:r>
      <w:r w:rsidRPr="00FD211F">
        <w:rPr>
          <w:sz w:val="36"/>
          <w:szCs w:val="36"/>
          <w:rtl/>
        </w:rPr>
        <w:t>التي تكون على عهد</w:t>
      </w:r>
      <w:r w:rsidR="00EC7EDF" w:rsidRPr="00FD211F">
        <w:rPr>
          <w:sz w:val="36"/>
          <w:szCs w:val="36"/>
          <w:rtl/>
        </w:rPr>
        <w:t xml:space="preserve">ة </w:t>
      </w:r>
      <w:r w:rsidRPr="00FD211F">
        <w:rPr>
          <w:sz w:val="36"/>
          <w:szCs w:val="36"/>
          <w:rtl/>
        </w:rPr>
        <w:t>زيد</w:t>
      </w:r>
      <w:r w:rsidR="00603323" w:rsidRPr="00FD211F">
        <w:rPr>
          <w:sz w:val="36"/>
          <w:szCs w:val="36"/>
          <w:rtl/>
        </w:rPr>
        <w:t xml:space="preserve">، </w:t>
      </w:r>
      <w:r w:rsidRPr="00FD211F">
        <w:rPr>
          <w:sz w:val="36"/>
          <w:szCs w:val="36"/>
          <w:rtl/>
        </w:rPr>
        <w:t>فاختار العبد الإتيان بفعل لأجل كونه واجبا على زيد</w:t>
      </w:r>
      <w:r w:rsidR="00603323" w:rsidRPr="00FD211F">
        <w:rPr>
          <w:sz w:val="36"/>
          <w:szCs w:val="36"/>
          <w:rtl/>
        </w:rPr>
        <w:t xml:space="preserve">، </w:t>
      </w:r>
      <w:r w:rsidRPr="00FD211F">
        <w:rPr>
          <w:sz w:val="36"/>
          <w:szCs w:val="36"/>
          <w:rtl/>
        </w:rPr>
        <w:t>فشكّ في جزئي</w:t>
      </w:r>
      <w:r w:rsidR="00EC7EDF" w:rsidRPr="00FD211F">
        <w:rPr>
          <w:sz w:val="36"/>
          <w:szCs w:val="36"/>
          <w:rtl/>
        </w:rPr>
        <w:t xml:space="preserve">ة </w:t>
      </w:r>
      <w:r w:rsidRPr="00FD211F">
        <w:rPr>
          <w:sz w:val="36"/>
          <w:szCs w:val="36"/>
          <w:rtl/>
        </w:rPr>
        <w:t>شيء او شرطيته فيه</w:t>
      </w:r>
      <w:r w:rsidR="00603323" w:rsidRPr="00FD211F">
        <w:rPr>
          <w:sz w:val="36"/>
          <w:szCs w:val="36"/>
          <w:rtl/>
        </w:rPr>
        <w:t xml:space="preserve">، </w:t>
      </w:r>
      <w:r w:rsidRPr="00FD211F">
        <w:rPr>
          <w:sz w:val="36"/>
          <w:szCs w:val="36"/>
          <w:rtl/>
        </w:rPr>
        <w:t>فلاتجدي البراء</w:t>
      </w:r>
      <w:r w:rsidR="00EC7EDF" w:rsidRPr="00FD211F">
        <w:rPr>
          <w:sz w:val="36"/>
          <w:szCs w:val="36"/>
          <w:rtl/>
        </w:rPr>
        <w:t xml:space="preserve">ة </w:t>
      </w:r>
      <w:r w:rsidRPr="00FD211F">
        <w:rPr>
          <w:sz w:val="36"/>
          <w:szCs w:val="36"/>
          <w:rtl/>
        </w:rPr>
        <w:t>عن جزئيته وشرطيته في اكتفاء العبد بذلك الفعل الفاقد للجزء او الشرط المشكوك</w:t>
      </w:r>
      <w:r w:rsidR="00603323" w:rsidRPr="00FD211F">
        <w:rPr>
          <w:sz w:val="36"/>
          <w:szCs w:val="36"/>
          <w:rtl/>
        </w:rPr>
        <w:t xml:space="preserve">، </w:t>
      </w:r>
      <w:r w:rsidRPr="00FD211F">
        <w:rPr>
          <w:sz w:val="36"/>
          <w:szCs w:val="36"/>
          <w:rtl/>
        </w:rPr>
        <w:t>لعدم احراز انه قد اتى بواجب استقلالي من واجبات زيد</w:t>
      </w:r>
      <w:r w:rsidR="00603323" w:rsidRPr="00FD211F">
        <w:rPr>
          <w:sz w:val="36"/>
          <w:szCs w:val="36"/>
          <w:rtl/>
        </w:rPr>
        <w:t xml:space="preserve">، </w:t>
      </w:r>
      <w:r w:rsidRPr="00FD211F">
        <w:rPr>
          <w:sz w:val="36"/>
          <w:szCs w:val="36"/>
          <w:rtl/>
        </w:rPr>
        <w:t>بخلاف مالو امره المولى بالإتيان بواجب استقلالي معي</w:t>
      </w:r>
      <w:r w:rsidR="007C3541" w:rsidRPr="00FD211F">
        <w:rPr>
          <w:sz w:val="36"/>
          <w:szCs w:val="36"/>
          <w:rtl/>
        </w:rPr>
        <w:t>َّ</w:t>
      </w:r>
      <w:r w:rsidRPr="00FD211F">
        <w:rPr>
          <w:sz w:val="36"/>
          <w:szCs w:val="36"/>
          <w:rtl/>
        </w:rPr>
        <w:t>ن مما يجب على زيد</w:t>
      </w:r>
      <w:r w:rsidR="00603323" w:rsidRPr="00FD211F">
        <w:rPr>
          <w:sz w:val="36"/>
          <w:szCs w:val="36"/>
          <w:rtl/>
        </w:rPr>
        <w:t xml:space="preserve">، </w:t>
      </w:r>
      <w:r w:rsidRPr="00FD211F">
        <w:rPr>
          <w:sz w:val="36"/>
          <w:szCs w:val="36"/>
          <w:rtl/>
        </w:rPr>
        <w:t>فانه حيث يكون ظاهرا في المشيري</w:t>
      </w:r>
      <w:r w:rsidR="00EC7EDF" w:rsidRPr="00FD211F">
        <w:rPr>
          <w:sz w:val="36"/>
          <w:szCs w:val="36"/>
          <w:rtl/>
        </w:rPr>
        <w:t xml:space="preserve">ة </w:t>
      </w:r>
      <w:r w:rsidRPr="00FD211F">
        <w:rPr>
          <w:sz w:val="36"/>
          <w:szCs w:val="36"/>
          <w:rtl/>
        </w:rPr>
        <w:t>الى واقع ذلك الواجب فلو دار امره بين الاقل والاكثر فتجري البراء</w:t>
      </w:r>
      <w:r w:rsidR="00EC7EDF" w:rsidRPr="00FD211F">
        <w:rPr>
          <w:sz w:val="36"/>
          <w:szCs w:val="36"/>
          <w:rtl/>
        </w:rPr>
        <w:t xml:space="preserve">ة </w:t>
      </w:r>
      <w:r w:rsidRPr="00FD211F">
        <w:rPr>
          <w:sz w:val="36"/>
          <w:szCs w:val="36"/>
          <w:rtl/>
        </w:rPr>
        <w:t>عن الاكثر</w:t>
      </w:r>
      <w:r w:rsidR="00603323" w:rsidRPr="00FD211F">
        <w:rPr>
          <w:sz w:val="36"/>
          <w:szCs w:val="36"/>
          <w:rtl/>
        </w:rPr>
        <w:t xml:space="preserve">، </w:t>
      </w:r>
      <w:r w:rsidR="00EC7EDF" w:rsidRPr="00FD211F">
        <w:rPr>
          <w:sz w:val="36"/>
          <w:szCs w:val="36"/>
          <w:rtl/>
        </w:rPr>
        <w:t>و</w:t>
      </w:r>
      <w:r w:rsidRPr="00FD211F">
        <w:rPr>
          <w:sz w:val="36"/>
          <w:szCs w:val="36"/>
          <w:rtl/>
        </w:rPr>
        <w:t>الأمر بالطهور</w:t>
      </w:r>
      <w:r w:rsidR="00844919" w:rsidRPr="00FD211F">
        <w:rPr>
          <w:sz w:val="36"/>
          <w:szCs w:val="36"/>
          <w:rtl/>
        </w:rPr>
        <w:t>من هذا القبيل حيث انه</w:t>
      </w:r>
      <w:r w:rsidR="00B253CE" w:rsidRPr="00FD211F">
        <w:rPr>
          <w:sz w:val="36"/>
          <w:szCs w:val="36"/>
          <w:rtl/>
        </w:rPr>
        <w:t xml:space="preserve"> </w:t>
      </w:r>
      <w:r w:rsidR="00844919" w:rsidRPr="00FD211F">
        <w:rPr>
          <w:sz w:val="36"/>
          <w:szCs w:val="36"/>
          <w:rtl/>
        </w:rPr>
        <w:t>يكون امرا بواقع الطهور</w:t>
      </w:r>
      <w:r w:rsidRPr="00FD211F">
        <w:rPr>
          <w:sz w:val="36"/>
          <w:szCs w:val="36"/>
          <w:rtl/>
        </w:rPr>
        <w:t xml:space="preserve"> الذي يدور بين الاقل والاكثر</w:t>
      </w:r>
      <w:r w:rsidR="00603323" w:rsidRPr="00FD211F">
        <w:rPr>
          <w:sz w:val="36"/>
          <w:szCs w:val="36"/>
          <w:rtl/>
        </w:rPr>
        <w:t xml:space="preserve">، </w:t>
      </w:r>
      <w:r w:rsidRPr="00FD211F">
        <w:rPr>
          <w:sz w:val="36"/>
          <w:szCs w:val="36"/>
          <w:rtl/>
        </w:rPr>
        <w:t>فتجري البراء</w:t>
      </w:r>
      <w:r w:rsidR="00EC7EDF" w:rsidRPr="00FD211F">
        <w:rPr>
          <w:sz w:val="36"/>
          <w:szCs w:val="36"/>
          <w:rtl/>
        </w:rPr>
        <w:t xml:space="preserve">ة </w:t>
      </w:r>
      <w:r w:rsidRPr="00FD211F">
        <w:rPr>
          <w:sz w:val="36"/>
          <w:szCs w:val="36"/>
          <w:rtl/>
        </w:rPr>
        <w:t>عن الاكثر</w:t>
      </w:r>
      <w:r w:rsidR="001340C7" w:rsidRPr="00FD211F">
        <w:rPr>
          <w:sz w:val="36"/>
          <w:szCs w:val="36"/>
          <w:rtl/>
        </w:rPr>
        <w:t>.</w:t>
      </w:r>
    </w:p>
    <w:p w14:paraId="3AB88E68" w14:textId="77777777" w:rsidR="001340C7" w:rsidRPr="00FD211F" w:rsidRDefault="001340C7" w:rsidP="00303065">
      <w:pPr>
        <w:pStyle w:val="a4"/>
        <w:ind w:left="0" w:firstLine="227"/>
        <w:jc w:val="both"/>
        <w:rPr>
          <w:sz w:val="36"/>
          <w:szCs w:val="36"/>
          <w:rtl/>
        </w:rPr>
      </w:pPr>
      <w:r w:rsidRPr="00FD211F">
        <w:rPr>
          <w:sz w:val="36"/>
          <w:szCs w:val="36"/>
          <w:rtl/>
        </w:rPr>
        <w:t xml:space="preserve">وبذلك اتضح </w:t>
      </w:r>
      <w:r w:rsidR="00BE6B28" w:rsidRPr="00FD211F">
        <w:rPr>
          <w:sz w:val="36"/>
          <w:szCs w:val="36"/>
          <w:rtl/>
        </w:rPr>
        <w:t xml:space="preserve">أنه </w:t>
      </w:r>
      <w:r w:rsidRPr="00FD211F">
        <w:rPr>
          <w:sz w:val="36"/>
          <w:szCs w:val="36"/>
          <w:rtl/>
        </w:rPr>
        <w:t>انمايجوز الرجوع الى البراء</w:t>
      </w:r>
      <w:r w:rsidR="00EC7EDF" w:rsidRPr="00FD211F">
        <w:rPr>
          <w:sz w:val="36"/>
          <w:szCs w:val="36"/>
          <w:rtl/>
        </w:rPr>
        <w:t xml:space="preserve">ة </w:t>
      </w:r>
      <w:r w:rsidR="00BE6B28" w:rsidRPr="00FD211F">
        <w:rPr>
          <w:sz w:val="36"/>
          <w:szCs w:val="36"/>
          <w:rtl/>
        </w:rPr>
        <w:t xml:space="preserve">بناء على كون متعلق </w:t>
      </w:r>
      <w:r w:rsidR="001B3112" w:rsidRPr="00FD211F">
        <w:rPr>
          <w:sz w:val="36"/>
          <w:szCs w:val="36"/>
          <w:rtl/>
        </w:rPr>
        <w:t>الأمر</w:t>
      </w:r>
      <w:r w:rsidR="00303065" w:rsidRPr="00FD211F">
        <w:rPr>
          <w:sz w:val="36"/>
          <w:szCs w:val="36"/>
          <w:rtl/>
        </w:rPr>
        <w:t xml:space="preserve"> </w:t>
      </w:r>
      <w:r w:rsidR="00BE6B28" w:rsidRPr="00FD211F">
        <w:rPr>
          <w:sz w:val="36"/>
          <w:szCs w:val="36"/>
          <w:rtl/>
        </w:rPr>
        <w:t xml:space="preserve">هو </w:t>
      </w:r>
      <w:r w:rsidRPr="00FD211F">
        <w:rPr>
          <w:sz w:val="36"/>
          <w:szCs w:val="36"/>
          <w:rtl/>
        </w:rPr>
        <w:t xml:space="preserve">الجامع البسيط غير التشكيكي </w:t>
      </w:r>
      <w:r w:rsidR="00BE6B28" w:rsidRPr="00FD211F">
        <w:rPr>
          <w:sz w:val="36"/>
          <w:szCs w:val="36"/>
          <w:rtl/>
        </w:rPr>
        <w:t>فيما</w:t>
      </w:r>
      <w:r w:rsidR="00303065" w:rsidRPr="00FD211F">
        <w:rPr>
          <w:sz w:val="36"/>
          <w:szCs w:val="36"/>
          <w:rtl/>
        </w:rPr>
        <w:t xml:space="preserve"> </w:t>
      </w:r>
      <w:r w:rsidR="00BE6B28" w:rsidRPr="00FD211F">
        <w:rPr>
          <w:sz w:val="36"/>
          <w:szCs w:val="36"/>
          <w:rtl/>
        </w:rPr>
        <w:t>اذا</w:t>
      </w:r>
      <w:r w:rsidR="00303065" w:rsidRPr="00FD211F">
        <w:rPr>
          <w:sz w:val="36"/>
          <w:szCs w:val="36"/>
          <w:rtl/>
        </w:rPr>
        <w:t xml:space="preserve"> </w:t>
      </w:r>
      <w:r w:rsidR="00BE6B28" w:rsidRPr="00FD211F">
        <w:rPr>
          <w:sz w:val="36"/>
          <w:szCs w:val="36"/>
          <w:rtl/>
        </w:rPr>
        <w:t xml:space="preserve">كان </w:t>
      </w:r>
      <w:r w:rsidRPr="00FD211F">
        <w:rPr>
          <w:sz w:val="36"/>
          <w:szCs w:val="36"/>
          <w:rtl/>
        </w:rPr>
        <w:t xml:space="preserve">خطاب </w:t>
      </w:r>
      <w:r w:rsidR="001B3112" w:rsidRPr="00FD211F">
        <w:rPr>
          <w:sz w:val="36"/>
          <w:szCs w:val="36"/>
          <w:rtl/>
        </w:rPr>
        <w:t>الأمر</w:t>
      </w:r>
      <w:r w:rsidRPr="00FD211F">
        <w:rPr>
          <w:sz w:val="36"/>
          <w:szCs w:val="36"/>
          <w:rtl/>
        </w:rPr>
        <w:t xml:space="preserve"> به مجرد مشير</w:t>
      </w:r>
      <w:r w:rsidR="00BE6B28" w:rsidRPr="00FD211F">
        <w:rPr>
          <w:sz w:val="36"/>
          <w:szCs w:val="36"/>
          <w:rtl/>
        </w:rPr>
        <w:t>-جزما اواحتمالا-</w:t>
      </w:r>
      <w:r w:rsidRPr="00FD211F">
        <w:rPr>
          <w:sz w:val="36"/>
          <w:szCs w:val="36"/>
          <w:rtl/>
        </w:rPr>
        <w:t xml:space="preserve"> الى </w:t>
      </w:r>
      <w:r w:rsidR="001B3112" w:rsidRPr="00FD211F">
        <w:rPr>
          <w:sz w:val="36"/>
          <w:szCs w:val="36"/>
          <w:rtl/>
        </w:rPr>
        <w:t>الأمر</w:t>
      </w:r>
      <w:r w:rsidRPr="00FD211F">
        <w:rPr>
          <w:sz w:val="36"/>
          <w:szCs w:val="36"/>
          <w:rtl/>
        </w:rPr>
        <w:t xml:space="preserve"> بالمركب المتحد معه وجودا</w:t>
      </w:r>
      <w:r w:rsidR="00303065" w:rsidRPr="00FD211F">
        <w:rPr>
          <w:sz w:val="36"/>
          <w:szCs w:val="36"/>
          <w:rtl/>
        </w:rPr>
        <w:t xml:space="preserve"> </w:t>
      </w:r>
      <w:r w:rsidRPr="00FD211F">
        <w:rPr>
          <w:sz w:val="36"/>
          <w:szCs w:val="36"/>
          <w:rtl/>
        </w:rPr>
        <w:t xml:space="preserve">كما في </w:t>
      </w:r>
      <w:r w:rsidR="001B3112" w:rsidRPr="00FD211F">
        <w:rPr>
          <w:sz w:val="36"/>
          <w:szCs w:val="36"/>
          <w:rtl/>
        </w:rPr>
        <w:t>الأمر</w:t>
      </w:r>
      <w:r w:rsidRPr="00FD211F">
        <w:rPr>
          <w:sz w:val="36"/>
          <w:szCs w:val="36"/>
          <w:rtl/>
        </w:rPr>
        <w:t xml:space="preserve"> بالطهور.</w:t>
      </w:r>
    </w:p>
    <w:p w14:paraId="553C029F" w14:textId="77777777" w:rsidR="00052BF2" w:rsidRPr="00FD211F" w:rsidRDefault="001340C7" w:rsidP="009C58C8">
      <w:pPr>
        <w:ind w:left="0" w:firstLine="227"/>
        <w:jc w:val="both"/>
        <w:rPr>
          <w:sz w:val="36"/>
          <w:szCs w:val="36"/>
          <w:rtl/>
          <w:lang w:val="en-GB"/>
        </w:rPr>
      </w:pPr>
      <w:r w:rsidRPr="00FD211F">
        <w:rPr>
          <w:b/>
          <w:bCs/>
          <w:sz w:val="36"/>
          <w:szCs w:val="36"/>
          <w:rtl/>
        </w:rPr>
        <w:t>الرابع</w:t>
      </w:r>
      <w:r w:rsidR="00EC7EDF" w:rsidRPr="00FD211F">
        <w:rPr>
          <w:b/>
          <w:bCs/>
          <w:sz w:val="36"/>
          <w:szCs w:val="36"/>
          <w:rtl/>
        </w:rPr>
        <w:t>ة</w:t>
      </w:r>
      <w:r w:rsidR="00057D31" w:rsidRPr="00FD211F">
        <w:rPr>
          <w:b/>
          <w:bCs/>
          <w:sz w:val="36"/>
          <w:szCs w:val="36"/>
          <w:rtl/>
        </w:rPr>
        <w:t>:</w:t>
      </w:r>
      <w:r w:rsidR="00052BF2" w:rsidRPr="00FD211F">
        <w:rPr>
          <w:sz w:val="36"/>
          <w:szCs w:val="36"/>
          <w:rtl/>
        </w:rPr>
        <w:t xml:space="preserve">ان ما ذكره في البحوث </w:t>
      </w:r>
      <w:r w:rsidR="00A92A1D" w:rsidRPr="00FD211F">
        <w:rPr>
          <w:sz w:val="36"/>
          <w:szCs w:val="36"/>
          <w:rtl/>
        </w:rPr>
        <w:t>(</w:t>
      </w:r>
      <w:r w:rsidR="00052BF2" w:rsidRPr="00FD211F">
        <w:rPr>
          <w:sz w:val="36"/>
          <w:szCs w:val="36"/>
          <w:rtl/>
        </w:rPr>
        <w:t>من انه كلما كان العنوان الذي تعلق الحكم الشرعي به اعتباريا كالطهار</w:t>
      </w:r>
      <w:r w:rsidR="00EC7EDF" w:rsidRPr="00FD211F">
        <w:rPr>
          <w:sz w:val="36"/>
          <w:szCs w:val="36"/>
          <w:rtl/>
        </w:rPr>
        <w:t xml:space="preserve">ة </w:t>
      </w:r>
      <w:r w:rsidR="00A92A1D" w:rsidRPr="00FD211F">
        <w:rPr>
          <w:sz w:val="36"/>
          <w:szCs w:val="36"/>
          <w:rtl/>
        </w:rPr>
        <w:t>من الحدث</w:t>
      </w:r>
      <w:r w:rsidR="00603323" w:rsidRPr="00FD211F">
        <w:rPr>
          <w:sz w:val="36"/>
          <w:szCs w:val="36"/>
          <w:rtl/>
        </w:rPr>
        <w:t xml:space="preserve">، </w:t>
      </w:r>
      <w:r w:rsidR="00A92A1D" w:rsidRPr="00FD211F">
        <w:rPr>
          <w:sz w:val="36"/>
          <w:szCs w:val="36"/>
          <w:rtl/>
        </w:rPr>
        <w:t>-سواء قلنا بان الطهارة امر</w:t>
      </w:r>
      <w:r w:rsidR="00052BF2" w:rsidRPr="00FD211F">
        <w:rPr>
          <w:sz w:val="36"/>
          <w:szCs w:val="36"/>
          <w:rtl/>
        </w:rPr>
        <w:t xml:space="preserve"> عقلي</w:t>
      </w:r>
      <w:r w:rsidR="00EC7EDF" w:rsidRPr="00FD211F">
        <w:rPr>
          <w:sz w:val="36"/>
          <w:szCs w:val="36"/>
          <w:rtl/>
        </w:rPr>
        <w:t xml:space="preserve"> </w:t>
      </w:r>
      <w:r w:rsidR="00052BF2" w:rsidRPr="00FD211F">
        <w:rPr>
          <w:sz w:val="36"/>
          <w:szCs w:val="36"/>
          <w:rtl/>
        </w:rPr>
        <w:t>تكويني</w:t>
      </w:r>
      <w:r w:rsidR="00EC7EDF" w:rsidRPr="00FD211F">
        <w:rPr>
          <w:sz w:val="36"/>
          <w:szCs w:val="36"/>
          <w:rtl/>
        </w:rPr>
        <w:t xml:space="preserve"> </w:t>
      </w:r>
      <w:r w:rsidR="00052BF2" w:rsidRPr="00FD211F">
        <w:rPr>
          <w:sz w:val="36"/>
          <w:szCs w:val="36"/>
          <w:rtl/>
        </w:rPr>
        <w:t>او</w:t>
      </w:r>
      <w:r w:rsidR="00A92A1D" w:rsidRPr="00FD211F">
        <w:rPr>
          <w:sz w:val="36"/>
          <w:szCs w:val="36"/>
          <w:rtl/>
        </w:rPr>
        <w:t>قلنا بأنها</w:t>
      </w:r>
      <w:r w:rsidR="00052BF2" w:rsidRPr="00FD211F">
        <w:rPr>
          <w:sz w:val="36"/>
          <w:szCs w:val="36"/>
          <w:rtl/>
        </w:rPr>
        <w:t xml:space="preserve"> </w:t>
      </w:r>
      <w:r w:rsidR="00A92A1D" w:rsidRPr="00FD211F">
        <w:rPr>
          <w:sz w:val="36"/>
          <w:szCs w:val="36"/>
          <w:rtl/>
        </w:rPr>
        <w:t>امر</w:t>
      </w:r>
      <w:r w:rsidR="00052BF2" w:rsidRPr="00FD211F">
        <w:rPr>
          <w:sz w:val="36"/>
          <w:szCs w:val="36"/>
          <w:rtl/>
        </w:rPr>
        <w:t>شرعي</w:t>
      </w:r>
      <w:r w:rsidR="00EC7EDF" w:rsidRPr="00FD211F">
        <w:rPr>
          <w:sz w:val="36"/>
          <w:szCs w:val="36"/>
          <w:rtl/>
        </w:rPr>
        <w:t xml:space="preserve"> </w:t>
      </w:r>
      <w:r w:rsidR="00052BF2" w:rsidRPr="00FD211F">
        <w:rPr>
          <w:sz w:val="36"/>
          <w:szCs w:val="36"/>
          <w:rtl/>
        </w:rPr>
        <w:t>- فحيث أنه امر مبهم عرفا ولايعرف اسبابه الا من قبل الشارع</w:t>
      </w:r>
      <w:r w:rsidR="00603323" w:rsidRPr="00FD211F">
        <w:rPr>
          <w:sz w:val="36"/>
          <w:szCs w:val="36"/>
          <w:rtl/>
        </w:rPr>
        <w:t xml:space="preserve">، </w:t>
      </w:r>
      <w:r w:rsidR="00052BF2" w:rsidRPr="00FD211F">
        <w:rPr>
          <w:sz w:val="36"/>
          <w:szCs w:val="36"/>
          <w:rtl/>
        </w:rPr>
        <w:t>فيكون الظاهر عرفا تعلق الحكم الشرعي بذات سببه</w:t>
      </w:r>
      <w:r w:rsidR="00603323" w:rsidRPr="00FD211F">
        <w:rPr>
          <w:sz w:val="36"/>
          <w:szCs w:val="36"/>
          <w:rtl/>
        </w:rPr>
        <w:t xml:space="preserve">، </w:t>
      </w:r>
      <w:r w:rsidR="00052BF2" w:rsidRPr="00FD211F">
        <w:rPr>
          <w:sz w:val="36"/>
          <w:szCs w:val="36"/>
          <w:rtl/>
        </w:rPr>
        <w:t>وحيث يدور امر سببه بين الاقل والأكثر فتجري البراء</w:t>
      </w:r>
      <w:r w:rsidR="00EC7EDF" w:rsidRPr="00FD211F">
        <w:rPr>
          <w:sz w:val="36"/>
          <w:szCs w:val="36"/>
          <w:rtl/>
        </w:rPr>
        <w:t xml:space="preserve">ة </w:t>
      </w:r>
      <w:r w:rsidR="00052BF2" w:rsidRPr="00FD211F">
        <w:rPr>
          <w:sz w:val="36"/>
          <w:szCs w:val="36"/>
          <w:rtl/>
        </w:rPr>
        <w:t>عن الاكثر</w:t>
      </w:r>
      <w:r w:rsidR="00A92A1D" w:rsidRPr="00FD211F">
        <w:rPr>
          <w:sz w:val="36"/>
          <w:szCs w:val="36"/>
          <w:rtl/>
        </w:rPr>
        <w:t>)</w:t>
      </w:r>
      <w:r w:rsidR="00052BF2" w:rsidRPr="00FD211F">
        <w:rPr>
          <w:sz w:val="36"/>
          <w:szCs w:val="36"/>
          <w:rtl/>
        </w:rPr>
        <w:t xml:space="preserve"> ففيه انه لو</w:t>
      </w:r>
      <w:r w:rsidR="00A92A1D" w:rsidRPr="00FD211F">
        <w:rPr>
          <w:sz w:val="36"/>
          <w:szCs w:val="36"/>
          <w:rtl/>
        </w:rPr>
        <w:t>اشتمل الخطاب الشرعي على</w:t>
      </w:r>
      <w:r w:rsidR="00052BF2" w:rsidRPr="00FD211F">
        <w:rPr>
          <w:sz w:val="36"/>
          <w:szCs w:val="36"/>
          <w:rtl/>
        </w:rPr>
        <w:t xml:space="preserve"> </w:t>
      </w:r>
      <w:r w:rsidR="00A92A1D" w:rsidRPr="00FD211F">
        <w:rPr>
          <w:sz w:val="36"/>
          <w:szCs w:val="36"/>
          <w:rtl/>
        </w:rPr>
        <w:t xml:space="preserve">الامر </w:t>
      </w:r>
      <w:r w:rsidR="00052BF2" w:rsidRPr="00FD211F">
        <w:rPr>
          <w:sz w:val="36"/>
          <w:szCs w:val="36"/>
          <w:rtl/>
        </w:rPr>
        <w:t xml:space="preserve">بايجاد مسبب عقلي او شرعي مبهم </w:t>
      </w:r>
      <w:r w:rsidR="00A92A1D" w:rsidRPr="00FD211F">
        <w:rPr>
          <w:sz w:val="36"/>
          <w:szCs w:val="36"/>
          <w:rtl/>
        </w:rPr>
        <w:t>-</w:t>
      </w:r>
      <w:r w:rsidR="00052BF2" w:rsidRPr="00FD211F">
        <w:rPr>
          <w:sz w:val="36"/>
          <w:szCs w:val="36"/>
          <w:rtl/>
        </w:rPr>
        <w:t>كما لو تعلق الأمر بايجاد الطهار</w:t>
      </w:r>
      <w:r w:rsidR="00EC7EDF" w:rsidRPr="00FD211F">
        <w:rPr>
          <w:sz w:val="36"/>
          <w:szCs w:val="36"/>
          <w:rtl/>
        </w:rPr>
        <w:t xml:space="preserve">ة </w:t>
      </w:r>
      <w:r w:rsidR="00052BF2" w:rsidRPr="00FD211F">
        <w:rPr>
          <w:sz w:val="36"/>
          <w:szCs w:val="36"/>
          <w:rtl/>
        </w:rPr>
        <w:t>من الحدث او ايجاد الزوجي</w:t>
      </w:r>
      <w:r w:rsidR="00EC7EDF" w:rsidRPr="00FD211F">
        <w:rPr>
          <w:sz w:val="36"/>
          <w:szCs w:val="36"/>
          <w:rtl/>
        </w:rPr>
        <w:t xml:space="preserve">ة </w:t>
      </w:r>
      <w:r w:rsidR="00052BF2" w:rsidRPr="00FD211F">
        <w:rPr>
          <w:sz w:val="36"/>
          <w:szCs w:val="36"/>
          <w:rtl/>
        </w:rPr>
        <w:t>الشرعي</w:t>
      </w:r>
      <w:r w:rsidR="00EC7EDF" w:rsidRPr="00FD211F">
        <w:rPr>
          <w:sz w:val="36"/>
          <w:szCs w:val="36"/>
          <w:rtl/>
        </w:rPr>
        <w:t xml:space="preserve">ة </w:t>
      </w:r>
      <w:r w:rsidR="00052BF2" w:rsidRPr="00FD211F">
        <w:rPr>
          <w:sz w:val="36"/>
          <w:szCs w:val="36"/>
          <w:rtl/>
        </w:rPr>
        <w:t>مثلا</w:t>
      </w:r>
      <w:r w:rsidR="00A92A1D" w:rsidRPr="00FD211F">
        <w:rPr>
          <w:sz w:val="36"/>
          <w:szCs w:val="36"/>
          <w:rtl/>
        </w:rPr>
        <w:t>-</w:t>
      </w:r>
      <w:r w:rsidR="00052BF2" w:rsidRPr="00FD211F">
        <w:rPr>
          <w:sz w:val="36"/>
          <w:szCs w:val="36"/>
          <w:rtl/>
        </w:rPr>
        <w:t xml:space="preserve"> فلاوجه لحمل مثل ذلك على الطريقي</w:t>
      </w:r>
      <w:r w:rsidR="00EC7EDF" w:rsidRPr="00FD211F">
        <w:rPr>
          <w:sz w:val="36"/>
          <w:szCs w:val="36"/>
          <w:rtl/>
        </w:rPr>
        <w:t xml:space="preserve">ة </w:t>
      </w:r>
      <w:r w:rsidR="00052BF2" w:rsidRPr="00FD211F">
        <w:rPr>
          <w:sz w:val="36"/>
          <w:szCs w:val="36"/>
          <w:rtl/>
        </w:rPr>
        <w:t>والمشيري</w:t>
      </w:r>
      <w:r w:rsidR="00EC7EDF" w:rsidRPr="00FD211F">
        <w:rPr>
          <w:sz w:val="36"/>
          <w:szCs w:val="36"/>
          <w:rtl/>
        </w:rPr>
        <w:t xml:space="preserve">ة </w:t>
      </w:r>
      <w:r w:rsidR="00052BF2" w:rsidRPr="00FD211F">
        <w:rPr>
          <w:sz w:val="36"/>
          <w:szCs w:val="36"/>
          <w:rtl/>
        </w:rPr>
        <w:t>الى تعلق الحكم الشرعي بسببه</w:t>
      </w:r>
      <w:r w:rsidR="00603323" w:rsidRPr="00FD211F">
        <w:rPr>
          <w:sz w:val="36"/>
          <w:szCs w:val="36"/>
          <w:rtl/>
        </w:rPr>
        <w:t xml:space="preserve">، </w:t>
      </w:r>
      <w:r w:rsidR="00052BF2" w:rsidRPr="00FD211F">
        <w:rPr>
          <w:sz w:val="36"/>
          <w:szCs w:val="36"/>
          <w:rtl/>
        </w:rPr>
        <w:t>فان مجرد كون بيان اسبابه بعهد</w:t>
      </w:r>
      <w:r w:rsidR="00EC7EDF" w:rsidRPr="00FD211F">
        <w:rPr>
          <w:sz w:val="36"/>
          <w:szCs w:val="36"/>
          <w:rtl/>
        </w:rPr>
        <w:t xml:space="preserve">ة </w:t>
      </w:r>
      <w:r w:rsidR="00052BF2" w:rsidRPr="00FD211F">
        <w:rPr>
          <w:sz w:val="36"/>
          <w:szCs w:val="36"/>
          <w:rtl/>
        </w:rPr>
        <w:t>الشارع لايوجب ظهور الخطاب في جعل تلك الاسباب بذواتها على عهد</w:t>
      </w:r>
      <w:r w:rsidR="00EC7EDF" w:rsidRPr="00FD211F">
        <w:rPr>
          <w:sz w:val="36"/>
          <w:szCs w:val="36"/>
          <w:rtl/>
        </w:rPr>
        <w:t xml:space="preserve">ة </w:t>
      </w:r>
      <w:r w:rsidR="00052BF2" w:rsidRPr="00FD211F">
        <w:rPr>
          <w:sz w:val="36"/>
          <w:szCs w:val="36"/>
          <w:rtl/>
        </w:rPr>
        <w:t>المكلف</w:t>
      </w:r>
      <w:r w:rsidR="00052BF2" w:rsidRPr="00FD211F">
        <w:rPr>
          <w:sz w:val="36"/>
          <w:szCs w:val="36"/>
          <w:rtl/>
          <w:lang w:val="en-GB"/>
        </w:rPr>
        <w:t>.</w:t>
      </w:r>
    </w:p>
    <w:p w14:paraId="7A3D7B9A" w14:textId="77777777" w:rsidR="00A92A1D" w:rsidRPr="00FD211F" w:rsidRDefault="00052BF2" w:rsidP="009C58C8">
      <w:pPr>
        <w:ind w:left="0" w:firstLine="227"/>
        <w:jc w:val="both"/>
        <w:rPr>
          <w:sz w:val="36"/>
          <w:szCs w:val="36"/>
          <w:rtl/>
        </w:rPr>
      </w:pPr>
      <w:r w:rsidRPr="00FD211F">
        <w:rPr>
          <w:sz w:val="36"/>
          <w:szCs w:val="36"/>
          <w:rtl/>
        </w:rPr>
        <w:t>و</w:t>
      </w:r>
      <w:r w:rsidR="00A92A1D" w:rsidRPr="00FD211F">
        <w:rPr>
          <w:sz w:val="36"/>
          <w:szCs w:val="36"/>
          <w:rtl/>
        </w:rPr>
        <w:t xml:space="preserve">لايتم </w:t>
      </w:r>
      <w:r w:rsidRPr="00FD211F">
        <w:rPr>
          <w:sz w:val="36"/>
          <w:szCs w:val="36"/>
          <w:rtl/>
        </w:rPr>
        <w:t>دعوى ان تحقق المسبب ليس باختيار المكلف</w:t>
      </w:r>
      <w:r w:rsidR="00603323" w:rsidRPr="00FD211F">
        <w:rPr>
          <w:sz w:val="36"/>
          <w:szCs w:val="36"/>
          <w:rtl/>
        </w:rPr>
        <w:t xml:space="preserve">، </w:t>
      </w:r>
      <w:r w:rsidRPr="00FD211F">
        <w:rPr>
          <w:sz w:val="36"/>
          <w:szCs w:val="36"/>
          <w:rtl/>
        </w:rPr>
        <w:t>وانما الذي يكون تحت اختياره هو ايجاد موضوعه</w:t>
      </w:r>
      <w:r w:rsidR="00603323" w:rsidRPr="00FD211F">
        <w:rPr>
          <w:sz w:val="36"/>
          <w:szCs w:val="36"/>
          <w:rtl/>
        </w:rPr>
        <w:t xml:space="preserve">، </w:t>
      </w:r>
      <w:r w:rsidRPr="00FD211F">
        <w:rPr>
          <w:sz w:val="36"/>
          <w:szCs w:val="36"/>
          <w:rtl/>
        </w:rPr>
        <w:t xml:space="preserve">فلابد من تعلق </w:t>
      </w:r>
      <w:r w:rsidR="001B3112" w:rsidRPr="00FD211F">
        <w:rPr>
          <w:sz w:val="36"/>
          <w:szCs w:val="36"/>
          <w:rtl/>
        </w:rPr>
        <w:t>الأمر</w:t>
      </w:r>
      <w:r w:rsidRPr="00FD211F">
        <w:rPr>
          <w:sz w:val="36"/>
          <w:szCs w:val="36"/>
          <w:rtl/>
        </w:rPr>
        <w:t xml:space="preserve"> به</w:t>
      </w:r>
      <w:r w:rsidR="00A92A1D" w:rsidRPr="00FD211F">
        <w:rPr>
          <w:sz w:val="36"/>
          <w:szCs w:val="36"/>
          <w:rtl/>
        </w:rPr>
        <w:t>.</w:t>
      </w:r>
    </w:p>
    <w:p w14:paraId="23BBCE17" w14:textId="77777777" w:rsidR="00052BF2" w:rsidRPr="00FD211F" w:rsidRDefault="00A92A1D" w:rsidP="009C58C8">
      <w:pPr>
        <w:ind w:left="0" w:firstLine="227"/>
        <w:jc w:val="both"/>
        <w:rPr>
          <w:sz w:val="36"/>
          <w:szCs w:val="36"/>
          <w:rtl/>
        </w:rPr>
      </w:pPr>
      <w:r w:rsidRPr="00FD211F">
        <w:rPr>
          <w:sz w:val="36"/>
          <w:szCs w:val="36"/>
          <w:rtl/>
        </w:rPr>
        <w:t>وذلك لأن</w:t>
      </w:r>
      <w:r w:rsidR="00052BF2" w:rsidRPr="00FD211F">
        <w:rPr>
          <w:sz w:val="36"/>
          <w:szCs w:val="36"/>
          <w:rtl/>
        </w:rPr>
        <w:t xml:space="preserve"> </w:t>
      </w:r>
      <w:r w:rsidRPr="00FD211F">
        <w:rPr>
          <w:sz w:val="36"/>
          <w:szCs w:val="36"/>
          <w:rtl/>
        </w:rPr>
        <w:t>ايجاد الحكم الشرعي الفعلي مقدور</w:t>
      </w:r>
      <w:r w:rsidR="00052BF2" w:rsidRPr="00FD211F">
        <w:rPr>
          <w:sz w:val="36"/>
          <w:szCs w:val="36"/>
          <w:rtl/>
        </w:rPr>
        <w:t xml:space="preserve"> للمكلف بواسط</w:t>
      </w:r>
      <w:r w:rsidR="00EC7EDF" w:rsidRPr="00FD211F">
        <w:rPr>
          <w:sz w:val="36"/>
          <w:szCs w:val="36"/>
          <w:rtl/>
        </w:rPr>
        <w:t xml:space="preserve">ة </w:t>
      </w:r>
      <w:r w:rsidR="00052BF2" w:rsidRPr="00FD211F">
        <w:rPr>
          <w:sz w:val="36"/>
          <w:szCs w:val="36"/>
          <w:rtl/>
        </w:rPr>
        <w:t>قدر</w:t>
      </w:r>
      <w:r w:rsidRPr="00FD211F">
        <w:rPr>
          <w:sz w:val="36"/>
          <w:szCs w:val="36"/>
          <w:rtl/>
        </w:rPr>
        <w:t>ته</w:t>
      </w:r>
      <w:r w:rsidR="00EC7EDF" w:rsidRPr="00FD211F">
        <w:rPr>
          <w:sz w:val="36"/>
          <w:szCs w:val="36"/>
          <w:rtl/>
        </w:rPr>
        <w:t xml:space="preserve"> </w:t>
      </w:r>
      <w:r w:rsidR="00052BF2" w:rsidRPr="00FD211F">
        <w:rPr>
          <w:sz w:val="36"/>
          <w:szCs w:val="36"/>
          <w:rtl/>
        </w:rPr>
        <w:t>على اي</w:t>
      </w:r>
      <w:r w:rsidRPr="00FD211F">
        <w:rPr>
          <w:sz w:val="36"/>
          <w:szCs w:val="36"/>
          <w:rtl/>
        </w:rPr>
        <w:t>جاد موضوعه</w:t>
      </w:r>
      <w:r w:rsidR="00052BF2" w:rsidRPr="00FD211F">
        <w:rPr>
          <w:sz w:val="36"/>
          <w:szCs w:val="36"/>
          <w:rtl/>
        </w:rPr>
        <w:t xml:space="preserve"> بعد الفراغ عن </w:t>
      </w:r>
      <w:r w:rsidR="00E846A4" w:rsidRPr="00FD211F">
        <w:rPr>
          <w:sz w:val="36"/>
          <w:szCs w:val="36"/>
          <w:rtl/>
        </w:rPr>
        <w:t xml:space="preserve">تحقق </w:t>
      </w:r>
      <w:r w:rsidR="00052BF2" w:rsidRPr="00FD211F">
        <w:rPr>
          <w:sz w:val="36"/>
          <w:szCs w:val="36"/>
          <w:rtl/>
        </w:rPr>
        <w:t>الجعل الشرعي الكلي</w:t>
      </w:r>
      <w:r w:rsidR="00E846A4" w:rsidRPr="00FD211F">
        <w:rPr>
          <w:sz w:val="36"/>
          <w:szCs w:val="36"/>
          <w:rtl/>
        </w:rPr>
        <w:t xml:space="preserve"> والمقدور مع الواسطة مقدور</w:t>
      </w:r>
      <w:r w:rsidR="00603323" w:rsidRPr="00FD211F">
        <w:rPr>
          <w:sz w:val="36"/>
          <w:szCs w:val="36"/>
          <w:rtl/>
        </w:rPr>
        <w:t xml:space="preserve">، </w:t>
      </w:r>
      <w:r w:rsidR="00052BF2" w:rsidRPr="00FD211F">
        <w:rPr>
          <w:sz w:val="36"/>
          <w:szCs w:val="36"/>
          <w:rtl/>
        </w:rPr>
        <w:t>مضافا الى ان غايته كون مآله الى الأمر بايجاد سبب الطهار</w:t>
      </w:r>
      <w:r w:rsidR="00EC7EDF" w:rsidRPr="00FD211F">
        <w:rPr>
          <w:sz w:val="36"/>
          <w:szCs w:val="36"/>
          <w:rtl/>
        </w:rPr>
        <w:t xml:space="preserve">ة </w:t>
      </w:r>
      <w:r w:rsidR="00052BF2" w:rsidRPr="00FD211F">
        <w:rPr>
          <w:sz w:val="36"/>
          <w:szCs w:val="36"/>
          <w:rtl/>
        </w:rPr>
        <w:t>او الزوجي</w:t>
      </w:r>
      <w:r w:rsidR="00EC7EDF" w:rsidRPr="00FD211F">
        <w:rPr>
          <w:sz w:val="36"/>
          <w:szCs w:val="36"/>
          <w:rtl/>
        </w:rPr>
        <w:t xml:space="preserve">ة </w:t>
      </w:r>
      <w:r w:rsidR="00052BF2" w:rsidRPr="00FD211F">
        <w:rPr>
          <w:sz w:val="36"/>
          <w:szCs w:val="36"/>
          <w:rtl/>
        </w:rPr>
        <w:t>الشرعي</w:t>
      </w:r>
      <w:r w:rsidR="00EC7EDF" w:rsidRPr="00FD211F">
        <w:rPr>
          <w:sz w:val="36"/>
          <w:szCs w:val="36"/>
          <w:rtl/>
        </w:rPr>
        <w:t>ة</w:t>
      </w:r>
      <w:r w:rsidR="00603323" w:rsidRPr="00FD211F">
        <w:rPr>
          <w:sz w:val="36"/>
          <w:szCs w:val="36"/>
          <w:rtl/>
        </w:rPr>
        <w:t xml:space="preserve">، </w:t>
      </w:r>
      <w:r w:rsidR="00052BF2" w:rsidRPr="00FD211F">
        <w:rPr>
          <w:sz w:val="36"/>
          <w:szCs w:val="36"/>
          <w:rtl/>
        </w:rPr>
        <w:t>ويلزم فيه الاحتياط ايضا بعد كون الأمر متعلقا بالأمر الانتزاعي.</w:t>
      </w:r>
    </w:p>
    <w:p w14:paraId="76DE07AB" w14:textId="77777777" w:rsidR="00052BF2" w:rsidRPr="00FD211F" w:rsidRDefault="00052BF2" w:rsidP="009C58C8">
      <w:pPr>
        <w:ind w:left="0" w:firstLine="227"/>
        <w:jc w:val="both"/>
        <w:rPr>
          <w:sz w:val="36"/>
          <w:szCs w:val="36"/>
          <w:rtl/>
        </w:rPr>
      </w:pPr>
      <w:r w:rsidRPr="00FD211F">
        <w:rPr>
          <w:sz w:val="36"/>
          <w:szCs w:val="36"/>
          <w:rtl/>
        </w:rPr>
        <w:t xml:space="preserve">وبذلك يظهر الاشكال فيما ذكره شيخنا الاستاذ </w:t>
      </w:r>
      <w:r w:rsidR="004068D0" w:rsidRPr="00FD211F">
        <w:rPr>
          <w:sz w:val="36"/>
          <w:szCs w:val="36"/>
          <w:rtl/>
        </w:rPr>
        <w:t>"</w:t>
      </w:r>
      <w:r w:rsidRPr="00FD211F">
        <w:rPr>
          <w:sz w:val="36"/>
          <w:szCs w:val="36"/>
          <w:rtl/>
        </w:rPr>
        <w:t>قده</w:t>
      </w:r>
      <w:r w:rsidR="004068D0" w:rsidRPr="00FD211F">
        <w:rPr>
          <w:sz w:val="36"/>
          <w:szCs w:val="36"/>
          <w:rtl/>
        </w:rPr>
        <w:t>" من انه اذا تعلق الأمر بالمسبب</w:t>
      </w:r>
      <w:r w:rsidRPr="00FD211F">
        <w:rPr>
          <w:sz w:val="36"/>
          <w:szCs w:val="36"/>
          <w:rtl/>
        </w:rPr>
        <w:t xml:space="preserve"> الشرعي فيكون ظاه</w:t>
      </w:r>
      <w:r w:rsidR="004068D0" w:rsidRPr="00FD211F">
        <w:rPr>
          <w:sz w:val="36"/>
          <w:szCs w:val="36"/>
          <w:rtl/>
        </w:rPr>
        <w:t>را في تعلق التكليف بسببه</w:t>
      </w:r>
      <w:r w:rsidR="00603323" w:rsidRPr="00FD211F">
        <w:rPr>
          <w:sz w:val="36"/>
          <w:szCs w:val="36"/>
          <w:rtl/>
        </w:rPr>
        <w:t xml:space="preserve">، </w:t>
      </w:r>
      <w:r w:rsidRPr="00FD211F">
        <w:rPr>
          <w:sz w:val="36"/>
          <w:szCs w:val="36"/>
          <w:rtl/>
        </w:rPr>
        <w:t>فان التكليف لايتعلق بالحكم الشرعي وانما يتعلق بما هو فعل المكلف</w:t>
      </w:r>
      <w:r w:rsidR="00603323" w:rsidRPr="00FD211F">
        <w:rPr>
          <w:sz w:val="36"/>
          <w:szCs w:val="36"/>
          <w:rtl/>
        </w:rPr>
        <w:t xml:space="preserve">، </w:t>
      </w:r>
      <w:r w:rsidRPr="00FD211F">
        <w:rPr>
          <w:sz w:val="36"/>
          <w:szCs w:val="36"/>
          <w:rtl/>
        </w:rPr>
        <w:t>واما اذا تعلق حكم وضعي به او كان شرطا لمتعلق التكليف كالطهار</w:t>
      </w:r>
      <w:r w:rsidR="00EC7EDF" w:rsidRPr="00FD211F">
        <w:rPr>
          <w:sz w:val="36"/>
          <w:szCs w:val="36"/>
          <w:rtl/>
        </w:rPr>
        <w:t xml:space="preserve">ة </w:t>
      </w:r>
      <w:r w:rsidRPr="00FD211F">
        <w:rPr>
          <w:sz w:val="36"/>
          <w:szCs w:val="36"/>
          <w:rtl/>
        </w:rPr>
        <w:t>التي تكون شرطا للصلا</w:t>
      </w:r>
      <w:r w:rsidR="00EC7EDF" w:rsidRPr="00FD211F">
        <w:rPr>
          <w:sz w:val="36"/>
          <w:szCs w:val="36"/>
          <w:rtl/>
        </w:rPr>
        <w:t xml:space="preserve">ة </w:t>
      </w:r>
      <w:r w:rsidRPr="00FD211F">
        <w:rPr>
          <w:sz w:val="36"/>
          <w:szCs w:val="36"/>
          <w:rtl/>
        </w:rPr>
        <w:t xml:space="preserve">فلامحذور فيه بعد عدم تعلق </w:t>
      </w:r>
      <w:r w:rsidR="001B3112" w:rsidRPr="00FD211F">
        <w:rPr>
          <w:sz w:val="36"/>
          <w:szCs w:val="36"/>
          <w:rtl/>
        </w:rPr>
        <w:t>الأمر</w:t>
      </w:r>
      <w:r w:rsidRPr="00FD211F">
        <w:rPr>
          <w:sz w:val="36"/>
          <w:szCs w:val="36"/>
          <w:rtl/>
        </w:rPr>
        <w:t xml:space="preserve"> الشرعي بنفس ذلك المحصل الشرعي</w:t>
      </w:r>
      <w:r w:rsidR="009C58C8" w:rsidRPr="00FD211F">
        <w:rPr>
          <w:rStyle w:val="a6"/>
          <w:sz w:val="36"/>
          <w:szCs w:val="36"/>
          <w:rtl/>
        </w:rPr>
        <w:t>(</w:t>
      </w:r>
      <w:r w:rsidR="009C58C8" w:rsidRPr="00FD211F">
        <w:rPr>
          <w:rStyle w:val="a6"/>
          <w:sz w:val="36"/>
          <w:szCs w:val="36"/>
          <w:rtl/>
        </w:rPr>
        <w:footnoteReference w:id="418"/>
      </w:r>
      <w:r w:rsidR="009C58C8" w:rsidRPr="00FD211F">
        <w:rPr>
          <w:rStyle w:val="a6"/>
          <w:sz w:val="36"/>
          <w:szCs w:val="36"/>
          <w:rtl/>
        </w:rPr>
        <w:t>)</w:t>
      </w:r>
      <w:r w:rsidR="00603323" w:rsidRPr="00FD211F">
        <w:rPr>
          <w:sz w:val="36"/>
          <w:szCs w:val="36"/>
          <w:rtl/>
        </w:rPr>
        <w:t xml:space="preserve">، </w:t>
      </w:r>
      <w:r w:rsidRPr="00FD211F">
        <w:rPr>
          <w:sz w:val="36"/>
          <w:szCs w:val="36"/>
          <w:rtl/>
        </w:rPr>
        <w:t xml:space="preserve">فانه قد مرّ عدم محذور في تعلق </w:t>
      </w:r>
      <w:r w:rsidR="001B3112" w:rsidRPr="00FD211F">
        <w:rPr>
          <w:sz w:val="36"/>
          <w:szCs w:val="36"/>
          <w:rtl/>
        </w:rPr>
        <w:t>الأمر</w:t>
      </w:r>
      <w:r w:rsidRPr="00FD211F">
        <w:rPr>
          <w:sz w:val="36"/>
          <w:szCs w:val="36"/>
          <w:rtl/>
        </w:rPr>
        <w:t xml:space="preserve"> الشرعي بايجاد الحكم الشرعي الفعلي</w:t>
      </w:r>
      <w:r w:rsidR="00603323" w:rsidRPr="00FD211F">
        <w:rPr>
          <w:sz w:val="36"/>
          <w:szCs w:val="36"/>
          <w:rtl/>
        </w:rPr>
        <w:t xml:space="preserve">، </w:t>
      </w:r>
      <w:r w:rsidRPr="00FD211F">
        <w:rPr>
          <w:sz w:val="36"/>
          <w:szCs w:val="36"/>
          <w:rtl/>
        </w:rPr>
        <w:t>كما لو قال المولى</w:t>
      </w:r>
      <w:r w:rsidR="00E846A4" w:rsidRPr="00FD211F">
        <w:rPr>
          <w:sz w:val="36"/>
          <w:szCs w:val="36"/>
          <w:rtl/>
        </w:rPr>
        <w:t>"</w:t>
      </w:r>
      <w:r w:rsidRPr="00FD211F">
        <w:rPr>
          <w:sz w:val="36"/>
          <w:szCs w:val="36"/>
          <w:rtl/>
        </w:rPr>
        <w:t>أوجد الطهار</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للمسجد</w:t>
      </w:r>
      <w:r w:rsidR="00E846A4" w:rsidRPr="00FD211F">
        <w:rPr>
          <w:sz w:val="36"/>
          <w:szCs w:val="36"/>
          <w:rtl/>
        </w:rPr>
        <w:t>"</w:t>
      </w:r>
      <w:r w:rsidRPr="00FD211F">
        <w:rPr>
          <w:sz w:val="36"/>
          <w:szCs w:val="36"/>
          <w:rtl/>
        </w:rPr>
        <w:t xml:space="preserve"> او قال </w:t>
      </w:r>
      <w:r w:rsidR="00E846A4" w:rsidRPr="00FD211F">
        <w:rPr>
          <w:sz w:val="36"/>
          <w:szCs w:val="36"/>
          <w:rtl/>
        </w:rPr>
        <w:t>"</w:t>
      </w:r>
      <w:r w:rsidRPr="00FD211F">
        <w:rPr>
          <w:sz w:val="36"/>
          <w:szCs w:val="36"/>
          <w:rtl/>
        </w:rPr>
        <w:t>أوجد الزوجي</w:t>
      </w:r>
      <w:r w:rsidR="00EC7EDF" w:rsidRPr="00FD211F">
        <w:rPr>
          <w:sz w:val="36"/>
          <w:szCs w:val="36"/>
          <w:rtl/>
        </w:rPr>
        <w:t xml:space="preserve">ة </w:t>
      </w:r>
      <w:r w:rsidRPr="00FD211F">
        <w:rPr>
          <w:sz w:val="36"/>
          <w:szCs w:val="36"/>
          <w:rtl/>
        </w:rPr>
        <w:t>الشرعي</w:t>
      </w:r>
      <w:r w:rsidR="00EC7EDF" w:rsidRPr="00FD211F">
        <w:rPr>
          <w:sz w:val="36"/>
          <w:szCs w:val="36"/>
          <w:rtl/>
        </w:rPr>
        <w:t>ة</w:t>
      </w:r>
      <w:r w:rsidR="00E846A4" w:rsidRPr="00FD211F">
        <w:rPr>
          <w:sz w:val="36"/>
          <w:szCs w:val="36"/>
          <w:rtl/>
        </w:rPr>
        <w:t>"</w:t>
      </w:r>
      <w:r w:rsidRPr="00FD211F">
        <w:rPr>
          <w:sz w:val="36"/>
          <w:szCs w:val="36"/>
          <w:rtl/>
        </w:rPr>
        <w:t xml:space="preserve"> فانه مقدور بواسط</w:t>
      </w:r>
      <w:r w:rsidR="00EC7EDF" w:rsidRPr="00FD211F">
        <w:rPr>
          <w:sz w:val="36"/>
          <w:szCs w:val="36"/>
          <w:rtl/>
        </w:rPr>
        <w:t xml:space="preserve">ة </w:t>
      </w:r>
      <w:r w:rsidRPr="00FD211F">
        <w:rPr>
          <w:sz w:val="36"/>
          <w:szCs w:val="36"/>
          <w:rtl/>
        </w:rPr>
        <w:t>القدر</w:t>
      </w:r>
      <w:r w:rsidR="00EC7EDF" w:rsidRPr="00FD211F">
        <w:rPr>
          <w:sz w:val="36"/>
          <w:szCs w:val="36"/>
          <w:rtl/>
        </w:rPr>
        <w:t xml:space="preserve">ة </w:t>
      </w:r>
      <w:r w:rsidRPr="00FD211F">
        <w:rPr>
          <w:sz w:val="36"/>
          <w:szCs w:val="36"/>
          <w:rtl/>
        </w:rPr>
        <w:t>على ايجاد موضوعه</w:t>
      </w:r>
      <w:r w:rsidR="00603323" w:rsidRPr="00FD211F">
        <w:rPr>
          <w:sz w:val="36"/>
          <w:szCs w:val="36"/>
          <w:rtl/>
        </w:rPr>
        <w:t xml:space="preserve">، </w:t>
      </w:r>
      <w:r w:rsidRPr="00FD211F">
        <w:rPr>
          <w:sz w:val="36"/>
          <w:szCs w:val="36"/>
          <w:rtl/>
        </w:rPr>
        <w:t>والمقدور مع الواسط</w:t>
      </w:r>
      <w:r w:rsidR="00EC7EDF" w:rsidRPr="00FD211F">
        <w:rPr>
          <w:sz w:val="36"/>
          <w:szCs w:val="36"/>
          <w:rtl/>
        </w:rPr>
        <w:t xml:space="preserve">ة </w:t>
      </w:r>
      <w:r w:rsidRPr="00FD211F">
        <w:rPr>
          <w:sz w:val="36"/>
          <w:szCs w:val="36"/>
          <w:rtl/>
        </w:rPr>
        <w:t>مقدور.</w:t>
      </w:r>
    </w:p>
    <w:p w14:paraId="3ED9179E" w14:textId="77777777" w:rsidR="00052BF2" w:rsidRPr="00FD211F" w:rsidRDefault="001340C7" w:rsidP="009C58C8">
      <w:pPr>
        <w:ind w:left="0" w:firstLine="227"/>
        <w:jc w:val="both"/>
        <w:rPr>
          <w:sz w:val="36"/>
          <w:szCs w:val="36"/>
          <w:rtl/>
        </w:rPr>
      </w:pPr>
      <w:r w:rsidRPr="00FD211F">
        <w:rPr>
          <w:b/>
          <w:bCs/>
          <w:sz w:val="36"/>
          <w:szCs w:val="36"/>
          <w:rtl/>
        </w:rPr>
        <w:t>الخامس</w:t>
      </w:r>
      <w:r w:rsidR="00EC7EDF" w:rsidRPr="00FD211F">
        <w:rPr>
          <w:b/>
          <w:bCs/>
          <w:sz w:val="36"/>
          <w:szCs w:val="36"/>
          <w:rtl/>
        </w:rPr>
        <w:t>ة</w:t>
      </w:r>
      <w:r w:rsidR="00057D31" w:rsidRPr="00FD211F">
        <w:rPr>
          <w:b/>
          <w:bCs/>
          <w:sz w:val="36"/>
          <w:szCs w:val="36"/>
          <w:rtl/>
        </w:rPr>
        <w:t>:</w:t>
      </w:r>
      <w:r w:rsidR="00052BF2" w:rsidRPr="00FD211F">
        <w:rPr>
          <w:sz w:val="36"/>
          <w:szCs w:val="36"/>
          <w:rtl/>
        </w:rPr>
        <w:t xml:space="preserve"> ان ما ذكره في البحوث </w:t>
      </w:r>
      <w:r w:rsidR="00E846A4" w:rsidRPr="00FD211F">
        <w:rPr>
          <w:sz w:val="36"/>
          <w:szCs w:val="36"/>
          <w:rtl/>
        </w:rPr>
        <w:t>كمثال</w:t>
      </w:r>
      <w:r w:rsidR="00052BF2" w:rsidRPr="00FD211F">
        <w:rPr>
          <w:sz w:val="36"/>
          <w:szCs w:val="36"/>
          <w:rtl/>
        </w:rPr>
        <w:t xml:space="preserve"> للأمر الاعتباري العقلي </w:t>
      </w:r>
      <w:r w:rsidR="00E846A4" w:rsidRPr="00FD211F">
        <w:rPr>
          <w:sz w:val="36"/>
          <w:szCs w:val="36"/>
          <w:rtl/>
        </w:rPr>
        <w:t>وهو</w:t>
      </w:r>
      <w:r w:rsidR="00052BF2" w:rsidRPr="00FD211F">
        <w:rPr>
          <w:sz w:val="36"/>
          <w:szCs w:val="36"/>
          <w:rtl/>
        </w:rPr>
        <w:t xml:space="preserve"> </w:t>
      </w:r>
      <w:r w:rsidR="001B3112" w:rsidRPr="00FD211F">
        <w:rPr>
          <w:sz w:val="36"/>
          <w:szCs w:val="36"/>
          <w:rtl/>
        </w:rPr>
        <w:t>الأمر</w:t>
      </w:r>
      <w:r w:rsidR="00052BF2" w:rsidRPr="00FD211F">
        <w:rPr>
          <w:sz w:val="36"/>
          <w:szCs w:val="36"/>
          <w:rtl/>
        </w:rPr>
        <w:t xml:space="preserve"> باحدهما</w:t>
      </w:r>
      <w:r w:rsidR="00603323" w:rsidRPr="00FD211F">
        <w:rPr>
          <w:sz w:val="36"/>
          <w:szCs w:val="36"/>
          <w:rtl/>
        </w:rPr>
        <w:t xml:space="preserve">، </w:t>
      </w:r>
      <w:r w:rsidR="00052BF2" w:rsidRPr="00FD211F">
        <w:rPr>
          <w:sz w:val="36"/>
          <w:szCs w:val="36"/>
          <w:rtl/>
        </w:rPr>
        <w:t>فالظاهر انه صدر</w:t>
      </w:r>
      <w:r w:rsidR="00E846A4" w:rsidRPr="00FD211F">
        <w:rPr>
          <w:sz w:val="36"/>
          <w:szCs w:val="36"/>
          <w:rtl/>
        </w:rPr>
        <w:t xml:space="preserve">منه </w:t>
      </w:r>
      <w:r w:rsidR="00052BF2" w:rsidRPr="00FD211F">
        <w:rPr>
          <w:sz w:val="36"/>
          <w:szCs w:val="36"/>
          <w:rtl/>
        </w:rPr>
        <w:t>سهوا</w:t>
      </w:r>
      <w:r w:rsidR="00603323" w:rsidRPr="00FD211F">
        <w:rPr>
          <w:sz w:val="36"/>
          <w:szCs w:val="36"/>
          <w:rtl/>
        </w:rPr>
        <w:t xml:space="preserve">، </w:t>
      </w:r>
      <w:r w:rsidR="00052BF2" w:rsidRPr="00FD211F">
        <w:rPr>
          <w:sz w:val="36"/>
          <w:szCs w:val="36"/>
          <w:rtl/>
        </w:rPr>
        <w:t xml:space="preserve">فانه </w:t>
      </w:r>
      <w:r w:rsidR="007974F6" w:rsidRPr="00FD211F">
        <w:rPr>
          <w:sz w:val="36"/>
          <w:szCs w:val="36"/>
          <w:rtl/>
        </w:rPr>
        <w:t xml:space="preserve">لو قال المولى </w:t>
      </w:r>
      <w:r w:rsidR="00E846A4" w:rsidRPr="00FD211F">
        <w:rPr>
          <w:sz w:val="36"/>
          <w:szCs w:val="36"/>
          <w:rtl/>
        </w:rPr>
        <w:t>"</w:t>
      </w:r>
      <w:r w:rsidR="007974F6" w:rsidRPr="00FD211F">
        <w:rPr>
          <w:sz w:val="36"/>
          <w:szCs w:val="36"/>
          <w:rtl/>
        </w:rPr>
        <w:t>صل او صم</w:t>
      </w:r>
      <w:r w:rsidR="00E846A4" w:rsidRPr="00FD211F">
        <w:rPr>
          <w:sz w:val="36"/>
          <w:szCs w:val="36"/>
          <w:rtl/>
        </w:rPr>
        <w:t>"</w:t>
      </w:r>
      <w:r w:rsidR="007974F6" w:rsidRPr="00FD211F">
        <w:rPr>
          <w:sz w:val="36"/>
          <w:szCs w:val="36"/>
          <w:rtl/>
        </w:rPr>
        <w:t xml:space="preserve"> وشك في تقيد الص</w:t>
      </w:r>
      <w:r w:rsidR="0023608C" w:rsidRPr="00FD211F">
        <w:rPr>
          <w:sz w:val="36"/>
          <w:szCs w:val="36"/>
          <w:rtl/>
        </w:rPr>
        <w:t>وم</w:t>
      </w:r>
      <w:r w:rsidR="007974F6" w:rsidRPr="00FD211F">
        <w:rPr>
          <w:sz w:val="36"/>
          <w:szCs w:val="36"/>
          <w:rtl/>
        </w:rPr>
        <w:t xml:space="preserve"> مثلا</w:t>
      </w:r>
      <w:r w:rsidR="0023608C" w:rsidRPr="00FD211F">
        <w:rPr>
          <w:sz w:val="36"/>
          <w:szCs w:val="36"/>
          <w:rtl/>
        </w:rPr>
        <w:t xml:space="preserve"> بقيد زائد</w:t>
      </w:r>
      <w:r w:rsidR="007974F6" w:rsidRPr="00FD211F">
        <w:rPr>
          <w:sz w:val="36"/>
          <w:szCs w:val="36"/>
          <w:rtl/>
        </w:rPr>
        <w:t xml:space="preserve"> </w:t>
      </w:r>
      <w:r w:rsidR="00052BF2" w:rsidRPr="00FD211F">
        <w:rPr>
          <w:sz w:val="36"/>
          <w:szCs w:val="36"/>
          <w:rtl/>
        </w:rPr>
        <w:t>فمن الواضح جريان الب</w:t>
      </w:r>
      <w:r w:rsidR="008D7B3D" w:rsidRPr="00FD211F">
        <w:rPr>
          <w:sz w:val="36"/>
          <w:szCs w:val="36"/>
          <w:rtl/>
        </w:rPr>
        <w:t>راءة</w:t>
      </w:r>
      <w:r w:rsidR="00EC7EDF" w:rsidRPr="00FD211F">
        <w:rPr>
          <w:sz w:val="36"/>
          <w:szCs w:val="36"/>
          <w:rtl/>
        </w:rPr>
        <w:t xml:space="preserve"> </w:t>
      </w:r>
      <w:r w:rsidR="00052BF2" w:rsidRPr="00FD211F">
        <w:rPr>
          <w:sz w:val="36"/>
          <w:szCs w:val="36"/>
          <w:rtl/>
        </w:rPr>
        <w:t>فيه</w:t>
      </w:r>
      <w:r w:rsidR="00E846A4" w:rsidRPr="00FD211F">
        <w:rPr>
          <w:sz w:val="36"/>
          <w:szCs w:val="36"/>
          <w:rtl/>
        </w:rPr>
        <w:t xml:space="preserve"> مع أن متعلق الوجوب في الواجب التخييري عنوان أحدهما</w:t>
      </w:r>
      <w:r w:rsidR="00603323" w:rsidRPr="00FD211F">
        <w:rPr>
          <w:sz w:val="36"/>
          <w:szCs w:val="36"/>
          <w:rtl/>
        </w:rPr>
        <w:t xml:space="preserve">، </w:t>
      </w:r>
      <w:r w:rsidR="0090539D" w:rsidRPr="00FD211F">
        <w:rPr>
          <w:sz w:val="36"/>
          <w:szCs w:val="36"/>
          <w:rtl/>
        </w:rPr>
        <w:t xml:space="preserve">لأنه </w:t>
      </w:r>
      <w:r w:rsidR="00052BF2" w:rsidRPr="00FD211F">
        <w:rPr>
          <w:sz w:val="36"/>
          <w:szCs w:val="36"/>
          <w:rtl/>
        </w:rPr>
        <w:t>ليس هذا</w:t>
      </w:r>
      <w:r w:rsidR="0090539D" w:rsidRPr="00FD211F">
        <w:rPr>
          <w:sz w:val="36"/>
          <w:szCs w:val="36"/>
          <w:rtl/>
        </w:rPr>
        <w:t xml:space="preserve"> العنوان مسببا أبدا</w:t>
      </w:r>
      <w:r w:rsidR="00052BF2" w:rsidRPr="00FD211F">
        <w:rPr>
          <w:sz w:val="36"/>
          <w:szCs w:val="36"/>
          <w:rtl/>
        </w:rPr>
        <w:t>.</w:t>
      </w:r>
    </w:p>
    <w:p w14:paraId="296BE2D7" w14:textId="77777777" w:rsidR="00052BF2" w:rsidRPr="00FD211F" w:rsidRDefault="001340C7" w:rsidP="009C58C8">
      <w:pPr>
        <w:ind w:left="0" w:firstLine="227"/>
        <w:jc w:val="both"/>
        <w:rPr>
          <w:sz w:val="36"/>
          <w:szCs w:val="36"/>
          <w:rtl/>
        </w:rPr>
      </w:pPr>
      <w:bookmarkStart w:id="383" w:name="خروج2"/>
      <w:bookmarkStart w:id="384" w:name="مشكلةجريان_البرائة"/>
      <w:bookmarkEnd w:id="383"/>
      <w:bookmarkEnd w:id="384"/>
      <w:r w:rsidRPr="00FD211F">
        <w:rPr>
          <w:b/>
          <w:bCs/>
          <w:sz w:val="36"/>
          <w:szCs w:val="36"/>
          <w:rtl/>
        </w:rPr>
        <w:t>الساد</w:t>
      </w:r>
      <w:r w:rsidR="00052BF2" w:rsidRPr="00FD211F">
        <w:rPr>
          <w:b/>
          <w:bCs/>
          <w:sz w:val="36"/>
          <w:szCs w:val="36"/>
          <w:rtl/>
        </w:rPr>
        <w:t>س</w:t>
      </w:r>
      <w:r w:rsidR="00EC7EDF" w:rsidRPr="00FD211F">
        <w:rPr>
          <w:b/>
          <w:bCs/>
          <w:sz w:val="36"/>
          <w:szCs w:val="36"/>
          <w:rtl/>
        </w:rPr>
        <w:t>ة</w:t>
      </w:r>
      <w:r w:rsidR="00057D31" w:rsidRPr="00FD211F">
        <w:rPr>
          <w:b/>
          <w:bCs/>
          <w:sz w:val="36"/>
          <w:szCs w:val="36"/>
          <w:rtl/>
        </w:rPr>
        <w:t>:</w:t>
      </w:r>
      <w:r w:rsidR="00052BF2" w:rsidRPr="00FD211F">
        <w:rPr>
          <w:sz w:val="36"/>
          <w:szCs w:val="36"/>
          <w:rtl/>
        </w:rPr>
        <w:t xml:space="preserve"> إن ما مرّ من جريان الب</w:t>
      </w:r>
      <w:r w:rsidR="008D7B3D" w:rsidRPr="00FD211F">
        <w:rPr>
          <w:sz w:val="36"/>
          <w:szCs w:val="36"/>
          <w:rtl/>
        </w:rPr>
        <w:t>راءة</w:t>
      </w:r>
      <w:r w:rsidR="00EC7EDF" w:rsidRPr="00FD211F">
        <w:rPr>
          <w:sz w:val="36"/>
          <w:szCs w:val="36"/>
          <w:rtl/>
        </w:rPr>
        <w:t xml:space="preserve"> </w:t>
      </w:r>
      <w:r w:rsidR="00052BF2" w:rsidRPr="00FD211F">
        <w:rPr>
          <w:sz w:val="36"/>
          <w:szCs w:val="36"/>
          <w:rtl/>
        </w:rPr>
        <w:t>عند دوران الأمر بين الأقل والأكثر بناء على مسلك الأعمي</w:t>
      </w:r>
      <w:r w:rsidR="00603323" w:rsidRPr="00FD211F">
        <w:rPr>
          <w:sz w:val="36"/>
          <w:szCs w:val="36"/>
          <w:rtl/>
        </w:rPr>
        <w:t xml:space="preserve">، </w:t>
      </w:r>
      <w:r w:rsidR="00052BF2" w:rsidRPr="00FD211F">
        <w:rPr>
          <w:sz w:val="36"/>
          <w:szCs w:val="36"/>
          <w:rtl/>
        </w:rPr>
        <w:t>وكذا على مسلك الصحيحي فيما كان الجامع الصحيحي مركبا أوي</w:t>
      </w:r>
      <w:r w:rsidR="0090539D" w:rsidRPr="00FD211F">
        <w:rPr>
          <w:sz w:val="36"/>
          <w:szCs w:val="36"/>
          <w:rtl/>
        </w:rPr>
        <w:t>ّ</w:t>
      </w:r>
      <w:r w:rsidR="00052BF2" w:rsidRPr="00FD211F">
        <w:rPr>
          <w:sz w:val="36"/>
          <w:szCs w:val="36"/>
          <w:rtl/>
        </w:rPr>
        <w:t>ا</w:t>
      </w:r>
      <w:r w:rsidR="0090539D" w:rsidRPr="00FD211F">
        <w:rPr>
          <w:sz w:val="36"/>
          <w:szCs w:val="36"/>
          <w:rtl/>
        </w:rPr>
        <w:t>ً</w:t>
      </w:r>
      <w:r w:rsidR="00052BF2" w:rsidRPr="00FD211F">
        <w:rPr>
          <w:sz w:val="36"/>
          <w:szCs w:val="36"/>
          <w:rtl/>
        </w:rPr>
        <w:t xml:space="preserve"> انما يتم فيما لو كان متعلقا بالتكليف</w:t>
      </w:r>
      <w:r w:rsidR="00603323" w:rsidRPr="00FD211F">
        <w:rPr>
          <w:sz w:val="36"/>
          <w:szCs w:val="36"/>
          <w:rtl/>
        </w:rPr>
        <w:t xml:space="preserve">، </w:t>
      </w:r>
      <w:r w:rsidR="00052BF2" w:rsidRPr="00FD211F">
        <w:rPr>
          <w:sz w:val="36"/>
          <w:szCs w:val="36"/>
          <w:rtl/>
        </w:rPr>
        <w:t>وأما اذا كان موضوعا لحكم فيشكل الأمر</w:t>
      </w:r>
      <w:r w:rsidR="00603323" w:rsidRPr="00FD211F">
        <w:rPr>
          <w:sz w:val="36"/>
          <w:szCs w:val="36"/>
          <w:rtl/>
        </w:rPr>
        <w:t xml:space="preserve">، </w:t>
      </w:r>
      <w:r w:rsidR="00052BF2" w:rsidRPr="00FD211F">
        <w:rPr>
          <w:sz w:val="36"/>
          <w:szCs w:val="36"/>
          <w:rtl/>
        </w:rPr>
        <w:t>فانه اذا شك في اعتبار جزء او شرط في الوضوء مثلا فبلحاظ الأمر بالوضوء يمكن اجراء البراء</w:t>
      </w:r>
      <w:r w:rsidR="00EC7EDF" w:rsidRPr="00FD211F">
        <w:rPr>
          <w:sz w:val="36"/>
          <w:szCs w:val="36"/>
          <w:rtl/>
        </w:rPr>
        <w:t xml:space="preserve">ة </w:t>
      </w:r>
      <w:r w:rsidR="00052BF2" w:rsidRPr="00FD211F">
        <w:rPr>
          <w:sz w:val="36"/>
          <w:szCs w:val="36"/>
          <w:rtl/>
        </w:rPr>
        <w:t>عن الأكثر أي التقيد بالجزء او الشرط المشكوك</w:t>
      </w:r>
      <w:r w:rsidR="00603323" w:rsidRPr="00FD211F">
        <w:rPr>
          <w:sz w:val="36"/>
          <w:szCs w:val="36"/>
          <w:rtl/>
        </w:rPr>
        <w:t xml:space="preserve">، </w:t>
      </w:r>
      <w:r w:rsidR="00052BF2" w:rsidRPr="00FD211F">
        <w:rPr>
          <w:sz w:val="36"/>
          <w:szCs w:val="36"/>
          <w:rtl/>
        </w:rPr>
        <w:t>وبذلك يكون المكلف معذورا في مخالفته</w:t>
      </w:r>
      <w:r w:rsidR="00603323" w:rsidRPr="00FD211F">
        <w:rPr>
          <w:sz w:val="36"/>
          <w:szCs w:val="36"/>
          <w:rtl/>
        </w:rPr>
        <w:t xml:space="preserve">، </w:t>
      </w:r>
      <w:r w:rsidR="00052BF2" w:rsidRPr="00FD211F">
        <w:rPr>
          <w:sz w:val="36"/>
          <w:szCs w:val="36"/>
          <w:rtl/>
        </w:rPr>
        <w:t>ولكن لايثبت بهذه البراء</w:t>
      </w:r>
      <w:r w:rsidR="00EC7EDF" w:rsidRPr="00FD211F">
        <w:rPr>
          <w:sz w:val="36"/>
          <w:szCs w:val="36"/>
          <w:rtl/>
        </w:rPr>
        <w:t xml:space="preserve">ة </w:t>
      </w:r>
      <w:r w:rsidR="00052BF2" w:rsidRPr="00FD211F">
        <w:rPr>
          <w:sz w:val="36"/>
          <w:szCs w:val="36"/>
          <w:rtl/>
        </w:rPr>
        <w:t>كون الأقل لابشرط متعلقا للحكم</w:t>
      </w:r>
      <w:r w:rsidR="00603323" w:rsidRPr="00FD211F">
        <w:rPr>
          <w:sz w:val="36"/>
          <w:szCs w:val="36"/>
          <w:rtl/>
        </w:rPr>
        <w:t xml:space="preserve">، </w:t>
      </w:r>
      <w:r w:rsidR="00052BF2" w:rsidRPr="00FD211F">
        <w:rPr>
          <w:sz w:val="36"/>
          <w:szCs w:val="36"/>
          <w:rtl/>
        </w:rPr>
        <w:t>وعليه فاذا كان الوضوء موضوعا لحكم</w:t>
      </w:r>
      <w:r w:rsidR="0090539D" w:rsidRPr="00FD211F">
        <w:rPr>
          <w:sz w:val="36"/>
          <w:szCs w:val="36"/>
          <w:rtl/>
        </w:rPr>
        <w:t>ٍ فيشكل اثبات ترتب هذا</w:t>
      </w:r>
      <w:r w:rsidR="00052BF2" w:rsidRPr="00FD211F">
        <w:rPr>
          <w:sz w:val="36"/>
          <w:szCs w:val="36"/>
          <w:rtl/>
        </w:rPr>
        <w:t xml:space="preserve"> الحكم على الوضوء الفاقد للجزء او الشرط المشكوك</w:t>
      </w:r>
      <w:r w:rsidR="00603323" w:rsidRPr="00FD211F">
        <w:rPr>
          <w:sz w:val="36"/>
          <w:szCs w:val="36"/>
          <w:rtl/>
        </w:rPr>
        <w:t xml:space="preserve">، </w:t>
      </w:r>
      <w:r w:rsidR="00052BF2" w:rsidRPr="00FD211F">
        <w:rPr>
          <w:sz w:val="36"/>
          <w:szCs w:val="36"/>
          <w:rtl/>
        </w:rPr>
        <w:t>فلو اكتفى المحدث بهذا الوضوء فيجري استصحاب بقاء الحدث وحرم</w:t>
      </w:r>
      <w:r w:rsidR="00EC7EDF" w:rsidRPr="00FD211F">
        <w:rPr>
          <w:sz w:val="36"/>
          <w:szCs w:val="36"/>
          <w:rtl/>
        </w:rPr>
        <w:t xml:space="preserve">ة </w:t>
      </w:r>
      <w:r w:rsidR="00052BF2" w:rsidRPr="00FD211F">
        <w:rPr>
          <w:sz w:val="36"/>
          <w:szCs w:val="36"/>
          <w:rtl/>
        </w:rPr>
        <w:t>مس كتاب</w:t>
      </w:r>
      <w:r w:rsidR="00EC7EDF" w:rsidRPr="00FD211F">
        <w:rPr>
          <w:sz w:val="36"/>
          <w:szCs w:val="36"/>
          <w:rtl/>
        </w:rPr>
        <w:t xml:space="preserve">ة </w:t>
      </w:r>
      <w:r w:rsidR="00052BF2" w:rsidRPr="00FD211F">
        <w:rPr>
          <w:sz w:val="36"/>
          <w:szCs w:val="36"/>
          <w:rtl/>
        </w:rPr>
        <w:t>القرآن عليه</w:t>
      </w:r>
      <w:r w:rsidR="00603323" w:rsidRPr="00FD211F">
        <w:rPr>
          <w:sz w:val="36"/>
          <w:szCs w:val="36"/>
          <w:rtl/>
        </w:rPr>
        <w:t xml:space="preserve">، </w:t>
      </w:r>
      <w:r w:rsidR="00052BF2" w:rsidRPr="00FD211F">
        <w:rPr>
          <w:sz w:val="36"/>
          <w:szCs w:val="36"/>
          <w:rtl/>
        </w:rPr>
        <w:t>بناء على جريان الاستصحاب في الشبهات الحكمي</w:t>
      </w:r>
      <w:r w:rsidR="00EC7EDF" w:rsidRPr="00FD211F">
        <w:rPr>
          <w:sz w:val="36"/>
          <w:szCs w:val="36"/>
          <w:rtl/>
        </w:rPr>
        <w:t>ة</w:t>
      </w:r>
      <w:r w:rsidR="00603323" w:rsidRPr="00FD211F">
        <w:rPr>
          <w:sz w:val="36"/>
          <w:szCs w:val="36"/>
          <w:rtl/>
        </w:rPr>
        <w:t xml:space="preserve">، </w:t>
      </w:r>
      <w:r w:rsidR="00452410" w:rsidRPr="00FD211F">
        <w:rPr>
          <w:sz w:val="36"/>
          <w:szCs w:val="36"/>
          <w:rtl/>
        </w:rPr>
        <w:t>ويظهر من السيد الصدر في بحوثه في الفقه التزامه بذلك</w:t>
      </w:r>
      <w:r w:rsidR="009C58C8" w:rsidRPr="00FD211F">
        <w:rPr>
          <w:rStyle w:val="a6"/>
          <w:sz w:val="36"/>
          <w:szCs w:val="36"/>
          <w:rtl/>
        </w:rPr>
        <w:t>(</w:t>
      </w:r>
      <w:r w:rsidR="009C58C8" w:rsidRPr="00FD211F">
        <w:rPr>
          <w:rStyle w:val="a6"/>
          <w:sz w:val="36"/>
          <w:szCs w:val="36"/>
          <w:rtl/>
        </w:rPr>
        <w:footnoteReference w:id="419"/>
      </w:r>
      <w:r w:rsidR="009C58C8" w:rsidRPr="00FD211F">
        <w:rPr>
          <w:rStyle w:val="a6"/>
          <w:sz w:val="36"/>
          <w:szCs w:val="36"/>
          <w:rtl/>
        </w:rPr>
        <w:t>)</w:t>
      </w:r>
      <w:r w:rsidR="00052BF2" w:rsidRPr="00FD211F">
        <w:rPr>
          <w:sz w:val="36"/>
          <w:szCs w:val="36"/>
          <w:rtl/>
        </w:rPr>
        <w:t>.</w:t>
      </w:r>
    </w:p>
    <w:p w14:paraId="2AEA0ECD" w14:textId="77777777" w:rsidR="00052BF2" w:rsidRPr="00FD211F" w:rsidRDefault="00052BF2" w:rsidP="009C58C8">
      <w:pPr>
        <w:ind w:left="0" w:firstLine="227"/>
        <w:jc w:val="both"/>
        <w:rPr>
          <w:sz w:val="36"/>
          <w:szCs w:val="36"/>
          <w:rtl/>
        </w:rPr>
      </w:pPr>
      <w:r w:rsidRPr="00FD211F">
        <w:rPr>
          <w:b/>
          <w:bCs/>
          <w:sz w:val="36"/>
          <w:szCs w:val="36"/>
          <w:rtl/>
        </w:rPr>
        <w:t>ان قلت</w:t>
      </w:r>
      <w:r w:rsidRPr="00FD211F">
        <w:rPr>
          <w:sz w:val="36"/>
          <w:szCs w:val="36"/>
          <w:rtl/>
        </w:rPr>
        <w:t>: ان هذا الاستصحاب نظير ما ذكر في باب دوران الأمر بين الأقل والأكثر الارتباطيين من انه لو أتى المكلف بالأقل فيشك في سقوط التكليف بالجامع المردد بين الاقل والاكثر فيجري استصحاب بقاءه</w:t>
      </w:r>
      <w:r w:rsidR="00603323" w:rsidRPr="00FD211F">
        <w:rPr>
          <w:sz w:val="36"/>
          <w:szCs w:val="36"/>
          <w:rtl/>
        </w:rPr>
        <w:t xml:space="preserve">، </w:t>
      </w:r>
      <w:r w:rsidRPr="00FD211F">
        <w:rPr>
          <w:sz w:val="36"/>
          <w:szCs w:val="36"/>
          <w:rtl/>
        </w:rPr>
        <w:t>وبذلك يتن</w:t>
      </w:r>
      <w:r w:rsidR="00452410" w:rsidRPr="00FD211F">
        <w:rPr>
          <w:sz w:val="36"/>
          <w:szCs w:val="36"/>
          <w:rtl/>
        </w:rPr>
        <w:t>جز على المكلف الإتيان بالأكثر</w:t>
      </w:r>
      <w:r w:rsidR="00603323" w:rsidRPr="00FD211F">
        <w:rPr>
          <w:sz w:val="36"/>
          <w:szCs w:val="36"/>
          <w:rtl/>
        </w:rPr>
        <w:t xml:space="preserve">، </w:t>
      </w:r>
      <w:r w:rsidR="00452410" w:rsidRPr="00FD211F">
        <w:rPr>
          <w:sz w:val="36"/>
          <w:szCs w:val="36"/>
          <w:rtl/>
        </w:rPr>
        <w:t>و</w:t>
      </w:r>
      <w:r w:rsidRPr="00FD211F">
        <w:rPr>
          <w:sz w:val="36"/>
          <w:szCs w:val="36"/>
          <w:rtl/>
        </w:rPr>
        <w:t>قد أجيب عنه هناك بان البراء</w:t>
      </w:r>
      <w:r w:rsidR="00EC7EDF" w:rsidRPr="00FD211F">
        <w:rPr>
          <w:sz w:val="36"/>
          <w:szCs w:val="36"/>
          <w:rtl/>
        </w:rPr>
        <w:t xml:space="preserve">ة </w:t>
      </w:r>
      <w:r w:rsidRPr="00FD211F">
        <w:rPr>
          <w:sz w:val="36"/>
          <w:szCs w:val="36"/>
          <w:rtl/>
        </w:rPr>
        <w:t>عن وجوب الأكثر تكون حاكم</w:t>
      </w:r>
      <w:r w:rsidR="00EC7EDF" w:rsidRPr="00FD211F">
        <w:rPr>
          <w:sz w:val="36"/>
          <w:szCs w:val="36"/>
          <w:rtl/>
        </w:rPr>
        <w:t xml:space="preserve">ة </w:t>
      </w:r>
      <w:r w:rsidRPr="00FD211F">
        <w:rPr>
          <w:sz w:val="36"/>
          <w:szCs w:val="36"/>
          <w:rtl/>
        </w:rPr>
        <w:t>على هذا الاستصحاب لان الشك في بقاء التكليف بالجامع مسبب من الشك في تعلق التكليف بالأكثر</w:t>
      </w:r>
      <w:r w:rsidR="00603323" w:rsidRPr="00FD211F">
        <w:rPr>
          <w:sz w:val="36"/>
          <w:szCs w:val="36"/>
          <w:rtl/>
        </w:rPr>
        <w:t xml:space="preserve">، </w:t>
      </w:r>
      <w:r w:rsidRPr="00FD211F">
        <w:rPr>
          <w:sz w:val="36"/>
          <w:szCs w:val="36"/>
          <w:rtl/>
        </w:rPr>
        <w:t>وفي المقام أيضا تكون البراء</w:t>
      </w:r>
      <w:r w:rsidR="00EC7EDF" w:rsidRPr="00FD211F">
        <w:rPr>
          <w:sz w:val="36"/>
          <w:szCs w:val="36"/>
          <w:rtl/>
        </w:rPr>
        <w:t xml:space="preserve">ة </w:t>
      </w:r>
      <w:r w:rsidRPr="00FD211F">
        <w:rPr>
          <w:sz w:val="36"/>
          <w:szCs w:val="36"/>
          <w:rtl/>
        </w:rPr>
        <w:t>عن تقيد الوضوء بذاك الجزء او الشرط المشكوك حاكم</w:t>
      </w:r>
      <w:r w:rsidR="00EC7EDF" w:rsidRPr="00FD211F">
        <w:rPr>
          <w:sz w:val="36"/>
          <w:szCs w:val="36"/>
          <w:rtl/>
        </w:rPr>
        <w:t xml:space="preserve">ة </w:t>
      </w:r>
      <w:r w:rsidRPr="00FD211F">
        <w:rPr>
          <w:sz w:val="36"/>
          <w:szCs w:val="36"/>
          <w:rtl/>
        </w:rPr>
        <w:t>على استصحاب بقاء الحدث او بقاء محرمات المحدث.</w:t>
      </w:r>
    </w:p>
    <w:p w14:paraId="704686E4" w14:textId="77777777" w:rsidR="00052BF2" w:rsidRPr="00FD211F" w:rsidRDefault="00052BF2" w:rsidP="009C58C8">
      <w:pPr>
        <w:ind w:left="0" w:firstLine="227"/>
        <w:jc w:val="both"/>
        <w:rPr>
          <w:sz w:val="36"/>
          <w:szCs w:val="36"/>
          <w:rtl/>
          <w:lang w:val="en-GB"/>
        </w:rPr>
      </w:pPr>
      <w:r w:rsidRPr="00FD211F">
        <w:rPr>
          <w:b/>
          <w:bCs/>
          <w:sz w:val="36"/>
          <w:szCs w:val="36"/>
          <w:rtl/>
        </w:rPr>
        <w:t>قلت</w:t>
      </w:r>
      <w:r w:rsidRPr="00FD211F">
        <w:rPr>
          <w:sz w:val="36"/>
          <w:szCs w:val="36"/>
          <w:rtl/>
        </w:rPr>
        <w:t>: ان نكت</w:t>
      </w:r>
      <w:r w:rsidR="00EC7EDF" w:rsidRPr="00FD211F">
        <w:rPr>
          <w:sz w:val="36"/>
          <w:szCs w:val="36"/>
          <w:rtl/>
        </w:rPr>
        <w:t xml:space="preserve">ة </w:t>
      </w:r>
      <w:r w:rsidRPr="00FD211F">
        <w:rPr>
          <w:sz w:val="36"/>
          <w:szCs w:val="36"/>
          <w:rtl/>
        </w:rPr>
        <w:t>عدم جريان</w:t>
      </w:r>
      <w:r w:rsidR="009E353C" w:rsidRPr="00FD211F">
        <w:rPr>
          <w:sz w:val="36"/>
          <w:szCs w:val="36"/>
          <w:rtl/>
        </w:rPr>
        <w:t xml:space="preserve"> استصحاب</w:t>
      </w:r>
      <w:r w:rsidRPr="00FD211F">
        <w:rPr>
          <w:sz w:val="36"/>
          <w:szCs w:val="36"/>
          <w:rtl/>
        </w:rPr>
        <w:t xml:space="preserve"> بقاء التكليف بالجامع بين الأقل والأكثر هو انه لو أريد اثبات تعلقه بالأكثر فيكون من الأصل المثبت</w:t>
      </w:r>
      <w:r w:rsidR="00603323" w:rsidRPr="00FD211F">
        <w:rPr>
          <w:sz w:val="36"/>
          <w:szCs w:val="36"/>
          <w:rtl/>
        </w:rPr>
        <w:t xml:space="preserve">، </w:t>
      </w:r>
      <w:r w:rsidRPr="00FD211F">
        <w:rPr>
          <w:sz w:val="36"/>
          <w:szCs w:val="36"/>
          <w:rtl/>
        </w:rPr>
        <w:t>وان</w:t>
      </w:r>
      <w:r w:rsidR="008D7B3D" w:rsidRPr="00FD211F">
        <w:rPr>
          <w:sz w:val="36"/>
          <w:szCs w:val="36"/>
          <w:rtl/>
        </w:rPr>
        <w:t xml:space="preserve"> لم‌</w:t>
      </w:r>
      <w:r w:rsidRPr="00FD211F">
        <w:rPr>
          <w:sz w:val="36"/>
          <w:szCs w:val="36"/>
          <w:rtl/>
        </w:rPr>
        <w:t>يثبت تعلقه بالأكثر وبقي متعلقه مرددا بين الأقل لابشرط او الأكثر فلايصلح هذا الاستصحاب للمنجزي</w:t>
      </w:r>
      <w:r w:rsidR="00EC7EDF" w:rsidRPr="00FD211F">
        <w:rPr>
          <w:sz w:val="36"/>
          <w:szCs w:val="36"/>
          <w:rtl/>
        </w:rPr>
        <w:t>ة</w:t>
      </w:r>
      <w:r w:rsidR="00603323" w:rsidRPr="00FD211F">
        <w:rPr>
          <w:sz w:val="36"/>
          <w:szCs w:val="36"/>
          <w:rtl/>
        </w:rPr>
        <w:t xml:space="preserve">، </w:t>
      </w:r>
      <w:r w:rsidRPr="00FD211F">
        <w:rPr>
          <w:sz w:val="36"/>
          <w:szCs w:val="36"/>
          <w:rtl/>
        </w:rPr>
        <w:t xml:space="preserve">حيث انه لايزيد على العلم </w:t>
      </w:r>
      <w:r w:rsidR="0090539D" w:rsidRPr="00FD211F">
        <w:rPr>
          <w:sz w:val="36"/>
          <w:szCs w:val="36"/>
          <w:rtl/>
        </w:rPr>
        <w:t xml:space="preserve">الوجداني </w:t>
      </w:r>
      <w:r w:rsidRPr="00FD211F">
        <w:rPr>
          <w:sz w:val="36"/>
          <w:szCs w:val="36"/>
          <w:rtl/>
        </w:rPr>
        <w:t>بالتكليف</w:t>
      </w:r>
      <w:r w:rsidR="00603323" w:rsidRPr="00FD211F">
        <w:rPr>
          <w:sz w:val="36"/>
          <w:szCs w:val="36"/>
          <w:rtl/>
        </w:rPr>
        <w:t xml:space="preserve">، </w:t>
      </w:r>
      <w:r w:rsidRPr="00FD211F">
        <w:rPr>
          <w:sz w:val="36"/>
          <w:szCs w:val="36"/>
          <w:rtl/>
        </w:rPr>
        <w:t>والمفروض انه قبل الاتيان بالأقل كان عالما بالتكليف بالجامع</w:t>
      </w:r>
      <w:r w:rsidR="00603323" w:rsidRPr="00FD211F">
        <w:rPr>
          <w:sz w:val="36"/>
          <w:szCs w:val="36"/>
          <w:rtl/>
        </w:rPr>
        <w:t xml:space="preserve">، </w:t>
      </w:r>
      <w:r w:rsidRPr="00FD211F">
        <w:rPr>
          <w:sz w:val="36"/>
          <w:szCs w:val="36"/>
          <w:rtl/>
        </w:rPr>
        <w:t>ومع ذلك</w:t>
      </w:r>
      <w:r w:rsidR="008D7B3D" w:rsidRPr="00FD211F">
        <w:rPr>
          <w:sz w:val="36"/>
          <w:szCs w:val="36"/>
          <w:rtl/>
        </w:rPr>
        <w:t xml:space="preserve"> لم‌</w:t>
      </w:r>
      <w:r w:rsidRPr="00FD211F">
        <w:rPr>
          <w:sz w:val="36"/>
          <w:szCs w:val="36"/>
          <w:rtl/>
        </w:rPr>
        <w:t>يصلح هذا العلم الإجمالي لتنجيز الأكثر</w:t>
      </w:r>
      <w:r w:rsidR="00603323" w:rsidRPr="00FD211F">
        <w:rPr>
          <w:sz w:val="36"/>
          <w:szCs w:val="36"/>
          <w:rtl/>
        </w:rPr>
        <w:t xml:space="preserve">، </w:t>
      </w:r>
      <w:r w:rsidRPr="00FD211F">
        <w:rPr>
          <w:sz w:val="36"/>
          <w:szCs w:val="36"/>
          <w:rtl/>
        </w:rPr>
        <w:t>على ان هذا الاستصحاب يكون مبتلى باشكال آخر</w:t>
      </w:r>
      <w:r w:rsidR="00603323" w:rsidRPr="00FD211F">
        <w:rPr>
          <w:sz w:val="36"/>
          <w:szCs w:val="36"/>
          <w:rtl/>
        </w:rPr>
        <w:t xml:space="preserve">، </w:t>
      </w:r>
      <w:r w:rsidRPr="00FD211F">
        <w:rPr>
          <w:sz w:val="36"/>
          <w:szCs w:val="36"/>
          <w:rtl/>
        </w:rPr>
        <w:t>وهو ان متعلقه متردد بين ما أتي به سابقا وبين غيره</w:t>
      </w:r>
      <w:r w:rsidR="00603323" w:rsidRPr="00FD211F">
        <w:rPr>
          <w:sz w:val="36"/>
          <w:szCs w:val="36"/>
          <w:rtl/>
        </w:rPr>
        <w:t xml:space="preserve">، </w:t>
      </w:r>
      <w:r w:rsidRPr="00FD211F">
        <w:rPr>
          <w:sz w:val="36"/>
          <w:szCs w:val="36"/>
          <w:rtl/>
        </w:rPr>
        <w:t>والعلم الإجمالي بتكليف يتردد متعلقه بين ما أتي به سابقا وبين غيره حيث يكون علما بالجامع بين ما يقبل التنجيز وبين ما لايقبله فلايكون منجزا عقلا وعقلاء</w:t>
      </w:r>
      <w:r w:rsidR="00603323" w:rsidRPr="00FD211F">
        <w:rPr>
          <w:sz w:val="36"/>
          <w:szCs w:val="36"/>
          <w:rtl/>
        </w:rPr>
        <w:t xml:space="preserve">، </w:t>
      </w:r>
      <w:r w:rsidRPr="00FD211F">
        <w:rPr>
          <w:sz w:val="36"/>
          <w:szCs w:val="36"/>
          <w:rtl/>
        </w:rPr>
        <w:t>فكيف بالاستصحاب</w:t>
      </w:r>
      <w:r w:rsidRPr="00FD211F">
        <w:rPr>
          <w:sz w:val="36"/>
          <w:szCs w:val="36"/>
          <w:rtl/>
          <w:lang w:val="en-GB"/>
        </w:rPr>
        <w:t>.</w:t>
      </w:r>
    </w:p>
    <w:p w14:paraId="5CB1D06A" w14:textId="77777777" w:rsidR="00052BF2" w:rsidRPr="00FD211F" w:rsidRDefault="00052BF2" w:rsidP="009C58C8">
      <w:pPr>
        <w:ind w:left="0" w:firstLine="227"/>
        <w:jc w:val="both"/>
        <w:rPr>
          <w:sz w:val="36"/>
          <w:szCs w:val="36"/>
          <w:rtl/>
          <w:lang w:val="en-GB"/>
        </w:rPr>
      </w:pPr>
      <w:r w:rsidRPr="00FD211F">
        <w:rPr>
          <w:sz w:val="36"/>
          <w:szCs w:val="36"/>
          <w:rtl/>
          <w:lang w:val="en-GB"/>
        </w:rPr>
        <w:t>واين هذا من المقام</w:t>
      </w:r>
      <w:r w:rsidR="00603323" w:rsidRPr="00FD211F">
        <w:rPr>
          <w:sz w:val="36"/>
          <w:szCs w:val="36"/>
          <w:rtl/>
          <w:lang w:val="en-GB"/>
        </w:rPr>
        <w:t xml:space="preserve">، </w:t>
      </w:r>
      <w:r w:rsidRPr="00FD211F">
        <w:rPr>
          <w:sz w:val="36"/>
          <w:szCs w:val="36"/>
          <w:rtl/>
          <w:lang w:val="en-GB"/>
        </w:rPr>
        <w:t>حيث يجري استصحاب بقاء الحدث او بقاء محرمات المحدث بعد الوضوء الفاقد للجزء او الشرط المشكوك</w:t>
      </w:r>
      <w:r w:rsidR="00603323" w:rsidRPr="00FD211F">
        <w:rPr>
          <w:sz w:val="36"/>
          <w:szCs w:val="36"/>
          <w:rtl/>
          <w:lang w:val="en-GB"/>
        </w:rPr>
        <w:t xml:space="preserve">، </w:t>
      </w:r>
      <w:r w:rsidRPr="00FD211F">
        <w:rPr>
          <w:sz w:val="36"/>
          <w:szCs w:val="36"/>
          <w:rtl/>
          <w:lang w:val="en-GB"/>
        </w:rPr>
        <w:t>وهذا استصحاب في حكم صالح للتنجز</w:t>
      </w:r>
      <w:r w:rsidR="00603323" w:rsidRPr="00FD211F">
        <w:rPr>
          <w:sz w:val="36"/>
          <w:szCs w:val="36"/>
          <w:rtl/>
          <w:lang w:val="en-GB"/>
        </w:rPr>
        <w:t xml:space="preserve">، </w:t>
      </w:r>
      <w:r w:rsidRPr="00FD211F">
        <w:rPr>
          <w:sz w:val="36"/>
          <w:szCs w:val="36"/>
          <w:rtl/>
          <w:lang w:val="en-GB"/>
        </w:rPr>
        <w:t>كما هو واضح.</w:t>
      </w:r>
    </w:p>
    <w:p w14:paraId="2C954874" w14:textId="77777777" w:rsidR="00052BF2" w:rsidRPr="00FD211F" w:rsidRDefault="00052BF2" w:rsidP="009C58C8">
      <w:pPr>
        <w:ind w:left="0" w:firstLine="227"/>
        <w:jc w:val="both"/>
        <w:rPr>
          <w:sz w:val="36"/>
          <w:szCs w:val="36"/>
          <w:rtl/>
          <w:lang w:val="en-GB"/>
        </w:rPr>
      </w:pPr>
      <w:r w:rsidRPr="00FD211F">
        <w:rPr>
          <w:sz w:val="36"/>
          <w:szCs w:val="36"/>
          <w:rtl/>
          <w:lang w:val="en-GB"/>
        </w:rPr>
        <w:t>وما قد يقال من انه لو جرى استصحاب الحدث لمنع من جواز الاكتفاء بالصلا</w:t>
      </w:r>
      <w:r w:rsidR="00EC7EDF" w:rsidRPr="00FD211F">
        <w:rPr>
          <w:sz w:val="36"/>
          <w:szCs w:val="36"/>
          <w:rtl/>
          <w:lang w:val="en-GB"/>
        </w:rPr>
        <w:t xml:space="preserve">ة </w:t>
      </w:r>
      <w:r w:rsidRPr="00FD211F">
        <w:rPr>
          <w:sz w:val="36"/>
          <w:szCs w:val="36"/>
          <w:rtl/>
          <w:lang w:val="en-GB"/>
        </w:rPr>
        <w:t>مع هذا الوضوء ايضا</w:t>
      </w:r>
      <w:r w:rsidR="00603323" w:rsidRPr="00FD211F">
        <w:rPr>
          <w:sz w:val="36"/>
          <w:szCs w:val="36"/>
          <w:rtl/>
          <w:lang w:val="en-GB"/>
        </w:rPr>
        <w:t xml:space="preserve">، </w:t>
      </w:r>
      <w:r w:rsidRPr="00FD211F">
        <w:rPr>
          <w:sz w:val="36"/>
          <w:szCs w:val="36"/>
          <w:rtl/>
          <w:lang w:val="en-GB"/>
        </w:rPr>
        <w:t>لان الحدث مانع عن الصلا</w:t>
      </w:r>
      <w:r w:rsidR="00EC7EDF" w:rsidRPr="00FD211F">
        <w:rPr>
          <w:sz w:val="36"/>
          <w:szCs w:val="36"/>
          <w:rtl/>
          <w:lang w:val="en-GB"/>
        </w:rPr>
        <w:t>ة</w:t>
      </w:r>
      <w:r w:rsidR="00603323" w:rsidRPr="00FD211F">
        <w:rPr>
          <w:sz w:val="36"/>
          <w:szCs w:val="36"/>
          <w:rtl/>
          <w:lang w:val="en-GB"/>
        </w:rPr>
        <w:t xml:space="preserve">، </w:t>
      </w:r>
      <w:r w:rsidRPr="00FD211F">
        <w:rPr>
          <w:sz w:val="36"/>
          <w:szCs w:val="36"/>
          <w:rtl/>
          <w:lang w:val="en-GB"/>
        </w:rPr>
        <w:t>فيرد عليه: أنه</w:t>
      </w:r>
      <w:r w:rsidR="008D7B3D" w:rsidRPr="00FD211F">
        <w:rPr>
          <w:sz w:val="36"/>
          <w:szCs w:val="36"/>
          <w:rtl/>
          <w:lang w:val="en-GB"/>
        </w:rPr>
        <w:t xml:space="preserve"> لم‌</w:t>
      </w:r>
      <w:r w:rsidRPr="00FD211F">
        <w:rPr>
          <w:sz w:val="36"/>
          <w:szCs w:val="36"/>
          <w:rtl/>
          <w:lang w:val="en-GB"/>
        </w:rPr>
        <w:t>يقم أي دليل على مانعي</w:t>
      </w:r>
      <w:r w:rsidR="00EC7EDF" w:rsidRPr="00FD211F">
        <w:rPr>
          <w:sz w:val="36"/>
          <w:szCs w:val="36"/>
          <w:rtl/>
          <w:lang w:val="en-GB"/>
        </w:rPr>
        <w:t xml:space="preserve">ة </w:t>
      </w:r>
      <w:r w:rsidRPr="00FD211F">
        <w:rPr>
          <w:sz w:val="36"/>
          <w:szCs w:val="36"/>
          <w:rtl/>
          <w:lang w:val="en-GB"/>
        </w:rPr>
        <w:t>الحدث بعنوانه للصلا</w:t>
      </w:r>
      <w:r w:rsidR="00EC7EDF" w:rsidRPr="00FD211F">
        <w:rPr>
          <w:sz w:val="36"/>
          <w:szCs w:val="36"/>
          <w:rtl/>
          <w:lang w:val="en-GB"/>
        </w:rPr>
        <w:t>ة</w:t>
      </w:r>
      <w:r w:rsidR="00603323" w:rsidRPr="00FD211F">
        <w:rPr>
          <w:sz w:val="36"/>
          <w:szCs w:val="36"/>
          <w:rtl/>
          <w:lang w:val="en-GB"/>
        </w:rPr>
        <w:t xml:space="preserve">، </w:t>
      </w:r>
      <w:r w:rsidRPr="00FD211F">
        <w:rPr>
          <w:sz w:val="36"/>
          <w:szCs w:val="36"/>
          <w:rtl/>
          <w:lang w:val="en-GB"/>
        </w:rPr>
        <w:t>بل مقتضى الأدل</w:t>
      </w:r>
      <w:r w:rsidR="00EC7EDF" w:rsidRPr="00FD211F">
        <w:rPr>
          <w:sz w:val="36"/>
          <w:szCs w:val="36"/>
          <w:rtl/>
          <w:lang w:val="en-GB"/>
        </w:rPr>
        <w:t xml:space="preserve">ة </w:t>
      </w:r>
      <w:r w:rsidRPr="00FD211F">
        <w:rPr>
          <w:sz w:val="36"/>
          <w:szCs w:val="36"/>
          <w:rtl/>
          <w:lang w:val="en-GB"/>
        </w:rPr>
        <w:t>هو اشتراط الصلا</w:t>
      </w:r>
      <w:r w:rsidR="00EC7EDF" w:rsidRPr="00FD211F">
        <w:rPr>
          <w:sz w:val="36"/>
          <w:szCs w:val="36"/>
          <w:rtl/>
          <w:lang w:val="en-GB"/>
        </w:rPr>
        <w:t xml:space="preserve">ة </w:t>
      </w:r>
      <w:r w:rsidRPr="00FD211F">
        <w:rPr>
          <w:sz w:val="36"/>
          <w:szCs w:val="36"/>
          <w:rtl/>
          <w:lang w:val="en-GB"/>
        </w:rPr>
        <w:t>بالوضوء وعدم صدور ناقض له الى آخر الصلا</w:t>
      </w:r>
      <w:r w:rsidR="00EC7EDF" w:rsidRPr="00FD211F">
        <w:rPr>
          <w:sz w:val="36"/>
          <w:szCs w:val="36"/>
          <w:rtl/>
          <w:lang w:val="en-GB"/>
        </w:rPr>
        <w:t>ة</w:t>
      </w:r>
      <w:r w:rsidR="00603323" w:rsidRPr="00FD211F">
        <w:rPr>
          <w:sz w:val="36"/>
          <w:szCs w:val="36"/>
          <w:rtl/>
          <w:lang w:val="en-GB"/>
        </w:rPr>
        <w:t xml:space="preserve">، </w:t>
      </w:r>
      <w:r w:rsidR="0090539D" w:rsidRPr="00FD211F">
        <w:rPr>
          <w:sz w:val="36"/>
          <w:szCs w:val="36"/>
          <w:rtl/>
          <w:lang w:val="en-GB"/>
        </w:rPr>
        <w:t>وعدم صدور الناقض محرز بالوجدان وبالنسبة الى اشتراط الصلاة بالوضوء يدور الامر</w:t>
      </w:r>
      <w:r w:rsidR="005951BD" w:rsidRPr="00FD211F">
        <w:rPr>
          <w:sz w:val="36"/>
          <w:szCs w:val="36"/>
          <w:rtl/>
          <w:lang w:val="en-GB"/>
        </w:rPr>
        <w:t xml:space="preserve">بين الاقل والاكثر فتجري البراءة عن الاكثر </w:t>
      </w:r>
      <w:r w:rsidRPr="00FD211F">
        <w:rPr>
          <w:sz w:val="36"/>
          <w:szCs w:val="36"/>
          <w:rtl/>
          <w:lang w:val="en-GB"/>
        </w:rPr>
        <w:t>بناء على كون الطهور الذي هو شرط الصلا</w:t>
      </w:r>
      <w:r w:rsidR="00EC7EDF" w:rsidRPr="00FD211F">
        <w:rPr>
          <w:sz w:val="36"/>
          <w:szCs w:val="36"/>
          <w:rtl/>
          <w:lang w:val="en-GB"/>
        </w:rPr>
        <w:t xml:space="preserve">ة </w:t>
      </w:r>
      <w:r w:rsidRPr="00FD211F">
        <w:rPr>
          <w:sz w:val="36"/>
          <w:szCs w:val="36"/>
          <w:rtl/>
          <w:lang w:val="en-GB"/>
        </w:rPr>
        <w:t>بمعنى نفس الوضوء والغسل والتيمم</w:t>
      </w:r>
      <w:r w:rsidR="00603323" w:rsidRPr="00FD211F">
        <w:rPr>
          <w:sz w:val="36"/>
          <w:szCs w:val="36"/>
          <w:rtl/>
          <w:lang w:val="en-GB"/>
        </w:rPr>
        <w:t xml:space="preserve">، </w:t>
      </w:r>
      <w:r w:rsidRPr="00FD211F">
        <w:rPr>
          <w:sz w:val="36"/>
          <w:szCs w:val="36"/>
          <w:rtl/>
          <w:lang w:val="en-GB"/>
        </w:rPr>
        <w:t>لاالحال</w:t>
      </w:r>
      <w:r w:rsidR="00EC7EDF" w:rsidRPr="00FD211F">
        <w:rPr>
          <w:sz w:val="36"/>
          <w:szCs w:val="36"/>
          <w:rtl/>
          <w:lang w:val="en-GB"/>
        </w:rPr>
        <w:t xml:space="preserve">ة </w:t>
      </w:r>
      <w:r w:rsidRPr="00FD211F">
        <w:rPr>
          <w:sz w:val="36"/>
          <w:szCs w:val="36"/>
          <w:rtl/>
          <w:lang w:val="en-GB"/>
        </w:rPr>
        <w:t>المعنوي</w:t>
      </w:r>
      <w:r w:rsidR="00EC7EDF" w:rsidRPr="00FD211F">
        <w:rPr>
          <w:sz w:val="36"/>
          <w:szCs w:val="36"/>
          <w:rtl/>
          <w:lang w:val="en-GB"/>
        </w:rPr>
        <w:t xml:space="preserve">ة </w:t>
      </w:r>
      <w:r w:rsidRPr="00FD211F">
        <w:rPr>
          <w:sz w:val="36"/>
          <w:szCs w:val="36"/>
          <w:rtl/>
          <w:lang w:val="en-GB"/>
        </w:rPr>
        <w:t>او الاعتباري</w:t>
      </w:r>
      <w:r w:rsidR="00EC7EDF" w:rsidRPr="00FD211F">
        <w:rPr>
          <w:sz w:val="36"/>
          <w:szCs w:val="36"/>
          <w:rtl/>
          <w:lang w:val="en-GB"/>
        </w:rPr>
        <w:t xml:space="preserve">ة </w:t>
      </w:r>
      <w:r w:rsidRPr="00FD211F">
        <w:rPr>
          <w:sz w:val="36"/>
          <w:szCs w:val="36"/>
          <w:rtl/>
          <w:lang w:val="en-GB"/>
        </w:rPr>
        <w:t>الحاصل</w:t>
      </w:r>
      <w:r w:rsidR="00EC7EDF" w:rsidRPr="00FD211F">
        <w:rPr>
          <w:sz w:val="36"/>
          <w:szCs w:val="36"/>
          <w:rtl/>
          <w:lang w:val="en-GB"/>
        </w:rPr>
        <w:t xml:space="preserve">ة </w:t>
      </w:r>
      <w:r w:rsidRPr="00FD211F">
        <w:rPr>
          <w:sz w:val="36"/>
          <w:szCs w:val="36"/>
          <w:rtl/>
          <w:lang w:val="en-GB"/>
        </w:rPr>
        <w:t>من هذه الأفعال</w:t>
      </w:r>
      <w:r w:rsidR="00603323" w:rsidRPr="00FD211F">
        <w:rPr>
          <w:sz w:val="36"/>
          <w:szCs w:val="36"/>
          <w:rtl/>
          <w:lang w:val="en-GB"/>
        </w:rPr>
        <w:t xml:space="preserve">، </w:t>
      </w:r>
      <w:r w:rsidRPr="00FD211F">
        <w:rPr>
          <w:sz w:val="36"/>
          <w:szCs w:val="36"/>
          <w:rtl/>
          <w:lang w:val="en-GB"/>
        </w:rPr>
        <w:t xml:space="preserve">والا فيكون الشك في اعتبار </w:t>
      </w:r>
      <w:r w:rsidR="008D7B3D" w:rsidRPr="00FD211F">
        <w:rPr>
          <w:sz w:val="36"/>
          <w:szCs w:val="36"/>
          <w:rtl/>
          <w:lang w:val="en-GB"/>
        </w:rPr>
        <w:t xml:space="preserve">شيء </w:t>
      </w:r>
      <w:r w:rsidRPr="00FD211F">
        <w:rPr>
          <w:sz w:val="36"/>
          <w:szCs w:val="36"/>
          <w:rtl/>
          <w:lang w:val="en-GB"/>
        </w:rPr>
        <w:t>فيها من الشك في المحصل فيجب الاحتياط</w:t>
      </w:r>
      <w:r w:rsidR="00603323" w:rsidRPr="00FD211F">
        <w:rPr>
          <w:sz w:val="36"/>
          <w:szCs w:val="36"/>
          <w:rtl/>
          <w:lang w:val="en-GB"/>
        </w:rPr>
        <w:t xml:space="preserve">، </w:t>
      </w:r>
      <w:r w:rsidRPr="00FD211F">
        <w:rPr>
          <w:sz w:val="36"/>
          <w:szCs w:val="36"/>
          <w:rtl/>
          <w:lang w:val="en-GB"/>
        </w:rPr>
        <w:t>فهو خلف المفروض في المقام.</w:t>
      </w:r>
    </w:p>
    <w:p w14:paraId="76094ABA" w14:textId="77777777" w:rsidR="00052BF2" w:rsidRPr="00FD211F" w:rsidRDefault="00052BF2" w:rsidP="009C58C8">
      <w:pPr>
        <w:ind w:left="0" w:firstLine="227"/>
        <w:jc w:val="both"/>
        <w:rPr>
          <w:sz w:val="36"/>
          <w:szCs w:val="36"/>
          <w:rtl/>
          <w:lang w:val="en-GB"/>
        </w:rPr>
      </w:pPr>
      <w:r w:rsidRPr="00FD211F">
        <w:rPr>
          <w:sz w:val="36"/>
          <w:szCs w:val="36"/>
          <w:rtl/>
          <w:lang w:val="en-GB"/>
        </w:rPr>
        <w:t>ويجري نظير هذا الاشكال –الذي ذكرناه في مسأل</w:t>
      </w:r>
      <w:r w:rsidR="00EC7EDF" w:rsidRPr="00FD211F">
        <w:rPr>
          <w:sz w:val="36"/>
          <w:szCs w:val="36"/>
          <w:rtl/>
          <w:lang w:val="en-GB"/>
        </w:rPr>
        <w:t xml:space="preserve">ة </w:t>
      </w:r>
      <w:r w:rsidRPr="00FD211F">
        <w:rPr>
          <w:sz w:val="36"/>
          <w:szCs w:val="36"/>
          <w:rtl/>
          <w:lang w:val="en-GB"/>
        </w:rPr>
        <w:t>بقاء حرم</w:t>
      </w:r>
      <w:r w:rsidR="00EC7EDF" w:rsidRPr="00FD211F">
        <w:rPr>
          <w:sz w:val="36"/>
          <w:szCs w:val="36"/>
          <w:rtl/>
          <w:lang w:val="en-GB"/>
        </w:rPr>
        <w:t xml:space="preserve">ة </w:t>
      </w:r>
      <w:r w:rsidRPr="00FD211F">
        <w:rPr>
          <w:sz w:val="36"/>
          <w:szCs w:val="36"/>
          <w:rtl/>
          <w:lang w:val="en-GB"/>
        </w:rPr>
        <w:t xml:space="preserve">محرمات المحدث لما بعد الإتيان بالوضوء الفاقد لما يشك في اعتباره فيه- فيما لو </w:t>
      </w:r>
      <w:r w:rsidRPr="00FD211F">
        <w:rPr>
          <w:sz w:val="36"/>
          <w:szCs w:val="36"/>
          <w:rtl/>
        </w:rPr>
        <w:t>دار امر الإحرام بالحجّ بين ان يكون من خصوص مسجد الشجر</w:t>
      </w:r>
      <w:r w:rsidR="00EC7EDF" w:rsidRPr="00FD211F">
        <w:rPr>
          <w:sz w:val="36"/>
          <w:szCs w:val="36"/>
          <w:rtl/>
        </w:rPr>
        <w:t xml:space="preserve">ة </w:t>
      </w:r>
      <w:r w:rsidRPr="00FD211F">
        <w:rPr>
          <w:sz w:val="36"/>
          <w:szCs w:val="36"/>
          <w:rtl/>
        </w:rPr>
        <w:t>او انه يكفي الإحرام من منطق</w:t>
      </w:r>
      <w:r w:rsidR="00EC7EDF" w:rsidRPr="00FD211F">
        <w:rPr>
          <w:sz w:val="36"/>
          <w:szCs w:val="36"/>
          <w:rtl/>
        </w:rPr>
        <w:t xml:space="preserve">ة </w:t>
      </w:r>
      <w:r w:rsidRPr="00FD211F">
        <w:rPr>
          <w:sz w:val="36"/>
          <w:szCs w:val="36"/>
          <w:rtl/>
        </w:rPr>
        <w:t>ذي الحليف</w:t>
      </w:r>
      <w:r w:rsidR="00EC7EDF" w:rsidRPr="00FD211F">
        <w:rPr>
          <w:sz w:val="36"/>
          <w:szCs w:val="36"/>
          <w:rtl/>
        </w:rPr>
        <w:t xml:space="preserve">ة </w:t>
      </w:r>
      <w:r w:rsidRPr="00FD211F">
        <w:rPr>
          <w:sz w:val="36"/>
          <w:szCs w:val="36"/>
          <w:rtl/>
        </w:rPr>
        <w:t>التي هو اوسع من المسجد</w:t>
      </w:r>
      <w:r w:rsidR="00603323" w:rsidRPr="00FD211F">
        <w:rPr>
          <w:sz w:val="36"/>
          <w:szCs w:val="36"/>
          <w:rtl/>
        </w:rPr>
        <w:t xml:space="preserve">، </w:t>
      </w:r>
      <w:r w:rsidRPr="00FD211F">
        <w:rPr>
          <w:sz w:val="36"/>
          <w:szCs w:val="36"/>
          <w:rtl/>
        </w:rPr>
        <w:t>فالبراء</w:t>
      </w:r>
      <w:r w:rsidR="00EC7EDF" w:rsidRPr="00FD211F">
        <w:rPr>
          <w:sz w:val="36"/>
          <w:szCs w:val="36"/>
          <w:rtl/>
        </w:rPr>
        <w:t xml:space="preserve">ة </w:t>
      </w:r>
      <w:r w:rsidRPr="00FD211F">
        <w:rPr>
          <w:sz w:val="36"/>
          <w:szCs w:val="36"/>
          <w:rtl/>
        </w:rPr>
        <w:t>عن التكليف بالإحرام في خصوص المسجد وان كانت جاري</w:t>
      </w:r>
      <w:r w:rsidR="00EC7EDF" w:rsidRPr="00FD211F">
        <w:rPr>
          <w:sz w:val="36"/>
          <w:szCs w:val="36"/>
          <w:rtl/>
        </w:rPr>
        <w:t xml:space="preserve">ة </w:t>
      </w:r>
      <w:r w:rsidRPr="00FD211F">
        <w:rPr>
          <w:sz w:val="36"/>
          <w:szCs w:val="36"/>
          <w:rtl/>
        </w:rPr>
        <w:t>في حد ذاتها</w:t>
      </w:r>
      <w:r w:rsidR="00603323" w:rsidRPr="00FD211F">
        <w:rPr>
          <w:sz w:val="36"/>
          <w:szCs w:val="36"/>
          <w:rtl/>
        </w:rPr>
        <w:t xml:space="preserve">، </w:t>
      </w:r>
      <w:r w:rsidRPr="00FD211F">
        <w:rPr>
          <w:sz w:val="36"/>
          <w:szCs w:val="36"/>
          <w:rtl/>
        </w:rPr>
        <w:t>لكن يشكل ان يثبت بها جواز دخول مك</w:t>
      </w:r>
      <w:r w:rsidR="00EC7EDF" w:rsidRPr="00FD211F">
        <w:rPr>
          <w:sz w:val="36"/>
          <w:szCs w:val="36"/>
          <w:rtl/>
        </w:rPr>
        <w:t>ة</w:t>
      </w:r>
      <w:r w:rsidR="00603323" w:rsidRPr="00FD211F">
        <w:rPr>
          <w:sz w:val="36"/>
          <w:szCs w:val="36"/>
          <w:rtl/>
        </w:rPr>
        <w:t xml:space="preserve">، </w:t>
      </w:r>
      <w:r w:rsidRPr="00FD211F">
        <w:rPr>
          <w:sz w:val="36"/>
          <w:szCs w:val="36"/>
          <w:rtl/>
        </w:rPr>
        <w:t>حيث يجري استصحاب بقاء حرم</w:t>
      </w:r>
      <w:r w:rsidR="00EC7EDF" w:rsidRPr="00FD211F">
        <w:rPr>
          <w:sz w:val="36"/>
          <w:szCs w:val="36"/>
          <w:rtl/>
        </w:rPr>
        <w:t xml:space="preserve">ة </w:t>
      </w:r>
      <w:r w:rsidRPr="00FD211F">
        <w:rPr>
          <w:sz w:val="36"/>
          <w:szCs w:val="36"/>
          <w:rtl/>
        </w:rPr>
        <w:t>دخول مك</w:t>
      </w:r>
      <w:r w:rsidR="00EC7EDF" w:rsidRPr="00FD211F">
        <w:rPr>
          <w:sz w:val="36"/>
          <w:szCs w:val="36"/>
          <w:rtl/>
        </w:rPr>
        <w:t xml:space="preserve">ة </w:t>
      </w:r>
      <w:r w:rsidRPr="00FD211F">
        <w:rPr>
          <w:sz w:val="36"/>
          <w:szCs w:val="36"/>
          <w:rtl/>
        </w:rPr>
        <w:t xml:space="preserve">في حق هذا الشخص الذي اكتفى بالإحرام خارج المسجد </w:t>
      </w:r>
      <w:r w:rsidR="0023608C" w:rsidRPr="00FD211F">
        <w:rPr>
          <w:sz w:val="36"/>
          <w:szCs w:val="36"/>
          <w:rtl/>
        </w:rPr>
        <w:t xml:space="preserve">بعد ما </w:t>
      </w:r>
      <w:r w:rsidRPr="00FD211F">
        <w:rPr>
          <w:sz w:val="36"/>
          <w:szCs w:val="36"/>
          <w:rtl/>
        </w:rPr>
        <w:t>يشك في صح</w:t>
      </w:r>
      <w:r w:rsidR="00EC7EDF" w:rsidRPr="00FD211F">
        <w:rPr>
          <w:sz w:val="36"/>
          <w:szCs w:val="36"/>
          <w:rtl/>
        </w:rPr>
        <w:t xml:space="preserve">ة </w:t>
      </w:r>
      <w:r w:rsidRPr="00FD211F">
        <w:rPr>
          <w:sz w:val="36"/>
          <w:szCs w:val="36"/>
          <w:rtl/>
        </w:rPr>
        <w:t>إحرامه شرعا</w:t>
      </w:r>
      <w:r w:rsidR="00603323" w:rsidRPr="00FD211F">
        <w:rPr>
          <w:sz w:val="36"/>
          <w:szCs w:val="36"/>
          <w:rtl/>
          <w:lang w:val="en-GB"/>
        </w:rPr>
        <w:t xml:space="preserve">، </w:t>
      </w:r>
      <w:r w:rsidRPr="00FD211F">
        <w:rPr>
          <w:sz w:val="36"/>
          <w:szCs w:val="36"/>
          <w:rtl/>
          <w:lang w:val="en-GB"/>
        </w:rPr>
        <w:t>مضافا الى معارض</w:t>
      </w:r>
      <w:r w:rsidR="00EC7EDF" w:rsidRPr="00FD211F">
        <w:rPr>
          <w:sz w:val="36"/>
          <w:szCs w:val="36"/>
          <w:rtl/>
          <w:lang w:val="en-GB"/>
        </w:rPr>
        <w:t xml:space="preserve">ة </w:t>
      </w:r>
      <w:r w:rsidRPr="00FD211F">
        <w:rPr>
          <w:sz w:val="36"/>
          <w:szCs w:val="36"/>
          <w:rtl/>
          <w:lang w:val="en-GB"/>
        </w:rPr>
        <w:t>تلك البراء</w:t>
      </w:r>
      <w:r w:rsidR="00EC7EDF" w:rsidRPr="00FD211F">
        <w:rPr>
          <w:sz w:val="36"/>
          <w:szCs w:val="36"/>
          <w:rtl/>
          <w:lang w:val="en-GB"/>
        </w:rPr>
        <w:t xml:space="preserve">ة </w:t>
      </w:r>
      <w:r w:rsidRPr="00FD211F">
        <w:rPr>
          <w:sz w:val="36"/>
          <w:szCs w:val="36"/>
          <w:rtl/>
          <w:lang w:val="en-GB"/>
        </w:rPr>
        <w:t>مع البراء</w:t>
      </w:r>
      <w:r w:rsidR="00EC7EDF" w:rsidRPr="00FD211F">
        <w:rPr>
          <w:sz w:val="36"/>
          <w:szCs w:val="36"/>
          <w:rtl/>
          <w:lang w:val="en-GB"/>
        </w:rPr>
        <w:t xml:space="preserve">ة </w:t>
      </w:r>
      <w:r w:rsidRPr="00FD211F">
        <w:rPr>
          <w:sz w:val="36"/>
          <w:szCs w:val="36"/>
          <w:rtl/>
          <w:lang w:val="en-GB"/>
        </w:rPr>
        <w:t>عن محرمات الإحرام في حق هذا الشخص الذي اكتفى بالإحرام من خارج المسجد.</w:t>
      </w:r>
    </w:p>
    <w:p w14:paraId="5D84B170" w14:textId="77777777" w:rsidR="00052BF2" w:rsidRPr="00FD211F" w:rsidRDefault="00052BF2" w:rsidP="009C58C8">
      <w:pPr>
        <w:ind w:left="0" w:firstLine="227"/>
        <w:jc w:val="both"/>
        <w:rPr>
          <w:sz w:val="36"/>
          <w:szCs w:val="36"/>
          <w:rtl/>
        </w:rPr>
      </w:pPr>
      <w:r w:rsidRPr="00FD211F">
        <w:rPr>
          <w:sz w:val="36"/>
          <w:szCs w:val="36"/>
          <w:rtl/>
        </w:rPr>
        <w:t>وكذا لو نوى المسافر الإقام</w:t>
      </w:r>
      <w:r w:rsidR="00EC7EDF" w:rsidRPr="00FD211F">
        <w:rPr>
          <w:sz w:val="36"/>
          <w:szCs w:val="36"/>
          <w:rtl/>
        </w:rPr>
        <w:t xml:space="preserve">ة </w:t>
      </w:r>
      <w:r w:rsidRPr="00FD211F">
        <w:rPr>
          <w:sz w:val="36"/>
          <w:szCs w:val="36"/>
          <w:rtl/>
        </w:rPr>
        <w:t>عشر</w:t>
      </w:r>
      <w:r w:rsidR="00EC7EDF" w:rsidRPr="00FD211F">
        <w:rPr>
          <w:sz w:val="36"/>
          <w:szCs w:val="36"/>
          <w:rtl/>
        </w:rPr>
        <w:t xml:space="preserve">ة </w:t>
      </w:r>
      <w:r w:rsidRPr="00FD211F">
        <w:rPr>
          <w:sz w:val="36"/>
          <w:szCs w:val="36"/>
          <w:rtl/>
        </w:rPr>
        <w:t>أيام في بلد فأتى بصلا</w:t>
      </w:r>
      <w:r w:rsidR="00EC7EDF" w:rsidRPr="00FD211F">
        <w:rPr>
          <w:sz w:val="36"/>
          <w:szCs w:val="36"/>
          <w:rtl/>
        </w:rPr>
        <w:t xml:space="preserve">ة </w:t>
      </w:r>
      <w:r w:rsidRPr="00FD211F">
        <w:rPr>
          <w:sz w:val="36"/>
          <w:szCs w:val="36"/>
          <w:rtl/>
        </w:rPr>
        <w:t>رباعي</w:t>
      </w:r>
      <w:r w:rsidR="00EC7EDF" w:rsidRPr="00FD211F">
        <w:rPr>
          <w:sz w:val="36"/>
          <w:szCs w:val="36"/>
          <w:rtl/>
        </w:rPr>
        <w:t xml:space="preserve">ة </w:t>
      </w:r>
      <w:r w:rsidRPr="00FD211F">
        <w:rPr>
          <w:sz w:val="36"/>
          <w:szCs w:val="36"/>
          <w:rtl/>
        </w:rPr>
        <w:t>مع الوضوء الفاقد للجزء او الشرط المشكوك فحيث ان البراء</w:t>
      </w:r>
      <w:r w:rsidR="00EC7EDF" w:rsidRPr="00FD211F">
        <w:rPr>
          <w:sz w:val="36"/>
          <w:szCs w:val="36"/>
          <w:rtl/>
        </w:rPr>
        <w:t xml:space="preserve">ة </w:t>
      </w:r>
      <w:r w:rsidRPr="00FD211F">
        <w:rPr>
          <w:sz w:val="36"/>
          <w:szCs w:val="36"/>
          <w:rtl/>
        </w:rPr>
        <w:t>عن التكليف بالأكثر لاتثبت كون الاقل لابشرط متعلقا للتكليف</w:t>
      </w:r>
      <w:r w:rsidR="00603323" w:rsidRPr="00FD211F">
        <w:rPr>
          <w:sz w:val="36"/>
          <w:szCs w:val="36"/>
          <w:rtl/>
        </w:rPr>
        <w:t xml:space="preserve">، </w:t>
      </w:r>
      <w:r w:rsidRPr="00FD211F">
        <w:rPr>
          <w:sz w:val="36"/>
          <w:szCs w:val="36"/>
          <w:rtl/>
        </w:rPr>
        <w:t>وانما تؤمّن عن التكليف بالأكثر فحسب</w:t>
      </w:r>
      <w:r w:rsidR="00603323" w:rsidRPr="00FD211F">
        <w:rPr>
          <w:sz w:val="36"/>
          <w:szCs w:val="36"/>
          <w:rtl/>
        </w:rPr>
        <w:t xml:space="preserve">، </w:t>
      </w:r>
      <w:r w:rsidRPr="00FD211F">
        <w:rPr>
          <w:sz w:val="36"/>
          <w:szCs w:val="36"/>
          <w:rtl/>
        </w:rPr>
        <w:t>فلايكون إتيان الأقل كافيا للحكم بوجوب البناء على التمام في الصلوات الآتي</w:t>
      </w:r>
      <w:r w:rsidR="00EC7EDF" w:rsidRPr="00FD211F">
        <w:rPr>
          <w:sz w:val="36"/>
          <w:szCs w:val="36"/>
          <w:rtl/>
        </w:rPr>
        <w:t>ة</w:t>
      </w:r>
      <w:r w:rsidR="00A61BAE" w:rsidRPr="00FD211F">
        <w:rPr>
          <w:sz w:val="36"/>
          <w:szCs w:val="36"/>
          <w:rtl/>
        </w:rPr>
        <w:t>.</w:t>
      </w:r>
    </w:p>
    <w:p w14:paraId="4697F6DF" w14:textId="77777777" w:rsidR="00052BF2" w:rsidRPr="00FD211F" w:rsidRDefault="005951BD" w:rsidP="009C58C8">
      <w:pPr>
        <w:ind w:left="0" w:firstLine="227"/>
        <w:jc w:val="both"/>
        <w:rPr>
          <w:sz w:val="36"/>
          <w:szCs w:val="36"/>
          <w:rtl/>
          <w:lang w:val="en-GB"/>
        </w:rPr>
      </w:pPr>
      <w:r w:rsidRPr="00FD211F">
        <w:rPr>
          <w:sz w:val="36"/>
          <w:szCs w:val="36"/>
          <w:rtl/>
        </w:rPr>
        <w:t>ومن هذا القبيل ما اشكلنا</w:t>
      </w:r>
      <w:r w:rsidR="00052BF2" w:rsidRPr="00FD211F">
        <w:rPr>
          <w:sz w:val="36"/>
          <w:szCs w:val="36"/>
          <w:rtl/>
        </w:rPr>
        <w:t xml:space="preserve"> </w:t>
      </w:r>
      <w:r w:rsidRPr="00FD211F">
        <w:rPr>
          <w:sz w:val="36"/>
          <w:szCs w:val="36"/>
          <w:rtl/>
        </w:rPr>
        <w:t>على ال</w:t>
      </w:r>
      <w:r w:rsidR="00052BF2" w:rsidRPr="00FD211F">
        <w:rPr>
          <w:sz w:val="36"/>
          <w:szCs w:val="36"/>
          <w:rtl/>
        </w:rPr>
        <w:t>تمسك بالبراء</w:t>
      </w:r>
      <w:r w:rsidR="00EC7EDF" w:rsidRPr="00FD211F">
        <w:rPr>
          <w:sz w:val="36"/>
          <w:szCs w:val="36"/>
          <w:rtl/>
        </w:rPr>
        <w:t xml:space="preserve">ة </w:t>
      </w:r>
      <w:r w:rsidR="00452410" w:rsidRPr="00FD211F">
        <w:rPr>
          <w:sz w:val="36"/>
          <w:szCs w:val="36"/>
          <w:rtl/>
        </w:rPr>
        <w:t>بالنسب</w:t>
      </w:r>
      <w:r w:rsidR="00EC7EDF" w:rsidRPr="00FD211F">
        <w:rPr>
          <w:sz w:val="36"/>
          <w:szCs w:val="36"/>
          <w:rtl/>
        </w:rPr>
        <w:t xml:space="preserve">ة </w:t>
      </w:r>
      <w:r w:rsidR="00452410" w:rsidRPr="00FD211F">
        <w:rPr>
          <w:sz w:val="36"/>
          <w:szCs w:val="36"/>
          <w:rtl/>
        </w:rPr>
        <w:t xml:space="preserve">الى </w:t>
      </w:r>
      <w:r w:rsidR="00052BF2" w:rsidRPr="00FD211F">
        <w:rPr>
          <w:sz w:val="36"/>
          <w:szCs w:val="36"/>
          <w:rtl/>
        </w:rPr>
        <w:t>الحلق او التقصير في المكان الذي يشك في كونه من منى بنحو الشبه</w:t>
      </w:r>
      <w:r w:rsidR="00EC7EDF" w:rsidRPr="00FD211F">
        <w:rPr>
          <w:sz w:val="36"/>
          <w:szCs w:val="36"/>
          <w:rtl/>
        </w:rPr>
        <w:t xml:space="preserve">ة </w:t>
      </w:r>
      <w:r w:rsidR="00052BF2" w:rsidRPr="00FD211F">
        <w:rPr>
          <w:sz w:val="36"/>
          <w:szCs w:val="36"/>
          <w:rtl/>
        </w:rPr>
        <w:t>المفهومي</w:t>
      </w:r>
      <w:r w:rsidR="00EC7EDF" w:rsidRPr="00FD211F">
        <w:rPr>
          <w:sz w:val="36"/>
          <w:szCs w:val="36"/>
          <w:rtl/>
        </w:rPr>
        <w:t>ة</w:t>
      </w:r>
      <w:r w:rsidR="00603323" w:rsidRPr="00FD211F">
        <w:rPr>
          <w:sz w:val="36"/>
          <w:szCs w:val="36"/>
          <w:rtl/>
        </w:rPr>
        <w:t xml:space="preserve">، </w:t>
      </w:r>
      <w:r w:rsidR="00052BF2" w:rsidRPr="00FD211F">
        <w:rPr>
          <w:sz w:val="36"/>
          <w:szCs w:val="36"/>
          <w:rtl/>
        </w:rPr>
        <w:t>فذكرنا انه ان حلق او قصّر في المكان المشكوك فنشك في خروجه عن الإحرام بذلك ف</w:t>
      </w:r>
      <w:r w:rsidR="00BE6B28" w:rsidRPr="00FD211F">
        <w:rPr>
          <w:sz w:val="36"/>
          <w:szCs w:val="36"/>
          <w:rtl/>
        </w:rPr>
        <w:t>بناء على مسلك المشهور من جريان الاستصحاب في الشبهات الحكمي</w:t>
      </w:r>
      <w:r w:rsidR="00EC7EDF" w:rsidRPr="00FD211F">
        <w:rPr>
          <w:sz w:val="36"/>
          <w:szCs w:val="36"/>
          <w:rtl/>
        </w:rPr>
        <w:t xml:space="preserve">ة </w:t>
      </w:r>
      <w:r w:rsidR="00BE6B28" w:rsidRPr="00FD211F">
        <w:rPr>
          <w:sz w:val="36"/>
          <w:szCs w:val="36"/>
          <w:rtl/>
        </w:rPr>
        <w:t>ف</w:t>
      </w:r>
      <w:r w:rsidR="00052BF2" w:rsidRPr="00FD211F">
        <w:rPr>
          <w:sz w:val="36"/>
          <w:szCs w:val="36"/>
          <w:rtl/>
        </w:rPr>
        <w:t>يجري استصحاب بقاءه في الإحرام او استصحاب بقاء محرمات الإحرام عليه</w:t>
      </w:r>
      <w:r w:rsidR="00052BF2" w:rsidRPr="00FD211F">
        <w:rPr>
          <w:sz w:val="36"/>
          <w:szCs w:val="36"/>
          <w:rtl/>
          <w:lang w:val="en-GB"/>
        </w:rPr>
        <w:t>.</w:t>
      </w:r>
    </w:p>
    <w:p w14:paraId="4EE6930A" w14:textId="77777777" w:rsidR="000C5BBA" w:rsidRPr="00FD211F" w:rsidRDefault="005951BD" w:rsidP="009C58C8">
      <w:pPr>
        <w:ind w:left="0" w:firstLine="227"/>
        <w:jc w:val="both"/>
        <w:rPr>
          <w:sz w:val="36"/>
          <w:szCs w:val="36"/>
          <w:rtl/>
        </w:rPr>
      </w:pPr>
      <w:r w:rsidRPr="00FD211F">
        <w:rPr>
          <w:sz w:val="36"/>
          <w:szCs w:val="36"/>
          <w:rtl/>
        </w:rPr>
        <w:t>وقد اجي</w:t>
      </w:r>
      <w:r w:rsidR="00052BF2" w:rsidRPr="00FD211F">
        <w:rPr>
          <w:sz w:val="36"/>
          <w:szCs w:val="36"/>
          <w:rtl/>
        </w:rPr>
        <w:t xml:space="preserve">ب عن ذلك </w:t>
      </w:r>
      <w:r w:rsidRPr="00FD211F">
        <w:rPr>
          <w:sz w:val="36"/>
          <w:szCs w:val="36"/>
          <w:rtl/>
        </w:rPr>
        <w:t xml:space="preserve">بأنه </w:t>
      </w:r>
      <w:r w:rsidR="00052BF2" w:rsidRPr="00FD211F">
        <w:rPr>
          <w:sz w:val="36"/>
          <w:szCs w:val="36"/>
          <w:rtl/>
        </w:rPr>
        <w:t>لايجري استصحاب بقاء الاحرام ولااستصحاب بقاء محرمات الاحرام</w:t>
      </w:r>
      <w:r w:rsidRPr="00FD211F">
        <w:rPr>
          <w:sz w:val="36"/>
          <w:szCs w:val="36"/>
          <w:rtl/>
        </w:rPr>
        <w:t>.</w:t>
      </w:r>
    </w:p>
    <w:p w14:paraId="7EA3D227" w14:textId="77777777" w:rsidR="000C5BBA" w:rsidRPr="00FD211F" w:rsidRDefault="00052BF2" w:rsidP="009C58C8">
      <w:pPr>
        <w:ind w:left="0" w:firstLine="227"/>
        <w:jc w:val="both"/>
        <w:rPr>
          <w:sz w:val="36"/>
          <w:szCs w:val="36"/>
          <w:rtl/>
        </w:rPr>
      </w:pPr>
      <w:r w:rsidRPr="00FD211F">
        <w:rPr>
          <w:sz w:val="36"/>
          <w:szCs w:val="36"/>
          <w:rtl/>
        </w:rPr>
        <w:t>أما عدم جريان استصحاب الإحرام فلانه</w:t>
      </w:r>
      <w:r w:rsidR="008D7B3D" w:rsidRPr="00FD211F">
        <w:rPr>
          <w:sz w:val="36"/>
          <w:szCs w:val="36"/>
          <w:rtl/>
        </w:rPr>
        <w:t xml:space="preserve"> لم‌</w:t>
      </w:r>
      <w:r w:rsidRPr="00FD211F">
        <w:rPr>
          <w:sz w:val="36"/>
          <w:szCs w:val="36"/>
          <w:rtl/>
        </w:rPr>
        <w:t>يثبت كون الإحرام حال</w:t>
      </w:r>
      <w:r w:rsidR="00EC7EDF" w:rsidRPr="00FD211F">
        <w:rPr>
          <w:sz w:val="36"/>
          <w:szCs w:val="36"/>
          <w:rtl/>
        </w:rPr>
        <w:t xml:space="preserve">ة </w:t>
      </w:r>
      <w:r w:rsidRPr="00FD211F">
        <w:rPr>
          <w:sz w:val="36"/>
          <w:szCs w:val="36"/>
          <w:rtl/>
        </w:rPr>
        <w:t>معنون</w:t>
      </w:r>
      <w:r w:rsidR="00EC7EDF" w:rsidRPr="00FD211F">
        <w:rPr>
          <w:sz w:val="36"/>
          <w:szCs w:val="36"/>
          <w:rtl/>
        </w:rPr>
        <w:t xml:space="preserve">ة </w:t>
      </w:r>
      <w:r w:rsidRPr="00FD211F">
        <w:rPr>
          <w:sz w:val="36"/>
          <w:szCs w:val="36"/>
          <w:rtl/>
        </w:rPr>
        <w:t>كالطهار</w:t>
      </w:r>
      <w:r w:rsidR="00EC7EDF" w:rsidRPr="00FD211F">
        <w:rPr>
          <w:sz w:val="36"/>
          <w:szCs w:val="36"/>
          <w:rtl/>
        </w:rPr>
        <w:t xml:space="preserve">ة </w:t>
      </w:r>
      <w:r w:rsidRPr="00FD211F">
        <w:rPr>
          <w:sz w:val="36"/>
          <w:szCs w:val="36"/>
          <w:rtl/>
        </w:rPr>
        <w:t>والنجاس</w:t>
      </w:r>
      <w:r w:rsidR="00EC7EDF" w:rsidRPr="00FD211F">
        <w:rPr>
          <w:sz w:val="36"/>
          <w:szCs w:val="36"/>
          <w:rtl/>
        </w:rPr>
        <w:t xml:space="preserve">ة </w:t>
      </w:r>
      <w:r w:rsidRPr="00FD211F">
        <w:rPr>
          <w:sz w:val="36"/>
          <w:szCs w:val="36"/>
          <w:rtl/>
        </w:rPr>
        <w:t>حتى يجري استصحابه</w:t>
      </w:r>
      <w:r w:rsidR="00603323" w:rsidRPr="00FD211F">
        <w:rPr>
          <w:sz w:val="36"/>
          <w:szCs w:val="36"/>
          <w:rtl/>
        </w:rPr>
        <w:t xml:space="preserve">، </w:t>
      </w:r>
      <w:r w:rsidRPr="00FD211F">
        <w:rPr>
          <w:sz w:val="36"/>
          <w:szCs w:val="36"/>
          <w:rtl/>
        </w:rPr>
        <w:t>فلعله عنوان لواقع تكويني يدور امره بين مقطوع البقاء وبين مقطوع الارتفاع</w:t>
      </w:r>
      <w:r w:rsidR="00603323" w:rsidRPr="00FD211F">
        <w:rPr>
          <w:sz w:val="36"/>
          <w:szCs w:val="36"/>
          <w:rtl/>
        </w:rPr>
        <w:t xml:space="preserve">، </w:t>
      </w:r>
      <w:r w:rsidRPr="00FD211F">
        <w:rPr>
          <w:sz w:val="36"/>
          <w:szCs w:val="36"/>
          <w:rtl/>
        </w:rPr>
        <w:t>فلو كان هو من</w:t>
      </w:r>
      <w:r w:rsidR="008D7B3D" w:rsidRPr="00FD211F">
        <w:rPr>
          <w:sz w:val="36"/>
          <w:szCs w:val="36"/>
          <w:rtl/>
        </w:rPr>
        <w:t xml:space="preserve"> لم‌</w:t>
      </w:r>
      <w:r w:rsidRPr="00FD211F">
        <w:rPr>
          <w:sz w:val="36"/>
          <w:szCs w:val="36"/>
          <w:rtl/>
        </w:rPr>
        <w:t>يقصِّر مطلقا فيكون مقطوع الارتفاع</w:t>
      </w:r>
      <w:r w:rsidR="00603323" w:rsidRPr="00FD211F">
        <w:rPr>
          <w:sz w:val="36"/>
          <w:szCs w:val="36"/>
          <w:rtl/>
        </w:rPr>
        <w:t xml:space="preserve">، </w:t>
      </w:r>
      <w:r w:rsidRPr="00FD211F">
        <w:rPr>
          <w:sz w:val="36"/>
          <w:szCs w:val="36"/>
          <w:rtl/>
        </w:rPr>
        <w:t>وان كان هو من</w:t>
      </w:r>
      <w:r w:rsidR="008D7B3D" w:rsidRPr="00FD211F">
        <w:rPr>
          <w:sz w:val="36"/>
          <w:szCs w:val="36"/>
          <w:rtl/>
        </w:rPr>
        <w:t xml:space="preserve"> لم‌</w:t>
      </w:r>
      <w:r w:rsidRPr="00FD211F">
        <w:rPr>
          <w:sz w:val="36"/>
          <w:szCs w:val="36"/>
          <w:rtl/>
        </w:rPr>
        <w:t>يقصِّر في المكان الضيق الذي هو القدر المتيقن من منى فيكون مقطوع البقاء</w:t>
      </w:r>
      <w:r w:rsidR="00603323" w:rsidRPr="00FD211F">
        <w:rPr>
          <w:sz w:val="36"/>
          <w:szCs w:val="36"/>
          <w:rtl/>
        </w:rPr>
        <w:t xml:space="preserve">، </w:t>
      </w:r>
      <w:r w:rsidRPr="00FD211F">
        <w:rPr>
          <w:sz w:val="36"/>
          <w:szCs w:val="36"/>
          <w:rtl/>
        </w:rPr>
        <w:t>فيكون استصحابه من قبيل استصحاب الفرد المردد</w:t>
      </w:r>
      <w:r w:rsidR="00603323" w:rsidRPr="00FD211F">
        <w:rPr>
          <w:sz w:val="36"/>
          <w:szCs w:val="36"/>
          <w:rtl/>
        </w:rPr>
        <w:t xml:space="preserve">، </w:t>
      </w:r>
      <w:r w:rsidRPr="00FD211F">
        <w:rPr>
          <w:sz w:val="36"/>
          <w:szCs w:val="36"/>
          <w:rtl/>
        </w:rPr>
        <w:t>او فقل من الاستصحاب الموضوعي في الشبه</w:t>
      </w:r>
      <w:r w:rsidR="00EC7EDF" w:rsidRPr="00FD211F">
        <w:rPr>
          <w:sz w:val="36"/>
          <w:szCs w:val="36"/>
          <w:rtl/>
        </w:rPr>
        <w:t xml:space="preserve">ة </w:t>
      </w:r>
      <w:r w:rsidRPr="00FD211F">
        <w:rPr>
          <w:sz w:val="36"/>
          <w:szCs w:val="36"/>
          <w:rtl/>
        </w:rPr>
        <w:t>المفهومي</w:t>
      </w:r>
      <w:r w:rsidR="00EC7EDF" w:rsidRPr="00FD211F">
        <w:rPr>
          <w:sz w:val="36"/>
          <w:szCs w:val="36"/>
          <w:rtl/>
        </w:rPr>
        <w:t>ة</w:t>
      </w:r>
      <w:r w:rsidR="005951BD" w:rsidRPr="00FD211F">
        <w:rPr>
          <w:sz w:val="36"/>
          <w:szCs w:val="36"/>
          <w:rtl/>
        </w:rPr>
        <w:t>.</w:t>
      </w:r>
    </w:p>
    <w:p w14:paraId="6DC2151B" w14:textId="77777777" w:rsidR="00052BF2" w:rsidRPr="00FD211F" w:rsidRDefault="00052BF2" w:rsidP="009C58C8">
      <w:pPr>
        <w:ind w:left="0" w:firstLine="227"/>
        <w:jc w:val="both"/>
        <w:rPr>
          <w:sz w:val="36"/>
          <w:szCs w:val="36"/>
          <w:rtl/>
        </w:rPr>
      </w:pPr>
      <w:r w:rsidRPr="00FD211F">
        <w:rPr>
          <w:sz w:val="36"/>
          <w:szCs w:val="36"/>
          <w:rtl/>
        </w:rPr>
        <w:t>وأما عدم جريان استصحاب حرم</w:t>
      </w:r>
      <w:r w:rsidR="00EC7EDF" w:rsidRPr="00FD211F">
        <w:rPr>
          <w:sz w:val="36"/>
          <w:szCs w:val="36"/>
          <w:rtl/>
        </w:rPr>
        <w:t xml:space="preserve">ة </w:t>
      </w:r>
      <w:r w:rsidRPr="00FD211F">
        <w:rPr>
          <w:sz w:val="36"/>
          <w:szCs w:val="36"/>
          <w:rtl/>
        </w:rPr>
        <w:t>محرمات الاحرام فلأن أفراد الحرم</w:t>
      </w:r>
      <w:r w:rsidR="00EC7EDF" w:rsidRPr="00FD211F">
        <w:rPr>
          <w:sz w:val="36"/>
          <w:szCs w:val="36"/>
          <w:rtl/>
        </w:rPr>
        <w:t xml:space="preserve">ة </w:t>
      </w:r>
      <w:r w:rsidRPr="00FD211F">
        <w:rPr>
          <w:sz w:val="36"/>
          <w:szCs w:val="36"/>
          <w:rtl/>
        </w:rPr>
        <w:t>بلحاظ قبل الحلق او التقصير وما بعده انحلالي</w:t>
      </w:r>
      <w:r w:rsidR="00EC7EDF" w:rsidRPr="00FD211F">
        <w:rPr>
          <w:sz w:val="36"/>
          <w:szCs w:val="36"/>
          <w:rtl/>
        </w:rPr>
        <w:t>ة</w:t>
      </w:r>
      <w:r w:rsidR="00603323" w:rsidRPr="00FD211F">
        <w:rPr>
          <w:sz w:val="36"/>
          <w:szCs w:val="36"/>
          <w:rtl/>
        </w:rPr>
        <w:t xml:space="preserve">، </w:t>
      </w:r>
      <w:r w:rsidRPr="00FD211F">
        <w:rPr>
          <w:sz w:val="36"/>
          <w:szCs w:val="36"/>
          <w:rtl/>
        </w:rPr>
        <w:t>وخصوص الحلق او التقصير الصحيح حيثي</w:t>
      </w:r>
      <w:r w:rsidR="00EC7EDF" w:rsidRPr="00FD211F">
        <w:rPr>
          <w:sz w:val="36"/>
          <w:szCs w:val="36"/>
          <w:rtl/>
        </w:rPr>
        <w:t xml:space="preserve">ة </w:t>
      </w:r>
      <w:r w:rsidRPr="00FD211F">
        <w:rPr>
          <w:sz w:val="36"/>
          <w:szCs w:val="36"/>
          <w:rtl/>
        </w:rPr>
        <w:t>تقييدي</w:t>
      </w:r>
      <w:r w:rsidR="00EC7EDF" w:rsidRPr="00FD211F">
        <w:rPr>
          <w:sz w:val="36"/>
          <w:szCs w:val="36"/>
          <w:rtl/>
        </w:rPr>
        <w:t xml:space="preserve">ة </w:t>
      </w:r>
      <w:r w:rsidRPr="00FD211F">
        <w:rPr>
          <w:sz w:val="36"/>
          <w:szCs w:val="36"/>
          <w:rtl/>
        </w:rPr>
        <w:t>لاتعليلي</w:t>
      </w:r>
      <w:r w:rsidR="00EC7EDF" w:rsidRPr="00FD211F">
        <w:rPr>
          <w:sz w:val="36"/>
          <w:szCs w:val="36"/>
          <w:rtl/>
        </w:rPr>
        <w:t>ة</w:t>
      </w:r>
      <w:r w:rsidR="00C774D9" w:rsidRPr="00FD211F">
        <w:rPr>
          <w:sz w:val="36"/>
          <w:szCs w:val="36"/>
          <w:rtl/>
        </w:rPr>
        <w:t>.</w:t>
      </w:r>
    </w:p>
    <w:p w14:paraId="49B09F39" w14:textId="77777777" w:rsidR="00452410" w:rsidRPr="00FD211F" w:rsidRDefault="00052BF2" w:rsidP="009C58C8">
      <w:pPr>
        <w:ind w:left="0" w:firstLine="227"/>
        <w:jc w:val="both"/>
        <w:rPr>
          <w:sz w:val="36"/>
          <w:szCs w:val="36"/>
          <w:rtl/>
        </w:rPr>
      </w:pPr>
      <w:r w:rsidRPr="00FD211F">
        <w:rPr>
          <w:sz w:val="36"/>
          <w:szCs w:val="36"/>
          <w:rtl/>
        </w:rPr>
        <w:t xml:space="preserve">ويلاحظ عليه </w:t>
      </w:r>
      <w:r w:rsidRPr="00FD211F">
        <w:rPr>
          <w:b/>
          <w:bCs/>
          <w:sz w:val="36"/>
          <w:szCs w:val="36"/>
          <w:rtl/>
        </w:rPr>
        <w:t>اولا</w:t>
      </w:r>
      <w:r w:rsidRPr="00FD211F">
        <w:rPr>
          <w:sz w:val="36"/>
          <w:szCs w:val="36"/>
          <w:rtl/>
        </w:rPr>
        <w:t>: ان ظاهر الأدل</w:t>
      </w:r>
      <w:r w:rsidR="00EC7EDF" w:rsidRPr="00FD211F">
        <w:rPr>
          <w:sz w:val="36"/>
          <w:szCs w:val="36"/>
          <w:rtl/>
        </w:rPr>
        <w:t xml:space="preserve">ة </w:t>
      </w:r>
      <w:r w:rsidRPr="00FD211F">
        <w:rPr>
          <w:sz w:val="36"/>
          <w:szCs w:val="36"/>
          <w:rtl/>
        </w:rPr>
        <w:t xml:space="preserve">–مثل قوله </w:t>
      </w:r>
      <w:r w:rsidR="007A4A0D" w:rsidRPr="00FD211F">
        <w:rPr>
          <w:sz w:val="36"/>
          <w:szCs w:val="36"/>
          <w:rtl/>
        </w:rPr>
        <w:t>(عليه‌السلام)</w:t>
      </w:r>
      <w:r w:rsidRPr="00FD211F">
        <w:rPr>
          <w:sz w:val="36"/>
          <w:szCs w:val="36"/>
          <w:rtl/>
        </w:rPr>
        <w:t xml:space="preserve"> من لبّى فقد أحرم- هو ان الاحرام حال</w:t>
      </w:r>
      <w:r w:rsidR="00EC7EDF" w:rsidRPr="00FD211F">
        <w:rPr>
          <w:sz w:val="36"/>
          <w:szCs w:val="36"/>
          <w:rtl/>
        </w:rPr>
        <w:t xml:space="preserve">ة </w:t>
      </w:r>
      <w:r w:rsidRPr="00FD211F">
        <w:rPr>
          <w:sz w:val="36"/>
          <w:szCs w:val="36"/>
          <w:rtl/>
        </w:rPr>
        <w:t>اعتباري</w:t>
      </w:r>
      <w:r w:rsidR="00EC7EDF" w:rsidRPr="00FD211F">
        <w:rPr>
          <w:sz w:val="36"/>
          <w:szCs w:val="36"/>
          <w:rtl/>
        </w:rPr>
        <w:t xml:space="preserve">ة </w:t>
      </w:r>
      <w:r w:rsidRPr="00FD211F">
        <w:rPr>
          <w:sz w:val="36"/>
          <w:szCs w:val="36"/>
          <w:rtl/>
        </w:rPr>
        <w:t>تحصل بالتلبي</w:t>
      </w:r>
      <w:r w:rsidR="00EC7EDF" w:rsidRPr="00FD211F">
        <w:rPr>
          <w:sz w:val="36"/>
          <w:szCs w:val="36"/>
          <w:rtl/>
        </w:rPr>
        <w:t xml:space="preserve">ة </w:t>
      </w:r>
      <w:r w:rsidRPr="00FD211F">
        <w:rPr>
          <w:sz w:val="36"/>
          <w:szCs w:val="36"/>
          <w:rtl/>
        </w:rPr>
        <w:t>وتبقى الى ان يقصِّر</w:t>
      </w:r>
      <w:r w:rsidR="00603323" w:rsidRPr="00FD211F">
        <w:rPr>
          <w:sz w:val="36"/>
          <w:szCs w:val="36"/>
          <w:rtl/>
        </w:rPr>
        <w:t xml:space="preserve">، </w:t>
      </w:r>
      <w:r w:rsidRPr="00FD211F">
        <w:rPr>
          <w:sz w:val="36"/>
          <w:szCs w:val="36"/>
          <w:rtl/>
        </w:rPr>
        <w:t>وحينئذ فلامانع من استصحابه بناء على جريان الاستصحاب في الشبهات الحكمي</w:t>
      </w:r>
      <w:r w:rsidR="00EC7EDF" w:rsidRPr="00FD211F">
        <w:rPr>
          <w:sz w:val="36"/>
          <w:szCs w:val="36"/>
          <w:rtl/>
        </w:rPr>
        <w:t>ة</w:t>
      </w:r>
      <w:r w:rsidR="00A61BAE" w:rsidRPr="00FD211F">
        <w:rPr>
          <w:sz w:val="36"/>
          <w:szCs w:val="36"/>
          <w:rtl/>
        </w:rPr>
        <w:t>.</w:t>
      </w:r>
    </w:p>
    <w:p w14:paraId="17D935A3" w14:textId="77777777" w:rsidR="00452410"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انه لامانع من جريان استصحاب محرمات الإحرام</w:t>
      </w:r>
      <w:r w:rsidR="00603323" w:rsidRPr="00FD211F">
        <w:rPr>
          <w:sz w:val="36"/>
          <w:szCs w:val="36"/>
          <w:rtl/>
        </w:rPr>
        <w:t xml:space="preserve">، </w:t>
      </w:r>
      <w:r w:rsidRPr="00FD211F">
        <w:rPr>
          <w:sz w:val="36"/>
          <w:szCs w:val="36"/>
          <w:rtl/>
        </w:rPr>
        <w:t>فانه لاوجه لدعوى كون حيثي</w:t>
      </w:r>
      <w:r w:rsidR="00EC7EDF" w:rsidRPr="00FD211F">
        <w:rPr>
          <w:sz w:val="36"/>
          <w:szCs w:val="36"/>
          <w:rtl/>
        </w:rPr>
        <w:t xml:space="preserve">ة </w:t>
      </w:r>
      <w:r w:rsidRPr="00FD211F">
        <w:rPr>
          <w:sz w:val="36"/>
          <w:szCs w:val="36"/>
          <w:rtl/>
        </w:rPr>
        <w:t>الإحرام حيثي</w:t>
      </w:r>
      <w:r w:rsidR="00EC7EDF" w:rsidRPr="00FD211F">
        <w:rPr>
          <w:sz w:val="36"/>
          <w:szCs w:val="36"/>
          <w:rtl/>
        </w:rPr>
        <w:t xml:space="preserve">ة </w:t>
      </w:r>
      <w:r w:rsidRPr="00FD211F">
        <w:rPr>
          <w:sz w:val="36"/>
          <w:szCs w:val="36"/>
          <w:rtl/>
        </w:rPr>
        <w:t>تقييدي</w:t>
      </w:r>
      <w:r w:rsidR="00EC7EDF" w:rsidRPr="00FD211F">
        <w:rPr>
          <w:sz w:val="36"/>
          <w:szCs w:val="36"/>
          <w:rtl/>
        </w:rPr>
        <w:t>ة</w:t>
      </w:r>
      <w:r w:rsidR="00603323" w:rsidRPr="00FD211F">
        <w:rPr>
          <w:sz w:val="36"/>
          <w:szCs w:val="36"/>
          <w:rtl/>
        </w:rPr>
        <w:t xml:space="preserve">، </w:t>
      </w:r>
      <w:r w:rsidRPr="00FD211F">
        <w:rPr>
          <w:sz w:val="36"/>
          <w:szCs w:val="36"/>
          <w:rtl/>
        </w:rPr>
        <w:t>فان العرف يرى ثبوت محرمات الاحرام لذات المكلف</w:t>
      </w:r>
      <w:r w:rsidR="00603323" w:rsidRPr="00FD211F">
        <w:rPr>
          <w:sz w:val="36"/>
          <w:szCs w:val="36"/>
          <w:rtl/>
        </w:rPr>
        <w:t xml:space="preserve">، </w:t>
      </w:r>
      <w:r w:rsidRPr="00FD211F">
        <w:rPr>
          <w:sz w:val="36"/>
          <w:szCs w:val="36"/>
          <w:rtl/>
        </w:rPr>
        <w:t>ويكون احرامه حيثي</w:t>
      </w:r>
      <w:r w:rsidR="00EC7EDF" w:rsidRPr="00FD211F">
        <w:rPr>
          <w:sz w:val="36"/>
          <w:szCs w:val="36"/>
          <w:rtl/>
        </w:rPr>
        <w:t xml:space="preserve">ة </w:t>
      </w:r>
      <w:r w:rsidRPr="00FD211F">
        <w:rPr>
          <w:sz w:val="36"/>
          <w:szCs w:val="36"/>
          <w:rtl/>
        </w:rPr>
        <w:t>تعليلي</w:t>
      </w:r>
      <w:r w:rsidR="00EC7EDF" w:rsidRPr="00FD211F">
        <w:rPr>
          <w:sz w:val="36"/>
          <w:szCs w:val="36"/>
          <w:rtl/>
        </w:rPr>
        <w:t xml:space="preserve">ة </w:t>
      </w:r>
      <w:r w:rsidRPr="00FD211F">
        <w:rPr>
          <w:sz w:val="36"/>
          <w:szCs w:val="36"/>
          <w:rtl/>
        </w:rPr>
        <w:t>لذلك</w:t>
      </w:r>
      <w:r w:rsidR="00603323" w:rsidRPr="00FD211F">
        <w:rPr>
          <w:sz w:val="36"/>
          <w:szCs w:val="36"/>
          <w:rtl/>
        </w:rPr>
        <w:t xml:space="preserve">، </w:t>
      </w:r>
      <w:r w:rsidRPr="00FD211F">
        <w:rPr>
          <w:sz w:val="36"/>
          <w:szCs w:val="36"/>
          <w:rtl/>
        </w:rPr>
        <w:t>فيقال هذا كان يحرم عليه الجماع مثلا</w:t>
      </w:r>
      <w:r w:rsidR="00603323" w:rsidRPr="00FD211F">
        <w:rPr>
          <w:sz w:val="36"/>
          <w:szCs w:val="36"/>
          <w:rtl/>
        </w:rPr>
        <w:t xml:space="preserve">، </w:t>
      </w:r>
      <w:r w:rsidRPr="00FD211F">
        <w:rPr>
          <w:sz w:val="36"/>
          <w:szCs w:val="36"/>
          <w:rtl/>
        </w:rPr>
        <w:t>ويشك في بقاء هذه الحرم</w:t>
      </w:r>
      <w:r w:rsidR="00EC7EDF" w:rsidRPr="00FD211F">
        <w:rPr>
          <w:sz w:val="36"/>
          <w:szCs w:val="36"/>
          <w:rtl/>
        </w:rPr>
        <w:t xml:space="preserve">ة </w:t>
      </w:r>
      <w:r w:rsidRPr="00FD211F">
        <w:rPr>
          <w:sz w:val="36"/>
          <w:szCs w:val="36"/>
          <w:rtl/>
        </w:rPr>
        <w:t>بعد</w:t>
      </w:r>
      <w:r w:rsidR="001A14D2" w:rsidRPr="00FD211F">
        <w:rPr>
          <w:sz w:val="36"/>
          <w:szCs w:val="36"/>
          <w:rtl/>
        </w:rPr>
        <w:t xml:space="preserve"> </w:t>
      </w:r>
      <w:r w:rsidRPr="00FD211F">
        <w:rPr>
          <w:sz w:val="36"/>
          <w:szCs w:val="36"/>
          <w:rtl/>
        </w:rPr>
        <w:t>ما اكتفى بالتقصير في المكان الذي يشك كونه من منى</w:t>
      </w:r>
      <w:r w:rsidR="00603323" w:rsidRPr="00FD211F">
        <w:rPr>
          <w:sz w:val="36"/>
          <w:szCs w:val="36"/>
          <w:rtl/>
        </w:rPr>
        <w:t xml:space="preserve">، </w:t>
      </w:r>
      <w:r w:rsidRPr="00FD211F">
        <w:rPr>
          <w:sz w:val="36"/>
          <w:szCs w:val="36"/>
          <w:rtl/>
        </w:rPr>
        <w:t>وأما كون الحرم</w:t>
      </w:r>
      <w:r w:rsidR="00EC7EDF" w:rsidRPr="00FD211F">
        <w:rPr>
          <w:sz w:val="36"/>
          <w:szCs w:val="36"/>
          <w:rtl/>
        </w:rPr>
        <w:t xml:space="preserve">ة </w:t>
      </w:r>
      <w:r w:rsidRPr="00FD211F">
        <w:rPr>
          <w:sz w:val="36"/>
          <w:szCs w:val="36"/>
          <w:rtl/>
        </w:rPr>
        <w:t>انحلالي</w:t>
      </w:r>
      <w:r w:rsidR="00EC7EDF" w:rsidRPr="00FD211F">
        <w:rPr>
          <w:sz w:val="36"/>
          <w:szCs w:val="36"/>
          <w:rtl/>
        </w:rPr>
        <w:t xml:space="preserve">ة </w:t>
      </w:r>
      <w:r w:rsidRPr="00FD211F">
        <w:rPr>
          <w:sz w:val="36"/>
          <w:szCs w:val="36"/>
          <w:rtl/>
        </w:rPr>
        <w:t>فهو لايمنع من جريان استصحاب طبيعي الحرم</w:t>
      </w:r>
      <w:r w:rsidR="00EC7EDF" w:rsidRPr="00FD211F">
        <w:rPr>
          <w:sz w:val="36"/>
          <w:szCs w:val="36"/>
          <w:rtl/>
        </w:rPr>
        <w:t xml:space="preserve">ة </w:t>
      </w:r>
      <w:r w:rsidRPr="00FD211F">
        <w:rPr>
          <w:sz w:val="36"/>
          <w:szCs w:val="36"/>
          <w:rtl/>
        </w:rPr>
        <w:t>كما في استصحاب حرم</w:t>
      </w:r>
      <w:r w:rsidR="00EC7EDF" w:rsidRPr="00FD211F">
        <w:rPr>
          <w:sz w:val="36"/>
          <w:szCs w:val="36"/>
          <w:rtl/>
        </w:rPr>
        <w:t xml:space="preserve">ة </w:t>
      </w:r>
      <w:r w:rsidRPr="00FD211F">
        <w:rPr>
          <w:sz w:val="36"/>
          <w:szCs w:val="36"/>
          <w:rtl/>
        </w:rPr>
        <w:t>وطئ المرأ</w:t>
      </w:r>
      <w:r w:rsidR="00EC7EDF" w:rsidRPr="00FD211F">
        <w:rPr>
          <w:sz w:val="36"/>
          <w:szCs w:val="36"/>
          <w:rtl/>
        </w:rPr>
        <w:t xml:space="preserve">ة </w:t>
      </w:r>
      <w:r w:rsidRPr="00FD211F">
        <w:rPr>
          <w:sz w:val="36"/>
          <w:szCs w:val="36"/>
          <w:rtl/>
        </w:rPr>
        <w:t>بع</w:t>
      </w:r>
      <w:r w:rsidR="00452410" w:rsidRPr="00FD211F">
        <w:rPr>
          <w:sz w:val="36"/>
          <w:szCs w:val="36"/>
          <w:rtl/>
        </w:rPr>
        <w:t>د انقطاع دم حيضها وقبل اعتسالها.</w:t>
      </w:r>
      <w:r w:rsidRPr="00FD211F">
        <w:rPr>
          <w:sz w:val="36"/>
          <w:szCs w:val="36"/>
          <w:rtl/>
        </w:rPr>
        <w:t xml:space="preserve"> </w:t>
      </w:r>
    </w:p>
    <w:p w14:paraId="02EB5F39" w14:textId="77777777" w:rsidR="00052BF2" w:rsidRPr="00FD211F" w:rsidRDefault="00052BF2"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 xml:space="preserve">ولايخفى ان </w:t>
      </w:r>
      <w:r w:rsidR="005951BD" w:rsidRPr="00FD211F">
        <w:rPr>
          <w:sz w:val="36"/>
          <w:szCs w:val="36"/>
          <w:rtl/>
        </w:rPr>
        <w:t>هذا الجواب</w:t>
      </w:r>
      <w:r w:rsidRPr="00FD211F">
        <w:rPr>
          <w:sz w:val="36"/>
          <w:szCs w:val="36"/>
          <w:rtl/>
        </w:rPr>
        <w:t xml:space="preserve"> حتى لو تمّ في هذه المسأل</w:t>
      </w:r>
      <w:r w:rsidR="00EC7EDF" w:rsidRPr="00FD211F">
        <w:rPr>
          <w:sz w:val="36"/>
          <w:szCs w:val="36"/>
          <w:rtl/>
        </w:rPr>
        <w:t xml:space="preserve">ة </w:t>
      </w:r>
      <w:r w:rsidRPr="00FD211F">
        <w:rPr>
          <w:sz w:val="36"/>
          <w:szCs w:val="36"/>
          <w:rtl/>
        </w:rPr>
        <w:t>فلايكفي لإزاح</w:t>
      </w:r>
      <w:r w:rsidR="00EC7EDF" w:rsidRPr="00FD211F">
        <w:rPr>
          <w:sz w:val="36"/>
          <w:szCs w:val="36"/>
          <w:rtl/>
        </w:rPr>
        <w:t xml:space="preserve">ة </w:t>
      </w:r>
      <w:r w:rsidRPr="00FD211F">
        <w:rPr>
          <w:sz w:val="36"/>
          <w:szCs w:val="36"/>
          <w:rtl/>
        </w:rPr>
        <w:t>الشبه</w:t>
      </w:r>
      <w:r w:rsidR="00EC7EDF" w:rsidRPr="00FD211F">
        <w:rPr>
          <w:sz w:val="36"/>
          <w:szCs w:val="36"/>
          <w:rtl/>
        </w:rPr>
        <w:t xml:space="preserve">ة </w:t>
      </w:r>
      <w:r w:rsidRPr="00FD211F">
        <w:rPr>
          <w:sz w:val="36"/>
          <w:szCs w:val="36"/>
          <w:rtl/>
        </w:rPr>
        <w:t>بشكل نهائي</w:t>
      </w:r>
      <w:r w:rsidR="00603323" w:rsidRPr="00FD211F">
        <w:rPr>
          <w:sz w:val="36"/>
          <w:szCs w:val="36"/>
          <w:rtl/>
        </w:rPr>
        <w:t xml:space="preserve">، </w:t>
      </w:r>
      <w:r w:rsidRPr="00FD211F">
        <w:rPr>
          <w:sz w:val="36"/>
          <w:szCs w:val="36"/>
          <w:rtl/>
        </w:rPr>
        <w:t>كما في مسأل</w:t>
      </w:r>
      <w:r w:rsidR="00EC7EDF" w:rsidRPr="00FD211F">
        <w:rPr>
          <w:sz w:val="36"/>
          <w:szCs w:val="36"/>
          <w:rtl/>
        </w:rPr>
        <w:t xml:space="preserve">ة </w:t>
      </w:r>
      <w:r w:rsidRPr="00FD211F">
        <w:rPr>
          <w:sz w:val="36"/>
          <w:szCs w:val="36"/>
          <w:rtl/>
        </w:rPr>
        <w:t>الإتيان بصلا</w:t>
      </w:r>
      <w:r w:rsidR="00EC7EDF" w:rsidRPr="00FD211F">
        <w:rPr>
          <w:sz w:val="36"/>
          <w:szCs w:val="36"/>
          <w:rtl/>
        </w:rPr>
        <w:t xml:space="preserve">ة </w:t>
      </w:r>
      <w:r w:rsidRPr="00FD211F">
        <w:rPr>
          <w:sz w:val="36"/>
          <w:szCs w:val="36"/>
          <w:rtl/>
        </w:rPr>
        <w:t>رباعي</w:t>
      </w:r>
      <w:r w:rsidR="00EC7EDF" w:rsidRPr="00FD211F">
        <w:rPr>
          <w:sz w:val="36"/>
          <w:szCs w:val="36"/>
          <w:rtl/>
        </w:rPr>
        <w:t xml:space="preserve">ة </w:t>
      </w:r>
      <w:r w:rsidRPr="00FD211F">
        <w:rPr>
          <w:sz w:val="36"/>
          <w:szCs w:val="36"/>
          <w:rtl/>
        </w:rPr>
        <w:t>فاقد</w:t>
      </w:r>
      <w:r w:rsidR="00EC7EDF" w:rsidRPr="00FD211F">
        <w:rPr>
          <w:sz w:val="36"/>
          <w:szCs w:val="36"/>
          <w:rtl/>
        </w:rPr>
        <w:t xml:space="preserve">ة </w:t>
      </w:r>
      <w:r w:rsidRPr="00FD211F">
        <w:rPr>
          <w:sz w:val="36"/>
          <w:szCs w:val="36"/>
          <w:rtl/>
        </w:rPr>
        <w:t>للجزء او الشرط المشكوك</w:t>
      </w:r>
      <w:r w:rsidR="00603323" w:rsidRPr="00FD211F">
        <w:rPr>
          <w:sz w:val="36"/>
          <w:szCs w:val="36"/>
          <w:rtl/>
        </w:rPr>
        <w:t xml:space="preserve">، </w:t>
      </w:r>
      <w:r w:rsidRPr="00FD211F">
        <w:rPr>
          <w:sz w:val="36"/>
          <w:szCs w:val="36"/>
          <w:rtl/>
        </w:rPr>
        <w:t>حيث أنه ما</w:t>
      </w:r>
      <w:r w:rsidR="008D7B3D" w:rsidRPr="00FD211F">
        <w:rPr>
          <w:sz w:val="36"/>
          <w:szCs w:val="36"/>
          <w:rtl/>
        </w:rPr>
        <w:t xml:space="preserve"> لم‌</w:t>
      </w:r>
      <w:r w:rsidRPr="00FD211F">
        <w:rPr>
          <w:sz w:val="36"/>
          <w:szCs w:val="36"/>
          <w:rtl/>
        </w:rPr>
        <w:t>يثبت كون الأقل لابشرط هو المتعلق للحكم فلايمكن إثبات كونه موضوعا للبناء على التمام في الصلوات الآتي</w:t>
      </w:r>
      <w:r w:rsidR="00EC7EDF" w:rsidRPr="00FD211F">
        <w:rPr>
          <w:sz w:val="36"/>
          <w:szCs w:val="36"/>
          <w:rtl/>
        </w:rPr>
        <w:t>ة</w:t>
      </w:r>
      <w:r w:rsidR="00A61BAE" w:rsidRPr="00FD211F">
        <w:rPr>
          <w:sz w:val="36"/>
          <w:szCs w:val="36"/>
          <w:rtl/>
        </w:rPr>
        <w:t>.</w:t>
      </w:r>
    </w:p>
    <w:p w14:paraId="1AB0B93E" w14:textId="77777777" w:rsidR="00052BF2" w:rsidRPr="00FD211F" w:rsidRDefault="00052BF2" w:rsidP="009C58C8">
      <w:pPr>
        <w:pStyle w:val="a4"/>
        <w:ind w:left="0" w:firstLine="227"/>
        <w:jc w:val="both"/>
        <w:rPr>
          <w:sz w:val="36"/>
          <w:szCs w:val="36"/>
          <w:rtl/>
        </w:rPr>
      </w:pPr>
      <w:r w:rsidRPr="00FD211F">
        <w:rPr>
          <w:sz w:val="36"/>
          <w:szCs w:val="36"/>
          <w:rtl/>
        </w:rPr>
        <w:t>و</w:t>
      </w:r>
      <w:r w:rsidR="00452410" w:rsidRPr="00FD211F">
        <w:rPr>
          <w:sz w:val="36"/>
          <w:szCs w:val="36"/>
          <w:rtl/>
        </w:rPr>
        <w:t xml:space="preserve">قد </w:t>
      </w:r>
      <w:r w:rsidR="003E144E" w:rsidRPr="00FD211F">
        <w:rPr>
          <w:sz w:val="36"/>
          <w:szCs w:val="36"/>
          <w:rtl/>
        </w:rPr>
        <w:t xml:space="preserve">حاولنا </w:t>
      </w:r>
      <w:r w:rsidR="00452410" w:rsidRPr="00FD211F">
        <w:rPr>
          <w:sz w:val="36"/>
          <w:szCs w:val="36"/>
          <w:rtl/>
        </w:rPr>
        <w:t>في بحث البراء</w:t>
      </w:r>
      <w:r w:rsidR="00EC7EDF" w:rsidRPr="00FD211F">
        <w:rPr>
          <w:sz w:val="36"/>
          <w:szCs w:val="36"/>
          <w:rtl/>
        </w:rPr>
        <w:t xml:space="preserve">ة </w:t>
      </w:r>
      <w:r w:rsidR="003E144E" w:rsidRPr="00FD211F">
        <w:rPr>
          <w:sz w:val="36"/>
          <w:szCs w:val="36"/>
          <w:rtl/>
        </w:rPr>
        <w:t>ان نجيب</w:t>
      </w:r>
      <w:r w:rsidR="00B253CE" w:rsidRPr="00FD211F">
        <w:rPr>
          <w:sz w:val="36"/>
          <w:szCs w:val="36"/>
          <w:rtl/>
        </w:rPr>
        <w:t xml:space="preserve"> </w:t>
      </w:r>
      <w:r w:rsidR="003E144E" w:rsidRPr="00FD211F">
        <w:rPr>
          <w:sz w:val="36"/>
          <w:szCs w:val="36"/>
          <w:rtl/>
        </w:rPr>
        <w:t xml:space="preserve">عن </w:t>
      </w:r>
      <w:r w:rsidR="005951BD" w:rsidRPr="00FD211F">
        <w:rPr>
          <w:sz w:val="36"/>
          <w:szCs w:val="36"/>
          <w:rtl/>
        </w:rPr>
        <w:t xml:space="preserve">هذه الشبهة </w:t>
      </w:r>
      <w:r w:rsidR="003E144E" w:rsidRPr="00FD211F">
        <w:rPr>
          <w:sz w:val="36"/>
          <w:szCs w:val="36"/>
          <w:rtl/>
        </w:rPr>
        <w:t>ب</w:t>
      </w:r>
      <w:r w:rsidRPr="00FD211F">
        <w:rPr>
          <w:sz w:val="36"/>
          <w:szCs w:val="36"/>
          <w:rtl/>
        </w:rPr>
        <w:t>ان الغفل</w:t>
      </w:r>
      <w:r w:rsidR="00EC7EDF" w:rsidRPr="00FD211F">
        <w:rPr>
          <w:sz w:val="36"/>
          <w:szCs w:val="36"/>
          <w:rtl/>
        </w:rPr>
        <w:t xml:space="preserve">ة </w:t>
      </w:r>
      <w:r w:rsidRPr="00FD211F">
        <w:rPr>
          <w:sz w:val="36"/>
          <w:szCs w:val="36"/>
          <w:rtl/>
        </w:rPr>
        <w:t>النوعي</w:t>
      </w:r>
      <w:r w:rsidR="00EC7EDF" w:rsidRPr="00FD211F">
        <w:rPr>
          <w:sz w:val="36"/>
          <w:szCs w:val="36"/>
          <w:rtl/>
        </w:rPr>
        <w:t xml:space="preserve">ة </w:t>
      </w:r>
      <w:r w:rsidRPr="00FD211F">
        <w:rPr>
          <w:sz w:val="36"/>
          <w:szCs w:val="36"/>
          <w:rtl/>
        </w:rPr>
        <w:t>عن هذه التدقيقات تساعد على انعقاد الاطلاق المقامي لأدل</w:t>
      </w:r>
      <w:r w:rsidR="00EC7EDF" w:rsidRPr="00FD211F">
        <w:rPr>
          <w:sz w:val="36"/>
          <w:szCs w:val="36"/>
          <w:rtl/>
        </w:rPr>
        <w:t xml:space="preserve">ة </w:t>
      </w:r>
      <w:r w:rsidRPr="00FD211F">
        <w:rPr>
          <w:sz w:val="36"/>
          <w:szCs w:val="36"/>
          <w:rtl/>
        </w:rPr>
        <w:t>الأصول العملي</w:t>
      </w:r>
      <w:r w:rsidR="00EC7EDF" w:rsidRPr="00FD211F">
        <w:rPr>
          <w:sz w:val="36"/>
          <w:szCs w:val="36"/>
          <w:rtl/>
        </w:rPr>
        <w:t>ة</w:t>
      </w:r>
      <w:r w:rsidR="00603323" w:rsidRPr="00FD211F">
        <w:rPr>
          <w:sz w:val="36"/>
          <w:szCs w:val="36"/>
          <w:rtl/>
        </w:rPr>
        <w:t xml:space="preserve">، </w:t>
      </w:r>
      <w:r w:rsidRPr="00FD211F">
        <w:rPr>
          <w:sz w:val="36"/>
          <w:szCs w:val="36"/>
          <w:rtl/>
        </w:rPr>
        <w:t>حيث أن البراء</w:t>
      </w:r>
      <w:r w:rsidR="00EC7EDF" w:rsidRPr="00FD211F">
        <w:rPr>
          <w:sz w:val="36"/>
          <w:szCs w:val="36"/>
          <w:rtl/>
        </w:rPr>
        <w:t xml:space="preserve">ة </w:t>
      </w:r>
      <w:r w:rsidRPr="00FD211F">
        <w:rPr>
          <w:sz w:val="36"/>
          <w:szCs w:val="36"/>
          <w:rtl/>
        </w:rPr>
        <w:t>لما أثبتت الصح</w:t>
      </w:r>
      <w:r w:rsidR="00EC7EDF" w:rsidRPr="00FD211F">
        <w:rPr>
          <w:sz w:val="36"/>
          <w:szCs w:val="36"/>
          <w:rtl/>
        </w:rPr>
        <w:t xml:space="preserve">ة </w:t>
      </w:r>
      <w:r w:rsidRPr="00FD211F">
        <w:rPr>
          <w:sz w:val="36"/>
          <w:szCs w:val="36"/>
          <w:rtl/>
        </w:rPr>
        <w:t>الظاهري</w:t>
      </w:r>
      <w:r w:rsidR="00EC7EDF" w:rsidRPr="00FD211F">
        <w:rPr>
          <w:sz w:val="36"/>
          <w:szCs w:val="36"/>
          <w:rtl/>
        </w:rPr>
        <w:t xml:space="preserve">ة </w:t>
      </w:r>
      <w:r w:rsidRPr="00FD211F">
        <w:rPr>
          <w:sz w:val="36"/>
          <w:szCs w:val="36"/>
          <w:rtl/>
        </w:rPr>
        <w:t>للعمل الفاقد للجزء المشكوك ورخّصت في الاكتفاء به في مقام الامتثال فيرتب عليه العرف آثار الصح</w:t>
      </w:r>
      <w:r w:rsidR="00EC7EDF" w:rsidRPr="00FD211F">
        <w:rPr>
          <w:sz w:val="36"/>
          <w:szCs w:val="36"/>
          <w:rtl/>
        </w:rPr>
        <w:t xml:space="preserve">ة </w:t>
      </w:r>
      <w:r w:rsidRPr="00FD211F">
        <w:rPr>
          <w:sz w:val="36"/>
          <w:szCs w:val="36"/>
          <w:rtl/>
        </w:rPr>
        <w:t>الواقعي</w:t>
      </w:r>
      <w:r w:rsidR="00EC7EDF" w:rsidRPr="00FD211F">
        <w:rPr>
          <w:sz w:val="36"/>
          <w:szCs w:val="36"/>
          <w:rtl/>
        </w:rPr>
        <w:t>ة</w:t>
      </w:r>
      <w:r w:rsidR="00603323" w:rsidRPr="00FD211F">
        <w:rPr>
          <w:sz w:val="36"/>
          <w:szCs w:val="36"/>
          <w:rtl/>
        </w:rPr>
        <w:t xml:space="preserve">، </w:t>
      </w:r>
      <w:r w:rsidRPr="00FD211F">
        <w:rPr>
          <w:sz w:val="36"/>
          <w:szCs w:val="36"/>
          <w:rtl/>
        </w:rPr>
        <w:t>من إباح</w:t>
      </w:r>
      <w:r w:rsidR="00EC7EDF" w:rsidRPr="00FD211F">
        <w:rPr>
          <w:sz w:val="36"/>
          <w:szCs w:val="36"/>
          <w:rtl/>
        </w:rPr>
        <w:t xml:space="preserve">ة </w:t>
      </w:r>
      <w:r w:rsidRPr="00FD211F">
        <w:rPr>
          <w:sz w:val="36"/>
          <w:szCs w:val="36"/>
          <w:rtl/>
        </w:rPr>
        <w:t>مس الكتاب به وأنه لو صلى رباعي</w:t>
      </w:r>
      <w:r w:rsidR="00EC7EDF" w:rsidRPr="00FD211F">
        <w:rPr>
          <w:sz w:val="36"/>
          <w:szCs w:val="36"/>
          <w:rtl/>
        </w:rPr>
        <w:t xml:space="preserve">ة </w:t>
      </w:r>
      <w:r w:rsidRPr="00FD211F">
        <w:rPr>
          <w:sz w:val="36"/>
          <w:szCs w:val="36"/>
          <w:rtl/>
        </w:rPr>
        <w:t>مع هذا الوضوء ثم عدل عن ني</w:t>
      </w:r>
      <w:r w:rsidR="00EC7EDF" w:rsidRPr="00FD211F">
        <w:rPr>
          <w:sz w:val="36"/>
          <w:szCs w:val="36"/>
          <w:rtl/>
        </w:rPr>
        <w:t xml:space="preserve">ة </w:t>
      </w:r>
      <w:r w:rsidRPr="00FD211F">
        <w:rPr>
          <w:sz w:val="36"/>
          <w:szCs w:val="36"/>
          <w:rtl/>
        </w:rPr>
        <w:t>الإقام</w:t>
      </w:r>
      <w:r w:rsidR="00EC7EDF" w:rsidRPr="00FD211F">
        <w:rPr>
          <w:sz w:val="36"/>
          <w:szCs w:val="36"/>
          <w:rtl/>
        </w:rPr>
        <w:t xml:space="preserve">ة </w:t>
      </w:r>
      <w:r w:rsidRPr="00FD211F">
        <w:rPr>
          <w:sz w:val="36"/>
          <w:szCs w:val="36"/>
          <w:rtl/>
        </w:rPr>
        <w:t>وجب عليه البناء على التمام في الآتي</w:t>
      </w:r>
      <w:r w:rsidR="00EC7EDF" w:rsidRPr="00FD211F">
        <w:rPr>
          <w:sz w:val="36"/>
          <w:szCs w:val="36"/>
          <w:rtl/>
        </w:rPr>
        <w:t xml:space="preserve">ة </w:t>
      </w:r>
      <w:r w:rsidRPr="00FD211F">
        <w:rPr>
          <w:sz w:val="36"/>
          <w:szCs w:val="36"/>
          <w:rtl/>
        </w:rPr>
        <w:t>و</w:t>
      </w:r>
      <w:r w:rsidR="003E144E" w:rsidRPr="00FD211F">
        <w:rPr>
          <w:sz w:val="36"/>
          <w:szCs w:val="36"/>
          <w:rtl/>
        </w:rPr>
        <w:t>هكذا</w:t>
      </w:r>
      <w:r w:rsidR="00603323" w:rsidRPr="00FD211F">
        <w:rPr>
          <w:sz w:val="36"/>
          <w:szCs w:val="36"/>
          <w:rtl/>
        </w:rPr>
        <w:t xml:space="preserve">، </w:t>
      </w:r>
      <w:r w:rsidRPr="00FD211F">
        <w:rPr>
          <w:sz w:val="36"/>
          <w:szCs w:val="36"/>
          <w:rtl/>
        </w:rPr>
        <w:t>ولعله لأجل ذلك</w:t>
      </w:r>
      <w:r w:rsidR="008D7B3D" w:rsidRPr="00FD211F">
        <w:rPr>
          <w:sz w:val="36"/>
          <w:szCs w:val="36"/>
          <w:rtl/>
        </w:rPr>
        <w:t xml:space="preserve"> لم‌</w:t>
      </w:r>
      <w:r w:rsidRPr="00FD211F">
        <w:rPr>
          <w:sz w:val="36"/>
          <w:szCs w:val="36"/>
          <w:rtl/>
        </w:rPr>
        <w:t>يستشكل الفقهاء في ترتيب آثار الصح</w:t>
      </w:r>
      <w:r w:rsidR="00EC7EDF" w:rsidRPr="00FD211F">
        <w:rPr>
          <w:sz w:val="36"/>
          <w:szCs w:val="36"/>
          <w:rtl/>
        </w:rPr>
        <w:t xml:space="preserve">ة </w:t>
      </w:r>
      <w:r w:rsidRPr="00FD211F">
        <w:rPr>
          <w:sz w:val="36"/>
          <w:szCs w:val="36"/>
          <w:rtl/>
        </w:rPr>
        <w:t>الواقعي</w:t>
      </w:r>
      <w:r w:rsidR="00EC7EDF" w:rsidRPr="00FD211F">
        <w:rPr>
          <w:sz w:val="36"/>
          <w:szCs w:val="36"/>
          <w:rtl/>
        </w:rPr>
        <w:t xml:space="preserve">ة </w:t>
      </w:r>
      <w:r w:rsidRPr="00FD211F">
        <w:rPr>
          <w:sz w:val="36"/>
          <w:szCs w:val="36"/>
          <w:rtl/>
        </w:rPr>
        <w:t>على الأقل في جميع موارد دوران الأمر بين الأقل والأكثر الارتباطيين.</w:t>
      </w:r>
    </w:p>
    <w:p w14:paraId="08BF4776" w14:textId="77777777" w:rsidR="00052BF2" w:rsidRPr="00FD211F" w:rsidRDefault="00E555E1" w:rsidP="009C58C8">
      <w:pPr>
        <w:ind w:left="0" w:firstLine="227"/>
        <w:jc w:val="both"/>
        <w:rPr>
          <w:sz w:val="36"/>
          <w:szCs w:val="36"/>
          <w:rtl/>
          <w:lang w:val="en-GB"/>
        </w:rPr>
      </w:pPr>
      <w:r w:rsidRPr="00FD211F">
        <w:rPr>
          <w:sz w:val="36"/>
          <w:szCs w:val="36"/>
          <w:rtl/>
        </w:rPr>
        <w:t xml:space="preserve">وقديجاب عن </w:t>
      </w:r>
      <w:r w:rsidR="005951BD" w:rsidRPr="00FD211F">
        <w:rPr>
          <w:sz w:val="36"/>
          <w:szCs w:val="36"/>
          <w:rtl/>
        </w:rPr>
        <w:t xml:space="preserve">هذه </w:t>
      </w:r>
      <w:r w:rsidRPr="00FD211F">
        <w:rPr>
          <w:sz w:val="36"/>
          <w:szCs w:val="36"/>
          <w:rtl/>
        </w:rPr>
        <w:t>الشبه</w:t>
      </w:r>
      <w:r w:rsidR="00EC7EDF" w:rsidRPr="00FD211F">
        <w:rPr>
          <w:sz w:val="36"/>
          <w:szCs w:val="36"/>
          <w:rtl/>
        </w:rPr>
        <w:t xml:space="preserve">ة </w:t>
      </w:r>
      <w:r w:rsidR="005951BD" w:rsidRPr="00FD211F">
        <w:rPr>
          <w:sz w:val="36"/>
          <w:szCs w:val="36"/>
          <w:rtl/>
        </w:rPr>
        <w:t xml:space="preserve">بجواب ثان وهو </w:t>
      </w:r>
      <w:r w:rsidR="00052BF2" w:rsidRPr="00FD211F">
        <w:rPr>
          <w:sz w:val="36"/>
          <w:szCs w:val="36"/>
          <w:rtl/>
        </w:rPr>
        <w:t xml:space="preserve">انه بناء على </w:t>
      </w:r>
      <w:r w:rsidR="003E144E" w:rsidRPr="00FD211F">
        <w:rPr>
          <w:sz w:val="36"/>
          <w:szCs w:val="36"/>
          <w:rtl/>
        </w:rPr>
        <w:t xml:space="preserve">ماهو الصحيح من </w:t>
      </w:r>
      <w:r w:rsidR="00052BF2" w:rsidRPr="00FD211F">
        <w:rPr>
          <w:sz w:val="36"/>
          <w:szCs w:val="36"/>
          <w:rtl/>
        </w:rPr>
        <w:t>كون التقابل بين الاطلاق والتقييد</w:t>
      </w:r>
      <w:r w:rsidR="00452410" w:rsidRPr="00FD211F">
        <w:rPr>
          <w:sz w:val="36"/>
          <w:szCs w:val="36"/>
          <w:rtl/>
        </w:rPr>
        <w:t xml:space="preserve"> الثبوتيين تقابل السلب والإيجاب </w:t>
      </w:r>
      <w:r w:rsidR="00052BF2" w:rsidRPr="00FD211F">
        <w:rPr>
          <w:sz w:val="36"/>
          <w:szCs w:val="36"/>
          <w:rtl/>
        </w:rPr>
        <w:t>فاستصحاب عدم تقييد موضوع الجعل يكون بنفسه مثبتا للاطلاق وأن الأقل لابشرط هو المتعلق والموضوع للحكم</w:t>
      </w:r>
      <w:r w:rsidR="00603323" w:rsidRPr="00FD211F">
        <w:rPr>
          <w:sz w:val="36"/>
          <w:szCs w:val="36"/>
          <w:rtl/>
        </w:rPr>
        <w:t xml:space="preserve">، </w:t>
      </w:r>
      <w:r w:rsidR="00052BF2" w:rsidRPr="00FD211F">
        <w:rPr>
          <w:sz w:val="36"/>
          <w:szCs w:val="36"/>
          <w:rtl/>
        </w:rPr>
        <w:t>واستصحاب عدم التقييد اي عدم أخذ القيد الزائد في موضوع الحكم او متعلقه استصحاب بالعدم المحمولي وليس من الاستصحاب بالعدم الأزلي كي يناقش فيه من لايرى جريان هذا الاستصحاب</w:t>
      </w:r>
      <w:r w:rsidR="00603323" w:rsidRPr="00FD211F">
        <w:rPr>
          <w:sz w:val="36"/>
          <w:szCs w:val="36"/>
          <w:rtl/>
        </w:rPr>
        <w:t xml:space="preserve">، </w:t>
      </w:r>
      <w:r w:rsidR="00052BF2" w:rsidRPr="00FD211F">
        <w:rPr>
          <w:sz w:val="36"/>
          <w:szCs w:val="36"/>
          <w:rtl/>
        </w:rPr>
        <w:t>حيث أن استصحاب العدم الأزلي يكون من السالب</w:t>
      </w:r>
      <w:r w:rsidR="00EC7EDF" w:rsidRPr="00FD211F">
        <w:rPr>
          <w:sz w:val="36"/>
          <w:szCs w:val="36"/>
          <w:rtl/>
        </w:rPr>
        <w:t xml:space="preserve">ة </w:t>
      </w:r>
      <w:r w:rsidR="00052BF2" w:rsidRPr="00FD211F">
        <w:rPr>
          <w:sz w:val="36"/>
          <w:szCs w:val="36"/>
          <w:rtl/>
        </w:rPr>
        <w:t>بانتفاء الموضوع</w:t>
      </w:r>
      <w:r w:rsidR="00603323" w:rsidRPr="00FD211F">
        <w:rPr>
          <w:sz w:val="36"/>
          <w:szCs w:val="36"/>
          <w:rtl/>
        </w:rPr>
        <w:t xml:space="preserve">، </w:t>
      </w:r>
      <w:r w:rsidR="00052BF2" w:rsidRPr="00FD211F">
        <w:rPr>
          <w:sz w:val="36"/>
          <w:szCs w:val="36"/>
          <w:rtl/>
        </w:rPr>
        <w:t>والموضوع في القضي</w:t>
      </w:r>
      <w:r w:rsidR="00EC7EDF" w:rsidRPr="00FD211F">
        <w:rPr>
          <w:sz w:val="36"/>
          <w:szCs w:val="36"/>
          <w:rtl/>
        </w:rPr>
        <w:t xml:space="preserve">ة </w:t>
      </w:r>
      <w:r w:rsidR="00052BF2" w:rsidRPr="00FD211F">
        <w:rPr>
          <w:sz w:val="36"/>
          <w:szCs w:val="36"/>
          <w:rtl/>
        </w:rPr>
        <w:t>المستصحب</w:t>
      </w:r>
      <w:r w:rsidR="00EC7EDF" w:rsidRPr="00FD211F">
        <w:rPr>
          <w:sz w:val="36"/>
          <w:szCs w:val="36"/>
          <w:rtl/>
        </w:rPr>
        <w:t xml:space="preserve">ة </w:t>
      </w:r>
      <w:r w:rsidR="00052BF2" w:rsidRPr="00FD211F">
        <w:rPr>
          <w:sz w:val="36"/>
          <w:szCs w:val="36"/>
          <w:rtl/>
        </w:rPr>
        <w:t>في المقام ليس هو الجعل</w:t>
      </w:r>
      <w:r w:rsidR="00603323" w:rsidRPr="00FD211F">
        <w:rPr>
          <w:sz w:val="36"/>
          <w:szCs w:val="36"/>
          <w:rtl/>
        </w:rPr>
        <w:t xml:space="preserve">، </w:t>
      </w:r>
      <w:r w:rsidR="00052BF2" w:rsidRPr="00FD211F">
        <w:rPr>
          <w:sz w:val="36"/>
          <w:szCs w:val="36"/>
          <w:rtl/>
        </w:rPr>
        <w:t>حتى يكون استصحاب عدم تقييده من السالب</w:t>
      </w:r>
      <w:r w:rsidR="00EC7EDF" w:rsidRPr="00FD211F">
        <w:rPr>
          <w:sz w:val="36"/>
          <w:szCs w:val="36"/>
          <w:rtl/>
        </w:rPr>
        <w:t xml:space="preserve">ة </w:t>
      </w:r>
      <w:r w:rsidR="00052BF2" w:rsidRPr="00FD211F">
        <w:rPr>
          <w:sz w:val="36"/>
          <w:szCs w:val="36"/>
          <w:rtl/>
        </w:rPr>
        <w:t>بانتفاء الموضوع</w:t>
      </w:r>
      <w:r w:rsidR="00603323" w:rsidRPr="00FD211F">
        <w:rPr>
          <w:sz w:val="36"/>
          <w:szCs w:val="36"/>
          <w:rtl/>
        </w:rPr>
        <w:t xml:space="preserve">، </w:t>
      </w:r>
      <w:r w:rsidR="00052BF2" w:rsidRPr="00FD211F">
        <w:rPr>
          <w:sz w:val="36"/>
          <w:szCs w:val="36"/>
          <w:rtl/>
        </w:rPr>
        <w:t>وانما الموضوع في القضي</w:t>
      </w:r>
      <w:r w:rsidR="00EC7EDF" w:rsidRPr="00FD211F">
        <w:rPr>
          <w:sz w:val="36"/>
          <w:szCs w:val="36"/>
          <w:rtl/>
        </w:rPr>
        <w:t xml:space="preserve">ة </w:t>
      </w:r>
      <w:r w:rsidR="00052BF2" w:rsidRPr="00FD211F">
        <w:rPr>
          <w:sz w:val="36"/>
          <w:szCs w:val="36"/>
          <w:rtl/>
        </w:rPr>
        <w:t>المستصحب</w:t>
      </w:r>
      <w:r w:rsidR="00EC7EDF" w:rsidRPr="00FD211F">
        <w:rPr>
          <w:sz w:val="36"/>
          <w:szCs w:val="36"/>
          <w:rtl/>
        </w:rPr>
        <w:t xml:space="preserve">ة </w:t>
      </w:r>
      <w:r w:rsidR="00052BF2" w:rsidRPr="00FD211F">
        <w:rPr>
          <w:sz w:val="36"/>
          <w:szCs w:val="36"/>
          <w:rtl/>
        </w:rPr>
        <w:t>هو الشارع</w:t>
      </w:r>
      <w:r w:rsidR="00603323" w:rsidRPr="00FD211F">
        <w:rPr>
          <w:sz w:val="36"/>
          <w:szCs w:val="36"/>
          <w:rtl/>
        </w:rPr>
        <w:t xml:space="preserve">، </w:t>
      </w:r>
      <w:r w:rsidR="00052BF2" w:rsidRPr="00FD211F">
        <w:rPr>
          <w:sz w:val="36"/>
          <w:szCs w:val="36"/>
          <w:rtl/>
        </w:rPr>
        <w:t>فيقال ان الشارع</w:t>
      </w:r>
      <w:r w:rsidR="008D7B3D" w:rsidRPr="00FD211F">
        <w:rPr>
          <w:sz w:val="36"/>
          <w:szCs w:val="36"/>
          <w:rtl/>
        </w:rPr>
        <w:t xml:space="preserve"> لم‌</w:t>
      </w:r>
      <w:r w:rsidR="00052BF2" w:rsidRPr="00FD211F">
        <w:rPr>
          <w:sz w:val="36"/>
          <w:szCs w:val="36"/>
          <w:rtl/>
        </w:rPr>
        <w:t>يأخذ هذا القيد الزائد في الجعل</w:t>
      </w:r>
      <w:r w:rsidR="00603323" w:rsidRPr="00FD211F">
        <w:rPr>
          <w:sz w:val="36"/>
          <w:szCs w:val="36"/>
          <w:rtl/>
        </w:rPr>
        <w:t xml:space="preserve">، </w:t>
      </w:r>
      <w:r w:rsidR="00052BF2" w:rsidRPr="00FD211F">
        <w:rPr>
          <w:sz w:val="36"/>
          <w:szCs w:val="36"/>
          <w:rtl/>
        </w:rPr>
        <w:t>ولاتكون هذه القضي</w:t>
      </w:r>
      <w:r w:rsidR="00EC7EDF" w:rsidRPr="00FD211F">
        <w:rPr>
          <w:sz w:val="36"/>
          <w:szCs w:val="36"/>
          <w:rtl/>
        </w:rPr>
        <w:t xml:space="preserve">ة </w:t>
      </w:r>
      <w:r w:rsidR="00052BF2" w:rsidRPr="00FD211F">
        <w:rPr>
          <w:sz w:val="36"/>
          <w:szCs w:val="36"/>
          <w:rtl/>
        </w:rPr>
        <w:t>من السالب</w:t>
      </w:r>
      <w:r w:rsidR="00EC7EDF" w:rsidRPr="00FD211F">
        <w:rPr>
          <w:sz w:val="36"/>
          <w:szCs w:val="36"/>
          <w:rtl/>
        </w:rPr>
        <w:t xml:space="preserve">ة </w:t>
      </w:r>
      <w:r w:rsidR="00052BF2" w:rsidRPr="00FD211F">
        <w:rPr>
          <w:sz w:val="36"/>
          <w:szCs w:val="36"/>
          <w:rtl/>
        </w:rPr>
        <w:t>بانتفاء الموضوع</w:t>
      </w:r>
      <w:r w:rsidR="00052BF2" w:rsidRPr="00FD211F">
        <w:rPr>
          <w:sz w:val="36"/>
          <w:szCs w:val="36"/>
          <w:rtl/>
          <w:lang w:val="en-GB"/>
        </w:rPr>
        <w:t>.</w:t>
      </w:r>
    </w:p>
    <w:p w14:paraId="2D252C5F" w14:textId="77777777" w:rsidR="00052BF2" w:rsidRPr="00FD211F" w:rsidRDefault="00052BF2" w:rsidP="009C58C8">
      <w:pPr>
        <w:ind w:left="0" w:firstLine="227"/>
        <w:jc w:val="both"/>
        <w:rPr>
          <w:sz w:val="36"/>
          <w:szCs w:val="36"/>
          <w:rtl/>
        </w:rPr>
      </w:pPr>
      <w:r w:rsidRPr="00FD211F">
        <w:rPr>
          <w:sz w:val="36"/>
          <w:szCs w:val="36"/>
          <w:rtl/>
        </w:rPr>
        <w:t xml:space="preserve">وهكذا بناء على مسلك المحقق النائيني </w:t>
      </w:r>
      <w:r w:rsidR="003E144E" w:rsidRPr="00FD211F">
        <w:rPr>
          <w:sz w:val="36"/>
          <w:szCs w:val="36"/>
          <w:rtl/>
        </w:rPr>
        <w:t>"</w:t>
      </w:r>
      <w:r w:rsidRPr="00FD211F">
        <w:rPr>
          <w:sz w:val="36"/>
          <w:szCs w:val="36"/>
          <w:rtl/>
        </w:rPr>
        <w:t>قده</w:t>
      </w:r>
      <w:r w:rsidR="003E144E" w:rsidRPr="00FD211F">
        <w:rPr>
          <w:sz w:val="36"/>
          <w:szCs w:val="36"/>
          <w:rtl/>
        </w:rPr>
        <w:t>"</w:t>
      </w:r>
      <w:r w:rsidRPr="00FD211F">
        <w:rPr>
          <w:sz w:val="36"/>
          <w:szCs w:val="36"/>
          <w:rtl/>
        </w:rPr>
        <w:t xml:space="preserve"> من كون التقابل بينهما تقابل العدم والملك</w:t>
      </w:r>
      <w:r w:rsidR="00EC7EDF" w:rsidRPr="00FD211F">
        <w:rPr>
          <w:sz w:val="36"/>
          <w:szCs w:val="36"/>
          <w:rtl/>
        </w:rPr>
        <w:t>ة</w:t>
      </w:r>
      <w:r w:rsidR="00603323" w:rsidRPr="00FD211F">
        <w:rPr>
          <w:sz w:val="36"/>
          <w:szCs w:val="36"/>
          <w:rtl/>
        </w:rPr>
        <w:t xml:space="preserve">، </w:t>
      </w:r>
      <w:r w:rsidRPr="00FD211F">
        <w:rPr>
          <w:sz w:val="36"/>
          <w:szCs w:val="36"/>
          <w:rtl/>
        </w:rPr>
        <w:t>حيث يكون الاطلاق هو عدم التقييد في محل قابل له</w:t>
      </w:r>
      <w:r w:rsidR="00603323" w:rsidRPr="00FD211F">
        <w:rPr>
          <w:sz w:val="36"/>
          <w:szCs w:val="36"/>
          <w:rtl/>
        </w:rPr>
        <w:t xml:space="preserve">، </w:t>
      </w:r>
      <w:r w:rsidRPr="00FD211F">
        <w:rPr>
          <w:sz w:val="36"/>
          <w:szCs w:val="36"/>
          <w:rtl/>
        </w:rPr>
        <w:t>فانه يجري استصحاب عدم التقييد فيضم الى احراز قابلي</w:t>
      </w:r>
      <w:r w:rsidR="00EC7EDF" w:rsidRPr="00FD211F">
        <w:rPr>
          <w:sz w:val="36"/>
          <w:szCs w:val="36"/>
          <w:rtl/>
        </w:rPr>
        <w:t xml:space="preserve">ة </w:t>
      </w:r>
      <w:r w:rsidRPr="00FD211F">
        <w:rPr>
          <w:sz w:val="36"/>
          <w:szCs w:val="36"/>
          <w:rtl/>
        </w:rPr>
        <w:t>المحل للتقييد بالوجدان فيثبت بذلك واقع الاطلاق</w:t>
      </w:r>
      <w:r w:rsidR="00603323" w:rsidRPr="00FD211F">
        <w:rPr>
          <w:sz w:val="36"/>
          <w:szCs w:val="36"/>
          <w:rtl/>
        </w:rPr>
        <w:t xml:space="preserve">، </w:t>
      </w:r>
      <w:r w:rsidRPr="00FD211F">
        <w:rPr>
          <w:sz w:val="36"/>
          <w:szCs w:val="36"/>
          <w:rtl/>
        </w:rPr>
        <w:t>ولايهمّنا عنوان الاطلاق كي يناقش فيه بان استصحاب العدم بضمّ احراز قابلي</w:t>
      </w:r>
      <w:r w:rsidR="00EC7EDF" w:rsidRPr="00FD211F">
        <w:rPr>
          <w:sz w:val="36"/>
          <w:szCs w:val="36"/>
          <w:rtl/>
        </w:rPr>
        <w:t xml:space="preserve">ة </w:t>
      </w:r>
      <w:r w:rsidRPr="00FD211F">
        <w:rPr>
          <w:sz w:val="36"/>
          <w:szCs w:val="36"/>
          <w:rtl/>
        </w:rPr>
        <w:t>المحل لايثبت عنوان عدم الملك</w:t>
      </w:r>
      <w:r w:rsidR="00EC7EDF" w:rsidRPr="00FD211F">
        <w:rPr>
          <w:sz w:val="36"/>
          <w:szCs w:val="36"/>
          <w:rtl/>
        </w:rPr>
        <w:t xml:space="preserve">ة </w:t>
      </w:r>
      <w:r w:rsidRPr="00FD211F">
        <w:rPr>
          <w:sz w:val="36"/>
          <w:szCs w:val="36"/>
          <w:rtl/>
        </w:rPr>
        <w:t>فلايثبت عنوان العمى باستصحاب عدم البصر للمولود بضم احراز قابليته للبصر فعلا</w:t>
      </w:r>
      <w:r w:rsidR="00603323" w:rsidRPr="00FD211F">
        <w:rPr>
          <w:sz w:val="36"/>
          <w:szCs w:val="36"/>
          <w:rtl/>
        </w:rPr>
        <w:t xml:space="preserve">، </w:t>
      </w:r>
      <w:r w:rsidRPr="00FD211F">
        <w:rPr>
          <w:sz w:val="36"/>
          <w:szCs w:val="36"/>
          <w:rtl/>
        </w:rPr>
        <w:t>فان الأثر لايترتب في المقام على عنوان الاطلاق بل على واقعه</w:t>
      </w:r>
      <w:r w:rsidR="00603323" w:rsidRPr="00FD211F">
        <w:rPr>
          <w:sz w:val="36"/>
          <w:szCs w:val="36"/>
          <w:rtl/>
        </w:rPr>
        <w:t xml:space="preserve">، </w:t>
      </w:r>
      <w:r w:rsidRPr="00FD211F">
        <w:rPr>
          <w:sz w:val="36"/>
          <w:szCs w:val="36"/>
          <w:rtl/>
        </w:rPr>
        <w:t>وحينئذ فيرتفع الاشكال عن الأمثل</w:t>
      </w:r>
      <w:r w:rsidR="00EC7EDF" w:rsidRPr="00FD211F">
        <w:rPr>
          <w:sz w:val="36"/>
          <w:szCs w:val="36"/>
          <w:rtl/>
        </w:rPr>
        <w:t xml:space="preserve">ة </w:t>
      </w:r>
      <w:r w:rsidRPr="00FD211F">
        <w:rPr>
          <w:sz w:val="36"/>
          <w:szCs w:val="36"/>
          <w:rtl/>
        </w:rPr>
        <w:t>التي ذكرت سابقا.</w:t>
      </w:r>
    </w:p>
    <w:p w14:paraId="0623FC53" w14:textId="77777777" w:rsidR="00052BF2" w:rsidRPr="00FD211F" w:rsidRDefault="00052BF2" w:rsidP="009C58C8">
      <w:pPr>
        <w:ind w:left="0" w:firstLine="227"/>
        <w:jc w:val="both"/>
        <w:rPr>
          <w:sz w:val="36"/>
          <w:szCs w:val="36"/>
          <w:rtl/>
        </w:rPr>
      </w:pPr>
      <w:r w:rsidRPr="00FD211F">
        <w:rPr>
          <w:sz w:val="36"/>
          <w:szCs w:val="36"/>
          <w:rtl/>
        </w:rPr>
        <w:t>نعم بناء على مسلك من يرى كالسيد الخوئي</w:t>
      </w:r>
      <w:r w:rsidR="003E144E" w:rsidRPr="00FD211F">
        <w:rPr>
          <w:sz w:val="36"/>
          <w:szCs w:val="36"/>
          <w:rtl/>
        </w:rPr>
        <w:t>"</w:t>
      </w:r>
      <w:r w:rsidRPr="00FD211F">
        <w:rPr>
          <w:sz w:val="36"/>
          <w:szCs w:val="36"/>
          <w:rtl/>
        </w:rPr>
        <w:t>قده</w:t>
      </w:r>
      <w:r w:rsidR="003E144E" w:rsidRPr="00FD211F">
        <w:rPr>
          <w:sz w:val="36"/>
          <w:szCs w:val="36"/>
          <w:rtl/>
        </w:rPr>
        <w:t>"</w:t>
      </w:r>
      <w:r w:rsidRPr="00FD211F">
        <w:rPr>
          <w:sz w:val="36"/>
          <w:szCs w:val="36"/>
          <w:rtl/>
        </w:rPr>
        <w:t xml:space="preserve"> كون التقابل بين الاطلاق والتقييد تقابل التضاد حيث يرى تقوم الاطلاق بلحاظ عدم التقيد فيكون اثبات الاطلاق باستصحاب عدم التقييد من الاصل المثبت</w:t>
      </w:r>
      <w:r w:rsidR="00603323" w:rsidRPr="00FD211F">
        <w:rPr>
          <w:sz w:val="36"/>
          <w:szCs w:val="36"/>
          <w:rtl/>
        </w:rPr>
        <w:t xml:space="preserve">، </w:t>
      </w:r>
      <w:r w:rsidRPr="00FD211F">
        <w:rPr>
          <w:sz w:val="36"/>
          <w:szCs w:val="36"/>
          <w:rtl/>
        </w:rPr>
        <w:t>لانه من اثبات احد الضدين باستصحاب عدم الضد الآخر</w:t>
      </w:r>
      <w:r w:rsidR="00603323" w:rsidRPr="00FD211F">
        <w:rPr>
          <w:sz w:val="36"/>
          <w:szCs w:val="36"/>
          <w:rtl/>
        </w:rPr>
        <w:t xml:space="preserve">، </w:t>
      </w:r>
      <w:r w:rsidRPr="00FD211F">
        <w:rPr>
          <w:sz w:val="36"/>
          <w:szCs w:val="36"/>
          <w:rtl/>
        </w:rPr>
        <w:t xml:space="preserve">على انه </w:t>
      </w:r>
      <w:r w:rsidR="005951BD" w:rsidRPr="00FD211F">
        <w:rPr>
          <w:sz w:val="36"/>
          <w:szCs w:val="36"/>
          <w:rtl/>
        </w:rPr>
        <w:t xml:space="preserve">يكون </w:t>
      </w:r>
      <w:r w:rsidRPr="00FD211F">
        <w:rPr>
          <w:sz w:val="36"/>
          <w:szCs w:val="36"/>
          <w:rtl/>
        </w:rPr>
        <w:t>معارض</w:t>
      </w:r>
      <w:r w:rsidR="005951BD" w:rsidRPr="00FD211F">
        <w:rPr>
          <w:sz w:val="36"/>
          <w:szCs w:val="36"/>
          <w:rtl/>
        </w:rPr>
        <w:t>ا</w:t>
      </w:r>
      <w:r w:rsidRPr="00FD211F">
        <w:rPr>
          <w:sz w:val="36"/>
          <w:szCs w:val="36"/>
          <w:rtl/>
        </w:rPr>
        <w:t xml:space="preserve"> باستصحاب عدم الاطلاق.</w:t>
      </w:r>
    </w:p>
    <w:p w14:paraId="2D93BE64" w14:textId="77777777" w:rsidR="00FA3CBA" w:rsidRPr="00FD211F" w:rsidRDefault="00052BF2" w:rsidP="009C58C8">
      <w:pPr>
        <w:ind w:left="0" w:firstLine="227"/>
        <w:jc w:val="both"/>
        <w:rPr>
          <w:sz w:val="36"/>
          <w:szCs w:val="36"/>
          <w:rtl/>
        </w:rPr>
      </w:pPr>
      <w:r w:rsidRPr="00FD211F">
        <w:rPr>
          <w:sz w:val="36"/>
          <w:szCs w:val="36"/>
          <w:rtl/>
        </w:rPr>
        <w:t>و</w:t>
      </w:r>
      <w:r w:rsidR="00E555E1" w:rsidRPr="00FD211F">
        <w:rPr>
          <w:sz w:val="36"/>
          <w:szCs w:val="36"/>
          <w:rtl/>
        </w:rPr>
        <w:t>لكن هذا الجواب</w:t>
      </w:r>
      <w:r w:rsidR="005951BD" w:rsidRPr="00FD211F">
        <w:rPr>
          <w:sz w:val="36"/>
          <w:szCs w:val="36"/>
          <w:rtl/>
        </w:rPr>
        <w:t xml:space="preserve"> ا</w:t>
      </w:r>
      <w:r w:rsidR="00684A7C" w:rsidRPr="00FD211F">
        <w:rPr>
          <w:sz w:val="36"/>
          <w:szCs w:val="36"/>
          <w:rtl/>
        </w:rPr>
        <w:t xml:space="preserve">لثاني عن الشبهة </w:t>
      </w:r>
      <w:r w:rsidR="00E555E1" w:rsidRPr="00FD211F">
        <w:rPr>
          <w:sz w:val="36"/>
          <w:szCs w:val="36"/>
          <w:rtl/>
        </w:rPr>
        <w:t>غير صحيح</w:t>
      </w:r>
      <w:r w:rsidR="00603323" w:rsidRPr="00FD211F">
        <w:rPr>
          <w:sz w:val="36"/>
          <w:szCs w:val="36"/>
          <w:rtl/>
        </w:rPr>
        <w:t xml:space="preserve">، </w:t>
      </w:r>
      <w:r w:rsidR="00FA3CBA" w:rsidRPr="00FD211F">
        <w:rPr>
          <w:sz w:val="36"/>
          <w:szCs w:val="36"/>
          <w:rtl/>
        </w:rPr>
        <w:t>فان الظاهرانه بناء على كون التقابل بين الاطلاق والتقييد تقابل السلب والايجاب او تقابل العدم والملك</w:t>
      </w:r>
      <w:r w:rsidR="00EC7EDF" w:rsidRPr="00FD211F">
        <w:rPr>
          <w:sz w:val="36"/>
          <w:szCs w:val="36"/>
          <w:rtl/>
        </w:rPr>
        <w:t xml:space="preserve">ة </w:t>
      </w:r>
      <w:r w:rsidR="00FA3CBA" w:rsidRPr="00FD211F">
        <w:rPr>
          <w:sz w:val="36"/>
          <w:szCs w:val="36"/>
          <w:rtl/>
        </w:rPr>
        <w:t>ايضا</w:t>
      </w:r>
      <w:r w:rsidR="00684A7C" w:rsidRPr="00FD211F">
        <w:rPr>
          <w:sz w:val="36"/>
          <w:szCs w:val="36"/>
          <w:rtl/>
        </w:rPr>
        <w:t xml:space="preserve"> </w:t>
      </w:r>
      <w:r w:rsidR="00FA3CBA" w:rsidRPr="00FD211F">
        <w:rPr>
          <w:sz w:val="36"/>
          <w:szCs w:val="36"/>
          <w:rtl/>
        </w:rPr>
        <w:t>يكون اثبات الاطلاق باستصحاب عد</w:t>
      </w:r>
      <w:r w:rsidR="00684A7C" w:rsidRPr="00FD211F">
        <w:rPr>
          <w:sz w:val="36"/>
          <w:szCs w:val="36"/>
          <w:rtl/>
        </w:rPr>
        <w:t>م التقييد من الاصل المثبت</w:t>
      </w:r>
      <w:r w:rsidR="00603323" w:rsidRPr="00FD211F">
        <w:rPr>
          <w:sz w:val="36"/>
          <w:szCs w:val="36"/>
          <w:rtl/>
        </w:rPr>
        <w:t xml:space="preserve">، </w:t>
      </w:r>
      <w:r w:rsidR="00684A7C" w:rsidRPr="00FD211F">
        <w:rPr>
          <w:sz w:val="36"/>
          <w:szCs w:val="36"/>
          <w:rtl/>
        </w:rPr>
        <w:t>ولولأ</w:t>
      </w:r>
      <w:r w:rsidR="00FA3CBA" w:rsidRPr="00FD211F">
        <w:rPr>
          <w:sz w:val="36"/>
          <w:szCs w:val="36"/>
          <w:rtl/>
        </w:rPr>
        <w:t>جل ان العرف يرى ان النسب</w:t>
      </w:r>
      <w:r w:rsidR="00EC7EDF" w:rsidRPr="00FD211F">
        <w:rPr>
          <w:sz w:val="36"/>
          <w:szCs w:val="36"/>
          <w:rtl/>
        </w:rPr>
        <w:t xml:space="preserve">ة </w:t>
      </w:r>
      <w:r w:rsidR="00FA3CBA" w:rsidRPr="00FD211F">
        <w:rPr>
          <w:sz w:val="36"/>
          <w:szCs w:val="36"/>
          <w:rtl/>
        </w:rPr>
        <w:t>بين الاطلاق والتقييد نسب</w:t>
      </w:r>
      <w:r w:rsidR="00EC7EDF" w:rsidRPr="00FD211F">
        <w:rPr>
          <w:sz w:val="36"/>
          <w:szCs w:val="36"/>
          <w:rtl/>
        </w:rPr>
        <w:t xml:space="preserve">ة </w:t>
      </w:r>
      <w:r w:rsidR="00FA3CBA" w:rsidRPr="00FD211F">
        <w:rPr>
          <w:sz w:val="36"/>
          <w:szCs w:val="36"/>
          <w:rtl/>
        </w:rPr>
        <w:t>التباين لاالاقل والاكثر وان فرض كون النسب</w:t>
      </w:r>
      <w:r w:rsidR="00EC7EDF" w:rsidRPr="00FD211F">
        <w:rPr>
          <w:sz w:val="36"/>
          <w:szCs w:val="36"/>
          <w:rtl/>
        </w:rPr>
        <w:t xml:space="preserve">ة </w:t>
      </w:r>
      <w:r w:rsidR="00FA3CBA" w:rsidRPr="00FD211F">
        <w:rPr>
          <w:sz w:val="36"/>
          <w:szCs w:val="36"/>
          <w:rtl/>
        </w:rPr>
        <w:t>بينهما الاقل والاكثر بالنظر العقلى</w:t>
      </w:r>
      <w:r w:rsidR="00EC7EDF" w:rsidRPr="00FD211F">
        <w:rPr>
          <w:sz w:val="36"/>
          <w:szCs w:val="36"/>
          <w:rtl/>
        </w:rPr>
        <w:t>.</w:t>
      </w:r>
    </w:p>
    <w:p w14:paraId="17FBCBB0" w14:textId="77777777" w:rsidR="00452410" w:rsidRPr="00FD211F" w:rsidRDefault="00FA3CBA" w:rsidP="009C58C8">
      <w:pPr>
        <w:ind w:left="0" w:firstLine="227"/>
        <w:jc w:val="both"/>
        <w:rPr>
          <w:sz w:val="36"/>
          <w:szCs w:val="36"/>
          <w:lang w:val="en-GB"/>
        </w:rPr>
      </w:pPr>
      <w:r w:rsidRPr="00FD211F">
        <w:rPr>
          <w:sz w:val="36"/>
          <w:szCs w:val="36"/>
          <w:rtl/>
        </w:rPr>
        <w:t xml:space="preserve">والافلازم ذلك </w:t>
      </w:r>
      <w:r w:rsidR="00684A7C" w:rsidRPr="00FD211F">
        <w:rPr>
          <w:sz w:val="36"/>
          <w:szCs w:val="36"/>
          <w:rtl/>
        </w:rPr>
        <w:t>أن يلتز</w:t>
      </w:r>
      <w:r w:rsidRPr="00FD211F">
        <w:rPr>
          <w:sz w:val="36"/>
          <w:szCs w:val="36"/>
          <w:rtl/>
        </w:rPr>
        <w:t>م ب</w:t>
      </w:r>
      <w:r w:rsidR="00052BF2" w:rsidRPr="00FD211F">
        <w:rPr>
          <w:sz w:val="36"/>
          <w:szCs w:val="36"/>
          <w:rtl/>
        </w:rPr>
        <w:t xml:space="preserve">انه كلما دار </w:t>
      </w:r>
      <w:r w:rsidR="001B3112" w:rsidRPr="00FD211F">
        <w:rPr>
          <w:sz w:val="36"/>
          <w:szCs w:val="36"/>
          <w:rtl/>
        </w:rPr>
        <w:t>الأمر</w:t>
      </w:r>
      <w:r w:rsidR="00052BF2" w:rsidRPr="00FD211F">
        <w:rPr>
          <w:sz w:val="36"/>
          <w:szCs w:val="36"/>
          <w:rtl/>
        </w:rPr>
        <w:t xml:space="preserve"> بين كون المطلق موضوعا لحكم او كون المقيد موضوعا له فباستصحاب عدم اخذ القيد في موضوع الجعل يثبت الاطلاق</w:t>
      </w:r>
      <w:r w:rsidR="00603323" w:rsidRPr="00FD211F">
        <w:rPr>
          <w:sz w:val="36"/>
          <w:szCs w:val="36"/>
          <w:rtl/>
        </w:rPr>
        <w:t xml:space="preserve">، </w:t>
      </w:r>
      <w:r w:rsidR="00052BF2" w:rsidRPr="00FD211F">
        <w:rPr>
          <w:sz w:val="36"/>
          <w:szCs w:val="36"/>
          <w:rtl/>
        </w:rPr>
        <w:t>كما لو علم بنجاس</w:t>
      </w:r>
      <w:r w:rsidR="00EC7EDF" w:rsidRPr="00FD211F">
        <w:rPr>
          <w:sz w:val="36"/>
          <w:szCs w:val="36"/>
          <w:rtl/>
        </w:rPr>
        <w:t xml:space="preserve">ة </w:t>
      </w:r>
      <w:r w:rsidR="00052BF2" w:rsidRPr="00FD211F">
        <w:rPr>
          <w:sz w:val="36"/>
          <w:szCs w:val="36"/>
          <w:rtl/>
        </w:rPr>
        <w:t>الدم ولكن</w:t>
      </w:r>
      <w:r w:rsidR="008D7B3D" w:rsidRPr="00FD211F">
        <w:rPr>
          <w:sz w:val="36"/>
          <w:szCs w:val="36"/>
          <w:rtl/>
        </w:rPr>
        <w:t xml:space="preserve"> لم‌</w:t>
      </w:r>
      <w:r w:rsidR="00052BF2" w:rsidRPr="00FD211F">
        <w:rPr>
          <w:sz w:val="36"/>
          <w:szCs w:val="36"/>
          <w:rtl/>
        </w:rPr>
        <w:t>يعلم هل الموضوع للنجاس</w:t>
      </w:r>
      <w:r w:rsidR="00EC7EDF" w:rsidRPr="00FD211F">
        <w:rPr>
          <w:sz w:val="36"/>
          <w:szCs w:val="36"/>
          <w:rtl/>
        </w:rPr>
        <w:t xml:space="preserve">ة </w:t>
      </w:r>
      <w:r w:rsidR="00052BF2" w:rsidRPr="00FD211F">
        <w:rPr>
          <w:sz w:val="36"/>
          <w:szCs w:val="36"/>
          <w:rtl/>
        </w:rPr>
        <w:t>هو مطلق الدم او الدم الأحمر</w:t>
      </w:r>
      <w:r w:rsidR="00603323" w:rsidRPr="00FD211F">
        <w:rPr>
          <w:sz w:val="36"/>
          <w:szCs w:val="36"/>
          <w:rtl/>
        </w:rPr>
        <w:t xml:space="preserve">، </w:t>
      </w:r>
      <w:r w:rsidR="00052BF2" w:rsidRPr="00FD211F">
        <w:rPr>
          <w:sz w:val="36"/>
          <w:szCs w:val="36"/>
          <w:rtl/>
        </w:rPr>
        <w:t>فاستصحاب عدم التقييد بالأحمر يثبت كون الدم تمام الموضوع للحكم بالنجاس</w:t>
      </w:r>
      <w:r w:rsidR="00EC7EDF" w:rsidRPr="00FD211F">
        <w:rPr>
          <w:sz w:val="36"/>
          <w:szCs w:val="36"/>
          <w:rtl/>
        </w:rPr>
        <w:t>ة</w:t>
      </w:r>
      <w:r w:rsidR="00603323" w:rsidRPr="00FD211F">
        <w:rPr>
          <w:sz w:val="36"/>
          <w:szCs w:val="36"/>
          <w:rtl/>
        </w:rPr>
        <w:t xml:space="preserve">، </w:t>
      </w:r>
      <w:r w:rsidR="00052BF2" w:rsidRPr="00FD211F">
        <w:rPr>
          <w:sz w:val="36"/>
          <w:szCs w:val="36"/>
          <w:rtl/>
        </w:rPr>
        <w:t>فيحكم بنجاس</w:t>
      </w:r>
      <w:r w:rsidR="00EC7EDF" w:rsidRPr="00FD211F">
        <w:rPr>
          <w:sz w:val="36"/>
          <w:szCs w:val="36"/>
          <w:rtl/>
        </w:rPr>
        <w:t xml:space="preserve">ة </w:t>
      </w:r>
      <w:r w:rsidR="00052BF2" w:rsidRPr="00FD211F">
        <w:rPr>
          <w:sz w:val="36"/>
          <w:szCs w:val="36"/>
          <w:rtl/>
        </w:rPr>
        <w:t>الدم الأصفر أيضا</w:t>
      </w:r>
      <w:r w:rsidR="00603323" w:rsidRPr="00FD211F">
        <w:rPr>
          <w:sz w:val="36"/>
          <w:szCs w:val="36"/>
          <w:rtl/>
        </w:rPr>
        <w:t xml:space="preserve">، </w:t>
      </w:r>
      <w:r w:rsidR="00052BF2" w:rsidRPr="00FD211F">
        <w:rPr>
          <w:sz w:val="36"/>
          <w:szCs w:val="36"/>
          <w:rtl/>
        </w:rPr>
        <w:t>وهكذا لو</w:t>
      </w:r>
      <w:r w:rsidR="008D7B3D" w:rsidRPr="00FD211F">
        <w:rPr>
          <w:sz w:val="36"/>
          <w:szCs w:val="36"/>
          <w:rtl/>
        </w:rPr>
        <w:t xml:space="preserve"> لم‌</w:t>
      </w:r>
      <w:r w:rsidR="00052BF2" w:rsidRPr="00FD211F">
        <w:rPr>
          <w:sz w:val="36"/>
          <w:szCs w:val="36"/>
          <w:rtl/>
        </w:rPr>
        <w:t>يعلم انه هل أوجب المولى اكرام العالم او اكرام العالم العادل فلازم ذلك ان يثبت باستصحاب عدم التقييد وجوب اكرام العالم</w:t>
      </w:r>
      <w:r w:rsidR="00603323" w:rsidRPr="00FD211F">
        <w:rPr>
          <w:sz w:val="36"/>
          <w:szCs w:val="36"/>
          <w:rtl/>
        </w:rPr>
        <w:t xml:space="preserve">، </w:t>
      </w:r>
      <w:r w:rsidR="00052BF2" w:rsidRPr="00FD211F">
        <w:rPr>
          <w:sz w:val="36"/>
          <w:szCs w:val="36"/>
          <w:rtl/>
        </w:rPr>
        <w:t>لان استصحاب عدم التقييد يثبت كون المطلق هو الموضوع للحكم فيترتب عليه جميع الآثار.</w:t>
      </w:r>
    </w:p>
    <w:p w14:paraId="31C1CBBF" w14:textId="77777777" w:rsidR="000C5BBA" w:rsidRPr="00FD211F" w:rsidRDefault="00052BF2" w:rsidP="009C58C8">
      <w:pPr>
        <w:ind w:left="0" w:firstLine="227"/>
        <w:jc w:val="both"/>
        <w:rPr>
          <w:sz w:val="36"/>
          <w:szCs w:val="36"/>
          <w:rtl/>
        </w:rPr>
      </w:pPr>
      <w:r w:rsidRPr="00FD211F">
        <w:rPr>
          <w:b/>
          <w:bCs/>
          <w:sz w:val="36"/>
          <w:szCs w:val="36"/>
          <w:rtl/>
        </w:rPr>
        <w:t>الثمر</w:t>
      </w:r>
      <w:r w:rsidR="00EC7EDF" w:rsidRPr="00FD211F">
        <w:rPr>
          <w:b/>
          <w:bCs/>
          <w:sz w:val="36"/>
          <w:szCs w:val="36"/>
          <w:rtl/>
        </w:rPr>
        <w:t xml:space="preserve">ة </w:t>
      </w: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sz w:val="36"/>
          <w:szCs w:val="36"/>
          <w:rtl/>
        </w:rPr>
        <w:t xml:space="preserve"> ما ذكره الأعلام من أنه بناء على مسلك الصحيحي ينسدّ باب التمسك بالاطلاق اللفظي في الخطابات الشرعي</w:t>
      </w:r>
      <w:r w:rsidR="00EC7EDF" w:rsidRPr="00FD211F">
        <w:rPr>
          <w:sz w:val="36"/>
          <w:szCs w:val="36"/>
          <w:rtl/>
        </w:rPr>
        <w:t xml:space="preserve">ة </w:t>
      </w:r>
      <w:r w:rsidRPr="00FD211F">
        <w:rPr>
          <w:sz w:val="36"/>
          <w:szCs w:val="36"/>
          <w:rtl/>
        </w:rPr>
        <w:t>المشتمل</w:t>
      </w:r>
      <w:r w:rsidR="00EC7EDF" w:rsidRPr="00FD211F">
        <w:rPr>
          <w:sz w:val="36"/>
          <w:szCs w:val="36"/>
          <w:rtl/>
        </w:rPr>
        <w:t xml:space="preserve">ة </w:t>
      </w:r>
      <w:r w:rsidRPr="00FD211F">
        <w:rPr>
          <w:sz w:val="36"/>
          <w:szCs w:val="36"/>
          <w:rtl/>
        </w:rPr>
        <w:t xml:space="preserve">على اسماء العبادات عند الشك في اعتبار </w:t>
      </w:r>
      <w:r w:rsidR="008D7B3D" w:rsidRPr="00FD211F">
        <w:rPr>
          <w:sz w:val="36"/>
          <w:szCs w:val="36"/>
          <w:rtl/>
        </w:rPr>
        <w:t xml:space="preserve">شيء </w:t>
      </w:r>
      <w:r w:rsidRPr="00FD211F">
        <w:rPr>
          <w:sz w:val="36"/>
          <w:szCs w:val="36"/>
          <w:rtl/>
        </w:rPr>
        <w:t>فيها جزء او شرطا</w:t>
      </w:r>
      <w:r w:rsidR="00603323" w:rsidRPr="00FD211F">
        <w:rPr>
          <w:sz w:val="36"/>
          <w:szCs w:val="36"/>
          <w:rtl/>
        </w:rPr>
        <w:t xml:space="preserve">، </w:t>
      </w:r>
      <w:r w:rsidRPr="00FD211F">
        <w:rPr>
          <w:sz w:val="36"/>
          <w:szCs w:val="36"/>
          <w:rtl/>
        </w:rPr>
        <w:t>بينما انه على مسلك الاعمي حيث يحرز انطباق العنوان على الفرد الفاقد لذلك الجزء او الشرط المشكوك فيمكن التمسك باطلاق الخطاب لنفي احتمال اعتبار ذلك المشكوك</w:t>
      </w:r>
      <w:r w:rsidR="00603323" w:rsidRPr="00FD211F">
        <w:rPr>
          <w:sz w:val="36"/>
          <w:szCs w:val="36"/>
          <w:rtl/>
        </w:rPr>
        <w:t xml:space="preserve">، </w:t>
      </w:r>
      <w:r w:rsidRPr="00FD211F">
        <w:rPr>
          <w:sz w:val="36"/>
          <w:szCs w:val="36"/>
          <w:rtl/>
        </w:rPr>
        <w:t>الا فيما اذا قامت قرين</w:t>
      </w:r>
      <w:r w:rsidR="00EC7EDF" w:rsidRPr="00FD211F">
        <w:rPr>
          <w:sz w:val="36"/>
          <w:szCs w:val="36"/>
          <w:rtl/>
        </w:rPr>
        <w:t xml:space="preserve">ة </w:t>
      </w:r>
      <w:r w:rsidRPr="00FD211F">
        <w:rPr>
          <w:sz w:val="36"/>
          <w:szCs w:val="36"/>
          <w:rtl/>
        </w:rPr>
        <w:t>على عدم كون المولى في مقام البيان</w:t>
      </w:r>
      <w:r w:rsidR="00603323" w:rsidRPr="00FD211F">
        <w:rPr>
          <w:sz w:val="36"/>
          <w:szCs w:val="36"/>
          <w:rtl/>
        </w:rPr>
        <w:t xml:space="preserve">، </w:t>
      </w:r>
      <w:r w:rsidRPr="00FD211F">
        <w:rPr>
          <w:sz w:val="36"/>
          <w:szCs w:val="36"/>
          <w:rtl/>
        </w:rPr>
        <w:t>نعم لو شك في دخل ذلك المشكوك في المسمى كما لو قلنا بان اسماء العبادات وضعت لواجد الأركان وشككنا في ركني</w:t>
      </w:r>
      <w:r w:rsidR="00EC7EDF" w:rsidRPr="00FD211F">
        <w:rPr>
          <w:sz w:val="36"/>
          <w:szCs w:val="36"/>
          <w:rtl/>
        </w:rPr>
        <w:t xml:space="preserve">ة </w:t>
      </w:r>
      <w:r w:rsidRPr="00FD211F">
        <w:rPr>
          <w:sz w:val="36"/>
          <w:szCs w:val="36"/>
          <w:rtl/>
        </w:rPr>
        <w:t>هذا المشكوك</w:t>
      </w:r>
      <w:r w:rsidR="00603323" w:rsidRPr="00FD211F">
        <w:rPr>
          <w:sz w:val="36"/>
          <w:szCs w:val="36"/>
          <w:rtl/>
        </w:rPr>
        <w:t xml:space="preserve">، </w:t>
      </w:r>
      <w:r w:rsidRPr="00FD211F">
        <w:rPr>
          <w:sz w:val="36"/>
          <w:szCs w:val="36"/>
          <w:rtl/>
        </w:rPr>
        <w:t>فلايمكن التمسك باطلاق الخطاب حتى بناء على مسلك الأعمي</w:t>
      </w:r>
      <w:r w:rsidR="00603323" w:rsidRPr="00FD211F">
        <w:rPr>
          <w:sz w:val="36"/>
          <w:szCs w:val="36"/>
          <w:rtl/>
        </w:rPr>
        <w:t xml:space="preserve">، </w:t>
      </w:r>
      <w:r w:rsidRPr="00FD211F">
        <w:rPr>
          <w:sz w:val="36"/>
          <w:szCs w:val="36"/>
          <w:rtl/>
        </w:rPr>
        <w:t>كما هو</w:t>
      </w:r>
      <w:r w:rsidR="00891C36" w:rsidRPr="00FD211F">
        <w:rPr>
          <w:sz w:val="36"/>
          <w:szCs w:val="36"/>
          <w:rtl/>
        </w:rPr>
        <w:t xml:space="preserve"> واضح.</w:t>
      </w:r>
    </w:p>
    <w:p w14:paraId="72B229B0" w14:textId="77777777" w:rsidR="00052BF2" w:rsidRPr="00FD211F" w:rsidRDefault="00052BF2" w:rsidP="009C58C8">
      <w:pPr>
        <w:ind w:left="0" w:firstLine="227"/>
        <w:jc w:val="both"/>
        <w:rPr>
          <w:sz w:val="36"/>
          <w:szCs w:val="36"/>
          <w:rtl/>
        </w:rPr>
      </w:pPr>
      <w:r w:rsidRPr="00FD211F">
        <w:rPr>
          <w:sz w:val="36"/>
          <w:szCs w:val="36"/>
          <w:rtl/>
        </w:rPr>
        <w:t>وقد اورد على هذه الثمر</w:t>
      </w:r>
      <w:r w:rsidR="00EC7EDF" w:rsidRPr="00FD211F">
        <w:rPr>
          <w:sz w:val="36"/>
          <w:szCs w:val="36"/>
          <w:rtl/>
        </w:rPr>
        <w:t xml:space="preserve">ة </w:t>
      </w:r>
      <w:r w:rsidRPr="00FD211F">
        <w:rPr>
          <w:sz w:val="36"/>
          <w:szCs w:val="36"/>
          <w:rtl/>
        </w:rPr>
        <w:t>بثلاث</w:t>
      </w:r>
      <w:r w:rsidR="00EC7EDF" w:rsidRPr="00FD211F">
        <w:rPr>
          <w:sz w:val="36"/>
          <w:szCs w:val="36"/>
          <w:rtl/>
        </w:rPr>
        <w:t xml:space="preserve">ة </w:t>
      </w:r>
      <w:r w:rsidRPr="00FD211F">
        <w:rPr>
          <w:sz w:val="36"/>
          <w:szCs w:val="36"/>
          <w:rtl/>
        </w:rPr>
        <w:t>وجوه:</w:t>
      </w:r>
    </w:p>
    <w:p w14:paraId="37F633D5" w14:textId="77777777" w:rsidR="00052BF2" w:rsidRPr="00FD211F" w:rsidRDefault="00052BF2" w:rsidP="009C58C8">
      <w:pPr>
        <w:ind w:left="0" w:firstLine="227"/>
        <w:jc w:val="both"/>
        <w:rPr>
          <w:sz w:val="36"/>
          <w:szCs w:val="36"/>
          <w:rtl/>
        </w:rPr>
      </w:pPr>
      <w:r w:rsidRPr="00FD211F">
        <w:rPr>
          <w:sz w:val="36"/>
          <w:szCs w:val="36"/>
          <w:rtl/>
        </w:rPr>
        <w:t>1- ان الخطابات التي وردت في مقام تشريع عباد</w:t>
      </w:r>
      <w:r w:rsidR="00EC7EDF" w:rsidRPr="00FD211F">
        <w:rPr>
          <w:sz w:val="36"/>
          <w:szCs w:val="36"/>
          <w:rtl/>
        </w:rPr>
        <w:t>ة</w:t>
      </w:r>
      <w:r w:rsidR="007368E7" w:rsidRPr="00FD211F">
        <w:rPr>
          <w:sz w:val="36"/>
          <w:szCs w:val="36"/>
          <w:rtl/>
        </w:rPr>
        <w:t>ٍ</w:t>
      </w:r>
      <w:r w:rsidR="00EC7EDF" w:rsidRPr="00FD211F">
        <w:rPr>
          <w:sz w:val="36"/>
          <w:szCs w:val="36"/>
          <w:rtl/>
        </w:rPr>
        <w:t xml:space="preserve"> </w:t>
      </w:r>
      <w:r w:rsidRPr="00FD211F">
        <w:rPr>
          <w:sz w:val="36"/>
          <w:szCs w:val="36"/>
          <w:rtl/>
        </w:rPr>
        <w:t>كقوله تعالى</w:t>
      </w:r>
      <w:r w:rsidR="00891C36" w:rsidRPr="00FD211F">
        <w:rPr>
          <w:sz w:val="36"/>
          <w:szCs w:val="36"/>
          <w:rtl/>
        </w:rPr>
        <w:t>"</w:t>
      </w:r>
      <w:r w:rsidRPr="00FD211F">
        <w:rPr>
          <w:sz w:val="36"/>
          <w:szCs w:val="36"/>
          <w:rtl/>
        </w:rPr>
        <w:t xml:space="preserve"> اقيموا الصلا</w:t>
      </w:r>
      <w:r w:rsidR="00EC7EDF" w:rsidRPr="00FD211F">
        <w:rPr>
          <w:sz w:val="36"/>
          <w:szCs w:val="36"/>
          <w:rtl/>
        </w:rPr>
        <w:t xml:space="preserve">ة </w:t>
      </w:r>
      <w:r w:rsidR="00891C36" w:rsidRPr="00FD211F">
        <w:rPr>
          <w:sz w:val="36"/>
          <w:szCs w:val="36"/>
          <w:rtl/>
        </w:rPr>
        <w:t>"</w:t>
      </w:r>
      <w:r w:rsidRPr="00FD211F">
        <w:rPr>
          <w:sz w:val="36"/>
          <w:szCs w:val="36"/>
          <w:rtl/>
        </w:rPr>
        <w:t xml:space="preserve"> او قوله تعالى</w:t>
      </w:r>
      <w:r w:rsidR="00891C36" w:rsidRPr="00FD211F">
        <w:rPr>
          <w:sz w:val="36"/>
          <w:szCs w:val="36"/>
          <w:rtl/>
        </w:rPr>
        <w:t>"</w:t>
      </w:r>
      <w:r w:rsidRPr="00FD211F">
        <w:rPr>
          <w:sz w:val="36"/>
          <w:szCs w:val="36"/>
          <w:rtl/>
        </w:rPr>
        <w:t xml:space="preserve"> ولله على الناس حجّ البيت</w:t>
      </w:r>
      <w:r w:rsidR="00891C36" w:rsidRPr="00FD211F">
        <w:rPr>
          <w:sz w:val="36"/>
          <w:szCs w:val="36"/>
          <w:rtl/>
        </w:rPr>
        <w:t>"</w:t>
      </w:r>
      <w:r w:rsidR="007368E7" w:rsidRPr="00FD211F">
        <w:rPr>
          <w:sz w:val="36"/>
          <w:szCs w:val="36"/>
          <w:rtl/>
        </w:rPr>
        <w:t xml:space="preserve"> </w:t>
      </w:r>
      <w:r w:rsidRPr="00FD211F">
        <w:rPr>
          <w:sz w:val="36"/>
          <w:szCs w:val="36"/>
          <w:rtl/>
        </w:rPr>
        <w:t>ليست في مقام البيان بلحاظ الأجزاء والشرائط فلاينعقد لها اطلاق حتى على مسلك الأعمي</w:t>
      </w:r>
      <w:r w:rsidR="00603323" w:rsidRPr="00FD211F">
        <w:rPr>
          <w:sz w:val="36"/>
          <w:szCs w:val="36"/>
          <w:rtl/>
        </w:rPr>
        <w:t xml:space="preserve">، </w:t>
      </w:r>
      <w:r w:rsidRPr="00FD211F">
        <w:rPr>
          <w:sz w:val="36"/>
          <w:szCs w:val="36"/>
          <w:rtl/>
        </w:rPr>
        <w:t>وأما الخطابات الوارد</w:t>
      </w:r>
      <w:r w:rsidR="00EC7EDF" w:rsidRPr="00FD211F">
        <w:rPr>
          <w:sz w:val="36"/>
          <w:szCs w:val="36"/>
          <w:rtl/>
        </w:rPr>
        <w:t xml:space="preserve">ة </w:t>
      </w:r>
      <w:r w:rsidRPr="00FD211F">
        <w:rPr>
          <w:sz w:val="36"/>
          <w:szCs w:val="36"/>
          <w:rtl/>
        </w:rPr>
        <w:t>لبيان تفاصيل الأجزاء والشرائط مثل ما ورد لبيان كيفي</w:t>
      </w:r>
      <w:r w:rsidR="00EC7EDF" w:rsidRPr="00FD211F">
        <w:rPr>
          <w:sz w:val="36"/>
          <w:szCs w:val="36"/>
          <w:rtl/>
        </w:rPr>
        <w:t xml:space="preserve">ة </w:t>
      </w:r>
      <w:r w:rsidRPr="00FD211F">
        <w:rPr>
          <w:sz w:val="36"/>
          <w:szCs w:val="36"/>
          <w:rtl/>
        </w:rPr>
        <w:t>الوضوء</w:t>
      </w:r>
      <w:r w:rsidR="009C58C8" w:rsidRPr="00FD211F">
        <w:rPr>
          <w:rStyle w:val="a6"/>
          <w:sz w:val="36"/>
          <w:szCs w:val="36"/>
          <w:rtl/>
        </w:rPr>
        <w:t>(</w:t>
      </w:r>
      <w:r w:rsidR="009C58C8" w:rsidRPr="00FD211F">
        <w:rPr>
          <w:rStyle w:val="a6"/>
          <w:sz w:val="36"/>
          <w:szCs w:val="36"/>
          <w:rtl/>
        </w:rPr>
        <w:footnoteReference w:id="420"/>
      </w:r>
      <w:r w:rsidR="009C58C8" w:rsidRPr="00FD211F">
        <w:rPr>
          <w:rStyle w:val="a6"/>
          <w:sz w:val="36"/>
          <w:szCs w:val="36"/>
          <w:rtl/>
        </w:rPr>
        <w:t>)</w:t>
      </w:r>
      <w:r w:rsidRPr="00FD211F">
        <w:rPr>
          <w:sz w:val="36"/>
          <w:szCs w:val="36"/>
          <w:rtl/>
        </w:rPr>
        <w:t xml:space="preserve"> اوكيفي</w:t>
      </w:r>
      <w:r w:rsidR="00EC7EDF" w:rsidRPr="00FD211F">
        <w:rPr>
          <w:sz w:val="36"/>
          <w:szCs w:val="36"/>
          <w:rtl/>
        </w:rPr>
        <w:t xml:space="preserve">ة </w:t>
      </w:r>
      <w:r w:rsidRPr="00FD211F">
        <w:rPr>
          <w:sz w:val="36"/>
          <w:szCs w:val="36"/>
          <w:rtl/>
        </w:rPr>
        <w:t>الصلا</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21"/>
      </w:r>
      <w:r w:rsidR="009C58C8" w:rsidRPr="00FD211F">
        <w:rPr>
          <w:rStyle w:val="a6"/>
          <w:sz w:val="36"/>
          <w:szCs w:val="36"/>
          <w:rtl/>
        </w:rPr>
        <w:t>)</w:t>
      </w:r>
      <w:r w:rsidRPr="00FD211F">
        <w:rPr>
          <w:sz w:val="36"/>
          <w:szCs w:val="36"/>
          <w:rtl/>
        </w:rPr>
        <w:t xml:space="preserve"> فيمكن التمسك باطلاقها المقامي لنفي اعتبار امر زائد بلافرق بين مسلك الصحيحي والاعمي.</w:t>
      </w:r>
    </w:p>
    <w:p w14:paraId="7B2F459F" w14:textId="77777777" w:rsidR="00052BF2" w:rsidRPr="00FD211F" w:rsidRDefault="00052BF2" w:rsidP="006D3DC8">
      <w:pPr>
        <w:ind w:left="0" w:firstLine="227"/>
        <w:jc w:val="both"/>
        <w:rPr>
          <w:sz w:val="36"/>
          <w:szCs w:val="36"/>
          <w:rtl/>
          <w:lang w:val="en-GB"/>
        </w:rPr>
      </w:pPr>
      <w:r w:rsidRPr="00FD211F">
        <w:rPr>
          <w:sz w:val="36"/>
          <w:szCs w:val="36"/>
          <w:rtl/>
        </w:rPr>
        <w:t>والفرق بين الاطلاق اللفظي والمقامي هو ان الاطلاق اللفظي يكون فيما لو كان العنوان المتعلق او الموضوع للحكم مقسما للخصوصيات</w:t>
      </w:r>
      <w:r w:rsidR="00603323" w:rsidRPr="00FD211F">
        <w:rPr>
          <w:sz w:val="36"/>
          <w:szCs w:val="36"/>
          <w:rtl/>
        </w:rPr>
        <w:t xml:space="preserve">، </w:t>
      </w:r>
      <w:r w:rsidRPr="00FD211F">
        <w:rPr>
          <w:sz w:val="36"/>
          <w:szCs w:val="36"/>
          <w:rtl/>
        </w:rPr>
        <w:t>فلو تعلق حكم بذلك العنوان وسكت المولى عن بيان تقييده بخصوصي</w:t>
      </w:r>
      <w:r w:rsidR="00EC7EDF" w:rsidRPr="00FD211F">
        <w:rPr>
          <w:sz w:val="36"/>
          <w:szCs w:val="36"/>
          <w:rtl/>
        </w:rPr>
        <w:t xml:space="preserve">ة </w:t>
      </w:r>
      <w:r w:rsidRPr="00FD211F">
        <w:rPr>
          <w:sz w:val="36"/>
          <w:szCs w:val="36"/>
          <w:rtl/>
        </w:rPr>
        <w:t>فظاهر سكوته ان ذلك العنوان تمام المتعلق او الموضوع لحكمه على نحو الطبيع</w:t>
      </w:r>
      <w:r w:rsidR="00EC7EDF" w:rsidRPr="00FD211F">
        <w:rPr>
          <w:sz w:val="36"/>
          <w:szCs w:val="36"/>
          <w:rtl/>
        </w:rPr>
        <w:t xml:space="preserve">ة </w:t>
      </w:r>
      <w:r w:rsidRPr="00FD211F">
        <w:rPr>
          <w:sz w:val="36"/>
          <w:szCs w:val="36"/>
          <w:rtl/>
        </w:rPr>
        <w:t>اللابشرط القسمي</w:t>
      </w:r>
      <w:r w:rsidR="00603323" w:rsidRPr="00FD211F">
        <w:rPr>
          <w:sz w:val="36"/>
          <w:szCs w:val="36"/>
          <w:rtl/>
        </w:rPr>
        <w:t xml:space="preserve">، </w:t>
      </w:r>
      <w:r w:rsidRPr="00FD211F">
        <w:rPr>
          <w:sz w:val="36"/>
          <w:szCs w:val="36"/>
          <w:rtl/>
        </w:rPr>
        <w:t>كما لو قال المولى</w:t>
      </w:r>
      <w:r w:rsidR="00891C36" w:rsidRPr="00FD211F">
        <w:rPr>
          <w:sz w:val="36"/>
          <w:szCs w:val="36"/>
          <w:rtl/>
        </w:rPr>
        <w:t>"</w:t>
      </w:r>
      <w:r w:rsidRPr="00FD211F">
        <w:rPr>
          <w:sz w:val="36"/>
          <w:szCs w:val="36"/>
          <w:rtl/>
        </w:rPr>
        <w:t>اعتق رقب</w:t>
      </w:r>
      <w:r w:rsidR="00EC7EDF" w:rsidRPr="00FD211F">
        <w:rPr>
          <w:sz w:val="36"/>
          <w:szCs w:val="36"/>
          <w:rtl/>
        </w:rPr>
        <w:t>ة</w:t>
      </w:r>
      <w:r w:rsidR="00891C36" w:rsidRPr="00FD211F">
        <w:rPr>
          <w:sz w:val="36"/>
          <w:szCs w:val="36"/>
          <w:rtl/>
        </w:rPr>
        <w:t>"</w:t>
      </w:r>
      <w:r w:rsidRPr="00FD211F">
        <w:rPr>
          <w:sz w:val="36"/>
          <w:szCs w:val="36"/>
          <w:rtl/>
        </w:rPr>
        <w:t xml:space="preserve"> فتجري اصال</w:t>
      </w:r>
      <w:r w:rsidR="00EC7EDF" w:rsidRPr="00FD211F">
        <w:rPr>
          <w:sz w:val="36"/>
          <w:szCs w:val="36"/>
          <w:rtl/>
        </w:rPr>
        <w:t xml:space="preserve">ة </w:t>
      </w:r>
      <w:r w:rsidRPr="00FD211F">
        <w:rPr>
          <w:sz w:val="36"/>
          <w:szCs w:val="36"/>
          <w:rtl/>
        </w:rPr>
        <w:t>الاطلاق اللفظي لنفي اعتبار تقيدها بكونها مؤمن</w:t>
      </w:r>
      <w:r w:rsidR="00EC7EDF" w:rsidRPr="00FD211F">
        <w:rPr>
          <w:sz w:val="36"/>
          <w:szCs w:val="36"/>
          <w:rtl/>
        </w:rPr>
        <w:t>ة</w:t>
      </w:r>
      <w:r w:rsidR="00603323" w:rsidRPr="00FD211F">
        <w:rPr>
          <w:sz w:val="36"/>
          <w:szCs w:val="36"/>
          <w:rtl/>
        </w:rPr>
        <w:t xml:space="preserve">، </w:t>
      </w:r>
      <w:r w:rsidRPr="00FD211F">
        <w:rPr>
          <w:sz w:val="36"/>
          <w:szCs w:val="36"/>
          <w:rtl/>
        </w:rPr>
        <w:t>وقد يكون مقتضى الاطلاق اللفظي انصراف العنوان الى بعض افراده كما لوقال</w:t>
      </w:r>
      <w:r w:rsidR="00891C36" w:rsidRPr="00FD211F">
        <w:rPr>
          <w:sz w:val="36"/>
          <w:szCs w:val="36"/>
          <w:rtl/>
        </w:rPr>
        <w:t>"</w:t>
      </w:r>
      <w:r w:rsidRPr="00FD211F">
        <w:rPr>
          <w:sz w:val="36"/>
          <w:szCs w:val="36"/>
          <w:rtl/>
        </w:rPr>
        <w:t xml:space="preserve"> اكرم زيدا</w:t>
      </w:r>
      <w:r w:rsidR="00891C36" w:rsidRPr="00FD211F">
        <w:rPr>
          <w:sz w:val="36"/>
          <w:szCs w:val="36"/>
          <w:rtl/>
        </w:rPr>
        <w:t>"</w:t>
      </w:r>
      <w:r w:rsidRPr="00FD211F">
        <w:rPr>
          <w:sz w:val="36"/>
          <w:szCs w:val="36"/>
          <w:rtl/>
        </w:rPr>
        <w:t xml:space="preserve"> وكان زيد العالم مشهورا دون زيد الجاهل</w:t>
      </w:r>
      <w:r w:rsidR="00603323" w:rsidRPr="00FD211F">
        <w:rPr>
          <w:sz w:val="36"/>
          <w:szCs w:val="36"/>
          <w:rtl/>
        </w:rPr>
        <w:t xml:space="preserve">، </w:t>
      </w:r>
      <w:r w:rsidRPr="00FD211F">
        <w:rPr>
          <w:sz w:val="36"/>
          <w:szCs w:val="36"/>
          <w:rtl/>
        </w:rPr>
        <w:t>فاصال</w:t>
      </w:r>
      <w:r w:rsidR="00EC7EDF" w:rsidRPr="00FD211F">
        <w:rPr>
          <w:sz w:val="36"/>
          <w:szCs w:val="36"/>
          <w:rtl/>
        </w:rPr>
        <w:t xml:space="preserve">ة </w:t>
      </w:r>
      <w:r w:rsidRPr="00FD211F">
        <w:rPr>
          <w:sz w:val="36"/>
          <w:szCs w:val="36"/>
          <w:rtl/>
        </w:rPr>
        <w:t>الاطلاق فيه تقتضي انصرافه الى زيد العالم</w:t>
      </w:r>
      <w:r w:rsidR="00603323" w:rsidRPr="00FD211F">
        <w:rPr>
          <w:sz w:val="36"/>
          <w:szCs w:val="36"/>
          <w:rtl/>
        </w:rPr>
        <w:t xml:space="preserve">، </w:t>
      </w:r>
      <w:r w:rsidRPr="00FD211F">
        <w:rPr>
          <w:sz w:val="36"/>
          <w:szCs w:val="36"/>
          <w:rtl/>
        </w:rPr>
        <w:t>وأما الاطلاق المقامي فهو ان يكون ظاهر المولى كونه في مقام بيان تمام وظيف</w:t>
      </w:r>
      <w:r w:rsidR="00EC7EDF" w:rsidRPr="00FD211F">
        <w:rPr>
          <w:sz w:val="36"/>
          <w:szCs w:val="36"/>
          <w:rtl/>
        </w:rPr>
        <w:t xml:space="preserve">ة </w:t>
      </w:r>
      <w:r w:rsidRPr="00FD211F">
        <w:rPr>
          <w:sz w:val="36"/>
          <w:szCs w:val="36"/>
          <w:rtl/>
        </w:rPr>
        <w:t>العبد</w:t>
      </w:r>
      <w:r w:rsidR="00603323" w:rsidRPr="00FD211F">
        <w:rPr>
          <w:sz w:val="36"/>
          <w:szCs w:val="36"/>
          <w:rtl/>
        </w:rPr>
        <w:t xml:space="preserve">، </w:t>
      </w:r>
      <w:r w:rsidRPr="00FD211F">
        <w:rPr>
          <w:sz w:val="36"/>
          <w:szCs w:val="36"/>
          <w:rtl/>
        </w:rPr>
        <w:t>كما لو قال لعبده</w:t>
      </w:r>
      <w:r w:rsidR="00891C36" w:rsidRPr="00FD211F">
        <w:rPr>
          <w:sz w:val="36"/>
          <w:szCs w:val="36"/>
          <w:rtl/>
        </w:rPr>
        <w:t>"</w:t>
      </w:r>
      <w:r w:rsidRPr="00FD211F">
        <w:rPr>
          <w:sz w:val="36"/>
          <w:szCs w:val="36"/>
          <w:rtl/>
        </w:rPr>
        <w:t xml:space="preserve"> اكرم زيدا وأخاه واكرم عمروا</w:t>
      </w:r>
      <w:r w:rsidR="00891C36" w:rsidRPr="00FD211F">
        <w:rPr>
          <w:sz w:val="36"/>
          <w:szCs w:val="36"/>
          <w:rtl/>
        </w:rPr>
        <w:t>"</w:t>
      </w:r>
      <w:r w:rsidR="00603323" w:rsidRPr="00FD211F">
        <w:rPr>
          <w:sz w:val="36"/>
          <w:szCs w:val="36"/>
          <w:rtl/>
        </w:rPr>
        <w:t xml:space="preserve">، </w:t>
      </w:r>
      <w:r w:rsidRPr="00FD211F">
        <w:rPr>
          <w:sz w:val="36"/>
          <w:szCs w:val="36"/>
          <w:rtl/>
        </w:rPr>
        <w:t>فظاهر سكوته عن الأمر باكرام اخي عمرو انه لايجب على العبد اكرامه بمقتضى ان ظاهر الخطاب كون المولى في مقام بيان تمام وظيف</w:t>
      </w:r>
      <w:r w:rsidR="00EC7EDF" w:rsidRPr="00FD211F">
        <w:rPr>
          <w:sz w:val="36"/>
          <w:szCs w:val="36"/>
          <w:rtl/>
        </w:rPr>
        <w:t xml:space="preserve">ة </w:t>
      </w:r>
      <w:r w:rsidRPr="00FD211F">
        <w:rPr>
          <w:sz w:val="36"/>
          <w:szCs w:val="36"/>
          <w:rtl/>
        </w:rPr>
        <w:t>العبد</w:t>
      </w:r>
      <w:r w:rsidR="00603323" w:rsidRPr="00FD211F">
        <w:rPr>
          <w:sz w:val="36"/>
          <w:szCs w:val="36"/>
          <w:rtl/>
        </w:rPr>
        <w:t xml:space="preserve">، </w:t>
      </w:r>
      <w:r w:rsidRPr="00FD211F">
        <w:rPr>
          <w:sz w:val="36"/>
          <w:szCs w:val="36"/>
          <w:rtl/>
        </w:rPr>
        <w:t>وهكذا لو أمر المولى عبده بشراء اللحم والفاكه</w:t>
      </w:r>
      <w:r w:rsidR="00EC7EDF" w:rsidRPr="00FD211F">
        <w:rPr>
          <w:sz w:val="36"/>
          <w:szCs w:val="36"/>
          <w:rtl/>
        </w:rPr>
        <w:t xml:space="preserve">ة </w:t>
      </w:r>
      <w:r w:rsidR="009977FE" w:rsidRPr="00FD211F">
        <w:rPr>
          <w:sz w:val="36"/>
          <w:szCs w:val="36"/>
          <w:rtl/>
        </w:rPr>
        <w:t>و</w:t>
      </w:r>
      <w:r w:rsidR="008D7B3D" w:rsidRPr="00FD211F">
        <w:rPr>
          <w:sz w:val="36"/>
          <w:szCs w:val="36"/>
          <w:rtl/>
        </w:rPr>
        <w:t xml:space="preserve"> لم‌</w:t>
      </w:r>
      <w:r w:rsidRPr="00FD211F">
        <w:rPr>
          <w:sz w:val="36"/>
          <w:szCs w:val="36"/>
          <w:rtl/>
        </w:rPr>
        <w:t>يأمره بشراء الخبز مع كون ظاهره انه في مقام بيان تمام وظيف</w:t>
      </w:r>
      <w:r w:rsidR="00EC7EDF" w:rsidRPr="00FD211F">
        <w:rPr>
          <w:sz w:val="36"/>
          <w:szCs w:val="36"/>
          <w:rtl/>
        </w:rPr>
        <w:t xml:space="preserve">ة </w:t>
      </w:r>
      <w:r w:rsidRPr="00FD211F">
        <w:rPr>
          <w:sz w:val="36"/>
          <w:szCs w:val="36"/>
          <w:rtl/>
        </w:rPr>
        <w:t>العبد فيكون مقتضى الاطلاق المقامي عدم وجوب شراء الخبز</w:t>
      </w:r>
      <w:r w:rsidRPr="00FD211F">
        <w:rPr>
          <w:sz w:val="36"/>
          <w:szCs w:val="36"/>
          <w:rtl/>
          <w:lang w:val="en-GB"/>
        </w:rPr>
        <w:t>.</w:t>
      </w:r>
    </w:p>
    <w:p w14:paraId="5F8EDD65" w14:textId="77777777" w:rsidR="00052BF2" w:rsidRPr="00FD211F" w:rsidRDefault="00052BF2" w:rsidP="009C58C8">
      <w:pPr>
        <w:ind w:left="0" w:firstLine="227"/>
        <w:jc w:val="both"/>
        <w:rPr>
          <w:sz w:val="36"/>
          <w:szCs w:val="36"/>
          <w:rtl/>
        </w:rPr>
      </w:pPr>
      <w:r w:rsidRPr="00FD211F">
        <w:rPr>
          <w:sz w:val="36"/>
          <w:szCs w:val="36"/>
          <w:rtl/>
        </w:rPr>
        <w:t>ولايخفى ان الاطلاق المقامي يحتاج الى قيام قرين</w:t>
      </w:r>
      <w:r w:rsidR="00EC7EDF" w:rsidRPr="00FD211F">
        <w:rPr>
          <w:sz w:val="36"/>
          <w:szCs w:val="36"/>
          <w:rtl/>
        </w:rPr>
        <w:t xml:space="preserve">ة </w:t>
      </w:r>
      <w:r w:rsidRPr="00FD211F">
        <w:rPr>
          <w:sz w:val="36"/>
          <w:szCs w:val="36"/>
          <w:rtl/>
        </w:rPr>
        <w:t>خاص</w:t>
      </w:r>
      <w:r w:rsidR="00EC7EDF" w:rsidRPr="00FD211F">
        <w:rPr>
          <w:sz w:val="36"/>
          <w:szCs w:val="36"/>
          <w:rtl/>
        </w:rPr>
        <w:t xml:space="preserve">ة </w:t>
      </w:r>
      <w:r w:rsidRPr="00FD211F">
        <w:rPr>
          <w:sz w:val="36"/>
          <w:szCs w:val="36"/>
          <w:rtl/>
        </w:rPr>
        <w:t>على كون المولى في مقام بيان تمام وظيف</w:t>
      </w:r>
      <w:r w:rsidR="00EC7EDF" w:rsidRPr="00FD211F">
        <w:rPr>
          <w:sz w:val="36"/>
          <w:szCs w:val="36"/>
          <w:rtl/>
        </w:rPr>
        <w:t xml:space="preserve">ة </w:t>
      </w:r>
      <w:r w:rsidRPr="00FD211F">
        <w:rPr>
          <w:sz w:val="36"/>
          <w:szCs w:val="36"/>
          <w:rtl/>
        </w:rPr>
        <w:t>العبد</w:t>
      </w:r>
      <w:r w:rsidR="00603323" w:rsidRPr="00FD211F">
        <w:rPr>
          <w:sz w:val="36"/>
          <w:szCs w:val="36"/>
          <w:rtl/>
        </w:rPr>
        <w:t xml:space="preserve">، </w:t>
      </w:r>
      <w:r w:rsidRPr="00FD211F">
        <w:rPr>
          <w:sz w:val="36"/>
          <w:szCs w:val="36"/>
          <w:rtl/>
        </w:rPr>
        <w:t>بينما ان الاطلاق اللفظي يتم بمقتضى ملاحظ</w:t>
      </w:r>
      <w:r w:rsidR="00EC7EDF" w:rsidRPr="00FD211F">
        <w:rPr>
          <w:sz w:val="36"/>
          <w:szCs w:val="36"/>
          <w:rtl/>
        </w:rPr>
        <w:t xml:space="preserve">ة </w:t>
      </w:r>
      <w:r w:rsidRPr="00FD211F">
        <w:rPr>
          <w:sz w:val="36"/>
          <w:szCs w:val="36"/>
          <w:rtl/>
        </w:rPr>
        <w:t>ظهور حالي نوعي في انه لو انصبّ الخطاب على طبيع</w:t>
      </w:r>
      <w:r w:rsidR="00EC7EDF" w:rsidRPr="00FD211F">
        <w:rPr>
          <w:sz w:val="36"/>
          <w:szCs w:val="36"/>
          <w:rtl/>
        </w:rPr>
        <w:t xml:space="preserve">ة </w:t>
      </w:r>
      <w:r w:rsidR="009977FE" w:rsidRPr="00FD211F">
        <w:rPr>
          <w:sz w:val="36"/>
          <w:szCs w:val="36"/>
          <w:rtl/>
        </w:rPr>
        <w:t>و</w:t>
      </w:r>
      <w:r w:rsidR="008D7B3D" w:rsidRPr="00FD211F">
        <w:rPr>
          <w:sz w:val="36"/>
          <w:szCs w:val="36"/>
          <w:rtl/>
        </w:rPr>
        <w:t xml:space="preserve"> لم‌</w:t>
      </w:r>
      <w:r w:rsidRPr="00FD211F">
        <w:rPr>
          <w:sz w:val="36"/>
          <w:szCs w:val="36"/>
          <w:rtl/>
        </w:rPr>
        <w:t>يذكر بعض خصوصياتها فيكون الطبيع</w:t>
      </w:r>
      <w:r w:rsidR="00EC7EDF" w:rsidRPr="00FD211F">
        <w:rPr>
          <w:sz w:val="36"/>
          <w:szCs w:val="36"/>
          <w:rtl/>
        </w:rPr>
        <w:t xml:space="preserve">ة </w:t>
      </w:r>
      <w:r w:rsidRPr="00FD211F">
        <w:rPr>
          <w:sz w:val="36"/>
          <w:szCs w:val="36"/>
          <w:rtl/>
        </w:rPr>
        <w:t>تمام الموضوع للحكم</w:t>
      </w:r>
      <w:r w:rsidR="00603323" w:rsidRPr="00FD211F">
        <w:rPr>
          <w:sz w:val="36"/>
          <w:szCs w:val="36"/>
          <w:rtl/>
        </w:rPr>
        <w:t xml:space="preserve">، </w:t>
      </w:r>
      <w:r w:rsidRPr="00FD211F">
        <w:rPr>
          <w:sz w:val="36"/>
          <w:szCs w:val="36"/>
          <w:rtl/>
        </w:rPr>
        <w:t>حيث يكون السكوت عن القيد مع تعلق الغرض بالمقيد نقضا للغرض.</w:t>
      </w:r>
    </w:p>
    <w:p w14:paraId="06D0569E" w14:textId="77777777" w:rsidR="000C5BBA" w:rsidRPr="00FD211F" w:rsidRDefault="007368E7" w:rsidP="009C58C8">
      <w:pPr>
        <w:ind w:left="0" w:firstLine="227"/>
        <w:jc w:val="both"/>
        <w:rPr>
          <w:sz w:val="36"/>
          <w:szCs w:val="36"/>
          <w:rtl/>
        </w:rPr>
      </w:pPr>
      <w:r w:rsidRPr="00FD211F">
        <w:rPr>
          <w:sz w:val="36"/>
          <w:szCs w:val="36"/>
          <w:rtl/>
        </w:rPr>
        <w:t xml:space="preserve">هذا </w:t>
      </w:r>
      <w:r w:rsidR="00052BF2" w:rsidRPr="00FD211F">
        <w:rPr>
          <w:sz w:val="36"/>
          <w:szCs w:val="36"/>
          <w:rtl/>
        </w:rPr>
        <w:t xml:space="preserve">ولكن </w:t>
      </w:r>
      <w:r w:rsidRPr="00FD211F">
        <w:rPr>
          <w:sz w:val="36"/>
          <w:szCs w:val="36"/>
          <w:rtl/>
        </w:rPr>
        <w:t>الظاهر أ</w:t>
      </w:r>
      <w:r w:rsidR="00052BF2" w:rsidRPr="00FD211F">
        <w:rPr>
          <w:sz w:val="36"/>
          <w:szCs w:val="36"/>
          <w:rtl/>
        </w:rPr>
        <w:t>نه لاوجه للمنع بشكل عام عن كون الخطابات الوارد</w:t>
      </w:r>
      <w:r w:rsidR="00EC7EDF" w:rsidRPr="00FD211F">
        <w:rPr>
          <w:sz w:val="36"/>
          <w:szCs w:val="36"/>
          <w:rtl/>
        </w:rPr>
        <w:t xml:space="preserve">ة </w:t>
      </w:r>
      <w:r w:rsidR="00052BF2" w:rsidRPr="00FD211F">
        <w:rPr>
          <w:sz w:val="36"/>
          <w:szCs w:val="36"/>
          <w:rtl/>
        </w:rPr>
        <w:t>في تشريع العبادات في مقام البيان بلحاظ الأجزاء والشرائط</w:t>
      </w:r>
      <w:r w:rsidR="005138B7" w:rsidRPr="00FD211F">
        <w:rPr>
          <w:sz w:val="36"/>
          <w:szCs w:val="36"/>
          <w:rtl/>
        </w:rPr>
        <w:t>.</w:t>
      </w:r>
    </w:p>
    <w:p w14:paraId="0197A699" w14:textId="77777777" w:rsidR="000C5BBA" w:rsidRPr="00FD211F" w:rsidRDefault="00C50C05" w:rsidP="009C58C8">
      <w:pPr>
        <w:ind w:left="0" w:firstLine="227"/>
        <w:jc w:val="both"/>
        <w:rPr>
          <w:sz w:val="36"/>
          <w:szCs w:val="36"/>
          <w:rtl/>
        </w:rPr>
      </w:pPr>
      <w:r w:rsidRPr="00FD211F">
        <w:rPr>
          <w:sz w:val="36"/>
          <w:szCs w:val="36"/>
          <w:rtl/>
        </w:rPr>
        <w:t xml:space="preserve">فيمكن التمسك باطلاق </w:t>
      </w:r>
      <w:r w:rsidR="00052BF2" w:rsidRPr="00FD211F">
        <w:rPr>
          <w:sz w:val="36"/>
          <w:szCs w:val="36"/>
          <w:rtl/>
        </w:rPr>
        <w:t>قوله تعالى: "ياايها الذين آمنوا كتب عليكم الصيام كما كتب على الذين من قبلكم لعلكم تتقون</w:t>
      </w:r>
      <w:r w:rsidR="00EC7EDF" w:rsidRPr="00FD211F">
        <w:rPr>
          <w:sz w:val="36"/>
          <w:szCs w:val="36"/>
          <w:rtl/>
        </w:rPr>
        <w:t>.</w:t>
      </w:r>
      <w:r w:rsidR="00052BF2" w:rsidRPr="00FD211F">
        <w:rPr>
          <w:sz w:val="36"/>
          <w:szCs w:val="36"/>
          <w:rtl/>
        </w:rPr>
        <w:t>.. فمن شهد منكم الشهر فليصمه"</w:t>
      </w:r>
      <w:r w:rsidR="009C58C8" w:rsidRPr="00FD211F">
        <w:rPr>
          <w:rStyle w:val="a6"/>
          <w:sz w:val="36"/>
          <w:szCs w:val="36"/>
          <w:rtl/>
        </w:rPr>
        <w:t>(</w:t>
      </w:r>
      <w:r w:rsidR="009C58C8" w:rsidRPr="00FD211F">
        <w:rPr>
          <w:rStyle w:val="a6"/>
          <w:sz w:val="36"/>
          <w:szCs w:val="36"/>
          <w:rtl/>
        </w:rPr>
        <w:footnoteReference w:id="422"/>
      </w:r>
      <w:r w:rsidR="009C58C8" w:rsidRPr="00FD211F">
        <w:rPr>
          <w:rStyle w:val="a6"/>
          <w:sz w:val="36"/>
          <w:szCs w:val="36"/>
          <w:rtl/>
        </w:rPr>
        <w:t>)</w:t>
      </w:r>
      <w:r w:rsidR="008A39EB" w:rsidRPr="00FD211F">
        <w:rPr>
          <w:sz w:val="36"/>
          <w:szCs w:val="36"/>
          <w:rtl/>
        </w:rPr>
        <w:t xml:space="preserve"> </w:t>
      </w:r>
      <w:r w:rsidR="006677D7" w:rsidRPr="00FD211F">
        <w:rPr>
          <w:sz w:val="36"/>
          <w:szCs w:val="36"/>
          <w:rtl/>
        </w:rPr>
        <w:t>لنفي شرطية الامساك عن غير الاكل والشرب والجماع</w:t>
      </w:r>
      <w:r w:rsidR="00C774D9" w:rsidRPr="00FD211F">
        <w:rPr>
          <w:sz w:val="36"/>
          <w:szCs w:val="36"/>
          <w:rtl/>
        </w:rPr>
        <w:t>.</w:t>
      </w:r>
    </w:p>
    <w:p w14:paraId="31DEDBBA" w14:textId="77777777" w:rsidR="00052BF2" w:rsidRPr="00FD211F" w:rsidRDefault="00052BF2" w:rsidP="009C58C8">
      <w:pPr>
        <w:ind w:left="0" w:firstLine="227"/>
        <w:jc w:val="both"/>
        <w:rPr>
          <w:sz w:val="36"/>
          <w:szCs w:val="36"/>
          <w:rtl/>
        </w:rPr>
      </w:pPr>
      <w:r w:rsidRPr="00FD211F">
        <w:rPr>
          <w:sz w:val="36"/>
          <w:szCs w:val="36"/>
          <w:rtl/>
        </w:rPr>
        <w:t xml:space="preserve">وما </w:t>
      </w:r>
      <w:r w:rsidR="005138B7" w:rsidRPr="00FD211F">
        <w:rPr>
          <w:sz w:val="36"/>
          <w:szCs w:val="36"/>
          <w:rtl/>
        </w:rPr>
        <w:t xml:space="preserve">قد يقال </w:t>
      </w:r>
      <w:r w:rsidRPr="00FD211F">
        <w:rPr>
          <w:sz w:val="36"/>
          <w:szCs w:val="36"/>
          <w:rtl/>
        </w:rPr>
        <w:t xml:space="preserve">من ان </w:t>
      </w:r>
      <w:r w:rsidR="005138B7" w:rsidRPr="00FD211F">
        <w:rPr>
          <w:sz w:val="36"/>
          <w:szCs w:val="36"/>
          <w:rtl/>
        </w:rPr>
        <w:t>اشتمال الآية</w:t>
      </w:r>
      <w:r w:rsidRPr="00FD211F">
        <w:rPr>
          <w:sz w:val="36"/>
          <w:szCs w:val="36"/>
          <w:rtl/>
        </w:rPr>
        <w:t xml:space="preserve"> على قوله "كما كتب على الذين من قبلكم" يوجب </w:t>
      </w:r>
      <w:r w:rsidR="005138B7" w:rsidRPr="00FD211F">
        <w:rPr>
          <w:sz w:val="36"/>
          <w:szCs w:val="36"/>
          <w:rtl/>
        </w:rPr>
        <w:t>الظهور</w:t>
      </w:r>
      <w:r w:rsidRPr="00FD211F">
        <w:rPr>
          <w:sz w:val="36"/>
          <w:szCs w:val="36"/>
          <w:rtl/>
        </w:rPr>
        <w:t xml:space="preserve"> في كونه</w:t>
      </w:r>
      <w:r w:rsidR="005138B7" w:rsidRPr="00FD211F">
        <w:rPr>
          <w:sz w:val="36"/>
          <w:szCs w:val="36"/>
          <w:rtl/>
        </w:rPr>
        <w:t xml:space="preserve">ا بصدد تخفيف </w:t>
      </w:r>
      <w:r w:rsidRPr="00FD211F">
        <w:rPr>
          <w:sz w:val="36"/>
          <w:szCs w:val="36"/>
          <w:rtl/>
        </w:rPr>
        <w:t>امر الصيام على نفوس المؤمنين بان هذا ليس امرا حادثا كي يشقّ عليكم ذلك</w:t>
      </w:r>
      <w:r w:rsidR="00603323" w:rsidRPr="00FD211F">
        <w:rPr>
          <w:sz w:val="36"/>
          <w:szCs w:val="36"/>
          <w:rtl/>
        </w:rPr>
        <w:t xml:space="preserve">، </w:t>
      </w:r>
      <w:r w:rsidRPr="00FD211F">
        <w:rPr>
          <w:sz w:val="36"/>
          <w:szCs w:val="36"/>
          <w:rtl/>
        </w:rPr>
        <w:t>فقد كتب ذلك على الأمم السابق</w:t>
      </w:r>
      <w:r w:rsidR="00EC7EDF" w:rsidRPr="00FD211F">
        <w:rPr>
          <w:sz w:val="36"/>
          <w:szCs w:val="36"/>
          <w:rtl/>
        </w:rPr>
        <w:t xml:space="preserve">ة </w:t>
      </w:r>
      <w:r w:rsidRPr="00FD211F">
        <w:rPr>
          <w:sz w:val="36"/>
          <w:szCs w:val="36"/>
          <w:rtl/>
        </w:rPr>
        <w:t>أيضا</w:t>
      </w:r>
      <w:r w:rsidR="00603323" w:rsidRPr="00FD211F">
        <w:rPr>
          <w:sz w:val="36"/>
          <w:szCs w:val="36"/>
          <w:rtl/>
        </w:rPr>
        <w:t xml:space="preserve">، </w:t>
      </w:r>
      <w:r w:rsidRPr="00FD211F">
        <w:rPr>
          <w:sz w:val="36"/>
          <w:szCs w:val="36"/>
          <w:rtl/>
        </w:rPr>
        <w:t>ف</w:t>
      </w:r>
      <w:r w:rsidR="005138B7" w:rsidRPr="00FD211F">
        <w:rPr>
          <w:sz w:val="36"/>
          <w:szCs w:val="36"/>
          <w:rtl/>
        </w:rPr>
        <w:t>فيه أ</w:t>
      </w:r>
      <w:r w:rsidRPr="00FD211F">
        <w:rPr>
          <w:sz w:val="36"/>
          <w:szCs w:val="36"/>
          <w:rtl/>
        </w:rPr>
        <w:t>ن مجرد ذلك لايشك</w:t>
      </w:r>
      <w:r w:rsidR="005138B7" w:rsidRPr="00FD211F">
        <w:rPr>
          <w:sz w:val="36"/>
          <w:szCs w:val="36"/>
          <w:rtl/>
        </w:rPr>
        <w:t>ِّ</w:t>
      </w:r>
      <w:r w:rsidRPr="00FD211F">
        <w:rPr>
          <w:sz w:val="36"/>
          <w:szCs w:val="36"/>
          <w:rtl/>
        </w:rPr>
        <w:t>ل قرين</w:t>
      </w:r>
      <w:r w:rsidR="00EC7EDF" w:rsidRPr="00FD211F">
        <w:rPr>
          <w:sz w:val="36"/>
          <w:szCs w:val="36"/>
          <w:rtl/>
        </w:rPr>
        <w:t xml:space="preserve">ة </w:t>
      </w:r>
      <w:r w:rsidRPr="00FD211F">
        <w:rPr>
          <w:sz w:val="36"/>
          <w:szCs w:val="36"/>
          <w:rtl/>
        </w:rPr>
        <w:t>على عدم كون الشارع في مقام البيان من حيث أجزاء الصوم وشرائطه</w:t>
      </w:r>
      <w:r w:rsidR="00603323" w:rsidRPr="00FD211F">
        <w:rPr>
          <w:sz w:val="36"/>
          <w:szCs w:val="36"/>
          <w:rtl/>
        </w:rPr>
        <w:t xml:space="preserve">، </w:t>
      </w:r>
      <w:r w:rsidRPr="00FD211F">
        <w:rPr>
          <w:sz w:val="36"/>
          <w:szCs w:val="36"/>
          <w:rtl/>
        </w:rPr>
        <w:t>خاص</w:t>
      </w:r>
      <w:r w:rsidR="00EC7EDF" w:rsidRPr="00FD211F">
        <w:rPr>
          <w:sz w:val="36"/>
          <w:szCs w:val="36"/>
          <w:rtl/>
        </w:rPr>
        <w:t xml:space="preserve">ة </w:t>
      </w:r>
      <w:r w:rsidR="005138B7" w:rsidRPr="00FD211F">
        <w:rPr>
          <w:sz w:val="36"/>
          <w:szCs w:val="36"/>
          <w:rtl/>
        </w:rPr>
        <w:t xml:space="preserve">في </w:t>
      </w:r>
      <w:r w:rsidRPr="00FD211F">
        <w:rPr>
          <w:sz w:val="36"/>
          <w:szCs w:val="36"/>
          <w:rtl/>
        </w:rPr>
        <w:t>قوله تعالى</w:t>
      </w:r>
      <w:r w:rsidR="005138B7" w:rsidRPr="00FD211F">
        <w:rPr>
          <w:sz w:val="36"/>
          <w:szCs w:val="36"/>
          <w:rtl/>
        </w:rPr>
        <w:t>"</w:t>
      </w:r>
      <w:r w:rsidRPr="00FD211F">
        <w:rPr>
          <w:sz w:val="36"/>
          <w:szCs w:val="36"/>
          <w:rtl/>
        </w:rPr>
        <w:t xml:space="preserve"> فمن شهد منكم الشهر فليصمه</w:t>
      </w:r>
      <w:r w:rsidR="005138B7" w:rsidRPr="00FD211F">
        <w:rPr>
          <w:sz w:val="36"/>
          <w:szCs w:val="36"/>
          <w:rtl/>
        </w:rPr>
        <w:t>"</w:t>
      </w:r>
      <w:r w:rsidR="00603323" w:rsidRPr="00FD211F">
        <w:rPr>
          <w:sz w:val="36"/>
          <w:szCs w:val="36"/>
          <w:rtl/>
        </w:rPr>
        <w:t xml:space="preserve">، </w:t>
      </w:r>
      <w:r w:rsidRPr="00FD211F">
        <w:rPr>
          <w:sz w:val="36"/>
          <w:szCs w:val="36"/>
          <w:rtl/>
        </w:rPr>
        <w:t>فبناء على مسلك الاعمي يمكن التمسك باطلاق هذه الآي</w:t>
      </w:r>
      <w:r w:rsidR="00EC7EDF" w:rsidRPr="00FD211F">
        <w:rPr>
          <w:sz w:val="36"/>
          <w:szCs w:val="36"/>
          <w:rtl/>
        </w:rPr>
        <w:t xml:space="preserve">ة </w:t>
      </w:r>
      <w:r w:rsidRPr="00FD211F">
        <w:rPr>
          <w:sz w:val="36"/>
          <w:szCs w:val="36"/>
          <w:rtl/>
        </w:rPr>
        <w:t xml:space="preserve">لنفي احتمال </w:t>
      </w:r>
      <w:r w:rsidR="008D7B3D" w:rsidRPr="00FD211F">
        <w:rPr>
          <w:sz w:val="36"/>
          <w:szCs w:val="36"/>
          <w:rtl/>
        </w:rPr>
        <w:t xml:space="preserve">شيء </w:t>
      </w:r>
      <w:r w:rsidRPr="00FD211F">
        <w:rPr>
          <w:sz w:val="36"/>
          <w:szCs w:val="36"/>
          <w:rtl/>
        </w:rPr>
        <w:t>زائد في الصيام بعد احراز تحقق مسمى الصيام عرفا بمجرد الامساك عن الأكل والشرب</w:t>
      </w:r>
      <w:r w:rsidR="00603323" w:rsidRPr="00FD211F">
        <w:rPr>
          <w:sz w:val="36"/>
          <w:szCs w:val="36"/>
          <w:rtl/>
        </w:rPr>
        <w:t xml:space="preserve">، </w:t>
      </w:r>
      <w:r w:rsidRPr="00FD211F">
        <w:rPr>
          <w:sz w:val="36"/>
          <w:szCs w:val="36"/>
          <w:rtl/>
        </w:rPr>
        <w:t>وقد يذكر الخطابات الآمر</w:t>
      </w:r>
      <w:r w:rsidR="00EC7EDF" w:rsidRPr="00FD211F">
        <w:rPr>
          <w:sz w:val="36"/>
          <w:szCs w:val="36"/>
          <w:rtl/>
        </w:rPr>
        <w:t xml:space="preserve">ة </w:t>
      </w:r>
      <w:r w:rsidRPr="00FD211F">
        <w:rPr>
          <w:sz w:val="36"/>
          <w:szCs w:val="36"/>
          <w:rtl/>
        </w:rPr>
        <w:t>بالطواف بالبيت او السعي بين الصفا والمرو</w:t>
      </w:r>
      <w:r w:rsidR="00EC7EDF" w:rsidRPr="00FD211F">
        <w:rPr>
          <w:sz w:val="36"/>
          <w:szCs w:val="36"/>
          <w:rtl/>
        </w:rPr>
        <w:t xml:space="preserve">ة </w:t>
      </w:r>
      <w:r w:rsidRPr="00FD211F">
        <w:rPr>
          <w:sz w:val="36"/>
          <w:szCs w:val="36"/>
          <w:rtl/>
        </w:rPr>
        <w:t>او التشهد في الصلا</w:t>
      </w:r>
      <w:r w:rsidR="00EC7EDF" w:rsidRPr="00FD211F">
        <w:rPr>
          <w:sz w:val="36"/>
          <w:szCs w:val="36"/>
          <w:rtl/>
        </w:rPr>
        <w:t xml:space="preserve">ة </w:t>
      </w:r>
      <w:r w:rsidRPr="00FD211F">
        <w:rPr>
          <w:sz w:val="36"/>
          <w:szCs w:val="36"/>
          <w:rtl/>
        </w:rPr>
        <w:t>كمثال لهذا البحث</w:t>
      </w:r>
      <w:r w:rsidR="00603323" w:rsidRPr="00FD211F">
        <w:rPr>
          <w:sz w:val="36"/>
          <w:szCs w:val="36"/>
          <w:rtl/>
        </w:rPr>
        <w:t xml:space="preserve">، </w:t>
      </w:r>
      <w:r w:rsidRPr="00FD211F">
        <w:rPr>
          <w:sz w:val="36"/>
          <w:szCs w:val="36"/>
          <w:rtl/>
        </w:rPr>
        <w:t xml:space="preserve">فانه بناء على مسلك الاعمي يمكن التمسك باطلاقها لنفي اعتبار </w:t>
      </w:r>
      <w:r w:rsidR="008D7B3D" w:rsidRPr="00FD211F">
        <w:rPr>
          <w:sz w:val="36"/>
          <w:szCs w:val="36"/>
          <w:rtl/>
        </w:rPr>
        <w:t xml:space="preserve">شيء </w:t>
      </w:r>
      <w:r w:rsidRPr="00FD211F">
        <w:rPr>
          <w:sz w:val="36"/>
          <w:szCs w:val="36"/>
          <w:rtl/>
        </w:rPr>
        <w:t>زائد فيها.</w:t>
      </w:r>
    </w:p>
    <w:p w14:paraId="4DA0457D" w14:textId="77777777" w:rsidR="00052BF2" w:rsidRPr="00FD211F" w:rsidRDefault="00052BF2" w:rsidP="009C58C8">
      <w:pPr>
        <w:ind w:left="0" w:firstLine="227"/>
        <w:jc w:val="both"/>
        <w:rPr>
          <w:sz w:val="36"/>
          <w:szCs w:val="36"/>
          <w:rtl/>
        </w:rPr>
      </w:pPr>
      <w:r w:rsidRPr="00FD211F">
        <w:rPr>
          <w:sz w:val="36"/>
          <w:szCs w:val="36"/>
          <w:rtl/>
        </w:rPr>
        <w:t>ولكن يمكن ان يقال بان الصحيحي ايضا لايدعي وضع اسماء اجزاء العبادات مثل التشهد على خصوص الصحيح</w:t>
      </w:r>
      <w:r w:rsidR="00603323" w:rsidRPr="00FD211F">
        <w:rPr>
          <w:sz w:val="36"/>
          <w:szCs w:val="36"/>
          <w:rtl/>
        </w:rPr>
        <w:t xml:space="preserve">، </w:t>
      </w:r>
      <w:r w:rsidRPr="00FD211F">
        <w:rPr>
          <w:sz w:val="36"/>
          <w:szCs w:val="36"/>
          <w:rtl/>
        </w:rPr>
        <w:t>حيث أنها ليست من الماهيات الاختراعي</w:t>
      </w:r>
      <w:r w:rsidR="00EC7EDF" w:rsidRPr="00FD211F">
        <w:rPr>
          <w:sz w:val="36"/>
          <w:szCs w:val="36"/>
          <w:rtl/>
        </w:rPr>
        <w:t>ة</w:t>
      </w:r>
      <w:r w:rsidR="00603323" w:rsidRPr="00FD211F">
        <w:rPr>
          <w:sz w:val="36"/>
          <w:szCs w:val="36"/>
          <w:rtl/>
        </w:rPr>
        <w:t xml:space="preserve">، </w:t>
      </w:r>
      <w:r w:rsidRPr="00FD211F">
        <w:rPr>
          <w:sz w:val="36"/>
          <w:szCs w:val="36"/>
          <w:rtl/>
        </w:rPr>
        <w:t>بل هي من الأمور التكويني</w:t>
      </w:r>
      <w:r w:rsidR="00EC7EDF" w:rsidRPr="00FD211F">
        <w:rPr>
          <w:sz w:val="36"/>
          <w:szCs w:val="36"/>
          <w:rtl/>
        </w:rPr>
        <w:t>ة</w:t>
      </w:r>
      <w:r w:rsidR="00603323" w:rsidRPr="00FD211F">
        <w:rPr>
          <w:sz w:val="36"/>
          <w:szCs w:val="36"/>
          <w:rtl/>
        </w:rPr>
        <w:t xml:space="preserve">، </w:t>
      </w:r>
      <w:r w:rsidRPr="00FD211F">
        <w:rPr>
          <w:sz w:val="36"/>
          <w:szCs w:val="36"/>
          <w:rtl/>
        </w:rPr>
        <w:t>فيمكن للصحيحي التمسك باطلاق الخطاب أيضا فتدبر.</w:t>
      </w:r>
    </w:p>
    <w:p w14:paraId="1896A65D" w14:textId="77777777" w:rsidR="00052BF2" w:rsidRPr="00FD211F" w:rsidRDefault="00052BF2" w:rsidP="009C58C8">
      <w:pPr>
        <w:ind w:left="0" w:firstLine="227"/>
        <w:jc w:val="both"/>
        <w:rPr>
          <w:sz w:val="36"/>
          <w:szCs w:val="36"/>
          <w:rtl/>
          <w:lang w:val="en-GB"/>
        </w:rPr>
      </w:pPr>
      <w:r w:rsidRPr="00FD211F">
        <w:rPr>
          <w:sz w:val="36"/>
          <w:szCs w:val="36"/>
          <w:rtl/>
        </w:rPr>
        <w:t>2- ما قد يقال بانه بناء على مسلك الأعمي أيضا لايمكن التمسك باطلاق خطاب الأمر</w:t>
      </w:r>
      <w:r w:rsidR="00603323" w:rsidRPr="00FD211F">
        <w:rPr>
          <w:sz w:val="36"/>
          <w:szCs w:val="36"/>
          <w:rtl/>
        </w:rPr>
        <w:t xml:space="preserve">، </w:t>
      </w:r>
      <w:r w:rsidRPr="00FD211F">
        <w:rPr>
          <w:sz w:val="36"/>
          <w:szCs w:val="36"/>
          <w:rtl/>
        </w:rPr>
        <w:t>حيث لايحتمل شموله للفاسد</w:t>
      </w:r>
      <w:r w:rsidR="00603323" w:rsidRPr="00FD211F">
        <w:rPr>
          <w:sz w:val="36"/>
          <w:szCs w:val="36"/>
          <w:rtl/>
        </w:rPr>
        <w:t xml:space="preserve">، </w:t>
      </w:r>
      <w:r w:rsidRPr="00FD211F">
        <w:rPr>
          <w:sz w:val="36"/>
          <w:szCs w:val="36"/>
          <w:rtl/>
        </w:rPr>
        <w:t>وحينئذ فيكون العمل الفاقد لما يحتمل اعتباره شبه</w:t>
      </w:r>
      <w:r w:rsidR="00EC7EDF" w:rsidRPr="00FD211F">
        <w:rPr>
          <w:sz w:val="36"/>
          <w:szCs w:val="36"/>
          <w:rtl/>
        </w:rPr>
        <w:t xml:space="preserve">ة </w:t>
      </w:r>
      <w:r w:rsidRPr="00FD211F">
        <w:rPr>
          <w:sz w:val="36"/>
          <w:szCs w:val="36"/>
          <w:rtl/>
        </w:rPr>
        <w:t>مصداقي</w:t>
      </w:r>
      <w:r w:rsidR="00EC7EDF" w:rsidRPr="00FD211F">
        <w:rPr>
          <w:sz w:val="36"/>
          <w:szCs w:val="36"/>
          <w:rtl/>
        </w:rPr>
        <w:t>ة</w:t>
      </w:r>
      <w:r w:rsidR="00603323" w:rsidRPr="00FD211F">
        <w:rPr>
          <w:sz w:val="36"/>
          <w:szCs w:val="36"/>
          <w:rtl/>
        </w:rPr>
        <w:t xml:space="preserve">، </w:t>
      </w:r>
      <w:r w:rsidRPr="00FD211F">
        <w:rPr>
          <w:sz w:val="36"/>
          <w:szCs w:val="36"/>
          <w:rtl/>
        </w:rPr>
        <w:t>فلايمكن التمسك باطلاق الخطاب</w:t>
      </w:r>
      <w:r w:rsidRPr="00FD211F">
        <w:rPr>
          <w:sz w:val="36"/>
          <w:szCs w:val="36"/>
          <w:rtl/>
          <w:lang w:val="en-GB"/>
        </w:rPr>
        <w:t>.</w:t>
      </w:r>
    </w:p>
    <w:p w14:paraId="667906C3" w14:textId="77777777" w:rsidR="00052BF2" w:rsidRPr="00FD211F" w:rsidRDefault="00052BF2" w:rsidP="009C58C8">
      <w:pPr>
        <w:ind w:left="0" w:firstLine="227"/>
        <w:jc w:val="both"/>
        <w:rPr>
          <w:sz w:val="36"/>
          <w:szCs w:val="36"/>
          <w:rtl/>
        </w:rPr>
      </w:pPr>
      <w:r w:rsidRPr="00FD211F">
        <w:rPr>
          <w:sz w:val="36"/>
          <w:szCs w:val="36"/>
          <w:rtl/>
        </w:rPr>
        <w:t>وهذا الإيراد غريب في بابه</w:t>
      </w:r>
      <w:r w:rsidR="00603323" w:rsidRPr="00FD211F">
        <w:rPr>
          <w:sz w:val="36"/>
          <w:szCs w:val="36"/>
          <w:rtl/>
        </w:rPr>
        <w:t xml:space="preserve">، </w:t>
      </w:r>
      <w:r w:rsidRPr="00FD211F">
        <w:rPr>
          <w:sz w:val="36"/>
          <w:szCs w:val="36"/>
          <w:rtl/>
        </w:rPr>
        <w:t>فانه بعد ان كان العنوان المتعلق لخطاب الأمر مطلقا اثباتا فيستكشف منه اطلاقه ثبوتا وهذا يعني كونه صحيحا وان كان فاقدا للجزء او الشرط المشكوك</w:t>
      </w:r>
      <w:r w:rsidR="00603323" w:rsidRPr="00FD211F">
        <w:rPr>
          <w:sz w:val="36"/>
          <w:szCs w:val="36"/>
          <w:rtl/>
        </w:rPr>
        <w:t xml:space="preserve">، </w:t>
      </w:r>
      <w:r w:rsidRPr="00FD211F">
        <w:rPr>
          <w:sz w:val="36"/>
          <w:szCs w:val="36"/>
          <w:rtl/>
        </w:rPr>
        <w:t>فلو امر المولى بالصيام واحتملنا فساد الصيام المقرون بالارتماس في الماء</w:t>
      </w:r>
      <w:r w:rsidR="00603323" w:rsidRPr="00FD211F">
        <w:rPr>
          <w:sz w:val="36"/>
          <w:szCs w:val="36"/>
          <w:rtl/>
        </w:rPr>
        <w:t xml:space="preserve">، </w:t>
      </w:r>
      <w:r w:rsidRPr="00FD211F">
        <w:rPr>
          <w:sz w:val="36"/>
          <w:szCs w:val="36"/>
          <w:rtl/>
        </w:rPr>
        <w:t>فحيث ان ظاهر الخطاب تصدي المولى لتطبيق تمام غرضه على طبيعي الصيام</w:t>
      </w:r>
      <w:r w:rsidR="00603323" w:rsidRPr="00FD211F">
        <w:rPr>
          <w:sz w:val="36"/>
          <w:szCs w:val="36"/>
          <w:rtl/>
        </w:rPr>
        <w:t xml:space="preserve">، </w:t>
      </w:r>
      <w:r w:rsidRPr="00FD211F">
        <w:rPr>
          <w:sz w:val="36"/>
          <w:szCs w:val="36"/>
          <w:rtl/>
        </w:rPr>
        <w:t>فبذلك ينفى احتمال فساد هذا الصيام المقرون بالارتماس في الماء</w:t>
      </w:r>
      <w:r w:rsidR="00603323" w:rsidRPr="00FD211F">
        <w:rPr>
          <w:sz w:val="36"/>
          <w:szCs w:val="36"/>
          <w:rtl/>
        </w:rPr>
        <w:t xml:space="preserve">، </w:t>
      </w:r>
      <w:r w:rsidRPr="00FD211F">
        <w:rPr>
          <w:sz w:val="36"/>
          <w:szCs w:val="36"/>
          <w:rtl/>
        </w:rPr>
        <w:t>فلو علم خارجا بفساد الصيام المقرون بالكذب على الله ورسوله مثلا</w:t>
      </w:r>
      <w:r w:rsidR="00603323" w:rsidRPr="00FD211F">
        <w:rPr>
          <w:sz w:val="36"/>
          <w:szCs w:val="36"/>
          <w:rtl/>
        </w:rPr>
        <w:t xml:space="preserve">، </w:t>
      </w:r>
      <w:r w:rsidRPr="00FD211F">
        <w:rPr>
          <w:sz w:val="36"/>
          <w:szCs w:val="36"/>
          <w:rtl/>
        </w:rPr>
        <w:t>فيكتفى بتخصيصه</w:t>
      </w:r>
      <w:r w:rsidR="00603323" w:rsidRPr="00FD211F">
        <w:rPr>
          <w:sz w:val="36"/>
          <w:szCs w:val="36"/>
          <w:rtl/>
        </w:rPr>
        <w:t xml:space="preserve">، </w:t>
      </w:r>
      <w:r w:rsidRPr="00FD211F">
        <w:rPr>
          <w:sz w:val="36"/>
          <w:szCs w:val="36"/>
          <w:rtl/>
        </w:rPr>
        <w:t>ويكون الشك في تخصيص الصوم المقرون بالارتماس في الماء من الشك في التخصيص الزائد</w:t>
      </w:r>
      <w:r w:rsidR="00603323" w:rsidRPr="00FD211F">
        <w:rPr>
          <w:sz w:val="36"/>
          <w:szCs w:val="36"/>
          <w:rtl/>
        </w:rPr>
        <w:t xml:space="preserve">، </w:t>
      </w:r>
      <w:r w:rsidRPr="00FD211F">
        <w:rPr>
          <w:sz w:val="36"/>
          <w:szCs w:val="36"/>
          <w:rtl/>
        </w:rPr>
        <w:t>اذ</w:t>
      </w:r>
      <w:r w:rsidR="008D7B3D" w:rsidRPr="00FD211F">
        <w:rPr>
          <w:sz w:val="36"/>
          <w:szCs w:val="36"/>
          <w:rtl/>
        </w:rPr>
        <w:t xml:space="preserve"> لم‌</w:t>
      </w:r>
      <w:r w:rsidRPr="00FD211F">
        <w:rPr>
          <w:sz w:val="36"/>
          <w:szCs w:val="36"/>
          <w:rtl/>
        </w:rPr>
        <w:t>يدل دليل على كون العنوان المخصص هو عنوان الصوم الفاسد</w:t>
      </w:r>
      <w:r w:rsidR="00603323" w:rsidRPr="00FD211F">
        <w:rPr>
          <w:sz w:val="36"/>
          <w:szCs w:val="36"/>
          <w:rtl/>
        </w:rPr>
        <w:t xml:space="preserve">، </w:t>
      </w:r>
      <w:r w:rsidRPr="00FD211F">
        <w:rPr>
          <w:sz w:val="36"/>
          <w:szCs w:val="36"/>
          <w:rtl/>
        </w:rPr>
        <w:t>اي الصوم الذي لايكون محققا لغرض المولى</w:t>
      </w:r>
      <w:r w:rsidR="00603323" w:rsidRPr="00FD211F">
        <w:rPr>
          <w:sz w:val="36"/>
          <w:szCs w:val="36"/>
          <w:rtl/>
        </w:rPr>
        <w:t xml:space="preserve">، </w:t>
      </w:r>
      <w:r w:rsidRPr="00FD211F">
        <w:rPr>
          <w:sz w:val="36"/>
          <w:szCs w:val="36"/>
          <w:rtl/>
        </w:rPr>
        <w:t>حتى يكون الصوم المقرون بالارتماس في الماء شبه</w:t>
      </w:r>
      <w:r w:rsidR="00EC7EDF" w:rsidRPr="00FD211F">
        <w:rPr>
          <w:sz w:val="36"/>
          <w:szCs w:val="36"/>
          <w:rtl/>
        </w:rPr>
        <w:t xml:space="preserve">ة </w:t>
      </w:r>
      <w:r w:rsidRPr="00FD211F">
        <w:rPr>
          <w:sz w:val="36"/>
          <w:szCs w:val="36"/>
          <w:rtl/>
        </w:rPr>
        <w:t>مصداقي</w:t>
      </w:r>
      <w:r w:rsidR="00EC7EDF" w:rsidRPr="00FD211F">
        <w:rPr>
          <w:sz w:val="36"/>
          <w:szCs w:val="36"/>
          <w:rtl/>
        </w:rPr>
        <w:t xml:space="preserve">ة </w:t>
      </w:r>
      <w:r w:rsidRPr="00FD211F">
        <w:rPr>
          <w:sz w:val="36"/>
          <w:szCs w:val="36"/>
          <w:rtl/>
        </w:rPr>
        <w:t>للمخصص</w:t>
      </w:r>
      <w:r w:rsidR="00603323" w:rsidRPr="00FD211F">
        <w:rPr>
          <w:sz w:val="36"/>
          <w:szCs w:val="36"/>
          <w:rtl/>
        </w:rPr>
        <w:t xml:space="preserve">، </w:t>
      </w:r>
      <w:r w:rsidRPr="00FD211F">
        <w:rPr>
          <w:sz w:val="36"/>
          <w:szCs w:val="36"/>
          <w:rtl/>
        </w:rPr>
        <w:t xml:space="preserve">فالمقام نظير ما لو قال المولى </w:t>
      </w:r>
      <w:r w:rsidR="005138B7" w:rsidRPr="00FD211F">
        <w:rPr>
          <w:sz w:val="36"/>
          <w:szCs w:val="36"/>
          <w:rtl/>
        </w:rPr>
        <w:t>"</w:t>
      </w:r>
      <w:r w:rsidRPr="00FD211F">
        <w:rPr>
          <w:sz w:val="36"/>
          <w:szCs w:val="36"/>
          <w:rtl/>
        </w:rPr>
        <w:t>اكرم جيراني</w:t>
      </w:r>
      <w:r w:rsidR="005138B7" w:rsidRPr="00FD211F">
        <w:rPr>
          <w:sz w:val="36"/>
          <w:szCs w:val="36"/>
          <w:rtl/>
        </w:rPr>
        <w:t>"</w:t>
      </w:r>
      <w:r w:rsidR="00603323" w:rsidRPr="00FD211F">
        <w:rPr>
          <w:sz w:val="36"/>
          <w:szCs w:val="36"/>
          <w:rtl/>
        </w:rPr>
        <w:t xml:space="preserve">، </w:t>
      </w:r>
      <w:r w:rsidRPr="00FD211F">
        <w:rPr>
          <w:sz w:val="36"/>
          <w:szCs w:val="36"/>
          <w:rtl/>
        </w:rPr>
        <w:t>وعلم بانه لايرضى باكرام الناصبي</w:t>
      </w:r>
      <w:r w:rsidR="00603323" w:rsidRPr="00FD211F">
        <w:rPr>
          <w:sz w:val="36"/>
          <w:szCs w:val="36"/>
          <w:rtl/>
        </w:rPr>
        <w:t xml:space="preserve">، </w:t>
      </w:r>
      <w:r w:rsidRPr="00FD211F">
        <w:rPr>
          <w:sz w:val="36"/>
          <w:szCs w:val="36"/>
          <w:rtl/>
        </w:rPr>
        <w:t>فلو شك في كون بعض جيرانه ناصبيا</w:t>
      </w:r>
      <w:r w:rsidR="00603323" w:rsidRPr="00FD211F">
        <w:rPr>
          <w:sz w:val="36"/>
          <w:szCs w:val="36"/>
          <w:rtl/>
        </w:rPr>
        <w:t xml:space="preserve">، </w:t>
      </w:r>
      <w:r w:rsidRPr="00FD211F">
        <w:rPr>
          <w:sz w:val="36"/>
          <w:szCs w:val="36"/>
          <w:rtl/>
        </w:rPr>
        <w:t>فينفى باطلاق الخطاب هذا الاحتمال</w:t>
      </w:r>
      <w:r w:rsidR="00603323" w:rsidRPr="00FD211F">
        <w:rPr>
          <w:sz w:val="36"/>
          <w:szCs w:val="36"/>
          <w:rtl/>
        </w:rPr>
        <w:t xml:space="preserve">، </w:t>
      </w:r>
      <w:r w:rsidRPr="00FD211F">
        <w:rPr>
          <w:sz w:val="36"/>
          <w:szCs w:val="36"/>
          <w:rtl/>
        </w:rPr>
        <w:t xml:space="preserve">حيث ان ظاهر الخطاب هو تصدي المولى لتطبيق تمام غرضه على المصاديق. </w:t>
      </w:r>
    </w:p>
    <w:p w14:paraId="4C0563E5" w14:textId="77777777" w:rsidR="00052BF2" w:rsidRPr="00FD211F" w:rsidRDefault="00052BF2" w:rsidP="009C58C8">
      <w:pPr>
        <w:ind w:left="0" w:firstLine="227"/>
        <w:jc w:val="both"/>
        <w:rPr>
          <w:sz w:val="36"/>
          <w:szCs w:val="36"/>
          <w:rtl/>
        </w:rPr>
      </w:pPr>
      <w:r w:rsidRPr="00FD211F">
        <w:rPr>
          <w:sz w:val="36"/>
          <w:szCs w:val="36"/>
          <w:rtl/>
        </w:rPr>
        <w:t>3- ما</w:t>
      </w:r>
      <w:r w:rsidR="00891C36" w:rsidRPr="00FD211F">
        <w:rPr>
          <w:sz w:val="36"/>
          <w:szCs w:val="36"/>
          <w:rtl/>
        </w:rPr>
        <w:t>حكي عن</w:t>
      </w:r>
      <w:r w:rsidR="00B253CE" w:rsidRPr="00FD211F">
        <w:rPr>
          <w:sz w:val="36"/>
          <w:szCs w:val="36"/>
          <w:rtl/>
        </w:rPr>
        <w:t xml:space="preserve"> </w:t>
      </w:r>
      <w:r w:rsidRPr="00FD211F">
        <w:rPr>
          <w:sz w:val="36"/>
          <w:szCs w:val="36"/>
          <w:rtl/>
        </w:rPr>
        <w:t>بعض الساد</w:t>
      </w:r>
      <w:r w:rsidR="00EC7EDF" w:rsidRPr="00FD211F">
        <w:rPr>
          <w:sz w:val="36"/>
          <w:szCs w:val="36"/>
          <w:rtl/>
        </w:rPr>
        <w:t xml:space="preserve">ة </w:t>
      </w:r>
      <w:r w:rsidRPr="00FD211F">
        <w:rPr>
          <w:sz w:val="36"/>
          <w:szCs w:val="36"/>
          <w:rtl/>
        </w:rPr>
        <w:t>الأعلام</w:t>
      </w:r>
      <w:r w:rsidR="007A4A0D" w:rsidRPr="00FD211F">
        <w:rPr>
          <w:sz w:val="36"/>
          <w:szCs w:val="36"/>
          <w:rtl/>
        </w:rPr>
        <w:t xml:space="preserve"> “دام‌ظله” </w:t>
      </w:r>
      <w:r w:rsidRPr="00FD211F">
        <w:rPr>
          <w:sz w:val="36"/>
          <w:szCs w:val="36"/>
          <w:rtl/>
        </w:rPr>
        <w:t>من انه بناء على مسلك الاعمي أيضا لايمكن التمسك بالاطلاق اللفظي لخطاب الأمر بالعبادات</w:t>
      </w:r>
      <w:r w:rsidR="00603323" w:rsidRPr="00FD211F">
        <w:rPr>
          <w:sz w:val="36"/>
          <w:szCs w:val="36"/>
          <w:rtl/>
        </w:rPr>
        <w:t xml:space="preserve">، </w:t>
      </w:r>
      <w:r w:rsidRPr="00FD211F">
        <w:rPr>
          <w:sz w:val="36"/>
          <w:szCs w:val="36"/>
          <w:rtl/>
        </w:rPr>
        <w:t>حيث ان التخريج الصحيح هو وضع اسماء العبادات لماهي</w:t>
      </w:r>
      <w:r w:rsidR="00EC7EDF" w:rsidRPr="00FD211F">
        <w:rPr>
          <w:sz w:val="36"/>
          <w:szCs w:val="36"/>
          <w:rtl/>
        </w:rPr>
        <w:t xml:space="preserve">ة </w:t>
      </w:r>
      <w:r w:rsidRPr="00FD211F">
        <w:rPr>
          <w:sz w:val="36"/>
          <w:szCs w:val="36"/>
          <w:rtl/>
        </w:rPr>
        <w:t>اعتباري</w:t>
      </w:r>
      <w:r w:rsidR="00EC7EDF" w:rsidRPr="00FD211F">
        <w:rPr>
          <w:sz w:val="36"/>
          <w:szCs w:val="36"/>
          <w:rtl/>
        </w:rPr>
        <w:t xml:space="preserve">ة </w:t>
      </w:r>
      <w:r w:rsidRPr="00FD211F">
        <w:rPr>
          <w:sz w:val="36"/>
          <w:szCs w:val="36"/>
          <w:rtl/>
        </w:rPr>
        <w:t>والشارع قد جعل مصاديقها المختلف</w:t>
      </w:r>
      <w:r w:rsidR="00EC7EDF" w:rsidRPr="00FD211F">
        <w:rPr>
          <w:sz w:val="36"/>
          <w:szCs w:val="36"/>
          <w:rtl/>
        </w:rPr>
        <w:t xml:space="preserve">ة </w:t>
      </w:r>
      <w:r w:rsidRPr="00FD211F">
        <w:rPr>
          <w:sz w:val="36"/>
          <w:szCs w:val="36"/>
          <w:rtl/>
        </w:rPr>
        <w:t>على نحو متمم الجعل التطبيقي</w:t>
      </w:r>
      <w:r w:rsidR="00603323" w:rsidRPr="00FD211F">
        <w:rPr>
          <w:sz w:val="36"/>
          <w:szCs w:val="36"/>
          <w:rtl/>
        </w:rPr>
        <w:t xml:space="preserve">، </w:t>
      </w:r>
      <w:r w:rsidRPr="00FD211F">
        <w:rPr>
          <w:sz w:val="36"/>
          <w:szCs w:val="36"/>
          <w:rtl/>
        </w:rPr>
        <w:t>فلفظ العباد</w:t>
      </w:r>
      <w:r w:rsidR="00EC7EDF" w:rsidRPr="00FD211F">
        <w:rPr>
          <w:sz w:val="36"/>
          <w:szCs w:val="36"/>
          <w:rtl/>
        </w:rPr>
        <w:t xml:space="preserve">ة </w:t>
      </w:r>
      <w:r w:rsidRPr="00FD211F">
        <w:rPr>
          <w:sz w:val="36"/>
          <w:szCs w:val="36"/>
          <w:rtl/>
        </w:rPr>
        <w:t>استعمل في الماهي</w:t>
      </w:r>
      <w:r w:rsidR="00EC7EDF" w:rsidRPr="00FD211F">
        <w:rPr>
          <w:sz w:val="36"/>
          <w:szCs w:val="36"/>
          <w:rtl/>
        </w:rPr>
        <w:t xml:space="preserve">ة </w:t>
      </w:r>
      <w:r w:rsidRPr="00FD211F">
        <w:rPr>
          <w:sz w:val="36"/>
          <w:szCs w:val="36"/>
          <w:rtl/>
        </w:rPr>
        <w:t>الاعتباري</w:t>
      </w:r>
      <w:r w:rsidR="00EC7EDF" w:rsidRPr="00FD211F">
        <w:rPr>
          <w:sz w:val="36"/>
          <w:szCs w:val="36"/>
          <w:rtl/>
        </w:rPr>
        <w:t>ة</w:t>
      </w:r>
      <w:r w:rsidR="00603323" w:rsidRPr="00FD211F">
        <w:rPr>
          <w:sz w:val="36"/>
          <w:szCs w:val="36"/>
          <w:rtl/>
        </w:rPr>
        <w:t xml:space="preserve">، </w:t>
      </w:r>
      <w:r w:rsidRPr="00FD211F">
        <w:rPr>
          <w:sz w:val="36"/>
          <w:szCs w:val="36"/>
          <w:rtl/>
        </w:rPr>
        <w:t>فتعلقت الاراد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بالخطاب بنفس هذه الماهي</w:t>
      </w:r>
      <w:r w:rsidR="00EC7EDF" w:rsidRPr="00FD211F">
        <w:rPr>
          <w:sz w:val="36"/>
          <w:szCs w:val="36"/>
          <w:rtl/>
        </w:rPr>
        <w:t xml:space="preserve">ة </w:t>
      </w:r>
      <w:r w:rsidRPr="00FD211F">
        <w:rPr>
          <w:sz w:val="36"/>
          <w:szCs w:val="36"/>
          <w:rtl/>
        </w:rPr>
        <w:t>الاعتباري</w:t>
      </w:r>
      <w:r w:rsidR="00EC7EDF" w:rsidRPr="00FD211F">
        <w:rPr>
          <w:sz w:val="36"/>
          <w:szCs w:val="36"/>
          <w:rtl/>
        </w:rPr>
        <w:t>ة</w:t>
      </w:r>
      <w:r w:rsidR="00603323" w:rsidRPr="00FD211F">
        <w:rPr>
          <w:sz w:val="36"/>
          <w:szCs w:val="36"/>
          <w:rtl/>
        </w:rPr>
        <w:t xml:space="preserve">، </w:t>
      </w:r>
      <w:r w:rsidRPr="00FD211F">
        <w:rPr>
          <w:sz w:val="36"/>
          <w:szCs w:val="36"/>
          <w:rtl/>
        </w:rPr>
        <w:t>فلايمكن ان تتعلق هذه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بمصاديق مختلف</w:t>
      </w:r>
      <w:r w:rsidR="00EC7EDF" w:rsidRPr="00FD211F">
        <w:rPr>
          <w:sz w:val="36"/>
          <w:szCs w:val="36"/>
          <w:rtl/>
        </w:rPr>
        <w:t xml:space="preserve">ة </w:t>
      </w:r>
      <w:r w:rsidRPr="00FD211F">
        <w:rPr>
          <w:sz w:val="36"/>
          <w:szCs w:val="36"/>
          <w:rtl/>
        </w:rPr>
        <w:t>لايتعين مصداقيتها لتلك الماهي</w:t>
      </w:r>
      <w:r w:rsidR="00EC7EDF" w:rsidRPr="00FD211F">
        <w:rPr>
          <w:sz w:val="36"/>
          <w:szCs w:val="36"/>
          <w:rtl/>
        </w:rPr>
        <w:t xml:space="preserve">ة </w:t>
      </w:r>
      <w:r w:rsidRPr="00FD211F">
        <w:rPr>
          <w:sz w:val="36"/>
          <w:szCs w:val="36"/>
          <w:rtl/>
        </w:rPr>
        <w:t>الا بمتمم الجعل التطبيقي</w:t>
      </w:r>
      <w:r w:rsidR="00603323" w:rsidRPr="00FD211F">
        <w:rPr>
          <w:sz w:val="36"/>
          <w:szCs w:val="36"/>
          <w:rtl/>
        </w:rPr>
        <w:t xml:space="preserve">، </w:t>
      </w:r>
      <w:r w:rsidRPr="00FD211F">
        <w:rPr>
          <w:sz w:val="36"/>
          <w:szCs w:val="36"/>
          <w:rtl/>
        </w:rPr>
        <w:t xml:space="preserve">فكيف يمكن نفي اعتبار </w:t>
      </w:r>
      <w:r w:rsidR="008D7B3D" w:rsidRPr="00FD211F">
        <w:rPr>
          <w:sz w:val="36"/>
          <w:szCs w:val="36"/>
          <w:rtl/>
        </w:rPr>
        <w:t xml:space="preserve">شيء </w:t>
      </w:r>
      <w:r w:rsidRPr="00FD211F">
        <w:rPr>
          <w:sz w:val="36"/>
          <w:szCs w:val="36"/>
          <w:rtl/>
        </w:rPr>
        <w:t>في مصداقها بعد ان</w:t>
      </w:r>
      <w:r w:rsidR="008D7B3D" w:rsidRPr="00FD211F">
        <w:rPr>
          <w:sz w:val="36"/>
          <w:szCs w:val="36"/>
          <w:rtl/>
        </w:rPr>
        <w:t xml:space="preserve"> لم‌</w:t>
      </w:r>
      <w:r w:rsidRPr="00FD211F">
        <w:rPr>
          <w:sz w:val="36"/>
          <w:szCs w:val="36"/>
          <w:rtl/>
        </w:rPr>
        <w:t>يكن هذا الخطاب متكفلا لجعل ذاك المصداق بعد افتراض عدم جامع بين تلك المصاديق.</w:t>
      </w:r>
    </w:p>
    <w:p w14:paraId="05D6281A" w14:textId="77777777" w:rsidR="00052BF2" w:rsidRPr="00FD211F" w:rsidRDefault="00052BF2" w:rsidP="009C58C8">
      <w:pPr>
        <w:ind w:left="0" w:firstLine="227"/>
        <w:jc w:val="both"/>
        <w:rPr>
          <w:sz w:val="36"/>
          <w:szCs w:val="36"/>
          <w:rtl/>
        </w:rPr>
      </w:pPr>
      <w:r w:rsidRPr="00FD211F">
        <w:rPr>
          <w:sz w:val="36"/>
          <w:szCs w:val="36"/>
          <w:rtl/>
        </w:rPr>
        <w:t>ولكن يرد عليه –مضافا الى ما مر من عدم تمامي</w:t>
      </w:r>
      <w:r w:rsidR="00EC7EDF" w:rsidRPr="00FD211F">
        <w:rPr>
          <w:sz w:val="36"/>
          <w:szCs w:val="36"/>
          <w:rtl/>
        </w:rPr>
        <w:t xml:space="preserve">ة </w:t>
      </w:r>
      <w:r w:rsidRPr="00FD211F">
        <w:rPr>
          <w:sz w:val="36"/>
          <w:szCs w:val="36"/>
          <w:rtl/>
        </w:rPr>
        <w:t>المبنى- أنه ان احتمل كفاي</w:t>
      </w:r>
      <w:r w:rsidR="00EC7EDF" w:rsidRPr="00FD211F">
        <w:rPr>
          <w:sz w:val="36"/>
          <w:szCs w:val="36"/>
          <w:rtl/>
        </w:rPr>
        <w:t xml:space="preserve">ة </w:t>
      </w:r>
      <w:r w:rsidRPr="00FD211F">
        <w:rPr>
          <w:sz w:val="36"/>
          <w:szCs w:val="36"/>
          <w:rtl/>
        </w:rPr>
        <w:t>ما ينطبق عليه تلك الماهي</w:t>
      </w:r>
      <w:r w:rsidR="00EC7EDF" w:rsidRPr="00FD211F">
        <w:rPr>
          <w:sz w:val="36"/>
          <w:szCs w:val="36"/>
          <w:rtl/>
        </w:rPr>
        <w:t xml:space="preserve">ة </w:t>
      </w:r>
      <w:r w:rsidRPr="00FD211F">
        <w:rPr>
          <w:sz w:val="36"/>
          <w:szCs w:val="36"/>
          <w:rtl/>
        </w:rPr>
        <w:t>الاعتباري</w:t>
      </w:r>
      <w:r w:rsidR="00EC7EDF" w:rsidRPr="00FD211F">
        <w:rPr>
          <w:sz w:val="36"/>
          <w:szCs w:val="36"/>
          <w:rtl/>
        </w:rPr>
        <w:t xml:space="preserve">ة </w:t>
      </w:r>
      <w:r w:rsidRPr="00FD211F">
        <w:rPr>
          <w:sz w:val="36"/>
          <w:szCs w:val="36"/>
          <w:rtl/>
        </w:rPr>
        <w:t>فلاموجب للمنع عن التمسك باطلاق خطاب الأمر</w:t>
      </w:r>
      <w:r w:rsidR="00603323" w:rsidRPr="00FD211F">
        <w:rPr>
          <w:sz w:val="36"/>
          <w:szCs w:val="36"/>
          <w:rtl/>
        </w:rPr>
        <w:t xml:space="preserve">، </w:t>
      </w:r>
      <w:r w:rsidRPr="00FD211F">
        <w:rPr>
          <w:sz w:val="36"/>
          <w:szCs w:val="36"/>
          <w:rtl/>
        </w:rPr>
        <w:t>كما في مثل الصيام حيث يكون له معنى عرفي واضح</w:t>
      </w:r>
      <w:r w:rsidR="00603323" w:rsidRPr="00FD211F">
        <w:rPr>
          <w:sz w:val="36"/>
          <w:szCs w:val="36"/>
          <w:rtl/>
        </w:rPr>
        <w:t xml:space="preserve">، </w:t>
      </w:r>
      <w:r w:rsidRPr="00FD211F">
        <w:rPr>
          <w:sz w:val="36"/>
          <w:szCs w:val="36"/>
          <w:rtl/>
        </w:rPr>
        <w:t>وهو الامساك عن الأكل والشرب فلايحتاج انعقاد الظهور في خطاب الأمر بالصيام بالأمر بمطلق الإمساك عن الأكل والشرب الى متمم جعل تطبيقي</w:t>
      </w:r>
      <w:r w:rsidR="00603323" w:rsidRPr="00FD211F">
        <w:rPr>
          <w:sz w:val="36"/>
          <w:szCs w:val="36"/>
          <w:rtl/>
        </w:rPr>
        <w:t xml:space="preserve">، </w:t>
      </w:r>
      <w:r w:rsidRPr="00FD211F">
        <w:rPr>
          <w:sz w:val="36"/>
          <w:szCs w:val="36"/>
          <w:rtl/>
        </w:rPr>
        <w:t xml:space="preserve">فلاوجه للمنع </w:t>
      </w:r>
      <w:r w:rsidR="005138B7" w:rsidRPr="00FD211F">
        <w:rPr>
          <w:sz w:val="36"/>
          <w:szCs w:val="36"/>
          <w:rtl/>
        </w:rPr>
        <w:t>عن التمسك باطلاق مثل قوله تعالى"</w:t>
      </w:r>
      <w:r w:rsidRPr="00FD211F">
        <w:rPr>
          <w:sz w:val="36"/>
          <w:szCs w:val="36"/>
          <w:rtl/>
        </w:rPr>
        <w:t xml:space="preserve"> كتب عليكم الصيام</w:t>
      </w:r>
      <w:r w:rsidR="005138B7" w:rsidRPr="00FD211F">
        <w:rPr>
          <w:sz w:val="36"/>
          <w:szCs w:val="36"/>
          <w:rtl/>
        </w:rPr>
        <w:t>"</w:t>
      </w:r>
      <w:r w:rsidRPr="00FD211F">
        <w:rPr>
          <w:sz w:val="36"/>
          <w:szCs w:val="36"/>
          <w:rtl/>
        </w:rPr>
        <w:t>.</w:t>
      </w:r>
    </w:p>
    <w:p w14:paraId="03CD341B" w14:textId="77777777" w:rsidR="00052BF2" w:rsidRPr="00FD211F" w:rsidRDefault="00052BF2" w:rsidP="009C58C8">
      <w:pPr>
        <w:ind w:left="0" w:firstLine="227"/>
        <w:jc w:val="both"/>
        <w:rPr>
          <w:sz w:val="36"/>
          <w:szCs w:val="36"/>
          <w:rtl/>
        </w:rPr>
      </w:pPr>
      <w:r w:rsidRPr="00FD211F">
        <w:rPr>
          <w:b/>
          <w:bCs/>
          <w:sz w:val="36"/>
          <w:szCs w:val="36"/>
          <w:rtl/>
        </w:rPr>
        <w:t>الثمر</w:t>
      </w:r>
      <w:r w:rsidR="00EC7EDF" w:rsidRPr="00FD211F">
        <w:rPr>
          <w:b/>
          <w:bCs/>
          <w:sz w:val="36"/>
          <w:szCs w:val="36"/>
          <w:rtl/>
        </w:rPr>
        <w:t xml:space="preserve">ة </w:t>
      </w: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Pr="00FD211F">
        <w:rPr>
          <w:sz w:val="36"/>
          <w:szCs w:val="36"/>
          <w:rtl/>
        </w:rPr>
        <w:t xml:space="preserve"> ما اذا أخذت العباد</w:t>
      </w:r>
      <w:r w:rsidR="00EC7EDF" w:rsidRPr="00FD211F">
        <w:rPr>
          <w:sz w:val="36"/>
          <w:szCs w:val="36"/>
          <w:rtl/>
        </w:rPr>
        <w:t xml:space="preserve">ة </w:t>
      </w:r>
      <w:r w:rsidRPr="00FD211F">
        <w:rPr>
          <w:sz w:val="36"/>
          <w:szCs w:val="36"/>
          <w:rtl/>
        </w:rPr>
        <w:t>موضوعا لحكم شرعي آخر غير الأمر بها</w:t>
      </w:r>
      <w:r w:rsidR="00603323" w:rsidRPr="00FD211F">
        <w:rPr>
          <w:sz w:val="36"/>
          <w:szCs w:val="36"/>
          <w:rtl/>
        </w:rPr>
        <w:t xml:space="preserve">، </w:t>
      </w:r>
      <w:r w:rsidRPr="00FD211F">
        <w:rPr>
          <w:sz w:val="36"/>
          <w:szCs w:val="36"/>
          <w:rtl/>
        </w:rPr>
        <w:t xml:space="preserve">مثل </w:t>
      </w:r>
      <w:r w:rsidR="00FD6781" w:rsidRPr="00FD211F">
        <w:rPr>
          <w:sz w:val="36"/>
          <w:szCs w:val="36"/>
          <w:rtl/>
        </w:rPr>
        <w:t xml:space="preserve">ماورد في الروايات من أنه </w:t>
      </w:r>
      <w:r w:rsidRPr="00FD211F">
        <w:rPr>
          <w:sz w:val="36"/>
          <w:szCs w:val="36"/>
          <w:rtl/>
        </w:rPr>
        <w:t>لايصلي الرجل وبحذاءه امرأ</w:t>
      </w:r>
      <w:r w:rsidR="00EC7EDF" w:rsidRPr="00FD211F">
        <w:rPr>
          <w:sz w:val="36"/>
          <w:szCs w:val="36"/>
          <w:rtl/>
        </w:rPr>
        <w:t xml:space="preserve">ة </w:t>
      </w:r>
      <w:r w:rsidRPr="00FD211F">
        <w:rPr>
          <w:sz w:val="36"/>
          <w:szCs w:val="36"/>
          <w:rtl/>
        </w:rPr>
        <w:t>تصلي</w:t>
      </w:r>
      <w:r w:rsidR="009C58C8" w:rsidRPr="00FD211F">
        <w:rPr>
          <w:rStyle w:val="a6"/>
          <w:sz w:val="36"/>
          <w:szCs w:val="36"/>
          <w:rtl/>
        </w:rPr>
        <w:t>(</w:t>
      </w:r>
      <w:r w:rsidR="009C58C8" w:rsidRPr="00FD211F">
        <w:rPr>
          <w:rStyle w:val="a6"/>
          <w:sz w:val="36"/>
          <w:szCs w:val="36"/>
          <w:rtl/>
        </w:rPr>
        <w:footnoteReference w:id="423"/>
      </w:r>
      <w:r w:rsidR="009C58C8" w:rsidRPr="00FD211F">
        <w:rPr>
          <w:rStyle w:val="a6"/>
          <w:sz w:val="36"/>
          <w:szCs w:val="36"/>
          <w:rtl/>
        </w:rPr>
        <w:t>)</w:t>
      </w:r>
      <w:r w:rsidR="00603323" w:rsidRPr="00FD211F">
        <w:rPr>
          <w:sz w:val="36"/>
          <w:szCs w:val="36"/>
          <w:rtl/>
        </w:rPr>
        <w:t xml:space="preserve">، </w:t>
      </w:r>
      <w:r w:rsidRPr="00FD211F">
        <w:rPr>
          <w:sz w:val="36"/>
          <w:szCs w:val="36"/>
          <w:rtl/>
        </w:rPr>
        <w:t>فبناء على مسلك الصحيحي لو كان صلا</w:t>
      </w:r>
      <w:r w:rsidR="00EC7EDF" w:rsidRPr="00FD211F">
        <w:rPr>
          <w:sz w:val="36"/>
          <w:szCs w:val="36"/>
          <w:rtl/>
        </w:rPr>
        <w:t xml:space="preserve">ة </w:t>
      </w:r>
      <w:r w:rsidRPr="00FD211F">
        <w:rPr>
          <w:sz w:val="36"/>
          <w:szCs w:val="36"/>
          <w:rtl/>
        </w:rPr>
        <w:t>المرأ</w:t>
      </w:r>
      <w:r w:rsidR="00EC7EDF" w:rsidRPr="00FD211F">
        <w:rPr>
          <w:sz w:val="36"/>
          <w:szCs w:val="36"/>
          <w:rtl/>
        </w:rPr>
        <w:t xml:space="preserve">ة </w:t>
      </w:r>
      <w:r w:rsidRPr="00FD211F">
        <w:rPr>
          <w:sz w:val="36"/>
          <w:szCs w:val="36"/>
          <w:rtl/>
        </w:rPr>
        <w:t>الواقف</w:t>
      </w:r>
      <w:r w:rsidR="00EC7EDF" w:rsidRPr="00FD211F">
        <w:rPr>
          <w:sz w:val="36"/>
          <w:szCs w:val="36"/>
          <w:rtl/>
        </w:rPr>
        <w:t xml:space="preserve">ة </w:t>
      </w:r>
      <w:r w:rsidRPr="00FD211F">
        <w:rPr>
          <w:sz w:val="36"/>
          <w:szCs w:val="36"/>
          <w:rtl/>
        </w:rPr>
        <w:t>بجنب الرجل فاسد</w:t>
      </w:r>
      <w:r w:rsidR="00EC7EDF" w:rsidRPr="00FD211F">
        <w:rPr>
          <w:sz w:val="36"/>
          <w:szCs w:val="36"/>
          <w:rtl/>
        </w:rPr>
        <w:t xml:space="preserve">ة </w:t>
      </w:r>
      <w:r w:rsidRPr="00FD211F">
        <w:rPr>
          <w:sz w:val="36"/>
          <w:szCs w:val="36"/>
          <w:rtl/>
        </w:rPr>
        <w:t>فلاتقدح في صلا</w:t>
      </w:r>
      <w:r w:rsidR="00EC7EDF" w:rsidRPr="00FD211F">
        <w:rPr>
          <w:sz w:val="36"/>
          <w:szCs w:val="36"/>
          <w:rtl/>
        </w:rPr>
        <w:t xml:space="preserve">ة </w:t>
      </w:r>
      <w:r w:rsidRPr="00FD211F">
        <w:rPr>
          <w:sz w:val="36"/>
          <w:szCs w:val="36"/>
          <w:rtl/>
        </w:rPr>
        <w:t>الرجل</w:t>
      </w:r>
      <w:r w:rsidR="00603323" w:rsidRPr="00FD211F">
        <w:rPr>
          <w:sz w:val="36"/>
          <w:szCs w:val="36"/>
          <w:rtl/>
        </w:rPr>
        <w:t xml:space="preserve">، </w:t>
      </w:r>
      <w:r w:rsidRPr="00FD211F">
        <w:rPr>
          <w:sz w:val="36"/>
          <w:szCs w:val="36"/>
          <w:rtl/>
        </w:rPr>
        <w:t>كما أفتى به صاحب العرو</w:t>
      </w:r>
      <w:r w:rsidR="00EC7EDF" w:rsidRPr="00FD211F">
        <w:rPr>
          <w:sz w:val="36"/>
          <w:szCs w:val="36"/>
          <w:rtl/>
        </w:rPr>
        <w:t>ة</w:t>
      </w:r>
      <w:r w:rsidR="00603323" w:rsidRPr="00FD211F">
        <w:rPr>
          <w:sz w:val="36"/>
          <w:szCs w:val="36"/>
          <w:rtl/>
        </w:rPr>
        <w:t xml:space="preserve">، </w:t>
      </w:r>
      <w:r w:rsidRPr="00FD211F">
        <w:rPr>
          <w:sz w:val="36"/>
          <w:szCs w:val="36"/>
          <w:rtl/>
        </w:rPr>
        <w:t>ولكن بناء على مسلك الاعمي لافرق بين ان تكون صلاتها صحيح</w:t>
      </w:r>
      <w:r w:rsidR="00EC7EDF" w:rsidRPr="00FD211F">
        <w:rPr>
          <w:sz w:val="36"/>
          <w:szCs w:val="36"/>
          <w:rtl/>
        </w:rPr>
        <w:t xml:space="preserve">ة </w:t>
      </w:r>
      <w:r w:rsidRPr="00FD211F">
        <w:rPr>
          <w:sz w:val="36"/>
          <w:szCs w:val="36"/>
          <w:rtl/>
        </w:rPr>
        <w:t>او فاسد</w:t>
      </w:r>
      <w:r w:rsidR="00EC7EDF" w:rsidRPr="00FD211F">
        <w:rPr>
          <w:sz w:val="36"/>
          <w:szCs w:val="36"/>
          <w:rtl/>
        </w:rPr>
        <w:t xml:space="preserve">ة </w:t>
      </w:r>
      <w:r w:rsidRPr="00FD211F">
        <w:rPr>
          <w:sz w:val="36"/>
          <w:szCs w:val="36"/>
          <w:rtl/>
        </w:rPr>
        <w:t>كما افتى به السيد الخوئي</w:t>
      </w:r>
      <w:r w:rsidR="00A61BAE" w:rsidRPr="00FD211F">
        <w:rPr>
          <w:sz w:val="36"/>
          <w:szCs w:val="36"/>
          <w:rtl/>
        </w:rPr>
        <w:t xml:space="preserve"> </w:t>
      </w:r>
      <w:r w:rsidR="00662BCB" w:rsidRPr="00FD211F">
        <w:rPr>
          <w:sz w:val="36"/>
          <w:szCs w:val="36"/>
          <w:rtl/>
        </w:rPr>
        <w:t>"قده"</w:t>
      </w:r>
      <w:r w:rsidR="00A61BAE" w:rsidRPr="00FD211F">
        <w:rPr>
          <w:sz w:val="36"/>
          <w:szCs w:val="36"/>
          <w:rtl/>
        </w:rPr>
        <w:t xml:space="preserve"> </w:t>
      </w:r>
      <w:r w:rsidRPr="00FD211F">
        <w:rPr>
          <w:sz w:val="36"/>
          <w:szCs w:val="36"/>
          <w:rtl/>
        </w:rPr>
        <w:t>وبعض الساد</w:t>
      </w:r>
      <w:r w:rsidR="00EC7EDF" w:rsidRPr="00FD211F">
        <w:rPr>
          <w:sz w:val="36"/>
          <w:szCs w:val="36"/>
          <w:rtl/>
        </w:rPr>
        <w:t xml:space="preserve">ة </w:t>
      </w:r>
      <w:r w:rsidRPr="00FD211F">
        <w:rPr>
          <w:sz w:val="36"/>
          <w:szCs w:val="36"/>
          <w:rtl/>
        </w:rPr>
        <w:t>الأعلام دام ظله</w:t>
      </w:r>
      <w:r w:rsidR="00603323" w:rsidRPr="00FD211F">
        <w:rPr>
          <w:sz w:val="36"/>
          <w:szCs w:val="36"/>
          <w:rtl/>
        </w:rPr>
        <w:t xml:space="preserve">، </w:t>
      </w:r>
      <w:r w:rsidRPr="00FD211F">
        <w:rPr>
          <w:sz w:val="36"/>
          <w:szCs w:val="36"/>
          <w:rtl/>
        </w:rPr>
        <w:t>وكذا لو ورد في الخطاب استحباب زيار</w:t>
      </w:r>
      <w:r w:rsidR="00EC7EDF" w:rsidRPr="00FD211F">
        <w:rPr>
          <w:sz w:val="36"/>
          <w:szCs w:val="36"/>
          <w:rtl/>
        </w:rPr>
        <w:t xml:space="preserve">ة </w:t>
      </w:r>
      <w:r w:rsidRPr="00FD211F">
        <w:rPr>
          <w:sz w:val="36"/>
          <w:szCs w:val="36"/>
          <w:rtl/>
        </w:rPr>
        <w:t>الحاجّ والمعتمر او استحباب الصلا</w:t>
      </w:r>
      <w:r w:rsidR="00EC7EDF" w:rsidRPr="00FD211F">
        <w:rPr>
          <w:sz w:val="36"/>
          <w:szCs w:val="36"/>
          <w:rtl/>
        </w:rPr>
        <w:t xml:space="preserve">ة </w:t>
      </w:r>
      <w:r w:rsidRPr="00FD211F">
        <w:rPr>
          <w:sz w:val="36"/>
          <w:szCs w:val="36"/>
          <w:rtl/>
        </w:rPr>
        <w:t>في مسجد لايصلي فيه اهله او استحباب تفطير الصائم فبناء على مسلك الصحيحي تختص هذه الأحكام بما لو كان الحج او صلا</w:t>
      </w:r>
      <w:r w:rsidR="00EC7EDF" w:rsidRPr="00FD211F">
        <w:rPr>
          <w:sz w:val="36"/>
          <w:szCs w:val="36"/>
          <w:rtl/>
        </w:rPr>
        <w:t xml:space="preserve">ة </w:t>
      </w:r>
      <w:r w:rsidRPr="00FD211F">
        <w:rPr>
          <w:sz w:val="36"/>
          <w:szCs w:val="36"/>
          <w:rtl/>
        </w:rPr>
        <w:t>اهل المسجد او صوم الصائم صحيحا</w:t>
      </w:r>
      <w:r w:rsidR="00603323" w:rsidRPr="00FD211F">
        <w:rPr>
          <w:sz w:val="36"/>
          <w:szCs w:val="36"/>
          <w:rtl/>
        </w:rPr>
        <w:t xml:space="preserve">، </w:t>
      </w:r>
      <w:r w:rsidRPr="00FD211F">
        <w:rPr>
          <w:sz w:val="36"/>
          <w:szCs w:val="36"/>
          <w:rtl/>
        </w:rPr>
        <w:t>ولكن بناء على مسلك الأعمي تشمل هذه الأحكام الفاسد من هذه الأعمال.</w:t>
      </w:r>
    </w:p>
    <w:p w14:paraId="7254AE4C" w14:textId="77777777" w:rsidR="00052BF2" w:rsidRPr="00FD211F" w:rsidRDefault="00052BF2" w:rsidP="009C58C8">
      <w:pPr>
        <w:ind w:left="0" w:firstLine="227"/>
        <w:jc w:val="both"/>
        <w:rPr>
          <w:sz w:val="36"/>
          <w:szCs w:val="36"/>
          <w:rtl/>
        </w:rPr>
      </w:pPr>
      <w:r w:rsidRPr="00FD211F">
        <w:rPr>
          <w:sz w:val="36"/>
          <w:szCs w:val="36"/>
          <w:rtl/>
        </w:rPr>
        <w:t>وهذه الثمر</w:t>
      </w:r>
      <w:r w:rsidR="00EC7EDF" w:rsidRPr="00FD211F">
        <w:rPr>
          <w:sz w:val="36"/>
          <w:szCs w:val="36"/>
          <w:rtl/>
        </w:rPr>
        <w:t xml:space="preserve">ة </w:t>
      </w:r>
      <w:r w:rsidRPr="00FD211F">
        <w:rPr>
          <w:sz w:val="36"/>
          <w:szCs w:val="36"/>
          <w:rtl/>
        </w:rPr>
        <w:t>وان كانت صحيح</w:t>
      </w:r>
      <w:r w:rsidR="00EC7EDF" w:rsidRPr="00FD211F">
        <w:rPr>
          <w:sz w:val="36"/>
          <w:szCs w:val="36"/>
          <w:rtl/>
        </w:rPr>
        <w:t>ة</w:t>
      </w:r>
      <w:r w:rsidR="00603323" w:rsidRPr="00FD211F">
        <w:rPr>
          <w:sz w:val="36"/>
          <w:szCs w:val="36"/>
          <w:rtl/>
        </w:rPr>
        <w:t xml:space="preserve">، </w:t>
      </w:r>
      <w:r w:rsidRPr="00FD211F">
        <w:rPr>
          <w:sz w:val="36"/>
          <w:szCs w:val="36"/>
          <w:rtl/>
        </w:rPr>
        <w:t>لكن توجد هنا ملاحظتان:</w:t>
      </w:r>
    </w:p>
    <w:p w14:paraId="35AF862E" w14:textId="77777777" w:rsidR="00052BF2" w:rsidRPr="00FD211F" w:rsidRDefault="00052BF2" w:rsidP="009C58C8">
      <w:pPr>
        <w:ind w:left="0" w:firstLine="227"/>
        <w:jc w:val="both"/>
        <w:rPr>
          <w:sz w:val="36"/>
          <w:szCs w:val="36"/>
          <w:rtl/>
        </w:rPr>
      </w:pPr>
      <w:r w:rsidRPr="00FD211F">
        <w:rPr>
          <w:b/>
          <w:bCs/>
          <w:sz w:val="36"/>
          <w:szCs w:val="36"/>
          <w:rtl/>
        </w:rPr>
        <w:t>الأولى</w:t>
      </w:r>
      <w:r w:rsidRPr="00FD211F">
        <w:rPr>
          <w:sz w:val="36"/>
          <w:szCs w:val="36"/>
          <w:rtl/>
        </w:rPr>
        <w:t>: ان الاشكال المحكي عن بعض الساد</w:t>
      </w:r>
      <w:r w:rsidR="00EC7EDF" w:rsidRPr="00FD211F">
        <w:rPr>
          <w:sz w:val="36"/>
          <w:szCs w:val="36"/>
          <w:rtl/>
        </w:rPr>
        <w:t xml:space="preserve">ة </w:t>
      </w:r>
      <w:r w:rsidRPr="00FD211F">
        <w:rPr>
          <w:sz w:val="36"/>
          <w:szCs w:val="36"/>
          <w:rtl/>
        </w:rPr>
        <w:t>الأعلام</w:t>
      </w:r>
      <w:r w:rsidR="007A4A0D" w:rsidRPr="00FD211F">
        <w:rPr>
          <w:sz w:val="36"/>
          <w:szCs w:val="36"/>
          <w:rtl/>
        </w:rPr>
        <w:t xml:space="preserve"> </w:t>
      </w:r>
      <w:r w:rsidR="00662BCB" w:rsidRPr="00FD211F">
        <w:rPr>
          <w:sz w:val="36"/>
          <w:szCs w:val="36"/>
          <w:rtl/>
        </w:rPr>
        <w:t>"</w:t>
      </w:r>
      <w:r w:rsidR="007A4A0D" w:rsidRPr="00FD211F">
        <w:rPr>
          <w:sz w:val="36"/>
          <w:szCs w:val="36"/>
          <w:rtl/>
        </w:rPr>
        <w:t>دام‌ظله</w:t>
      </w:r>
      <w:r w:rsidR="00662BCB" w:rsidRPr="00FD211F">
        <w:rPr>
          <w:sz w:val="36"/>
          <w:szCs w:val="36"/>
          <w:rtl/>
        </w:rPr>
        <w:t>"</w:t>
      </w:r>
      <w:r w:rsidR="007A4A0D" w:rsidRPr="00FD211F">
        <w:rPr>
          <w:sz w:val="36"/>
          <w:szCs w:val="36"/>
          <w:rtl/>
        </w:rPr>
        <w:t xml:space="preserve"> </w:t>
      </w:r>
      <w:r w:rsidRPr="00FD211F">
        <w:rPr>
          <w:sz w:val="36"/>
          <w:szCs w:val="36"/>
          <w:rtl/>
        </w:rPr>
        <w:t>في التمسك بالاطلاق اللفظي لخطاب الأمر بالعبادات –من انه بعد تعلق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بنفس هذه الماهي</w:t>
      </w:r>
      <w:r w:rsidR="00EC7EDF" w:rsidRPr="00FD211F">
        <w:rPr>
          <w:sz w:val="36"/>
          <w:szCs w:val="36"/>
          <w:rtl/>
        </w:rPr>
        <w:t xml:space="preserve">ة </w:t>
      </w:r>
      <w:r w:rsidRPr="00FD211F">
        <w:rPr>
          <w:sz w:val="36"/>
          <w:szCs w:val="36"/>
          <w:rtl/>
        </w:rPr>
        <w:t>الاعتباري</w:t>
      </w:r>
      <w:r w:rsidR="00EC7EDF" w:rsidRPr="00FD211F">
        <w:rPr>
          <w:sz w:val="36"/>
          <w:szCs w:val="36"/>
          <w:rtl/>
        </w:rPr>
        <w:t xml:space="preserve">ة </w:t>
      </w:r>
      <w:r w:rsidRPr="00FD211F">
        <w:rPr>
          <w:sz w:val="36"/>
          <w:szCs w:val="36"/>
          <w:rtl/>
        </w:rPr>
        <w:t>فلايمكن ان تتعلق هذه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بمصاديق مختلف</w:t>
      </w:r>
      <w:r w:rsidR="00EC7EDF" w:rsidRPr="00FD211F">
        <w:rPr>
          <w:sz w:val="36"/>
          <w:szCs w:val="36"/>
          <w:rtl/>
        </w:rPr>
        <w:t xml:space="preserve">ة </w:t>
      </w:r>
      <w:r w:rsidRPr="00FD211F">
        <w:rPr>
          <w:sz w:val="36"/>
          <w:szCs w:val="36"/>
          <w:rtl/>
        </w:rPr>
        <w:t>لايتعين مصداقيتها لتلك الماهي</w:t>
      </w:r>
      <w:r w:rsidR="00EC7EDF" w:rsidRPr="00FD211F">
        <w:rPr>
          <w:sz w:val="36"/>
          <w:szCs w:val="36"/>
          <w:rtl/>
        </w:rPr>
        <w:t xml:space="preserve">ة </w:t>
      </w:r>
      <w:r w:rsidRPr="00FD211F">
        <w:rPr>
          <w:sz w:val="36"/>
          <w:szCs w:val="36"/>
          <w:rtl/>
        </w:rPr>
        <w:t xml:space="preserve">الا بمتمم جعل تطبيقي- قد يتوجه </w:t>
      </w:r>
      <w:r w:rsidR="00FD6781" w:rsidRPr="00FD211F">
        <w:rPr>
          <w:sz w:val="36"/>
          <w:szCs w:val="36"/>
          <w:rtl/>
        </w:rPr>
        <w:t xml:space="preserve">في </w:t>
      </w:r>
      <w:r w:rsidRPr="00FD211F">
        <w:rPr>
          <w:sz w:val="36"/>
          <w:szCs w:val="36"/>
          <w:rtl/>
        </w:rPr>
        <w:t>المقام ايضا</w:t>
      </w:r>
      <w:r w:rsidR="00603323" w:rsidRPr="00FD211F">
        <w:rPr>
          <w:sz w:val="36"/>
          <w:szCs w:val="36"/>
          <w:rtl/>
        </w:rPr>
        <w:t xml:space="preserve">، </w:t>
      </w:r>
      <w:r w:rsidRPr="00FD211F">
        <w:rPr>
          <w:sz w:val="36"/>
          <w:szCs w:val="36"/>
          <w:rtl/>
        </w:rPr>
        <w:t>فانه بعد ان كان لفظ الصلا</w:t>
      </w:r>
      <w:r w:rsidR="00EC7EDF" w:rsidRPr="00FD211F">
        <w:rPr>
          <w:sz w:val="36"/>
          <w:szCs w:val="36"/>
          <w:rtl/>
        </w:rPr>
        <w:t xml:space="preserve">ة </w:t>
      </w:r>
      <w:r w:rsidRPr="00FD211F">
        <w:rPr>
          <w:sz w:val="36"/>
          <w:szCs w:val="36"/>
          <w:rtl/>
        </w:rPr>
        <w:t>مثلا موضوعا على ماهي</w:t>
      </w:r>
      <w:r w:rsidR="00EC7EDF" w:rsidRPr="00FD211F">
        <w:rPr>
          <w:sz w:val="36"/>
          <w:szCs w:val="36"/>
          <w:rtl/>
        </w:rPr>
        <w:t xml:space="preserve">ة </w:t>
      </w:r>
      <w:r w:rsidRPr="00FD211F">
        <w:rPr>
          <w:sz w:val="36"/>
          <w:szCs w:val="36"/>
          <w:rtl/>
        </w:rPr>
        <w:t>اعتباري</w:t>
      </w:r>
      <w:r w:rsidR="00EC7EDF" w:rsidRPr="00FD211F">
        <w:rPr>
          <w:sz w:val="36"/>
          <w:szCs w:val="36"/>
          <w:rtl/>
        </w:rPr>
        <w:t>ة</w:t>
      </w:r>
      <w:r w:rsidR="00603323" w:rsidRPr="00FD211F">
        <w:rPr>
          <w:sz w:val="36"/>
          <w:szCs w:val="36"/>
          <w:rtl/>
        </w:rPr>
        <w:t xml:space="preserve">، </w:t>
      </w:r>
      <w:r w:rsidRPr="00FD211F">
        <w:rPr>
          <w:sz w:val="36"/>
          <w:szCs w:val="36"/>
          <w:rtl/>
        </w:rPr>
        <w:t>فيقال حينئذ كيف يمكن ان تتعلق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بمصاديق مختلف</w:t>
      </w:r>
      <w:r w:rsidR="00EC7EDF" w:rsidRPr="00FD211F">
        <w:rPr>
          <w:sz w:val="36"/>
          <w:szCs w:val="36"/>
          <w:rtl/>
        </w:rPr>
        <w:t xml:space="preserve">ة </w:t>
      </w:r>
      <w:r w:rsidRPr="00FD211F">
        <w:rPr>
          <w:sz w:val="36"/>
          <w:szCs w:val="36"/>
          <w:rtl/>
        </w:rPr>
        <w:t>لتلك الماهي</w:t>
      </w:r>
      <w:r w:rsidR="00EC7EDF" w:rsidRPr="00FD211F">
        <w:rPr>
          <w:sz w:val="36"/>
          <w:szCs w:val="36"/>
          <w:rtl/>
        </w:rPr>
        <w:t xml:space="preserve">ة </w:t>
      </w:r>
      <w:r w:rsidRPr="00FD211F">
        <w:rPr>
          <w:sz w:val="36"/>
          <w:szCs w:val="36"/>
          <w:rtl/>
        </w:rPr>
        <w:t>بعد ان كان تعين مصداقيتها بحاج</w:t>
      </w:r>
      <w:r w:rsidR="00EC7EDF" w:rsidRPr="00FD211F">
        <w:rPr>
          <w:sz w:val="36"/>
          <w:szCs w:val="36"/>
          <w:rtl/>
        </w:rPr>
        <w:t xml:space="preserve">ة </w:t>
      </w:r>
      <w:r w:rsidRPr="00FD211F">
        <w:rPr>
          <w:sz w:val="36"/>
          <w:szCs w:val="36"/>
          <w:rtl/>
        </w:rPr>
        <w:t>الى متمم الجعل</w:t>
      </w:r>
      <w:r w:rsidR="00603323" w:rsidRPr="00FD211F">
        <w:rPr>
          <w:sz w:val="36"/>
          <w:szCs w:val="36"/>
          <w:rtl/>
        </w:rPr>
        <w:t xml:space="preserve">، </w:t>
      </w:r>
      <w:r w:rsidRPr="00FD211F">
        <w:rPr>
          <w:sz w:val="36"/>
          <w:szCs w:val="36"/>
          <w:rtl/>
        </w:rPr>
        <w:t>وهذا لايقاس بالانقسامات الثانوي</w:t>
      </w:r>
      <w:r w:rsidR="00EC7EDF" w:rsidRPr="00FD211F">
        <w:rPr>
          <w:sz w:val="36"/>
          <w:szCs w:val="36"/>
          <w:rtl/>
        </w:rPr>
        <w:t xml:space="preserve">ة </w:t>
      </w:r>
      <w:r w:rsidRPr="00FD211F">
        <w:rPr>
          <w:sz w:val="36"/>
          <w:szCs w:val="36"/>
          <w:rtl/>
        </w:rPr>
        <w:t>التي يستحيل أخذها في متعلق الأمر على مسلك المشهور ولكن لامانع من اخذها فيما لو صار ذلك المتعلق موضوعا لحكم شرعي آخر</w:t>
      </w:r>
      <w:r w:rsidR="00603323" w:rsidRPr="00FD211F">
        <w:rPr>
          <w:sz w:val="36"/>
          <w:szCs w:val="36"/>
          <w:rtl/>
        </w:rPr>
        <w:t xml:space="preserve">، </w:t>
      </w:r>
      <w:r w:rsidRPr="00FD211F">
        <w:rPr>
          <w:sz w:val="36"/>
          <w:szCs w:val="36"/>
          <w:rtl/>
        </w:rPr>
        <w:t>حيث ان الاشكال في المقام كان ناشئا من ان لفظ الصلا</w:t>
      </w:r>
      <w:r w:rsidR="00EC7EDF" w:rsidRPr="00FD211F">
        <w:rPr>
          <w:sz w:val="36"/>
          <w:szCs w:val="36"/>
          <w:rtl/>
        </w:rPr>
        <w:t xml:space="preserve">ة </w:t>
      </w:r>
      <w:r w:rsidRPr="00FD211F">
        <w:rPr>
          <w:sz w:val="36"/>
          <w:szCs w:val="36"/>
          <w:rtl/>
        </w:rPr>
        <w:t>مثلا حيث يكون موضوعا لماهي</w:t>
      </w:r>
      <w:r w:rsidR="00EC7EDF" w:rsidRPr="00FD211F">
        <w:rPr>
          <w:sz w:val="36"/>
          <w:szCs w:val="36"/>
          <w:rtl/>
        </w:rPr>
        <w:t xml:space="preserve">ة </w:t>
      </w:r>
      <w:r w:rsidRPr="00FD211F">
        <w:rPr>
          <w:sz w:val="36"/>
          <w:szCs w:val="36"/>
          <w:rtl/>
        </w:rPr>
        <w:t>اعتباري</w:t>
      </w:r>
      <w:r w:rsidR="00EC7EDF" w:rsidRPr="00FD211F">
        <w:rPr>
          <w:sz w:val="36"/>
          <w:szCs w:val="36"/>
          <w:rtl/>
        </w:rPr>
        <w:t>ة</w:t>
      </w:r>
      <w:r w:rsidR="00603323" w:rsidRPr="00FD211F">
        <w:rPr>
          <w:sz w:val="36"/>
          <w:szCs w:val="36"/>
          <w:rtl/>
        </w:rPr>
        <w:t xml:space="preserve">، </w:t>
      </w:r>
      <w:r w:rsidRPr="00FD211F">
        <w:rPr>
          <w:sz w:val="36"/>
          <w:szCs w:val="36"/>
          <w:rtl/>
        </w:rPr>
        <w:t>فمع تعلق الإراد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بها فلايمكن ان تتعلق الاراد</w:t>
      </w:r>
      <w:r w:rsidR="00EC7EDF" w:rsidRPr="00FD211F">
        <w:rPr>
          <w:sz w:val="36"/>
          <w:szCs w:val="36"/>
          <w:rtl/>
        </w:rPr>
        <w:t xml:space="preserve">ة </w:t>
      </w:r>
      <w:r w:rsidRPr="00FD211F">
        <w:rPr>
          <w:sz w:val="36"/>
          <w:szCs w:val="36"/>
          <w:rtl/>
        </w:rPr>
        <w:t>الاستعمالي</w:t>
      </w:r>
      <w:r w:rsidR="00EC7EDF" w:rsidRPr="00FD211F">
        <w:rPr>
          <w:sz w:val="36"/>
          <w:szCs w:val="36"/>
          <w:rtl/>
        </w:rPr>
        <w:t xml:space="preserve">ة </w:t>
      </w:r>
      <w:r w:rsidRPr="00FD211F">
        <w:rPr>
          <w:sz w:val="36"/>
          <w:szCs w:val="36"/>
          <w:rtl/>
        </w:rPr>
        <w:t>بمصاديقها التي لاتتعين مصداقيتها الا بمتمم الجعل</w:t>
      </w:r>
      <w:r w:rsidR="00603323" w:rsidRPr="00FD211F">
        <w:rPr>
          <w:sz w:val="36"/>
          <w:szCs w:val="36"/>
          <w:rtl/>
        </w:rPr>
        <w:t xml:space="preserve">، </w:t>
      </w:r>
      <w:r w:rsidRPr="00FD211F">
        <w:rPr>
          <w:sz w:val="36"/>
          <w:szCs w:val="36"/>
          <w:rtl/>
        </w:rPr>
        <w:t>وهذا الإشكال مشترك الورود بينما لو كانت الماهي</w:t>
      </w:r>
      <w:r w:rsidR="00EC7EDF" w:rsidRPr="00FD211F">
        <w:rPr>
          <w:sz w:val="36"/>
          <w:szCs w:val="36"/>
          <w:rtl/>
        </w:rPr>
        <w:t xml:space="preserve">ة </w:t>
      </w:r>
      <w:r w:rsidRPr="00FD211F">
        <w:rPr>
          <w:sz w:val="36"/>
          <w:szCs w:val="36"/>
          <w:rtl/>
        </w:rPr>
        <w:t>الاعتباري</w:t>
      </w:r>
      <w:r w:rsidR="00EC7EDF" w:rsidRPr="00FD211F">
        <w:rPr>
          <w:sz w:val="36"/>
          <w:szCs w:val="36"/>
          <w:rtl/>
        </w:rPr>
        <w:t xml:space="preserve">ة </w:t>
      </w:r>
      <w:r w:rsidRPr="00FD211F">
        <w:rPr>
          <w:sz w:val="36"/>
          <w:szCs w:val="36"/>
          <w:rtl/>
        </w:rPr>
        <w:t>متعلق</w:t>
      </w:r>
      <w:r w:rsidR="00EC7EDF" w:rsidRPr="00FD211F">
        <w:rPr>
          <w:sz w:val="36"/>
          <w:szCs w:val="36"/>
          <w:rtl/>
        </w:rPr>
        <w:t xml:space="preserve">ة </w:t>
      </w:r>
      <w:r w:rsidRPr="00FD211F">
        <w:rPr>
          <w:sz w:val="36"/>
          <w:szCs w:val="36"/>
          <w:rtl/>
        </w:rPr>
        <w:t>للأمر او موضوعا لحكم آخر</w:t>
      </w:r>
      <w:r w:rsidR="00603323" w:rsidRPr="00FD211F">
        <w:rPr>
          <w:sz w:val="36"/>
          <w:szCs w:val="36"/>
          <w:rtl/>
        </w:rPr>
        <w:t xml:space="preserve">، </w:t>
      </w:r>
      <w:r w:rsidRPr="00FD211F">
        <w:rPr>
          <w:sz w:val="36"/>
          <w:szCs w:val="36"/>
          <w:rtl/>
        </w:rPr>
        <w:t>وعليه فلاوجه لما حكي عنه</w:t>
      </w:r>
      <w:r w:rsidR="00662BCB" w:rsidRPr="00FD211F">
        <w:rPr>
          <w:sz w:val="36"/>
          <w:szCs w:val="36"/>
          <w:rtl/>
        </w:rPr>
        <w:t xml:space="preserve"> "</w:t>
      </w:r>
      <w:r w:rsidR="007A4A0D" w:rsidRPr="00FD211F">
        <w:rPr>
          <w:sz w:val="36"/>
          <w:szCs w:val="36"/>
          <w:rtl/>
        </w:rPr>
        <w:t>دام‌ظله</w:t>
      </w:r>
      <w:r w:rsidR="00662BCB" w:rsidRPr="00FD211F">
        <w:rPr>
          <w:sz w:val="36"/>
          <w:szCs w:val="36"/>
          <w:rtl/>
        </w:rPr>
        <w:t>"</w:t>
      </w:r>
      <w:r w:rsidR="007A4A0D" w:rsidRPr="00FD211F">
        <w:rPr>
          <w:sz w:val="36"/>
          <w:szCs w:val="36"/>
          <w:rtl/>
        </w:rPr>
        <w:t xml:space="preserve"> </w:t>
      </w:r>
      <w:r w:rsidRPr="00FD211F">
        <w:rPr>
          <w:sz w:val="36"/>
          <w:szCs w:val="36"/>
          <w:rtl/>
        </w:rPr>
        <w:t>من الفرق بينهما وقبول الثمر</w:t>
      </w:r>
      <w:r w:rsidR="00EC7EDF" w:rsidRPr="00FD211F">
        <w:rPr>
          <w:sz w:val="36"/>
          <w:szCs w:val="36"/>
          <w:rtl/>
        </w:rPr>
        <w:t xml:space="preserve">ة </w:t>
      </w:r>
      <w:r w:rsidRPr="00FD211F">
        <w:rPr>
          <w:sz w:val="36"/>
          <w:szCs w:val="36"/>
          <w:rtl/>
        </w:rPr>
        <w:t>الثالث</w:t>
      </w:r>
      <w:r w:rsidR="00EC7EDF" w:rsidRPr="00FD211F">
        <w:rPr>
          <w:sz w:val="36"/>
          <w:szCs w:val="36"/>
          <w:rtl/>
        </w:rPr>
        <w:t xml:space="preserve">ة </w:t>
      </w:r>
      <w:r w:rsidRPr="00FD211F">
        <w:rPr>
          <w:sz w:val="36"/>
          <w:szCs w:val="36"/>
          <w:rtl/>
        </w:rPr>
        <w:t>دون الثمر</w:t>
      </w:r>
      <w:r w:rsidR="00EC7EDF" w:rsidRPr="00FD211F">
        <w:rPr>
          <w:sz w:val="36"/>
          <w:szCs w:val="36"/>
          <w:rtl/>
        </w:rPr>
        <w:t xml:space="preserve">ة </w:t>
      </w:r>
      <w:r w:rsidRPr="00FD211F">
        <w:rPr>
          <w:sz w:val="36"/>
          <w:szCs w:val="36"/>
          <w:rtl/>
        </w:rPr>
        <w:t>الثاني</w:t>
      </w:r>
      <w:r w:rsidR="00EC7EDF" w:rsidRPr="00FD211F">
        <w:rPr>
          <w:sz w:val="36"/>
          <w:szCs w:val="36"/>
          <w:rtl/>
        </w:rPr>
        <w:t>ة</w:t>
      </w:r>
      <w:r w:rsidR="00603323" w:rsidRPr="00FD211F">
        <w:rPr>
          <w:sz w:val="36"/>
          <w:szCs w:val="36"/>
          <w:rtl/>
        </w:rPr>
        <w:t xml:space="preserve">، </w:t>
      </w:r>
      <w:r w:rsidRPr="00FD211F">
        <w:rPr>
          <w:sz w:val="36"/>
          <w:szCs w:val="36"/>
          <w:rtl/>
        </w:rPr>
        <w:t>فتأمل.</w:t>
      </w:r>
    </w:p>
    <w:p w14:paraId="29BB7432" w14:textId="77777777" w:rsidR="00052BF2" w:rsidRPr="00FD211F" w:rsidRDefault="00052BF2" w:rsidP="009C58C8">
      <w:pPr>
        <w:ind w:left="0" w:firstLine="227"/>
        <w:jc w:val="both"/>
        <w:rPr>
          <w:sz w:val="36"/>
          <w:szCs w:val="36"/>
          <w:rtl/>
        </w:rPr>
      </w:pP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sz w:val="36"/>
          <w:szCs w:val="36"/>
          <w:rtl/>
        </w:rPr>
        <w:t xml:space="preserve"> انه على مسلك الأعمي أيضا قد يوجد قرين</w:t>
      </w:r>
      <w:r w:rsidR="00EC7EDF" w:rsidRPr="00FD211F">
        <w:rPr>
          <w:sz w:val="36"/>
          <w:szCs w:val="36"/>
          <w:rtl/>
        </w:rPr>
        <w:t xml:space="preserve">ة </w:t>
      </w:r>
      <w:r w:rsidRPr="00FD211F">
        <w:rPr>
          <w:sz w:val="36"/>
          <w:szCs w:val="36"/>
          <w:rtl/>
        </w:rPr>
        <w:t>عرفي</w:t>
      </w:r>
      <w:r w:rsidR="00EC7EDF" w:rsidRPr="00FD211F">
        <w:rPr>
          <w:sz w:val="36"/>
          <w:szCs w:val="36"/>
          <w:rtl/>
        </w:rPr>
        <w:t xml:space="preserve">ة </w:t>
      </w:r>
      <w:r w:rsidRPr="00FD211F">
        <w:rPr>
          <w:sz w:val="36"/>
          <w:szCs w:val="36"/>
          <w:rtl/>
        </w:rPr>
        <w:t>على اراد</w:t>
      </w:r>
      <w:r w:rsidR="00EC7EDF" w:rsidRPr="00FD211F">
        <w:rPr>
          <w:sz w:val="36"/>
          <w:szCs w:val="36"/>
          <w:rtl/>
        </w:rPr>
        <w:t xml:space="preserve">ة </w:t>
      </w:r>
      <w:r w:rsidRPr="00FD211F">
        <w:rPr>
          <w:sz w:val="36"/>
          <w:szCs w:val="36"/>
          <w:rtl/>
        </w:rPr>
        <w:t>خصوص الصحيح</w:t>
      </w:r>
      <w:r w:rsidR="00603323" w:rsidRPr="00FD211F">
        <w:rPr>
          <w:sz w:val="36"/>
          <w:szCs w:val="36"/>
          <w:rtl/>
        </w:rPr>
        <w:t xml:space="preserve">، </w:t>
      </w:r>
      <w:r w:rsidRPr="00FD211F">
        <w:rPr>
          <w:sz w:val="36"/>
          <w:szCs w:val="36"/>
          <w:rtl/>
        </w:rPr>
        <w:t>بنحو تعدد الدال والمدلول</w:t>
      </w:r>
      <w:r w:rsidR="00603323" w:rsidRPr="00FD211F">
        <w:rPr>
          <w:sz w:val="36"/>
          <w:szCs w:val="36"/>
          <w:rtl/>
        </w:rPr>
        <w:t xml:space="preserve">، </w:t>
      </w:r>
      <w:r w:rsidRPr="00FD211F">
        <w:rPr>
          <w:sz w:val="36"/>
          <w:szCs w:val="36"/>
          <w:rtl/>
        </w:rPr>
        <w:t>كما ادعي ذلك بالنسب</w:t>
      </w:r>
      <w:r w:rsidR="00EC7EDF" w:rsidRPr="00FD211F">
        <w:rPr>
          <w:sz w:val="36"/>
          <w:szCs w:val="36"/>
          <w:rtl/>
        </w:rPr>
        <w:t xml:space="preserve">ة </w:t>
      </w:r>
      <w:r w:rsidRPr="00FD211F">
        <w:rPr>
          <w:sz w:val="36"/>
          <w:szCs w:val="36"/>
          <w:rtl/>
        </w:rPr>
        <w:t>الى حرم</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على الحائض حيث يقال بان حرمتها تختص بما لو كانت الصلا</w:t>
      </w:r>
      <w:r w:rsidR="00EC7EDF" w:rsidRPr="00FD211F">
        <w:rPr>
          <w:sz w:val="36"/>
          <w:szCs w:val="36"/>
          <w:rtl/>
        </w:rPr>
        <w:t xml:space="preserve">ة </w:t>
      </w:r>
      <w:r w:rsidRPr="00FD211F">
        <w:rPr>
          <w:sz w:val="36"/>
          <w:szCs w:val="36"/>
          <w:rtl/>
        </w:rPr>
        <w:t>واجد</w:t>
      </w:r>
      <w:r w:rsidR="00EC7EDF" w:rsidRPr="00FD211F">
        <w:rPr>
          <w:sz w:val="36"/>
          <w:szCs w:val="36"/>
          <w:rtl/>
        </w:rPr>
        <w:t xml:space="preserve">ة </w:t>
      </w:r>
      <w:r w:rsidRPr="00FD211F">
        <w:rPr>
          <w:sz w:val="36"/>
          <w:szCs w:val="36"/>
          <w:rtl/>
        </w:rPr>
        <w:t>لجميع الأجزاء والشرائط لولا مشكل</w:t>
      </w:r>
      <w:r w:rsidR="00EC7EDF" w:rsidRPr="00FD211F">
        <w:rPr>
          <w:sz w:val="36"/>
          <w:szCs w:val="36"/>
          <w:rtl/>
        </w:rPr>
        <w:t xml:space="preserve">ة </w:t>
      </w:r>
      <w:r w:rsidRPr="00FD211F">
        <w:rPr>
          <w:sz w:val="36"/>
          <w:szCs w:val="36"/>
          <w:rtl/>
        </w:rPr>
        <w:t>الحيض</w:t>
      </w:r>
      <w:r w:rsidR="00603323" w:rsidRPr="00FD211F">
        <w:rPr>
          <w:sz w:val="36"/>
          <w:szCs w:val="36"/>
          <w:rtl/>
        </w:rPr>
        <w:t xml:space="preserve">، </w:t>
      </w:r>
      <w:r w:rsidRPr="00FD211F">
        <w:rPr>
          <w:sz w:val="36"/>
          <w:szCs w:val="36"/>
          <w:rtl/>
        </w:rPr>
        <w:t>وقد ذكر نظير ذلك في موارد أخر فأفتى جماع</w:t>
      </w:r>
      <w:r w:rsidR="00EC7EDF" w:rsidRPr="00FD211F">
        <w:rPr>
          <w:sz w:val="36"/>
          <w:szCs w:val="36"/>
          <w:rtl/>
        </w:rPr>
        <w:t xml:space="preserve">ة </w:t>
      </w:r>
      <w:r w:rsidRPr="00FD211F">
        <w:rPr>
          <w:sz w:val="36"/>
          <w:szCs w:val="36"/>
          <w:rtl/>
        </w:rPr>
        <w:t>من الفقهاء كالسيد الخوئي</w:t>
      </w:r>
      <w:r w:rsidR="00A61BAE" w:rsidRPr="00FD211F">
        <w:rPr>
          <w:sz w:val="36"/>
          <w:szCs w:val="36"/>
          <w:rtl/>
        </w:rPr>
        <w:t xml:space="preserve"> </w:t>
      </w:r>
      <w:r w:rsidR="00662BCB" w:rsidRPr="00FD211F">
        <w:rPr>
          <w:sz w:val="36"/>
          <w:szCs w:val="36"/>
          <w:rtl/>
        </w:rPr>
        <w:t>"قده"</w:t>
      </w:r>
      <w:r w:rsidRPr="00FD211F">
        <w:rPr>
          <w:sz w:val="36"/>
          <w:szCs w:val="36"/>
          <w:rtl/>
        </w:rPr>
        <w:t>بانه لو تزوج</w:t>
      </w:r>
      <w:r w:rsidR="00FD6781" w:rsidRPr="00FD211F">
        <w:rPr>
          <w:sz w:val="36"/>
          <w:szCs w:val="36"/>
          <w:rtl/>
        </w:rPr>
        <w:t xml:space="preserve"> زواجا فاسدا في حد ذاته</w:t>
      </w:r>
      <w:r w:rsidRPr="00FD211F">
        <w:rPr>
          <w:sz w:val="36"/>
          <w:szCs w:val="36"/>
          <w:rtl/>
        </w:rPr>
        <w:t xml:space="preserve"> بذات بعل او معتد</w:t>
      </w:r>
      <w:r w:rsidR="00EC7EDF" w:rsidRPr="00FD211F">
        <w:rPr>
          <w:sz w:val="36"/>
          <w:szCs w:val="36"/>
          <w:rtl/>
        </w:rPr>
        <w:t xml:space="preserve">ة </w:t>
      </w:r>
      <w:r w:rsidRPr="00FD211F">
        <w:rPr>
          <w:sz w:val="36"/>
          <w:szCs w:val="36"/>
          <w:rtl/>
        </w:rPr>
        <w:t>فلايوجب ذلك ثبوت الحرم</w:t>
      </w:r>
      <w:r w:rsidR="00EC7EDF" w:rsidRPr="00FD211F">
        <w:rPr>
          <w:sz w:val="36"/>
          <w:szCs w:val="36"/>
          <w:rtl/>
        </w:rPr>
        <w:t xml:space="preserve">ة </w:t>
      </w:r>
      <w:r w:rsidRPr="00FD211F">
        <w:rPr>
          <w:sz w:val="36"/>
          <w:szCs w:val="36"/>
          <w:rtl/>
        </w:rPr>
        <w:t>الأبدي</w:t>
      </w:r>
      <w:r w:rsidR="00EC7EDF" w:rsidRPr="00FD211F">
        <w:rPr>
          <w:sz w:val="36"/>
          <w:szCs w:val="36"/>
          <w:rtl/>
        </w:rPr>
        <w:t xml:space="preserve">ة </w:t>
      </w:r>
      <w:r w:rsidR="00FD6781" w:rsidRPr="00FD211F">
        <w:rPr>
          <w:sz w:val="36"/>
          <w:szCs w:val="36"/>
          <w:rtl/>
        </w:rPr>
        <w:t>بينهما</w:t>
      </w:r>
      <w:r w:rsidR="00603323" w:rsidRPr="00FD211F">
        <w:rPr>
          <w:sz w:val="36"/>
          <w:szCs w:val="36"/>
          <w:rtl/>
        </w:rPr>
        <w:t xml:space="preserve">، </w:t>
      </w:r>
      <w:r w:rsidR="00FD6781" w:rsidRPr="00FD211F">
        <w:rPr>
          <w:sz w:val="36"/>
          <w:szCs w:val="36"/>
          <w:rtl/>
        </w:rPr>
        <w:t xml:space="preserve">حتى </w:t>
      </w:r>
      <w:r w:rsidRPr="00FD211F">
        <w:rPr>
          <w:sz w:val="36"/>
          <w:szCs w:val="36"/>
          <w:rtl/>
        </w:rPr>
        <w:t>لو صدق عليه الزواج عرفا</w:t>
      </w:r>
      <w:r w:rsidR="00603323" w:rsidRPr="00FD211F">
        <w:rPr>
          <w:sz w:val="36"/>
          <w:szCs w:val="36"/>
          <w:rtl/>
        </w:rPr>
        <w:t xml:space="preserve">، </w:t>
      </w:r>
      <w:r w:rsidRPr="00FD211F">
        <w:rPr>
          <w:sz w:val="36"/>
          <w:szCs w:val="36"/>
          <w:rtl/>
        </w:rPr>
        <w:t>كما لو</w:t>
      </w:r>
      <w:r w:rsidR="008D7B3D" w:rsidRPr="00FD211F">
        <w:rPr>
          <w:sz w:val="36"/>
          <w:szCs w:val="36"/>
          <w:rtl/>
        </w:rPr>
        <w:t xml:space="preserve"> لم‌</w:t>
      </w:r>
      <w:r w:rsidRPr="00FD211F">
        <w:rPr>
          <w:sz w:val="36"/>
          <w:szCs w:val="36"/>
          <w:rtl/>
        </w:rPr>
        <w:t>يعين المهر او المد</w:t>
      </w:r>
      <w:r w:rsidR="00EC7EDF" w:rsidRPr="00FD211F">
        <w:rPr>
          <w:sz w:val="36"/>
          <w:szCs w:val="36"/>
          <w:rtl/>
        </w:rPr>
        <w:t xml:space="preserve">ة </w:t>
      </w:r>
      <w:r w:rsidRPr="00FD211F">
        <w:rPr>
          <w:sz w:val="36"/>
          <w:szCs w:val="36"/>
          <w:rtl/>
        </w:rPr>
        <w:t>في الزواج الموقت</w:t>
      </w:r>
      <w:r w:rsidR="00603323" w:rsidRPr="00FD211F">
        <w:rPr>
          <w:sz w:val="36"/>
          <w:szCs w:val="36"/>
          <w:rtl/>
        </w:rPr>
        <w:t xml:space="preserve">، </w:t>
      </w:r>
      <w:r w:rsidRPr="00FD211F">
        <w:rPr>
          <w:sz w:val="36"/>
          <w:szCs w:val="36"/>
          <w:rtl/>
        </w:rPr>
        <w:t>حيث ان الظاهر من الخطابات الوارد</w:t>
      </w:r>
      <w:r w:rsidR="00EC7EDF" w:rsidRPr="00FD211F">
        <w:rPr>
          <w:sz w:val="36"/>
          <w:szCs w:val="36"/>
          <w:rtl/>
        </w:rPr>
        <w:t xml:space="preserve">ة </w:t>
      </w:r>
      <w:r w:rsidRPr="00FD211F">
        <w:rPr>
          <w:sz w:val="36"/>
          <w:szCs w:val="36"/>
          <w:rtl/>
        </w:rPr>
        <w:t>في المقام اراد</w:t>
      </w:r>
      <w:r w:rsidR="00EC7EDF" w:rsidRPr="00FD211F">
        <w:rPr>
          <w:sz w:val="36"/>
          <w:szCs w:val="36"/>
          <w:rtl/>
        </w:rPr>
        <w:t xml:space="preserve">ة </w:t>
      </w:r>
      <w:r w:rsidRPr="00FD211F">
        <w:rPr>
          <w:sz w:val="36"/>
          <w:szCs w:val="36"/>
          <w:rtl/>
        </w:rPr>
        <w:t>خصوص الزواج الصحيح لولا كون المرأ</w:t>
      </w:r>
      <w:r w:rsidR="00EC7EDF" w:rsidRPr="00FD211F">
        <w:rPr>
          <w:sz w:val="36"/>
          <w:szCs w:val="36"/>
          <w:rtl/>
        </w:rPr>
        <w:t xml:space="preserve">ة </w:t>
      </w:r>
      <w:r w:rsidRPr="00FD211F">
        <w:rPr>
          <w:sz w:val="36"/>
          <w:szCs w:val="36"/>
          <w:rtl/>
        </w:rPr>
        <w:t>ذات بعل او معتد</w:t>
      </w:r>
      <w:r w:rsidR="00EC7EDF" w:rsidRPr="00FD211F">
        <w:rPr>
          <w:sz w:val="36"/>
          <w:szCs w:val="36"/>
          <w:rtl/>
        </w:rPr>
        <w:t>ة</w:t>
      </w:r>
      <w:r w:rsidR="00A61BAE" w:rsidRPr="00FD211F">
        <w:rPr>
          <w:sz w:val="36"/>
          <w:szCs w:val="36"/>
          <w:rtl/>
        </w:rPr>
        <w:t>.</w:t>
      </w:r>
    </w:p>
    <w:p w14:paraId="176561B5" w14:textId="77777777" w:rsidR="00052BF2" w:rsidRPr="00FD211F" w:rsidRDefault="00052BF2" w:rsidP="009C58C8">
      <w:pPr>
        <w:ind w:left="0" w:firstLine="227"/>
        <w:jc w:val="both"/>
        <w:rPr>
          <w:sz w:val="36"/>
          <w:szCs w:val="36"/>
          <w:rtl/>
          <w:lang w:val="en-GB"/>
        </w:rPr>
      </w:pPr>
      <w:r w:rsidRPr="00FD211F">
        <w:rPr>
          <w:b/>
          <w:bCs/>
          <w:sz w:val="36"/>
          <w:szCs w:val="36"/>
          <w:rtl/>
        </w:rPr>
        <w:t>الثمر</w:t>
      </w:r>
      <w:r w:rsidR="00EC7EDF" w:rsidRPr="00FD211F">
        <w:rPr>
          <w:b/>
          <w:bCs/>
          <w:sz w:val="36"/>
          <w:szCs w:val="36"/>
          <w:rtl/>
        </w:rPr>
        <w:t xml:space="preserve">ة </w:t>
      </w:r>
      <w:r w:rsidRPr="00FD211F">
        <w:rPr>
          <w:b/>
          <w:bCs/>
          <w:sz w:val="36"/>
          <w:szCs w:val="36"/>
          <w:rtl/>
        </w:rPr>
        <w:t>الرابع</w:t>
      </w:r>
      <w:r w:rsidR="00EC7EDF" w:rsidRPr="00FD211F">
        <w:rPr>
          <w:b/>
          <w:bCs/>
          <w:sz w:val="36"/>
          <w:szCs w:val="36"/>
          <w:rtl/>
        </w:rPr>
        <w:t>ة</w:t>
      </w:r>
      <w:r w:rsidR="00057D31" w:rsidRPr="00FD211F">
        <w:rPr>
          <w:b/>
          <w:bCs/>
          <w:sz w:val="36"/>
          <w:szCs w:val="36"/>
          <w:rtl/>
        </w:rPr>
        <w:t>:</w:t>
      </w:r>
      <w:r w:rsidRPr="00FD211F">
        <w:rPr>
          <w:sz w:val="36"/>
          <w:szCs w:val="36"/>
          <w:rtl/>
        </w:rPr>
        <w:t xml:space="preserve"> ما لو نذر ان يعطي درهما لواحد ممن صلى</w:t>
      </w:r>
      <w:r w:rsidR="00603323" w:rsidRPr="00FD211F">
        <w:rPr>
          <w:sz w:val="36"/>
          <w:szCs w:val="36"/>
          <w:rtl/>
        </w:rPr>
        <w:t xml:space="preserve">، </w:t>
      </w:r>
      <w:r w:rsidRPr="00FD211F">
        <w:rPr>
          <w:sz w:val="36"/>
          <w:szCs w:val="36"/>
          <w:rtl/>
        </w:rPr>
        <w:t>فأعطاه لمن صلى صلا</w:t>
      </w:r>
      <w:r w:rsidR="00EC7EDF" w:rsidRPr="00FD211F">
        <w:rPr>
          <w:sz w:val="36"/>
          <w:szCs w:val="36"/>
          <w:rtl/>
        </w:rPr>
        <w:t xml:space="preserve">ة </w:t>
      </w:r>
      <w:r w:rsidRPr="00FD211F">
        <w:rPr>
          <w:sz w:val="36"/>
          <w:szCs w:val="36"/>
          <w:rtl/>
        </w:rPr>
        <w:t>فاسد</w:t>
      </w:r>
      <w:r w:rsidR="00EC7EDF" w:rsidRPr="00FD211F">
        <w:rPr>
          <w:sz w:val="36"/>
          <w:szCs w:val="36"/>
          <w:rtl/>
        </w:rPr>
        <w:t xml:space="preserve">ة </w:t>
      </w:r>
      <w:r w:rsidRPr="00FD211F">
        <w:rPr>
          <w:sz w:val="36"/>
          <w:szCs w:val="36"/>
          <w:rtl/>
        </w:rPr>
        <w:t>فعلى مسلك الأعمي قد وفى بنذره</w:t>
      </w:r>
      <w:r w:rsidR="00603323" w:rsidRPr="00FD211F">
        <w:rPr>
          <w:sz w:val="36"/>
          <w:szCs w:val="36"/>
          <w:rtl/>
        </w:rPr>
        <w:t xml:space="preserve">، </w:t>
      </w:r>
      <w:r w:rsidRPr="00FD211F">
        <w:rPr>
          <w:sz w:val="36"/>
          <w:szCs w:val="36"/>
          <w:rtl/>
        </w:rPr>
        <w:t>خلافا لمسلك الصحيحي</w:t>
      </w:r>
      <w:r w:rsidR="00603323" w:rsidRPr="00FD211F">
        <w:rPr>
          <w:sz w:val="36"/>
          <w:szCs w:val="36"/>
          <w:rtl/>
        </w:rPr>
        <w:t xml:space="preserve">، </w:t>
      </w:r>
      <w:r w:rsidRPr="00FD211F">
        <w:rPr>
          <w:sz w:val="36"/>
          <w:szCs w:val="36"/>
          <w:rtl/>
        </w:rPr>
        <w:t>وكذا لو نذر ان يعطي درهما لكل من صل</w:t>
      </w:r>
      <w:r w:rsidR="000140C9" w:rsidRPr="00FD211F">
        <w:rPr>
          <w:sz w:val="36"/>
          <w:szCs w:val="36"/>
          <w:rtl/>
        </w:rPr>
        <w:t>ّ</w:t>
      </w:r>
      <w:r w:rsidRPr="00FD211F">
        <w:rPr>
          <w:sz w:val="36"/>
          <w:szCs w:val="36"/>
          <w:rtl/>
        </w:rPr>
        <w:t>ى</w:t>
      </w:r>
      <w:r w:rsidR="00603323" w:rsidRPr="00FD211F">
        <w:rPr>
          <w:sz w:val="36"/>
          <w:szCs w:val="36"/>
          <w:rtl/>
        </w:rPr>
        <w:t xml:space="preserve">، </w:t>
      </w:r>
      <w:r w:rsidRPr="00FD211F">
        <w:rPr>
          <w:sz w:val="36"/>
          <w:szCs w:val="36"/>
          <w:rtl/>
        </w:rPr>
        <w:t>فرأى من صل</w:t>
      </w:r>
      <w:r w:rsidR="000140C9" w:rsidRPr="00FD211F">
        <w:rPr>
          <w:sz w:val="36"/>
          <w:szCs w:val="36"/>
          <w:rtl/>
        </w:rPr>
        <w:t>ّ</w:t>
      </w:r>
      <w:r w:rsidRPr="00FD211F">
        <w:rPr>
          <w:sz w:val="36"/>
          <w:szCs w:val="36"/>
          <w:rtl/>
        </w:rPr>
        <w:t>ى صلا</w:t>
      </w:r>
      <w:r w:rsidR="00EC7EDF" w:rsidRPr="00FD211F">
        <w:rPr>
          <w:sz w:val="36"/>
          <w:szCs w:val="36"/>
          <w:rtl/>
        </w:rPr>
        <w:t xml:space="preserve">ة </w:t>
      </w:r>
      <w:r w:rsidRPr="00FD211F">
        <w:rPr>
          <w:sz w:val="36"/>
          <w:szCs w:val="36"/>
          <w:rtl/>
        </w:rPr>
        <w:t>فاسد</w:t>
      </w:r>
      <w:r w:rsidR="00EC7EDF" w:rsidRPr="00FD211F">
        <w:rPr>
          <w:sz w:val="36"/>
          <w:szCs w:val="36"/>
          <w:rtl/>
        </w:rPr>
        <w:t xml:space="preserve">ة </w:t>
      </w:r>
      <w:r w:rsidRPr="00FD211F">
        <w:rPr>
          <w:sz w:val="36"/>
          <w:szCs w:val="36"/>
          <w:rtl/>
        </w:rPr>
        <w:t>فيجب ان يعطيه درهما بناء على مسلك الاعمي دون الصحيحي</w:t>
      </w:r>
      <w:r w:rsidRPr="00FD211F">
        <w:rPr>
          <w:sz w:val="36"/>
          <w:szCs w:val="36"/>
          <w:rtl/>
          <w:lang w:val="en-GB"/>
        </w:rPr>
        <w:t>.</w:t>
      </w:r>
    </w:p>
    <w:p w14:paraId="2762116E" w14:textId="77777777" w:rsidR="00052BF2" w:rsidRPr="00FD211F" w:rsidRDefault="00052BF2" w:rsidP="009C58C8">
      <w:pPr>
        <w:ind w:left="0" w:firstLine="227"/>
        <w:jc w:val="both"/>
        <w:rPr>
          <w:sz w:val="36"/>
          <w:szCs w:val="36"/>
          <w:rtl/>
          <w:lang w:val="en-GB"/>
        </w:rPr>
      </w:pPr>
      <w:r w:rsidRPr="00FD211F">
        <w:rPr>
          <w:sz w:val="36"/>
          <w:szCs w:val="36"/>
          <w:rtl/>
        </w:rPr>
        <w:t>وقد أورد على ذلك بان النذور تابع</w:t>
      </w:r>
      <w:r w:rsidR="00EC7EDF" w:rsidRPr="00FD211F">
        <w:rPr>
          <w:sz w:val="36"/>
          <w:szCs w:val="36"/>
          <w:rtl/>
        </w:rPr>
        <w:t xml:space="preserve">ة </w:t>
      </w:r>
      <w:r w:rsidRPr="00FD211F">
        <w:rPr>
          <w:sz w:val="36"/>
          <w:szCs w:val="36"/>
          <w:rtl/>
        </w:rPr>
        <w:t>للقصود</w:t>
      </w:r>
      <w:r w:rsidR="00603323" w:rsidRPr="00FD211F">
        <w:rPr>
          <w:sz w:val="36"/>
          <w:szCs w:val="36"/>
          <w:rtl/>
        </w:rPr>
        <w:t xml:space="preserve">، </w:t>
      </w:r>
      <w:r w:rsidRPr="00FD211F">
        <w:rPr>
          <w:sz w:val="36"/>
          <w:szCs w:val="36"/>
          <w:rtl/>
        </w:rPr>
        <w:t>فالمهم هو ملاحظ</w:t>
      </w:r>
      <w:r w:rsidR="00EC7EDF" w:rsidRPr="00FD211F">
        <w:rPr>
          <w:sz w:val="36"/>
          <w:szCs w:val="36"/>
          <w:rtl/>
        </w:rPr>
        <w:t xml:space="preserve">ة </w:t>
      </w:r>
      <w:r w:rsidRPr="00FD211F">
        <w:rPr>
          <w:sz w:val="36"/>
          <w:szCs w:val="36"/>
          <w:rtl/>
        </w:rPr>
        <w:t>قصد الناذر</w:t>
      </w:r>
      <w:r w:rsidR="00603323" w:rsidRPr="00FD211F">
        <w:rPr>
          <w:sz w:val="36"/>
          <w:szCs w:val="36"/>
          <w:rtl/>
        </w:rPr>
        <w:t xml:space="preserve">، </w:t>
      </w:r>
      <w:r w:rsidRPr="00FD211F">
        <w:rPr>
          <w:sz w:val="36"/>
          <w:szCs w:val="36"/>
          <w:rtl/>
        </w:rPr>
        <w:t>وفيه انه يمكن افتراض قصده لمسمى الصلا</w:t>
      </w:r>
      <w:r w:rsidR="00EC7EDF" w:rsidRPr="00FD211F">
        <w:rPr>
          <w:sz w:val="36"/>
          <w:szCs w:val="36"/>
          <w:rtl/>
        </w:rPr>
        <w:t xml:space="preserve">ة </w:t>
      </w:r>
      <w:r w:rsidRPr="00FD211F">
        <w:rPr>
          <w:sz w:val="36"/>
          <w:szCs w:val="36"/>
          <w:rtl/>
        </w:rPr>
        <w:t>أيّا ما كان فتترتب الثمر</w:t>
      </w:r>
      <w:r w:rsidR="00EC7EDF" w:rsidRPr="00FD211F">
        <w:rPr>
          <w:sz w:val="36"/>
          <w:szCs w:val="36"/>
          <w:rtl/>
        </w:rPr>
        <w:t xml:space="preserve">ة </w:t>
      </w:r>
      <w:r w:rsidRPr="00FD211F">
        <w:rPr>
          <w:sz w:val="36"/>
          <w:szCs w:val="36"/>
          <w:rtl/>
        </w:rPr>
        <w:t>حينئذ على البحث عن تعيين المسمى</w:t>
      </w:r>
      <w:r w:rsidRPr="00FD211F">
        <w:rPr>
          <w:sz w:val="36"/>
          <w:szCs w:val="36"/>
          <w:rtl/>
          <w:lang w:val="en-GB"/>
        </w:rPr>
        <w:t xml:space="preserve"> في المقام.</w:t>
      </w:r>
    </w:p>
    <w:p w14:paraId="78437708" w14:textId="77777777" w:rsidR="00052BF2" w:rsidRPr="00FD211F" w:rsidRDefault="00052BF2" w:rsidP="009C58C8">
      <w:pPr>
        <w:ind w:left="0" w:firstLine="227"/>
        <w:jc w:val="both"/>
        <w:rPr>
          <w:sz w:val="36"/>
          <w:szCs w:val="36"/>
          <w:rtl/>
          <w:lang w:val="en-GB"/>
        </w:rPr>
      </w:pPr>
      <w:r w:rsidRPr="00FD211F">
        <w:rPr>
          <w:sz w:val="36"/>
          <w:szCs w:val="36"/>
          <w:rtl/>
          <w:lang w:val="en-GB"/>
        </w:rPr>
        <w:t>هذا</w:t>
      </w:r>
      <w:r w:rsidR="00603323" w:rsidRPr="00FD211F">
        <w:rPr>
          <w:sz w:val="36"/>
          <w:szCs w:val="36"/>
          <w:rtl/>
          <w:lang w:val="en-GB"/>
        </w:rPr>
        <w:t xml:space="preserve">، </w:t>
      </w:r>
      <w:r w:rsidRPr="00FD211F">
        <w:rPr>
          <w:sz w:val="36"/>
          <w:szCs w:val="36"/>
          <w:rtl/>
          <w:lang w:val="en-GB"/>
        </w:rPr>
        <w:t>وقد اورد السيد الخوئي</w:t>
      </w:r>
      <w:r w:rsidR="00A61BAE" w:rsidRPr="00FD211F">
        <w:rPr>
          <w:sz w:val="36"/>
          <w:szCs w:val="36"/>
          <w:rtl/>
          <w:lang w:val="en-GB"/>
        </w:rPr>
        <w:t xml:space="preserve"> </w:t>
      </w:r>
      <w:r w:rsidR="00662BCB" w:rsidRPr="00FD211F">
        <w:rPr>
          <w:sz w:val="36"/>
          <w:szCs w:val="36"/>
          <w:rtl/>
          <w:lang w:val="en-GB"/>
        </w:rPr>
        <w:t>"قده"</w:t>
      </w:r>
      <w:r w:rsidR="00A61BAE" w:rsidRPr="00FD211F">
        <w:rPr>
          <w:sz w:val="36"/>
          <w:szCs w:val="36"/>
          <w:rtl/>
          <w:lang w:val="en-GB"/>
        </w:rPr>
        <w:t xml:space="preserve"> </w:t>
      </w:r>
      <w:r w:rsidRPr="00FD211F">
        <w:rPr>
          <w:sz w:val="36"/>
          <w:szCs w:val="36"/>
          <w:rtl/>
          <w:lang w:val="en-GB"/>
        </w:rPr>
        <w:t>على ما حكي عنه على هذه الثمر</w:t>
      </w:r>
      <w:r w:rsidR="00EC7EDF" w:rsidRPr="00FD211F">
        <w:rPr>
          <w:sz w:val="36"/>
          <w:szCs w:val="36"/>
          <w:rtl/>
          <w:lang w:val="en-GB"/>
        </w:rPr>
        <w:t xml:space="preserve">ة </w:t>
      </w:r>
      <w:r w:rsidRPr="00FD211F">
        <w:rPr>
          <w:sz w:val="36"/>
          <w:szCs w:val="36"/>
          <w:rtl/>
          <w:lang w:val="en-GB"/>
        </w:rPr>
        <w:t>–وكذا الثمر</w:t>
      </w:r>
      <w:r w:rsidR="00EC7EDF" w:rsidRPr="00FD211F">
        <w:rPr>
          <w:sz w:val="36"/>
          <w:szCs w:val="36"/>
          <w:rtl/>
          <w:lang w:val="en-GB"/>
        </w:rPr>
        <w:t xml:space="preserve">ة </w:t>
      </w:r>
      <w:r w:rsidRPr="00FD211F">
        <w:rPr>
          <w:sz w:val="36"/>
          <w:szCs w:val="36"/>
          <w:rtl/>
          <w:lang w:val="en-GB"/>
        </w:rPr>
        <w:t>السابق</w:t>
      </w:r>
      <w:r w:rsidR="00EC7EDF" w:rsidRPr="00FD211F">
        <w:rPr>
          <w:sz w:val="36"/>
          <w:szCs w:val="36"/>
          <w:rtl/>
          <w:lang w:val="en-GB"/>
        </w:rPr>
        <w:t xml:space="preserve">ة </w:t>
      </w:r>
      <w:r w:rsidRPr="00FD211F">
        <w:rPr>
          <w:sz w:val="36"/>
          <w:szCs w:val="36"/>
          <w:rtl/>
          <w:lang w:val="en-GB"/>
        </w:rPr>
        <w:t>- بان الصح</w:t>
      </w:r>
      <w:r w:rsidR="00EC7EDF" w:rsidRPr="00FD211F">
        <w:rPr>
          <w:sz w:val="36"/>
          <w:szCs w:val="36"/>
          <w:rtl/>
          <w:lang w:val="en-GB"/>
        </w:rPr>
        <w:t xml:space="preserve">ة </w:t>
      </w:r>
      <w:r w:rsidRPr="00FD211F">
        <w:rPr>
          <w:sz w:val="36"/>
          <w:szCs w:val="36"/>
          <w:rtl/>
          <w:lang w:val="en-GB"/>
        </w:rPr>
        <w:t>التي وقع النزاع بين الصحيحي والأعمي في أخذها في المسمى غير الصح</w:t>
      </w:r>
      <w:r w:rsidR="00EC7EDF" w:rsidRPr="00FD211F">
        <w:rPr>
          <w:sz w:val="36"/>
          <w:szCs w:val="36"/>
          <w:rtl/>
          <w:lang w:val="en-GB"/>
        </w:rPr>
        <w:t xml:space="preserve">ة </w:t>
      </w:r>
      <w:r w:rsidRPr="00FD211F">
        <w:rPr>
          <w:sz w:val="36"/>
          <w:szCs w:val="36"/>
          <w:rtl/>
          <w:lang w:val="en-GB"/>
        </w:rPr>
        <w:t>الفعلي</w:t>
      </w:r>
      <w:r w:rsidR="00EC7EDF" w:rsidRPr="00FD211F">
        <w:rPr>
          <w:sz w:val="36"/>
          <w:szCs w:val="36"/>
          <w:rtl/>
          <w:lang w:val="en-GB"/>
        </w:rPr>
        <w:t xml:space="preserve">ة </w:t>
      </w:r>
      <w:r w:rsidRPr="00FD211F">
        <w:rPr>
          <w:sz w:val="36"/>
          <w:szCs w:val="36"/>
          <w:rtl/>
          <w:lang w:val="en-GB"/>
        </w:rPr>
        <w:t>المعتبر</w:t>
      </w:r>
      <w:r w:rsidR="00EC7EDF" w:rsidRPr="00FD211F">
        <w:rPr>
          <w:sz w:val="36"/>
          <w:szCs w:val="36"/>
          <w:rtl/>
          <w:lang w:val="en-GB"/>
        </w:rPr>
        <w:t xml:space="preserve">ة </w:t>
      </w:r>
      <w:r w:rsidRPr="00FD211F">
        <w:rPr>
          <w:sz w:val="36"/>
          <w:szCs w:val="36"/>
          <w:rtl/>
          <w:lang w:val="en-GB"/>
        </w:rPr>
        <w:t>في مرحل</w:t>
      </w:r>
      <w:r w:rsidR="00EC7EDF" w:rsidRPr="00FD211F">
        <w:rPr>
          <w:sz w:val="36"/>
          <w:szCs w:val="36"/>
          <w:rtl/>
          <w:lang w:val="en-GB"/>
        </w:rPr>
        <w:t xml:space="preserve">ة </w:t>
      </w:r>
      <w:r w:rsidRPr="00FD211F">
        <w:rPr>
          <w:sz w:val="36"/>
          <w:szCs w:val="36"/>
          <w:rtl/>
          <w:lang w:val="en-GB"/>
        </w:rPr>
        <w:t>الامتثال</w:t>
      </w:r>
      <w:r w:rsidR="00603323" w:rsidRPr="00FD211F">
        <w:rPr>
          <w:sz w:val="36"/>
          <w:szCs w:val="36"/>
          <w:rtl/>
          <w:lang w:val="en-GB"/>
        </w:rPr>
        <w:t xml:space="preserve">، </w:t>
      </w:r>
      <w:r w:rsidRPr="00FD211F">
        <w:rPr>
          <w:sz w:val="36"/>
          <w:szCs w:val="36"/>
          <w:rtl/>
          <w:lang w:val="en-GB"/>
        </w:rPr>
        <w:t>فيمكن ان يكون المأتي به صحيحا</w:t>
      </w:r>
      <w:r w:rsidR="00603323" w:rsidRPr="00FD211F">
        <w:rPr>
          <w:sz w:val="36"/>
          <w:szCs w:val="36"/>
          <w:rtl/>
          <w:lang w:val="en-GB"/>
        </w:rPr>
        <w:t xml:space="preserve">، </w:t>
      </w:r>
      <w:r w:rsidRPr="00FD211F">
        <w:rPr>
          <w:sz w:val="36"/>
          <w:szCs w:val="36"/>
          <w:rtl/>
          <w:lang w:val="en-GB"/>
        </w:rPr>
        <w:t>من حيث وجدانه لتمام الأجزاء والشرائط ولكن يكون فاسدا من الجهات الأخر</w:t>
      </w:r>
      <w:r w:rsidR="00603323" w:rsidRPr="00FD211F">
        <w:rPr>
          <w:sz w:val="36"/>
          <w:szCs w:val="36"/>
          <w:rtl/>
          <w:lang w:val="en-GB"/>
        </w:rPr>
        <w:t xml:space="preserve">، </w:t>
      </w:r>
      <w:r w:rsidRPr="00FD211F">
        <w:rPr>
          <w:sz w:val="36"/>
          <w:szCs w:val="36"/>
          <w:rtl/>
          <w:lang w:val="en-GB"/>
        </w:rPr>
        <w:t>وعليه فتحصل براء</w:t>
      </w:r>
      <w:r w:rsidR="00EC7EDF" w:rsidRPr="00FD211F">
        <w:rPr>
          <w:sz w:val="36"/>
          <w:szCs w:val="36"/>
          <w:rtl/>
          <w:lang w:val="en-GB"/>
        </w:rPr>
        <w:t xml:space="preserve">ة </w:t>
      </w:r>
      <w:r w:rsidRPr="00FD211F">
        <w:rPr>
          <w:sz w:val="36"/>
          <w:szCs w:val="36"/>
          <w:rtl/>
          <w:lang w:val="en-GB"/>
        </w:rPr>
        <w:t>الذم</w:t>
      </w:r>
      <w:r w:rsidR="00EC7EDF" w:rsidRPr="00FD211F">
        <w:rPr>
          <w:sz w:val="36"/>
          <w:szCs w:val="36"/>
          <w:rtl/>
          <w:lang w:val="en-GB"/>
        </w:rPr>
        <w:t xml:space="preserve">ة </w:t>
      </w:r>
      <w:r w:rsidRPr="00FD211F">
        <w:rPr>
          <w:sz w:val="36"/>
          <w:szCs w:val="36"/>
          <w:rtl/>
          <w:lang w:val="en-GB"/>
        </w:rPr>
        <w:t>للناذر باعطائه درهما لمن صل</w:t>
      </w:r>
      <w:r w:rsidR="000140C9" w:rsidRPr="00FD211F">
        <w:rPr>
          <w:sz w:val="36"/>
          <w:szCs w:val="36"/>
          <w:rtl/>
          <w:lang w:val="en-GB"/>
        </w:rPr>
        <w:t>ّ</w:t>
      </w:r>
      <w:r w:rsidRPr="00FD211F">
        <w:rPr>
          <w:sz w:val="36"/>
          <w:szCs w:val="36"/>
          <w:rtl/>
          <w:lang w:val="en-GB"/>
        </w:rPr>
        <w:t>ى صلا</w:t>
      </w:r>
      <w:r w:rsidR="00EC7EDF" w:rsidRPr="00FD211F">
        <w:rPr>
          <w:sz w:val="36"/>
          <w:szCs w:val="36"/>
          <w:rtl/>
          <w:lang w:val="en-GB"/>
        </w:rPr>
        <w:t xml:space="preserve">ة </w:t>
      </w:r>
      <w:r w:rsidRPr="00FD211F">
        <w:rPr>
          <w:sz w:val="36"/>
          <w:szCs w:val="36"/>
          <w:rtl/>
          <w:lang w:val="en-GB"/>
        </w:rPr>
        <w:t>فاسد</w:t>
      </w:r>
      <w:r w:rsidR="00EC7EDF" w:rsidRPr="00FD211F">
        <w:rPr>
          <w:sz w:val="36"/>
          <w:szCs w:val="36"/>
          <w:rtl/>
          <w:lang w:val="en-GB"/>
        </w:rPr>
        <w:t xml:space="preserve">ة </w:t>
      </w:r>
      <w:r w:rsidRPr="00FD211F">
        <w:rPr>
          <w:sz w:val="36"/>
          <w:szCs w:val="36"/>
          <w:rtl/>
          <w:lang w:val="en-GB"/>
        </w:rPr>
        <w:t>ايضا</w:t>
      </w:r>
      <w:r w:rsidR="009C58C8" w:rsidRPr="00FD211F">
        <w:rPr>
          <w:rStyle w:val="a6"/>
          <w:sz w:val="36"/>
          <w:szCs w:val="36"/>
          <w:rtl/>
          <w:lang w:val="en-GB"/>
        </w:rPr>
        <w:t>(</w:t>
      </w:r>
      <w:r w:rsidR="009C58C8" w:rsidRPr="00FD211F">
        <w:rPr>
          <w:rStyle w:val="a6"/>
          <w:sz w:val="36"/>
          <w:szCs w:val="36"/>
          <w:rtl/>
          <w:lang w:val="en-GB"/>
        </w:rPr>
        <w:footnoteReference w:id="424"/>
      </w:r>
      <w:r w:rsidR="009C58C8" w:rsidRPr="00FD211F">
        <w:rPr>
          <w:rStyle w:val="a6"/>
          <w:sz w:val="36"/>
          <w:szCs w:val="36"/>
          <w:rtl/>
          <w:lang w:val="en-GB"/>
        </w:rPr>
        <w:t>)</w:t>
      </w:r>
      <w:r w:rsidRPr="00FD211F">
        <w:rPr>
          <w:sz w:val="36"/>
          <w:szCs w:val="36"/>
          <w:rtl/>
          <w:lang w:val="en-GB"/>
        </w:rPr>
        <w:t>.</w:t>
      </w:r>
    </w:p>
    <w:p w14:paraId="4F3A7873" w14:textId="77777777" w:rsidR="00052BF2" w:rsidRPr="00FD211F" w:rsidRDefault="00052BF2" w:rsidP="009C58C8">
      <w:pPr>
        <w:ind w:left="0" w:firstLine="227"/>
        <w:jc w:val="both"/>
        <w:rPr>
          <w:sz w:val="36"/>
          <w:szCs w:val="36"/>
          <w:rtl/>
          <w:lang w:val="en-GB"/>
        </w:rPr>
      </w:pPr>
      <w:r w:rsidRPr="00FD211F">
        <w:rPr>
          <w:sz w:val="36"/>
          <w:szCs w:val="36"/>
          <w:rtl/>
          <w:lang w:val="en-GB"/>
        </w:rPr>
        <w:t>والظاهر ان مراده</w:t>
      </w:r>
      <w:r w:rsidR="00A61BAE" w:rsidRPr="00FD211F">
        <w:rPr>
          <w:sz w:val="36"/>
          <w:szCs w:val="36"/>
          <w:rtl/>
          <w:lang w:val="en-GB"/>
        </w:rPr>
        <w:t xml:space="preserve"> </w:t>
      </w:r>
      <w:r w:rsidR="00662BCB" w:rsidRPr="00FD211F">
        <w:rPr>
          <w:sz w:val="36"/>
          <w:szCs w:val="36"/>
          <w:rtl/>
          <w:lang w:val="en-GB"/>
        </w:rPr>
        <w:t>"</w:t>
      </w:r>
      <w:r w:rsidR="005D03BA" w:rsidRPr="00FD211F">
        <w:rPr>
          <w:sz w:val="36"/>
          <w:szCs w:val="36"/>
          <w:rtl/>
          <w:lang w:val="en-GB"/>
        </w:rPr>
        <w:t>قده</w:t>
      </w:r>
      <w:r w:rsidR="00662BCB" w:rsidRPr="00FD211F">
        <w:rPr>
          <w:sz w:val="36"/>
          <w:szCs w:val="36"/>
          <w:rtl/>
          <w:lang w:val="en-GB"/>
        </w:rPr>
        <w:t>"</w:t>
      </w:r>
      <w:r w:rsidR="00A61BAE" w:rsidRPr="00FD211F">
        <w:rPr>
          <w:sz w:val="36"/>
          <w:szCs w:val="36"/>
          <w:rtl/>
          <w:lang w:val="en-GB"/>
        </w:rPr>
        <w:t xml:space="preserve"> </w:t>
      </w:r>
      <w:r w:rsidRPr="00FD211F">
        <w:rPr>
          <w:sz w:val="36"/>
          <w:szCs w:val="36"/>
          <w:rtl/>
          <w:lang w:val="en-GB"/>
        </w:rPr>
        <w:t>ان الصح</w:t>
      </w:r>
      <w:r w:rsidR="00EC7EDF" w:rsidRPr="00FD211F">
        <w:rPr>
          <w:sz w:val="36"/>
          <w:szCs w:val="36"/>
          <w:rtl/>
          <w:lang w:val="en-GB"/>
        </w:rPr>
        <w:t xml:space="preserve">ة </w:t>
      </w:r>
      <w:r w:rsidRPr="00FD211F">
        <w:rPr>
          <w:sz w:val="36"/>
          <w:szCs w:val="36"/>
          <w:rtl/>
          <w:lang w:val="en-GB"/>
        </w:rPr>
        <w:t>الفعلي</w:t>
      </w:r>
      <w:r w:rsidR="00EC7EDF" w:rsidRPr="00FD211F">
        <w:rPr>
          <w:sz w:val="36"/>
          <w:szCs w:val="36"/>
          <w:rtl/>
          <w:lang w:val="en-GB"/>
        </w:rPr>
        <w:t xml:space="preserve">ة </w:t>
      </w:r>
      <w:r w:rsidRPr="00FD211F">
        <w:rPr>
          <w:sz w:val="36"/>
          <w:szCs w:val="36"/>
          <w:rtl/>
          <w:lang w:val="en-GB"/>
        </w:rPr>
        <w:t>تتوقف على امور لاتكون داخل</w:t>
      </w:r>
      <w:r w:rsidR="00EC7EDF" w:rsidRPr="00FD211F">
        <w:rPr>
          <w:sz w:val="36"/>
          <w:szCs w:val="36"/>
          <w:rtl/>
          <w:lang w:val="en-GB"/>
        </w:rPr>
        <w:t xml:space="preserve">ة </w:t>
      </w:r>
      <w:r w:rsidRPr="00FD211F">
        <w:rPr>
          <w:sz w:val="36"/>
          <w:szCs w:val="36"/>
          <w:rtl/>
          <w:lang w:val="en-GB"/>
        </w:rPr>
        <w:t>في المسمى على مسلك الصحيحي أيضا</w:t>
      </w:r>
      <w:r w:rsidR="00603323" w:rsidRPr="00FD211F">
        <w:rPr>
          <w:sz w:val="36"/>
          <w:szCs w:val="36"/>
          <w:rtl/>
          <w:lang w:val="en-GB"/>
        </w:rPr>
        <w:t xml:space="preserve">، </w:t>
      </w:r>
      <w:r w:rsidRPr="00FD211F">
        <w:rPr>
          <w:sz w:val="36"/>
          <w:szCs w:val="36"/>
          <w:rtl/>
          <w:lang w:val="en-GB"/>
        </w:rPr>
        <w:t>كقصد القرب</w:t>
      </w:r>
      <w:r w:rsidR="00EC7EDF" w:rsidRPr="00FD211F">
        <w:rPr>
          <w:sz w:val="36"/>
          <w:szCs w:val="36"/>
          <w:rtl/>
          <w:lang w:val="en-GB"/>
        </w:rPr>
        <w:t xml:space="preserve">ة </w:t>
      </w:r>
      <w:r w:rsidRPr="00FD211F">
        <w:rPr>
          <w:sz w:val="36"/>
          <w:szCs w:val="36"/>
          <w:rtl/>
          <w:lang w:val="en-GB"/>
        </w:rPr>
        <w:t>على ما تقدم بيانه سابقا</w:t>
      </w:r>
      <w:r w:rsidR="00603323" w:rsidRPr="00FD211F">
        <w:rPr>
          <w:sz w:val="36"/>
          <w:szCs w:val="36"/>
          <w:rtl/>
          <w:lang w:val="en-GB"/>
        </w:rPr>
        <w:t xml:space="preserve">، </w:t>
      </w:r>
      <w:r w:rsidRPr="00FD211F">
        <w:rPr>
          <w:sz w:val="36"/>
          <w:szCs w:val="36"/>
          <w:rtl/>
          <w:lang w:val="en-GB"/>
        </w:rPr>
        <w:t>فلو أخلّ المصلي بقصد القرب</w:t>
      </w:r>
      <w:r w:rsidR="00EC7EDF" w:rsidRPr="00FD211F">
        <w:rPr>
          <w:sz w:val="36"/>
          <w:szCs w:val="36"/>
          <w:rtl/>
          <w:lang w:val="en-GB"/>
        </w:rPr>
        <w:t xml:space="preserve">ة </w:t>
      </w:r>
      <w:r w:rsidRPr="00FD211F">
        <w:rPr>
          <w:sz w:val="36"/>
          <w:szCs w:val="36"/>
          <w:rtl/>
          <w:lang w:val="en-GB"/>
        </w:rPr>
        <w:t>صدق عليه مسمى الصلا</w:t>
      </w:r>
      <w:r w:rsidR="00EC7EDF" w:rsidRPr="00FD211F">
        <w:rPr>
          <w:sz w:val="36"/>
          <w:szCs w:val="36"/>
          <w:rtl/>
          <w:lang w:val="en-GB"/>
        </w:rPr>
        <w:t xml:space="preserve">ة </w:t>
      </w:r>
      <w:r w:rsidRPr="00FD211F">
        <w:rPr>
          <w:sz w:val="36"/>
          <w:szCs w:val="36"/>
          <w:rtl/>
          <w:lang w:val="en-GB"/>
        </w:rPr>
        <w:t>على مسلك الصحيحي أيضا</w:t>
      </w:r>
      <w:r w:rsidR="00603323" w:rsidRPr="00FD211F">
        <w:rPr>
          <w:sz w:val="36"/>
          <w:szCs w:val="36"/>
          <w:rtl/>
          <w:lang w:val="en-GB"/>
        </w:rPr>
        <w:t xml:space="preserve">، </w:t>
      </w:r>
      <w:r w:rsidRPr="00FD211F">
        <w:rPr>
          <w:sz w:val="36"/>
          <w:szCs w:val="36"/>
          <w:rtl/>
          <w:lang w:val="en-GB"/>
        </w:rPr>
        <w:t>فيلزم من ذلك شمول النذر على اي تقدير للصلا</w:t>
      </w:r>
      <w:r w:rsidR="00EC7EDF" w:rsidRPr="00FD211F">
        <w:rPr>
          <w:sz w:val="36"/>
          <w:szCs w:val="36"/>
          <w:rtl/>
          <w:lang w:val="en-GB"/>
        </w:rPr>
        <w:t xml:space="preserve">ة </w:t>
      </w:r>
      <w:r w:rsidRPr="00FD211F">
        <w:rPr>
          <w:sz w:val="36"/>
          <w:szCs w:val="36"/>
          <w:rtl/>
          <w:lang w:val="en-GB"/>
        </w:rPr>
        <w:t>الفاسد</w:t>
      </w:r>
      <w:r w:rsidR="00EC7EDF" w:rsidRPr="00FD211F">
        <w:rPr>
          <w:sz w:val="36"/>
          <w:szCs w:val="36"/>
          <w:rtl/>
          <w:lang w:val="en-GB"/>
        </w:rPr>
        <w:t>ة</w:t>
      </w:r>
      <w:r w:rsidR="00603323" w:rsidRPr="00FD211F">
        <w:rPr>
          <w:sz w:val="36"/>
          <w:szCs w:val="36"/>
          <w:rtl/>
          <w:lang w:val="en-GB"/>
        </w:rPr>
        <w:t xml:space="preserve">، </w:t>
      </w:r>
      <w:r w:rsidRPr="00FD211F">
        <w:rPr>
          <w:sz w:val="36"/>
          <w:szCs w:val="36"/>
          <w:rtl/>
          <w:lang w:val="en-GB"/>
        </w:rPr>
        <w:t>ولكن يلاحظ عليه: أنه لو كان فساد الصلا</w:t>
      </w:r>
      <w:r w:rsidR="00EC7EDF" w:rsidRPr="00FD211F">
        <w:rPr>
          <w:sz w:val="36"/>
          <w:szCs w:val="36"/>
          <w:rtl/>
          <w:lang w:val="en-GB"/>
        </w:rPr>
        <w:t xml:space="preserve">ة </w:t>
      </w:r>
      <w:r w:rsidRPr="00FD211F">
        <w:rPr>
          <w:sz w:val="36"/>
          <w:szCs w:val="36"/>
          <w:rtl/>
          <w:lang w:val="en-GB"/>
        </w:rPr>
        <w:t>لأجل الإخلال بسائر الأجزاء والشرائط مما تكون داخل</w:t>
      </w:r>
      <w:r w:rsidR="00EC7EDF" w:rsidRPr="00FD211F">
        <w:rPr>
          <w:sz w:val="36"/>
          <w:szCs w:val="36"/>
          <w:rtl/>
          <w:lang w:val="en-GB"/>
        </w:rPr>
        <w:t xml:space="preserve">ة </w:t>
      </w:r>
      <w:r w:rsidRPr="00FD211F">
        <w:rPr>
          <w:sz w:val="36"/>
          <w:szCs w:val="36"/>
          <w:rtl/>
          <w:lang w:val="en-GB"/>
        </w:rPr>
        <w:t>في المسمى على مسلك الصحيحي كما لو أخل بالطهور فيكون مشمولا للنذر على مسلك الأعمي دون الصحيحي.</w:t>
      </w:r>
    </w:p>
    <w:p w14:paraId="112BA813" w14:textId="77777777" w:rsidR="00052BF2" w:rsidRPr="00FD211F" w:rsidRDefault="00052BF2" w:rsidP="009C58C8">
      <w:pPr>
        <w:ind w:left="0" w:firstLine="227"/>
        <w:jc w:val="both"/>
        <w:rPr>
          <w:sz w:val="36"/>
          <w:szCs w:val="36"/>
          <w:rtl/>
        </w:rPr>
      </w:pPr>
      <w:r w:rsidRPr="00FD211F">
        <w:rPr>
          <w:sz w:val="36"/>
          <w:szCs w:val="36"/>
          <w:rtl/>
        </w:rPr>
        <w:t>ولكن لايخفى ان مثل هذه الثمر</w:t>
      </w:r>
      <w:r w:rsidR="00EC7EDF" w:rsidRPr="00FD211F">
        <w:rPr>
          <w:sz w:val="36"/>
          <w:szCs w:val="36"/>
          <w:rtl/>
        </w:rPr>
        <w:t xml:space="preserve">ة </w:t>
      </w:r>
      <w:r w:rsidRPr="00FD211F">
        <w:rPr>
          <w:sz w:val="36"/>
          <w:szCs w:val="36"/>
          <w:rtl/>
        </w:rPr>
        <w:t>لاتوجب اندراج البحث عن الصحيح والاعم في المسائل الاصولي</w:t>
      </w:r>
      <w:r w:rsidR="00EC7EDF" w:rsidRPr="00FD211F">
        <w:rPr>
          <w:sz w:val="36"/>
          <w:szCs w:val="36"/>
          <w:rtl/>
        </w:rPr>
        <w:t xml:space="preserve">ة </w:t>
      </w:r>
      <w:r w:rsidRPr="00FD211F">
        <w:rPr>
          <w:sz w:val="36"/>
          <w:szCs w:val="36"/>
          <w:rtl/>
        </w:rPr>
        <w:t>التي تمهد لاستنباط الاحكام الشرعي</w:t>
      </w:r>
      <w:r w:rsidR="00EC7EDF" w:rsidRPr="00FD211F">
        <w:rPr>
          <w:sz w:val="36"/>
          <w:szCs w:val="36"/>
          <w:rtl/>
        </w:rPr>
        <w:t xml:space="preserve">ة </w:t>
      </w:r>
      <w:r w:rsidRPr="00FD211F">
        <w:rPr>
          <w:sz w:val="36"/>
          <w:szCs w:val="36"/>
          <w:rtl/>
        </w:rPr>
        <w:t>الكلي</w:t>
      </w:r>
      <w:r w:rsidR="00EC7EDF" w:rsidRPr="00FD211F">
        <w:rPr>
          <w:sz w:val="36"/>
          <w:szCs w:val="36"/>
          <w:rtl/>
        </w:rPr>
        <w:t>ة</w:t>
      </w:r>
      <w:r w:rsidR="00603323" w:rsidRPr="00FD211F">
        <w:rPr>
          <w:sz w:val="36"/>
          <w:szCs w:val="36"/>
          <w:rtl/>
        </w:rPr>
        <w:t xml:space="preserve">، </w:t>
      </w:r>
      <w:r w:rsidRPr="00FD211F">
        <w:rPr>
          <w:sz w:val="36"/>
          <w:szCs w:val="36"/>
          <w:rtl/>
        </w:rPr>
        <w:t>لوضوح عدم كون هذه الثمر</w:t>
      </w:r>
      <w:r w:rsidR="00EC7EDF" w:rsidRPr="00FD211F">
        <w:rPr>
          <w:sz w:val="36"/>
          <w:szCs w:val="36"/>
          <w:rtl/>
        </w:rPr>
        <w:t xml:space="preserve">ة </w:t>
      </w:r>
      <w:r w:rsidRPr="00FD211F">
        <w:rPr>
          <w:sz w:val="36"/>
          <w:szCs w:val="36"/>
          <w:rtl/>
        </w:rPr>
        <w:t>حكما شرعيا كليا</w:t>
      </w:r>
      <w:r w:rsidR="00603323" w:rsidRPr="00FD211F">
        <w:rPr>
          <w:sz w:val="36"/>
          <w:szCs w:val="36"/>
          <w:rtl/>
        </w:rPr>
        <w:t xml:space="preserve">، </w:t>
      </w:r>
      <w:r w:rsidRPr="00FD211F">
        <w:rPr>
          <w:sz w:val="36"/>
          <w:szCs w:val="36"/>
          <w:rtl/>
        </w:rPr>
        <w:t>وانما يتبع قصد الناذر</w:t>
      </w:r>
      <w:r w:rsidR="00603323" w:rsidRPr="00FD211F">
        <w:rPr>
          <w:sz w:val="36"/>
          <w:szCs w:val="36"/>
          <w:rtl/>
        </w:rPr>
        <w:t xml:space="preserve">، </w:t>
      </w:r>
      <w:r w:rsidRPr="00FD211F">
        <w:rPr>
          <w:sz w:val="36"/>
          <w:szCs w:val="36"/>
          <w:rtl/>
        </w:rPr>
        <w:t>والا لأمكن اندراج أيّ</w:t>
      </w:r>
      <w:r w:rsidR="00EC7EDF" w:rsidRPr="00FD211F">
        <w:rPr>
          <w:sz w:val="36"/>
          <w:szCs w:val="36"/>
          <w:rtl/>
        </w:rPr>
        <w:t xml:space="preserve">ة </w:t>
      </w:r>
      <w:r w:rsidRPr="00FD211F">
        <w:rPr>
          <w:sz w:val="36"/>
          <w:szCs w:val="36"/>
          <w:rtl/>
        </w:rPr>
        <w:t>مسأل</w:t>
      </w:r>
      <w:r w:rsidR="00EC7EDF" w:rsidRPr="00FD211F">
        <w:rPr>
          <w:sz w:val="36"/>
          <w:szCs w:val="36"/>
          <w:rtl/>
        </w:rPr>
        <w:t xml:space="preserve">ة </w:t>
      </w:r>
      <w:r w:rsidRPr="00FD211F">
        <w:rPr>
          <w:sz w:val="36"/>
          <w:szCs w:val="36"/>
          <w:rtl/>
        </w:rPr>
        <w:t>في مسائل علم الأصول بواسط</w:t>
      </w:r>
      <w:r w:rsidR="00EC7EDF" w:rsidRPr="00FD211F">
        <w:rPr>
          <w:sz w:val="36"/>
          <w:szCs w:val="36"/>
          <w:rtl/>
        </w:rPr>
        <w:t xml:space="preserve">ة </w:t>
      </w:r>
      <w:r w:rsidRPr="00FD211F">
        <w:rPr>
          <w:sz w:val="36"/>
          <w:szCs w:val="36"/>
          <w:rtl/>
        </w:rPr>
        <w:t>النذر.</w:t>
      </w:r>
    </w:p>
    <w:p w14:paraId="52DBA1A4" w14:textId="77777777" w:rsidR="00052BF2" w:rsidRPr="00FD211F" w:rsidRDefault="00052BF2" w:rsidP="009C58C8">
      <w:pPr>
        <w:ind w:left="0" w:firstLine="227"/>
        <w:jc w:val="both"/>
        <w:rPr>
          <w:sz w:val="36"/>
          <w:szCs w:val="36"/>
          <w:rtl/>
          <w:lang w:val="en-GB"/>
        </w:rPr>
      </w:pPr>
      <w:r w:rsidRPr="00FD211F">
        <w:rPr>
          <w:sz w:val="36"/>
          <w:szCs w:val="36"/>
          <w:rtl/>
        </w:rPr>
        <w:t>ثم ان منشأ صيرور</w:t>
      </w:r>
      <w:r w:rsidR="00EC7EDF" w:rsidRPr="00FD211F">
        <w:rPr>
          <w:sz w:val="36"/>
          <w:szCs w:val="36"/>
          <w:rtl/>
        </w:rPr>
        <w:t xml:space="preserve">ة </w:t>
      </w:r>
      <w:r w:rsidRPr="00FD211F">
        <w:rPr>
          <w:sz w:val="36"/>
          <w:szCs w:val="36"/>
          <w:rtl/>
        </w:rPr>
        <w:t>البحث عن الصحيح والاعم من المسائل الاصولي</w:t>
      </w:r>
      <w:r w:rsidR="00EC7EDF" w:rsidRPr="00FD211F">
        <w:rPr>
          <w:sz w:val="36"/>
          <w:szCs w:val="36"/>
          <w:rtl/>
        </w:rPr>
        <w:t xml:space="preserve">ة </w:t>
      </w:r>
      <w:r w:rsidRPr="00FD211F">
        <w:rPr>
          <w:sz w:val="36"/>
          <w:szCs w:val="36"/>
          <w:rtl/>
        </w:rPr>
        <w:t>هو ترتب الثمر</w:t>
      </w:r>
      <w:r w:rsidR="00EC7EDF" w:rsidRPr="00FD211F">
        <w:rPr>
          <w:sz w:val="36"/>
          <w:szCs w:val="36"/>
          <w:rtl/>
        </w:rPr>
        <w:t xml:space="preserve">ة </w:t>
      </w:r>
      <w:r w:rsidRPr="00FD211F">
        <w:rPr>
          <w:sz w:val="36"/>
          <w:szCs w:val="36"/>
          <w:rtl/>
        </w:rPr>
        <w:t>الأولى والثاني</w:t>
      </w:r>
      <w:r w:rsidR="00EC7EDF" w:rsidRPr="00FD211F">
        <w:rPr>
          <w:sz w:val="36"/>
          <w:szCs w:val="36"/>
          <w:rtl/>
        </w:rPr>
        <w:t>ة</w:t>
      </w:r>
      <w:r w:rsidR="00603323" w:rsidRPr="00FD211F">
        <w:rPr>
          <w:sz w:val="36"/>
          <w:szCs w:val="36"/>
          <w:rtl/>
        </w:rPr>
        <w:t xml:space="preserve">، </w:t>
      </w:r>
      <w:r w:rsidRPr="00FD211F">
        <w:rPr>
          <w:sz w:val="36"/>
          <w:szCs w:val="36"/>
          <w:rtl/>
        </w:rPr>
        <w:t>دون الثالث</w:t>
      </w:r>
      <w:r w:rsidR="00EC7EDF" w:rsidRPr="00FD211F">
        <w:rPr>
          <w:sz w:val="36"/>
          <w:szCs w:val="36"/>
          <w:rtl/>
        </w:rPr>
        <w:t xml:space="preserve">ة </w:t>
      </w:r>
      <w:r w:rsidRPr="00FD211F">
        <w:rPr>
          <w:sz w:val="36"/>
          <w:szCs w:val="36"/>
          <w:rtl/>
        </w:rPr>
        <w:t>والرابع</w:t>
      </w:r>
      <w:r w:rsidR="00EC7EDF" w:rsidRPr="00FD211F">
        <w:rPr>
          <w:sz w:val="36"/>
          <w:szCs w:val="36"/>
          <w:rtl/>
        </w:rPr>
        <w:t>ة</w:t>
      </w:r>
      <w:r w:rsidR="00603323" w:rsidRPr="00FD211F">
        <w:rPr>
          <w:sz w:val="36"/>
          <w:szCs w:val="36"/>
          <w:rtl/>
        </w:rPr>
        <w:t xml:space="preserve">، </w:t>
      </w:r>
      <w:r w:rsidRPr="00FD211F">
        <w:rPr>
          <w:sz w:val="36"/>
          <w:szCs w:val="36"/>
          <w:rtl/>
        </w:rPr>
        <w:t>أما الرابع</w:t>
      </w:r>
      <w:r w:rsidR="00EC7EDF" w:rsidRPr="00FD211F">
        <w:rPr>
          <w:sz w:val="36"/>
          <w:szCs w:val="36"/>
          <w:rtl/>
        </w:rPr>
        <w:t xml:space="preserve">ة </w:t>
      </w:r>
      <w:r w:rsidRPr="00FD211F">
        <w:rPr>
          <w:sz w:val="36"/>
          <w:szCs w:val="36"/>
          <w:rtl/>
        </w:rPr>
        <w:t>فقد اتضح وجهها واما الثالث</w:t>
      </w:r>
      <w:r w:rsidR="00EC7EDF" w:rsidRPr="00FD211F">
        <w:rPr>
          <w:sz w:val="36"/>
          <w:szCs w:val="36"/>
          <w:rtl/>
        </w:rPr>
        <w:t xml:space="preserve">ة </w:t>
      </w:r>
      <w:r w:rsidRPr="00FD211F">
        <w:rPr>
          <w:sz w:val="36"/>
          <w:szCs w:val="36"/>
          <w:rtl/>
        </w:rPr>
        <w:t>فلأنها لاتوجب كون البحث عن الصحيح والأعم من العناصر المشترك</w:t>
      </w:r>
      <w:r w:rsidR="00EC7EDF" w:rsidRPr="00FD211F">
        <w:rPr>
          <w:sz w:val="36"/>
          <w:szCs w:val="36"/>
          <w:rtl/>
        </w:rPr>
        <w:t xml:space="preserve">ة </w:t>
      </w:r>
      <w:r w:rsidRPr="00FD211F">
        <w:rPr>
          <w:sz w:val="36"/>
          <w:szCs w:val="36"/>
          <w:rtl/>
        </w:rPr>
        <w:t>في الاستنباط حيث انها تفيد في مقدار قليل من الأحكام الشرعي</w:t>
      </w:r>
      <w:r w:rsidR="00EC7EDF" w:rsidRPr="00FD211F">
        <w:rPr>
          <w:sz w:val="36"/>
          <w:szCs w:val="36"/>
          <w:rtl/>
        </w:rPr>
        <w:t>ة</w:t>
      </w:r>
      <w:r w:rsidR="00A61BAE" w:rsidRPr="00FD211F">
        <w:rPr>
          <w:sz w:val="36"/>
          <w:szCs w:val="36"/>
          <w:rtl/>
        </w:rPr>
        <w:t>.</w:t>
      </w:r>
    </w:p>
    <w:p w14:paraId="4ED4E805" w14:textId="77777777" w:rsidR="00052BF2" w:rsidRPr="00FD211F" w:rsidRDefault="00052BF2" w:rsidP="009C58C8">
      <w:pPr>
        <w:ind w:left="0" w:firstLine="227"/>
        <w:jc w:val="both"/>
        <w:rPr>
          <w:sz w:val="36"/>
          <w:szCs w:val="36"/>
          <w:rtl/>
        </w:rPr>
      </w:pPr>
      <w:r w:rsidRPr="00FD211F">
        <w:rPr>
          <w:sz w:val="36"/>
          <w:szCs w:val="36"/>
          <w:rtl/>
        </w:rPr>
        <w:t>هذا وقد ذكر في البحوث ان البحث عن الصحيح والأعم حيث يكون بحثا عن ظهور الفاظ مفرد</w:t>
      </w:r>
      <w:r w:rsidR="00EC7EDF" w:rsidRPr="00FD211F">
        <w:rPr>
          <w:sz w:val="36"/>
          <w:szCs w:val="36"/>
          <w:rtl/>
        </w:rPr>
        <w:t xml:space="preserve">ة </w:t>
      </w:r>
      <w:r w:rsidRPr="00FD211F">
        <w:rPr>
          <w:sz w:val="36"/>
          <w:szCs w:val="36"/>
          <w:rtl/>
        </w:rPr>
        <w:t>متشتت</w:t>
      </w:r>
      <w:r w:rsidR="00EC7EDF" w:rsidRPr="00FD211F">
        <w:rPr>
          <w:sz w:val="36"/>
          <w:szCs w:val="36"/>
          <w:rtl/>
        </w:rPr>
        <w:t xml:space="preserve">ة </w:t>
      </w:r>
      <w:r w:rsidRPr="00FD211F">
        <w:rPr>
          <w:sz w:val="36"/>
          <w:szCs w:val="36"/>
          <w:rtl/>
        </w:rPr>
        <w:t>كلفظ الصلا</w:t>
      </w:r>
      <w:r w:rsidR="00EC7EDF" w:rsidRPr="00FD211F">
        <w:rPr>
          <w:sz w:val="36"/>
          <w:szCs w:val="36"/>
          <w:rtl/>
        </w:rPr>
        <w:t xml:space="preserve">ة </w:t>
      </w:r>
      <w:r w:rsidRPr="00FD211F">
        <w:rPr>
          <w:sz w:val="36"/>
          <w:szCs w:val="36"/>
          <w:rtl/>
        </w:rPr>
        <w:t>والصوم ونحوهما</w:t>
      </w:r>
      <w:r w:rsidR="00603323" w:rsidRPr="00FD211F">
        <w:rPr>
          <w:sz w:val="36"/>
          <w:szCs w:val="36"/>
          <w:rtl/>
        </w:rPr>
        <w:t xml:space="preserve">، </w:t>
      </w:r>
      <w:r w:rsidRPr="00FD211F">
        <w:rPr>
          <w:sz w:val="36"/>
          <w:szCs w:val="36"/>
          <w:rtl/>
        </w:rPr>
        <w:t>فلايكون البحث عنه بحثا عن العناصر المشترك</w:t>
      </w:r>
      <w:r w:rsidR="00EC7EDF" w:rsidRPr="00FD211F">
        <w:rPr>
          <w:sz w:val="36"/>
          <w:szCs w:val="36"/>
          <w:rtl/>
        </w:rPr>
        <w:t xml:space="preserve">ة </w:t>
      </w:r>
      <w:r w:rsidRPr="00FD211F">
        <w:rPr>
          <w:sz w:val="36"/>
          <w:szCs w:val="36"/>
          <w:rtl/>
        </w:rPr>
        <w:t>للاستنباط</w:t>
      </w:r>
      <w:r w:rsidR="009C58C8" w:rsidRPr="00FD211F">
        <w:rPr>
          <w:rStyle w:val="a6"/>
          <w:sz w:val="36"/>
          <w:szCs w:val="36"/>
          <w:rtl/>
        </w:rPr>
        <w:t>(</w:t>
      </w:r>
      <w:r w:rsidR="009C58C8" w:rsidRPr="00FD211F">
        <w:rPr>
          <w:rStyle w:val="a6"/>
          <w:sz w:val="36"/>
          <w:szCs w:val="36"/>
          <w:rtl/>
        </w:rPr>
        <w:footnoteReference w:id="425"/>
      </w:r>
      <w:r w:rsidR="009C58C8" w:rsidRPr="00FD211F">
        <w:rPr>
          <w:rStyle w:val="a6"/>
          <w:sz w:val="36"/>
          <w:szCs w:val="36"/>
          <w:rtl/>
        </w:rPr>
        <w:t>)</w:t>
      </w:r>
      <w:r w:rsidRPr="00FD211F">
        <w:rPr>
          <w:sz w:val="36"/>
          <w:szCs w:val="36"/>
          <w:rtl/>
        </w:rPr>
        <w:t>؛ ولكن الظاهر انه بحث عن ما يمكن ان تكون قاعد</w:t>
      </w:r>
      <w:r w:rsidR="00EC7EDF" w:rsidRPr="00FD211F">
        <w:rPr>
          <w:sz w:val="36"/>
          <w:szCs w:val="36"/>
          <w:rtl/>
        </w:rPr>
        <w:t xml:space="preserve">ة </w:t>
      </w:r>
      <w:r w:rsidRPr="00FD211F">
        <w:rPr>
          <w:sz w:val="36"/>
          <w:szCs w:val="36"/>
          <w:rtl/>
        </w:rPr>
        <w:t>عام</w:t>
      </w:r>
      <w:r w:rsidR="00EC7EDF" w:rsidRPr="00FD211F">
        <w:rPr>
          <w:sz w:val="36"/>
          <w:szCs w:val="36"/>
          <w:rtl/>
        </w:rPr>
        <w:t xml:space="preserve">ة </w:t>
      </w:r>
      <w:r w:rsidRPr="00FD211F">
        <w:rPr>
          <w:sz w:val="36"/>
          <w:szCs w:val="36"/>
          <w:rtl/>
        </w:rPr>
        <w:t>سيال</w:t>
      </w:r>
      <w:r w:rsidR="00EC7EDF" w:rsidRPr="00FD211F">
        <w:rPr>
          <w:sz w:val="36"/>
          <w:szCs w:val="36"/>
          <w:rtl/>
        </w:rPr>
        <w:t xml:space="preserve">ة </w:t>
      </w:r>
      <w:r w:rsidRPr="00FD211F">
        <w:rPr>
          <w:sz w:val="36"/>
          <w:szCs w:val="36"/>
          <w:rtl/>
        </w:rPr>
        <w:t>تفيد في كثير من مجالات الاستنباط</w:t>
      </w:r>
      <w:r w:rsidR="00603323" w:rsidRPr="00FD211F">
        <w:rPr>
          <w:sz w:val="36"/>
          <w:szCs w:val="36"/>
          <w:rtl/>
        </w:rPr>
        <w:t xml:space="preserve">، </w:t>
      </w:r>
      <w:r w:rsidRPr="00FD211F">
        <w:rPr>
          <w:sz w:val="36"/>
          <w:szCs w:val="36"/>
          <w:rtl/>
        </w:rPr>
        <w:t>فالظاهر ان البحث عن الصحيح والأعم يكون داخلا في مباحث علم الأصول.</w:t>
      </w:r>
    </w:p>
    <w:p w14:paraId="58D5E0AE" w14:textId="77777777" w:rsidR="00052BF2" w:rsidRPr="00FD211F" w:rsidRDefault="00052BF2" w:rsidP="009C58C8">
      <w:pPr>
        <w:pStyle w:val="3"/>
        <w:ind w:firstLine="227"/>
        <w:jc w:val="both"/>
        <w:rPr>
          <w:rtl/>
        </w:rPr>
      </w:pPr>
      <w:bookmarkStart w:id="385" w:name="_Toc192092928"/>
      <w:bookmarkStart w:id="386" w:name="_Toc223890407"/>
      <w:r w:rsidRPr="00FD211F">
        <w:rPr>
          <w:rtl/>
        </w:rPr>
        <w:t>ادل</w:t>
      </w:r>
      <w:r w:rsidR="00EC7EDF" w:rsidRPr="00FD211F">
        <w:rPr>
          <w:rtl/>
        </w:rPr>
        <w:t xml:space="preserve">ة </w:t>
      </w:r>
      <w:r w:rsidRPr="00FD211F">
        <w:rPr>
          <w:rtl/>
        </w:rPr>
        <w:t>القول بوضع اسماء العبادات للصحيح</w:t>
      </w:r>
      <w:bookmarkEnd w:id="385"/>
      <w:bookmarkEnd w:id="386"/>
    </w:p>
    <w:p w14:paraId="20195D63" w14:textId="77777777" w:rsidR="00052BF2" w:rsidRPr="00FD211F" w:rsidRDefault="00052BF2" w:rsidP="009C58C8">
      <w:pPr>
        <w:ind w:left="0" w:firstLine="227"/>
        <w:jc w:val="both"/>
        <w:rPr>
          <w:sz w:val="36"/>
          <w:szCs w:val="36"/>
          <w:rtl/>
        </w:rPr>
      </w:pPr>
      <w:r w:rsidRPr="00FD211F">
        <w:rPr>
          <w:sz w:val="36"/>
          <w:szCs w:val="36"/>
          <w:rtl/>
        </w:rPr>
        <w:t>يستدل على وضع اسماء العبادات للصحيح بعد</w:t>
      </w:r>
      <w:r w:rsidR="00EC7EDF" w:rsidRPr="00FD211F">
        <w:rPr>
          <w:sz w:val="36"/>
          <w:szCs w:val="36"/>
          <w:rtl/>
        </w:rPr>
        <w:t xml:space="preserve">ة </w:t>
      </w:r>
      <w:r w:rsidRPr="00FD211F">
        <w:rPr>
          <w:sz w:val="36"/>
          <w:szCs w:val="36"/>
          <w:rtl/>
        </w:rPr>
        <w:t>وجوه:</w:t>
      </w:r>
    </w:p>
    <w:p w14:paraId="08206135" w14:textId="77777777" w:rsidR="00052BF2" w:rsidRPr="00FD211F" w:rsidRDefault="00052BF2" w:rsidP="009C58C8">
      <w:pPr>
        <w:ind w:left="0" w:firstLine="227"/>
        <w:jc w:val="both"/>
        <w:rPr>
          <w:sz w:val="36"/>
          <w:szCs w:val="36"/>
          <w:rtl/>
          <w:lang w:val="en-GB"/>
        </w:rPr>
      </w:pPr>
      <w:r w:rsidRPr="00FD211F">
        <w:rPr>
          <w:sz w:val="36"/>
          <w:szCs w:val="36"/>
          <w:rtl/>
        </w:rPr>
        <w:t>1- ما ورد من ان الصلا</w:t>
      </w:r>
      <w:r w:rsidR="00EC7EDF" w:rsidRPr="00FD211F">
        <w:rPr>
          <w:sz w:val="36"/>
          <w:szCs w:val="36"/>
          <w:rtl/>
        </w:rPr>
        <w:t xml:space="preserve">ة </w:t>
      </w:r>
      <w:r w:rsidRPr="00FD211F">
        <w:rPr>
          <w:sz w:val="36"/>
          <w:szCs w:val="36"/>
          <w:rtl/>
        </w:rPr>
        <w:t>تنهى عن الفحشاء والمنكر وانها قربان كل تقي</w:t>
      </w:r>
      <w:r w:rsidR="00603323" w:rsidRPr="00FD211F">
        <w:rPr>
          <w:sz w:val="36"/>
          <w:szCs w:val="36"/>
          <w:rtl/>
        </w:rPr>
        <w:t xml:space="preserve">، </w:t>
      </w:r>
      <w:r w:rsidRPr="00FD211F">
        <w:rPr>
          <w:sz w:val="36"/>
          <w:szCs w:val="36"/>
          <w:rtl/>
        </w:rPr>
        <w:t>بتقريب انه حيث لايترتب هذا الأثر على المأتي به اذا كان فاسدا</w:t>
      </w:r>
      <w:r w:rsidR="00603323" w:rsidRPr="00FD211F">
        <w:rPr>
          <w:sz w:val="36"/>
          <w:szCs w:val="36"/>
          <w:rtl/>
        </w:rPr>
        <w:t xml:space="preserve">، </w:t>
      </w:r>
      <w:r w:rsidRPr="00FD211F">
        <w:rPr>
          <w:sz w:val="36"/>
          <w:szCs w:val="36"/>
          <w:rtl/>
        </w:rPr>
        <w:t>فيدور امره بين ان لايكون صلا</w:t>
      </w:r>
      <w:r w:rsidR="00EC7EDF" w:rsidRPr="00FD211F">
        <w:rPr>
          <w:sz w:val="36"/>
          <w:szCs w:val="36"/>
          <w:rtl/>
        </w:rPr>
        <w:t xml:space="preserve">ة </w:t>
      </w:r>
      <w:r w:rsidRPr="00FD211F">
        <w:rPr>
          <w:sz w:val="36"/>
          <w:szCs w:val="36"/>
          <w:rtl/>
        </w:rPr>
        <w:t>فيكون انتفاء الاثر فيه من باب التخصص او يكون صلا</w:t>
      </w:r>
      <w:r w:rsidR="00EC7EDF" w:rsidRPr="00FD211F">
        <w:rPr>
          <w:sz w:val="36"/>
          <w:szCs w:val="36"/>
          <w:rtl/>
        </w:rPr>
        <w:t xml:space="preserve">ة </w:t>
      </w:r>
      <w:r w:rsidRPr="00FD211F">
        <w:rPr>
          <w:sz w:val="36"/>
          <w:szCs w:val="36"/>
          <w:rtl/>
        </w:rPr>
        <w:t>فيكون انتفاء الأثر فيه من باب التخصيص</w:t>
      </w:r>
      <w:r w:rsidR="00603323" w:rsidRPr="00FD211F">
        <w:rPr>
          <w:sz w:val="36"/>
          <w:szCs w:val="36"/>
          <w:rtl/>
        </w:rPr>
        <w:t xml:space="preserve">، </w:t>
      </w:r>
      <w:r w:rsidRPr="00FD211F">
        <w:rPr>
          <w:sz w:val="36"/>
          <w:szCs w:val="36"/>
          <w:rtl/>
        </w:rPr>
        <w:t>وحينئذ فيجري اصال</w:t>
      </w:r>
      <w:r w:rsidR="00EC7EDF" w:rsidRPr="00FD211F">
        <w:rPr>
          <w:sz w:val="36"/>
          <w:szCs w:val="36"/>
          <w:rtl/>
        </w:rPr>
        <w:t xml:space="preserve">ة </w:t>
      </w:r>
      <w:r w:rsidRPr="00FD211F">
        <w:rPr>
          <w:sz w:val="36"/>
          <w:szCs w:val="36"/>
          <w:rtl/>
        </w:rPr>
        <w:t>عدم التخصيص لإثبات التخصص</w:t>
      </w:r>
      <w:r w:rsidR="00603323" w:rsidRPr="00FD211F">
        <w:rPr>
          <w:sz w:val="36"/>
          <w:szCs w:val="36"/>
          <w:rtl/>
          <w:lang w:val="en-GB"/>
        </w:rPr>
        <w:t xml:space="preserve">، </w:t>
      </w:r>
      <w:r w:rsidRPr="00FD211F">
        <w:rPr>
          <w:sz w:val="36"/>
          <w:szCs w:val="36"/>
          <w:rtl/>
          <w:lang w:val="en-GB"/>
        </w:rPr>
        <w:t>كما لو ورد في الخطاب أنه يجب اكرام العلماء ثم علم بعدم وجوب اكرام زيد ودار أمره بين كونه جاهلا او عالما</w:t>
      </w:r>
      <w:r w:rsidR="00603323" w:rsidRPr="00FD211F">
        <w:rPr>
          <w:sz w:val="36"/>
          <w:szCs w:val="36"/>
          <w:rtl/>
          <w:lang w:val="en-GB"/>
        </w:rPr>
        <w:t xml:space="preserve">، </w:t>
      </w:r>
      <w:r w:rsidRPr="00FD211F">
        <w:rPr>
          <w:sz w:val="36"/>
          <w:szCs w:val="36"/>
          <w:rtl/>
          <w:lang w:val="en-GB"/>
        </w:rPr>
        <w:t>فتجري اصال</w:t>
      </w:r>
      <w:r w:rsidR="00EC7EDF" w:rsidRPr="00FD211F">
        <w:rPr>
          <w:sz w:val="36"/>
          <w:szCs w:val="36"/>
          <w:rtl/>
          <w:lang w:val="en-GB"/>
        </w:rPr>
        <w:t xml:space="preserve">ة </w:t>
      </w:r>
      <w:r w:rsidRPr="00FD211F">
        <w:rPr>
          <w:sz w:val="36"/>
          <w:szCs w:val="36"/>
          <w:rtl/>
          <w:lang w:val="en-GB"/>
        </w:rPr>
        <w:t>العموم ويثبت بها كونه جاهلا فيترتب عليه أحكام الجاهل.</w:t>
      </w:r>
    </w:p>
    <w:p w14:paraId="5D3DD13E" w14:textId="77777777" w:rsidR="00052BF2" w:rsidRPr="00FD211F" w:rsidRDefault="00052BF2" w:rsidP="009C58C8">
      <w:pPr>
        <w:ind w:left="0" w:firstLine="227"/>
        <w:jc w:val="both"/>
        <w:rPr>
          <w:sz w:val="36"/>
          <w:szCs w:val="36"/>
          <w:rtl/>
        </w:rPr>
      </w:pPr>
      <w:r w:rsidRPr="00FD211F">
        <w:rPr>
          <w:sz w:val="36"/>
          <w:szCs w:val="36"/>
          <w:rtl/>
        </w:rPr>
        <w:t xml:space="preserve">ولكن يرد عليه </w:t>
      </w:r>
      <w:r w:rsidRPr="00FD211F">
        <w:rPr>
          <w:b/>
          <w:bCs/>
          <w:sz w:val="36"/>
          <w:szCs w:val="36"/>
          <w:rtl/>
        </w:rPr>
        <w:t>أولا</w:t>
      </w:r>
      <w:r w:rsidRPr="00FD211F">
        <w:rPr>
          <w:sz w:val="36"/>
          <w:szCs w:val="36"/>
          <w:rtl/>
        </w:rPr>
        <w:t>: انه لادليل على انتفاء مثل هذه الآثار عن صلا</w:t>
      </w:r>
      <w:r w:rsidR="00EC7EDF" w:rsidRPr="00FD211F">
        <w:rPr>
          <w:sz w:val="36"/>
          <w:szCs w:val="36"/>
          <w:rtl/>
        </w:rPr>
        <w:t xml:space="preserve">ة </w:t>
      </w:r>
      <w:r w:rsidRPr="00FD211F">
        <w:rPr>
          <w:sz w:val="36"/>
          <w:szCs w:val="36"/>
          <w:rtl/>
        </w:rPr>
        <w:t>فاسد</w:t>
      </w:r>
      <w:r w:rsidR="00EC7EDF" w:rsidRPr="00FD211F">
        <w:rPr>
          <w:sz w:val="36"/>
          <w:szCs w:val="36"/>
          <w:rtl/>
        </w:rPr>
        <w:t xml:space="preserve">ة </w:t>
      </w:r>
      <w:r w:rsidRPr="00FD211F">
        <w:rPr>
          <w:sz w:val="36"/>
          <w:szCs w:val="36"/>
          <w:rtl/>
        </w:rPr>
        <w:t>واقعا اذا أتى بها المكلف عن عذر</w:t>
      </w:r>
      <w:r w:rsidR="00603323" w:rsidRPr="00FD211F">
        <w:rPr>
          <w:sz w:val="36"/>
          <w:szCs w:val="36"/>
          <w:rtl/>
        </w:rPr>
        <w:t xml:space="preserve">، </w:t>
      </w:r>
      <w:r w:rsidRPr="00FD211F">
        <w:rPr>
          <w:sz w:val="36"/>
          <w:szCs w:val="36"/>
          <w:rtl/>
        </w:rPr>
        <w:t>كما لو نسي الركن في الصلا</w:t>
      </w:r>
      <w:r w:rsidR="00EC7EDF" w:rsidRPr="00FD211F">
        <w:rPr>
          <w:sz w:val="36"/>
          <w:szCs w:val="36"/>
          <w:rtl/>
        </w:rPr>
        <w:t xml:space="preserve">ة </w:t>
      </w:r>
      <w:r w:rsidR="009977FE" w:rsidRPr="00FD211F">
        <w:rPr>
          <w:sz w:val="36"/>
          <w:szCs w:val="36"/>
          <w:rtl/>
        </w:rPr>
        <w:t>و</w:t>
      </w:r>
      <w:r w:rsidR="008D7B3D" w:rsidRPr="00FD211F">
        <w:rPr>
          <w:sz w:val="36"/>
          <w:szCs w:val="36"/>
          <w:rtl/>
        </w:rPr>
        <w:t xml:space="preserve"> لم‌</w:t>
      </w:r>
      <w:r w:rsidR="003A699C" w:rsidRPr="00FD211F">
        <w:rPr>
          <w:sz w:val="36"/>
          <w:szCs w:val="36"/>
          <w:rtl/>
        </w:rPr>
        <w:t>يتذكّر الى ان خرج الوقت</w:t>
      </w:r>
      <w:r w:rsidR="00603323" w:rsidRPr="00FD211F">
        <w:rPr>
          <w:sz w:val="36"/>
          <w:szCs w:val="36"/>
          <w:rtl/>
        </w:rPr>
        <w:t xml:space="preserve">، </w:t>
      </w:r>
      <w:r w:rsidR="003A699C" w:rsidRPr="00FD211F">
        <w:rPr>
          <w:sz w:val="36"/>
          <w:szCs w:val="36"/>
          <w:rtl/>
        </w:rPr>
        <w:t xml:space="preserve">فمن </w:t>
      </w:r>
      <w:r w:rsidRPr="00FD211F">
        <w:rPr>
          <w:sz w:val="36"/>
          <w:szCs w:val="36"/>
          <w:rtl/>
        </w:rPr>
        <w:t>توضّأ بماء نجس استنادا الى قاعد</w:t>
      </w:r>
      <w:r w:rsidR="00EC7EDF" w:rsidRPr="00FD211F">
        <w:rPr>
          <w:sz w:val="36"/>
          <w:szCs w:val="36"/>
          <w:rtl/>
        </w:rPr>
        <w:t xml:space="preserve">ة </w:t>
      </w:r>
      <w:r w:rsidRPr="00FD211F">
        <w:rPr>
          <w:sz w:val="36"/>
          <w:szCs w:val="36"/>
          <w:rtl/>
        </w:rPr>
        <w:t>الطهار</w:t>
      </w:r>
      <w:r w:rsidR="00EC7EDF" w:rsidRPr="00FD211F">
        <w:rPr>
          <w:sz w:val="36"/>
          <w:szCs w:val="36"/>
          <w:rtl/>
        </w:rPr>
        <w:t xml:space="preserve">ة </w:t>
      </w:r>
      <w:r w:rsidRPr="00FD211F">
        <w:rPr>
          <w:sz w:val="36"/>
          <w:szCs w:val="36"/>
          <w:rtl/>
        </w:rPr>
        <w:t>فلم يعلم اختلاف صلاته عن الصلا</w:t>
      </w:r>
      <w:r w:rsidR="00EC7EDF" w:rsidRPr="00FD211F">
        <w:rPr>
          <w:sz w:val="36"/>
          <w:szCs w:val="36"/>
          <w:rtl/>
        </w:rPr>
        <w:t xml:space="preserve">ة </w:t>
      </w:r>
      <w:r w:rsidRPr="00FD211F">
        <w:rPr>
          <w:sz w:val="36"/>
          <w:szCs w:val="36"/>
          <w:rtl/>
        </w:rPr>
        <w:t>بماء طاهر بلحاظ ترتب أثر النهي عن الفحشاء والمنكر او التقرب الى الله سبحانه.</w:t>
      </w:r>
    </w:p>
    <w:p w14:paraId="2791310F" w14:textId="77777777" w:rsidR="00052BF2"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ان مبنى اصال</w:t>
      </w:r>
      <w:r w:rsidR="00EC7EDF" w:rsidRPr="00FD211F">
        <w:rPr>
          <w:sz w:val="36"/>
          <w:szCs w:val="36"/>
          <w:rtl/>
        </w:rPr>
        <w:t xml:space="preserve">ة </w:t>
      </w:r>
      <w:r w:rsidRPr="00FD211F">
        <w:rPr>
          <w:sz w:val="36"/>
          <w:szCs w:val="36"/>
          <w:rtl/>
        </w:rPr>
        <w:t xml:space="preserve">عدم التخصيص لإثبات التخصص غير تام في </w:t>
      </w:r>
      <w:commentRangeStart w:id="387"/>
      <w:r w:rsidRPr="00FD211F">
        <w:rPr>
          <w:sz w:val="36"/>
          <w:szCs w:val="36"/>
          <w:rtl/>
        </w:rPr>
        <w:t>نفسه</w:t>
      </w:r>
      <w:commentRangeEnd w:id="387"/>
      <w:r w:rsidR="000D335C" w:rsidRPr="00FD211F">
        <w:rPr>
          <w:rStyle w:val="ab"/>
          <w:sz w:val="36"/>
          <w:szCs w:val="36"/>
          <w:rtl/>
        </w:rPr>
        <w:commentReference w:id="387"/>
      </w:r>
      <w:r w:rsidR="00603323" w:rsidRPr="00FD211F">
        <w:rPr>
          <w:sz w:val="36"/>
          <w:szCs w:val="36"/>
          <w:rtl/>
        </w:rPr>
        <w:t xml:space="preserve">، </w:t>
      </w:r>
      <w:r w:rsidRPr="00FD211F">
        <w:rPr>
          <w:sz w:val="36"/>
          <w:szCs w:val="36"/>
          <w:rtl/>
        </w:rPr>
        <w:t>لعدم إحراز بناء العقلاء على مثله بعد العلم بانتفاء الحكم عن الموضوع وان شك في انه هل يكون بنحو التخصيص او التخصص.</w:t>
      </w:r>
    </w:p>
    <w:p w14:paraId="0813D7C2" w14:textId="77777777" w:rsidR="000C5BBA" w:rsidRPr="00FD211F" w:rsidRDefault="00052BF2" w:rsidP="009C58C8">
      <w:pPr>
        <w:ind w:left="0" w:firstLine="227"/>
        <w:jc w:val="both"/>
        <w:rPr>
          <w:sz w:val="36"/>
          <w:szCs w:val="36"/>
          <w:rtl/>
        </w:rPr>
      </w:pPr>
      <w:r w:rsidRPr="00FD211F">
        <w:rPr>
          <w:sz w:val="36"/>
          <w:szCs w:val="36"/>
          <w:rtl/>
        </w:rPr>
        <w:t xml:space="preserve">2- ما ورد من مثل قوله </w:t>
      </w:r>
      <w:r w:rsidR="003A699C" w:rsidRPr="00FD211F">
        <w:rPr>
          <w:sz w:val="36"/>
          <w:szCs w:val="36"/>
          <w:rtl/>
        </w:rPr>
        <w:t>"</w:t>
      </w:r>
      <w:r w:rsidRPr="00FD211F">
        <w:rPr>
          <w:sz w:val="36"/>
          <w:szCs w:val="36"/>
          <w:rtl/>
        </w:rPr>
        <w:t>لاصلا</w:t>
      </w:r>
      <w:r w:rsidR="00EC7EDF" w:rsidRPr="00FD211F">
        <w:rPr>
          <w:sz w:val="36"/>
          <w:szCs w:val="36"/>
          <w:rtl/>
        </w:rPr>
        <w:t xml:space="preserve">ة </w:t>
      </w:r>
      <w:r w:rsidRPr="00FD211F">
        <w:rPr>
          <w:sz w:val="36"/>
          <w:szCs w:val="36"/>
          <w:rtl/>
        </w:rPr>
        <w:t>الا بفاتح</w:t>
      </w:r>
      <w:r w:rsidR="00EC7EDF" w:rsidRPr="00FD211F">
        <w:rPr>
          <w:sz w:val="36"/>
          <w:szCs w:val="36"/>
          <w:rtl/>
        </w:rPr>
        <w:t xml:space="preserve">ة </w:t>
      </w:r>
      <w:r w:rsidRPr="00FD211F">
        <w:rPr>
          <w:sz w:val="36"/>
          <w:szCs w:val="36"/>
          <w:rtl/>
        </w:rPr>
        <w:t>الكتاب</w:t>
      </w:r>
      <w:r w:rsidR="003A699C" w:rsidRPr="00FD211F">
        <w:rPr>
          <w:sz w:val="36"/>
          <w:szCs w:val="36"/>
          <w:rtl/>
        </w:rPr>
        <w:t>"</w:t>
      </w:r>
      <w:r w:rsidRPr="00FD211F">
        <w:rPr>
          <w:sz w:val="36"/>
          <w:szCs w:val="36"/>
          <w:rtl/>
        </w:rPr>
        <w:t xml:space="preserve"> او قوله </w:t>
      </w:r>
      <w:r w:rsidR="003A699C" w:rsidRPr="00FD211F">
        <w:rPr>
          <w:sz w:val="36"/>
          <w:szCs w:val="36"/>
          <w:rtl/>
        </w:rPr>
        <w:t>"</w:t>
      </w:r>
      <w:r w:rsidRPr="00FD211F">
        <w:rPr>
          <w:sz w:val="36"/>
          <w:szCs w:val="36"/>
          <w:rtl/>
        </w:rPr>
        <w:t>لاصلا</w:t>
      </w:r>
      <w:r w:rsidR="00EC7EDF" w:rsidRPr="00FD211F">
        <w:rPr>
          <w:sz w:val="36"/>
          <w:szCs w:val="36"/>
          <w:rtl/>
        </w:rPr>
        <w:t xml:space="preserve">ة </w:t>
      </w:r>
      <w:r w:rsidRPr="00FD211F">
        <w:rPr>
          <w:sz w:val="36"/>
          <w:szCs w:val="36"/>
          <w:rtl/>
        </w:rPr>
        <w:t>لمن</w:t>
      </w:r>
      <w:r w:rsidR="008D7B3D" w:rsidRPr="00FD211F">
        <w:rPr>
          <w:sz w:val="36"/>
          <w:szCs w:val="36"/>
          <w:rtl/>
        </w:rPr>
        <w:t xml:space="preserve"> لم‌</w:t>
      </w:r>
      <w:r w:rsidRPr="00FD211F">
        <w:rPr>
          <w:sz w:val="36"/>
          <w:szCs w:val="36"/>
          <w:rtl/>
        </w:rPr>
        <w:t>يقم صلبه في الصلا</w:t>
      </w:r>
      <w:r w:rsidR="00EC7EDF" w:rsidRPr="00FD211F">
        <w:rPr>
          <w:sz w:val="36"/>
          <w:szCs w:val="36"/>
          <w:rtl/>
        </w:rPr>
        <w:t>ة</w:t>
      </w:r>
      <w:r w:rsidR="003A699C" w:rsidRPr="00FD211F">
        <w:rPr>
          <w:sz w:val="36"/>
          <w:szCs w:val="36"/>
          <w:rtl/>
        </w:rPr>
        <w:t>"</w:t>
      </w:r>
      <w:r w:rsidRPr="00FD211F">
        <w:rPr>
          <w:sz w:val="36"/>
          <w:szCs w:val="36"/>
          <w:rtl/>
        </w:rPr>
        <w:t xml:space="preserve"> فانه بضم إلغاء الخصوصي</w:t>
      </w:r>
      <w:r w:rsidR="00EC7EDF" w:rsidRPr="00FD211F">
        <w:rPr>
          <w:sz w:val="36"/>
          <w:szCs w:val="36"/>
          <w:rtl/>
        </w:rPr>
        <w:t xml:space="preserve">ة </w:t>
      </w:r>
      <w:r w:rsidRPr="00FD211F">
        <w:rPr>
          <w:sz w:val="36"/>
          <w:szCs w:val="36"/>
          <w:rtl/>
        </w:rPr>
        <w:t>عنهما فيستفاد من ذلك عدم تحقق الصلا</w:t>
      </w:r>
      <w:r w:rsidR="00EC7EDF" w:rsidRPr="00FD211F">
        <w:rPr>
          <w:sz w:val="36"/>
          <w:szCs w:val="36"/>
          <w:rtl/>
        </w:rPr>
        <w:t xml:space="preserve">ة </w:t>
      </w:r>
      <w:r w:rsidRPr="00FD211F">
        <w:rPr>
          <w:sz w:val="36"/>
          <w:szCs w:val="36"/>
          <w:rtl/>
        </w:rPr>
        <w:t>مع الإخلال بالأجزاء والشرائط</w:t>
      </w:r>
      <w:r w:rsidR="00603323" w:rsidRPr="00FD211F">
        <w:rPr>
          <w:sz w:val="36"/>
          <w:szCs w:val="36"/>
          <w:rtl/>
          <w:lang w:val="en-GB"/>
        </w:rPr>
        <w:t xml:space="preserve">، </w:t>
      </w:r>
      <w:r w:rsidRPr="00FD211F">
        <w:rPr>
          <w:sz w:val="36"/>
          <w:szCs w:val="36"/>
          <w:rtl/>
        </w:rPr>
        <w:t>ولايرد عليه عدم إخلال ترك القراء</w:t>
      </w:r>
      <w:r w:rsidR="00EC7EDF" w:rsidRPr="00FD211F">
        <w:rPr>
          <w:sz w:val="36"/>
          <w:szCs w:val="36"/>
          <w:rtl/>
        </w:rPr>
        <w:t xml:space="preserve">ة </w:t>
      </w:r>
      <w:r w:rsidRPr="00FD211F">
        <w:rPr>
          <w:sz w:val="36"/>
          <w:szCs w:val="36"/>
          <w:rtl/>
        </w:rPr>
        <w:t>او إقام</w:t>
      </w:r>
      <w:r w:rsidR="00EC7EDF" w:rsidRPr="00FD211F">
        <w:rPr>
          <w:sz w:val="36"/>
          <w:szCs w:val="36"/>
          <w:rtl/>
        </w:rPr>
        <w:t xml:space="preserve">ة </w:t>
      </w:r>
      <w:r w:rsidRPr="00FD211F">
        <w:rPr>
          <w:sz w:val="36"/>
          <w:szCs w:val="36"/>
          <w:rtl/>
        </w:rPr>
        <w:t>الصلب نسيانا في صح</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بمقتضى حديث لاتعاد</w:t>
      </w:r>
      <w:r w:rsidR="00603323" w:rsidRPr="00FD211F">
        <w:rPr>
          <w:sz w:val="36"/>
          <w:szCs w:val="36"/>
          <w:rtl/>
        </w:rPr>
        <w:t xml:space="preserve">، </w:t>
      </w:r>
      <w:r w:rsidRPr="00FD211F">
        <w:rPr>
          <w:sz w:val="36"/>
          <w:szCs w:val="36"/>
          <w:rtl/>
        </w:rPr>
        <w:t>حيث انه لاينافي مسلك الصحيحي</w:t>
      </w:r>
      <w:r w:rsidR="00603323" w:rsidRPr="00FD211F">
        <w:rPr>
          <w:sz w:val="36"/>
          <w:szCs w:val="36"/>
          <w:rtl/>
        </w:rPr>
        <w:t xml:space="preserve">، </w:t>
      </w:r>
      <w:r w:rsidRPr="00FD211F">
        <w:rPr>
          <w:sz w:val="36"/>
          <w:szCs w:val="36"/>
          <w:rtl/>
        </w:rPr>
        <w:t>فانه يكفي ظهور هذه الخطابات في انتفاء مسمى الصلا</w:t>
      </w:r>
      <w:r w:rsidR="00EC7EDF" w:rsidRPr="00FD211F">
        <w:rPr>
          <w:sz w:val="36"/>
          <w:szCs w:val="36"/>
          <w:rtl/>
        </w:rPr>
        <w:t xml:space="preserve">ة </w:t>
      </w:r>
      <w:r w:rsidRPr="00FD211F">
        <w:rPr>
          <w:sz w:val="36"/>
          <w:szCs w:val="36"/>
          <w:rtl/>
        </w:rPr>
        <w:t>عند الإخلال بهما عمدا</w:t>
      </w:r>
      <w:r w:rsidR="00603323" w:rsidRPr="00FD211F">
        <w:rPr>
          <w:sz w:val="36"/>
          <w:szCs w:val="36"/>
          <w:rtl/>
        </w:rPr>
        <w:t xml:space="preserve">، </w:t>
      </w:r>
      <w:r w:rsidRPr="00FD211F">
        <w:rPr>
          <w:sz w:val="36"/>
          <w:szCs w:val="36"/>
          <w:rtl/>
        </w:rPr>
        <w:t xml:space="preserve">وأما عدم الصدق على فاقد الاركان فيمكن ان يستدل بمثل قوله </w:t>
      </w:r>
      <w:r w:rsidR="003A699C" w:rsidRPr="00FD211F">
        <w:rPr>
          <w:sz w:val="36"/>
          <w:szCs w:val="36"/>
          <w:rtl/>
        </w:rPr>
        <w:t>"</w:t>
      </w:r>
      <w:r w:rsidRPr="00FD211F">
        <w:rPr>
          <w:sz w:val="36"/>
          <w:szCs w:val="36"/>
          <w:rtl/>
        </w:rPr>
        <w:t>لاصلا</w:t>
      </w:r>
      <w:r w:rsidR="00EC7EDF" w:rsidRPr="00FD211F">
        <w:rPr>
          <w:sz w:val="36"/>
          <w:szCs w:val="36"/>
          <w:rtl/>
        </w:rPr>
        <w:t xml:space="preserve">ة </w:t>
      </w:r>
      <w:r w:rsidRPr="00FD211F">
        <w:rPr>
          <w:sz w:val="36"/>
          <w:szCs w:val="36"/>
          <w:rtl/>
        </w:rPr>
        <w:t>الا بطهور</w:t>
      </w:r>
      <w:r w:rsidR="003A699C" w:rsidRPr="00FD211F">
        <w:rPr>
          <w:sz w:val="36"/>
          <w:szCs w:val="36"/>
          <w:rtl/>
        </w:rPr>
        <w:t>"</w:t>
      </w:r>
      <w:r w:rsidR="00532274" w:rsidRPr="00FD211F">
        <w:rPr>
          <w:sz w:val="36"/>
          <w:szCs w:val="36"/>
          <w:rtl/>
        </w:rPr>
        <w:t xml:space="preserve"> وقوله"</w:t>
      </w:r>
      <w:r w:rsidRPr="00FD211F">
        <w:rPr>
          <w:sz w:val="36"/>
          <w:szCs w:val="36"/>
          <w:rtl/>
        </w:rPr>
        <w:t xml:space="preserve"> الصلا</w:t>
      </w:r>
      <w:r w:rsidR="00EC7EDF" w:rsidRPr="00FD211F">
        <w:rPr>
          <w:sz w:val="36"/>
          <w:szCs w:val="36"/>
          <w:rtl/>
        </w:rPr>
        <w:t xml:space="preserve">ة </w:t>
      </w:r>
      <w:r w:rsidRPr="00FD211F">
        <w:rPr>
          <w:sz w:val="36"/>
          <w:szCs w:val="36"/>
          <w:rtl/>
        </w:rPr>
        <w:t xml:space="preserve">ثلاث اثلاث ثلث طهور وثلث ركوع وثلث سجود </w:t>
      </w:r>
      <w:r w:rsidR="00532274" w:rsidRPr="00FD211F">
        <w:rPr>
          <w:sz w:val="36"/>
          <w:szCs w:val="36"/>
          <w:rtl/>
        </w:rPr>
        <w:t>"</w:t>
      </w:r>
      <w:r w:rsidRPr="00FD211F">
        <w:rPr>
          <w:sz w:val="36"/>
          <w:szCs w:val="36"/>
          <w:rtl/>
        </w:rPr>
        <w:t xml:space="preserve">وقوله </w:t>
      </w:r>
      <w:r w:rsidR="00532274" w:rsidRPr="00FD211F">
        <w:rPr>
          <w:sz w:val="36"/>
          <w:szCs w:val="36"/>
          <w:rtl/>
        </w:rPr>
        <w:t>"</w:t>
      </w:r>
      <w:r w:rsidRPr="00FD211F">
        <w:rPr>
          <w:sz w:val="36"/>
          <w:szCs w:val="36"/>
          <w:rtl/>
        </w:rPr>
        <w:t xml:space="preserve"> لاصلا</w:t>
      </w:r>
      <w:r w:rsidR="00EC7EDF" w:rsidRPr="00FD211F">
        <w:rPr>
          <w:sz w:val="36"/>
          <w:szCs w:val="36"/>
          <w:rtl/>
        </w:rPr>
        <w:t xml:space="preserve">ة </w:t>
      </w:r>
      <w:r w:rsidRPr="00FD211F">
        <w:rPr>
          <w:sz w:val="36"/>
          <w:szCs w:val="36"/>
          <w:rtl/>
        </w:rPr>
        <w:t>بغير افتتاح</w:t>
      </w:r>
      <w:r w:rsidR="00532274" w:rsidRPr="00FD211F">
        <w:rPr>
          <w:sz w:val="36"/>
          <w:szCs w:val="36"/>
          <w:rtl/>
        </w:rPr>
        <w:t>"</w:t>
      </w:r>
      <w:r w:rsidRPr="00FD211F">
        <w:rPr>
          <w:sz w:val="36"/>
          <w:szCs w:val="36"/>
          <w:rtl/>
        </w:rPr>
        <w:t>.</w:t>
      </w:r>
    </w:p>
    <w:p w14:paraId="7C48CFA4" w14:textId="77777777" w:rsidR="00052BF2" w:rsidRPr="00FD211F" w:rsidRDefault="00052BF2" w:rsidP="009C58C8">
      <w:pPr>
        <w:ind w:left="0" w:firstLine="227"/>
        <w:jc w:val="both"/>
        <w:rPr>
          <w:sz w:val="36"/>
          <w:szCs w:val="36"/>
          <w:rtl/>
        </w:rPr>
      </w:pPr>
      <w:r w:rsidRPr="00FD211F">
        <w:rPr>
          <w:sz w:val="36"/>
          <w:szCs w:val="36"/>
          <w:rtl/>
        </w:rPr>
        <w:t>ويلاحظ على هذا الوجه ان مثل هذه التعابير ليست ظاهر</w:t>
      </w:r>
      <w:r w:rsidR="00EC7EDF" w:rsidRPr="00FD211F">
        <w:rPr>
          <w:sz w:val="36"/>
          <w:szCs w:val="36"/>
          <w:rtl/>
        </w:rPr>
        <w:t xml:space="preserve">ة </w:t>
      </w:r>
      <w:r w:rsidRPr="00FD211F">
        <w:rPr>
          <w:sz w:val="36"/>
          <w:szCs w:val="36"/>
          <w:rtl/>
        </w:rPr>
        <w:t>في النفي الحقيقي</w:t>
      </w:r>
      <w:r w:rsidR="00603323" w:rsidRPr="00FD211F">
        <w:rPr>
          <w:sz w:val="36"/>
          <w:szCs w:val="36"/>
          <w:rtl/>
        </w:rPr>
        <w:t xml:space="preserve">، </w:t>
      </w:r>
      <w:r w:rsidRPr="00FD211F">
        <w:rPr>
          <w:sz w:val="36"/>
          <w:szCs w:val="36"/>
          <w:rtl/>
        </w:rPr>
        <w:t>بل يناسب ان يكون بيانا للشرطي</w:t>
      </w:r>
      <w:r w:rsidR="00EC7EDF" w:rsidRPr="00FD211F">
        <w:rPr>
          <w:sz w:val="36"/>
          <w:szCs w:val="36"/>
          <w:rtl/>
        </w:rPr>
        <w:t xml:space="preserve">ة </w:t>
      </w:r>
      <w:r w:rsidRPr="00FD211F">
        <w:rPr>
          <w:sz w:val="36"/>
          <w:szCs w:val="36"/>
          <w:rtl/>
        </w:rPr>
        <w:t>والجزئي</w:t>
      </w:r>
      <w:r w:rsidR="00EC7EDF" w:rsidRPr="00FD211F">
        <w:rPr>
          <w:sz w:val="36"/>
          <w:szCs w:val="36"/>
          <w:rtl/>
        </w:rPr>
        <w:t xml:space="preserve">ة </w:t>
      </w:r>
      <w:r w:rsidRPr="00FD211F">
        <w:rPr>
          <w:sz w:val="36"/>
          <w:szCs w:val="36"/>
          <w:rtl/>
        </w:rPr>
        <w:t>بلسان الحكوم</w:t>
      </w:r>
      <w:r w:rsidR="00EC7EDF" w:rsidRPr="00FD211F">
        <w:rPr>
          <w:sz w:val="36"/>
          <w:szCs w:val="36"/>
          <w:rtl/>
        </w:rPr>
        <w:t xml:space="preserve">ة </w:t>
      </w:r>
      <w:r w:rsidRPr="00FD211F">
        <w:rPr>
          <w:sz w:val="36"/>
          <w:szCs w:val="36"/>
          <w:rtl/>
        </w:rPr>
        <w:t>والنفي الإدعائي</w:t>
      </w:r>
      <w:r w:rsidR="00603323" w:rsidRPr="00FD211F">
        <w:rPr>
          <w:sz w:val="36"/>
          <w:szCs w:val="36"/>
          <w:rtl/>
        </w:rPr>
        <w:t xml:space="preserve">، </w:t>
      </w:r>
      <w:r w:rsidRPr="00FD211F">
        <w:rPr>
          <w:sz w:val="36"/>
          <w:szCs w:val="36"/>
          <w:rtl/>
        </w:rPr>
        <w:t>ولااقل من ان يكون ذلك مقتضى الجمع العرفي بين هذه الخطابات وبين ما سيأتي من استعمال الفاظ العبادات في الروايات في الأعم من الصحيح والفاسد.</w:t>
      </w:r>
    </w:p>
    <w:p w14:paraId="1052C031" w14:textId="77777777" w:rsidR="00052BF2" w:rsidRPr="00FD211F" w:rsidRDefault="00052BF2" w:rsidP="009C58C8">
      <w:pPr>
        <w:ind w:left="0" w:firstLine="227"/>
        <w:jc w:val="both"/>
        <w:rPr>
          <w:sz w:val="36"/>
          <w:szCs w:val="36"/>
          <w:rtl/>
        </w:rPr>
      </w:pPr>
      <w:r w:rsidRPr="00FD211F">
        <w:rPr>
          <w:sz w:val="36"/>
          <w:szCs w:val="36"/>
          <w:rtl/>
        </w:rPr>
        <w:t>3- ما قد يقال من ان بناء المخترعين وضع الاسم للمخترع التامّ الواجد لجميع الأجزاء والشرائط</w:t>
      </w:r>
      <w:r w:rsidR="00603323" w:rsidRPr="00FD211F">
        <w:rPr>
          <w:sz w:val="36"/>
          <w:szCs w:val="36"/>
          <w:rtl/>
        </w:rPr>
        <w:t xml:space="preserve">، </w:t>
      </w:r>
      <w:r w:rsidRPr="00FD211F">
        <w:rPr>
          <w:sz w:val="36"/>
          <w:szCs w:val="36"/>
          <w:rtl/>
        </w:rPr>
        <w:t>وظاهر حال الشارع انه</w:t>
      </w:r>
      <w:r w:rsidR="008D7B3D" w:rsidRPr="00FD211F">
        <w:rPr>
          <w:sz w:val="36"/>
          <w:szCs w:val="36"/>
          <w:rtl/>
        </w:rPr>
        <w:t xml:space="preserve"> لم‌</w:t>
      </w:r>
      <w:r w:rsidRPr="00FD211F">
        <w:rPr>
          <w:sz w:val="36"/>
          <w:szCs w:val="36"/>
          <w:rtl/>
        </w:rPr>
        <w:t>يتخلف عن بناء العقلاء بالنسب</w:t>
      </w:r>
      <w:r w:rsidR="00EC7EDF" w:rsidRPr="00FD211F">
        <w:rPr>
          <w:sz w:val="36"/>
          <w:szCs w:val="36"/>
          <w:rtl/>
        </w:rPr>
        <w:t xml:space="preserve">ة </w:t>
      </w:r>
      <w:r w:rsidRPr="00FD211F">
        <w:rPr>
          <w:sz w:val="36"/>
          <w:szCs w:val="36"/>
          <w:rtl/>
        </w:rPr>
        <w:t>الى مخترعاته</w:t>
      </w:r>
      <w:r w:rsidR="00603323" w:rsidRPr="00FD211F">
        <w:rPr>
          <w:sz w:val="36"/>
          <w:szCs w:val="36"/>
          <w:rtl/>
        </w:rPr>
        <w:t xml:space="preserve">، </w:t>
      </w:r>
      <w:r w:rsidRPr="00FD211F">
        <w:rPr>
          <w:sz w:val="36"/>
          <w:szCs w:val="36"/>
          <w:rtl/>
        </w:rPr>
        <w:t>فيكون قد وضع اسم الصلا</w:t>
      </w:r>
      <w:r w:rsidR="00EC7EDF" w:rsidRPr="00FD211F">
        <w:rPr>
          <w:sz w:val="36"/>
          <w:szCs w:val="36"/>
          <w:rtl/>
        </w:rPr>
        <w:t xml:space="preserve">ة </w:t>
      </w:r>
      <w:r w:rsidRPr="00FD211F">
        <w:rPr>
          <w:sz w:val="36"/>
          <w:szCs w:val="36"/>
          <w:rtl/>
        </w:rPr>
        <w:t>على المركب التام الواجد لجميع الأجزاء والشرائط.</w:t>
      </w:r>
    </w:p>
    <w:p w14:paraId="51A3C3C8" w14:textId="77777777" w:rsidR="00052BF2" w:rsidRPr="00FD211F" w:rsidRDefault="00052BF2" w:rsidP="009C58C8">
      <w:pPr>
        <w:ind w:left="0" w:firstLine="227"/>
        <w:jc w:val="both"/>
        <w:rPr>
          <w:sz w:val="36"/>
          <w:szCs w:val="36"/>
          <w:rtl/>
        </w:rPr>
      </w:pPr>
      <w:r w:rsidRPr="00FD211F">
        <w:rPr>
          <w:sz w:val="36"/>
          <w:szCs w:val="36"/>
          <w:rtl/>
        </w:rPr>
        <w:t xml:space="preserve">وفيه </w:t>
      </w:r>
      <w:r w:rsidRPr="00FD211F">
        <w:rPr>
          <w:b/>
          <w:bCs/>
          <w:sz w:val="36"/>
          <w:szCs w:val="36"/>
          <w:rtl/>
        </w:rPr>
        <w:t>اولا</w:t>
      </w:r>
      <w:r w:rsidRPr="00FD211F">
        <w:rPr>
          <w:sz w:val="36"/>
          <w:szCs w:val="36"/>
          <w:rtl/>
        </w:rPr>
        <w:t>: أنه</w:t>
      </w:r>
      <w:r w:rsidR="008D7B3D" w:rsidRPr="00FD211F">
        <w:rPr>
          <w:sz w:val="36"/>
          <w:szCs w:val="36"/>
          <w:rtl/>
        </w:rPr>
        <w:t xml:space="preserve"> لم‌</w:t>
      </w:r>
      <w:r w:rsidRPr="00FD211F">
        <w:rPr>
          <w:sz w:val="36"/>
          <w:szCs w:val="36"/>
          <w:rtl/>
        </w:rPr>
        <w:t>يثبت ذلك في حق المخترعين بشكل عام</w:t>
      </w:r>
      <w:r w:rsidR="00603323" w:rsidRPr="00FD211F">
        <w:rPr>
          <w:sz w:val="36"/>
          <w:szCs w:val="36"/>
          <w:rtl/>
        </w:rPr>
        <w:t xml:space="preserve">، </w:t>
      </w:r>
      <w:r w:rsidRPr="00FD211F">
        <w:rPr>
          <w:sz w:val="36"/>
          <w:szCs w:val="36"/>
          <w:rtl/>
        </w:rPr>
        <w:t>فمن اخترع السيار</w:t>
      </w:r>
      <w:r w:rsidR="00EC7EDF" w:rsidRPr="00FD211F">
        <w:rPr>
          <w:sz w:val="36"/>
          <w:szCs w:val="36"/>
          <w:rtl/>
        </w:rPr>
        <w:t xml:space="preserve">ة </w:t>
      </w:r>
      <w:r w:rsidRPr="00FD211F">
        <w:rPr>
          <w:sz w:val="36"/>
          <w:szCs w:val="36"/>
          <w:rtl/>
        </w:rPr>
        <w:t>مثلا ثم وضع لها اسما خاصا فلم يظهر انه قد وضع الاسم بإزاء الصحيح منه.</w:t>
      </w:r>
    </w:p>
    <w:p w14:paraId="129AC167" w14:textId="77777777" w:rsidR="00052BF2"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xml:space="preserve">: ان مجرد بناء المخترعين على </w:t>
      </w:r>
      <w:r w:rsidR="008D7B3D" w:rsidRPr="00FD211F">
        <w:rPr>
          <w:sz w:val="36"/>
          <w:szCs w:val="36"/>
          <w:rtl/>
        </w:rPr>
        <w:t xml:space="preserve">شيء </w:t>
      </w:r>
      <w:r w:rsidRPr="00FD211F">
        <w:rPr>
          <w:sz w:val="36"/>
          <w:szCs w:val="36"/>
          <w:rtl/>
        </w:rPr>
        <w:t>من هذا القبيل لايشكِّل قرين</w:t>
      </w:r>
      <w:r w:rsidR="00EC7EDF" w:rsidRPr="00FD211F">
        <w:rPr>
          <w:sz w:val="36"/>
          <w:szCs w:val="36"/>
          <w:rtl/>
        </w:rPr>
        <w:t xml:space="preserve">ة </w:t>
      </w:r>
      <w:r w:rsidRPr="00FD211F">
        <w:rPr>
          <w:sz w:val="36"/>
          <w:szCs w:val="36"/>
          <w:rtl/>
        </w:rPr>
        <w:t>عرفي</w:t>
      </w:r>
      <w:r w:rsidR="00EC7EDF" w:rsidRPr="00FD211F">
        <w:rPr>
          <w:sz w:val="36"/>
          <w:szCs w:val="36"/>
          <w:rtl/>
        </w:rPr>
        <w:t xml:space="preserve">ة </w:t>
      </w:r>
      <w:r w:rsidRPr="00FD211F">
        <w:rPr>
          <w:sz w:val="36"/>
          <w:szCs w:val="36"/>
          <w:rtl/>
        </w:rPr>
        <w:t>توجب ظهور استعمال الشارع للفظٍ في خطابه أنه اراد وضعه لخصوص الصحيح.</w:t>
      </w:r>
    </w:p>
    <w:p w14:paraId="55FA358D" w14:textId="77777777" w:rsidR="00052BF2" w:rsidRPr="00FD211F" w:rsidRDefault="00052BF2" w:rsidP="009C58C8">
      <w:pPr>
        <w:ind w:left="0" w:firstLine="227"/>
        <w:jc w:val="both"/>
        <w:rPr>
          <w:sz w:val="36"/>
          <w:szCs w:val="36"/>
          <w:rtl/>
        </w:rPr>
      </w:pPr>
      <w:r w:rsidRPr="00FD211F">
        <w:rPr>
          <w:sz w:val="36"/>
          <w:szCs w:val="36"/>
          <w:rtl/>
        </w:rPr>
        <w:t>4</w:t>
      </w:r>
      <w:r w:rsidR="00D0009F" w:rsidRPr="00FD211F">
        <w:rPr>
          <w:sz w:val="36"/>
          <w:szCs w:val="36"/>
          <w:rtl/>
        </w:rPr>
        <w:t>- التبادر</w:t>
      </w:r>
      <w:r w:rsidR="00603323" w:rsidRPr="00FD211F">
        <w:rPr>
          <w:sz w:val="36"/>
          <w:szCs w:val="36"/>
          <w:rtl/>
        </w:rPr>
        <w:t xml:space="preserve">، </w:t>
      </w:r>
      <w:r w:rsidR="00D0009F" w:rsidRPr="00FD211F">
        <w:rPr>
          <w:sz w:val="36"/>
          <w:szCs w:val="36"/>
          <w:rtl/>
        </w:rPr>
        <w:t>بتقريب أنه لو قال شخص</w:t>
      </w:r>
      <w:r w:rsidR="00B253CE" w:rsidRPr="00FD211F">
        <w:rPr>
          <w:sz w:val="36"/>
          <w:szCs w:val="36"/>
          <w:rtl/>
        </w:rPr>
        <w:t xml:space="preserve"> </w:t>
      </w:r>
      <w:r w:rsidRPr="00FD211F">
        <w:rPr>
          <w:sz w:val="36"/>
          <w:szCs w:val="36"/>
          <w:rtl/>
        </w:rPr>
        <w:t>اني قد صليت</w:t>
      </w:r>
      <w:r w:rsidR="00603323" w:rsidRPr="00FD211F">
        <w:rPr>
          <w:sz w:val="36"/>
          <w:szCs w:val="36"/>
          <w:rtl/>
        </w:rPr>
        <w:t xml:space="preserve">، </w:t>
      </w:r>
      <w:r w:rsidRPr="00FD211F">
        <w:rPr>
          <w:sz w:val="36"/>
          <w:szCs w:val="36"/>
          <w:rtl/>
        </w:rPr>
        <w:t>فيفهم منه انه أتي بالصلا</w:t>
      </w:r>
      <w:r w:rsidR="00EC7EDF" w:rsidRPr="00FD211F">
        <w:rPr>
          <w:sz w:val="36"/>
          <w:szCs w:val="36"/>
          <w:rtl/>
        </w:rPr>
        <w:t xml:space="preserve">ة </w:t>
      </w:r>
      <w:r w:rsidRPr="00FD211F">
        <w:rPr>
          <w:sz w:val="36"/>
          <w:szCs w:val="36"/>
          <w:rtl/>
        </w:rPr>
        <w:t>الصحيح</w:t>
      </w:r>
      <w:r w:rsidR="00EC7EDF" w:rsidRPr="00FD211F">
        <w:rPr>
          <w:sz w:val="36"/>
          <w:szCs w:val="36"/>
          <w:rtl/>
        </w:rPr>
        <w:t>ة</w:t>
      </w:r>
      <w:r w:rsidR="00A61BAE" w:rsidRPr="00FD211F">
        <w:rPr>
          <w:sz w:val="36"/>
          <w:szCs w:val="36"/>
          <w:rtl/>
        </w:rPr>
        <w:t>.</w:t>
      </w:r>
    </w:p>
    <w:p w14:paraId="7AE557B5" w14:textId="77777777" w:rsidR="00052BF2" w:rsidRPr="00FD211F" w:rsidRDefault="00052BF2" w:rsidP="009C58C8">
      <w:pPr>
        <w:ind w:left="0" w:firstLine="227"/>
        <w:jc w:val="both"/>
        <w:rPr>
          <w:sz w:val="36"/>
          <w:szCs w:val="36"/>
          <w:rtl/>
        </w:rPr>
      </w:pPr>
      <w:r w:rsidRPr="00FD211F">
        <w:rPr>
          <w:sz w:val="36"/>
          <w:szCs w:val="36"/>
          <w:rtl/>
        </w:rPr>
        <w:t>وفيه ان التبادر ممنوع</w:t>
      </w:r>
      <w:r w:rsidR="00603323" w:rsidRPr="00FD211F">
        <w:rPr>
          <w:sz w:val="36"/>
          <w:szCs w:val="36"/>
          <w:rtl/>
        </w:rPr>
        <w:t xml:space="preserve">، </w:t>
      </w:r>
      <w:r w:rsidRPr="00FD211F">
        <w:rPr>
          <w:sz w:val="36"/>
          <w:szCs w:val="36"/>
          <w:rtl/>
        </w:rPr>
        <w:t>نعم قد ينصرف اللفظ في بعض الموارد الى الصحيح بمناسب</w:t>
      </w:r>
      <w:r w:rsidR="00EC7EDF" w:rsidRPr="00FD211F">
        <w:rPr>
          <w:sz w:val="36"/>
          <w:szCs w:val="36"/>
          <w:rtl/>
        </w:rPr>
        <w:t xml:space="preserve">ة </w:t>
      </w:r>
      <w:r w:rsidRPr="00FD211F">
        <w:rPr>
          <w:sz w:val="36"/>
          <w:szCs w:val="36"/>
          <w:rtl/>
        </w:rPr>
        <w:t>الحكم والموضوع</w:t>
      </w:r>
      <w:r w:rsidR="00603323" w:rsidRPr="00FD211F">
        <w:rPr>
          <w:sz w:val="36"/>
          <w:szCs w:val="36"/>
          <w:rtl/>
        </w:rPr>
        <w:t xml:space="preserve">، </w:t>
      </w:r>
      <w:r w:rsidRPr="00FD211F">
        <w:rPr>
          <w:sz w:val="36"/>
          <w:szCs w:val="36"/>
          <w:rtl/>
        </w:rPr>
        <w:t>كما في هذا المثال</w:t>
      </w:r>
      <w:r w:rsidR="00603323" w:rsidRPr="00FD211F">
        <w:rPr>
          <w:sz w:val="36"/>
          <w:szCs w:val="36"/>
          <w:rtl/>
        </w:rPr>
        <w:t xml:space="preserve">، </w:t>
      </w:r>
      <w:r w:rsidRPr="00FD211F">
        <w:rPr>
          <w:sz w:val="36"/>
          <w:szCs w:val="36"/>
          <w:rtl/>
        </w:rPr>
        <w:t>حيث أن غرض المصلي لما كان إفراغ ذمته أوجب ظهور إخباره عن أداءه للصلا</w:t>
      </w:r>
      <w:r w:rsidR="00EC7EDF" w:rsidRPr="00FD211F">
        <w:rPr>
          <w:sz w:val="36"/>
          <w:szCs w:val="36"/>
          <w:rtl/>
        </w:rPr>
        <w:t xml:space="preserve">ة </w:t>
      </w:r>
      <w:r w:rsidRPr="00FD211F">
        <w:rPr>
          <w:sz w:val="36"/>
          <w:szCs w:val="36"/>
          <w:rtl/>
        </w:rPr>
        <w:t>في كونها صحيح</w:t>
      </w:r>
      <w:r w:rsidR="00EC7EDF" w:rsidRPr="00FD211F">
        <w:rPr>
          <w:sz w:val="36"/>
          <w:szCs w:val="36"/>
          <w:rtl/>
        </w:rPr>
        <w:t>ة</w:t>
      </w:r>
      <w:r w:rsidR="00603323" w:rsidRPr="00FD211F">
        <w:rPr>
          <w:sz w:val="36"/>
          <w:szCs w:val="36"/>
          <w:rtl/>
        </w:rPr>
        <w:t xml:space="preserve">، </w:t>
      </w:r>
      <w:r w:rsidRPr="00FD211F">
        <w:rPr>
          <w:sz w:val="36"/>
          <w:szCs w:val="36"/>
          <w:rtl/>
        </w:rPr>
        <w:t>ما</w:t>
      </w:r>
      <w:r w:rsidR="008D7B3D" w:rsidRPr="00FD211F">
        <w:rPr>
          <w:sz w:val="36"/>
          <w:szCs w:val="36"/>
          <w:rtl/>
        </w:rPr>
        <w:t xml:space="preserve"> لم‌</w:t>
      </w:r>
      <w:r w:rsidRPr="00FD211F">
        <w:rPr>
          <w:sz w:val="36"/>
          <w:szCs w:val="36"/>
          <w:rtl/>
        </w:rPr>
        <w:t>تقم قرين</w:t>
      </w:r>
      <w:r w:rsidR="00EC7EDF" w:rsidRPr="00FD211F">
        <w:rPr>
          <w:sz w:val="36"/>
          <w:szCs w:val="36"/>
          <w:rtl/>
        </w:rPr>
        <w:t xml:space="preserve">ة </w:t>
      </w:r>
      <w:r w:rsidRPr="00FD211F">
        <w:rPr>
          <w:sz w:val="36"/>
          <w:szCs w:val="36"/>
          <w:rtl/>
        </w:rPr>
        <w:t>على الخلاف.</w:t>
      </w:r>
    </w:p>
    <w:p w14:paraId="4B62B3C3" w14:textId="77777777" w:rsidR="000C5BBA" w:rsidRPr="00FD211F" w:rsidRDefault="00052BF2" w:rsidP="009C58C8">
      <w:pPr>
        <w:pStyle w:val="3"/>
        <w:ind w:firstLine="227"/>
        <w:jc w:val="both"/>
        <w:rPr>
          <w:rtl/>
        </w:rPr>
      </w:pPr>
      <w:bookmarkStart w:id="388" w:name="_Toc192092929"/>
      <w:bookmarkStart w:id="389" w:name="_Toc223890408"/>
      <w:r w:rsidRPr="00FD211F">
        <w:rPr>
          <w:rtl/>
        </w:rPr>
        <w:t>ادل</w:t>
      </w:r>
      <w:r w:rsidR="00EC7EDF" w:rsidRPr="00FD211F">
        <w:rPr>
          <w:rtl/>
        </w:rPr>
        <w:t xml:space="preserve">ة </w:t>
      </w:r>
      <w:r w:rsidRPr="00FD211F">
        <w:rPr>
          <w:rtl/>
        </w:rPr>
        <w:t>القول بوضع اسماء العبادات للأعم</w:t>
      </w:r>
      <w:bookmarkEnd w:id="388"/>
      <w:bookmarkEnd w:id="389"/>
    </w:p>
    <w:p w14:paraId="2497272B" w14:textId="77777777" w:rsidR="00052BF2" w:rsidRPr="00FD211F" w:rsidRDefault="00052BF2" w:rsidP="009C58C8">
      <w:pPr>
        <w:ind w:left="0" w:firstLine="227"/>
        <w:jc w:val="both"/>
        <w:rPr>
          <w:sz w:val="36"/>
          <w:szCs w:val="36"/>
          <w:rtl/>
        </w:rPr>
      </w:pPr>
      <w:r w:rsidRPr="00FD211F">
        <w:rPr>
          <w:sz w:val="36"/>
          <w:szCs w:val="36"/>
          <w:rtl/>
        </w:rPr>
        <w:t>قد استدل لوضع اسماء العبادات على الأعم من الصحيح والفاسد أيضا بعد</w:t>
      </w:r>
      <w:r w:rsidR="00EC7EDF" w:rsidRPr="00FD211F">
        <w:rPr>
          <w:sz w:val="36"/>
          <w:szCs w:val="36"/>
          <w:rtl/>
        </w:rPr>
        <w:t xml:space="preserve">ة </w:t>
      </w:r>
      <w:r w:rsidRPr="00FD211F">
        <w:rPr>
          <w:sz w:val="36"/>
          <w:szCs w:val="36"/>
          <w:rtl/>
        </w:rPr>
        <w:t>وجوه:</w:t>
      </w:r>
    </w:p>
    <w:p w14:paraId="55C6629A" w14:textId="77777777" w:rsidR="00052BF2" w:rsidRPr="00FD211F" w:rsidRDefault="00052BF2" w:rsidP="009C58C8">
      <w:pPr>
        <w:ind w:left="0" w:firstLine="227"/>
        <w:jc w:val="both"/>
        <w:rPr>
          <w:sz w:val="36"/>
          <w:szCs w:val="36"/>
          <w:rtl/>
        </w:rPr>
      </w:pPr>
      <w:r w:rsidRPr="00FD211F">
        <w:rPr>
          <w:sz w:val="36"/>
          <w:szCs w:val="36"/>
          <w:rtl/>
        </w:rPr>
        <w:t>1- تبادر الأعم من الصحيح والفاسد من اسماء العبادات وعدم صح</w:t>
      </w:r>
      <w:r w:rsidR="00EC7EDF" w:rsidRPr="00FD211F">
        <w:rPr>
          <w:sz w:val="36"/>
          <w:szCs w:val="36"/>
          <w:rtl/>
        </w:rPr>
        <w:t xml:space="preserve">ة </w:t>
      </w:r>
      <w:r w:rsidRPr="00FD211F">
        <w:rPr>
          <w:sz w:val="36"/>
          <w:szCs w:val="36"/>
          <w:rtl/>
        </w:rPr>
        <w:t>سلبها بما لها من المعنى المرتكز عن الفاسد</w:t>
      </w:r>
      <w:r w:rsidR="00603323" w:rsidRPr="00FD211F">
        <w:rPr>
          <w:sz w:val="36"/>
          <w:szCs w:val="36"/>
          <w:rtl/>
        </w:rPr>
        <w:t xml:space="preserve">، </w:t>
      </w:r>
      <w:r w:rsidRPr="00FD211F">
        <w:rPr>
          <w:sz w:val="36"/>
          <w:szCs w:val="36"/>
          <w:rtl/>
        </w:rPr>
        <w:t>فمن صلى بغير طهور فلايصح سلب مسمى الصلا</w:t>
      </w:r>
      <w:r w:rsidR="00EC7EDF" w:rsidRPr="00FD211F">
        <w:rPr>
          <w:sz w:val="36"/>
          <w:szCs w:val="36"/>
          <w:rtl/>
        </w:rPr>
        <w:t xml:space="preserve">ة </w:t>
      </w:r>
      <w:r w:rsidRPr="00FD211F">
        <w:rPr>
          <w:sz w:val="36"/>
          <w:szCs w:val="36"/>
          <w:rtl/>
        </w:rPr>
        <w:t>عما أتى به</w:t>
      </w:r>
      <w:r w:rsidR="00603323" w:rsidRPr="00FD211F">
        <w:rPr>
          <w:sz w:val="36"/>
          <w:szCs w:val="36"/>
          <w:rtl/>
        </w:rPr>
        <w:t xml:space="preserve">، </w:t>
      </w:r>
      <w:r w:rsidRPr="00FD211F">
        <w:rPr>
          <w:sz w:val="36"/>
          <w:szCs w:val="36"/>
          <w:rtl/>
        </w:rPr>
        <w:t>وكذا يصح تقسيم أسماء العبادات بما لها من المعنى المرتكز الى الصحيح والفاسد فيقال ان الصلا</w:t>
      </w:r>
      <w:r w:rsidR="00EC7EDF" w:rsidRPr="00FD211F">
        <w:rPr>
          <w:sz w:val="36"/>
          <w:szCs w:val="36"/>
          <w:rtl/>
        </w:rPr>
        <w:t xml:space="preserve">ة </w:t>
      </w:r>
      <w:r w:rsidRPr="00FD211F">
        <w:rPr>
          <w:sz w:val="36"/>
          <w:szCs w:val="36"/>
          <w:rtl/>
        </w:rPr>
        <w:t>اما صحيح</w:t>
      </w:r>
      <w:r w:rsidR="00EC7EDF" w:rsidRPr="00FD211F">
        <w:rPr>
          <w:sz w:val="36"/>
          <w:szCs w:val="36"/>
          <w:rtl/>
        </w:rPr>
        <w:t xml:space="preserve">ة </w:t>
      </w:r>
      <w:r w:rsidRPr="00FD211F">
        <w:rPr>
          <w:sz w:val="36"/>
          <w:szCs w:val="36"/>
          <w:rtl/>
        </w:rPr>
        <w:t>او فاسد</w:t>
      </w:r>
      <w:r w:rsidR="00EC7EDF" w:rsidRPr="00FD211F">
        <w:rPr>
          <w:sz w:val="36"/>
          <w:szCs w:val="36"/>
          <w:rtl/>
        </w:rPr>
        <w:t>ة</w:t>
      </w:r>
      <w:r w:rsidR="00603323" w:rsidRPr="00FD211F">
        <w:rPr>
          <w:sz w:val="36"/>
          <w:szCs w:val="36"/>
          <w:rtl/>
        </w:rPr>
        <w:t xml:space="preserve">، </w:t>
      </w:r>
      <w:r w:rsidRPr="00FD211F">
        <w:rPr>
          <w:sz w:val="36"/>
          <w:szCs w:val="36"/>
          <w:rtl/>
        </w:rPr>
        <w:t>وما قد يقال من الاستعمال اعم من الحقيق</w:t>
      </w:r>
      <w:r w:rsidR="00EC7EDF" w:rsidRPr="00FD211F">
        <w:rPr>
          <w:sz w:val="36"/>
          <w:szCs w:val="36"/>
          <w:rtl/>
        </w:rPr>
        <w:t xml:space="preserve">ة </w:t>
      </w:r>
      <w:r w:rsidRPr="00FD211F">
        <w:rPr>
          <w:sz w:val="36"/>
          <w:szCs w:val="36"/>
          <w:rtl/>
        </w:rPr>
        <w:t>فغير متجه</w:t>
      </w:r>
      <w:r w:rsidR="00603323" w:rsidRPr="00FD211F">
        <w:rPr>
          <w:sz w:val="36"/>
          <w:szCs w:val="36"/>
          <w:rtl/>
        </w:rPr>
        <w:t xml:space="preserve">، </w:t>
      </w:r>
      <w:r w:rsidRPr="00FD211F">
        <w:rPr>
          <w:sz w:val="36"/>
          <w:szCs w:val="36"/>
          <w:rtl/>
        </w:rPr>
        <w:t>لان المقصود صح</w:t>
      </w:r>
      <w:r w:rsidR="00EC7EDF" w:rsidRPr="00FD211F">
        <w:rPr>
          <w:sz w:val="36"/>
          <w:szCs w:val="36"/>
          <w:rtl/>
        </w:rPr>
        <w:t xml:space="preserve">ة </w:t>
      </w:r>
      <w:r w:rsidRPr="00FD211F">
        <w:rPr>
          <w:sz w:val="36"/>
          <w:szCs w:val="36"/>
          <w:rtl/>
        </w:rPr>
        <w:t>التقسيم بما للفظ من المعنى المرتكز</w:t>
      </w:r>
      <w:r w:rsidR="00603323" w:rsidRPr="00FD211F">
        <w:rPr>
          <w:sz w:val="36"/>
          <w:szCs w:val="36"/>
          <w:rtl/>
        </w:rPr>
        <w:t xml:space="preserve">، </w:t>
      </w:r>
      <w:r w:rsidRPr="00FD211F">
        <w:rPr>
          <w:sz w:val="36"/>
          <w:szCs w:val="36"/>
          <w:rtl/>
        </w:rPr>
        <w:t>الا ان المهم انه لايكون دليلا آخر وراء التبادر وعدم صح</w:t>
      </w:r>
      <w:r w:rsidR="00EC7EDF" w:rsidRPr="00FD211F">
        <w:rPr>
          <w:sz w:val="36"/>
          <w:szCs w:val="36"/>
          <w:rtl/>
        </w:rPr>
        <w:t xml:space="preserve">ة </w:t>
      </w:r>
      <w:r w:rsidRPr="00FD211F">
        <w:rPr>
          <w:sz w:val="36"/>
          <w:szCs w:val="36"/>
          <w:rtl/>
        </w:rPr>
        <w:t>السلب</w:t>
      </w:r>
      <w:r w:rsidR="00603323" w:rsidRPr="00FD211F">
        <w:rPr>
          <w:sz w:val="36"/>
          <w:szCs w:val="36"/>
          <w:rtl/>
        </w:rPr>
        <w:t xml:space="preserve">، </w:t>
      </w:r>
      <w:r w:rsidRPr="00FD211F">
        <w:rPr>
          <w:sz w:val="36"/>
          <w:szCs w:val="36"/>
          <w:rtl/>
        </w:rPr>
        <w:t>بل يكون منبِّها عرفيا لذلك.</w:t>
      </w:r>
    </w:p>
    <w:p w14:paraId="36C1A0D0" w14:textId="77777777" w:rsidR="00052BF2" w:rsidRPr="00FD211F" w:rsidRDefault="00052BF2" w:rsidP="009C58C8">
      <w:pPr>
        <w:ind w:left="0" w:firstLine="227"/>
        <w:jc w:val="both"/>
        <w:rPr>
          <w:sz w:val="36"/>
          <w:szCs w:val="36"/>
          <w:rtl/>
        </w:rPr>
      </w:pPr>
      <w:r w:rsidRPr="00FD211F">
        <w:rPr>
          <w:sz w:val="36"/>
          <w:szCs w:val="36"/>
          <w:rtl/>
        </w:rPr>
        <w:t>ولاينبغي الاشكال في هذا التبادر وعدم صح</w:t>
      </w:r>
      <w:r w:rsidR="00EC7EDF" w:rsidRPr="00FD211F">
        <w:rPr>
          <w:sz w:val="36"/>
          <w:szCs w:val="36"/>
          <w:rtl/>
        </w:rPr>
        <w:t xml:space="preserve">ة </w:t>
      </w:r>
      <w:r w:rsidRPr="00FD211F">
        <w:rPr>
          <w:sz w:val="36"/>
          <w:szCs w:val="36"/>
          <w:rtl/>
        </w:rPr>
        <w:t>السلب وصح</w:t>
      </w:r>
      <w:r w:rsidR="00EC7EDF" w:rsidRPr="00FD211F">
        <w:rPr>
          <w:sz w:val="36"/>
          <w:szCs w:val="36"/>
          <w:rtl/>
        </w:rPr>
        <w:t xml:space="preserve">ة </w:t>
      </w:r>
      <w:r w:rsidRPr="00FD211F">
        <w:rPr>
          <w:sz w:val="36"/>
          <w:szCs w:val="36"/>
          <w:rtl/>
        </w:rPr>
        <w:t>التقسيم</w:t>
      </w:r>
      <w:r w:rsidR="00603323" w:rsidRPr="00FD211F">
        <w:rPr>
          <w:sz w:val="36"/>
          <w:szCs w:val="36"/>
          <w:rtl/>
        </w:rPr>
        <w:t xml:space="preserve">، </w:t>
      </w:r>
      <w:r w:rsidRPr="00FD211F">
        <w:rPr>
          <w:sz w:val="36"/>
          <w:szCs w:val="36"/>
          <w:rtl/>
        </w:rPr>
        <w:t>ولكن يناقش في هذا الوجه بانه لايكشف عن اكثر من كون أسماء العبادات حقيق</w:t>
      </w:r>
      <w:r w:rsidR="00EC7EDF" w:rsidRPr="00FD211F">
        <w:rPr>
          <w:sz w:val="36"/>
          <w:szCs w:val="36"/>
          <w:rtl/>
        </w:rPr>
        <w:t xml:space="preserve">ة </w:t>
      </w:r>
      <w:r w:rsidRPr="00FD211F">
        <w:rPr>
          <w:sz w:val="36"/>
          <w:szCs w:val="36"/>
          <w:rtl/>
        </w:rPr>
        <w:t>متشرعي</w:t>
      </w:r>
      <w:r w:rsidR="00EC7EDF" w:rsidRPr="00FD211F">
        <w:rPr>
          <w:sz w:val="36"/>
          <w:szCs w:val="36"/>
          <w:rtl/>
        </w:rPr>
        <w:t xml:space="preserve">ة </w:t>
      </w:r>
      <w:r w:rsidRPr="00FD211F">
        <w:rPr>
          <w:sz w:val="36"/>
          <w:szCs w:val="36"/>
          <w:rtl/>
        </w:rPr>
        <w:t>في الأعم</w:t>
      </w:r>
      <w:r w:rsidR="00603323" w:rsidRPr="00FD211F">
        <w:rPr>
          <w:sz w:val="36"/>
          <w:szCs w:val="36"/>
          <w:rtl/>
        </w:rPr>
        <w:t xml:space="preserve">، </w:t>
      </w:r>
      <w:r w:rsidRPr="00FD211F">
        <w:rPr>
          <w:sz w:val="36"/>
          <w:szCs w:val="36"/>
          <w:rtl/>
        </w:rPr>
        <w:t>ولايكشف عن كونها حقيق</w:t>
      </w:r>
      <w:r w:rsidR="00EC7EDF" w:rsidRPr="00FD211F">
        <w:rPr>
          <w:sz w:val="36"/>
          <w:szCs w:val="36"/>
          <w:rtl/>
        </w:rPr>
        <w:t xml:space="preserve">ة </w:t>
      </w:r>
      <w:r w:rsidRPr="00FD211F">
        <w:rPr>
          <w:sz w:val="36"/>
          <w:szCs w:val="36"/>
          <w:rtl/>
        </w:rPr>
        <w:t>شرعي</w:t>
      </w:r>
      <w:r w:rsidR="00EC7EDF" w:rsidRPr="00FD211F">
        <w:rPr>
          <w:sz w:val="36"/>
          <w:szCs w:val="36"/>
          <w:rtl/>
        </w:rPr>
        <w:t xml:space="preserve">ة </w:t>
      </w:r>
      <w:r w:rsidRPr="00FD211F">
        <w:rPr>
          <w:sz w:val="36"/>
          <w:szCs w:val="36"/>
          <w:rtl/>
        </w:rPr>
        <w:t>في ذلك في خطابات الشارع</w:t>
      </w:r>
      <w:r w:rsidR="00603323" w:rsidRPr="00FD211F">
        <w:rPr>
          <w:sz w:val="36"/>
          <w:szCs w:val="36"/>
          <w:rtl/>
        </w:rPr>
        <w:t xml:space="preserve">، </w:t>
      </w:r>
      <w:r w:rsidRPr="00FD211F">
        <w:rPr>
          <w:sz w:val="36"/>
          <w:szCs w:val="36"/>
          <w:rtl/>
        </w:rPr>
        <w:t>فلعلّه صارت تلك الالفاظ حقيق</w:t>
      </w:r>
      <w:r w:rsidR="00EC7EDF" w:rsidRPr="00FD211F">
        <w:rPr>
          <w:sz w:val="36"/>
          <w:szCs w:val="36"/>
          <w:rtl/>
        </w:rPr>
        <w:t xml:space="preserve">ة </w:t>
      </w:r>
      <w:r w:rsidRPr="00FD211F">
        <w:rPr>
          <w:sz w:val="36"/>
          <w:szCs w:val="36"/>
          <w:rtl/>
        </w:rPr>
        <w:t>متشرعي</w:t>
      </w:r>
      <w:r w:rsidR="00EC7EDF" w:rsidRPr="00FD211F">
        <w:rPr>
          <w:sz w:val="36"/>
          <w:szCs w:val="36"/>
          <w:rtl/>
        </w:rPr>
        <w:t xml:space="preserve">ة </w:t>
      </w:r>
      <w:r w:rsidRPr="00FD211F">
        <w:rPr>
          <w:sz w:val="36"/>
          <w:szCs w:val="36"/>
          <w:rtl/>
        </w:rPr>
        <w:t>في ذلك</w:t>
      </w:r>
      <w:r w:rsidR="00603323" w:rsidRPr="00FD211F">
        <w:rPr>
          <w:sz w:val="36"/>
          <w:szCs w:val="36"/>
          <w:rtl/>
        </w:rPr>
        <w:t xml:space="preserve">، </w:t>
      </w:r>
      <w:r w:rsidRPr="00FD211F">
        <w:rPr>
          <w:sz w:val="36"/>
          <w:szCs w:val="36"/>
          <w:rtl/>
        </w:rPr>
        <w:t>لكثر</w:t>
      </w:r>
      <w:r w:rsidR="00EC7EDF" w:rsidRPr="00FD211F">
        <w:rPr>
          <w:sz w:val="36"/>
          <w:szCs w:val="36"/>
          <w:rtl/>
        </w:rPr>
        <w:t xml:space="preserve">ة </w:t>
      </w:r>
      <w:r w:rsidRPr="00FD211F">
        <w:rPr>
          <w:sz w:val="36"/>
          <w:szCs w:val="36"/>
          <w:rtl/>
        </w:rPr>
        <w:t>استعمالهم لها في الأعم</w:t>
      </w:r>
      <w:r w:rsidR="00603323" w:rsidRPr="00FD211F">
        <w:rPr>
          <w:sz w:val="36"/>
          <w:szCs w:val="36"/>
          <w:rtl/>
        </w:rPr>
        <w:t xml:space="preserve">، </w:t>
      </w:r>
      <w:r w:rsidRPr="00FD211F">
        <w:rPr>
          <w:sz w:val="36"/>
          <w:szCs w:val="36"/>
          <w:rtl/>
        </w:rPr>
        <w:t>ولايتم دعوى جريان اصال</w:t>
      </w:r>
      <w:r w:rsidR="00EC7EDF" w:rsidRPr="00FD211F">
        <w:rPr>
          <w:sz w:val="36"/>
          <w:szCs w:val="36"/>
          <w:rtl/>
        </w:rPr>
        <w:t xml:space="preserve">ة </w:t>
      </w:r>
      <w:r w:rsidRPr="00FD211F">
        <w:rPr>
          <w:sz w:val="36"/>
          <w:szCs w:val="36"/>
          <w:rtl/>
        </w:rPr>
        <w:t>عدم النقل لإثبات كونه حقيق</w:t>
      </w:r>
      <w:r w:rsidR="00EC7EDF" w:rsidRPr="00FD211F">
        <w:rPr>
          <w:sz w:val="36"/>
          <w:szCs w:val="36"/>
          <w:rtl/>
        </w:rPr>
        <w:t xml:space="preserve">ة </w:t>
      </w:r>
      <w:r w:rsidRPr="00FD211F">
        <w:rPr>
          <w:sz w:val="36"/>
          <w:szCs w:val="36"/>
          <w:rtl/>
        </w:rPr>
        <w:t>شرعي</w:t>
      </w:r>
      <w:r w:rsidR="00EC7EDF" w:rsidRPr="00FD211F">
        <w:rPr>
          <w:sz w:val="36"/>
          <w:szCs w:val="36"/>
          <w:rtl/>
        </w:rPr>
        <w:t xml:space="preserve">ة </w:t>
      </w:r>
      <w:r w:rsidRPr="00FD211F">
        <w:rPr>
          <w:sz w:val="36"/>
          <w:szCs w:val="36"/>
          <w:rtl/>
        </w:rPr>
        <w:t>أيضا</w:t>
      </w:r>
      <w:r w:rsidR="00603323" w:rsidRPr="00FD211F">
        <w:rPr>
          <w:sz w:val="36"/>
          <w:szCs w:val="36"/>
          <w:rtl/>
        </w:rPr>
        <w:t xml:space="preserve">، </w:t>
      </w:r>
      <w:r w:rsidRPr="00FD211F">
        <w:rPr>
          <w:sz w:val="36"/>
          <w:szCs w:val="36"/>
          <w:rtl/>
        </w:rPr>
        <w:t>-فانه مع غمض العين عما مر من عدم ثبوت اصل عقلائي من هذا القبيل</w:t>
      </w:r>
      <w:r w:rsidR="00603323" w:rsidRPr="00FD211F">
        <w:rPr>
          <w:sz w:val="36"/>
          <w:szCs w:val="36"/>
          <w:rtl/>
        </w:rPr>
        <w:t xml:space="preserve">، </w:t>
      </w:r>
      <w:r w:rsidRPr="00FD211F">
        <w:rPr>
          <w:sz w:val="36"/>
          <w:szCs w:val="36"/>
          <w:rtl/>
        </w:rPr>
        <w:t>بل يلزم حصول الاطمئنان النوعي على الأقل بعدم حصول النقل- إن أصال</w:t>
      </w:r>
      <w:r w:rsidR="00EC7EDF" w:rsidRPr="00FD211F">
        <w:rPr>
          <w:sz w:val="36"/>
          <w:szCs w:val="36"/>
          <w:rtl/>
        </w:rPr>
        <w:t xml:space="preserve">ة </w:t>
      </w:r>
      <w:r w:rsidRPr="00FD211F">
        <w:rPr>
          <w:sz w:val="36"/>
          <w:szCs w:val="36"/>
          <w:rtl/>
        </w:rPr>
        <w:t>عدم النقل لاتجري مع تحقق الظن بحصول حال</w:t>
      </w:r>
      <w:r w:rsidR="00EC7EDF" w:rsidRPr="00FD211F">
        <w:rPr>
          <w:sz w:val="36"/>
          <w:szCs w:val="36"/>
          <w:rtl/>
        </w:rPr>
        <w:t xml:space="preserve">ة </w:t>
      </w:r>
      <w:r w:rsidRPr="00FD211F">
        <w:rPr>
          <w:sz w:val="36"/>
          <w:szCs w:val="36"/>
          <w:rtl/>
        </w:rPr>
        <w:t>النقل وتوتر الحال</w:t>
      </w:r>
      <w:r w:rsidR="00EC7EDF" w:rsidRPr="00FD211F">
        <w:rPr>
          <w:sz w:val="36"/>
          <w:szCs w:val="36"/>
          <w:rtl/>
        </w:rPr>
        <w:t xml:space="preserve">ة </w:t>
      </w:r>
      <w:r w:rsidRPr="00FD211F">
        <w:rPr>
          <w:sz w:val="36"/>
          <w:szCs w:val="36"/>
          <w:rtl/>
        </w:rPr>
        <w:t>العادي</w:t>
      </w:r>
      <w:r w:rsidR="00EC7EDF" w:rsidRPr="00FD211F">
        <w:rPr>
          <w:sz w:val="36"/>
          <w:szCs w:val="36"/>
          <w:rtl/>
        </w:rPr>
        <w:t xml:space="preserve">ة </w:t>
      </w:r>
      <w:r w:rsidRPr="00FD211F">
        <w:rPr>
          <w:sz w:val="36"/>
          <w:szCs w:val="36"/>
          <w:rtl/>
        </w:rPr>
        <w:t>في اللفظ</w:t>
      </w:r>
      <w:r w:rsidR="00603323" w:rsidRPr="00FD211F">
        <w:rPr>
          <w:sz w:val="36"/>
          <w:szCs w:val="36"/>
          <w:rtl/>
        </w:rPr>
        <w:t xml:space="preserve">، </w:t>
      </w:r>
      <w:r w:rsidRPr="00FD211F">
        <w:rPr>
          <w:sz w:val="36"/>
          <w:szCs w:val="36"/>
          <w:rtl/>
        </w:rPr>
        <w:t>كما في المقام.</w:t>
      </w:r>
    </w:p>
    <w:p w14:paraId="3D43107F" w14:textId="77777777" w:rsidR="00532274" w:rsidRPr="00FD211F" w:rsidRDefault="00052BF2" w:rsidP="009C58C8">
      <w:pPr>
        <w:ind w:left="0" w:firstLine="227"/>
        <w:jc w:val="both"/>
        <w:rPr>
          <w:sz w:val="36"/>
          <w:szCs w:val="36"/>
          <w:rtl/>
        </w:rPr>
      </w:pPr>
      <w:r w:rsidRPr="00FD211F">
        <w:rPr>
          <w:sz w:val="36"/>
          <w:szCs w:val="36"/>
          <w:rtl/>
        </w:rPr>
        <w:t>2- الاستدلال بالخطابات المتفرق</w:t>
      </w:r>
      <w:r w:rsidR="00EC7EDF" w:rsidRPr="00FD211F">
        <w:rPr>
          <w:sz w:val="36"/>
          <w:szCs w:val="36"/>
          <w:rtl/>
        </w:rPr>
        <w:t xml:space="preserve">ة </w:t>
      </w:r>
      <w:r w:rsidRPr="00FD211F">
        <w:rPr>
          <w:sz w:val="36"/>
          <w:szCs w:val="36"/>
          <w:rtl/>
        </w:rPr>
        <w:t>التي استعمل فيها الفاظ العبادات للأعم مثل موارد الأمر باعاد</w:t>
      </w:r>
      <w:r w:rsidR="00EC7EDF" w:rsidRPr="00FD211F">
        <w:rPr>
          <w:sz w:val="36"/>
          <w:szCs w:val="36"/>
          <w:rtl/>
        </w:rPr>
        <w:t xml:space="preserve">ة </w:t>
      </w:r>
      <w:r w:rsidRPr="00FD211F">
        <w:rPr>
          <w:sz w:val="36"/>
          <w:szCs w:val="36"/>
          <w:rtl/>
        </w:rPr>
        <w:t>الصلا</w:t>
      </w:r>
      <w:r w:rsidR="00EC7EDF" w:rsidRPr="00FD211F">
        <w:rPr>
          <w:sz w:val="36"/>
          <w:szCs w:val="36"/>
          <w:rtl/>
        </w:rPr>
        <w:t>ة</w:t>
      </w:r>
      <w:r w:rsidR="00603323" w:rsidRPr="00FD211F">
        <w:rPr>
          <w:sz w:val="36"/>
          <w:szCs w:val="36"/>
          <w:rtl/>
        </w:rPr>
        <w:t xml:space="preserve">، </w:t>
      </w:r>
      <w:r w:rsidRPr="00FD211F">
        <w:rPr>
          <w:sz w:val="36"/>
          <w:szCs w:val="36"/>
          <w:rtl/>
        </w:rPr>
        <w:t xml:space="preserve">وقوله </w:t>
      </w:r>
      <w:r w:rsidR="007A4A0D" w:rsidRPr="00FD211F">
        <w:rPr>
          <w:sz w:val="36"/>
          <w:szCs w:val="36"/>
          <w:rtl/>
        </w:rPr>
        <w:t>(عليه‌السلام)</w:t>
      </w:r>
      <w:r w:rsidRPr="00FD211F">
        <w:rPr>
          <w:sz w:val="36"/>
          <w:szCs w:val="36"/>
          <w:rtl/>
        </w:rPr>
        <w:t xml:space="preserve"> </w:t>
      </w:r>
      <w:r w:rsidR="00016BEF" w:rsidRPr="00FD211F">
        <w:rPr>
          <w:sz w:val="36"/>
          <w:szCs w:val="36"/>
          <w:rtl/>
        </w:rPr>
        <w:t>"</w:t>
      </w:r>
      <w:r w:rsidRPr="00FD211F">
        <w:rPr>
          <w:sz w:val="36"/>
          <w:szCs w:val="36"/>
          <w:rtl/>
        </w:rPr>
        <w:t>افما يخاف من يصلي بغير وضوء ان يخسف به الارض خسفا</w:t>
      </w:r>
      <w:r w:rsidR="00016BEF" w:rsidRPr="00FD211F">
        <w:rPr>
          <w:sz w:val="36"/>
          <w:szCs w:val="36"/>
          <w:rtl/>
        </w:rPr>
        <w:t>"</w:t>
      </w:r>
      <w:r w:rsidR="009C58C8" w:rsidRPr="00FD211F">
        <w:rPr>
          <w:rStyle w:val="a6"/>
          <w:sz w:val="36"/>
          <w:szCs w:val="36"/>
          <w:rtl/>
        </w:rPr>
        <w:t>(</w:t>
      </w:r>
      <w:r w:rsidR="009C58C8" w:rsidRPr="00FD211F">
        <w:rPr>
          <w:rStyle w:val="a6"/>
          <w:sz w:val="36"/>
          <w:szCs w:val="36"/>
          <w:rtl/>
        </w:rPr>
        <w:footnoteReference w:id="426"/>
      </w:r>
      <w:r w:rsidR="009C58C8" w:rsidRPr="00FD211F">
        <w:rPr>
          <w:rStyle w:val="a6"/>
          <w:sz w:val="36"/>
          <w:szCs w:val="36"/>
          <w:rtl/>
        </w:rPr>
        <w:t>)</w:t>
      </w:r>
      <w:r w:rsidR="00603323" w:rsidRPr="00FD211F">
        <w:rPr>
          <w:sz w:val="36"/>
          <w:szCs w:val="36"/>
          <w:rtl/>
        </w:rPr>
        <w:t xml:space="preserve">، </w:t>
      </w:r>
      <w:r w:rsidRPr="00FD211F">
        <w:rPr>
          <w:sz w:val="36"/>
          <w:szCs w:val="36"/>
          <w:rtl/>
        </w:rPr>
        <w:t xml:space="preserve">وقوله </w:t>
      </w:r>
      <w:r w:rsidR="007A4A0D" w:rsidRPr="00FD211F">
        <w:rPr>
          <w:sz w:val="36"/>
          <w:szCs w:val="36"/>
          <w:rtl/>
        </w:rPr>
        <w:t>(عليه‌السلام)</w:t>
      </w:r>
      <w:r w:rsidRPr="00FD211F">
        <w:rPr>
          <w:sz w:val="36"/>
          <w:szCs w:val="36"/>
          <w:rtl/>
        </w:rPr>
        <w:t xml:space="preserve"> في رجل شك في الوضوء بعد</w:t>
      </w:r>
      <w:r w:rsidR="00FA597A" w:rsidRPr="00FD211F">
        <w:rPr>
          <w:sz w:val="36"/>
          <w:szCs w:val="36"/>
          <w:rtl/>
        </w:rPr>
        <w:t xml:space="preserve"> </w:t>
      </w:r>
      <w:r w:rsidRPr="00FD211F">
        <w:rPr>
          <w:sz w:val="36"/>
          <w:szCs w:val="36"/>
          <w:rtl/>
        </w:rPr>
        <w:t>ما فرغ من الصلا</w:t>
      </w:r>
      <w:r w:rsidR="00EC7EDF" w:rsidRPr="00FD211F">
        <w:rPr>
          <w:sz w:val="36"/>
          <w:szCs w:val="36"/>
          <w:rtl/>
        </w:rPr>
        <w:t>ة</w:t>
      </w:r>
      <w:r w:rsidR="00057D31" w:rsidRPr="00FD211F">
        <w:rPr>
          <w:sz w:val="36"/>
          <w:szCs w:val="36"/>
          <w:rtl/>
        </w:rPr>
        <w:t>:</w:t>
      </w:r>
      <w:r w:rsidR="0081328B" w:rsidRPr="00FD211F">
        <w:rPr>
          <w:sz w:val="36"/>
          <w:szCs w:val="36"/>
          <w:rtl/>
        </w:rPr>
        <w:t xml:space="preserve"> يمضي على صلاته ولا</w:t>
      </w:r>
      <w:r w:rsidRPr="00FD211F">
        <w:rPr>
          <w:sz w:val="36"/>
          <w:szCs w:val="36"/>
          <w:rtl/>
        </w:rPr>
        <w:t>يعيد</w:t>
      </w:r>
      <w:r w:rsidR="009C58C8" w:rsidRPr="00FD211F">
        <w:rPr>
          <w:rStyle w:val="a6"/>
          <w:sz w:val="36"/>
          <w:szCs w:val="36"/>
          <w:rtl/>
        </w:rPr>
        <w:t>(</w:t>
      </w:r>
      <w:r w:rsidR="009C58C8" w:rsidRPr="00FD211F">
        <w:rPr>
          <w:rStyle w:val="a6"/>
          <w:sz w:val="36"/>
          <w:szCs w:val="36"/>
          <w:rtl/>
        </w:rPr>
        <w:footnoteReference w:id="427"/>
      </w:r>
      <w:r w:rsidR="009C58C8" w:rsidRPr="00FD211F">
        <w:rPr>
          <w:rStyle w:val="a6"/>
          <w:sz w:val="36"/>
          <w:szCs w:val="36"/>
          <w:rtl/>
        </w:rPr>
        <w:t>)</w:t>
      </w:r>
      <w:r w:rsidR="00603323" w:rsidRPr="00FD211F">
        <w:rPr>
          <w:sz w:val="36"/>
          <w:szCs w:val="36"/>
          <w:rtl/>
        </w:rPr>
        <w:t xml:space="preserve">، </w:t>
      </w:r>
      <w:r w:rsidRPr="00FD211F">
        <w:rPr>
          <w:sz w:val="36"/>
          <w:szCs w:val="36"/>
          <w:rtl/>
        </w:rPr>
        <w:t xml:space="preserve">وكذا قوله </w:t>
      </w:r>
      <w:r w:rsidR="007A4A0D" w:rsidRPr="00FD211F">
        <w:rPr>
          <w:sz w:val="36"/>
          <w:szCs w:val="36"/>
          <w:rtl/>
        </w:rPr>
        <w:t>(عليه‌السلام)</w:t>
      </w:r>
      <w:r w:rsidRPr="00FD211F">
        <w:rPr>
          <w:sz w:val="36"/>
          <w:szCs w:val="36"/>
          <w:rtl/>
        </w:rPr>
        <w:t xml:space="preserve"> لاتعاد الصلا</w:t>
      </w:r>
      <w:r w:rsidR="00EC7EDF" w:rsidRPr="00FD211F">
        <w:rPr>
          <w:sz w:val="36"/>
          <w:szCs w:val="36"/>
          <w:rtl/>
        </w:rPr>
        <w:t xml:space="preserve">ة </w:t>
      </w:r>
      <w:r w:rsidRPr="00FD211F">
        <w:rPr>
          <w:sz w:val="36"/>
          <w:szCs w:val="36"/>
          <w:rtl/>
        </w:rPr>
        <w:t>الا من خمس الطهور والوقت والقبل</w:t>
      </w:r>
      <w:r w:rsidR="00EC7EDF" w:rsidRPr="00FD211F">
        <w:rPr>
          <w:sz w:val="36"/>
          <w:szCs w:val="36"/>
          <w:rtl/>
        </w:rPr>
        <w:t xml:space="preserve">ة </w:t>
      </w:r>
      <w:r w:rsidRPr="00FD211F">
        <w:rPr>
          <w:sz w:val="36"/>
          <w:szCs w:val="36"/>
          <w:rtl/>
        </w:rPr>
        <w:t>والركوع والسجود</w:t>
      </w:r>
      <w:r w:rsidR="009C58C8" w:rsidRPr="00FD211F">
        <w:rPr>
          <w:rStyle w:val="a6"/>
          <w:sz w:val="36"/>
          <w:szCs w:val="36"/>
          <w:rtl/>
        </w:rPr>
        <w:t>(</w:t>
      </w:r>
      <w:r w:rsidR="009C58C8" w:rsidRPr="00FD211F">
        <w:rPr>
          <w:rStyle w:val="a6"/>
          <w:sz w:val="36"/>
          <w:szCs w:val="36"/>
          <w:rtl/>
        </w:rPr>
        <w:footnoteReference w:id="428"/>
      </w:r>
      <w:r w:rsidR="009C58C8" w:rsidRPr="00FD211F">
        <w:rPr>
          <w:rStyle w:val="a6"/>
          <w:sz w:val="36"/>
          <w:szCs w:val="36"/>
          <w:rtl/>
        </w:rPr>
        <w:t>)</w:t>
      </w:r>
      <w:r w:rsidR="00603323" w:rsidRPr="00FD211F">
        <w:rPr>
          <w:sz w:val="36"/>
          <w:szCs w:val="36"/>
          <w:rtl/>
        </w:rPr>
        <w:t xml:space="preserve">، </w:t>
      </w:r>
      <w:r w:rsidRPr="00FD211F">
        <w:rPr>
          <w:sz w:val="36"/>
          <w:szCs w:val="36"/>
          <w:rtl/>
        </w:rPr>
        <w:t>حيث ان مقتضى الاستثناء لزوم اعاد</w:t>
      </w:r>
      <w:r w:rsidR="00EC7EDF" w:rsidRPr="00FD211F">
        <w:rPr>
          <w:sz w:val="36"/>
          <w:szCs w:val="36"/>
          <w:rtl/>
        </w:rPr>
        <w:t xml:space="preserve">ة </w:t>
      </w:r>
      <w:r w:rsidRPr="00FD211F">
        <w:rPr>
          <w:sz w:val="36"/>
          <w:szCs w:val="36"/>
          <w:rtl/>
        </w:rPr>
        <w:t>الصلا</w:t>
      </w:r>
      <w:r w:rsidR="00EC7EDF" w:rsidRPr="00FD211F">
        <w:rPr>
          <w:sz w:val="36"/>
          <w:szCs w:val="36"/>
          <w:rtl/>
        </w:rPr>
        <w:t xml:space="preserve">ة </w:t>
      </w:r>
      <w:r w:rsidRPr="00FD211F">
        <w:rPr>
          <w:sz w:val="36"/>
          <w:szCs w:val="36"/>
          <w:rtl/>
        </w:rPr>
        <w:t>عند الإخلال بالخمس</w:t>
      </w:r>
      <w:r w:rsidR="00EC7EDF" w:rsidRPr="00FD211F">
        <w:rPr>
          <w:sz w:val="36"/>
          <w:szCs w:val="36"/>
          <w:rtl/>
        </w:rPr>
        <w:t>ة</w:t>
      </w:r>
      <w:r w:rsidR="00603323" w:rsidRPr="00FD211F">
        <w:rPr>
          <w:sz w:val="36"/>
          <w:szCs w:val="36"/>
          <w:rtl/>
        </w:rPr>
        <w:t xml:space="preserve">، </w:t>
      </w:r>
      <w:r w:rsidRPr="00FD211F">
        <w:rPr>
          <w:sz w:val="36"/>
          <w:szCs w:val="36"/>
          <w:rtl/>
        </w:rPr>
        <w:t>وهذا يعني تحقق عنوان الصلا</w:t>
      </w:r>
      <w:r w:rsidR="00EC7EDF" w:rsidRPr="00FD211F">
        <w:rPr>
          <w:sz w:val="36"/>
          <w:szCs w:val="36"/>
          <w:rtl/>
        </w:rPr>
        <w:t xml:space="preserve">ة </w:t>
      </w:r>
      <w:r w:rsidRPr="00FD211F">
        <w:rPr>
          <w:sz w:val="36"/>
          <w:szCs w:val="36"/>
          <w:rtl/>
        </w:rPr>
        <w:t>والا</w:t>
      </w:r>
      <w:r w:rsidR="008D7B3D" w:rsidRPr="00FD211F">
        <w:rPr>
          <w:sz w:val="36"/>
          <w:szCs w:val="36"/>
          <w:rtl/>
        </w:rPr>
        <w:t xml:space="preserve"> لم‌</w:t>
      </w:r>
      <w:r w:rsidR="00532274" w:rsidRPr="00FD211F">
        <w:rPr>
          <w:sz w:val="36"/>
          <w:szCs w:val="36"/>
          <w:rtl/>
        </w:rPr>
        <w:t>يكن معنى لإعادتها.</w:t>
      </w:r>
    </w:p>
    <w:p w14:paraId="50DCB62C" w14:textId="77777777" w:rsidR="000C5BBA" w:rsidRPr="00FD211F" w:rsidRDefault="00052BF2" w:rsidP="009C58C8">
      <w:pPr>
        <w:ind w:left="0" w:firstLine="227"/>
        <w:jc w:val="both"/>
        <w:rPr>
          <w:sz w:val="36"/>
          <w:szCs w:val="36"/>
          <w:rtl/>
        </w:rPr>
      </w:pPr>
      <w:r w:rsidRPr="00FD211F">
        <w:rPr>
          <w:sz w:val="36"/>
          <w:szCs w:val="36"/>
          <w:rtl/>
        </w:rPr>
        <w:t>وكذا</w:t>
      </w:r>
      <w:r w:rsidR="00651D90" w:rsidRPr="00FD211F">
        <w:rPr>
          <w:sz w:val="36"/>
          <w:szCs w:val="36"/>
          <w:rtl/>
        </w:rPr>
        <w:t xml:space="preserve"> </w:t>
      </w:r>
      <w:r w:rsidR="00532274" w:rsidRPr="00FD211F">
        <w:rPr>
          <w:sz w:val="36"/>
          <w:szCs w:val="36"/>
          <w:rtl/>
        </w:rPr>
        <w:t>استدل</w:t>
      </w:r>
      <w:r w:rsidRPr="00FD211F">
        <w:rPr>
          <w:sz w:val="36"/>
          <w:szCs w:val="36"/>
          <w:rtl/>
        </w:rPr>
        <w:t xml:space="preserve"> </w:t>
      </w:r>
      <w:r w:rsidR="00532274" w:rsidRPr="00FD211F">
        <w:rPr>
          <w:sz w:val="36"/>
          <w:szCs w:val="36"/>
          <w:rtl/>
        </w:rPr>
        <w:t>ب</w:t>
      </w:r>
      <w:r w:rsidRPr="00FD211F">
        <w:rPr>
          <w:sz w:val="36"/>
          <w:szCs w:val="36"/>
          <w:rtl/>
        </w:rPr>
        <w:t xml:space="preserve">قوله </w:t>
      </w:r>
      <w:r w:rsidR="007A4A0D" w:rsidRPr="00FD211F">
        <w:rPr>
          <w:sz w:val="36"/>
          <w:szCs w:val="36"/>
          <w:rtl/>
        </w:rPr>
        <w:t>(عليه‌السلام)</w:t>
      </w:r>
      <w:r w:rsidRPr="00FD211F">
        <w:rPr>
          <w:sz w:val="36"/>
          <w:szCs w:val="36"/>
          <w:rtl/>
        </w:rPr>
        <w:t xml:space="preserve"> بني الاسلام على خمس على الصلا</w:t>
      </w:r>
      <w:r w:rsidR="00EC7EDF" w:rsidRPr="00FD211F">
        <w:rPr>
          <w:sz w:val="36"/>
          <w:szCs w:val="36"/>
          <w:rtl/>
        </w:rPr>
        <w:t xml:space="preserve">ة </w:t>
      </w:r>
      <w:r w:rsidRPr="00FD211F">
        <w:rPr>
          <w:sz w:val="36"/>
          <w:szCs w:val="36"/>
          <w:rtl/>
        </w:rPr>
        <w:t>والصوم والزكا</w:t>
      </w:r>
      <w:r w:rsidR="00EC7EDF" w:rsidRPr="00FD211F">
        <w:rPr>
          <w:sz w:val="36"/>
          <w:szCs w:val="36"/>
          <w:rtl/>
        </w:rPr>
        <w:t xml:space="preserve">ة </w:t>
      </w:r>
      <w:r w:rsidRPr="00FD211F">
        <w:rPr>
          <w:sz w:val="36"/>
          <w:szCs w:val="36"/>
          <w:rtl/>
        </w:rPr>
        <w:t>والحج والولاي</w:t>
      </w:r>
      <w:r w:rsidR="00EC7EDF" w:rsidRPr="00FD211F">
        <w:rPr>
          <w:sz w:val="36"/>
          <w:szCs w:val="36"/>
          <w:rtl/>
        </w:rPr>
        <w:t>ة</w:t>
      </w:r>
      <w:r w:rsidR="00603323" w:rsidRPr="00FD211F">
        <w:rPr>
          <w:sz w:val="36"/>
          <w:szCs w:val="36"/>
          <w:rtl/>
        </w:rPr>
        <w:t xml:space="preserve">، </w:t>
      </w:r>
      <w:r w:rsidRPr="00FD211F">
        <w:rPr>
          <w:sz w:val="36"/>
          <w:szCs w:val="36"/>
          <w:rtl/>
        </w:rPr>
        <w:t>فأخذ الناس بالأربع وتركوا هذه</w:t>
      </w:r>
      <w:r w:rsidR="009C58C8" w:rsidRPr="00FD211F">
        <w:rPr>
          <w:rStyle w:val="a6"/>
          <w:sz w:val="36"/>
          <w:szCs w:val="36"/>
          <w:rtl/>
        </w:rPr>
        <w:t>(</w:t>
      </w:r>
      <w:r w:rsidR="009C58C8" w:rsidRPr="00FD211F">
        <w:rPr>
          <w:rStyle w:val="a6"/>
          <w:sz w:val="36"/>
          <w:szCs w:val="36"/>
          <w:rtl/>
        </w:rPr>
        <w:footnoteReference w:id="429"/>
      </w:r>
      <w:r w:rsidR="009C58C8" w:rsidRPr="00FD211F">
        <w:rPr>
          <w:rStyle w:val="a6"/>
          <w:sz w:val="36"/>
          <w:szCs w:val="36"/>
          <w:rtl/>
        </w:rPr>
        <w:t>)</w:t>
      </w:r>
      <w:r w:rsidR="00603323" w:rsidRPr="00FD211F">
        <w:rPr>
          <w:sz w:val="36"/>
          <w:szCs w:val="36"/>
          <w:rtl/>
        </w:rPr>
        <w:t xml:space="preserve">، </w:t>
      </w:r>
      <w:r w:rsidRPr="00FD211F">
        <w:rPr>
          <w:sz w:val="36"/>
          <w:szCs w:val="36"/>
          <w:rtl/>
        </w:rPr>
        <w:t>فان الإخبار باخذ العام</w:t>
      </w:r>
      <w:r w:rsidR="00EC7EDF" w:rsidRPr="00FD211F">
        <w:rPr>
          <w:sz w:val="36"/>
          <w:szCs w:val="36"/>
          <w:rtl/>
        </w:rPr>
        <w:t xml:space="preserve">ة </w:t>
      </w:r>
      <w:r w:rsidRPr="00FD211F">
        <w:rPr>
          <w:sz w:val="36"/>
          <w:szCs w:val="36"/>
          <w:rtl/>
        </w:rPr>
        <w:t>بالصلا</w:t>
      </w:r>
      <w:r w:rsidR="00EC7EDF" w:rsidRPr="00FD211F">
        <w:rPr>
          <w:sz w:val="36"/>
          <w:szCs w:val="36"/>
          <w:rtl/>
        </w:rPr>
        <w:t xml:space="preserve">ة </w:t>
      </w:r>
      <w:r w:rsidRPr="00FD211F">
        <w:rPr>
          <w:sz w:val="36"/>
          <w:szCs w:val="36"/>
          <w:rtl/>
        </w:rPr>
        <w:t>والصوم والزكا</w:t>
      </w:r>
      <w:r w:rsidR="00EC7EDF" w:rsidRPr="00FD211F">
        <w:rPr>
          <w:sz w:val="36"/>
          <w:szCs w:val="36"/>
          <w:rtl/>
        </w:rPr>
        <w:t xml:space="preserve">ة </w:t>
      </w:r>
      <w:r w:rsidRPr="00FD211F">
        <w:rPr>
          <w:sz w:val="36"/>
          <w:szCs w:val="36"/>
          <w:rtl/>
        </w:rPr>
        <w:t>والحج يدل على عدم اختصاصها بالصحيح</w:t>
      </w:r>
      <w:r w:rsidR="00603323" w:rsidRPr="00FD211F">
        <w:rPr>
          <w:sz w:val="36"/>
          <w:szCs w:val="36"/>
          <w:rtl/>
        </w:rPr>
        <w:t xml:space="preserve">، </w:t>
      </w:r>
      <w:r w:rsidRPr="00FD211F">
        <w:rPr>
          <w:sz w:val="36"/>
          <w:szCs w:val="36"/>
          <w:rtl/>
        </w:rPr>
        <w:t>لكون عبادتهم فاسد</w:t>
      </w:r>
      <w:r w:rsidR="00EC7EDF" w:rsidRPr="00FD211F">
        <w:rPr>
          <w:sz w:val="36"/>
          <w:szCs w:val="36"/>
          <w:rtl/>
        </w:rPr>
        <w:t xml:space="preserve">ة </w:t>
      </w:r>
      <w:r w:rsidR="00532274" w:rsidRPr="00FD211F">
        <w:rPr>
          <w:sz w:val="36"/>
          <w:szCs w:val="36"/>
          <w:rtl/>
        </w:rPr>
        <w:t>على مسلك المشهور.</w:t>
      </w:r>
    </w:p>
    <w:p w14:paraId="3E458E40" w14:textId="77777777" w:rsidR="00052BF2" w:rsidRPr="00FD211F" w:rsidRDefault="00052BF2" w:rsidP="009C58C8">
      <w:pPr>
        <w:ind w:left="0" w:firstLine="227"/>
        <w:jc w:val="both"/>
        <w:rPr>
          <w:sz w:val="36"/>
          <w:szCs w:val="36"/>
          <w:rtl/>
        </w:rPr>
      </w:pPr>
      <w:r w:rsidRPr="00FD211F">
        <w:rPr>
          <w:sz w:val="36"/>
          <w:szCs w:val="36"/>
          <w:rtl/>
        </w:rPr>
        <w:t>وقد اورد في الكفاي</w:t>
      </w:r>
      <w:r w:rsidR="00EC7EDF" w:rsidRPr="00FD211F">
        <w:rPr>
          <w:sz w:val="36"/>
          <w:szCs w:val="36"/>
          <w:rtl/>
        </w:rPr>
        <w:t xml:space="preserve">ة </w:t>
      </w:r>
      <w:r w:rsidRPr="00FD211F">
        <w:rPr>
          <w:sz w:val="36"/>
          <w:szCs w:val="36"/>
          <w:rtl/>
        </w:rPr>
        <w:t>على الاستدلال بهذه الرواي</w:t>
      </w:r>
      <w:r w:rsidR="00EC7EDF" w:rsidRPr="00FD211F">
        <w:rPr>
          <w:sz w:val="36"/>
          <w:szCs w:val="36"/>
          <w:rtl/>
        </w:rPr>
        <w:t xml:space="preserve">ة </w:t>
      </w:r>
      <w:r w:rsidRPr="00FD211F">
        <w:rPr>
          <w:sz w:val="36"/>
          <w:szCs w:val="36"/>
          <w:rtl/>
        </w:rPr>
        <w:t>بانها مستعمل</w:t>
      </w:r>
      <w:r w:rsidR="00EC7EDF" w:rsidRPr="00FD211F">
        <w:rPr>
          <w:sz w:val="36"/>
          <w:szCs w:val="36"/>
          <w:rtl/>
        </w:rPr>
        <w:t xml:space="preserve">ة </w:t>
      </w:r>
      <w:r w:rsidRPr="00FD211F">
        <w:rPr>
          <w:sz w:val="36"/>
          <w:szCs w:val="36"/>
          <w:rtl/>
        </w:rPr>
        <w:t>في الصحيح جزما لان الذي بني عليه الاسلام هو خصوص الصحيح من الصلا</w:t>
      </w:r>
      <w:r w:rsidR="00EC7EDF" w:rsidRPr="00FD211F">
        <w:rPr>
          <w:sz w:val="36"/>
          <w:szCs w:val="36"/>
          <w:rtl/>
        </w:rPr>
        <w:t xml:space="preserve">ة </w:t>
      </w:r>
      <w:r w:rsidRPr="00FD211F">
        <w:rPr>
          <w:sz w:val="36"/>
          <w:szCs w:val="36"/>
          <w:rtl/>
        </w:rPr>
        <w:t>ونحوها</w:t>
      </w:r>
      <w:r w:rsidR="00603323" w:rsidRPr="00FD211F">
        <w:rPr>
          <w:sz w:val="36"/>
          <w:szCs w:val="36"/>
          <w:rtl/>
        </w:rPr>
        <w:t xml:space="preserve">، </w:t>
      </w:r>
      <w:r w:rsidRPr="00FD211F">
        <w:rPr>
          <w:sz w:val="36"/>
          <w:szCs w:val="36"/>
          <w:rtl/>
        </w:rPr>
        <w:t>وحينئذ فيكون الاخبار في الرواي</w:t>
      </w:r>
      <w:r w:rsidR="00EC7EDF" w:rsidRPr="00FD211F">
        <w:rPr>
          <w:sz w:val="36"/>
          <w:szCs w:val="36"/>
          <w:rtl/>
        </w:rPr>
        <w:t xml:space="preserve">ة </w:t>
      </w:r>
      <w:r w:rsidRPr="00FD211F">
        <w:rPr>
          <w:sz w:val="36"/>
          <w:szCs w:val="36"/>
          <w:rtl/>
        </w:rPr>
        <w:t>باخذ العام</w:t>
      </w:r>
      <w:r w:rsidR="00EC7EDF" w:rsidRPr="00FD211F">
        <w:rPr>
          <w:sz w:val="36"/>
          <w:szCs w:val="36"/>
          <w:rtl/>
        </w:rPr>
        <w:t xml:space="preserve">ة </w:t>
      </w:r>
      <w:r w:rsidRPr="00FD211F">
        <w:rPr>
          <w:sz w:val="36"/>
          <w:szCs w:val="36"/>
          <w:rtl/>
        </w:rPr>
        <w:t>بالأربع مع بطلان عبادتهم إما من باب رعاي</w:t>
      </w:r>
      <w:r w:rsidR="00EC7EDF" w:rsidRPr="00FD211F">
        <w:rPr>
          <w:sz w:val="36"/>
          <w:szCs w:val="36"/>
          <w:rtl/>
        </w:rPr>
        <w:t xml:space="preserve">ة </w:t>
      </w:r>
      <w:r w:rsidRPr="00FD211F">
        <w:rPr>
          <w:sz w:val="36"/>
          <w:szCs w:val="36"/>
          <w:rtl/>
        </w:rPr>
        <w:t>المماشا</w:t>
      </w:r>
      <w:r w:rsidR="00EC7EDF" w:rsidRPr="00FD211F">
        <w:rPr>
          <w:sz w:val="36"/>
          <w:szCs w:val="36"/>
          <w:rtl/>
        </w:rPr>
        <w:t xml:space="preserve">ة </w:t>
      </w:r>
      <w:r w:rsidRPr="00FD211F">
        <w:rPr>
          <w:sz w:val="36"/>
          <w:szCs w:val="36"/>
          <w:rtl/>
        </w:rPr>
        <w:t>مع اعتقادهم بصح</w:t>
      </w:r>
      <w:r w:rsidR="00EC7EDF" w:rsidRPr="00FD211F">
        <w:rPr>
          <w:sz w:val="36"/>
          <w:szCs w:val="36"/>
          <w:rtl/>
        </w:rPr>
        <w:t xml:space="preserve">ة </w:t>
      </w:r>
      <w:r w:rsidRPr="00FD211F">
        <w:rPr>
          <w:sz w:val="36"/>
          <w:szCs w:val="36"/>
          <w:rtl/>
        </w:rPr>
        <w:t>عباداتهم او بعلاق</w:t>
      </w:r>
      <w:r w:rsidR="00EC7EDF" w:rsidRPr="00FD211F">
        <w:rPr>
          <w:sz w:val="36"/>
          <w:szCs w:val="36"/>
          <w:rtl/>
        </w:rPr>
        <w:t xml:space="preserve">ة </w:t>
      </w:r>
      <w:r w:rsidRPr="00FD211F">
        <w:rPr>
          <w:sz w:val="36"/>
          <w:szCs w:val="36"/>
          <w:rtl/>
        </w:rPr>
        <w:t>المشاكل</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30"/>
      </w:r>
      <w:r w:rsidR="009C58C8" w:rsidRPr="00FD211F">
        <w:rPr>
          <w:rStyle w:val="a6"/>
          <w:sz w:val="36"/>
          <w:szCs w:val="36"/>
          <w:rtl/>
        </w:rPr>
        <w:t>)</w:t>
      </w:r>
      <w:r w:rsidR="00603323" w:rsidRPr="00FD211F">
        <w:rPr>
          <w:sz w:val="36"/>
          <w:szCs w:val="36"/>
          <w:rtl/>
        </w:rPr>
        <w:t xml:space="preserve">، </w:t>
      </w:r>
      <w:r w:rsidRPr="00FD211F">
        <w:rPr>
          <w:sz w:val="36"/>
          <w:szCs w:val="36"/>
          <w:rtl/>
        </w:rPr>
        <w:t>وفيه: ان كون ما بني عليه الاسلام هو خصوص الصحيح لايعدو استعمال الفاظ العبادات في الرواي</w:t>
      </w:r>
      <w:r w:rsidR="00EC7EDF" w:rsidRPr="00FD211F">
        <w:rPr>
          <w:sz w:val="36"/>
          <w:szCs w:val="36"/>
          <w:rtl/>
        </w:rPr>
        <w:t xml:space="preserve">ة </w:t>
      </w:r>
      <w:r w:rsidRPr="00FD211F">
        <w:rPr>
          <w:sz w:val="36"/>
          <w:szCs w:val="36"/>
          <w:rtl/>
        </w:rPr>
        <w:t>في معنى الصحيح</w:t>
      </w:r>
      <w:r w:rsidR="00603323" w:rsidRPr="00FD211F">
        <w:rPr>
          <w:sz w:val="36"/>
          <w:szCs w:val="36"/>
          <w:rtl/>
        </w:rPr>
        <w:t xml:space="preserve">، </w:t>
      </w:r>
      <w:r w:rsidRPr="00FD211F">
        <w:rPr>
          <w:sz w:val="36"/>
          <w:szCs w:val="36"/>
          <w:rtl/>
        </w:rPr>
        <w:t>بل لعل ارادته بنحو تعدد الدال والمدلول</w:t>
      </w:r>
      <w:r w:rsidR="00603323" w:rsidRPr="00FD211F">
        <w:rPr>
          <w:sz w:val="36"/>
          <w:szCs w:val="36"/>
          <w:rtl/>
        </w:rPr>
        <w:t xml:space="preserve">، </w:t>
      </w:r>
      <w:r w:rsidRPr="00FD211F">
        <w:rPr>
          <w:sz w:val="36"/>
          <w:szCs w:val="36"/>
          <w:rtl/>
        </w:rPr>
        <w:t>بان تكون الصلا</w:t>
      </w:r>
      <w:r w:rsidR="00EC7EDF" w:rsidRPr="00FD211F">
        <w:rPr>
          <w:sz w:val="36"/>
          <w:szCs w:val="36"/>
          <w:rtl/>
        </w:rPr>
        <w:t xml:space="preserve">ة </w:t>
      </w:r>
      <w:r w:rsidRPr="00FD211F">
        <w:rPr>
          <w:sz w:val="36"/>
          <w:szCs w:val="36"/>
          <w:rtl/>
        </w:rPr>
        <w:t>مثلا مستعمل</w:t>
      </w:r>
      <w:r w:rsidR="00EC7EDF" w:rsidRPr="00FD211F">
        <w:rPr>
          <w:sz w:val="36"/>
          <w:szCs w:val="36"/>
          <w:rtl/>
        </w:rPr>
        <w:t xml:space="preserve">ة </w:t>
      </w:r>
      <w:r w:rsidRPr="00FD211F">
        <w:rPr>
          <w:sz w:val="36"/>
          <w:szCs w:val="36"/>
          <w:rtl/>
        </w:rPr>
        <w:t>في الأعم مع قيام قرين</w:t>
      </w:r>
      <w:r w:rsidR="00EC7EDF" w:rsidRPr="00FD211F">
        <w:rPr>
          <w:sz w:val="36"/>
          <w:szCs w:val="36"/>
          <w:rtl/>
        </w:rPr>
        <w:t xml:space="preserve">ة </w:t>
      </w:r>
      <w:r w:rsidRPr="00FD211F">
        <w:rPr>
          <w:sz w:val="36"/>
          <w:szCs w:val="36"/>
          <w:rtl/>
        </w:rPr>
        <w:t>عرفي</w:t>
      </w:r>
      <w:r w:rsidR="00EC7EDF" w:rsidRPr="00FD211F">
        <w:rPr>
          <w:sz w:val="36"/>
          <w:szCs w:val="36"/>
          <w:rtl/>
        </w:rPr>
        <w:t xml:space="preserve">ة </w:t>
      </w:r>
      <w:r w:rsidRPr="00FD211F">
        <w:rPr>
          <w:sz w:val="36"/>
          <w:szCs w:val="36"/>
          <w:rtl/>
        </w:rPr>
        <w:t>على تقييدها بالصحيح.</w:t>
      </w:r>
    </w:p>
    <w:p w14:paraId="0D6F060B" w14:textId="77777777" w:rsidR="00052BF2" w:rsidRPr="00FD211F" w:rsidRDefault="00052BF2" w:rsidP="009C58C8">
      <w:pPr>
        <w:ind w:left="0" w:firstLine="227"/>
        <w:jc w:val="both"/>
        <w:rPr>
          <w:sz w:val="36"/>
          <w:szCs w:val="36"/>
          <w:rtl/>
        </w:rPr>
      </w:pPr>
      <w:r w:rsidRPr="00FD211F">
        <w:rPr>
          <w:sz w:val="36"/>
          <w:szCs w:val="36"/>
          <w:rtl/>
        </w:rPr>
        <w:t>وقد يقال بان الإيمان ليس شرطا لصح</w:t>
      </w:r>
      <w:r w:rsidR="00EC7EDF" w:rsidRPr="00FD211F">
        <w:rPr>
          <w:sz w:val="36"/>
          <w:szCs w:val="36"/>
          <w:rtl/>
        </w:rPr>
        <w:t xml:space="preserve">ة </w:t>
      </w:r>
      <w:r w:rsidRPr="00FD211F">
        <w:rPr>
          <w:sz w:val="36"/>
          <w:szCs w:val="36"/>
          <w:rtl/>
        </w:rPr>
        <w:t>العباد</w:t>
      </w:r>
      <w:r w:rsidR="00EC7EDF" w:rsidRPr="00FD211F">
        <w:rPr>
          <w:sz w:val="36"/>
          <w:szCs w:val="36"/>
          <w:rtl/>
        </w:rPr>
        <w:t xml:space="preserve">ة </w:t>
      </w:r>
      <w:r w:rsidRPr="00FD211F">
        <w:rPr>
          <w:sz w:val="36"/>
          <w:szCs w:val="36"/>
          <w:rtl/>
        </w:rPr>
        <w:t>وانما هو شرط لاستحقاق الثواب والقبول خلافا للمشهور</w:t>
      </w:r>
      <w:r w:rsidR="00603323" w:rsidRPr="00FD211F">
        <w:rPr>
          <w:sz w:val="36"/>
          <w:szCs w:val="36"/>
          <w:rtl/>
        </w:rPr>
        <w:t xml:space="preserve">، </w:t>
      </w:r>
      <w:r w:rsidRPr="00FD211F">
        <w:rPr>
          <w:sz w:val="36"/>
          <w:szCs w:val="36"/>
          <w:rtl/>
        </w:rPr>
        <w:t>ولكن لايرتفع الاشكال على هذا المبنى ايضا لكون اعمالهم فاقد</w:t>
      </w:r>
      <w:r w:rsidR="00EC7EDF" w:rsidRPr="00FD211F">
        <w:rPr>
          <w:sz w:val="36"/>
          <w:szCs w:val="36"/>
          <w:rtl/>
        </w:rPr>
        <w:t xml:space="preserve">ة </w:t>
      </w:r>
      <w:r w:rsidRPr="00FD211F">
        <w:rPr>
          <w:sz w:val="36"/>
          <w:szCs w:val="36"/>
          <w:rtl/>
        </w:rPr>
        <w:t>لجمل</w:t>
      </w:r>
      <w:r w:rsidR="00EC7EDF" w:rsidRPr="00FD211F">
        <w:rPr>
          <w:sz w:val="36"/>
          <w:szCs w:val="36"/>
          <w:rtl/>
        </w:rPr>
        <w:t xml:space="preserve">ة </w:t>
      </w:r>
      <w:r w:rsidRPr="00FD211F">
        <w:rPr>
          <w:sz w:val="36"/>
          <w:szCs w:val="36"/>
          <w:rtl/>
        </w:rPr>
        <w:t>من الأجزاء والشرائط كالطهار</w:t>
      </w:r>
      <w:r w:rsidR="00EC7EDF" w:rsidRPr="00FD211F">
        <w:rPr>
          <w:sz w:val="36"/>
          <w:szCs w:val="36"/>
          <w:rtl/>
        </w:rPr>
        <w:t xml:space="preserve">ة </w:t>
      </w:r>
      <w:r w:rsidRPr="00FD211F">
        <w:rPr>
          <w:sz w:val="36"/>
          <w:szCs w:val="36"/>
          <w:rtl/>
        </w:rPr>
        <w:t>من الحدث</w:t>
      </w:r>
      <w:r w:rsidR="00603323" w:rsidRPr="00FD211F">
        <w:rPr>
          <w:sz w:val="36"/>
          <w:szCs w:val="36"/>
          <w:rtl/>
        </w:rPr>
        <w:t xml:space="preserve">، </w:t>
      </w:r>
      <w:r w:rsidRPr="00FD211F">
        <w:rPr>
          <w:sz w:val="36"/>
          <w:szCs w:val="36"/>
          <w:rtl/>
        </w:rPr>
        <w:t>وكيف كان فقد يقال بان هذه الاستعمالات لعلها من باب المسامح</w:t>
      </w:r>
      <w:r w:rsidR="00EC7EDF" w:rsidRPr="00FD211F">
        <w:rPr>
          <w:sz w:val="36"/>
          <w:szCs w:val="36"/>
          <w:rtl/>
        </w:rPr>
        <w:t xml:space="preserve">ة </w:t>
      </w:r>
      <w:r w:rsidRPr="00FD211F">
        <w:rPr>
          <w:sz w:val="36"/>
          <w:szCs w:val="36"/>
          <w:rtl/>
        </w:rPr>
        <w:t>والمجاز</w:t>
      </w:r>
      <w:r w:rsidR="00603323" w:rsidRPr="00FD211F">
        <w:rPr>
          <w:sz w:val="36"/>
          <w:szCs w:val="36"/>
          <w:rtl/>
        </w:rPr>
        <w:t xml:space="preserve">، </w:t>
      </w:r>
      <w:r w:rsidRPr="00FD211F">
        <w:rPr>
          <w:sz w:val="36"/>
          <w:szCs w:val="36"/>
          <w:rtl/>
        </w:rPr>
        <w:t>والا فقد ورد في قبال ذلك مثل قوله لاصلا</w:t>
      </w:r>
      <w:r w:rsidR="00EC7EDF" w:rsidRPr="00FD211F">
        <w:rPr>
          <w:sz w:val="36"/>
          <w:szCs w:val="36"/>
          <w:rtl/>
        </w:rPr>
        <w:t xml:space="preserve">ة </w:t>
      </w:r>
      <w:r w:rsidRPr="00FD211F">
        <w:rPr>
          <w:sz w:val="36"/>
          <w:szCs w:val="36"/>
          <w:rtl/>
        </w:rPr>
        <w:t>الا بطهور</w:t>
      </w:r>
      <w:r w:rsidR="00603323" w:rsidRPr="00FD211F">
        <w:rPr>
          <w:sz w:val="36"/>
          <w:szCs w:val="36"/>
          <w:rtl/>
        </w:rPr>
        <w:t xml:space="preserve">، </w:t>
      </w:r>
      <w:r w:rsidRPr="00FD211F">
        <w:rPr>
          <w:sz w:val="36"/>
          <w:szCs w:val="36"/>
          <w:rtl/>
        </w:rPr>
        <w:t>ولاصلا</w:t>
      </w:r>
      <w:r w:rsidR="00EC7EDF" w:rsidRPr="00FD211F">
        <w:rPr>
          <w:sz w:val="36"/>
          <w:szCs w:val="36"/>
          <w:rtl/>
        </w:rPr>
        <w:t xml:space="preserve">ة </w:t>
      </w:r>
      <w:r w:rsidRPr="00FD211F">
        <w:rPr>
          <w:sz w:val="36"/>
          <w:szCs w:val="36"/>
          <w:rtl/>
        </w:rPr>
        <w:t>الا بفاتح</w:t>
      </w:r>
      <w:r w:rsidR="00EC7EDF" w:rsidRPr="00FD211F">
        <w:rPr>
          <w:sz w:val="36"/>
          <w:szCs w:val="36"/>
          <w:rtl/>
        </w:rPr>
        <w:t xml:space="preserve">ة </w:t>
      </w:r>
      <w:r w:rsidRPr="00FD211F">
        <w:rPr>
          <w:sz w:val="36"/>
          <w:szCs w:val="36"/>
          <w:rtl/>
        </w:rPr>
        <w:t>الكتاب ولاصلا</w:t>
      </w:r>
      <w:r w:rsidR="00EC7EDF" w:rsidRPr="00FD211F">
        <w:rPr>
          <w:sz w:val="36"/>
          <w:szCs w:val="36"/>
          <w:rtl/>
        </w:rPr>
        <w:t xml:space="preserve">ة </w:t>
      </w:r>
      <w:r w:rsidRPr="00FD211F">
        <w:rPr>
          <w:sz w:val="36"/>
          <w:szCs w:val="36"/>
          <w:rtl/>
        </w:rPr>
        <w:t>لمن</w:t>
      </w:r>
      <w:r w:rsidR="008D7B3D" w:rsidRPr="00FD211F">
        <w:rPr>
          <w:sz w:val="36"/>
          <w:szCs w:val="36"/>
          <w:rtl/>
        </w:rPr>
        <w:t xml:space="preserve"> لم‌</w:t>
      </w:r>
      <w:r w:rsidRPr="00FD211F">
        <w:rPr>
          <w:sz w:val="36"/>
          <w:szCs w:val="36"/>
          <w:rtl/>
        </w:rPr>
        <w:t>يقم صلبه ولاصلا</w:t>
      </w:r>
      <w:r w:rsidR="00EC7EDF" w:rsidRPr="00FD211F">
        <w:rPr>
          <w:sz w:val="36"/>
          <w:szCs w:val="36"/>
          <w:rtl/>
        </w:rPr>
        <w:t xml:space="preserve">ة </w:t>
      </w:r>
      <w:r w:rsidRPr="00FD211F">
        <w:rPr>
          <w:sz w:val="36"/>
          <w:szCs w:val="36"/>
          <w:rtl/>
        </w:rPr>
        <w:t>بغير افتتاح</w:t>
      </w:r>
      <w:r w:rsidR="00603323" w:rsidRPr="00FD211F">
        <w:rPr>
          <w:sz w:val="36"/>
          <w:szCs w:val="36"/>
          <w:rtl/>
        </w:rPr>
        <w:t xml:space="preserve">، </w:t>
      </w:r>
      <w:r w:rsidRPr="00FD211F">
        <w:rPr>
          <w:sz w:val="36"/>
          <w:szCs w:val="36"/>
          <w:rtl/>
        </w:rPr>
        <w:t>فالعمد</w:t>
      </w:r>
      <w:r w:rsidR="00EC7EDF" w:rsidRPr="00FD211F">
        <w:rPr>
          <w:sz w:val="36"/>
          <w:szCs w:val="36"/>
          <w:rtl/>
        </w:rPr>
        <w:t xml:space="preserve">ة </w:t>
      </w:r>
      <w:r w:rsidRPr="00FD211F">
        <w:rPr>
          <w:sz w:val="36"/>
          <w:szCs w:val="36"/>
          <w:rtl/>
        </w:rPr>
        <w:t>ان يضمّ اليه دعوى عدم ملاحظ</w:t>
      </w:r>
      <w:r w:rsidR="00EC7EDF" w:rsidRPr="00FD211F">
        <w:rPr>
          <w:sz w:val="36"/>
          <w:szCs w:val="36"/>
          <w:rtl/>
        </w:rPr>
        <w:t xml:space="preserve">ة </w:t>
      </w:r>
      <w:r w:rsidRPr="00FD211F">
        <w:rPr>
          <w:sz w:val="36"/>
          <w:szCs w:val="36"/>
          <w:rtl/>
        </w:rPr>
        <w:t>أي</w:t>
      </w:r>
      <w:r w:rsidR="00EC7EDF" w:rsidRPr="00FD211F">
        <w:rPr>
          <w:sz w:val="36"/>
          <w:szCs w:val="36"/>
          <w:rtl/>
        </w:rPr>
        <w:t xml:space="preserve">ة </w:t>
      </w:r>
      <w:r w:rsidRPr="00FD211F">
        <w:rPr>
          <w:sz w:val="36"/>
          <w:szCs w:val="36"/>
          <w:rtl/>
        </w:rPr>
        <w:t>عناي</w:t>
      </w:r>
      <w:r w:rsidR="00EC7EDF" w:rsidRPr="00FD211F">
        <w:rPr>
          <w:sz w:val="36"/>
          <w:szCs w:val="36"/>
          <w:rtl/>
        </w:rPr>
        <w:t xml:space="preserve">ة </w:t>
      </w:r>
      <w:r w:rsidRPr="00FD211F">
        <w:rPr>
          <w:sz w:val="36"/>
          <w:szCs w:val="36"/>
          <w:rtl/>
        </w:rPr>
        <w:t>في هذه الاستعمالات فيرجع الى الوجه الاول او يكون منبِّها عليه</w:t>
      </w:r>
      <w:r w:rsidR="00603323" w:rsidRPr="00FD211F">
        <w:rPr>
          <w:sz w:val="36"/>
          <w:szCs w:val="36"/>
          <w:rtl/>
        </w:rPr>
        <w:t xml:space="preserve">، </w:t>
      </w:r>
      <w:r w:rsidRPr="00FD211F">
        <w:rPr>
          <w:sz w:val="36"/>
          <w:szCs w:val="36"/>
          <w:rtl/>
        </w:rPr>
        <w:t>فيجري فيه الاشكال المذكور على الوجه الاول.</w:t>
      </w:r>
    </w:p>
    <w:p w14:paraId="774790D6" w14:textId="77777777" w:rsidR="00052BF2" w:rsidRPr="00FD211F" w:rsidRDefault="00052BF2" w:rsidP="009C58C8">
      <w:pPr>
        <w:ind w:left="0" w:firstLine="227"/>
        <w:jc w:val="both"/>
        <w:rPr>
          <w:sz w:val="36"/>
          <w:szCs w:val="36"/>
          <w:rtl/>
        </w:rPr>
      </w:pPr>
      <w:r w:rsidRPr="00FD211F">
        <w:rPr>
          <w:sz w:val="36"/>
          <w:szCs w:val="36"/>
          <w:rtl/>
        </w:rPr>
        <w:t xml:space="preserve">3- ما ذكره المحقق الاصفهاني </w:t>
      </w:r>
      <w:r w:rsidR="00016BEF" w:rsidRPr="00FD211F">
        <w:rPr>
          <w:sz w:val="36"/>
          <w:szCs w:val="36"/>
          <w:rtl/>
        </w:rPr>
        <w:t>"</w:t>
      </w:r>
      <w:r w:rsidRPr="00FD211F">
        <w:rPr>
          <w:sz w:val="36"/>
          <w:szCs w:val="36"/>
          <w:rtl/>
        </w:rPr>
        <w:t>قده</w:t>
      </w:r>
      <w:r w:rsidR="00016BEF" w:rsidRPr="00FD211F">
        <w:rPr>
          <w:sz w:val="36"/>
          <w:szCs w:val="36"/>
          <w:rtl/>
        </w:rPr>
        <w:t>"</w:t>
      </w:r>
      <w:r w:rsidRPr="00FD211F">
        <w:rPr>
          <w:sz w:val="36"/>
          <w:szCs w:val="36"/>
          <w:rtl/>
        </w:rPr>
        <w:t xml:space="preserve"> ومحصله ان طريق</w:t>
      </w:r>
      <w:r w:rsidR="00EC7EDF" w:rsidRPr="00FD211F">
        <w:rPr>
          <w:sz w:val="36"/>
          <w:szCs w:val="36"/>
          <w:rtl/>
        </w:rPr>
        <w:t xml:space="preserve">ة </w:t>
      </w:r>
      <w:r w:rsidRPr="00FD211F">
        <w:rPr>
          <w:sz w:val="36"/>
          <w:szCs w:val="36"/>
          <w:rtl/>
        </w:rPr>
        <w:t>المخترعين هو وضع اللفظ بما يكون واجدا لتمام أجزاء ما اخترعوه كالمعجون الذي يخترعه الطبيب فانه يضع الإسم لواجد تمام الأجزاء من دون أخذ شرائط صدورها عن الفاعل في المسمى</w:t>
      </w:r>
      <w:r w:rsidR="00603323" w:rsidRPr="00FD211F">
        <w:rPr>
          <w:sz w:val="36"/>
          <w:szCs w:val="36"/>
          <w:rtl/>
        </w:rPr>
        <w:t xml:space="preserve">، </w:t>
      </w:r>
      <w:r w:rsidRPr="00FD211F">
        <w:rPr>
          <w:sz w:val="36"/>
          <w:szCs w:val="36"/>
          <w:rtl/>
        </w:rPr>
        <w:t>ككون استعمال هذا المعجون الطبي في زمان معين او حال</w:t>
      </w:r>
      <w:r w:rsidR="00EC7EDF" w:rsidRPr="00FD211F">
        <w:rPr>
          <w:sz w:val="36"/>
          <w:szCs w:val="36"/>
          <w:rtl/>
        </w:rPr>
        <w:t xml:space="preserve">ة </w:t>
      </w:r>
      <w:r w:rsidRPr="00FD211F">
        <w:rPr>
          <w:sz w:val="36"/>
          <w:szCs w:val="36"/>
          <w:rtl/>
        </w:rPr>
        <w:t>معين</w:t>
      </w:r>
      <w:r w:rsidR="00EC7EDF" w:rsidRPr="00FD211F">
        <w:rPr>
          <w:sz w:val="36"/>
          <w:szCs w:val="36"/>
          <w:rtl/>
        </w:rPr>
        <w:t>ة</w:t>
      </w:r>
      <w:r w:rsidR="00603323" w:rsidRPr="00FD211F">
        <w:rPr>
          <w:sz w:val="36"/>
          <w:szCs w:val="36"/>
          <w:rtl/>
        </w:rPr>
        <w:t xml:space="preserve">، </w:t>
      </w:r>
      <w:r w:rsidRPr="00FD211F">
        <w:rPr>
          <w:sz w:val="36"/>
          <w:szCs w:val="36"/>
          <w:rtl/>
        </w:rPr>
        <w:t>وظاهر الشارع انه اتبع هذه الطريق</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Pr="00FD211F">
        <w:rPr>
          <w:sz w:val="36"/>
          <w:szCs w:val="36"/>
          <w:rtl/>
        </w:rPr>
        <w:t>ووضع الفاظ العبادات على تام الأجزاء وان كان فاقدا للشرط</w:t>
      </w:r>
      <w:r w:rsidR="00603323" w:rsidRPr="00FD211F">
        <w:rPr>
          <w:sz w:val="36"/>
          <w:szCs w:val="36"/>
          <w:rtl/>
        </w:rPr>
        <w:t xml:space="preserve">، </w:t>
      </w:r>
      <w:r w:rsidRPr="00FD211F">
        <w:rPr>
          <w:sz w:val="36"/>
          <w:szCs w:val="36"/>
          <w:rtl/>
        </w:rPr>
        <w:t>والظاهر من كلامه انه يعني من الشرط الذي هو خارج عن المسمى ما يكون شرط التاثير في مقام الاستعمال دون الشرائط الداخلي</w:t>
      </w:r>
      <w:r w:rsidR="00EC7EDF" w:rsidRPr="00FD211F">
        <w:rPr>
          <w:sz w:val="36"/>
          <w:szCs w:val="36"/>
          <w:rtl/>
        </w:rPr>
        <w:t xml:space="preserve">ة </w:t>
      </w:r>
      <w:r w:rsidRPr="00FD211F">
        <w:rPr>
          <w:sz w:val="36"/>
          <w:szCs w:val="36"/>
          <w:rtl/>
        </w:rPr>
        <w:t>لنفس المعجون</w:t>
      </w:r>
      <w:r w:rsidR="00603323" w:rsidRPr="00FD211F">
        <w:rPr>
          <w:sz w:val="36"/>
          <w:szCs w:val="36"/>
          <w:rtl/>
        </w:rPr>
        <w:t xml:space="preserve">، </w:t>
      </w:r>
      <w:r w:rsidRPr="00FD211F">
        <w:rPr>
          <w:sz w:val="36"/>
          <w:szCs w:val="36"/>
          <w:rtl/>
        </w:rPr>
        <w:t>وعليه فالصلا</w:t>
      </w:r>
      <w:r w:rsidR="00EC7EDF" w:rsidRPr="00FD211F">
        <w:rPr>
          <w:sz w:val="36"/>
          <w:szCs w:val="36"/>
          <w:rtl/>
        </w:rPr>
        <w:t xml:space="preserve">ة </w:t>
      </w:r>
      <w:r w:rsidRPr="00FD211F">
        <w:rPr>
          <w:sz w:val="36"/>
          <w:szCs w:val="36"/>
          <w:rtl/>
        </w:rPr>
        <w:t>جالسا تكون صلا</w:t>
      </w:r>
      <w:r w:rsidR="00EC7EDF" w:rsidRPr="00FD211F">
        <w:rPr>
          <w:sz w:val="36"/>
          <w:szCs w:val="36"/>
          <w:rtl/>
        </w:rPr>
        <w:t xml:space="preserve">ة </w:t>
      </w:r>
      <w:r w:rsidRPr="00FD211F">
        <w:rPr>
          <w:sz w:val="36"/>
          <w:szCs w:val="36"/>
          <w:rtl/>
        </w:rPr>
        <w:t>وان صدرت من المختار</w:t>
      </w:r>
      <w:r w:rsidR="00603323" w:rsidRPr="00FD211F">
        <w:rPr>
          <w:sz w:val="36"/>
          <w:szCs w:val="36"/>
          <w:rtl/>
        </w:rPr>
        <w:t xml:space="preserve">، </w:t>
      </w:r>
      <w:r w:rsidRPr="00FD211F">
        <w:rPr>
          <w:sz w:val="36"/>
          <w:szCs w:val="36"/>
          <w:rtl/>
        </w:rPr>
        <w:t>نعم مثل الموالا</w:t>
      </w:r>
      <w:r w:rsidR="00EC7EDF" w:rsidRPr="00FD211F">
        <w:rPr>
          <w:sz w:val="36"/>
          <w:szCs w:val="36"/>
          <w:rtl/>
        </w:rPr>
        <w:t xml:space="preserve">ة </w:t>
      </w:r>
      <w:r w:rsidRPr="00FD211F">
        <w:rPr>
          <w:sz w:val="36"/>
          <w:szCs w:val="36"/>
          <w:rtl/>
        </w:rPr>
        <w:t>اوالطهار</w:t>
      </w:r>
      <w:r w:rsidR="00EC7EDF" w:rsidRPr="00FD211F">
        <w:rPr>
          <w:sz w:val="36"/>
          <w:szCs w:val="36"/>
          <w:rtl/>
        </w:rPr>
        <w:t xml:space="preserve">ة </w:t>
      </w:r>
      <w:r w:rsidRPr="00FD211F">
        <w:rPr>
          <w:sz w:val="36"/>
          <w:szCs w:val="36"/>
          <w:rtl/>
        </w:rPr>
        <w:t>من الحدث داخلان في المسمى لاعتبارهما في جميع الحالات</w:t>
      </w:r>
      <w:r w:rsidR="009C58C8" w:rsidRPr="00FD211F">
        <w:rPr>
          <w:rStyle w:val="a6"/>
          <w:sz w:val="36"/>
          <w:szCs w:val="36"/>
          <w:rtl/>
        </w:rPr>
        <w:t>(</w:t>
      </w:r>
      <w:r w:rsidR="009C58C8" w:rsidRPr="00FD211F">
        <w:rPr>
          <w:rStyle w:val="a6"/>
          <w:sz w:val="36"/>
          <w:szCs w:val="36"/>
          <w:rtl/>
        </w:rPr>
        <w:footnoteReference w:id="431"/>
      </w:r>
      <w:r w:rsidR="009C58C8" w:rsidRPr="00FD211F">
        <w:rPr>
          <w:rStyle w:val="a6"/>
          <w:sz w:val="36"/>
          <w:szCs w:val="36"/>
          <w:rtl/>
        </w:rPr>
        <w:t>)</w:t>
      </w:r>
      <w:r w:rsidRPr="00FD211F">
        <w:rPr>
          <w:sz w:val="36"/>
          <w:szCs w:val="36"/>
          <w:rtl/>
        </w:rPr>
        <w:t>.</w:t>
      </w:r>
    </w:p>
    <w:p w14:paraId="0F8C4E77" w14:textId="77777777" w:rsidR="00052BF2" w:rsidRPr="00FD211F" w:rsidRDefault="00052BF2" w:rsidP="009C58C8">
      <w:pPr>
        <w:ind w:left="0" w:firstLine="227"/>
        <w:jc w:val="both"/>
        <w:rPr>
          <w:sz w:val="36"/>
          <w:szCs w:val="36"/>
          <w:rtl/>
        </w:rPr>
      </w:pPr>
      <w:r w:rsidRPr="00FD211F">
        <w:rPr>
          <w:sz w:val="36"/>
          <w:szCs w:val="36"/>
          <w:rtl/>
        </w:rPr>
        <w:t>ويلاحظ عليه انه لو سلم كون هذه طريق</w:t>
      </w:r>
      <w:r w:rsidR="00EC7EDF" w:rsidRPr="00FD211F">
        <w:rPr>
          <w:sz w:val="36"/>
          <w:szCs w:val="36"/>
          <w:rtl/>
        </w:rPr>
        <w:t xml:space="preserve">ة </w:t>
      </w:r>
      <w:r w:rsidRPr="00FD211F">
        <w:rPr>
          <w:sz w:val="36"/>
          <w:szCs w:val="36"/>
          <w:rtl/>
        </w:rPr>
        <w:t>عقلائي</w:t>
      </w:r>
      <w:r w:rsidR="00EC7EDF" w:rsidRPr="00FD211F">
        <w:rPr>
          <w:sz w:val="36"/>
          <w:szCs w:val="36"/>
          <w:rtl/>
        </w:rPr>
        <w:t xml:space="preserve">ة </w:t>
      </w:r>
      <w:r w:rsidRPr="00FD211F">
        <w:rPr>
          <w:sz w:val="36"/>
          <w:szCs w:val="36"/>
          <w:rtl/>
        </w:rPr>
        <w:t>للمخترعين فلم يظهر من الشارع اتباعه لهذه الطريق</w:t>
      </w:r>
      <w:r w:rsidR="00EC7EDF" w:rsidRPr="00FD211F">
        <w:rPr>
          <w:sz w:val="36"/>
          <w:szCs w:val="36"/>
          <w:rtl/>
        </w:rPr>
        <w:t>ة</w:t>
      </w:r>
      <w:r w:rsidR="00A61BAE" w:rsidRPr="00FD211F">
        <w:rPr>
          <w:sz w:val="36"/>
          <w:szCs w:val="36"/>
          <w:rtl/>
        </w:rPr>
        <w:t>.</w:t>
      </w:r>
    </w:p>
    <w:p w14:paraId="14AAF44A" w14:textId="77777777" w:rsidR="00052BF2" w:rsidRPr="00FD211F" w:rsidRDefault="00052BF2" w:rsidP="009C58C8">
      <w:pPr>
        <w:ind w:left="0" w:firstLine="227"/>
        <w:jc w:val="both"/>
        <w:rPr>
          <w:sz w:val="36"/>
          <w:szCs w:val="36"/>
          <w:rtl/>
        </w:rPr>
      </w:pPr>
      <w:r w:rsidRPr="00FD211F">
        <w:rPr>
          <w:sz w:val="36"/>
          <w:szCs w:val="36"/>
          <w:rtl/>
        </w:rPr>
        <w:t>4- ما قد يستدل بصحيح</w:t>
      </w:r>
      <w:r w:rsidR="00EC7EDF" w:rsidRPr="00FD211F">
        <w:rPr>
          <w:sz w:val="36"/>
          <w:szCs w:val="36"/>
          <w:rtl/>
        </w:rPr>
        <w:t xml:space="preserve">ة </w:t>
      </w:r>
      <w:r w:rsidRPr="00FD211F">
        <w:rPr>
          <w:sz w:val="36"/>
          <w:szCs w:val="36"/>
          <w:rtl/>
        </w:rPr>
        <w:t xml:space="preserve">يونس ان رسول الله </w:t>
      </w:r>
      <w:r w:rsidR="007A4A0D" w:rsidRPr="00FD211F">
        <w:rPr>
          <w:sz w:val="36"/>
          <w:szCs w:val="36"/>
          <w:rtl/>
        </w:rPr>
        <w:t>(صلى‌الله‌عليه‌وآله)</w:t>
      </w:r>
      <w:r w:rsidRPr="00FD211F">
        <w:rPr>
          <w:sz w:val="36"/>
          <w:szCs w:val="36"/>
          <w:rtl/>
        </w:rPr>
        <w:t xml:space="preserve"> قال لامرأ</w:t>
      </w:r>
      <w:r w:rsidR="00EC7EDF" w:rsidRPr="00FD211F">
        <w:rPr>
          <w:sz w:val="36"/>
          <w:szCs w:val="36"/>
          <w:rtl/>
        </w:rPr>
        <w:t xml:space="preserve">ة </w:t>
      </w:r>
      <w:r w:rsidRPr="00FD211F">
        <w:rPr>
          <w:sz w:val="36"/>
          <w:szCs w:val="36"/>
          <w:rtl/>
        </w:rPr>
        <w:t>دعي الصلا</w:t>
      </w:r>
      <w:r w:rsidR="00EC7EDF" w:rsidRPr="00FD211F">
        <w:rPr>
          <w:sz w:val="36"/>
          <w:szCs w:val="36"/>
          <w:rtl/>
        </w:rPr>
        <w:t xml:space="preserve">ة </w:t>
      </w:r>
      <w:r w:rsidRPr="00FD211F">
        <w:rPr>
          <w:sz w:val="36"/>
          <w:szCs w:val="36"/>
          <w:rtl/>
        </w:rPr>
        <w:t>أيام أقراءك</w:t>
      </w:r>
      <w:r w:rsidR="009C58C8" w:rsidRPr="00FD211F">
        <w:rPr>
          <w:rStyle w:val="a6"/>
          <w:sz w:val="36"/>
          <w:szCs w:val="36"/>
          <w:rtl/>
        </w:rPr>
        <w:t>(</w:t>
      </w:r>
      <w:r w:rsidR="009C58C8" w:rsidRPr="00FD211F">
        <w:rPr>
          <w:rStyle w:val="a6"/>
          <w:sz w:val="36"/>
          <w:szCs w:val="36"/>
          <w:rtl/>
        </w:rPr>
        <w:footnoteReference w:id="432"/>
      </w:r>
      <w:r w:rsidR="009C58C8" w:rsidRPr="00FD211F">
        <w:rPr>
          <w:rStyle w:val="a6"/>
          <w:sz w:val="36"/>
          <w:szCs w:val="36"/>
          <w:rtl/>
        </w:rPr>
        <w:t>)</w:t>
      </w:r>
      <w:r w:rsidR="00603323" w:rsidRPr="00FD211F">
        <w:rPr>
          <w:sz w:val="36"/>
          <w:szCs w:val="36"/>
          <w:rtl/>
        </w:rPr>
        <w:t xml:space="preserve">، </w:t>
      </w:r>
      <w:r w:rsidRPr="00FD211F">
        <w:rPr>
          <w:sz w:val="36"/>
          <w:szCs w:val="36"/>
          <w:rtl/>
        </w:rPr>
        <w:t>حيث يقال بانه لو أريد به الصحيح لزم تعلق النهي بغير المقدور</w:t>
      </w:r>
      <w:r w:rsidR="00603323" w:rsidRPr="00FD211F">
        <w:rPr>
          <w:sz w:val="36"/>
          <w:szCs w:val="36"/>
          <w:rtl/>
        </w:rPr>
        <w:t xml:space="preserve">، </w:t>
      </w:r>
      <w:r w:rsidRPr="00FD211F">
        <w:rPr>
          <w:sz w:val="36"/>
          <w:szCs w:val="36"/>
          <w:rtl/>
        </w:rPr>
        <w:t>وهو غير معقول</w:t>
      </w:r>
      <w:r w:rsidR="00603323" w:rsidRPr="00FD211F">
        <w:rPr>
          <w:sz w:val="36"/>
          <w:szCs w:val="36"/>
          <w:rtl/>
        </w:rPr>
        <w:t xml:space="preserve">، </w:t>
      </w:r>
      <w:r w:rsidRPr="00FD211F">
        <w:rPr>
          <w:sz w:val="36"/>
          <w:szCs w:val="36"/>
          <w:rtl/>
        </w:rPr>
        <w:t>وحكي عن صاحب هداي</w:t>
      </w:r>
      <w:r w:rsidR="00EC7EDF" w:rsidRPr="00FD211F">
        <w:rPr>
          <w:sz w:val="36"/>
          <w:szCs w:val="36"/>
          <w:rtl/>
        </w:rPr>
        <w:t xml:space="preserve">ة </w:t>
      </w:r>
      <w:r w:rsidRPr="00FD211F">
        <w:rPr>
          <w:sz w:val="36"/>
          <w:szCs w:val="36"/>
          <w:rtl/>
        </w:rPr>
        <w:t>المسترشدين انه لامانع من تعلق النهي بغير المقدور بداعي الإرشاد الى عدم قدرتها عليه.</w:t>
      </w:r>
    </w:p>
    <w:p w14:paraId="7D6A722D" w14:textId="77777777" w:rsidR="00052BF2" w:rsidRPr="00FD211F" w:rsidRDefault="00052BF2" w:rsidP="009C58C8">
      <w:pPr>
        <w:ind w:left="0" w:firstLine="227"/>
        <w:jc w:val="both"/>
        <w:rPr>
          <w:sz w:val="36"/>
          <w:szCs w:val="36"/>
          <w:rtl/>
        </w:rPr>
      </w:pPr>
      <w:r w:rsidRPr="00FD211F">
        <w:rPr>
          <w:sz w:val="36"/>
          <w:szCs w:val="36"/>
          <w:rtl/>
        </w:rPr>
        <w:t xml:space="preserve">واجاب عنه المحقق الاصفهاني </w:t>
      </w:r>
      <w:r w:rsidR="009A66BC" w:rsidRPr="00FD211F">
        <w:rPr>
          <w:sz w:val="36"/>
          <w:szCs w:val="36"/>
          <w:rtl/>
        </w:rPr>
        <w:t>"</w:t>
      </w:r>
      <w:r w:rsidRPr="00FD211F">
        <w:rPr>
          <w:sz w:val="36"/>
          <w:szCs w:val="36"/>
          <w:rtl/>
        </w:rPr>
        <w:t>قده</w:t>
      </w:r>
      <w:r w:rsidR="009A66BC" w:rsidRPr="00FD211F">
        <w:rPr>
          <w:sz w:val="36"/>
          <w:szCs w:val="36"/>
          <w:rtl/>
        </w:rPr>
        <w:t>"</w:t>
      </w:r>
      <w:r w:rsidRPr="00FD211F">
        <w:rPr>
          <w:sz w:val="36"/>
          <w:szCs w:val="36"/>
          <w:rtl/>
        </w:rPr>
        <w:t xml:space="preserve"> بان الاخبار عن عجز الحائض عن الصلا</w:t>
      </w:r>
      <w:r w:rsidR="00EC7EDF" w:rsidRPr="00FD211F">
        <w:rPr>
          <w:sz w:val="36"/>
          <w:szCs w:val="36"/>
          <w:rtl/>
        </w:rPr>
        <w:t xml:space="preserve">ة </w:t>
      </w:r>
      <w:r w:rsidRPr="00FD211F">
        <w:rPr>
          <w:sz w:val="36"/>
          <w:szCs w:val="36"/>
          <w:rtl/>
        </w:rPr>
        <w:t>المشروط</w:t>
      </w:r>
      <w:r w:rsidR="00EC7EDF" w:rsidRPr="00FD211F">
        <w:rPr>
          <w:sz w:val="36"/>
          <w:szCs w:val="36"/>
          <w:rtl/>
        </w:rPr>
        <w:t xml:space="preserve">ة </w:t>
      </w:r>
      <w:r w:rsidRPr="00FD211F">
        <w:rPr>
          <w:sz w:val="36"/>
          <w:szCs w:val="36"/>
          <w:rtl/>
        </w:rPr>
        <w:t>بعدم الحيض لغو ظاهر</w:t>
      </w:r>
      <w:r w:rsidR="009C58C8" w:rsidRPr="00FD211F">
        <w:rPr>
          <w:rStyle w:val="a6"/>
          <w:sz w:val="36"/>
          <w:szCs w:val="36"/>
          <w:rtl/>
        </w:rPr>
        <w:t>(</w:t>
      </w:r>
      <w:r w:rsidR="009C58C8" w:rsidRPr="00FD211F">
        <w:rPr>
          <w:rStyle w:val="a6"/>
          <w:sz w:val="36"/>
          <w:szCs w:val="36"/>
          <w:rtl/>
        </w:rPr>
        <w:footnoteReference w:id="433"/>
      </w:r>
      <w:r w:rsidR="009C58C8" w:rsidRPr="00FD211F">
        <w:rPr>
          <w:rStyle w:val="a6"/>
          <w:sz w:val="36"/>
          <w:szCs w:val="36"/>
          <w:rtl/>
        </w:rPr>
        <w:t>)</w:t>
      </w:r>
      <w:r w:rsidR="00603323" w:rsidRPr="00FD211F">
        <w:rPr>
          <w:sz w:val="36"/>
          <w:szCs w:val="36"/>
          <w:rtl/>
        </w:rPr>
        <w:t xml:space="preserve">، </w:t>
      </w:r>
      <w:r w:rsidRPr="00FD211F">
        <w:rPr>
          <w:sz w:val="36"/>
          <w:szCs w:val="36"/>
          <w:rtl/>
        </w:rPr>
        <w:t>وفيه ان اعتبار عدم الحيض مستفاد من مثل هذا الحديث فلالغوي</w:t>
      </w:r>
      <w:r w:rsidR="00EC7EDF" w:rsidRPr="00FD211F">
        <w:rPr>
          <w:sz w:val="36"/>
          <w:szCs w:val="36"/>
          <w:rtl/>
        </w:rPr>
        <w:t xml:space="preserve">ة </w:t>
      </w:r>
      <w:r w:rsidRPr="00FD211F">
        <w:rPr>
          <w:sz w:val="36"/>
          <w:szCs w:val="36"/>
          <w:rtl/>
        </w:rPr>
        <w:t>في الإخبار بعدم قدر</w:t>
      </w:r>
      <w:r w:rsidR="00EC7EDF" w:rsidRPr="00FD211F">
        <w:rPr>
          <w:sz w:val="36"/>
          <w:szCs w:val="36"/>
          <w:rtl/>
        </w:rPr>
        <w:t xml:space="preserve">ة </w:t>
      </w:r>
      <w:r w:rsidRPr="00FD211F">
        <w:rPr>
          <w:sz w:val="36"/>
          <w:szCs w:val="36"/>
          <w:rtl/>
        </w:rPr>
        <w:t>الحائض على الصلا</w:t>
      </w:r>
      <w:r w:rsidR="00EC7EDF" w:rsidRPr="00FD211F">
        <w:rPr>
          <w:sz w:val="36"/>
          <w:szCs w:val="36"/>
          <w:rtl/>
        </w:rPr>
        <w:t xml:space="preserve">ة </w:t>
      </w:r>
      <w:r w:rsidRPr="00FD211F">
        <w:rPr>
          <w:sz w:val="36"/>
          <w:szCs w:val="36"/>
          <w:rtl/>
        </w:rPr>
        <w:t>المشروط</w:t>
      </w:r>
      <w:r w:rsidR="00EC7EDF" w:rsidRPr="00FD211F">
        <w:rPr>
          <w:sz w:val="36"/>
          <w:szCs w:val="36"/>
          <w:rtl/>
        </w:rPr>
        <w:t xml:space="preserve">ة </w:t>
      </w:r>
      <w:r w:rsidRPr="00FD211F">
        <w:rPr>
          <w:sz w:val="36"/>
          <w:szCs w:val="36"/>
          <w:rtl/>
        </w:rPr>
        <w:t>بالطهار</w:t>
      </w:r>
      <w:r w:rsidR="00EC7EDF" w:rsidRPr="00FD211F">
        <w:rPr>
          <w:sz w:val="36"/>
          <w:szCs w:val="36"/>
          <w:rtl/>
        </w:rPr>
        <w:t>ة</w:t>
      </w:r>
      <w:r w:rsidR="00A61BAE" w:rsidRPr="00FD211F">
        <w:rPr>
          <w:sz w:val="36"/>
          <w:szCs w:val="36"/>
          <w:rtl/>
        </w:rPr>
        <w:t>.</w:t>
      </w:r>
    </w:p>
    <w:p w14:paraId="77AB2A7F" w14:textId="77777777" w:rsidR="00052BF2" w:rsidRPr="00FD211F" w:rsidRDefault="00052BF2" w:rsidP="009C58C8">
      <w:pPr>
        <w:ind w:left="0" w:firstLine="227"/>
        <w:jc w:val="both"/>
        <w:rPr>
          <w:sz w:val="36"/>
          <w:szCs w:val="36"/>
          <w:rtl/>
        </w:rPr>
      </w:pPr>
      <w:r w:rsidRPr="00FD211F">
        <w:rPr>
          <w:sz w:val="36"/>
          <w:szCs w:val="36"/>
          <w:rtl/>
        </w:rPr>
        <w:t xml:space="preserve">ثم ان المحقق الاصفهاني </w:t>
      </w:r>
      <w:r w:rsidR="009A66BC" w:rsidRPr="00FD211F">
        <w:rPr>
          <w:sz w:val="36"/>
          <w:szCs w:val="36"/>
          <w:rtl/>
        </w:rPr>
        <w:t>"</w:t>
      </w:r>
      <w:r w:rsidRPr="00FD211F">
        <w:rPr>
          <w:sz w:val="36"/>
          <w:szCs w:val="36"/>
          <w:rtl/>
        </w:rPr>
        <w:t>قده</w:t>
      </w:r>
      <w:r w:rsidR="009A66BC" w:rsidRPr="00FD211F">
        <w:rPr>
          <w:sz w:val="36"/>
          <w:szCs w:val="36"/>
          <w:rtl/>
        </w:rPr>
        <w:t>"</w:t>
      </w:r>
      <w:r w:rsidRPr="00FD211F">
        <w:rPr>
          <w:sz w:val="36"/>
          <w:szCs w:val="36"/>
          <w:rtl/>
        </w:rPr>
        <w:t xml:space="preserve"> تصدى لحل الإشكال بدعوى ان الصحيحي يدعي استعمال اللفظ في الصحيح من غير جه</w:t>
      </w:r>
      <w:r w:rsidR="00EC7EDF" w:rsidRPr="00FD211F">
        <w:rPr>
          <w:sz w:val="36"/>
          <w:szCs w:val="36"/>
          <w:rtl/>
        </w:rPr>
        <w:t xml:space="preserve">ة </w:t>
      </w:r>
      <w:r w:rsidRPr="00FD211F">
        <w:rPr>
          <w:sz w:val="36"/>
          <w:szCs w:val="36"/>
          <w:rtl/>
        </w:rPr>
        <w:t>القيد المستفاد من نفس الخطاب</w:t>
      </w:r>
      <w:r w:rsidR="00603323" w:rsidRPr="00FD211F">
        <w:rPr>
          <w:sz w:val="36"/>
          <w:szCs w:val="36"/>
          <w:rtl/>
        </w:rPr>
        <w:t xml:space="preserve">، </w:t>
      </w:r>
      <w:r w:rsidRPr="00FD211F">
        <w:rPr>
          <w:sz w:val="36"/>
          <w:szCs w:val="36"/>
          <w:rtl/>
        </w:rPr>
        <w:t>فالصلا</w:t>
      </w:r>
      <w:r w:rsidR="00EC7EDF" w:rsidRPr="00FD211F">
        <w:rPr>
          <w:sz w:val="36"/>
          <w:szCs w:val="36"/>
          <w:rtl/>
        </w:rPr>
        <w:t xml:space="preserve">ة </w:t>
      </w:r>
      <w:r w:rsidRPr="00FD211F">
        <w:rPr>
          <w:sz w:val="36"/>
          <w:szCs w:val="36"/>
          <w:rtl/>
        </w:rPr>
        <w:t>في خطاب الأمر بالصلا</w:t>
      </w:r>
      <w:r w:rsidR="00EC7EDF" w:rsidRPr="00FD211F">
        <w:rPr>
          <w:sz w:val="36"/>
          <w:szCs w:val="36"/>
          <w:rtl/>
        </w:rPr>
        <w:t xml:space="preserve">ة </w:t>
      </w:r>
      <w:r w:rsidRPr="00FD211F">
        <w:rPr>
          <w:sz w:val="36"/>
          <w:szCs w:val="36"/>
          <w:rtl/>
        </w:rPr>
        <w:t>مع الوضوء</w:t>
      </w:r>
      <w:r w:rsidR="008D7B3D" w:rsidRPr="00FD211F">
        <w:rPr>
          <w:sz w:val="36"/>
          <w:szCs w:val="36"/>
          <w:rtl/>
        </w:rPr>
        <w:t xml:space="preserve"> لم‌</w:t>
      </w:r>
      <w:r w:rsidRPr="00FD211F">
        <w:rPr>
          <w:sz w:val="36"/>
          <w:szCs w:val="36"/>
          <w:rtl/>
        </w:rPr>
        <w:t xml:space="preserve">تستعمل فيما يشمل الوضوء وكذا قوله </w:t>
      </w:r>
      <w:r w:rsidR="00800ED5" w:rsidRPr="00FD211F">
        <w:rPr>
          <w:sz w:val="36"/>
          <w:szCs w:val="36"/>
          <w:rtl/>
        </w:rPr>
        <w:t>"دعي الصلا</w:t>
      </w:r>
      <w:r w:rsidR="00EC7EDF" w:rsidRPr="00FD211F">
        <w:rPr>
          <w:sz w:val="36"/>
          <w:szCs w:val="36"/>
          <w:rtl/>
        </w:rPr>
        <w:t xml:space="preserve">ة </w:t>
      </w:r>
      <w:r w:rsidR="00800ED5" w:rsidRPr="00FD211F">
        <w:rPr>
          <w:sz w:val="36"/>
          <w:szCs w:val="36"/>
          <w:rtl/>
        </w:rPr>
        <w:t>ايام اقرائك"</w:t>
      </w:r>
      <w:r w:rsidR="008D7B3D" w:rsidRPr="00FD211F">
        <w:rPr>
          <w:sz w:val="36"/>
          <w:szCs w:val="36"/>
          <w:rtl/>
        </w:rPr>
        <w:t xml:space="preserve"> لم‌</w:t>
      </w:r>
      <w:r w:rsidRPr="00FD211F">
        <w:rPr>
          <w:sz w:val="36"/>
          <w:szCs w:val="36"/>
          <w:rtl/>
        </w:rPr>
        <w:t>تستعمل الصلا</w:t>
      </w:r>
      <w:r w:rsidR="00EC7EDF" w:rsidRPr="00FD211F">
        <w:rPr>
          <w:sz w:val="36"/>
          <w:szCs w:val="36"/>
          <w:rtl/>
        </w:rPr>
        <w:t xml:space="preserve">ة </w:t>
      </w:r>
      <w:r w:rsidRPr="00FD211F">
        <w:rPr>
          <w:sz w:val="36"/>
          <w:szCs w:val="36"/>
          <w:rtl/>
        </w:rPr>
        <w:t>فيه فيما يشمل اعتبار عدم الحيض</w:t>
      </w:r>
      <w:r w:rsidR="009C58C8" w:rsidRPr="00FD211F">
        <w:rPr>
          <w:rStyle w:val="a6"/>
          <w:sz w:val="36"/>
          <w:szCs w:val="36"/>
          <w:rtl/>
        </w:rPr>
        <w:t>(</w:t>
      </w:r>
      <w:r w:rsidR="009C58C8" w:rsidRPr="00FD211F">
        <w:rPr>
          <w:rStyle w:val="a6"/>
          <w:sz w:val="36"/>
          <w:szCs w:val="36"/>
          <w:rtl/>
        </w:rPr>
        <w:footnoteReference w:id="434"/>
      </w:r>
      <w:r w:rsidR="009C58C8" w:rsidRPr="00FD211F">
        <w:rPr>
          <w:rStyle w:val="a6"/>
          <w:sz w:val="36"/>
          <w:szCs w:val="36"/>
          <w:rtl/>
        </w:rPr>
        <w:t>)</w:t>
      </w:r>
      <w:r w:rsidR="009A66BC" w:rsidRPr="00FD211F">
        <w:rPr>
          <w:sz w:val="36"/>
          <w:szCs w:val="36"/>
          <w:rtl/>
        </w:rPr>
        <w:t>.</w:t>
      </w:r>
    </w:p>
    <w:p w14:paraId="7C8A379B" w14:textId="77777777" w:rsidR="00052BF2" w:rsidRPr="00FD211F" w:rsidRDefault="00052BF2" w:rsidP="009C58C8">
      <w:pPr>
        <w:ind w:left="0" w:firstLine="227"/>
        <w:jc w:val="both"/>
        <w:rPr>
          <w:sz w:val="36"/>
          <w:szCs w:val="36"/>
          <w:rtl/>
        </w:rPr>
      </w:pPr>
      <w:r w:rsidRPr="00FD211F">
        <w:rPr>
          <w:sz w:val="36"/>
          <w:szCs w:val="36"/>
          <w:rtl/>
        </w:rPr>
        <w:t xml:space="preserve">واورد عليه في البحوث بانه ينافي غرض الصحيحي حيث انه يمنع الصحيحي من التمسك بخطاب </w:t>
      </w:r>
      <w:r w:rsidR="001B3112" w:rsidRPr="00FD211F">
        <w:rPr>
          <w:sz w:val="36"/>
          <w:szCs w:val="36"/>
          <w:rtl/>
        </w:rPr>
        <w:t>الأمر</w:t>
      </w:r>
      <w:r w:rsidRPr="00FD211F">
        <w:rPr>
          <w:sz w:val="36"/>
          <w:szCs w:val="36"/>
          <w:rtl/>
        </w:rPr>
        <w:t xml:space="preserve"> مطلقا حتى اذا</w:t>
      </w:r>
      <w:r w:rsidR="008D7B3D" w:rsidRPr="00FD211F">
        <w:rPr>
          <w:sz w:val="36"/>
          <w:szCs w:val="36"/>
          <w:rtl/>
        </w:rPr>
        <w:t xml:space="preserve"> لم‌</w:t>
      </w:r>
      <w:r w:rsidRPr="00FD211F">
        <w:rPr>
          <w:sz w:val="36"/>
          <w:szCs w:val="36"/>
          <w:rtl/>
        </w:rPr>
        <w:t>يكن احتمال جعل القيد الا بنفس هذا الخطاب</w:t>
      </w:r>
      <w:r w:rsidR="009C58C8" w:rsidRPr="00FD211F">
        <w:rPr>
          <w:rStyle w:val="a6"/>
          <w:sz w:val="36"/>
          <w:szCs w:val="36"/>
          <w:rtl/>
        </w:rPr>
        <w:t>(</w:t>
      </w:r>
      <w:r w:rsidR="009C58C8" w:rsidRPr="00FD211F">
        <w:rPr>
          <w:rStyle w:val="a6"/>
          <w:sz w:val="36"/>
          <w:szCs w:val="36"/>
          <w:rtl/>
        </w:rPr>
        <w:footnoteReference w:id="435"/>
      </w:r>
      <w:r w:rsidR="009C58C8" w:rsidRPr="00FD211F">
        <w:rPr>
          <w:rStyle w:val="a6"/>
          <w:sz w:val="36"/>
          <w:szCs w:val="36"/>
          <w:rtl/>
        </w:rPr>
        <w:t>)</w:t>
      </w:r>
      <w:r w:rsidRPr="00FD211F">
        <w:rPr>
          <w:sz w:val="36"/>
          <w:szCs w:val="36"/>
          <w:rtl/>
        </w:rPr>
        <w:t>.</w:t>
      </w:r>
    </w:p>
    <w:p w14:paraId="5D841DAF" w14:textId="77777777" w:rsidR="00052BF2" w:rsidRPr="00FD211F" w:rsidRDefault="00052BF2" w:rsidP="009C58C8">
      <w:pPr>
        <w:ind w:left="0" w:firstLine="227"/>
        <w:jc w:val="both"/>
        <w:rPr>
          <w:sz w:val="36"/>
          <w:szCs w:val="36"/>
          <w:rtl/>
        </w:rPr>
      </w:pPr>
      <w:r w:rsidRPr="00FD211F">
        <w:rPr>
          <w:sz w:val="36"/>
          <w:szCs w:val="36"/>
          <w:rtl/>
        </w:rPr>
        <w:t>والظاهر عدم تمامي</w:t>
      </w:r>
      <w:r w:rsidR="00EC7EDF" w:rsidRPr="00FD211F">
        <w:rPr>
          <w:sz w:val="36"/>
          <w:szCs w:val="36"/>
          <w:rtl/>
        </w:rPr>
        <w:t xml:space="preserve">ة </w:t>
      </w:r>
      <w:r w:rsidRPr="00FD211F">
        <w:rPr>
          <w:sz w:val="36"/>
          <w:szCs w:val="36"/>
          <w:rtl/>
        </w:rPr>
        <w:t>هذا الإيراد</w:t>
      </w:r>
      <w:r w:rsidR="00603323" w:rsidRPr="00FD211F">
        <w:rPr>
          <w:sz w:val="36"/>
          <w:szCs w:val="36"/>
          <w:rtl/>
        </w:rPr>
        <w:t xml:space="preserve">، </w:t>
      </w:r>
      <w:r w:rsidRPr="00FD211F">
        <w:rPr>
          <w:sz w:val="36"/>
          <w:szCs w:val="36"/>
          <w:rtl/>
        </w:rPr>
        <w:t xml:space="preserve">حيث أنه انه ان كان </w:t>
      </w:r>
      <w:r w:rsidR="001B3112" w:rsidRPr="00FD211F">
        <w:rPr>
          <w:sz w:val="36"/>
          <w:szCs w:val="36"/>
          <w:rtl/>
        </w:rPr>
        <w:t>الأمر</w:t>
      </w:r>
      <w:r w:rsidRPr="00FD211F">
        <w:rPr>
          <w:sz w:val="36"/>
          <w:szCs w:val="36"/>
          <w:rtl/>
        </w:rPr>
        <w:t xml:space="preserve"> بالصلا</w:t>
      </w:r>
      <w:r w:rsidR="00EC7EDF" w:rsidRPr="00FD211F">
        <w:rPr>
          <w:sz w:val="36"/>
          <w:szCs w:val="36"/>
          <w:rtl/>
        </w:rPr>
        <w:t xml:space="preserve">ة </w:t>
      </w:r>
      <w:r w:rsidRPr="00FD211F">
        <w:rPr>
          <w:sz w:val="36"/>
          <w:szCs w:val="36"/>
          <w:rtl/>
        </w:rPr>
        <w:t>بلاقيد آخر في الخطاب فلايمنع المحقق الاصفهاني</w:t>
      </w:r>
      <w:r w:rsidR="00A24412" w:rsidRPr="00FD211F">
        <w:rPr>
          <w:sz w:val="36"/>
          <w:szCs w:val="36"/>
          <w:rtl/>
        </w:rPr>
        <w:t xml:space="preserve"> </w:t>
      </w:r>
      <w:r w:rsidR="009A66BC" w:rsidRPr="00FD211F">
        <w:rPr>
          <w:sz w:val="36"/>
          <w:szCs w:val="36"/>
          <w:rtl/>
        </w:rPr>
        <w:t>"قده"</w:t>
      </w:r>
      <w:r w:rsidR="00A24412" w:rsidRPr="00FD211F">
        <w:rPr>
          <w:sz w:val="36"/>
          <w:szCs w:val="36"/>
          <w:rtl/>
        </w:rPr>
        <w:t xml:space="preserve"> </w:t>
      </w:r>
      <w:r w:rsidRPr="00FD211F">
        <w:rPr>
          <w:sz w:val="36"/>
          <w:szCs w:val="36"/>
          <w:rtl/>
        </w:rPr>
        <w:t>استعماله في الصحيح المطلق</w:t>
      </w:r>
      <w:r w:rsidR="00603323" w:rsidRPr="00FD211F">
        <w:rPr>
          <w:sz w:val="36"/>
          <w:szCs w:val="36"/>
          <w:rtl/>
        </w:rPr>
        <w:t xml:space="preserve">، </w:t>
      </w:r>
      <w:r w:rsidRPr="00FD211F">
        <w:rPr>
          <w:sz w:val="36"/>
          <w:szCs w:val="36"/>
          <w:rtl/>
        </w:rPr>
        <w:t>وان كان الأمر بالصلا</w:t>
      </w:r>
      <w:r w:rsidR="00EC7EDF" w:rsidRPr="00FD211F">
        <w:rPr>
          <w:sz w:val="36"/>
          <w:szCs w:val="36"/>
          <w:rtl/>
        </w:rPr>
        <w:t xml:space="preserve">ة </w:t>
      </w:r>
      <w:r w:rsidRPr="00FD211F">
        <w:rPr>
          <w:sz w:val="36"/>
          <w:szCs w:val="36"/>
          <w:rtl/>
        </w:rPr>
        <w:t>مع القيد</w:t>
      </w:r>
      <w:r w:rsidR="00603323" w:rsidRPr="00FD211F">
        <w:rPr>
          <w:sz w:val="36"/>
          <w:szCs w:val="36"/>
          <w:rtl/>
        </w:rPr>
        <w:t xml:space="preserve">، </w:t>
      </w:r>
      <w:r w:rsidRPr="00FD211F">
        <w:rPr>
          <w:sz w:val="36"/>
          <w:szCs w:val="36"/>
          <w:rtl/>
        </w:rPr>
        <w:t>كأن أمر بالصلا</w:t>
      </w:r>
      <w:r w:rsidR="00EC7EDF" w:rsidRPr="00FD211F">
        <w:rPr>
          <w:sz w:val="36"/>
          <w:szCs w:val="36"/>
          <w:rtl/>
        </w:rPr>
        <w:t xml:space="preserve">ة </w:t>
      </w:r>
      <w:r w:rsidRPr="00FD211F">
        <w:rPr>
          <w:sz w:val="36"/>
          <w:szCs w:val="36"/>
          <w:rtl/>
        </w:rPr>
        <w:t>مع الطهور فلامعنى للتمسك باطلاقه من حيث قيد الطهور.</w:t>
      </w:r>
    </w:p>
    <w:p w14:paraId="30739D77" w14:textId="77777777" w:rsidR="000C5BBA" w:rsidRPr="00FD211F" w:rsidRDefault="00052BF2" w:rsidP="009C58C8">
      <w:pPr>
        <w:ind w:left="0" w:firstLine="227"/>
        <w:jc w:val="both"/>
        <w:rPr>
          <w:sz w:val="36"/>
          <w:szCs w:val="36"/>
          <w:rtl/>
        </w:rPr>
      </w:pPr>
      <w:r w:rsidRPr="00FD211F">
        <w:rPr>
          <w:sz w:val="36"/>
          <w:szCs w:val="36"/>
          <w:rtl/>
        </w:rPr>
        <w:t>وكيف كان فقد ذكر صاحب الكفاي</w:t>
      </w:r>
      <w:r w:rsidR="00EC7EDF" w:rsidRPr="00FD211F">
        <w:rPr>
          <w:sz w:val="36"/>
          <w:szCs w:val="36"/>
          <w:rtl/>
        </w:rPr>
        <w:t xml:space="preserve">ة </w:t>
      </w:r>
      <w:r w:rsidR="009A66BC" w:rsidRPr="00FD211F">
        <w:rPr>
          <w:sz w:val="36"/>
          <w:szCs w:val="36"/>
          <w:rtl/>
        </w:rPr>
        <w:t>"قده"</w:t>
      </w:r>
      <w:r w:rsidRPr="00FD211F">
        <w:rPr>
          <w:sz w:val="36"/>
          <w:szCs w:val="36"/>
          <w:rtl/>
        </w:rPr>
        <w:t xml:space="preserve"> ان القول باستعمال لفظ الصلا</w:t>
      </w:r>
      <w:r w:rsidR="00EC7EDF" w:rsidRPr="00FD211F">
        <w:rPr>
          <w:sz w:val="36"/>
          <w:szCs w:val="36"/>
          <w:rtl/>
        </w:rPr>
        <w:t xml:space="preserve">ة </w:t>
      </w:r>
      <w:r w:rsidRPr="00FD211F">
        <w:rPr>
          <w:sz w:val="36"/>
          <w:szCs w:val="36"/>
          <w:rtl/>
        </w:rPr>
        <w:t>في هذه الصحيح</w:t>
      </w:r>
      <w:r w:rsidR="00EC7EDF" w:rsidRPr="00FD211F">
        <w:rPr>
          <w:sz w:val="36"/>
          <w:szCs w:val="36"/>
          <w:rtl/>
        </w:rPr>
        <w:t xml:space="preserve">ة </w:t>
      </w:r>
      <w:r w:rsidRPr="00FD211F">
        <w:rPr>
          <w:sz w:val="36"/>
          <w:szCs w:val="36"/>
          <w:rtl/>
        </w:rPr>
        <w:t>في الأعم يستلزم الحرم</w:t>
      </w:r>
      <w:r w:rsidR="00EC7EDF" w:rsidRPr="00FD211F">
        <w:rPr>
          <w:sz w:val="36"/>
          <w:szCs w:val="36"/>
          <w:rtl/>
        </w:rPr>
        <w:t xml:space="preserve">ة </w:t>
      </w:r>
      <w:r w:rsidRPr="00FD211F">
        <w:rPr>
          <w:sz w:val="36"/>
          <w:szCs w:val="36"/>
          <w:rtl/>
        </w:rPr>
        <w:t>الذاتي</w:t>
      </w:r>
      <w:r w:rsidR="00EC7EDF" w:rsidRPr="00FD211F">
        <w:rPr>
          <w:sz w:val="36"/>
          <w:szCs w:val="36"/>
          <w:rtl/>
        </w:rPr>
        <w:t xml:space="preserve">ة </w:t>
      </w:r>
      <w:r w:rsidRPr="00FD211F">
        <w:rPr>
          <w:sz w:val="36"/>
          <w:szCs w:val="36"/>
          <w:rtl/>
        </w:rPr>
        <w:t>لصلا</w:t>
      </w:r>
      <w:r w:rsidR="00EC7EDF" w:rsidRPr="00FD211F">
        <w:rPr>
          <w:sz w:val="36"/>
          <w:szCs w:val="36"/>
          <w:rtl/>
        </w:rPr>
        <w:t xml:space="preserve">ة </w:t>
      </w:r>
      <w:r w:rsidRPr="00FD211F">
        <w:rPr>
          <w:sz w:val="36"/>
          <w:szCs w:val="36"/>
          <w:rtl/>
        </w:rPr>
        <w:t>الحائض ولو كان فاسد</w:t>
      </w:r>
      <w:r w:rsidR="00EC7EDF" w:rsidRPr="00FD211F">
        <w:rPr>
          <w:sz w:val="36"/>
          <w:szCs w:val="36"/>
          <w:rtl/>
        </w:rPr>
        <w:t xml:space="preserve">ة </w:t>
      </w:r>
      <w:r w:rsidRPr="00FD211F">
        <w:rPr>
          <w:sz w:val="36"/>
          <w:szCs w:val="36"/>
          <w:rtl/>
        </w:rPr>
        <w:t>لأجل خلل آخر</w:t>
      </w:r>
      <w:r w:rsidR="009C58C8" w:rsidRPr="00FD211F">
        <w:rPr>
          <w:rStyle w:val="a6"/>
          <w:sz w:val="36"/>
          <w:szCs w:val="36"/>
          <w:rtl/>
        </w:rPr>
        <w:t>(</w:t>
      </w:r>
      <w:r w:rsidR="009C58C8" w:rsidRPr="00FD211F">
        <w:rPr>
          <w:rStyle w:val="a6"/>
          <w:sz w:val="36"/>
          <w:szCs w:val="36"/>
          <w:rtl/>
        </w:rPr>
        <w:footnoteReference w:id="436"/>
      </w:r>
      <w:r w:rsidR="009C58C8" w:rsidRPr="00FD211F">
        <w:rPr>
          <w:rStyle w:val="a6"/>
          <w:sz w:val="36"/>
          <w:szCs w:val="36"/>
          <w:rtl/>
        </w:rPr>
        <w:t>)</w:t>
      </w:r>
      <w:r w:rsidR="00800ED5" w:rsidRPr="00FD211F">
        <w:rPr>
          <w:sz w:val="36"/>
          <w:szCs w:val="36"/>
          <w:rtl/>
        </w:rPr>
        <w:t>.</w:t>
      </w:r>
    </w:p>
    <w:p w14:paraId="5E6C9E5E" w14:textId="77777777" w:rsidR="00052BF2" w:rsidRPr="00FD211F" w:rsidRDefault="00052BF2" w:rsidP="009C58C8">
      <w:pPr>
        <w:ind w:left="0" w:firstLine="227"/>
        <w:jc w:val="both"/>
        <w:rPr>
          <w:sz w:val="36"/>
          <w:szCs w:val="36"/>
          <w:rtl/>
        </w:rPr>
      </w:pPr>
      <w:r w:rsidRPr="00FD211F">
        <w:rPr>
          <w:sz w:val="36"/>
          <w:szCs w:val="36"/>
          <w:rtl/>
        </w:rPr>
        <w:t>ويلاحظ عليه انه بناء على الحرم</w:t>
      </w:r>
      <w:r w:rsidR="00EC7EDF" w:rsidRPr="00FD211F">
        <w:rPr>
          <w:sz w:val="36"/>
          <w:szCs w:val="36"/>
          <w:rtl/>
        </w:rPr>
        <w:t xml:space="preserve">ة </w:t>
      </w:r>
      <w:r w:rsidRPr="00FD211F">
        <w:rPr>
          <w:sz w:val="36"/>
          <w:szCs w:val="36"/>
          <w:rtl/>
        </w:rPr>
        <w:t>الذاتي</w:t>
      </w:r>
      <w:r w:rsidR="00EC7EDF" w:rsidRPr="00FD211F">
        <w:rPr>
          <w:sz w:val="36"/>
          <w:szCs w:val="36"/>
          <w:rtl/>
        </w:rPr>
        <w:t xml:space="preserve">ة </w:t>
      </w:r>
      <w:r w:rsidRPr="00FD211F">
        <w:rPr>
          <w:sz w:val="36"/>
          <w:szCs w:val="36"/>
          <w:rtl/>
        </w:rPr>
        <w:t>لصلا</w:t>
      </w:r>
      <w:r w:rsidR="00EC7EDF" w:rsidRPr="00FD211F">
        <w:rPr>
          <w:sz w:val="36"/>
          <w:szCs w:val="36"/>
          <w:rtl/>
        </w:rPr>
        <w:t xml:space="preserve">ة </w:t>
      </w:r>
      <w:r w:rsidRPr="00FD211F">
        <w:rPr>
          <w:sz w:val="36"/>
          <w:szCs w:val="36"/>
          <w:rtl/>
        </w:rPr>
        <w:t>الحائض فالحرم</w:t>
      </w:r>
      <w:r w:rsidR="00EC7EDF" w:rsidRPr="00FD211F">
        <w:rPr>
          <w:sz w:val="36"/>
          <w:szCs w:val="36"/>
          <w:rtl/>
        </w:rPr>
        <w:t xml:space="preserve">ة </w:t>
      </w:r>
      <w:r w:rsidRPr="00FD211F">
        <w:rPr>
          <w:sz w:val="36"/>
          <w:szCs w:val="36"/>
          <w:rtl/>
        </w:rPr>
        <w:t>وان كانت مختص</w:t>
      </w:r>
      <w:r w:rsidR="00EC7EDF" w:rsidRPr="00FD211F">
        <w:rPr>
          <w:sz w:val="36"/>
          <w:szCs w:val="36"/>
          <w:rtl/>
        </w:rPr>
        <w:t xml:space="preserve">ة </w:t>
      </w:r>
      <w:r w:rsidRPr="00FD211F">
        <w:rPr>
          <w:sz w:val="36"/>
          <w:szCs w:val="36"/>
          <w:rtl/>
        </w:rPr>
        <w:t>بالصحيح</w:t>
      </w:r>
      <w:r w:rsidR="00EC7EDF" w:rsidRPr="00FD211F">
        <w:rPr>
          <w:sz w:val="36"/>
          <w:szCs w:val="36"/>
          <w:rtl/>
        </w:rPr>
        <w:t xml:space="preserve">ة </w:t>
      </w:r>
      <w:r w:rsidRPr="00FD211F">
        <w:rPr>
          <w:sz w:val="36"/>
          <w:szCs w:val="36"/>
          <w:rtl/>
        </w:rPr>
        <w:t>من سائر الجهات عدا كونها صادر</w:t>
      </w:r>
      <w:r w:rsidR="00EC7EDF" w:rsidRPr="00FD211F">
        <w:rPr>
          <w:sz w:val="36"/>
          <w:szCs w:val="36"/>
          <w:rtl/>
        </w:rPr>
        <w:t xml:space="preserve">ة </w:t>
      </w:r>
      <w:r w:rsidRPr="00FD211F">
        <w:rPr>
          <w:sz w:val="36"/>
          <w:szCs w:val="36"/>
          <w:rtl/>
        </w:rPr>
        <w:t>عن الحائض</w:t>
      </w:r>
      <w:r w:rsidR="00603323" w:rsidRPr="00FD211F">
        <w:rPr>
          <w:sz w:val="36"/>
          <w:szCs w:val="36"/>
          <w:rtl/>
        </w:rPr>
        <w:t xml:space="preserve">، </w:t>
      </w:r>
      <w:r w:rsidRPr="00FD211F">
        <w:rPr>
          <w:sz w:val="36"/>
          <w:szCs w:val="36"/>
          <w:rtl/>
        </w:rPr>
        <w:t>لكنه لايعني استعمال لفظ الصلا</w:t>
      </w:r>
      <w:r w:rsidR="00EC7EDF" w:rsidRPr="00FD211F">
        <w:rPr>
          <w:sz w:val="36"/>
          <w:szCs w:val="36"/>
          <w:rtl/>
        </w:rPr>
        <w:t xml:space="preserve">ة </w:t>
      </w:r>
      <w:r w:rsidRPr="00FD211F">
        <w:rPr>
          <w:sz w:val="36"/>
          <w:szCs w:val="36"/>
          <w:rtl/>
        </w:rPr>
        <w:t>في هذا المعنى</w:t>
      </w:r>
      <w:r w:rsidR="00603323" w:rsidRPr="00FD211F">
        <w:rPr>
          <w:sz w:val="36"/>
          <w:szCs w:val="36"/>
          <w:rtl/>
        </w:rPr>
        <w:t xml:space="preserve">، </w:t>
      </w:r>
      <w:r w:rsidRPr="00FD211F">
        <w:rPr>
          <w:sz w:val="36"/>
          <w:szCs w:val="36"/>
          <w:rtl/>
        </w:rPr>
        <w:t>بل لعله استعمل في المعنى الأعم</w:t>
      </w:r>
      <w:r w:rsidR="00603323" w:rsidRPr="00FD211F">
        <w:rPr>
          <w:sz w:val="36"/>
          <w:szCs w:val="36"/>
          <w:rtl/>
        </w:rPr>
        <w:t xml:space="preserve">، </w:t>
      </w:r>
      <w:r w:rsidRPr="00FD211F">
        <w:rPr>
          <w:sz w:val="36"/>
          <w:szCs w:val="36"/>
          <w:rtl/>
        </w:rPr>
        <w:t>وتكون اراد</w:t>
      </w:r>
      <w:r w:rsidR="00EC7EDF" w:rsidRPr="00FD211F">
        <w:rPr>
          <w:sz w:val="36"/>
          <w:szCs w:val="36"/>
          <w:rtl/>
        </w:rPr>
        <w:t xml:space="preserve">ة </w:t>
      </w:r>
      <w:r w:rsidRPr="00FD211F">
        <w:rPr>
          <w:sz w:val="36"/>
          <w:szCs w:val="36"/>
          <w:rtl/>
        </w:rPr>
        <w:t>خصوص الصحيح من باب تعدد الدال والمدلول</w:t>
      </w:r>
      <w:r w:rsidR="00603323" w:rsidRPr="00FD211F">
        <w:rPr>
          <w:sz w:val="36"/>
          <w:szCs w:val="36"/>
          <w:rtl/>
        </w:rPr>
        <w:t xml:space="preserve">، </w:t>
      </w:r>
      <w:r w:rsidRPr="00FD211F">
        <w:rPr>
          <w:sz w:val="36"/>
          <w:szCs w:val="36"/>
          <w:rtl/>
        </w:rPr>
        <w:t>ويكون الدال على اراد</w:t>
      </w:r>
      <w:r w:rsidR="00EC7EDF" w:rsidRPr="00FD211F">
        <w:rPr>
          <w:sz w:val="36"/>
          <w:szCs w:val="36"/>
          <w:rtl/>
        </w:rPr>
        <w:t xml:space="preserve">ة </w:t>
      </w:r>
      <w:r w:rsidRPr="00FD211F">
        <w:rPr>
          <w:sz w:val="36"/>
          <w:szCs w:val="36"/>
          <w:rtl/>
        </w:rPr>
        <w:t>خصوص الصحيح من سائر الجهات</w:t>
      </w:r>
      <w:r w:rsidR="009F490A" w:rsidRPr="00FD211F">
        <w:rPr>
          <w:sz w:val="36"/>
          <w:szCs w:val="36"/>
          <w:rtl/>
        </w:rPr>
        <w:t xml:space="preserve"> هو</w:t>
      </w:r>
      <w:r w:rsidR="00651D90" w:rsidRPr="00FD211F">
        <w:rPr>
          <w:sz w:val="36"/>
          <w:szCs w:val="36"/>
          <w:rtl/>
        </w:rPr>
        <w:t xml:space="preserve"> </w:t>
      </w:r>
      <w:r w:rsidRPr="00FD211F">
        <w:rPr>
          <w:sz w:val="36"/>
          <w:szCs w:val="36"/>
          <w:rtl/>
        </w:rPr>
        <w:t>القرين</w:t>
      </w:r>
      <w:r w:rsidR="00EC7EDF" w:rsidRPr="00FD211F">
        <w:rPr>
          <w:sz w:val="36"/>
          <w:szCs w:val="36"/>
          <w:rtl/>
        </w:rPr>
        <w:t xml:space="preserve">ة </w:t>
      </w:r>
      <w:r w:rsidRPr="00FD211F">
        <w:rPr>
          <w:sz w:val="36"/>
          <w:szCs w:val="36"/>
          <w:rtl/>
        </w:rPr>
        <w:t>العرفي</w:t>
      </w:r>
      <w:r w:rsidR="00EC7EDF" w:rsidRPr="00FD211F">
        <w:rPr>
          <w:sz w:val="36"/>
          <w:szCs w:val="36"/>
          <w:rtl/>
        </w:rPr>
        <w:t>ة</w:t>
      </w:r>
      <w:r w:rsidR="00A61BAE" w:rsidRPr="00FD211F">
        <w:rPr>
          <w:sz w:val="36"/>
          <w:szCs w:val="36"/>
          <w:rtl/>
        </w:rPr>
        <w:t>.</w:t>
      </w:r>
    </w:p>
    <w:p w14:paraId="08046893" w14:textId="77777777" w:rsidR="00052BF2" w:rsidRPr="00FD211F" w:rsidRDefault="00052BF2" w:rsidP="009C58C8">
      <w:pPr>
        <w:ind w:left="0" w:firstLine="227"/>
        <w:jc w:val="both"/>
        <w:rPr>
          <w:sz w:val="36"/>
          <w:szCs w:val="36"/>
          <w:rtl/>
        </w:rPr>
      </w:pPr>
      <w:r w:rsidRPr="00FD211F">
        <w:rPr>
          <w:sz w:val="36"/>
          <w:szCs w:val="36"/>
          <w:rtl/>
        </w:rPr>
        <w:t>وخلاص</w:t>
      </w:r>
      <w:r w:rsidR="00EC7EDF" w:rsidRPr="00FD211F">
        <w:rPr>
          <w:sz w:val="36"/>
          <w:szCs w:val="36"/>
          <w:rtl/>
        </w:rPr>
        <w:t xml:space="preserve">ة </w:t>
      </w:r>
      <w:r w:rsidRPr="00FD211F">
        <w:rPr>
          <w:sz w:val="36"/>
          <w:szCs w:val="36"/>
          <w:rtl/>
        </w:rPr>
        <w:t>المقال في الصحيح</w:t>
      </w:r>
      <w:r w:rsidR="00EC7EDF" w:rsidRPr="00FD211F">
        <w:rPr>
          <w:sz w:val="36"/>
          <w:szCs w:val="36"/>
          <w:rtl/>
        </w:rPr>
        <w:t xml:space="preserve">ة </w:t>
      </w:r>
      <w:r w:rsidRPr="00FD211F">
        <w:rPr>
          <w:sz w:val="36"/>
          <w:szCs w:val="36"/>
          <w:rtl/>
        </w:rPr>
        <w:t>ان ظاهر النهي فيها وان كان هو الإرشاد</w:t>
      </w:r>
      <w:r w:rsidR="00603323" w:rsidRPr="00FD211F">
        <w:rPr>
          <w:sz w:val="36"/>
          <w:szCs w:val="36"/>
          <w:rtl/>
        </w:rPr>
        <w:t xml:space="preserve">، </w:t>
      </w:r>
      <w:r w:rsidRPr="00FD211F">
        <w:rPr>
          <w:sz w:val="36"/>
          <w:szCs w:val="36"/>
          <w:rtl/>
        </w:rPr>
        <w:t>لكنه لايعني كونه ارشادا الى عدم القدر</w:t>
      </w:r>
      <w:r w:rsidR="00EC7EDF" w:rsidRPr="00FD211F">
        <w:rPr>
          <w:sz w:val="36"/>
          <w:szCs w:val="36"/>
          <w:rtl/>
        </w:rPr>
        <w:t xml:space="preserve">ة </w:t>
      </w:r>
      <w:r w:rsidRPr="00FD211F">
        <w:rPr>
          <w:sz w:val="36"/>
          <w:szCs w:val="36"/>
          <w:rtl/>
        </w:rPr>
        <w:t>حسب ما افاده صاحب هداي</w:t>
      </w:r>
      <w:r w:rsidR="00EC7EDF" w:rsidRPr="00FD211F">
        <w:rPr>
          <w:sz w:val="36"/>
          <w:szCs w:val="36"/>
          <w:rtl/>
        </w:rPr>
        <w:t xml:space="preserve">ة </w:t>
      </w:r>
      <w:r w:rsidRPr="00FD211F">
        <w:rPr>
          <w:sz w:val="36"/>
          <w:szCs w:val="36"/>
          <w:rtl/>
        </w:rPr>
        <w:t>المسترشدين</w:t>
      </w:r>
      <w:r w:rsidR="00603323" w:rsidRPr="00FD211F">
        <w:rPr>
          <w:sz w:val="36"/>
          <w:szCs w:val="36"/>
          <w:rtl/>
        </w:rPr>
        <w:t xml:space="preserve">، </w:t>
      </w:r>
      <w:r w:rsidRPr="00FD211F">
        <w:rPr>
          <w:sz w:val="36"/>
          <w:szCs w:val="36"/>
          <w:rtl/>
        </w:rPr>
        <w:t>فانه</w:t>
      </w:r>
      <w:r w:rsidR="008D7B3D" w:rsidRPr="00FD211F">
        <w:rPr>
          <w:sz w:val="36"/>
          <w:szCs w:val="36"/>
          <w:rtl/>
        </w:rPr>
        <w:t xml:space="preserve"> لم‌</w:t>
      </w:r>
      <w:r w:rsidRPr="00FD211F">
        <w:rPr>
          <w:sz w:val="36"/>
          <w:szCs w:val="36"/>
          <w:rtl/>
        </w:rPr>
        <w:t>يعهد مثله في سائر الخطابات</w:t>
      </w:r>
      <w:r w:rsidR="00603323" w:rsidRPr="00FD211F">
        <w:rPr>
          <w:sz w:val="36"/>
          <w:szCs w:val="36"/>
          <w:rtl/>
        </w:rPr>
        <w:t xml:space="preserve">، </w:t>
      </w:r>
      <w:r w:rsidRPr="00FD211F">
        <w:rPr>
          <w:sz w:val="36"/>
          <w:szCs w:val="36"/>
          <w:rtl/>
        </w:rPr>
        <w:t>بل المراد هو كونه ارشادا الى مانعي</w:t>
      </w:r>
      <w:r w:rsidR="00EC7EDF" w:rsidRPr="00FD211F">
        <w:rPr>
          <w:sz w:val="36"/>
          <w:szCs w:val="36"/>
          <w:rtl/>
        </w:rPr>
        <w:t xml:space="preserve">ة </w:t>
      </w:r>
      <w:r w:rsidRPr="00FD211F">
        <w:rPr>
          <w:sz w:val="36"/>
          <w:szCs w:val="36"/>
          <w:rtl/>
        </w:rPr>
        <w:t>الحيض في الصلا</w:t>
      </w:r>
      <w:r w:rsidR="00EC7EDF" w:rsidRPr="00FD211F">
        <w:rPr>
          <w:sz w:val="36"/>
          <w:szCs w:val="36"/>
          <w:rtl/>
        </w:rPr>
        <w:t xml:space="preserve">ة </w:t>
      </w:r>
      <w:r w:rsidRPr="00FD211F">
        <w:rPr>
          <w:sz w:val="36"/>
          <w:szCs w:val="36"/>
          <w:rtl/>
        </w:rPr>
        <w:t>وعدم تعلق الأمر بالصلا</w:t>
      </w:r>
      <w:r w:rsidR="00EC7EDF" w:rsidRPr="00FD211F">
        <w:rPr>
          <w:sz w:val="36"/>
          <w:szCs w:val="36"/>
          <w:rtl/>
        </w:rPr>
        <w:t xml:space="preserve">ة </w:t>
      </w:r>
      <w:r w:rsidRPr="00FD211F">
        <w:rPr>
          <w:sz w:val="36"/>
          <w:szCs w:val="36"/>
          <w:rtl/>
        </w:rPr>
        <w:t>في حق الحائض</w:t>
      </w:r>
      <w:r w:rsidR="00603323" w:rsidRPr="00FD211F">
        <w:rPr>
          <w:sz w:val="36"/>
          <w:szCs w:val="36"/>
          <w:rtl/>
        </w:rPr>
        <w:t xml:space="preserve">، </w:t>
      </w:r>
      <w:r w:rsidRPr="00FD211F">
        <w:rPr>
          <w:sz w:val="36"/>
          <w:szCs w:val="36"/>
          <w:rtl/>
        </w:rPr>
        <w:t>فلايظهر منه الحرم</w:t>
      </w:r>
      <w:r w:rsidR="00EC7EDF" w:rsidRPr="00FD211F">
        <w:rPr>
          <w:sz w:val="36"/>
          <w:szCs w:val="36"/>
          <w:rtl/>
        </w:rPr>
        <w:t xml:space="preserve">ة </w:t>
      </w:r>
      <w:r w:rsidRPr="00FD211F">
        <w:rPr>
          <w:sz w:val="36"/>
          <w:szCs w:val="36"/>
          <w:rtl/>
        </w:rPr>
        <w:t>الذاتي</w:t>
      </w:r>
      <w:r w:rsidR="00EC7EDF" w:rsidRPr="00FD211F">
        <w:rPr>
          <w:sz w:val="36"/>
          <w:szCs w:val="36"/>
          <w:rtl/>
        </w:rPr>
        <w:t>ة</w:t>
      </w:r>
      <w:r w:rsidR="00603323" w:rsidRPr="00FD211F">
        <w:rPr>
          <w:sz w:val="36"/>
          <w:szCs w:val="36"/>
          <w:rtl/>
        </w:rPr>
        <w:t xml:space="preserve">، </w:t>
      </w:r>
      <w:r w:rsidRPr="00FD211F">
        <w:rPr>
          <w:sz w:val="36"/>
          <w:szCs w:val="36"/>
          <w:rtl/>
        </w:rPr>
        <w:t xml:space="preserve">وان كان قد يظهر من سائر الخطابات كقوله </w:t>
      </w:r>
      <w:r w:rsidR="007A4A0D" w:rsidRPr="00FD211F">
        <w:rPr>
          <w:sz w:val="36"/>
          <w:szCs w:val="36"/>
          <w:rtl/>
        </w:rPr>
        <w:t>(عليه‌السلام)</w:t>
      </w:r>
      <w:r w:rsidR="00A24412" w:rsidRPr="00FD211F">
        <w:rPr>
          <w:sz w:val="36"/>
          <w:szCs w:val="36"/>
          <w:rtl/>
        </w:rPr>
        <w:t xml:space="preserve"> </w:t>
      </w:r>
      <w:r w:rsidR="009A66BC" w:rsidRPr="00FD211F">
        <w:rPr>
          <w:sz w:val="36"/>
          <w:szCs w:val="36"/>
          <w:rtl/>
        </w:rPr>
        <w:t>"</w:t>
      </w:r>
      <w:r w:rsidRPr="00FD211F">
        <w:rPr>
          <w:sz w:val="36"/>
          <w:szCs w:val="36"/>
          <w:rtl/>
        </w:rPr>
        <w:t>فلتتق الله ولتمسك عن الصلا</w:t>
      </w:r>
      <w:r w:rsidR="00A24412" w:rsidRPr="00FD211F">
        <w:rPr>
          <w:sz w:val="36"/>
          <w:szCs w:val="36"/>
          <w:rtl/>
        </w:rPr>
        <w:t>ة</w:t>
      </w:r>
      <w:r w:rsidR="009A66BC" w:rsidRPr="00FD211F">
        <w:rPr>
          <w:sz w:val="36"/>
          <w:szCs w:val="36"/>
          <w:rtl/>
        </w:rPr>
        <w:t>"</w:t>
      </w:r>
      <w:r w:rsidR="009C58C8" w:rsidRPr="00FD211F">
        <w:rPr>
          <w:rStyle w:val="a6"/>
          <w:sz w:val="36"/>
          <w:szCs w:val="36"/>
          <w:rtl/>
        </w:rPr>
        <w:t>(</w:t>
      </w:r>
      <w:r w:rsidR="009C58C8" w:rsidRPr="00FD211F">
        <w:rPr>
          <w:rStyle w:val="a6"/>
          <w:sz w:val="36"/>
          <w:szCs w:val="36"/>
          <w:rtl/>
        </w:rPr>
        <w:footnoteReference w:id="437"/>
      </w:r>
      <w:r w:rsidR="009C58C8" w:rsidRPr="00FD211F">
        <w:rPr>
          <w:rStyle w:val="a6"/>
          <w:sz w:val="36"/>
          <w:szCs w:val="36"/>
          <w:rtl/>
        </w:rPr>
        <w:t>)</w:t>
      </w:r>
      <w:r w:rsidR="00603323" w:rsidRPr="00FD211F">
        <w:rPr>
          <w:sz w:val="36"/>
          <w:szCs w:val="36"/>
          <w:rtl/>
        </w:rPr>
        <w:t xml:space="preserve">، </w:t>
      </w:r>
      <w:r w:rsidRPr="00FD211F">
        <w:rPr>
          <w:sz w:val="36"/>
          <w:szCs w:val="36"/>
          <w:rtl/>
        </w:rPr>
        <w:t>الحرم</w:t>
      </w:r>
      <w:r w:rsidR="00EC7EDF" w:rsidRPr="00FD211F">
        <w:rPr>
          <w:sz w:val="36"/>
          <w:szCs w:val="36"/>
          <w:rtl/>
        </w:rPr>
        <w:t xml:space="preserve">ة </w:t>
      </w:r>
      <w:r w:rsidRPr="00FD211F">
        <w:rPr>
          <w:sz w:val="36"/>
          <w:szCs w:val="36"/>
          <w:rtl/>
        </w:rPr>
        <w:t>الذاتي</w:t>
      </w:r>
      <w:r w:rsidR="00EC7EDF" w:rsidRPr="00FD211F">
        <w:rPr>
          <w:sz w:val="36"/>
          <w:szCs w:val="36"/>
          <w:rtl/>
        </w:rPr>
        <w:t xml:space="preserve">ة </w:t>
      </w:r>
      <w:r w:rsidRPr="00FD211F">
        <w:rPr>
          <w:sz w:val="36"/>
          <w:szCs w:val="36"/>
          <w:rtl/>
        </w:rPr>
        <w:t>لصلا</w:t>
      </w:r>
      <w:r w:rsidR="00EC7EDF" w:rsidRPr="00FD211F">
        <w:rPr>
          <w:sz w:val="36"/>
          <w:szCs w:val="36"/>
          <w:rtl/>
        </w:rPr>
        <w:t xml:space="preserve">ة </w:t>
      </w:r>
      <w:r w:rsidRPr="00FD211F">
        <w:rPr>
          <w:sz w:val="36"/>
          <w:szCs w:val="36"/>
          <w:rtl/>
        </w:rPr>
        <w:t>الحائض</w:t>
      </w:r>
      <w:r w:rsidR="00603323" w:rsidRPr="00FD211F">
        <w:rPr>
          <w:sz w:val="36"/>
          <w:szCs w:val="36"/>
          <w:rtl/>
        </w:rPr>
        <w:t xml:space="preserve">، </w:t>
      </w:r>
      <w:r w:rsidRPr="00FD211F">
        <w:rPr>
          <w:sz w:val="36"/>
          <w:szCs w:val="36"/>
          <w:rtl/>
        </w:rPr>
        <w:t>بمعنى ان الحائض لو أتت بالصلا</w:t>
      </w:r>
      <w:r w:rsidR="00EC7EDF" w:rsidRPr="00FD211F">
        <w:rPr>
          <w:sz w:val="36"/>
          <w:szCs w:val="36"/>
          <w:rtl/>
        </w:rPr>
        <w:t xml:space="preserve">ة </w:t>
      </w:r>
      <w:r w:rsidRPr="00FD211F">
        <w:rPr>
          <w:sz w:val="36"/>
          <w:szCs w:val="36"/>
          <w:rtl/>
        </w:rPr>
        <w:t>الصحيح</w:t>
      </w:r>
      <w:r w:rsidR="00EC7EDF" w:rsidRPr="00FD211F">
        <w:rPr>
          <w:sz w:val="36"/>
          <w:szCs w:val="36"/>
          <w:rtl/>
        </w:rPr>
        <w:t xml:space="preserve">ة </w:t>
      </w:r>
      <w:r w:rsidRPr="00FD211F">
        <w:rPr>
          <w:sz w:val="36"/>
          <w:szCs w:val="36"/>
          <w:rtl/>
        </w:rPr>
        <w:t>من سائر الجهات مع قصد القرب</w:t>
      </w:r>
      <w:r w:rsidR="00EC7EDF" w:rsidRPr="00FD211F">
        <w:rPr>
          <w:sz w:val="36"/>
          <w:szCs w:val="36"/>
          <w:rtl/>
        </w:rPr>
        <w:t xml:space="preserve">ة </w:t>
      </w:r>
      <w:r w:rsidRPr="00FD211F">
        <w:rPr>
          <w:sz w:val="36"/>
          <w:szCs w:val="36"/>
          <w:rtl/>
        </w:rPr>
        <w:t>فقد ارتكبت محرما ذاتيا</w:t>
      </w:r>
      <w:r w:rsidR="00603323" w:rsidRPr="00FD211F">
        <w:rPr>
          <w:sz w:val="36"/>
          <w:szCs w:val="36"/>
          <w:rtl/>
        </w:rPr>
        <w:t xml:space="preserve">، </w:t>
      </w:r>
      <w:r w:rsidR="009F490A" w:rsidRPr="00FD211F">
        <w:rPr>
          <w:sz w:val="36"/>
          <w:szCs w:val="36"/>
          <w:rtl/>
        </w:rPr>
        <w:t xml:space="preserve">حتى </w:t>
      </w:r>
      <w:r w:rsidRPr="00FD211F">
        <w:rPr>
          <w:sz w:val="36"/>
          <w:szCs w:val="36"/>
          <w:rtl/>
        </w:rPr>
        <w:t>لو اتت بها بني</w:t>
      </w:r>
      <w:r w:rsidR="00EC7EDF" w:rsidRPr="00FD211F">
        <w:rPr>
          <w:sz w:val="36"/>
          <w:szCs w:val="36"/>
          <w:rtl/>
        </w:rPr>
        <w:t xml:space="preserve">ة </w:t>
      </w:r>
      <w:r w:rsidRPr="00FD211F">
        <w:rPr>
          <w:sz w:val="36"/>
          <w:szCs w:val="36"/>
          <w:rtl/>
        </w:rPr>
        <w:t>الرجاء والاحت</w:t>
      </w:r>
      <w:r w:rsidR="009A66BC" w:rsidRPr="00FD211F">
        <w:rPr>
          <w:sz w:val="36"/>
          <w:szCs w:val="36"/>
          <w:rtl/>
        </w:rPr>
        <w:t>ياط</w:t>
      </w:r>
      <w:r w:rsidR="00603323" w:rsidRPr="00FD211F">
        <w:rPr>
          <w:sz w:val="36"/>
          <w:szCs w:val="36"/>
          <w:rtl/>
        </w:rPr>
        <w:t xml:space="preserve">، </w:t>
      </w:r>
      <w:r w:rsidR="009A66BC" w:rsidRPr="00FD211F">
        <w:rPr>
          <w:sz w:val="36"/>
          <w:szCs w:val="36"/>
          <w:rtl/>
        </w:rPr>
        <w:t>كما اختاره</w:t>
      </w:r>
      <w:r w:rsidR="009F490A" w:rsidRPr="00FD211F">
        <w:rPr>
          <w:sz w:val="36"/>
          <w:szCs w:val="36"/>
          <w:rtl/>
        </w:rPr>
        <w:t xml:space="preserve"> جماعة</w:t>
      </w:r>
      <w:r w:rsidR="00603323" w:rsidRPr="00FD211F">
        <w:rPr>
          <w:sz w:val="36"/>
          <w:szCs w:val="36"/>
          <w:rtl/>
        </w:rPr>
        <w:t xml:space="preserve">، </w:t>
      </w:r>
      <w:r w:rsidRPr="00FD211F">
        <w:rPr>
          <w:sz w:val="36"/>
          <w:szCs w:val="36"/>
          <w:rtl/>
        </w:rPr>
        <w:t>وتفصيل الكلام فيه موكول الى محله.</w:t>
      </w:r>
    </w:p>
    <w:p w14:paraId="2C2C7C83" w14:textId="77777777" w:rsidR="00052BF2" w:rsidRPr="00FD211F" w:rsidRDefault="00052BF2" w:rsidP="009C58C8">
      <w:pPr>
        <w:ind w:left="0" w:firstLine="227"/>
        <w:jc w:val="both"/>
        <w:rPr>
          <w:sz w:val="36"/>
          <w:szCs w:val="36"/>
          <w:rtl/>
        </w:rPr>
      </w:pPr>
      <w:r w:rsidRPr="00FD211F">
        <w:rPr>
          <w:sz w:val="36"/>
          <w:szCs w:val="36"/>
          <w:rtl/>
        </w:rPr>
        <w:t>وكيف كان</w:t>
      </w:r>
      <w:r w:rsidR="00603323" w:rsidRPr="00FD211F">
        <w:rPr>
          <w:sz w:val="36"/>
          <w:szCs w:val="36"/>
          <w:rtl/>
        </w:rPr>
        <w:t xml:space="preserve">، </w:t>
      </w:r>
      <w:r w:rsidRPr="00FD211F">
        <w:rPr>
          <w:sz w:val="36"/>
          <w:szCs w:val="36"/>
          <w:rtl/>
        </w:rPr>
        <w:t>فالعمد</w:t>
      </w:r>
      <w:r w:rsidR="00EC7EDF" w:rsidRPr="00FD211F">
        <w:rPr>
          <w:sz w:val="36"/>
          <w:szCs w:val="36"/>
          <w:rtl/>
        </w:rPr>
        <w:t xml:space="preserve">ة </w:t>
      </w:r>
      <w:r w:rsidRPr="00FD211F">
        <w:rPr>
          <w:sz w:val="36"/>
          <w:szCs w:val="36"/>
          <w:rtl/>
        </w:rPr>
        <w:t>في الجواب عن الاستدلال بهذه الصحيح</w:t>
      </w:r>
      <w:r w:rsidR="00EC7EDF" w:rsidRPr="00FD211F">
        <w:rPr>
          <w:sz w:val="36"/>
          <w:szCs w:val="36"/>
          <w:rtl/>
        </w:rPr>
        <w:t xml:space="preserve">ة </w:t>
      </w:r>
      <w:r w:rsidRPr="00FD211F">
        <w:rPr>
          <w:sz w:val="36"/>
          <w:szCs w:val="36"/>
          <w:rtl/>
        </w:rPr>
        <w:t>للأعم هو ان الاستعمال اعم من الحقيق</w:t>
      </w:r>
      <w:r w:rsidR="00EC7EDF" w:rsidRPr="00FD211F">
        <w:rPr>
          <w:sz w:val="36"/>
          <w:szCs w:val="36"/>
          <w:rtl/>
        </w:rPr>
        <w:t>ة</w:t>
      </w:r>
      <w:r w:rsidR="00A61BAE" w:rsidRPr="00FD211F">
        <w:rPr>
          <w:sz w:val="36"/>
          <w:szCs w:val="36"/>
          <w:rtl/>
        </w:rPr>
        <w:t>.</w:t>
      </w:r>
    </w:p>
    <w:p w14:paraId="41B16E67" w14:textId="77777777" w:rsidR="00052BF2" w:rsidRPr="00FD211F" w:rsidRDefault="00052BF2" w:rsidP="009C58C8">
      <w:pPr>
        <w:ind w:left="0" w:firstLine="227"/>
        <w:jc w:val="both"/>
        <w:rPr>
          <w:sz w:val="36"/>
          <w:szCs w:val="36"/>
          <w:rtl/>
        </w:rPr>
      </w:pPr>
      <w:r w:rsidRPr="00FD211F">
        <w:rPr>
          <w:sz w:val="36"/>
          <w:szCs w:val="36"/>
          <w:rtl/>
        </w:rPr>
        <w:t>5- انه لاشبه</w:t>
      </w:r>
      <w:r w:rsidR="00EC7EDF" w:rsidRPr="00FD211F">
        <w:rPr>
          <w:sz w:val="36"/>
          <w:szCs w:val="36"/>
          <w:rtl/>
        </w:rPr>
        <w:t xml:space="preserve">ة </w:t>
      </w:r>
      <w:r w:rsidRPr="00FD211F">
        <w:rPr>
          <w:sz w:val="36"/>
          <w:szCs w:val="36"/>
          <w:rtl/>
        </w:rPr>
        <w:t>في صح</w:t>
      </w:r>
      <w:r w:rsidR="00EC7EDF" w:rsidRPr="00FD211F">
        <w:rPr>
          <w:sz w:val="36"/>
          <w:szCs w:val="36"/>
          <w:rtl/>
        </w:rPr>
        <w:t xml:space="preserve">ة </w:t>
      </w:r>
      <w:r w:rsidRPr="00FD211F">
        <w:rPr>
          <w:sz w:val="36"/>
          <w:szCs w:val="36"/>
          <w:rtl/>
        </w:rPr>
        <w:t>تعلق النذر بترك الصلا</w:t>
      </w:r>
      <w:r w:rsidR="00EC7EDF" w:rsidRPr="00FD211F">
        <w:rPr>
          <w:sz w:val="36"/>
          <w:szCs w:val="36"/>
          <w:rtl/>
        </w:rPr>
        <w:t xml:space="preserve">ة </w:t>
      </w:r>
      <w:r w:rsidRPr="00FD211F">
        <w:rPr>
          <w:sz w:val="36"/>
          <w:szCs w:val="36"/>
          <w:rtl/>
        </w:rPr>
        <w:t>في مكان يكره فيه الصلا</w:t>
      </w:r>
      <w:r w:rsidR="00EC7EDF" w:rsidRPr="00FD211F">
        <w:rPr>
          <w:sz w:val="36"/>
          <w:szCs w:val="36"/>
          <w:rtl/>
        </w:rPr>
        <w:t xml:space="preserve">ة </w:t>
      </w:r>
      <w:r w:rsidRPr="00FD211F">
        <w:rPr>
          <w:sz w:val="36"/>
          <w:szCs w:val="36"/>
          <w:rtl/>
        </w:rPr>
        <w:t>وحصول الحنث بفعلها كالصلا</w:t>
      </w:r>
      <w:r w:rsidR="00EC7EDF" w:rsidRPr="00FD211F">
        <w:rPr>
          <w:sz w:val="36"/>
          <w:szCs w:val="36"/>
          <w:rtl/>
        </w:rPr>
        <w:t xml:space="preserve">ة </w:t>
      </w:r>
      <w:r w:rsidRPr="00FD211F">
        <w:rPr>
          <w:sz w:val="36"/>
          <w:szCs w:val="36"/>
          <w:rtl/>
        </w:rPr>
        <w:t>في الحمّام مثلا</w:t>
      </w:r>
      <w:r w:rsidR="00603323" w:rsidRPr="00FD211F">
        <w:rPr>
          <w:sz w:val="36"/>
          <w:szCs w:val="36"/>
          <w:rtl/>
        </w:rPr>
        <w:t xml:space="preserve">، </w:t>
      </w:r>
      <w:r w:rsidRPr="00FD211F">
        <w:rPr>
          <w:sz w:val="36"/>
          <w:szCs w:val="36"/>
          <w:rtl/>
        </w:rPr>
        <w:t>فلو كانت الصلا</w:t>
      </w:r>
      <w:r w:rsidR="00EC7EDF" w:rsidRPr="00FD211F">
        <w:rPr>
          <w:sz w:val="36"/>
          <w:szCs w:val="36"/>
          <w:rtl/>
        </w:rPr>
        <w:t xml:space="preserve">ة </w:t>
      </w:r>
      <w:r w:rsidRPr="00FD211F">
        <w:rPr>
          <w:sz w:val="36"/>
          <w:szCs w:val="36"/>
          <w:rtl/>
        </w:rPr>
        <w:t>بمعنى الصحيح فيكون المنذور ترك الصلا</w:t>
      </w:r>
      <w:r w:rsidR="00EC7EDF" w:rsidRPr="00FD211F">
        <w:rPr>
          <w:sz w:val="36"/>
          <w:szCs w:val="36"/>
          <w:rtl/>
        </w:rPr>
        <w:t xml:space="preserve">ة </w:t>
      </w:r>
      <w:r w:rsidRPr="00FD211F">
        <w:rPr>
          <w:sz w:val="36"/>
          <w:szCs w:val="36"/>
          <w:rtl/>
        </w:rPr>
        <w:t>الصحيح</w:t>
      </w:r>
      <w:r w:rsidR="00EC7EDF" w:rsidRPr="00FD211F">
        <w:rPr>
          <w:sz w:val="36"/>
          <w:szCs w:val="36"/>
          <w:rtl/>
        </w:rPr>
        <w:t xml:space="preserve">ة </w:t>
      </w:r>
      <w:r w:rsidRPr="00FD211F">
        <w:rPr>
          <w:sz w:val="36"/>
          <w:szCs w:val="36"/>
          <w:rtl/>
        </w:rPr>
        <w:t>في الحمام ويلزم منه عدم امكان حنث هذا النذر</w:t>
      </w:r>
      <w:r w:rsidR="00603323" w:rsidRPr="00FD211F">
        <w:rPr>
          <w:sz w:val="36"/>
          <w:szCs w:val="36"/>
          <w:rtl/>
        </w:rPr>
        <w:t xml:space="preserve">، </w:t>
      </w:r>
      <w:r w:rsidRPr="00FD211F">
        <w:rPr>
          <w:sz w:val="36"/>
          <w:szCs w:val="36"/>
          <w:rtl/>
        </w:rPr>
        <w:t>لانه يلزم من انطباق الحنث على الصلا</w:t>
      </w:r>
      <w:r w:rsidR="00EC7EDF" w:rsidRPr="00FD211F">
        <w:rPr>
          <w:sz w:val="36"/>
          <w:szCs w:val="36"/>
          <w:rtl/>
        </w:rPr>
        <w:t xml:space="preserve">ة </w:t>
      </w:r>
      <w:r w:rsidRPr="00FD211F">
        <w:rPr>
          <w:sz w:val="36"/>
          <w:szCs w:val="36"/>
          <w:rtl/>
        </w:rPr>
        <w:t>في الحمام بطلانها</w:t>
      </w:r>
      <w:r w:rsidR="00603323" w:rsidRPr="00FD211F">
        <w:rPr>
          <w:sz w:val="36"/>
          <w:szCs w:val="36"/>
          <w:rtl/>
        </w:rPr>
        <w:t xml:space="preserve">، </w:t>
      </w:r>
      <w:r w:rsidRPr="00FD211F">
        <w:rPr>
          <w:sz w:val="36"/>
          <w:szCs w:val="36"/>
          <w:rtl/>
        </w:rPr>
        <w:t>وبالتالي فلايتحقق حنث النذر</w:t>
      </w:r>
      <w:r w:rsidR="00603323" w:rsidRPr="00FD211F">
        <w:rPr>
          <w:sz w:val="36"/>
          <w:szCs w:val="36"/>
          <w:rtl/>
        </w:rPr>
        <w:t xml:space="preserve">، </w:t>
      </w:r>
      <w:r w:rsidRPr="00FD211F">
        <w:rPr>
          <w:sz w:val="36"/>
          <w:szCs w:val="36"/>
          <w:rtl/>
        </w:rPr>
        <w:t>وهو خلاف الوجدان</w:t>
      </w:r>
      <w:r w:rsidR="00603323" w:rsidRPr="00FD211F">
        <w:rPr>
          <w:sz w:val="36"/>
          <w:szCs w:val="36"/>
          <w:rtl/>
        </w:rPr>
        <w:t xml:space="preserve">، </w:t>
      </w:r>
      <w:r w:rsidRPr="00FD211F">
        <w:rPr>
          <w:sz w:val="36"/>
          <w:szCs w:val="36"/>
          <w:rtl/>
        </w:rPr>
        <w:t>بل يلزم منه المحال</w:t>
      </w:r>
      <w:r w:rsidR="00603323" w:rsidRPr="00FD211F">
        <w:rPr>
          <w:sz w:val="36"/>
          <w:szCs w:val="36"/>
          <w:rtl/>
        </w:rPr>
        <w:t xml:space="preserve">، </w:t>
      </w:r>
      <w:r w:rsidRPr="00FD211F">
        <w:rPr>
          <w:sz w:val="36"/>
          <w:szCs w:val="36"/>
          <w:rtl/>
        </w:rPr>
        <w:t>لأن انعقاد هذا النذر يستلزم العجز عن متعلقه</w:t>
      </w:r>
      <w:r w:rsidR="00603323" w:rsidRPr="00FD211F">
        <w:rPr>
          <w:sz w:val="36"/>
          <w:szCs w:val="36"/>
          <w:rtl/>
        </w:rPr>
        <w:t xml:space="preserve">، </w:t>
      </w:r>
      <w:r w:rsidRPr="00FD211F">
        <w:rPr>
          <w:sz w:val="36"/>
          <w:szCs w:val="36"/>
          <w:rtl/>
        </w:rPr>
        <w:t>بمعنى عدم التمكن من مخالفته</w:t>
      </w:r>
      <w:r w:rsidR="00603323" w:rsidRPr="00FD211F">
        <w:rPr>
          <w:sz w:val="36"/>
          <w:szCs w:val="36"/>
          <w:rtl/>
        </w:rPr>
        <w:t xml:space="preserve">، </w:t>
      </w:r>
      <w:r w:rsidRPr="00FD211F">
        <w:rPr>
          <w:sz w:val="36"/>
          <w:szCs w:val="36"/>
          <w:rtl/>
        </w:rPr>
        <w:t>وحيث يشترط في انعقاد النذر أي وجوب الوفاء به قدر</w:t>
      </w:r>
      <w:r w:rsidR="00EC7EDF" w:rsidRPr="00FD211F">
        <w:rPr>
          <w:sz w:val="36"/>
          <w:szCs w:val="36"/>
          <w:rtl/>
        </w:rPr>
        <w:t xml:space="preserve">ة </w:t>
      </w:r>
      <w:r w:rsidRPr="00FD211F">
        <w:rPr>
          <w:sz w:val="36"/>
          <w:szCs w:val="36"/>
          <w:rtl/>
        </w:rPr>
        <w:t>المكلف على اتيان متعلقه وتركه</w:t>
      </w:r>
      <w:r w:rsidR="00603323" w:rsidRPr="00FD211F">
        <w:rPr>
          <w:sz w:val="36"/>
          <w:szCs w:val="36"/>
          <w:rtl/>
        </w:rPr>
        <w:t xml:space="preserve">، </w:t>
      </w:r>
      <w:r w:rsidRPr="00FD211F">
        <w:rPr>
          <w:sz w:val="36"/>
          <w:szCs w:val="36"/>
          <w:rtl/>
        </w:rPr>
        <w:t>فيكون انعقاد النذر مستلزما لعدم انعقاده</w:t>
      </w:r>
      <w:r w:rsidR="00603323" w:rsidRPr="00FD211F">
        <w:rPr>
          <w:sz w:val="36"/>
          <w:szCs w:val="36"/>
          <w:rtl/>
        </w:rPr>
        <w:t xml:space="preserve">، </w:t>
      </w:r>
      <w:r w:rsidRPr="00FD211F">
        <w:rPr>
          <w:sz w:val="36"/>
          <w:szCs w:val="36"/>
          <w:rtl/>
        </w:rPr>
        <w:t>وما يلزم من وجوده عدمه فهو محال.</w:t>
      </w:r>
    </w:p>
    <w:p w14:paraId="4EE543D4" w14:textId="77777777" w:rsidR="000C5BBA" w:rsidRPr="00FD211F" w:rsidRDefault="00052BF2" w:rsidP="009C58C8">
      <w:pPr>
        <w:ind w:left="0" w:firstLine="227"/>
        <w:jc w:val="both"/>
        <w:rPr>
          <w:sz w:val="36"/>
          <w:szCs w:val="36"/>
          <w:rtl/>
        </w:rPr>
      </w:pPr>
      <w:r w:rsidRPr="00FD211F">
        <w:rPr>
          <w:sz w:val="36"/>
          <w:szCs w:val="36"/>
          <w:rtl/>
        </w:rPr>
        <w:t xml:space="preserve">ويلاحظ عليه </w:t>
      </w:r>
      <w:r w:rsidRPr="00FD211F">
        <w:rPr>
          <w:b/>
          <w:bCs/>
          <w:sz w:val="36"/>
          <w:szCs w:val="36"/>
          <w:rtl/>
        </w:rPr>
        <w:t>اولا</w:t>
      </w:r>
      <w:r w:rsidRPr="00FD211F">
        <w:rPr>
          <w:sz w:val="36"/>
          <w:szCs w:val="36"/>
          <w:rtl/>
        </w:rPr>
        <w:t>: ان غاي</w:t>
      </w:r>
      <w:r w:rsidR="00EC7EDF" w:rsidRPr="00FD211F">
        <w:rPr>
          <w:sz w:val="36"/>
          <w:szCs w:val="36"/>
          <w:rtl/>
        </w:rPr>
        <w:t xml:space="preserve">ة </w:t>
      </w:r>
      <w:r w:rsidRPr="00FD211F">
        <w:rPr>
          <w:sz w:val="36"/>
          <w:szCs w:val="36"/>
          <w:rtl/>
        </w:rPr>
        <w:t>ما يلزم منه عدم صح</w:t>
      </w:r>
      <w:r w:rsidR="00EC7EDF" w:rsidRPr="00FD211F">
        <w:rPr>
          <w:sz w:val="36"/>
          <w:szCs w:val="36"/>
          <w:rtl/>
        </w:rPr>
        <w:t xml:space="preserve">ة </w:t>
      </w:r>
      <w:r w:rsidRPr="00FD211F">
        <w:rPr>
          <w:sz w:val="36"/>
          <w:szCs w:val="36"/>
          <w:rtl/>
        </w:rPr>
        <w:t>تعلق النذر بترك الصلا</w:t>
      </w:r>
      <w:r w:rsidR="00EC7EDF" w:rsidRPr="00FD211F">
        <w:rPr>
          <w:sz w:val="36"/>
          <w:szCs w:val="36"/>
          <w:rtl/>
        </w:rPr>
        <w:t xml:space="preserve">ة </w:t>
      </w:r>
      <w:r w:rsidRPr="00FD211F">
        <w:rPr>
          <w:sz w:val="36"/>
          <w:szCs w:val="36"/>
          <w:rtl/>
        </w:rPr>
        <w:t>الصحيح</w:t>
      </w:r>
      <w:r w:rsidR="00EC7EDF" w:rsidRPr="00FD211F">
        <w:rPr>
          <w:sz w:val="36"/>
          <w:szCs w:val="36"/>
          <w:rtl/>
        </w:rPr>
        <w:t xml:space="preserve">ة </w:t>
      </w:r>
      <w:r w:rsidRPr="00FD211F">
        <w:rPr>
          <w:sz w:val="36"/>
          <w:szCs w:val="36"/>
          <w:rtl/>
        </w:rPr>
        <w:t>في الحمام مثلا</w:t>
      </w:r>
      <w:r w:rsidR="00603323" w:rsidRPr="00FD211F">
        <w:rPr>
          <w:sz w:val="36"/>
          <w:szCs w:val="36"/>
          <w:rtl/>
        </w:rPr>
        <w:t xml:space="preserve">، </w:t>
      </w:r>
      <w:r w:rsidRPr="00FD211F">
        <w:rPr>
          <w:sz w:val="36"/>
          <w:szCs w:val="36"/>
          <w:rtl/>
        </w:rPr>
        <w:t>لاعدم وضع لفظ الصلا</w:t>
      </w:r>
      <w:r w:rsidR="00EC7EDF" w:rsidRPr="00FD211F">
        <w:rPr>
          <w:sz w:val="36"/>
          <w:szCs w:val="36"/>
          <w:rtl/>
        </w:rPr>
        <w:t xml:space="preserve">ة </w:t>
      </w:r>
      <w:r w:rsidRPr="00FD211F">
        <w:rPr>
          <w:sz w:val="36"/>
          <w:szCs w:val="36"/>
          <w:rtl/>
        </w:rPr>
        <w:t>على الصحيح</w:t>
      </w:r>
      <w:r w:rsidR="00C774D9" w:rsidRPr="00FD211F">
        <w:rPr>
          <w:sz w:val="36"/>
          <w:szCs w:val="36"/>
          <w:rtl/>
        </w:rPr>
        <w:t>.</w:t>
      </w:r>
    </w:p>
    <w:p w14:paraId="4C67F0C2" w14:textId="77777777" w:rsidR="000C5BBA"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انه يمكن ان يكون ما ذكر قرين</w:t>
      </w:r>
      <w:r w:rsidR="00EC7EDF" w:rsidRPr="00FD211F">
        <w:rPr>
          <w:sz w:val="36"/>
          <w:szCs w:val="36"/>
          <w:rtl/>
        </w:rPr>
        <w:t xml:space="preserve">ة </w:t>
      </w:r>
      <w:r w:rsidRPr="00FD211F">
        <w:rPr>
          <w:sz w:val="36"/>
          <w:szCs w:val="36"/>
          <w:rtl/>
        </w:rPr>
        <w:t>على كون المنذور هو ترك الصلا</w:t>
      </w:r>
      <w:r w:rsidR="00EC7EDF" w:rsidRPr="00FD211F">
        <w:rPr>
          <w:sz w:val="36"/>
          <w:szCs w:val="36"/>
          <w:rtl/>
        </w:rPr>
        <w:t xml:space="preserve">ة </w:t>
      </w:r>
      <w:r w:rsidRPr="00FD211F">
        <w:rPr>
          <w:sz w:val="36"/>
          <w:szCs w:val="36"/>
          <w:rtl/>
        </w:rPr>
        <w:t>الصحيح</w:t>
      </w:r>
      <w:r w:rsidR="00EC7EDF" w:rsidRPr="00FD211F">
        <w:rPr>
          <w:sz w:val="36"/>
          <w:szCs w:val="36"/>
          <w:rtl/>
        </w:rPr>
        <w:t xml:space="preserve">ة </w:t>
      </w:r>
      <w:r w:rsidRPr="00FD211F">
        <w:rPr>
          <w:sz w:val="36"/>
          <w:szCs w:val="36"/>
          <w:rtl/>
        </w:rPr>
        <w:t>لولا النذر</w:t>
      </w:r>
      <w:r w:rsidR="00957390" w:rsidRPr="00FD211F">
        <w:rPr>
          <w:sz w:val="36"/>
          <w:szCs w:val="36"/>
          <w:rtl/>
        </w:rPr>
        <w:t>.</w:t>
      </w:r>
    </w:p>
    <w:p w14:paraId="4A8C2D06" w14:textId="77777777" w:rsidR="00052BF2" w:rsidRPr="00FD211F" w:rsidRDefault="00052BF2" w:rsidP="009C58C8">
      <w:pPr>
        <w:ind w:left="0" w:firstLine="227"/>
        <w:jc w:val="both"/>
        <w:rPr>
          <w:sz w:val="36"/>
          <w:szCs w:val="36"/>
          <w:rtl/>
        </w:rPr>
      </w:pPr>
      <w:r w:rsidRPr="00FD211F">
        <w:rPr>
          <w:b/>
          <w:bCs/>
          <w:sz w:val="36"/>
          <w:szCs w:val="36"/>
          <w:rtl/>
        </w:rPr>
        <w:t>وثالثا</w:t>
      </w:r>
      <w:r w:rsidRPr="00FD211F">
        <w:rPr>
          <w:sz w:val="36"/>
          <w:szCs w:val="36"/>
          <w:rtl/>
        </w:rPr>
        <w:t>: ان هذا النذر باطل لكون الصلا</w:t>
      </w:r>
      <w:r w:rsidR="00EC7EDF" w:rsidRPr="00FD211F">
        <w:rPr>
          <w:sz w:val="36"/>
          <w:szCs w:val="36"/>
          <w:rtl/>
        </w:rPr>
        <w:t xml:space="preserve">ة </w:t>
      </w:r>
      <w:r w:rsidRPr="00FD211F">
        <w:rPr>
          <w:sz w:val="36"/>
          <w:szCs w:val="36"/>
          <w:rtl/>
        </w:rPr>
        <w:t>في الحمام راجح</w:t>
      </w:r>
      <w:r w:rsidR="00EC7EDF" w:rsidRPr="00FD211F">
        <w:rPr>
          <w:sz w:val="36"/>
          <w:szCs w:val="36"/>
          <w:rtl/>
        </w:rPr>
        <w:t xml:space="preserve">ة </w:t>
      </w:r>
      <w:r w:rsidRPr="00FD211F">
        <w:rPr>
          <w:sz w:val="36"/>
          <w:szCs w:val="36"/>
          <w:rtl/>
        </w:rPr>
        <w:t>في نفسها وان كان ثوابها اقل من سائر افراد الصلا</w:t>
      </w:r>
      <w:r w:rsidR="00EC7EDF" w:rsidRPr="00FD211F">
        <w:rPr>
          <w:sz w:val="36"/>
          <w:szCs w:val="36"/>
          <w:rtl/>
        </w:rPr>
        <w:t>ة</w:t>
      </w:r>
      <w:r w:rsidR="00603323" w:rsidRPr="00FD211F">
        <w:rPr>
          <w:sz w:val="36"/>
          <w:szCs w:val="36"/>
          <w:rtl/>
        </w:rPr>
        <w:t xml:space="preserve">، </w:t>
      </w:r>
      <w:r w:rsidR="00957390" w:rsidRPr="00FD211F">
        <w:rPr>
          <w:sz w:val="36"/>
          <w:szCs w:val="36"/>
          <w:rtl/>
        </w:rPr>
        <w:t>فلاينعقد هذا النذر</w:t>
      </w:r>
      <w:r w:rsidR="00603323" w:rsidRPr="00FD211F">
        <w:rPr>
          <w:sz w:val="36"/>
          <w:szCs w:val="36"/>
          <w:rtl/>
        </w:rPr>
        <w:t xml:space="preserve">، </w:t>
      </w:r>
      <w:r w:rsidRPr="00FD211F">
        <w:rPr>
          <w:sz w:val="36"/>
          <w:szCs w:val="36"/>
          <w:rtl/>
        </w:rPr>
        <w:t>نعم لو نذر ان يأتي بصلاته في غير الحمام فينعقد نذره</w:t>
      </w:r>
      <w:r w:rsidR="00603323" w:rsidRPr="00FD211F">
        <w:rPr>
          <w:sz w:val="36"/>
          <w:szCs w:val="36"/>
          <w:rtl/>
        </w:rPr>
        <w:t xml:space="preserve">، </w:t>
      </w:r>
      <w:r w:rsidRPr="00FD211F">
        <w:rPr>
          <w:sz w:val="36"/>
          <w:szCs w:val="36"/>
          <w:rtl/>
        </w:rPr>
        <w:t>ولكنه لايوجب بطلان الصلا</w:t>
      </w:r>
      <w:r w:rsidR="00EC7EDF" w:rsidRPr="00FD211F">
        <w:rPr>
          <w:sz w:val="36"/>
          <w:szCs w:val="36"/>
          <w:rtl/>
        </w:rPr>
        <w:t xml:space="preserve">ة </w:t>
      </w:r>
      <w:r w:rsidRPr="00FD211F">
        <w:rPr>
          <w:sz w:val="36"/>
          <w:szCs w:val="36"/>
          <w:rtl/>
        </w:rPr>
        <w:t>في الحمام فانه نظير ان ينذر الإتيان بصلاته جماع</w:t>
      </w:r>
      <w:r w:rsidR="00EC7EDF" w:rsidRPr="00FD211F">
        <w:rPr>
          <w:sz w:val="36"/>
          <w:szCs w:val="36"/>
          <w:rtl/>
        </w:rPr>
        <w:t>ة</w:t>
      </w:r>
      <w:r w:rsidR="00603323" w:rsidRPr="00FD211F">
        <w:rPr>
          <w:sz w:val="36"/>
          <w:szCs w:val="36"/>
          <w:rtl/>
        </w:rPr>
        <w:t xml:space="preserve">، </w:t>
      </w:r>
      <w:r w:rsidRPr="00FD211F">
        <w:rPr>
          <w:sz w:val="36"/>
          <w:szCs w:val="36"/>
          <w:rtl/>
        </w:rPr>
        <w:t>ف</w:t>
      </w:r>
      <w:r w:rsidR="009A66BC" w:rsidRPr="00FD211F">
        <w:rPr>
          <w:sz w:val="36"/>
          <w:szCs w:val="36"/>
          <w:rtl/>
        </w:rPr>
        <w:t>ي</w:t>
      </w:r>
      <w:r w:rsidRPr="00FD211F">
        <w:rPr>
          <w:sz w:val="36"/>
          <w:szCs w:val="36"/>
          <w:rtl/>
        </w:rPr>
        <w:t>أتى بها منفردا</w:t>
      </w:r>
      <w:r w:rsidR="00603323" w:rsidRPr="00FD211F">
        <w:rPr>
          <w:sz w:val="36"/>
          <w:szCs w:val="36"/>
          <w:rtl/>
        </w:rPr>
        <w:t xml:space="preserve">، </w:t>
      </w:r>
      <w:r w:rsidRPr="00FD211F">
        <w:rPr>
          <w:sz w:val="36"/>
          <w:szCs w:val="36"/>
          <w:rtl/>
        </w:rPr>
        <w:t>فان وجوب الوفاء بالنذر لايقتضي النهي عن ضده الخاص</w:t>
      </w:r>
      <w:r w:rsidR="00603323" w:rsidRPr="00FD211F">
        <w:rPr>
          <w:sz w:val="36"/>
          <w:szCs w:val="36"/>
          <w:rtl/>
        </w:rPr>
        <w:t xml:space="preserve">، </w:t>
      </w:r>
      <w:r w:rsidRPr="00FD211F">
        <w:rPr>
          <w:sz w:val="36"/>
          <w:szCs w:val="36"/>
          <w:rtl/>
        </w:rPr>
        <w:t>وهو الصلا</w:t>
      </w:r>
      <w:r w:rsidR="00EC7EDF" w:rsidRPr="00FD211F">
        <w:rPr>
          <w:sz w:val="36"/>
          <w:szCs w:val="36"/>
          <w:rtl/>
        </w:rPr>
        <w:t xml:space="preserve">ة </w:t>
      </w:r>
      <w:r w:rsidRPr="00FD211F">
        <w:rPr>
          <w:sz w:val="36"/>
          <w:szCs w:val="36"/>
          <w:rtl/>
        </w:rPr>
        <w:t>في الحمام او الصلا</w:t>
      </w:r>
      <w:r w:rsidR="00EC7EDF" w:rsidRPr="00FD211F">
        <w:rPr>
          <w:sz w:val="36"/>
          <w:szCs w:val="36"/>
          <w:rtl/>
        </w:rPr>
        <w:t xml:space="preserve">ة </w:t>
      </w:r>
      <w:r w:rsidRPr="00FD211F">
        <w:rPr>
          <w:sz w:val="36"/>
          <w:szCs w:val="36"/>
          <w:rtl/>
        </w:rPr>
        <w:t>منفردا.</w:t>
      </w:r>
    </w:p>
    <w:p w14:paraId="7EA82441" w14:textId="77777777" w:rsidR="00052BF2" w:rsidRPr="00FD211F" w:rsidRDefault="00052BF2" w:rsidP="009C58C8">
      <w:pPr>
        <w:pStyle w:val="3"/>
        <w:ind w:firstLine="227"/>
        <w:jc w:val="both"/>
        <w:rPr>
          <w:rtl/>
        </w:rPr>
      </w:pPr>
      <w:bookmarkStart w:id="390" w:name="_Toc192092930"/>
      <w:bookmarkStart w:id="391" w:name="_Toc223890409"/>
      <w:r w:rsidRPr="00FD211F">
        <w:rPr>
          <w:rtl/>
        </w:rPr>
        <w:t>المختار في الصحيح والأعم</w:t>
      </w:r>
      <w:bookmarkEnd w:id="390"/>
      <w:bookmarkEnd w:id="391"/>
    </w:p>
    <w:p w14:paraId="1383D318" w14:textId="77777777" w:rsidR="00052BF2" w:rsidRPr="00FD211F" w:rsidRDefault="00052BF2" w:rsidP="009C58C8">
      <w:pPr>
        <w:ind w:left="0" w:firstLine="227"/>
        <w:jc w:val="both"/>
        <w:rPr>
          <w:sz w:val="36"/>
          <w:szCs w:val="36"/>
          <w:rtl/>
        </w:rPr>
      </w:pPr>
      <w:r w:rsidRPr="00FD211F">
        <w:rPr>
          <w:sz w:val="36"/>
          <w:szCs w:val="36"/>
          <w:rtl/>
        </w:rPr>
        <w:t>تحقيق الكلام فيه انه بناء على ان اسماء العبادات كانت حقائق لغوي</w:t>
      </w:r>
      <w:r w:rsidR="00EC7EDF" w:rsidRPr="00FD211F">
        <w:rPr>
          <w:sz w:val="36"/>
          <w:szCs w:val="36"/>
          <w:rtl/>
        </w:rPr>
        <w:t xml:space="preserve">ة </w:t>
      </w:r>
      <w:r w:rsidRPr="00FD211F">
        <w:rPr>
          <w:sz w:val="36"/>
          <w:szCs w:val="36"/>
          <w:rtl/>
        </w:rPr>
        <w:t>قبل الاسلام في معانيها الشرعي</w:t>
      </w:r>
      <w:r w:rsidR="00EC7EDF" w:rsidRPr="00FD211F">
        <w:rPr>
          <w:sz w:val="36"/>
          <w:szCs w:val="36"/>
          <w:rtl/>
        </w:rPr>
        <w:t xml:space="preserve">ة </w:t>
      </w:r>
      <w:r w:rsidRPr="00FD211F">
        <w:rPr>
          <w:sz w:val="36"/>
          <w:szCs w:val="36"/>
          <w:rtl/>
        </w:rPr>
        <w:t>لثبوتها في الأمم السابق</w:t>
      </w:r>
      <w:r w:rsidR="00EC7EDF" w:rsidRPr="00FD211F">
        <w:rPr>
          <w:sz w:val="36"/>
          <w:szCs w:val="36"/>
          <w:rtl/>
        </w:rPr>
        <w:t xml:space="preserve">ة </w:t>
      </w:r>
      <w:r w:rsidRPr="00FD211F">
        <w:rPr>
          <w:sz w:val="36"/>
          <w:szCs w:val="36"/>
          <w:rtl/>
        </w:rPr>
        <w:t>والعرب قبل الاسلام أيضا</w:t>
      </w:r>
      <w:r w:rsidR="00603323" w:rsidRPr="00FD211F">
        <w:rPr>
          <w:sz w:val="36"/>
          <w:szCs w:val="36"/>
          <w:rtl/>
        </w:rPr>
        <w:t xml:space="preserve">، </w:t>
      </w:r>
      <w:r w:rsidRPr="00FD211F">
        <w:rPr>
          <w:sz w:val="36"/>
          <w:szCs w:val="36"/>
          <w:rtl/>
        </w:rPr>
        <w:t>كما هو مختار صاحب الكفاي</w:t>
      </w:r>
      <w:r w:rsidR="00EC7EDF" w:rsidRPr="00FD211F">
        <w:rPr>
          <w:sz w:val="36"/>
          <w:szCs w:val="36"/>
          <w:rtl/>
        </w:rPr>
        <w:t>ة</w:t>
      </w:r>
      <w:r w:rsidR="008D7B3D" w:rsidRPr="00FD211F">
        <w:rPr>
          <w:sz w:val="36"/>
          <w:szCs w:val="36"/>
          <w:rtl/>
        </w:rPr>
        <w:t xml:space="preserve"> </w:t>
      </w:r>
      <w:r w:rsidR="00A24412" w:rsidRPr="00FD211F">
        <w:rPr>
          <w:sz w:val="36"/>
          <w:szCs w:val="36"/>
          <w:rtl/>
        </w:rPr>
        <w:t>"قده"</w:t>
      </w:r>
      <w:r w:rsidR="00A61BAE" w:rsidRPr="00FD211F">
        <w:rPr>
          <w:sz w:val="36"/>
          <w:szCs w:val="36"/>
          <w:rtl/>
        </w:rPr>
        <w:t xml:space="preserve"> </w:t>
      </w:r>
      <w:r w:rsidRPr="00FD211F">
        <w:rPr>
          <w:sz w:val="36"/>
          <w:szCs w:val="36"/>
          <w:rtl/>
        </w:rPr>
        <w:t>وقد قويناه سابقا في مثل الصلا</w:t>
      </w:r>
      <w:r w:rsidR="00EC7EDF" w:rsidRPr="00FD211F">
        <w:rPr>
          <w:sz w:val="36"/>
          <w:szCs w:val="36"/>
          <w:rtl/>
        </w:rPr>
        <w:t xml:space="preserve">ة </w:t>
      </w:r>
      <w:r w:rsidRPr="00FD211F">
        <w:rPr>
          <w:sz w:val="36"/>
          <w:szCs w:val="36"/>
          <w:rtl/>
        </w:rPr>
        <w:t>والزكا</w:t>
      </w:r>
      <w:r w:rsidR="00EC7EDF" w:rsidRPr="00FD211F">
        <w:rPr>
          <w:sz w:val="36"/>
          <w:szCs w:val="36"/>
          <w:rtl/>
        </w:rPr>
        <w:t xml:space="preserve">ة </w:t>
      </w:r>
      <w:r w:rsidRPr="00FD211F">
        <w:rPr>
          <w:sz w:val="36"/>
          <w:szCs w:val="36"/>
          <w:rtl/>
        </w:rPr>
        <w:t>والحج</w:t>
      </w:r>
      <w:r w:rsidR="00603323" w:rsidRPr="00FD211F">
        <w:rPr>
          <w:sz w:val="36"/>
          <w:szCs w:val="36"/>
          <w:rtl/>
        </w:rPr>
        <w:t xml:space="preserve">، </w:t>
      </w:r>
      <w:r w:rsidRPr="00FD211F">
        <w:rPr>
          <w:sz w:val="36"/>
          <w:szCs w:val="36"/>
          <w:rtl/>
        </w:rPr>
        <w:t>فلايبقى مجال لدعوى وضعها لخصوص الصحيح</w:t>
      </w:r>
      <w:r w:rsidR="00603323" w:rsidRPr="00FD211F">
        <w:rPr>
          <w:sz w:val="36"/>
          <w:szCs w:val="36"/>
          <w:rtl/>
        </w:rPr>
        <w:t xml:space="preserve">، </w:t>
      </w:r>
      <w:r w:rsidRPr="00FD211F">
        <w:rPr>
          <w:sz w:val="36"/>
          <w:szCs w:val="36"/>
          <w:rtl/>
        </w:rPr>
        <w:t>اذ لايحتمل وضعها بإزاء مفهوم الصحيح</w:t>
      </w:r>
      <w:r w:rsidR="00603323" w:rsidRPr="00FD211F">
        <w:rPr>
          <w:sz w:val="36"/>
          <w:szCs w:val="36"/>
          <w:rtl/>
        </w:rPr>
        <w:t xml:space="preserve">، </w:t>
      </w:r>
      <w:r w:rsidRPr="00FD211F">
        <w:rPr>
          <w:sz w:val="36"/>
          <w:szCs w:val="36"/>
          <w:rtl/>
        </w:rPr>
        <w:t>فلابد ان توضع بإزاء واقع الصحيح</w:t>
      </w:r>
      <w:r w:rsidR="00603323" w:rsidRPr="00FD211F">
        <w:rPr>
          <w:sz w:val="36"/>
          <w:szCs w:val="36"/>
          <w:rtl/>
        </w:rPr>
        <w:t xml:space="preserve">، </w:t>
      </w:r>
      <w:r w:rsidRPr="00FD211F">
        <w:rPr>
          <w:sz w:val="36"/>
          <w:szCs w:val="36"/>
          <w:rtl/>
        </w:rPr>
        <w:t>ولكنه لايكون متحدا بين الأمم السابق</w:t>
      </w:r>
      <w:r w:rsidR="00EC7EDF" w:rsidRPr="00FD211F">
        <w:rPr>
          <w:sz w:val="36"/>
          <w:szCs w:val="36"/>
          <w:rtl/>
        </w:rPr>
        <w:t xml:space="preserve">ة </w:t>
      </w:r>
      <w:r w:rsidRPr="00FD211F">
        <w:rPr>
          <w:sz w:val="36"/>
          <w:szCs w:val="36"/>
          <w:rtl/>
        </w:rPr>
        <w:t>وبين الإسلام</w:t>
      </w:r>
      <w:r w:rsidR="00603323" w:rsidRPr="00FD211F">
        <w:rPr>
          <w:sz w:val="36"/>
          <w:szCs w:val="36"/>
          <w:rtl/>
        </w:rPr>
        <w:t xml:space="preserve">، </w:t>
      </w:r>
      <w:r w:rsidRPr="00FD211F">
        <w:rPr>
          <w:sz w:val="36"/>
          <w:szCs w:val="36"/>
          <w:rtl/>
        </w:rPr>
        <w:t>حتى يوضع بإزاءه لفظ العباد</w:t>
      </w:r>
      <w:r w:rsidR="00EC7EDF" w:rsidRPr="00FD211F">
        <w:rPr>
          <w:sz w:val="36"/>
          <w:szCs w:val="36"/>
          <w:rtl/>
        </w:rPr>
        <w:t>ة</w:t>
      </w:r>
      <w:r w:rsidR="00603323" w:rsidRPr="00FD211F">
        <w:rPr>
          <w:sz w:val="36"/>
          <w:szCs w:val="36"/>
          <w:rtl/>
        </w:rPr>
        <w:t xml:space="preserve">، </w:t>
      </w:r>
      <w:r w:rsidRPr="00FD211F">
        <w:rPr>
          <w:sz w:val="36"/>
          <w:szCs w:val="36"/>
          <w:rtl/>
        </w:rPr>
        <w:t>فان ما هو صحيح عند الأمم السابق</w:t>
      </w:r>
      <w:r w:rsidR="00EC7EDF" w:rsidRPr="00FD211F">
        <w:rPr>
          <w:sz w:val="36"/>
          <w:szCs w:val="36"/>
          <w:rtl/>
        </w:rPr>
        <w:t xml:space="preserve">ة </w:t>
      </w:r>
      <w:r w:rsidRPr="00FD211F">
        <w:rPr>
          <w:sz w:val="36"/>
          <w:szCs w:val="36"/>
          <w:rtl/>
        </w:rPr>
        <w:t>غير صحيح عندنا</w:t>
      </w:r>
      <w:r w:rsidR="00603323" w:rsidRPr="00FD211F">
        <w:rPr>
          <w:sz w:val="36"/>
          <w:szCs w:val="36"/>
          <w:rtl/>
        </w:rPr>
        <w:t xml:space="preserve">، </w:t>
      </w:r>
      <w:r w:rsidRPr="00FD211F">
        <w:rPr>
          <w:sz w:val="36"/>
          <w:szCs w:val="36"/>
          <w:rtl/>
        </w:rPr>
        <w:t>وما هو صحيح عندنا غير صحيح عندهم فيتعين وضعها للأعم</w:t>
      </w:r>
      <w:r w:rsidR="00603323" w:rsidRPr="00FD211F">
        <w:rPr>
          <w:sz w:val="36"/>
          <w:szCs w:val="36"/>
          <w:rtl/>
        </w:rPr>
        <w:t xml:space="preserve">، </w:t>
      </w:r>
      <w:r w:rsidRPr="00FD211F">
        <w:rPr>
          <w:sz w:val="36"/>
          <w:szCs w:val="36"/>
          <w:rtl/>
        </w:rPr>
        <w:t>وحيث لايحتمل الفرق بين مثل لفظ الصلا</w:t>
      </w:r>
      <w:r w:rsidR="00EC7EDF" w:rsidRPr="00FD211F">
        <w:rPr>
          <w:sz w:val="36"/>
          <w:szCs w:val="36"/>
          <w:rtl/>
        </w:rPr>
        <w:t xml:space="preserve">ة </w:t>
      </w:r>
      <w:r w:rsidRPr="00FD211F">
        <w:rPr>
          <w:sz w:val="36"/>
          <w:szCs w:val="36"/>
          <w:rtl/>
        </w:rPr>
        <w:t>والزكا</w:t>
      </w:r>
      <w:r w:rsidR="00EC7EDF" w:rsidRPr="00FD211F">
        <w:rPr>
          <w:sz w:val="36"/>
          <w:szCs w:val="36"/>
          <w:rtl/>
        </w:rPr>
        <w:t xml:space="preserve">ة </w:t>
      </w:r>
      <w:r w:rsidRPr="00FD211F">
        <w:rPr>
          <w:sz w:val="36"/>
          <w:szCs w:val="36"/>
          <w:rtl/>
        </w:rPr>
        <w:t>والحج وسائر الفاظ العبادات فيلتزم بوضع الجميع للأعم.</w:t>
      </w:r>
    </w:p>
    <w:p w14:paraId="4345EE66" w14:textId="77777777" w:rsidR="00052BF2" w:rsidRPr="00FD211F" w:rsidRDefault="00052BF2" w:rsidP="009C58C8">
      <w:pPr>
        <w:ind w:left="0" w:firstLine="227"/>
        <w:jc w:val="both"/>
        <w:rPr>
          <w:sz w:val="36"/>
          <w:szCs w:val="36"/>
          <w:rtl/>
        </w:rPr>
      </w:pPr>
      <w:r w:rsidRPr="00FD211F">
        <w:rPr>
          <w:sz w:val="36"/>
          <w:szCs w:val="36"/>
          <w:rtl/>
        </w:rPr>
        <w:t>وأما بناء على صيرورتها بعد الاسلام حقائق شرعي</w:t>
      </w:r>
      <w:r w:rsidR="00EC7EDF" w:rsidRPr="00FD211F">
        <w:rPr>
          <w:sz w:val="36"/>
          <w:szCs w:val="36"/>
          <w:rtl/>
        </w:rPr>
        <w:t xml:space="preserve">ة </w:t>
      </w:r>
      <w:r w:rsidRPr="00FD211F">
        <w:rPr>
          <w:sz w:val="36"/>
          <w:szCs w:val="36"/>
          <w:rtl/>
        </w:rPr>
        <w:t>في تلك المعاني الشرعي</w:t>
      </w:r>
      <w:r w:rsidR="00EC7EDF" w:rsidRPr="00FD211F">
        <w:rPr>
          <w:sz w:val="36"/>
          <w:szCs w:val="36"/>
          <w:rtl/>
        </w:rPr>
        <w:t>ة</w:t>
      </w:r>
      <w:r w:rsidR="00603323" w:rsidRPr="00FD211F">
        <w:rPr>
          <w:sz w:val="36"/>
          <w:szCs w:val="36"/>
          <w:rtl/>
        </w:rPr>
        <w:t xml:space="preserve">، </w:t>
      </w:r>
      <w:r w:rsidRPr="00FD211F">
        <w:rPr>
          <w:sz w:val="36"/>
          <w:szCs w:val="36"/>
          <w:rtl/>
        </w:rPr>
        <w:t>فوضعها إما يكون بنحو الوضع التعييني الاستعمالي من قبل الشارع او بوضعه التعيني النا</w:t>
      </w:r>
      <w:r w:rsidR="00251CB6" w:rsidRPr="00FD211F">
        <w:rPr>
          <w:sz w:val="36"/>
          <w:szCs w:val="36"/>
          <w:rtl/>
        </w:rPr>
        <w:t xml:space="preserve">شيء </w:t>
      </w:r>
      <w:r w:rsidRPr="00FD211F">
        <w:rPr>
          <w:sz w:val="36"/>
          <w:szCs w:val="36"/>
          <w:rtl/>
        </w:rPr>
        <w:t>من كثر</w:t>
      </w:r>
      <w:r w:rsidR="00EC7EDF" w:rsidRPr="00FD211F">
        <w:rPr>
          <w:sz w:val="36"/>
          <w:szCs w:val="36"/>
          <w:rtl/>
        </w:rPr>
        <w:t xml:space="preserve">ة </w:t>
      </w:r>
      <w:r w:rsidRPr="00FD211F">
        <w:rPr>
          <w:sz w:val="36"/>
          <w:szCs w:val="36"/>
          <w:rtl/>
        </w:rPr>
        <w:t>استعماله لها في الصحيح</w:t>
      </w:r>
      <w:r w:rsidR="00603323" w:rsidRPr="00FD211F">
        <w:rPr>
          <w:sz w:val="36"/>
          <w:szCs w:val="36"/>
          <w:rtl/>
        </w:rPr>
        <w:t xml:space="preserve">، </w:t>
      </w:r>
      <w:r w:rsidRPr="00FD211F">
        <w:rPr>
          <w:sz w:val="36"/>
          <w:szCs w:val="36"/>
          <w:rtl/>
        </w:rPr>
        <w:t>أما الوضع التعييني الاستعمالي في الصحيح فغير محتمل في الصحيح فلان استعمال الشارع لتلك الالفاظ كان سابقا على تبيينه من الأجزاء والشرائط</w:t>
      </w:r>
      <w:r w:rsidR="00603323" w:rsidRPr="00FD211F">
        <w:rPr>
          <w:sz w:val="36"/>
          <w:szCs w:val="36"/>
          <w:rtl/>
        </w:rPr>
        <w:t xml:space="preserve">، </w:t>
      </w:r>
      <w:r w:rsidRPr="00FD211F">
        <w:rPr>
          <w:sz w:val="36"/>
          <w:szCs w:val="36"/>
          <w:rtl/>
        </w:rPr>
        <w:t>وحينئذ فلايبقى احتمال الوضع التعييني الاستعمالي من قبل الشارع لتلك الالفاظ في خصوص الصحيح</w:t>
      </w:r>
      <w:r w:rsidR="00603323" w:rsidRPr="00FD211F">
        <w:rPr>
          <w:sz w:val="36"/>
          <w:szCs w:val="36"/>
          <w:rtl/>
        </w:rPr>
        <w:t xml:space="preserve">، </w:t>
      </w:r>
      <w:r w:rsidRPr="00FD211F">
        <w:rPr>
          <w:sz w:val="36"/>
          <w:szCs w:val="36"/>
          <w:rtl/>
        </w:rPr>
        <w:t>لانه ان اراد وضعه لمفهوم الصحيح فهو غير محتمل اثباتا</w:t>
      </w:r>
      <w:r w:rsidR="00603323" w:rsidRPr="00FD211F">
        <w:rPr>
          <w:sz w:val="36"/>
          <w:szCs w:val="36"/>
          <w:rtl/>
        </w:rPr>
        <w:t xml:space="preserve">، </w:t>
      </w:r>
      <w:r w:rsidRPr="00FD211F">
        <w:rPr>
          <w:sz w:val="36"/>
          <w:szCs w:val="36"/>
          <w:rtl/>
        </w:rPr>
        <w:t>وان اراد وضعه للأجزاء والشرائط غير المعلوم</w:t>
      </w:r>
      <w:r w:rsidR="00EC7EDF" w:rsidRPr="00FD211F">
        <w:rPr>
          <w:sz w:val="36"/>
          <w:szCs w:val="36"/>
          <w:rtl/>
        </w:rPr>
        <w:t xml:space="preserve">ة </w:t>
      </w:r>
      <w:r w:rsidRPr="00FD211F">
        <w:rPr>
          <w:sz w:val="36"/>
          <w:szCs w:val="36"/>
          <w:rtl/>
        </w:rPr>
        <w:t>لدى السامعين فهو خلاف الغرض التفهيمي من الوضع</w:t>
      </w:r>
      <w:r w:rsidR="00603323" w:rsidRPr="00FD211F">
        <w:rPr>
          <w:sz w:val="36"/>
          <w:szCs w:val="36"/>
          <w:rtl/>
        </w:rPr>
        <w:t xml:space="preserve">، </w:t>
      </w:r>
      <w:r w:rsidRPr="00FD211F">
        <w:rPr>
          <w:sz w:val="36"/>
          <w:szCs w:val="36"/>
          <w:rtl/>
        </w:rPr>
        <w:t>واما وضعه لخصوص الأجزاء والشرائط المبين</w:t>
      </w:r>
      <w:r w:rsidR="00EC7EDF" w:rsidRPr="00FD211F">
        <w:rPr>
          <w:sz w:val="36"/>
          <w:szCs w:val="36"/>
          <w:rtl/>
        </w:rPr>
        <w:t xml:space="preserve">ة </w:t>
      </w:r>
      <w:r w:rsidRPr="00FD211F">
        <w:rPr>
          <w:sz w:val="36"/>
          <w:szCs w:val="36"/>
          <w:rtl/>
        </w:rPr>
        <w:t>حين الاستعمال فيستلزم ذلك تبدل وضع تلك الالفاظ بعد تبيين سائر الأجزاء والشرائط.</w:t>
      </w:r>
    </w:p>
    <w:p w14:paraId="6CD79F1C" w14:textId="77777777" w:rsidR="00052BF2" w:rsidRPr="00FD211F" w:rsidRDefault="00052BF2" w:rsidP="009C58C8">
      <w:pPr>
        <w:ind w:left="0" w:firstLine="227"/>
        <w:jc w:val="both"/>
        <w:rPr>
          <w:sz w:val="36"/>
          <w:szCs w:val="36"/>
          <w:rtl/>
        </w:rPr>
      </w:pPr>
      <w:r w:rsidRPr="00FD211F">
        <w:rPr>
          <w:sz w:val="36"/>
          <w:szCs w:val="36"/>
          <w:rtl/>
        </w:rPr>
        <w:t xml:space="preserve">واما الوضع التعيني على خصوص الصحيح فهو وان كان محتملا لكن لايبعد حصول الاطمئنان </w:t>
      </w:r>
      <w:r w:rsidR="00957390" w:rsidRPr="00FD211F">
        <w:rPr>
          <w:sz w:val="36"/>
          <w:szCs w:val="36"/>
          <w:rtl/>
        </w:rPr>
        <w:t>ب</w:t>
      </w:r>
      <w:r w:rsidRPr="00FD211F">
        <w:rPr>
          <w:sz w:val="36"/>
          <w:szCs w:val="36"/>
          <w:rtl/>
        </w:rPr>
        <w:t>أنها قد وضعت بإزاء الأعم</w:t>
      </w:r>
      <w:r w:rsidR="00603323" w:rsidRPr="00FD211F">
        <w:rPr>
          <w:sz w:val="36"/>
          <w:szCs w:val="36"/>
          <w:rtl/>
        </w:rPr>
        <w:t xml:space="preserve">، </w:t>
      </w:r>
      <w:r w:rsidRPr="00FD211F">
        <w:rPr>
          <w:sz w:val="36"/>
          <w:szCs w:val="36"/>
          <w:rtl/>
        </w:rPr>
        <w:t>وذلك لعد</w:t>
      </w:r>
      <w:r w:rsidR="00EC7EDF" w:rsidRPr="00FD211F">
        <w:rPr>
          <w:sz w:val="36"/>
          <w:szCs w:val="36"/>
          <w:rtl/>
        </w:rPr>
        <w:t xml:space="preserve">ة </w:t>
      </w:r>
      <w:r w:rsidRPr="00FD211F">
        <w:rPr>
          <w:sz w:val="36"/>
          <w:szCs w:val="36"/>
          <w:rtl/>
        </w:rPr>
        <w:t>قرائن:</w:t>
      </w:r>
    </w:p>
    <w:p w14:paraId="26FFF022" w14:textId="77777777" w:rsidR="00052BF2" w:rsidRPr="00FD211F" w:rsidRDefault="00052BF2" w:rsidP="009C58C8">
      <w:pPr>
        <w:ind w:left="0" w:firstLine="227"/>
        <w:jc w:val="both"/>
        <w:rPr>
          <w:sz w:val="36"/>
          <w:szCs w:val="36"/>
          <w:rtl/>
        </w:rPr>
      </w:pPr>
      <w:r w:rsidRPr="00FD211F">
        <w:rPr>
          <w:sz w:val="36"/>
          <w:szCs w:val="36"/>
          <w:rtl/>
        </w:rPr>
        <w:t>1- كثر</w:t>
      </w:r>
      <w:r w:rsidR="00EC7EDF" w:rsidRPr="00FD211F">
        <w:rPr>
          <w:sz w:val="36"/>
          <w:szCs w:val="36"/>
          <w:rtl/>
        </w:rPr>
        <w:t xml:space="preserve">ة </w:t>
      </w:r>
      <w:r w:rsidRPr="00FD211F">
        <w:rPr>
          <w:sz w:val="36"/>
          <w:szCs w:val="36"/>
          <w:rtl/>
        </w:rPr>
        <w:t>استعمال تلك الالفاظ في الخطابات الشرعي</w:t>
      </w:r>
      <w:r w:rsidR="00EC7EDF" w:rsidRPr="00FD211F">
        <w:rPr>
          <w:sz w:val="36"/>
          <w:szCs w:val="36"/>
          <w:rtl/>
        </w:rPr>
        <w:t xml:space="preserve">ة </w:t>
      </w:r>
      <w:r w:rsidRPr="00FD211F">
        <w:rPr>
          <w:sz w:val="36"/>
          <w:szCs w:val="36"/>
          <w:rtl/>
        </w:rPr>
        <w:t>في الأعم</w:t>
      </w:r>
      <w:r w:rsidR="00603323" w:rsidRPr="00FD211F">
        <w:rPr>
          <w:sz w:val="36"/>
          <w:szCs w:val="36"/>
          <w:rtl/>
        </w:rPr>
        <w:t xml:space="preserve">، </w:t>
      </w:r>
      <w:r w:rsidRPr="00FD211F">
        <w:rPr>
          <w:sz w:val="36"/>
          <w:szCs w:val="36"/>
          <w:rtl/>
        </w:rPr>
        <w:t xml:space="preserve">وأما الخطاب الذي أريد منه الصحيح فلاينحصر </w:t>
      </w:r>
      <w:r w:rsidR="001B3112" w:rsidRPr="00FD211F">
        <w:rPr>
          <w:sz w:val="36"/>
          <w:szCs w:val="36"/>
          <w:rtl/>
        </w:rPr>
        <w:t>الأمر</w:t>
      </w:r>
      <w:r w:rsidRPr="00FD211F">
        <w:rPr>
          <w:sz w:val="36"/>
          <w:szCs w:val="36"/>
          <w:rtl/>
        </w:rPr>
        <w:t xml:space="preserve"> في استعمالها في الصحيح بل يجتمع مع كون ارادته من باب تعدد الدال والمدلول بان يستعمل اللفظ في الأعم ويكون تقييده بالصحيح بقرين</w:t>
      </w:r>
      <w:r w:rsidR="00EC7EDF" w:rsidRPr="00FD211F">
        <w:rPr>
          <w:sz w:val="36"/>
          <w:szCs w:val="36"/>
          <w:rtl/>
        </w:rPr>
        <w:t xml:space="preserve">ة </w:t>
      </w:r>
      <w:r w:rsidRPr="00FD211F">
        <w:rPr>
          <w:sz w:val="36"/>
          <w:szCs w:val="36"/>
          <w:rtl/>
        </w:rPr>
        <w:t>متصل</w:t>
      </w:r>
      <w:r w:rsidR="00EC7EDF" w:rsidRPr="00FD211F">
        <w:rPr>
          <w:sz w:val="36"/>
          <w:szCs w:val="36"/>
          <w:rtl/>
        </w:rPr>
        <w:t>ة</w:t>
      </w:r>
      <w:r w:rsidRPr="00FD211F">
        <w:rPr>
          <w:sz w:val="36"/>
          <w:szCs w:val="36"/>
          <w:rtl/>
        </w:rPr>
        <w:t xml:space="preserve"> حالي</w:t>
      </w:r>
      <w:r w:rsidR="00EC7EDF" w:rsidRPr="00FD211F">
        <w:rPr>
          <w:sz w:val="36"/>
          <w:szCs w:val="36"/>
          <w:rtl/>
        </w:rPr>
        <w:t xml:space="preserve">ة </w:t>
      </w:r>
      <w:r w:rsidRPr="00FD211F">
        <w:rPr>
          <w:sz w:val="36"/>
          <w:szCs w:val="36"/>
          <w:rtl/>
        </w:rPr>
        <w:t>او لفظي</w:t>
      </w:r>
      <w:r w:rsidR="00EC7EDF" w:rsidRPr="00FD211F">
        <w:rPr>
          <w:sz w:val="36"/>
          <w:szCs w:val="36"/>
          <w:rtl/>
        </w:rPr>
        <w:t>ة</w:t>
      </w:r>
      <w:r w:rsidR="00A61BAE" w:rsidRPr="00FD211F">
        <w:rPr>
          <w:sz w:val="36"/>
          <w:szCs w:val="36"/>
          <w:rtl/>
        </w:rPr>
        <w:t>.</w:t>
      </w:r>
    </w:p>
    <w:p w14:paraId="43ABFEAD" w14:textId="77777777" w:rsidR="00052BF2" w:rsidRPr="00FD211F" w:rsidRDefault="00052BF2" w:rsidP="009C58C8">
      <w:pPr>
        <w:ind w:left="0" w:firstLine="227"/>
        <w:jc w:val="both"/>
        <w:rPr>
          <w:sz w:val="36"/>
          <w:szCs w:val="36"/>
          <w:rtl/>
        </w:rPr>
      </w:pPr>
      <w:r w:rsidRPr="00FD211F">
        <w:rPr>
          <w:sz w:val="36"/>
          <w:szCs w:val="36"/>
          <w:rtl/>
        </w:rPr>
        <w:t>2- ان المتبادر في اذهان المتشرع</w:t>
      </w:r>
      <w:r w:rsidR="00EC7EDF" w:rsidRPr="00FD211F">
        <w:rPr>
          <w:sz w:val="36"/>
          <w:szCs w:val="36"/>
          <w:rtl/>
        </w:rPr>
        <w:t xml:space="preserve">ة </w:t>
      </w:r>
      <w:r w:rsidRPr="00FD211F">
        <w:rPr>
          <w:sz w:val="36"/>
          <w:szCs w:val="36"/>
          <w:rtl/>
        </w:rPr>
        <w:t>فعلا هو الأعم</w:t>
      </w:r>
      <w:r w:rsidR="00603323" w:rsidRPr="00FD211F">
        <w:rPr>
          <w:sz w:val="36"/>
          <w:szCs w:val="36"/>
          <w:rtl/>
        </w:rPr>
        <w:t xml:space="preserve">، </w:t>
      </w:r>
      <w:r w:rsidRPr="00FD211F">
        <w:rPr>
          <w:sz w:val="36"/>
          <w:szCs w:val="36"/>
          <w:rtl/>
        </w:rPr>
        <w:t>فلاريب في كون أسماء العبادات حقيق</w:t>
      </w:r>
      <w:r w:rsidR="00EC7EDF" w:rsidRPr="00FD211F">
        <w:rPr>
          <w:sz w:val="36"/>
          <w:szCs w:val="36"/>
          <w:rtl/>
        </w:rPr>
        <w:t xml:space="preserve">ة </w:t>
      </w:r>
      <w:r w:rsidRPr="00FD211F">
        <w:rPr>
          <w:sz w:val="36"/>
          <w:szCs w:val="36"/>
          <w:rtl/>
        </w:rPr>
        <w:t>متشرعي</w:t>
      </w:r>
      <w:r w:rsidR="00EC7EDF" w:rsidRPr="00FD211F">
        <w:rPr>
          <w:sz w:val="36"/>
          <w:szCs w:val="36"/>
          <w:rtl/>
        </w:rPr>
        <w:t xml:space="preserve">ة </w:t>
      </w:r>
      <w:r w:rsidRPr="00FD211F">
        <w:rPr>
          <w:sz w:val="36"/>
          <w:szCs w:val="36"/>
          <w:rtl/>
        </w:rPr>
        <w:t>في الأعم</w:t>
      </w:r>
      <w:r w:rsidR="00603323" w:rsidRPr="00FD211F">
        <w:rPr>
          <w:sz w:val="36"/>
          <w:szCs w:val="36"/>
          <w:rtl/>
        </w:rPr>
        <w:t xml:space="preserve">، </w:t>
      </w:r>
      <w:r w:rsidRPr="00FD211F">
        <w:rPr>
          <w:sz w:val="36"/>
          <w:szCs w:val="36"/>
          <w:rtl/>
        </w:rPr>
        <w:t>ونحن وان كنا نحتمل نشوء ذلك من كثر</w:t>
      </w:r>
      <w:r w:rsidR="00EC7EDF" w:rsidRPr="00FD211F">
        <w:rPr>
          <w:sz w:val="36"/>
          <w:szCs w:val="36"/>
          <w:rtl/>
        </w:rPr>
        <w:t xml:space="preserve">ة </w:t>
      </w:r>
      <w:r w:rsidRPr="00FD211F">
        <w:rPr>
          <w:sz w:val="36"/>
          <w:szCs w:val="36"/>
          <w:rtl/>
        </w:rPr>
        <w:t>استعمال المتشرع</w:t>
      </w:r>
      <w:r w:rsidR="00EC7EDF" w:rsidRPr="00FD211F">
        <w:rPr>
          <w:sz w:val="36"/>
          <w:szCs w:val="36"/>
          <w:rtl/>
        </w:rPr>
        <w:t xml:space="preserve">ة </w:t>
      </w:r>
      <w:r w:rsidRPr="00FD211F">
        <w:rPr>
          <w:sz w:val="36"/>
          <w:szCs w:val="36"/>
          <w:rtl/>
        </w:rPr>
        <w:t>انفسهم لها في الأعم من دون استناد ذلك الى الشارع</w:t>
      </w:r>
      <w:r w:rsidR="00603323" w:rsidRPr="00FD211F">
        <w:rPr>
          <w:sz w:val="36"/>
          <w:szCs w:val="36"/>
          <w:rtl/>
        </w:rPr>
        <w:t xml:space="preserve">، </w:t>
      </w:r>
      <w:r w:rsidRPr="00FD211F">
        <w:rPr>
          <w:sz w:val="36"/>
          <w:szCs w:val="36"/>
          <w:rtl/>
        </w:rPr>
        <w:t>لكن الانصاف ضعف هذا الاحتمال وكشف التبادر لدى المتشرع</w:t>
      </w:r>
      <w:r w:rsidR="00EC7EDF" w:rsidRPr="00FD211F">
        <w:rPr>
          <w:sz w:val="36"/>
          <w:szCs w:val="36"/>
          <w:rtl/>
        </w:rPr>
        <w:t xml:space="preserve">ة </w:t>
      </w:r>
      <w:r w:rsidRPr="00FD211F">
        <w:rPr>
          <w:sz w:val="36"/>
          <w:szCs w:val="36"/>
          <w:rtl/>
        </w:rPr>
        <w:t xml:space="preserve">كشفا </w:t>
      </w:r>
      <w:r w:rsidR="00697D54" w:rsidRPr="00FD211F">
        <w:rPr>
          <w:sz w:val="36"/>
          <w:szCs w:val="36"/>
          <w:rtl/>
        </w:rPr>
        <w:t>اطمئنانيا</w:t>
      </w:r>
      <w:r w:rsidR="007E4299" w:rsidRPr="00FD211F">
        <w:rPr>
          <w:sz w:val="36"/>
          <w:szCs w:val="36"/>
          <w:rtl/>
        </w:rPr>
        <w:t xml:space="preserve"> </w:t>
      </w:r>
      <w:r w:rsidRPr="00FD211F">
        <w:rPr>
          <w:sz w:val="36"/>
          <w:szCs w:val="36"/>
          <w:rtl/>
        </w:rPr>
        <w:t>عن كونها حقيق</w:t>
      </w:r>
      <w:r w:rsidR="00EC7EDF" w:rsidRPr="00FD211F">
        <w:rPr>
          <w:sz w:val="36"/>
          <w:szCs w:val="36"/>
          <w:rtl/>
        </w:rPr>
        <w:t xml:space="preserve">ة </w:t>
      </w:r>
      <w:r w:rsidRPr="00FD211F">
        <w:rPr>
          <w:sz w:val="36"/>
          <w:szCs w:val="36"/>
          <w:rtl/>
        </w:rPr>
        <w:t>شرعي</w:t>
      </w:r>
      <w:r w:rsidR="00EC7EDF" w:rsidRPr="00FD211F">
        <w:rPr>
          <w:sz w:val="36"/>
          <w:szCs w:val="36"/>
          <w:rtl/>
        </w:rPr>
        <w:t xml:space="preserve">ة </w:t>
      </w:r>
      <w:r w:rsidRPr="00FD211F">
        <w:rPr>
          <w:sz w:val="36"/>
          <w:szCs w:val="36"/>
          <w:rtl/>
        </w:rPr>
        <w:t>في خطابات الشارع في الأعم.</w:t>
      </w:r>
    </w:p>
    <w:p w14:paraId="385600C6" w14:textId="77777777" w:rsidR="00052BF2" w:rsidRPr="00FD211F" w:rsidRDefault="00052BF2" w:rsidP="009C58C8">
      <w:pPr>
        <w:ind w:left="0" w:firstLine="227"/>
        <w:jc w:val="both"/>
        <w:rPr>
          <w:sz w:val="36"/>
          <w:szCs w:val="36"/>
          <w:rtl/>
        </w:rPr>
      </w:pPr>
      <w:r w:rsidRPr="00FD211F">
        <w:rPr>
          <w:sz w:val="36"/>
          <w:szCs w:val="36"/>
          <w:rtl/>
        </w:rPr>
        <w:t>3- ان الجامع الصحيحي الذي يحتمل وضع اسماء العبادات بإزاءه كان هو الجامع المركب الأوي</w:t>
      </w:r>
      <w:r w:rsidR="00603323" w:rsidRPr="00FD211F">
        <w:rPr>
          <w:sz w:val="36"/>
          <w:szCs w:val="36"/>
          <w:rtl/>
        </w:rPr>
        <w:t xml:space="preserve">، </w:t>
      </w:r>
      <w:r w:rsidRPr="00FD211F">
        <w:rPr>
          <w:sz w:val="36"/>
          <w:szCs w:val="36"/>
          <w:rtl/>
        </w:rPr>
        <w:t>وكثر</w:t>
      </w:r>
      <w:r w:rsidR="00EC7EDF" w:rsidRPr="00FD211F">
        <w:rPr>
          <w:sz w:val="36"/>
          <w:szCs w:val="36"/>
          <w:rtl/>
        </w:rPr>
        <w:t xml:space="preserve">ة </w:t>
      </w:r>
      <w:r w:rsidRPr="00FD211F">
        <w:rPr>
          <w:sz w:val="36"/>
          <w:szCs w:val="36"/>
          <w:rtl/>
        </w:rPr>
        <w:t>انواع الصلوات من الفرائض والنوافل والمختلف</w:t>
      </w:r>
      <w:r w:rsidR="00EC7EDF" w:rsidRPr="00FD211F">
        <w:rPr>
          <w:sz w:val="36"/>
          <w:szCs w:val="36"/>
          <w:rtl/>
        </w:rPr>
        <w:t xml:space="preserve">ة </w:t>
      </w:r>
      <w:r w:rsidRPr="00FD211F">
        <w:rPr>
          <w:sz w:val="36"/>
          <w:szCs w:val="36"/>
          <w:rtl/>
        </w:rPr>
        <w:t>باختلاف احوال المكلفين واختلاف اجزاءها وشرائطها الاختياري</w:t>
      </w:r>
      <w:r w:rsidR="00EC7EDF" w:rsidRPr="00FD211F">
        <w:rPr>
          <w:sz w:val="36"/>
          <w:szCs w:val="36"/>
          <w:rtl/>
        </w:rPr>
        <w:t xml:space="preserve">ة </w:t>
      </w:r>
      <w:r w:rsidRPr="00FD211F">
        <w:rPr>
          <w:sz w:val="36"/>
          <w:szCs w:val="36"/>
          <w:rtl/>
        </w:rPr>
        <w:t>والاضطراري</w:t>
      </w:r>
      <w:r w:rsidR="00EC7EDF" w:rsidRPr="00FD211F">
        <w:rPr>
          <w:sz w:val="36"/>
          <w:szCs w:val="36"/>
          <w:rtl/>
        </w:rPr>
        <w:t xml:space="preserve">ة </w:t>
      </w:r>
      <w:r w:rsidRPr="00FD211F">
        <w:rPr>
          <w:sz w:val="36"/>
          <w:szCs w:val="36"/>
          <w:rtl/>
        </w:rPr>
        <w:t>بدرج</w:t>
      </w:r>
      <w:r w:rsidR="00EC7EDF" w:rsidRPr="00FD211F">
        <w:rPr>
          <w:sz w:val="36"/>
          <w:szCs w:val="36"/>
          <w:rtl/>
        </w:rPr>
        <w:t xml:space="preserve">ة </w:t>
      </w:r>
      <w:r w:rsidRPr="00FD211F">
        <w:rPr>
          <w:sz w:val="36"/>
          <w:szCs w:val="36"/>
          <w:rtl/>
        </w:rPr>
        <w:t>يستبعد عرفا وضع لفظ الصلا</w:t>
      </w:r>
      <w:r w:rsidR="00EC7EDF" w:rsidRPr="00FD211F">
        <w:rPr>
          <w:sz w:val="36"/>
          <w:szCs w:val="36"/>
          <w:rtl/>
        </w:rPr>
        <w:t xml:space="preserve">ة </w:t>
      </w:r>
      <w:r w:rsidRPr="00FD211F">
        <w:rPr>
          <w:sz w:val="36"/>
          <w:szCs w:val="36"/>
          <w:rtl/>
        </w:rPr>
        <w:t>مثلا بإزاء ذلك الجامع</w:t>
      </w:r>
      <w:r w:rsidR="00603323" w:rsidRPr="00FD211F">
        <w:rPr>
          <w:sz w:val="36"/>
          <w:szCs w:val="36"/>
          <w:rtl/>
        </w:rPr>
        <w:t xml:space="preserve">، </w:t>
      </w:r>
      <w:r w:rsidRPr="00FD211F">
        <w:rPr>
          <w:sz w:val="36"/>
          <w:szCs w:val="36"/>
          <w:rtl/>
        </w:rPr>
        <w:t>وهذا بخلاف الجامع الأعمي فان من الواضح انه ليس بتلك الدرج</w:t>
      </w:r>
      <w:r w:rsidR="00EC7EDF" w:rsidRPr="00FD211F">
        <w:rPr>
          <w:sz w:val="36"/>
          <w:szCs w:val="36"/>
          <w:rtl/>
        </w:rPr>
        <w:t>ة</w:t>
      </w:r>
      <w:r w:rsidR="00603323" w:rsidRPr="00FD211F">
        <w:rPr>
          <w:sz w:val="36"/>
          <w:szCs w:val="36"/>
          <w:rtl/>
        </w:rPr>
        <w:t xml:space="preserve">، </w:t>
      </w:r>
      <w:r w:rsidRPr="00FD211F">
        <w:rPr>
          <w:sz w:val="36"/>
          <w:szCs w:val="36"/>
          <w:rtl/>
        </w:rPr>
        <w:t>لعدم ملاحظ</w:t>
      </w:r>
      <w:r w:rsidR="00EC7EDF" w:rsidRPr="00FD211F">
        <w:rPr>
          <w:sz w:val="36"/>
          <w:szCs w:val="36"/>
          <w:rtl/>
        </w:rPr>
        <w:t xml:space="preserve">ة </w:t>
      </w:r>
      <w:r w:rsidRPr="00FD211F">
        <w:rPr>
          <w:sz w:val="36"/>
          <w:szCs w:val="36"/>
          <w:rtl/>
        </w:rPr>
        <w:t>كثير من الخصوصيات فيه</w:t>
      </w:r>
      <w:r w:rsidR="00603323" w:rsidRPr="00FD211F">
        <w:rPr>
          <w:sz w:val="36"/>
          <w:szCs w:val="36"/>
          <w:rtl/>
        </w:rPr>
        <w:t xml:space="preserve">، </w:t>
      </w:r>
      <w:r w:rsidRPr="00FD211F">
        <w:rPr>
          <w:sz w:val="36"/>
          <w:szCs w:val="36"/>
          <w:rtl/>
        </w:rPr>
        <w:t>فالانصاف انه لايبعد حصول الاطمئنان بوضع تلك الالفاظ للمعنى الأعم.</w:t>
      </w:r>
    </w:p>
    <w:p w14:paraId="5668822C" w14:textId="77777777" w:rsidR="00052BF2" w:rsidRPr="00FD211F" w:rsidRDefault="00052BF2" w:rsidP="009C58C8">
      <w:pPr>
        <w:pStyle w:val="3"/>
        <w:ind w:firstLine="227"/>
        <w:jc w:val="both"/>
        <w:rPr>
          <w:rtl/>
        </w:rPr>
      </w:pPr>
      <w:bookmarkStart w:id="392" w:name="_Toc192092931"/>
      <w:bookmarkStart w:id="393" w:name="_Toc223890410"/>
      <w:r w:rsidRPr="00FD211F">
        <w:rPr>
          <w:rtl/>
        </w:rPr>
        <w:t>اسماء المعاملات</w:t>
      </w:r>
      <w:bookmarkEnd w:id="392"/>
      <w:bookmarkEnd w:id="393"/>
    </w:p>
    <w:p w14:paraId="0256AE73" w14:textId="77777777" w:rsidR="00052BF2" w:rsidRPr="00FD211F" w:rsidRDefault="00052BF2" w:rsidP="009C58C8">
      <w:pPr>
        <w:ind w:left="0" w:firstLine="227"/>
        <w:jc w:val="both"/>
        <w:rPr>
          <w:sz w:val="36"/>
          <w:szCs w:val="36"/>
          <w:rtl/>
        </w:rPr>
      </w:pPr>
      <w:r w:rsidRPr="00FD211F">
        <w:rPr>
          <w:sz w:val="36"/>
          <w:szCs w:val="36"/>
          <w:rtl/>
        </w:rPr>
        <w:t>يقع الكلام في وضع اسماء المعاملات للصحيح او الاعم</w:t>
      </w:r>
      <w:r w:rsidR="00603323" w:rsidRPr="00FD211F">
        <w:rPr>
          <w:sz w:val="36"/>
          <w:szCs w:val="36"/>
          <w:rtl/>
        </w:rPr>
        <w:t xml:space="preserve">، </w:t>
      </w:r>
      <w:r w:rsidRPr="00FD211F">
        <w:rPr>
          <w:sz w:val="36"/>
          <w:szCs w:val="36"/>
          <w:rtl/>
        </w:rPr>
        <w:t>وفيه جهات من البحث:</w:t>
      </w:r>
    </w:p>
    <w:p w14:paraId="526F2ACC" w14:textId="77777777" w:rsidR="000C5BBA" w:rsidRPr="00FD211F" w:rsidRDefault="00052BF2" w:rsidP="009C58C8">
      <w:pPr>
        <w:pStyle w:val="3"/>
        <w:ind w:firstLine="227"/>
        <w:jc w:val="both"/>
        <w:rPr>
          <w:rtl/>
        </w:rPr>
      </w:pPr>
      <w:bookmarkStart w:id="394" w:name="_Toc192092932"/>
      <w:bookmarkStart w:id="395" w:name="_Toc223890411"/>
      <w:r w:rsidRPr="00FD211F">
        <w:rPr>
          <w:rtl/>
        </w:rPr>
        <w:t>في امكان وضع اسماء المعاملات للصحيح الشرعي</w:t>
      </w:r>
      <w:bookmarkEnd w:id="394"/>
      <w:bookmarkEnd w:id="395"/>
    </w:p>
    <w:p w14:paraId="0DC9B6B9" w14:textId="77777777" w:rsidR="00052BF2" w:rsidRPr="00FD211F" w:rsidRDefault="00052BF2" w:rsidP="009C58C8">
      <w:pPr>
        <w:ind w:left="0" w:firstLine="227"/>
        <w:jc w:val="both"/>
        <w:rPr>
          <w:sz w:val="36"/>
          <w:szCs w:val="36"/>
          <w:rtl/>
        </w:rPr>
      </w:pPr>
      <w:r w:rsidRPr="00FD211F">
        <w:rPr>
          <w:b/>
          <w:bCs/>
          <w:sz w:val="36"/>
          <w:szCs w:val="36"/>
          <w:rtl/>
        </w:rPr>
        <w:t>الأولى</w:t>
      </w:r>
      <w:r w:rsidRPr="00FD211F">
        <w:rPr>
          <w:sz w:val="36"/>
          <w:szCs w:val="36"/>
          <w:rtl/>
        </w:rPr>
        <w:t>: ذكر السيد الخوئي</w:t>
      </w:r>
      <w:r w:rsidR="00A61BAE" w:rsidRPr="00FD211F">
        <w:rPr>
          <w:sz w:val="36"/>
          <w:szCs w:val="36"/>
          <w:rtl/>
        </w:rPr>
        <w:t xml:space="preserve"> </w:t>
      </w:r>
      <w:r w:rsidR="00A24412" w:rsidRPr="00FD211F">
        <w:rPr>
          <w:sz w:val="36"/>
          <w:szCs w:val="36"/>
          <w:rtl/>
        </w:rPr>
        <w:t>"قده"</w:t>
      </w:r>
      <w:r w:rsidR="00A61BAE" w:rsidRPr="00FD211F">
        <w:rPr>
          <w:sz w:val="36"/>
          <w:szCs w:val="36"/>
          <w:rtl/>
        </w:rPr>
        <w:t xml:space="preserve"> </w:t>
      </w:r>
      <w:r w:rsidRPr="00FD211F">
        <w:rPr>
          <w:sz w:val="36"/>
          <w:szCs w:val="36"/>
          <w:rtl/>
        </w:rPr>
        <w:t>ان مورد البحث هو اخذ الصح</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Pr="00FD211F">
        <w:rPr>
          <w:sz w:val="36"/>
          <w:szCs w:val="36"/>
          <w:rtl/>
        </w:rPr>
        <w:t>في مسمى المعاملات</w:t>
      </w:r>
      <w:r w:rsidR="00603323" w:rsidRPr="00FD211F">
        <w:rPr>
          <w:sz w:val="36"/>
          <w:szCs w:val="36"/>
          <w:rtl/>
        </w:rPr>
        <w:t xml:space="preserve">، </w:t>
      </w:r>
      <w:r w:rsidRPr="00FD211F">
        <w:rPr>
          <w:sz w:val="36"/>
          <w:szCs w:val="36"/>
          <w:rtl/>
        </w:rPr>
        <w:t>وأما اخذ الصح</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فغير معقول</w:t>
      </w:r>
      <w:r w:rsidR="00603323" w:rsidRPr="00FD211F">
        <w:rPr>
          <w:sz w:val="36"/>
          <w:szCs w:val="36"/>
          <w:rtl/>
        </w:rPr>
        <w:t xml:space="preserve">، </w:t>
      </w:r>
      <w:r w:rsidRPr="00FD211F">
        <w:rPr>
          <w:sz w:val="36"/>
          <w:szCs w:val="36"/>
          <w:rtl/>
        </w:rPr>
        <w:t>حيث يصير معنى قوله تعالى "احل الله البيع" ان الله احل البيع الذي احلّه</w:t>
      </w:r>
      <w:r w:rsidR="00603323" w:rsidRPr="00FD211F">
        <w:rPr>
          <w:sz w:val="36"/>
          <w:szCs w:val="36"/>
          <w:rtl/>
        </w:rPr>
        <w:t xml:space="preserve">، </w:t>
      </w:r>
      <w:r w:rsidRPr="00FD211F">
        <w:rPr>
          <w:sz w:val="36"/>
          <w:szCs w:val="36"/>
          <w:rtl/>
        </w:rPr>
        <w:t>وهذا لغو ظاهر</w:t>
      </w:r>
      <w:r w:rsidR="009C58C8" w:rsidRPr="00FD211F">
        <w:rPr>
          <w:rStyle w:val="a6"/>
          <w:sz w:val="36"/>
          <w:szCs w:val="36"/>
          <w:rtl/>
        </w:rPr>
        <w:t>(</w:t>
      </w:r>
      <w:r w:rsidR="009C58C8" w:rsidRPr="00FD211F">
        <w:rPr>
          <w:rStyle w:val="a6"/>
          <w:sz w:val="36"/>
          <w:szCs w:val="36"/>
          <w:rtl/>
        </w:rPr>
        <w:footnoteReference w:id="438"/>
      </w:r>
      <w:r w:rsidR="009C58C8" w:rsidRPr="00FD211F">
        <w:rPr>
          <w:rStyle w:val="a6"/>
          <w:sz w:val="36"/>
          <w:szCs w:val="36"/>
          <w:rtl/>
        </w:rPr>
        <w:t>)</w:t>
      </w:r>
      <w:r w:rsidRPr="00FD211F">
        <w:rPr>
          <w:sz w:val="36"/>
          <w:szCs w:val="36"/>
          <w:rtl/>
        </w:rPr>
        <w:t>.</w:t>
      </w:r>
    </w:p>
    <w:p w14:paraId="0E737CD3" w14:textId="77777777" w:rsidR="00052BF2" w:rsidRPr="00FD211F" w:rsidRDefault="00052BF2" w:rsidP="009C58C8">
      <w:pPr>
        <w:ind w:left="0" w:firstLine="227"/>
        <w:jc w:val="both"/>
        <w:rPr>
          <w:sz w:val="36"/>
          <w:szCs w:val="36"/>
          <w:rtl/>
        </w:rPr>
      </w:pPr>
      <w:r w:rsidRPr="00FD211F">
        <w:rPr>
          <w:sz w:val="36"/>
          <w:szCs w:val="36"/>
          <w:rtl/>
        </w:rPr>
        <w:t>واورد عليه في البحوث انه انما يتمّ لو قيل بان المراد من الوضع للصحيح هو الوضع لمفهوم الصحيح</w:t>
      </w:r>
      <w:r w:rsidR="00603323" w:rsidRPr="00FD211F">
        <w:rPr>
          <w:sz w:val="36"/>
          <w:szCs w:val="36"/>
          <w:rtl/>
        </w:rPr>
        <w:t xml:space="preserve">، </w:t>
      </w:r>
      <w:r w:rsidRPr="00FD211F">
        <w:rPr>
          <w:sz w:val="36"/>
          <w:szCs w:val="36"/>
          <w:rtl/>
        </w:rPr>
        <w:t>وقد مر عدم احتماله في اسماء العبادات فكيف باسماء المعاملات</w:t>
      </w:r>
      <w:r w:rsidR="00603323" w:rsidRPr="00FD211F">
        <w:rPr>
          <w:sz w:val="36"/>
          <w:szCs w:val="36"/>
          <w:rtl/>
        </w:rPr>
        <w:t xml:space="preserve">، </w:t>
      </w:r>
      <w:r w:rsidRPr="00FD211F">
        <w:rPr>
          <w:sz w:val="36"/>
          <w:szCs w:val="36"/>
          <w:rtl/>
        </w:rPr>
        <w:t>وانما المراد وضعه لواقع الصحيح</w:t>
      </w:r>
      <w:r w:rsidR="00603323" w:rsidRPr="00FD211F">
        <w:rPr>
          <w:sz w:val="36"/>
          <w:szCs w:val="36"/>
          <w:rtl/>
        </w:rPr>
        <w:t xml:space="preserve">، </w:t>
      </w:r>
      <w:r w:rsidRPr="00FD211F">
        <w:rPr>
          <w:sz w:val="36"/>
          <w:szCs w:val="36"/>
          <w:rtl/>
        </w:rPr>
        <w:t>فيكون لفظ البيع موضوعا للتمليك بعوض مع صدوره من البالغ العاقل</w:t>
      </w:r>
      <w:r w:rsidR="00EC7EDF" w:rsidRPr="00FD211F">
        <w:rPr>
          <w:sz w:val="36"/>
          <w:szCs w:val="36"/>
          <w:rtl/>
        </w:rPr>
        <w:t>.</w:t>
      </w:r>
      <w:r w:rsidRPr="00FD211F">
        <w:rPr>
          <w:sz w:val="36"/>
          <w:szCs w:val="36"/>
          <w:rtl/>
        </w:rPr>
        <w:t>..</w:t>
      </w:r>
      <w:r w:rsidR="00603323" w:rsidRPr="00FD211F">
        <w:rPr>
          <w:sz w:val="36"/>
          <w:szCs w:val="36"/>
          <w:rtl/>
        </w:rPr>
        <w:t xml:space="preserve">، </w:t>
      </w:r>
      <w:r w:rsidRPr="00FD211F">
        <w:rPr>
          <w:sz w:val="36"/>
          <w:szCs w:val="36"/>
          <w:rtl/>
        </w:rPr>
        <w:t>وحينئذ فلايكون أي</w:t>
      </w:r>
      <w:r w:rsidR="00EC7EDF" w:rsidRPr="00FD211F">
        <w:rPr>
          <w:sz w:val="36"/>
          <w:szCs w:val="36"/>
          <w:rtl/>
        </w:rPr>
        <w:t xml:space="preserve">ة </w:t>
      </w:r>
      <w:r w:rsidRPr="00FD211F">
        <w:rPr>
          <w:sz w:val="36"/>
          <w:szCs w:val="36"/>
          <w:rtl/>
        </w:rPr>
        <w:t>لغوي</w:t>
      </w:r>
      <w:r w:rsidR="00EC7EDF" w:rsidRPr="00FD211F">
        <w:rPr>
          <w:sz w:val="36"/>
          <w:szCs w:val="36"/>
          <w:rtl/>
        </w:rPr>
        <w:t xml:space="preserve">ة </w:t>
      </w:r>
      <w:r w:rsidRPr="00FD211F">
        <w:rPr>
          <w:sz w:val="36"/>
          <w:szCs w:val="36"/>
          <w:rtl/>
        </w:rPr>
        <w:t>في خطاب الإمضاء</w:t>
      </w:r>
      <w:r w:rsidR="00603323" w:rsidRPr="00FD211F">
        <w:rPr>
          <w:sz w:val="36"/>
          <w:szCs w:val="36"/>
          <w:rtl/>
        </w:rPr>
        <w:t xml:space="preserve">، </w:t>
      </w:r>
      <w:r w:rsidRPr="00FD211F">
        <w:rPr>
          <w:sz w:val="36"/>
          <w:szCs w:val="36"/>
          <w:rtl/>
        </w:rPr>
        <w:t>والا لكان عليه</w:t>
      </w:r>
      <w:r w:rsidR="00A61BAE" w:rsidRPr="00FD211F">
        <w:rPr>
          <w:sz w:val="36"/>
          <w:szCs w:val="36"/>
          <w:rtl/>
        </w:rPr>
        <w:t xml:space="preserve"> </w:t>
      </w:r>
      <w:r w:rsidR="00A24412" w:rsidRPr="00FD211F">
        <w:rPr>
          <w:sz w:val="36"/>
          <w:szCs w:val="36"/>
          <w:rtl/>
        </w:rPr>
        <w:t>"قده"</w:t>
      </w:r>
      <w:r w:rsidR="00A61BAE" w:rsidRPr="00FD211F">
        <w:rPr>
          <w:sz w:val="36"/>
          <w:szCs w:val="36"/>
          <w:rtl/>
        </w:rPr>
        <w:t xml:space="preserve"> </w:t>
      </w:r>
      <w:r w:rsidRPr="00FD211F">
        <w:rPr>
          <w:sz w:val="36"/>
          <w:szCs w:val="36"/>
          <w:rtl/>
        </w:rPr>
        <w:t>ان يستشكل بمثل ذلك في وضع اسماء العبادات على الصحيح الشرعي</w:t>
      </w:r>
      <w:r w:rsidR="00603323" w:rsidRPr="00FD211F">
        <w:rPr>
          <w:sz w:val="36"/>
          <w:szCs w:val="36"/>
          <w:rtl/>
        </w:rPr>
        <w:t xml:space="preserve">، </w:t>
      </w:r>
      <w:r w:rsidRPr="00FD211F">
        <w:rPr>
          <w:sz w:val="36"/>
          <w:szCs w:val="36"/>
          <w:rtl/>
        </w:rPr>
        <w:t>حيث يكون معنى الأمر بالصلا</w:t>
      </w:r>
      <w:r w:rsidR="00EC7EDF" w:rsidRPr="00FD211F">
        <w:rPr>
          <w:sz w:val="36"/>
          <w:szCs w:val="36"/>
          <w:rtl/>
        </w:rPr>
        <w:t xml:space="preserve">ة </w:t>
      </w:r>
      <w:r w:rsidRPr="00FD211F">
        <w:rPr>
          <w:sz w:val="36"/>
          <w:szCs w:val="36"/>
          <w:rtl/>
        </w:rPr>
        <w:t>مثلا الأمر بالصلا</w:t>
      </w:r>
      <w:r w:rsidR="00EC7EDF" w:rsidRPr="00FD211F">
        <w:rPr>
          <w:sz w:val="36"/>
          <w:szCs w:val="36"/>
          <w:rtl/>
        </w:rPr>
        <w:t xml:space="preserve">ة </w:t>
      </w:r>
      <w:r w:rsidRPr="00FD211F">
        <w:rPr>
          <w:sz w:val="36"/>
          <w:szCs w:val="36"/>
          <w:rtl/>
        </w:rPr>
        <w:t>التي أمر بها</w:t>
      </w:r>
      <w:r w:rsidR="009C58C8" w:rsidRPr="00FD211F">
        <w:rPr>
          <w:rStyle w:val="a6"/>
          <w:sz w:val="36"/>
          <w:szCs w:val="36"/>
          <w:rtl/>
        </w:rPr>
        <w:t>(</w:t>
      </w:r>
      <w:r w:rsidR="009C58C8" w:rsidRPr="00FD211F">
        <w:rPr>
          <w:rStyle w:val="a6"/>
          <w:sz w:val="36"/>
          <w:szCs w:val="36"/>
          <w:rtl/>
        </w:rPr>
        <w:footnoteReference w:id="439"/>
      </w:r>
      <w:r w:rsidR="009C58C8" w:rsidRPr="00FD211F">
        <w:rPr>
          <w:rStyle w:val="a6"/>
          <w:sz w:val="36"/>
          <w:szCs w:val="36"/>
          <w:rtl/>
        </w:rPr>
        <w:t>)</w:t>
      </w:r>
      <w:r w:rsidR="00603323" w:rsidRPr="00FD211F">
        <w:rPr>
          <w:sz w:val="36"/>
          <w:szCs w:val="36"/>
          <w:rtl/>
        </w:rPr>
        <w:t xml:space="preserve">، </w:t>
      </w:r>
      <w:r w:rsidRPr="00FD211F">
        <w:rPr>
          <w:sz w:val="36"/>
          <w:szCs w:val="36"/>
          <w:rtl/>
        </w:rPr>
        <w:t>وقد ذكر نفسه هناك ان المقصود من الصح</w:t>
      </w:r>
      <w:r w:rsidR="00EC7EDF" w:rsidRPr="00FD211F">
        <w:rPr>
          <w:sz w:val="36"/>
          <w:szCs w:val="36"/>
          <w:rtl/>
        </w:rPr>
        <w:t xml:space="preserve">ة </w:t>
      </w:r>
      <w:r w:rsidRPr="00FD211F">
        <w:rPr>
          <w:sz w:val="36"/>
          <w:szCs w:val="36"/>
          <w:rtl/>
        </w:rPr>
        <w:t>واقع التمامي</w:t>
      </w:r>
      <w:r w:rsidR="00EC7EDF" w:rsidRPr="00FD211F">
        <w:rPr>
          <w:sz w:val="36"/>
          <w:szCs w:val="36"/>
          <w:rtl/>
        </w:rPr>
        <w:t xml:space="preserve">ة </w:t>
      </w:r>
      <w:r w:rsidRPr="00FD211F">
        <w:rPr>
          <w:sz w:val="36"/>
          <w:szCs w:val="36"/>
          <w:rtl/>
        </w:rPr>
        <w:t>من حيث الأجزاء والشرائط</w:t>
      </w:r>
      <w:r w:rsidR="009C58C8" w:rsidRPr="00FD211F">
        <w:rPr>
          <w:rStyle w:val="a6"/>
          <w:sz w:val="36"/>
          <w:szCs w:val="36"/>
          <w:rtl/>
        </w:rPr>
        <w:t>(</w:t>
      </w:r>
      <w:r w:rsidR="009C58C8" w:rsidRPr="00FD211F">
        <w:rPr>
          <w:rStyle w:val="a6"/>
          <w:sz w:val="36"/>
          <w:szCs w:val="36"/>
          <w:rtl/>
        </w:rPr>
        <w:footnoteReference w:id="440"/>
      </w:r>
      <w:r w:rsidR="009C58C8" w:rsidRPr="00FD211F">
        <w:rPr>
          <w:rStyle w:val="a6"/>
          <w:sz w:val="36"/>
          <w:szCs w:val="36"/>
          <w:rtl/>
        </w:rPr>
        <w:t>)</w:t>
      </w:r>
      <w:r w:rsidRPr="00FD211F">
        <w:rPr>
          <w:sz w:val="36"/>
          <w:szCs w:val="36"/>
          <w:rtl/>
        </w:rPr>
        <w:t>.</w:t>
      </w:r>
    </w:p>
    <w:p w14:paraId="7F88652B" w14:textId="77777777" w:rsidR="00052BF2" w:rsidRPr="00FD211F" w:rsidRDefault="00052BF2" w:rsidP="009C58C8">
      <w:pPr>
        <w:ind w:left="0" w:firstLine="227"/>
        <w:jc w:val="both"/>
        <w:rPr>
          <w:sz w:val="36"/>
          <w:szCs w:val="36"/>
          <w:rtl/>
        </w:rPr>
      </w:pPr>
      <w:r w:rsidRPr="00FD211F">
        <w:rPr>
          <w:sz w:val="36"/>
          <w:szCs w:val="36"/>
          <w:rtl/>
        </w:rPr>
        <w:t>اقول: بناء على وضع لفظ البيع مثلا لواقع الصحيح الشرعي فيكون معناه مجملا</w:t>
      </w:r>
      <w:r w:rsidR="00603323" w:rsidRPr="00FD211F">
        <w:rPr>
          <w:sz w:val="36"/>
          <w:szCs w:val="36"/>
          <w:rtl/>
        </w:rPr>
        <w:t xml:space="preserve">، </w:t>
      </w:r>
      <w:r w:rsidRPr="00FD211F">
        <w:rPr>
          <w:sz w:val="36"/>
          <w:szCs w:val="36"/>
          <w:rtl/>
        </w:rPr>
        <w:t>وحينئذ فيصير ورود خطاب شرعي في امضاء الشارع للبيع الواجد للأجزاء والشرائط شرعا لغوا عرفا</w:t>
      </w:r>
      <w:r w:rsidR="00603323" w:rsidRPr="00FD211F">
        <w:rPr>
          <w:sz w:val="36"/>
          <w:szCs w:val="36"/>
          <w:rtl/>
        </w:rPr>
        <w:t xml:space="preserve">، </w:t>
      </w:r>
      <w:r w:rsidRPr="00FD211F">
        <w:rPr>
          <w:sz w:val="36"/>
          <w:szCs w:val="36"/>
          <w:rtl/>
        </w:rPr>
        <w:t>اذ لااثر له عدا ان يعرف المخاطب صح</w:t>
      </w:r>
      <w:r w:rsidR="00EC7EDF" w:rsidRPr="00FD211F">
        <w:rPr>
          <w:sz w:val="36"/>
          <w:szCs w:val="36"/>
          <w:rtl/>
        </w:rPr>
        <w:t xml:space="preserve">ة </w:t>
      </w:r>
      <w:r w:rsidRPr="00FD211F">
        <w:rPr>
          <w:sz w:val="36"/>
          <w:szCs w:val="36"/>
          <w:rtl/>
        </w:rPr>
        <w:t>البيع اجمالا</w:t>
      </w:r>
      <w:r w:rsidR="00603323" w:rsidRPr="00FD211F">
        <w:rPr>
          <w:sz w:val="36"/>
          <w:szCs w:val="36"/>
          <w:rtl/>
        </w:rPr>
        <w:t xml:space="preserve">، </w:t>
      </w:r>
      <w:r w:rsidRPr="00FD211F">
        <w:rPr>
          <w:sz w:val="36"/>
          <w:szCs w:val="36"/>
          <w:rtl/>
        </w:rPr>
        <w:t>وهو أمر واضح لايحتاج الى بيان.</w:t>
      </w:r>
    </w:p>
    <w:p w14:paraId="2E9E1D81" w14:textId="77777777" w:rsidR="00052BF2" w:rsidRPr="00FD211F" w:rsidRDefault="00052BF2" w:rsidP="009C58C8">
      <w:pPr>
        <w:ind w:left="0" w:firstLine="227"/>
        <w:jc w:val="both"/>
        <w:rPr>
          <w:sz w:val="36"/>
          <w:szCs w:val="36"/>
          <w:rtl/>
        </w:rPr>
      </w:pPr>
      <w:r w:rsidRPr="00FD211F">
        <w:rPr>
          <w:sz w:val="36"/>
          <w:szCs w:val="36"/>
          <w:rtl/>
        </w:rPr>
        <w:t>هذا والمهم في الاشكال على السيد الخوئي</w:t>
      </w:r>
      <w:r w:rsidR="00A61BAE" w:rsidRPr="00FD211F">
        <w:rPr>
          <w:sz w:val="36"/>
          <w:szCs w:val="36"/>
          <w:rtl/>
        </w:rPr>
        <w:t xml:space="preserve"> </w:t>
      </w:r>
      <w:r w:rsidR="00A24412" w:rsidRPr="00FD211F">
        <w:rPr>
          <w:sz w:val="36"/>
          <w:szCs w:val="36"/>
          <w:rtl/>
        </w:rPr>
        <w:t>"قده"</w:t>
      </w:r>
      <w:r w:rsidR="00A61BAE" w:rsidRPr="00FD211F">
        <w:rPr>
          <w:sz w:val="36"/>
          <w:szCs w:val="36"/>
          <w:rtl/>
        </w:rPr>
        <w:t xml:space="preserve"> </w:t>
      </w:r>
      <w:r w:rsidRPr="00FD211F">
        <w:rPr>
          <w:sz w:val="36"/>
          <w:szCs w:val="36"/>
          <w:rtl/>
        </w:rPr>
        <w:t>ان غاي</w:t>
      </w:r>
      <w:r w:rsidR="00EC7EDF" w:rsidRPr="00FD211F">
        <w:rPr>
          <w:sz w:val="36"/>
          <w:szCs w:val="36"/>
          <w:rtl/>
        </w:rPr>
        <w:t xml:space="preserve">ة </w:t>
      </w:r>
      <w:r w:rsidRPr="00FD211F">
        <w:rPr>
          <w:sz w:val="36"/>
          <w:szCs w:val="36"/>
          <w:rtl/>
        </w:rPr>
        <w:t>ما ذكره هو ان يلتزم باستعمال اسماء المعاملات في الخطابات الوارد</w:t>
      </w:r>
      <w:r w:rsidR="00EC7EDF" w:rsidRPr="00FD211F">
        <w:rPr>
          <w:sz w:val="36"/>
          <w:szCs w:val="36"/>
          <w:rtl/>
        </w:rPr>
        <w:t xml:space="preserve">ة </w:t>
      </w:r>
      <w:r w:rsidRPr="00FD211F">
        <w:rPr>
          <w:sz w:val="36"/>
          <w:szCs w:val="36"/>
          <w:rtl/>
        </w:rPr>
        <w:t>في امضاءها شرعا في الأعم ولو مجازا لأجل القرين</w:t>
      </w:r>
      <w:r w:rsidR="00EC7EDF" w:rsidRPr="00FD211F">
        <w:rPr>
          <w:sz w:val="36"/>
          <w:szCs w:val="36"/>
          <w:rtl/>
        </w:rPr>
        <w:t xml:space="preserve">ة </w:t>
      </w:r>
      <w:r w:rsidRPr="00FD211F">
        <w:rPr>
          <w:sz w:val="36"/>
          <w:szCs w:val="36"/>
          <w:rtl/>
        </w:rPr>
        <w:t xml:space="preserve">التي </w:t>
      </w:r>
      <w:commentRangeStart w:id="396"/>
      <w:r w:rsidRPr="00FD211F">
        <w:rPr>
          <w:sz w:val="36"/>
          <w:szCs w:val="36"/>
          <w:rtl/>
        </w:rPr>
        <w:t>ذكرها</w:t>
      </w:r>
      <w:commentRangeEnd w:id="396"/>
      <w:r w:rsidR="009F6B80" w:rsidRPr="00FD211F">
        <w:rPr>
          <w:rStyle w:val="ab"/>
          <w:sz w:val="36"/>
          <w:szCs w:val="36"/>
          <w:rtl/>
        </w:rPr>
        <w:commentReference w:id="396"/>
      </w:r>
      <w:r w:rsidR="00603323" w:rsidRPr="00FD211F">
        <w:rPr>
          <w:sz w:val="36"/>
          <w:szCs w:val="36"/>
          <w:rtl/>
        </w:rPr>
        <w:t xml:space="preserve">، </w:t>
      </w:r>
      <w:r w:rsidRPr="00FD211F">
        <w:rPr>
          <w:sz w:val="36"/>
          <w:szCs w:val="36"/>
          <w:rtl/>
        </w:rPr>
        <w:t>وأما أسماء المعاملات في سائر الخطابات فيعقل اخذ الصح</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فيها</w:t>
      </w:r>
      <w:r w:rsidR="00603323" w:rsidRPr="00FD211F">
        <w:rPr>
          <w:sz w:val="36"/>
          <w:szCs w:val="36"/>
          <w:rtl/>
        </w:rPr>
        <w:t xml:space="preserve">، </w:t>
      </w:r>
      <w:r w:rsidRPr="00FD211F">
        <w:rPr>
          <w:sz w:val="36"/>
          <w:szCs w:val="36"/>
          <w:rtl/>
        </w:rPr>
        <w:t>نعم نحن لاننكر دعوى وجداني</w:t>
      </w:r>
      <w:r w:rsidR="00EC7EDF" w:rsidRPr="00FD211F">
        <w:rPr>
          <w:sz w:val="36"/>
          <w:szCs w:val="36"/>
          <w:rtl/>
        </w:rPr>
        <w:t xml:space="preserve">ة </w:t>
      </w:r>
      <w:r w:rsidRPr="00FD211F">
        <w:rPr>
          <w:sz w:val="36"/>
          <w:szCs w:val="36"/>
          <w:rtl/>
        </w:rPr>
        <w:t>كون المعنى في هذه الموا</w:t>
      </w:r>
      <w:r w:rsidR="00697D54" w:rsidRPr="00FD211F">
        <w:rPr>
          <w:sz w:val="36"/>
          <w:szCs w:val="36"/>
          <w:rtl/>
        </w:rPr>
        <w:t>رد وفي غيرها واحدا</w:t>
      </w:r>
      <w:r w:rsidR="00603323" w:rsidRPr="00FD211F">
        <w:rPr>
          <w:sz w:val="36"/>
          <w:szCs w:val="36"/>
          <w:rtl/>
        </w:rPr>
        <w:t xml:space="preserve">، </w:t>
      </w:r>
      <w:r w:rsidR="00697D54" w:rsidRPr="00FD211F">
        <w:rPr>
          <w:sz w:val="36"/>
          <w:szCs w:val="36"/>
          <w:rtl/>
        </w:rPr>
        <w:t>ولكنه غير</w:t>
      </w:r>
      <w:r w:rsidRPr="00FD211F">
        <w:rPr>
          <w:sz w:val="36"/>
          <w:szCs w:val="36"/>
          <w:rtl/>
        </w:rPr>
        <w:t xml:space="preserve"> ما ادعاه </w:t>
      </w:r>
      <w:r w:rsidR="00697D54" w:rsidRPr="00FD211F">
        <w:rPr>
          <w:sz w:val="36"/>
          <w:szCs w:val="36"/>
          <w:rtl/>
        </w:rPr>
        <w:t>"</w:t>
      </w:r>
      <w:r w:rsidRPr="00FD211F">
        <w:rPr>
          <w:sz w:val="36"/>
          <w:szCs w:val="36"/>
          <w:rtl/>
        </w:rPr>
        <w:t>قده</w:t>
      </w:r>
      <w:r w:rsidR="00697D54" w:rsidRPr="00FD211F">
        <w:rPr>
          <w:sz w:val="36"/>
          <w:szCs w:val="36"/>
          <w:rtl/>
        </w:rPr>
        <w:t>"</w:t>
      </w:r>
      <w:r w:rsidRPr="00FD211F">
        <w:rPr>
          <w:sz w:val="36"/>
          <w:szCs w:val="36"/>
          <w:rtl/>
        </w:rPr>
        <w:t xml:space="preserve"> من عدم معقولي</w:t>
      </w:r>
      <w:r w:rsidR="00EC7EDF" w:rsidRPr="00FD211F">
        <w:rPr>
          <w:sz w:val="36"/>
          <w:szCs w:val="36"/>
          <w:rtl/>
        </w:rPr>
        <w:t xml:space="preserve">ة </w:t>
      </w:r>
      <w:r w:rsidRPr="00FD211F">
        <w:rPr>
          <w:sz w:val="36"/>
          <w:szCs w:val="36"/>
          <w:rtl/>
        </w:rPr>
        <w:t>اخذ الصح</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في المسمى.</w:t>
      </w:r>
    </w:p>
    <w:p w14:paraId="02DEB383" w14:textId="77777777" w:rsidR="00052BF2" w:rsidRPr="00FD211F" w:rsidRDefault="00052BF2" w:rsidP="009C58C8">
      <w:pPr>
        <w:ind w:left="0" w:firstLine="227"/>
        <w:jc w:val="both"/>
        <w:rPr>
          <w:sz w:val="36"/>
          <w:szCs w:val="36"/>
          <w:rtl/>
        </w:rPr>
      </w:pPr>
      <w:r w:rsidRPr="00FD211F">
        <w:rPr>
          <w:sz w:val="36"/>
          <w:szCs w:val="36"/>
          <w:rtl/>
        </w:rPr>
        <w:t>وكيف كان فأخذ واقع الصح</w:t>
      </w:r>
      <w:r w:rsidR="00EC7EDF" w:rsidRPr="00FD211F">
        <w:rPr>
          <w:sz w:val="36"/>
          <w:szCs w:val="36"/>
          <w:rtl/>
        </w:rPr>
        <w:t xml:space="preserve">ة </w:t>
      </w:r>
      <w:r w:rsidRPr="00FD211F">
        <w:rPr>
          <w:sz w:val="36"/>
          <w:szCs w:val="36"/>
          <w:rtl/>
        </w:rPr>
        <w:t>الشرعي</w:t>
      </w:r>
      <w:r w:rsidR="00EC7EDF" w:rsidRPr="00FD211F">
        <w:rPr>
          <w:sz w:val="36"/>
          <w:szCs w:val="36"/>
          <w:rtl/>
        </w:rPr>
        <w:t xml:space="preserve">ة </w:t>
      </w:r>
      <w:r w:rsidRPr="00FD211F">
        <w:rPr>
          <w:sz w:val="36"/>
          <w:szCs w:val="36"/>
          <w:rtl/>
        </w:rPr>
        <w:t>في مسمى الفاظ المعاملات معقول وان كان في غاي</w:t>
      </w:r>
      <w:r w:rsidR="00EC7EDF" w:rsidRPr="00FD211F">
        <w:rPr>
          <w:sz w:val="36"/>
          <w:szCs w:val="36"/>
          <w:rtl/>
        </w:rPr>
        <w:t xml:space="preserve">ة </w:t>
      </w:r>
      <w:r w:rsidRPr="00FD211F">
        <w:rPr>
          <w:sz w:val="36"/>
          <w:szCs w:val="36"/>
          <w:rtl/>
        </w:rPr>
        <w:t>البعد.</w:t>
      </w:r>
    </w:p>
    <w:p w14:paraId="34994D4E" w14:textId="77777777" w:rsidR="00052BF2" w:rsidRPr="00FD211F" w:rsidRDefault="00052BF2" w:rsidP="009C58C8">
      <w:pPr>
        <w:pStyle w:val="3"/>
        <w:ind w:firstLine="227"/>
        <w:jc w:val="both"/>
        <w:rPr>
          <w:rtl/>
        </w:rPr>
      </w:pPr>
      <w:bookmarkStart w:id="397" w:name="_Toc192092933"/>
      <w:bookmarkStart w:id="398" w:name="_Toc223890412"/>
      <w:r w:rsidRPr="00FD211F">
        <w:rPr>
          <w:rtl/>
        </w:rPr>
        <w:t>عدم تصوير النزاع في اسماء المعاملات بمعنى المسبب</w:t>
      </w:r>
      <w:bookmarkEnd w:id="397"/>
      <w:bookmarkEnd w:id="398"/>
    </w:p>
    <w:p w14:paraId="78378353" w14:textId="77777777" w:rsidR="00052BF2" w:rsidRPr="00FD211F" w:rsidRDefault="00052BF2" w:rsidP="009C58C8">
      <w:pPr>
        <w:ind w:left="0" w:firstLine="227"/>
        <w:jc w:val="both"/>
        <w:rPr>
          <w:sz w:val="36"/>
          <w:szCs w:val="36"/>
          <w:rtl/>
        </w:rPr>
      </w:pP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sz w:val="36"/>
          <w:szCs w:val="36"/>
          <w:rtl/>
        </w:rPr>
        <w:t xml:space="preserve"> ذكر المشهور ومنهم صاحب الكفاي</w:t>
      </w:r>
      <w:r w:rsidR="00EC7EDF" w:rsidRPr="00FD211F">
        <w:rPr>
          <w:sz w:val="36"/>
          <w:szCs w:val="36"/>
          <w:rtl/>
        </w:rPr>
        <w:t xml:space="preserve">ة </w:t>
      </w:r>
      <w:r w:rsidR="00697D54" w:rsidRPr="00FD211F">
        <w:rPr>
          <w:sz w:val="36"/>
          <w:szCs w:val="36"/>
          <w:rtl/>
        </w:rPr>
        <w:t>"</w:t>
      </w:r>
      <w:r w:rsidRPr="00FD211F">
        <w:rPr>
          <w:sz w:val="36"/>
          <w:szCs w:val="36"/>
          <w:rtl/>
        </w:rPr>
        <w:t>قده</w:t>
      </w:r>
      <w:r w:rsidR="00697D54" w:rsidRPr="00FD211F">
        <w:rPr>
          <w:sz w:val="36"/>
          <w:szCs w:val="36"/>
          <w:rtl/>
        </w:rPr>
        <w:t>"</w:t>
      </w:r>
      <w:r w:rsidR="009C58C8" w:rsidRPr="00FD211F">
        <w:rPr>
          <w:rStyle w:val="a6"/>
          <w:sz w:val="36"/>
          <w:szCs w:val="36"/>
          <w:rtl/>
        </w:rPr>
        <w:t>(</w:t>
      </w:r>
      <w:r w:rsidR="009C58C8" w:rsidRPr="00FD211F">
        <w:rPr>
          <w:rStyle w:val="a6"/>
          <w:sz w:val="36"/>
          <w:szCs w:val="36"/>
          <w:rtl/>
        </w:rPr>
        <w:footnoteReference w:id="441"/>
      </w:r>
      <w:r w:rsidR="009C58C8" w:rsidRPr="00FD211F">
        <w:rPr>
          <w:rStyle w:val="a6"/>
          <w:sz w:val="36"/>
          <w:szCs w:val="36"/>
          <w:rtl/>
        </w:rPr>
        <w:t>)</w:t>
      </w:r>
      <w:r w:rsidRPr="00FD211F">
        <w:rPr>
          <w:sz w:val="36"/>
          <w:szCs w:val="36"/>
          <w:rtl/>
        </w:rPr>
        <w:t xml:space="preserve"> ان النزاع في اسماء المعاملات انما يجري فيما كان اسم المعامل</w:t>
      </w:r>
      <w:r w:rsidR="00EC7EDF" w:rsidRPr="00FD211F">
        <w:rPr>
          <w:sz w:val="36"/>
          <w:szCs w:val="36"/>
          <w:rtl/>
        </w:rPr>
        <w:t xml:space="preserve">ة </w:t>
      </w:r>
      <w:r w:rsidRPr="00FD211F">
        <w:rPr>
          <w:sz w:val="36"/>
          <w:szCs w:val="36"/>
          <w:rtl/>
        </w:rPr>
        <w:t>موضوعا للسبب دون المسبب</w:t>
      </w:r>
      <w:r w:rsidR="00603323" w:rsidRPr="00FD211F">
        <w:rPr>
          <w:sz w:val="36"/>
          <w:szCs w:val="36"/>
          <w:rtl/>
        </w:rPr>
        <w:t xml:space="preserve">، </w:t>
      </w:r>
      <w:r w:rsidRPr="00FD211F">
        <w:rPr>
          <w:sz w:val="36"/>
          <w:szCs w:val="36"/>
          <w:rtl/>
        </w:rPr>
        <w:t>اذ السبب وهو الإيجاب والقبول يشتمل على اجزاء وشرائط ويترتب عليه الأثر</w:t>
      </w:r>
      <w:r w:rsidR="00603323" w:rsidRPr="00FD211F">
        <w:rPr>
          <w:sz w:val="36"/>
          <w:szCs w:val="36"/>
          <w:rtl/>
        </w:rPr>
        <w:t xml:space="preserve">، </w:t>
      </w:r>
      <w:r w:rsidRPr="00FD211F">
        <w:rPr>
          <w:sz w:val="36"/>
          <w:szCs w:val="36"/>
          <w:rtl/>
        </w:rPr>
        <w:t>فيتصور فيه الصح</w:t>
      </w:r>
      <w:r w:rsidR="00EC7EDF" w:rsidRPr="00FD211F">
        <w:rPr>
          <w:sz w:val="36"/>
          <w:szCs w:val="36"/>
          <w:rtl/>
        </w:rPr>
        <w:t xml:space="preserve">ة </w:t>
      </w:r>
      <w:r w:rsidRPr="00FD211F">
        <w:rPr>
          <w:sz w:val="36"/>
          <w:szCs w:val="36"/>
          <w:rtl/>
        </w:rPr>
        <w:t>والفساد</w:t>
      </w:r>
      <w:r w:rsidR="00603323" w:rsidRPr="00FD211F">
        <w:rPr>
          <w:sz w:val="36"/>
          <w:szCs w:val="36"/>
          <w:rtl/>
        </w:rPr>
        <w:t xml:space="preserve">، </w:t>
      </w:r>
      <w:r w:rsidRPr="00FD211F">
        <w:rPr>
          <w:sz w:val="36"/>
          <w:szCs w:val="36"/>
          <w:rtl/>
        </w:rPr>
        <w:t>وأما المسبب كملكي</w:t>
      </w:r>
      <w:r w:rsidR="00EC7EDF" w:rsidRPr="00FD211F">
        <w:rPr>
          <w:sz w:val="36"/>
          <w:szCs w:val="36"/>
          <w:rtl/>
        </w:rPr>
        <w:t xml:space="preserve">ة </w:t>
      </w:r>
      <w:r w:rsidRPr="00FD211F">
        <w:rPr>
          <w:sz w:val="36"/>
          <w:szCs w:val="36"/>
          <w:rtl/>
        </w:rPr>
        <w:t>المشتري للمبيع فيدور امره بين الوجود والعدم</w:t>
      </w:r>
      <w:r w:rsidR="00603323" w:rsidRPr="00FD211F">
        <w:rPr>
          <w:sz w:val="36"/>
          <w:szCs w:val="36"/>
          <w:rtl/>
        </w:rPr>
        <w:t xml:space="preserve">، </w:t>
      </w:r>
      <w:r w:rsidRPr="00FD211F">
        <w:rPr>
          <w:sz w:val="36"/>
          <w:szCs w:val="36"/>
          <w:rtl/>
        </w:rPr>
        <w:t>فهو إما يوجد او لايوجد فلايتصف بالصح</w:t>
      </w:r>
      <w:r w:rsidR="00EC7EDF" w:rsidRPr="00FD211F">
        <w:rPr>
          <w:sz w:val="36"/>
          <w:szCs w:val="36"/>
          <w:rtl/>
        </w:rPr>
        <w:t xml:space="preserve">ة </w:t>
      </w:r>
      <w:r w:rsidRPr="00FD211F">
        <w:rPr>
          <w:sz w:val="36"/>
          <w:szCs w:val="36"/>
          <w:rtl/>
        </w:rPr>
        <w:t>والفساد.</w:t>
      </w:r>
    </w:p>
    <w:p w14:paraId="04B5FDC5" w14:textId="77777777" w:rsidR="00052BF2" w:rsidRPr="00FD211F" w:rsidRDefault="00052BF2" w:rsidP="009C58C8">
      <w:pPr>
        <w:ind w:left="0" w:firstLine="227"/>
        <w:jc w:val="both"/>
        <w:rPr>
          <w:sz w:val="36"/>
          <w:szCs w:val="36"/>
          <w:rtl/>
        </w:rPr>
      </w:pPr>
      <w:r w:rsidRPr="00FD211F">
        <w:rPr>
          <w:sz w:val="36"/>
          <w:szCs w:val="36"/>
          <w:rtl/>
        </w:rPr>
        <w:t>وقد اورد عليه السيد الخوئي</w:t>
      </w:r>
      <w:r w:rsidR="00A61BAE" w:rsidRPr="00FD211F">
        <w:rPr>
          <w:sz w:val="36"/>
          <w:szCs w:val="36"/>
          <w:rtl/>
        </w:rPr>
        <w:t xml:space="preserve"> </w:t>
      </w:r>
      <w:r w:rsidR="00A24412" w:rsidRPr="00FD211F">
        <w:rPr>
          <w:sz w:val="36"/>
          <w:szCs w:val="36"/>
          <w:rtl/>
        </w:rPr>
        <w:t>"قده"</w:t>
      </w:r>
      <w:r w:rsidR="00A61BAE" w:rsidRPr="00FD211F">
        <w:rPr>
          <w:sz w:val="36"/>
          <w:szCs w:val="36"/>
          <w:rtl/>
        </w:rPr>
        <w:t xml:space="preserve"> </w:t>
      </w:r>
      <w:r w:rsidRPr="00FD211F">
        <w:rPr>
          <w:sz w:val="36"/>
          <w:szCs w:val="36"/>
          <w:rtl/>
        </w:rPr>
        <w:t>بانه ان اريد من المسبب المسبب الشخصي -مثل الملكي</w:t>
      </w:r>
      <w:r w:rsidR="00EC7EDF" w:rsidRPr="00FD211F">
        <w:rPr>
          <w:sz w:val="36"/>
          <w:szCs w:val="36"/>
          <w:rtl/>
        </w:rPr>
        <w:t xml:space="preserve">ة </w:t>
      </w:r>
      <w:r w:rsidRPr="00FD211F">
        <w:rPr>
          <w:sz w:val="36"/>
          <w:szCs w:val="36"/>
          <w:rtl/>
        </w:rPr>
        <w:t>التي اعتبرها المتعاملان في البيع- فهو قابل لان يتصف بالصح</w:t>
      </w:r>
      <w:r w:rsidR="00EC7EDF" w:rsidRPr="00FD211F">
        <w:rPr>
          <w:sz w:val="36"/>
          <w:szCs w:val="36"/>
          <w:rtl/>
        </w:rPr>
        <w:t xml:space="preserve">ة </w:t>
      </w:r>
      <w:r w:rsidRPr="00FD211F">
        <w:rPr>
          <w:sz w:val="36"/>
          <w:szCs w:val="36"/>
          <w:rtl/>
        </w:rPr>
        <w:t>والفساد</w:t>
      </w:r>
      <w:r w:rsidR="00603323" w:rsidRPr="00FD211F">
        <w:rPr>
          <w:sz w:val="36"/>
          <w:szCs w:val="36"/>
          <w:rtl/>
        </w:rPr>
        <w:t xml:space="preserve">، </w:t>
      </w:r>
      <w:r w:rsidRPr="00FD211F">
        <w:rPr>
          <w:sz w:val="36"/>
          <w:szCs w:val="36"/>
          <w:rtl/>
        </w:rPr>
        <w:t>فالملكي</w:t>
      </w:r>
      <w:r w:rsidR="00EC7EDF" w:rsidRPr="00FD211F">
        <w:rPr>
          <w:sz w:val="36"/>
          <w:szCs w:val="36"/>
          <w:rtl/>
        </w:rPr>
        <w:t xml:space="preserve">ة </w:t>
      </w:r>
      <w:r w:rsidRPr="00FD211F">
        <w:rPr>
          <w:sz w:val="36"/>
          <w:szCs w:val="36"/>
          <w:rtl/>
        </w:rPr>
        <w:t>التي اعتبرها الصبي فاسد</w:t>
      </w:r>
      <w:r w:rsidR="00EC7EDF" w:rsidRPr="00FD211F">
        <w:rPr>
          <w:sz w:val="36"/>
          <w:szCs w:val="36"/>
          <w:rtl/>
        </w:rPr>
        <w:t xml:space="preserve">ة </w:t>
      </w:r>
      <w:r w:rsidRPr="00FD211F">
        <w:rPr>
          <w:sz w:val="36"/>
          <w:szCs w:val="36"/>
          <w:rtl/>
        </w:rPr>
        <w:t>شرعا</w:t>
      </w:r>
      <w:r w:rsidR="00603323" w:rsidRPr="00FD211F">
        <w:rPr>
          <w:sz w:val="36"/>
          <w:szCs w:val="36"/>
          <w:rtl/>
        </w:rPr>
        <w:t xml:space="preserve">، </w:t>
      </w:r>
      <w:r w:rsidRPr="00FD211F">
        <w:rPr>
          <w:sz w:val="36"/>
          <w:szCs w:val="36"/>
          <w:rtl/>
        </w:rPr>
        <w:t>بخلاف الملكي</w:t>
      </w:r>
      <w:r w:rsidR="00EC7EDF" w:rsidRPr="00FD211F">
        <w:rPr>
          <w:sz w:val="36"/>
          <w:szCs w:val="36"/>
          <w:rtl/>
        </w:rPr>
        <w:t xml:space="preserve">ة </w:t>
      </w:r>
      <w:r w:rsidRPr="00FD211F">
        <w:rPr>
          <w:sz w:val="36"/>
          <w:szCs w:val="36"/>
          <w:rtl/>
        </w:rPr>
        <w:t>التي اعتبرها البالغ.</w:t>
      </w:r>
    </w:p>
    <w:p w14:paraId="54D5105C" w14:textId="77777777" w:rsidR="00052BF2" w:rsidRPr="00FD211F" w:rsidRDefault="00052BF2" w:rsidP="009C58C8">
      <w:pPr>
        <w:ind w:left="0" w:firstLine="227"/>
        <w:jc w:val="both"/>
        <w:rPr>
          <w:sz w:val="36"/>
          <w:szCs w:val="36"/>
          <w:rtl/>
        </w:rPr>
      </w:pPr>
      <w:r w:rsidRPr="00FD211F">
        <w:rPr>
          <w:sz w:val="36"/>
          <w:szCs w:val="36"/>
          <w:rtl/>
        </w:rPr>
        <w:t>نعم ان اريد من المسبب المسبب العقلائي او الشرعي –كالملكي</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Pr="00FD211F">
        <w:rPr>
          <w:sz w:val="36"/>
          <w:szCs w:val="36"/>
          <w:rtl/>
        </w:rPr>
        <w:t>او الشرعي</w:t>
      </w:r>
      <w:r w:rsidR="00EC7EDF" w:rsidRPr="00FD211F">
        <w:rPr>
          <w:sz w:val="36"/>
          <w:szCs w:val="36"/>
          <w:rtl/>
        </w:rPr>
        <w:t xml:space="preserve">ة </w:t>
      </w:r>
      <w:r w:rsidRPr="00FD211F">
        <w:rPr>
          <w:sz w:val="36"/>
          <w:szCs w:val="36"/>
          <w:rtl/>
        </w:rPr>
        <w:t>المترتب</w:t>
      </w:r>
      <w:r w:rsidR="00EC7EDF" w:rsidRPr="00FD211F">
        <w:rPr>
          <w:sz w:val="36"/>
          <w:szCs w:val="36"/>
          <w:rtl/>
        </w:rPr>
        <w:t xml:space="preserve">ة </w:t>
      </w:r>
      <w:r w:rsidRPr="00FD211F">
        <w:rPr>
          <w:sz w:val="36"/>
          <w:szCs w:val="36"/>
          <w:rtl/>
        </w:rPr>
        <w:t>على البيع- فهو وان كان لايتصف بالصح</w:t>
      </w:r>
      <w:r w:rsidR="00EC7EDF" w:rsidRPr="00FD211F">
        <w:rPr>
          <w:sz w:val="36"/>
          <w:szCs w:val="36"/>
          <w:rtl/>
        </w:rPr>
        <w:t xml:space="preserve">ة </w:t>
      </w:r>
      <w:r w:rsidRPr="00FD211F">
        <w:rPr>
          <w:sz w:val="36"/>
          <w:szCs w:val="36"/>
          <w:rtl/>
        </w:rPr>
        <w:t>والفساد وانما يدور امره بين الوجود والعدم</w:t>
      </w:r>
      <w:r w:rsidR="00603323" w:rsidRPr="00FD211F">
        <w:rPr>
          <w:sz w:val="36"/>
          <w:szCs w:val="36"/>
          <w:rtl/>
        </w:rPr>
        <w:t xml:space="preserve">، </w:t>
      </w:r>
      <w:r w:rsidRPr="00FD211F">
        <w:rPr>
          <w:sz w:val="36"/>
          <w:szCs w:val="36"/>
          <w:rtl/>
        </w:rPr>
        <w:t>ولكن لايحتمل وضع الفاظ المعاملات كلفظ البيع والشراء بإزائه</w:t>
      </w:r>
      <w:r w:rsidR="00603323" w:rsidRPr="00FD211F">
        <w:rPr>
          <w:sz w:val="36"/>
          <w:szCs w:val="36"/>
          <w:rtl/>
        </w:rPr>
        <w:t xml:space="preserve">، </w:t>
      </w:r>
      <w:r w:rsidRPr="00FD211F">
        <w:rPr>
          <w:sz w:val="36"/>
          <w:szCs w:val="36"/>
          <w:rtl/>
        </w:rPr>
        <w:t>فان البيع والشراء فعل المتعاقدين وليسا فعل العقلاء او الشرع</w:t>
      </w:r>
      <w:r w:rsidR="00603323" w:rsidRPr="00FD211F">
        <w:rPr>
          <w:sz w:val="36"/>
          <w:szCs w:val="36"/>
          <w:rtl/>
        </w:rPr>
        <w:t xml:space="preserve">، </w:t>
      </w:r>
      <w:r w:rsidRPr="00FD211F">
        <w:rPr>
          <w:sz w:val="36"/>
          <w:szCs w:val="36"/>
          <w:rtl/>
        </w:rPr>
        <w:t>بينما ان المسبب العقلائي او الشرعي فعل العقلاء والشرع</w:t>
      </w:r>
      <w:r w:rsidR="009C58C8" w:rsidRPr="00FD211F">
        <w:rPr>
          <w:rStyle w:val="a6"/>
          <w:sz w:val="36"/>
          <w:szCs w:val="36"/>
          <w:rtl/>
        </w:rPr>
        <w:t>(</w:t>
      </w:r>
      <w:r w:rsidR="009C58C8" w:rsidRPr="00FD211F">
        <w:rPr>
          <w:rStyle w:val="a6"/>
          <w:sz w:val="36"/>
          <w:szCs w:val="36"/>
          <w:rtl/>
        </w:rPr>
        <w:footnoteReference w:id="442"/>
      </w:r>
      <w:r w:rsidR="009C58C8" w:rsidRPr="00FD211F">
        <w:rPr>
          <w:rStyle w:val="a6"/>
          <w:sz w:val="36"/>
          <w:szCs w:val="36"/>
          <w:rtl/>
        </w:rPr>
        <w:t>)</w:t>
      </w:r>
      <w:r w:rsidRPr="00FD211F">
        <w:rPr>
          <w:sz w:val="36"/>
          <w:szCs w:val="36"/>
          <w:rtl/>
        </w:rPr>
        <w:t>.</w:t>
      </w:r>
    </w:p>
    <w:p w14:paraId="0CE17031" w14:textId="77777777" w:rsidR="00052BF2" w:rsidRPr="00FD211F" w:rsidRDefault="00052BF2" w:rsidP="009C58C8">
      <w:pPr>
        <w:ind w:left="0" w:firstLine="227"/>
        <w:jc w:val="both"/>
        <w:rPr>
          <w:sz w:val="36"/>
          <w:szCs w:val="36"/>
          <w:rtl/>
        </w:rPr>
      </w:pPr>
      <w:r w:rsidRPr="00FD211F">
        <w:rPr>
          <w:sz w:val="36"/>
          <w:szCs w:val="36"/>
          <w:rtl/>
        </w:rPr>
        <w:t>واجاب عنه في البحوث بانه يعقل كون معنى البيع مثلا ايجاد المسبب العقلائي او الشرعي</w:t>
      </w:r>
      <w:r w:rsidR="00603323" w:rsidRPr="00FD211F">
        <w:rPr>
          <w:sz w:val="36"/>
          <w:szCs w:val="36"/>
          <w:rtl/>
        </w:rPr>
        <w:t xml:space="preserve">، </w:t>
      </w:r>
      <w:r w:rsidRPr="00FD211F">
        <w:rPr>
          <w:sz w:val="36"/>
          <w:szCs w:val="36"/>
          <w:rtl/>
        </w:rPr>
        <w:t>فانه ولو فرض وجود اعتبار شخصي للملكي</w:t>
      </w:r>
      <w:r w:rsidR="00EC7EDF" w:rsidRPr="00FD211F">
        <w:rPr>
          <w:sz w:val="36"/>
          <w:szCs w:val="36"/>
          <w:rtl/>
        </w:rPr>
        <w:t xml:space="preserve">ة </w:t>
      </w:r>
      <w:r w:rsidRPr="00FD211F">
        <w:rPr>
          <w:sz w:val="36"/>
          <w:szCs w:val="36"/>
          <w:rtl/>
        </w:rPr>
        <w:t>من قبل المتعاملين فهو استطراق الى حصول هذا المسبب العقلائي او الشرعي</w:t>
      </w:r>
      <w:r w:rsidR="00603323" w:rsidRPr="00FD211F">
        <w:rPr>
          <w:sz w:val="36"/>
          <w:szCs w:val="36"/>
          <w:rtl/>
        </w:rPr>
        <w:t xml:space="preserve">، </w:t>
      </w:r>
      <w:r w:rsidRPr="00FD211F">
        <w:rPr>
          <w:sz w:val="36"/>
          <w:szCs w:val="36"/>
          <w:rtl/>
        </w:rPr>
        <w:t>فان ايجاد</w:t>
      </w:r>
      <w:r w:rsidR="000667B2" w:rsidRPr="00FD211F">
        <w:rPr>
          <w:sz w:val="36"/>
          <w:szCs w:val="36"/>
          <w:rtl/>
        </w:rPr>
        <w:t xml:space="preserve"> </w:t>
      </w:r>
      <w:r w:rsidRPr="00FD211F">
        <w:rPr>
          <w:sz w:val="36"/>
          <w:szCs w:val="36"/>
          <w:rtl/>
        </w:rPr>
        <w:t>ه</w:t>
      </w:r>
      <w:r w:rsidR="000667B2" w:rsidRPr="00FD211F">
        <w:rPr>
          <w:sz w:val="36"/>
          <w:szCs w:val="36"/>
          <w:rtl/>
        </w:rPr>
        <w:t>ذا المسبب</w:t>
      </w:r>
      <w:r w:rsidRPr="00FD211F">
        <w:rPr>
          <w:sz w:val="36"/>
          <w:szCs w:val="36"/>
          <w:rtl/>
        </w:rPr>
        <w:t xml:space="preserve"> فعل المتعاملين بالتسبيب حيث ان إنشاء المسبب العقلائي والشرعي كالملكي</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Pr="00FD211F">
        <w:rPr>
          <w:sz w:val="36"/>
          <w:szCs w:val="36"/>
          <w:rtl/>
        </w:rPr>
        <w:t>او الشرعي</w:t>
      </w:r>
      <w:r w:rsidR="00EC7EDF" w:rsidRPr="00FD211F">
        <w:rPr>
          <w:sz w:val="36"/>
          <w:szCs w:val="36"/>
          <w:rtl/>
        </w:rPr>
        <w:t xml:space="preserve">ة </w:t>
      </w:r>
      <w:r w:rsidRPr="00FD211F">
        <w:rPr>
          <w:sz w:val="36"/>
          <w:szCs w:val="36"/>
          <w:rtl/>
        </w:rPr>
        <w:t>وان كان فعل العقلاء والشرع لكن فعليته</w:t>
      </w:r>
      <w:r w:rsidR="000667B2" w:rsidRPr="00FD211F">
        <w:rPr>
          <w:sz w:val="36"/>
          <w:szCs w:val="36"/>
          <w:rtl/>
        </w:rPr>
        <w:t xml:space="preserve"> تكون بوجود موضوعه الذي هو فعل مباشري للمتعاملين</w:t>
      </w:r>
      <w:r w:rsidR="00C7588D" w:rsidRPr="00FD211F">
        <w:rPr>
          <w:sz w:val="36"/>
          <w:szCs w:val="36"/>
          <w:rtl/>
        </w:rPr>
        <w:t xml:space="preserve"> </w:t>
      </w:r>
      <w:r w:rsidR="000667B2" w:rsidRPr="00FD211F">
        <w:rPr>
          <w:sz w:val="36"/>
          <w:szCs w:val="36"/>
          <w:rtl/>
        </w:rPr>
        <w:t>في</w:t>
      </w:r>
      <w:r w:rsidRPr="00FD211F">
        <w:rPr>
          <w:sz w:val="36"/>
          <w:szCs w:val="36"/>
          <w:rtl/>
        </w:rPr>
        <w:t xml:space="preserve">كون </w:t>
      </w:r>
      <w:r w:rsidR="000667B2" w:rsidRPr="00FD211F">
        <w:rPr>
          <w:sz w:val="36"/>
          <w:szCs w:val="36"/>
          <w:rtl/>
        </w:rPr>
        <w:t xml:space="preserve">فعليته </w:t>
      </w:r>
      <w:r w:rsidRPr="00FD211F">
        <w:rPr>
          <w:sz w:val="36"/>
          <w:szCs w:val="36"/>
          <w:rtl/>
        </w:rPr>
        <w:t>بيد الشخص</w:t>
      </w:r>
      <w:r w:rsidR="00603323" w:rsidRPr="00FD211F">
        <w:rPr>
          <w:sz w:val="36"/>
          <w:szCs w:val="36"/>
          <w:rtl/>
        </w:rPr>
        <w:t xml:space="preserve">، </w:t>
      </w:r>
      <w:r w:rsidRPr="00FD211F">
        <w:rPr>
          <w:sz w:val="36"/>
          <w:szCs w:val="36"/>
          <w:rtl/>
        </w:rPr>
        <w:t>ولذا يصح ان يسند اليه انه اوجد الملكي</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Pr="00FD211F">
        <w:rPr>
          <w:sz w:val="36"/>
          <w:szCs w:val="36"/>
          <w:rtl/>
        </w:rPr>
        <w:t>او الشرعي</w:t>
      </w:r>
      <w:r w:rsidR="00EC7EDF" w:rsidRPr="00FD211F">
        <w:rPr>
          <w:sz w:val="36"/>
          <w:szCs w:val="36"/>
          <w:rtl/>
        </w:rPr>
        <w:t>ة</w:t>
      </w:r>
      <w:r w:rsidR="00603323" w:rsidRPr="00FD211F">
        <w:rPr>
          <w:sz w:val="36"/>
          <w:szCs w:val="36"/>
          <w:rtl/>
        </w:rPr>
        <w:t xml:space="preserve">، </w:t>
      </w:r>
      <w:r w:rsidRPr="00FD211F">
        <w:rPr>
          <w:sz w:val="36"/>
          <w:szCs w:val="36"/>
          <w:rtl/>
        </w:rPr>
        <w:t xml:space="preserve">فيصح ان يكون البيع </w:t>
      </w:r>
      <w:r w:rsidR="00697D54" w:rsidRPr="00FD211F">
        <w:rPr>
          <w:sz w:val="36"/>
          <w:szCs w:val="36"/>
          <w:rtl/>
        </w:rPr>
        <w:t>بمعنى ايجاد</w:t>
      </w:r>
      <w:r w:rsidR="00A24412" w:rsidRPr="00FD211F">
        <w:rPr>
          <w:sz w:val="36"/>
          <w:szCs w:val="36"/>
          <w:rtl/>
        </w:rPr>
        <w:t xml:space="preserve"> </w:t>
      </w:r>
      <w:r w:rsidRPr="00FD211F">
        <w:rPr>
          <w:sz w:val="36"/>
          <w:szCs w:val="36"/>
          <w:rtl/>
        </w:rPr>
        <w:t>المسبب العقلائي او الشرعي</w:t>
      </w:r>
      <w:r w:rsidR="00603323" w:rsidRPr="00FD211F">
        <w:rPr>
          <w:sz w:val="36"/>
          <w:szCs w:val="36"/>
          <w:rtl/>
        </w:rPr>
        <w:t xml:space="preserve">، </w:t>
      </w:r>
      <w:r w:rsidR="000667B2" w:rsidRPr="00FD211F">
        <w:rPr>
          <w:sz w:val="36"/>
          <w:szCs w:val="36"/>
          <w:rtl/>
        </w:rPr>
        <w:t xml:space="preserve">نعم </w:t>
      </w:r>
      <w:r w:rsidRPr="00FD211F">
        <w:rPr>
          <w:sz w:val="36"/>
          <w:szCs w:val="36"/>
          <w:rtl/>
        </w:rPr>
        <w:t xml:space="preserve">لايتصف </w:t>
      </w:r>
      <w:r w:rsidR="000667B2" w:rsidRPr="00FD211F">
        <w:rPr>
          <w:sz w:val="36"/>
          <w:szCs w:val="36"/>
          <w:rtl/>
        </w:rPr>
        <w:t xml:space="preserve">ذلك </w:t>
      </w:r>
      <w:r w:rsidRPr="00FD211F">
        <w:rPr>
          <w:sz w:val="36"/>
          <w:szCs w:val="36"/>
          <w:rtl/>
        </w:rPr>
        <w:t>بالصح</w:t>
      </w:r>
      <w:r w:rsidR="00EC7EDF" w:rsidRPr="00FD211F">
        <w:rPr>
          <w:sz w:val="36"/>
          <w:szCs w:val="36"/>
          <w:rtl/>
        </w:rPr>
        <w:t xml:space="preserve">ة </w:t>
      </w:r>
      <w:r w:rsidRPr="00FD211F">
        <w:rPr>
          <w:sz w:val="36"/>
          <w:szCs w:val="36"/>
          <w:rtl/>
        </w:rPr>
        <w:t>والفساد</w:t>
      </w:r>
      <w:r w:rsidR="009C58C8" w:rsidRPr="00FD211F">
        <w:rPr>
          <w:rStyle w:val="a6"/>
          <w:sz w:val="36"/>
          <w:szCs w:val="36"/>
          <w:rtl/>
        </w:rPr>
        <w:t>(</w:t>
      </w:r>
      <w:r w:rsidR="009C58C8" w:rsidRPr="00FD211F">
        <w:rPr>
          <w:rStyle w:val="a6"/>
          <w:sz w:val="36"/>
          <w:szCs w:val="36"/>
          <w:rtl/>
        </w:rPr>
        <w:footnoteReference w:id="443"/>
      </w:r>
      <w:r w:rsidR="009C58C8" w:rsidRPr="00FD211F">
        <w:rPr>
          <w:rStyle w:val="a6"/>
          <w:sz w:val="36"/>
          <w:szCs w:val="36"/>
          <w:rtl/>
        </w:rPr>
        <w:t>)</w:t>
      </w:r>
      <w:r w:rsidR="00603323" w:rsidRPr="00FD211F">
        <w:rPr>
          <w:sz w:val="36"/>
          <w:szCs w:val="36"/>
          <w:rtl/>
        </w:rPr>
        <w:t xml:space="preserve">، </w:t>
      </w:r>
      <w:r w:rsidRPr="00FD211F">
        <w:rPr>
          <w:sz w:val="36"/>
          <w:szCs w:val="36"/>
          <w:rtl/>
        </w:rPr>
        <w:t>ولابأس بما افاده.</w:t>
      </w:r>
    </w:p>
    <w:p w14:paraId="3F99C850" w14:textId="77777777" w:rsidR="00052BF2" w:rsidRPr="00FD211F" w:rsidRDefault="00052BF2" w:rsidP="009C58C8">
      <w:pPr>
        <w:pStyle w:val="3"/>
        <w:ind w:firstLine="227"/>
        <w:jc w:val="both"/>
        <w:rPr>
          <w:rtl/>
        </w:rPr>
      </w:pPr>
      <w:bookmarkStart w:id="399" w:name="_Toc192092934"/>
      <w:bookmarkStart w:id="400" w:name="_Toc223890413"/>
      <w:r w:rsidRPr="00FD211F">
        <w:rPr>
          <w:rtl/>
        </w:rPr>
        <w:t>ثمر</w:t>
      </w:r>
      <w:r w:rsidR="00EC7EDF" w:rsidRPr="00FD211F">
        <w:rPr>
          <w:rtl/>
        </w:rPr>
        <w:t xml:space="preserve">ة </w:t>
      </w:r>
      <w:r w:rsidRPr="00FD211F">
        <w:rPr>
          <w:rtl/>
        </w:rPr>
        <w:t>النزاع في اسماء المعاملات</w:t>
      </w:r>
      <w:bookmarkEnd w:id="399"/>
      <w:bookmarkEnd w:id="400"/>
    </w:p>
    <w:p w14:paraId="09A68DF7" w14:textId="77777777" w:rsidR="000C5BBA" w:rsidRPr="00FD211F" w:rsidRDefault="00052BF2" w:rsidP="009C58C8">
      <w:pPr>
        <w:ind w:left="0" w:firstLine="227"/>
        <w:jc w:val="both"/>
        <w:rPr>
          <w:sz w:val="36"/>
          <w:szCs w:val="36"/>
          <w:rtl/>
          <w:lang w:val="en-GB"/>
        </w:rPr>
      </w:pP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Pr="00FD211F">
        <w:rPr>
          <w:sz w:val="36"/>
          <w:szCs w:val="36"/>
          <w:rtl/>
        </w:rPr>
        <w:t xml:space="preserve"> ان ثمر</w:t>
      </w:r>
      <w:r w:rsidR="00EC7EDF" w:rsidRPr="00FD211F">
        <w:rPr>
          <w:sz w:val="36"/>
          <w:szCs w:val="36"/>
          <w:rtl/>
        </w:rPr>
        <w:t xml:space="preserve">ة </w:t>
      </w:r>
      <w:r w:rsidRPr="00FD211F">
        <w:rPr>
          <w:sz w:val="36"/>
          <w:szCs w:val="36"/>
          <w:rtl/>
        </w:rPr>
        <w:t>النزاع بين الصحيحي والأعمي في اسماء المعاملات هو انه لاينعقد اطلاق لفظي في ادل</w:t>
      </w:r>
      <w:r w:rsidR="00EC7EDF" w:rsidRPr="00FD211F">
        <w:rPr>
          <w:sz w:val="36"/>
          <w:szCs w:val="36"/>
          <w:rtl/>
        </w:rPr>
        <w:t xml:space="preserve">ة </w:t>
      </w:r>
      <w:r w:rsidRPr="00FD211F">
        <w:rPr>
          <w:sz w:val="36"/>
          <w:szCs w:val="36"/>
          <w:rtl/>
        </w:rPr>
        <w:t>المعاملات بناء على القول بوضعها للصحيح</w:t>
      </w:r>
      <w:r w:rsidR="00603323" w:rsidRPr="00FD211F">
        <w:rPr>
          <w:sz w:val="36"/>
          <w:szCs w:val="36"/>
          <w:rtl/>
        </w:rPr>
        <w:t xml:space="preserve">، </w:t>
      </w:r>
      <w:r w:rsidRPr="00FD211F">
        <w:rPr>
          <w:sz w:val="36"/>
          <w:szCs w:val="36"/>
          <w:rtl/>
        </w:rPr>
        <w:t>الا انه بناء على وضعها للصحيح الشرعي لايتم له اطلاق لفظي اصلا</w:t>
      </w:r>
      <w:r w:rsidR="00603323" w:rsidRPr="00FD211F">
        <w:rPr>
          <w:sz w:val="36"/>
          <w:szCs w:val="36"/>
          <w:rtl/>
        </w:rPr>
        <w:t xml:space="preserve">، </w:t>
      </w:r>
      <w:r w:rsidRPr="00FD211F">
        <w:rPr>
          <w:sz w:val="36"/>
          <w:szCs w:val="36"/>
          <w:rtl/>
        </w:rPr>
        <w:t>ولكن بناء على وضعها للصحيح العقلائي فيمكن التمسك باطلاق خطابها في فرض احراز الصح</w:t>
      </w:r>
      <w:r w:rsidR="00EC7EDF" w:rsidRPr="00FD211F">
        <w:rPr>
          <w:sz w:val="36"/>
          <w:szCs w:val="36"/>
          <w:rtl/>
        </w:rPr>
        <w:t xml:space="preserve">ة </w:t>
      </w:r>
      <w:r w:rsidRPr="00FD211F">
        <w:rPr>
          <w:sz w:val="36"/>
          <w:szCs w:val="36"/>
          <w:rtl/>
        </w:rPr>
        <w:t>العقلائي</w:t>
      </w:r>
      <w:r w:rsidR="00EC7EDF" w:rsidRPr="00FD211F">
        <w:rPr>
          <w:sz w:val="36"/>
          <w:szCs w:val="36"/>
          <w:rtl/>
        </w:rPr>
        <w:t>ة</w:t>
      </w:r>
      <w:r w:rsidR="00603323" w:rsidRPr="00FD211F">
        <w:rPr>
          <w:sz w:val="36"/>
          <w:szCs w:val="36"/>
          <w:rtl/>
        </w:rPr>
        <w:t xml:space="preserve">، </w:t>
      </w:r>
      <w:r w:rsidRPr="00FD211F">
        <w:rPr>
          <w:sz w:val="36"/>
          <w:szCs w:val="36"/>
          <w:rtl/>
        </w:rPr>
        <w:t>وانما لاينعقد له اطلاق لفظي لنفي ما يشك في اعتباره في صح</w:t>
      </w:r>
      <w:r w:rsidR="00EC7EDF" w:rsidRPr="00FD211F">
        <w:rPr>
          <w:sz w:val="36"/>
          <w:szCs w:val="36"/>
          <w:rtl/>
        </w:rPr>
        <w:t xml:space="preserve">ة </w:t>
      </w:r>
      <w:r w:rsidRPr="00FD211F">
        <w:rPr>
          <w:sz w:val="36"/>
          <w:szCs w:val="36"/>
          <w:rtl/>
        </w:rPr>
        <w:t>المعامل</w:t>
      </w:r>
      <w:r w:rsidR="00EC7EDF" w:rsidRPr="00FD211F">
        <w:rPr>
          <w:sz w:val="36"/>
          <w:szCs w:val="36"/>
          <w:rtl/>
        </w:rPr>
        <w:t xml:space="preserve">ة </w:t>
      </w:r>
      <w:r w:rsidRPr="00FD211F">
        <w:rPr>
          <w:sz w:val="36"/>
          <w:szCs w:val="36"/>
          <w:rtl/>
        </w:rPr>
        <w:t>عند العقلاء</w:t>
      </w:r>
      <w:r w:rsidR="00603323" w:rsidRPr="00FD211F">
        <w:rPr>
          <w:sz w:val="36"/>
          <w:szCs w:val="36"/>
          <w:rtl/>
        </w:rPr>
        <w:t xml:space="preserve">، </w:t>
      </w:r>
      <w:r w:rsidRPr="00FD211F">
        <w:rPr>
          <w:sz w:val="36"/>
          <w:szCs w:val="36"/>
          <w:rtl/>
        </w:rPr>
        <w:t>وأما بناء على وضعها للأعم فيمكن التمسك بالاطلاق اللفظي لخطابها فيما احرز صدقها عرفا حتى ول</w:t>
      </w:r>
      <w:r w:rsidR="009977FE" w:rsidRPr="00FD211F">
        <w:rPr>
          <w:sz w:val="36"/>
          <w:szCs w:val="36"/>
          <w:rtl/>
        </w:rPr>
        <w:t>و</w:t>
      </w:r>
      <w:r w:rsidR="008D7B3D" w:rsidRPr="00FD211F">
        <w:rPr>
          <w:sz w:val="36"/>
          <w:szCs w:val="36"/>
          <w:rtl/>
        </w:rPr>
        <w:t xml:space="preserve"> لم‌</w:t>
      </w:r>
      <w:r w:rsidRPr="00FD211F">
        <w:rPr>
          <w:sz w:val="36"/>
          <w:szCs w:val="36"/>
          <w:rtl/>
        </w:rPr>
        <w:t>يعلم بالصح</w:t>
      </w:r>
      <w:r w:rsidR="00EC7EDF" w:rsidRPr="00FD211F">
        <w:rPr>
          <w:sz w:val="36"/>
          <w:szCs w:val="36"/>
          <w:rtl/>
        </w:rPr>
        <w:t xml:space="preserve">ة </w:t>
      </w:r>
      <w:r w:rsidRPr="00FD211F">
        <w:rPr>
          <w:sz w:val="36"/>
          <w:szCs w:val="36"/>
          <w:rtl/>
        </w:rPr>
        <w:t>العقلائي</w:t>
      </w:r>
      <w:r w:rsidR="00EC7EDF" w:rsidRPr="00FD211F">
        <w:rPr>
          <w:sz w:val="36"/>
          <w:szCs w:val="36"/>
          <w:rtl/>
        </w:rPr>
        <w:t>ة</w:t>
      </w:r>
      <w:r w:rsidR="00603323" w:rsidRPr="00FD211F">
        <w:rPr>
          <w:sz w:val="36"/>
          <w:szCs w:val="36"/>
          <w:rtl/>
        </w:rPr>
        <w:t xml:space="preserve">، </w:t>
      </w:r>
      <w:r w:rsidRPr="00FD211F">
        <w:rPr>
          <w:sz w:val="36"/>
          <w:szCs w:val="36"/>
          <w:rtl/>
          <w:lang w:val="en-GB"/>
        </w:rPr>
        <w:t>فضلا عن الشرعي</w:t>
      </w:r>
      <w:r w:rsidR="00EC7EDF" w:rsidRPr="00FD211F">
        <w:rPr>
          <w:sz w:val="36"/>
          <w:szCs w:val="36"/>
          <w:rtl/>
          <w:lang w:val="en-GB"/>
        </w:rPr>
        <w:t>ة</w:t>
      </w:r>
      <w:r w:rsidR="00603323" w:rsidRPr="00FD211F">
        <w:rPr>
          <w:sz w:val="36"/>
          <w:szCs w:val="36"/>
          <w:rtl/>
          <w:lang w:val="en-GB"/>
        </w:rPr>
        <w:t xml:space="preserve">، </w:t>
      </w:r>
      <w:r w:rsidR="000A2C5D" w:rsidRPr="00FD211F">
        <w:rPr>
          <w:sz w:val="36"/>
          <w:szCs w:val="36"/>
          <w:rtl/>
          <w:lang w:val="en-GB"/>
        </w:rPr>
        <w:t>نعم لو علم بعدم صحتها عقلاء فيكون ذلك بمثاب</w:t>
      </w:r>
      <w:r w:rsidR="00EC7EDF" w:rsidRPr="00FD211F">
        <w:rPr>
          <w:sz w:val="36"/>
          <w:szCs w:val="36"/>
          <w:rtl/>
          <w:lang w:val="en-GB"/>
        </w:rPr>
        <w:t xml:space="preserve">ة </w:t>
      </w:r>
      <w:r w:rsidR="00EA24FC" w:rsidRPr="00FD211F">
        <w:rPr>
          <w:sz w:val="36"/>
          <w:szCs w:val="36"/>
          <w:rtl/>
          <w:lang w:val="en-GB"/>
        </w:rPr>
        <w:t>قرين</w:t>
      </w:r>
      <w:r w:rsidR="00EC7EDF" w:rsidRPr="00FD211F">
        <w:rPr>
          <w:sz w:val="36"/>
          <w:szCs w:val="36"/>
          <w:rtl/>
          <w:lang w:val="en-GB"/>
        </w:rPr>
        <w:t xml:space="preserve">ة </w:t>
      </w:r>
      <w:r w:rsidR="00EA24FC" w:rsidRPr="00FD211F">
        <w:rPr>
          <w:sz w:val="36"/>
          <w:szCs w:val="36"/>
          <w:rtl/>
          <w:lang w:val="en-GB"/>
        </w:rPr>
        <w:t>لبي</w:t>
      </w:r>
      <w:r w:rsidR="00EC7EDF" w:rsidRPr="00FD211F">
        <w:rPr>
          <w:sz w:val="36"/>
          <w:szCs w:val="36"/>
          <w:rtl/>
          <w:lang w:val="en-GB"/>
        </w:rPr>
        <w:t xml:space="preserve">ة </w:t>
      </w:r>
      <w:r w:rsidR="00EA24FC" w:rsidRPr="00FD211F">
        <w:rPr>
          <w:sz w:val="36"/>
          <w:szCs w:val="36"/>
          <w:rtl/>
          <w:lang w:val="en-GB"/>
        </w:rPr>
        <w:t>متصل</w:t>
      </w:r>
      <w:r w:rsidR="00EC7EDF" w:rsidRPr="00FD211F">
        <w:rPr>
          <w:sz w:val="36"/>
          <w:szCs w:val="36"/>
          <w:rtl/>
          <w:lang w:val="en-GB"/>
        </w:rPr>
        <w:t xml:space="preserve">ة </w:t>
      </w:r>
      <w:r w:rsidR="00EA24FC" w:rsidRPr="00FD211F">
        <w:rPr>
          <w:sz w:val="36"/>
          <w:szCs w:val="36"/>
          <w:rtl/>
          <w:lang w:val="en-GB"/>
        </w:rPr>
        <w:t>فتمنع عن ظهور</w:t>
      </w:r>
      <w:r w:rsidR="000A2C5D" w:rsidRPr="00FD211F">
        <w:rPr>
          <w:sz w:val="36"/>
          <w:szCs w:val="36"/>
          <w:rtl/>
          <w:lang w:val="en-GB"/>
        </w:rPr>
        <w:t xml:space="preserve"> دليل صح</w:t>
      </w:r>
      <w:r w:rsidR="00EC7EDF" w:rsidRPr="00FD211F">
        <w:rPr>
          <w:sz w:val="36"/>
          <w:szCs w:val="36"/>
          <w:rtl/>
          <w:lang w:val="en-GB"/>
        </w:rPr>
        <w:t xml:space="preserve">ة </w:t>
      </w:r>
      <w:r w:rsidR="000A2C5D" w:rsidRPr="00FD211F">
        <w:rPr>
          <w:sz w:val="36"/>
          <w:szCs w:val="36"/>
          <w:rtl/>
          <w:lang w:val="en-GB"/>
        </w:rPr>
        <w:t>المعامل</w:t>
      </w:r>
      <w:r w:rsidR="00EC7EDF" w:rsidRPr="00FD211F">
        <w:rPr>
          <w:sz w:val="36"/>
          <w:szCs w:val="36"/>
          <w:rtl/>
          <w:lang w:val="en-GB"/>
        </w:rPr>
        <w:t xml:space="preserve">ة </w:t>
      </w:r>
      <w:r w:rsidR="00EA24FC" w:rsidRPr="00FD211F">
        <w:rPr>
          <w:sz w:val="36"/>
          <w:szCs w:val="36"/>
          <w:rtl/>
          <w:lang w:val="en-GB"/>
        </w:rPr>
        <w:t>في العموم</w:t>
      </w:r>
      <w:r w:rsidR="00EC7EDF" w:rsidRPr="00FD211F">
        <w:rPr>
          <w:sz w:val="36"/>
          <w:szCs w:val="36"/>
          <w:rtl/>
          <w:lang w:val="en-GB"/>
        </w:rPr>
        <w:t>.</w:t>
      </w:r>
      <w:r w:rsidR="000A2C5D" w:rsidRPr="00FD211F">
        <w:rPr>
          <w:sz w:val="36"/>
          <w:szCs w:val="36"/>
          <w:rtl/>
          <w:lang w:val="en-GB"/>
        </w:rPr>
        <w:t xml:space="preserve"> </w:t>
      </w:r>
    </w:p>
    <w:p w14:paraId="55A0FB98" w14:textId="77777777" w:rsidR="00EA24FC" w:rsidRPr="00FD211F" w:rsidRDefault="000A2C5D" w:rsidP="009C58C8">
      <w:pPr>
        <w:ind w:left="0" w:firstLine="227"/>
        <w:jc w:val="both"/>
        <w:rPr>
          <w:sz w:val="36"/>
          <w:szCs w:val="36"/>
          <w:rtl/>
          <w:lang w:val="en-GB"/>
        </w:rPr>
      </w:pPr>
      <w:r w:rsidRPr="00FD211F">
        <w:rPr>
          <w:sz w:val="36"/>
          <w:szCs w:val="36"/>
          <w:rtl/>
          <w:lang w:val="en-GB"/>
        </w:rPr>
        <w:t>بل قد يقال بأنه في فرض الشك في بناء العقلاء على بطلان</w:t>
      </w:r>
      <w:r w:rsidR="00EA24FC" w:rsidRPr="00FD211F">
        <w:rPr>
          <w:sz w:val="36"/>
          <w:szCs w:val="36"/>
          <w:rtl/>
          <w:lang w:val="en-GB"/>
        </w:rPr>
        <w:t xml:space="preserve"> المعامل</w:t>
      </w:r>
      <w:r w:rsidR="00EC7EDF" w:rsidRPr="00FD211F">
        <w:rPr>
          <w:sz w:val="36"/>
          <w:szCs w:val="36"/>
          <w:rtl/>
          <w:lang w:val="en-GB"/>
        </w:rPr>
        <w:t xml:space="preserve">ة </w:t>
      </w:r>
      <w:r w:rsidRPr="00FD211F">
        <w:rPr>
          <w:sz w:val="36"/>
          <w:szCs w:val="36"/>
          <w:rtl/>
          <w:lang w:val="en-GB"/>
        </w:rPr>
        <w:t>ف</w:t>
      </w:r>
      <w:r w:rsidR="00EA24FC" w:rsidRPr="00FD211F">
        <w:rPr>
          <w:sz w:val="36"/>
          <w:szCs w:val="36"/>
          <w:rtl/>
          <w:lang w:val="en-GB"/>
        </w:rPr>
        <w:t xml:space="preserve">حيث </w:t>
      </w:r>
      <w:r w:rsidRPr="00FD211F">
        <w:rPr>
          <w:sz w:val="36"/>
          <w:szCs w:val="36"/>
          <w:rtl/>
          <w:lang w:val="en-GB"/>
        </w:rPr>
        <w:t>يكون مرجع ذلك الى الشك في القرين</w:t>
      </w:r>
      <w:r w:rsidR="00EC7EDF" w:rsidRPr="00FD211F">
        <w:rPr>
          <w:sz w:val="36"/>
          <w:szCs w:val="36"/>
          <w:rtl/>
          <w:lang w:val="en-GB"/>
        </w:rPr>
        <w:t xml:space="preserve">ة </w:t>
      </w:r>
      <w:r w:rsidRPr="00FD211F">
        <w:rPr>
          <w:sz w:val="36"/>
          <w:szCs w:val="36"/>
          <w:rtl/>
          <w:lang w:val="en-GB"/>
        </w:rPr>
        <w:t>اللبي</w:t>
      </w:r>
      <w:r w:rsidR="00EC7EDF" w:rsidRPr="00FD211F">
        <w:rPr>
          <w:sz w:val="36"/>
          <w:szCs w:val="36"/>
          <w:rtl/>
          <w:lang w:val="en-GB"/>
        </w:rPr>
        <w:t xml:space="preserve">ة </w:t>
      </w:r>
      <w:r w:rsidRPr="00FD211F">
        <w:rPr>
          <w:sz w:val="36"/>
          <w:szCs w:val="36"/>
          <w:rtl/>
          <w:lang w:val="en-GB"/>
        </w:rPr>
        <w:t>المتصل</w:t>
      </w:r>
      <w:r w:rsidR="00EC7EDF" w:rsidRPr="00FD211F">
        <w:rPr>
          <w:sz w:val="36"/>
          <w:szCs w:val="36"/>
          <w:rtl/>
          <w:lang w:val="en-GB"/>
        </w:rPr>
        <w:t xml:space="preserve">ة </w:t>
      </w:r>
      <w:r w:rsidRPr="00FD211F">
        <w:rPr>
          <w:sz w:val="36"/>
          <w:szCs w:val="36"/>
          <w:rtl/>
          <w:lang w:val="en-GB"/>
        </w:rPr>
        <w:t>فلايحرز الظهور</w:t>
      </w:r>
      <w:r w:rsidR="00603323" w:rsidRPr="00FD211F">
        <w:rPr>
          <w:sz w:val="36"/>
          <w:szCs w:val="36"/>
          <w:rtl/>
          <w:lang w:val="en-GB"/>
        </w:rPr>
        <w:t xml:space="preserve">، </w:t>
      </w:r>
      <w:r w:rsidRPr="00FD211F">
        <w:rPr>
          <w:sz w:val="36"/>
          <w:szCs w:val="36"/>
          <w:rtl/>
          <w:lang w:val="en-GB"/>
        </w:rPr>
        <w:t>و</w:t>
      </w:r>
      <w:r w:rsidR="00D97BD5" w:rsidRPr="00FD211F">
        <w:rPr>
          <w:sz w:val="36"/>
          <w:szCs w:val="36"/>
          <w:rtl/>
          <w:lang w:val="en-GB"/>
        </w:rPr>
        <w:t>مسلك المشهور</w:t>
      </w:r>
      <w:r w:rsidRPr="00FD211F">
        <w:rPr>
          <w:sz w:val="36"/>
          <w:szCs w:val="36"/>
          <w:rtl/>
          <w:lang w:val="en-GB"/>
        </w:rPr>
        <w:t xml:space="preserve"> عند الشك في القرين</w:t>
      </w:r>
      <w:r w:rsidR="00EC7EDF" w:rsidRPr="00FD211F">
        <w:rPr>
          <w:sz w:val="36"/>
          <w:szCs w:val="36"/>
          <w:rtl/>
          <w:lang w:val="en-GB"/>
        </w:rPr>
        <w:t xml:space="preserve">ة </w:t>
      </w:r>
      <w:r w:rsidRPr="00FD211F">
        <w:rPr>
          <w:sz w:val="36"/>
          <w:szCs w:val="36"/>
          <w:rtl/>
          <w:lang w:val="en-GB"/>
        </w:rPr>
        <w:t>المتصل</w:t>
      </w:r>
      <w:r w:rsidR="00EC7EDF" w:rsidRPr="00FD211F">
        <w:rPr>
          <w:sz w:val="36"/>
          <w:szCs w:val="36"/>
          <w:rtl/>
          <w:lang w:val="en-GB"/>
        </w:rPr>
        <w:t xml:space="preserve">ة </w:t>
      </w:r>
      <w:r w:rsidR="00D97BD5" w:rsidRPr="00FD211F">
        <w:rPr>
          <w:sz w:val="36"/>
          <w:szCs w:val="36"/>
          <w:rtl/>
          <w:lang w:val="en-GB"/>
        </w:rPr>
        <w:t>وان كان هو عدم الاعتناء بهذا الشك ولكن ذكرنا في محله عدم ا</w:t>
      </w:r>
      <w:r w:rsidRPr="00FD211F">
        <w:rPr>
          <w:sz w:val="36"/>
          <w:szCs w:val="36"/>
          <w:rtl/>
          <w:lang w:val="en-GB"/>
        </w:rPr>
        <w:t>حر</w:t>
      </w:r>
      <w:r w:rsidR="00D97BD5" w:rsidRPr="00FD211F">
        <w:rPr>
          <w:sz w:val="36"/>
          <w:szCs w:val="36"/>
          <w:rtl/>
          <w:lang w:val="en-GB"/>
        </w:rPr>
        <w:t>ا</w:t>
      </w:r>
      <w:r w:rsidRPr="00FD211F">
        <w:rPr>
          <w:sz w:val="36"/>
          <w:szCs w:val="36"/>
          <w:rtl/>
          <w:lang w:val="en-GB"/>
        </w:rPr>
        <w:t xml:space="preserve">زبناء العقلاء على </w:t>
      </w:r>
      <w:r w:rsidR="00D97BD5" w:rsidRPr="00FD211F">
        <w:rPr>
          <w:sz w:val="36"/>
          <w:szCs w:val="36"/>
          <w:rtl/>
          <w:lang w:val="en-GB"/>
        </w:rPr>
        <w:t>ذلك</w:t>
      </w:r>
      <w:r w:rsidR="00603323" w:rsidRPr="00FD211F">
        <w:rPr>
          <w:sz w:val="36"/>
          <w:szCs w:val="36"/>
          <w:rtl/>
          <w:lang w:val="en-GB"/>
        </w:rPr>
        <w:t xml:space="preserve">، </w:t>
      </w:r>
      <w:r w:rsidR="00D97BD5" w:rsidRPr="00FD211F">
        <w:rPr>
          <w:sz w:val="36"/>
          <w:szCs w:val="36"/>
          <w:rtl/>
          <w:lang w:val="en-GB"/>
        </w:rPr>
        <w:t>مالم</w:t>
      </w:r>
      <w:r w:rsidR="00B253CE" w:rsidRPr="00FD211F">
        <w:rPr>
          <w:sz w:val="36"/>
          <w:szCs w:val="36"/>
          <w:rtl/>
          <w:lang w:val="en-GB"/>
        </w:rPr>
        <w:t xml:space="preserve"> </w:t>
      </w:r>
      <w:r w:rsidR="00D97BD5" w:rsidRPr="00FD211F">
        <w:rPr>
          <w:sz w:val="36"/>
          <w:szCs w:val="36"/>
          <w:rtl/>
          <w:lang w:val="en-GB"/>
        </w:rPr>
        <w:t>يك</w:t>
      </w:r>
      <w:r w:rsidR="0019523F" w:rsidRPr="00FD211F">
        <w:rPr>
          <w:sz w:val="36"/>
          <w:szCs w:val="36"/>
          <w:rtl/>
          <w:lang w:val="en-GB"/>
        </w:rPr>
        <w:t>ن ظاهر سكوت الراوي نفي القرين</w:t>
      </w:r>
      <w:r w:rsidR="00EC7EDF" w:rsidRPr="00FD211F">
        <w:rPr>
          <w:sz w:val="36"/>
          <w:szCs w:val="36"/>
          <w:rtl/>
          <w:lang w:val="en-GB"/>
        </w:rPr>
        <w:t xml:space="preserve">ة </w:t>
      </w:r>
      <w:r w:rsidR="0019523F" w:rsidRPr="00FD211F">
        <w:rPr>
          <w:sz w:val="36"/>
          <w:szCs w:val="36"/>
          <w:rtl/>
          <w:lang w:val="en-GB"/>
        </w:rPr>
        <w:t>المتصل</w:t>
      </w:r>
      <w:r w:rsidR="00EC7EDF" w:rsidRPr="00FD211F">
        <w:rPr>
          <w:sz w:val="36"/>
          <w:szCs w:val="36"/>
          <w:rtl/>
          <w:lang w:val="en-GB"/>
        </w:rPr>
        <w:t xml:space="preserve">ة </w:t>
      </w:r>
      <w:r w:rsidR="0019523F" w:rsidRPr="00FD211F">
        <w:rPr>
          <w:sz w:val="36"/>
          <w:szCs w:val="36"/>
          <w:rtl/>
          <w:lang w:val="en-GB"/>
        </w:rPr>
        <w:t>كما</w:t>
      </w:r>
      <w:r w:rsidRPr="00FD211F">
        <w:rPr>
          <w:sz w:val="36"/>
          <w:szCs w:val="36"/>
          <w:rtl/>
          <w:lang w:val="en-GB"/>
        </w:rPr>
        <w:t xml:space="preserve"> </w:t>
      </w:r>
      <w:r w:rsidR="0019523F" w:rsidRPr="00FD211F">
        <w:rPr>
          <w:sz w:val="36"/>
          <w:szCs w:val="36"/>
          <w:rtl/>
          <w:lang w:val="en-GB"/>
        </w:rPr>
        <w:t>في القرين</w:t>
      </w:r>
      <w:r w:rsidR="00EC7EDF" w:rsidRPr="00FD211F">
        <w:rPr>
          <w:sz w:val="36"/>
          <w:szCs w:val="36"/>
          <w:rtl/>
          <w:lang w:val="en-GB"/>
        </w:rPr>
        <w:t xml:space="preserve">ة </w:t>
      </w:r>
      <w:r w:rsidR="0019523F" w:rsidRPr="00FD211F">
        <w:rPr>
          <w:sz w:val="36"/>
          <w:szCs w:val="36"/>
          <w:rtl/>
          <w:lang w:val="en-GB"/>
        </w:rPr>
        <w:t>اللفظي</w:t>
      </w:r>
      <w:r w:rsidR="00EC7EDF" w:rsidRPr="00FD211F">
        <w:rPr>
          <w:sz w:val="36"/>
          <w:szCs w:val="36"/>
          <w:rtl/>
          <w:lang w:val="en-GB"/>
        </w:rPr>
        <w:t xml:space="preserve">ة </w:t>
      </w:r>
      <w:r w:rsidR="0019523F" w:rsidRPr="00FD211F">
        <w:rPr>
          <w:sz w:val="36"/>
          <w:szCs w:val="36"/>
          <w:rtl/>
          <w:lang w:val="en-GB"/>
        </w:rPr>
        <w:t>او القرين</w:t>
      </w:r>
      <w:r w:rsidR="00EC7EDF" w:rsidRPr="00FD211F">
        <w:rPr>
          <w:sz w:val="36"/>
          <w:szCs w:val="36"/>
          <w:rtl/>
          <w:lang w:val="en-GB"/>
        </w:rPr>
        <w:t xml:space="preserve">ة </w:t>
      </w:r>
      <w:r w:rsidR="0019523F" w:rsidRPr="00FD211F">
        <w:rPr>
          <w:sz w:val="36"/>
          <w:szCs w:val="36"/>
          <w:rtl/>
          <w:lang w:val="en-GB"/>
        </w:rPr>
        <w:t>الحالي</w:t>
      </w:r>
      <w:r w:rsidR="00EC7EDF" w:rsidRPr="00FD211F">
        <w:rPr>
          <w:sz w:val="36"/>
          <w:szCs w:val="36"/>
          <w:rtl/>
          <w:lang w:val="en-GB"/>
        </w:rPr>
        <w:t xml:space="preserve">ة </w:t>
      </w:r>
      <w:r w:rsidR="0019523F" w:rsidRPr="00FD211F">
        <w:rPr>
          <w:sz w:val="36"/>
          <w:szCs w:val="36"/>
          <w:rtl/>
          <w:lang w:val="en-GB"/>
        </w:rPr>
        <w:t>الشخصي</w:t>
      </w:r>
      <w:r w:rsidR="00EC7EDF" w:rsidRPr="00FD211F">
        <w:rPr>
          <w:sz w:val="36"/>
          <w:szCs w:val="36"/>
          <w:rtl/>
          <w:lang w:val="en-GB"/>
        </w:rPr>
        <w:t>ة</w:t>
      </w:r>
      <w:r w:rsidR="00603323" w:rsidRPr="00FD211F">
        <w:rPr>
          <w:sz w:val="36"/>
          <w:szCs w:val="36"/>
          <w:rtl/>
          <w:lang w:val="en-GB"/>
        </w:rPr>
        <w:t xml:space="preserve">، </w:t>
      </w:r>
      <w:r w:rsidR="00EA24FC" w:rsidRPr="00FD211F">
        <w:rPr>
          <w:sz w:val="36"/>
          <w:szCs w:val="36"/>
          <w:rtl/>
          <w:lang w:val="en-GB"/>
        </w:rPr>
        <w:t>واما</w:t>
      </w:r>
      <w:r w:rsidR="0019523F" w:rsidRPr="00FD211F">
        <w:rPr>
          <w:sz w:val="36"/>
          <w:szCs w:val="36"/>
          <w:rtl/>
          <w:lang w:val="en-GB"/>
        </w:rPr>
        <w:t xml:space="preserve"> القرين</w:t>
      </w:r>
      <w:r w:rsidR="00EC7EDF" w:rsidRPr="00FD211F">
        <w:rPr>
          <w:sz w:val="36"/>
          <w:szCs w:val="36"/>
          <w:rtl/>
          <w:lang w:val="en-GB"/>
        </w:rPr>
        <w:t xml:space="preserve">ة </w:t>
      </w:r>
      <w:r w:rsidR="0019523F" w:rsidRPr="00FD211F">
        <w:rPr>
          <w:sz w:val="36"/>
          <w:szCs w:val="36"/>
          <w:rtl/>
          <w:lang w:val="en-GB"/>
        </w:rPr>
        <w:t>الحالي</w:t>
      </w:r>
      <w:r w:rsidR="00EC7EDF" w:rsidRPr="00FD211F">
        <w:rPr>
          <w:sz w:val="36"/>
          <w:szCs w:val="36"/>
          <w:rtl/>
          <w:lang w:val="en-GB"/>
        </w:rPr>
        <w:t xml:space="preserve">ة </w:t>
      </w:r>
      <w:r w:rsidR="0019523F" w:rsidRPr="00FD211F">
        <w:rPr>
          <w:sz w:val="36"/>
          <w:szCs w:val="36"/>
          <w:rtl/>
          <w:lang w:val="en-GB"/>
        </w:rPr>
        <w:t>النوعي</w:t>
      </w:r>
      <w:r w:rsidR="00EC7EDF" w:rsidRPr="00FD211F">
        <w:rPr>
          <w:sz w:val="36"/>
          <w:szCs w:val="36"/>
          <w:rtl/>
          <w:lang w:val="en-GB"/>
        </w:rPr>
        <w:t xml:space="preserve">ة </w:t>
      </w:r>
      <w:r w:rsidR="0019523F" w:rsidRPr="00FD211F">
        <w:rPr>
          <w:sz w:val="36"/>
          <w:szCs w:val="36"/>
          <w:rtl/>
          <w:lang w:val="en-GB"/>
        </w:rPr>
        <w:t xml:space="preserve">كالارتكاز العقلائي اوالمتشرعي </w:t>
      </w:r>
      <w:r w:rsidR="00EA24FC" w:rsidRPr="00FD211F">
        <w:rPr>
          <w:sz w:val="36"/>
          <w:szCs w:val="36"/>
          <w:rtl/>
          <w:lang w:val="en-GB"/>
        </w:rPr>
        <w:t>فلايكون ظاهر سكوت الراوي نفيها</w:t>
      </w:r>
      <w:r w:rsidR="00603323" w:rsidRPr="00FD211F">
        <w:rPr>
          <w:sz w:val="36"/>
          <w:szCs w:val="36"/>
          <w:rtl/>
          <w:lang w:val="en-GB"/>
        </w:rPr>
        <w:t xml:space="preserve">، </w:t>
      </w:r>
      <w:r w:rsidR="0019523F" w:rsidRPr="00FD211F">
        <w:rPr>
          <w:sz w:val="36"/>
          <w:szCs w:val="36"/>
          <w:rtl/>
          <w:lang w:val="en-GB"/>
        </w:rPr>
        <w:t xml:space="preserve">لأنه لايرى نفسه ملزما ببيان هذه القرينه بعد استواءه مع الآخرين </w:t>
      </w:r>
      <w:r w:rsidR="00EA24FC" w:rsidRPr="00FD211F">
        <w:rPr>
          <w:sz w:val="36"/>
          <w:szCs w:val="36"/>
          <w:rtl/>
          <w:lang w:val="en-GB"/>
        </w:rPr>
        <w:t>في فهمها</w:t>
      </w:r>
      <w:r w:rsidR="00EC7EDF" w:rsidRPr="00FD211F">
        <w:rPr>
          <w:sz w:val="36"/>
          <w:szCs w:val="36"/>
          <w:rtl/>
          <w:lang w:val="en-GB"/>
        </w:rPr>
        <w:t>.</w:t>
      </w:r>
    </w:p>
    <w:p w14:paraId="1BE0DF45" w14:textId="77777777" w:rsidR="00391156" w:rsidRPr="00FD211F" w:rsidRDefault="0019523F" w:rsidP="009C58C8">
      <w:pPr>
        <w:ind w:left="0" w:firstLine="227"/>
        <w:jc w:val="both"/>
        <w:rPr>
          <w:sz w:val="36"/>
          <w:szCs w:val="36"/>
          <w:rtl/>
          <w:lang w:val="en-GB"/>
        </w:rPr>
      </w:pPr>
      <w:r w:rsidRPr="00FD211F">
        <w:rPr>
          <w:sz w:val="36"/>
          <w:szCs w:val="36"/>
          <w:rtl/>
          <w:lang w:val="en-GB"/>
        </w:rPr>
        <w:t>هذا</w:t>
      </w:r>
      <w:r w:rsidR="00A24412" w:rsidRPr="00FD211F">
        <w:rPr>
          <w:sz w:val="36"/>
          <w:szCs w:val="36"/>
          <w:rtl/>
          <w:lang w:val="en-GB"/>
        </w:rPr>
        <w:t xml:space="preserve"> </w:t>
      </w:r>
      <w:r w:rsidRPr="00FD211F">
        <w:rPr>
          <w:sz w:val="36"/>
          <w:szCs w:val="36"/>
          <w:rtl/>
          <w:lang w:val="en-GB"/>
        </w:rPr>
        <w:t>اذا شك</w:t>
      </w:r>
      <w:r w:rsidR="00EA24FC" w:rsidRPr="00FD211F">
        <w:rPr>
          <w:sz w:val="36"/>
          <w:szCs w:val="36"/>
          <w:rtl/>
          <w:lang w:val="en-GB"/>
        </w:rPr>
        <w:t xml:space="preserve">كنا </w:t>
      </w:r>
      <w:r w:rsidRPr="00FD211F">
        <w:rPr>
          <w:sz w:val="36"/>
          <w:szCs w:val="36"/>
          <w:rtl/>
          <w:lang w:val="en-GB"/>
        </w:rPr>
        <w:t>في ارتكاز</w:t>
      </w:r>
      <w:r w:rsidR="00E177CD" w:rsidRPr="00FD211F">
        <w:rPr>
          <w:sz w:val="36"/>
          <w:szCs w:val="36"/>
          <w:rtl/>
          <w:lang w:val="en-GB"/>
        </w:rPr>
        <w:t xml:space="preserve"> </w:t>
      </w:r>
      <w:r w:rsidR="00EA24FC" w:rsidRPr="00FD211F">
        <w:rPr>
          <w:sz w:val="36"/>
          <w:szCs w:val="36"/>
          <w:rtl/>
          <w:lang w:val="en-GB"/>
        </w:rPr>
        <w:t>العرف و</w:t>
      </w:r>
      <w:r w:rsidRPr="00FD211F">
        <w:rPr>
          <w:sz w:val="36"/>
          <w:szCs w:val="36"/>
          <w:rtl/>
          <w:lang w:val="en-GB"/>
        </w:rPr>
        <w:t>العقلاء</w:t>
      </w:r>
      <w:r w:rsidR="00603323" w:rsidRPr="00FD211F">
        <w:rPr>
          <w:sz w:val="36"/>
          <w:szCs w:val="36"/>
          <w:rtl/>
          <w:lang w:val="en-GB"/>
        </w:rPr>
        <w:t xml:space="preserve">، </w:t>
      </w:r>
      <w:r w:rsidRPr="00FD211F">
        <w:rPr>
          <w:sz w:val="36"/>
          <w:szCs w:val="36"/>
          <w:rtl/>
          <w:lang w:val="en-GB"/>
        </w:rPr>
        <w:t>واما</w:t>
      </w:r>
      <w:r w:rsidR="00A24412" w:rsidRPr="00FD211F">
        <w:rPr>
          <w:sz w:val="36"/>
          <w:szCs w:val="36"/>
          <w:rtl/>
          <w:lang w:val="en-GB"/>
        </w:rPr>
        <w:t xml:space="preserve"> </w:t>
      </w:r>
      <w:r w:rsidRPr="00FD211F">
        <w:rPr>
          <w:sz w:val="36"/>
          <w:szCs w:val="36"/>
          <w:rtl/>
          <w:lang w:val="en-GB"/>
        </w:rPr>
        <w:t>اذا شك العرف نفسه في ذلك</w:t>
      </w:r>
      <w:r w:rsidR="00EA24FC" w:rsidRPr="00FD211F">
        <w:rPr>
          <w:sz w:val="36"/>
          <w:szCs w:val="36"/>
          <w:rtl/>
          <w:lang w:val="en-GB"/>
        </w:rPr>
        <w:t xml:space="preserve"> بأن </w:t>
      </w:r>
      <w:r w:rsidR="00A13468" w:rsidRPr="00FD211F">
        <w:rPr>
          <w:sz w:val="36"/>
          <w:szCs w:val="36"/>
          <w:rtl/>
          <w:lang w:val="en-GB"/>
        </w:rPr>
        <w:t>كان ارتكاز</w:t>
      </w:r>
      <w:r w:rsidR="00E177CD" w:rsidRPr="00FD211F">
        <w:rPr>
          <w:sz w:val="36"/>
          <w:szCs w:val="36"/>
          <w:rtl/>
          <w:lang w:val="en-GB"/>
        </w:rPr>
        <w:t xml:space="preserve"> </w:t>
      </w:r>
      <w:r w:rsidR="00A13468" w:rsidRPr="00FD211F">
        <w:rPr>
          <w:sz w:val="36"/>
          <w:szCs w:val="36"/>
          <w:rtl/>
          <w:lang w:val="en-GB"/>
        </w:rPr>
        <w:t>العرف مجهولا</w:t>
      </w:r>
      <w:r w:rsidR="00A24412" w:rsidRPr="00FD211F">
        <w:rPr>
          <w:sz w:val="36"/>
          <w:szCs w:val="36"/>
          <w:rtl/>
          <w:lang w:val="en-GB"/>
        </w:rPr>
        <w:t xml:space="preserve"> </w:t>
      </w:r>
      <w:r w:rsidR="00A13468" w:rsidRPr="00FD211F">
        <w:rPr>
          <w:sz w:val="36"/>
          <w:szCs w:val="36"/>
          <w:rtl/>
          <w:lang w:val="en-GB"/>
        </w:rPr>
        <w:t>لنفسه</w:t>
      </w:r>
      <w:r w:rsidR="00EA24FC" w:rsidRPr="00FD211F">
        <w:rPr>
          <w:sz w:val="36"/>
          <w:szCs w:val="36"/>
          <w:rtl/>
          <w:lang w:val="en-GB"/>
        </w:rPr>
        <w:t xml:space="preserve"> </w:t>
      </w:r>
      <w:r w:rsidR="00A13468" w:rsidRPr="00FD211F">
        <w:rPr>
          <w:sz w:val="36"/>
          <w:szCs w:val="36"/>
          <w:rtl/>
          <w:lang w:val="en-GB"/>
        </w:rPr>
        <w:t xml:space="preserve">فهذا </w:t>
      </w:r>
      <w:r w:rsidR="00391156" w:rsidRPr="00FD211F">
        <w:rPr>
          <w:sz w:val="36"/>
          <w:szCs w:val="36"/>
          <w:rtl/>
          <w:lang w:val="en-GB"/>
        </w:rPr>
        <w:t>يكشف عن</w:t>
      </w:r>
      <w:r w:rsidRPr="00FD211F">
        <w:rPr>
          <w:sz w:val="36"/>
          <w:szCs w:val="36"/>
          <w:rtl/>
          <w:lang w:val="en-GB"/>
        </w:rPr>
        <w:t xml:space="preserve"> عدم الارتكاز</w:t>
      </w:r>
      <w:r w:rsidR="00A24412" w:rsidRPr="00FD211F">
        <w:rPr>
          <w:sz w:val="36"/>
          <w:szCs w:val="36"/>
          <w:rtl/>
          <w:lang w:val="en-GB"/>
        </w:rPr>
        <w:t xml:space="preserve"> </w:t>
      </w:r>
      <w:r w:rsidR="00A13468" w:rsidRPr="00FD211F">
        <w:rPr>
          <w:sz w:val="36"/>
          <w:szCs w:val="36"/>
          <w:rtl/>
          <w:lang w:val="en-GB"/>
        </w:rPr>
        <w:t>العرفي</w:t>
      </w:r>
      <w:r w:rsidR="00603323" w:rsidRPr="00FD211F">
        <w:rPr>
          <w:sz w:val="36"/>
          <w:szCs w:val="36"/>
          <w:rtl/>
          <w:lang w:val="en-GB"/>
        </w:rPr>
        <w:t xml:space="preserve">، </w:t>
      </w:r>
      <w:r w:rsidRPr="00FD211F">
        <w:rPr>
          <w:sz w:val="36"/>
          <w:szCs w:val="36"/>
          <w:rtl/>
          <w:lang w:val="en-GB"/>
        </w:rPr>
        <w:t>والا</w:t>
      </w:r>
      <w:r w:rsidR="00E177CD" w:rsidRPr="00FD211F">
        <w:rPr>
          <w:sz w:val="36"/>
          <w:szCs w:val="36"/>
          <w:rtl/>
          <w:lang w:val="en-GB"/>
        </w:rPr>
        <w:t xml:space="preserve"> </w:t>
      </w:r>
      <w:r w:rsidRPr="00FD211F">
        <w:rPr>
          <w:sz w:val="36"/>
          <w:szCs w:val="36"/>
          <w:rtl/>
          <w:lang w:val="en-GB"/>
        </w:rPr>
        <w:t>لم يختف على العرف نفسه</w:t>
      </w:r>
      <w:r w:rsidR="00603323" w:rsidRPr="00FD211F">
        <w:rPr>
          <w:sz w:val="36"/>
          <w:szCs w:val="36"/>
          <w:rtl/>
          <w:lang w:val="en-GB"/>
        </w:rPr>
        <w:t xml:space="preserve">، </w:t>
      </w:r>
      <w:r w:rsidR="00A13468" w:rsidRPr="00FD211F">
        <w:rPr>
          <w:sz w:val="36"/>
          <w:szCs w:val="36"/>
          <w:rtl/>
          <w:lang w:val="en-GB"/>
        </w:rPr>
        <w:t xml:space="preserve">ولاأقل من </w:t>
      </w:r>
      <w:r w:rsidRPr="00FD211F">
        <w:rPr>
          <w:sz w:val="36"/>
          <w:szCs w:val="36"/>
          <w:rtl/>
          <w:lang w:val="en-GB"/>
        </w:rPr>
        <w:t xml:space="preserve">أنه </w:t>
      </w:r>
      <w:r w:rsidR="008F5B64" w:rsidRPr="00FD211F">
        <w:rPr>
          <w:sz w:val="36"/>
          <w:szCs w:val="36"/>
          <w:rtl/>
          <w:lang w:val="en-GB"/>
        </w:rPr>
        <w:t>يكشف عن ضعف هذا الارتكاز</w:t>
      </w:r>
      <w:r w:rsidR="00A13468" w:rsidRPr="00FD211F">
        <w:rPr>
          <w:sz w:val="36"/>
          <w:szCs w:val="36"/>
          <w:rtl/>
          <w:lang w:val="en-GB"/>
        </w:rPr>
        <w:t xml:space="preserve"> وعدم كونه</w:t>
      </w:r>
      <w:r w:rsidR="008F5B64" w:rsidRPr="00FD211F">
        <w:rPr>
          <w:sz w:val="36"/>
          <w:szCs w:val="36"/>
          <w:rtl/>
          <w:lang w:val="en-GB"/>
        </w:rPr>
        <w:t xml:space="preserve"> بمثاب</w:t>
      </w:r>
      <w:r w:rsidR="00EC7EDF" w:rsidRPr="00FD211F">
        <w:rPr>
          <w:sz w:val="36"/>
          <w:szCs w:val="36"/>
          <w:rtl/>
          <w:lang w:val="en-GB"/>
        </w:rPr>
        <w:t xml:space="preserve">ة </w:t>
      </w:r>
      <w:r w:rsidR="008F5B64" w:rsidRPr="00FD211F">
        <w:rPr>
          <w:sz w:val="36"/>
          <w:szCs w:val="36"/>
          <w:rtl/>
          <w:lang w:val="en-GB"/>
        </w:rPr>
        <w:t>قرين</w:t>
      </w:r>
      <w:r w:rsidR="00EC7EDF" w:rsidRPr="00FD211F">
        <w:rPr>
          <w:sz w:val="36"/>
          <w:szCs w:val="36"/>
          <w:rtl/>
          <w:lang w:val="en-GB"/>
        </w:rPr>
        <w:t xml:space="preserve">ة </w:t>
      </w:r>
      <w:r w:rsidR="008F5B64" w:rsidRPr="00FD211F">
        <w:rPr>
          <w:sz w:val="36"/>
          <w:szCs w:val="36"/>
          <w:rtl/>
          <w:lang w:val="en-GB"/>
        </w:rPr>
        <w:t>لبي</w:t>
      </w:r>
      <w:r w:rsidR="00EC7EDF" w:rsidRPr="00FD211F">
        <w:rPr>
          <w:sz w:val="36"/>
          <w:szCs w:val="36"/>
          <w:rtl/>
          <w:lang w:val="en-GB"/>
        </w:rPr>
        <w:t xml:space="preserve">ة </w:t>
      </w:r>
      <w:r w:rsidR="00391156" w:rsidRPr="00FD211F">
        <w:rPr>
          <w:sz w:val="36"/>
          <w:szCs w:val="36"/>
          <w:rtl/>
          <w:lang w:val="en-GB"/>
        </w:rPr>
        <w:t>متصل</w:t>
      </w:r>
      <w:r w:rsidR="00EC7EDF" w:rsidRPr="00FD211F">
        <w:rPr>
          <w:sz w:val="36"/>
          <w:szCs w:val="36"/>
          <w:rtl/>
          <w:lang w:val="en-GB"/>
        </w:rPr>
        <w:t xml:space="preserve">ة </w:t>
      </w:r>
      <w:r w:rsidR="00391156" w:rsidRPr="00FD211F">
        <w:rPr>
          <w:sz w:val="36"/>
          <w:szCs w:val="36"/>
          <w:rtl/>
          <w:lang w:val="en-GB"/>
        </w:rPr>
        <w:t>مانع</w:t>
      </w:r>
      <w:r w:rsidR="00EC7EDF" w:rsidRPr="00FD211F">
        <w:rPr>
          <w:sz w:val="36"/>
          <w:szCs w:val="36"/>
          <w:rtl/>
          <w:lang w:val="en-GB"/>
        </w:rPr>
        <w:t xml:space="preserve">ة </w:t>
      </w:r>
      <w:r w:rsidR="00391156" w:rsidRPr="00FD211F">
        <w:rPr>
          <w:sz w:val="36"/>
          <w:szCs w:val="36"/>
          <w:rtl/>
          <w:lang w:val="en-GB"/>
        </w:rPr>
        <w:t>عن انعقاد الظهور</w:t>
      </w:r>
      <w:r w:rsidR="00EC7EDF" w:rsidRPr="00FD211F">
        <w:rPr>
          <w:sz w:val="36"/>
          <w:szCs w:val="36"/>
          <w:rtl/>
          <w:lang w:val="en-GB"/>
        </w:rPr>
        <w:t>.</w:t>
      </w:r>
    </w:p>
    <w:p w14:paraId="1CE226DF" w14:textId="77777777" w:rsidR="00052BF2" w:rsidRPr="00FD211F" w:rsidRDefault="008F5B64" w:rsidP="009C58C8">
      <w:pPr>
        <w:ind w:left="0" w:firstLine="227"/>
        <w:jc w:val="both"/>
        <w:rPr>
          <w:sz w:val="36"/>
          <w:szCs w:val="36"/>
          <w:rtl/>
          <w:lang w:val="en-GB"/>
        </w:rPr>
      </w:pPr>
      <w:r w:rsidRPr="00FD211F">
        <w:rPr>
          <w:sz w:val="36"/>
          <w:szCs w:val="36"/>
          <w:rtl/>
          <w:lang w:val="en-GB"/>
        </w:rPr>
        <w:t>نعم قد يشك في وجود ارتكاز مخالف عقلائي اومتشرعي في زمان صدور الخطاب مع الجزم بعدمه فعلا فهل يكون ذلك بحكم الشك في القرين</w:t>
      </w:r>
      <w:r w:rsidR="00EC7EDF" w:rsidRPr="00FD211F">
        <w:rPr>
          <w:sz w:val="36"/>
          <w:szCs w:val="36"/>
          <w:rtl/>
          <w:lang w:val="en-GB"/>
        </w:rPr>
        <w:t xml:space="preserve">ة </w:t>
      </w:r>
      <w:r w:rsidRPr="00FD211F">
        <w:rPr>
          <w:sz w:val="36"/>
          <w:szCs w:val="36"/>
          <w:rtl/>
          <w:lang w:val="en-GB"/>
        </w:rPr>
        <w:t>اللبي</w:t>
      </w:r>
      <w:r w:rsidR="00EC7EDF" w:rsidRPr="00FD211F">
        <w:rPr>
          <w:sz w:val="36"/>
          <w:szCs w:val="36"/>
          <w:rtl/>
          <w:lang w:val="en-GB"/>
        </w:rPr>
        <w:t xml:space="preserve">ة </w:t>
      </w:r>
      <w:r w:rsidRPr="00FD211F">
        <w:rPr>
          <w:sz w:val="36"/>
          <w:szCs w:val="36"/>
          <w:rtl/>
          <w:lang w:val="en-GB"/>
        </w:rPr>
        <w:t>المتصل</w:t>
      </w:r>
      <w:r w:rsidR="00EC7EDF" w:rsidRPr="00FD211F">
        <w:rPr>
          <w:sz w:val="36"/>
          <w:szCs w:val="36"/>
          <w:rtl/>
          <w:lang w:val="en-GB"/>
        </w:rPr>
        <w:t xml:space="preserve">ة </w:t>
      </w:r>
      <w:r w:rsidRPr="00FD211F">
        <w:rPr>
          <w:sz w:val="36"/>
          <w:szCs w:val="36"/>
          <w:rtl/>
          <w:lang w:val="en-GB"/>
        </w:rPr>
        <w:t xml:space="preserve">فتمنع عن الاستناد الى الخطاب او يقال </w:t>
      </w:r>
      <w:r w:rsidR="00391156" w:rsidRPr="00FD211F">
        <w:rPr>
          <w:sz w:val="36"/>
          <w:szCs w:val="36"/>
          <w:rtl/>
          <w:lang w:val="en-GB"/>
        </w:rPr>
        <w:t>–كماهو مختار السيد الصدر "قده"</w:t>
      </w:r>
      <w:r w:rsidRPr="00FD211F">
        <w:rPr>
          <w:sz w:val="36"/>
          <w:szCs w:val="36"/>
          <w:rtl/>
          <w:lang w:val="en-GB"/>
        </w:rPr>
        <w:t>ب</w:t>
      </w:r>
      <w:r w:rsidR="00391156" w:rsidRPr="00FD211F">
        <w:rPr>
          <w:sz w:val="36"/>
          <w:szCs w:val="36"/>
          <w:rtl/>
          <w:lang w:val="en-GB"/>
        </w:rPr>
        <w:t>انه تجري</w:t>
      </w:r>
      <w:r w:rsidRPr="00FD211F">
        <w:rPr>
          <w:sz w:val="36"/>
          <w:szCs w:val="36"/>
          <w:rtl/>
          <w:lang w:val="en-GB"/>
        </w:rPr>
        <w:t xml:space="preserve"> اصال</w:t>
      </w:r>
      <w:r w:rsidR="00EC7EDF" w:rsidRPr="00FD211F">
        <w:rPr>
          <w:sz w:val="36"/>
          <w:szCs w:val="36"/>
          <w:rtl/>
          <w:lang w:val="en-GB"/>
        </w:rPr>
        <w:t xml:space="preserve">ة </w:t>
      </w:r>
      <w:r w:rsidRPr="00FD211F">
        <w:rPr>
          <w:sz w:val="36"/>
          <w:szCs w:val="36"/>
          <w:rtl/>
          <w:lang w:val="en-GB"/>
        </w:rPr>
        <w:t xml:space="preserve">الثبات بين العقلاء فيما اذااحرز ظهور الخطاب فعلا وشك في استمرار هذاالظهور الى زمان صدور الخطاب ولو كان منشأه هو احتمال تبدل الارتكاز </w:t>
      </w:r>
      <w:r w:rsidR="00391156" w:rsidRPr="00FD211F">
        <w:rPr>
          <w:sz w:val="36"/>
          <w:szCs w:val="36"/>
          <w:rtl/>
          <w:lang w:val="en-GB"/>
        </w:rPr>
        <w:t>في مورد الخطاب</w:t>
      </w:r>
      <w:r w:rsidR="00603323" w:rsidRPr="00FD211F">
        <w:rPr>
          <w:sz w:val="36"/>
          <w:szCs w:val="36"/>
          <w:rtl/>
          <w:lang w:val="en-GB"/>
        </w:rPr>
        <w:t>،</w:t>
      </w:r>
      <w:r w:rsidR="00C17D0B" w:rsidRPr="00FD211F">
        <w:rPr>
          <w:rStyle w:val="a6"/>
          <w:sz w:val="36"/>
          <w:szCs w:val="36"/>
          <w:rtl/>
          <w:lang w:val="en-GB"/>
        </w:rPr>
        <w:t>(</w:t>
      </w:r>
      <w:r w:rsidR="00C17D0B" w:rsidRPr="00FD211F">
        <w:rPr>
          <w:rStyle w:val="a6"/>
          <w:sz w:val="36"/>
          <w:szCs w:val="36"/>
          <w:rtl/>
          <w:lang w:val="en-GB"/>
        </w:rPr>
        <w:footnoteReference w:id="444"/>
      </w:r>
      <w:r w:rsidR="00C17D0B" w:rsidRPr="00FD211F">
        <w:rPr>
          <w:rStyle w:val="a6"/>
          <w:sz w:val="36"/>
          <w:szCs w:val="36"/>
          <w:rtl/>
          <w:lang w:val="en-GB"/>
        </w:rPr>
        <w:t>)</w:t>
      </w:r>
      <w:r w:rsidR="00391156" w:rsidRPr="00FD211F">
        <w:rPr>
          <w:sz w:val="36"/>
          <w:szCs w:val="36"/>
          <w:rtl/>
          <w:lang w:val="en-GB"/>
        </w:rPr>
        <w:t xml:space="preserve"> والكلام عنه موكول الى محله. </w:t>
      </w:r>
    </w:p>
    <w:p w14:paraId="2AF9F375" w14:textId="77777777" w:rsidR="00052BF2" w:rsidRPr="00FD211F" w:rsidRDefault="00391156" w:rsidP="009C58C8">
      <w:pPr>
        <w:ind w:left="0" w:firstLine="227"/>
        <w:jc w:val="both"/>
        <w:rPr>
          <w:sz w:val="36"/>
          <w:szCs w:val="36"/>
          <w:rtl/>
        </w:rPr>
      </w:pPr>
      <w:r w:rsidRPr="00FD211F">
        <w:rPr>
          <w:sz w:val="36"/>
          <w:szCs w:val="36"/>
          <w:rtl/>
        </w:rPr>
        <w:t>ثم انه قديقال بانه بناء على كون اسماء المعاملات</w:t>
      </w:r>
      <w:r w:rsidR="00052BF2" w:rsidRPr="00FD211F">
        <w:rPr>
          <w:sz w:val="36"/>
          <w:szCs w:val="36"/>
          <w:rtl/>
        </w:rPr>
        <w:t xml:space="preserve"> موضوع</w:t>
      </w:r>
      <w:r w:rsidR="00EC7EDF" w:rsidRPr="00FD211F">
        <w:rPr>
          <w:sz w:val="36"/>
          <w:szCs w:val="36"/>
          <w:rtl/>
        </w:rPr>
        <w:t xml:space="preserve">ة </w:t>
      </w:r>
      <w:r w:rsidR="00052BF2" w:rsidRPr="00FD211F">
        <w:rPr>
          <w:sz w:val="36"/>
          <w:szCs w:val="36"/>
          <w:rtl/>
        </w:rPr>
        <w:t>للصحيح الشرعي فيمكن أيضا التمسك بخطاب الإمضاء بطريقين:</w:t>
      </w:r>
    </w:p>
    <w:p w14:paraId="51FD9D0E" w14:textId="77777777" w:rsidR="00052BF2" w:rsidRPr="00FD211F" w:rsidRDefault="00052BF2" w:rsidP="009C58C8">
      <w:pPr>
        <w:ind w:left="0" w:firstLine="227"/>
        <w:jc w:val="both"/>
        <w:rPr>
          <w:sz w:val="36"/>
          <w:szCs w:val="36"/>
          <w:rtl/>
          <w:lang w:val="en-GB"/>
        </w:rPr>
      </w:pPr>
      <w:r w:rsidRPr="00FD211F">
        <w:rPr>
          <w:sz w:val="36"/>
          <w:szCs w:val="36"/>
          <w:rtl/>
        </w:rPr>
        <w:t>1- حيث انه يصير دليل الإمضاء مجملا فيلغو بيانه فيمكن التمسك بدلال</w:t>
      </w:r>
      <w:r w:rsidR="00EC7EDF" w:rsidRPr="00FD211F">
        <w:rPr>
          <w:sz w:val="36"/>
          <w:szCs w:val="36"/>
          <w:rtl/>
        </w:rPr>
        <w:t xml:space="preserve">ة </w:t>
      </w:r>
      <w:r w:rsidRPr="00FD211F">
        <w:rPr>
          <w:sz w:val="36"/>
          <w:szCs w:val="36"/>
          <w:rtl/>
        </w:rPr>
        <w:t>الاقتضاء لنفي احتمال اعتبار القيد المشكوك صونا لكلام الحكيم عن اللغوي</w:t>
      </w:r>
      <w:r w:rsidR="00EC7EDF" w:rsidRPr="00FD211F">
        <w:rPr>
          <w:sz w:val="36"/>
          <w:szCs w:val="36"/>
          <w:rtl/>
        </w:rPr>
        <w:t>ة</w:t>
      </w:r>
      <w:r w:rsidR="00A61BAE" w:rsidRPr="00FD211F">
        <w:rPr>
          <w:sz w:val="36"/>
          <w:szCs w:val="36"/>
          <w:rtl/>
        </w:rPr>
        <w:t>.</w:t>
      </w:r>
    </w:p>
    <w:p w14:paraId="097EFBDB" w14:textId="77777777" w:rsidR="00052BF2" w:rsidRPr="00FD211F" w:rsidRDefault="00052BF2" w:rsidP="009C58C8">
      <w:pPr>
        <w:ind w:left="0" w:firstLine="227"/>
        <w:jc w:val="both"/>
        <w:rPr>
          <w:sz w:val="36"/>
          <w:szCs w:val="36"/>
          <w:rtl/>
        </w:rPr>
      </w:pPr>
      <w:r w:rsidRPr="00FD211F">
        <w:rPr>
          <w:sz w:val="36"/>
          <w:szCs w:val="36"/>
          <w:rtl/>
        </w:rPr>
        <w:t>2- انه يمكن التمسك بالاطلاق المقامي لدليل الامضاء</w:t>
      </w:r>
      <w:r w:rsidR="00603323" w:rsidRPr="00FD211F">
        <w:rPr>
          <w:sz w:val="36"/>
          <w:szCs w:val="36"/>
          <w:rtl/>
        </w:rPr>
        <w:t xml:space="preserve">، </w:t>
      </w:r>
      <w:r w:rsidRPr="00FD211F">
        <w:rPr>
          <w:sz w:val="36"/>
          <w:szCs w:val="36"/>
          <w:rtl/>
        </w:rPr>
        <w:t>حيث ان ظاهر حال الشارع في خطابه الوارد في مورد امضاء السير</w:t>
      </w:r>
      <w:r w:rsidR="00EC7EDF" w:rsidRPr="00FD211F">
        <w:rPr>
          <w:sz w:val="36"/>
          <w:szCs w:val="36"/>
          <w:rtl/>
        </w:rPr>
        <w:t xml:space="preserve">ة </w:t>
      </w:r>
      <w:r w:rsidRPr="00FD211F">
        <w:rPr>
          <w:sz w:val="36"/>
          <w:szCs w:val="36"/>
          <w:rtl/>
        </w:rPr>
        <w:t>هو الاحال</w:t>
      </w:r>
      <w:r w:rsidR="00EC7EDF" w:rsidRPr="00FD211F">
        <w:rPr>
          <w:sz w:val="36"/>
          <w:szCs w:val="36"/>
          <w:rtl/>
        </w:rPr>
        <w:t xml:space="preserve">ة </w:t>
      </w:r>
      <w:r w:rsidRPr="00FD211F">
        <w:rPr>
          <w:sz w:val="36"/>
          <w:szCs w:val="36"/>
          <w:rtl/>
        </w:rPr>
        <w:t>الى العقلاء فيما سكت عنه.</w:t>
      </w:r>
    </w:p>
    <w:p w14:paraId="6790A4E6" w14:textId="77777777" w:rsidR="000C5BBA" w:rsidRPr="00FD211F" w:rsidRDefault="00052BF2" w:rsidP="009C58C8">
      <w:pPr>
        <w:ind w:left="0" w:firstLine="227"/>
        <w:jc w:val="both"/>
        <w:rPr>
          <w:sz w:val="36"/>
          <w:szCs w:val="36"/>
          <w:rtl/>
          <w:lang w:val="en-GB"/>
        </w:rPr>
      </w:pPr>
      <w:r w:rsidRPr="00FD211F">
        <w:rPr>
          <w:sz w:val="36"/>
          <w:szCs w:val="36"/>
          <w:rtl/>
        </w:rPr>
        <w:t>واورد في البحوث على الوجه الأول بانه انما يتم دلال</w:t>
      </w:r>
      <w:r w:rsidR="00EC7EDF" w:rsidRPr="00FD211F">
        <w:rPr>
          <w:sz w:val="36"/>
          <w:szCs w:val="36"/>
          <w:rtl/>
        </w:rPr>
        <w:t xml:space="preserve">ة </w:t>
      </w:r>
      <w:r w:rsidRPr="00FD211F">
        <w:rPr>
          <w:sz w:val="36"/>
          <w:szCs w:val="36"/>
          <w:rtl/>
        </w:rPr>
        <w:t>الاقتضاء فيما اذا</w:t>
      </w:r>
      <w:r w:rsidR="008D7B3D" w:rsidRPr="00FD211F">
        <w:rPr>
          <w:sz w:val="36"/>
          <w:szCs w:val="36"/>
          <w:rtl/>
        </w:rPr>
        <w:t xml:space="preserve"> لم‌</w:t>
      </w:r>
      <w:r w:rsidRPr="00FD211F">
        <w:rPr>
          <w:sz w:val="36"/>
          <w:szCs w:val="36"/>
          <w:rtl/>
        </w:rPr>
        <w:t>يكن في البين قدر متيقن يشمله دليل الامضاء</w:t>
      </w:r>
      <w:r w:rsidR="00391156" w:rsidRPr="00FD211F">
        <w:rPr>
          <w:sz w:val="36"/>
          <w:szCs w:val="36"/>
          <w:rtl/>
          <w:lang w:val="en-GB"/>
        </w:rPr>
        <w:t>.</w:t>
      </w:r>
    </w:p>
    <w:p w14:paraId="3312E911" w14:textId="77777777" w:rsidR="00052BF2" w:rsidRPr="00FD211F" w:rsidRDefault="00052BF2" w:rsidP="009C58C8">
      <w:pPr>
        <w:ind w:left="0" w:firstLine="227"/>
        <w:jc w:val="both"/>
        <w:rPr>
          <w:sz w:val="36"/>
          <w:szCs w:val="36"/>
          <w:rtl/>
          <w:lang w:val="en-GB"/>
        </w:rPr>
      </w:pPr>
      <w:r w:rsidRPr="00FD211F">
        <w:rPr>
          <w:sz w:val="36"/>
          <w:szCs w:val="36"/>
          <w:rtl/>
          <w:lang w:val="en-GB"/>
        </w:rPr>
        <w:t>واورد على الوجه الثاني بانه موقوف على احراز كون المولى متصديا لبيان تمام مراده بشخص هذا الخطاب</w:t>
      </w:r>
      <w:r w:rsidR="00603323" w:rsidRPr="00FD211F">
        <w:rPr>
          <w:sz w:val="36"/>
          <w:szCs w:val="36"/>
          <w:rtl/>
          <w:lang w:val="en-GB"/>
        </w:rPr>
        <w:t xml:space="preserve">، </w:t>
      </w:r>
      <w:r w:rsidRPr="00FD211F">
        <w:rPr>
          <w:sz w:val="36"/>
          <w:szCs w:val="36"/>
          <w:rtl/>
          <w:lang w:val="en-GB"/>
        </w:rPr>
        <w:t>ولكنه لايمكن احراز ذلك</w:t>
      </w:r>
      <w:r w:rsidR="00603323" w:rsidRPr="00FD211F">
        <w:rPr>
          <w:sz w:val="36"/>
          <w:szCs w:val="36"/>
          <w:rtl/>
          <w:lang w:val="en-GB"/>
        </w:rPr>
        <w:t xml:space="preserve">، </w:t>
      </w:r>
      <w:r w:rsidRPr="00FD211F">
        <w:rPr>
          <w:sz w:val="36"/>
          <w:szCs w:val="36"/>
          <w:rtl/>
          <w:lang w:val="en-GB"/>
        </w:rPr>
        <w:t>اذ يحتمل كون الشارع في مقام بيان تمام مراده بمجموع خطاباته</w:t>
      </w:r>
      <w:r w:rsidR="009C58C8" w:rsidRPr="00FD211F">
        <w:rPr>
          <w:rStyle w:val="a6"/>
          <w:sz w:val="36"/>
          <w:szCs w:val="36"/>
          <w:rtl/>
          <w:lang w:val="en-GB"/>
        </w:rPr>
        <w:t>(</w:t>
      </w:r>
      <w:r w:rsidR="009C58C8" w:rsidRPr="00FD211F">
        <w:rPr>
          <w:rStyle w:val="a6"/>
          <w:sz w:val="36"/>
          <w:szCs w:val="36"/>
          <w:rtl/>
          <w:lang w:val="en-GB"/>
        </w:rPr>
        <w:footnoteReference w:id="445"/>
      </w:r>
      <w:r w:rsidR="009C58C8" w:rsidRPr="00FD211F">
        <w:rPr>
          <w:rStyle w:val="a6"/>
          <w:sz w:val="36"/>
          <w:szCs w:val="36"/>
          <w:rtl/>
          <w:lang w:val="en-GB"/>
        </w:rPr>
        <w:t>)</w:t>
      </w:r>
      <w:r w:rsidRPr="00FD211F">
        <w:rPr>
          <w:sz w:val="36"/>
          <w:szCs w:val="36"/>
          <w:rtl/>
          <w:lang w:val="en-GB"/>
        </w:rPr>
        <w:t>.</w:t>
      </w:r>
    </w:p>
    <w:p w14:paraId="7783FF06" w14:textId="77777777" w:rsidR="00052BF2" w:rsidRPr="00FD211F" w:rsidRDefault="00052BF2" w:rsidP="009C58C8">
      <w:pPr>
        <w:ind w:left="0" w:firstLine="227"/>
        <w:jc w:val="both"/>
        <w:rPr>
          <w:sz w:val="36"/>
          <w:szCs w:val="36"/>
          <w:rtl/>
        </w:rPr>
      </w:pPr>
      <w:r w:rsidRPr="00FD211F">
        <w:rPr>
          <w:sz w:val="36"/>
          <w:szCs w:val="36"/>
          <w:rtl/>
          <w:lang w:val="en-GB"/>
        </w:rPr>
        <w:t>اقول: إن القائل بوضع اسماء المعاملات للصحيح ان بنى على وضعها للصحيح الشرعي وصيرورتها بذلك مشترك</w:t>
      </w:r>
      <w:r w:rsidR="00EC7EDF" w:rsidRPr="00FD211F">
        <w:rPr>
          <w:sz w:val="36"/>
          <w:szCs w:val="36"/>
          <w:rtl/>
          <w:lang w:val="en-GB"/>
        </w:rPr>
        <w:t xml:space="preserve">ة </w:t>
      </w:r>
      <w:r w:rsidRPr="00FD211F">
        <w:rPr>
          <w:sz w:val="36"/>
          <w:szCs w:val="36"/>
          <w:rtl/>
          <w:lang w:val="en-GB"/>
        </w:rPr>
        <w:t>لفظي</w:t>
      </w:r>
      <w:r w:rsidR="00EC7EDF" w:rsidRPr="00FD211F">
        <w:rPr>
          <w:sz w:val="36"/>
          <w:szCs w:val="36"/>
          <w:rtl/>
          <w:lang w:val="en-GB"/>
        </w:rPr>
        <w:t xml:space="preserve">ة </w:t>
      </w:r>
      <w:r w:rsidRPr="00FD211F">
        <w:rPr>
          <w:sz w:val="36"/>
          <w:szCs w:val="36"/>
          <w:rtl/>
        </w:rPr>
        <w:t>بينه وبين الصحيح العرفي فيتمّ حينئذ ما اورده في البحوث</w:t>
      </w:r>
      <w:r w:rsidR="00603323" w:rsidRPr="00FD211F">
        <w:rPr>
          <w:sz w:val="36"/>
          <w:szCs w:val="36"/>
          <w:rtl/>
        </w:rPr>
        <w:t xml:space="preserve">، </w:t>
      </w:r>
      <w:r w:rsidRPr="00FD211F">
        <w:rPr>
          <w:sz w:val="36"/>
          <w:szCs w:val="36"/>
          <w:rtl/>
        </w:rPr>
        <w:t>ولكن بناء على مسلك صاحب الكفاي</w:t>
      </w:r>
      <w:r w:rsidR="00EC7EDF" w:rsidRPr="00FD211F">
        <w:rPr>
          <w:sz w:val="36"/>
          <w:szCs w:val="36"/>
          <w:rtl/>
        </w:rPr>
        <w:t xml:space="preserve">ة </w:t>
      </w:r>
      <w:r w:rsidRPr="00FD211F">
        <w:rPr>
          <w:sz w:val="36"/>
          <w:szCs w:val="36"/>
          <w:rtl/>
        </w:rPr>
        <w:t>من ان الموضوع له عرفا وشرعا للفظ البيع مثلا هو العقد المؤثر لأثر الملكي</w:t>
      </w:r>
      <w:r w:rsidR="00EC7EDF" w:rsidRPr="00FD211F">
        <w:rPr>
          <w:sz w:val="36"/>
          <w:szCs w:val="36"/>
          <w:rtl/>
        </w:rPr>
        <w:t xml:space="preserve">ة </w:t>
      </w:r>
      <w:r w:rsidR="002642AB" w:rsidRPr="00FD211F">
        <w:rPr>
          <w:sz w:val="36"/>
          <w:szCs w:val="36"/>
          <w:rtl/>
        </w:rPr>
        <w:t xml:space="preserve">واقعا </w:t>
      </w:r>
      <w:r w:rsidRPr="00FD211F">
        <w:rPr>
          <w:sz w:val="36"/>
          <w:szCs w:val="36"/>
          <w:rtl/>
        </w:rPr>
        <w:t>ويكون اختلاف العرف والشرع في المصاديق</w:t>
      </w:r>
      <w:r w:rsidR="00603323" w:rsidRPr="00FD211F">
        <w:rPr>
          <w:sz w:val="36"/>
          <w:szCs w:val="36"/>
          <w:rtl/>
        </w:rPr>
        <w:t xml:space="preserve">، </w:t>
      </w:r>
      <w:r w:rsidR="002642AB" w:rsidRPr="00FD211F">
        <w:rPr>
          <w:sz w:val="36"/>
          <w:szCs w:val="36"/>
          <w:rtl/>
        </w:rPr>
        <w:t xml:space="preserve">(فيرى </w:t>
      </w:r>
      <w:r w:rsidRPr="00FD211F">
        <w:rPr>
          <w:sz w:val="36"/>
          <w:szCs w:val="36"/>
          <w:rtl/>
        </w:rPr>
        <w:t>العرف البيع الربوي مثلا مصداقا للعقد المؤثر لأثر الملكي</w:t>
      </w:r>
      <w:r w:rsidR="00EC7EDF" w:rsidRPr="00FD211F">
        <w:rPr>
          <w:sz w:val="36"/>
          <w:szCs w:val="36"/>
          <w:rtl/>
        </w:rPr>
        <w:t>ة</w:t>
      </w:r>
      <w:r w:rsidR="00603323" w:rsidRPr="00FD211F">
        <w:rPr>
          <w:sz w:val="36"/>
          <w:szCs w:val="36"/>
          <w:rtl/>
        </w:rPr>
        <w:t xml:space="preserve">، </w:t>
      </w:r>
      <w:r w:rsidRPr="00FD211F">
        <w:rPr>
          <w:sz w:val="36"/>
          <w:szCs w:val="36"/>
          <w:rtl/>
        </w:rPr>
        <w:t>ولكن الشارع يخطِّئ العرف في ذلك فلاير</w:t>
      </w:r>
      <w:r w:rsidR="002642AB" w:rsidRPr="00FD211F">
        <w:rPr>
          <w:sz w:val="36"/>
          <w:szCs w:val="36"/>
          <w:rtl/>
        </w:rPr>
        <w:t>ا</w:t>
      </w:r>
      <w:r w:rsidRPr="00FD211F">
        <w:rPr>
          <w:sz w:val="36"/>
          <w:szCs w:val="36"/>
          <w:rtl/>
        </w:rPr>
        <w:t>ه مصداقا له</w:t>
      </w:r>
      <w:r w:rsidR="002642AB" w:rsidRPr="00FD211F">
        <w:rPr>
          <w:sz w:val="36"/>
          <w:szCs w:val="36"/>
          <w:rtl/>
        </w:rPr>
        <w:t>)</w:t>
      </w:r>
      <w:r w:rsidRPr="00FD211F">
        <w:rPr>
          <w:sz w:val="36"/>
          <w:szCs w:val="36"/>
          <w:rtl/>
        </w:rPr>
        <w:t xml:space="preserve"> فلايبعد حينئذ دعوى انعقاد اطلاق مقامي في خطاب الشارع في تفويض امر التطبيق الى العرف</w:t>
      </w:r>
      <w:r w:rsidR="00603323" w:rsidRPr="00FD211F">
        <w:rPr>
          <w:sz w:val="36"/>
          <w:szCs w:val="36"/>
          <w:rtl/>
        </w:rPr>
        <w:t xml:space="preserve">، </w:t>
      </w:r>
      <w:r w:rsidRPr="00FD211F">
        <w:rPr>
          <w:sz w:val="36"/>
          <w:szCs w:val="36"/>
          <w:rtl/>
        </w:rPr>
        <w:t>نظير ما يقال في آي</w:t>
      </w:r>
      <w:r w:rsidR="00EC7EDF" w:rsidRPr="00FD211F">
        <w:rPr>
          <w:sz w:val="36"/>
          <w:szCs w:val="36"/>
          <w:rtl/>
        </w:rPr>
        <w:t xml:space="preserve">ة </w:t>
      </w:r>
      <w:r w:rsidRPr="00FD211F">
        <w:rPr>
          <w:sz w:val="36"/>
          <w:szCs w:val="36"/>
          <w:rtl/>
        </w:rPr>
        <w:t>النهي عن اكل المال بالباطل</w:t>
      </w:r>
      <w:r w:rsidR="00603323" w:rsidRPr="00FD211F">
        <w:rPr>
          <w:sz w:val="36"/>
          <w:szCs w:val="36"/>
          <w:rtl/>
        </w:rPr>
        <w:t xml:space="preserve">، </w:t>
      </w:r>
      <w:r w:rsidRPr="00FD211F">
        <w:rPr>
          <w:sz w:val="36"/>
          <w:szCs w:val="36"/>
          <w:rtl/>
        </w:rPr>
        <w:t>فانه وان كان قد يختلف العرف والشرع في مصداقه كما في رجوع مشتري الحيوان</w:t>
      </w:r>
      <w:r w:rsidR="00A13468" w:rsidRPr="00FD211F">
        <w:rPr>
          <w:sz w:val="36"/>
          <w:szCs w:val="36"/>
          <w:rtl/>
        </w:rPr>
        <w:t xml:space="preserve"> الى البايع واسترجاعه الثمن</w:t>
      </w:r>
      <w:r w:rsidRPr="00FD211F">
        <w:rPr>
          <w:sz w:val="36"/>
          <w:szCs w:val="36"/>
          <w:rtl/>
        </w:rPr>
        <w:t xml:space="preserve"> فيما اذا تلف </w:t>
      </w:r>
      <w:r w:rsidR="00A13468" w:rsidRPr="00FD211F">
        <w:rPr>
          <w:sz w:val="36"/>
          <w:szCs w:val="36"/>
          <w:rtl/>
        </w:rPr>
        <w:t xml:space="preserve">الحيوان </w:t>
      </w:r>
      <w:r w:rsidRPr="00FD211F">
        <w:rPr>
          <w:sz w:val="36"/>
          <w:szCs w:val="36"/>
          <w:rtl/>
        </w:rPr>
        <w:t>خلال ثلاث</w:t>
      </w:r>
      <w:r w:rsidR="00EC7EDF" w:rsidRPr="00FD211F">
        <w:rPr>
          <w:sz w:val="36"/>
          <w:szCs w:val="36"/>
          <w:rtl/>
        </w:rPr>
        <w:t xml:space="preserve">ة </w:t>
      </w:r>
      <w:r w:rsidRPr="00FD211F">
        <w:rPr>
          <w:sz w:val="36"/>
          <w:szCs w:val="36"/>
          <w:rtl/>
        </w:rPr>
        <w:t>ايام</w:t>
      </w:r>
      <w:r w:rsidR="00603323" w:rsidRPr="00FD211F">
        <w:rPr>
          <w:sz w:val="36"/>
          <w:szCs w:val="36"/>
          <w:rtl/>
        </w:rPr>
        <w:t xml:space="preserve">، </w:t>
      </w:r>
      <w:r w:rsidRPr="00FD211F">
        <w:rPr>
          <w:sz w:val="36"/>
          <w:szCs w:val="36"/>
          <w:rtl/>
        </w:rPr>
        <w:t>فان العرف يراه مصداقا لأكل مال الناس بالباطل</w:t>
      </w:r>
      <w:r w:rsidR="00603323" w:rsidRPr="00FD211F">
        <w:rPr>
          <w:sz w:val="36"/>
          <w:szCs w:val="36"/>
          <w:rtl/>
        </w:rPr>
        <w:t xml:space="preserve">، </w:t>
      </w:r>
      <w:r w:rsidRPr="00FD211F">
        <w:rPr>
          <w:sz w:val="36"/>
          <w:szCs w:val="36"/>
          <w:rtl/>
        </w:rPr>
        <w:t>لكنه بعد ترخيص الشارع لذلك فلايكون مصداقا لهذا العنوان</w:t>
      </w:r>
      <w:r w:rsidR="00603323" w:rsidRPr="00FD211F">
        <w:rPr>
          <w:sz w:val="36"/>
          <w:szCs w:val="36"/>
          <w:rtl/>
        </w:rPr>
        <w:t xml:space="preserve">، </w:t>
      </w:r>
      <w:r w:rsidRPr="00FD211F">
        <w:rPr>
          <w:sz w:val="36"/>
          <w:szCs w:val="36"/>
          <w:rtl/>
        </w:rPr>
        <w:t>لاانه يكون مصداقا له الا ان الشارع رخص فيه</w:t>
      </w:r>
      <w:r w:rsidR="00603323" w:rsidRPr="00FD211F">
        <w:rPr>
          <w:sz w:val="36"/>
          <w:szCs w:val="36"/>
          <w:rtl/>
        </w:rPr>
        <w:t xml:space="preserve">، </w:t>
      </w:r>
      <w:r w:rsidRPr="00FD211F">
        <w:rPr>
          <w:sz w:val="36"/>
          <w:szCs w:val="36"/>
          <w:rtl/>
        </w:rPr>
        <w:t>وحينئذ فحيث يكون القاء هذا الخطاب الى العرف مع عدم احال</w:t>
      </w:r>
      <w:r w:rsidR="00EC7EDF" w:rsidRPr="00FD211F">
        <w:rPr>
          <w:sz w:val="36"/>
          <w:szCs w:val="36"/>
          <w:rtl/>
        </w:rPr>
        <w:t xml:space="preserve">ة </w:t>
      </w:r>
      <w:r w:rsidRPr="00FD211F">
        <w:rPr>
          <w:sz w:val="36"/>
          <w:szCs w:val="36"/>
          <w:rtl/>
        </w:rPr>
        <w:t>تطبيقه اليه خلاف الظاهر في مثله</w:t>
      </w:r>
      <w:r w:rsidR="00603323" w:rsidRPr="00FD211F">
        <w:rPr>
          <w:sz w:val="36"/>
          <w:szCs w:val="36"/>
          <w:rtl/>
        </w:rPr>
        <w:t xml:space="preserve">، </w:t>
      </w:r>
      <w:r w:rsidRPr="00FD211F">
        <w:rPr>
          <w:sz w:val="36"/>
          <w:szCs w:val="36"/>
          <w:rtl/>
        </w:rPr>
        <w:t>حيث لايكون لتشخيص مصاديقه طريق آخر غير نظر العرف</w:t>
      </w:r>
      <w:r w:rsidR="00603323" w:rsidRPr="00FD211F">
        <w:rPr>
          <w:sz w:val="36"/>
          <w:szCs w:val="36"/>
          <w:rtl/>
        </w:rPr>
        <w:t xml:space="preserve">، </w:t>
      </w:r>
      <w:r w:rsidRPr="00FD211F">
        <w:rPr>
          <w:sz w:val="36"/>
          <w:szCs w:val="36"/>
          <w:rtl/>
        </w:rPr>
        <w:t>واما كون تطبيقه بيد الشارع نفسه فهذا يساوق لغوي</w:t>
      </w:r>
      <w:r w:rsidR="00EC7EDF" w:rsidRPr="00FD211F">
        <w:rPr>
          <w:sz w:val="36"/>
          <w:szCs w:val="36"/>
          <w:rtl/>
        </w:rPr>
        <w:t xml:space="preserve">ة </w:t>
      </w:r>
      <w:r w:rsidRPr="00FD211F">
        <w:rPr>
          <w:sz w:val="36"/>
          <w:szCs w:val="36"/>
          <w:rtl/>
        </w:rPr>
        <w:t>هذا الخطاب عرفا.</w:t>
      </w:r>
    </w:p>
    <w:p w14:paraId="1DDB7ED2" w14:textId="77777777" w:rsidR="004210F3" w:rsidRPr="00FD211F" w:rsidRDefault="00052BF2" w:rsidP="009C58C8">
      <w:pPr>
        <w:ind w:left="0" w:firstLine="227"/>
        <w:jc w:val="both"/>
        <w:rPr>
          <w:sz w:val="36"/>
          <w:szCs w:val="36"/>
          <w:rtl/>
        </w:rPr>
      </w:pPr>
      <w:r w:rsidRPr="00FD211F">
        <w:rPr>
          <w:sz w:val="36"/>
          <w:szCs w:val="36"/>
          <w:rtl/>
        </w:rPr>
        <w:t>نعم</w:t>
      </w:r>
      <w:r w:rsidR="002642AB" w:rsidRPr="00FD211F">
        <w:rPr>
          <w:sz w:val="36"/>
          <w:szCs w:val="36"/>
          <w:rtl/>
        </w:rPr>
        <w:t xml:space="preserve"> قد يناقش</w:t>
      </w:r>
      <w:r w:rsidR="00B253CE" w:rsidRPr="00FD211F">
        <w:rPr>
          <w:sz w:val="36"/>
          <w:szCs w:val="36"/>
          <w:rtl/>
        </w:rPr>
        <w:t xml:space="preserve"> </w:t>
      </w:r>
      <w:r w:rsidRPr="00FD211F">
        <w:rPr>
          <w:sz w:val="36"/>
          <w:szCs w:val="36"/>
          <w:rtl/>
        </w:rPr>
        <w:t>في مسلك صاحب الكفاي</w:t>
      </w:r>
      <w:r w:rsidR="00EC7EDF" w:rsidRPr="00FD211F">
        <w:rPr>
          <w:sz w:val="36"/>
          <w:szCs w:val="36"/>
          <w:rtl/>
        </w:rPr>
        <w:t xml:space="preserve">ة </w:t>
      </w:r>
      <w:r w:rsidR="002642AB" w:rsidRPr="00FD211F">
        <w:rPr>
          <w:sz w:val="36"/>
          <w:szCs w:val="36"/>
          <w:rtl/>
        </w:rPr>
        <w:t xml:space="preserve">بدعوى أنه لامعنى لكون </w:t>
      </w:r>
      <w:r w:rsidRPr="00FD211F">
        <w:rPr>
          <w:sz w:val="36"/>
          <w:szCs w:val="36"/>
          <w:rtl/>
        </w:rPr>
        <w:t xml:space="preserve">العقد </w:t>
      </w:r>
      <w:r w:rsidR="002642AB" w:rsidRPr="00FD211F">
        <w:rPr>
          <w:sz w:val="36"/>
          <w:szCs w:val="36"/>
          <w:rtl/>
        </w:rPr>
        <w:t xml:space="preserve">مؤثرا </w:t>
      </w:r>
      <w:r w:rsidRPr="00FD211F">
        <w:rPr>
          <w:sz w:val="36"/>
          <w:szCs w:val="36"/>
          <w:rtl/>
        </w:rPr>
        <w:t>لأثر الملكي</w:t>
      </w:r>
      <w:r w:rsidR="00EC7EDF" w:rsidRPr="00FD211F">
        <w:rPr>
          <w:sz w:val="36"/>
          <w:szCs w:val="36"/>
          <w:rtl/>
        </w:rPr>
        <w:t xml:space="preserve">ة </w:t>
      </w:r>
      <w:r w:rsidR="002642AB" w:rsidRPr="00FD211F">
        <w:rPr>
          <w:sz w:val="36"/>
          <w:szCs w:val="36"/>
          <w:rtl/>
        </w:rPr>
        <w:t xml:space="preserve">واقعا </w:t>
      </w:r>
      <w:r w:rsidR="00412432" w:rsidRPr="00FD211F">
        <w:rPr>
          <w:sz w:val="36"/>
          <w:szCs w:val="36"/>
          <w:rtl/>
        </w:rPr>
        <w:t>لأن تأثيره</w:t>
      </w:r>
      <w:r w:rsidRPr="00FD211F">
        <w:rPr>
          <w:sz w:val="36"/>
          <w:szCs w:val="36"/>
          <w:rtl/>
        </w:rPr>
        <w:t xml:space="preserve"> </w:t>
      </w:r>
      <w:r w:rsidR="00412432" w:rsidRPr="00FD211F">
        <w:rPr>
          <w:sz w:val="36"/>
          <w:szCs w:val="36"/>
          <w:rtl/>
        </w:rPr>
        <w:t>ب</w:t>
      </w:r>
      <w:r w:rsidRPr="00FD211F">
        <w:rPr>
          <w:sz w:val="36"/>
          <w:szCs w:val="36"/>
          <w:rtl/>
        </w:rPr>
        <w:t>اعتبار المعتبر</w:t>
      </w:r>
      <w:r w:rsidR="00603323" w:rsidRPr="00FD211F">
        <w:rPr>
          <w:sz w:val="36"/>
          <w:szCs w:val="36"/>
          <w:rtl/>
        </w:rPr>
        <w:t xml:space="preserve">، </w:t>
      </w:r>
      <w:r w:rsidRPr="00FD211F">
        <w:rPr>
          <w:sz w:val="36"/>
          <w:szCs w:val="36"/>
          <w:rtl/>
        </w:rPr>
        <w:t>فلو كان الموضوع له للفظ البيع هو العقد المؤثر لاثر الملكي</w:t>
      </w:r>
      <w:r w:rsidR="00EC7EDF" w:rsidRPr="00FD211F">
        <w:rPr>
          <w:sz w:val="36"/>
          <w:szCs w:val="36"/>
          <w:rtl/>
        </w:rPr>
        <w:t xml:space="preserve">ة </w:t>
      </w:r>
      <w:r w:rsidRPr="00FD211F">
        <w:rPr>
          <w:sz w:val="36"/>
          <w:szCs w:val="36"/>
          <w:rtl/>
        </w:rPr>
        <w:t>مطلقا ولو باعتبار العرف فلامعنى لتخطئ</w:t>
      </w:r>
      <w:r w:rsidR="00EC7EDF" w:rsidRPr="00FD211F">
        <w:rPr>
          <w:sz w:val="36"/>
          <w:szCs w:val="36"/>
          <w:rtl/>
        </w:rPr>
        <w:t xml:space="preserve">ة </w:t>
      </w:r>
      <w:r w:rsidRPr="00FD211F">
        <w:rPr>
          <w:sz w:val="36"/>
          <w:szCs w:val="36"/>
          <w:rtl/>
        </w:rPr>
        <w:t>الشارع</w:t>
      </w:r>
      <w:r w:rsidR="00391156" w:rsidRPr="00FD211F">
        <w:rPr>
          <w:sz w:val="36"/>
          <w:szCs w:val="36"/>
          <w:rtl/>
        </w:rPr>
        <w:t xml:space="preserve"> للعرف</w:t>
      </w:r>
      <w:r w:rsidR="00412432" w:rsidRPr="00FD211F">
        <w:rPr>
          <w:sz w:val="36"/>
          <w:szCs w:val="36"/>
          <w:rtl/>
        </w:rPr>
        <w:t xml:space="preserve"> في </w:t>
      </w:r>
      <w:r w:rsidR="00B25A23" w:rsidRPr="00FD211F">
        <w:rPr>
          <w:sz w:val="36"/>
          <w:szCs w:val="36"/>
          <w:rtl/>
        </w:rPr>
        <w:t>كون البيع الربوي مثلا مصداقا للعقد المؤثر لأثر الملكي</w:t>
      </w:r>
      <w:r w:rsidR="00EC7EDF" w:rsidRPr="00FD211F">
        <w:rPr>
          <w:sz w:val="36"/>
          <w:szCs w:val="36"/>
          <w:rtl/>
        </w:rPr>
        <w:t xml:space="preserve">ة </w:t>
      </w:r>
      <w:r w:rsidR="00B25A23" w:rsidRPr="00FD211F">
        <w:rPr>
          <w:sz w:val="36"/>
          <w:szCs w:val="36"/>
          <w:rtl/>
        </w:rPr>
        <w:t>باعتبار العرف</w:t>
      </w:r>
      <w:r w:rsidR="00603323" w:rsidRPr="00FD211F">
        <w:rPr>
          <w:sz w:val="36"/>
          <w:szCs w:val="36"/>
          <w:rtl/>
        </w:rPr>
        <w:t xml:space="preserve">، </w:t>
      </w:r>
      <w:r w:rsidRPr="00FD211F">
        <w:rPr>
          <w:sz w:val="36"/>
          <w:szCs w:val="36"/>
          <w:rtl/>
        </w:rPr>
        <w:t>حيث ان حكمه بفساد البيع الربوي مثلا لايع</w:t>
      </w:r>
      <w:r w:rsidR="00B25A23" w:rsidRPr="00FD211F">
        <w:rPr>
          <w:sz w:val="36"/>
          <w:szCs w:val="36"/>
          <w:rtl/>
        </w:rPr>
        <w:t xml:space="preserve">ني عدم كونه مصداقا للعقد المؤثر </w:t>
      </w:r>
      <w:r w:rsidR="004210F3" w:rsidRPr="00FD211F">
        <w:rPr>
          <w:sz w:val="36"/>
          <w:szCs w:val="36"/>
          <w:rtl/>
        </w:rPr>
        <w:t>لأثر الملكي</w:t>
      </w:r>
      <w:r w:rsidR="00EC7EDF" w:rsidRPr="00FD211F">
        <w:rPr>
          <w:sz w:val="36"/>
          <w:szCs w:val="36"/>
          <w:rtl/>
        </w:rPr>
        <w:t xml:space="preserve">ة </w:t>
      </w:r>
      <w:r w:rsidR="004210F3" w:rsidRPr="00FD211F">
        <w:rPr>
          <w:sz w:val="36"/>
          <w:szCs w:val="36"/>
          <w:rtl/>
        </w:rPr>
        <w:t>باعتبار العرف.</w:t>
      </w:r>
    </w:p>
    <w:p w14:paraId="089CF8A9" w14:textId="77777777" w:rsidR="00052BF2" w:rsidRPr="00FD211F" w:rsidRDefault="004210F3" w:rsidP="009C58C8">
      <w:pPr>
        <w:ind w:left="0" w:firstLine="227"/>
        <w:jc w:val="both"/>
        <w:rPr>
          <w:sz w:val="36"/>
          <w:szCs w:val="36"/>
          <w:rtl/>
        </w:rPr>
      </w:pPr>
      <w:r w:rsidRPr="00FD211F">
        <w:rPr>
          <w:sz w:val="36"/>
          <w:szCs w:val="36"/>
          <w:rtl/>
        </w:rPr>
        <w:t>ولاجل ذلك ذكر المحقق الاصفهاني "قده"</w:t>
      </w:r>
      <w:r w:rsidR="00A24412" w:rsidRPr="00FD211F">
        <w:rPr>
          <w:sz w:val="36"/>
          <w:szCs w:val="36"/>
          <w:rtl/>
        </w:rPr>
        <w:t xml:space="preserve"> </w:t>
      </w:r>
      <w:r w:rsidRPr="00FD211F">
        <w:rPr>
          <w:sz w:val="36"/>
          <w:szCs w:val="36"/>
          <w:rtl/>
        </w:rPr>
        <w:t xml:space="preserve">أن المراد </w:t>
      </w:r>
      <w:r w:rsidR="00566D55" w:rsidRPr="00FD211F">
        <w:rPr>
          <w:sz w:val="36"/>
          <w:szCs w:val="36"/>
          <w:rtl/>
        </w:rPr>
        <w:t>وضع لفظ البيع للعقد الذي يوجد فيه ملاك لاعتبار الملكي</w:t>
      </w:r>
      <w:r w:rsidR="00EC7EDF" w:rsidRPr="00FD211F">
        <w:rPr>
          <w:sz w:val="36"/>
          <w:szCs w:val="36"/>
          <w:rtl/>
        </w:rPr>
        <w:t>ة</w:t>
      </w:r>
      <w:r w:rsidR="00603323" w:rsidRPr="00FD211F">
        <w:rPr>
          <w:sz w:val="36"/>
          <w:szCs w:val="36"/>
          <w:rtl/>
        </w:rPr>
        <w:t xml:space="preserve">، </w:t>
      </w:r>
      <w:r w:rsidR="00566D55" w:rsidRPr="00FD211F">
        <w:rPr>
          <w:sz w:val="36"/>
          <w:szCs w:val="36"/>
          <w:rtl/>
        </w:rPr>
        <w:t>فيكون</w:t>
      </w:r>
      <w:r w:rsidRPr="00FD211F">
        <w:rPr>
          <w:sz w:val="36"/>
          <w:szCs w:val="36"/>
          <w:rtl/>
        </w:rPr>
        <w:t xml:space="preserve"> تخطئ</w:t>
      </w:r>
      <w:r w:rsidR="00EC7EDF" w:rsidRPr="00FD211F">
        <w:rPr>
          <w:sz w:val="36"/>
          <w:szCs w:val="36"/>
          <w:rtl/>
        </w:rPr>
        <w:t xml:space="preserve">ة </w:t>
      </w:r>
      <w:r w:rsidRPr="00FD211F">
        <w:rPr>
          <w:sz w:val="36"/>
          <w:szCs w:val="36"/>
          <w:rtl/>
        </w:rPr>
        <w:t>الشارع للعرف</w:t>
      </w:r>
      <w:r w:rsidR="00B253CE" w:rsidRPr="00FD211F">
        <w:rPr>
          <w:sz w:val="36"/>
          <w:szCs w:val="36"/>
          <w:rtl/>
        </w:rPr>
        <w:t xml:space="preserve"> </w:t>
      </w:r>
      <w:r w:rsidRPr="00FD211F">
        <w:rPr>
          <w:sz w:val="36"/>
          <w:szCs w:val="36"/>
          <w:rtl/>
        </w:rPr>
        <w:t>في تشخيص ملاك</w:t>
      </w:r>
      <w:r w:rsidR="00052BF2" w:rsidRPr="00FD211F">
        <w:rPr>
          <w:sz w:val="36"/>
          <w:szCs w:val="36"/>
          <w:rtl/>
        </w:rPr>
        <w:t xml:space="preserve"> </w:t>
      </w:r>
      <w:r w:rsidR="00566D55" w:rsidRPr="00FD211F">
        <w:rPr>
          <w:sz w:val="36"/>
          <w:szCs w:val="36"/>
          <w:rtl/>
        </w:rPr>
        <w:t>اعتبار الملكي</w:t>
      </w:r>
      <w:r w:rsidR="00EC7EDF" w:rsidRPr="00FD211F">
        <w:rPr>
          <w:sz w:val="36"/>
          <w:szCs w:val="36"/>
          <w:rtl/>
        </w:rPr>
        <w:t>ة</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446"/>
      </w:r>
      <w:r w:rsidR="00C17D0B" w:rsidRPr="00FD211F">
        <w:rPr>
          <w:rStyle w:val="a6"/>
          <w:sz w:val="36"/>
          <w:szCs w:val="36"/>
          <w:rtl/>
        </w:rPr>
        <w:t>)</w:t>
      </w:r>
      <w:r w:rsidR="00566D55" w:rsidRPr="00FD211F">
        <w:rPr>
          <w:sz w:val="36"/>
          <w:szCs w:val="36"/>
          <w:rtl/>
        </w:rPr>
        <w:t xml:space="preserve"> ويشكل</w:t>
      </w:r>
      <w:r w:rsidR="00052BF2" w:rsidRPr="00FD211F">
        <w:rPr>
          <w:sz w:val="36"/>
          <w:szCs w:val="36"/>
          <w:rtl/>
        </w:rPr>
        <w:t xml:space="preserve"> </w:t>
      </w:r>
      <w:r w:rsidR="00566D55" w:rsidRPr="00FD211F">
        <w:rPr>
          <w:sz w:val="36"/>
          <w:szCs w:val="36"/>
          <w:rtl/>
        </w:rPr>
        <w:t xml:space="preserve">ماذكره </w:t>
      </w:r>
      <w:r w:rsidR="00052BF2" w:rsidRPr="00FD211F">
        <w:rPr>
          <w:sz w:val="36"/>
          <w:szCs w:val="36"/>
          <w:rtl/>
        </w:rPr>
        <w:t>انه قد لايكون اعتبار العرف لأثر الملكي</w:t>
      </w:r>
      <w:r w:rsidR="00EC7EDF" w:rsidRPr="00FD211F">
        <w:rPr>
          <w:sz w:val="36"/>
          <w:szCs w:val="36"/>
          <w:rtl/>
        </w:rPr>
        <w:t xml:space="preserve">ة </w:t>
      </w:r>
      <w:r w:rsidR="00052BF2" w:rsidRPr="00FD211F">
        <w:rPr>
          <w:sz w:val="36"/>
          <w:szCs w:val="36"/>
          <w:rtl/>
        </w:rPr>
        <w:t>في البيع الربوي مثلا فاقدا للمصلح</w:t>
      </w:r>
      <w:r w:rsidR="00EC7EDF" w:rsidRPr="00FD211F">
        <w:rPr>
          <w:sz w:val="36"/>
          <w:szCs w:val="36"/>
          <w:rtl/>
        </w:rPr>
        <w:t>ة</w:t>
      </w:r>
      <w:r w:rsidR="00603323" w:rsidRPr="00FD211F">
        <w:rPr>
          <w:sz w:val="36"/>
          <w:szCs w:val="36"/>
          <w:rtl/>
        </w:rPr>
        <w:t xml:space="preserve">، </w:t>
      </w:r>
      <w:r w:rsidR="00052BF2" w:rsidRPr="00FD211F">
        <w:rPr>
          <w:sz w:val="36"/>
          <w:szCs w:val="36"/>
          <w:rtl/>
        </w:rPr>
        <w:t>وانما يعتبر الشارع فساد هذا البيع لمصلح</w:t>
      </w:r>
      <w:r w:rsidR="00EC7EDF" w:rsidRPr="00FD211F">
        <w:rPr>
          <w:sz w:val="36"/>
          <w:szCs w:val="36"/>
          <w:rtl/>
        </w:rPr>
        <w:t xml:space="preserve">ة </w:t>
      </w:r>
      <w:r w:rsidR="00052BF2" w:rsidRPr="00FD211F">
        <w:rPr>
          <w:sz w:val="36"/>
          <w:szCs w:val="36"/>
          <w:rtl/>
        </w:rPr>
        <w:t>في نفس هذا الحكم الشرعي</w:t>
      </w:r>
      <w:r w:rsidR="00603323" w:rsidRPr="00FD211F">
        <w:rPr>
          <w:sz w:val="36"/>
          <w:szCs w:val="36"/>
          <w:rtl/>
        </w:rPr>
        <w:t xml:space="preserve">، </w:t>
      </w:r>
      <w:r w:rsidR="00052BF2" w:rsidRPr="00FD211F">
        <w:rPr>
          <w:sz w:val="36"/>
          <w:szCs w:val="36"/>
          <w:rtl/>
        </w:rPr>
        <w:t>وقد تكون هذه المصلح</w:t>
      </w:r>
      <w:r w:rsidR="00EC7EDF" w:rsidRPr="00FD211F">
        <w:rPr>
          <w:sz w:val="36"/>
          <w:szCs w:val="36"/>
          <w:rtl/>
        </w:rPr>
        <w:t xml:space="preserve">ة </w:t>
      </w:r>
      <w:r w:rsidR="00052BF2" w:rsidRPr="00FD211F">
        <w:rPr>
          <w:sz w:val="36"/>
          <w:szCs w:val="36"/>
          <w:rtl/>
        </w:rPr>
        <w:t>تشديد روح العبودي</w:t>
      </w:r>
      <w:r w:rsidR="00EC7EDF" w:rsidRPr="00FD211F">
        <w:rPr>
          <w:sz w:val="36"/>
          <w:szCs w:val="36"/>
          <w:rtl/>
        </w:rPr>
        <w:t xml:space="preserve">ة </w:t>
      </w:r>
      <w:r w:rsidR="00052BF2" w:rsidRPr="00FD211F">
        <w:rPr>
          <w:sz w:val="36"/>
          <w:szCs w:val="36"/>
          <w:rtl/>
        </w:rPr>
        <w:t>والاطاع</w:t>
      </w:r>
      <w:r w:rsidR="00EC7EDF" w:rsidRPr="00FD211F">
        <w:rPr>
          <w:sz w:val="36"/>
          <w:szCs w:val="36"/>
          <w:rtl/>
        </w:rPr>
        <w:t xml:space="preserve">ة </w:t>
      </w:r>
      <w:r w:rsidR="00052BF2" w:rsidRPr="00FD211F">
        <w:rPr>
          <w:sz w:val="36"/>
          <w:szCs w:val="36"/>
          <w:rtl/>
        </w:rPr>
        <w:t>في نفوس المؤمنين</w:t>
      </w:r>
      <w:r w:rsidR="00603323" w:rsidRPr="00FD211F">
        <w:rPr>
          <w:sz w:val="36"/>
          <w:szCs w:val="36"/>
          <w:rtl/>
        </w:rPr>
        <w:t xml:space="preserve">، </w:t>
      </w:r>
      <w:r w:rsidR="00052BF2" w:rsidRPr="00FD211F">
        <w:rPr>
          <w:sz w:val="36"/>
          <w:szCs w:val="36"/>
          <w:rtl/>
        </w:rPr>
        <w:t>واين هذا من تخطئ</w:t>
      </w:r>
      <w:r w:rsidR="00EC7EDF" w:rsidRPr="00FD211F">
        <w:rPr>
          <w:sz w:val="36"/>
          <w:szCs w:val="36"/>
          <w:rtl/>
        </w:rPr>
        <w:t xml:space="preserve">ة </w:t>
      </w:r>
      <w:r w:rsidR="00052BF2" w:rsidRPr="00FD211F">
        <w:rPr>
          <w:sz w:val="36"/>
          <w:szCs w:val="36"/>
          <w:rtl/>
        </w:rPr>
        <w:t>العرف في تشخيصه للملاك.</w:t>
      </w:r>
    </w:p>
    <w:p w14:paraId="08FC31FB" w14:textId="77777777" w:rsidR="00566D55" w:rsidRPr="00FD211F" w:rsidRDefault="00566D55" w:rsidP="00AB6E74">
      <w:pPr>
        <w:ind w:left="0" w:firstLine="227"/>
        <w:jc w:val="both"/>
        <w:rPr>
          <w:sz w:val="36"/>
          <w:szCs w:val="36"/>
          <w:rtl/>
        </w:rPr>
      </w:pPr>
      <w:r w:rsidRPr="00FD211F">
        <w:rPr>
          <w:sz w:val="36"/>
          <w:szCs w:val="36"/>
          <w:rtl/>
        </w:rPr>
        <w:t xml:space="preserve">هذا ولكن يمكن أن يقال انه </w:t>
      </w:r>
      <w:r w:rsidR="00D31909" w:rsidRPr="00FD211F">
        <w:rPr>
          <w:sz w:val="36"/>
          <w:szCs w:val="36"/>
          <w:rtl/>
        </w:rPr>
        <w:t xml:space="preserve">يكفي كون الاختلاف بين الشرع والعرف بالنظر العرفي في تشخيص مصداق </w:t>
      </w:r>
      <w:r w:rsidRPr="00FD211F">
        <w:rPr>
          <w:sz w:val="36"/>
          <w:szCs w:val="36"/>
          <w:rtl/>
        </w:rPr>
        <w:t xml:space="preserve">العقد </w:t>
      </w:r>
      <w:r w:rsidR="00D31909" w:rsidRPr="00FD211F">
        <w:rPr>
          <w:sz w:val="36"/>
          <w:szCs w:val="36"/>
          <w:rtl/>
        </w:rPr>
        <w:t>المؤثر</w:t>
      </w:r>
      <w:r w:rsidRPr="00FD211F">
        <w:rPr>
          <w:sz w:val="36"/>
          <w:szCs w:val="36"/>
          <w:rtl/>
        </w:rPr>
        <w:t xml:space="preserve"> لأثر الم</w:t>
      </w:r>
      <w:r w:rsidR="00D31909" w:rsidRPr="00FD211F">
        <w:rPr>
          <w:sz w:val="36"/>
          <w:szCs w:val="36"/>
          <w:rtl/>
        </w:rPr>
        <w:t>لكي</w:t>
      </w:r>
      <w:r w:rsidR="00EC7EDF" w:rsidRPr="00FD211F">
        <w:rPr>
          <w:sz w:val="36"/>
          <w:szCs w:val="36"/>
          <w:rtl/>
        </w:rPr>
        <w:t xml:space="preserve">ة </w:t>
      </w:r>
      <w:r w:rsidR="00D31909" w:rsidRPr="00FD211F">
        <w:rPr>
          <w:sz w:val="36"/>
          <w:szCs w:val="36"/>
          <w:rtl/>
        </w:rPr>
        <w:t>وان</w:t>
      </w:r>
      <w:r w:rsidR="008D7B3D" w:rsidRPr="00FD211F">
        <w:rPr>
          <w:sz w:val="36"/>
          <w:szCs w:val="36"/>
          <w:rtl/>
        </w:rPr>
        <w:t xml:space="preserve"> لم‌</w:t>
      </w:r>
      <w:r w:rsidR="00D31909" w:rsidRPr="00FD211F">
        <w:rPr>
          <w:sz w:val="36"/>
          <w:szCs w:val="36"/>
          <w:rtl/>
        </w:rPr>
        <w:t xml:space="preserve">يكن </w:t>
      </w:r>
      <w:r w:rsidRPr="00FD211F">
        <w:rPr>
          <w:sz w:val="36"/>
          <w:szCs w:val="36"/>
          <w:rtl/>
        </w:rPr>
        <w:t xml:space="preserve">بالنظر الدقي </w:t>
      </w:r>
      <w:r w:rsidR="00D31909" w:rsidRPr="00FD211F">
        <w:rPr>
          <w:sz w:val="36"/>
          <w:szCs w:val="36"/>
          <w:rtl/>
        </w:rPr>
        <w:t>كذلك</w:t>
      </w:r>
      <w:r w:rsidR="00603323" w:rsidRPr="00FD211F">
        <w:rPr>
          <w:sz w:val="36"/>
          <w:szCs w:val="36"/>
          <w:rtl/>
        </w:rPr>
        <w:t xml:space="preserve">، </w:t>
      </w:r>
      <w:r w:rsidR="00D31909" w:rsidRPr="00FD211F">
        <w:rPr>
          <w:sz w:val="36"/>
          <w:szCs w:val="36"/>
          <w:rtl/>
        </w:rPr>
        <w:t>وقد ذكرنا كشاهد على ذلك عنوان المالك</w:t>
      </w:r>
      <w:r w:rsidR="00603323" w:rsidRPr="00FD211F">
        <w:rPr>
          <w:sz w:val="36"/>
          <w:szCs w:val="36"/>
          <w:rtl/>
        </w:rPr>
        <w:t xml:space="preserve">، </w:t>
      </w:r>
      <w:r w:rsidR="00492EF4" w:rsidRPr="00FD211F">
        <w:rPr>
          <w:sz w:val="36"/>
          <w:szCs w:val="36"/>
          <w:rtl/>
        </w:rPr>
        <w:t xml:space="preserve">فان معناه ليس هومن اعتبره العرف مالكا لعدم احساس </w:t>
      </w:r>
      <w:r w:rsidR="00F274AB" w:rsidRPr="00FD211F">
        <w:rPr>
          <w:sz w:val="36"/>
          <w:szCs w:val="36"/>
          <w:rtl/>
        </w:rPr>
        <w:t>الادعاء والعناية والمجاز في اط</w:t>
      </w:r>
      <w:r w:rsidR="00492EF4" w:rsidRPr="00FD211F">
        <w:rPr>
          <w:sz w:val="36"/>
          <w:szCs w:val="36"/>
          <w:rtl/>
        </w:rPr>
        <w:t xml:space="preserve">لاق المالك على من اعتبره الشارع مالكا على خلاف نظر العرف </w:t>
      </w:r>
      <w:r w:rsidR="00F274AB" w:rsidRPr="00FD211F">
        <w:rPr>
          <w:sz w:val="36"/>
          <w:szCs w:val="36"/>
          <w:rtl/>
        </w:rPr>
        <w:t>-</w:t>
      </w:r>
      <w:r w:rsidR="00492EF4" w:rsidRPr="00FD211F">
        <w:rPr>
          <w:sz w:val="36"/>
          <w:szCs w:val="36"/>
          <w:rtl/>
        </w:rPr>
        <w:t xml:space="preserve">كمن اخذ مال الكافر </w:t>
      </w:r>
      <w:r w:rsidR="00AB6E74" w:rsidRPr="00FD211F">
        <w:rPr>
          <w:sz w:val="36"/>
          <w:szCs w:val="36"/>
          <w:rtl/>
        </w:rPr>
        <w:t>غ</w:t>
      </w:r>
      <w:r w:rsidR="00492EF4" w:rsidRPr="00FD211F">
        <w:rPr>
          <w:sz w:val="36"/>
          <w:szCs w:val="36"/>
          <w:rtl/>
        </w:rPr>
        <w:t>ير</w:t>
      </w:r>
      <w:r w:rsidR="00AB6E74" w:rsidRPr="00FD211F">
        <w:rPr>
          <w:sz w:val="36"/>
          <w:szCs w:val="36"/>
          <w:rtl/>
        </w:rPr>
        <w:t xml:space="preserve"> </w:t>
      </w:r>
      <w:r w:rsidR="00492EF4" w:rsidRPr="00FD211F">
        <w:rPr>
          <w:sz w:val="36"/>
          <w:szCs w:val="36"/>
          <w:rtl/>
        </w:rPr>
        <w:t>محترم المال شرعا بعنوان الاستنقاذ</w:t>
      </w:r>
      <w:r w:rsidR="00A24412" w:rsidRPr="00FD211F">
        <w:rPr>
          <w:sz w:val="36"/>
          <w:szCs w:val="36"/>
          <w:rtl/>
        </w:rPr>
        <w:t xml:space="preserve"> </w:t>
      </w:r>
      <w:r w:rsidR="00F274AB" w:rsidRPr="00FD211F">
        <w:rPr>
          <w:sz w:val="36"/>
          <w:szCs w:val="36"/>
          <w:rtl/>
        </w:rPr>
        <w:t>-</w:t>
      </w:r>
      <w:r w:rsidR="00492EF4" w:rsidRPr="00FD211F">
        <w:rPr>
          <w:sz w:val="36"/>
          <w:szCs w:val="36"/>
          <w:rtl/>
        </w:rPr>
        <w:t>كما ان معناه ليس من اعتبره الشارع مالكا</w:t>
      </w:r>
      <w:r w:rsidR="00603323" w:rsidRPr="00FD211F">
        <w:rPr>
          <w:sz w:val="36"/>
          <w:szCs w:val="36"/>
          <w:rtl/>
        </w:rPr>
        <w:t xml:space="preserve">، </w:t>
      </w:r>
      <w:r w:rsidR="00492EF4" w:rsidRPr="00FD211F">
        <w:rPr>
          <w:sz w:val="36"/>
          <w:szCs w:val="36"/>
          <w:rtl/>
        </w:rPr>
        <w:t>لاطلاق العرف عنوان المالك على من يكون مالكا</w:t>
      </w:r>
      <w:r w:rsidR="00AB6E74" w:rsidRPr="00FD211F">
        <w:rPr>
          <w:sz w:val="36"/>
          <w:szCs w:val="36"/>
          <w:rtl/>
        </w:rPr>
        <w:t xml:space="preserve"> </w:t>
      </w:r>
      <w:r w:rsidR="00492EF4" w:rsidRPr="00FD211F">
        <w:rPr>
          <w:sz w:val="36"/>
          <w:szCs w:val="36"/>
          <w:rtl/>
        </w:rPr>
        <w:t>بنظره</w:t>
      </w:r>
      <w:r w:rsidR="00AB6E74" w:rsidRPr="00FD211F">
        <w:rPr>
          <w:sz w:val="36"/>
          <w:szCs w:val="36"/>
          <w:rtl/>
        </w:rPr>
        <w:t xml:space="preserve"> </w:t>
      </w:r>
      <w:r w:rsidR="00F274AB" w:rsidRPr="00FD211F">
        <w:rPr>
          <w:sz w:val="36"/>
          <w:szCs w:val="36"/>
          <w:rtl/>
        </w:rPr>
        <w:t>وان لم يكن مالكا شرعا</w:t>
      </w:r>
      <w:r w:rsidR="00603323" w:rsidRPr="00FD211F">
        <w:rPr>
          <w:sz w:val="36"/>
          <w:szCs w:val="36"/>
          <w:rtl/>
        </w:rPr>
        <w:t xml:space="preserve">، </w:t>
      </w:r>
      <w:r w:rsidR="00E54433" w:rsidRPr="00FD211F">
        <w:rPr>
          <w:sz w:val="36"/>
          <w:szCs w:val="36"/>
          <w:rtl/>
        </w:rPr>
        <w:t>كما أنه ليس مشتركا لفظ</w:t>
      </w:r>
      <w:r w:rsidR="00F274AB" w:rsidRPr="00FD211F">
        <w:rPr>
          <w:sz w:val="36"/>
          <w:szCs w:val="36"/>
          <w:rtl/>
        </w:rPr>
        <w:t>يا بين المالك العرفي والمالك الش</w:t>
      </w:r>
      <w:r w:rsidR="00E54433" w:rsidRPr="00FD211F">
        <w:rPr>
          <w:sz w:val="36"/>
          <w:szCs w:val="36"/>
          <w:rtl/>
        </w:rPr>
        <w:t>رعي بالوجدان</w:t>
      </w:r>
      <w:r w:rsidR="00603323" w:rsidRPr="00FD211F">
        <w:rPr>
          <w:sz w:val="36"/>
          <w:szCs w:val="36"/>
          <w:rtl/>
        </w:rPr>
        <w:t xml:space="preserve">، </w:t>
      </w:r>
      <w:r w:rsidR="00E54433" w:rsidRPr="00FD211F">
        <w:rPr>
          <w:sz w:val="36"/>
          <w:szCs w:val="36"/>
          <w:rtl/>
        </w:rPr>
        <w:t>كما</w:t>
      </w:r>
      <w:r w:rsidR="00A24412" w:rsidRPr="00FD211F">
        <w:rPr>
          <w:sz w:val="36"/>
          <w:szCs w:val="36"/>
          <w:rtl/>
        </w:rPr>
        <w:t xml:space="preserve"> </w:t>
      </w:r>
      <w:r w:rsidR="00E54433" w:rsidRPr="00FD211F">
        <w:rPr>
          <w:sz w:val="36"/>
          <w:szCs w:val="36"/>
          <w:rtl/>
        </w:rPr>
        <w:t>أن وضع لفظ المالك بنحو الوضع العام والموضوع له الخاص على من يكون مالكا باعتبار المتكلم خلاف الوجدان</w:t>
      </w:r>
      <w:r w:rsidR="00603323" w:rsidRPr="00FD211F">
        <w:rPr>
          <w:sz w:val="36"/>
          <w:szCs w:val="36"/>
          <w:rtl/>
        </w:rPr>
        <w:t xml:space="preserve">، </w:t>
      </w:r>
      <w:r w:rsidR="00E54433" w:rsidRPr="00FD211F">
        <w:rPr>
          <w:sz w:val="36"/>
          <w:szCs w:val="36"/>
          <w:rtl/>
        </w:rPr>
        <w:t>فتكون النتيج</w:t>
      </w:r>
      <w:r w:rsidR="00EC7EDF" w:rsidRPr="00FD211F">
        <w:rPr>
          <w:sz w:val="36"/>
          <w:szCs w:val="36"/>
          <w:rtl/>
        </w:rPr>
        <w:t xml:space="preserve">ة </w:t>
      </w:r>
      <w:r w:rsidR="00E54433" w:rsidRPr="00FD211F">
        <w:rPr>
          <w:sz w:val="36"/>
          <w:szCs w:val="36"/>
          <w:rtl/>
        </w:rPr>
        <w:t xml:space="preserve">وضع لفظ المالك </w:t>
      </w:r>
      <w:r w:rsidR="00ED1D1E" w:rsidRPr="00FD211F">
        <w:rPr>
          <w:sz w:val="36"/>
          <w:szCs w:val="36"/>
          <w:rtl/>
        </w:rPr>
        <w:t>على</w:t>
      </w:r>
      <w:r w:rsidR="00E54433" w:rsidRPr="00FD211F">
        <w:rPr>
          <w:sz w:val="36"/>
          <w:szCs w:val="36"/>
          <w:rtl/>
        </w:rPr>
        <w:t xml:space="preserve"> </w:t>
      </w:r>
      <w:r w:rsidR="00ED1D1E" w:rsidRPr="00FD211F">
        <w:rPr>
          <w:sz w:val="36"/>
          <w:szCs w:val="36"/>
          <w:rtl/>
        </w:rPr>
        <w:t>ال</w:t>
      </w:r>
      <w:r w:rsidR="00E54433" w:rsidRPr="00FD211F">
        <w:rPr>
          <w:sz w:val="36"/>
          <w:szCs w:val="36"/>
          <w:rtl/>
        </w:rPr>
        <w:t xml:space="preserve">مالك واقعا </w:t>
      </w:r>
      <w:r w:rsidR="00ED1D1E" w:rsidRPr="00FD211F">
        <w:rPr>
          <w:sz w:val="36"/>
          <w:szCs w:val="36"/>
          <w:rtl/>
        </w:rPr>
        <w:t>حيث أن للملكي</w:t>
      </w:r>
      <w:r w:rsidR="00EC7EDF" w:rsidRPr="00FD211F">
        <w:rPr>
          <w:sz w:val="36"/>
          <w:szCs w:val="36"/>
          <w:rtl/>
        </w:rPr>
        <w:t xml:space="preserve">ة </w:t>
      </w:r>
      <w:r w:rsidR="00ED1D1E" w:rsidRPr="00FD211F">
        <w:rPr>
          <w:sz w:val="36"/>
          <w:szCs w:val="36"/>
          <w:rtl/>
        </w:rPr>
        <w:t>واقعا</w:t>
      </w:r>
      <w:r w:rsidR="00E54433" w:rsidRPr="00FD211F">
        <w:rPr>
          <w:sz w:val="36"/>
          <w:szCs w:val="36"/>
          <w:rtl/>
        </w:rPr>
        <w:t xml:space="preserve"> بالنظر العرفي المسامحي </w:t>
      </w:r>
      <w:r w:rsidR="00ED1D1E" w:rsidRPr="00FD211F">
        <w:rPr>
          <w:sz w:val="36"/>
          <w:szCs w:val="36"/>
          <w:rtl/>
        </w:rPr>
        <w:t>وان</w:t>
      </w:r>
      <w:r w:rsidR="008D7B3D" w:rsidRPr="00FD211F">
        <w:rPr>
          <w:sz w:val="36"/>
          <w:szCs w:val="36"/>
          <w:rtl/>
        </w:rPr>
        <w:t xml:space="preserve"> لم‌</w:t>
      </w:r>
      <w:r w:rsidR="00ED1D1E" w:rsidRPr="00FD211F">
        <w:rPr>
          <w:sz w:val="36"/>
          <w:szCs w:val="36"/>
          <w:rtl/>
        </w:rPr>
        <w:t>يكن كذلك بالنظر الدقي العقلي</w:t>
      </w:r>
      <w:r w:rsidR="00603323" w:rsidRPr="00FD211F">
        <w:rPr>
          <w:sz w:val="36"/>
          <w:szCs w:val="36"/>
          <w:rtl/>
        </w:rPr>
        <w:t xml:space="preserve">، </w:t>
      </w:r>
      <w:r w:rsidR="00ED1D1E" w:rsidRPr="00FD211F">
        <w:rPr>
          <w:sz w:val="36"/>
          <w:szCs w:val="36"/>
          <w:rtl/>
        </w:rPr>
        <w:t>وهكذا في عنوان العدل والظلم</w:t>
      </w:r>
      <w:r w:rsidR="00603323" w:rsidRPr="00FD211F">
        <w:rPr>
          <w:sz w:val="36"/>
          <w:szCs w:val="36"/>
          <w:rtl/>
        </w:rPr>
        <w:t xml:space="preserve">، </w:t>
      </w:r>
      <w:r w:rsidR="00ED1D1E" w:rsidRPr="00FD211F">
        <w:rPr>
          <w:sz w:val="36"/>
          <w:szCs w:val="36"/>
          <w:rtl/>
        </w:rPr>
        <w:t>والحق والباطل</w:t>
      </w:r>
      <w:r w:rsidR="00603323" w:rsidRPr="00FD211F">
        <w:rPr>
          <w:sz w:val="36"/>
          <w:szCs w:val="36"/>
          <w:rtl/>
        </w:rPr>
        <w:t xml:space="preserve">، </w:t>
      </w:r>
      <w:r w:rsidR="0063440E" w:rsidRPr="00FD211F">
        <w:rPr>
          <w:sz w:val="36"/>
          <w:szCs w:val="36"/>
          <w:rtl/>
        </w:rPr>
        <w:t>فانه لاوجه للالتزام بكون معنى الظلم هو الظلم العرفي</w:t>
      </w:r>
      <w:r w:rsidR="00603323" w:rsidRPr="00FD211F">
        <w:rPr>
          <w:sz w:val="36"/>
          <w:szCs w:val="36"/>
          <w:rtl/>
        </w:rPr>
        <w:t xml:space="preserve">، </w:t>
      </w:r>
      <w:r w:rsidR="0063440E" w:rsidRPr="00FD211F">
        <w:rPr>
          <w:sz w:val="36"/>
          <w:szCs w:val="36"/>
          <w:rtl/>
        </w:rPr>
        <w:t xml:space="preserve">والشاهد عليه أنه لو قال الشارع </w:t>
      </w:r>
      <w:r w:rsidR="0050446C" w:rsidRPr="00FD211F">
        <w:rPr>
          <w:sz w:val="36"/>
          <w:szCs w:val="36"/>
          <w:rtl/>
        </w:rPr>
        <w:t>"</w:t>
      </w:r>
      <w:r w:rsidR="0063440E" w:rsidRPr="00FD211F">
        <w:rPr>
          <w:sz w:val="36"/>
          <w:szCs w:val="36"/>
          <w:rtl/>
        </w:rPr>
        <w:t>استنقاذ مال</w:t>
      </w:r>
      <w:r w:rsidR="0050446C" w:rsidRPr="00FD211F">
        <w:rPr>
          <w:sz w:val="36"/>
          <w:szCs w:val="36"/>
          <w:rtl/>
        </w:rPr>
        <w:t xml:space="preserve"> الكافر </w:t>
      </w:r>
      <w:r w:rsidR="006B4DCB" w:rsidRPr="00FD211F">
        <w:rPr>
          <w:sz w:val="36"/>
          <w:szCs w:val="36"/>
          <w:rtl/>
        </w:rPr>
        <w:t xml:space="preserve">حلال وان كان </w:t>
      </w:r>
      <w:r w:rsidR="0063440E" w:rsidRPr="00FD211F">
        <w:rPr>
          <w:sz w:val="36"/>
          <w:szCs w:val="36"/>
          <w:rtl/>
        </w:rPr>
        <w:t>ظلم</w:t>
      </w:r>
      <w:r w:rsidR="006B4DCB" w:rsidRPr="00FD211F">
        <w:rPr>
          <w:sz w:val="36"/>
          <w:szCs w:val="36"/>
          <w:rtl/>
        </w:rPr>
        <w:t>ا</w:t>
      </w:r>
      <w:r w:rsidR="0063440E" w:rsidRPr="00FD211F">
        <w:rPr>
          <w:sz w:val="36"/>
          <w:szCs w:val="36"/>
          <w:rtl/>
        </w:rPr>
        <w:t xml:space="preserve"> عرفي</w:t>
      </w:r>
      <w:r w:rsidR="006B4DCB" w:rsidRPr="00FD211F">
        <w:rPr>
          <w:sz w:val="36"/>
          <w:szCs w:val="36"/>
          <w:rtl/>
        </w:rPr>
        <w:t>ا</w:t>
      </w:r>
      <w:r w:rsidR="0063440E" w:rsidRPr="00FD211F">
        <w:rPr>
          <w:sz w:val="36"/>
          <w:szCs w:val="36"/>
          <w:rtl/>
        </w:rPr>
        <w:t>"</w:t>
      </w:r>
      <w:r w:rsidR="00A24412" w:rsidRPr="00FD211F">
        <w:rPr>
          <w:sz w:val="36"/>
          <w:szCs w:val="36"/>
          <w:rtl/>
        </w:rPr>
        <w:t xml:space="preserve"> </w:t>
      </w:r>
      <w:r w:rsidR="0063440E" w:rsidRPr="00FD211F">
        <w:rPr>
          <w:sz w:val="36"/>
          <w:szCs w:val="36"/>
          <w:rtl/>
        </w:rPr>
        <w:t>فلايكون مستهجنا عرفا</w:t>
      </w:r>
      <w:r w:rsidR="00603323" w:rsidRPr="00FD211F">
        <w:rPr>
          <w:sz w:val="36"/>
          <w:szCs w:val="36"/>
          <w:rtl/>
        </w:rPr>
        <w:t xml:space="preserve">، </w:t>
      </w:r>
      <w:r w:rsidR="0050446C" w:rsidRPr="00FD211F">
        <w:rPr>
          <w:sz w:val="36"/>
          <w:szCs w:val="36"/>
          <w:rtl/>
        </w:rPr>
        <w:t>بخلاف ما لو قال "</w:t>
      </w:r>
      <w:r w:rsidR="0063440E" w:rsidRPr="00FD211F">
        <w:rPr>
          <w:sz w:val="36"/>
          <w:szCs w:val="36"/>
          <w:rtl/>
        </w:rPr>
        <w:t xml:space="preserve">استنقاذ مال الكافر </w:t>
      </w:r>
      <w:r w:rsidR="006B4DCB" w:rsidRPr="00FD211F">
        <w:rPr>
          <w:sz w:val="36"/>
          <w:szCs w:val="36"/>
          <w:rtl/>
        </w:rPr>
        <w:t>حلال وان كان ظلما"</w:t>
      </w:r>
      <w:r w:rsidR="00A24412" w:rsidRPr="00FD211F">
        <w:rPr>
          <w:sz w:val="36"/>
          <w:szCs w:val="36"/>
          <w:rtl/>
        </w:rPr>
        <w:t xml:space="preserve"> </w:t>
      </w:r>
      <w:r w:rsidR="006B4DCB" w:rsidRPr="00FD211F">
        <w:rPr>
          <w:sz w:val="36"/>
          <w:szCs w:val="36"/>
          <w:rtl/>
        </w:rPr>
        <w:t>فانه مما يستهجنه العرف</w:t>
      </w:r>
      <w:r w:rsidR="00603323" w:rsidRPr="00FD211F">
        <w:rPr>
          <w:sz w:val="36"/>
          <w:szCs w:val="36"/>
          <w:rtl/>
        </w:rPr>
        <w:t xml:space="preserve">، </w:t>
      </w:r>
      <w:r w:rsidR="006B4DCB" w:rsidRPr="00FD211F">
        <w:rPr>
          <w:sz w:val="36"/>
          <w:szCs w:val="36"/>
          <w:rtl/>
        </w:rPr>
        <w:t>فيكشف ذلك عن عدم كون معنى الظلم هو الظلم العرفي</w:t>
      </w:r>
      <w:r w:rsidR="00603323" w:rsidRPr="00FD211F">
        <w:rPr>
          <w:sz w:val="36"/>
          <w:szCs w:val="36"/>
          <w:rtl/>
        </w:rPr>
        <w:t xml:space="preserve">، </w:t>
      </w:r>
      <w:r w:rsidR="006B4DCB" w:rsidRPr="00FD211F">
        <w:rPr>
          <w:sz w:val="36"/>
          <w:szCs w:val="36"/>
          <w:rtl/>
        </w:rPr>
        <w:t xml:space="preserve">كما ان معناه ليس هو الظلم الشرعي لاستعمال العرف العام له </w:t>
      </w:r>
      <w:r w:rsidR="0050446C" w:rsidRPr="00FD211F">
        <w:rPr>
          <w:sz w:val="36"/>
          <w:szCs w:val="36"/>
          <w:rtl/>
        </w:rPr>
        <w:t>مع أنهم لايريدون الظلم الشرعي جزما</w:t>
      </w:r>
      <w:r w:rsidR="00603323" w:rsidRPr="00FD211F">
        <w:rPr>
          <w:sz w:val="36"/>
          <w:szCs w:val="36"/>
          <w:rtl/>
        </w:rPr>
        <w:t xml:space="preserve">، </w:t>
      </w:r>
      <w:r w:rsidR="006B4DCB" w:rsidRPr="00FD211F">
        <w:rPr>
          <w:sz w:val="36"/>
          <w:szCs w:val="36"/>
          <w:rtl/>
        </w:rPr>
        <w:t>فيتعين ان يكون معناه الظلم الواقعي مع أن اغلب مصاديقه ليست الا</w:t>
      </w:r>
      <w:r w:rsidR="00A24412" w:rsidRPr="00FD211F">
        <w:rPr>
          <w:sz w:val="36"/>
          <w:szCs w:val="36"/>
          <w:rtl/>
        </w:rPr>
        <w:t xml:space="preserve"> </w:t>
      </w:r>
      <w:r w:rsidR="006B4DCB" w:rsidRPr="00FD211F">
        <w:rPr>
          <w:sz w:val="36"/>
          <w:szCs w:val="36"/>
          <w:rtl/>
        </w:rPr>
        <w:t>ظلما باعتبار العقلاء او</w:t>
      </w:r>
      <w:r w:rsidR="00C77C8B" w:rsidRPr="00FD211F">
        <w:rPr>
          <w:sz w:val="36"/>
          <w:szCs w:val="36"/>
          <w:rtl/>
        </w:rPr>
        <w:t xml:space="preserve"> </w:t>
      </w:r>
      <w:r w:rsidR="0050446C" w:rsidRPr="00FD211F">
        <w:rPr>
          <w:sz w:val="36"/>
          <w:szCs w:val="36"/>
          <w:rtl/>
        </w:rPr>
        <w:t>الش</w:t>
      </w:r>
      <w:r w:rsidR="006B4DCB" w:rsidRPr="00FD211F">
        <w:rPr>
          <w:sz w:val="36"/>
          <w:szCs w:val="36"/>
          <w:rtl/>
        </w:rPr>
        <w:t>رع وقلما تكون ظلما واقعيا بحكم العقل الفطري</w:t>
      </w:r>
      <w:r w:rsidR="00EC7EDF" w:rsidRPr="00FD211F">
        <w:rPr>
          <w:sz w:val="36"/>
          <w:szCs w:val="36"/>
          <w:rtl/>
        </w:rPr>
        <w:t>.</w:t>
      </w:r>
    </w:p>
    <w:p w14:paraId="4E1621B4" w14:textId="77777777" w:rsidR="00052BF2" w:rsidRPr="00FD211F" w:rsidRDefault="00052BF2" w:rsidP="009C58C8">
      <w:pPr>
        <w:pStyle w:val="3"/>
        <w:ind w:firstLine="227"/>
        <w:jc w:val="both"/>
        <w:rPr>
          <w:rtl/>
        </w:rPr>
      </w:pPr>
      <w:bookmarkStart w:id="401" w:name="_Toc192092935"/>
      <w:bookmarkStart w:id="402" w:name="_Toc223890414"/>
      <w:r w:rsidRPr="00FD211F">
        <w:rPr>
          <w:rtl/>
        </w:rPr>
        <w:t>في ترتب ثمر</w:t>
      </w:r>
      <w:r w:rsidR="00EC7EDF" w:rsidRPr="00FD211F">
        <w:rPr>
          <w:rtl/>
        </w:rPr>
        <w:t xml:space="preserve">ة </w:t>
      </w:r>
      <w:r w:rsidRPr="00FD211F">
        <w:rPr>
          <w:rtl/>
        </w:rPr>
        <w:t>النزاع في المعامل</w:t>
      </w:r>
      <w:r w:rsidR="00EC7EDF" w:rsidRPr="00FD211F">
        <w:rPr>
          <w:rtl/>
        </w:rPr>
        <w:t xml:space="preserve">ة </w:t>
      </w:r>
      <w:r w:rsidRPr="00FD211F">
        <w:rPr>
          <w:rtl/>
        </w:rPr>
        <w:t>بمعنى المسبب</w:t>
      </w:r>
      <w:bookmarkEnd w:id="401"/>
      <w:bookmarkEnd w:id="402"/>
    </w:p>
    <w:p w14:paraId="4217E715" w14:textId="77777777" w:rsidR="00052BF2" w:rsidRPr="00FD211F" w:rsidRDefault="00052BF2" w:rsidP="009C58C8">
      <w:pPr>
        <w:ind w:left="0" w:firstLine="227"/>
        <w:jc w:val="both"/>
        <w:rPr>
          <w:sz w:val="36"/>
          <w:szCs w:val="36"/>
          <w:rtl/>
        </w:rPr>
      </w:pPr>
      <w:r w:rsidRPr="00FD211F">
        <w:rPr>
          <w:b/>
          <w:bCs/>
          <w:sz w:val="36"/>
          <w:szCs w:val="36"/>
          <w:rtl/>
        </w:rPr>
        <w:t>الرابع</w:t>
      </w:r>
      <w:r w:rsidR="00EC7EDF" w:rsidRPr="00FD211F">
        <w:rPr>
          <w:b/>
          <w:bCs/>
          <w:sz w:val="36"/>
          <w:szCs w:val="36"/>
          <w:rtl/>
        </w:rPr>
        <w:t>ة</w:t>
      </w:r>
      <w:r w:rsidR="00057D31" w:rsidRPr="00FD211F">
        <w:rPr>
          <w:b/>
          <w:bCs/>
          <w:sz w:val="36"/>
          <w:szCs w:val="36"/>
          <w:rtl/>
        </w:rPr>
        <w:t>:</w:t>
      </w:r>
      <w:r w:rsidRPr="00FD211F">
        <w:rPr>
          <w:sz w:val="36"/>
          <w:szCs w:val="36"/>
          <w:rtl/>
        </w:rPr>
        <w:t xml:space="preserve"> حكي عن جماع</w:t>
      </w:r>
      <w:r w:rsidR="00EC7EDF" w:rsidRPr="00FD211F">
        <w:rPr>
          <w:sz w:val="36"/>
          <w:szCs w:val="36"/>
          <w:rtl/>
        </w:rPr>
        <w:t xml:space="preserve">ة </w:t>
      </w:r>
      <w:r w:rsidRPr="00FD211F">
        <w:rPr>
          <w:sz w:val="36"/>
          <w:szCs w:val="36"/>
          <w:rtl/>
        </w:rPr>
        <w:t>انه بناء على وضع اسماء المعاملات لايجاد المسبب العقلائي فلايمكن التمسك باطلاق دليل امضاءه لإثبات إمضاء جميع اسبابه</w:t>
      </w:r>
      <w:r w:rsidR="00603323" w:rsidRPr="00FD211F">
        <w:rPr>
          <w:sz w:val="36"/>
          <w:szCs w:val="36"/>
          <w:rtl/>
        </w:rPr>
        <w:t xml:space="preserve">، </w:t>
      </w:r>
      <w:r w:rsidRPr="00FD211F">
        <w:rPr>
          <w:sz w:val="36"/>
          <w:szCs w:val="36"/>
          <w:rtl/>
        </w:rPr>
        <w:t>فانه يكفي في امضاء المسبب صح</w:t>
      </w:r>
      <w:r w:rsidR="00EC7EDF" w:rsidRPr="00FD211F">
        <w:rPr>
          <w:sz w:val="36"/>
          <w:szCs w:val="36"/>
          <w:rtl/>
        </w:rPr>
        <w:t xml:space="preserve">ة </w:t>
      </w:r>
      <w:r w:rsidRPr="00FD211F">
        <w:rPr>
          <w:sz w:val="36"/>
          <w:szCs w:val="36"/>
          <w:rtl/>
        </w:rPr>
        <w:t>سبب من اسبابه</w:t>
      </w:r>
      <w:r w:rsidR="00603323" w:rsidRPr="00FD211F">
        <w:rPr>
          <w:sz w:val="36"/>
          <w:szCs w:val="36"/>
          <w:rtl/>
        </w:rPr>
        <w:t xml:space="preserve">، </w:t>
      </w:r>
      <w:r w:rsidRPr="00FD211F">
        <w:rPr>
          <w:sz w:val="36"/>
          <w:szCs w:val="36"/>
          <w:rtl/>
        </w:rPr>
        <w:t xml:space="preserve">نظير ان الترخيص في </w:t>
      </w:r>
      <w:r w:rsidR="004E198B" w:rsidRPr="00FD211F">
        <w:rPr>
          <w:sz w:val="36"/>
          <w:szCs w:val="36"/>
          <w:rtl/>
        </w:rPr>
        <w:t xml:space="preserve">الكون على </w:t>
      </w:r>
      <w:r w:rsidRPr="00FD211F">
        <w:rPr>
          <w:sz w:val="36"/>
          <w:szCs w:val="36"/>
          <w:rtl/>
        </w:rPr>
        <w:t>السطح ل</w:t>
      </w:r>
      <w:r w:rsidR="004E198B" w:rsidRPr="00FD211F">
        <w:rPr>
          <w:sz w:val="36"/>
          <w:szCs w:val="36"/>
          <w:rtl/>
        </w:rPr>
        <w:t xml:space="preserve">ايقتضي باطلاقه الترخيص في نصب </w:t>
      </w:r>
      <w:r w:rsidRPr="00FD211F">
        <w:rPr>
          <w:sz w:val="36"/>
          <w:szCs w:val="36"/>
          <w:rtl/>
        </w:rPr>
        <w:t>سل</w:t>
      </w:r>
      <w:r w:rsidR="004E198B" w:rsidRPr="00FD211F">
        <w:rPr>
          <w:sz w:val="36"/>
          <w:szCs w:val="36"/>
          <w:rtl/>
        </w:rPr>
        <w:t>ّ</w:t>
      </w:r>
      <w:r w:rsidRPr="00FD211F">
        <w:rPr>
          <w:sz w:val="36"/>
          <w:szCs w:val="36"/>
          <w:rtl/>
        </w:rPr>
        <w:t xml:space="preserve">م </w:t>
      </w:r>
      <w:r w:rsidR="004E198B" w:rsidRPr="00FD211F">
        <w:rPr>
          <w:sz w:val="36"/>
          <w:szCs w:val="36"/>
          <w:rtl/>
        </w:rPr>
        <w:t>الغير</w:t>
      </w:r>
      <w:r w:rsidRPr="00FD211F">
        <w:rPr>
          <w:sz w:val="36"/>
          <w:szCs w:val="36"/>
          <w:rtl/>
        </w:rPr>
        <w:t xml:space="preserve">. </w:t>
      </w:r>
    </w:p>
    <w:p w14:paraId="2A08F1AA" w14:textId="77777777" w:rsidR="00052BF2" w:rsidRPr="00FD211F" w:rsidRDefault="004E198B" w:rsidP="009C58C8">
      <w:pPr>
        <w:ind w:left="0" w:firstLine="227"/>
        <w:jc w:val="both"/>
        <w:rPr>
          <w:sz w:val="36"/>
          <w:szCs w:val="36"/>
          <w:rtl/>
        </w:rPr>
      </w:pPr>
      <w:r w:rsidRPr="00FD211F">
        <w:rPr>
          <w:sz w:val="36"/>
          <w:szCs w:val="36"/>
          <w:rtl/>
        </w:rPr>
        <w:t>ولكن</w:t>
      </w:r>
      <w:r w:rsidR="00052BF2" w:rsidRPr="00FD211F">
        <w:rPr>
          <w:sz w:val="36"/>
          <w:szCs w:val="36"/>
          <w:rtl/>
        </w:rPr>
        <w:t xml:space="preserve"> ذكر السيد الخوئي</w:t>
      </w:r>
      <w:r w:rsidR="00A61BAE" w:rsidRPr="00FD211F">
        <w:rPr>
          <w:sz w:val="36"/>
          <w:szCs w:val="36"/>
          <w:rtl/>
        </w:rPr>
        <w:t xml:space="preserve"> </w:t>
      </w:r>
      <w:r w:rsidR="00A24412" w:rsidRPr="00FD211F">
        <w:rPr>
          <w:sz w:val="36"/>
          <w:szCs w:val="36"/>
          <w:rtl/>
        </w:rPr>
        <w:t>"قده"</w:t>
      </w:r>
      <w:r w:rsidR="00A61BAE" w:rsidRPr="00FD211F">
        <w:rPr>
          <w:sz w:val="36"/>
          <w:szCs w:val="36"/>
          <w:rtl/>
        </w:rPr>
        <w:t xml:space="preserve"> </w:t>
      </w:r>
      <w:r w:rsidR="00052BF2" w:rsidRPr="00FD211F">
        <w:rPr>
          <w:sz w:val="36"/>
          <w:szCs w:val="36"/>
          <w:rtl/>
        </w:rPr>
        <w:t>ان المسبب منحلّ خارجا بعدد الاسباب</w:t>
      </w:r>
      <w:r w:rsidR="00603323" w:rsidRPr="00FD211F">
        <w:rPr>
          <w:sz w:val="36"/>
          <w:szCs w:val="36"/>
          <w:rtl/>
        </w:rPr>
        <w:t xml:space="preserve">، </w:t>
      </w:r>
      <w:r w:rsidR="00052BF2" w:rsidRPr="00FD211F">
        <w:rPr>
          <w:sz w:val="36"/>
          <w:szCs w:val="36"/>
          <w:rtl/>
        </w:rPr>
        <w:t>سواء اريد به المسبب العقلائي او اريد به المسبب الشخصي أي ما يعتبره شخص المتعاقدين</w:t>
      </w:r>
      <w:r w:rsidR="00603323" w:rsidRPr="00FD211F">
        <w:rPr>
          <w:sz w:val="36"/>
          <w:szCs w:val="36"/>
          <w:rtl/>
        </w:rPr>
        <w:t xml:space="preserve">، </w:t>
      </w:r>
      <w:r w:rsidR="00052BF2" w:rsidRPr="00FD211F">
        <w:rPr>
          <w:sz w:val="36"/>
          <w:szCs w:val="36"/>
          <w:rtl/>
        </w:rPr>
        <w:t>فان المسبب العقلائي وكذا المسبب الشخصي في العقد العربي غير المسبب العقلائي والشخصي في العقد الفارسي او المعاطاتي</w:t>
      </w:r>
      <w:r w:rsidR="00603323" w:rsidRPr="00FD211F">
        <w:rPr>
          <w:sz w:val="36"/>
          <w:szCs w:val="36"/>
          <w:rtl/>
        </w:rPr>
        <w:t xml:space="preserve">، </w:t>
      </w:r>
      <w:r w:rsidR="00052BF2" w:rsidRPr="00FD211F">
        <w:rPr>
          <w:sz w:val="36"/>
          <w:szCs w:val="36"/>
          <w:rtl/>
        </w:rPr>
        <w:t>فليس هناك مسبب خارجي واحد له اسباب عديد</w:t>
      </w:r>
      <w:r w:rsidR="00EC7EDF" w:rsidRPr="00FD211F">
        <w:rPr>
          <w:sz w:val="36"/>
          <w:szCs w:val="36"/>
          <w:rtl/>
        </w:rPr>
        <w:t xml:space="preserve">ة </w:t>
      </w:r>
      <w:r w:rsidR="00052BF2" w:rsidRPr="00FD211F">
        <w:rPr>
          <w:sz w:val="36"/>
          <w:szCs w:val="36"/>
          <w:rtl/>
        </w:rPr>
        <w:t>كي يقال بعدم دلال</w:t>
      </w:r>
      <w:r w:rsidR="00EC7EDF" w:rsidRPr="00FD211F">
        <w:rPr>
          <w:sz w:val="36"/>
          <w:szCs w:val="36"/>
          <w:rtl/>
        </w:rPr>
        <w:t xml:space="preserve">ة </w:t>
      </w:r>
      <w:r w:rsidR="00052BF2" w:rsidRPr="00FD211F">
        <w:rPr>
          <w:sz w:val="36"/>
          <w:szCs w:val="36"/>
          <w:rtl/>
        </w:rPr>
        <w:t>امضاءه على امضاء جميع اسبابه</w:t>
      </w:r>
      <w:r w:rsidR="009C58C8" w:rsidRPr="00FD211F">
        <w:rPr>
          <w:rStyle w:val="a6"/>
          <w:sz w:val="36"/>
          <w:szCs w:val="36"/>
          <w:rtl/>
        </w:rPr>
        <w:t>(</w:t>
      </w:r>
      <w:r w:rsidR="009C58C8" w:rsidRPr="00FD211F">
        <w:rPr>
          <w:rStyle w:val="a6"/>
          <w:sz w:val="36"/>
          <w:szCs w:val="36"/>
          <w:rtl/>
        </w:rPr>
        <w:footnoteReference w:id="447"/>
      </w:r>
      <w:r w:rsidR="009C58C8" w:rsidRPr="00FD211F">
        <w:rPr>
          <w:rStyle w:val="a6"/>
          <w:sz w:val="36"/>
          <w:szCs w:val="36"/>
          <w:rtl/>
        </w:rPr>
        <w:t>)</w:t>
      </w:r>
      <w:r w:rsidR="00052BF2" w:rsidRPr="00FD211F">
        <w:rPr>
          <w:sz w:val="36"/>
          <w:szCs w:val="36"/>
          <w:rtl/>
        </w:rPr>
        <w:t>.</w:t>
      </w:r>
    </w:p>
    <w:p w14:paraId="342BC2DA" w14:textId="77777777" w:rsidR="00052BF2" w:rsidRPr="00FD211F" w:rsidRDefault="00052BF2" w:rsidP="009C58C8">
      <w:pPr>
        <w:ind w:left="0" w:firstLine="227"/>
        <w:jc w:val="both"/>
        <w:rPr>
          <w:sz w:val="36"/>
          <w:szCs w:val="36"/>
          <w:rtl/>
        </w:rPr>
      </w:pPr>
      <w:r w:rsidRPr="00FD211F">
        <w:rPr>
          <w:sz w:val="36"/>
          <w:szCs w:val="36"/>
          <w:rtl/>
        </w:rPr>
        <w:t>وقد اورد في البحوث على ما ذكره السيد الخوئي</w:t>
      </w:r>
      <w:r w:rsidR="00A61BAE" w:rsidRPr="00FD211F">
        <w:rPr>
          <w:sz w:val="36"/>
          <w:szCs w:val="36"/>
          <w:rtl/>
        </w:rPr>
        <w:t xml:space="preserve"> </w:t>
      </w:r>
      <w:r w:rsidR="00A24412" w:rsidRPr="00FD211F">
        <w:rPr>
          <w:sz w:val="36"/>
          <w:szCs w:val="36"/>
          <w:rtl/>
        </w:rPr>
        <w:t>"قده"</w:t>
      </w:r>
      <w:r w:rsidR="00A61BAE" w:rsidRPr="00FD211F">
        <w:rPr>
          <w:sz w:val="36"/>
          <w:szCs w:val="36"/>
          <w:rtl/>
        </w:rPr>
        <w:t xml:space="preserve"> </w:t>
      </w:r>
      <w:r w:rsidRPr="00FD211F">
        <w:rPr>
          <w:sz w:val="36"/>
          <w:szCs w:val="36"/>
          <w:rtl/>
        </w:rPr>
        <w:t>بان المعامل</w:t>
      </w:r>
      <w:r w:rsidR="00EC7EDF" w:rsidRPr="00FD211F">
        <w:rPr>
          <w:sz w:val="36"/>
          <w:szCs w:val="36"/>
          <w:rtl/>
        </w:rPr>
        <w:t xml:space="preserve">ة </w:t>
      </w:r>
      <w:r w:rsidRPr="00FD211F">
        <w:rPr>
          <w:sz w:val="36"/>
          <w:szCs w:val="36"/>
          <w:rtl/>
        </w:rPr>
        <w:t>بمعنى المسبب ليس هو المنشأ الشخصي القائم بنفس المتعاملين</w:t>
      </w:r>
      <w:r w:rsidR="00603323" w:rsidRPr="00FD211F">
        <w:rPr>
          <w:sz w:val="36"/>
          <w:szCs w:val="36"/>
          <w:rtl/>
        </w:rPr>
        <w:t xml:space="preserve">، </w:t>
      </w:r>
      <w:r w:rsidRPr="00FD211F">
        <w:rPr>
          <w:sz w:val="36"/>
          <w:szCs w:val="36"/>
          <w:rtl/>
        </w:rPr>
        <w:t>بل هو النتيج</w:t>
      </w:r>
      <w:r w:rsidR="00EC7EDF" w:rsidRPr="00FD211F">
        <w:rPr>
          <w:sz w:val="36"/>
          <w:szCs w:val="36"/>
          <w:rtl/>
        </w:rPr>
        <w:t xml:space="preserve">ة </w:t>
      </w:r>
      <w:r w:rsidRPr="00FD211F">
        <w:rPr>
          <w:sz w:val="36"/>
          <w:szCs w:val="36"/>
          <w:rtl/>
        </w:rPr>
        <w:t>القانوني</w:t>
      </w:r>
      <w:r w:rsidR="00EC7EDF" w:rsidRPr="00FD211F">
        <w:rPr>
          <w:sz w:val="36"/>
          <w:szCs w:val="36"/>
          <w:rtl/>
        </w:rPr>
        <w:t xml:space="preserve">ة </w:t>
      </w:r>
      <w:r w:rsidRPr="00FD211F">
        <w:rPr>
          <w:sz w:val="36"/>
          <w:szCs w:val="36"/>
          <w:rtl/>
        </w:rPr>
        <w:t>المتحصل</w:t>
      </w:r>
      <w:r w:rsidR="00EC7EDF" w:rsidRPr="00FD211F">
        <w:rPr>
          <w:sz w:val="36"/>
          <w:szCs w:val="36"/>
          <w:rtl/>
        </w:rPr>
        <w:t xml:space="preserve">ة </w:t>
      </w:r>
      <w:r w:rsidRPr="00FD211F">
        <w:rPr>
          <w:sz w:val="36"/>
          <w:szCs w:val="36"/>
          <w:rtl/>
        </w:rPr>
        <w:t>من المعامل</w:t>
      </w:r>
      <w:r w:rsidR="00EC7EDF" w:rsidRPr="00FD211F">
        <w:rPr>
          <w:sz w:val="36"/>
          <w:szCs w:val="36"/>
          <w:rtl/>
        </w:rPr>
        <w:t xml:space="preserve">ة </w:t>
      </w:r>
      <w:r w:rsidRPr="00FD211F">
        <w:rPr>
          <w:sz w:val="36"/>
          <w:szCs w:val="36"/>
          <w:rtl/>
        </w:rPr>
        <w:t>خارجا</w:t>
      </w:r>
      <w:r w:rsidR="00603323" w:rsidRPr="00FD211F">
        <w:rPr>
          <w:sz w:val="36"/>
          <w:szCs w:val="36"/>
          <w:rtl/>
        </w:rPr>
        <w:t xml:space="preserve">، </w:t>
      </w:r>
      <w:r w:rsidRPr="00FD211F">
        <w:rPr>
          <w:sz w:val="36"/>
          <w:szCs w:val="36"/>
          <w:rtl/>
        </w:rPr>
        <w:t>فامضاء الشارع للمسبب بهذا المعنى بمعنى اعطاء الناس الفرص</w:t>
      </w:r>
      <w:r w:rsidR="00EC7EDF" w:rsidRPr="00FD211F">
        <w:rPr>
          <w:sz w:val="36"/>
          <w:szCs w:val="36"/>
          <w:rtl/>
        </w:rPr>
        <w:t xml:space="preserve">ة </w:t>
      </w:r>
      <w:r w:rsidRPr="00FD211F">
        <w:rPr>
          <w:sz w:val="36"/>
          <w:szCs w:val="36"/>
          <w:rtl/>
        </w:rPr>
        <w:t>على ايجاده في قبال المنع عنه</w:t>
      </w:r>
      <w:r w:rsidR="00603323" w:rsidRPr="00FD211F">
        <w:rPr>
          <w:sz w:val="36"/>
          <w:szCs w:val="36"/>
          <w:rtl/>
        </w:rPr>
        <w:t xml:space="preserve">، </w:t>
      </w:r>
      <w:r w:rsidRPr="00FD211F">
        <w:rPr>
          <w:sz w:val="36"/>
          <w:szCs w:val="36"/>
          <w:rtl/>
        </w:rPr>
        <w:t>والترخيص واعطاء الفرص</w:t>
      </w:r>
      <w:r w:rsidR="00EC7EDF" w:rsidRPr="00FD211F">
        <w:rPr>
          <w:sz w:val="36"/>
          <w:szCs w:val="36"/>
          <w:rtl/>
        </w:rPr>
        <w:t xml:space="preserve">ة </w:t>
      </w:r>
      <w:r w:rsidRPr="00FD211F">
        <w:rPr>
          <w:sz w:val="36"/>
          <w:szCs w:val="36"/>
          <w:rtl/>
        </w:rPr>
        <w:t>لإيجاد مسبب لايقتضي الترخيص في ايجاده عن اي طريق معتبر</w:t>
      </w:r>
      <w:r w:rsidR="009C58C8" w:rsidRPr="00FD211F">
        <w:rPr>
          <w:rStyle w:val="a6"/>
          <w:sz w:val="36"/>
          <w:szCs w:val="36"/>
          <w:rtl/>
        </w:rPr>
        <w:t>(</w:t>
      </w:r>
      <w:r w:rsidR="009C58C8" w:rsidRPr="00FD211F">
        <w:rPr>
          <w:rStyle w:val="a6"/>
          <w:sz w:val="36"/>
          <w:szCs w:val="36"/>
          <w:rtl/>
        </w:rPr>
        <w:footnoteReference w:id="448"/>
      </w:r>
      <w:r w:rsidR="009C58C8" w:rsidRPr="00FD211F">
        <w:rPr>
          <w:rStyle w:val="a6"/>
          <w:sz w:val="36"/>
          <w:szCs w:val="36"/>
          <w:rtl/>
        </w:rPr>
        <w:t>)</w:t>
      </w:r>
      <w:r w:rsidRPr="00FD211F">
        <w:rPr>
          <w:sz w:val="36"/>
          <w:szCs w:val="36"/>
          <w:rtl/>
        </w:rPr>
        <w:t>.</w:t>
      </w:r>
    </w:p>
    <w:p w14:paraId="0DDEF29A" w14:textId="77777777" w:rsidR="00052BF2" w:rsidRPr="00FD211F" w:rsidRDefault="00776BC2" w:rsidP="009C58C8">
      <w:pPr>
        <w:ind w:left="0" w:firstLine="227"/>
        <w:jc w:val="both"/>
        <w:rPr>
          <w:sz w:val="36"/>
          <w:szCs w:val="36"/>
          <w:rtl/>
        </w:rPr>
      </w:pPr>
      <w:r w:rsidRPr="00FD211F">
        <w:rPr>
          <w:sz w:val="36"/>
          <w:szCs w:val="36"/>
          <w:rtl/>
        </w:rPr>
        <w:t>أقول</w:t>
      </w:r>
      <w:r w:rsidR="00EC7EDF" w:rsidRPr="00FD211F">
        <w:rPr>
          <w:sz w:val="36"/>
          <w:szCs w:val="36"/>
          <w:rtl/>
        </w:rPr>
        <w:t>:</w:t>
      </w:r>
      <w:r w:rsidR="001F55DE" w:rsidRPr="00FD211F">
        <w:rPr>
          <w:sz w:val="36"/>
          <w:szCs w:val="36"/>
          <w:rtl/>
        </w:rPr>
        <w:t xml:space="preserve"> ان كان ظاهر</w:t>
      </w:r>
      <w:r w:rsidR="00C77C8B" w:rsidRPr="00FD211F">
        <w:rPr>
          <w:sz w:val="36"/>
          <w:szCs w:val="36"/>
          <w:rtl/>
        </w:rPr>
        <w:t xml:space="preserve"> </w:t>
      </w:r>
      <w:r w:rsidR="001F55DE" w:rsidRPr="00FD211F">
        <w:rPr>
          <w:sz w:val="36"/>
          <w:szCs w:val="36"/>
          <w:rtl/>
        </w:rPr>
        <w:t>الحلي</w:t>
      </w:r>
      <w:r w:rsidR="00EC7EDF" w:rsidRPr="00FD211F">
        <w:rPr>
          <w:sz w:val="36"/>
          <w:szCs w:val="36"/>
          <w:rtl/>
        </w:rPr>
        <w:t xml:space="preserve">ة </w:t>
      </w:r>
      <w:r w:rsidR="001F55DE" w:rsidRPr="00FD211F">
        <w:rPr>
          <w:sz w:val="36"/>
          <w:szCs w:val="36"/>
          <w:rtl/>
        </w:rPr>
        <w:t xml:space="preserve">في </w:t>
      </w:r>
      <w:r w:rsidR="0050446C" w:rsidRPr="00FD211F">
        <w:rPr>
          <w:sz w:val="36"/>
          <w:szCs w:val="36"/>
          <w:rtl/>
        </w:rPr>
        <w:t>قوله تعالى "احلَّ الله البيع" الامضاء والحكم ب</w:t>
      </w:r>
      <w:r w:rsidR="001F55DE" w:rsidRPr="00FD211F">
        <w:rPr>
          <w:sz w:val="36"/>
          <w:szCs w:val="36"/>
          <w:rtl/>
        </w:rPr>
        <w:t>النفوذ</w:t>
      </w:r>
      <w:r w:rsidR="00C77C8B" w:rsidRPr="00FD211F">
        <w:rPr>
          <w:sz w:val="36"/>
          <w:szCs w:val="36"/>
          <w:rtl/>
        </w:rPr>
        <w:t xml:space="preserve"> </w:t>
      </w:r>
      <w:r w:rsidR="001F55DE" w:rsidRPr="00FD211F">
        <w:rPr>
          <w:sz w:val="36"/>
          <w:szCs w:val="36"/>
          <w:rtl/>
        </w:rPr>
        <w:t xml:space="preserve">لكان يتم </w:t>
      </w:r>
      <w:r w:rsidR="00052BF2" w:rsidRPr="00FD211F">
        <w:rPr>
          <w:sz w:val="36"/>
          <w:szCs w:val="36"/>
          <w:rtl/>
        </w:rPr>
        <w:t>ما ذكره السيد الخوئي</w:t>
      </w:r>
      <w:r w:rsidR="00A61BAE" w:rsidRPr="00FD211F">
        <w:rPr>
          <w:sz w:val="36"/>
          <w:szCs w:val="36"/>
          <w:rtl/>
        </w:rPr>
        <w:t xml:space="preserve"> </w:t>
      </w:r>
      <w:r w:rsidR="00A24412" w:rsidRPr="00FD211F">
        <w:rPr>
          <w:sz w:val="36"/>
          <w:szCs w:val="36"/>
          <w:rtl/>
        </w:rPr>
        <w:t>"قده"</w:t>
      </w:r>
      <w:r w:rsidR="00A61BAE" w:rsidRPr="00FD211F">
        <w:rPr>
          <w:sz w:val="36"/>
          <w:szCs w:val="36"/>
          <w:rtl/>
        </w:rPr>
        <w:t xml:space="preserve"> </w:t>
      </w:r>
      <w:r w:rsidR="0050446C" w:rsidRPr="00FD211F">
        <w:rPr>
          <w:sz w:val="36"/>
          <w:szCs w:val="36"/>
          <w:rtl/>
        </w:rPr>
        <w:t>حيث انه لو اريد بالبيع</w:t>
      </w:r>
      <w:r w:rsidR="00B253CE" w:rsidRPr="00FD211F">
        <w:rPr>
          <w:sz w:val="36"/>
          <w:szCs w:val="36"/>
          <w:rtl/>
        </w:rPr>
        <w:t xml:space="preserve"> </w:t>
      </w:r>
      <w:r w:rsidR="0050446C" w:rsidRPr="00FD211F">
        <w:rPr>
          <w:sz w:val="36"/>
          <w:szCs w:val="36"/>
          <w:rtl/>
        </w:rPr>
        <w:t>المسبب العقلائي اي</w:t>
      </w:r>
      <w:r w:rsidR="00B253CE" w:rsidRPr="00FD211F">
        <w:rPr>
          <w:sz w:val="36"/>
          <w:szCs w:val="36"/>
          <w:rtl/>
        </w:rPr>
        <w:t xml:space="preserve"> </w:t>
      </w:r>
      <w:r w:rsidR="00052BF2" w:rsidRPr="00FD211F">
        <w:rPr>
          <w:sz w:val="36"/>
          <w:szCs w:val="36"/>
          <w:rtl/>
        </w:rPr>
        <w:t>ايجاد الملكي</w:t>
      </w:r>
      <w:r w:rsidR="00EC7EDF" w:rsidRPr="00FD211F">
        <w:rPr>
          <w:sz w:val="36"/>
          <w:szCs w:val="36"/>
          <w:rtl/>
        </w:rPr>
        <w:t xml:space="preserve">ة </w:t>
      </w:r>
      <w:r w:rsidR="00052BF2" w:rsidRPr="00FD211F">
        <w:rPr>
          <w:sz w:val="36"/>
          <w:szCs w:val="36"/>
          <w:rtl/>
        </w:rPr>
        <w:t>العقلائي</w:t>
      </w:r>
      <w:r w:rsidR="00EC7EDF" w:rsidRPr="00FD211F">
        <w:rPr>
          <w:sz w:val="36"/>
          <w:szCs w:val="36"/>
          <w:rtl/>
        </w:rPr>
        <w:t xml:space="preserve">ة </w:t>
      </w:r>
      <w:r w:rsidR="00052BF2" w:rsidRPr="00FD211F">
        <w:rPr>
          <w:sz w:val="36"/>
          <w:szCs w:val="36"/>
          <w:rtl/>
        </w:rPr>
        <w:t>ف</w:t>
      </w:r>
      <w:r w:rsidR="009155F6" w:rsidRPr="00FD211F">
        <w:rPr>
          <w:sz w:val="36"/>
          <w:szCs w:val="36"/>
          <w:rtl/>
        </w:rPr>
        <w:t>تار</w:t>
      </w:r>
      <w:r w:rsidR="00EC7EDF" w:rsidRPr="00FD211F">
        <w:rPr>
          <w:sz w:val="36"/>
          <w:szCs w:val="36"/>
          <w:rtl/>
        </w:rPr>
        <w:t xml:space="preserve">ة </w:t>
      </w:r>
      <w:r w:rsidR="009155F6" w:rsidRPr="00FD211F">
        <w:rPr>
          <w:sz w:val="36"/>
          <w:szCs w:val="36"/>
          <w:rtl/>
        </w:rPr>
        <w:t>نشك في كون عقد موجدا للملكي</w:t>
      </w:r>
      <w:r w:rsidR="00EC7EDF" w:rsidRPr="00FD211F">
        <w:rPr>
          <w:sz w:val="36"/>
          <w:szCs w:val="36"/>
          <w:rtl/>
        </w:rPr>
        <w:t xml:space="preserve">ة </w:t>
      </w:r>
      <w:r w:rsidR="009155F6" w:rsidRPr="00FD211F">
        <w:rPr>
          <w:sz w:val="36"/>
          <w:szCs w:val="36"/>
          <w:rtl/>
        </w:rPr>
        <w:t>العقلائي</w:t>
      </w:r>
      <w:r w:rsidR="00EC7EDF" w:rsidRPr="00FD211F">
        <w:rPr>
          <w:sz w:val="36"/>
          <w:szCs w:val="36"/>
          <w:rtl/>
        </w:rPr>
        <w:t xml:space="preserve">ة </w:t>
      </w:r>
      <w:r w:rsidR="009155F6" w:rsidRPr="00FD211F">
        <w:rPr>
          <w:sz w:val="36"/>
          <w:szCs w:val="36"/>
          <w:rtl/>
        </w:rPr>
        <w:t>كالعقد المشتمل على التعليق</w:t>
      </w:r>
      <w:r w:rsidR="00603323" w:rsidRPr="00FD211F">
        <w:rPr>
          <w:sz w:val="36"/>
          <w:szCs w:val="36"/>
          <w:rtl/>
        </w:rPr>
        <w:t xml:space="preserve">، </w:t>
      </w:r>
      <w:r w:rsidR="009155F6" w:rsidRPr="00FD211F">
        <w:rPr>
          <w:sz w:val="36"/>
          <w:szCs w:val="36"/>
          <w:rtl/>
        </w:rPr>
        <w:t>فمن الواضح حينئذ عدم امكان التمسك باطلاق دليل الإمضاء</w:t>
      </w:r>
      <w:r w:rsidR="00603323" w:rsidRPr="00FD211F">
        <w:rPr>
          <w:sz w:val="36"/>
          <w:szCs w:val="36"/>
          <w:rtl/>
        </w:rPr>
        <w:t xml:space="preserve">، </w:t>
      </w:r>
      <w:r w:rsidR="009155F6" w:rsidRPr="00FD211F">
        <w:rPr>
          <w:sz w:val="36"/>
          <w:szCs w:val="36"/>
          <w:rtl/>
        </w:rPr>
        <w:t>لصيرورته شبه</w:t>
      </w:r>
      <w:r w:rsidR="00EC7EDF" w:rsidRPr="00FD211F">
        <w:rPr>
          <w:sz w:val="36"/>
          <w:szCs w:val="36"/>
          <w:rtl/>
        </w:rPr>
        <w:t xml:space="preserve">ة </w:t>
      </w:r>
      <w:r w:rsidR="009155F6" w:rsidRPr="00FD211F">
        <w:rPr>
          <w:sz w:val="36"/>
          <w:szCs w:val="36"/>
          <w:rtl/>
        </w:rPr>
        <w:t>مصداقي</w:t>
      </w:r>
      <w:r w:rsidR="00EC7EDF" w:rsidRPr="00FD211F">
        <w:rPr>
          <w:sz w:val="36"/>
          <w:szCs w:val="36"/>
          <w:rtl/>
        </w:rPr>
        <w:t xml:space="preserve">ة </w:t>
      </w:r>
      <w:r w:rsidR="009155F6" w:rsidRPr="00FD211F">
        <w:rPr>
          <w:sz w:val="36"/>
          <w:szCs w:val="36"/>
          <w:rtl/>
        </w:rPr>
        <w:t>لدليل إمضاء إيجاد الملكي</w:t>
      </w:r>
      <w:r w:rsidR="00EC7EDF" w:rsidRPr="00FD211F">
        <w:rPr>
          <w:sz w:val="36"/>
          <w:szCs w:val="36"/>
          <w:rtl/>
        </w:rPr>
        <w:t xml:space="preserve">ة </w:t>
      </w:r>
      <w:r w:rsidR="009155F6" w:rsidRPr="00FD211F">
        <w:rPr>
          <w:sz w:val="36"/>
          <w:szCs w:val="36"/>
          <w:rtl/>
        </w:rPr>
        <w:t>العقلائي</w:t>
      </w:r>
      <w:r w:rsidR="00EC7EDF" w:rsidRPr="00FD211F">
        <w:rPr>
          <w:sz w:val="36"/>
          <w:szCs w:val="36"/>
          <w:rtl/>
        </w:rPr>
        <w:t>ة</w:t>
      </w:r>
      <w:r w:rsidR="00603323" w:rsidRPr="00FD211F">
        <w:rPr>
          <w:sz w:val="36"/>
          <w:szCs w:val="36"/>
          <w:rtl/>
        </w:rPr>
        <w:t xml:space="preserve">، </w:t>
      </w:r>
      <w:r w:rsidR="009155F6" w:rsidRPr="00FD211F">
        <w:rPr>
          <w:sz w:val="36"/>
          <w:szCs w:val="36"/>
          <w:rtl/>
        </w:rPr>
        <w:t>واخرى نحرز ايجاد</w:t>
      </w:r>
      <w:r w:rsidR="00C77C8B" w:rsidRPr="00FD211F">
        <w:rPr>
          <w:sz w:val="36"/>
          <w:szCs w:val="36"/>
          <w:rtl/>
        </w:rPr>
        <w:t xml:space="preserve"> </w:t>
      </w:r>
      <w:r w:rsidR="009155F6" w:rsidRPr="00FD211F">
        <w:rPr>
          <w:sz w:val="36"/>
          <w:szCs w:val="36"/>
          <w:rtl/>
        </w:rPr>
        <w:t>الملكي</w:t>
      </w:r>
      <w:r w:rsidR="00EC7EDF" w:rsidRPr="00FD211F">
        <w:rPr>
          <w:sz w:val="36"/>
          <w:szCs w:val="36"/>
          <w:rtl/>
        </w:rPr>
        <w:t xml:space="preserve">ة </w:t>
      </w:r>
      <w:r w:rsidR="009155F6" w:rsidRPr="00FD211F">
        <w:rPr>
          <w:sz w:val="36"/>
          <w:szCs w:val="36"/>
          <w:rtl/>
        </w:rPr>
        <w:t>العقلائي</w:t>
      </w:r>
      <w:r w:rsidR="00EC7EDF" w:rsidRPr="00FD211F">
        <w:rPr>
          <w:sz w:val="36"/>
          <w:szCs w:val="36"/>
          <w:rtl/>
        </w:rPr>
        <w:t xml:space="preserve">ة </w:t>
      </w:r>
      <w:r w:rsidR="009155F6" w:rsidRPr="00FD211F">
        <w:rPr>
          <w:sz w:val="36"/>
          <w:szCs w:val="36"/>
          <w:rtl/>
        </w:rPr>
        <w:t>بعقد</w:t>
      </w:r>
      <w:r w:rsidR="009C4CE1" w:rsidRPr="00FD211F">
        <w:rPr>
          <w:sz w:val="36"/>
          <w:szCs w:val="36"/>
          <w:rtl/>
        </w:rPr>
        <w:t xml:space="preserve"> كالبيع المعاطاتي</w:t>
      </w:r>
      <w:r w:rsidR="009155F6" w:rsidRPr="00FD211F">
        <w:rPr>
          <w:sz w:val="36"/>
          <w:szCs w:val="36"/>
          <w:rtl/>
        </w:rPr>
        <w:t xml:space="preserve"> و</w:t>
      </w:r>
      <w:r w:rsidR="009C4CE1" w:rsidRPr="00FD211F">
        <w:rPr>
          <w:sz w:val="36"/>
          <w:szCs w:val="36"/>
          <w:rtl/>
        </w:rPr>
        <w:t>ن</w:t>
      </w:r>
      <w:r w:rsidR="009155F6" w:rsidRPr="00FD211F">
        <w:rPr>
          <w:sz w:val="36"/>
          <w:szCs w:val="36"/>
          <w:rtl/>
        </w:rPr>
        <w:t>شك في إمضاءه شرعا</w:t>
      </w:r>
      <w:r w:rsidR="00603323" w:rsidRPr="00FD211F">
        <w:rPr>
          <w:sz w:val="36"/>
          <w:szCs w:val="36"/>
          <w:rtl/>
        </w:rPr>
        <w:t xml:space="preserve">، </w:t>
      </w:r>
      <w:r w:rsidR="0050446C" w:rsidRPr="00FD211F">
        <w:rPr>
          <w:sz w:val="36"/>
          <w:szCs w:val="36"/>
          <w:rtl/>
        </w:rPr>
        <w:t>في</w:t>
      </w:r>
      <w:r w:rsidR="009155F6" w:rsidRPr="00FD211F">
        <w:rPr>
          <w:sz w:val="36"/>
          <w:szCs w:val="36"/>
          <w:rtl/>
        </w:rPr>
        <w:t>كو</w:t>
      </w:r>
      <w:r w:rsidR="004E198B" w:rsidRPr="00FD211F">
        <w:rPr>
          <w:sz w:val="36"/>
          <w:szCs w:val="36"/>
          <w:rtl/>
        </w:rPr>
        <w:t>ن مقتضى</w:t>
      </w:r>
      <w:r w:rsidR="00B253CE" w:rsidRPr="00FD211F">
        <w:rPr>
          <w:sz w:val="36"/>
          <w:szCs w:val="36"/>
          <w:rtl/>
        </w:rPr>
        <w:t xml:space="preserve"> </w:t>
      </w:r>
      <w:r w:rsidR="004E198B" w:rsidRPr="00FD211F">
        <w:rPr>
          <w:sz w:val="36"/>
          <w:szCs w:val="36"/>
          <w:rtl/>
        </w:rPr>
        <w:t>اطلاق الآي</w:t>
      </w:r>
      <w:r w:rsidR="00EC7EDF" w:rsidRPr="00FD211F">
        <w:rPr>
          <w:sz w:val="36"/>
          <w:szCs w:val="36"/>
          <w:rtl/>
        </w:rPr>
        <w:t xml:space="preserve">ة </w:t>
      </w:r>
      <w:r w:rsidR="004E198B" w:rsidRPr="00FD211F">
        <w:rPr>
          <w:sz w:val="36"/>
          <w:szCs w:val="36"/>
          <w:rtl/>
        </w:rPr>
        <w:t>امضاء هذه الملكي</w:t>
      </w:r>
      <w:r w:rsidR="00EC7EDF" w:rsidRPr="00FD211F">
        <w:rPr>
          <w:sz w:val="36"/>
          <w:szCs w:val="36"/>
          <w:rtl/>
        </w:rPr>
        <w:t xml:space="preserve">ة </w:t>
      </w:r>
      <w:r w:rsidR="004E198B" w:rsidRPr="00FD211F">
        <w:rPr>
          <w:sz w:val="36"/>
          <w:szCs w:val="36"/>
          <w:rtl/>
        </w:rPr>
        <w:t>العقلائي</w:t>
      </w:r>
      <w:r w:rsidR="00EC7EDF" w:rsidRPr="00FD211F">
        <w:rPr>
          <w:sz w:val="36"/>
          <w:szCs w:val="36"/>
          <w:rtl/>
        </w:rPr>
        <w:t>ة</w:t>
      </w:r>
      <w:r w:rsidR="00A61BAE" w:rsidRPr="00FD211F">
        <w:rPr>
          <w:sz w:val="36"/>
          <w:szCs w:val="36"/>
          <w:rtl/>
        </w:rPr>
        <w:t>.</w:t>
      </w:r>
    </w:p>
    <w:p w14:paraId="3D0DA369" w14:textId="77777777" w:rsidR="00052BF2" w:rsidRPr="00FD211F" w:rsidRDefault="003C493C" w:rsidP="009C58C8">
      <w:pPr>
        <w:ind w:left="0" w:firstLine="227"/>
        <w:jc w:val="both"/>
        <w:rPr>
          <w:sz w:val="36"/>
          <w:szCs w:val="36"/>
          <w:rtl/>
        </w:rPr>
      </w:pPr>
      <w:r w:rsidRPr="00FD211F">
        <w:rPr>
          <w:sz w:val="36"/>
          <w:szCs w:val="36"/>
          <w:rtl/>
        </w:rPr>
        <w:t>فان الحكم بنفوذ ا</w:t>
      </w:r>
      <w:r w:rsidR="00052BF2" w:rsidRPr="00FD211F">
        <w:rPr>
          <w:sz w:val="36"/>
          <w:szCs w:val="36"/>
          <w:rtl/>
        </w:rPr>
        <w:t>لبيع الذي افترض كونه بمعنى إيجاد الملكي</w:t>
      </w:r>
      <w:r w:rsidR="00EC7EDF" w:rsidRPr="00FD211F">
        <w:rPr>
          <w:sz w:val="36"/>
          <w:szCs w:val="36"/>
          <w:rtl/>
        </w:rPr>
        <w:t xml:space="preserve">ة </w:t>
      </w:r>
      <w:r w:rsidR="00052BF2" w:rsidRPr="00FD211F">
        <w:rPr>
          <w:sz w:val="36"/>
          <w:szCs w:val="36"/>
          <w:rtl/>
        </w:rPr>
        <w:t>العقلائي</w:t>
      </w:r>
      <w:r w:rsidR="00EC7EDF" w:rsidRPr="00FD211F">
        <w:rPr>
          <w:sz w:val="36"/>
          <w:szCs w:val="36"/>
          <w:rtl/>
        </w:rPr>
        <w:t xml:space="preserve">ة </w:t>
      </w:r>
      <w:r w:rsidR="00052BF2" w:rsidRPr="00FD211F">
        <w:rPr>
          <w:sz w:val="36"/>
          <w:szCs w:val="36"/>
          <w:rtl/>
        </w:rPr>
        <w:t>يكون بمعنى الحكم بحصول الملكي</w:t>
      </w:r>
      <w:r w:rsidR="00EC7EDF" w:rsidRPr="00FD211F">
        <w:rPr>
          <w:sz w:val="36"/>
          <w:szCs w:val="36"/>
          <w:rtl/>
        </w:rPr>
        <w:t xml:space="preserve">ة </w:t>
      </w:r>
      <w:r w:rsidR="00052BF2" w:rsidRPr="00FD211F">
        <w:rPr>
          <w:sz w:val="36"/>
          <w:szCs w:val="36"/>
          <w:rtl/>
        </w:rPr>
        <w:t>الشرعي</w:t>
      </w:r>
      <w:r w:rsidR="00EC7EDF" w:rsidRPr="00FD211F">
        <w:rPr>
          <w:sz w:val="36"/>
          <w:szCs w:val="36"/>
          <w:rtl/>
        </w:rPr>
        <w:t xml:space="preserve">ة </w:t>
      </w:r>
      <w:r w:rsidR="00052BF2" w:rsidRPr="00FD211F">
        <w:rPr>
          <w:sz w:val="36"/>
          <w:szCs w:val="36"/>
          <w:rtl/>
        </w:rPr>
        <w:t>عقيبه</w:t>
      </w:r>
      <w:r w:rsidR="00603323" w:rsidRPr="00FD211F">
        <w:rPr>
          <w:sz w:val="36"/>
          <w:szCs w:val="36"/>
          <w:rtl/>
        </w:rPr>
        <w:t xml:space="preserve">، </w:t>
      </w:r>
      <w:r w:rsidR="00052BF2" w:rsidRPr="00FD211F">
        <w:rPr>
          <w:sz w:val="36"/>
          <w:szCs w:val="36"/>
          <w:rtl/>
        </w:rPr>
        <w:t>وحيث ان دليله انحلالي فيشمل ايجاد الملكي</w:t>
      </w:r>
      <w:r w:rsidR="00EC7EDF" w:rsidRPr="00FD211F">
        <w:rPr>
          <w:sz w:val="36"/>
          <w:szCs w:val="36"/>
          <w:rtl/>
        </w:rPr>
        <w:t xml:space="preserve">ة </w:t>
      </w:r>
      <w:r w:rsidR="00052BF2" w:rsidRPr="00FD211F">
        <w:rPr>
          <w:sz w:val="36"/>
          <w:szCs w:val="36"/>
          <w:rtl/>
        </w:rPr>
        <w:t>العقلائي</w:t>
      </w:r>
      <w:r w:rsidR="00EC7EDF" w:rsidRPr="00FD211F">
        <w:rPr>
          <w:sz w:val="36"/>
          <w:szCs w:val="36"/>
          <w:rtl/>
        </w:rPr>
        <w:t xml:space="preserve">ة </w:t>
      </w:r>
      <w:r w:rsidR="00052BF2" w:rsidRPr="00FD211F">
        <w:rPr>
          <w:sz w:val="36"/>
          <w:szCs w:val="36"/>
          <w:rtl/>
        </w:rPr>
        <w:t>بسبب المعاطا</w:t>
      </w:r>
      <w:r w:rsidR="00EC7EDF" w:rsidRPr="00FD211F">
        <w:rPr>
          <w:sz w:val="36"/>
          <w:szCs w:val="36"/>
          <w:rtl/>
        </w:rPr>
        <w:t xml:space="preserve">ة </w:t>
      </w:r>
      <w:r w:rsidR="00052BF2" w:rsidRPr="00FD211F">
        <w:rPr>
          <w:sz w:val="36"/>
          <w:szCs w:val="36"/>
          <w:rtl/>
        </w:rPr>
        <w:t>او العقد الفارسي مثلا</w:t>
      </w:r>
      <w:r w:rsidR="00603323" w:rsidRPr="00FD211F">
        <w:rPr>
          <w:sz w:val="36"/>
          <w:szCs w:val="36"/>
          <w:rtl/>
        </w:rPr>
        <w:t xml:space="preserve">، </w:t>
      </w:r>
      <w:r w:rsidR="00052BF2" w:rsidRPr="00FD211F">
        <w:rPr>
          <w:sz w:val="36"/>
          <w:szCs w:val="36"/>
          <w:rtl/>
        </w:rPr>
        <w:t>و</w:t>
      </w:r>
      <w:r w:rsidR="004E198B" w:rsidRPr="00FD211F">
        <w:rPr>
          <w:sz w:val="36"/>
          <w:szCs w:val="36"/>
          <w:rtl/>
        </w:rPr>
        <w:t>لا وجه لدعوى</w:t>
      </w:r>
      <w:r w:rsidR="00052BF2" w:rsidRPr="00FD211F">
        <w:rPr>
          <w:sz w:val="36"/>
          <w:szCs w:val="36"/>
          <w:rtl/>
        </w:rPr>
        <w:t xml:space="preserve"> انه لايكون دليل امضاء المسبب او الأمر به ناظرا الى حالاته بلحاظ اختلاف اسبابه.</w:t>
      </w:r>
      <w:r w:rsidR="009155F6" w:rsidRPr="00FD211F">
        <w:rPr>
          <w:sz w:val="36"/>
          <w:szCs w:val="36"/>
          <w:rtl/>
        </w:rPr>
        <w:t xml:space="preserve"> ولايقاس المقام بدليل الترخيص التكليفي في ذي المقدم</w:t>
      </w:r>
      <w:r w:rsidR="00EC7EDF" w:rsidRPr="00FD211F">
        <w:rPr>
          <w:sz w:val="36"/>
          <w:szCs w:val="36"/>
          <w:rtl/>
        </w:rPr>
        <w:t xml:space="preserve">ة </w:t>
      </w:r>
      <w:r w:rsidR="009155F6" w:rsidRPr="00FD211F">
        <w:rPr>
          <w:sz w:val="36"/>
          <w:szCs w:val="36"/>
          <w:rtl/>
        </w:rPr>
        <w:t>حيث لايدل على حلي</w:t>
      </w:r>
      <w:r w:rsidR="00EC7EDF" w:rsidRPr="00FD211F">
        <w:rPr>
          <w:sz w:val="36"/>
          <w:szCs w:val="36"/>
          <w:rtl/>
        </w:rPr>
        <w:t xml:space="preserve">ة </w:t>
      </w:r>
      <w:r w:rsidR="009155F6" w:rsidRPr="00FD211F">
        <w:rPr>
          <w:sz w:val="36"/>
          <w:szCs w:val="36"/>
          <w:rtl/>
        </w:rPr>
        <w:t xml:space="preserve">كل افراد مقدمته </w:t>
      </w:r>
    </w:p>
    <w:p w14:paraId="4F42C617" w14:textId="77777777" w:rsidR="00052BF2" w:rsidRPr="00FD211F" w:rsidRDefault="00052BF2" w:rsidP="009C58C8">
      <w:pPr>
        <w:ind w:left="0" w:firstLine="227"/>
        <w:jc w:val="both"/>
        <w:rPr>
          <w:sz w:val="36"/>
          <w:szCs w:val="36"/>
          <w:rtl/>
        </w:rPr>
      </w:pPr>
      <w:r w:rsidRPr="00FD211F">
        <w:rPr>
          <w:sz w:val="36"/>
          <w:szCs w:val="36"/>
          <w:rtl/>
        </w:rPr>
        <w:t xml:space="preserve">وأما ما حكي عن بعض الأعلام </w:t>
      </w:r>
      <w:r w:rsidR="004E198B" w:rsidRPr="00FD211F">
        <w:rPr>
          <w:sz w:val="36"/>
          <w:szCs w:val="36"/>
          <w:rtl/>
        </w:rPr>
        <w:t>"</w:t>
      </w:r>
      <w:r w:rsidRPr="00FD211F">
        <w:rPr>
          <w:sz w:val="36"/>
          <w:szCs w:val="36"/>
          <w:rtl/>
        </w:rPr>
        <w:t>قده</w:t>
      </w:r>
      <w:r w:rsidR="004E198B" w:rsidRPr="00FD211F">
        <w:rPr>
          <w:sz w:val="36"/>
          <w:szCs w:val="36"/>
          <w:rtl/>
        </w:rPr>
        <w:t>"</w:t>
      </w:r>
      <w:r w:rsidRPr="00FD211F">
        <w:rPr>
          <w:sz w:val="36"/>
          <w:szCs w:val="36"/>
          <w:rtl/>
        </w:rPr>
        <w:t xml:space="preserve"> من الفرق بين امضاء المسبب العقلائي وبين الأمر بإيجاد ذلك المسبب</w:t>
      </w:r>
      <w:r w:rsidR="00603323" w:rsidRPr="00FD211F">
        <w:rPr>
          <w:sz w:val="36"/>
          <w:szCs w:val="36"/>
          <w:rtl/>
        </w:rPr>
        <w:t xml:space="preserve">، </w:t>
      </w:r>
      <w:r w:rsidRPr="00FD211F">
        <w:rPr>
          <w:sz w:val="36"/>
          <w:szCs w:val="36"/>
          <w:rtl/>
        </w:rPr>
        <w:t>حيث يظهر من الأول امضاء جميع اسبابه بخلاف الثاني</w:t>
      </w:r>
      <w:r w:rsidR="009C58C8" w:rsidRPr="00FD211F">
        <w:rPr>
          <w:rStyle w:val="a6"/>
          <w:sz w:val="36"/>
          <w:szCs w:val="36"/>
          <w:rtl/>
        </w:rPr>
        <w:t>(</w:t>
      </w:r>
      <w:r w:rsidR="009C58C8" w:rsidRPr="00FD211F">
        <w:rPr>
          <w:rStyle w:val="a6"/>
          <w:sz w:val="36"/>
          <w:szCs w:val="36"/>
          <w:rtl/>
        </w:rPr>
        <w:footnoteReference w:id="449"/>
      </w:r>
      <w:r w:rsidR="009C58C8" w:rsidRPr="00FD211F">
        <w:rPr>
          <w:rStyle w:val="a6"/>
          <w:sz w:val="36"/>
          <w:szCs w:val="36"/>
          <w:rtl/>
        </w:rPr>
        <w:t>)</w:t>
      </w:r>
      <w:r w:rsidR="00603323" w:rsidRPr="00FD211F">
        <w:rPr>
          <w:sz w:val="36"/>
          <w:szCs w:val="36"/>
          <w:rtl/>
        </w:rPr>
        <w:t xml:space="preserve">، </w:t>
      </w:r>
      <w:r w:rsidRPr="00FD211F">
        <w:rPr>
          <w:sz w:val="36"/>
          <w:szCs w:val="36"/>
          <w:rtl/>
        </w:rPr>
        <w:t>فيلاحظ عليه انه في فرض الأمر بإيجاد المسبب العقلائي ايضا يمكن التمسك بالاطلاق للاكتفاء بايجاد المسبب العقلائي باي سبب كان</w:t>
      </w:r>
      <w:r w:rsidR="00603323" w:rsidRPr="00FD211F">
        <w:rPr>
          <w:sz w:val="36"/>
          <w:szCs w:val="36"/>
          <w:rtl/>
        </w:rPr>
        <w:t xml:space="preserve">، </w:t>
      </w:r>
      <w:r w:rsidRPr="00FD211F">
        <w:rPr>
          <w:sz w:val="36"/>
          <w:szCs w:val="36"/>
          <w:rtl/>
        </w:rPr>
        <w:t>نعم دليل الترخيص التكليفي في ايجاده لايدل على الترخيص في جميع اسبابه.</w:t>
      </w:r>
    </w:p>
    <w:p w14:paraId="4FB63D1E" w14:textId="77777777" w:rsidR="0017269B" w:rsidRPr="00FD211F" w:rsidRDefault="00F274AB" w:rsidP="00C77C8B">
      <w:pPr>
        <w:ind w:left="0" w:firstLine="227"/>
        <w:jc w:val="both"/>
        <w:rPr>
          <w:sz w:val="36"/>
          <w:szCs w:val="36"/>
          <w:rtl/>
        </w:rPr>
      </w:pPr>
      <w:r w:rsidRPr="00FD211F">
        <w:rPr>
          <w:sz w:val="36"/>
          <w:szCs w:val="36"/>
          <w:rtl/>
        </w:rPr>
        <w:t>وكيف كان فلو كان الظاهر من الآية هو الحكم بنفوذ البيع تم ما ذكره السيد الخوئي "قده"من اطلاق الآية بلحاظ الاسباب</w:t>
      </w:r>
      <w:r w:rsidR="00603323" w:rsidRPr="00FD211F">
        <w:rPr>
          <w:sz w:val="36"/>
          <w:szCs w:val="36"/>
          <w:rtl/>
        </w:rPr>
        <w:t xml:space="preserve">، </w:t>
      </w:r>
      <w:r w:rsidR="000A1B20" w:rsidRPr="00FD211F">
        <w:rPr>
          <w:sz w:val="36"/>
          <w:szCs w:val="36"/>
          <w:rtl/>
        </w:rPr>
        <w:t>لكن الظاهر</w:t>
      </w:r>
      <w:r w:rsidR="00C77C8B" w:rsidRPr="00FD211F">
        <w:rPr>
          <w:sz w:val="36"/>
          <w:szCs w:val="36"/>
          <w:rtl/>
        </w:rPr>
        <w:t xml:space="preserve"> </w:t>
      </w:r>
      <w:r w:rsidR="000A1B20" w:rsidRPr="00FD211F">
        <w:rPr>
          <w:sz w:val="36"/>
          <w:szCs w:val="36"/>
          <w:rtl/>
        </w:rPr>
        <w:t>من الحلي</w:t>
      </w:r>
      <w:r w:rsidR="00EC7EDF" w:rsidRPr="00FD211F">
        <w:rPr>
          <w:sz w:val="36"/>
          <w:szCs w:val="36"/>
          <w:rtl/>
        </w:rPr>
        <w:t xml:space="preserve">ة </w:t>
      </w:r>
      <w:r w:rsidR="000A1B20" w:rsidRPr="00FD211F">
        <w:rPr>
          <w:sz w:val="36"/>
          <w:szCs w:val="36"/>
          <w:rtl/>
        </w:rPr>
        <w:t>في الآي</w:t>
      </w:r>
      <w:r w:rsidR="00EC7EDF" w:rsidRPr="00FD211F">
        <w:rPr>
          <w:sz w:val="36"/>
          <w:szCs w:val="36"/>
          <w:rtl/>
        </w:rPr>
        <w:t xml:space="preserve">ة </w:t>
      </w:r>
      <w:r w:rsidR="000A1B20" w:rsidRPr="00FD211F">
        <w:rPr>
          <w:sz w:val="36"/>
          <w:szCs w:val="36"/>
          <w:rtl/>
        </w:rPr>
        <w:t>بيان أن البيع مسموح فيه</w:t>
      </w:r>
      <w:r w:rsidR="00603323" w:rsidRPr="00FD211F">
        <w:rPr>
          <w:sz w:val="36"/>
          <w:szCs w:val="36"/>
          <w:rtl/>
        </w:rPr>
        <w:t xml:space="preserve">، </w:t>
      </w:r>
      <w:r w:rsidR="00BD10E7" w:rsidRPr="00FD211F">
        <w:rPr>
          <w:sz w:val="36"/>
          <w:szCs w:val="36"/>
          <w:rtl/>
        </w:rPr>
        <w:t>ففرق بين ان يقال أمضى الله البيع وبين أن يقال رخص الله في البيع</w:t>
      </w:r>
      <w:r w:rsidR="00603323" w:rsidRPr="00FD211F">
        <w:rPr>
          <w:sz w:val="36"/>
          <w:szCs w:val="36"/>
          <w:rtl/>
        </w:rPr>
        <w:t xml:space="preserve">، </w:t>
      </w:r>
      <w:r w:rsidR="00BD10E7" w:rsidRPr="00FD211F">
        <w:rPr>
          <w:sz w:val="36"/>
          <w:szCs w:val="36"/>
          <w:rtl/>
        </w:rPr>
        <w:t>فان الاول نا</w:t>
      </w:r>
      <w:r w:rsidR="00C77C8B" w:rsidRPr="00FD211F">
        <w:rPr>
          <w:sz w:val="36"/>
          <w:szCs w:val="36"/>
          <w:rtl/>
        </w:rPr>
        <w:t>ظ</w:t>
      </w:r>
      <w:r w:rsidR="00BD10E7" w:rsidRPr="00FD211F">
        <w:rPr>
          <w:sz w:val="36"/>
          <w:szCs w:val="36"/>
          <w:rtl/>
        </w:rPr>
        <w:t>ر</w:t>
      </w:r>
      <w:r w:rsidR="00C77C8B" w:rsidRPr="00FD211F">
        <w:rPr>
          <w:sz w:val="36"/>
          <w:szCs w:val="36"/>
          <w:rtl/>
        </w:rPr>
        <w:t xml:space="preserve"> </w:t>
      </w:r>
      <w:r w:rsidR="00BD10E7" w:rsidRPr="00FD211F">
        <w:rPr>
          <w:sz w:val="36"/>
          <w:szCs w:val="36"/>
          <w:rtl/>
        </w:rPr>
        <w:t>الى ما</w:t>
      </w:r>
      <w:r w:rsidR="00C77C8B" w:rsidRPr="00FD211F">
        <w:rPr>
          <w:sz w:val="36"/>
          <w:szCs w:val="36"/>
          <w:rtl/>
        </w:rPr>
        <w:t xml:space="preserve"> </w:t>
      </w:r>
      <w:r w:rsidR="00BD10E7" w:rsidRPr="00FD211F">
        <w:rPr>
          <w:sz w:val="36"/>
          <w:szCs w:val="36"/>
          <w:rtl/>
        </w:rPr>
        <w:t>بعد</w:t>
      </w:r>
      <w:r w:rsidR="009C4CE1" w:rsidRPr="00FD211F">
        <w:rPr>
          <w:sz w:val="36"/>
          <w:szCs w:val="36"/>
          <w:rtl/>
        </w:rPr>
        <w:t xml:space="preserve"> </w:t>
      </w:r>
      <w:r w:rsidR="00BD10E7" w:rsidRPr="00FD211F">
        <w:rPr>
          <w:sz w:val="36"/>
          <w:szCs w:val="36"/>
          <w:rtl/>
        </w:rPr>
        <w:t>وقوع البيع وأنه كلما</w:t>
      </w:r>
      <w:r w:rsidR="009C4CE1" w:rsidRPr="00FD211F">
        <w:rPr>
          <w:sz w:val="36"/>
          <w:szCs w:val="36"/>
          <w:rtl/>
        </w:rPr>
        <w:t xml:space="preserve"> </w:t>
      </w:r>
      <w:r w:rsidR="00BD10E7" w:rsidRPr="00FD211F">
        <w:rPr>
          <w:sz w:val="36"/>
          <w:szCs w:val="36"/>
          <w:rtl/>
        </w:rPr>
        <w:t>وجد</w:t>
      </w:r>
      <w:r w:rsidR="009C4CE1" w:rsidRPr="00FD211F">
        <w:rPr>
          <w:sz w:val="36"/>
          <w:szCs w:val="36"/>
          <w:rtl/>
        </w:rPr>
        <w:t xml:space="preserve"> </w:t>
      </w:r>
      <w:r w:rsidR="00BD10E7" w:rsidRPr="00FD211F">
        <w:rPr>
          <w:sz w:val="36"/>
          <w:szCs w:val="36"/>
          <w:rtl/>
        </w:rPr>
        <w:t>بيع فهو</w:t>
      </w:r>
      <w:r w:rsidR="009C4CE1" w:rsidRPr="00FD211F">
        <w:rPr>
          <w:sz w:val="36"/>
          <w:szCs w:val="36"/>
          <w:rtl/>
        </w:rPr>
        <w:t xml:space="preserve"> </w:t>
      </w:r>
      <w:r w:rsidR="00BD10E7" w:rsidRPr="00FD211F">
        <w:rPr>
          <w:sz w:val="36"/>
          <w:szCs w:val="36"/>
          <w:rtl/>
        </w:rPr>
        <w:t>ممضى</w:t>
      </w:r>
      <w:r w:rsidR="00603323" w:rsidRPr="00FD211F">
        <w:rPr>
          <w:sz w:val="36"/>
          <w:szCs w:val="36"/>
          <w:rtl/>
        </w:rPr>
        <w:t xml:space="preserve">، </w:t>
      </w:r>
      <w:r w:rsidR="00BD10E7" w:rsidRPr="00FD211F">
        <w:rPr>
          <w:sz w:val="36"/>
          <w:szCs w:val="36"/>
          <w:rtl/>
        </w:rPr>
        <w:t xml:space="preserve">ولكن الثاني </w:t>
      </w:r>
      <w:r w:rsidR="00384F3F" w:rsidRPr="00FD211F">
        <w:rPr>
          <w:sz w:val="36"/>
          <w:szCs w:val="36"/>
          <w:rtl/>
        </w:rPr>
        <w:t>ناظر</w:t>
      </w:r>
      <w:r w:rsidR="009C4CE1" w:rsidRPr="00FD211F">
        <w:rPr>
          <w:sz w:val="36"/>
          <w:szCs w:val="36"/>
          <w:rtl/>
        </w:rPr>
        <w:t xml:space="preserve"> </w:t>
      </w:r>
      <w:r w:rsidR="00384F3F" w:rsidRPr="00FD211F">
        <w:rPr>
          <w:sz w:val="36"/>
          <w:szCs w:val="36"/>
          <w:rtl/>
        </w:rPr>
        <w:t>الي ما</w:t>
      </w:r>
      <w:r w:rsidR="009C4CE1" w:rsidRPr="00FD211F">
        <w:rPr>
          <w:sz w:val="36"/>
          <w:szCs w:val="36"/>
          <w:rtl/>
        </w:rPr>
        <w:t xml:space="preserve"> </w:t>
      </w:r>
      <w:r w:rsidR="00384F3F" w:rsidRPr="00FD211F">
        <w:rPr>
          <w:sz w:val="36"/>
          <w:szCs w:val="36"/>
          <w:rtl/>
        </w:rPr>
        <w:t>قبل البيع وكون حلي</w:t>
      </w:r>
      <w:r w:rsidR="00EC7EDF" w:rsidRPr="00FD211F">
        <w:rPr>
          <w:sz w:val="36"/>
          <w:szCs w:val="36"/>
          <w:rtl/>
        </w:rPr>
        <w:t xml:space="preserve">ة </w:t>
      </w:r>
      <w:r w:rsidR="00384F3F" w:rsidRPr="00FD211F">
        <w:rPr>
          <w:sz w:val="36"/>
          <w:szCs w:val="36"/>
          <w:rtl/>
        </w:rPr>
        <w:t>البيع ظاهر</w:t>
      </w:r>
      <w:r w:rsidR="00EC7EDF" w:rsidRPr="00FD211F">
        <w:rPr>
          <w:sz w:val="36"/>
          <w:szCs w:val="36"/>
          <w:rtl/>
        </w:rPr>
        <w:t xml:space="preserve">ة </w:t>
      </w:r>
      <w:r w:rsidR="00384F3F" w:rsidRPr="00FD211F">
        <w:rPr>
          <w:sz w:val="36"/>
          <w:szCs w:val="36"/>
          <w:rtl/>
        </w:rPr>
        <w:t>في الحلي</w:t>
      </w:r>
      <w:r w:rsidR="00EC7EDF" w:rsidRPr="00FD211F">
        <w:rPr>
          <w:sz w:val="36"/>
          <w:szCs w:val="36"/>
          <w:rtl/>
        </w:rPr>
        <w:t xml:space="preserve">ة </w:t>
      </w:r>
      <w:r w:rsidR="00384F3F" w:rsidRPr="00FD211F">
        <w:rPr>
          <w:sz w:val="36"/>
          <w:szCs w:val="36"/>
          <w:rtl/>
        </w:rPr>
        <w:t>الوضعي</w:t>
      </w:r>
      <w:r w:rsidR="00EC7EDF" w:rsidRPr="00FD211F">
        <w:rPr>
          <w:sz w:val="36"/>
          <w:szCs w:val="36"/>
          <w:rtl/>
        </w:rPr>
        <w:t xml:space="preserve">ة </w:t>
      </w:r>
      <w:r w:rsidR="004520C1" w:rsidRPr="00FD211F">
        <w:rPr>
          <w:sz w:val="36"/>
          <w:szCs w:val="36"/>
          <w:rtl/>
        </w:rPr>
        <w:t xml:space="preserve">لاينافي ان </w:t>
      </w:r>
      <w:r w:rsidR="00384F3F" w:rsidRPr="00FD211F">
        <w:rPr>
          <w:sz w:val="36"/>
          <w:szCs w:val="36"/>
          <w:rtl/>
        </w:rPr>
        <w:t>يكون مدلولها</w:t>
      </w:r>
      <w:r w:rsidR="009C4CE1" w:rsidRPr="00FD211F">
        <w:rPr>
          <w:sz w:val="36"/>
          <w:szCs w:val="36"/>
          <w:rtl/>
        </w:rPr>
        <w:t xml:space="preserve"> </w:t>
      </w:r>
      <w:r w:rsidR="00384F3F" w:rsidRPr="00FD211F">
        <w:rPr>
          <w:sz w:val="36"/>
          <w:szCs w:val="36"/>
          <w:rtl/>
        </w:rPr>
        <w:t>الاستعمالي هوالترخيص ف</w:t>
      </w:r>
      <w:r w:rsidR="0017269B" w:rsidRPr="00FD211F">
        <w:rPr>
          <w:sz w:val="36"/>
          <w:szCs w:val="36"/>
          <w:rtl/>
        </w:rPr>
        <w:t>كأنه قال ان الله أعطاكم فرص</w:t>
      </w:r>
      <w:r w:rsidR="00EC7EDF" w:rsidRPr="00FD211F">
        <w:rPr>
          <w:sz w:val="36"/>
          <w:szCs w:val="36"/>
          <w:rtl/>
        </w:rPr>
        <w:t xml:space="preserve">ة </w:t>
      </w:r>
      <w:r w:rsidR="0017269B" w:rsidRPr="00FD211F">
        <w:rPr>
          <w:sz w:val="36"/>
          <w:szCs w:val="36"/>
          <w:rtl/>
        </w:rPr>
        <w:t>لايجاد</w:t>
      </w:r>
      <w:r w:rsidR="009C4CE1" w:rsidRPr="00FD211F">
        <w:rPr>
          <w:sz w:val="36"/>
          <w:szCs w:val="36"/>
          <w:rtl/>
        </w:rPr>
        <w:t xml:space="preserve"> </w:t>
      </w:r>
      <w:r w:rsidR="0017269B" w:rsidRPr="00FD211F">
        <w:rPr>
          <w:sz w:val="36"/>
          <w:szCs w:val="36"/>
          <w:rtl/>
        </w:rPr>
        <w:t>البيع وحيث أن المفروض أنه بمعنى المسبب فيكون معناه أن الله أعطاكم فرص</w:t>
      </w:r>
      <w:r w:rsidR="00EC7EDF" w:rsidRPr="00FD211F">
        <w:rPr>
          <w:sz w:val="36"/>
          <w:szCs w:val="36"/>
          <w:rtl/>
        </w:rPr>
        <w:t xml:space="preserve">ة </w:t>
      </w:r>
      <w:r w:rsidR="0017269B" w:rsidRPr="00FD211F">
        <w:rPr>
          <w:sz w:val="36"/>
          <w:szCs w:val="36"/>
          <w:rtl/>
        </w:rPr>
        <w:t>ومك</w:t>
      </w:r>
      <w:r w:rsidR="004520C1" w:rsidRPr="00FD211F">
        <w:rPr>
          <w:sz w:val="36"/>
          <w:szCs w:val="36"/>
          <w:rtl/>
        </w:rPr>
        <w:t>ّ</w:t>
      </w:r>
      <w:r w:rsidR="0017269B" w:rsidRPr="00FD211F">
        <w:rPr>
          <w:sz w:val="36"/>
          <w:szCs w:val="36"/>
          <w:rtl/>
        </w:rPr>
        <w:t>نكم من ايجادالملكي</w:t>
      </w:r>
      <w:r w:rsidR="00EC7EDF" w:rsidRPr="00FD211F">
        <w:rPr>
          <w:sz w:val="36"/>
          <w:szCs w:val="36"/>
          <w:rtl/>
        </w:rPr>
        <w:t xml:space="preserve">ة </w:t>
      </w:r>
      <w:r w:rsidR="0017269B" w:rsidRPr="00FD211F">
        <w:rPr>
          <w:sz w:val="36"/>
          <w:szCs w:val="36"/>
          <w:rtl/>
        </w:rPr>
        <w:t>العقلائي</w:t>
      </w:r>
      <w:r w:rsidR="00EC7EDF" w:rsidRPr="00FD211F">
        <w:rPr>
          <w:sz w:val="36"/>
          <w:szCs w:val="36"/>
          <w:rtl/>
        </w:rPr>
        <w:t xml:space="preserve">ة </w:t>
      </w:r>
      <w:r w:rsidR="0017269B" w:rsidRPr="00FD211F">
        <w:rPr>
          <w:sz w:val="36"/>
          <w:szCs w:val="36"/>
          <w:rtl/>
        </w:rPr>
        <w:t>ومن الواضح أنه لايقتضي التمكن من ذلك بأي سبب</w:t>
      </w:r>
      <w:r w:rsidR="003D4DE2" w:rsidRPr="00FD211F">
        <w:rPr>
          <w:sz w:val="36"/>
          <w:szCs w:val="36"/>
          <w:rtl/>
        </w:rPr>
        <w:t>.</w:t>
      </w:r>
    </w:p>
    <w:p w14:paraId="1D537CCB" w14:textId="77777777" w:rsidR="000A1B20" w:rsidRPr="00FD211F" w:rsidRDefault="004520C1" w:rsidP="009C58C8">
      <w:pPr>
        <w:ind w:left="0" w:firstLine="227"/>
        <w:jc w:val="both"/>
        <w:rPr>
          <w:sz w:val="36"/>
          <w:szCs w:val="36"/>
          <w:rtl/>
        </w:rPr>
      </w:pPr>
      <w:r w:rsidRPr="00FD211F">
        <w:rPr>
          <w:sz w:val="36"/>
          <w:szCs w:val="36"/>
          <w:rtl/>
        </w:rPr>
        <w:t>بل يخطر</w:t>
      </w:r>
      <w:r w:rsidR="00A24412" w:rsidRPr="00FD211F">
        <w:rPr>
          <w:sz w:val="36"/>
          <w:szCs w:val="36"/>
          <w:rtl/>
        </w:rPr>
        <w:t xml:space="preserve"> </w:t>
      </w:r>
      <w:r w:rsidRPr="00FD211F">
        <w:rPr>
          <w:sz w:val="36"/>
          <w:szCs w:val="36"/>
          <w:rtl/>
        </w:rPr>
        <w:t xml:space="preserve">بالبال </w:t>
      </w:r>
      <w:r w:rsidR="00F66DA3" w:rsidRPr="00FD211F">
        <w:rPr>
          <w:sz w:val="36"/>
          <w:szCs w:val="36"/>
          <w:rtl/>
        </w:rPr>
        <w:t>أنه وان كان الظاهر</w:t>
      </w:r>
      <w:r w:rsidR="00A24412" w:rsidRPr="00FD211F">
        <w:rPr>
          <w:sz w:val="36"/>
          <w:szCs w:val="36"/>
          <w:rtl/>
        </w:rPr>
        <w:t xml:space="preserve"> </w:t>
      </w:r>
      <w:r w:rsidR="00F66DA3" w:rsidRPr="00FD211F">
        <w:rPr>
          <w:sz w:val="36"/>
          <w:szCs w:val="36"/>
          <w:rtl/>
        </w:rPr>
        <w:t xml:space="preserve">وضع البيع للسبب </w:t>
      </w:r>
      <w:r w:rsidR="00FC5D9F" w:rsidRPr="00FD211F">
        <w:rPr>
          <w:sz w:val="36"/>
          <w:szCs w:val="36"/>
          <w:rtl/>
        </w:rPr>
        <w:t>دون ايجاد</w:t>
      </w:r>
      <w:r w:rsidR="009C4CE1" w:rsidRPr="00FD211F">
        <w:rPr>
          <w:sz w:val="36"/>
          <w:szCs w:val="36"/>
          <w:rtl/>
        </w:rPr>
        <w:t xml:space="preserve"> </w:t>
      </w:r>
      <w:r w:rsidR="00FC5D9F" w:rsidRPr="00FD211F">
        <w:rPr>
          <w:sz w:val="36"/>
          <w:szCs w:val="36"/>
          <w:rtl/>
        </w:rPr>
        <w:t>الملكي</w:t>
      </w:r>
      <w:r w:rsidR="00EC7EDF" w:rsidRPr="00FD211F">
        <w:rPr>
          <w:sz w:val="36"/>
          <w:szCs w:val="36"/>
          <w:rtl/>
        </w:rPr>
        <w:t xml:space="preserve">ة </w:t>
      </w:r>
      <w:r w:rsidR="00FC5D9F" w:rsidRPr="00FD211F">
        <w:rPr>
          <w:sz w:val="36"/>
          <w:szCs w:val="36"/>
          <w:rtl/>
        </w:rPr>
        <w:t>الع</w:t>
      </w:r>
      <w:r w:rsidR="00F274AB" w:rsidRPr="00FD211F">
        <w:rPr>
          <w:sz w:val="36"/>
          <w:szCs w:val="36"/>
          <w:rtl/>
        </w:rPr>
        <w:t>قلائ</w:t>
      </w:r>
      <w:r w:rsidR="00FC5D9F" w:rsidRPr="00FD211F">
        <w:rPr>
          <w:sz w:val="36"/>
          <w:szCs w:val="36"/>
          <w:rtl/>
        </w:rPr>
        <w:t>ي</w:t>
      </w:r>
      <w:r w:rsidR="00EC7EDF" w:rsidRPr="00FD211F">
        <w:rPr>
          <w:sz w:val="36"/>
          <w:szCs w:val="36"/>
          <w:rtl/>
        </w:rPr>
        <w:t xml:space="preserve">ة </w:t>
      </w:r>
      <w:r w:rsidR="00FC5D9F" w:rsidRPr="00FD211F">
        <w:rPr>
          <w:sz w:val="36"/>
          <w:szCs w:val="36"/>
          <w:rtl/>
        </w:rPr>
        <w:t>والشرعي</w:t>
      </w:r>
      <w:r w:rsidR="00EC7EDF" w:rsidRPr="00FD211F">
        <w:rPr>
          <w:sz w:val="36"/>
          <w:szCs w:val="36"/>
          <w:rtl/>
        </w:rPr>
        <w:t>ة</w:t>
      </w:r>
      <w:r w:rsidR="00603323" w:rsidRPr="00FD211F">
        <w:rPr>
          <w:sz w:val="36"/>
          <w:szCs w:val="36"/>
          <w:rtl/>
        </w:rPr>
        <w:t xml:space="preserve">، </w:t>
      </w:r>
      <w:r w:rsidR="00F66DA3" w:rsidRPr="00FD211F">
        <w:rPr>
          <w:sz w:val="36"/>
          <w:szCs w:val="36"/>
          <w:rtl/>
        </w:rPr>
        <w:t>لكنه ظاهر</w:t>
      </w:r>
      <w:r w:rsidR="00C77C8B" w:rsidRPr="00FD211F">
        <w:rPr>
          <w:sz w:val="36"/>
          <w:szCs w:val="36"/>
          <w:rtl/>
        </w:rPr>
        <w:t xml:space="preserve"> </w:t>
      </w:r>
      <w:r w:rsidR="00F66DA3" w:rsidRPr="00FD211F">
        <w:rPr>
          <w:sz w:val="36"/>
          <w:szCs w:val="36"/>
          <w:rtl/>
        </w:rPr>
        <w:t>في الماهي</w:t>
      </w:r>
      <w:r w:rsidR="00EC7EDF" w:rsidRPr="00FD211F">
        <w:rPr>
          <w:sz w:val="36"/>
          <w:szCs w:val="36"/>
          <w:rtl/>
        </w:rPr>
        <w:t xml:space="preserve">ة </w:t>
      </w:r>
      <w:r w:rsidR="00F66DA3" w:rsidRPr="00FD211F">
        <w:rPr>
          <w:sz w:val="36"/>
          <w:szCs w:val="36"/>
          <w:rtl/>
        </w:rPr>
        <w:t>الاعتباري</w:t>
      </w:r>
      <w:r w:rsidR="00EC7EDF" w:rsidRPr="00FD211F">
        <w:rPr>
          <w:sz w:val="36"/>
          <w:szCs w:val="36"/>
          <w:rtl/>
        </w:rPr>
        <w:t xml:space="preserve">ة </w:t>
      </w:r>
      <w:r w:rsidR="00F66DA3" w:rsidRPr="00FD211F">
        <w:rPr>
          <w:sz w:val="36"/>
          <w:szCs w:val="36"/>
          <w:rtl/>
        </w:rPr>
        <w:t>التي توجد</w:t>
      </w:r>
      <w:r w:rsidR="00A24412" w:rsidRPr="00FD211F">
        <w:rPr>
          <w:sz w:val="36"/>
          <w:szCs w:val="36"/>
          <w:rtl/>
        </w:rPr>
        <w:t xml:space="preserve"> </w:t>
      </w:r>
      <w:r w:rsidR="00F66DA3" w:rsidRPr="00FD211F">
        <w:rPr>
          <w:sz w:val="36"/>
          <w:szCs w:val="36"/>
          <w:rtl/>
        </w:rPr>
        <w:t>بالايجاب والقبول ويكون لها</w:t>
      </w:r>
      <w:r w:rsidR="00C77C8B" w:rsidRPr="00FD211F">
        <w:rPr>
          <w:sz w:val="36"/>
          <w:szCs w:val="36"/>
          <w:rtl/>
        </w:rPr>
        <w:t xml:space="preserve"> </w:t>
      </w:r>
      <w:r w:rsidR="00F66DA3" w:rsidRPr="00FD211F">
        <w:rPr>
          <w:sz w:val="36"/>
          <w:szCs w:val="36"/>
          <w:rtl/>
        </w:rPr>
        <w:t>حدوث وبقاء</w:t>
      </w:r>
      <w:r w:rsidR="00A24412" w:rsidRPr="00FD211F">
        <w:rPr>
          <w:sz w:val="36"/>
          <w:szCs w:val="36"/>
          <w:rtl/>
        </w:rPr>
        <w:t xml:space="preserve"> </w:t>
      </w:r>
      <w:r w:rsidR="00F66DA3" w:rsidRPr="00FD211F">
        <w:rPr>
          <w:sz w:val="36"/>
          <w:szCs w:val="36"/>
          <w:rtl/>
        </w:rPr>
        <w:t>اعتباري</w:t>
      </w:r>
      <w:r w:rsidR="00603323" w:rsidRPr="00FD211F">
        <w:rPr>
          <w:sz w:val="36"/>
          <w:szCs w:val="36"/>
          <w:rtl/>
        </w:rPr>
        <w:t xml:space="preserve">، </w:t>
      </w:r>
      <w:r w:rsidR="00F66DA3" w:rsidRPr="00FD211F">
        <w:rPr>
          <w:sz w:val="36"/>
          <w:szCs w:val="36"/>
          <w:rtl/>
        </w:rPr>
        <w:t>ولذايقال</w:t>
      </w:r>
      <w:r w:rsidR="00B253CE" w:rsidRPr="00FD211F">
        <w:rPr>
          <w:sz w:val="36"/>
          <w:szCs w:val="36"/>
          <w:rtl/>
        </w:rPr>
        <w:t xml:space="preserve"> </w:t>
      </w:r>
      <w:r w:rsidR="00F66DA3" w:rsidRPr="00FD211F">
        <w:rPr>
          <w:sz w:val="36"/>
          <w:szCs w:val="36"/>
          <w:rtl/>
        </w:rPr>
        <w:t>فسخ البيع أو</w:t>
      </w:r>
      <w:r w:rsidR="00C77C8B" w:rsidRPr="00FD211F">
        <w:rPr>
          <w:sz w:val="36"/>
          <w:szCs w:val="36"/>
          <w:rtl/>
        </w:rPr>
        <w:t xml:space="preserve"> </w:t>
      </w:r>
      <w:r w:rsidR="00F66DA3" w:rsidRPr="00FD211F">
        <w:rPr>
          <w:sz w:val="36"/>
          <w:szCs w:val="36"/>
          <w:rtl/>
        </w:rPr>
        <w:t>انحل البيع</w:t>
      </w:r>
      <w:r w:rsidR="00603323" w:rsidRPr="00FD211F">
        <w:rPr>
          <w:sz w:val="36"/>
          <w:szCs w:val="36"/>
          <w:rtl/>
        </w:rPr>
        <w:t xml:space="preserve">، </w:t>
      </w:r>
      <w:r w:rsidR="00F66DA3" w:rsidRPr="00FD211F">
        <w:rPr>
          <w:sz w:val="36"/>
          <w:szCs w:val="36"/>
          <w:rtl/>
        </w:rPr>
        <w:t>ول</w:t>
      </w:r>
      <w:r w:rsidR="009977FE" w:rsidRPr="00FD211F">
        <w:rPr>
          <w:sz w:val="36"/>
          <w:szCs w:val="36"/>
          <w:rtl/>
        </w:rPr>
        <w:t>و</w:t>
      </w:r>
      <w:r w:rsidR="008D7B3D" w:rsidRPr="00FD211F">
        <w:rPr>
          <w:sz w:val="36"/>
          <w:szCs w:val="36"/>
          <w:rtl/>
        </w:rPr>
        <w:t xml:space="preserve"> لم‌</w:t>
      </w:r>
      <w:r w:rsidR="00F66DA3" w:rsidRPr="00FD211F">
        <w:rPr>
          <w:sz w:val="36"/>
          <w:szCs w:val="36"/>
          <w:rtl/>
        </w:rPr>
        <w:t>يكن له بقاء</w:t>
      </w:r>
      <w:r w:rsidR="00A24412" w:rsidRPr="00FD211F">
        <w:rPr>
          <w:sz w:val="36"/>
          <w:szCs w:val="36"/>
          <w:rtl/>
        </w:rPr>
        <w:t xml:space="preserve"> </w:t>
      </w:r>
      <w:r w:rsidR="00F66DA3" w:rsidRPr="00FD211F">
        <w:rPr>
          <w:sz w:val="36"/>
          <w:szCs w:val="36"/>
          <w:rtl/>
        </w:rPr>
        <w:t>اعتباري</w:t>
      </w:r>
      <w:r w:rsidR="008D7B3D" w:rsidRPr="00FD211F">
        <w:rPr>
          <w:sz w:val="36"/>
          <w:szCs w:val="36"/>
          <w:rtl/>
        </w:rPr>
        <w:t xml:space="preserve"> لم‌</w:t>
      </w:r>
      <w:r w:rsidR="00F66DA3" w:rsidRPr="00FD211F">
        <w:rPr>
          <w:sz w:val="36"/>
          <w:szCs w:val="36"/>
          <w:rtl/>
        </w:rPr>
        <w:t>يصح هذا</w:t>
      </w:r>
      <w:r w:rsidR="00A24412" w:rsidRPr="00FD211F">
        <w:rPr>
          <w:sz w:val="36"/>
          <w:szCs w:val="36"/>
          <w:rtl/>
        </w:rPr>
        <w:t xml:space="preserve"> </w:t>
      </w:r>
      <w:r w:rsidR="00F66DA3" w:rsidRPr="00FD211F">
        <w:rPr>
          <w:sz w:val="36"/>
          <w:szCs w:val="36"/>
          <w:rtl/>
        </w:rPr>
        <w:t>التعبير</w:t>
      </w:r>
      <w:r w:rsidR="00603323" w:rsidRPr="00FD211F">
        <w:rPr>
          <w:sz w:val="36"/>
          <w:szCs w:val="36"/>
          <w:rtl/>
        </w:rPr>
        <w:t xml:space="preserve">، </w:t>
      </w:r>
      <w:r w:rsidR="00F66DA3" w:rsidRPr="00FD211F">
        <w:rPr>
          <w:sz w:val="36"/>
          <w:szCs w:val="36"/>
          <w:rtl/>
        </w:rPr>
        <w:t>وهذه</w:t>
      </w:r>
      <w:r w:rsidR="00FC5D9F" w:rsidRPr="00FD211F">
        <w:rPr>
          <w:sz w:val="36"/>
          <w:szCs w:val="36"/>
          <w:rtl/>
        </w:rPr>
        <w:t xml:space="preserve"> </w:t>
      </w:r>
      <w:r w:rsidR="00F66DA3" w:rsidRPr="00FD211F">
        <w:rPr>
          <w:sz w:val="36"/>
          <w:szCs w:val="36"/>
          <w:rtl/>
        </w:rPr>
        <w:t>الماهي</w:t>
      </w:r>
      <w:r w:rsidR="00EC7EDF" w:rsidRPr="00FD211F">
        <w:rPr>
          <w:sz w:val="36"/>
          <w:szCs w:val="36"/>
          <w:rtl/>
        </w:rPr>
        <w:t xml:space="preserve">ة </w:t>
      </w:r>
      <w:r w:rsidR="00F66DA3" w:rsidRPr="00FD211F">
        <w:rPr>
          <w:sz w:val="36"/>
          <w:szCs w:val="36"/>
          <w:rtl/>
        </w:rPr>
        <w:t>الاعتباري</w:t>
      </w:r>
      <w:r w:rsidR="00EC7EDF" w:rsidRPr="00FD211F">
        <w:rPr>
          <w:sz w:val="36"/>
          <w:szCs w:val="36"/>
          <w:rtl/>
        </w:rPr>
        <w:t xml:space="preserve">ة </w:t>
      </w:r>
      <w:r w:rsidR="00FC5D9F" w:rsidRPr="00FD211F">
        <w:rPr>
          <w:sz w:val="36"/>
          <w:szCs w:val="36"/>
          <w:rtl/>
        </w:rPr>
        <w:t>قدتكون موضوع</w:t>
      </w:r>
      <w:r w:rsidR="00EC7EDF" w:rsidRPr="00FD211F">
        <w:rPr>
          <w:sz w:val="36"/>
          <w:szCs w:val="36"/>
          <w:rtl/>
        </w:rPr>
        <w:t xml:space="preserve">ة </w:t>
      </w:r>
      <w:r w:rsidR="00FC5D9F" w:rsidRPr="00FD211F">
        <w:rPr>
          <w:sz w:val="36"/>
          <w:szCs w:val="36"/>
          <w:rtl/>
        </w:rPr>
        <w:t>للأثر</w:t>
      </w:r>
      <w:r w:rsidR="00A24412" w:rsidRPr="00FD211F">
        <w:rPr>
          <w:sz w:val="36"/>
          <w:szCs w:val="36"/>
          <w:rtl/>
        </w:rPr>
        <w:t xml:space="preserve"> </w:t>
      </w:r>
      <w:r w:rsidR="00FC5D9F" w:rsidRPr="00FD211F">
        <w:rPr>
          <w:sz w:val="36"/>
          <w:szCs w:val="36"/>
          <w:rtl/>
        </w:rPr>
        <w:t>العرفي والشرعي</w:t>
      </w:r>
      <w:r w:rsidR="00603323" w:rsidRPr="00FD211F">
        <w:rPr>
          <w:sz w:val="36"/>
          <w:szCs w:val="36"/>
          <w:rtl/>
        </w:rPr>
        <w:t xml:space="preserve">، </w:t>
      </w:r>
      <w:r w:rsidR="00FC5D9F" w:rsidRPr="00FD211F">
        <w:rPr>
          <w:sz w:val="36"/>
          <w:szCs w:val="36"/>
          <w:rtl/>
        </w:rPr>
        <w:t>والآي</w:t>
      </w:r>
      <w:r w:rsidR="00EC7EDF" w:rsidRPr="00FD211F">
        <w:rPr>
          <w:sz w:val="36"/>
          <w:szCs w:val="36"/>
          <w:rtl/>
        </w:rPr>
        <w:t xml:space="preserve">ة </w:t>
      </w:r>
      <w:r w:rsidR="00FC5D9F" w:rsidRPr="00FD211F">
        <w:rPr>
          <w:sz w:val="36"/>
          <w:szCs w:val="36"/>
          <w:rtl/>
        </w:rPr>
        <w:t>تدل على اعطاء</w:t>
      </w:r>
      <w:r w:rsidR="009C4CE1" w:rsidRPr="00FD211F">
        <w:rPr>
          <w:sz w:val="36"/>
          <w:szCs w:val="36"/>
          <w:rtl/>
        </w:rPr>
        <w:t xml:space="preserve"> </w:t>
      </w:r>
      <w:r w:rsidR="00FC5D9F" w:rsidRPr="00FD211F">
        <w:rPr>
          <w:sz w:val="36"/>
          <w:szCs w:val="36"/>
          <w:rtl/>
        </w:rPr>
        <w:t>الفرص</w:t>
      </w:r>
      <w:r w:rsidR="00EC7EDF" w:rsidRPr="00FD211F">
        <w:rPr>
          <w:sz w:val="36"/>
          <w:szCs w:val="36"/>
          <w:rtl/>
        </w:rPr>
        <w:t xml:space="preserve">ة </w:t>
      </w:r>
      <w:r w:rsidR="00FC5D9F" w:rsidRPr="00FD211F">
        <w:rPr>
          <w:sz w:val="36"/>
          <w:szCs w:val="36"/>
          <w:rtl/>
        </w:rPr>
        <w:t>لا</w:t>
      </w:r>
      <w:r w:rsidRPr="00FD211F">
        <w:rPr>
          <w:sz w:val="36"/>
          <w:szCs w:val="36"/>
          <w:rtl/>
        </w:rPr>
        <w:t>يجاد</w:t>
      </w:r>
      <w:r w:rsidR="009C4CE1" w:rsidRPr="00FD211F">
        <w:rPr>
          <w:sz w:val="36"/>
          <w:szCs w:val="36"/>
          <w:rtl/>
        </w:rPr>
        <w:t xml:space="preserve"> </w:t>
      </w:r>
      <w:r w:rsidRPr="00FD211F">
        <w:rPr>
          <w:sz w:val="36"/>
          <w:szCs w:val="36"/>
          <w:rtl/>
        </w:rPr>
        <w:t>هذه الماهي</w:t>
      </w:r>
      <w:r w:rsidR="00EC7EDF" w:rsidRPr="00FD211F">
        <w:rPr>
          <w:sz w:val="36"/>
          <w:szCs w:val="36"/>
          <w:rtl/>
        </w:rPr>
        <w:t xml:space="preserve">ة </w:t>
      </w:r>
      <w:r w:rsidRPr="00FD211F">
        <w:rPr>
          <w:sz w:val="36"/>
          <w:szCs w:val="36"/>
          <w:rtl/>
        </w:rPr>
        <w:t>الاعتباري</w:t>
      </w:r>
      <w:r w:rsidR="00EC7EDF" w:rsidRPr="00FD211F">
        <w:rPr>
          <w:sz w:val="36"/>
          <w:szCs w:val="36"/>
          <w:rtl/>
        </w:rPr>
        <w:t xml:space="preserve">ة </w:t>
      </w:r>
      <w:r w:rsidRPr="00FD211F">
        <w:rPr>
          <w:sz w:val="36"/>
          <w:szCs w:val="36"/>
          <w:rtl/>
        </w:rPr>
        <w:t>وهذا</w:t>
      </w:r>
      <w:r w:rsidR="009C4CE1" w:rsidRPr="00FD211F">
        <w:rPr>
          <w:sz w:val="36"/>
          <w:szCs w:val="36"/>
          <w:rtl/>
        </w:rPr>
        <w:t xml:space="preserve"> </w:t>
      </w:r>
      <w:r w:rsidRPr="00FD211F">
        <w:rPr>
          <w:sz w:val="36"/>
          <w:szCs w:val="36"/>
          <w:rtl/>
        </w:rPr>
        <w:t>لاي</w:t>
      </w:r>
      <w:r w:rsidR="00FC5D9F" w:rsidRPr="00FD211F">
        <w:rPr>
          <w:sz w:val="36"/>
          <w:szCs w:val="36"/>
          <w:rtl/>
        </w:rPr>
        <w:t>قتضي صح</w:t>
      </w:r>
      <w:r w:rsidR="00EC7EDF" w:rsidRPr="00FD211F">
        <w:rPr>
          <w:sz w:val="36"/>
          <w:szCs w:val="36"/>
          <w:rtl/>
        </w:rPr>
        <w:t xml:space="preserve">ة </w:t>
      </w:r>
      <w:r w:rsidR="00FC5D9F" w:rsidRPr="00FD211F">
        <w:rPr>
          <w:sz w:val="36"/>
          <w:szCs w:val="36"/>
          <w:rtl/>
        </w:rPr>
        <w:t>جميع أسبابها وهكذا</w:t>
      </w:r>
      <w:r w:rsidRPr="00FD211F">
        <w:rPr>
          <w:sz w:val="36"/>
          <w:szCs w:val="36"/>
          <w:rtl/>
        </w:rPr>
        <w:t xml:space="preserve"> </w:t>
      </w:r>
      <w:r w:rsidR="00FC5D9F" w:rsidRPr="00FD211F">
        <w:rPr>
          <w:sz w:val="36"/>
          <w:szCs w:val="36"/>
          <w:rtl/>
        </w:rPr>
        <w:t>الأمر</w:t>
      </w:r>
      <w:r w:rsidR="00C77C8B" w:rsidRPr="00FD211F">
        <w:rPr>
          <w:sz w:val="36"/>
          <w:szCs w:val="36"/>
          <w:rtl/>
        </w:rPr>
        <w:t xml:space="preserve"> </w:t>
      </w:r>
      <w:r w:rsidR="00FC5D9F" w:rsidRPr="00FD211F">
        <w:rPr>
          <w:sz w:val="36"/>
          <w:szCs w:val="36"/>
          <w:rtl/>
        </w:rPr>
        <w:t>فيما</w:t>
      </w:r>
      <w:r w:rsidR="009C4CE1" w:rsidRPr="00FD211F">
        <w:rPr>
          <w:sz w:val="36"/>
          <w:szCs w:val="36"/>
          <w:rtl/>
        </w:rPr>
        <w:t xml:space="preserve"> </w:t>
      </w:r>
      <w:r w:rsidR="00FC5D9F" w:rsidRPr="00FD211F">
        <w:rPr>
          <w:sz w:val="36"/>
          <w:szCs w:val="36"/>
          <w:rtl/>
        </w:rPr>
        <w:t>دل على حلي</w:t>
      </w:r>
      <w:r w:rsidR="00EC7EDF" w:rsidRPr="00FD211F">
        <w:rPr>
          <w:sz w:val="36"/>
          <w:szCs w:val="36"/>
          <w:rtl/>
        </w:rPr>
        <w:t xml:space="preserve">ة </w:t>
      </w:r>
      <w:r w:rsidR="00FC5D9F" w:rsidRPr="00FD211F">
        <w:rPr>
          <w:sz w:val="36"/>
          <w:szCs w:val="36"/>
          <w:rtl/>
        </w:rPr>
        <w:t>النكاح والاجار</w:t>
      </w:r>
      <w:r w:rsidR="00EC7EDF" w:rsidRPr="00FD211F">
        <w:rPr>
          <w:sz w:val="36"/>
          <w:szCs w:val="36"/>
          <w:rtl/>
        </w:rPr>
        <w:t xml:space="preserve">ة </w:t>
      </w:r>
      <w:r w:rsidR="00FC5D9F" w:rsidRPr="00FD211F">
        <w:rPr>
          <w:sz w:val="36"/>
          <w:szCs w:val="36"/>
          <w:rtl/>
        </w:rPr>
        <w:t>ونحوذلك.</w:t>
      </w:r>
    </w:p>
    <w:p w14:paraId="26E749DF" w14:textId="77777777" w:rsidR="00052BF2" w:rsidRPr="00FD211F" w:rsidRDefault="00052BF2" w:rsidP="009C58C8">
      <w:pPr>
        <w:pStyle w:val="3"/>
        <w:ind w:firstLine="227"/>
        <w:jc w:val="both"/>
        <w:rPr>
          <w:rtl/>
        </w:rPr>
      </w:pPr>
      <w:bookmarkStart w:id="403" w:name="_Toc192092936"/>
      <w:bookmarkStart w:id="404" w:name="_Toc223890415"/>
      <w:r w:rsidRPr="00FD211F">
        <w:rPr>
          <w:rtl/>
        </w:rPr>
        <w:t>وضع الفاظ المعاملات على ايجاد السبب</w:t>
      </w:r>
      <w:bookmarkEnd w:id="403"/>
      <w:bookmarkEnd w:id="404"/>
    </w:p>
    <w:p w14:paraId="1209A67D" w14:textId="77777777" w:rsidR="00052BF2" w:rsidRPr="00FD211F" w:rsidRDefault="00052BF2" w:rsidP="009C58C8">
      <w:pPr>
        <w:ind w:left="0" w:firstLine="227"/>
        <w:jc w:val="both"/>
        <w:rPr>
          <w:sz w:val="36"/>
          <w:szCs w:val="36"/>
          <w:rtl/>
        </w:rPr>
      </w:pPr>
      <w:r w:rsidRPr="00FD211F">
        <w:rPr>
          <w:b/>
          <w:bCs/>
          <w:sz w:val="36"/>
          <w:szCs w:val="36"/>
          <w:rtl/>
        </w:rPr>
        <w:t>الخامس</w:t>
      </w:r>
      <w:r w:rsidR="00EC7EDF" w:rsidRPr="00FD211F">
        <w:rPr>
          <w:b/>
          <w:bCs/>
          <w:sz w:val="36"/>
          <w:szCs w:val="36"/>
          <w:rtl/>
        </w:rPr>
        <w:t>ة</w:t>
      </w:r>
      <w:r w:rsidR="00057D31" w:rsidRPr="00FD211F">
        <w:rPr>
          <w:b/>
          <w:bCs/>
          <w:sz w:val="36"/>
          <w:szCs w:val="36"/>
          <w:rtl/>
        </w:rPr>
        <w:t>:</w:t>
      </w:r>
      <w:r w:rsidRPr="00FD211F">
        <w:rPr>
          <w:sz w:val="36"/>
          <w:szCs w:val="36"/>
          <w:rtl/>
        </w:rPr>
        <w:t xml:space="preserve"> قد وقع الكلام في ان الفاظ المعاملات ظاهر</w:t>
      </w:r>
      <w:r w:rsidR="00EC7EDF" w:rsidRPr="00FD211F">
        <w:rPr>
          <w:sz w:val="36"/>
          <w:szCs w:val="36"/>
          <w:rtl/>
        </w:rPr>
        <w:t xml:space="preserve">ة </w:t>
      </w:r>
      <w:r w:rsidRPr="00FD211F">
        <w:rPr>
          <w:sz w:val="36"/>
          <w:szCs w:val="36"/>
          <w:rtl/>
        </w:rPr>
        <w:t>في ايجاد السبب او المسبب فينبغي اولا توضيح المراد من السبب والمسبب</w:t>
      </w:r>
      <w:r w:rsidR="00603323" w:rsidRPr="00FD211F">
        <w:rPr>
          <w:sz w:val="36"/>
          <w:szCs w:val="36"/>
          <w:rtl/>
        </w:rPr>
        <w:t xml:space="preserve">، </w:t>
      </w:r>
      <w:r w:rsidRPr="00FD211F">
        <w:rPr>
          <w:sz w:val="36"/>
          <w:szCs w:val="36"/>
          <w:rtl/>
        </w:rPr>
        <w:t>فإما ان يقال بان السبب متقوم بالاعتبار والإبراز فيعتبر الشخص ملكي</w:t>
      </w:r>
      <w:r w:rsidR="00EC7EDF" w:rsidRPr="00FD211F">
        <w:rPr>
          <w:sz w:val="36"/>
          <w:szCs w:val="36"/>
          <w:rtl/>
        </w:rPr>
        <w:t xml:space="preserve">ة </w:t>
      </w:r>
      <w:r w:rsidRPr="00FD211F">
        <w:rPr>
          <w:sz w:val="36"/>
          <w:szCs w:val="36"/>
          <w:rtl/>
        </w:rPr>
        <w:t>زيد للكتاب ويبرزه بمبرز</w:t>
      </w:r>
      <w:r w:rsidR="00603323" w:rsidRPr="00FD211F">
        <w:rPr>
          <w:sz w:val="36"/>
          <w:szCs w:val="36"/>
          <w:rtl/>
        </w:rPr>
        <w:t xml:space="preserve">، </w:t>
      </w:r>
      <w:r w:rsidRPr="00FD211F">
        <w:rPr>
          <w:sz w:val="36"/>
          <w:szCs w:val="36"/>
          <w:rtl/>
        </w:rPr>
        <w:t>وهذا ما عليه السيد الخوئي</w:t>
      </w:r>
      <w:r w:rsidR="008F14E7" w:rsidRPr="00FD211F">
        <w:rPr>
          <w:sz w:val="36"/>
          <w:szCs w:val="36"/>
          <w:rtl/>
        </w:rPr>
        <w:t xml:space="preserve"> "قده"</w:t>
      </w:r>
      <w:r w:rsidR="00603323" w:rsidRPr="00FD211F">
        <w:rPr>
          <w:sz w:val="36"/>
          <w:szCs w:val="36"/>
          <w:rtl/>
        </w:rPr>
        <w:t xml:space="preserve">، </w:t>
      </w:r>
      <w:r w:rsidRPr="00FD211F">
        <w:rPr>
          <w:sz w:val="36"/>
          <w:szCs w:val="36"/>
          <w:rtl/>
        </w:rPr>
        <w:t>وحينئذ فيكون المراد من التسبب به الى الملكي</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Pr="00FD211F">
        <w:rPr>
          <w:sz w:val="36"/>
          <w:szCs w:val="36"/>
          <w:rtl/>
        </w:rPr>
        <w:t>او الشرعي</w:t>
      </w:r>
      <w:r w:rsidR="00EC7EDF" w:rsidRPr="00FD211F">
        <w:rPr>
          <w:sz w:val="36"/>
          <w:szCs w:val="36"/>
          <w:rtl/>
        </w:rPr>
        <w:t xml:space="preserve">ة </w:t>
      </w:r>
      <w:r w:rsidRPr="00FD211F">
        <w:rPr>
          <w:sz w:val="36"/>
          <w:szCs w:val="36"/>
          <w:rtl/>
        </w:rPr>
        <w:t>مجرد ايجاد الموضوع لهما</w:t>
      </w:r>
      <w:r w:rsidR="00603323" w:rsidRPr="00FD211F">
        <w:rPr>
          <w:sz w:val="36"/>
          <w:szCs w:val="36"/>
          <w:rtl/>
        </w:rPr>
        <w:t xml:space="preserve">، </w:t>
      </w:r>
      <w:r w:rsidRPr="00FD211F">
        <w:rPr>
          <w:sz w:val="36"/>
          <w:szCs w:val="36"/>
          <w:rtl/>
        </w:rPr>
        <w:t>فهما حكمان مترتبان على انشاء المتعاقدين</w:t>
      </w:r>
      <w:r w:rsidR="00603323" w:rsidRPr="00FD211F">
        <w:rPr>
          <w:sz w:val="36"/>
          <w:szCs w:val="36"/>
          <w:rtl/>
        </w:rPr>
        <w:t xml:space="preserve">، </w:t>
      </w:r>
      <w:r w:rsidRPr="00FD211F">
        <w:rPr>
          <w:sz w:val="36"/>
          <w:szCs w:val="36"/>
          <w:rtl/>
        </w:rPr>
        <w:t>ولايوجد في الحقيق</w:t>
      </w:r>
      <w:r w:rsidR="00EC7EDF" w:rsidRPr="00FD211F">
        <w:rPr>
          <w:sz w:val="36"/>
          <w:szCs w:val="36"/>
          <w:rtl/>
        </w:rPr>
        <w:t xml:space="preserve">ة </w:t>
      </w:r>
      <w:r w:rsidRPr="00FD211F">
        <w:rPr>
          <w:sz w:val="36"/>
          <w:szCs w:val="36"/>
          <w:rtl/>
        </w:rPr>
        <w:t>مسبب عقلائي او شرعي</w:t>
      </w:r>
      <w:r w:rsidR="00603323" w:rsidRPr="00FD211F">
        <w:rPr>
          <w:sz w:val="36"/>
          <w:szCs w:val="36"/>
          <w:rtl/>
        </w:rPr>
        <w:t xml:space="preserve">، </w:t>
      </w:r>
      <w:r w:rsidRPr="00FD211F">
        <w:rPr>
          <w:sz w:val="36"/>
          <w:szCs w:val="36"/>
          <w:rtl/>
        </w:rPr>
        <w:t>وأما الملكي</w:t>
      </w:r>
      <w:r w:rsidR="00EC7EDF" w:rsidRPr="00FD211F">
        <w:rPr>
          <w:sz w:val="36"/>
          <w:szCs w:val="36"/>
          <w:rtl/>
        </w:rPr>
        <w:t xml:space="preserve">ة </w:t>
      </w:r>
      <w:r w:rsidRPr="00FD211F">
        <w:rPr>
          <w:sz w:val="36"/>
          <w:szCs w:val="36"/>
          <w:rtl/>
        </w:rPr>
        <w:t>التي اعتبرها الشخص فليست مسبب</w:t>
      </w:r>
      <w:r w:rsidR="00EC7EDF" w:rsidRPr="00FD211F">
        <w:rPr>
          <w:sz w:val="36"/>
          <w:szCs w:val="36"/>
          <w:rtl/>
        </w:rPr>
        <w:t xml:space="preserve">ة </w:t>
      </w:r>
      <w:r w:rsidRPr="00FD211F">
        <w:rPr>
          <w:sz w:val="36"/>
          <w:szCs w:val="36"/>
          <w:rtl/>
        </w:rPr>
        <w:t>للفظ</w:t>
      </w:r>
      <w:r w:rsidR="00603323" w:rsidRPr="00FD211F">
        <w:rPr>
          <w:sz w:val="36"/>
          <w:szCs w:val="36"/>
          <w:rtl/>
        </w:rPr>
        <w:t xml:space="preserve">، </w:t>
      </w:r>
      <w:r w:rsidRPr="00FD211F">
        <w:rPr>
          <w:sz w:val="36"/>
          <w:szCs w:val="36"/>
          <w:rtl/>
        </w:rPr>
        <w:t>بل اللفظ يكون مبرزا لها</w:t>
      </w:r>
      <w:r w:rsidR="00603323" w:rsidRPr="00FD211F">
        <w:rPr>
          <w:sz w:val="36"/>
          <w:szCs w:val="36"/>
          <w:rtl/>
        </w:rPr>
        <w:t xml:space="preserve">، </w:t>
      </w:r>
      <w:r w:rsidRPr="00FD211F">
        <w:rPr>
          <w:sz w:val="36"/>
          <w:szCs w:val="36"/>
          <w:rtl/>
        </w:rPr>
        <w:t>فلايوجد مسبب شخصي أيضا.</w:t>
      </w:r>
    </w:p>
    <w:p w14:paraId="1744BEE9" w14:textId="77777777" w:rsidR="00052BF2" w:rsidRPr="00FD211F" w:rsidRDefault="00052BF2" w:rsidP="009C58C8">
      <w:pPr>
        <w:ind w:left="0" w:firstLine="227"/>
        <w:jc w:val="both"/>
        <w:rPr>
          <w:sz w:val="36"/>
          <w:szCs w:val="36"/>
          <w:rtl/>
        </w:rPr>
      </w:pPr>
      <w:r w:rsidRPr="00FD211F">
        <w:rPr>
          <w:sz w:val="36"/>
          <w:szCs w:val="36"/>
          <w:rtl/>
        </w:rPr>
        <w:t>او يقال بان السبب يعني ايجاد الملكي</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للفظ</w:t>
      </w:r>
      <w:r w:rsidR="00603323" w:rsidRPr="00FD211F">
        <w:rPr>
          <w:sz w:val="36"/>
          <w:szCs w:val="36"/>
          <w:rtl/>
        </w:rPr>
        <w:t xml:space="preserve">، </w:t>
      </w:r>
      <w:r w:rsidRPr="00FD211F">
        <w:rPr>
          <w:sz w:val="36"/>
          <w:szCs w:val="36"/>
          <w:rtl/>
        </w:rPr>
        <w:t>وحينئذ فيكون اللفظ سببا لإيجاد الملكي</w:t>
      </w:r>
      <w:r w:rsidR="00EC7EDF" w:rsidRPr="00FD211F">
        <w:rPr>
          <w:sz w:val="36"/>
          <w:szCs w:val="36"/>
          <w:rtl/>
        </w:rPr>
        <w:t xml:space="preserve">ة </w:t>
      </w:r>
      <w:r w:rsidRPr="00FD211F">
        <w:rPr>
          <w:sz w:val="36"/>
          <w:szCs w:val="36"/>
          <w:rtl/>
        </w:rPr>
        <w:t>الإنشائي</w:t>
      </w:r>
      <w:r w:rsidR="00EC7EDF" w:rsidRPr="00FD211F">
        <w:rPr>
          <w:sz w:val="36"/>
          <w:szCs w:val="36"/>
          <w:rtl/>
        </w:rPr>
        <w:t xml:space="preserve">ة </w:t>
      </w:r>
      <w:r w:rsidRPr="00FD211F">
        <w:rPr>
          <w:sz w:val="36"/>
          <w:szCs w:val="36"/>
          <w:rtl/>
        </w:rPr>
        <w:t>التي يكون منشئها شخص المتعاقدين</w:t>
      </w:r>
      <w:r w:rsidR="00603323" w:rsidRPr="00FD211F">
        <w:rPr>
          <w:sz w:val="36"/>
          <w:szCs w:val="36"/>
          <w:rtl/>
        </w:rPr>
        <w:t xml:space="preserve">، </w:t>
      </w:r>
      <w:r w:rsidRPr="00FD211F">
        <w:rPr>
          <w:sz w:val="36"/>
          <w:szCs w:val="36"/>
          <w:rtl/>
        </w:rPr>
        <w:t>وأما الملكي</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Pr="00FD211F">
        <w:rPr>
          <w:sz w:val="36"/>
          <w:szCs w:val="36"/>
          <w:rtl/>
        </w:rPr>
        <w:t>والشرعي</w:t>
      </w:r>
      <w:r w:rsidR="00EC7EDF" w:rsidRPr="00FD211F">
        <w:rPr>
          <w:sz w:val="36"/>
          <w:szCs w:val="36"/>
          <w:rtl/>
        </w:rPr>
        <w:t xml:space="preserve">ة </w:t>
      </w:r>
      <w:r w:rsidRPr="00FD211F">
        <w:rPr>
          <w:sz w:val="36"/>
          <w:szCs w:val="36"/>
          <w:rtl/>
        </w:rPr>
        <w:t>فهما حكمان مترتبان على هذا الإنشاء.</w:t>
      </w:r>
    </w:p>
    <w:p w14:paraId="435CBEA5" w14:textId="77777777" w:rsidR="00052BF2" w:rsidRPr="00FD211F" w:rsidRDefault="00052BF2" w:rsidP="009C58C8">
      <w:pPr>
        <w:ind w:left="0" w:firstLine="227"/>
        <w:jc w:val="both"/>
        <w:rPr>
          <w:sz w:val="36"/>
          <w:szCs w:val="36"/>
          <w:rtl/>
        </w:rPr>
      </w:pPr>
      <w:r w:rsidRPr="00FD211F">
        <w:rPr>
          <w:sz w:val="36"/>
          <w:szCs w:val="36"/>
          <w:rtl/>
        </w:rPr>
        <w:t>فاذا تبين المراد من السبب والمسبب فنقول ان تحقق البيع حيث لايساوق ثبوت الملكي</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Pr="00FD211F">
        <w:rPr>
          <w:sz w:val="36"/>
          <w:szCs w:val="36"/>
          <w:rtl/>
        </w:rPr>
        <w:t>والشرعي</w:t>
      </w:r>
      <w:r w:rsidR="00EC7EDF" w:rsidRPr="00FD211F">
        <w:rPr>
          <w:sz w:val="36"/>
          <w:szCs w:val="36"/>
          <w:rtl/>
        </w:rPr>
        <w:t xml:space="preserve">ة </w:t>
      </w:r>
      <w:r w:rsidRPr="00FD211F">
        <w:rPr>
          <w:sz w:val="36"/>
          <w:szCs w:val="36"/>
          <w:rtl/>
        </w:rPr>
        <w:t>عقيبه</w:t>
      </w:r>
      <w:r w:rsidR="00603323" w:rsidRPr="00FD211F">
        <w:rPr>
          <w:sz w:val="36"/>
          <w:szCs w:val="36"/>
          <w:rtl/>
        </w:rPr>
        <w:t xml:space="preserve">، </w:t>
      </w:r>
      <w:r w:rsidRPr="00FD211F">
        <w:rPr>
          <w:sz w:val="36"/>
          <w:szCs w:val="36"/>
          <w:rtl/>
        </w:rPr>
        <w:t>لصدق البيع على مثل بيع الغاصب او بيع الحرّ نفسه مع عدم كونه ممضى شرعا وعقلاء فلاوجه لتوهم وضع الفاظ المعاملات على المسبب العقلائي او الشرعي</w:t>
      </w:r>
      <w:r w:rsidR="00603323" w:rsidRPr="00FD211F">
        <w:rPr>
          <w:sz w:val="36"/>
          <w:szCs w:val="36"/>
          <w:rtl/>
        </w:rPr>
        <w:t xml:space="preserve">، </w:t>
      </w:r>
      <w:r w:rsidRPr="00FD211F">
        <w:rPr>
          <w:sz w:val="36"/>
          <w:szCs w:val="36"/>
          <w:rtl/>
        </w:rPr>
        <w:t>كأن يوضع لفظ البيع على ايجاد الملكي</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Pr="00FD211F">
        <w:rPr>
          <w:sz w:val="36"/>
          <w:szCs w:val="36"/>
          <w:rtl/>
        </w:rPr>
        <w:t>او الشرعي</w:t>
      </w:r>
      <w:r w:rsidR="00EC7EDF" w:rsidRPr="00FD211F">
        <w:rPr>
          <w:sz w:val="36"/>
          <w:szCs w:val="36"/>
          <w:rtl/>
        </w:rPr>
        <w:t>ة</w:t>
      </w:r>
      <w:r w:rsidR="00603323" w:rsidRPr="00FD211F">
        <w:rPr>
          <w:sz w:val="36"/>
          <w:szCs w:val="36"/>
          <w:rtl/>
        </w:rPr>
        <w:t xml:space="preserve">، </w:t>
      </w:r>
      <w:r w:rsidRPr="00FD211F">
        <w:rPr>
          <w:sz w:val="36"/>
          <w:szCs w:val="36"/>
          <w:rtl/>
        </w:rPr>
        <w:t>وأما احتمال وضع لفظ البيع على إيجاد المسب الشخصي اي الملكي</w:t>
      </w:r>
      <w:r w:rsidR="00EC7EDF" w:rsidRPr="00FD211F">
        <w:rPr>
          <w:sz w:val="36"/>
          <w:szCs w:val="36"/>
          <w:rtl/>
        </w:rPr>
        <w:t xml:space="preserve">ة </w:t>
      </w:r>
      <w:r w:rsidRPr="00FD211F">
        <w:rPr>
          <w:sz w:val="36"/>
          <w:szCs w:val="36"/>
          <w:rtl/>
        </w:rPr>
        <w:t xml:space="preserve">باعتبار شخص المتعاقدين فمرجعه الى وضع هذا اللفظ لإيجاد </w:t>
      </w:r>
      <w:commentRangeStart w:id="405"/>
      <w:r w:rsidRPr="00FD211F">
        <w:rPr>
          <w:sz w:val="36"/>
          <w:szCs w:val="36"/>
          <w:rtl/>
        </w:rPr>
        <w:t>السبب</w:t>
      </w:r>
      <w:commentRangeEnd w:id="405"/>
      <w:r w:rsidR="00131774">
        <w:rPr>
          <w:rStyle w:val="ab"/>
          <w:rtl/>
        </w:rPr>
        <w:commentReference w:id="405"/>
      </w:r>
      <w:r w:rsidRPr="00FD211F">
        <w:rPr>
          <w:sz w:val="36"/>
          <w:szCs w:val="36"/>
          <w:rtl/>
        </w:rPr>
        <w:t>.</w:t>
      </w:r>
    </w:p>
    <w:p w14:paraId="580A9D27" w14:textId="77777777" w:rsidR="00052BF2" w:rsidRPr="00FD211F" w:rsidRDefault="00052BF2" w:rsidP="009C58C8">
      <w:pPr>
        <w:ind w:left="0" w:firstLine="227"/>
        <w:jc w:val="both"/>
        <w:rPr>
          <w:sz w:val="36"/>
          <w:szCs w:val="36"/>
          <w:rtl/>
        </w:rPr>
      </w:pPr>
      <w:r w:rsidRPr="00FD211F">
        <w:rPr>
          <w:sz w:val="36"/>
          <w:szCs w:val="36"/>
          <w:rtl/>
        </w:rPr>
        <w:t>وقد تبين مما ذكرنا ان ما افاد في البحوث من انه يعتبر في السبب –مضافا الى الإنشاء المتمثل في اللفظ او ما يقوم مقامه</w:t>
      </w:r>
      <w:r w:rsidR="00603323" w:rsidRPr="00FD211F">
        <w:rPr>
          <w:sz w:val="36"/>
          <w:szCs w:val="36"/>
          <w:rtl/>
        </w:rPr>
        <w:t xml:space="preserve">، </w:t>
      </w:r>
      <w:r w:rsidRPr="00FD211F">
        <w:rPr>
          <w:sz w:val="36"/>
          <w:szCs w:val="36"/>
          <w:rtl/>
        </w:rPr>
        <w:t>وكذا المدلول التصديقي للإنشاء وهو الالتزام الشخصي بمضمونه في افق النفس</w:t>
      </w:r>
      <w:r w:rsidR="00603323" w:rsidRPr="00FD211F">
        <w:rPr>
          <w:sz w:val="36"/>
          <w:szCs w:val="36"/>
          <w:rtl/>
        </w:rPr>
        <w:t xml:space="preserve">، </w:t>
      </w:r>
      <w:r w:rsidRPr="00FD211F">
        <w:rPr>
          <w:sz w:val="36"/>
          <w:szCs w:val="36"/>
          <w:rtl/>
        </w:rPr>
        <w:t>فلو</w:t>
      </w:r>
      <w:r w:rsidR="008D7B3D" w:rsidRPr="00FD211F">
        <w:rPr>
          <w:sz w:val="36"/>
          <w:szCs w:val="36"/>
          <w:rtl/>
        </w:rPr>
        <w:t xml:space="preserve"> لم‌</w:t>
      </w:r>
      <w:r w:rsidRPr="00FD211F">
        <w:rPr>
          <w:sz w:val="36"/>
          <w:szCs w:val="36"/>
          <w:rtl/>
        </w:rPr>
        <w:t>يكن جادّا في إنشاءه</w:t>
      </w:r>
      <w:r w:rsidR="008D7B3D" w:rsidRPr="00FD211F">
        <w:rPr>
          <w:sz w:val="36"/>
          <w:szCs w:val="36"/>
          <w:rtl/>
        </w:rPr>
        <w:t xml:space="preserve"> لم‌</w:t>
      </w:r>
      <w:r w:rsidRPr="00FD211F">
        <w:rPr>
          <w:sz w:val="36"/>
          <w:szCs w:val="36"/>
          <w:rtl/>
        </w:rPr>
        <w:t>يتحقق السبب- قصد الشخص التسبب بانشاءه الى ايجاد المسبب العقلائي او الشرعي</w:t>
      </w:r>
      <w:r w:rsidR="00603323" w:rsidRPr="00FD211F">
        <w:rPr>
          <w:sz w:val="36"/>
          <w:szCs w:val="36"/>
          <w:rtl/>
        </w:rPr>
        <w:t xml:space="preserve">، </w:t>
      </w:r>
      <w:r w:rsidRPr="00FD211F">
        <w:rPr>
          <w:sz w:val="36"/>
          <w:szCs w:val="36"/>
          <w:rtl/>
        </w:rPr>
        <w:t>غير متجه</w:t>
      </w:r>
      <w:r w:rsidR="00603323" w:rsidRPr="00FD211F">
        <w:rPr>
          <w:sz w:val="36"/>
          <w:szCs w:val="36"/>
          <w:rtl/>
        </w:rPr>
        <w:t xml:space="preserve">، </w:t>
      </w:r>
      <w:r w:rsidRPr="00FD211F">
        <w:rPr>
          <w:sz w:val="36"/>
          <w:szCs w:val="36"/>
          <w:rtl/>
        </w:rPr>
        <w:t>لانه لاوجه لاعتبار هذا القصد بعد شمول الاطلاقات لفرض اعتقاد الشخص بعدم امضاء العقلاء او الشرع لعقده كما لو باع احد مال نفسه باعتقاد انه مغصوب</w:t>
      </w:r>
      <w:r w:rsidR="00603323" w:rsidRPr="00FD211F">
        <w:rPr>
          <w:sz w:val="36"/>
          <w:szCs w:val="36"/>
          <w:rtl/>
        </w:rPr>
        <w:t xml:space="preserve">، </w:t>
      </w:r>
      <w:r w:rsidRPr="00FD211F">
        <w:rPr>
          <w:sz w:val="36"/>
          <w:szCs w:val="36"/>
          <w:rtl/>
        </w:rPr>
        <w:t>وهو يعلم بعدم نفوذ بيع المغصوب عرفا وشرعا</w:t>
      </w:r>
      <w:r w:rsidR="00603323" w:rsidRPr="00FD211F">
        <w:rPr>
          <w:sz w:val="36"/>
          <w:szCs w:val="36"/>
          <w:rtl/>
        </w:rPr>
        <w:t xml:space="preserve">، </w:t>
      </w:r>
      <w:r w:rsidRPr="00FD211F">
        <w:rPr>
          <w:sz w:val="36"/>
          <w:szCs w:val="36"/>
          <w:rtl/>
        </w:rPr>
        <w:t>فانه لاوجه للمنع عن صدق البيع على انشاءه</w:t>
      </w:r>
      <w:r w:rsidR="00603323" w:rsidRPr="00FD211F">
        <w:rPr>
          <w:sz w:val="36"/>
          <w:szCs w:val="36"/>
          <w:rtl/>
        </w:rPr>
        <w:t xml:space="preserve">، </w:t>
      </w:r>
      <w:r w:rsidRPr="00FD211F">
        <w:rPr>
          <w:sz w:val="36"/>
          <w:szCs w:val="36"/>
          <w:rtl/>
        </w:rPr>
        <w:t>ولو أراد لزوم قصد التسبب الى المسبب الشخصي كقصد البايع التسبب الى الملكي</w:t>
      </w:r>
      <w:r w:rsidR="00EC7EDF" w:rsidRPr="00FD211F">
        <w:rPr>
          <w:sz w:val="36"/>
          <w:szCs w:val="36"/>
          <w:rtl/>
        </w:rPr>
        <w:t xml:space="preserve">ة </w:t>
      </w:r>
      <w:r w:rsidRPr="00FD211F">
        <w:rPr>
          <w:sz w:val="36"/>
          <w:szCs w:val="36"/>
          <w:rtl/>
        </w:rPr>
        <w:t>التي يرى بنظره ترتبها على إنشاءه وان خالف نظره نظر العقلاء والشرع</w:t>
      </w:r>
      <w:r w:rsidR="00603323" w:rsidRPr="00FD211F">
        <w:rPr>
          <w:sz w:val="36"/>
          <w:szCs w:val="36"/>
          <w:rtl/>
        </w:rPr>
        <w:t xml:space="preserve">، </w:t>
      </w:r>
      <w:r w:rsidRPr="00FD211F">
        <w:rPr>
          <w:sz w:val="36"/>
          <w:szCs w:val="36"/>
          <w:rtl/>
        </w:rPr>
        <w:t>فهذا ليس شرطا زائدا على ما ذكره من لزوم المدلول التصديقي للإنشاء</w:t>
      </w:r>
      <w:r w:rsidR="00603323" w:rsidRPr="00FD211F">
        <w:rPr>
          <w:sz w:val="36"/>
          <w:szCs w:val="36"/>
          <w:rtl/>
        </w:rPr>
        <w:t xml:space="preserve">، </w:t>
      </w:r>
      <w:r w:rsidRPr="00FD211F">
        <w:rPr>
          <w:sz w:val="36"/>
          <w:szCs w:val="36"/>
          <w:rtl/>
        </w:rPr>
        <w:t>بل يمكن ان ندعي عدم الحاج</w:t>
      </w:r>
      <w:r w:rsidR="00EC7EDF" w:rsidRPr="00FD211F">
        <w:rPr>
          <w:sz w:val="36"/>
          <w:szCs w:val="36"/>
          <w:rtl/>
        </w:rPr>
        <w:t xml:space="preserve">ة </w:t>
      </w:r>
      <w:r w:rsidRPr="00FD211F">
        <w:rPr>
          <w:sz w:val="36"/>
          <w:szCs w:val="36"/>
          <w:rtl/>
        </w:rPr>
        <w:t>الى قصد التسبب بهذا المعنى أيضا</w:t>
      </w:r>
      <w:r w:rsidR="00603323" w:rsidRPr="00FD211F">
        <w:rPr>
          <w:sz w:val="36"/>
          <w:szCs w:val="36"/>
          <w:rtl/>
        </w:rPr>
        <w:t xml:space="preserve">، </w:t>
      </w:r>
      <w:r w:rsidRPr="00FD211F">
        <w:rPr>
          <w:sz w:val="36"/>
          <w:szCs w:val="36"/>
          <w:rtl/>
        </w:rPr>
        <w:t>فلو اعتبر شخص ملكي</w:t>
      </w:r>
      <w:r w:rsidR="00EC7EDF" w:rsidRPr="00FD211F">
        <w:rPr>
          <w:sz w:val="36"/>
          <w:szCs w:val="36"/>
          <w:rtl/>
        </w:rPr>
        <w:t xml:space="preserve">ة </w:t>
      </w:r>
      <w:r w:rsidRPr="00FD211F">
        <w:rPr>
          <w:sz w:val="36"/>
          <w:szCs w:val="36"/>
          <w:rtl/>
        </w:rPr>
        <w:t>زيد لكتابه مثلا ثم أخبر عن هذا الاعتبار النفساني من دون ان يقصد ان يكون اخباره سببا لايجاد عنوان الهب</w:t>
      </w:r>
      <w:r w:rsidR="00EC7EDF" w:rsidRPr="00FD211F">
        <w:rPr>
          <w:sz w:val="36"/>
          <w:szCs w:val="36"/>
          <w:rtl/>
        </w:rPr>
        <w:t xml:space="preserve">ة </w:t>
      </w:r>
      <w:r w:rsidRPr="00FD211F">
        <w:rPr>
          <w:sz w:val="36"/>
          <w:szCs w:val="36"/>
          <w:rtl/>
        </w:rPr>
        <w:t>مثلا</w:t>
      </w:r>
      <w:r w:rsidR="00603323" w:rsidRPr="00FD211F">
        <w:rPr>
          <w:sz w:val="36"/>
          <w:szCs w:val="36"/>
          <w:rtl/>
        </w:rPr>
        <w:t xml:space="preserve">، </w:t>
      </w:r>
      <w:r w:rsidRPr="00FD211F">
        <w:rPr>
          <w:sz w:val="36"/>
          <w:szCs w:val="36"/>
          <w:rtl/>
        </w:rPr>
        <w:t>بل تخيل تحقق الهب</w:t>
      </w:r>
      <w:r w:rsidR="00EC7EDF" w:rsidRPr="00FD211F">
        <w:rPr>
          <w:sz w:val="36"/>
          <w:szCs w:val="36"/>
          <w:rtl/>
        </w:rPr>
        <w:t xml:space="preserve">ة </w:t>
      </w:r>
      <w:r w:rsidRPr="00FD211F">
        <w:rPr>
          <w:sz w:val="36"/>
          <w:szCs w:val="36"/>
          <w:rtl/>
        </w:rPr>
        <w:t>بمجرد الاعتبار النفساني او تخيل انها لاتتحقق بمجرد الإبراز</w:t>
      </w:r>
      <w:r w:rsidR="00603323" w:rsidRPr="00FD211F">
        <w:rPr>
          <w:sz w:val="36"/>
          <w:szCs w:val="36"/>
          <w:rtl/>
        </w:rPr>
        <w:t xml:space="preserve">، </w:t>
      </w:r>
      <w:r w:rsidRPr="00FD211F">
        <w:rPr>
          <w:sz w:val="36"/>
          <w:szCs w:val="36"/>
          <w:rtl/>
        </w:rPr>
        <w:t>بل لابد من مضي يوم عليه مثلا</w:t>
      </w:r>
      <w:r w:rsidR="00603323" w:rsidRPr="00FD211F">
        <w:rPr>
          <w:sz w:val="36"/>
          <w:szCs w:val="36"/>
          <w:rtl/>
        </w:rPr>
        <w:t xml:space="preserve">، </w:t>
      </w:r>
      <w:r w:rsidRPr="00FD211F">
        <w:rPr>
          <w:sz w:val="36"/>
          <w:szCs w:val="36"/>
          <w:rtl/>
        </w:rPr>
        <w:t>فالظاهر انه بمجرد الإبراز يصدق انه وهب ماله</w:t>
      </w:r>
      <w:r w:rsidR="00603323" w:rsidRPr="00FD211F">
        <w:rPr>
          <w:sz w:val="36"/>
          <w:szCs w:val="36"/>
          <w:rtl/>
        </w:rPr>
        <w:t xml:space="preserve">، </w:t>
      </w:r>
      <w:r w:rsidRPr="00FD211F">
        <w:rPr>
          <w:sz w:val="36"/>
          <w:szCs w:val="36"/>
          <w:rtl/>
        </w:rPr>
        <w:t>ويشمله عمومات الصح</w:t>
      </w:r>
      <w:r w:rsidR="00EC7EDF" w:rsidRPr="00FD211F">
        <w:rPr>
          <w:sz w:val="36"/>
          <w:szCs w:val="36"/>
          <w:rtl/>
        </w:rPr>
        <w:t>ة</w:t>
      </w:r>
      <w:r w:rsidR="00A61BAE" w:rsidRPr="00FD211F">
        <w:rPr>
          <w:sz w:val="36"/>
          <w:szCs w:val="36"/>
          <w:rtl/>
        </w:rPr>
        <w:t>.</w:t>
      </w:r>
    </w:p>
    <w:p w14:paraId="2A3BB983" w14:textId="77777777" w:rsidR="00052BF2" w:rsidRPr="00FD211F" w:rsidRDefault="00052BF2" w:rsidP="009C58C8">
      <w:pPr>
        <w:ind w:left="0" w:firstLine="227"/>
        <w:jc w:val="both"/>
        <w:rPr>
          <w:sz w:val="36"/>
          <w:szCs w:val="36"/>
          <w:rtl/>
        </w:rPr>
      </w:pPr>
      <w:r w:rsidRPr="00FD211F">
        <w:rPr>
          <w:sz w:val="36"/>
          <w:szCs w:val="36"/>
          <w:rtl/>
        </w:rPr>
        <w:t>وكيف كان فالصحيح ان الفاظ المعاملات كلفظ البيع مثلا موضوع</w:t>
      </w:r>
      <w:r w:rsidR="00EC7EDF" w:rsidRPr="00FD211F">
        <w:rPr>
          <w:sz w:val="36"/>
          <w:szCs w:val="36"/>
          <w:rtl/>
        </w:rPr>
        <w:t xml:space="preserve">ة </w:t>
      </w:r>
      <w:r w:rsidRPr="00FD211F">
        <w:rPr>
          <w:sz w:val="36"/>
          <w:szCs w:val="36"/>
          <w:rtl/>
        </w:rPr>
        <w:t>على السبب اي الايجاب والقبول الصادرين عن اعتبار نفساني.</w:t>
      </w:r>
    </w:p>
    <w:p w14:paraId="50488FFC" w14:textId="77777777" w:rsidR="00052BF2" w:rsidRPr="00FD211F" w:rsidRDefault="00052BF2" w:rsidP="009C58C8">
      <w:pPr>
        <w:pStyle w:val="3"/>
        <w:ind w:firstLine="227"/>
        <w:jc w:val="both"/>
        <w:rPr>
          <w:rtl/>
        </w:rPr>
      </w:pPr>
      <w:bookmarkStart w:id="406" w:name="_Toc192092937"/>
      <w:bookmarkStart w:id="407" w:name="_Toc223890416"/>
      <w:r w:rsidRPr="00FD211F">
        <w:rPr>
          <w:rtl/>
        </w:rPr>
        <w:t>وضع اسماء المعاملات للأعم</w:t>
      </w:r>
      <w:bookmarkEnd w:id="406"/>
      <w:bookmarkEnd w:id="407"/>
    </w:p>
    <w:p w14:paraId="0AC895A2" w14:textId="77777777" w:rsidR="000C5BBA" w:rsidRPr="00FD211F" w:rsidRDefault="00052BF2" w:rsidP="009C58C8">
      <w:pPr>
        <w:ind w:left="0" w:firstLine="227"/>
        <w:jc w:val="both"/>
        <w:rPr>
          <w:sz w:val="36"/>
          <w:szCs w:val="36"/>
          <w:rtl/>
        </w:rPr>
      </w:pPr>
      <w:r w:rsidRPr="00FD211F">
        <w:rPr>
          <w:b/>
          <w:bCs/>
          <w:sz w:val="36"/>
          <w:szCs w:val="36"/>
          <w:rtl/>
        </w:rPr>
        <w:t>السادس</w:t>
      </w:r>
      <w:r w:rsidR="00EC7EDF" w:rsidRPr="00FD211F">
        <w:rPr>
          <w:b/>
          <w:bCs/>
          <w:sz w:val="36"/>
          <w:szCs w:val="36"/>
          <w:rtl/>
        </w:rPr>
        <w:t>ة</w:t>
      </w:r>
      <w:r w:rsidR="00057D31" w:rsidRPr="00FD211F">
        <w:rPr>
          <w:b/>
          <w:bCs/>
          <w:sz w:val="36"/>
          <w:szCs w:val="36"/>
          <w:rtl/>
        </w:rPr>
        <w:t>:</w:t>
      </w:r>
      <w:r w:rsidRPr="00FD211F">
        <w:rPr>
          <w:sz w:val="36"/>
          <w:szCs w:val="36"/>
          <w:rtl/>
        </w:rPr>
        <w:t xml:space="preserve"> لاينبغي الاشكال في ان اسماء المعاملات موضوع</w:t>
      </w:r>
      <w:r w:rsidR="00EC7EDF" w:rsidRPr="00FD211F">
        <w:rPr>
          <w:sz w:val="36"/>
          <w:szCs w:val="36"/>
          <w:rtl/>
        </w:rPr>
        <w:t xml:space="preserve">ة </w:t>
      </w:r>
      <w:r w:rsidRPr="00FD211F">
        <w:rPr>
          <w:sz w:val="36"/>
          <w:szCs w:val="36"/>
          <w:rtl/>
        </w:rPr>
        <w:t>للأعم من الصحيح العرفي فيصدق على الفاسد العرفي فضلا عن الفاسد الشرعي</w:t>
      </w:r>
      <w:r w:rsidR="00603323" w:rsidRPr="00FD211F">
        <w:rPr>
          <w:sz w:val="36"/>
          <w:szCs w:val="36"/>
          <w:rtl/>
        </w:rPr>
        <w:t xml:space="preserve">، </w:t>
      </w:r>
      <w:r w:rsidRPr="00FD211F">
        <w:rPr>
          <w:sz w:val="36"/>
          <w:szCs w:val="36"/>
          <w:rtl/>
        </w:rPr>
        <w:t>وذلك بشهاد</w:t>
      </w:r>
      <w:r w:rsidR="00EC7EDF" w:rsidRPr="00FD211F">
        <w:rPr>
          <w:sz w:val="36"/>
          <w:szCs w:val="36"/>
          <w:rtl/>
        </w:rPr>
        <w:t xml:space="preserve">ة </w:t>
      </w:r>
      <w:r w:rsidRPr="00FD211F">
        <w:rPr>
          <w:sz w:val="36"/>
          <w:szCs w:val="36"/>
          <w:rtl/>
        </w:rPr>
        <w:t>الوجدان العرفي بصح</w:t>
      </w:r>
      <w:r w:rsidR="00EC7EDF" w:rsidRPr="00FD211F">
        <w:rPr>
          <w:sz w:val="36"/>
          <w:szCs w:val="36"/>
          <w:rtl/>
        </w:rPr>
        <w:t xml:space="preserve">ة </w:t>
      </w:r>
      <w:r w:rsidRPr="00FD211F">
        <w:rPr>
          <w:sz w:val="36"/>
          <w:szCs w:val="36"/>
          <w:rtl/>
        </w:rPr>
        <w:t>حمل لفظ البيع مثلا على بيع الغاصب او بيع ال</w:t>
      </w:r>
      <w:r w:rsidR="004E198B" w:rsidRPr="00FD211F">
        <w:rPr>
          <w:sz w:val="36"/>
          <w:szCs w:val="36"/>
          <w:rtl/>
        </w:rPr>
        <w:t>حرّ نفسه</w:t>
      </w:r>
      <w:r w:rsidR="00603323" w:rsidRPr="00FD211F">
        <w:rPr>
          <w:sz w:val="36"/>
          <w:szCs w:val="36"/>
          <w:rtl/>
        </w:rPr>
        <w:t xml:space="preserve">، </w:t>
      </w:r>
      <w:r w:rsidR="004E198B" w:rsidRPr="00FD211F">
        <w:rPr>
          <w:sz w:val="36"/>
          <w:szCs w:val="36"/>
          <w:rtl/>
        </w:rPr>
        <w:t>او بيع الصبي والمجنون.</w:t>
      </w:r>
    </w:p>
    <w:p w14:paraId="4C212E95" w14:textId="77777777" w:rsidR="000C5BBA" w:rsidRPr="00FD211F" w:rsidRDefault="003864C9" w:rsidP="009C58C8">
      <w:pPr>
        <w:ind w:left="0" w:firstLine="227"/>
        <w:jc w:val="both"/>
        <w:rPr>
          <w:sz w:val="36"/>
          <w:szCs w:val="36"/>
          <w:rtl/>
        </w:rPr>
      </w:pPr>
      <w:r w:rsidRPr="00FD211F">
        <w:rPr>
          <w:sz w:val="36"/>
          <w:szCs w:val="36"/>
          <w:rtl/>
        </w:rPr>
        <w:t>ولاوجه لأ</w:t>
      </w:r>
      <w:r w:rsidR="00052BF2" w:rsidRPr="00FD211F">
        <w:rPr>
          <w:sz w:val="36"/>
          <w:szCs w:val="36"/>
          <w:rtl/>
        </w:rPr>
        <w:t>ن يقال بان اطلاق البيع على البيع الفاسد بنظر العقلاء والشرع مبنى على المسامح</w:t>
      </w:r>
      <w:r w:rsidR="00EC7EDF" w:rsidRPr="00FD211F">
        <w:rPr>
          <w:sz w:val="36"/>
          <w:szCs w:val="36"/>
          <w:rtl/>
        </w:rPr>
        <w:t xml:space="preserve">ة </w:t>
      </w:r>
      <w:r w:rsidR="00052BF2" w:rsidRPr="00FD211F">
        <w:rPr>
          <w:sz w:val="36"/>
          <w:szCs w:val="36"/>
          <w:rtl/>
        </w:rPr>
        <w:t>لانصراف إخبار الرجل عن بيعه لماله الى البيع الصحيح</w:t>
      </w:r>
      <w:r w:rsidR="00603323" w:rsidRPr="00FD211F">
        <w:rPr>
          <w:sz w:val="36"/>
          <w:szCs w:val="36"/>
          <w:rtl/>
        </w:rPr>
        <w:t xml:space="preserve">، </w:t>
      </w:r>
      <w:r w:rsidR="00052BF2" w:rsidRPr="00FD211F">
        <w:rPr>
          <w:sz w:val="36"/>
          <w:szCs w:val="36"/>
          <w:rtl/>
        </w:rPr>
        <w:t>فانه</w:t>
      </w:r>
      <w:r w:rsidR="00846295" w:rsidRPr="00FD211F">
        <w:rPr>
          <w:sz w:val="36"/>
          <w:szCs w:val="36"/>
          <w:rtl/>
        </w:rPr>
        <w:t xml:space="preserve"> يقال في الجواب عنه</w:t>
      </w:r>
      <w:r w:rsidR="00052BF2" w:rsidRPr="00FD211F">
        <w:rPr>
          <w:sz w:val="36"/>
          <w:szCs w:val="36"/>
          <w:rtl/>
        </w:rPr>
        <w:t xml:space="preserve"> </w:t>
      </w:r>
      <w:r w:rsidR="00846295" w:rsidRPr="00FD211F">
        <w:rPr>
          <w:sz w:val="36"/>
          <w:szCs w:val="36"/>
          <w:rtl/>
        </w:rPr>
        <w:t xml:space="preserve">أنه </w:t>
      </w:r>
      <w:r w:rsidR="00052BF2" w:rsidRPr="00FD211F">
        <w:rPr>
          <w:sz w:val="36"/>
          <w:szCs w:val="36"/>
          <w:rtl/>
        </w:rPr>
        <w:t>لايصح سلب مفهوم البيع عن بيع الغاصب او بيع الحرّ نفسه</w:t>
      </w:r>
      <w:r w:rsidR="00603323" w:rsidRPr="00FD211F">
        <w:rPr>
          <w:sz w:val="36"/>
          <w:szCs w:val="36"/>
          <w:rtl/>
        </w:rPr>
        <w:t xml:space="preserve">، </w:t>
      </w:r>
      <w:r w:rsidR="00052BF2" w:rsidRPr="00FD211F">
        <w:rPr>
          <w:sz w:val="36"/>
          <w:szCs w:val="36"/>
          <w:rtl/>
        </w:rPr>
        <w:t>والانصراف أحيانا الى الصحيح يكون لأجل ا</w:t>
      </w:r>
      <w:r w:rsidR="005714C4" w:rsidRPr="00FD211F">
        <w:rPr>
          <w:sz w:val="36"/>
          <w:szCs w:val="36"/>
          <w:rtl/>
        </w:rPr>
        <w:t>لقرين</w:t>
      </w:r>
      <w:r w:rsidR="00EC7EDF" w:rsidRPr="00FD211F">
        <w:rPr>
          <w:sz w:val="36"/>
          <w:szCs w:val="36"/>
          <w:rtl/>
        </w:rPr>
        <w:t xml:space="preserve">ة </w:t>
      </w:r>
      <w:r w:rsidR="005714C4" w:rsidRPr="00FD211F">
        <w:rPr>
          <w:sz w:val="36"/>
          <w:szCs w:val="36"/>
          <w:rtl/>
        </w:rPr>
        <w:t>بنحو تعدد الدال والمدلول.</w:t>
      </w:r>
    </w:p>
    <w:p w14:paraId="3004F5F4" w14:textId="77777777" w:rsidR="000C5BBA" w:rsidRPr="00FD211F" w:rsidRDefault="00052BF2" w:rsidP="009C58C8">
      <w:pPr>
        <w:ind w:left="0" w:firstLine="227"/>
        <w:jc w:val="both"/>
        <w:rPr>
          <w:sz w:val="36"/>
          <w:szCs w:val="36"/>
          <w:rtl/>
        </w:rPr>
      </w:pPr>
      <w:r w:rsidRPr="00FD211F">
        <w:rPr>
          <w:sz w:val="36"/>
          <w:szCs w:val="36"/>
          <w:rtl/>
        </w:rPr>
        <w:t xml:space="preserve">مضافا الى انه لايحتمل وضع </w:t>
      </w:r>
      <w:r w:rsidR="005714C4" w:rsidRPr="00FD211F">
        <w:rPr>
          <w:sz w:val="36"/>
          <w:szCs w:val="36"/>
          <w:rtl/>
        </w:rPr>
        <w:t>تلك الألفاظ للصحيح الشرعي لكون تلك الالفاظ</w:t>
      </w:r>
      <w:r w:rsidR="00B253CE" w:rsidRPr="00FD211F">
        <w:rPr>
          <w:sz w:val="36"/>
          <w:szCs w:val="36"/>
          <w:rtl/>
        </w:rPr>
        <w:t xml:space="preserve"> </w:t>
      </w:r>
      <w:r w:rsidRPr="00FD211F">
        <w:rPr>
          <w:sz w:val="36"/>
          <w:szCs w:val="36"/>
          <w:rtl/>
        </w:rPr>
        <w:t>سابق</w:t>
      </w:r>
      <w:r w:rsidR="00EC7EDF" w:rsidRPr="00FD211F">
        <w:rPr>
          <w:sz w:val="36"/>
          <w:szCs w:val="36"/>
          <w:rtl/>
        </w:rPr>
        <w:t xml:space="preserve">ة </w:t>
      </w:r>
      <w:r w:rsidRPr="00FD211F">
        <w:rPr>
          <w:sz w:val="36"/>
          <w:szCs w:val="36"/>
          <w:rtl/>
        </w:rPr>
        <w:t>على الشرع</w:t>
      </w:r>
      <w:r w:rsidR="00603323" w:rsidRPr="00FD211F">
        <w:rPr>
          <w:sz w:val="36"/>
          <w:szCs w:val="36"/>
          <w:rtl/>
        </w:rPr>
        <w:t xml:space="preserve">، </w:t>
      </w:r>
      <w:r w:rsidRPr="00FD211F">
        <w:rPr>
          <w:sz w:val="36"/>
          <w:szCs w:val="36"/>
          <w:rtl/>
        </w:rPr>
        <w:t>ويعلم بعدم وضع الشارع لها في معنى آخر</w:t>
      </w:r>
      <w:r w:rsidR="00603323" w:rsidRPr="00FD211F">
        <w:rPr>
          <w:sz w:val="36"/>
          <w:szCs w:val="36"/>
          <w:rtl/>
        </w:rPr>
        <w:t xml:space="preserve">، </w:t>
      </w:r>
      <w:r w:rsidRPr="00FD211F">
        <w:rPr>
          <w:sz w:val="36"/>
          <w:szCs w:val="36"/>
          <w:rtl/>
        </w:rPr>
        <w:t>ومما يؤكّد ذلك ظهور حال الشارع بما انه من احد افراد العر</w:t>
      </w:r>
      <w:r w:rsidR="005714C4" w:rsidRPr="00FD211F">
        <w:rPr>
          <w:sz w:val="36"/>
          <w:szCs w:val="36"/>
          <w:rtl/>
        </w:rPr>
        <w:t>ف في ان استعمالاته كاستعمالاتهم.</w:t>
      </w:r>
    </w:p>
    <w:p w14:paraId="495C53BA" w14:textId="77777777" w:rsidR="00052BF2" w:rsidRPr="00FD211F" w:rsidRDefault="00052BF2" w:rsidP="009C58C8">
      <w:pPr>
        <w:ind w:left="0" w:firstLine="227"/>
        <w:jc w:val="both"/>
        <w:rPr>
          <w:sz w:val="36"/>
          <w:szCs w:val="36"/>
          <w:rtl/>
        </w:rPr>
      </w:pPr>
      <w:r w:rsidRPr="00FD211F">
        <w:rPr>
          <w:sz w:val="36"/>
          <w:szCs w:val="36"/>
          <w:rtl/>
        </w:rPr>
        <w:t>وأما وضع تلك الالفاظ للصحيح العرفي فان اريد وضعها لمفهوم الصحيح فهو غير محتمل</w:t>
      </w:r>
      <w:r w:rsidR="00603323" w:rsidRPr="00FD211F">
        <w:rPr>
          <w:sz w:val="36"/>
          <w:szCs w:val="36"/>
          <w:rtl/>
        </w:rPr>
        <w:t xml:space="preserve">، </w:t>
      </w:r>
      <w:r w:rsidRPr="00FD211F">
        <w:rPr>
          <w:sz w:val="36"/>
          <w:szCs w:val="36"/>
          <w:rtl/>
        </w:rPr>
        <w:t>وان اريد وضعها لواقع الصحيح فهو ليس بمحد</w:t>
      </w:r>
      <w:r w:rsidR="003864C9" w:rsidRPr="00FD211F">
        <w:rPr>
          <w:sz w:val="36"/>
          <w:szCs w:val="36"/>
          <w:rtl/>
        </w:rPr>
        <w:t>َّ</w:t>
      </w:r>
      <w:r w:rsidRPr="00FD211F">
        <w:rPr>
          <w:sz w:val="36"/>
          <w:szCs w:val="36"/>
          <w:rtl/>
        </w:rPr>
        <w:t>د لدى العرف</w:t>
      </w:r>
      <w:r w:rsidR="00603323" w:rsidRPr="00FD211F">
        <w:rPr>
          <w:sz w:val="36"/>
          <w:szCs w:val="36"/>
          <w:rtl/>
        </w:rPr>
        <w:t xml:space="preserve">، </w:t>
      </w:r>
      <w:r w:rsidRPr="00FD211F">
        <w:rPr>
          <w:sz w:val="36"/>
          <w:szCs w:val="36"/>
          <w:rtl/>
        </w:rPr>
        <w:t>لاختلاف العرف بلحاظ اختلاف الامصار والأعصار في الأسباب الصحيح</w:t>
      </w:r>
      <w:r w:rsidR="00EC7EDF" w:rsidRPr="00FD211F">
        <w:rPr>
          <w:sz w:val="36"/>
          <w:szCs w:val="36"/>
          <w:rtl/>
        </w:rPr>
        <w:t xml:space="preserve">ة </w:t>
      </w:r>
      <w:r w:rsidRPr="00FD211F">
        <w:rPr>
          <w:sz w:val="36"/>
          <w:szCs w:val="36"/>
          <w:rtl/>
        </w:rPr>
        <w:t>لها</w:t>
      </w:r>
      <w:r w:rsidR="00603323" w:rsidRPr="00FD211F">
        <w:rPr>
          <w:sz w:val="36"/>
          <w:szCs w:val="36"/>
          <w:rtl/>
        </w:rPr>
        <w:t xml:space="preserve">، </w:t>
      </w:r>
      <w:r w:rsidRPr="00FD211F">
        <w:rPr>
          <w:sz w:val="36"/>
          <w:szCs w:val="36"/>
          <w:rtl/>
        </w:rPr>
        <w:t>كما يرى من اختلافهم في اسباب الزوجي</w:t>
      </w:r>
      <w:r w:rsidR="00EC7EDF" w:rsidRPr="00FD211F">
        <w:rPr>
          <w:sz w:val="36"/>
          <w:szCs w:val="36"/>
          <w:rtl/>
        </w:rPr>
        <w:t>ة</w:t>
      </w:r>
      <w:r w:rsidR="00603323" w:rsidRPr="00FD211F">
        <w:rPr>
          <w:sz w:val="36"/>
          <w:szCs w:val="36"/>
          <w:rtl/>
        </w:rPr>
        <w:t xml:space="preserve">، </w:t>
      </w:r>
      <w:r w:rsidRPr="00FD211F">
        <w:rPr>
          <w:sz w:val="36"/>
          <w:szCs w:val="36"/>
          <w:rtl/>
        </w:rPr>
        <w:t>فلو قيل بوضعها للصحيح العرفي فيلزم منه الالتزام باشتراكها اللفظي وهو غير محتمل.</w:t>
      </w:r>
    </w:p>
    <w:p w14:paraId="7604E859" w14:textId="77777777" w:rsidR="00052BF2" w:rsidRPr="00FD211F" w:rsidRDefault="00052BF2" w:rsidP="009C58C8">
      <w:pPr>
        <w:ind w:left="0" w:firstLine="227"/>
        <w:jc w:val="both"/>
        <w:rPr>
          <w:sz w:val="36"/>
          <w:szCs w:val="36"/>
          <w:rtl/>
        </w:rPr>
      </w:pPr>
      <w:r w:rsidRPr="00FD211F">
        <w:rPr>
          <w:sz w:val="36"/>
          <w:szCs w:val="36"/>
          <w:rtl/>
        </w:rPr>
        <w:t>نعم بناء على ما ذكره صاحب الكفاي</w:t>
      </w:r>
      <w:r w:rsidR="00EC7EDF" w:rsidRPr="00FD211F">
        <w:rPr>
          <w:sz w:val="36"/>
          <w:szCs w:val="36"/>
          <w:rtl/>
        </w:rPr>
        <w:t xml:space="preserve">ة </w:t>
      </w:r>
      <w:r w:rsidR="005714C4" w:rsidRPr="00FD211F">
        <w:rPr>
          <w:sz w:val="36"/>
          <w:szCs w:val="36"/>
          <w:rtl/>
        </w:rPr>
        <w:t>"قده"</w:t>
      </w:r>
      <w:r w:rsidR="00A24412" w:rsidRPr="00FD211F">
        <w:rPr>
          <w:sz w:val="36"/>
          <w:szCs w:val="36"/>
          <w:rtl/>
        </w:rPr>
        <w:t xml:space="preserve"> </w:t>
      </w:r>
      <w:r w:rsidRPr="00FD211F">
        <w:rPr>
          <w:sz w:val="36"/>
          <w:szCs w:val="36"/>
          <w:rtl/>
        </w:rPr>
        <w:t>من وضع لفظ البيع مثلا لما هو مؤثر لأثر الملكي</w:t>
      </w:r>
      <w:r w:rsidR="00EC7EDF" w:rsidRPr="00FD211F">
        <w:rPr>
          <w:sz w:val="36"/>
          <w:szCs w:val="36"/>
          <w:rtl/>
        </w:rPr>
        <w:t xml:space="preserve">ة </w:t>
      </w:r>
      <w:r w:rsidRPr="00FD211F">
        <w:rPr>
          <w:sz w:val="36"/>
          <w:szCs w:val="36"/>
          <w:rtl/>
        </w:rPr>
        <w:t>ويكون الاختلاف بين العرف والشرع او بين العرف انفسهم في المصاديق فلايرد عليه هذا الاشكال</w:t>
      </w:r>
      <w:r w:rsidR="00603323" w:rsidRPr="00FD211F">
        <w:rPr>
          <w:sz w:val="36"/>
          <w:szCs w:val="36"/>
          <w:rtl/>
        </w:rPr>
        <w:t xml:space="preserve">، </w:t>
      </w:r>
      <w:r w:rsidRPr="00FD211F">
        <w:rPr>
          <w:sz w:val="36"/>
          <w:szCs w:val="36"/>
          <w:rtl/>
        </w:rPr>
        <w:t>لكنه مضافا الى ما مرّ من عدم صح</w:t>
      </w:r>
      <w:r w:rsidR="00EC7EDF" w:rsidRPr="00FD211F">
        <w:rPr>
          <w:sz w:val="36"/>
          <w:szCs w:val="36"/>
          <w:rtl/>
        </w:rPr>
        <w:t xml:space="preserve">ة </w:t>
      </w:r>
      <w:r w:rsidRPr="00FD211F">
        <w:rPr>
          <w:sz w:val="36"/>
          <w:szCs w:val="36"/>
          <w:rtl/>
        </w:rPr>
        <w:t>سلب البيع عرفا عن البيع الفاسد انه لايحتمل عرفا وضع لفظ البيع بإزاء مفهوم المؤثر لأثر الملكي</w:t>
      </w:r>
      <w:r w:rsidR="00EC7EDF" w:rsidRPr="00FD211F">
        <w:rPr>
          <w:sz w:val="36"/>
          <w:szCs w:val="36"/>
          <w:rtl/>
        </w:rPr>
        <w:t>ة</w:t>
      </w:r>
      <w:r w:rsidR="00603323" w:rsidRPr="00FD211F">
        <w:rPr>
          <w:sz w:val="36"/>
          <w:szCs w:val="36"/>
          <w:rtl/>
        </w:rPr>
        <w:t xml:space="preserve">، </w:t>
      </w:r>
      <w:r w:rsidRPr="00FD211F">
        <w:rPr>
          <w:sz w:val="36"/>
          <w:szCs w:val="36"/>
          <w:rtl/>
        </w:rPr>
        <w:t>اذ لايتبادر منه هذا المعنى.</w:t>
      </w:r>
    </w:p>
    <w:p w14:paraId="3552A01C" w14:textId="77777777" w:rsidR="00052BF2" w:rsidRPr="00FD211F" w:rsidRDefault="00052BF2" w:rsidP="009C58C8">
      <w:pPr>
        <w:ind w:left="0" w:firstLine="227"/>
        <w:jc w:val="both"/>
        <w:rPr>
          <w:sz w:val="36"/>
          <w:szCs w:val="36"/>
          <w:rtl/>
        </w:rPr>
      </w:pPr>
      <w:r w:rsidRPr="00FD211F">
        <w:rPr>
          <w:sz w:val="36"/>
          <w:szCs w:val="36"/>
          <w:rtl/>
        </w:rPr>
        <w:t>هذا تمام الكلام في بحث الصح</w:t>
      </w:r>
      <w:r w:rsidR="00846295" w:rsidRPr="00FD211F">
        <w:rPr>
          <w:sz w:val="36"/>
          <w:szCs w:val="36"/>
          <w:rtl/>
        </w:rPr>
        <w:t>يح والاعم</w:t>
      </w:r>
      <w:r w:rsidRPr="00FD211F">
        <w:rPr>
          <w:sz w:val="36"/>
          <w:szCs w:val="36"/>
          <w:rtl/>
        </w:rPr>
        <w:t>.</w:t>
      </w:r>
    </w:p>
    <w:p w14:paraId="3DD51CBA" w14:textId="77777777" w:rsidR="00057D31" w:rsidRPr="00FD211F" w:rsidRDefault="00057D31" w:rsidP="009C58C8">
      <w:pPr>
        <w:pStyle w:val="3"/>
        <w:ind w:firstLine="227"/>
        <w:jc w:val="both"/>
        <w:rPr>
          <w:rtl/>
        </w:rPr>
        <w:sectPr w:rsidR="00057D31" w:rsidRPr="00FD211F" w:rsidSect="00D24300">
          <w:headerReference w:type="default" r:id="rId28"/>
          <w:footnotePr>
            <w:numRestart w:val="eachPage"/>
          </w:footnotePr>
          <w:pgSz w:w="10319" w:h="14578" w:code="138"/>
          <w:pgMar w:top="1418" w:right="1701" w:bottom="1418" w:left="1701" w:header="1418" w:footer="964" w:gutter="0"/>
          <w:cols w:space="720"/>
          <w:bidi/>
          <w:rtlGutter/>
          <w:docGrid w:linePitch="360"/>
        </w:sectPr>
      </w:pPr>
      <w:bookmarkStart w:id="408" w:name="_Toc151944602"/>
      <w:bookmarkStart w:id="409" w:name="_Toc154131729"/>
      <w:bookmarkStart w:id="410" w:name="_Toc156401517"/>
      <w:bookmarkStart w:id="411" w:name="درس024"/>
      <w:bookmarkStart w:id="412" w:name="_Toc192092938"/>
      <w:bookmarkEnd w:id="411"/>
    </w:p>
    <w:p w14:paraId="33BBDB25" w14:textId="77777777" w:rsidR="000C5BBA" w:rsidRPr="00FD211F" w:rsidRDefault="00052BF2" w:rsidP="009C58C8">
      <w:pPr>
        <w:pStyle w:val="3"/>
        <w:ind w:firstLine="227"/>
        <w:jc w:val="both"/>
        <w:rPr>
          <w:rtl/>
        </w:rPr>
      </w:pPr>
      <w:bookmarkStart w:id="413" w:name="_Toc223890417"/>
      <w:r w:rsidRPr="00FD211F">
        <w:rPr>
          <w:rtl/>
        </w:rPr>
        <w:t>الاشتراك اللفظي</w:t>
      </w:r>
      <w:bookmarkEnd w:id="408"/>
      <w:bookmarkEnd w:id="409"/>
      <w:bookmarkEnd w:id="410"/>
      <w:bookmarkEnd w:id="412"/>
      <w:bookmarkEnd w:id="413"/>
    </w:p>
    <w:p w14:paraId="48D2F089" w14:textId="77777777" w:rsidR="000C5BBA" w:rsidRPr="00FD211F" w:rsidRDefault="00846295" w:rsidP="009C58C8">
      <w:pPr>
        <w:ind w:left="0" w:firstLine="227"/>
        <w:jc w:val="both"/>
        <w:rPr>
          <w:sz w:val="36"/>
          <w:szCs w:val="36"/>
          <w:rtl/>
        </w:rPr>
      </w:pPr>
      <w:r w:rsidRPr="00FD211F">
        <w:rPr>
          <w:sz w:val="36"/>
          <w:szCs w:val="36"/>
          <w:rtl/>
        </w:rPr>
        <w:t>ان تفسير الاشتراك اللفظي بناء على كون الوضع هو الاعتبار او القرن الأكيد واضح جدّا</w:t>
      </w:r>
      <w:r w:rsidR="00603323" w:rsidRPr="00FD211F">
        <w:rPr>
          <w:sz w:val="36"/>
          <w:szCs w:val="36"/>
          <w:rtl/>
        </w:rPr>
        <w:t xml:space="preserve">، </w:t>
      </w:r>
      <w:r w:rsidR="003864C9" w:rsidRPr="00FD211F">
        <w:rPr>
          <w:sz w:val="36"/>
          <w:szCs w:val="36"/>
          <w:rtl/>
        </w:rPr>
        <w:t>فانه يكون اعتبار لفظٍ لمعنيين او القرن الاكيد بينه وبين كل منهما</w:t>
      </w:r>
      <w:r w:rsidR="00C774D9" w:rsidRPr="00FD211F">
        <w:rPr>
          <w:sz w:val="36"/>
          <w:szCs w:val="36"/>
          <w:rtl/>
        </w:rPr>
        <w:t>.</w:t>
      </w:r>
    </w:p>
    <w:p w14:paraId="5F62864B" w14:textId="77777777" w:rsidR="00846295" w:rsidRPr="00FD211F" w:rsidRDefault="00846295" w:rsidP="009C58C8">
      <w:pPr>
        <w:ind w:left="0" w:firstLine="227"/>
        <w:jc w:val="both"/>
        <w:rPr>
          <w:sz w:val="36"/>
          <w:szCs w:val="36"/>
          <w:rtl/>
        </w:rPr>
      </w:pPr>
      <w:r w:rsidRPr="00FD211F">
        <w:rPr>
          <w:sz w:val="36"/>
          <w:szCs w:val="36"/>
          <w:rtl/>
        </w:rPr>
        <w:t>كما أنه بناء على كون الوضع هو تعهد الواضع بان لايستعمل اللفظ الا عند إراد</w:t>
      </w:r>
      <w:r w:rsidR="00EC7EDF" w:rsidRPr="00FD211F">
        <w:rPr>
          <w:sz w:val="36"/>
          <w:szCs w:val="36"/>
          <w:rtl/>
        </w:rPr>
        <w:t xml:space="preserve">ة </w:t>
      </w:r>
      <w:r w:rsidRPr="00FD211F">
        <w:rPr>
          <w:sz w:val="36"/>
          <w:szCs w:val="36"/>
          <w:rtl/>
        </w:rPr>
        <w:t>تفهيم معنى معين</w:t>
      </w:r>
      <w:r w:rsidR="00603323" w:rsidRPr="00FD211F">
        <w:rPr>
          <w:sz w:val="36"/>
          <w:szCs w:val="36"/>
          <w:rtl/>
        </w:rPr>
        <w:t xml:space="preserve">، </w:t>
      </w:r>
      <w:r w:rsidRPr="00FD211F">
        <w:rPr>
          <w:sz w:val="36"/>
          <w:szCs w:val="36"/>
          <w:rtl/>
        </w:rPr>
        <w:t>يكون مرجع الاشتراك اللفظي في فرض وحد</w:t>
      </w:r>
      <w:r w:rsidR="00EC7EDF" w:rsidRPr="00FD211F">
        <w:rPr>
          <w:sz w:val="36"/>
          <w:szCs w:val="36"/>
          <w:rtl/>
        </w:rPr>
        <w:t xml:space="preserve">ة </w:t>
      </w:r>
      <w:r w:rsidRPr="00FD211F">
        <w:rPr>
          <w:sz w:val="36"/>
          <w:szCs w:val="36"/>
          <w:rtl/>
        </w:rPr>
        <w:t>الواضع الى تعهده بان لايستعمل هذا اللفظ الا اذا اراد به تفهيم احد هذين المعنيين مثلا</w:t>
      </w:r>
      <w:r w:rsidR="00603323" w:rsidRPr="00FD211F">
        <w:rPr>
          <w:sz w:val="36"/>
          <w:szCs w:val="36"/>
          <w:rtl/>
        </w:rPr>
        <w:t xml:space="preserve">، </w:t>
      </w:r>
      <w:r w:rsidRPr="00FD211F">
        <w:rPr>
          <w:sz w:val="36"/>
          <w:szCs w:val="36"/>
          <w:rtl/>
        </w:rPr>
        <w:t>فيكون من الوضع العام والموضوع له الخاص</w:t>
      </w:r>
      <w:r w:rsidR="00603323" w:rsidRPr="00FD211F">
        <w:rPr>
          <w:sz w:val="36"/>
          <w:szCs w:val="36"/>
          <w:rtl/>
        </w:rPr>
        <w:t xml:space="preserve">، </w:t>
      </w:r>
      <w:r w:rsidRPr="00FD211F">
        <w:rPr>
          <w:sz w:val="36"/>
          <w:szCs w:val="36"/>
          <w:rtl/>
        </w:rPr>
        <w:t>كما ذكره السيد الخوئي</w:t>
      </w:r>
      <w:r w:rsidR="008F14E7" w:rsidRPr="00FD211F">
        <w:rPr>
          <w:sz w:val="36"/>
          <w:szCs w:val="36"/>
          <w:rtl/>
        </w:rPr>
        <w:t xml:space="preserve"> "قده"</w:t>
      </w:r>
      <w:r w:rsidR="00603323" w:rsidRPr="00FD211F">
        <w:rPr>
          <w:sz w:val="36"/>
          <w:szCs w:val="36"/>
          <w:rtl/>
        </w:rPr>
        <w:t xml:space="preserve">، </w:t>
      </w:r>
      <w:r w:rsidRPr="00FD211F">
        <w:rPr>
          <w:sz w:val="36"/>
          <w:szCs w:val="36"/>
          <w:rtl/>
        </w:rPr>
        <w:t>لان الموضوع له ليس مفهوم احدهما</w:t>
      </w:r>
      <w:r w:rsidR="00603323" w:rsidRPr="00FD211F">
        <w:rPr>
          <w:sz w:val="36"/>
          <w:szCs w:val="36"/>
          <w:rtl/>
        </w:rPr>
        <w:t xml:space="preserve">، </w:t>
      </w:r>
      <w:r w:rsidRPr="00FD211F">
        <w:rPr>
          <w:sz w:val="36"/>
          <w:szCs w:val="36"/>
          <w:rtl/>
        </w:rPr>
        <w:t>حيث</w:t>
      </w:r>
      <w:r w:rsidR="008D7B3D" w:rsidRPr="00FD211F">
        <w:rPr>
          <w:sz w:val="36"/>
          <w:szCs w:val="36"/>
          <w:rtl/>
        </w:rPr>
        <w:t xml:space="preserve"> لم‌</w:t>
      </w:r>
      <w:r w:rsidRPr="00FD211F">
        <w:rPr>
          <w:sz w:val="36"/>
          <w:szCs w:val="36"/>
          <w:rtl/>
        </w:rPr>
        <w:t>يتعهد الواضع باستعمال اللفظ في هذا المفهوم الانتزاعي وانما تعهد ان يستعمله فيما هو واقع احدهما.</w:t>
      </w:r>
    </w:p>
    <w:p w14:paraId="61C6D2DF" w14:textId="77777777" w:rsidR="000C5BBA" w:rsidRPr="00FD211F" w:rsidRDefault="00846295" w:rsidP="009C58C8">
      <w:pPr>
        <w:ind w:left="0" w:firstLine="227"/>
        <w:jc w:val="both"/>
        <w:rPr>
          <w:sz w:val="36"/>
          <w:szCs w:val="36"/>
          <w:rtl/>
        </w:rPr>
      </w:pPr>
      <w:r w:rsidRPr="00FD211F">
        <w:rPr>
          <w:sz w:val="36"/>
          <w:szCs w:val="36"/>
          <w:rtl/>
        </w:rPr>
        <w:t>ثم انه قد</w:t>
      </w:r>
      <w:r w:rsidR="00052BF2" w:rsidRPr="00FD211F">
        <w:rPr>
          <w:sz w:val="36"/>
          <w:szCs w:val="36"/>
          <w:rtl/>
        </w:rPr>
        <w:t>يتوهم وجود الضرور</w:t>
      </w:r>
      <w:r w:rsidR="00EC7EDF" w:rsidRPr="00FD211F">
        <w:rPr>
          <w:sz w:val="36"/>
          <w:szCs w:val="36"/>
          <w:rtl/>
        </w:rPr>
        <w:t xml:space="preserve">ة </w:t>
      </w:r>
      <w:r w:rsidR="00052BF2" w:rsidRPr="00FD211F">
        <w:rPr>
          <w:sz w:val="36"/>
          <w:szCs w:val="36"/>
          <w:rtl/>
        </w:rPr>
        <w:t>لتحقق الاشتراك اللفظي في اللغ</w:t>
      </w:r>
      <w:r w:rsidR="00EC7EDF" w:rsidRPr="00FD211F">
        <w:rPr>
          <w:sz w:val="36"/>
          <w:szCs w:val="36"/>
          <w:rtl/>
        </w:rPr>
        <w:t xml:space="preserve">ة </w:t>
      </w:r>
      <w:r w:rsidR="00052BF2" w:rsidRPr="00FD211F">
        <w:rPr>
          <w:sz w:val="36"/>
          <w:szCs w:val="36"/>
          <w:rtl/>
        </w:rPr>
        <w:t>بوضع لفظ واحد لمعان متعدد</w:t>
      </w:r>
      <w:r w:rsidR="00EC7EDF" w:rsidRPr="00FD211F">
        <w:rPr>
          <w:sz w:val="36"/>
          <w:szCs w:val="36"/>
          <w:rtl/>
        </w:rPr>
        <w:t xml:space="preserve">ة </w:t>
      </w:r>
      <w:r w:rsidR="00052BF2" w:rsidRPr="00FD211F">
        <w:rPr>
          <w:sz w:val="36"/>
          <w:szCs w:val="36"/>
          <w:rtl/>
        </w:rPr>
        <w:t>بدعوى ان الالف</w:t>
      </w:r>
      <w:r w:rsidRPr="00FD211F">
        <w:rPr>
          <w:sz w:val="36"/>
          <w:szCs w:val="36"/>
          <w:rtl/>
        </w:rPr>
        <w:t>اظ متناهي</w:t>
      </w:r>
      <w:r w:rsidR="00EC7EDF" w:rsidRPr="00FD211F">
        <w:rPr>
          <w:sz w:val="36"/>
          <w:szCs w:val="36"/>
          <w:rtl/>
        </w:rPr>
        <w:t xml:space="preserve">ة </w:t>
      </w:r>
      <w:r w:rsidRPr="00FD211F">
        <w:rPr>
          <w:sz w:val="36"/>
          <w:szCs w:val="36"/>
          <w:rtl/>
        </w:rPr>
        <w:t>والمعاني غير متناهي</w:t>
      </w:r>
      <w:r w:rsidR="00EC7EDF" w:rsidRPr="00FD211F">
        <w:rPr>
          <w:sz w:val="36"/>
          <w:szCs w:val="36"/>
          <w:rtl/>
        </w:rPr>
        <w:t>ة</w:t>
      </w:r>
      <w:r w:rsidR="00A61BAE" w:rsidRPr="00FD211F">
        <w:rPr>
          <w:sz w:val="36"/>
          <w:szCs w:val="36"/>
          <w:rtl/>
        </w:rPr>
        <w:t>.</w:t>
      </w:r>
    </w:p>
    <w:p w14:paraId="239496DF" w14:textId="77777777" w:rsidR="00052BF2" w:rsidRPr="00FD211F" w:rsidRDefault="00052BF2" w:rsidP="009C58C8">
      <w:pPr>
        <w:ind w:left="0" w:firstLine="227"/>
        <w:jc w:val="both"/>
        <w:rPr>
          <w:sz w:val="36"/>
          <w:szCs w:val="36"/>
          <w:rtl/>
        </w:rPr>
      </w:pPr>
      <w:r w:rsidRPr="00FD211F">
        <w:rPr>
          <w:sz w:val="36"/>
          <w:szCs w:val="36"/>
          <w:rtl/>
        </w:rPr>
        <w:t>و</w:t>
      </w:r>
      <w:r w:rsidR="00846295" w:rsidRPr="00FD211F">
        <w:rPr>
          <w:sz w:val="36"/>
          <w:szCs w:val="36"/>
          <w:rtl/>
        </w:rPr>
        <w:t>لكن أجيب عن ذلك</w:t>
      </w:r>
      <w:r w:rsidRPr="00FD211F">
        <w:rPr>
          <w:sz w:val="36"/>
          <w:szCs w:val="36"/>
          <w:rtl/>
        </w:rPr>
        <w:t xml:space="preserve"> ب</w:t>
      </w:r>
      <w:r w:rsidR="00846295" w:rsidRPr="00FD211F">
        <w:rPr>
          <w:sz w:val="36"/>
          <w:szCs w:val="36"/>
          <w:rtl/>
        </w:rPr>
        <w:t>عد</w:t>
      </w:r>
      <w:r w:rsidR="00EC7EDF" w:rsidRPr="00FD211F">
        <w:rPr>
          <w:sz w:val="36"/>
          <w:szCs w:val="36"/>
          <w:rtl/>
        </w:rPr>
        <w:t xml:space="preserve">ة </w:t>
      </w:r>
      <w:r w:rsidRPr="00FD211F">
        <w:rPr>
          <w:sz w:val="36"/>
          <w:szCs w:val="36"/>
          <w:rtl/>
        </w:rPr>
        <w:t>وجوه:</w:t>
      </w:r>
    </w:p>
    <w:p w14:paraId="166CA508" w14:textId="77777777" w:rsidR="00052BF2" w:rsidRPr="00FD211F" w:rsidRDefault="00052BF2" w:rsidP="009C58C8">
      <w:pPr>
        <w:ind w:left="0" w:firstLine="227"/>
        <w:jc w:val="both"/>
        <w:rPr>
          <w:sz w:val="36"/>
          <w:szCs w:val="36"/>
          <w:rtl/>
        </w:rPr>
      </w:pPr>
      <w:r w:rsidRPr="00FD211F">
        <w:rPr>
          <w:sz w:val="36"/>
          <w:szCs w:val="36"/>
          <w:rtl/>
        </w:rPr>
        <w:t>1- ما ذكره صاحب الكفاي</w:t>
      </w:r>
      <w:r w:rsidR="00EC7EDF" w:rsidRPr="00FD211F">
        <w:rPr>
          <w:sz w:val="36"/>
          <w:szCs w:val="36"/>
          <w:rtl/>
        </w:rPr>
        <w:t xml:space="preserve">ة </w:t>
      </w:r>
      <w:r w:rsidR="00846295" w:rsidRPr="00FD211F">
        <w:rPr>
          <w:sz w:val="36"/>
          <w:szCs w:val="36"/>
          <w:rtl/>
        </w:rPr>
        <w:t>"قده"</w:t>
      </w:r>
      <w:r w:rsidR="00062461" w:rsidRPr="00FD211F">
        <w:rPr>
          <w:sz w:val="36"/>
          <w:szCs w:val="36"/>
          <w:rtl/>
        </w:rPr>
        <w:t xml:space="preserve"> </w:t>
      </w:r>
      <w:r w:rsidRPr="00FD211F">
        <w:rPr>
          <w:sz w:val="36"/>
          <w:szCs w:val="36"/>
          <w:rtl/>
        </w:rPr>
        <w:t>من أن المعاني الكلي</w:t>
      </w:r>
      <w:r w:rsidR="00EC7EDF" w:rsidRPr="00FD211F">
        <w:rPr>
          <w:sz w:val="36"/>
          <w:szCs w:val="36"/>
          <w:rtl/>
        </w:rPr>
        <w:t xml:space="preserve">ة </w:t>
      </w:r>
      <w:r w:rsidRPr="00FD211F">
        <w:rPr>
          <w:sz w:val="36"/>
          <w:szCs w:val="36"/>
          <w:rtl/>
        </w:rPr>
        <w:t>متناهي</w:t>
      </w:r>
      <w:r w:rsidR="00EC7EDF" w:rsidRPr="00FD211F">
        <w:rPr>
          <w:sz w:val="36"/>
          <w:szCs w:val="36"/>
          <w:rtl/>
        </w:rPr>
        <w:t xml:space="preserve">ة </w:t>
      </w:r>
      <w:r w:rsidRPr="00FD211F">
        <w:rPr>
          <w:sz w:val="36"/>
          <w:szCs w:val="36"/>
          <w:rtl/>
        </w:rPr>
        <w:t>ويكفي وضع الالفاظ بإزائها ولاحاج</w:t>
      </w:r>
      <w:r w:rsidR="00EC7EDF" w:rsidRPr="00FD211F">
        <w:rPr>
          <w:sz w:val="36"/>
          <w:szCs w:val="36"/>
          <w:rtl/>
        </w:rPr>
        <w:t xml:space="preserve">ة </w:t>
      </w:r>
      <w:r w:rsidRPr="00FD211F">
        <w:rPr>
          <w:sz w:val="36"/>
          <w:szCs w:val="36"/>
          <w:rtl/>
        </w:rPr>
        <w:t>الى وضع لفظ بإزاء أفرادها</w:t>
      </w:r>
      <w:r w:rsidR="00603323" w:rsidRPr="00FD211F">
        <w:rPr>
          <w:sz w:val="36"/>
          <w:szCs w:val="36"/>
          <w:rtl/>
        </w:rPr>
        <w:t xml:space="preserve">، </w:t>
      </w:r>
      <w:r w:rsidRPr="00FD211F">
        <w:rPr>
          <w:sz w:val="36"/>
          <w:szCs w:val="36"/>
          <w:rtl/>
        </w:rPr>
        <w:t>حيث يمكن تفهيم اراد</w:t>
      </w:r>
      <w:r w:rsidR="00EC7EDF" w:rsidRPr="00FD211F">
        <w:rPr>
          <w:sz w:val="36"/>
          <w:szCs w:val="36"/>
          <w:rtl/>
        </w:rPr>
        <w:t xml:space="preserve">ة </w:t>
      </w:r>
      <w:r w:rsidRPr="00FD211F">
        <w:rPr>
          <w:sz w:val="36"/>
          <w:szCs w:val="36"/>
          <w:rtl/>
        </w:rPr>
        <w:t>الفرد باستعمال اللفظ الموضوع على المعنى الكلي مع الإشار</w:t>
      </w:r>
      <w:r w:rsidR="00EC7EDF" w:rsidRPr="00FD211F">
        <w:rPr>
          <w:sz w:val="36"/>
          <w:szCs w:val="36"/>
          <w:rtl/>
        </w:rPr>
        <w:t xml:space="preserve">ة </w:t>
      </w:r>
      <w:r w:rsidRPr="00FD211F">
        <w:rPr>
          <w:sz w:val="36"/>
          <w:szCs w:val="36"/>
          <w:rtl/>
        </w:rPr>
        <w:t>الى هذا الفرد مثلا</w:t>
      </w:r>
      <w:r w:rsidR="00603323" w:rsidRPr="00FD211F">
        <w:rPr>
          <w:sz w:val="36"/>
          <w:szCs w:val="36"/>
          <w:rtl/>
        </w:rPr>
        <w:t xml:space="preserve">، </w:t>
      </w:r>
      <w:r w:rsidRPr="00FD211F">
        <w:rPr>
          <w:sz w:val="36"/>
          <w:szCs w:val="36"/>
          <w:rtl/>
        </w:rPr>
        <w:t>كأن يقال هذا الماء</w:t>
      </w:r>
      <w:r w:rsidR="009C58C8" w:rsidRPr="00FD211F">
        <w:rPr>
          <w:rStyle w:val="a6"/>
          <w:sz w:val="36"/>
          <w:szCs w:val="36"/>
          <w:rtl/>
        </w:rPr>
        <w:t>(</w:t>
      </w:r>
      <w:r w:rsidR="009C58C8" w:rsidRPr="00FD211F">
        <w:rPr>
          <w:rStyle w:val="a6"/>
          <w:sz w:val="36"/>
          <w:szCs w:val="36"/>
          <w:rtl/>
        </w:rPr>
        <w:footnoteReference w:id="450"/>
      </w:r>
      <w:r w:rsidR="009C58C8" w:rsidRPr="00FD211F">
        <w:rPr>
          <w:rStyle w:val="a6"/>
          <w:sz w:val="36"/>
          <w:szCs w:val="36"/>
          <w:rtl/>
        </w:rPr>
        <w:t>)</w:t>
      </w:r>
      <w:r w:rsidRPr="00FD211F">
        <w:rPr>
          <w:sz w:val="36"/>
          <w:szCs w:val="36"/>
          <w:rtl/>
        </w:rPr>
        <w:t>.</w:t>
      </w:r>
    </w:p>
    <w:p w14:paraId="6103EA56" w14:textId="77777777" w:rsidR="000C5BBA" w:rsidRPr="00FD211F" w:rsidRDefault="00052BF2" w:rsidP="009C58C8">
      <w:pPr>
        <w:ind w:left="0" w:firstLine="227"/>
        <w:jc w:val="both"/>
        <w:rPr>
          <w:sz w:val="36"/>
          <w:szCs w:val="36"/>
          <w:rtl/>
        </w:rPr>
      </w:pPr>
      <w:r w:rsidRPr="00FD211F">
        <w:rPr>
          <w:sz w:val="36"/>
          <w:szCs w:val="36"/>
          <w:rtl/>
        </w:rPr>
        <w:t>ويلاحظ عليه: ان المعاني الكلي</w:t>
      </w:r>
      <w:r w:rsidR="00EC7EDF" w:rsidRPr="00FD211F">
        <w:rPr>
          <w:sz w:val="36"/>
          <w:szCs w:val="36"/>
          <w:rtl/>
        </w:rPr>
        <w:t xml:space="preserve">ة </w:t>
      </w:r>
      <w:r w:rsidRPr="00FD211F">
        <w:rPr>
          <w:sz w:val="36"/>
          <w:szCs w:val="36"/>
          <w:rtl/>
        </w:rPr>
        <w:t>تكون على مراتب فبعضها يكون أحيانا جزئيا اضافيا بالنسب</w:t>
      </w:r>
      <w:r w:rsidR="00EC7EDF" w:rsidRPr="00FD211F">
        <w:rPr>
          <w:sz w:val="36"/>
          <w:szCs w:val="36"/>
          <w:rtl/>
        </w:rPr>
        <w:t xml:space="preserve">ة </w:t>
      </w:r>
      <w:r w:rsidRPr="00FD211F">
        <w:rPr>
          <w:sz w:val="36"/>
          <w:szCs w:val="36"/>
          <w:rtl/>
        </w:rPr>
        <w:t>الى بعض آخر كالرجل بالنسب</w:t>
      </w:r>
      <w:r w:rsidR="00EC7EDF" w:rsidRPr="00FD211F">
        <w:rPr>
          <w:sz w:val="36"/>
          <w:szCs w:val="36"/>
          <w:rtl/>
        </w:rPr>
        <w:t xml:space="preserve">ة </w:t>
      </w:r>
      <w:r w:rsidRPr="00FD211F">
        <w:rPr>
          <w:sz w:val="36"/>
          <w:szCs w:val="36"/>
          <w:rtl/>
        </w:rPr>
        <w:t>الى الانسان</w:t>
      </w:r>
      <w:r w:rsidR="00603323" w:rsidRPr="00FD211F">
        <w:rPr>
          <w:sz w:val="36"/>
          <w:szCs w:val="36"/>
          <w:rtl/>
        </w:rPr>
        <w:t xml:space="preserve">، </w:t>
      </w:r>
      <w:r w:rsidRPr="00FD211F">
        <w:rPr>
          <w:sz w:val="36"/>
          <w:szCs w:val="36"/>
          <w:rtl/>
        </w:rPr>
        <w:t>وبهذا اللحاظ تكون المعاني الكل</w:t>
      </w:r>
      <w:r w:rsidR="00846295" w:rsidRPr="00FD211F">
        <w:rPr>
          <w:sz w:val="36"/>
          <w:szCs w:val="36"/>
          <w:rtl/>
        </w:rPr>
        <w:t>ي</w:t>
      </w:r>
      <w:r w:rsidR="00EC7EDF" w:rsidRPr="00FD211F">
        <w:rPr>
          <w:sz w:val="36"/>
          <w:szCs w:val="36"/>
          <w:rtl/>
        </w:rPr>
        <w:t xml:space="preserve">ة </w:t>
      </w:r>
      <w:r w:rsidR="00846295" w:rsidRPr="00FD211F">
        <w:rPr>
          <w:sz w:val="36"/>
          <w:szCs w:val="36"/>
          <w:rtl/>
        </w:rPr>
        <w:t>غير متناهي</w:t>
      </w:r>
      <w:r w:rsidR="00EC7EDF" w:rsidRPr="00FD211F">
        <w:rPr>
          <w:sz w:val="36"/>
          <w:szCs w:val="36"/>
          <w:rtl/>
        </w:rPr>
        <w:t>ة</w:t>
      </w:r>
      <w:r w:rsidR="00A61BAE" w:rsidRPr="00FD211F">
        <w:rPr>
          <w:sz w:val="36"/>
          <w:szCs w:val="36"/>
          <w:rtl/>
        </w:rPr>
        <w:t>.</w:t>
      </w:r>
    </w:p>
    <w:p w14:paraId="6E41DB8D" w14:textId="77777777" w:rsidR="00052BF2" w:rsidRPr="00FD211F" w:rsidRDefault="00052BF2" w:rsidP="009C58C8">
      <w:pPr>
        <w:ind w:left="0" w:firstLine="227"/>
        <w:jc w:val="both"/>
        <w:rPr>
          <w:sz w:val="36"/>
          <w:szCs w:val="36"/>
          <w:rtl/>
        </w:rPr>
      </w:pPr>
      <w:r w:rsidRPr="00FD211F">
        <w:rPr>
          <w:sz w:val="36"/>
          <w:szCs w:val="36"/>
          <w:rtl/>
        </w:rPr>
        <w:t>أضف الى ذلك ان المعاني الكلي</w:t>
      </w:r>
      <w:r w:rsidR="00EC7EDF" w:rsidRPr="00FD211F">
        <w:rPr>
          <w:sz w:val="36"/>
          <w:szCs w:val="36"/>
          <w:rtl/>
        </w:rPr>
        <w:t xml:space="preserve">ة </w:t>
      </w:r>
      <w:r w:rsidRPr="00FD211F">
        <w:rPr>
          <w:sz w:val="36"/>
          <w:szCs w:val="36"/>
          <w:rtl/>
        </w:rPr>
        <w:t>باعتبار اشتمالها على معان اعتباري</w:t>
      </w:r>
      <w:r w:rsidR="00EC7EDF" w:rsidRPr="00FD211F">
        <w:rPr>
          <w:sz w:val="36"/>
          <w:szCs w:val="36"/>
          <w:rtl/>
        </w:rPr>
        <w:t xml:space="preserve">ة </w:t>
      </w:r>
      <w:r w:rsidRPr="00FD211F">
        <w:rPr>
          <w:sz w:val="36"/>
          <w:szCs w:val="36"/>
          <w:rtl/>
        </w:rPr>
        <w:t>غير متناهي</w:t>
      </w:r>
      <w:r w:rsidR="00EC7EDF" w:rsidRPr="00FD211F">
        <w:rPr>
          <w:sz w:val="36"/>
          <w:szCs w:val="36"/>
          <w:rtl/>
        </w:rPr>
        <w:t xml:space="preserve">ة </w:t>
      </w:r>
      <w:r w:rsidRPr="00FD211F">
        <w:rPr>
          <w:sz w:val="36"/>
          <w:szCs w:val="36"/>
          <w:rtl/>
        </w:rPr>
        <w:t>جزما</w:t>
      </w:r>
      <w:r w:rsidR="00603323" w:rsidRPr="00FD211F">
        <w:rPr>
          <w:sz w:val="36"/>
          <w:szCs w:val="36"/>
          <w:rtl/>
        </w:rPr>
        <w:t xml:space="preserve">، </w:t>
      </w:r>
      <w:r w:rsidRPr="00FD211F">
        <w:rPr>
          <w:sz w:val="36"/>
          <w:szCs w:val="36"/>
          <w:rtl/>
        </w:rPr>
        <w:t>اذ انتزاع المفهوم الاعتباري لايقف على حد فيمكن انتزاع مفهوم اعتباري عن ملاحظ</w:t>
      </w:r>
      <w:r w:rsidR="00EC7EDF" w:rsidRPr="00FD211F">
        <w:rPr>
          <w:sz w:val="36"/>
          <w:szCs w:val="36"/>
          <w:rtl/>
        </w:rPr>
        <w:t xml:space="preserve">ة </w:t>
      </w:r>
      <w:r w:rsidRPr="00FD211F">
        <w:rPr>
          <w:sz w:val="36"/>
          <w:szCs w:val="36"/>
          <w:rtl/>
        </w:rPr>
        <w:t>تركيب معنى مع معنى آخر</w:t>
      </w:r>
      <w:r w:rsidR="00603323" w:rsidRPr="00FD211F">
        <w:rPr>
          <w:sz w:val="36"/>
          <w:szCs w:val="36"/>
          <w:rtl/>
        </w:rPr>
        <w:t xml:space="preserve">، </w:t>
      </w:r>
      <w:r w:rsidRPr="00FD211F">
        <w:rPr>
          <w:sz w:val="36"/>
          <w:szCs w:val="36"/>
          <w:rtl/>
        </w:rPr>
        <w:t>كمفهوم الصلا</w:t>
      </w:r>
      <w:r w:rsidR="00EC7EDF" w:rsidRPr="00FD211F">
        <w:rPr>
          <w:sz w:val="36"/>
          <w:szCs w:val="36"/>
          <w:rtl/>
        </w:rPr>
        <w:t xml:space="preserve">ة </w:t>
      </w:r>
      <w:r w:rsidRPr="00FD211F">
        <w:rPr>
          <w:sz w:val="36"/>
          <w:szCs w:val="36"/>
          <w:rtl/>
        </w:rPr>
        <w:t>حيث أنه منتزع عن اجتماع عد</w:t>
      </w:r>
      <w:r w:rsidR="00EC7EDF" w:rsidRPr="00FD211F">
        <w:rPr>
          <w:sz w:val="36"/>
          <w:szCs w:val="36"/>
          <w:rtl/>
        </w:rPr>
        <w:t xml:space="preserve">ة </w:t>
      </w:r>
      <w:r w:rsidRPr="00FD211F">
        <w:rPr>
          <w:sz w:val="36"/>
          <w:szCs w:val="36"/>
          <w:rtl/>
        </w:rPr>
        <w:t>أمور كالركوع والسجود ونحوهما ثم ينتزع مفهوم اعتباري آخر بملاحظ</w:t>
      </w:r>
      <w:r w:rsidR="00EC7EDF" w:rsidRPr="00FD211F">
        <w:rPr>
          <w:sz w:val="36"/>
          <w:szCs w:val="36"/>
          <w:rtl/>
        </w:rPr>
        <w:t xml:space="preserve">ة </w:t>
      </w:r>
      <w:r w:rsidRPr="00FD211F">
        <w:rPr>
          <w:sz w:val="36"/>
          <w:szCs w:val="36"/>
          <w:rtl/>
        </w:rPr>
        <w:t>تركيب هذا المفهوم الاعتباري أي الصلا</w:t>
      </w:r>
      <w:r w:rsidR="00EC7EDF" w:rsidRPr="00FD211F">
        <w:rPr>
          <w:sz w:val="36"/>
          <w:szCs w:val="36"/>
          <w:rtl/>
        </w:rPr>
        <w:t xml:space="preserve">ة </w:t>
      </w:r>
      <w:r w:rsidRPr="00FD211F">
        <w:rPr>
          <w:sz w:val="36"/>
          <w:szCs w:val="36"/>
          <w:rtl/>
        </w:rPr>
        <w:t>مثلا مع مفهوم آخر وهكذا</w:t>
      </w:r>
      <w:r w:rsidR="00EC7EDF" w:rsidRPr="00FD211F">
        <w:rPr>
          <w:sz w:val="36"/>
          <w:szCs w:val="36"/>
          <w:rtl/>
        </w:rPr>
        <w:t>.</w:t>
      </w:r>
      <w:r w:rsidRPr="00FD211F">
        <w:rPr>
          <w:sz w:val="36"/>
          <w:szCs w:val="36"/>
          <w:rtl/>
        </w:rPr>
        <w:t>..</w:t>
      </w:r>
      <w:r w:rsidR="00EC7EDF" w:rsidRPr="00FD211F">
        <w:rPr>
          <w:sz w:val="36"/>
          <w:szCs w:val="36"/>
          <w:rtl/>
        </w:rPr>
        <w:t>.</w:t>
      </w:r>
    </w:p>
    <w:p w14:paraId="6F90A928" w14:textId="77777777" w:rsidR="00846295" w:rsidRPr="00FD211F" w:rsidRDefault="00052BF2" w:rsidP="009C58C8">
      <w:pPr>
        <w:ind w:left="0" w:firstLine="227"/>
        <w:jc w:val="both"/>
        <w:rPr>
          <w:sz w:val="36"/>
          <w:szCs w:val="36"/>
          <w:rtl/>
        </w:rPr>
      </w:pPr>
      <w:r w:rsidRPr="00FD211F">
        <w:rPr>
          <w:sz w:val="36"/>
          <w:szCs w:val="36"/>
          <w:rtl/>
        </w:rPr>
        <w:t>2- ما ذكره صاحب الكفاي</w:t>
      </w:r>
      <w:r w:rsidR="00EC7EDF" w:rsidRPr="00FD211F">
        <w:rPr>
          <w:sz w:val="36"/>
          <w:szCs w:val="36"/>
          <w:rtl/>
        </w:rPr>
        <w:t xml:space="preserve">ة </w:t>
      </w:r>
      <w:r w:rsidRPr="00FD211F">
        <w:rPr>
          <w:sz w:val="36"/>
          <w:szCs w:val="36"/>
          <w:rtl/>
        </w:rPr>
        <w:t>أيضا من ان مشكل</w:t>
      </w:r>
      <w:r w:rsidR="00EC7EDF" w:rsidRPr="00FD211F">
        <w:rPr>
          <w:sz w:val="36"/>
          <w:szCs w:val="36"/>
          <w:rtl/>
        </w:rPr>
        <w:t xml:space="preserve">ة </w:t>
      </w:r>
      <w:r w:rsidRPr="00FD211F">
        <w:rPr>
          <w:sz w:val="36"/>
          <w:szCs w:val="36"/>
          <w:rtl/>
        </w:rPr>
        <w:t>كون المعاني التي يوضع بإزائها الألفاظ غير متناهي</w:t>
      </w:r>
      <w:r w:rsidR="00EC7EDF" w:rsidRPr="00FD211F">
        <w:rPr>
          <w:sz w:val="36"/>
          <w:szCs w:val="36"/>
          <w:rtl/>
        </w:rPr>
        <w:t xml:space="preserve">ة </w:t>
      </w:r>
      <w:r w:rsidRPr="00FD211F">
        <w:rPr>
          <w:sz w:val="36"/>
          <w:szCs w:val="36"/>
          <w:rtl/>
        </w:rPr>
        <w:t>لاترتفع بالالتزام بالاشتراك اللفظي</w:t>
      </w:r>
      <w:r w:rsidR="00603323" w:rsidRPr="00FD211F">
        <w:rPr>
          <w:sz w:val="36"/>
          <w:szCs w:val="36"/>
          <w:rtl/>
        </w:rPr>
        <w:t xml:space="preserve">، </w:t>
      </w:r>
      <w:r w:rsidRPr="00FD211F">
        <w:rPr>
          <w:sz w:val="36"/>
          <w:szCs w:val="36"/>
          <w:rtl/>
        </w:rPr>
        <w:t>اذ يبقى الاشكال حينئذ في استلزام عدم تناهي المعاني الموضوع لها لأوضاع غير متناهي</w:t>
      </w:r>
      <w:r w:rsidR="00EC7EDF" w:rsidRPr="00FD211F">
        <w:rPr>
          <w:sz w:val="36"/>
          <w:szCs w:val="36"/>
          <w:rtl/>
        </w:rPr>
        <w:t>ة</w:t>
      </w:r>
      <w:r w:rsidR="00603323" w:rsidRPr="00FD211F">
        <w:rPr>
          <w:sz w:val="36"/>
          <w:szCs w:val="36"/>
          <w:rtl/>
        </w:rPr>
        <w:t xml:space="preserve">، </w:t>
      </w:r>
      <w:r w:rsidRPr="00FD211F">
        <w:rPr>
          <w:sz w:val="36"/>
          <w:szCs w:val="36"/>
          <w:rtl/>
        </w:rPr>
        <w:t>وهو باطل جزما فلابد من حل الاشكال بطريق آخر</w:t>
      </w:r>
      <w:r w:rsidR="009C58C8" w:rsidRPr="00FD211F">
        <w:rPr>
          <w:rStyle w:val="a6"/>
          <w:sz w:val="36"/>
          <w:szCs w:val="36"/>
          <w:rtl/>
        </w:rPr>
        <w:t>(</w:t>
      </w:r>
      <w:r w:rsidR="009C58C8" w:rsidRPr="00FD211F">
        <w:rPr>
          <w:rStyle w:val="a6"/>
          <w:sz w:val="36"/>
          <w:szCs w:val="36"/>
          <w:rtl/>
        </w:rPr>
        <w:footnoteReference w:id="451"/>
      </w:r>
      <w:r w:rsidR="009C58C8" w:rsidRPr="00FD211F">
        <w:rPr>
          <w:rStyle w:val="a6"/>
          <w:sz w:val="36"/>
          <w:szCs w:val="36"/>
          <w:rtl/>
        </w:rPr>
        <w:t>)</w:t>
      </w:r>
      <w:r w:rsidRPr="00FD211F">
        <w:rPr>
          <w:sz w:val="36"/>
          <w:szCs w:val="36"/>
          <w:rtl/>
        </w:rPr>
        <w:t>.</w:t>
      </w:r>
    </w:p>
    <w:p w14:paraId="1BB643F7" w14:textId="77777777" w:rsidR="00052BF2" w:rsidRPr="00FD211F" w:rsidRDefault="00846295" w:rsidP="009C58C8">
      <w:pPr>
        <w:ind w:left="0" w:firstLine="227"/>
        <w:jc w:val="both"/>
        <w:rPr>
          <w:sz w:val="36"/>
          <w:szCs w:val="36"/>
          <w:rtl/>
        </w:rPr>
      </w:pPr>
      <w:r w:rsidRPr="00FD211F">
        <w:rPr>
          <w:sz w:val="36"/>
          <w:szCs w:val="36"/>
          <w:rtl/>
        </w:rPr>
        <w:t>وماافاده متين جدا.</w:t>
      </w:r>
    </w:p>
    <w:p w14:paraId="3A5A2BE1" w14:textId="77777777" w:rsidR="00052BF2" w:rsidRPr="00FD211F" w:rsidRDefault="00052BF2" w:rsidP="009C58C8">
      <w:pPr>
        <w:ind w:left="0" w:firstLine="227"/>
        <w:jc w:val="both"/>
        <w:rPr>
          <w:sz w:val="36"/>
          <w:szCs w:val="36"/>
          <w:rtl/>
        </w:rPr>
      </w:pPr>
      <w:r w:rsidRPr="00FD211F">
        <w:rPr>
          <w:sz w:val="36"/>
          <w:szCs w:val="36"/>
          <w:rtl/>
        </w:rPr>
        <w:t>3- انه لاحاج</w:t>
      </w:r>
      <w:r w:rsidR="00EC7EDF" w:rsidRPr="00FD211F">
        <w:rPr>
          <w:sz w:val="36"/>
          <w:szCs w:val="36"/>
          <w:rtl/>
        </w:rPr>
        <w:t xml:space="preserve">ة </w:t>
      </w:r>
      <w:r w:rsidRPr="00FD211F">
        <w:rPr>
          <w:sz w:val="36"/>
          <w:szCs w:val="36"/>
          <w:rtl/>
        </w:rPr>
        <w:t>الى وضع الألفاظ بإزاء جميع المعاني بعد عدم تعلق الغرض بتفهيمها</w:t>
      </w:r>
      <w:r w:rsidR="00603323" w:rsidRPr="00FD211F">
        <w:rPr>
          <w:sz w:val="36"/>
          <w:szCs w:val="36"/>
          <w:rtl/>
        </w:rPr>
        <w:t xml:space="preserve">، </w:t>
      </w:r>
      <w:r w:rsidRPr="00FD211F">
        <w:rPr>
          <w:sz w:val="36"/>
          <w:szCs w:val="36"/>
          <w:rtl/>
        </w:rPr>
        <w:t>بل لو فرض تعلق الغرض بتفهيم معنى</w:t>
      </w:r>
      <w:r w:rsidR="008D7B3D" w:rsidRPr="00FD211F">
        <w:rPr>
          <w:sz w:val="36"/>
          <w:szCs w:val="36"/>
          <w:rtl/>
        </w:rPr>
        <w:t xml:space="preserve"> لم‌</w:t>
      </w:r>
      <w:r w:rsidRPr="00FD211F">
        <w:rPr>
          <w:sz w:val="36"/>
          <w:szCs w:val="36"/>
          <w:rtl/>
        </w:rPr>
        <w:t>يوضع له لفظ فيمكن ان يستخدم مفاهيم متعدد</w:t>
      </w:r>
      <w:r w:rsidR="00EC7EDF" w:rsidRPr="00FD211F">
        <w:rPr>
          <w:sz w:val="36"/>
          <w:szCs w:val="36"/>
          <w:rtl/>
        </w:rPr>
        <w:t>ة</w:t>
      </w:r>
      <w:r w:rsidR="00603323" w:rsidRPr="00FD211F">
        <w:rPr>
          <w:sz w:val="36"/>
          <w:szCs w:val="36"/>
          <w:rtl/>
        </w:rPr>
        <w:t xml:space="preserve">، </w:t>
      </w:r>
      <w:r w:rsidRPr="00FD211F">
        <w:rPr>
          <w:sz w:val="36"/>
          <w:szCs w:val="36"/>
          <w:rtl/>
        </w:rPr>
        <w:t>كما لو أريد تفهيم معنى البغل فيقال المتولد من الحصان والحمار.</w:t>
      </w:r>
    </w:p>
    <w:p w14:paraId="305225B7" w14:textId="77777777" w:rsidR="00052BF2" w:rsidRPr="00FD211F" w:rsidRDefault="00052BF2" w:rsidP="009C58C8">
      <w:pPr>
        <w:ind w:left="0" w:firstLine="227"/>
        <w:jc w:val="both"/>
        <w:rPr>
          <w:sz w:val="36"/>
          <w:szCs w:val="36"/>
          <w:rtl/>
        </w:rPr>
      </w:pPr>
      <w:r w:rsidRPr="00FD211F">
        <w:rPr>
          <w:sz w:val="36"/>
          <w:szCs w:val="36"/>
          <w:rtl/>
        </w:rPr>
        <w:t>4- ما قد يقال من انه لاحاج</w:t>
      </w:r>
      <w:r w:rsidR="00EC7EDF" w:rsidRPr="00FD211F">
        <w:rPr>
          <w:sz w:val="36"/>
          <w:szCs w:val="36"/>
          <w:rtl/>
        </w:rPr>
        <w:t xml:space="preserve">ة </w:t>
      </w:r>
      <w:r w:rsidRPr="00FD211F">
        <w:rPr>
          <w:sz w:val="36"/>
          <w:szCs w:val="36"/>
          <w:rtl/>
        </w:rPr>
        <w:t>الى وضع اللفظ لمعان متعدد</w:t>
      </w:r>
      <w:r w:rsidR="00EC7EDF" w:rsidRPr="00FD211F">
        <w:rPr>
          <w:sz w:val="36"/>
          <w:szCs w:val="36"/>
          <w:rtl/>
        </w:rPr>
        <w:t xml:space="preserve">ة </w:t>
      </w:r>
      <w:r w:rsidRPr="00FD211F">
        <w:rPr>
          <w:sz w:val="36"/>
          <w:szCs w:val="36"/>
          <w:rtl/>
        </w:rPr>
        <w:t>بل يكفي وضعه لواحد منها واستعماله في غيرها مجازا.</w:t>
      </w:r>
    </w:p>
    <w:p w14:paraId="5A7DA230" w14:textId="77777777" w:rsidR="00052BF2" w:rsidRPr="00FD211F" w:rsidRDefault="00052BF2" w:rsidP="009C58C8">
      <w:pPr>
        <w:ind w:left="0" w:firstLine="227"/>
        <w:jc w:val="both"/>
        <w:rPr>
          <w:sz w:val="36"/>
          <w:szCs w:val="36"/>
          <w:rtl/>
        </w:rPr>
      </w:pPr>
      <w:r w:rsidRPr="00FD211F">
        <w:rPr>
          <w:sz w:val="36"/>
          <w:szCs w:val="36"/>
          <w:rtl/>
        </w:rPr>
        <w:t>5- ان الالفاظ غير متناهي</w:t>
      </w:r>
      <w:r w:rsidR="00EC7EDF" w:rsidRPr="00FD211F">
        <w:rPr>
          <w:sz w:val="36"/>
          <w:szCs w:val="36"/>
          <w:rtl/>
        </w:rPr>
        <w:t xml:space="preserve">ة </w:t>
      </w:r>
      <w:r w:rsidRPr="00FD211F">
        <w:rPr>
          <w:sz w:val="36"/>
          <w:szCs w:val="36"/>
          <w:rtl/>
        </w:rPr>
        <w:t>أيضا بلحاظ كيفي</w:t>
      </w:r>
      <w:r w:rsidR="00EC7EDF" w:rsidRPr="00FD211F">
        <w:rPr>
          <w:sz w:val="36"/>
          <w:szCs w:val="36"/>
          <w:rtl/>
        </w:rPr>
        <w:t xml:space="preserve">ة </w:t>
      </w:r>
      <w:r w:rsidRPr="00FD211F">
        <w:rPr>
          <w:sz w:val="36"/>
          <w:szCs w:val="36"/>
          <w:rtl/>
        </w:rPr>
        <w:t>تركيب الحروف التي هي موادّ الكلمات وكذا بلحاظ اختلاف هيئ</w:t>
      </w:r>
      <w:r w:rsidR="00EC7EDF" w:rsidRPr="00FD211F">
        <w:rPr>
          <w:sz w:val="36"/>
          <w:szCs w:val="36"/>
          <w:rtl/>
        </w:rPr>
        <w:t xml:space="preserve">ة </w:t>
      </w:r>
      <w:r w:rsidRPr="00FD211F">
        <w:rPr>
          <w:sz w:val="36"/>
          <w:szCs w:val="36"/>
          <w:rtl/>
        </w:rPr>
        <w:t>الكلمات.</w:t>
      </w:r>
    </w:p>
    <w:p w14:paraId="20C3FAEF" w14:textId="77777777" w:rsidR="00052BF2" w:rsidRPr="00FD211F" w:rsidRDefault="00052BF2" w:rsidP="009C58C8">
      <w:pPr>
        <w:ind w:left="0" w:firstLine="227"/>
        <w:jc w:val="both"/>
        <w:rPr>
          <w:sz w:val="36"/>
          <w:szCs w:val="36"/>
          <w:rtl/>
        </w:rPr>
      </w:pPr>
      <w:r w:rsidRPr="00FD211F">
        <w:rPr>
          <w:sz w:val="36"/>
          <w:szCs w:val="36"/>
          <w:rtl/>
        </w:rPr>
        <w:t>6- ان وجود الفاظ مهمل</w:t>
      </w:r>
      <w:r w:rsidR="00EC7EDF" w:rsidRPr="00FD211F">
        <w:rPr>
          <w:sz w:val="36"/>
          <w:szCs w:val="36"/>
          <w:rtl/>
        </w:rPr>
        <w:t xml:space="preserve">ة </w:t>
      </w:r>
      <w:r w:rsidRPr="00FD211F">
        <w:rPr>
          <w:sz w:val="36"/>
          <w:szCs w:val="36"/>
          <w:rtl/>
        </w:rPr>
        <w:t>في اللغ</w:t>
      </w:r>
      <w:r w:rsidR="00EC7EDF" w:rsidRPr="00FD211F">
        <w:rPr>
          <w:sz w:val="36"/>
          <w:szCs w:val="36"/>
          <w:rtl/>
        </w:rPr>
        <w:t xml:space="preserve">ة </w:t>
      </w:r>
      <w:r w:rsidRPr="00FD211F">
        <w:rPr>
          <w:sz w:val="36"/>
          <w:szCs w:val="36"/>
          <w:rtl/>
        </w:rPr>
        <w:t>أدلّ دليل على عدم ضرور</w:t>
      </w:r>
      <w:r w:rsidR="00EC7EDF" w:rsidRPr="00FD211F">
        <w:rPr>
          <w:sz w:val="36"/>
          <w:szCs w:val="36"/>
          <w:rtl/>
        </w:rPr>
        <w:t xml:space="preserve">ة </w:t>
      </w:r>
      <w:r w:rsidRPr="00FD211F">
        <w:rPr>
          <w:sz w:val="36"/>
          <w:szCs w:val="36"/>
          <w:rtl/>
        </w:rPr>
        <w:t>في الاشتراك اللفظي بمناط قلّ</w:t>
      </w:r>
      <w:r w:rsidR="00EC7EDF" w:rsidRPr="00FD211F">
        <w:rPr>
          <w:sz w:val="36"/>
          <w:szCs w:val="36"/>
          <w:rtl/>
        </w:rPr>
        <w:t xml:space="preserve">ة </w:t>
      </w:r>
      <w:r w:rsidRPr="00FD211F">
        <w:rPr>
          <w:sz w:val="36"/>
          <w:szCs w:val="36"/>
          <w:rtl/>
        </w:rPr>
        <w:t>الالفاظ.</w:t>
      </w:r>
    </w:p>
    <w:p w14:paraId="197E6118" w14:textId="77777777" w:rsidR="00052BF2" w:rsidRPr="00FD211F" w:rsidRDefault="00052BF2"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ولو عمّمنا الاشتراك اللفظي لموارد الوضع العام والموضوع له الخاص</w:t>
      </w:r>
      <w:r w:rsidR="00603323" w:rsidRPr="00FD211F">
        <w:rPr>
          <w:sz w:val="36"/>
          <w:szCs w:val="36"/>
          <w:rtl/>
        </w:rPr>
        <w:t xml:space="preserve">، </w:t>
      </w:r>
      <w:r w:rsidRPr="00FD211F">
        <w:rPr>
          <w:sz w:val="36"/>
          <w:szCs w:val="36"/>
          <w:rtl/>
        </w:rPr>
        <w:t>فيتم حينئذ دعوى ضرور</w:t>
      </w:r>
      <w:r w:rsidR="00EC7EDF" w:rsidRPr="00FD211F">
        <w:rPr>
          <w:sz w:val="36"/>
          <w:szCs w:val="36"/>
          <w:rtl/>
        </w:rPr>
        <w:t xml:space="preserve">ة </w:t>
      </w:r>
      <w:r w:rsidRPr="00FD211F">
        <w:rPr>
          <w:sz w:val="36"/>
          <w:szCs w:val="36"/>
          <w:rtl/>
        </w:rPr>
        <w:t>الاشتراك اللفظي فيما يكون الوضع فيه عاما والموضوع له خاصا مثل الحروف والهيئات والضمائر واسماء الإشارات</w:t>
      </w:r>
      <w:r w:rsidR="00603323" w:rsidRPr="00FD211F">
        <w:rPr>
          <w:sz w:val="36"/>
          <w:szCs w:val="36"/>
          <w:rtl/>
        </w:rPr>
        <w:t xml:space="preserve">، </w:t>
      </w:r>
      <w:r w:rsidRPr="00FD211F">
        <w:rPr>
          <w:sz w:val="36"/>
          <w:szCs w:val="36"/>
          <w:rtl/>
        </w:rPr>
        <w:t>ولكن ليس المراد من الاشتراك اللفظي ما يعم ذلك جزما.</w:t>
      </w:r>
    </w:p>
    <w:p w14:paraId="205F8706" w14:textId="77777777" w:rsidR="00052BF2" w:rsidRPr="00FD211F" w:rsidRDefault="00052BF2" w:rsidP="009C58C8">
      <w:pPr>
        <w:ind w:left="0" w:firstLine="227"/>
        <w:jc w:val="both"/>
        <w:rPr>
          <w:sz w:val="36"/>
          <w:szCs w:val="36"/>
          <w:rtl/>
        </w:rPr>
      </w:pPr>
      <w:r w:rsidRPr="00FD211F">
        <w:rPr>
          <w:sz w:val="36"/>
          <w:szCs w:val="36"/>
          <w:rtl/>
        </w:rPr>
        <w:t>فالصحيح انه لاتوجد أي</w:t>
      </w:r>
      <w:r w:rsidR="00EC7EDF" w:rsidRPr="00FD211F">
        <w:rPr>
          <w:sz w:val="36"/>
          <w:szCs w:val="36"/>
          <w:rtl/>
        </w:rPr>
        <w:t xml:space="preserve">ة </w:t>
      </w:r>
      <w:r w:rsidRPr="00FD211F">
        <w:rPr>
          <w:sz w:val="36"/>
          <w:szCs w:val="36"/>
          <w:rtl/>
        </w:rPr>
        <w:t>ضرور</w:t>
      </w:r>
      <w:r w:rsidR="00EC7EDF" w:rsidRPr="00FD211F">
        <w:rPr>
          <w:sz w:val="36"/>
          <w:szCs w:val="36"/>
          <w:rtl/>
        </w:rPr>
        <w:t xml:space="preserve">ة </w:t>
      </w:r>
      <w:r w:rsidRPr="00FD211F">
        <w:rPr>
          <w:sz w:val="36"/>
          <w:szCs w:val="36"/>
          <w:rtl/>
        </w:rPr>
        <w:t>للاشتراك اللفظي</w:t>
      </w:r>
      <w:r w:rsidR="00603323" w:rsidRPr="00FD211F">
        <w:rPr>
          <w:sz w:val="36"/>
          <w:szCs w:val="36"/>
          <w:rtl/>
        </w:rPr>
        <w:t xml:space="preserve">، </w:t>
      </w:r>
      <w:r w:rsidRPr="00FD211F">
        <w:rPr>
          <w:sz w:val="36"/>
          <w:szCs w:val="36"/>
          <w:rtl/>
        </w:rPr>
        <w:t>نعم لو أريد منها أن ظاهر</w:t>
      </w:r>
      <w:r w:rsidR="00EC7EDF" w:rsidRPr="00FD211F">
        <w:rPr>
          <w:sz w:val="36"/>
          <w:szCs w:val="36"/>
          <w:rtl/>
        </w:rPr>
        <w:t xml:space="preserve">ة </w:t>
      </w:r>
      <w:r w:rsidRPr="00FD211F">
        <w:rPr>
          <w:sz w:val="36"/>
          <w:szCs w:val="36"/>
          <w:rtl/>
        </w:rPr>
        <w:t>اللغ</w:t>
      </w:r>
      <w:r w:rsidR="00EC7EDF" w:rsidRPr="00FD211F">
        <w:rPr>
          <w:sz w:val="36"/>
          <w:szCs w:val="36"/>
          <w:rtl/>
        </w:rPr>
        <w:t xml:space="preserve">ة </w:t>
      </w:r>
      <w:r w:rsidRPr="00FD211F">
        <w:rPr>
          <w:sz w:val="36"/>
          <w:szCs w:val="36"/>
          <w:rtl/>
        </w:rPr>
        <w:t>لدى الامم والطوائف مع تباعد بعضها عن بعض تؤدي عاد</w:t>
      </w:r>
      <w:r w:rsidR="00EC7EDF" w:rsidRPr="00FD211F">
        <w:rPr>
          <w:sz w:val="36"/>
          <w:szCs w:val="36"/>
          <w:rtl/>
        </w:rPr>
        <w:t xml:space="preserve">ة </w:t>
      </w:r>
      <w:r w:rsidRPr="00FD211F">
        <w:rPr>
          <w:sz w:val="36"/>
          <w:szCs w:val="36"/>
          <w:rtl/>
        </w:rPr>
        <w:t>الى وضع طائف</w:t>
      </w:r>
      <w:r w:rsidR="00EC7EDF" w:rsidRPr="00FD211F">
        <w:rPr>
          <w:sz w:val="36"/>
          <w:szCs w:val="36"/>
          <w:rtl/>
        </w:rPr>
        <w:t xml:space="preserve">ة </w:t>
      </w:r>
      <w:r w:rsidRPr="00FD211F">
        <w:rPr>
          <w:sz w:val="36"/>
          <w:szCs w:val="36"/>
          <w:rtl/>
        </w:rPr>
        <w:t>لفظا على معنى ووضع طائف</w:t>
      </w:r>
      <w:r w:rsidR="00EC7EDF" w:rsidRPr="00FD211F">
        <w:rPr>
          <w:sz w:val="36"/>
          <w:szCs w:val="36"/>
          <w:rtl/>
        </w:rPr>
        <w:t xml:space="preserve">ة </w:t>
      </w:r>
      <w:r w:rsidRPr="00FD211F">
        <w:rPr>
          <w:sz w:val="36"/>
          <w:szCs w:val="36"/>
          <w:rtl/>
        </w:rPr>
        <w:t>أخرى ذاك اللفظ على معنى آخر</w:t>
      </w:r>
      <w:r w:rsidR="00603323" w:rsidRPr="00FD211F">
        <w:rPr>
          <w:sz w:val="36"/>
          <w:szCs w:val="36"/>
          <w:rtl/>
        </w:rPr>
        <w:t xml:space="preserve">، </w:t>
      </w:r>
      <w:r w:rsidRPr="00FD211F">
        <w:rPr>
          <w:sz w:val="36"/>
          <w:szCs w:val="36"/>
          <w:rtl/>
        </w:rPr>
        <w:t>وبعد ما حصل الاختلاط بين الطائفتين واستخدام كل منهما لغات الطائف</w:t>
      </w:r>
      <w:r w:rsidR="00EC7EDF" w:rsidRPr="00FD211F">
        <w:rPr>
          <w:sz w:val="36"/>
          <w:szCs w:val="36"/>
          <w:rtl/>
        </w:rPr>
        <w:t xml:space="preserve">ة </w:t>
      </w:r>
      <w:r w:rsidRPr="00FD211F">
        <w:rPr>
          <w:sz w:val="36"/>
          <w:szCs w:val="36"/>
          <w:rtl/>
        </w:rPr>
        <w:t>الأخرى فيحصل الاشتراك اللفظي في اللغ</w:t>
      </w:r>
      <w:r w:rsidR="00EC7EDF" w:rsidRPr="00FD211F">
        <w:rPr>
          <w:sz w:val="36"/>
          <w:szCs w:val="36"/>
          <w:rtl/>
        </w:rPr>
        <w:t>ة</w:t>
      </w:r>
      <w:r w:rsidR="00603323" w:rsidRPr="00FD211F">
        <w:rPr>
          <w:sz w:val="36"/>
          <w:szCs w:val="36"/>
          <w:rtl/>
        </w:rPr>
        <w:t xml:space="preserve">، </w:t>
      </w:r>
      <w:r w:rsidRPr="00FD211F">
        <w:rPr>
          <w:sz w:val="36"/>
          <w:szCs w:val="36"/>
          <w:rtl/>
        </w:rPr>
        <w:t>فهو تامّ</w:t>
      </w:r>
      <w:r w:rsidR="00603323" w:rsidRPr="00FD211F">
        <w:rPr>
          <w:sz w:val="36"/>
          <w:szCs w:val="36"/>
          <w:rtl/>
        </w:rPr>
        <w:t xml:space="preserve">، </w:t>
      </w:r>
      <w:r w:rsidRPr="00FD211F">
        <w:rPr>
          <w:sz w:val="36"/>
          <w:szCs w:val="36"/>
          <w:rtl/>
        </w:rPr>
        <w:t>كما ان الضرور</w:t>
      </w:r>
      <w:r w:rsidR="00EC7EDF" w:rsidRPr="00FD211F">
        <w:rPr>
          <w:sz w:val="36"/>
          <w:szCs w:val="36"/>
          <w:rtl/>
        </w:rPr>
        <w:t xml:space="preserve">ة </w:t>
      </w:r>
      <w:r w:rsidRPr="00FD211F">
        <w:rPr>
          <w:sz w:val="36"/>
          <w:szCs w:val="36"/>
          <w:rtl/>
        </w:rPr>
        <w:t>العرفي</w:t>
      </w:r>
      <w:r w:rsidR="00EC7EDF" w:rsidRPr="00FD211F">
        <w:rPr>
          <w:sz w:val="36"/>
          <w:szCs w:val="36"/>
          <w:rtl/>
        </w:rPr>
        <w:t xml:space="preserve">ة </w:t>
      </w:r>
      <w:r w:rsidRPr="00FD211F">
        <w:rPr>
          <w:sz w:val="36"/>
          <w:szCs w:val="36"/>
          <w:rtl/>
        </w:rPr>
        <w:t>تقتضي الاشتراك اللفظي في الأعلام الشخصي</w:t>
      </w:r>
      <w:r w:rsidR="00EC7EDF" w:rsidRPr="00FD211F">
        <w:rPr>
          <w:sz w:val="36"/>
          <w:szCs w:val="36"/>
          <w:rtl/>
        </w:rPr>
        <w:t xml:space="preserve">ة </w:t>
      </w:r>
      <w:r w:rsidRPr="00FD211F">
        <w:rPr>
          <w:sz w:val="36"/>
          <w:szCs w:val="36"/>
          <w:rtl/>
        </w:rPr>
        <w:t>لكونها متناهي</w:t>
      </w:r>
      <w:r w:rsidR="00EC7EDF" w:rsidRPr="00FD211F">
        <w:rPr>
          <w:sz w:val="36"/>
          <w:szCs w:val="36"/>
          <w:rtl/>
        </w:rPr>
        <w:t xml:space="preserve">ة </w:t>
      </w:r>
      <w:r w:rsidRPr="00FD211F">
        <w:rPr>
          <w:sz w:val="36"/>
          <w:szCs w:val="36"/>
          <w:rtl/>
        </w:rPr>
        <w:t>عرفا.</w:t>
      </w:r>
    </w:p>
    <w:p w14:paraId="0BCBB897" w14:textId="77777777" w:rsidR="00052BF2" w:rsidRPr="00FD211F" w:rsidRDefault="00052BF2" w:rsidP="009C58C8">
      <w:pPr>
        <w:ind w:left="0" w:firstLine="227"/>
        <w:jc w:val="both"/>
        <w:rPr>
          <w:sz w:val="36"/>
          <w:szCs w:val="36"/>
          <w:rtl/>
        </w:rPr>
      </w:pPr>
      <w:r w:rsidRPr="00FD211F">
        <w:rPr>
          <w:sz w:val="36"/>
          <w:szCs w:val="36"/>
          <w:rtl/>
        </w:rPr>
        <w:t>ثم انه قد يوجد اتجاه معاكس للاتجاه السابق وهو توهم استحال</w:t>
      </w:r>
      <w:r w:rsidR="00EC7EDF" w:rsidRPr="00FD211F">
        <w:rPr>
          <w:sz w:val="36"/>
          <w:szCs w:val="36"/>
          <w:rtl/>
        </w:rPr>
        <w:t xml:space="preserve">ة </w:t>
      </w:r>
      <w:r w:rsidRPr="00FD211F">
        <w:rPr>
          <w:sz w:val="36"/>
          <w:szCs w:val="36"/>
          <w:rtl/>
        </w:rPr>
        <w:t>الاشتراك اللفظي</w:t>
      </w:r>
      <w:r w:rsidR="00603323" w:rsidRPr="00FD211F">
        <w:rPr>
          <w:sz w:val="36"/>
          <w:szCs w:val="36"/>
          <w:rtl/>
        </w:rPr>
        <w:t xml:space="preserve">، </w:t>
      </w:r>
      <w:r w:rsidRPr="00FD211F">
        <w:rPr>
          <w:sz w:val="36"/>
          <w:szCs w:val="36"/>
          <w:rtl/>
        </w:rPr>
        <w:t>بدعوى ان الغرض من الوضع هو تفهيم المعنى بلاقرين</w:t>
      </w:r>
      <w:r w:rsidR="00EC7EDF" w:rsidRPr="00FD211F">
        <w:rPr>
          <w:sz w:val="36"/>
          <w:szCs w:val="36"/>
          <w:rtl/>
        </w:rPr>
        <w:t xml:space="preserve">ة </w:t>
      </w:r>
      <w:r w:rsidRPr="00FD211F">
        <w:rPr>
          <w:sz w:val="36"/>
          <w:szCs w:val="36"/>
          <w:rtl/>
        </w:rPr>
        <w:t>لعدم تيسر اقام</w:t>
      </w:r>
      <w:r w:rsidR="00EC7EDF" w:rsidRPr="00FD211F">
        <w:rPr>
          <w:sz w:val="36"/>
          <w:szCs w:val="36"/>
          <w:rtl/>
        </w:rPr>
        <w:t xml:space="preserve">ة </w:t>
      </w:r>
      <w:r w:rsidRPr="00FD211F">
        <w:rPr>
          <w:sz w:val="36"/>
          <w:szCs w:val="36"/>
          <w:rtl/>
        </w:rPr>
        <w:t>القرين</w:t>
      </w:r>
      <w:r w:rsidR="00EC7EDF" w:rsidRPr="00FD211F">
        <w:rPr>
          <w:sz w:val="36"/>
          <w:szCs w:val="36"/>
          <w:rtl/>
        </w:rPr>
        <w:t xml:space="preserve">ة </w:t>
      </w:r>
      <w:r w:rsidRPr="00FD211F">
        <w:rPr>
          <w:sz w:val="36"/>
          <w:szCs w:val="36"/>
          <w:rtl/>
        </w:rPr>
        <w:t>في جميع الأحوال</w:t>
      </w:r>
      <w:r w:rsidR="00603323" w:rsidRPr="00FD211F">
        <w:rPr>
          <w:sz w:val="36"/>
          <w:szCs w:val="36"/>
          <w:rtl/>
        </w:rPr>
        <w:t xml:space="preserve">، </w:t>
      </w:r>
      <w:r w:rsidRPr="00FD211F">
        <w:rPr>
          <w:sz w:val="36"/>
          <w:szCs w:val="36"/>
          <w:rtl/>
        </w:rPr>
        <w:t>والاشتراك اللفظي مخلّ بهذا الغرض.</w:t>
      </w:r>
    </w:p>
    <w:p w14:paraId="2175304E" w14:textId="77777777" w:rsidR="003864C9" w:rsidRPr="00FD211F" w:rsidRDefault="00052BF2" w:rsidP="009C58C8">
      <w:pPr>
        <w:ind w:left="0" w:firstLine="227"/>
        <w:jc w:val="both"/>
        <w:rPr>
          <w:sz w:val="36"/>
          <w:szCs w:val="36"/>
          <w:rtl/>
        </w:rPr>
      </w:pPr>
      <w:r w:rsidRPr="00FD211F">
        <w:rPr>
          <w:sz w:val="36"/>
          <w:szCs w:val="36"/>
          <w:rtl/>
        </w:rPr>
        <w:t xml:space="preserve">وفيه </w:t>
      </w:r>
      <w:r w:rsidRPr="00FD211F">
        <w:rPr>
          <w:b/>
          <w:bCs/>
          <w:sz w:val="36"/>
          <w:szCs w:val="36"/>
          <w:rtl/>
        </w:rPr>
        <w:t>اولا</w:t>
      </w:r>
      <w:r w:rsidRPr="00FD211F">
        <w:rPr>
          <w:sz w:val="36"/>
          <w:szCs w:val="36"/>
          <w:rtl/>
        </w:rPr>
        <w:t>: انه قد يحصل الاشتراك اللفظي من تعدد الواضع</w:t>
      </w:r>
      <w:r w:rsidR="00C774D9" w:rsidRPr="00FD211F">
        <w:rPr>
          <w:sz w:val="36"/>
          <w:szCs w:val="36"/>
          <w:rtl/>
        </w:rPr>
        <w:t>.</w:t>
      </w:r>
    </w:p>
    <w:p w14:paraId="27CAE3B3" w14:textId="77777777" w:rsidR="00052BF2" w:rsidRPr="00FD211F" w:rsidRDefault="00052BF2" w:rsidP="009C58C8">
      <w:pPr>
        <w:ind w:left="0" w:firstLine="227"/>
        <w:jc w:val="both"/>
        <w:rPr>
          <w:sz w:val="36"/>
          <w:szCs w:val="36"/>
          <w:rtl/>
        </w:rPr>
      </w:pPr>
      <w:r w:rsidRPr="00FD211F">
        <w:rPr>
          <w:sz w:val="36"/>
          <w:szCs w:val="36"/>
          <w:rtl/>
        </w:rPr>
        <w:t>وثانيا: قد يتعلق الغرض بحصر المعنى اجمالا في عد</w:t>
      </w:r>
      <w:r w:rsidR="00EC7EDF" w:rsidRPr="00FD211F">
        <w:rPr>
          <w:sz w:val="36"/>
          <w:szCs w:val="36"/>
          <w:rtl/>
        </w:rPr>
        <w:t xml:space="preserve">ة </w:t>
      </w:r>
      <w:r w:rsidRPr="00FD211F">
        <w:rPr>
          <w:sz w:val="36"/>
          <w:szCs w:val="36"/>
          <w:rtl/>
        </w:rPr>
        <w:t>معان ويكون تفهيم خصوص واحد من تلك المعاني بالقرين</w:t>
      </w:r>
      <w:r w:rsidR="00EC7EDF" w:rsidRPr="00FD211F">
        <w:rPr>
          <w:sz w:val="36"/>
          <w:szCs w:val="36"/>
          <w:rtl/>
        </w:rPr>
        <w:t xml:space="preserve">ة </w:t>
      </w:r>
      <w:r w:rsidRPr="00FD211F">
        <w:rPr>
          <w:sz w:val="36"/>
          <w:szCs w:val="36"/>
          <w:rtl/>
        </w:rPr>
        <w:t>لو فرض تعلق غرض المستعمل بذلك.</w:t>
      </w:r>
    </w:p>
    <w:p w14:paraId="2D8E08D2" w14:textId="77777777" w:rsidR="00057D31" w:rsidRPr="00FD211F" w:rsidRDefault="00057D31" w:rsidP="009C58C8">
      <w:pPr>
        <w:pStyle w:val="3"/>
        <w:ind w:firstLine="227"/>
        <w:jc w:val="both"/>
        <w:rPr>
          <w:rtl/>
        </w:rPr>
        <w:sectPr w:rsidR="00057D31" w:rsidRPr="00FD211F" w:rsidSect="00D24300">
          <w:headerReference w:type="default" r:id="rId29"/>
          <w:footnotePr>
            <w:numRestart w:val="eachPage"/>
          </w:footnotePr>
          <w:pgSz w:w="10319" w:h="14578" w:code="138"/>
          <w:pgMar w:top="1418" w:right="1701" w:bottom="1418" w:left="1701" w:header="1418" w:footer="964" w:gutter="0"/>
          <w:cols w:space="720"/>
          <w:bidi/>
          <w:rtlGutter/>
          <w:docGrid w:linePitch="360"/>
        </w:sectPr>
      </w:pPr>
      <w:bookmarkStart w:id="414" w:name="_Toc151944608"/>
      <w:bookmarkStart w:id="415" w:name="_Toc154131735"/>
      <w:bookmarkStart w:id="416" w:name="_Toc156401523"/>
      <w:bookmarkStart w:id="417" w:name="_Toc192092939"/>
    </w:p>
    <w:p w14:paraId="3CF51C02" w14:textId="77777777" w:rsidR="00052BF2" w:rsidRPr="00FD211F" w:rsidRDefault="00052BF2" w:rsidP="009C58C8">
      <w:pPr>
        <w:pStyle w:val="3"/>
        <w:ind w:firstLine="227"/>
        <w:jc w:val="both"/>
        <w:rPr>
          <w:rtl/>
        </w:rPr>
      </w:pPr>
      <w:bookmarkStart w:id="418" w:name="_Toc223890418"/>
      <w:r w:rsidRPr="00FD211F">
        <w:rPr>
          <w:rtl/>
        </w:rPr>
        <w:t>استعمال اللفظ في اكثر من معنى واحد</w:t>
      </w:r>
      <w:bookmarkEnd w:id="414"/>
      <w:bookmarkEnd w:id="415"/>
      <w:bookmarkEnd w:id="416"/>
      <w:bookmarkEnd w:id="417"/>
      <w:bookmarkEnd w:id="418"/>
    </w:p>
    <w:p w14:paraId="224049A7" w14:textId="77777777" w:rsidR="00052BF2" w:rsidRPr="00FD211F" w:rsidRDefault="00052BF2" w:rsidP="009C58C8">
      <w:pPr>
        <w:ind w:left="0" w:firstLine="227"/>
        <w:jc w:val="both"/>
        <w:rPr>
          <w:sz w:val="36"/>
          <w:szCs w:val="36"/>
          <w:rtl/>
        </w:rPr>
      </w:pPr>
      <w:r w:rsidRPr="00FD211F">
        <w:rPr>
          <w:sz w:val="36"/>
          <w:szCs w:val="36"/>
          <w:rtl/>
        </w:rPr>
        <w:t>وفيه جهات من البحث:</w:t>
      </w:r>
    </w:p>
    <w:p w14:paraId="175645BD" w14:textId="77777777" w:rsidR="00052BF2" w:rsidRPr="00FD211F" w:rsidRDefault="00052BF2" w:rsidP="009C58C8">
      <w:pPr>
        <w:ind w:left="0" w:firstLine="227"/>
        <w:jc w:val="both"/>
        <w:rPr>
          <w:sz w:val="36"/>
          <w:szCs w:val="36"/>
          <w:rtl/>
        </w:rPr>
      </w:pPr>
      <w:r w:rsidRPr="00FD211F">
        <w:rPr>
          <w:b/>
          <w:bCs/>
          <w:sz w:val="36"/>
          <w:szCs w:val="36"/>
          <w:rtl/>
        </w:rPr>
        <w:t>الجه</w:t>
      </w:r>
      <w:r w:rsidR="00EC7EDF" w:rsidRPr="00FD211F">
        <w:rPr>
          <w:b/>
          <w:bCs/>
          <w:sz w:val="36"/>
          <w:szCs w:val="36"/>
          <w:rtl/>
        </w:rPr>
        <w:t xml:space="preserve">ة </w:t>
      </w:r>
      <w:r w:rsidRPr="00FD211F">
        <w:rPr>
          <w:b/>
          <w:bCs/>
          <w:sz w:val="36"/>
          <w:szCs w:val="36"/>
          <w:rtl/>
        </w:rPr>
        <w:t>الأولى</w:t>
      </w:r>
      <w:r w:rsidRPr="00FD211F">
        <w:rPr>
          <w:sz w:val="36"/>
          <w:szCs w:val="36"/>
          <w:rtl/>
        </w:rPr>
        <w:t>: في تحرير محل النزاع</w:t>
      </w:r>
      <w:r w:rsidR="00603323" w:rsidRPr="00FD211F">
        <w:rPr>
          <w:sz w:val="36"/>
          <w:szCs w:val="36"/>
          <w:rtl/>
        </w:rPr>
        <w:t xml:space="preserve">، </w:t>
      </w:r>
      <w:r w:rsidRPr="00FD211F">
        <w:rPr>
          <w:sz w:val="36"/>
          <w:szCs w:val="36"/>
          <w:rtl/>
        </w:rPr>
        <w:t>فانه قد طرح المحقق الايرواني</w:t>
      </w:r>
      <w:r w:rsidR="00A61BAE" w:rsidRPr="00FD211F">
        <w:rPr>
          <w:sz w:val="36"/>
          <w:szCs w:val="36"/>
          <w:rtl/>
        </w:rPr>
        <w:t xml:space="preserve"> </w:t>
      </w:r>
      <w:r w:rsidR="00A24412" w:rsidRPr="00FD211F">
        <w:rPr>
          <w:sz w:val="36"/>
          <w:szCs w:val="36"/>
          <w:rtl/>
        </w:rPr>
        <w:t>"قده"</w:t>
      </w:r>
      <w:r w:rsidR="00A61BAE" w:rsidRPr="00FD211F">
        <w:rPr>
          <w:sz w:val="36"/>
          <w:szCs w:val="36"/>
          <w:rtl/>
        </w:rPr>
        <w:t xml:space="preserve"> </w:t>
      </w:r>
      <w:r w:rsidRPr="00FD211F">
        <w:rPr>
          <w:sz w:val="36"/>
          <w:szCs w:val="36"/>
          <w:rtl/>
        </w:rPr>
        <w:t>هنا شبه</w:t>
      </w:r>
      <w:r w:rsidR="00EC7EDF" w:rsidRPr="00FD211F">
        <w:rPr>
          <w:sz w:val="36"/>
          <w:szCs w:val="36"/>
          <w:rtl/>
        </w:rPr>
        <w:t xml:space="preserve">ة </w:t>
      </w:r>
      <w:r w:rsidRPr="00FD211F">
        <w:rPr>
          <w:sz w:val="36"/>
          <w:szCs w:val="36"/>
          <w:rtl/>
        </w:rPr>
        <w:t>محصلها أنه لايتصور معنى معقول للبحث عن استعمال اللفظ في اكثر من معنى واحد</w:t>
      </w:r>
      <w:r w:rsidR="00603323" w:rsidRPr="00FD211F">
        <w:rPr>
          <w:sz w:val="36"/>
          <w:szCs w:val="36"/>
          <w:rtl/>
        </w:rPr>
        <w:t xml:space="preserve">، </w:t>
      </w:r>
      <w:r w:rsidRPr="00FD211F">
        <w:rPr>
          <w:sz w:val="36"/>
          <w:szCs w:val="36"/>
          <w:rtl/>
        </w:rPr>
        <w:t>حيث أنه لو كان للفظ العين مثلا معنيان وهما الذهب والفض</w:t>
      </w:r>
      <w:r w:rsidR="00EC7EDF" w:rsidRPr="00FD211F">
        <w:rPr>
          <w:sz w:val="36"/>
          <w:szCs w:val="36"/>
          <w:rtl/>
        </w:rPr>
        <w:t xml:space="preserve">ة </w:t>
      </w:r>
      <w:r w:rsidRPr="00FD211F">
        <w:rPr>
          <w:sz w:val="36"/>
          <w:szCs w:val="36"/>
          <w:rtl/>
        </w:rPr>
        <w:t>فان اطلق هذا اللفظ واريد به الذهب والفض</w:t>
      </w:r>
      <w:r w:rsidR="00EC7EDF" w:rsidRPr="00FD211F">
        <w:rPr>
          <w:sz w:val="36"/>
          <w:szCs w:val="36"/>
          <w:rtl/>
        </w:rPr>
        <w:t xml:space="preserve">ة </w:t>
      </w:r>
      <w:r w:rsidRPr="00FD211F">
        <w:rPr>
          <w:sz w:val="36"/>
          <w:szCs w:val="36"/>
          <w:rtl/>
        </w:rPr>
        <w:t>معا بان كان كل منهما جزءً لمعنى مركب فهو ممكن اجماعا</w:t>
      </w:r>
      <w:r w:rsidR="00603323" w:rsidRPr="00FD211F">
        <w:rPr>
          <w:sz w:val="36"/>
          <w:szCs w:val="36"/>
          <w:rtl/>
        </w:rPr>
        <w:t xml:space="preserve">، </w:t>
      </w:r>
      <w:r w:rsidRPr="00FD211F">
        <w:rPr>
          <w:sz w:val="36"/>
          <w:szCs w:val="36"/>
          <w:rtl/>
        </w:rPr>
        <w:t>فانه لايكون من استعمال اللفظ في اكثر من معنى</w:t>
      </w:r>
      <w:r w:rsidR="00603323" w:rsidRPr="00FD211F">
        <w:rPr>
          <w:sz w:val="36"/>
          <w:szCs w:val="36"/>
          <w:rtl/>
        </w:rPr>
        <w:t xml:space="preserve">، </w:t>
      </w:r>
      <w:r w:rsidRPr="00FD211F">
        <w:rPr>
          <w:sz w:val="36"/>
          <w:szCs w:val="36"/>
          <w:rtl/>
        </w:rPr>
        <w:t>بل هو مستعمل في معنى واحد مركب بحيث لاينطبق على الذهب وحده مثلا</w:t>
      </w:r>
      <w:r w:rsidR="00603323" w:rsidRPr="00FD211F">
        <w:rPr>
          <w:sz w:val="36"/>
          <w:szCs w:val="36"/>
          <w:rtl/>
        </w:rPr>
        <w:t xml:space="preserve">، </w:t>
      </w:r>
      <w:r w:rsidRPr="00FD211F">
        <w:rPr>
          <w:sz w:val="36"/>
          <w:szCs w:val="36"/>
          <w:rtl/>
        </w:rPr>
        <w:t>وان اطلق هذا اللفظ واريد به احد المعنيين بانفراده واستقلاله</w:t>
      </w:r>
      <w:r w:rsidR="00603323" w:rsidRPr="00FD211F">
        <w:rPr>
          <w:sz w:val="36"/>
          <w:szCs w:val="36"/>
          <w:rtl/>
        </w:rPr>
        <w:t xml:space="preserve">، </w:t>
      </w:r>
      <w:r w:rsidRPr="00FD211F">
        <w:rPr>
          <w:sz w:val="36"/>
          <w:szCs w:val="36"/>
          <w:rtl/>
        </w:rPr>
        <w:t>فإرادته بانفراده يعني فرض عدم اراد</w:t>
      </w:r>
      <w:r w:rsidR="00EC7EDF" w:rsidRPr="00FD211F">
        <w:rPr>
          <w:sz w:val="36"/>
          <w:szCs w:val="36"/>
          <w:rtl/>
        </w:rPr>
        <w:t xml:space="preserve">ة </w:t>
      </w:r>
      <w:r w:rsidRPr="00FD211F">
        <w:rPr>
          <w:sz w:val="36"/>
          <w:szCs w:val="36"/>
          <w:rtl/>
        </w:rPr>
        <w:t>المعنى الآخر من هذا اللفظ</w:t>
      </w:r>
      <w:r w:rsidR="00603323" w:rsidRPr="00FD211F">
        <w:rPr>
          <w:sz w:val="36"/>
          <w:szCs w:val="36"/>
          <w:rtl/>
        </w:rPr>
        <w:t xml:space="preserve">، </w:t>
      </w:r>
      <w:r w:rsidRPr="00FD211F">
        <w:rPr>
          <w:sz w:val="36"/>
          <w:szCs w:val="36"/>
          <w:rtl/>
        </w:rPr>
        <w:t>وحينئذ فيكون فرض استعماله في المعنى الآخر أيضا واضح الاستحال</w:t>
      </w:r>
      <w:r w:rsidR="00EC7EDF" w:rsidRPr="00FD211F">
        <w:rPr>
          <w:sz w:val="36"/>
          <w:szCs w:val="36"/>
          <w:rtl/>
        </w:rPr>
        <w:t xml:space="preserve">ة </w:t>
      </w:r>
      <w:r w:rsidRPr="00FD211F">
        <w:rPr>
          <w:sz w:val="36"/>
          <w:szCs w:val="36"/>
          <w:rtl/>
        </w:rPr>
        <w:t>لاشتماله على الخلف</w:t>
      </w:r>
      <w:r w:rsidR="00603323" w:rsidRPr="00FD211F">
        <w:rPr>
          <w:sz w:val="36"/>
          <w:szCs w:val="36"/>
          <w:rtl/>
        </w:rPr>
        <w:t xml:space="preserve">، </w:t>
      </w:r>
      <w:r w:rsidRPr="00FD211F">
        <w:rPr>
          <w:sz w:val="36"/>
          <w:szCs w:val="36"/>
          <w:rtl/>
        </w:rPr>
        <w:t>نعم في الفرض الأول الذي يستعمل اللفظ فيه في المعنى المركب قد يكون الحكم انحلاليا وقد لايكون كذلك</w:t>
      </w:r>
      <w:r w:rsidR="00603323" w:rsidRPr="00FD211F">
        <w:rPr>
          <w:sz w:val="36"/>
          <w:szCs w:val="36"/>
          <w:rtl/>
        </w:rPr>
        <w:t xml:space="preserve">، </w:t>
      </w:r>
      <w:r w:rsidRPr="00FD211F">
        <w:rPr>
          <w:sz w:val="36"/>
          <w:szCs w:val="36"/>
          <w:rtl/>
        </w:rPr>
        <w:t>فمثلا لو أمر المولى بالإتيان بعين وأراد من لفظ العين الذهب والفض</w:t>
      </w:r>
      <w:r w:rsidR="00EC7EDF" w:rsidRPr="00FD211F">
        <w:rPr>
          <w:sz w:val="36"/>
          <w:szCs w:val="36"/>
          <w:rtl/>
        </w:rPr>
        <w:t xml:space="preserve">ة </w:t>
      </w:r>
      <w:r w:rsidRPr="00FD211F">
        <w:rPr>
          <w:sz w:val="36"/>
          <w:szCs w:val="36"/>
          <w:rtl/>
        </w:rPr>
        <w:t>معا فتار</w:t>
      </w:r>
      <w:r w:rsidR="00EC7EDF" w:rsidRPr="00FD211F">
        <w:rPr>
          <w:sz w:val="36"/>
          <w:szCs w:val="36"/>
          <w:rtl/>
        </w:rPr>
        <w:t xml:space="preserve">ة </w:t>
      </w:r>
      <w:r w:rsidRPr="00FD211F">
        <w:rPr>
          <w:sz w:val="36"/>
          <w:szCs w:val="36"/>
          <w:rtl/>
        </w:rPr>
        <w:t>يقصد جعل وجوب الإتيان بالذهب مستقلا عن جعل وجوب الاتيان بالفض</w:t>
      </w:r>
      <w:r w:rsidR="00EC7EDF" w:rsidRPr="00FD211F">
        <w:rPr>
          <w:sz w:val="36"/>
          <w:szCs w:val="36"/>
          <w:rtl/>
        </w:rPr>
        <w:t xml:space="preserve">ة </w:t>
      </w:r>
      <w:r w:rsidRPr="00FD211F">
        <w:rPr>
          <w:sz w:val="36"/>
          <w:szCs w:val="36"/>
          <w:rtl/>
        </w:rPr>
        <w:t>بحيث لو أتى بأحدهما دون الآخر كان امتثالا لأمره وبذلك يسقط هذا الأمر وان</w:t>
      </w:r>
      <w:r w:rsidR="008D7B3D" w:rsidRPr="00FD211F">
        <w:rPr>
          <w:sz w:val="36"/>
          <w:szCs w:val="36"/>
          <w:rtl/>
        </w:rPr>
        <w:t xml:space="preserve"> لم‌</w:t>
      </w:r>
      <w:r w:rsidRPr="00FD211F">
        <w:rPr>
          <w:sz w:val="36"/>
          <w:szCs w:val="36"/>
          <w:rtl/>
        </w:rPr>
        <w:t>يمتثل الأمر بالإتيان بالآخر فيكون الحكم انحلاليا</w:t>
      </w:r>
      <w:r w:rsidR="00603323" w:rsidRPr="00FD211F">
        <w:rPr>
          <w:sz w:val="36"/>
          <w:szCs w:val="36"/>
          <w:rtl/>
        </w:rPr>
        <w:t xml:space="preserve">، </w:t>
      </w:r>
      <w:r w:rsidRPr="00FD211F">
        <w:rPr>
          <w:sz w:val="36"/>
          <w:szCs w:val="36"/>
          <w:rtl/>
        </w:rPr>
        <w:t>وتار</w:t>
      </w:r>
      <w:r w:rsidR="00EC7EDF" w:rsidRPr="00FD211F">
        <w:rPr>
          <w:sz w:val="36"/>
          <w:szCs w:val="36"/>
          <w:rtl/>
        </w:rPr>
        <w:t xml:space="preserve">ة </w:t>
      </w:r>
      <w:r w:rsidRPr="00FD211F">
        <w:rPr>
          <w:sz w:val="36"/>
          <w:szCs w:val="36"/>
          <w:rtl/>
        </w:rPr>
        <w:t>أخرى يقصد جعل وجوب الإتيان بكليهما بوجوب ارتباطي واحد بحيث لايسقط الأمر الضمني بإتيان كل منهما الا في فرض الإتيان بالآخر أيضا</w:t>
      </w:r>
      <w:r w:rsidR="00603323" w:rsidRPr="00FD211F">
        <w:rPr>
          <w:sz w:val="36"/>
          <w:szCs w:val="36"/>
          <w:rtl/>
        </w:rPr>
        <w:t xml:space="preserve">، </w:t>
      </w:r>
      <w:r w:rsidRPr="00FD211F">
        <w:rPr>
          <w:sz w:val="36"/>
          <w:szCs w:val="36"/>
          <w:rtl/>
        </w:rPr>
        <w:t>فلايكون الحكم</w:t>
      </w:r>
      <w:r w:rsidR="002453F2" w:rsidRPr="00FD211F">
        <w:rPr>
          <w:sz w:val="36"/>
          <w:szCs w:val="36"/>
          <w:rtl/>
        </w:rPr>
        <w:t xml:space="preserve"> حينئذ انحلاليا</w:t>
      </w:r>
      <w:r w:rsidR="00603323" w:rsidRPr="00FD211F">
        <w:rPr>
          <w:sz w:val="36"/>
          <w:szCs w:val="36"/>
          <w:rtl/>
        </w:rPr>
        <w:t xml:space="preserve">، </w:t>
      </w:r>
      <w:r w:rsidR="002453F2" w:rsidRPr="00FD211F">
        <w:rPr>
          <w:sz w:val="36"/>
          <w:szCs w:val="36"/>
          <w:rtl/>
        </w:rPr>
        <w:t>وكذا لو قال شخص</w:t>
      </w:r>
      <w:r w:rsidRPr="00FD211F">
        <w:rPr>
          <w:sz w:val="36"/>
          <w:szCs w:val="36"/>
          <w:rtl/>
        </w:rPr>
        <w:t xml:space="preserve"> بأني أحب العين وأراد به مجموع الذهب والفض</w:t>
      </w:r>
      <w:r w:rsidR="00EC7EDF" w:rsidRPr="00FD211F">
        <w:rPr>
          <w:sz w:val="36"/>
          <w:szCs w:val="36"/>
          <w:rtl/>
        </w:rPr>
        <w:t xml:space="preserve">ة </w:t>
      </w:r>
      <w:r w:rsidRPr="00FD211F">
        <w:rPr>
          <w:sz w:val="36"/>
          <w:szCs w:val="36"/>
          <w:rtl/>
        </w:rPr>
        <w:t>فتار</w:t>
      </w:r>
      <w:r w:rsidR="00EC7EDF" w:rsidRPr="00FD211F">
        <w:rPr>
          <w:sz w:val="36"/>
          <w:szCs w:val="36"/>
          <w:rtl/>
        </w:rPr>
        <w:t xml:space="preserve">ة </w:t>
      </w:r>
      <w:r w:rsidRPr="00FD211F">
        <w:rPr>
          <w:sz w:val="36"/>
          <w:szCs w:val="36"/>
          <w:rtl/>
        </w:rPr>
        <w:t>يقصد به حب كل من الذهب والفض</w:t>
      </w:r>
      <w:r w:rsidR="00EC7EDF" w:rsidRPr="00FD211F">
        <w:rPr>
          <w:sz w:val="36"/>
          <w:szCs w:val="36"/>
          <w:rtl/>
        </w:rPr>
        <w:t xml:space="preserve">ة </w:t>
      </w:r>
      <w:r w:rsidRPr="00FD211F">
        <w:rPr>
          <w:sz w:val="36"/>
          <w:szCs w:val="36"/>
          <w:rtl/>
        </w:rPr>
        <w:t>مستقلا فيكون الحب انحلاليا</w:t>
      </w:r>
      <w:r w:rsidR="00603323" w:rsidRPr="00FD211F">
        <w:rPr>
          <w:sz w:val="36"/>
          <w:szCs w:val="36"/>
          <w:rtl/>
        </w:rPr>
        <w:t xml:space="preserve">، </w:t>
      </w:r>
      <w:r w:rsidRPr="00FD211F">
        <w:rPr>
          <w:sz w:val="36"/>
          <w:szCs w:val="36"/>
          <w:rtl/>
        </w:rPr>
        <w:t>وأخرى لايكون حبه لهما انحلاليا بحيث لو وجد الذهب وحده دون الفض</w:t>
      </w:r>
      <w:r w:rsidR="00EC7EDF" w:rsidRPr="00FD211F">
        <w:rPr>
          <w:sz w:val="36"/>
          <w:szCs w:val="36"/>
          <w:rtl/>
        </w:rPr>
        <w:t xml:space="preserve">ة </w:t>
      </w:r>
      <w:r w:rsidRPr="00FD211F">
        <w:rPr>
          <w:sz w:val="36"/>
          <w:szCs w:val="36"/>
          <w:rtl/>
        </w:rPr>
        <w:t>مثلا</w:t>
      </w:r>
      <w:r w:rsidR="008D7B3D" w:rsidRPr="00FD211F">
        <w:rPr>
          <w:sz w:val="36"/>
          <w:szCs w:val="36"/>
          <w:rtl/>
        </w:rPr>
        <w:t xml:space="preserve"> لم‌</w:t>
      </w:r>
      <w:r w:rsidRPr="00FD211F">
        <w:rPr>
          <w:sz w:val="36"/>
          <w:szCs w:val="36"/>
          <w:rtl/>
        </w:rPr>
        <w:t>يكن محبوبا له</w:t>
      </w:r>
      <w:r w:rsidR="00603323" w:rsidRPr="00FD211F">
        <w:rPr>
          <w:sz w:val="36"/>
          <w:szCs w:val="36"/>
          <w:rtl/>
        </w:rPr>
        <w:t xml:space="preserve">، </w:t>
      </w:r>
      <w:r w:rsidRPr="00FD211F">
        <w:rPr>
          <w:sz w:val="36"/>
          <w:szCs w:val="36"/>
          <w:rtl/>
        </w:rPr>
        <w:t>فلايكون الحب انحلاليا</w:t>
      </w:r>
      <w:r w:rsidR="00603323" w:rsidRPr="00FD211F">
        <w:rPr>
          <w:sz w:val="36"/>
          <w:szCs w:val="36"/>
          <w:rtl/>
        </w:rPr>
        <w:t xml:space="preserve">، </w:t>
      </w:r>
      <w:r w:rsidRPr="00FD211F">
        <w:rPr>
          <w:sz w:val="36"/>
          <w:szCs w:val="36"/>
          <w:rtl/>
        </w:rPr>
        <w:t>ولكن هذه النكت</w:t>
      </w:r>
      <w:r w:rsidR="00EC7EDF" w:rsidRPr="00FD211F">
        <w:rPr>
          <w:sz w:val="36"/>
          <w:szCs w:val="36"/>
          <w:rtl/>
        </w:rPr>
        <w:t xml:space="preserve">ة </w:t>
      </w:r>
      <w:r w:rsidRPr="00FD211F">
        <w:rPr>
          <w:sz w:val="36"/>
          <w:szCs w:val="36"/>
          <w:rtl/>
        </w:rPr>
        <w:t>لاتقتضي تخصيص بحث بها في المقام لعدم اختصاص فرض انحلالي</w:t>
      </w:r>
      <w:r w:rsidR="00EC7EDF" w:rsidRPr="00FD211F">
        <w:rPr>
          <w:sz w:val="36"/>
          <w:szCs w:val="36"/>
          <w:rtl/>
        </w:rPr>
        <w:t xml:space="preserve">ة </w:t>
      </w:r>
      <w:r w:rsidRPr="00FD211F">
        <w:rPr>
          <w:sz w:val="36"/>
          <w:szCs w:val="36"/>
          <w:rtl/>
        </w:rPr>
        <w:t>الحكم وعدمها بالمقام</w:t>
      </w:r>
      <w:r w:rsidR="00603323" w:rsidRPr="00FD211F">
        <w:rPr>
          <w:sz w:val="36"/>
          <w:szCs w:val="36"/>
          <w:rtl/>
        </w:rPr>
        <w:t xml:space="preserve">، </w:t>
      </w:r>
      <w:r w:rsidRPr="00FD211F">
        <w:rPr>
          <w:sz w:val="36"/>
          <w:szCs w:val="36"/>
          <w:rtl/>
        </w:rPr>
        <w:t>فلو قال المولى يجب اكرام زيد وعمرو فقد يكون وجوب اكرامهما انحلاليا بحيث لو أكرم احدهما دون الآخر تحقق منه امتثال احد الأمرين</w:t>
      </w:r>
      <w:r w:rsidR="00603323" w:rsidRPr="00FD211F">
        <w:rPr>
          <w:sz w:val="36"/>
          <w:szCs w:val="36"/>
          <w:rtl/>
        </w:rPr>
        <w:t xml:space="preserve">، </w:t>
      </w:r>
      <w:r w:rsidRPr="00FD211F">
        <w:rPr>
          <w:sz w:val="36"/>
          <w:szCs w:val="36"/>
          <w:rtl/>
        </w:rPr>
        <w:t>وقد لايكون كذلك بحيث لو اكرم احدهما دون الآخر لما تحقق منه امتثال ابدا</w:t>
      </w:r>
      <w:r w:rsidR="009C58C8" w:rsidRPr="00FD211F">
        <w:rPr>
          <w:rStyle w:val="a6"/>
          <w:sz w:val="36"/>
          <w:szCs w:val="36"/>
          <w:rtl/>
        </w:rPr>
        <w:t>(</w:t>
      </w:r>
      <w:r w:rsidR="009C58C8" w:rsidRPr="00FD211F">
        <w:rPr>
          <w:rStyle w:val="a6"/>
          <w:sz w:val="36"/>
          <w:szCs w:val="36"/>
          <w:rtl/>
        </w:rPr>
        <w:footnoteReference w:id="452"/>
      </w:r>
      <w:r w:rsidR="009C58C8" w:rsidRPr="00FD211F">
        <w:rPr>
          <w:rStyle w:val="a6"/>
          <w:sz w:val="36"/>
          <w:szCs w:val="36"/>
          <w:rtl/>
        </w:rPr>
        <w:t>)</w:t>
      </w:r>
      <w:r w:rsidRPr="00FD211F">
        <w:rPr>
          <w:sz w:val="36"/>
          <w:szCs w:val="36"/>
          <w:rtl/>
        </w:rPr>
        <w:t>.</w:t>
      </w:r>
    </w:p>
    <w:p w14:paraId="63BE34BB" w14:textId="77777777" w:rsidR="00052BF2" w:rsidRPr="00FD211F" w:rsidRDefault="00052BF2" w:rsidP="009C58C8">
      <w:pPr>
        <w:ind w:left="0" w:firstLine="227"/>
        <w:jc w:val="both"/>
        <w:rPr>
          <w:sz w:val="36"/>
          <w:szCs w:val="36"/>
          <w:rtl/>
        </w:rPr>
      </w:pPr>
      <w:r w:rsidRPr="00FD211F">
        <w:rPr>
          <w:sz w:val="36"/>
          <w:szCs w:val="36"/>
          <w:rtl/>
        </w:rPr>
        <w:t>ولكن يرد عليه: ان المراد من استعمال اللفظ في اكثر من معنى واحد هو استعماله في كل من المعنيين بحيث يكون كل واحد منهما مرادا بحياله واستقلاله</w:t>
      </w:r>
      <w:r w:rsidR="00603323" w:rsidRPr="00FD211F">
        <w:rPr>
          <w:sz w:val="36"/>
          <w:szCs w:val="36"/>
          <w:rtl/>
        </w:rPr>
        <w:t xml:space="preserve">، </w:t>
      </w:r>
      <w:r w:rsidRPr="00FD211F">
        <w:rPr>
          <w:sz w:val="36"/>
          <w:szCs w:val="36"/>
          <w:rtl/>
        </w:rPr>
        <w:t>بحيث يرى تصورا كون اللفظ متحدا مع هذا المعنى بحيث ينطبق عليه وحده</w:t>
      </w:r>
      <w:r w:rsidR="00603323" w:rsidRPr="00FD211F">
        <w:rPr>
          <w:sz w:val="36"/>
          <w:szCs w:val="36"/>
          <w:rtl/>
        </w:rPr>
        <w:t xml:space="preserve">، </w:t>
      </w:r>
      <w:r w:rsidRPr="00FD211F">
        <w:rPr>
          <w:sz w:val="36"/>
          <w:szCs w:val="36"/>
          <w:rtl/>
        </w:rPr>
        <w:t>وكذا متحدا مع المعنى الآخر</w:t>
      </w:r>
      <w:r w:rsidR="002453F2" w:rsidRPr="00FD211F">
        <w:rPr>
          <w:sz w:val="36"/>
          <w:szCs w:val="36"/>
          <w:rtl/>
        </w:rPr>
        <w:t xml:space="preserve"> بحيث ينطبق عليه وحده أيضا</w:t>
      </w:r>
      <w:r w:rsidR="00603323" w:rsidRPr="00FD211F">
        <w:rPr>
          <w:sz w:val="36"/>
          <w:szCs w:val="36"/>
          <w:rtl/>
        </w:rPr>
        <w:t xml:space="preserve">، </w:t>
      </w:r>
      <w:r w:rsidR="002453F2" w:rsidRPr="00FD211F">
        <w:rPr>
          <w:sz w:val="36"/>
          <w:szCs w:val="36"/>
          <w:rtl/>
        </w:rPr>
        <w:t>فالمتكلم بدل</w:t>
      </w:r>
      <w:r w:rsidRPr="00FD211F">
        <w:rPr>
          <w:sz w:val="36"/>
          <w:szCs w:val="36"/>
          <w:rtl/>
        </w:rPr>
        <w:t xml:space="preserve"> ان يتلفظ بلفظ العين مرتين ويريد بالأول الذهب وبالثاني الفض</w:t>
      </w:r>
      <w:r w:rsidR="00EC7EDF" w:rsidRPr="00FD211F">
        <w:rPr>
          <w:sz w:val="36"/>
          <w:szCs w:val="36"/>
          <w:rtl/>
        </w:rPr>
        <w:t>ة</w:t>
      </w:r>
      <w:r w:rsidR="00603323" w:rsidRPr="00FD211F">
        <w:rPr>
          <w:sz w:val="36"/>
          <w:szCs w:val="36"/>
          <w:rtl/>
        </w:rPr>
        <w:t xml:space="preserve">، </w:t>
      </w:r>
      <w:r w:rsidRPr="00FD211F">
        <w:rPr>
          <w:sz w:val="36"/>
          <w:szCs w:val="36"/>
          <w:rtl/>
        </w:rPr>
        <w:t>يتلفظ به مر</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Pr="00FD211F">
        <w:rPr>
          <w:sz w:val="36"/>
          <w:szCs w:val="36"/>
          <w:rtl/>
        </w:rPr>
        <w:t>لأجل ابراز كلا المعنيين من دون ان يقصد بهذا اللفظ معنى واحدا مركبا منهما</w:t>
      </w:r>
      <w:r w:rsidR="00603323" w:rsidRPr="00FD211F">
        <w:rPr>
          <w:sz w:val="36"/>
          <w:szCs w:val="36"/>
          <w:rtl/>
        </w:rPr>
        <w:t xml:space="preserve">، </w:t>
      </w:r>
      <w:r w:rsidRPr="00FD211F">
        <w:rPr>
          <w:sz w:val="36"/>
          <w:szCs w:val="36"/>
          <w:rtl/>
        </w:rPr>
        <w:t>بحيث لاينطبق على كل منهما وحده</w:t>
      </w:r>
      <w:r w:rsidR="00603323" w:rsidRPr="00FD211F">
        <w:rPr>
          <w:sz w:val="36"/>
          <w:szCs w:val="36"/>
          <w:rtl/>
        </w:rPr>
        <w:t xml:space="preserve">، </w:t>
      </w:r>
      <w:r w:rsidRPr="00FD211F">
        <w:rPr>
          <w:sz w:val="36"/>
          <w:szCs w:val="36"/>
          <w:rtl/>
        </w:rPr>
        <w:t>ونظير ذلك ما لو كان لفظ زيد علما لشخصين فبدل ان يتلفظ بلفظ زيد مرتين يتلفظ به مر</w:t>
      </w:r>
      <w:r w:rsidR="00EC7EDF" w:rsidRPr="00FD211F">
        <w:rPr>
          <w:sz w:val="36"/>
          <w:szCs w:val="36"/>
          <w:rtl/>
        </w:rPr>
        <w:t xml:space="preserve">ة </w:t>
      </w:r>
      <w:r w:rsidRPr="00FD211F">
        <w:rPr>
          <w:sz w:val="36"/>
          <w:szCs w:val="36"/>
          <w:rtl/>
        </w:rPr>
        <w:t>واحد</w:t>
      </w:r>
      <w:r w:rsidR="00EC7EDF" w:rsidRPr="00FD211F">
        <w:rPr>
          <w:sz w:val="36"/>
          <w:szCs w:val="36"/>
          <w:rtl/>
        </w:rPr>
        <w:t xml:space="preserve">ة </w:t>
      </w:r>
      <w:r w:rsidRPr="00FD211F">
        <w:rPr>
          <w:sz w:val="36"/>
          <w:szCs w:val="36"/>
          <w:rtl/>
        </w:rPr>
        <w:t>ويقصد بذلك كل واحد منهما بحياله واستقلاله</w:t>
      </w:r>
      <w:r w:rsidR="00603323" w:rsidRPr="00FD211F">
        <w:rPr>
          <w:sz w:val="36"/>
          <w:szCs w:val="36"/>
          <w:rtl/>
        </w:rPr>
        <w:t xml:space="preserve">، </w:t>
      </w:r>
      <w:r w:rsidRPr="00FD211F">
        <w:rPr>
          <w:sz w:val="36"/>
          <w:szCs w:val="36"/>
          <w:rtl/>
        </w:rPr>
        <w:t>بحيث ينطبق لفظ زيد تصورا على هذا الشخص وحده وعلى ذاك الشخص وحده لاان يلحظ متحدا مع ما يشتمل على كليهما بحيث لاينطبق على احدهما وحده دون الآخر.</w:t>
      </w:r>
    </w:p>
    <w:p w14:paraId="12F9D84E" w14:textId="77777777" w:rsidR="000C5BBA" w:rsidRPr="00FD211F" w:rsidRDefault="00052BF2" w:rsidP="009C58C8">
      <w:pPr>
        <w:ind w:left="0" w:firstLine="227"/>
        <w:jc w:val="both"/>
        <w:rPr>
          <w:sz w:val="36"/>
          <w:szCs w:val="36"/>
          <w:rtl/>
        </w:rPr>
      </w:pPr>
      <w:r w:rsidRPr="00FD211F">
        <w:rPr>
          <w:sz w:val="36"/>
          <w:szCs w:val="36"/>
          <w:rtl/>
        </w:rPr>
        <w:t xml:space="preserve">وان شئت فلاحظ قول الشاعر: </w:t>
      </w:r>
    </w:p>
    <w:p w14:paraId="15EBF12B" w14:textId="77777777" w:rsidR="00052BF2" w:rsidRPr="00FD211F" w:rsidRDefault="00052BF2" w:rsidP="00052BD9">
      <w:pPr>
        <w:tabs>
          <w:tab w:val="right" w:pos="7145"/>
        </w:tabs>
        <w:ind w:left="0" w:firstLine="227"/>
        <w:jc w:val="both"/>
        <w:rPr>
          <w:sz w:val="36"/>
          <w:szCs w:val="36"/>
          <w:rtl/>
        </w:rPr>
      </w:pPr>
      <w:r w:rsidRPr="00FD211F">
        <w:rPr>
          <w:sz w:val="36"/>
          <w:szCs w:val="36"/>
          <w:rtl/>
        </w:rPr>
        <w:t>أي المكان تروم ثم من الذي</w:t>
      </w:r>
      <w:r w:rsidR="00C7588D" w:rsidRPr="00FD211F">
        <w:rPr>
          <w:sz w:val="36"/>
          <w:szCs w:val="36"/>
          <w:rtl/>
        </w:rPr>
        <w:t xml:space="preserve"> </w:t>
      </w:r>
      <w:r w:rsidR="00052BD9" w:rsidRPr="00FD211F">
        <w:rPr>
          <w:sz w:val="36"/>
          <w:szCs w:val="36"/>
          <w:rtl/>
        </w:rPr>
        <w:tab/>
      </w:r>
      <w:r w:rsidRPr="00FD211F">
        <w:rPr>
          <w:sz w:val="36"/>
          <w:szCs w:val="36"/>
          <w:rtl/>
        </w:rPr>
        <w:t>تمضي إليه أجبته المعشوقا</w:t>
      </w:r>
      <w:r w:rsidR="009C58C8" w:rsidRPr="00FD211F">
        <w:rPr>
          <w:rStyle w:val="a6"/>
          <w:sz w:val="36"/>
          <w:szCs w:val="36"/>
          <w:rtl/>
        </w:rPr>
        <w:t>(</w:t>
      </w:r>
      <w:r w:rsidR="009C58C8" w:rsidRPr="00FD211F">
        <w:rPr>
          <w:rStyle w:val="a6"/>
          <w:sz w:val="36"/>
          <w:szCs w:val="36"/>
          <w:rtl/>
        </w:rPr>
        <w:footnoteReference w:id="453"/>
      </w:r>
      <w:r w:rsidR="009C58C8" w:rsidRPr="00FD211F">
        <w:rPr>
          <w:rStyle w:val="a6"/>
          <w:sz w:val="36"/>
          <w:szCs w:val="36"/>
          <w:rtl/>
        </w:rPr>
        <w:t>)</w:t>
      </w:r>
    </w:p>
    <w:p w14:paraId="178FC761" w14:textId="77777777" w:rsidR="00052BF2" w:rsidRPr="00FD211F" w:rsidRDefault="00052BF2" w:rsidP="009C58C8">
      <w:pPr>
        <w:ind w:left="0" w:firstLine="227"/>
        <w:jc w:val="both"/>
        <w:rPr>
          <w:sz w:val="36"/>
          <w:szCs w:val="36"/>
          <w:rtl/>
        </w:rPr>
      </w:pPr>
      <w:r w:rsidRPr="00FD211F">
        <w:rPr>
          <w:sz w:val="36"/>
          <w:szCs w:val="36"/>
          <w:rtl/>
        </w:rPr>
        <w:t>فترى انه استعمل لفظ المعشوق في معنيين</w:t>
      </w:r>
      <w:r w:rsidR="003864C9" w:rsidRPr="00FD211F">
        <w:rPr>
          <w:sz w:val="36"/>
          <w:szCs w:val="36"/>
          <w:rtl/>
        </w:rPr>
        <w:t>:</w:t>
      </w:r>
      <w:r w:rsidRPr="00FD211F">
        <w:rPr>
          <w:sz w:val="36"/>
          <w:szCs w:val="36"/>
          <w:rtl/>
        </w:rPr>
        <w:t xml:space="preserve"> احدهما قصر بسامرا</w:t>
      </w:r>
      <w:r w:rsidR="00603323" w:rsidRPr="00FD211F">
        <w:rPr>
          <w:sz w:val="36"/>
          <w:szCs w:val="36"/>
          <w:rtl/>
        </w:rPr>
        <w:t xml:space="preserve">، </w:t>
      </w:r>
      <w:r w:rsidRPr="00FD211F">
        <w:rPr>
          <w:sz w:val="36"/>
          <w:szCs w:val="36"/>
          <w:rtl/>
        </w:rPr>
        <w:t>وثانيهما من كان يعشقه الشاعر</w:t>
      </w:r>
      <w:r w:rsidR="00603323" w:rsidRPr="00FD211F">
        <w:rPr>
          <w:sz w:val="36"/>
          <w:szCs w:val="36"/>
          <w:rtl/>
        </w:rPr>
        <w:t xml:space="preserve">، </w:t>
      </w:r>
      <w:r w:rsidRPr="00FD211F">
        <w:rPr>
          <w:sz w:val="36"/>
          <w:szCs w:val="36"/>
          <w:rtl/>
        </w:rPr>
        <w:t>بحيث ينطبق هذا اللفظ تصورا على كل منهما وحده</w:t>
      </w:r>
      <w:r w:rsidR="00603323" w:rsidRPr="00FD211F">
        <w:rPr>
          <w:sz w:val="36"/>
          <w:szCs w:val="36"/>
          <w:rtl/>
        </w:rPr>
        <w:t xml:space="preserve">، </w:t>
      </w:r>
      <w:r w:rsidRPr="00FD211F">
        <w:rPr>
          <w:sz w:val="36"/>
          <w:szCs w:val="36"/>
          <w:rtl/>
        </w:rPr>
        <w:t>فهو</w:t>
      </w:r>
      <w:r w:rsidR="008D7B3D" w:rsidRPr="00FD211F">
        <w:rPr>
          <w:sz w:val="36"/>
          <w:szCs w:val="36"/>
          <w:rtl/>
        </w:rPr>
        <w:t xml:space="preserve"> لم‌</w:t>
      </w:r>
      <w:r w:rsidRPr="00FD211F">
        <w:rPr>
          <w:sz w:val="36"/>
          <w:szCs w:val="36"/>
          <w:rtl/>
        </w:rPr>
        <w:t>يلحظ لفظ المعشوق فانيا في معنى مركب بحيث لاينطبق على ذلك القصر وحده او ذلك الشخص الذي كان يعشقه وحده.</w:t>
      </w:r>
    </w:p>
    <w:p w14:paraId="01E09608" w14:textId="77777777" w:rsidR="00052BF2" w:rsidRPr="00FD211F" w:rsidRDefault="00052BF2" w:rsidP="009C58C8">
      <w:pPr>
        <w:ind w:left="0" w:firstLine="227"/>
        <w:jc w:val="both"/>
        <w:rPr>
          <w:sz w:val="36"/>
          <w:szCs w:val="36"/>
          <w:rtl/>
        </w:rPr>
      </w:pPr>
      <w:r w:rsidRPr="00FD211F">
        <w:rPr>
          <w:sz w:val="36"/>
          <w:szCs w:val="36"/>
          <w:rtl/>
        </w:rPr>
        <w:t>والمتحصل ان استعمال اللفظ في اكثر من معنى واحد يعني استعماله في معنيين مثلا بحيث لوحظ كل واحد منهما مستقلا عن الآخر</w:t>
      </w:r>
      <w:r w:rsidR="00603323" w:rsidRPr="00FD211F">
        <w:rPr>
          <w:sz w:val="36"/>
          <w:szCs w:val="36"/>
          <w:rtl/>
        </w:rPr>
        <w:t xml:space="preserve">، </w:t>
      </w:r>
      <w:r w:rsidRPr="00FD211F">
        <w:rPr>
          <w:sz w:val="36"/>
          <w:szCs w:val="36"/>
          <w:rtl/>
        </w:rPr>
        <w:t>وهذا يختلف عما لو استعمل اللفظ في معنى واحد يكون مركبا من هذين المعنيين بحيث صار كل منهما جزءً من ذلك المعنى</w:t>
      </w:r>
      <w:r w:rsidR="00603323" w:rsidRPr="00FD211F">
        <w:rPr>
          <w:sz w:val="36"/>
          <w:szCs w:val="36"/>
          <w:rtl/>
        </w:rPr>
        <w:t xml:space="preserve">، </w:t>
      </w:r>
      <w:r w:rsidRPr="00FD211F">
        <w:rPr>
          <w:sz w:val="36"/>
          <w:szCs w:val="36"/>
          <w:rtl/>
        </w:rPr>
        <w:t>كما لو اطلق لفظ العين وأراد به مجموع الذهب والفض</w:t>
      </w:r>
      <w:r w:rsidR="00EC7EDF" w:rsidRPr="00FD211F">
        <w:rPr>
          <w:sz w:val="36"/>
          <w:szCs w:val="36"/>
          <w:rtl/>
        </w:rPr>
        <w:t>ة</w:t>
      </w:r>
      <w:r w:rsidR="00603323" w:rsidRPr="00FD211F">
        <w:rPr>
          <w:sz w:val="36"/>
          <w:szCs w:val="36"/>
          <w:rtl/>
        </w:rPr>
        <w:t xml:space="preserve">، </w:t>
      </w:r>
      <w:r w:rsidRPr="00FD211F">
        <w:rPr>
          <w:sz w:val="36"/>
          <w:szCs w:val="36"/>
          <w:rtl/>
        </w:rPr>
        <w:t>بحيث لايصدق بنظره التصوري على الذهب وحده ولا على الفض</w:t>
      </w:r>
      <w:r w:rsidR="00EC7EDF" w:rsidRPr="00FD211F">
        <w:rPr>
          <w:sz w:val="36"/>
          <w:szCs w:val="36"/>
          <w:rtl/>
        </w:rPr>
        <w:t xml:space="preserve">ة </w:t>
      </w:r>
      <w:r w:rsidRPr="00FD211F">
        <w:rPr>
          <w:sz w:val="36"/>
          <w:szCs w:val="36"/>
          <w:rtl/>
        </w:rPr>
        <w:t>وحدها بل يكون كل من الذهب والفض</w:t>
      </w:r>
      <w:r w:rsidR="00EC7EDF" w:rsidRPr="00FD211F">
        <w:rPr>
          <w:sz w:val="36"/>
          <w:szCs w:val="36"/>
          <w:rtl/>
        </w:rPr>
        <w:t xml:space="preserve">ة </w:t>
      </w:r>
      <w:r w:rsidRPr="00FD211F">
        <w:rPr>
          <w:sz w:val="36"/>
          <w:szCs w:val="36"/>
          <w:rtl/>
        </w:rPr>
        <w:t>جزء لمعنى مركب يصدق عليه اللفظ</w:t>
      </w:r>
      <w:r w:rsidR="00603323" w:rsidRPr="00FD211F">
        <w:rPr>
          <w:sz w:val="36"/>
          <w:szCs w:val="36"/>
          <w:rtl/>
        </w:rPr>
        <w:t xml:space="preserve">، </w:t>
      </w:r>
      <w:r w:rsidRPr="00FD211F">
        <w:rPr>
          <w:sz w:val="36"/>
          <w:szCs w:val="36"/>
          <w:rtl/>
        </w:rPr>
        <w:t>فانه لاريب في امكان ذلك ويكون خارجا عن استعمال اللفظ في اكثر من معنى واحد</w:t>
      </w:r>
      <w:r w:rsidR="00603323" w:rsidRPr="00FD211F">
        <w:rPr>
          <w:sz w:val="36"/>
          <w:szCs w:val="36"/>
          <w:rtl/>
        </w:rPr>
        <w:t xml:space="preserve">، </w:t>
      </w:r>
      <w:r w:rsidRPr="00FD211F">
        <w:rPr>
          <w:sz w:val="36"/>
          <w:szCs w:val="36"/>
          <w:rtl/>
        </w:rPr>
        <w:t>ونظيره ما لو استعمل اللفظ في معنى جامع بين المعنيين بحيث صار كل منهما فردا من افراد ذلك المعنى</w:t>
      </w:r>
      <w:r w:rsidR="00603323" w:rsidRPr="00FD211F">
        <w:rPr>
          <w:sz w:val="36"/>
          <w:szCs w:val="36"/>
          <w:rtl/>
        </w:rPr>
        <w:t xml:space="preserve">، </w:t>
      </w:r>
      <w:r w:rsidRPr="00FD211F">
        <w:rPr>
          <w:sz w:val="36"/>
          <w:szCs w:val="36"/>
          <w:rtl/>
        </w:rPr>
        <w:t>نظير ما لو اراد من لفظ العين ما يسمى بالعين بحيث يكون الذهب والفض</w:t>
      </w:r>
      <w:r w:rsidR="00EC7EDF" w:rsidRPr="00FD211F">
        <w:rPr>
          <w:sz w:val="36"/>
          <w:szCs w:val="36"/>
          <w:rtl/>
        </w:rPr>
        <w:t xml:space="preserve">ة </w:t>
      </w:r>
      <w:r w:rsidRPr="00FD211F">
        <w:rPr>
          <w:sz w:val="36"/>
          <w:szCs w:val="36"/>
          <w:rtl/>
        </w:rPr>
        <w:t>مصداقين لذلك المعنى</w:t>
      </w:r>
      <w:r w:rsidR="00603323" w:rsidRPr="00FD211F">
        <w:rPr>
          <w:sz w:val="36"/>
          <w:szCs w:val="36"/>
          <w:rtl/>
        </w:rPr>
        <w:t xml:space="preserve">، </w:t>
      </w:r>
      <w:r w:rsidRPr="00FD211F">
        <w:rPr>
          <w:sz w:val="36"/>
          <w:szCs w:val="36"/>
          <w:rtl/>
        </w:rPr>
        <w:t>فهذا ايضا يكون خارجا عن استعمال اللفظ في اكثر من معنى.</w:t>
      </w:r>
    </w:p>
    <w:p w14:paraId="1FE85074" w14:textId="77777777" w:rsidR="000C5BBA" w:rsidRPr="00FD211F" w:rsidRDefault="00052BF2" w:rsidP="009C58C8">
      <w:pPr>
        <w:ind w:left="0" w:firstLine="227"/>
        <w:jc w:val="both"/>
        <w:rPr>
          <w:sz w:val="36"/>
          <w:szCs w:val="36"/>
          <w:rtl/>
        </w:rPr>
      </w:pPr>
      <w:r w:rsidRPr="00FD211F">
        <w:rPr>
          <w:b/>
          <w:bCs/>
          <w:sz w:val="36"/>
          <w:szCs w:val="36"/>
          <w:rtl/>
        </w:rPr>
        <w:t>الجه</w:t>
      </w:r>
      <w:r w:rsidR="00EC7EDF" w:rsidRPr="00FD211F">
        <w:rPr>
          <w:b/>
          <w:bCs/>
          <w:sz w:val="36"/>
          <w:szCs w:val="36"/>
          <w:rtl/>
        </w:rPr>
        <w:t xml:space="preserve">ة </w:t>
      </w: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sz w:val="36"/>
          <w:szCs w:val="36"/>
          <w:rtl/>
        </w:rPr>
        <w:t xml:space="preserve"> إنه حكي عن المحقق الرشتي</w:t>
      </w:r>
      <w:r w:rsidR="00A61BAE" w:rsidRPr="00FD211F">
        <w:rPr>
          <w:sz w:val="36"/>
          <w:szCs w:val="36"/>
          <w:rtl/>
        </w:rPr>
        <w:t xml:space="preserve"> </w:t>
      </w:r>
      <w:r w:rsidR="00A24412" w:rsidRPr="00FD211F">
        <w:rPr>
          <w:sz w:val="36"/>
          <w:szCs w:val="36"/>
          <w:rtl/>
        </w:rPr>
        <w:t>"قده"</w:t>
      </w:r>
      <w:r w:rsidR="00A61BAE" w:rsidRPr="00FD211F">
        <w:rPr>
          <w:sz w:val="36"/>
          <w:szCs w:val="36"/>
          <w:rtl/>
        </w:rPr>
        <w:t xml:space="preserve"> </w:t>
      </w:r>
      <w:r w:rsidRPr="00FD211F">
        <w:rPr>
          <w:sz w:val="36"/>
          <w:szCs w:val="36"/>
          <w:rtl/>
        </w:rPr>
        <w:t>ان الاستقلال في الاستعمال في مورد استعمال اللفظ في اكثر من معنى واحد يلازم الاستقلال في الحكم كما ان ضمني</w:t>
      </w:r>
      <w:r w:rsidR="00EC7EDF" w:rsidRPr="00FD211F">
        <w:rPr>
          <w:sz w:val="36"/>
          <w:szCs w:val="36"/>
          <w:rtl/>
        </w:rPr>
        <w:t xml:space="preserve">ة </w:t>
      </w:r>
      <w:r w:rsidRPr="00FD211F">
        <w:rPr>
          <w:sz w:val="36"/>
          <w:szCs w:val="36"/>
          <w:rtl/>
        </w:rPr>
        <w:t>الاستعمال في مورد استعمال اللفظ في المركب من المعنيين تلازم الضمني</w:t>
      </w:r>
      <w:r w:rsidR="00EC7EDF" w:rsidRPr="00FD211F">
        <w:rPr>
          <w:sz w:val="36"/>
          <w:szCs w:val="36"/>
          <w:rtl/>
        </w:rPr>
        <w:t xml:space="preserve">ة </w:t>
      </w:r>
      <w:r w:rsidRPr="00FD211F">
        <w:rPr>
          <w:sz w:val="36"/>
          <w:szCs w:val="36"/>
          <w:rtl/>
        </w:rPr>
        <w:t>في الحكم.</w:t>
      </w:r>
    </w:p>
    <w:p w14:paraId="2E6337AE" w14:textId="77777777" w:rsidR="000C5BBA" w:rsidRPr="00FD211F" w:rsidRDefault="00052BF2" w:rsidP="009C58C8">
      <w:pPr>
        <w:ind w:left="0" w:firstLine="227"/>
        <w:jc w:val="both"/>
        <w:rPr>
          <w:sz w:val="36"/>
          <w:szCs w:val="36"/>
          <w:rtl/>
        </w:rPr>
      </w:pPr>
      <w:r w:rsidRPr="00FD211F">
        <w:rPr>
          <w:sz w:val="36"/>
          <w:szCs w:val="36"/>
          <w:rtl/>
        </w:rPr>
        <w:t>وعليه فلو قال المولى</w:t>
      </w:r>
      <w:r w:rsidR="002453F2" w:rsidRPr="00FD211F">
        <w:rPr>
          <w:sz w:val="36"/>
          <w:szCs w:val="36"/>
          <w:rtl/>
        </w:rPr>
        <w:t>"</w:t>
      </w:r>
      <w:r w:rsidRPr="00FD211F">
        <w:rPr>
          <w:sz w:val="36"/>
          <w:szCs w:val="36"/>
          <w:rtl/>
        </w:rPr>
        <w:t xml:space="preserve"> جئني بالعين</w:t>
      </w:r>
      <w:r w:rsidR="002453F2" w:rsidRPr="00FD211F">
        <w:rPr>
          <w:sz w:val="36"/>
          <w:szCs w:val="36"/>
          <w:rtl/>
        </w:rPr>
        <w:t>"</w:t>
      </w:r>
      <w:r w:rsidR="00603323" w:rsidRPr="00FD211F">
        <w:rPr>
          <w:sz w:val="36"/>
          <w:szCs w:val="36"/>
          <w:rtl/>
        </w:rPr>
        <w:t xml:space="preserve">، </w:t>
      </w:r>
      <w:r w:rsidRPr="00FD211F">
        <w:rPr>
          <w:sz w:val="36"/>
          <w:szCs w:val="36"/>
          <w:rtl/>
        </w:rPr>
        <w:t>فان استعمل لفظ العين في كل من الذهب وحده والفض</w:t>
      </w:r>
      <w:r w:rsidR="00EC7EDF" w:rsidRPr="00FD211F">
        <w:rPr>
          <w:sz w:val="36"/>
          <w:szCs w:val="36"/>
          <w:rtl/>
        </w:rPr>
        <w:t xml:space="preserve">ة </w:t>
      </w:r>
      <w:r w:rsidRPr="00FD211F">
        <w:rPr>
          <w:sz w:val="36"/>
          <w:szCs w:val="36"/>
          <w:rtl/>
        </w:rPr>
        <w:t>وحدها فيكون وجوب الإتيان باي منهما مستقلا عن وجوب الإتيان بالآخر</w:t>
      </w:r>
      <w:r w:rsidR="00603323" w:rsidRPr="00FD211F">
        <w:rPr>
          <w:sz w:val="36"/>
          <w:szCs w:val="36"/>
          <w:rtl/>
        </w:rPr>
        <w:t xml:space="preserve">، </w:t>
      </w:r>
      <w:r w:rsidRPr="00FD211F">
        <w:rPr>
          <w:sz w:val="36"/>
          <w:szCs w:val="36"/>
          <w:rtl/>
        </w:rPr>
        <w:t>فلو أتى بالذهب وحده سقط امره بامتثاله</w:t>
      </w:r>
      <w:r w:rsidR="00603323" w:rsidRPr="00FD211F">
        <w:rPr>
          <w:sz w:val="36"/>
          <w:szCs w:val="36"/>
          <w:rtl/>
        </w:rPr>
        <w:t xml:space="preserve">، </w:t>
      </w:r>
      <w:r w:rsidRPr="00FD211F">
        <w:rPr>
          <w:sz w:val="36"/>
          <w:szCs w:val="36"/>
          <w:rtl/>
        </w:rPr>
        <w:t>وان</w:t>
      </w:r>
      <w:r w:rsidR="008D7B3D" w:rsidRPr="00FD211F">
        <w:rPr>
          <w:sz w:val="36"/>
          <w:szCs w:val="36"/>
          <w:rtl/>
        </w:rPr>
        <w:t xml:space="preserve"> لم‌</w:t>
      </w:r>
      <w:r w:rsidRPr="00FD211F">
        <w:rPr>
          <w:sz w:val="36"/>
          <w:szCs w:val="36"/>
          <w:rtl/>
        </w:rPr>
        <w:t>يمتثل الأمر بالإتيان بالفض</w:t>
      </w:r>
      <w:r w:rsidR="00EC7EDF" w:rsidRPr="00FD211F">
        <w:rPr>
          <w:sz w:val="36"/>
          <w:szCs w:val="36"/>
          <w:rtl/>
        </w:rPr>
        <w:t>ة</w:t>
      </w:r>
      <w:r w:rsidR="00603323" w:rsidRPr="00FD211F">
        <w:rPr>
          <w:sz w:val="36"/>
          <w:szCs w:val="36"/>
          <w:rtl/>
        </w:rPr>
        <w:t xml:space="preserve">، </w:t>
      </w:r>
      <w:r w:rsidRPr="00FD211F">
        <w:rPr>
          <w:sz w:val="36"/>
          <w:szCs w:val="36"/>
          <w:rtl/>
        </w:rPr>
        <w:t>وان استعمل لفظ العين في المعنى المركب من الذهب والفض</w:t>
      </w:r>
      <w:r w:rsidR="00EC7EDF" w:rsidRPr="00FD211F">
        <w:rPr>
          <w:sz w:val="36"/>
          <w:szCs w:val="36"/>
          <w:rtl/>
        </w:rPr>
        <w:t xml:space="preserve">ة </w:t>
      </w:r>
      <w:r w:rsidRPr="00FD211F">
        <w:rPr>
          <w:sz w:val="36"/>
          <w:szCs w:val="36"/>
          <w:rtl/>
        </w:rPr>
        <w:t>فيكون وجوب الإتيان بكل منهما ضمنيا</w:t>
      </w:r>
      <w:r w:rsidR="00603323" w:rsidRPr="00FD211F">
        <w:rPr>
          <w:sz w:val="36"/>
          <w:szCs w:val="36"/>
          <w:rtl/>
        </w:rPr>
        <w:t xml:space="preserve">، </w:t>
      </w:r>
      <w:r w:rsidRPr="00FD211F">
        <w:rPr>
          <w:sz w:val="36"/>
          <w:szCs w:val="36"/>
          <w:rtl/>
        </w:rPr>
        <w:t>بحيث لو أتى بالذهب وحده</w:t>
      </w:r>
      <w:r w:rsidR="008D7B3D" w:rsidRPr="00FD211F">
        <w:rPr>
          <w:sz w:val="36"/>
          <w:szCs w:val="36"/>
          <w:rtl/>
        </w:rPr>
        <w:t xml:space="preserve"> لم‌</w:t>
      </w:r>
      <w:r w:rsidRPr="00FD211F">
        <w:rPr>
          <w:sz w:val="36"/>
          <w:szCs w:val="36"/>
          <w:rtl/>
        </w:rPr>
        <w:t>يتحقق منه امتثال ابدا</w:t>
      </w:r>
      <w:r w:rsidR="00603323" w:rsidRPr="00FD211F">
        <w:rPr>
          <w:sz w:val="36"/>
          <w:szCs w:val="36"/>
          <w:rtl/>
        </w:rPr>
        <w:t xml:space="preserve">، </w:t>
      </w:r>
      <w:r w:rsidRPr="00FD211F">
        <w:rPr>
          <w:sz w:val="36"/>
          <w:szCs w:val="36"/>
          <w:rtl/>
        </w:rPr>
        <w:t xml:space="preserve">وظاهر السيد الخوئي </w:t>
      </w:r>
      <w:r w:rsidR="002453F2" w:rsidRPr="00FD211F">
        <w:rPr>
          <w:sz w:val="36"/>
          <w:szCs w:val="36"/>
          <w:rtl/>
        </w:rPr>
        <w:t>"</w:t>
      </w:r>
      <w:r w:rsidRPr="00FD211F">
        <w:rPr>
          <w:sz w:val="36"/>
          <w:szCs w:val="36"/>
          <w:rtl/>
        </w:rPr>
        <w:t>قده</w:t>
      </w:r>
      <w:r w:rsidR="002453F2" w:rsidRPr="00FD211F">
        <w:rPr>
          <w:sz w:val="36"/>
          <w:szCs w:val="36"/>
          <w:rtl/>
        </w:rPr>
        <w:t>" قبول</w:t>
      </w:r>
      <w:r w:rsidR="00B253CE" w:rsidRPr="00FD211F">
        <w:rPr>
          <w:sz w:val="36"/>
          <w:szCs w:val="36"/>
          <w:rtl/>
        </w:rPr>
        <w:t xml:space="preserve"> </w:t>
      </w:r>
      <w:r w:rsidRPr="00FD211F">
        <w:rPr>
          <w:sz w:val="36"/>
          <w:szCs w:val="36"/>
          <w:rtl/>
        </w:rPr>
        <w:t>ذلك</w:t>
      </w:r>
      <w:r w:rsidR="00603323" w:rsidRPr="00FD211F">
        <w:rPr>
          <w:sz w:val="36"/>
          <w:szCs w:val="36"/>
          <w:rtl/>
        </w:rPr>
        <w:t xml:space="preserve">، </w:t>
      </w:r>
      <w:r w:rsidRPr="00FD211F">
        <w:rPr>
          <w:sz w:val="36"/>
          <w:szCs w:val="36"/>
          <w:rtl/>
        </w:rPr>
        <w:t>حيث ذكر انه لو كان يملك عبدين وكان اسم كل منهما غانما فقال للمشتري بعتك غانما بدرهمين</w:t>
      </w:r>
      <w:r w:rsidR="00603323" w:rsidRPr="00FD211F">
        <w:rPr>
          <w:sz w:val="36"/>
          <w:szCs w:val="36"/>
          <w:rtl/>
        </w:rPr>
        <w:t xml:space="preserve">، </w:t>
      </w:r>
      <w:r w:rsidRPr="00FD211F">
        <w:rPr>
          <w:sz w:val="36"/>
          <w:szCs w:val="36"/>
          <w:rtl/>
        </w:rPr>
        <w:t>فانه لو استعمل لفظ غانم في مجموع العبدين بان لاحظ كلا منهما منضما الى الآخر واطلق لفظ غانم على المجموع فيكون ثمن المجموع درهمين</w:t>
      </w:r>
      <w:r w:rsidR="00603323" w:rsidRPr="00FD211F">
        <w:rPr>
          <w:sz w:val="36"/>
          <w:szCs w:val="36"/>
          <w:rtl/>
        </w:rPr>
        <w:t xml:space="preserve">، </w:t>
      </w:r>
      <w:r w:rsidRPr="00FD211F">
        <w:rPr>
          <w:sz w:val="36"/>
          <w:szCs w:val="36"/>
          <w:rtl/>
        </w:rPr>
        <w:t>ولكن لو اراد من لفظ غانم كلا منهما مستقلا عن الآخر فلازم ذلك انحلال كلامه الى كلامين وهو بيع هذا العبد بدرهمين وبيع ذاك العبد ايضا بدرهمين ويكون ثمن المجموع اربع</w:t>
      </w:r>
      <w:r w:rsidR="00EC7EDF" w:rsidRPr="00FD211F">
        <w:rPr>
          <w:sz w:val="36"/>
          <w:szCs w:val="36"/>
          <w:rtl/>
        </w:rPr>
        <w:t xml:space="preserve">ة </w:t>
      </w:r>
      <w:r w:rsidRPr="00FD211F">
        <w:rPr>
          <w:sz w:val="36"/>
          <w:szCs w:val="36"/>
          <w:rtl/>
        </w:rPr>
        <w:t>دراهم</w:t>
      </w:r>
      <w:r w:rsidR="00603323" w:rsidRPr="00FD211F">
        <w:rPr>
          <w:sz w:val="36"/>
          <w:szCs w:val="36"/>
          <w:rtl/>
        </w:rPr>
        <w:t xml:space="preserve">، </w:t>
      </w:r>
      <w:r w:rsidRPr="00FD211F">
        <w:rPr>
          <w:sz w:val="36"/>
          <w:szCs w:val="36"/>
          <w:rtl/>
        </w:rPr>
        <w:t>ولكن حيث يشك في انه هل اراد مجموعهما او كل واحد منهما وليس هناك أي ظهور يعي</w:t>
      </w:r>
      <w:r w:rsidR="00FA3AFD" w:rsidRPr="00FD211F">
        <w:rPr>
          <w:sz w:val="36"/>
          <w:szCs w:val="36"/>
          <w:rtl/>
        </w:rPr>
        <w:t>ِّ</w:t>
      </w:r>
      <w:r w:rsidRPr="00FD211F">
        <w:rPr>
          <w:sz w:val="36"/>
          <w:szCs w:val="36"/>
          <w:rtl/>
        </w:rPr>
        <w:t>ن احد الاحتمالين</w:t>
      </w:r>
      <w:r w:rsidR="00603323" w:rsidRPr="00FD211F">
        <w:rPr>
          <w:sz w:val="36"/>
          <w:szCs w:val="36"/>
          <w:rtl/>
        </w:rPr>
        <w:t xml:space="preserve">، </w:t>
      </w:r>
      <w:r w:rsidR="00FA3AFD" w:rsidRPr="00FD211F">
        <w:rPr>
          <w:sz w:val="36"/>
          <w:szCs w:val="36"/>
          <w:rtl/>
        </w:rPr>
        <w:t>فتصل النوب</w:t>
      </w:r>
      <w:r w:rsidR="00EC7EDF" w:rsidRPr="00FD211F">
        <w:rPr>
          <w:sz w:val="36"/>
          <w:szCs w:val="36"/>
          <w:rtl/>
        </w:rPr>
        <w:t xml:space="preserve">ة </w:t>
      </w:r>
      <w:r w:rsidR="00FA3AFD" w:rsidRPr="00FD211F">
        <w:rPr>
          <w:sz w:val="36"/>
          <w:szCs w:val="36"/>
          <w:rtl/>
        </w:rPr>
        <w:t>الى الاصل العملي وهو اصال</w:t>
      </w:r>
      <w:r w:rsidR="00EC7EDF" w:rsidRPr="00FD211F">
        <w:rPr>
          <w:sz w:val="36"/>
          <w:szCs w:val="36"/>
          <w:rtl/>
        </w:rPr>
        <w:t xml:space="preserve">ة </w:t>
      </w:r>
      <w:r w:rsidR="00FA3AFD" w:rsidRPr="00FD211F">
        <w:rPr>
          <w:sz w:val="36"/>
          <w:szCs w:val="36"/>
          <w:rtl/>
        </w:rPr>
        <w:t>الب</w:t>
      </w:r>
      <w:r w:rsidR="008D7B3D" w:rsidRPr="00FD211F">
        <w:rPr>
          <w:sz w:val="36"/>
          <w:szCs w:val="36"/>
          <w:rtl/>
        </w:rPr>
        <w:t>راءة</w:t>
      </w:r>
      <w:r w:rsidR="00EC7EDF" w:rsidRPr="00FD211F">
        <w:rPr>
          <w:sz w:val="36"/>
          <w:szCs w:val="36"/>
          <w:rtl/>
        </w:rPr>
        <w:t xml:space="preserve"> </w:t>
      </w:r>
      <w:r w:rsidR="00FA3AFD" w:rsidRPr="00FD211F">
        <w:rPr>
          <w:sz w:val="36"/>
          <w:szCs w:val="36"/>
          <w:rtl/>
        </w:rPr>
        <w:t>عن اشتغال ذم</w:t>
      </w:r>
      <w:r w:rsidR="00EC7EDF" w:rsidRPr="00FD211F">
        <w:rPr>
          <w:sz w:val="36"/>
          <w:szCs w:val="36"/>
          <w:rtl/>
        </w:rPr>
        <w:t xml:space="preserve">ة </w:t>
      </w:r>
      <w:r w:rsidR="00FA3AFD" w:rsidRPr="00FD211F">
        <w:rPr>
          <w:sz w:val="36"/>
          <w:szCs w:val="36"/>
          <w:rtl/>
        </w:rPr>
        <w:t>المشتري بأكثر من درهمين.</w:t>
      </w:r>
    </w:p>
    <w:p w14:paraId="2F5BC7E8" w14:textId="77777777" w:rsidR="00FA3AFD" w:rsidRPr="00FD211F" w:rsidRDefault="003D254D" w:rsidP="009C58C8">
      <w:pPr>
        <w:ind w:left="0" w:firstLine="227"/>
        <w:jc w:val="both"/>
        <w:rPr>
          <w:sz w:val="36"/>
          <w:szCs w:val="36"/>
          <w:rtl/>
        </w:rPr>
      </w:pPr>
      <w:r w:rsidRPr="00FD211F">
        <w:rPr>
          <w:sz w:val="36"/>
          <w:szCs w:val="36"/>
          <w:rtl/>
        </w:rPr>
        <w:t>ان قلت</w:t>
      </w:r>
      <w:r w:rsidR="00EC7EDF" w:rsidRPr="00FD211F">
        <w:rPr>
          <w:sz w:val="36"/>
          <w:szCs w:val="36"/>
          <w:rtl/>
        </w:rPr>
        <w:t>:</w:t>
      </w:r>
      <w:r w:rsidR="00FA3AFD" w:rsidRPr="00FD211F">
        <w:rPr>
          <w:sz w:val="36"/>
          <w:szCs w:val="36"/>
          <w:rtl/>
        </w:rPr>
        <w:t>يوجد في البين ظهور يعيِّن الاحتمال الاول</w:t>
      </w:r>
      <w:r w:rsidR="00603323" w:rsidRPr="00FD211F">
        <w:rPr>
          <w:sz w:val="36"/>
          <w:szCs w:val="36"/>
          <w:rtl/>
        </w:rPr>
        <w:t xml:space="preserve">، </w:t>
      </w:r>
      <w:r w:rsidR="00FA3AFD" w:rsidRPr="00FD211F">
        <w:rPr>
          <w:sz w:val="36"/>
          <w:szCs w:val="36"/>
          <w:rtl/>
        </w:rPr>
        <w:t>وهو</w:t>
      </w:r>
      <w:r w:rsidR="00052BD9" w:rsidRPr="00FD211F">
        <w:rPr>
          <w:sz w:val="36"/>
          <w:szCs w:val="36"/>
          <w:rtl/>
        </w:rPr>
        <w:t xml:space="preserve"> </w:t>
      </w:r>
      <w:r w:rsidR="00FA3AFD" w:rsidRPr="00FD211F">
        <w:rPr>
          <w:sz w:val="36"/>
          <w:szCs w:val="36"/>
          <w:rtl/>
        </w:rPr>
        <w:t>ما</w:t>
      </w:r>
      <w:r w:rsidRPr="00FD211F">
        <w:rPr>
          <w:sz w:val="36"/>
          <w:szCs w:val="36"/>
          <w:rtl/>
        </w:rPr>
        <w:t xml:space="preserve"> </w:t>
      </w:r>
      <w:r w:rsidR="00FA3AFD" w:rsidRPr="00FD211F">
        <w:rPr>
          <w:sz w:val="36"/>
          <w:szCs w:val="36"/>
          <w:rtl/>
        </w:rPr>
        <w:t>قد يقال</w:t>
      </w:r>
      <w:r w:rsidR="00052BF2" w:rsidRPr="00FD211F">
        <w:rPr>
          <w:sz w:val="36"/>
          <w:szCs w:val="36"/>
          <w:rtl/>
        </w:rPr>
        <w:t xml:space="preserve"> من كون استعمال اللفظ في اكثر من المعنى استعمالا حقيقيا ب</w:t>
      </w:r>
      <w:r w:rsidR="00FA3AFD" w:rsidRPr="00FD211F">
        <w:rPr>
          <w:sz w:val="36"/>
          <w:szCs w:val="36"/>
          <w:rtl/>
        </w:rPr>
        <w:t>خلاف استعماله في مجموع المعنيين.</w:t>
      </w:r>
    </w:p>
    <w:p w14:paraId="6F10E3DF" w14:textId="77777777" w:rsidR="00052BF2" w:rsidRPr="00FD211F" w:rsidRDefault="00FA3AFD" w:rsidP="009C58C8">
      <w:pPr>
        <w:ind w:left="0" w:firstLine="227"/>
        <w:jc w:val="both"/>
        <w:rPr>
          <w:sz w:val="36"/>
          <w:szCs w:val="36"/>
          <w:rtl/>
        </w:rPr>
      </w:pPr>
      <w:r w:rsidRPr="00FD211F">
        <w:rPr>
          <w:sz w:val="36"/>
          <w:szCs w:val="36"/>
          <w:rtl/>
        </w:rPr>
        <w:t>قلت</w:t>
      </w:r>
      <w:r w:rsidR="00EC7EDF" w:rsidRPr="00FD211F">
        <w:rPr>
          <w:sz w:val="36"/>
          <w:szCs w:val="36"/>
          <w:rtl/>
        </w:rPr>
        <w:t>:</w:t>
      </w:r>
      <w:r w:rsidR="00052BF2" w:rsidRPr="00FD211F">
        <w:rPr>
          <w:sz w:val="36"/>
          <w:szCs w:val="36"/>
          <w:rtl/>
        </w:rPr>
        <w:t xml:space="preserve"> فان كون الاستعمال الاول حقيقيا لايوجب جريان اصال</w:t>
      </w:r>
      <w:r w:rsidR="00EC7EDF" w:rsidRPr="00FD211F">
        <w:rPr>
          <w:sz w:val="36"/>
          <w:szCs w:val="36"/>
          <w:rtl/>
        </w:rPr>
        <w:t xml:space="preserve">ة </w:t>
      </w:r>
      <w:r w:rsidR="00052BF2" w:rsidRPr="00FD211F">
        <w:rPr>
          <w:sz w:val="36"/>
          <w:szCs w:val="36"/>
          <w:rtl/>
        </w:rPr>
        <w:t>الحقيق</w:t>
      </w:r>
      <w:r w:rsidR="00EC7EDF" w:rsidRPr="00FD211F">
        <w:rPr>
          <w:sz w:val="36"/>
          <w:szCs w:val="36"/>
          <w:rtl/>
        </w:rPr>
        <w:t xml:space="preserve">ة </w:t>
      </w:r>
      <w:r w:rsidR="00052BF2" w:rsidRPr="00FD211F">
        <w:rPr>
          <w:sz w:val="36"/>
          <w:szCs w:val="36"/>
          <w:rtl/>
        </w:rPr>
        <w:t>لإثباته في قبال احتمال استعمال اللفظ في مجموع المعنيين</w:t>
      </w:r>
      <w:r w:rsidR="00603323" w:rsidRPr="00FD211F">
        <w:rPr>
          <w:sz w:val="36"/>
          <w:szCs w:val="36"/>
          <w:rtl/>
        </w:rPr>
        <w:t xml:space="preserve">، </w:t>
      </w:r>
      <w:r w:rsidR="00052BF2" w:rsidRPr="00FD211F">
        <w:rPr>
          <w:sz w:val="36"/>
          <w:szCs w:val="36"/>
          <w:rtl/>
        </w:rPr>
        <w:t>حيث ان مرجع اصال</w:t>
      </w:r>
      <w:r w:rsidR="00EC7EDF" w:rsidRPr="00FD211F">
        <w:rPr>
          <w:sz w:val="36"/>
          <w:szCs w:val="36"/>
          <w:rtl/>
        </w:rPr>
        <w:t xml:space="preserve">ة </w:t>
      </w:r>
      <w:r w:rsidR="00052BF2" w:rsidRPr="00FD211F">
        <w:rPr>
          <w:sz w:val="36"/>
          <w:szCs w:val="36"/>
          <w:rtl/>
        </w:rPr>
        <w:t>الحقيق</w:t>
      </w:r>
      <w:r w:rsidR="00EC7EDF" w:rsidRPr="00FD211F">
        <w:rPr>
          <w:sz w:val="36"/>
          <w:szCs w:val="36"/>
          <w:rtl/>
        </w:rPr>
        <w:t xml:space="preserve">ة </w:t>
      </w:r>
      <w:r w:rsidR="00052BF2" w:rsidRPr="00FD211F">
        <w:rPr>
          <w:sz w:val="36"/>
          <w:szCs w:val="36"/>
          <w:rtl/>
        </w:rPr>
        <w:t>الى حجي</w:t>
      </w:r>
      <w:r w:rsidR="00EC7EDF" w:rsidRPr="00FD211F">
        <w:rPr>
          <w:sz w:val="36"/>
          <w:szCs w:val="36"/>
          <w:rtl/>
        </w:rPr>
        <w:t xml:space="preserve">ة </w:t>
      </w:r>
      <w:r w:rsidR="00052BF2" w:rsidRPr="00FD211F">
        <w:rPr>
          <w:sz w:val="36"/>
          <w:szCs w:val="36"/>
          <w:rtl/>
        </w:rPr>
        <w:t>الظهور</w:t>
      </w:r>
      <w:r w:rsidR="00603323" w:rsidRPr="00FD211F">
        <w:rPr>
          <w:sz w:val="36"/>
          <w:szCs w:val="36"/>
          <w:rtl/>
        </w:rPr>
        <w:t xml:space="preserve">، </w:t>
      </w:r>
      <w:r w:rsidR="00052BF2" w:rsidRPr="00FD211F">
        <w:rPr>
          <w:sz w:val="36"/>
          <w:szCs w:val="36"/>
          <w:rtl/>
        </w:rPr>
        <w:t>والمفروض عدم وجود نكت</w:t>
      </w:r>
      <w:r w:rsidR="00EC7EDF" w:rsidRPr="00FD211F">
        <w:rPr>
          <w:sz w:val="36"/>
          <w:szCs w:val="36"/>
          <w:rtl/>
        </w:rPr>
        <w:t xml:space="preserve">ة </w:t>
      </w:r>
      <w:r w:rsidR="00052BF2" w:rsidRPr="00FD211F">
        <w:rPr>
          <w:sz w:val="36"/>
          <w:szCs w:val="36"/>
          <w:rtl/>
        </w:rPr>
        <w:t>توجب انعقاد ظهور اللفظ في استعمال</w:t>
      </w:r>
      <w:r w:rsidRPr="00FD211F">
        <w:rPr>
          <w:sz w:val="36"/>
          <w:szCs w:val="36"/>
          <w:rtl/>
        </w:rPr>
        <w:t>ه في كل من المعنيين باستقلالهما</w:t>
      </w:r>
      <w:r w:rsidR="009C58C8" w:rsidRPr="00FD211F">
        <w:rPr>
          <w:rStyle w:val="a6"/>
          <w:sz w:val="36"/>
          <w:szCs w:val="36"/>
          <w:rtl/>
        </w:rPr>
        <w:t>(</w:t>
      </w:r>
      <w:r w:rsidR="009C58C8" w:rsidRPr="00FD211F">
        <w:rPr>
          <w:rStyle w:val="a6"/>
          <w:sz w:val="36"/>
          <w:szCs w:val="36"/>
          <w:rtl/>
        </w:rPr>
        <w:footnoteReference w:id="454"/>
      </w:r>
      <w:r w:rsidR="009C58C8" w:rsidRPr="00FD211F">
        <w:rPr>
          <w:rStyle w:val="a6"/>
          <w:sz w:val="36"/>
          <w:szCs w:val="36"/>
          <w:rtl/>
        </w:rPr>
        <w:t>)</w:t>
      </w:r>
      <w:r w:rsidR="00603323" w:rsidRPr="00FD211F">
        <w:rPr>
          <w:sz w:val="36"/>
          <w:szCs w:val="36"/>
          <w:rtl/>
        </w:rPr>
        <w:t xml:space="preserve">، </w:t>
      </w:r>
    </w:p>
    <w:p w14:paraId="7602E4FC" w14:textId="77777777" w:rsidR="00052BF2" w:rsidRPr="00FD211F" w:rsidRDefault="00052BF2"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ولكن ذكر في البحوث ما محصله: ان الاستقلالي</w:t>
      </w:r>
      <w:r w:rsidR="00EC7EDF" w:rsidRPr="00FD211F">
        <w:rPr>
          <w:sz w:val="36"/>
          <w:szCs w:val="36"/>
          <w:rtl/>
        </w:rPr>
        <w:t xml:space="preserve">ة </w:t>
      </w:r>
      <w:r w:rsidRPr="00FD211F">
        <w:rPr>
          <w:sz w:val="36"/>
          <w:szCs w:val="36"/>
          <w:rtl/>
        </w:rPr>
        <w:t>في الاستعمال لاتلازم الاستقلالي</w:t>
      </w:r>
      <w:r w:rsidR="00EC7EDF" w:rsidRPr="00FD211F">
        <w:rPr>
          <w:sz w:val="36"/>
          <w:szCs w:val="36"/>
          <w:rtl/>
        </w:rPr>
        <w:t xml:space="preserve">ة </w:t>
      </w:r>
      <w:r w:rsidRPr="00FD211F">
        <w:rPr>
          <w:sz w:val="36"/>
          <w:szCs w:val="36"/>
          <w:rtl/>
        </w:rPr>
        <w:t>في الحكم كما ان الضمني</w:t>
      </w:r>
      <w:r w:rsidR="00EC7EDF" w:rsidRPr="00FD211F">
        <w:rPr>
          <w:sz w:val="36"/>
          <w:szCs w:val="36"/>
          <w:rtl/>
        </w:rPr>
        <w:t xml:space="preserve">ة </w:t>
      </w:r>
      <w:r w:rsidRPr="00FD211F">
        <w:rPr>
          <w:sz w:val="36"/>
          <w:szCs w:val="36"/>
          <w:rtl/>
        </w:rPr>
        <w:t>في الاستعمال لاتلازم الضمني</w:t>
      </w:r>
      <w:r w:rsidR="00EC7EDF" w:rsidRPr="00FD211F">
        <w:rPr>
          <w:sz w:val="36"/>
          <w:szCs w:val="36"/>
          <w:rtl/>
        </w:rPr>
        <w:t xml:space="preserve">ة </w:t>
      </w:r>
      <w:r w:rsidRPr="00FD211F">
        <w:rPr>
          <w:sz w:val="36"/>
          <w:szCs w:val="36"/>
          <w:rtl/>
        </w:rPr>
        <w:t>في الحكم</w:t>
      </w:r>
      <w:r w:rsidR="00603323" w:rsidRPr="00FD211F">
        <w:rPr>
          <w:sz w:val="36"/>
          <w:szCs w:val="36"/>
          <w:rtl/>
        </w:rPr>
        <w:t xml:space="preserve">، </w:t>
      </w:r>
      <w:r w:rsidRPr="00FD211F">
        <w:rPr>
          <w:sz w:val="36"/>
          <w:szCs w:val="36"/>
          <w:rtl/>
        </w:rPr>
        <w:t>فيمكن ان يكون المراد الاستعمالي من لفظ العين في قوله "جئني بالعين" هو معنى الذهب باستقلاله ومعنى الفض</w:t>
      </w:r>
      <w:r w:rsidR="00EC7EDF" w:rsidRPr="00FD211F">
        <w:rPr>
          <w:sz w:val="36"/>
          <w:szCs w:val="36"/>
          <w:rtl/>
        </w:rPr>
        <w:t xml:space="preserve">ة </w:t>
      </w:r>
      <w:r w:rsidRPr="00FD211F">
        <w:rPr>
          <w:sz w:val="36"/>
          <w:szCs w:val="36"/>
          <w:rtl/>
        </w:rPr>
        <w:t>باستقلاله لكن يكون الملحوظ في مرحل</w:t>
      </w:r>
      <w:r w:rsidR="00EC7EDF" w:rsidRPr="00FD211F">
        <w:rPr>
          <w:sz w:val="36"/>
          <w:szCs w:val="36"/>
          <w:rtl/>
        </w:rPr>
        <w:t xml:space="preserve">ة </w:t>
      </w:r>
      <w:r w:rsidRPr="00FD211F">
        <w:rPr>
          <w:sz w:val="36"/>
          <w:szCs w:val="36"/>
          <w:rtl/>
        </w:rPr>
        <w:t>الإراد</w:t>
      </w:r>
      <w:r w:rsidR="00EC7EDF" w:rsidRPr="00FD211F">
        <w:rPr>
          <w:sz w:val="36"/>
          <w:szCs w:val="36"/>
          <w:rtl/>
        </w:rPr>
        <w:t xml:space="preserve">ة </w:t>
      </w:r>
      <w:r w:rsidRPr="00FD211F">
        <w:rPr>
          <w:sz w:val="36"/>
          <w:szCs w:val="36"/>
          <w:rtl/>
        </w:rPr>
        <w:t>الجدي</w:t>
      </w:r>
      <w:r w:rsidR="00EC7EDF" w:rsidRPr="00FD211F">
        <w:rPr>
          <w:sz w:val="36"/>
          <w:szCs w:val="36"/>
          <w:rtl/>
        </w:rPr>
        <w:t xml:space="preserve">ة </w:t>
      </w:r>
      <w:r w:rsidRPr="00FD211F">
        <w:rPr>
          <w:sz w:val="36"/>
          <w:szCs w:val="36"/>
          <w:rtl/>
        </w:rPr>
        <w:t>في مقام تعلق الحكم هو الذهب المقيد بكونه في ضمن المركب من الذهب والفض</w:t>
      </w:r>
      <w:r w:rsidR="00EC7EDF" w:rsidRPr="00FD211F">
        <w:rPr>
          <w:sz w:val="36"/>
          <w:szCs w:val="36"/>
          <w:rtl/>
        </w:rPr>
        <w:t>ة</w:t>
      </w:r>
      <w:r w:rsidR="00603323" w:rsidRPr="00FD211F">
        <w:rPr>
          <w:sz w:val="36"/>
          <w:szCs w:val="36"/>
          <w:rtl/>
        </w:rPr>
        <w:t xml:space="preserve">، </w:t>
      </w:r>
      <w:r w:rsidRPr="00FD211F">
        <w:rPr>
          <w:sz w:val="36"/>
          <w:szCs w:val="36"/>
          <w:rtl/>
        </w:rPr>
        <w:t>وكذا الفض</w:t>
      </w:r>
      <w:r w:rsidR="00EC7EDF" w:rsidRPr="00FD211F">
        <w:rPr>
          <w:sz w:val="36"/>
          <w:szCs w:val="36"/>
          <w:rtl/>
        </w:rPr>
        <w:t xml:space="preserve">ة </w:t>
      </w:r>
      <w:r w:rsidRPr="00FD211F">
        <w:rPr>
          <w:sz w:val="36"/>
          <w:szCs w:val="36"/>
          <w:rtl/>
        </w:rPr>
        <w:t>المقيد</w:t>
      </w:r>
      <w:r w:rsidR="00EC7EDF" w:rsidRPr="00FD211F">
        <w:rPr>
          <w:sz w:val="36"/>
          <w:szCs w:val="36"/>
          <w:rtl/>
        </w:rPr>
        <w:t xml:space="preserve">ة </w:t>
      </w:r>
      <w:r w:rsidRPr="00FD211F">
        <w:rPr>
          <w:sz w:val="36"/>
          <w:szCs w:val="36"/>
          <w:rtl/>
        </w:rPr>
        <w:t>بذلك من دون ان يكون المستعمل فيه هو المقيد</w:t>
      </w:r>
      <w:r w:rsidR="00603323" w:rsidRPr="00FD211F">
        <w:rPr>
          <w:sz w:val="36"/>
          <w:szCs w:val="36"/>
          <w:rtl/>
        </w:rPr>
        <w:t xml:space="preserve">، </w:t>
      </w:r>
      <w:r w:rsidRPr="00FD211F">
        <w:rPr>
          <w:sz w:val="36"/>
          <w:szCs w:val="36"/>
          <w:rtl/>
        </w:rPr>
        <w:t>نظير ما لو قيل جئني بالذهب والفض</w:t>
      </w:r>
      <w:r w:rsidR="00EC7EDF" w:rsidRPr="00FD211F">
        <w:rPr>
          <w:sz w:val="36"/>
          <w:szCs w:val="36"/>
          <w:rtl/>
        </w:rPr>
        <w:t>ة</w:t>
      </w:r>
      <w:r w:rsidR="00603323" w:rsidRPr="00FD211F">
        <w:rPr>
          <w:sz w:val="36"/>
          <w:szCs w:val="36"/>
          <w:rtl/>
        </w:rPr>
        <w:t xml:space="preserve">، </w:t>
      </w:r>
      <w:r w:rsidRPr="00FD211F">
        <w:rPr>
          <w:sz w:val="36"/>
          <w:szCs w:val="36"/>
          <w:rtl/>
        </w:rPr>
        <w:t>فان المستعمل فيه للفظ الذهب هو طبيعي الذهب</w:t>
      </w:r>
      <w:r w:rsidR="00603323" w:rsidRPr="00FD211F">
        <w:rPr>
          <w:sz w:val="36"/>
          <w:szCs w:val="36"/>
          <w:rtl/>
        </w:rPr>
        <w:t xml:space="preserve">، </w:t>
      </w:r>
      <w:r w:rsidRPr="00FD211F">
        <w:rPr>
          <w:sz w:val="36"/>
          <w:szCs w:val="36"/>
          <w:rtl/>
        </w:rPr>
        <w:t>كما ان المستعمل فيه للفظ الفض</w:t>
      </w:r>
      <w:r w:rsidR="00EC7EDF" w:rsidRPr="00FD211F">
        <w:rPr>
          <w:sz w:val="36"/>
          <w:szCs w:val="36"/>
          <w:rtl/>
        </w:rPr>
        <w:t xml:space="preserve">ة </w:t>
      </w:r>
      <w:r w:rsidRPr="00FD211F">
        <w:rPr>
          <w:sz w:val="36"/>
          <w:szCs w:val="36"/>
          <w:rtl/>
        </w:rPr>
        <w:t>هو طبيعي الفض</w:t>
      </w:r>
      <w:r w:rsidR="00EC7EDF" w:rsidRPr="00FD211F">
        <w:rPr>
          <w:sz w:val="36"/>
          <w:szCs w:val="36"/>
          <w:rtl/>
        </w:rPr>
        <w:t xml:space="preserve">ة </w:t>
      </w:r>
      <w:r w:rsidRPr="00FD211F">
        <w:rPr>
          <w:sz w:val="36"/>
          <w:szCs w:val="36"/>
          <w:rtl/>
        </w:rPr>
        <w:t>ولكن لاينافي ذلك ان يكون متعلق الحكم في مرحل</w:t>
      </w:r>
      <w:r w:rsidR="00EC7EDF" w:rsidRPr="00FD211F">
        <w:rPr>
          <w:sz w:val="36"/>
          <w:szCs w:val="36"/>
          <w:rtl/>
        </w:rPr>
        <w:t xml:space="preserve">ة </w:t>
      </w:r>
      <w:r w:rsidRPr="00FD211F">
        <w:rPr>
          <w:sz w:val="36"/>
          <w:szCs w:val="36"/>
          <w:rtl/>
        </w:rPr>
        <w:t>الإراد</w:t>
      </w:r>
      <w:r w:rsidR="00EC7EDF" w:rsidRPr="00FD211F">
        <w:rPr>
          <w:sz w:val="36"/>
          <w:szCs w:val="36"/>
          <w:rtl/>
        </w:rPr>
        <w:t xml:space="preserve">ة </w:t>
      </w:r>
      <w:r w:rsidRPr="00FD211F">
        <w:rPr>
          <w:sz w:val="36"/>
          <w:szCs w:val="36"/>
          <w:rtl/>
        </w:rPr>
        <w:t>الجدي</w:t>
      </w:r>
      <w:r w:rsidR="00EC7EDF" w:rsidRPr="00FD211F">
        <w:rPr>
          <w:sz w:val="36"/>
          <w:szCs w:val="36"/>
          <w:rtl/>
        </w:rPr>
        <w:t xml:space="preserve">ة </w:t>
      </w:r>
      <w:r w:rsidRPr="00FD211F">
        <w:rPr>
          <w:sz w:val="36"/>
          <w:szCs w:val="36"/>
          <w:rtl/>
        </w:rPr>
        <w:t>هو الذهب والفض</w:t>
      </w:r>
      <w:r w:rsidR="00EC7EDF" w:rsidRPr="00FD211F">
        <w:rPr>
          <w:sz w:val="36"/>
          <w:szCs w:val="36"/>
          <w:rtl/>
        </w:rPr>
        <w:t xml:space="preserve">ة </w:t>
      </w:r>
      <w:r w:rsidRPr="00FD211F">
        <w:rPr>
          <w:sz w:val="36"/>
          <w:szCs w:val="36"/>
          <w:rtl/>
        </w:rPr>
        <w:t>المقيدين بكونهما في ضمن مركب من الذهب والفض</w:t>
      </w:r>
      <w:r w:rsidR="00EC7EDF" w:rsidRPr="00FD211F">
        <w:rPr>
          <w:sz w:val="36"/>
          <w:szCs w:val="36"/>
          <w:rtl/>
        </w:rPr>
        <w:t>ة</w:t>
      </w:r>
      <w:r w:rsidR="00603323" w:rsidRPr="00FD211F">
        <w:rPr>
          <w:sz w:val="36"/>
          <w:szCs w:val="36"/>
          <w:rtl/>
        </w:rPr>
        <w:t xml:space="preserve">، </w:t>
      </w:r>
      <w:r w:rsidRPr="00FD211F">
        <w:rPr>
          <w:sz w:val="36"/>
          <w:szCs w:val="36"/>
          <w:rtl/>
        </w:rPr>
        <w:t>وحينئذ فلو أتى بالذهب وحده مثلا</w:t>
      </w:r>
      <w:r w:rsidR="008D7B3D" w:rsidRPr="00FD211F">
        <w:rPr>
          <w:sz w:val="36"/>
          <w:szCs w:val="36"/>
          <w:rtl/>
        </w:rPr>
        <w:t xml:space="preserve"> لم‌</w:t>
      </w:r>
      <w:r w:rsidRPr="00FD211F">
        <w:rPr>
          <w:sz w:val="36"/>
          <w:szCs w:val="36"/>
          <w:rtl/>
        </w:rPr>
        <w:t>يحصل منه أي امتثال ابدا.</w:t>
      </w:r>
    </w:p>
    <w:p w14:paraId="681784DD" w14:textId="77777777" w:rsidR="00052BF2" w:rsidRPr="00FD211F" w:rsidRDefault="00052BF2" w:rsidP="009C58C8">
      <w:pPr>
        <w:ind w:left="0" w:firstLine="227"/>
        <w:jc w:val="both"/>
        <w:rPr>
          <w:sz w:val="36"/>
          <w:szCs w:val="36"/>
          <w:rtl/>
        </w:rPr>
      </w:pPr>
      <w:r w:rsidRPr="00FD211F">
        <w:rPr>
          <w:sz w:val="36"/>
          <w:szCs w:val="36"/>
          <w:rtl/>
        </w:rPr>
        <w:t>وكذا يمكن ان يكون المراد الاستعمالي من لفظ العين في قوله جئني بالعين هو معنى مركبا من الذهب والفض</w:t>
      </w:r>
      <w:r w:rsidR="00EC7EDF" w:rsidRPr="00FD211F">
        <w:rPr>
          <w:sz w:val="36"/>
          <w:szCs w:val="36"/>
          <w:rtl/>
        </w:rPr>
        <w:t xml:space="preserve">ة </w:t>
      </w:r>
      <w:r w:rsidRPr="00FD211F">
        <w:rPr>
          <w:sz w:val="36"/>
          <w:szCs w:val="36"/>
          <w:rtl/>
        </w:rPr>
        <w:t>بحيث يرى تصورا لفظ العين متحدا مع مجموع الذهب والفض</w:t>
      </w:r>
      <w:r w:rsidR="00EC7EDF" w:rsidRPr="00FD211F">
        <w:rPr>
          <w:sz w:val="36"/>
          <w:szCs w:val="36"/>
          <w:rtl/>
        </w:rPr>
        <w:t xml:space="preserve">ة </w:t>
      </w:r>
      <w:r w:rsidRPr="00FD211F">
        <w:rPr>
          <w:sz w:val="36"/>
          <w:szCs w:val="36"/>
          <w:rtl/>
        </w:rPr>
        <w:t>ويكون كل منهما جزء لذلك المعنى</w:t>
      </w:r>
      <w:r w:rsidR="00603323" w:rsidRPr="00FD211F">
        <w:rPr>
          <w:sz w:val="36"/>
          <w:szCs w:val="36"/>
          <w:rtl/>
        </w:rPr>
        <w:t xml:space="preserve">، </w:t>
      </w:r>
      <w:r w:rsidRPr="00FD211F">
        <w:rPr>
          <w:sz w:val="36"/>
          <w:szCs w:val="36"/>
          <w:rtl/>
        </w:rPr>
        <w:t>ولكن لاينافي ذلك ان يكون الملحوظ في مقام الاراد</w:t>
      </w:r>
      <w:r w:rsidR="00EC7EDF" w:rsidRPr="00FD211F">
        <w:rPr>
          <w:sz w:val="36"/>
          <w:szCs w:val="36"/>
          <w:rtl/>
        </w:rPr>
        <w:t xml:space="preserve">ة </w:t>
      </w:r>
      <w:r w:rsidRPr="00FD211F">
        <w:rPr>
          <w:sz w:val="36"/>
          <w:szCs w:val="36"/>
          <w:rtl/>
        </w:rPr>
        <w:t>الجدي</w:t>
      </w:r>
      <w:r w:rsidR="00EC7EDF" w:rsidRPr="00FD211F">
        <w:rPr>
          <w:sz w:val="36"/>
          <w:szCs w:val="36"/>
          <w:rtl/>
        </w:rPr>
        <w:t xml:space="preserve">ة </w:t>
      </w:r>
      <w:r w:rsidRPr="00FD211F">
        <w:rPr>
          <w:sz w:val="36"/>
          <w:szCs w:val="36"/>
          <w:rtl/>
        </w:rPr>
        <w:t>بلحاظ متعلق الحكم هو الإتيان بالذهب لابشرط من كونه في ضمن المركب</w:t>
      </w:r>
      <w:r w:rsidR="009C58C8" w:rsidRPr="00FD211F">
        <w:rPr>
          <w:rStyle w:val="a6"/>
          <w:sz w:val="36"/>
          <w:szCs w:val="36"/>
          <w:rtl/>
        </w:rPr>
        <w:t>(</w:t>
      </w:r>
      <w:r w:rsidR="009C58C8" w:rsidRPr="00FD211F">
        <w:rPr>
          <w:rStyle w:val="a6"/>
          <w:sz w:val="36"/>
          <w:szCs w:val="36"/>
          <w:rtl/>
        </w:rPr>
        <w:footnoteReference w:id="455"/>
      </w:r>
      <w:r w:rsidR="009C58C8" w:rsidRPr="00FD211F">
        <w:rPr>
          <w:rStyle w:val="a6"/>
          <w:sz w:val="36"/>
          <w:szCs w:val="36"/>
          <w:rtl/>
        </w:rPr>
        <w:t>)</w:t>
      </w:r>
      <w:r w:rsidRPr="00FD211F">
        <w:rPr>
          <w:sz w:val="36"/>
          <w:szCs w:val="36"/>
          <w:rtl/>
        </w:rPr>
        <w:t>.</w:t>
      </w:r>
    </w:p>
    <w:p w14:paraId="69511316" w14:textId="77777777" w:rsidR="00052BF2" w:rsidRPr="00FD211F" w:rsidRDefault="00052BF2" w:rsidP="009C58C8">
      <w:pPr>
        <w:ind w:left="0" w:firstLine="227"/>
        <w:jc w:val="both"/>
        <w:rPr>
          <w:sz w:val="36"/>
          <w:szCs w:val="36"/>
          <w:rtl/>
        </w:rPr>
      </w:pPr>
      <w:r w:rsidRPr="00FD211F">
        <w:rPr>
          <w:sz w:val="36"/>
          <w:szCs w:val="36"/>
          <w:rtl/>
        </w:rPr>
        <w:t>اقول: لايبعد ان يقال بان الاستقلالي</w:t>
      </w:r>
      <w:r w:rsidR="00EC7EDF" w:rsidRPr="00FD211F">
        <w:rPr>
          <w:sz w:val="36"/>
          <w:szCs w:val="36"/>
          <w:rtl/>
        </w:rPr>
        <w:t xml:space="preserve">ة </w:t>
      </w:r>
      <w:r w:rsidRPr="00FD211F">
        <w:rPr>
          <w:sz w:val="36"/>
          <w:szCs w:val="36"/>
          <w:rtl/>
        </w:rPr>
        <w:t>في الاستعمال تلازم الظهور في الاستقلالي</w:t>
      </w:r>
      <w:r w:rsidR="00EC7EDF" w:rsidRPr="00FD211F">
        <w:rPr>
          <w:sz w:val="36"/>
          <w:szCs w:val="36"/>
          <w:rtl/>
        </w:rPr>
        <w:t xml:space="preserve">ة </w:t>
      </w:r>
      <w:r w:rsidRPr="00FD211F">
        <w:rPr>
          <w:sz w:val="36"/>
          <w:szCs w:val="36"/>
          <w:rtl/>
        </w:rPr>
        <w:t>في الحكم</w:t>
      </w:r>
      <w:r w:rsidR="00603323" w:rsidRPr="00FD211F">
        <w:rPr>
          <w:sz w:val="36"/>
          <w:szCs w:val="36"/>
          <w:rtl/>
        </w:rPr>
        <w:t xml:space="preserve">، </w:t>
      </w:r>
      <w:r w:rsidRPr="00FD211F">
        <w:rPr>
          <w:sz w:val="36"/>
          <w:szCs w:val="36"/>
          <w:rtl/>
        </w:rPr>
        <w:t>فلو قال المولى جئني بالعين واستعمل لفظ العين في الذهب باستقلاله وفي الفض</w:t>
      </w:r>
      <w:r w:rsidR="00EC7EDF" w:rsidRPr="00FD211F">
        <w:rPr>
          <w:sz w:val="36"/>
          <w:szCs w:val="36"/>
          <w:rtl/>
        </w:rPr>
        <w:t xml:space="preserve">ة </w:t>
      </w:r>
      <w:r w:rsidRPr="00FD211F">
        <w:rPr>
          <w:sz w:val="36"/>
          <w:szCs w:val="36"/>
          <w:rtl/>
        </w:rPr>
        <w:t>باستقلالها فيكون في قو</w:t>
      </w:r>
      <w:r w:rsidR="00EC7EDF" w:rsidRPr="00FD211F">
        <w:rPr>
          <w:sz w:val="36"/>
          <w:szCs w:val="36"/>
          <w:rtl/>
        </w:rPr>
        <w:t xml:space="preserve">ة </w:t>
      </w:r>
      <w:r w:rsidRPr="00FD211F">
        <w:rPr>
          <w:sz w:val="36"/>
          <w:szCs w:val="36"/>
          <w:rtl/>
        </w:rPr>
        <w:t>ان يقول "جئني بالذهب" "جئني بالفض</w:t>
      </w:r>
      <w:r w:rsidR="00EC7EDF" w:rsidRPr="00FD211F">
        <w:rPr>
          <w:sz w:val="36"/>
          <w:szCs w:val="36"/>
          <w:rtl/>
        </w:rPr>
        <w:t xml:space="preserve">ة </w:t>
      </w:r>
      <w:r w:rsidRPr="00FD211F">
        <w:rPr>
          <w:sz w:val="36"/>
          <w:szCs w:val="36"/>
          <w:rtl/>
        </w:rPr>
        <w:t>" وظاهر ذلك هو وجوب الاتيان بالذهب مستقلا عن وجوب الاتيان بالفض</w:t>
      </w:r>
      <w:r w:rsidR="00EC7EDF" w:rsidRPr="00FD211F">
        <w:rPr>
          <w:sz w:val="36"/>
          <w:szCs w:val="36"/>
          <w:rtl/>
        </w:rPr>
        <w:t>ة</w:t>
      </w:r>
      <w:r w:rsidR="00603323" w:rsidRPr="00FD211F">
        <w:rPr>
          <w:sz w:val="36"/>
          <w:szCs w:val="36"/>
          <w:rtl/>
        </w:rPr>
        <w:t xml:space="preserve">، </w:t>
      </w:r>
      <w:r w:rsidRPr="00FD211F">
        <w:rPr>
          <w:sz w:val="36"/>
          <w:szCs w:val="36"/>
          <w:rtl/>
        </w:rPr>
        <w:t>نعم لامانع ثبوتا من ان يكون هذا الوجوب ضمنيا بحيث يقيد الاتيان بالذهب بكونه مقترنا بالاتيان بالفض</w:t>
      </w:r>
      <w:r w:rsidR="00EC7EDF" w:rsidRPr="00FD211F">
        <w:rPr>
          <w:sz w:val="36"/>
          <w:szCs w:val="36"/>
          <w:rtl/>
        </w:rPr>
        <w:t xml:space="preserve">ة </w:t>
      </w:r>
      <w:r w:rsidRPr="00FD211F">
        <w:rPr>
          <w:sz w:val="36"/>
          <w:szCs w:val="36"/>
          <w:rtl/>
        </w:rPr>
        <w:t>كما يمكن ذلك في قوله "جئني بالذهب" "جئني بالفض</w:t>
      </w:r>
      <w:r w:rsidR="00EC7EDF" w:rsidRPr="00FD211F">
        <w:rPr>
          <w:sz w:val="36"/>
          <w:szCs w:val="36"/>
          <w:rtl/>
        </w:rPr>
        <w:t xml:space="preserve">ة </w:t>
      </w:r>
      <w:r w:rsidRPr="00FD211F">
        <w:rPr>
          <w:sz w:val="36"/>
          <w:szCs w:val="36"/>
          <w:rtl/>
        </w:rPr>
        <w:t>" لكنه خلاف الظاهر</w:t>
      </w:r>
      <w:r w:rsidR="00603323" w:rsidRPr="00FD211F">
        <w:rPr>
          <w:sz w:val="36"/>
          <w:szCs w:val="36"/>
          <w:rtl/>
        </w:rPr>
        <w:t xml:space="preserve">، </w:t>
      </w:r>
      <w:r w:rsidRPr="00FD211F">
        <w:rPr>
          <w:sz w:val="36"/>
          <w:szCs w:val="36"/>
          <w:rtl/>
        </w:rPr>
        <w:t xml:space="preserve">وعليه فلو كان يملك عبدين اسم كل منهما غانم فقال للمشتري </w:t>
      </w:r>
      <w:r w:rsidR="003864C9" w:rsidRPr="00FD211F">
        <w:rPr>
          <w:sz w:val="36"/>
          <w:szCs w:val="36"/>
          <w:rtl/>
        </w:rPr>
        <w:t>"</w:t>
      </w:r>
      <w:r w:rsidRPr="00FD211F">
        <w:rPr>
          <w:sz w:val="36"/>
          <w:szCs w:val="36"/>
          <w:rtl/>
        </w:rPr>
        <w:t>بعتك غانما بدرهمين</w:t>
      </w:r>
      <w:r w:rsidR="003864C9" w:rsidRPr="00FD211F">
        <w:rPr>
          <w:sz w:val="36"/>
          <w:szCs w:val="36"/>
          <w:rtl/>
        </w:rPr>
        <w:t>"</w:t>
      </w:r>
      <w:r w:rsidR="00603323" w:rsidRPr="00FD211F">
        <w:rPr>
          <w:sz w:val="36"/>
          <w:szCs w:val="36"/>
          <w:rtl/>
        </w:rPr>
        <w:t xml:space="preserve">، </w:t>
      </w:r>
      <w:r w:rsidRPr="00FD211F">
        <w:rPr>
          <w:sz w:val="36"/>
          <w:szCs w:val="36"/>
          <w:rtl/>
        </w:rPr>
        <w:t>فان استعمل لفظ غانم في كل منهما باستقلاله فيكون في قو</w:t>
      </w:r>
      <w:r w:rsidR="00EC7EDF" w:rsidRPr="00FD211F">
        <w:rPr>
          <w:sz w:val="36"/>
          <w:szCs w:val="36"/>
          <w:rtl/>
        </w:rPr>
        <w:t xml:space="preserve">ة </w:t>
      </w:r>
      <w:r w:rsidRPr="00FD211F">
        <w:rPr>
          <w:sz w:val="36"/>
          <w:szCs w:val="36"/>
          <w:rtl/>
        </w:rPr>
        <w:t>ان يقول</w:t>
      </w:r>
      <w:r w:rsidR="003864C9" w:rsidRPr="00FD211F">
        <w:rPr>
          <w:sz w:val="36"/>
          <w:szCs w:val="36"/>
          <w:rtl/>
        </w:rPr>
        <w:t>"</w:t>
      </w:r>
      <w:r w:rsidRPr="00FD211F">
        <w:rPr>
          <w:sz w:val="36"/>
          <w:szCs w:val="36"/>
          <w:rtl/>
        </w:rPr>
        <w:t xml:space="preserve"> بعتك هذا العبد بدرهمين</w:t>
      </w:r>
      <w:r w:rsidR="00603323" w:rsidRPr="00FD211F">
        <w:rPr>
          <w:sz w:val="36"/>
          <w:szCs w:val="36"/>
          <w:rtl/>
        </w:rPr>
        <w:t xml:space="preserve">، </w:t>
      </w:r>
      <w:r w:rsidRPr="00FD211F">
        <w:rPr>
          <w:sz w:val="36"/>
          <w:szCs w:val="36"/>
          <w:rtl/>
        </w:rPr>
        <w:t>بعتك ذاك العبد بدرهمين</w:t>
      </w:r>
      <w:r w:rsidR="003864C9" w:rsidRPr="00FD211F">
        <w:rPr>
          <w:sz w:val="36"/>
          <w:szCs w:val="36"/>
          <w:rtl/>
        </w:rPr>
        <w:t>"</w:t>
      </w:r>
      <w:r w:rsidR="00603323" w:rsidRPr="00FD211F">
        <w:rPr>
          <w:sz w:val="36"/>
          <w:szCs w:val="36"/>
          <w:rtl/>
        </w:rPr>
        <w:t xml:space="preserve">، </w:t>
      </w:r>
      <w:r w:rsidRPr="00FD211F">
        <w:rPr>
          <w:sz w:val="36"/>
          <w:szCs w:val="36"/>
          <w:rtl/>
        </w:rPr>
        <w:t>وليس في قو</w:t>
      </w:r>
      <w:r w:rsidR="00EC7EDF" w:rsidRPr="00FD211F">
        <w:rPr>
          <w:sz w:val="36"/>
          <w:szCs w:val="36"/>
          <w:rtl/>
        </w:rPr>
        <w:t xml:space="preserve">ة </w:t>
      </w:r>
      <w:r w:rsidRPr="00FD211F">
        <w:rPr>
          <w:sz w:val="36"/>
          <w:szCs w:val="36"/>
          <w:rtl/>
        </w:rPr>
        <w:t>ان يقول</w:t>
      </w:r>
      <w:r w:rsidR="003864C9" w:rsidRPr="00FD211F">
        <w:rPr>
          <w:sz w:val="36"/>
          <w:szCs w:val="36"/>
          <w:rtl/>
        </w:rPr>
        <w:t>"</w:t>
      </w:r>
      <w:r w:rsidRPr="00FD211F">
        <w:rPr>
          <w:sz w:val="36"/>
          <w:szCs w:val="36"/>
          <w:rtl/>
        </w:rPr>
        <w:t xml:space="preserve"> بعتك هذا العبد وذاك العبد بدرهمين</w:t>
      </w:r>
      <w:r w:rsidR="003864C9" w:rsidRPr="00FD211F">
        <w:rPr>
          <w:sz w:val="36"/>
          <w:szCs w:val="36"/>
          <w:rtl/>
        </w:rPr>
        <w:t>"</w:t>
      </w:r>
      <w:r w:rsidRPr="00FD211F">
        <w:rPr>
          <w:sz w:val="36"/>
          <w:szCs w:val="36"/>
          <w:rtl/>
        </w:rPr>
        <w:t xml:space="preserve"> حتى يقال بان ظاهره كون ثمن المجموع درهمين</w:t>
      </w:r>
      <w:r w:rsidR="00603323" w:rsidRPr="00FD211F">
        <w:rPr>
          <w:sz w:val="36"/>
          <w:szCs w:val="36"/>
          <w:rtl/>
        </w:rPr>
        <w:t xml:space="preserve">، </w:t>
      </w:r>
      <w:r w:rsidRPr="00FD211F">
        <w:rPr>
          <w:sz w:val="36"/>
          <w:szCs w:val="36"/>
          <w:rtl/>
        </w:rPr>
        <w:t xml:space="preserve">اذ يوجد فرق بين استخدام حرف العطف في قوله </w:t>
      </w:r>
      <w:r w:rsidR="003864C9" w:rsidRPr="00FD211F">
        <w:rPr>
          <w:sz w:val="36"/>
          <w:szCs w:val="36"/>
          <w:rtl/>
        </w:rPr>
        <w:t>"</w:t>
      </w:r>
      <w:r w:rsidRPr="00FD211F">
        <w:rPr>
          <w:sz w:val="36"/>
          <w:szCs w:val="36"/>
          <w:rtl/>
        </w:rPr>
        <w:t>بعتك هذا العبد وذاك العبد بدرهمين</w:t>
      </w:r>
      <w:r w:rsidR="003864C9" w:rsidRPr="00FD211F">
        <w:rPr>
          <w:sz w:val="36"/>
          <w:szCs w:val="36"/>
          <w:rtl/>
        </w:rPr>
        <w:t>"</w:t>
      </w:r>
      <w:r w:rsidRPr="00FD211F">
        <w:rPr>
          <w:sz w:val="36"/>
          <w:szCs w:val="36"/>
          <w:rtl/>
        </w:rPr>
        <w:t xml:space="preserve"> وبين المقام</w:t>
      </w:r>
      <w:r w:rsidR="00603323" w:rsidRPr="00FD211F">
        <w:rPr>
          <w:sz w:val="36"/>
          <w:szCs w:val="36"/>
          <w:rtl/>
        </w:rPr>
        <w:t xml:space="preserve">، </w:t>
      </w:r>
      <w:r w:rsidRPr="00FD211F">
        <w:rPr>
          <w:sz w:val="36"/>
          <w:szCs w:val="36"/>
          <w:rtl/>
        </w:rPr>
        <w:t xml:space="preserve">فان استعمال لفظ غانم في كل واحد من العبدين باستقلاله في قوله </w:t>
      </w:r>
      <w:r w:rsidR="003864C9" w:rsidRPr="00FD211F">
        <w:rPr>
          <w:sz w:val="36"/>
          <w:szCs w:val="36"/>
          <w:rtl/>
        </w:rPr>
        <w:t>"</w:t>
      </w:r>
      <w:r w:rsidRPr="00FD211F">
        <w:rPr>
          <w:sz w:val="36"/>
          <w:szCs w:val="36"/>
          <w:rtl/>
        </w:rPr>
        <w:t xml:space="preserve">بعتك غانما بدرهمين </w:t>
      </w:r>
      <w:r w:rsidR="003864C9" w:rsidRPr="00FD211F">
        <w:rPr>
          <w:sz w:val="36"/>
          <w:szCs w:val="36"/>
          <w:rtl/>
        </w:rPr>
        <w:t>"</w:t>
      </w:r>
      <w:r w:rsidRPr="00FD211F">
        <w:rPr>
          <w:sz w:val="36"/>
          <w:szCs w:val="36"/>
          <w:rtl/>
        </w:rPr>
        <w:t>يعني ان ما تعلق بغانم من بيعه وجعل ثمن بإزاءه لوحظ مر</w:t>
      </w:r>
      <w:r w:rsidR="00EC7EDF" w:rsidRPr="00FD211F">
        <w:rPr>
          <w:sz w:val="36"/>
          <w:szCs w:val="36"/>
          <w:rtl/>
        </w:rPr>
        <w:t xml:space="preserve">ة </w:t>
      </w:r>
      <w:r w:rsidRPr="00FD211F">
        <w:rPr>
          <w:sz w:val="36"/>
          <w:szCs w:val="36"/>
          <w:rtl/>
        </w:rPr>
        <w:t>بالإضاف</w:t>
      </w:r>
      <w:r w:rsidR="00EC7EDF" w:rsidRPr="00FD211F">
        <w:rPr>
          <w:sz w:val="36"/>
          <w:szCs w:val="36"/>
          <w:rtl/>
        </w:rPr>
        <w:t xml:space="preserve">ة </w:t>
      </w:r>
      <w:r w:rsidRPr="00FD211F">
        <w:rPr>
          <w:sz w:val="36"/>
          <w:szCs w:val="36"/>
          <w:rtl/>
        </w:rPr>
        <w:t>الى هذا العبد ولوحظ مر</w:t>
      </w:r>
      <w:r w:rsidR="00EC7EDF" w:rsidRPr="00FD211F">
        <w:rPr>
          <w:sz w:val="36"/>
          <w:szCs w:val="36"/>
          <w:rtl/>
        </w:rPr>
        <w:t xml:space="preserve">ة </w:t>
      </w:r>
      <w:r w:rsidRPr="00FD211F">
        <w:rPr>
          <w:sz w:val="36"/>
          <w:szCs w:val="36"/>
          <w:rtl/>
        </w:rPr>
        <w:t>أخرى بالإضاف</w:t>
      </w:r>
      <w:r w:rsidR="00EC7EDF" w:rsidRPr="00FD211F">
        <w:rPr>
          <w:sz w:val="36"/>
          <w:szCs w:val="36"/>
          <w:rtl/>
        </w:rPr>
        <w:t xml:space="preserve">ة </w:t>
      </w:r>
      <w:r w:rsidRPr="00FD211F">
        <w:rPr>
          <w:sz w:val="36"/>
          <w:szCs w:val="36"/>
          <w:rtl/>
        </w:rPr>
        <w:t>الى العبد الآخر فيكون في قو</w:t>
      </w:r>
      <w:r w:rsidR="00EC7EDF" w:rsidRPr="00FD211F">
        <w:rPr>
          <w:sz w:val="36"/>
          <w:szCs w:val="36"/>
          <w:rtl/>
        </w:rPr>
        <w:t xml:space="preserve">ة </w:t>
      </w:r>
      <w:r w:rsidR="003864C9" w:rsidRPr="00FD211F">
        <w:rPr>
          <w:sz w:val="36"/>
          <w:szCs w:val="36"/>
          <w:rtl/>
        </w:rPr>
        <w:t>ان ي</w:t>
      </w:r>
      <w:r w:rsidR="00D77E09" w:rsidRPr="00FD211F">
        <w:rPr>
          <w:sz w:val="36"/>
          <w:szCs w:val="36"/>
          <w:rtl/>
        </w:rPr>
        <w:t>قول"</w:t>
      </w:r>
      <w:r w:rsidRPr="00FD211F">
        <w:rPr>
          <w:sz w:val="36"/>
          <w:szCs w:val="36"/>
          <w:rtl/>
        </w:rPr>
        <w:t xml:space="preserve"> بعتك هذا العبد بدرهمين</w:t>
      </w:r>
      <w:r w:rsidR="00603323" w:rsidRPr="00FD211F">
        <w:rPr>
          <w:sz w:val="36"/>
          <w:szCs w:val="36"/>
          <w:rtl/>
        </w:rPr>
        <w:t xml:space="preserve">، </w:t>
      </w:r>
      <w:r w:rsidRPr="00FD211F">
        <w:rPr>
          <w:sz w:val="36"/>
          <w:szCs w:val="36"/>
          <w:rtl/>
        </w:rPr>
        <w:t>بعتك ذاك العبد بدرهمين</w:t>
      </w:r>
      <w:r w:rsidR="00D77E09" w:rsidRPr="00FD211F">
        <w:rPr>
          <w:sz w:val="36"/>
          <w:szCs w:val="36"/>
          <w:rtl/>
        </w:rPr>
        <w:t>"</w:t>
      </w:r>
      <w:r w:rsidRPr="00FD211F">
        <w:rPr>
          <w:sz w:val="36"/>
          <w:szCs w:val="36"/>
          <w:rtl/>
        </w:rPr>
        <w:t>.</w:t>
      </w:r>
    </w:p>
    <w:p w14:paraId="6656160C" w14:textId="77777777" w:rsidR="00052BF2" w:rsidRPr="00FD211F" w:rsidRDefault="00052BF2" w:rsidP="009C58C8">
      <w:pPr>
        <w:ind w:left="0" w:firstLine="227"/>
        <w:jc w:val="both"/>
        <w:rPr>
          <w:sz w:val="36"/>
          <w:szCs w:val="36"/>
          <w:rtl/>
        </w:rPr>
      </w:pPr>
      <w:r w:rsidRPr="00FD211F">
        <w:rPr>
          <w:sz w:val="36"/>
          <w:szCs w:val="36"/>
          <w:rtl/>
        </w:rPr>
        <w:t>هذا كله في فرض استعمال اللفظ في كل من المعنيين بالاستقلال</w:t>
      </w:r>
      <w:r w:rsidR="00603323" w:rsidRPr="00FD211F">
        <w:rPr>
          <w:sz w:val="36"/>
          <w:szCs w:val="36"/>
          <w:rtl/>
        </w:rPr>
        <w:t xml:space="preserve">، </w:t>
      </w:r>
      <w:r w:rsidRPr="00FD211F">
        <w:rPr>
          <w:sz w:val="36"/>
          <w:szCs w:val="36"/>
          <w:rtl/>
        </w:rPr>
        <w:t>وأما لو استعمل اللفظ في المعنى المركب كما لو استعمل لفظ العين في المعنى المركب من الذهب والفض</w:t>
      </w:r>
      <w:r w:rsidR="00EC7EDF" w:rsidRPr="00FD211F">
        <w:rPr>
          <w:sz w:val="36"/>
          <w:szCs w:val="36"/>
          <w:rtl/>
        </w:rPr>
        <w:t xml:space="preserve">ة </w:t>
      </w:r>
      <w:r w:rsidRPr="00FD211F">
        <w:rPr>
          <w:sz w:val="36"/>
          <w:szCs w:val="36"/>
          <w:rtl/>
        </w:rPr>
        <w:t>فلايمكن ان يكون وجوب الإتيان بالذهب او وجوب الاتيان بالفض</w:t>
      </w:r>
      <w:r w:rsidR="00EC7EDF" w:rsidRPr="00FD211F">
        <w:rPr>
          <w:sz w:val="36"/>
          <w:szCs w:val="36"/>
          <w:rtl/>
        </w:rPr>
        <w:t xml:space="preserve">ة </w:t>
      </w:r>
      <w:r w:rsidRPr="00FD211F">
        <w:rPr>
          <w:sz w:val="36"/>
          <w:szCs w:val="36"/>
          <w:rtl/>
        </w:rPr>
        <w:t>استقلاليا الا بان يقدر كلم</w:t>
      </w:r>
      <w:r w:rsidR="00EC7EDF" w:rsidRPr="00FD211F">
        <w:rPr>
          <w:sz w:val="36"/>
          <w:szCs w:val="36"/>
          <w:rtl/>
        </w:rPr>
        <w:t xml:space="preserve">ة </w:t>
      </w:r>
      <w:r w:rsidRPr="00FD211F">
        <w:rPr>
          <w:sz w:val="36"/>
          <w:szCs w:val="36"/>
          <w:rtl/>
        </w:rPr>
        <w:t>الأجزاء فيراد من قوله "جئني بالعين" "جئني بأجزاء العين" فما</w:t>
      </w:r>
      <w:r w:rsidR="008D7B3D" w:rsidRPr="00FD211F">
        <w:rPr>
          <w:sz w:val="36"/>
          <w:szCs w:val="36"/>
          <w:rtl/>
        </w:rPr>
        <w:t xml:space="preserve"> لم‌</w:t>
      </w:r>
      <w:r w:rsidRPr="00FD211F">
        <w:rPr>
          <w:sz w:val="36"/>
          <w:szCs w:val="36"/>
          <w:rtl/>
        </w:rPr>
        <w:t>يقدر كلم</w:t>
      </w:r>
      <w:r w:rsidR="00EC7EDF" w:rsidRPr="00FD211F">
        <w:rPr>
          <w:sz w:val="36"/>
          <w:szCs w:val="36"/>
          <w:rtl/>
        </w:rPr>
        <w:t xml:space="preserve">ة </w:t>
      </w:r>
      <w:r w:rsidRPr="00FD211F">
        <w:rPr>
          <w:sz w:val="36"/>
          <w:szCs w:val="36"/>
          <w:rtl/>
        </w:rPr>
        <w:t>الأجزاء فلايمكن ان يتعلق الأمر باستقلاله بها</w:t>
      </w:r>
      <w:r w:rsidR="00603323" w:rsidRPr="00FD211F">
        <w:rPr>
          <w:sz w:val="36"/>
          <w:szCs w:val="36"/>
          <w:rtl/>
        </w:rPr>
        <w:t xml:space="preserve">، </w:t>
      </w:r>
      <w:r w:rsidRPr="00FD211F">
        <w:rPr>
          <w:sz w:val="36"/>
          <w:szCs w:val="36"/>
          <w:rtl/>
        </w:rPr>
        <w:t>اذ ليس في لحاظ المتكلم الذهب وحده أيضا او الفض</w:t>
      </w:r>
      <w:r w:rsidR="00EC7EDF" w:rsidRPr="00FD211F">
        <w:rPr>
          <w:sz w:val="36"/>
          <w:szCs w:val="36"/>
          <w:rtl/>
        </w:rPr>
        <w:t xml:space="preserve">ة </w:t>
      </w:r>
      <w:r w:rsidRPr="00FD211F">
        <w:rPr>
          <w:sz w:val="36"/>
          <w:szCs w:val="36"/>
          <w:rtl/>
        </w:rPr>
        <w:t>وحدها ايضا</w:t>
      </w:r>
      <w:r w:rsidR="00603323" w:rsidRPr="00FD211F">
        <w:rPr>
          <w:sz w:val="36"/>
          <w:szCs w:val="36"/>
          <w:rtl/>
        </w:rPr>
        <w:t xml:space="preserve">، </w:t>
      </w:r>
      <w:r w:rsidRPr="00FD211F">
        <w:rPr>
          <w:sz w:val="36"/>
          <w:szCs w:val="36"/>
          <w:rtl/>
        </w:rPr>
        <w:t>حتى يكون الإتيان بالعين صادقا بنظره على الإتيان بأي منهما وحده</w:t>
      </w:r>
      <w:r w:rsidR="00603323" w:rsidRPr="00FD211F">
        <w:rPr>
          <w:sz w:val="36"/>
          <w:szCs w:val="36"/>
          <w:rtl/>
        </w:rPr>
        <w:t xml:space="preserve">، </w:t>
      </w:r>
      <w:r w:rsidRPr="00FD211F">
        <w:rPr>
          <w:sz w:val="36"/>
          <w:szCs w:val="36"/>
          <w:rtl/>
        </w:rPr>
        <w:t xml:space="preserve">فيكون المقام نظير ما لو قال المولى </w:t>
      </w:r>
      <w:r w:rsidR="00D77E09" w:rsidRPr="00FD211F">
        <w:rPr>
          <w:sz w:val="36"/>
          <w:szCs w:val="36"/>
          <w:rtl/>
        </w:rPr>
        <w:t>"</w:t>
      </w:r>
      <w:r w:rsidRPr="00FD211F">
        <w:rPr>
          <w:sz w:val="36"/>
          <w:szCs w:val="36"/>
          <w:rtl/>
        </w:rPr>
        <w:t>ارسم سريرا</w:t>
      </w:r>
      <w:r w:rsidR="00D77E09" w:rsidRPr="00FD211F">
        <w:rPr>
          <w:sz w:val="36"/>
          <w:szCs w:val="36"/>
          <w:rtl/>
        </w:rPr>
        <w:t>"</w:t>
      </w:r>
      <w:r w:rsidRPr="00FD211F">
        <w:rPr>
          <w:sz w:val="36"/>
          <w:szCs w:val="36"/>
          <w:rtl/>
        </w:rPr>
        <w:t xml:space="preserve"> فانه لايعقل كون الأمر برسم السرير منحلا الى اوامر استقلالي</w:t>
      </w:r>
      <w:r w:rsidR="00EC7EDF" w:rsidRPr="00FD211F">
        <w:rPr>
          <w:sz w:val="36"/>
          <w:szCs w:val="36"/>
          <w:rtl/>
        </w:rPr>
        <w:t xml:space="preserve">ة </w:t>
      </w:r>
      <w:r w:rsidRPr="00FD211F">
        <w:rPr>
          <w:sz w:val="36"/>
          <w:szCs w:val="36"/>
          <w:rtl/>
        </w:rPr>
        <w:t>برسم اجزاء السرير مالم يقدر المولى كلم</w:t>
      </w:r>
      <w:r w:rsidR="00EC7EDF" w:rsidRPr="00FD211F">
        <w:rPr>
          <w:sz w:val="36"/>
          <w:szCs w:val="36"/>
          <w:rtl/>
        </w:rPr>
        <w:t xml:space="preserve">ة </w:t>
      </w:r>
      <w:r w:rsidRPr="00FD211F">
        <w:rPr>
          <w:sz w:val="36"/>
          <w:szCs w:val="36"/>
          <w:rtl/>
        </w:rPr>
        <w:t>الأجزاء بان يقصد الأمر برسم اجزاء السرير</w:t>
      </w:r>
      <w:r w:rsidR="00603323" w:rsidRPr="00FD211F">
        <w:rPr>
          <w:sz w:val="36"/>
          <w:szCs w:val="36"/>
          <w:rtl/>
        </w:rPr>
        <w:t xml:space="preserve">، </w:t>
      </w:r>
      <w:r w:rsidRPr="00FD211F">
        <w:rPr>
          <w:sz w:val="36"/>
          <w:szCs w:val="36"/>
          <w:rtl/>
        </w:rPr>
        <w:t>فلو قدر ذلك امكن ثبوتا تعلق الأمر الاستقلالي برسم كل جزء من اجزاء السرير بحيث لو رسم جزء منه امتثل الأمر به واستحق الجعل المعين له بالنسب</w:t>
      </w:r>
      <w:r w:rsidR="00EC7EDF" w:rsidRPr="00FD211F">
        <w:rPr>
          <w:sz w:val="36"/>
          <w:szCs w:val="36"/>
          <w:rtl/>
        </w:rPr>
        <w:t>ة</w:t>
      </w:r>
      <w:r w:rsidR="00A61BAE" w:rsidRPr="00FD211F">
        <w:rPr>
          <w:sz w:val="36"/>
          <w:szCs w:val="36"/>
          <w:rtl/>
        </w:rPr>
        <w:t>.</w:t>
      </w:r>
    </w:p>
    <w:p w14:paraId="0F98A926" w14:textId="77777777" w:rsidR="00052BF2" w:rsidRPr="00FD211F" w:rsidRDefault="00052BF2" w:rsidP="009C58C8">
      <w:pPr>
        <w:ind w:left="0" w:firstLine="227"/>
        <w:jc w:val="both"/>
        <w:rPr>
          <w:sz w:val="36"/>
          <w:szCs w:val="36"/>
          <w:rtl/>
        </w:rPr>
      </w:pPr>
      <w:r w:rsidRPr="00FD211F">
        <w:rPr>
          <w:b/>
          <w:bCs/>
          <w:sz w:val="36"/>
          <w:szCs w:val="36"/>
          <w:rtl/>
        </w:rPr>
        <w:t>الجه</w:t>
      </w:r>
      <w:r w:rsidR="00EC7EDF" w:rsidRPr="00FD211F">
        <w:rPr>
          <w:b/>
          <w:bCs/>
          <w:sz w:val="36"/>
          <w:szCs w:val="36"/>
          <w:rtl/>
        </w:rPr>
        <w:t xml:space="preserve">ة </w:t>
      </w: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Pr="00FD211F">
        <w:rPr>
          <w:sz w:val="36"/>
          <w:szCs w:val="36"/>
          <w:rtl/>
        </w:rPr>
        <w:t xml:space="preserve"> يقع الكلام في امكان استعمال اللفظ في اكثر من معنى واحد وعدمه</w:t>
      </w:r>
      <w:r w:rsidR="00603323" w:rsidRPr="00FD211F">
        <w:rPr>
          <w:sz w:val="36"/>
          <w:szCs w:val="36"/>
          <w:rtl/>
        </w:rPr>
        <w:t xml:space="preserve">، </w:t>
      </w:r>
      <w:r w:rsidRPr="00FD211F">
        <w:rPr>
          <w:sz w:val="36"/>
          <w:szCs w:val="36"/>
          <w:rtl/>
        </w:rPr>
        <w:t>فنسب الى المشهور استحال</w:t>
      </w:r>
      <w:r w:rsidR="00EC7EDF" w:rsidRPr="00FD211F">
        <w:rPr>
          <w:sz w:val="36"/>
          <w:szCs w:val="36"/>
          <w:rtl/>
        </w:rPr>
        <w:t xml:space="preserve">ة </w:t>
      </w:r>
      <w:r w:rsidRPr="00FD211F">
        <w:rPr>
          <w:sz w:val="36"/>
          <w:szCs w:val="36"/>
          <w:rtl/>
        </w:rPr>
        <w:t>ذلك وقد استدل عليه بعد</w:t>
      </w:r>
      <w:r w:rsidR="00EC7EDF" w:rsidRPr="00FD211F">
        <w:rPr>
          <w:sz w:val="36"/>
          <w:szCs w:val="36"/>
          <w:rtl/>
        </w:rPr>
        <w:t xml:space="preserve">ة </w:t>
      </w:r>
      <w:r w:rsidRPr="00FD211F">
        <w:rPr>
          <w:sz w:val="36"/>
          <w:szCs w:val="36"/>
          <w:rtl/>
        </w:rPr>
        <w:t>وجوه:</w:t>
      </w:r>
    </w:p>
    <w:p w14:paraId="6E9DC1A9" w14:textId="77777777" w:rsidR="00052BF2" w:rsidRPr="00FD211F" w:rsidRDefault="00052BF2" w:rsidP="009C58C8">
      <w:pPr>
        <w:ind w:left="0" w:firstLine="227"/>
        <w:jc w:val="both"/>
        <w:rPr>
          <w:sz w:val="36"/>
          <w:szCs w:val="36"/>
          <w:rtl/>
        </w:rPr>
      </w:pPr>
      <w:r w:rsidRPr="00FD211F">
        <w:rPr>
          <w:sz w:val="36"/>
          <w:szCs w:val="36"/>
          <w:rtl/>
        </w:rPr>
        <w:t>1- ما ذكره صاحب الكفاي</w:t>
      </w:r>
      <w:r w:rsidR="00EC7EDF" w:rsidRPr="00FD211F">
        <w:rPr>
          <w:sz w:val="36"/>
          <w:szCs w:val="36"/>
          <w:rtl/>
        </w:rPr>
        <w:t xml:space="preserve">ة </w:t>
      </w:r>
      <w:r w:rsidR="006E407F" w:rsidRPr="00FD211F">
        <w:rPr>
          <w:sz w:val="36"/>
          <w:szCs w:val="36"/>
          <w:rtl/>
        </w:rPr>
        <w:t>"</w:t>
      </w:r>
      <w:r w:rsidRPr="00FD211F">
        <w:rPr>
          <w:sz w:val="36"/>
          <w:szCs w:val="36"/>
          <w:rtl/>
        </w:rPr>
        <w:t>قده</w:t>
      </w:r>
      <w:r w:rsidR="006E407F" w:rsidRPr="00FD211F">
        <w:rPr>
          <w:sz w:val="36"/>
          <w:szCs w:val="36"/>
          <w:rtl/>
        </w:rPr>
        <w:t>"</w:t>
      </w:r>
      <w:r w:rsidRPr="00FD211F">
        <w:rPr>
          <w:sz w:val="36"/>
          <w:szCs w:val="36"/>
          <w:rtl/>
        </w:rPr>
        <w:t xml:space="preserve"> من انه بناء على ما هو الصحيح من ان استعمال اللفظ في المعنى يكون بلحاظه فانيا في المعنى بحيث يلحظ كانه هو المعنى</w:t>
      </w:r>
      <w:r w:rsidR="00603323" w:rsidRPr="00FD211F">
        <w:rPr>
          <w:sz w:val="36"/>
          <w:szCs w:val="36"/>
          <w:rtl/>
        </w:rPr>
        <w:t xml:space="preserve">، </w:t>
      </w:r>
      <w:r w:rsidRPr="00FD211F">
        <w:rPr>
          <w:sz w:val="36"/>
          <w:szCs w:val="36"/>
          <w:rtl/>
        </w:rPr>
        <w:t>وبإلقاءه كأنه قد ألقي المعنى فيستحيل استعمال اللفظ في معنيين</w:t>
      </w:r>
      <w:r w:rsidR="00603323" w:rsidRPr="00FD211F">
        <w:rPr>
          <w:sz w:val="36"/>
          <w:szCs w:val="36"/>
          <w:rtl/>
        </w:rPr>
        <w:t xml:space="preserve">، </w:t>
      </w:r>
      <w:r w:rsidRPr="00FD211F">
        <w:rPr>
          <w:sz w:val="36"/>
          <w:szCs w:val="36"/>
          <w:rtl/>
        </w:rPr>
        <w:t>حيث ان اللفظ لما كان يرى انه عين المعنى تصورا فلايمكن لحاظ اللفظ بلحاظ واحد مع اراد</w:t>
      </w:r>
      <w:r w:rsidR="00EC7EDF" w:rsidRPr="00FD211F">
        <w:rPr>
          <w:sz w:val="36"/>
          <w:szCs w:val="36"/>
          <w:rtl/>
        </w:rPr>
        <w:t xml:space="preserve">ة </w:t>
      </w:r>
      <w:r w:rsidRPr="00FD211F">
        <w:rPr>
          <w:sz w:val="36"/>
          <w:szCs w:val="36"/>
          <w:rtl/>
        </w:rPr>
        <w:t>معنيين متعددين منه</w:t>
      </w:r>
      <w:r w:rsidR="00603323" w:rsidRPr="00FD211F">
        <w:rPr>
          <w:sz w:val="36"/>
          <w:szCs w:val="36"/>
          <w:rtl/>
        </w:rPr>
        <w:t xml:space="preserve">، </w:t>
      </w:r>
      <w:r w:rsidRPr="00FD211F">
        <w:rPr>
          <w:sz w:val="36"/>
          <w:szCs w:val="36"/>
          <w:rtl/>
        </w:rPr>
        <w:t>الا اذا كان المتكلم احول العين فيرى اللفظ الواحد لفظين</w:t>
      </w:r>
      <w:r w:rsidR="00603323" w:rsidRPr="00FD211F">
        <w:rPr>
          <w:sz w:val="36"/>
          <w:szCs w:val="36"/>
          <w:rtl/>
        </w:rPr>
        <w:t xml:space="preserve">، </w:t>
      </w:r>
      <w:r w:rsidRPr="00FD211F">
        <w:rPr>
          <w:sz w:val="36"/>
          <w:szCs w:val="36"/>
          <w:rtl/>
        </w:rPr>
        <w:t>نعم بناء على كون اللفظ علام</w:t>
      </w:r>
      <w:r w:rsidR="00EC7EDF" w:rsidRPr="00FD211F">
        <w:rPr>
          <w:sz w:val="36"/>
          <w:szCs w:val="36"/>
          <w:rtl/>
        </w:rPr>
        <w:t xml:space="preserve">ة </w:t>
      </w:r>
      <w:r w:rsidRPr="00FD211F">
        <w:rPr>
          <w:sz w:val="36"/>
          <w:szCs w:val="36"/>
          <w:rtl/>
        </w:rPr>
        <w:t xml:space="preserve">على المعنى فاستعمال اللفظ في اكثر من معنى واحد ممكن اذ لامانع من كون </w:t>
      </w:r>
      <w:r w:rsidR="008D7B3D" w:rsidRPr="00FD211F">
        <w:rPr>
          <w:sz w:val="36"/>
          <w:szCs w:val="36"/>
          <w:rtl/>
        </w:rPr>
        <w:t xml:space="preserve">شيء </w:t>
      </w:r>
      <w:r w:rsidRPr="00FD211F">
        <w:rPr>
          <w:sz w:val="36"/>
          <w:szCs w:val="36"/>
          <w:rtl/>
        </w:rPr>
        <w:t>واحد علام</w:t>
      </w:r>
      <w:r w:rsidR="00EC7EDF" w:rsidRPr="00FD211F">
        <w:rPr>
          <w:sz w:val="36"/>
          <w:szCs w:val="36"/>
          <w:rtl/>
        </w:rPr>
        <w:t xml:space="preserve">ة </w:t>
      </w:r>
      <w:r w:rsidRPr="00FD211F">
        <w:rPr>
          <w:sz w:val="36"/>
          <w:szCs w:val="36"/>
          <w:rtl/>
        </w:rPr>
        <w:t>لشيئين كوضع علم خاص على مكان ليدل على انه رأس الفرسخ مثلا وانه في المنطق</w:t>
      </w:r>
      <w:r w:rsidR="00EC7EDF" w:rsidRPr="00FD211F">
        <w:rPr>
          <w:sz w:val="36"/>
          <w:szCs w:val="36"/>
          <w:rtl/>
        </w:rPr>
        <w:t xml:space="preserve">ة </w:t>
      </w:r>
      <w:r w:rsidRPr="00FD211F">
        <w:rPr>
          <w:sz w:val="36"/>
          <w:szCs w:val="36"/>
          <w:rtl/>
        </w:rPr>
        <w:t>الفلاني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56"/>
      </w:r>
      <w:r w:rsidR="009C58C8" w:rsidRPr="00FD211F">
        <w:rPr>
          <w:rStyle w:val="a6"/>
          <w:sz w:val="36"/>
          <w:szCs w:val="36"/>
          <w:rtl/>
        </w:rPr>
        <w:t>)</w:t>
      </w:r>
      <w:r w:rsidRPr="00FD211F">
        <w:rPr>
          <w:sz w:val="36"/>
          <w:szCs w:val="36"/>
          <w:rtl/>
        </w:rPr>
        <w:t>.</w:t>
      </w:r>
    </w:p>
    <w:p w14:paraId="351B6CB4" w14:textId="77777777" w:rsidR="000C5BBA" w:rsidRPr="00FD211F" w:rsidRDefault="00052BF2" w:rsidP="009C58C8">
      <w:pPr>
        <w:ind w:left="0" w:firstLine="227"/>
        <w:jc w:val="both"/>
        <w:rPr>
          <w:sz w:val="36"/>
          <w:szCs w:val="36"/>
          <w:rtl/>
        </w:rPr>
      </w:pPr>
      <w:r w:rsidRPr="00FD211F">
        <w:rPr>
          <w:sz w:val="36"/>
          <w:szCs w:val="36"/>
          <w:rtl/>
        </w:rPr>
        <w:t>وهذا الوجه ان تمّ بلحاظ المبنى صح ما ذكره صاحب الكفاي</w:t>
      </w:r>
      <w:r w:rsidR="00EC7EDF" w:rsidRPr="00FD211F">
        <w:rPr>
          <w:sz w:val="36"/>
          <w:szCs w:val="36"/>
          <w:rtl/>
        </w:rPr>
        <w:t xml:space="preserve">ة </w:t>
      </w:r>
      <w:r w:rsidRPr="00FD211F">
        <w:rPr>
          <w:sz w:val="36"/>
          <w:szCs w:val="36"/>
          <w:rtl/>
        </w:rPr>
        <w:t>من استلزام ذلك استحال</w:t>
      </w:r>
      <w:r w:rsidR="00EC7EDF" w:rsidRPr="00FD211F">
        <w:rPr>
          <w:sz w:val="36"/>
          <w:szCs w:val="36"/>
          <w:rtl/>
        </w:rPr>
        <w:t xml:space="preserve">ة </w:t>
      </w:r>
      <w:r w:rsidRPr="00FD211F">
        <w:rPr>
          <w:sz w:val="36"/>
          <w:szCs w:val="36"/>
          <w:rtl/>
        </w:rPr>
        <w:t>استعمال اللفظ في اكثر من معنى واحد</w:t>
      </w:r>
      <w:r w:rsidR="00603323" w:rsidRPr="00FD211F">
        <w:rPr>
          <w:sz w:val="36"/>
          <w:szCs w:val="36"/>
          <w:rtl/>
        </w:rPr>
        <w:t xml:space="preserve">، </w:t>
      </w:r>
      <w:r w:rsidRPr="00FD211F">
        <w:rPr>
          <w:sz w:val="36"/>
          <w:szCs w:val="36"/>
          <w:rtl/>
        </w:rPr>
        <w:t>حيث ان لحاظ اللفظ بلحاظ واحد يكون خلف إفنائه في كل من المعنيين باستقلالهما</w:t>
      </w:r>
      <w:r w:rsidR="00603323" w:rsidRPr="00FD211F">
        <w:rPr>
          <w:sz w:val="36"/>
          <w:szCs w:val="36"/>
          <w:rtl/>
        </w:rPr>
        <w:t xml:space="preserve">، </w:t>
      </w:r>
      <w:r w:rsidRPr="00FD211F">
        <w:rPr>
          <w:sz w:val="36"/>
          <w:szCs w:val="36"/>
          <w:rtl/>
        </w:rPr>
        <w:t>وكيف يمكن لحاظ اللفظ بلحاظ واحد متحدا بالنظر الفنائي التصوري مع هذا المعنى باستقلاله وذاك المعنى باستقلاله</w:t>
      </w:r>
      <w:r w:rsidR="00603323" w:rsidRPr="00FD211F">
        <w:rPr>
          <w:sz w:val="36"/>
          <w:szCs w:val="36"/>
          <w:rtl/>
        </w:rPr>
        <w:t xml:space="preserve">، </w:t>
      </w:r>
      <w:r w:rsidRPr="00FD211F">
        <w:rPr>
          <w:sz w:val="36"/>
          <w:szCs w:val="36"/>
          <w:rtl/>
        </w:rPr>
        <w:t>فمناقشتنا في هذا الوجه تكون مبنائي</w:t>
      </w:r>
      <w:r w:rsidR="00EC7EDF" w:rsidRPr="00FD211F">
        <w:rPr>
          <w:sz w:val="36"/>
          <w:szCs w:val="36"/>
          <w:rtl/>
        </w:rPr>
        <w:t xml:space="preserve">ة </w:t>
      </w:r>
      <w:r w:rsidRPr="00FD211F">
        <w:rPr>
          <w:sz w:val="36"/>
          <w:szCs w:val="36"/>
          <w:rtl/>
        </w:rPr>
        <w:t>فانه ليس استعمال اللفظ في المعنى الا كاستعمال العلام</w:t>
      </w:r>
      <w:r w:rsidR="00EC7EDF" w:rsidRPr="00FD211F">
        <w:rPr>
          <w:sz w:val="36"/>
          <w:szCs w:val="36"/>
          <w:rtl/>
        </w:rPr>
        <w:t xml:space="preserve">ة </w:t>
      </w:r>
      <w:r w:rsidRPr="00FD211F">
        <w:rPr>
          <w:sz w:val="36"/>
          <w:szCs w:val="36"/>
          <w:rtl/>
        </w:rPr>
        <w:t>في ذيها</w:t>
      </w:r>
      <w:r w:rsidR="00603323" w:rsidRPr="00FD211F">
        <w:rPr>
          <w:sz w:val="36"/>
          <w:szCs w:val="36"/>
          <w:rtl/>
        </w:rPr>
        <w:t xml:space="preserve">، </w:t>
      </w:r>
      <w:r w:rsidRPr="00FD211F">
        <w:rPr>
          <w:sz w:val="36"/>
          <w:szCs w:val="36"/>
          <w:rtl/>
        </w:rPr>
        <w:t>فان اللفظ مجرد علام</w:t>
      </w:r>
      <w:r w:rsidR="00EC7EDF" w:rsidRPr="00FD211F">
        <w:rPr>
          <w:sz w:val="36"/>
          <w:szCs w:val="36"/>
          <w:rtl/>
        </w:rPr>
        <w:t xml:space="preserve">ة </w:t>
      </w:r>
      <w:r w:rsidRPr="00FD211F">
        <w:rPr>
          <w:sz w:val="36"/>
          <w:szCs w:val="36"/>
          <w:rtl/>
        </w:rPr>
        <w:t>على المعنى ولااساس لما ذهب اليه المشهور من ان استعمال اللفظ في المعنى هو بإفناءه فيه افناءً لحاظيا فكأنه بإلقاء اللفظ قد ألقي المعنى</w:t>
      </w:r>
      <w:r w:rsidR="00603323" w:rsidRPr="00FD211F">
        <w:rPr>
          <w:sz w:val="36"/>
          <w:szCs w:val="36"/>
          <w:rtl/>
        </w:rPr>
        <w:t xml:space="preserve">، </w:t>
      </w:r>
      <w:r w:rsidRPr="00FD211F">
        <w:rPr>
          <w:sz w:val="36"/>
          <w:szCs w:val="36"/>
          <w:rtl/>
        </w:rPr>
        <w:t>وما مر من كون المتعارف لحاظ اللفظ آليا وعدم الالتفات اليه تفصيلا فلاينافي لحاظ معنيين مستقلين من خلال لفظ واحد.</w:t>
      </w:r>
    </w:p>
    <w:p w14:paraId="7825F60D" w14:textId="77777777" w:rsidR="000C5BBA" w:rsidRPr="00FD211F" w:rsidRDefault="00052BF2" w:rsidP="009C58C8">
      <w:pPr>
        <w:ind w:left="0" w:firstLine="227"/>
        <w:jc w:val="both"/>
        <w:rPr>
          <w:sz w:val="36"/>
          <w:szCs w:val="36"/>
          <w:rtl/>
        </w:rPr>
      </w:pPr>
      <w:r w:rsidRPr="00FD211F">
        <w:rPr>
          <w:sz w:val="36"/>
          <w:szCs w:val="36"/>
          <w:rtl/>
        </w:rPr>
        <w:t>ومما يشهد على عدم تمامي</w:t>
      </w:r>
      <w:r w:rsidR="00EC7EDF" w:rsidRPr="00FD211F">
        <w:rPr>
          <w:sz w:val="36"/>
          <w:szCs w:val="36"/>
          <w:rtl/>
        </w:rPr>
        <w:t xml:space="preserve">ة </w:t>
      </w:r>
      <w:r w:rsidRPr="00FD211F">
        <w:rPr>
          <w:sz w:val="36"/>
          <w:szCs w:val="36"/>
          <w:rtl/>
        </w:rPr>
        <w:t>مبنى المشهور هو وقوع استعمال اللفظ في اكثر من معنى واحد في الكلمات</w:t>
      </w:r>
      <w:r w:rsidR="00603323" w:rsidRPr="00FD211F">
        <w:rPr>
          <w:sz w:val="36"/>
          <w:szCs w:val="36"/>
          <w:rtl/>
        </w:rPr>
        <w:t xml:space="preserve">، </w:t>
      </w:r>
      <w:r w:rsidRPr="00FD211F">
        <w:rPr>
          <w:sz w:val="36"/>
          <w:szCs w:val="36"/>
          <w:rtl/>
        </w:rPr>
        <w:t xml:space="preserve">فان أدلّ دليل على امكان </w:t>
      </w:r>
      <w:r w:rsidR="006E407F" w:rsidRPr="00FD211F">
        <w:rPr>
          <w:sz w:val="36"/>
          <w:szCs w:val="36"/>
          <w:rtl/>
        </w:rPr>
        <w:t>ال</w:t>
      </w:r>
      <w:r w:rsidR="008D7B3D" w:rsidRPr="00FD211F">
        <w:rPr>
          <w:sz w:val="36"/>
          <w:szCs w:val="36"/>
          <w:rtl/>
        </w:rPr>
        <w:t xml:space="preserve">شيء </w:t>
      </w:r>
      <w:r w:rsidRPr="00FD211F">
        <w:rPr>
          <w:sz w:val="36"/>
          <w:szCs w:val="36"/>
          <w:rtl/>
        </w:rPr>
        <w:t>وقوعه</w:t>
      </w:r>
      <w:r w:rsidR="00603323" w:rsidRPr="00FD211F">
        <w:rPr>
          <w:sz w:val="36"/>
          <w:szCs w:val="36"/>
          <w:rtl/>
        </w:rPr>
        <w:t xml:space="preserve">، </w:t>
      </w:r>
      <w:r w:rsidRPr="00FD211F">
        <w:rPr>
          <w:sz w:val="36"/>
          <w:szCs w:val="36"/>
          <w:rtl/>
        </w:rPr>
        <w:t xml:space="preserve">فقد قال الشاعر: </w:t>
      </w:r>
    </w:p>
    <w:p w14:paraId="635D478F" w14:textId="77777777" w:rsidR="000C5BBA" w:rsidRPr="00FD211F" w:rsidRDefault="00A24412" w:rsidP="00052BD9">
      <w:pPr>
        <w:tabs>
          <w:tab w:val="right" w:pos="7145"/>
        </w:tabs>
        <w:ind w:left="0" w:firstLine="227"/>
        <w:jc w:val="both"/>
        <w:rPr>
          <w:sz w:val="36"/>
          <w:szCs w:val="36"/>
          <w:rtl/>
        </w:rPr>
      </w:pPr>
      <w:r w:rsidRPr="00FD211F">
        <w:rPr>
          <w:sz w:val="36"/>
          <w:szCs w:val="36"/>
          <w:rtl/>
        </w:rPr>
        <w:t>المرتمي في دجىً والمبتلى بعمىً</w:t>
      </w:r>
      <w:r w:rsidR="00052BD9" w:rsidRPr="00FD211F">
        <w:rPr>
          <w:sz w:val="36"/>
          <w:szCs w:val="36"/>
          <w:rtl/>
        </w:rPr>
        <w:tab/>
      </w:r>
      <w:r w:rsidR="00C7588D" w:rsidRPr="00FD211F">
        <w:rPr>
          <w:sz w:val="36"/>
          <w:szCs w:val="36"/>
          <w:rtl/>
        </w:rPr>
        <w:t xml:space="preserve"> </w:t>
      </w:r>
      <w:r w:rsidR="00052BF2" w:rsidRPr="00FD211F">
        <w:rPr>
          <w:sz w:val="36"/>
          <w:szCs w:val="36"/>
          <w:rtl/>
        </w:rPr>
        <w:t>والمشتكي ظمأ والمبتغي دينا</w:t>
      </w:r>
    </w:p>
    <w:p w14:paraId="0C8F1617" w14:textId="77777777" w:rsidR="00052BF2" w:rsidRPr="00FD211F" w:rsidRDefault="00052BF2" w:rsidP="00052BD9">
      <w:pPr>
        <w:tabs>
          <w:tab w:val="right" w:pos="7145"/>
        </w:tabs>
        <w:ind w:left="0" w:firstLine="227"/>
        <w:jc w:val="both"/>
        <w:rPr>
          <w:sz w:val="36"/>
          <w:szCs w:val="36"/>
          <w:rtl/>
        </w:rPr>
      </w:pPr>
      <w:r w:rsidRPr="00FD211F">
        <w:rPr>
          <w:sz w:val="36"/>
          <w:szCs w:val="36"/>
          <w:rtl/>
        </w:rPr>
        <w:t>يأتون سدته</w:t>
      </w:r>
      <w:r w:rsidR="00C7588D" w:rsidRPr="00FD211F">
        <w:rPr>
          <w:sz w:val="36"/>
          <w:szCs w:val="36"/>
          <w:rtl/>
        </w:rPr>
        <w:t xml:space="preserve"> </w:t>
      </w:r>
      <w:r w:rsidRPr="00FD211F">
        <w:rPr>
          <w:sz w:val="36"/>
          <w:szCs w:val="36"/>
          <w:rtl/>
        </w:rPr>
        <w:t>من</w:t>
      </w:r>
      <w:r w:rsidR="00C7588D" w:rsidRPr="00FD211F">
        <w:rPr>
          <w:sz w:val="36"/>
          <w:szCs w:val="36"/>
          <w:rtl/>
        </w:rPr>
        <w:t xml:space="preserve"> </w:t>
      </w:r>
      <w:r w:rsidRPr="00FD211F">
        <w:rPr>
          <w:sz w:val="36"/>
          <w:szCs w:val="36"/>
          <w:rtl/>
        </w:rPr>
        <w:t>كل</w:t>
      </w:r>
      <w:r w:rsidR="00C7588D" w:rsidRPr="00FD211F">
        <w:rPr>
          <w:sz w:val="36"/>
          <w:szCs w:val="36"/>
          <w:rtl/>
        </w:rPr>
        <w:t xml:space="preserve"> </w:t>
      </w:r>
      <w:r w:rsidRPr="00FD211F">
        <w:rPr>
          <w:sz w:val="36"/>
          <w:szCs w:val="36"/>
          <w:rtl/>
        </w:rPr>
        <w:t>ناحي</w:t>
      </w:r>
      <w:r w:rsidR="00EC7EDF" w:rsidRPr="00FD211F">
        <w:rPr>
          <w:sz w:val="36"/>
          <w:szCs w:val="36"/>
          <w:rtl/>
        </w:rPr>
        <w:t>ة</w:t>
      </w:r>
      <w:r w:rsidR="00052BD9" w:rsidRPr="00FD211F">
        <w:rPr>
          <w:sz w:val="36"/>
          <w:szCs w:val="36"/>
          <w:rtl/>
        </w:rPr>
        <w:tab/>
      </w:r>
      <w:r w:rsidR="00C7588D" w:rsidRPr="00FD211F">
        <w:rPr>
          <w:sz w:val="36"/>
          <w:szCs w:val="36"/>
          <w:rtl/>
        </w:rPr>
        <w:t xml:space="preserve"> </w:t>
      </w:r>
      <w:r w:rsidRPr="00FD211F">
        <w:rPr>
          <w:sz w:val="36"/>
          <w:szCs w:val="36"/>
          <w:rtl/>
        </w:rPr>
        <w:t>ويستفيدون من نعمائه عينا</w:t>
      </w:r>
      <w:r w:rsidRPr="00FD211F">
        <w:rPr>
          <w:rStyle w:val="a6"/>
          <w:sz w:val="36"/>
          <w:szCs w:val="36"/>
          <w:rtl/>
        </w:rPr>
        <w:t>1</w:t>
      </w:r>
      <w:r w:rsidRPr="00FD211F">
        <w:rPr>
          <w:sz w:val="36"/>
          <w:szCs w:val="36"/>
          <w:rtl/>
        </w:rPr>
        <w:t xml:space="preserve"> </w:t>
      </w:r>
    </w:p>
    <w:p w14:paraId="684F1B5D" w14:textId="77777777" w:rsidR="000C5BBA" w:rsidRPr="00FD211F" w:rsidRDefault="00052BF2" w:rsidP="009C58C8">
      <w:pPr>
        <w:ind w:left="0" w:firstLine="227"/>
        <w:jc w:val="both"/>
        <w:rPr>
          <w:sz w:val="36"/>
          <w:szCs w:val="36"/>
          <w:rtl/>
        </w:rPr>
      </w:pPr>
      <w:r w:rsidRPr="00FD211F">
        <w:rPr>
          <w:sz w:val="36"/>
          <w:szCs w:val="36"/>
          <w:rtl/>
        </w:rPr>
        <w:t>فترى انه استعمل العين في معنى الشمس حيث ان المرتمي في دجىً يطلب ذلك</w:t>
      </w:r>
      <w:r w:rsidR="00603323" w:rsidRPr="00FD211F">
        <w:rPr>
          <w:sz w:val="36"/>
          <w:szCs w:val="36"/>
          <w:rtl/>
        </w:rPr>
        <w:t xml:space="preserve">، </w:t>
      </w:r>
      <w:r w:rsidRPr="00FD211F">
        <w:rPr>
          <w:sz w:val="36"/>
          <w:szCs w:val="36"/>
          <w:rtl/>
        </w:rPr>
        <w:t>كما استعمله في معنى البصر حيث يطلبه المبتلى بعمىً</w:t>
      </w:r>
      <w:r w:rsidR="00603323" w:rsidRPr="00FD211F">
        <w:rPr>
          <w:sz w:val="36"/>
          <w:szCs w:val="36"/>
          <w:rtl/>
        </w:rPr>
        <w:t xml:space="preserve">، </w:t>
      </w:r>
      <w:r w:rsidRPr="00FD211F">
        <w:rPr>
          <w:sz w:val="36"/>
          <w:szCs w:val="36"/>
          <w:rtl/>
        </w:rPr>
        <w:t>واستعمله أيضا في العين النابع</w:t>
      </w:r>
      <w:r w:rsidR="00EC7EDF" w:rsidRPr="00FD211F">
        <w:rPr>
          <w:sz w:val="36"/>
          <w:szCs w:val="36"/>
          <w:rtl/>
        </w:rPr>
        <w:t xml:space="preserve">ة </w:t>
      </w:r>
      <w:r w:rsidRPr="00FD211F">
        <w:rPr>
          <w:sz w:val="36"/>
          <w:szCs w:val="36"/>
          <w:rtl/>
        </w:rPr>
        <w:t>حيث يطلبها المشتكي ظمأ</w:t>
      </w:r>
      <w:r w:rsidR="00603323" w:rsidRPr="00FD211F">
        <w:rPr>
          <w:sz w:val="36"/>
          <w:szCs w:val="36"/>
          <w:rtl/>
        </w:rPr>
        <w:t xml:space="preserve">، </w:t>
      </w:r>
      <w:r w:rsidRPr="00FD211F">
        <w:rPr>
          <w:sz w:val="36"/>
          <w:szCs w:val="36"/>
          <w:rtl/>
        </w:rPr>
        <w:t>واستعمله في الفض</w:t>
      </w:r>
      <w:r w:rsidR="00EC7EDF" w:rsidRPr="00FD211F">
        <w:rPr>
          <w:sz w:val="36"/>
          <w:szCs w:val="36"/>
          <w:rtl/>
        </w:rPr>
        <w:t xml:space="preserve">ة </w:t>
      </w:r>
      <w:r w:rsidRPr="00FD211F">
        <w:rPr>
          <w:sz w:val="36"/>
          <w:szCs w:val="36"/>
          <w:rtl/>
        </w:rPr>
        <w:t>حيث يطلبها المبتغي دينا</w:t>
      </w:r>
      <w:r w:rsidR="00603323" w:rsidRPr="00FD211F">
        <w:rPr>
          <w:sz w:val="36"/>
          <w:szCs w:val="36"/>
          <w:rtl/>
        </w:rPr>
        <w:t xml:space="preserve">، </w:t>
      </w:r>
      <w:r w:rsidRPr="00FD211F">
        <w:rPr>
          <w:sz w:val="36"/>
          <w:szCs w:val="36"/>
          <w:rtl/>
        </w:rPr>
        <w:t>وقد مرّ نقل شعر آخر وهو قوله:</w:t>
      </w:r>
    </w:p>
    <w:p w14:paraId="3DD9A2AA" w14:textId="77777777" w:rsidR="00052BF2" w:rsidRPr="00FD211F" w:rsidRDefault="00A24412" w:rsidP="00052BD9">
      <w:pPr>
        <w:tabs>
          <w:tab w:val="right" w:pos="7145"/>
        </w:tabs>
        <w:ind w:left="0" w:firstLine="227"/>
        <w:jc w:val="both"/>
        <w:rPr>
          <w:sz w:val="36"/>
          <w:szCs w:val="36"/>
          <w:rtl/>
        </w:rPr>
      </w:pPr>
      <w:r w:rsidRPr="00FD211F">
        <w:rPr>
          <w:sz w:val="36"/>
          <w:szCs w:val="36"/>
          <w:rtl/>
        </w:rPr>
        <w:t>أي المكان تروم ثم من الذي</w:t>
      </w:r>
      <w:r w:rsidR="00052BD9" w:rsidRPr="00FD211F">
        <w:rPr>
          <w:sz w:val="36"/>
          <w:szCs w:val="36"/>
          <w:rtl/>
        </w:rPr>
        <w:tab/>
      </w:r>
      <w:r w:rsidR="00C7588D" w:rsidRPr="00FD211F">
        <w:rPr>
          <w:sz w:val="36"/>
          <w:szCs w:val="36"/>
          <w:rtl/>
        </w:rPr>
        <w:t xml:space="preserve"> </w:t>
      </w:r>
      <w:r w:rsidR="00052BF2" w:rsidRPr="00FD211F">
        <w:rPr>
          <w:sz w:val="36"/>
          <w:szCs w:val="36"/>
          <w:rtl/>
        </w:rPr>
        <w:t>تمضي إليه أجبته المعشوقا</w:t>
      </w:r>
      <w:r w:rsidR="009C58C8" w:rsidRPr="00FD211F">
        <w:rPr>
          <w:rStyle w:val="a6"/>
          <w:sz w:val="36"/>
          <w:szCs w:val="36"/>
          <w:rtl/>
        </w:rPr>
        <w:t>(</w:t>
      </w:r>
      <w:r w:rsidR="009C58C8" w:rsidRPr="00FD211F">
        <w:rPr>
          <w:rStyle w:val="a6"/>
          <w:sz w:val="36"/>
          <w:szCs w:val="36"/>
          <w:rtl/>
        </w:rPr>
        <w:footnoteReference w:id="457"/>
      </w:r>
      <w:r w:rsidR="009C58C8" w:rsidRPr="00FD211F">
        <w:rPr>
          <w:rStyle w:val="a6"/>
          <w:sz w:val="36"/>
          <w:szCs w:val="36"/>
          <w:rtl/>
        </w:rPr>
        <w:t>)</w:t>
      </w:r>
    </w:p>
    <w:p w14:paraId="61423277" w14:textId="77777777" w:rsidR="00052BF2" w:rsidRPr="00FD211F" w:rsidRDefault="00052BF2" w:rsidP="009C58C8">
      <w:pPr>
        <w:ind w:left="0" w:firstLine="227"/>
        <w:jc w:val="both"/>
        <w:rPr>
          <w:sz w:val="36"/>
          <w:szCs w:val="36"/>
          <w:rtl/>
        </w:rPr>
      </w:pPr>
      <w:r w:rsidRPr="00FD211F">
        <w:rPr>
          <w:sz w:val="36"/>
          <w:szCs w:val="36"/>
          <w:rtl/>
        </w:rPr>
        <w:t>حيث استعمل لفظ المعشوق في معنيين احدهما قصر بسامرا وثانيهما من كان يعشقه الشاعر.</w:t>
      </w:r>
    </w:p>
    <w:p w14:paraId="4396EFD9" w14:textId="77777777" w:rsidR="00052BF2" w:rsidRPr="00FD211F" w:rsidRDefault="00052BF2" w:rsidP="009C58C8">
      <w:pPr>
        <w:ind w:left="0" w:firstLine="227"/>
        <w:jc w:val="both"/>
        <w:rPr>
          <w:sz w:val="36"/>
          <w:szCs w:val="36"/>
          <w:rtl/>
        </w:rPr>
      </w:pPr>
      <w:r w:rsidRPr="00FD211F">
        <w:rPr>
          <w:sz w:val="36"/>
          <w:szCs w:val="36"/>
          <w:rtl/>
        </w:rPr>
        <w:t>وقد سبق ذكر امثل</w:t>
      </w:r>
      <w:r w:rsidR="00EC7EDF" w:rsidRPr="00FD211F">
        <w:rPr>
          <w:sz w:val="36"/>
          <w:szCs w:val="36"/>
          <w:rtl/>
        </w:rPr>
        <w:t xml:space="preserve">ة </w:t>
      </w:r>
      <w:r w:rsidRPr="00FD211F">
        <w:rPr>
          <w:sz w:val="36"/>
          <w:szCs w:val="36"/>
          <w:rtl/>
        </w:rPr>
        <w:t>مثل قوله</w:t>
      </w:r>
      <w:r w:rsidR="006E407F" w:rsidRPr="00FD211F">
        <w:rPr>
          <w:sz w:val="36"/>
          <w:szCs w:val="36"/>
          <w:rtl/>
        </w:rPr>
        <w:t>"</w:t>
      </w:r>
      <w:r w:rsidRPr="00FD211F">
        <w:rPr>
          <w:sz w:val="36"/>
          <w:szCs w:val="36"/>
          <w:rtl/>
        </w:rPr>
        <w:t xml:space="preserve"> قلب بهرام ما رهب</w:t>
      </w:r>
      <w:r w:rsidR="006E407F" w:rsidRPr="00FD211F">
        <w:rPr>
          <w:sz w:val="36"/>
          <w:szCs w:val="36"/>
          <w:rtl/>
        </w:rPr>
        <w:t>"</w:t>
      </w:r>
      <w:r w:rsidR="00603323" w:rsidRPr="00FD211F">
        <w:rPr>
          <w:sz w:val="36"/>
          <w:szCs w:val="36"/>
          <w:rtl/>
        </w:rPr>
        <w:t xml:space="preserve">، </w:t>
      </w:r>
      <w:r w:rsidRPr="00FD211F">
        <w:rPr>
          <w:sz w:val="36"/>
          <w:szCs w:val="36"/>
          <w:rtl/>
        </w:rPr>
        <w:t>و</w:t>
      </w:r>
      <w:r w:rsidR="006E407F" w:rsidRPr="00FD211F">
        <w:rPr>
          <w:sz w:val="36"/>
          <w:szCs w:val="36"/>
          <w:rtl/>
        </w:rPr>
        <w:t>قوله "</w:t>
      </w:r>
      <w:r w:rsidRPr="00FD211F">
        <w:rPr>
          <w:sz w:val="36"/>
          <w:szCs w:val="36"/>
          <w:rtl/>
        </w:rPr>
        <w:t>قلب كل ساق قاس</w:t>
      </w:r>
      <w:r w:rsidR="006E407F" w:rsidRPr="00FD211F">
        <w:rPr>
          <w:sz w:val="36"/>
          <w:szCs w:val="36"/>
          <w:rtl/>
        </w:rPr>
        <w:t>"</w:t>
      </w:r>
      <w:r w:rsidR="00C94A47" w:rsidRPr="00FD211F">
        <w:rPr>
          <w:sz w:val="36"/>
          <w:szCs w:val="36"/>
          <w:rtl/>
        </w:rPr>
        <w:t xml:space="preserve"> </w:t>
      </w:r>
      <w:r w:rsidR="006E407F" w:rsidRPr="00FD211F">
        <w:rPr>
          <w:sz w:val="36"/>
          <w:szCs w:val="36"/>
          <w:rtl/>
        </w:rPr>
        <w:t xml:space="preserve">وقوله" </w:t>
      </w:r>
      <w:r w:rsidRPr="00FD211F">
        <w:rPr>
          <w:sz w:val="36"/>
          <w:szCs w:val="36"/>
          <w:rtl/>
        </w:rPr>
        <w:t>قلب ملوم مولم</w:t>
      </w:r>
      <w:r w:rsidR="006E407F" w:rsidRPr="00FD211F">
        <w:rPr>
          <w:sz w:val="36"/>
          <w:szCs w:val="36"/>
          <w:rtl/>
        </w:rPr>
        <w:t>"</w:t>
      </w:r>
      <w:r w:rsidRPr="00FD211F">
        <w:rPr>
          <w:sz w:val="36"/>
          <w:szCs w:val="36"/>
          <w:rtl/>
        </w:rPr>
        <w:t>.</w:t>
      </w:r>
    </w:p>
    <w:p w14:paraId="107C31E6" w14:textId="77777777" w:rsidR="00052BF2" w:rsidRPr="00FD211F" w:rsidRDefault="00052BF2" w:rsidP="009C58C8">
      <w:pPr>
        <w:ind w:left="0" w:firstLine="227"/>
        <w:jc w:val="both"/>
        <w:rPr>
          <w:sz w:val="36"/>
          <w:szCs w:val="36"/>
          <w:rtl/>
        </w:rPr>
      </w:pPr>
      <w:r w:rsidRPr="00FD211F">
        <w:rPr>
          <w:sz w:val="36"/>
          <w:szCs w:val="36"/>
          <w:rtl/>
        </w:rPr>
        <w:t>ان قلت: انه في هذه الامثل</w:t>
      </w:r>
      <w:r w:rsidR="00EC7EDF" w:rsidRPr="00FD211F">
        <w:rPr>
          <w:sz w:val="36"/>
          <w:szCs w:val="36"/>
          <w:rtl/>
        </w:rPr>
        <w:t xml:space="preserve">ة </w:t>
      </w:r>
      <w:r w:rsidRPr="00FD211F">
        <w:rPr>
          <w:sz w:val="36"/>
          <w:szCs w:val="36"/>
          <w:rtl/>
        </w:rPr>
        <w:t>قد لوحظ اللفظ في الذهن اكثر من مر</w:t>
      </w:r>
      <w:r w:rsidR="00EC7EDF" w:rsidRPr="00FD211F">
        <w:rPr>
          <w:sz w:val="36"/>
          <w:szCs w:val="36"/>
          <w:rtl/>
        </w:rPr>
        <w:t xml:space="preserve">ة </w:t>
      </w:r>
      <w:r w:rsidRPr="00FD211F">
        <w:rPr>
          <w:sz w:val="36"/>
          <w:szCs w:val="36"/>
          <w:rtl/>
        </w:rPr>
        <w:t>ففي كل مر</w:t>
      </w:r>
      <w:r w:rsidR="00EC7EDF" w:rsidRPr="00FD211F">
        <w:rPr>
          <w:sz w:val="36"/>
          <w:szCs w:val="36"/>
          <w:rtl/>
        </w:rPr>
        <w:t xml:space="preserve">ة </w:t>
      </w:r>
      <w:r w:rsidRPr="00FD211F">
        <w:rPr>
          <w:sz w:val="36"/>
          <w:szCs w:val="36"/>
          <w:rtl/>
        </w:rPr>
        <w:t>لوحظ فانيا في معنى معين</w:t>
      </w:r>
      <w:r w:rsidR="00603323" w:rsidRPr="00FD211F">
        <w:rPr>
          <w:sz w:val="36"/>
          <w:szCs w:val="36"/>
          <w:rtl/>
        </w:rPr>
        <w:t xml:space="preserve">، </w:t>
      </w:r>
      <w:r w:rsidRPr="00FD211F">
        <w:rPr>
          <w:sz w:val="36"/>
          <w:szCs w:val="36"/>
          <w:rtl/>
        </w:rPr>
        <w:t>فيكون نظير ما لو تلفظ احد بلفظ جامع بين كلم</w:t>
      </w:r>
      <w:r w:rsidR="00EC7EDF" w:rsidRPr="00FD211F">
        <w:rPr>
          <w:sz w:val="36"/>
          <w:szCs w:val="36"/>
          <w:rtl/>
        </w:rPr>
        <w:t xml:space="preserve">ة </w:t>
      </w:r>
      <w:r w:rsidRPr="00FD211F">
        <w:rPr>
          <w:sz w:val="36"/>
          <w:szCs w:val="36"/>
          <w:rtl/>
        </w:rPr>
        <w:t>قريب وكلم</w:t>
      </w:r>
      <w:r w:rsidR="00EC7EDF" w:rsidRPr="00FD211F">
        <w:rPr>
          <w:sz w:val="36"/>
          <w:szCs w:val="36"/>
          <w:rtl/>
        </w:rPr>
        <w:t xml:space="preserve">ة </w:t>
      </w:r>
      <w:r w:rsidRPr="00FD211F">
        <w:rPr>
          <w:sz w:val="36"/>
          <w:szCs w:val="36"/>
          <w:rtl/>
        </w:rPr>
        <w:t>غريب من دون رعاي</w:t>
      </w:r>
      <w:r w:rsidR="00EC7EDF" w:rsidRPr="00FD211F">
        <w:rPr>
          <w:sz w:val="36"/>
          <w:szCs w:val="36"/>
          <w:rtl/>
        </w:rPr>
        <w:t xml:space="preserve">ة </w:t>
      </w:r>
      <w:r w:rsidRPr="00FD211F">
        <w:rPr>
          <w:sz w:val="36"/>
          <w:szCs w:val="36"/>
          <w:rtl/>
        </w:rPr>
        <w:t>الفرق بين مخرج القاف والغين</w:t>
      </w:r>
      <w:r w:rsidR="00603323" w:rsidRPr="00FD211F">
        <w:rPr>
          <w:sz w:val="36"/>
          <w:szCs w:val="36"/>
          <w:rtl/>
        </w:rPr>
        <w:t xml:space="preserve">، </w:t>
      </w:r>
      <w:r w:rsidRPr="00FD211F">
        <w:rPr>
          <w:sz w:val="36"/>
          <w:szCs w:val="36"/>
          <w:rtl/>
        </w:rPr>
        <w:t>كما هو دأب العجم</w:t>
      </w:r>
      <w:r w:rsidR="00603323" w:rsidRPr="00FD211F">
        <w:rPr>
          <w:sz w:val="36"/>
          <w:szCs w:val="36"/>
          <w:rtl/>
        </w:rPr>
        <w:t xml:space="preserve">، </w:t>
      </w:r>
      <w:r w:rsidRPr="00FD211F">
        <w:rPr>
          <w:sz w:val="36"/>
          <w:szCs w:val="36"/>
          <w:rtl/>
        </w:rPr>
        <w:t>فأراد منه معنى القريب ومعنى الغريب</w:t>
      </w:r>
      <w:r w:rsidR="00603323" w:rsidRPr="00FD211F">
        <w:rPr>
          <w:sz w:val="36"/>
          <w:szCs w:val="36"/>
          <w:rtl/>
        </w:rPr>
        <w:t xml:space="preserve">، </w:t>
      </w:r>
      <w:r w:rsidRPr="00FD211F">
        <w:rPr>
          <w:sz w:val="36"/>
          <w:szCs w:val="36"/>
          <w:rtl/>
        </w:rPr>
        <w:t>فانه ليس من استعمال لفظ واحد في معنيين وان كان المبرز لفظا واحدا.</w:t>
      </w:r>
    </w:p>
    <w:p w14:paraId="079304C6" w14:textId="77777777" w:rsidR="006E407F" w:rsidRPr="00FD211F" w:rsidRDefault="00052BF2" w:rsidP="009C58C8">
      <w:pPr>
        <w:ind w:left="0" w:firstLine="227"/>
        <w:jc w:val="both"/>
        <w:rPr>
          <w:sz w:val="36"/>
          <w:szCs w:val="36"/>
          <w:rtl/>
        </w:rPr>
      </w:pPr>
      <w:r w:rsidRPr="00FD211F">
        <w:rPr>
          <w:sz w:val="36"/>
          <w:szCs w:val="36"/>
          <w:rtl/>
        </w:rPr>
        <w:t>قلت: يرد عليه</w:t>
      </w:r>
      <w:r w:rsidRPr="00FD211F">
        <w:rPr>
          <w:b/>
          <w:bCs/>
          <w:sz w:val="36"/>
          <w:szCs w:val="36"/>
          <w:rtl/>
        </w:rPr>
        <w:t xml:space="preserve"> اولا</w:t>
      </w:r>
      <w:r w:rsidRPr="00FD211F">
        <w:rPr>
          <w:sz w:val="36"/>
          <w:szCs w:val="36"/>
          <w:rtl/>
        </w:rPr>
        <w:t>: انه</w:t>
      </w:r>
      <w:r w:rsidR="008D7B3D" w:rsidRPr="00FD211F">
        <w:rPr>
          <w:sz w:val="36"/>
          <w:szCs w:val="36"/>
          <w:rtl/>
        </w:rPr>
        <w:t xml:space="preserve"> لم‌</w:t>
      </w:r>
      <w:r w:rsidRPr="00FD211F">
        <w:rPr>
          <w:sz w:val="36"/>
          <w:szCs w:val="36"/>
          <w:rtl/>
        </w:rPr>
        <w:t>يلحظ في مورد استعمال اللفظ في اكثر من معنى الا المعاني المتعدد</w:t>
      </w:r>
      <w:r w:rsidR="00EC7EDF" w:rsidRPr="00FD211F">
        <w:rPr>
          <w:sz w:val="36"/>
          <w:szCs w:val="36"/>
          <w:rtl/>
        </w:rPr>
        <w:t xml:space="preserve">ة </w:t>
      </w:r>
      <w:r w:rsidRPr="00FD211F">
        <w:rPr>
          <w:sz w:val="36"/>
          <w:szCs w:val="36"/>
          <w:rtl/>
        </w:rPr>
        <w:t>ثم توجه النفس الى لفظ واحد لإبراز تلك المعاني فيختلف عن مثل استعمال لفظ واحد شبيه بلفظ القريب والغريب</w:t>
      </w:r>
      <w:r w:rsidR="00EC7EDF" w:rsidRPr="00FD211F">
        <w:rPr>
          <w:sz w:val="36"/>
          <w:szCs w:val="36"/>
          <w:rtl/>
        </w:rPr>
        <w:t>.</w:t>
      </w:r>
    </w:p>
    <w:p w14:paraId="2E2AC698" w14:textId="77777777" w:rsidR="00052BF2"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انه لو فرض تعدد لحاظ اللفظ في الذهن في مورد استعمال اللفظ في اكثر من معنى فلايضر بالمقصود من اثبات امكان ابراز لفظ واحد واراد</w:t>
      </w:r>
      <w:r w:rsidR="00EC7EDF" w:rsidRPr="00FD211F">
        <w:rPr>
          <w:sz w:val="36"/>
          <w:szCs w:val="36"/>
          <w:rtl/>
        </w:rPr>
        <w:t xml:space="preserve">ة </w:t>
      </w:r>
      <w:r w:rsidRPr="00FD211F">
        <w:rPr>
          <w:sz w:val="36"/>
          <w:szCs w:val="36"/>
          <w:rtl/>
        </w:rPr>
        <w:t>اكثر من معنى منه.</w:t>
      </w:r>
    </w:p>
    <w:p w14:paraId="3A118492" w14:textId="77777777" w:rsidR="00052BF2" w:rsidRPr="00FD211F" w:rsidRDefault="00052BF2" w:rsidP="009C58C8">
      <w:pPr>
        <w:ind w:left="0" w:firstLine="227"/>
        <w:jc w:val="both"/>
        <w:rPr>
          <w:sz w:val="36"/>
          <w:szCs w:val="36"/>
          <w:rtl/>
        </w:rPr>
      </w:pPr>
      <w:r w:rsidRPr="00FD211F">
        <w:rPr>
          <w:sz w:val="36"/>
          <w:szCs w:val="36"/>
          <w:rtl/>
        </w:rPr>
        <w:t xml:space="preserve">2- ما عن المحقق النائيني </w:t>
      </w:r>
      <w:r w:rsidR="00F03FE1" w:rsidRPr="00FD211F">
        <w:rPr>
          <w:sz w:val="36"/>
          <w:szCs w:val="36"/>
          <w:rtl/>
        </w:rPr>
        <w:t>"</w:t>
      </w:r>
      <w:r w:rsidRPr="00FD211F">
        <w:rPr>
          <w:sz w:val="36"/>
          <w:szCs w:val="36"/>
          <w:rtl/>
        </w:rPr>
        <w:t>قده</w:t>
      </w:r>
      <w:r w:rsidR="00F03FE1" w:rsidRPr="00FD211F">
        <w:rPr>
          <w:sz w:val="36"/>
          <w:szCs w:val="36"/>
          <w:rtl/>
        </w:rPr>
        <w:t>"</w:t>
      </w:r>
      <w:r w:rsidRPr="00FD211F">
        <w:rPr>
          <w:sz w:val="36"/>
          <w:szCs w:val="36"/>
          <w:rtl/>
        </w:rPr>
        <w:t xml:space="preserve"> من انه حيث يحتاج استعمال اللفظ في المعنى الى لحاظ المعنى استقلالا</w:t>
      </w:r>
      <w:r w:rsidR="00603323" w:rsidRPr="00FD211F">
        <w:rPr>
          <w:sz w:val="36"/>
          <w:szCs w:val="36"/>
          <w:rtl/>
        </w:rPr>
        <w:t xml:space="preserve">، </w:t>
      </w:r>
      <w:r w:rsidRPr="00FD211F">
        <w:rPr>
          <w:sz w:val="36"/>
          <w:szCs w:val="36"/>
          <w:rtl/>
        </w:rPr>
        <w:t>فلو اريد استعمال اللفظ في معنيين في آن واحد فلازمه صدور لحاظين مستقلين من النفس في آن واحد</w:t>
      </w:r>
      <w:r w:rsidR="00603323" w:rsidRPr="00FD211F">
        <w:rPr>
          <w:sz w:val="36"/>
          <w:szCs w:val="36"/>
          <w:rtl/>
        </w:rPr>
        <w:t xml:space="preserve">، </w:t>
      </w:r>
      <w:r w:rsidRPr="00FD211F">
        <w:rPr>
          <w:sz w:val="36"/>
          <w:szCs w:val="36"/>
          <w:rtl/>
        </w:rPr>
        <w:t>والنفس لاتقدر على ذلك</w:t>
      </w:r>
      <w:r w:rsidR="009C58C8" w:rsidRPr="00FD211F">
        <w:rPr>
          <w:rStyle w:val="a6"/>
          <w:sz w:val="36"/>
          <w:szCs w:val="36"/>
          <w:rtl/>
        </w:rPr>
        <w:t>(</w:t>
      </w:r>
      <w:r w:rsidR="009C58C8" w:rsidRPr="00FD211F">
        <w:rPr>
          <w:rStyle w:val="a6"/>
          <w:sz w:val="36"/>
          <w:szCs w:val="36"/>
          <w:rtl/>
        </w:rPr>
        <w:footnoteReference w:id="458"/>
      </w:r>
      <w:r w:rsidR="009C58C8" w:rsidRPr="00FD211F">
        <w:rPr>
          <w:rStyle w:val="a6"/>
          <w:sz w:val="36"/>
          <w:szCs w:val="36"/>
          <w:rtl/>
        </w:rPr>
        <w:t>)</w:t>
      </w:r>
      <w:r w:rsidRPr="00FD211F">
        <w:rPr>
          <w:sz w:val="36"/>
          <w:szCs w:val="36"/>
          <w:rtl/>
        </w:rPr>
        <w:t>.</w:t>
      </w:r>
    </w:p>
    <w:p w14:paraId="4D17963A" w14:textId="77777777" w:rsidR="00052BF2" w:rsidRPr="00FD211F" w:rsidRDefault="00052BF2" w:rsidP="009C58C8">
      <w:pPr>
        <w:ind w:left="0" w:firstLine="227"/>
        <w:jc w:val="both"/>
        <w:rPr>
          <w:sz w:val="36"/>
          <w:szCs w:val="36"/>
          <w:rtl/>
        </w:rPr>
      </w:pPr>
      <w:r w:rsidRPr="00FD211F">
        <w:rPr>
          <w:sz w:val="36"/>
          <w:szCs w:val="36"/>
          <w:rtl/>
        </w:rPr>
        <w:t>ويلاحظ عليه</w:t>
      </w:r>
      <w:r w:rsidRPr="00FD211F">
        <w:rPr>
          <w:b/>
          <w:bCs/>
          <w:sz w:val="36"/>
          <w:szCs w:val="36"/>
          <w:rtl/>
        </w:rPr>
        <w:t xml:space="preserve"> اولا</w:t>
      </w:r>
      <w:r w:rsidRPr="00FD211F">
        <w:rPr>
          <w:sz w:val="36"/>
          <w:szCs w:val="36"/>
          <w:rtl/>
        </w:rPr>
        <w:t xml:space="preserve">: بالنقض بقولنا </w:t>
      </w:r>
      <w:r w:rsidR="00F03FE1" w:rsidRPr="00FD211F">
        <w:rPr>
          <w:sz w:val="36"/>
          <w:szCs w:val="36"/>
          <w:rtl/>
        </w:rPr>
        <w:t>"</w:t>
      </w:r>
      <w:r w:rsidRPr="00FD211F">
        <w:rPr>
          <w:sz w:val="36"/>
          <w:szCs w:val="36"/>
          <w:rtl/>
        </w:rPr>
        <w:t>زيد قائم</w:t>
      </w:r>
      <w:r w:rsidR="00F03FE1" w:rsidRPr="00FD211F">
        <w:rPr>
          <w:sz w:val="36"/>
          <w:szCs w:val="36"/>
          <w:rtl/>
        </w:rPr>
        <w:t>"</w:t>
      </w:r>
      <w:r w:rsidR="00603323" w:rsidRPr="00FD211F">
        <w:rPr>
          <w:sz w:val="36"/>
          <w:szCs w:val="36"/>
          <w:rtl/>
        </w:rPr>
        <w:t xml:space="preserve">، </w:t>
      </w:r>
      <w:r w:rsidRPr="00FD211F">
        <w:rPr>
          <w:sz w:val="36"/>
          <w:szCs w:val="36"/>
          <w:rtl/>
        </w:rPr>
        <w:t>فانه لو</w:t>
      </w:r>
      <w:r w:rsidR="008D7B3D" w:rsidRPr="00FD211F">
        <w:rPr>
          <w:sz w:val="36"/>
          <w:szCs w:val="36"/>
          <w:rtl/>
        </w:rPr>
        <w:t xml:space="preserve"> لم‌</w:t>
      </w:r>
      <w:r w:rsidRPr="00FD211F">
        <w:rPr>
          <w:sz w:val="36"/>
          <w:szCs w:val="36"/>
          <w:rtl/>
        </w:rPr>
        <w:t>يجتمع لحاظ الموضوع والمحمول في زمان واحد فكيف يمكن صدور الحكم من النفس بثبوت المحمول للموضوع.</w:t>
      </w:r>
    </w:p>
    <w:p w14:paraId="1CEB09F6" w14:textId="77777777" w:rsidR="00052BF2"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بالنقض بصدور فعلين اختياريين من شخص في زمان واحد كصدور الكتاب</w:t>
      </w:r>
      <w:r w:rsidR="00EC7EDF" w:rsidRPr="00FD211F">
        <w:rPr>
          <w:sz w:val="36"/>
          <w:szCs w:val="36"/>
          <w:rtl/>
        </w:rPr>
        <w:t xml:space="preserve">ة </w:t>
      </w:r>
      <w:r w:rsidRPr="00FD211F">
        <w:rPr>
          <w:sz w:val="36"/>
          <w:szCs w:val="36"/>
          <w:rtl/>
        </w:rPr>
        <w:t>والتكلم منه مع انهما محتاجان في صدورهما الى اللحاظ.</w:t>
      </w:r>
    </w:p>
    <w:p w14:paraId="7FE9E281" w14:textId="77777777" w:rsidR="00052BF2" w:rsidRPr="00FD211F" w:rsidRDefault="00052BF2" w:rsidP="009C58C8">
      <w:pPr>
        <w:ind w:left="0" w:firstLine="227"/>
        <w:jc w:val="both"/>
        <w:rPr>
          <w:sz w:val="36"/>
          <w:szCs w:val="36"/>
          <w:rtl/>
        </w:rPr>
      </w:pPr>
      <w:r w:rsidRPr="00FD211F">
        <w:rPr>
          <w:sz w:val="36"/>
          <w:szCs w:val="36"/>
          <w:rtl/>
        </w:rPr>
        <w:t>و</w:t>
      </w:r>
      <w:r w:rsidRPr="00FD211F">
        <w:rPr>
          <w:b/>
          <w:bCs/>
          <w:sz w:val="36"/>
          <w:szCs w:val="36"/>
          <w:rtl/>
        </w:rPr>
        <w:t>ثالثا</w:t>
      </w:r>
      <w:r w:rsidRPr="00FD211F">
        <w:rPr>
          <w:sz w:val="36"/>
          <w:szCs w:val="36"/>
          <w:rtl/>
        </w:rPr>
        <w:t>: بان ما ذكره من عدم امكان لحاظين تفصيليين من النفس في آن واحد خلاف الوجدان جزما</w:t>
      </w:r>
      <w:r w:rsidR="00603323" w:rsidRPr="00FD211F">
        <w:rPr>
          <w:sz w:val="36"/>
          <w:szCs w:val="36"/>
          <w:rtl/>
        </w:rPr>
        <w:t xml:space="preserve">، </w:t>
      </w:r>
      <w:r w:rsidRPr="00FD211F">
        <w:rPr>
          <w:sz w:val="36"/>
          <w:szCs w:val="36"/>
          <w:rtl/>
        </w:rPr>
        <w:t>فانا اذا راجعنا انفسنا وجدناها قادر</w:t>
      </w:r>
      <w:r w:rsidR="00EC7EDF" w:rsidRPr="00FD211F">
        <w:rPr>
          <w:sz w:val="36"/>
          <w:szCs w:val="36"/>
          <w:rtl/>
        </w:rPr>
        <w:t xml:space="preserve">ة </w:t>
      </w:r>
      <w:r w:rsidRPr="00FD211F">
        <w:rPr>
          <w:sz w:val="36"/>
          <w:szCs w:val="36"/>
          <w:rtl/>
        </w:rPr>
        <w:t>على تصور أمور متعدد</w:t>
      </w:r>
      <w:r w:rsidR="00EC7EDF" w:rsidRPr="00FD211F">
        <w:rPr>
          <w:sz w:val="36"/>
          <w:szCs w:val="36"/>
          <w:rtl/>
        </w:rPr>
        <w:t xml:space="preserve">ة </w:t>
      </w:r>
      <w:r w:rsidRPr="00FD211F">
        <w:rPr>
          <w:sz w:val="36"/>
          <w:szCs w:val="36"/>
          <w:rtl/>
        </w:rPr>
        <w:t>في آن واحد.</w:t>
      </w:r>
    </w:p>
    <w:p w14:paraId="4AA35B49" w14:textId="77777777" w:rsidR="00052BF2" w:rsidRPr="00FD211F" w:rsidRDefault="00052BF2" w:rsidP="009C58C8">
      <w:pPr>
        <w:ind w:left="0" w:firstLine="227"/>
        <w:jc w:val="both"/>
        <w:rPr>
          <w:sz w:val="36"/>
          <w:szCs w:val="36"/>
          <w:rtl/>
        </w:rPr>
      </w:pPr>
      <w:r w:rsidRPr="00FD211F">
        <w:rPr>
          <w:sz w:val="36"/>
          <w:szCs w:val="36"/>
          <w:rtl/>
        </w:rPr>
        <w:t>ثم لايخفى انه لايصح ان يستند في هذا الوجه الذي ذكره المحقق النائيني</w:t>
      </w:r>
      <w:r w:rsidR="00F03FE1" w:rsidRPr="00FD211F">
        <w:rPr>
          <w:sz w:val="36"/>
          <w:szCs w:val="36"/>
          <w:rtl/>
        </w:rPr>
        <w:t>"قده"</w:t>
      </w:r>
      <w:r w:rsidRPr="00FD211F">
        <w:rPr>
          <w:sz w:val="36"/>
          <w:szCs w:val="36"/>
          <w:rtl/>
        </w:rPr>
        <w:t>الى قاعد</w:t>
      </w:r>
      <w:r w:rsidR="00EC7EDF" w:rsidRPr="00FD211F">
        <w:rPr>
          <w:sz w:val="36"/>
          <w:szCs w:val="36"/>
          <w:rtl/>
        </w:rPr>
        <w:t xml:space="preserve">ة </w:t>
      </w:r>
      <w:r w:rsidRPr="00FD211F">
        <w:rPr>
          <w:sz w:val="36"/>
          <w:szCs w:val="36"/>
          <w:rtl/>
        </w:rPr>
        <w:t>ان الواحد لايصدر عنه الا الواحد</w:t>
      </w:r>
      <w:r w:rsidR="00603323" w:rsidRPr="00FD211F">
        <w:rPr>
          <w:sz w:val="36"/>
          <w:szCs w:val="36"/>
          <w:rtl/>
        </w:rPr>
        <w:t xml:space="preserve">، </w:t>
      </w:r>
      <w:r w:rsidRPr="00FD211F">
        <w:rPr>
          <w:sz w:val="36"/>
          <w:szCs w:val="36"/>
          <w:rtl/>
        </w:rPr>
        <w:t>حيث ان لازم ذلك عدم امكان صدور فعلين عنها ولو في زمانين مختلفين</w:t>
      </w:r>
      <w:r w:rsidR="00603323" w:rsidRPr="00FD211F">
        <w:rPr>
          <w:sz w:val="36"/>
          <w:szCs w:val="36"/>
          <w:rtl/>
        </w:rPr>
        <w:t xml:space="preserve">، </w:t>
      </w:r>
      <w:r w:rsidRPr="00FD211F">
        <w:rPr>
          <w:sz w:val="36"/>
          <w:szCs w:val="36"/>
          <w:rtl/>
        </w:rPr>
        <w:t>والمهم ان هذه القاعد</w:t>
      </w:r>
      <w:r w:rsidR="00EC7EDF" w:rsidRPr="00FD211F">
        <w:rPr>
          <w:sz w:val="36"/>
          <w:szCs w:val="36"/>
          <w:rtl/>
        </w:rPr>
        <w:t xml:space="preserve">ة </w:t>
      </w:r>
      <w:r w:rsidRPr="00FD211F">
        <w:rPr>
          <w:sz w:val="36"/>
          <w:szCs w:val="36"/>
          <w:rtl/>
        </w:rPr>
        <w:t>لاتنطبق على افعال النفس لان النفس فاعل مختار</w:t>
      </w:r>
      <w:r w:rsidR="00603323" w:rsidRPr="00FD211F">
        <w:rPr>
          <w:sz w:val="36"/>
          <w:szCs w:val="36"/>
          <w:rtl/>
        </w:rPr>
        <w:t xml:space="preserve">، </w:t>
      </w:r>
      <w:r w:rsidRPr="00FD211F">
        <w:rPr>
          <w:sz w:val="36"/>
          <w:szCs w:val="36"/>
          <w:rtl/>
        </w:rPr>
        <w:t>وقد مر ان هذه القاعد</w:t>
      </w:r>
      <w:r w:rsidR="00EC7EDF" w:rsidRPr="00FD211F">
        <w:rPr>
          <w:sz w:val="36"/>
          <w:szCs w:val="36"/>
          <w:rtl/>
        </w:rPr>
        <w:t xml:space="preserve">ة </w:t>
      </w:r>
      <w:r w:rsidRPr="00FD211F">
        <w:rPr>
          <w:sz w:val="36"/>
          <w:szCs w:val="36"/>
          <w:rtl/>
        </w:rPr>
        <w:t>لاتجري في الفاعل المختار مضافا الى ان مورد تلك القاعد</w:t>
      </w:r>
      <w:r w:rsidR="00EC7EDF" w:rsidRPr="00FD211F">
        <w:rPr>
          <w:sz w:val="36"/>
          <w:szCs w:val="36"/>
          <w:rtl/>
        </w:rPr>
        <w:t xml:space="preserve">ة </w:t>
      </w:r>
      <w:r w:rsidRPr="00FD211F">
        <w:rPr>
          <w:sz w:val="36"/>
          <w:szCs w:val="36"/>
          <w:rtl/>
        </w:rPr>
        <w:t>هو البسيط من جميع الجهات</w:t>
      </w:r>
      <w:r w:rsidR="00603323" w:rsidRPr="00FD211F">
        <w:rPr>
          <w:sz w:val="36"/>
          <w:szCs w:val="36"/>
          <w:rtl/>
        </w:rPr>
        <w:t xml:space="preserve">، </w:t>
      </w:r>
      <w:r w:rsidRPr="00FD211F">
        <w:rPr>
          <w:sz w:val="36"/>
          <w:szCs w:val="36"/>
          <w:rtl/>
        </w:rPr>
        <w:t>والنفس ليست كذلك.</w:t>
      </w:r>
    </w:p>
    <w:p w14:paraId="77F1D310" w14:textId="77777777" w:rsidR="00052BF2" w:rsidRPr="00FD211F" w:rsidRDefault="00052BF2" w:rsidP="009C58C8">
      <w:pPr>
        <w:ind w:left="0" w:firstLine="227"/>
        <w:jc w:val="both"/>
        <w:rPr>
          <w:sz w:val="36"/>
          <w:szCs w:val="36"/>
          <w:rtl/>
        </w:rPr>
      </w:pPr>
      <w:r w:rsidRPr="00FD211F">
        <w:rPr>
          <w:sz w:val="36"/>
          <w:szCs w:val="36"/>
          <w:rtl/>
        </w:rPr>
        <w:t>3- ما حكي عن بعض</w:t>
      </w:r>
      <w:r w:rsidR="00F03FE1" w:rsidRPr="00FD211F">
        <w:rPr>
          <w:sz w:val="36"/>
          <w:szCs w:val="36"/>
          <w:rtl/>
        </w:rPr>
        <w:t>ٍ</w:t>
      </w:r>
      <w:r w:rsidRPr="00FD211F">
        <w:rPr>
          <w:sz w:val="36"/>
          <w:szCs w:val="36"/>
          <w:rtl/>
        </w:rPr>
        <w:t xml:space="preserve"> من ان وجود اللفظ لايمكن ان يكون سببا لايجاد تصورين</w:t>
      </w:r>
      <w:r w:rsidR="00603323" w:rsidRPr="00FD211F">
        <w:rPr>
          <w:sz w:val="36"/>
          <w:szCs w:val="36"/>
          <w:rtl/>
        </w:rPr>
        <w:t xml:space="preserve">، </w:t>
      </w:r>
      <w:r w:rsidRPr="00FD211F">
        <w:rPr>
          <w:sz w:val="36"/>
          <w:szCs w:val="36"/>
          <w:rtl/>
        </w:rPr>
        <w:t>فانه يكون خلاف قاعد</w:t>
      </w:r>
      <w:r w:rsidR="00EC7EDF" w:rsidRPr="00FD211F">
        <w:rPr>
          <w:sz w:val="36"/>
          <w:szCs w:val="36"/>
          <w:rtl/>
        </w:rPr>
        <w:t xml:space="preserve">ة </w:t>
      </w:r>
      <w:r w:rsidRPr="00FD211F">
        <w:rPr>
          <w:sz w:val="36"/>
          <w:szCs w:val="36"/>
          <w:rtl/>
        </w:rPr>
        <w:t>ان الواحد لايصدر عنه الا الواحد.</w:t>
      </w:r>
    </w:p>
    <w:p w14:paraId="133AFAF6" w14:textId="77777777" w:rsidR="000C5BBA" w:rsidRPr="00FD211F" w:rsidRDefault="00052BF2" w:rsidP="009C58C8">
      <w:pPr>
        <w:ind w:left="0" w:firstLine="227"/>
        <w:jc w:val="both"/>
        <w:rPr>
          <w:sz w:val="36"/>
          <w:szCs w:val="36"/>
          <w:rtl/>
        </w:rPr>
      </w:pPr>
      <w:r w:rsidRPr="00FD211F">
        <w:rPr>
          <w:sz w:val="36"/>
          <w:szCs w:val="36"/>
          <w:rtl/>
        </w:rPr>
        <w:t xml:space="preserve">وفيه </w:t>
      </w:r>
      <w:r w:rsidRPr="00FD211F">
        <w:rPr>
          <w:b/>
          <w:bCs/>
          <w:sz w:val="36"/>
          <w:szCs w:val="36"/>
          <w:rtl/>
        </w:rPr>
        <w:t>اولا</w:t>
      </w:r>
      <w:r w:rsidRPr="00FD211F">
        <w:rPr>
          <w:sz w:val="36"/>
          <w:szCs w:val="36"/>
          <w:rtl/>
        </w:rPr>
        <w:t>: ان سبب ايجاد تصورين هو تعدد القرين</w:t>
      </w:r>
      <w:r w:rsidR="00EC7EDF" w:rsidRPr="00FD211F">
        <w:rPr>
          <w:sz w:val="36"/>
          <w:szCs w:val="36"/>
          <w:rtl/>
        </w:rPr>
        <w:t xml:space="preserve">ة </w:t>
      </w:r>
      <w:r w:rsidRPr="00FD211F">
        <w:rPr>
          <w:sz w:val="36"/>
          <w:szCs w:val="36"/>
          <w:rtl/>
        </w:rPr>
        <w:t>او تعدد الوضع لااللفظ بذاته</w:t>
      </w:r>
      <w:r w:rsidR="00F03FE1" w:rsidRPr="00FD211F">
        <w:rPr>
          <w:sz w:val="36"/>
          <w:szCs w:val="36"/>
          <w:rtl/>
        </w:rPr>
        <w:t>.</w:t>
      </w:r>
    </w:p>
    <w:p w14:paraId="58BA6371" w14:textId="77777777" w:rsidR="00F03FE1"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ان وجود اللفظ معد لتصور المعنى وليس عل</w:t>
      </w:r>
      <w:r w:rsidR="00EC7EDF" w:rsidRPr="00FD211F">
        <w:rPr>
          <w:sz w:val="36"/>
          <w:szCs w:val="36"/>
          <w:rtl/>
        </w:rPr>
        <w:t xml:space="preserve">ة </w:t>
      </w:r>
      <w:r w:rsidRPr="00FD211F">
        <w:rPr>
          <w:sz w:val="36"/>
          <w:szCs w:val="36"/>
          <w:rtl/>
        </w:rPr>
        <w:t>فاعل</w:t>
      </w:r>
      <w:r w:rsidR="00EC7EDF" w:rsidRPr="00FD211F">
        <w:rPr>
          <w:sz w:val="36"/>
          <w:szCs w:val="36"/>
          <w:rtl/>
        </w:rPr>
        <w:t xml:space="preserve">ة </w:t>
      </w:r>
      <w:r w:rsidRPr="00FD211F">
        <w:rPr>
          <w:sz w:val="36"/>
          <w:szCs w:val="36"/>
          <w:rtl/>
        </w:rPr>
        <w:t>له</w:t>
      </w:r>
      <w:r w:rsidR="00603323" w:rsidRPr="00FD211F">
        <w:rPr>
          <w:sz w:val="36"/>
          <w:szCs w:val="36"/>
          <w:rtl/>
        </w:rPr>
        <w:t xml:space="preserve">، </w:t>
      </w:r>
      <w:r w:rsidRPr="00FD211F">
        <w:rPr>
          <w:sz w:val="36"/>
          <w:szCs w:val="36"/>
          <w:rtl/>
        </w:rPr>
        <w:t>ولذلك يبقى التصور موجودا حتى بعد انعدام اللفظ</w:t>
      </w:r>
      <w:r w:rsidR="00603323" w:rsidRPr="00FD211F">
        <w:rPr>
          <w:sz w:val="36"/>
          <w:szCs w:val="36"/>
          <w:rtl/>
        </w:rPr>
        <w:t xml:space="preserve">، </w:t>
      </w:r>
      <w:r w:rsidRPr="00FD211F">
        <w:rPr>
          <w:sz w:val="36"/>
          <w:szCs w:val="36"/>
          <w:rtl/>
        </w:rPr>
        <w:t xml:space="preserve">ولامانع من ان يكون </w:t>
      </w:r>
      <w:r w:rsidR="008D7B3D" w:rsidRPr="00FD211F">
        <w:rPr>
          <w:sz w:val="36"/>
          <w:szCs w:val="36"/>
          <w:rtl/>
        </w:rPr>
        <w:t xml:space="preserve">شيء </w:t>
      </w:r>
      <w:r w:rsidRPr="00FD211F">
        <w:rPr>
          <w:sz w:val="36"/>
          <w:szCs w:val="36"/>
          <w:rtl/>
        </w:rPr>
        <w:t>واحدا معدّا لشيئين</w:t>
      </w:r>
      <w:r w:rsidR="00EC7EDF" w:rsidRPr="00FD211F">
        <w:rPr>
          <w:sz w:val="36"/>
          <w:szCs w:val="36"/>
          <w:rtl/>
        </w:rPr>
        <w:t>.</w:t>
      </w:r>
    </w:p>
    <w:p w14:paraId="0185C91C" w14:textId="77777777" w:rsidR="00052BF2" w:rsidRPr="00FD211F" w:rsidRDefault="00052BF2" w:rsidP="009C58C8">
      <w:pPr>
        <w:ind w:left="0" w:firstLine="227"/>
        <w:jc w:val="both"/>
        <w:rPr>
          <w:sz w:val="36"/>
          <w:szCs w:val="36"/>
          <w:rtl/>
        </w:rPr>
      </w:pPr>
      <w:r w:rsidRPr="00FD211F">
        <w:rPr>
          <w:b/>
          <w:bCs/>
          <w:sz w:val="36"/>
          <w:szCs w:val="36"/>
          <w:rtl/>
        </w:rPr>
        <w:t>وثالثا</w:t>
      </w:r>
      <w:r w:rsidRPr="00FD211F">
        <w:rPr>
          <w:sz w:val="36"/>
          <w:szCs w:val="36"/>
          <w:rtl/>
        </w:rPr>
        <w:t>: ان ما ذكر لايسبب مشكل</w:t>
      </w:r>
      <w:r w:rsidR="00EC7EDF" w:rsidRPr="00FD211F">
        <w:rPr>
          <w:sz w:val="36"/>
          <w:szCs w:val="36"/>
          <w:rtl/>
        </w:rPr>
        <w:t xml:space="preserve">ة </w:t>
      </w:r>
      <w:r w:rsidRPr="00FD211F">
        <w:rPr>
          <w:sz w:val="36"/>
          <w:szCs w:val="36"/>
          <w:rtl/>
        </w:rPr>
        <w:t>في مرحل</w:t>
      </w:r>
      <w:r w:rsidR="00EC7EDF" w:rsidRPr="00FD211F">
        <w:rPr>
          <w:sz w:val="36"/>
          <w:szCs w:val="36"/>
          <w:rtl/>
        </w:rPr>
        <w:t xml:space="preserve">ة </w:t>
      </w:r>
      <w:r w:rsidRPr="00FD211F">
        <w:rPr>
          <w:sz w:val="36"/>
          <w:szCs w:val="36"/>
          <w:rtl/>
        </w:rPr>
        <w:t>الاستعمال</w:t>
      </w:r>
      <w:r w:rsidR="00603323" w:rsidRPr="00FD211F">
        <w:rPr>
          <w:sz w:val="36"/>
          <w:szCs w:val="36"/>
          <w:rtl/>
        </w:rPr>
        <w:t xml:space="preserve">، </w:t>
      </w:r>
      <w:r w:rsidRPr="00FD211F">
        <w:rPr>
          <w:sz w:val="36"/>
          <w:szCs w:val="36"/>
          <w:rtl/>
        </w:rPr>
        <w:t>غايته انه لوتم ذلك لزم منه امتناع سببي</w:t>
      </w:r>
      <w:r w:rsidR="00EC7EDF" w:rsidRPr="00FD211F">
        <w:rPr>
          <w:sz w:val="36"/>
          <w:szCs w:val="36"/>
          <w:rtl/>
        </w:rPr>
        <w:t xml:space="preserve">ة </w:t>
      </w:r>
      <w:r w:rsidRPr="00FD211F">
        <w:rPr>
          <w:sz w:val="36"/>
          <w:szCs w:val="36"/>
          <w:rtl/>
        </w:rPr>
        <w:t>اللفظ الواحد لتصور المعنيين</w:t>
      </w:r>
      <w:r w:rsidR="00603323" w:rsidRPr="00FD211F">
        <w:rPr>
          <w:sz w:val="36"/>
          <w:szCs w:val="36"/>
          <w:rtl/>
        </w:rPr>
        <w:t xml:space="preserve">، </w:t>
      </w:r>
      <w:r w:rsidRPr="00FD211F">
        <w:rPr>
          <w:sz w:val="36"/>
          <w:szCs w:val="36"/>
          <w:rtl/>
        </w:rPr>
        <w:t>فيوجب ذلك اجمال اللفظ وعدم تصور السامع للمعنيين لاامتناع استعمال المتكلم اللفظ في اكثر من معنى واحد.</w:t>
      </w:r>
    </w:p>
    <w:p w14:paraId="0480EF99" w14:textId="77777777" w:rsidR="00052BF2" w:rsidRPr="00FD211F" w:rsidRDefault="00052BF2" w:rsidP="009C58C8">
      <w:pPr>
        <w:ind w:left="0" w:firstLine="227"/>
        <w:jc w:val="both"/>
        <w:rPr>
          <w:sz w:val="36"/>
          <w:szCs w:val="36"/>
          <w:rtl/>
        </w:rPr>
      </w:pPr>
      <w:r w:rsidRPr="00FD211F">
        <w:rPr>
          <w:sz w:val="36"/>
          <w:szCs w:val="36"/>
          <w:rtl/>
        </w:rPr>
        <w:t xml:space="preserve">4- ما ذكره المحقق العراقي </w:t>
      </w:r>
      <w:r w:rsidR="00F03FE1" w:rsidRPr="00FD211F">
        <w:rPr>
          <w:sz w:val="36"/>
          <w:szCs w:val="36"/>
          <w:rtl/>
        </w:rPr>
        <w:t>"</w:t>
      </w:r>
      <w:r w:rsidRPr="00FD211F">
        <w:rPr>
          <w:sz w:val="36"/>
          <w:szCs w:val="36"/>
          <w:rtl/>
        </w:rPr>
        <w:t>قده</w:t>
      </w:r>
      <w:r w:rsidR="00F03FE1" w:rsidRPr="00FD211F">
        <w:rPr>
          <w:sz w:val="36"/>
          <w:szCs w:val="36"/>
          <w:rtl/>
        </w:rPr>
        <w:t>"</w:t>
      </w:r>
      <w:r w:rsidRPr="00FD211F">
        <w:rPr>
          <w:sz w:val="36"/>
          <w:szCs w:val="36"/>
          <w:rtl/>
        </w:rPr>
        <w:t xml:space="preserve"> من انه حيث يلزم في الاستعمال عبور اللحاظ من اللفظ الى المعنى واستقراره عليه فمع تعدد المعنى فلابد من تعلق اللحاظين الآليين باللفظ وهو محال لاستلزامه اجتماع اللحاظين</w:t>
      </w:r>
      <w:r w:rsidR="009C58C8" w:rsidRPr="00FD211F">
        <w:rPr>
          <w:rStyle w:val="a6"/>
          <w:sz w:val="36"/>
          <w:szCs w:val="36"/>
          <w:rtl/>
        </w:rPr>
        <w:t>(</w:t>
      </w:r>
      <w:r w:rsidR="009C58C8" w:rsidRPr="00FD211F">
        <w:rPr>
          <w:rStyle w:val="a6"/>
          <w:sz w:val="36"/>
          <w:szCs w:val="36"/>
          <w:rtl/>
        </w:rPr>
        <w:footnoteReference w:id="459"/>
      </w:r>
      <w:r w:rsidR="009C58C8" w:rsidRPr="00FD211F">
        <w:rPr>
          <w:rStyle w:val="a6"/>
          <w:sz w:val="36"/>
          <w:szCs w:val="36"/>
          <w:rtl/>
        </w:rPr>
        <w:t>)</w:t>
      </w:r>
      <w:r w:rsidRPr="00FD211F">
        <w:rPr>
          <w:sz w:val="36"/>
          <w:szCs w:val="36"/>
          <w:rtl/>
        </w:rPr>
        <w:t>.</w:t>
      </w:r>
    </w:p>
    <w:p w14:paraId="61746B71" w14:textId="77777777" w:rsidR="00F03FE1" w:rsidRPr="00FD211F" w:rsidRDefault="00052BF2" w:rsidP="009C58C8">
      <w:pPr>
        <w:ind w:left="0" w:firstLine="227"/>
        <w:jc w:val="both"/>
        <w:rPr>
          <w:sz w:val="36"/>
          <w:szCs w:val="36"/>
          <w:rtl/>
        </w:rPr>
      </w:pPr>
      <w:r w:rsidRPr="00FD211F">
        <w:rPr>
          <w:sz w:val="36"/>
          <w:szCs w:val="36"/>
          <w:rtl/>
        </w:rPr>
        <w:t xml:space="preserve">ويلاحظ عليه </w:t>
      </w:r>
      <w:r w:rsidRPr="00FD211F">
        <w:rPr>
          <w:b/>
          <w:bCs/>
          <w:sz w:val="36"/>
          <w:szCs w:val="36"/>
          <w:rtl/>
        </w:rPr>
        <w:t>اولا</w:t>
      </w:r>
      <w:r w:rsidRPr="00FD211F">
        <w:rPr>
          <w:sz w:val="36"/>
          <w:szCs w:val="36"/>
          <w:rtl/>
        </w:rPr>
        <w:t>: ان المراد من آلي</w:t>
      </w:r>
      <w:r w:rsidR="00EC7EDF" w:rsidRPr="00FD211F">
        <w:rPr>
          <w:sz w:val="36"/>
          <w:szCs w:val="36"/>
          <w:rtl/>
        </w:rPr>
        <w:t xml:space="preserve">ة </w:t>
      </w:r>
      <w:r w:rsidRPr="00FD211F">
        <w:rPr>
          <w:sz w:val="36"/>
          <w:szCs w:val="36"/>
          <w:rtl/>
        </w:rPr>
        <w:t>لحاظ اللفظ هو كون اللفظ مع وجوده في الذهن مغفولا عنه حسب المتعارف وهذا محفوظ في المقام ايضا</w:t>
      </w:r>
      <w:r w:rsidR="00EC7EDF" w:rsidRPr="00FD211F">
        <w:rPr>
          <w:sz w:val="36"/>
          <w:szCs w:val="36"/>
          <w:rtl/>
        </w:rPr>
        <w:t>.</w:t>
      </w:r>
    </w:p>
    <w:p w14:paraId="4A4AAF7D" w14:textId="77777777" w:rsidR="00052BF2" w:rsidRPr="00FD211F" w:rsidRDefault="00052BF2" w:rsidP="009C58C8">
      <w:pPr>
        <w:ind w:left="0" w:firstLine="227"/>
        <w:jc w:val="both"/>
        <w:rPr>
          <w:sz w:val="36"/>
          <w:szCs w:val="36"/>
          <w:rtl/>
        </w:rPr>
      </w:pPr>
      <w:r w:rsidRPr="00FD211F">
        <w:rPr>
          <w:b/>
          <w:bCs/>
          <w:sz w:val="36"/>
          <w:szCs w:val="36"/>
          <w:rtl/>
        </w:rPr>
        <w:t>وث</w:t>
      </w:r>
      <w:r w:rsidR="00AA794E" w:rsidRPr="00FD211F">
        <w:rPr>
          <w:b/>
          <w:bCs/>
          <w:sz w:val="36"/>
          <w:szCs w:val="36"/>
          <w:rtl/>
        </w:rPr>
        <w:t>اني</w:t>
      </w:r>
      <w:r w:rsidRPr="00FD211F">
        <w:rPr>
          <w:b/>
          <w:bCs/>
          <w:sz w:val="36"/>
          <w:szCs w:val="36"/>
          <w:rtl/>
        </w:rPr>
        <w:t>ا</w:t>
      </w:r>
      <w:r w:rsidRPr="00FD211F">
        <w:rPr>
          <w:sz w:val="36"/>
          <w:szCs w:val="36"/>
          <w:rtl/>
        </w:rPr>
        <w:t>: ان التعبير من عبور اللحاظ من اللفظ الى المعنى واستقراره عليه غير متجه</w:t>
      </w:r>
      <w:r w:rsidR="00603323" w:rsidRPr="00FD211F">
        <w:rPr>
          <w:sz w:val="36"/>
          <w:szCs w:val="36"/>
          <w:rtl/>
        </w:rPr>
        <w:t xml:space="preserve">، </w:t>
      </w:r>
      <w:r w:rsidRPr="00FD211F">
        <w:rPr>
          <w:sz w:val="36"/>
          <w:szCs w:val="36"/>
          <w:rtl/>
        </w:rPr>
        <w:t>أما المتكلم فانه يلحظ المعنى قبل لحاظه اللفظ</w:t>
      </w:r>
      <w:r w:rsidR="00603323" w:rsidRPr="00FD211F">
        <w:rPr>
          <w:sz w:val="36"/>
          <w:szCs w:val="36"/>
          <w:rtl/>
        </w:rPr>
        <w:t xml:space="preserve">، </w:t>
      </w:r>
      <w:r w:rsidRPr="00FD211F">
        <w:rPr>
          <w:sz w:val="36"/>
          <w:szCs w:val="36"/>
          <w:rtl/>
        </w:rPr>
        <w:t>واما السامع فلحاظه للفظ موجب لانتقال ذهنه الى لحاظ المعنى فهناك لحاظان</w:t>
      </w:r>
      <w:r w:rsidR="00603323" w:rsidRPr="00FD211F">
        <w:rPr>
          <w:sz w:val="36"/>
          <w:szCs w:val="36"/>
          <w:rtl/>
        </w:rPr>
        <w:t xml:space="preserve">، </w:t>
      </w:r>
      <w:r w:rsidRPr="00FD211F">
        <w:rPr>
          <w:sz w:val="36"/>
          <w:szCs w:val="36"/>
          <w:rtl/>
        </w:rPr>
        <w:t>وان كان لحاظ اللفظ مغفول عنه تفصيلا حسب المتعارف</w:t>
      </w:r>
      <w:r w:rsidR="00603323" w:rsidRPr="00FD211F">
        <w:rPr>
          <w:sz w:val="36"/>
          <w:szCs w:val="36"/>
          <w:rtl/>
        </w:rPr>
        <w:t xml:space="preserve">، </w:t>
      </w:r>
      <w:r w:rsidRPr="00FD211F">
        <w:rPr>
          <w:sz w:val="36"/>
          <w:szCs w:val="36"/>
          <w:rtl/>
        </w:rPr>
        <w:t>فلاينبغي التعبير بعبور اللحاظ من اللفظ الى المعنى حيث يوهم ذلك ان هناك لحاظا واحدا يعبر من اللفظ ويصل الى المعنى.</w:t>
      </w:r>
    </w:p>
    <w:p w14:paraId="2E3B3C68" w14:textId="77777777" w:rsidR="00E06592" w:rsidRPr="00FD211F" w:rsidRDefault="00052BF2" w:rsidP="009C58C8">
      <w:pPr>
        <w:ind w:left="0" w:firstLine="227"/>
        <w:jc w:val="both"/>
        <w:rPr>
          <w:sz w:val="36"/>
          <w:szCs w:val="36"/>
          <w:rtl/>
        </w:rPr>
      </w:pPr>
      <w:r w:rsidRPr="00FD211F">
        <w:rPr>
          <w:sz w:val="36"/>
          <w:szCs w:val="36"/>
          <w:rtl/>
        </w:rPr>
        <w:t>5- ما ذكره المحقق الاصفهاني</w:t>
      </w:r>
      <w:r w:rsidR="00A61BAE" w:rsidRPr="00FD211F">
        <w:rPr>
          <w:sz w:val="36"/>
          <w:szCs w:val="36"/>
          <w:rtl/>
        </w:rPr>
        <w:t xml:space="preserve"> </w:t>
      </w:r>
      <w:r w:rsidR="00A24412" w:rsidRPr="00FD211F">
        <w:rPr>
          <w:sz w:val="36"/>
          <w:szCs w:val="36"/>
          <w:rtl/>
        </w:rPr>
        <w:t>"قده"</w:t>
      </w:r>
      <w:r w:rsidR="00A61BAE" w:rsidRPr="00FD211F">
        <w:rPr>
          <w:sz w:val="36"/>
          <w:szCs w:val="36"/>
          <w:rtl/>
        </w:rPr>
        <w:t xml:space="preserve"> </w:t>
      </w:r>
      <w:r w:rsidRPr="00FD211F">
        <w:rPr>
          <w:sz w:val="36"/>
          <w:szCs w:val="36"/>
          <w:rtl/>
        </w:rPr>
        <w:t xml:space="preserve">من ان الاستعمال لما كان ايجاد المعنى باللفظ بالعرض أي </w:t>
      </w:r>
      <w:r w:rsidR="00E06592" w:rsidRPr="00FD211F">
        <w:rPr>
          <w:sz w:val="36"/>
          <w:szCs w:val="36"/>
          <w:rtl/>
        </w:rPr>
        <w:t>تنزيلا وادعاء</w:t>
      </w:r>
      <w:r w:rsidR="00603323" w:rsidRPr="00FD211F">
        <w:rPr>
          <w:sz w:val="36"/>
          <w:szCs w:val="36"/>
          <w:rtl/>
        </w:rPr>
        <w:t xml:space="preserve">، </w:t>
      </w:r>
      <w:r w:rsidRPr="00FD211F">
        <w:rPr>
          <w:sz w:val="36"/>
          <w:szCs w:val="36"/>
          <w:rtl/>
        </w:rPr>
        <w:t>اذ اللفظ منزّل منزل</w:t>
      </w:r>
      <w:r w:rsidR="00EC7EDF" w:rsidRPr="00FD211F">
        <w:rPr>
          <w:sz w:val="36"/>
          <w:szCs w:val="36"/>
          <w:rtl/>
        </w:rPr>
        <w:t xml:space="preserve">ة </w:t>
      </w:r>
      <w:r w:rsidRPr="00FD211F">
        <w:rPr>
          <w:sz w:val="36"/>
          <w:szCs w:val="36"/>
          <w:rtl/>
        </w:rPr>
        <w:t>المعنى</w:t>
      </w:r>
      <w:r w:rsidR="00603323" w:rsidRPr="00FD211F">
        <w:rPr>
          <w:sz w:val="36"/>
          <w:szCs w:val="36"/>
          <w:rtl/>
        </w:rPr>
        <w:t xml:space="preserve">، </w:t>
      </w:r>
      <w:r w:rsidRPr="00FD211F">
        <w:rPr>
          <w:sz w:val="36"/>
          <w:szCs w:val="36"/>
          <w:rtl/>
        </w:rPr>
        <w:t>فيكون اللفظ وجودا تنزيليا للمعنى</w:t>
      </w:r>
      <w:r w:rsidR="00603323" w:rsidRPr="00FD211F">
        <w:rPr>
          <w:sz w:val="36"/>
          <w:szCs w:val="36"/>
          <w:rtl/>
        </w:rPr>
        <w:t xml:space="preserve">، </w:t>
      </w:r>
      <w:r w:rsidR="00E06592" w:rsidRPr="00FD211F">
        <w:rPr>
          <w:sz w:val="36"/>
          <w:szCs w:val="36"/>
          <w:rtl/>
        </w:rPr>
        <w:t>فلايمكن ان يكون لفظ واحد وجودا تنزيليا لمعنيين لانه كما لايمكن ان يكون</w:t>
      </w:r>
      <w:r w:rsidR="00FA7964" w:rsidRPr="00FD211F">
        <w:rPr>
          <w:sz w:val="36"/>
          <w:szCs w:val="36"/>
          <w:rtl/>
        </w:rPr>
        <w:t xml:space="preserve"> شيء</w:t>
      </w:r>
      <w:r w:rsidR="00E06592" w:rsidRPr="00FD211F">
        <w:rPr>
          <w:sz w:val="36"/>
          <w:szCs w:val="36"/>
          <w:rtl/>
        </w:rPr>
        <w:t xml:space="preserve">واحد وجودا حقيقيا لشيئين فكذلك </w:t>
      </w:r>
      <w:r w:rsidRPr="00FD211F">
        <w:rPr>
          <w:sz w:val="36"/>
          <w:szCs w:val="36"/>
          <w:rtl/>
        </w:rPr>
        <w:t xml:space="preserve">لايمكن ان يكون وجودا تنزيليا </w:t>
      </w:r>
      <w:r w:rsidR="00E06592" w:rsidRPr="00FD211F">
        <w:rPr>
          <w:sz w:val="36"/>
          <w:szCs w:val="36"/>
          <w:rtl/>
        </w:rPr>
        <w:t>لهما.</w:t>
      </w:r>
    </w:p>
    <w:p w14:paraId="31892E22" w14:textId="77777777" w:rsidR="00052BF2" w:rsidRPr="00FD211F" w:rsidRDefault="00E06592" w:rsidP="009C58C8">
      <w:pPr>
        <w:ind w:left="0" w:firstLine="227"/>
        <w:jc w:val="both"/>
        <w:rPr>
          <w:sz w:val="36"/>
          <w:szCs w:val="36"/>
          <w:rtl/>
        </w:rPr>
      </w:pPr>
      <w:r w:rsidRPr="00FD211F">
        <w:rPr>
          <w:sz w:val="36"/>
          <w:szCs w:val="36"/>
          <w:rtl/>
        </w:rPr>
        <w:t>وبالجمل</w:t>
      </w:r>
      <w:r w:rsidR="00EC7EDF" w:rsidRPr="00FD211F">
        <w:rPr>
          <w:sz w:val="36"/>
          <w:szCs w:val="36"/>
          <w:rtl/>
        </w:rPr>
        <w:t xml:space="preserve">ة </w:t>
      </w:r>
      <w:r w:rsidRPr="00FD211F">
        <w:rPr>
          <w:sz w:val="36"/>
          <w:szCs w:val="36"/>
          <w:rtl/>
        </w:rPr>
        <w:t>ان اللفظ اذا استعمل في معنى باستقلاله فمعناه ان اللفظ ايجاد تنزيلي مستقل لذلك المعنى</w:t>
      </w:r>
      <w:r w:rsidR="00603323" w:rsidRPr="00FD211F">
        <w:rPr>
          <w:sz w:val="36"/>
          <w:szCs w:val="36"/>
          <w:rtl/>
        </w:rPr>
        <w:t xml:space="preserve">، </w:t>
      </w:r>
      <w:r w:rsidRPr="00FD211F">
        <w:rPr>
          <w:sz w:val="36"/>
          <w:szCs w:val="36"/>
          <w:rtl/>
        </w:rPr>
        <w:t>وهذا يعني أن اللفظ وجود تنزيلي مستقل لذلك المعنى</w:t>
      </w:r>
      <w:r w:rsidR="00603323" w:rsidRPr="00FD211F">
        <w:rPr>
          <w:sz w:val="36"/>
          <w:szCs w:val="36"/>
          <w:rtl/>
        </w:rPr>
        <w:t xml:space="preserve">، </w:t>
      </w:r>
      <w:r w:rsidRPr="00FD211F">
        <w:rPr>
          <w:sz w:val="36"/>
          <w:szCs w:val="36"/>
          <w:rtl/>
        </w:rPr>
        <w:t>وحيث انه ليس الوجود التنزيلي للمعنى الا نفس الوجود الحقيقي للفظ فالاستقلال في الوجود التنزيلي يقتضي الاستقلال في الوجود الحقيقي</w:t>
      </w:r>
      <w:r w:rsidR="00603323" w:rsidRPr="00FD211F">
        <w:rPr>
          <w:sz w:val="36"/>
          <w:szCs w:val="36"/>
          <w:rtl/>
        </w:rPr>
        <w:t xml:space="preserve">، </w:t>
      </w:r>
      <w:r w:rsidRPr="00FD211F">
        <w:rPr>
          <w:sz w:val="36"/>
          <w:szCs w:val="36"/>
          <w:rtl/>
        </w:rPr>
        <w:t>فلايمكن ان يكون الوجود الحقيقي واحدا ومع ذلك يكون وجودين تنزيليين لمعنيين</w:t>
      </w:r>
      <w:r w:rsidR="009C58C8" w:rsidRPr="00FD211F">
        <w:rPr>
          <w:rStyle w:val="a6"/>
          <w:sz w:val="36"/>
          <w:szCs w:val="36"/>
          <w:rtl/>
        </w:rPr>
        <w:t>(</w:t>
      </w:r>
      <w:r w:rsidR="009C58C8" w:rsidRPr="00FD211F">
        <w:rPr>
          <w:rStyle w:val="a6"/>
          <w:sz w:val="36"/>
          <w:szCs w:val="36"/>
          <w:rtl/>
        </w:rPr>
        <w:footnoteReference w:id="460"/>
      </w:r>
      <w:r w:rsidR="009C58C8" w:rsidRPr="00FD211F">
        <w:rPr>
          <w:rStyle w:val="a6"/>
          <w:sz w:val="36"/>
          <w:szCs w:val="36"/>
          <w:rtl/>
        </w:rPr>
        <w:t>)</w:t>
      </w:r>
      <w:r w:rsidR="00052BF2" w:rsidRPr="00FD211F">
        <w:rPr>
          <w:sz w:val="36"/>
          <w:szCs w:val="36"/>
          <w:rtl/>
        </w:rPr>
        <w:t>.</w:t>
      </w:r>
    </w:p>
    <w:p w14:paraId="76BBABB6" w14:textId="77777777" w:rsidR="000C5BBA" w:rsidRPr="00FD211F" w:rsidRDefault="00052BF2" w:rsidP="009C58C8">
      <w:pPr>
        <w:ind w:left="0" w:firstLine="227"/>
        <w:jc w:val="both"/>
        <w:rPr>
          <w:rStyle w:val="a6"/>
          <w:sz w:val="36"/>
          <w:szCs w:val="36"/>
          <w:rtl/>
        </w:rPr>
      </w:pPr>
      <w:r w:rsidRPr="00FD211F">
        <w:rPr>
          <w:sz w:val="36"/>
          <w:szCs w:val="36"/>
          <w:rtl/>
        </w:rPr>
        <w:t xml:space="preserve">وفيه </w:t>
      </w:r>
      <w:r w:rsidRPr="00FD211F">
        <w:rPr>
          <w:b/>
          <w:bCs/>
          <w:sz w:val="36"/>
          <w:szCs w:val="36"/>
          <w:rtl/>
        </w:rPr>
        <w:t>اولا</w:t>
      </w:r>
      <w:r w:rsidRPr="00FD211F">
        <w:rPr>
          <w:sz w:val="36"/>
          <w:szCs w:val="36"/>
          <w:rtl/>
        </w:rPr>
        <w:t>: ان هذا خلف مبناه في تفسير حقيق</w:t>
      </w:r>
      <w:r w:rsidR="00EC7EDF" w:rsidRPr="00FD211F">
        <w:rPr>
          <w:sz w:val="36"/>
          <w:szCs w:val="36"/>
          <w:rtl/>
        </w:rPr>
        <w:t xml:space="preserve">ة </w:t>
      </w:r>
      <w:r w:rsidRPr="00FD211F">
        <w:rPr>
          <w:sz w:val="36"/>
          <w:szCs w:val="36"/>
          <w:rtl/>
        </w:rPr>
        <w:t>الوضع من انه اعتبار اللفظ على المعنى كوضع العَلَم على المكان ليدل على انه رأس الفرسخ</w:t>
      </w:r>
      <w:r w:rsidR="00603323" w:rsidRPr="00FD211F">
        <w:rPr>
          <w:sz w:val="36"/>
          <w:szCs w:val="36"/>
          <w:rtl/>
        </w:rPr>
        <w:t xml:space="preserve">، </w:t>
      </w:r>
      <w:r w:rsidRPr="00FD211F">
        <w:rPr>
          <w:sz w:val="36"/>
          <w:szCs w:val="36"/>
          <w:rtl/>
        </w:rPr>
        <w:t>فان تنزيل اللفظ منزل</w:t>
      </w:r>
      <w:r w:rsidR="00EC7EDF" w:rsidRPr="00FD211F">
        <w:rPr>
          <w:sz w:val="36"/>
          <w:szCs w:val="36"/>
          <w:rtl/>
        </w:rPr>
        <w:t xml:space="preserve">ة </w:t>
      </w:r>
      <w:r w:rsidRPr="00FD211F">
        <w:rPr>
          <w:sz w:val="36"/>
          <w:szCs w:val="36"/>
          <w:rtl/>
        </w:rPr>
        <w:t>المعنى لابد ان يكون في مرحل</w:t>
      </w:r>
      <w:r w:rsidR="00EC7EDF" w:rsidRPr="00FD211F">
        <w:rPr>
          <w:sz w:val="36"/>
          <w:szCs w:val="36"/>
          <w:rtl/>
        </w:rPr>
        <w:t xml:space="preserve">ة </w:t>
      </w:r>
      <w:r w:rsidRPr="00FD211F">
        <w:rPr>
          <w:sz w:val="36"/>
          <w:szCs w:val="36"/>
          <w:rtl/>
        </w:rPr>
        <w:t>الوضع كما صرح بذلك نفسه في بحث علامات الحقيق</w:t>
      </w:r>
      <w:r w:rsidR="00EC7EDF" w:rsidRPr="00FD211F">
        <w:rPr>
          <w:sz w:val="36"/>
          <w:szCs w:val="36"/>
          <w:rtl/>
        </w:rPr>
        <w:t xml:space="preserve">ة </w:t>
      </w:r>
      <w:r w:rsidRPr="00FD211F">
        <w:rPr>
          <w:sz w:val="36"/>
          <w:szCs w:val="36"/>
          <w:rtl/>
        </w:rPr>
        <w:t>والمجاز</w:t>
      </w:r>
      <w:r w:rsidR="009C58C8" w:rsidRPr="00FD211F">
        <w:rPr>
          <w:rStyle w:val="a6"/>
          <w:sz w:val="36"/>
          <w:szCs w:val="36"/>
          <w:rtl/>
        </w:rPr>
        <w:t>(</w:t>
      </w:r>
      <w:r w:rsidR="009C58C8" w:rsidRPr="00FD211F">
        <w:rPr>
          <w:rStyle w:val="a6"/>
          <w:sz w:val="36"/>
          <w:szCs w:val="36"/>
          <w:rtl/>
        </w:rPr>
        <w:footnoteReference w:id="461"/>
      </w:r>
      <w:r w:rsidR="009C58C8" w:rsidRPr="00FD211F">
        <w:rPr>
          <w:rStyle w:val="a6"/>
          <w:sz w:val="36"/>
          <w:szCs w:val="36"/>
          <w:rtl/>
        </w:rPr>
        <w:t>)</w:t>
      </w:r>
      <w:r w:rsidR="00F03FE1" w:rsidRPr="00FD211F">
        <w:rPr>
          <w:rStyle w:val="a6"/>
          <w:sz w:val="36"/>
          <w:szCs w:val="36"/>
          <w:rtl/>
        </w:rPr>
        <w:t>.</w:t>
      </w:r>
    </w:p>
    <w:p w14:paraId="18B74B66" w14:textId="77777777" w:rsidR="00052BF2"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xml:space="preserve">: انه لامانع من تنزيل </w:t>
      </w:r>
      <w:r w:rsidR="008D7B3D" w:rsidRPr="00FD211F">
        <w:rPr>
          <w:sz w:val="36"/>
          <w:szCs w:val="36"/>
          <w:rtl/>
        </w:rPr>
        <w:t xml:space="preserve">شيء </w:t>
      </w:r>
      <w:r w:rsidRPr="00FD211F">
        <w:rPr>
          <w:sz w:val="36"/>
          <w:szCs w:val="36"/>
          <w:rtl/>
        </w:rPr>
        <w:t>واحد منزل</w:t>
      </w:r>
      <w:r w:rsidR="00EC7EDF" w:rsidRPr="00FD211F">
        <w:rPr>
          <w:sz w:val="36"/>
          <w:szCs w:val="36"/>
          <w:rtl/>
        </w:rPr>
        <w:t xml:space="preserve">ة </w:t>
      </w:r>
      <w:r w:rsidRPr="00FD211F">
        <w:rPr>
          <w:sz w:val="36"/>
          <w:szCs w:val="36"/>
          <w:rtl/>
        </w:rPr>
        <w:t>شيئين فان التنزيل والادعاء سهل المؤون</w:t>
      </w:r>
      <w:r w:rsidR="00EC7EDF" w:rsidRPr="00FD211F">
        <w:rPr>
          <w:sz w:val="36"/>
          <w:szCs w:val="36"/>
          <w:rtl/>
        </w:rPr>
        <w:t>ة</w:t>
      </w:r>
      <w:r w:rsidR="00603323" w:rsidRPr="00FD211F">
        <w:rPr>
          <w:sz w:val="36"/>
          <w:szCs w:val="36"/>
          <w:rtl/>
        </w:rPr>
        <w:t xml:space="preserve">، </w:t>
      </w:r>
      <w:r w:rsidRPr="00FD211F">
        <w:rPr>
          <w:sz w:val="36"/>
          <w:szCs w:val="36"/>
          <w:rtl/>
        </w:rPr>
        <w:t>ولولا ذلك لامتنع الاشتراك اللفظي ووضع لفظ واحد على اكثر من معنى</w:t>
      </w:r>
      <w:r w:rsidR="00603323" w:rsidRPr="00FD211F">
        <w:rPr>
          <w:sz w:val="36"/>
          <w:szCs w:val="36"/>
          <w:rtl/>
        </w:rPr>
        <w:t xml:space="preserve">، </w:t>
      </w:r>
      <w:r w:rsidRPr="00FD211F">
        <w:rPr>
          <w:sz w:val="36"/>
          <w:szCs w:val="36"/>
          <w:rtl/>
        </w:rPr>
        <w:t>وحيث ان المفروض امكانه فيكون استعمال حينئذ ايجادا لجميع المعاني الموضوع له اللفظ بالإيجاد التنزيلي.</w:t>
      </w:r>
    </w:p>
    <w:p w14:paraId="4AD43948" w14:textId="77777777" w:rsidR="00052BF2" w:rsidRPr="00FD211F" w:rsidRDefault="00E06592" w:rsidP="009C58C8">
      <w:pPr>
        <w:ind w:left="0" w:firstLine="227"/>
        <w:jc w:val="both"/>
        <w:rPr>
          <w:sz w:val="36"/>
          <w:szCs w:val="36"/>
          <w:rtl/>
        </w:rPr>
      </w:pPr>
      <w:r w:rsidRPr="00FD211F">
        <w:rPr>
          <w:b/>
          <w:bCs/>
          <w:sz w:val="36"/>
          <w:szCs w:val="36"/>
          <w:rtl/>
        </w:rPr>
        <w:t>وثالثا</w:t>
      </w:r>
      <w:r w:rsidRPr="00FD211F">
        <w:rPr>
          <w:sz w:val="36"/>
          <w:szCs w:val="36"/>
          <w:rtl/>
        </w:rPr>
        <w:t>:</w:t>
      </w:r>
      <w:r w:rsidR="00052BF2" w:rsidRPr="00FD211F">
        <w:rPr>
          <w:sz w:val="36"/>
          <w:szCs w:val="36"/>
          <w:rtl/>
        </w:rPr>
        <w:t>ان الاستقلال في الاستعمال يعني لحاظ المعنى بما هو على نحو يُرَى اللفظ منبسطا عليه ومتحدا معه بالنظر التصوري</w:t>
      </w:r>
      <w:r w:rsidR="00603323" w:rsidRPr="00FD211F">
        <w:rPr>
          <w:sz w:val="36"/>
          <w:szCs w:val="36"/>
          <w:rtl/>
        </w:rPr>
        <w:t xml:space="preserve">، </w:t>
      </w:r>
      <w:r w:rsidR="00F6181D" w:rsidRPr="00FD211F">
        <w:rPr>
          <w:sz w:val="36"/>
          <w:szCs w:val="36"/>
          <w:rtl/>
        </w:rPr>
        <w:t>في قبال</w:t>
      </w:r>
      <w:r w:rsidR="00B253CE" w:rsidRPr="00FD211F">
        <w:rPr>
          <w:sz w:val="36"/>
          <w:szCs w:val="36"/>
          <w:rtl/>
        </w:rPr>
        <w:t xml:space="preserve"> </w:t>
      </w:r>
      <w:r w:rsidR="00052BF2" w:rsidRPr="00FD211F">
        <w:rPr>
          <w:sz w:val="36"/>
          <w:szCs w:val="36"/>
          <w:rtl/>
        </w:rPr>
        <w:t>ان يرى اللفظ منبسطا عل</w:t>
      </w:r>
      <w:r w:rsidR="00F6181D" w:rsidRPr="00FD211F">
        <w:rPr>
          <w:sz w:val="36"/>
          <w:szCs w:val="36"/>
          <w:rtl/>
        </w:rPr>
        <w:t>ى</w:t>
      </w:r>
      <w:r w:rsidR="00052BF2" w:rsidRPr="00FD211F">
        <w:rPr>
          <w:sz w:val="36"/>
          <w:szCs w:val="36"/>
          <w:rtl/>
        </w:rPr>
        <w:t xml:space="preserve"> مجموع المعنيين</w:t>
      </w:r>
      <w:r w:rsidR="00603323" w:rsidRPr="00FD211F">
        <w:rPr>
          <w:sz w:val="36"/>
          <w:szCs w:val="36"/>
          <w:rtl/>
        </w:rPr>
        <w:t xml:space="preserve">، </w:t>
      </w:r>
      <w:r w:rsidR="00052BF2" w:rsidRPr="00FD211F">
        <w:rPr>
          <w:sz w:val="36"/>
          <w:szCs w:val="36"/>
          <w:rtl/>
        </w:rPr>
        <w:t>فما ذكره من انه لايجتمع وحد</w:t>
      </w:r>
      <w:r w:rsidR="00EC7EDF" w:rsidRPr="00FD211F">
        <w:rPr>
          <w:sz w:val="36"/>
          <w:szCs w:val="36"/>
          <w:rtl/>
        </w:rPr>
        <w:t xml:space="preserve">ة </w:t>
      </w:r>
      <w:r w:rsidR="00052BF2" w:rsidRPr="00FD211F">
        <w:rPr>
          <w:sz w:val="36"/>
          <w:szCs w:val="36"/>
          <w:rtl/>
        </w:rPr>
        <w:t>الوجود الحقيقي للفظ مع تعدد وجوده التنزيلي المستقل للمعنى ففي غير محله</w:t>
      </w:r>
      <w:r w:rsidR="00603323" w:rsidRPr="00FD211F">
        <w:rPr>
          <w:sz w:val="36"/>
          <w:szCs w:val="36"/>
          <w:rtl/>
        </w:rPr>
        <w:t xml:space="preserve">، </w:t>
      </w:r>
      <w:r w:rsidR="00052BF2" w:rsidRPr="00FD211F">
        <w:rPr>
          <w:sz w:val="36"/>
          <w:szCs w:val="36"/>
          <w:rtl/>
        </w:rPr>
        <w:t>حيث ان الاستقلال في الوجود التنزيلي للمعنى يجتمع مع ان يكون وجود حقيقي واحد منزلا منزل</w:t>
      </w:r>
      <w:r w:rsidR="00EC7EDF" w:rsidRPr="00FD211F">
        <w:rPr>
          <w:sz w:val="36"/>
          <w:szCs w:val="36"/>
          <w:rtl/>
        </w:rPr>
        <w:t xml:space="preserve">ة </w:t>
      </w:r>
      <w:r w:rsidR="00052BF2" w:rsidRPr="00FD211F">
        <w:rPr>
          <w:sz w:val="36"/>
          <w:szCs w:val="36"/>
          <w:rtl/>
        </w:rPr>
        <w:t>معنيين مستقلين.</w:t>
      </w:r>
    </w:p>
    <w:p w14:paraId="4AA665F5" w14:textId="77777777" w:rsidR="00052BF2" w:rsidRPr="00FD211F" w:rsidRDefault="00052BF2" w:rsidP="009C58C8">
      <w:pPr>
        <w:ind w:left="0" w:firstLine="227"/>
        <w:jc w:val="both"/>
        <w:rPr>
          <w:sz w:val="36"/>
          <w:szCs w:val="36"/>
          <w:rtl/>
        </w:rPr>
      </w:pPr>
      <w:r w:rsidRPr="00FD211F">
        <w:rPr>
          <w:sz w:val="36"/>
          <w:szCs w:val="36"/>
          <w:rtl/>
        </w:rPr>
        <w:t>فالانصاف عدم تمامي</w:t>
      </w:r>
      <w:r w:rsidR="00EC7EDF" w:rsidRPr="00FD211F">
        <w:rPr>
          <w:sz w:val="36"/>
          <w:szCs w:val="36"/>
          <w:rtl/>
        </w:rPr>
        <w:t xml:space="preserve">ة </w:t>
      </w:r>
      <w:r w:rsidRPr="00FD211F">
        <w:rPr>
          <w:sz w:val="36"/>
          <w:szCs w:val="36"/>
          <w:rtl/>
        </w:rPr>
        <w:t>أي من هذه الوجوه على استحال</w:t>
      </w:r>
      <w:r w:rsidR="00EC7EDF" w:rsidRPr="00FD211F">
        <w:rPr>
          <w:sz w:val="36"/>
          <w:szCs w:val="36"/>
          <w:rtl/>
        </w:rPr>
        <w:t xml:space="preserve">ة </w:t>
      </w:r>
      <w:r w:rsidRPr="00FD211F">
        <w:rPr>
          <w:sz w:val="36"/>
          <w:szCs w:val="36"/>
          <w:rtl/>
        </w:rPr>
        <w:t>استعمال اللفظ في اكثر من معنى واحد.</w:t>
      </w:r>
    </w:p>
    <w:p w14:paraId="6CA249EF" w14:textId="77777777" w:rsidR="00052BF2" w:rsidRPr="00FD211F" w:rsidRDefault="00052BF2"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 xml:space="preserve">وقد نقض المحقق الحائري </w:t>
      </w:r>
      <w:r w:rsidR="00F03FE1" w:rsidRPr="00FD211F">
        <w:rPr>
          <w:sz w:val="36"/>
          <w:szCs w:val="36"/>
          <w:rtl/>
        </w:rPr>
        <w:t>"</w:t>
      </w:r>
      <w:r w:rsidRPr="00FD211F">
        <w:rPr>
          <w:sz w:val="36"/>
          <w:szCs w:val="36"/>
          <w:rtl/>
        </w:rPr>
        <w:t>قده</w:t>
      </w:r>
      <w:r w:rsidR="00F03FE1" w:rsidRPr="00FD211F">
        <w:rPr>
          <w:sz w:val="36"/>
          <w:szCs w:val="36"/>
          <w:rtl/>
        </w:rPr>
        <w:t>"</w:t>
      </w:r>
      <w:r w:rsidRPr="00FD211F">
        <w:rPr>
          <w:sz w:val="36"/>
          <w:szCs w:val="36"/>
          <w:rtl/>
        </w:rPr>
        <w:t xml:space="preserve"> على القول باستحال</w:t>
      </w:r>
      <w:r w:rsidR="00EC7EDF" w:rsidRPr="00FD211F">
        <w:rPr>
          <w:sz w:val="36"/>
          <w:szCs w:val="36"/>
          <w:rtl/>
        </w:rPr>
        <w:t xml:space="preserve">ة </w:t>
      </w:r>
      <w:r w:rsidRPr="00FD211F">
        <w:rPr>
          <w:sz w:val="36"/>
          <w:szCs w:val="36"/>
          <w:rtl/>
        </w:rPr>
        <w:t>استعمال اللفظ في اكثر من معنى واحد بموردين:</w:t>
      </w:r>
    </w:p>
    <w:p w14:paraId="28FB3F2D" w14:textId="77777777" w:rsidR="000C5BBA" w:rsidRPr="00FD211F" w:rsidRDefault="00052BF2" w:rsidP="009C58C8">
      <w:pPr>
        <w:ind w:left="0" w:firstLine="227"/>
        <w:jc w:val="both"/>
        <w:rPr>
          <w:sz w:val="36"/>
          <w:szCs w:val="36"/>
          <w:rtl/>
        </w:rPr>
      </w:pPr>
      <w:r w:rsidRPr="00FD211F">
        <w:rPr>
          <w:sz w:val="36"/>
          <w:szCs w:val="36"/>
          <w:rtl/>
        </w:rPr>
        <w:t>1- مورد استعمال العام الاستغراقي حيث يلحظ عنوان واحد فانيا في افراده المتكثر</w:t>
      </w:r>
      <w:r w:rsidR="00EC7EDF" w:rsidRPr="00FD211F">
        <w:rPr>
          <w:sz w:val="36"/>
          <w:szCs w:val="36"/>
          <w:rtl/>
        </w:rPr>
        <w:t xml:space="preserve">ة </w:t>
      </w:r>
      <w:r w:rsidRPr="00FD211F">
        <w:rPr>
          <w:sz w:val="36"/>
          <w:szCs w:val="36"/>
          <w:rtl/>
        </w:rPr>
        <w:t>كقولنا "كل عالم" فاذا امكن ذلك امكن في مقام الاستعمال أيضا ان يلحظ لفظ واحد فانيا في معان متكثر</w:t>
      </w:r>
      <w:r w:rsidR="00EC7EDF" w:rsidRPr="00FD211F">
        <w:rPr>
          <w:sz w:val="36"/>
          <w:szCs w:val="36"/>
          <w:rtl/>
        </w:rPr>
        <w:t>ة</w:t>
      </w:r>
      <w:r w:rsidR="00A61BAE" w:rsidRPr="00FD211F">
        <w:rPr>
          <w:sz w:val="36"/>
          <w:szCs w:val="36"/>
          <w:rtl/>
        </w:rPr>
        <w:t>.</w:t>
      </w:r>
    </w:p>
    <w:p w14:paraId="49B363CF" w14:textId="77777777" w:rsidR="00052BF2" w:rsidRPr="00FD211F" w:rsidRDefault="00052BF2" w:rsidP="009C58C8">
      <w:pPr>
        <w:ind w:left="0" w:firstLine="227"/>
        <w:jc w:val="both"/>
        <w:rPr>
          <w:sz w:val="36"/>
          <w:szCs w:val="36"/>
          <w:rtl/>
        </w:rPr>
      </w:pPr>
      <w:r w:rsidRPr="00FD211F">
        <w:rPr>
          <w:sz w:val="36"/>
          <w:szCs w:val="36"/>
          <w:rtl/>
        </w:rPr>
        <w:t>2- مورد الوضع العام والموضوع له الخاص</w:t>
      </w:r>
      <w:r w:rsidR="00603323" w:rsidRPr="00FD211F">
        <w:rPr>
          <w:sz w:val="36"/>
          <w:szCs w:val="36"/>
          <w:rtl/>
        </w:rPr>
        <w:t xml:space="preserve">، </w:t>
      </w:r>
      <w:r w:rsidRPr="00FD211F">
        <w:rPr>
          <w:sz w:val="36"/>
          <w:szCs w:val="36"/>
          <w:rtl/>
        </w:rPr>
        <w:t>حيث يلحظ العنوان العام فانيا في مصاديقه</w:t>
      </w:r>
      <w:r w:rsidR="009C58C8" w:rsidRPr="00FD211F">
        <w:rPr>
          <w:rStyle w:val="a6"/>
          <w:sz w:val="36"/>
          <w:szCs w:val="36"/>
          <w:rtl/>
        </w:rPr>
        <w:t>(</w:t>
      </w:r>
      <w:r w:rsidR="009C58C8" w:rsidRPr="00FD211F">
        <w:rPr>
          <w:rStyle w:val="a6"/>
          <w:sz w:val="36"/>
          <w:szCs w:val="36"/>
          <w:rtl/>
        </w:rPr>
        <w:footnoteReference w:id="462"/>
      </w:r>
      <w:r w:rsidR="009C58C8" w:rsidRPr="00FD211F">
        <w:rPr>
          <w:rStyle w:val="a6"/>
          <w:sz w:val="36"/>
          <w:szCs w:val="36"/>
          <w:rtl/>
        </w:rPr>
        <w:t>)</w:t>
      </w:r>
      <w:r w:rsidRPr="00FD211F">
        <w:rPr>
          <w:sz w:val="36"/>
          <w:szCs w:val="36"/>
          <w:rtl/>
        </w:rPr>
        <w:t>.</w:t>
      </w:r>
    </w:p>
    <w:p w14:paraId="0208DA77" w14:textId="77777777" w:rsidR="00052BF2" w:rsidRPr="00FD211F" w:rsidRDefault="00052BF2" w:rsidP="009C58C8">
      <w:pPr>
        <w:ind w:left="0" w:firstLine="227"/>
        <w:jc w:val="both"/>
        <w:rPr>
          <w:sz w:val="36"/>
          <w:szCs w:val="36"/>
          <w:rtl/>
        </w:rPr>
      </w:pPr>
      <w:r w:rsidRPr="00FD211F">
        <w:rPr>
          <w:sz w:val="36"/>
          <w:szCs w:val="36"/>
          <w:rtl/>
        </w:rPr>
        <w:t>واورد عليه المحقق الاصفهاني</w:t>
      </w:r>
      <w:r w:rsidR="00A61BAE" w:rsidRPr="00FD211F">
        <w:rPr>
          <w:sz w:val="36"/>
          <w:szCs w:val="36"/>
          <w:rtl/>
        </w:rPr>
        <w:t xml:space="preserve"> </w:t>
      </w:r>
      <w:r w:rsidR="00A24412" w:rsidRPr="00FD211F">
        <w:rPr>
          <w:sz w:val="36"/>
          <w:szCs w:val="36"/>
          <w:rtl/>
        </w:rPr>
        <w:t>"قده"</w:t>
      </w:r>
      <w:r w:rsidR="00A61BAE" w:rsidRPr="00FD211F">
        <w:rPr>
          <w:sz w:val="36"/>
          <w:szCs w:val="36"/>
          <w:rtl/>
        </w:rPr>
        <w:t xml:space="preserve"> </w:t>
      </w:r>
      <w:r w:rsidRPr="00FD211F">
        <w:rPr>
          <w:sz w:val="36"/>
          <w:szCs w:val="36"/>
          <w:rtl/>
        </w:rPr>
        <w:t>بان قياس المقام بالعام الاستغراقي او الوضع العام والموضوع له الخاص قياس مع الفارق</w:t>
      </w:r>
      <w:r w:rsidR="00603323" w:rsidRPr="00FD211F">
        <w:rPr>
          <w:sz w:val="36"/>
          <w:szCs w:val="36"/>
          <w:rtl/>
        </w:rPr>
        <w:t xml:space="preserve">، </w:t>
      </w:r>
      <w:r w:rsidRPr="00FD211F">
        <w:rPr>
          <w:sz w:val="36"/>
          <w:szCs w:val="36"/>
          <w:rtl/>
        </w:rPr>
        <w:t>لان اللفظ وجود تنزيلي للمعنى وليس الحكم بالنسب</w:t>
      </w:r>
      <w:r w:rsidR="00EC7EDF" w:rsidRPr="00FD211F">
        <w:rPr>
          <w:sz w:val="36"/>
          <w:szCs w:val="36"/>
          <w:rtl/>
        </w:rPr>
        <w:t xml:space="preserve">ة </w:t>
      </w:r>
      <w:r w:rsidRPr="00FD211F">
        <w:rPr>
          <w:sz w:val="36"/>
          <w:szCs w:val="36"/>
          <w:rtl/>
        </w:rPr>
        <w:t>الى متعلقه او موضوعه كذلك</w:t>
      </w:r>
      <w:r w:rsidR="00603323" w:rsidRPr="00FD211F">
        <w:rPr>
          <w:sz w:val="36"/>
          <w:szCs w:val="36"/>
          <w:rtl/>
        </w:rPr>
        <w:t xml:space="preserve">، </w:t>
      </w:r>
      <w:r w:rsidRPr="00FD211F">
        <w:rPr>
          <w:sz w:val="36"/>
          <w:szCs w:val="36"/>
          <w:rtl/>
        </w:rPr>
        <w:t>كما ان الوضع بالنسب</w:t>
      </w:r>
      <w:r w:rsidR="00EC7EDF" w:rsidRPr="00FD211F">
        <w:rPr>
          <w:sz w:val="36"/>
          <w:szCs w:val="36"/>
          <w:rtl/>
        </w:rPr>
        <w:t xml:space="preserve">ة </w:t>
      </w:r>
      <w:r w:rsidRPr="00FD211F">
        <w:rPr>
          <w:sz w:val="36"/>
          <w:szCs w:val="36"/>
          <w:rtl/>
        </w:rPr>
        <w:t>الى اللفظ والمعنى حكم اعتباري متعلق بموضوعه</w:t>
      </w:r>
      <w:r w:rsidR="00603323" w:rsidRPr="00FD211F">
        <w:rPr>
          <w:sz w:val="36"/>
          <w:szCs w:val="36"/>
          <w:rtl/>
        </w:rPr>
        <w:t xml:space="preserve">، </w:t>
      </w:r>
      <w:r w:rsidRPr="00FD211F">
        <w:rPr>
          <w:sz w:val="36"/>
          <w:szCs w:val="36"/>
          <w:rtl/>
        </w:rPr>
        <w:t>فيختلف عن نسب</w:t>
      </w:r>
      <w:r w:rsidR="00EC7EDF" w:rsidRPr="00FD211F">
        <w:rPr>
          <w:sz w:val="36"/>
          <w:szCs w:val="36"/>
          <w:rtl/>
        </w:rPr>
        <w:t xml:space="preserve">ة </w:t>
      </w:r>
      <w:r w:rsidRPr="00FD211F">
        <w:rPr>
          <w:sz w:val="36"/>
          <w:szCs w:val="36"/>
          <w:rtl/>
        </w:rPr>
        <w:t>اللفظ مع المعن</w:t>
      </w:r>
      <w:r w:rsidR="00546F16" w:rsidRPr="00FD211F">
        <w:rPr>
          <w:sz w:val="36"/>
          <w:szCs w:val="36"/>
          <w:rtl/>
        </w:rPr>
        <w:t>ى</w:t>
      </w:r>
      <w:r w:rsidR="009C58C8" w:rsidRPr="00FD211F">
        <w:rPr>
          <w:rStyle w:val="a6"/>
          <w:sz w:val="36"/>
          <w:szCs w:val="36"/>
          <w:rtl/>
        </w:rPr>
        <w:t>(</w:t>
      </w:r>
      <w:r w:rsidR="009C58C8" w:rsidRPr="00FD211F">
        <w:rPr>
          <w:rStyle w:val="a6"/>
          <w:sz w:val="36"/>
          <w:szCs w:val="36"/>
          <w:rtl/>
        </w:rPr>
        <w:footnoteReference w:id="463"/>
      </w:r>
      <w:r w:rsidR="009C58C8" w:rsidRPr="00FD211F">
        <w:rPr>
          <w:rStyle w:val="a6"/>
          <w:sz w:val="36"/>
          <w:szCs w:val="36"/>
          <w:rtl/>
        </w:rPr>
        <w:t>)</w:t>
      </w:r>
      <w:r w:rsidRPr="00FD211F">
        <w:rPr>
          <w:sz w:val="36"/>
          <w:szCs w:val="36"/>
          <w:rtl/>
        </w:rPr>
        <w:t>.</w:t>
      </w:r>
    </w:p>
    <w:p w14:paraId="28B1A7AD" w14:textId="77777777" w:rsidR="00052BF2" w:rsidRPr="00FD211F" w:rsidRDefault="00052BF2" w:rsidP="009C58C8">
      <w:pPr>
        <w:ind w:left="0" w:firstLine="227"/>
        <w:jc w:val="both"/>
        <w:rPr>
          <w:sz w:val="36"/>
          <w:szCs w:val="36"/>
          <w:rtl/>
        </w:rPr>
      </w:pPr>
      <w:r w:rsidRPr="00FD211F">
        <w:rPr>
          <w:sz w:val="36"/>
          <w:szCs w:val="36"/>
          <w:rtl/>
        </w:rPr>
        <w:t>اقول: ان نظر المحقق الحائري</w:t>
      </w:r>
      <w:r w:rsidR="00A61BAE" w:rsidRPr="00FD211F">
        <w:rPr>
          <w:sz w:val="36"/>
          <w:szCs w:val="36"/>
          <w:rtl/>
        </w:rPr>
        <w:t xml:space="preserve"> </w:t>
      </w:r>
      <w:r w:rsidR="00A24412" w:rsidRPr="00FD211F">
        <w:rPr>
          <w:sz w:val="36"/>
          <w:szCs w:val="36"/>
          <w:rtl/>
        </w:rPr>
        <w:t>"قده"</w:t>
      </w:r>
      <w:r w:rsidR="00A61BAE" w:rsidRPr="00FD211F">
        <w:rPr>
          <w:sz w:val="36"/>
          <w:szCs w:val="36"/>
          <w:rtl/>
        </w:rPr>
        <w:t xml:space="preserve"> </w:t>
      </w:r>
      <w:r w:rsidRPr="00FD211F">
        <w:rPr>
          <w:sz w:val="36"/>
          <w:szCs w:val="36"/>
          <w:rtl/>
        </w:rPr>
        <w:t xml:space="preserve">الى ان عنوان </w:t>
      </w:r>
      <w:r w:rsidR="00F6181D" w:rsidRPr="00FD211F">
        <w:rPr>
          <w:sz w:val="36"/>
          <w:szCs w:val="36"/>
          <w:rtl/>
        </w:rPr>
        <w:t>"</w:t>
      </w:r>
      <w:r w:rsidRPr="00FD211F">
        <w:rPr>
          <w:sz w:val="36"/>
          <w:szCs w:val="36"/>
          <w:rtl/>
        </w:rPr>
        <w:t>كل عالم</w:t>
      </w:r>
      <w:r w:rsidR="00F6181D" w:rsidRPr="00FD211F">
        <w:rPr>
          <w:sz w:val="36"/>
          <w:szCs w:val="36"/>
          <w:rtl/>
        </w:rPr>
        <w:t>"</w:t>
      </w:r>
      <w:r w:rsidRPr="00FD211F">
        <w:rPr>
          <w:sz w:val="36"/>
          <w:szCs w:val="36"/>
          <w:rtl/>
        </w:rPr>
        <w:t xml:space="preserve"> يلحظ فانيا في مصاديقه مع كثرتها</w:t>
      </w:r>
      <w:r w:rsidR="00603323" w:rsidRPr="00FD211F">
        <w:rPr>
          <w:sz w:val="36"/>
          <w:szCs w:val="36"/>
          <w:rtl/>
        </w:rPr>
        <w:t xml:space="preserve">، </w:t>
      </w:r>
      <w:r w:rsidRPr="00FD211F">
        <w:rPr>
          <w:sz w:val="36"/>
          <w:szCs w:val="36"/>
          <w:rtl/>
        </w:rPr>
        <w:t>وكذا العنوان ا</w:t>
      </w:r>
      <w:r w:rsidR="00F6181D" w:rsidRPr="00FD211F">
        <w:rPr>
          <w:sz w:val="36"/>
          <w:szCs w:val="36"/>
          <w:rtl/>
        </w:rPr>
        <w:t>لعام كعنوان مصداق</w:t>
      </w:r>
      <w:r w:rsidR="00B253CE" w:rsidRPr="00FD211F">
        <w:rPr>
          <w:sz w:val="36"/>
          <w:szCs w:val="36"/>
          <w:rtl/>
        </w:rPr>
        <w:t xml:space="preserve"> </w:t>
      </w:r>
      <w:r w:rsidRPr="00FD211F">
        <w:rPr>
          <w:sz w:val="36"/>
          <w:szCs w:val="36"/>
          <w:rtl/>
        </w:rPr>
        <w:t>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يلحظ في الوضع العام والموضوع له الخاص فانيا في مصاديقه</w:t>
      </w:r>
      <w:r w:rsidR="00603323" w:rsidRPr="00FD211F">
        <w:rPr>
          <w:sz w:val="36"/>
          <w:szCs w:val="36"/>
          <w:rtl/>
        </w:rPr>
        <w:t xml:space="preserve">، </w:t>
      </w:r>
      <w:r w:rsidRPr="00FD211F">
        <w:rPr>
          <w:sz w:val="36"/>
          <w:szCs w:val="36"/>
          <w:rtl/>
        </w:rPr>
        <w:t>فيستنتج من ذلك انه يمكن لحاظ عنوان واحد فانيا في مصاديق كثير</w:t>
      </w:r>
      <w:r w:rsidR="00EC7EDF" w:rsidRPr="00FD211F">
        <w:rPr>
          <w:sz w:val="36"/>
          <w:szCs w:val="36"/>
          <w:rtl/>
        </w:rPr>
        <w:t>ة</w:t>
      </w:r>
      <w:r w:rsidR="00603323" w:rsidRPr="00FD211F">
        <w:rPr>
          <w:sz w:val="36"/>
          <w:szCs w:val="36"/>
          <w:rtl/>
        </w:rPr>
        <w:t xml:space="preserve">، </w:t>
      </w:r>
      <w:r w:rsidRPr="00FD211F">
        <w:rPr>
          <w:sz w:val="36"/>
          <w:szCs w:val="36"/>
          <w:rtl/>
        </w:rPr>
        <w:t>فليكن استعمال اللفظ في اكثر من معنى مثله</w:t>
      </w:r>
      <w:r w:rsidR="00603323" w:rsidRPr="00FD211F">
        <w:rPr>
          <w:sz w:val="36"/>
          <w:szCs w:val="36"/>
          <w:rtl/>
        </w:rPr>
        <w:t xml:space="preserve">، </w:t>
      </w:r>
      <w:r w:rsidRPr="00FD211F">
        <w:rPr>
          <w:sz w:val="36"/>
          <w:szCs w:val="36"/>
          <w:rtl/>
        </w:rPr>
        <w:t>حيث يلحظ اللفظ فانيا في معان متعدد</w:t>
      </w:r>
      <w:r w:rsidR="00EC7EDF" w:rsidRPr="00FD211F">
        <w:rPr>
          <w:sz w:val="36"/>
          <w:szCs w:val="36"/>
          <w:rtl/>
        </w:rPr>
        <w:t>ة</w:t>
      </w:r>
      <w:r w:rsidR="00A61BAE" w:rsidRPr="00FD211F">
        <w:rPr>
          <w:sz w:val="36"/>
          <w:szCs w:val="36"/>
          <w:rtl/>
        </w:rPr>
        <w:t>.</w:t>
      </w:r>
    </w:p>
    <w:p w14:paraId="427A6447" w14:textId="77777777" w:rsidR="00052BF2" w:rsidRPr="00FD211F" w:rsidRDefault="00052BF2" w:rsidP="009C58C8">
      <w:pPr>
        <w:ind w:left="0" w:firstLine="227"/>
        <w:jc w:val="both"/>
        <w:rPr>
          <w:sz w:val="36"/>
          <w:szCs w:val="36"/>
          <w:rtl/>
        </w:rPr>
      </w:pPr>
      <w:r w:rsidRPr="00FD211F">
        <w:rPr>
          <w:sz w:val="36"/>
          <w:szCs w:val="36"/>
          <w:rtl/>
        </w:rPr>
        <w:t>نعم يرد على المحقق الحائري</w:t>
      </w:r>
      <w:r w:rsidR="00A24412" w:rsidRPr="00FD211F">
        <w:rPr>
          <w:sz w:val="36"/>
          <w:szCs w:val="36"/>
          <w:rtl/>
        </w:rPr>
        <w:t xml:space="preserve"> "قده" </w:t>
      </w:r>
      <w:r w:rsidRPr="00FD211F">
        <w:rPr>
          <w:sz w:val="36"/>
          <w:szCs w:val="36"/>
          <w:rtl/>
        </w:rPr>
        <w:t>ان لحاظ المعنى الواحد المنتزع عن الافراد بنحو يكون فانيا في تلك الافراد فناء العنوان في معنونه غير كون اللفظ الملحوظ بلحاظ واحد يرى تصورا كونه هذا المعنى باستقلاله وذاك المعنى الآخر باستقلاله</w:t>
      </w:r>
      <w:r w:rsidR="00603323" w:rsidRPr="00FD211F">
        <w:rPr>
          <w:sz w:val="36"/>
          <w:szCs w:val="36"/>
          <w:rtl/>
        </w:rPr>
        <w:t xml:space="preserve">، </w:t>
      </w:r>
      <w:r w:rsidRPr="00FD211F">
        <w:rPr>
          <w:sz w:val="36"/>
          <w:szCs w:val="36"/>
          <w:rtl/>
        </w:rPr>
        <w:t>فان الانصاف انه بناء على كون استعمال اللفظ في المعنى إفناء له في المعنى فيحتاج استعمال اللفظ في معنيين لحاظ اللفظ مرتين</w:t>
      </w:r>
      <w:r w:rsidR="00603323" w:rsidRPr="00FD211F">
        <w:rPr>
          <w:sz w:val="36"/>
          <w:szCs w:val="36"/>
          <w:rtl/>
        </w:rPr>
        <w:t xml:space="preserve">، </w:t>
      </w:r>
      <w:r w:rsidRPr="00FD211F">
        <w:rPr>
          <w:sz w:val="36"/>
          <w:szCs w:val="36"/>
          <w:rtl/>
        </w:rPr>
        <w:t>وأما لحاظ العام الاستغراقي فانيا في مصاديقه فيكون لحاظه فانيا في الأفراد من باب فناء العنوان في المعنون</w:t>
      </w:r>
      <w:r w:rsidR="00603323" w:rsidRPr="00FD211F">
        <w:rPr>
          <w:sz w:val="36"/>
          <w:szCs w:val="36"/>
          <w:rtl/>
        </w:rPr>
        <w:t xml:space="preserve">، </w:t>
      </w:r>
      <w:r w:rsidRPr="00FD211F">
        <w:rPr>
          <w:sz w:val="36"/>
          <w:szCs w:val="36"/>
          <w:rtl/>
        </w:rPr>
        <w:t>وكذا في الوضع العام والموضوع له الخاص يلحظ عنوان فرد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فانيا في واقع فرد النسب</w:t>
      </w:r>
      <w:r w:rsidR="00EC7EDF" w:rsidRPr="00FD211F">
        <w:rPr>
          <w:sz w:val="36"/>
          <w:szCs w:val="36"/>
          <w:rtl/>
        </w:rPr>
        <w:t xml:space="preserve">ة </w:t>
      </w:r>
      <w:r w:rsidRPr="00FD211F">
        <w:rPr>
          <w:sz w:val="36"/>
          <w:szCs w:val="36"/>
          <w:rtl/>
        </w:rPr>
        <w:t>الابتدائي</w:t>
      </w:r>
      <w:r w:rsidR="00EC7EDF" w:rsidRPr="00FD211F">
        <w:rPr>
          <w:sz w:val="36"/>
          <w:szCs w:val="36"/>
          <w:rtl/>
        </w:rPr>
        <w:t xml:space="preserve">ة </w:t>
      </w:r>
      <w:r w:rsidRPr="00FD211F">
        <w:rPr>
          <w:sz w:val="36"/>
          <w:szCs w:val="36"/>
          <w:rtl/>
        </w:rPr>
        <w:t>فناء العنوان في المعنون.</w:t>
      </w:r>
    </w:p>
    <w:p w14:paraId="6C65CCC2" w14:textId="77777777" w:rsidR="00052BF2" w:rsidRPr="00FD211F" w:rsidRDefault="00052BF2" w:rsidP="009C58C8">
      <w:pPr>
        <w:ind w:left="0" w:firstLine="227"/>
        <w:jc w:val="both"/>
        <w:rPr>
          <w:sz w:val="36"/>
          <w:szCs w:val="36"/>
          <w:rtl/>
        </w:rPr>
      </w:pPr>
      <w:r w:rsidRPr="00FD211F">
        <w:rPr>
          <w:b/>
          <w:bCs/>
          <w:sz w:val="36"/>
          <w:szCs w:val="36"/>
          <w:rtl/>
        </w:rPr>
        <w:t>الجه</w:t>
      </w:r>
      <w:r w:rsidR="00EC7EDF" w:rsidRPr="00FD211F">
        <w:rPr>
          <w:b/>
          <w:bCs/>
          <w:sz w:val="36"/>
          <w:szCs w:val="36"/>
          <w:rtl/>
        </w:rPr>
        <w:t xml:space="preserve">ة </w:t>
      </w:r>
      <w:r w:rsidRPr="00FD211F">
        <w:rPr>
          <w:b/>
          <w:bCs/>
          <w:sz w:val="36"/>
          <w:szCs w:val="36"/>
          <w:rtl/>
        </w:rPr>
        <w:t>الرابع</w:t>
      </w:r>
      <w:r w:rsidR="00EC7EDF" w:rsidRPr="00FD211F">
        <w:rPr>
          <w:b/>
          <w:bCs/>
          <w:sz w:val="36"/>
          <w:szCs w:val="36"/>
          <w:rtl/>
        </w:rPr>
        <w:t>ة</w:t>
      </w:r>
      <w:r w:rsidR="00057D31" w:rsidRPr="00FD211F">
        <w:rPr>
          <w:b/>
          <w:bCs/>
          <w:sz w:val="36"/>
          <w:szCs w:val="36"/>
          <w:rtl/>
        </w:rPr>
        <w:t>:</w:t>
      </w:r>
      <w:r w:rsidRPr="00FD211F">
        <w:rPr>
          <w:sz w:val="36"/>
          <w:szCs w:val="36"/>
          <w:rtl/>
        </w:rPr>
        <w:t xml:space="preserve"> بعد الفراغ عن امكان استعمال اللفظ في اكثر من معنى فقد وقع الكلام في انه هل يكون </w:t>
      </w:r>
      <w:r w:rsidR="00495311" w:rsidRPr="00FD211F">
        <w:rPr>
          <w:sz w:val="36"/>
          <w:szCs w:val="36"/>
          <w:rtl/>
        </w:rPr>
        <w:t>هذا الاستعمال صحيحا لغ</w:t>
      </w:r>
      <w:r w:rsidR="00EC7EDF" w:rsidRPr="00FD211F">
        <w:rPr>
          <w:sz w:val="36"/>
          <w:szCs w:val="36"/>
          <w:rtl/>
        </w:rPr>
        <w:t xml:space="preserve">ة </w:t>
      </w:r>
      <w:r w:rsidR="00495311" w:rsidRPr="00FD211F">
        <w:rPr>
          <w:sz w:val="36"/>
          <w:szCs w:val="36"/>
          <w:rtl/>
        </w:rPr>
        <w:t>ام لا؟ ف</w:t>
      </w:r>
      <w:r w:rsidRPr="00FD211F">
        <w:rPr>
          <w:sz w:val="36"/>
          <w:szCs w:val="36"/>
          <w:rtl/>
        </w:rPr>
        <w:t>يقع الكلام تار</w:t>
      </w:r>
      <w:r w:rsidR="00EC7EDF" w:rsidRPr="00FD211F">
        <w:rPr>
          <w:sz w:val="36"/>
          <w:szCs w:val="36"/>
          <w:rtl/>
        </w:rPr>
        <w:t xml:space="preserve">ة </w:t>
      </w:r>
      <w:r w:rsidRPr="00FD211F">
        <w:rPr>
          <w:sz w:val="36"/>
          <w:szCs w:val="36"/>
          <w:rtl/>
        </w:rPr>
        <w:t>في المفرد وأخرى في التثني</w:t>
      </w:r>
      <w:r w:rsidR="00EC7EDF" w:rsidRPr="00FD211F">
        <w:rPr>
          <w:sz w:val="36"/>
          <w:szCs w:val="36"/>
          <w:rtl/>
        </w:rPr>
        <w:t xml:space="preserve">ة </w:t>
      </w:r>
      <w:r w:rsidRPr="00FD211F">
        <w:rPr>
          <w:sz w:val="36"/>
          <w:szCs w:val="36"/>
          <w:rtl/>
        </w:rPr>
        <w:t>والجمع</w:t>
      </w:r>
      <w:r w:rsidR="00603323" w:rsidRPr="00FD211F">
        <w:rPr>
          <w:sz w:val="36"/>
          <w:szCs w:val="36"/>
          <w:rtl/>
        </w:rPr>
        <w:t xml:space="preserve">، </w:t>
      </w:r>
      <w:r w:rsidRPr="00FD211F">
        <w:rPr>
          <w:sz w:val="36"/>
          <w:szCs w:val="36"/>
          <w:rtl/>
        </w:rPr>
        <w:t>أما استعمال اللفظ المفرد في اكثر من معنى فقد ذهب جمع -منهم صاحب المعالم</w:t>
      </w:r>
      <w:r w:rsidR="008F14E7" w:rsidRPr="00FD211F">
        <w:rPr>
          <w:sz w:val="36"/>
          <w:szCs w:val="36"/>
          <w:rtl/>
        </w:rPr>
        <w:t xml:space="preserve"> "قده"</w:t>
      </w:r>
      <w:r w:rsidRPr="00FD211F">
        <w:rPr>
          <w:sz w:val="36"/>
          <w:szCs w:val="36"/>
          <w:rtl/>
        </w:rPr>
        <w:t>- الى ان اللفظ المشترك موضوع على كل واحد من معانيه بقيد الوحد</w:t>
      </w:r>
      <w:r w:rsidR="00EC7EDF" w:rsidRPr="00FD211F">
        <w:rPr>
          <w:sz w:val="36"/>
          <w:szCs w:val="36"/>
          <w:rtl/>
        </w:rPr>
        <w:t>ة</w:t>
      </w:r>
      <w:r w:rsidR="00603323" w:rsidRPr="00FD211F">
        <w:rPr>
          <w:sz w:val="36"/>
          <w:szCs w:val="36"/>
          <w:rtl/>
        </w:rPr>
        <w:t xml:space="preserve">، </w:t>
      </w:r>
      <w:r w:rsidRPr="00FD211F">
        <w:rPr>
          <w:sz w:val="36"/>
          <w:szCs w:val="36"/>
          <w:rtl/>
        </w:rPr>
        <w:t>فلفظ العين مثلا موضوع لمعنى الذهب بشرط وحدته</w:t>
      </w:r>
      <w:r w:rsidR="00603323" w:rsidRPr="00FD211F">
        <w:rPr>
          <w:sz w:val="36"/>
          <w:szCs w:val="36"/>
          <w:rtl/>
        </w:rPr>
        <w:t xml:space="preserve">، </w:t>
      </w:r>
      <w:r w:rsidRPr="00FD211F">
        <w:rPr>
          <w:sz w:val="36"/>
          <w:szCs w:val="36"/>
          <w:rtl/>
        </w:rPr>
        <w:t>ومن الواضح ان المراد من الوحد</w:t>
      </w:r>
      <w:r w:rsidR="00EC7EDF" w:rsidRPr="00FD211F">
        <w:rPr>
          <w:sz w:val="36"/>
          <w:szCs w:val="36"/>
          <w:rtl/>
        </w:rPr>
        <w:t xml:space="preserve">ة </w:t>
      </w:r>
      <w:r w:rsidRPr="00FD211F">
        <w:rPr>
          <w:sz w:val="36"/>
          <w:szCs w:val="36"/>
          <w:rtl/>
        </w:rPr>
        <w:t>ليس الوحد</w:t>
      </w:r>
      <w:r w:rsidR="00EC7EDF" w:rsidRPr="00FD211F">
        <w:rPr>
          <w:sz w:val="36"/>
          <w:szCs w:val="36"/>
          <w:rtl/>
        </w:rPr>
        <w:t xml:space="preserve">ة </w:t>
      </w:r>
      <w:r w:rsidRPr="00FD211F">
        <w:rPr>
          <w:sz w:val="36"/>
          <w:szCs w:val="36"/>
          <w:rtl/>
        </w:rPr>
        <w:t>بمعنى كون معنى الذهب مثلا مستعملا فيه بما هو لابما هو جزء للمعنى المركب</w:t>
      </w:r>
      <w:r w:rsidR="00603323" w:rsidRPr="00FD211F">
        <w:rPr>
          <w:sz w:val="36"/>
          <w:szCs w:val="36"/>
          <w:rtl/>
        </w:rPr>
        <w:t xml:space="preserve">، </w:t>
      </w:r>
      <w:r w:rsidRPr="00FD211F">
        <w:rPr>
          <w:sz w:val="36"/>
          <w:szCs w:val="36"/>
          <w:rtl/>
        </w:rPr>
        <w:t>لفرض عدم الإخلال بهذه الوحد</w:t>
      </w:r>
      <w:r w:rsidR="00EC7EDF" w:rsidRPr="00FD211F">
        <w:rPr>
          <w:sz w:val="36"/>
          <w:szCs w:val="36"/>
          <w:rtl/>
        </w:rPr>
        <w:t xml:space="preserve">ة </w:t>
      </w:r>
      <w:r w:rsidRPr="00FD211F">
        <w:rPr>
          <w:sz w:val="36"/>
          <w:szCs w:val="36"/>
          <w:rtl/>
        </w:rPr>
        <w:t>في فرض استعمال اللفظ في اكثر من معنى واحد</w:t>
      </w:r>
      <w:r w:rsidR="00603323" w:rsidRPr="00FD211F">
        <w:rPr>
          <w:sz w:val="36"/>
          <w:szCs w:val="36"/>
          <w:rtl/>
        </w:rPr>
        <w:t xml:space="preserve">، </w:t>
      </w:r>
      <w:r w:rsidRPr="00FD211F">
        <w:rPr>
          <w:sz w:val="36"/>
          <w:szCs w:val="36"/>
          <w:rtl/>
        </w:rPr>
        <w:t>حيث استعمل لفظ العين مثلا في معنى الذهب باستقلاله وفي معنى الفض</w:t>
      </w:r>
      <w:r w:rsidR="00EC7EDF" w:rsidRPr="00FD211F">
        <w:rPr>
          <w:sz w:val="36"/>
          <w:szCs w:val="36"/>
          <w:rtl/>
        </w:rPr>
        <w:t xml:space="preserve">ة </w:t>
      </w:r>
      <w:r w:rsidRPr="00FD211F">
        <w:rPr>
          <w:sz w:val="36"/>
          <w:szCs w:val="36"/>
          <w:rtl/>
        </w:rPr>
        <w:t>باستقلاله</w:t>
      </w:r>
      <w:r w:rsidR="00603323" w:rsidRPr="00FD211F">
        <w:rPr>
          <w:sz w:val="36"/>
          <w:szCs w:val="36"/>
          <w:rtl/>
        </w:rPr>
        <w:t xml:space="preserve">، </w:t>
      </w:r>
      <w:r w:rsidRPr="00FD211F">
        <w:rPr>
          <w:sz w:val="36"/>
          <w:szCs w:val="36"/>
          <w:rtl/>
        </w:rPr>
        <w:t>بل المراد من قيد الوحد</w:t>
      </w:r>
      <w:r w:rsidR="00EC7EDF" w:rsidRPr="00FD211F">
        <w:rPr>
          <w:sz w:val="36"/>
          <w:szCs w:val="36"/>
          <w:rtl/>
        </w:rPr>
        <w:t xml:space="preserve">ة </w:t>
      </w:r>
      <w:r w:rsidRPr="00FD211F">
        <w:rPr>
          <w:sz w:val="36"/>
          <w:szCs w:val="36"/>
          <w:rtl/>
        </w:rPr>
        <w:t>هو اشتراط وضع لفظ العين في معنى الذهب مثلا بشرط عدم استعماله في معنى آخر</w:t>
      </w:r>
      <w:r w:rsidR="00603323" w:rsidRPr="00FD211F">
        <w:rPr>
          <w:sz w:val="36"/>
          <w:szCs w:val="36"/>
          <w:rtl/>
        </w:rPr>
        <w:t xml:space="preserve">، </w:t>
      </w:r>
      <w:r w:rsidRPr="00FD211F">
        <w:rPr>
          <w:sz w:val="36"/>
          <w:szCs w:val="36"/>
          <w:rtl/>
        </w:rPr>
        <w:t>وحيئنذ فيكون استعمال لفظ العين في كل من معنى الذهب باستقلاله ومعنى الفض</w:t>
      </w:r>
      <w:r w:rsidR="00EC7EDF" w:rsidRPr="00FD211F">
        <w:rPr>
          <w:sz w:val="36"/>
          <w:szCs w:val="36"/>
          <w:rtl/>
        </w:rPr>
        <w:t xml:space="preserve">ة </w:t>
      </w:r>
      <w:r w:rsidRPr="00FD211F">
        <w:rPr>
          <w:sz w:val="36"/>
          <w:szCs w:val="36"/>
          <w:rtl/>
        </w:rPr>
        <w:t>باستقلاله فاقدا لهذا الشرط.</w:t>
      </w:r>
    </w:p>
    <w:p w14:paraId="186D2DEF" w14:textId="77777777" w:rsidR="00052BF2" w:rsidRPr="00FD211F" w:rsidRDefault="00052BF2" w:rsidP="009C58C8">
      <w:pPr>
        <w:ind w:left="0" w:firstLine="227"/>
        <w:jc w:val="both"/>
        <w:rPr>
          <w:sz w:val="36"/>
          <w:szCs w:val="36"/>
          <w:rtl/>
        </w:rPr>
      </w:pPr>
      <w:r w:rsidRPr="00FD211F">
        <w:rPr>
          <w:sz w:val="36"/>
          <w:szCs w:val="36"/>
          <w:rtl/>
        </w:rPr>
        <w:t>ولايخفى انه ليس المقصود من الشرط هنا ما يشبه الشرط في ضمن العقد</w:t>
      </w:r>
      <w:r w:rsidR="00603323" w:rsidRPr="00FD211F">
        <w:rPr>
          <w:sz w:val="36"/>
          <w:szCs w:val="36"/>
          <w:rtl/>
        </w:rPr>
        <w:t xml:space="preserve">، </w:t>
      </w:r>
      <w:r w:rsidRPr="00FD211F">
        <w:rPr>
          <w:sz w:val="36"/>
          <w:szCs w:val="36"/>
          <w:rtl/>
        </w:rPr>
        <w:t>كما في شرط الزوج</w:t>
      </w:r>
      <w:r w:rsidR="00EC7EDF" w:rsidRPr="00FD211F">
        <w:rPr>
          <w:sz w:val="36"/>
          <w:szCs w:val="36"/>
          <w:rtl/>
        </w:rPr>
        <w:t xml:space="preserve">ة </w:t>
      </w:r>
      <w:r w:rsidRPr="00FD211F">
        <w:rPr>
          <w:sz w:val="36"/>
          <w:szCs w:val="36"/>
          <w:rtl/>
        </w:rPr>
        <w:t>حين عقد الزواج ان لايتزوج الرجل من امرأ</w:t>
      </w:r>
      <w:r w:rsidR="00EC7EDF" w:rsidRPr="00FD211F">
        <w:rPr>
          <w:sz w:val="36"/>
          <w:szCs w:val="36"/>
          <w:rtl/>
        </w:rPr>
        <w:t xml:space="preserve">ة </w:t>
      </w:r>
      <w:r w:rsidRPr="00FD211F">
        <w:rPr>
          <w:sz w:val="36"/>
          <w:szCs w:val="36"/>
          <w:rtl/>
        </w:rPr>
        <w:t>أخرى</w:t>
      </w:r>
      <w:r w:rsidR="00603323" w:rsidRPr="00FD211F">
        <w:rPr>
          <w:sz w:val="36"/>
          <w:szCs w:val="36"/>
          <w:rtl/>
        </w:rPr>
        <w:t xml:space="preserve">، </w:t>
      </w:r>
      <w:r w:rsidRPr="00FD211F">
        <w:rPr>
          <w:sz w:val="36"/>
          <w:szCs w:val="36"/>
          <w:rtl/>
        </w:rPr>
        <w:t>كي يقال حينئذ بانه لادليل اولا</w:t>
      </w:r>
      <w:r w:rsidR="005719DB" w:rsidRPr="00FD211F">
        <w:rPr>
          <w:sz w:val="36"/>
          <w:szCs w:val="36"/>
          <w:rtl/>
        </w:rPr>
        <w:t>ً</w:t>
      </w:r>
      <w:r w:rsidRPr="00FD211F">
        <w:rPr>
          <w:sz w:val="36"/>
          <w:szCs w:val="36"/>
          <w:rtl/>
        </w:rPr>
        <w:t xml:space="preserve"> على وجوب الوفاء بهذا الشرط المقترح من قبل الواضع وثانيا</w:t>
      </w:r>
      <w:r w:rsidR="005719DB" w:rsidRPr="00FD211F">
        <w:rPr>
          <w:sz w:val="36"/>
          <w:szCs w:val="36"/>
          <w:rtl/>
        </w:rPr>
        <w:t>ً</w:t>
      </w:r>
      <w:r w:rsidRPr="00FD211F">
        <w:rPr>
          <w:sz w:val="36"/>
          <w:szCs w:val="36"/>
          <w:rtl/>
        </w:rPr>
        <w:t xml:space="preserve"> لو فرض وجوب الوفاء به لكن لايوجب تخلفه صيرور</w:t>
      </w:r>
      <w:r w:rsidR="00EC7EDF" w:rsidRPr="00FD211F">
        <w:rPr>
          <w:sz w:val="36"/>
          <w:szCs w:val="36"/>
          <w:rtl/>
        </w:rPr>
        <w:t xml:space="preserve">ة </w:t>
      </w:r>
      <w:r w:rsidRPr="00FD211F">
        <w:rPr>
          <w:sz w:val="36"/>
          <w:szCs w:val="36"/>
          <w:rtl/>
        </w:rPr>
        <w:t>الاستعمال مجازا فضلا عن كونه غلطا.</w:t>
      </w:r>
    </w:p>
    <w:p w14:paraId="2F87DC41" w14:textId="77777777" w:rsidR="00052BF2" w:rsidRPr="00FD211F" w:rsidRDefault="00052BF2" w:rsidP="009C58C8">
      <w:pPr>
        <w:ind w:left="0" w:firstLine="227"/>
        <w:jc w:val="both"/>
        <w:rPr>
          <w:sz w:val="36"/>
          <w:szCs w:val="36"/>
          <w:rtl/>
        </w:rPr>
      </w:pPr>
      <w:r w:rsidRPr="00FD211F">
        <w:rPr>
          <w:sz w:val="36"/>
          <w:szCs w:val="36"/>
          <w:rtl/>
        </w:rPr>
        <w:t>بل المقصود من الشرط هو تقييد الوضع</w:t>
      </w:r>
      <w:r w:rsidR="00603323" w:rsidRPr="00FD211F">
        <w:rPr>
          <w:sz w:val="36"/>
          <w:szCs w:val="36"/>
          <w:rtl/>
        </w:rPr>
        <w:t xml:space="preserve">، </w:t>
      </w:r>
      <w:r w:rsidRPr="00FD211F">
        <w:rPr>
          <w:sz w:val="36"/>
          <w:szCs w:val="36"/>
          <w:rtl/>
        </w:rPr>
        <w:t>فتصير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بين اللفظ والمعنى مقيد</w:t>
      </w:r>
      <w:r w:rsidR="00EC7EDF" w:rsidRPr="00FD211F">
        <w:rPr>
          <w:sz w:val="36"/>
          <w:szCs w:val="36"/>
          <w:rtl/>
        </w:rPr>
        <w:t xml:space="preserve">ة </w:t>
      </w:r>
      <w:r w:rsidRPr="00FD211F">
        <w:rPr>
          <w:sz w:val="36"/>
          <w:szCs w:val="36"/>
          <w:rtl/>
        </w:rPr>
        <w:t>بحال عدم استعماله في معنى آخر</w:t>
      </w:r>
      <w:r w:rsidR="00603323" w:rsidRPr="00FD211F">
        <w:rPr>
          <w:sz w:val="36"/>
          <w:szCs w:val="36"/>
          <w:rtl/>
        </w:rPr>
        <w:t xml:space="preserve">، </w:t>
      </w:r>
      <w:r w:rsidRPr="00FD211F">
        <w:rPr>
          <w:sz w:val="36"/>
          <w:szCs w:val="36"/>
          <w:rtl/>
        </w:rPr>
        <w:t>نظير ما لو وضع الواضع لفظا على معنى بشرط استعماله فيه في النهار</w:t>
      </w:r>
      <w:r w:rsidR="00603323" w:rsidRPr="00FD211F">
        <w:rPr>
          <w:sz w:val="36"/>
          <w:szCs w:val="36"/>
          <w:rtl/>
        </w:rPr>
        <w:t xml:space="preserve">، </w:t>
      </w:r>
      <w:r w:rsidRPr="00FD211F">
        <w:rPr>
          <w:sz w:val="36"/>
          <w:szCs w:val="36"/>
          <w:rtl/>
        </w:rPr>
        <w:t>بحيث لو استعمله فيه في الليل كان خارجا عن إطار الوضع وصار مهملا.</w:t>
      </w:r>
    </w:p>
    <w:p w14:paraId="0A196675" w14:textId="77777777" w:rsidR="00052BF2" w:rsidRPr="00FD211F" w:rsidRDefault="00052BF2" w:rsidP="009C58C8">
      <w:pPr>
        <w:ind w:left="0" w:firstLine="227"/>
        <w:jc w:val="both"/>
        <w:rPr>
          <w:sz w:val="36"/>
          <w:szCs w:val="36"/>
          <w:rtl/>
        </w:rPr>
      </w:pPr>
      <w:r w:rsidRPr="00FD211F">
        <w:rPr>
          <w:sz w:val="36"/>
          <w:szCs w:val="36"/>
          <w:rtl/>
        </w:rPr>
        <w:t xml:space="preserve">ولكن يرد عليه </w:t>
      </w:r>
      <w:r w:rsidRPr="00FD211F">
        <w:rPr>
          <w:b/>
          <w:bCs/>
          <w:sz w:val="36"/>
          <w:szCs w:val="36"/>
          <w:rtl/>
        </w:rPr>
        <w:t>اولا</w:t>
      </w:r>
      <w:r w:rsidRPr="00FD211F">
        <w:rPr>
          <w:sz w:val="36"/>
          <w:szCs w:val="36"/>
          <w:rtl/>
        </w:rPr>
        <w:t>: أن تقييد العلق</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خلاف المرتكز العرفي</w:t>
      </w:r>
      <w:r w:rsidR="00603323" w:rsidRPr="00FD211F">
        <w:rPr>
          <w:sz w:val="36"/>
          <w:szCs w:val="36"/>
          <w:rtl/>
        </w:rPr>
        <w:t xml:space="preserve">، </w:t>
      </w:r>
      <w:r w:rsidRPr="00FD211F">
        <w:rPr>
          <w:sz w:val="36"/>
          <w:szCs w:val="36"/>
          <w:rtl/>
        </w:rPr>
        <w:t>فانا حينما نراجع انفسنا نجد اننا حينما نسمي ولدنا باسم نجعله علام</w:t>
      </w:r>
      <w:r w:rsidR="00EC7EDF" w:rsidRPr="00FD211F">
        <w:rPr>
          <w:sz w:val="36"/>
          <w:szCs w:val="36"/>
          <w:rtl/>
        </w:rPr>
        <w:t xml:space="preserve">ة </w:t>
      </w:r>
      <w:r w:rsidRPr="00FD211F">
        <w:rPr>
          <w:sz w:val="36"/>
          <w:szCs w:val="36"/>
          <w:rtl/>
        </w:rPr>
        <w:t>عليه من دون ان نقيد هذا الجعل باي قيد خاص.</w:t>
      </w:r>
    </w:p>
    <w:p w14:paraId="0B7C5CDD" w14:textId="77777777" w:rsidR="00052BF2"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قد مر انه بناء على كون الوضع هو القرن الأكيد فلايعقل تقييد الوضع أبدا فان اختصاص القرن الأكيد</w:t>
      </w:r>
      <w:r w:rsidR="00546F16" w:rsidRPr="00FD211F">
        <w:rPr>
          <w:sz w:val="36"/>
          <w:szCs w:val="36"/>
          <w:rtl/>
        </w:rPr>
        <w:t xml:space="preserve"> بحال دون حال غير معقول</w:t>
      </w:r>
      <w:r w:rsidR="00603323" w:rsidRPr="00FD211F">
        <w:rPr>
          <w:sz w:val="36"/>
          <w:szCs w:val="36"/>
          <w:rtl/>
        </w:rPr>
        <w:t xml:space="preserve">، </w:t>
      </w:r>
      <w:r w:rsidR="00546F16" w:rsidRPr="00FD211F">
        <w:rPr>
          <w:sz w:val="36"/>
          <w:szCs w:val="36"/>
          <w:rtl/>
        </w:rPr>
        <w:t>اذ القرن الاكيد</w:t>
      </w:r>
      <w:r w:rsidRPr="00FD211F">
        <w:rPr>
          <w:sz w:val="36"/>
          <w:szCs w:val="36"/>
          <w:rtl/>
        </w:rPr>
        <w:t xml:space="preserve"> بين اللفظ والمعنى ان فرض تحققه</w:t>
      </w:r>
      <w:r w:rsidR="00B253CE" w:rsidRPr="00FD211F">
        <w:rPr>
          <w:sz w:val="36"/>
          <w:szCs w:val="36"/>
          <w:rtl/>
        </w:rPr>
        <w:t xml:space="preserve"> </w:t>
      </w:r>
      <w:r w:rsidRPr="00FD211F">
        <w:rPr>
          <w:sz w:val="36"/>
          <w:szCs w:val="36"/>
          <w:rtl/>
        </w:rPr>
        <w:t>فلامحال</w:t>
      </w:r>
      <w:r w:rsidR="00EC7EDF" w:rsidRPr="00FD211F">
        <w:rPr>
          <w:sz w:val="36"/>
          <w:szCs w:val="36"/>
          <w:rtl/>
        </w:rPr>
        <w:t xml:space="preserve">ة </w:t>
      </w:r>
      <w:r w:rsidRPr="00FD211F">
        <w:rPr>
          <w:sz w:val="36"/>
          <w:szCs w:val="36"/>
          <w:rtl/>
        </w:rPr>
        <w:t xml:space="preserve">يستتبع تصور اللفظ تصور المعنى في </w:t>
      </w:r>
      <w:r w:rsidR="00546F16" w:rsidRPr="00FD211F">
        <w:rPr>
          <w:sz w:val="36"/>
          <w:szCs w:val="36"/>
          <w:rtl/>
        </w:rPr>
        <w:t>جميع الحالات</w:t>
      </w:r>
      <w:r w:rsidR="00603323" w:rsidRPr="00FD211F">
        <w:rPr>
          <w:sz w:val="36"/>
          <w:szCs w:val="36"/>
          <w:rtl/>
        </w:rPr>
        <w:t xml:space="preserve">، </w:t>
      </w:r>
      <w:r w:rsidR="00546F16" w:rsidRPr="00FD211F">
        <w:rPr>
          <w:sz w:val="36"/>
          <w:szCs w:val="36"/>
          <w:rtl/>
        </w:rPr>
        <w:t>وان فرض عدم تحققه</w:t>
      </w:r>
      <w:r w:rsidRPr="00FD211F">
        <w:rPr>
          <w:sz w:val="36"/>
          <w:szCs w:val="36"/>
          <w:rtl/>
        </w:rPr>
        <w:t xml:space="preserve"> فلايستتبع تصور اللفظ تصور المعنى مطلقا وفي أي حال من الحالات</w:t>
      </w:r>
      <w:r w:rsidR="00603323" w:rsidRPr="00FD211F">
        <w:rPr>
          <w:sz w:val="36"/>
          <w:szCs w:val="36"/>
          <w:rtl/>
        </w:rPr>
        <w:t xml:space="preserve">، </w:t>
      </w:r>
      <w:r w:rsidRPr="00FD211F">
        <w:rPr>
          <w:sz w:val="36"/>
          <w:szCs w:val="36"/>
          <w:rtl/>
        </w:rPr>
        <w:t>بل بناء على كون الوضع هو الاعتبار -كما اخترناه سابقا حيث قلنا بانه اعتبار اللفظ علام</w:t>
      </w:r>
      <w:r w:rsidR="00EC7EDF" w:rsidRPr="00FD211F">
        <w:rPr>
          <w:sz w:val="36"/>
          <w:szCs w:val="36"/>
          <w:rtl/>
        </w:rPr>
        <w:t xml:space="preserve">ة </w:t>
      </w:r>
      <w:r w:rsidRPr="00FD211F">
        <w:rPr>
          <w:sz w:val="36"/>
          <w:szCs w:val="36"/>
          <w:rtl/>
        </w:rPr>
        <w:t>على المعنى- فحيث ان الغرض من هذا الاعتبار هو تحقق القرن الأكيد بين اللفظ والمعنى فيلغو تقييد هذا الاعتبار بحال دون حال بعد ان</w:t>
      </w:r>
      <w:r w:rsidR="008D7B3D" w:rsidRPr="00FD211F">
        <w:rPr>
          <w:sz w:val="36"/>
          <w:szCs w:val="36"/>
          <w:rtl/>
        </w:rPr>
        <w:t xml:space="preserve"> لم‌</w:t>
      </w:r>
      <w:r w:rsidRPr="00FD211F">
        <w:rPr>
          <w:sz w:val="36"/>
          <w:szCs w:val="36"/>
          <w:rtl/>
        </w:rPr>
        <w:t>يمكن التحفظ على هذا التقيد في مرحل</w:t>
      </w:r>
      <w:r w:rsidR="00EC7EDF" w:rsidRPr="00FD211F">
        <w:rPr>
          <w:sz w:val="36"/>
          <w:szCs w:val="36"/>
          <w:rtl/>
        </w:rPr>
        <w:t xml:space="preserve">ة </w:t>
      </w:r>
      <w:r w:rsidRPr="00FD211F">
        <w:rPr>
          <w:sz w:val="36"/>
          <w:szCs w:val="36"/>
          <w:rtl/>
        </w:rPr>
        <w:t>القرن الأكيد.</w:t>
      </w:r>
    </w:p>
    <w:p w14:paraId="3D035344" w14:textId="77777777" w:rsidR="00546F16" w:rsidRPr="00FD211F" w:rsidRDefault="00052BF2"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 xml:space="preserve">وقد ذكر المحقق العراقي </w:t>
      </w:r>
      <w:r w:rsidR="00546F16" w:rsidRPr="00FD211F">
        <w:rPr>
          <w:sz w:val="36"/>
          <w:szCs w:val="36"/>
          <w:rtl/>
        </w:rPr>
        <w:t>"</w:t>
      </w:r>
      <w:r w:rsidRPr="00FD211F">
        <w:rPr>
          <w:sz w:val="36"/>
          <w:szCs w:val="36"/>
          <w:rtl/>
        </w:rPr>
        <w:t>قده</w:t>
      </w:r>
      <w:r w:rsidR="00546F16" w:rsidRPr="00FD211F">
        <w:rPr>
          <w:sz w:val="36"/>
          <w:szCs w:val="36"/>
          <w:rtl/>
        </w:rPr>
        <w:t>"</w:t>
      </w:r>
      <w:r w:rsidRPr="00FD211F">
        <w:rPr>
          <w:sz w:val="36"/>
          <w:szCs w:val="36"/>
          <w:rtl/>
        </w:rPr>
        <w:t xml:space="preserve"> نكتتين</w:t>
      </w:r>
      <w:r w:rsidR="00EC7EDF" w:rsidRPr="00FD211F">
        <w:rPr>
          <w:sz w:val="36"/>
          <w:szCs w:val="36"/>
          <w:rtl/>
        </w:rPr>
        <w:t>.</w:t>
      </w:r>
    </w:p>
    <w:p w14:paraId="439E2E65" w14:textId="77777777" w:rsidR="00052BF2" w:rsidRPr="00FD211F" w:rsidRDefault="00052BF2" w:rsidP="009C58C8">
      <w:pPr>
        <w:ind w:left="0" w:firstLine="227"/>
        <w:jc w:val="both"/>
        <w:rPr>
          <w:sz w:val="36"/>
          <w:szCs w:val="36"/>
          <w:rtl/>
        </w:rPr>
      </w:pPr>
      <w:r w:rsidRPr="00FD211F">
        <w:rPr>
          <w:sz w:val="36"/>
          <w:szCs w:val="36"/>
          <w:rtl/>
        </w:rPr>
        <w:t>1- ان اخذ قيد الوحد</w:t>
      </w:r>
      <w:r w:rsidR="00EC7EDF" w:rsidRPr="00FD211F">
        <w:rPr>
          <w:sz w:val="36"/>
          <w:szCs w:val="36"/>
          <w:rtl/>
        </w:rPr>
        <w:t xml:space="preserve">ة </w:t>
      </w:r>
      <w:r w:rsidRPr="00FD211F">
        <w:rPr>
          <w:sz w:val="36"/>
          <w:szCs w:val="36"/>
          <w:rtl/>
        </w:rPr>
        <w:t>قيدا في المعنى الموضوع له محال</w:t>
      </w:r>
      <w:r w:rsidR="00603323" w:rsidRPr="00FD211F">
        <w:rPr>
          <w:sz w:val="36"/>
          <w:szCs w:val="36"/>
          <w:rtl/>
        </w:rPr>
        <w:t xml:space="preserve">، </w:t>
      </w:r>
      <w:r w:rsidRPr="00FD211F">
        <w:rPr>
          <w:sz w:val="36"/>
          <w:szCs w:val="36"/>
          <w:rtl/>
        </w:rPr>
        <w:t>فان الوحد</w:t>
      </w:r>
      <w:r w:rsidR="00EC7EDF" w:rsidRPr="00FD211F">
        <w:rPr>
          <w:sz w:val="36"/>
          <w:szCs w:val="36"/>
          <w:rtl/>
        </w:rPr>
        <w:t xml:space="preserve">ة </w:t>
      </w:r>
      <w:r w:rsidRPr="00FD211F">
        <w:rPr>
          <w:sz w:val="36"/>
          <w:szCs w:val="36"/>
          <w:rtl/>
        </w:rPr>
        <w:t>اللحاظي</w:t>
      </w:r>
      <w:r w:rsidR="00EC7EDF" w:rsidRPr="00FD211F">
        <w:rPr>
          <w:sz w:val="36"/>
          <w:szCs w:val="36"/>
          <w:rtl/>
        </w:rPr>
        <w:t xml:space="preserve">ة </w:t>
      </w:r>
      <w:r w:rsidRPr="00FD211F">
        <w:rPr>
          <w:sz w:val="36"/>
          <w:szCs w:val="36"/>
          <w:rtl/>
        </w:rPr>
        <w:t>في مقام الاستعمال تكون من خصوصيات الاستعمال فلايعقل اخذها في المعنى المستعمل فيه الذي هو سابق رتب</w:t>
      </w:r>
      <w:r w:rsidR="00EC7EDF" w:rsidRPr="00FD211F">
        <w:rPr>
          <w:sz w:val="36"/>
          <w:szCs w:val="36"/>
          <w:rtl/>
        </w:rPr>
        <w:t xml:space="preserve">ة </w:t>
      </w:r>
      <w:r w:rsidRPr="00FD211F">
        <w:rPr>
          <w:sz w:val="36"/>
          <w:szCs w:val="36"/>
          <w:rtl/>
        </w:rPr>
        <w:t>على الاستعمال.</w:t>
      </w:r>
    </w:p>
    <w:p w14:paraId="2666B89A" w14:textId="77777777" w:rsidR="00052BF2" w:rsidRPr="00FD211F" w:rsidRDefault="00052BF2" w:rsidP="009C58C8">
      <w:pPr>
        <w:ind w:left="0" w:firstLine="227"/>
        <w:jc w:val="both"/>
        <w:rPr>
          <w:sz w:val="36"/>
          <w:szCs w:val="36"/>
          <w:rtl/>
        </w:rPr>
      </w:pPr>
      <w:r w:rsidRPr="00FD211F">
        <w:rPr>
          <w:sz w:val="36"/>
          <w:szCs w:val="36"/>
          <w:rtl/>
        </w:rPr>
        <w:t>2- ان تقييد وضع لفظ العين مثلا على معنى الذهب بقيد الوحد</w:t>
      </w:r>
      <w:r w:rsidR="00EC7EDF" w:rsidRPr="00FD211F">
        <w:rPr>
          <w:sz w:val="36"/>
          <w:szCs w:val="36"/>
          <w:rtl/>
        </w:rPr>
        <w:t xml:space="preserve">ة </w:t>
      </w:r>
      <w:r w:rsidRPr="00FD211F">
        <w:rPr>
          <w:sz w:val="36"/>
          <w:szCs w:val="36"/>
          <w:rtl/>
        </w:rPr>
        <w:t>وان كان مستحيلا</w:t>
      </w:r>
      <w:r w:rsidR="00603323" w:rsidRPr="00FD211F">
        <w:rPr>
          <w:sz w:val="36"/>
          <w:szCs w:val="36"/>
          <w:rtl/>
        </w:rPr>
        <w:t xml:space="preserve">، </w:t>
      </w:r>
      <w:r w:rsidRPr="00FD211F">
        <w:rPr>
          <w:sz w:val="36"/>
          <w:szCs w:val="36"/>
          <w:rtl/>
        </w:rPr>
        <w:t>لكن يمكن ان يقال بان غرض الواضع من الوضع لما كان متضيقا ومختصا بفرض استعمال هذا اللفظ في معنى الذهب في حال عدم اراد</w:t>
      </w:r>
      <w:r w:rsidR="00EC7EDF" w:rsidRPr="00FD211F">
        <w:rPr>
          <w:sz w:val="36"/>
          <w:szCs w:val="36"/>
          <w:rtl/>
        </w:rPr>
        <w:t xml:space="preserve">ة </w:t>
      </w:r>
      <w:r w:rsidRPr="00FD211F">
        <w:rPr>
          <w:sz w:val="36"/>
          <w:szCs w:val="36"/>
          <w:rtl/>
        </w:rPr>
        <w:t>معنى الفض</w:t>
      </w:r>
      <w:r w:rsidR="00EC7EDF" w:rsidRPr="00FD211F">
        <w:rPr>
          <w:sz w:val="36"/>
          <w:szCs w:val="36"/>
          <w:rtl/>
        </w:rPr>
        <w:t xml:space="preserve">ة </w:t>
      </w:r>
      <w:r w:rsidRPr="00FD211F">
        <w:rPr>
          <w:sz w:val="36"/>
          <w:szCs w:val="36"/>
          <w:rtl/>
        </w:rPr>
        <w:t>معه فيوجب ذلك تضيق الوضع قهرا</w:t>
      </w:r>
      <w:r w:rsidR="00603323" w:rsidRPr="00FD211F">
        <w:rPr>
          <w:sz w:val="36"/>
          <w:szCs w:val="36"/>
          <w:rtl/>
        </w:rPr>
        <w:t xml:space="preserve">، </w:t>
      </w:r>
      <w:r w:rsidRPr="00FD211F">
        <w:rPr>
          <w:sz w:val="36"/>
          <w:szCs w:val="36"/>
          <w:rtl/>
        </w:rPr>
        <w:t>وبتبعه يتضيق المعنى الموضوع له كذلك</w:t>
      </w:r>
      <w:r w:rsidR="00603323" w:rsidRPr="00FD211F">
        <w:rPr>
          <w:sz w:val="36"/>
          <w:szCs w:val="36"/>
          <w:rtl/>
        </w:rPr>
        <w:t xml:space="preserve">، </w:t>
      </w:r>
      <w:r w:rsidRPr="00FD211F">
        <w:rPr>
          <w:sz w:val="36"/>
          <w:szCs w:val="36"/>
          <w:rtl/>
        </w:rPr>
        <w:t>نظير ما يقال في الأمر العبادي بان اخذ قصد امتثال الأمر في متعلق الأمر وان كان مستحيلا لكن ضيق غرض المولى من الأمر –حيث تعلق غرضه بخصوص إتيان متعلق الأمر بقصد امتثال الأمر- يوجب تضيق الأمر قهرا</w:t>
      </w:r>
      <w:r w:rsidR="00603323" w:rsidRPr="00FD211F">
        <w:rPr>
          <w:sz w:val="36"/>
          <w:szCs w:val="36"/>
          <w:rtl/>
        </w:rPr>
        <w:t xml:space="preserve">، </w:t>
      </w:r>
      <w:r w:rsidRPr="00FD211F">
        <w:rPr>
          <w:sz w:val="36"/>
          <w:szCs w:val="36"/>
          <w:rtl/>
        </w:rPr>
        <w:t>وبتبع ذلك يتضيق الطبيع</w:t>
      </w:r>
      <w:r w:rsidR="00EC7EDF" w:rsidRPr="00FD211F">
        <w:rPr>
          <w:sz w:val="36"/>
          <w:szCs w:val="36"/>
          <w:rtl/>
        </w:rPr>
        <w:t xml:space="preserve">ة </w:t>
      </w:r>
      <w:r w:rsidRPr="00FD211F">
        <w:rPr>
          <w:sz w:val="36"/>
          <w:szCs w:val="36"/>
          <w:rtl/>
        </w:rPr>
        <w:t>المأمور بها قهرا وسمّى ذلك بالحص</w:t>
      </w:r>
      <w:r w:rsidR="00EC7EDF" w:rsidRPr="00FD211F">
        <w:rPr>
          <w:sz w:val="36"/>
          <w:szCs w:val="36"/>
          <w:rtl/>
        </w:rPr>
        <w:t xml:space="preserve">ة </w:t>
      </w:r>
      <w:r w:rsidRPr="00FD211F">
        <w:rPr>
          <w:sz w:val="36"/>
          <w:szCs w:val="36"/>
          <w:rtl/>
        </w:rPr>
        <w:t>التوأم</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64"/>
      </w:r>
      <w:r w:rsidR="009C58C8" w:rsidRPr="00FD211F">
        <w:rPr>
          <w:rStyle w:val="a6"/>
          <w:sz w:val="36"/>
          <w:szCs w:val="36"/>
          <w:rtl/>
        </w:rPr>
        <w:t>)</w:t>
      </w:r>
      <w:r w:rsidRPr="00FD211F">
        <w:rPr>
          <w:sz w:val="36"/>
          <w:szCs w:val="36"/>
          <w:rtl/>
        </w:rPr>
        <w:t>.</w:t>
      </w:r>
    </w:p>
    <w:p w14:paraId="4DC4B29A" w14:textId="77777777" w:rsidR="00546F16" w:rsidRPr="00FD211F" w:rsidRDefault="00052BF2" w:rsidP="009C58C8">
      <w:pPr>
        <w:ind w:left="0" w:firstLine="227"/>
        <w:jc w:val="both"/>
        <w:rPr>
          <w:sz w:val="36"/>
          <w:szCs w:val="36"/>
          <w:rtl/>
        </w:rPr>
      </w:pPr>
      <w:r w:rsidRPr="00FD211F">
        <w:rPr>
          <w:sz w:val="36"/>
          <w:szCs w:val="36"/>
          <w:rtl/>
        </w:rPr>
        <w:t>اقول: اما النكت</w:t>
      </w:r>
      <w:r w:rsidR="00EC7EDF" w:rsidRPr="00FD211F">
        <w:rPr>
          <w:sz w:val="36"/>
          <w:szCs w:val="36"/>
          <w:rtl/>
        </w:rPr>
        <w:t xml:space="preserve">ة </w:t>
      </w:r>
      <w:r w:rsidRPr="00FD211F">
        <w:rPr>
          <w:sz w:val="36"/>
          <w:szCs w:val="36"/>
          <w:rtl/>
        </w:rPr>
        <w:t>الأولى فيرد عليها</w:t>
      </w:r>
      <w:r w:rsidRPr="00FD211F">
        <w:rPr>
          <w:b/>
          <w:bCs/>
          <w:sz w:val="36"/>
          <w:szCs w:val="36"/>
          <w:rtl/>
        </w:rPr>
        <w:t xml:space="preserve"> اولا</w:t>
      </w:r>
      <w:r w:rsidR="005719DB" w:rsidRPr="00FD211F">
        <w:rPr>
          <w:b/>
          <w:bCs/>
          <w:sz w:val="36"/>
          <w:szCs w:val="36"/>
          <w:rtl/>
        </w:rPr>
        <w:t>:</w:t>
      </w:r>
      <w:r w:rsidRPr="00FD211F">
        <w:rPr>
          <w:sz w:val="36"/>
          <w:szCs w:val="36"/>
          <w:rtl/>
        </w:rPr>
        <w:t xml:space="preserve"> انه انما يأتي هذا الاشكال بناء على كون المدعى أخذ قيد الوحد</w:t>
      </w:r>
      <w:r w:rsidR="00EC7EDF" w:rsidRPr="00FD211F">
        <w:rPr>
          <w:sz w:val="36"/>
          <w:szCs w:val="36"/>
          <w:rtl/>
        </w:rPr>
        <w:t xml:space="preserve">ة </w:t>
      </w:r>
      <w:r w:rsidRPr="00FD211F">
        <w:rPr>
          <w:sz w:val="36"/>
          <w:szCs w:val="36"/>
          <w:rtl/>
        </w:rPr>
        <w:t>في المعنى الموضوع له مباشر</w:t>
      </w:r>
      <w:r w:rsidR="00EC7EDF" w:rsidRPr="00FD211F">
        <w:rPr>
          <w:sz w:val="36"/>
          <w:szCs w:val="36"/>
          <w:rtl/>
        </w:rPr>
        <w:t>ة</w:t>
      </w:r>
      <w:r w:rsidR="00603323" w:rsidRPr="00FD211F">
        <w:rPr>
          <w:sz w:val="36"/>
          <w:szCs w:val="36"/>
          <w:rtl/>
        </w:rPr>
        <w:t xml:space="preserve">، </w:t>
      </w:r>
      <w:r w:rsidRPr="00FD211F">
        <w:rPr>
          <w:sz w:val="36"/>
          <w:szCs w:val="36"/>
          <w:rtl/>
        </w:rPr>
        <w:t>ولايأتي فيما لو كان المدعى تقييد</w:t>
      </w:r>
      <w:r w:rsidR="00495311" w:rsidRPr="00FD211F">
        <w:rPr>
          <w:sz w:val="36"/>
          <w:szCs w:val="36"/>
          <w:rtl/>
        </w:rPr>
        <w:t xml:space="preserve"> الوضع</w:t>
      </w:r>
      <w:r w:rsidRPr="00FD211F">
        <w:rPr>
          <w:sz w:val="36"/>
          <w:szCs w:val="36"/>
          <w:rtl/>
        </w:rPr>
        <w:t xml:space="preserve"> بقيد الوحد</w:t>
      </w:r>
      <w:r w:rsidR="00EC7EDF" w:rsidRPr="00FD211F">
        <w:rPr>
          <w:sz w:val="36"/>
          <w:szCs w:val="36"/>
          <w:rtl/>
        </w:rPr>
        <w:t xml:space="preserve">ة </w:t>
      </w:r>
      <w:r w:rsidR="00495311" w:rsidRPr="00FD211F">
        <w:rPr>
          <w:sz w:val="36"/>
          <w:szCs w:val="36"/>
          <w:rtl/>
        </w:rPr>
        <w:t>بمعنى ان وضع لفظ العين مثلالمعنى الذهب مختص بفرض استعماله فيه وحده فلو استعمله المتكلم فيه وفي غير ه معا كان خارجا عن دائر</w:t>
      </w:r>
      <w:r w:rsidR="00EC7EDF" w:rsidRPr="00FD211F">
        <w:rPr>
          <w:sz w:val="36"/>
          <w:szCs w:val="36"/>
          <w:rtl/>
        </w:rPr>
        <w:t xml:space="preserve">ة </w:t>
      </w:r>
      <w:r w:rsidR="00495311" w:rsidRPr="00FD211F">
        <w:rPr>
          <w:sz w:val="36"/>
          <w:szCs w:val="36"/>
          <w:rtl/>
        </w:rPr>
        <w:t>الوضع</w:t>
      </w:r>
      <w:r w:rsidR="00603323" w:rsidRPr="00FD211F">
        <w:rPr>
          <w:sz w:val="36"/>
          <w:szCs w:val="36"/>
          <w:rtl/>
        </w:rPr>
        <w:t xml:space="preserve">، </w:t>
      </w:r>
      <w:r w:rsidR="00495311" w:rsidRPr="00FD211F">
        <w:rPr>
          <w:sz w:val="36"/>
          <w:szCs w:val="36"/>
          <w:rtl/>
        </w:rPr>
        <w:t>نعم قد مر أنه بناء على كون الوضع هو القرن الاكيد فلا يمكن تقييد الوضع</w:t>
      </w:r>
      <w:r w:rsidR="00B253CE" w:rsidRPr="00FD211F">
        <w:rPr>
          <w:sz w:val="36"/>
          <w:szCs w:val="36"/>
          <w:rtl/>
        </w:rPr>
        <w:t xml:space="preserve"> </w:t>
      </w:r>
      <w:r w:rsidR="00495311" w:rsidRPr="00FD211F">
        <w:rPr>
          <w:sz w:val="36"/>
          <w:szCs w:val="36"/>
          <w:rtl/>
        </w:rPr>
        <w:t>بحال دون حال</w:t>
      </w:r>
      <w:r w:rsidR="00EC7EDF" w:rsidRPr="00FD211F">
        <w:rPr>
          <w:sz w:val="36"/>
          <w:szCs w:val="36"/>
          <w:rtl/>
        </w:rPr>
        <w:t>.</w:t>
      </w:r>
    </w:p>
    <w:p w14:paraId="0E04A2CD" w14:textId="77777777" w:rsidR="00052BF2"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لو فرضنا اخذ قيد الوحد</w:t>
      </w:r>
      <w:r w:rsidR="00EC7EDF" w:rsidRPr="00FD211F">
        <w:rPr>
          <w:sz w:val="36"/>
          <w:szCs w:val="36"/>
          <w:rtl/>
        </w:rPr>
        <w:t xml:space="preserve">ة </w:t>
      </w:r>
      <w:r w:rsidRPr="00FD211F">
        <w:rPr>
          <w:sz w:val="36"/>
          <w:szCs w:val="36"/>
          <w:rtl/>
        </w:rPr>
        <w:t>في المعنى الموضوع له فمعناه كون لفظ العين مثلا موضوعا لمعنى الذهب وحده اي بشرط عدم لحاظ معنى الفض</w:t>
      </w:r>
      <w:r w:rsidR="00EC7EDF" w:rsidRPr="00FD211F">
        <w:rPr>
          <w:sz w:val="36"/>
          <w:szCs w:val="36"/>
          <w:rtl/>
        </w:rPr>
        <w:t xml:space="preserve">ة </w:t>
      </w:r>
      <w:r w:rsidRPr="00FD211F">
        <w:rPr>
          <w:sz w:val="36"/>
          <w:szCs w:val="36"/>
          <w:rtl/>
        </w:rPr>
        <w:t>مثلا حين استعمال لفظ العين في معنى الذهب</w:t>
      </w:r>
      <w:r w:rsidR="00603323" w:rsidRPr="00FD211F">
        <w:rPr>
          <w:sz w:val="36"/>
          <w:szCs w:val="36"/>
          <w:rtl/>
        </w:rPr>
        <w:t xml:space="preserve">، </w:t>
      </w:r>
      <w:r w:rsidRPr="00FD211F">
        <w:rPr>
          <w:sz w:val="36"/>
          <w:szCs w:val="36"/>
          <w:rtl/>
        </w:rPr>
        <w:t>وليس لحاظ معنى الفض</w:t>
      </w:r>
      <w:r w:rsidR="00EC7EDF" w:rsidRPr="00FD211F">
        <w:rPr>
          <w:sz w:val="36"/>
          <w:szCs w:val="36"/>
          <w:rtl/>
        </w:rPr>
        <w:t xml:space="preserve">ة </w:t>
      </w:r>
      <w:r w:rsidRPr="00FD211F">
        <w:rPr>
          <w:sz w:val="36"/>
          <w:szCs w:val="36"/>
          <w:rtl/>
        </w:rPr>
        <w:t>او عدم لحاظه متأخرا رتب</w:t>
      </w:r>
      <w:r w:rsidR="00EC7EDF" w:rsidRPr="00FD211F">
        <w:rPr>
          <w:sz w:val="36"/>
          <w:szCs w:val="36"/>
          <w:rtl/>
        </w:rPr>
        <w:t xml:space="preserve">ة </w:t>
      </w:r>
      <w:r w:rsidRPr="00FD211F">
        <w:rPr>
          <w:sz w:val="36"/>
          <w:szCs w:val="36"/>
          <w:rtl/>
        </w:rPr>
        <w:t>عن معنى الذهب</w:t>
      </w:r>
      <w:r w:rsidR="00603323" w:rsidRPr="00FD211F">
        <w:rPr>
          <w:sz w:val="36"/>
          <w:szCs w:val="36"/>
          <w:rtl/>
        </w:rPr>
        <w:t xml:space="preserve">، </w:t>
      </w:r>
      <w:r w:rsidRPr="00FD211F">
        <w:rPr>
          <w:sz w:val="36"/>
          <w:szCs w:val="36"/>
          <w:rtl/>
        </w:rPr>
        <w:t>وانما المتأخر رتب</w:t>
      </w:r>
      <w:r w:rsidR="00EC7EDF" w:rsidRPr="00FD211F">
        <w:rPr>
          <w:sz w:val="36"/>
          <w:szCs w:val="36"/>
          <w:rtl/>
        </w:rPr>
        <w:t xml:space="preserve">ة </w:t>
      </w:r>
      <w:r w:rsidRPr="00FD211F">
        <w:rPr>
          <w:sz w:val="36"/>
          <w:szCs w:val="36"/>
          <w:rtl/>
        </w:rPr>
        <w:t>عن معنى الذهب هو لحاظ نفس هذا المعنى.</w:t>
      </w:r>
    </w:p>
    <w:p w14:paraId="62E658AE" w14:textId="77777777" w:rsidR="000C5BBA" w:rsidRPr="00FD211F" w:rsidRDefault="00052BF2" w:rsidP="009C58C8">
      <w:pPr>
        <w:ind w:left="0" w:firstLine="227"/>
        <w:jc w:val="both"/>
        <w:rPr>
          <w:sz w:val="36"/>
          <w:szCs w:val="36"/>
          <w:rtl/>
        </w:rPr>
      </w:pPr>
      <w:r w:rsidRPr="00FD211F">
        <w:rPr>
          <w:sz w:val="36"/>
          <w:szCs w:val="36"/>
          <w:rtl/>
        </w:rPr>
        <w:t>واما النكت</w:t>
      </w:r>
      <w:r w:rsidR="00EC7EDF" w:rsidRPr="00FD211F">
        <w:rPr>
          <w:sz w:val="36"/>
          <w:szCs w:val="36"/>
          <w:rtl/>
        </w:rPr>
        <w:t xml:space="preserve">ة </w:t>
      </w:r>
      <w:r w:rsidRPr="00FD211F">
        <w:rPr>
          <w:sz w:val="36"/>
          <w:szCs w:val="36"/>
          <w:rtl/>
        </w:rPr>
        <w:t>الثاني</w:t>
      </w:r>
      <w:r w:rsidR="00EC7EDF" w:rsidRPr="00FD211F">
        <w:rPr>
          <w:sz w:val="36"/>
          <w:szCs w:val="36"/>
          <w:rtl/>
        </w:rPr>
        <w:t xml:space="preserve">ة </w:t>
      </w:r>
      <w:r w:rsidRPr="00FD211F">
        <w:rPr>
          <w:sz w:val="36"/>
          <w:szCs w:val="36"/>
          <w:rtl/>
        </w:rPr>
        <w:t xml:space="preserve">فيرد عليها </w:t>
      </w:r>
      <w:r w:rsidRPr="00FD211F">
        <w:rPr>
          <w:b/>
          <w:bCs/>
          <w:sz w:val="36"/>
          <w:szCs w:val="36"/>
          <w:rtl/>
        </w:rPr>
        <w:t>اولا</w:t>
      </w:r>
      <w:r w:rsidRPr="00FD211F">
        <w:rPr>
          <w:sz w:val="36"/>
          <w:szCs w:val="36"/>
          <w:rtl/>
        </w:rPr>
        <w:t>: ما قد ذكرنا من أن الغرض من الوضع هو حصول القرن الأكيد بين اللفظ والمعنى</w:t>
      </w:r>
      <w:r w:rsidR="00603323" w:rsidRPr="00FD211F">
        <w:rPr>
          <w:sz w:val="36"/>
          <w:szCs w:val="36"/>
          <w:rtl/>
        </w:rPr>
        <w:t xml:space="preserve">، </w:t>
      </w:r>
      <w:r w:rsidRPr="00FD211F">
        <w:rPr>
          <w:sz w:val="36"/>
          <w:szCs w:val="36"/>
          <w:rtl/>
        </w:rPr>
        <w:t>وهذا الغرض مما لايختص بحال دون حال</w:t>
      </w:r>
      <w:r w:rsidR="00546F16" w:rsidRPr="00FD211F">
        <w:rPr>
          <w:sz w:val="36"/>
          <w:szCs w:val="36"/>
          <w:rtl/>
        </w:rPr>
        <w:t>.</w:t>
      </w:r>
    </w:p>
    <w:p w14:paraId="39E4EC9E" w14:textId="77777777" w:rsidR="00052BF2"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ان ضيق الغرض والداعي من إنشاء الوضع لايوجب تضيق نفس الوضع</w:t>
      </w:r>
      <w:r w:rsidR="00603323" w:rsidRPr="00FD211F">
        <w:rPr>
          <w:sz w:val="36"/>
          <w:szCs w:val="36"/>
          <w:rtl/>
        </w:rPr>
        <w:t xml:space="preserve">، </w:t>
      </w:r>
      <w:r w:rsidRPr="00FD211F">
        <w:rPr>
          <w:sz w:val="36"/>
          <w:szCs w:val="36"/>
          <w:rtl/>
        </w:rPr>
        <w:t>كما ان تضيق الغرض من إنشاء الحكم لايوجب تضيق نفس الحكم</w:t>
      </w:r>
      <w:r w:rsidR="00603323" w:rsidRPr="00FD211F">
        <w:rPr>
          <w:sz w:val="36"/>
          <w:szCs w:val="36"/>
          <w:rtl/>
        </w:rPr>
        <w:t xml:space="preserve">، </w:t>
      </w:r>
      <w:r w:rsidRPr="00FD211F">
        <w:rPr>
          <w:sz w:val="36"/>
          <w:szCs w:val="36"/>
          <w:rtl/>
        </w:rPr>
        <w:t>فلو كان غرض المولى وداعيه من الأمر هو تحريك العبد فلايعني ذلك اختصاص الأمر بخصوص فرض محركيته بحيث لايشمل فرض عصيانه</w:t>
      </w:r>
      <w:r w:rsidR="00603323" w:rsidRPr="00FD211F">
        <w:rPr>
          <w:sz w:val="36"/>
          <w:szCs w:val="36"/>
          <w:rtl/>
        </w:rPr>
        <w:t xml:space="preserve">، </w:t>
      </w:r>
      <w:r w:rsidRPr="00FD211F">
        <w:rPr>
          <w:sz w:val="36"/>
          <w:szCs w:val="36"/>
          <w:rtl/>
        </w:rPr>
        <w:t>وهكذا في الأمر العبادي فانه بناء على استحال</w:t>
      </w:r>
      <w:r w:rsidR="00EC7EDF" w:rsidRPr="00FD211F">
        <w:rPr>
          <w:sz w:val="36"/>
          <w:szCs w:val="36"/>
          <w:rtl/>
        </w:rPr>
        <w:t xml:space="preserve">ة </w:t>
      </w:r>
      <w:r w:rsidRPr="00FD211F">
        <w:rPr>
          <w:sz w:val="36"/>
          <w:szCs w:val="36"/>
          <w:rtl/>
        </w:rPr>
        <w:t>أخذ قصد امتثال الأمر في متعلق الأمر فتكون استحال</w:t>
      </w:r>
      <w:r w:rsidR="00EC7EDF" w:rsidRPr="00FD211F">
        <w:rPr>
          <w:sz w:val="36"/>
          <w:szCs w:val="36"/>
          <w:rtl/>
        </w:rPr>
        <w:t xml:space="preserve">ة </w:t>
      </w:r>
      <w:r w:rsidRPr="00FD211F">
        <w:rPr>
          <w:sz w:val="36"/>
          <w:szCs w:val="36"/>
          <w:rtl/>
        </w:rPr>
        <w:t>التقييد مستتبع</w:t>
      </w:r>
      <w:r w:rsidR="00EC7EDF" w:rsidRPr="00FD211F">
        <w:rPr>
          <w:sz w:val="36"/>
          <w:szCs w:val="36"/>
          <w:rtl/>
        </w:rPr>
        <w:t xml:space="preserve">ة </w:t>
      </w:r>
      <w:r w:rsidRPr="00FD211F">
        <w:rPr>
          <w:sz w:val="36"/>
          <w:szCs w:val="36"/>
          <w:rtl/>
        </w:rPr>
        <w:t>لضرور</w:t>
      </w:r>
      <w:r w:rsidR="00EC7EDF" w:rsidRPr="00FD211F">
        <w:rPr>
          <w:sz w:val="36"/>
          <w:szCs w:val="36"/>
          <w:rtl/>
        </w:rPr>
        <w:t xml:space="preserve">ة </w:t>
      </w:r>
      <w:r w:rsidRPr="00FD211F">
        <w:rPr>
          <w:sz w:val="36"/>
          <w:szCs w:val="36"/>
          <w:rtl/>
        </w:rPr>
        <w:t>الاطلاق</w:t>
      </w:r>
      <w:r w:rsidR="00603323" w:rsidRPr="00FD211F">
        <w:rPr>
          <w:sz w:val="36"/>
          <w:szCs w:val="36"/>
          <w:rtl/>
        </w:rPr>
        <w:t xml:space="preserve">، </w:t>
      </w:r>
      <w:r w:rsidRPr="00FD211F">
        <w:rPr>
          <w:sz w:val="36"/>
          <w:szCs w:val="36"/>
          <w:rtl/>
        </w:rPr>
        <w:t>ولاينافيه كون غرض المولى مختصا بخصوص اتيان متعلق الأمر العبادي بقصد الامتثال</w:t>
      </w:r>
      <w:r w:rsidR="00603323" w:rsidRPr="00FD211F">
        <w:rPr>
          <w:sz w:val="36"/>
          <w:szCs w:val="36"/>
          <w:rtl/>
        </w:rPr>
        <w:t xml:space="preserve">، </w:t>
      </w:r>
      <w:r w:rsidRPr="00FD211F">
        <w:rPr>
          <w:sz w:val="36"/>
          <w:szCs w:val="36"/>
          <w:rtl/>
        </w:rPr>
        <w:t>فان اختصاص الغرض بذلك –سواء اريد من الغرض الملاك او اراد</w:t>
      </w:r>
      <w:r w:rsidR="00EC7EDF" w:rsidRPr="00FD211F">
        <w:rPr>
          <w:sz w:val="36"/>
          <w:szCs w:val="36"/>
          <w:rtl/>
        </w:rPr>
        <w:t xml:space="preserve">ة </w:t>
      </w:r>
      <w:r w:rsidRPr="00FD211F">
        <w:rPr>
          <w:sz w:val="36"/>
          <w:szCs w:val="36"/>
          <w:rtl/>
        </w:rPr>
        <w:t>المولى- لايكفي في تضيق متعلق الأمر</w:t>
      </w:r>
      <w:r w:rsidR="00603323" w:rsidRPr="00FD211F">
        <w:rPr>
          <w:sz w:val="36"/>
          <w:szCs w:val="36"/>
          <w:rtl/>
        </w:rPr>
        <w:t xml:space="preserve">، </w:t>
      </w:r>
      <w:r w:rsidRPr="00FD211F">
        <w:rPr>
          <w:sz w:val="36"/>
          <w:szCs w:val="36"/>
          <w:rtl/>
        </w:rPr>
        <w:t>فيلزم للمولى ان يبرز ضيق غرضه بالإخبار عن ذلك او بنتيج</w:t>
      </w:r>
      <w:r w:rsidR="00EC7EDF" w:rsidRPr="00FD211F">
        <w:rPr>
          <w:sz w:val="36"/>
          <w:szCs w:val="36"/>
          <w:rtl/>
        </w:rPr>
        <w:t xml:space="preserve">ة </w:t>
      </w:r>
      <w:r w:rsidRPr="00FD211F">
        <w:rPr>
          <w:sz w:val="36"/>
          <w:szCs w:val="36"/>
          <w:rtl/>
        </w:rPr>
        <w:t>التقييد.</w:t>
      </w:r>
    </w:p>
    <w:p w14:paraId="1E564856" w14:textId="77777777" w:rsidR="000C5BBA" w:rsidRPr="00FD211F" w:rsidRDefault="00052BF2" w:rsidP="009C58C8">
      <w:pPr>
        <w:ind w:left="0" w:firstLine="227"/>
        <w:jc w:val="both"/>
        <w:rPr>
          <w:sz w:val="36"/>
          <w:szCs w:val="36"/>
          <w:rtl/>
        </w:rPr>
      </w:pPr>
      <w:r w:rsidRPr="00FD211F">
        <w:rPr>
          <w:sz w:val="36"/>
          <w:szCs w:val="36"/>
          <w:rtl/>
        </w:rPr>
        <w:t>ثم انه قد ذكر المحقق القمي</w:t>
      </w:r>
      <w:r w:rsidR="00A61BAE" w:rsidRPr="00FD211F">
        <w:rPr>
          <w:sz w:val="36"/>
          <w:szCs w:val="36"/>
          <w:rtl/>
        </w:rPr>
        <w:t xml:space="preserve"> </w:t>
      </w:r>
      <w:r w:rsidR="00FF13B3" w:rsidRPr="00FD211F">
        <w:rPr>
          <w:sz w:val="36"/>
          <w:szCs w:val="36"/>
          <w:rtl/>
        </w:rPr>
        <w:t>"قده"</w:t>
      </w:r>
      <w:r w:rsidR="00A61BAE" w:rsidRPr="00FD211F">
        <w:rPr>
          <w:sz w:val="36"/>
          <w:szCs w:val="36"/>
          <w:rtl/>
        </w:rPr>
        <w:t xml:space="preserve"> </w:t>
      </w:r>
      <w:r w:rsidRPr="00FD211F">
        <w:rPr>
          <w:sz w:val="36"/>
          <w:szCs w:val="36"/>
          <w:rtl/>
        </w:rPr>
        <w:t>ان الواضع وان</w:t>
      </w:r>
      <w:r w:rsidR="008D7B3D" w:rsidRPr="00FD211F">
        <w:rPr>
          <w:sz w:val="36"/>
          <w:szCs w:val="36"/>
          <w:rtl/>
        </w:rPr>
        <w:t xml:space="preserve"> لم‌</w:t>
      </w:r>
      <w:r w:rsidRPr="00FD211F">
        <w:rPr>
          <w:sz w:val="36"/>
          <w:szCs w:val="36"/>
          <w:rtl/>
        </w:rPr>
        <w:t>يصرح باشتراط المعنى بشرط الوحد</w:t>
      </w:r>
      <w:r w:rsidR="00EC7EDF" w:rsidRPr="00FD211F">
        <w:rPr>
          <w:sz w:val="36"/>
          <w:szCs w:val="36"/>
          <w:rtl/>
        </w:rPr>
        <w:t xml:space="preserve">ة </w:t>
      </w:r>
      <w:r w:rsidRPr="00FD211F">
        <w:rPr>
          <w:sz w:val="36"/>
          <w:szCs w:val="36"/>
          <w:rtl/>
        </w:rPr>
        <w:t xml:space="preserve">لكنه حال الوضع قد لاحظه وحده فلابد </w:t>
      </w:r>
      <w:r w:rsidR="00546F16" w:rsidRPr="00FD211F">
        <w:rPr>
          <w:sz w:val="36"/>
          <w:szCs w:val="36"/>
          <w:rtl/>
        </w:rPr>
        <w:t>في مرحل</w:t>
      </w:r>
      <w:r w:rsidR="00EC7EDF" w:rsidRPr="00FD211F">
        <w:rPr>
          <w:sz w:val="36"/>
          <w:szCs w:val="36"/>
          <w:rtl/>
        </w:rPr>
        <w:t xml:space="preserve">ة </w:t>
      </w:r>
      <w:r w:rsidR="00546F16" w:rsidRPr="00FD211F">
        <w:rPr>
          <w:sz w:val="36"/>
          <w:szCs w:val="36"/>
          <w:rtl/>
        </w:rPr>
        <w:t>الاستعمال من رعاي</w:t>
      </w:r>
      <w:r w:rsidR="00EC7EDF" w:rsidRPr="00FD211F">
        <w:rPr>
          <w:sz w:val="36"/>
          <w:szCs w:val="36"/>
          <w:rtl/>
        </w:rPr>
        <w:t xml:space="preserve">ة </w:t>
      </w:r>
      <w:r w:rsidR="00546F16" w:rsidRPr="00FD211F">
        <w:rPr>
          <w:sz w:val="36"/>
          <w:szCs w:val="36"/>
          <w:rtl/>
        </w:rPr>
        <w:t>ذلك</w:t>
      </w:r>
      <w:r w:rsidR="009C58C8" w:rsidRPr="00FD211F">
        <w:rPr>
          <w:rStyle w:val="a6"/>
          <w:sz w:val="36"/>
          <w:szCs w:val="36"/>
          <w:rtl/>
        </w:rPr>
        <w:t>(</w:t>
      </w:r>
      <w:r w:rsidR="009C58C8" w:rsidRPr="00FD211F">
        <w:rPr>
          <w:rStyle w:val="a6"/>
          <w:sz w:val="36"/>
          <w:szCs w:val="36"/>
          <w:rtl/>
        </w:rPr>
        <w:footnoteReference w:id="465"/>
      </w:r>
      <w:r w:rsidR="009C58C8" w:rsidRPr="00FD211F">
        <w:rPr>
          <w:rStyle w:val="a6"/>
          <w:sz w:val="36"/>
          <w:szCs w:val="36"/>
          <w:rtl/>
        </w:rPr>
        <w:t>)</w:t>
      </w:r>
      <w:r w:rsidR="00546F16" w:rsidRPr="00FD211F">
        <w:rPr>
          <w:sz w:val="36"/>
          <w:szCs w:val="36"/>
          <w:rtl/>
        </w:rPr>
        <w:t>.</w:t>
      </w:r>
    </w:p>
    <w:p w14:paraId="6F21C409" w14:textId="77777777" w:rsidR="00052BF2" w:rsidRPr="00FD211F" w:rsidRDefault="00052BF2" w:rsidP="009C58C8">
      <w:pPr>
        <w:ind w:left="0" w:firstLine="227"/>
        <w:jc w:val="both"/>
        <w:rPr>
          <w:sz w:val="36"/>
          <w:szCs w:val="36"/>
          <w:rtl/>
        </w:rPr>
      </w:pPr>
      <w:r w:rsidRPr="00FD211F">
        <w:rPr>
          <w:sz w:val="36"/>
          <w:szCs w:val="36"/>
          <w:rtl/>
        </w:rPr>
        <w:t>وفيه: انه ان كان مقصوده اشتراط الواضع هذا الشرط بحسب ارتكازه فقد مر انه ليس من هذا الاشتراط في ارتكاز الواضع أي عين ولااثر</w:t>
      </w:r>
      <w:r w:rsidR="00603323" w:rsidRPr="00FD211F">
        <w:rPr>
          <w:sz w:val="36"/>
          <w:szCs w:val="36"/>
          <w:rtl/>
        </w:rPr>
        <w:t xml:space="preserve">، </w:t>
      </w:r>
      <w:r w:rsidRPr="00FD211F">
        <w:rPr>
          <w:sz w:val="36"/>
          <w:szCs w:val="36"/>
          <w:rtl/>
        </w:rPr>
        <w:t>وان كان مقصوده مجرد بيان حال الواضع فلاملزم لرعاي</w:t>
      </w:r>
      <w:r w:rsidR="00EC7EDF" w:rsidRPr="00FD211F">
        <w:rPr>
          <w:sz w:val="36"/>
          <w:szCs w:val="36"/>
          <w:rtl/>
        </w:rPr>
        <w:t xml:space="preserve">ة </w:t>
      </w:r>
      <w:r w:rsidRPr="00FD211F">
        <w:rPr>
          <w:sz w:val="36"/>
          <w:szCs w:val="36"/>
          <w:rtl/>
        </w:rPr>
        <w:t>حال الواضع في مرحل</w:t>
      </w:r>
      <w:r w:rsidR="00EC7EDF" w:rsidRPr="00FD211F">
        <w:rPr>
          <w:sz w:val="36"/>
          <w:szCs w:val="36"/>
          <w:rtl/>
        </w:rPr>
        <w:t xml:space="preserve">ة </w:t>
      </w:r>
      <w:r w:rsidRPr="00FD211F">
        <w:rPr>
          <w:sz w:val="36"/>
          <w:szCs w:val="36"/>
          <w:rtl/>
        </w:rPr>
        <w:t>الاستعمال ككونه جالسا حين الوضع بنحو ذلك.</w:t>
      </w:r>
    </w:p>
    <w:p w14:paraId="7D6A8154" w14:textId="77777777" w:rsidR="00052BF2" w:rsidRPr="00FD211F" w:rsidRDefault="00052BF2" w:rsidP="009C58C8">
      <w:pPr>
        <w:ind w:left="0" w:firstLine="227"/>
        <w:jc w:val="both"/>
        <w:rPr>
          <w:sz w:val="36"/>
          <w:szCs w:val="36"/>
          <w:rtl/>
        </w:rPr>
      </w:pPr>
      <w:r w:rsidRPr="00FD211F">
        <w:rPr>
          <w:sz w:val="36"/>
          <w:szCs w:val="36"/>
          <w:rtl/>
        </w:rPr>
        <w:t>فالمتحصل ان الصحيح عدم تقيد وضع اللفظ على المعنى بقيد الوحد</w:t>
      </w:r>
      <w:r w:rsidR="00EC7EDF" w:rsidRPr="00FD211F">
        <w:rPr>
          <w:sz w:val="36"/>
          <w:szCs w:val="36"/>
          <w:rtl/>
        </w:rPr>
        <w:t xml:space="preserve">ة </w:t>
      </w:r>
      <w:r w:rsidRPr="00FD211F">
        <w:rPr>
          <w:sz w:val="36"/>
          <w:szCs w:val="36"/>
          <w:rtl/>
        </w:rPr>
        <w:t>أي بعدم استعماله في معنى آخر.</w:t>
      </w:r>
    </w:p>
    <w:p w14:paraId="79F081A7" w14:textId="77777777" w:rsidR="000C5BBA" w:rsidRPr="00FD211F" w:rsidRDefault="00052BF2" w:rsidP="009C58C8">
      <w:pPr>
        <w:ind w:left="0" w:firstLine="227"/>
        <w:jc w:val="both"/>
        <w:rPr>
          <w:sz w:val="36"/>
          <w:szCs w:val="36"/>
          <w:rtl/>
        </w:rPr>
      </w:pPr>
      <w:r w:rsidRPr="00FD211F">
        <w:rPr>
          <w:sz w:val="36"/>
          <w:szCs w:val="36"/>
          <w:rtl/>
        </w:rPr>
        <w:t>ثم ان صاحب الكفاي</w:t>
      </w:r>
      <w:r w:rsidR="00EC7EDF" w:rsidRPr="00FD211F">
        <w:rPr>
          <w:sz w:val="36"/>
          <w:szCs w:val="36"/>
          <w:rtl/>
        </w:rPr>
        <w:t>ة</w:t>
      </w:r>
      <w:r w:rsidR="008D7B3D" w:rsidRPr="00FD211F">
        <w:rPr>
          <w:sz w:val="36"/>
          <w:szCs w:val="36"/>
          <w:rtl/>
        </w:rPr>
        <w:t xml:space="preserve"> </w:t>
      </w:r>
      <w:r w:rsidR="00FF13B3" w:rsidRPr="00FD211F">
        <w:rPr>
          <w:sz w:val="36"/>
          <w:szCs w:val="36"/>
          <w:rtl/>
        </w:rPr>
        <w:t>"قده"</w:t>
      </w:r>
      <w:r w:rsidR="00A61BAE" w:rsidRPr="00FD211F">
        <w:rPr>
          <w:sz w:val="36"/>
          <w:szCs w:val="36"/>
          <w:rtl/>
        </w:rPr>
        <w:t xml:space="preserve"> </w:t>
      </w:r>
      <w:r w:rsidRPr="00FD211F">
        <w:rPr>
          <w:sz w:val="36"/>
          <w:szCs w:val="36"/>
          <w:rtl/>
        </w:rPr>
        <w:t>ذكر انه لو كان المعنى مقيدا بقيد الوحد</w:t>
      </w:r>
      <w:r w:rsidR="00EC7EDF" w:rsidRPr="00FD211F">
        <w:rPr>
          <w:sz w:val="36"/>
          <w:szCs w:val="36"/>
          <w:rtl/>
        </w:rPr>
        <w:t xml:space="preserve">ة </w:t>
      </w:r>
      <w:r w:rsidRPr="00FD211F">
        <w:rPr>
          <w:sz w:val="36"/>
          <w:szCs w:val="36"/>
          <w:rtl/>
        </w:rPr>
        <w:t>فاستعمال اللفظ في اكثر من معنى واحد يكون غلطا</w:t>
      </w:r>
      <w:r w:rsidR="00603323" w:rsidRPr="00FD211F">
        <w:rPr>
          <w:sz w:val="36"/>
          <w:szCs w:val="36"/>
          <w:rtl/>
        </w:rPr>
        <w:t xml:space="preserve">، </w:t>
      </w:r>
      <w:r w:rsidRPr="00FD211F">
        <w:rPr>
          <w:sz w:val="36"/>
          <w:szCs w:val="36"/>
          <w:rtl/>
        </w:rPr>
        <w:t>لأن وضع اللفظ للمعنى بشرط عدم استعماله في معنى آخر يكون مباينا مع استعماله في المعنى بشرط استعماله في معنى آخر ايضا</w:t>
      </w:r>
      <w:r w:rsidR="00603323" w:rsidRPr="00FD211F">
        <w:rPr>
          <w:sz w:val="36"/>
          <w:szCs w:val="36"/>
          <w:rtl/>
        </w:rPr>
        <w:t xml:space="preserve">، </w:t>
      </w:r>
      <w:r w:rsidRPr="00FD211F">
        <w:rPr>
          <w:sz w:val="36"/>
          <w:szCs w:val="36"/>
          <w:rtl/>
        </w:rPr>
        <w:t>فاستعمال اللفظ في المعنيي</w:t>
      </w:r>
      <w:r w:rsidR="00546F16" w:rsidRPr="00FD211F">
        <w:rPr>
          <w:sz w:val="36"/>
          <w:szCs w:val="36"/>
          <w:rtl/>
        </w:rPr>
        <w:t>ن معا لايكون بعلاق</w:t>
      </w:r>
      <w:r w:rsidR="00EC7EDF" w:rsidRPr="00FD211F">
        <w:rPr>
          <w:sz w:val="36"/>
          <w:szCs w:val="36"/>
          <w:rtl/>
        </w:rPr>
        <w:t xml:space="preserve">ة </w:t>
      </w:r>
      <w:r w:rsidR="00546F16" w:rsidRPr="00FD211F">
        <w:rPr>
          <w:sz w:val="36"/>
          <w:szCs w:val="36"/>
          <w:rtl/>
        </w:rPr>
        <w:t>الجزء والكل</w:t>
      </w:r>
      <w:r w:rsidR="009C58C8" w:rsidRPr="00FD211F">
        <w:rPr>
          <w:rStyle w:val="a6"/>
          <w:sz w:val="36"/>
          <w:szCs w:val="36"/>
          <w:rtl/>
        </w:rPr>
        <w:t>(</w:t>
      </w:r>
      <w:r w:rsidR="009C58C8" w:rsidRPr="00FD211F">
        <w:rPr>
          <w:rStyle w:val="a6"/>
          <w:sz w:val="36"/>
          <w:szCs w:val="36"/>
          <w:rtl/>
        </w:rPr>
        <w:footnoteReference w:id="466"/>
      </w:r>
      <w:r w:rsidR="009C58C8" w:rsidRPr="00FD211F">
        <w:rPr>
          <w:rStyle w:val="a6"/>
          <w:sz w:val="36"/>
          <w:szCs w:val="36"/>
          <w:rtl/>
        </w:rPr>
        <w:t>)</w:t>
      </w:r>
      <w:r w:rsidR="00546F16" w:rsidRPr="00FD211F">
        <w:rPr>
          <w:sz w:val="36"/>
          <w:szCs w:val="36"/>
          <w:rtl/>
        </w:rPr>
        <w:t>.</w:t>
      </w:r>
    </w:p>
    <w:p w14:paraId="1AAAD38A" w14:textId="77777777" w:rsidR="00546F16" w:rsidRPr="00FD211F" w:rsidRDefault="00052BF2" w:rsidP="009C58C8">
      <w:pPr>
        <w:ind w:left="0" w:firstLine="227"/>
        <w:jc w:val="both"/>
        <w:rPr>
          <w:sz w:val="36"/>
          <w:szCs w:val="36"/>
          <w:rtl/>
        </w:rPr>
      </w:pPr>
      <w:r w:rsidRPr="00FD211F">
        <w:rPr>
          <w:sz w:val="36"/>
          <w:szCs w:val="36"/>
          <w:rtl/>
        </w:rPr>
        <w:t xml:space="preserve">وفيه: </w:t>
      </w:r>
      <w:r w:rsidRPr="00FD211F">
        <w:rPr>
          <w:b/>
          <w:bCs/>
          <w:sz w:val="36"/>
          <w:szCs w:val="36"/>
          <w:rtl/>
        </w:rPr>
        <w:t>اولا</w:t>
      </w:r>
      <w:r w:rsidR="005719DB" w:rsidRPr="00FD211F">
        <w:rPr>
          <w:sz w:val="36"/>
          <w:szCs w:val="36"/>
          <w:rtl/>
        </w:rPr>
        <w:t>:</w:t>
      </w:r>
      <w:r w:rsidRPr="00FD211F">
        <w:rPr>
          <w:sz w:val="36"/>
          <w:szCs w:val="36"/>
          <w:rtl/>
        </w:rPr>
        <w:t xml:space="preserve"> انه بناء على مسلكه</w:t>
      </w:r>
      <w:r w:rsidR="00A61BAE" w:rsidRPr="00FD211F">
        <w:rPr>
          <w:sz w:val="36"/>
          <w:szCs w:val="36"/>
          <w:rtl/>
        </w:rPr>
        <w:t xml:space="preserve"> </w:t>
      </w:r>
      <w:r w:rsidR="00FF13B3" w:rsidRPr="00FD211F">
        <w:rPr>
          <w:sz w:val="36"/>
          <w:szCs w:val="36"/>
          <w:rtl/>
        </w:rPr>
        <w:t>"قده"</w:t>
      </w:r>
      <w:r w:rsidR="00A61BAE" w:rsidRPr="00FD211F">
        <w:rPr>
          <w:sz w:val="36"/>
          <w:szCs w:val="36"/>
          <w:rtl/>
        </w:rPr>
        <w:t xml:space="preserve"> </w:t>
      </w:r>
      <w:r w:rsidRPr="00FD211F">
        <w:rPr>
          <w:sz w:val="36"/>
          <w:szCs w:val="36"/>
          <w:rtl/>
        </w:rPr>
        <w:t>يكفي في صح</w:t>
      </w:r>
      <w:r w:rsidR="00EC7EDF" w:rsidRPr="00FD211F">
        <w:rPr>
          <w:sz w:val="36"/>
          <w:szCs w:val="36"/>
          <w:rtl/>
        </w:rPr>
        <w:t xml:space="preserve">ة </w:t>
      </w:r>
      <w:r w:rsidRPr="00FD211F">
        <w:rPr>
          <w:sz w:val="36"/>
          <w:szCs w:val="36"/>
          <w:rtl/>
        </w:rPr>
        <w:t>الاستعمال استحسان الطبع</w:t>
      </w:r>
      <w:r w:rsidR="00EC7EDF" w:rsidRPr="00FD211F">
        <w:rPr>
          <w:sz w:val="36"/>
          <w:szCs w:val="36"/>
          <w:rtl/>
        </w:rPr>
        <w:t>.</w:t>
      </w:r>
    </w:p>
    <w:p w14:paraId="26820FF4" w14:textId="77777777" w:rsidR="00052BF2" w:rsidRPr="00FD211F" w:rsidRDefault="00052BF2" w:rsidP="009C58C8">
      <w:pPr>
        <w:ind w:left="0" w:firstLine="227"/>
        <w:jc w:val="both"/>
        <w:rPr>
          <w:sz w:val="36"/>
          <w:szCs w:val="36"/>
          <w:rtl/>
        </w:rPr>
      </w:pPr>
      <w:r w:rsidRPr="00FD211F">
        <w:rPr>
          <w:b/>
          <w:bCs/>
          <w:sz w:val="36"/>
          <w:szCs w:val="36"/>
          <w:rtl/>
        </w:rPr>
        <w:t>وثانيا</w:t>
      </w:r>
      <w:r w:rsidR="005719DB" w:rsidRPr="00FD211F">
        <w:rPr>
          <w:sz w:val="36"/>
          <w:szCs w:val="36"/>
          <w:rtl/>
        </w:rPr>
        <w:t>:</w:t>
      </w:r>
      <w:r w:rsidRPr="00FD211F">
        <w:rPr>
          <w:sz w:val="36"/>
          <w:szCs w:val="36"/>
          <w:rtl/>
        </w:rPr>
        <w:t xml:space="preserve"> ان المستعمل في لفظ العين في موارد استعماله في اكثر من معنى واحد هو ذات معنى الذهب وذات معنى الفض</w:t>
      </w:r>
      <w:r w:rsidR="00EC7EDF" w:rsidRPr="00FD211F">
        <w:rPr>
          <w:sz w:val="36"/>
          <w:szCs w:val="36"/>
          <w:rtl/>
        </w:rPr>
        <w:t>ة</w:t>
      </w:r>
      <w:r w:rsidR="00603323" w:rsidRPr="00FD211F">
        <w:rPr>
          <w:sz w:val="36"/>
          <w:szCs w:val="36"/>
          <w:rtl/>
        </w:rPr>
        <w:t xml:space="preserve">، </w:t>
      </w:r>
      <w:r w:rsidRPr="00FD211F">
        <w:rPr>
          <w:sz w:val="36"/>
          <w:szCs w:val="36"/>
          <w:rtl/>
        </w:rPr>
        <w:t>فيكون اللفظ مستعملا في نفس ذلك المعنى وانما يكون فاقدا لشرط المعنى</w:t>
      </w:r>
      <w:r w:rsidR="00603323" w:rsidRPr="00FD211F">
        <w:rPr>
          <w:sz w:val="36"/>
          <w:szCs w:val="36"/>
          <w:rtl/>
        </w:rPr>
        <w:t xml:space="preserve">، </w:t>
      </w:r>
      <w:r w:rsidRPr="00FD211F">
        <w:rPr>
          <w:sz w:val="36"/>
          <w:szCs w:val="36"/>
          <w:rtl/>
        </w:rPr>
        <w:t>وهو عدم استعماله في معنى آخر.</w:t>
      </w:r>
    </w:p>
    <w:p w14:paraId="66AACDAB" w14:textId="77777777" w:rsidR="00052BF2" w:rsidRPr="00FD211F" w:rsidRDefault="00052BF2" w:rsidP="009C58C8">
      <w:pPr>
        <w:ind w:left="0" w:firstLine="227"/>
        <w:jc w:val="both"/>
        <w:rPr>
          <w:sz w:val="36"/>
          <w:szCs w:val="36"/>
          <w:rtl/>
        </w:rPr>
      </w:pPr>
      <w:r w:rsidRPr="00FD211F">
        <w:rPr>
          <w:sz w:val="36"/>
          <w:szCs w:val="36"/>
          <w:rtl/>
        </w:rPr>
        <w:t>هذا ولو كانت الوحد</w:t>
      </w:r>
      <w:r w:rsidR="00EC7EDF" w:rsidRPr="00FD211F">
        <w:rPr>
          <w:sz w:val="36"/>
          <w:szCs w:val="36"/>
          <w:rtl/>
        </w:rPr>
        <w:t xml:space="preserve">ة </w:t>
      </w:r>
      <w:r w:rsidRPr="00FD211F">
        <w:rPr>
          <w:sz w:val="36"/>
          <w:szCs w:val="36"/>
          <w:rtl/>
        </w:rPr>
        <w:t>وعدم استعمال اللفظ في معنى آخر قيدا للوضع من دون ان يلحظ قيدا في المعنى الموضوع له مباشر</w:t>
      </w:r>
      <w:r w:rsidR="00EC7EDF" w:rsidRPr="00FD211F">
        <w:rPr>
          <w:sz w:val="36"/>
          <w:szCs w:val="36"/>
          <w:rtl/>
        </w:rPr>
        <w:t>ة</w:t>
      </w:r>
      <w:r w:rsidR="00603323" w:rsidRPr="00FD211F">
        <w:rPr>
          <w:sz w:val="36"/>
          <w:szCs w:val="36"/>
          <w:rtl/>
        </w:rPr>
        <w:t xml:space="preserve">، </w:t>
      </w:r>
      <w:r w:rsidRPr="00FD211F">
        <w:rPr>
          <w:sz w:val="36"/>
          <w:szCs w:val="36"/>
          <w:rtl/>
        </w:rPr>
        <w:t>فيكون المستعمل فيه في موارد استعمال اللفظ في اكثر من معنى هو نفس المعنى الموضوع له عرفا وان</w:t>
      </w:r>
      <w:r w:rsidR="008D7B3D" w:rsidRPr="00FD211F">
        <w:rPr>
          <w:sz w:val="36"/>
          <w:szCs w:val="36"/>
          <w:rtl/>
        </w:rPr>
        <w:t xml:space="preserve"> لم‌</w:t>
      </w:r>
      <w:r w:rsidRPr="00FD211F">
        <w:rPr>
          <w:sz w:val="36"/>
          <w:szCs w:val="36"/>
          <w:rtl/>
        </w:rPr>
        <w:t>يراع فيه شرط الوضع</w:t>
      </w:r>
      <w:r w:rsidR="00603323" w:rsidRPr="00FD211F">
        <w:rPr>
          <w:sz w:val="36"/>
          <w:szCs w:val="36"/>
          <w:rtl/>
        </w:rPr>
        <w:t xml:space="preserve">، </w:t>
      </w:r>
      <w:r w:rsidRPr="00FD211F">
        <w:rPr>
          <w:sz w:val="36"/>
          <w:szCs w:val="36"/>
          <w:rtl/>
        </w:rPr>
        <w:t>فيكون نظير ما لو وضع لفظ على معنى بشرط استعماله فيه في النهار مثلا فاستعمل في نفس ذلك المعنى في الليل</w:t>
      </w:r>
      <w:r w:rsidR="00603323" w:rsidRPr="00FD211F">
        <w:rPr>
          <w:sz w:val="36"/>
          <w:szCs w:val="36"/>
          <w:rtl/>
        </w:rPr>
        <w:t xml:space="preserve">، </w:t>
      </w:r>
      <w:r w:rsidRPr="00FD211F">
        <w:rPr>
          <w:sz w:val="36"/>
          <w:szCs w:val="36"/>
          <w:rtl/>
        </w:rPr>
        <w:t xml:space="preserve">فانه وان كان خارجا عن إطار الوضع لكنه مستعمل في نفس المعنى الموضوع له. </w:t>
      </w:r>
    </w:p>
    <w:p w14:paraId="41A104A5" w14:textId="77777777" w:rsidR="00052BF2" w:rsidRPr="00FD211F" w:rsidRDefault="00052BF2" w:rsidP="009C58C8">
      <w:pPr>
        <w:ind w:left="0" w:firstLine="227"/>
        <w:jc w:val="both"/>
        <w:rPr>
          <w:sz w:val="36"/>
          <w:szCs w:val="36"/>
          <w:rtl/>
        </w:rPr>
      </w:pPr>
      <w:r w:rsidRPr="00FD211F">
        <w:rPr>
          <w:sz w:val="36"/>
          <w:szCs w:val="36"/>
          <w:rtl/>
        </w:rPr>
        <w:t>وكيف كان فالظاهر ان استعمال اللفظ المفرد في اكثر من معنى ممكن عقلا وصحيح لغ</w:t>
      </w:r>
      <w:r w:rsidR="00EC7EDF" w:rsidRPr="00FD211F">
        <w:rPr>
          <w:sz w:val="36"/>
          <w:szCs w:val="36"/>
          <w:rtl/>
        </w:rPr>
        <w:t>ة</w:t>
      </w:r>
      <w:r w:rsidR="00603323" w:rsidRPr="00FD211F">
        <w:rPr>
          <w:sz w:val="36"/>
          <w:szCs w:val="36"/>
          <w:rtl/>
        </w:rPr>
        <w:t xml:space="preserve">، </w:t>
      </w:r>
      <w:r w:rsidRPr="00FD211F">
        <w:rPr>
          <w:sz w:val="36"/>
          <w:szCs w:val="36"/>
          <w:rtl/>
        </w:rPr>
        <w:t>بل يكون استعمالا حقيقيا</w:t>
      </w:r>
      <w:r w:rsidR="00603323" w:rsidRPr="00FD211F">
        <w:rPr>
          <w:sz w:val="36"/>
          <w:szCs w:val="36"/>
          <w:rtl/>
        </w:rPr>
        <w:t xml:space="preserve">، </w:t>
      </w:r>
      <w:r w:rsidRPr="00FD211F">
        <w:rPr>
          <w:sz w:val="36"/>
          <w:szCs w:val="36"/>
          <w:rtl/>
        </w:rPr>
        <w:t>ولكنه خلاف الظاهر</w:t>
      </w:r>
      <w:r w:rsidR="00603323" w:rsidRPr="00FD211F">
        <w:rPr>
          <w:sz w:val="36"/>
          <w:szCs w:val="36"/>
          <w:rtl/>
        </w:rPr>
        <w:t xml:space="preserve">، </w:t>
      </w:r>
      <w:r w:rsidRPr="00FD211F">
        <w:rPr>
          <w:sz w:val="36"/>
          <w:szCs w:val="36"/>
          <w:rtl/>
        </w:rPr>
        <w:t>فان ظاهر حال المتكلم عرفا وعقلاء هو ان يستعمل اللفظ الواحد في معنى واحد</w:t>
      </w:r>
      <w:r w:rsidR="00603323" w:rsidRPr="00FD211F">
        <w:rPr>
          <w:sz w:val="36"/>
          <w:szCs w:val="36"/>
          <w:rtl/>
        </w:rPr>
        <w:t xml:space="preserve">، </w:t>
      </w:r>
      <w:r w:rsidRPr="00FD211F">
        <w:rPr>
          <w:sz w:val="36"/>
          <w:szCs w:val="36"/>
          <w:rtl/>
        </w:rPr>
        <w:t>فما عن السيد البروجردي</w:t>
      </w:r>
      <w:r w:rsidR="00A61BAE" w:rsidRPr="00FD211F">
        <w:rPr>
          <w:sz w:val="36"/>
          <w:szCs w:val="36"/>
          <w:rtl/>
        </w:rPr>
        <w:t xml:space="preserve"> </w:t>
      </w:r>
      <w:r w:rsidR="00FF13B3" w:rsidRPr="00FD211F">
        <w:rPr>
          <w:sz w:val="36"/>
          <w:szCs w:val="36"/>
          <w:rtl/>
        </w:rPr>
        <w:t>"قده"</w:t>
      </w:r>
      <w:r w:rsidR="00A61BAE" w:rsidRPr="00FD211F">
        <w:rPr>
          <w:sz w:val="36"/>
          <w:szCs w:val="36"/>
          <w:rtl/>
        </w:rPr>
        <w:t xml:space="preserve"> </w:t>
      </w:r>
      <w:r w:rsidRPr="00FD211F">
        <w:rPr>
          <w:sz w:val="36"/>
          <w:szCs w:val="36"/>
          <w:rtl/>
        </w:rPr>
        <w:t>من انه بناء على امكان استعمال اللفظ في اكثر من معنى فيكون مقتضى اصال</w:t>
      </w:r>
      <w:r w:rsidR="00EC7EDF" w:rsidRPr="00FD211F">
        <w:rPr>
          <w:sz w:val="36"/>
          <w:szCs w:val="36"/>
          <w:rtl/>
        </w:rPr>
        <w:t xml:space="preserve">ة </w:t>
      </w:r>
      <w:r w:rsidRPr="00FD211F">
        <w:rPr>
          <w:sz w:val="36"/>
          <w:szCs w:val="36"/>
          <w:rtl/>
        </w:rPr>
        <w:t>العموم هو اراد</w:t>
      </w:r>
      <w:r w:rsidR="00EC7EDF" w:rsidRPr="00FD211F">
        <w:rPr>
          <w:sz w:val="36"/>
          <w:szCs w:val="36"/>
          <w:rtl/>
        </w:rPr>
        <w:t xml:space="preserve">ة </w:t>
      </w:r>
      <w:r w:rsidRPr="00FD211F">
        <w:rPr>
          <w:sz w:val="36"/>
          <w:szCs w:val="36"/>
          <w:rtl/>
        </w:rPr>
        <w:t>جميع معان اللفظ غير تامّ</w:t>
      </w:r>
      <w:r w:rsidR="00603323" w:rsidRPr="00FD211F">
        <w:rPr>
          <w:sz w:val="36"/>
          <w:szCs w:val="36"/>
          <w:rtl/>
        </w:rPr>
        <w:t xml:space="preserve">، </w:t>
      </w:r>
      <w:r w:rsidRPr="00FD211F">
        <w:rPr>
          <w:sz w:val="36"/>
          <w:szCs w:val="36"/>
          <w:rtl/>
        </w:rPr>
        <w:t>لان المدار على الظهور</w:t>
      </w:r>
      <w:r w:rsidR="00603323" w:rsidRPr="00FD211F">
        <w:rPr>
          <w:sz w:val="36"/>
          <w:szCs w:val="36"/>
          <w:rtl/>
        </w:rPr>
        <w:t xml:space="preserve">، </w:t>
      </w:r>
      <w:r w:rsidRPr="00FD211F">
        <w:rPr>
          <w:sz w:val="36"/>
          <w:szCs w:val="36"/>
          <w:rtl/>
        </w:rPr>
        <w:t>ولايظهر من اللفظ المشترك هو استعماله في جميع معانيه.</w:t>
      </w:r>
    </w:p>
    <w:p w14:paraId="593BFA84" w14:textId="77777777" w:rsidR="00052BF2" w:rsidRPr="00FD211F" w:rsidRDefault="00052BF2" w:rsidP="009C58C8">
      <w:pPr>
        <w:ind w:left="0" w:firstLine="227"/>
        <w:jc w:val="both"/>
        <w:rPr>
          <w:sz w:val="36"/>
          <w:szCs w:val="36"/>
          <w:rtl/>
        </w:rPr>
      </w:pPr>
      <w:r w:rsidRPr="00FD211F">
        <w:rPr>
          <w:sz w:val="36"/>
          <w:szCs w:val="36"/>
          <w:rtl/>
        </w:rPr>
        <w:t>هذا كله في استعمال اللفظ المفرد في اكثر من معنى واما استعمال التثني</w:t>
      </w:r>
      <w:r w:rsidR="00EC7EDF" w:rsidRPr="00FD211F">
        <w:rPr>
          <w:sz w:val="36"/>
          <w:szCs w:val="36"/>
          <w:rtl/>
        </w:rPr>
        <w:t xml:space="preserve">ة </w:t>
      </w:r>
      <w:r w:rsidRPr="00FD211F">
        <w:rPr>
          <w:sz w:val="36"/>
          <w:szCs w:val="36"/>
          <w:rtl/>
        </w:rPr>
        <w:t>والجمع في اكثر من معنى فقد ذهب جمع ممن اختار عدم صح</w:t>
      </w:r>
      <w:r w:rsidR="00EC7EDF" w:rsidRPr="00FD211F">
        <w:rPr>
          <w:sz w:val="36"/>
          <w:szCs w:val="36"/>
          <w:rtl/>
        </w:rPr>
        <w:t xml:space="preserve">ة </w:t>
      </w:r>
      <w:r w:rsidRPr="00FD211F">
        <w:rPr>
          <w:sz w:val="36"/>
          <w:szCs w:val="36"/>
          <w:rtl/>
        </w:rPr>
        <w:t>استعمال اللفظ المفرد في اكثر من معنى الى صح</w:t>
      </w:r>
      <w:r w:rsidR="00EC7EDF" w:rsidRPr="00FD211F">
        <w:rPr>
          <w:sz w:val="36"/>
          <w:szCs w:val="36"/>
          <w:rtl/>
        </w:rPr>
        <w:t xml:space="preserve">ة </w:t>
      </w:r>
      <w:r w:rsidRPr="00FD211F">
        <w:rPr>
          <w:sz w:val="36"/>
          <w:szCs w:val="36"/>
          <w:rtl/>
        </w:rPr>
        <w:t>استعمال التثني</w:t>
      </w:r>
      <w:r w:rsidR="00EC7EDF" w:rsidRPr="00FD211F">
        <w:rPr>
          <w:sz w:val="36"/>
          <w:szCs w:val="36"/>
          <w:rtl/>
        </w:rPr>
        <w:t xml:space="preserve">ة </w:t>
      </w:r>
      <w:r w:rsidRPr="00FD211F">
        <w:rPr>
          <w:sz w:val="36"/>
          <w:szCs w:val="36"/>
          <w:rtl/>
        </w:rPr>
        <w:t>والجمع في ذلك</w:t>
      </w:r>
      <w:r w:rsidR="00603323" w:rsidRPr="00FD211F">
        <w:rPr>
          <w:sz w:val="36"/>
          <w:szCs w:val="36"/>
          <w:rtl/>
        </w:rPr>
        <w:t xml:space="preserve">، </w:t>
      </w:r>
      <w:r w:rsidRPr="00FD211F">
        <w:rPr>
          <w:sz w:val="36"/>
          <w:szCs w:val="36"/>
          <w:rtl/>
        </w:rPr>
        <w:t>فقد ذكر صاحب المعالم</w:t>
      </w:r>
      <w:r w:rsidR="00A61BAE" w:rsidRPr="00FD211F">
        <w:rPr>
          <w:sz w:val="36"/>
          <w:szCs w:val="36"/>
          <w:rtl/>
        </w:rPr>
        <w:t xml:space="preserve"> </w:t>
      </w:r>
      <w:r w:rsidR="00FF13B3" w:rsidRPr="00FD211F">
        <w:rPr>
          <w:sz w:val="36"/>
          <w:szCs w:val="36"/>
          <w:rtl/>
        </w:rPr>
        <w:t>"قده"</w:t>
      </w:r>
      <w:r w:rsidR="00A61BAE" w:rsidRPr="00FD211F">
        <w:rPr>
          <w:sz w:val="36"/>
          <w:szCs w:val="36"/>
          <w:rtl/>
        </w:rPr>
        <w:t xml:space="preserve"> </w:t>
      </w:r>
      <w:r w:rsidRPr="00FD211F">
        <w:rPr>
          <w:sz w:val="36"/>
          <w:szCs w:val="36"/>
          <w:rtl/>
        </w:rPr>
        <w:t>ان التثني</w:t>
      </w:r>
      <w:r w:rsidR="00EC7EDF" w:rsidRPr="00FD211F">
        <w:rPr>
          <w:sz w:val="36"/>
          <w:szCs w:val="36"/>
          <w:rtl/>
        </w:rPr>
        <w:t xml:space="preserve">ة </w:t>
      </w:r>
      <w:r w:rsidRPr="00FD211F">
        <w:rPr>
          <w:sz w:val="36"/>
          <w:szCs w:val="36"/>
          <w:rtl/>
        </w:rPr>
        <w:t>او الجمع في قو</w:t>
      </w:r>
      <w:r w:rsidR="00EC7EDF" w:rsidRPr="00FD211F">
        <w:rPr>
          <w:sz w:val="36"/>
          <w:szCs w:val="36"/>
          <w:rtl/>
        </w:rPr>
        <w:t xml:space="preserve">ة </w:t>
      </w:r>
      <w:r w:rsidRPr="00FD211F">
        <w:rPr>
          <w:sz w:val="36"/>
          <w:szCs w:val="36"/>
          <w:rtl/>
        </w:rPr>
        <w:t>تكرار لفظ المفرد</w:t>
      </w:r>
      <w:r w:rsidR="00603323" w:rsidRPr="00FD211F">
        <w:rPr>
          <w:sz w:val="36"/>
          <w:szCs w:val="36"/>
          <w:rtl/>
        </w:rPr>
        <w:t xml:space="preserve">، </w:t>
      </w:r>
      <w:r w:rsidRPr="00FD211F">
        <w:rPr>
          <w:sz w:val="36"/>
          <w:szCs w:val="36"/>
          <w:rtl/>
        </w:rPr>
        <w:t>فقوله "عينان" يكون في قو</w:t>
      </w:r>
      <w:r w:rsidR="00EC7EDF" w:rsidRPr="00FD211F">
        <w:rPr>
          <w:sz w:val="36"/>
          <w:szCs w:val="36"/>
          <w:rtl/>
        </w:rPr>
        <w:t xml:space="preserve">ة </w:t>
      </w:r>
      <w:r w:rsidRPr="00FD211F">
        <w:rPr>
          <w:sz w:val="36"/>
          <w:szCs w:val="36"/>
          <w:rtl/>
        </w:rPr>
        <w:t>"عين وعين" ولامانع من اراد</w:t>
      </w:r>
      <w:r w:rsidR="00EC7EDF" w:rsidRPr="00FD211F">
        <w:rPr>
          <w:sz w:val="36"/>
          <w:szCs w:val="36"/>
          <w:rtl/>
        </w:rPr>
        <w:t xml:space="preserve">ة </w:t>
      </w:r>
      <w:r w:rsidRPr="00FD211F">
        <w:rPr>
          <w:sz w:val="36"/>
          <w:szCs w:val="36"/>
          <w:rtl/>
        </w:rPr>
        <w:t>الذهب من الاول والفض</w:t>
      </w:r>
      <w:r w:rsidR="00EC7EDF" w:rsidRPr="00FD211F">
        <w:rPr>
          <w:sz w:val="36"/>
          <w:szCs w:val="36"/>
          <w:rtl/>
        </w:rPr>
        <w:t xml:space="preserve">ة </w:t>
      </w:r>
      <w:r w:rsidRPr="00FD211F">
        <w:rPr>
          <w:sz w:val="36"/>
          <w:szCs w:val="36"/>
          <w:rtl/>
        </w:rPr>
        <w:t>من الثاني ولايضر ذلك باشتراط الوحد</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67"/>
      </w:r>
      <w:r w:rsidR="009C58C8" w:rsidRPr="00FD211F">
        <w:rPr>
          <w:rStyle w:val="a6"/>
          <w:sz w:val="36"/>
          <w:szCs w:val="36"/>
          <w:rtl/>
        </w:rPr>
        <w:t>)</w:t>
      </w:r>
      <w:r w:rsidRPr="00FD211F">
        <w:rPr>
          <w:sz w:val="36"/>
          <w:szCs w:val="36"/>
          <w:rtl/>
        </w:rPr>
        <w:t>.</w:t>
      </w:r>
    </w:p>
    <w:p w14:paraId="6D068C37" w14:textId="77777777" w:rsidR="00052BF2" w:rsidRPr="00FD211F" w:rsidRDefault="00052BF2" w:rsidP="009C58C8">
      <w:pPr>
        <w:ind w:left="0" w:firstLine="227"/>
        <w:jc w:val="both"/>
        <w:rPr>
          <w:sz w:val="36"/>
          <w:szCs w:val="36"/>
          <w:rtl/>
        </w:rPr>
      </w:pPr>
      <w:r w:rsidRPr="00FD211F">
        <w:rPr>
          <w:sz w:val="36"/>
          <w:szCs w:val="36"/>
          <w:rtl/>
        </w:rPr>
        <w:t>وردّ عليه جمع -منهم السيد الخوئي</w:t>
      </w:r>
      <w:r w:rsidR="008F14E7" w:rsidRPr="00FD211F">
        <w:rPr>
          <w:sz w:val="36"/>
          <w:szCs w:val="36"/>
          <w:rtl/>
        </w:rPr>
        <w:t xml:space="preserve"> "قده"</w:t>
      </w:r>
      <w:r w:rsidRPr="00FD211F">
        <w:rPr>
          <w:sz w:val="36"/>
          <w:szCs w:val="36"/>
          <w:rtl/>
        </w:rPr>
        <w:t>- بانه اما ان يراد من المفرد الذهب والفض</w:t>
      </w:r>
      <w:r w:rsidR="00EC7EDF" w:rsidRPr="00FD211F">
        <w:rPr>
          <w:sz w:val="36"/>
          <w:szCs w:val="36"/>
          <w:rtl/>
        </w:rPr>
        <w:t xml:space="preserve">ة </w:t>
      </w:r>
      <w:r w:rsidRPr="00FD211F">
        <w:rPr>
          <w:sz w:val="36"/>
          <w:szCs w:val="36"/>
          <w:rtl/>
        </w:rPr>
        <w:t>معا على نحو استعمال اللفظ في اكثر من معنى واحد فيكون تثنيته بمعنى فردين من الذهب وفردين من الفض</w:t>
      </w:r>
      <w:r w:rsidR="00EC7EDF" w:rsidRPr="00FD211F">
        <w:rPr>
          <w:sz w:val="36"/>
          <w:szCs w:val="36"/>
          <w:rtl/>
        </w:rPr>
        <w:t>ة</w:t>
      </w:r>
      <w:r w:rsidR="00603323" w:rsidRPr="00FD211F">
        <w:rPr>
          <w:sz w:val="36"/>
          <w:szCs w:val="36"/>
          <w:rtl/>
        </w:rPr>
        <w:t xml:space="preserve">، </w:t>
      </w:r>
      <w:r w:rsidRPr="00FD211F">
        <w:rPr>
          <w:sz w:val="36"/>
          <w:szCs w:val="36"/>
          <w:rtl/>
        </w:rPr>
        <w:t>وارتكاب خلاف الظاهر فيه يكون ناشئا عن استعمال المفرد في معنيين</w:t>
      </w:r>
      <w:r w:rsidR="00603323" w:rsidRPr="00FD211F">
        <w:rPr>
          <w:sz w:val="36"/>
          <w:szCs w:val="36"/>
          <w:rtl/>
        </w:rPr>
        <w:t xml:space="preserve">، </w:t>
      </w:r>
      <w:r w:rsidRPr="00FD211F">
        <w:rPr>
          <w:sz w:val="36"/>
          <w:szCs w:val="36"/>
          <w:rtl/>
        </w:rPr>
        <w:t>واما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فمستعمل</w:t>
      </w:r>
      <w:r w:rsidR="00EC7EDF" w:rsidRPr="00FD211F">
        <w:rPr>
          <w:sz w:val="36"/>
          <w:szCs w:val="36"/>
          <w:rtl/>
        </w:rPr>
        <w:t xml:space="preserve">ة </w:t>
      </w:r>
      <w:r w:rsidRPr="00FD211F">
        <w:rPr>
          <w:sz w:val="36"/>
          <w:szCs w:val="36"/>
          <w:rtl/>
        </w:rPr>
        <w:t>فيما وضع له</w:t>
      </w:r>
      <w:r w:rsidR="00603323" w:rsidRPr="00FD211F">
        <w:rPr>
          <w:sz w:val="36"/>
          <w:szCs w:val="36"/>
          <w:rtl/>
        </w:rPr>
        <w:t xml:space="preserve">، </w:t>
      </w:r>
      <w:r w:rsidRPr="00FD211F">
        <w:rPr>
          <w:sz w:val="36"/>
          <w:szCs w:val="36"/>
          <w:rtl/>
        </w:rPr>
        <w:t>اذ هي موضوع</w:t>
      </w:r>
      <w:r w:rsidR="00EC7EDF" w:rsidRPr="00FD211F">
        <w:rPr>
          <w:sz w:val="36"/>
          <w:szCs w:val="36"/>
          <w:rtl/>
        </w:rPr>
        <w:t xml:space="preserve">ة </w:t>
      </w:r>
      <w:r w:rsidRPr="00FD211F">
        <w:rPr>
          <w:sz w:val="36"/>
          <w:szCs w:val="36"/>
          <w:rtl/>
        </w:rPr>
        <w:t>لبيان تعدد افراد معنى المفرد</w:t>
      </w:r>
      <w:r w:rsidR="00603323" w:rsidRPr="00FD211F">
        <w:rPr>
          <w:sz w:val="36"/>
          <w:szCs w:val="36"/>
          <w:rtl/>
        </w:rPr>
        <w:t xml:space="preserve">، </w:t>
      </w:r>
      <w:r w:rsidRPr="00FD211F">
        <w:rPr>
          <w:sz w:val="36"/>
          <w:szCs w:val="36"/>
          <w:rtl/>
        </w:rPr>
        <w:t>فلو كان معنى المفرد في حد ذاته متعدد</w:t>
      </w:r>
      <w:r w:rsidR="00EC7EDF" w:rsidRPr="00FD211F">
        <w:rPr>
          <w:sz w:val="36"/>
          <w:szCs w:val="36"/>
          <w:rtl/>
        </w:rPr>
        <w:t xml:space="preserve">ة </w:t>
      </w:r>
      <w:r w:rsidRPr="00FD211F">
        <w:rPr>
          <w:sz w:val="36"/>
          <w:szCs w:val="36"/>
          <w:rtl/>
        </w:rPr>
        <w:t>فيكون تثنيته لأجل تكرر هذا المعنى المتعدد</w:t>
      </w:r>
      <w:r w:rsidR="00603323" w:rsidRPr="00FD211F">
        <w:rPr>
          <w:sz w:val="36"/>
          <w:szCs w:val="36"/>
          <w:rtl/>
        </w:rPr>
        <w:t xml:space="preserve">، </w:t>
      </w:r>
      <w:r w:rsidRPr="00FD211F">
        <w:rPr>
          <w:sz w:val="36"/>
          <w:szCs w:val="36"/>
          <w:rtl/>
        </w:rPr>
        <w:t>نظير تثني</w:t>
      </w:r>
      <w:r w:rsidR="00EC7EDF" w:rsidRPr="00FD211F">
        <w:rPr>
          <w:sz w:val="36"/>
          <w:szCs w:val="36"/>
          <w:rtl/>
        </w:rPr>
        <w:t xml:space="preserve">ة </w:t>
      </w:r>
      <w:r w:rsidRPr="00FD211F">
        <w:rPr>
          <w:sz w:val="36"/>
          <w:szCs w:val="36"/>
          <w:rtl/>
        </w:rPr>
        <w:t>العشر</w:t>
      </w:r>
      <w:r w:rsidR="00EC7EDF" w:rsidRPr="00FD211F">
        <w:rPr>
          <w:sz w:val="36"/>
          <w:szCs w:val="36"/>
          <w:rtl/>
        </w:rPr>
        <w:t xml:space="preserve">ة </w:t>
      </w:r>
      <w:r w:rsidRPr="00FD211F">
        <w:rPr>
          <w:sz w:val="36"/>
          <w:szCs w:val="36"/>
          <w:rtl/>
        </w:rPr>
        <w:t>بعشرتين</w:t>
      </w:r>
      <w:r w:rsidR="00603323" w:rsidRPr="00FD211F">
        <w:rPr>
          <w:sz w:val="36"/>
          <w:szCs w:val="36"/>
          <w:rtl/>
        </w:rPr>
        <w:t xml:space="preserve">، </w:t>
      </w:r>
      <w:r w:rsidRPr="00FD211F">
        <w:rPr>
          <w:sz w:val="36"/>
          <w:szCs w:val="36"/>
          <w:rtl/>
        </w:rPr>
        <w:t>هذا</w:t>
      </w:r>
      <w:r w:rsidR="00603323" w:rsidRPr="00FD211F">
        <w:rPr>
          <w:sz w:val="36"/>
          <w:szCs w:val="36"/>
          <w:rtl/>
        </w:rPr>
        <w:t xml:space="preserve">، </w:t>
      </w:r>
      <w:r w:rsidRPr="00FD211F">
        <w:rPr>
          <w:sz w:val="36"/>
          <w:szCs w:val="36"/>
          <w:rtl/>
        </w:rPr>
        <w:t>واما اذا اريد من لفظ "عينين" في قوله "جئني بعينين" الذهب والفض</w:t>
      </w:r>
      <w:r w:rsidR="00EC7EDF" w:rsidRPr="00FD211F">
        <w:rPr>
          <w:sz w:val="36"/>
          <w:szCs w:val="36"/>
          <w:rtl/>
        </w:rPr>
        <w:t xml:space="preserve">ة </w:t>
      </w:r>
      <w:r w:rsidRPr="00FD211F">
        <w:rPr>
          <w:sz w:val="36"/>
          <w:szCs w:val="36"/>
          <w:rtl/>
        </w:rPr>
        <w:t>فهو غير معقول لان التثني</w:t>
      </w:r>
      <w:r w:rsidR="00EC7EDF" w:rsidRPr="00FD211F">
        <w:rPr>
          <w:sz w:val="36"/>
          <w:szCs w:val="36"/>
          <w:rtl/>
        </w:rPr>
        <w:t xml:space="preserve">ة </w:t>
      </w:r>
      <w:r w:rsidRPr="00FD211F">
        <w:rPr>
          <w:sz w:val="36"/>
          <w:szCs w:val="36"/>
          <w:rtl/>
        </w:rPr>
        <w:t>وضعت لإفاد</w:t>
      </w:r>
      <w:r w:rsidR="00EC7EDF" w:rsidRPr="00FD211F">
        <w:rPr>
          <w:sz w:val="36"/>
          <w:szCs w:val="36"/>
          <w:rtl/>
        </w:rPr>
        <w:t xml:space="preserve">ة </w:t>
      </w:r>
      <w:r w:rsidRPr="00FD211F">
        <w:rPr>
          <w:sz w:val="36"/>
          <w:szCs w:val="36"/>
          <w:rtl/>
        </w:rPr>
        <w:t>تكرر افراد معنى المفرد</w:t>
      </w:r>
      <w:r w:rsidR="00603323" w:rsidRPr="00FD211F">
        <w:rPr>
          <w:sz w:val="36"/>
          <w:szCs w:val="36"/>
          <w:rtl/>
        </w:rPr>
        <w:t xml:space="preserve">، </w:t>
      </w:r>
      <w:r w:rsidRPr="00FD211F">
        <w:rPr>
          <w:sz w:val="36"/>
          <w:szCs w:val="36"/>
          <w:rtl/>
        </w:rPr>
        <w:t>فلو صدر هذا الخطاب فلابد من حمله على إراد</w:t>
      </w:r>
      <w:r w:rsidR="00EC7EDF" w:rsidRPr="00FD211F">
        <w:rPr>
          <w:sz w:val="36"/>
          <w:szCs w:val="36"/>
          <w:rtl/>
        </w:rPr>
        <w:t xml:space="preserve">ة </w:t>
      </w:r>
      <w:r w:rsidRPr="00FD211F">
        <w:rPr>
          <w:sz w:val="36"/>
          <w:szCs w:val="36"/>
          <w:rtl/>
        </w:rPr>
        <w:t>الأمر بإتيان مسميان بلفظ العين كما في تثني</w:t>
      </w:r>
      <w:r w:rsidR="00EC7EDF" w:rsidRPr="00FD211F">
        <w:rPr>
          <w:sz w:val="36"/>
          <w:szCs w:val="36"/>
          <w:rtl/>
        </w:rPr>
        <w:t xml:space="preserve">ة </w:t>
      </w:r>
      <w:r w:rsidRPr="00FD211F">
        <w:rPr>
          <w:sz w:val="36"/>
          <w:szCs w:val="36"/>
          <w:rtl/>
        </w:rPr>
        <w:t>العلم مثل قولنا</w:t>
      </w:r>
      <w:r w:rsidR="00BA3700" w:rsidRPr="00FD211F">
        <w:rPr>
          <w:sz w:val="36"/>
          <w:szCs w:val="36"/>
          <w:rtl/>
        </w:rPr>
        <w:t>"</w:t>
      </w:r>
      <w:r w:rsidRPr="00FD211F">
        <w:rPr>
          <w:sz w:val="36"/>
          <w:szCs w:val="36"/>
          <w:rtl/>
        </w:rPr>
        <w:t xml:space="preserve"> جاء زيدان</w:t>
      </w:r>
      <w:r w:rsidR="00BA3700" w:rsidRPr="00FD211F">
        <w:rPr>
          <w:sz w:val="36"/>
          <w:szCs w:val="36"/>
          <w:rtl/>
        </w:rPr>
        <w:t>"</w:t>
      </w:r>
      <w:r w:rsidRPr="00FD211F">
        <w:rPr>
          <w:sz w:val="36"/>
          <w:szCs w:val="36"/>
          <w:rtl/>
        </w:rPr>
        <w:t xml:space="preserve"> حيث لابد من تأويله بانه جاء مسميان بزيد</w:t>
      </w:r>
      <w:r w:rsidR="00603323" w:rsidRPr="00FD211F">
        <w:rPr>
          <w:sz w:val="36"/>
          <w:szCs w:val="36"/>
          <w:rtl/>
        </w:rPr>
        <w:t xml:space="preserve">، </w:t>
      </w:r>
      <w:r w:rsidRPr="00FD211F">
        <w:rPr>
          <w:sz w:val="36"/>
          <w:szCs w:val="36"/>
          <w:rtl/>
        </w:rPr>
        <w:t xml:space="preserve">وعليه فما ذهب اليه مثل صاحب المعالم </w:t>
      </w:r>
      <w:r w:rsidR="00BA3700" w:rsidRPr="00FD211F">
        <w:rPr>
          <w:sz w:val="36"/>
          <w:szCs w:val="36"/>
          <w:rtl/>
        </w:rPr>
        <w:t>"</w:t>
      </w:r>
      <w:r w:rsidRPr="00FD211F">
        <w:rPr>
          <w:sz w:val="36"/>
          <w:szCs w:val="36"/>
          <w:rtl/>
        </w:rPr>
        <w:t>قده</w:t>
      </w:r>
      <w:r w:rsidR="00BA3700" w:rsidRPr="00FD211F">
        <w:rPr>
          <w:sz w:val="36"/>
          <w:szCs w:val="36"/>
          <w:rtl/>
        </w:rPr>
        <w:t>"</w:t>
      </w:r>
      <w:r w:rsidRPr="00FD211F">
        <w:rPr>
          <w:sz w:val="36"/>
          <w:szCs w:val="36"/>
          <w:rtl/>
        </w:rPr>
        <w:t xml:space="preserve"> من التفصيل بين استعمال اللفظ المفرد في اكثر من معنى وبين استعمال الثني</w:t>
      </w:r>
      <w:r w:rsidR="00EC7EDF" w:rsidRPr="00FD211F">
        <w:rPr>
          <w:sz w:val="36"/>
          <w:szCs w:val="36"/>
          <w:rtl/>
        </w:rPr>
        <w:t xml:space="preserve">ة </w:t>
      </w:r>
      <w:r w:rsidRPr="00FD211F">
        <w:rPr>
          <w:sz w:val="36"/>
          <w:szCs w:val="36"/>
          <w:rtl/>
        </w:rPr>
        <w:t>او الجمع في اكثر من معنى باختيار جواز الثاني دون الاول فليس له وجه ابدا.</w:t>
      </w:r>
    </w:p>
    <w:p w14:paraId="2F3E1A42" w14:textId="77777777" w:rsidR="00052BF2" w:rsidRPr="00FD211F" w:rsidRDefault="00052BF2" w:rsidP="009C58C8">
      <w:pPr>
        <w:ind w:left="0" w:firstLine="227"/>
        <w:jc w:val="both"/>
        <w:rPr>
          <w:sz w:val="36"/>
          <w:szCs w:val="36"/>
          <w:rtl/>
        </w:rPr>
      </w:pPr>
      <w:r w:rsidRPr="00FD211F">
        <w:rPr>
          <w:sz w:val="36"/>
          <w:szCs w:val="36"/>
          <w:rtl/>
        </w:rPr>
        <w:t>وقد اورد في البحوث على ما ذكروه -من انه لو أريد من لفظ العينين فردان من الذهب وفردان من الفض</w:t>
      </w:r>
      <w:r w:rsidR="00EC7EDF" w:rsidRPr="00FD211F">
        <w:rPr>
          <w:sz w:val="36"/>
          <w:szCs w:val="36"/>
          <w:rtl/>
        </w:rPr>
        <w:t xml:space="preserve">ة </w:t>
      </w:r>
      <w:r w:rsidRPr="00FD211F">
        <w:rPr>
          <w:sz w:val="36"/>
          <w:szCs w:val="36"/>
          <w:rtl/>
        </w:rPr>
        <w:t>فلم تستعمل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في اكثر من معنى</w:t>
      </w:r>
      <w:r w:rsidR="00603323" w:rsidRPr="00FD211F">
        <w:rPr>
          <w:sz w:val="36"/>
          <w:szCs w:val="36"/>
          <w:rtl/>
        </w:rPr>
        <w:t xml:space="preserve">، </w:t>
      </w:r>
      <w:r w:rsidRPr="00FD211F">
        <w:rPr>
          <w:sz w:val="36"/>
          <w:szCs w:val="36"/>
          <w:rtl/>
        </w:rPr>
        <w:t>وانما استعملت مادّتها اي لفظ العين في اكثر من معنى- بانه في هذا المثال قد استعملت التثني</w:t>
      </w:r>
      <w:r w:rsidR="00EC7EDF" w:rsidRPr="00FD211F">
        <w:rPr>
          <w:sz w:val="36"/>
          <w:szCs w:val="36"/>
          <w:rtl/>
        </w:rPr>
        <w:t xml:space="preserve">ة </w:t>
      </w:r>
      <w:r w:rsidRPr="00FD211F">
        <w:rPr>
          <w:sz w:val="36"/>
          <w:szCs w:val="36"/>
          <w:rtl/>
        </w:rPr>
        <w:t>في اكثر من معنى على مستوى الماد</w:t>
      </w:r>
      <w:r w:rsidR="00EC7EDF" w:rsidRPr="00FD211F">
        <w:rPr>
          <w:sz w:val="36"/>
          <w:szCs w:val="36"/>
          <w:rtl/>
        </w:rPr>
        <w:t xml:space="preserve">ة </w:t>
      </w:r>
      <w:r w:rsidRPr="00FD211F">
        <w:rPr>
          <w:sz w:val="36"/>
          <w:szCs w:val="36"/>
          <w:rtl/>
        </w:rPr>
        <w:t>والهيئ</w:t>
      </w:r>
      <w:r w:rsidR="00EC7EDF" w:rsidRPr="00FD211F">
        <w:rPr>
          <w:sz w:val="36"/>
          <w:szCs w:val="36"/>
          <w:rtl/>
        </w:rPr>
        <w:t xml:space="preserve">ة </w:t>
      </w:r>
      <w:r w:rsidRPr="00FD211F">
        <w:rPr>
          <w:sz w:val="36"/>
          <w:szCs w:val="36"/>
          <w:rtl/>
        </w:rPr>
        <w:t>معا</w:t>
      </w:r>
      <w:r w:rsidR="00603323" w:rsidRPr="00FD211F">
        <w:rPr>
          <w:sz w:val="36"/>
          <w:szCs w:val="36"/>
          <w:rtl/>
        </w:rPr>
        <w:t xml:space="preserve">، </w:t>
      </w:r>
      <w:r w:rsidRPr="00FD211F">
        <w:rPr>
          <w:sz w:val="36"/>
          <w:szCs w:val="36"/>
          <w:rtl/>
        </w:rPr>
        <w:t>فان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موضوع</w:t>
      </w:r>
      <w:r w:rsidR="00EC7EDF" w:rsidRPr="00FD211F">
        <w:rPr>
          <w:sz w:val="36"/>
          <w:szCs w:val="36"/>
          <w:rtl/>
        </w:rPr>
        <w:t xml:space="preserve">ة </w:t>
      </w:r>
      <w:r w:rsidRPr="00FD211F">
        <w:rPr>
          <w:sz w:val="36"/>
          <w:szCs w:val="36"/>
          <w:rtl/>
        </w:rPr>
        <w:t>لإفاد</w:t>
      </w:r>
      <w:r w:rsidR="00EC7EDF" w:rsidRPr="00FD211F">
        <w:rPr>
          <w:sz w:val="36"/>
          <w:szCs w:val="36"/>
          <w:rtl/>
        </w:rPr>
        <w:t xml:space="preserve">ة </w:t>
      </w:r>
      <w:r w:rsidRPr="00FD211F">
        <w:rPr>
          <w:sz w:val="36"/>
          <w:szCs w:val="36"/>
          <w:rtl/>
        </w:rPr>
        <w:t>تكرر مدلول مستقل واحد لمادّتها</w:t>
      </w:r>
      <w:r w:rsidR="00603323" w:rsidRPr="00FD211F">
        <w:rPr>
          <w:sz w:val="36"/>
          <w:szCs w:val="36"/>
          <w:rtl/>
        </w:rPr>
        <w:t xml:space="preserve">، </w:t>
      </w:r>
      <w:r w:rsidRPr="00FD211F">
        <w:rPr>
          <w:sz w:val="36"/>
          <w:szCs w:val="36"/>
          <w:rtl/>
        </w:rPr>
        <w:t>فلو كان للماد</w:t>
      </w:r>
      <w:r w:rsidR="00EC7EDF" w:rsidRPr="00FD211F">
        <w:rPr>
          <w:sz w:val="36"/>
          <w:szCs w:val="36"/>
          <w:rtl/>
        </w:rPr>
        <w:t xml:space="preserve">ة </w:t>
      </w:r>
      <w:r w:rsidRPr="00FD211F">
        <w:rPr>
          <w:sz w:val="36"/>
          <w:szCs w:val="36"/>
          <w:rtl/>
        </w:rPr>
        <w:t>مدلولان مستقلان فإفاد</w:t>
      </w:r>
      <w:r w:rsidR="00EC7EDF" w:rsidRPr="00FD211F">
        <w:rPr>
          <w:sz w:val="36"/>
          <w:szCs w:val="36"/>
          <w:rtl/>
        </w:rPr>
        <w:t xml:space="preserve">ة </w:t>
      </w:r>
      <w:r w:rsidRPr="00FD211F">
        <w:rPr>
          <w:sz w:val="36"/>
          <w:szCs w:val="36"/>
          <w:rtl/>
        </w:rPr>
        <w:t>تكرر كل من هذين المدلولين تستلزم استعمال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أيضا في اكثر من معنى</w:t>
      </w:r>
      <w:r w:rsidR="00603323" w:rsidRPr="00FD211F">
        <w:rPr>
          <w:sz w:val="36"/>
          <w:szCs w:val="36"/>
          <w:rtl/>
        </w:rPr>
        <w:t xml:space="preserve">، </w:t>
      </w:r>
      <w:r w:rsidRPr="00FD211F">
        <w:rPr>
          <w:sz w:val="36"/>
          <w:szCs w:val="36"/>
          <w:rtl/>
        </w:rPr>
        <w:t>فيكون في استعمال لفظ العينين واراد</w:t>
      </w:r>
      <w:r w:rsidR="00EC7EDF" w:rsidRPr="00FD211F">
        <w:rPr>
          <w:sz w:val="36"/>
          <w:szCs w:val="36"/>
          <w:rtl/>
        </w:rPr>
        <w:t xml:space="preserve">ة </w:t>
      </w:r>
      <w:r w:rsidRPr="00FD211F">
        <w:rPr>
          <w:sz w:val="36"/>
          <w:szCs w:val="36"/>
          <w:rtl/>
        </w:rPr>
        <w:t>فردين من معنى الذهب وفردين من معنى الفض</w:t>
      </w:r>
      <w:r w:rsidR="00EC7EDF" w:rsidRPr="00FD211F">
        <w:rPr>
          <w:sz w:val="36"/>
          <w:szCs w:val="36"/>
          <w:rtl/>
        </w:rPr>
        <w:t xml:space="preserve">ة </w:t>
      </w:r>
      <w:r w:rsidRPr="00FD211F">
        <w:rPr>
          <w:sz w:val="36"/>
          <w:szCs w:val="36"/>
          <w:rtl/>
        </w:rPr>
        <w:t>مخالف</w:t>
      </w:r>
      <w:r w:rsidR="00EC7EDF" w:rsidRPr="00FD211F">
        <w:rPr>
          <w:sz w:val="36"/>
          <w:szCs w:val="36"/>
          <w:rtl/>
        </w:rPr>
        <w:t xml:space="preserve">ة </w:t>
      </w:r>
      <w:r w:rsidRPr="00FD211F">
        <w:rPr>
          <w:sz w:val="36"/>
          <w:szCs w:val="36"/>
          <w:rtl/>
        </w:rPr>
        <w:t>للظهور من جهتين</w:t>
      </w:r>
      <w:r w:rsidR="00603323" w:rsidRPr="00FD211F">
        <w:rPr>
          <w:sz w:val="36"/>
          <w:szCs w:val="36"/>
          <w:rtl/>
        </w:rPr>
        <w:t xml:space="preserve">، </w:t>
      </w:r>
      <w:r w:rsidRPr="00FD211F">
        <w:rPr>
          <w:sz w:val="36"/>
          <w:szCs w:val="36"/>
          <w:rtl/>
        </w:rPr>
        <w:t>واين هذا من تثني</w:t>
      </w:r>
      <w:r w:rsidR="00EC7EDF" w:rsidRPr="00FD211F">
        <w:rPr>
          <w:sz w:val="36"/>
          <w:szCs w:val="36"/>
          <w:rtl/>
        </w:rPr>
        <w:t xml:space="preserve">ة </w:t>
      </w:r>
      <w:r w:rsidRPr="00FD211F">
        <w:rPr>
          <w:sz w:val="36"/>
          <w:szCs w:val="36"/>
          <w:rtl/>
        </w:rPr>
        <w:t>عشر</w:t>
      </w:r>
      <w:r w:rsidR="00EC7EDF" w:rsidRPr="00FD211F">
        <w:rPr>
          <w:sz w:val="36"/>
          <w:szCs w:val="36"/>
          <w:rtl/>
        </w:rPr>
        <w:t xml:space="preserve">ة </w:t>
      </w:r>
      <w:r w:rsidRPr="00FD211F">
        <w:rPr>
          <w:sz w:val="36"/>
          <w:szCs w:val="36"/>
          <w:rtl/>
        </w:rPr>
        <w:t>التي</w:t>
      </w:r>
      <w:r w:rsidR="008D7B3D" w:rsidRPr="00FD211F">
        <w:rPr>
          <w:sz w:val="36"/>
          <w:szCs w:val="36"/>
          <w:rtl/>
        </w:rPr>
        <w:t xml:space="preserve"> لم‌</w:t>
      </w:r>
      <w:r w:rsidRPr="00FD211F">
        <w:rPr>
          <w:sz w:val="36"/>
          <w:szCs w:val="36"/>
          <w:rtl/>
        </w:rPr>
        <w:t>تستعمل مادتها الا في مدلول واحد</w:t>
      </w:r>
      <w:r w:rsidR="00603323" w:rsidRPr="00FD211F">
        <w:rPr>
          <w:sz w:val="36"/>
          <w:szCs w:val="36"/>
          <w:rtl/>
        </w:rPr>
        <w:t xml:space="preserve">، </w:t>
      </w:r>
      <w:r w:rsidRPr="00FD211F">
        <w:rPr>
          <w:sz w:val="36"/>
          <w:szCs w:val="36"/>
          <w:rtl/>
        </w:rPr>
        <w:t>نعم لو فرض استعمال ماد</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في مجموع المعنيين -كما لو استعمل لفظ العين في المركب من الذهب والفض</w:t>
      </w:r>
      <w:r w:rsidR="00EC7EDF" w:rsidRPr="00FD211F">
        <w:rPr>
          <w:sz w:val="36"/>
          <w:szCs w:val="36"/>
          <w:rtl/>
        </w:rPr>
        <w:t xml:space="preserve">ة </w:t>
      </w:r>
      <w:r w:rsidRPr="00FD211F">
        <w:rPr>
          <w:sz w:val="36"/>
          <w:szCs w:val="36"/>
          <w:rtl/>
        </w:rPr>
        <w:t>- فحينئذ يكون مدلوله واحدا وان كان مركبا</w:t>
      </w:r>
      <w:r w:rsidR="00603323" w:rsidRPr="00FD211F">
        <w:rPr>
          <w:sz w:val="36"/>
          <w:szCs w:val="36"/>
          <w:rtl/>
        </w:rPr>
        <w:t xml:space="preserve">، </w:t>
      </w:r>
      <w:r w:rsidRPr="00FD211F">
        <w:rPr>
          <w:sz w:val="36"/>
          <w:szCs w:val="36"/>
          <w:rtl/>
        </w:rPr>
        <w:t>وعليه فلاتكون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مستعمل</w:t>
      </w:r>
      <w:r w:rsidR="00EC7EDF" w:rsidRPr="00FD211F">
        <w:rPr>
          <w:sz w:val="36"/>
          <w:szCs w:val="36"/>
          <w:rtl/>
        </w:rPr>
        <w:t xml:space="preserve">ة </w:t>
      </w:r>
      <w:r w:rsidRPr="00FD211F">
        <w:rPr>
          <w:sz w:val="36"/>
          <w:szCs w:val="36"/>
          <w:rtl/>
        </w:rPr>
        <w:t>في اكثر من معنى</w:t>
      </w:r>
      <w:r w:rsidR="009C58C8" w:rsidRPr="00FD211F">
        <w:rPr>
          <w:rStyle w:val="a6"/>
          <w:sz w:val="36"/>
          <w:szCs w:val="36"/>
          <w:rtl/>
        </w:rPr>
        <w:t>(</w:t>
      </w:r>
      <w:r w:rsidR="009C58C8" w:rsidRPr="00FD211F">
        <w:rPr>
          <w:rStyle w:val="a6"/>
          <w:sz w:val="36"/>
          <w:szCs w:val="36"/>
          <w:rtl/>
        </w:rPr>
        <w:footnoteReference w:id="468"/>
      </w:r>
      <w:r w:rsidR="009C58C8" w:rsidRPr="00FD211F">
        <w:rPr>
          <w:rStyle w:val="a6"/>
          <w:sz w:val="36"/>
          <w:szCs w:val="36"/>
          <w:rtl/>
        </w:rPr>
        <w:t>)</w:t>
      </w:r>
      <w:r w:rsidRPr="00FD211F">
        <w:rPr>
          <w:sz w:val="36"/>
          <w:szCs w:val="36"/>
          <w:rtl/>
        </w:rPr>
        <w:t>.</w:t>
      </w:r>
    </w:p>
    <w:p w14:paraId="7C822E9D" w14:textId="77777777" w:rsidR="00052BF2" w:rsidRPr="00FD211F" w:rsidRDefault="00052BF2" w:rsidP="009C58C8">
      <w:pPr>
        <w:ind w:left="0" w:firstLine="227"/>
        <w:jc w:val="both"/>
        <w:rPr>
          <w:sz w:val="36"/>
          <w:szCs w:val="36"/>
          <w:rtl/>
        </w:rPr>
      </w:pPr>
      <w:r w:rsidRPr="00FD211F">
        <w:rPr>
          <w:sz w:val="36"/>
          <w:szCs w:val="36"/>
          <w:rtl/>
        </w:rPr>
        <w:t>ويلاحظ عليه: انه</w:t>
      </w:r>
      <w:r w:rsidR="008D7B3D" w:rsidRPr="00FD211F">
        <w:rPr>
          <w:sz w:val="36"/>
          <w:szCs w:val="36"/>
          <w:rtl/>
        </w:rPr>
        <w:t xml:space="preserve"> لم‌</w:t>
      </w:r>
      <w:r w:rsidRPr="00FD211F">
        <w:rPr>
          <w:sz w:val="36"/>
          <w:szCs w:val="36"/>
          <w:rtl/>
        </w:rPr>
        <w:t>يظهر لنا اختصاص وضع التثني</w:t>
      </w:r>
      <w:r w:rsidR="00EC7EDF" w:rsidRPr="00FD211F">
        <w:rPr>
          <w:sz w:val="36"/>
          <w:szCs w:val="36"/>
          <w:rtl/>
        </w:rPr>
        <w:t xml:space="preserve">ة </w:t>
      </w:r>
      <w:r w:rsidRPr="00FD211F">
        <w:rPr>
          <w:sz w:val="36"/>
          <w:szCs w:val="36"/>
          <w:rtl/>
        </w:rPr>
        <w:t>لإفاد</w:t>
      </w:r>
      <w:r w:rsidR="00EC7EDF" w:rsidRPr="00FD211F">
        <w:rPr>
          <w:sz w:val="36"/>
          <w:szCs w:val="36"/>
          <w:rtl/>
        </w:rPr>
        <w:t xml:space="preserve">ة </w:t>
      </w:r>
      <w:r w:rsidRPr="00FD211F">
        <w:rPr>
          <w:sz w:val="36"/>
          <w:szCs w:val="36"/>
          <w:rtl/>
        </w:rPr>
        <w:t>تكرر مدلول مستقل واحد للماد</w:t>
      </w:r>
      <w:r w:rsidR="00EC7EDF" w:rsidRPr="00FD211F">
        <w:rPr>
          <w:sz w:val="36"/>
          <w:szCs w:val="36"/>
          <w:rtl/>
        </w:rPr>
        <w:t>ة</w:t>
      </w:r>
      <w:r w:rsidR="00603323" w:rsidRPr="00FD211F">
        <w:rPr>
          <w:sz w:val="36"/>
          <w:szCs w:val="36"/>
          <w:rtl/>
        </w:rPr>
        <w:t xml:space="preserve">، </w:t>
      </w:r>
      <w:r w:rsidRPr="00FD211F">
        <w:rPr>
          <w:sz w:val="36"/>
          <w:szCs w:val="36"/>
          <w:rtl/>
        </w:rPr>
        <w:t>اذ يمكن ان يقال بان التثني</w:t>
      </w:r>
      <w:r w:rsidR="00EC7EDF" w:rsidRPr="00FD211F">
        <w:rPr>
          <w:sz w:val="36"/>
          <w:szCs w:val="36"/>
          <w:rtl/>
        </w:rPr>
        <w:t xml:space="preserve">ة </w:t>
      </w:r>
      <w:r w:rsidRPr="00FD211F">
        <w:rPr>
          <w:sz w:val="36"/>
          <w:szCs w:val="36"/>
          <w:rtl/>
        </w:rPr>
        <w:t>نظير ما لو قال المولى اولا</w:t>
      </w:r>
      <w:r w:rsidR="005719DB" w:rsidRPr="00FD211F">
        <w:rPr>
          <w:sz w:val="36"/>
          <w:szCs w:val="36"/>
          <w:rtl/>
        </w:rPr>
        <w:t>ً</w:t>
      </w:r>
      <w:r w:rsidRPr="00FD211F">
        <w:rPr>
          <w:sz w:val="36"/>
          <w:szCs w:val="36"/>
          <w:rtl/>
        </w:rPr>
        <w:t>: جئني بعين</w:t>
      </w:r>
      <w:r w:rsidR="00603323" w:rsidRPr="00FD211F">
        <w:rPr>
          <w:sz w:val="36"/>
          <w:szCs w:val="36"/>
          <w:rtl/>
        </w:rPr>
        <w:t xml:space="preserve">، </w:t>
      </w:r>
      <w:r w:rsidRPr="00FD211F">
        <w:rPr>
          <w:sz w:val="36"/>
          <w:szCs w:val="36"/>
          <w:rtl/>
        </w:rPr>
        <w:t>واراد من لفظ العين كلا من الذهب وا</w:t>
      </w:r>
      <w:r w:rsidR="00BA3700" w:rsidRPr="00FD211F">
        <w:rPr>
          <w:sz w:val="36"/>
          <w:szCs w:val="36"/>
          <w:rtl/>
        </w:rPr>
        <w:t>لفض</w:t>
      </w:r>
      <w:r w:rsidR="00EC7EDF" w:rsidRPr="00FD211F">
        <w:rPr>
          <w:sz w:val="36"/>
          <w:szCs w:val="36"/>
          <w:rtl/>
        </w:rPr>
        <w:t xml:space="preserve">ة </w:t>
      </w:r>
      <w:r w:rsidR="00BA3700" w:rsidRPr="00FD211F">
        <w:rPr>
          <w:sz w:val="36"/>
          <w:szCs w:val="36"/>
          <w:rtl/>
        </w:rPr>
        <w:t>باستقلالهما</w:t>
      </w:r>
      <w:r w:rsidR="00603323" w:rsidRPr="00FD211F">
        <w:rPr>
          <w:sz w:val="36"/>
          <w:szCs w:val="36"/>
          <w:rtl/>
        </w:rPr>
        <w:t xml:space="preserve">، </w:t>
      </w:r>
      <w:r w:rsidRPr="00FD211F">
        <w:rPr>
          <w:sz w:val="36"/>
          <w:szCs w:val="36"/>
          <w:rtl/>
        </w:rPr>
        <w:t>ثم قال</w:t>
      </w:r>
      <w:r w:rsidR="00BA3700" w:rsidRPr="00FD211F">
        <w:rPr>
          <w:sz w:val="36"/>
          <w:szCs w:val="36"/>
          <w:rtl/>
        </w:rPr>
        <w:t xml:space="preserve"> </w:t>
      </w:r>
      <w:r w:rsidRPr="00FD211F">
        <w:rPr>
          <w:sz w:val="36"/>
          <w:szCs w:val="36"/>
          <w:rtl/>
        </w:rPr>
        <w:t>ثانيا</w:t>
      </w:r>
      <w:r w:rsidR="005719DB" w:rsidRPr="00FD211F">
        <w:rPr>
          <w:sz w:val="36"/>
          <w:szCs w:val="36"/>
          <w:rtl/>
        </w:rPr>
        <w:t>ً</w:t>
      </w:r>
      <w:r w:rsidRPr="00FD211F">
        <w:rPr>
          <w:sz w:val="36"/>
          <w:szCs w:val="36"/>
          <w:rtl/>
        </w:rPr>
        <w:t>: يجب ان تأتي بفردين مما قلت</w:t>
      </w:r>
      <w:r w:rsidR="00603323" w:rsidRPr="00FD211F">
        <w:rPr>
          <w:sz w:val="36"/>
          <w:szCs w:val="36"/>
          <w:rtl/>
        </w:rPr>
        <w:t xml:space="preserve">، </w:t>
      </w:r>
      <w:r w:rsidRPr="00FD211F">
        <w:rPr>
          <w:sz w:val="36"/>
          <w:szCs w:val="36"/>
          <w:rtl/>
        </w:rPr>
        <w:t>فان معناه إيجاب الإتيان بفردين من الذهب وفردين من الفض</w:t>
      </w:r>
      <w:r w:rsidR="00EC7EDF" w:rsidRPr="00FD211F">
        <w:rPr>
          <w:sz w:val="36"/>
          <w:szCs w:val="36"/>
          <w:rtl/>
        </w:rPr>
        <w:t>ة</w:t>
      </w:r>
      <w:r w:rsidR="00603323" w:rsidRPr="00FD211F">
        <w:rPr>
          <w:sz w:val="36"/>
          <w:szCs w:val="36"/>
          <w:rtl/>
        </w:rPr>
        <w:t xml:space="preserve">، </w:t>
      </w:r>
      <w:r w:rsidRPr="00FD211F">
        <w:rPr>
          <w:sz w:val="36"/>
          <w:szCs w:val="36"/>
          <w:rtl/>
        </w:rPr>
        <w:t>ولايكون كلامه الثاني مخالفا لأيّ ظهور</w:t>
      </w:r>
      <w:r w:rsidR="00603323" w:rsidRPr="00FD211F">
        <w:rPr>
          <w:sz w:val="36"/>
          <w:szCs w:val="36"/>
          <w:rtl/>
        </w:rPr>
        <w:t xml:space="preserve">، </w:t>
      </w:r>
      <w:r w:rsidRPr="00FD211F">
        <w:rPr>
          <w:sz w:val="36"/>
          <w:szCs w:val="36"/>
          <w:rtl/>
        </w:rPr>
        <w:t>وانما المخالف للظهور هو كلامه الأول</w:t>
      </w:r>
      <w:r w:rsidR="00603323" w:rsidRPr="00FD211F">
        <w:rPr>
          <w:sz w:val="36"/>
          <w:szCs w:val="36"/>
          <w:rtl/>
        </w:rPr>
        <w:t xml:space="preserve">، </w:t>
      </w:r>
      <w:r w:rsidRPr="00FD211F">
        <w:rPr>
          <w:sz w:val="36"/>
          <w:szCs w:val="36"/>
          <w:rtl/>
        </w:rPr>
        <w:t>حيث استعمل لفظ العين في اكثر من معنى واحد.</w:t>
      </w:r>
    </w:p>
    <w:p w14:paraId="294338AB" w14:textId="77777777" w:rsidR="00052BF2" w:rsidRPr="00FD211F" w:rsidRDefault="00B93857" w:rsidP="009C58C8">
      <w:pPr>
        <w:ind w:left="0" w:firstLine="227"/>
        <w:jc w:val="both"/>
        <w:rPr>
          <w:sz w:val="36"/>
          <w:szCs w:val="36"/>
          <w:rtl/>
        </w:rPr>
      </w:pPr>
      <w:r w:rsidRPr="00FD211F">
        <w:rPr>
          <w:sz w:val="36"/>
          <w:szCs w:val="36"/>
          <w:rtl/>
        </w:rPr>
        <w:t xml:space="preserve">ثم </w:t>
      </w:r>
      <w:r w:rsidR="00052BF2" w:rsidRPr="00FD211F">
        <w:rPr>
          <w:sz w:val="36"/>
          <w:szCs w:val="36"/>
          <w:rtl/>
        </w:rPr>
        <w:t>ان ما ذكروه -من ان هيئ</w:t>
      </w:r>
      <w:r w:rsidR="00EC7EDF" w:rsidRPr="00FD211F">
        <w:rPr>
          <w:sz w:val="36"/>
          <w:szCs w:val="36"/>
          <w:rtl/>
        </w:rPr>
        <w:t xml:space="preserve">ة </w:t>
      </w:r>
      <w:r w:rsidR="00052BF2" w:rsidRPr="00FD211F">
        <w:rPr>
          <w:sz w:val="36"/>
          <w:szCs w:val="36"/>
          <w:rtl/>
        </w:rPr>
        <w:t>التثني</w:t>
      </w:r>
      <w:r w:rsidR="00EC7EDF" w:rsidRPr="00FD211F">
        <w:rPr>
          <w:sz w:val="36"/>
          <w:szCs w:val="36"/>
          <w:rtl/>
        </w:rPr>
        <w:t xml:space="preserve">ة </w:t>
      </w:r>
      <w:r w:rsidR="00052BF2" w:rsidRPr="00FD211F">
        <w:rPr>
          <w:sz w:val="36"/>
          <w:szCs w:val="36"/>
          <w:rtl/>
        </w:rPr>
        <w:t>قد وضعت لإفاد</w:t>
      </w:r>
      <w:r w:rsidR="00EC7EDF" w:rsidRPr="00FD211F">
        <w:rPr>
          <w:sz w:val="36"/>
          <w:szCs w:val="36"/>
          <w:rtl/>
        </w:rPr>
        <w:t xml:space="preserve">ة </w:t>
      </w:r>
      <w:r w:rsidR="00052BF2" w:rsidRPr="00FD211F">
        <w:rPr>
          <w:sz w:val="36"/>
          <w:szCs w:val="36"/>
          <w:rtl/>
        </w:rPr>
        <w:t>تكرر أفراد معنى واحد فلايعقل ان يراد من لفظ العينين فرد من الذهب وفرد من الفض</w:t>
      </w:r>
      <w:r w:rsidR="00EC7EDF" w:rsidRPr="00FD211F">
        <w:rPr>
          <w:sz w:val="36"/>
          <w:szCs w:val="36"/>
          <w:rtl/>
        </w:rPr>
        <w:t>ة</w:t>
      </w:r>
      <w:r w:rsidR="00603323" w:rsidRPr="00FD211F">
        <w:rPr>
          <w:sz w:val="36"/>
          <w:szCs w:val="36"/>
          <w:rtl/>
        </w:rPr>
        <w:t xml:space="preserve">، </w:t>
      </w:r>
      <w:r w:rsidR="00052BF2" w:rsidRPr="00FD211F">
        <w:rPr>
          <w:sz w:val="36"/>
          <w:szCs w:val="36"/>
          <w:rtl/>
        </w:rPr>
        <w:t>وأما قولنا "جاء زيدان" فلابد ان يأوّل الى</w:t>
      </w:r>
      <w:r w:rsidRPr="00FD211F">
        <w:rPr>
          <w:sz w:val="36"/>
          <w:szCs w:val="36"/>
          <w:rtl/>
        </w:rPr>
        <w:t xml:space="preserve"> انه جاء مسميان بزيد- فيرد عليه</w:t>
      </w:r>
      <w:r w:rsidR="00052BF2" w:rsidRPr="00FD211F">
        <w:rPr>
          <w:sz w:val="36"/>
          <w:szCs w:val="36"/>
          <w:rtl/>
        </w:rPr>
        <w:t xml:space="preserve"> ان تأويل تثني</w:t>
      </w:r>
      <w:r w:rsidR="00EC7EDF" w:rsidRPr="00FD211F">
        <w:rPr>
          <w:sz w:val="36"/>
          <w:szCs w:val="36"/>
          <w:rtl/>
        </w:rPr>
        <w:t xml:space="preserve">ة </w:t>
      </w:r>
      <w:r w:rsidR="00052BF2" w:rsidRPr="00FD211F">
        <w:rPr>
          <w:sz w:val="36"/>
          <w:szCs w:val="36"/>
          <w:rtl/>
        </w:rPr>
        <w:t>الع</w:t>
      </w:r>
      <w:r w:rsidRPr="00FD211F">
        <w:rPr>
          <w:sz w:val="36"/>
          <w:szCs w:val="36"/>
          <w:rtl/>
        </w:rPr>
        <w:t>َ</w:t>
      </w:r>
      <w:r w:rsidR="00052BF2" w:rsidRPr="00FD211F">
        <w:rPr>
          <w:sz w:val="36"/>
          <w:szCs w:val="36"/>
          <w:rtl/>
        </w:rPr>
        <w:t>ل</w:t>
      </w:r>
      <w:r w:rsidRPr="00FD211F">
        <w:rPr>
          <w:sz w:val="36"/>
          <w:szCs w:val="36"/>
          <w:rtl/>
        </w:rPr>
        <w:t>َ</w:t>
      </w:r>
      <w:r w:rsidR="00052BF2" w:rsidRPr="00FD211F">
        <w:rPr>
          <w:sz w:val="36"/>
          <w:szCs w:val="36"/>
          <w:rtl/>
        </w:rPr>
        <w:t>م الى اراد</w:t>
      </w:r>
      <w:r w:rsidR="00EC7EDF" w:rsidRPr="00FD211F">
        <w:rPr>
          <w:sz w:val="36"/>
          <w:szCs w:val="36"/>
          <w:rtl/>
        </w:rPr>
        <w:t xml:space="preserve">ة </w:t>
      </w:r>
      <w:r w:rsidR="00052BF2" w:rsidRPr="00FD211F">
        <w:rPr>
          <w:sz w:val="36"/>
          <w:szCs w:val="36"/>
          <w:rtl/>
        </w:rPr>
        <w:t>المسمى من ال</w:t>
      </w:r>
      <w:r w:rsidR="00BA3700" w:rsidRPr="00FD211F">
        <w:rPr>
          <w:sz w:val="36"/>
          <w:szCs w:val="36"/>
          <w:rtl/>
        </w:rPr>
        <w:t>ل</w:t>
      </w:r>
      <w:r w:rsidR="00052BF2" w:rsidRPr="00FD211F">
        <w:rPr>
          <w:sz w:val="36"/>
          <w:szCs w:val="36"/>
          <w:rtl/>
        </w:rPr>
        <w:t>فظ خلاف الوجدان اللغوي</w:t>
      </w:r>
      <w:r w:rsidR="00603323" w:rsidRPr="00FD211F">
        <w:rPr>
          <w:sz w:val="36"/>
          <w:szCs w:val="36"/>
          <w:rtl/>
        </w:rPr>
        <w:t xml:space="preserve">، </w:t>
      </w:r>
      <w:r w:rsidR="00052BF2" w:rsidRPr="00FD211F">
        <w:rPr>
          <w:sz w:val="36"/>
          <w:szCs w:val="36"/>
          <w:rtl/>
        </w:rPr>
        <w:t>ففرق بين ان يقال جاء مسميان بزيد وان يقال جاء زيدان</w:t>
      </w:r>
      <w:r w:rsidR="00603323" w:rsidRPr="00FD211F">
        <w:rPr>
          <w:sz w:val="36"/>
          <w:szCs w:val="36"/>
          <w:rtl/>
        </w:rPr>
        <w:t xml:space="preserve">، </w:t>
      </w:r>
      <w:r w:rsidR="00052BF2" w:rsidRPr="00FD211F">
        <w:rPr>
          <w:sz w:val="36"/>
          <w:szCs w:val="36"/>
          <w:rtl/>
        </w:rPr>
        <w:t>فان الاول نكر</w:t>
      </w:r>
      <w:r w:rsidR="00EC7EDF" w:rsidRPr="00FD211F">
        <w:rPr>
          <w:sz w:val="36"/>
          <w:szCs w:val="36"/>
          <w:rtl/>
        </w:rPr>
        <w:t xml:space="preserve">ة </w:t>
      </w:r>
      <w:r w:rsidR="00052BF2" w:rsidRPr="00FD211F">
        <w:rPr>
          <w:sz w:val="36"/>
          <w:szCs w:val="36"/>
          <w:rtl/>
        </w:rPr>
        <w:t>دون الثاني</w:t>
      </w:r>
      <w:r w:rsidR="00603323" w:rsidRPr="00FD211F">
        <w:rPr>
          <w:sz w:val="36"/>
          <w:szCs w:val="36"/>
          <w:rtl/>
        </w:rPr>
        <w:t xml:space="preserve">، </w:t>
      </w:r>
      <w:r w:rsidR="00052BF2" w:rsidRPr="00FD211F">
        <w:rPr>
          <w:sz w:val="36"/>
          <w:szCs w:val="36"/>
          <w:rtl/>
        </w:rPr>
        <w:t>فتأويل "جاء زيدان" الى أنه "جاء مسميان بزيد" يحوِّله من المعرف</w:t>
      </w:r>
      <w:r w:rsidR="00EC7EDF" w:rsidRPr="00FD211F">
        <w:rPr>
          <w:sz w:val="36"/>
          <w:szCs w:val="36"/>
          <w:rtl/>
        </w:rPr>
        <w:t xml:space="preserve">ة </w:t>
      </w:r>
      <w:r w:rsidR="00052BF2" w:rsidRPr="00FD211F">
        <w:rPr>
          <w:sz w:val="36"/>
          <w:szCs w:val="36"/>
          <w:rtl/>
        </w:rPr>
        <w:t>الى النكر</w:t>
      </w:r>
      <w:r w:rsidR="00EC7EDF" w:rsidRPr="00FD211F">
        <w:rPr>
          <w:sz w:val="36"/>
          <w:szCs w:val="36"/>
          <w:rtl/>
        </w:rPr>
        <w:t>ة</w:t>
      </w:r>
      <w:r w:rsidR="00603323" w:rsidRPr="00FD211F">
        <w:rPr>
          <w:sz w:val="36"/>
          <w:szCs w:val="36"/>
          <w:rtl/>
        </w:rPr>
        <w:t xml:space="preserve">، </w:t>
      </w:r>
      <w:r w:rsidR="00052BF2" w:rsidRPr="00FD211F">
        <w:rPr>
          <w:sz w:val="36"/>
          <w:szCs w:val="36"/>
          <w:rtl/>
        </w:rPr>
        <w:t>مع انه خلاف الوجدان اللغوي.</w:t>
      </w:r>
    </w:p>
    <w:p w14:paraId="12E1C6E0" w14:textId="77777777" w:rsidR="00052BF2" w:rsidRPr="00FD211F" w:rsidRDefault="00052BF2" w:rsidP="009C58C8">
      <w:pPr>
        <w:ind w:left="0" w:firstLine="227"/>
        <w:jc w:val="both"/>
        <w:rPr>
          <w:sz w:val="36"/>
          <w:szCs w:val="36"/>
          <w:rtl/>
        </w:rPr>
      </w:pPr>
      <w:r w:rsidRPr="00FD211F">
        <w:rPr>
          <w:sz w:val="36"/>
          <w:szCs w:val="36"/>
          <w:rtl/>
        </w:rPr>
        <w:t>ان قلت: انه لامانع من كون المراد من قولنا جاء زيدان انه جاء المسميان بزيد فلايخرج بذلك عن كونه معرف</w:t>
      </w:r>
      <w:r w:rsidR="00EC7EDF" w:rsidRPr="00FD211F">
        <w:rPr>
          <w:sz w:val="36"/>
          <w:szCs w:val="36"/>
          <w:rtl/>
        </w:rPr>
        <w:t>ة</w:t>
      </w:r>
      <w:r w:rsidR="00A61BAE" w:rsidRPr="00FD211F">
        <w:rPr>
          <w:sz w:val="36"/>
          <w:szCs w:val="36"/>
          <w:rtl/>
        </w:rPr>
        <w:t>.</w:t>
      </w:r>
    </w:p>
    <w:p w14:paraId="7A972F2D" w14:textId="77777777" w:rsidR="00052BF2" w:rsidRPr="00FD211F" w:rsidRDefault="00052BF2" w:rsidP="009C58C8">
      <w:pPr>
        <w:ind w:left="0" w:firstLine="227"/>
        <w:jc w:val="both"/>
        <w:rPr>
          <w:sz w:val="36"/>
          <w:szCs w:val="36"/>
          <w:rtl/>
        </w:rPr>
      </w:pPr>
      <w:r w:rsidRPr="00FD211F">
        <w:rPr>
          <w:sz w:val="36"/>
          <w:szCs w:val="36"/>
          <w:rtl/>
        </w:rPr>
        <w:t>قلت: ان ذلك يوجب افتقاده لمعنى العَلَمي</w:t>
      </w:r>
      <w:r w:rsidR="00EC7EDF" w:rsidRPr="00FD211F">
        <w:rPr>
          <w:sz w:val="36"/>
          <w:szCs w:val="36"/>
          <w:rtl/>
        </w:rPr>
        <w:t xml:space="preserve">ة </w:t>
      </w:r>
      <w:r w:rsidRPr="00FD211F">
        <w:rPr>
          <w:sz w:val="36"/>
          <w:szCs w:val="36"/>
          <w:rtl/>
        </w:rPr>
        <w:t>وهو خلاف الوجدان اللغوي ايضا.</w:t>
      </w:r>
    </w:p>
    <w:p w14:paraId="14F9CD35" w14:textId="77777777" w:rsidR="000C5BBA" w:rsidRPr="00FD211F" w:rsidRDefault="00052BF2"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وقد ذكر المحقق العراقي</w:t>
      </w:r>
      <w:r w:rsidR="00A61BAE" w:rsidRPr="00FD211F">
        <w:rPr>
          <w:sz w:val="36"/>
          <w:szCs w:val="36"/>
          <w:rtl/>
        </w:rPr>
        <w:t xml:space="preserve"> </w:t>
      </w:r>
      <w:r w:rsidR="00FF13B3" w:rsidRPr="00FD211F">
        <w:rPr>
          <w:sz w:val="36"/>
          <w:szCs w:val="36"/>
          <w:rtl/>
        </w:rPr>
        <w:t>"قده"</w:t>
      </w:r>
      <w:r w:rsidR="00A61BAE" w:rsidRPr="00FD211F">
        <w:rPr>
          <w:sz w:val="36"/>
          <w:szCs w:val="36"/>
          <w:rtl/>
        </w:rPr>
        <w:t xml:space="preserve"> </w:t>
      </w:r>
      <w:r w:rsidRPr="00FD211F">
        <w:rPr>
          <w:sz w:val="36"/>
          <w:szCs w:val="36"/>
          <w:rtl/>
        </w:rPr>
        <w:t xml:space="preserve">انه لو تم هذا التأويل في العَلَم </w:t>
      </w:r>
      <w:r w:rsidR="00B93857" w:rsidRPr="00FD211F">
        <w:rPr>
          <w:sz w:val="36"/>
          <w:szCs w:val="36"/>
          <w:rtl/>
        </w:rPr>
        <w:t>فلايتم جزما</w:t>
      </w:r>
      <w:r w:rsidR="00552A1D" w:rsidRPr="00FD211F">
        <w:rPr>
          <w:sz w:val="36"/>
          <w:szCs w:val="36"/>
          <w:rtl/>
        </w:rPr>
        <w:t xml:space="preserve"> </w:t>
      </w:r>
      <w:r w:rsidR="00B93857" w:rsidRPr="00FD211F">
        <w:rPr>
          <w:sz w:val="36"/>
          <w:szCs w:val="36"/>
          <w:rtl/>
        </w:rPr>
        <w:t>في تثني</w:t>
      </w:r>
      <w:r w:rsidR="00EC7EDF" w:rsidRPr="00FD211F">
        <w:rPr>
          <w:sz w:val="36"/>
          <w:szCs w:val="36"/>
          <w:rtl/>
        </w:rPr>
        <w:t xml:space="preserve">ة </w:t>
      </w:r>
      <w:r w:rsidR="00B93857" w:rsidRPr="00FD211F">
        <w:rPr>
          <w:sz w:val="36"/>
          <w:szCs w:val="36"/>
          <w:rtl/>
        </w:rPr>
        <w:t>اسم الإشار</w:t>
      </w:r>
      <w:r w:rsidR="00EC7EDF" w:rsidRPr="00FD211F">
        <w:rPr>
          <w:sz w:val="36"/>
          <w:szCs w:val="36"/>
          <w:rtl/>
        </w:rPr>
        <w:t xml:space="preserve">ة </w:t>
      </w:r>
      <w:r w:rsidRPr="00FD211F">
        <w:rPr>
          <w:sz w:val="36"/>
          <w:szCs w:val="36"/>
          <w:rtl/>
        </w:rPr>
        <w:t>لتوغلها في التعريف</w:t>
      </w:r>
      <w:r w:rsidR="00603323" w:rsidRPr="00FD211F">
        <w:rPr>
          <w:sz w:val="36"/>
          <w:szCs w:val="36"/>
          <w:rtl/>
        </w:rPr>
        <w:t xml:space="preserve">، </w:t>
      </w:r>
      <w:r w:rsidRPr="00FD211F">
        <w:rPr>
          <w:sz w:val="36"/>
          <w:szCs w:val="36"/>
          <w:rtl/>
        </w:rPr>
        <w:t>فلايمكن إرجاعها الى النكر</w:t>
      </w:r>
      <w:r w:rsidR="00EC7EDF" w:rsidRPr="00FD211F">
        <w:rPr>
          <w:sz w:val="36"/>
          <w:szCs w:val="36"/>
          <w:rtl/>
        </w:rPr>
        <w:t>ة</w:t>
      </w:r>
      <w:r w:rsidR="00603323" w:rsidRPr="00FD211F">
        <w:rPr>
          <w:sz w:val="36"/>
          <w:szCs w:val="36"/>
          <w:rtl/>
        </w:rPr>
        <w:t xml:space="preserve">، </w:t>
      </w:r>
      <w:r w:rsidRPr="00FD211F">
        <w:rPr>
          <w:sz w:val="36"/>
          <w:szCs w:val="36"/>
          <w:rtl/>
        </w:rPr>
        <w:t>فلابد ان يفسر تثني</w:t>
      </w:r>
      <w:r w:rsidR="00EC7EDF" w:rsidRPr="00FD211F">
        <w:rPr>
          <w:sz w:val="36"/>
          <w:szCs w:val="36"/>
          <w:rtl/>
        </w:rPr>
        <w:t xml:space="preserve">ة </w:t>
      </w:r>
      <w:r w:rsidRPr="00FD211F">
        <w:rPr>
          <w:sz w:val="36"/>
          <w:szCs w:val="36"/>
          <w:rtl/>
        </w:rPr>
        <w:t>اسم الاشار</w:t>
      </w:r>
      <w:r w:rsidR="00EC7EDF" w:rsidRPr="00FD211F">
        <w:rPr>
          <w:sz w:val="36"/>
          <w:szCs w:val="36"/>
          <w:rtl/>
        </w:rPr>
        <w:t xml:space="preserve">ة </w:t>
      </w:r>
      <w:r w:rsidRPr="00FD211F">
        <w:rPr>
          <w:sz w:val="36"/>
          <w:szCs w:val="36"/>
          <w:rtl/>
        </w:rPr>
        <w:t>بانه يلحظ المعنى الكلي وهو المفرد المذكر المشار اليه فيثنّى قبل عروض الاشار</w:t>
      </w:r>
      <w:r w:rsidR="00EC7EDF" w:rsidRPr="00FD211F">
        <w:rPr>
          <w:sz w:val="36"/>
          <w:szCs w:val="36"/>
          <w:rtl/>
        </w:rPr>
        <w:t xml:space="preserve">ة </w:t>
      </w:r>
      <w:r w:rsidRPr="00FD211F">
        <w:rPr>
          <w:sz w:val="36"/>
          <w:szCs w:val="36"/>
          <w:rtl/>
        </w:rPr>
        <w:t>اليه</w:t>
      </w:r>
      <w:r w:rsidR="00603323" w:rsidRPr="00FD211F">
        <w:rPr>
          <w:sz w:val="36"/>
          <w:szCs w:val="36"/>
          <w:rtl/>
        </w:rPr>
        <w:t xml:space="preserve">، </w:t>
      </w:r>
      <w:r w:rsidRPr="00FD211F">
        <w:rPr>
          <w:sz w:val="36"/>
          <w:szCs w:val="36"/>
          <w:rtl/>
        </w:rPr>
        <w:t>ثم يعرضه الاشار</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69"/>
      </w:r>
      <w:r w:rsidR="009C58C8" w:rsidRPr="00FD211F">
        <w:rPr>
          <w:rStyle w:val="a6"/>
          <w:sz w:val="36"/>
          <w:szCs w:val="36"/>
          <w:rtl/>
        </w:rPr>
        <w:t>)</w:t>
      </w:r>
      <w:r w:rsidR="00B93857" w:rsidRPr="00FD211F">
        <w:rPr>
          <w:sz w:val="36"/>
          <w:szCs w:val="36"/>
          <w:rtl/>
        </w:rPr>
        <w:t>.</w:t>
      </w:r>
    </w:p>
    <w:p w14:paraId="4E422778" w14:textId="77777777" w:rsidR="00052BF2" w:rsidRPr="00FD211F" w:rsidRDefault="00B93857" w:rsidP="009C58C8">
      <w:pPr>
        <w:ind w:left="0" w:firstLine="227"/>
        <w:jc w:val="both"/>
        <w:rPr>
          <w:sz w:val="36"/>
          <w:szCs w:val="36"/>
          <w:rtl/>
        </w:rPr>
      </w:pPr>
      <w:r w:rsidRPr="00FD211F">
        <w:rPr>
          <w:sz w:val="36"/>
          <w:szCs w:val="36"/>
          <w:rtl/>
        </w:rPr>
        <w:t xml:space="preserve">وفيه </w:t>
      </w:r>
      <w:r w:rsidR="00052BF2" w:rsidRPr="00FD211F">
        <w:rPr>
          <w:sz w:val="36"/>
          <w:szCs w:val="36"/>
          <w:rtl/>
        </w:rPr>
        <w:t>ان الماد</w:t>
      </w:r>
      <w:r w:rsidR="00EC7EDF" w:rsidRPr="00FD211F">
        <w:rPr>
          <w:sz w:val="36"/>
          <w:szCs w:val="36"/>
          <w:rtl/>
        </w:rPr>
        <w:t xml:space="preserve">ة </w:t>
      </w:r>
      <w:r w:rsidR="00052BF2" w:rsidRPr="00FD211F">
        <w:rPr>
          <w:sz w:val="36"/>
          <w:szCs w:val="36"/>
          <w:rtl/>
        </w:rPr>
        <w:t>التي تعرضه هيئ</w:t>
      </w:r>
      <w:r w:rsidR="00EC7EDF" w:rsidRPr="00FD211F">
        <w:rPr>
          <w:sz w:val="36"/>
          <w:szCs w:val="36"/>
          <w:rtl/>
        </w:rPr>
        <w:t xml:space="preserve">ة </w:t>
      </w:r>
      <w:r w:rsidR="005719DB" w:rsidRPr="00FD211F">
        <w:rPr>
          <w:sz w:val="36"/>
          <w:szCs w:val="36"/>
          <w:rtl/>
        </w:rPr>
        <w:t>التثني</w:t>
      </w:r>
      <w:r w:rsidR="00EC7EDF" w:rsidRPr="00FD211F">
        <w:rPr>
          <w:sz w:val="36"/>
          <w:szCs w:val="36"/>
          <w:rtl/>
        </w:rPr>
        <w:t xml:space="preserve">ة </w:t>
      </w:r>
      <w:r w:rsidR="00052BF2" w:rsidRPr="00FD211F">
        <w:rPr>
          <w:sz w:val="36"/>
          <w:szCs w:val="36"/>
          <w:rtl/>
        </w:rPr>
        <w:t>في اسم الاشار</w:t>
      </w:r>
      <w:r w:rsidR="00EC7EDF" w:rsidRPr="00FD211F">
        <w:rPr>
          <w:sz w:val="36"/>
          <w:szCs w:val="36"/>
          <w:rtl/>
        </w:rPr>
        <w:t xml:space="preserve">ة </w:t>
      </w:r>
      <w:r w:rsidR="00052BF2" w:rsidRPr="00FD211F">
        <w:rPr>
          <w:sz w:val="36"/>
          <w:szCs w:val="36"/>
          <w:rtl/>
        </w:rPr>
        <w:t>ان جرد</w:t>
      </w:r>
      <w:r w:rsidRPr="00FD211F">
        <w:rPr>
          <w:sz w:val="36"/>
          <w:szCs w:val="36"/>
          <w:rtl/>
        </w:rPr>
        <w:t>ت</w:t>
      </w:r>
      <w:r w:rsidR="00052BF2" w:rsidRPr="00FD211F">
        <w:rPr>
          <w:sz w:val="36"/>
          <w:szCs w:val="36"/>
          <w:rtl/>
        </w:rPr>
        <w:t xml:space="preserve"> عن خصوصي</w:t>
      </w:r>
      <w:r w:rsidR="00EC7EDF" w:rsidRPr="00FD211F">
        <w:rPr>
          <w:sz w:val="36"/>
          <w:szCs w:val="36"/>
          <w:rtl/>
        </w:rPr>
        <w:t xml:space="preserve">ة </w:t>
      </w:r>
      <w:r w:rsidR="00052BF2" w:rsidRPr="00FD211F">
        <w:rPr>
          <w:sz w:val="36"/>
          <w:szCs w:val="36"/>
          <w:rtl/>
        </w:rPr>
        <w:t>الإشار</w:t>
      </w:r>
      <w:r w:rsidR="00EC7EDF" w:rsidRPr="00FD211F">
        <w:rPr>
          <w:sz w:val="36"/>
          <w:szCs w:val="36"/>
          <w:rtl/>
        </w:rPr>
        <w:t xml:space="preserve">ة </w:t>
      </w:r>
      <w:r w:rsidR="00052BF2" w:rsidRPr="00FD211F">
        <w:rPr>
          <w:sz w:val="36"/>
          <w:szCs w:val="36"/>
          <w:rtl/>
        </w:rPr>
        <w:t>فلابد ان تستفاد خصوصي</w:t>
      </w:r>
      <w:r w:rsidR="00EC7EDF" w:rsidRPr="00FD211F">
        <w:rPr>
          <w:sz w:val="36"/>
          <w:szCs w:val="36"/>
          <w:rtl/>
        </w:rPr>
        <w:t xml:space="preserve">ة </w:t>
      </w:r>
      <w:r w:rsidR="00052BF2" w:rsidRPr="00FD211F">
        <w:rPr>
          <w:sz w:val="36"/>
          <w:szCs w:val="36"/>
          <w:rtl/>
        </w:rPr>
        <w:t>الاشار</w:t>
      </w:r>
      <w:r w:rsidR="00EC7EDF" w:rsidRPr="00FD211F">
        <w:rPr>
          <w:sz w:val="36"/>
          <w:szCs w:val="36"/>
          <w:rtl/>
        </w:rPr>
        <w:t xml:space="preserve">ة </w:t>
      </w:r>
      <w:r w:rsidR="00052BF2" w:rsidRPr="00FD211F">
        <w:rPr>
          <w:sz w:val="36"/>
          <w:szCs w:val="36"/>
          <w:rtl/>
        </w:rPr>
        <w:t>من هيئ</w:t>
      </w:r>
      <w:r w:rsidR="00EC7EDF" w:rsidRPr="00FD211F">
        <w:rPr>
          <w:sz w:val="36"/>
          <w:szCs w:val="36"/>
          <w:rtl/>
        </w:rPr>
        <w:t xml:space="preserve">ة </w:t>
      </w:r>
      <w:r w:rsidR="00052BF2" w:rsidRPr="00FD211F">
        <w:rPr>
          <w:sz w:val="36"/>
          <w:szCs w:val="36"/>
          <w:rtl/>
        </w:rPr>
        <w:t>التثني</w:t>
      </w:r>
      <w:r w:rsidR="00EC7EDF" w:rsidRPr="00FD211F">
        <w:rPr>
          <w:sz w:val="36"/>
          <w:szCs w:val="36"/>
          <w:rtl/>
        </w:rPr>
        <w:t>ة</w:t>
      </w:r>
      <w:r w:rsidR="00603323" w:rsidRPr="00FD211F">
        <w:rPr>
          <w:sz w:val="36"/>
          <w:szCs w:val="36"/>
          <w:rtl/>
        </w:rPr>
        <w:t xml:space="preserve">، </w:t>
      </w:r>
      <w:r w:rsidR="00052BF2" w:rsidRPr="00FD211F">
        <w:rPr>
          <w:sz w:val="36"/>
          <w:szCs w:val="36"/>
          <w:rtl/>
        </w:rPr>
        <w:t>وهذا يعني كون وضع هيئ</w:t>
      </w:r>
      <w:r w:rsidR="00EC7EDF" w:rsidRPr="00FD211F">
        <w:rPr>
          <w:sz w:val="36"/>
          <w:szCs w:val="36"/>
          <w:rtl/>
        </w:rPr>
        <w:t xml:space="preserve">ة </w:t>
      </w:r>
      <w:r w:rsidR="00052BF2" w:rsidRPr="00FD211F">
        <w:rPr>
          <w:sz w:val="36"/>
          <w:szCs w:val="36"/>
          <w:rtl/>
        </w:rPr>
        <w:t>التثني</w:t>
      </w:r>
      <w:r w:rsidR="00EC7EDF" w:rsidRPr="00FD211F">
        <w:rPr>
          <w:sz w:val="36"/>
          <w:szCs w:val="36"/>
          <w:rtl/>
        </w:rPr>
        <w:t xml:space="preserve">ة </w:t>
      </w:r>
      <w:r w:rsidR="00052BF2" w:rsidRPr="00FD211F">
        <w:rPr>
          <w:sz w:val="36"/>
          <w:szCs w:val="36"/>
          <w:rtl/>
        </w:rPr>
        <w:t>في اسم الاشار</w:t>
      </w:r>
      <w:r w:rsidR="00EC7EDF" w:rsidRPr="00FD211F">
        <w:rPr>
          <w:sz w:val="36"/>
          <w:szCs w:val="36"/>
          <w:rtl/>
        </w:rPr>
        <w:t xml:space="preserve">ة </w:t>
      </w:r>
      <w:r w:rsidR="00052BF2" w:rsidRPr="00FD211F">
        <w:rPr>
          <w:sz w:val="36"/>
          <w:szCs w:val="36"/>
          <w:rtl/>
        </w:rPr>
        <w:t>وضعا شخصيا على خلاف وضع هيئ</w:t>
      </w:r>
      <w:r w:rsidR="00EC7EDF" w:rsidRPr="00FD211F">
        <w:rPr>
          <w:sz w:val="36"/>
          <w:szCs w:val="36"/>
          <w:rtl/>
        </w:rPr>
        <w:t xml:space="preserve">ة </w:t>
      </w:r>
      <w:r w:rsidR="00052BF2" w:rsidRPr="00FD211F">
        <w:rPr>
          <w:sz w:val="36"/>
          <w:szCs w:val="36"/>
          <w:rtl/>
        </w:rPr>
        <w:t>التثني</w:t>
      </w:r>
      <w:r w:rsidR="00EC7EDF" w:rsidRPr="00FD211F">
        <w:rPr>
          <w:sz w:val="36"/>
          <w:szCs w:val="36"/>
          <w:rtl/>
        </w:rPr>
        <w:t xml:space="preserve">ة </w:t>
      </w:r>
      <w:r w:rsidR="00052BF2" w:rsidRPr="00FD211F">
        <w:rPr>
          <w:sz w:val="36"/>
          <w:szCs w:val="36"/>
          <w:rtl/>
        </w:rPr>
        <w:t>في سائر الموارد</w:t>
      </w:r>
      <w:r w:rsidR="00603323" w:rsidRPr="00FD211F">
        <w:rPr>
          <w:sz w:val="36"/>
          <w:szCs w:val="36"/>
          <w:rtl/>
        </w:rPr>
        <w:t xml:space="preserve">، </w:t>
      </w:r>
      <w:r w:rsidR="00052BF2" w:rsidRPr="00FD211F">
        <w:rPr>
          <w:sz w:val="36"/>
          <w:szCs w:val="36"/>
          <w:rtl/>
        </w:rPr>
        <w:t>وهذا هو الذي</w:t>
      </w:r>
      <w:r w:rsidRPr="00FD211F">
        <w:rPr>
          <w:sz w:val="36"/>
          <w:szCs w:val="36"/>
          <w:rtl/>
        </w:rPr>
        <w:t xml:space="preserve"> انكره المحقق العراقي بنفسه</w:t>
      </w:r>
      <w:r w:rsidR="00603323" w:rsidRPr="00FD211F">
        <w:rPr>
          <w:sz w:val="36"/>
          <w:szCs w:val="36"/>
          <w:rtl/>
        </w:rPr>
        <w:t xml:space="preserve">، </w:t>
      </w:r>
      <w:r w:rsidRPr="00FD211F">
        <w:rPr>
          <w:sz w:val="36"/>
          <w:szCs w:val="36"/>
          <w:rtl/>
        </w:rPr>
        <w:t>حينما</w:t>
      </w:r>
      <w:r w:rsidR="00052BF2" w:rsidRPr="00FD211F">
        <w:rPr>
          <w:sz w:val="36"/>
          <w:szCs w:val="36"/>
          <w:rtl/>
        </w:rPr>
        <w:t xml:space="preserve"> ذكر صاحب الفصول</w:t>
      </w:r>
      <w:r w:rsidRPr="00FD211F">
        <w:rPr>
          <w:sz w:val="36"/>
          <w:szCs w:val="36"/>
          <w:rtl/>
        </w:rPr>
        <w:t>"ره"</w:t>
      </w:r>
      <w:r w:rsidR="00052BF2" w:rsidRPr="00FD211F">
        <w:rPr>
          <w:sz w:val="36"/>
          <w:szCs w:val="36"/>
          <w:rtl/>
        </w:rPr>
        <w:t xml:space="preserve"> ان التثني</w:t>
      </w:r>
      <w:r w:rsidR="00EC7EDF" w:rsidRPr="00FD211F">
        <w:rPr>
          <w:sz w:val="36"/>
          <w:szCs w:val="36"/>
          <w:rtl/>
        </w:rPr>
        <w:t xml:space="preserve">ة </w:t>
      </w:r>
      <w:r w:rsidR="00052BF2" w:rsidRPr="00FD211F">
        <w:rPr>
          <w:sz w:val="36"/>
          <w:szCs w:val="36"/>
          <w:rtl/>
        </w:rPr>
        <w:t>في اسم الإشار</w:t>
      </w:r>
      <w:r w:rsidR="00EC7EDF" w:rsidRPr="00FD211F">
        <w:rPr>
          <w:sz w:val="36"/>
          <w:szCs w:val="36"/>
          <w:rtl/>
        </w:rPr>
        <w:t xml:space="preserve">ة </w:t>
      </w:r>
      <w:r w:rsidR="00052BF2" w:rsidRPr="00FD211F">
        <w:rPr>
          <w:sz w:val="36"/>
          <w:szCs w:val="36"/>
          <w:rtl/>
        </w:rPr>
        <w:t>م</w:t>
      </w:r>
      <w:r w:rsidRPr="00FD211F">
        <w:rPr>
          <w:sz w:val="36"/>
          <w:szCs w:val="36"/>
          <w:rtl/>
        </w:rPr>
        <w:t>وضوع</w:t>
      </w:r>
      <w:r w:rsidR="00EC7EDF" w:rsidRPr="00FD211F">
        <w:rPr>
          <w:sz w:val="36"/>
          <w:szCs w:val="36"/>
          <w:rtl/>
        </w:rPr>
        <w:t xml:space="preserve">ة </w:t>
      </w:r>
      <w:r w:rsidRPr="00FD211F">
        <w:rPr>
          <w:sz w:val="36"/>
          <w:szCs w:val="36"/>
          <w:rtl/>
        </w:rPr>
        <w:t>بوضع شخصي على معناها</w:t>
      </w:r>
      <w:r w:rsidR="00603323" w:rsidRPr="00FD211F">
        <w:rPr>
          <w:sz w:val="36"/>
          <w:szCs w:val="36"/>
          <w:rtl/>
        </w:rPr>
        <w:t xml:space="preserve">، </w:t>
      </w:r>
      <w:r w:rsidRPr="00FD211F">
        <w:rPr>
          <w:sz w:val="36"/>
          <w:szCs w:val="36"/>
          <w:rtl/>
        </w:rPr>
        <w:t>فردعليه</w:t>
      </w:r>
      <w:r w:rsidR="00052BF2" w:rsidRPr="00FD211F">
        <w:rPr>
          <w:sz w:val="36"/>
          <w:szCs w:val="36"/>
          <w:rtl/>
        </w:rPr>
        <w:t xml:space="preserve"> المحقق العراقي </w:t>
      </w:r>
      <w:r w:rsidRPr="00FD211F">
        <w:rPr>
          <w:sz w:val="36"/>
          <w:szCs w:val="36"/>
          <w:rtl/>
        </w:rPr>
        <w:t>"</w:t>
      </w:r>
      <w:r w:rsidR="00052BF2" w:rsidRPr="00FD211F">
        <w:rPr>
          <w:sz w:val="36"/>
          <w:szCs w:val="36"/>
          <w:rtl/>
        </w:rPr>
        <w:t>قده</w:t>
      </w:r>
      <w:r w:rsidRPr="00FD211F">
        <w:rPr>
          <w:sz w:val="36"/>
          <w:szCs w:val="36"/>
          <w:rtl/>
        </w:rPr>
        <w:t>"</w:t>
      </w:r>
      <w:r w:rsidR="00052BF2" w:rsidRPr="00FD211F">
        <w:rPr>
          <w:sz w:val="36"/>
          <w:szCs w:val="36"/>
          <w:rtl/>
        </w:rPr>
        <w:t xml:space="preserve"> </w:t>
      </w:r>
      <w:r w:rsidRPr="00FD211F">
        <w:rPr>
          <w:sz w:val="36"/>
          <w:szCs w:val="36"/>
          <w:rtl/>
        </w:rPr>
        <w:t>ب</w:t>
      </w:r>
      <w:r w:rsidR="00052BF2" w:rsidRPr="00FD211F">
        <w:rPr>
          <w:sz w:val="36"/>
          <w:szCs w:val="36"/>
          <w:rtl/>
        </w:rPr>
        <w:t>انه مخالف للذوق السليم الحاكم بكون وضع هيئ</w:t>
      </w:r>
      <w:r w:rsidR="00EC7EDF" w:rsidRPr="00FD211F">
        <w:rPr>
          <w:sz w:val="36"/>
          <w:szCs w:val="36"/>
          <w:rtl/>
        </w:rPr>
        <w:t xml:space="preserve">ة </w:t>
      </w:r>
      <w:r w:rsidR="00052BF2" w:rsidRPr="00FD211F">
        <w:rPr>
          <w:sz w:val="36"/>
          <w:szCs w:val="36"/>
          <w:rtl/>
        </w:rPr>
        <w:t>التثين</w:t>
      </w:r>
      <w:r w:rsidR="00EC7EDF" w:rsidRPr="00FD211F">
        <w:rPr>
          <w:sz w:val="36"/>
          <w:szCs w:val="36"/>
          <w:rtl/>
        </w:rPr>
        <w:t xml:space="preserve">ة </w:t>
      </w:r>
      <w:r w:rsidR="00052BF2" w:rsidRPr="00FD211F">
        <w:rPr>
          <w:sz w:val="36"/>
          <w:szCs w:val="36"/>
          <w:rtl/>
        </w:rPr>
        <w:t>على معناها وضعا نوعيا مطلقا.</w:t>
      </w:r>
    </w:p>
    <w:p w14:paraId="5AF10FCB" w14:textId="77777777" w:rsidR="00052BF2" w:rsidRPr="00FD211F" w:rsidRDefault="00052BF2"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ولكن يمكن ان يقال في تفسير تثني</w:t>
      </w:r>
      <w:r w:rsidR="00EC7EDF" w:rsidRPr="00FD211F">
        <w:rPr>
          <w:sz w:val="36"/>
          <w:szCs w:val="36"/>
          <w:rtl/>
        </w:rPr>
        <w:t xml:space="preserve">ة </w:t>
      </w:r>
      <w:r w:rsidRPr="00FD211F">
        <w:rPr>
          <w:sz w:val="36"/>
          <w:szCs w:val="36"/>
          <w:rtl/>
        </w:rPr>
        <w:t>اسم الاشار</w:t>
      </w:r>
      <w:r w:rsidR="00EC7EDF" w:rsidRPr="00FD211F">
        <w:rPr>
          <w:sz w:val="36"/>
          <w:szCs w:val="36"/>
          <w:rtl/>
        </w:rPr>
        <w:t xml:space="preserve">ة </w:t>
      </w:r>
      <w:r w:rsidRPr="00FD211F">
        <w:rPr>
          <w:sz w:val="36"/>
          <w:szCs w:val="36"/>
          <w:rtl/>
        </w:rPr>
        <w:t>بان المفرد منه مثل "هذا" يدل على ال</w:t>
      </w:r>
      <w:r w:rsidR="008D7B3D" w:rsidRPr="00FD211F">
        <w:rPr>
          <w:sz w:val="36"/>
          <w:szCs w:val="36"/>
          <w:rtl/>
        </w:rPr>
        <w:t xml:space="preserve">شيء </w:t>
      </w:r>
      <w:r w:rsidRPr="00FD211F">
        <w:rPr>
          <w:sz w:val="36"/>
          <w:szCs w:val="36"/>
          <w:rtl/>
        </w:rPr>
        <w:t>الواحد المتحصص بوقوع الاشار</w:t>
      </w:r>
      <w:r w:rsidR="00EC7EDF" w:rsidRPr="00FD211F">
        <w:rPr>
          <w:sz w:val="36"/>
          <w:szCs w:val="36"/>
          <w:rtl/>
        </w:rPr>
        <w:t xml:space="preserve">ة </w:t>
      </w:r>
      <w:r w:rsidRPr="00FD211F">
        <w:rPr>
          <w:sz w:val="36"/>
          <w:szCs w:val="36"/>
          <w:rtl/>
        </w:rPr>
        <w:t>اليه بنفس هذا اللفظ</w:t>
      </w:r>
      <w:r w:rsidR="00603323" w:rsidRPr="00FD211F">
        <w:rPr>
          <w:sz w:val="36"/>
          <w:szCs w:val="36"/>
          <w:rtl/>
        </w:rPr>
        <w:t xml:space="preserve">، </w:t>
      </w:r>
      <w:r w:rsidRPr="00FD211F">
        <w:rPr>
          <w:sz w:val="36"/>
          <w:szCs w:val="36"/>
          <w:rtl/>
        </w:rPr>
        <w:t>وهذا المعنى وان</w:t>
      </w:r>
      <w:r w:rsidR="008D7B3D" w:rsidRPr="00FD211F">
        <w:rPr>
          <w:sz w:val="36"/>
          <w:szCs w:val="36"/>
          <w:rtl/>
        </w:rPr>
        <w:t xml:space="preserve"> لم‌</w:t>
      </w:r>
      <w:r w:rsidRPr="00FD211F">
        <w:rPr>
          <w:sz w:val="36"/>
          <w:szCs w:val="36"/>
          <w:rtl/>
        </w:rPr>
        <w:t>يكن معنى كليا على حد المفاهيم الاسمي</w:t>
      </w:r>
      <w:r w:rsidR="00EC7EDF" w:rsidRPr="00FD211F">
        <w:rPr>
          <w:sz w:val="36"/>
          <w:szCs w:val="36"/>
          <w:rtl/>
        </w:rPr>
        <w:t xml:space="preserve">ة </w:t>
      </w:r>
      <w:r w:rsidRPr="00FD211F">
        <w:rPr>
          <w:sz w:val="36"/>
          <w:szCs w:val="36"/>
          <w:rtl/>
        </w:rPr>
        <w:t>لكنه بالنظر العرفي قابل للتعدد وهيئ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تدل على تعدده</w:t>
      </w:r>
      <w:r w:rsidR="00603323" w:rsidRPr="00FD211F">
        <w:rPr>
          <w:sz w:val="36"/>
          <w:szCs w:val="36"/>
          <w:rtl/>
        </w:rPr>
        <w:t xml:space="preserve">، </w:t>
      </w:r>
      <w:r w:rsidRPr="00FD211F">
        <w:rPr>
          <w:sz w:val="36"/>
          <w:szCs w:val="36"/>
          <w:rtl/>
        </w:rPr>
        <w:t>ولكن لايرتفع به الإشكال في الأعلام</w:t>
      </w:r>
      <w:r w:rsidR="00603323" w:rsidRPr="00FD211F">
        <w:rPr>
          <w:sz w:val="36"/>
          <w:szCs w:val="36"/>
          <w:rtl/>
        </w:rPr>
        <w:t xml:space="preserve">، </w:t>
      </w:r>
      <w:r w:rsidRPr="00FD211F">
        <w:rPr>
          <w:sz w:val="36"/>
          <w:szCs w:val="36"/>
          <w:rtl/>
        </w:rPr>
        <w:t>حيث ان الموضوع له في الأعلام لما كان جزئيا حقيقيا عقلا وعرفا</w:t>
      </w:r>
      <w:r w:rsidR="00603323" w:rsidRPr="00FD211F">
        <w:rPr>
          <w:sz w:val="36"/>
          <w:szCs w:val="36"/>
          <w:rtl/>
        </w:rPr>
        <w:t xml:space="preserve">، </w:t>
      </w:r>
      <w:r w:rsidRPr="00FD211F">
        <w:rPr>
          <w:sz w:val="36"/>
          <w:szCs w:val="36"/>
          <w:rtl/>
        </w:rPr>
        <w:t>فبناء على كون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دال</w:t>
      </w:r>
      <w:r w:rsidR="00EC7EDF" w:rsidRPr="00FD211F">
        <w:rPr>
          <w:sz w:val="36"/>
          <w:szCs w:val="36"/>
          <w:rtl/>
        </w:rPr>
        <w:t xml:space="preserve">ة </w:t>
      </w:r>
      <w:r w:rsidRPr="00FD211F">
        <w:rPr>
          <w:sz w:val="36"/>
          <w:szCs w:val="36"/>
          <w:rtl/>
        </w:rPr>
        <w:t>على تكرر أفراد المعنى الواحد فيشكل الأمر في تثنيته</w:t>
      </w:r>
      <w:r w:rsidR="00603323" w:rsidRPr="00FD211F">
        <w:rPr>
          <w:sz w:val="36"/>
          <w:szCs w:val="36"/>
          <w:rtl/>
        </w:rPr>
        <w:t xml:space="preserve">، </w:t>
      </w:r>
      <w:r w:rsidRPr="00FD211F">
        <w:rPr>
          <w:sz w:val="36"/>
          <w:szCs w:val="36"/>
          <w:rtl/>
        </w:rPr>
        <w:t>وقد مر ان تأويل تثني</w:t>
      </w:r>
      <w:r w:rsidR="00EC7EDF" w:rsidRPr="00FD211F">
        <w:rPr>
          <w:sz w:val="36"/>
          <w:szCs w:val="36"/>
          <w:rtl/>
        </w:rPr>
        <w:t xml:space="preserve">ة </w:t>
      </w:r>
      <w:r w:rsidRPr="00FD211F">
        <w:rPr>
          <w:sz w:val="36"/>
          <w:szCs w:val="36"/>
          <w:rtl/>
        </w:rPr>
        <w:t>العَلَم كزيدين الى مسمي</w:t>
      </w:r>
      <w:r w:rsidR="00B103E8" w:rsidRPr="00FD211F">
        <w:rPr>
          <w:sz w:val="36"/>
          <w:szCs w:val="36"/>
          <w:rtl/>
        </w:rPr>
        <w:t>ي</w:t>
      </w:r>
      <w:r w:rsidRPr="00FD211F">
        <w:rPr>
          <w:sz w:val="36"/>
          <w:szCs w:val="36"/>
          <w:rtl/>
        </w:rPr>
        <w:t>ن بزيدين خلاف الوجدان اللغوي.</w:t>
      </w:r>
    </w:p>
    <w:p w14:paraId="6CF7B97B" w14:textId="77777777" w:rsidR="00052BF2" w:rsidRPr="00FD211F" w:rsidRDefault="00052BF2" w:rsidP="009C58C8">
      <w:pPr>
        <w:ind w:left="0" w:firstLine="227"/>
        <w:jc w:val="both"/>
        <w:rPr>
          <w:sz w:val="36"/>
          <w:szCs w:val="36"/>
          <w:rtl/>
        </w:rPr>
      </w:pPr>
      <w:r w:rsidRPr="00FD211F">
        <w:rPr>
          <w:sz w:val="36"/>
          <w:szCs w:val="36"/>
          <w:rtl/>
        </w:rPr>
        <w:t>والحلّ ان يقال انه لادليل على وضع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على افاد</w:t>
      </w:r>
      <w:r w:rsidR="00EC7EDF" w:rsidRPr="00FD211F">
        <w:rPr>
          <w:sz w:val="36"/>
          <w:szCs w:val="36"/>
          <w:rtl/>
        </w:rPr>
        <w:t xml:space="preserve">ة </w:t>
      </w:r>
      <w:r w:rsidRPr="00FD211F">
        <w:rPr>
          <w:sz w:val="36"/>
          <w:szCs w:val="36"/>
          <w:rtl/>
        </w:rPr>
        <w:t>تكرر افراد المعنى الواحد</w:t>
      </w:r>
      <w:r w:rsidR="00603323" w:rsidRPr="00FD211F">
        <w:rPr>
          <w:sz w:val="36"/>
          <w:szCs w:val="36"/>
          <w:rtl/>
        </w:rPr>
        <w:t xml:space="preserve">، </w:t>
      </w:r>
      <w:r w:rsidRPr="00FD211F">
        <w:rPr>
          <w:sz w:val="36"/>
          <w:szCs w:val="36"/>
          <w:rtl/>
        </w:rPr>
        <w:t>بل هي موضوع</w:t>
      </w:r>
      <w:r w:rsidR="00EC7EDF" w:rsidRPr="00FD211F">
        <w:rPr>
          <w:sz w:val="36"/>
          <w:szCs w:val="36"/>
          <w:rtl/>
        </w:rPr>
        <w:t xml:space="preserve">ة </w:t>
      </w:r>
      <w:r w:rsidRPr="00FD211F">
        <w:rPr>
          <w:sz w:val="36"/>
          <w:szCs w:val="36"/>
          <w:rtl/>
        </w:rPr>
        <w:t>لإفاد</w:t>
      </w:r>
      <w:r w:rsidR="00EC7EDF" w:rsidRPr="00FD211F">
        <w:rPr>
          <w:sz w:val="36"/>
          <w:szCs w:val="36"/>
          <w:rtl/>
        </w:rPr>
        <w:t xml:space="preserve">ة </w:t>
      </w:r>
      <w:r w:rsidRPr="00FD211F">
        <w:rPr>
          <w:sz w:val="36"/>
          <w:szCs w:val="36"/>
          <w:rtl/>
        </w:rPr>
        <w:t>تكرر طبيعي معنى المفرد بلافرق بين كونه بنحو تكرر افراد معنى واحد او تعدد ذات المعنى</w:t>
      </w:r>
      <w:r w:rsidR="00603323" w:rsidRPr="00FD211F">
        <w:rPr>
          <w:sz w:val="36"/>
          <w:szCs w:val="36"/>
          <w:rtl/>
        </w:rPr>
        <w:t xml:space="preserve">، </w:t>
      </w:r>
      <w:r w:rsidRPr="00FD211F">
        <w:rPr>
          <w:sz w:val="36"/>
          <w:szCs w:val="36"/>
          <w:rtl/>
        </w:rPr>
        <w:t>فوضعت التثني</w:t>
      </w:r>
      <w:r w:rsidR="00EC7EDF" w:rsidRPr="00FD211F">
        <w:rPr>
          <w:sz w:val="36"/>
          <w:szCs w:val="36"/>
          <w:rtl/>
        </w:rPr>
        <w:t xml:space="preserve">ة </w:t>
      </w:r>
      <w:r w:rsidRPr="00FD211F">
        <w:rPr>
          <w:sz w:val="36"/>
          <w:szCs w:val="36"/>
          <w:rtl/>
        </w:rPr>
        <w:t>لتكون في قو</w:t>
      </w:r>
      <w:r w:rsidR="00EC7EDF" w:rsidRPr="00FD211F">
        <w:rPr>
          <w:sz w:val="36"/>
          <w:szCs w:val="36"/>
          <w:rtl/>
        </w:rPr>
        <w:t xml:space="preserve">ة </w:t>
      </w:r>
      <w:r w:rsidRPr="00FD211F">
        <w:rPr>
          <w:sz w:val="36"/>
          <w:szCs w:val="36"/>
          <w:rtl/>
        </w:rPr>
        <w:t>تكرر لفظ الماد</w:t>
      </w:r>
      <w:r w:rsidR="00EC7EDF" w:rsidRPr="00FD211F">
        <w:rPr>
          <w:sz w:val="36"/>
          <w:szCs w:val="36"/>
          <w:rtl/>
        </w:rPr>
        <w:t xml:space="preserve">ة </w:t>
      </w:r>
      <w:r w:rsidRPr="00FD211F">
        <w:rPr>
          <w:sz w:val="36"/>
          <w:szCs w:val="36"/>
          <w:rtl/>
        </w:rPr>
        <w:t>من حيث افادته معنى</w:t>
      </w:r>
      <w:r w:rsidR="00B93857" w:rsidRPr="00FD211F">
        <w:rPr>
          <w:sz w:val="36"/>
          <w:szCs w:val="36"/>
          <w:rtl/>
        </w:rPr>
        <w:t>ً</w:t>
      </w:r>
      <w:r w:rsidR="00E8128F">
        <w:rPr>
          <w:sz w:val="36"/>
          <w:szCs w:val="36"/>
          <w:rtl/>
        </w:rPr>
        <w:t xml:space="preserve"> </w:t>
      </w:r>
      <w:r w:rsidRPr="00FD211F">
        <w:rPr>
          <w:sz w:val="36"/>
          <w:szCs w:val="36"/>
          <w:rtl/>
        </w:rPr>
        <w:t>ما</w:t>
      </w:r>
      <w:r w:rsidR="00603323" w:rsidRPr="00FD211F">
        <w:rPr>
          <w:sz w:val="36"/>
          <w:szCs w:val="36"/>
          <w:rtl/>
        </w:rPr>
        <w:t xml:space="preserve">، </w:t>
      </w:r>
      <w:r w:rsidRPr="00FD211F">
        <w:rPr>
          <w:sz w:val="36"/>
          <w:szCs w:val="36"/>
          <w:rtl/>
        </w:rPr>
        <w:t>وهذا يصح حتى في تثني</w:t>
      </w:r>
      <w:r w:rsidR="00EC7EDF" w:rsidRPr="00FD211F">
        <w:rPr>
          <w:sz w:val="36"/>
          <w:szCs w:val="36"/>
          <w:rtl/>
        </w:rPr>
        <w:t xml:space="preserve">ة </w:t>
      </w:r>
      <w:r w:rsidRPr="00FD211F">
        <w:rPr>
          <w:sz w:val="36"/>
          <w:szCs w:val="36"/>
          <w:rtl/>
        </w:rPr>
        <w:t>اللفظ المهمل كقولنا ديزان</w:t>
      </w:r>
      <w:r w:rsidR="00603323" w:rsidRPr="00FD211F">
        <w:rPr>
          <w:sz w:val="36"/>
          <w:szCs w:val="36"/>
          <w:rtl/>
        </w:rPr>
        <w:t xml:space="preserve">، </w:t>
      </w:r>
      <w:r w:rsidRPr="00FD211F">
        <w:rPr>
          <w:sz w:val="36"/>
          <w:szCs w:val="36"/>
          <w:rtl/>
        </w:rPr>
        <w:t>فانه لوحظ في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فيها افاد</w:t>
      </w:r>
      <w:r w:rsidR="00EC7EDF" w:rsidRPr="00FD211F">
        <w:rPr>
          <w:sz w:val="36"/>
          <w:szCs w:val="36"/>
          <w:rtl/>
        </w:rPr>
        <w:t xml:space="preserve">ة </w:t>
      </w:r>
      <w:r w:rsidRPr="00FD211F">
        <w:rPr>
          <w:sz w:val="36"/>
          <w:szCs w:val="36"/>
          <w:rtl/>
        </w:rPr>
        <w:t>تكرر المعنى لو كان للفظ معنى</w:t>
      </w:r>
      <w:r w:rsidR="00603323" w:rsidRPr="00FD211F">
        <w:rPr>
          <w:sz w:val="36"/>
          <w:szCs w:val="36"/>
          <w:rtl/>
        </w:rPr>
        <w:t xml:space="preserve">، </w:t>
      </w:r>
      <w:r w:rsidRPr="00FD211F">
        <w:rPr>
          <w:sz w:val="36"/>
          <w:szCs w:val="36"/>
          <w:rtl/>
        </w:rPr>
        <w:t>وبناء على ذلك ففي مثل قولنا</w:t>
      </w:r>
      <w:r w:rsidR="005719DB" w:rsidRPr="00FD211F">
        <w:rPr>
          <w:sz w:val="36"/>
          <w:szCs w:val="36"/>
          <w:rtl/>
        </w:rPr>
        <w:t>"</w:t>
      </w:r>
      <w:r w:rsidRPr="00FD211F">
        <w:rPr>
          <w:sz w:val="36"/>
          <w:szCs w:val="36"/>
          <w:rtl/>
        </w:rPr>
        <w:t xml:space="preserve"> جاء </w:t>
      </w:r>
      <w:r w:rsidR="00B93857" w:rsidRPr="00FD211F">
        <w:rPr>
          <w:sz w:val="36"/>
          <w:szCs w:val="36"/>
          <w:rtl/>
        </w:rPr>
        <w:t>زيدان</w:t>
      </w:r>
      <w:r w:rsidR="005719DB" w:rsidRPr="00FD211F">
        <w:rPr>
          <w:sz w:val="36"/>
          <w:szCs w:val="36"/>
          <w:rtl/>
        </w:rPr>
        <w:t>"</w:t>
      </w:r>
      <w:r w:rsidR="00B93857" w:rsidRPr="00FD211F">
        <w:rPr>
          <w:sz w:val="36"/>
          <w:szCs w:val="36"/>
          <w:rtl/>
        </w:rPr>
        <w:t xml:space="preserve"> فحيث يكون </w:t>
      </w:r>
      <w:r w:rsidR="001B3112" w:rsidRPr="00FD211F">
        <w:rPr>
          <w:sz w:val="36"/>
          <w:szCs w:val="36"/>
          <w:rtl/>
        </w:rPr>
        <w:t>الأمر</w:t>
      </w:r>
      <w:r w:rsidR="00B93857" w:rsidRPr="00FD211F">
        <w:rPr>
          <w:sz w:val="36"/>
          <w:szCs w:val="36"/>
          <w:rtl/>
        </w:rPr>
        <w:t xml:space="preserve"> منحصرا ب</w:t>
      </w:r>
      <w:r w:rsidRPr="00FD211F">
        <w:rPr>
          <w:sz w:val="36"/>
          <w:szCs w:val="36"/>
          <w:rtl/>
        </w:rPr>
        <w:t>افاد</w:t>
      </w:r>
      <w:r w:rsidR="00EC7EDF" w:rsidRPr="00FD211F">
        <w:rPr>
          <w:sz w:val="36"/>
          <w:szCs w:val="36"/>
          <w:rtl/>
        </w:rPr>
        <w:t xml:space="preserve">ة </w:t>
      </w:r>
      <w:r w:rsidRPr="00FD211F">
        <w:rPr>
          <w:sz w:val="36"/>
          <w:szCs w:val="36"/>
          <w:rtl/>
        </w:rPr>
        <w:t>تكرر معنيين</w:t>
      </w:r>
      <w:r w:rsidR="00603323" w:rsidRPr="00FD211F">
        <w:rPr>
          <w:sz w:val="36"/>
          <w:szCs w:val="36"/>
          <w:rtl/>
        </w:rPr>
        <w:t xml:space="preserve">، </w:t>
      </w:r>
      <w:r w:rsidRPr="00FD211F">
        <w:rPr>
          <w:sz w:val="36"/>
          <w:szCs w:val="36"/>
          <w:rtl/>
        </w:rPr>
        <w:t>دون تكرر افراد معنى واحد فيتعين الأمر فيه لامحال</w:t>
      </w:r>
      <w:r w:rsidR="00EC7EDF" w:rsidRPr="00FD211F">
        <w:rPr>
          <w:sz w:val="36"/>
          <w:szCs w:val="36"/>
          <w:rtl/>
        </w:rPr>
        <w:t>ة</w:t>
      </w:r>
      <w:r w:rsidR="00603323" w:rsidRPr="00FD211F">
        <w:rPr>
          <w:sz w:val="36"/>
          <w:szCs w:val="36"/>
          <w:rtl/>
        </w:rPr>
        <w:t xml:space="preserve">، </w:t>
      </w:r>
      <w:r w:rsidRPr="00FD211F">
        <w:rPr>
          <w:sz w:val="36"/>
          <w:szCs w:val="36"/>
          <w:rtl/>
        </w:rPr>
        <w:t>وكذا في تثني</w:t>
      </w:r>
      <w:r w:rsidR="00EC7EDF" w:rsidRPr="00FD211F">
        <w:rPr>
          <w:sz w:val="36"/>
          <w:szCs w:val="36"/>
          <w:rtl/>
        </w:rPr>
        <w:t xml:space="preserve">ة </w:t>
      </w:r>
      <w:r w:rsidRPr="00FD211F">
        <w:rPr>
          <w:sz w:val="36"/>
          <w:szCs w:val="36"/>
          <w:rtl/>
        </w:rPr>
        <w:t>اسم الإشار</w:t>
      </w:r>
      <w:r w:rsidR="00EC7EDF" w:rsidRPr="00FD211F">
        <w:rPr>
          <w:sz w:val="36"/>
          <w:szCs w:val="36"/>
          <w:rtl/>
        </w:rPr>
        <w:t>ة</w:t>
      </w:r>
      <w:r w:rsidR="00603323" w:rsidRPr="00FD211F">
        <w:rPr>
          <w:sz w:val="36"/>
          <w:szCs w:val="36"/>
          <w:rtl/>
        </w:rPr>
        <w:t xml:space="preserve">، </w:t>
      </w:r>
      <w:r w:rsidRPr="00FD211F">
        <w:rPr>
          <w:sz w:val="36"/>
          <w:szCs w:val="36"/>
          <w:rtl/>
        </w:rPr>
        <w:t>وأما في أسماء الأجناس كقولنا</w:t>
      </w:r>
      <w:r w:rsidR="005719DB" w:rsidRPr="00FD211F">
        <w:rPr>
          <w:sz w:val="36"/>
          <w:szCs w:val="36"/>
          <w:rtl/>
        </w:rPr>
        <w:t>"</w:t>
      </w:r>
      <w:r w:rsidRPr="00FD211F">
        <w:rPr>
          <w:sz w:val="36"/>
          <w:szCs w:val="36"/>
          <w:rtl/>
        </w:rPr>
        <w:t xml:space="preserve"> جئني بعينين</w:t>
      </w:r>
      <w:r w:rsidR="005719DB" w:rsidRPr="00FD211F">
        <w:rPr>
          <w:sz w:val="36"/>
          <w:szCs w:val="36"/>
          <w:rtl/>
        </w:rPr>
        <w:t>"</w:t>
      </w:r>
      <w:r w:rsidRPr="00FD211F">
        <w:rPr>
          <w:sz w:val="36"/>
          <w:szCs w:val="36"/>
          <w:rtl/>
        </w:rPr>
        <w:t xml:space="preserve"> فلاتدل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الا على تكرر ما للفظ المفرد من طبيعي المعنى</w:t>
      </w:r>
      <w:r w:rsidR="00603323" w:rsidRPr="00FD211F">
        <w:rPr>
          <w:sz w:val="36"/>
          <w:szCs w:val="36"/>
          <w:rtl/>
        </w:rPr>
        <w:t xml:space="preserve">، </w:t>
      </w:r>
      <w:r w:rsidRPr="00FD211F">
        <w:rPr>
          <w:sz w:val="36"/>
          <w:szCs w:val="36"/>
          <w:rtl/>
        </w:rPr>
        <w:t>وهذا كما يجتمع مع اراد</w:t>
      </w:r>
      <w:r w:rsidR="00EC7EDF" w:rsidRPr="00FD211F">
        <w:rPr>
          <w:sz w:val="36"/>
          <w:szCs w:val="36"/>
          <w:rtl/>
        </w:rPr>
        <w:t xml:space="preserve">ة </w:t>
      </w:r>
      <w:r w:rsidRPr="00FD211F">
        <w:rPr>
          <w:sz w:val="36"/>
          <w:szCs w:val="36"/>
          <w:rtl/>
        </w:rPr>
        <w:t>تكرر افراد معنى واحد كالذهب يجتمع مع اراد</w:t>
      </w:r>
      <w:r w:rsidR="00EC7EDF" w:rsidRPr="00FD211F">
        <w:rPr>
          <w:sz w:val="36"/>
          <w:szCs w:val="36"/>
          <w:rtl/>
        </w:rPr>
        <w:t xml:space="preserve">ة </w:t>
      </w:r>
      <w:r w:rsidRPr="00FD211F">
        <w:rPr>
          <w:sz w:val="36"/>
          <w:szCs w:val="36"/>
          <w:rtl/>
        </w:rPr>
        <w:t>تكرر معنيين كان يراد منه معنى الذهب ومعنى الفض</w:t>
      </w:r>
      <w:r w:rsidR="00EC7EDF" w:rsidRPr="00FD211F">
        <w:rPr>
          <w:sz w:val="36"/>
          <w:szCs w:val="36"/>
          <w:rtl/>
        </w:rPr>
        <w:t>ة</w:t>
      </w:r>
      <w:r w:rsidR="00603323" w:rsidRPr="00FD211F">
        <w:rPr>
          <w:sz w:val="36"/>
          <w:szCs w:val="36"/>
          <w:rtl/>
        </w:rPr>
        <w:t xml:space="preserve">، </w:t>
      </w:r>
      <w:r w:rsidRPr="00FD211F">
        <w:rPr>
          <w:sz w:val="36"/>
          <w:szCs w:val="36"/>
          <w:rtl/>
        </w:rPr>
        <w:t xml:space="preserve">وهكذا </w:t>
      </w:r>
      <w:r w:rsidR="001B3112" w:rsidRPr="00FD211F">
        <w:rPr>
          <w:sz w:val="36"/>
          <w:szCs w:val="36"/>
          <w:rtl/>
        </w:rPr>
        <w:t>الأمر</w:t>
      </w:r>
      <w:r w:rsidRPr="00FD211F">
        <w:rPr>
          <w:sz w:val="36"/>
          <w:szCs w:val="36"/>
          <w:rtl/>
        </w:rPr>
        <w:t xml:space="preserve"> في الجمع</w:t>
      </w:r>
      <w:r w:rsidR="00603323" w:rsidRPr="00FD211F">
        <w:rPr>
          <w:sz w:val="36"/>
          <w:szCs w:val="36"/>
          <w:rtl/>
        </w:rPr>
        <w:t xml:space="preserve">، </w:t>
      </w:r>
      <w:r w:rsidRPr="00FD211F">
        <w:rPr>
          <w:sz w:val="36"/>
          <w:szCs w:val="36"/>
          <w:rtl/>
        </w:rPr>
        <w:t>وبناء على ذلك فلو نهى المولى عن الإتيان بمجموع العيون التي تكون في الدار</w:t>
      </w:r>
      <w:r w:rsidR="00603323" w:rsidRPr="00FD211F">
        <w:rPr>
          <w:sz w:val="36"/>
          <w:szCs w:val="36"/>
          <w:rtl/>
        </w:rPr>
        <w:t xml:space="preserve">، </w:t>
      </w:r>
      <w:r w:rsidRPr="00FD211F">
        <w:rPr>
          <w:sz w:val="36"/>
          <w:szCs w:val="36"/>
          <w:rtl/>
        </w:rPr>
        <w:t>وعلمنا بانه اراد الذهب جزما</w:t>
      </w:r>
      <w:r w:rsidR="00603323" w:rsidRPr="00FD211F">
        <w:rPr>
          <w:sz w:val="36"/>
          <w:szCs w:val="36"/>
          <w:rtl/>
        </w:rPr>
        <w:t xml:space="preserve">، </w:t>
      </w:r>
      <w:r w:rsidRPr="00FD211F">
        <w:rPr>
          <w:sz w:val="36"/>
          <w:szCs w:val="36"/>
          <w:rtl/>
        </w:rPr>
        <w:t>فكما انه يحتمل ان يكون نهيه متعلقا بالإتيان بمجموع افراد الذهب الموجود</w:t>
      </w:r>
      <w:r w:rsidR="00EC7EDF" w:rsidRPr="00FD211F">
        <w:rPr>
          <w:sz w:val="36"/>
          <w:szCs w:val="36"/>
          <w:rtl/>
        </w:rPr>
        <w:t xml:space="preserve">ة </w:t>
      </w:r>
      <w:r w:rsidRPr="00FD211F">
        <w:rPr>
          <w:sz w:val="36"/>
          <w:szCs w:val="36"/>
          <w:rtl/>
        </w:rPr>
        <w:t>في الدار كذلك يحتمل ان يكون نهيه متعلقا بالإتيان بمجموع افراد الذهب والفض</w:t>
      </w:r>
      <w:r w:rsidR="00EC7EDF" w:rsidRPr="00FD211F">
        <w:rPr>
          <w:sz w:val="36"/>
          <w:szCs w:val="36"/>
          <w:rtl/>
        </w:rPr>
        <w:t xml:space="preserve">ة </w:t>
      </w:r>
      <w:r w:rsidRPr="00FD211F">
        <w:rPr>
          <w:sz w:val="36"/>
          <w:szCs w:val="36"/>
          <w:rtl/>
        </w:rPr>
        <w:t>الموجود</w:t>
      </w:r>
      <w:r w:rsidR="00EC7EDF" w:rsidRPr="00FD211F">
        <w:rPr>
          <w:sz w:val="36"/>
          <w:szCs w:val="36"/>
          <w:rtl/>
        </w:rPr>
        <w:t xml:space="preserve">ة </w:t>
      </w:r>
      <w:r w:rsidRPr="00FD211F">
        <w:rPr>
          <w:sz w:val="36"/>
          <w:szCs w:val="36"/>
          <w:rtl/>
        </w:rPr>
        <w:t>في الدار</w:t>
      </w:r>
      <w:r w:rsidR="00603323" w:rsidRPr="00FD211F">
        <w:rPr>
          <w:sz w:val="36"/>
          <w:szCs w:val="36"/>
          <w:rtl/>
        </w:rPr>
        <w:t xml:space="preserve">، </w:t>
      </w:r>
      <w:r w:rsidRPr="00FD211F">
        <w:rPr>
          <w:sz w:val="36"/>
          <w:szCs w:val="36"/>
          <w:rtl/>
        </w:rPr>
        <w:t>وحينئذ فتصل النوب</w:t>
      </w:r>
      <w:r w:rsidR="00EC7EDF" w:rsidRPr="00FD211F">
        <w:rPr>
          <w:sz w:val="36"/>
          <w:szCs w:val="36"/>
          <w:rtl/>
        </w:rPr>
        <w:t xml:space="preserve">ة </w:t>
      </w:r>
      <w:r w:rsidRPr="00FD211F">
        <w:rPr>
          <w:sz w:val="36"/>
          <w:szCs w:val="36"/>
          <w:rtl/>
        </w:rPr>
        <w:t>الى الاصل العملي</w:t>
      </w:r>
      <w:r w:rsidR="00603323" w:rsidRPr="00FD211F">
        <w:rPr>
          <w:sz w:val="36"/>
          <w:szCs w:val="36"/>
          <w:rtl/>
        </w:rPr>
        <w:t xml:space="preserve">، </w:t>
      </w:r>
      <w:r w:rsidRPr="00FD211F">
        <w:rPr>
          <w:sz w:val="36"/>
          <w:szCs w:val="36"/>
          <w:rtl/>
        </w:rPr>
        <w:t>ومقتضى الاصل العملي في المثال هو الب</w:t>
      </w:r>
      <w:r w:rsidR="008D7B3D" w:rsidRPr="00FD211F">
        <w:rPr>
          <w:sz w:val="36"/>
          <w:szCs w:val="36"/>
          <w:rtl/>
        </w:rPr>
        <w:t>راءة</w:t>
      </w:r>
      <w:r w:rsidR="00EC7EDF" w:rsidRPr="00FD211F">
        <w:rPr>
          <w:sz w:val="36"/>
          <w:szCs w:val="36"/>
          <w:rtl/>
        </w:rPr>
        <w:t xml:space="preserve"> </w:t>
      </w:r>
      <w:r w:rsidRPr="00FD211F">
        <w:rPr>
          <w:sz w:val="36"/>
          <w:szCs w:val="36"/>
          <w:rtl/>
        </w:rPr>
        <w:t>عن حرم</w:t>
      </w:r>
      <w:r w:rsidR="00EC7EDF" w:rsidRPr="00FD211F">
        <w:rPr>
          <w:sz w:val="36"/>
          <w:szCs w:val="36"/>
          <w:rtl/>
        </w:rPr>
        <w:t xml:space="preserve">ة </w:t>
      </w:r>
      <w:r w:rsidRPr="00FD211F">
        <w:rPr>
          <w:sz w:val="36"/>
          <w:szCs w:val="36"/>
          <w:rtl/>
        </w:rPr>
        <w:t>الإتيان بمجموع افراد الذهب</w:t>
      </w:r>
      <w:r w:rsidR="00603323" w:rsidRPr="00FD211F">
        <w:rPr>
          <w:sz w:val="36"/>
          <w:szCs w:val="36"/>
          <w:rtl/>
        </w:rPr>
        <w:t xml:space="preserve">، </w:t>
      </w:r>
      <w:r w:rsidRPr="00FD211F">
        <w:rPr>
          <w:sz w:val="36"/>
          <w:szCs w:val="36"/>
          <w:rtl/>
        </w:rPr>
        <w:t>وانما القدر المتيقن هو حرم</w:t>
      </w:r>
      <w:r w:rsidR="00EC7EDF" w:rsidRPr="00FD211F">
        <w:rPr>
          <w:sz w:val="36"/>
          <w:szCs w:val="36"/>
          <w:rtl/>
        </w:rPr>
        <w:t xml:space="preserve">ة </w:t>
      </w:r>
      <w:r w:rsidRPr="00FD211F">
        <w:rPr>
          <w:sz w:val="36"/>
          <w:szCs w:val="36"/>
          <w:rtl/>
        </w:rPr>
        <w:t>الإتيان بمجموع افراد الذهب والفض</w:t>
      </w:r>
      <w:r w:rsidR="00EC7EDF" w:rsidRPr="00FD211F">
        <w:rPr>
          <w:sz w:val="36"/>
          <w:szCs w:val="36"/>
          <w:rtl/>
        </w:rPr>
        <w:t xml:space="preserve">ة </w:t>
      </w:r>
      <w:r w:rsidRPr="00FD211F">
        <w:rPr>
          <w:sz w:val="36"/>
          <w:szCs w:val="36"/>
          <w:rtl/>
        </w:rPr>
        <w:t>الموجود</w:t>
      </w:r>
      <w:r w:rsidR="00EC7EDF" w:rsidRPr="00FD211F">
        <w:rPr>
          <w:sz w:val="36"/>
          <w:szCs w:val="36"/>
          <w:rtl/>
        </w:rPr>
        <w:t xml:space="preserve">ة </w:t>
      </w:r>
      <w:r w:rsidRPr="00FD211F">
        <w:rPr>
          <w:sz w:val="36"/>
          <w:szCs w:val="36"/>
          <w:rtl/>
        </w:rPr>
        <w:t>في الدار.</w:t>
      </w:r>
    </w:p>
    <w:p w14:paraId="7693A29C" w14:textId="77777777" w:rsidR="00052BF2" w:rsidRPr="00FD211F" w:rsidRDefault="00052BF2" w:rsidP="009C58C8">
      <w:pPr>
        <w:ind w:left="0" w:firstLine="227"/>
        <w:jc w:val="both"/>
        <w:rPr>
          <w:sz w:val="36"/>
          <w:szCs w:val="36"/>
          <w:rtl/>
        </w:rPr>
      </w:pPr>
      <w:r w:rsidRPr="00FD211F">
        <w:rPr>
          <w:sz w:val="36"/>
          <w:szCs w:val="36"/>
          <w:rtl/>
        </w:rPr>
        <w:t>نعم يمكن ان يقال بان ظاهر حال المتكلم هو اراد</w:t>
      </w:r>
      <w:r w:rsidR="00EC7EDF" w:rsidRPr="00FD211F">
        <w:rPr>
          <w:sz w:val="36"/>
          <w:szCs w:val="36"/>
          <w:rtl/>
        </w:rPr>
        <w:t xml:space="preserve">ة </w:t>
      </w:r>
      <w:r w:rsidRPr="00FD211F">
        <w:rPr>
          <w:sz w:val="36"/>
          <w:szCs w:val="36"/>
          <w:rtl/>
        </w:rPr>
        <w:t>تعد</w:t>
      </w:r>
      <w:r w:rsidR="00B103E8" w:rsidRPr="00FD211F">
        <w:rPr>
          <w:sz w:val="36"/>
          <w:szCs w:val="36"/>
          <w:rtl/>
        </w:rPr>
        <w:t>د افراد معنى واحد</w:t>
      </w:r>
      <w:r w:rsidR="00603323" w:rsidRPr="00FD211F">
        <w:rPr>
          <w:sz w:val="36"/>
          <w:szCs w:val="36"/>
          <w:rtl/>
        </w:rPr>
        <w:t xml:space="preserve">، </w:t>
      </w:r>
      <w:r w:rsidR="00B103E8" w:rsidRPr="00FD211F">
        <w:rPr>
          <w:sz w:val="36"/>
          <w:szCs w:val="36"/>
          <w:rtl/>
        </w:rPr>
        <w:t xml:space="preserve">الا في مثل </w:t>
      </w:r>
      <w:r w:rsidRPr="00FD211F">
        <w:rPr>
          <w:sz w:val="36"/>
          <w:szCs w:val="36"/>
          <w:rtl/>
        </w:rPr>
        <w:t>تثني</w:t>
      </w:r>
      <w:r w:rsidR="00EC7EDF" w:rsidRPr="00FD211F">
        <w:rPr>
          <w:sz w:val="36"/>
          <w:szCs w:val="36"/>
          <w:rtl/>
        </w:rPr>
        <w:t xml:space="preserve">ة </w:t>
      </w:r>
      <w:r w:rsidR="00B103E8" w:rsidRPr="00FD211F">
        <w:rPr>
          <w:sz w:val="36"/>
          <w:szCs w:val="36"/>
          <w:rtl/>
        </w:rPr>
        <w:t>الع</w:t>
      </w:r>
      <w:r w:rsidR="00B93857" w:rsidRPr="00FD211F">
        <w:rPr>
          <w:sz w:val="36"/>
          <w:szCs w:val="36"/>
          <w:rtl/>
        </w:rPr>
        <w:t>َ</w:t>
      </w:r>
      <w:r w:rsidR="00B103E8" w:rsidRPr="00FD211F">
        <w:rPr>
          <w:sz w:val="36"/>
          <w:szCs w:val="36"/>
          <w:rtl/>
        </w:rPr>
        <w:t>ل</w:t>
      </w:r>
      <w:r w:rsidR="00B93857" w:rsidRPr="00FD211F">
        <w:rPr>
          <w:sz w:val="36"/>
          <w:szCs w:val="36"/>
          <w:rtl/>
        </w:rPr>
        <w:t>َ</w:t>
      </w:r>
      <w:r w:rsidR="00B103E8" w:rsidRPr="00FD211F">
        <w:rPr>
          <w:sz w:val="36"/>
          <w:szCs w:val="36"/>
          <w:rtl/>
        </w:rPr>
        <w:t xml:space="preserve">م </w:t>
      </w:r>
      <w:r w:rsidRPr="00FD211F">
        <w:rPr>
          <w:sz w:val="36"/>
          <w:szCs w:val="36"/>
          <w:rtl/>
        </w:rPr>
        <w:t>او جمع</w:t>
      </w:r>
      <w:r w:rsidR="00B103E8" w:rsidRPr="00FD211F">
        <w:rPr>
          <w:sz w:val="36"/>
          <w:szCs w:val="36"/>
          <w:rtl/>
        </w:rPr>
        <w:t>ه</w:t>
      </w:r>
      <w:r w:rsidRPr="00FD211F">
        <w:rPr>
          <w:sz w:val="36"/>
          <w:szCs w:val="36"/>
          <w:rtl/>
        </w:rPr>
        <w:t xml:space="preserve"> حيث ينحصر الأمر فيه</w:t>
      </w:r>
      <w:r w:rsidR="00B103E8" w:rsidRPr="00FD211F">
        <w:rPr>
          <w:sz w:val="36"/>
          <w:szCs w:val="36"/>
          <w:rtl/>
        </w:rPr>
        <w:t>م</w:t>
      </w:r>
      <w:r w:rsidRPr="00FD211F">
        <w:rPr>
          <w:sz w:val="36"/>
          <w:szCs w:val="36"/>
          <w:rtl/>
        </w:rPr>
        <w:t>ا بإراد</w:t>
      </w:r>
      <w:r w:rsidR="00EC7EDF" w:rsidRPr="00FD211F">
        <w:rPr>
          <w:sz w:val="36"/>
          <w:szCs w:val="36"/>
          <w:rtl/>
        </w:rPr>
        <w:t xml:space="preserve">ة </w:t>
      </w:r>
      <w:r w:rsidRPr="00FD211F">
        <w:rPr>
          <w:sz w:val="36"/>
          <w:szCs w:val="36"/>
          <w:rtl/>
        </w:rPr>
        <w:t>تعدد المعنى.</w:t>
      </w:r>
    </w:p>
    <w:p w14:paraId="18D22F7D" w14:textId="77777777" w:rsidR="00052BF2" w:rsidRPr="00FD211F" w:rsidRDefault="00B103E8" w:rsidP="009C58C8">
      <w:pPr>
        <w:ind w:left="0" w:firstLine="227"/>
        <w:jc w:val="both"/>
        <w:rPr>
          <w:sz w:val="36"/>
          <w:szCs w:val="36"/>
          <w:rtl/>
        </w:rPr>
      </w:pPr>
      <w:r w:rsidRPr="00FD211F">
        <w:rPr>
          <w:sz w:val="36"/>
          <w:szCs w:val="36"/>
          <w:rtl/>
        </w:rPr>
        <w:t>هذا</w:t>
      </w:r>
      <w:r w:rsidR="00603323" w:rsidRPr="00FD211F">
        <w:rPr>
          <w:sz w:val="36"/>
          <w:szCs w:val="36"/>
          <w:rtl/>
        </w:rPr>
        <w:t xml:space="preserve">، </w:t>
      </w:r>
      <w:r w:rsidRPr="00FD211F">
        <w:rPr>
          <w:sz w:val="36"/>
          <w:szCs w:val="36"/>
          <w:rtl/>
        </w:rPr>
        <w:t>وقد ذكر في البحوث</w:t>
      </w:r>
      <w:r w:rsidR="00052BF2" w:rsidRPr="00FD211F">
        <w:rPr>
          <w:sz w:val="36"/>
          <w:szCs w:val="36"/>
          <w:rtl/>
        </w:rPr>
        <w:t xml:space="preserve"> وجها لإثبات وضع هيئ</w:t>
      </w:r>
      <w:r w:rsidR="00EC7EDF" w:rsidRPr="00FD211F">
        <w:rPr>
          <w:sz w:val="36"/>
          <w:szCs w:val="36"/>
          <w:rtl/>
        </w:rPr>
        <w:t xml:space="preserve">ة </w:t>
      </w:r>
      <w:r w:rsidR="00052BF2" w:rsidRPr="00FD211F">
        <w:rPr>
          <w:sz w:val="36"/>
          <w:szCs w:val="36"/>
          <w:rtl/>
        </w:rPr>
        <w:t>التثني</w:t>
      </w:r>
      <w:r w:rsidR="00EC7EDF" w:rsidRPr="00FD211F">
        <w:rPr>
          <w:sz w:val="36"/>
          <w:szCs w:val="36"/>
          <w:rtl/>
        </w:rPr>
        <w:t xml:space="preserve">ة </w:t>
      </w:r>
      <w:r w:rsidR="00052BF2" w:rsidRPr="00FD211F">
        <w:rPr>
          <w:sz w:val="36"/>
          <w:szCs w:val="36"/>
          <w:rtl/>
        </w:rPr>
        <w:t>على الجامع بين إفاد</w:t>
      </w:r>
      <w:r w:rsidR="00EC7EDF" w:rsidRPr="00FD211F">
        <w:rPr>
          <w:sz w:val="36"/>
          <w:szCs w:val="36"/>
          <w:rtl/>
        </w:rPr>
        <w:t xml:space="preserve">ة </w:t>
      </w:r>
      <w:r w:rsidR="00052BF2" w:rsidRPr="00FD211F">
        <w:rPr>
          <w:sz w:val="36"/>
          <w:szCs w:val="36"/>
          <w:rtl/>
        </w:rPr>
        <w:t>تكرر افراد معنى واحد او تعدد المعنى</w:t>
      </w:r>
      <w:r w:rsidR="00603323" w:rsidRPr="00FD211F">
        <w:rPr>
          <w:sz w:val="36"/>
          <w:szCs w:val="36"/>
          <w:rtl/>
        </w:rPr>
        <w:t xml:space="preserve">، </w:t>
      </w:r>
      <w:r w:rsidR="00052BF2" w:rsidRPr="00FD211F">
        <w:rPr>
          <w:sz w:val="36"/>
          <w:szCs w:val="36"/>
          <w:rtl/>
        </w:rPr>
        <w:t xml:space="preserve">ومحصل هذا الوجه هو ان اللفظ المشترك الموضوع على معنيين مثلا </w:t>
      </w:r>
      <w:r w:rsidR="00B93857" w:rsidRPr="00FD211F">
        <w:rPr>
          <w:sz w:val="36"/>
          <w:szCs w:val="36"/>
          <w:rtl/>
        </w:rPr>
        <w:t>وان كان يوجب حصول كلا معنييه في</w:t>
      </w:r>
      <w:r w:rsidR="00052BF2" w:rsidRPr="00FD211F">
        <w:rPr>
          <w:sz w:val="36"/>
          <w:szCs w:val="36"/>
          <w:rtl/>
        </w:rPr>
        <w:t xml:space="preserve"> ذهن المخاطب حسب اقتران الأكيد بين اللفظ والمعنى</w:t>
      </w:r>
      <w:r w:rsidR="00603323" w:rsidRPr="00FD211F">
        <w:rPr>
          <w:sz w:val="36"/>
          <w:szCs w:val="36"/>
          <w:rtl/>
        </w:rPr>
        <w:t xml:space="preserve">، </w:t>
      </w:r>
      <w:r w:rsidR="00052BF2" w:rsidRPr="00FD211F">
        <w:rPr>
          <w:sz w:val="36"/>
          <w:szCs w:val="36"/>
          <w:rtl/>
        </w:rPr>
        <w:t>لكن لايدل على استعمال المتكلم لهذا اللفظ الا في احد المعنيين لابعينه</w:t>
      </w:r>
      <w:r w:rsidR="00603323" w:rsidRPr="00FD211F">
        <w:rPr>
          <w:sz w:val="36"/>
          <w:szCs w:val="36"/>
          <w:rtl/>
        </w:rPr>
        <w:t xml:space="preserve">، </w:t>
      </w:r>
      <w:r w:rsidR="00052BF2" w:rsidRPr="00FD211F">
        <w:rPr>
          <w:sz w:val="36"/>
          <w:szCs w:val="36"/>
          <w:rtl/>
        </w:rPr>
        <w:t>ولانعني من ذلك مفهوم احدهما بل واقع احدهما</w:t>
      </w:r>
      <w:r w:rsidR="00603323" w:rsidRPr="00FD211F">
        <w:rPr>
          <w:sz w:val="36"/>
          <w:szCs w:val="36"/>
          <w:rtl/>
        </w:rPr>
        <w:t xml:space="preserve">، </w:t>
      </w:r>
      <w:r w:rsidR="00052BF2" w:rsidRPr="00FD211F">
        <w:rPr>
          <w:sz w:val="36"/>
          <w:szCs w:val="36"/>
          <w:rtl/>
        </w:rPr>
        <w:t>نظير قيام البين</w:t>
      </w:r>
      <w:r w:rsidR="00EC7EDF" w:rsidRPr="00FD211F">
        <w:rPr>
          <w:sz w:val="36"/>
          <w:szCs w:val="36"/>
          <w:rtl/>
        </w:rPr>
        <w:t xml:space="preserve">ة </w:t>
      </w:r>
      <w:r w:rsidR="00052BF2" w:rsidRPr="00FD211F">
        <w:rPr>
          <w:sz w:val="36"/>
          <w:szCs w:val="36"/>
          <w:rtl/>
        </w:rPr>
        <w:t>على نجاس</w:t>
      </w:r>
      <w:r w:rsidR="00EC7EDF" w:rsidRPr="00FD211F">
        <w:rPr>
          <w:sz w:val="36"/>
          <w:szCs w:val="36"/>
          <w:rtl/>
        </w:rPr>
        <w:t xml:space="preserve">ة </w:t>
      </w:r>
      <w:r w:rsidR="00052BF2" w:rsidRPr="00FD211F">
        <w:rPr>
          <w:sz w:val="36"/>
          <w:szCs w:val="36"/>
          <w:rtl/>
        </w:rPr>
        <w:t>احد الإنائين</w:t>
      </w:r>
      <w:r w:rsidR="00603323" w:rsidRPr="00FD211F">
        <w:rPr>
          <w:sz w:val="36"/>
          <w:szCs w:val="36"/>
          <w:rtl/>
        </w:rPr>
        <w:t xml:space="preserve">، </w:t>
      </w:r>
      <w:r w:rsidR="00052BF2" w:rsidRPr="00FD211F">
        <w:rPr>
          <w:sz w:val="36"/>
          <w:szCs w:val="36"/>
          <w:rtl/>
        </w:rPr>
        <w:t>فانها قامت على نجاس</w:t>
      </w:r>
      <w:r w:rsidR="00EC7EDF" w:rsidRPr="00FD211F">
        <w:rPr>
          <w:sz w:val="36"/>
          <w:szCs w:val="36"/>
          <w:rtl/>
        </w:rPr>
        <w:t xml:space="preserve">ة </w:t>
      </w:r>
      <w:r w:rsidR="00052BF2" w:rsidRPr="00FD211F">
        <w:rPr>
          <w:sz w:val="36"/>
          <w:szCs w:val="36"/>
          <w:rtl/>
        </w:rPr>
        <w:t>واقع معين يعبر عنه بعنوان احدهما كما هو واضح</w:t>
      </w:r>
      <w:r w:rsidR="00603323" w:rsidRPr="00FD211F">
        <w:rPr>
          <w:sz w:val="36"/>
          <w:szCs w:val="36"/>
          <w:rtl/>
        </w:rPr>
        <w:t xml:space="preserve">، </w:t>
      </w:r>
      <w:r w:rsidR="00052BF2" w:rsidRPr="00FD211F">
        <w:rPr>
          <w:sz w:val="36"/>
          <w:szCs w:val="36"/>
          <w:rtl/>
        </w:rPr>
        <w:t>وحينئذ فاذا قال المتكلم "رأيت زيدا" وكان زيد اسما لابن عمرو وابن بكر</w:t>
      </w:r>
      <w:r w:rsidR="00603323" w:rsidRPr="00FD211F">
        <w:rPr>
          <w:sz w:val="36"/>
          <w:szCs w:val="36"/>
          <w:rtl/>
        </w:rPr>
        <w:t xml:space="preserve">، </w:t>
      </w:r>
      <w:r w:rsidR="00052BF2" w:rsidRPr="00FD211F">
        <w:rPr>
          <w:sz w:val="36"/>
          <w:szCs w:val="36"/>
          <w:rtl/>
        </w:rPr>
        <w:t>دل ذلك على استعماله له في معنى معين واقعا ولكنه مردد بحسب مقام الاثبات بين زيدبن عمرو وبين زيد بن بكر</w:t>
      </w:r>
      <w:r w:rsidR="00603323" w:rsidRPr="00FD211F">
        <w:rPr>
          <w:sz w:val="36"/>
          <w:szCs w:val="36"/>
          <w:rtl/>
        </w:rPr>
        <w:t xml:space="preserve">، </w:t>
      </w:r>
      <w:r w:rsidR="00052BF2" w:rsidRPr="00FD211F">
        <w:rPr>
          <w:sz w:val="36"/>
          <w:szCs w:val="36"/>
          <w:rtl/>
        </w:rPr>
        <w:t>ولكن يعلم انه ليس مراده الاستعمالي شخصا ثالثا غيرهما</w:t>
      </w:r>
      <w:r w:rsidR="00603323" w:rsidRPr="00FD211F">
        <w:rPr>
          <w:sz w:val="36"/>
          <w:szCs w:val="36"/>
          <w:rtl/>
        </w:rPr>
        <w:t xml:space="preserve">، </w:t>
      </w:r>
      <w:r w:rsidR="00052BF2" w:rsidRPr="00FD211F">
        <w:rPr>
          <w:sz w:val="36"/>
          <w:szCs w:val="36"/>
          <w:rtl/>
        </w:rPr>
        <w:t>فلو قال رأيت زيدين دل على انه قصد شخصين ل</w:t>
      </w:r>
      <w:r w:rsidRPr="00FD211F">
        <w:rPr>
          <w:sz w:val="36"/>
          <w:szCs w:val="36"/>
          <w:rtl/>
        </w:rPr>
        <w:t>يسا غير ابن عمرو وابن بكر</w:t>
      </w:r>
      <w:r w:rsidR="00052BF2" w:rsidRPr="00FD211F">
        <w:rPr>
          <w:sz w:val="36"/>
          <w:szCs w:val="36"/>
          <w:rtl/>
        </w:rPr>
        <w:t xml:space="preserve"> فينطبق عليهما لامحال</w:t>
      </w:r>
      <w:r w:rsidR="00EC7EDF" w:rsidRPr="00FD211F">
        <w:rPr>
          <w:sz w:val="36"/>
          <w:szCs w:val="36"/>
          <w:rtl/>
        </w:rPr>
        <w:t>ة</w:t>
      </w:r>
      <w:r w:rsidR="00603323" w:rsidRPr="00FD211F">
        <w:rPr>
          <w:sz w:val="36"/>
          <w:szCs w:val="36"/>
          <w:rtl/>
        </w:rPr>
        <w:t xml:space="preserve">، </w:t>
      </w:r>
      <w:r w:rsidR="00052BF2" w:rsidRPr="00FD211F">
        <w:rPr>
          <w:sz w:val="36"/>
          <w:szCs w:val="36"/>
          <w:rtl/>
        </w:rPr>
        <w:t>وحيث ان لفظ زيد كان يدل على معنى جزئي واقعا فلايخرج عن العَلَمي</w:t>
      </w:r>
      <w:r w:rsidR="00EC7EDF" w:rsidRPr="00FD211F">
        <w:rPr>
          <w:sz w:val="36"/>
          <w:szCs w:val="36"/>
          <w:rtl/>
        </w:rPr>
        <w:t xml:space="preserve">ة </w:t>
      </w:r>
      <w:r w:rsidR="00052BF2" w:rsidRPr="00FD211F">
        <w:rPr>
          <w:sz w:val="36"/>
          <w:szCs w:val="36"/>
          <w:rtl/>
        </w:rPr>
        <w:t>وحيث يكون مترددا اثباتا بين شخصين يكون قابلا للتعدد</w:t>
      </w:r>
      <w:r w:rsidR="00603323" w:rsidRPr="00FD211F">
        <w:rPr>
          <w:sz w:val="36"/>
          <w:szCs w:val="36"/>
          <w:rtl/>
        </w:rPr>
        <w:t xml:space="preserve">، </w:t>
      </w:r>
      <w:r w:rsidR="00052BF2" w:rsidRPr="00FD211F">
        <w:rPr>
          <w:sz w:val="36"/>
          <w:szCs w:val="36"/>
          <w:rtl/>
        </w:rPr>
        <w:t>وهكذا في اسم الإشار</w:t>
      </w:r>
      <w:r w:rsidR="00EC7EDF" w:rsidRPr="00FD211F">
        <w:rPr>
          <w:sz w:val="36"/>
          <w:szCs w:val="36"/>
          <w:rtl/>
        </w:rPr>
        <w:t>ة</w:t>
      </w:r>
      <w:r w:rsidR="00603323" w:rsidRPr="00FD211F">
        <w:rPr>
          <w:sz w:val="36"/>
          <w:szCs w:val="36"/>
          <w:rtl/>
        </w:rPr>
        <w:t xml:space="preserve">، </w:t>
      </w:r>
      <w:r w:rsidR="00052BF2" w:rsidRPr="00FD211F">
        <w:rPr>
          <w:sz w:val="36"/>
          <w:szCs w:val="36"/>
          <w:rtl/>
        </w:rPr>
        <w:t>فان لفظ "هذا" مستعمل في معنى جزئي واقعا</w:t>
      </w:r>
      <w:r w:rsidR="00603323" w:rsidRPr="00FD211F">
        <w:rPr>
          <w:sz w:val="36"/>
          <w:szCs w:val="36"/>
          <w:rtl/>
        </w:rPr>
        <w:t xml:space="preserve">، </w:t>
      </w:r>
      <w:r w:rsidR="00052BF2" w:rsidRPr="00FD211F">
        <w:rPr>
          <w:sz w:val="36"/>
          <w:szCs w:val="36"/>
          <w:rtl/>
        </w:rPr>
        <w:t>ولأجل ذلك</w:t>
      </w:r>
      <w:r w:rsidR="008D7B3D" w:rsidRPr="00FD211F">
        <w:rPr>
          <w:sz w:val="36"/>
          <w:szCs w:val="36"/>
          <w:rtl/>
        </w:rPr>
        <w:t xml:space="preserve"> لم‌</w:t>
      </w:r>
      <w:r w:rsidR="00052BF2" w:rsidRPr="00FD211F">
        <w:rPr>
          <w:sz w:val="36"/>
          <w:szCs w:val="36"/>
          <w:rtl/>
        </w:rPr>
        <w:t>يخرج عن معناه الحرفي حيث يدل على واقع الفرد ويكون معرف</w:t>
      </w:r>
      <w:r w:rsidR="00EC7EDF" w:rsidRPr="00FD211F">
        <w:rPr>
          <w:sz w:val="36"/>
          <w:szCs w:val="36"/>
          <w:rtl/>
        </w:rPr>
        <w:t>ة</w:t>
      </w:r>
      <w:r w:rsidR="00603323" w:rsidRPr="00FD211F">
        <w:rPr>
          <w:sz w:val="36"/>
          <w:szCs w:val="36"/>
          <w:rtl/>
        </w:rPr>
        <w:t xml:space="preserve">، </w:t>
      </w:r>
      <w:r w:rsidR="00052BF2" w:rsidRPr="00FD211F">
        <w:rPr>
          <w:sz w:val="36"/>
          <w:szCs w:val="36"/>
          <w:rtl/>
        </w:rPr>
        <w:t>لكن المشار اليه لما كان مرددا بين شيئين إثباتا</w:t>
      </w:r>
      <w:r w:rsidR="00603323" w:rsidRPr="00FD211F">
        <w:rPr>
          <w:sz w:val="36"/>
          <w:szCs w:val="36"/>
          <w:rtl/>
        </w:rPr>
        <w:t xml:space="preserve">، </w:t>
      </w:r>
      <w:r w:rsidR="00052BF2" w:rsidRPr="00FD211F">
        <w:rPr>
          <w:sz w:val="36"/>
          <w:szCs w:val="36"/>
          <w:rtl/>
        </w:rPr>
        <w:t>فلأجل هذا التردد يكون قابلا للتكثير والتثني</w:t>
      </w:r>
      <w:r w:rsidR="00EC7EDF" w:rsidRPr="00FD211F">
        <w:rPr>
          <w:sz w:val="36"/>
          <w:szCs w:val="36"/>
          <w:rtl/>
        </w:rPr>
        <w:t>ة</w:t>
      </w:r>
      <w:r w:rsidR="00603323" w:rsidRPr="00FD211F">
        <w:rPr>
          <w:sz w:val="36"/>
          <w:szCs w:val="36"/>
          <w:rtl/>
        </w:rPr>
        <w:t xml:space="preserve">، </w:t>
      </w:r>
      <w:r w:rsidR="00052BF2" w:rsidRPr="00FD211F">
        <w:rPr>
          <w:sz w:val="36"/>
          <w:szCs w:val="36"/>
          <w:rtl/>
        </w:rPr>
        <w:t>ولايلزم في تصوير هذا الوجه ان يكون الفرد المردد معقولا واقعا</w:t>
      </w:r>
      <w:r w:rsidR="00603323" w:rsidRPr="00FD211F">
        <w:rPr>
          <w:sz w:val="36"/>
          <w:szCs w:val="36"/>
          <w:rtl/>
        </w:rPr>
        <w:t xml:space="preserve">، </w:t>
      </w:r>
      <w:r w:rsidR="00052BF2" w:rsidRPr="00FD211F">
        <w:rPr>
          <w:sz w:val="36"/>
          <w:szCs w:val="36"/>
          <w:rtl/>
        </w:rPr>
        <w:t>بل يكفي كونه معقولا عرفا</w:t>
      </w:r>
      <w:r w:rsidR="00603323" w:rsidRPr="00FD211F">
        <w:rPr>
          <w:sz w:val="36"/>
          <w:szCs w:val="36"/>
          <w:rtl/>
        </w:rPr>
        <w:t xml:space="preserve">، </w:t>
      </w:r>
      <w:r w:rsidR="00052BF2" w:rsidRPr="00FD211F">
        <w:rPr>
          <w:sz w:val="36"/>
          <w:szCs w:val="36"/>
          <w:rtl/>
        </w:rPr>
        <w:t>وبهذا الوجه يمكن تصحيح استعمال لفظ العينين في اكثر من معنى</w:t>
      </w:r>
      <w:r w:rsidR="00603323" w:rsidRPr="00FD211F">
        <w:rPr>
          <w:sz w:val="36"/>
          <w:szCs w:val="36"/>
          <w:rtl/>
        </w:rPr>
        <w:t xml:space="preserve">، </w:t>
      </w:r>
      <w:r w:rsidR="00052BF2" w:rsidRPr="00FD211F">
        <w:rPr>
          <w:sz w:val="36"/>
          <w:szCs w:val="36"/>
          <w:rtl/>
        </w:rPr>
        <w:t>حيث يدل لفظ العين على استعمال المتكلم له في احد معنييه ولأجل تردد المعنى المستعمل فيه إثباتا يكون قابلا للتكثير والتثني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70"/>
      </w:r>
      <w:r w:rsidR="009C58C8" w:rsidRPr="00FD211F">
        <w:rPr>
          <w:rStyle w:val="a6"/>
          <w:sz w:val="36"/>
          <w:szCs w:val="36"/>
          <w:rtl/>
        </w:rPr>
        <w:t>)</w:t>
      </w:r>
      <w:r w:rsidR="00052BF2" w:rsidRPr="00FD211F">
        <w:rPr>
          <w:sz w:val="36"/>
          <w:szCs w:val="36"/>
          <w:rtl/>
        </w:rPr>
        <w:t>.</w:t>
      </w:r>
    </w:p>
    <w:p w14:paraId="527488C7" w14:textId="77777777" w:rsidR="00052BF2" w:rsidRPr="00FD211F" w:rsidRDefault="00052BF2" w:rsidP="009C58C8">
      <w:pPr>
        <w:ind w:left="0" w:firstLine="227"/>
        <w:jc w:val="both"/>
        <w:rPr>
          <w:sz w:val="36"/>
          <w:szCs w:val="36"/>
          <w:rtl/>
        </w:rPr>
      </w:pPr>
      <w:r w:rsidRPr="00FD211F">
        <w:rPr>
          <w:sz w:val="36"/>
          <w:szCs w:val="36"/>
          <w:rtl/>
        </w:rPr>
        <w:t>ولايخفى ان هذا الوجه لايجدي شيئا في انكار وضع التث</w:t>
      </w:r>
      <w:r w:rsidR="00B103E8" w:rsidRPr="00FD211F">
        <w:rPr>
          <w:sz w:val="36"/>
          <w:szCs w:val="36"/>
          <w:rtl/>
        </w:rPr>
        <w:t>ني</w:t>
      </w:r>
      <w:r w:rsidR="00EC7EDF" w:rsidRPr="00FD211F">
        <w:rPr>
          <w:sz w:val="36"/>
          <w:szCs w:val="36"/>
          <w:rtl/>
        </w:rPr>
        <w:t xml:space="preserve">ة </w:t>
      </w:r>
      <w:r w:rsidRPr="00FD211F">
        <w:rPr>
          <w:sz w:val="36"/>
          <w:szCs w:val="36"/>
          <w:rtl/>
        </w:rPr>
        <w:t>لخصوص إفاد</w:t>
      </w:r>
      <w:r w:rsidR="00EC7EDF" w:rsidRPr="00FD211F">
        <w:rPr>
          <w:sz w:val="36"/>
          <w:szCs w:val="36"/>
          <w:rtl/>
        </w:rPr>
        <w:t xml:space="preserve">ة </w:t>
      </w:r>
      <w:r w:rsidRPr="00FD211F">
        <w:rPr>
          <w:sz w:val="36"/>
          <w:szCs w:val="36"/>
          <w:rtl/>
        </w:rPr>
        <w:t>تعدد افراد معنى واحد</w:t>
      </w:r>
      <w:r w:rsidR="00603323" w:rsidRPr="00FD211F">
        <w:rPr>
          <w:sz w:val="36"/>
          <w:szCs w:val="36"/>
          <w:rtl/>
        </w:rPr>
        <w:t xml:space="preserve">، </w:t>
      </w:r>
      <w:r w:rsidRPr="00FD211F">
        <w:rPr>
          <w:sz w:val="36"/>
          <w:szCs w:val="36"/>
          <w:rtl/>
        </w:rPr>
        <w:t>فانه بعد كون المفروض دلال</w:t>
      </w:r>
      <w:r w:rsidR="00EC7EDF" w:rsidRPr="00FD211F">
        <w:rPr>
          <w:sz w:val="36"/>
          <w:szCs w:val="36"/>
          <w:rtl/>
        </w:rPr>
        <w:t xml:space="preserve">ة </w:t>
      </w:r>
      <w:r w:rsidRPr="00FD211F">
        <w:rPr>
          <w:sz w:val="36"/>
          <w:szCs w:val="36"/>
          <w:rtl/>
        </w:rPr>
        <w:t>اللفظ على استعمال المتكلم له في معنى معين فقد يدعى وضع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لإفاد</w:t>
      </w:r>
      <w:r w:rsidR="00EC7EDF" w:rsidRPr="00FD211F">
        <w:rPr>
          <w:sz w:val="36"/>
          <w:szCs w:val="36"/>
          <w:rtl/>
        </w:rPr>
        <w:t xml:space="preserve">ة </w:t>
      </w:r>
      <w:r w:rsidRPr="00FD211F">
        <w:rPr>
          <w:sz w:val="36"/>
          <w:szCs w:val="36"/>
          <w:rtl/>
        </w:rPr>
        <w:t>تعدد افراد المعنى المستعمل فيه وان</w:t>
      </w:r>
      <w:r w:rsidR="008D7B3D" w:rsidRPr="00FD211F">
        <w:rPr>
          <w:sz w:val="36"/>
          <w:szCs w:val="36"/>
          <w:rtl/>
        </w:rPr>
        <w:t xml:space="preserve"> لم‌</w:t>
      </w:r>
      <w:r w:rsidRPr="00FD211F">
        <w:rPr>
          <w:sz w:val="36"/>
          <w:szCs w:val="36"/>
          <w:rtl/>
        </w:rPr>
        <w:t>يعرفه المخاطب بعينه</w:t>
      </w:r>
      <w:r w:rsidR="00603323" w:rsidRPr="00FD211F">
        <w:rPr>
          <w:sz w:val="36"/>
          <w:szCs w:val="36"/>
          <w:rtl/>
        </w:rPr>
        <w:t xml:space="preserve">، </w:t>
      </w:r>
      <w:r w:rsidRPr="00FD211F">
        <w:rPr>
          <w:sz w:val="36"/>
          <w:szCs w:val="36"/>
          <w:rtl/>
        </w:rPr>
        <w:t>فالمهم هو إنكار دعوى وضع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على خصوص افاد</w:t>
      </w:r>
      <w:r w:rsidR="00EC7EDF" w:rsidRPr="00FD211F">
        <w:rPr>
          <w:sz w:val="36"/>
          <w:szCs w:val="36"/>
          <w:rtl/>
        </w:rPr>
        <w:t xml:space="preserve">ة </w:t>
      </w:r>
      <w:r w:rsidRPr="00FD211F">
        <w:rPr>
          <w:sz w:val="36"/>
          <w:szCs w:val="36"/>
          <w:rtl/>
        </w:rPr>
        <w:t>تعدد افراد معنى واحد.</w:t>
      </w:r>
    </w:p>
    <w:p w14:paraId="5BB0273D" w14:textId="77777777" w:rsidR="00FF13B3" w:rsidRPr="00FD211F" w:rsidRDefault="00052BF2" w:rsidP="009C58C8">
      <w:pPr>
        <w:ind w:left="0" w:firstLine="227"/>
        <w:jc w:val="both"/>
        <w:rPr>
          <w:sz w:val="36"/>
          <w:szCs w:val="36"/>
          <w:rtl/>
        </w:rPr>
      </w:pPr>
      <w:r w:rsidRPr="00FD211F">
        <w:rPr>
          <w:sz w:val="36"/>
          <w:szCs w:val="36"/>
          <w:rtl/>
        </w:rPr>
        <w:t>هذا ومن جه</w:t>
      </w:r>
      <w:r w:rsidR="00EC7EDF" w:rsidRPr="00FD211F">
        <w:rPr>
          <w:sz w:val="36"/>
          <w:szCs w:val="36"/>
          <w:rtl/>
        </w:rPr>
        <w:t xml:space="preserve">ة </w:t>
      </w:r>
      <w:r w:rsidRPr="00FD211F">
        <w:rPr>
          <w:sz w:val="36"/>
          <w:szCs w:val="36"/>
          <w:rtl/>
        </w:rPr>
        <w:t>أخرى ان ما ذكر في هذا الوجه من انه يبتني على كون الفرد المردد معقولا عرفا وان</w:t>
      </w:r>
      <w:r w:rsidR="008D7B3D" w:rsidRPr="00FD211F">
        <w:rPr>
          <w:sz w:val="36"/>
          <w:szCs w:val="36"/>
          <w:rtl/>
        </w:rPr>
        <w:t xml:space="preserve"> لم‌</w:t>
      </w:r>
      <w:r w:rsidRPr="00FD211F">
        <w:rPr>
          <w:sz w:val="36"/>
          <w:szCs w:val="36"/>
          <w:rtl/>
        </w:rPr>
        <w:t>يكن معقولا عقلا ففيه ان الذي يكون بحاج</w:t>
      </w:r>
      <w:r w:rsidR="00EC7EDF" w:rsidRPr="00FD211F">
        <w:rPr>
          <w:sz w:val="36"/>
          <w:szCs w:val="36"/>
          <w:rtl/>
        </w:rPr>
        <w:t xml:space="preserve">ة </w:t>
      </w:r>
      <w:r w:rsidRPr="00FD211F">
        <w:rPr>
          <w:sz w:val="36"/>
          <w:szCs w:val="36"/>
          <w:rtl/>
        </w:rPr>
        <w:t>الى المعقولي</w:t>
      </w:r>
      <w:r w:rsidR="00EC7EDF" w:rsidRPr="00FD211F">
        <w:rPr>
          <w:sz w:val="36"/>
          <w:szCs w:val="36"/>
          <w:rtl/>
        </w:rPr>
        <w:t xml:space="preserve">ة </w:t>
      </w:r>
      <w:r w:rsidRPr="00FD211F">
        <w:rPr>
          <w:sz w:val="36"/>
          <w:szCs w:val="36"/>
          <w:rtl/>
        </w:rPr>
        <w:t>العرفي</w:t>
      </w:r>
      <w:r w:rsidR="00EC7EDF" w:rsidRPr="00FD211F">
        <w:rPr>
          <w:sz w:val="36"/>
          <w:szCs w:val="36"/>
          <w:rtl/>
        </w:rPr>
        <w:t xml:space="preserve">ة </w:t>
      </w:r>
      <w:r w:rsidRPr="00FD211F">
        <w:rPr>
          <w:sz w:val="36"/>
          <w:szCs w:val="36"/>
          <w:rtl/>
        </w:rPr>
        <w:t>هو ما ليس له واقع معين ابدا كما لو علم اجمالا بنجاس</w:t>
      </w:r>
      <w:r w:rsidR="00EC7EDF" w:rsidRPr="00FD211F">
        <w:rPr>
          <w:sz w:val="36"/>
          <w:szCs w:val="36"/>
          <w:rtl/>
        </w:rPr>
        <w:t xml:space="preserve">ة </w:t>
      </w:r>
      <w:r w:rsidRPr="00FD211F">
        <w:rPr>
          <w:sz w:val="36"/>
          <w:szCs w:val="36"/>
          <w:rtl/>
        </w:rPr>
        <w:t>احد ترابين واحتمل نجاس</w:t>
      </w:r>
      <w:r w:rsidR="00EC7EDF" w:rsidRPr="00FD211F">
        <w:rPr>
          <w:sz w:val="36"/>
          <w:szCs w:val="36"/>
          <w:rtl/>
        </w:rPr>
        <w:t xml:space="preserve">ة </w:t>
      </w:r>
      <w:r w:rsidRPr="00FD211F">
        <w:rPr>
          <w:sz w:val="36"/>
          <w:szCs w:val="36"/>
          <w:rtl/>
        </w:rPr>
        <w:t>التراب الآخر بحيث لو كانا نجسين واقعا</w:t>
      </w:r>
      <w:r w:rsidR="008D7B3D" w:rsidRPr="00FD211F">
        <w:rPr>
          <w:sz w:val="36"/>
          <w:szCs w:val="36"/>
          <w:rtl/>
        </w:rPr>
        <w:t xml:space="preserve"> لم‌</w:t>
      </w:r>
      <w:r w:rsidRPr="00FD211F">
        <w:rPr>
          <w:sz w:val="36"/>
          <w:szCs w:val="36"/>
          <w:rtl/>
        </w:rPr>
        <w:t>يتعين انطباق المعلوم بالإجمال على احدهما المعين دون الآخر كما لو سقطت قطر</w:t>
      </w:r>
      <w:r w:rsidR="00EC7EDF" w:rsidRPr="00FD211F">
        <w:rPr>
          <w:sz w:val="36"/>
          <w:szCs w:val="36"/>
          <w:rtl/>
        </w:rPr>
        <w:t xml:space="preserve">ة </w:t>
      </w:r>
      <w:r w:rsidRPr="00FD211F">
        <w:rPr>
          <w:sz w:val="36"/>
          <w:szCs w:val="36"/>
          <w:rtl/>
        </w:rPr>
        <w:t>بول من السقف واحتملنا ان هذه القطر</w:t>
      </w:r>
      <w:r w:rsidR="00EC7EDF" w:rsidRPr="00FD211F">
        <w:rPr>
          <w:sz w:val="36"/>
          <w:szCs w:val="36"/>
          <w:rtl/>
        </w:rPr>
        <w:t xml:space="preserve">ة </w:t>
      </w:r>
      <w:r w:rsidRPr="00FD211F">
        <w:rPr>
          <w:sz w:val="36"/>
          <w:szCs w:val="36"/>
          <w:rtl/>
        </w:rPr>
        <w:t>حين وقوعها على الأرض انقسمت الى جزئين ووقع كل جزء على احد الترابين</w:t>
      </w:r>
      <w:r w:rsidR="00603323" w:rsidRPr="00FD211F">
        <w:rPr>
          <w:sz w:val="36"/>
          <w:szCs w:val="36"/>
          <w:rtl/>
        </w:rPr>
        <w:t xml:space="preserve">، </w:t>
      </w:r>
      <w:r w:rsidRPr="00FD211F">
        <w:rPr>
          <w:sz w:val="36"/>
          <w:szCs w:val="36"/>
          <w:rtl/>
        </w:rPr>
        <w:t>فإجراء اصال</w:t>
      </w:r>
      <w:r w:rsidR="00EC7EDF" w:rsidRPr="00FD211F">
        <w:rPr>
          <w:sz w:val="36"/>
          <w:szCs w:val="36"/>
          <w:rtl/>
        </w:rPr>
        <w:t xml:space="preserve">ة </w:t>
      </w:r>
      <w:r w:rsidRPr="00FD211F">
        <w:rPr>
          <w:sz w:val="36"/>
          <w:szCs w:val="36"/>
          <w:rtl/>
        </w:rPr>
        <w:t>الطهار</w:t>
      </w:r>
      <w:r w:rsidR="00EC7EDF" w:rsidRPr="00FD211F">
        <w:rPr>
          <w:sz w:val="36"/>
          <w:szCs w:val="36"/>
          <w:rtl/>
        </w:rPr>
        <w:t xml:space="preserve">ة </w:t>
      </w:r>
      <w:r w:rsidRPr="00FD211F">
        <w:rPr>
          <w:sz w:val="36"/>
          <w:szCs w:val="36"/>
          <w:rtl/>
        </w:rPr>
        <w:t>في التراب الآخر غير ما علم اجمالا نجاسته يبتني عل</w:t>
      </w:r>
      <w:r w:rsidR="007536B1" w:rsidRPr="00FD211F">
        <w:rPr>
          <w:sz w:val="36"/>
          <w:szCs w:val="36"/>
          <w:rtl/>
        </w:rPr>
        <w:t>ى معقولي</w:t>
      </w:r>
      <w:r w:rsidR="00EC7EDF" w:rsidRPr="00FD211F">
        <w:rPr>
          <w:sz w:val="36"/>
          <w:szCs w:val="36"/>
          <w:rtl/>
        </w:rPr>
        <w:t xml:space="preserve">ة </w:t>
      </w:r>
      <w:r w:rsidR="007536B1" w:rsidRPr="00FD211F">
        <w:rPr>
          <w:sz w:val="36"/>
          <w:szCs w:val="36"/>
          <w:rtl/>
        </w:rPr>
        <w:t>الفرد المردد عرفا</w:t>
      </w:r>
      <w:r w:rsidR="00603323" w:rsidRPr="00FD211F">
        <w:rPr>
          <w:sz w:val="36"/>
          <w:szCs w:val="36"/>
          <w:rtl/>
        </w:rPr>
        <w:t xml:space="preserve">، </w:t>
      </w:r>
      <w:r w:rsidR="007536B1" w:rsidRPr="00FD211F">
        <w:rPr>
          <w:sz w:val="36"/>
          <w:szCs w:val="36"/>
          <w:rtl/>
        </w:rPr>
        <w:t>حيث</w:t>
      </w:r>
      <w:r w:rsidRPr="00FD211F">
        <w:rPr>
          <w:sz w:val="36"/>
          <w:szCs w:val="36"/>
          <w:rtl/>
        </w:rPr>
        <w:t xml:space="preserve"> لايكون للتراب الآخر واقع معين فيكون من الفرد المردد الذي لايكون معقولا عقلا</w:t>
      </w:r>
      <w:r w:rsidR="00603323" w:rsidRPr="00FD211F">
        <w:rPr>
          <w:sz w:val="36"/>
          <w:szCs w:val="36"/>
          <w:rtl/>
        </w:rPr>
        <w:t xml:space="preserve">، </w:t>
      </w:r>
      <w:r w:rsidRPr="00FD211F">
        <w:rPr>
          <w:sz w:val="36"/>
          <w:szCs w:val="36"/>
          <w:rtl/>
        </w:rPr>
        <w:t>حيث ان الوجود يساوق التشخص والتعين</w:t>
      </w:r>
      <w:r w:rsidR="00603323" w:rsidRPr="00FD211F">
        <w:rPr>
          <w:sz w:val="36"/>
          <w:szCs w:val="36"/>
          <w:rtl/>
        </w:rPr>
        <w:t xml:space="preserve">، </w:t>
      </w:r>
      <w:r w:rsidRPr="00FD211F">
        <w:rPr>
          <w:sz w:val="36"/>
          <w:szCs w:val="36"/>
          <w:rtl/>
        </w:rPr>
        <w:t>ولايوجد في الواقع فرد مردد</w:t>
      </w:r>
      <w:r w:rsidR="00603323" w:rsidRPr="00FD211F">
        <w:rPr>
          <w:sz w:val="36"/>
          <w:szCs w:val="36"/>
          <w:rtl/>
        </w:rPr>
        <w:t xml:space="preserve">، </w:t>
      </w:r>
      <w:r w:rsidRPr="00FD211F">
        <w:rPr>
          <w:sz w:val="36"/>
          <w:szCs w:val="36"/>
          <w:rtl/>
        </w:rPr>
        <w:t>فان الفرد المردد لاهوي</w:t>
      </w:r>
      <w:r w:rsidR="00EC7EDF" w:rsidRPr="00FD211F">
        <w:rPr>
          <w:sz w:val="36"/>
          <w:szCs w:val="36"/>
          <w:rtl/>
        </w:rPr>
        <w:t xml:space="preserve">ة </w:t>
      </w:r>
      <w:r w:rsidRPr="00FD211F">
        <w:rPr>
          <w:sz w:val="36"/>
          <w:szCs w:val="36"/>
          <w:rtl/>
        </w:rPr>
        <w:t>له ولاماهي</w:t>
      </w:r>
      <w:r w:rsidR="00EC7EDF" w:rsidRPr="00FD211F">
        <w:rPr>
          <w:sz w:val="36"/>
          <w:szCs w:val="36"/>
          <w:rtl/>
        </w:rPr>
        <w:t>ة</w:t>
      </w:r>
      <w:r w:rsidR="00603323" w:rsidRPr="00FD211F">
        <w:rPr>
          <w:sz w:val="36"/>
          <w:szCs w:val="36"/>
          <w:rtl/>
        </w:rPr>
        <w:t xml:space="preserve">، </w:t>
      </w:r>
      <w:r w:rsidRPr="00FD211F">
        <w:rPr>
          <w:sz w:val="36"/>
          <w:szCs w:val="36"/>
          <w:rtl/>
        </w:rPr>
        <w:t xml:space="preserve">ولكنه يكفي معقوليته عرفا </w:t>
      </w:r>
      <w:r w:rsidR="00136C1D" w:rsidRPr="00FD211F">
        <w:rPr>
          <w:sz w:val="36"/>
          <w:szCs w:val="36"/>
          <w:rtl/>
        </w:rPr>
        <w:t xml:space="preserve">حيث </w:t>
      </w:r>
      <w:r w:rsidR="004B4518" w:rsidRPr="00FD211F">
        <w:rPr>
          <w:sz w:val="36"/>
          <w:szCs w:val="36"/>
          <w:rtl/>
        </w:rPr>
        <w:t xml:space="preserve">ان </w:t>
      </w:r>
      <w:r w:rsidR="00136C1D" w:rsidRPr="00FD211F">
        <w:rPr>
          <w:sz w:val="36"/>
          <w:szCs w:val="36"/>
          <w:rtl/>
        </w:rPr>
        <w:t>العرف يرى وجود الفرد المردد في الخارج</w:t>
      </w:r>
      <w:r w:rsidR="00603323" w:rsidRPr="00FD211F">
        <w:rPr>
          <w:sz w:val="36"/>
          <w:szCs w:val="36"/>
          <w:rtl/>
        </w:rPr>
        <w:t xml:space="preserve">، </w:t>
      </w:r>
      <w:r w:rsidR="00136C1D" w:rsidRPr="00FD211F">
        <w:rPr>
          <w:sz w:val="36"/>
          <w:szCs w:val="36"/>
          <w:rtl/>
        </w:rPr>
        <w:t>ولذ</w:t>
      </w:r>
      <w:r w:rsidR="004B4518" w:rsidRPr="00FD211F">
        <w:rPr>
          <w:sz w:val="36"/>
          <w:szCs w:val="36"/>
          <w:rtl/>
        </w:rPr>
        <w:t>ا يقول أعلم بنجاس</w:t>
      </w:r>
      <w:r w:rsidR="00EC7EDF" w:rsidRPr="00FD211F">
        <w:rPr>
          <w:sz w:val="36"/>
          <w:szCs w:val="36"/>
          <w:rtl/>
        </w:rPr>
        <w:t xml:space="preserve">ة </w:t>
      </w:r>
      <w:r w:rsidR="004B4518" w:rsidRPr="00FD211F">
        <w:rPr>
          <w:sz w:val="36"/>
          <w:szCs w:val="36"/>
          <w:rtl/>
        </w:rPr>
        <w:t>احد الترابين</w:t>
      </w:r>
      <w:r w:rsidR="00B253CE" w:rsidRPr="00FD211F">
        <w:rPr>
          <w:sz w:val="36"/>
          <w:szCs w:val="36"/>
          <w:rtl/>
        </w:rPr>
        <w:t xml:space="preserve"> </w:t>
      </w:r>
      <w:r w:rsidR="00136C1D" w:rsidRPr="00FD211F">
        <w:rPr>
          <w:sz w:val="36"/>
          <w:szCs w:val="36"/>
          <w:rtl/>
        </w:rPr>
        <w:t xml:space="preserve">وأشكّ في </w:t>
      </w:r>
      <w:r w:rsidR="004B4518" w:rsidRPr="00FD211F">
        <w:rPr>
          <w:sz w:val="36"/>
          <w:szCs w:val="36"/>
          <w:rtl/>
        </w:rPr>
        <w:t>نجاس</w:t>
      </w:r>
      <w:r w:rsidR="00EC7EDF" w:rsidRPr="00FD211F">
        <w:rPr>
          <w:sz w:val="36"/>
          <w:szCs w:val="36"/>
          <w:rtl/>
        </w:rPr>
        <w:t xml:space="preserve">ة </w:t>
      </w:r>
      <w:r w:rsidR="004B4518" w:rsidRPr="00FD211F">
        <w:rPr>
          <w:sz w:val="36"/>
          <w:szCs w:val="36"/>
          <w:rtl/>
        </w:rPr>
        <w:t>الآخر</w:t>
      </w:r>
      <w:r w:rsidR="00603323" w:rsidRPr="00FD211F">
        <w:rPr>
          <w:sz w:val="36"/>
          <w:szCs w:val="36"/>
          <w:rtl/>
        </w:rPr>
        <w:t xml:space="preserve">، </w:t>
      </w:r>
      <w:r w:rsidR="00136C1D" w:rsidRPr="00FD211F">
        <w:rPr>
          <w:sz w:val="36"/>
          <w:szCs w:val="36"/>
          <w:rtl/>
        </w:rPr>
        <w:t xml:space="preserve">فكما يدعي </w:t>
      </w:r>
      <w:r w:rsidR="004B4518" w:rsidRPr="00FD211F">
        <w:rPr>
          <w:sz w:val="36"/>
          <w:szCs w:val="36"/>
          <w:rtl/>
        </w:rPr>
        <w:t xml:space="preserve">العرف </w:t>
      </w:r>
      <w:r w:rsidR="00136C1D" w:rsidRPr="00FD211F">
        <w:rPr>
          <w:sz w:val="36"/>
          <w:szCs w:val="36"/>
          <w:rtl/>
        </w:rPr>
        <w:t xml:space="preserve">الشك في </w:t>
      </w:r>
      <w:r w:rsidR="004B4518" w:rsidRPr="00FD211F">
        <w:rPr>
          <w:sz w:val="36"/>
          <w:szCs w:val="36"/>
          <w:rtl/>
        </w:rPr>
        <w:t>نجاس</w:t>
      </w:r>
      <w:r w:rsidR="00EC7EDF" w:rsidRPr="00FD211F">
        <w:rPr>
          <w:sz w:val="36"/>
          <w:szCs w:val="36"/>
          <w:rtl/>
        </w:rPr>
        <w:t xml:space="preserve">ة </w:t>
      </w:r>
      <w:r w:rsidR="004B4518" w:rsidRPr="00FD211F">
        <w:rPr>
          <w:sz w:val="36"/>
          <w:szCs w:val="36"/>
          <w:rtl/>
        </w:rPr>
        <w:t>الآخرمع انه لاتعين له واقعا فكذلك يراه</w:t>
      </w:r>
      <w:r w:rsidR="00136C1D" w:rsidRPr="00FD211F">
        <w:rPr>
          <w:sz w:val="36"/>
          <w:szCs w:val="36"/>
          <w:rtl/>
        </w:rPr>
        <w:t xml:space="preserve"> موضوعا ل</w:t>
      </w:r>
      <w:r w:rsidR="004B4518" w:rsidRPr="00FD211F">
        <w:rPr>
          <w:sz w:val="36"/>
          <w:szCs w:val="36"/>
          <w:rtl/>
        </w:rPr>
        <w:t>اصال</w:t>
      </w:r>
      <w:r w:rsidR="00EC7EDF" w:rsidRPr="00FD211F">
        <w:rPr>
          <w:sz w:val="36"/>
          <w:szCs w:val="36"/>
          <w:rtl/>
        </w:rPr>
        <w:t xml:space="preserve">ة </w:t>
      </w:r>
      <w:r w:rsidR="004B4518" w:rsidRPr="00FD211F">
        <w:rPr>
          <w:sz w:val="36"/>
          <w:szCs w:val="36"/>
          <w:rtl/>
        </w:rPr>
        <w:t>الطهار</w:t>
      </w:r>
      <w:r w:rsidR="00EC7EDF" w:rsidRPr="00FD211F">
        <w:rPr>
          <w:sz w:val="36"/>
          <w:szCs w:val="36"/>
          <w:rtl/>
        </w:rPr>
        <w:t>ة</w:t>
      </w:r>
      <w:r w:rsidR="00603323" w:rsidRPr="00FD211F">
        <w:rPr>
          <w:sz w:val="36"/>
          <w:szCs w:val="36"/>
          <w:rtl/>
        </w:rPr>
        <w:t xml:space="preserve">، </w:t>
      </w:r>
      <w:r w:rsidR="00136C1D" w:rsidRPr="00FD211F">
        <w:rPr>
          <w:sz w:val="36"/>
          <w:szCs w:val="36"/>
          <w:rtl/>
        </w:rPr>
        <w:t>فليس عندنا محذورٌ اثباتي</w:t>
      </w:r>
      <w:r w:rsidR="00FF13B3" w:rsidRPr="00FD211F">
        <w:rPr>
          <w:sz w:val="36"/>
          <w:szCs w:val="36"/>
          <w:rtl/>
        </w:rPr>
        <w:t>.</w:t>
      </w:r>
    </w:p>
    <w:p w14:paraId="0FDE2D0C" w14:textId="77777777" w:rsidR="00136C1D" w:rsidRPr="00FD211F" w:rsidRDefault="00136C1D" w:rsidP="009C58C8">
      <w:pPr>
        <w:ind w:left="0" w:firstLine="227"/>
        <w:jc w:val="both"/>
        <w:rPr>
          <w:sz w:val="36"/>
          <w:szCs w:val="36"/>
          <w:rtl/>
        </w:rPr>
      </w:pPr>
      <w:r w:rsidRPr="00FD211F">
        <w:rPr>
          <w:sz w:val="36"/>
          <w:szCs w:val="36"/>
          <w:rtl/>
        </w:rPr>
        <w:t>واما المحذور الثبوتي وهو عدم وجود الفرد المردد عقلا</w:t>
      </w:r>
      <w:r w:rsidR="00603323" w:rsidRPr="00FD211F">
        <w:rPr>
          <w:sz w:val="36"/>
          <w:szCs w:val="36"/>
          <w:rtl/>
        </w:rPr>
        <w:t xml:space="preserve">، </w:t>
      </w:r>
      <w:r w:rsidRPr="00FD211F">
        <w:rPr>
          <w:sz w:val="36"/>
          <w:szCs w:val="36"/>
          <w:rtl/>
        </w:rPr>
        <w:t>فانما يتم لو كان الموضوع بالذات ل</w:t>
      </w:r>
      <w:r w:rsidR="004B4518" w:rsidRPr="00FD211F">
        <w:rPr>
          <w:sz w:val="36"/>
          <w:szCs w:val="36"/>
          <w:rtl/>
        </w:rPr>
        <w:t>اصال</w:t>
      </w:r>
      <w:r w:rsidR="00EC7EDF" w:rsidRPr="00FD211F">
        <w:rPr>
          <w:sz w:val="36"/>
          <w:szCs w:val="36"/>
          <w:rtl/>
        </w:rPr>
        <w:t xml:space="preserve">ة </w:t>
      </w:r>
      <w:r w:rsidR="004B4518" w:rsidRPr="00FD211F">
        <w:rPr>
          <w:sz w:val="36"/>
          <w:szCs w:val="36"/>
          <w:rtl/>
        </w:rPr>
        <w:t>الطهار</w:t>
      </w:r>
      <w:r w:rsidR="00EC7EDF" w:rsidRPr="00FD211F">
        <w:rPr>
          <w:sz w:val="36"/>
          <w:szCs w:val="36"/>
          <w:rtl/>
        </w:rPr>
        <w:t xml:space="preserve">ة </w:t>
      </w:r>
      <w:r w:rsidRPr="00FD211F">
        <w:rPr>
          <w:sz w:val="36"/>
          <w:szCs w:val="36"/>
          <w:rtl/>
        </w:rPr>
        <w:t>هو الخارج</w:t>
      </w:r>
      <w:r w:rsidR="00603323" w:rsidRPr="00FD211F">
        <w:rPr>
          <w:sz w:val="36"/>
          <w:szCs w:val="36"/>
          <w:rtl/>
        </w:rPr>
        <w:t xml:space="preserve">، </w:t>
      </w:r>
      <w:r w:rsidRPr="00FD211F">
        <w:rPr>
          <w:sz w:val="36"/>
          <w:szCs w:val="36"/>
          <w:rtl/>
        </w:rPr>
        <w:t>مع انه ليس كذلك بل الموضوع بالذات لها هو العنوان الذهني وان لوحظ فانيا في الخارج بالنظر التصوري العرفي كما في سائ</w:t>
      </w:r>
      <w:r w:rsidR="004B4518" w:rsidRPr="00FD211F">
        <w:rPr>
          <w:sz w:val="36"/>
          <w:szCs w:val="36"/>
          <w:rtl/>
        </w:rPr>
        <w:t>ر موضوعات الأحكام</w:t>
      </w:r>
      <w:r w:rsidR="00603323" w:rsidRPr="00FD211F">
        <w:rPr>
          <w:sz w:val="36"/>
          <w:szCs w:val="36"/>
          <w:rtl/>
        </w:rPr>
        <w:t xml:space="preserve">، </w:t>
      </w:r>
      <w:r w:rsidR="004B4518" w:rsidRPr="00FD211F">
        <w:rPr>
          <w:sz w:val="36"/>
          <w:szCs w:val="36"/>
          <w:rtl/>
        </w:rPr>
        <w:t>وعنوان التراب الآخر</w:t>
      </w:r>
      <w:r w:rsidRPr="00FD211F">
        <w:rPr>
          <w:sz w:val="36"/>
          <w:szCs w:val="36"/>
          <w:rtl/>
        </w:rPr>
        <w:t xml:space="preserve"> وان كان بالحمل الاولي فردا مرددا لكنه بالحمل الشايع موج</w:t>
      </w:r>
      <w:r w:rsidR="004B4518" w:rsidRPr="00FD211F">
        <w:rPr>
          <w:sz w:val="36"/>
          <w:szCs w:val="36"/>
          <w:rtl/>
        </w:rPr>
        <w:t>ود ذهني متعين</w:t>
      </w:r>
      <w:r w:rsidR="00603323" w:rsidRPr="00FD211F">
        <w:rPr>
          <w:sz w:val="36"/>
          <w:szCs w:val="36"/>
          <w:rtl/>
        </w:rPr>
        <w:t xml:space="preserve">، </w:t>
      </w:r>
      <w:r w:rsidR="004B4518" w:rsidRPr="00FD211F">
        <w:rPr>
          <w:sz w:val="36"/>
          <w:szCs w:val="36"/>
          <w:rtl/>
        </w:rPr>
        <w:t>واثر جريان الاصل</w:t>
      </w:r>
      <w:r w:rsidRPr="00FD211F">
        <w:rPr>
          <w:sz w:val="36"/>
          <w:szCs w:val="36"/>
          <w:rtl/>
        </w:rPr>
        <w:t xml:space="preserve"> أيضا متعين</w:t>
      </w:r>
      <w:r w:rsidR="00603323" w:rsidRPr="00FD211F">
        <w:rPr>
          <w:sz w:val="36"/>
          <w:szCs w:val="36"/>
          <w:rtl/>
        </w:rPr>
        <w:t xml:space="preserve">، </w:t>
      </w:r>
      <w:r w:rsidRPr="00FD211F">
        <w:rPr>
          <w:sz w:val="36"/>
          <w:szCs w:val="36"/>
          <w:rtl/>
        </w:rPr>
        <w:t>وهو جواز الاكتفاء ب</w:t>
      </w:r>
      <w:r w:rsidR="004B4518" w:rsidRPr="00FD211F">
        <w:rPr>
          <w:sz w:val="36"/>
          <w:szCs w:val="36"/>
          <w:rtl/>
        </w:rPr>
        <w:t>تكرار</w:t>
      </w:r>
      <w:r w:rsidRPr="00FD211F">
        <w:rPr>
          <w:sz w:val="36"/>
          <w:szCs w:val="36"/>
          <w:rtl/>
        </w:rPr>
        <w:t>ا</w:t>
      </w:r>
      <w:r w:rsidR="004B4518" w:rsidRPr="00FD211F">
        <w:rPr>
          <w:sz w:val="36"/>
          <w:szCs w:val="36"/>
          <w:rtl/>
        </w:rPr>
        <w:t>لتيمم بهما</w:t>
      </w:r>
      <w:r w:rsidRPr="00FD211F">
        <w:rPr>
          <w:sz w:val="36"/>
          <w:szCs w:val="36"/>
          <w:rtl/>
        </w:rPr>
        <w:t xml:space="preserve">. </w:t>
      </w:r>
    </w:p>
    <w:p w14:paraId="5972EFB0" w14:textId="77777777" w:rsidR="00136C1D" w:rsidRPr="00FD211F" w:rsidRDefault="00136C1D" w:rsidP="009C58C8">
      <w:pPr>
        <w:ind w:left="0" w:firstLine="227"/>
        <w:jc w:val="both"/>
        <w:rPr>
          <w:sz w:val="36"/>
          <w:szCs w:val="36"/>
          <w:rtl/>
        </w:rPr>
      </w:pPr>
      <w:r w:rsidRPr="00FD211F">
        <w:rPr>
          <w:sz w:val="36"/>
          <w:szCs w:val="36"/>
          <w:rtl/>
        </w:rPr>
        <w:t>ونظير المقام بيع الكلي في المعين</w:t>
      </w:r>
      <w:r w:rsidR="00603323" w:rsidRPr="00FD211F">
        <w:rPr>
          <w:sz w:val="36"/>
          <w:szCs w:val="36"/>
          <w:rtl/>
        </w:rPr>
        <w:t xml:space="preserve">، </w:t>
      </w:r>
      <w:r w:rsidRPr="00FD211F">
        <w:rPr>
          <w:sz w:val="36"/>
          <w:szCs w:val="36"/>
          <w:rtl/>
        </w:rPr>
        <w:t>حيث أن المبيع يعتبر بنظر العرف موجودا في الخارج ولكن ليس فردا معينا من الافراد الموجود</w:t>
      </w:r>
      <w:r w:rsidR="00EC7EDF" w:rsidRPr="00FD211F">
        <w:rPr>
          <w:sz w:val="36"/>
          <w:szCs w:val="36"/>
          <w:rtl/>
        </w:rPr>
        <w:t xml:space="preserve">ة </w:t>
      </w:r>
      <w:r w:rsidRPr="00FD211F">
        <w:rPr>
          <w:sz w:val="36"/>
          <w:szCs w:val="36"/>
          <w:rtl/>
        </w:rPr>
        <w:t>في الخارج</w:t>
      </w:r>
      <w:r w:rsidR="004B4518" w:rsidRPr="00FD211F">
        <w:rPr>
          <w:sz w:val="36"/>
          <w:szCs w:val="36"/>
          <w:rtl/>
        </w:rPr>
        <w:t>وقد</w:t>
      </w:r>
      <w:r w:rsidR="00A759DE" w:rsidRPr="00FD211F">
        <w:rPr>
          <w:sz w:val="36"/>
          <w:szCs w:val="36"/>
          <w:rtl/>
        </w:rPr>
        <w:t>فصلنا الكلام حول ذلك في بحث التعارض</w:t>
      </w:r>
      <w:r w:rsidRPr="00FD211F">
        <w:rPr>
          <w:sz w:val="36"/>
          <w:szCs w:val="36"/>
          <w:rtl/>
        </w:rPr>
        <w:t>.</w:t>
      </w:r>
    </w:p>
    <w:p w14:paraId="296213F9" w14:textId="77777777" w:rsidR="00052BF2" w:rsidRPr="00FD211F" w:rsidRDefault="00052BF2" w:rsidP="009C58C8">
      <w:pPr>
        <w:ind w:left="0" w:firstLine="227"/>
        <w:jc w:val="both"/>
        <w:rPr>
          <w:sz w:val="36"/>
          <w:szCs w:val="36"/>
          <w:rtl/>
        </w:rPr>
      </w:pPr>
      <w:r w:rsidRPr="00FD211F">
        <w:rPr>
          <w:sz w:val="36"/>
          <w:szCs w:val="36"/>
          <w:rtl/>
        </w:rPr>
        <w:t>وأين هذا من المقام مما يدل اللفظ على استعماله في معنى معين واقعا.</w:t>
      </w:r>
    </w:p>
    <w:p w14:paraId="32A4F38D" w14:textId="77777777" w:rsidR="00052BF2" w:rsidRPr="00FD211F" w:rsidRDefault="00052BF2" w:rsidP="009C58C8">
      <w:pPr>
        <w:ind w:left="0" w:firstLine="227"/>
        <w:jc w:val="both"/>
        <w:rPr>
          <w:sz w:val="36"/>
          <w:szCs w:val="36"/>
          <w:rtl/>
        </w:rPr>
      </w:pPr>
      <w:r w:rsidRPr="00FD211F">
        <w:rPr>
          <w:sz w:val="36"/>
          <w:szCs w:val="36"/>
          <w:rtl/>
        </w:rPr>
        <w:t xml:space="preserve">هذا كله مضافا الى ما ذكره </w:t>
      </w:r>
      <w:r w:rsidR="004B4518" w:rsidRPr="00FD211F">
        <w:rPr>
          <w:sz w:val="36"/>
          <w:szCs w:val="36"/>
          <w:rtl/>
        </w:rPr>
        <w:t xml:space="preserve">في البحوث </w:t>
      </w:r>
      <w:r w:rsidRPr="00FD211F">
        <w:rPr>
          <w:sz w:val="36"/>
          <w:szCs w:val="36"/>
          <w:rtl/>
        </w:rPr>
        <w:t>في الإيراد على هذا الوجه بانه بناء على ما هو الصحيح من كون الوضع هو القرن الاكيد بين اللفظ والمعنى فتكون الدلال</w:t>
      </w:r>
      <w:r w:rsidR="00EC7EDF" w:rsidRPr="00FD211F">
        <w:rPr>
          <w:sz w:val="36"/>
          <w:szCs w:val="36"/>
          <w:rtl/>
        </w:rPr>
        <w:t xml:space="preserve">ة </w:t>
      </w:r>
      <w:r w:rsidRPr="00FD211F">
        <w:rPr>
          <w:sz w:val="36"/>
          <w:szCs w:val="36"/>
          <w:rtl/>
        </w:rPr>
        <w:t>الوضعي</w:t>
      </w:r>
      <w:r w:rsidR="00EC7EDF" w:rsidRPr="00FD211F">
        <w:rPr>
          <w:sz w:val="36"/>
          <w:szCs w:val="36"/>
          <w:rtl/>
        </w:rPr>
        <w:t xml:space="preserve">ة </w:t>
      </w:r>
      <w:r w:rsidRPr="00FD211F">
        <w:rPr>
          <w:sz w:val="36"/>
          <w:szCs w:val="36"/>
          <w:rtl/>
        </w:rPr>
        <w:t>دلال</w:t>
      </w:r>
      <w:r w:rsidR="00EC7EDF" w:rsidRPr="00FD211F">
        <w:rPr>
          <w:sz w:val="36"/>
          <w:szCs w:val="36"/>
          <w:rtl/>
        </w:rPr>
        <w:t xml:space="preserve">ة </w:t>
      </w:r>
      <w:r w:rsidRPr="00FD211F">
        <w:rPr>
          <w:sz w:val="36"/>
          <w:szCs w:val="36"/>
          <w:rtl/>
        </w:rPr>
        <w:t>تصوري</w:t>
      </w:r>
      <w:r w:rsidR="00EC7EDF" w:rsidRPr="00FD211F">
        <w:rPr>
          <w:sz w:val="36"/>
          <w:szCs w:val="36"/>
          <w:rtl/>
        </w:rPr>
        <w:t xml:space="preserve">ة </w:t>
      </w:r>
      <w:r w:rsidRPr="00FD211F">
        <w:rPr>
          <w:sz w:val="36"/>
          <w:szCs w:val="36"/>
          <w:rtl/>
        </w:rPr>
        <w:t>ولايجوز تفسير وضع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بما يربطه بمرحل</w:t>
      </w:r>
      <w:r w:rsidR="00EC7EDF" w:rsidRPr="00FD211F">
        <w:rPr>
          <w:sz w:val="36"/>
          <w:szCs w:val="36"/>
          <w:rtl/>
        </w:rPr>
        <w:t xml:space="preserve">ة </w:t>
      </w:r>
      <w:r w:rsidRPr="00FD211F">
        <w:rPr>
          <w:sz w:val="36"/>
          <w:szCs w:val="36"/>
          <w:rtl/>
        </w:rPr>
        <w:t>الدلال</w:t>
      </w:r>
      <w:r w:rsidR="00EC7EDF" w:rsidRPr="00FD211F">
        <w:rPr>
          <w:sz w:val="36"/>
          <w:szCs w:val="36"/>
          <w:rtl/>
        </w:rPr>
        <w:t xml:space="preserve">ة </w:t>
      </w:r>
      <w:r w:rsidRPr="00FD211F">
        <w:rPr>
          <w:sz w:val="36"/>
          <w:szCs w:val="36"/>
          <w:rtl/>
        </w:rPr>
        <w:t>التصديقي</w:t>
      </w:r>
      <w:r w:rsidR="00EC7EDF" w:rsidRPr="00FD211F">
        <w:rPr>
          <w:sz w:val="36"/>
          <w:szCs w:val="36"/>
          <w:rtl/>
        </w:rPr>
        <w:t xml:space="preserve">ة </w:t>
      </w:r>
      <w:r w:rsidRPr="00FD211F">
        <w:rPr>
          <w:sz w:val="36"/>
          <w:szCs w:val="36"/>
          <w:rtl/>
        </w:rPr>
        <w:t>وهي كون المتكلم في مقام تفهيم المعنى.</w:t>
      </w:r>
    </w:p>
    <w:p w14:paraId="7D20359F" w14:textId="77777777" w:rsidR="00052BF2" w:rsidRPr="00FD211F" w:rsidRDefault="00052BF2" w:rsidP="009C58C8">
      <w:pPr>
        <w:ind w:left="0" w:firstLine="227"/>
        <w:jc w:val="both"/>
        <w:rPr>
          <w:sz w:val="36"/>
          <w:szCs w:val="36"/>
          <w:rtl/>
        </w:rPr>
      </w:pPr>
      <w:r w:rsidRPr="00FD211F">
        <w:rPr>
          <w:sz w:val="36"/>
          <w:szCs w:val="36"/>
          <w:rtl/>
        </w:rPr>
        <w:t>وكيف كان فالمهم هو انكار وضع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لخصوص افاد</w:t>
      </w:r>
      <w:r w:rsidR="00EC7EDF" w:rsidRPr="00FD211F">
        <w:rPr>
          <w:sz w:val="36"/>
          <w:szCs w:val="36"/>
          <w:rtl/>
        </w:rPr>
        <w:t xml:space="preserve">ة </w:t>
      </w:r>
      <w:r w:rsidRPr="00FD211F">
        <w:rPr>
          <w:sz w:val="36"/>
          <w:szCs w:val="36"/>
          <w:rtl/>
        </w:rPr>
        <w:t>تعدد افراد معنى واحد</w:t>
      </w:r>
      <w:r w:rsidR="00603323" w:rsidRPr="00FD211F">
        <w:rPr>
          <w:sz w:val="36"/>
          <w:szCs w:val="36"/>
          <w:rtl/>
        </w:rPr>
        <w:t xml:space="preserve">، </w:t>
      </w:r>
      <w:r w:rsidRPr="00FD211F">
        <w:rPr>
          <w:sz w:val="36"/>
          <w:szCs w:val="36"/>
          <w:rtl/>
        </w:rPr>
        <w:t>فان الظاهر وضعها لإفاد</w:t>
      </w:r>
      <w:r w:rsidR="00EC7EDF" w:rsidRPr="00FD211F">
        <w:rPr>
          <w:sz w:val="36"/>
          <w:szCs w:val="36"/>
          <w:rtl/>
        </w:rPr>
        <w:t xml:space="preserve">ة </w:t>
      </w:r>
      <w:r w:rsidRPr="00FD211F">
        <w:rPr>
          <w:sz w:val="36"/>
          <w:szCs w:val="36"/>
          <w:rtl/>
        </w:rPr>
        <w:t>تكرر طبيعي المعنى إما بنحو تعدد أفراد معنى واحد او بنحو تعدد ذات المعنى</w:t>
      </w:r>
      <w:r w:rsidR="00603323" w:rsidRPr="00FD211F">
        <w:rPr>
          <w:sz w:val="36"/>
          <w:szCs w:val="36"/>
          <w:rtl/>
        </w:rPr>
        <w:t xml:space="preserve">، </w:t>
      </w:r>
      <w:r w:rsidRPr="00FD211F">
        <w:rPr>
          <w:sz w:val="36"/>
          <w:szCs w:val="36"/>
          <w:rtl/>
        </w:rPr>
        <w:t>كما في مثل تثني</w:t>
      </w:r>
      <w:r w:rsidR="00EC7EDF" w:rsidRPr="00FD211F">
        <w:rPr>
          <w:sz w:val="36"/>
          <w:szCs w:val="36"/>
          <w:rtl/>
        </w:rPr>
        <w:t xml:space="preserve">ة </w:t>
      </w:r>
      <w:r w:rsidRPr="00FD211F">
        <w:rPr>
          <w:sz w:val="36"/>
          <w:szCs w:val="36"/>
          <w:rtl/>
        </w:rPr>
        <w:t>العلم فانه اقوى شاهد على عدم اختصاص وضع التثني</w:t>
      </w:r>
      <w:r w:rsidR="00EC7EDF" w:rsidRPr="00FD211F">
        <w:rPr>
          <w:sz w:val="36"/>
          <w:szCs w:val="36"/>
          <w:rtl/>
        </w:rPr>
        <w:t xml:space="preserve">ة </w:t>
      </w:r>
      <w:r w:rsidRPr="00FD211F">
        <w:rPr>
          <w:sz w:val="36"/>
          <w:szCs w:val="36"/>
          <w:rtl/>
        </w:rPr>
        <w:t>لخصوص افاد</w:t>
      </w:r>
      <w:r w:rsidR="00EC7EDF" w:rsidRPr="00FD211F">
        <w:rPr>
          <w:sz w:val="36"/>
          <w:szCs w:val="36"/>
          <w:rtl/>
        </w:rPr>
        <w:t xml:space="preserve">ة </w:t>
      </w:r>
      <w:r w:rsidRPr="00FD211F">
        <w:rPr>
          <w:sz w:val="36"/>
          <w:szCs w:val="36"/>
          <w:rtl/>
        </w:rPr>
        <w:t>تعدد افراد معنى واحد.</w:t>
      </w:r>
    </w:p>
    <w:p w14:paraId="57B606F4" w14:textId="77777777" w:rsidR="00052BF2" w:rsidRPr="00FD211F" w:rsidRDefault="00052BF2" w:rsidP="009C58C8">
      <w:pPr>
        <w:ind w:left="0" w:firstLine="227"/>
        <w:jc w:val="both"/>
        <w:rPr>
          <w:sz w:val="36"/>
          <w:szCs w:val="36"/>
          <w:rtl/>
        </w:rPr>
      </w:pPr>
      <w:r w:rsidRPr="00FD211F">
        <w:rPr>
          <w:sz w:val="36"/>
          <w:szCs w:val="36"/>
          <w:rtl/>
        </w:rPr>
        <w:t>هذا وقد اختار المحقق الايرواني</w:t>
      </w:r>
      <w:r w:rsidR="00A61BAE" w:rsidRPr="00FD211F">
        <w:rPr>
          <w:sz w:val="36"/>
          <w:szCs w:val="36"/>
          <w:rtl/>
        </w:rPr>
        <w:t xml:space="preserve"> </w:t>
      </w:r>
      <w:r w:rsidR="00FF13B3" w:rsidRPr="00FD211F">
        <w:rPr>
          <w:sz w:val="36"/>
          <w:szCs w:val="36"/>
          <w:rtl/>
        </w:rPr>
        <w:t>"قده"</w:t>
      </w:r>
      <w:r w:rsidR="00A61BAE" w:rsidRPr="00FD211F">
        <w:rPr>
          <w:sz w:val="36"/>
          <w:szCs w:val="36"/>
          <w:rtl/>
        </w:rPr>
        <w:t xml:space="preserve"> </w:t>
      </w:r>
      <w:r w:rsidRPr="00FD211F">
        <w:rPr>
          <w:sz w:val="36"/>
          <w:szCs w:val="36"/>
          <w:rtl/>
        </w:rPr>
        <w:t>ان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قد وضعت لإفاد</w:t>
      </w:r>
      <w:r w:rsidR="00EC7EDF" w:rsidRPr="00FD211F">
        <w:rPr>
          <w:sz w:val="36"/>
          <w:szCs w:val="36"/>
          <w:rtl/>
        </w:rPr>
        <w:t xml:space="preserve">ة </w:t>
      </w:r>
      <w:r w:rsidRPr="00FD211F">
        <w:rPr>
          <w:sz w:val="36"/>
          <w:szCs w:val="36"/>
          <w:rtl/>
        </w:rPr>
        <w:t>تكرر لفظ الماد</w:t>
      </w:r>
      <w:r w:rsidR="00EC7EDF" w:rsidRPr="00FD211F">
        <w:rPr>
          <w:sz w:val="36"/>
          <w:szCs w:val="36"/>
          <w:rtl/>
        </w:rPr>
        <w:t xml:space="preserve">ة </w:t>
      </w:r>
      <w:r w:rsidRPr="00FD211F">
        <w:rPr>
          <w:sz w:val="36"/>
          <w:szCs w:val="36"/>
          <w:rtl/>
        </w:rPr>
        <w:t>لابما هو هو -فلايصح ان يقال</w:t>
      </w:r>
      <w:r w:rsidR="00A759DE" w:rsidRPr="00FD211F">
        <w:rPr>
          <w:sz w:val="36"/>
          <w:szCs w:val="36"/>
          <w:rtl/>
        </w:rPr>
        <w:t>"</w:t>
      </w:r>
      <w:r w:rsidRPr="00FD211F">
        <w:rPr>
          <w:sz w:val="36"/>
          <w:szCs w:val="36"/>
          <w:rtl/>
        </w:rPr>
        <w:t xml:space="preserve"> اكتب زيدين</w:t>
      </w:r>
      <w:r w:rsidR="00A759DE" w:rsidRPr="00FD211F">
        <w:rPr>
          <w:sz w:val="36"/>
          <w:szCs w:val="36"/>
          <w:rtl/>
        </w:rPr>
        <w:t>"</w:t>
      </w:r>
      <w:r w:rsidRPr="00FD211F">
        <w:rPr>
          <w:sz w:val="36"/>
          <w:szCs w:val="36"/>
          <w:rtl/>
        </w:rPr>
        <w:t xml:space="preserve"> ويراد منه الأمر بكتاب</w:t>
      </w:r>
      <w:r w:rsidR="00EC7EDF" w:rsidRPr="00FD211F">
        <w:rPr>
          <w:sz w:val="36"/>
          <w:szCs w:val="36"/>
          <w:rtl/>
        </w:rPr>
        <w:t xml:space="preserve">ة </w:t>
      </w:r>
      <w:r w:rsidRPr="00FD211F">
        <w:rPr>
          <w:sz w:val="36"/>
          <w:szCs w:val="36"/>
          <w:rtl/>
        </w:rPr>
        <w:t>زيد مرتين- بل بما له من المعنى</w:t>
      </w:r>
      <w:r w:rsidR="00603323" w:rsidRPr="00FD211F">
        <w:rPr>
          <w:sz w:val="36"/>
          <w:szCs w:val="36"/>
          <w:rtl/>
        </w:rPr>
        <w:t xml:space="preserve">، </w:t>
      </w:r>
      <w:r w:rsidRPr="00FD211F">
        <w:rPr>
          <w:sz w:val="36"/>
          <w:szCs w:val="36"/>
          <w:rtl/>
        </w:rPr>
        <w:t>فبدلا عن تكرار لفظ زيد يقال زيدان اي زيد وزيد</w:t>
      </w:r>
      <w:r w:rsidR="00603323" w:rsidRPr="00FD211F">
        <w:rPr>
          <w:sz w:val="36"/>
          <w:szCs w:val="36"/>
          <w:rtl/>
        </w:rPr>
        <w:t xml:space="preserve">، </w:t>
      </w:r>
      <w:r w:rsidRPr="00FD211F">
        <w:rPr>
          <w:sz w:val="36"/>
          <w:szCs w:val="36"/>
          <w:rtl/>
        </w:rPr>
        <w:t xml:space="preserve">فيمكن في مثل </w:t>
      </w:r>
      <w:r w:rsidR="00A759DE" w:rsidRPr="00FD211F">
        <w:rPr>
          <w:sz w:val="36"/>
          <w:szCs w:val="36"/>
          <w:rtl/>
        </w:rPr>
        <w:t>"</w:t>
      </w:r>
      <w:r w:rsidRPr="00FD211F">
        <w:rPr>
          <w:sz w:val="36"/>
          <w:szCs w:val="36"/>
          <w:rtl/>
        </w:rPr>
        <w:t>جئني بعينين</w:t>
      </w:r>
      <w:r w:rsidR="00A759DE" w:rsidRPr="00FD211F">
        <w:rPr>
          <w:sz w:val="36"/>
          <w:szCs w:val="36"/>
          <w:rtl/>
        </w:rPr>
        <w:t>"</w:t>
      </w:r>
      <w:r w:rsidRPr="00FD211F">
        <w:rPr>
          <w:sz w:val="36"/>
          <w:szCs w:val="36"/>
          <w:rtl/>
        </w:rPr>
        <w:t xml:space="preserve"> ان يراد وجوب الإتيان بفرد من الذهب وفرد من الفض</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71"/>
      </w:r>
      <w:r w:rsidR="009C58C8" w:rsidRPr="00FD211F">
        <w:rPr>
          <w:rStyle w:val="a6"/>
          <w:sz w:val="36"/>
          <w:szCs w:val="36"/>
          <w:rtl/>
        </w:rPr>
        <w:t>)</w:t>
      </w:r>
      <w:r w:rsidRPr="00FD211F">
        <w:rPr>
          <w:sz w:val="36"/>
          <w:szCs w:val="36"/>
          <w:rtl/>
        </w:rPr>
        <w:t>.</w:t>
      </w:r>
    </w:p>
    <w:p w14:paraId="7D359195" w14:textId="77777777" w:rsidR="000C5BBA" w:rsidRPr="00FD211F" w:rsidRDefault="00B103E8" w:rsidP="009C58C8">
      <w:pPr>
        <w:ind w:left="0" w:firstLine="227"/>
        <w:jc w:val="both"/>
        <w:rPr>
          <w:sz w:val="36"/>
          <w:szCs w:val="36"/>
          <w:rtl/>
        </w:rPr>
      </w:pPr>
      <w:r w:rsidRPr="00FD211F">
        <w:rPr>
          <w:sz w:val="36"/>
          <w:szCs w:val="36"/>
          <w:rtl/>
        </w:rPr>
        <w:t>وقد ذكر في البحوث</w:t>
      </w:r>
      <w:r w:rsidR="00052BF2" w:rsidRPr="00FD211F">
        <w:rPr>
          <w:sz w:val="36"/>
          <w:szCs w:val="36"/>
          <w:rtl/>
        </w:rPr>
        <w:t xml:space="preserve"> ان الماد</w:t>
      </w:r>
      <w:r w:rsidR="00EC7EDF" w:rsidRPr="00FD211F">
        <w:rPr>
          <w:sz w:val="36"/>
          <w:szCs w:val="36"/>
          <w:rtl/>
        </w:rPr>
        <w:t xml:space="preserve">ة </w:t>
      </w:r>
      <w:r w:rsidR="00052BF2" w:rsidRPr="00FD211F">
        <w:rPr>
          <w:sz w:val="36"/>
          <w:szCs w:val="36"/>
          <w:rtl/>
        </w:rPr>
        <w:t>في التثني</w:t>
      </w:r>
      <w:r w:rsidR="00EC7EDF" w:rsidRPr="00FD211F">
        <w:rPr>
          <w:sz w:val="36"/>
          <w:szCs w:val="36"/>
          <w:rtl/>
        </w:rPr>
        <w:t xml:space="preserve">ة </w:t>
      </w:r>
      <w:r w:rsidR="00052BF2" w:rsidRPr="00FD211F">
        <w:rPr>
          <w:sz w:val="36"/>
          <w:szCs w:val="36"/>
          <w:rtl/>
        </w:rPr>
        <w:t>غير مستعمل</w:t>
      </w:r>
      <w:r w:rsidR="00EC7EDF" w:rsidRPr="00FD211F">
        <w:rPr>
          <w:sz w:val="36"/>
          <w:szCs w:val="36"/>
          <w:rtl/>
        </w:rPr>
        <w:t xml:space="preserve">ة </w:t>
      </w:r>
      <w:r w:rsidR="00052BF2" w:rsidRPr="00FD211F">
        <w:rPr>
          <w:sz w:val="36"/>
          <w:szCs w:val="36"/>
          <w:rtl/>
        </w:rPr>
        <w:t>في معنى</w:t>
      </w:r>
      <w:r w:rsidR="00603323" w:rsidRPr="00FD211F">
        <w:rPr>
          <w:sz w:val="36"/>
          <w:szCs w:val="36"/>
          <w:rtl/>
        </w:rPr>
        <w:t xml:space="preserve">، </w:t>
      </w:r>
      <w:r w:rsidR="00052BF2" w:rsidRPr="00FD211F">
        <w:rPr>
          <w:sz w:val="36"/>
          <w:szCs w:val="36"/>
          <w:rtl/>
        </w:rPr>
        <w:t>بل هيئ</w:t>
      </w:r>
      <w:r w:rsidR="00EC7EDF" w:rsidRPr="00FD211F">
        <w:rPr>
          <w:sz w:val="36"/>
          <w:szCs w:val="36"/>
          <w:rtl/>
        </w:rPr>
        <w:t xml:space="preserve">ة </w:t>
      </w:r>
      <w:r w:rsidR="00052BF2" w:rsidRPr="00FD211F">
        <w:rPr>
          <w:sz w:val="36"/>
          <w:szCs w:val="36"/>
          <w:rtl/>
        </w:rPr>
        <w:t>التثني</w:t>
      </w:r>
      <w:r w:rsidR="00EC7EDF" w:rsidRPr="00FD211F">
        <w:rPr>
          <w:sz w:val="36"/>
          <w:szCs w:val="36"/>
          <w:rtl/>
        </w:rPr>
        <w:t xml:space="preserve">ة </w:t>
      </w:r>
      <w:r w:rsidR="00052BF2" w:rsidRPr="00FD211F">
        <w:rPr>
          <w:sz w:val="36"/>
          <w:szCs w:val="36"/>
          <w:rtl/>
        </w:rPr>
        <w:t>مستعمل</w:t>
      </w:r>
      <w:r w:rsidR="00EC7EDF" w:rsidRPr="00FD211F">
        <w:rPr>
          <w:sz w:val="36"/>
          <w:szCs w:val="36"/>
          <w:rtl/>
        </w:rPr>
        <w:t xml:space="preserve">ة </w:t>
      </w:r>
      <w:r w:rsidR="00052BF2" w:rsidRPr="00FD211F">
        <w:rPr>
          <w:sz w:val="36"/>
          <w:szCs w:val="36"/>
          <w:rtl/>
        </w:rPr>
        <w:t>في افاد</w:t>
      </w:r>
      <w:r w:rsidR="00EC7EDF" w:rsidRPr="00FD211F">
        <w:rPr>
          <w:sz w:val="36"/>
          <w:szCs w:val="36"/>
          <w:rtl/>
        </w:rPr>
        <w:t xml:space="preserve">ة </w:t>
      </w:r>
      <w:r w:rsidR="00052BF2" w:rsidRPr="00FD211F">
        <w:rPr>
          <w:sz w:val="36"/>
          <w:szCs w:val="36"/>
          <w:rtl/>
        </w:rPr>
        <w:t>تكرر لفظ الماد</w:t>
      </w:r>
      <w:r w:rsidR="00EC7EDF" w:rsidRPr="00FD211F">
        <w:rPr>
          <w:sz w:val="36"/>
          <w:szCs w:val="36"/>
          <w:rtl/>
        </w:rPr>
        <w:t>ة</w:t>
      </w:r>
      <w:r w:rsidR="00603323" w:rsidRPr="00FD211F">
        <w:rPr>
          <w:sz w:val="36"/>
          <w:szCs w:val="36"/>
          <w:rtl/>
        </w:rPr>
        <w:t xml:space="preserve">، </w:t>
      </w:r>
      <w:r w:rsidR="00052BF2" w:rsidRPr="00FD211F">
        <w:rPr>
          <w:sz w:val="36"/>
          <w:szCs w:val="36"/>
          <w:rtl/>
        </w:rPr>
        <w:t>فبدل ان يقول عين وعين يقول عينين ويريد بذلك اخطار تصور عين وعين قاصد</w:t>
      </w:r>
      <w:r w:rsidR="00A759DE" w:rsidRPr="00FD211F">
        <w:rPr>
          <w:sz w:val="36"/>
          <w:szCs w:val="36"/>
          <w:rtl/>
        </w:rPr>
        <w:t>ا بهما افهام المعنيين.</w:t>
      </w:r>
    </w:p>
    <w:p w14:paraId="0B1F0442" w14:textId="77777777" w:rsidR="000C5BBA" w:rsidRPr="00FD211F" w:rsidRDefault="00B103E8" w:rsidP="009C58C8">
      <w:pPr>
        <w:ind w:left="0" w:firstLine="227"/>
        <w:jc w:val="both"/>
        <w:rPr>
          <w:sz w:val="36"/>
          <w:szCs w:val="36"/>
          <w:rtl/>
        </w:rPr>
      </w:pPr>
      <w:r w:rsidRPr="00FD211F">
        <w:rPr>
          <w:sz w:val="36"/>
          <w:szCs w:val="36"/>
          <w:rtl/>
        </w:rPr>
        <w:t>ثم نقل</w:t>
      </w:r>
      <w:r w:rsidR="00052BF2" w:rsidRPr="00FD211F">
        <w:rPr>
          <w:sz w:val="36"/>
          <w:szCs w:val="36"/>
          <w:rtl/>
        </w:rPr>
        <w:t xml:space="preserve"> </w:t>
      </w:r>
      <w:r w:rsidR="00A759DE" w:rsidRPr="00FD211F">
        <w:rPr>
          <w:sz w:val="36"/>
          <w:szCs w:val="36"/>
          <w:rtl/>
        </w:rPr>
        <w:t xml:space="preserve">في البحوث </w:t>
      </w:r>
      <w:r w:rsidRPr="00FD211F">
        <w:rPr>
          <w:sz w:val="36"/>
          <w:szCs w:val="36"/>
          <w:rtl/>
        </w:rPr>
        <w:t>كلام</w:t>
      </w:r>
      <w:r w:rsidR="00052BF2" w:rsidRPr="00FD211F">
        <w:rPr>
          <w:sz w:val="36"/>
          <w:szCs w:val="36"/>
          <w:rtl/>
        </w:rPr>
        <w:t xml:space="preserve"> المحقق الاصفهاني</w:t>
      </w:r>
      <w:r w:rsidR="00FF13B3" w:rsidRPr="00FD211F">
        <w:rPr>
          <w:sz w:val="36"/>
          <w:szCs w:val="36"/>
          <w:rtl/>
        </w:rPr>
        <w:t xml:space="preserve"> </w:t>
      </w:r>
      <w:r w:rsidR="00A759DE" w:rsidRPr="00FD211F">
        <w:rPr>
          <w:sz w:val="36"/>
          <w:szCs w:val="36"/>
          <w:rtl/>
        </w:rPr>
        <w:t xml:space="preserve">"قده" </w:t>
      </w:r>
      <w:r w:rsidR="00052BF2" w:rsidRPr="00FD211F">
        <w:rPr>
          <w:sz w:val="36"/>
          <w:szCs w:val="36"/>
          <w:rtl/>
        </w:rPr>
        <w:t>من ان ماد</w:t>
      </w:r>
      <w:r w:rsidR="00EC7EDF" w:rsidRPr="00FD211F">
        <w:rPr>
          <w:sz w:val="36"/>
          <w:szCs w:val="36"/>
          <w:rtl/>
        </w:rPr>
        <w:t xml:space="preserve">ة </w:t>
      </w:r>
      <w:r w:rsidR="00052BF2" w:rsidRPr="00FD211F">
        <w:rPr>
          <w:sz w:val="36"/>
          <w:szCs w:val="36"/>
          <w:rtl/>
        </w:rPr>
        <w:t>التثني</w:t>
      </w:r>
      <w:r w:rsidR="00EC7EDF" w:rsidRPr="00FD211F">
        <w:rPr>
          <w:sz w:val="36"/>
          <w:szCs w:val="36"/>
          <w:rtl/>
        </w:rPr>
        <w:t xml:space="preserve">ة </w:t>
      </w:r>
      <w:r w:rsidR="00052BF2" w:rsidRPr="00FD211F">
        <w:rPr>
          <w:sz w:val="36"/>
          <w:szCs w:val="36"/>
          <w:rtl/>
        </w:rPr>
        <w:t>مستعمل</w:t>
      </w:r>
      <w:r w:rsidR="00EC7EDF" w:rsidRPr="00FD211F">
        <w:rPr>
          <w:sz w:val="36"/>
          <w:szCs w:val="36"/>
          <w:rtl/>
        </w:rPr>
        <w:t xml:space="preserve">ة </w:t>
      </w:r>
      <w:r w:rsidR="00052BF2" w:rsidRPr="00FD211F">
        <w:rPr>
          <w:sz w:val="36"/>
          <w:szCs w:val="36"/>
          <w:rtl/>
        </w:rPr>
        <w:t>للدلال</w:t>
      </w:r>
      <w:r w:rsidR="00EC7EDF" w:rsidRPr="00FD211F">
        <w:rPr>
          <w:sz w:val="36"/>
          <w:szCs w:val="36"/>
          <w:rtl/>
        </w:rPr>
        <w:t xml:space="preserve">ة </w:t>
      </w:r>
      <w:r w:rsidR="00052BF2" w:rsidRPr="00FD211F">
        <w:rPr>
          <w:sz w:val="36"/>
          <w:szCs w:val="36"/>
          <w:rtl/>
        </w:rPr>
        <w:t>على نوع لفظ مفرد</w:t>
      </w:r>
      <w:r w:rsidR="00603323" w:rsidRPr="00FD211F">
        <w:rPr>
          <w:sz w:val="36"/>
          <w:szCs w:val="36"/>
          <w:rtl/>
        </w:rPr>
        <w:t xml:space="preserve">، </w:t>
      </w:r>
      <w:r w:rsidR="00052BF2" w:rsidRPr="00FD211F">
        <w:rPr>
          <w:sz w:val="36"/>
          <w:szCs w:val="36"/>
          <w:rtl/>
        </w:rPr>
        <w:t>فهو من باب استعمال اللفظ في نوعه بما هو دال على المعنى</w:t>
      </w:r>
      <w:r w:rsidR="00603323" w:rsidRPr="00FD211F">
        <w:rPr>
          <w:sz w:val="36"/>
          <w:szCs w:val="36"/>
          <w:rtl/>
        </w:rPr>
        <w:t xml:space="preserve">، </w:t>
      </w:r>
      <w:r w:rsidR="00052BF2" w:rsidRPr="00FD211F">
        <w:rPr>
          <w:sz w:val="36"/>
          <w:szCs w:val="36"/>
          <w:rtl/>
        </w:rPr>
        <w:t>فتدل هيئ</w:t>
      </w:r>
      <w:r w:rsidR="00EC7EDF" w:rsidRPr="00FD211F">
        <w:rPr>
          <w:sz w:val="36"/>
          <w:szCs w:val="36"/>
          <w:rtl/>
        </w:rPr>
        <w:t xml:space="preserve">ة </w:t>
      </w:r>
      <w:r w:rsidR="00052BF2" w:rsidRPr="00FD211F">
        <w:rPr>
          <w:sz w:val="36"/>
          <w:szCs w:val="36"/>
          <w:rtl/>
        </w:rPr>
        <w:t>التثني</w:t>
      </w:r>
      <w:r w:rsidR="00EC7EDF" w:rsidRPr="00FD211F">
        <w:rPr>
          <w:sz w:val="36"/>
          <w:szCs w:val="36"/>
          <w:rtl/>
        </w:rPr>
        <w:t xml:space="preserve">ة </w:t>
      </w:r>
      <w:r w:rsidR="00052BF2" w:rsidRPr="00FD211F">
        <w:rPr>
          <w:sz w:val="36"/>
          <w:szCs w:val="36"/>
          <w:rtl/>
        </w:rPr>
        <w:t>على فردين من نوع لفظ المفرد بما انهما دالان على معنييهما</w:t>
      </w:r>
      <w:r w:rsidR="009C58C8" w:rsidRPr="00FD211F">
        <w:rPr>
          <w:rStyle w:val="a6"/>
          <w:sz w:val="36"/>
          <w:szCs w:val="36"/>
          <w:rtl/>
        </w:rPr>
        <w:t>(</w:t>
      </w:r>
      <w:r w:rsidR="009C58C8" w:rsidRPr="00FD211F">
        <w:rPr>
          <w:rStyle w:val="a6"/>
          <w:sz w:val="36"/>
          <w:szCs w:val="36"/>
          <w:rtl/>
        </w:rPr>
        <w:footnoteReference w:id="472"/>
      </w:r>
      <w:r w:rsidR="009C58C8" w:rsidRPr="00FD211F">
        <w:rPr>
          <w:rStyle w:val="a6"/>
          <w:sz w:val="36"/>
          <w:szCs w:val="36"/>
          <w:rtl/>
        </w:rPr>
        <w:t>)</w:t>
      </w:r>
      <w:r w:rsidR="00A759DE" w:rsidRPr="00FD211F">
        <w:rPr>
          <w:rStyle w:val="a6"/>
          <w:sz w:val="36"/>
          <w:szCs w:val="36"/>
          <w:rtl/>
        </w:rPr>
        <w:t>.</w:t>
      </w:r>
    </w:p>
    <w:p w14:paraId="3FF306A8" w14:textId="77777777" w:rsidR="00052BF2" w:rsidRPr="00FD211F" w:rsidRDefault="00EC7EDF" w:rsidP="009C58C8">
      <w:pPr>
        <w:ind w:left="0" w:firstLine="227"/>
        <w:jc w:val="both"/>
        <w:rPr>
          <w:sz w:val="36"/>
          <w:szCs w:val="36"/>
          <w:rtl/>
        </w:rPr>
      </w:pPr>
      <w:r w:rsidRPr="00FD211F">
        <w:rPr>
          <w:sz w:val="36"/>
          <w:szCs w:val="36"/>
          <w:rtl/>
        </w:rPr>
        <w:t>و</w:t>
      </w:r>
      <w:r w:rsidR="00052BF2" w:rsidRPr="00FD211F">
        <w:rPr>
          <w:sz w:val="36"/>
          <w:szCs w:val="36"/>
          <w:rtl/>
        </w:rPr>
        <w:t>ناقش فيه بان أخذ قيد الدلال</w:t>
      </w:r>
      <w:r w:rsidRPr="00FD211F">
        <w:rPr>
          <w:sz w:val="36"/>
          <w:szCs w:val="36"/>
          <w:rtl/>
        </w:rPr>
        <w:t xml:space="preserve">ة </w:t>
      </w:r>
      <w:r w:rsidR="00052BF2" w:rsidRPr="00FD211F">
        <w:rPr>
          <w:sz w:val="36"/>
          <w:szCs w:val="36"/>
          <w:rtl/>
        </w:rPr>
        <w:t>على المعنى في المستعمل فيه ان كان بمعنى اخذ مفهوم الدلال</w:t>
      </w:r>
      <w:r w:rsidRPr="00FD211F">
        <w:rPr>
          <w:sz w:val="36"/>
          <w:szCs w:val="36"/>
          <w:rtl/>
        </w:rPr>
        <w:t xml:space="preserve">ة </w:t>
      </w:r>
      <w:r w:rsidR="00052BF2" w:rsidRPr="00FD211F">
        <w:rPr>
          <w:sz w:val="36"/>
          <w:szCs w:val="36"/>
          <w:rtl/>
        </w:rPr>
        <w:t>قيدا -فمضافا الى كونه خلاف الوجدان</w:t>
      </w:r>
      <w:r w:rsidR="00603323" w:rsidRPr="00FD211F">
        <w:rPr>
          <w:sz w:val="36"/>
          <w:szCs w:val="36"/>
          <w:rtl/>
        </w:rPr>
        <w:t xml:space="preserve">، </w:t>
      </w:r>
      <w:r w:rsidR="00052BF2" w:rsidRPr="00FD211F">
        <w:rPr>
          <w:sz w:val="36"/>
          <w:szCs w:val="36"/>
          <w:rtl/>
        </w:rPr>
        <w:t>حيث لايفهم من لفظ التثني</w:t>
      </w:r>
      <w:r w:rsidRPr="00FD211F">
        <w:rPr>
          <w:sz w:val="36"/>
          <w:szCs w:val="36"/>
          <w:rtl/>
        </w:rPr>
        <w:t xml:space="preserve">ة </w:t>
      </w:r>
      <w:r w:rsidR="00052BF2" w:rsidRPr="00FD211F">
        <w:rPr>
          <w:sz w:val="36"/>
          <w:szCs w:val="36"/>
          <w:rtl/>
        </w:rPr>
        <w:t>مفهوم الدلال</w:t>
      </w:r>
      <w:r w:rsidRPr="00FD211F">
        <w:rPr>
          <w:sz w:val="36"/>
          <w:szCs w:val="36"/>
          <w:rtl/>
        </w:rPr>
        <w:t xml:space="preserve">ة </w:t>
      </w:r>
      <w:r w:rsidR="00052BF2" w:rsidRPr="00FD211F">
        <w:rPr>
          <w:sz w:val="36"/>
          <w:szCs w:val="36"/>
          <w:rtl/>
        </w:rPr>
        <w:t>- لايجدي شيئا</w:t>
      </w:r>
      <w:r w:rsidR="00603323" w:rsidRPr="00FD211F">
        <w:rPr>
          <w:sz w:val="36"/>
          <w:szCs w:val="36"/>
          <w:rtl/>
        </w:rPr>
        <w:t xml:space="preserve">، </w:t>
      </w:r>
      <w:r w:rsidR="00052BF2" w:rsidRPr="00FD211F">
        <w:rPr>
          <w:sz w:val="36"/>
          <w:szCs w:val="36"/>
          <w:rtl/>
        </w:rPr>
        <w:t>لان المطلوب هو واقع الدلال</w:t>
      </w:r>
      <w:r w:rsidRPr="00FD211F">
        <w:rPr>
          <w:sz w:val="36"/>
          <w:szCs w:val="36"/>
          <w:rtl/>
        </w:rPr>
        <w:t xml:space="preserve">ة </w:t>
      </w:r>
      <w:r w:rsidR="00052BF2" w:rsidRPr="00FD211F">
        <w:rPr>
          <w:sz w:val="36"/>
          <w:szCs w:val="36"/>
          <w:rtl/>
        </w:rPr>
        <w:t>على المعنى</w:t>
      </w:r>
      <w:r w:rsidR="00603323" w:rsidRPr="00FD211F">
        <w:rPr>
          <w:sz w:val="36"/>
          <w:szCs w:val="36"/>
          <w:rtl/>
        </w:rPr>
        <w:t xml:space="preserve">، </w:t>
      </w:r>
      <w:r w:rsidR="00052BF2" w:rsidRPr="00FD211F">
        <w:rPr>
          <w:sz w:val="36"/>
          <w:szCs w:val="36"/>
          <w:rtl/>
        </w:rPr>
        <w:t>وان كان بمعنى واقع الدلال</w:t>
      </w:r>
      <w:r w:rsidRPr="00FD211F">
        <w:rPr>
          <w:sz w:val="36"/>
          <w:szCs w:val="36"/>
          <w:rtl/>
        </w:rPr>
        <w:t xml:space="preserve">ة </w:t>
      </w:r>
      <w:r w:rsidR="00052BF2" w:rsidRPr="00FD211F">
        <w:rPr>
          <w:sz w:val="36"/>
          <w:szCs w:val="36"/>
          <w:rtl/>
        </w:rPr>
        <w:t>على المعنى ووجودها فيلزم من ذلك محذور آخر</w:t>
      </w:r>
      <w:r w:rsidR="00603323" w:rsidRPr="00FD211F">
        <w:rPr>
          <w:sz w:val="36"/>
          <w:szCs w:val="36"/>
          <w:rtl/>
        </w:rPr>
        <w:t xml:space="preserve">، </w:t>
      </w:r>
      <w:r w:rsidR="00052BF2" w:rsidRPr="00FD211F">
        <w:rPr>
          <w:sz w:val="36"/>
          <w:szCs w:val="36"/>
          <w:rtl/>
        </w:rPr>
        <w:t>حيث ان العلق</w:t>
      </w:r>
      <w:r w:rsidRPr="00FD211F">
        <w:rPr>
          <w:sz w:val="36"/>
          <w:szCs w:val="36"/>
          <w:rtl/>
        </w:rPr>
        <w:t xml:space="preserve">ة </w:t>
      </w:r>
      <w:r w:rsidR="00052BF2" w:rsidRPr="00FD211F">
        <w:rPr>
          <w:sz w:val="36"/>
          <w:szCs w:val="36"/>
          <w:rtl/>
        </w:rPr>
        <w:t>الوضعي</w:t>
      </w:r>
      <w:r w:rsidRPr="00FD211F">
        <w:rPr>
          <w:sz w:val="36"/>
          <w:szCs w:val="36"/>
          <w:rtl/>
        </w:rPr>
        <w:t xml:space="preserve">ة </w:t>
      </w:r>
      <w:r w:rsidR="00052BF2" w:rsidRPr="00FD211F">
        <w:rPr>
          <w:sz w:val="36"/>
          <w:szCs w:val="36"/>
          <w:rtl/>
        </w:rPr>
        <w:t>بناء على المسلك الصحيح تكون بمعنى القرن الأكيد بين اللفظ والمعنى</w:t>
      </w:r>
      <w:r w:rsidR="00603323" w:rsidRPr="00FD211F">
        <w:rPr>
          <w:sz w:val="36"/>
          <w:szCs w:val="36"/>
          <w:rtl/>
        </w:rPr>
        <w:t xml:space="preserve">، </w:t>
      </w:r>
      <w:r w:rsidR="00052BF2" w:rsidRPr="00FD211F">
        <w:rPr>
          <w:sz w:val="36"/>
          <w:szCs w:val="36"/>
          <w:rtl/>
        </w:rPr>
        <w:t>والقرن الأكيد بينهما يعني استتباع تصور اللفظ لتصور المعنى</w:t>
      </w:r>
      <w:r w:rsidR="00603323" w:rsidRPr="00FD211F">
        <w:rPr>
          <w:sz w:val="36"/>
          <w:szCs w:val="36"/>
          <w:rtl/>
        </w:rPr>
        <w:t xml:space="preserve">، </w:t>
      </w:r>
      <w:r w:rsidR="00052BF2" w:rsidRPr="00FD211F">
        <w:rPr>
          <w:sz w:val="36"/>
          <w:szCs w:val="36"/>
          <w:rtl/>
        </w:rPr>
        <w:t>ولايعقل القرن الأكيد بين تصور لفظ التثني</w:t>
      </w:r>
      <w:r w:rsidRPr="00FD211F">
        <w:rPr>
          <w:sz w:val="36"/>
          <w:szCs w:val="36"/>
          <w:rtl/>
        </w:rPr>
        <w:t xml:space="preserve">ة </w:t>
      </w:r>
      <w:r w:rsidR="00052BF2" w:rsidRPr="00FD211F">
        <w:rPr>
          <w:sz w:val="36"/>
          <w:szCs w:val="36"/>
          <w:rtl/>
        </w:rPr>
        <w:t>وبين التصديق بلحاظ المتكلم دلالته على المعنى</w:t>
      </w:r>
      <w:r w:rsidR="009C58C8" w:rsidRPr="00FD211F">
        <w:rPr>
          <w:rStyle w:val="a6"/>
          <w:sz w:val="36"/>
          <w:szCs w:val="36"/>
          <w:rtl/>
        </w:rPr>
        <w:t>(</w:t>
      </w:r>
      <w:r w:rsidR="009C58C8" w:rsidRPr="00FD211F">
        <w:rPr>
          <w:rStyle w:val="a6"/>
          <w:sz w:val="36"/>
          <w:szCs w:val="36"/>
          <w:rtl/>
        </w:rPr>
        <w:footnoteReference w:id="473"/>
      </w:r>
      <w:r w:rsidR="009C58C8" w:rsidRPr="00FD211F">
        <w:rPr>
          <w:rStyle w:val="a6"/>
          <w:sz w:val="36"/>
          <w:szCs w:val="36"/>
          <w:rtl/>
        </w:rPr>
        <w:t>)</w:t>
      </w:r>
      <w:r w:rsidR="00052BF2" w:rsidRPr="00FD211F">
        <w:rPr>
          <w:sz w:val="36"/>
          <w:szCs w:val="36"/>
          <w:rtl/>
        </w:rPr>
        <w:t>.</w:t>
      </w:r>
    </w:p>
    <w:p w14:paraId="69533B16" w14:textId="77777777" w:rsidR="000C5BBA" w:rsidRPr="00FD211F" w:rsidRDefault="00A759DE" w:rsidP="009C58C8">
      <w:pPr>
        <w:ind w:left="0" w:firstLine="227"/>
        <w:jc w:val="both"/>
        <w:rPr>
          <w:sz w:val="36"/>
          <w:szCs w:val="36"/>
          <w:rtl/>
        </w:rPr>
      </w:pPr>
      <w:r w:rsidRPr="00FD211F">
        <w:rPr>
          <w:sz w:val="36"/>
          <w:szCs w:val="36"/>
          <w:rtl/>
        </w:rPr>
        <w:t>ويلاحظ على مااختاره في البحوث</w:t>
      </w:r>
      <w:r w:rsidR="00B253CE" w:rsidRPr="00FD211F">
        <w:rPr>
          <w:sz w:val="36"/>
          <w:szCs w:val="36"/>
          <w:rtl/>
        </w:rPr>
        <w:t xml:space="preserve"> </w:t>
      </w:r>
      <w:r w:rsidRPr="00FD211F">
        <w:rPr>
          <w:sz w:val="36"/>
          <w:szCs w:val="36"/>
          <w:rtl/>
        </w:rPr>
        <w:t>ب</w:t>
      </w:r>
      <w:r w:rsidR="00052BF2" w:rsidRPr="00FD211F">
        <w:rPr>
          <w:sz w:val="36"/>
          <w:szCs w:val="36"/>
          <w:rtl/>
        </w:rPr>
        <w:t>ان الغرض من وضع التثني</w:t>
      </w:r>
      <w:r w:rsidR="00EC7EDF" w:rsidRPr="00FD211F">
        <w:rPr>
          <w:sz w:val="36"/>
          <w:szCs w:val="36"/>
          <w:rtl/>
        </w:rPr>
        <w:t xml:space="preserve">ة </w:t>
      </w:r>
      <w:r w:rsidR="00052BF2" w:rsidRPr="00FD211F">
        <w:rPr>
          <w:sz w:val="36"/>
          <w:szCs w:val="36"/>
          <w:rtl/>
        </w:rPr>
        <w:t>وان كان هو الإغناء عن تكرر لفظ المفرد لكن لايعني ذلك وضع هيئ</w:t>
      </w:r>
      <w:r w:rsidR="00EC7EDF" w:rsidRPr="00FD211F">
        <w:rPr>
          <w:sz w:val="36"/>
          <w:szCs w:val="36"/>
          <w:rtl/>
        </w:rPr>
        <w:t xml:space="preserve">ة </w:t>
      </w:r>
      <w:r w:rsidR="00052BF2" w:rsidRPr="00FD211F">
        <w:rPr>
          <w:sz w:val="36"/>
          <w:szCs w:val="36"/>
          <w:rtl/>
        </w:rPr>
        <w:t>التثني</w:t>
      </w:r>
      <w:r w:rsidR="00EC7EDF" w:rsidRPr="00FD211F">
        <w:rPr>
          <w:sz w:val="36"/>
          <w:szCs w:val="36"/>
          <w:rtl/>
        </w:rPr>
        <w:t xml:space="preserve">ة </w:t>
      </w:r>
      <w:r w:rsidR="00052BF2" w:rsidRPr="00FD211F">
        <w:rPr>
          <w:sz w:val="36"/>
          <w:szCs w:val="36"/>
          <w:rtl/>
        </w:rPr>
        <w:t>لإفاد</w:t>
      </w:r>
      <w:r w:rsidR="00EC7EDF" w:rsidRPr="00FD211F">
        <w:rPr>
          <w:sz w:val="36"/>
          <w:szCs w:val="36"/>
          <w:rtl/>
        </w:rPr>
        <w:t xml:space="preserve">ة </w:t>
      </w:r>
      <w:r w:rsidR="00052BF2" w:rsidRPr="00FD211F">
        <w:rPr>
          <w:sz w:val="36"/>
          <w:szCs w:val="36"/>
          <w:rtl/>
        </w:rPr>
        <w:t>تكرر لفظ الماد</w:t>
      </w:r>
      <w:r w:rsidR="00EC7EDF" w:rsidRPr="00FD211F">
        <w:rPr>
          <w:sz w:val="36"/>
          <w:szCs w:val="36"/>
          <w:rtl/>
        </w:rPr>
        <w:t>ة</w:t>
      </w:r>
      <w:r w:rsidR="00603323" w:rsidRPr="00FD211F">
        <w:rPr>
          <w:sz w:val="36"/>
          <w:szCs w:val="36"/>
          <w:rtl/>
        </w:rPr>
        <w:t xml:space="preserve">، </w:t>
      </w:r>
      <w:r w:rsidR="00052BF2" w:rsidRPr="00FD211F">
        <w:rPr>
          <w:sz w:val="36"/>
          <w:szCs w:val="36"/>
          <w:rtl/>
        </w:rPr>
        <w:t>بان يسبب هيئ</w:t>
      </w:r>
      <w:r w:rsidR="00EC7EDF" w:rsidRPr="00FD211F">
        <w:rPr>
          <w:sz w:val="36"/>
          <w:szCs w:val="36"/>
          <w:rtl/>
        </w:rPr>
        <w:t xml:space="preserve">ة </w:t>
      </w:r>
      <w:r w:rsidR="00052BF2" w:rsidRPr="00FD211F">
        <w:rPr>
          <w:sz w:val="36"/>
          <w:szCs w:val="36"/>
          <w:rtl/>
        </w:rPr>
        <w:t>التثني</w:t>
      </w:r>
      <w:r w:rsidR="00EC7EDF" w:rsidRPr="00FD211F">
        <w:rPr>
          <w:sz w:val="36"/>
          <w:szCs w:val="36"/>
          <w:rtl/>
        </w:rPr>
        <w:t xml:space="preserve">ة </w:t>
      </w:r>
      <w:r w:rsidR="00052BF2" w:rsidRPr="00FD211F">
        <w:rPr>
          <w:sz w:val="36"/>
          <w:szCs w:val="36"/>
          <w:rtl/>
        </w:rPr>
        <w:t>كعي</w:t>
      </w:r>
      <w:r w:rsidRPr="00FD211F">
        <w:rPr>
          <w:sz w:val="36"/>
          <w:szCs w:val="36"/>
          <w:rtl/>
        </w:rPr>
        <w:t>نين تصور السامع لفظ العين مرتين.</w:t>
      </w:r>
    </w:p>
    <w:p w14:paraId="390EB5F3" w14:textId="77777777" w:rsidR="00A759DE" w:rsidRPr="00FD211F" w:rsidRDefault="00052BF2" w:rsidP="009C58C8">
      <w:pPr>
        <w:ind w:left="0" w:firstLine="227"/>
        <w:jc w:val="both"/>
        <w:rPr>
          <w:sz w:val="36"/>
          <w:szCs w:val="36"/>
          <w:rtl/>
        </w:rPr>
      </w:pPr>
      <w:r w:rsidRPr="00FD211F">
        <w:rPr>
          <w:sz w:val="36"/>
          <w:szCs w:val="36"/>
          <w:rtl/>
        </w:rPr>
        <w:t xml:space="preserve">فانه </w:t>
      </w:r>
      <w:r w:rsidRPr="00FD211F">
        <w:rPr>
          <w:b/>
          <w:bCs/>
          <w:sz w:val="36"/>
          <w:szCs w:val="36"/>
          <w:rtl/>
        </w:rPr>
        <w:t>اولا</w:t>
      </w:r>
      <w:r w:rsidRPr="00FD211F">
        <w:rPr>
          <w:sz w:val="36"/>
          <w:szCs w:val="36"/>
          <w:rtl/>
        </w:rPr>
        <w:t xml:space="preserve">: يرد عليه النقض بموارد </w:t>
      </w:r>
      <w:r w:rsidR="00371518" w:rsidRPr="00FD211F">
        <w:rPr>
          <w:sz w:val="36"/>
          <w:szCs w:val="36"/>
          <w:rtl/>
        </w:rPr>
        <w:t>الجمع كما في قولنا" العلماء"</w:t>
      </w:r>
      <w:r w:rsidR="00603323" w:rsidRPr="00FD211F">
        <w:rPr>
          <w:sz w:val="36"/>
          <w:szCs w:val="36"/>
          <w:rtl/>
        </w:rPr>
        <w:t xml:space="preserve">، </w:t>
      </w:r>
      <w:r w:rsidRPr="00FD211F">
        <w:rPr>
          <w:sz w:val="36"/>
          <w:szCs w:val="36"/>
          <w:rtl/>
        </w:rPr>
        <w:t>فان لازم ما ذكره هو تسبب هيئ</w:t>
      </w:r>
      <w:r w:rsidR="00EC7EDF" w:rsidRPr="00FD211F">
        <w:rPr>
          <w:sz w:val="36"/>
          <w:szCs w:val="36"/>
          <w:rtl/>
        </w:rPr>
        <w:t xml:space="preserve">ة </w:t>
      </w:r>
      <w:r w:rsidRPr="00FD211F">
        <w:rPr>
          <w:sz w:val="36"/>
          <w:szCs w:val="36"/>
          <w:rtl/>
        </w:rPr>
        <w:t>الجمع لإخطار لفظ العالم مرات كثير</w:t>
      </w:r>
      <w:r w:rsidR="00EC7EDF" w:rsidRPr="00FD211F">
        <w:rPr>
          <w:sz w:val="36"/>
          <w:szCs w:val="36"/>
          <w:rtl/>
        </w:rPr>
        <w:t xml:space="preserve">ة </w:t>
      </w:r>
      <w:r w:rsidRPr="00FD211F">
        <w:rPr>
          <w:sz w:val="36"/>
          <w:szCs w:val="36"/>
          <w:rtl/>
        </w:rPr>
        <w:t>في ذهن المخاطب</w:t>
      </w:r>
      <w:r w:rsidR="00EC7EDF" w:rsidRPr="00FD211F">
        <w:rPr>
          <w:sz w:val="36"/>
          <w:szCs w:val="36"/>
          <w:rtl/>
        </w:rPr>
        <w:t>.</w:t>
      </w:r>
    </w:p>
    <w:p w14:paraId="046707E5" w14:textId="77777777" w:rsidR="000C5BBA" w:rsidRPr="00FD211F" w:rsidRDefault="00052BF2" w:rsidP="009C58C8">
      <w:pPr>
        <w:ind w:left="0" w:firstLine="227"/>
        <w:jc w:val="both"/>
        <w:rPr>
          <w:sz w:val="36"/>
          <w:szCs w:val="36"/>
          <w:rtl/>
        </w:rPr>
      </w:pPr>
      <w:r w:rsidRPr="00FD211F">
        <w:rPr>
          <w:b/>
          <w:bCs/>
          <w:sz w:val="36"/>
          <w:szCs w:val="36"/>
          <w:rtl/>
        </w:rPr>
        <w:t>وثانيا</w:t>
      </w:r>
      <w:r w:rsidRPr="00FD211F">
        <w:rPr>
          <w:sz w:val="36"/>
          <w:szCs w:val="36"/>
          <w:rtl/>
        </w:rPr>
        <w:t>: انه خلاف المرتكز العرفي حيث انه لايخطر في ذهن السامع عند سماعه لفظ زيدين مثلا الا ذلك الشخصان اللذين وضع لفظ زيد عليهما</w:t>
      </w:r>
      <w:r w:rsidR="00603323" w:rsidRPr="00FD211F">
        <w:rPr>
          <w:sz w:val="36"/>
          <w:szCs w:val="36"/>
          <w:rtl/>
        </w:rPr>
        <w:t xml:space="preserve">، </w:t>
      </w:r>
      <w:r w:rsidRPr="00FD211F">
        <w:rPr>
          <w:sz w:val="36"/>
          <w:szCs w:val="36"/>
          <w:rtl/>
        </w:rPr>
        <w:t>كما كان سماع لفظ "زيد وزيد" يوجب إخطارهما في ذهن السامع</w:t>
      </w:r>
      <w:r w:rsidR="00A759DE" w:rsidRPr="00FD211F">
        <w:rPr>
          <w:sz w:val="36"/>
          <w:szCs w:val="36"/>
          <w:rtl/>
        </w:rPr>
        <w:t>.</w:t>
      </w:r>
    </w:p>
    <w:p w14:paraId="7FA67CC8" w14:textId="77777777" w:rsidR="00052BF2" w:rsidRPr="00FD211F" w:rsidRDefault="00052BF2" w:rsidP="009C58C8">
      <w:pPr>
        <w:ind w:left="0" w:firstLine="227"/>
        <w:jc w:val="both"/>
        <w:rPr>
          <w:sz w:val="36"/>
          <w:szCs w:val="36"/>
          <w:rtl/>
        </w:rPr>
      </w:pPr>
      <w:r w:rsidRPr="00FD211F">
        <w:rPr>
          <w:b/>
          <w:bCs/>
          <w:sz w:val="36"/>
          <w:szCs w:val="36"/>
          <w:rtl/>
        </w:rPr>
        <w:t>وثالثا</w:t>
      </w:r>
      <w:r w:rsidRPr="00FD211F">
        <w:rPr>
          <w:sz w:val="36"/>
          <w:szCs w:val="36"/>
          <w:rtl/>
        </w:rPr>
        <w:t>: ان مقصوده مما ذكره من ان الماد</w:t>
      </w:r>
      <w:r w:rsidR="00EC7EDF" w:rsidRPr="00FD211F">
        <w:rPr>
          <w:sz w:val="36"/>
          <w:szCs w:val="36"/>
          <w:rtl/>
        </w:rPr>
        <w:t xml:space="preserve">ة </w:t>
      </w:r>
      <w:r w:rsidRPr="00FD211F">
        <w:rPr>
          <w:sz w:val="36"/>
          <w:szCs w:val="36"/>
          <w:rtl/>
        </w:rPr>
        <w:t>في التثني</w:t>
      </w:r>
      <w:r w:rsidR="00EC7EDF" w:rsidRPr="00FD211F">
        <w:rPr>
          <w:sz w:val="36"/>
          <w:szCs w:val="36"/>
          <w:rtl/>
        </w:rPr>
        <w:t xml:space="preserve">ة </w:t>
      </w:r>
      <w:r w:rsidRPr="00FD211F">
        <w:rPr>
          <w:sz w:val="36"/>
          <w:szCs w:val="36"/>
          <w:rtl/>
        </w:rPr>
        <w:t>غير مستعمل</w:t>
      </w:r>
      <w:r w:rsidR="00EC7EDF" w:rsidRPr="00FD211F">
        <w:rPr>
          <w:sz w:val="36"/>
          <w:szCs w:val="36"/>
          <w:rtl/>
        </w:rPr>
        <w:t xml:space="preserve">ة </w:t>
      </w:r>
      <w:r w:rsidRPr="00FD211F">
        <w:rPr>
          <w:sz w:val="36"/>
          <w:szCs w:val="36"/>
          <w:rtl/>
        </w:rPr>
        <w:t>في معنى بل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مستعمل</w:t>
      </w:r>
      <w:r w:rsidR="00EC7EDF" w:rsidRPr="00FD211F">
        <w:rPr>
          <w:sz w:val="36"/>
          <w:szCs w:val="36"/>
          <w:rtl/>
        </w:rPr>
        <w:t xml:space="preserve">ة </w:t>
      </w:r>
      <w:r w:rsidRPr="00FD211F">
        <w:rPr>
          <w:sz w:val="36"/>
          <w:szCs w:val="36"/>
          <w:rtl/>
        </w:rPr>
        <w:t>في افاد</w:t>
      </w:r>
      <w:r w:rsidR="00EC7EDF" w:rsidRPr="00FD211F">
        <w:rPr>
          <w:sz w:val="36"/>
          <w:szCs w:val="36"/>
          <w:rtl/>
        </w:rPr>
        <w:t xml:space="preserve">ة </w:t>
      </w:r>
      <w:r w:rsidRPr="00FD211F">
        <w:rPr>
          <w:sz w:val="36"/>
          <w:szCs w:val="36"/>
          <w:rtl/>
        </w:rPr>
        <w:t>تكرر لفظ الماد</w:t>
      </w:r>
      <w:r w:rsidR="00EC7EDF" w:rsidRPr="00FD211F">
        <w:rPr>
          <w:sz w:val="36"/>
          <w:szCs w:val="36"/>
          <w:rtl/>
        </w:rPr>
        <w:t>ة</w:t>
      </w:r>
      <w:r w:rsidR="00603323" w:rsidRPr="00FD211F">
        <w:rPr>
          <w:sz w:val="36"/>
          <w:szCs w:val="36"/>
          <w:rtl/>
        </w:rPr>
        <w:t xml:space="preserve">، </w:t>
      </w:r>
      <w:r w:rsidRPr="00FD211F">
        <w:rPr>
          <w:sz w:val="36"/>
          <w:szCs w:val="36"/>
          <w:rtl/>
        </w:rPr>
        <w:t xml:space="preserve">ان كان </w:t>
      </w:r>
      <w:r w:rsidR="00A759DE" w:rsidRPr="00FD211F">
        <w:rPr>
          <w:sz w:val="36"/>
          <w:szCs w:val="36"/>
          <w:rtl/>
        </w:rPr>
        <w:t>هو</w:t>
      </w:r>
      <w:r w:rsidRPr="00FD211F">
        <w:rPr>
          <w:sz w:val="36"/>
          <w:szCs w:val="36"/>
          <w:rtl/>
        </w:rPr>
        <w:t>افاد</w:t>
      </w:r>
      <w:r w:rsidR="00EC7EDF" w:rsidRPr="00FD211F">
        <w:rPr>
          <w:sz w:val="36"/>
          <w:szCs w:val="36"/>
          <w:rtl/>
        </w:rPr>
        <w:t xml:space="preserve">ة </w:t>
      </w:r>
      <w:r w:rsidRPr="00FD211F">
        <w:rPr>
          <w:sz w:val="36"/>
          <w:szCs w:val="36"/>
          <w:rtl/>
        </w:rPr>
        <w:t>تكرر لفظ الماد</w:t>
      </w:r>
      <w:r w:rsidR="00EC7EDF" w:rsidRPr="00FD211F">
        <w:rPr>
          <w:sz w:val="36"/>
          <w:szCs w:val="36"/>
          <w:rtl/>
        </w:rPr>
        <w:t xml:space="preserve">ة </w:t>
      </w:r>
      <w:r w:rsidRPr="00FD211F">
        <w:rPr>
          <w:sz w:val="36"/>
          <w:szCs w:val="36"/>
          <w:rtl/>
        </w:rPr>
        <w:t>بما هوهو لزم من ذلك صح</w:t>
      </w:r>
      <w:r w:rsidR="00EC7EDF" w:rsidRPr="00FD211F">
        <w:rPr>
          <w:sz w:val="36"/>
          <w:szCs w:val="36"/>
          <w:rtl/>
        </w:rPr>
        <w:t xml:space="preserve">ة </w:t>
      </w:r>
      <w:r w:rsidRPr="00FD211F">
        <w:rPr>
          <w:sz w:val="36"/>
          <w:szCs w:val="36"/>
          <w:rtl/>
        </w:rPr>
        <w:t xml:space="preserve">ان يقال </w:t>
      </w:r>
      <w:r w:rsidR="006E66FD" w:rsidRPr="00FD211F">
        <w:rPr>
          <w:sz w:val="36"/>
          <w:szCs w:val="36"/>
          <w:rtl/>
        </w:rPr>
        <w:t>"</w:t>
      </w:r>
      <w:r w:rsidRPr="00FD211F">
        <w:rPr>
          <w:sz w:val="36"/>
          <w:szCs w:val="36"/>
          <w:rtl/>
        </w:rPr>
        <w:t>اكتب زيدين</w:t>
      </w:r>
      <w:r w:rsidR="006E66FD" w:rsidRPr="00FD211F">
        <w:rPr>
          <w:sz w:val="36"/>
          <w:szCs w:val="36"/>
          <w:rtl/>
        </w:rPr>
        <w:t>"</w:t>
      </w:r>
      <w:r w:rsidRPr="00FD211F">
        <w:rPr>
          <w:sz w:val="36"/>
          <w:szCs w:val="36"/>
          <w:rtl/>
        </w:rPr>
        <w:t xml:space="preserve"> ويراد منه الأمر بكتاب</w:t>
      </w:r>
      <w:r w:rsidR="00EC7EDF" w:rsidRPr="00FD211F">
        <w:rPr>
          <w:sz w:val="36"/>
          <w:szCs w:val="36"/>
          <w:rtl/>
        </w:rPr>
        <w:t xml:space="preserve">ة </w:t>
      </w:r>
      <w:r w:rsidRPr="00FD211F">
        <w:rPr>
          <w:sz w:val="36"/>
          <w:szCs w:val="36"/>
          <w:rtl/>
        </w:rPr>
        <w:t>زيد مرتين</w:t>
      </w:r>
      <w:r w:rsidR="00603323" w:rsidRPr="00FD211F">
        <w:rPr>
          <w:sz w:val="36"/>
          <w:szCs w:val="36"/>
          <w:rtl/>
        </w:rPr>
        <w:t xml:space="preserve">، </w:t>
      </w:r>
      <w:r w:rsidRPr="00FD211F">
        <w:rPr>
          <w:sz w:val="36"/>
          <w:szCs w:val="36"/>
          <w:rtl/>
        </w:rPr>
        <w:t>وقد مر انه خلاف الوجدان</w:t>
      </w:r>
      <w:r w:rsidR="00603323" w:rsidRPr="00FD211F">
        <w:rPr>
          <w:sz w:val="36"/>
          <w:szCs w:val="36"/>
          <w:rtl/>
        </w:rPr>
        <w:t xml:space="preserve">، </w:t>
      </w:r>
      <w:r w:rsidRPr="00FD211F">
        <w:rPr>
          <w:sz w:val="36"/>
          <w:szCs w:val="36"/>
          <w:rtl/>
        </w:rPr>
        <w:t>وان كان مقصوده إفادته تكرر لفظ الماد</w:t>
      </w:r>
      <w:r w:rsidR="00EC7EDF" w:rsidRPr="00FD211F">
        <w:rPr>
          <w:sz w:val="36"/>
          <w:szCs w:val="36"/>
          <w:rtl/>
        </w:rPr>
        <w:t xml:space="preserve">ة </w:t>
      </w:r>
      <w:r w:rsidRPr="00FD211F">
        <w:rPr>
          <w:sz w:val="36"/>
          <w:szCs w:val="36"/>
          <w:rtl/>
        </w:rPr>
        <w:t>بما هو دال على المعنى فهو رجوع الى ما ذكره المحقق الاصفهاني</w:t>
      </w:r>
      <w:r w:rsidR="008F14E7" w:rsidRPr="00FD211F">
        <w:rPr>
          <w:sz w:val="36"/>
          <w:szCs w:val="36"/>
          <w:rtl/>
        </w:rPr>
        <w:t xml:space="preserve"> "قده"</w:t>
      </w:r>
      <w:r w:rsidR="00603323" w:rsidRPr="00FD211F">
        <w:rPr>
          <w:sz w:val="36"/>
          <w:szCs w:val="36"/>
          <w:rtl/>
        </w:rPr>
        <w:t xml:space="preserve">، </w:t>
      </w:r>
      <w:r w:rsidRPr="00FD211F">
        <w:rPr>
          <w:sz w:val="36"/>
          <w:szCs w:val="36"/>
          <w:rtl/>
        </w:rPr>
        <w:t>وقد ناقش فيه آنفا.</w:t>
      </w:r>
    </w:p>
    <w:p w14:paraId="310E0562" w14:textId="77777777" w:rsidR="00052BF2" w:rsidRPr="00FD211F" w:rsidRDefault="00052BF2" w:rsidP="009C58C8">
      <w:pPr>
        <w:ind w:left="0" w:firstLine="227"/>
        <w:jc w:val="both"/>
        <w:rPr>
          <w:sz w:val="36"/>
          <w:szCs w:val="36"/>
          <w:rtl/>
        </w:rPr>
      </w:pPr>
      <w:r w:rsidRPr="00FD211F">
        <w:rPr>
          <w:sz w:val="36"/>
          <w:szCs w:val="36"/>
          <w:rtl/>
        </w:rPr>
        <w:t>فالانصاف انه لايختلف عرفا لفظ زيدين مثلا عن زيد وزيد</w:t>
      </w:r>
      <w:r w:rsidR="00603323" w:rsidRPr="00FD211F">
        <w:rPr>
          <w:sz w:val="36"/>
          <w:szCs w:val="36"/>
          <w:rtl/>
        </w:rPr>
        <w:t xml:space="preserve">، </w:t>
      </w:r>
      <w:r w:rsidRPr="00FD211F">
        <w:rPr>
          <w:sz w:val="36"/>
          <w:szCs w:val="36"/>
          <w:rtl/>
        </w:rPr>
        <w:t>فكما ان لفظ زيد وزيد يوجب إخطار معنيين جزئيين وهما ذلك الشخصان اللذان وضع بإزائهما لفظ زيد من غير تقدم لأحدهما على الآخر</w:t>
      </w:r>
      <w:r w:rsidR="00603323" w:rsidRPr="00FD211F">
        <w:rPr>
          <w:sz w:val="36"/>
          <w:szCs w:val="36"/>
          <w:rtl/>
        </w:rPr>
        <w:t xml:space="preserve">، </w:t>
      </w:r>
      <w:r w:rsidRPr="00FD211F">
        <w:rPr>
          <w:sz w:val="36"/>
          <w:szCs w:val="36"/>
          <w:rtl/>
        </w:rPr>
        <w:t>فلو سمع هذا اللفظ من تموّج الهواء فيوجب بمجموعه إخطار كلا المعنيين الجزئيين في ذهن السامع فكذلك لفظ زيدين يوجب بمجموع مادته وهيئته إخطار هذين المعنيين الجزئيين في ذهن السامع</w:t>
      </w:r>
      <w:r w:rsidR="00603323" w:rsidRPr="00FD211F">
        <w:rPr>
          <w:sz w:val="36"/>
          <w:szCs w:val="36"/>
          <w:rtl/>
        </w:rPr>
        <w:t xml:space="preserve">، </w:t>
      </w:r>
      <w:r w:rsidRPr="00FD211F">
        <w:rPr>
          <w:sz w:val="36"/>
          <w:szCs w:val="36"/>
          <w:rtl/>
        </w:rPr>
        <w:t>فلايعني دلال</w:t>
      </w:r>
      <w:r w:rsidR="00EC7EDF" w:rsidRPr="00FD211F">
        <w:rPr>
          <w:sz w:val="36"/>
          <w:szCs w:val="36"/>
          <w:rtl/>
        </w:rPr>
        <w:t xml:space="preserve">ة </w:t>
      </w:r>
      <w:r w:rsidRPr="00FD211F">
        <w:rPr>
          <w:sz w:val="36"/>
          <w:szCs w:val="36"/>
          <w:rtl/>
        </w:rPr>
        <w:t>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على تكرر طبيعي معنى الماد</w:t>
      </w:r>
      <w:r w:rsidR="00EC7EDF" w:rsidRPr="00FD211F">
        <w:rPr>
          <w:sz w:val="36"/>
          <w:szCs w:val="36"/>
          <w:rtl/>
        </w:rPr>
        <w:t xml:space="preserve">ة </w:t>
      </w:r>
      <w:r w:rsidRPr="00FD211F">
        <w:rPr>
          <w:sz w:val="36"/>
          <w:szCs w:val="36"/>
          <w:rtl/>
        </w:rPr>
        <w:t>ان ماد</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قد استعملت في معنى معين من احد المعنيين</w:t>
      </w:r>
      <w:r w:rsidR="00603323" w:rsidRPr="00FD211F">
        <w:rPr>
          <w:sz w:val="36"/>
          <w:szCs w:val="36"/>
          <w:rtl/>
        </w:rPr>
        <w:t xml:space="preserve">، </w:t>
      </w:r>
      <w:r w:rsidRPr="00FD211F">
        <w:rPr>
          <w:sz w:val="36"/>
          <w:szCs w:val="36"/>
          <w:rtl/>
        </w:rPr>
        <w:t>كما لايعني عدم استعمال ماد</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في معنى معين وضع 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لإفاد</w:t>
      </w:r>
      <w:r w:rsidR="00EC7EDF" w:rsidRPr="00FD211F">
        <w:rPr>
          <w:sz w:val="36"/>
          <w:szCs w:val="36"/>
          <w:rtl/>
        </w:rPr>
        <w:t xml:space="preserve">ة </w:t>
      </w:r>
      <w:r w:rsidRPr="00FD211F">
        <w:rPr>
          <w:sz w:val="36"/>
          <w:szCs w:val="36"/>
          <w:rtl/>
        </w:rPr>
        <w:t>تكرر لفظ الماد</w:t>
      </w:r>
      <w:r w:rsidR="00EC7EDF" w:rsidRPr="00FD211F">
        <w:rPr>
          <w:sz w:val="36"/>
          <w:szCs w:val="36"/>
          <w:rtl/>
        </w:rPr>
        <w:t>ة</w:t>
      </w:r>
      <w:r w:rsidR="00A61BAE" w:rsidRPr="00FD211F">
        <w:rPr>
          <w:sz w:val="36"/>
          <w:szCs w:val="36"/>
          <w:rtl/>
        </w:rPr>
        <w:t>.</w:t>
      </w:r>
    </w:p>
    <w:p w14:paraId="01F15CD8" w14:textId="77777777" w:rsidR="00052BF2" w:rsidRPr="00FD211F" w:rsidRDefault="00052BF2" w:rsidP="009C58C8">
      <w:pPr>
        <w:ind w:left="0" w:firstLine="227"/>
        <w:jc w:val="both"/>
        <w:rPr>
          <w:sz w:val="36"/>
          <w:szCs w:val="36"/>
          <w:rtl/>
        </w:rPr>
      </w:pPr>
      <w:r w:rsidRPr="00FD211F">
        <w:rPr>
          <w:sz w:val="36"/>
          <w:szCs w:val="36"/>
          <w:rtl/>
        </w:rPr>
        <w:t>والحاصل ان الصحيح هو كون الموضوع له لهيئ</w:t>
      </w:r>
      <w:r w:rsidR="00EC7EDF" w:rsidRPr="00FD211F">
        <w:rPr>
          <w:sz w:val="36"/>
          <w:szCs w:val="36"/>
          <w:rtl/>
        </w:rPr>
        <w:t xml:space="preserve">ة </w:t>
      </w:r>
      <w:r w:rsidRPr="00FD211F">
        <w:rPr>
          <w:sz w:val="36"/>
          <w:szCs w:val="36"/>
          <w:rtl/>
        </w:rPr>
        <w:t>التثني</w:t>
      </w:r>
      <w:r w:rsidR="00EC7EDF" w:rsidRPr="00FD211F">
        <w:rPr>
          <w:sz w:val="36"/>
          <w:szCs w:val="36"/>
          <w:rtl/>
        </w:rPr>
        <w:t xml:space="preserve">ة </w:t>
      </w:r>
      <w:r w:rsidRPr="00FD211F">
        <w:rPr>
          <w:sz w:val="36"/>
          <w:szCs w:val="36"/>
          <w:rtl/>
        </w:rPr>
        <w:t>تكرر طبيعي معنى الماد</w:t>
      </w:r>
      <w:r w:rsidR="00EC7EDF" w:rsidRPr="00FD211F">
        <w:rPr>
          <w:sz w:val="36"/>
          <w:szCs w:val="36"/>
          <w:rtl/>
        </w:rPr>
        <w:t xml:space="preserve">ة </w:t>
      </w:r>
      <w:r w:rsidRPr="00FD211F">
        <w:rPr>
          <w:sz w:val="36"/>
          <w:szCs w:val="36"/>
          <w:rtl/>
        </w:rPr>
        <w:t>إما بنحو تعدد افراد معنى واحد او بنحو تعدد ذات المعنى.</w:t>
      </w:r>
    </w:p>
    <w:p w14:paraId="23836E96" w14:textId="77777777" w:rsidR="00052BF2" w:rsidRPr="00FD211F" w:rsidRDefault="00052BF2" w:rsidP="009C58C8">
      <w:pPr>
        <w:ind w:left="0" w:firstLine="227"/>
        <w:jc w:val="both"/>
        <w:rPr>
          <w:sz w:val="36"/>
          <w:szCs w:val="36"/>
          <w:rtl/>
        </w:rPr>
      </w:pPr>
      <w:r w:rsidRPr="00FD211F">
        <w:rPr>
          <w:sz w:val="36"/>
          <w:szCs w:val="36"/>
          <w:rtl/>
        </w:rPr>
        <w:t>فتحصل مما ذكرنا امكان استعمال التثني</w:t>
      </w:r>
      <w:r w:rsidR="00EC7EDF" w:rsidRPr="00FD211F">
        <w:rPr>
          <w:sz w:val="36"/>
          <w:szCs w:val="36"/>
          <w:rtl/>
        </w:rPr>
        <w:t xml:space="preserve">ة </w:t>
      </w:r>
      <w:r w:rsidRPr="00FD211F">
        <w:rPr>
          <w:sz w:val="36"/>
          <w:szCs w:val="36"/>
          <w:rtl/>
        </w:rPr>
        <w:t>والجمع بل المفرد في اكثر من معنى</w:t>
      </w:r>
      <w:r w:rsidR="00603323" w:rsidRPr="00FD211F">
        <w:rPr>
          <w:sz w:val="36"/>
          <w:szCs w:val="36"/>
          <w:rtl/>
        </w:rPr>
        <w:t xml:space="preserve">، </w:t>
      </w:r>
      <w:r w:rsidRPr="00FD211F">
        <w:rPr>
          <w:sz w:val="36"/>
          <w:szCs w:val="36"/>
          <w:rtl/>
        </w:rPr>
        <w:t>وان كان يحتاج ذلك الى قرين</w:t>
      </w:r>
      <w:r w:rsidR="00EC7EDF" w:rsidRPr="00FD211F">
        <w:rPr>
          <w:sz w:val="36"/>
          <w:szCs w:val="36"/>
          <w:rtl/>
        </w:rPr>
        <w:t xml:space="preserve">ة </w:t>
      </w:r>
      <w:r w:rsidRPr="00FD211F">
        <w:rPr>
          <w:sz w:val="36"/>
          <w:szCs w:val="36"/>
          <w:rtl/>
        </w:rPr>
        <w:t>تدل عليه.</w:t>
      </w:r>
    </w:p>
    <w:p w14:paraId="0436391B" w14:textId="77777777" w:rsidR="00052BF2" w:rsidRPr="00FD211F" w:rsidRDefault="00052BF2" w:rsidP="009C58C8">
      <w:pPr>
        <w:ind w:left="0" w:firstLine="227"/>
        <w:jc w:val="both"/>
        <w:rPr>
          <w:sz w:val="36"/>
          <w:szCs w:val="36"/>
          <w:rtl/>
        </w:rPr>
      </w:pPr>
      <w:r w:rsidRPr="00FD211F">
        <w:rPr>
          <w:b/>
          <w:bCs/>
          <w:sz w:val="36"/>
          <w:szCs w:val="36"/>
          <w:rtl/>
        </w:rPr>
        <w:t>الجه</w:t>
      </w:r>
      <w:r w:rsidR="00EC7EDF" w:rsidRPr="00FD211F">
        <w:rPr>
          <w:b/>
          <w:bCs/>
          <w:sz w:val="36"/>
          <w:szCs w:val="36"/>
          <w:rtl/>
        </w:rPr>
        <w:t xml:space="preserve">ة </w:t>
      </w:r>
      <w:r w:rsidRPr="00FD211F">
        <w:rPr>
          <w:b/>
          <w:bCs/>
          <w:sz w:val="36"/>
          <w:szCs w:val="36"/>
          <w:rtl/>
        </w:rPr>
        <w:t>الخامس</w:t>
      </w:r>
      <w:r w:rsidR="00EC7EDF" w:rsidRPr="00FD211F">
        <w:rPr>
          <w:b/>
          <w:bCs/>
          <w:sz w:val="36"/>
          <w:szCs w:val="36"/>
          <w:rtl/>
        </w:rPr>
        <w:t>ة</w:t>
      </w:r>
      <w:r w:rsidR="00057D31" w:rsidRPr="00FD211F">
        <w:rPr>
          <w:b/>
          <w:bCs/>
          <w:sz w:val="36"/>
          <w:szCs w:val="36"/>
          <w:rtl/>
        </w:rPr>
        <w:t>:</w:t>
      </w:r>
      <w:r w:rsidRPr="00FD211F">
        <w:rPr>
          <w:sz w:val="36"/>
          <w:szCs w:val="36"/>
          <w:rtl/>
        </w:rPr>
        <w:t xml:space="preserve"> يمكن ان تذكر أربع</w:t>
      </w:r>
      <w:r w:rsidR="00EC7EDF" w:rsidRPr="00FD211F">
        <w:rPr>
          <w:sz w:val="36"/>
          <w:szCs w:val="36"/>
          <w:rtl/>
        </w:rPr>
        <w:t xml:space="preserve">ة </w:t>
      </w:r>
      <w:r w:rsidRPr="00FD211F">
        <w:rPr>
          <w:sz w:val="36"/>
          <w:szCs w:val="36"/>
          <w:rtl/>
        </w:rPr>
        <w:t>امثل</w:t>
      </w:r>
      <w:r w:rsidR="00EC7EDF" w:rsidRPr="00FD211F">
        <w:rPr>
          <w:sz w:val="36"/>
          <w:szCs w:val="36"/>
          <w:rtl/>
        </w:rPr>
        <w:t xml:space="preserve">ة </w:t>
      </w:r>
      <w:r w:rsidRPr="00FD211F">
        <w:rPr>
          <w:sz w:val="36"/>
          <w:szCs w:val="36"/>
          <w:rtl/>
        </w:rPr>
        <w:t>شرعي</w:t>
      </w:r>
      <w:r w:rsidR="00EC7EDF" w:rsidRPr="00FD211F">
        <w:rPr>
          <w:sz w:val="36"/>
          <w:szCs w:val="36"/>
          <w:rtl/>
        </w:rPr>
        <w:t xml:space="preserve">ة </w:t>
      </w:r>
      <w:r w:rsidRPr="00FD211F">
        <w:rPr>
          <w:sz w:val="36"/>
          <w:szCs w:val="36"/>
          <w:rtl/>
        </w:rPr>
        <w:t>وقع الكلام في كونها من استعمال اللفظ في اكثر من معنى.</w:t>
      </w:r>
    </w:p>
    <w:p w14:paraId="2F39654D" w14:textId="77777777" w:rsidR="00052BF2" w:rsidRPr="00FD211F" w:rsidRDefault="00052BF2" w:rsidP="009C58C8">
      <w:pPr>
        <w:ind w:left="0" w:firstLine="227"/>
        <w:jc w:val="both"/>
        <w:rPr>
          <w:sz w:val="36"/>
          <w:szCs w:val="36"/>
          <w:rtl/>
        </w:rPr>
      </w:pPr>
      <w:r w:rsidRPr="00FD211F">
        <w:rPr>
          <w:b/>
          <w:bCs/>
          <w:sz w:val="36"/>
          <w:szCs w:val="36"/>
          <w:rtl/>
        </w:rPr>
        <w:t>الأول</w:t>
      </w:r>
      <w:r w:rsidRPr="00FD211F">
        <w:rPr>
          <w:sz w:val="36"/>
          <w:szCs w:val="36"/>
          <w:rtl/>
        </w:rPr>
        <w:t>: م</w:t>
      </w:r>
      <w:r w:rsidR="00375A02" w:rsidRPr="00FD211F">
        <w:rPr>
          <w:sz w:val="36"/>
          <w:szCs w:val="36"/>
          <w:rtl/>
        </w:rPr>
        <w:t>ا اذا ورد في خطاب واحد الأمر بفع</w:t>
      </w:r>
      <w:r w:rsidRPr="00FD211F">
        <w:rPr>
          <w:sz w:val="36"/>
          <w:szCs w:val="36"/>
          <w:rtl/>
        </w:rPr>
        <w:t>لين وثبت من الخارج عدم وجوب احدهما كما في قوله اغتسل للجمع</w:t>
      </w:r>
      <w:r w:rsidR="00EC7EDF" w:rsidRPr="00FD211F">
        <w:rPr>
          <w:sz w:val="36"/>
          <w:szCs w:val="36"/>
          <w:rtl/>
        </w:rPr>
        <w:t xml:space="preserve">ة </w:t>
      </w:r>
      <w:r w:rsidRPr="00FD211F">
        <w:rPr>
          <w:sz w:val="36"/>
          <w:szCs w:val="36"/>
          <w:rtl/>
        </w:rPr>
        <w:t>والجناب</w:t>
      </w:r>
      <w:r w:rsidR="00EC7EDF" w:rsidRPr="00FD211F">
        <w:rPr>
          <w:sz w:val="36"/>
          <w:szCs w:val="36"/>
          <w:rtl/>
        </w:rPr>
        <w:t>ة</w:t>
      </w:r>
      <w:r w:rsidR="00603323" w:rsidRPr="00FD211F">
        <w:rPr>
          <w:sz w:val="36"/>
          <w:szCs w:val="36"/>
          <w:rtl/>
        </w:rPr>
        <w:t xml:space="preserve">، </w:t>
      </w:r>
      <w:r w:rsidRPr="00FD211F">
        <w:rPr>
          <w:sz w:val="36"/>
          <w:szCs w:val="36"/>
          <w:rtl/>
        </w:rPr>
        <w:t>حيث ثبت بالارتكاز القطعي المتشرعي عدم وجوب غسل الجمع</w:t>
      </w:r>
      <w:r w:rsidR="00EC7EDF" w:rsidRPr="00FD211F">
        <w:rPr>
          <w:sz w:val="36"/>
          <w:szCs w:val="36"/>
          <w:rtl/>
        </w:rPr>
        <w:t xml:space="preserve">ة </w:t>
      </w:r>
      <w:r w:rsidRPr="00FD211F">
        <w:rPr>
          <w:sz w:val="36"/>
          <w:szCs w:val="36"/>
          <w:rtl/>
        </w:rPr>
        <w:t>فيقع الكلام في انه هل يمكن التمسك بهذا الخطاب لإثبات وجوب غسل الجناب</w:t>
      </w:r>
      <w:r w:rsidR="00EC7EDF" w:rsidRPr="00FD211F">
        <w:rPr>
          <w:sz w:val="36"/>
          <w:szCs w:val="36"/>
          <w:rtl/>
        </w:rPr>
        <w:t xml:space="preserve">ة </w:t>
      </w:r>
      <w:r w:rsidRPr="00FD211F">
        <w:rPr>
          <w:sz w:val="36"/>
          <w:szCs w:val="36"/>
          <w:rtl/>
        </w:rPr>
        <w:t>ام لا؟ فقد يقال بانه يلزم من الجمع بين اراد</w:t>
      </w:r>
      <w:r w:rsidR="00EC7EDF" w:rsidRPr="00FD211F">
        <w:rPr>
          <w:sz w:val="36"/>
          <w:szCs w:val="36"/>
          <w:rtl/>
        </w:rPr>
        <w:t xml:space="preserve">ة </w:t>
      </w:r>
      <w:r w:rsidRPr="00FD211F">
        <w:rPr>
          <w:sz w:val="36"/>
          <w:szCs w:val="36"/>
          <w:rtl/>
        </w:rPr>
        <w:t>استحباب غسل الجمع</w:t>
      </w:r>
      <w:r w:rsidR="00EC7EDF" w:rsidRPr="00FD211F">
        <w:rPr>
          <w:sz w:val="36"/>
          <w:szCs w:val="36"/>
          <w:rtl/>
        </w:rPr>
        <w:t xml:space="preserve">ة </w:t>
      </w:r>
      <w:r w:rsidRPr="00FD211F">
        <w:rPr>
          <w:sz w:val="36"/>
          <w:szCs w:val="36"/>
          <w:rtl/>
        </w:rPr>
        <w:t>ووجوب غسل الجناب</w:t>
      </w:r>
      <w:r w:rsidR="00EC7EDF" w:rsidRPr="00FD211F">
        <w:rPr>
          <w:sz w:val="36"/>
          <w:szCs w:val="36"/>
          <w:rtl/>
        </w:rPr>
        <w:t xml:space="preserve">ة </w:t>
      </w:r>
      <w:r w:rsidRPr="00FD211F">
        <w:rPr>
          <w:sz w:val="36"/>
          <w:szCs w:val="36"/>
          <w:rtl/>
        </w:rPr>
        <w:t>استعمال صيغ</w:t>
      </w:r>
      <w:r w:rsidR="00EC7EDF" w:rsidRPr="00FD211F">
        <w:rPr>
          <w:sz w:val="36"/>
          <w:szCs w:val="36"/>
          <w:rtl/>
        </w:rPr>
        <w:t xml:space="preserve">ة </w:t>
      </w:r>
      <w:r w:rsidRPr="00FD211F">
        <w:rPr>
          <w:sz w:val="36"/>
          <w:szCs w:val="36"/>
          <w:rtl/>
        </w:rPr>
        <w:t>الأمر في معنيين</w:t>
      </w:r>
      <w:r w:rsidR="00603323" w:rsidRPr="00FD211F">
        <w:rPr>
          <w:sz w:val="36"/>
          <w:szCs w:val="36"/>
          <w:rtl/>
        </w:rPr>
        <w:t xml:space="preserve">، </w:t>
      </w:r>
      <w:r w:rsidRPr="00FD211F">
        <w:rPr>
          <w:sz w:val="36"/>
          <w:szCs w:val="36"/>
          <w:rtl/>
        </w:rPr>
        <w:t>وهو إما مستحيل كما عليه المشهور او خلاف الظاهر كما هو الصحيح.</w:t>
      </w:r>
    </w:p>
    <w:p w14:paraId="47F0000E" w14:textId="77777777" w:rsidR="00052BF2" w:rsidRPr="00FD211F" w:rsidRDefault="00052BF2" w:rsidP="009C58C8">
      <w:pPr>
        <w:ind w:left="0" w:firstLine="227"/>
        <w:jc w:val="both"/>
        <w:rPr>
          <w:sz w:val="36"/>
          <w:szCs w:val="36"/>
          <w:rtl/>
        </w:rPr>
      </w:pPr>
      <w:r w:rsidRPr="00FD211F">
        <w:rPr>
          <w:sz w:val="36"/>
          <w:szCs w:val="36"/>
          <w:rtl/>
        </w:rPr>
        <w:t>ولكنه يبتني على مسلك من يرى كون دلال</w:t>
      </w:r>
      <w:r w:rsidR="00EC7EDF" w:rsidRPr="00FD211F">
        <w:rPr>
          <w:sz w:val="36"/>
          <w:szCs w:val="36"/>
          <w:rtl/>
        </w:rPr>
        <w:t xml:space="preserve">ة </w:t>
      </w:r>
      <w:r w:rsidRPr="00FD211F">
        <w:rPr>
          <w:sz w:val="36"/>
          <w:szCs w:val="36"/>
          <w:rtl/>
        </w:rPr>
        <w:t>صيغ</w:t>
      </w:r>
      <w:r w:rsidR="00EC7EDF" w:rsidRPr="00FD211F">
        <w:rPr>
          <w:sz w:val="36"/>
          <w:szCs w:val="36"/>
          <w:rtl/>
        </w:rPr>
        <w:t xml:space="preserve">ة </w:t>
      </w:r>
      <w:r w:rsidRPr="00FD211F">
        <w:rPr>
          <w:sz w:val="36"/>
          <w:szCs w:val="36"/>
          <w:rtl/>
        </w:rPr>
        <w:t>الأمر على الوجوب ثابت</w:t>
      </w:r>
      <w:r w:rsidR="00EC7EDF" w:rsidRPr="00FD211F">
        <w:rPr>
          <w:sz w:val="36"/>
          <w:szCs w:val="36"/>
          <w:rtl/>
        </w:rPr>
        <w:t xml:space="preserve">ة </w:t>
      </w:r>
      <w:r w:rsidRPr="00FD211F">
        <w:rPr>
          <w:sz w:val="36"/>
          <w:szCs w:val="36"/>
          <w:rtl/>
        </w:rPr>
        <w:t>بالوضع</w:t>
      </w:r>
      <w:r w:rsidR="00B253CE" w:rsidRPr="00FD211F">
        <w:rPr>
          <w:sz w:val="36"/>
          <w:szCs w:val="36"/>
          <w:rtl/>
        </w:rPr>
        <w:t xml:space="preserve"> </w:t>
      </w:r>
      <w:r w:rsidRPr="00FD211F">
        <w:rPr>
          <w:sz w:val="36"/>
          <w:szCs w:val="36"/>
          <w:rtl/>
        </w:rPr>
        <w:t>كما عليه صاحب الكفاي</w:t>
      </w:r>
      <w:r w:rsidR="00EC7EDF" w:rsidRPr="00FD211F">
        <w:rPr>
          <w:sz w:val="36"/>
          <w:szCs w:val="36"/>
          <w:rtl/>
        </w:rPr>
        <w:t xml:space="preserve">ة </w:t>
      </w:r>
      <w:r w:rsidR="008817D4" w:rsidRPr="00FD211F">
        <w:rPr>
          <w:sz w:val="36"/>
          <w:szCs w:val="36"/>
          <w:rtl/>
        </w:rPr>
        <w:t>"قده"</w:t>
      </w:r>
      <w:r w:rsidR="00603323" w:rsidRPr="00FD211F">
        <w:rPr>
          <w:sz w:val="36"/>
          <w:szCs w:val="36"/>
          <w:rtl/>
        </w:rPr>
        <w:t xml:space="preserve">، </w:t>
      </w:r>
      <w:r w:rsidRPr="00FD211F">
        <w:rPr>
          <w:sz w:val="36"/>
          <w:szCs w:val="36"/>
          <w:rtl/>
        </w:rPr>
        <w:t>وأما بناء على كون دلالتها على الوجوب ثابت</w:t>
      </w:r>
      <w:r w:rsidR="00EC7EDF" w:rsidRPr="00FD211F">
        <w:rPr>
          <w:sz w:val="36"/>
          <w:szCs w:val="36"/>
          <w:rtl/>
        </w:rPr>
        <w:t xml:space="preserve">ة </w:t>
      </w:r>
      <w:r w:rsidRPr="00FD211F">
        <w:rPr>
          <w:sz w:val="36"/>
          <w:szCs w:val="36"/>
          <w:rtl/>
        </w:rPr>
        <w:t>بمقدمات الحكم</w:t>
      </w:r>
      <w:r w:rsidR="00EC7EDF" w:rsidRPr="00FD211F">
        <w:rPr>
          <w:sz w:val="36"/>
          <w:szCs w:val="36"/>
          <w:rtl/>
        </w:rPr>
        <w:t xml:space="preserve">ة </w:t>
      </w:r>
      <w:r w:rsidRPr="00FD211F">
        <w:rPr>
          <w:sz w:val="36"/>
          <w:szCs w:val="36"/>
          <w:rtl/>
        </w:rPr>
        <w:t>كما هو الصحيح فلايلزم من اراد</w:t>
      </w:r>
      <w:r w:rsidR="00EC7EDF" w:rsidRPr="00FD211F">
        <w:rPr>
          <w:sz w:val="36"/>
          <w:szCs w:val="36"/>
          <w:rtl/>
        </w:rPr>
        <w:t xml:space="preserve">ة </w:t>
      </w:r>
      <w:r w:rsidRPr="00FD211F">
        <w:rPr>
          <w:sz w:val="36"/>
          <w:szCs w:val="36"/>
          <w:rtl/>
        </w:rPr>
        <w:t>وجوب غسل الجناب</w:t>
      </w:r>
      <w:r w:rsidR="00EC7EDF" w:rsidRPr="00FD211F">
        <w:rPr>
          <w:sz w:val="36"/>
          <w:szCs w:val="36"/>
          <w:rtl/>
        </w:rPr>
        <w:t xml:space="preserve">ة </w:t>
      </w:r>
      <w:r w:rsidRPr="00FD211F">
        <w:rPr>
          <w:sz w:val="36"/>
          <w:szCs w:val="36"/>
          <w:rtl/>
        </w:rPr>
        <w:t>واستحباب غسل الجمع</w:t>
      </w:r>
      <w:r w:rsidR="00EC7EDF" w:rsidRPr="00FD211F">
        <w:rPr>
          <w:sz w:val="36"/>
          <w:szCs w:val="36"/>
          <w:rtl/>
        </w:rPr>
        <w:t xml:space="preserve">ة </w:t>
      </w:r>
      <w:r w:rsidRPr="00FD211F">
        <w:rPr>
          <w:sz w:val="36"/>
          <w:szCs w:val="36"/>
          <w:rtl/>
        </w:rPr>
        <w:t>استعمال اللفظ في اكثر من معنى لان صيغ</w:t>
      </w:r>
      <w:r w:rsidR="00EC7EDF" w:rsidRPr="00FD211F">
        <w:rPr>
          <w:sz w:val="36"/>
          <w:szCs w:val="36"/>
          <w:rtl/>
        </w:rPr>
        <w:t xml:space="preserve">ة </w:t>
      </w:r>
      <w:r w:rsidR="001B3112" w:rsidRPr="00FD211F">
        <w:rPr>
          <w:sz w:val="36"/>
          <w:szCs w:val="36"/>
          <w:rtl/>
        </w:rPr>
        <w:t>الأمر</w:t>
      </w:r>
      <w:r w:rsidRPr="00FD211F">
        <w:rPr>
          <w:sz w:val="36"/>
          <w:szCs w:val="36"/>
          <w:rtl/>
        </w:rPr>
        <w:t xml:space="preserve"> قد استعملت في معناها الموضوع له وهو جامع الطلب ويكون الدال على الوجوب مقدمات الحكم</w:t>
      </w:r>
      <w:r w:rsidR="00EC7EDF" w:rsidRPr="00FD211F">
        <w:rPr>
          <w:sz w:val="36"/>
          <w:szCs w:val="36"/>
          <w:rtl/>
        </w:rPr>
        <w:t xml:space="preserve">ة </w:t>
      </w:r>
      <w:r w:rsidRPr="00FD211F">
        <w:rPr>
          <w:sz w:val="36"/>
          <w:szCs w:val="36"/>
          <w:rtl/>
        </w:rPr>
        <w:t>من باب تعدد الدال والمدلول</w:t>
      </w:r>
      <w:r w:rsidR="00603323" w:rsidRPr="00FD211F">
        <w:rPr>
          <w:sz w:val="36"/>
          <w:szCs w:val="36"/>
          <w:rtl/>
        </w:rPr>
        <w:t xml:space="preserve">، </w:t>
      </w:r>
      <w:r w:rsidRPr="00FD211F">
        <w:rPr>
          <w:sz w:val="36"/>
          <w:szCs w:val="36"/>
          <w:rtl/>
        </w:rPr>
        <w:t>وقيام القرين</w:t>
      </w:r>
      <w:r w:rsidR="00EC7EDF" w:rsidRPr="00FD211F">
        <w:rPr>
          <w:sz w:val="36"/>
          <w:szCs w:val="36"/>
          <w:rtl/>
        </w:rPr>
        <w:t xml:space="preserve">ة </w:t>
      </w:r>
      <w:r w:rsidRPr="00FD211F">
        <w:rPr>
          <w:sz w:val="36"/>
          <w:szCs w:val="36"/>
          <w:rtl/>
        </w:rPr>
        <w:t>على عدم وجوب غسل الجمع</w:t>
      </w:r>
      <w:r w:rsidR="00EC7EDF" w:rsidRPr="00FD211F">
        <w:rPr>
          <w:sz w:val="36"/>
          <w:szCs w:val="36"/>
          <w:rtl/>
        </w:rPr>
        <w:t xml:space="preserve">ة </w:t>
      </w:r>
      <w:r w:rsidRPr="00FD211F">
        <w:rPr>
          <w:sz w:val="36"/>
          <w:szCs w:val="36"/>
          <w:rtl/>
        </w:rPr>
        <w:t>لايقتضي رفع اليد عن الدلال</w:t>
      </w:r>
      <w:r w:rsidR="00EC7EDF" w:rsidRPr="00FD211F">
        <w:rPr>
          <w:sz w:val="36"/>
          <w:szCs w:val="36"/>
          <w:rtl/>
        </w:rPr>
        <w:t xml:space="preserve">ة </w:t>
      </w:r>
      <w:r w:rsidRPr="00FD211F">
        <w:rPr>
          <w:sz w:val="36"/>
          <w:szCs w:val="36"/>
          <w:rtl/>
        </w:rPr>
        <w:t>الاطلاقي</w:t>
      </w:r>
      <w:r w:rsidR="00EC7EDF" w:rsidRPr="00FD211F">
        <w:rPr>
          <w:sz w:val="36"/>
          <w:szCs w:val="36"/>
          <w:rtl/>
        </w:rPr>
        <w:t xml:space="preserve">ة </w:t>
      </w:r>
      <w:r w:rsidRPr="00FD211F">
        <w:rPr>
          <w:sz w:val="36"/>
          <w:szCs w:val="36"/>
          <w:rtl/>
        </w:rPr>
        <w:t>بالنسب</w:t>
      </w:r>
      <w:r w:rsidR="00EC7EDF" w:rsidRPr="00FD211F">
        <w:rPr>
          <w:sz w:val="36"/>
          <w:szCs w:val="36"/>
          <w:rtl/>
        </w:rPr>
        <w:t xml:space="preserve">ة </w:t>
      </w:r>
      <w:r w:rsidRPr="00FD211F">
        <w:rPr>
          <w:sz w:val="36"/>
          <w:szCs w:val="36"/>
          <w:rtl/>
        </w:rPr>
        <w:t>الى وجوب غسل الجناب</w:t>
      </w:r>
      <w:r w:rsidR="00EC7EDF" w:rsidRPr="00FD211F">
        <w:rPr>
          <w:sz w:val="36"/>
          <w:szCs w:val="36"/>
          <w:rtl/>
        </w:rPr>
        <w:t>ة</w:t>
      </w:r>
      <w:r w:rsidR="00603323" w:rsidRPr="00FD211F">
        <w:rPr>
          <w:sz w:val="36"/>
          <w:szCs w:val="36"/>
          <w:rtl/>
        </w:rPr>
        <w:t xml:space="preserve">، </w:t>
      </w:r>
      <w:r w:rsidRPr="00FD211F">
        <w:rPr>
          <w:sz w:val="36"/>
          <w:szCs w:val="36"/>
          <w:rtl/>
        </w:rPr>
        <w:t>فيلتزم باستحباب غسل الجمع</w:t>
      </w:r>
      <w:r w:rsidR="00EC7EDF" w:rsidRPr="00FD211F">
        <w:rPr>
          <w:sz w:val="36"/>
          <w:szCs w:val="36"/>
          <w:rtl/>
        </w:rPr>
        <w:t xml:space="preserve">ة </w:t>
      </w:r>
      <w:r w:rsidRPr="00FD211F">
        <w:rPr>
          <w:sz w:val="36"/>
          <w:szCs w:val="36"/>
          <w:rtl/>
        </w:rPr>
        <w:t>ووجوب غسل الجناب</w:t>
      </w:r>
      <w:r w:rsidR="00EC7EDF" w:rsidRPr="00FD211F">
        <w:rPr>
          <w:sz w:val="36"/>
          <w:szCs w:val="36"/>
          <w:rtl/>
        </w:rPr>
        <w:t>ة</w:t>
      </w:r>
      <w:r w:rsidR="00603323" w:rsidRPr="00FD211F">
        <w:rPr>
          <w:sz w:val="36"/>
          <w:szCs w:val="36"/>
          <w:rtl/>
        </w:rPr>
        <w:t xml:space="preserve">، </w:t>
      </w:r>
      <w:r w:rsidRPr="00FD211F">
        <w:rPr>
          <w:sz w:val="36"/>
          <w:szCs w:val="36"/>
          <w:rtl/>
        </w:rPr>
        <w:t>نظير ما لو ورد في خطاب "ان ظاهرت او أفطرت فأعتق رقب</w:t>
      </w:r>
      <w:r w:rsidR="00EC7EDF" w:rsidRPr="00FD211F">
        <w:rPr>
          <w:sz w:val="36"/>
          <w:szCs w:val="36"/>
          <w:rtl/>
        </w:rPr>
        <w:t>ة</w:t>
      </w:r>
      <w:r w:rsidRPr="00FD211F">
        <w:rPr>
          <w:sz w:val="36"/>
          <w:szCs w:val="36"/>
          <w:rtl/>
        </w:rPr>
        <w:t>" ثم دل دليل آخر على لزوم كون الرقب</w:t>
      </w:r>
      <w:r w:rsidR="00EC7EDF" w:rsidRPr="00FD211F">
        <w:rPr>
          <w:sz w:val="36"/>
          <w:szCs w:val="36"/>
          <w:rtl/>
        </w:rPr>
        <w:t xml:space="preserve">ة </w:t>
      </w:r>
      <w:r w:rsidRPr="00FD211F">
        <w:rPr>
          <w:sz w:val="36"/>
          <w:szCs w:val="36"/>
          <w:rtl/>
        </w:rPr>
        <w:t>التي تعتق في كفار</w:t>
      </w:r>
      <w:r w:rsidR="00EC7EDF" w:rsidRPr="00FD211F">
        <w:rPr>
          <w:sz w:val="36"/>
          <w:szCs w:val="36"/>
          <w:rtl/>
        </w:rPr>
        <w:t xml:space="preserve">ة </w:t>
      </w:r>
      <w:r w:rsidRPr="00FD211F">
        <w:rPr>
          <w:sz w:val="36"/>
          <w:szCs w:val="36"/>
          <w:rtl/>
        </w:rPr>
        <w:t>الظهار مؤمن</w:t>
      </w:r>
      <w:r w:rsidR="00EC7EDF" w:rsidRPr="00FD211F">
        <w:rPr>
          <w:sz w:val="36"/>
          <w:szCs w:val="36"/>
          <w:rtl/>
        </w:rPr>
        <w:t>ة</w:t>
      </w:r>
      <w:r w:rsidR="00603323" w:rsidRPr="00FD211F">
        <w:rPr>
          <w:sz w:val="36"/>
          <w:szCs w:val="36"/>
          <w:rtl/>
        </w:rPr>
        <w:t xml:space="preserve">، </w:t>
      </w:r>
      <w:r w:rsidRPr="00FD211F">
        <w:rPr>
          <w:sz w:val="36"/>
          <w:szCs w:val="36"/>
          <w:rtl/>
        </w:rPr>
        <w:t>فانه لايوجب سقوط اطلاق الخطاب بالنسب</w:t>
      </w:r>
      <w:r w:rsidR="00EC7EDF" w:rsidRPr="00FD211F">
        <w:rPr>
          <w:sz w:val="36"/>
          <w:szCs w:val="36"/>
          <w:rtl/>
        </w:rPr>
        <w:t xml:space="preserve">ة </w:t>
      </w:r>
      <w:r w:rsidRPr="00FD211F">
        <w:rPr>
          <w:sz w:val="36"/>
          <w:szCs w:val="36"/>
          <w:rtl/>
        </w:rPr>
        <w:t>الى كفار</w:t>
      </w:r>
      <w:r w:rsidR="00EC7EDF" w:rsidRPr="00FD211F">
        <w:rPr>
          <w:sz w:val="36"/>
          <w:szCs w:val="36"/>
          <w:rtl/>
        </w:rPr>
        <w:t xml:space="preserve">ة </w:t>
      </w:r>
      <w:r w:rsidRPr="00FD211F">
        <w:rPr>
          <w:sz w:val="36"/>
          <w:szCs w:val="36"/>
          <w:rtl/>
        </w:rPr>
        <w:t>الإفطار</w:t>
      </w:r>
      <w:r w:rsidR="00603323" w:rsidRPr="00FD211F">
        <w:rPr>
          <w:sz w:val="36"/>
          <w:szCs w:val="36"/>
          <w:rtl/>
        </w:rPr>
        <w:t xml:space="preserve">، </w:t>
      </w:r>
      <w:r w:rsidRPr="00FD211F">
        <w:rPr>
          <w:sz w:val="36"/>
          <w:szCs w:val="36"/>
          <w:rtl/>
        </w:rPr>
        <w:t>وأما لو قلنا بان استفاد</w:t>
      </w:r>
      <w:r w:rsidR="00EC7EDF" w:rsidRPr="00FD211F">
        <w:rPr>
          <w:sz w:val="36"/>
          <w:szCs w:val="36"/>
          <w:rtl/>
        </w:rPr>
        <w:t xml:space="preserve">ة </w:t>
      </w:r>
      <w:r w:rsidRPr="00FD211F">
        <w:rPr>
          <w:sz w:val="36"/>
          <w:szCs w:val="36"/>
          <w:rtl/>
        </w:rPr>
        <w:t>الوجوب من صيغ</w:t>
      </w:r>
      <w:r w:rsidR="00EC7EDF" w:rsidRPr="00FD211F">
        <w:rPr>
          <w:sz w:val="36"/>
          <w:szCs w:val="36"/>
          <w:rtl/>
        </w:rPr>
        <w:t xml:space="preserve">ة </w:t>
      </w:r>
      <w:r w:rsidRPr="00FD211F">
        <w:rPr>
          <w:sz w:val="36"/>
          <w:szCs w:val="36"/>
          <w:rtl/>
        </w:rPr>
        <w:t>الأمر لاتكون ناشئ</w:t>
      </w:r>
      <w:r w:rsidR="00EC7EDF" w:rsidRPr="00FD211F">
        <w:rPr>
          <w:sz w:val="36"/>
          <w:szCs w:val="36"/>
          <w:rtl/>
        </w:rPr>
        <w:t xml:space="preserve">ة </w:t>
      </w:r>
      <w:r w:rsidRPr="00FD211F">
        <w:rPr>
          <w:sz w:val="36"/>
          <w:szCs w:val="36"/>
          <w:rtl/>
        </w:rPr>
        <w:t>عن الظهور وانما تكون من باب الحجي</w:t>
      </w:r>
      <w:r w:rsidR="00EC7EDF" w:rsidRPr="00FD211F">
        <w:rPr>
          <w:sz w:val="36"/>
          <w:szCs w:val="36"/>
          <w:rtl/>
        </w:rPr>
        <w:t xml:space="preserve">ة </w:t>
      </w:r>
      <w:r w:rsidRPr="00FD211F">
        <w:rPr>
          <w:sz w:val="36"/>
          <w:szCs w:val="36"/>
          <w:rtl/>
        </w:rPr>
        <w:t>العقلائي</w:t>
      </w:r>
      <w:r w:rsidR="00EC7EDF" w:rsidRPr="00FD211F">
        <w:rPr>
          <w:sz w:val="36"/>
          <w:szCs w:val="36"/>
          <w:rtl/>
        </w:rPr>
        <w:t xml:space="preserve">ة </w:t>
      </w:r>
      <w:r w:rsidR="00371518" w:rsidRPr="00FD211F">
        <w:rPr>
          <w:sz w:val="36"/>
          <w:szCs w:val="36"/>
          <w:rtl/>
        </w:rPr>
        <w:t>-كما عليه السيد الإمام</w:t>
      </w:r>
      <w:r w:rsidR="008F14E7" w:rsidRPr="00FD211F">
        <w:rPr>
          <w:sz w:val="36"/>
          <w:szCs w:val="36"/>
          <w:rtl/>
        </w:rPr>
        <w:t xml:space="preserve"> "قده"</w:t>
      </w:r>
      <w:r w:rsidR="00371518" w:rsidRPr="00FD211F">
        <w:rPr>
          <w:sz w:val="36"/>
          <w:szCs w:val="36"/>
          <w:rtl/>
        </w:rPr>
        <w:t>- او ي</w:t>
      </w:r>
      <w:r w:rsidRPr="00FD211F">
        <w:rPr>
          <w:sz w:val="36"/>
          <w:szCs w:val="36"/>
          <w:rtl/>
        </w:rPr>
        <w:t>كون</w:t>
      </w:r>
      <w:r w:rsidR="00371518" w:rsidRPr="00FD211F">
        <w:rPr>
          <w:sz w:val="36"/>
          <w:szCs w:val="36"/>
          <w:rtl/>
        </w:rPr>
        <w:t xml:space="preserve"> الوجوب مجرد</w:t>
      </w:r>
      <w:r w:rsidR="00B253CE" w:rsidRPr="00FD211F">
        <w:rPr>
          <w:sz w:val="36"/>
          <w:szCs w:val="36"/>
          <w:rtl/>
        </w:rPr>
        <w:t xml:space="preserve"> </w:t>
      </w:r>
      <w:r w:rsidRPr="00FD211F">
        <w:rPr>
          <w:sz w:val="36"/>
          <w:szCs w:val="36"/>
          <w:rtl/>
        </w:rPr>
        <w:t xml:space="preserve">حكم العقل في موارد وصول بعث من المولى نحو فعل مع عدم وصول ترخيص منه في تركه -كما عليه </w:t>
      </w:r>
      <w:r w:rsidR="00371518" w:rsidRPr="00FD211F">
        <w:rPr>
          <w:sz w:val="36"/>
          <w:szCs w:val="36"/>
          <w:rtl/>
        </w:rPr>
        <w:t>المحقق النائيني و</w:t>
      </w:r>
      <w:r w:rsidRPr="00FD211F">
        <w:rPr>
          <w:sz w:val="36"/>
          <w:szCs w:val="36"/>
          <w:rtl/>
        </w:rPr>
        <w:t xml:space="preserve">السيد الخوئي </w:t>
      </w:r>
      <w:r w:rsidR="008817D4" w:rsidRPr="00FD211F">
        <w:rPr>
          <w:sz w:val="36"/>
          <w:szCs w:val="36"/>
          <w:rtl/>
        </w:rPr>
        <w:t>"</w:t>
      </w:r>
      <w:r w:rsidRPr="00FD211F">
        <w:rPr>
          <w:sz w:val="36"/>
          <w:szCs w:val="36"/>
          <w:rtl/>
        </w:rPr>
        <w:t>قده</w:t>
      </w:r>
      <w:r w:rsidR="00371518" w:rsidRPr="00FD211F">
        <w:rPr>
          <w:sz w:val="36"/>
          <w:szCs w:val="36"/>
          <w:rtl/>
        </w:rPr>
        <w:t>ما</w:t>
      </w:r>
      <w:r w:rsidR="00375A02" w:rsidRPr="00FD211F">
        <w:rPr>
          <w:sz w:val="36"/>
          <w:szCs w:val="36"/>
          <w:rtl/>
        </w:rPr>
        <w:t>"</w:t>
      </w:r>
      <w:r w:rsidRPr="00FD211F">
        <w:rPr>
          <w:sz w:val="36"/>
          <w:szCs w:val="36"/>
          <w:rtl/>
        </w:rPr>
        <w:t>- فالأمر أوضح</w:t>
      </w:r>
      <w:r w:rsidR="00603323" w:rsidRPr="00FD211F">
        <w:rPr>
          <w:sz w:val="36"/>
          <w:szCs w:val="36"/>
          <w:rtl/>
        </w:rPr>
        <w:t xml:space="preserve">، </w:t>
      </w:r>
      <w:r w:rsidRPr="00FD211F">
        <w:rPr>
          <w:sz w:val="36"/>
          <w:szCs w:val="36"/>
          <w:rtl/>
        </w:rPr>
        <w:t>حيث ان المعنى المستعمل فيه هو جامع الطلب</w:t>
      </w:r>
      <w:r w:rsidR="00603323" w:rsidRPr="00FD211F">
        <w:rPr>
          <w:sz w:val="36"/>
          <w:szCs w:val="36"/>
          <w:rtl/>
        </w:rPr>
        <w:t xml:space="preserve">، </w:t>
      </w:r>
      <w:r w:rsidRPr="00FD211F">
        <w:rPr>
          <w:sz w:val="36"/>
          <w:szCs w:val="36"/>
          <w:rtl/>
        </w:rPr>
        <w:t>وقيام الدليل على الترخيص في ترك غسل الجمع</w:t>
      </w:r>
      <w:r w:rsidR="00EC7EDF" w:rsidRPr="00FD211F">
        <w:rPr>
          <w:sz w:val="36"/>
          <w:szCs w:val="36"/>
          <w:rtl/>
        </w:rPr>
        <w:t xml:space="preserve">ة </w:t>
      </w:r>
      <w:r w:rsidRPr="00FD211F">
        <w:rPr>
          <w:sz w:val="36"/>
          <w:szCs w:val="36"/>
          <w:rtl/>
        </w:rPr>
        <w:t>لايكون معذِّرا عقلا وعقلاء في ترك غسل الجناب</w:t>
      </w:r>
      <w:r w:rsidR="00EC7EDF" w:rsidRPr="00FD211F">
        <w:rPr>
          <w:sz w:val="36"/>
          <w:szCs w:val="36"/>
          <w:rtl/>
        </w:rPr>
        <w:t>ة</w:t>
      </w:r>
      <w:r w:rsidR="00A61BAE" w:rsidRPr="00FD211F">
        <w:rPr>
          <w:sz w:val="36"/>
          <w:szCs w:val="36"/>
          <w:rtl/>
        </w:rPr>
        <w:t>.</w:t>
      </w:r>
    </w:p>
    <w:p w14:paraId="5D3F050E" w14:textId="77777777" w:rsidR="00052BF2" w:rsidRPr="00FD211F" w:rsidRDefault="00052BF2" w:rsidP="005946E3">
      <w:pPr>
        <w:ind w:left="0" w:firstLine="227"/>
        <w:jc w:val="both"/>
        <w:rPr>
          <w:sz w:val="36"/>
          <w:szCs w:val="36"/>
          <w:rtl/>
        </w:rPr>
      </w:pPr>
      <w:r w:rsidRPr="00FD211F">
        <w:rPr>
          <w:b/>
          <w:bCs/>
          <w:sz w:val="36"/>
          <w:szCs w:val="36"/>
          <w:rtl/>
        </w:rPr>
        <w:t>الثاني</w:t>
      </w:r>
      <w:r w:rsidRPr="00FD211F">
        <w:rPr>
          <w:sz w:val="36"/>
          <w:szCs w:val="36"/>
          <w:rtl/>
        </w:rPr>
        <w:t>: اذا ورد في خطاب شرعي ما يشتمل على حكم ارشادي كما في قوله تعالى: أطيعوا الله والرسول</w:t>
      </w:r>
      <w:r w:rsidR="00603323" w:rsidRPr="00FD211F">
        <w:rPr>
          <w:sz w:val="36"/>
          <w:szCs w:val="36"/>
          <w:rtl/>
        </w:rPr>
        <w:t xml:space="preserve">، </w:t>
      </w:r>
      <w:r w:rsidRPr="00FD211F">
        <w:rPr>
          <w:sz w:val="36"/>
          <w:szCs w:val="36"/>
          <w:rtl/>
        </w:rPr>
        <w:t>حيث يلزم حمل الأمر باطاعته تعالى على الإرشاد الى حكم العقل</w:t>
      </w:r>
      <w:r w:rsidR="00603323" w:rsidRPr="00FD211F">
        <w:rPr>
          <w:sz w:val="36"/>
          <w:szCs w:val="36"/>
          <w:rtl/>
        </w:rPr>
        <w:t xml:space="preserve">، </w:t>
      </w:r>
      <w:r w:rsidRPr="00FD211F">
        <w:rPr>
          <w:sz w:val="36"/>
          <w:szCs w:val="36"/>
          <w:rtl/>
        </w:rPr>
        <w:t>فقد يقال بانه لايمكن حينئذ حمل الأمر بإطاع</w:t>
      </w:r>
      <w:r w:rsidR="00EC7EDF" w:rsidRPr="00FD211F">
        <w:rPr>
          <w:sz w:val="36"/>
          <w:szCs w:val="36"/>
          <w:rtl/>
        </w:rPr>
        <w:t xml:space="preserve">ة </w:t>
      </w:r>
      <w:r w:rsidRPr="00FD211F">
        <w:rPr>
          <w:sz w:val="36"/>
          <w:szCs w:val="36"/>
          <w:rtl/>
        </w:rPr>
        <w:t>الرسول على كونه مولويا</w:t>
      </w:r>
      <w:r w:rsidR="00603323" w:rsidRPr="00FD211F">
        <w:rPr>
          <w:sz w:val="36"/>
          <w:szCs w:val="36"/>
          <w:rtl/>
        </w:rPr>
        <w:t xml:space="preserve">، </w:t>
      </w:r>
      <w:r w:rsidRPr="00FD211F">
        <w:rPr>
          <w:sz w:val="36"/>
          <w:szCs w:val="36"/>
          <w:rtl/>
        </w:rPr>
        <w:t>حيث يستلزم ذلك استعمال صيغ</w:t>
      </w:r>
      <w:r w:rsidR="00EC7EDF" w:rsidRPr="00FD211F">
        <w:rPr>
          <w:sz w:val="36"/>
          <w:szCs w:val="36"/>
          <w:rtl/>
        </w:rPr>
        <w:t xml:space="preserve">ة </w:t>
      </w:r>
      <w:r w:rsidR="001B3112" w:rsidRPr="00FD211F">
        <w:rPr>
          <w:sz w:val="36"/>
          <w:szCs w:val="36"/>
          <w:rtl/>
        </w:rPr>
        <w:t>الأمر</w:t>
      </w:r>
      <w:r w:rsidRPr="00FD211F">
        <w:rPr>
          <w:sz w:val="36"/>
          <w:szCs w:val="36"/>
          <w:rtl/>
        </w:rPr>
        <w:t xml:space="preserve"> في الارشادي</w:t>
      </w:r>
      <w:r w:rsidR="00EC7EDF" w:rsidRPr="00FD211F">
        <w:rPr>
          <w:sz w:val="36"/>
          <w:szCs w:val="36"/>
          <w:rtl/>
        </w:rPr>
        <w:t xml:space="preserve">ة </w:t>
      </w:r>
      <w:r w:rsidRPr="00FD211F">
        <w:rPr>
          <w:sz w:val="36"/>
          <w:szCs w:val="36"/>
          <w:rtl/>
        </w:rPr>
        <w:t>والمولوي</w:t>
      </w:r>
      <w:r w:rsidR="00EC7EDF" w:rsidRPr="00FD211F">
        <w:rPr>
          <w:sz w:val="36"/>
          <w:szCs w:val="36"/>
          <w:rtl/>
        </w:rPr>
        <w:t xml:space="preserve">ة </w:t>
      </w:r>
      <w:r w:rsidRPr="00FD211F">
        <w:rPr>
          <w:sz w:val="36"/>
          <w:szCs w:val="36"/>
          <w:rtl/>
        </w:rPr>
        <w:t>معا وهذا يكون من استعمال اللفظ في اكثر من من معنى</w:t>
      </w:r>
      <w:r w:rsidR="00603323" w:rsidRPr="00FD211F">
        <w:rPr>
          <w:sz w:val="36"/>
          <w:szCs w:val="36"/>
          <w:rtl/>
        </w:rPr>
        <w:t xml:space="preserve">، </w:t>
      </w:r>
      <w:r w:rsidRPr="00FD211F">
        <w:rPr>
          <w:sz w:val="36"/>
          <w:szCs w:val="36"/>
          <w:rtl/>
        </w:rPr>
        <w:t>وقد ذكر نظير ذلك المحقق الاصفهاني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في غير موضع من كلماته.</w:t>
      </w:r>
    </w:p>
    <w:p w14:paraId="55B1E079" w14:textId="77777777" w:rsidR="00052BF2" w:rsidRPr="00FD211F" w:rsidRDefault="00052BF2" w:rsidP="009C58C8">
      <w:pPr>
        <w:ind w:left="0" w:firstLine="227"/>
        <w:jc w:val="both"/>
        <w:rPr>
          <w:sz w:val="36"/>
          <w:szCs w:val="36"/>
          <w:rtl/>
        </w:rPr>
      </w:pPr>
      <w:r w:rsidRPr="00FD211F">
        <w:rPr>
          <w:sz w:val="36"/>
          <w:szCs w:val="36"/>
          <w:rtl/>
        </w:rPr>
        <w:t>وفيه: ان الارشادي</w:t>
      </w:r>
      <w:r w:rsidR="00EC7EDF" w:rsidRPr="00FD211F">
        <w:rPr>
          <w:sz w:val="36"/>
          <w:szCs w:val="36"/>
          <w:rtl/>
        </w:rPr>
        <w:t xml:space="preserve">ة </w:t>
      </w:r>
      <w:r w:rsidRPr="00FD211F">
        <w:rPr>
          <w:sz w:val="36"/>
          <w:szCs w:val="36"/>
          <w:rtl/>
        </w:rPr>
        <w:t>والمولوي</w:t>
      </w:r>
      <w:r w:rsidR="00EC7EDF" w:rsidRPr="00FD211F">
        <w:rPr>
          <w:sz w:val="36"/>
          <w:szCs w:val="36"/>
          <w:rtl/>
        </w:rPr>
        <w:t xml:space="preserve">ة </w:t>
      </w:r>
      <w:r w:rsidRPr="00FD211F">
        <w:rPr>
          <w:sz w:val="36"/>
          <w:szCs w:val="36"/>
          <w:rtl/>
        </w:rPr>
        <w:t>لاتوجب الاختلاف في المعنى المستعمل فيه</w:t>
      </w:r>
      <w:r w:rsidR="00603323" w:rsidRPr="00FD211F">
        <w:rPr>
          <w:sz w:val="36"/>
          <w:szCs w:val="36"/>
          <w:rtl/>
        </w:rPr>
        <w:t xml:space="preserve">، </w:t>
      </w:r>
      <w:r w:rsidRPr="00FD211F">
        <w:rPr>
          <w:sz w:val="36"/>
          <w:szCs w:val="36"/>
          <w:rtl/>
        </w:rPr>
        <w:t>وانما توجب اختلاف الداعي في الاستعمال</w:t>
      </w:r>
      <w:r w:rsidR="00603323" w:rsidRPr="00FD211F">
        <w:rPr>
          <w:sz w:val="36"/>
          <w:szCs w:val="36"/>
          <w:rtl/>
        </w:rPr>
        <w:t xml:space="preserve">، </w:t>
      </w:r>
      <w:r w:rsidRPr="00FD211F">
        <w:rPr>
          <w:sz w:val="36"/>
          <w:szCs w:val="36"/>
          <w:rtl/>
        </w:rPr>
        <w:t>ولامانع من استعمال صيغ</w:t>
      </w:r>
      <w:r w:rsidR="00EC7EDF" w:rsidRPr="00FD211F">
        <w:rPr>
          <w:sz w:val="36"/>
          <w:szCs w:val="36"/>
          <w:rtl/>
        </w:rPr>
        <w:t xml:space="preserve">ة </w:t>
      </w:r>
      <w:r w:rsidRPr="00FD211F">
        <w:rPr>
          <w:sz w:val="36"/>
          <w:szCs w:val="36"/>
          <w:rtl/>
        </w:rPr>
        <w:t>الأمر بداعي الإرشاد في حص</w:t>
      </w:r>
      <w:r w:rsidR="00EC7EDF" w:rsidRPr="00FD211F">
        <w:rPr>
          <w:sz w:val="36"/>
          <w:szCs w:val="36"/>
          <w:rtl/>
        </w:rPr>
        <w:t xml:space="preserve">ة </w:t>
      </w:r>
      <w:r w:rsidRPr="00FD211F">
        <w:rPr>
          <w:sz w:val="36"/>
          <w:szCs w:val="36"/>
          <w:rtl/>
        </w:rPr>
        <w:t>من متعلقها وداعي المولوي</w:t>
      </w:r>
      <w:r w:rsidR="00EC7EDF" w:rsidRPr="00FD211F">
        <w:rPr>
          <w:sz w:val="36"/>
          <w:szCs w:val="36"/>
          <w:rtl/>
        </w:rPr>
        <w:t xml:space="preserve">ة </w:t>
      </w:r>
      <w:r w:rsidRPr="00FD211F">
        <w:rPr>
          <w:sz w:val="36"/>
          <w:szCs w:val="36"/>
          <w:rtl/>
        </w:rPr>
        <w:t>في حص</w:t>
      </w:r>
      <w:r w:rsidR="00EC7EDF" w:rsidRPr="00FD211F">
        <w:rPr>
          <w:sz w:val="36"/>
          <w:szCs w:val="36"/>
          <w:rtl/>
        </w:rPr>
        <w:t xml:space="preserve">ة </w:t>
      </w:r>
      <w:r w:rsidRPr="00FD211F">
        <w:rPr>
          <w:sz w:val="36"/>
          <w:szCs w:val="36"/>
          <w:rtl/>
        </w:rPr>
        <w:t>أخرى منه</w:t>
      </w:r>
      <w:r w:rsidR="00603323" w:rsidRPr="00FD211F">
        <w:rPr>
          <w:sz w:val="36"/>
          <w:szCs w:val="36"/>
          <w:rtl/>
        </w:rPr>
        <w:t xml:space="preserve">، </w:t>
      </w:r>
      <w:r w:rsidRPr="00FD211F">
        <w:rPr>
          <w:sz w:val="36"/>
          <w:szCs w:val="36"/>
          <w:rtl/>
        </w:rPr>
        <w:t>وليس في ذلك أيّ</w:t>
      </w:r>
      <w:r w:rsidR="00EC7EDF" w:rsidRPr="00FD211F">
        <w:rPr>
          <w:sz w:val="36"/>
          <w:szCs w:val="36"/>
          <w:rtl/>
        </w:rPr>
        <w:t xml:space="preserve">ة </w:t>
      </w:r>
      <w:r w:rsidRPr="00FD211F">
        <w:rPr>
          <w:sz w:val="36"/>
          <w:szCs w:val="36"/>
          <w:rtl/>
        </w:rPr>
        <w:t>مخالف</w:t>
      </w:r>
      <w:r w:rsidR="00EC7EDF" w:rsidRPr="00FD211F">
        <w:rPr>
          <w:sz w:val="36"/>
          <w:szCs w:val="36"/>
          <w:rtl/>
        </w:rPr>
        <w:t xml:space="preserve">ة </w:t>
      </w:r>
      <w:r w:rsidRPr="00FD211F">
        <w:rPr>
          <w:sz w:val="36"/>
          <w:szCs w:val="36"/>
          <w:rtl/>
        </w:rPr>
        <w:t>للظهور.</w:t>
      </w:r>
    </w:p>
    <w:p w14:paraId="23FD5B80" w14:textId="77777777" w:rsidR="00052BF2" w:rsidRPr="00FD211F" w:rsidRDefault="00052BF2" w:rsidP="009C58C8">
      <w:pPr>
        <w:ind w:left="0" w:firstLine="227"/>
        <w:jc w:val="both"/>
        <w:rPr>
          <w:sz w:val="36"/>
          <w:szCs w:val="36"/>
          <w:rtl/>
        </w:rPr>
      </w:pPr>
      <w:r w:rsidRPr="00FD211F">
        <w:rPr>
          <w:b/>
          <w:bCs/>
          <w:sz w:val="36"/>
          <w:szCs w:val="36"/>
          <w:rtl/>
        </w:rPr>
        <w:t>الثالث</w:t>
      </w:r>
      <w:r w:rsidRPr="00FD211F">
        <w:rPr>
          <w:sz w:val="36"/>
          <w:szCs w:val="36"/>
          <w:rtl/>
        </w:rPr>
        <w:t>: قد ورد في الروايات ان للقرآن ظهرا وبطنا</w:t>
      </w:r>
      <w:r w:rsidR="009C58C8" w:rsidRPr="00FD211F">
        <w:rPr>
          <w:rStyle w:val="a6"/>
          <w:sz w:val="36"/>
          <w:szCs w:val="36"/>
          <w:rtl/>
        </w:rPr>
        <w:t>(</w:t>
      </w:r>
      <w:r w:rsidR="009C58C8" w:rsidRPr="00FD211F">
        <w:rPr>
          <w:rStyle w:val="a6"/>
          <w:sz w:val="36"/>
          <w:szCs w:val="36"/>
          <w:rtl/>
        </w:rPr>
        <w:footnoteReference w:id="474"/>
      </w:r>
      <w:r w:rsidR="009C58C8" w:rsidRPr="00FD211F">
        <w:rPr>
          <w:rStyle w:val="a6"/>
          <w:sz w:val="36"/>
          <w:szCs w:val="36"/>
          <w:rtl/>
        </w:rPr>
        <w:t>)</w:t>
      </w:r>
      <w:r w:rsidR="00603323" w:rsidRPr="00FD211F">
        <w:rPr>
          <w:sz w:val="36"/>
          <w:szCs w:val="36"/>
          <w:rtl/>
        </w:rPr>
        <w:t xml:space="preserve">، </w:t>
      </w:r>
      <w:r w:rsidRPr="00FD211F">
        <w:rPr>
          <w:sz w:val="36"/>
          <w:szCs w:val="36"/>
          <w:rtl/>
        </w:rPr>
        <w:t>وقد يستدل بهذه الروايات على وقوع الاستعمال في اكثر من معنى في القرآن الكريم</w:t>
      </w:r>
      <w:r w:rsidR="00603323" w:rsidRPr="00FD211F">
        <w:rPr>
          <w:sz w:val="36"/>
          <w:szCs w:val="36"/>
          <w:rtl/>
        </w:rPr>
        <w:t xml:space="preserve">، </w:t>
      </w:r>
      <w:r w:rsidRPr="00FD211F">
        <w:rPr>
          <w:sz w:val="36"/>
          <w:szCs w:val="36"/>
          <w:rtl/>
        </w:rPr>
        <w:t>ولكن أجيب عنه بعد</w:t>
      </w:r>
      <w:r w:rsidR="00EC7EDF" w:rsidRPr="00FD211F">
        <w:rPr>
          <w:sz w:val="36"/>
          <w:szCs w:val="36"/>
          <w:rtl/>
        </w:rPr>
        <w:t xml:space="preserve">ة </w:t>
      </w:r>
      <w:r w:rsidRPr="00FD211F">
        <w:rPr>
          <w:sz w:val="36"/>
          <w:szCs w:val="36"/>
          <w:rtl/>
        </w:rPr>
        <w:t>وجوه:</w:t>
      </w:r>
    </w:p>
    <w:p w14:paraId="49ABF34C" w14:textId="77777777" w:rsidR="00375A02" w:rsidRPr="00FD211F" w:rsidRDefault="00375A02" w:rsidP="009C58C8">
      <w:pPr>
        <w:ind w:left="0" w:firstLine="227"/>
        <w:jc w:val="both"/>
        <w:rPr>
          <w:sz w:val="36"/>
          <w:szCs w:val="36"/>
          <w:rtl/>
        </w:rPr>
      </w:pPr>
      <w:r w:rsidRPr="00FD211F">
        <w:rPr>
          <w:sz w:val="36"/>
          <w:szCs w:val="36"/>
          <w:rtl/>
        </w:rPr>
        <w:t>1-</w:t>
      </w:r>
      <w:r w:rsidR="00052BF2" w:rsidRPr="00FD211F">
        <w:rPr>
          <w:sz w:val="36"/>
          <w:szCs w:val="36"/>
          <w:rtl/>
        </w:rPr>
        <w:t>ما ذكره صاحب الكفاي</w:t>
      </w:r>
      <w:r w:rsidR="00EC7EDF" w:rsidRPr="00FD211F">
        <w:rPr>
          <w:sz w:val="36"/>
          <w:szCs w:val="36"/>
          <w:rtl/>
        </w:rPr>
        <w:t xml:space="preserve">ة </w:t>
      </w:r>
      <w:r w:rsidRPr="00FD211F">
        <w:rPr>
          <w:sz w:val="36"/>
          <w:szCs w:val="36"/>
          <w:rtl/>
        </w:rPr>
        <w:t>"</w:t>
      </w:r>
      <w:r w:rsidR="00052BF2" w:rsidRPr="00FD211F">
        <w:rPr>
          <w:sz w:val="36"/>
          <w:szCs w:val="36"/>
          <w:rtl/>
        </w:rPr>
        <w:t>قده</w:t>
      </w:r>
      <w:r w:rsidRPr="00FD211F">
        <w:rPr>
          <w:sz w:val="36"/>
          <w:szCs w:val="36"/>
          <w:rtl/>
        </w:rPr>
        <w:t>"</w:t>
      </w:r>
      <w:r w:rsidR="00052BF2" w:rsidRPr="00FD211F">
        <w:rPr>
          <w:sz w:val="36"/>
          <w:szCs w:val="36"/>
          <w:rtl/>
        </w:rPr>
        <w:t xml:space="preserve"> من احتمال كون بطن القرآن مرادا جديا مقارنا لاستعمال القرآن في معناه لاانه استعمل فيه أيضا زائدا على استعماله في معناه كي يكون من قبيل استعمال اللفظ في اكثر من معنى</w:t>
      </w:r>
      <w:r w:rsidR="009C58C8" w:rsidRPr="00FD211F">
        <w:rPr>
          <w:rStyle w:val="a6"/>
          <w:sz w:val="36"/>
          <w:szCs w:val="36"/>
          <w:rtl/>
        </w:rPr>
        <w:t>(</w:t>
      </w:r>
      <w:r w:rsidR="009C58C8" w:rsidRPr="00FD211F">
        <w:rPr>
          <w:rStyle w:val="a6"/>
          <w:sz w:val="36"/>
          <w:szCs w:val="36"/>
          <w:rtl/>
        </w:rPr>
        <w:footnoteReference w:id="475"/>
      </w:r>
      <w:r w:rsidR="009C58C8" w:rsidRPr="00FD211F">
        <w:rPr>
          <w:rStyle w:val="a6"/>
          <w:sz w:val="36"/>
          <w:szCs w:val="36"/>
          <w:rtl/>
        </w:rPr>
        <w:t>)</w:t>
      </w:r>
      <w:r w:rsidRPr="00FD211F">
        <w:rPr>
          <w:sz w:val="36"/>
          <w:szCs w:val="36"/>
          <w:rtl/>
        </w:rPr>
        <w:t>.</w:t>
      </w:r>
      <w:r w:rsidR="00052BF2" w:rsidRPr="00FD211F">
        <w:rPr>
          <w:sz w:val="36"/>
          <w:szCs w:val="36"/>
          <w:rtl/>
        </w:rPr>
        <w:t xml:space="preserve"> </w:t>
      </w:r>
    </w:p>
    <w:p w14:paraId="64A1947B" w14:textId="77777777" w:rsidR="00052BF2" w:rsidRPr="00FD211F" w:rsidRDefault="00052BF2" w:rsidP="009C58C8">
      <w:pPr>
        <w:ind w:left="0" w:firstLine="227"/>
        <w:jc w:val="both"/>
        <w:rPr>
          <w:sz w:val="36"/>
          <w:szCs w:val="36"/>
          <w:rtl/>
        </w:rPr>
      </w:pPr>
      <w:r w:rsidRPr="00FD211F">
        <w:rPr>
          <w:sz w:val="36"/>
          <w:szCs w:val="36"/>
          <w:rtl/>
        </w:rPr>
        <w:t>والظاهر ان مقصوده هو المعنى الذي يصلح ان ينطبق عليه الكلام بوجه</w:t>
      </w:r>
      <w:r w:rsidR="00603323" w:rsidRPr="00FD211F">
        <w:rPr>
          <w:sz w:val="36"/>
          <w:szCs w:val="36"/>
          <w:rtl/>
        </w:rPr>
        <w:t xml:space="preserve">، </w:t>
      </w:r>
      <w:r w:rsidRPr="00FD211F">
        <w:rPr>
          <w:sz w:val="36"/>
          <w:szCs w:val="36"/>
          <w:rtl/>
        </w:rPr>
        <w:t>والا فلامعنى لعدّ كل ما يقصده المتكلم حين الاستعمال من بطون كلامه</w:t>
      </w:r>
      <w:r w:rsidR="00603323" w:rsidRPr="00FD211F">
        <w:rPr>
          <w:sz w:val="36"/>
          <w:szCs w:val="36"/>
          <w:rtl/>
        </w:rPr>
        <w:t xml:space="preserve">، </w:t>
      </w:r>
      <w:r w:rsidRPr="00FD211F">
        <w:rPr>
          <w:sz w:val="36"/>
          <w:szCs w:val="36"/>
          <w:rtl/>
        </w:rPr>
        <w:t>فانه نظير انه قد يريد ان يأكل الطعام بعده</w:t>
      </w:r>
      <w:r w:rsidR="00603323" w:rsidRPr="00FD211F">
        <w:rPr>
          <w:sz w:val="36"/>
          <w:szCs w:val="36"/>
          <w:rtl/>
        </w:rPr>
        <w:t xml:space="preserve">، </w:t>
      </w:r>
      <w:r w:rsidRPr="00FD211F">
        <w:rPr>
          <w:sz w:val="36"/>
          <w:szCs w:val="36"/>
          <w:rtl/>
        </w:rPr>
        <w:t>فانه لايوجب كونه بطنا لكلامه.</w:t>
      </w:r>
    </w:p>
    <w:p w14:paraId="25CA25C6" w14:textId="77777777" w:rsidR="000C5BBA" w:rsidRPr="00FD211F" w:rsidRDefault="00052BF2" w:rsidP="009C58C8">
      <w:pPr>
        <w:ind w:left="0" w:firstLine="227"/>
        <w:jc w:val="both"/>
        <w:rPr>
          <w:sz w:val="36"/>
          <w:szCs w:val="36"/>
          <w:rtl/>
        </w:rPr>
      </w:pPr>
      <w:r w:rsidRPr="00FD211F">
        <w:rPr>
          <w:sz w:val="36"/>
          <w:szCs w:val="36"/>
          <w:rtl/>
        </w:rPr>
        <w:t>2- ما ذكره صاحب الكفاي</w:t>
      </w:r>
      <w:r w:rsidR="00EC7EDF" w:rsidRPr="00FD211F">
        <w:rPr>
          <w:sz w:val="36"/>
          <w:szCs w:val="36"/>
          <w:rtl/>
        </w:rPr>
        <w:t>ة</w:t>
      </w:r>
      <w:r w:rsidR="008D7B3D" w:rsidRPr="00FD211F">
        <w:rPr>
          <w:sz w:val="36"/>
          <w:szCs w:val="36"/>
          <w:rtl/>
        </w:rPr>
        <w:t xml:space="preserve"> </w:t>
      </w:r>
      <w:r w:rsidR="008817D4" w:rsidRPr="00FD211F">
        <w:rPr>
          <w:sz w:val="36"/>
          <w:szCs w:val="36"/>
          <w:rtl/>
        </w:rPr>
        <w:t>"قده"</w:t>
      </w:r>
      <w:r w:rsidR="00A61BAE" w:rsidRPr="00FD211F">
        <w:rPr>
          <w:sz w:val="36"/>
          <w:szCs w:val="36"/>
          <w:rtl/>
        </w:rPr>
        <w:t xml:space="preserve"> </w:t>
      </w:r>
      <w:r w:rsidRPr="00FD211F">
        <w:rPr>
          <w:sz w:val="36"/>
          <w:szCs w:val="36"/>
          <w:rtl/>
        </w:rPr>
        <w:t>ايضا من احتمال كون البطن بمعنى ا</w:t>
      </w:r>
      <w:r w:rsidR="001F6408" w:rsidRPr="00FD211F">
        <w:rPr>
          <w:sz w:val="36"/>
          <w:szCs w:val="36"/>
          <w:rtl/>
        </w:rPr>
        <w:t>للازم الخفي للمعنى المستعمل فيه.</w:t>
      </w:r>
    </w:p>
    <w:p w14:paraId="5717F6C5" w14:textId="77777777" w:rsidR="00052BF2" w:rsidRPr="00FD211F" w:rsidRDefault="00052BF2" w:rsidP="009C58C8">
      <w:pPr>
        <w:ind w:left="0" w:firstLine="227"/>
        <w:jc w:val="both"/>
        <w:rPr>
          <w:sz w:val="36"/>
          <w:szCs w:val="36"/>
          <w:rtl/>
        </w:rPr>
      </w:pPr>
      <w:r w:rsidRPr="00FD211F">
        <w:rPr>
          <w:sz w:val="36"/>
          <w:szCs w:val="36"/>
          <w:rtl/>
        </w:rPr>
        <w:t xml:space="preserve">واورد عليه بعض الاعلام </w:t>
      </w:r>
      <w:r w:rsidR="00375A02" w:rsidRPr="00FD211F">
        <w:rPr>
          <w:sz w:val="36"/>
          <w:szCs w:val="36"/>
          <w:rtl/>
        </w:rPr>
        <w:t>"</w:t>
      </w:r>
      <w:r w:rsidRPr="00FD211F">
        <w:rPr>
          <w:sz w:val="36"/>
          <w:szCs w:val="36"/>
          <w:rtl/>
        </w:rPr>
        <w:t>قده</w:t>
      </w:r>
      <w:r w:rsidR="00375A02" w:rsidRPr="00FD211F">
        <w:rPr>
          <w:sz w:val="36"/>
          <w:szCs w:val="36"/>
          <w:rtl/>
        </w:rPr>
        <w:t>"</w:t>
      </w:r>
      <w:r w:rsidRPr="00FD211F">
        <w:rPr>
          <w:sz w:val="36"/>
          <w:szCs w:val="36"/>
          <w:rtl/>
        </w:rPr>
        <w:t xml:space="preserve"> بانه لايكون مدحا للقرآن الكريم لتحققه في سائر الكلمات أيضا</w:t>
      </w:r>
      <w:r w:rsidR="009C58C8" w:rsidRPr="00FD211F">
        <w:rPr>
          <w:rStyle w:val="a6"/>
          <w:sz w:val="36"/>
          <w:szCs w:val="36"/>
          <w:rtl/>
        </w:rPr>
        <w:t>(</w:t>
      </w:r>
      <w:r w:rsidR="009C58C8" w:rsidRPr="00FD211F">
        <w:rPr>
          <w:rStyle w:val="a6"/>
          <w:sz w:val="36"/>
          <w:szCs w:val="36"/>
          <w:rtl/>
        </w:rPr>
        <w:footnoteReference w:id="476"/>
      </w:r>
      <w:r w:rsidR="009C58C8" w:rsidRPr="00FD211F">
        <w:rPr>
          <w:rStyle w:val="a6"/>
          <w:sz w:val="36"/>
          <w:szCs w:val="36"/>
          <w:rtl/>
        </w:rPr>
        <w:t>)</w:t>
      </w:r>
      <w:r w:rsidR="00603323" w:rsidRPr="00FD211F">
        <w:rPr>
          <w:sz w:val="36"/>
          <w:szCs w:val="36"/>
          <w:rtl/>
        </w:rPr>
        <w:t xml:space="preserve">، </w:t>
      </w:r>
      <w:r w:rsidRPr="00FD211F">
        <w:rPr>
          <w:sz w:val="36"/>
          <w:szCs w:val="36"/>
          <w:rtl/>
        </w:rPr>
        <w:t>ولكن يمكن ان يجاب عنه باحتمال كون الغرض هو ترغيب الناس الى التوجه الى تلك المعاني الخفي</w:t>
      </w:r>
      <w:r w:rsidR="00EC7EDF" w:rsidRPr="00FD211F">
        <w:rPr>
          <w:sz w:val="36"/>
          <w:szCs w:val="36"/>
          <w:rtl/>
        </w:rPr>
        <w:t xml:space="preserve">ة </w:t>
      </w:r>
      <w:r w:rsidRPr="00FD211F">
        <w:rPr>
          <w:sz w:val="36"/>
          <w:szCs w:val="36"/>
          <w:rtl/>
        </w:rPr>
        <w:t>وتعلمها من الأئم</w:t>
      </w:r>
      <w:r w:rsidR="00EC7EDF" w:rsidRPr="00FD211F">
        <w:rPr>
          <w:sz w:val="36"/>
          <w:szCs w:val="36"/>
          <w:rtl/>
        </w:rPr>
        <w:t xml:space="preserve">ة </w:t>
      </w:r>
      <w:r w:rsidRPr="00FD211F">
        <w:rPr>
          <w:sz w:val="36"/>
          <w:szCs w:val="36"/>
          <w:rtl/>
        </w:rPr>
        <w:t>عليهم السلام</w:t>
      </w:r>
      <w:r w:rsidR="00603323" w:rsidRPr="00FD211F">
        <w:rPr>
          <w:sz w:val="36"/>
          <w:szCs w:val="36"/>
          <w:rtl/>
        </w:rPr>
        <w:t xml:space="preserve">، </w:t>
      </w:r>
      <w:r w:rsidRPr="00FD211F">
        <w:rPr>
          <w:sz w:val="36"/>
          <w:szCs w:val="36"/>
          <w:rtl/>
        </w:rPr>
        <w:t>مضافا الى ان اشتمال القرآن الكريم على لوازم خفي</w:t>
      </w:r>
      <w:r w:rsidR="00EC7EDF" w:rsidRPr="00FD211F">
        <w:rPr>
          <w:sz w:val="36"/>
          <w:szCs w:val="36"/>
          <w:rtl/>
        </w:rPr>
        <w:t xml:space="preserve">ة </w:t>
      </w:r>
      <w:r w:rsidRPr="00FD211F">
        <w:rPr>
          <w:sz w:val="36"/>
          <w:szCs w:val="36"/>
          <w:rtl/>
        </w:rPr>
        <w:t>معتنى بها يكون مدحا له لامحال</w:t>
      </w:r>
      <w:r w:rsidR="00EC7EDF" w:rsidRPr="00FD211F">
        <w:rPr>
          <w:sz w:val="36"/>
          <w:szCs w:val="36"/>
          <w:rtl/>
        </w:rPr>
        <w:t>ة</w:t>
      </w:r>
      <w:r w:rsidR="00603323" w:rsidRPr="00FD211F">
        <w:rPr>
          <w:sz w:val="36"/>
          <w:szCs w:val="36"/>
          <w:rtl/>
        </w:rPr>
        <w:t xml:space="preserve">، </w:t>
      </w:r>
      <w:r w:rsidRPr="00FD211F">
        <w:rPr>
          <w:sz w:val="36"/>
          <w:szCs w:val="36"/>
          <w:rtl/>
        </w:rPr>
        <w:t>اذ كثير من الكلمات يخلو عن اللوازم الخفي</w:t>
      </w:r>
      <w:r w:rsidR="00EC7EDF" w:rsidRPr="00FD211F">
        <w:rPr>
          <w:sz w:val="36"/>
          <w:szCs w:val="36"/>
          <w:rtl/>
        </w:rPr>
        <w:t xml:space="preserve">ة </w:t>
      </w:r>
      <w:r w:rsidRPr="00FD211F">
        <w:rPr>
          <w:sz w:val="36"/>
          <w:szCs w:val="36"/>
          <w:rtl/>
        </w:rPr>
        <w:t>المهم</w:t>
      </w:r>
      <w:r w:rsidR="00EC7EDF" w:rsidRPr="00FD211F">
        <w:rPr>
          <w:sz w:val="36"/>
          <w:szCs w:val="36"/>
          <w:rtl/>
        </w:rPr>
        <w:t>ة</w:t>
      </w:r>
      <w:r w:rsidR="00A61BAE" w:rsidRPr="00FD211F">
        <w:rPr>
          <w:sz w:val="36"/>
          <w:szCs w:val="36"/>
          <w:rtl/>
        </w:rPr>
        <w:t>.</w:t>
      </w:r>
      <w:r w:rsidRPr="00FD211F">
        <w:rPr>
          <w:sz w:val="36"/>
          <w:szCs w:val="36"/>
          <w:rtl/>
        </w:rPr>
        <w:t xml:space="preserve"> </w:t>
      </w:r>
    </w:p>
    <w:p w14:paraId="4D62B53D" w14:textId="77777777" w:rsidR="00052BF2" w:rsidRPr="00FD211F" w:rsidRDefault="00052BF2" w:rsidP="009C58C8">
      <w:pPr>
        <w:ind w:left="0" w:firstLine="227"/>
        <w:jc w:val="both"/>
        <w:rPr>
          <w:sz w:val="36"/>
          <w:szCs w:val="36"/>
          <w:rtl/>
        </w:rPr>
      </w:pPr>
      <w:r w:rsidRPr="00FD211F">
        <w:rPr>
          <w:sz w:val="36"/>
          <w:szCs w:val="36"/>
          <w:rtl/>
        </w:rPr>
        <w:t xml:space="preserve">3- ما ذكره شيخنا الاستاذ </w:t>
      </w:r>
      <w:r w:rsidR="001F6408" w:rsidRPr="00FD211F">
        <w:rPr>
          <w:sz w:val="36"/>
          <w:szCs w:val="36"/>
          <w:rtl/>
        </w:rPr>
        <w:t>"</w:t>
      </w:r>
      <w:r w:rsidRPr="00FD211F">
        <w:rPr>
          <w:sz w:val="36"/>
          <w:szCs w:val="36"/>
          <w:rtl/>
        </w:rPr>
        <w:t>قده</w:t>
      </w:r>
      <w:r w:rsidR="001F6408" w:rsidRPr="00FD211F">
        <w:rPr>
          <w:sz w:val="36"/>
          <w:szCs w:val="36"/>
          <w:rtl/>
        </w:rPr>
        <w:t>"</w:t>
      </w:r>
      <w:r w:rsidRPr="00FD211F">
        <w:rPr>
          <w:sz w:val="36"/>
          <w:szCs w:val="36"/>
          <w:rtl/>
        </w:rPr>
        <w:t xml:space="preserve"> من امكان ان يراد منه الكبرى التي يستخرج منها المدلول المطابقي للآي</w:t>
      </w:r>
      <w:r w:rsidR="00EC7EDF" w:rsidRPr="00FD211F">
        <w:rPr>
          <w:sz w:val="36"/>
          <w:szCs w:val="36"/>
          <w:rtl/>
        </w:rPr>
        <w:t>ة</w:t>
      </w:r>
      <w:r w:rsidR="00603323" w:rsidRPr="00FD211F">
        <w:rPr>
          <w:sz w:val="36"/>
          <w:szCs w:val="36"/>
          <w:rtl/>
        </w:rPr>
        <w:t xml:space="preserve">، </w:t>
      </w:r>
      <w:r w:rsidRPr="00FD211F">
        <w:rPr>
          <w:sz w:val="36"/>
          <w:szCs w:val="36"/>
          <w:rtl/>
        </w:rPr>
        <w:t>كما يستفاد من تفسير اهل الذكر بالأئم</w:t>
      </w:r>
      <w:r w:rsidR="00EC7EDF" w:rsidRPr="00FD211F">
        <w:rPr>
          <w:sz w:val="36"/>
          <w:szCs w:val="36"/>
          <w:rtl/>
        </w:rPr>
        <w:t xml:space="preserve">ة </w:t>
      </w:r>
      <w:r w:rsidRPr="00FD211F">
        <w:rPr>
          <w:sz w:val="36"/>
          <w:szCs w:val="36"/>
          <w:rtl/>
        </w:rPr>
        <w:t>عليهم السلام فانه يكشف عن كبرى يكون كل من هذا التفسير ومورد الآي</w:t>
      </w:r>
      <w:r w:rsidR="00EC7EDF" w:rsidRPr="00FD211F">
        <w:rPr>
          <w:sz w:val="36"/>
          <w:szCs w:val="36"/>
          <w:rtl/>
        </w:rPr>
        <w:t xml:space="preserve">ة </w:t>
      </w:r>
      <w:r w:rsidRPr="00FD211F">
        <w:rPr>
          <w:sz w:val="36"/>
          <w:szCs w:val="36"/>
          <w:rtl/>
        </w:rPr>
        <w:t>ايضا الذي هو السؤال عن علماء اهل الكتاب مصداقين لتلك الكبرى.</w:t>
      </w:r>
    </w:p>
    <w:p w14:paraId="5ECFBE8C" w14:textId="77777777" w:rsidR="00052BF2" w:rsidRPr="00FD211F" w:rsidRDefault="00052BF2" w:rsidP="009C58C8">
      <w:pPr>
        <w:ind w:left="0" w:firstLine="227"/>
        <w:jc w:val="both"/>
        <w:rPr>
          <w:sz w:val="36"/>
          <w:szCs w:val="36"/>
          <w:rtl/>
        </w:rPr>
      </w:pPr>
      <w:r w:rsidRPr="00FD211F">
        <w:rPr>
          <w:sz w:val="36"/>
          <w:szCs w:val="36"/>
          <w:rtl/>
        </w:rPr>
        <w:t>4- ان يراد من بطن القرآن المصداق الخفي الذي لايلتفت اليه العرف</w:t>
      </w:r>
      <w:r w:rsidR="00603323" w:rsidRPr="00FD211F">
        <w:rPr>
          <w:sz w:val="36"/>
          <w:szCs w:val="36"/>
          <w:rtl/>
        </w:rPr>
        <w:t xml:space="preserve">، </w:t>
      </w:r>
      <w:r w:rsidRPr="00FD211F">
        <w:rPr>
          <w:sz w:val="36"/>
          <w:szCs w:val="36"/>
          <w:rtl/>
        </w:rPr>
        <w:t xml:space="preserve">كما فسر قوله تعالى "ولاتخسروا الميزان" بامير المؤمنين </w:t>
      </w:r>
      <w:r w:rsidR="007A4A0D" w:rsidRPr="00FD211F">
        <w:rPr>
          <w:sz w:val="36"/>
          <w:szCs w:val="36"/>
          <w:rtl/>
        </w:rPr>
        <w:t>(عليه‌السلام)</w:t>
      </w:r>
      <w:r w:rsidRPr="00FD211F">
        <w:rPr>
          <w:sz w:val="36"/>
          <w:szCs w:val="36"/>
          <w:rtl/>
        </w:rPr>
        <w:t>.</w:t>
      </w:r>
    </w:p>
    <w:p w14:paraId="62CDF572" w14:textId="77777777" w:rsidR="000C5BBA" w:rsidRPr="00FD211F" w:rsidRDefault="00052BF2" w:rsidP="009C58C8">
      <w:pPr>
        <w:ind w:left="0" w:firstLine="227"/>
        <w:jc w:val="both"/>
        <w:rPr>
          <w:sz w:val="36"/>
          <w:szCs w:val="36"/>
          <w:rtl/>
        </w:rPr>
      </w:pPr>
      <w:r w:rsidRPr="00FD211F">
        <w:rPr>
          <w:b/>
          <w:bCs/>
          <w:sz w:val="36"/>
          <w:szCs w:val="36"/>
          <w:rtl/>
        </w:rPr>
        <w:t>الرابع</w:t>
      </w:r>
      <w:r w:rsidRPr="00FD211F">
        <w:rPr>
          <w:sz w:val="36"/>
          <w:szCs w:val="36"/>
          <w:rtl/>
        </w:rPr>
        <w:t>: قد أفتى كثير من الفقهاء</w:t>
      </w:r>
      <w:r w:rsidR="00B253CE" w:rsidRPr="00FD211F">
        <w:rPr>
          <w:sz w:val="36"/>
          <w:szCs w:val="36"/>
          <w:rtl/>
        </w:rPr>
        <w:t xml:space="preserve"> </w:t>
      </w:r>
      <w:r w:rsidR="00DD55C1" w:rsidRPr="00FD211F">
        <w:rPr>
          <w:sz w:val="36"/>
          <w:szCs w:val="36"/>
          <w:rtl/>
        </w:rPr>
        <w:t>-كالشهيد"ره" في الذكرى -</w:t>
      </w:r>
      <w:r w:rsidRPr="00FD211F">
        <w:rPr>
          <w:sz w:val="36"/>
          <w:szCs w:val="36"/>
          <w:rtl/>
        </w:rPr>
        <w:t>بجواز قصد الإنشاء في الق</w:t>
      </w:r>
      <w:r w:rsidR="008D7B3D" w:rsidRPr="00FD211F">
        <w:rPr>
          <w:sz w:val="36"/>
          <w:szCs w:val="36"/>
          <w:rtl/>
        </w:rPr>
        <w:t>راءة</w:t>
      </w:r>
      <w:r w:rsidR="00EC7EDF" w:rsidRPr="00FD211F">
        <w:rPr>
          <w:sz w:val="36"/>
          <w:szCs w:val="36"/>
          <w:rtl/>
        </w:rPr>
        <w:t xml:space="preserve"> </w:t>
      </w:r>
      <w:r w:rsidRPr="00FD211F">
        <w:rPr>
          <w:sz w:val="36"/>
          <w:szCs w:val="36"/>
          <w:rtl/>
        </w:rPr>
        <w:t>حال الصلا</w:t>
      </w:r>
      <w:r w:rsidR="00EC7EDF" w:rsidRPr="00FD211F">
        <w:rPr>
          <w:sz w:val="36"/>
          <w:szCs w:val="36"/>
          <w:rtl/>
        </w:rPr>
        <w:t xml:space="preserve">ة </w:t>
      </w:r>
      <w:r w:rsidRPr="00FD211F">
        <w:rPr>
          <w:sz w:val="36"/>
          <w:szCs w:val="36"/>
          <w:rtl/>
        </w:rPr>
        <w:t>كإنشاء حمده تعالى حين قراء</w:t>
      </w:r>
      <w:r w:rsidR="00EC7EDF" w:rsidRPr="00FD211F">
        <w:rPr>
          <w:sz w:val="36"/>
          <w:szCs w:val="36"/>
          <w:rtl/>
        </w:rPr>
        <w:t xml:space="preserve">ة </w:t>
      </w:r>
      <w:r w:rsidRPr="00FD211F">
        <w:rPr>
          <w:sz w:val="36"/>
          <w:szCs w:val="36"/>
          <w:rtl/>
        </w:rPr>
        <w:t>"الحمد لله رب العالمين"</w:t>
      </w:r>
      <w:r w:rsidR="00603323" w:rsidRPr="00FD211F">
        <w:rPr>
          <w:sz w:val="36"/>
          <w:szCs w:val="36"/>
          <w:rtl/>
        </w:rPr>
        <w:t xml:space="preserve">، </w:t>
      </w:r>
      <w:r w:rsidR="00FA5F99" w:rsidRPr="00FD211F">
        <w:rPr>
          <w:sz w:val="36"/>
          <w:szCs w:val="36"/>
          <w:rtl/>
        </w:rPr>
        <w:t>وإنشاء المدح حين قراء</w:t>
      </w:r>
      <w:r w:rsidR="00EC7EDF" w:rsidRPr="00FD211F">
        <w:rPr>
          <w:sz w:val="36"/>
          <w:szCs w:val="36"/>
          <w:rtl/>
        </w:rPr>
        <w:t xml:space="preserve">ة </w:t>
      </w:r>
      <w:r w:rsidR="00FA5F99" w:rsidRPr="00FD211F">
        <w:rPr>
          <w:sz w:val="36"/>
          <w:szCs w:val="36"/>
          <w:rtl/>
        </w:rPr>
        <w:t>"الرَّحْمنِ الرَّحِيمِ"</w:t>
      </w:r>
      <w:r w:rsidR="00603323" w:rsidRPr="00FD211F">
        <w:rPr>
          <w:sz w:val="36"/>
          <w:szCs w:val="36"/>
          <w:rtl/>
        </w:rPr>
        <w:t xml:space="preserve">، </w:t>
      </w:r>
      <w:r w:rsidRPr="00FD211F">
        <w:rPr>
          <w:sz w:val="36"/>
          <w:szCs w:val="36"/>
          <w:rtl/>
        </w:rPr>
        <w:t>او إنشاء الدعاء حين قراء</w:t>
      </w:r>
      <w:r w:rsidR="00EC7EDF" w:rsidRPr="00FD211F">
        <w:rPr>
          <w:sz w:val="36"/>
          <w:szCs w:val="36"/>
          <w:rtl/>
        </w:rPr>
        <w:t xml:space="preserve">ة </w:t>
      </w:r>
      <w:r w:rsidRPr="00FD211F">
        <w:rPr>
          <w:sz w:val="36"/>
          <w:szCs w:val="36"/>
          <w:rtl/>
        </w:rPr>
        <w:t>"اهدنا الصراط المستقيم</w:t>
      </w:r>
      <w:r w:rsidR="00E4078F">
        <w:rPr>
          <w:rFonts w:hint="cs"/>
          <w:sz w:val="36"/>
          <w:szCs w:val="36"/>
          <w:rtl/>
        </w:rPr>
        <w:t>"</w:t>
      </w:r>
      <w:r w:rsidR="00603323" w:rsidRPr="00FD211F">
        <w:rPr>
          <w:sz w:val="36"/>
          <w:szCs w:val="36"/>
          <w:rtl/>
        </w:rPr>
        <w:t xml:space="preserve">، </w:t>
      </w:r>
      <w:r w:rsidR="00FA5F99" w:rsidRPr="00FD211F">
        <w:rPr>
          <w:sz w:val="36"/>
          <w:szCs w:val="36"/>
          <w:rtl/>
        </w:rPr>
        <w:t>و لا ينافي</w:t>
      </w:r>
      <w:r w:rsidR="0089669D" w:rsidRPr="00FD211F">
        <w:rPr>
          <w:sz w:val="36"/>
          <w:szCs w:val="36"/>
          <w:rtl/>
        </w:rPr>
        <w:t xml:space="preserve"> ذلك</w:t>
      </w:r>
      <w:r w:rsidR="00FA5F99" w:rsidRPr="00FD211F">
        <w:rPr>
          <w:sz w:val="36"/>
          <w:szCs w:val="36"/>
          <w:rtl/>
        </w:rPr>
        <w:t xml:space="preserve"> قصد القرآني</w:t>
      </w:r>
      <w:r w:rsidR="00EC7EDF" w:rsidRPr="00FD211F">
        <w:rPr>
          <w:sz w:val="36"/>
          <w:szCs w:val="36"/>
          <w:rtl/>
        </w:rPr>
        <w:t>ة</w:t>
      </w:r>
      <w:r w:rsidR="00603323" w:rsidRPr="00FD211F">
        <w:rPr>
          <w:sz w:val="36"/>
          <w:szCs w:val="36"/>
          <w:rtl/>
        </w:rPr>
        <w:t xml:space="preserve">، </w:t>
      </w:r>
      <w:r w:rsidR="00FA5F99" w:rsidRPr="00FD211F">
        <w:rPr>
          <w:sz w:val="36"/>
          <w:szCs w:val="36"/>
          <w:rtl/>
        </w:rPr>
        <w:t>وقد حكي وجود رواي</w:t>
      </w:r>
      <w:r w:rsidR="00EC7EDF" w:rsidRPr="00FD211F">
        <w:rPr>
          <w:sz w:val="36"/>
          <w:szCs w:val="36"/>
          <w:rtl/>
        </w:rPr>
        <w:t xml:space="preserve">ة </w:t>
      </w:r>
      <w:r w:rsidR="00FA5F99" w:rsidRPr="00FD211F">
        <w:rPr>
          <w:sz w:val="36"/>
          <w:szCs w:val="36"/>
          <w:rtl/>
        </w:rPr>
        <w:t>تحثّ على طلب الهداي</w:t>
      </w:r>
      <w:r w:rsidR="00EC7EDF" w:rsidRPr="00FD211F">
        <w:rPr>
          <w:sz w:val="36"/>
          <w:szCs w:val="36"/>
          <w:rtl/>
        </w:rPr>
        <w:t xml:space="preserve">ة </w:t>
      </w:r>
      <w:r w:rsidR="00FA5F99" w:rsidRPr="00FD211F">
        <w:rPr>
          <w:sz w:val="36"/>
          <w:szCs w:val="36"/>
          <w:rtl/>
        </w:rPr>
        <w:t>حين ق</w:t>
      </w:r>
      <w:r w:rsidR="008D7B3D" w:rsidRPr="00FD211F">
        <w:rPr>
          <w:sz w:val="36"/>
          <w:szCs w:val="36"/>
          <w:rtl/>
        </w:rPr>
        <w:t>راءة</w:t>
      </w:r>
      <w:r w:rsidR="00EC7EDF" w:rsidRPr="00FD211F">
        <w:rPr>
          <w:sz w:val="36"/>
          <w:szCs w:val="36"/>
          <w:rtl/>
        </w:rPr>
        <w:t xml:space="preserve"> </w:t>
      </w:r>
      <w:r w:rsidR="00FA5F99" w:rsidRPr="00FD211F">
        <w:rPr>
          <w:sz w:val="36"/>
          <w:szCs w:val="36"/>
          <w:rtl/>
        </w:rPr>
        <w:t>آي</w:t>
      </w:r>
      <w:r w:rsidR="00EC7EDF" w:rsidRPr="00FD211F">
        <w:rPr>
          <w:sz w:val="36"/>
          <w:szCs w:val="36"/>
          <w:rtl/>
        </w:rPr>
        <w:t>ة</w:t>
      </w:r>
      <w:r w:rsidR="00057D31" w:rsidRPr="00FD211F">
        <w:rPr>
          <w:sz w:val="36"/>
          <w:szCs w:val="36"/>
          <w:rtl/>
        </w:rPr>
        <w:t>:</w:t>
      </w:r>
      <w:r w:rsidR="00FA5F99" w:rsidRPr="00FD211F">
        <w:rPr>
          <w:sz w:val="36"/>
          <w:szCs w:val="36"/>
          <w:rtl/>
        </w:rPr>
        <w:t xml:space="preserve"> اهدنا الصراط المستقيم</w:t>
      </w:r>
      <w:r w:rsidR="00603323" w:rsidRPr="00FD211F">
        <w:rPr>
          <w:sz w:val="36"/>
          <w:szCs w:val="36"/>
          <w:rtl/>
        </w:rPr>
        <w:t xml:space="preserve">، </w:t>
      </w:r>
      <w:r w:rsidR="00DD55C1" w:rsidRPr="00FD211F">
        <w:rPr>
          <w:sz w:val="36"/>
          <w:szCs w:val="36"/>
          <w:rtl/>
        </w:rPr>
        <w:t>و</w:t>
      </w:r>
      <w:r w:rsidR="0089669D" w:rsidRPr="00FD211F">
        <w:rPr>
          <w:sz w:val="36"/>
          <w:szCs w:val="36"/>
          <w:rtl/>
        </w:rPr>
        <w:t>لكن</w:t>
      </w:r>
      <w:r w:rsidR="00DD55C1" w:rsidRPr="00FD211F">
        <w:rPr>
          <w:sz w:val="36"/>
          <w:szCs w:val="36"/>
          <w:rtl/>
        </w:rPr>
        <w:t xml:space="preserve"> حكى في الذكرى عن الشيخ الطوسي "ره" المنع من ذلك</w:t>
      </w:r>
      <w:r w:rsidR="00603323" w:rsidRPr="00FD211F">
        <w:rPr>
          <w:sz w:val="36"/>
          <w:szCs w:val="36"/>
          <w:rtl/>
        </w:rPr>
        <w:t xml:space="preserve">، </w:t>
      </w:r>
      <w:r w:rsidR="00DD55C1" w:rsidRPr="00FD211F">
        <w:rPr>
          <w:sz w:val="36"/>
          <w:szCs w:val="36"/>
          <w:rtl/>
        </w:rPr>
        <w:t>للزوم استعمال ا</w:t>
      </w:r>
      <w:r w:rsidR="00F37728" w:rsidRPr="00FD211F">
        <w:rPr>
          <w:sz w:val="36"/>
          <w:szCs w:val="36"/>
          <w:rtl/>
        </w:rPr>
        <w:t xml:space="preserve">للفظ </w:t>
      </w:r>
      <w:r w:rsidR="00643611" w:rsidRPr="00FD211F">
        <w:rPr>
          <w:sz w:val="36"/>
          <w:szCs w:val="36"/>
          <w:rtl/>
        </w:rPr>
        <w:t>في معنيين.</w:t>
      </w:r>
    </w:p>
    <w:p w14:paraId="124E0888" w14:textId="77777777" w:rsidR="00DD55C1" w:rsidRPr="00FD211F" w:rsidRDefault="00FA5F99" w:rsidP="009C58C8">
      <w:pPr>
        <w:ind w:left="0" w:firstLine="227"/>
        <w:jc w:val="both"/>
        <w:rPr>
          <w:sz w:val="36"/>
          <w:szCs w:val="36"/>
          <w:rtl/>
        </w:rPr>
      </w:pPr>
      <w:r w:rsidRPr="00FD211F">
        <w:rPr>
          <w:sz w:val="36"/>
          <w:szCs w:val="36"/>
          <w:rtl/>
        </w:rPr>
        <w:t xml:space="preserve">وتقريب الاشكال </w:t>
      </w:r>
      <w:r w:rsidR="00643611" w:rsidRPr="00FD211F">
        <w:rPr>
          <w:sz w:val="36"/>
          <w:szCs w:val="36"/>
          <w:rtl/>
        </w:rPr>
        <w:t>هو</w:t>
      </w:r>
      <w:r w:rsidRPr="00FD211F">
        <w:rPr>
          <w:sz w:val="36"/>
          <w:szCs w:val="36"/>
          <w:rtl/>
        </w:rPr>
        <w:t>انه لايصدق ق</w:t>
      </w:r>
      <w:r w:rsidR="008D7B3D" w:rsidRPr="00FD211F">
        <w:rPr>
          <w:sz w:val="36"/>
          <w:szCs w:val="36"/>
          <w:rtl/>
        </w:rPr>
        <w:t>راءة</w:t>
      </w:r>
      <w:r w:rsidR="00EC7EDF" w:rsidRPr="00FD211F">
        <w:rPr>
          <w:sz w:val="36"/>
          <w:szCs w:val="36"/>
          <w:rtl/>
        </w:rPr>
        <w:t xml:space="preserve"> </w:t>
      </w:r>
      <w:r w:rsidRPr="00FD211F">
        <w:rPr>
          <w:sz w:val="36"/>
          <w:szCs w:val="36"/>
          <w:rtl/>
        </w:rPr>
        <w:t>القرآن الا اذا قصد حكاي</w:t>
      </w:r>
      <w:r w:rsidR="00EC7EDF" w:rsidRPr="00FD211F">
        <w:rPr>
          <w:sz w:val="36"/>
          <w:szCs w:val="36"/>
          <w:rtl/>
        </w:rPr>
        <w:t xml:space="preserve">ة </w:t>
      </w:r>
      <w:r w:rsidRPr="00FD211F">
        <w:rPr>
          <w:sz w:val="36"/>
          <w:szCs w:val="36"/>
          <w:rtl/>
        </w:rPr>
        <w:t>الفاظ القرآن</w:t>
      </w:r>
      <w:r w:rsidR="00603323" w:rsidRPr="00FD211F">
        <w:rPr>
          <w:sz w:val="36"/>
          <w:szCs w:val="36"/>
          <w:rtl/>
        </w:rPr>
        <w:t xml:space="preserve">، </w:t>
      </w:r>
      <w:r w:rsidRPr="00FD211F">
        <w:rPr>
          <w:sz w:val="36"/>
          <w:szCs w:val="36"/>
          <w:rtl/>
        </w:rPr>
        <w:t>فلو أريد إنشاء الدعاء أيضا لزم استعمال اللفظ في الحكاي</w:t>
      </w:r>
      <w:r w:rsidR="00EC7EDF" w:rsidRPr="00FD211F">
        <w:rPr>
          <w:sz w:val="36"/>
          <w:szCs w:val="36"/>
          <w:rtl/>
        </w:rPr>
        <w:t xml:space="preserve">ة </w:t>
      </w:r>
      <w:r w:rsidRPr="00FD211F">
        <w:rPr>
          <w:sz w:val="36"/>
          <w:szCs w:val="36"/>
          <w:rtl/>
        </w:rPr>
        <w:t>عن الفاظ القرآن وفي إنشاء الدعاء</w:t>
      </w:r>
      <w:r w:rsidR="00643611" w:rsidRPr="00FD211F">
        <w:rPr>
          <w:sz w:val="36"/>
          <w:szCs w:val="36"/>
          <w:rtl/>
        </w:rPr>
        <w:t>فيكون من استعمال اللفظ في معنيين</w:t>
      </w:r>
      <w:r w:rsidRPr="00FD211F">
        <w:rPr>
          <w:sz w:val="36"/>
          <w:szCs w:val="36"/>
          <w:rtl/>
        </w:rPr>
        <w:t>.</w:t>
      </w:r>
    </w:p>
    <w:p w14:paraId="56AA1562" w14:textId="77777777" w:rsidR="0089669D" w:rsidRPr="00FD211F" w:rsidRDefault="00DD55C1" w:rsidP="009C58C8">
      <w:pPr>
        <w:ind w:left="0" w:firstLine="227"/>
        <w:jc w:val="both"/>
        <w:rPr>
          <w:sz w:val="36"/>
          <w:szCs w:val="36"/>
          <w:rtl/>
        </w:rPr>
      </w:pPr>
      <w:r w:rsidRPr="00FD211F">
        <w:rPr>
          <w:sz w:val="36"/>
          <w:szCs w:val="36"/>
          <w:rtl/>
        </w:rPr>
        <w:t>و</w:t>
      </w:r>
      <w:r w:rsidR="0089669D" w:rsidRPr="00FD211F">
        <w:rPr>
          <w:sz w:val="36"/>
          <w:szCs w:val="36"/>
          <w:rtl/>
        </w:rPr>
        <w:t xml:space="preserve">قد </w:t>
      </w:r>
      <w:r w:rsidR="005121EA" w:rsidRPr="00FD211F">
        <w:rPr>
          <w:sz w:val="36"/>
          <w:szCs w:val="36"/>
          <w:rtl/>
        </w:rPr>
        <w:t>ا</w:t>
      </w:r>
      <w:r w:rsidR="0089669D" w:rsidRPr="00FD211F">
        <w:rPr>
          <w:sz w:val="36"/>
          <w:szCs w:val="36"/>
          <w:rtl/>
        </w:rPr>
        <w:t>ج</w:t>
      </w:r>
      <w:r w:rsidR="005121EA" w:rsidRPr="00FD211F">
        <w:rPr>
          <w:sz w:val="36"/>
          <w:szCs w:val="36"/>
          <w:rtl/>
        </w:rPr>
        <w:t>ي</w:t>
      </w:r>
      <w:r w:rsidR="0089669D" w:rsidRPr="00FD211F">
        <w:rPr>
          <w:sz w:val="36"/>
          <w:szCs w:val="36"/>
          <w:rtl/>
        </w:rPr>
        <w:t>ب عنه ب</w:t>
      </w:r>
      <w:r w:rsidR="005121EA" w:rsidRPr="00FD211F">
        <w:rPr>
          <w:sz w:val="36"/>
          <w:szCs w:val="36"/>
          <w:rtl/>
        </w:rPr>
        <w:t>جوابين</w:t>
      </w:r>
      <w:r w:rsidR="00EC7EDF" w:rsidRPr="00FD211F">
        <w:rPr>
          <w:sz w:val="36"/>
          <w:szCs w:val="36"/>
          <w:rtl/>
        </w:rPr>
        <w:t>:</w:t>
      </w:r>
    </w:p>
    <w:p w14:paraId="5603317C" w14:textId="77777777" w:rsidR="00052BF2" w:rsidRPr="00FD211F" w:rsidRDefault="000E69BF" w:rsidP="009C58C8">
      <w:pPr>
        <w:ind w:left="0" w:firstLine="227"/>
        <w:jc w:val="both"/>
        <w:rPr>
          <w:sz w:val="36"/>
          <w:szCs w:val="36"/>
          <w:rtl/>
        </w:rPr>
      </w:pPr>
      <w:r w:rsidRPr="00FD211F">
        <w:rPr>
          <w:b/>
          <w:bCs/>
          <w:sz w:val="36"/>
          <w:szCs w:val="36"/>
          <w:rtl/>
        </w:rPr>
        <w:t>الجواب الاول</w:t>
      </w:r>
      <w:r w:rsidR="00EC7EDF" w:rsidRPr="00FD211F">
        <w:rPr>
          <w:sz w:val="36"/>
          <w:szCs w:val="36"/>
          <w:rtl/>
        </w:rPr>
        <w:t>:</w:t>
      </w:r>
      <w:r w:rsidR="0089669D" w:rsidRPr="00FD211F">
        <w:rPr>
          <w:sz w:val="36"/>
          <w:szCs w:val="36"/>
          <w:rtl/>
        </w:rPr>
        <w:t>ماذكره</w:t>
      </w:r>
      <w:r w:rsidRPr="00FD211F">
        <w:rPr>
          <w:sz w:val="36"/>
          <w:szCs w:val="36"/>
          <w:rtl/>
        </w:rPr>
        <w:t xml:space="preserve"> السيد الحكيم "قده"</w:t>
      </w:r>
      <w:r w:rsidR="0089669D" w:rsidRPr="00FD211F">
        <w:rPr>
          <w:sz w:val="36"/>
          <w:szCs w:val="36"/>
          <w:rtl/>
        </w:rPr>
        <w:t xml:space="preserve"> في المستمسك من</w:t>
      </w:r>
      <w:r w:rsidR="00DD55C1" w:rsidRPr="00FD211F">
        <w:rPr>
          <w:sz w:val="36"/>
          <w:szCs w:val="36"/>
          <w:rtl/>
        </w:rPr>
        <w:t xml:space="preserve"> أن قصد الدعاء </w:t>
      </w:r>
      <w:r w:rsidR="00AC7FE9" w:rsidRPr="00FD211F">
        <w:rPr>
          <w:sz w:val="36"/>
          <w:szCs w:val="36"/>
          <w:rtl/>
        </w:rPr>
        <w:t xml:space="preserve">او الاخبار </w:t>
      </w:r>
      <w:r w:rsidR="00DD55C1" w:rsidRPr="00FD211F">
        <w:rPr>
          <w:sz w:val="36"/>
          <w:szCs w:val="36"/>
          <w:rtl/>
        </w:rPr>
        <w:t>لا يلازم استعمال اللفظ في المعنى</w:t>
      </w:r>
      <w:r w:rsidR="00EC7EDF" w:rsidRPr="00FD211F">
        <w:rPr>
          <w:sz w:val="36"/>
          <w:szCs w:val="36"/>
          <w:rtl/>
        </w:rPr>
        <w:t xml:space="preserve"> و</w:t>
      </w:r>
      <w:r w:rsidR="00DD55C1" w:rsidRPr="00FD211F">
        <w:rPr>
          <w:sz w:val="36"/>
          <w:szCs w:val="36"/>
          <w:rtl/>
        </w:rPr>
        <w:t>لا</w:t>
      </w:r>
      <w:r w:rsidR="00F37728" w:rsidRPr="00FD211F">
        <w:rPr>
          <w:sz w:val="36"/>
          <w:szCs w:val="36"/>
          <w:rtl/>
        </w:rPr>
        <w:t xml:space="preserve"> يتوقف عليه</w:t>
      </w:r>
      <w:r w:rsidR="00603323" w:rsidRPr="00FD211F">
        <w:rPr>
          <w:sz w:val="36"/>
          <w:szCs w:val="36"/>
          <w:rtl/>
        </w:rPr>
        <w:t xml:space="preserve">، </w:t>
      </w:r>
      <w:r w:rsidR="00F37728" w:rsidRPr="00FD211F">
        <w:rPr>
          <w:sz w:val="36"/>
          <w:szCs w:val="36"/>
          <w:rtl/>
        </w:rPr>
        <w:t>كما في باب الكناي</w:t>
      </w:r>
      <w:r w:rsidR="00EC7EDF" w:rsidRPr="00FD211F">
        <w:rPr>
          <w:sz w:val="36"/>
          <w:szCs w:val="36"/>
          <w:rtl/>
        </w:rPr>
        <w:t xml:space="preserve">ة </w:t>
      </w:r>
      <w:r w:rsidR="00DD55C1" w:rsidRPr="00FD211F">
        <w:rPr>
          <w:sz w:val="36"/>
          <w:szCs w:val="36"/>
          <w:rtl/>
        </w:rPr>
        <w:t>فإن</w:t>
      </w:r>
      <w:r w:rsidR="00F37728" w:rsidRPr="00FD211F">
        <w:rPr>
          <w:sz w:val="36"/>
          <w:szCs w:val="36"/>
          <w:rtl/>
        </w:rPr>
        <w:t xml:space="preserve"> المتكلم </w:t>
      </w:r>
      <w:r w:rsidR="00AC7FE9" w:rsidRPr="00FD211F">
        <w:rPr>
          <w:sz w:val="36"/>
          <w:szCs w:val="36"/>
          <w:rtl/>
        </w:rPr>
        <w:t xml:space="preserve">بأن زيدا كثير الرماد </w:t>
      </w:r>
      <w:r w:rsidR="00F37728" w:rsidRPr="00FD211F">
        <w:rPr>
          <w:sz w:val="36"/>
          <w:szCs w:val="36"/>
          <w:rtl/>
        </w:rPr>
        <w:t xml:space="preserve">يقصد الاخبار عن </w:t>
      </w:r>
      <w:r w:rsidR="00DD55C1" w:rsidRPr="00FD211F">
        <w:rPr>
          <w:sz w:val="36"/>
          <w:szCs w:val="36"/>
          <w:rtl/>
        </w:rPr>
        <w:t xml:space="preserve">المعنى المكنى عنه </w:t>
      </w:r>
      <w:r w:rsidR="00AC7FE9" w:rsidRPr="00FD211F">
        <w:rPr>
          <w:sz w:val="36"/>
          <w:szCs w:val="36"/>
          <w:rtl/>
        </w:rPr>
        <w:t>وهو كون زيد كريما</w:t>
      </w:r>
      <w:r w:rsidR="00EC7EDF" w:rsidRPr="00FD211F">
        <w:rPr>
          <w:sz w:val="36"/>
          <w:szCs w:val="36"/>
          <w:rtl/>
        </w:rPr>
        <w:t xml:space="preserve"> و</w:t>
      </w:r>
      <w:r w:rsidR="00F37728" w:rsidRPr="00FD211F">
        <w:rPr>
          <w:sz w:val="36"/>
          <w:szCs w:val="36"/>
          <w:rtl/>
        </w:rPr>
        <w:t xml:space="preserve">لكن </w:t>
      </w:r>
      <w:r w:rsidR="00DD55C1" w:rsidRPr="00FD211F">
        <w:rPr>
          <w:sz w:val="36"/>
          <w:szCs w:val="36"/>
          <w:rtl/>
        </w:rPr>
        <w:t>ل</w:t>
      </w:r>
      <w:r w:rsidR="00F37728" w:rsidRPr="00FD211F">
        <w:rPr>
          <w:sz w:val="36"/>
          <w:szCs w:val="36"/>
          <w:rtl/>
        </w:rPr>
        <w:t>ا يستعمل اللفظ فيه</w:t>
      </w:r>
      <w:r w:rsidR="00603323" w:rsidRPr="00FD211F">
        <w:rPr>
          <w:sz w:val="36"/>
          <w:szCs w:val="36"/>
          <w:rtl/>
        </w:rPr>
        <w:t xml:space="preserve">، </w:t>
      </w:r>
      <w:r w:rsidR="00F37728" w:rsidRPr="00FD211F">
        <w:rPr>
          <w:sz w:val="36"/>
          <w:szCs w:val="36"/>
          <w:rtl/>
        </w:rPr>
        <w:t>وإنما ي</w:t>
      </w:r>
      <w:r w:rsidR="00DD55C1" w:rsidRPr="00FD211F">
        <w:rPr>
          <w:sz w:val="36"/>
          <w:szCs w:val="36"/>
          <w:rtl/>
        </w:rPr>
        <w:t>ستعمله في المكنى به</w:t>
      </w:r>
      <w:r w:rsidR="00AC7FE9" w:rsidRPr="00FD211F">
        <w:rPr>
          <w:sz w:val="36"/>
          <w:szCs w:val="36"/>
          <w:rtl/>
        </w:rPr>
        <w:t xml:space="preserve"> وهو كثر</w:t>
      </w:r>
      <w:r w:rsidR="00EC7EDF" w:rsidRPr="00FD211F">
        <w:rPr>
          <w:sz w:val="36"/>
          <w:szCs w:val="36"/>
          <w:rtl/>
        </w:rPr>
        <w:t xml:space="preserve">ة </w:t>
      </w:r>
      <w:r w:rsidR="00AC7FE9" w:rsidRPr="00FD211F">
        <w:rPr>
          <w:sz w:val="36"/>
          <w:szCs w:val="36"/>
          <w:rtl/>
        </w:rPr>
        <w:t>رماده ولايقصد</w:t>
      </w:r>
      <w:r w:rsidR="00DD55C1" w:rsidRPr="00FD211F">
        <w:rPr>
          <w:sz w:val="36"/>
          <w:szCs w:val="36"/>
          <w:rtl/>
        </w:rPr>
        <w:t xml:space="preserve"> الاخبار عنه</w:t>
      </w:r>
      <w:r w:rsidR="009C58C8" w:rsidRPr="00FD211F">
        <w:rPr>
          <w:rStyle w:val="a6"/>
          <w:sz w:val="36"/>
          <w:szCs w:val="36"/>
          <w:rtl/>
        </w:rPr>
        <w:t>(</w:t>
      </w:r>
      <w:r w:rsidR="009C58C8" w:rsidRPr="00FD211F">
        <w:rPr>
          <w:rStyle w:val="a6"/>
          <w:sz w:val="36"/>
          <w:szCs w:val="36"/>
          <w:rtl/>
        </w:rPr>
        <w:footnoteReference w:id="477"/>
      </w:r>
      <w:r w:rsidR="009C58C8" w:rsidRPr="00FD211F">
        <w:rPr>
          <w:rStyle w:val="a6"/>
          <w:sz w:val="36"/>
          <w:szCs w:val="36"/>
          <w:rtl/>
        </w:rPr>
        <w:t>)</w:t>
      </w:r>
      <w:r w:rsidR="00AC7FE9" w:rsidRPr="00FD211F">
        <w:rPr>
          <w:sz w:val="36"/>
          <w:szCs w:val="36"/>
          <w:rtl/>
        </w:rPr>
        <w:t>.</w:t>
      </w:r>
      <w:r w:rsidR="00DD55C1" w:rsidRPr="00FD211F">
        <w:rPr>
          <w:sz w:val="36"/>
          <w:szCs w:val="36"/>
          <w:rtl/>
        </w:rPr>
        <w:t xml:space="preserve"> </w:t>
      </w:r>
    </w:p>
    <w:p w14:paraId="538E3691" w14:textId="77777777" w:rsidR="005A495B" w:rsidRPr="00FD211F" w:rsidRDefault="00052BF2" w:rsidP="009C58C8">
      <w:pPr>
        <w:ind w:left="0" w:firstLine="227"/>
        <w:jc w:val="both"/>
        <w:rPr>
          <w:sz w:val="36"/>
          <w:szCs w:val="36"/>
          <w:rtl/>
        </w:rPr>
      </w:pPr>
      <w:r w:rsidRPr="00FD211F">
        <w:rPr>
          <w:sz w:val="36"/>
          <w:szCs w:val="36"/>
          <w:rtl/>
        </w:rPr>
        <w:t>و</w:t>
      </w:r>
      <w:r w:rsidR="00D26502" w:rsidRPr="00FD211F">
        <w:rPr>
          <w:sz w:val="36"/>
          <w:szCs w:val="36"/>
          <w:rtl/>
        </w:rPr>
        <w:t>ظاهر ما ذكره "قده" أن قراء</w:t>
      </w:r>
      <w:r w:rsidR="00EC7EDF" w:rsidRPr="00FD211F">
        <w:rPr>
          <w:sz w:val="36"/>
          <w:szCs w:val="36"/>
          <w:rtl/>
        </w:rPr>
        <w:t xml:space="preserve">ة </w:t>
      </w:r>
      <w:r w:rsidR="00D26502" w:rsidRPr="00FD211F">
        <w:rPr>
          <w:sz w:val="36"/>
          <w:szCs w:val="36"/>
          <w:rtl/>
        </w:rPr>
        <w:t>القرآن وان كانت تتقوم باستعمال اللفظ في الحكاي</w:t>
      </w:r>
      <w:r w:rsidR="00EC7EDF" w:rsidRPr="00FD211F">
        <w:rPr>
          <w:sz w:val="36"/>
          <w:szCs w:val="36"/>
          <w:rtl/>
        </w:rPr>
        <w:t xml:space="preserve">ة </w:t>
      </w:r>
      <w:r w:rsidR="00D26502" w:rsidRPr="00FD211F">
        <w:rPr>
          <w:sz w:val="36"/>
          <w:szCs w:val="36"/>
          <w:rtl/>
        </w:rPr>
        <w:t xml:space="preserve">عن الفاظ القرآن لكن لايلزم من قصد انشاء الدعاء به استعمال اللفظ في معنيين </w:t>
      </w:r>
      <w:r w:rsidR="005A495B" w:rsidRPr="00FD211F">
        <w:rPr>
          <w:sz w:val="36"/>
          <w:szCs w:val="36"/>
          <w:rtl/>
        </w:rPr>
        <w:t>حيث لايستعمل اللفظ في انشاء الدعاء</w:t>
      </w:r>
      <w:r w:rsidR="00603323" w:rsidRPr="00FD211F">
        <w:rPr>
          <w:sz w:val="36"/>
          <w:szCs w:val="36"/>
          <w:rtl/>
        </w:rPr>
        <w:t xml:space="preserve">، </w:t>
      </w:r>
      <w:r w:rsidR="005A495B" w:rsidRPr="00FD211F">
        <w:rPr>
          <w:sz w:val="36"/>
          <w:szCs w:val="36"/>
          <w:rtl/>
        </w:rPr>
        <w:t>وهكذا في قصد الاخبار</w:t>
      </w:r>
      <w:r w:rsidR="00603323" w:rsidRPr="00FD211F">
        <w:rPr>
          <w:sz w:val="36"/>
          <w:szCs w:val="36"/>
          <w:rtl/>
        </w:rPr>
        <w:t xml:space="preserve">، </w:t>
      </w:r>
      <w:r w:rsidR="005A495B" w:rsidRPr="00FD211F">
        <w:rPr>
          <w:sz w:val="36"/>
          <w:szCs w:val="36"/>
          <w:rtl/>
        </w:rPr>
        <w:t>فيكون نظيرالمكنى عنه في</w:t>
      </w:r>
      <w:r w:rsidR="00B253CE" w:rsidRPr="00FD211F">
        <w:rPr>
          <w:sz w:val="36"/>
          <w:szCs w:val="36"/>
          <w:rtl/>
        </w:rPr>
        <w:t xml:space="preserve"> </w:t>
      </w:r>
      <w:r w:rsidR="005A495B" w:rsidRPr="00FD211F">
        <w:rPr>
          <w:sz w:val="36"/>
          <w:szCs w:val="36"/>
          <w:rtl/>
        </w:rPr>
        <w:t>الكناي</w:t>
      </w:r>
      <w:r w:rsidR="00EC7EDF" w:rsidRPr="00FD211F">
        <w:rPr>
          <w:sz w:val="36"/>
          <w:szCs w:val="36"/>
          <w:rtl/>
        </w:rPr>
        <w:t>ة</w:t>
      </w:r>
      <w:r w:rsidR="00A61BAE" w:rsidRPr="00FD211F">
        <w:rPr>
          <w:sz w:val="36"/>
          <w:szCs w:val="36"/>
          <w:rtl/>
        </w:rPr>
        <w:t>.</w:t>
      </w:r>
    </w:p>
    <w:p w14:paraId="11D02E52" w14:textId="77777777" w:rsidR="00BD52BC" w:rsidRPr="00FD211F" w:rsidRDefault="005A495B" w:rsidP="009C58C8">
      <w:pPr>
        <w:ind w:left="0" w:firstLine="227"/>
        <w:jc w:val="both"/>
        <w:rPr>
          <w:sz w:val="36"/>
          <w:szCs w:val="36"/>
          <w:rtl/>
        </w:rPr>
      </w:pPr>
      <w:r w:rsidRPr="00FD211F">
        <w:rPr>
          <w:sz w:val="36"/>
          <w:szCs w:val="36"/>
          <w:rtl/>
        </w:rPr>
        <w:t>و</w:t>
      </w:r>
      <w:r w:rsidR="00D26502" w:rsidRPr="00FD211F">
        <w:rPr>
          <w:sz w:val="36"/>
          <w:szCs w:val="36"/>
          <w:rtl/>
        </w:rPr>
        <w:t xml:space="preserve"> </w:t>
      </w:r>
      <w:r w:rsidRPr="00FD211F">
        <w:rPr>
          <w:sz w:val="36"/>
          <w:szCs w:val="36"/>
          <w:rtl/>
        </w:rPr>
        <w:t>فيه ان انشاء الدعاء اوالاخبار</w:t>
      </w:r>
      <w:r w:rsidR="008817D4" w:rsidRPr="00FD211F">
        <w:rPr>
          <w:sz w:val="36"/>
          <w:szCs w:val="36"/>
          <w:rtl/>
        </w:rPr>
        <w:t xml:space="preserve"> </w:t>
      </w:r>
      <w:r w:rsidRPr="00FD211F">
        <w:rPr>
          <w:sz w:val="36"/>
          <w:szCs w:val="36"/>
          <w:rtl/>
        </w:rPr>
        <w:t>يكون داخلافي المستعمل فيه</w:t>
      </w:r>
      <w:r w:rsidR="00603323" w:rsidRPr="00FD211F">
        <w:rPr>
          <w:sz w:val="36"/>
          <w:szCs w:val="36"/>
          <w:rtl/>
        </w:rPr>
        <w:t xml:space="preserve">، </w:t>
      </w:r>
      <w:r w:rsidRPr="00FD211F">
        <w:rPr>
          <w:sz w:val="36"/>
          <w:szCs w:val="36"/>
          <w:rtl/>
        </w:rPr>
        <w:t>الاترى أنه لوسئل شخص عن المصلّي "هل جاء أحد ؟"فقال المصلي "جاء رجل من أقصى المدين</w:t>
      </w:r>
      <w:r w:rsidR="00EC7EDF" w:rsidRPr="00FD211F">
        <w:rPr>
          <w:sz w:val="36"/>
          <w:szCs w:val="36"/>
          <w:rtl/>
        </w:rPr>
        <w:t xml:space="preserve">ة </w:t>
      </w:r>
      <w:r w:rsidRPr="00FD211F">
        <w:rPr>
          <w:sz w:val="36"/>
          <w:szCs w:val="36"/>
          <w:rtl/>
        </w:rPr>
        <w:t xml:space="preserve">"وقصد بذلك الاخبار عن مجيئ رجل من آخر البلد </w:t>
      </w:r>
      <w:r w:rsidR="008D561C" w:rsidRPr="00FD211F">
        <w:rPr>
          <w:sz w:val="36"/>
          <w:szCs w:val="36"/>
          <w:rtl/>
        </w:rPr>
        <w:t>فهل يكون ذلك خارجا عن المستعمل فيه</w:t>
      </w:r>
      <w:r w:rsidR="000E69BF" w:rsidRPr="00FD211F">
        <w:rPr>
          <w:sz w:val="36"/>
          <w:szCs w:val="36"/>
          <w:rtl/>
        </w:rPr>
        <w:t xml:space="preserve"> الذي يرى اللفظ فانيافيه؟</w:t>
      </w:r>
      <w:r w:rsidR="00603323" w:rsidRPr="00FD211F">
        <w:rPr>
          <w:sz w:val="36"/>
          <w:szCs w:val="36"/>
          <w:rtl/>
        </w:rPr>
        <w:t xml:space="preserve">، </w:t>
      </w:r>
      <w:r w:rsidR="008D561C" w:rsidRPr="00FD211F">
        <w:rPr>
          <w:sz w:val="36"/>
          <w:szCs w:val="36"/>
          <w:rtl/>
        </w:rPr>
        <w:t>وهكذا لو قرأ</w:t>
      </w:r>
      <w:r w:rsidRPr="00FD211F">
        <w:rPr>
          <w:sz w:val="36"/>
          <w:szCs w:val="36"/>
          <w:rtl/>
        </w:rPr>
        <w:t xml:space="preserve"> </w:t>
      </w:r>
      <w:r w:rsidR="008D561C" w:rsidRPr="00FD211F">
        <w:rPr>
          <w:sz w:val="36"/>
          <w:szCs w:val="36"/>
          <w:rtl/>
        </w:rPr>
        <w:t>قوله تعالى "رب اني لما انزلت الي من خير فقير" وقصد بذلك الدعاء لنفسه</w:t>
      </w:r>
      <w:r w:rsidR="00603323" w:rsidRPr="00FD211F">
        <w:rPr>
          <w:sz w:val="36"/>
          <w:szCs w:val="36"/>
          <w:rtl/>
        </w:rPr>
        <w:t xml:space="preserve">، </w:t>
      </w:r>
      <w:r w:rsidR="008D561C" w:rsidRPr="00FD211F">
        <w:rPr>
          <w:sz w:val="36"/>
          <w:szCs w:val="36"/>
          <w:rtl/>
        </w:rPr>
        <w:t>مع انه في القرآن الكريم من كلام موسى</w:t>
      </w:r>
      <w:r w:rsidR="007A4A0D" w:rsidRPr="00FD211F">
        <w:rPr>
          <w:sz w:val="36"/>
          <w:szCs w:val="36"/>
          <w:rtl/>
        </w:rPr>
        <w:t>(عليه‌السلام)</w:t>
      </w:r>
      <w:r w:rsidR="008817D4" w:rsidRPr="00FD211F">
        <w:rPr>
          <w:sz w:val="36"/>
          <w:szCs w:val="36"/>
          <w:rtl/>
        </w:rPr>
        <w:t xml:space="preserve"> </w:t>
      </w:r>
      <w:r w:rsidR="008D561C" w:rsidRPr="00FD211F">
        <w:rPr>
          <w:sz w:val="36"/>
          <w:szCs w:val="36"/>
          <w:rtl/>
        </w:rPr>
        <w:t>فهل يكون انشاء</w:t>
      </w:r>
      <w:r w:rsidR="008817D4" w:rsidRPr="00FD211F">
        <w:rPr>
          <w:sz w:val="36"/>
          <w:szCs w:val="36"/>
          <w:rtl/>
        </w:rPr>
        <w:t xml:space="preserve"> </w:t>
      </w:r>
      <w:r w:rsidR="000E69BF" w:rsidRPr="00FD211F">
        <w:rPr>
          <w:sz w:val="36"/>
          <w:szCs w:val="36"/>
          <w:rtl/>
        </w:rPr>
        <w:t>الدعاء</w:t>
      </w:r>
      <w:r w:rsidR="008817D4" w:rsidRPr="00FD211F">
        <w:rPr>
          <w:sz w:val="36"/>
          <w:szCs w:val="36"/>
          <w:rtl/>
        </w:rPr>
        <w:t xml:space="preserve"> </w:t>
      </w:r>
      <w:r w:rsidR="000E69BF" w:rsidRPr="00FD211F">
        <w:rPr>
          <w:sz w:val="36"/>
          <w:szCs w:val="36"/>
          <w:rtl/>
        </w:rPr>
        <w:t>لنفسه خارجا</w:t>
      </w:r>
      <w:r w:rsidR="008817D4" w:rsidRPr="00FD211F">
        <w:rPr>
          <w:sz w:val="36"/>
          <w:szCs w:val="36"/>
          <w:rtl/>
        </w:rPr>
        <w:t xml:space="preserve"> </w:t>
      </w:r>
      <w:r w:rsidR="000E69BF" w:rsidRPr="00FD211F">
        <w:rPr>
          <w:sz w:val="36"/>
          <w:szCs w:val="36"/>
          <w:rtl/>
        </w:rPr>
        <w:t>عن المستعمل فيه؟.</w:t>
      </w:r>
      <w:r w:rsidR="00B253CE" w:rsidRPr="00FD211F">
        <w:rPr>
          <w:sz w:val="36"/>
          <w:szCs w:val="36"/>
          <w:rtl/>
        </w:rPr>
        <w:t xml:space="preserve"> </w:t>
      </w:r>
    </w:p>
    <w:p w14:paraId="7A8DCADD" w14:textId="77777777" w:rsidR="00D56A41" w:rsidRPr="00FD211F" w:rsidRDefault="000E69BF" w:rsidP="009C58C8">
      <w:pPr>
        <w:ind w:left="0" w:firstLine="227"/>
        <w:jc w:val="both"/>
        <w:rPr>
          <w:sz w:val="36"/>
          <w:szCs w:val="36"/>
          <w:rtl/>
        </w:rPr>
      </w:pPr>
      <w:r w:rsidRPr="00FD211F">
        <w:rPr>
          <w:b/>
          <w:bCs/>
          <w:sz w:val="36"/>
          <w:szCs w:val="36"/>
          <w:rtl/>
        </w:rPr>
        <w:t>الجواب الثاني</w:t>
      </w:r>
      <w:r w:rsidR="00EC7EDF" w:rsidRPr="00FD211F">
        <w:rPr>
          <w:sz w:val="36"/>
          <w:szCs w:val="36"/>
          <w:rtl/>
        </w:rPr>
        <w:t>:</w:t>
      </w:r>
      <w:r w:rsidRPr="00FD211F">
        <w:rPr>
          <w:sz w:val="36"/>
          <w:szCs w:val="36"/>
          <w:rtl/>
        </w:rPr>
        <w:t>ماذكره السيد الخوئي "قده"</w:t>
      </w:r>
      <w:r w:rsidR="008817D4" w:rsidRPr="00FD211F">
        <w:rPr>
          <w:sz w:val="36"/>
          <w:szCs w:val="36"/>
          <w:rtl/>
        </w:rPr>
        <w:t xml:space="preserve"> </w:t>
      </w:r>
      <w:r w:rsidRPr="00FD211F">
        <w:rPr>
          <w:sz w:val="36"/>
          <w:szCs w:val="36"/>
          <w:rtl/>
        </w:rPr>
        <w:t xml:space="preserve">من </w:t>
      </w:r>
      <w:r w:rsidR="00D56A41" w:rsidRPr="00FD211F">
        <w:rPr>
          <w:sz w:val="36"/>
          <w:szCs w:val="36"/>
          <w:rtl/>
        </w:rPr>
        <w:t>أنّ قصد القرآني</w:t>
      </w:r>
      <w:r w:rsidR="00EC7EDF" w:rsidRPr="00FD211F">
        <w:rPr>
          <w:sz w:val="36"/>
          <w:szCs w:val="36"/>
          <w:rtl/>
        </w:rPr>
        <w:t xml:space="preserve">ة </w:t>
      </w:r>
      <w:r w:rsidR="00D56A41" w:rsidRPr="00FD211F">
        <w:rPr>
          <w:sz w:val="36"/>
          <w:szCs w:val="36"/>
          <w:rtl/>
        </w:rPr>
        <w:t>خارج عن باب الاستعمال رأساً</w:t>
      </w:r>
      <w:r w:rsidR="00603323" w:rsidRPr="00FD211F">
        <w:rPr>
          <w:sz w:val="36"/>
          <w:szCs w:val="36"/>
          <w:rtl/>
        </w:rPr>
        <w:t xml:space="preserve">، </w:t>
      </w:r>
      <w:r w:rsidR="00EC7EDF" w:rsidRPr="00FD211F">
        <w:rPr>
          <w:sz w:val="36"/>
          <w:szCs w:val="36"/>
          <w:rtl/>
        </w:rPr>
        <w:t>و</w:t>
      </w:r>
      <w:r w:rsidR="00D56A41" w:rsidRPr="00FD211F">
        <w:rPr>
          <w:sz w:val="36"/>
          <w:szCs w:val="36"/>
          <w:rtl/>
        </w:rPr>
        <w:t>إنّما هو حكاي</w:t>
      </w:r>
      <w:r w:rsidR="00EC7EDF" w:rsidRPr="00FD211F">
        <w:rPr>
          <w:sz w:val="36"/>
          <w:szCs w:val="36"/>
          <w:rtl/>
        </w:rPr>
        <w:t xml:space="preserve">ة </w:t>
      </w:r>
      <w:r w:rsidR="00D56A41" w:rsidRPr="00FD211F">
        <w:rPr>
          <w:sz w:val="36"/>
          <w:szCs w:val="36"/>
          <w:rtl/>
        </w:rPr>
        <w:t>عن</w:t>
      </w:r>
      <w:r w:rsidRPr="00FD211F">
        <w:rPr>
          <w:sz w:val="36"/>
          <w:szCs w:val="36"/>
          <w:rtl/>
        </w:rPr>
        <w:t xml:space="preserve"> </w:t>
      </w:r>
      <w:r w:rsidR="00D56A41" w:rsidRPr="00FD211F">
        <w:rPr>
          <w:sz w:val="36"/>
          <w:szCs w:val="36"/>
          <w:rtl/>
        </w:rPr>
        <w:t xml:space="preserve">طبيعي </w:t>
      </w:r>
      <w:r w:rsidRPr="00FD211F">
        <w:rPr>
          <w:sz w:val="36"/>
          <w:szCs w:val="36"/>
          <w:rtl/>
        </w:rPr>
        <w:t xml:space="preserve">لفظ القرآن </w:t>
      </w:r>
      <w:r w:rsidR="00D56A41" w:rsidRPr="00FD211F">
        <w:rPr>
          <w:sz w:val="36"/>
          <w:szCs w:val="36"/>
          <w:rtl/>
        </w:rPr>
        <w:t xml:space="preserve">بإيجاد فرد آخر مشابه للفرد الأوّل الذي نزل على قلب النبي </w:t>
      </w:r>
      <w:r w:rsidR="007A4A0D" w:rsidRPr="00FD211F">
        <w:rPr>
          <w:sz w:val="36"/>
          <w:szCs w:val="36"/>
          <w:rtl/>
        </w:rPr>
        <w:t>(صلى‌الله‌عليه‌وآله)</w:t>
      </w:r>
      <w:r w:rsidR="00603323" w:rsidRPr="00FD211F">
        <w:rPr>
          <w:sz w:val="36"/>
          <w:szCs w:val="36"/>
          <w:rtl/>
        </w:rPr>
        <w:t xml:space="preserve">، </w:t>
      </w:r>
      <w:r w:rsidRPr="00FD211F">
        <w:rPr>
          <w:sz w:val="36"/>
          <w:szCs w:val="36"/>
          <w:rtl/>
        </w:rPr>
        <w:t>فكما أنّ قراء</w:t>
      </w:r>
      <w:r w:rsidR="00EC7EDF" w:rsidRPr="00FD211F">
        <w:rPr>
          <w:sz w:val="36"/>
          <w:szCs w:val="36"/>
          <w:rtl/>
        </w:rPr>
        <w:t xml:space="preserve">ة </w:t>
      </w:r>
      <w:r w:rsidRPr="00FD211F">
        <w:rPr>
          <w:sz w:val="36"/>
          <w:szCs w:val="36"/>
          <w:rtl/>
        </w:rPr>
        <w:t xml:space="preserve">شعر المتنبّي </w:t>
      </w:r>
      <w:r w:rsidR="00D56A41" w:rsidRPr="00FD211F">
        <w:rPr>
          <w:sz w:val="36"/>
          <w:szCs w:val="36"/>
          <w:rtl/>
        </w:rPr>
        <w:t>عبار</w:t>
      </w:r>
      <w:r w:rsidR="00EC7EDF" w:rsidRPr="00FD211F">
        <w:rPr>
          <w:sz w:val="36"/>
          <w:szCs w:val="36"/>
          <w:rtl/>
        </w:rPr>
        <w:t xml:space="preserve">ة </w:t>
      </w:r>
      <w:r w:rsidR="00D56A41" w:rsidRPr="00FD211F">
        <w:rPr>
          <w:sz w:val="36"/>
          <w:szCs w:val="36"/>
          <w:rtl/>
        </w:rPr>
        <w:t>عن إيجاد فرد من تلك الألفاظ المنسّق</w:t>
      </w:r>
      <w:r w:rsidR="00EC7EDF" w:rsidRPr="00FD211F">
        <w:rPr>
          <w:sz w:val="36"/>
          <w:szCs w:val="36"/>
          <w:rtl/>
        </w:rPr>
        <w:t xml:space="preserve">ة </w:t>
      </w:r>
      <w:r w:rsidR="00D56A41" w:rsidRPr="00FD211F">
        <w:rPr>
          <w:sz w:val="36"/>
          <w:szCs w:val="36"/>
          <w:rtl/>
        </w:rPr>
        <w:t>على النهج الخاص المماثل لما صدر منه بقصد الحكاي</w:t>
      </w:r>
      <w:r w:rsidR="00EC7EDF" w:rsidRPr="00FD211F">
        <w:rPr>
          <w:sz w:val="36"/>
          <w:szCs w:val="36"/>
          <w:rtl/>
        </w:rPr>
        <w:t xml:space="preserve">ة </w:t>
      </w:r>
      <w:r w:rsidR="00D56A41" w:rsidRPr="00FD211F">
        <w:rPr>
          <w:sz w:val="36"/>
          <w:szCs w:val="36"/>
          <w:rtl/>
        </w:rPr>
        <w:t>عن الطبيعي</w:t>
      </w:r>
      <w:r w:rsidR="00603323" w:rsidRPr="00FD211F">
        <w:rPr>
          <w:sz w:val="36"/>
          <w:szCs w:val="36"/>
          <w:rtl/>
        </w:rPr>
        <w:t xml:space="preserve">، </w:t>
      </w:r>
      <w:r w:rsidR="00D56A41" w:rsidRPr="00FD211F">
        <w:rPr>
          <w:sz w:val="36"/>
          <w:szCs w:val="36"/>
          <w:rtl/>
        </w:rPr>
        <w:t>فكذا في القرآن.</w:t>
      </w:r>
    </w:p>
    <w:p w14:paraId="2CAC80A4" w14:textId="77777777" w:rsidR="00D56A41" w:rsidRPr="00FD211F" w:rsidRDefault="00D56A41" w:rsidP="009C58C8">
      <w:pPr>
        <w:ind w:left="0" w:firstLine="227"/>
        <w:jc w:val="both"/>
        <w:rPr>
          <w:sz w:val="36"/>
          <w:szCs w:val="36"/>
          <w:rtl/>
        </w:rPr>
      </w:pPr>
      <w:r w:rsidRPr="00FD211F">
        <w:rPr>
          <w:sz w:val="36"/>
          <w:szCs w:val="36"/>
          <w:rtl/>
        </w:rPr>
        <w:t>و نظير المقام ما لو سألك أحد عن العصفور مثلًا</w:t>
      </w:r>
      <w:r w:rsidR="00EC7EDF" w:rsidRPr="00FD211F">
        <w:rPr>
          <w:sz w:val="36"/>
          <w:szCs w:val="36"/>
          <w:rtl/>
        </w:rPr>
        <w:t xml:space="preserve"> و</w:t>
      </w:r>
      <w:r w:rsidRPr="00FD211F">
        <w:rPr>
          <w:sz w:val="36"/>
          <w:szCs w:val="36"/>
          <w:rtl/>
        </w:rPr>
        <w:t>أنّه أيّ شي‏ء</w:t>
      </w:r>
      <w:r w:rsidR="00603323" w:rsidRPr="00FD211F">
        <w:rPr>
          <w:sz w:val="36"/>
          <w:szCs w:val="36"/>
          <w:rtl/>
        </w:rPr>
        <w:t xml:space="preserve">، </w:t>
      </w:r>
      <w:r w:rsidR="009977FE" w:rsidRPr="00FD211F">
        <w:rPr>
          <w:sz w:val="36"/>
          <w:szCs w:val="36"/>
          <w:rtl/>
        </w:rPr>
        <w:t>و</w:t>
      </w:r>
      <w:r w:rsidR="008D7B3D" w:rsidRPr="00FD211F">
        <w:rPr>
          <w:sz w:val="36"/>
          <w:szCs w:val="36"/>
          <w:rtl/>
        </w:rPr>
        <w:t xml:space="preserve"> لم‌</w:t>
      </w:r>
      <w:r w:rsidRPr="00FD211F">
        <w:rPr>
          <w:sz w:val="36"/>
          <w:szCs w:val="36"/>
          <w:rtl/>
        </w:rPr>
        <w:t>يره طيل</w:t>
      </w:r>
      <w:r w:rsidR="00EC7EDF" w:rsidRPr="00FD211F">
        <w:rPr>
          <w:sz w:val="36"/>
          <w:szCs w:val="36"/>
          <w:rtl/>
        </w:rPr>
        <w:t xml:space="preserve">ة </w:t>
      </w:r>
      <w:r w:rsidRPr="00FD211F">
        <w:rPr>
          <w:sz w:val="36"/>
          <w:szCs w:val="36"/>
          <w:rtl/>
        </w:rPr>
        <w:t>عمره</w:t>
      </w:r>
      <w:r w:rsidR="00603323" w:rsidRPr="00FD211F">
        <w:rPr>
          <w:sz w:val="36"/>
          <w:szCs w:val="36"/>
          <w:rtl/>
        </w:rPr>
        <w:t xml:space="preserve">، </w:t>
      </w:r>
      <w:r w:rsidRPr="00FD211F">
        <w:rPr>
          <w:sz w:val="36"/>
          <w:szCs w:val="36"/>
          <w:rtl/>
        </w:rPr>
        <w:t>فأخذت عصفوراً بيدك</w:t>
      </w:r>
      <w:r w:rsidR="00EC7EDF" w:rsidRPr="00FD211F">
        <w:rPr>
          <w:sz w:val="36"/>
          <w:szCs w:val="36"/>
          <w:rtl/>
        </w:rPr>
        <w:t xml:space="preserve"> و</w:t>
      </w:r>
      <w:r w:rsidRPr="00FD211F">
        <w:rPr>
          <w:sz w:val="36"/>
          <w:szCs w:val="36"/>
          <w:rtl/>
        </w:rPr>
        <w:t>أريته</w:t>
      </w:r>
      <w:r w:rsidR="00EC7EDF" w:rsidRPr="00FD211F">
        <w:rPr>
          <w:sz w:val="36"/>
          <w:szCs w:val="36"/>
          <w:rtl/>
        </w:rPr>
        <w:t xml:space="preserve"> و</w:t>
      </w:r>
      <w:r w:rsidRPr="00FD211F">
        <w:rPr>
          <w:sz w:val="36"/>
          <w:szCs w:val="36"/>
          <w:rtl/>
        </w:rPr>
        <w:t>قلت هذا العصفور</w:t>
      </w:r>
      <w:r w:rsidR="00603323" w:rsidRPr="00FD211F">
        <w:rPr>
          <w:sz w:val="36"/>
          <w:szCs w:val="36"/>
          <w:rtl/>
        </w:rPr>
        <w:t xml:space="preserve">، </w:t>
      </w:r>
      <w:r w:rsidRPr="00FD211F">
        <w:rPr>
          <w:sz w:val="36"/>
          <w:szCs w:val="36"/>
          <w:rtl/>
        </w:rPr>
        <w:t>فإنّك قصدت بذلك إراء</w:t>
      </w:r>
      <w:r w:rsidR="00EC7EDF" w:rsidRPr="00FD211F">
        <w:rPr>
          <w:sz w:val="36"/>
          <w:szCs w:val="36"/>
          <w:rtl/>
        </w:rPr>
        <w:t xml:space="preserve">ة </w:t>
      </w:r>
      <w:r w:rsidRPr="00FD211F">
        <w:rPr>
          <w:sz w:val="36"/>
          <w:szCs w:val="36"/>
          <w:rtl/>
        </w:rPr>
        <w:t>الطبيعي الذي وضع له هذا اللفظ باراء</w:t>
      </w:r>
      <w:r w:rsidR="00EC7EDF" w:rsidRPr="00FD211F">
        <w:rPr>
          <w:sz w:val="36"/>
          <w:szCs w:val="36"/>
          <w:rtl/>
        </w:rPr>
        <w:t xml:space="preserve">ة </w:t>
      </w:r>
      <w:r w:rsidRPr="00FD211F">
        <w:rPr>
          <w:sz w:val="36"/>
          <w:szCs w:val="36"/>
          <w:rtl/>
        </w:rPr>
        <w:t>هذا الفرد</w:t>
      </w:r>
      <w:r w:rsidR="00603323" w:rsidRPr="00FD211F">
        <w:rPr>
          <w:sz w:val="36"/>
          <w:szCs w:val="36"/>
          <w:rtl/>
        </w:rPr>
        <w:t xml:space="preserve">، </w:t>
      </w:r>
      <w:r w:rsidRPr="00FD211F">
        <w:rPr>
          <w:sz w:val="36"/>
          <w:szCs w:val="36"/>
          <w:rtl/>
        </w:rPr>
        <w:t>فقد حكيت عن الطبيعي باراء</w:t>
      </w:r>
      <w:r w:rsidR="00EC7EDF" w:rsidRPr="00FD211F">
        <w:rPr>
          <w:sz w:val="36"/>
          <w:szCs w:val="36"/>
          <w:rtl/>
        </w:rPr>
        <w:t xml:space="preserve">ة </w:t>
      </w:r>
      <w:r w:rsidRPr="00FD211F">
        <w:rPr>
          <w:sz w:val="36"/>
          <w:szCs w:val="36"/>
          <w:rtl/>
        </w:rPr>
        <w:t>المصداق</w:t>
      </w:r>
      <w:r w:rsidR="00603323" w:rsidRPr="00FD211F">
        <w:rPr>
          <w:sz w:val="36"/>
          <w:szCs w:val="36"/>
          <w:rtl/>
        </w:rPr>
        <w:t xml:space="preserve">، </w:t>
      </w:r>
      <w:r w:rsidRPr="00FD211F">
        <w:rPr>
          <w:sz w:val="36"/>
          <w:szCs w:val="36"/>
          <w:rtl/>
        </w:rPr>
        <w:t>لا أنّ لفظ العصفور موضوع لفرد معيّن</w:t>
      </w:r>
      <w:r w:rsidR="00EC7EDF" w:rsidRPr="00FD211F">
        <w:rPr>
          <w:sz w:val="36"/>
          <w:szCs w:val="36"/>
          <w:rtl/>
        </w:rPr>
        <w:t xml:space="preserve"> و</w:t>
      </w:r>
      <w:r w:rsidRPr="00FD211F">
        <w:rPr>
          <w:sz w:val="36"/>
          <w:szCs w:val="36"/>
          <w:rtl/>
        </w:rPr>
        <w:t>قد أريته باراء</w:t>
      </w:r>
      <w:r w:rsidR="00EC7EDF" w:rsidRPr="00FD211F">
        <w:rPr>
          <w:sz w:val="36"/>
          <w:szCs w:val="36"/>
          <w:rtl/>
        </w:rPr>
        <w:t xml:space="preserve">ة </w:t>
      </w:r>
      <w:r w:rsidRPr="00FD211F">
        <w:rPr>
          <w:sz w:val="36"/>
          <w:szCs w:val="36"/>
          <w:rtl/>
        </w:rPr>
        <w:t>هذا الفرد.</w:t>
      </w:r>
    </w:p>
    <w:p w14:paraId="70CFCCE5" w14:textId="77777777" w:rsidR="00D56A41" w:rsidRPr="00FD211F" w:rsidRDefault="00F37728" w:rsidP="009C58C8">
      <w:pPr>
        <w:ind w:left="0" w:firstLine="227"/>
        <w:jc w:val="both"/>
        <w:rPr>
          <w:sz w:val="36"/>
          <w:szCs w:val="36"/>
          <w:rtl/>
        </w:rPr>
      </w:pPr>
      <w:r w:rsidRPr="00FD211F">
        <w:rPr>
          <w:sz w:val="36"/>
          <w:szCs w:val="36"/>
          <w:rtl/>
        </w:rPr>
        <w:t>والحاصل أنالا</w:t>
      </w:r>
      <w:r w:rsidR="00D56A41" w:rsidRPr="00FD211F">
        <w:rPr>
          <w:sz w:val="36"/>
          <w:szCs w:val="36"/>
          <w:rtl/>
        </w:rPr>
        <w:t>نعقل لقصد القرآني</w:t>
      </w:r>
      <w:r w:rsidR="00EC7EDF" w:rsidRPr="00FD211F">
        <w:rPr>
          <w:sz w:val="36"/>
          <w:szCs w:val="36"/>
          <w:rtl/>
        </w:rPr>
        <w:t xml:space="preserve">ة </w:t>
      </w:r>
      <w:r w:rsidR="00D56A41" w:rsidRPr="00FD211F">
        <w:rPr>
          <w:sz w:val="36"/>
          <w:szCs w:val="36"/>
          <w:rtl/>
        </w:rPr>
        <w:t xml:space="preserve">معنى آخر وراء </w:t>
      </w:r>
      <w:r w:rsidR="00D35543" w:rsidRPr="00FD211F">
        <w:rPr>
          <w:sz w:val="36"/>
          <w:szCs w:val="36"/>
          <w:rtl/>
        </w:rPr>
        <w:t>ذلك</w:t>
      </w:r>
      <w:r w:rsidR="00603323" w:rsidRPr="00FD211F">
        <w:rPr>
          <w:sz w:val="36"/>
          <w:szCs w:val="36"/>
          <w:rtl/>
        </w:rPr>
        <w:t xml:space="preserve">، </w:t>
      </w:r>
      <w:r w:rsidR="00D35543" w:rsidRPr="00FD211F">
        <w:rPr>
          <w:sz w:val="36"/>
          <w:szCs w:val="36"/>
          <w:rtl/>
        </w:rPr>
        <w:t>فليس هو</w:t>
      </w:r>
      <w:r w:rsidR="00D56A41" w:rsidRPr="00FD211F">
        <w:rPr>
          <w:sz w:val="36"/>
          <w:szCs w:val="36"/>
          <w:rtl/>
        </w:rPr>
        <w:t xml:space="preserve"> من استعمال اللفظ في اللفظ</w:t>
      </w:r>
      <w:r w:rsidR="00603323" w:rsidRPr="00FD211F">
        <w:rPr>
          <w:sz w:val="36"/>
          <w:szCs w:val="36"/>
          <w:rtl/>
        </w:rPr>
        <w:t xml:space="preserve">، </w:t>
      </w:r>
      <w:r w:rsidR="00EC7EDF" w:rsidRPr="00FD211F">
        <w:rPr>
          <w:sz w:val="36"/>
          <w:szCs w:val="36"/>
          <w:rtl/>
        </w:rPr>
        <w:t>و</w:t>
      </w:r>
      <w:r w:rsidR="00D56A41" w:rsidRPr="00FD211F">
        <w:rPr>
          <w:sz w:val="36"/>
          <w:szCs w:val="36"/>
          <w:rtl/>
        </w:rPr>
        <w:t>إنّما هو حكاي</w:t>
      </w:r>
      <w:r w:rsidR="00EC7EDF" w:rsidRPr="00FD211F">
        <w:rPr>
          <w:sz w:val="36"/>
          <w:szCs w:val="36"/>
          <w:rtl/>
        </w:rPr>
        <w:t xml:space="preserve">ة </w:t>
      </w:r>
      <w:r w:rsidR="00D56A41" w:rsidRPr="00FD211F">
        <w:rPr>
          <w:sz w:val="36"/>
          <w:szCs w:val="36"/>
          <w:rtl/>
        </w:rPr>
        <w:t>عن الطبيعي بإيجاد الفرد المماثل كما عرفت</w:t>
      </w:r>
      <w:r w:rsidR="00EC7EDF" w:rsidRPr="00FD211F">
        <w:rPr>
          <w:sz w:val="36"/>
          <w:szCs w:val="36"/>
          <w:rtl/>
        </w:rPr>
        <w:t>.</w:t>
      </w:r>
    </w:p>
    <w:p w14:paraId="6EF46BAB" w14:textId="77777777" w:rsidR="00D56A41" w:rsidRPr="00FD211F" w:rsidRDefault="00D56A41" w:rsidP="009C58C8">
      <w:pPr>
        <w:ind w:left="0" w:firstLine="227"/>
        <w:jc w:val="both"/>
        <w:rPr>
          <w:sz w:val="36"/>
          <w:szCs w:val="36"/>
          <w:rtl/>
        </w:rPr>
      </w:pPr>
      <w:r w:rsidRPr="00FD211F">
        <w:rPr>
          <w:sz w:val="36"/>
          <w:szCs w:val="36"/>
          <w:rtl/>
        </w:rPr>
        <w:t>و من المعلوم أنّ الحكاي</w:t>
      </w:r>
      <w:r w:rsidR="00EC7EDF" w:rsidRPr="00FD211F">
        <w:rPr>
          <w:sz w:val="36"/>
          <w:szCs w:val="36"/>
          <w:rtl/>
        </w:rPr>
        <w:t xml:space="preserve">ة </w:t>
      </w:r>
      <w:r w:rsidRPr="00FD211F">
        <w:rPr>
          <w:sz w:val="36"/>
          <w:szCs w:val="36"/>
          <w:rtl/>
        </w:rPr>
        <w:t>عن ذاك الطبيعي بالإضاف</w:t>
      </w:r>
      <w:r w:rsidR="00EC7EDF" w:rsidRPr="00FD211F">
        <w:rPr>
          <w:sz w:val="36"/>
          <w:szCs w:val="36"/>
          <w:rtl/>
        </w:rPr>
        <w:t xml:space="preserve">ة </w:t>
      </w:r>
      <w:r w:rsidRPr="00FD211F">
        <w:rPr>
          <w:sz w:val="36"/>
          <w:szCs w:val="36"/>
          <w:rtl/>
        </w:rPr>
        <w:t>إلى قصد المعنى من خبر أو إنشاء تكون لا بشرط</w:t>
      </w:r>
      <w:r w:rsidR="00603323" w:rsidRPr="00FD211F">
        <w:rPr>
          <w:sz w:val="36"/>
          <w:szCs w:val="36"/>
          <w:rtl/>
        </w:rPr>
        <w:t xml:space="preserve">، </w:t>
      </w:r>
      <w:r w:rsidRPr="00FD211F">
        <w:rPr>
          <w:sz w:val="36"/>
          <w:szCs w:val="36"/>
          <w:rtl/>
        </w:rPr>
        <w:t>فإذا اقترنت الحكاي</w:t>
      </w:r>
      <w:r w:rsidR="00EC7EDF" w:rsidRPr="00FD211F">
        <w:rPr>
          <w:sz w:val="36"/>
          <w:szCs w:val="36"/>
          <w:rtl/>
        </w:rPr>
        <w:t xml:space="preserve">ة </w:t>
      </w:r>
      <w:r w:rsidRPr="00FD211F">
        <w:rPr>
          <w:sz w:val="36"/>
          <w:szCs w:val="36"/>
          <w:rtl/>
        </w:rPr>
        <w:t>المزبور</w:t>
      </w:r>
      <w:r w:rsidR="00EC7EDF" w:rsidRPr="00FD211F">
        <w:rPr>
          <w:sz w:val="36"/>
          <w:szCs w:val="36"/>
          <w:rtl/>
        </w:rPr>
        <w:t xml:space="preserve">ة </w:t>
      </w:r>
      <w:r w:rsidRPr="00FD211F">
        <w:rPr>
          <w:sz w:val="36"/>
          <w:szCs w:val="36"/>
          <w:rtl/>
        </w:rPr>
        <w:t>بقصد المعنى كان هناك استعمال للفظ في معناه زائداً على الحكاي</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Pr="00FD211F">
        <w:rPr>
          <w:sz w:val="36"/>
          <w:szCs w:val="36"/>
          <w:rtl/>
        </w:rPr>
        <w:t>إلّا فهي حكاي</w:t>
      </w:r>
      <w:r w:rsidR="00EC7EDF" w:rsidRPr="00FD211F">
        <w:rPr>
          <w:sz w:val="36"/>
          <w:szCs w:val="36"/>
          <w:rtl/>
        </w:rPr>
        <w:t xml:space="preserve">ة </w:t>
      </w:r>
      <w:r w:rsidRPr="00FD211F">
        <w:rPr>
          <w:sz w:val="36"/>
          <w:szCs w:val="36"/>
          <w:rtl/>
        </w:rPr>
        <w:t>صرف</w:t>
      </w:r>
      <w:r w:rsidR="00EC7EDF" w:rsidRPr="00FD211F">
        <w:rPr>
          <w:sz w:val="36"/>
          <w:szCs w:val="36"/>
          <w:rtl/>
        </w:rPr>
        <w:t>ة و</w:t>
      </w:r>
      <w:r w:rsidRPr="00FD211F">
        <w:rPr>
          <w:sz w:val="36"/>
          <w:szCs w:val="36"/>
          <w:rtl/>
        </w:rPr>
        <w:t>ليست من الاستعمال في شي‏ء.</w:t>
      </w:r>
    </w:p>
    <w:p w14:paraId="31D37057" w14:textId="77777777" w:rsidR="00D56A41" w:rsidRPr="00FD211F" w:rsidRDefault="00D56A41" w:rsidP="009C58C8">
      <w:pPr>
        <w:ind w:left="0" w:firstLine="227"/>
        <w:jc w:val="both"/>
        <w:rPr>
          <w:sz w:val="36"/>
          <w:szCs w:val="36"/>
          <w:rtl/>
        </w:rPr>
      </w:pPr>
      <w:r w:rsidRPr="00FD211F">
        <w:rPr>
          <w:sz w:val="36"/>
          <w:szCs w:val="36"/>
          <w:rtl/>
        </w:rPr>
        <w:t>و عليه فلا مانع من أداء المقاصد بالحكاي</w:t>
      </w:r>
      <w:r w:rsidR="00EC7EDF" w:rsidRPr="00FD211F">
        <w:rPr>
          <w:sz w:val="36"/>
          <w:szCs w:val="36"/>
          <w:rtl/>
        </w:rPr>
        <w:t xml:space="preserve">ة </w:t>
      </w:r>
      <w:r w:rsidRPr="00FD211F">
        <w:rPr>
          <w:sz w:val="36"/>
          <w:szCs w:val="36"/>
          <w:rtl/>
        </w:rPr>
        <w:t>عن القرآن كغيره من شعر</w:t>
      </w:r>
      <w:r w:rsidR="00EC7EDF" w:rsidRPr="00FD211F">
        <w:rPr>
          <w:sz w:val="36"/>
          <w:szCs w:val="36"/>
          <w:rtl/>
        </w:rPr>
        <w:t xml:space="preserve"> و</w:t>
      </w:r>
      <w:r w:rsidRPr="00FD211F">
        <w:rPr>
          <w:sz w:val="36"/>
          <w:szCs w:val="36"/>
          <w:rtl/>
        </w:rPr>
        <w:t>نحوه كما لو أردت الاخبار عن مجي‏ء رجل من أقصى البلد فقلت</w:t>
      </w:r>
      <w:r w:rsidR="008817D4" w:rsidRPr="00FD211F">
        <w:rPr>
          <w:sz w:val="36"/>
          <w:szCs w:val="36"/>
          <w:rtl/>
        </w:rPr>
        <w:t xml:space="preserve"> </w:t>
      </w:r>
      <w:r w:rsidR="00D35543" w:rsidRPr="00FD211F">
        <w:rPr>
          <w:sz w:val="36"/>
          <w:szCs w:val="36"/>
          <w:rtl/>
        </w:rPr>
        <w:t>"</w:t>
      </w:r>
      <w:r w:rsidRPr="00FD211F">
        <w:rPr>
          <w:sz w:val="36"/>
          <w:szCs w:val="36"/>
          <w:rtl/>
        </w:rPr>
        <w:t>جاء رجل من أقصى المدين</w:t>
      </w:r>
      <w:r w:rsidR="00EC7EDF" w:rsidRPr="00FD211F">
        <w:rPr>
          <w:sz w:val="36"/>
          <w:szCs w:val="36"/>
          <w:rtl/>
        </w:rPr>
        <w:t>ة</w:t>
      </w:r>
      <w:r w:rsidR="00D35543" w:rsidRPr="00FD211F">
        <w:rPr>
          <w:sz w:val="36"/>
          <w:szCs w:val="36"/>
          <w:rtl/>
        </w:rPr>
        <w:t>".</w:t>
      </w:r>
    </w:p>
    <w:p w14:paraId="17897EC4" w14:textId="77777777" w:rsidR="000C5BBA" w:rsidRPr="00FD211F" w:rsidRDefault="00D56A41" w:rsidP="009C58C8">
      <w:pPr>
        <w:ind w:left="0" w:firstLine="227"/>
        <w:jc w:val="both"/>
        <w:rPr>
          <w:sz w:val="36"/>
          <w:szCs w:val="36"/>
          <w:rtl/>
        </w:rPr>
      </w:pPr>
      <w:r w:rsidRPr="00FD211F">
        <w:rPr>
          <w:sz w:val="36"/>
          <w:szCs w:val="36"/>
          <w:rtl/>
        </w:rPr>
        <w:t xml:space="preserve">فظهر لك أنّ الجمع بين </w:t>
      </w:r>
      <w:r w:rsidR="00D35543" w:rsidRPr="00FD211F">
        <w:rPr>
          <w:sz w:val="36"/>
          <w:szCs w:val="36"/>
          <w:rtl/>
        </w:rPr>
        <w:t>قصد القرآني</w:t>
      </w:r>
      <w:r w:rsidR="00EC7EDF" w:rsidRPr="00FD211F">
        <w:rPr>
          <w:sz w:val="36"/>
          <w:szCs w:val="36"/>
          <w:rtl/>
        </w:rPr>
        <w:t xml:space="preserve">ة </w:t>
      </w:r>
      <w:r w:rsidR="00D35543" w:rsidRPr="00FD211F">
        <w:rPr>
          <w:sz w:val="36"/>
          <w:szCs w:val="36"/>
          <w:rtl/>
        </w:rPr>
        <w:t xml:space="preserve">وانشاء الدعاء ونحوه </w:t>
      </w:r>
      <w:r w:rsidRPr="00FD211F">
        <w:rPr>
          <w:sz w:val="36"/>
          <w:szCs w:val="36"/>
          <w:rtl/>
        </w:rPr>
        <w:t>ليس من استعمال</w:t>
      </w:r>
      <w:r w:rsidR="00D35543" w:rsidRPr="00FD211F">
        <w:rPr>
          <w:sz w:val="36"/>
          <w:szCs w:val="36"/>
          <w:rtl/>
        </w:rPr>
        <w:t xml:space="preserve"> اللفظ </w:t>
      </w:r>
      <w:r w:rsidRPr="00FD211F">
        <w:rPr>
          <w:sz w:val="36"/>
          <w:szCs w:val="36"/>
          <w:rtl/>
        </w:rPr>
        <w:t xml:space="preserve">في </w:t>
      </w:r>
      <w:r w:rsidR="00D35543" w:rsidRPr="00FD211F">
        <w:rPr>
          <w:sz w:val="36"/>
          <w:szCs w:val="36"/>
          <w:rtl/>
        </w:rPr>
        <w:t>معنيين</w:t>
      </w:r>
      <w:r w:rsidR="00603323" w:rsidRPr="00FD211F">
        <w:rPr>
          <w:sz w:val="36"/>
          <w:szCs w:val="36"/>
          <w:rtl/>
        </w:rPr>
        <w:t xml:space="preserve">، </w:t>
      </w:r>
      <w:r w:rsidR="00EC7EDF" w:rsidRPr="00FD211F">
        <w:rPr>
          <w:sz w:val="36"/>
          <w:szCs w:val="36"/>
          <w:rtl/>
        </w:rPr>
        <w:t>و</w:t>
      </w:r>
      <w:r w:rsidRPr="00FD211F">
        <w:rPr>
          <w:sz w:val="36"/>
          <w:szCs w:val="36"/>
          <w:rtl/>
        </w:rPr>
        <w:t xml:space="preserve">إنّما هو استعمال واحد في </w:t>
      </w:r>
      <w:r w:rsidR="00D35543" w:rsidRPr="00FD211F">
        <w:rPr>
          <w:sz w:val="36"/>
          <w:szCs w:val="36"/>
          <w:rtl/>
        </w:rPr>
        <w:t>انشاء الدعاء</w:t>
      </w:r>
      <w:r w:rsidRPr="00FD211F">
        <w:rPr>
          <w:sz w:val="36"/>
          <w:szCs w:val="36"/>
          <w:rtl/>
        </w:rPr>
        <w:t xml:space="preserve"> فقط</w:t>
      </w:r>
      <w:r w:rsidR="00603323" w:rsidRPr="00FD211F">
        <w:rPr>
          <w:sz w:val="36"/>
          <w:szCs w:val="36"/>
          <w:rtl/>
        </w:rPr>
        <w:t xml:space="preserve">، </w:t>
      </w:r>
      <w:r w:rsidRPr="00FD211F">
        <w:rPr>
          <w:sz w:val="36"/>
          <w:szCs w:val="36"/>
          <w:rtl/>
        </w:rPr>
        <w:t>مقترناً بالحكاي</w:t>
      </w:r>
      <w:r w:rsidR="00EC7EDF" w:rsidRPr="00FD211F">
        <w:rPr>
          <w:sz w:val="36"/>
          <w:szCs w:val="36"/>
          <w:rtl/>
        </w:rPr>
        <w:t xml:space="preserve">ة </w:t>
      </w:r>
      <w:r w:rsidRPr="00FD211F">
        <w:rPr>
          <w:sz w:val="36"/>
          <w:szCs w:val="36"/>
          <w:rtl/>
        </w:rPr>
        <w:t>عن الطبيعي بإيجاد الفرد المماثل التي هي خارج</w:t>
      </w:r>
      <w:r w:rsidR="00EC7EDF" w:rsidRPr="00FD211F">
        <w:rPr>
          <w:sz w:val="36"/>
          <w:szCs w:val="36"/>
          <w:rtl/>
        </w:rPr>
        <w:t xml:space="preserve">ة </w:t>
      </w:r>
      <w:r w:rsidRPr="00FD211F">
        <w:rPr>
          <w:sz w:val="36"/>
          <w:szCs w:val="36"/>
          <w:rtl/>
        </w:rPr>
        <w:t>عن باب الاستعمال رأساً كما عرفت</w:t>
      </w:r>
      <w:r w:rsidR="00EC7EDF" w:rsidRPr="00FD211F">
        <w:rPr>
          <w:sz w:val="36"/>
          <w:szCs w:val="36"/>
          <w:rtl/>
        </w:rPr>
        <w:t>.</w:t>
      </w:r>
      <w:r w:rsidRPr="00FD211F">
        <w:rPr>
          <w:sz w:val="36"/>
          <w:szCs w:val="36"/>
          <w:rtl/>
        </w:rPr>
        <w:t xml:space="preserve"> على أنّ بطلان الاستعمال</w:t>
      </w:r>
      <w:r w:rsidR="00D35543" w:rsidRPr="00FD211F">
        <w:rPr>
          <w:sz w:val="36"/>
          <w:szCs w:val="36"/>
          <w:rtl/>
        </w:rPr>
        <w:t xml:space="preserve"> في معنيين</w:t>
      </w:r>
      <w:r w:rsidR="00EC7EDF" w:rsidRPr="00FD211F">
        <w:rPr>
          <w:sz w:val="36"/>
          <w:szCs w:val="36"/>
          <w:rtl/>
        </w:rPr>
        <w:t xml:space="preserve"> و</w:t>
      </w:r>
      <w:r w:rsidRPr="00FD211F">
        <w:rPr>
          <w:sz w:val="36"/>
          <w:szCs w:val="36"/>
          <w:rtl/>
        </w:rPr>
        <w:t>إن كان هو المشهور إلّا أنّ الحق جوازه كما بيّناه في الأُصول</w:t>
      </w:r>
      <w:r w:rsidR="00EC7EDF" w:rsidRPr="00FD211F">
        <w:rPr>
          <w:sz w:val="36"/>
          <w:szCs w:val="36"/>
          <w:rtl/>
        </w:rPr>
        <w:t>.</w:t>
      </w:r>
    </w:p>
    <w:p w14:paraId="10D0F1C8" w14:textId="77777777" w:rsidR="00D35543" w:rsidRPr="00FD211F" w:rsidRDefault="00D56A41" w:rsidP="009C58C8">
      <w:pPr>
        <w:ind w:left="0" w:firstLine="227"/>
        <w:jc w:val="both"/>
        <w:rPr>
          <w:sz w:val="36"/>
          <w:szCs w:val="36"/>
          <w:rtl/>
        </w:rPr>
      </w:pPr>
      <w:r w:rsidRPr="00FD211F">
        <w:rPr>
          <w:sz w:val="36"/>
          <w:szCs w:val="36"/>
          <w:rtl/>
        </w:rPr>
        <w:t>ويؤيد ما ذكرناه: أنّ قصد المعاني يعدّ من كمال القراء</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Pr="00FD211F">
        <w:rPr>
          <w:sz w:val="36"/>
          <w:szCs w:val="36"/>
          <w:rtl/>
        </w:rPr>
        <w:t>قد أُمرنا بتلاو</w:t>
      </w:r>
      <w:r w:rsidR="00EC7EDF" w:rsidRPr="00FD211F">
        <w:rPr>
          <w:sz w:val="36"/>
          <w:szCs w:val="36"/>
          <w:rtl/>
        </w:rPr>
        <w:t xml:space="preserve">ة </w:t>
      </w:r>
      <w:r w:rsidRPr="00FD211F">
        <w:rPr>
          <w:sz w:val="36"/>
          <w:szCs w:val="36"/>
          <w:rtl/>
        </w:rPr>
        <w:t>القرآن عن تدبر</w:t>
      </w:r>
      <w:r w:rsidR="00EC7EDF" w:rsidRPr="00FD211F">
        <w:rPr>
          <w:sz w:val="36"/>
          <w:szCs w:val="36"/>
          <w:rtl/>
        </w:rPr>
        <w:t xml:space="preserve"> و</w:t>
      </w:r>
      <w:r w:rsidRPr="00FD211F">
        <w:rPr>
          <w:sz w:val="36"/>
          <w:szCs w:val="36"/>
          <w:rtl/>
        </w:rPr>
        <w:t>خشوع</w:t>
      </w:r>
      <w:r w:rsidR="00EC7EDF" w:rsidRPr="00FD211F">
        <w:rPr>
          <w:sz w:val="36"/>
          <w:szCs w:val="36"/>
          <w:rtl/>
        </w:rPr>
        <w:t xml:space="preserve"> و</w:t>
      </w:r>
      <w:r w:rsidRPr="00FD211F">
        <w:rPr>
          <w:sz w:val="36"/>
          <w:szCs w:val="36"/>
          <w:rtl/>
        </w:rPr>
        <w:t>تضرع</w:t>
      </w:r>
      <w:r w:rsidR="00EC7EDF" w:rsidRPr="00FD211F">
        <w:rPr>
          <w:sz w:val="36"/>
          <w:szCs w:val="36"/>
          <w:rtl/>
        </w:rPr>
        <w:t xml:space="preserve"> و</w:t>
      </w:r>
      <w:r w:rsidRPr="00FD211F">
        <w:rPr>
          <w:sz w:val="36"/>
          <w:szCs w:val="36"/>
          <w:rtl/>
        </w:rPr>
        <w:t>خضوع</w:t>
      </w:r>
      <w:r w:rsidR="00EC7EDF" w:rsidRPr="00FD211F">
        <w:rPr>
          <w:sz w:val="36"/>
          <w:szCs w:val="36"/>
          <w:rtl/>
        </w:rPr>
        <w:t xml:space="preserve"> و</w:t>
      </w:r>
      <w:r w:rsidRPr="00FD211F">
        <w:rPr>
          <w:sz w:val="36"/>
          <w:szCs w:val="36"/>
          <w:rtl/>
        </w:rPr>
        <w:t>حضور للقلب المستلزم لذلك لا محال</w:t>
      </w:r>
      <w:r w:rsidR="00EC7EDF" w:rsidRPr="00FD211F">
        <w:rPr>
          <w:sz w:val="36"/>
          <w:szCs w:val="36"/>
          <w:rtl/>
        </w:rPr>
        <w:t>ة</w:t>
      </w:r>
      <w:r w:rsidR="00603323" w:rsidRPr="00FD211F">
        <w:rPr>
          <w:sz w:val="36"/>
          <w:szCs w:val="36"/>
          <w:rtl/>
        </w:rPr>
        <w:t xml:space="preserve">، </w:t>
      </w:r>
      <w:r w:rsidR="00EC7EDF" w:rsidRPr="00FD211F">
        <w:rPr>
          <w:sz w:val="36"/>
          <w:szCs w:val="36"/>
          <w:rtl/>
        </w:rPr>
        <w:t>و</w:t>
      </w:r>
      <w:r w:rsidRPr="00FD211F">
        <w:rPr>
          <w:sz w:val="36"/>
          <w:szCs w:val="36"/>
          <w:rtl/>
        </w:rPr>
        <w:t>إلّا فمجرد الألفاظ العاري</w:t>
      </w:r>
      <w:r w:rsidR="00EC7EDF" w:rsidRPr="00FD211F">
        <w:rPr>
          <w:sz w:val="36"/>
          <w:szCs w:val="36"/>
          <w:rtl/>
        </w:rPr>
        <w:t xml:space="preserve">ة </w:t>
      </w:r>
      <w:r w:rsidRPr="00FD211F">
        <w:rPr>
          <w:sz w:val="36"/>
          <w:szCs w:val="36"/>
          <w:rtl/>
        </w:rPr>
        <w:t>عن قصد تلك المعاني</w:t>
      </w:r>
      <w:r w:rsidR="00603323" w:rsidRPr="00FD211F">
        <w:rPr>
          <w:sz w:val="36"/>
          <w:szCs w:val="36"/>
          <w:rtl/>
        </w:rPr>
        <w:t xml:space="preserve">، </w:t>
      </w:r>
      <w:r w:rsidRPr="00FD211F">
        <w:rPr>
          <w:sz w:val="36"/>
          <w:szCs w:val="36"/>
          <w:rtl/>
        </w:rPr>
        <w:t>أو المشتمل</w:t>
      </w:r>
      <w:r w:rsidR="00EC7EDF" w:rsidRPr="00FD211F">
        <w:rPr>
          <w:sz w:val="36"/>
          <w:szCs w:val="36"/>
          <w:rtl/>
        </w:rPr>
        <w:t xml:space="preserve">ة </w:t>
      </w:r>
      <w:r w:rsidRPr="00FD211F">
        <w:rPr>
          <w:sz w:val="36"/>
          <w:szCs w:val="36"/>
          <w:rtl/>
        </w:rPr>
        <w:t>على مجرّد التصور</w:t>
      </w:r>
      <w:r w:rsidR="00EC7EDF" w:rsidRPr="00FD211F">
        <w:rPr>
          <w:sz w:val="36"/>
          <w:szCs w:val="36"/>
          <w:rtl/>
        </w:rPr>
        <w:t xml:space="preserve"> و</w:t>
      </w:r>
      <w:r w:rsidRPr="00FD211F">
        <w:rPr>
          <w:sz w:val="36"/>
          <w:szCs w:val="36"/>
          <w:rtl/>
        </w:rPr>
        <w:t>الخطور لا يخرج عن مجرّد لقلق</w:t>
      </w:r>
      <w:r w:rsidR="00EC7EDF" w:rsidRPr="00FD211F">
        <w:rPr>
          <w:sz w:val="36"/>
          <w:szCs w:val="36"/>
          <w:rtl/>
        </w:rPr>
        <w:t xml:space="preserve">ة </w:t>
      </w:r>
      <w:r w:rsidRPr="00FD211F">
        <w:rPr>
          <w:sz w:val="36"/>
          <w:szCs w:val="36"/>
          <w:rtl/>
        </w:rPr>
        <w:t>اللسان المنافي لكمال قراء</w:t>
      </w:r>
      <w:r w:rsidR="00EC7EDF" w:rsidRPr="00FD211F">
        <w:rPr>
          <w:sz w:val="36"/>
          <w:szCs w:val="36"/>
          <w:rtl/>
        </w:rPr>
        <w:t xml:space="preserve">ة </w:t>
      </w:r>
      <w:r w:rsidRPr="00FD211F">
        <w:rPr>
          <w:sz w:val="36"/>
          <w:szCs w:val="36"/>
          <w:rtl/>
        </w:rPr>
        <w:t>القرآن</w:t>
      </w:r>
      <w:r w:rsidR="009C58C8" w:rsidRPr="00FD211F">
        <w:rPr>
          <w:rStyle w:val="a6"/>
          <w:sz w:val="36"/>
          <w:szCs w:val="36"/>
          <w:rtl/>
        </w:rPr>
        <w:t>(</w:t>
      </w:r>
      <w:r w:rsidR="009C58C8" w:rsidRPr="00FD211F">
        <w:rPr>
          <w:rStyle w:val="a6"/>
          <w:sz w:val="36"/>
          <w:szCs w:val="36"/>
          <w:rtl/>
        </w:rPr>
        <w:footnoteReference w:id="478"/>
      </w:r>
      <w:r w:rsidR="009C58C8" w:rsidRPr="00FD211F">
        <w:rPr>
          <w:rStyle w:val="a6"/>
          <w:sz w:val="36"/>
          <w:szCs w:val="36"/>
          <w:rtl/>
        </w:rPr>
        <w:t>)</w:t>
      </w:r>
      <w:r w:rsidRPr="00FD211F">
        <w:rPr>
          <w:sz w:val="36"/>
          <w:szCs w:val="36"/>
          <w:rtl/>
        </w:rPr>
        <w:t>.</w:t>
      </w:r>
    </w:p>
    <w:p w14:paraId="3AD8518F" w14:textId="77777777" w:rsidR="000C5BBA" w:rsidRPr="00FD211F" w:rsidRDefault="007F21EC" w:rsidP="009C58C8">
      <w:pPr>
        <w:ind w:left="0" w:firstLine="227"/>
        <w:jc w:val="both"/>
        <w:rPr>
          <w:sz w:val="36"/>
          <w:szCs w:val="36"/>
          <w:rtl/>
        </w:rPr>
      </w:pPr>
      <w:r w:rsidRPr="00FD211F">
        <w:rPr>
          <w:sz w:val="36"/>
          <w:szCs w:val="36"/>
          <w:rtl/>
        </w:rPr>
        <w:t>وماذكره هو الصحيح</w:t>
      </w:r>
      <w:r w:rsidR="00603323" w:rsidRPr="00FD211F">
        <w:rPr>
          <w:sz w:val="36"/>
          <w:szCs w:val="36"/>
          <w:rtl/>
        </w:rPr>
        <w:t xml:space="preserve">، </w:t>
      </w:r>
      <w:r w:rsidRPr="00FD211F">
        <w:rPr>
          <w:sz w:val="36"/>
          <w:szCs w:val="36"/>
          <w:rtl/>
        </w:rPr>
        <w:t xml:space="preserve">توضيح ذلك </w:t>
      </w:r>
      <w:r w:rsidR="000E69BF" w:rsidRPr="00FD211F">
        <w:rPr>
          <w:sz w:val="36"/>
          <w:szCs w:val="36"/>
          <w:rtl/>
        </w:rPr>
        <w:t>أنه ليس</w:t>
      </w:r>
      <w:r w:rsidRPr="00FD211F">
        <w:rPr>
          <w:sz w:val="36"/>
          <w:szCs w:val="36"/>
          <w:rtl/>
        </w:rPr>
        <w:t>ت</w:t>
      </w:r>
      <w:r w:rsidR="000E69BF" w:rsidRPr="00FD211F">
        <w:rPr>
          <w:sz w:val="36"/>
          <w:szCs w:val="36"/>
          <w:rtl/>
        </w:rPr>
        <w:t xml:space="preserve"> قراء</w:t>
      </w:r>
      <w:r w:rsidR="00EC7EDF" w:rsidRPr="00FD211F">
        <w:rPr>
          <w:sz w:val="36"/>
          <w:szCs w:val="36"/>
          <w:rtl/>
        </w:rPr>
        <w:t xml:space="preserve">ة </w:t>
      </w:r>
      <w:r w:rsidR="000E69BF" w:rsidRPr="00FD211F">
        <w:rPr>
          <w:sz w:val="36"/>
          <w:szCs w:val="36"/>
          <w:rtl/>
        </w:rPr>
        <w:t>القرآن متقوم</w:t>
      </w:r>
      <w:r w:rsidR="00EC7EDF" w:rsidRPr="00FD211F">
        <w:rPr>
          <w:sz w:val="36"/>
          <w:szCs w:val="36"/>
          <w:rtl/>
        </w:rPr>
        <w:t xml:space="preserve">ة </w:t>
      </w:r>
      <w:r w:rsidR="000E69BF" w:rsidRPr="00FD211F">
        <w:rPr>
          <w:sz w:val="36"/>
          <w:szCs w:val="36"/>
          <w:rtl/>
        </w:rPr>
        <w:t xml:space="preserve">بإيجاد لفظ القرآن واستعماله في نوع هذا اللفظ </w:t>
      </w:r>
      <w:r w:rsidRPr="00FD211F">
        <w:rPr>
          <w:sz w:val="36"/>
          <w:szCs w:val="36"/>
          <w:rtl/>
        </w:rPr>
        <w:t>-</w:t>
      </w:r>
      <w:r w:rsidR="000E69BF" w:rsidRPr="00FD211F">
        <w:rPr>
          <w:sz w:val="36"/>
          <w:szCs w:val="36"/>
          <w:rtl/>
        </w:rPr>
        <w:t>كما كان في مثل قولنا "ضرب كلم</w:t>
      </w:r>
      <w:r w:rsidR="00EC7EDF" w:rsidRPr="00FD211F">
        <w:rPr>
          <w:sz w:val="36"/>
          <w:szCs w:val="36"/>
          <w:rtl/>
        </w:rPr>
        <w:t xml:space="preserve">ة </w:t>
      </w:r>
      <w:r w:rsidR="000E69BF" w:rsidRPr="00FD211F">
        <w:rPr>
          <w:sz w:val="36"/>
          <w:szCs w:val="36"/>
          <w:rtl/>
        </w:rPr>
        <w:t>" حيث كان المستعمل فيه والمحكي للفظ "ضرب" هو نوع هذا اللفظ</w:t>
      </w:r>
      <w:r w:rsidRPr="00FD211F">
        <w:rPr>
          <w:sz w:val="36"/>
          <w:szCs w:val="36"/>
          <w:rtl/>
        </w:rPr>
        <w:t>-</w:t>
      </w:r>
      <w:r w:rsidR="000E69BF" w:rsidRPr="00FD211F">
        <w:rPr>
          <w:sz w:val="36"/>
          <w:szCs w:val="36"/>
          <w:rtl/>
        </w:rPr>
        <w:t xml:space="preserve"> حتى يكون استعماله في المعنى الموضوع له لهذا اللفظ من قبيل استعمال اللفظ في </w:t>
      </w:r>
      <w:r w:rsidRPr="00FD211F">
        <w:rPr>
          <w:sz w:val="36"/>
          <w:szCs w:val="36"/>
          <w:rtl/>
        </w:rPr>
        <w:t>معنيين</w:t>
      </w:r>
      <w:r w:rsidR="00603323" w:rsidRPr="00FD211F">
        <w:rPr>
          <w:sz w:val="36"/>
          <w:szCs w:val="36"/>
          <w:rtl/>
        </w:rPr>
        <w:t xml:space="preserve">، </w:t>
      </w:r>
      <w:r w:rsidR="000E69BF" w:rsidRPr="00FD211F">
        <w:rPr>
          <w:sz w:val="36"/>
          <w:szCs w:val="36"/>
          <w:rtl/>
        </w:rPr>
        <w:t>كما مر نظيره في قولهم "قلب ملوم مولم" و"قلب بهرام ما رهب"</w:t>
      </w:r>
      <w:r w:rsidRPr="00FD211F">
        <w:rPr>
          <w:sz w:val="36"/>
          <w:szCs w:val="36"/>
          <w:rtl/>
        </w:rPr>
        <w:t>.</w:t>
      </w:r>
    </w:p>
    <w:p w14:paraId="17BDB4DE" w14:textId="77777777" w:rsidR="000C5BBA" w:rsidRPr="00FD211F" w:rsidRDefault="000E69BF" w:rsidP="009C58C8">
      <w:pPr>
        <w:ind w:left="0" w:firstLine="227"/>
        <w:jc w:val="both"/>
        <w:rPr>
          <w:sz w:val="36"/>
          <w:szCs w:val="36"/>
          <w:rtl/>
        </w:rPr>
      </w:pPr>
      <w:r w:rsidRPr="00FD211F">
        <w:rPr>
          <w:sz w:val="36"/>
          <w:szCs w:val="36"/>
          <w:rtl/>
        </w:rPr>
        <w:t>بل يكفي في صدق قراء</w:t>
      </w:r>
      <w:r w:rsidR="00EC7EDF" w:rsidRPr="00FD211F">
        <w:rPr>
          <w:sz w:val="36"/>
          <w:szCs w:val="36"/>
          <w:rtl/>
        </w:rPr>
        <w:t xml:space="preserve">ة </w:t>
      </w:r>
      <w:r w:rsidRPr="00FD211F">
        <w:rPr>
          <w:sz w:val="36"/>
          <w:szCs w:val="36"/>
          <w:rtl/>
        </w:rPr>
        <w:t>القرآن كون التلفظ بلفظ القرآن بداعي الحكاي</w:t>
      </w:r>
      <w:r w:rsidR="00EC7EDF" w:rsidRPr="00FD211F">
        <w:rPr>
          <w:sz w:val="36"/>
          <w:szCs w:val="36"/>
          <w:rtl/>
        </w:rPr>
        <w:t xml:space="preserve">ة </w:t>
      </w:r>
      <w:r w:rsidRPr="00FD211F">
        <w:rPr>
          <w:sz w:val="36"/>
          <w:szCs w:val="36"/>
          <w:rtl/>
        </w:rPr>
        <w:t>عنه</w:t>
      </w:r>
      <w:r w:rsidR="00603323" w:rsidRPr="00FD211F">
        <w:rPr>
          <w:sz w:val="36"/>
          <w:szCs w:val="36"/>
          <w:rtl/>
        </w:rPr>
        <w:t xml:space="preserve">، </w:t>
      </w:r>
      <w:r w:rsidRPr="00FD211F">
        <w:rPr>
          <w:sz w:val="36"/>
          <w:szCs w:val="36"/>
          <w:rtl/>
        </w:rPr>
        <w:t>ولايضرّ بذلك عدم قصد معناه او قصد معنى آخر</w:t>
      </w:r>
      <w:r w:rsidR="00603323" w:rsidRPr="00FD211F">
        <w:rPr>
          <w:sz w:val="36"/>
          <w:szCs w:val="36"/>
          <w:rtl/>
        </w:rPr>
        <w:t xml:space="preserve">، </w:t>
      </w:r>
      <w:r w:rsidRPr="00FD211F">
        <w:rPr>
          <w:sz w:val="36"/>
          <w:szCs w:val="36"/>
          <w:rtl/>
        </w:rPr>
        <w:t xml:space="preserve">كما </w:t>
      </w:r>
      <w:r w:rsidR="007F21EC" w:rsidRPr="00FD211F">
        <w:rPr>
          <w:sz w:val="36"/>
          <w:szCs w:val="36"/>
          <w:rtl/>
        </w:rPr>
        <w:t>في مثال</w:t>
      </w:r>
      <w:r w:rsidR="00B253CE" w:rsidRPr="00FD211F">
        <w:rPr>
          <w:sz w:val="36"/>
          <w:szCs w:val="36"/>
          <w:rtl/>
        </w:rPr>
        <w:t xml:space="preserve"> </w:t>
      </w:r>
      <w:r w:rsidR="007F21EC" w:rsidRPr="00FD211F">
        <w:rPr>
          <w:sz w:val="36"/>
          <w:szCs w:val="36"/>
          <w:rtl/>
        </w:rPr>
        <w:t>قراء</w:t>
      </w:r>
      <w:r w:rsidR="00EC7EDF" w:rsidRPr="00FD211F">
        <w:rPr>
          <w:sz w:val="36"/>
          <w:szCs w:val="36"/>
          <w:rtl/>
        </w:rPr>
        <w:t xml:space="preserve">ة </w:t>
      </w:r>
      <w:r w:rsidRPr="00FD211F">
        <w:rPr>
          <w:sz w:val="36"/>
          <w:szCs w:val="36"/>
          <w:rtl/>
        </w:rPr>
        <w:t xml:space="preserve">قوله تعالى "رب </w:t>
      </w:r>
      <w:r w:rsidR="007F21EC" w:rsidRPr="00FD211F">
        <w:rPr>
          <w:sz w:val="36"/>
          <w:szCs w:val="36"/>
          <w:rtl/>
        </w:rPr>
        <w:t xml:space="preserve">اني لما انزلت الي من خير فقير" مع </w:t>
      </w:r>
      <w:r w:rsidRPr="00FD211F">
        <w:rPr>
          <w:sz w:val="36"/>
          <w:szCs w:val="36"/>
          <w:rtl/>
        </w:rPr>
        <w:t xml:space="preserve">قصد </w:t>
      </w:r>
      <w:r w:rsidR="007F21EC" w:rsidRPr="00FD211F">
        <w:rPr>
          <w:sz w:val="36"/>
          <w:szCs w:val="36"/>
          <w:rtl/>
        </w:rPr>
        <w:t>انشاء الدعاء لنفسه</w:t>
      </w:r>
      <w:r w:rsidR="00603323" w:rsidRPr="00FD211F">
        <w:rPr>
          <w:sz w:val="36"/>
          <w:szCs w:val="36"/>
          <w:rtl/>
        </w:rPr>
        <w:t xml:space="preserve">، </w:t>
      </w:r>
      <w:r w:rsidRPr="00FD211F">
        <w:rPr>
          <w:sz w:val="36"/>
          <w:szCs w:val="36"/>
          <w:rtl/>
        </w:rPr>
        <w:t>فقراء</w:t>
      </w:r>
      <w:r w:rsidR="00EC7EDF" w:rsidRPr="00FD211F">
        <w:rPr>
          <w:sz w:val="36"/>
          <w:szCs w:val="36"/>
          <w:rtl/>
        </w:rPr>
        <w:t xml:space="preserve">ة </w:t>
      </w:r>
      <w:r w:rsidRPr="00FD211F">
        <w:rPr>
          <w:sz w:val="36"/>
          <w:szCs w:val="36"/>
          <w:rtl/>
        </w:rPr>
        <w:t>القرآن نظير قراء</w:t>
      </w:r>
      <w:r w:rsidR="00EC7EDF" w:rsidRPr="00FD211F">
        <w:rPr>
          <w:sz w:val="36"/>
          <w:szCs w:val="36"/>
          <w:rtl/>
        </w:rPr>
        <w:t xml:space="preserve">ة </w:t>
      </w:r>
      <w:r w:rsidRPr="00FD211F">
        <w:rPr>
          <w:sz w:val="36"/>
          <w:szCs w:val="36"/>
          <w:rtl/>
        </w:rPr>
        <w:t>شعر شاعر</w:t>
      </w:r>
      <w:r w:rsidR="007F21EC" w:rsidRPr="00FD211F">
        <w:rPr>
          <w:sz w:val="36"/>
          <w:szCs w:val="36"/>
          <w:rtl/>
        </w:rPr>
        <w:t>ٍ</w:t>
      </w:r>
      <w:r w:rsidRPr="00FD211F">
        <w:rPr>
          <w:sz w:val="36"/>
          <w:szCs w:val="36"/>
          <w:rtl/>
        </w:rPr>
        <w:t xml:space="preserve"> بداعي ق</w:t>
      </w:r>
      <w:r w:rsidR="008D7B3D" w:rsidRPr="00FD211F">
        <w:rPr>
          <w:sz w:val="36"/>
          <w:szCs w:val="36"/>
          <w:rtl/>
        </w:rPr>
        <w:t>راءة</w:t>
      </w:r>
      <w:r w:rsidR="00EC7EDF" w:rsidRPr="00FD211F">
        <w:rPr>
          <w:sz w:val="36"/>
          <w:szCs w:val="36"/>
          <w:rtl/>
        </w:rPr>
        <w:t xml:space="preserve"> </w:t>
      </w:r>
      <w:r w:rsidRPr="00FD211F">
        <w:rPr>
          <w:sz w:val="36"/>
          <w:szCs w:val="36"/>
          <w:rtl/>
        </w:rPr>
        <w:t>شعره فانه يقصد ان يقرأ شعر ذلك الشاعر ولاينافيه كونه قاصدا مدح محبوبه بينما ان الشاعر مدح شخصا آخر.</w:t>
      </w:r>
    </w:p>
    <w:p w14:paraId="63D05AEC" w14:textId="77777777" w:rsidR="00D35543" w:rsidRPr="00FD211F" w:rsidRDefault="007F21EC" w:rsidP="009C58C8">
      <w:pPr>
        <w:ind w:left="0" w:firstLine="227"/>
        <w:jc w:val="both"/>
        <w:rPr>
          <w:sz w:val="36"/>
          <w:szCs w:val="36"/>
          <w:rtl/>
        </w:rPr>
      </w:pPr>
      <w:r w:rsidRPr="00FD211F">
        <w:rPr>
          <w:sz w:val="36"/>
          <w:szCs w:val="36"/>
          <w:rtl/>
        </w:rPr>
        <w:t xml:space="preserve">هذا ولايخفى أن ما ورد في بعض الكلمات </w:t>
      </w:r>
      <w:r w:rsidR="00D35543" w:rsidRPr="00FD211F">
        <w:rPr>
          <w:sz w:val="36"/>
          <w:szCs w:val="36"/>
          <w:rtl/>
        </w:rPr>
        <w:t>من ان قراء</w:t>
      </w:r>
      <w:r w:rsidR="00EC7EDF" w:rsidRPr="00FD211F">
        <w:rPr>
          <w:sz w:val="36"/>
          <w:szCs w:val="36"/>
          <w:rtl/>
        </w:rPr>
        <w:t xml:space="preserve">ة </w:t>
      </w:r>
      <w:r w:rsidR="00D35543" w:rsidRPr="00FD211F">
        <w:rPr>
          <w:sz w:val="36"/>
          <w:szCs w:val="36"/>
          <w:rtl/>
        </w:rPr>
        <w:t>القرآن مثلا تكون بالتلفظ بلفظ القرآن بداعي ايجاد فرد مماثل للفظ القرآن</w:t>
      </w:r>
      <w:r w:rsidR="009C58C8" w:rsidRPr="00FD211F">
        <w:rPr>
          <w:rStyle w:val="a6"/>
          <w:sz w:val="36"/>
          <w:szCs w:val="36"/>
          <w:rtl/>
        </w:rPr>
        <w:t>(</w:t>
      </w:r>
      <w:r w:rsidR="009C58C8" w:rsidRPr="00FD211F">
        <w:rPr>
          <w:rStyle w:val="a6"/>
          <w:sz w:val="36"/>
          <w:szCs w:val="36"/>
          <w:rtl/>
        </w:rPr>
        <w:footnoteReference w:id="479"/>
      </w:r>
      <w:r w:rsidR="009C58C8" w:rsidRPr="00FD211F">
        <w:rPr>
          <w:rStyle w:val="a6"/>
          <w:sz w:val="36"/>
          <w:szCs w:val="36"/>
          <w:rtl/>
        </w:rPr>
        <w:t>)</w:t>
      </w:r>
      <w:r w:rsidR="00603323" w:rsidRPr="00FD211F">
        <w:rPr>
          <w:sz w:val="36"/>
          <w:szCs w:val="36"/>
          <w:rtl/>
        </w:rPr>
        <w:t xml:space="preserve">، </w:t>
      </w:r>
      <w:r w:rsidR="005121EA" w:rsidRPr="00FD211F">
        <w:rPr>
          <w:sz w:val="36"/>
          <w:szCs w:val="36"/>
          <w:rtl/>
        </w:rPr>
        <w:t>لايخلو من مسامح</w:t>
      </w:r>
      <w:r w:rsidR="00EC7EDF" w:rsidRPr="00FD211F">
        <w:rPr>
          <w:sz w:val="36"/>
          <w:szCs w:val="36"/>
          <w:rtl/>
        </w:rPr>
        <w:t>ة</w:t>
      </w:r>
      <w:r w:rsidR="00603323" w:rsidRPr="00FD211F">
        <w:rPr>
          <w:sz w:val="36"/>
          <w:szCs w:val="36"/>
          <w:rtl/>
        </w:rPr>
        <w:t xml:space="preserve">، </w:t>
      </w:r>
      <w:r w:rsidR="005121EA" w:rsidRPr="00FD211F">
        <w:rPr>
          <w:sz w:val="36"/>
          <w:szCs w:val="36"/>
          <w:rtl/>
        </w:rPr>
        <w:t>حيث أ</w:t>
      </w:r>
      <w:r w:rsidR="00D35543" w:rsidRPr="00FD211F">
        <w:rPr>
          <w:sz w:val="36"/>
          <w:szCs w:val="36"/>
          <w:rtl/>
        </w:rPr>
        <w:t>ن مجرد داعي ايجاد الفرد المماثل للقرآن لايكفي في صدق قراء</w:t>
      </w:r>
      <w:r w:rsidR="00EC7EDF" w:rsidRPr="00FD211F">
        <w:rPr>
          <w:sz w:val="36"/>
          <w:szCs w:val="36"/>
          <w:rtl/>
        </w:rPr>
        <w:t xml:space="preserve">ة </w:t>
      </w:r>
      <w:r w:rsidR="00D35543" w:rsidRPr="00FD211F">
        <w:rPr>
          <w:sz w:val="36"/>
          <w:szCs w:val="36"/>
          <w:rtl/>
        </w:rPr>
        <w:t>القرآن لأنه قديكون بقصد الاقتباس منه</w:t>
      </w:r>
      <w:r w:rsidR="00603323" w:rsidRPr="00FD211F">
        <w:rPr>
          <w:sz w:val="36"/>
          <w:szCs w:val="36"/>
          <w:rtl/>
        </w:rPr>
        <w:t xml:space="preserve">، </w:t>
      </w:r>
      <w:r w:rsidR="00D35543" w:rsidRPr="00FD211F">
        <w:rPr>
          <w:sz w:val="36"/>
          <w:szCs w:val="36"/>
          <w:rtl/>
        </w:rPr>
        <w:t>وانما تتقوم قراء</w:t>
      </w:r>
      <w:r w:rsidR="00EC7EDF" w:rsidRPr="00FD211F">
        <w:rPr>
          <w:sz w:val="36"/>
          <w:szCs w:val="36"/>
          <w:rtl/>
        </w:rPr>
        <w:t xml:space="preserve">ة </w:t>
      </w:r>
      <w:r w:rsidR="00D35543" w:rsidRPr="00FD211F">
        <w:rPr>
          <w:sz w:val="36"/>
          <w:szCs w:val="36"/>
          <w:rtl/>
        </w:rPr>
        <w:t>القرآن بالتلفظ بلفظه بداعي الحكاي</w:t>
      </w:r>
      <w:r w:rsidR="00EC7EDF" w:rsidRPr="00FD211F">
        <w:rPr>
          <w:sz w:val="36"/>
          <w:szCs w:val="36"/>
          <w:rtl/>
        </w:rPr>
        <w:t xml:space="preserve">ة </w:t>
      </w:r>
      <w:r w:rsidR="00D35543" w:rsidRPr="00FD211F">
        <w:rPr>
          <w:sz w:val="36"/>
          <w:szCs w:val="36"/>
          <w:rtl/>
        </w:rPr>
        <w:t>عنه.</w:t>
      </w:r>
    </w:p>
    <w:p w14:paraId="4B3D0B5E" w14:textId="77777777" w:rsidR="00057D31" w:rsidRPr="00FD211F" w:rsidRDefault="00057D31" w:rsidP="009C58C8">
      <w:pPr>
        <w:pStyle w:val="3"/>
        <w:ind w:firstLine="227"/>
        <w:jc w:val="both"/>
        <w:rPr>
          <w:rtl/>
        </w:rPr>
        <w:sectPr w:rsidR="00057D31" w:rsidRPr="00FD211F" w:rsidSect="00D24300">
          <w:headerReference w:type="default" r:id="rId30"/>
          <w:footnotePr>
            <w:numRestart w:val="eachPage"/>
          </w:footnotePr>
          <w:pgSz w:w="10319" w:h="14578" w:code="138"/>
          <w:pgMar w:top="1418" w:right="1701" w:bottom="1418" w:left="1701" w:header="1418" w:footer="964" w:gutter="0"/>
          <w:cols w:space="720"/>
          <w:bidi/>
          <w:rtlGutter/>
          <w:docGrid w:linePitch="360"/>
        </w:sectPr>
      </w:pPr>
      <w:bookmarkStart w:id="419" w:name="_Toc192092940"/>
    </w:p>
    <w:p w14:paraId="7FE9E3BF" w14:textId="77777777" w:rsidR="00BC674A" w:rsidRPr="00FD211F" w:rsidRDefault="00BC674A" w:rsidP="009C58C8">
      <w:pPr>
        <w:pStyle w:val="3"/>
        <w:ind w:firstLine="227"/>
        <w:jc w:val="both"/>
        <w:rPr>
          <w:rtl/>
        </w:rPr>
      </w:pPr>
      <w:bookmarkStart w:id="420" w:name="_Toc223890419"/>
      <w:r w:rsidRPr="00FD211F">
        <w:rPr>
          <w:rtl/>
        </w:rPr>
        <w:t>المشتق</w:t>
      </w:r>
      <w:bookmarkEnd w:id="419"/>
      <w:bookmarkEnd w:id="420"/>
    </w:p>
    <w:p w14:paraId="4AD304FB" w14:textId="77777777" w:rsidR="005451AE" w:rsidRPr="00FD211F" w:rsidRDefault="005451AE" w:rsidP="009C58C8">
      <w:pPr>
        <w:ind w:left="0" w:firstLine="227"/>
        <w:jc w:val="both"/>
        <w:rPr>
          <w:sz w:val="36"/>
          <w:szCs w:val="36"/>
          <w:rtl/>
        </w:rPr>
      </w:pPr>
      <w:r w:rsidRPr="00FD211F">
        <w:rPr>
          <w:sz w:val="36"/>
          <w:szCs w:val="36"/>
          <w:rtl/>
        </w:rPr>
        <w:t>ويقع الكلام عنه في جهات:</w:t>
      </w:r>
    </w:p>
    <w:p w14:paraId="1C72EEEC" w14:textId="77777777" w:rsidR="005451AE" w:rsidRPr="00FD211F" w:rsidRDefault="005451AE" w:rsidP="009C58C8">
      <w:pPr>
        <w:pStyle w:val="3"/>
        <w:ind w:firstLine="227"/>
        <w:jc w:val="both"/>
        <w:rPr>
          <w:rtl/>
        </w:rPr>
      </w:pPr>
      <w:bookmarkStart w:id="421" w:name="_Toc192092941"/>
      <w:bookmarkStart w:id="422" w:name="_Toc223890420"/>
      <w:r w:rsidRPr="00FD211F">
        <w:rPr>
          <w:rtl/>
        </w:rPr>
        <w:t>في تصوير محل النزاع</w:t>
      </w:r>
      <w:bookmarkEnd w:id="421"/>
      <w:bookmarkEnd w:id="422"/>
    </w:p>
    <w:p w14:paraId="00449021" w14:textId="77777777" w:rsidR="005451AE" w:rsidRPr="00FD211F" w:rsidRDefault="00057D31" w:rsidP="009C58C8">
      <w:pPr>
        <w:ind w:left="0" w:firstLine="227"/>
        <w:jc w:val="both"/>
        <w:rPr>
          <w:sz w:val="36"/>
          <w:szCs w:val="36"/>
          <w:rtl/>
        </w:rPr>
      </w:pPr>
      <w:r w:rsidRPr="00FD211F">
        <w:rPr>
          <w:b/>
          <w:bCs/>
          <w:sz w:val="36"/>
          <w:szCs w:val="36"/>
          <w:rtl/>
        </w:rPr>
        <w:t xml:space="preserve">الجهة </w:t>
      </w:r>
      <w:r w:rsidR="005451AE" w:rsidRPr="00FD211F">
        <w:rPr>
          <w:b/>
          <w:bCs/>
          <w:sz w:val="36"/>
          <w:szCs w:val="36"/>
          <w:rtl/>
        </w:rPr>
        <w:t>الاولى</w:t>
      </w:r>
      <w:r w:rsidR="005451AE" w:rsidRPr="00FD211F">
        <w:rPr>
          <w:sz w:val="36"/>
          <w:szCs w:val="36"/>
          <w:rtl/>
        </w:rPr>
        <w:t xml:space="preserve">: لاريب </w:t>
      </w:r>
      <w:r w:rsidR="009B48B0" w:rsidRPr="00FD211F">
        <w:rPr>
          <w:sz w:val="36"/>
          <w:szCs w:val="36"/>
          <w:rtl/>
        </w:rPr>
        <w:t>في صح</w:t>
      </w:r>
      <w:r w:rsidR="00EC7EDF" w:rsidRPr="00FD211F">
        <w:rPr>
          <w:sz w:val="36"/>
          <w:szCs w:val="36"/>
          <w:rtl/>
        </w:rPr>
        <w:t xml:space="preserve">ة </w:t>
      </w:r>
      <w:r w:rsidR="009B48B0" w:rsidRPr="00FD211F">
        <w:rPr>
          <w:sz w:val="36"/>
          <w:szCs w:val="36"/>
          <w:rtl/>
        </w:rPr>
        <w:t>اطلاق المشتق</w:t>
      </w:r>
      <w:r w:rsidR="005451AE" w:rsidRPr="00FD211F">
        <w:rPr>
          <w:sz w:val="36"/>
          <w:szCs w:val="36"/>
          <w:rtl/>
        </w:rPr>
        <w:t xml:space="preserve"> على المتلبس بال</w:t>
      </w:r>
      <w:r w:rsidR="0079493B" w:rsidRPr="00FD211F">
        <w:rPr>
          <w:sz w:val="36"/>
          <w:szCs w:val="36"/>
          <w:rtl/>
        </w:rPr>
        <w:t>مبدأ</w:t>
      </w:r>
      <w:r w:rsidR="005451AE" w:rsidRPr="00FD211F">
        <w:rPr>
          <w:sz w:val="36"/>
          <w:szCs w:val="36"/>
          <w:rtl/>
        </w:rPr>
        <w:t xml:space="preserve"> فعلا وكونه استعمالا حقيقيا</w:t>
      </w:r>
      <w:r w:rsidR="00603323" w:rsidRPr="00FD211F">
        <w:rPr>
          <w:sz w:val="36"/>
          <w:szCs w:val="36"/>
          <w:rtl/>
        </w:rPr>
        <w:t xml:space="preserve">، </w:t>
      </w:r>
      <w:r w:rsidR="005451AE" w:rsidRPr="00FD211F">
        <w:rPr>
          <w:sz w:val="36"/>
          <w:szCs w:val="36"/>
          <w:rtl/>
        </w:rPr>
        <w:t>كما ذكروا انه لاريب في صح</w:t>
      </w:r>
      <w:r w:rsidR="00EC7EDF" w:rsidRPr="00FD211F">
        <w:rPr>
          <w:sz w:val="36"/>
          <w:szCs w:val="36"/>
          <w:rtl/>
        </w:rPr>
        <w:t xml:space="preserve">ة </w:t>
      </w:r>
      <w:r w:rsidR="005451AE" w:rsidRPr="00FD211F">
        <w:rPr>
          <w:sz w:val="36"/>
          <w:szCs w:val="36"/>
          <w:rtl/>
        </w:rPr>
        <w:t>استعماله فيمن كان متلبسا بال</w:t>
      </w:r>
      <w:r w:rsidR="0079493B" w:rsidRPr="00FD211F">
        <w:rPr>
          <w:sz w:val="36"/>
          <w:szCs w:val="36"/>
          <w:rtl/>
        </w:rPr>
        <w:t>مبدأ</w:t>
      </w:r>
      <w:r w:rsidR="005451AE" w:rsidRPr="00FD211F">
        <w:rPr>
          <w:sz w:val="36"/>
          <w:szCs w:val="36"/>
          <w:rtl/>
        </w:rPr>
        <w:t xml:space="preserve"> سابقا ولكن انقضى عنه التلبس به فعلا</w:t>
      </w:r>
      <w:r w:rsidR="00603323" w:rsidRPr="00FD211F">
        <w:rPr>
          <w:sz w:val="36"/>
          <w:szCs w:val="36"/>
          <w:rtl/>
        </w:rPr>
        <w:t xml:space="preserve">، </w:t>
      </w:r>
      <w:r w:rsidR="005451AE" w:rsidRPr="00FD211F">
        <w:rPr>
          <w:sz w:val="36"/>
          <w:szCs w:val="36"/>
          <w:rtl/>
        </w:rPr>
        <w:t xml:space="preserve">وانما النزاع </w:t>
      </w:r>
      <w:r w:rsidR="00BC674A" w:rsidRPr="00FD211F">
        <w:rPr>
          <w:sz w:val="36"/>
          <w:szCs w:val="36"/>
          <w:rtl/>
        </w:rPr>
        <w:t>في ان استعمال</w:t>
      </w:r>
      <w:r w:rsidR="00F775FD" w:rsidRPr="00FD211F">
        <w:rPr>
          <w:sz w:val="36"/>
          <w:szCs w:val="36"/>
          <w:rtl/>
        </w:rPr>
        <w:t>ه</w:t>
      </w:r>
      <w:r w:rsidR="00BC674A" w:rsidRPr="00FD211F">
        <w:rPr>
          <w:sz w:val="36"/>
          <w:szCs w:val="36"/>
          <w:rtl/>
        </w:rPr>
        <w:t xml:space="preserve"> في</w:t>
      </w:r>
      <w:r w:rsidR="0066025C" w:rsidRPr="00FD211F">
        <w:rPr>
          <w:sz w:val="36"/>
          <w:szCs w:val="36"/>
          <w:rtl/>
        </w:rPr>
        <w:t xml:space="preserve">ه </w:t>
      </w:r>
      <w:r w:rsidR="005451AE" w:rsidRPr="00FD211F">
        <w:rPr>
          <w:sz w:val="36"/>
          <w:szCs w:val="36"/>
          <w:rtl/>
        </w:rPr>
        <w:t>هل يكون على نحو ال</w:t>
      </w:r>
      <w:r w:rsidR="00BC674A" w:rsidRPr="00FD211F">
        <w:rPr>
          <w:sz w:val="36"/>
          <w:szCs w:val="36"/>
          <w:rtl/>
        </w:rPr>
        <w:t>حقيق</w:t>
      </w:r>
      <w:r w:rsidR="00EC7EDF" w:rsidRPr="00FD211F">
        <w:rPr>
          <w:sz w:val="36"/>
          <w:szCs w:val="36"/>
          <w:rtl/>
        </w:rPr>
        <w:t xml:space="preserve">ة </w:t>
      </w:r>
      <w:r w:rsidR="00BC674A" w:rsidRPr="00FD211F">
        <w:rPr>
          <w:sz w:val="36"/>
          <w:szCs w:val="36"/>
          <w:rtl/>
        </w:rPr>
        <w:t>ا</w:t>
      </w:r>
      <w:r w:rsidR="005451AE" w:rsidRPr="00FD211F">
        <w:rPr>
          <w:sz w:val="36"/>
          <w:szCs w:val="36"/>
          <w:rtl/>
        </w:rPr>
        <w:t>و المجاز</w:t>
      </w:r>
      <w:r w:rsidR="00603323" w:rsidRPr="00FD211F">
        <w:rPr>
          <w:sz w:val="36"/>
          <w:szCs w:val="36"/>
          <w:rtl/>
        </w:rPr>
        <w:t xml:space="preserve">، </w:t>
      </w:r>
      <w:r w:rsidR="0066025C" w:rsidRPr="00FD211F">
        <w:rPr>
          <w:sz w:val="36"/>
          <w:szCs w:val="36"/>
          <w:rtl/>
        </w:rPr>
        <w:t>بعد الاتفاق على أن استعماله فيمن</w:t>
      </w:r>
      <w:r w:rsidR="008D7B3D" w:rsidRPr="00FD211F">
        <w:rPr>
          <w:sz w:val="36"/>
          <w:szCs w:val="36"/>
          <w:rtl/>
        </w:rPr>
        <w:t xml:space="preserve"> لم‌</w:t>
      </w:r>
      <w:r w:rsidR="00190C3A" w:rsidRPr="00FD211F">
        <w:rPr>
          <w:sz w:val="36"/>
          <w:szCs w:val="36"/>
          <w:rtl/>
        </w:rPr>
        <w:t>يتلبس بال</w:t>
      </w:r>
      <w:r w:rsidR="0079493B" w:rsidRPr="00FD211F">
        <w:rPr>
          <w:sz w:val="36"/>
          <w:szCs w:val="36"/>
          <w:rtl/>
        </w:rPr>
        <w:t>مبدأ</w:t>
      </w:r>
      <w:r w:rsidR="00190C3A" w:rsidRPr="00FD211F">
        <w:rPr>
          <w:sz w:val="36"/>
          <w:szCs w:val="36"/>
          <w:rtl/>
        </w:rPr>
        <w:t xml:space="preserve"> فعلا ولكنه</w:t>
      </w:r>
      <w:r w:rsidR="00BC674A" w:rsidRPr="00FD211F">
        <w:rPr>
          <w:sz w:val="36"/>
          <w:szCs w:val="36"/>
          <w:rtl/>
        </w:rPr>
        <w:t xml:space="preserve"> </w:t>
      </w:r>
      <w:r w:rsidR="005451AE" w:rsidRPr="00FD211F">
        <w:rPr>
          <w:sz w:val="36"/>
          <w:szCs w:val="36"/>
          <w:rtl/>
        </w:rPr>
        <w:t xml:space="preserve">سيتلبس </w:t>
      </w:r>
      <w:r w:rsidR="00190C3A" w:rsidRPr="00FD211F">
        <w:rPr>
          <w:sz w:val="36"/>
          <w:szCs w:val="36"/>
          <w:rtl/>
        </w:rPr>
        <w:t>به</w:t>
      </w:r>
      <w:r w:rsidR="005451AE" w:rsidRPr="00FD211F">
        <w:rPr>
          <w:sz w:val="36"/>
          <w:szCs w:val="36"/>
          <w:rtl/>
        </w:rPr>
        <w:t xml:space="preserve"> في المستقبل</w:t>
      </w:r>
      <w:r w:rsidR="0066025C" w:rsidRPr="00FD211F">
        <w:rPr>
          <w:sz w:val="36"/>
          <w:szCs w:val="36"/>
          <w:rtl/>
        </w:rPr>
        <w:t xml:space="preserve"> يكون مجازا</w:t>
      </w:r>
      <w:r w:rsidR="00C774D9" w:rsidRPr="00FD211F">
        <w:rPr>
          <w:sz w:val="36"/>
          <w:szCs w:val="36"/>
          <w:rtl/>
        </w:rPr>
        <w:t>.</w:t>
      </w:r>
    </w:p>
    <w:p w14:paraId="615A04E6" w14:textId="77777777" w:rsidR="0058189B" w:rsidRPr="00FD211F" w:rsidRDefault="004A1BF0" w:rsidP="009C58C8">
      <w:pPr>
        <w:ind w:left="0" w:firstLine="227"/>
        <w:jc w:val="both"/>
        <w:rPr>
          <w:sz w:val="36"/>
          <w:szCs w:val="36"/>
          <w:rtl/>
        </w:rPr>
      </w:pPr>
      <w:r w:rsidRPr="00FD211F">
        <w:rPr>
          <w:sz w:val="36"/>
          <w:szCs w:val="36"/>
          <w:rtl/>
        </w:rPr>
        <w:t>ولكن حكي عن</w:t>
      </w:r>
      <w:r w:rsidR="00BC674A" w:rsidRPr="00FD211F">
        <w:rPr>
          <w:sz w:val="36"/>
          <w:szCs w:val="36"/>
          <w:rtl/>
        </w:rPr>
        <w:t xml:space="preserve"> </w:t>
      </w:r>
      <w:r w:rsidR="0058189B" w:rsidRPr="00FD211F">
        <w:rPr>
          <w:sz w:val="36"/>
          <w:szCs w:val="36"/>
          <w:rtl/>
        </w:rPr>
        <w:t>المحقق الطهراني</w:t>
      </w:r>
      <w:r w:rsidR="008F14E7" w:rsidRPr="00FD211F">
        <w:rPr>
          <w:sz w:val="36"/>
          <w:szCs w:val="36"/>
          <w:rtl/>
        </w:rPr>
        <w:t xml:space="preserve"> "قده"</w:t>
      </w:r>
      <w:r w:rsidR="00940FCE" w:rsidRPr="00FD211F">
        <w:rPr>
          <w:sz w:val="36"/>
          <w:szCs w:val="36"/>
          <w:rtl/>
        </w:rPr>
        <w:t xml:space="preserve"> </w:t>
      </w:r>
      <w:r w:rsidRPr="00FD211F">
        <w:rPr>
          <w:sz w:val="36"/>
          <w:szCs w:val="36"/>
          <w:rtl/>
        </w:rPr>
        <w:t>انه خالف في ذلك</w:t>
      </w:r>
      <w:r w:rsidR="00603323" w:rsidRPr="00FD211F">
        <w:rPr>
          <w:sz w:val="36"/>
          <w:szCs w:val="36"/>
          <w:rtl/>
        </w:rPr>
        <w:t xml:space="preserve">، </w:t>
      </w:r>
      <w:r w:rsidR="00BC674A" w:rsidRPr="00FD211F">
        <w:rPr>
          <w:sz w:val="36"/>
          <w:szCs w:val="36"/>
          <w:rtl/>
        </w:rPr>
        <w:t>فذكر</w:t>
      </w:r>
      <w:r w:rsidR="0058189B" w:rsidRPr="00FD211F">
        <w:rPr>
          <w:sz w:val="36"/>
          <w:szCs w:val="36"/>
          <w:rtl/>
        </w:rPr>
        <w:t xml:space="preserve"> ما محصله انه لاريب في عدم صح</w:t>
      </w:r>
      <w:r w:rsidR="00EC7EDF" w:rsidRPr="00FD211F">
        <w:rPr>
          <w:sz w:val="36"/>
          <w:szCs w:val="36"/>
          <w:rtl/>
        </w:rPr>
        <w:t xml:space="preserve">ة </w:t>
      </w:r>
      <w:r w:rsidR="0058189B" w:rsidRPr="00FD211F">
        <w:rPr>
          <w:sz w:val="36"/>
          <w:szCs w:val="36"/>
          <w:rtl/>
        </w:rPr>
        <w:t>حمل هوهو على من انقضى عنه ال</w:t>
      </w:r>
      <w:r w:rsidR="0079493B" w:rsidRPr="00FD211F">
        <w:rPr>
          <w:sz w:val="36"/>
          <w:szCs w:val="36"/>
          <w:rtl/>
        </w:rPr>
        <w:t>مبدأ</w:t>
      </w:r>
      <w:r w:rsidR="0058189B" w:rsidRPr="00FD211F">
        <w:rPr>
          <w:sz w:val="36"/>
          <w:szCs w:val="36"/>
          <w:rtl/>
        </w:rPr>
        <w:t xml:space="preserve"> ولأجل ذلك لايصح حمل الجوامد على من انقضى عنه ال</w:t>
      </w:r>
      <w:r w:rsidR="0079493B" w:rsidRPr="00FD211F">
        <w:rPr>
          <w:sz w:val="36"/>
          <w:szCs w:val="36"/>
          <w:rtl/>
        </w:rPr>
        <w:t>مبدأ</w:t>
      </w:r>
      <w:r w:rsidR="00190C3A" w:rsidRPr="00FD211F">
        <w:rPr>
          <w:sz w:val="36"/>
          <w:szCs w:val="36"/>
          <w:rtl/>
        </w:rPr>
        <w:t xml:space="preserve"> لانحصار حمله على الذات بحمل </w:t>
      </w:r>
      <w:r w:rsidR="00355827" w:rsidRPr="00FD211F">
        <w:rPr>
          <w:sz w:val="36"/>
          <w:szCs w:val="36"/>
          <w:rtl/>
        </w:rPr>
        <w:t>هو</w:t>
      </w:r>
      <w:r w:rsidR="00190C3A" w:rsidRPr="00FD211F">
        <w:rPr>
          <w:sz w:val="36"/>
          <w:szCs w:val="36"/>
          <w:rtl/>
        </w:rPr>
        <w:t>هو</w:t>
      </w:r>
      <w:r w:rsidR="0058189B" w:rsidRPr="00FD211F">
        <w:rPr>
          <w:sz w:val="36"/>
          <w:szCs w:val="36"/>
          <w:rtl/>
        </w:rPr>
        <w:t xml:space="preserve"> فلايقال للشجر انه بذر ولاللهواء انه ماء</w:t>
      </w:r>
      <w:r w:rsidR="00603323" w:rsidRPr="00FD211F">
        <w:rPr>
          <w:sz w:val="36"/>
          <w:szCs w:val="36"/>
          <w:rtl/>
        </w:rPr>
        <w:t xml:space="preserve">، </w:t>
      </w:r>
      <w:r w:rsidR="00190C3A" w:rsidRPr="00FD211F">
        <w:rPr>
          <w:sz w:val="36"/>
          <w:szCs w:val="36"/>
          <w:rtl/>
        </w:rPr>
        <w:t>فينحصر</w:t>
      </w:r>
      <w:r w:rsidR="0058189B" w:rsidRPr="00FD211F">
        <w:rPr>
          <w:sz w:val="36"/>
          <w:szCs w:val="36"/>
          <w:rtl/>
        </w:rPr>
        <w:t xml:space="preserve"> النزاع في المشتق في انه هل يكون حمله على الذات </w:t>
      </w:r>
      <w:r w:rsidR="00BC674A" w:rsidRPr="00FD211F">
        <w:rPr>
          <w:sz w:val="36"/>
          <w:szCs w:val="36"/>
          <w:rtl/>
        </w:rPr>
        <w:t>من حمل هوهو حتى</w:t>
      </w:r>
      <w:r w:rsidR="0058189B" w:rsidRPr="00FD211F">
        <w:rPr>
          <w:sz w:val="36"/>
          <w:szCs w:val="36"/>
          <w:rtl/>
        </w:rPr>
        <w:t xml:space="preserve"> لايصح</w:t>
      </w:r>
      <w:r w:rsidR="00BC674A" w:rsidRPr="00FD211F">
        <w:rPr>
          <w:sz w:val="36"/>
          <w:szCs w:val="36"/>
          <w:rtl/>
        </w:rPr>
        <w:t xml:space="preserve"> استعماله فيما انقضى عنه ال</w:t>
      </w:r>
      <w:r w:rsidR="0079493B" w:rsidRPr="00FD211F">
        <w:rPr>
          <w:sz w:val="36"/>
          <w:szCs w:val="36"/>
          <w:rtl/>
        </w:rPr>
        <w:t>مبدأ</w:t>
      </w:r>
      <w:r w:rsidR="00BC674A" w:rsidRPr="00FD211F">
        <w:rPr>
          <w:sz w:val="36"/>
          <w:szCs w:val="36"/>
          <w:rtl/>
        </w:rPr>
        <w:t xml:space="preserve"> او</w:t>
      </w:r>
      <w:r w:rsidR="0058189B" w:rsidRPr="00FD211F">
        <w:rPr>
          <w:sz w:val="36"/>
          <w:szCs w:val="36"/>
          <w:rtl/>
        </w:rPr>
        <w:t xml:space="preserve"> يكون</w:t>
      </w:r>
      <w:r w:rsidR="00BC674A" w:rsidRPr="00FD211F">
        <w:rPr>
          <w:sz w:val="36"/>
          <w:szCs w:val="36"/>
          <w:rtl/>
        </w:rPr>
        <w:t xml:space="preserve"> من حمل ذوهو حتى يصح</w:t>
      </w:r>
      <w:r w:rsidR="0058189B" w:rsidRPr="00FD211F">
        <w:rPr>
          <w:sz w:val="36"/>
          <w:szCs w:val="36"/>
          <w:rtl/>
        </w:rPr>
        <w:t xml:space="preserve"> استعماله فيما انقضى عنه ال</w:t>
      </w:r>
      <w:r w:rsidR="0079493B" w:rsidRPr="00FD211F">
        <w:rPr>
          <w:sz w:val="36"/>
          <w:szCs w:val="36"/>
          <w:rtl/>
        </w:rPr>
        <w:t>مبدأ</w:t>
      </w:r>
      <w:r w:rsidR="00BC674A" w:rsidRPr="00FD211F">
        <w:rPr>
          <w:sz w:val="36"/>
          <w:szCs w:val="36"/>
          <w:rtl/>
        </w:rPr>
        <w:t xml:space="preserve"> لكفاي</w:t>
      </w:r>
      <w:r w:rsidR="00EC7EDF" w:rsidRPr="00FD211F">
        <w:rPr>
          <w:sz w:val="36"/>
          <w:szCs w:val="36"/>
          <w:rtl/>
        </w:rPr>
        <w:t xml:space="preserve">ة </w:t>
      </w:r>
      <w:r w:rsidR="00BC674A" w:rsidRPr="00FD211F">
        <w:rPr>
          <w:sz w:val="36"/>
          <w:szCs w:val="36"/>
          <w:rtl/>
        </w:rPr>
        <w:t>ادنى الملابس</w:t>
      </w:r>
      <w:r w:rsidR="00EC7EDF" w:rsidRPr="00FD211F">
        <w:rPr>
          <w:sz w:val="36"/>
          <w:szCs w:val="36"/>
          <w:rtl/>
        </w:rPr>
        <w:t xml:space="preserve">ة </w:t>
      </w:r>
      <w:r w:rsidR="00BC674A" w:rsidRPr="00FD211F">
        <w:rPr>
          <w:sz w:val="36"/>
          <w:szCs w:val="36"/>
          <w:rtl/>
        </w:rPr>
        <w:t>في انتساب الذات الى امر</w:t>
      </w:r>
      <w:r w:rsidR="0058189B" w:rsidRPr="00FD211F">
        <w:rPr>
          <w:sz w:val="36"/>
          <w:szCs w:val="36"/>
          <w:rtl/>
        </w:rPr>
        <w:t xml:space="preserve"> ولو بلحاظ تلبسه السابق به</w:t>
      </w:r>
      <w:r w:rsidR="009C58C8" w:rsidRPr="00FD211F">
        <w:rPr>
          <w:rStyle w:val="a6"/>
          <w:sz w:val="36"/>
          <w:szCs w:val="36"/>
          <w:rtl/>
        </w:rPr>
        <w:t>(</w:t>
      </w:r>
      <w:r w:rsidR="009C58C8" w:rsidRPr="00FD211F">
        <w:rPr>
          <w:rStyle w:val="a6"/>
          <w:sz w:val="36"/>
          <w:szCs w:val="36"/>
          <w:rtl/>
        </w:rPr>
        <w:footnoteReference w:id="480"/>
      </w:r>
      <w:r w:rsidR="009C58C8" w:rsidRPr="00FD211F">
        <w:rPr>
          <w:rStyle w:val="a6"/>
          <w:sz w:val="36"/>
          <w:szCs w:val="36"/>
          <w:rtl/>
        </w:rPr>
        <w:t>)</w:t>
      </w:r>
      <w:r w:rsidR="0058189B" w:rsidRPr="00FD211F">
        <w:rPr>
          <w:sz w:val="36"/>
          <w:szCs w:val="36"/>
          <w:rtl/>
        </w:rPr>
        <w:t>.</w:t>
      </w:r>
    </w:p>
    <w:p w14:paraId="557ACD43" w14:textId="77777777" w:rsidR="00862C48" w:rsidRPr="00FD211F" w:rsidRDefault="0058189B" w:rsidP="00537AB6">
      <w:pPr>
        <w:ind w:left="0" w:firstLine="227"/>
        <w:jc w:val="both"/>
        <w:rPr>
          <w:sz w:val="36"/>
          <w:szCs w:val="36"/>
          <w:rtl/>
        </w:rPr>
      </w:pPr>
      <w:r w:rsidRPr="00FD211F">
        <w:rPr>
          <w:sz w:val="36"/>
          <w:szCs w:val="36"/>
          <w:rtl/>
        </w:rPr>
        <w:t>ويلاحظ عليه</w:t>
      </w:r>
      <w:r w:rsidR="00BC674A" w:rsidRPr="00FD211F">
        <w:rPr>
          <w:sz w:val="36"/>
          <w:szCs w:val="36"/>
          <w:rtl/>
        </w:rPr>
        <w:t xml:space="preserve"> </w:t>
      </w:r>
      <w:r w:rsidR="00BC674A" w:rsidRPr="00FD211F">
        <w:rPr>
          <w:b/>
          <w:bCs/>
          <w:sz w:val="36"/>
          <w:szCs w:val="36"/>
          <w:rtl/>
        </w:rPr>
        <w:t>اولا</w:t>
      </w:r>
      <w:r w:rsidRPr="00FD211F">
        <w:rPr>
          <w:sz w:val="36"/>
          <w:szCs w:val="36"/>
          <w:rtl/>
        </w:rPr>
        <w:t xml:space="preserve">: ان من المتفق عليه كون حمل المشتق </w:t>
      </w:r>
      <w:r w:rsidR="00BC674A" w:rsidRPr="00FD211F">
        <w:rPr>
          <w:sz w:val="36"/>
          <w:szCs w:val="36"/>
          <w:rtl/>
        </w:rPr>
        <w:t xml:space="preserve">على الذات </w:t>
      </w:r>
      <w:r w:rsidR="0066025C" w:rsidRPr="00FD211F">
        <w:rPr>
          <w:sz w:val="36"/>
          <w:szCs w:val="36"/>
          <w:rtl/>
        </w:rPr>
        <w:t>–كقولنا "زيد عالم"-</w:t>
      </w:r>
      <w:r w:rsidR="00537AB6">
        <w:rPr>
          <w:rFonts w:hint="cs"/>
          <w:sz w:val="36"/>
          <w:szCs w:val="36"/>
          <w:rtl/>
        </w:rPr>
        <w:t xml:space="preserve"> </w:t>
      </w:r>
      <w:r w:rsidR="00BC674A" w:rsidRPr="00FD211F">
        <w:rPr>
          <w:sz w:val="36"/>
          <w:szCs w:val="36"/>
          <w:rtl/>
        </w:rPr>
        <w:t>من حمل هوهو</w:t>
      </w:r>
      <w:r w:rsidR="00190C3A" w:rsidRPr="00FD211F">
        <w:rPr>
          <w:sz w:val="36"/>
          <w:szCs w:val="36"/>
          <w:rtl/>
        </w:rPr>
        <w:t xml:space="preserve"> و</w:t>
      </w:r>
      <w:r w:rsidRPr="00FD211F">
        <w:rPr>
          <w:sz w:val="36"/>
          <w:szCs w:val="36"/>
          <w:rtl/>
        </w:rPr>
        <w:t>يسمى</w:t>
      </w:r>
      <w:r w:rsidR="00190C3A" w:rsidRPr="00FD211F">
        <w:rPr>
          <w:sz w:val="36"/>
          <w:szCs w:val="36"/>
          <w:rtl/>
        </w:rPr>
        <w:t xml:space="preserve"> هذا الحمل</w:t>
      </w:r>
      <w:r w:rsidRPr="00FD211F">
        <w:rPr>
          <w:sz w:val="36"/>
          <w:szCs w:val="36"/>
          <w:rtl/>
        </w:rPr>
        <w:t xml:space="preserve"> بحمل المواطا</w:t>
      </w:r>
      <w:r w:rsidR="00EC7EDF" w:rsidRPr="00FD211F">
        <w:rPr>
          <w:sz w:val="36"/>
          <w:szCs w:val="36"/>
          <w:rtl/>
        </w:rPr>
        <w:t xml:space="preserve">ة </w:t>
      </w:r>
      <w:r w:rsidR="0066025C" w:rsidRPr="00FD211F">
        <w:rPr>
          <w:sz w:val="36"/>
          <w:szCs w:val="36"/>
          <w:rtl/>
        </w:rPr>
        <w:t xml:space="preserve">وليس </w:t>
      </w:r>
      <w:r w:rsidRPr="00FD211F">
        <w:rPr>
          <w:sz w:val="36"/>
          <w:szCs w:val="36"/>
          <w:rtl/>
        </w:rPr>
        <w:t>من حمل ذوهو</w:t>
      </w:r>
      <w:r w:rsidR="00355827" w:rsidRPr="00FD211F">
        <w:rPr>
          <w:sz w:val="36"/>
          <w:szCs w:val="36"/>
          <w:rtl/>
        </w:rPr>
        <w:t xml:space="preserve"> الذي يسمى بحمل الاشتقاق</w:t>
      </w:r>
      <w:r w:rsidR="00603323" w:rsidRPr="00FD211F">
        <w:rPr>
          <w:sz w:val="36"/>
          <w:szCs w:val="36"/>
          <w:rtl/>
        </w:rPr>
        <w:t xml:space="preserve">، </w:t>
      </w:r>
      <w:r w:rsidR="00190C3A" w:rsidRPr="00FD211F">
        <w:rPr>
          <w:sz w:val="36"/>
          <w:szCs w:val="36"/>
          <w:rtl/>
        </w:rPr>
        <w:t>وانما ينحصر حمل ذوهو بحمل نفس ال</w:t>
      </w:r>
      <w:r w:rsidR="0079493B" w:rsidRPr="00FD211F">
        <w:rPr>
          <w:sz w:val="36"/>
          <w:szCs w:val="36"/>
          <w:rtl/>
        </w:rPr>
        <w:t>مبدأ</w:t>
      </w:r>
      <w:r w:rsidR="00324129" w:rsidRPr="00FD211F">
        <w:rPr>
          <w:sz w:val="36"/>
          <w:szCs w:val="36"/>
          <w:rtl/>
        </w:rPr>
        <w:t xml:space="preserve"> </w:t>
      </w:r>
      <w:r w:rsidR="00190C3A" w:rsidRPr="00FD211F">
        <w:rPr>
          <w:sz w:val="36"/>
          <w:szCs w:val="36"/>
          <w:rtl/>
        </w:rPr>
        <w:t>على الذات</w:t>
      </w:r>
      <w:r w:rsidR="00603323" w:rsidRPr="00FD211F">
        <w:rPr>
          <w:sz w:val="36"/>
          <w:szCs w:val="36"/>
          <w:rtl/>
        </w:rPr>
        <w:t xml:space="preserve">، </w:t>
      </w:r>
      <w:r w:rsidR="0066025C" w:rsidRPr="00FD211F">
        <w:rPr>
          <w:sz w:val="36"/>
          <w:szCs w:val="36"/>
          <w:rtl/>
        </w:rPr>
        <w:t>كحمل العلم على زيد</w:t>
      </w:r>
      <w:r w:rsidR="00603323" w:rsidRPr="00FD211F">
        <w:rPr>
          <w:sz w:val="36"/>
          <w:szCs w:val="36"/>
          <w:rtl/>
        </w:rPr>
        <w:t xml:space="preserve">، </w:t>
      </w:r>
      <w:r w:rsidR="00355827" w:rsidRPr="00FD211F">
        <w:rPr>
          <w:sz w:val="36"/>
          <w:szCs w:val="36"/>
          <w:rtl/>
        </w:rPr>
        <w:t>ف</w:t>
      </w:r>
      <w:r w:rsidR="0066025C" w:rsidRPr="00FD211F">
        <w:rPr>
          <w:sz w:val="36"/>
          <w:szCs w:val="36"/>
          <w:rtl/>
        </w:rPr>
        <w:t xml:space="preserve">انه </w:t>
      </w:r>
      <w:r w:rsidR="00355827" w:rsidRPr="00FD211F">
        <w:rPr>
          <w:sz w:val="36"/>
          <w:szCs w:val="36"/>
          <w:rtl/>
        </w:rPr>
        <w:t xml:space="preserve">لايقال </w:t>
      </w:r>
      <w:r w:rsidR="0066025C" w:rsidRPr="00FD211F">
        <w:rPr>
          <w:sz w:val="36"/>
          <w:szCs w:val="36"/>
          <w:rtl/>
        </w:rPr>
        <w:t>"</w:t>
      </w:r>
      <w:r w:rsidR="00355827" w:rsidRPr="00FD211F">
        <w:rPr>
          <w:sz w:val="36"/>
          <w:szCs w:val="36"/>
          <w:rtl/>
        </w:rPr>
        <w:t>زيد علم</w:t>
      </w:r>
      <w:r w:rsidR="0066025C" w:rsidRPr="00FD211F">
        <w:rPr>
          <w:sz w:val="36"/>
          <w:szCs w:val="36"/>
          <w:rtl/>
        </w:rPr>
        <w:t>"</w:t>
      </w:r>
      <w:r w:rsidR="00355827" w:rsidRPr="00FD211F">
        <w:rPr>
          <w:sz w:val="36"/>
          <w:szCs w:val="36"/>
          <w:rtl/>
        </w:rPr>
        <w:t xml:space="preserve"> الا بتوسيط ذو او باشتقاق الوصف منه </w:t>
      </w:r>
      <w:r w:rsidR="0066025C" w:rsidRPr="00FD211F">
        <w:rPr>
          <w:sz w:val="36"/>
          <w:szCs w:val="36"/>
          <w:rtl/>
        </w:rPr>
        <w:t>ك</w:t>
      </w:r>
      <w:r w:rsidR="00355827" w:rsidRPr="00FD211F">
        <w:rPr>
          <w:sz w:val="36"/>
          <w:szCs w:val="36"/>
          <w:rtl/>
        </w:rPr>
        <w:t>العالم</w:t>
      </w:r>
      <w:r w:rsidR="00603323" w:rsidRPr="00FD211F">
        <w:rPr>
          <w:sz w:val="36"/>
          <w:szCs w:val="36"/>
          <w:rtl/>
        </w:rPr>
        <w:t xml:space="preserve">، </w:t>
      </w:r>
      <w:r w:rsidR="00355827" w:rsidRPr="00FD211F">
        <w:rPr>
          <w:sz w:val="36"/>
          <w:szCs w:val="36"/>
          <w:rtl/>
        </w:rPr>
        <w:t>وعليه فحمل جمل</w:t>
      </w:r>
      <w:r w:rsidR="00EC7EDF" w:rsidRPr="00FD211F">
        <w:rPr>
          <w:sz w:val="36"/>
          <w:szCs w:val="36"/>
          <w:rtl/>
        </w:rPr>
        <w:t xml:space="preserve">ة </w:t>
      </w:r>
      <w:r w:rsidR="00355827" w:rsidRPr="00FD211F">
        <w:rPr>
          <w:sz w:val="36"/>
          <w:szCs w:val="36"/>
          <w:rtl/>
        </w:rPr>
        <w:t>"ذ</w:t>
      </w:r>
      <w:r w:rsidR="00670C1B" w:rsidRPr="00FD211F">
        <w:rPr>
          <w:sz w:val="36"/>
          <w:szCs w:val="36"/>
          <w:rtl/>
        </w:rPr>
        <w:t>و علم" على زيد يكون من حمل هوهو كحمل العالم عليه</w:t>
      </w:r>
      <w:r w:rsidR="00355827" w:rsidRPr="00FD211F">
        <w:rPr>
          <w:sz w:val="36"/>
          <w:szCs w:val="36"/>
          <w:rtl/>
        </w:rPr>
        <w:t xml:space="preserve"> وانما يكون حمل نفس العلم على زيد من حمل ذوهو</w:t>
      </w:r>
      <w:r w:rsidR="00603323" w:rsidRPr="00FD211F">
        <w:rPr>
          <w:sz w:val="36"/>
          <w:szCs w:val="36"/>
          <w:rtl/>
        </w:rPr>
        <w:t xml:space="preserve">، </w:t>
      </w:r>
      <w:r w:rsidR="00355827" w:rsidRPr="00FD211F">
        <w:rPr>
          <w:sz w:val="36"/>
          <w:szCs w:val="36"/>
          <w:rtl/>
        </w:rPr>
        <w:t xml:space="preserve">كما </w:t>
      </w:r>
      <w:r w:rsidR="00670C1B" w:rsidRPr="00FD211F">
        <w:rPr>
          <w:sz w:val="36"/>
          <w:szCs w:val="36"/>
          <w:rtl/>
        </w:rPr>
        <w:t>يظهر</w:t>
      </w:r>
      <w:r w:rsidR="00355827" w:rsidRPr="00FD211F">
        <w:rPr>
          <w:sz w:val="36"/>
          <w:szCs w:val="36"/>
          <w:rtl/>
        </w:rPr>
        <w:t xml:space="preserve"> ذلك </w:t>
      </w:r>
      <w:r w:rsidR="00670C1B" w:rsidRPr="00FD211F">
        <w:rPr>
          <w:sz w:val="36"/>
          <w:szCs w:val="36"/>
          <w:rtl/>
        </w:rPr>
        <w:t xml:space="preserve">من </w:t>
      </w:r>
      <w:r w:rsidR="00355827" w:rsidRPr="00FD211F">
        <w:rPr>
          <w:sz w:val="36"/>
          <w:szCs w:val="36"/>
          <w:rtl/>
        </w:rPr>
        <w:t>المحقق الطوسي</w:t>
      </w:r>
      <w:r w:rsidR="008817D4" w:rsidRPr="00FD211F">
        <w:rPr>
          <w:sz w:val="36"/>
          <w:szCs w:val="36"/>
          <w:rtl/>
        </w:rPr>
        <w:t xml:space="preserve"> </w:t>
      </w:r>
      <w:r w:rsidR="00035A25" w:rsidRPr="00FD211F">
        <w:rPr>
          <w:sz w:val="36"/>
          <w:szCs w:val="36"/>
          <w:rtl/>
        </w:rPr>
        <w:t>"</w:t>
      </w:r>
      <w:r w:rsidR="00670C1B" w:rsidRPr="00FD211F">
        <w:rPr>
          <w:sz w:val="36"/>
          <w:szCs w:val="36"/>
          <w:rtl/>
        </w:rPr>
        <w:t>ره</w:t>
      </w:r>
      <w:r w:rsidR="00035A25" w:rsidRPr="00FD211F">
        <w:rPr>
          <w:sz w:val="36"/>
          <w:szCs w:val="36"/>
          <w:rtl/>
        </w:rPr>
        <w:t>"</w:t>
      </w:r>
      <w:r w:rsidR="00355827" w:rsidRPr="00FD211F">
        <w:rPr>
          <w:sz w:val="36"/>
          <w:szCs w:val="36"/>
          <w:rtl/>
        </w:rPr>
        <w:t xml:space="preserve"> في منطق الاشارات والتنبيهات</w:t>
      </w:r>
      <w:r w:rsidR="009C58C8" w:rsidRPr="00FD211F">
        <w:rPr>
          <w:rStyle w:val="a6"/>
          <w:sz w:val="36"/>
          <w:szCs w:val="36"/>
          <w:rtl/>
        </w:rPr>
        <w:t>(</w:t>
      </w:r>
      <w:r w:rsidR="009C58C8" w:rsidRPr="00FD211F">
        <w:rPr>
          <w:rStyle w:val="a6"/>
          <w:sz w:val="36"/>
          <w:szCs w:val="36"/>
          <w:rtl/>
        </w:rPr>
        <w:footnoteReference w:id="481"/>
      </w:r>
      <w:r w:rsidR="009C58C8" w:rsidRPr="00FD211F">
        <w:rPr>
          <w:rStyle w:val="a6"/>
          <w:sz w:val="36"/>
          <w:szCs w:val="36"/>
          <w:rtl/>
        </w:rPr>
        <w:t>)</w:t>
      </w:r>
      <w:r w:rsidR="00670C1B" w:rsidRPr="00FD211F">
        <w:rPr>
          <w:sz w:val="36"/>
          <w:szCs w:val="36"/>
          <w:rtl/>
        </w:rPr>
        <w:t>.</w:t>
      </w:r>
    </w:p>
    <w:p w14:paraId="6321662B" w14:textId="77777777" w:rsidR="00862C48" w:rsidRPr="00FD211F" w:rsidRDefault="00BC674A" w:rsidP="009C58C8">
      <w:pPr>
        <w:ind w:left="0" w:firstLine="227"/>
        <w:jc w:val="both"/>
        <w:rPr>
          <w:sz w:val="36"/>
          <w:szCs w:val="36"/>
          <w:rtl/>
        </w:rPr>
      </w:pPr>
      <w:r w:rsidRPr="00FD211F">
        <w:rPr>
          <w:b/>
          <w:bCs/>
          <w:sz w:val="36"/>
          <w:szCs w:val="36"/>
          <w:rtl/>
        </w:rPr>
        <w:t>وثانيا</w:t>
      </w:r>
      <w:r w:rsidR="00862C48" w:rsidRPr="00FD211F">
        <w:rPr>
          <w:sz w:val="36"/>
          <w:szCs w:val="36"/>
          <w:rtl/>
        </w:rPr>
        <w:t>:</w:t>
      </w:r>
      <w:r w:rsidRPr="00FD211F">
        <w:rPr>
          <w:sz w:val="36"/>
          <w:szCs w:val="36"/>
          <w:rtl/>
        </w:rPr>
        <w:t xml:space="preserve"> ان</w:t>
      </w:r>
      <w:r w:rsidR="00862C48" w:rsidRPr="00FD211F">
        <w:rPr>
          <w:sz w:val="36"/>
          <w:szCs w:val="36"/>
          <w:rtl/>
        </w:rPr>
        <w:t xml:space="preserve"> ما ذكره من</w:t>
      </w:r>
      <w:r w:rsidRPr="00FD211F">
        <w:rPr>
          <w:sz w:val="36"/>
          <w:szCs w:val="36"/>
          <w:rtl/>
        </w:rPr>
        <w:t xml:space="preserve"> الفرق بين حمل هوهو وحمل ذوهو</w:t>
      </w:r>
      <w:r w:rsidR="00190C3A" w:rsidRPr="00FD211F">
        <w:rPr>
          <w:sz w:val="36"/>
          <w:szCs w:val="36"/>
          <w:rtl/>
        </w:rPr>
        <w:t xml:space="preserve"> –</w:t>
      </w:r>
      <w:r w:rsidR="00862C48" w:rsidRPr="00FD211F">
        <w:rPr>
          <w:sz w:val="36"/>
          <w:szCs w:val="36"/>
          <w:rtl/>
        </w:rPr>
        <w:t xml:space="preserve">بالالتزام </w:t>
      </w:r>
      <w:r w:rsidR="00190C3A" w:rsidRPr="00FD211F">
        <w:rPr>
          <w:sz w:val="36"/>
          <w:szCs w:val="36"/>
          <w:rtl/>
        </w:rPr>
        <w:t>بكون</w:t>
      </w:r>
      <w:r w:rsidR="00862C48" w:rsidRPr="00FD211F">
        <w:rPr>
          <w:sz w:val="36"/>
          <w:szCs w:val="36"/>
          <w:rtl/>
        </w:rPr>
        <w:t xml:space="preserve"> حمل ذوهو</w:t>
      </w:r>
      <w:r w:rsidRPr="00FD211F">
        <w:rPr>
          <w:sz w:val="36"/>
          <w:szCs w:val="36"/>
          <w:rtl/>
        </w:rPr>
        <w:t xml:space="preserve"> على ما انقضى عنه ال</w:t>
      </w:r>
      <w:r w:rsidR="0079493B" w:rsidRPr="00FD211F">
        <w:rPr>
          <w:sz w:val="36"/>
          <w:szCs w:val="36"/>
          <w:rtl/>
        </w:rPr>
        <w:t>مبدأ</w:t>
      </w:r>
      <w:r w:rsidR="00190C3A" w:rsidRPr="00FD211F">
        <w:rPr>
          <w:sz w:val="36"/>
          <w:szCs w:val="36"/>
          <w:rtl/>
        </w:rPr>
        <w:t xml:space="preserve"> صحيحا</w:t>
      </w:r>
      <w:r w:rsidRPr="00FD211F">
        <w:rPr>
          <w:sz w:val="36"/>
          <w:szCs w:val="36"/>
          <w:rtl/>
        </w:rPr>
        <w:t xml:space="preserve"> </w:t>
      </w:r>
      <w:r w:rsidR="00862C48" w:rsidRPr="00FD211F">
        <w:rPr>
          <w:sz w:val="36"/>
          <w:szCs w:val="36"/>
          <w:rtl/>
        </w:rPr>
        <w:t>دون ما لو كان الحمل بنحو هوهو</w:t>
      </w:r>
      <w:r w:rsidR="00190C3A" w:rsidRPr="00FD211F">
        <w:rPr>
          <w:sz w:val="36"/>
          <w:szCs w:val="36"/>
          <w:rtl/>
        </w:rPr>
        <w:t xml:space="preserve"> او الالتزام بكون الاول استعمالا حقيقيا دون الثاني-</w:t>
      </w:r>
      <w:r w:rsidR="00035A25" w:rsidRPr="00FD211F">
        <w:rPr>
          <w:sz w:val="36"/>
          <w:szCs w:val="36"/>
          <w:rtl/>
        </w:rPr>
        <w:t xml:space="preserve"> لايخلو عن غراب</w:t>
      </w:r>
      <w:r w:rsidR="00EC7EDF" w:rsidRPr="00FD211F">
        <w:rPr>
          <w:sz w:val="36"/>
          <w:szCs w:val="36"/>
          <w:rtl/>
        </w:rPr>
        <w:t>ة</w:t>
      </w:r>
      <w:r w:rsidR="00603323" w:rsidRPr="00FD211F">
        <w:rPr>
          <w:sz w:val="36"/>
          <w:szCs w:val="36"/>
          <w:rtl/>
        </w:rPr>
        <w:t xml:space="preserve">، </w:t>
      </w:r>
      <w:r w:rsidR="00862C48" w:rsidRPr="00FD211F">
        <w:rPr>
          <w:sz w:val="36"/>
          <w:szCs w:val="36"/>
          <w:rtl/>
        </w:rPr>
        <w:t>فانه لايوجد فرق بين قولنا زيد عالم وبين قولنا زيد ذو علم.</w:t>
      </w:r>
    </w:p>
    <w:p w14:paraId="13596FDE" w14:textId="77777777" w:rsidR="00BC674A" w:rsidRPr="00FD211F" w:rsidRDefault="00862C48" w:rsidP="009C58C8">
      <w:pPr>
        <w:ind w:left="0" w:firstLine="227"/>
        <w:jc w:val="both"/>
        <w:rPr>
          <w:sz w:val="36"/>
          <w:szCs w:val="36"/>
          <w:rtl/>
        </w:rPr>
      </w:pPr>
      <w:r w:rsidRPr="00FD211F">
        <w:rPr>
          <w:b/>
          <w:bCs/>
          <w:sz w:val="36"/>
          <w:szCs w:val="36"/>
          <w:rtl/>
        </w:rPr>
        <w:t>و</w:t>
      </w:r>
      <w:r w:rsidR="00BC674A" w:rsidRPr="00FD211F">
        <w:rPr>
          <w:b/>
          <w:bCs/>
          <w:sz w:val="36"/>
          <w:szCs w:val="36"/>
          <w:rtl/>
        </w:rPr>
        <w:t>ثالثا</w:t>
      </w:r>
      <w:r w:rsidR="00BC674A" w:rsidRPr="00FD211F">
        <w:rPr>
          <w:sz w:val="36"/>
          <w:szCs w:val="36"/>
          <w:rtl/>
        </w:rPr>
        <w:t>: ان النزاع</w:t>
      </w:r>
      <w:r w:rsidRPr="00FD211F">
        <w:rPr>
          <w:sz w:val="36"/>
          <w:szCs w:val="36"/>
          <w:rtl/>
        </w:rPr>
        <w:t xml:space="preserve"> بين الاعلام في المقام ليس في صح</w:t>
      </w:r>
      <w:r w:rsidR="00EC7EDF" w:rsidRPr="00FD211F">
        <w:rPr>
          <w:sz w:val="36"/>
          <w:szCs w:val="36"/>
          <w:rtl/>
        </w:rPr>
        <w:t xml:space="preserve">ة </w:t>
      </w:r>
      <w:r w:rsidRPr="00FD211F">
        <w:rPr>
          <w:sz w:val="36"/>
          <w:szCs w:val="36"/>
          <w:rtl/>
        </w:rPr>
        <w:t>استعمال المشتق فيما انقضى عنه ال</w:t>
      </w:r>
      <w:r w:rsidR="0079493B" w:rsidRPr="00FD211F">
        <w:rPr>
          <w:sz w:val="36"/>
          <w:szCs w:val="36"/>
          <w:rtl/>
        </w:rPr>
        <w:t>مبدأ</w:t>
      </w:r>
      <w:r w:rsidR="00603323" w:rsidRPr="00FD211F">
        <w:rPr>
          <w:sz w:val="36"/>
          <w:szCs w:val="36"/>
          <w:rtl/>
        </w:rPr>
        <w:t xml:space="preserve">، </w:t>
      </w:r>
      <w:r w:rsidRPr="00FD211F">
        <w:rPr>
          <w:sz w:val="36"/>
          <w:szCs w:val="36"/>
          <w:rtl/>
        </w:rPr>
        <w:t>بل نزاعهم في كونه استعمالا حقيقيا او مجازيا.</w:t>
      </w:r>
    </w:p>
    <w:p w14:paraId="69254EDE" w14:textId="77777777" w:rsidR="00862C48" w:rsidRPr="00FD211F" w:rsidRDefault="00862C48" w:rsidP="009C58C8">
      <w:pPr>
        <w:ind w:left="0" w:firstLine="227"/>
        <w:jc w:val="both"/>
        <w:rPr>
          <w:sz w:val="36"/>
          <w:szCs w:val="36"/>
          <w:rtl/>
        </w:rPr>
      </w:pPr>
      <w:r w:rsidRPr="00FD211F">
        <w:rPr>
          <w:sz w:val="36"/>
          <w:szCs w:val="36"/>
          <w:rtl/>
        </w:rPr>
        <w:t>نعم لايبعد ان يقال بان الالتزام بصح</w:t>
      </w:r>
      <w:r w:rsidR="00EC7EDF" w:rsidRPr="00FD211F">
        <w:rPr>
          <w:sz w:val="36"/>
          <w:szCs w:val="36"/>
          <w:rtl/>
        </w:rPr>
        <w:t xml:space="preserve">ة </w:t>
      </w:r>
      <w:r w:rsidRPr="00FD211F">
        <w:rPr>
          <w:sz w:val="36"/>
          <w:szCs w:val="36"/>
          <w:rtl/>
        </w:rPr>
        <w:t>استعمال المشتق فيما انقضى عنه ال</w:t>
      </w:r>
      <w:r w:rsidR="0079493B" w:rsidRPr="00FD211F">
        <w:rPr>
          <w:sz w:val="36"/>
          <w:szCs w:val="36"/>
          <w:rtl/>
        </w:rPr>
        <w:t>مبدأ</w:t>
      </w:r>
      <w:r w:rsidRPr="00FD211F">
        <w:rPr>
          <w:sz w:val="36"/>
          <w:szCs w:val="36"/>
          <w:rtl/>
        </w:rPr>
        <w:t xml:space="preserve"> او فيما سيتلبس بال</w:t>
      </w:r>
      <w:r w:rsidR="0079493B" w:rsidRPr="00FD211F">
        <w:rPr>
          <w:sz w:val="36"/>
          <w:szCs w:val="36"/>
          <w:rtl/>
        </w:rPr>
        <w:t>مبدأ</w:t>
      </w:r>
      <w:r w:rsidRPr="00FD211F">
        <w:rPr>
          <w:sz w:val="36"/>
          <w:szCs w:val="36"/>
          <w:rtl/>
        </w:rPr>
        <w:t xml:space="preserve"> في المستقبل لايتم باطلاقه</w:t>
      </w:r>
      <w:r w:rsidR="00603323" w:rsidRPr="00FD211F">
        <w:rPr>
          <w:sz w:val="36"/>
          <w:szCs w:val="36"/>
          <w:rtl/>
        </w:rPr>
        <w:t xml:space="preserve">، </w:t>
      </w:r>
      <w:r w:rsidRPr="00FD211F">
        <w:rPr>
          <w:sz w:val="36"/>
          <w:szCs w:val="36"/>
          <w:rtl/>
        </w:rPr>
        <w:t>فكيف يصح ان يقال للقائم انه قاعد باعتبار انه كان قاعدا في السابق او سيكون قاعدا في المستقبل</w:t>
      </w:r>
      <w:r w:rsidR="00603323" w:rsidRPr="00FD211F">
        <w:rPr>
          <w:sz w:val="36"/>
          <w:szCs w:val="36"/>
          <w:rtl/>
        </w:rPr>
        <w:t xml:space="preserve">، </w:t>
      </w:r>
      <w:r w:rsidRPr="00FD211F">
        <w:rPr>
          <w:sz w:val="36"/>
          <w:szCs w:val="36"/>
          <w:rtl/>
        </w:rPr>
        <w:t>الا اذا كان بمستوى</w:t>
      </w:r>
      <w:r w:rsidR="00035A25" w:rsidRPr="00FD211F">
        <w:rPr>
          <w:sz w:val="36"/>
          <w:szCs w:val="36"/>
          <w:rtl/>
        </w:rPr>
        <w:t>ً</w:t>
      </w:r>
      <w:r w:rsidRPr="00FD211F">
        <w:rPr>
          <w:sz w:val="36"/>
          <w:szCs w:val="36"/>
          <w:rtl/>
        </w:rPr>
        <w:t xml:space="preserve"> يستحسن الطبع استعماله بنحو المجاز الادعائي بعلاق</w:t>
      </w:r>
      <w:r w:rsidR="00EC7EDF" w:rsidRPr="00FD211F">
        <w:rPr>
          <w:sz w:val="36"/>
          <w:szCs w:val="36"/>
          <w:rtl/>
        </w:rPr>
        <w:t xml:space="preserve">ة </w:t>
      </w:r>
      <w:r w:rsidR="00355827" w:rsidRPr="00FD211F">
        <w:rPr>
          <w:sz w:val="36"/>
          <w:szCs w:val="36"/>
          <w:rtl/>
        </w:rPr>
        <w:t>ما كان او علاق</w:t>
      </w:r>
      <w:r w:rsidR="00EC7EDF" w:rsidRPr="00FD211F">
        <w:rPr>
          <w:sz w:val="36"/>
          <w:szCs w:val="36"/>
          <w:rtl/>
        </w:rPr>
        <w:t xml:space="preserve">ة </w:t>
      </w:r>
      <w:r w:rsidRPr="00FD211F">
        <w:rPr>
          <w:sz w:val="36"/>
          <w:szCs w:val="36"/>
          <w:rtl/>
        </w:rPr>
        <w:t>الأَوْل والمشارف</w:t>
      </w:r>
      <w:r w:rsidR="00EC7EDF" w:rsidRPr="00FD211F">
        <w:rPr>
          <w:sz w:val="36"/>
          <w:szCs w:val="36"/>
          <w:rtl/>
        </w:rPr>
        <w:t xml:space="preserve">ة </w:t>
      </w:r>
      <w:r w:rsidRPr="00FD211F">
        <w:rPr>
          <w:sz w:val="36"/>
          <w:szCs w:val="36"/>
          <w:rtl/>
        </w:rPr>
        <w:t>ونحو ذلك</w:t>
      </w:r>
      <w:r w:rsidR="00603323" w:rsidRPr="00FD211F">
        <w:rPr>
          <w:sz w:val="36"/>
          <w:szCs w:val="36"/>
          <w:rtl/>
        </w:rPr>
        <w:t xml:space="preserve">، </w:t>
      </w:r>
      <w:r w:rsidRPr="00FD211F">
        <w:rPr>
          <w:sz w:val="36"/>
          <w:szCs w:val="36"/>
          <w:rtl/>
        </w:rPr>
        <w:t>وكذا لايقال لفقيه بارع انه جاهل باعتبار كونه جاهلا اول عمره</w:t>
      </w:r>
      <w:r w:rsidR="00603323" w:rsidRPr="00FD211F">
        <w:rPr>
          <w:sz w:val="36"/>
          <w:szCs w:val="36"/>
          <w:rtl/>
        </w:rPr>
        <w:t xml:space="preserve">، </w:t>
      </w:r>
      <w:r w:rsidR="00531F2D" w:rsidRPr="00FD211F">
        <w:rPr>
          <w:sz w:val="36"/>
          <w:szCs w:val="36"/>
          <w:rtl/>
        </w:rPr>
        <w:t xml:space="preserve">كما لايقال لعادل انه فاسق باعتبار كونه فاسقا </w:t>
      </w:r>
      <w:commentRangeStart w:id="423"/>
      <w:r w:rsidR="00531F2D" w:rsidRPr="00FD211F">
        <w:rPr>
          <w:sz w:val="36"/>
          <w:szCs w:val="36"/>
          <w:rtl/>
        </w:rPr>
        <w:t>سابقا</w:t>
      </w:r>
      <w:commentRangeEnd w:id="423"/>
      <w:r w:rsidR="00537AB6">
        <w:rPr>
          <w:rStyle w:val="ab"/>
          <w:rtl/>
        </w:rPr>
        <w:commentReference w:id="423"/>
      </w:r>
      <w:r w:rsidR="00531F2D" w:rsidRPr="00FD211F">
        <w:rPr>
          <w:sz w:val="36"/>
          <w:szCs w:val="36"/>
          <w:rtl/>
        </w:rPr>
        <w:t>.</w:t>
      </w:r>
    </w:p>
    <w:p w14:paraId="574F95D4" w14:textId="77777777" w:rsidR="00531F2D" w:rsidRPr="00FD211F" w:rsidRDefault="00531F2D" w:rsidP="009C58C8">
      <w:pPr>
        <w:pStyle w:val="3"/>
        <w:ind w:firstLine="227"/>
        <w:jc w:val="both"/>
        <w:rPr>
          <w:rtl/>
        </w:rPr>
      </w:pPr>
      <w:bookmarkStart w:id="424" w:name="_Toc192092942"/>
      <w:bookmarkStart w:id="425" w:name="_Toc223890421"/>
      <w:r w:rsidRPr="00FD211F">
        <w:rPr>
          <w:rtl/>
        </w:rPr>
        <w:t>المراد من المشتق</w:t>
      </w:r>
      <w:bookmarkEnd w:id="424"/>
      <w:bookmarkEnd w:id="425"/>
    </w:p>
    <w:p w14:paraId="2333D789" w14:textId="77777777" w:rsidR="00D326A0" w:rsidRPr="00FD211F" w:rsidRDefault="00057D31" w:rsidP="009C58C8">
      <w:pPr>
        <w:ind w:left="0" w:firstLine="227"/>
        <w:jc w:val="both"/>
        <w:rPr>
          <w:sz w:val="36"/>
          <w:szCs w:val="36"/>
          <w:rtl/>
        </w:rPr>
      </w:pPr>
      <w:r w:rsidRPr="00FD211F">
        <w:rPr>
          <w:b/>
          <w:bCs/>
          <w:sz w:val="36"/>
          <w:szCs w:val="36"/>
          <w:rtl/>
        </w:rPr>
        <w:t xml:space="preserve">الجهة </w:t>
      </w:r>
      <w:r w:rsidR="00531F2D" w:rsidRPr="00FD211F">
        <w:rPr>
          <w:b/>
          <w:bCs/>
          <w:sz w:val="36"/>
          <w:szCs w:val="36"/>
          <w:rtl/>
        </w:rPr>
        <w:t>الثاني</w:t>
      </w:r>
      <w:r w:rsidR="00EC7EDF" w:rsidRPr="00FD211F">
        <w:rPr>
          <w:b/>
          <w:bCs/>
          <w:sz w:val="36"/>
          <w:szCs w:val="36"/>
          <w:rtl/>
        </w:rPr>
        <w:t>ة</w:t>
      </w:r>
      <w:r w:rsidRPr="00FD211F">
        <w:rPr>
          <w:b/>
          <w:bCs/>
          <w:sz w:val="36"/>
          <w:szCs w:val="36"/>
          <w:rtl/>
        </w:rPr>
        <w:t>:</w:t>
      </w:r>
      <w:r w:rsidR="00531F2D" w:rsidRPr="00FD211F">
        <w:rPr>
          <w:sz w:val="36"/>
          <w:szCs w:val="36"/>
          <w:rtl/>
        </w:rPr>
        <w:t xml:space="preserve"> ان الظاهر </w:t>
      </w:r>
      <w:r w:rsidR="004921E1" w:rsidRPr="00FD211F">
        <w:rPr>
          <w:sz w:val="36"/>
          <w:szCs w:val="36"/>
          <w:rtl/>
        </w:rPr>
        <w:t xml:space="preserve">ان المراد من المشتق ليس </w:t>
      </w:r>
      <w:r w:rsidR="00BC674A" w:rsidRPr="00FD211F">
        <w:rPr>
          <w:sz w:val="36"/>
          <w:szCs w:val="36"/>
          <w:rtl/>
        </w:rPr>
        <w:t>هو المشتق النحوي اي ما كان</w:t>
      </w:r>
      <w:r w:rsidR="00190C3A" w:rsidRPr="00FD211F">
        <w:rPr>
          <w:sz w:val="36"/>
          <w:szCs w:val="36"/>
          <w:rtl/>
        </w:rPr>
        <w:t xml:space="preserve"> لكل من هيئته ومادته</w:t>
      </w:r>
      <w:r w:rsidR="00BC674A" w:rsidRPr="00FD211F">
        <w:rPr>
          <w:sz w:val="36"/>
          <w:szCs w:val="36"/>
          <w:rtl/>
        </w:rPr>
        <w:t xml:space="preserve"> وضع مستقل </w:t>
      </w:r>
      <w:r w:rsidR="00190C3A" w:rsidRPr="00FD211F">
        <w:rPr>
          <w:sz w:val="36"/>
          <w:szCs w:val="36"/>
          <w:rtl/>
        </w:rPr>
        <w:t xml:space="preserve">مثل "العالم" </w:t>
      </w:r>
      <w:r w:rsidR="00D326A0" w:rsidRPr="00FD211F">
        <w:rPr>
          <w:sz w:val="36"/>
          <w:szCs w:val="36"/>
          <w:rtl/>
        </w:rPr>
        <w:t>بل المراد منه اصطلاح خاص اصولي وهو كل ما صح حمله على الذات ولو كان جامد</w:t>
      </w:r>
      <w:r w:rsidR="00190C3A" w:rsidRPr="00FD211F">
        <w:rPr>
          <w:sz w:val="36"/>
          <w:szCs w:val="36"/>
          <w:rtl/>
        </w:rPr>
        <w:t>ا كلفظ</w:t>
      </w:r>
      <w:r w:rsidR="00EC7EDF" w:rsidRPr="00FD211F">
        <w:rPr>
          <w:sz w:val="36"/>
          <w:szCs w:val="36"/>
          <w:rtl/>
        </w:rPr>
        <w:t xml:space="preserve">ة </w:t>
      </w:r>
      <w:r w:rsidR="00190C3A" w:rsidRPr="00FD211F">
        <w:rPr>
          <w:sz w:val="36"/>
          <w:szCs w:val="36"/>
          <w:rtl/>
        </w:rPr>
        <w:t>الزوج والحر والرقّ والسيف</w:t>
      </w:r>
      <w:r w:rsidR="00603323" w:rsidRPr="00FD211F">
        <w:rPr>
          <w:sz w:val="36"/>
          <w:szCs w:val="36"/>
          <w:rtl/>
        </w:rPr>
        <w:t xml:space="preserve">، </w:t>
      </w:r>
      <w:r w:rsidR="00D326A0" w:rsidRPr="00FD211F">
        <w:rPr>
          <w:sz w:val="36"/>
          <w:szCs w:val="36"/>
          <w:rtl/>
        </w:rPr>
        <w:t>والنسب</w:t>
      </w:r>
      <w:r w:rsidR="00EC7EDF" w:rsidRPr="00FD211F">
        <w:rPr>
          <w:sz w:val="36"/>
          <w:szCs w:val="36"/>
          <w:rtl/>
        </w:rPr>
        <w:t xml:space="preserve">ة </w:t>
      </w:r>
      <w:r w:rsidR="00D326A0" w:rsidRPr="00FD211F">
        <w:rPr>
          <w:sz w:val="36"/>
          <w:szCs w:val="36"/>
          <w:rtl/>
        </w:rPr>
        <w:t>بين المشتق النحوي والاصولي هي العموم من وجه</w:t>
      </w:r>
      <w:r w:rsidR="00603323" w:rsidRPr="00FD211F">
        <w:rPr>
          <w:sz w:val="36"/>
          <w:szCs w:val="36"/>
          <w:rtl/>
        </w:rPr>
        <w:t xml:space="preserve">، </w:t>
      </w:r>
      <w:r w:rsidR="00D326A0" w:rsidRPr="00FD211F">
        <w:rPr>
          <w:sz w:val="36"/>
          <w:szCs w:val="36"/>
          <w:rtl/>
        </w:rPr>
        <w:t xml:space="preserve">حيث يشمل المشتق النحوي </w:t>
      </w:r>
      <w:r w:rsidR="00BC674A" w:rsidRPr="00FD211F">
        <w:rPr>
          <w:sz w:val="36"/>
          <w:szCs w:val="36"/>
          <w:rtl/>
        </w:rPr>
        <w:t>مثل الافعال و</w:t>
      </w:r>
      <w:r w:rsidR="00D326A0" w:rsidRPr="00FD211F">
        <w:rPr>
          <w:sz w:val="36"/>
          <w:szCs w:val="36"/>
          <w:rtl/>
        </w:rPr>
        <w:t xml:space="preserve">كذا </w:t>
      </w:r>
      <w:r w:rsidR="00BC674A" w:rsidRPr="00FD211F">
        <w:rPr>
          <w:sz w:val="36"/>
          <w:szCs w:val="36"/>
          <w:rtl/>
        </w:rPr>
        <w:t>المصادر بناء على اشتقاقها</w:t>
      </w:r>
      <w:r w:rsidR="00603323" w:rsidRPr="00FD211F">
        <w:rPr>
          <w:sz w:val="36"/>
          <w:szCs w:val="36"/>
          <w:rtl/>
        </w:rPr>
        <w:t xml:space="preserve">، </w:t>
      </w:r>
      <w:r w:rsidR="00D326A0" w:rsidRPr="00FD211F">
        <w:rPr>
          <w:sz w:val="36"/>
          <w:szCs w:val="36"/>
          <w:rtl/>
        </w:rPr>
        <w:t>ولكن حيث لا</w:t>
      </w:r>
      <w:r w:rsidR="00190C3A" w:rsidRPr="00FD211F">
        <w:rPr>
          <w:sz w:val="36"/>
          <w:szCs w:val="36"/>
          <w:rtl/>
        </w:rPr>
        <w:t>ت</w:t>
      </w:r>
      <w:r w:rsidR="00D326A0" w:rsidRPr="00FD211F">
        <w:rPr>
          <w:sz w:val="36"/>
          <w:szCs w:val="36"/>
          <w:rtl/>
        </w:rPr>
        <w:t>حمل</w:t>
      </w:r>
      <w:r w:rsidR="00190C3A" w:rsidRPr="00FD211F">
        <w:rPr>
          <w:sz w:val="36"/>
          <w:szCs w:val="36"/>
          <w:rtl/>
        </w:rPr>
        <w:t xml:space="preserve"> الأفعال والمصادر</w:t>
      </w:r>
      <w:r w:rsidR="00D326A0" w:rsidRPr="00FD211F">
        <w:rPr>
          <w:sz w:val="36"/>
          <w:szCs w:val="36"/>
          <w:rtl/>
        </w:rPr>
        <w:t xml:space="preserve"> على </w:t>
      </w:r>
      <w:commentRangeStart w:id="426"/>
      <w:r w:rsidR="00D326A0" w:rsidRPr="00FD211F">
        <w:rPr>
          <w:sz w:val="36"/>
          <w:szCs w:val="36"/>
          <w:rtl/>
        </w:rPr>
        <w:t>الذات</w:t>
      </w:r>
      <w:commentRangeEnd w:id="426"/>
      <w:r w:rsidR="006E314D" w:rsidRPr="00FD211F">
        <w:rPr>
          <w:rStyle w:val="ab"/>
          <w:sz w:val="36"/>
          <w:szCs w:val="36"/>
          <w:rtl/>
        </w:rPr>
        <w:commentReference w:id="426"/>
      </w:r>
      <w:r w:rsidR="00D326A0" w:rsidRPr="00FD211F">
        <w:rPr>
          <w:sz w:val="36"/>
          <w:szCs w:val="36"/>
          <w:rtl/>
        </w:rPr>
        <w:t xml:space="preserve"> فلايكون</w:t>
      </w:r>
      <w:r w:rsidR="00190C3A" w:rsidRPr="00FD211F">
        <w:rPr>
          <w:sz w:val="36"/>
          <w:szCs w:val="36"/>
          <w:rtl/>
        </w:rPr>
        <w:t xml:space="preserve"> المقصود من المشتق</w:t>
      </w:r>
      <w:r w:rsidR="00D326A0" w:rsidRPr="00FD211F">
        <w:rPr>
          <w:sz w:val="36"/>
          <w:szCs w:val="36"/>
          <w:rtl/>
        </w:rPr>
        <w:t xml:space="preserve"> في المقام</w:t>
      </w:r>
      <w:r w:rsidR="00190C3A" w:rsidRPr="00FD211F">
        <w:rPr>
          <w:sz w:val="36"/>
          <w:szCs w:val="36"/>
          <w:rtl/>
        </w:rPr>
        <w:t xml:space="preserve"> ما يشمل ذلك</w:t>
      </w:r>
      <w:r w:rsidR="00355827" w:rsidRPr="00FD211F">
        <w:rPr>
          <w:sz w:val="36"/>
          <w:szCs w:val="36"/>
          <w:rtl/>
        </w:rPr>
        <w:t xml:space="preserve"> -نعم يشمل اسم الفاعل والمفعول والصف</w:t>
      </w:r>
      <w:r w:rsidR="00EC7EDF" w:rsidRPr="00FD211F">
        <w:rPr>
          <w:sz w:val="36"/>
          <w:szCs w:val="36"/>
          <w:rtl/>
        </w:rPr>
        <w:t xml:space="preserve">ة </w:t>
      </w:r>
      <w:r w:rsidR="00355827" w:rsidRPr="00FD211F">
        <w:rPr>
          <w:sz w:val="36"/>
          <w:szCs w:val="36"/>
          <w:rtl/>
        </w:rPr>
        <w:t>المشبه</w:t>
      </w:r>
      <w:r w:rsidR="00EC7EDF" w:rsidRPr="00FD211F">
        <w:rPr>
          <w:sz w:val="36"/>
          <w:szCs w:val="36"/>
          <w:rtl/>
        </w:rPr>
        <w:t xml:space="preserve">ة </w:t>
      </w:r>
      <w:r w:rsidR="00355827" w:rsidRPr="00FD211F">
        <w:rPr>
          <w:sz w:val="36"/>
          <w:szCs w:val="36"/>
          <w:rtl/>
        </w:rPr>
        <w:t>وصيغ</w:t>
      </w:r>
      <w:r w:rsidR="00EC7EDF" w:rsidRPr="00FD211F">
        <w:rPr>
          <w:sz w:val="36"/>
          <w:szCs w:val="36"/>
          <w:rtl/>
        </w:rPr>
        <w:t xml:space="preserve">ة </w:t>
      </w:r>
      <w:r w:rsidR="00355827" w:rsidRPr="00FD211F">
        <w:rPr>
          <w:sz w:val="36"/>
          <w:szCs w:val="36"/>
          <w:rtl/>
        </w:rPr>
        <w:t>المبالغ</w:t>
      </w:r>
      <w:r w:rsidR="00EC7EDF" w:rsidRPr="00FD211F">
        <w:rPr>
          <w:sz w:val="36"/>
          <w:szCs w:val="36"/>
          <w:rtl/>
        </w:rPr>
        <w:t xml:space="preserve">ة </w:t>
      </w:r>
      <w:r w:rsidR="00355827" w:rsidRPr="00FD211F">
        <w:rPr>
          <w:sz w:val="36"/>
          <w:szCs w:val="36"/>
          <w:rtl/>
        </w:rPr>
        <w:t>واسم الزمان والمكان والآل</w:t>
      </w:r>
      <w:r w:rsidR="00EC7EDF" w:rsidRPr="00FD211F">
        <w:rPr>
          <w:sz w:val="36"/>
          <w:szCs w:val="36"/>
          <w:rtl/>
        </w:rPr>
        <w:t xml:space="preserve">ة </w:t>
      </w:r>
      <w:r w:rsidR="00355827" w:rsidRPr="00FD211F">
        <w:rPr>
          <w:sz w:val="36"/>
          <w:szCs w:val="36"/>
          <w:rtl/>
        </w:rPr>
        <w:t>-</w:t>
      </w:r>
      <w:r w:rsidR="00D326A0" w:rsidRPr="00FD211F">
        <w:rPr>
          <w:sz w:val="36"/>
          <w:szCs w:val="36"/>
          <w:rtl/>
        </w:rPr>
        <w:t xml:space="preserve"> كما ان المشتق الاصولي يشمل الجامد الذي يصح حمله على الذات</w:t>
      </w:r>
      <w:r w:rsidR="00190C3A" w:rsidRPr="00FD211F">
        <w:rPr>
          <w:sz w:val="36"/>
          <w:szCs w:val="36"/>
          <w:rtl/>
        </w:rPr>
        <w:t xml:space="preserve"> مما يفرض فيه بقاء الذات بعد انقضاء ال</w:t>
      </w:r>
      <w:r w:rsidR="0079493B" w:rsidRPr="00FD211F">
        <w:rPr>
          <w:sz w:val="36"/>
          <w:szCs w:val="36"/>
          <w:rtl/>
        </w:rPr>
        <w:t>مبدأ</w:t>
      </w:r>
      <w:r w:rsidR="00190C3A" w:rsidRPr="00FD211F">
        <w:rPr>
          <w:sz w:val="36"/>
          <w:szCs w:val="36"/>
          <w:rtl/>
        </w:rPr>
        <w:t xml:space="preserve"> بان كان العنوان منتزعا من امر خارج عن الذات كعنوان الزوج والرق والسيف وما شابه ذلك</w:t>
      </w:r>
      <w:r w:rsidR="00603323" w:rsidRPr="00FD211F">
        <w:rPr>
          <w:sz w:val="36"/>
          <w:szCs w:val="36"/>
          <w:rtl/>
        </w:rPr>
        <w:t xml:space="preserve">، </w:t>
      </w:r>
      <w:r w:rsidR="00D326A0" w:rsidRPr="00FD211F">
        <w:rPr>
          <w:sz w:val="36"/>
          <w:szCs w:val="36"/>
          <w:rtl/>
        </w:rPr>
        <w:t>وحيث ان نكت</w:t>
      </w:r>
      <w:r w:rsidR="00EC7EDF" w:rsidRPr="00FD211F">
        <w:rPr>
          <w:sz w:val="36"/>
          <w:szCs w:val="36"/>
          <w:rtl/>
        </w:rPr>
        <w:t xml:space="preserve">ة </w:t>
      </w:r>
      <w:r w:rsidR="00D326A0" w:rsidRPr="00FD211F">
        <w:rPr>
          <w:sz w:val="36"/>
          <w:szCs w:val="36"/>
          <w:rtl/>
        </w:rPr>
        <w:t>النزا</w:t>
      </w:r>
      <w:r w:rsidR="00901F26" w:rsidRPr="00FD211F">
        <w:rPr>
          <w:sz w:val="36"/>
          <w:szCs w:val="36"/>
          <w:rtl/>
        </w:rPr>
        <w:t>ع تعم المشتق الاصولي فالظاهر ان</w:t>
      </w:r>
      <w:r w:rsidR="00D326A0" w:rsidRPr="00FD211F">
        <w:rPr>
          <w:sz w:val="36"/>
          <w:szCs w:val="36"/>
          <w:rtl/>
        </w:rPr>
        <w:t xml:space="preserve"> المراد من كلم</w:t>
      </w:r>
      <w:r w:rsidR="00EC7EDF" w:rsidRPr="00FD211F">
        <w:rPr>
          <w:sz w:val="36"/>
          <w:szCs w:val="36"/>
          <w:rtl/>
        </w:rPr>
        <w:t xml:space="preserve">ة </w:t>
      </w:r>
      <w:r w:rsidR="00D326A0" w:rsidRPr="00FD211F">
        <w:rPr>
          <w:sz w:val="36"/>
          <w:szCs w:val="36"/>
          <w:rtl/>
        </w:rPr>
        <w:t>المشتق كما ذكره صاحب الكفاي</w:t>
      </w:r>
      <w:r w:rsidR="00EC7EDF" w:rsidRPr="00FD211F">
        <w:rPr>
          <w:sz w:val="36"/>
          <w:szCs w:val="36"/>
          <w:rtl/>
        </w:rPr>
        <w:t xml:space="preserve">ة </w:t>
      </w:r>
      <w:r w:rsidR="00901F26" w:rsidRPr="00FD211F">
        <w:rPr>
          <w:sz w:val="36"/>
          <w:szCs w:val="36"/>
          <w:rtl/>
        </w:rPr>
        <w:t>"</w:t>
      </w:r>
      <w:r w:rsidR="005D03BA" w:rsidRPr="00FD211F">
        <w:rPr>
          <w:sz w:val="36"/>
          <w:szCs w:val="36"/>
          <w:rtl/>
        </w:rPr>
        <w:t>قد</w:t>
      </w:r>
      <w:r w:rsidR="00901F26" w:rsidRPr="00FD211F">
        <w:rPr>
          <w:sz w:val="36"/>
          <w:szCs w:val="36"/>
          <w:rtl/>
        </w:rPr>
        <w:t>ه"هو المشتق الاصولي</w:t>
      </w:r>
      <w:r w:rsidR="00C17D0B" w:rsidRPr="00FD211F">
        <w:rPr>
          <w:rStyle w:val="a6"/>
          <w:sz w:val="36"/>
          <w:szCs w:val="36"/>
          <w:rtl/>
        </w:rPr>
        <w:t>(</w:t>
      </w:r>
      <w:r w:rsidR="00C17D0B" w:rsidRPr="00FD211F">
        <w:rPr>
          <w:rStyle w:val="a6"/>
          <w:sz w:val="36"/>
          <w:szCs w:val="36"/>
          <w:rtl/>
        </w:rPr>
        <w:footnoteReference w:id="482"/>
      </w:r>
      <w:r w:rsidR="00C17D0B" w:rsidRPr="00FD211F">
        <w:rPr>
          <w:rStyle w:val="a6"/>
          <w:sz w:val="36"/>
          <w:szCs w:val="36"/>
          <w:rtl/>
        </w:rPr>
        <w:t>)</w:t>
      </w:r>
      <w:r w:rsidR="00D326A0" w:rsidRPr="00FD211F">
        <w:rPr>
          <w:sz w:val="36"/>
          <w:szCs w:val="36"/>
          <w:rtl/>
        </w:rPr>
        <w:t>.</w:t>
      </w:r>
    </w:p>
    <w:p w14:paraId="16E05D5E" w14:textId="77777777" w:rsidR="000C5BBA" w:rsidRPr="00FD211F" w:rsidRDefault="00D326A0" w:rsidP="009C58C8">
      <w:pPr>
        <w:ind w:left="0" w:firstLine="227"/>
        <w:jc w:val="both"/>
        <w:rPr>
          <w:sz w:val="36"/>
          <w:szCs w:val="36"/>
          <w:rtl/>
        </w:rPr>
      </w:pPr>
      <w:r w:rsidRPr="00FD211F">
        <w:rPr>
          <w:sz w:val="36"/>
          <w:szCs w:val="36"/>
          <w:rtl/>
        </w:rPr>
        <w:t>وان ابيت عن ذلك فلاريب في تأتي النزاع في الجامد الذي يحمل على الذات</w:t>
      </w:r>
      <w:r w:rsidR="00603323" w:rsidRPr="00FD211F">
        <w:rPr>
          <w:sz w:val="36"/>
          <w:szCs w:val="36"/>
          <w:rtl/>
        </w:rPr>
        <w:t xml:space="preserve">، </w:t>
      </w:r>
      <w:r w:rsidR="005960DF" w:rsidRPr="00FD211F">
        <w:rPr>
          <w:sz w:val="36"/>
          <w:szCs w:val="36"/>
          <w:rtl/>
        </w:rPr>
        <w:t xml:space="preserve">ويشهد على ذلك ما ذكره فخر المحققين </w:t>
      </w:r>
      <w:r w:rsidR="00035A25" w:rsidRPr="00FD211F">
        <w:rPr>
          <w:sz w:val="36"/>
          <w:szCs w:val="36"/>
          <w:rtl/>
        </w:rPr>
        <w:t>"</w:t>
      </w:r>
      <w:r w:rsidR="005960DF" w:rsidRPr="00FD211F">
        <w:rPr>
          <w:sz w:val="36"/>
          <w:szCs w:val="36"/>
          <w:rtl/>
        </w:rPr>
        <w:t>ره</w:t>
      </w:r>
      <w:r w:rsidR="00035A25" w:rsidRPr="00FD211F">
        <w:rPr>
          <w:sz w:val="36"/>
          <w:szCs w:val="36"/>
          <w:rtl/>
        </w:rPr>
        <w:t>"</w:t>
      </w:r>
      <w:r w:rsidR="005960DF" w:rsidRPr="00FD211F">
        <w:rPr>
          <w:sz w:val="36"/>
          <w:szCs w:val="36"/>
          <w:rtl/>
        </w:rPr>
        <w:t xml:space="preserve"> فيما لو كانت عند رجل زوجتان كبيرتان ثم تزوج صغير</w:t>
      </w:r>
      <w:r w:rsidR="00EC7EDF" w:rsidRPr="00FD211F">
        <w:rPr>
          <w:sz w:val="36"/>
          <w:szCs w:val="36"/>
          <w:rtl/>
        </w:rPr>
        <w:t xml:space="preserve">ة </w:t>
      </w:r>
      <w:r w:rsidR="005960DF" w:rsidRPr="00FD211F">
        <w:rPr>
          <w:sz w:val="36"/>
          <w:szCs w:val="36"/>
          <w:rtl/>
        </w:rPr>
        <w:t xml:space="preserve">فأرضعتها إحديهما بمقدار </w:t>
      </w:r>
      <w:r w:rsidR="009947E4" w:rsidRPr="00FD211F">
        <w:rPr>
          <w:sz w:val="36"/>
          <w:szCs w:val="36"/>
          <w:rtl/>
        </w:rPr>
        <w:t>الرضاع الكامل</w:t>
      </w:r>
      <w:r w:rsidR="005960DF" w:rsidRPr="00FD211F">
        <w:rPr>
          <w:sz w:val="36"/>
          <w:szCs w:val="36"/>
          <w:rtl/>
        </w:rPr>
        <w:t xml:space="preserve"> ثم أرضعتها الأخرى كذلك</w:t>
      </w:r>
      <w:r w:rsidR="00603323" w:rsidRPr="00FD211F">
        <w:rPr>
          <w:sz w:val="36"/>
          <w:szCs w:val="36"/>
          <w:rtl/>
        </w:rPr>
        <w:t xml:space="preserve">، </w:t>
      </w:r>
      <w:r w:rsidR="005960DF" w:rsidRPr="00FD211F">
        <w:rPr>
          <w:sz w:val="36"/>
          <w:szCs w:val="36"/>
          <w:rtl/>
        </w:rPr>
        <w:t>فتحرم الصغير</w:t>
      </w:r>
      <w:r w:rsidR="00EC7EDF" w:rsidRPr="00FD211F">
        <w:rPr>
          <w:sz w:val="36"/>
          <w:szCs w:val="36"/>
          <w:rtl/>
        </w:rPr>
        <w:t xml:space="preserve">ة </w:t>
      </w:r>
      <w:r w:rsidR="005960DF" w:rsidRPr="00FD211F">
        <w:rPr>
          <w:sz w:val="36"/>
          <w:szCs w:val="36"/>
          <w:rtl/>
        </w:rPr>
        <w:t>والكبير</w:t>
      </w:r>
      <w:r w:rsidR="00EC7EDF" w:rsidRPr="00FD211F">
        <w:rPr>
          <w:sz w:val="36"/>
          <w:szCs w:val="36"/>
          <w:rtl/>
        </w:rPr>
        <w:t xml:space="preserve">ة </w:t>
      </w:r>
      <w:r w:rsidR="005960DF" w:rsidRPr="00FD211F">
        <w:rPr>
          <w:sz w:val="36"/>
          <w:szCs w:val="36"/>
          <w:rtl/>
        </w:rPr>
        <w:t>الأولى عليه</w:t>
      </w:r>
      <w:r w:rsidR="00603323" w:rsidRPr="00FD211F">
        <w:rPr>
          <w:sz w:val="36"/>
          <w:szCs w:val="36"/>
          <w:rtl/>
        </w:rPr>
        <w:t xml:space="preserve">، </w:t>
      </w:r>
      <w:r w:rsidR="005960DF" w:rsidRPr="00FD211F">
        <w:rPr>
          <w:sz w:val="36"/>
          <w:szCs w:val="36"/>
          <w:rtl/>
        </w:rPr>
        <w:t>ولكن</w:t>
      </w:r>
      <w:r w:rsidR="00BC674A" w:rsidRPr="00FD211F">
        <w:rPr>
          <w:sz w:val="36"/>
          <w:szCs w:val="36"/>
          <w:rtl/>
        </w:rPr>
        <w:t xml:space="preserve"> في تحريم المرضع</w:t>
      </w:r>
      <w:r w:rsidR="00EC7EDF" w:rsidRPr="00FD211F">
        <w:rPr>
          <w:sz w:val="36"/>
          <w:szCs w:val="36"/>
          <w:rtl/>
        </w:rPr>
        <w:t xml:space="preserve">ة </w:t>
      </w:r>
      <w:r w:rsidR="00BC674A" w:rsidRPr="00FD211F">
        <w:rPr>
          <w:sz w:val="36"/>
          <w:szCs w:val="36"/>
          <w:rtl/>
        </w:rPr>
        <w:t>الأخير</w:t>
      </w:r>
      <w:r w:rsidR="00EC7EDF" w:rsidRPr="00FD211F">
        <w:rPr>
          <w:sz w:val="36"/>
          <w:szCs w:val="36"/>
          <w:rtl/>
        </w:rPr>
        <w:t xml:space="preserve">ة </w:t>
      </w:r>
      <w:r w:rsidR="00BC674A" w:rsidRPr="00FD211F">
        <w:rPr>
          <w:sz w:val="36"/>
          <w:szCs w:val="36"/>
          <w:rtl/>
        </w:rPr>
        <w:t>خلاف</w:t>
      </w:r>
      <w:r w:rsidR="00603323" w:rsidRPr="00FD211F">
        <w:rPr>
          <w:sz w:val="36"/>
          <w:szCs w:val="36"/>
          <w:rtl/>
        </w:rPr>
        <w:t xml:space="preserve">، </w:t>
      </w:r>
      <w:r w:rsidR="00BC674A" w:rsidRPr="00FD211F">
        <w:rPr>
          <w:sz w:val="36"/>
          <w:szCs w:val="36"/>
          <w:rtl/>
        </w:rPr>
        <w:t xml:space="preserve">واختار والدي </w:t>
      </w:r>
      <w:r w:rsidR="005960DF" w:rsidRPr="00FD211F">
        <w:rPr>
          <w:sz w:val="36"/>
          <w:szCs w:val="36"/>
          <w:rtl/>
        </w:rPr>
        <w:t>وصاحب السرائر</w:t>
      </w:r>
      <w:r w:rsidR="00BC674A" w:rsidRPr="00FD211F">
        <w:rPr>
          <w:sz w:val="36"/>
          <w:szCs w:val="36"/>
          <w:rtl/>
        </w:rPr>
        <w:t xml:space="preserve"> تحريمها </w:t>
      </w:r>
      <w:r w:rsidR="005960DF" w:rsidRPr="00FD211F">
        <w:rPr>
          <w:sz w:val="36"/>
          <w:szCs w:val="36"/>
          <w:rtl/>
        </w:rPr>
        <w:t>حيث</w:t>
      </w:r>
      <w:r w:rsidR="00BC674A" w:rsidRPr="00FD211F">
        <w:rPr>
          <w:sz w:val="36"/>
          <w:szCs w:val="36"/>
          <w:rtl/>
        </w:rPr>
        <w:t xml:space="preserve"> يصدق عليها انه</w:t>
      </w:r>
      <w:r w:rsidR="005960DF" w:rsidRPr="00FD211F">
        <w:rPr>
          <w:sz w:val="36"/>
          <w:szCs w:val="36"/>
          <w:rtl/>
        </w:rPr>
        <w:t>ا</w:t>
      </w:r>
      <w:r w:rsidR="00BC674A" w:rsidRPr="00FD211F">
        <w:rPr>
          <w:sz w:val="36"/>
          <w:szCs w:val="36"/>
          <w:rtl/>
        </w:rPr>
        <w:t xml:space="preserve"> ام زوجته</w:t>
      </w:r>
      <w:r w:rsidR="00603323" w:rsidRPr="00FD211F">
        <w:rPr>
          <w:sz w:val="36"/>
          <w:szCs w:val="36"/>
          <w:rtl/>
        </w:rPr>
        <w:t xml:space="preserve">، </w:t>
      </w:r>
      <w:r w:rsidR="00BC674A" w:rsidRPr="00FD211F">
        <w:rPr>
          <w:sz w:val="36"/>
          <w:szCs w:val="36"/>
          <w:rtl/>
        </w:rPr>
        <w:t xml:space="preserve">لانه لايشترط في صدق المشتق </w:t>
      </w:r>
      <w:r w:rsidR="005960DF" w:rsidRPr="00FD211F">
        <w:rPr>
          <w:sz w:val="36"/>
          <w:szCs w:val="36"/>
          <w:rtl/>
        </w:rPr>
        <w:t>بقاء</w:t>
      </w:r>
      <w:r w:rsidR="00BC674A" w:rsidRPr="00FD211F">
        <w:rPr>
          <w:sz w:val="36"/>
          <w:szCs w:val="36"/>
          <w:rtl/>
        </w:rPr>
        <w:t xml:space="preserve"> المعنى المشتق منه فكذا هنا</w:t>
      </w:r>
      <w:r w:rsidR="009C58C8" w:rsidRPr="00FD211F">
        <w:rPr>
          <w:rStyle w:val="a6"/>
          <w:sz w:val="36"/>
          <w:szCs w:val="36"/>
          <w:rtl/>
        </w:rPr>
        <w:t>(</w:t>
      </w:r>
      <w:r w:rsidR="009C58C8" w:rsidRPr="00FD211F">
        <w:rPr>
          <w:rStyle w:val="a6"/>
          <w:sz w:val="36"/>
          <w:szCs w:val="36"/>
          <w:rtl/>
        </w:rPr>
        <w:footnoteReference w:id="483"/>
      </w:r>
      <w:r w:rsidR="009C58C8" w:rsidRPr="00FD211F">
        <w:rPr>
          <w:rStyle w:val="a6"/>
          <w:sz w:val="36"/>
          <w:szCs w:val="36"/>
          <w:rtl/>
        </w:rPr>
        <w:t>)</w:t>
      </w:r>
      <w:r w:rsidR="004879D4" w:rsidRPr="00FD211F">
        <w:rPr>
          <w:sz w:val="36"/>
          <w:szCs w:val="36"/>
          <w:rtl/>
        </w:rPr>
        <w:t>.</w:t>
      </w:r>
    </w:p>
    <w:p w14:paraId="386A9446" w14:textId="77777777" w:rsidR="00BC674A" w:rsidRPr="00FD211F" w:rsidRDefault="005960DF" w:rsidP="009C58C8">
      <w:pPr>
        <w:ind w:left="0" w:firstLine="227"/>
        <w:jc w:val="both"/>
        <w:rPr>
          <w:sz w:val="36"/>
          <w:szCs w:val="36"/>
          <w:rtl/>
        </w:rPr>
      </w:pPr>
      <w:r w:rsidRPr="00FD211F">
        <w:rPr>
          <w:sz w:val="36"/>
          <w:szCs w:val="36"/>
          <w:rtl/>
        </w:rPr>
        <w:t>وكذا ذكر الشهيد الثاني</w:t>
      </w:r>
      <w:r w:rsidR="00035A25" w:rsidRPr="00FD211F">
        <w:rPr>
          <w:sz w:val="36"/>
          <w:szCs w:val="36"/>
          <w:rtl/>
        </w:rPr>
        <w:t>"</w:t>
      </w:r>
      <w:r w:rsidRPr="00FD211F">
        <w:rPr>
          <w:sz w:val="36"/>
          <w:szCs w:val="36"/>
          <w:rtl/>
        </w:rPr>
        <w:t xml:space="preserve"> ره</w:t>
      </w:r>
      <w:r w:rsidR="00035A25" w:rsidRPr="00FD211F">
        <w:rPr>
          <w:sz w:val="36"/>
          <w:szCs w:val="36"/>
          <w:rtl/>
        </w:rPr>
        <w:t>"</w:t>
      </w:r>
      <w:r w:rsidR="00B00C16" w:rsidRPr="00FD211F">
        <w:rPr>
          <w:sz w:val="36"/>
          <w:szCs w:val="36"/>
          <w:rtl/>
        </w:rPr>
        <w:t xml:space="preserve"> في المسالك أنه </w:t>
      </w:r>
      <w:r w:rsidR="005619CD" w:rsidRPr="00FD211F">
        <w:rPr>
          <w:sz w:val="36"/>
          <w:szCs w:val="36"/>
          <w:rtl/>
        </w:rPr>
        <w:t>ذهب أكثر المتأخّرين</w:t>
      </w:r>
      <w:r w:rsidR="004879D4" w:rsidRPr="00FD211F">
        <w:rPr>
          <w:sz w:val="36"/>
          <w:szCs w:val="36"/>
          <w:rtl/>
        </w:rPr>
        <w:t xml:space="preserve"> وابن ادريس في السرائر والحلي في مختصر النافع</w:t>
      </w:r>
      <w:r w:rsidR="00B253CE" w:rsidRPr="00FD211F">
        <w:rPr>
          <w:sz w:val="36"/>
          <w:szCs w:val="36"/>
          <w:rtl/>
        </w:rPr>
        <w:t xml:space="preserve"> </w:t>
      </w:r>
      <w:r w:rsidR="009703CB" w:rsidRPr="00FD211F">
        <w:rPr>
          <w:sz w:val="36"/>
          <w:szCs w:val="36"/>
          <w:rtl/>
        </w:rPr>
        <w:t>إلى تحريم</w:t>
      </w:r>
      <w:r w:rsidR="005619CD" w:rsidRPr="00FD211F">
        <w:rPr>
          <w:sz w:val="36"/>
          <w:szCs w:val="36"/>
          <w:rtl/>
        </w:rPr>
        <w:t xml:space="preserve"> الكبير</w:t>
      </w:r>
      <w:r w:rsidR="00EC7EDF" w:rsidRPr="00FD211F">
        <w:rPr>
          <w:sz w:val="36"/>
          <w:szCs w:val="36"/>
          <w:rtl/>
        </w:rPr>
        <w:t xml:space="preserve">ة </w:t>
      </w:r>
      <w:r w:rsidR="005619CD" w:rsidRPr="00FD211F">
        <w:rPr>
          <w:sz w:val="36"/>
          <w:szCs w:val="36"/>
          <w:rtl/>
        </w:rPr>
        <w:t>الثاني</w:t>
      </w:r>
      <w:r w:rsidR="00EC7EDF" w:rsidRPr="00FD211F">
        <w:rPr>
          <w:sz w:val="36"/>
          <w:szCs w:val="36"/>
          <w:rtl/>
        </w:rPr>
        <w:t xml:space="preserve">ة </w:t>
      </w:r>
      <w:r w:rsidR="009703CB" w:rsidRPr="00FD211F">
        <w:rPr>
          <w:sz w:val="36"/>
          <w:szCs w:val="36"/>
          <w:rtl/>
        </w:rPr>
        <w:t>أيضا</w:t>
      </w:r>
      <w:r w:rsidR="00603323" w:rsidRPr="00FD211F">
        <w:rPr>
          <w:sz w:val="36"/>
          <w:szCs w:val="36"/>
          <w:rtl/>
        </w:rPr>
        <w:t xml:space="preserve">، </w:t>
      </w:r>
      <w:r w:rsidR="009703CB" w:rsidRPr="00FD211F">
        <w:rPr>
          <w:sz w:val="36"/>
          <w:szCs w:val="36"/>
          <w:rtl/>
        </w:rPr>
        <w:t>لأنّ هذه يصدق عليها أنّها أمّ زوجته</w:t>
      </w:r>
      <w:r w:rsidR="00EC7EDF" w:rsidRPr="00FD211F">
        <w:rPr>
          <w:sz w:val="36"/>
          <w:szCs w:val="36"/>
          <w:rtl/>
        </w:rPr>
        <w:t xml:space="preserve"> و</w:t>
      </w:r>
      <w:r w:rsidR="009703CB" w:rsidRPr="00FD211F">
        <w:rPr>
          <w:sz w:val="36"/>
          <w:szCs w:val="36"/>
          <w:rtl/>
        </w:rPr>
        <w:t>إن كان عقدها قد انفسخ</w:t>
      </w:r>
      <w:r w:rsidR="00603323" w:rsidRPr="00FD211F">
        <w:rPr>
          <w:sz w:val="36"/>
          <w:szCs w:val="36"/>
          <w:rtl/>
        </w:rPr>
        <w:t xml:space="preserve">، </w:t>
      </w:r>
      <w:r w:rsidR="009703CB" w:rsidRPr="00FD211F">
        <w:rPr>
          <w:sz w:val="36"/>
          <w:szCs w:val="36"/>
          <w:rtl/>
        </w:rPr>
        <w:t>لأنّ الأصحّ أنّه لا يشترط في صدق المشتقّ بقاء المعنى</w:t>
      </w:r>
      <w:r w:rsidR="00603323" w:rsidRPr="00FD211F">
        <w:rPr>
          <w:sz w:val="36"/>
          <w:szCs w:val="36"/>
          <w:rtl/>
        </w:rPr>
        <w:t xml:space="preserve">، </w:t>
      </w:r>
      <w:r w:rsidR="009703CB" w:rsidRPr="00FD211F">
        <w:rPr>
          <w:sz w:val="36"/>
          <w:szCs w:val="36"/>
          <w:rtl/>
        </w:rPr>
        <w:t>فتدخل تحت قوله تعالى</w:t>
      </w:r>
      <w:r w:rsidR="00EC7EDF" w:rsidRPr="00FD211F">
        <w:rPr>
          <w:sz w:val="36"/>
          <w:szCs w:val="36"/>
          <w:rtl/>
        </w:rPr>
        <w:t xml:space="preserve"> و</w:t>
      </w:r>
      <w:r w:rsidR="00901F26" w:rsidRPr="00FD211F">
        <w:rPr>
          <w:sz w:val="36"/>
          <w:szCs w:val="36"/>
          <w:rtl/>
        </w:rPr>
        <w:t>أمّهات نسائك</w:t>
      </w:r>
      <w:r w:rsidR="009703CB" w:rsidRPr="00FD211F">
        <w:rPr>
          <w:sz w:val="36"/>
          <w:szCs w:val="36"/>
          <w:rtl/>
        </w:rPr>
        <w:t>م</w:t>
      </w:r>
      <w:r w:rsidR="009C58C8" w:rsidRPr="00FD211F">
        <w:rPr>
          <w:rStyle w:val="a6"/>
          <w:sz w:val="36"/>
          <w:szCs w:val="36"/>
          <w:rtl/>
        </w:rPr>
        <w:t>(</w:t>
      </w:r>
      <w:r w:rsidR="009C58C8" w:rsidRPr="00FD211F">
        <w:rPr>
          <w:rStyle w:val="a6"/>
          <w:sz w:val="36"/>
          <w:szCs w:val="36"/>
          <w:rtl/>
        </w:rPr>
        <w:footnoteReference w:id="484"/>
      </w:r>
      <w:r w:rsidR="009C58C8" w:rsidRPr="00FD211F">
        <w:rPr>
          <w:rStyle w:val="a6"/>
          <w:sz w:val="36"/>
          <w:szCs w:val="36"/>
          <w:rtl/>
        </w:rPr>
        <w:t>)</w:t>
      </w:r>
      <w:r w:rsidR="00BC674A" w:rsidRPr="00FD211F">
        <w:rPr>
          <w:sz w:val="36"/>
          <w:szCs w:val="36"/>
          <w:rtl/>
        </w:rPr>
        <w:t>.</w:t>
      </w:r>
    </w:p>
    <w:p w14:paraId="6BC712F3" w14:textId="77777777" w:rsidR="006E0951" w:rsidRPr="00FD211F" w:rsidRDefault="006F09EA" w:rsidP="009C58C8">
      <w:pPr>
        <w:ind w:left="0" w:firstLine="227"/>
        <w:jc w:val="both"/>
        <w:rPr>
          <w:sz w:val="36"/>
          <w:szCs w:val="36"/>
          <w:rtl/>
        </w:rPr>
      </w:pPr>
      <w:r w:rsidRPr="00FD211F">
        <w:rPr>
          <w:sz w:val="36"/>
          <w:szCs w:val="36"/>
          <w:rtl/>
        </w:rPr>
        <w:t xml:space="preserve">ولابأس في المقام بتحقيق </w:t>
      </w:r>
      <w:r w:rsidR="00BC674A" w:rsidRPr="00FD211F">
        <w:rPr>
          <w:sz w:val="36"/>
          <w:szCs w:val="36"/>
          <w:rtl/>
        </w:rPr>
        <w:t>حال المسأل</w:t>
      </w:r>
      <w:r w:rsidR="00EC7EDF" w:rsidRPr="00FD211F">
        <w:rPr>
          <w:sz w:val="36"/>
          <w:szCs w:val="36"/>
          <w:rtl/>
        </w:rPr>
        <w:t xml:space="preserve">ة </w:t>
      </w:r>
      <w:r w:rsidR="00BC674A" w:rsidRPr="00FD211F">
        <w:rPr>
          <w:sz w:val="36"/>
          <w:szCs w:val="36"/>
          <w:rtl/>
        </w:rPr>
        <w:t>المذكور</w:t>
      </w:r>
      <w:r w:rsidR="00EC7EDF" w:rsidRPr="00FD211F">
        <w:rPr>
          <w:sz w:val="36"/>
          <w:szCs w:val="36"/>
          <w:rtl/>
        </w:rPr>
        <w:t>ة</w:t>
      </w:r>
      <w:r w:rsidR="00603323" w:rsidRPr="00FD211F">
        <w:rPr>
          <w:sz w:val="36"/>
          <w:szCs w:val="36"/>
          <w:rtl/>
        </w:rPr>
        <w:t xml:space="preserve">، </w:t>
      </w:r>
      <w:r w:rsidR="00BC674A" w:rsidRPr="00FD211F">
        <w:rPr>
          <w:sz w:val="36"/>
          <w:szCs w:val="36"/>
          <w:rtl/>
        </w:rPr>
        <w:t>فنقول تار</w:t>
      </w:r>
      <w:r w:rsidR="00EC7EDF" w:rsidRPr="00FD211F">
        <w:rPr>
          <w:sz w:val="36"/>
          <w:szCs w:val="36"/>
          <w:rtl/>
        </w:rPr>
        <w:t xml:space="preserve">ة </w:t>
      </w:r>
      <w:r w:rsidR="00BC674A" w:rsidRPr="00FD211F">
        <w:rPr>
          <w:sz w:val="36"/>
          <w:szCs w:val="36"/>
          <w:rtl/>
        </w:rPr>
        <w:t>يقع البحث عنها على ضوء القواعد العام</w:t>
      </w:r>
      <w:r w:rsidR="00EC7EDF" w:rsidRPr="00FD211F">
        <w:rPr>
          <w:sz w:val="36"/>
          <w:szCs w:val="36"/>
          <w:rtl/>
        </w:rPr>
        <w:t xml:space="preserve">ة </w:t>
      </w:r>
      <w:r w:rsidR="00BC674A" w:rsidRPr="00FD211F">
        <w:rPr>
          <w:sz w:val="36"/>
          <w:szCs w:val="36"/>
          <w:rtl/>
        </w:rPr>
        <w:t>واخرى على ضوء النصوص الخاص</w:t>
      </w:r>
      <w:r w:rsidR="00EC7EDF" w:rsidRPr="00FD211F">
        <w:rPr>
          <w:sz w:val="36"/>
          <w:szCs w:val="36"/>
          <w:rtl/>
        </w:rPr>
        <w:t>ة</w:t>
      </w:r>
      <w:r w:rsidR="00A61BAE" w:rsidRPr="00FD211F">
        <w:rPr>
          <w:sz w:val="36"/>
          <w:szCs w:val="36"/>
          <w:rtl/>
        </w:rPr>
        <w:t>.</w:t>
      </w:r>
    </w:p>
    <w:p w14:paraId="4F2EE618" w14:textId="77777777" w:rsidR="00E555E7" w:rsidRPr="00FD211F" w:rsidRDefault="00BC674A" w:rsidP="009C58C8">
      <w:pPr>
        <w:ind w:left="0" w:firstLine="227"/>
        <w:jc w:val="both"/>
        <w:rPr>
          <w:sz w:val="36"/>
          <w:szCs w:val="36"/>
          <w:rtl/>
        </w:rPr>
      </w:pPr>
      <w:r w:rsidRPr="00FD211F">
        <w:rPr>
          <w:sz w:val="36"/>
          <w:szCs w:val="36"/>
          <w:rtl/>
        </w:rPr>
        <w:t>اما</w:t>
      </w:r>
      <w:r w:rsidR="006F09EA" w:rsidRPr="00FD211F">
        <w:rPr>
          <w:sz w:val="36"/>
          <w:szCs w:val="36"/>
          <w:rtl/>
        </w:rPr>
        <w:t xml:space="preserve"> البحث </w:t>
      </w:r>
      <w:r w:rsidR="006E0951" w:rsidRPr="00FD211F">
        <w:rPr>
          <w:sz w:val="36"/>
          <w:szCs w:val="36"/>
          <w:rtl/>
        </w:rPr>
        <w:t>على</w:t>
      </w:r>
      <w:r w:rsidR="006F09EA" w:rsidRPr="00FD211F">
        <w:rPr>
          <w:sz w:val="36"/>
          <w:szCs w:val="36"/>
          <w:rtl/>
        </w:rPr>
        <w:t xml:space="preserve"> ضوء القواعد العام</w:t>
      </w:r>
      <w:r w:rsidR="00EC7EDF" w:rsidRPr="00FD211F">
        <w:rPr>
          <w:sz w:val="36"/>
          <w:szCs w:val="36"/>
          <w:rtl/>
        </w:rPr>
        <w:t xml:space="preserve">ة </w:t>
      </w:r>
      <w:r w:rsidRPr="00FD211F">
        <w:rPr>
          <w:sz w:val="36"/>
          <w:szCs w:val="36"/>
          <w:rtl/>
        </w:rPr>
        <w:t xml:space="preserve">فالظاهر </w:t>
      </w:r>
      <w:r w:rsidR="006F09EA" w:rsidRPr="00FD211F">
        <w:rPr>
          <w:sz w:val="36"/>
          <w:szCs w:val="36"/>
          <w:rtl/>
        </w:rPr>
        <w:t xml:space="preserve">ان مقتضاها هو </w:t>
      </w:r>
      <w:r w:rsidRPr="00FD211F">
        <w:rPr>
          <w:sz w:val="36"/>
          <w:szCs w:val="36"/>
          <w:rtl/>
        </w:rPr>
        <w:t>التفصيل</w:t>
      </w:r>
      <w:r w:rsidR="00E4781C" w:rsidRPr="00FD211F">
        <w:rPr>
          <w:sz w:val="36"/>
          <w:szCs w:val="36"/>
          <w:rtl/>
        </w:rPr>
        <w:t xml:space="preserve"> </w:t>
      </w:r>
      <w:r w:rsidR="00E555E7" w:rsidRPr="00FD211F">
        <w:rPr>
          <w:sz w:val="36"/>
          <w:szCs w:val="36"/>
          <w:rtl/>
        </w:rPr>
        <w:t xml:space="preserve">حيث </w:t>
      </w:r>
      <w:r w:rsidR="00E4781C" w:rsidRPr="00FD211F">
        <w:rPr>
          <w:sz w:val="36"/>
          <w:szCs w:val="36"/>
          <w:rtl/>
        </w:rPr>
        <w:t>أن للمسأل</w:t>
      </w:r>
      <w:r w:rsidR="00EC7EDF" w:rsidRPr="00FD211F">
        <w:rPr>
          <w:sz w:val="36"/>
          <w:szCs w:val="36"/>
          <w:rtl/>
        </w:rPr>
        <w:t xml:space="preserve">ة </w:t>
      </w:r>
      <w:r w:rsidR="00E4781C" w:rsidRPr="00FD211F">
        <w:rPr>
          <w:sz w:val="36"/>
          <w:szCs w:val="36"/>
          <w:rtl/>
        </w:rPr>
        <w:t>صوراً</w:t>
      </w:r>
      <w:r w:rsidR="00E555E7" w:rsidRPr="00FD211F">
        <w:rPr>
          <w:sz w:val="36"/>
          <w:szCs w:val="36"/>
          <w:rtl/>
        </w:rPr>
        <w:t>.</w:t>
      </w:r>
    </w:p>
    <w:p w14:paraId="553DFD43" w14:textId="77777777" w:rsidR="006E0BC4" w:rsidRPr="00FD211F" w:rsidRDefault="00E4781C" w:rsidP="00DD2AAE">
      <w:pPr>
        <w:ind w:left="0" w:firstLine="227"/>
        <w:jc w:val="both"/>
        <w:rPr>
          <w:sz w:val="36"/>
          <w:szCs w:val="36"/>
          <w:rtl/>
        </w:rPr>
      </w:pPr>
      <w:r w:rsidRPr="00FD211F">
        <w:rPr>
          <w:b/>
          <w:bCs/>
          <w:sz w:val="36"/>
          <w:szCs w:val="36"/>
          <w:rtl/>
        </w:rPr>
        <w:t>الصور</w:t>
      </w:r>
      <w:r w:rsidR="00EC7EDF" w:rsidRPr="00FD211F">
        <w:rPr>
          <w:b/>
          <w:bCs/>
          <w:sz w:val="36"/>
          <w:szCs w:val="36"/>
          <w:rtl/>
        </w:rPr>
        <w:t xml:space="preserve">ة </w:t>
      </w:r>
      <w:r w:rsidRPr="00FD211F">
        <w:rPr>
          <w:b/>
          <w:bCs/>
          <w:sz w:val="36"/>
          <w:szCs w:val="36"/>
          <w:rtl/>
        </w:rPr>
        <w:t>الاولى</w:t>
      </w:r>
      <w:r w:rsidR="00EC7EDF" w:rsidRPr="00FD211F">
        <w:rPr>
          <w:sz w:val="36"/>
          <w:szCs w:val="36"/>
          <w:rtl/>
        </w:rPr>
        <w:t>:</w:t>
      </w:r>
      <w:r w:rsidRPr="00FD211F">
        <w:rPr>
          <w:sz w:val="36"/>
          <w:szCs w:val="36"/>
          <w:rtl/>
        </w:rPr>
        <w:t xml:space="preserve"> ان تكون</w:t>
      </w:r>
      <w:r w:rsidR="00BC674A" w:rsidRPr="00FD211F">
        <w:rPr>
          <w:sz w:val="36"/>
          <w:szCs w:val="36"/>
          <w:rtl/>
        </w:rPr>
        <w:t xml:space="preserve"> الزوج</w:t>
      </w:r>
      <w:r w:rsidR="00EC7EDF" w:rsidRPr="00FD211F">
        <w:rPr>
          <w:sz w:val="36"/>
          <w:szCs w:val="36"/>
          <w:rtl/>
        </w:rPr>
        <w:t xml:space="preserve">ة </w:t>
      </w:r>
      <w:r w:rsidR="00BC674A" w:rsidRPr="00FD211F">
        <w:rPr>
          <w:sz w:val="36"/>
          <w:szCs w:val="36"/>
          <w:rtl/>
        </w:rPr>
        <w:t>الكبير</w:t>
      </w:r>
      <w:r w:rsidR="00EC7EDF" w:rsidRPr="00FD211F">
        <w:rPr>
          <w:sz w:val="36"/>
          <w:szCs w:val="36"/>
          <w:rtl/>
        </w:rPr>
        <w:t xml:space="preserve">ة </w:t>
      </w:r>
      <w:r w:rsidR="00BC674A" w:rsidRPr="00FD211F">
        <w:rPr>
          <w:sz w:val="36"/>
          <w:szCs w:val="36"/>
          <w:rtl/>
        </w:rPr>
        <w:t>الاولى مدخولا بها فحينما تصير الصغير</w:t>
      </w:r>
      <w:r w:rsidR="00EC7EDF" w:rsidRPr="00FD211F">
        <w:rPr>
          <w:sz w:val="36"/>
          <w:szCs w:val="36"/>
          <w:rtl/>
        </w:rPr>
        <w:t xml:space="preserve">ة </w:t>
      </w:r>
      <w:r w:rsidR="00BC674A" w:rsidRPr="00FD211F">
        <w:rPr>
          <w:sz w:val="36"/>
          <w:szCs w:val="36"/>
          <w:rtl/>
        </w:rPr>
        <w:t>بنتا رضاعي</w:t>
      </w:r>
      <w:r w:rsidR="00DD2AAE" w:rsidRPr="00FD211F">
        <w:rPr>
          <w:sz w:val="36"/>
          <w:szCs w:val="36"/>
          <w:rtl/>
        </w:rPr>
        <w:t>ة</w:t>
      </w:r>
      <w:r w:rsidR="00BC674A" w:rsidRPr="00FD211F">
        <w:rPr>
          <w:sz w:val="36"/>
          <w:szCs w:val="36"/>
          <w:rtl/>
        </w:rPr>
        <w:t xml:space="preserve"> لها فيحكم بحرم</w:t>
      </w:r>
      <w:r w:rsidR="00EC7EDF" w:rsidRPr="00FD211F">
        <w:rPr>
          <w:sz w:val="36"/>
          <w:szCs w:val="36"/>
          <w:rtl/>
        </w:rPr>
        <w:t xml:space="preserve">ة </w:t>
      </w:r>
      <w:r w:rsidR="006E0BC4" w:rsidRPr="00FD211F">
        <w:rPr>
          <w:sz w:val="36"/>
          <w:szCs w:val="36"/>
          <w:rtl/>
        </w:rPr>
        <w:t>هذه الصغير</w:t>
      </w:r>
      <w:r w:rsidR="00EC7EDF" w:rsidRPr="00FD211F">
        <w:rPr>
          <w:sz w:val="36"/>
          <w:szCs w:val="36"/>
          <w:rtl/>
        </w:rPr>
        <w:t xml:space="preserve">ة </w:t>
      </w:r>
      <w:r w:rsidR="00BC674A" w:rsidRPr="00FD211F">
        <w:rPr>
          <w:sz w:val="36"/>
          <w:szCs w:val="36"/>
          <w:rtl/>
        </w:rPr>
        <w:t>على الرجل</w:t>
      </w:r>
      <w:r w:rsidR="00603323" w:rsidRPr="00FD211F">
        <w:rPr>
          <w:sz w:val="36"/>
          <w:szCs w:val="36"/>
          <w:rtl/>
        </w:rPr>
        <w:t xml:space="preserve">، </w:t>
      </w:r>
      <w:r w:rsidR="00BC674A" w:rsidRPr="00FD211F">
        <w:rPr>
          <w:sz w:val="36"/>
          <w:szCs w:val="36"/>
          <w:rtl/>
        </w:rPr>
        <w:t>لانها لاتقل</w:t>
      </w:r>
      <w:r w:rsidR="00901F26" w:rsidRPr="00FD211F">
        <w:rPr>
          <w:sz w:val="36"/>
          <w:szCs w:val="36"/>
          <w:rtl/>
        </w:rPr>
        <w:t>ُّ</w:t>
      </w:r>
      <w:r w:rsidR="00BC674A" w:rsidRPr="00FD211F">
        <w:rPr>
          <w:sz w:val="36"/>
          <w:szCs w:val="36"/>
          <w:rtl/>
        </w:rPr>
        <w:t xml:space="preserve"> عما لو</w:t>
      </w:r>
      <w:r w:rsidR="00901F26" w:rsidRPr="00FD211F">
        <w:rPr>
          <w:sz w:val="36"/>
          <w:szCs w:val="36"/>
          <w:rtl/>
        </w:rPr>
        <w:t>طلق رجل زوجته فتزوجت</w:t>
      </w:r>
      <w:r w:rsidR="00EC7EDF" w:rsidRPr="00FD211F">
        <w:rPr>
          <w:sz w:val="36"/>
          <w:szCs w:val="36"/>
          <w:rtl/>
        </w:rPr>
        <w:t xml:space="preserve"> </w:t>
      </w:r>
      <w:r w:rsidR="00BC674A" w:rsidRPr="00FD211F">
        <w:rPr>
          <w:sz w:val="36"/>
          <w:szCs w:val="36"/>
          <w:rtl/>
        </w:rPr>
        <w:t>من رجل آخر ف</w:t>
      </w:r>
      <w:r w:rsidR="00406AAF" w:rsidRPr="00FD211F">
        <w:rPr>
          <w:sz w:val="36"/>
          <w:szCs w:val="36"/>
          <w:rtl/>
        </w:rPr>
        <w:t>أرضعت من لبنه صبي</w:t>
      </w:r>
      <w:r w:rsidR="00EC7EDF" w:rsidRPr="00FD211F">
        <w:rPr>
          <w:sz w:val="36"/>
          <w:szCs w:val="36"/>
          <w:rtl/>
        </w:rPr>
        <w:t xml:space="preserve">ة </w:t>
      </w:r>
      <w:r w:rsidR="00406AAF" w:rsidRPr="00FD211F">
        <w:rPr>
          <w:sz w:val="36"/>
          <w:szCs w:val="36"/>
          <w:rtl/>
        </w:rPr>
        <w:t>فان هذه الصبي</w:t>
      </w:r>
      <w:r w:rsidR="00EC7EDF" w:rsidRPr="00FD211F">
        <w:rPr>
          <w:sz w:val="36"/>
          <w:szCs w:val="36"/>
          <w:rtl/>
        </w:rPr>
        <w:t xml:space="preserve">ة </w:t>
      </w:r>
      <w:r w:rsidR="00406AAF" w:rsidRPr="00FD211F">
        <w:rPr>
          <w:sz w:val="36"/>
          <w:szCs w:val="36"/>
          <w:rtl/>
        </w:rPr>
        <w:t>تحرم علي الز</w:t>
      </w:r>
      <w:r w:rsidR="00BC674A" w:rsidRPr="00FD211F">
        <w:rPr>
          <w:sz w:val="36"/>
          <w:szCs w:val="36"/>
          <w:rtl/>
        </w:rPr>
        <w:t>و</w:t>
      </w:r>
      <w:r w:rsidR="00406AAF" w:rsidRPr="00FD211F">
        <w:rPr>
          <w:sz w:val="36"/>
          <w:szCs w:val="36"/>
          <w:rtl/>
        </w:rPr>
        <w:t xml:space="preserve">ج السابق </w:t>
      </w:r>
      <w:r w:rsidR="00E555E7" w:rsidRPr="00FD211F">
        <w:rPr>
          <w:sz w:val="36"/>
          <w:szCs w:val="36"/>
          <w:rtl/>
        </w:rPr>
        <w:t>ايضا</w:t>
      </w:r>
      <w:r w:rsidR="00901F26" w:rsidRPr="00FD211F">
        <w:rPr>
          <w:sz w:val="36"/>
          <w:szCs w:val="36"/>
          <w:rtl/>
        </w:rPr>
        <w:t xml:space="preserve"> </w:t>
      </w:r>
      <w:r w:rsidR="00E555E7" w:rsidRPr="00FD211F">
        <w:rPr>
          <w:sz w:val="36"/>
          <w:szCs w:val="36"/>
          <w:rtl/>
        </w:rPr>
        <w:t>حيث أن</w:t>
      </w:r>
      <w:r w:rsidR="00035A25" w:rsidRPr="00FD211F">
        <w:rPr>
          <w:sz w:val="36"/>
          <w:szCs w:val="36"/>
          <w:rtl/>
        </w:rPr>
        <w:t>ها</w:t>
      </w:r>
      <w:r w:rsidR="00B253CE" w:rsidRPr="00FD211F">
        <w:rPr>
          <w:sz w:val="36"/>
          <w:szCs w:val="36"/>
          <w:rtl/>
        </w:rPr>
        <w:t xml:space="preserve"> </w:t>
      </w:r>
      <w:r w:rsidR="00E555E7" w:rsidRPr="00FD211F">
        <w:rPr>
          <w:sz w:val="36"/>
          <w:szCs w:val="36"/>
          <w:rtl/>
        </w:rPr>
        <w:t>-</w:t>
      </w:r>
      <w:r w:rsidR="00035A25" w:rsidRPr="00FD211F">
        <w:rPr>
          <w:sz w:val="36"/>
          <w:szCs w:val="36"/>
          <w:rtl/>
        </w:rPr>
        <w:t>بمقتضى قوله</w:t>
      </w:r>
      <w:r w:rsidR="00E555E7" w:rsidRPr="00FD211F">
        <w:rPr>
          <w:sz w:val="36"/>
          <w:szCs w:val="36"/>
          <w:rtl/>
        </w:rPr>
        <w:t xml:space="preserve"> </w:t>
      </w:r>
      <w:r w:rsidR="007A4A0D" w:rsidRPr="00FD211F">
        <w:rPr>
          <w:sz w:val="36"/>
          <w:szCs w:val="36"/>
          <w:rtl/>
        </w:rPr>
        <w:t>(صلى‌الله‌عليه‌وآله)</w:t>
      </w:r>
      <w:r w:rsidR="00E555E7" w:rsidRPr="00FD211F">
        <w:rPr>
          <w:sz w:val="36"/>
          <w:szCs w:val="36"/>
          <w:rtl/>
        </w:rPr>
        <w:t xml:space="preserve"> يحرم </w:t>
      </w:r>
      <w:r w:rsidR="003B0FAE" w:rsidRPr="00FD211F">
        <w:rPr>
          <w:sz w:val="36"/>
          <w:szCs w:val="36"/>
          <w:rtl/>
        </w:rPr>
        <w:t xml:space="preserve">من </w:t>
      </w:r>
      <w:r w:rsidR="00E555E7" w:rsidRPr="00FD211F">
        <w:rPr>
          <w:sz w:val="36"/>
          <w:szCs w:val="36"/>
          <w:rtl/>
        </w:rPr>
        <w:t>الرضاع ما</w:t>
      </w:r>
      <w:r w:rsidR="0087722B" w:rsidRPr="00FD211F">
        <w:rPr>
          <w:sz w:val="36"/>
          <w:szCs w:val="36"/>
          <w:rtl/>
        </w:rPr>
        <w:t xml:space="preserve"> </w:t>
      </w:r>
      <w:r w:rsidR="00E555E7" w:rsidRPr="00FD211F">
        <w:rPr>
          <w:sz w:val="36"/>
          <w:szCs w:val="36"/>
          <w:rtl/>
        </w:rPr>
        <w:t xml:space="preserve">يحرم </w:t>
      </w:r>
      <w:r w:rsidR="003B0FAE" w:rsidRPr="00FD211F">
        <w:rPr>
          <w:sz w:val="36"/>
          <w:szCs w:val="36"/>
          <w:rtl/>
        </w:rPr>
        <w:t xml:space="preserve">من </w:t>
      </w:r>
      <w:r w:rsidR="00E555E7" w:rsidRPr="00FD211F">
        <w:rPr>
          <w:sz w:val="36"/>
          <w:szCs w:val="36"/>
          <w:rtl/>
        </w:rPr>
        <w:t>النسب</w:t>
      </w:r>
      <w:r w:rsidR="009C58C8" w:rsidRPr="00FD211F">
        <w:rPr>
          <w:rStyle w:val="a6"/>
          <w:sz w:val="36"/>
          <w:szCs w:val="36"/>
          <w:rtl/>
        </w:rPr>
        <w:t>(</w:t>
      </w:r>
      <w:r w:rsidR="009C58C8" w:rsidRPr="00FD211F">
        <w:rPr>
          <w:rStyle w:val="a6"/>
          <w:sz w:val="36"/>
          <w:szCs w:val="36"/>
          <w:rtl/>
        </w:rPr>
        <w:footnoteReference w:id="485"/>
      </w:r>
      <w:r w:rsidR="009C58C8" w:rsidRPr="00FD211F">
        <w:rPr>
          <w:rStyle w:val="a6"/>
          <w:sz w:val="36"/>
          <w:szCs w:val="36"/>
          <w:rtl/>
        </w:rPr>
        <w:t>)</w:t>
      </w:r>
      <w:r w:rsidR="00E555E7" w:rsidRPr="00FD211F">
        <w:rPr>
          <w:sz w:val="36"/>
          <w:szCs w:val="36"/>
          <w:rtl/>
        </w:rPr>
        <w:t>-</w:t>
      </w:r>
      <w:r w:rsidR="00B253CE" w:rsidRPr="00FD211F">
        <w:rPr>
          <w:sz w:val="36"/>
          <w:szCs w:val="36"/>
          <w:rtl/>
        </w:rPr>
        <w:t xml:space="preserve"> </w:t>
      </w:r>
      <w:r w:rsidR="00035A25" w:rsidRPr="00FD211F">
        <w:rPr>
          <w:sz w:val="36"/>
          <w:szCs w:val="36"/>
          <w:rtl/>
        </w:rPr>
        <w:t>تكون بحكم ما</w:t>
      </w:r>
      <w:r w:rsidR="00B253CE" w:rsidRPr="00FD211F">
        <w:rPr>
          <w:sz w:val="36"/>
          <w:szCs w:val="36"/>
          <w:rtl/>
        </w:rPr>
        <w:t xml:space="preserve"> </w:t>
      </w:r>
      <w:r w:rsidR="00035A25" w:rsidRPr="00FD211F">
        <w:rPr>
          <w:sz w:val="36"/>
          <w:szCs w:val="36"/>
          <w:rtl/>
        </w:rPr>
        <w:t>لو</w:t>
      </w:r>
      <w:r w:rsidR="00B253CE" w:rsidRPr="00FD211F">
        <w:rPr>
          <w:sz w:val="36"/>
          <w:szCs w:val="36"/>
          <w:rtl/>
        </w:rPr>
        <w:t xml:space="preserve"> </w:t>
      </w:r>
      <w:r w:rsidR="00035A25" w:rsidRPr="00FD211F">
        <w:rPr>
          <w:sz w:val="36"/>
          <w:szCs w:val="36"/>
          <w:rtl/>
        </w:rPr>
        <w:t>ولدت</w:t>
      </w:r>
      <w:r w:rsidR="00B253CE" w:rsidRPr="00FD211F">
        <w:rPr>
          <w:sz w:val="36"/>
          <w:szCs w:val="36"/>
          <w:rtl/>
        </w:rPr>
        <w:t xml:space="preserve"> </w:t>
      </w:r>
      <w:r w:rsidR="00406AAF" w:rsidRPr="00FD211F">
        <w:rPr>
          <w:sz w:val="36"/>
          <w:szCs w:val="36"/>
          <w:rtl/>
        </w:rPr>
        <w:t>الزوج</w:t>
      </w:r>
      <w:r w:rsidR="00EC7EDF" w:rsidRPr="00FD211F">
        <w:rPr>
          <w:sz w:val="36"/>
          <w:szCs w:val="36"/>
          <w:rtl/>
        </w:rPr>
        <w:t xml:space="preserve">ة </w:t>
      </w:r>
      <w:r w:rsidR="00406AAF" w:rsidRPr="00FD211F">
        <w:rPr>
          <w:sz w:val="36"/>
          <w:szCs w:val="36"/>
          <w:rtl/>
        </w:rPr>
        <w:t>السابق</w:t>
      </w:r>
      <w:r w:rsidR="00EC7EDF" w:rsidRPr="00FD211F">
        <w:rPr>
          <w:sz w:val="36"/>
          <w:szCs w:val="36"/>
          <w:rtl/>
        </w:rPr>
        <w:t xml:space="preserve">ة </w:t>
      </w:r>
      <w:r w:rsidR="00E555E7" w:rsidRPr="00FD211F">
        <w:rPr>
          <w:sz w:val="36"/>
          <w:szCs w:val="36"/>
          <w:rtl/>
        </w:rPr>
        <w:t>من زوجها</w:t>
      </w:r>
      <w:r w:rsidR="0087722B" w:rsidRPr="00FD211F">
        <w:rPr>
          <w:sz w:val="36"/>
          <w:szCs w:val="36"/>
          <w:rtl/>
        </w:rPr>
        <w:t xml:space="preserve"> </w:t>
      </w:r>
      <w:r w:rsidR="00E555E7" w:rsidRPr="00FD211F">
        <w:rPr>
          <w:sz w:val="36"/>
          <w:szCs w:val="36"/>
          <w:rtl/>
        </w:rPr>
        <w:t>اللاحق</w:t>
      </w:r>
      <w:r w:rsidR="00B253CE" w:rsidRPr="00FD211F">
        <w:rPr>
          <w:sz w:val="36"/>
          <w:szCs w:val="36"/>
          <w:rtl/>
        </w:rPr>
        <w:t xml:space="preserve"> </w:t>
      </w:r>
      <w:r w:rsidR="00BC674A" w:rsidRPr="00FD211F">
        <w:rPr>
          <w:sz w:val="36"/>
          <w:szCs w:val="36"/>
          <w:rtl/>
        </w:rPr>
        <w:t>بنت</w:t>
      </w:r>
      <w:r w:rsidR="00035A25" w:rsidRPr="00FD211F">
        <w:rPr>
          <w:sz w:val="36"/>
          <w:szCs w:val="36"/>
          <w:rtl/>
        </w:rPr>
        <w:t>ا</w:t>
      </w:r>
      <w:r w:rsidR="0087722B" w:rsidRPr="00FD211F">
        <w:rPr>
          <w:sz w:val="36"/>
          <w:szCs w:val="36"/>
          <w:rtl/>
        </w:rPr>
        <w:t xml:space="preserve"> </w:t>
      </w:r>
      <w:r w:rsidR="00E555E7" w:rsidRPr="00FD211F">
        <w:rPr>
          <w:sz w:val="36"/>
          <w:szCs w:val="36"/>
          <w:rtl/>
        </w:rPr>
        <w:t>حيث تحرم هذه البنت على زوجها السابق لما</w:t>
      </w:r>
      <w:r w:rsidR="0087722B" w:rsidRPr="00FD211F">
        <w:rPr>
          <w:sz w:val="36"/>
          <w:szCs w:val="36"/>
          <w:rtl/>
        </w:rPr>
        <w:t xml:space="preserve"> </w:t>
      </w:r>
      <w:r w:rsidR="00406AAF" w:rsidRPr="00FD211F">
        <w:rPr>
          <w:sz w:val="36"/>
          <w:szCs w:val="36"/>
          <w:rtl/>
        </w:rPr>
        <w:t>ورد</w:t>
      </w:r>
      <w:r w:rsidR="006E0BC4" w:rsidRPr="00FD211F">
        <w:rPr>
          <w:sz w:val="36"/>
          <w:szCs w:val="36"/>
          <w:rtl/>
        </w:rPr>
        <w:t xml:space="preserve"> في </w:t>
      </w:r>
      <w:r w:rsidR="00BC674A" w:rsidRPr="00FD211F">
        <w:rPr>
          <w:sz w:val="36"/>
          <w:szCs w:val="36"/>
          <w:rtl/>
        </w:rPr>
        <w:t>صحيح</w:t>
      </w:r>
      <w:r w:rsidR="00EC7EDF" w:rsidRPr="00FD211F">
        <w:rPr>
          <w:sz w:val="36"/>
          <w:szCs w:val="36"/>
          <w:rtl/>
        </w:rPr>
        <w:t xml:space="preserve">ة </w:t>
      </w:r>
      <w:r w:rsidR="00BC674A" w:rsidRPr="00FD211F">
        <w:rPr>
          <w:sz w:val="36"/>
          <w:szCs w:val="36"/>
          <w:rtl/>
        </w:rPr>
        <w:t>محمد بن مسلم</w:t>
      </w:r>
      <w:r w:rsidR="006E0951" w:rsidRPr="00FD211F">
        <w:rPr>
          <w:sz w:val="36"/>
          <w:szCs w:val="36"/>
          <w:rtl/>
        </w:rPr>
        <w:t xml:space="preserve"> أنه</w:t>
      </w:r>
      <w:r w:rsidR="00BC674A" w:rsidRPr="00FD211F">
        <w:rPr>
          <w:sz w:val="36"/>
          <w:szCs w:val="36"/>
          <w:rtl/>
        </w:rPr>
        <w:t xml:space="preserve"> قال سألت احدهما عن رجل كانت له جاري</w:t>
      </w:r>
      <w:r w:rsidR="00EC7EDF" w:rsidRPr="00FD211F">
        <w:rPr>
          <w:sz w:val="36"/>
          <w:szCs w:val="36"/>
          <w:rtl/>
        </w:rPr>
        <w:t xml:space="preserve">ة </w:t>
      </w:r>
      <w:r w:rsidR="00BC674A" w:rsidRPr="00FD211F">
        <w:rPr>
          <w:sz w:val="36"/>
          <w:szCs w:val="36"/>
          <w:rtl/>
        </w:rPr>
        <w:t>فاعتقت فزوجت فولدت ايصلح لمولاها الاول ان يتزوج ابنتها قال لاهي حرام و</w:t>
      </w:r>
      <w:r w:rsidR="00A51997" w:rsidRPr="00FD211F">
        <w:rPr>
          <w:sz w:val="36"/>
          <w:szCs w:val="36"/>
          <w:rtl/>
        </w:rPr>
        <w:t>هي ابنته</w:t>
      </w:r>
      <w:r w:rsidR="00C03338" w:rsidRPr="00FD211F">
        <w:rPr>
          <w:sz w:val="36"/>
          <w:szCs w:val="36"/>
          <w:rtl/>
        </w:rPr>
        <w:t xml:space="preserve"> والحر</w:t>
      </w:r>
      <w:r w:rsidR="00EC7EDF" w:rsidRPr="00FD211F">
        <w:rPr>
          <w:sz w:val="36"/>
          <w:szCs w:val="36"/>
          <w:rtl/>
        </w:rPr>
        <w:t xml:space="preserve">ة </w:t>
      </w:r>
      <w:r w:rsidR="00C03338" w:rsidRPr="00FD211F">
        <w:rPr>
          <w:sz w:val="36"/>
          <w:szCs w:val="36"/>
          <w:rtl/>
        </w:rPr>
        <w:t>والمملوك</w:t>
      </w:r>
      <w:r w:rsidR="00EC7EDF" w:rsidRPr="00FD211F">
        <w:rPr>
          <w:sz w:val="36"/>
          <w:szCs w:val="36"/>
          <w:rtl/>
        </w:rPr>
        <w:t xml:space="preserve">ة </w:t>
      </w:r>
      <w:r w:rsidR="00C03338" w:rsidRPr="00FD211F">
        <w:rPr>
          <w:sz w:val="36"/>
          <w:szCs w:val="36"/>
          <w:rtl/>
        </w:rPr>
        <w:t>في هذا سواء</w:t>
      </w:r>
      <w:r w:rsidR="009C58C8" w:rsidRPr="00FD211F">
        <w:rPr>
          <w:rStyle w:val="a6"/>
          <w:sz w:val="36"/>
          <w:szCs w:val="36"/>
          <w:rtl/>
        </w:rPr>
        <w:t>(</w:t>
      </w:r>
      <w:r w:rsidR="009C58C8" w:rsidRPr="00FD211F">
        <w:rPr>
          <w:rStyle w:val="a6"/>
          <w:sz w:val="36"/>
          <w:szCs w:val="36"/>
          <w:rtl/>
        </w:rPr>
        <w:footnoteReference w:id="486"/>
      </w:r>
      <w:r w:rsidR="009C58C8" w:rsidRPr="00FD211F">
        <w:rPr>
          <w:rStyle w:val="a6"/>
          <w:sz w:val="36"/>
          <w:szCs w:val="36"/>
          <w:rtl/>
        </w:rPr>
        <w:t>)</w:t>
      </w:r>
      <w:r w:rsidR="00D47ADF" w:rsidRPr="00FD211F">
        <w:rPr>
          <w:sz w:val="36"/>
          <w:szCs w:val="36"/>
          <w:rtl/>
        </w:rPr>
        <w:t xml:space="preserve"> ونحوها روايات أخرى</w:t>
      </w:r>
      <w:r w:rsidR="006E0BC4" w:rsidRPr="00FD211F">
        <w:rPr>
          <w:sz w:val="36"/>
          <w:szCs w:val="36"/>
          <w:rtl/>
        </w:rPr>
        <w:t>.</w:t>
      </w:r>
    </w:p>
    <w:p w14:paraId="4629C550" w14:textId="77777777" w:rsidR="006E0BC4" w:rsidRPr="00FD211F" w:rsidRDefault="00E4781C" w:rsidP="009C58C8">
      <w:pPr>
        <w:ind w:left="0" w:firstLine="227"/>
        <w:jc w:val="both"/>
        <w:rPr>
          <w:sz w:val="36"/>
          <w:szCs w:val="36"/>
          <w:rtl/>
        </w:rPr>
      </w:pPr>
      <w:r w:rsidRPr="00FD211F">
        <w:rPr>
          <w:b/>
          <w:bCs/>
          <w:sz w:val="36"/>
          <w:szCs w:val="36"/>
          <w:rtl/>
        </w:rPr>
        <w:t>الصور</w:t>
      </w:r>
      <w:r w:rsidR="00EC7EDF" w:rsidRPr="00FD211F">
        <w:rPr>
          <w:b/>
          <w:bCs/>
          <w:sz w:val="36"/>
          <w:szCs w:val="36"/>
          <w:rtl/>
        </w:rPr>
        <w:t xml:space="preserve">ة </w:t>
      </w: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Pr="00FD211F">
        <w:rPr>
          <w:sz w:val="36"/>
          <w:szCs w:val="36"/>
          <w:rtl/>
        </w:rPr>
        <w:t>ان لاتكون الزوج</w:t>
      </w:r>
      <w:r w:rsidR="00EC7EDF" w:rsidRPr="00FD211F">
        <w:rPr>
          <w:sz w:val="36"/>
          <w:szCs w:val="36"/>
          <w:rtl/>
        </w:rPr>
        <w:t xml:space="preserve">ة </w:t>
      </w:r>
      <w:r w:rsidRPr="00FD211F">
        <w:rPr>
          <w:sz w:val="36"/>
          <w:szCs w:val="36"/>
          <w:rtl/>
        </w:rPr>
        <w:t>الكبير</w:t>
      </w:r>
      <w:r w:rsidR="00EC7EDF" w:rsidRPr="00FD211F">
        <w:rPr>
          <w:sz w:val="36"/>
          <w:szCs w:val="36"/>
          <w:rtl/>
        </w:rPr>
        <w:t xml:space="preserve">ة </w:t>
      </w:r>
      <w:r w:rsidRPr="00FD211F">
        <w:rPr>
          <w:sz w:val="36"/>
          <w:szCs w:val="36"/>
          <w:rtl/>
        </w:rPr>
        <w:t xml:space="preserve">الاولى مدخولا بها </w:t>
      </w:r>
      <w:r w:rsidR="00A51997" w:rsidRPr="00FD211F">
        <w:rPr>
          <w:sz w:val="36"/>
          <w:szCs w:val="36"/>
          <w:rtl/>
        </w:rPr>
        <w:t>و</w:t>
      </w:r>
      <w:r w:rsidRPr="00FD211F">
        <w:rPr>
          <w:sz w:val="36"/>
          <w:szCs w:val="36"/>
          <w:rtl/>
        </w:rPr>
        <w:t>لكن ارضعت</w:t>
      </w:r>
      <w:r w:rsidR="00B253CE" w:rsidRPr="00FD211F">
        <w:rPr>
          <w:sz w:val="36"/>
          <w:szCs w:val="36"/>
          <w:rtl/>
        </w:rPr>
        <w:t xml:space="preserve"> </w:t>
      </w:r>
      <w:r w:rsidR="00A51997" w:rsidRPr="00FD211F">
        <w:rPr>
          <w:sz w:val="36"/>
          <w:szCs w:val="36"/>
          <w:rtl/>
        </w:rPr>
        <w:t>من لبن</w:t>
      </w:r>
      <w:r w:rsidR="006E0BC4" w:rsidRPr="00FD211F">
        <w:rPr>
          <w:sz w:val="36"/>
          <w:szCs w:val="36"/>
          <w:rtl/>
        </w:rPr>
        <w:t xml:space="preserve"> هذا الرجل </w:t>
      </w:r>
      <w:r w:rsidRPr="00FD211F">
        <w:rPr>
          <w:sz w:val="36"/>
          <w:szCs w:val="36"/>
          <w:rtl/>
        </w:rPr>
        <w:t>تلك الزوج</w:t>
      </w:r>
      <w:r w:rsidR="00EC7EDF" w:rsidRPr="00FD211F">
        <w:rPr>
          <w:sz w:val="36"/>
          <w:szCs w:val="36"/>
          <w:rtl/>
        </w:rPr>
        <w:t xml:space="preserve">ة </w:t>
      </w:r>
      <w:r w:rsidRPr="00FD211F">
        <w:rPr>
          <w:sz w:val="36"/>
          <w:szCs w:val="36"/>
          <w:rtl/>
        </w:rPr>
        <w:t>الصغير</w:t>
      </w:r>
      <w:r w:rsidR="00EC7EDF" w:rsidRPr="00FD211F">
        <w:rPr>
          <w:sz w:val="36"/>
          <w:szCs w:val="36"/>
          <w:rtl/>
        </w:rPr>
        <w:t>ة</w:t>
      </w:r>
      <w:r w:rsidR="00603323" w:rsidRPr="00FD211F">
        <w:rPr>
          <w:sz w:val="36"/>
          <w:szCs w:val="36"/>
          <w:rtl/>
        </w:rPr>
        <w:t xml:space="preserve">، </w:t>
      </w:r>
      <w:r w:rsidRPr="00FD211F">
        <w:rPr>
          <w:sz w:val="36"/>
          <w:szCs w:val="36"/>
          <w:rtl/>
        </w:rPr>
        <w:t>وذلك</w:t>
      </w:r>
      <w:r w:rsidR="00A51997" w:rsidRPr="00FD211F">
        <w:rPr>
          <w:sz w:val="36"/>
          <w:szCs w:val="36"/>
          <w:rtl/>
        </w:rPr>
        <w:t xml:space="preserve"> كما لو حملت منه بجذب ما</w:t>
      </w:r>
      <w:r w:rsidR="00A8385B" w:rsidRPr="00FD211F">
        <w:rPr>
          <w:sz w:val="36"/>
          <w:szCs w:val="36"/>
          <w:rtl/>
        </w:rPr>
        <w:t>ء</w:t>
      </w:r>
      <w:r w:rsidR="00A51997" w:rsidRPr="00FD211F">
        <w:rPr>
          <w:sz w:val="36"/>
          <w:szCs w:val="36"/>
          <w:rtl/>
        </w:rPr>
        <w:t>ه</w:t>
      </w:r>
      <w:r w:rsidRPr="00FD211F">
        <w:rPr>
          <w:sz w:val="36"/>
          <w:szCs w:val="36"/>
          <w:rtl/>
        </w:rPr>
        <w:t xml:space="preserve"> حيث يكفي ذلك في صدق كون اللبن لبنه فتصير</w:t>
      </w:r>
      <w:r w:rsidR="006E0BC4" w:rsidRPr="00FD211F">
        <w:rPr>
          <w:sz w:val="36"/>
          <w:szCs w:val="36"/>
          <w:rtl/>
        </w:rPr>
        <w:t xml:space="preserve"> </w:t>
      </w:r>
      <w:r w:rsidRPr="00FD211F">
        <w:rPr>
          <w:sz w:val="36"/>
          <w:szCs w:val="36"/>
          <w:rtl/>
        </w:rPr>
        <w:t>الزوج</w:t>
      </w:r>
      <w:r w:rsidR="00EC7EDF" w:rsidRPr="00FD211F">
        <w:rPr>
          <w:sz w:val="36"/>
          <w:szCs w:val="36"/>
          <w:rtl/>
        </w:rPr>
        <w:t xml:space="preserve">ة </w:t>
      </w:r>
      <w:r w:rsidR="006E0BC4" w:rsidRPr="00FD211F">
        <w:rPr>
          <w:sz w:val="36"/>
          <w:szCs w:val="36"/>
          <w:rtl/>
        </w:rPr>
        <w:t>الصغير</w:t>
      </w:r>
      <w:r w:rsidR="00EC7EDF" w:rsidRPr="00FD211F">
        <w:rPr>
          <w:sz w:val="36"/>
          <w:szCs w:val="36"/>
          <w:rtl/>
        </w:rPr>
        <w:t xml:space="preserve">ة </w:t>
      </w:r>
      <w:r w:rsidR="00A51997" w:rsidRPr="00FD211F">
        <w:rPr>
          <w:sz w:val="36"/>
          <w:szCs w:val="36"/>
          <w:rtl/>
        </w:rPr>
        <w:t>بنتا رضاعي</w:t>
      </w:r>
      <w:r w:rsidR="00EC7EDF" w:rsidRPr="00FD211F">
        <w:rPr>
          <w:sz w:val="36"/>
          <w:szCs w:val="36"/>
          <w:rtl/>
        </w:rPr>
        <w:t xml:space="preserve">ة </w:t>
      </w:r>
      <w:r w:rsidR="00A51997" w:rsidRPr="00FD211F">
        <w:rPr>
          <w:sz w:val="36"/>
          <w:szCs w:val="36"/>
          <w:rtl/>
        </w:rPr>
        <w:t>له</w:t>
      </w:r>
      <w:r w:rsidR="006E0BC4" w:rsidRPr="00FD211F">
        <w:rPr>
          <w:sz w:val="36"/>
          <w:szCs w:val="36"/>
          <w:rtl/>
        </w:rPr>
        <w:t xml:space="preserve"> فتحرم عليه.</w:t>
      </w:r>
    </w:p>
    <w:p w14:paraId="4B835CF6" w14:textId="77777777" w:rsidR="006E0BC4" w:rsidRPr="00FD211F" w:rsidRDefault="006E0BC4" w:rsidP="009C58C8">
      <w:pPr>
        <w:ind w:left="0" w:firstLine="227"/>
        <w:jc w:val="both"/>
        <w:rPr>
          <w:sz w:val="36"/>
          <w:szCs w:val="36"/>
          <w:rtl/>
        </w:rPr>
      </w:pPr>
      <w:r w:rsidRPr="00FD211F">
        <w:rPr>
          <w:sz w:val="36"/>
          <w:szCs w:val="36"/>
          <w:rtl/>
        </w:rPr>
        <w:t>واما الزوج</w:t>
      </w:r>
      <w:r w:rsidR="00EC7EDF" w:rsidRPr="00FD211F">
        <w:rPr>
          <w:sz w:val="36"/>
          <w:szCs w:val="36"/>
          <w:rtl/>
        </w:rPr>
        <w:t xml:space="preserve">ة </w:t>
      </w:r>
      <w:r w:rsidRPr="00FD211F">
        <w:rPr>
          <w:sz w:val="36"/>
          <w:szCs w:val="36"/>
          <w:rtl/>
        </w:rPr>
        <w:t>الكبير</w:t>
      </w:r>
      <w:r w:rsidR="00EC7EDF" w:rsidRPr="00FD211F">
        <w:rPr>
          <w:sz w:val="36"/>
          <w:szCs w:val="36"/>
          <w:rtl/>
        </w:rPr>
        <w:t xml:space="preserve">ة </w:t>
      </w:r>
      <w:r w:rsidRPr="00FD211F">
        <w:rPr>
          <w:sz w:val="36"/>
          <w:szCs w:val="36"/>
          <w:rtl/>
        </w:rPr>
        <w:t>الأولى فلادليل على حرمتها على الرجل</w:t>
      </w:r>
      <w:r w:rsidR="00EE4D82" w:rsidRPr="00FD211F">
        <w:rPr>
          <w:sz w:val="36"/>
          <w:szCs w:val="36"/>
          <w:rtl/>
        </w:rPr>
        <w:t xml:space="preserve"> في هاتين الصورتين</w:t>
      </w:r>
      <w:r w:rsidR="00B253CE" w:rsidRPr="00FD211F">
        <w:rPr>
          <w:sz w:val="36"/>
          <w:szCs w:val="36"/>
          <w:rtl/>
        </w:rPr>
        <w:t xml:space="preserve"> </w:t>
      </w:r>
      <w:r w:rsidRPr="00FD211F">
        <w:rPr>
          <w:sz w:val="36"/>
          <w:szCs w:val="36"/>
          <w:rtl/>
        </w:rPr>
        <w:t xml:space="preserve">فضلا عن </w:t>
      </w:r>
      <w:r w:rsidR="00EE4D82" w:rsidRPr="00FD211F">
        <w:rPr>
          <w:sz w:val="36"/>
          <w:szCs w:val="36"/>
          <w:rtl/>
        </w:rPr>
        <w:t>الزوج</w:t>
      </w:r>
      <w:r w:rsidR="00EC7EDF" w:rsidRPr="00FD211F">
        <w:rPr>
          <w:sz w:val="36"/>
          <w:szCs w:val="36"/>
          <w:rtl/>
        </w:rPr>
        <w:t xml:space="preserve">ة </w:t>
      </w:r>
      <w:r w:rsidRPr="00FD211F">
        <w:rPr>
          <w:sz w:val="36"/>
          <w:szCs w:val="36"/>
          <w:rtl/>
        </w:rPr>
        <w:t>الكبير</w:t>
      </w:r>
      <w:r w:rsidR="00EC7EDF" w:rsidRPr="00FD211F">
        <w:rPr>
          <w:sz w:val="36"/>
          <w:szCs w:val="36"/>
          <w:rtl/>
        </w:rPr>
        <w:t xml:space="preserve">ة </w:t>
      </w:r>
      <w:r w:rsidRPr="00FD211F">
        <w:rPr>
          <w:sz w:val="36"/>
          <w:szCs w:val="36"/>
          <w:rtl/>
        </w:rPr>
        <w:t>الثاني</w:t>
      </w:r>
      <w:r w:rsidR="00EC7EDF" w:rsidRPr="00FD211F">
        <w:rPr>
          <w:sz w:val="36"/>
          <w:szCs w:val="36"/>
          <w:rtl/>
        </w:rPr>
        <w:t>ة</w:t>
      </w:r>
      <w:r w:rsidR="00603323" w:rsidRPr="00FD211F">
        <w:rPr>
          <w:sz w:val="36"/>
          <w:szCs w:val="36"/>
          <w:rtl/>
        </w:rPr>
        <w:t xml:space="preserve">، </w:t>
      </w:r>
      <w:r w:rsidRPr="00FD211F">
        <w:rPr>
          <w:sz w:val="36"/>
          <w:szCs w:val="36"/>
          <w:rtl/>
        </w:rPr>
        <w:t>وذلك لانه</w:t>
      </w:r>
      <w:r w:rsidR="006B129C" w:rsidRPr="00FD211F">
        <w:rPr>
          <w:sz w:val="36"/>
          <w:szCs w:val="36"/>
          <w:rtl/>
        </w:rPr>
        <w:t xml:space="preserve"> </w:t>
      </w:r>
      <w:r w:rsidR="00A51997" w:rsidRPr="00FD211F">
        <w:rPr>
          <w:sz w:val="36"/>
          <w:szCs w:val="36"/>
          <w:rtl/>
        </w:rPr>
        <w:t xml:space="preserve">بمجرد تحقق </w:t>
      </w:r>
      <w:r w:rsidR="009947E4" w:rsidRPr="00FD211F">
        <w:rPr>
          <w:sz w:val="36"/>
          <w:szCs w:val="36"/>
          <w:rtl/>
        </w:rPr>
        <w:t>الرضاع الكامل</w:t>
      </w:r>
      <w:r w:rsidRPr="00FD211F">
        <w:rPr>
          <w:sz w:val="36"/>
          <w:szCs w:val="36"/>
          <w:rtl/>
        </w:rPr>
        <w:t xml:space="preserve"> بين الكبير</w:t>
      </w:r>
      <w:r w:rsidR="00EC7EDF" w:rsidRPr="00FD211F">
        <w:rPr>
          <w:sz w:val="36"/>
          <w:szCs w:val="36"/>
          <w:rtl/>
        </w:rPr>
        <w:t xml:space="preserve">ة </w:t>
      </w:r>
      <w:r w:rsidRPr="00FD211F">
        <w:rPr>
          <w:sz w:val="36"/>
          <w:szCs w:val="36"/>
          <w:rtl/>
        </w:rPr>
        <w:t>الأولى والصغير</w:t>
      </w:r>
      <w:r w:rsidR="00EC7EDF" w:rsidRPr="00FD211F">
        <w:rPr>
          <w:sz w:val="36"/>
          <w:szCs w:val="36"/>
          <w:rtl/>
        </w:rPr>
        <w:t xml:space="preserve">ة </w:t>
      </w:r>
      <w:r w:rsidR="00A51997" w:rsidRPr="00FD211F">
        <w:rPr>
          <w:sz w:val="36"/>
          <w:szCs w:val="36"/>
          <w:rtl/>
        </w:rPr>
        <w:t>تزول زوجي</w:t>
      </w:r>
      <w:r w:rsidR="00EC7EDF" w:rsidRPr="00FD211F">
        <w:rPr>
          <w:sz w:val="36"/>
          <w:szCs w:val="36"/>
          <w:rtl/>
        </w:rPr>
        <w:t xml:space="preserve">ة </w:t>
      </w:r>
      <w:r w:rsidR="00A51997" w:rsidRPr="00FD211F">
        <w:rPr>
          <w:sz w:val="36"/>
          <w:szCs w:val="36"/>
          <w:rtl/>
        </w:rPr>
        <w:t>الصغير</w:t>
      </w:r>
      <w:r w:rsidR="00EC7EDF" w:rsidRPr="00FD211F">
        <w:rPr>
          <w:sz w:val="36"/>
          <w:szCs w:val="36"/>
          <w:rtl/>
        </w:rPr>
        <w:t xml:space="preserve">ة </w:t>
      </w:r>
      <w:r w:rsidRPr="00FD211F">
        <w:rPr>
          <w:sz w:val="36"/>
          <w:szCs w:val="36"/>
          <w:rtl/>
        </w:rPr>
        <w:t xml:space="preserve">فلايتصور </w:t>
      </w:r>
      <w:r w:rsidR="006E0951" w:rsidRPr="00FD211F">
        <w:rPr>
          <w:sz w:val="36"/>
          <w:szCs w:val="36"/>
          <w:rtl/>
        </w:rPr>
        <w:t>زمان</w:t>
      </w:r>
      <w:r w:rsidRPr="00FD211F">
        <w:rPr>
          <w:sz w:val="36"/>
          <w:szCs w:val="36"/>
          <w:rtl/>
        </w:rPr>
        <w:t xml:space="preserve"> تتقارن</w:t>
      </w:r>
      <w:r w:rsidR="006E0951" w:rsidRPr="00FD211F">
        <w:rPr>
          <w:sz w:val="36"/>
          <w:szCs w:val="36"/>
          <w:rtl/>
        </w:rPr>
        <w:t xml:space="preserve"> فيه</w:t>
      </w:r>
      <w:r w:rsidRPr="00FD211F">
        <w:rPr>
          <w:sz w:val="36"/>
          <w:szCs w:val="36"/>
          <w:rtl/>
        </w:rPr>
        <w:t xml:space="preserve"> زوجي</w:t>
      </w:r>
      <w:r w:rsidR="00EC7EDF" w:rsidRPr="00FD211F">
        <w:rPr>
          <w:sz w:val="36"/>
          <w:szCs w:val="36"/>
          <w:rtl/>
        </w:rPr>
        <w:t xml:space="preserve">ة </w:t>
      </w:r>
      <w:r w:rsidRPr="00FD211F">
        <w:rPr>
          <w:sz w:val="36"/>
          <w:szCs w:val="36"/>
          <w:rtl/>
        </w:rPr>
        <w:t>الصغير</w:t>
      </w:r>
      <w:r w:rsidR="00EC7EDF" w:rsidRPr="00FD211F">
        <w:rPr>
          <w:sz w:val="36"/>
          <w:szCs w:val="36"/>
          <w:rtl/>
        </w:rPr>
        <w:t xml:space="preserve">ة </w:t>
      </w:r>
      <w:r w:rsidRPr="00FD211F">
        <w:rPr>
          <w:sz w:val="36"/>
          <w:szCs w:val="36"/>
          <w:rtl/>
        </w:rPr>
        <w:t>مع كون الكبير</w:t>
      </w:r>
      <w:r w:rsidR="00EC7EDF" w:rsidRPr="00FD211F">
        <w:rPr>
          <w:sz w:val="36"/>
          <w:szCs w:val="36"/>
          <w:rtl/>
        </w:rPr>
        <w:t xml:space="preserve">ة </w:t>
      </w:r>
      <w:r w:rsidRPr="00FD211F">
        <w:rPr>
          <w:sz w:val="36"/>
          <w:szCs w:val="36"/>
          <w:rtl/>
        </w:rPr>
        <w:t>الأولى أمّا رضاعي</w:t>
      </w:r>
      <w:r w:rsidR="00EC7EDF" w:rsidRPr="00FD211F">
        <w:rPr>
          <w:sz w:val="36"/>
          <w:szCs w:val="36"/>
          <w:rtl/>
        </w:rPr>
        <w:t xml:space="preserve">ة </w:t>
      </w:r>
      <w:r w:rsidRPr="00FD211F">
        <w:rPr>
          <w:sz w:val="36"/>
          <w:szCs w:val="36"/>
          <w:rtl/>
        </w:rPr>
        <w:t>لها</w:t>
      </w:r>
      <w:r w:rsidR="00603323" w:rsidRPr="00FD211F">
        <w:rPr>
          <w:sz w:val="36"/>
          <w:szCs w:val="36"/>
          <w:rtl/>
        </w:rPr>
        <w:t xml:space="preserve">، </w:t>
      </w:r>
      <w:r w:rsidRPr="00FD211F">
        <w:rPr>
          <w:sz w:val="36"/>
          <w:szCs w:val="36"/>
          <w:rtl/>
        </w:rPr>
        <w:t>ومعه فلايصدق عليها انها أم زوجته</w:t>
      </w:r>
      <w:r w:rsidR="00A51997" w:rsidRPr="00FD211F">
        <w:rPr>
          <w:sz w:val="36"/>
          <w:szCs w:val="36"/>
          <w:rtl/>
        </w:rPr>
        <w:t xml:space="preserve"> حتى تحرم عليه</w:t>
      </w:r>
      <w:r w:rsidRPr="00FD211F">
        <w:rPr>
          <w:sz w:val="36"/>
          <w:szCs w:val="36"/>
          <w:rtl/>
        </w:rPr>
        <w:t>.</w:t>
      </w:r>
    </w:p>
    <w:p w14:paraId="09922D7A" w14:textId="77777777" w:rsidR="006E0BC4" w:rsidRPr="00FD211F" w:rsidRDefault="006E0BC4" w:rsidP="009C58C8">
      <w:pPr>
        <w:ind w:left="0" w:firstLine="227"/>
        <w:jc w:val="both"/>
        <w:rPr>
          <w:sz w:val="36"/>
          <w:szCs w:val="36"/>
          <w:rtl/>
        </w:rPr>
      </w:pPr>
      <w:r w:rsidRPr="00FD211F">
        <w:rPr>
          <w:sz w:val="36"/>
          <w:szCs w:val="36"/>
          <w:rtl/>
        </w:rPr>
        <w:t>ولكن قد يحاول اثبات حرم</w:t>
      </w:r>
      <w:r w:rsidR="00EC7EDF" w:rsidRPr="00FD211F">
        <w:rPr>
          <w:sz w:val="36"/>
          <w:szCs w:val="36"/>
          <w:rtl/>
        </w:rPr>
        <w:t xml:space="preserve">ة </w:t>
      </w:r>
      <w:r w:rsidRPr="00FD211F">
        <w:rPr>
          <w:sz w:val="36"/>
          <w:szCs w:val="36"/>
          <w:rtl/>
        </w:rPr>
        <w:t>الكبير</w:t>
      </w:r>
      <w:r w:rsidR="00EC7EDF" w:rsidRPr="00FD211F">
        <w:rPr>
          <w:sz w:val="36"/>
          <w:szCs w:val="36"/>
          <w:rtl/>
        </w:rPr>
        <w:t xml:space="preserve">ة </w:t>
      </w:r>
      <w:r w:rsidRPr="00FD211F">
        <w:rPr>
          <w:sz w:val="36"/>
          <w:szCs w:val="36"/>
          <w:rtl/>
        </w:rPr>
        <w:t>الأولى بعد</w:t>
      </w:r>
      <w:r w:rsidR="00EC7EDF" w:rsidRPr="00FD211F">
        <w:rPr>
          <w:sz w:val="36"/>
          <w:szCs w:val="36"/>
          <w:rtl/>
        </w:rPr>
        <w:t xml:space="preserve">ة </w:t>
      </w:r>
      <w:r w:rsidRPr="00FD211F">
        <w:rPr>
          <w:sz w:val="36"/>
          <w:szCs w:val="36"/>
          <w:rtl/>
        </w:rPr>
        <w:t>وجوه:</w:t>
      </w:r>
    </w:p>
    <w:p w14:paraId="47E74835" w14:textId="77777777" w:rsidR="00BC674A" w:rsidRPr="00FD211F" w:rsidRDefault="00A50D2A" w:rsidP="009C58C8">
      <w:pPr>
        <w:ind w:left="0" w:firstLine="227"/>
        <w:jc w:val="both"/>
        <w:rPr>
          <w:sz w:val="36"/>
          <w:szCs w:val="36"/>
          <w:rtl/>
        </w:rPr>
      </w:pPr>
      <w:r w:rsidRPr="00FD211F">
        <w:rPr>
          <w:b/>
          <w:bCs/>
          <w:sz w:val="36"/>
          <w:szCs w:val="36"/>
          <w:rtl/>
        </w:rPr>
        <w:t>الوجه الاول</w:t>
      </w:r>
      <w:r w:rsidR="00EC7EDF" w:rsidRPr="00FD211F">
        <w:rPr>
          <w:sz w:val="36"/>
          <w:szCs w:val="36"/>
          <w:rtl/>
        </w:rPr>
        <w:t>:</w:t>
      </w:r>
      <w:r w:rsidR="000734A7" w:rsidRPr="00FD211F">
        <w:rPr>
          <w:sz w:val="36"/>
          <w:szCs w:val="36"/>
          <w:rtl/>
        </w:rPr>
        <w:t>ما قد</w:t>
      </w:r>
      <w:r w:rsidR="000B4DEB">
        <w:rPr>
          <w:rFonts w:hint="cs"/>
          <w:sz w:val="36"/>
          <w:szCs w:val="36"/>
          <w:rtl/>
        </w:rPr>
        <w:t xml:space="preserve"> </w:t>
      </w:r>
      <w:r w:rsidR="000734A7" w:rsidRPr="00FD211F">
        <w:rPr>
          <w:sz w:val="36"/>
          <w:szCs w:val="36"/>
          <w:rtl/>
        </w:rPr>
        <w:t>يقال من</w:t>
      </w:r>
      <w:r w:rsidR="00B253CE" w:rsidRPr="00FD211F">
        <w:rPr>
          <w:sz w:val="36"/>
          <w:szCs w:val="36"/>
          <w:rtl/>
        </w:rPr>
        <w:t xml:space="preserve"> </w:t>
      </w:r>
      <w:r w:rsidR="00D76FEB" w:rsidRPr="00FD211F">
        <w:rPr>
          <w:sz w:val="36"/>
          <w:szCs w:val="36"/>
          <w:rtl/>
        </w:rPr>
        <w:t>أ</w:t>
      </w:r>
      <w:r w:rsidR="006E0BC4" w:rsidRPr="00FD211F">
        <w:rPr>
          <w:sz w:val="36"/>
          <w:szCs w:val="36"/>
          <w:rtl/>
        </w:rPr>
        <w:t>ن</w:t>
      </w:r>
      <w:r w:rsidR="00A51997" w:rsidRPr="00FD211F">
        <w:rPr>
          <w:sz w:val="36"/>
          <w:szCs w:val="36"/>
          <w:rtl/>
        </w:rPr>
        <w:t xml:space="preserve"> زوال زوجي</w:t>
      </w:r>
      <w:r w:rsidR="00EC7EDF" w:rsidRPr="00FD211F">
        <w:rPr>
          <w:sz w:val="36"/>
          <w:szCs w:val="36"/>
          <w:rtl/>
        </w:rPr>
        <w:t xml:space="preserve">ة </w:t>
      </w:r>
      <w:r w:rsidR="00A51997" w:rsidRPr="00FD211F">
        <w:rPr>
          <w:sz w:val="36"/>
          <w:szCs w:val="36"/>
          <w:rtl/>
        </w:rPr>
        <w:t>الصغير</w:t>
      </w:r>
      <w:r w:rsidR="00EC7EDF" w:rsidRPr="00FD211F">
        <w:rPr>
          <w:sz w:val="36"/>
          <w:szCs w:val="36"/>
          <w:rtl/>
        </w:rPr>
        <w:t xml:space="preserve">ة </w:t>
      </w:r>
      <w:r w:rsidR="00A51997" w:rsidRPr="00FD211F">
        <w:rPr>
          <w:sz w:val="36"/>
          <w:szCs w:val="36"/>
          <w:rtl/>
        </w:rPr>
        <w:t>متأخر رتب</w:t>
      </w:r>
      <w:r w:rsidR="00EC7EDF" w:rsidRPr="00FD211F">
        <w:rPr>
          <w:sz w:val="36"/>
          <w:szCs w:val="36"/>
          <w:rtl/>
        </w:rPr>
        <w:t xml:space="preserve">ة </w:t>
      </w:r>
      <w:r w:rsidR="00A51997" w:rsidRPr="00FD211F">
        <w:rPr>
          <w:sz w:val="36"/>
          <w:szCs w:val="36"/>
          <w:rtl/>
        </w:rPr>
        <w:t>عن</w:t>
      </w:r>
      <w:r w:rsidR="006E0BC4" w:rsidRPr="00FD211F">
        <w:rPr>
          <w:sz w:val="36"/>
          <w:szCs w:val="36"/>
          <w:rtl/>
        </w:rPr>
        <w:t xml:space="preserve"> صيرورتها بنتا </w:t>
      </w:r>
      <w:r w:rsidR="009F6800" w:rsidRPr="00FD211F">
        <w:rPr>
          <w:sz w:val="36"/>
          <w:szCs w:val="36"/>
          <w:rtl/>
        </w:rPr>
        <w:t>رضاعي</w:t>
      </w:r>
      <w:r w:rsidR="00EC7EDF" w:rsidRPr="00FD211F">
        <w:rPr>
          <w:sz w:val="36"/>
          <w:szCs w:val="36"/>
          <w:rtl/>
        </w:rPr>
        <w:t xml:space="preserve">ة </w:t>
      </w:r>
      <w:r w:rsidR="006E0BC4" w:rsidRPr="00FD211F">
        <w:rPr>
          <w:sz w:val="36"/>
          <w:szCs w:val="36"/>
          <w:rtl/>
        </w:rPr>
        <w:t>للرجل او للكبير</w:t>
      </w:r>
      <w:r w:rsidR="00EC7EDF" w:rsidRPr="00FD211F">
        <w:rPr>
          <w:sz w:val="36"/>
          <w:szCs w:val="36"/>
          <w:rtl/>
        </w:rPr>
        <w:t xml:space="preserve">ة </w:t>
      </w:r>
      <w:r w:rsidR="006E0BC4" w:rsidRPr="00FD211F">
        <w:rPr>
          <w:sz w:val="36"/>
          <w:szCs w:val="36"/>
          <w:rtl/>
        </w:rPr>
        <w:t>الأولى</w:t>
      </w:r>
      <w:r w:rsidR="00603323" w:rsidRPr="00FD211F">
        <w:rPr>
          <w:sz w:val="36"/>
          <w:szCs w:val="36"/>
          <w:rtl/>
        </w:rPr>
        <w:t xml:space="preserve">، </w:t>
      </w:r>
      <w:r w:rsidR="006E0BC4" w:rsidRPr="00FD211F">
        <w:rPr>
          <w:sz w:val="36"/>
          <w:szCs w:val="36"/>
          <w:rtl/>
        </w:rPr>
        <w:t>حيث ان النسب</w:t>
      </w:r>
      <w:r w:rsidR="00EC7EDF" w:rsidRPr="00FD211F">
        <w:rPr>
          <w:sz w:val="36"/>
          <w:szCs w:val="36"/>
          <w:rtl/>
        </w:rPr>
        <w:t xml:space="preserve">ة </w:t>
      </w:r>
      <w:r w:rsidR="006E0BC4" w:rsidRPr="00FD211F">
        <w:rPr>
          <w:sz w:val="36"/>
          <w:szCs w:val="36"/>
          <w:rtl/>
        </w:rPr>
        <w:t>بينهما نسب</w:t>
      </w:r>
      <w:r w:rsidR="00EC7EDF" w:rsidRPr="00FD211F">
        <w:rPr>
          <w:sz w:val="36"/>
          <w:szCs w:val="36"/>
          <w:rtl/>
        </w:rPr>
        <w:t xml:space="preserve">ة </w:t>
      </w:r>
      <w:r w:rsidR="006E0BC4" w:rsidRPr="00FD211F">
        <w:rPr>
          <w:sz w:val="36"/>
          <w:szCs w:val="36"/>
          <w:rtl/>
        </w:rPr>
        <w:t>الحكم الى موضوعه ولاريب في تاخر الحكم عن موضوعه</w:t>
      </w:r>
      <w:r w:rsidR="00A51997" w:rsidRPr="00FD211F">
        <w:rPr>
          <w:sz w:val="36"/>
          <w:szCs w:val="36"/>
          <w:rtl/>
        </w:rPr>
        <w:t xml:space="preserve"> </w:t>
      </w:r>
      <w:r w:rsidR="009F6800" w:rsidRPr="00FD211F">
        <w:rPr>
          <w:sz w:val="36"/>
          <w:szCs w:val="36"/>
          <w:rtl/>
        </w:rPr>
        <w:t>رتب</w:t>
      </w:r>
      <w:r w:rsidR="00EC7EDF" w:rsidRPr="00FD211F">
        <w:rPr>
          <w:sz w:val="36"/>
          <w:szCs w:val="36"/>
          <w:rtl/>
        </w:rPr>
        <w:t xml:space="preserve">ة </w:t>
      </w:r>
      <w:r w:rsidR="00A51997" w:rsidRPr="00FD211F">
        <w:rPr>
          <w:sz w:val="36"/>
          <w:szCs w:val="36"/>
          <w:rtl/>
        </w:rPr>
        <w:t>و</w:t>
      </w:r>
      <w:r w:rsidR="009F6800" w:rsidRPr="00FD211F">
        <w:rPr>
          <w:sz w:val="36"/>
          <w:szCs w:val="36"/>
          <w:rtl/>
        </w:rPr>
        <w:t>كذا</w:t>
      </w:r>
      <w:r w:rsidR="00EE4D82" w:rsidRPr="00FD211F">
        <w:rPr>
          <w:sz w:val="36"/>
          <w:szCs w:val="36"/>
          <w:rtl/>
        </w:rPr>
        <w:t xml:space="preserve"> </w:t>
      </w:r>
      <w:r w:rsidR="00A51997" w:rsidRPr="00FD211F">
        <w:rPr>
          <w:sz w:val="36"/>
          <w:szCs w:val="36"/>
          <w:rtl/>
        </w:rPr>
        <w:t>المسبب عن سببه</w:t>
      </w:r>
      <w:r w:rsidR="00603323" w:rsidRPr="00FD211F">
        <w:rPr>
          <w:sz w:val="36"/>
          <w:szCs w:val="36"/>
          <w:rtl/>
        </w:rPr>
        <w:t xml:space="preserve">، </w:t>
      </w:r>
      <w:r w:rsidR="006E0BC4" w:rsidRPr="00FD211F">
        <w:rPr>
          <w:sz w:val="36"/>
          <w:szCs w:val="36"/>
          <w:rtl/>
        </w:rPr>
        <w:t>ففي رتب</w:t>
      </w:r>
      <w:r w:rsidR="00EC7EDF" w:rsidRPr="00FD211F">
        <w:rPr>
          <w:sz w:val="36"/>
          <w:szCs w:val="36"/>
          <w:rtl/>
        </w:rPr>
        <w:t xml:space="preserve">ة </w:t>
      </w:r>
      <w:r w:rsidR="00177C63" w:rsidRPr="00FD211F">
        <w:rPr>
          <w:sz w:val="36"/>
          <w:szCs w:val="36"/>
          <w:rtl/>
        </w:rPr>
        <w:t>تحقق</w:t>
      </w:r>
      <w:r w:rsidR="00B253CE" w:rsidRPr="00FD211F">
        <w:rPr>
          <w:sz w:val="36"/>
          <w:szCs w:val="36"/>
          <w:rtl/>
        </w:rPr>
        <w:t xml:space="preserve"> </w:t>
      </w:r>
      <w:r w:rsidR="009F6800" w:rsidRPr="00FD211F">
        <w:rPr>
          <w:sz w:val="36"/>
          <w:szCs w:val="36"/>
          <w:rtl/>
        </w:rPr>
        <w:t>ال</w:t>
      </w:r>
      <w:r w:rsidR="0087722B" w:rsidRPr="00FD211F">
        <w:rPr>
          <w:sz w:val="36"/>
          <w:szCs w:val="36"/>
          <w:rtl/>
        </w:rPr>
        <w:t>موضوع وهو صيرورتها بنتا رضاعي</w:t>
      </w:r>
      <w:r w:rsidR="00EC7EDF" w:rsidRPr="00FD211F">
        <w:rPr>
          <w:sz w:val="36"/>
          <w:szCs w:val="36"/>
          <w:rtl/>
        </w:rPr>
        <w:t>ة</w:t>
      </w:r>
      <w:r w:rsidR="008D7B3D" w:rsidRPr="00FD211F">
        <w:rPr>
          <w:sz w:val="36"/>
          <w:szCs w:val="36"/>
          <w:rtl/>
        </w:rPr>
        <w:t xml:space="preserve"> لم‌</w:t>
      </w:r>
      <w:r w:rsidR="0087722B" w:rsidRPr="00FD211F">
        <w:rPr>
          <w:sz w:val="36"/>
          <w:szCs w:val="36"/>
          <w:rtl/>
        </w:rPr>
        <w:t xml:space="preserve">يتحقق الحكم وهو زوال </w:t>
      </w:r>
      <w:r w:rsidR="00177C63" w:rsidRPr="00FD211F">
        <w:rPr>
          <w:sz w:val="36"/>
          <w:szCs w:val="36"/>
          <w:rtl/>
        </w:rPr>
        <w:t>زوجيتها للرجل</w:t>
      </w:r>
      <w:r w:rsidR="00603323" w:rsidRPr="00FD211F">
        <w:rPr>
          <w:sz w:val="36"/>
          <w:szCs w:val="36"/>
          <w:rtl/>
        </w:rPr>
        <w:t xml:space="preserve">، </w:t>
      </w:r>
      <w:r w:rsidR="00177FDC" w:rsidRPr="00FD211F">
        <w:rPr>
          <w:sz w:val="36"/>
          <w:szCs w:val="36"/>
          <w:rtl/>
        </w:rPr>
        <w:t>وحيث يستحيل ارتفاع النقيضين في المرتب</w:t>
      </w:r>
      <w:r w:rsidR="00EC7EDF" w:rsidRPr="00FD211F">
        <w:rPr>
          <w:sz w:val="36"/>
          <w:szCs w:val="36"/>
          <w:rtl/>
        </w:rPr>
        <w:t>ة</w:t>
      </w:r>
      <w:r w:rsidR="00603323" w:rsidRPr="00FD211F">
        <w:rPr>
          <w:sz w:val="36"/>
          <w:szCs w:val="36"/>
          <w:rtl/>
        </w:rPr>
        <w:t xml:space="preserve">، </w:t>
      </w:r>
      <w:r w:rsidR="00177C63" w:rsidRPr="00FD211F">
        <w:rPr>
          <w:sz w:val="36"/>
          <w:szCs w:val="36"/>
          <w:rtl/>
        </w:rPr>
        <w:t>فلابد ان تكون زوجيتها باقي</w:t>
      </w:r>
      <w:r w:rsidR="00EC7EDF" w:rsidRPr="00FD211F">
        <w:rPr>
          <w:sz w:val="36"/>
          <w:szCs w:val="36"/>
          <w:rtl/>
        </w:rPr>
        <w:t xml:space="preserve">ة </w:t>
      </w:r>
      <w:r w:rsidR="00177C63" w:rsidRPr="00FD211F">
        <w:rPr>
          <w:sz w:val="36"/>
          <w:szCs w:val="36"/>
          <w:rtl/>
        </w:rPr>
        <w:t>في رتب</w:t>
      </w:r>
      <w:r w:rsidR="00EC7EDF" w:rsidRPr="00FD211F">
        <w:rPr>
          <w:sz w:val="36"/>
          <w:szCs w:val="36"/>
          <w:rtl/>
        </w:rPr>
        <w:t xml:space="preserve">ة </w:t>
      </w:r>
      <w:r w:rsidR="00177C63" w:rsidRPr="00FD211F">
        <w:rPr>
          <w:sz w:val="36"/>
          <w:szCs w:val="36"/>
          <w:rtl/>
        </w:rPr>
        <w:t>تحقق هذا الموضوع</w:t>
      </w:r>
      <w:r w:rsidR="00603323" w:rsidRPr="00FD211F">
        <w:rPr>
          <w:sz w:val="36"/>
          <w:szCs w:val="36"/>
          <w:rtl/>
        </w:rPr>
        <w:t xml:space="preserve">، </w:t>
      </w:r>
      <w:r w:rsidR="00EE4D82" w:rsidRPr="00FD211F">
        <w:rPr>
          <w:sz w:val="36"/>
          <w:szCs w:val="36"/>
          <w:rtl/>
        </w:rPr>
        <w:t xml:space="preserve">وحينئذ فبمقتضى تضايف </w:t>
      </w:r>
      <w:r w:rsidR="00177FDC" w:rsidRPr="00FD211F">
        <w:rPr>
          <w:sz w:val="36"/>
          <w:szCs w:val="36"/>
          <w:rtl/>
        </w:rPr>
        <w:t>بنتي</w:t>
      </w:r>
      <w:r w:rsidR="00EC7EDF" w:rsidRPr="00FD211F">
        <w:rPr>
          <w:sz w:val="36"/>
          <w:szCs w:val="36"/>
          <w:rtl/>
        </w:rPr>
        <w:t xml:space="preserve">ة </w:t>
      </w:r>
      <w:r w:rsidR="00EE4D82" w:rsidRPr="00FD211F">
        <w:rPr>
          <w:sz w:val="36"/>
          <w:szCs w:val="36"/>
          <w:rtl/>
        </w:rPr>
        <w:t>الصغير</w:t>
      </w:r>
      <w:r w:rsidR="00EC7EDF" w:rsidRPr="00FD211F">
        <w:rPr>
          <w:sz w:val="36"/>
          <w:szCs w:val="36"/>
          <w:rtl/>
        </w:rPr>
        <w:t xml:space="preserve">ة </w:t>
      </w:r>
      <w:r w:rsidR="00EE4D82" w:rsidRPr="00FD211F">
        <w:rPr>
          <w:sz w:val="36"/>
          <w:szCs w:val="36"/>
          <w:rtl/>
        </w:rPr>
        <w:t>للكبير</w:t>
      </w:r>
      <w:r w:rsidR="00EC7EDF" w:rsidRPr="00FD211F">
        <w:rPr>
          <w:sz w:val="36"/>
          <w:szCs w:val="36"/>
          <w:rtl/>
        </w:rPr>
        <w:t xml:space="preserve">ة </w:t>
      </w:r>
      <w:r w:rsidR="00EE4D82" w:rsidRPr="00FD211F">
        <w:rPr>
          <w:sz w:val="36"/>
          <w:szCs w:val="36"/>
          <w:rtl/>
        </w:rPr>
        <w:t>الأولى</w:t>
      </w:r>
      <w:r w:rsidR="00177FDC" w:rsidRPr="00FD211F">
        <w:rPr>
          <w:sz w:val="36"/>
          <w:szCs w:val="36"/>
          <w:rtl/>
        </w:rPr>
        <w:t xml:space="preserve"> مع امو</w:t>
      </w:r>
      <w:r w:rsidR="00EE4D82" w:rsidRPr="00FD211F">
        <w:rPr>
          <w:sz w:val="36"/>
          <w:szCs w:val="36"/>
          <w:rtl/>
        </w:rPr>
        <w:t>م</w:t>
      </w:r>
      <w:r w:rsidR="00EC7EDF" w:rsidRPr="00FD211F">
        <w:rPr>
          <w:sz w:val="36"/>
          <w:szCs w:val="36"/>
          <w:rtl/>
        </w:rPr>
        <w:t xml:space="preserve">ة </w:t>
      </w:r>
      <w:r w:rsidR="00EE4D82" w:rsidRPr="00FD211F">
        <w:rPr>
          <w:sz w:val="36"/>
          <w:szCs w:val="36"/>
          <w:rtl/>
        </w:rPr>
        <w:t>الكبير</w:t>
      </w:r>
      <w:r w:rsidR="00EC7EDF" w:rsidRPr="00FD211F">
        <w:rPr>
          <w:sz w:val="36"/>
          <w:szCs w:val="36"/>
          <w:rtl/>
        </w:rPr>
        <w:t xml:space="preserve">ة </w:t>
      </w:r>
      <w:r w:rsidR="00EE4D82" w:rsidRPr="00FD211F">
        <w:rPr>
          <w:sz w:val="36"/>
          <w:szCs w:val="36"/>
          <w:rtl/>
        </w:rPr>
        <w:t>الاولى</w:t>
      </w:r>
      <w:r w:rsidR="00177C63" w:rsidRPr="00FD211F">
        <w:rPr>
          <w:sz w:val="36"/>
          <w:szCs w:val="36"/>
          <w:rtl/>
        </w:rPr>
        <w:t xml:space="preserve"> لها فهما في مرتب</w:t>
      </w:r>
      <w:r w:rsidR="00EC7EDF" w:rsidRPr="00FD211F">
        <w:rPr>
          <w:sz w:val="36"/>
          <w:szCs w:val="36"/>
          <w:rtl/>
        </w:rPr>
        <w:t xml:space="preserve">ة </w:t>
      </w:r>
      <w:r w:rsidR="00177C63" w:rsidRPr="00FD211F">
        <w:rPr>
          <w:sz w:val="36"/>
          <w:szCs w:val="36"/>
          <w:rtl/>
        </w:rPr>
        <w:t>واحد</w:t>
      </w:r>
      <w:r w:rsidR="00EC7EDF" w:rsidRPr="00FD211F">
        <w:rPr>
          <w:sz w:val="36"/>
          <w:szCs w:val="36"/>
          <w:rtl/>
        </w:rPr>
        <w:t>ة</w:t>
      </w:r>
      <w:r w:rsidR="00603323" w:rsidRPr="00FD211F">
        <w:rPr>
          <w:sz w:val="36"/>
          <w:szCs w:val="36"/>
          <w:rtl/>
        </w:rPr>
        <w:t xml:space="preserve">، </w:t>
      </w:r>
      <w:r w:rsidR="00177FDC" w:rsidRPr="00FD211F">
        <w:rPr>
          <w:sz w:val="36"/>
          <w:szCs w:val="36"/>
          <w:rtl/>
        </w:rPr>
        <w:t xml:space="preserve">وهذا يعني ان حصول </w:t>
      </w:r>
      <w:r w:rsidR="00177C63" w:rsidRPr="00FD211F">
        <w:rPr>
          <w:sz w:val="36"/>
          <w:szCs w:val="36"/>
          <w:rtl/>
        </w:rPr>
        <w:t>اموم</w:t>
      </w:r>
      <w:r w:rsidR="00EC7EDF" w:rsidRPr="00FD211F">
        <w:rPr>
          <w:sz w:val="36"/>
          <w:szCs w:val="36"/>
          <w:rtl/>
        </w:rPr>
        <w:t xml:space="preserve">ة </w:t>
      </w:r>
      <w:r w:rsidR="00177C63" w:rsidRPr="00FD211F">
        <w:rPr>
          <w:sz w:val="36"/>
          <w:szCs w:val="36"/>
          <w:rtl/>
        </w:rPr>
        <w:t>الكبير</w:t>
      </w:r>
      <w:r w:rsidR="00EC7EDF" w:rsidRPr="00FD211F">
        <w:rPr>
          <w:sz w:val="36"/>
          <w:szCs w:val="36"/>
          <w:rtl/>
        </w:rPr>
        <w:t xml:space="preserve">ة </w:t>
      </w:r>
      <w:r w:rsidR="00177C63" w:rsidRPr="00FD211F">
        <w:rPr>
          <w:sz w:val="36"/>
          <w:szCs w:val="36"/>
          <w:rtl/>
        </w:rPr>
        <w:t>الأولى يكون</w:t>
      </w:r>
      <w:r w:rsidR="00177FDC" w:rsidRPr="00FD211F">
        <w:rPr>
          <w:sz w:val="36"/>
          <w:szCs w:val="36"/>
          <w:rtl/>
        </w:rPr>
        <w:t xml:space="preserve"> مقارن</w:t>
      </w:r>
      <w:r w:rsidR="00177C63" w:rsidRPr="00FD211F">
        <w:rPr>
          <w:sz w:val="36"/>
          <w:szCs w:val="36"/>
          <w:rtl/>
        </w:rPr>
        <w:t>ا رتب</w:t>
      </w:r>
      <w:r w:rsidR="00EC7EDF" w:rsidRPr="00FD211F">
        <w:rPr>
          <w:sz w:val="36"/>
          <w:szCs w:val="36"/>
          <w:rtl/>
        </w:rPr>
        <w:t xml:space="preserve">ة </w:t>
      </w:r>
      <w:r w:rsidR="009F6800" w:rsidRPr="00FD211F">
        <w:rPr>
          <w:sz w:val="36"/>
          <w:szCs w:val="36"/>
          <w:rtl/>
        </w:rPr>
        <w:t>مع</w:t>
      </w:r>
      <w:r w:rsidR="00177FDC" w:rsidRPr="00FD211F">
        <w:rPr>
          <w:sz w:val="36"/>
          <w:szCs w:val="36"/>
          <w:rtl/>
        </w:rPr>
        <w:t xml:space="preserve"> زوجي</w:t>
      </w:r>
      <w:r w:rsidR="00EC7EDF" w:rsidRPr="00FD211F">
        <w:rPr>
          <w:sz w:val="36"/>
          <w:szCs w:val="36"/>
          <w:rtl/>
        </w:rPr>
        <w:t xml:space="preserve">ة </w:t>
      </w:r>
      <w:r w:rsidR="00177FDC" w:rsidRPr="00FD211F">
        <w:rPr>
          <w:sz w:val="36"/>
          <w:szCs w:val="36"/>
          <w:rtl/>
        </w:rPr>
        <w:t>الصغير</w:t>
      </w:r>
      <w:r w:rsidR="00EC7EDF" w:rsidRPr="00FD211F">
        <w:rPr>
          <w:sz w:val="36"/>
          <w:szCs w:val="36"/>
          <w:rtl/>
        </w:rPr>
        <w:t xml:space="preserve">ة </w:t>
      </w:r>
      <w:r w:rsidR="00177C63" w:rsidRPr="00FD211F">
        <w:rPr>
          <w:sz w:val="36"/>
          <w:szCs w:val="36"/>
          <w:rtl/>
        </w:rPr>
        <w:t>للرجل</w:t>
      </w:r>
      <w:r w:rsidR="00603323" w:rsidRPr="00FD211F">
        <w:rPr>
          <w:sz w:val="36"/>
          <w:szCs w:val="36"/>
          <w:rtl/>
        </w:rPr>
        <w:t xml:space="preserve">، </w:t>
      </w:r>
      <w:r w:rsidR="00177FDC" w:rsidRPr="00FD211F">
        <w:rPr>
          <w:sz w:val="36"/>
          <w:szCs w:val="36"/>
          <w:rtl/>
        </w:rPr>
        <w:t>وهذا يكفي في صدق عنوان ام الزوج</w:t>
      </w:r>
      <w:r w:rsidR="00EC7EDF" w:rsidRPr="00FD211F">
        <w:rPr>
          <w:sz w:val="36"/>
          <w:szCs w:val="36"/>
          <w:rtl/>
        </w:rPr>
        <w:t xml:space="preserve">ة </w:t>
      </w:r>
      <w:r w:rsidR="00177FDC" w:rsidRPr="00FD211F">
        <w:rPr>
          <w:sz w:val="36"/>
          <w:szCs w:val="36"/>
          <w:rtl/>
        </w:rPr>
        <w:t>عليها فتحرم عليه.</w:t>
      </w:r>
    </w:p>
    <w:p w14:paraId="0EC9FD83" w14:textId="77777777" w:rsidR="00C03338" w:rsidRPr="00FD211F" w:rsidRDefault="00177FDC" w:rsidP="009C58C8">
      <w:pPr>
        <w:ind w:left="0" w:firstLine="227"/>
        <w:jc w:val="both"/>
        <w:rPr>
          <w:sz w:val="36"/>
          <w:szCs w:val="36"/>
          <w:rtl/>
        </w:rPr>
      </w:pPr>
      <w:r w:rsidRPr="00FD211F">
        <w:rPr>
          <w:sz w:val="36"/>
          <w:szCs w:val="36"/>
          <w:rtl/>
        </w:rPr>
        <w:t>و</w:t>
      </w:r>
      <w:r w:rsidR="00C03338" w:rsidRPr="00FD211F">
        <w:rPr>
          <w:sz w:val="36"/>
          <w:szCs w:val="36"/>
          <w:rtl/>
        </w:rPr>
        <w:t>قد</w:t>
      </w:r>
      <w:r w:rsidR="000B4DEB">
        <w:rPr>
          <w:rFonts w:hint="cs"/>
          <w:sz w:val="36"/>
          <w:szCs w:val="36"/>
          <w:rtl/>
        </w:rPr>
        <w:t xml:space="preserve"> </w:t>
      </w:r>
      <w:r w:rsidR="009F6800" w:rsidRPr="00FD211F">
        <w:rPr>
          <w:sz w:val="36"/>
          <w:szCs w:val="36"/>
          <w:rtl/>
        </w:rPr>
        <w:t>أورد</w:t>
      </w:r>
      <w:r w:rsidR="00C03338" w:rsidRPr="00FD211F">
        <w:rPr>
          <w:sz w:val="36"/>
          <w:szCs w:val="36"/>
          <w:rtl/>
        </w:rPr>
        <w:t xml:space="preserve"> عليه</w:t>
      </w:r>
      <w:r w:rsidR="00E7682F" w:rsidRPr="00FD211F">
        <w:rPr>
          <w:sz w:val="36"/>
          <w:szCs w:val="36"/>
          <w:rtl/>
        </w:rPr>
        <w:t xml:space="preserve"> </w:t>
      </w:r>
      <w:r w:rsidR="009F6800" w:rsidRPr="00FD211F">
        <w:rPr>
          <w:sz w:val="36"/>
          <w:szCs w:val="36"/>
          <w:rtl/>
        </w:rPr>
        <w:t>السيدالخو</w:t>
      </w:r>
      <w:r w:rsidR="00E7682F" w:rsidRPr="00FD211F">
        <w:rPr>
          <w:sz w:val="36"/>
          <w:szCs w:val="36"/>
          <w:rtl/>
        </w:rPr>
        <w:t xml:space="preserve">ئي </w:t>
      </w:r>
      <w:r w:rsidR="00EC7EDF" w:rsidRPr="00FD211F">
        <w:rPr>
          <w:sz w:val="36"/>
          <w:szCs w:val="36"/>
          <w:rtl/>
        </w:rPr>
        <w:t xml:space="preserve">"قده" </w:t>
      </w:r>
      <w:r w:rsidR="00C03338" w:rsidRPr="00FD211F">
        <w:rPr>
          <w:sz w:val="36"/>
          <w:szCs w:val="36"/>
          <w:rtl/>
        </w:rPr>
        <w:t>ب</w:t>
      </w:r>
      <w:r w:rsidR="00E7682F" w:rsidRPr="00FD211F">
        <w:rPr>
          <w:sz w:val="36"/>
          <w:szCs w:val="36"/>
          <w:rtl/>
        </w:rPr>
        <w:t>ما</w:t>
      </w:r>
      <w:r w:rsidR="000B4DEB">
        <w:rPr>
          <w:rFonts w:hint="cs"/>
          <w:sz w:val="36"/>
          <w:szCs w:val="36"/>
          <w:rtl/>
        </w:rPr>
        <w:t xml:space="preserve"> </w:t>
      </w:r>
      <w:r w:rsidR="00E7682F" w:rsidRPr="00FD211F">
        <w:rPr>
          <w:sz w:val="36"/>
          <w:szCs w:val="36"/>
          <w:rtl/>
        </w:rPr>
        <w:t xml:space="preserve">محصله </w:t>
      </w:r>
      <w:r w:rsidR="00C03338" w:rsidRPr="00FD211F">
        <w:rPr>
          <w:sz w:val="36"/>
          <w:szCs w:val="36"/>
          <w:rtl/>
        </w:rPr>
        <w:t>ان</w:t>
      </w:r>
      <w:r w:rsidR="00B900E1" w:rsidRPr="00FD211F">
        <w:rPr>
          <w:sz w:val="36"/>
          <w:szCs w:val="36"/>
          <w:rtl/>
        </w:rPr>
        <w:t xml:space="preserve"> بنتي</w:t>
      </w:r>
      <w:r w:rsidR="00EC7EDF" w:rsidRPr="00FD211F">
        <w:rPr>
          <w:sz w:val="36"/>
          <w:szCs w:val="36"/>
          <w:rtl/>
        </w:rPr>
        <w:t xml:space="preserve">ة </w:t>
      </w:r>
      <w:r w:rsidR="00B900E1" w:rsidRPr="00FD211F">
        <w:rPr>
          <w:sz w:val="36"/>
          <w:szCs w:val="36"/>
          <w:rtl/>
        </w:rPr>
        <w:t>الصغير</w:t>
      </w:r>
      <w:r w:rsidR="00EC7EDF" w:rsidRPr="00FD211F">
        <w:rPr>
          <w:sz w:val="36"/>
          <w:szCs w:val="36"/>
          <w:rtl/>
        </w:rPr>
        <w:t xml:space="preserve">ة </w:t>
      </w:r>
      <w:r w:rsidR="00B900E1" w:rsidRPr="00FD211F">
        <w:rPr>
          <w:sz w:val="36"/>
          <w:szCs w:val="36"/>
          <w:rtl/>
        </w:rPr>
        <w:t>للكبير</w:t>
      </w:r>
      <w:r w:rsidR="00EC7EDF" w:rsidRPr="00FD211F">
        <w:rPr>
          <w:sz w:val="36"/>
          <w:szCs w:val="36"/>
          <w:rtl/>
        </w:rPr>
        <w:t xml:space="preserve">ة </w:t>
      </w:r>
      <w:r w:rsidR="00B900E1" w:rsidRPr="00FD211F">
        <w:rPr>
          <w:sz w:val="36"/>
          <w:szCs w:val="36"/>
          <w:rtl/>
        </w:rPr>
        <w:t>الاولى واموم</w:t>
      </w:r>
      <w:r w:rsidR="00EC7EDF" w:rsidRPr="00FD211F">
        <w:rPr>
          <w:sz w:val="36"/>
          <w:szCs w:val="36"/>
          <w:rtl/>
        </w:rPr>
        <w:t xml:space="preserve">ة </w:t>
      </w:r>
      <w:r w:rsidR="00B900E1" w:rsidRPr="00FD211F">
        <w:rPr>
          <w:sz w:val="36"/>
          <w:szCs w:val="36"/>
          <w:rtl/>
        </w:rPr>
        <w:t>الكبير</w:t>
      </w:r>
      <w:r w:rsidR="00EC7EDF" w:rsidRPr="00FD211F">
        <w:rPr>
          <w:sz w:val="36"/>
          <w:szCs w:val="36"/>
          <w:rtl/>
        </w:rPr>
        <w:t xml:space="preserve">ة </w:t>
      </w:r>
      <w:r w:rsidR="00B900E1" w:rsidRPr="00FD211F">
        <w:rPr>
          <w:sz w:val="36"/>
          <w:szCs w:val="36"/>
          <w:rtl/>
        </w:rPr>
        <w:t>لها وان كانتا متساويتين رتب</w:t>
      </w:r>
      <w:r w:rsidR="00EC7EDF" w:rsidRPr="00FD211F">
        <w:rPr>
          <w:sz w:val="36"/>
          <w:szCs w:val="36"/>
          <w:rtl/>
        </w:rPr>
        <w:t xml:space="preserve">ة </w:t>
      </w:r>
      <w:r w:rsidR="00B900E1" w:rsidRPr="00FD211F">
        <w:rPr>
          <w:sz w:val="36"/>
          <w:szCs w:val="36"/>
          <w:rtl/>
        </w:rPr>
        <w:t>لمكان تضايفهما لكن تقدم بنتي</w:t>
      </w:r>
      <w:r w:rsidR="00EC7EDF" w:rsidRPr="00FD211F">
        <w:rPr>
          <w:sz w:val="36"/>
          <w:szCs w:val="36"/>
          <w:rtl/>
        </w:rPr>
        <w:t xml:space="preserve">ة </w:t>
      </w:r>
      <w:r w:rsidR="00B900E1" w:rsidRPr="00FD211F">
        <w:rPr>
          <w:sz w:val="36"/>
          <w:szCs w:val="36"/>
          <w:rtl/>
        </w:rPr>
        <w:t>الصغير</w:t>
      </w:r>
      <w:r w:rsidR="00EC7EDF" w:rsidRPr="00FD211F">
        <w:rPr>
          <w:sz w:val="36"/>
          <w:szCs w:val="36"/>
          <w:rtl/>
        </w:rPr>
        <w:t xml:space="preserve">ة </w:t>
      </w:r>
      <w:r w:rsidR="00B900E1" w:rsidRPr="00FD211F">
        <w:rPr>
          <w:sz w:val="36"/>
          <w:szCs w:val="36"/>
          <w:rtl/>
        </w:rPr>
        <w:t>للكبير</w:t>
      </w:r>
      <w:r w:rsidR="00EC7EDF" w:rsidRPr="00FD211F">
        <w:rPr>
          <w:sz w:val="36"/>
          <w:szCs w:val="36"/>
          <w:rtl/>
        </w:rPr>
        <w:t xml:space="preserve">ة </w:t>
      </w:r>
      <w:r w:rsidR="00C03338" w:rsidRPr="00FD211F">
        <w:rPr>
          <w:sz w:val="36"/>
          <w:szCs w:val="36"/>
          <w:rtl/>
        </w:rPr>
        <w:t>على زوال زوجي</w:t>
      </w:r>
      <w:r w:rsidR="00EC7EDF" w:rsidRPr="00FD211F">
        <w:rPr>
          <w:sz w:val="36"/>
          <w:szCs w:val="36"/>
          <w:rtl/>
        </w:rPr>
        <w:t xml:space="preserve">ة </w:t>
      </w:r>
      <w:r w:rsidR="00C03338" w:rsidRPr="00FD211F">
        <w:rPr>
          <w:sz w:val="36"/>
          <w:szCs w:val="36"/>
          <w:rtl/>
        </w:rPr>
        <w:t>الصغير</w:t>
      </w:r>
      <w:r w:rsidR="00EC7EDF" w:rsidRPr="00FD211F">
        <w:rPr>
          <w:sz w:val="36"/>
          <w:szCs w:val="36"/>
          <w:rtl/>
        </w:rPr>
        <w:t xml:space="preserve">ة </w:t>
      </w:r>
      <w:r w:rsidR="00C03338" w:rsidRPr="00FD211F">
        <w:rPr>
          <w:sz w:val="36"/>
          <w:szCs w:val="36"/>
          <w:rtl/>
        </w:rPr>
        <w:t>بنكت</w:t>
      </w:r>
      <w:r w:rsidR="00EC7EDF" w:rsidRPr="00FD211F">
        <w:rPr>
          <w:sz w:val="36"/>
          <w:szCs w:val="36"/>
          <w:rtl/>
        </w:rPr>
        <w:t xml:space="preserve">ة </w:t>
      </w:r>
      <w:r w:rsidR="00C03338" w:rsidRPr="00FD211F">
        <w:rPr>
          <w:sz w:val="36"/>
          <w:szCs w:val="36"/>
          <w:rtl/>
        </w:rPr>
        <w:t>تقدم الموضوع على حكمه لايقتضي تق</w:t>
      </w:r>
      <w:r w:rsidR="00B900E1" w:rsidRPr="00FD211F">
        <w:rPr>
          <w:sz w:val="36"/>
          <w:szCs w:val="36"/>
          <w:rtl/>
        </w:rPr>
        <w:t>دم أموم</w:t>
      </w:r>
      <w:r w:rsidR="00EC7EDF" w:rsidRPr="00FD211F">
        <w:rPr>
          <w:sz w:val="36"/>
          <w:szCs w:val="36"/>
          <w:rtl/>
        </w:rPr>
        <w:t xml:space="preserve">ة </w:t>
      </w:r>
      <w:r w:rsidR="00B900E1" w:rsidRPr="00FD211F">
        <w:rPr>
          <w:sz w:val="36"/>
          <w:szCs w:val="36"/>
          <w:rtl/>
        </w:rPr>
        <w:t>الكبير</w:t>
      </w:r>
      <w:r w:rsidR="00EC7EDF" w:rsidRPr="00FD211F">
        <w:rPr>
          <w:sz w:val="36"/>
          <w:szCs w:val="36"/>
          <w:rtl/>
        </w:rPr>
        <w:t xml:space="preserve">ة </w:t>
      </w:r>
      <w:r w:rsidR="00C03338" w:rsidRPr="00FD211F">
        <w:rPr>
          <w:sz w:val="36"/>
          <w:szCs w:val="36"/>
          <w:rtl/>
        </w:rPr>
        <w:t>لها على زوال زوجي</w:t>
      </w:r>
      <w:r w:rsidR="00EC7EDF" w:rsidRPr="00FD211F">
        <w:rPr>
          <w:sz w:val="36"/>
          <w:szCs w:val="36"/>
          <w:rtl/>
        </w:rPr>
        <w:t xml:space="preserve">ة </w:t>
      </w:r>
      <w:r w:rsidR="00C03338" w:rsidRPr="00FD211F">
        <w:rPr>
          <w:sz w:val="36"/>
          <w:szCs w:val="36"/>
          <w:rtl/>
        </w:rPr>
        <w:t>الصغ</w:t>
      </w:r>
      <w:r w:rsidR="00EE4D82" w:rsidRPr="00FD211F">
        <w:rPr>
          <w:sz w:val="36"/>
          <w:szCs w:val="36"/>
          <w:rtl/>
        </w:rPr>
        <w:t>ير</w:t>
      </w:r>
      <w:r w:rsidR="00EC7EDF" w:rsidRPr="00FD211F">
        <w:rPr>
          <w:sz w:val="36"/>
          <w:szCs w:val="36"/>
          <w:rtl/>
        </w:rPr>
        <w:t>ة</w:t>
      </w:r>
      <w:r w:rsidR="00603323" w:rsidRPr="00FD211F">
        <w:rPr>
          <w:sz w:val="36"/>
          <w:szCs w:val="36"/>
          <w:rtl/>
        </w:rPr>
        <w:t xml:space="preserve">، </w:t>
      </w:r>
      <w:r w:rsidR="00C03338" w:rsidRPr="00FD211F">
        <w:rPr>
          <w:sz w:val="36"/>
          <w:szCs w:val="36"/>
          <w:rtl/>
        </w:rPr>
        <w:t>فانه لابد من تحقق الملاك في التقدم والتأخر الرتبي وهو علي</w:t>
      </w:r>
      <w:r w:rsidR="00EC7EDF" w:rsidRPr="00FD211F">
        <w:rPr>
          <w:sz w:val="36"/>
          <w:szCs w:val="36"/>
          <w:rtl/>
        </w:rPr>
        <w:t xml:space="preserve">ة </w:t>
      </w:r>
      <w:r w:rsidR="00C03338" w:rsidRPr="00FD211F">
        <w:rPr>
          <w:sz w:val="36"/>
          <w:szCs w:val="36"/>
          <w:rtl/>
        </w:rPr>
        <w:t>المتقدم للمتأخر</w:t>
      </w:r>
      <w:r w:rsidR="00603323" w:rsidRPr="00FD211F">
        <w:rPr>
          <w:sz w:val="36"/>
          <w:szCs w:val="36"/>
          <w:rtl/>
        </w:rPr>
        <w:t xml:space="preserve">، </w:t>
      </w:r>
      <w:r w:rsidR="00C03338" w:rsidRPr="00FD211F">
        <w:rPr>
          <w:sz w:val="36"/>
          <w:szCs w:val="36"/>
          <w:rtl/>
        </w:rPr>
        <w:t>ومجرد كون احد المتساويين مقدما رتب</w:t>
      </w:r>
      <w:r w:rsidR="00EC7EDF" w:rsidRPr="00FD211F">
        <w:rPr>
          <w:sz w:val="36"/>
          <w:szCs w:val="36"/>
          <w:rtl/>
        </w:rPr>
        <w:t xml:space="preserve">ة </w:t>
      </w:r>
      <w:r w:rsidR="00C03338" w:rsidRPr="00FD211F">
        <w:rPr>
          <w:sz w:val="36"/>
          <w:szCs w:val="36"/>
          <w:rtl/>
        </w:rPr>
        <w:t xml:space="preserve">على </w:t>
      </w:r>
      <w:r w:rsidR="008D7B3D" w:rsidRPr="00FD211F">
        <w:rPr>
          <w:sz w:val="36"/>
          <w:szCs w:val="36"/>
          <w:rtl/>
        </w:rPr>
        <w:t xml:space="preserve">شيء </w:t>
      </w:r>
      <w:r w:rsidR="00C03338" w:rsidRPr="00FD211F">
        <w:rPr>
          <w:sz w:val="36"/>
          <w:szCs w:val="36"/>
          <w:rtl/>
        </w:rPr>
        <w:t>لايقتضي تقدم المساوي الآخر على ذلك الشيئ</w:t>
      </w:r>
      <w:r w:rsidR="00603323" w:rsidRPr="00FD211F">
        <w:rPr>
          <w:sz w:val="36"/>
          <w:szCs w:val="36"/>
          <w:rtl/>
        </w:rPr>
        <w:t xml:space="preserve">، </w:t>
      </w:r>
      <w:r w:rsidR="00C03338" w:rsidRPr="00FD211F">
        <w:rPr>
          <w:sz w:val="36"/>
          <w:szCs w:val="36"/>
          <w:rtl/>
        </w:rPr>
        <w:t>فتقدم النار على الحرار</w:t>
      </w:r>
      <w:r w:rsidR="00EC7EDF" w:rsidRPr="00FD211F">
        <w:rPr>
          <w:sz w:val="36"/>
          <w:szCs w:val="36"/>
          <w:rtl/>
        </w:rPr>
        <w:t xml:space="preserve">ة </w:t>
      </w:r>
      <w:r w:rsidR="00C03338" w:rsidRPr="00FD211F">
        <w:rPr>
          <w:sz w:val="36"/>
          <w:szCs w:val="36"/>
          <w:rtl/>
        </w:rPr>
        <w:t>بملاك العلي</w:t>
      </w:r>
      <w:r w:rsidR="00EC7EDF" w:rsidRPr="00FD211F">
        <w:rPr>
          <w:sz w:val="36"/>
          <w:szCs w:val="36"/>
          <w:rtl/>
        </w:rPr>
        <w:t xml:space="preserve">ة </w:t>
      </w:r>
      <w:r w:rsidR="00C03338" w:rsidRPr="00FD211F">
        <w:rPr>
          <w:sz w:val="36"/>
          <w:szCs w:val="36"/>
          <w:rtl/>
        </w:rPr>
        <w:t>لايستلزم تقدم الماء الذي هو مساو رتب</w:t>
      </w:r>
      <w:r w:rsidR="00EC7EDF" w:rsidRPr="00FD211F">
        <w:rPr>
          <w:sz w:val="36"/>
          <w:szCs w:val="36"/>
          <w:rtl/>
        </w:rPr>
        <w:t xml:space="preserve">ة </w:t>
      </w:r>
      <w:r w:rsidR="00C03338" w:rsidRPr="00FD211F">
        <w:rPr>
          <w:sz w:val="36"/>
          <w:szCs w:val="36"/>
          <w:rtl/>
        </w:rPr>
        <w:t>مع النار على الحرار</w:t>
      </w:r>
      <w:r w:rsidR="00EC7EDF" w:rsidRPr="00FD211F">
        <w:rPr>
          <w:sz w:val="36"/>
          <w:szCs w:val="36"/>
          <w:rtl/>
        </w:rPr>
        <w:t xml:space="preserve">ة </w:t>
      </w:r>
      <w:r w:rsidR="00C03338" w:rsidRPr="00FD211F">
        <w:rPr>
          <w:sz w:val="36"/>
          <w:szCs w:val="36"/>
          <w:rtl/>
        </w:rPr>
        <w:t>لانتفاء ملاك العلي</w:t>
      </w:r>
      <w:r w:rsidR="00EC7EDF" w:rsidRPr="00FD211F">
        <w:rPr>
          <w:sz w:val="36"/>
          <w:szCs w:val="36"/>
          <w:rtl/>
        </w:rPr>
        <w:t xml:space="preserve">ة </w:t>
      </w:r>
      <w:r w:rsidR="00C03338" w:rsidRPr="00FD211F">
        <w:rPr>
          <w:sz w:val="36"/>
          <w:szCs w:val="36"/>
          <w:rtl/>
        </w:rPr>
        <w:t>بين الماء والحرار</w:t>
      </w:r>
      <w:r w:rsidR="00EC7EDF" w:rsidRPr="00FD211F">
        <w:rPr>
          <w:sz w:val="36"/>
          <w:szCs w:val="36"/>
          <w:rtl/>
        </w:rPr>
        <w:t>ة</w:t>
      </w:r>
      <w:r w:rsidR="00603323" w:rsidRPr="00FD211F">
        <w:rPr>
          <w:sz w:val="36"/>
          <w:szCs w:val="36"/>
          <w:rtl/>
        </w:rPr>
        <w:t xml:space="preserve">، </w:t>
      </w:r>
      <w:r w:rsidR="00670C1B" w:rsidRPr="00FD211F">
        <w:rPr>
          <w:sz w:val="36"/>
          <w:szCs w:val="36"/>
          <w:rtl/>
        </w:rPr>
        <w:t>وفي المقام أيضا لاتوجد ملاك العلي</w:t>
      </w:r>
      <w:r w:rsidR="00EC7EDF" w:rsidRPr="00FD211F">
        <w:rPr>
          <w:sz w:val="36"/>
          <w:szCs w:val="36"/>
          <w:rtl/>
        </w:rPr>
        <w:t xml:space="preserve">ة </w:t>
      </w:r>
      <w:r w:rsidR="00670C1B" w:rsidRPr="00FD211F">
        <w:rPr>
          <w:sz w:val="36"/>
          <w:szCs w:val="36"/>
          <w:rtl/>
        </w:rPr>
        <w:t>بين أموم</w:t>
      </w:r>
      <w:r w:rsidR="00EC7EDF" w:rsidRPr="00FD211F">
        <w:rPr>
          <w:sz w:val="36"/>
          <w:szCs w:val="36"/>
          <w:rtl/>
        </w:rPr>
        <w:t xml:space="preserve">ة </w:t>
      </w:r>
      <w:r w:rsidR="00670C1B" w:rsidRPr="00FD211F">
        <w:rPr>
          <w:sz w:val="36"/>
          <w:szCs w:val="36"/>
          <w:rtl/>
        </w:rPr>
        <w:t>الكبير</w:t>
      </w:r>
      <w:r w:rsidR="00EC7EDF" w:rsidRPr="00FD211F">
        <w:rPr>
          <w:sz w:val="36"/>
          <w:szCs w:val="36"/>
          <w:rtl/>
        </w:rPr>
        <w:t xml:space="preserve">ة </w:t>
      </w:r>
      <w:r w:rsidR="00670C1B" w:rsidRPr="00FD211F">
        <w:rPr>
          <w:sz w:val="36"/>
          <w:szCs w:val="36"/>
          <w:rtl/>
        </w:rPr>
        <w:t>الأولى للصغير</w:t>
      </w:r>
      <w:r w:rsidR="00EC7EDF" w:rsidRPr="00FD211F">
        <w:rPr>
          <w:sz w:val="36"/>
          <w:szCs w:val="36"/>
          <w:rtl/>
        </w:rPr>
        <w:t xml:space="preserve">ة </w:t>
      </w:r>
      <w:r w:rsidR="00670C1B" w:rsidRPr="00FD211F">
        <w:rPr>
          <w:sz w:val="36"/>
          <w:szCs w:val="36"/>
          <w:rtl/>
        </w:rPr>
        <w:t>وبين زوال زوجي</w:t>
      </w:r>
      <w:r w:rsidR="00EC7EDF" w:rsidRPr="00FD211F">
        <w:rPr>
          <w:sz w:val="36"/>
          <w:szCs w:val="36"/>
          <w:rtl/>
        </w:rPr>
        <w:t xml:space="preserve">ة </w:t>
      </w:r>
      <w:r w:rsidR="00670C1B" w:rsidRPr="00FD211F">
        <w:rPr>
          <w:sz w:val="36"/>
          <w:szCs w:val="36"/>
          <w:rtl/>
        </w:rPr>
        <w:t>الصغير</w:t>
      </w:r>
      <w:r w:rsidR="00EC7EDF" w:rsidRPr="00FD211F">
        <w:rPr>
          <w:sz w:val="36"/>
          <w:szCs w:val="36"/>
          <w:rtl/>
        </w:rPr>
        <w:t>ة</w:t>
      </w:r>
      <w:r w:rsidR="00603323" w:rsidRPr="00FD211F">
        <w:rPr>
          <w:sz w:val="36"/>
          <w:szCs w:val="36"/>
          <w:rtl/>
        </w:rPr>
        <w:t xml:space="preserve">، </w:t>
      </w:r>
      <w:r w:rsidR="00670C1B" w:rsidRPr="00FD211F">
        <w:rPr>
          <w:sz w:val="36"/>
          <w:szCs w:val="36"/>
          <w:rtl/>
        </w:rPr>
        <w:t>لعدم كونها موضوعا له</w:t>
      </w:r>
      <w:r w:rsidR="009C58C8" w:rsidRPr="00FD211F">
        <w:rPr>
          <w:rStyle w:val="a6"/>
          <w:sz w:val="36"/>
          <w:szCs w:val="36"/>
          <w:rtl/>
        </w:rPr>
        <w:t>(</w:t>
      </w:r>
      <w:r w:rsidR="009C58C8" w:rsidRPr="00FD211F">
        <w:rPr>
          <w:rStyle w:val="a6"/>
          <w:sz w:val="36"/>
          <w:szCs w:val="36"/>
          <w:rtl/>
        </w:rPr>
        <w:footnoteReference w:id="487"/>
      </w:r>
      <w:r w:rsidR="009C58C8" w:rsidRPr="00FD211F">
        <w:rPr>
          <w:rStyle w:val="a6"/>
          <w:sz w:val="36"/>
          <w:szCs w:val="36"/>
          <w:rtl/>
        </w:rPr>
        <w:t>)</w:t>
      </w:r>
      <w:r w:rsidR="00C03338" w:rsidRPr="00FD211F">
        <w:rPr>
          <w:sz w:val="36"/>
          <w:szCs w:val="36"/>
          <w:rtl/>
        </w:rPr>
        <w:t>.</w:t>
      </w:r>
    </w:p>
    <w:p w14:paraId="760F3F69" w14:textId="77777777" w:rsidR="00C03338" w:rsidRPr="00FD211F" w:rsidRDefault="00C03338" w:rsidP="009C58C8">
      <w:pPr>
        <w:ind w:left="0" w:firstLine="227"/>
        <w:jc w:val="both"/>
        <w:rPr>
          <w:sz w:val="36"/>
          <w:szCs w:val="36"/>
          <w:rtl/>
        </w:rPr>
      </w:pPr>
      <w:r w:rsidRPr="00FD211F">
        <w:rPr>
          <w:sz w:val="36"/>
          <w:szCs w:val="36"/>
          <w:rtl/>
        </w:rPr>
        <w:t>ولكن الظاهر عدم تمامي</w:t>
      </w:r>
      <w:r w:rsidR="00EC7EDF" w:rsidRPr="00FD211F">
        <w:rPr>
          <w:sz w:val="36"/>
          <w:szCs w:val="36"/>
          <w:rtl/>
        </w:rPr>
        <w:t xml:space="preserve">ة </w:t>
      </w:r>
      <w:r w:rsidRPr="00FD211F">
        <w:rPr>
          <w:sz w:val="36"/>
          <w:szCs w:val="36"/>
          <w:rtl/>
        </w:rPr>
        <w:t>هذا الايراد</w:t>
      </w:r>
      <w:r w:rsidR="00603323" w:rsidRPr="00FD211F">
        <w:rPr>
          <w:sz w:val="36"/>
          <w:szCs w:val="36"/>
          <w:rtl/>
        </w:rPr>
        <w:t xml:space="preserve">، </w:t>
      </w:r>
      <w:r w:rsidRPr="00FD211F">
        <w:rPr>
          <w:sz w:val="36"/>
          <w:szCs w:val="36"/>
          <w:rtl/>
        </w:rPr>
        <w:t>فانه بعد بقاء زوجي</w:t>
      </w:r>
      <w:r w:rsidR="00EC7EDF" w:rsidRPr="00FD211F">
        <w:rPr>
          <w:sz w:val="36"/>
          <w:szCs w:val="36"/>
          <w:rtl/>
        </w:rPr>
        <w:t xml:space="preserve">ة </w:t>
      </w:r>
      <w:r w:rsidRPr="00FD211F">
        <w:rPr>
          <w:sz w:val="36"/>
          <w:szCs w:val="36"/>
          <w:rtl/>
        </w:rPr>
        <w:t>الصغير</w:t>
      </w:r>
      <w:r w:rsidR="00EC7EDF" w:rsidRPr="00FD211F">
        <w:rPr>
          <w:sz w:val="36"/>
          <w:szCs w:val="36"/>
          <w:rtl/>
        </w:rPr>
        <w:t xml:space="preserve">ة </w:t>
      </w:r>
      <w:r w:rsidRPr="00FD211F">
        <w:rPr>
          <w:sz w:val="36"/>
          <w:szCs w:val="36"/>
          <w:rtl/>
        </w:rPr>
        <w:t>في رتب</w:t>
      </w:r>
      <w:r w:rsidR="00EC7EDF" w:rsidRPr="00FD211F">
        <w:rPr>
          <w:sz w:val="36"/>
          <w:szCs w:val="36"/>
          <w:rtl/>
        </w:rPr>
        <w:t xml:space="preserve">ة </w:t>
      </w:r>
      <w:r w:rsidRPr="00FD211F">
        <w:rPr>
          <w:sz w:val="36"/>
          <w:szCs w:val="36"/>
          <w:rtl/>
        </w:rPr>
        <w:t>حصول بنتيتها للكبير</w:t>
      </w:r>
      <w:r w:rsidR="00EC7EDF" w:rsidRPr="00FD211F">
        <w:rPr>
          <w:sz w:val="36"/>
          <w:szCs w:val="36"/>
          <w:rtl/>
        </w:rPr>
        <w:t xml:space="preserve">ة </w:t>
      </w:r>
      <w:r w:rsidRPr="00FD211F">
        <w:rPr>
          <w:sz w:val="36"/>
          <w:szCs w:val="36"/>
          <w:rtl/>
        </w:rPr>
        <w:t>الأولى فتكون اموم</w:t>
      </w:r>
      <w:r w:rsidR="00EC7EDF" w:rsidRPr="00FD211F">
        <w:rPr>
          <w:sz w:val="36"/>
          <w:szCs w:val="36"/>
          <w:rtl/>
        </w:rPr>
        <w:t xml:space="preserve">ة </w:t>
      </w:r>
      <w:r w:rsidR="004D3450" w:rsidRPr="00FD211F">
        <w:rPr>
          <w:sz w:val="36"/>
          <w:szCs w:val="36"/>
          <w:rtl/>
        </w:rPr>
        <w:t>الكبير</w:t>
      </w:r>
      <w:r w:rsidR="00EC7EDF" w:rsidRPr="00FD211F">
        <w:rPr>
          <w:sz w:val="36"/>
          <w:szCs w:val="36"/>
          <w:rtl/>
        </w:rPr>
        <w:t xml:space="preserve">ة </w:t>
      </w:r>
      <w:r w:rsidR="004D3450" w:rsidRPr="00FD211F">
        <w:rPr>
          <w:sz w:val="36"/>
          <w:szCs w:val="36"/>
          <w:rtl/>
        </w:rPr>
        <w:t>الأولى لها متحقق</w:t>
      </w:r>
      <w:r w:rsidR="00EC7EDF" w:rsidRPr="00FD211F">
        <w:rPr>
          <w:sz w:val="36"/>
          <w:szCs w:val="36"/>
          <w:rtl/>
        </w:rPr>
        <w:t xml:space="preserve">ة </w:t>
      </w:r>
      <w:r w:rsidR="004D3450" w:rsidRPr="00FD211F">
        <w:rPr>
          <w:sz w:val="36"/>
          <w:szCs w:val="36"/>
          <w:rtl/>
        </w:rPr>
        <w:t>في رتب</w:t>
      </w:r>
      <w:r w:rsidR="00EC7EDF" w:rsidRPr="00FD211F">
        <w:rPr>
          <w:sz w:val="36"/>
          <w:szCs w:val="36"/>
          <w:rtl/>
        </w:rPr>
        <w:t xml:space="preserve">ة </w:t>
      </w:r>
      <w:r w:rsidR="004D3450" w:rsidRPr="00FD211F">
        <w:rPr>
          <w:sz w:val="36"/>
          <w:szCs w:val="36"/>
          <w:rtl/>
        </w:rPr>
        <w:t>بقاء زوجي</w:t>
      </w:r>
      <w:r w:rsidR="00EC7EDF" w:rsidRPr="00FD211F">
        <w:rPr>
          <w:sz w:val="36"/>
          <w:szCs w:val="36"/>
          <w:rtl/>
        </w:rPr>
        <w:t xml:space="preserve">ة </w:t>
      </w:r>
      <w:r w:rsidR="004D3450" w:rsidRPr="00FD211F">
        <w:rPr>
          <w:sz w:val="36"/>
          <w:szCs w:val="36"/>
          <w:rtl/>
        </w:rPr>
        <w:t>الصغير</w:t>
      </w:r>
      <w:r w:rsidR="00EC7EDF" w:rsidRPr="00FD211F">
        <w:rPr>
          <w:sz w:val="36"/>
          <w:szCs w:val="36"/>
          <w:rtl/>
        </w:rPr>
        <w:t xml:space="preserve">ة </w:t>
      </w:r>
      <w:r w:rsidR="004D3450" w:rsidRPr="00FD211F">
        <w:rPr>
          <w:sz w:val="36"/>
          <w:szCs w:val="36"/>
          <w:rtl/>
        </w:rPr>
        <w:t xml:space="preserve">لأجل التضايف بين </w:t>
      </w:r>
      <w:r w:rsidR="00DB5CB5" w:rsidRPr="00FD211F">
        <w:rPr>
          <w:sz w:val="36"/>
          <w:szCs w:val="36"/>
          <w:rtl/>
        </w:rPr>
        <w:t>البنتي</w:t>
      </w:r>
      <w:r w:rsidR="00EC7EDF" w:rsidRPr="00FD211F">
        <w:rPr>
          <w:sz w:val="36"/>
          <w:szCs w:val="36"/>
          <w:rtl/>
        </w:rPr>
        <w:t xml:space="preserve">ة </w:t>
      </w:r>
      <w:r w:rsidR="00DB5CB5" w:rsidRPr="00FD211F">
        <w:rPr>
          <w:sz w:val="36"/>
          <w:szCs w:val="36"/>
          <w:rtl/>
        </w:rPr>
        <w:t>والأموم</w:t>
      </w:r>
      <w:r w:rsidR="00EC7EDF" w:rsidRPr="00FD211F">
        <w:rPr>
          <w:sz w:val="36"/>
          <w:szCs w:val="36"/>
          <w:rtl/>
        </w:rPr>
        <w:t>ة</w:t>
      </w:r>
      <w:r w:rsidR="00603323" w:rsidRPr="00FD211F">
        <w:rPr>
          <w:sz w:val="36"/>
          <w:szCs w:val="36"/>
          <w:rtl/>
        </w:rPr>
        <w:t xml:space="preserve">، </w:t>
      </w:r>
      <w:r w:rsidR="00DB5CB5" w:rsidRPr="00FD211F">
        <w:rPr>
          <w:sz w:val="36"/>
          <w:szCs w:val="36"/>
          <w:rtl/>
        </w:rPr>
        <w:t>فان</w:t>
      </w:r>
      <w:r w:rsidR="00B253CE" w:rsidRPr="00FD211F">
        <w:rPr>
          <w:sz w:val="36"/>
          <w:szCs w:val="36"/>
          <w:rtl/>
        </w:rPr>
        <w:t xml:space="preserve"> </w:t>
      </w:r>
      <w:r w:rsidR="004D3450" w:rsidRPr="00FD211F">
        <w:rPr>
          <w:sz w:val="36"/>
          <w:szCs w:val="36"/>
          <w:rtl/>
        </w:rPr>
        <w:t>تساوي المتضايفين في الرتب</w:t>
      </w:r>
      <w:r w:rsidR="00EC7EDF" w:rsidRPr="00FD211F">
        <w:rPr>
          <w:sz w:val="36"/>
          <w:szCs w:val="36"/>
          <w:rtl/>
        </w:rPr>
        <w:t xml:space="preserve">ة </w:t>
      </w:r>
      <w:r w:rsidR="004D3450" w:rsidRPr="00FD211F">
        <w:rPr>
          <w:sz w:val="36"/>
          <w:szCs w:val="36"/>
          <w:rtl/>
        </w:rPr>
        <w:t>يكون ناشئا عن المقتضي لاتحادهما في الرتب</w:t>
      </w:r>
      <w:r w:rsidR="00EC7EDF" w:rsidRPr="00FD211F">
        <w:rPr>
          <w:sz w:val="36"/>
          <w:szCs w:val="36"/>
          <w:rtl/>
        </w:rPr>
        <w:t xml:space="preserve">ة </w:t>
      </w:r>
      <w:r w:rsidR="004D3450" w:rsidRPr="00FD211F">
        <w:rPr>
          <w:sz w:val="36"/>
          <w:szCs w:val="36"/>
          <w:rtl/>
        </w:rPr>
        <w:t>بالنظر العرفي</w:t>
      </w:r>
      <w:r w:rsidR="00C4579B" w:rsidRPr="00FD211F">
        <w:rPr>
          <w:sz w:val="36"/>
          <w:szCs w:val="36"/>
          <w:rtl/>
        </w:rPr>
        <w:t xml:space="preserve"> على الاقل</w:t>
      </w:r>
      <w:r w:rsidR="00603323" w:rsidRPr="00FD211F">
        <w:rPr>
          <w:sz w:val="36"/>
          <w:szCs w:val="36"/>
          <w:rtl/>
        </w:rPr>
        <w:t xml:space="preserve">، </w:t>
      </w:r>
      <w:r w:rsidR="004D3450" w:rsidRPr="00FD211F">
        <w:rPr>
          <w:sz w:val="36"/>
          <w:szCs w:val="36"/>
          <w:rtl/>
        </w:rPr>
        <w:t>ف</w:t>
      </w:r>
      <w:r w:rsidR="00DB5CB5" w:rsidRPr="00FD211F">
        <w:rPr>
          <w:sz w:val="36"/>
          <w:szCs w:val="36"/>
          <w:rtl/>
        </w:rPr>
        <w:t>كما</w:t>
      </w:r>
      <w:r w:rsidR="0087722B" w:rsidRPr="00FD211F">
        <w:rPr>
          <w:sz w:val="36"/>
          <w:szCs w:val="36"/>
          <w:rtl/>
        </w:rPr>
        <w:t xml:space="preserve"> </w:t>
      </w:r>
      <w:r w:rsidR="004D3450" w:rsidRPr="00FD211F">
        <w:rPr>
          <w:sz w:val="36"/>
          <w:szCs w:val="36"/>
          <w:rtl/>
        </w:rPr>
        <w:t>يكون الحكم المترتب على احدهما متأخرا رتب</w:t>
      </w:r>
      <w:r w:rsidR="00EC7EDF" w:rsidRPr="00FD211F">
        <w:rPr>
          <w:sz w:val="36"/>
          <w:szCs w:val="36"/>
          <w:rtl/>
        </w:rPr>
        <w:t xml:space="preserve">ة </w:t>
      </w:r>
      <w:r w:rsidR="004D3450" w:rsidRPr="00FD211F">
        <w:rPr>
          <w:sz w:val="36"/>
          <w:szCs w:val="36"/>
          <w:rtl/>
        </w:rPr>
        <w:t>عن</w:t>
      </w:r>
      <w:r w:rsidR="00DB5CB5" w:rsidRPr="00FD211F">
        <w:rPr>
          <w:sz w:val="36"/>
          <w:szCs w:val="36"/>
          <w:rtl/>
        </w:rPr>
        <w:t>ه فكذلك يكون متأخراعن</w:t>
      </w:r>
      <w:r w:rsidR="00B253CE" w:rsidRPr="00FD211F">
        <w:rPr>
          <w:sz w:val="36"/>
          <w:szCs w:val="36"/>
          <w:rtl/>
        </w:rPr>
        <w:t xml:space="preserve"> </w:t>
      </w:r>
      <w:r w:rsidR="004D3450" w:rsidRPr="00FD211F">
        <w:rPr>
          <w:sz w:val="36"/>
          <w:szCs w:val="36"/>
          <w:rtl/>
        </w:rPr>
        <w:t>الآخر أيضا</w:t>
      </w:r>
      <w:r w:rsidR="00603323" w:rsidRPr="00FD211F">
        <w:rPr>
          <w:sz w:val="36"/>
          <w:szCs w:val="36"/>
          <w:rtl/>
        </w:rPr>
        <w:t xml:space="preserve">، </w:t>
      </w:r>
      <w:r w:rsidR="004D3450" w:rsidRPr="00FD211F">
        <w:rPr>
          <w:sz w:val="36"/>
          <w:szCs w:val="36"/>
          <w:rtl/>
        </w:rPr>
        <w:t>فيختلف عمّا كان التساوي في الرتب</w:t>
      </w:r>
      <w:r w:rsidR="00EC7EDF" w:rsidRPr="00FD211F">
        <w:rPr>
          <w:sz w:val="36"/>
          <w:szCs w:val="36"/>
          <w:rtl/>
        </w:rPr>
        <w:t xml:space="preserve">ة </w:t>
      </w:r>
      <w:r w:rsidR="004D3450" w:rsidRPr="00FD211F">
        <w:rPr>
          <w:sz w:val="36"/>
          <w:szCs w:val="36"/>
          <w:rtl/>
        </w:rPr>
        <w:t>ناشئا عن مجرد عدم المقتضي للتقدم والتأخر الرتبي كالماء والنار</w:t>
      </w:r>
      <w:r w:rsidR="00603323" w:rsidRPr="00FD211F">
        <w:rPr>
          <w:sz w:val="36"/>
          <w:szCs w:val="36"/>
          <w:rtl/>
        </w:rPr>
        <w:t xml:space="preserve">، </w:t>
      </w:r>
      <w:r w:rsidR="004D3450" w:rsidRPr="00FD211F">
        <w:rPr>
          <w:sz w:val="36"/>
          <w:szCs w:val="36"/>
          <w:rtl/>
        </w:rPr>
        <w:t>فالحرار</w:t>
      </w:r>
      <w:r w:rsidR="00EC7EDF" w:rsidRPr="00FD211F">
        <w:rPr>
          <w:sz w:val="36"/>
          <w:szCs w:val="36"/>
          <w:rtl/>
        </w:rPr>
        <w:t xml:space="preserve">ة </w:t>
      </w:r>
      <w:r w:rsidR="004D3450" w:rsidRPr="00FD211F">
        <w:rPr>
          <w:sz w:val="36"/>
          <w:szCs w:val="36"/>
          <w:rtl/>
        </w:rPr>
        <w:t>الناشئ</w:t>
      </w:r>
      <w:r w:rsidR="00EC7EDF" w:rsidRPr="00FD211F">
        <w:rPr>
          <w:sz w:val="36"/>
          <w:szCs w:val="36"/>
          <w:rtl/>
        </w:rPr>
        <w:t xml:space="preserve">ة </w:t>
      </w:r>
      <w:r w:rsidR="004D3450" w:rsidRPr="00FD211F">
        <w:rPr>
          <w:sz w:val="36"/>
          <w:szCs w:val="36"/>
          <w:rtl/>
        </w:rPr>
        <w:t>عن النار لاتكون متأخر</w:t>
      </w:r>
      <w:r w:rsidR="00EC7EDF" w:rsidRPr="00FD211F">
        <w:rPr>
          <w:sz w:val="36"/>
          <w:szCs w:val="36"/>
          <w:rtl/>
        </w:rPr>
        <w:t xml:space="preserve">ة </w:t>
      </w:r>
      <w:r w:rsidR="004D3450" w:rsidRPr="00FD211F">
        <w:rPr>
          <w:sz w:val="36"/>
          <w:szCs w:val="36"/>
          <w:rtl/>
        </w:rPr>
        <w:t>عن الماء رتب</w:t>
      </w:r>
      <w:r w:rsidR="00EC7EDF" w:rsidRPr="00FD211F">
        <w:rPr>
          <w:sz w:val="36"/>
          <w:szCs w:val="36"/>
          <w:rtl/>
        </w:rPr>
        <w:t>ة</w:t>
      </w:r>
      <w:r w:rsidR="00A61BAE" w:rsidRPr="00FD211F">
        <w:rPr>
          <w:sz w:val="36"/>
          <w:szCs w:val="36"/>
          <w:rtl/>
        </w:rPr>
        <w:t>.</w:t>
      </w:r>
    </w:p>
    <w:p w14:paraId="4200A185" w14:textId="77777777" w:rsidR="00A50D2A" w:rsidRPr="00FD211F" w:rsidRDefault="004D3450" w:rsidP="00DD2AAE">
      <w:pPr>
        <w:ind w:left="0" w:firstLine="227"/>
        <w:jc w:val="both"/>
        <w:rPr>
          <w:sz w:val="36"/>
          <w:szCs w:val="36"/>
          <w:rtl/>
        </w:rPr>
      </w:pPr>
      <w:r w:rsidRPr="00FD211F">
        <w:rPr>
          <w:sz w:val="36"/>
          <w:szCs w:val="36"/>
          <w:rtl/>
        </w:rPr>
        <w:t xml:space="preserve">نعم لو فرض </w:t>
      </w:r>
      <w:r w:rsidR="00670C1B" w:rsidRPr="00FD211F">
        <w:rPr>
          <w:sz w:val="36"/>
          <w:szCs w:val="36"/>
          <w:rtl/>
        </w:rPr>
        <w:t>كون السبب لزوال زوجي</w:t>
      </w:r>
      <w:r w:rsidR="00EC7EDF" w:rsidRPr="00FD211F">
        <w:rPr>
          <w:sz w:val="36"/>
          <w:szCs w:val="36"/>
          <w:rtl/>
        </w:rPr>
        <w:t xml:space="preserve">ة </w:t>
      </w:r>
      <w:r w:rsidR="00670C1B" w:rsidRPr="00FD211F">
        <w:rPr>
          <w:sz w:val="36"/>
          <w:szCs w:val="36"/>
          <w:rtl/>
        </w:rPr>
        <w:t>الص</w:t>
      </w:r>
      <w:r w:rsidR="00B900E1" w:rsidRPr="00FD211F">
        <w:rPr>
          <w:sz w:val="36"/>
          <w:szCs w:val="36"/>
          <w:rtl/>
        </w:rPr>
        <w:t>غير</w:t>
      </w:r>
      <w:r w:rsidR="00EC7EDF" w:rsidRPr="00FD211F">
        <w:rPr>
          <w:sz w:val="36"/>
          <w:szCs w:val="36"/>
          <w:rtl/>
        </w:rPr>
        <w:t xml:space="preserve">ة </w:t>
      </w:r>
      <w:r w:rsidR="00B900E1" w:rsidRPr="00FD211F">
        <w:rPr>
          <w:sz w:val="36"/>
          <w:szCs w:val="36"/>
          <w:rtl/>
        </w:rPr>
        <w:t>صيرورتها بنتا رضاعي</w:t>
      </w:r>
      <w:r w:rsidR="00DD2AAE" w:rsidRPr="00FD211F">
        <w:rPr>
          <w:sz w:val="36"/>
          <w:szCs w:val="36"/>
          <w:rtl/>
        </w:rPr>
        <w:t>ة</w:t>
      </w:r>
      <w:r w:rsidR="00B900E1" w:rsidRPr="00FD211F">
        <w:rPr>
          <w:sz w:val="36"/>
          <w:szCs w:val="36"/>
          <w:rtl/>
        </w:rPr>
        <w:t xml:space="preserve"> للرجل</w:t>
      </w:r>
      <w:r w:rsidR="00670C1B" w:rsidRPr="00FD211F">
        <w:rPr>
          <w:sz w:val="36"/>
          <w:szCs w:val="36"/>
          <w:rtl/>
        </w:rPr>
        <w:t xml:space="preserve"> -كما </w:t>
      </w:r>
      <w:r w:rsidR="00B900E1" w:rsidRPr="00FD211F">
        <w:rPr>
          <w:sz w:val="36"/>
          <w:szCs w:val="36"/>
          <w:rtl/>
        </w:rPr>
        <w:t>في الصور</w:t>
      </w:r>
      <w:r w:rsidR="00EC7EDF" w:rsidRPr="00FD211F">
        <w:rPr>
          <w:sz w:val="36"/>
          <w:szCs w:val="36"/>
          <w:rtl/>
        </w:rPr>
        <w:t xml:space="preserve">ة </w:t>
      </w:r>
      <w:r w:rsidR="00B900E1" w:rsidRPr="00FD211F">
        <w:rPr>
          <w:sz w:val="36"/>
          <w:szCs w:val="36"/>
          <w:rtl/>
        </w:rPr>
        <w:t>الثاني</w:t>
      </w:r>
      <w:r w:rsidR="00EC7EDF" w:rsidRPr="00FD211F">
        <w:rPr>
          <w:sz w:val="36"/>
          <w:szCs w:val="36"/>
          <w:rtl/>
        </w:rPr>
        <w:t xml:space="preserve">ة </w:t>
      </w:r>
      <w:r w:rsidR="00B900E1" w:rsidRPr="00FD211F">
        <w:rPr>
          <w:sz w:val="36"/>
          <w:szCs w:val="36"/>
          <w:rtl/>
        </w:rPr>
        <w:t>وهي ما</w:t>
      </w:r>
      <w:r w:rsidR="00670C1B" w:rsidRPr="00FD211F">
        <w:rPr>
          <w:sz w:val="36"/>
          <w:szCs w:val="36"/>
          <w:rtl/>
        </w:rPr>
        <w:t>لو ارضعت</w:t>
      </w:r>
      <w:r w:rsidRPr="00FD211F">
        <w:rPr>
          <w:sz w:val="36"/>
          <w:szCs w:val="36"/>
          <w:rtl/>
        </w:rPr>
        <w:t xml:space="preserve"> الكبير</w:t>
      </w:r>
      <w:r w:rsidR="00EC7EDF" w:rsidRPr="00FD211F">
        <w:rPr>
          <w:sz w:val="36"/>
          <w:szCs w:val="36"/>
          <w:rtl/>
        </w:rPr>
        <w:t xml:space="preserve">ة </w:t>
      </w:r>
      <w:r w:rsidRPr="00FD211F">
        <w:rPr>
          <w:sz w:val="36"/>
          <w:szCs w:val="36"/>
          <w:rtl/>
        </w:rPr>
        <w:t>الاولى للصغير</w:t>
      </w:r>
      <w:r w:rsidR="00EC7EDF" w:rsidRPr="00FD211F">
        <w:rPr>
          <w:sz w:val="36"/>
          <w:szCs w:val="36"/>
          <w:rtl/>
        </w:rPr>
        <w:t xml:space="preserve">ة </w:t>
      </w:r>
      <w:r w:rsidRPr="00FD211F">
        <w:rPr>
          <w:sz w:val="36"/>
          <w:szCs w:val="36"/>
          <w:rtl/>
        </w:rPr>
        <w:t>من لبن الرجل مع عدم دخوله بالكبير</w:t>
      </w:r>
      <w:r w:rsidR="00EC7EDF" w:rsidRPr="00FD211F">
        <w:rPr>
          <w:sz w:val="36"/>
          <w:szCs w:val="36"/>
          <w:rtl/>
        </w:rPr>
        <w:t xml:space="preserve">ة </w:t>
      </w:r>
      <w:r w:rsidR="00670C1B" w:rsidRPr="00FD211F">
        <w:rPr>
          <w:sz w:val="36"/>
          <w:szCs w:val="36"/>
          <w:rtl/>
        </w:rPr>
        <w:t>-</w:t>
      </w:r>
      <w:r w:rsidRPr="00FD211F">
        <w:rPr>
          <w:sz w:val="36"/>
          <w:szCs w:val="36"/>
          <w:rtl/>
        </w:rPr>
        <w:t xml:space="preserve"> </w:t>
      </w:r>
      <w:r w:rsidR="00670C1B" w:rsidRPr="00FD211F">
        <w:rPr>
          <w:sz w:val="36"/>
          <w:szCs w:val="36"/>
          <w:rtl/>
        </w:rPr>
        <w:t>ف</w:t>
      </w:r>
      <w:r w:rsidRPr="00FD211F">
        <w:rPr>
          <w:sz w:val="36"/>
          <w:szCs w:val="36"/>
          <w:rtl/>
        </w:rPr>
        <w:t>ما يكون متضايفا لها هو ابوّته لها لاأموم</w:t>
      </w:r>
      <w:r w:rsidR="00EC7EDF" w:rsidRPr="00FD211F">
        <w:rPr>
          <w:sz w:val="36"/>
          <w:szCs w:val="36"/>
          <w:rtl/>
        </w:rPr>
        <w:t xml:space="preserve">ة </w:t>
      </w:r>
      <w:r w:rsidRPr="00FD211F">
        <w:rPr>
          <w:sz w:val="36"/>
          <w:szCs w:val="36"/>
          <w:rtl/>
        </w:rPr>
        <w:t>الكبير</w:t>
      </w:r>
      <w:r w:rsidR="00EC7EDF" w:rsidRPr="00FD211F">
        <w:rPr>
          <w:sz w:val="36"/>
          <w:szCs w:val="36"/>
          <w:rtl/>
        </w:rPr>
        <w:t xml:space="preserve">ة </w:t>
      </w:r>
      <w:r w:rsidRPr="00FD211F">
        <w:rPr>
          <w:sz w:val="36"/>
          <w:szCs w:val="36"/>
          <w:rtl/>
        </w:rPr>
        <w:t>لها</w:t>
      </w:r>
      <w:r w:rsidR="00603323" w:rsidRPr="00FD211F">
        <w:rPr>
          <w:sz w:val="36"/>
          <w:szCs w:val="36"/>
          <w:rtl/>
        </w:rPr>
        <w:t xml:space="preserve">، </w:t>
      </w:r>
      <w:r w:rsidR="00670C1B" w:rsidRPr="00FD211F">
        <w:rPr>
          <w:sz w:val="36"/>
          <w:szCs w:val="36"/>
          <w:rtl/>
        </w:rPr>
        <w:t>وعندئذ ف</w:t>
      </w:r>
      <w:r w:rsidR="00B664F5" w:rsidRPr="00FD211F">
        <w:rPr>
          <w:sz w:val="36"/>
          <w:szCs w:val="36"/>
          <w:rtl/>
        </w:rPr>
        <w:t>يكون</w:t>
      </w:r>
      <w:r w:rsidR="00670C1B" w:rsidRPr="00FD211F">
        <w:rPr>
          <w:sz w:val="36"/>
          <w:szCs w:val="36"/>
          <w:rtl/>
        </w:rPr>
        <w:t xml:space="preserve"> تساوي</w:t>
      </w:r>
      <w:r w:rsidR="00B664F5" w:rsidRPr="00FD211F">
        <w:rPr>
          <w:sz w:val="36"/>
          <w:szCs w:val="36"/>
          <w:rtl/>
        </w:rPr>
        <w:t xml:space="preserve"> </w:t>
      </w:r>
      <w:r w:rsidR="00670C1B" w:rsidRPr="00FD211F">
        <w:rPr>
          <w:sz w:val="36"/>
          <w:szCs w:val="36"/>
          <w:rtl/>
        </w:rPr>
        <w:t>بنتيتها للرجل مع بنتيتها للكبير</w:t>
      </w:r>
      <w:r w:rsidR="00EC7EDF" w:rsidRPr="00FD211F">
        <w:rPr>
          <w:sz w:val="36"/>
          <w:szCs w:val="36"/>
          <w:rtl/>
        </w:rPr>
        <w:t xml:space="preserve">ة </w:t>
      </w:r>
      <w:r w:rsidR="00670C1B" w:rsidRPr="00FD211F">
        <w:rPr>
          <w:sz w:val="36"/>
          <w:szCs w:val="36"/>
          <w:rtl/>
        </w:rPr>
        <w:t>واموم</w:t>
      </w:r>
      <w:r w:rsidR="00EC7EDF" w:rsidRPr="00FD211F">
        <w:rPr>
          <w:sz w:val="36"/>
          <w:szCs w:val="36"/>
          <w:rtl/>
        </w:rPr>
        <w:t xml:space="preserve">ة </w:t>
      </w:r>
      <w:r w:rsidR="00670C1B" w:rsidRPr="00FD211F">
        <w:rPr>
          <w:sz w:val="36"/>
          <w:szCs w:val="36"/>
          <w:rtl/>
        </w:rPr>
        <w:t>الكبير</w:t>
      </w:r>
      <w:r w:rsidR="00EC7EDF" w:rsidRPr="00FD211F">
        <w:rPr>
          <w:sz w:val="36"/>
          <w:szCs w:val="36"/>
          <w:rtl/>
        </w:rPr>
        <w:t xml:space="preserve">ة </w:t>
      </w:r>
      <w:r w:rsidR="00670C1B" w:rsidRPr="00FD211F">
        <w:rPr>
          <w:sz w:val="36"/>
          <w:szCs w:val="36"/>
          <w:rtl/>
        </w:rPr>
        <w:t>لها في الرتب</w:t>
      </w:r>
      <w:r w:rsidR="00EC7EDF" w:rsidRPr="00FD211F">
        <w:rPr>
          <w:sz w:val="36"/>
          <w:szCs w:val="36"/>
          <w:rtl/>
        </w:rPr>
        <w:t xml:space="preserve">ة </w:t>
      </w:r>
      <w:r w:rsidR="00670C1B" w:rsidRPr="00FD211F">
        <w:rPr>
          <w:sz w:val="36"/>
          <w:szCs w:val="36"/>
          <w:rtl/>
        </w:rPr>
        <w:t>بنكت</w:t>
      </w:r>
      <w:r w:rsidR="00EC7EDF" w:rsidRPr="00FD211F">
        <w:rPr>
          <w:sz w:val="36"/>
          <w:szCs w:val="36"/>
          <w:rtl/>
        </w:rPr>
        <w:t xml:space="preserve">ة </w:t>
      </w:r>
      <w:r w:rsidR="003253FD" w:rsidRPr="00FD211F">
        <w:rPr>
          <w:sz w:val="36"/>
          <w:szCs w:val="36"/>
          <w:rtl/>
        </w:rPr>
        <w:t>عدم ما يقتضي التقدم والتأخر الرتبي بينهما</w:t>
      </w:r>
      <w:r w:rsidR="00603323" w:rsidRPr="00FD211F">
        <w:rPr>
          <w:sz w:val="36"/>
          <w:szCs w:val="36"/>
          <w:rtl/>
        </w:rPr>
        <w:t xml:space="preserve">، </w:t>
      </w:r>
      <w:r w:rsidR="00670C1B" w:rsidRPr="00FD211F">
        <w:rPr>
          <w:sz w:val="36"/>
          <w:szCs w:val="36"/>
          <w:rtl/>
        </w:rPr>
        <w:t xml:space="preserve">فياتي فيه ما مر من ان </w:t>
      </w:r>
      <w:r w:rsidR="003253FD" w:rsidRPr="00FD211F">
        <w:rPr>
          <w:sz w:val="36"/>
          <w:szCs w:val="36"/>
          <w:rtl/>
        </w:rPr>
        <w:t>المتأخر رتب</w:t>
      </w:r>
      <w:r w:rsidR="00EC7EDF" w:rsidRPr="00FD211F">
        <w:rPr>
          <w:sz w:val="36"/>
          <w:szCs w:val="36"/>
          <w:rtl/>
        </w:rPr>
        <w:t xml:space="preserve">ة </w:t>
      </w:r>
      <w:r w:rsidR="003253FD" w:rsidRPr="00FD211F">
        <w:rPr>
          <w:sz w:val="36"/>
          <w:szCs w:val="36"/>
          <w:rtl/>
        </w:rPr>
        <w:t>عن إحديهما لايكون متأخرا رتب</w:t>
      </w:r>
      <w:r w:rsidR="00EC7EDF" w:rsidRPr="00FD211F">
        <w:rPr>
          <w:sz w:val="36"/>
          <w:szCs w:val="36"/>
          <w:rtl/>
        </w:rPr>
        <w:t xml:space="preserve">ة </w:t>
      </w:r>
      <w:r w:rsidR="003253FD" w:rsidRPr="00FD211F">
        <w:rPr>
          <w:sz w:val="36"/>
          <w:szCs w:val="36"/>
          <w:rtl/>
        </w:rPr>
        <w:t>عن الأخرى</w:t>
      </w:r>
      <w:r w:rsidR="00A50D2A" w:rsidRPr="00FD211F">
        <w:rPr>
          <w:sz w:val="36"/>
          <w:szCs w:val="36"/>
          <w:rtl/>
        </w:rPr>
        <w:t>.</w:t>
      </w:r>
    </w:p>
    <w:p w14:paraId="2D414741" w14:textId="77777777" w:rsidR="0061083F" w:rsidRPr="00FD211F" w:rsidRDefault="003253FD" w:rsidP="00C10199">
      <w:pPr>
        <w:ind w:left="0" w:firstLine="227"/>
        <w:jc w:val="both"/>
        <w:rPr>
          <w:sz w:val="36"/>
          <w:szCs w:val="36"/>
          <w:rtl/>
        </w:rPr>
      </w:pPr>
      <w:r w:rsidRPr="00FD211F">
        <w:rPr>
          <w:sz w:val="36"/>
          <w:szCs w:val="36"/>
          <w:rtl/>
        </w:rPr>
        <w:t>والمهم في ال</w:t>
      </w:r>
      <w:r w:rsidR="00D76FEB" w:rsidRPr="00FD211F">
        <w:rPr>
          <w:sz w:val="36"/>
          <w:szCs w:val="36"/>
          <w:rtl/>
        </w:rPr>
        <w:t>جواب عن هذا</w:t>
      </w:r>
      <w:r w:rsidR="00712BD7" w:rsidRPr="00FD211F">
        <w:rPr>
          <w:sz w:val="36"/>
          <w:szCs w:val="36"/>
          <w:rtl/>
        </w:rPr>
        <w:t xml:space="preserve"> </w:t>
      </w:r>
      <w:r w:rsidR="00D76FEB" w:rsidRPr="00FD211F">
        <w:rPr>
          <w:sz w:val="36"/>
          <w:szCs w:val="36"/>
          <w:rtl/>
        </w:rPr>
        <w:t>الوجه</w:t>
      </w:r>
      <w:r w:rsidRPr="00FD211F">
        <w:rPr>
          <w:sz w:val="36"/>
          <w:szCs w:val="36"/>
          <w:rtl/>
        </w:rPr>
        <w:t xml:space="preserve"> </w:t>
      </w:r>
      <w:r w:rsidR="00A50D2A" w:rsidRPr="00FD211F">
        <w:rPr>
          <w:sz w:val="36"/>
          <w:szCs w:val="36"/>
          <w:rtl/>
        </w:rPr>
        <w:t>الاول لاثبات حرم</w:t>
      </w:r>
      <w:r w:rsidR="00EC7EDF" w:rsidRPr="00FD211F">
        <w:rPr>
          <w:sz w:val="36"/>
          <w:szCs w:val="36"/>
          <w:rtl/>
        </w:rPr>
        <w:t xml:space="preserve">ة </w:t>
      </w:r>
      <w:r w:rsidR="00A50D2A" w:rsidRPr="00FD211F">
        <w:rPr>
          <w:sz w:val="36"/>
          <w:szCs w:val="36"/>
          <w:rtl/>
        </w:rPr>
        <w:t>الكبير</w:t>
      </w:r>
      <w:r w:rsidR="00EC7EDF" w:rsidRPr="00FD211F">
        <w:rPr>
          <w:sz w:val="36"/>
          <w:szCs w:val="36"/>
          <w:rtl/>
        </w:rPr>
        <w:t xml:space="preserve">ة </w:t>
      </w:r>
      <w:r w:rsidR="00A50D2A" w:rsidRPr="00FD211F">
        <w:rPr>
          <w:sz w:val="36"/>
          <w:szCs w:val="36"/>
          <w:rtl/>
        </w:rPr>
        <w:t xml:space="preserve">الاولى </w:t>
      </w:r>
      <w:r w:rsidRPr="00FD211F">
        <w:rPr>
          <w:sz w:val="36"/>
          <w:szCs w:val="36"/>
          <w:rtl/>
        </w:rPr>
        <w:t>ان</w:t>
      </w:r>
      <w:r w:rsidR="00D76FEB" w:rsidRPr="00FD211F">
        <w:rPr>
          <w:sz w:val="36"/>
          <w:szCs w:val="36"/>
          <w:rtl/>
        </w:rPr>
        <w:t xml:space="preserve"> يقال ان</w:t>
      </w:r>
      <w:r w:rsidR="00B253CE" w:rsidRPr="00FD211F">
        <w:rPr>
          <w:sz w:val="36"/>
          <w:szCs w:val="36"/>
          <w:rtl/>
        </w:rPr>
        <w:t xml:space="preserve"> </w:t>
      </w:r>
      <w:r w:rsidR="00177FDC" w:rsidRPr="00FD211F">
        <w:rPr>
          <w:sz w:val="36"/>
          <w:szCs w:val="36"/>
          <w:rtl/>
        </w:rPr>
        <w:t>مجرد التقارن في الرتب</w:t>
      </w:r>
      <w:r w:rsidR="00EC7EDF" w:rsidRPr="00FD211F">
        <w:rPr>
          <w:sz w:val="36"/>
          <w:szCs w:val="36"/>
          <w:rtl/>
        </w:rPr>
        <w:t xml:space="preserve">ة </w:t>
      </w:r>
      <w:r w:rsidR="00177FDC" w:rsidRPr="00FD211F">
        <w:rPr>
          <w:sz w:val="36"/>
          <w:szCs w:val="36"/>
          <w:rtl/>
        </w:rPr>
        <w:t>لايكفي في صدق عنوان ام الزوج</w:t>
      </w:r>
      <w:r w:rsidR="00EC7EDF" w:rsidRPr="00FD211F">
        <w:rPr>
          <w:sz w:val="36"/>
          <w:szCs w:val="36"/>
          <w:rtl/>
        </w:rPr>
        <w:t xml:space="preserve">ة </w:t>
      </w:r>
      <w:r w:rsidR="00177FDC" w:rsidRPr="00FD211F">
        <w:rPr>
          <w:sz w:val="36"/>
          <w:szCs w:val="36"/>
          <w:rtl/>
        </w:rPr>
        <w:t>عليها</w:t>
      </w:r>
      <w:r w:rsidR="00B253CE" w:rsidRPr="00FD211F">
        <w:rPr>
          <w:sz w:val="36"/>
          <w:szCs w:val="36"/>
          <w:rtl/>
        </w:rPr>
        <w:t xml:space="preserve"> </w:t>
      </w:r>
      <w:r w:rsidR="00177FDC" w:rsidRPr="00FD211F">
        <w:rPr>
          <w:sz w:val="36"/>
          <w:szCs w:val="36"/>
          <w:rtl/>
        </w:rPr>
        <w:t>بالنظر الدقي العرفي</w:t>
      </w:r>
      <w:r w:rsidR="00603323" w:rsidRPr="00FD211F">
        <w:rPr>
          <w:sz w:val="36"/>
          <w:szCs w:val="36"/>
          <w:rtl/>
        </w:rPr>
        <w:t xml:space="preserve">، </w:t>
      </w:r>
      <w:r w:rsidR="00177FDC" w:rsidRPr="00FD211F">
        <w:rPr>
          <w:sz w:val="36"/>
          <w:szCs w:val="36"/>
          <w:rtl/>
        </w:rPr>
        <w:t>ولاعبر</w:t>
      </w:r>
      <w:r w:rsidR="00EC7EDF" w:rsidRPr="00FD211F">
        <w:rPr>
          <w:sz w:val="36"/>
          <w:szCs w:val="36"/>
          <w:rtl/>
        </w:rPr>
        <w:t xml:space="preserve">ة </w:t>
      </w:r>
      <w:r w:rsidR="00177FDC" w:rsidRPr="00FD211F">
        <w:rPr>
          <w:sz w:val="36"/>
          <w:szCs w:val="36"/>
          <w:rtl/>
        </w:rPr>
        <w:t>بالنظر</w:t>
      </w:r>
      <w:r w:rsidR="00A50D2A" w:rsidRPr="00FD211F">
        <w:rPr>
          <w:sz w:val="36"/>
          <w:szCs w:val="36"/>
          <w:rtl/>
        </w:rPr>
        <w:t xml:space="preserve"> </w:t>
      </w:r>
      <w:r w:rsidR="006E0951" w:rsidRPr="00FD211F">
        <w:rPr>
          <w:sz w:val="36"/>
          <w:szCs w:val="36"/>
          <w:rtl/>
        </w:rPr>
        <w:t>العرفي</w:t>
      </w:r>
      <w:r w:rsidR="00A50D2A" w:rsidRPr="00FD211F">
        <w:rPr>
          <w:sz w:val="36"/>
          <w:szCs w:val="36"/>
          <w:rtl/>
        </w:rPr>
        <w:t xml:space="preserve"> </w:t>
      </w:r>
      <w:r w:rsidR="00177FDC" w:rsidRPr="00FD211F">
        <w:rPr>
          <w:sz w:val="36"/>
          <w:szCs w:val="36"/>
          <w:rtl/>
        </w:rPr>
        <w:t>المسامحي</w:t>
      </w:r>
      <w:r w:rsidR="00177C63" w:rsidRPr="00FD211F">
        <w:rPr>
          <w:sz w:val="36"/>
          <w:szCs w:val="36"/>
          <w:rtl/>
        </w:rPr>
        <w:t xml:space="preserve"> حيث ان العرف</w:t>
      </w:r>
      <w:r w:rsidR="00B253CE" w:rsidRPr="00FD211F">
        <w:rPr>
          <w:sz w:val="36"/>
          <w:szCs w:val="36"/>
          <w:rtl/>
        </w:rPr>
        <w:t xml:space="preserve"> </w:t>
      </w:r>
      <w:r w:rsidR="00177C63" w:rsidRPr="00FD211F">
        <w:rPr>
          <w:sz w:val="36"/>
          <w:szCs w:val="36"/>
          <w:rtl/>
        </w:rPr>
        <w:t xml:space="preserve">والعقلاء </w:t>
      </w:r>
      <w:r w:rsidR="006E0951" w:rsidRPr="00FD211F">
        <w:rPr>
          <w:sz w:val="36"/>
          <w:szCs w:val="36"/>
          <w:rtl/>
        </w:rPr>
        <w:t>لايقبلونه</w:t>
      </w:r>
      <w:r w:rsidR="00177FDC" w:rsidRPr="00FD211F">
        <w:rPr>
          <w:sz w:val="36"/>
          <w:szCs w:val="36"/>
          <w:rtl/>
        </w:rPr>
        <w:t xml:space="preserve"> في مقام الاحتجاج</w:t>
      </w:r>
      <w:r w:rsidR="006E0951" w:rsidRPr="00FD211F">
        <w:rPr>
          <w:sz w:val="36"/>
          <w:szCs w:val="36"/>
          <w:rtl/>
        </w:rPr>
        <w:t xml:space="preserve"> بين الموالي </w:t>
      </w:r>
      <w:r w:rsidR="00DB5CB5" w:rsidRPr="00FD211F">
        <w:rPr>
          <w:sz w:val="36"/>
          <w:szCs w:val="36"/>
          <w:rtl/>
        </w:rPr>
        <w:t>والعبيد او بين العقلاء انفسهم</w:t>
      </w:r>
      <w:r w:rsidR="00603323" w:rsidRPr="00FD211F">
        <w:rPr>
          <w:sz w:val="36"/>
          <w:szCs w:val="36"/>
          <w:rtl/>
        </w:rPr>
        <w:t xml:space="preserve">، </w:t>
      </w:r>
      <w:r w:rsidR="00DB5CB5" w:rsidRPr="00FD211F">
        <w:rPr>
          <w:sz w:val="36"/>
          <w:szCs w:val="36"/>
          <w:rtl/>
        </w:rPr>
        <w:t>فليست</w:t>
      </w:r>
      <w:r w:rsidR="00B253CE" w:rsidRPr="00FD211F">
        <w:rPr>
          <w:sz w:val="36"/>
          <w:szCs w:val="36"/>
          <w:rtl/>
        </w:rPr>
        <w:t xml:space="preserve"> </w:t>
      </w:r>
      <w:r w:rsidR="006E0951" w:rsidRPr="00FD211F">
        <w:rPr>
          <w:sz w:val="36"/>
          <w:szCs w:val="36"/>
          <w:rtl/>
        </w:rPr>
        <w:t>الكبير</w:t>
      </w:r>
      <w:r w:rsidR="00EC7EDF" w:rsidRPr="00FD211F">
        <w:rPr>
          <w:sz w:val="36"/>
          <w:szCs w:val="36"/>
          <w:rtl/>
        </w:rPr>
        <w:t xml:space="preserve">ة </w:t>
      </w:r>
      <w:r w:rsidR="006E0951" w:rsidRPr="00FD211F">
        <w:rPr>
          <w:sz w:val="36"/>
          <w:szCs w:val="36"/>
          <w:rtl/>
        </w:rPr>
        <w:t>الأولى بالنظر الدقي العرفي أمّ زوج</w:t>
      </w:r>
      <w:r w:rsidR="00EC7EDF" w:rsidRPr="00FD211F">
        <w:rPr>
          <w:sz w:val="36"/>
          <w:szCs w:val="36"/>
          <w:rtl/>
        </w:rPr>
        <w:t xml:space="preserve">ة </w:t>
      </w:r>
      <w:r w:rsidR="006E0951" w:rsidRPr="00FD211F">
        <w:rPr>
          <w:sz w:val="36"/>
          <w:szCs w:val="36"/>
          <w:rtl/>
        </w:rPr>
        <w:t>الرجل في ايّ زمان من الأزمن</w:t>
      </w:r>
      <w:r w:rsidR="00EC7EDF" w:rsidRPr="00FD211F">
        <w:rPr>
          <w:sz w:val="36"/>
          <w:szCs w:val="36"/>
          <w:rtl/>
        </w:rPr>
        <w:t>ة</w:t>
      </w:r>
      <w:r w:rsidR="00603323" w:rsidRPr="00FD211F">
        <w:rPr>
          <w:sz w:val="36"/>
          <w:szCs w:val="36"/>
          <w:rtl/>
        </w:rPr>
        <w:t xml:space="preserve">، </w:t>
      </w:r>
      <w:r w:rsidR="006E0951" w:rsidRPr="00FD211F">
        <w:rPr>
          <w:sz w:val="36"/>
          <w:szCs w:val="36"/>
          <w:rtl/>
        </w:rPr>
        <w:t xml:space="preserve">حيث أنها قبل تحقق </w:t>
      </w:r>
      <w:r w:rsidR="009947E4" w:rsidRPr="00FD211F">
        <w:rPr>
          <w:sz w:val="36"/>
          <w:szCs w:val="36"/>
          <w:rtl/>
        </w:rPr>
        <w:t>الرضاع الكامل</w:t>
      </w:r>
      <w:r w:rsidR="008D7B3D" w:rsidRPr="00FD211F">
        <w:rPr>
          <w:sz w:val="36"/>
          <w:szCs w:val="36"/>
          <w:rtl/>
        </w:rPr>
        <w:t xml:space="preserve"> لم‌</w:t>
      </w:r>
      <w:r w:rsidR="006E0951" w:rsidRPr="00FD211F">
        <w:rPr>
          <w:sz w:val="36"/>
          <w:szCs w:val="36"/>
          <w:rtl/>
        </w:rPr>
        <w:t>تكن أمّا للصغير</w:t>
      </w:r>
      <w:r w:rsidR="00EC7EDF" w:rsidRPr="00FD211F">
        <w:rPr>
          <w:sz w:val="36"/>
          <w:szCs w:val="36"/>
          <w:rtl/>
        </w:rPr>
        <w:t xml:space="preserve">ة </w:t>
      </w:r>
      <w:r w:rsidR="006E0951" w:rsidRPr="00FD211F">
        <w:rPr>
          <w:sz w:val="36"/>
          <w:szCs w:val="36"/>
          <w:rtl/>
        </w:rPr>
        <w:t xml:space="preserve">وبعد تحقق </w:t>
      </w:r>
      <w:r w:rsidR="009947E4" w:rsidRPr="00FD211F">
        <w:rPr>
          <w:sz w:val="36"/>
          <w:szCs w:val="36"/>
          <w:rtl/>
        </w:rPr>
        <w:t>الرضاع الكامل</w:t>
      </w:r>
      <w:r w:rsidR="006E0951" w:rsidRPr="00FD211F">
        <w:rPr>
          <w:sz w:val="36"/>
          <w:szCs w:val="36"/>
          <w:rtl/>
        </w:rPr>
        <w:t xml:space="preserve"> وصيرورتها أمّا</w:t>
      </w:r>
      <w:r w:rsidR="008D7B3D" w:rsidRPr="00FD211F">
        <w:rPr>
          <w:sz w:val="36"/>
          <w:szCs w:val="36"/>
          <w:rtl/>
        </w:rPr>
        <w:t xml:space="preserve"> لم‌</w:t>
      </w:r>
      <w:r w:rsidR="006E0951" w:rsidRPr="00FD211F">
        <w:rPr>
          <w:sz w:val="36"/>
          <w:szCs w:val="36"/>
          <w:rtl/>
        </w:rPr>
        <w:t>تكن الصغير</w:t>
      </w:r>
      <w:r w:rsidR="00EC7EDF" w:rsidRPr="00FD211F">
        <w:rPr>
          <w:sz w:val="36"/>
          <w:szCs w:val="36"/>
          <w:rtl/>
        </w:rPr>
        <w:t xml:space="preserve">ة </w:t>
      </w:r>
      <w:r w:rsidR="006E0951" w:rsidRPr="00FD211F">
        <w:rPr>
          <w:sz w:val="36"/>
          <w:szCs w:val="36"/>
          <w:rtl/>
        </w:rPr>
        <w:t>زوج</w:t>
      </w:r>
      <w:r w:rsidR="00EC7EDF" w:rsidRPr="00FD211F">
        <w:rPr>
          <w:sz w:val="36"/>
          <w:szCs w:val="36"/>
          <w:rtl/>
        </w:rPr>
        <w:t xml:space="preserve">ة </w:t>
      </w:r>
      <w:r w:rsidR="006E0951" w:rsidRPr="00FD211F">
        <w:rPr>
          <w:sz w:val="36"/>
          <w:szCs w:val="36"/>
          <w:rtl/>
        </w:rPr>
        <w:t>للرجل</w:t>
      </w:r>
      <w:r w:rsidR="00603323" w:rsidRPr="00FD211F">
        <w:rPr>
          <w:sz w:val="36"/>
          <w:szCs w:val="36"/>
          <w:rtl/>
        </w:rPr>
        <w:t xml:space="preserve">، </w:t>
      </w:r>
      <w:r w:rsidR="006E0951" w:rsidRPr="00FD211F">
        <w:rPr>
          <w:sz w:val="36"/>
          <w:szCs w:val="36"/>
          <w:rtl/>
        </w:rPr>
        <w:t>والمدار في تحقق موضوع الأحكام يكون بنظر العرف على وعاء الزمان دون وعاء الرتب</w:t>
      </w:r>
      <w:r w:rsidR="00EC7EDF" w:rsidRPr="00FD211F">
        <w:rPr>
          <w:sz w:val="36"/>
          <w:szCs w:val="36"/>
          <w:rtl/>
        </w:rPr>
        <w:t>ة</w:t>
      </w:r>
      <w:r w:rsidR="00603323" w:rsidRPr="00FD211F">
        <w:rPr>
          <w:sz w:val="36"/>
          <w:szCs w:val="36"/>
          <w:rtl/>
        </w:rPr>
        <w:t xml:space="preserve">، </w:t>
      </w:r>
      <w:r w:rsidR="006E0951" w:rsidRPr="00FD211F">
        <w:rPr>
          <w:sz w:val="36"/>
          <w:szCs w:val="36"/>
          <w:rtl/>
        </w:rPr>
        <w:t>ولأجل ذلك نلتزم بتقارن ثبوت الحكم لموضوعه مع حدوث الموضوع</w:t>
      </w:r>
      <w:r w:rsidR="00603323" w:rsidRPr="00FD211F">
        <w:rPr>
          <w:sz w:val="36"/>
          <w:szCs w:val="36"/>
          <w:rtl/>
        </w:rPr>
        <w:t xml:space="preserve">، </w:t>
      </w:r>
      <w:r w:rsidR="006E0951" w:rsidRPr="00FD211F">
        <w:rPr>
          <w:sz w:val="36"/>
          <w:szCs w:val="36"/>
          <w:rtl/>
        </w:rPr>
        <w:t>فلو فرض ملاقا</w:t>
      </w:r>
      <w:r w:rsidR="00EC7EDF" w:rsidRPr="00FD211F">
        <w:rPr>
          <w:sz w:val="36"/>
          <w:szCs w:val="36"/>
          <w:rtl/>
        </w:rPr>
        <w:t xml:space="preserve">ة </w:t>
      </w:r>
      <w:r w:rsidR="006E0951" w:rsidRPr="00FD211F">
        <w:rPr>
          <w:sz w:val="36"/>
          <w:szCs w:val="36"/>
          <w:rtl/>
        </w:rPr>
        <w:t>الماء الكر في حال حدوث كريته للنجس ف</w:t>
      </w:r>
      <w:r w:rsidR="00456DE6" w:rsidRPr="00FD211F">
        <w:rPr>
          <w:sz w:val="36"/>
          <w:szCs w:val="36"/>
          <w:rtl/>
        </w:rPr>
        <w:t>يحكم بعدم انفعاله بملاقا</w:t>
      </w:r>
      <w:r w:rsidR="00EC7EDF" w:rsidRPr="00FD211F">
        <w:rPr>
          <w:sz w:val="36"/>
          <w:szCs w:val="36"/>
          <w:rtl/>
        </w:rPr>
        <w:t xml:space="preserve">ة </w:t>
      </w:r>
      <w:commentRangeStart w:id="427"/>
      <w:r w:rsidR="00456DE6" w:rsidRPr="00FD211F">
        <w:rPr>
          <w:sz w:val="36"/>
          <w:szCs w:val="36"/>
          <w:rtl/>
        </w:rPr>
        <w:t>النجس</w:t>
      </w:r>
      <w:commentRangeEnd w:id="427"/>
      <w:r w:rsidR="003556C1">
        <w:rPr>
          <w:rStyle w:val="ab"/>
          <w:rtl/>
        </w:rPr>
        <w:commentReference w:id="427"/>
      </w:r>
      <w:r w:rsidR="00456DE6" w:rsidRPr="00FD211F">
        <w:rPr>
          <w:sz w:val="36"/>
          <w:szCs w:val="36"/>
          <w:rtl/>
        </w:rPr>
        <w:t>.</w:t>
      </w:r>
    </w:p>
    <w:p w14:paraId="3C575D95" w14:textId="77777777" w:rsidR="00C4579B" w:rsidRPr="00FD211F" w:rsidRDefault="00A50D2A" w:rsidP="009C58C8">
      <w:pPr>
        <w:ind w:left="0" w:firstLine="227"/>
        <w:jc w:val="both"/>
        <w:rPr>
          <w:sz w:val="36"/>
          <w:szCs w:val="36"/>
          <w:rtl/>
        </w:rPr>
      </w:pPr>
      <w:r w:rsidRPr="00FD211F">
        <w:rPr>
          <w:sz w:val="36"/>
          <w:szCs w:val="36"/>
          <w:rtl/>
        </w:rPr>
        <w:t>ا</w:t>
      </w:r>
      <w:r w:rsidRPr="00FD211F">
        <w:rPr>
          <w:b/>
          <w:bCs/>
          <w:sz w:val="36"/>
          <w:szCs w:val="36"/>
          <w:rtl/>
        </w:rPr>
        <w:t>لوجه الثاني</w:t>
      </w:r>
      <w:r w:rsidR="00EC7EDF" w:rsidRPr="00FD211F">
        <w:rPr>
          <w:b/>
          <w:bCs/>
          <w:sz w:val="36"/>
          <w:szCs w:val="36"/>
          <w:rtl/>
        </w:rPr>
        <w:t>:</w:t>
      </w:r>
      <w:r w:rsidRPr="00FD211F">
        <w:rPr>
          <w:sz w:val="36"/>
          <w:szCs w:val="36"/>
          <w:rtl/>
        </w:rPr>
        <w:t>ما</w:t>
      </w:r>
      <w:r w:rsidR="00712BD7" w:rsidRPr="00FD211F">
        <w:rPr>
          <w:sz w:val="36"/>
          <w:szCs w:val="36"/>
          <w:rtl/>
        </w:rPr>
        <w:t xml:space="preserve"> </w:t>
      </w:r>
      <w:r w:rsidRPr="00FD211F">
        <w:rPr>
          <w:sz w:val="36"/>
          <w:szCs w:val="36"/>
          <w:rtl/>
        </w:rPr>
        <w:t>حكي عن</w:t>
      </w:r>
      <w:r w:rsidR="00B253CE" w:rsidRPr="00FD211F">
        <w:rPr>
          <w:sz w:val="36"/>
          <w:szCs w:val="36"/>
          <w:rtl/>
        </w:rPr>
        <w:t xml:space="preserve"> </w:t>
      </w:r>
      <w:r w:rsidR="00972C8A" w:rsidRPr="00FD211F">
        <w:rPr>
          <w:sz w:val="36"/>
          <w:szCs w:val="36"/>
          <w:rtl/>
        </w:rPr>
        <w:t xml:space="preserve">المحقق العراقي </w:t>
      </w:r>
      <w:r w:rsidR="00EC7EDF" w:rsidRPr="00FD211F">
        <w:rPr>
          <w:sz w:val="36"/>
          <w:szCs w:val="36"/>
          <w:rtl/>
        </w:rPr>
        <w:t xml:space="preserve">"قده" </w:t>
      </w:r>
      <w:r w:rsidRPr="00FD211F">
        <w:rPr>
          <w:sz w:val="36"/>
          <w:szCs w:val="36"/>
          <w:rtl/>
        </w:rPr>
        <w:t>من</w:t>
      </w:r>
      <w:r w:rsidR="00985588" w:rsidRPr="00FD211F">
        <w:rPr>
          <w:sz w:val="36"/>
          <w:szCs w:val="36"/>
          <w:rtl/>
        </w:rPr>
        <w:t xml:space="preserve"> أن العرف يرى زمان أموم</w:t>
      </w:r>
      <w:r w:rsidR="00EC7EDF" w:rsidRPr="00FD211F">
        <w:rPr>
          <w:sz w:val="36"/>
          <w:szCs w:val="36"/>
          <w:rtl/>
        </w:rPr>
        <w:t xml:space="preserve">ة </w:t>
      </w:r>
      <w:r w:rsidR="00985588" w:rsidRPr="00FD211F">
        <w:rPr>
          <w:sz w:val="36"/>
          <w:szCs w:val="36"/>
          <w:rtl/>
        </w:rPr>
        <w:t>الكبير</w:t>
      </w:r>
      <w:r w:rsidR="00EC7EDF" w:rsidRPr="00FD211F">
        <w:rPr>
          <w:sz w:val="36"/>
          <w:szCs w:val="36"/>
          <w:rtl/>
        </w:rPr>
        <w:t xml:space="preserve">ة </w:t>
      </w:r>
      <w:r w:rsidR="00985588" w:rsidRPr="00FD211F">
        <w:rPr>
          <w:sz w:val="36"/>
          <w:szCs w:val="36"/>
          <w:rtl/>
        </w:rPr>
        <w:t>الاولى للصغير</w:t>
      </w:r>
      <w:r w:rsidR="00EC7EDF" w:rsidRPr="00FD211F">
        <w:rPr>
          <w:sz w:val="36"/>
          <w:szCs w:val="36"/>
          <w:rtl/>
        </w:rPr>
        <w:t xml:space="preserve">ة </w:t>
      </w:r>
      <w:r w:rsidR="00985588" w:rsidRPr="00FD211F">
        <w:rPr>
          <w:sz w:val="36"/>
          <w:szCs w:val="36"/>
          <w:rtl/>
        </w:rPr>
        <w:t>متحدا</w:t>
      </w:r>
      <w:r w:rsidR="00830C75" w:rsidRPr="00FD211F">
        <w:rPr>
          <w:sz w:val="36"/>
          <w:szCs w:val="36"/>
          <w:rtl/>
        </w:rPr>
        <w:t xml:space="preserve"> </w:t>
      </w:r>
      <w:r w:rsidR="00985588" w:rsidRPr="00FD211F">
        <w:rPr>
          <w:sz w:val="36"/>
          <w:szCs w:val="36"/>
          <w:rtl/>
        </w:rPr>
        <w:t>مع زمان زوجي</w:t>
      </w:r>
      <w:r w:rsidR="00EC7EDF" w:rsidRPr="00FD211F">
        <w:rPr>
          <w:sz w:val="36"/>
          <w:szCs w:val="36"/>
          <w:rtl/>
        </w:rPr>
        <w:t xml:space="preserve">ة </w:t>
      </w:r>
      <w:r w:rsidR="00985588" w:rsidRPr="00FD211F">
        <w:rPr>
          <w:sz w:val="36"/>
          <w:szCs w:val="36"/>
          <w:rtl/>
        </w:rPr>
        <w:t>الصغير</w:t>
      </w:r>
      <w:r w:rsidR="00EC7EDF" w:rsidRPr="00FD211F">
        <w:rPr>
          <w:sz w:val="36"/>
          <w:szCs w:val="36"/>
          <w:rtl/>
        </w:rPr>
        <w:t xml:space="preserve">ة </w:t>
      </w:r>
      <w:r w:rsidR="00985588" w:rsidRPr="00FD211F">
        <w:rPr>
          <w:sz w:val="36"/>
          <w:szCs w:val="36"/>
          <w:rtl/>
        </w:rPr>
        <w:t>للرجل بملاحظ</w:t>
      </w:r>
      <w:r w:rsidR="00EC7EDF" w:rsidRPr="00FD211F">
        <w:rPr>
          <w:sz w:val="36"/>
          <w:szCs w:val="36"/>
          <w:rtl/>
        </w:rPr>
        <w:t xml:space="preserve">ة </w:t>
      </w:r>
      <w:r w:rsidR="00985588" w:rsidRPr="00FD211F">
        <w:rPr>
          <w:sz w:val="36"/>
          <w:szCs w:val="36"/>
          <w:rtl/>
        </w:rPr>
        <w:t>شد</w:t>
      </w:r>
      <w:r w:rsidR="00EC7EDF" w:rsidRPr="00FD211F">
        <w:rPr>
          <w:sz w:val="36"/>
          <w:szCs w:val="36"/>
          <w:rtl/>
        </w:rPr>
        <w:t xml:space="preserve">ة </w:t>
      </w:r>
      <w:r w:rsidR="00985588" w:rsidRPr="00FD211F">
        <w:rPr>
          <w:sz w:val="36"/>
          <w:szCs w:val="36"/>
          <w:rtl/>
        </w:rPr>
        <w:t>اتصال زمانهما</w:t>
      </w:r>
      <w:r w:rsidRPr="00FD211F">
        <w:rPr>
          <w:sz w:val="36"/>
          <w:szCs w:val="36"/>
          <w:rtl/>
        </w:rPr>
        <w:t xml:space="preserve"> فيرون </w:t>
      </w:r>
      <w:r w:rsidR="00985588" w:rsidRPr="00FD211F">
        <w:rPr>
          <w:sz w:val="36"/>
          <w:szCs w:val="36"/>
          <w:rtl/>
        </w:rPr>
        <w:t>الكبير</w:t>
      </w:r>
      <w:r w:rsidR="00EC7EDF" w:rsidRPr="00FD211F">
        <w:rPr>
          <w:sz w:val="36"/>
          <w:szCs w:val="36"/>
          <w:rtl/>
        </w:rPr>
        <w:t xml:space="preserve">ة </w:t>
      </w:r>
      <w:r w:rsidR="00985588" w:rsidRPr="00FD211F">
        <w:rPr>
          <w:sz w:val="36"/>
          <w:szCs w:val="36"/>
          <w:rtl/>
        </w:rPr>
        <w:t>الاولى أما</w:t>
      </w:r>
      <w:r w:rsidR="00B253CE" w:rsidRPr="00FD211F">
        <w:rPr>
          <w:sz w:val="36"/>
          <w:szCs w:val="36"/>
          <w:rtl/>
        </w:rPr>
        <w:t xml:space="preserve"> </w:t>
      </w:r>
      <w:r w:rsidR="00985588" w:rsidRPr="00FD211F">
        <w:rPr>
          <w:sz w:val="36"/>
          <w:szCs w:val="36"/>
          <w:rtl/>
        </w:rPr>
        <w:t>للزوج</w:t>
      </w:r>
      <w:r w:rsidR="00EC7EDF" w:rsidRPr="00FD211F">
        <w:rPr>
          <w:sz w:val="36"/>
          <w:szCs w:val="36"/>
          <w:rtl/>
        </w:rPr>
        <w:t xml:space="preserve">ة </w:t>
      </w:r>
      <w:r w:rsidR="00985588" w:rsidRPr="00FD211F">
        <w:rPr>
          <w:sz w:val="36"/>
          <w:szCs w:val="36"/>
          <w:rtl/>
        </w:rPr>
        <w:t>الفعلي</w:t>
      </w:r>
      <w:r w:rsidR="00EC7EDF" w:rsidRPr="00FD211F">
        <w:rPr>
          <w:sz w:val="36"/>
          <w:szCs w:val="36"/>
          <w:rtl/>
        </w:rPr>
        <w:t xml:space="preserve">ة </w:t>
      </w:r>
      <w:r w:rsidR="0086200A" w:rsidRPr="00FD211F">
        <w:rPr>
          <w:sz w:val="36"/>
          <w:szCs w:val="36"/>
          <w:rtl/>
        </w:rPr>
        <w:t>وان فرض عدم كونها</w:t>
      </w:r>
      <w:r w:rsidR="00712BD7" w:rsidRPr="00FD211F">
        <w:rPr>
          <w:sz w:val="36"/>
          <w:szCs w:val="36"/>
          <w:rtl/>
        </w:rPr>
        <w:t xml:space="preserve"> </w:t>
      </w:r>
      <w:r w:rsidR="0086200A" w:rsidRPr="00FD211F">
        <w:rPr>
          <w:sz w:val="36"/>
          <w:szCs w:val="36"/>
          <w:rtl/>
        </w:rPr>
        <w:t>كذلك بالدق</w:t>
      </w:r>
      <w:r w:rsidR="00EC7EDF" w:rsidRPr="00FD211F">
        <w:rPr>
          <w:sz w:val="36"/>
          <w:szCs w:val="36"/>
          <w:rtl/>
        </w:rPr>
        <w:t xml:space="preserve">ة </w:t>
      </w:r>
      <w:r w:rsidR="0086200A" w:rsidRPr="00FD211F">
        <w:rPr>
          <w:sz w:val="36"/>
          <w:szCs w:val="36"/>
          <w:rtl/>
        </w:rPr>
        <w:t>العقلي</w:t>
      </w:r>
      <w:r w:rsidR="00EC7EDF" w:rsidRPr="00FD211F">
        <w:rPr>
          <w:sz w:val="36"/>
          <w:szCs w:val="36"/>
          <w:rtl/>
        </w:rPr>
        <w:t>ة</w:t>
      </w:r>
      <w:r w:rsidR="00C4579B" w:rsidRPr="00FD211F">
        <w:rPr>
          <w:sz w:val="36"/>
          <w:szCs w:val="36"/>
          <w:rtl/>
        </w:rPr>
        <w:t>.</w:t>
      </w:r>
    </w:p>
    <w:p w14:paraId="7EADF637" w14:textId="77777777" w:rsidR="00985588" w:rsidRPr="00FD211F" w:rsidRDefault="0086200A" w:rsidP="00451122">
      <w:pPr>
        <w:ind w:left="0" w:firstLine="227"/>
        <w:jc w:val="both"/>
        <w:rPr>
          <w:sz w:val="36"/>
          <w:szCs w:val="36"/>
          <w:rtl/>
        </w:rPr>
      </w:pPr>
      <w:r w:rsidRPr="00FD211F">
        <w:rPr>
          <w:sz w:val="36"/>
          <w:szCs w:val="36"/>
          <w:rtl/>
        </w:rPr>
        <w:t>بل ولئن تدبرت ترى كونها كذلك بحسب الدق</w:t>
      </w:r>
      <w:r w:rsidR="00EC7EDF" w:rsidRPr="00FD211F">
        <w:rPr>
          <w:sz w:val="36"/>
          <w:szCs w:val="36"/>
          <w:rtl/>
        </w:rPr>
        <w:t xml:space="preserve">ة </w:t>
      </w:r>
      <w:r w:rsidRPr="00FD211F">
        <w:rPr>
          <w:sz w:val="36"/>
          <w:szCs w:val="36"/>
          <w:rtl/>
        </w:rPr>
        <w:t>ايضا</w:t>
      </w:r>
      <w:r w:rsidR="00603323" w:rsidRPr="00FD211F">
        <w:rPr>
          <w:sz w:val="36"/>
          <w:szCs w:val="36"/>
          <w:rtl/>
        </w:rPr>
        <w:t xml:space="preserve">، </w:t>
      </w:r>
      <w:r w:rsidRPr="00FD211F">
        <w:rPr>
          <w:sz w:val="36"/>
          <w:szCs w:val="36"/>
          <w:rtl/>
        </w:rPr>
        <w:t>نظرا</w:t>
      </w:r>
      <w:r w:rsidR="00830C75" w:rsidRPr="00FD211F">
        <w:rPr>
          <w:sz w:val="36"/>
          <w:szCs w:val="36"/>
          <w:rtl/>
        </w:rPr>
        <w:t xml:space="preserve"> </w:t>
      </w:r>
      <w:r w:rsidRPr="00FD211F">
        <w:rPr>
          <w:sz w:val="36"/>
          <w:szCs w:val="36"/>
          <w:rtl/>
        </w:rPr>
        <w:t>الى أن الاموم</w:t>
      </w:r>
      <w:r w:rsidR="00EC7EDF" w:rsidRPr="00FD211F">
        <w:rPr>
          <w:sz w:val="36"/>
          <w:szCs w:val="36"/>
          <w:rtl/>
        </w:rPr>
        <w:t xml:space="preserve">ة </w:t>
      </w:r>
      <w:r w:rsidRPr="00FD211F">
        <w:rPr>
          <w:sz w:val="36"/>
          <w:szCs w:val="36"/>
          <w:rtl/>
        </w:rPr>
        <w:t>وان</w:t>
      </w:r>
      <w:r w:rsidR="00A50D2A" w:rsidRPr="00FD211F">
        <w:rPr>
          <w:sz w:val="36"/>
          <w:szCs w:val="36"/>
          <w:rtl/>
        </w:rPr>
        <w:t xml:space="preserve"> </w:t>
      </w:r>
      <w:r w:rsidRPr="00FD211F">
        <w:rPr>
          <w:sz w:val="36"/>
          <w:szCs w:val="36"/>
          <w:rtl/>
        </w:rPr>
        <w:t>كانت في رتب</w:t>
      </w:r>
      <w:r w:rsidR="00EC7EDF" w:rsidRPr="00FD211F">
        <w:rPr>
          <w:sz w:val="36"/>
          <w:szCs w:val="36"/>
          <w:rtl/>
        </w:rPr>
        <w:t xml:space="preserve">ة </w:t>
      </w:r>
      <w:r w:rsidRPr="00FD211F">
        <w:rPr>
          <w:sz w:val="36"/>
          <w:szCs w:val="36"/>
          <w:rtl/>
        </w:rPr>
        <w:t>متأخر</w:t>
      </w:r>
      <w:r w:rsidR="00EC7EDF" w:rsidRPr="00FD211F">
        <w:rPr>
          <w:sz w:val="36"/>
          <w:szCs w:val="36"/>
          <w:rtl/>
        </w:rPr>
        <w:t xml:space="preserve">ة </w:t>
      </w:r>
      <w:r w:rsidRPr="00FD211F">
        <w:rPr>
          <w:sz w:val="36"/>
          <w:szCs w:val="36"/>
          <w:rtl/>
        </w:rPr>
        <w:t>عن علتها</w:t>
      </w:r>
      <w:r w:rsidR="00712BD7" w:rsidRPr="00FD211F">
        <w:rPr>
          <w:sz w:val="36"/>
          <w:szCs w:val="36"/>
          <w:rtl/>
        </w:rPr>
        <w:t xml:space="preserve"> </w:t>
      </w:r>
      <w:r w:rsidRPr="00FD211F">
        <w:rPr>
          <w:sz w:val="36"/>
          <w:szCs w:val="36"/>
          <w:rtl/>
        </w:rPr>
        <w:t>التي هي الرضع</w:t>
      </w:r>
      <w:r w:rsidR="00EC7EDF" w:rsidRPr="00FD211F">
        <w:rPr>
          <w:sz w:val="36"/>
          <w:szCs w:val="36"/>
          <w:rtl/>
        </w:rPr>
        <w:t xml:space="preserve">ة </w:t>
      </w:r>
      <w:r w:rsidRPr="00FD211F">
        <w:rPr>
          <w:sz w:val="36"/>
          <w:szCs w:val="36"/>
          <w:rtl/>
        </w:rPr>
        <w:t>الاخير</w:t>
      </w:r>
      <w:r w:rsidR="00EC7EDF" w:rsidRPr="00FD211F">
        <w:rPr>
          <w:sz w:val="36"/>
          <w:szCs w:val="36"/>
          <w:rtl/>
        </w:rPr>
        <w:t xml:space="preserve">ة </w:t>
      </w:r>
      <w:r w:rsidRPr="00FD211F">
        <w:rPr>
          <w:sz w:val="36"/>
          <w:szCs w:val="36"/>
          <w:rtl/>
        </w:rPr>
        <w:t>لكنها</w:t>
      </w:r>
      <w:r w:rsidR="00830C75" w:rsidRPr="00FD211F">
        <w:rPr>
          <w:sz w:val="36"/>
          <w:szCs w:val="36"/>
          <w:rtl/>
        </w:rPr>
        <w:t xml:space="preserve"> </w:t>
      </w:r>
      <w:r w:rsidRPr="00FD211F">
        <w:rPr>
          <w:sz w:val="36"/>
          <w:szCs w:val="36"/>
          <w:rtl/>
        </w:rPr>
        <w:t>متقارن</w:t>
      </w:r>
      <w:r w:rsidR="00EC7EDF" w:rsidRPr="00FD211F">
        <w:rPr>
          <w:sz w:val="36"/>
          <w:szCs w:val="36"/>
          <w:rtl/>
        </w:rPr>
        <w:t xml:space="preserve">ة </w:t>
      </w:r>
      <w:r w:rsidRPr="00FD211F">
        <w:rPr>
          <w:sz w:val="36"/>
          <w:szCs w:val="36"/>
          <w:rtl/>
        </w:rPr>
        <w:t>معها</w:t>
      </w:r>
      <w:r w:rsidR="00830C75" w:rsidRPr="00FD211F">
        <w:rPr>
          <w:sz w:val="36"/>
          <w:szCs w:val="36"/>
          <w:rtl/>
        </w:rPr>
        <w:t xml:space="preserve"> </w:t>
      </w:r>
      <w:r w:rsidRPr="00FD211F">
        <w:rPr>
          <w:sz w:val="36"/>
          <w:szCs w:val="36"/>
          <w:rtl/>
        </w:rPr>
        <w:t>زمانا</w:t>
      </w:r>
      <w:r w:rsidR="00830C75" w:rsidRPr="00FD211F">
        <w:rPr>
          <w:sz w:val="36"/>
          <w:szCs w:val="36"/>
          <w:rtl/>
        </w:rPr>
        <w:t xml:space="preserve"> </w:t>
      </w:r>
      <w:r w:rsidRPr="00FD211F">
        <w:rPr>
          <w:sz w:val="36"/>
          <w:szCs w:val="36"/>
          <w:rtl/>
        </w:rPr>
        <w:t>كما</w:t>
      </w:r>
      <w:r w:rsidR="00830C75" w:rsidRPr="00FD211F">
        <w:rPr>
          <w:sz w:val="36"/>
          <w:szCs w:val="36"/>
          <w:rtl/>
        </w:rPr>
        <w:t xml:space="preserve"> </w:t>
      </w:r>
      <w:r w:rsidRPr="00FD211F">
        <w:rPr>
          <w:sz w:val="36"/>
          <w:szCs w:val="36"/>
          <w:rtl/>
        </w:rPr>
        <w:t xml:space="preserve">هوشأن كل معلول مع علته </w:t>
      </w:r>
      <w:r w:rsidR="0061083F" w:rsidRPr="00FD211F">
        <w:rPr>
          <w:sz w:val="36"/>
          <w:szCs w:val="36"/>
          <w:rtl/>
        </w:rPr>
        <w:t>حيث تكون زوجي</w:t>
      </w:r>
      <w:r w:rsidR="00EC7EDF" w:rsidRPr="00FD211F">
        <w:rPr>
          <w:sz w:val="36"/>
          <w:szCs w:val="36"/>
          <w:rtl/>
        </w:rPr>
        <w:t xml:space="preserve">ة </w:t>
      </w:r>
      <w:r w:rsidR="0061083F" w:rsidRPr="00FD211F">
        <w:rPr>
          <w:sz w:val="36"/>
          <w:szCs w:val="36"/>
          <w:rtl/>
        </w:rPr>
        <w:t>الصغير</w:t>
      </w:r>
      <w:r w:rsidR="00EC7EDF" w:rsidRPr="00FD211F">
        <w:rPr>
          <w:sz w:val="36"/>
          <w:szCs w:val="36"/>
          <w:rtl/>
        </w:rPr>
        <w:t xml:space="preserve">ة </w:t>
      </w:r>
      <w:r w:rsidR="0061083F" w:rsidRPr="00FD211F">
        <w:rPr>
          <w:sz w:val="36"/>
          <w:szCs w:val="36"/>
          <w:rtl/>
        </w:rPr>
        <w:t>متحقق</w:t>
      </w:r>
      <w:r w:rsidR="00EC7EDF" w:rsidRPr="00FD211F">
        <w:rPr>
          <w:sz w:val="36"/>
          <w:szCs w:val="36"/>
          <w:rtl/>
        </w:rPr>
        <w:t xml:space="preserve">ة </w:t>
      </w:r>
      <w:r w:rsidR="0061083F" w:rsidRPr="00FD211F">
        <w:rPr>
          <w:sz w:val="36"/>
          <w:szCs w:val="36"/>
          <w:rtl/>
        </w:rPr>
        <w:t>في زمان تحقق الرضع</w:t>
      </w:r>
      <w:r w:rsidR="00EC7EDF" w:rsidRPr="00FD211F">
        <w:rPr>
          <w:sz w:val="36"/>
          <w:szCs w:val="36"/>
          <w:rtl/>
        </w:rPr>
        <w:t xml:space="preserve">ة </w:t>
      </w:r>
      <w:r w:rsidR="0061083F" w:rsidRPr="00FD211F">
        <w:rPr>
          <w:sz w:val="36"/>
          <w:szCs w:val="36"/>
          <w:rtl/>
        </w:rPr>
        <w:t>الاخير</w:t>
      </w:r>
      <w:r w:rsidR="00EC7EDF" w:rsidRPr="00FD211F">
        <w:rPr>
          <w:sz w:val="36"/>
          <w:szCs w:val="36"/>
          <w:rtl/>
        </w:rPr>
        <w:t>ة</w:t>
      </w:r>
      <w:r w:rsidR="00603323" w:rsidRPr="00FD211F">
        <w:rPr>
          <w:sz w:val="36"/>
          <w:szCs w:val="36"/>
          <w:rtl/>
        </w:rPr>
        <w:t xml:space="preserve">، </w:t>
      </w:r>
      <w:r w:rsidR="0061083F" w:rsidRPr="00FD211F">
        <w:rPr>
          <w:sz w:val="36"/>
          <w:szCs w:val="36"/>
          <w:rtl/>
        </w:rPr>
        <w:t>فلاجرم يتحد</w:t>
      </w:r>
      <w:r w:rsidR="00830C75" w:rsidRPr="00FD211F">
        <w:rPr>
          <w:sz w:val="36"/>
          <w:szCs w:val="36"/>
          <w:rtl/>
        </w:rPr>
        <w:t xml:space="preserve"> </w:t>
      </w:r>
      <w:r w:rsidR="0061083F" w:rsidRPr="00FD211F">
        <w:rPr>
          <w:sz w:val="36"/>
          <w:szCs w:val="36"/>
          <w:rtl/>
        </w:rPr>
        <w:t>زمان اموم</w:t>
      </w:r>
      <w:r w:rsidR="00EC7EDF" w:rsidRPr="00FD211F">
        <w:rPr>
          <w:sz w:val="36"/>
          <w:szCs w:val="36"/>
          <w:rtl/>
        </w:rPr>
        <w:t xml:space="preserve">ة </w:t>
      </w:r>
      <w:r w:rsidR="0061083F" w:rsidRPr="00FD211F">
        <w:rPr>
          <w:sz w:val="36"/>
          <w:szCs w:val="36"/>
          <w:rtl/>
        </w:rPr>
        <w:t>الكبير</w:t>
      </w:r>
      <w:r w:rsidR="00EC7EDF" w:rsidRPr="00FD211F">
        <w:rPr>
          <w:sz w:val="36"/>
          <w:szCs w:val="36"/>
          <w:rtl/>
        </w:rPr>
        <w:t xml:space="preserve">ة </w:t>
      </w:r>
      <w:r w:rsidR="0061083F" w:rsidRPr="00FD211F">
        <w:rPr>
          <w:sz w:val="36"/>
          <w:szCs w:val="36"/>
          <w:rtl/>
        </w:rPr>
        <w:t>الاولى للصغير</w:t>
      </w:r>
      <w:r w:rsidR="00EC7EDF" w:rsidRPr="00FD211F">
        <w:rPr>
          <w:sz w:val="36"/>
          <w:szCs w:val="36"/>
          <w:rtl/>
        </w:rPr>
        <w:t xml:space="preserve">ة </w:t>
      </w:r>
      <w:r w:rsidR="0061083F" w:rsidRPr="00FD211F">
        <w:rPr>
          <w:sz w:val="36"/>
          <w:szCs w:val="36"/>
          <w:rtl/>
        </w:rPr>
        <w:t>مع زوجي</w:t>
      </w:r>
      <w:r w:rsidR="00EC7EDF" w:rsidRPr="00FD211F">
        <w:rPr>
          <w:sz w:val="36"/>
          <w:szCs w:val="36"/>
          <w:rtl/>
        </w:rPr>
        <w:t xml:space="preserve">ة </w:t>
      </w:r>
      <w:r w:rsidR="0061083F" w:rsidRPr="00FD211F">
        <w:rPr>
          <w:sz w:val="36"/>
          <w:szCs w:val="36"/>
          <w:rtl/>
        </w:rPr>
        <w:t>الصغير</w:t>
      </w:r>
      <w:r w:rsidR="00EC7EDF" w:rsidRPr="00FD211F">
        <w:rPr>
          <w:sz w:val="36"/>
          <w:szCs w:val="36"/>
          <w:rtl/>
        </w:rPr>
        <w:t xml:space="preserve">ة </w:t>
      </w:r>
      <w:r w:rsidR="0061083F" w:rsidRPr="00FD211F">
        <w:rPr>
          <w:sz w:val="36"/>
          <w:szCs w:val="36"/>
          <w:rtl/>
        </w:rPr>
        <w:t>للرجل</w:t>
      </w:r>
      <w:r w:rsidR="0013341E" w:rsidRPr="00FD211F">
        <w:rPr>
          <w:sz w:val="36"/>
          <w:szCs w:val="36"/>
          <w:rtl/>
        </w:rPr>
        <w:t xml:space="preserve"> على </w:t>
      </w:r>
      <w:r w:rsidR="0061083F" w:rsidRPr="00FD211F">
        <w:rPr>
          <w:sz w:val="36"/>
          <w:szCs w:val="36"/>
          <w:rtl/>
        </w:rPr>
        <w:t>نحو</w:t>
      </w:r>
      <w:r w:rsidR="00830C75" w:rsidRPr="00FD211F">
        <w:rPr>
          <w:sz w:val="36"/>
          <w:szCs w:val="36"/>
          <w:rtl/>
        </w:rPr>
        <w:t xml:space="preserve"> </w:t>
      </w:r>
      <w:r w:rsidR="0061083F" w:rsidRPr="00FD211F">
        <w:rPr>
          <w:sz w:val="36"/>
          <w:szCs w:val="36"/>
          <w:rtl/>
        </w:rPr>
        <w:t>الدق</w:t>
      </w:r>
      <w:r w:rsidR="00EC7EDF" w:rsidRPr="00FD211F">
        <w:rPr>
          <w:sz w:val="36"/>
          <w:szCs w:val="36"/>
          <w:rtl/>
        </w:rPr>
        <w:t xml:space="preserve">ة </w:t>
      </w:r>
      <w:r w:rsidR="0061083F" w:rsidRPr="00FD211F">
        <w:rPr>
          <w:sz w:val="36"/>
          <w:szCs w:val="36"/>
          <w:rtl/>
        </w:rPr>
        <w:t>العقلي</w:t>
      </w:r>
      <w:r w:rsidR="00EC7EDF" w:rsidRPr="00FD211F">
        <w:rPr>
          <w:sz w:val="36"/>
          <w:szCs w:val="36"/>
          <w:rtl/>
        </w:rPr>
        <w:t>ة</w:t>
      </w:r>
      <w:r w:rsidR="00603323" w:rsidRPr="00FD211F">
        <w:rPr>
          <w:sz w:val="36"/>
          <w:szCs w:val="36"/>
          <w:rtl/>
        </w:rPr>
        <w:t xml:space="preserve">، </w:t>
      </w:r>
      <w:r w:rsidR="0061083F" w:rsidRPr="00FD211F">
        <w:rPr>
          <w:sz w:val="36"/>
          <w:szCs w:val="36"/>
          <w:rtl/>
        </w:rPr>
        <w:t>و</w:t>
      </w:r>
      <w:r w:rsidR="0013341E" w:rsidRPr="00FD211F">
        <w:rPr>
          <w:sz w:val="36"/>
          <w:szCs w:val="36"/>
          <w:rtl/>
        </w:rPr>
        <w:t>حينئذ</w:t>
      </w:r>
      <w:r w:rsidR="00B253CE" w:rsidRPr="00FD211F">
        <w:rPr>
          <w:sz w:val="36"/>
          <w:szCs w:val="36"/>
          <w:rtl/>
        </w:rPr>
        <w:t xml:space="preserve"> </w:t>
      </w:r>
      <w:r w:rsidR="0013341E" w:rsidRPr="00FD211F">
        <w:rPr>
          <w:sz w:val="36"/>
          <w:szCs w:val="36"/>
          <w:rtl/>
        </w:rPr>
        <w:t>فاذا</w:t>
      </w:r>
      <w:r w:rsidR="00830C75" w:rsidRPr="00FD211F">
        <w:rPr>
          <w:sz w:val="36"/>
          <w:szCs w:val="36"/>
          <w:rtl/>
        </w:rPr>
        <w:t xml:space="preserve"> </w:t>
      </w:r>
      <w:r w:rsidR="0013341E" w:rsidRPr="00FD211F">
        <w:rPr>
          <w:sz w:val="36"/>
          <w:szCs w:val="36"/>
          <w:rtl/>
        </w:rPr>
        <w:t>كان المعيار</w:t>
      </w:r>
      <w:r w:rsidR="00830C75" w:rsidRPr="00FD211F">
        <w:rPr>
          <w:sz w:val="36"/>
          <w:szCs w:val="36"/>
          <w:rtl/>
        </w:rPr>
        <w:t xml:space="preserve"> </w:t>
      </w:r>
      <w:r w:rsidR="0013341E" w:rsidRPr="00FD211F">
        <w:rPr>
          <w:sz w:val="36"/>
          <w:szCs w:val="36"/>
          <w:rtl/>
        </w:rPr>
        <w:t>على الاتحاد</w:t>
      </w:r>
      <w:r w:rsidR="00830C75" w:rsidRPr="00FD211F">
        <w:rPr>
          <w:sz w:val="36"/>
          <w:szCs w:val="36"/>
          <w:rtl/>
        </w:rPr>
        <w:t xml:space="preserve"> </w:t>
      </w:r>
      <w:r w:rsidR="0013341E" w:rsidRPr="00FD211F">
        <w:rPr>
          <w:sz w:val="36"/>
          <w:szCs w:val="36"/>
          <w:rtl/>
        </w:rPr>
        <w:t xml:space="preserve">بحسب الزمان </w:t>
      </w:r>
      <w:r w:rsidR="00451122">
        <w:rPr>
          <w:rFonts w:hint="cs"/>
          <w:sz w:val="36"/>
          <w:szCs w:val="36"/>
          <w:rtl/>
        </w:rPr>
        <w:t>د</w:t>
      </w:r>
      <w:r w:rsidR="0013341E" w:rsidRPr="00FD211F">
        <w:rPr>
          <w:sz w:val="36"/>
          <w:szCs w:val="36"/>
          <w:rtl/>
        </w:rPr>
        <w:t>ون الرتب</w:t>
      </w:r>
      <w:r w:rsidR="00EC7EDF" w:rsidRPr="00FD211F">
        <w:rPr>
          <w:sz w:val="36"/>
          <w:szCs w:val="36"/>
          <w:rtl/>
        </w:rPr>
        <w:t xml:space="preserve">ة </w:t>
      </w:r>
      <w:r w:rsidR="0013341E" w:rsidRPr="00FD211F">
        <w:rPr>
          <w:sz w:val="36"/>
          <w:szCs w:val="36"/>
          <w:rtl/>
        </w:rPr>
        <w:t>فقهرا</w:t>
      </w:r>
      <w:r w:rsidR="00830C75" w:rsidRPr="00FD211F">
        <w:rPr>
          <w:sz w:val="36"/>
          <w:szCs w:val="36"/>
          <w:rtl/>
        </w:rPr>
        <w:t xml:space="preserve"> </w:t>
      </w:r>
      <w:r w:rsidR="0013341E" w:rsidRPr="00FD211F">
        <w:rPr>
          <w:sz w:val="36"/>
          <w:szCs w:val="36"/>
          <w:rtl/>
        </w:rPr>
        <w:t>يرتفع به الاشكال من رأسه بلاحاج</w:t>
      </w:r>
      <w:r w:rsidR="00EC7EDF" w:rsidRPr="00FD211F">
        <w:rPr>
          <w:sz w:val="36"/>
          <w:szCs w:val="36"/>
          <w:rtl/>
        </w:rPr>
        <w:t xml:space="preserve">ة </w:t>
      </w:r>
      <w:r w:rsidR="0013341E" w:rsidRPr="00FD211F">
        <w:rPr>
          <w:sz w:val="36"/>
          <w:szCs w:val="36"/>
          <w:rtl/>
        </w:rPr>
        <w:t>الى التشبث بفهم العرف</w:t>
      </w:r>
      <w:r w:rsidR="009C58C8" w:rsidRPr="00FD211F">
        <w:rPr>
          <w:rStyle w:val="a6"/>
          <w:sz w:val="36"/>
          <w:szCs w:val="36"/>
          <w:rtl/>
        </w:rPr>
        <w:t>(</w:t>
      </w:r>
      <w:r w:rsidR="009C58C8" w:rsidRPr="00FD211F">
        <w:rPr>
          <w:rStyle w:val="a6"/>
          <w:sz w:val="36"/>
          <w:szCs w:val="36"/>
          <w:rtl/>
        </w:rPr>
        <w:footnoteReference w:id="488"/>
      </w:r>
      <w:r w:rsidR="009C58C8" w:rsidRPr="00FD211F">
        <w:rPr>
          <w:rStyle w:val="a6"/>
          <w:sz w:val="36"/>
          <w:szCs w:val="36"/>
          <w:rtl/>
        </w:rPr>
        <w:t>)</w:t>
      </w:r>
      <w:r w:rsidR="005A3F0C" w:rsidRPr="00FD211F">
        <w:rPr>
          <w:sz w:val="36"/>
          <w:szCs w:val="36"/>
          <w:rtl/>
        </w:rPr>
        <w:t>.</w:t>
      </w:r>
      <w:r w:rsidR="0013341E" w:rsidRPr="00FD211F">
        <w:rPr>
          <w:sz w:val="36"/>
          <w:szCs w:val="36"/>
          <w:rtl/>
        </w:rPr>
        <w:t xml:space="preserve"> </w:t>
      </w:r>
    </w:p>
    <w:p w14:paraId="72CB9B0E" w14:textId="77777777" w:rsidR="00C4579B" w:rsidRPr="00FD211F" w:rsidRDefault="001F05A7" w:rsidP="009C58C8">
      <w:pPr>
        <w:ind w:left="0" w:firstLine="227"/>
        <w:jc w:val="both"/>
        <w:rPr>
          <w:sz w:val="36"/>
          <w:szCs w:val="36"/>
          <w:rtl/>
        </w:rPr>
      </w:pPr>
      <w:r w:rsidRPr="00FD211F">
        <w:rPr>
          <w:sz w:val="36"/>
          <w:szCs w:val="36"/>
          <w:rtl/>
        </w:rPr>
        <w:t>وفيه أنه اذاكان العرف ملتفتا</w:t>
      </w:r>
      <w:r w:rsidR="00C4579B" w:rsidRPr="00FD211F">
        <w:rPr>
          <w:sz w:val="36"/>
          <w:szCs w:val="36"/>
          <w:rtl/>
        </w:rPr>
        <w:t xml:space="preserve"> </w:t>
      </w:r>
      <w:r w:rsidRPr="00FD211F">
        <w:rPr>
          <w:sz w:val="36"/>
          <w:szCs w:val="36"/>
          <w:rtl/>
        </w:rPr>
        <w:t>الى زوال زوجي</w:t>
      </w:r>
      <w:r w:rsidR="00EC7EDF" w:rsidRPr="00FD211F">
        <w:rPr>
          <w:sz w:val="36"/>
          <w:szCs w:val="36"/>
          <w:rtl/>
        </w:rPr>
        <w:t xml:space="preserve">ة </w:t>
      </w:r>
      <w:r w:rsidRPr="00FD211F">
        <w:rPr>
          <w:sz w:val="36"/>
          <w:szCs w:val="36"/>
          <w:rtl/>
        </w:rPr>
        <w:t>الصغير</w:t>
      </w:r>
      <w:r w:rsidR="00EC7EDF" w:rsidRPr="00FD211F">
        <w:rPr>
          <w:sz w:val="36"/>
          <w:szCs w:val="36"/>
          <w:rtl/>
        </w:rPr>
        <w:t xml:space="preserve">ة </w:t>
      </w:r>
      <w:r w:rsidR="003F5740" w:rsidRPr="00FD211F">
        <w:rPr>
          <w:sz w:val="36"/>
          <w:szCs w:val="36"/>
          <w:rtl/>
        </w:rPr>
        <w:t>بمجرد</w:t>
      </w:r>
      <w:r w:rsidR="00C4579B" w:rsidRPr="00FD211F">
        <w:rPr>
          <w:sz w:val="36"/>
          <w:szCs w:val="36"/>
          <w:rtl/>
        </w:rPr>
        <w:t xml:space="preserve"> </w:t>
      </w:r>
      <w:r w:rsidR="003F5740" w:rsidRPr="00FD211F">
        <w:rPr>
          <w:sz w:val="36"/>
          <w:szCs w:val="36"/>
          <w:rtl/>
        </w:rPr>
        <w:t>تحقق رضعتها</w:t>
      </w:r>
      <w:r w:rsidR="00C4579B" w:rsidRPr="00FD211F">
        <w:rPr>
          <w:sz w:val="36"/>
          <w:szCs w:val="36"/>
          <w:rtl/>
        </w:rPr>
        <w:t xml:space="preserve"> </w:t>
      </w:r>
      <w:r w:rsidR="003F5740" w:rsidRPr="00FD211F">
        <w:rPr>
          <w:sz w:val="36"/>
          <w:szCs w:val="36"/>
          <w:rtl/>
        </w:rPr>
        <w:t>الاخير</w:t>
      </w:r>
      <w:r w:rsidR="00EC7EDF" w:rsidRPr="00FD211F">
        <w:rPr>
          <w:sz w:val="36"/>
          <w:szCs w:val="36"/>
          <w:rtl/>
        </w:rPr>
        <w:t xml:space="preserve">ة </w:t>
      </w:r>
      <w:r w:rsidR="003F5740" w:rsidRPr="00FD211F">
        <w:rPr>
          <w:sz w:val="36"/>
          <w:szCs w:val="36"/>
          <w:rtl/>
        </w:rPr>
        <w:t>من الكبير</w:t>
      </w:r>
      <w:r w:rsidR="00EC7EDF" w:rsidRPr="00FD211F">
        <w:rPr>
          <w:sz w:val="36"/>
          <w:szCs w:val="36"/>
          <w:rtl/>
        </w:rPr>
        <w:t xml:space="preserve">ة </w:t>
      </w:r>
      <w:r w:rsidR="003F5740" w:rsidRPr="00FD211F">
        <w:rPr>
          <w:sz w:val="36"/>
          <w:szCs w:val="36"/>
          <w:rtl/>
        </w:rPr>
        <w:t>الاولى فنمنع من عدم قبوله بنظره الدقي أن هذه الكبير</w:t>
      </w:r>
      <w:r w:rsidR="00EC7EDF" w:rsidRPr="00FD211F">
        <w:rPr>
          <w:sz w:val="36"/>
          <w:szCs w:val="36"/>
          <w:rtl/>
        </w:rPr>
        <w:t>ة</w:t>
      </w:r>
      <w:r w:rsidR="008D7B3D" w:rsidRPr="00FD211F">
        <w:rPr>
          <w:sz w:val="36"/>
          <w:szCs w:val="36"/>
          <w:rtl/>
        </w:rPr>
        <w:t xml:space="preserve"> لم‌</w:t>
      </w:r>
      <w:r w:rsidR="00074BED" w:rsidRPr="00FD211F">
        <w:rPr>
          <w:sz w:val="36"/>
          <w:szCs w:val="36"/>
          <w:rtl/>
        </w:rPr>
        <w:t>تكن في أي زمان أم زوج</w:t>
      </w:r>
      <w:r w:rsidR="00EC7EDF" w:rsidRPr="00FD211F">
        <w:rPr>
          <w:sz w:val="36"/>
          <w:szCs w:val="36"/>
          <w:rtl/>
        </w:rPr>
        <w:t xml:space="preserve">ة </w:t>
      </w:r>
      <w:r w:rsidR="00C4579B" w:rsidRPr="00FD211F">
        <w:rPr>
          <w:sz w:val="36"/>
          <w:szCs w:val="36"/>
          <w:rtl/>
        </w:rPr>
        <w:t>الرجل.</w:t>
      </w:r>
    </w:p>
    <w:p w14:paraId="08086AB1" w14:textId="77777777" w:rsidR="00985588" w:rsidRPr="00FD211F" w:rsidRDefault="003F5740" w:rsidP="00C10199">
      <w:pPr>
        <w:ind w:left="0" w:firstLine="227"/>
        <w:jc w:val="both"/>
        <w:rPr>
          <w:sz w:val="36"/>
          <w:szCs w:val="36"/>
          <w:rtl/>
        </w:rPr>
      </w:pPr>
      <w:r w:rsidRPr="00FD211F">
        <w:rPr>
          <w:sz w:val="36"/>
          <w:szCs w:val="36"/>
          <w:rtl/>
        </w:rPr>
        <w:t>وأما</w:t>
      </w:r>
      <w:r w:rsidR="00712BD7" w:rsidRPr="00FD211F">
        <w:rPr>
          <w:sz w:val="36"/>
          <w:szCs w:val="36"/>
          <w:rtl/>
        </w:rPr>
        <w:t xml:space="preserve"> </w:t>
      </w:r>
      <w:r w:rsidRPr="00FD211F">
        <w:rPr>
          <w:sz w:val="36"/>
          <w:szCs w:val="36"/>
          <w:rtl/>
        </w:rPr>
        <w:t>ما</w:t>
      </w:r>
      <w:r w:rsidR="00C4579B" w:rsidRPr="00FD211F">
        <w:rPr>
          <w:sz w:val="36"/>
          <w:szCs w:val="36"/>
          <w:rtl/>
        </w:rPr>
        <w:t xml:space="preserve"> </w:t>
      </w:r>
      <w:r w:rsidRPr="00FD211F">
        <w:rPr>
          <w:sz w:val="36"/>
          <w:szCs w:val="36"/>
          <w:rtl/>
        </w:rPr>
        <w:t>ذكره أخيرا</w:t>
      </w:r>
      <w:r w:rsidR="00C4579B" w:rsidRPr="00FD211F">
        <w:rPr>
          <w:sz w:val="36"/>
          <w:szCs w:val="36"/>
          <w:rtl/>
        </w:rPr>
        <w:t xml:space="preserve"> (من كون الكبيرة الاولى اما للزوجة الفعلية بالدقة العقلية ايضا</w:t>
      </w:r>
      <w:r w:rsidR="00C7588D" w:rsidRPr="00FD211F">
        <w:rPr>
          <w:sz w:val="36"/>
          <w:szCs w:val="36"/>
          <w:rtl/>
        </w:rPr>
        <w:t xml:space="preserve"> </w:t>
      </w:r>
      <w:r w:rsidR="00C4579B" w:rsidRPr="00FD211F">
        <w:rPr>
          <w:sz w:val="36"/>
          <w:szCs w:val="36"/>
          <w:rtl/>
        </w:rPr>
        <w:t xml:space="preserve">لاتحاد زمان زوجية الصغيرة للرجل مع امومة الكبيرة الاولى) </w:t>
      </w:r>
      <w:r w:rsidR="00B828D0" w:rsidRPr="00FD211F">
        <w:rPr>
          <w:sz w:val="36"/>
          <w:szCs w:val="36"/>
          <w:rtl/>
        </w:rPr>
        <w:t>فيرد</w:t>
      </w:r>
      <w:r w:rsidR="00C10199">
        <w:rPr>
          <w:rFonts w:hint="cs"/>
          <w:sz w:val="36"/>
          <w:szCs w:val="36"/>
          <w:rtl/>
        </w:rPr>
        <w:t xml:space="preserve"> </w:t>
      </w:r>
      <w:r w:rsidR="00B828D0" w:rsidRPr="00FD211F">
        <w:rPr>
          <w:sz w:val="36"/>
          <w:szCs w:val="36"/>
          <w:rtl/>
        </w:rPr>
        <w:t>عليه أنه عند</w:t>
      </w:r>
      <w:r w:rsidR="00C4579B" w:rsidRPr="00FD211F">
        <w:rPr>
          <w:sz w:val="36"/>
          <w:szCs w:val="36"/>
          <w:rtl/>
        </w:rPr>
        <w:t xml:space="preserve"> </w:t>
      </w:r>
      <w:r w:rsidR="00B828D0" w:rsidRPr="00FD211F">
        <w:rPr>
          <w:sz w:val="36"/>
          <w:szCs w:val="36"/>
          <w:rtl/>
        </w:rPr>
        <w:t>تحقق الرضع</w:t>
      </w:r>
      <w:r w:rsidR="00EC7EDF" w:rsidRPr="00FD211F">
        <w:rPr>
          <w:sz w:val="36"/>
          <w:szCs w:val="36"/>
          <w:rtl/>
        </w:rPr>
        <w:t xml:space="preserve">ة </w:t>
      </w:r>
      <w:r w:rsidR="00B828D0" w:rsidRPr="00FD211F">
        <w:rPr>
          <w:sz w:val="36"/>
          <w:szCs w:val="36"/>
          <w:rtl/>
        </w:rPr>
        <w:t>الاخير</w:t>
      </w:r>
      <w:r w:rsidR="00EC7EDF" w:rsidRPr="00FD211F">
        <w:rPr>
          <w:sz w:val="36"/>
          <w:szCs w:val="36"/>
          <w:rtl/>
        </w:rPr>
        <w:t xml:space="preserve">ة </w:t>
      </w:r>
      <w:r w:rsidR="00B828D0" w:rsidRPr="00FD211F">
        <w:rPr>
          <w:sz w:val="36"/>
          <w:szCs w:val="36"/>
          <w:rtl/>
        </w:rPr>
        <w:t>فكما</w:t>
      </w:r>
      <w:r w:rsidR="00C4579B" w:rsidRPr="00FD211F">
        <w:rPr>
          <w:sz w:val="36"/>
          <w:szCs w:val="36"/>
          <w:rtl/>
        </w:rPr>
        <w:t xml:space="preserve"> </w:t>
      </w:r>
      <w:r w:rsidR="00B828D0" w:rsidRPr="00FD211F">
        <w:rPr>
          <w:sz w:val="36"/>
          <w:szCs w:val="36"/>
          <w:rtl/>
        </w:rPr>
        <w:t>تتحقق أموم</w:t>
      </w:r>
      <w:r w:rsidR="00EC7EDF" w:rsidRPr="00FD211F">
        <w:rPr>
          <w:sz w:val="36"/>
          <w:szCs w:val="36"/>
          <w:rtl/>
        </w:rPr>
        <w:t xml:space="preserve">ة </w:t>
      </w:r>
      <w:r w:rsidR="00B828D0" w:rsidRPr="00FD211F">
        <w:rPr>
          <w:sz w:val="36"/>
          <w:szCs w:val="36"/>
          <w:rtl/>
        </w:rPr>
        <w:t>الكبير</w:t>
      </w:r>
      <w:r w:rsidR="00EC7EDF" w:rsidRPr="00FD211F">
        <w:rPr>
          <w:sz w:val="36"/>
          <w:szCs w:val="36"/>
          <w:rtl/>
        </w:rPr>
        <w:t xml:space="preserve">ة </w:t>
      </w:r>
      <w:r w:rsidR="00B828D0" w:rsidRPr="00FD211F">
        <w:rPr>
          <w:sz w:val="36"/>
          <w:szCs w:val="36"/>
          <w:rtl/>
        </w:rPr>
        <w:t>للصغير</w:t>
      </w:r>
      <w:r w:rsidR="00EC7EDF" w:rsidRPr="00FD211F">
        <w:rPr>
          <w:sz w:val="36"/>
          <w:szCs w:val="36"/>
          <w:rtl/>
        </w:rPr>
        <w:t xml:space="preserve">ة </w:t>
      </w:r>
      <w:r w:rsidR="00B828D0" w:rsidRPr="00FD211F">
        <w:rPr>
          <w:sz w:val="36"/>
          <w:szCs w:val="36"/>
          <w:rtl/>
        </w:rPr>
        <w:t>وبنتي</w:t>
      </w:r>
      <w:r w:rsidR="00EC7EDF" w:rsidRPr="00FD211F">
        <w:rPr>
          <w:sz w:val="36"/>
          <w:szCs w:val="36"/>
          <w:rtl/>
        </w:rPr>
        <w:t xml:space="preserve">ة </w:t>
      </w:r>
      <w:r w:rsidR="00B828D0" w:rsidRPr="00FD211F">
        <w:rPr>
          <w:sz w:val="36"/>
          <w:szCs w:val="36"/>
          <w:rtl/>
        </w:rPr>
        <w:t>الصغير</w:t>
      </w:r>
      <w:r w:rsidR="00EC7EDF" w:rsidRPr="00FD211F">
        <w:rPr>
          <w:sz w:val="36"/>
          <w:szCs w:val="36"/>
          <w:rtl/>
        </w:rPr>
        <w:t xml:space="preserve">ة </w:t>
      </w:r>
      <w:r w:rsidR="00B828D0" w:rsidRPr="00FD211F">
        <w:rPr>
          <w:sz w:val="36"/>
          <w:szCs w:val="36"/>
          <w:rtl/>
        </w:rPr>
        <w:t>لها</w:t>
      </w:r>
      <w:r w:rsidR="00C4579B" w:rsidRPr="00FD211F">
        <w:rPr>
          <w:sz w:val="36"/>
          <w:szCs w:val="36"/>
          <w:rtl/>
        </w:rPr>
        <w:t xml:space="preserve"> </w:t>
      </w:r>
      <w:r w:rsidR="00B828D0" w:rsidRPr="00FD211F">
        <w:rPr>
          <w:sz w:val="36"/>
          <w:szCs w:val="36"/>
          <w:rtl/>
        </w:rPr>
        <w:t>فكذلك تتحقق زوال زوجي</w:t>
      </w:r>
      <w:r w:rsidR="00EC7EDF" w:rsidRPr="00FD211F">
        <w:rPr>
          <w:sz w:val="36"/>
          <w:szCs w:val="36"/>
          <w:rtl/>
        </w:rPr>
        <w:t xml:space="preserve">ة </w:t>
      </w:r>
      <w:r w:rsidR="00B828D0" w:rsidRPr="00FD211F">
        <w:rPr>
          <w:sz w:val="36"/>
          <w:szCs w:val="36"/>
          <w:rtl/>
        </w:rPr>
        <w:t>الصغير</w:t>
      </w:r>
      <w:r w:rsidR="00EC7EDF" w:rsidRPr="00FD211F">
        <w:rPr>
          <w:sz w:val="36"/>
          <w:szCs w:val="36"/>
          <w:rtl/>
        </w:rPr>
        <w:t xml:space="preserve">ة </w:t>
      </w:r>
      <w:r w:rsidR="00B828D0" w:rsidRPr="00FD211F">
        <w:rPr>
          <w:sz w:val="36"/>
          <w:szCs w:val="36"/>
          <w:rtl/>
        </w:rPr>
        <w:t>للرجل فلوكان المدارعلى الاتحاد</w:t>
      </w:r>
      <w:r w:rsidR="00C10199">
        <w:rPr>
          <w:rFonts w:hint="cs"/>
          <w:sz w:val="36"/>
          <w:szCs w:val="36"/>
          <w:rtl/>
        </w:rPr>
        <w:t xml:space="preserve"> </w:t>
      </w:r>
      <w:r w:rsidR="00B828D0" w:rsidRPr="00FD211F">
        <w:rPr>
          <w:sz w:val="36"/>
          <w:szCs w:val="36"/>
          <w:rtl/>
        </w:rPr>
        <w:t xml:space="preserve">في الزمان أنتج عكس </w:t>
      </w:r>
      <w:commentRangeStart w:id="428"/>
      <w:r w:rsidR="00B828D0" w:rsidRPr="00FD211F">
        <w:rPr>
          <w:sz w:val="36"/>
          <w:szCs w:val="36"/>
          <w:rtl/>
        </w:rPr>
        <w:t>مقصوده</w:t>
      </w:r>
      <w:commentRangeEnd w:id="428"/>
      <w:r w:rsidR="00C10199">
        <w:rPr>
          <w:rStyle w:val="ab"/>
          <w:rtl/>
        </w:rPr>
        <w:commentReference w:id="428"/>
      </w:r>
      <w:r w:rsidR="00B828D0" w:rsidRPr="00FD211F">
        <w:rPr>
          <w:sz w:val="36"/>
          <w:szCs w:val="36"/>
          <w:rtl/>
        </w:rPr>
        <w:t>.</w:t>
      </w:r>
    </w:p>
    <w:p w14:paraId="45F1AC7E" w14:textId="77777777" w:rsidR="008102B1" w:rsidRPr="00FD211F" w:rsidRDefault="00A50D2A" w:rsidP="009C58C8">
      <w:pPr>
        <w:ind w:left="0" w:firstLine="227"/>
        <w:jc w:val="both"/>
        <w:rPr>
          <w:sz w:val="36"/>
          <w:szCs w:val="36"/>
          <w:rtl/>
        </w:rPr>
      </w:pPr>
      <w:r w:rsidRPr="00FD211F">
        <w:rPr>
          <w:b/>
          <w:bCs/>
          <w:sz w:val="36"/>
          <w:szCs w:val="36"/>
          <w:rtl/>
        </w:rPr>
        <w:t>الوجه الثالث</w:t>
      </w:r>
      <w:r w:rsidR="00EC7EDF" w:rsidRPr="00FD211F">
        <w:rPr>
          <w:sz w:val="36"/>
          <w:szCs w:val="36"/>
          <w:rtl/>
        </w:rPr>
        <w:t>:</w:t>
      </w:r>
      <w:r w:rsidR="008102B1" w:rsidRPr="00FD211F">
        <w:rPr>
          <w:sz w:val="36"/>
          <w:szCs w:val="36"/>
          <w:rtl/>
        </w:rPr>
        <w:t>ما</w:t>
      </w:r>
      <w:r w:rsidR="00244B5F" w:rsidRPr="00FD211F">
        <w:rPr>
          <w:sz w:val="36"/>
          <w:szCs w:val="36"/>
          <w:rtl/>
        </w:rPr>
        <w:t xml:space="preserve"> قد يقال</w:t>
      </w:r>
      <w:r w:rsidR="00A8385B" w:rsidRPr="00FD211F">
        <w:rPr>
          <w:sz w:val="36"/>
          <w:szCs w:val="36"/>
          <w:rtl/>
        </w:rPr>
        <w:t xml:space="preserve"> من</w:t>
      </w:r>
      <w:r w:rsidR="00244B5F" w:rsidRPr="00FD211F">
        <w:rPr>
          <w:sz w:val="36"/>
          <w:szCs w:val="36"/>
          <w:rtl/>
        </w:rPr>
        <w:t xml:space="preserve"> ان قوله تعالى</w:t>
      </w:r>
      <w:r w:rsidR="008102B1" w:rsidRPr="00FD211F">
        <w:rPr>
          <w:sz w:val="36"/>
          <w:szCs w:val="36"/>
          <w:rtl/>
        </w:rPr>
        <w:t xml:space="preserve"> "حرمت عليكم...</w:t>
      </w:r>
      <w:r w:rsidR="00244B5F" w:rsidRPr="00FD211F">
        <w:rPr>
          <w:sz w:val="36"/>
          <w:szCs w:val="36"/>
          <w:rtl/>
        </w:rPr>
        <w:t xml:space="preserve"> ربائبكم</w:t>
      </w:r>
      <w:r w:rsidR="00A8385B" w:rsidRPr="00FD211F">
        <w:rPr>
          <w:sz w:val="36"/>
          <w:szCs w:val="36"/>
          <w:rtl/>
        </w:rPr>
        <w:t>...</w:t>
      </w:r>
      <w:r w:rsidR="00244B5F" w:rsidRPr="00FD211F">
        <w:rPr>
          <w:sz w:val="36"/>
          <w:szCs w:val="36"/>
          <w:rtl/>
        </w:rPr>
        <w:t xml:space="preserve"> من نسائكم</w:t>
      </w:r>
      <w:r w:rsidR="008102B1" w:rsidRPr="00FD211F">
        <w:rPr>
          <w:sz w:val="36"/>
          <w:szCs w:val="36"/>
          <w:rtl/>
        </w:rPr>
        <w:t xml:space="preserve"> اللاتي دخلتم بهن</w:t>
      </w:r>
      <w:r w:rsidR="009C58C8" w:rsidRPr="00FD211F">
        <w:rPr>
          <w:rStyle w:val="a6"/>
          <w:sz w:val="36"/>
          <w:szCs w:val="36"/>
          <w:rtl/>
        </w:rPr>
        <w:t>(</w:t>
      </w:r>
      <w:r w:rsidR="009C58C8" w:rsidRPr="00FD211F">
        <w:rPr>
          <w:rStyle w:val="a6"/>
          <w:sz w:val="36"/>
          <w:szCs w:val="36"/>
          <w:rtl/>
        </w:rPr>
        <w:footnoteReference w:id="489"/>
      </w:r>
      <w:r w:rsidR="009C58C8" w:rsidRPr="00FD211F">
        <w:rPr>
          <w:rStyle w:val="a6"/>
          <w:sz w:val="36"/>
          <w:szCs w:val="36"/>
          <w:rtl/>
        </w:rPr>
        <w:t>)</w:t>
      </w:r>
      <w:r w:rsidR="008102B1" w:rsidRPr="00FD211F">
        <w:rPr>
          <w:sz w:val="36"/>
          <w:szCs w:val="36"/>
          <w:rtl/>
        </w:rPr>
        <w:t>" حيث يكون شاملا لما اذا طلق الرجل زوجته بعد ان دخل بها ثم تزوجت هي من رجل آخر وصار لها بنت ف</w:t>
      </w:r>
      <w:r w:rsidR="00244B5F" w:rsidRPr="00FD211F">
        <w:rPr>
          <w:sz w:val="36"/>
          <w:szCs w:val="36"/>
          <w:rtl/>
        </w:rPr>
        <w:t>بقرين</w:t>
      </w:r>
      <w:r w:rsidR="00EC7EDF" w:rsidRPr="00FD211F">
        <w:rPr>
          <w:sz w:val="36"/>
          <w:szCs w:val="36"/>
          <w:rtl/>
        </w:rPr>
        <w:t xml:space="preserve">ة </w:t>
      </w:r>
      <w:r w:rsidR="00244B5F" w:rsidRPr="00FD211F">
        <w:rPr>
          <w:sz w:val="36"/>
          <w:szCs w:val="36"/>
          <w:rtl/>
        </w:rPr>
        <w:t>السياق يكون قوله تعالى</w:t>
      </w:r>
      <w:r w:rsidR="008102B1" w:rsidRPr="00FD211F">
        <w:rPr>
          <w:sz w:val="36"/>
          <w:szCs w:val="36"/>
          <w:rtl/>
        </w:rPr>
        <w:t xml:space="preserve"> "...</w:t>
      </w:r>
      <w:r w:rsidR="00244B5F" w:rsidRPr="00FD211F">
        <w:rPr>
          <w:sz w:val="36"/>
          <w:szCs w:val="36"/>
          <w:rtl/>
        </w:rPr>
        <w:t xml:space="preserve"> وامهات نسائكم</w:t>
      </w:r>
      <w:r w:rsidR="008102B1" w:rsidRPr="00FD211F">
        <w:rPr>
          <w:sz w:val="36"/>
          <w:szCs w:val="36"/>
          <w:rtl/>
        </w:rPr>
        <w:t>"</w:t>
      </w:r>
      <w:r w:rsidR="00244B5F" w:rsidRPr="00FD211F">
        <w:rPr>
          <w:sz w:val="36"/>
          <w:szCs w:val="36"/>
          <w:rtl/>
        </w:rPr>
        <w:t xml:space="preserve"> شاملا لام</w:t>
      </w:r>
      <w:r w:rsidR="00DD292D" w:rsidRPr="00FD211F">
        <w:rPr>
          <w:sz w:val="36"/>
          <w:szCs w:val="36"/>
          <w:rtl/>
        </w:rPr>
        <w:t>ّ</w:t>
      </w:r>
      <w:r w:rsidR="00244B5F" w:rsidRPr="00FD211F">
        <w:rPr>
          <w:sz w:val="36"/>
          <w:szCs w:val="36"/>
          <w:rtl/>
        </w:rPr>
        <w:t xml:space="preserve"> الزوج</w:t>
      </w:r>
      <w:r w:rsidR="00EC7EDF" w:rsidRPr="00FD211F">
        <w:rPr>
          <w:sz w:val="36"/>
          <w:szCs w:val="36"/>
          <w:rtl/>
        </w:rPr>
        <w:t xml:space="preserve">ة </w:t>
      </w:r>
      <w:r w:rsidR="00244B5F" w:rsidRPr="00FD211F">
        <w:rPr>
          <w:sz w:val="36"/>
          <w:szCs w:val="36"/>
          <w:rtl/>
        </w:rPr>
        <w:t>السابق</w:t>
      </w:r>
      <w:r w:rsidR="00EC7EDF" w:rsidRPr="00FD211F">
        <w:rPr>
          <w:sz w:val="36"/>
          <w:szCs w:val="36"/>
          <w:rtl/>
        </w:rPr>
        <w:t xml:space="preserve">ة </w:t>
      </w:r>
      <w:r w:rsidR="00244B5F" w:rsidRPr="00FD211F">
        <w:rPr>
          <w:sz w:val="36"/>
          <w:szCs w:val="36"/>
          <w:rtl/>
        </w:rPr>
        <w:t>كما في المقام</w:t>
      </w:r>
      <w:r w:rsidR="008102B1" w:rsidRPr="00FD211F">
        <w:rPr>
          <w:sz w:val="36"/>
          <w:szCs w:val="36"/>
          <w:rtl/>
        </w:rPr>
        <w:t>.</w:t>
      </w:r>
    </w:p>
    <w:p w14:paraId="63732D58" w14:textId="77777777" w:rsidR="008102B1" w:rsidRPr="00FD211F" w:rsidRDefault="00244B5F" w:rsidP="009C58C8">
      <w:pPr>
        <w:ind w:left="0" w:firstLine="227"/>
        <w:jc w:val="both"/>
        <w:rPr>
          <w:sz w:val="36"/>
          <w:szCs w:val="36"/>
          <w:rtl/>
        </w:rPr>
      </w:pPr>
      <w:r w:rsidRPr="00FD211F">
        <w:rPr>
          <w:sz w:val="36"/>
          <w:szCs w:val="36"/>
          <w:rtl/>
        </w:rPr>
        <w:t>وفيه ان حكم بنت الزوج</w:t>
      </w:r>
      <w:r w:rsidR="00EC7EDF" w:rsidRPr="00FD211F">
        <w:rPr>
          <w:sz w:val="36"/>
          <w:szCs w:val="36"/>
          <w:rtl/>
        </w:rPr>
        <w:t xml:space="preserve">ة </w:t>
      </w:r>
      <w:r w:rsidRPr="00FD211F">
        <w:rPr>
          <w:sz w:val="36"/>
          <w:szCs w:val="36"/>
          <w:rtl/>
        </w:rPr>
        <w:t>السابق</w:t>
      </w:r>
      <w:r w:rsidR="00EC7EDF" w:rsidRPr="00FD211F">
        <w:rPr>
          <w:sz w:val="36"/>
          <w:szCs w:val="36"/>
          <w:rtl/>
        </w:rPr>
        <w:t xml:space="preserve">ة </w:t>
      </w:r>
      <w:r w:rsidRPr="00FD211F">
        <w:rPr>
          <w:sz w:val="36"/>
          <w:szCs w:val="36"/>
          <w:rtl/>
        </w:rPr>
        <w:t xml:space="preserve">مستفاد من </w:t>
      </w:r>
      <w:r w:rsidR="008102B1" w:rsidRPr="00FD211F">
        <w:rPr>
          <w:sz w:val="36"/>
          <w:szCs w:val="36"/>
          <w:rtl/>
        </w:rPr>
        <w:t>الروايات الخاص</w:t>
      </w:r>
      <w:r w:rsidR="00EC7EDF" w:rsidRPr="00FD211F">
        <w:rPr>
          <w:sz w:val="36"/>
          <w:szCs w:val="36"/>
          <w:rtl/>
        </w:rPr>
        <w:t xml:space="preserve">ة </w:t>
      </w:r>
      <w:r w:rsidRPr="00FD211F">
        <w:rPr>
          <w:sz w:val="36"/>
          <w:szCs w:val="36"/>
          <w:rtl/>
        </w:rPr>
        <w:t>التي سبق ذكرها لامن الآي</w:t>
      </w:r>
      <w:r w:rsidR="00EC7EDF" w:rsidRPr="00FD211F">
        <w:rPr>
          <w:sz w:val="36"/>
          <w:szCs w:val="36"/>
          <w:rtl/>
        </w:rPr>
        <w:t>ة</w:t>
      </w:r>
      <w:r w:rsidR="00603323" w:rsidRPr="00FD211F">
        <w:rPr>
          <w:sz w:val="36"/>
          <w:szCs w:val="36"/>
          <w:rtl/>
        </w:rPr>
        <w:t xml:space="preserve">، </w:t>
      </w:r>
      <w:r w:rsidR="008102B1" w:rsidRPr="00FD211F">
        <w:rPr>
          <w:sz w:val="36"/>
          <w:szCs w:val="36"/>
          <w:rtl/>
        </w:rPr>
        <w:t>على ان مجرد السياق لايشكِّل قرين</w:t>
      </w:r>
      <w:r w:rsidR="00EC7EDF" w:rsidRPr="00FD211F">
        <w:rPr>
          <w:sz w:val="36"/>
          <w:szCs w:val="36"/>
          <w:rtl/>
        </w:rPr>
        <w:t>ة</w:t>
      </w:r>
      <w:r w:rsidR="00A61BAE" w:rsidRPr="00FD211F">
        <w:rPr>
          <w:sz w:val="36"/>
          <w:szCs w:val="36"/>
          <w:rtl/>
        </w:rPr>
        <w:t>.</w:t>
      </w:r>
    </w:p>
    <w:p w14:paraId="549F856C" w14:textId="77777777" w:rsidR="008102B1" w:rsidRPr="00FD211F" w:rsidRDefault="00712BD7" w:rsidP="00712BD7">
      <w:pPr>
        <w:ind w:left="0" w:firstLine="227"/>
        <w:jc w:val="both"/>
        <w:rPr>
          <w:sz w:val="36"/>
          <w:szCs w:val="36"/>
          <w:rtl/>
        </w:rPr>
      </w:pPr>
      <w:r w:rsidRPr="00FD211F">
        <w:rPr>
          <w:b/>
          <w:bCs/>
          <w:sz w:val="36"/>
          <w:szCs w:val="36"/>
          <w:rtl/>
        </w:rPr>
        <w:t>الوجه الرابع:</w:t>
      </w:r>
      <w:r w:rsidR="00FF0714" w:rsidRPr="00FD211F">
        <w:rPr>
          <w:sz w:val="36"/>
          <w:szCs w:val="36"/>
          <w:rtl/>
        </w:rPr>
        <w:t xml:space="preserve"> م</w:t>
      </w:r>
      <w:r w:rsidRPr="00FD211F">
        <w:rPr>
          <w:sz w:val="36"/>
          <w:szCs w:val="36"/>
          <w:rtl/>
        </w:rPr>
        <w:t>ا</w:t>
      </w:r>
      <w:r w:rsidR="00FF0714" w:rsidRPr="00FD211F">
        <w:rPr>
          <w:sz w:val="36"/>
          <w:szCs w:val="36"/>
          <w:rtl/>
        </w:rPr>
        <w:t xml:space="preserve"> اشار اليه </w:t>
      </w:r>
      <w:r w:rsidR="008102B1" w:rsidRPr="00FD211F">
        <w:rPr>
          <w:sz w:val="36"/>
          <w:szCs w:val="36"/>
          <w:rtl/>
        </w:rPr>
        <w:t xml:space="preserve">صاحب الجواهر </w:t>
      </w:r>
      <w:r w:rsidR="0038119E" w:rsidRPr="00FD211F">
        <w:rPr>
          <w:sz w:val="36"/>
          <w:szCs w:val="36"/>
          <w:rtl/>
        </w:rPr>
        <w:t>"قده"</w:t>
      </w:r>
      <w:r w:rsidR="008102B1" w:rsidRPr="00FD211F">
        <w:rPr>
          <w:sz w:val="36"/>
          <w:szCs w:val="36"/>
          <w:rtl/>
        </w:rPr>
        <w:t>من دعوى</w:t>
      </w:r>
      <w:r w:rsidR="00244B5F" w:rsidRPr="00FD211F">
        <w:rPr>
          <w:sz w:val="36"/>
          <w:szCs w:val="36"/>
          <w:rtl/>
        </w:rPr>
        <w:t xml:space="preserve"> كفاي</w:t>
      </w:r>
      <w:r w:rsidR="00EC7EDF" w:rsidRPr="00FD211F">
        <w:rPr>
          <w:sz w:val="36"/>
          <w:szCs w:val="36"/>
          <w:rtl/>
        </w:rPr>
        <w:t xml:space="preserve">ة </w:t>
      </w:r>
      <w:r w:rsidR="00244B5F" w:rsidRPr="00FD211F">
        <w:rPr>
          <w:sz w:val="36"/>
          <w:szCs w:val="36"/>
          <w:rtl/>
        </w:rPr>
        <w:t>ادنى الملابس</w:t>
      </w:r>
      <w:r w:rsidR="00EC7EDF" w:rsidRPr="00FD211F">
        <w:rPr>
          <w:sz w:val="36"/>
          <w:szCs w:val="36"/>
          <w:rtl/>
        </w:rPr>
        <w:t xml:space="preserve">ة </w:t>
      </w:r>
      <w:r w:rsidR="00244B5F" w:rsidRPr="00FD211F">
        <w:rPr>
          <w:sz w:val="36"/>
          <w:szCs w:val="36"/>
          <w:rtl/>
        </w:rPr>
        <w:t>في اضاف</w:t>
      </w:r>
      <w:r w:rsidR="00EC7EDF" w:rsidRPr="00FD211F">
        <w:rPr>
          <w:sz w:val="36"/>
          <w:szCs w:val="36"/>
          <w:rtl/>
        </w:rPr>
        <w:t xml:space="preserve">ة </w:t>
      </w:r>
      <w:r w:rsidR="008102B1" w:rsidRPr="00FD211F">
        <w:rPr>
          <w:sz w:val="36"/>
          <w:szCs w:val="36"/>
          <w:rtl/>
        </w:rPr>
        <w:t>الأ</w:t>
      </w:r>
      <w:r w:rsidR="00244B5F" w:rsidRPr="00FD211F">
        <w:rPr>
          <w:sz w:val="36"/>
          <w:szCs w:val="36"/>
          <w:rtl/>
        </w:rPr>
        <w:t>م</w:t>
      </w:r>
      <w:r w:rsidR="008102B1" w:rsidRPr="00FD211F">
        <w:rPr>
          <w:sz w:val="36"/>
          <w:szCs w:val="36"/>
          <w:rtl/>
        </w:rPr>
        <w:t>ّ</w:t>
      </w:r>
      <w:r w:rsidR="00244B5F" w:rsidRPr="00FD211F">
        <w:rPr>
          <w:sz w:val="36"/>
          <w:szCs w:val="36"/>
          <w:rtl/>
        </w:rPr>
        <w:t xml:space="preserve"> الى الزوج</w:t>
      </w:r>
      <w:r w:rsidR="00EC7EDF" w:rsidRPr="00FD211F">
        <w:rPr>
          <w:sz w:val="36"/>
          <w:szCs w:val="36"/>
          <w:rtl/>
        </w:rPr>
        <w:t xml:space="preserve">ة </w:t>
      </w:r>
      <w:r w:rsidR="008102B1" w:rsidRPr="00FD211F">
        <w:rPr>
          <w:sz w:val="36"/>
          <w:szCs w:val="36"/>
          <w:rtl/>
        </w:rPr>
        <w:t>فيصدق على ام الزوج</w:t>
      </w:r>
      <w:r w:rsidR="00EC7EDF" w:rsidRPr="00FD211F">
        <w:rPr>
          <w:sz w:val="36"/>
          <w:szCs w:val="36"/>
          <w:rtl/>
        </w:rPr>
        <w:t xml:space="preserve">ة </w:t>
      </w:r>
      <w:r w:rsidR="008102B1" w:rsidRPr="00FD211F">
        <w:rPr>
          <w:sz w:val="36"/>
          <w:szCs w:val="36"/>
          <w:rtl/>
        </w:rPr>
        <w:t>السابق</w:t>
      </w:r>
      <w:r w:rsidR="00EC7EDF" w:rsidRPr="00FD211F">
        <w:rPr>
          <w:sz w:val="36"/>
          <w:szCs w:val="36"/>
          <w:rtl/>
        </w:rPr>
        <w:t>ة</w:t>
      </w:r>
      <w:r w:rsidR="00603323" w:rsidRPr="00FD211F">
        <w:rPr>
          <w:sz w:val="36"/>
          <w:szCs w:val="36"/>
          <w:rtl/>
        </w:rPr>
        <w:t xml:space="preserve">، </w:t>
      </w:r>
      <w:r w:rsidR="008102B1" w:rsidRPr="00FD211F">
        <w:rPr>
          <w:sz w:val="36"/>
          <w:szCs w:val="36"/>
          <w:rtl/>
        </w:rPr>
        <w:t>فيشملها قوله تعالى وامهات نسائكم</w:t>
      </w:r>
      <w:r w:rsidR="00603323" w:rsidRPr="00FD211F">
        <w:rPr>
          <w:sz w:val="36"/>
          <w:szCs w:val="36"/>
          <w:rtl/>
        </w:rPr>
        <w:t xml:space="preserve">، </w:t>
      </w:r>
      <w:r w:rsidR="00244B5F" w:rsidRPr="00FD211F">
        <w:rPr>
          <w:sz w:val="36"/>
          <w:szCs w:val="36"/>
          <w:rtl/>
        </w:rPr>
        <w:t>ولاربط له بعدم</w:t>
      </w:r>
      <w:r w:rsidR="008102B1" w:rsidRPr="00FD211F">
        <w:rPr>
          <w:sz w:val="36"/>
          <w:szCs w:val="36"/>
          <w:rtl/>
        </w:rPr>
        <w:t xml:space="preserve"> كون المشتق</w:t>
      </w:r>
      <w:r w:rsidR="00244B5F" w:rsidRPr="00FD211F">
        <w:rPr>
          <w:sz w:val="36"/>
          <w:szCs w:val="36"/>
          <w:rtl/>
        </w:rPr>
        <w:t xml:space="preserve"> حقيق</w:t>
      </w:r>
      <w:r w:rsidR="00EC7EDF" w:rsidRPr="00FD211F">
        <w:rPr>
          <w:sz w:val="36"/>
          <w:szCs w:val="36"/>
          <w:rtl/>
        </w:rPr>
        <w:t xml:space="preserve">ة </w:t>
      </w:r>
      <w:r w:rsidR="00244B5F" w:rsidRPr="00FD211F">
        <w:rPr>
          <w:sz w:val="36"/>
          <w:szCs w:val="36"/>
          <w:rtl/>
        </w:rPr>
        <w:t>فيما انقضى عنه ال</w:t>
      </w:r>
      <w:r w:rsidR="0079493B" w:rsidRPr="00FD211F">
        <w:rPr>
          <w:sz w:val="36"/>
          <w:szCs w:val="36"/>
          <w:rtl/>
        </w:rPr>
        <w:t>مبدأ</w:t>
      </w:r>
      <w:r w:rsidR="00603323" w:rsidRPr="00FD211F">
        <w:rPr>
          <w:sz w:val="36"/>
          <w:szCs w:val="36"/>
          <w:rtl/>
        </w:rPr>
        <w:t xml:space="preserve">، </w:t>
      </w:r>
      <w:r w:rsidR="00C51D5B" w:rsidRPr="00FD211F">
        <w:rPr>
          <w:sz w:val="36"/>
          <w:szCs w:val="36"/>
          <w:rtl/>
        </w:rPr>
        <w:t>وعليه فتحرم على الرجل زوجتاه الكبيرتان مضافا الى زوجته الصغير</w:t>
      </w:r>
      <w:r w:rsidR="00EC7EDF" w:rsidRPr="00FD211F">
        <w:rPr>
          <w:sz w:val="36"/>
          <w:szCs w:val="36"/>
          <w:rtl/>
        </w:rPr>
        <w:t>ة</w:t>
      </w:r>
      <w:r w:rsidR="00A61BAE" w:rsidRPr="00FD211F">
        <w:rPr>
          <w:sz w:val="36"/>
          <w:szCs w:val="36"/>
          <w:rtl/>
        </w:rPr>
        <w:t>.</w:t>
      </w:r>
    </w:p>
    <w:p w14:paraId="06CE7520" w14:textId="77777777" w:rsidR="001E4B51" w:rsidRPr="00FD211F" w:rsidRDefault="00977087" w:rsidP="009C58C8">
      <w:pPr>
        <w:ind w:left="0" w:firstLine="227"/>
        <w:jc w:val="both"/>
        <w:rPr>
          <w:sz w:val="36"/>
          <w:szCs w:val="36"/>
          <w:rtl/>
        </w:rPr>
      </w:pPr>
      <w:r w:rsidRPr="00FD211F">
        <w:rPr>
          <w:sz w:val="36"/>
          <w:szCs w:val="36"/>
          <w:rtl/>
        </w:rPr>
        <w:t>ثم اورد</w:t>
      </w:r>
      <w:r w:rsidR="00712BD7" w:rsidRPr="00FD211F">
        <w:rPr>
          <w:sz w:val="36"/>
          <w:szCs w:val="36"/>
          <w:rtl/>
        </w:rPr>
        <w:t xml:space="preserve"> </w:t>
      </w:r>
      <w:r w:rsidR="00FF0714" w:rsidRPr="00FD211F">
        <w:rPr>
          <w:sz w:val="36"/>
          <w:szCs w:val="36"/>
          <w:rtl/>
        </w:rPr>
        <w:t>عليه</w:t>
      </w:r>
      <w:r w:rsidRPr="00FD211F">
        <w:rPr>
          <w:sz w:val="36"/>
          <w:szCs w:val="36"/>
          <w:rtl/>
        </w:rPr>
        <w:t xml:space="preserve"> </w:t>
      </w:r>
      <w:r w:rsidR="00FF0714" w:rsidRPr="00FD211F">
        <w:rPr>
          <w:sz w:val="36"/>
          <w:szCs w:val="36"/>
          <w:rtl/>
        </w:rPr>
        <w:t>بأن</w:t>
      </w:r>
      <w:r w:rsidRPr="00FD211F">
        <w:rPr>
          <w:sz w:val="36"/>
          <w:szCs w:val="36"/>
          <w:rtl/>
        </w:rPr>
        <w:t xml:space="preserve"> كفاي</w:t>
      </w:r>
      <w:r w:rsidR="00EC7EDF" w:rsidRPr="00FD211F">
        <w:rPr>
          <w:sz w:val="36"/>
          <w:szCs w:val="36"/>
          <w:rtl/>
        </w:rPr>
        <w:t xml:space="preserve">ة </w:t>
      </w:r>
      <w:r w:rsidRPr="00FD211F">
        <w:rPr>
          <w:sz w:val="36"/>
          <w:szCs w:val="36"/>
          <w:rtl/>
        </w:rPr>
        <w:t>ادنى مل</w:t>
      </w:r>
      <w:r w:rsidR="00FF0714" w:rsidRPr="00FD211F">
        <w:rPr>
          <w:sz w:val="36"/>
          <w:szCs w:val="36"/>
          <w:rtl/>
        </w:rPr>
        <w:t>ا</w:t>
      </w:r>
      <w:r w:rsidRPr="00FD211F">
        <w:rPr>
          <w:sz w:val="36"/>
          <w:szCs w:val="36"/>
          <w:rtl/>
        </w:rPr>
        <w:t>بس</w:t>
      </w:r>
      <w:r w:rsidR="00EC7EDF" w:rsidRPr="00FD211F">
        <w:rPr>
          <w:sz w:val="36"/>
          <w:szCs w:val="36"/>
          <w:rtl/>
        </w:rPr>
        <w:t xml:space="preserve">ة </w:t>
      </w:r>
      <w:r w:rsidRPr="00FD211F">
        <w:rPr>
          <w:sz w:val="36"/>
          <w:szCs w:val="36"/>
          <w:rtl/>
        </w:rPr>
        <w:t>في الاضاف</w:t>
      </w:r>
      <w:r w:rsidR="00EC7EDF" w:rsidRPr="00FD211F">
        <w:rPr>
          <w:sz w:val="36"/>
          <w:szCs w:val="36"/>
          <w:rtl/>
        </w:rPr>
        <w:t xml:space="preserve">ة </w:t>
      </w:r>
      <w:r w:rsidR="00FF0714" w:rsidRPr="00FD211F">
        <w:rPr>
          <w:sz w:val="36"/>
          <w:szCs w:val="36"/>
          <w:rtl/>
        </w:rPr>
        <w:t xml:space="preserve">لاتقتضي حمل </w:t>
      </w:r>
      <w:r w:rsidRPr="00FD211F">
        <w:rPr>
          <w:sz w:val="36"/>
          <w:szCs w:val="36"/>
          <w:rtl/>
        </w:rPr>
        <w:t>ظهوراللفظ عليه</w:t>
      </w:r>
      <w:r w:rsidR="009C58C8" w:rsidRPr="00FD211F">
        <w:rPr>
          <w:rStyle w:val="a6"/>
          <w:sz w:val="36"/>
          <w:szCs w:val="36"/>
          <w:rtl/>
        </w:rPr>
        <w:t>(</w:t>
      </w:r>
      <w:r w:rsidR="009C58C8" w:rsidRPr="00FD211F">
        <w:rPr>
          <w:rStyle w:val="a6"/>
          <w:sz w:val="36"/>
          <w:szCs w:val="36"/>
          <w:rtl/>
        </w:rPr>
        <w:footnoteReference w:id="490"/>
      </w:r>
      <w:r w:rsidR="009C58C8" w:rsidRPr="00FD211F">
        <w:rPr>
          <w:rStyle w:val="a6"/>
          <w:sz w:val="36"/>
          <w:szCs w:val="36"/>
          <w:rtl/>
        </w:rPr>
        <w:t>)</w:t>
      </w:r>
      <w:r w:rsidR="008102B1" w:rsidRPr="00FD211F">
        <w:rPr>
          <w:sz w:val="36"/>
          <w:szCs w:val="36"/>
          <w:rtl/>
        </w:rPr>
        <w:t>و</w:t>
      </w:r>
      <w:r w:rsidRPr="00FD211F">
        <w:rPr>
          <w:sz w:val="36"/>
          <w:szCs w:val="36"/>
          <w:rtl/>
        </w:rPr>
        <w:t>ما ذكره متين جدا</w:t>
      </w:r>
      <w:r w:rsidR="001E4B51" w:rsidRPr="00FD211F">
        <w:rPr>
          <w:sz w:val="36"/>
          <w:szCs w:val="36"/>
          <w:rtl/>
        </w:rPr>
        <w:t>.</w:t>
      </w:r>
    </w:p>
    <w:p w14:paraId="39700DE3" w14:textId="77777777" w:rsidR="008F7513" w:rsidRPr="00FD211F" w:rsidRDefault="001E4B51" w:rsidP="009C58C8">
      <w:pPr>
        <w:ind w:left="0" w:firstLine="227"/>
        <w:jc w:val="both"/>
        <w:rPr>
          <w:sz w:val="36"/>
          <w:szCs w:val="36"/>
          <w:rtl/>
        </w:rPr>
      </w:pPr>
      <w:r w:rsidRPr="00FD211F">
        <w:rPr>
          <w:sz w:val="36"/>
          <w:szCs w:val="36"/>
          <w:rtl/>
        </w:rPr>
        <w:t>وحيث</w:t>
      </w:r>
      <w:r w:rsidR="008D7B3D" w:rsidRPr="00FD211F">
        <w:rPr>
          <w:sz w:val="36"/>
          <w:szCs w:val="36"/>
          <w:rtl/>
        </w:rPr>
        <w:t xml:space="preserve"> لم‌</w:t>
      </w:r>
      <w:r w:rsidRPr="00FD211F">
        <w:rPr>
          <w:sz w:val="36"/>
          <w:szCs w:val="36"/>
          <w:rtl/>
        </w:rPr>
        <w:t xml:space="preserve">يتم أي من هذه الوجوه </w:t>
      </w:r>
      <w:r w:rsidR="00244B5F" w:rsidRPr="00FD211F">
        <w:rPr>
          <w:sz w:val="36"/>
          <w:szCs w:val="36"/>
          <w:rtl/>
        </w:rPr>
        <w:t>فمقتضى القاعد</w:t>
      </w:r>
      <w:r w:rsidR="00EC7EDF" w:rsidRPr="00FD211F">
        <w:rPr>
          <w:sz w:val="36"/>
          <w:szCs w:val="36"/>
          <w:rtl/>
        </w:rPr>
        <w:t xml:space="preserve">ة </w:t>
      </w:r>
      <w:r w:rsidR="0038119E" w:rsidRPr="00FD211F">
        <w:rPr>
          <w:sz w:val="36"/>
          <w:szCs w:val="36"/>
          <w:rtl/>
        </w:rPr>
        <w:t>في الصور</w:t>
      </w:r>
      <w:r w:rsidR="00EC7EDF" w:rsidRPr="00FD211F">
        <w:rPr>
          <w:sz w:val="36"/>
          <w:szCs w:val="36"/>
          <w:rtl/>
        </w:rPr>
        <w:t xml:space="preserve">ة </w:t>
      </w:r>
      <w:r w:rsidR="0038119E" w:rsidRPr="00FD211F">
        <w:rPr>
          <w:sz w:val="36"/>
          <w:szCs w:val="36"/>
          <w:rtl/>
        </w:rPr>
        <w:t>الاولى والثاني</w:t>
      </w:r>
      <w:r w:rsidR="00EC7EDF" w:rsidRPr="00FD211F">
        <w:rPr>
          <w:sz w:val="36"/>
          <w:szCs w:val="36"/>
          <w:rtl/>
        </w:rPr>
        <w:t xml:space="preserve">ة </w:t>
      </w:r>
      <w:r w:rsidR="00244B5F" w:rsidRPr="00FD211F">
        <w:rPr>
          <w:sz w:val="36"/>
          <w:szCs w:val="36"/>
          <w:rtl/>
        </w:rPr>
        <w:t>بقاء زوجي</w:t>
      </w:r>
      <w:r w:rsidR="00EC7EDF" w:rsidRPr="00FD211F">
        <w:rPr>
          <w:sz w:val="36"/>
          <w:szCs w:val="36"/>
          <w:rtl/>
        </w:rPr>
        <w:t xml:space="preserve">ة </w:t>
      </w:r>
      <w:r w:rsidR="00244B5F" w:rsidRPr="00FD211F">
        <w:rPr>
          <w:sz w:val="36"/>
          <w:szCs w:val="36"/>
          <w:rtl/>
        </w:rPr>
        <w:t>الكبير</w:t>
      </w:r>
      <w:r w:rsidR="00EC7EDF" w:rsidRPr="00FD211F">
        <w:rPr>
          <w:sz w:val="36"/>
          <w:szCs w:val="36"/>
          <w:rtl/>
        </w:rPr>
        <w:t xml:space="preserve">ة </w:t>
      </w:r>
      <w:r w:rsidR="00244B5F" w:rsidRPr="00FD211F">
        <w:rPr>
          <w:sz w:val="36"/>
          <w:szCs w:val="36"/>
          <w:rtl/>
        </w:rPr>
        <w:t xml:space="preserve">الأولى فضلا عن </w:t>
      </w:r>
      <w:r w:rsidR="0038119E" w:rsidRPr="00FD211F">
        <w:rPr>
          <w:sz w:val="36"/>
          <w:szCs w:val="36"/>
          <w:rtl/>
        </w:rPr>
        <w:t>الكبير</w:t>
      </w:r>
      <w:r w:rsidR="00EC7EDF" w:rsidRPr="00FD211F">
        <w:rPr>
          <w:sz w:val="36"/>
          <w:szCs w:val="36"/>
          <w:rtl/>
        </w:rPr>
        <w:t xml:space="preserve">ة </w:t>
      </w:r>
      <w:r w:rsidR="00244B5F" w:rsidRPr="00FD211F">
        <w:rPr>
          <w:sz w:val="36"/>
          <w:szCs w:val="36"/>
          <w:rtl/>
        </w:rPr>
        <w:t>الثاني</w:t>
      </w:r>
      <w:r w:rsidR="00EC7EDF" w:rsidRPr="00FD211F">
        <w:rPr>
          <w:sz w:val="36"/>
          <w:szCs w:val="36"/>
          <w:rtl/>
        </w:rPr>
        <w:t>ة</w:t>
      </w:r>
      <w:r w:rsidR="00A61BAE" w:rsidRPr="00FD211F">
        <w:rPr>
          <w:sz w:val="36"/>
          <w:szCs w:val="36"/>
          <w:rtl/>
        </w:rPr>
        <w:t>.</w:t>
      </w:r>
    </w:p>
    <w:p w14:paraId="1AD19F53" w14:textId="77777777" w:rsidR="000C5BBA" w:rsidRPr="00FD211F" w:rsidRDefault="00B900E1" w:rsidP="00DD2AAE">
      <w:pPr>
        <w:ind w:left="0" w:firstLine="227"/>
        <w:jc w:val="both"/>
        <w:rPr>
          <w:sz w:val="36"/>
          <w:szCs w:val="36"/>
          <w:rtl/>
        </w:rPr>
      </w:pPr>
      <w:r w:rsidRPr="00FD211F">
        <w:rPr>
          <w:b/>
          <w:bCs/>
          <w:sz w:val="36"/>
          <w:szCs w:val="36"/>
          <w:rtl/>
        </w:rPr>
        <w:t>الصور</w:t>
      </w:r>
      <w:r w:rsidR="00EC7EDF" w:rsidRPr="00FD211F">
        <w:rPr>
          <w:b/>
          <w:bCs/>
          <w:sz w:val="36"/>
          <w:szCs w:val="36"/>
          <w:rtl/>
        </w:rPr>
        <w:t xml:space="preserve">ة </w:t>
      </w: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Pr="00FD211F">
        <w:rPr>
          <w:sz w:val="36"/>
          <w:szCs w:val="36"/>
          <w:rtl/>
        </w:rPr>
        <w:t>ما</w:t>
      </w:r>
      <w:r w:rsidR="00712BD7" w:rsidRPr="00FD211F">
        <w:rPr>
          <w:sz w:val="36"/>
          <w:szCs w:val="36"/>
          <w:rtl/>
        </w:rPr>
        <w:t xml:space="preserve"> </w:t>
      </w:r>
      <w:r w:rsidRPr="00FD211F">
        <w:rPr>
          <w:sz w:val="36"/>
          <w:szCs w:val="36"/>
          <w:rtl/>
        </w:rPr>
        <w:t>اذا</w:t>
      </w:r>
      <w:r w:rsidR="00244B5F" w:rsidRPr="00FD211F">
        <w:rPr>
          <w:sz w:val="36"/>
          <w:szCs w:val="36"/>
          <w:rtl/>
        </w:rPr>
        <w:t xml:space="preserve"> فرض عدم </w:t>
      </w:r>
      <w:r w:rsidR="008F7513" w:rsidRPr="00FD211F">
        <w:rPr>
          <w:sz w:val="36"/>
          <w:szCs w:val="36"/>
          <w:rtl/>
        </w:rPr>
        <w:t xml:space="preserve">دخوله </w:t>
      </w:r>
      <w:r w:rsidRPr="00FD211F">
        <w:rPr>
          <w:sz w:val="36"/>
          <w:szCs w:val="36"/>
          <w:rtl/>
        </w:rPr>
        <w:t>بالكبير</w:t>
      </w:r>
      <w:r w:rsidR="00EC7EDF" w:rsidRPr="00FD211F">
        <w:rPr>
          <w:sz w:val="36"/>
          <w:szCs w:val="36"/>
          <w:rtl/>
        </w:rPr>
        <w:t xml:space="preserve">ة </w:t>
      </w:r>
      <w:r w:rsidRPr="00FD211F">
        <w:rPr>
          <w:sz w:val="36"/>
          <w:szCs w:val="36"/>
          <w:rtl/>
        </w:rPr>
        <w:t xml:space="preserve">الاولى </w:t>
      </w:r>
      <w:r w:rsidR="00244B5F" w:rsidRPr="00FD211F">
        <w:rPr>
          <w:sz w:val="36"/>
          <w:szCs w:val="36"/>
          <w:rtl/>
        </w:rPr>
        <w:t>وعد</w:t>
      </w:r>
      <w:r w:rsidR="008F7513" w:rsidRPr="00FD211F">
        <w:rPr>
          <w:sz w:val="36"/>
          <w:szCs w:val="36"/>
          <w:rtl/>
        </w:rPr>
        <w:t>م ارضاعه</w:t>
      </w:r>
      <w:r w:rsidR="00244B5F" w:rsidRPr="00FD211F">
        <w:rPr>
          <w:sz w:val="36"/>
          <w:szCs w:val="36"/>
          <w:rtl/>
        </w:rPr>
        <w:t>ا للصغير</w:t>
      </w:r>
      <w:r w:rsidR="00EC7EDF" w:rsidRPr="00FD211F">
        <w:rPr>
          <w:sz w:val="36"/>
          <w:szCs w:val="36"/>
          <w:rtl/>
        </w:rPr>
        <w:t xml:space="preserve">ة </w:t>
      </w:r>
      <w:r w:rsidR="00244B5F" w:rsidRPr="00FD211F">
        <w:rPr>
          <w:sz w:val="36"/>
          <w:szCs w:val="36"/>
          <w:rtl/>
        </w:rPr>
        <w:t>من لبنه</w:t>
      </w:r>
      <w:r w:rsidR="00603323" w:rsidRPr="00FD211F">
        <w:rPr>
          <w:sz w:val="36"/>
          <w:szCs w:val="36"/>
          <w:rtl/>
        </w:rPr>
        <w:t xml:space="preserve">، </w:t>
      </w:r>
      <w:r w:rsidR="00244B5F" w:rsidRPr="00FD211F">
        <w:rPr>
          <w:sz w:val="36"/>
          <w:szCs w:val="36"/>
          <w:rtl/>
        </w:rPr>
        <w:t>فالمتجه زوال زوجي</w:t>
      </w:r>
      <w:r w:rsidR="00EC7EDF" w:rsidRPr="00FD211F">
        <w:rPr>
          <w:sz w:val="36"/>
          <w:szCs w:val="36"/>
          <w:rtl/>
        </w:rPr>
        <w:t xml:space="preserve">ة </w:t>
      </w:r>
      <w:r w:rsidR="00244B5F" w:rsidRPr="00FD211F">
        <w:rPr>
          <w:sz w:val="36"/>
          <w:szCs w:val="36"/>
          <w:rtl/>
        </w:rPr>
        <w:t>الكبير</w:t>
      </w:r>
      <w:r w:rsidR="00EC7EDF" w:rsidRPr="00FD211F">
        <w:rPr>
          <w:sz w:val="36"/>
          <w:szCs w:val="36"/>
          <w:rtl/>
        </w:rPr>
        <w:t xml:space="preserve">ة </w:t>
      </w:r>
      <w:r w:rsidR="00244B5F" w:rsidRPr="00FD211F">
        <w:rPr>
          <w:sz w:val="36"/>
          <w:szCs w:val="36"/>
          <w:rtl/>
        </w:rPr>
        <w:t>الاولى وحرمتها عليه</w:t>
      </w:r>
      <w:r w:rsidR="00F3027A" w:rsidRPr="00FD211F">
        <w:rPr>
          <w:sz w:val="36"/>
          <w:szCs w:val="36"/>
          <w:rtl/>
        </w:rPr>
        <w:t xml:space="preserve"> </w:t>
      </w:r>
      <w:r w:rsidR="0038119E" w:rsidRPr="00FD211F">
        <w:rPr>
          <w:sz w:val="36"/>
          <w:szCs w:val="36"/>
          <w:rtl/>
        </w:rPr>
        <w:t>وبقاء زوجي</w:t>
      </w:r>
      <w:r w:rsidR="00EC7EDF" w:rsidRPr="00FD211F">
        <w:rPr>
          <w:sz w:val="36"/>
          <w:szCs w:val="36"/>
          <w:rtl/>
        </w:rPr>
        <w:t xml:space="preserve">ة </w:t>
      </w:r>
      <w:r w:rsidR="0038119E" w:rsidRPr="00FD211F">
        <w:rPr>
          <w:sz w:val="36"/>
          <w:szCs w:val="36"/>
          <w:rtl/>
        </w:rPr>
        <w:t>الصغير</w:t>
      </w:r>
      <w:r w:rsidR="00EC7EDF" w:rsidRPr="00FD211F">
        <w:rPr>
          <w:sz w:val="36"/>
          <w:szCs w:val="36"/>
          <w:rtl/>
        </w:rPr>
        <w:t>ة</w:t>
      </w:r>
      <w:r w:rsidR="00603323" w:rsidRPr="00FD211F">
        <w:rPr>
          <w:sz w:val="36"/>
          <w:szCs w:val="36"/>
          <w:rtl/>
        </w:rPr>
        <w:t xml:space="preserve">، </w:t>
      </w:r>
      <w:r w:rsidR="00F3027A" w:rsidRPr="00FD211F">
        <w:rPr>
          <w:sz w:val="36"/>
          <w:szCs w:val="36"/>
          <w:rtl/>
        </w:rPr>
        <w:t>–وكذا الكبير</w:t>
      </w:r>
      <w:r w:rsidR="00EC7EDF" w:rsidRPr="00FD211F">
        <w:rPr>
          <w:sz w:val="36"/>
          <w:szCs w:val="36"/>
          <w:rtl/>
        </w:rPr>
        <w:t xml:space="preserve">ة </w:t>
      </w:r>
      <w:r w:rsidR="00F3027A" w:rsidRPr="00FD211F">
        <w:rPr>
          <w:sz w:val="36"/>
          <w:szCs w:val="36"/>
          <w:rtl/>
        </w:rPr>
        <w:t>الثاني</w:t>
      </w:r>
      <w:r w:rsidR="00EC7EDF" w:rsidRPr="00FD211F">
        <w:rPr>
          <w:sz w:val="36"/>
          <w:szCs w:val="36"/>
          <w:rtl/>
        </w:rPr>
        <w:t xml:space="preserve">ة </w:t>
      </w:r>
      <w:r w:rsidR="00F3027A" w:rsidRPr="00FD211F">
        <w:rPr>
          <w:sz w:val="36"/>
          <w:szCs w:val="36"/>
          <w:rtl/>
        </w:rPr>
        <w:t xml:space="preserve">لو كانت غير مدخول بها </w:t>
      </w:r>
      <w:r w:rsidR="009977FE" w:rsidRPr="00FD211F">
        <w:rPr>
          <w:sz w:val="36"/>
          <w:szCs w:val="36"/>
          <w:rtl/>
        </w:rPr>
        <w:t>و</w:t>
      </w:r>
      <w:r w:rsidR="008D7B3D" w:rsidRPr="00FD211F">
        <w:rPr>
          <w:sz w:val="36"/>
          <w:szCs w:val="36"/>
          <w:rtl/>
        </w:rPr>
        <w:t xml:space="preserve"> لم‌</w:t>
      </w:r>
      <w:r w:rsidR="00F3027A" w:rsidRPr="00FD211F">
        <w:rPr>
          <w:sz w:val="36"/>
          <w:szCs w:val="36"/>
          <w:rtl/>
        </w:rPr>
        <w:t>يكن ارضاعها للصغير</w:t>
      </w:r>
      <w:r w:rsidR="00EC7EDF" w:rsidRPr="00FD211F">
        <w:rPr>
          <w:sz w:val="36"/>
          <w:szCs w:val="36"/>
          <w:rtl/>
        </w:rPr>
        <w:t xml:space="preserve">ة </w:t>
      </w:r>
      <w:r w:rsidR="00F3027A" w:rsidRPr="00FD211F">
        <w:rPr>
          <w:sz w:val="36"/>
          <w:szCs w:val="36"/>
          <w:rtl/>
        </w:rPr>
        <w:t>من لبن الرجل-</w:t>
      </w:r>
      <w:r w:rsidR="00244B5F" w:rsidRPr="00FD211F">
        <w:rPr>
          <w:sz w:val="36"/>
          <w:szCs w:val="36"/>
          <w:rtl/>
        </w:rPr>
        <w:t xml:space="preserve"> حيث ان اطلاق الدليل المقتضي لبقاء زوجي</w:t>
      </w:r>
      <w:r w:rsidR="00EC7EDF" w:rsidRPr="00FD211F">
        <w:rPr>
          <w:sz w:val="36"/>
          <w:szCs w:val="36"/>
          <w:rtl/>
        </w:rPr>
        <w:t xml:space="preserve">ة </w:t>
      </w:r>
      <w:r w:rsidR="006E0951" w:rsidRPr="00FD211F">
        <w:rPr>
          <w:sz w:val="36"/>
          <w:szCs w:val="36"/>
          <w:rtl/>
        </w:rPr>
        <w:t>الصغير</w:t>
      </w:r>
      <w:r w:rsidR="00EC7EDF" w:rsidRPr="00FD211F">
        <w:rPr>
          <w:sz w:val="36"/>
          <w:szCs w:val="36"/>
          <w:rtl/>
        </w:rPr>
        <w:t xml:space="preserve">ة </w:t>
      </w:r>
      <w:r w:rsidR="006E0951" w:rsidRPr="00FD211F">
        <w:rPr>
          <w:sz w:val="36"/>
          <w:szCs w:val="36"/>
          <w:rtl/>
        </w:rPr>
        <w:t>يكون</w:t>
      </w:r>
      <w:r w:rsidR="00244B5F" w:rsidRPr="00FD211F">
        <w:rPr>
          <w:sz w:val="36"/>
          <w:szCs w:val="36"/>
          <w:rtl/>
        </w:rPr>
        <w:t xml:space="preserve"> وارد</w:t>
      </w:r>
      <w:r w:rsidR="006E0951" w:rsidRPr="00FD211F">
        <w:rPr>
          <w:sz w:val="36"/>
          <w:szCs w:val="36"/>
          <w:rtl/>
        </w:rPr>
        <w:t>ا</w:t>
      </w:r>
      <w:r w:rsidR="00244B5F" w:rsidRPr="00FD211F">
        <w:rPr>
          <w:sz w:val="36"/>
          <w:szCs w:val="36"/>
          <w:rtl/>
        </w:rPr>
        <w:t xml:space="preserve"> على موضوع زوجي</w:t>
      </w:r>
      <w:r w:rsidR="00EC7EDF" w:rsidRPr="00FD211F">
        <w:rPr>
          <w:sz w:val="36"/>
          <w:szCs w:val="36"/>
          <w:rtl/>
        </w:rPr>
        <w:t xml:space="preserve">ة </w:t>
      </w:r>
      <w:r w:rsidR="00244B5F" w:rsidRPr="00FD211F">
        <w:rPr>
          <w:sz w:val="36"/>
          <w:szCs w:val="36"/>
          <w:rtl/>
        </w:rPr>
        <w:t>الكبير</w:t>
      </w:r>
      <w:r w:rsidR="00EC7EDF" w:rsidRPr="00FD211F">
        <w:rPr>
          <w:sz w:val="36"/>
          <w:szCs w:val="36"/>
          <w:rtl/>
        </w:rPr>
        <w:t xml:space="preserve">ة </w:t>
      </w:r>
      <w:r w:rsidR="00244B5F" w:rsidRPr="00FD211F">
        <w:rPr>
          <w:sz w:val="36"/>
          <w:szCs w:val="36"/>
          <w:rtl/>
        </w:rPr>
        <w:t xml:space="preserve">حيث يجعلها </w:t>
      </w:r>
      <w:r w:rsidR="00236C51" w:rsidRPr="00FD211F">
        <w:rPr>
          <w:sz w:val="36"/>
          <w:szCs w:val="36"/>
          <w:rtl/>
        </w:rPr>
        <w:t>اُ</w:t>
      </w:r>
      <w:r w:rsidR="00244B5F" w:rsidRPr="00FD211F">
        <w:rPr>
          <w:sz w:val="36"/>
          <w:szCs w:val="36"/>
          <w:rtl/>
        </w:rPr>
        <w:t>م</w:t>
      </w:r>
      <w:r w:rsidR="00236C51" w:rsidRPr="00FD211F">
        <w:rPr>
          <w:sz w:val="36"/>
          <w:szCs w:val="36"/>
          <w:rtl/>
        </w:rPr>
        <w:t>ّ</w:t>
      </w:r>
      <w:r w:rsidR="00244B5F" w:rsidRPr="00FD211F">
        <w:rPr>
          <w:sz w:val="36"/>
          <w:szCs w:val="36"/>
          <w:rtl/>
        </w:rPr>
        <w:t>ا لزوجته</w:t>
      </w:r>
      <w:r w:rsidR="00603323" w:rsidRPr="00FD211F">
        <w:rPr>
          <w:sz w:val="36"/>
          <w:szCs w:val="36"/>
          <w:rtl/>
        </w:rPr>
        <w:t xml:space="preserve">، </w:t>
      </w:r>
      <w:r w:rsidR="00244B5F" w:rsidRPr="00FD211F">
        <w:rPr>
          <w:sz w:val="36"/>
          <w:szCs w:val="36"/>
          <w:rtl/>
        </w:rPr>
        <w:t>فيشمله</w:t>
      </w:r>
      <w:r w:rsidR="00D26FBB" w:rsidRPr="00FD211F">
        <w:rPr>
          <w:sz w:val="36"/>
          <w:szCs w:val="36"/>
          <w:rtl/>
        </w:rPr>
        <w:t>ا</w:t>
      </w:r>
      <w:r w:rsidR="00244B5F" w:rsidRPr="00FD211F">
        <w:rPr>
          <w:sz w:val="36"/>
          <w:szCs w:val="36"/>
          <w:rtl/>
        </w:rPr>
        <w:t xml:space="preserve"> قوله تعالى </w:t>
      </w:r>
      <w:r w:rsidR="00D26FBB" w:rsidRPr="00FD211F">
        <w:rPr>
          <w:sz w:val="36"/>
          <w:szCs w:val="36"/>
          <w:rtl/>
        </w:rPr>
        <w:t>"</w:t>
      </w:r>
      <w:r w:rsidR="00244B5F" w:rsidRPr="00FD211F">
        <w:rPr>
          <w:sz w:val="36"/>
          <w:szCs w:val="36"/>
          <w:rtl/>
        </w:rPr>
        <w:t>حرمت عليكم امهات نسائكم</w:t>
      </w:r>
      <w:r w:rsidR="00D26FBB" w:rsidRPr="00FD211F">
        <w:rPr>
          <w:sz w:val="36"/>
          <w:szCs w:val="36"/>
          <w:rtl/>
        </w:rPr>
        <w:t>"</w:t>
      </w:r>
      <w:r w:rsidR="00244B5F" w:rsidRPr="00FD211F">
        <w:rPr>
          <w:sz w:val="36"/>
          <w:szCs w:val="36"/>
          <w:rtl/>
        </w:rPr>
        <w:t xml:space="preserve"> بخلاف دليل بقاء زوجي</w:t>
      </w:r>
      <w:r w:rsidR="00EC7EDF" w:rsidRPr="00FD211F">
        <w:rPr>
          <w:sz w:val="36"/>
          <w:szCs w:val="36"/>
          <w:rtl/>
        </w:rPr>
        <w:t xml:space="preserve">ة </w:t>
      </w:r>
      <w:r w:rsidR="006E0951" w:rsidRPr="00FD211F">
        <w:rPr>
          <w:sz w:val="36"/>
          <w:szCs w:val="36"/>
          <w:rtl/>
        </w:rPr>
        <w:t>الكبير</w:t>
      </w:r>
      <w:r w:rsidR="00EC7EDF" w:rsidRPr="00FD211F">
        <w:rPr>
          <w:sz w:val="36"/>
          <w:szCs w:val="36"/>
          <w:rtl/>
        </w:rPr>
        <w:t xml:space="preserve">ة </w:t>
      </w:r>
      <w:r w:rsidR="006E0951" w:rsidRPr="00FD211F">
        <w:rPr>
          <w:sz w:val="36"/>
          <w:szCs w:val="36"/>
          <w:rtl/>
        </w:rPr>
        <w:t>الأولى</w:t>
      </w:r>
      <w:r w:rsidR="00D26FBB" w:rsidRPr="00FD211F">
        <w:rPr>
          <w:sz w:val="36"/>
          <w:szCs w:val="36"/>
          <w:rtl/>
        </w:rPr>
        <w:t xml:space="preserve"> فانه ليس واردا على موضوع زوجي</w:t>
      </w:r>
      <w:r w:rsidR="00EC7EDF" w:rsidRPr="00FD211F">
        <w:rPr>
          <w:sz w:val="36"/>
          <w:szCs w:val="36"/>
          <w:rtl/>
        </w:rPr>
        <w:t xml:space="preserve">ة </w:t>
      </w:r>
      <w:r w:rsidR="00D26FBB" w:rsidRPr="00FD211F">
        <w:rPr>
          <w:sz w:val="36"/>
          <w:szCs w:val="36"/>
          <w:rtl/>
        </w:rPr>
        <w:t>ال</w:t>
      </w:r>
      <w:r w:rsidR="006E0951" w:rsidRPr="00FD211F">
        <w:rPr>
          <w:sz w:val="36"/>
          <w:szCs w:val="36"/>
          <w:rtl/>
        </w:rPr>
        <w:t>صغير</w:t>
      </w:r>
      <w:r w:rsidR="00EC7EDF" w:rsidRPr="00FD211F">
        <w:rPr>
          <w:sz w:val="36"/>
          <w:szCs w:val="36"/>
          <w:rtl/>
        </w:rPr>
        <w:t xml:space="preserve">ة </w:t>
      </w:r>
      <w:r w:rsidR="006E0951" w:rsidRPr="00FD211F">
        <w:rPr>
          <w:sz w:val="36"/>
          <w:szCs w:val="36"/>
          <w:rtl/>
        </w:rPr>
        <w:t>التي صارت بنتا رضاعي</w:t>
      </w:r>
      <w:r w:rsidR="00DD2AAE" w:rsidRPr="00FD211F">
        <w:rPr>
          <w:sz w:val="36"/>
          <w:szCs w:val="36"/>
          <w:rtl/>
        </w:rPr>
        <w:t>ة</w:t>
      </w:r>
      <w:r w:rsidR="006E0951" w:rsidRPr="00FD211F">
        <w:rPr>
          <w:sz w:val="36"/>
          <w:szCs w:val="36"/>
          <w:rtl/>
        </w:rPr>
        <w:t xml:space="preserve"> لها</w:t>
      </w:r>
      <w:r w:rsidR="00603323" w:rsidRPr="00FD211F">
        <w:rPr>
          <w:sz w:val="36"/>
          <w:szCs w:val="36"/>
          <w:rtl/>
        </w:rPr>
        <w:t xml:space="preserve">، </w:t>
      </w:r>
      <w:r w:rsidR="00D26FBB" w:rsidRPr="00FD211F">
        <w:rPr>
          <w:sz w:val="36"/>
          <w:szCs w:val="36"/>
          <w:rtl/>
        </w:rPr>
        <w:t>لان دليل حرم</w:t>
      </w:r>
      <w:r w:rsidR="00EC7EDF" w:rsidRPr="00FD211F">
        <w:rPr>
          <w:sz w:val="36"/>
          <w:szCs w:val="36"/>
          <w:rtl/>
        </w:rPr>
        <w:t xml:space="preserve">ة </w:t>
      </w:r>
      <w:r w:rsidR="006E0951" w:rsidRPr="00FD211F">
        <w:rPr>
          <w:sz w:val="36"/>
          <w:szCs w:val="36"/>
          <w:rtl/>
        </w:rPr>
        <w:t>بنت الزوج</w:t>
      </w:r>
      <w:r w:rsidR="00EC7EDF" w:rsidRPr="00FD211F">
        <w:rPr>
          <w:sz w:val="36"/>
          <w:szCs w:val="36"/>
          <w:rtl/>
        </w:rPr>
        <w:t xml:space="preserve">ة </w:t>
      </w:r>
      <w:r w:rsidR="006E0951" w:rsidRPr="00FD211F">
        <w:rPr>
          <w:sz w:val="36"/>
          <w:szCs w:val="36"/>
          <w:rtl/>
        </w:rPr>
        <w:t>مقيد بفرض كون الزوج</w:t>
      </w:r>
      <w:r w:rsidR="00EC7EDF" w:rsidRPr="00FD211F">
        <w:rPr>
          <w:sz w:val="36"/>
          <w:szCs w:val="36"/>
          <w:rtl/>
        </w:rPr>
        <w:t xml:space="preserve">ة </w:t>
      </w:r>
      <w:r w:rsidR="006E0951" w:rsidRPr="00FD211F">
        <w:rPr>
          <w:sz w:val="36"/>
          <w:szCs w:val="36"/>
          <w:rtl/>
        </w:rPr>
        <w:t>مدخولا بها</w:t>
      </w:r>
      <w:r w:rsidR="00603323" w:rsidRPr="00FD211F">
        <w:rPr>
          <w:sz w:val="36"/>
          <w:szCs w:val="36"/>
          <w:rtl/>
        </w:rPr>
        <w:t xml:space="preserve">، </w:t>
      </w:r>
      <w:r w:rsidR="00D26FBB" w:rsidRPr="00FD211F">
        <w:rPr>
          <w:sz w:val="36"/>
          <w:szCs w:val="36"/>
          <w:rtl/>
        </w:rPr>
        <w:t>حيث قال تعالى</w:t>
      </w:r>
      <w:r w:rsidR="006E0951" w:rsidRPr="00FD211F">
        <w:rPr>
          <w:sz w:val="36"/>
          <w:szCs w:val="36"/>
          <w:rtl/>
        </w:rPr>
        <w:t>: حرمت عليكم</w:t>
      </w:r>
      <w:r w:rsidR="00EC7EDF" w:rsidRPr="00FD211F">
        <w:rPr>
          <w:sz w:val="36"/>
          <w:szCs w:val="36"/>
          <w:rtl/>
        </w:rPr>
        <w:t>.</w:t>
      </w:r>
      <w:r w:rsidR="006E0951" w:rsidRPr="00FD211F">
        <w:rPr>
          <w:sz w:val="36"/>
          <w:szCs w:val="36"/>
          <w:rtl/>
        </w:rPr>
        <w:t xml:space="preserve">.. </w:t>
      </w:r>
      <w:r w:rsidR="00D26FBB" w:rsidRPr="00FD211F">
        <w:rPr>
          <w:sz w:val="36"/>
          <w:szCs w:val="36"/>
          <w:rtl/>
        </w:rPr>
        <w:t>ربائكم اللاتي في حجوركم من نسائكم اللاتي دخلتم بهن</w:t>
      </w:r>
      <w:r w:rsidR="009C58C8" w:rsidRPr="00FD211F">
        <w:rPr>
          <w:rStyle w:val="a6"/>
          <w:sz w:val="36"/>
          <w:szCs w:val="36"/>
          <w:rtl/>
        </w:rPr>
        <w:t>(</w:t>
      </w:r>
      <w:r w:rsidR="009C58C8" w:rsidRPr="00FD211F">
        <w:rPr>
          <w:rStyle w:val="a6"/>
          <w:sz w:val="36"/>
          <w:szCs w:val="36"/>
          <w:rtl/>
        </w:rPr>
        <w:footnoteReference w:id="491"/>
      </w:r>
      <w:r w:rsidR="009C58C8" w:rsidRPr="00FD211F">
        <w:rPr>
          <w:rStyle w:val="a6"/>
          <w:sz w:val="36"/>
          <w:szCs w:val="36"/>
          <w:rtl/>
        </w:rPr>
        <w:t>)</w:t>
      </w:r>
      <w:r w:rsidR="003740AB" w:rsidRPr="00FD211F">
        <w:rPr>
          <w:sz w:val="36"/>
          <w:szCs w:val="36"/>
          <w:rtl/>
        </w:rPr>
        <w:t>.</w:t>
      </w:r>
    </w:p>
    <w:p w14:paraId="76D9EF2B" w14:textId="77777777" w:rsidR="00D26FBB" w:rsidRPr="00FD211F" w:rsidRDefault="00D26FBB" w:rsidP="009C58C8">
      <w:pPr>
        <w:ind w:left="0" w:firstLine="227"/>
        <w:jc w:val="both"/>
        <w:rPr>
          <w:sz w:val="36"/>
          <w:szCs w:val="36"/>
          <w:rtl/>
        </w:rPr>
      </w:pPr>
      <w:r w:rsidRPr="00FD211F">
        <w:rPr>
          <w:sz w:val="36"/>
          <w:szCs w:val="36"/>
          <w:rtl/>
        </w:rPr>
        <w:t xml:space="preserve">ولأجل ذلك نقول ان مقتضى </w:t>
      </w:r>
      <w:commentRangeStart w:id="429"/>
      <w:r w:rsidR="00244B5F" w:rsidRPr="00FD211F">
        <w:rPr>
          <w:sz w:val="36"/>
          <w:szCs w:val="36"/>
          <w:rtl/>
        </w:rPr>
        <w:t>القاعد</w:t>
      </w:r>
      <w:r w:rsidR="00EC7EDF" w:rsidRPr="00FD211F">
        <w:rPr>
          <w:sz w:val="36"/>
          <w:szCs w:val="36"/>
          <w:rtl/>
        </w:rPr>
        <w:t>ة</w:t>
      </w:r>
      <w:commentRangeEnd w:id="429"/>
      <w:r w:rsidR="001753AA">
        <w:rPr>
          <w:rStyle w:val="ab"/>
          <w:rtl/>
        </w:rPr>
        <w:commentReference w:id="429"/>
      </w:r>
      <w:r w:rsidR="00EC7EDF" w:rsidRPr="00FD211F">
        <w:rPr>
          <w:sz w:val="36"/>
          <w:szCs w:val="36"/>
          <w:rtl/>
        </w:rPr>
        <w:t xml:space="preserve"> </w:t>
      </w:r>
      <w:r w:rsidRPr="00FD211F">
        <w:rPr>
          <w:sz w:val="36"/>
          <w:szCs w:val="36"/>
          <w:rtl/>
        </w:rPr>
        <w:t>انه</w:t>
      </w:r>
      <w:r w:rsidR="00244B5F" w:rsidRPr="00FD211F">
        <w:rPr>
          <w:sz w:val="36"/>
          <w:szCs w:val="36"/>
          <w:rtl/>
        </w:rPr>
        <w:t xml:space="preserve"> لو تزوج</w:t>
      </w:r>
      <w:r w:rsidRPr="00FD211F">
        <w:rPr>
          <w:sz w:val="36"/>
          <w:szCs w:val="36"/>
          <w:rtl/>
        </w:rPr>
        <w:t xml:space="preserve"> رجل ببنت زوجته</w:t>
      </w:r>
      <w:r w:rsidR="00244B5F" w:rsidRPr="00FD211F">
        <w:rPr>
          <w:sz w:val="36"/>
          <w:szCs w:val="36"/>
          <w:rtl/>
        </w:rPr>
        <w:t xml:space="preserve"> قبل الدخول بامها او عقد عليه</w:t>
      </w:r>
      <w:r w:rsidRPr="00FD211F">
        <w:rPr>
          <w:sz w:val="36"/>
          <w:szCs w:val="36"/>
          <w:rtl/>
        </w:rPr>
        <w:t>م</w:t>
      </w:r>
      <w:r w:rsidR="00244B5F" w:rsidRPr="00FD211F">
        <w:rPr>
          <w:sz w:val="36"/>
          <w:szCs w:val="36"/>
          <w:rtl/>
        </w:rPr>
        <w:t>ا في آن واحد</w:t>
      </w:r>
      <w:r w:rsidRPr="00FD211F">
        <w:rPr>
          <w:sz w:val="36"/>
          <w:szCs w:val="36"/>
          <w:rtl/>
        </w:rPr>
        <w:t xml:space="preserve"> فتحرم عليه الأم ولكن يكون نكاح ال</w:t>
      </w:r>
      <w:r w:rsidR="0038119E" w:rsidRPr="00FD211F">
        <w:rPr>
          <w:sz w:val="36"/>
          <w:szCs w:val="36"/>
          <w:rtl/>
        </w:rPr>
        <w:t>بنت صحيحا كما ذكره السيد الخوئي "</w:t>
      </w:r>
      <w:r w:rsidRPr="00FD211F">
        <w:rPr>
          <w:sz w:val="36"/>
          <w:szCs w:val="36"/>
          <w:rtl/>
        </w:rPr>
        <w:t>قده</w:t>
      </w:r>
      <w:r w:rsidR="0038119E" w:rsidRPr="00FD211F">
        <w:rPr>
          <w:sz w:val="36"/>
          <w:szCs w:val="36"/>
          <w:rtl/>
        </w:rPr>
        <w:t>"</w:t>
      </w:r>
      <w:r w:rsidR="009C58C8" w:rsidRPr="00FD211F">
        <w:rPr>
          <w:rStyle w:val="a6"/>
          <w:sz w:val="36"/>
          <w:szCs w:val="36"/>
          <w:rtl/>
        </w:rPr>
        <w:t>(</w:t>
      </w:r>
      <w:r w:rsidR="009C58C8" w:rsidRPr="00FD211F">
        <w:rPr>
          <w:rStyle w:val="a6"/>
          <w:sz w:val="36"/>
          <w:szCs w:val="36"/>
          <w:rtl/>
        </w:rPr>
        <w:footnoteReference w:id="492"/>
      </w:r>
      <w:r w:rsidR="009C58C8" w:rsidRPr="00FD211F">
        <w:rPr>
          <w:rStyle w:val="a6"/>
          <w:sz w:val="36"/>
          <w:szCs w:val="36"/>
          <w:rtl/>
        </w:rPr>
        <w:t>)</w:t>
      </w:r>
      <w:r w:rsidR="00603323" w:rsidRPr="00FD211F">
        <w:rPr>
          <w:sz w:val="36"/>
          <w:szCs w:val="36"/>
          <w:rtl/>
        </w:rPr>
        <w:t xml:space="preserve">، </w:t>
      </w:r>
      <w:r w:rsidRPr="00FD211F">
        <w:rPr>
          <w:sz w:val="36"/>
          <w:szCs w:val="36"/>
          <w:rtl/>
        </w:rPr>
        <w:t xml:space="preserve">وان كان </w:t>
      </w:r>
      <w:r w:rsidR="00244B5F" w:rsidRPr="00FD211F">
        <w:rPr>
          <w:sz w:val="36"/>
          <w:szCs w:val="36"/>
          <w:rtl/>
        </w:rPr>
        <w:t>المشهور بطلان نكاح البنت مع وقوع العقد عليها متأخرا وبطلان كل العقدين في فرض وقوعهما في زمان واحد</w:t>
      </w:r>
      <w:r w:rsidR="00603323" w:rsidRPr="00FD211F">
        <w:rPr>
          <w:sz w:val="36"/>
          <w:szCs w:val="36"/>
          <w:rtl/>
        </w:rPr>
        <w:t xml:space="preserve">، </w:t>
      </w:r>
      <w:r w:rsidRPr="00FD211F">
        <w:rPr>
          <w:sz w:val="36"/>
          <w:szCs w:val="36"/>
          <w:rtl/>
        </w:rPr>
        <w:t>فانه</w:t>
      </w:r>
      <w:r w:rsidR="008D7B3D" w:rsidRPr="00FD211F">
        <w:rPr>
          <w:sz w:val="36"/>
          <w:szCs w:val="36"/>
          <w:rtl/>
        </w:rPr>
        <w:t xml:space="preserve"> لم‌</w:t>
      </w:r>
      <w:r w:rsidRPr="00FD211F">
        <w:rPr>
          <w:sz w:val="36"/>
          <w:szCs w:val="36"/>
          <w:rtl/>
        </w:rPr>
        <w:t xml:space="preserve">يظهر لما ذكره المشهور </w:t>
      </w:r>
      <w:r w:rsidR="00244B5F" w:rsidRPr="00FD211F">
        <w:rPr>
          <w:sz w:val="36"/>
          <w:szCs w:val="36"/>
          <w:rtl/>
        </w:rPr>
        <w:t>وجه صحيح</w:t>
      </w:r>
      <w:r w:rsidRPr="00FD211F">
        <w:rPr>
          <w:sz w:val="36"/>
          <w:szCs w:val="36"/>
          <w:rtl/>
        </w:rPr>
        <w:t>.</w:t>
      </w:r>
    </w:p>
    <w:p w14:paraId="21B9316B" w14:textId="77777777" w:rsidR="000C5BBA" w:rsidRPr="00FD211F" w:rsidRDefault="00D26FBB" w:rsidP="009C58C8">
      <w:pPr>
        <w:ind w:left="0" w:firstLine="227"/>
        <w:jc w:val="both"/>
        <w:rPr>
          <w:sz w:val="36"/>
          <w:szCs w:val="36"/>
          <w:rtl/>
        </w:rPr>
      </w:pPr>
      <w:r w:rsidRPr="00FD211F">
        <w:rPr>
          <w:sz w:val="36"/>
          <w:szCs w:val="36"/>
          <w:rtl/>
        </w:rPr>
        <w:t>ودعوى ان ذلك مقتضى ما ورد</w:t>
      </w:r>
      <w:r w:rsidR="00244B5F" w:rsidRPr="00FD211F">
        <w:rPr>
          <w:sz w:val="36"/>
          <w:szCs w:val="36"/>
          <w:rtl/>
        </w:rPr>
        <w:t xml:space="preserve"> من النهي عن الجمع بين ال</w:t>
      </w:r>
      <w:r w:rsidRPr="00FD211F">
        <w:rPr>
          <w:sz w:val="36"/>
          <w:szCs w:val="36"/>
          <w:rtl/>
        </w:rPr>
        <w:t>أ</w:t>
      </w:r>
      <w:r w:rsidR="00244B5F" w:rsidRPr="00FD211F">
        <w:rPr>
          <w:sz w:val="36"/>
          <w:szCs w:val="36"/>
          <w:rtl/>
        </w:rPr>
        <w:t>م</w:t>
      </w:r>
      <w:r w:rsidRPr="00FD211F">
        <w:rPr>
          <w:sz w:val="36"/>
          <w:szCs w:val="36"/>
          <w:rtl/>
        </w:rPr>
        <w:t xml:space="preserve"> والبنت</w:t>
      </w:r>
      <w:r w:rsidR="00603323" w:rsidRPr="00FD211F">
        <w:rPr>
          <w:sz w:val="36"/>
          <w:szCs w:val="36"/>
          <w:rtl/>
        </w:rPr>
        <w:t xml:space="preserve">، </w:t>
      </w:r>
      <w:r w:rsidRPr="00FD211F">
        <w:rPr>
          <w:sz w:val="36"/>
          <w:szCs w:val="36"/>
          <w:rtl/>
        </w:rPr>
        <w:t>ففي معتبر</w:t>
      </w:r>
      <w:r w:rsidR="00EC7EDF" w:rsidRPr="00FD211F">
        <w:rPr>
          <w:sz w:val="36"/>
          <w:szCs w:val="36"/>
          <w:rtl/>
        </w:rPr>
        <w:t xml:space="preserve">ة </w:t>
      </w:r>
      <w:r w:rsidRPr="00FD211F">
        <w:rPr>
          <w:sz w:val="36"/>
          <w:szCs w:val="36"/>
          <w:rtl/>
        </w:rPr>
        <w:t>مسعد</w:t>
      </w:r>
      <w:r w:rsidR="00EC7EDF" w:rsidRPr="00FD211F">
        <w:rPr>
          <w:sz w:val="36"/>
          <w:szCs w:val="36"/>
          <w:rtl/>
        </w:rPr>
        <w:t xml:space="preserve">ة </w:t>
      </w:r>
      <w:r w:rsidRPr="00FD211F">
        <w:rPr>
          <w:sz w:val="36"/>
          <w:szCs w:val="36"/>
          <w:rtl/>
        </w:rPr>
        <w:t>بن زياد انه يحرم من الإماءء عشر لايجمع بين الام</w:t>
      </w:r>
      <w:r w:rsidR="00EC7EDF" w:rsidRPr="00FD211F">
        <w:rPr>
          <w:sz w:val="36"/>
          <w:szCs w:val="36"/>
          <w:rtl/>
        </w:rPr>
        <w:t xml:space="preserve"> و</w:t>
      </w:r>
      <w:r w:rsidRPr="00FD211F">
        <w:rPr>
          <w:sz w:val="36"/>
          <w:szCs w:val="36"/>
          <w:rtl/>
        </w:rPr>
        <w:t>ال</w:t>
      </w:r>
      <w:r w:rsidR="00236C51" w:rsidRPr="00FD211F">
        <w:rPr>
          <w:sz w:val="36"/>
          <w:szCs w:val="36"/>
          <w:rtl/>
        </w:rPr>
        <w:t>ابن</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493"/>
      </w:r>
      <w:r w:rsidR="009C58C8" w:rsidRPr="00FD211F">
        <w:rPr>
          <w:rStyle w:val="a6"/>
          <w:sz w:val="36"/>
          <w:szCs w:val="36"/>
          <w:rtl/>
        </w:rPr>
        <w:t>)</w:t>
      </w:r>
      <w:r w:rsidRPr="00FD211F">
        <w:rPr>
          <w:sz w:val="36"/>
          <w:szCs w:val="36"/>
          <w:rtl/>
        </w:rPr>
        <w:t xml:space="preserve"> وفي رواي</w:t>
      </w:r>
      <w:r w:rsidR="00EC7EDF" w:rsidRPr="00FD211F">
        <w:rPr>
          <w:sz w:val="36"/>
          <w:szCs w:val="36"/>
          <w:rtl/>
        </w:rPr>
        <w:t xml:space="preserve">ة </w:t>
      </w:r>
      <w:r w:rsidRPr="00FD211F">
        <w:rPr>
          <w:sz w:val="36"/>
          <w:szCs w:val="36"/>
          <w:rtl/>
        </w:rPr>
        <w:t>مسمع ثماني</w:t>
      </w:r>
      <w:r w:rsidR="00EC7EDF" w:rsidRPr="00FD211F">
        <w:rPr>
          <w:sz w:val="36"/>
          <w:szCs w:val="36"/>
          <w:rtl/>
        </w:rPr>
        <w:t xml:space="preserve">ة </w:t>
      </w:r>
      <w:r w:rsidRPr="00FD211F">
        <w:rPr>
          <w:sz w:val="36"/>
          <w:szCs w:val="36"/>
          <w:rtl/>
        </w:rPr>
        <w:t>لاتحل مناكحتهم: أَمَتُك أُمّها أَمَتُك</w:t>
      </w:r>
      <w:r w:rsidR="009C58C8" w:rsidRPr="00FD211F">
        <w:rPr>
          <w:rStyle w:val="a6"/>
          <w:sz w:val="36"/>
          <w:szCs w:val="36"/>
          <w:rtl/>
        </w:rPr>
        <w:t>(</w:t>
      </w:r>
      <w:r w:rsidR="009C58C8" w:rsidRPr="00FD211F">
        <w:rPr>
          <w:rStyle w:val="a6"/>
          <w:sz w:val="36"/>
          <w:szCs w:val="36"/>
          <w:rtl/>
        </w:rPr>
        <w:footnoteReference w:id="494"/>
      </w:r>
      <w:r w:rsidR="009C58C8" w:rsidRPr="00FD211F">
        <w:rPr>
          <w:rStyle w:val="a6"/>
          <w:sz w:val="36"/>
          <w:szCs w:val="36"/>
          <w:rtl/>
        </w:rPr>
        <w:t>)</w:t>
      </w:r>
      <w:r w:rsidR="00603323" w:rsidRPr="00FD211F">
        <w:rPr>
          <w:sz w:val="36"/>
          <w:szCs w:val="36"/>
          <w:rtl/>
        </w:rPr>
        <w:t xml:space="preserve">، </w:t>
      </w:r>
      <w:r w:rsidRPr="00FD211F">
        <w:rPr>
          <w:sz w:val="36"/>
          <w:szCs w:val="36"/>
          <w:rtl/>
        </w:rPr>
        <w:t>فاذا جمع بينهما في عقد واحد فيحكم ببطلانه</w:t>
      </w:r>
      <w:r w:rsidR="00603323" w:rsidRPr="00FD211F">
        <w:rPr>
          <w:sz w:val="36"/>
          <w:szCs w:val="36"/>
          <w:rtl/>
        </w:rPr>
        <w:t xml:space="preserve">، </w:t>
      </w:r>
      <w:r w:rsidRPr="00FD211F">
        <w:rPr>
          <w:sz w:val="36"/>
          <w:szCs w:val="36"/>
          <w:rtl/>
        </w:rPr>
        <w:t>كما انه</w:t>
      </w:r>
      <w:r w:rsidR="006E0951" w:rsidRPr="00FD211F">
        <w:rPr>
          <w:sz w:val="36"/>
          <w:szCs w:val="36"/>
          <w:rtl/>
        </w:rPr>
        <w:t xml:space="preserve"> اذا</w:t>
      </w:r>
      <w:r w:rsidRPr="00FD211F">
        <w:rPr>
          <w:sz w:val="36"/>
          <w:szCs w:val="36"/>
          <w:rtl/>
        </w:rPr>
        <w:t xml:space="preserve"> عقد على البنت بعد العقد على أمها فيحكم ببطلان العقد على البنت لكونه مصداقا للجمع</w:t>
      </w:r>
      <w:r w:rsidR="006E0951" w:rsidRPr="00FD211F">
        <w:rPr>
          <w:sz w:val="36"/>
          <w:szCs w:val="36"/>
          <w:rtl/>
        </w:rPr>
        <w:t xml:space="preserve"> بينهما</w:t>
      </w:r>
      <w:r w:rsidRPr="00FD211F">
        <w:rPr>
          <w:sz w:val="36"/>
          <w:szCs w:val="36"/>
          <w:rtl/>
        </w:rPr>
        <w:t xml:space="preserve"> عرفا</w:t>
      </w:r>
      <w:r w:rsidR="00603323" w:rsidRPr="00FD211F">
        <w:rPr>
          <w:sz w:val="36"/>
          <w:szCs w:val="36"/>
          <w:rtl/>
        </w:rPr>
        <w:t xml:space="preserve">، </w:t>
      </w:r>
      <w:r w:rsidRPr="00FD211F">
        <w:rPr>
          <w:sz w:val="36"/>
          <w:szCs w:val="36"/>
          <w:rtl/>
        </w:rPr>
        <w:t>وكذا يدل عليه رواي</w:t>
      </w:r>
      <w:r w:rsidR="00EC7EDF" w:rsidRPr="00FD211F">
        <w:rPr>
          <w:sz w:val="36"/>
          <w:szCs w:val="36"/>
          <w:rtl/>
        </w:rPr>
        <w:t xml:space="preserve">ة </w:t>
      </w:r>
      <w:r w:rsidRPr="00FD211F">
        <w:rPr>
          <w:sz w:val="36"/>
          <w:szCs w:val="36"/>
          <w:rtl/>
        </w:rPr>
        <w:t>موسى بن بكر عن زرار</w:t>
      </w:r>
      <w:r w:rsidR="00EC7EDF" w:rsidRPr="00FD211F">
        <w:rPr>
          <w:sz w:val="36"/>
          <w:szCs w:val="36"/>
          <w:rtl/>
        </w:rPr>
        <w:t xml:space="preserve">ة </w:t>
      </w:r>
      <w:r w:rsidRPr="00FD211F">
        <w:rPr>
          <w:sz w:val="36"/>
          <w:szCs w:val="36"/>
          <w:rtl/>
        </w:rPr>
        <w:t xml:space="preserve">بن أعين عن أبي جعفر </w:t>
      </w:r>
      <w:r w:rsidR="007A4A0D" w:rsidRPr="00FD211F">
        <w:rPr>
          <w:sz w:val="36"/>
          <w:szCs w:val="36"/>
          <w:rtl/>
        </w:rPr>
        <w:t>(عليه‌السلام)</w:t>
      </w:r>
      <w:r w:rsidRPr="00FD211F">
        <w:rPr>
          <w:sz w:val="36"/>
          <w:szCs w:val="36"/>
          <w:rtl/>
        </w:rPr>
        <w:t xml:space="preserve"> </w:t>
      </w:r>
      <w:r w:rsidR="00A8385B" w:rsidRPr="00FD211F">
        <w:rPr>
          <w:sz w:val="36"/>
          <w:szCs w:val="36"/>
          <w:rtl/>
        </w:rPr>
        <w:t xml:space="preserve">انه </w:t>
      </w:r>
      <w:r w:rsidRPr="00FD211F">
        <w:rPr>
          <w:sz w:val="36"/>
          <w:szCs w:val="36"/>
          <w:rtl/>
        </w:rPr>
        <w:t>قال</w:t>
      </w:r>
      <w:r w:rsidR="00236C51" w:rsidRPr="00FD211F">
        <w:rPr>
          <w:sz w:val="36"/>
          <w:szCs w:val="36"/>
          <w:rtl/>
        </w:rPr>
        <w:t xml:space="preserve"> في</w:t>
      </w:r>
      <w:r w:rsidRPr="00FD211F">
        <w:rPr>
          <w:sz w:val="36"/>
          <w:szCs w:val="36"/>
          <w:rtl/>
        </w:rPr>
        <w:t xml:space="preserve"> رجل كان تحته امرأ</w:t>
      </w:r>
      <w:r w:rsidR="00EC7EDF" w:rsidRPr="00FD211F">
        <w:rPr>
          <w:sz w:val="36"/>
          <w:szCs w:val="36"/>
          <w:rtl/>
        </w:rPr>
        <w:t xml:space="preserve">ة </w:t>
      </w:r>
      <w:r w:rsidRPr="00FD211F">
        <w:rPr>
          <w:sz w:val="36"/>
          <w:szCs w:val="36"/>
          <w:rtl/>
        </w:rPr>
        <w:t>فتزوج أمها أو ابنتها أو أختها فدخل بها ثم علم</w:t>
      </w:r>
      <w:r w:rsidR="00236C51" w:rsidRPr="00FD211F">
        <w:rPr>
          <w:sz w:val="36"/>
          <w:szCs w:val="36"/>
          <w:rtl/>
        </w:rPr>
        <w:t>:</w:t>
      </w:r>
      <w:r w:rsidRPr="00FD211F">
        <w:rPr>
          <w:sz w:val="36"/>
          <w:szCs w:val="36"/>
          <w:rtl/>
        </w:rPr>
        <w:t xml:space="preserve"> فارق الأخير</w:t>
      </w:r>
      <w:r w:rsidR="00EC7EDF" w:rsidRPr="00FD211F">
        <w:rPr>
          <w:sz w:val="36"/>
          <w:szCs w:val="36"/>
          <w:rtl/>
        </w:rPr>
        <w:t xml:space="preserve">ة </w:t>
      </w:r>
      <w:r w:rsidRPr="00FD211F">
        <w:rPr>
          <w:sz w:val="36"/>
          <w:szCs w:val="36"/>
          <w:rtl/>
        </w:rPr>
        <w:t xml:space="preserve">والأولى امرأته </w:t>
      </w:r>
      <w:r w:rsidR="009977FE" w:rsidRPr="00FD211F">
        <w:rPr>
          <w:sz w:val="36"/>
          <w:szCs w:val="36"/>
          <w:rtl/>
        </w:rPr>
        <w:t>و</w:t>
      </w:r>
      <w:r w:rsidR="008D7B3D" w:rsidRPr="00FD211F">
        <w:rPr>
          <w:sz w:val="36"/>
          <w:szCs w:val="36"/>
          <w:rtl/>
        </w:rPr>
        <w:t xml:space="preserve"> لم‌</w:t>
      </w:r>
      <w:r w:rsidRPr="00FD211F">
        <w:rPr>
          <w:sz w:val="36"/>
          <w:szCs w:val="36"/>
          <w:rtl/>
        </w:rPr>
        <w:t>يقرب امرأته حتى يستبرئ رحم التي فارق</w:t>
      </w:r>
      <w:r w:rsidR="009C58C8" w:rsidRPr="00FD211F">
        <w:rPr>
          <w:rStyle w:val="a6"/>
          <w:sz w:val="36"/>
          <w:szCs w:val="36"/>
          <w:rtl/>
        </w:rPr>
        <w:t>(</w:t>
      </w:r>
      <w:r w:rsidR="009C58C8" w:rsidRPr="00FD211F">
        <w:rPr>
          <w:rStyle w:val="a6"/>
          <w:sz w:val="36"/>
          <w:szCs w:val="36"/>
          <w:rtl/>
        </w:rPr>
        <w:footnoteReference w:id="495"/>
      </w:r>
      <w:r w:rsidR="009C58C8" w:rsidRPr="00FD211F">
        <w:rPr>
          <w:rStyle w:val="a6"/>
          <w:sz w:val="36"/>
          <w:szCs w:val="36"/>
          <w:rtl/>
        </w:rPr>
        <w:t>)</w:t>
      </w:r>
      <w:r w:rsidR="0038119E" w:rsidRPr="00FD211F">
        <w:rPr>
          <w:sz w:val="36"/>
          <w:szCs w:val="36"/>
          <w:rtl/>
        </w:rPr>
        <w:t>.</w:t>
      </w:r>
    </w:p>
    <w:p w14:paraId="58A9A5D2" w14:textId="77777777" w:rsidR="0085016B" w:rsidRPr="00FD211F" w:rsidRDefault="00D26FBB" w:rsidP="009C58C8">
      <w:pPr>
        <w:ind w:left="0" w:firstLine="227"/>
        <w:jc w:val="both"/>
        <w:rPr>
          <w:sz w:val="36"/>
          <w:szCs w:val="36"/>
          <w:rtl/>
        </w:rPr>
      </w:pPr>
      <w:r w:rsidRPr="00FD211F">
        <w:rPr>
          <w:sz w:val="36"/>
          <w:szCs w:val="36"/>
          <w:rtl/>
        </w:rPr>
        <w:t>وفيه ان الظاهر من</w:t>
      </w:r>
      <w:r w:rsidR="006E0951" w:rsidRPr="00FD211F">
        <w:rPr>
          <w:sz w:val="36"/>
          <w:szCs w:val="36"/>
          <w:rtl/>
        </w:rPr>
        <w:t xml:space="preserve"> معتبر</w:t>
      </w:r>
      <w:r w:rsidR="00EC7EDF" w:rsidRPr="00FD211F">
        <w:rPr>
          <w:sz w:val="36"/>
          <w:szCs w:val="36"/>
          <w:rtl/>
        </w:rPr>
        <w:t xml:space="preserve">ة </w:t>
      </w:r>
      <w:r w:rsidR="006E0951" w:rsidRPr="00FD211F">
        <w:rPr>
          <w:sz w:val="36"/>
          <w:szCs w:val="36"/>
          <w:rtl/>
        </w:rPr>
        <w:t>مسعد</w:t>
      </w:r>
      <w:r w:rsidR="00EC7EDF" w:rsidRPr="00FD211F">
        <w:rPr>
          <w:sz w:val="36"/>
          <w:szCs w:val="36"/>
          <w:rtl/>
        </w:rPr>
        <w:t xml:space="preserve">ة </w:t>
      </w:r>
      <w:r w:rsidR="006E0951" w:rsidRPr="00FD211F">
        <w:rPr>
          <w:sz w:val="36"/>
          <w:szCs w:val="36"/>
          <w:rtl/>
        </w:rPr>
        <w:t>بن زياد ورواي</w:t>
      </w:r>
      <w:r w:rsidR="00EC7EDF" w:rsidRPr="00FD211F">
        <w:rPr>
          <w:sz w:val="36"/>
          <w:szCs w:val="36"/>
          <w:rtl/>
        </w:rPr>
        <w:t xml:space="preserve">ة </w:t>
      </w:r>
      <w:r w:rsidR="006E0951" w:rsidRPr="00FD211F">
        <w:rPr>
          <w:sz w:val="36"/>
          <w:szCs w:val="36"/>
          <w:rtl/>
        </w:rPr>
        <w:t>مسمع</w:t>
      </w:r>
      <w:r w:rsidR="003740AB" w:rsidRPr="00FD211F">
        <w:rPr>
          <w:sz w:val="36"/>
          <w:szCs w:val="36"/>
          <w:rtl/>
        </w:rPr>
        <w:t xml:space="preserve"> كونهما ناظرتي</w:t>
      </w:r>
      <w:r w:rsidRPr="00FD211F">
        <w:rPr>
          <w:sz w:val="36"/>
          <w:szCs w:val="36"/>
          <w:rtl/>
        </w:rPr>
        <w:t>ن الى الجمع بين</w:t>
      </w:r>
      <w:r w:rsidR="006E0951" w:rsidRPr="00FD211F">
        <w:rPr>
          <w:sz w:val="36"/>
          <w:szCs w:val="36"/>
          <w:rtl/>
        </w:rPr>
        <w:t xml:space="preserve"> الاستمتاع ب</w:t>
      </w:r>
      <w:r w:rsidRPr="00FD211F">
        <w:rPr>
          <w:sz w:val="36"/>
          <w:szCs w:val="36"/>
          <w:rtl/>
        </w:rPr>
        <w:t>الام والبنت لورود</w:t>
      </w:r>
      <w:r w:rsidR="00335F30" w:rsidRPr="00FD211F">
        <w:rPr>
          <w:sz w:val="36"/>
          <w:szCs w:val="36"/>
          <w:rtl/>
        </w:rPr>
        <w:t>هما</w:t>
      </w:r>
      <w:r w:rsidRPr="00FD211F">
        <w:rPr>
          <w:sz w:val="36"/>
          <w:szCs w:val="36"/>
          <w:rtl/>
        </w:rPr>
        <w:t xml:space="preserve"> في الإماء</w:t>
      </w:r>
      <w:r w:rsidR="00603323" w:rsidRPr="00FD211F">
        <w:rPr>
          <w:sz w:val="36"/>
          <w:szCs w:val="36"/>
          <w:rtl/>
        </w:rPr>
        <w:t xml:space="preserve">، </w:t>
      </w:r>
      <w:r w:rsidRPr="00FD211F">
        <w:rPr>
          <w:sz w:val="36"/>
          <w:szCs w:val="36"/>
          <w:rtl/>
        </w:rPr>
        <w:t>على انه لو تم</w:t>
      </w:r>
      <w:r w:rsidR="00335F30" w:rsidRPr="00FD211F">
        <w:rPr>
          <w:sz w:val="36"/>
          <w:szCs w:val="36"/>
          <w:rtl/>
        </w:rPr>
        <w:t>ت</w:t>
      </w:r>
      <w:r w:rsidRPr="00FD211F">
        <w:rPr>
          <w:sz w:val="36"/>
          <w:szCs w:val="36"/>
          <w:rtl/>
        </w:rPr>
        <w:t xml:space="preserve"> دلالتهما على بطلان </w:t>
      </w:r>
      <w:r w:rsidR="008F1240" w:rsidRPr="00FD211F">
        <w:rPr>
          <w:sz w:val="36"/>
          <w:szCs w:val="36"/>
          <w:rtl/>
        </w:rPr>
        <w:t xml:space="preserve">نكاح البنت ولو قبل الدخول بامها </w:t>
      </w:r>
      <w:r w:rsidRPr="00FD211F">
        <w:rPr>
          <w:sz w:val="36"/>
          <w:szCs w:val="36"/>
          <w:rtl/>
        </w:rPr>
        <w:t xml:space="preserve">فيختص ذلك بما اذا كان نكاح البنت </w:t>
      </w:r>
      <w:r w:rsidR="008F1240" w:rsidRPr="00FD211F">
        <w:rPr>
          <w:sz w:val="36"/>
          <w:szCs w:val="36"/>
          <w:rtl/>
        </w:rPr>
        <w:t>مصداقا للجمع</w:t>
      </w:r>
      <w:r w:rsidRPr="00FD211F">
        <w:rPr>
          <w:sz w:val="36"/>
          <w:szCs w:val="36"/>
          <w:rtl/>
        </w:rPr>
        <w:t xml:space="preserve"> بين الام والبنت</w:t>
      </w:r>
      <w:r w:rsidR="008F1240" w:rsidRPr="00FD211F">
        <w:rPr>
          <w:sz w:val="36"/>
          <w:szCs w:val="36"/>
          <w:rtl/>
        </w:rPr>
        <w:t xml:space="preserve"> عرفا</w:t>
      </w:r>
      <w:r w:rsidR="00603323" w:rsidRPr="00FD211F">
        <w:rPr>
          <w:sz w:val="36"/>
          <w:szCs w:val="36"/>
          <w:rtl/>
        </w:rPr>
        <w:t xml:space="preserve">، </w:t>
      </w:r>
      <w:r w:rsidR="00335F30" w:rsidRPr="00FD211F">
        <w:rPr>
          <w:sz w:val="36"/>
          <w:szCs w:val="36"/>
          <w:rtl/>
        </w:rPr>
        <w:t xml:space="preserve">ولكن </w:t>
      </w:r>
      <w:r w:rsidRPr="00FD211F">
        <w:rPr>
          <w:sz w:val="36"/>
          <w:szCs w:val="36"/>
          <w:rtl/>
        </w:rPr>
        <w:t>حيث كان عقد كل من الزوج</w:t>
      </w:r>
      <w:r w:rsidR="00EC7EDF" w:rsidRPr="00FD211F">
        <w:rPr>
          <w:sz w:val="36"/>
          <w:szCs w:val="36"/>
          <w:rtl/>
        </w:rPr>
        <w:t xml:space="preserve">ة </w:t>
      </w:r>
      <w:r w:rsidRPr="00FD211F">
        <w:rPr>
          <w:sz w:val="36"/>
          <w:szCs w:val="36"/>
          <w:rtl/>
        </w:rPr>
        <w:t>الصغير</w:t>
      </w:r>
      <w:r w:rsidR="00EC7EDF" w:rsidRPr="00FD211F">
        <w:rPr>
          <w:sz w:val="36"/>
          <w:szCs w:val="36"/>
          <w:rtl/>
        </w:rPr>
        <w:t xml:space="preserve">ة </w:t>
      </w:r>
      <w:r w:rsidRPr="00FD211F">
        <w:rPr>
          <w:sz w:val="36"/>
          <w:szCs w:val="36"/>
          <w:rtl/>
        </w:rPr>
        <w:t>والكبير</w:t>
      </w:r>
      <w:r w:rsidR="00EC7EDF" w:rsidRPr="00FD211F">
        <w:rPr>
          <w:sz w:val="36"/>
          <w:szCs w:val="36"/>
          <w:rtl/>
        </w:rPr>
        <w:t xml:space="preserve">ة </w:t>
      </w:r>
      <w:r w:rsidRPr="00FD211F">
        <w:rPr>
          <w:sz w:val="36"/>
          <w:szCs w:val="36"/>
          <w:rtl/>
        </w:rPr>
        <w:t xml:space="preserve">الأولى </w:t>
      </w:r>
      <w:r w:rsidR="008F1240" w:rsidRPr="00FD211F">
        <w:rPr>
          <w:sz w:val="36"/>
          <w:szCs w:val="36"/>
          <w:rtl/>
        </w:rPr>
        <w:t xml:space="preserve">قبل تحقق </w:t>
      </w:r>
      <w:r w:rsidR="009947E4" w:rsidRPr="00FD211F">
        <w:rPr>
          <w:sz w:val="36"/>
          <w:szCs w:val="36"/>
          <w:rtl/>
        </w:rPr>
        <w:t>الرضاع الكامل</w:t>
      </w:r>
      <w:r w:rsidR="00335F30" w:rsidRPr="00FD211F">
        <w:rPr>
          <w:sz w:val="36"/>
          <w:szCs w:val="36"/>
          <w:rtl/>
        </w:rPr>
        <w:t xml:space="preserve"> بينهما</w:t>
      </w:r>
      <w:r w:rsidR="00603323" w:rsidRPr="00FD211F">
        <w:rPr>
          <w:sz w:val="36"/>
          <w:szCs w:val="36"/>
          <w:rtl/>
        </w:rPr>
        <w:t xml:space="preserve">، </w:t>
      </w:r>
      <w:r w:rsidR="00335F30" w:rsidRPr="00FD211F">
        <w:rPr>
          <w:sz w:val="36"/>
          <w:szCs w:val="36"/>
          <w:rtl/>
        </w:rPr>
        <w:t>فلايستكشف من الروايتين</w:t>
      </w:r>
      <w:r w:rsidR="008F1240" w:rsidRPr="00FD211F">
        <w:rPr>
          <w:sz w:val="36"/>
          <w:szCs w:val="36"/>
          <w:rtl/>
        </w:rPr>
        <w:t xml:space="preserve"> فساد كلا النكاحين</w:t>
      </w:r>
      <w:r w:rsidRPr="00FD211F">
        <w:rPr>
          <w:sz w:val="36"/>
          <w:szCs w:val="36"/>
          <w:rtl/>
        </w:rPr>
        <w:t xml:space="preserve"> وانما</w:t>
      </w:r>
      <w:r w:rsidR="008F1240" w:rsidRPr="00FD211F">
        <w:rPr>
          <w:sz w:val="36"/>
          <w:szCs w:val="36"/>
          <w:rtl/>
        </w:rPr>
        <w:t xml:space="preserve"> يعلم بعدم بقاءهما معا على الزوجي</w:t>
      </w:r>
      <w:r w:rsidR="00EC7EDF" w:rsidRPr="00FD211F">
        <w:rPr>
          <w:sz w:val="36"/>
          <w:szCs w:val="36"/>
          <w:rtl/>
        </w:rPr>
        <w:t>ة</w:t>
      </w:r>
      <w:r w:rsidR="00603323" w:rsidRPr="00FD211F">
        <w:rPr>
          <w:sz w:val="36"/>
          <w:szCs w:val="36"/>
          <w:rtl/>
        </w:rPr>
        <w:t xml:space="preserve">، </w:t>
      </w:r>
      <w:r w:rsidR="0083284A" w:rsidRPr="00FD211F">
        <w:rPr>
          <w:sz w:val="36"/>
          <w:szCs w:val="36"/>
          <w:rtl/>
        </w:rPr>
        <w:t>فلايمكن نفي احتمال بقاء زوجي</w:t>
      </w:r>
      <w:r w:rsidR="00EC7EDF" w:rsidRPr="00FD211F">
        <w:rPr>
          <w:sz w:val="36"/>
          <w:szCs w:val="36"/>
          <w:rtl/>
        </w:rPr>
        <w:t xml:space="preserve">ة </w:t>
      </w:r>
      <w:r w:rsidR="0083284A" w:rsidRPr="00FD211F">
        <w:rPr>
          <w:sz w:val="36"/>
          <w:szCs w:val="36"/>
          <w:rtl/>
        </w:rPr>
        <w:t>الصغير</w:t>
      </w:r>
      <w:r w:rsidR="00EC7EDF" w:rsidRPr="00FD211F">
        <w:rPr>
          <w:sz w:val="36"/>
          <w:szCs w:val="36"/>
          <w:rtl/>
        </w:rPr>
        <w:t xml:space="preserve">ة </w:t>
      </w:r>
      <w:r w:rsidR="0083284A" w:rsidRPr="00FD211F">
        <w:rPr>
          <w:sz w:val="36"/>
          <w:szCs w:val="36"/>
          <w:rtl/>
        </w:rPr>
        <w:t>وزوال زوجي</w:t>
      </w:r>
      <w:r w:rsidR="00EC7EDF" w:rsidRPr="00FD211F">
        <w:rPr>
          <w:sz w:val="36"/>
          <w:szCs w:val="36"/>
          <w:rtl/>
        </w:rPr>
        <w:t xml:space="preserve">ة </w:t>
      </w:r>
      <w:r w:rsidR="0083284A" w:rsidRPr="00FD211F">
        <w:rPr>
          <w:sz w:val="36"/>
          <w:szCs w:val="36"/>
          <w:rtl/>
        </w:rPr>
        <w:t>الكبير</w:t>
      </w:r>
      <w:r w:rsidR="00EC7EDF" w:rsidRPr="00FD211F">
        <w:rPr>
          <w:sz w:val="36"/>
          <w:szCs w:val="36"/>
          <w:rtl/>
        </w:rPr>
        <w:t>ة</w:t>
      </w:r>
      <w:r w:rsidR="00603323" w:rsidRPr="00FD211F">
        <w:rPr>
          <w:sz w:val="36"/>
          <w:szCs w:val="36"/>
          <w:rtl/>
        </w:rPr>
        <w:t xml:space="preserve">، </w:t>
      </w:r>
      <w:r w:rsidR="0083284A" w:rsidRPr="00FD211F">
        <w:rPr>
          <w:sz w:val="36"/>
          <w:szCs w:val="36"/>
          <w:rtl/>
        </w:rPr>
        <w:t>وحينئذ</w:t>
      </w:r>
      <w:r w:rsidRPr="00FD211F">
        <w:rPr>
          <w:sz w:val="36"/>
          <w:szCs w:val="36"/>
          <w:rtl/>
        </w:rPr>
        <w:t xml:space="preserve"> فيرجع الى </w:t>
      </w:r>
      <w:r w:rsidR="008F1240" w:rsidRPr="00FD211F">
        <w:rPr>
          <w:sz w:val="36"/>
          <w:szCs w:val="36"/>
          <w:rtl/>
        </w:rPr>
        <w:t>مقتضى القاعد</w:t>
      </w:r>
      <w:r w:rsidR="00EC7EDF" w:rsidRPr="00FD211F">
        <w:rPr>
          <w:sz w:val="36"/>
          <w:szCs w:val="36"/>
          <w:rtl/>
        </w:rPr>
        <w:t xml:space="preserve">ة </w:t>
      </w:r>
      <w:r w:rsidRPr="00FD211F">
        <w:rPr>
          <w:sz w:val="36"/>
          <w:szCs w:val="36"/>
          <w:rtl/>
        </w:rPr>
        <w:t>من</w:t>
      </w:r>
      <w:r w:rsidR="008F1240" w:rsidRPr="00FD211F">
        <w:rPr>
          <w:sz w:val="36"/>
          <w:szCs w:val="36"/>
          <w:rtl/>
        </w:rPr>
        <w:t xml:space="preserve"> بقاء زوجي</w:t>
      </w:r>
      <w:r w:rsidR="00EC7EDF" w:rsidRPr="00FD211F">
        <w:rPr>
          <w:sz w:val="36"/>
          <w:szCs w:val="36"/>
          <w:rtl/>
        </w:rPr>
        <w:t xml:space="preserve">ة </w:t>
      </w:r>
      <w:r w:rsidR="008F1240" w:rsidRPr="00FD211F">
        <w:rPr>
          <w:sz w:val="36"/>
          <w:szCs w:val="36"/>
          <w:rtl/>
        </w:rPr>
        <w:t>البنت</w:t>
      </w:r>
      <w:r w:rsidRPr="00FD211F">
        <w:rPr>
          <w:sz w:val="36"/>
          <w:szCs w:val="36"/>
          <w:rtl/>
        </w:rPr>
        <w:t xml:space="preserve"> بعد افتراض عدم كون رضاعها من لبن الرجل وعدم الدخول بالكبير</w:t>
      </w:r>
      <w:r w:rsidR="00EC7EDF" w:rsidRPr="00FD211F">
        <w:rPr>
          <w:sz w:val="36"/>
          <w:szCs w:val="36"/>
          <w:rtl/>
        </w:rPr>
        <w:t xml:space="preserve">ة </w:t>
      </w:r>
      <w:r w:rsidRPr="00FD211F">
        <w:rPr>
          <w:sz w:val="36"/>
          <w:szCs w:val="36"/>
          <w:rtl/>
        </w:rPr>
        <w:t>الأولى</w:t>
      </w:r>
      <w:r w:rsidR="00603323" w:rsidRPr="00FD211F">
        <w:rPr>
          <w:sz w:val="36"/>
          <w:szCs w:val="36"/>
          <w:rtl/>
        </w:rPr>
        <w:t xml:space="preserve">، </w:t>
      </w:r>
      <w:r w:rsidRPr="00FD211F">
        <w:rPr>
          <w:sz w:val="36"/>
          <w:szCs w:val="36"/>
          <w:rtl/>
        </w:rPr>
        <w:t>و</w:t>
      </w:r>
      <w:r w:rsidR="008F1240" w:rsidRPr="00FD211F">
        <w:rPr>
          <w:sz w:val="36"/>
          <w:szCs w:val="36"/>
          <w:rtl/>
        </w:rPr>
        <w:t>اما رواي</w:t>
      </w:r>
      <w:r w:rsidR="00EC7EDF" w:rsidRPr="00FD211F">
        <w:rPr>
          <w:sz w:val="36"/>
          <w:szCs w:val="36"/>
          <w:rtl/>
        </w:rPr>
        <w:t xml:space="preserve">ة </w:t>
      </w:r>
      <w:r w:rsidR="008F1240" w:rsidRPr="00FD211F">
        <w:rPr>
          <w:sz w:val="36"/>
          <w:szCs w:val="36"/>
          <w:rtl/>
        </w:rPr>
        <w:t>موسى بن بكر</w:t>
      </w:r>
      <w:r w:rsidR="0038119E" w:rsidRPr="00FD211F">
        <w:rPr>
          <w:sz w:val="36"/>
          <w:szCs w:val="36"/>
          <w:rtl/>
        </w:rPr>
        <w:t>-</w:t>
      </w:r>
      <w:r w:rsidR="008F1240" w:rsidRPr="00FD211F">
        <w:rPr>
          <w:sz w:val="36"/>
          <w:szCs w:val="36"/>
          <w:rtl/>
        </w:rPr>
        <w:t xml:space="preserve"> فمضافا الى جهال</w:t>
      </w:r>
      <w:r w:rsidR="00EC7EDF" w:rsidRPr="00FD211F">
        <w:rPr>
          <w:sz w:val="36"/>
          <w:szCs w:val="36"/>
          <w:rtl/>
        </w:rPr>
        <w:t xml:space="preserve">ة </w:t>
      </w:r>
      <w:r w:rsidR="008F1240" w:rsidRPr="00FD211F">
        <w:rPr>
          <w:sz w:val="36"/>
          <w:szCs w:val="36"/>
          <w:rtl/>
        </w:rPr>
        <w:t>سند الصد</w:t>
      </w:r>
      <w:r w:rsidR="00783F9C" w:rsidRPr="00FD211F">
        <w:rPr>
          <w:sz w:val="36"/>
          <w:szCs w:val="36"/>
          <w:rtl/>
        </w:rPr>
        <w:t>وق الى موسى بن بكر</w:t>
      </w:r>
      <w:r w:rsidR="00603323" w:rsidRPr="00FD211F">
        <w:rPr>
          <w:sz w:val="36"/>
          <w:szCs w:val="36"/>
          <w:rtl/>
        </w:rPr>
        <w:t xml:space="preserve">، </w:t>
      </w:r>
      <w:r w:rsidR="00783F9C" w:rsidRPr="00FD211F">
        <w:rPr>
          <w:sz w:val="36"/>
          <w:szCs w:val="36"/>
          <w:rtl/>
        </w:rPr>
        <w:t>وقرب انصراف قوله "من كان تحته امرأ</w:t>
      </w:r>
      <w:r w:rsidR="00C04DBB" w:rsidRPr="00FD211F">
        <w:rPr>
          <w:sz w:val="36"/>
          <w:szCs w:val="36"/>
          <w:rtl/>
        </w:rPr>
        <w:t>ة</w:t>
      </w:r>
      <w:r w:rsidR="00783F9C" w:rsidRPr="00FD211F">
        <w:rPr>
          <w:sz w:val="36"/>
          <w:szCs w:val="36"/>
          <w:rtl/>
        </w:rPr>
        <w:t>" الى فرض الدخول بها</w:t>
      </w:r>
      <w:r w:rsidR="0038119E" w:rsidRPr="00FD211F">
        <w:rPr>
          <w:sz w:val="36"/>
          <w:szCs w:val="36"/>
          <w:rtl/>
        </w:rPr>
        <w:t>-</w:t>
      </w:r>
      <w:r w:rsidR="008F1240" w:rsidRPr="00FD211F">
        <w:rPr>
          <w:sz w:val="36"/>
          <w:szCs w:val="36"/>
          <w:rtl/>
        </w:rPr>
        <w:t xml:space="preserve"> </w:t>
      </w:r>
      <w:r w:rsidR="0038119E" w:rsidRPr="00FD211F">
        <w:rPr>
          <w:sz w:val="36"/>
          <w:szCs w:val="36"/>
          <w:rtl/>
        </w:rPr>
        <w:t>فهي لات</w:t>
      </w:r>
      <w:r w:rsidR="008F1240" w:rsidRPr="00FD211F">
        <w:rPr>
          <w:sz w:val="36"/>
          <w:szCs w:val="36"/>
          <w:rtl/>
        </w:rPr>
        <w:t>دل على حكم الجمع بين عقدهما في زمان واحد و</w:t>
      </w:r>
      <w:r w:rsidR="0038119E" w:rsidRPr="00FD211F">
        <w:rPr>
          <w:sz w:val="36"/>
          <w:szCs w:val="36"/>
          <w:rtl/>
        </w:rPr>
        <w:t>لات</w:t>
      </w:r>
      <w:r w:rsidR="00335F30" w:rsidRPr="00FD211F">
        <w:rPr>
          <w:sz w:val="36"/>
          <w:szCs w:val="36"/>
          <w:rtl/>
        </w:rPr>
        <w:t xml:space="preserve">دل ايضا </w:t>
      </w:r>
      <w:r w:rsidR="008F1240" w:rsidRPr="00FD211F">
        <w:rPr>
          <w:sz w:val="36"/>
          <w:szCs w:val="36"/>
          <w:rtl/>
        </w:rPr>
        <w:t>على حكم المقام مما تأخر حصول بنتي</w:t>
      </w:r>
      <w:r w:rsidR="00EC7EDF" w:rsidRPr="00FD211F">
        <w:rPr>
          <w:sz w:val="36"/>
          <w:szCs w:val="36"/>
          <w:rtl/>
        </w:rPr>
        <w:t xml:space="preserve">ة </w:t>
      </w:r>
      <w:r w:rsidR="0083284A" w:rsidRPr="00FD211F">
        <w:rPr>
          <w:sz w:val="36"/>
          <w:szCs w:val="36"/>
          <w:rtl/>
        </w:rPr>
        <w:t>إحدى الزوجيتين للأخرى على زواج الرجل بهما</w:t>
      </w:r>
      <w:r w:rsidR="0085016B" w:rsidRPr="00FD211F">
        <w:rPr>
          <w:sz w:val="36"/>
          <w:szCs w:val="36"/>
          <w:rtl/>
        </w:rPr>
        <w:t>.</w:t>
      </w:r>
    </w:p>
    <w:p w14:paraId="7F4B3BDB" w14:textId="77777777" w:rsidR="00244B5F" w:rsidRPr="00FD211F" w:rsidRDefault="001F2FC6" w:rsidP="005946E3">
      <w:pPr>
        <w:ind w:left="0" w:firstLine="227"/>
        <w:jc w:val="both"/>
        <w:rPr>
          <w:sz w:val="36"/>
          <w:szCs w:val="36"/>
          <w:rtl/>
        </w:rPr>
      </w:pPr>
      <w:r w:rsidRPr="00FD211F">
        <w:rPr>
          <w:sz w:val="36"/>
          <w:szCs w:val="36"/>
          <w:rtl/>
        </w:rPr>
        <w:t>ومع غمض العين عن ذلك كله وقبول اطلاقها لفساد نكاح البنت في</w:t>
      </w:r>
      <w:r w:rsidR="0085016B" w:rsidRPr="00FD211F">
        <w:rPr>
          <w:sz w:val="36"/>
          <w:szCs w:val="36"/>
          <w:rtl/>
        </w:rPr>
        <w:t xml:space="preserve">تعارض </w:t>
      </w:r>
      <w:r w:rsidRPr="00FD211F">
        <w:rPr>
          <w:sz w:val="36"/>
          <w:szCs w:val="36"/>
          <w:rtl/>
        </w:rPr>
        <w:t xml:space="preserve">هذا الاطلاق </w:t>
      </w:r>
      <w:r w:rsidR="0085016B" w:rsidRPr="00FD211F">
        <w:rPr>
          <w:sz w:val="36"/>
          <w:szCs w:val="36"/>
          <w:rtl/>
        </w:rPr>
        <w:t>مع اطلاق قوله تعالى: وربائبكم اللاتي في حجوركم من نسائكم اللاتي دخلتم بهن فان</w:t>
      </w:r>
      <w:r w:rsidR="008D7B3D" w:rsidRPr="00FD211F">
        <w:rPr>
          <w:sz w:val="36"/>
          <w:szCs w:val="36"/>
          <w:rtl/>
        </w:rPr>
        <w:t xml:space="preserve"> لم‌</w:t>
      </w:r>
      <w:r w:rsidR="0085016B" w:rsidRPr="00FD211F">
        <w:rPr>
          <w:sz w:val="36"/>
          <w:szCs w:val="36"/>
          <w:rtl/>
        </w:rPr>
        <w:t>تكونوا دخلتم بهن فلاجناح عليكم</w:t>
      </w:r>
      <w:r w:rsidR="00EC7EDF" w:rsidRPr="00FD211F">
        <w:rPr>
          <w:sz w:val="36"/>
          <w:szCs w:val="36"/>
          <w:rtl/>
        </w:rPr>
        <w:t>.</w:t>
      </w:r>
      <w:r w:rsidR="0085016B" w:rsidRPr="00FD211F">
        <w:rPr>
          <w:sz w:val="36"/>
          <w:szCs w:val="36"/>
          <w:rtl/>
        </w:rPr>
        <w:t>..</w:t>
      </w:r>
      <w:r w:rsidR="009C58C8" w:rsidRPr="00FD211F">
        <w:rPr>
          <w:rStyle w:val="a6"/>
          <w:sz w:val="36"/>
          <w:szCs w:val="36"/>
          <w:rtl/>
        </w:rPr>
        <w:t>(</w:t>
      </w:r>
      <w:r w:rsidR="009C58C8" w:rsidRPr="00FD211F">
        <w:rPr>
          <w:rStyle w:val="a6"/>
          <w:sz w:val="36"/>
          <w:szCs w:val="36"/>
          <w:rtl/>
        </w:rPr>
        <w:footnoteReference w:id="496"/>
      </w:r>
      <w:r w:rsidR="009C58C8" w:rsidRPr="00FD211F">
        <w:rPr>
          <w:rStyle w:val="a6"/>
          <w:sz w:val="36"/>
          <w:szCs w:val="36"/>
          <w:rtl/>
        </w:rPr>
        <w:t>)</w:t>
      </w:r>
      <w:r w:rsidR="00603323" w:rsidRPr="00FD211F">
        <w:rPr>
          <w:sz w:val="36"/>
          <w:szCs w:val="36"/>
          <w:rtl/>
        </w:rPr>
        <w:t xml:space="preserve">، </w:t>
      </w:r>
      <w:r w:rsidR="0085016B" w:rsidRPr="00FD211F">
        <w:rPr>
          <w:sz w:val="36"/>
          <w:szCs w:val="36"/>
          <w:rtl/>
        </w:rPr>
        <w:t>حيث انه لايبعد ان يكون مقتضى اطلاقه جواز نكاح بنت الزوج</w:t>
      </w:r>
      <w:r w:rsidR="00EC7EDF" w:rsidRPr="00FD211F">
        <w:rPr>
          <w:sz w:val="36"/>
          <w:szCs w:val="36"/>
          <w:rtl/>
        </w:rPr>
        <w:t xml:space="preserve">ة </w:t>
      </w:r>
      <w:r w:rsidR="0085016B" w:rsidRPr="00FD211F">
        <w:rPr>
          <w:sz w:val="36"/>
          <w:szCs w:val="36"/>
          <w:rtl/>
        </w:rPr>
        <w:t>غير المدخول بها لامجرد نفي حرمتها الأبدي</w:t>
      </w:r>
      <w:r w:rsidR="00EC7EDF" w:rsidRPr="00FD211F">
        <w:rPr>
          <w:sz w:val="36"/>
          <w:szCs w:val="36"/>
          <w:rtl/>
        </w:rPr>
        <w:t>ة</w:t>
      </w:r>
      <w:r w:rsidR="00603323" w:rsidRPr="00FD211F">
        <w:rPr>
          <w:sz w:val="36"/>
          <w:szCs w:val="36"/>
          <w:rtl/>
        </w:rPr>
        <w:t xml:space="preserve">، </w:t>
      </w:r>
      <w:r w:rsidR="003F188F" w:rsidRPr="00FD211F">
        <w:rPr>
          <w:sz w:val="36"/>
          <w:szCs w:val="36"/>
          <w:rtl/>
        </w:rPr>
        <w:t>لانه</w:t>
      </w:r>
      <w:r w:rsidR="0083429B" w:rsidRPr="00FD211F">
        <w:rPr>
          <w:sz w:val="36"/>
          <w:szCs w:val="36"/>
          <w:rtl/>
        </w:rPr>
        <w:t xml:space="preserve"> ذكر في عداد من يحرم نكاحهن </w:t>
      </w:r>
      <w:r w:rsidR="003F188F" w:rsidRPr="00FD211F">
        <w:rPr>
          <w:sz w:val="36"/>
          <w:szCs w:val="36"/>
          <w:rtl/>
        </w:rPr>
        <w:t>ذات البعل حيث قال تعالى "والمحصنات من النساء الا ما ملكت ايمانكم</w:t>
      </w:r>
      <w:r w:rsidR="009947E4" w:rsidRPr="00FD211F">
        <w:rPr>
          <w:sz w:val="36"/>
          <w:szCs w:val="36"/>
          <w:rtl/>
        </w:rPr>
        <w:t xml:space="preserve"> </w:t>
      </w:r>
      <w:r w:rsidR="003F188F" w:rsidRPr="00FD211F">
        <w:rPr>
          <w:sz w:val="36"/>
          <w:szCs w:val="36"/>
          <w:rtl/>
        </w:rPr>
        <w:t>كتاب الله عليكم واحل لكم ما وراء ذلكم"</w:t>
      </w:r>
      <w:r w:rsidR="00712BD7" w:rsidRPr="00FD211F">
        <w:rPr>
          <w:sz w:val="36"/>
          <w:szCs w:val="36"/>
          <w:rtl/>
        </w:rPr>
        <w:t xml:space="preserve"> </w:t>
      </w:r>
      <w:r w:rsidRPr="00FD211F">
        <w:rPr>
          <w:sz w:val="36"/>
          <w:szCs w:val="36"/>
          <w:rtl/>
        </w:rPr>
        <w:t>ومن الواضح عدم حرمتها الابدي</w:t>
      </w:r>
      <w:r w:rsidR="00EC7EDF" w:rsidRPr="00FD211F">
        <w:rPr>
          <w:sz w:val="36"/>
          <w:szCs w:val="36"/>
          <w:rtl/>
        </w:rPr>
        <w:t xml:space="preserve">ة </w:t>
      </w:r>
      <w:r w:rsidR="0085016B" w:rsidRPr="00FD211F">
        <w:rPr>
          <w:sz w:val="36"/>
          <w:szCs w:val="36"/>
          <w:rtl/>
        </w:rPr>
        <w:t>والمتعين حجي</w:t>
      </w:r>
      <w:r w:rsidR="00EC7EDF" w:rsidRPr="00FD211F">
        <w:rPr>
          <w:sz w:val="36"/>
          <w:szCs w:val="36"/>
          <w:rtl/>
        </w:rPr>
        <w:t xml:space="preserve">ة </w:t>
      </w:r>
      <w:r w:rsidR="0085016B" w:rsidRPr="00FD211F">
        <w:rPr>
          <w:sz w:val="36"/>
          <w:szCs w:val="36"/>
          <w:rtl/>
        </w:rPr>
        <w:t>اطلاق الآي</w:t>
      </w:r>
      <w:r w:rsidR="00EC7EDF" w:rsidRPr="00FD211F">
        <w:rPr>
          <w:sz w:val="36"/>
          <w:szCs w:val="36"/>
          <w:rtl/>
        </w:rPr>
        <w:t xml:space="preserve">ة </w:t>
      </w:r>
      <w:r w:rsidR="0085016B" w:rsidRPr="00FD211F">
        <w:rPr>
          <w:sz w:val="36"/>
          <w:szCs w:val="36"/>
          <w:rtl/>
        </w:rPr>
        <w:t>عند معارضته مع اطلاق الرواي</w:t>
      </w:r>
      <w:r w:rsidR="00EC7EDF" w:rsidRPr="00FD211F">
        <w:rPr>
          <w:sz w:val="36"/>
          <w:szCs w:val="36"/>
          <w:rtl/>
        </w:rPr>
        <w:t>ة</w:t>
      </w:r>
      <w:r w:rsidR="00603323" w:rsidRPr="00FD211F">
        <w:rPr>
          <w:sz w:val="36"/>
          <w:szCs w:val="36"/>
          <w:rtl/>
        </w:rPr>
        <w:t xml:space="preserve">، </w:t>
      </w:r>
      <w:r w:rsidR="0085016B" w:rsidRPr="00FD211F">
        <w:rPr>
          <w:sz w:val="36"/>
          <w:szCs w:val="36"/>
          <w:rtl/>
        </w:rPr>
        <w:t>نعم بناء على مسلك السيد الخوئي</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0085016B" w:rsidRPr="00FD211F">
        <w:rPr>
          <w:sz w:val="36"/>
          <w:szCs w:val="36"/>
          <w:rtl/>
        </w:rPr>
        <w:t>من تساقط الاطلاقين فيلزم الاحتياط بالاجتناب عن كلتيهما للعلم الإجمالي بفساد نكاح إحديهما</w:t>
      </w:r>
      <w:r w:rsidR="00603323" w:rsidRPr="00FD211F">
        <w:rPr>
          <w:sz w:val="36"/>
          <w:szCs w:val="36"/>
          <w:rtl/>
        </w:rPr>
        <w:t xml:space="preserve">، </w:t>
      </w:r>
      <w:r w:rsidR="0085016B" w:rsidRPr="00FD211F">
        <w:rPr>
          <w:sz w:val="36"/>
          <w:szCs w:val="36"/>
          <w:rtl/>
        </w:rPr>
        <w:t>نعم لو تأخر عقد زواج بنت الزوج</w:t>
      </w:r>
      <w:r w:rsidR="00EC7EDF" w:rsidRPr="00FD211F">
        <w:rPr>
          <w:sz w:val="36"/>
          <w:szCs w:val="36"/>
          <w:rtl/>
        </w:rPr>
        <w:t xml:space="preserve">ة </w:t>
      </w:r>
      <w:r w:rsidR="0085016B" w:rsidRPr="00FD211F">
        <w:rPr>
          <w:sz w:val="36"/>
          <w:szCs w:val="36"/>
          <w:rtl/>
        </w:rPr>
        <w:t xml:space="preserve">غير المدخول بها فقد يقال بان المرجع فيه </w:t>
      </w:r>
      <w:r w:rsidR="009947E4" w:rsidRPr="00FD211F">
        <w:rPr>
          <w:sz w:val="36"/>
          <w:szCs w:val="36"/>
          <w:rtl/>
        </w:rPr>
        <w:t>استصحاب عدم زوجي</w:t>
      </w:r>
      <w:r w:rsidR="00EC7EDF" w:rsidRPr="00FD211F">
        <w:rPr>
          <w:sz w:val="36"/>
          <w:szCs w:val="36"/>
          <w:rtl/>
        </w:rPr>
        <w:t xml:space="preserve">ة </w:t>
      </w:r>
      <w:r w:rsidR="009947E4" w:rsidRPr="00FD211F">
        <w:rPr>
          <w:sz w:val="36"/>
          <w:szCs w:val="36"/>
          <w:rtl/>
        </w:rPr>
        <w:t>البنت</w:t>
      </w:r>
      <w:r w:rsidR="0085016B" w:rsidRPr="00FD211F">
        <w:rPr>
          <w:sz w:val="36"/>
          <w:szCs w:val="36"/>
          <w:rtl/>
        </w:rPr>
        <w:t xml:space="preserve"> وفي الزوج</w:t>
      </w:r>
      <w:r w:rsidR="00EC7EDF" w:rsidRPr="00FD211F">
        <w:rPr>
          <w:sz w:val="36"/>
          <w:szCs w:val="36"/>
          <w:rtl/>
        </w:rPr>
        <w:t xml:space="preserve">ة </w:t>
      </w:r>
      <w:r w:rsidR="0085016B" w:rsidRPr="00FD211F">
        <w:rPr>
          <w:sz w:val="36"/>
          <w:szCs w:val="36"/>
          <w:rtl/>
        </w:rPr>
        <w:t>استصحاب بقاءها بناء على جريان الاستصحاب في الشبهات الحكمي</w:t>
      </w:r>
      <w:r w:rsidR="00EC7EDF" w:rsidRPr="00FD211F">
        <w:rPr>
          <w:sz w:val="36"/>
          <w:szCs w:val="36"/>
          <w:rtl/>
        </w:rPr>
        <w:t xml:space="preserve">ة </w:t>
      </w:r>
      <w:r w:rsidR="0085016B" w:rsidRPr="00FD211F">
        <w:rPr>
          <w:sz w:val="36"/>
          <w:szCs w:val="36"/>
          <w:rtl/>
        </w:rPr>
        <w:t>او قاعد</w:t>
      </w:r>
      <w:r w:rsidR="00EC7EDF" w:rsidRPr="00FD211F">
        <w:rPr>
          <w:sz w:val="36"/>
          <w:szCs w:val="36"/>
          <w:rtl/>
        </w:rPr>
        <w:t xml:space="preserve">ة </w:t>
      </w:r>
      <w:r w:rsidR="0085016B" w:rsidRPr="00FD211F">
        <w:rPr>
          <w:sz w:val="36"/>
          <w:szCs w:val="36"/>
          <w:rtl/>
        </w:rPr>
        <w:t>الحل</w:t>
      </w:r>
      <w:r w:rsidR="00603323" w:rsidRPr="00FD211F">
        <w:rPr>
          <w:sz w:val="36"/>
          <w:szCs w:val="36"/>
          <w:rtl/>
        </w:rPr>
        <w:t xml:space="preserve">، </w:t>
      </w:r>
      <w:r w:rsidR="0085016B" w:rsidRPr="00FD211F">
        <w:rPr>
          <w:sz w:val="36"/>
          <w:szCs w:val="36"/>
          <w:rtl/>
        </w:rPr>
        <w:t>على اشكال في جريان قاعد</w:t>
      </w:r>
      <w:r w:rsidR="00EC7EDF" w:rsidRPr="00FD211F">
        <w:rPr>
          <w:sz w:val="36"/>
          <w:szCs w:val="36"/>
          <w:rtl/>
        </w:rPr>
        <w:t xml:space="preserve">ة </w:t>
      </w:r>
      <w:r w:rsidR="0085016B" w:rsidRPr="00FD211F">
        <w:rPr>
          <w:sz w:val="36"/>
          <w:szCs w:val="36"/>
          <w:rtl/>
        </w:rPr>
        <w:t>الحل</w:t>
      </w:r>
      <w:r w:rsidR="005A0D63" w:rsidRPr="00FD211F">
        <w:rPr>
          <w:sz w:val="36"/>
          <w:szCs w:val="36"/>
          <w:rtl/>
        </w:rPr>
        <w:t xml:space="preserve"> في مثل هذه الشبهات.</w:t>
      </w:r>
    </w:p>
    <w:p w14:paraId="04444735" w14:textId="77777777" w:rsidR="00C51D5B" w:rsidRPr="00FD211F" w:rsidRDefault="0079145C" w:rsidP="009C58C8">
      <w:pPr>
        <w:ind w:left="0" w:firstLine="227"/>
        <w:jc w:val="both"/>
        <w:rPr>
          <w:sz w:val="36"/>
          <w:szCs w:val="36"/>
          <w:rtl/>
        </w:rPr>
      </w:pPr>
      <w:r w:rsidRPr="00FD211F">
        <w:rPr>
          <w:sz w:val="36"/>
          <w:szCs w:val="36"/>
          <w:rtl/>
        </w:rPr>
        <w:t>هذا كله بالنظر الى مقتضى القواعد العام</w:t>
      </w:r>
      <w:r w:rsidR="00EC7EDF" w:rsidRPr="00FD211F">
        <w:rPr>
          <w:sz w:val="36"/>
          <w:szCs w:val="36"/>
          <w:rtl/>
        </w:rPr>
        <w:t>ة</w:t>
      </w:r>
      <w:r w:rsidR="00A61BAE" w:rsidRPr="00FD211F">
        <w:rPr>
          <w:sz w:val="36"/>
          <w:szCs w:val="36"/>
          <w:rtl/>
        </w:rPr>
        <w:t>.</w:t>
      </w:r>
    </w:p>
    <w:p w14:paraId="4A6C7F77" w14:textId="77777777" w:rsidR="0079145C" w:rsidRPr="00FD211F" w:rsidRDefault="00C51D5B" w:rsidP="009C58C8">
      <w:pPr>
        <w:ind w:left="0" w:firstLine="227"/>
        <w:jc w:val="both"/>
        <w:rPr>
          <w:sz w:val="36"/>
          <w:szCs w:val="36"/>
          <w:rtl/>
        </w:rPr>
      </w:pPr>
      <w:r w:rsidRPr="00FD211F">
        <w:rPr>
          <w:sz w:val="36"/>
          <w:szCs w:val="36"/>
          <w:rtl/>
        </w:rPr>
        <w:t>واما بالنظر الى مقتضى النصوص الخاص</w:t>
      </w:r>
      <w:r w:rsidR="00EC7EDF" w:rsidRPr="00FD211F">
        <w:rPr>
          <w:sz w:val="36"/>
          <w:szCs w:val="36"/>
          <w:rtl/>
        </w:rPr>
        <w:t xml:space="preserve">ة </w:t>
      </w:r>
      <w:r w:rsidRPr="00FD211F">
        <w:rPr>
          <w:sz w:val="36"/>
          <w:szCs w:val="36"/>
          <w:rtl/>
        </w:rPr>
        <w:t>فقد ورد في المقام ثلاث روايات:</w:t>
      </w:r>
    </w:p>
    <w:p w14:paraId="3F62CF73" w14:textId="77777777" w:rsidR="00335F30" w:rsidRPr="00FD211F" w:rsidRDefault="0079145C" w:rsidP="009C58C8">
      <w:pPr>
        <w:ind w:left="0" w:firstLine="227"/>
        <w:jc w:val="both"/>
        <w:rPr>
          <w:sz w:val="36"/>
          <w:szCs w:val="36"/>
          <w:rtl/>
        </w:rPr>
      </w:pPr>
      <w:r w:rsidRPr="00FD211F">
        <w:rPr>
          <w:b/>
          <w:bCs/>
          <w:sz w:val="36"/>
          <w:szCs w:val="36"/>
          <w:rtl/>
        </w:rPr>
        <w:t>الرواي</w:t>
      </w:r>
      <w:r w:rsidR="00EC7EDF" w:rsidRPr="00FD211F">
        <w:rPr>
          <w:b/>
          <w:bCs/>
          <w:sz w:val="36"/>
          <w:szCs w:val="36"/>
          <w:rtl/>
        </w:rPr>
        <w:t xml:space="preserve">ة </w:t>
      </w:r>
      <w:r w:rsidRPr="00FD211F">
        <w:rPr>
          <w:b/>
          <w:bCs/>
          <w:sz w:val="36"/>
          <w:szCs w:val="36"/>
          <w:rtl/>
        </w:rPr>
        <w:t>الأولى</w:t>
      </w:r>
      <w:r w:rsidRPr="00FD211F">
        <w:rPr>
          <w:sz w:val="36"/>
          <w:szCs w:val="36"/>
          <w:rtl/>
        </w:rPr>
        <w:t>: رواي</w:t>
      </w:r>
      <w:r w:rsidR="00EC7EDF" w:rsidRPr="00FD211F">
        <w:rPr>
          <w:sz w:val="36"/>
          <w:szCs w:val="36"/>
          <w:rtl/>
        </w:rPr>
        <w:t xml:space="preserve">ة </w:t>
      </w:r>
      <w:r w:rsidRPr="00FD211F">
        <w:rPr>
          <w:sz w:val="36"/>
          <w:szCs w:val="36"/>
          <w:rtl/>
        </w:rPr>
        <w:t>الكليني</w:t>
      </w:r>
      <w:r w:rsidR="0038119E" w:rsidRPr="00FD211F">
        <w:rPr>
          <w:sz w:val="36"/>
          <w:szCs w:val="36"/>
          <w:rtl/>
        </w:rPr>
        <w:t xml:space="preserve"> عن على بن محمد</w:t>
      </w:r>
      <w:r w:rsidR="00E867EE" w:rsidRPr="00FD211F">
        <w:rPr>
          <w:sz w:val="36"/>
          <w:szCs w:val="36"/>
          <w:rtl/>
        </w:rPr>
        <w:t>(هوعلي بن محمد بن البندار وهوثق</w:t>
      </w:r>
      <w:r w:rsidR="00EC7EDF" w:rsidRPr="00FD211F">
        <w:rPr>
          <w:sz w:val="36"/>
          <w:szCs w:val="36"/>
          <w:rtl/>
        </w:rPr>
        <w:t xml:space="preserve">ة </w:t>
      </w:r>
      <w:r w:rsidR="00E867EE" w:rsidRPr="00FD211F">
        <w:rPr>
          <w:sz w:val="36"/>
          <w:szCs w:val="36"/>
          <w:rtl/>
        </w:rPr>
        <w:t xml:space="preserve">) عن </w:t>
      </w:r>
      <w:r w:rsidR="003927DE" w:rsidRPr="00FD211F">
        <w:rPr>
          <w:sz w:val="36"/>
          <w:szCs w:val="36"/>
          <w:rtl/>
        </w:rPr>
        <w:t xml:space="preserve">صالح بن ابي حماد عن علي بن مهزيار عن أبي جعفر </w:t>
      </w:r>
      <w:r w:rsidR="007A4A0D" w:rsidRPr="00FD211F">
        <w:rPr>
          <w:sz w:val="36"/>
          <w:szCs w:val="36"/>
          <w:rtl/>
        </w:rPr>
        <w:t>(عليه‌السلام)</w:t>
      </w:r>
      <w:r w:rsidR="003927DE" w:rsidRPr="00FD211F">
        <w:rPr>
          <w:sz w:val="36"/>
          <w:szCs w:val="36"/>
          <w:rtl/>
        </w:rPr>
        <w:t xml:space="preserve"> قال</w:t>
      </w:r>
      <w:r w:rsidR="00EC7EDF" w:rsidRPr="00FD211F">
        <w:rPr>
          <w:sz w:val="36"/>
          <w:szCs w:val="36"/>
          <w:rtl/>
        </w:rPr>
        <w:t>:</w:t>
      </w:r>
      <w:r w:rsidR="003927DE" w:rsidRPr="00FD211F">
        <w:rPr>
          <w:sz w:val="36"/>
          <w:szCs w:val="36"/>
          <w:rtl/>
        </w:rPr>
        <w:t xml:space="preserve"> قيل له إن رجلا تزوج بجاري</w:t>
      </w:r>
      <w:r w:rsidR="00EC7EDF" w:rsidRPr="00FD211F">
        <w:rPr>
          <w:sz w:val="36"/>
          <w:szCs w:val="36"/>
          <w:rtl/>
        </w:rPr>
        <w:t xml:space="preserve">ة </w:t>
      </w:r>
      <w:r w:rsidR="003927DE" w:rsidRPr="00FD211F">
        <w:rPr>
          <w:sz w:val="36"/>
          <w:szCs w:val="36"/>
          <w:rtl/>
        </w:rPr>
        <w:t>صغير</w:t>
      </w:r>
      <w:r w:rsidR="00EC7EDF" w:rsidRPr="00FD211F">
        <w:rPr>
          <w:sz w:val="36"/>
          <w:szCs w:val="36"/>
          <w:rtl/>
        </w:rPr>
        <w:t xml:space="preserve">ة </w:t>
      </w:r>
      <w:r w:rsidR="003927DE" w:rsidRPr="00FD211F">
        <w:rPr>
          <w:sz w:val="36"/>
          <w:szCs w:val="36"/>
          <w:rtl/>
        </w:rPr>
        <w:t>فأرضعتها امرأته ثم أرضعتها امرأ</w:t>
      </w:r>
      <w:r w:rsidR="00EC7EDF" w:rsidRPr="00FD211F">
        <w:rPr>
          <w:sz w:val="36"/>
          <w:szCs w:val="36"/>
          <w:rtl/>
        </w:rPr>
        <w:t xml:space="preserve">ة </w:t>
      </w:r>
      <w:r w:rsidR="003927DE" w:rsidRPr="00FD211F">
        <w:rPr>
          <w:sz w:val="36"/>
          <w:szCs w:val="36"/>
          <w:rtl/>
        </w:rPr>
        <w:t>له أخرى فقال ابن شبرم</w:t>
      </w:r>
      <w:r w:rsidR="00EC7EDF" w:rsidRPr="00FD211F">
        <w:rPr>
          <w:sz w:val="36"/>
          <w:szCs w:val="36"/>
          <w:rtl/>
        </w:rPr>
        <w:t>ة</w:t>
      </w:r>
      <w:r w:rsidR="00057D31" w:rsidRPr="00FD211F">
        <w:rPr>
          <w:sz w:val="36"/>
          <w:szCs w:val="36"/>
          <w:rtl/>
        </w:rPr>
        <w:t>:</w:t>
      </w:r>
      <w:r w:rsidR="003927DE" w:rsidRPr="00FD211F">
        <w:rPr>
          <w:sz w:val="36"/>
          <w:szCs w:val="36"/>
          <w:rtl/>
        </w:rPr>
        <w:t xml:space="preserve"> حرمت عليه الجاري</w:t>
      </w:r>
      <w:r w:rsidR="00EC7EDF" w:rsidRPr="00FD211F">
        <w:rPr>
          <w:sz w:val="36"/>
          <w:szCs w:val="36"/>
          <w:rtl/>
        </w:rPr>
        <w:t xml:space="preserve">ة </w:t>
      </w:r>
      <w:r w:rsidR="003927DE" w:rsidRPr="00FD211F">
        <w:rPr>
          <w:sz w:val="36"/>
          <w:szCs w:val="36"/>
          <w:rtl/>
        </w:rPr>
        <w:t xml:space="preserve">وامرأتاه فقال أبو جعفر </w:t>
      </w:r>
      <w:r w:rsidR="007A4A0D" w:rsidRPr="00FD211F">
        <w:rPr>
          <w:sz w:val="36"/>
          <w:szCs w:val="36"/>
          <w:rtl/>
        </w:rPr>
        <w:t>(عليه‌السلام)</w:t>
      </w:r>
      <w:r w:rsidR="003927DE" w:rsidRPr="00FD211F">
        <w:rPr>
          <w:sz w:val="36"/>
          <w:szCs w:val="36"/>
          <w:rtl/>
        </w:rPr>
        <w:t>: أخطأ ابن شبرم</w:t>
      </w:r>
      <w:r w:rsidR="00EC7EDF" w:rsidRPr="00FD211F">
        <w:rPr>
          <w:sz w:val="36"/>
          <w:szCs w:val="36"/>
          <w:rtl/>
        </w:rPr>
        <w:t xml:space="preserve">ة </w:t>
      </w:r>
      <w:r w:rsidR="003927DE" w:rsidRPr="00FD211F">
        <w:rPr>
          <w:sz w:val="36"/>
          <w:szCs w:val="36"/>
          <w:rtl/>
        </w:rPr>
        <w:t>تحرم عليه الجاري</w:t>
      </w:r>
      <w:r w:rsidR="00EC7EDF" w:rsidRPr="00FD211F">
        <w:rPr>
          <w:sz w:val="36"/>
          <w:szCs w:val="36"/>
          <w:rtl/>
        </w:rPr>
        <w:t xml:space="preserve">ة </w:t>
      </w:r>
      <w:r w:rsidR="003927DE" w:rsidRPr="00FD211F">
        <w:rPr>
          <w:sz w:val="36"/>
          <w:szCs w:val="36"/>
          <w:rtl/>
        </w:rPr>
        <w:t>وامرأته التي أرضعتها أولا فأما الأخير</w:t>
      </w:r>
      <w:r w:rsidR="00EC7EDF" w:rsidRPr="00FD211F">
        <w:rPr>
          <w:sz w:val="36"/>
          <w:szCs w:val="36"/>
          <w:rtl/>
        </w:rPr>
        <w:t xml:space="preserve">ة </w:t>
      </w:r>
      <w:r w:rsidR="003927DE" w:rsidRPr="00FD211F">
        <w:rPr>
          <w:sz w:val="36"/>
          <w:szCs w:val="36"/>
          <w:rtl/>
        </w:rPr>
        <w:t>فلم تحرم عليه كأنها أرضعت ابنته</w:t>
      </w:r>
      <w:r w:rsidR="009C58C8" w:rsidRPr="00FD211F">
        <w:rPr>
          <w:rStyle w:val="a6"/>
          <w:sz w:val="36"/>
          <w:szCs w:val="36"/>
          <w:rtl/>
        </w:rPr>
        <w:t>(</w:t>
      </w:r>
      <w:r w:rsidR="009C58C8" w:rsidRPr="00FD211F">
        <w:rPr>
          <w:rStyle w:val="a6"/>
          <w:sz w:val="36"/>
          <w:szCs w:val="36"/>
          <w:rtl/>
        </w:rPr>
        <w:footnoteReference w:id="497"/>
      </w:r>
      <w:r w:rsidR="009C58C8" w:rsidRPr="00FD211F">
        <w:rPr>
          <w:rStyle w:val="a6"/>
          <w:sz w:val="36"/>
          <w:szCs w:val="36"/>
          <w:rtl/>
        </w:rPr>
        <w:t>)</w:t>
      </w:r>
      <w:r w:rsidR="00335F30" w:rsidRPr="00FD211F">
        <w:rPr>
          <w:sz w:val="36"/>
          <w:szCs w:val="36"/>
          <w:rtl/>
        </w:rPr>
        <w:t>.</w:t>
      </w:r>
    </w:p>
    <w:p w14:paraId="4CBD32BD" w14:textId="77777777" w:rsidR="00335F30" w:rsidRPr="00FD211F" w:rsidRDefault="003927DE" w:rsidP="009C58C8">
      <w:pPr>
        <w:ind w:left="0" w:firstLine="227"/>
        <w:jc w:val="both"/>
        <w:rPr>
          <w:sz w:val="36"/>
          <w:szCs w:val="36"/>
          <w:rtl/>
        </w:rPr>
      </w:pPr>
      <w:r w:rsidRPr="00FD211F">
        <w:rPr>
          <w:sz w:val="36"/>
          <w:szCs w:val="36"/>
          <w:rtl/>
        </w:rPr>
        <w:t xml:space="preserve">وقد </w:t>
      </w:r>
      <w:r w:rsidR="0079145C" w:rsidRPr="00FD211F">
        <w:rPr>
          <w:sz w:val="36"/>
          <w:szCs w:val="36"/>
          <w:rtl/>
        </w:rPr>
        <w:t xml:space="preserve">حكم الشهيد الثاني </w:t>
      </w:r>
      <w:r w:rsidR="00C974A1" w:rsidRPr="00FD211F">
        <w:rPr>
          <w:sz w:val="36"/>
          <w:szCs w:val="36"/>
          <w:rtl/>
        </w:rPr>
        <w:t>"ره "</w:t>
      </w:r>
      <w:r w:rsidR="0079145C" w:rsidRPr="00FD211F">
        <w:rPr>
          <w:sz w:val="36"/>
          <w:szCs w:val="36"/>
          <w:rtl/>
        </w:rPr>
        <w:t>في المسالك بضعف</w:t>
      </w:r>
      <w:r w:rsidRPr="00FD211F">
        <w:rPr>
          <w:sz w:val="36"/>
          <w:szCs w:val="36"/>
          <w:rtl/>
        </w:rPr>
        <w:t xml:space="preserve"> سندها</w:t>
      </w:r>
      <w:r w:rsidR="00B253CE" w:rsidRPr="00FD211F">
        <w:rPr>
          <w:sz w:val="36"/>
          <w:szCs w:val="36"/>
          <w:rtl/>
        </w:rPr>
        <w:t xml:space="preserve"> </w:t>
      </w:r>
      <w:r w:rsidR="0079145C" w:rsidRPr="00FD211F">
        <w:rPr>
          <w:sz w:val="36"/>
          <w:szCs w:val="36"/>
          <w:rtl/>
        </w:rPr>
        <w:t>لأجل</w:t>
      </w:r>
      <w:r w:rsidRPr="00FD211F">
        <w:rPr>
          <w:sz w:val="36"/>
          <w:szCs w:val="36"/>
          <w:rtl/>
        </w:rPr>
        <w:t xml:space="preserve"> جهال</w:t>
      </w:r>
      <w:r w:rsidR="00EC7EDF" w:rsidRPr="00FD211F">
        <w:rPr>
          <w:sz w:val="36"/>
          <w:szCs w:val="36"/>
          <w:rtl/>
        </w:rPr>
        <w:t xml:space="preserve">ة </w:t>
      </w:r>
      <w:r w:rsidRPr="00FD211F">
        <w:rPr>
          <w:sz w:val="36"/>
          <w:szCs w:val="36"/>
          <w:rtl/>
        </w:rPr>
        <w:t>صالح بن ابي حماد</w:t>
      </w:r>
      <w:r w:rsidR="00603323" w:rsidRPr="00FD211F">
        <w:rPr>
          <w:sz w:val="36"/>
          <w:szCs w:val="36"/>
          <w:rtl/>
        </w:rPr>
        <w:t xml:space="preserve">، </w:t>
      </w:r>
      <w:r w:rsidR="00E867EE" w:rsidRPr="00FD211F">
        <w:rPr>
          <w:sz w:val="36"/>
          <w:szCs w:val="36"/>
          <w:rtl/>
        </w:rPr>
        <w:t>و</w:t>
      </w:r>
      <w:r w:rsidR="0079145C" w:rsidRPr="00FD211F">
        <w:rPr>
          <w:sz w:val="36"/>
          <w:szCs w:val="36"/>
          <w:rtl/>
        </w:rPr>
        <w:t>لأجل ان ظاهر اطلاق ابي جعفر هو الباقر</w:t>
      </w:r>
      <w:r w:rsidR="003740AB" w:rsidRPr="00FD211F">
        <w:rPr>
          <w:sz w:val="36"/>
          <w:szCs w:val="36"/>
          <w:rtl/>
        </w:rPr>
        <w:t>(عليه‌السلام)</w:t>
      </w:r>
      <w:r w:rsidR="00C7588D" w:rsidRPr="00FD211F">
        <w:rPr>
          <w:sz w:val="36"/>
          <w:szCs w:val="36"/>
          <w:rtl/>
        </w:rPr>
        <w:t xml:space="preserve"> </w:t>
      </w:r>
      <w:r w:rsidR="0079145C" w:rsidRPr="00FD211F">
        <w:rPr>
          <w:sz w:val="36"/>
          <w:szCs w:val="36"/>
          <w:rtl/>
        </w:rPr>
        <w:t>ويؤيد ارادته في المقام ذكر قول ابن شبرم</w:t>
      </w:r>
      <w:r w:rsidR="00EC7EDF" w:rsidRPr="00FD211F">
        <w:rPr>
          <w:sz w:val="36"/>
          <w:szCs w:val="36"/>
          <w:rtl/>
        </w:rPr>
        <w:t xml:space="preserve">ة </w:t>
      </w:r>
      <w:r w:rsidR="0079145C" w:rsidRPr="00FD211F">
        <w:rPr>
          <w:sz w:val="36"/>
          <w:szCs w:val="36"/>
          <w:rtl/>
        </w:rPr>
        <w:t>في الحديث</w:t>
      </w:r>
      <w:r w:rsidR="00603323" w:rsidRPr="00FD211F">
        <w:rPr>
          <w:sz w:val="36"/>
          <w:szCs w:val="36"/>
          <w:rtl/>
        </w:rPr>
        <w:t xml:space="preserve">، </w:t>
      </w:r>
      <w:r w:rsidR="0079145C" w:rsidRPr="00FD211F">
        <w:rPr>
          <w:sz w:val="36"/>
          <w:szCs w:val="36"/>
          <w:rtl/>
        </w:rPr>
        <w:t xml:space="preserve">فانه كان معاصرا له </w:t>
      </w:r>
      <w:r w:rsidR="007A4A0D" w:rsidRPr="00FD211F">
        <w:rPr>
          <w:sz w:val="36"/>
          <w:szCs w:val="36"/>
          <w:rtl/>
        </w:rPr>
        <w:t>(عليه‌السلام)</w:t>
      </w:r>
      <w:r w:rsidR="0079145C" w:rsidRPr="00FD211F">
        <w:rPr>
          <w:sz w:val="36"/>
          <w:szCs w:val="36"/>
          <w:rtl/>
        </w:rPr>
        <w:t xml:space="preserve"> وابن مهزيار كان معاصرا لابي جعفر الثاني الامام الجواد </w:t>
      </w:r>
      <w:r w:rsidR="007A4A0D" w:rsidRPr="00FD211F">
        <w:rPr>
          <w:sz w:val="36"/>
          <w:szCs w:val="36"/>
          <w:rtl/>
        </w:rPr>
        <w:t>(عليه‌السلام)</w:t>
      </w:r>
      <w:r w:rsidR="0079145C" w:rsidRPr="00FD211F">
        <w:rPr>
          <w:sz w:val="36"/>
          <w:szCs w:val="36"/>
          <w:rtl/>
        </w:rPr>
        <w:t xml:space="preserve"> فيكون الحديث مرفوعا</w:t>
      </w:r>
      <w:r w:rsidR="009C58C8" w:rsidRPr="00FD211F">
        <w:rPr>
          <w:rStyle w:val="a6"/>
          <w:sz w:val="36"/>
          <w:szCs w:val="36"/>
          <w:rtl/>
        </w:rPr>
        <w:t>(</w:t>
      </w:r>
      <w:r w:rsidR="009C58C8" w:rsidRPr="00FD211F">
        <w:rPr>
          <w:rStyle w:val="a6"/>
          <w:sz w:val="36"/>
          <w:szCs w:val="36"/>
          <w:rtl/>
        </w:rPr>
        <w:footnoteReference w:id="498"/>
      </w:r>
      <w:r w:rsidR="009C58C8" w:rsidRPr="00FD211F">
        <w:rPr>
          <w:rStyle w:val="a6"/>
          <w:sz w:val="36"/>
          <w:szCs w:val="36"/>
          <w:rtl/>
        </w:rPr>
        <w:t>)</w:t>
      </w:r>
      <w:r w:rsidR="00335F30" w:rsidRPr="00FD211F">
        <w:rPr>
          <w:sz w:val="36"/>
          <w:szCs w:val="36"/>
          <w:rtl/>
        </w:rPr>
        <w:t>.</w:t>
      </w:r>
    </w:p>
    <w:p w14:paraId="11504CD6" w14:textId="77777777" w:rsidR="0079145C" w:rsidRPr="00FD211F" w:rsidRDefault="0079145C" w:rsidP="009C58C8">
      <w:pPr>
        <w:ind w:left="0" w:firstLine="227"/>
        <w:jc w:val="both"/>
        <w:rPr>
          <w:sz w:val="36"/>
          <w:szCs w:val="36"/>
          <w:rtl/>
        </w:rPr>
      </w:pPr>
      <w:r w:rsidRPr="00FD211F">
        <w:rPr>
          <w:sz w:val="36"/>
          <w:szCs w:val="36"/>
          <w:rtl/>
        </w:rPr>
        <w:t>وقد يحاول اثبات وثاق</w:t>
      </w:r>
      <w:r w:rsidR="00EC7EDF" w:rsidRPr="00FD211F">
        <w:rPr>
          <w:sz w:val="36"/>
          <w:szCs w:val="36"/>
          <w:rtl/>
        </w:rPr>
        <w:t xml:space="preserve">ة </w:t>
      </w:r>
      <w:r w:rsidRPr="00FD211F">
        <w:rPr>
          <w:sz w:val="36"/>
          <w:szCs w:val="36"/>
          <w:rtl/>
        </w:rPr>
        <w:t>صالح بن ابي حماد بعد</w:t>
      </w:r>
      <w:r w:rsidR="00EC7EDF" w:rsidRPr="00FD211F">
        <w:rPr>
          <w:sz w:val="36"/>
          <w:szCs w:val="36"/>
          <w:rtl/>
        </w:rPr>
        <w:t xml:space="preserve">ة </w:t>
      </w:r>
      <w:r w:rsidRPr="00FD211F">
        <w:rPr>
          <w:sz w:val="36"/>
          <w:szCs w:val="36"/>
          <w:rtl/>
        </w:rPr>
        <w:t>وجوه:</w:t>
      </w:r>
    </w:p>
    <w:p w14:paraId="50A06EDB" w14:textId="77777777" w:rsidR="00335F30" w:rsidRPr="00FD211F" w:rsidRDefault="0079145C" w:rsidP="009C58C8">
      <w:pPr>
        <w:ind w:left="0" w:firstLine="227"/>
        <w:jc w:val="both"/>
        <w:rPr>
          <w:sz w:val="36"/>
          <w:szCs w:val="36"/>
          <w:rtl/>
        </w:rPr>
      </w:pPr>
      <w:r w:rsidRPr="00FD211F">
        <w:rPr>
          <w:sz w:val="36"/>
          <w:szCs w:val="36"/>
          <w:rtl/>
        </w:rPr>
        <w:t>1- ما نقله</w:t>
      </w:r>
      <w:r w:rsidR="00097312" w:rsidRPr="00FD211F">
        <w:rPr>
          <w:sz w:val="36"/>
          <w:szCs w:val="36"/>
          <w:rtl/>
        </w:rPr>
        <w:t xml:space="preserve"> الكشي عن</w:t>
      </w:r>
      <w:r w:rsidR="00B253CE" w:rsidRPr="00FD211F">
        <w:rPr>
          <w:sz w:val="36"/>
          <w:szCs w:val="36"/>
          <w:rtl/>
        </w:rPr>
        <w:t xml:space="preserve"> </w:t>
      </w:r>
      <w:r w:rsidR="00DC2912" w:rsidRPr="00FD211F">
        <w:rPr>
          <w:sz w:val="36"/>
          <w:szCs w:val="36"/>
          <w:rtl/>
        </w:rPr>
        <w:t>علي بن محمد</w:t>
      </w:r>
      <w:r w:rsidR="003927DE" w:rsidRPr="00FD211F">
        <w:rPr>
          <w:sz w:val="36"/>
          <w:szCs w:val="36"/>
          <w:rtl/>
        </w:rPr>
        <w:t xml:space="preserve"> بن قتيب</w:t>
      </w:r>
      <w:r w:rsidR="00EC7EDF" w:rsidRPr="00FD211F">
        <w:rPr>
          <w:sz w:val="36"/>
          <w:szCs w:val="36"/>
          <w:rtl/>
        </w:rPr>
        <w:t xml:space="preserve">ة </w:t>
      </w:r>
      <w:r w:rsidR="003927DE" w:rsidRPr="00FD211F">
        <w:rPr>
          <w:sz w:val="36"/>
          <w:szCs w:val="36"/>
          <w:rtl/>
        </w:rPr>
        <w:t>عن الفضل بن شاذان انه كان يرتضيه ويمدحه</w:t>
      </w:r>
      <w:r w:rsidR="004A3C81" w:rsidRPr="00FD211F">
        <w:rPr>
          <w:sz w:val="36"/>
          <w:szCs w:val="36"/>
          <w:rtl/>
        </w:rPr>
        <w:t xml:space="preserve"> ويقول هو ابو الخير كما كني</w:t>
      </w:r>
      <w:r w:rsidR="009C58C8" w:rsidRPr="00FD211F">
        <w:rPr>
          <w:rStyle w:val="a6"/>
          <w:sz w:val="36"/>
          <w:szCs w:val="36"/>
          <w:rtl/>
        </w:rPr>
        <w:t>(</w:t>
      </w:r>
      <w:r w:rsidR="009C58C8" w:rsidRPr="00FD211F">
        <w:rPr>
          <w:rStyle w:val="a6"/>
          <w:sz w:val="36"/>
          <w:szCs w:val="36"/>
          <w:rtl/>
        </w:rPr>
        <w:footnoteReference w:id="499"/>
      </w:r>
      <w:r w:rsidR="009C58C8" w:rsidRPr="00FD211F">
        <w:rPr>
          <w:rStyle w:val="a6"/>
          <w:sz w:val="36"/>
          <w:szCs w:val="36"/>
          <w:rtl/>
        </w:rPr>
        <w:t>)</w:t>
      </w:r>
      <w:r w:rsidR="00335F30" w:rsidRPr="00FD211F">
        <w:rPr>
          <w:sz w:val="36"/>
          <w:szCs w:val="36"/>
          <w:rtl/>
        </w:rPr>
        <w:t>.</w:t>
      </w:r>
    </w:p>
    <w:p w14:paraId="35C99B7B" w14:textId="77777777" w:rsidR="000C5BBA" w:rsidRPr="00FD211F" w:rsidRDefault="00C020C1" w:rsidP="009C58C8">
      <w:pPr>
        <w:ind w:left="0" w:firstLine="227"/>
        <w:jc w:val="both"/>
        <w:rPr>
          <w:sz w:val="36"/>
          <w:szCs w:val="36"/>
          <w:rtl/>
        </w:rPr>
      </w:pPr>
      <w:r w:rsidRPr="00FD211F">
        <w:rPr>
          <w:sz w:val="36"/>
          <w:szCs w:val="36"/>
          <w:rtl/>
        </w:rPr>
        <w:t>وهذايبتني على اثبات وثاق</w:t>
      </w:r>
      <w:r w:rsidR="00EC7EDF" w:rsidRPr="00FD211F">
        <w:rPr>
          <w:sz w:val="36"/>
          <w:szCs w:val="36"/>
          <w:rtl/>
        </w:rPr>
        <w:t xml:space="preserve">ة </w:t>
      </w:r>
      <w:r w:rsidRPr="00FD211F">
        <w:rPr>
          <w:sz w:val="36"/>
          <w:szCs w:val="36"/>
          <w:rtl/>
        </w:rPr>
        <w:t>على بن محمد بن قتيب</w:t>
      </w:r>
      <w:r w:rsidR="00EC7EDF" w:rsidRPr="00FD211F">
        <w:rPr>
          <w:sz w:val="36"/>
          <w:szCs w:val="36"/>
          <w:rtl/>
        </w:rPr>
        <w:t xml:space="preserve">ة </w:t>
      </w:r>
      <w:r w:rsidRPr="00FD211F">
        <w:rPr>
          <w:sz w:val="36"/>
          <w:szCs w:val="36"/>
          <w:rtl/>
        </w:rPr>
        <w:t>وقديدعى حصول الاطمئنان بوثاقته حيث أن الصدوق "ره"نقل في كتاب الفقيه روايات كثير</w:t>
      </w:r>
      <w:r w:rsidR="00EC7EDF" w:rsidRPr="00FD211F">
        <w:rPr>
          <w:sz w:val="36"/>
          <w:szCs w:val="36"/>
          <w:rtl/>
        </w:rPr>
        <w:t xml:space="preserve">ة </w:t>
      </w:r>
      <w:r w:rsidRPr="00FD211F">
        <w:rPr>
          <w:sz w:val="36"/>
          <w:szCs w:val="36"/>
          <w:rtl/>
        </w:rPr>
        <w:t>عن عبدالواحد بن عبدوس عنه فل</w:t>
      </w:r>
      <w:r w:rsidR="009977FE" w:rsidRPr="00FD211F">
        <w:rPr>
          <w:sz w:val="36"/>
          <w:szCs w:val="36"/>
          <w:rtl/>
        </w:rPr>
        <w:t>و</w:t>
      </w:r>
      <w:r w:rsidR="008D7B3D" w:rsidRPr="00FD211F">
        <w:rPr>
          <w:sz w:val="36"/>
          <w:szCs w:val="36"/>
          <w:rtl/>
        </w:rPr>
        <w:t xml:space="preserve"> لم‌</w:t>
      </w:r>
      <w:r w:rsidRPr="00FD211F">
        <w:rPr>
          <w:sz w:val="36"/>
          <w:szCs w:val="36"/>
          <w:rtl/>
        </w:rPr>
        <w:t>يكن موثوقابه عند</w:t>
      </w:r>
      <w:r w:rsidR="004A3C81" w:rsidRPr="00FD211F">
        <w:rPr>
          <w:sz w:val="36"/>
          <w:szCs w:val="36"/>
          <w:rtl/>
        </w:rPr>
        <w:t xml:space="preserve"> </w:t>
      </w:r>
      <w:r w:rsidR="001519DB" w:rsidRPr="00FD211F">
        <w:rPr>
          <w:sz w:val="36"/>
          <w:szCs w:val="36"/>
          <w:rtl/>
        </w:rPr>
        <w:t>الصدوق ا</w:t>
      </w:r>
      <w:r w:rsidR="009977FE" w:rsidRPr="00FD211F">
        <w:rPr>
          <w:sz w:val="36"/>
          <w:szCs w:val="36"/>
          <w:rtl/>
        </w:rPr>
        <w:t>و</w:t>
      </w:r>
      <w:r w:rsidR="008D7B3D" w:rsidRPr="00FD211F">
        <w:rPr>
          <w:sz w:val="36"/>
          <w:szCs w:val="36"/>
          <w:rtl/>
        </w:rPr>
        <w:t xml:space="preserve"> لم‌</w:t>
      </w:r>
      <w:r w:rsidR="001519DB" w:rsidRPr="00FD211F">
        <w:rPr>
          <w:sz w:val="36"/>
          <w:szCs w:val="36"/>
          <w:rtl/>
        </w:rPr>
        <w:t xml:space="preserve">يثبت عنده حسن ظاهره </w:t>
      </w:r>
      <w:r w:rsidRPr="00FD211F">
        <w:rPr>
          <w:sz w:val="36"/>
          <w:szCs w:val="36"/>
          <w:rtl/>
        </w:rPr>
        <w:t>الكاشف عن عدالته لما</w:t>
      </w:r>
      <w:r w:rsidR="004A3C81" w:rsidRPr="00FD211F">
        <w:rPr>
          <w:sz w:val="36"/>
          <w:szCs w:val="36"/>
          <w:rtl/>
        </w:rPr>
        <w:t xml:space="preserve"> </w:t>
      </w:r>
      <w:r w:rsidRPr="00FD211F">
        <w:rPr>
          <w:sz w:val="36"/>
          <w:szCs w:val="36"/>
          <w:rtl/>
        </w:rPr>
        <w:t>اكثر</w:t>
      </w:r>
      <w:r w:rsidR="004A3C81" w:rsidRPr="00FD211F">
        <w:rPr>
          <w:sz w:val="36"/>
          <w:szCs w:val="36"/>
          <w:rtl/>
        </w:rPr>
        <w:t xml:space="preserve"> </w:t>
      </w:r>
      <w:r w:rsidRPr="00FD211F">
        <w:rPr>
          <w:sz w:val="36"/>
          <w:szCs w:val="36"/>
          <w:rtl/>
        </w:rPr>
        <w:t xml:space="preserve">النقل عنه في كتاب التزم </w:t>
      </w:r>
      <w:r w:rsidR="001519DB" w:rsidRPr="00FD211F">
        <w:rPr>
          <w:sz w:val="36"/>
          <w:szCs w:val="36"/>
          <w:rtl/>
        </w:rPr>
        <w:t>أن لايروي فيه الا</w:t>
      </w:r>
      <w:r w:rsidR="004A3C81" w:rsidRPr="00FD211F">
        <w:rPr>
          <w:sz w:val="36"/>
          <w:szCs w:val="36"/>
          <w:rtl/>
        </w:rPr>
        <w:t xml:space="preserve"> </w:t>
      </w:r>
      <w:r w:rsidR="001519DB" w:rsidRPr="00FD211F">
        <w:rPr>
          <w:sz w:val="36"/>
          <w:szCs w:val="36"/>
          <w:rtl/>
        </w:rPr>
        <w:t>ما</w:t>
      </w:r>
      <w:r w:rsidR="004A3C81" w:rsidRPr="00FD211F">
        <w:rPr>
          <w:sz w:val="36"/>
          <w:szCs w:val="36"/>
          <w:rtl/>
        </w:rPr>
        <w:t xml:space="preserve"> </w:t>
      </w:r>
      <w:r w:rsidR="001519DB" w:rsidRPr="00FD211F">
        <w:rPr>
          <w:sz w:val="36"/>
          <w:szCs w:val="36"/>
          <w:rtl/>
        </w:rPr>
        <w:t>كان حج</w:t>
      </w:r>
      <w:r w:rsidR="00EC7EDF" w:rsidRPr="00FD211F">
        <w:rPr>
          <w:sz w:val="36"/>
          <w:szCs w:val="36"/>
          <w:rtl/>
        </w:rPr>
        <w:t xml:space="preserve">ة </w:t>
      </w:r>
      <w:r w:rsidR="001519DB" w:rsidRPr="00FD211F">
        <w:rPr>
          <w:sz w:val="36"/>
          <w:szCs w:val="36"/>
          <w:rtl/>
        </w:rPr>
        <w:t>بينه وبين ربه</w:t>
      </w:r>
      <w:r w:rsidR="00EC7EDF" w:rsidRPr="00FD211F">
        <w:rPr>
          <w:sz w:val="36"/>
          <w:szCs w:val="36"/>
          <w:rtl/>
        </w:rPr>
        <w:t>.</w:t>
      </w:r>
    </w:p>
    <w:p w14:paraId="125E81F2" w14:textId="77777777" w:rsidR="001519DB" w:rsidRPr="00FD211F" w:rsidRDefault="00C020C1" w:rsidP="009C58C8">
      <w:pPr>
        <w:ind w:left="0" w:firstLine="227"/>
        <w:jc w:val="both"/>
        <w:rPr>
          <w:sz w:val="36"/>
          <w:szCs w:val="36"/>
          <w:rtl/>
        </w:rPr>
      </w:pPr>
      <w:r w:rsidRPr="00FD211F">
        <w:rPr>
          <w:sz w:val="36"/>
          <w:szCs w:val="36"/>
          <w:rtl/>
        </w:rPr>
        <w:t xml:space="preserve">فان حصل الاطمئنان </w:t>
      </w:r>
      <w:r w:rsidR="00585E21" w:rsidRPr="00FD211F">
        <w:rPr>
          <w:sz w:val="36"/>
          <w:szCs w:val="36"/>
          <w:rtl/>
        </w:rPr>
        <w:t>بوثاق</w:t>
      </w:r>
      <w:r w:rsidR="00EC7EDF" w:rsidRPr="00FD211F">
        <w:rPr>
          <w:sz w:val="36"/>
          <w:szCs w:val="36"/>
          <w:rtl/>
        </w:rPr>
        <w:t xml:space="preserve">ة </w:t>
      </w:r>
      <w:r w:rsidR="00585E21" w:rsidRPr="00FD211F">
        <w:rPr>
          <w:sz w:val="36"/>
          <w:szCs w:val="36"/>
          <w:rtl/>
        </w:rPr>
        <w:t>ابن قتيب</w:t>
      </w:r>
      <w:r w:rsidR="00EC7EDF" w:rsidRPr="00FD211F">
        <w:rPr>
          <w:sz w:val="36"/>
          <w:szCs w:val="36"/>
          <w:rtl/>
        </w:rPr>
        <w:t xml:space="preserve">ة </w:t>
      </w:r>
      <w:r w:rsidR="00585E21" w:rsidRPr="00FD211F">
        <w:rPr>
          <w:sz w:val="36"/>
          <w:szCs w:val="36"/>
          <w:rtl/>
        </w:rPr>
        <w:t xml:space="preserve">من خلال </w:t>
      </w:r>
      <w:r w:rsidRPr="00FD211F">
        <w:rPr>
          <w:sz w:val="36"/>
          <w:szCs w:val="36"/>
          <w:rtl/>
        </w:rPr>
        <w:t>ذلك فهو</w:t>
      </w:r>
      <w:r w:rsidR="00603323" w:rsidRPr="00FD211F">
        <w:rPr>
          <w:sz w:val="36"/>
          <w:szCs w:val="36"/>
          <w:rtl/>
        </w:rPr>
        <w:t xml:space="preserve">، </w:t>
      </w:r>
      <w:r w:rsidRPr="00FD211F">
        <w:rPr>
          <w:sz w:val="36"/>
          <w:szCs w:val="36"/>
          <w:rtl/>
        </w:rPr>
        <w:t>والافلايجدي تصحيح العلام</w:t>
      </w:r>
      <w:r w:rsidR="00EC7EDF" w:rsidRPr="00FD211F">
        <w:rPr>
          <w:sz w:val="36"/>
          <w:szCs w:val="36"/>
          <w:rtl/>
        </w:rPr>
        <w:t xml:space="preserve">ة </w:t>
      </w:r>
      <w:r w:rsidRPr="00FD211F">
        <w:rPr>
          <w:sz w:val="36"/>
          <w:szCs w:val="36"/>
          <w:rtl/>
        </w:rPr>
        <w:t>الحلي "ره"له لعدم جريان أصال</w:t>
      </w:r>
      <w:r w:rsidR="00EC7EDF" w:rsidRPr="00FD211F">
        <w:rPr>
          <w:sz w:val="36"/>
          <w:szCs w:val="36"/>
          <w:rtl/>
        </w:rPr>
        <w:t xml:space="preserve">ة </w:t>
      </w:r>
      <w:r w:rsidRPr="00FD211F">
        <w:rPr>
          <w:sz w:val="36"/>
          <w:szCs w:val="36"/>
          <w:rtl/>
        </w:rPr>
        <w:t>الحس في شهادته</w:t>
      </w:r>
      <w:r w:rsidR="00603323" w:rsidRPr="00FD211F">
        <w:rPr>
          <w:sz w:val="36"/>
          <w:szCs w:val="36"/>
          <w:rtl/>
        </w:rPr>
        <w:t xml:space="preserve">، </w:t>
      </w:r>
      <w:r w:rsidRPr="00FD211F">
        <w:rPr>
          <w:sz w:val="36"/>
          <w:szCs w:val="36"/>
          <w:rtl/>
        </w:rPr>
        <w:t>واما</w:t>
      </w:r>
      <w:r w:rsidR="0075004A" w:rsidRPr="00FD211F">
        <w:rPr>
          <w:sz w:val="36"/>
          <w:szCs w:val="36"/>
          <w:rtl/>
        </w:rPr>
        <w:t xml:space="preserve"> </w:t>
      </w:r>
      <w:r w:rsidRPr="00FD211F">
        <w:rPr>
          <w:sz w:val="36"/>
          <w:szCs w:val="36"/>
          <w:rtl/>
        </w:rPr>
        <w:t>اتباع رأيه من باب الرجوع الي الخبر</w:t>
      </w:r>
      <w:r w:rsidR="00EC7EDF" w:rsidRPr="00FD211F">
        <w:rPr>
          <w:sz w:val="36"/>
          <w:szCs w:val="36"/>
          <w:rtl/>
        </w:rPr>
        <w:t xml:space="preserve">ة </w:t>
      </w:r>
      <w:r w:rsidR="0075004A" w:rsidRPr="00FD211F">
        <w:rPr>
          <w:sz w:val="36"/>
          <w:szCs w:val="36"/>
          <w:rtl/>
        </w:rPr>
        <w:t xml:space="preserve">فيتوقف على حصول </w:t>
      </w:r>
      <w:r w:rsidRPr="00FD211F">
        <w:rPr>
          <w:sz w:val="36"/>
          <w:szCs w:val="36"/>
          <w:rtl/>
        </w:rPr>
        <w:t>مقدمات الاستنباط في هذا</w:t>
      </w:r>
      <w:r w:rsidR="0075004A" w:rsidRPr="00FD211F">
        <w:rPr>
          <w:sz w:val="36"/>
          <w:szCs w:val="36"/>
          <w:rtl/>
        </w:rPr>
        <w:t xml:space="preserve"> </w:t>
      </w:r>
      <w:r w:rsidRPr="00FD211F">
        <w:rPr>
          <w:sz w:val="36"/>
          <w:szCs w:val="36"/>
          <w:rtl/>
        </w:rPr>
        <w:t>المجال</w:t>
      </w:r>
      <w:r w:rsidR="0075004A" w:rsidRPr="00FD211F">
        <w:rPr>
          <w:sz w:val="36"/>
          <w:szCs w:val="36"/>
          <w:rtl/>
        </w:rPr>
        <w:t xml:space="preserve"> عنده </w:t>
      </w:r>
      <w:r w:rsidRPr="00FD211F">
        <w:rPr>
          <w:sz w:val="36"/>
          <w:szCs w:val="36"/>
          <w:rtl/>
        </w:rPr>
        <w:t xml:space="preserve">وعدم </w:t>
      </w:r>
      <w:r w:rsidR="0075004A" w:rsidRPr="00FD211F">
        <w:rPr>
          <w:sz w:val="36"/>
          <w:szCs w:val="36"/>
          <w:rtl/>
        </w:rPr>
        <w:t>حصول</w:t>
      </w:r>
      <w:r w:rsidRPr="00FD211F">
        <w:rPr>
          <w:sz w:val="36"/>
          <w:szCs w:val="36"/>
          <w:rtl/>
        </w:rPr>
        <w:t>ها</w:t>
      </w:r>
      <w:r w:rsidR="00585E21" w:rsidRPr="00FD211F">
        <w:rPr>
          <w:sz w:val="36"/>
          <w:szCs w:val="36"/>
          <w:rtl/>
        </w:rPr>
        <w:t xml:space="preserve"> </w:t>
      </w:r>
      <w:r w:rsidRPr="00FD211F">
        <w:rPr>
          <w:sz w:val="36"/>
          <w:szCs w:val="36"/>
          <w:rtl/>
        </w:rPr>
        <w:t>لنا</w:t>
      </w:r>
      <w:r w:rsidR="00603323" w:rsidRPr="00FD211F">
        <w:rPr>
          <w:sz w:val="36"/>
          <w:szCs w:val="36"/>
          <w:rtl/>
        </w:rPr>
        <w:t xml:space="preserve">، </w:t>
      </w:r>
      <w:r w:rsidRPr="00FD211F">
        <w:rPr>
          <w:sz w:val="36"/>
          <w:szCs w:val="36"/>
          <w:rtl/>
        </w:rPr>
        <w:t xml:space="preserve">ولكنه ليس كذلك </w:t>
      </w:r>
      <w:r w:rsidR="0075004A" w:rsidRPr="00FD211F">
        <w:rPr>
          <w:sz w:val="36"/>
          <w:szCs w:val="36"/>
          <w:rtl/>
        </w:rPr>
        <w:t>(</w:t>
      </w:r>
      <w:r w:rsidRPr="00FD211F">
        <w:rPr>
          <w:sz w:val="36"/>
          <w:szCs w:val="36"/>
          <w:rtl/>
        </w:rPr>
        <w:t>فيختلف عن توثيقات امثال النجاشي والشيخ</w:t>
      </w:r>
      <w:r w:rsidR="0075004A" w:rsidRPr="00FD211F">
        <w:rPr>
          <w:sz w:val="36"/>
          <w:szCs w:val="36"/>
          <w:rtl/>
        </w:rPr>
        <w:t xml:space="preserve"> الطوسي </w:t>
      </w:r>
      <w:r w:rsidR="00585E21" w:rsidRPr="00FD211F">
        <w:rPr>
          <w:sz w:val="36"/>
          <w:szCs w:val="36"/>
          <w:rtl/>
        </w:rPr>
        <w:t>"ره "</w:t>
      </w:r>
      <w:r w:rsidRPr="00FD211F">
        <w:rPr>
          <w:sz w:val="36"/>
          <w:szCs w:val="36"/>
          <w:rtl/>
        </w:rPr>
        <w:t xml:space="preserve"> لقرب عهدهم بالروا</w:t>
      </w:r>
      <w:r w:rsidR="00EC7EDF" w:rsidRPr="00FD211F">
        <w:rPr>
          <w:sz w:val="36"/>
          <w:szCs w:val="36"/>
          <w:rtl/>
        </w:rPr>
        <w:t xml:space="preserve">ة </w:t>
      </w:r>
      <w:r w:rsidRPr="00FD211F">
        <w:rPr>
          <w:sz w:val="36"/>
          <w:szCs w:val="36"/>
          <w:rtl/>
        </w:rPr>
        <w:t>ووجدانهم لمنابع الاستنباط في هذا</w:t>
      </w:r>
      <w:r w:rsidR="0075004A" w:rsidRPr="00FD211F">
        <w:rPr>
          <w:sz w:val="36"/>
          <w:szCs w:val="36"/>
          <w:rtl/>
        </w:rPr>
        <w:t xml:space="preserve"> </w:t>
      </w:r>
      <w:r w:rsidRPr="00FD211F">
        <w:rPr>
          <w:sz w:val="36"/>
          <w:szCs w:val="36"/>
          <w:rtl/>
        </w:rPr>
        <w:t>المجال</w:t>
      </w:r>
      <w:r w:rsidR="00603323" w:rsidRPr="00FD211F">
        <w:rPr>
          <w:sz w:val="36"/>
          <w:szCs w:val="36"/>
          <w:rtl/>
        </w:rPr>
        <w:t xml:space="preserve">، </w:t>
      </w:r>
      <w:r w:rsidR="00585E21" w:rsidRPr="00FD211F">
        <w:rPr>
          <w:sz w:val="36"/>
          <w:szCs w:val="36"/>
          <w:rtl/>
        </w:rPr>
        <w:t>فيجوز الاعتماد عليها من باب الرجوع الى الخبر</w:t>
      </w:r>
      <w:r w:rsidR="00EC7EDF" w:rsidRPr="00FD211F">
        <w:rPr>
          <w:sz w:val="36"/>
          <w:szCs w:val="36"/>
          <w:rtl/>
        </w:rPr>
        <w:t xml:space="preserve">ة </w:t>
      </w:r>
      <w:r w:rsidR="00585E21" w:rsidRPr="00FD211F">
        <w:rPr>
          <w:sz w:val="36"/>
          <w:szCs w:val="36"/>
          <w:rtl/>
        </w:rPr>
        <w:t>وان فرض عدم جريان أصال</w:t>
      </w:r>
      <w:r w:rsidR="00EC7EDF" w:rsidRPr="00FD211F">
        <w:rPr>
          <w:sz w:val="36"/>
          <w:szCs w:val="36"/>
          <w:rtl/>
        </w:rPr>
        <w:t xml:space="preserve">ة </w:t>
      </w:r>
      <w:r w:rsidR="00585E21" w:rsidRPr="00FD211F">
        <w:rPr>
          <w:sz w:val="36"/>
          <w:szCs w:val="36"/>
          <w:rtl/>
        </w:rPr>
        <w:t>الحس بالنسب</w:t>
      </w:r>
      <w:r w:rsidR="00EC7EDF" w:rsidRPr="00FD211F">
        <w:rPr>
          <w:sz w:val="36"/>
          <w:szCs w:val="36"/>
          <w:rtl/>
        </w:rPr>
        <w:t xml:space="preserve">ة </w:t>
      </w:r>
      <w:r w:rsidR="00585E21" w:rsidRPr="00FD211F">
        <w:rPr>
          <w:sz w:val="36"/>
          <w:szCs w:val="36"/>
          <w:rtl/>
        </w:rPr>
        <w:t>الى ثوثيقاتهم</w:t>
      </w:r>
      <w:r w:rsidR="00B253CE" w:rsidRPr="00FD211F">
        <w:rPr>
          <w:sz w:val="36"/>
          <w:szCs w:val="36"/>
          <w:rtl/>
        </w:rPr>
        <w:t xml:space="preserve"> </w:t>
      </w:r>
      <w:r w:rsidR="00585E21" w:rsidRPr="00FD211F">
        <w:rPr>
          <w:sz w:val="36"/>
          <w:szCs w:val="36"/>
          <w:rtl/>
        </w:rPr>
        <w:t>ايضا</w:t>
      </w:r>
      <w:r w:rsidR="0075004A" w:rsidRPr="00FD211F">
        <w:rPr>
          <w:sz w:val="36"/>
          <w:szCs w:val="36"/>
          <w:rtl/>
        </w:rPr>
        <w:t>)</w:t>
      </w:r>
      <w:r w:rsidR="00C04DBB" w:rsidRPr="00FD211F">
        <w:rPr>
          <w:sz w:val="36"/>
          <w:szCs w:val="36"/>
          <w:rtl/>
        </w:rPr>
        <w:t>.</w:t>
      </w:r>
    </w:p>
    <w:p w14:paraId="4EABE699" w14:textId="77777777" w:rsidR="000C5BBA" w:rsidRPr="00FD211F" w:rsidRDefault="00C020C1" w:rsidP="009C58C8">
      <w:pPr>
        <w:ind w:left="0" w:firstLine="227"/>
        <w:jc w:val="both"/>
        <w:rPr>
          <w:sz w:val="36"/>
          <w:szCs w:val="36"/>
          <w:rtl/>
        </w:rPr>
      </w:pPr>
      <w:r w:rsidRPr="00FD211F">
        <w:rPr>
          <w:sz w:val="36"/>
          <w:szCs w:val="36"/>
          <w:rtl/>
        </w:rPr>
        <w:t>كما</w:t>
      </w:r>
      <w:r w:rsidR="00585E21" w:rsidRPr="00FD211F">
        <w:rPr>
          <w:sz w:val="36"/>
          <w:szCs w:val="36"/>
          <w:rtl/>
        </w:rPr>
        <w:t xml:space="preserve"> </w:t>
      </w:r>
      <w:r w:rsidRPr="00FD211F">
        <w:rPr>
          <w:sz w:val="36"/>
          <w:szCs w:val="36"/>
          <w:rtl/>
        </w:rPr>
        <w:t>لايجدي مانقله النجاشي من أن الكشي</w:t>
      </w:r>
      <w:r w:rsidR="00B253CE" w:rsidRPr="00FD211F">
        <w:rPr>
          <w:sz w:val="36"/>
          <w:szCs w:val="36"/>
          <w:rtl/>
        </w:rPr>
        <w:t xml:space="preserve"> </w:t>
      </w:r>
      <w:r w:rsidR="00585E21" w:rsidRPr="00FD211F">
        <w:rPr>
          <w:sz w:val="36"/>
          <w:szCs w:val="36"/>
          <w:rtl/>
        </w:rPr>
        <w:t>اعتمد</w:t>
      </w:r>
      <w:r w:rsidR="0075004A" w:rsidRPr="00FD211F">
        <w:rPr>
          <w:sz w:val="36"/>
          <w:szCs w:val="36"/>
          <w:rtl/>
        </w:rPr>
        <w:t xml:space="preserve"> </w:t>
      </w:r>
      <w:r w:rsidR="00585E21" w:rsidRPr="00FD211F">
        <w:rPr>
          <w:sz w:val="36"/>
          <w:szCs w:val="36"/>
          <w:rtl/>
        </w:rPr>
        <w:t>على ابن قتيبه</w:t>
      </w:r>
      <w:r w:rsidRPr="00FD211F">
        <w:rPr>
          <w:sz w:val="36"/>
          <w:szCs w:val="36"/>
          <w:rtl/>
        </w:rPr>
        <w:t xml:space="preserve"> في كتاب الرجال وذلك لأن اعتماد</w:t>
      </w:r>
      <w:r w:rsidR="0075004A" w:rsidRPr="00FD211F">
        <w:rPr>
          <w:sz w:val="36"/>
          <w:szCs w:val="36"/>
          <w:rtl/>
        </w:rPr>
        <w:t xml:space="preserve"> </w:t>
      </w:r>
      <w:r w:rsidRPr="00FD211F">
        <w:rPr>
          <w:sz w:val="36"/>
          <w:szCs w:val="36"/>
          <w:rtl/>
        </w:rPr>
        <w:t>الكشي لايعرف الامن خلال اكثاره الرواي</w:t>
      </w:r>
      <w:r w:rsidR="00EC7EDF" w:rsidRPr="00FD211F">
        <w:rPr>
          <w:sz w:val="36"/>
          <w:szCs w:val="36"/>
          <w:rtl/>
        </w:rPr>
        <w:t xml:space="preserve">ة </w:t>
      </w:r>
      <w:r w:rsidRPr="00FD211F">
        <w:rPr>
          <w:sz w:val="36"/>
          <w:szCs w:val="36"/>
          <w:rtl/>
        </w:rPr>
        <w:t>عن شخص والمفروض ان الكشي كان يروي عن الضعفاءكثيرا</w:t>
      </w:r>
      <w:r w:rsidR="0075004A" w:rsidRPr="00FD211F">
        <w:rPr>
          <w:sz w:val="36"/>
          <w:szCs w:val="36"/>
          <w:rtl/>
        </w:rPr>
        <w:t xml:space="preserve"> </w:t>
      </w:r>
      <w:r w:rsidRPr="00FD211F">
        <w:rPr>
          <w:sz w:val="36"/>
          <w:szCs w:val="36"/>
          <w:rtl/>
        </w:rPr>
        <w:t>فلايكشف ذلك عن توثيقه</w:t>
      </w:r>
      <w:r w:rsidR="00743CDE" w:rsidRPr="00FD211F">
        <w:rPr>
          <w:sz w:val="36"/>
          <w:szCs w:val="36"/>
          <w:rtl/>
        </w:rPr>
        <w:t>.</w:t>
      </w:r>
    </w:p>
    <w:p w14:paraId="33BA5293" w14:textId="77777777" w:rsidR="001519DB" w:rsidRPr="00FD211F" w:rsidRDefault="00C020C1" w:rsidP="009C58C8">
      <w:pPr>
        <w:ind w:left="0" w:firstLine="227"/>
        <w:jc w:val="both"/>
        <w:rPr>
          <w:sz w:val="36"/>
          <w:szCs w:val="36"/>
          <w:rtl/>
        </w:rPr>
      </w:pPr>
      <w:r w:rsidRPr="00FD211F">
        <w:rPr>
          <w:sz w:val="36"/>
          <w:szCs w:val="36"/>
          <w:rtl/>
        </w:rPr>
        <w:t xml:space="preserve">كمالايجدي ماذكره الصدوق في كتاب عيون أخبارالرضا </w:t>
      </w:r>
      <w:r w:rsidR="001519DB" w:rsidRPr="00FD211F">
        <w:rPr>
          <w:sz w:val="36"/>
          <w:szCs w:val="36"/>
          <w:rtl/>
        </w:rPr>
        <w:t>بعد</w:t>
      </w:r>
      <w:r w:rsidRPr="00FD211F">
        <w:rPr>
          <w:sz w:val="36"/>
          <w:szCs w:val="36"/>
          <w:rtl/>
        </w:rPr>
        <w:t>نقل ماكتبه الرضا</w:t>
      </w:r>
      <w:r w:rsidR="007A4A0D" w:rsidRPr="00FD211F">
        <w:rPr>
          <w:sz w:val="36"/>
          <w:szCs w:val="36"/>
          <w:rtl/>
        </w:rPr>
        <w:t>(عليه‌السلام)</w:t>
      </w:r>
      <w:r w:rsidRPr="00FD211F">
        <w:rPr>
          <w:sz w:val="36"/>
          <w:szCs w:val="36"/>
          <w:rtl/>
        </w:rPr>
        <w:t xml:space="preserve"> للمأمون في</w:t>
      </w:r>
      <w:r w:rsidR="00B253CE" w:rsidRPr="00FD211F">
        <w:rPr>
          <w:sz w:val="36"/>
          <w:szCs w:val="36"/>
          <w:rtl/>
        </w:rPr>
        <w:t xml:space="preserve"> </w:t>
      </w:r>
      <w:r w:rsidRPr="00FD211F">
        <w:rPr>
          <w:sz w:val="36"/>
          <w:szCs w:val="36"/>
          <w:rtl/>
        </w:rPr>
        <w:t>محض الاسلام وشرايع الدين من طريق عبدالواحدبن عبدوس عن علي بن محمد بن قتيب</w:t>
      </w:r>
      <w:r w:rsidR="00EC7EDF" w:rsidRPr="00FD211F">
        <w:rPr>
          <w:sz w:val="36"/>
          <w:szCs w:val="36"/>
          <w:rtl/>
        </w:rPr>
        <w:t xml:space="preserve">ة </w:t>
      </w:r>
      <w:r w:rsidRPr="00FD211F">
        <w:rPr>
          <w:sz w:val="36"/>
          <w:szCs w:val="36"/>
          <w:rtl/>
        </w:rPr>
        <w:t>عن الفضل بن شاذان عن الرضا</w:t>
      </w:r>
      <w:r w:rsidR="00603323" w:rsidRPr="00FD211F">
        <w:rPr>
          <w:sz w:val="36"/>
          <w:szCs w:val="36"/>
          <w:rtl/>
        </w:rPr>
        <w:t xml:space="preserve">، </w:t>
      </w:r>
      <w:r w:rsidR="001519DB" w:rsidRPr="00FD211F">
        <w:rPr>
          <w:sz w:val="36"/>
          <w:szCs w:val="36"/>
          <w:rtl/>
        </w:rPr>
        <w:t xml:space="preserve">حيث </w:t>
      </w:r>
      <w:r w:rsidRPr="00FD211F">
        <w:rPr>
          <w:sz w:val="36"/>
          <w:szCs w:val="36"/>
          <w:rtl/>
        </w:rPr>
        <w:t>ذكرطريقاآخرالى هذاالكتاب فقال</w:t>
      </w:r>
      <w:r w:rsidR="00EC7EDF" w:rsidRPr="00FD211F">
        <w:rPr>
          <w:sz w:val="36"/>
          <w:szCs w:val="36"/>
          <w:rtl/>
        </w:rPr>
        <w:t>:</w:t>
      </w:r>
      <w:r w:rsidRPr="00FD211F">
        <w:rPr>
          <w:sz w:val="36"/>
          <w:szCs w:val="36"/>
          <w:rtl/>
        </w:rPr>
        <w:t>حدثني بذلك حمز</w:t>
      </w:r>
      <w:r w:rsidR="00EC7EDF" w:rsidRPr="00FD211F">
        <w:rPr>
          <w:sz w:val="36"/>
          <w:szCs w:val="36"/>
          <w:rtl/>
        </w:rPr>
        <w:t xml:space="preserve">ة </w:t>
      </w:r>
      <w:r w:rsidRPr="00FD211F">
        <w:rPr>
          <w:sz w:val="36"/>
          <w:szCs w:val="36"/>
          <w:rtl/>
        </w:rPr>
        <w:t xml:space="preserve">بن محمدعن قنبربن علي بن شاذان عن </w:t>
      </w:r>
      <w:r w:rsidR="001519DB" w:rsidRPr="00FD211F">
        <w:rPr>
          <w:sz w:val="36"/>
          <w:szCs w:val="36"/>
          <w:rtl/>
        </w:rPr>
        <w:t>ابيه عن الفضل بن شاذان عن الرضا</w:t>
      </w:r>
      <w:r w:rsidR="00603323" w:rsidRPr="00FD211F">
        <w:rPr>
          <w:sz w:val="36"/>
          <w:szCs w:val="36"/>
          <w:rtl/>
        </w:rPr>
        <w:t xml:space="preserve">، </w:t>
      </w:r>
      <w:r w:rsidRPr="00FD211F">
        <w:rPr>
          <w:sz w:val="36"/>
          <w:szCs w:val="36"/>
          <w:rtl/>
        </w:rPr>
        <w:t>الاانه ذكرفيه</w:t>
      </w:r>
      <w:r w:rsidR="0075004A" w:rsidRPr="00FD211F">
        <w:rPr>
          <w:sz w:val="36"/>
          <w:szCs w:val="36"/>
          <w:rtl/>
        </w:rPr>
        <w:t>" الفطر</w:t>
      </w:r>
      <w:r w:rsidR="00EC7EDF" w:rsidRPr="00FD211F">
        <w:rPr>
          <w:sz w:val="36"/>
          <w:szCs w:val="36"/>
          <w:rtl/>
        </w:rPr>
        <w:t xml:space="preserve">ة </w:t>
      </w:r>
      <w:r w:rsidR="0075004A" w:rsidRPr="00FD211F">
        <w:rPr>
          <w:sz w:val="36"/>
          <w:szCs w:val="36"/>
          <w:rtl/>
        </w:rPr>
        <w:t>مدان من حنط</w:t>
      </w:r>
      <w:r w:rsidR="00EC7EDF" w:rsidRPr="00FD211F">
        <w:rPr>
          <w:sz w:val="36"/>
          <w:szCs w:val="36"/>
          <w:rtl/>
        </w:rPr>
        <w:t xml:space="preserve">ة </w:t>
      </w:r>
      <w:r w:rsidR="0075004A" w:rsidRPr="00FD211F">
        <w:rPr>
          <w:sz w:val="36"/>
          <w:szCs w:val="36"/>
          <w:rtl/>
        </w:rPr>
        <w:t xml:space="preserve">وصاع </w:t>
      </w:r>
      <w:r w:rsidRPr="00FD211F">
        <w:rPr>
          <w:sz w:val="36"/>
          <w:szCs w:val="36"/>
          <w:rtl/>
        </w:rPr>
        <w:t>من الشعيروالتمروالزبيب وذكرفيه ان الوضوءمر</w:t>
      </w:r>
      <w:r w:rsidR="00EC7EDF" w:rsidRPr="00FD211F">
        <w:rPr>
          <w:sz w:val="36"/>
          <w:szCs w:val="36"/>
          <w:rtl/>
        </w:rPr>
        <w:t xml:space="preserve">ة </w:t>
      </w:r>
      <w:r w:rsidRPr="00FD211F">
        <w:rPr>
          <w:sz w:val="36"/>
          <w:szCs w:val="36"/>
          <w:rtl/>
        </w:rPr>
        <w:t>مر</w:t>
      </w:r>
      <w:r w:rsidR="00EC7EDF" w:rsidRPr="00FD211F">
        <w:rPr>
          <w:sz w:val="36"/>
          <w:szCs w:val="36"/>
          <w:rtl/>
        </w:rPr>
        <w:t xml:space="preserve">ة </w:t>
      </w:r>
      <w:r w:rsidRPr="00FD211F">
        <w:rPr>
          <w:sz w:val="36"/>
          <w:szCs w:val="36"/>
          <w:rtl/>
        </w:rPr>
        <w:t>فريض</w:t>
      </w:r>
      <w:r w:rsidR="00EC7EDF" w:rsidRPr="00FD211F">
        <w:rPr>
          <w:sz w:val="36"/>
          <w:szCs w:val="36"/>
          <w:rtl/>
        </w:rPr>
        <w:t xml:space="preserve">ة </w:t>
      </w:r>
      <w:r w:rsidRPr="00FD211F">
        <w:rPr>
          <w:sz w:val="36"/>
          <w:szCs w:val="36"/>
          <w:rtl/>
        </w:rPr>
        <w:t>واثنتان اسباغ وذكران ذنوب الانبياءع صغائرهم موهوب</w:t>
      </w:r>
      <w:r w:rsidR="00EC7EDF" w:rsidRPr="00FD211F">
        <w:rPr>
          <w:sz w:val="36"/>
          <w:szCs w:val="36"/>
          <w:rtl/>
        </w:rPr>
        <w:t xml:space="preserve">ة </w:t>
      </w:r>
      <w:r w:rsidRPr="00FD211F">
        <w:rPr>
          <w:sz w:val="36"/>
          <w:szCs w:val="36"/>
          <w:rtl/>
        </w:rPr>
        <w:t>و حديث عبد الواحد بن محمد بن عبدوس رضي الله عنه عندي أصح</w:t>
      </w:r>
      <w:r w:rsidR="00EC7EDF" w:rsidRPr="00FD211F">
        <w:rPr>
          <w:sz w:val="36"/>
          <w:szCs w:val="36"/>
          <w:rtl/>
        </w:rPr>
        <w:t xml:space="preserve"> و</w:t>
      </w:r>
      <w:r w:rsidRPr="00FD211F">
        <w:rPr>
          <w:sz w:val="36"/>
          <w:szCs w:val="36"/>
          <w:rtl/>
        </w:rPr>
        <w:t>لا قو</w:t>
      </w:r>
      <w:r w:rsidR="00EC7EDF" w:rsidRPr="00FD211F">
        <w:rPr>
          <w:sz w:val="36"/>
          <w:szCs w:val="36"/>
          <w:rtl/>
        </w:rPr>
        <w:t xml:space="preserve">ة </w:t>
      </w:r>
      <w:r w:rsidRPr="00FD211F">
        <w:rPr>
          <w:sz w:val="36"/>
          <w:szCs w:val="36"/>
          <w:rtl/>
        </w:rPr>
        <w:t>إلا بالله</w:t>
      </w:r>
      <w:r w:rsidR="00EC7EDF" w:rsidRPr="00FD211F">
        <w:rPr>
          <w:sz w:val="36"/>
          <w:szCs w:val="36"/>
          <w:rtl/>
        </w:rPr>
        <w:t>.</w:t>
      </w:r>
      <w:r w:rsidR="009C58C8" w:rsidRPr="00FD211F">
        <w:rPr>
          <w:rStyle w:val="a6"/>
          <w:sz w:val="36"/>
          <w:szCs w:val="36"/>
          <w:rtl/>
        </w:rPr>
        <w:t>(</w:t>
      </w:r>
      <w:r w:rsidR="009C58C8" w:rsidRPr="00FD211F">
        <w:rPr>
          <w:rStyle w:val="a6"/>
          <w:sz w:val="36"/>
          <w:szCs w:val="36"/>
          <w:rtl/>
        </w:rPr>
        <w:footnoteReference w:id="500"/>
      </w:r>
      <w:r w:rsidR="009C58C8" w:rsidRPr="00FD211F">
        <w:rPr>
          <w:rStyle w:val="a6"/>
          <w:sz w:val="36"/>
          <w:szCs w:val="36"/>
          <w:rtl/>
        </w:rPr>
        <w:t>)</w:t>
      </w:r>
    </w:p>
    <w:p w14:paraId="0DFEA6D3" w14:textId="77777777" w:rsidR="00C020C1" w:rsidRPr="00FD211F" w:rsidRDefault="0075004A" w:rsidP="009C58C8">
      <w:pPr>
        <w:ind w:left="0" w:firstLine="227"/>
        <w:jc w:val="both"/>
        <w:rPr>
          <w:sz w:val="36"/>
          <w:szCs w:val="36"/>
          <w:rtl/>
        </w:rPr>
      </w:pPr>
      <w:r w:rsidRPr="00FD211F">
        <w:rPr>
          <w:sz w:val="36"/>
          <w:szCs w:val="36"/>
          <w:rtl/>
        </w:rPr>
        <w:t>فانه يحتمل ان يكون حكمه با</w:t>
      </w:r>
      <w:r w:rsidR="00C020C1" w:rsidRPr="00FD211F">
        <w:rPr>
          <w:sz w:val="36"/>
          <w:szCs w:val="36"/>
          <w:rtl/>
        </w:rPr>
        <w:t>صح</w:t>
      </w:r>
      <w:r w:rsidRPr="00FD211F">
        <w:rPr>
          <w:sz w:val="36"/>
          <w:szCs w:val="36"/>
          <w:rtl/>
        </w:rPr>
        <w:t>ّي</w:t>
      </w:r>
      <w:r w:rsidR="00EC7EDF" w:rsidRPr="00FD211F">
        <w:rPr>
          <w:sz w:val="36"/>
          <w:szCs w:val="36"/>
          <w:rtl/>
        </w:rPr>
        <w:t xml:space="preserve">ة </w:t>
      </w:r>
      <w:r w:rsidRPr="00FD211F">
        <w:rPr>
          <w:sz w:val="36"/>
          <w:szCs w:val="36"/>
          <w:rtl/>
        </w:rPr>
        <w:t>حديث</w:t>
      </w:r>
      <w:r w:rsidR="00B253CE" w:rsidRPr="00FD211F">
        <w:rPr>
          <w:sz w:val="36"/>
          <w:szCs w:val="36"/>
          <w:rtl/>
        </w:rPr>
        <w:t xml:space="preserve"> </w:t>
      </w:r>
      <w:r w:rsidRPr="00FD211F">
        <w:rPr>
          <w:sz w:val="36"/>
          <w:szCs w:val="36"/>
          <w:rtl/>
        </w:rPr>
        <w:t xml:space="preserve">ابن عبدوس </w:t>
      </w:r>
      <w:r w:rsidR="00C020C1" w:rsidRPr="00FD211F">
        <w:rPr>
          <w:sz w:val="36"/>
          <w:szCs w:val="36"/>
          <w:rtl/>
        </w:rPr>
        <w:t>ناظرا</w:t>
      </w:r>
      <w:r w:rsidR="003740AB" w:rsidRPr="00FD211F">
        <w:rPr>
          <w:sz w:val="36"/>
          <w:szCs w:val="36"/>
          <w:rtl/>
        </w:rPr>
        <w:t xml:space="preserve"> </w:t>
      </w:r>
      <w:r w:rsidR="00C020C1" w:rsidRPr="00FD211F">
        <w:rPr>
          <w:sz w:val="36"/>
          <w:szCs w:val="36"/>
          <w:rtl/>
        </w:rPr>
        <w:t>الى المتن لاشتمال الثاني على زياد</w:t>
      </w:r>
      <w:r w:rsidR="00EC7EDF" w:rsidRPr="00FD211F">
        <w:rPr>
          <w:sz w:val="36"/>
          <w:szCs w:val="36"/>
          <w:rtl/>
        </w:rPr>
        <w:t xml:space="preserve">ة </w:t>
      </w:r>
      <w:r w:rsidR="00C020C1" w:rsidRPr="00FD211F">
        <w:rPr>
          <w:sz w:val="36"/>
          <w:szCs w:val="36"/>
          <w:rtl/>
        </w:rPr>
        <w:t xml:space="preserve">لايلتزم بها. </w:t>
      </w:r>
    </w:p>
    <w:p w14:paraId="7D52A2D2" w14:textId="77777777" w:rsidR="00C020C1" w:rsidRPr="00FD211F" w:rsidRDefault="00E25A92" w:rsidP="009C58C8">
      <w:pPr>
        <w:ind w:left="0" w:firstLine="227"/>
        <w:jc w:val="both"/>
        <w:rPr>
          <w:sz w:val="36"/>
          <w:szCs w:val="36"/>
          <w:rtl/>
        </w:rPr>
      </w:pPr>
      <w:r w:rsidRPr="00FD211F">
        <w:rPr>
          <w:sz w:val="36"/>
          <w:szCs w:val="36"/>
          <w:rtl/>
        </w:rPr>
        <w:t>2- ان صالح بن ابي حماد</w:t>
      </w:r>
      <w:r w:rsidR="00C020C1" w:rsidRPr="00FD211F">
        <w:rPr>
          <w:sz w:val="36"/>
          <w:szCs w:val="36"/>
          <w:rtl/>
        </w:rPr>
        <w:t xml:space="preserve"> من رجال تفسيرعلي بن ابراهيم القمي "ره "</w:t>
      </w:r>
      <w:r w:rsidR="009C58C8" w:rsidRPr="00FD211F">
        <w:rPr>
          <w:rStyle w:val="a6"/>
          <w:sz w:val="36"/>
          <w:szCs w:val="36"/>
          <w:rtl/>
        </w:rPr>
        <w:t>(</w:t>
      </w:r>
      <w:r w:rsidR="009C58C8" w:rsidRPr="00FD211F">
        <w:rPr>
          <w:rStyle w:val="a6"/>
          <w:sz w:val="36"/>
          <w:szCs w:val="36"/>
          <w:rtl/>
        </w:rPr>
        <w:footnoteReference w:id="501"/>
      </w:r>
      <w:r w:rsidR="009C58C8" w:rsidRPr="00FD211F">
        <w:rPr>
          <w:rStyle w:val="a6"/>
          <w:sz w:val="36"/>
          <w:szCs w:val="36"/>
          <w:rtl/>
        </w:rPr>
        <w:t>)</w:t>
      </w:r>
      <w:r w:rsidR="00603323" w:rsidRPr="00FD211F">
        <w:rPr>
          <w:sz w:val="36"/>
          <w:szCs w:val="36"/>
          <w:rtl/>
        </w:rPr>
        <w:t xml:space="preserve">، </w:t>
      </w:r>
      <w:r w:rsidR="00C020C1" w:rsidRPr="00FD211F">
        <w:rPr>
          <w:sz w:val="36"/>
          <w:szCs w:val="36"/>
          <w:rtl/>
        </w:rPr>
        <w:t>وقد</w:t>
      </w:r>
      <w:r w:rsidR="003740AB" w:rsidRPr="00FD211F">
        <w:rPr>
          <w:sz w:val="36"/>
          <w:szCs w:val="36"/>
          <w:rtl/>
        </w:rPr>
        <w:t>التزم</w:t>
      </w:r>
      <w:r w:rsidR="00C020C1" w:rsidRPr="00FD211F">
        <w:rPr>
          <w:sz w:val="36"/>
          <w:szCs w:val="36"/>
          <w:rtl/>
        </w:rPr>
        <w:t xml:space="preserve"> جماع</w:t>
      </w:r>
      <w:r w:rsidR="00EC7EDF" w:rsidRPr="00FD211F">
        <w:rPr>
          <w:sz w:val="36"/>
          <w:szCs w:val="36"/>
          <w:rtl/>
        </w:rPr>
        <w:t xml:space="preserve">ة </w:t>
      </w:r>
      <w:r w:rsidR="00C020C1" w:rsidRPr="00FD211F">
        <w:rPr>
          <w:sz w:val="36"/>
          <w:szCs w:val="36"/>
          <w:rtl/>
        </w:rPr>
        <w:t>كصاحب الوسائل والسيدالخوئي "قدهما" بوثاق</w:t>
      </w:r>
      <w:r w:rsidR="00EC7EDF" w:rsidRPr="00FD211F">
        <w:rPr>
          <w:sz w:val="36"/>
          <w:szCs w:val="36"/>
          <w:rtl/>
        </w:rPr>
        <w:t xml:space="preserve">ة </w:t>
      </w:r>
      <w:r w:rsidR="00C020C1" w:rsidRPr="00FD211F">
        <w:rPr>
          <w:sz w:val="36"/>
          <w:szCs w:val="36"/>
          <w:rtl/>
        </w:rPr>
        <w:t>رجال التفسير</w:t>
      </w:r>
      <w:r w:rsidR="00C04DBB" w:rsidRPr="00FD211F">
        <w:rPr>
          <w:sz w:val="36"/>
          <w:szCs w:val="36"/>
          <w:rtl/>
        </w:rPr>
        <w:t xml:space="preserve"> </w:t>
      </w:r>
      <w:r w:rsidR="00C020C1" w:rsidRPr="00FD211F">
        <w:rPr>
          <w:sz w:val="36"/>
          <w:szCs w:val="36"/>
          <w:rtl/>
        </w:rPr>
        <w:t>حيث ورد في اول ديباجته</w:t>
      </w:r>
      <w:r w:rsidR="00C04DBB" w:rsidRPr="00FD211F">
        <w:rPr>
          <w:sz w:val="36"/>
          <w:szCs w:val="36"/>
          <w:rtl/>
        </w:rPr>
        <w:t xml:space="preserve"> </w:t>
      </w:r>
      <w:r w:rsidR="00C020C1" w:rsidRPr="00FD211F">
        <w:rPr>
          <w:sz w:val="36"/>
          <w:szCs w:val="36"/>
          <w:rtl/>
        </w:rPr>
        <w:t>"نحن ذاكرون ومخبرون بماينتهي الينا</w:t>
      </w:r>
      <w:r w:rsidR="00C04DBB" w:rsidRPr="00FD211F">
        <w:rPr>
          <w:sz w:val="36"/>
          <w:szCs w:val="36"/>
          <w:rtl/>
        </w:rPr>
        <w:t xml:space="preserve"> </w:t>
      </w:r>
      <w:r w:rsidR="00C020C1" w:rsidRPr="00FD211F">
        <w:rPr>
          <w:sz w:val="36"/>
          <w:szCs w:val="36"/>
          <w:rtl/>
        </w:rPr>
        <w:t>ورواه مشايخنا</w:t>
      </w:r>
      <w:r w:rsidR="00B306CF" w:rsidRPr="00FD211F">
        <w:rPr>
          <w:sz w:val="36"/>
          <w:szCs w:val="36"/>
          <w:rtl/>
        </w:rPr>
        <w:t xml:space="preserve"> </w:t>
      </w:r>
      <w:r w:rsidR="00C020C1" w:rsidRPr="00FD211F">
        <w:rPr>
          <w:sz w:val="36"/>
          <w:szCs w:val="36"/>
          <w:rtl/>
        </w:rPr>
        <w:t>وثقاتنا</w:t>
      </w:r>
      <w:r w:rsidR="00B306CF" w:rsidRPr="00FD211F">
        <w:rPr>
          <w:sz w:val="36"/>
          <w:szCs w:val="36"/>
          <w:rtl/>
        </w:rPr>
        <w:t xml:space="preserve"> </w:t>
      </w:r>
      <w:r w:rsidR="00C020C1" w:rsidRPr="00FD211F">
        <w:rPr>
          <w:sz w:val="36"/>
          <w:szCs w:val="36"/>
          <w:rtl/>
        </w:rPr>
        <w:t>عن الذين فرض الله طاعتهم"</w:t>
      </w:r>
      <w:r w:rsidR="00EC7EDF" w:rsidRPr="00FD211F">
        <w:rPr>
          <w:sz w:val="36"/>
          <w:szCs w:val="36"/>
          <w:rtl/>
        </w:rPr>
        <w:t>.</w:t>
      </w:r>
    </w:p>
    <w:p w14:paraId="663D5F01" w14:textId="77777777" w:rsidR="00C020C1" w:rsidRPr="00FD211F" w:rsidRDefault="00C020C1" w:rsidP="009C58C8">
      <w:pPr>
        <w:ind w:left="0" w:firstLine="227"/>
        <w:jc w:val="both"/>
        <w:rPr>
          <w:sz w:val="36"/>
          <w:szCs w:val="36"/>
          <w:rtl/>
        </w:rPr>
      </w:pPr>
      <w:r w:rsidRPr="00FD211F">
        <w:rPr>
          <w:sz w:val="36"/>
          <w:szCs w:val="36"/>
          <w:rtl/>
        </w:rPr>
        <w:t>ولكن</w:t>
      </w:r>
      <w:r w:rsidR="008D7B3D" w:rsidRPr="00FD211F">
        <w:rPr>
          <w:sz w:val="36"/>
          <w:szCs w:val="36"/>
          <w:rtl/>
        </w:rPr>
        <w:t xml:space="preserve"> لم‌</w:t>
      </w:r>
      <w:r w:rsidRPr="00FD211F">
        <w:rPr>
          <w:sz w:val="36"/>
          <w:szCs w:val="36"/>
          <w:rtl/>
        </w:rPr>
        <w:t>يثبت لنا تمامي</w:t>
      </w:r>
      <w:r w:rsidR="00EC7EDF" w:rsidRPr="00FD211F">
        <w:rPr>
          <w:sz w:val="36"/>
          <w:szCs w:val="36"/>
          <w:rtl/>
        </w:rPr>
        <w:t xml:space="preserve">ة </w:t>
      </w:r>
      <w:r w:rsidRPr="00FD211F">
        <w:rPr>
          <w:sz w:val="36"/>
          <w:szCs w:val="36"/>
          <w:rtl/>
        </w:rPr>
        <w:t>مبنى التوثيق العام لرجال هذا التفسير</w:t>
      </w:r>
      <w:r w:rsidR="00603323" w:rsidRPr="00FD211F">
        <w:rPr>
          <w:sz w:val="36"/>
          <w:szCs w:val="36"/>
          <w:rtl/>
        </w:rPr>
        <w:t xml:space="preserve">، </w:t>
      </w:r>
      <w:r w:rsidRPr="00FD211F">
        <w:rPr>
          <w:sz w:val="36"/>
          <w:szCs w:val="36"/>
          <w:rtl/>
        </w:rPr>
        <w:t>فان هذا التفسير الموجود بايدينا ليس بكامله تفسير القمي</w:t>
      </w:r>
      <w:r w:rsidR="00603323" w:rsidRPr="00FD211F">
        <w:rPr>
          <w:sz w:val="36"/>
          <w:szCs w:val="36"/>
          <w:rtl/>
        </w:rPr>
        <w:t xml:space="preserve">، </w:t>
      </w:r>
      <w:r w:rsidRPr="00FD211F">
        <w:rPr>
          <w:sz w:val="36"/>
          <w:szCs w:val="36"/>
          <w:rtl/>
        </w:rPr>
        <w:t xml:space="preserve">حيث </w:t>
      </w:r>
      <w:r w:rsidR="001519DB" w:rsidRPr="00FD211F">
        <w:rPr>
          <w:sz w:val="36"/>
          <w:szCs w:val="36"/>
          <w:rtl/>
        </w:rPr>
        <w:t>روي فيه</w:t>
      </w:r>
      <w:r w:rsidRPr="00FD211F">
        <w:rPr>
          <w:sz w:val="36"/>
          <w:szCs w:val="36"/>
          <w:rtl/>
        </w:rPr>
        <w:t xml:space="preserve"> عن جماع</w:t>
      </w:r>
      <w:r w:rsidR="00EC7EDF" w:rsidRPr="00FD211F">
        <w:rPr>
          <w:sz w:val="36"/>
          <w:szCs w:val="36"/>
          <w:rtl/>
        </w:rPr>
        <w:t xml:space="preserve">ة </w:t>
      </w:r>
      <w:r w:rsidRPr="00FD211F">
        <w:rPr>
          <w:sz w:val="36"/>
          <w:szCs w:val="36"/>
          <w:rtl/>
        </w:rPr>
        <w:t>يحصل الاطمئنان عاد</w:t>
      </w:r>
      <w:r w:rsidR="00EC7EDF" w:rsidRPr="00FD211F">
        <w:rPr>
          <w:sz w:val="36"/>
          <w:szCs w:val="36"/>
          <w:rtl/>
        </w:rPr>
        <w:t xml:space="preserve">ة </w:t>
      </w:r>
      <w:r w:rsidRPr="00FD211F">
        <w:rPr>
          <w:sz w:val="36"/>
          <w:szCs w:val="36"/>
          <w:rtl/>
        </w:rPr>
        <w:t>بعدم رواي</w:t>
      </w:r>
      <w:r w:rsidR="00EC7EDF" w:rsidRPr="00FD211F">
        <w:rPr>
          <w:sz w:val="36"/>
          <w:szCs w:val="36"/>
          <w:rtl/>
        </w:rPr>
        <w:t xml:space="preserve">ة </w:t>
      </w:r>
      <w:r w:rsidRPr="00FD211F">
        <w:rPr>
          <w:sz w:val="36"/>
          <w:szCs w:val="36"/>
          <w:rtl/>
        </w:rPr>
        <w:t>علي‌بن‌ابراهيم القمي عنهم</w:t>
      </w:r>
      <w:r w:rsidR="00603323" w:rsidRPr="00FD211F">
        <w:rPr>
          <w:sz w:val="36"/>
          <w:szCs w:val="36"/>
          <w:rtl/>
        </w:rPr>
        <w:t xml:space="preserve">، </w:t>
      </w:r>
      <w:r w:rsidR="001519DB" w:rsidRPr="00FD211F">
        <w:rPr>
          <w:sz w:val="36"/>
          <w:szCs w:val="36"/>
          <w:rtl/>
        </w:rPr>
        <w:t xml:space="preserve">فانهم </w:t>
      </w:r>
      <w:r w:rsidRPr="00FD211F">
        <w:rPr>
          <w:sz w:val="36"/>
          <w:szCs w:val="36"/>
          <w:rtl/>
        </w:rPr>
        <w:t>ليس</w:t>
      </w:r>
      <w:r w:rsidR="001519DB" w:rsidRPr="00FD211F">
        <w:rPr>
          <w:sz w:val="36"/>
          <w:szCs w:val="36"/>
          <w:rtl/>
        </w:rPr>
        <w:t>وا</w:t>
      </w:r>
      <w:r w:rsidRPr="00FD211F">
        <w:rPr>
          <w:sz w:val="36"/>
          <w:szCs w:val="36"/>
          <w:rtl/>
        </w:rPr>
        <w:t xml:space="preserve"> في طبق</w:t>
      </w:r>
      <w:r w:rsidR="00EC7EDF" w:rsidRPr="00FD211F">
        <w:rPr>
          <w:sz w:val="36"/>
          <w:szCs w:val="36"/>
          <w:rtl/>
        </w:rPr>
        <w:t xml:space="preserve">ة </w:t>
      </w:r>
      <w:r w:rsidRPr="00FD211F">
        <w:rPr>
          <w:sz w:val="36"/>
          <w:szCs w:val="36"/>
          <w:rtl/>
        </w:rPr>
        <w:t>مشايخ علي‌بن‌ابراهيم القمي مثل احمدبن‌محمد‌بن‌سعيد‌ابن‌عقد</w:t>
      </w:r>
      <w:r w:rsidR="00EC7EDF" w:rsidRPr="00FD211F">
        <w:rPr>
          <w:sz w:val="36"/>
          <w:szCs w:val="36"/>
          <w:rtl/>
        </w:rPr>
        <w:t xml:space="preserve">ة </w:t>
      </w:r>
      <w:r w:rsidRPr="00FD211F">
        <w:rPr>
          <w:sz w:val="36"/>
          <w:szCs w:val="36"/>
          <w:rtl/>
        </w:rPr>
        <w:t>وجماع</w:t>
      </w:r>
      <w:r w:rsidR="00EC7EDF" w:rsidRPr="00FD211F">
        <w:rPr>
          <w:sz w:val="36"/>
          <w:szCs w:val="36"/>
          <w:rtl/>
        </w:rPr>
        <w:t xml:space="preserve">ة </w:t>
      </w:r>
      <w:r w:rsidRPr="00FD211F">
        <w:rPr>
          <w:sz w:val="36"/>
          <w:szCs w:val="36"/>
          <w:rtl/>
        </w:rPr>
        <w:t>آخرون يقرب عددهم من ثلاثين شخصا</w:t>
      </w:r>
      <w:r w:rsidR="00603323" w:rsidRPr="00FD211F">
        <w:rPr>
          <w:sz w:val="36"/>
          <w:szCs w:val="36"/>
          <w:rtl/>
        </w:rPr>
        <w:t xml:space="preserve">، </w:t>
      </w:r>
      <w:r w:rsidRPr="00FD211F">
        <w:rPr>
          <w:sz w:val="36"/>
          <w:szCs w:val="36"/>
          <w:rtl/>
        </w:rPr>
        <w:t>وقد ذكر المحقق آغا بزرك الطهراني اسماءهم في كتاب الذريع</w:t>
      </w:r>
      <w:r w:rsidR="00EC7EDF" w:rsidRPr="00FD211F">
        <w:rPr>
          <w:sz w:val="36"/>
          <w:szCs w:val="36"/>
          <w:rtl/>
        </w:rPr>
        <w:t>ة</w:t>
      </w:r>
      <w:r w:rsidR="00A61BAE" w:rsidRPr="00FD211F">
        <w:rPr>
          <w:sz w:val="36"/>
          <w:szCs w:val="36"/>
          <w:rtl/>
        </w:rPr>
        <w:t>.</w:t>
      </w:r>
    </w:p>
    <w:p w14:paraId="5B7287FF" w14:textId="77777777" w:rsidR="00C020C1" w:rsidRPr="00FD211F" w:rsidRDefault="00C020C1" w:rsidP="005946E3">
      <w:pPr>
        <w:ind w:left="0" w:firstLine="227"/>
        <w:jc w:val="both"/>
        <w:rPr>
          <w:sz w:val="36"/>
          <w:szCs w:val="36"/>
          <w:rtl/>
        </w:rPr>
      </w:pPr>
      <w:r w:rsidRPr="00FD211F">
        <w:rPr>
          <w:sz w:val="36"/>
          <w:szCs w:val="36"/>
          <w:rtl/>
        </w:rPr>
        <w:t>وقد ذكر</w:t>
      </w:r>
      <w:r w:rsidR="00A61BAE" w:rsidRPr="00FD211F">
        <w:rPr>
          <w:sz w:val="36"/>
          <w:szCs w:val="36"/>
          <w:rtl/>
        </w:rPr>
        <w:t xml:space="preserve"> </w:t>
      </w:r>
      <w:r w:rsidR="005946E3" w:rsidRPr="00FD211F">
        <w:rPr>
          <w:sz w:val="36"/>
          <w:szCs w:val="36"/>
          <w:rtl/>
        </w:rPr>
        <w:t>"قده"</w:t>
      </w:r>
      <w:r w:rsidR="00A61BAE" w:rsidRPr="00FD211F">
        <w:rPr>
          <w:sz w:val="36"/>
          <w:szCs w:val="36"/>
          <w:rtl/>
        </w:rPr>
        <w:t xml:space="preserve"> </w:t>
      </w:r>
      <w:r w:rsidRPr="00FD211F">
        <w:rPr>
          <w:sz w:val="36"/>
          <w:szCs w:val="36"/>
          <w:rtl/>
        </w:rPr>
        <w:t>ان الظاهر ان الذي جمع هذاالتفسير الموجود بايدينا هو ابوالفضل العباس‌بن‌محمدبن القاسم‌بن‌حمز</w:t>
      </w:r>
      <w:r w:rsidR="00EC7EDF" w:rsidRPr="00FD211F">
        <w:rPr>
          <w:sz w:val="36"/>
          <w:szCs w:val="36"/>
          <w:rtl/>
        </w:rPr>
        <w:t xml:space="preserve">ة </w:t>
      </w:r>
      <w:r w:rsidRPr="00FD211F">
        <w:rPr>
          <w:sz w:val="36"/>
          <w:szCs w:val="36"/>
          <w:rtl/>
        </w:rPr>
        <w:t>‌بن‌موسى‌بن‌جعفر</w:t>
      </w:r>
      <w:r w:rsidR="003740AB" w:rsidRPr="00FD211F">
        <w:rPr>
          <w:sz w:val="36"/>
          <w:szCs w:val="36"/>
          <w:rtl/>
        </w:rPr>
        <w:t>"</w:t>
      </w:r>
      <w:r w:rsidRPr="00FD211F">
        <w:rPr>
          <w:sz w:val="36"/>
          <w:szCs w:val="36"/>
          <w:rtl/>
        </w:rPr>
        <w:t xml:space="preserve"> عليهماالسلام</w:t>
      </w:r>
      <w:r w:rsidR="003740AB" w:rsidRPr="00FD211F">
        <w:rPr>
          <w:sz w:val="36"/>
          <w:szCs w:val="36"/>
          <w:rtl/>
        </w:rPr>
        <w:t>"</w:t>
      </w:r>
      <w:r w:rsidR="00603323" w:rsidRPr="00FD211F">
        <w:rPr>
          <w:sz w:val="36"/>
          <w:szCs w:val="36"/>
          <w:rtl/>
        </w:rPr>
        <w:t xml:space="preserve">، </w:t>
      </w:r>
      <w:r w:rsidRPr="00FD211F">
        <w:rPr>
          <w:sz w:val="36"/>
          <w:szCs w:val="36"/>
          <w:rtl/>
        </w:rPr>
        <w:t>وكان تلميذ علي‌بن‌ابراهيم القمي</w:t>
      </w:r>
      <w:r w:rsidR="00603323" w:rsidRPr="00FD211F">
        <w:rPr>
          <w:sz w:val="36"/>
          <w:szCs w:val="36"/>
          <w:rtl/>
        </w:rPr>
        <w:t xml:space="preserve">، </w:t>
      </w:r>
      <w:r w:rsidRPr="00FD211F">
        <w:rPr>
          <w:sz w:val="36"/>
          <w:szCs w:val="36"/>
          <w:rtl/>
        </w:rPr>
        <w:t>وقد اضاف الى تفسير القمي جمل</w:t>
      </w:r>
      <w:r w:rsidR="00EC7EDF" w:rsidRPr="00FD211F">
        <w:rPr>
          <w:sz w:val="36"/>
          <w:szCs w:val="36"/>
          <w:rtl/>
        </w:rPr>
        <w:t xml:space="preserve">ة </w:t>
      </w:r>
      <w:r w:rsidRPr="00FD211F">
        <w:rPr>
          <w:sz w:val="36"/>
          <w:szCs w:val="36"/>
          <w:rtl/>
        </w:rPr>
        <w:t>من روايات تفسير‌ابي‌الجارود وطريقه اليه ما ذكره في أثناء كتاب تفسير القمي بقوله حدثنا‌ابن‌عقد</w:t>
      </w:r>
      <w:r w:rsidR="00EC7EDF" w:rsidRPr="00FD211F">
        <w:rPr>
          <w:sz w:val="36"/>
          <w:szCs w:val="36"/>
          <w:rtl/>
        </w:rPr>
        <w:t xml:space="preserve">ة </w:t>
      </w:r>
      <w:r w:rsidRPr="00FD211F">
        <w:rPr>
          <w:sz w:val="36"/>
          <w:szCs w:val="36"/>
          <w:rtl/>
        </w:rPr>
        <w:t xml:space="preserve">عن جعفر‌بن‌عبدالله عن كثير‌بن‌عيّاش عن زياد المنذر‌ابي‌الجارود عن‌ابي‌جعفر </w:t>
      </w:r>
      <w:r w:rsidR="007A4A0D" w:rsidRPr="00FD211F">
        <w:rPr>
          <w:sz w:val="36"/>
          <w:szCs w:val="36"/>
          <w:rtl/>
        </w:rPr>
        <w:t>(عليه‌السلام)</w:t>
      </w:r>
      <w:r w:rsidR="00603323" w:rsidRPr="00FD211F">
        <w:rPr>
          <w:sz w:val="36"/>
          <w:szCs w:val="36"/>
          <w:rtl/>
        </w:rPr>
        <w:t xml:space="preserve">، </w:t>
      </w:r>
      <w:r w:rsidRPr="00FD211F">
        <w:rPr>
          <w:sz w:val="36"/>
          <w:szCs w:val="36"/>
          <w:rtl/>
        </w:rPr>
        <w:t>وهذا التصرف وقع منه من اوائل سور</w:t>
      </w:r>
      <w:r w:rsidR="00EC7EDF" w:rsidRPr="00FD211F">
        <w:rPr>
          <w:sz w:val="36"/>
          <w:szCs w:val="36"/>
          <w:rtl/>
        </w:rPr>
        <w:t xml:space="preserve">ة </w:t>
      </w:r>
      <w:r w:rsidRPr="00FD211F">
        <w:rPr>
          <w:sz w:val="36"/>
          <w:szCs w:val="36"/>
          <w:rtl/>
        </w:rPr>
        <w:t>آل عمران</w:t>
      </w:r>
      <w:r w:rsidR="009C58C8" w:rsidRPr="00FD211F">
        <w:rPr>
          <w:rStyle w:val="a6"/>
          <w:sz w:val="36"/>
          <w:szCs w:val="36"/>
          <w:rtl/>
        </w:rPr>
        <w:t>(</w:t>
      </w:r>
      <w:r w:rsidR="009C58C8" w:rsidRPr="00FD211F">
        <w:rPr>
          <w:rStyle w:val="a6"/>
          <w:sz w:val="36"/>
          <w:szCs w:val="36"/>
          <w:rtl/>
        </w:rPr>
        <w:footnoteReference w:id="502"/>
      </w:r>
      <w:r w:rsidR="009C58C8" w:rsidRPr="00FD211F">
        <w:rPr>
          <w:rStyle w:val="a6"/>
          <w:sz w:val="36"/>
          <w:szCs w:val="36"/>
          <w:rtl/>
        </w:rPr>
        <w:t>)</w:t>
      </w:r>
      <w:r w:rsidRPr="00FD211F">
        <w:rPr>
          <w:sz w:val="36"/>
          <w:szCs w:val="36"/>
          <w:rtl/>
        </w:rPr>
        <w:t xml:space="preserve"> الى آخر القرآن</w:t>
      </w:r>
      <w:r w:rsidR="00603323" w:rsidRPr="00FD211F">
        <w:rPr>
          <w:sz w:val="36"/>
          <w:szCs w:val="36"/>
          <w:rtl/>
        </w:rPr>
        <w:t xml:space="preserve">، </w:t>
      </w:r>
      <w:r w:rsidRPr="00FD211F">
        <w:rPr>
          <w:sz w:val="36"/>
          <w:szCs w:val="36"/>
          <w:rtl/>
        </w:rPr>
        <w:t>والغالب ان اباالفضل العباس جامع هذا التفسير بعد تمام رواي</w:t>
      </w:r>
      <w:r w:rsidR="00EC7EDF" w:rsidRPr="00FD211F">
        <w:rPr>
          <w:sz w:val="36"/>
          <w:szCs w:val="36"/>
          <w:rtl/>
        </w:rPr>
        <w:t xml:space="preserve">ة </w:t>
      </w:r>
      <w:r w:rsidRPr="00FD211F">
        <w:rPr>
          <w:sz w:val="36"/>
          <w:szCs w:val="36"/>
          <w:rtl/>
        </w:rPr>
        <w:t>‌ابي‌الجارود او رواي</w:t>
      </w:r>
      <w:r w:rsidR="00EC7EDF" w:rsidRPr="00FD211F">
        <w:rPr>
          <w:sz w:val="36"/>
          <w:szCs w:val="36"/>
          <w:rtl/>
        </w:rPr>
        <w:t xml:space="preserve">ة </w:t>
      </w:r>
      <w:r w:rsidRPr="00FD211F">
        <w:rPr>
          <w:sz w:val="36"/>
          <w:szCs w:val="36"/>
          <w:rtl/>
        </w:rPr>
        <w:t>أخرى من بعض مشايخه الآخرين يعود الى تفسير القمي بقوله وقال علي‌بن‌ابراهيم</w:t>
      </w:r>
      <w:r w:rsidR="00603323" w:rsidRPr="00FD211F">
        <w:rPr>
          <w:sz w:val="36"/>
          <w:szCs w:val="36"/>
          <w:rtl/>
        </w:rPr>
        <w:t xml:space="preserve">، </w:t>
      </w:r>
      <w:r w:rsidRPr="00FD211F">
        <w:rPr>
          <w:sz w:val="36"/>
          <w:szCs w:val="36"/>
          <w:rtl/>
        </w:rPr>
        <w:t>وفي عد</w:t>
      </w:r>
      <w:r w:rsidR="00EC7EDF" w:rsidRPr="00FD211F">
        <w:rPr>
          <w:sz w:val="36"/>
          <w:szCs w:val="36"/>
          <w:rtl/>
        </w:rPr>
        <w:t xml:space="preserve">ة </w:t>
      </w:r>
      <w:r w:rsidRPr="00FD211F">
        <w:rPr>
          <w:sz w:val="36"/>
          <w:szCs w:val="36"/>
          <w:rtl/>
        </w:rPr>
        <w:t>مواضع يقول رجعٌ الى تفسير علي‌بن‌ابراهيم</w:t>
      </w:r>
      <w:r w:rsidR="009C58C8" w:rsidRPr="00FD211F">
        <w:rPr>
          <w:rStyle w:val="a6"/>
          <w:sz w:val="36"/>
          <w:szCs w:val="36"/>
          <w:rtl/>
        </w:rPr>
        <w:t>(</w:t>
      </w:r>
      <w:r w:rsidR="009C58C8" w:rsidRPr="00FD211F">
        <w:rPr>
          <w:rStyle w:val="a6"/>
          <w:sz w:val="36"/>
          <w:szCs w:val="36"/>
          <w:rtl/>
        </w:rPr>
        <w:footnoteReference w:id="503"/>
      </w:r>
      <w:r w:rsidR="009C58C8" w:rsidRPr="00FD211F">
        <w:rPr>
          <w:rStyle w:val="a6"/>
          <w:sz w:val="36"/>
          <w:szCs w:val="36"/>
          <w:rtl/>
        </w:rPr>
        <w:t>)</w:t>
      </w:r>
      <w:r w:rsidRPr="00FD211F">
        <w:rPr>
          <w:sz w:val="36"/>
          <w:szCs w:val="36"/>
          <w:rtl/>
        </w:rPr>
        <w:t xml:space="preserve"> او يقول رجعٌ الى رواي</w:t>
      </w:r>
      <w:r w:rsidR="00EC7EDF" w:rsidRPr="00FD211F">
        <w:rPr>
          <w:sz w:val="36"/>
          <w:szCs w:val="36"/>
          <w:rtl/>
        </w:rPr>
        <w:t xml:space="preserve">ة </w:t>
      </w:r>
      <w:r w:rsidRPr="00FD211F">
        <w:rPr>
          <w:sz w:val="36"/>
          <w:szCs w:val="36"/>
          <w:rtl/>
        </w:rPr>
        <w:t>علي‌بن‌ابراهيم</w:t>
      </w:r>
      <w:r w:rsidR="009C58C8" w:rsidRPr="00FD211F">
        <w:rPr>
          <w:rStyle w:val="a6"/>
          <w:sz w:val="36"/>
          <w:szCs w:val="36"/>
          <w:rtl/>
        </w:rPr>
        <w:t>(</w:t>
      </w:r>
      <w:r w:rsidR="009C58C8" w:rsidRPr="00FD211F">
        <w:rPr>
          <w:rStyle w:val="a6"/>
          <w:sz w:val="36"/>
          <w:szCs w:val="36"/>
          <w:rtl/>
        </w:rPr>
        <w:footnoteReference w:id="504"/>
      </w:r>
      <w:r w:rsidR="009C58C8" w:rsidRPr="00FD211F">
        <w:rPr>
          <w:rStyle w:val="a6"/>
          <w:sz w:val="36"/>
          <w:szCs w:val="36"/>
          <w:rtl/>
        </w:rPr>
        <w:t>)</w:t>
      </w:r>
      <w:r w:rsidR="00603323" w:rsidRPr="00FD211F">
        <w:rPr>
          <w:sz w:val="36"/>
          <w:szCs w:val="36"/>
          <w:rtl/>
        </w:rPr>
        <w:t xml:space="preserve">، </w:t>
      </w:r>
      <w:r w:rsidRPr="00FD211F">
        <w:rPr>
          <w:sz w:val="36"/>
          <w:szCs w:val="36"/>
          <w:rtl/>
        </w:rPr>
        <w:t>او يقول رجع الحديث الى علي‌بن‌ابراهيم</w:t>
      </w:r>
      <w:r w:rsidR="009C58C8" w:rsidRPr="00FD211F">
        <w:rPr>
          <w:rStyle w:val="a6"/>
          <w:sz w:val="36"/>
          <w:szCs w:val="36"/>
          <w:rtl/>
        </w:rPr>
        <w:t>(</w:t>
      </w:r>
      <w:r w:rsidR="009C58C8" w:rsidRPr="00FD211F">
        <w:rPr>
          <w:rStyle w:val="a6"/>
          <w:sz w:val="36"/>
          <w:szCs w:val="36"/>
          <w:rtl/>
        </w:rPr>
        <w:footnoteReference w:id="505"/>
      </w:r>
      <w:r w:rsidR="009C58C8" w:rsidRPr="00FD211F">
        <w:rPr>
          <w:rStyle w:val="a6"/>
          <w:sz w:val="36"/>
          <w:szCs w:val="36"/>
          <w:rtl/>
        </w:rPr>
        <w:t>)</w:t>
      </w:r>
      <w:r w:rsidR="00603323" w:rsidRPr="00FD211F">
        <w:rPr>
          <w:sz w:val="36"/>
          <w:szCs w:val="36"/>
          <w:rtl/>
        </w:rPr>
        <w:t xml:space="preserve">، </w:t>
      </w:r>
      <w:r w:rsidRPr="00FD211F">
        <w:rPr>
          <w:sz w:val="36"/>
          <w:szCs w:val="36"/>
          <w:rtl/>
        </w:rPr>
        <w:t>وبالجمل</w:t>
      </w:r>
      <w:r w:rsidR="00EC7EDF" w:rsidRPr="00FD211F">
        <w:rPr>
          <w:sz w:val="36"/>
          <w:szCs w:val="36"/>
          <w:rtl/>
        </w:rPr>
        <w:t xml:space="preserve">ة </w:t>
      </w:r>
      <w:r w:rsidRPr="00FD211F">
        <w:rPr>
          <w:sz w:val="36"/>
          <w:szCs w:val="36"/>
          <w:rtl/>
        </w:rPr>
        <w:t>يظهر من هذا ال</w:t>
      </w:r>
      <w:r w:rsidR="00E25A92" w:rsidRPr="00FD211F">
        <w:rPr>
          <w:sz w:val="36"/>
          <w:szCs w:val="36"/>
          <w:rtl/>
        </w:rPr>
        <w:t xml:space="preserve">ذي جمع </w:t>
      </w:r>
      <w:r w:rsidRPr="00FD211F">
        <w:rPr>
          <w:sz w:val="36"/>
          <w:szCs w:val="36"/>
          <w:rtl/>
        </w:rPr>
        <w:t>كتاب التفسير وهو ابوالفضل العباس انه كان بناءه ان يميّز بين روايات علي‌بن‌ابراهيم وروايات تفسير‌ابي‌الجارود بحيث لايشتبه الأمر على الناظرين</w:t>
      </w:r>
      <w:r w:rsidR="009C58C8" w:rsidRPr="00FD211F">
        <w:rPr>
          <w:rStyle w:val="a6"/>
          <w:sz w:val="36"/>
          <w:szCs w:val="36"/>
          <w:rtl/>
        </w:rPr>
        <w:t>(</w:t>
      </w:r>
      <w:r w:rsidR="009C58C8" w:rsidRPr="00FD211F">
        <w:rPr>
          <w:rStyle w:val="a6"/>
          <w:sz w:val="36"/>
          <w:szCs w:val="36"/>
          <w:rtl/>
        </w:rPr>
        <w:footnoteReference w:id="506"/>
      </w:r>
      <w:r w:rsidR="009C58C8" w:rsidRPr="00FD211F">
        <w:rPr>
          <w:rStyle w:val="a6"/>
          <w:sz w:val="36"/>
          <w:szCs w:val="36"/>
          <w:rtl/>
        </w:rPr>
        <w:t>)</w:t>
      </w:r>
      <w:r w:rsidRPr="00FD211F">
        <w:rPr>
          <w:sz w:val="36"/>
          <w:szCs w:val="36"/>
          <w:rtl/>
        </w:rPr>
        <w:t>.</w:t>
      </w:r>
    </w:p>
    <w:p w14:paraId="53D82B49" w14:textId="77777777" w:rsidR="00C020C1" w:rsidRPr="00FD211F" w:rsidRDefault="00C020C1" w:rsidP="009C58C8">
      <w:pPr>
        <w:ind w:left="0" w:firstLine="227"/>
        <w:jc w:val="both"/>
        <w:rPr>
          <w:sz w:val="36"/>
          <w:szCs w:val="36"/>
          <w:rtl/>
        </w:rPr>
      </w:pPr>
      <w:r w:rsidRPr="00FD211F">
        <w:rPr>
          <w:sz w:val="36"/>
          <w:szCs w:val="36"/>
          <w:rtl/>
        </w:rPr>
        <w:t>هذا ومن جه</w:t>
      </w:r>
      <w:r w:rsidR="00EC7EDF" w:rsidRPr="00FD211F">
        <w:rPr>
          <w:sz w:val="36"/>
          <w:szCs w:val="36"/>
          <w:rtl/>
        </w:rPr>
        <w:t xml:space="preserve">ة </w:t>
      </w:r>
      <w:r w:rsidRPr="00FD211F">
        <w:rPr>
          <w:sz w:val="36"/>
          <w:szCs w:val="36"/>
          <w:rtl/>
        </w:rPr>
        <w:t>أخرى أنه قد نقل السيد شرف الدين الحسيني الاسترابادي المتوفى سن</w:t>
      </w:r>
      <w:r w:rsidR="00EC7EDF" w:rsidRPr="00FD211F">
        <w:rPr>
          <w:sz w:val="36"/>
          <w:szCs w:val="36"/>
          <w:rtl/>
        </w:rPr>
        <w:t xml:space="preserve">ة </w:t>
      </w:r>
      <w:r w:rsidRPr="00FD211F">
        <w:rPr>
          <w:sz w:val="36"/>
          <w:szCs w:val="36"/>
          <w:rtl/>
        </w:rPr>
        <w:t>965 في كتاب تأويل الآيات الظاهر</w:t>
      </w:r>
      <w:r w:rsidR="00EC7EDF" w:rsidRPr="00FD211F">
        <w:rPr>
          <w:sz w:val="36"/>
          <w:szCs w:val="36"/>
          <w:rtl/>
        </w:rPr>
        <w:t xml:space="preserve">ة </w:t>
      </w:r>
      <w:r w:rsidRPr="00FD211F">
        <w:rPr>
          <w:sz w:val="36"/>
          <w:szCs w:val="36"/>
          <w:rtl/>
        </w:rPr>
        <w:t>روايات كثير</w:t>
      </w:r>
      <w:r w:rsidR="00EC7EDF" w:rsidRPr="00FD211F">
        <w:rPr>
          <w:sz w:val="36"/>
          <w:szCs w:val="36"/>
          <w:rtl/>
        </w:rPr>
        <w:t xml:space="preserve">ة </w:t>
      </w:r>
      <w:r w:rsidRPr="00FD211F">
        <w:rPr>
          <w:sz w:val="36"/>
          <w:szCs w:val="36"/>
          <w:rtl/>
        </w:rPr>
        <w:t>عن تفسير القمي ولاتوجد في هذا التفسير الذي بايدينا</w:t>
      </w:r>
      <w:r w:rsidR="00603323" w:rsidRPr="00FD211F">
        <w:rPr>
          <w:sz w:val="36"/>
          <w:szCs w:val="36"/>
          <w:rtl/>
        </w:rPr>
        <w:t xml:space="preserve">، </w:t>
      </w:r>
      <w:r w:rsidRPr="00FD211F">
        <w:rPr>
          <w:sz w:val="36"/>
          <w:szCs w:val="36"/>
          <w:rtl/>
        </w:rPr>
        <w:t>ومع هذا الاضطراب والاختلاف فلايمكن تصحيح هذا التفسير</w:t>
      </w:r>
      <w:r w:rsidR="00E8128F">
        <w:rPr>
          <w:sz w:val="36"/>
          <w:szCs w:val="36"/>
          <w:rtl/>
        </w:rPr>
        <w:t xml:space="preserve"> </w:t>
      </w:r>
      <w:r w:rsidRPr="00FD211F">
        <w:rPr>
          <w:sz w:val="36"/>
          <w:szCs w:val="36"/>
          <w:rtl/>
        </w:rPr>
        <w:t>الموجود</w:t>
      </w:r>
      <w:r w:rsidR="00E8128F">
        <w:rPr>
          <w:sz w:val="36"/>
          <w:szCs w:val="36"/>
          <w:rtl/>
        </w:rPr>
        <w:t xml:space="preserve"> </w:t>
      </w:r>
      <w:r w:rsidRPr="00FD211F">
        <w:rPr>
          <w:sz w:val="36"/>
          <w:szCs w:val="36"/>
          <w:rtl/>
        </w:rPr>
        <w:t>بايدينا</w:t>
      </w:r>
      <w:r w:rsidR="00E8128F">
        <w:rPr>
          <w:sz w:val="36"/>
          <w:szCs w:val="36"/>
          <w:rtl/>
        </w:rPr>
        <w:t xml:space="preserve"> </w:t>
      </w:r>
      <w:r w:rsidRPr="00FD211F">
        <w:rPr>
          <w:sz w:val="36"/>
          <w:szCs w:val="36"/>
          <w:rtl/>
        </w:rPr>
        <w:t>وانتسابه</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القمي.</w:t>
      </w:r>
    </w:p>
    <w:p w14:paraId="27016DB5" w14:textId="77777777" w:rsidR="000C5BBA" w:rsidRPr="00FD211F" w:rsidRDefault="00E25A92" w:rsidP="009C58C8">
      <w:pPr>
        <w:ind w:left="0" w:firstLine="227"/>
        <w:jc w:val="both"/>
        <w:rPr>
          <w:sz w:val="36"/>
          <w:szCs w:val="36"/>
          <w:rtl/>
        </w:rPr>
      </w:pPr>
      <w:r w:rsidRPr="00FD211F">
        <w:rPr>
          <w:sz w:val="36"/>
          <w:szCs w:val="36"/>
          <w:rtl/>
        </w:rPr>
        <w:t>هذا</w:t>
      </w:r>
      <w:r w:rsidR="00C020C1" w:rsidRPr="00FD211F">
        <w:rPr>
          <w:sz w:val="36"/>
          <w:szCs w:val="36"/>
          <w:rtl/>
        </w:rPr>
        <w:t>والمهمّ</w:t>
      </w:r>
      <w:r w:rsidR="00E8128F">
        <w:rPr>
          <w:sz w:val="36"/>
          <w:szCs w:val="36"/>
          <w:rtl/>
        </w:rPr>
        <w:t xml:space="preserve"> </w:t>
      </w:r>
      <w:r w:rsidR="00C020C1" w:rsidRPr="00FD211F">
        <w:rPr>
          <w:sz w:val="36"/>
          <w:szCs w:val="36"/>
          <w:rtl/>
        </w:rPr>
        <w:t>انه</w:t>
      </w:r>
      <w:r w:rsidR="00E8128F">
        <w:rPr>
          <w:sz w:val="36"/>
          <w:szCs w:val="36"/>
          <w:rtl/>
        </w:rPr>
        <w:t xml:space="preserve"> </w:t>
      </w:r>
      <w:r w:rsidR="00C020C1" w:rsidRPr="00FD211F">
        <w:rPr>
          <w:sz w:val="36"/>
          <w:szCs w:val="36"/>
          <w:rtl/>
        </w:rPr>
        <w:t>لايستفاد</w:t>
      </w:r>
      <w:r w:rsidR="00E8128F">
        <w:rPr>
          <w:sz w:val="36"/>
          <w:szCs w:val="36"/>
          <w:rtl/>
        </w:rPr>
        <w:t xml:space="preserve"> </w:t>
      </w:r>
      <w:r w:rsidR="00C020C1" w:rsidRPr="00FD211F">
        <w:rPr>
          <w:sz w:val="36"/>
          <w:szCs w:val="36"/>
          <w:rtl/>
        </w:rPr>
        <w:t>من</w:t>
      </w:r>
      <w:r w:rsidR="00E8128F">
        <w:rPr>
          <w:sz w:val="36"/>
          <w:szCs w:val="36"/>
          <w:rtl/>
        </w:rPr>
        <w:t xml:space="preserve"> </w:t>
      </w:r>
      <w:r w:rsidR="00C020C1" w:rsidRPr="00FD211F">
        <w:rPr>
          <w:sz w:val="36"/>
          <w:szCs w:val="36"/>
          <w:rtl/>
        </w:rPr>
        <w:t>هذا</w:t>
      </w:r>
      <w:r w:rsidR="00E8128F">
        <w:rPr>
          <w:sz w:val="36"/>
          <w:szCs w:val="36"/>
          <w:rtl/>
        </w:rPr>
        <w:t xml:space="preserve"> </w:t>
      </w:r>
      <w:r w:rsidR="00C020C1" w:rsidRPr="00FD211F">
        <w:rPr>
          <w:sz w:val="36"/>
          <w:szCs w:val="36"/>
          <w:rtl/>
        </w:rPr>
        <w:t>التفسير</w:t>
      </w:r>
      <w:r w:rsidR="00E8128F">
        <w:rPr>
          <w:sz w:val="36"/>
          <w:szCs w:val="36"/>
          <w:rtl/>
        </w:rPr>
        <w:t xml:space="preserve"> </w:t>
      </w:r>
      <w:r w:rsidR="00C020C1" w:rsidRPr="00FD211F">
        <w:rPr>
          <w:sz w:val="36"/>
          <w:szCs w:val="36"/>
          <w:rtl/>
        </w:rPr>
        <w:t>الموجود</w:t>
      </w:r>
      <w:r w:rsidR="00E8128F">
        <w:rPr>
          <w:sz w:val="36"/>
          <w:szCs w:val="36"/>
          <w:rtl/>
        </w:rPr>
        <w:t xml:space="preserve"> </w:t>
      </w:r>
      <w:r w:rsidR="00C020C1" w:rsidRPr="00FD211F">
        <w:rPr>
          <w:sz w:val="36"/>
          <w:szCs w:val="36"/>
          <w:rtl/>
        </w:rPr>
        <w:t>بايدينا</w:t>
      </w:r>
      <w:r w:rsidR="00E8128F">
        <w:rPr>
          <w:sz w:val="36"/>
          <w:szCs w:val="36"/>
          <w:rtl/>
        </w:rPr>
        <w:t xml:space="preserve"> </w:t>
      </w:r>
      <w:r w:rsidR="00C020C1" w:rsidRPr="00FD211F">
        <w:rPr>
          <w:sz w:val="36"/>
          <w:szCs w:val="36"/>
          <w:rtl/>
        </w:rPr>
        <w:t>ان</w:t>
      </w:r>
      <w:r w:rsidR="00E8128F">
        <w:rPr>
          <w:sz w:val="36"/>
          <w:szCs w:val="36"/>
          <w:rtl/>
        </w:rPr>
        <w:t xml:space="preserve"> </w:t>
      </w:r>
      <w:r w:rsidR="00C020C1" w:rsidRPr="00FD211F">
        <w:rPr>
          <w:sz w:val="36"/>
          <w:szCs w:val="36"/>
          <w:rtl/>
        </w:rPr>
        <w:t>التوثيق</w:t>
      </w:r>
      <w:r w:rsidR="00E8128F">
        <w:rPr>
          <w:sz w:val="36"/>
          <w:szCs w:val="36"/>
          <w:rtl/>
        </w:rPr>
        <w:t xml:space="preserve"> </w:t>
      </w:r>
      <w:r w:rsidR="00C020C1" w:rsidRPr="00FD211F">
        <w:rPr>
          <w:sz w:val="36"/>
          <w:szCs w:val="36"/>
          <w:rtl/>
        </w:rPr>
        <w:t>العام</w:t>
      </w:r>
      <w:r w:rsidR="00E8128F">
        <w:rPr>
          <w:sz w:val="36"/>
          <w:szCs w:val="36"/>
          <w:rtl/>
        </w:rPr>
        <w:t xml:space="preserve"> </w:t>
      </w:r>
      <w:r w:rsidR="00C020C1" w:rsidRPr="00FD211F">
        <w:rPr>
          <w:sz w:val="36"/>
          <w:szCs w:val="36"/>
          <w:rtl/>
        </w:rPr>
        <w:t>المذكور</w:t>
      </w:r>
      <w:r w:rsidR="00E8128F">
        <w:rPr>
          <w:sz w:val="36"/>
          <w:szCs w:val="36"/>
          <w:rtl/>
        </w:rPr>
        <w:t xml:space="preserve"> </w:t>
      </w:r>
      <w:r w:rsidR="00C020C1" w:rsidRPr="00FD211F">
        <w:rPr>
          <w:sz w:val="36"/>
          <w:szCs w:val="36"/>
          <w:rtl/>
        </w:rPr>
        <w:t>في</w:t>
      </w:r>
      <w:r w:rsidR="00E8128F">
        <w:rPr>
          <w:sz w:val="36"/>
          <w:szCs w:val="36"/>
          <w:rtl/>
        </w:rPr>
        <w:t xml:space="preserve"> </w:t>
      </w:r>
      <w:r w:rsidR="00C020C1" w:rsidRPr="00FD211F">
        <w:rPr>
          <w:sz w:val="36"/>
          <w:szCs w:val="36"/>
          <w:rtl/>
        </w:rPr>
        <w:t>مقدم</w:t>
      </w:r>
      <w:r w:rsidR="00EC7EDF" w:rsidRPr="00FD211F">
        <w:rPr>
          <w:sz w:val="36"/>
          <w:szCs w:val="36"/>
          <w:rtl/>
        </w:rPr>
        <w:t>ة</w:t>
      </w:r>
      <w:r w:rsidR="00E8128F">
        <w:rPr>
          <w:sz w:val="36"/>
          <w:szCs w:val="36"/>
          <w:rtl/>
        </w:rPr>
        <w:t xml:space="preserve"> </w:t>
      </w:r>
      <w:r w:rsidR="00C020C1" w:rsidRPr="00FD211F">
        <w:rPr>
          <w:sz w:val="36"/>
          <w:szCs w:val="36"/>
          <w:rtl/>
        </w:rPr>
        <w:t>التفسير</w:t>
      </w:r>
      <w:r w:rsidR="009C58C8" w:rsidRPr="00FD211F">
        <w:rPr>
          <w:rStyle w:val="a6"/>
          <w:sz w:val="36"/>
          <w:szCs w:val="36"/>
          <w:rtl/>
        </w:rPr>
        <w:t>(</w:t>
      </w:r>
      <w:r w:rsidR="009C58C8" w:rsidRPr="00FD211F">
        <w:rPr>
          <w:rStyle w:val="a6"/>
          <w:sz w:val="36"/>
          <w:szCs w:val="36"/>
          <w:rtl/>
        </w:rPr>
        <w:footnoteReference w:id="507"/>
      </w:r>
      <w:r w:rsidR="009C58C8" w:rsidRPr="00FD211F">
        <w:rPr>
          <w:rStyle w:val="a6"/>
          <w:sz w:val="36"/>
          <w:szCs w:val="36"/>
          <w:rtl/>
        </w:rPr>
        <w:t>)</w:t>
      </w:r>
      <w:r w:rsidR="00E8128F">
        <w:rPr>
          <w:sz w:val="36"/>
          <w:szCs w:val="36"/>
          <w:rtl/>
        </w:rPr>
        <w:t xml:space="preserve"> </w:t>
      </w:r>
      <w:r w:rsidR="00C020C1" w:rsidRPr="00FD211F">
        <w:rPr>
          <w:sz w:val="36"/>
          <w:szCs w:val="36"/>
          <w:rtl/>
        </w:rPr>
        <w:t>هو</w:t>
      </w:r>
      <w:r w:rsidR="00E8128F">
        <w:rPr>
          <w:sz w:val="36"/>
          <w:szCs w:val="36"/>
          <w:rtl/>
        </w:rPr>
        <w:t xml:space="preserve"> </w:t>
      </w:r>
      <w:r w:rsidR="00C020C1" w:rsidRPr="00FD211F">
        <w:rPr>
          <w:sz w:val="36"/>
          <w:szCs w:val="36"/>
          <w:rtl/>
        </w:rPr>
        <w:t>من</w:t>
      </w:r>
      <w:r w:rsidR="00E8128F">
        <w:rPr>
          <w:sz w:val="36"/>
          <w:szCs w:val="36"/>
          <w:rtl/>
        </w:rPr>
        <w:t xml:space="preserve"> </w:t>
      </w:r>
      <w:r w:rsidR="00C020C1" w:rsidRPr="00FD211F">
        <w:rPr>
          <w:sz w:val="36"/>
          <w:szCs w:val="36"/>
          <w:rtl/>
        </w:rPr>
        <w:t>كلام</w:t>
      </w:r>
      <w:r w:rsidR="00E8128F">
        <w:rPr>
          <w:sz w:val="36"/>
          <w:szCs w:val="36"/>
          <w:rtl/>
        </w:rPr>
        <w:t xml:space="preserve"> </w:t>
      </w:r>
      <w:r w:rsidR="00C020C1" w:rsidRPr="00FD211F">
        <w:rPr>
          <w:sz w:val="36"/>
          <w:szCs w:val="36"/>
          <w:rtl/>
        </w:rPr>
        <w:t>علي‌بن‌ابراهيم</w:t>
      </w:r>
      <w:r w:rsidR="00E8128F">
        <w:rPr>
          <w:sz w:val="36"/>
          <w:szCs w:val="36"/>
          <w:rtl/>
        </w:rPr>
        <w:t xml:space="preserve"> </w:t>
      </w:r>
      <w:r w:rsidR="00C020C1" w:rsidRPr="00FD211F">
        <w:rPr>
          <w:sz w:val="36"/>
          <w:szCs w:val="36"/>
          <w:rtl/>
        </w:rPr>
        <w:t>القمي</w:t>
      </w:r>
      <w:r w:rsidR="00603323" w:rsidRPr="00FD211F">
        <w:rPr>
          <w:sz w:val="36"/>
          <w:szCs w:val="36"/>
          <w:rtl/>
        </w:rPr>
        <w:t>،</w:t>
      </w:r>
      <w:r w:rsidR="00E8128F">
        <w:rPr>
          <w:sz w:val="36"/>
          <w:szCs w:val="36"/>
          <w:rtl/>
        </w:rPr>
        <w:t xml:space="preserve"> </w:t>
      </w:r>
      <w:r w:rsidR="00C020C1" w:rsidRPr="00FD211F">
        <w:rPr>
          <w:sz w:val="36"/>
          <w:szCs w:val="36"/>
          <w:rtl/>
        </w:rPr>
        <w:t>لانه</w:t>
      </w:r>
      <w:r w:rsidR="00E8128F">
        <w:rPr>
          <w:sz w:val="36"/>
          <w:szCs w:val="36"/>
          <w:rtl/>
        </w:rPr>
        <w:t xml:space="preserve"> </w:t>
      </w:r>
      <w:r w:rsidR="00C020C1" w:rsidRPr="00FD211F">
        <w:rPr>
          <w:sz w:val="36"/>
          <w:szCs w:val="36"/>
          <w:rtl/>
        </w:rPr>
        <w:t>بعد</w:t>
      </w:r>
      <w:r w:rsidR="00E8128F">
        <w:rPr>
          <w:sz w:val="36"/>
          <w:szCs w:val="36"/>
          <w:rtl/>
        </w:rPr>
        <w:t xml:space="preserve"> </w:t>
      </w:r>
      <w:r w:rsidR="00C020C1" w:rsidRPr="00FD211F">
        <w:rPr>
          <w:sz w:val="36"/>
          <w:szCs w:val="36"/>
          <w:rtl/>
        </w:rPr>
        <w:t>انتهاء</w:t>
      </w:r>
      <w:r w:rsidR="00E8128F">
        <w:rPr>
          <w:sz w:val="36"/>
          <w:szCs w:val="36"/>
          <w:rtl/>
        </w:rPr>
        <w:t xml:space="preserve"> </w:t>
      </w:r>
      <w:r w:rsidR="00C020C1" w:rsidRPr="00FD211F">
        <w:rPr>
          <w:sz w:val="36"/>
          <w:szCs w:val="36"/>
          <w:rtl/>
        </w:rPr>
        <w:t>هذه</w:t>
      </w:r>
      <w:r w:rsidR="00E8128F">
        <w:rPr>
          <w:sz w:val="36"/>
          <w:szCs w:val="36"/>
          <w:rtl/>
        </w:rPr>
        <w:t xml:space="preserve"> </w:t>
      </w:r>
      <w:r w:rsidR="00C020C1" w:rsidRPr="00FD211F">
        <w:rPr>
          <w:sz w:val="36"/>
          <w:szCs w:val="36"/>
          <w:rtl/>
        </w:rPr>
        <w:t>المقدم</w:t>
      </w:r>
      <w:r w:rsidR="00EC7EDF" w:rsidRPr="00FD211F">
        <w:rPr>
          <w:sz w:val="36"/>
          <w:szCs w:val="36"/>
          <w:rtl/>
        </w:rPr>
        <w:t>ة</w:t>
      </w:r>
      <w:r w:rsidR="00E8128F">
        <w:rPr>
          <w:sz w:val="36"/>
          <w:szCs w:val="36"/>
          <w:rtl/>
        </w:rPr>
        <w:t xml:space="preserve"> </w:t>
      </w:r>
      <w:r w:rsidR="00C020C1" w:rsidRPr="00FD211F">
        <w:rPr>
          <w:sz w:val="36"/>
          <w:szCs w:val="36"/>
          <w:rtl/>
        </w:rPr>
        <w:t>يقول</w:t>
      </w:r>
      <w:r w:rsidR="00E8128F">
        <w:rPr>
          <w:sz w:val="36"/>
          <w:szCs w:val="36"/>
          <w:rtl/>
        </w:rPr>
        <w:t xml:space="preserve"> </w:t>
      </w:r>
      <w:r w:rsidR="00C020C1" w:rsidRPr="00FD211F">
        <w:rPr>
          <w:sz w:val="36"/>
          <w:szCs w:val="36"/>
          <w:rtl/>
        </w:rPr>
        <w:t>حدثني</w:t>
      </w:r>
      <w:r w:rsidR="00E8128F">
        <w:rPr>
          <w:sz w:val="36"/>
          <w:szCs w:val="36"/>
          <w:rtl/>
        </w:rPr>
        <w:t xml:space="preserve"> </w:t>
      </w:r>
      <w:r w:rsidR="00C020C1" w:rsidRPr="00FD211F">
        <w:rPr>
          <w:sz w:val="36"/>
          <w:szCs w:val="36"/>
          <w:rtl/>
        </w:rPr>
        <w:t>ابوالفضل</w:t>
      </w:r>
      <w:r w:rsidR="00E8128F">
        <w:rPr>
          <w:sz w:val="36"/>
          <w:szCs w:val="36"/>
          <w:rtl/>
        </w:rPr>
        <w:t xml:space="preserve"> </w:t>
      </w:r>
      <w:r w:rsidR="00C020C1" w:rsidRPr="00FD211F">
        <w:rPr>
          <w:sz w:val="36"/>
          <w:szCs w:val="36"/>
          <w:rtl/>
        </w:rPr>
        <w:t>العباس‌بن‌محمدبن</w:t>
      </w:r>
      <w:r w:rsidR="00E8128F">
        <w:rPr>
          <w:sz w:val="36"/>
          <w:szCs w:val="36"/>
          <w:rtl/>
        </w:rPr>
        <w:t xml:space="preserve"> </w:t>
      </w:r>
      <w:r w:rsidR="00C020C1" w:rsidRPr="00FD211F">
        <w:rPr>
          <w:sz w:val="36"/>
          <w:szCs w:val="36"/>
          <w:rtl/>
        </w:rPr>
        <w:t>القاسم‌بن‌حمز</w:t>
      </w:r>
      <w:r w:rsidR="00EC7EDF" w:rsidRPr="00FD211F">
        <w:rPr>
          <w:sz w:val="36"/>
          <w:szCs w:val="36"/>
          <w:rtl/>
        </w:rPr>
        <w:t>ة</w:t>
      </w:r>
      <w:r w:rsidR="00E8128F">
        <w:rPr>
          <w:sz w:val="36"/>
          <w:szCs w:val="36"/>
          <w:rtl/>
        </w:rPr>
        <w:t xml:space="preserve"> </w:t>
      </w:r>
      <w:r w:rsidR="00C020C1" w:rsidRPr="00FD211F">
        <w:rPr>
          <w:sz w:val="36"/>
          <w:szCs w:val="36"/>
          <w:rtl/>
        </w:rPr>
        <w:t>بن‌موسى‌بن‌جعفر</w:t>
      </w:r>
      <w:r w:rsidR="00E8128F">
        <w:rPr>
          <w:sz w:val="36"/>
          <w:szCs w:val="36"/>
          <w:rtl/>
        </w:rPr>
        <w:t xml:space="preserve"> </w:t>
      </w:r>
      <w:r w:rsidR="00C020C1" w:rsidRPr="00FD211F">
        <w:rPr>
          <w:sz w:val="36"/>
          <w:szCs w:val="36"/>
          <w:rtl/>
        </w:rPr>
        <w:t>قال</w:t>
      </w:r>
      <w:r w:rsidR="00E8128F">
        <w:rPr>
          <w:sz w:val="36"/>
          <w:szCs w:val="36"/>
          <w:rtl/>
        </w:rPr>
        <w:t xml:space="preserve"> </w:t>
      </w:r>
      <w:r w:rsidR="00C020C1" w:rsidRPr="00FD211F">
        <w:rPr>
          <w:sz w:val="36"/>
          <w:szCs w:val="36"/>
          <w:rtl/>
        </w:rPr>
        <w:t>حدثنا</w:t>
      </w:r>
      <w:r w:rsidR="00E8128F">
        <w:rPr>
          <w:sz w:val="36"/>
          <w:szCs w:val="36"/>
          <w:rtl/>
        </w:rPr>
        <w:t xml:space="preserve"> </w:t>
      </w:r>
      <w:r w:rsidR="00C020C1" w:rsidRPr="00FD211F">
        <w:rPr>
          <w:sz w:val="36"/>
          <w:szCs w:val="36"/>
          <w:rtl/>
        </w:rPr>
        <w:t>على‌بن‌ابراهيم...</w:t>
      </w:r>
      <w:r w:rsidR="009C58C8" w:rsidRPr="00FD211F">
        <w:rPr>
          <w:rStyle w:val="a6"/>
          <w:sz w:val="36"/>
          <w:szCs w:val="36"/>
          <w:rtl/>
        </w:rPr>
        <w:t>(</w:t>
      </w:r>
      <w:r w:rsidR="009C58C8" w:rsidRPr="00FD211F">
        <w:rPr>
          <w:rStyle w:val="a6"/>
          <w:sz w:val="36"/>
          <w:szCs w:val="36"/>
          <w:rtl/>
        </w:rPr>
        <w:footnoteReference w:id="508"/>
      </w:r>
      <w:r w:rsidR="009C58C8" w:rsidRPr="00FD211F">
        <w:rPr>
          <w:rStyle w:val="a6"/>
          <w:sz w:val="36"/>
          <w:szCs w:val="36"/>
          <w:rtl/>
        </w:rPr>
        <w:t>)</w:t>
      </w:r>
      <w:r w:rsidR="00603323" w:rsidRPr="00FD211F">
        <w:rPr>
          <w:sz w:val="36"/>
          <w:szCs w:val="36"/>
          <w:rtl/>
        </w:rPr>
        <w:t>،</w:t>
      </w:r>
      <w:r w:rsidR="00E8128F">
        <w:rPr>
          <w:sz w:val="36"/>
          <w:szCs w:val="36"/>
          <w:rtl/>
        </w:rPr>
        <w:t xml:space="preserve"> </w:t>
      </w:r>
      <w:r w:rsidR="00C020C1" w:rsidRPr="00FD211F">
        <w:rPr>
          <w:sz w:val="36"/>
          <w:szCs w:val="36"/>
          <w:rtl/>
        </w:rPr>
        <w:t>فمن</w:t>
      </w:r>
      <w:r w:rsidR="00E8128F">
        <w:rPr>
          <w:sz w:val="36"/>
          <w:szCs w:val="36"/>
          <w:rtl/>
        </w:rPr>
        <w:t xml:space="preserve"> </w:t>
      </w:r>
      <w:r w:rsidR="00C020C1" w:rsidRPr="00FD211F">
        <w:rPr>
          <w:sz w:val="36"/>
          <w:szCs w:val="36"/>
          <w:rtl/>
        </w:rPr>
        <w:t>المحتمل</w:t>
      </w:r>
      <w:r w:rsidR="00E8128F">
        <w:rPr>
          <w:sz w:val="36"/>
          <w:szCs w:val="36"/>
          <w:rtl/>
        </w:rPr>
        <w:t xml:space="preserve"> </w:t>
      </w:r>
      <w:r w:rsidR="00C020C1" w:rsidRPr="00FD211F">
        <w:rPr>
          <w:sz w:val="36"/>
          <w:szCs w:val="36"/>
          <w:rtl/>
        </w:rPr>
        <w:t>جدا</w:t>
      </w:r>
      <w:r w:rsidR="00E8128F">
        <w:rPr>
          <w:sz w:val="36"/>
          <w:szCs w:val="36"/>
          <w:rtl/>
        </w:rPr>
        <w:t xml:space="preserve"> </w:t>
      </w:r>
      <w:r w:rsidR="00C020C1" w:rsidRPr="00FD211F">
        <w:rPr>
          <w:sz w:val="36"/>
          <w:szCs w:val="36"/>
          <w:rtl/>
        </w:rPr>
        <w:t>ان</w:t>
      </w:r>
      <w:r w:rsidR="00E8128F">
        <w:rPr>
          <w:sz w:val="36"/>
          <w:szCs w:val="36"/>
          <w:rtl/>
        </w:rPr>
        <w:t xml:space="preserve"> </w:t>
      </w:r>
      <w:r w:rsidR="00C020C1" w:rsidRPr="00FD211F">
        <w:rPr>
          <w:sz w:val="36"/>
          <w:szCs w:val="36"/>
          <w:rtl/>
        </w:rPr>
        <w:t>يكون</w:t>
      </w:r>
      <w:r w:rsidR="00E8128F">
        <w:rPr>
          <w:sz w:val="36"/>
          <w:szCs w:val="36"/>
          <w:rtl/>
        </w:rPr>
        <w:t xml:space="preserve"> </w:t>
      </w:r>
      <w:r w:rsidR="00C020C1" w:rsidRPr="00FD211F">
        <w:rPr>
          <w:sz w:val="36"/>
          <w:szCs w:val="36"/>
          <w:rtl/>
        </w:rPr>
        <w:t>المقدم</w:t>
      </w:r>
      <w:r w:rsidR="00EC7EDF" w:rsidRPr="00FD211F">
        <w:rPr>
          <w:sz w:val="36"/>
          <w:szCs w:val="36"/>
          <w:rtl/>
        </w:rPr>
        <w:t>ة</w:t>
      </w:r>
      <w:r w:rsidR="00E8128F">
        <w:rPr>
          <w:sz w:val="36"/>
          <w:szCs w:val="36"/>
          <w:rtl/>
        </w:rPr>
        <w:t xml:space="preserve"> </w:t>
      </w:r>
      <w:r w:rsidR="00C020C1" w:rsidRPr="00FD211F">
        <w:rPr>
          <w:sz w:val="36"/>
          <w:szCs w:val="36"/>
          <w:rtl/>
        </w:rPr>
        <w:t>لابي‌الفضل</w:t>
      </w:r>
      <w:r w:rsidR="00E8128F">
        <w:rPr>
          <w:sz w:val="36"/>
          <w:szCs w:val="36"/>
          <w:rtl/>
        </w:rPr>
        <w:t xml:space="preserve"> </w:t>
      </w:r>
      <w:r w:rsidR="00C020C1" w:rsidRPr="00FD211F">
        <w:rPr>
          <w:sz w:val="36"/>
          <w:szCs w:val="36"/>
          <w:rtl/>
        </w:rPr>
        <w:t>العباس</w:t>
      </w:r>
      <w:r w:rsidR="00E8128F">
        <w:rPr>
          <w:sz w:val="36"/>
          <w:szCs w:val="36"/>
          <w:rtl/>
        </w:rPr>
        <w:t xml:space="preserve"> </w:t>
      </w:r>
      <w:r w:rsidR="00C020C1" w:rsidRPr="00FD211F">
        <w:rPr>
          <w:sz w:val="36"/>
          <w:szCs w:val="36"/>
          <w:rtl/>
        </w:rPr>
        <w:t>او</w:t>
      </w:r>
      <w:r w:rsidR="00E8128F">
        <w:rPr>
          <w:sz w:val="36"/>
          <w:szCs w:val="36"/>
          <w:rtl/>
        </w:rPr>
        <w:t xml:space="preserve"> </w:t>
      </w:r>
      <w:r w:rsidR="00C020C1" w:rsidRPr="00FD211F">
        <w:rPr>
          <w:sz w:val="36"/>
          <w:szCs w:val="36"/>
          <w:rtl/>
        </w:rPr>
        <w:t>احد</w:t>
      </w:r>
      <w:r w:rsidR="00E8128F">
        <w:rPr>
          <w:sz w:val="36"/>
          <w:szCs w:val="36"/>
          <w:rtl/>
        </w:rPr>
        <w:t xml:space="preserve"> </w:t>
      </w:r>
      <w:r w:rsidR="00C020C1" w:rsidRPr="00FD211F">
        <w:rPr>
          <w:sz w:val="36"/>
          <w:szCs w:val="36"/>
          <w:rtl/>
        </w:rPr>
        <w:t>تلامذته</w:t>
      </w:r>
      <w:r w:rsidR="00603323" w:rsidRPr="00FD211F">
        <w:rPr>
          <w:sz w:val="36"/>
          <w:szCs w:val="36"/>
          <w:rtl/>
        </w:rPr>
        <w:t>،</w:t>
      </w:r>
      <w:r w:rsidR="00E8128F">
        <w:rPr>
          <w:sz w:val="36"/>
          <w:szCs w:val="36"/>
          <w:rtl/>
        </w:rPr>
        <w:t xml:space="preserve"> </w:t>
      </w:r>
      <w:r w:rsidR="00C020C1" w:rsidRPr="00FD211F">
        <w:rPr>
          <w:sz w:val="36"/>
          <w:szCs w:val="36"/>
          <w:rtl/>
        </w:rPr>
        <w:t>ول</w:t>
      </w:r>
      <w:r w:rsidR="004C519C" w:rsidRPr="00FD211F">
        <w:rPr>
          <w:sz w:val="36"/>
          <w:szCs w:val="36"/>
          <w:rtl/>
        </w:rPr>
        <w:t>ااعتبار</w:t>
      </w:r>
      <w:r w:rsidR="00E8128F">
        <w:rPr>
          <w:sz w:val="36"/>
          <w:szCs w:val="36"/>
          <w:rtl/>
        </w:rPr>
        <w:t xml:space="preserve"> </w:t>
      </w:r>
      <w:r w:rsidR="004C519C" w:rsidRPr="00FD211F">
        <w:rPr>
          <w:sz w:val="36"/>
          <w:szCs w:val="36"/>
          <w:rtl/>
        </w:rPr>
        <w:t>بتوثيقهما</w:t>
      </w:r>
      <w:r w:rsidR="00E8128F">
        <w:rPr>
          <w:sz w:val="36"/>
          <w:szCs w:val="36"/>
          <w:rtl/>
        </w:rPr>
        <w:t xml:space="preserve"> </w:t>
      </w:r>
      <w:r w:rsidR="004C519C" w:rsidRPr="00FD211F">
        <w:rPr>
          <w:sz w:val="36"/>
          <w:szCs w:val="36"/>
          <w:rtl/>
        </w:rPr>
        <w:t>لجهال</w:t>
      </w:r>
      <w:r w:rsidR="00EC7EDF" w:rsidRPr="00FD211F">
        <w:rPr>
          <w:sz w:val="36"/>
          <w:szCs w:val="36"/>
          <w:rtl/>
        </w:rPr>
        <w:t>ة</w:t>
      </w:r>
      <w:r w:rsidR="00E8128F">
        <w:rPr>
          <w:sz w:val="36"/>
          <w:szCs w:val="36"/>
          <w:rtl/>
        </w:rPr>
        <w:t xml:space="preserve"> </w:t>
      </w:r>
      <w:r w:rsidR="004C519C" w:rsidRPr="00FD211F">
        <w:rPr>
          <w:sz w:val="36"/>
          <w:szCs w:val="36"/>
          <w:rtl/>
        </w:rPr>
        <w:t>امرهما.</w:t>
      </w:r>
    </w:p>
    <w:p w14:paraId="7CDA7897" w14:textId="77777777" w:rsidR="00C020C1" w:rsidRPr="00FD211F" w:rsidRDefault="004C519C" w:rsidP="009C58C8">
      <w:pPr>
        <w:ind w:left="0" w:firstLine="227"/>
        <w:jc w:val="both"/>
        <w:rPr>
          <w:sz w:val="36"/>
          <w:szCs w:val="36"/>
          <w:rtl/>
        </w:rPr>
      </w:pPr>
      <w:r w:rsidRPr="00FD211F">
        <w:rPr>
          <w:sz w:val="36"/>
          <w:szCs w:val="36"/>
          <w:rtl/>
        </w:rPr>
        <w:t>واما</w:t>
      </w:r>
      <w:r w:rsidR="00C020C1" w:rsidRPr="00FD211F">
        <w:rPr>
          <w:sz w:val="36"/>
          <w:szCs w:val="36"/>
          <w:rtl/>
        </w:rPr>
        <w:t>ما</w:t>
      </w:r>
      <w:r w:rsidR="00E8128F">
        <w:rPr>
          <w:sz w:val="36"/>
          <w:szCs w:val="36"/>
          <w:rtl/>
        </w:rPr>
        <w:t xml:space="preserve"> </w:t>
      </w:r>
      <w:r w:rsidR="00C020C1" w:rsidRPr="00FD211F">
        <w:rPr>
          <w:sz w:val="36"/>
          <w:szCs w:val="36"/>
          <w:rtl/>
        </w:rPr>
        <w:t>قد</w:t>
      </w:r>
      <w:r w:rsidR="00E8128F">
        <w:rPr>
          <w:sz w:val="36"/>
          <w:szCs w:val="36"/>
          <w:rtl/>
        </w:rPr>
        <w:t xml:space="preserve"> </w:t>
      </w:r>
      <w:r w:rsidR="00C020C1" w:rsidRPr="00FD211F">
        <w:rPr>
          <w:sz w:val="36"/>
          <w:szCs w:val="36"/>
          <w:rtl/>
        </w:rPr>
        <w:t>يقال</w:t>
      </w:r>
      <w:r w:rsidR="00E8128F">
        <w:rPr>
          <w:sz w:val="36"/>
          <w:szCs w:val="36"/>
          <w:rtl/>
        </w:rPr>
        <w:t xml:space="preserve"> </w:t>
      </w:r>
      <w:r w:rsidR="00C020C1" w:rsidRPr="00FD211F">
        <w:rPr>
          <w:sz w:val="36"/>
          <w:szCs w:val="36"/>
          <w:rtl/>
        </w:rPr>
        <w:t>من</w:t>
      </w:r>
      <w:r w:rsidR="00E8128F">
        <w:rPr>
          <w:sz w:val="36"/>
          <w:szCs w:val="36"/>
          <w:rtl/>
        </w:rPr>
        <w:t xml:space="preserve"> </w:t>
      </w:r>
      <w:r w:rsidR="00C020C1" w:rsidRPr="00FD211F">
        <w:rPr>
          <w:sz w:val="36"/>
          <w:szCs w:val="36"/>
          <w:rtl/>
        </w:rPr>
        <w:t>ان</w:t>
      </w:r>
      <w:r w:rsidR="00E8128F">
        <w:rPr>
          <w:sz w:val="36"/>
          <w:szCs w:val="36"/>
          <w:rtl/>
        </w:rPr>
        <w:t xml:space="preserve"> </w:t>
      </w:r>
      <w:r w:rsidR="00C020C1" w:rsidRPr="00FD211F">
        <w:rPr>
          <w:sz w:val="36"/>
          <w:szCs w:val="36"/>
          <w:rtl/>
        </w:rPr>
        <w:t>صاح</w:t>
      </w:r>
      <w:r w:rsidRPr="00FD211F">
        <w:rPr>
          <w:sz w:val="36"/>
          <w:szCs w:val="36"/>
          <w:rtl/>
        </w:rPr>
        <w:t>ب</w:t>
      </w:r>
      <w:r w:rsidR="00E8128F">
        <w:rPr>
          <w:sz w:val="36"/>
          <w:szCs w:val="36"/>
          <w:rtl/>
        </w:rPr>
        <w:t xml:space="preserve"> </w:t>
      </w:r>
      <w:r w:rsidRPr="00FD211F">
        <w:rPr>
          <w:sz w:val="36"/>
          <w:szCs w:val="36"/>
          <w:rtl/>
        </w:rPr>
        <w:t>الوسائل</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نقل</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العبار</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00C020C1" w:rsidRPr="00FD211F">
        <w:rPr>
          <w:sz w:val="36"/>
          <w:szCs w:val="36"/>
          <w:rtl/>
        </w:rPr>
        <w:t>تفسير</w:t>
      </w:r>
      <w:r w:rsidRPr="00FD211F">
        <w:rPr>
          <w:sz w:val="36"/>
          <w:szCs w:val="36"/>
          <w:rtl/>
        </w:rPr>
        <w:t>ا</w:t>
      </w:r>
      <w:r w:rsidR="00C020C1" w:rsidRPr="00FD211F">
        <w:rPr>
          <w:sz w:val="36"/>
          <w:szCs w:val="36"/>
          <w:rtl/>
        </w:rPr>
        <w:t>لقمي</w:t>
      </w:r>
      <w:r w:rsidR="00603323" w:rsidRPr="00FD211F">
        <w:rPr>
          <w:sz w:val="36"/>
          <w:szCs w:val="36"/>
          <w:rtl/>
        </w:rPr>
        <w:t>،</w:t>
      </w:r>
      <w:r w:rsidR="00E8128F">
        <w:rPr>
          <w:sz w:val="36"/>
          <w:szCs w:val="36"/>
          <w:rtl/>
        </w:rPr>
        <w:t xml:space="preserve"> </w:t>
      </w:r>
      <w:r w:rsidR="00C020C1" w:rsidRPr="00FD211F">
        <w:rPr>
          <w:sz w:val="36"/>
          <w:szCs w:val="36"/>
          <w:rtl/>
        </w:rPr>
        <w:t>ولصاحب</w:t>
      </w:r>
      <w:r w:rsidR="00E8128F">
        <w:rPr>
          <w:sz w:val="36"/>
          <w:szCs w:val="36"/>
          <w:rtl/>
        </w:rPr>
        <w:t xml:space="preserve"> </w:t>
      </w:r>
      <w:r w:rsidR="00C020C1" w:rsidRPr="00FD211F">
        <w:rPr>
          <w:sz w:val="36"/>
          <w:szCs w:val="36"/>
          <w:rtl/>
        </w:rPr>
        <w:t>الوسائل</w:t>
      </w:r>
      <w:r w:rsidR="00E8128F">
        <w:rPr>
          <w:sz w:val="36"/>
          <w:szCs w:val="36"/>
          <w:rtl/>
        </w:rPr>
        <w:t xml:space="preserve"> </w:t>
      </w:r>
      <w:r w:rsidR="00C020C1" w:rsidRPr="00FD211F">
        <w:rPr>
          <w:sz w:val="36"/>
          <w:szCs w:val="36"/>
          <w:rtl/>
        </w:rPr>
        <w:t>طريق</w:t>
      </w:r>
      <w:r w:rsidR="00E8128F">
        <w:rPr>
          <w:sz w:val="36"/>
          <w:szCs w:val="36"/>
          <w:rtl/>
        </w:rPr>
        <w:t xml:space="preserve"> </w:t>
      </w:r>
      <w:r w:rsidR="00C020C1" w:rsidRPr="00FD211F">
        <w:rPr>
          <w:sz w:val="36"/>
          <w:szCs w:val="36"/>
          <w:rtl/>
        </w:rPr>
        <w:t>صحيح</w:t>
      </w:r>
      <w:r w:rsidR="00E8128F">
        <w:rPr>
          <w:sz w:val="36"/>
          <w:szCs w:val="36"/>
          <w:rtl/>
        </w:rPr>
        <w:t xml:space="preserve"> </w:t>
      </w:r>
      <w:r w:rsidR="00C020C1" w:rsidRPr="00FD211F">
        <w:rPr>
          <w:sz w:val="36"/>
          <w:szCs w:val="36"/>
          <w:rtl/>
        </w:rPr>
        <w:t>الى</w:t>
      </w:r>
      <w:r w:rsidR="00E8128F">
        <w:rPr>
          <w:sz w:val="36"/>
          <w:szCs w:val="36"/>
          <w:rtl/>
        </w:rPr>
        <w:t xml:space="preserve"> </w:t>
      </w:r>
      <w:r w:rsidR="00C020C1" w:rsidRPr="00FD211F">
        <w:rPr>
          <w:sz w:val="36"/>
          <w:szCs w:val="36"/>
          <w:rtl/>
        </w:rPr>
        <w:t>هذا</w:t>
      </w:r>
      <w:r w:rsidR="00E8128F">
        <w:rPr>
          <w:sz w:val="36"/>
          <w:szCs w:val="36"/>
          <w:rtl/>
        </w:rPr>
        <w:t xml:space="preserve"> </w:t>
      </w:r>
      <w:r w:rsidR="00C020C1" w:rsidRPr="00FD211F">
        <w:rPr>
          <w:sz w:val="36"/>
          <w:szCs w:val="36"/>
          <w:rtl/>
        </w:rPr>
        <w:t>الكتاب</w:t>
      </w:r>
      <w:r w:rsidR="00603323" w:rsidRPr="00FD211F">
        <w:rPr>
          <w:sz w:val="36"/>
          <w:szCs w:val="36"/>
          <w:rtl/>
        </w:rPr>
        <w:t>،</w:t>
      </w:r>
      <w:r w:rsidR="00E8128F">
        <w:rPr>
          <w:sz w:val="36"/>
          <w:szCs w:val="36"/>
          <w:rtl/>
        </w:rPr>
        <w:t xml:space="preserve"> </w:t>
      </w:r>
      <w:r w:rsidR="00C020C1" w:rsidRPr="00FD211F">
        <w:rPr>
          <w:sz w:val="36"/>
          <w:szCs w:val="36"/>
          <w:rtl/>
        </w:rPr>
        <w:t>فقدأقمنا</w:t>
      </w:r>
      <w:r w:rsidR="00E8128F">
        <w:rPr>
          <w:sz w:val="36"/>
          <w:szCs w:val="36"/>
          <w:rtl/>
        </w:rPr>
        <w:t xml:space="preserve"> </w:t>
      </w:r>
      <w:r w:rsidR="00C020C1" w:rsidRPr="00FD211F">
        <w:rPr>
          <w:sz w:val="36"/>
          <w:szCs w:val="36"/>
          <w:rtl/>
        </w:rPr>
        <w:t>في</w:t>
      </w:r>
      <w:r w:rsidR="00E8128F">
        <w:rPr>
          <w:sz w:val="36"/>
          <w:szCs w:val="36"/>
          <w:rtl/>
        </w:rPr>
        <w:t xml:space="preserve"> </w:t>
      </w:r>
      <w:r w:rsidR="00C020C1" w:rsidRPr="00FD211F">
        <w:rPr>
          <w:sz w:val="36"/>
          <w:szCs w:val="36"/>
          <w:rtl/>
        </w:rPr>
        <w:t>البحث</w:t>
      </w:r>
      <w:r w:rsidR="00E8128F">
        <w:rPr>
          <w:sz w:val="36"/>
          <w:szCs w:val="36"/>
          <w:rtl/>
        </w:rPr>
        <w:t xml:space="preserve"> </w:t>
      </w:r>
      <w:r w:rsidR="00C020C1" w:rsidRPr="00FD211F">
        <w:rPr>
          <w:sz w:val="36"/>
          <w:szCs w:val="36"/>
          <w:rtl/>
        </w:rPr>
        <w:t>عن</w:t>
      </w:r>
      <w:r w:rsidR="00E8128F">
        <w:rPr>
          <w:sz w:val="36"/>
          <w:szCs w:val="36"/>
          <w:rtl/>
        </w:rPr>
        <w:t xml:space="preserve"> </w:t>
      </w:r>
      <w:r w:rsidR="00C020C1" w:rsidRPr="00FD211F">
        <w:rPr>
          <w:sz w:val="36"/>
          <w:szCs w:val="36"/>
          <w:rtl/>
        </w:rPr>
        <w:t>سند</w:t>
      </w:r>
      <w:r w:rsidR="00E8128F">
        <w:rPr>
          <w:sz w:val="36"/>
          <w:szCs w:val="36"/>
          <w:rtl/>
        </w:rPr>
        <w:t xml:space="preserve"> </w:t>
      </w:r>
      <w:r w:rsidR="00C020C1" w:rsidRPr="00FD211F">
        <w:rPr>
          <w:sz w:val="36"/>
          <w:szCs w:val="36"/>
          <w:rtl/>
        </w:rPr>
        <w:t>رواي</w:t>
      </w:r>
      <w:r w:rsidR="00EC7EDF" w:rsidRPr="00FD211F">
        <w:rPr>
          <w:sz w:val="36"/>
          <w:szCs w:val="36"/>
          <w:rtl/>
        </w:rPr>
        <w:t>ة</w:t>
      </w:r>
      <w:r w:rsidR="00E8128F">
        <w:rPr>
          <w:sz w:val="36"/>
          <w:szCs w:val="36"/>
          <w:rtl/>
        </w:rPr>
        <w:t xml:space="preserve"> </w:t>
      </w:r>
      <w:r w:rsidR="00C020C1" w:rsidRPr="00FD211F">
        <w:rPr>
          <w:sz w:val="36"/>
          <w:szCs w:val="36"/>
          <w:rtl/>
        </w:rPr>
        <w:t>القطب</w:t>
      </w:r>
      <w:r w:rsidR="00E8128F">
        <w:rPr>
          <w:sz w:val="36"/>
          <w:szCs w:val="36"/>
          <w:rtl/>
        </w:rPr>
        <w:t xml:space="preserve"> </w:t>
      </w:r>
      <w:r w:rsidR="00C020C1" w:rsidRPr="00FD211F">
        <w:rPr>
          <w:sz w:val="36"/>
          <w:szCs w:val="36"/>
          <w:rtl/>
        </w:rPr>
        <w:t>الراوندي</w:t>
      </w:r>
      <w:r w:rsidR="00E8128F">
        <w:rPr>
          <w:rStyle w:val="a6"/>
          <w:sz w:val="36"/>
          <w:szCs w:val="36"/>
          <w:rtl/>
        </w:rPr>
        <w:t xml:space="preserve"> </w:t>
      </w:r>
      <w:r w:rsidR="00507AF8">
        <w:rPr>
          <w:sz w:val="36"/>
          <w:szCs w:val="36"/>
          <w:rtl/>
        </w:rPr>
        <w:t>في</w:t>
      </w:r>
      <w:r w:rsidR="00E8128F">
        <w:rPr>
          <w:sz w:val="36"/>
          <w:szCs w:val="36"/>
          <w:rtl/>
        </w:rPr>
        <w:t xml:space="preserve"> </w:t>
      </w:r>
      <w:r w:rsidR="00507AF8">
        <w:rPr>
          <w:sz w:val="36"/>
          <w:szCs w:val="36"/>
          <w:rtl/>
        </w:rPr>
        <w:t>كتاب</w:t>
      </w:r>
      <w:r w:rsidR="00E8128F">
        <w:rPr>
          <w:sz w:val="36"/>
          <w:szCs w:val="36"/>
          <w:rtl/>
        </w:rPr>
        <w:t xml:space="preserve"> </w:t>
      </w:r>
      <w:r w:rsidR="00507AF8">
        <w:rPr>
          <w:sz w:val="36"/>
          <w:szCs w:val="36"/>
          <w:rtl/>
        </w:rPr>
        <w:t>ال</w:t>
      </w:r>
      <w:r w:rsidR="00507AF8">
        <w:rPr>
          <w:rFonts w:hint="cs"/>
          <w:sz w:val="36"/>
          <w:szCs w:val="36"/>
          <w:rtl/>
        </w:rPr>
        <w:t>ت</w:t>
      </w:r>
      <w:r w:rsidR="00C020C1" w:rsidRPr="00FD211F">
        <w:rPr>
          <w:sz w:val="36"/>
          <w:szCs w:val="36"/>
          <w:rtl/>
        </w:rPr>
        <w:t>عارض</w:t>
      </w:r>
      <w:r w:rsidR="00E8128F">
        <w:rPr>
          <w:sz w:val="36"/>
          <w:szCs w:val="36"/>
          <w:rtl/>
        </w:rPr>
        <w:t xml:space="preserve"> </w:t>
      </w:r>
      <w:r w:rsidR="00C020C1" w:rsidRPr="00FD211F">
        <w:rPr>
          <w:sz w:val="36"/>
          <w:szCs w:val="36"/>
          <w:rtl/>
        </w:rPr>
        <w:t>شواهد</w:t>
      </w:r>
      <w:r w:rsidR="00E8128F">
        <w:rPr>
          <w:rFonts w:hint="cs"/>
          <w:sz w:val="36"/>
          <w:szCs w:val="36"/>
          <w:rtl/>
        </w:rPr>
        <w:t xml:space="preserve"> </w:t>
      </w:r>
      <w:r w:rsidR="00C020C1" w:rsidRPr="00FD211F">
        <w:rPr>
          <w:sz w:val="36"/>
          <w:szCs w:val="36"/>
          <w:rtl/>
        </w:rPr>
        <w:t>على</w:t>
      </w:r>
      <w:r w:rsidR="00E8128F">
        <w:rPr>
          <w:sz w:val="36"/>
          <w:szCs w:val="36"/>
          <w:rtl/>
        </w:rPr>
        <w:t xml:space="preserve"> </w:t>
      </w:r>
      <w:r w:rsidR="00C020C1" w:rsidRPr="00FD211F">
        <w:rPr>
          <w:sz w:val="36"/>
          <w:szCs w:val="36"/>
          <w:rtl/>
        </w:rPr>
        <w:t>عدم</w:t>
      </w:r>
      <w:r w:rsidR="00E8128F">
        <w:rPr>
          <w:sz w:val="36"/>
          <w:szCs w:val="36"/>
          <w:rtl/>
        </w:rPr>
        <w:t xml:space="preserve"> </w:t>
      </w:r>
      <w:r w:rsidR="00C020C1" w:rsidRPr="00FD211F">
        <w:rPr>
          <w:sz w:val="36"/>
          <w:szCs w:val="36"/>
          <w:rtl/>
        </w:rPr>
        <w:t>طريق</w:t>
      </w:r>
      <w:r w:rsidR="00E8128F">
        <w:rPr>
          <w:sz w:val="36"/>
          <w:szCs w:val="36"/>
          <w:rtl/>
        </w:rPr>
        <w:t xml:space="preserve"> </w:t>
      </w:r>
      <w:r w:rsidR="00C020C1" w:rsidRPr="00FD211F">
        <w:rPr>
          <w:sz w:val="36"/>
          <w:szCs w:val="36"/>
          <w:rtl/>
        </w:rPr>
        <w:t>حسي</w:t>
      </w:r>
      <w:r w:rsidR="00E8128F">
        <w:rPr>
          <w:sz w:val="36"/>
          <w:szCs w:val="36"/>
          <w:rtl/>
        </w:rPr>
        <w:t xml:space="preserve"> </w:t>
      </w:r>
      <w:r w:rsidR="00C020C1" w:rsidRPr="00FD211F">
        <w:rPr>
          <w:sz w:val="36"/>
          <w:szCs w:val="36"/>
          <w:rtl/>
        </w:rPr>
        <w:t>لصاحب</w:t>
      </w:r>
      <w:r w:rsidR="00E8128F">
        <w:rPr>
          <w:sz w:val="36"/>
          <w:szCs w:val="36"/>
          <w:rtl/>
        </w:rPr>
        <w:t xml:space="preserve"> </w:t>
      </w:r>
      <w:r w:rsidR="00C020C1" w:rsidRPr="00FD211F">
        <w:rPr>
          <w:sz w:val="36"/>
          <w:szCs w:val="36"/>
          <w:rtl/>
        </w:rPr>
        <w:t>الوسائل</w:t>
      </w:r>
      <w:r w:rsidR="00E8128F">
        <w:rPr>
          <w:sz w:val="36"/>
          <w:szCs w:val="36"/>
          <w:rtl/>
        </w:rPr>
        <w:t xml:space="preserve"> </w:t>
      </w:r>
      <w:r w:rsidR="00C020C1" w:rsidRPr="00FD211F">
        <w:rPr>
          <w:sz w:val="36"/>
          <w:szCs w:val="36"/>
          <w:rtl/>
        </w:rPr>
        <w:t>الى</w:t>
      </w:r>
      <w:r w:rsidR="00E8128F">
        <w:rPr>
          <w:sz w:val="36"/>
          <w:szCs w:val="36"/>
          <w:rtl/>
        </w:rPr>
        <w:t xml:space="preserve"> </w:t>
      </w:r>
      <w:r w:rsidR="00C020C1" w:rsidRPr="00FD211F">
        <w:rPr>
          <w:sz w:val="36"/>
          <w:szCs w:val="36"/>
          <w:rtl/>
        </w:rPr>
        <w:t>النسخ</w:t>
      </w:r>
      <w:r w:rsidR="00E8128F">
        <w:rPr>
          <w:sz w:val="36"/>
          <w:szCs w:val="36"/>
          <w:rtl/>
        </w:rPr>
        <w:t xml:space="preserve"> </w:t>
      </w:r>
      <w:r w:rsidR="00C020C1" w:rsidRPr="00FD211F">
        <w:rPr>
          <w:sz w:val="36"/>
          <w:szCs w:val="36"/>
          <w:rtl/>
        </w:rPr>
        <w:t>التي</w:t>
      </w:r>
      <w:r w:rsidR="00E8128F">
        <w:rPr>
          <w:sz w:val="36"/>
          <w:szCs w:val="36"/>
          <w:rtl/>
        </w:rPr>
        <w:t xml:space="preserve"> </w:t>
      </w:r>
      <w:r w:rsidR="00C020C1" w:rsidRPr="00FD211F">
        <w:rPr>
          <w:sz w:val="36"/>
          <w:szCs w:val="36"/>
          <w:rtl/>
        </w:rPr>
        <w:t>كانت</w:t>
      </w:r>
      <w:r w:rsidR="00E8128F">
        <w:rPr>
          <w:sz w:val="36"/>
          <w:szCs w:val="36"/>
          <w:rtl/>
        </w:rPr>
        <w:t xml:space="preserve"> </w:t>
      </w:r>
      <w:r w:rsidR="00C020C1" w:rsidRPr="00FD211F">
        <w:rPr>
          <w:sz w:val="36"/>
          <w:szCs w:val="36"/>
          <w:rtl/>
        </w:rPr>
        <w:t>بيده</w:t>
      </w:r>
      <w:r w:rsidR="00E8128F">
        <w:rPr>
          <w:sz w:val="36"/>
          <w:szCs w:val="36"/>
          <w:rtl/>
        </w:rPr>
        <w:t xml:space="preserve"> </w:t>
      </w:r>
      <w:r w:rsidR="00C020C1" w:rsidRPr="00FD211F">
        <w:rPr>
          <w:sz w:val="36"/>
          <w:szCs w:val="36"/>
          <w:rtl/>
        </w:rPr>
        <w:t>فراجع.</w:t>
      </w:r>
    </w:p>
    <w:p w14:paraId="64512FC4" w14:textId="77777777" w:rsidR="00C020C1" w:rsidRPr="00FD211F" w:rsidRDefault="00E25A92" w:rsidP="009C58C8">
      <w:pPr>
        <w:ind w:left="0" w:firstLine="227"/>
        <w:jc w:val="both"/>
        <w:rPr>
          <w:sz w:val="36"/>
          <w:szCs w:val="36"/>
          <w:rtl/>
        </w:rPr>
      </w:pPr>
      <w:r w:rsidRPr="00FD211F">
        <w:rPr>
          <w:sz w:val="36"/>
          <w:szCs w:val="36"/>
          <w:rtl/>
        </w:rPr>
        <w:t>3-</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يدعى</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صالح</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ابي</w:t>
      </w:r>
      <w:r w:rsidR="00E8128F">
        <w:rPr>
          <w:sz w:val="36"/>
          <w:szCs w:val="36"/>
          <w:rtl/>
        </w:rPr>
        <w:t xml:space="preserve"> </w:t>
      </w:r>
      <w:r w:rsidRPr="00FD211F">
        <w:rPr>
          <w:sz w:val="36"/>
          <w:szCs w:val="36"/>
          <w:rtl/>
        </w:rPr>
        <w:t>حماد</w:t>
      </w:r>
      <w:r w:rsidR="00E8128F">
        <w:rPr>
          <w:sz w:val="36"/>
          <w:szCs w:val="36"/>
          <w:rtl/>
        </w:rPr>
        <w:t xml:space="preserve"> </w:t>
      </w:r>
      <w:r w:rsidRPr="00FD211F">
        <w:rPr>
          <w:sz w:val="36"/>
          <w:szCs w:val="36"/>
          <w:rtl/>
        </w:rPr>
        <w:t>كان</w:t>
      </w:r>
      <w:r w:rsidR="00E8128F">
        <w:rPr>
          <w:sz w:val="36"/>
          <w:szCs w:val="36"/>
          <w:rtl/>
        </w:rPr>
        <w:t xml:space="preserve"> </w:t>
      </w:r>
      <w:r w:rsidR="00C020C1" w:rsidRPr="00FD211F">
        <w:rPr>
          <w:sz w:val="36"/>
          <w:szCs w:val="36"/>
          <w:rtl/>
        </w:rPr>
        <w:t>من</w:t>
      </w:r>
      <w:r w:rsidR="00E8128F">
        <w:rPr>
          <w:sz w:val="36"/>
          <w:szCs w:val="36"/>
          <w:rtl/>
        </w:rPr>
        <w:t xml:space="preserve"> </w:t>
      </w:r>
      <w:r w:rsidR="00C020C1" w:rsidRPr="00FD211F">
        <w:rPr>
          <w:sz w:val="36"/>
          <w:szCs w:val="36"/>
          <w:rtl/>
        </w:rPr>
        <w:t>المعاريف</w:t>
      </w:r>
      <w:r w:rsidR="00E8128F">
        <w:rPr>
          <w:sz w:val="36"/>
          <w:szCs w:val="36"/>
          <w:rtl/>
        </w:rPr>
        <w:t xml:space="preserve"> </w:t>
      </w:r>
      <w:r w:rsidR="00C020C1" w:rsidRPr="00FD211F">
        <w:rPr>
          <w:sz w:val="36"/>
          <w:szCs w:val="36"/>
          <w:rtl/>
        </w:rPr>
        <w:t>الذين</w:t>
      </w:r>
      <w:r w:rsidR="00E8128F">
        <w:rPr>
          <w:sz w:val="36"/>
          <w:szCs w:val="36"/>
          <w:rtl/>
        </w:rPr>
        <w:t xml:space="preserve"> </w:t>
      </w:r>
      <w:r w:rsidR="008D7B3D" w:rsidRPr="00FD211F">
        <w:rPr>
          <w:sz w:val="36"/>
          <w:szCs w:val="36"/>
          <w:rtl/>
        </w:rPr>
        <w:t>لم‌</w:t>
      </w:r>
      <w:r w:rsidR="00C020C1" w:rsidRPr="00FD211F">
        <w:rPr>
          <w:sz w:val="36"/>
          <w:szCs w:val="36"/>
          <w:rtl/>
        </w:rPr>
        <w:t>يرد</w:t>
      </w:r>
      <w:r w:rsidR="00E8128F">
        <w:rPr>
          <w:sz w:val="36"/>
          <w:szCs w:val="36"/>
          <w:rtl/>
        </w:rPr>
        <w:t xml:space="preserve"> </w:t>
      </w:r>
      <w:r w:rsidR="00C020C1" w:rsidRPr="00FD211F">
        <w:rPr>
          <w:sz w:val="36"/>
          <w:szCs w:val="36"/>
          <w:rtl/>
        </w:rPr>
        <w:t>فيهم</w:t>
      </w:r>
      <w:r w:rsidR="00E8128F">
        <w:rPr>
          <w:sz w:val="36"/>
          <w:szCs w:val="36"/>
          <w:rtl/>
        </w:rPr>
        <w:t xml:space="preserve"> </w:t>
      </w:r>
      <w:r w:rsidR="00C020C1" w:rsidRPr="00FD211F">
        <w:rPr>
          <w:sz w:val="36"/>
          <w:szCs w:val="36"/>
          <w:rtl/>
        </w:rPr>
        <w:t>قدح</w:t>
      </w:r>
      <w:r w:rsidR="00E8128F">
        <w:rPr>
          <w:sz w:val="36"/>
          <w:szCs w:val="36"/>
          <w:rtl/>
        </w:rPr>
        <w:t xml:space="preserve"> </w:t>
      </w:r>
      <w:r w:rsidR="00C020C1" w:rsidRPr="00FD211F">
        <w:rPr>
          <w:sz w:val="36"/>
          <w:szCs w:val="36"/>
          <w:rtl/>
        </w:rPr>
        <w:t>(حيث</w:t>
      </w:r>
      <w:r w:rsidR="00E8128F">
        <w:rPr>
          <w:sz w:val="36"/>
          <w:szCs w:val="36"/>
          <w:rtl/>
        </w:rPr>
        <w:t xml:space="preserve"> </w:t>
      </w:r>
      <w:r w:rsidR="00C020C1" w:rsidRPr="00FD211F">
        <w:rPr>
          <w:sz w:val="36"/>
          <w:szCs w:val="36"/>
          <w:rtl/>
        </w:rPr>
        <w:t>ان</w:t>
      </w:r>
      <w:r w:rsidR="00E8128F">
        <w:rPr>
          <w:sz w:val="36"/>
          <w:szCs w:val="36"/>
          <w:rtl/>
        </w:rPr>
        <w:t xml:space="preserve"> </w:t>
      </w:r>
      <w:r w:rsidR="00C020C1" w:rsidRPr="00FD211F">
        <w:rPr>
          <w:sz w:val="36"/>
          <w:szCs w:val="36"/>
          <w:rtl/>
        </w:rPr>
        <w:t>له</w:t>
      </w:r>
      <w:r w:rsidR="00E8128F">
        <w:rPr>
          <w:sz w:val="36"/>
          <w:szCs w:val="36"/>
          <w:rtl/>
        </w:rPr>
        <w:t xml:space="preserve"> </w:t>
      </w:r>
      <w:r w:rsidR="00C020C1" w:rsidRPr="00FD211F">
        <w:rPr>
          <w:sz w:val="36"/>
          <w:szCs w:val="36"/>
          <w:rtl/>
        </w:rPr>
        <w:t>سبعين</w:t>
      </w:r>
      <w:r w:rsidR="00E8128F">
        <w:rPr>
          <w:sz w:val="36"/>
          <w:szCs w:val="36"/>
          <w:rtl/>
        </w:rPr>
        <w:t xml:space="preserve"> </w:t>
      </w:r>
      <w:r w:rsidR="00C020C1" w:rsidRPr="00FD211F">
        <w:rPr>
          <w:sz w:val="36"/>
          <w:szCs w:val="36"/>
          <w:rtl/>
        </w:rPr>
        <w:t>حديثا</w:t>
      </w:r>
      <w:r w:rsidR="00E8128F">
        <w:rPr>
          <w:sz w:val="36"/>
          <w:szCs w:val="36"/>
          <w:rtl/>
        </w:rPr>
        <w:t xml:space="preserve"> </w:t>
      </w:r>
      <w:r w:rsidR="00C020C1" w:rsidRPr="00FD211F">
        <w:rPr>
          <w:sz w:val="36"/>
          <w:szCs w:val="36"/>
          <w:rtl/>
        </w:rPr>
        <w:t>تقريبا)</w:t>
      </w:r>
      <w:r w:rsidR="00E8128F">
        <w:rPr>
          <w:sz w:val="36"/>
          <w:szCs w:val="36"/>
          <w:rtl/>
        </w:rPr>
        <w:t xml:space="preserve"> </w:t>
      </w:r>
      <w:r w:rsidR="00C020C1" w:rsidRPr="00FD211F">
        <w:rPr>
          <w:sz w:val="36"/>
          <w:szCs w:val="36"/>
          <w:rtl/>
        </w:rPr>
        <w:t>وبذلك</w:t>
      </w:r>
      <w:r w:rsidR="00E8128F">
        <w:rPr>
          <w:sz w:val="36"/>
          <w:szCs w:val="36"/>
          <w:rtl/>
        </w:rPr>
        <w:t xml:space="preserve"> </w:t>
      </w:r>
      <w:r w:rsidR="00C020C1" w:rsidRPr="00FD211F">
        <w:rPr>
          <w:sz w:val="36"/>
          <w:szCs w:val="36"/>
          <w:rtl/>
        </w:rPr>
        <w:t>يحرز</w:t>
      </w:r>
      <w:r w:rsidR="00E8128F">
        <w:rPr>
          <w:sz w:val="36"/>
          <w:szCs w:val="36"/>
          <w:rtl/>
        </w:rPr>
        <w:t xml:space="preserve"> </w:t>
      </w:r>
      <w:r w:rsidR="00C020C1" w:rsidRPr="00FD211F">
        <w:rPr>
          <w:sz w:val="36"/>
          <w:szCs w:val="36"/>
          <w:rtl/>
        </w:rPr>
        <w:t>حسن</w:t>
      </w:r>
      <w:r w:rsidR="00E8128F">
        <w:rPr>
          <w:sz w:val="36"/>
          <w:szCs w:val="36"/>
          <w:rtl/>
        </w:rPr>
        <w:t xml:space="preserve"> </w:t>
      </w:r>
      <w:r w:rsidR="00C020C1" w:rsidRPr="00FD211F">
        <w:rPr>
          <w:sz w:val="36"/>
          <w:szCs w:val="36"/>
          <w:rtl/>
        </w:rPr>
        <w:t>ظاهره</w:t>
      </w:r>
      <w:r w:rsidR="00E8128F">
        <w:rPr>
          <w:sz w:val="36"/>
          <w:szCs w:val="36"/>
          <w:rtl/>
        </w:rPr>
        <w:t xml:space="preserve"> </w:t>
      </w:r>
      <w:r w:rsidR="00C020C1" w:rsidRPr="00FD211F">
        <w:rPr>
          <w:sz w:val="36"/>
          <w:szCs w:val="36"/>
          <w:rtl/>
        </w:rPr>
        <w:t>الكاشف</w:t>
      </w:r>
      <w:r w:rsidR="00E8128F">
        <w:rPr>
          <w:sz w:val="36"/>
          <w:szCs w:val="36"/>
          <w:rtl/>
        </w:rPr>
        <w:t xml:space="preserve"> </w:t>
      </w:r>
      <w:r w:rsidR="00C020C1" w:rsidRPr="00FD211F">
        <w:rPr>
          <w:sz w:val="36"/>
          <w:szCs w:val="36"/>
          <w:rtl/>
        </w:rPr>
        <w:t>عن</w:t>
      </w:r>
      <w:r w:rsidR="00E8128F">
        <w:rPr>
          <w:sz w:val="36"/>
          <w:szCs w:val="36"/>
          <w:rtl/>
        </w:rPr>
        <w:t xml:space="preserve"> </w:t>
      </w:r>
      <w:r w:rsidR="00C020C1" w:rsidRPr="00FD211F">
        <w:rPr>
          <w:sz w:val="36"/>
          <w:szCs w:val="36"/>
          <w:rtl/>
        </w:rPr>
        <w:t>عدالته</w:t>
      </w:r>
      <w:r w:rsidR="00E8128F">
        <w:rPr>
          <w:sz w:val="36"/>
          <w:szCs w:val="36"/>
          <w:rtl/>
        </w:rPr>
        <w:t xml:space="preserve"> </w:t>
      </w:r>
      <w:r w:rsidR="00C020C1" w:rsidRPr="00FD211F">
        <w:rPr>
          <w:sz w:val="36"/>
          <w:szCs w:val="36"/>
          <w:rtl/>
        </w:rPr>
        <w:t>و</w:t>
      </w:r>
      <w:r w:rsidR="00054C0C" w:rsidRPr="00FD211F">
        <w:rPr>
          <w:sz w:val="36"/>
          <w:szCs w:val="36"/>
          <w:rtl/>
        </w:rPr>
        <w:t>قد</w:t>
      </w:r>
      <w:r w:rsidR="00E8128F">
        <w:rPr>
          <w:sz w:val="36"/>
          <w:szCs w:val="36"/>
          <w:rtl/>
        </w:rPr>
        <w:t xml:space="preserve"> </w:t>
      </w:r>
      <w:r w:rsidR="00054C0C" w:rsidRPr="00FD211F">
        <w:rPr>
          <w:sz w:val="36"/>
          <w:szCs w:val="36"/>
          <w:rtl/>
        </w:rPr>
        <w:t>كان</w:t>
      </w:r>
      <w:r w:rsidR="00E8128F">
        <w:rPr>
          <w:sz w:val="36"/>
          <w:szCs w:val="36"/>
          <w:rtl/>
        </w:rPr>
        <w:t xml:space="preserve"> </w:t>
      </w:r>
      <w:r w:rsidR="00054C0C" w:rsidRPr="00FD211F">
        <w:rPr>
          <w:sz w:val="36"/>
          <w:szCs w:val="36"/>
          <w:rtl/>
        </w:rPr>
        <w:t>شيخناالاستاذ</w:t>
      </w:r>
      <w:r w:rsidR="00E8128F">
        <w:rPr>
          <w:sz w:val="36"/>
          <w:szCs w:val="36"/>
          <w:rtl/>
        </w:rPr>
        <w:t xml:space="preserve"> </w:t>
      </w:r>
      <w:r w:rsidR="00054C0C" w:rsidRPr="00FD211F">
        <w:rPr>
          <w:sz w:val="36"/>
          <w:szCs w:val="36"/>
          <w:rtl/>
        </w:rPr>
        <w:t>"قده"</w:t>
      </w:r>
      <w:r w:rsidR="00E8128F">
        <w:rPr>
          <w:sz w:val="36"/>
          <w:szCs w:val="36"/>
          <w:rtl/>
        </w:rPr>
        <w:t xml:space="preserve"> </w:t>
      </w:r>
      <w:r w:rsidR="00054C0C" w:rsidRPr="00FD211F">
        <w:rPr>
          <w:sz w:val="36"/>
          <w:szCs w:val="36"/>
          <w:rtl/>
        </w:rPr>
        <w:t>يلتزم</w:t>
      </w:r>
      <w:r w:rsidR="00E8128F">
        <w:rPr>
          <w:sz w:val="36"/>
          <w:szCs w:val="36"/>
          <w:rtl/>
        </w:rPr>
        <w:t xml:space="preserve"> </w:t>
      </w:r>
      <w:r w:rsidR="00054C0C" w:rsidRPr="00FD211F">
        <w:rPr>
          <w:sz w:val="36"/>
          <w:szCs w:val="36"/>
          <w:rtl/>
        </w:rPr>
        <w:t>ب</w:t>
      </w:r>
      <w:r w:rsidR="00C020C1" w:rsidRPr="00FD211F">
        <w:rPr>
          <w:sz w:val="36"/>
          <w:szCs w:val="36"/>
          <w:rtl/>
        </w:rPr>
        <w:t>هذه</w:t>
      </w:r>
      <w:r w:rsidR="00E8128F">
        <w:rPr>
          <w:sz w:val="36"/>
          <w:szCs w:val="36"/>
          <w:rtl/>
        </w:rPr>
        <w:t xml:space="preserve"> </w:t>
      </w:r>
      <w:r w:rsidR="00C020C1" w:rsidRPr="00FD211F">
        <w:rPr>
          <w:sz w:val="36"/>
          <w:szCs w:val="36"/>
          <w:rtl/>
        </w:rPr>
        <w:t>الكبرى</w:t>
      </w:r>
      <w:r w:rsidR="00E8128F">
        <w:rPr>
          <w:sz w:val="36"/>
          <w:szCs w:val="36"/>
          <w:rtl/>
        </w:rPr>
        <w:t xml:space="preserve"> </w:t>
      </w:r>
      <w:r w:rsidR="00C020C1" w:rsidRPr="00FD211F">
        <w:rPr>
          <w:sz w:val="36"/>
          <w:szCs w:val="36"/>
          <w:rtl/>
        </w:rPr>
        <w:t>الرجالي</w:t>
      </w:r>
      <w:r w:rsidR="00EC7EDF" w:rsidRPr="00FD211F">
        <w:rPr>
          <w:sz w:val="36"/>
          <w:szCs w:val="36"/>
          <w:rtl/>
        </w:rPr>
        <w:t>ة</w:t>
      </w:r>
      <w:r w:rsidR="00603323" w:rsidRPr="00FD211F">
        <w:rPr>
          <w:sz w:val="36"/>
          <w:szCs w:val="36"/>
          <w:rtl/>
        </w:rPr>
        <w:t>،</w:t>
      </w:r>
      <w:r w:rsidR="00E8128F">
        <w:rPr>
          <w:sz w:val="36"/>
          <w:szCs w:val="36"/>
          <w:rtl/>
        </w:rPr>
        <w:t xml:space="preserve"> </w:t>
      </w:r>
      <w:r w:rsidR="00C020C1" w:rsidRPr="00FD211F">
        <w:rPr>
          <w:sz w:val="36"/>
          <w:szCs w:val="36"/>
          <w:rtl/>
        </w:rPr>
        <w:t>ولكن</w:t>
      </w:r>
      <w:r w:rsidR="00E8128F">
        <w:rPr>
          <w:sz w:val="36"/>
          <w:szCs w:val="36"/>
          <w:rtl/>
        </w:rPr>
        <w:t xml:space="preserve"> </w:t>
      </w:r>
      <w:r w:rsidR="00C020C1" w:rsidRPr="00FD211F">
        <w:rPr>
          <w:sz w:val="36"/>
          <w:szCs w:val="36"/>
          <w:rtl/>
        </w:rPr>
        <w:t>لايصح</w:t>
      </w:r>
      <w:r w:rsidR="00E8128F">
        <w:rPr>
          <w:sz w:val="36"/>
          <w:szCs w:val="36"/>
          <w:rtl/>
        </w:rPr>
        <w:t xml:space="preserve"> </w:t>
      </w:r>
      <w:r w:rsidR="00C020C1" w:rsidRPr="00FD211F">
        <w:rPr>
          <w:sz w:val="36"/>
          <w:szCs w:val="36"/>
          <w:rtl/>
        </w:rPr>
        <w:t>تطبيقهاعلى</w:t>
      </w:r>
      <w:r w:rsidR="00E8128F">
        <w:rPr>
          <w:sz w:val="36"/>
          <w:szCs w:val="36"/>
          <w:rtl/>
        </w:rPr>
        <w:t xml:space="preserve"> </w:t>
      </w:r>
      <w:r w:rsidR="00C020C1" w:rsidRPr="00FD211F">
        <w:rPr>
          <w:sz w:val="36"/>
          <w:szCs w:val="36"/>
          <w:rtl/>
        </w:rPr>
        <w:t>المقام</w:t>
      </w:r>
      <w:r w:rsidR="00E8128F">
        <w:rPr>
          <w:sz w:val="36"/>
          <w:szCs w:val="36"/>
          <w:rtl/>
        </w:rPr>
        <w:t xml:space="preserve"> </w:t>
      </w:r>
      <w:r w:rsidR="00C020C1" w:rsidRPr="00FD211F">
        <w:rPr>
          <w:sz w:val="36"/>
          <w:szCs w:val="36"/>
          <w:rtl/>
        </w:rPr>
        <w:t>لانه</w:t>
      </w:r>
      <w:r w:rsidR="00E8128F">
        <w:rPr>
          <w:sz w:val="36"/>
          <w:szCs w:val="36"/>
          <w:rtl/>
        </w:rPr>
        <w:t xml:space="preserve"> </w:t>
      </w:r>
      <w:r w:rsidR="00C020C1" w:rsidRPr="00FD211F">
        <w:rPr>
          <w:sz w:val="36"/>
          <w:szCs w:val="36"/>
          <w:rtl/>
        </w:rPr>
        <w:t>ذكر</w:t>
      </w:r>
      <w:r w:rsidR="00E8128F">
        <w:rPr>
          <w:sz w:val="36"/>
          <w:szCs w:val="36"/>
          <w:rtl/>
        </w:rPr>
        <w:t xml:space="preserve"> </w:t>
      </w:r>
      <w:r w:rsidR="00C020C1" w:rsidRPr="00FD211F">
        <w:rPr>
          <w:sz w:val="36"/>
          <w:szCs w:val="36"/>
          <w:rtl/>
        </w:rPr>
        <w:t>النجاشي</w:t>
      </w:r>
      <w:r w:rsidR="00E8128F">
        <w:rPr>
          <w:sz w:val="36"/>
          <w:szCs w:val="36"/>
          <w:rtl/>
        </w:rPr>
        <w:t xml:space="preserve"> </w:t>
      </w:r>
      <w:r w:rsidR="00C020C1" w:rsidRPr="00FD211F">
        <w:rPr>
          <w:sz w:val="36"/>
          <w:szCs w:val="36"/>
          <w:rtl/>
        </w:rPr>
        <w:t>في</w:t>
      </w:r>
      <w:r w:rsidR="00E8128F">
        <w:rPr>
          <w:sz w:val="36"/>
          <w:szCs w:val="36"/>
          <w:rtl/>
        </w:rPr>
        <w:t xml:space="preserve"> </w:t>
      </w:r>
      <w:r w:rsidR="00C020C1" w:rsidRPr="00FD211F">
        <w:rPr>
          <w:sz w:val="36"/>
          <w:szCs w:val="36"/>
          <w:rtl/>
        </w:rPr>
        <w:t>حقه</w:t>
      </w:r>
      <w:r w:rsidR="00E8128F">
        <w:rPr>
          <w:sz w:val="36"/>
          <w:szCs w:val="36"/>
          <w:rtl/>
        </w:rPr>
        <w:t xml:space="preserve"> </w:t>
      </w:r>
      <w:r w:rsidR="00C020C1" w:rsidRPr="00FD211F">
        <w:rPr>
          <w:sz w:val="36"/>
          <w:szCs w:val="36"/>
          <w:rtl/>
        </w:rPr>
        <w:t>ان</w:t>
      </w:r>
      <w:r w:rsidR="00E8128F">
        <w:rPr>
          <w:sz w:val="36"/>
          <w:szCs w:val="36"/>
          <w:rtl/>
        </w:rPr>
        <w:t xml:space="preserve"> </w:t>
      </w:r>
      <w:r w:rsidR="00C020C1" w:rsidRPr="00FD211F">
        <w:rPr>
          <w:sz w:val="36"/>
          <w:szCs w:val="36"/>
          <w:rtl/>
        </w:rPr>
        <w:t>امره</w:t>
      </w:r>
      <w:r w:rsidR="00E8128F">
        <w:rPr>
          <w:sz w:val="36"/>
          <w:szCs w:val="36"/>
          <w:rtl/>
        </w:rPr>
        <w:t xml:space="preserve"> </w:t>
      </w:r>
      <w:r w:rsidR="00C020C1" w:rsidRPr="00FD211F">
        <w:rPr>
          <w:sz w:val="36"/>
          <w:szCs w:val="36"/>
          <w:rtl/>
        </w:rPr>
        <w:t>كان</w:t>
      </w:r>
      <w:r w:rsidR="00E8128F">
        <w:rPr>
          <w:sz w:val="36"/>
          <w:szCs w:val="36"/>
          <w:rtl/>
        </w:rPr>
        <w:t xml:space="preserve"> </w:t>
      </w:r>
      <w:r w:rsidR="00C020C1" w:rsidRPr="00FD211F">
        <w:rPr>
          <w:sz w:val="36"/>
          <w:szCs w:val="36"/>
          <w:rtl/>
        </w:rPr>
        <w:t>ملتبسا</w:t>
      </w:r>
      <w:r w:rsidR="00E8128F">
        <w:rPr>
          <w:sz w:val="36"/>
          <w:szCs w:val="36"/>
          <w:rtl/>
        </w:rPr>
        <w:t xml:space="preserve"> </w:t>
      </w:r>
      <w:r w:rsidR="00C020C1" w:rsidRPr="00FD211F">
        <w:rPr>
          <w:sz w:val="36"/>
          <w:szCs w:val="36"/>
          <w:rtl/>
        </w:rPr>
        <w:t>يعرف</w:t>
      </w:r>
      <w:r w:rsidR="00E8128F">
        <w:rPr>
          <w:sz w:val="36"/>
          <w:szCs w:val="36"/>
          <w:rtl/>
        </w:rPr>
        <w:t xml:space="preserve"> </w:t>
      </w:r>
      <w:r w:rsidR="00C020C1" w:rsidRPr="00FD211F">
        <w:rPr>
          <w:sz w:val="36"/>
          <w:szCs w:val="36"/>
          <w:rtl/>
        </w:rPr>
        <w:t>وينكر</w:t>
      </w:r>
      <w:r w:rsidR="00E8128F">
        <w:rPr>
          <w:sz w:val="36"/>
          <w:szCs w:val="36"/>
          <w:rtl/>
        </w:rPr>
        <w:t xml:space="preserve"> </w:t>
      </w:r>
      <w:r w:rsidR="00C020C1" w:rsidRPr="00FD211F">
        <w:rPr>
          <w:sz w:val="36"/>
          <w:szCs w:val="36"/>
          <w:rtl/>
        </w:rPr>
        <w:t>وهذا</w:t>
      </w:r>
      <w:r w:rsidR="00E8128F">
        <w:rPr>
          <w:sz w:val="36"/>
          <w:szCs w:val="36"/>
          <w:rtl/>
        </w:rPr>
        <w:t xml:space="preserve"> </w:t>
      </w:r>
      <w:r w:rsidR="00C020C1" w:rsidRPr="00FD211F">
        <w:rPr>
          <w:sz w:val="36"/>
          <w:szCs w:val="36"/>
          <w:rtl/>
        </w:rPr>
        <w:t>وان</w:t>
      </w:r>
      <w:r w:rsidR="00E8128F">
        <w:rPr>
          <w:sz w:val="36"/>
          <w:szCs w:val="36"/>
          <w:rtl/>
        </w:rPr>
        <w:t xml:space="preserve"> </w:t>
      </w:r>
      <w:r w:rsidR="008D7B3D" w:rsidRPr="00FD211F">
        <w:rPr>
          <w:sz w:val="36"/>
          <w:szCs w:val="36"/>
          <w:rtl/>
        </w:rPr>
        <w:t>لم‌</w:t>
      </w:r>
      <w:r w:rsidR="00C020C1" w:rsidRPr="00FD211F">
        <w:rPr>
          <w:sz w:val="36"/>
          <w:szCs w:val="36"/>
          <w:rtl/>
        </w:rPr>
        <w:t>يدل</w:t>
      </w:r>
      <w:r w:rsidR="00E8128F">
        <w:rPr>
          <w:sz w:val="36"/>
          <w:szCs w:val="36"/>
          <w:rtl/>
        </w:rPr>
        <w:t xml:space="preserve"> </w:t>
      </w:r>
      <w:r w:rsidR="00C020C1" w:rsidRPr="00FD211F">
        <w:rPr>
          <w:sz w:val="36"/>
          <w:szCs w:val="36"/>
          <w:rtl/>
        </w:rPr>
        <w:t>على</w:t>
      </w:r>
      <w:r w:rsidR="00E8128F">
        <w:rPr>
          <w:sz w:val="36"/>
          <w:szCs w:val="36"/>
          <w:rtl/>
        </w:rPr>
        <w:t xml:space="preserve"> </w:t>
      </w:r>
      <w:r w:rsidR="00C020C1" w:rsidRPr="00FD211F">
        <w:rPr>
          <w:sz w:val="36"/>
          <w:szCs w:val="36"/>
          <w:rtl/>
        </w:rPr>
        <w:t>ضعفه</w:t>
      </w:r>
      <w:r w:rsidR="00E8128F">
        <w:rPr>
          <w:sz w:val="36"/>
          <w:szCs w:val="36"/>
          <w:rtl/>
        </w:rPr>
        <w:t xml:space="preserve"> </w:t>
      </w:r>
      <w:r w:rsidR="00C020C1" w:rsidRPr="00FD211F">
        <w:rPr>
          <w:sz w:val="36"/>
          <w:szCs w:val="36"/>
          <w:rtl/>
        </w:rPr>
        <w:t>لكنه</w:t>
      </w:r>
      <w:r w:rsidR="00E8128F">
        <w:rPr>
          <w:sz w:val="36"/>
          <w:szCs w:val="36"/>
          <w:rtl/>
        </w:rPr>
        <w:t xml:space="preserve"> </w:t>
      </w:r>
      <w:r w:rsidR="00C020C1" w:rsidRPr="00FD211F">
        <w:rPr>
          <w:sz w:val="36"/>
          <w:szCs w:val="36"/>
          <w:rtl/>
        </w:rPr>
        <w:t>مانع</w:t>
      </w:r>
      <w:r w:rsidR="00E8128F">
        <w:rPr>
          <w:sz w:val="36"/>
          <w:szCs w:val="36"/>
          <w:rtl/>
        </w:rPr>
        <w:t xml:space="preserve"> </w:t>
      </w:r>
      <w:r w:rsidR="00C020C1" w:rsidRPr="00FD211F">
        <w:rPr>
          <w:sz w:val="36"/>
          <w:szCs w:val="36"/>
          <w:rtl/>
        </w:rPr>
        <w:t>عن</w:t>
      </w:r>
      <w:r w:rsidR="00E8128F">
        <w:rPr>
          <w:sz w:val="36"/>
          <w:szCs w:val="36"/>
          <w:rtl/>
        </w:rPr>
        <w:t xml:space="preserve"> </w:t>
      </w:r>
      <w:r w:rsidR="00C020C1" w:rsidRPr="00FD211F">
        <w:rPr>
          <w:sz w:val="36"/>
          <w:szCs w:val="36"/>
          <w:rtl/>
        </w:rPr>
        <w:t>احراز</w:t>
      </w:r>
      <w:r w:rsidR="00E8128F">
        <w:rPr>
          <w:sz w:val="36"/>
          <w:szCs w:val="36"/>
          <w:rtl/>
        </w:rPr>
        <w:t xml:space="preserve"> </w:t>
      </w:r>
      <w:r w:rsidR="00C020C1" w:rsidRPr="00FD211F">
        <w:rPr>
          <w:sz w:val="36"/>
          <w:szCs w:val="36"/>
          <w:rtl/>
        </w:rPr>
        <w:t>حسن</w:t>
      </w:r>
      <w:r w:rsidR="00E8128F">
        <w:rPr>
          <w:sz w:val="36"/>
          <w:szCs w:val="36"/>
          <w:rtl/>
        </w:rPr>
        <w:t xml:space="preserve"> </w:t>
      </w:r>
      <w:r w:rsidR="00C020C1" w:rsidRPr="00FD211F">
        <w:rPr>
          <w:sz w:val="36"/>
          <w:szCs w:val="36"/>
          <w:rtl/>
        </w:rPr>
        <w:t>ظاهره.</w:t>
      </w:r>
    </w:p>
    <w:p w14:paraId="19A2563C" w14:textId="77777777" w:rsidR="00E25A92" w:rsidRPr="00FD211F" w:rsidRDefault="00E25A92" w:rsidP="009C58C8">
      <w:pPr>
        <w:pStyle w:val="3"/>
        <w:ind w:firstLine="227"/>
        <w:jc w:val="both"/>
        <w:rPr>
          <w:rtl/>
        </w:rPr>
      </w:pPr>
      <w:bookmarkStart w:id="430" w:name="_Toc223890422"/>
      <w:r w:rsidRPr="00FD211F">
        <w:rPr>
          <w:rtl/>
        </w:rPr>
        <w:t>تطبيق</w:t>
      </w:r>
      <w:r w:rsidR="00E8128F">
        <w:rPr>
          <w:rtl/>
        </w:rPr>
        <w:t xml:space="preserve"> </w:t>
      </w:r>
      <w:r w:rsidRPr="00FD211F">
        <w:rPr>
          <w:rtl/>
        </w:rPr>
        <w:t>نظري</w:t>
      </w:r>
      <w:r w:rsidR="00EC7EDF" w:rsidRPr="00FD211F">
        <w:rPr>
          <w:rtl/>
        </w:rPr>
        <w:t>ة</w:t>
      </w:r>
      <w:r w:rsidR="00E8128F">
        <w:rPr>
          <w:rtl/>
        </w:rPr>
        <w:t xml:space="preserve"> </w:t>
      </w:r>
      <w:r w:rsidRPr="00FD211F">
        <w:rPr>
          <w:rtl/>
        </w:rPr>
        <w:t>تعويض</w:t>
      </w:r>
      <w:r w:rsidR="00E8128F">
        <w:rPr>
          <w:rtl/>
        </w:rPr>
        <w:t xml:space="preserve"> </w:t>
      </w:r>
      <w:r w:rsidRPr="00FD211F">
        <w:rPr>
          <w:rtl/>
        </w:rPr>
        <w:t>السند</w:t>
      </w:r>
      <w:bookmarkEnd w:id="430"/>
    </w:p>
    <w:p w14:paraId="03D30215" w14:textId="77777777" w:rsidR="00C020C1" w:rsidRPr="00FD211F" w:rsidRDefault="00E25A92"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قدتطب</w:t>
      </w:r>
      <w:r w:rsidR="00C020C1" w:rsidRPr="00FD211F">
        <w:rPr>
          <w:sz w:val="36"/>
          <w:szCs w:val="36"/>
          <w:rtl/>
        </w:rPr>
        <w:t>ق</w:t>
      </w:r>
      <w:r w:rsidR="00E8128F">
        <w:rPr>
          <w:sz w:val="36"/>
          <w:szCs w:val="36"/>
          <w:rtl/>
        </w:rPr>
        <w:t xml:space="preserve"> </w:t>
      </w:r>
      <w:r w:rsidR="00C020C1" w:rsidRPr="00FD211F">
        <w:rPr>
          <w:sz w:val="36"/>
          <w:szCs w:val="36"/>
          <w:rtl/>
        </w:rPr>
        <w:t>نظري</w:t>
      </w:r>
      <w:r w:rsidR="00EC7EDF" w:rsidRPr="00FD211F">
        <w:rPr>
          <w:sz w:val="36"/>
          <w:szCs w:val="36"/>
          <w:rtl/>
        </w:rPr>
        <w:t>ة</w:t>
      </w:r>
      <w:r w:rsidR="00E8128F">
        <w:rPr>
          <w:sz w:val="36"/>
          <w:szCs w:val="36"/>
          <w:rtl/>
        </w:rPr>
        <w:t xml:space="preserve"> </w:t>
      </w:r>
      <w:r w:rsidR="00C020C1" w:rsidRPr="00FD211F">
        <w:rPr>
          <w:sz w:val="36"/>
          <w:szCs w:val="36"/>
          <w:rtl/>
        </w:rPr>
        <w:t>تعويض</w:t>
      </w:r>
      <w:r w:rsidR="00E8128F">
        <w:rPr>
          <w:sz w:val="36"/>
          <w:szCs w:val="36"/>
          <w:rtl/>
        </w:rPr>
        <w:t xml:space="preserve"> </w:t>
      </w:r>
      <w:r w:rsidR="00C020C1" w:rsidRPr="00FD211F">
        <w:rPr>
          <w:sz w:val="36"/>
          <w:szCs w:val="36"/>
          <w:rtl/>
        </w:rPr>
        <w:t>السند</w:t>
      </w:r>
      <w:r w:rsidRPr="00FD211F">
        <w:rPr>
          <w:sz w:val="36"/>
          <w:szCs w:val="36"/>
          <w:rtl/>
        </w:rPr>
        <w:t>على</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الرواي</w:t>
      </w:r>
      <w:r w:rsidR="00EC7EDF" w:rsidRPr="00FD211F">
        <w:rPr>
          <w:sz w:val="36"/>
          <w:szCs w:val="36"/>
          <w:rtl/>
        </w:rPr>
        <w:t>ة</w:t>
      </w:r>
      <w:r w:rsidR="00603323" w:rsidRPr="00FD211F">
        <w:rPr>
          <w:sz w:val="36"/>
          <w:szCs w:val="36"/>
          <w:rtl/>
        </w:rPr>
        <w:t>،</w:t>
      </w:r>
      <w:r w:rsidR="00E8128F">
        <w:rPr>
          <w:sz w:val="36"/>
          <w:szCs w:val="36"/>
          <w:rtl/>
        </w:rPr>
        <w:t xml:space="preserve"> </w:t>
      </w:r>
      <w:r w:rsidR="00045715" w:rsidRPr="00FD211F">
        <w:rPr>
          <w:sz w:val="36"/>
          <w:szCs w:val="36"/>
          <w:rtl/>
        </w:rPr>
        <w:t>حيث</w:t>
      </w:r>
      <w:r w:rsidR="00E8128F">
        <w:rPr>
          <w:sz w:val="36"/>
          <w:szCs w:val="36"/>
          <w:rtl/>
        </w:rPr>
        <w:t xml:space="preserve"> </w:t>
      </w:r>
      <w:r w:rsidR="00C020C1" w:rsidRPr="00FD211F">
        <w:rPr>
          <w:sz w:val="36"/>
          <w:szCs w:val="36"/>
          <w:rtl/>
        </w:rPr>
        <w:t>ان</w:t>
      </w:r>
      <w:r w:rsidR="00E8128F">
        <w:rPr>
          <w:sz w:val="36"/>
          <w:szCs w:val="36"/>
          <w:rtl/>
        </w:rPr>
        <w:t xml:space="preserve"> </w:t>
      </w:r>
      <w:r w:rsidR="00C020C1" w:rsidRPr="00FD211F">
        <w:rPr>
          <w:sz w:val="36"/>
          <w:szCs w:val="36"/>
          <w:rtl/>
        </w:rPr>
        <w:t>الشيخ</w:t>
      </w:r>
      <w:r w:rsidR="00E8128F">
        <w:rPr>
          <w:sz w:val="36"/>
          <w:szCs w:val="36"/>
          <w:rtl/>
        </w:rPr>
        <w:t xml:space="preserve"> </w:t>
      </w:r>
      <w:r w:rsidR="00045715" w:rsidRPr="00FD211F">
        <w:rPr>
          <w:sz w:val="36"/>
          <w:szCs w:val="36"/>
          <w:rtl/>
        </w:rPr>
        <w:t>"</w:t>
      </w:r>
      <w:r w:rsidR="00C020C1" w:rsidRPr="00FD211F">
        <w:rPr>
          <w:sz w:val="36"/>
          <w:szCs w:val="36"/>
          <w:rtl/>
        </w:rPr>
        <w:t>ره</w:t>
      </w:r>
      <w:r w:rsidR="00045715" w:rsidRPr="00FD211F">
        <w:rPr>
          <w:sz w:val="36"/>
          <w:szCs w:val="36"/>
          <w:rtl/>
        </w:rPr>
        <w:t>"</w:t>
      </w:r>
      <w:r w:rsidR="00E8128F">
        <w:rPr>
          <w:sz w:val="36"/>
          <w:szCs w:val="36"/>
          <w:rtl/>
        </w:rPr>
        <w:t xml:space="preserve"> </w:t>
      </w:r>
      <w:r w:rsidR="00C020C1" w:rsidRPr="00FD211F">
        <w:rPr>
          <w:sz w:val="36"/>
          <w:szCs w:val="36"/>
          <w:rtl/>
        </w:rPr>
        <w:t>ذكر</w:t>
      </w:r>
      <w:r w:rsidR="00E8128F">
        <w:rPr>
          <w:sz w:val="36"/>
          <w:szCs w:val="36"/>
          <w:rtl/>
        </w:rPr>
        <w:t xml:space="preserve"> </w:t>
      </w:r>
      <w:r w:rsidR="00C020C1" w:rsidRPr="00FD211F">
        <w:rPr>
          <w:sz w:val="36"/>
          <w:szCs w:val="36"/>
          <w:rtl/>
        </w:rPr>
        <w:t>في</w:t>
      </w:r>
      <w:r w:rsidR="00E8128F">
        <w:rPr>
          <w:sz w:val="36"/>
          <w:szCs w:val="36"/>
          <w:rtl/>
        </w:rPr>
        <w:t xml:space="preserve"> </w:t>
      </w:r>
      <w:r w:rsidR="00C020C1" w:rsidRPr="00FD211F">
        <w:rPr>
          <w:sz w:val="36"/>
          <w:szCs w:val="36"/>
          <w:rtl/>
        </w:rPr>
        <w:t>الفهرست</w:t>
      </w:r>
      <w:r w:rsidR="00E8128F">
        <w:rPr>
          <w:sz w:val="36"/>
          <w:szCs w:val="36"/>
          <w:rtl/>
        </w:rPr>
        <w:t xml:space="preserve"> </w:t>
      </w:r>
      <w:r w:rsidR="00C020C1" w:rsidRPr="00FD211F">
        <w:rPr>
          <w:sz w:val="36"/>
          <w:szCs w:val="36"/>
          <w:rtl/>
        </w:rPr>
        <w:t>طرقا</w:t>
      </w:r>
      <w:r w:rsidR="00E8128F">
        <w:rPr>
          <w:sz w:val="36"/>
          <w:szCs w:val="36"/>
          <w:rtl/>
        </w:rPr>
        <w:t xml:space="preserve"> </w:t>
      </w:r>
      <w:r w:rsidR="00C020C1" w:rsidRPr="00FD211F">
        <w:rPr>
          <w:sz w:val="36"/>
          <w:szCs w:val="36"/>
          <w:rtl/>
        </w:rPr>
        <w:t>معتبر</w:t>
      </w:r>
      <w:r w:rsidR="00EC7EDF" w:rsidRPr="00FD211F">
        <w:rPr>
          <w:sz w:val="36"/>
          <w:szCs w:val="36"/>
          <w:rtl/>
        </w:rPr>
        <w:t>ة</w:t>
      </w:r>
      <w:r w:rsidR="00E8128F">
        <w:rPr>
          <w:sz w:val="36"/>
          <w:szCs w:val="36"/>
          <w:rtl/>
        </w:rPr>
        <w:t xml:space="preserve"> </w:t>
      </w:r>
      <w:r w:rsidR="00C020C1" w:rsidRPr="00FD211F">
        <w:rPr>
          <w:sz w:val="36"/>
          <w:szCs w:val="36"/>
          <w:rtl/>
        </w:rPr>
        <w:t>الى</w:t>
      </w:r>
      <w:r w:rsidR="00E8128F">
        <w:rPr>
          <w:sz w:val="36"/>
          <w:szCs w:val="36"/>
          <w:rtl/>
        </w:rPr>
        <w:t xml:space="preserve"> </w:t>
      </w:r>
      <w:r w:rsidR="00C020C1" w:rsidRPr="00FD211F">
        <w:rPr>
          <w:sz w:val="36"/>
          <w:szCs w:val="36"/>
          <w:rtl/>
        </w:rPr>
        <w:t>كتب</w:t>
      </w:r>
      <w:r w:rsidR="00E8128F">
        <w:rPr>
          <w:sz w:val="36"/>
          <w:szCs w:val="36"/>
          <w:rtl/>
        </w:rPr>
        <w:t xml:space="preserve"> </w:t>
      </w:r>
      <w:r w:rsidR="00C020C1" w:rsidRPr="00FD211F">
        <w:rPr>
          <w:sz w:val="36"/>
          <w:szCs w:val="36"/>
          <w:rtl/>
        </w:rPr>
        <w:t>وروايات</w:t>
      </w:r>
      <w:r w:rsidR="00E8128F">
        <w:rPr>
          <w:sz w:val="36"/>
          <w:szCs w:val="36"/>
          <w:rtl/>
        </w:rPr>
        <w:t xml:space="preserve"> </w:t>
      </w:r>
      <w:r w:rsidR="00C020C1" w:rsidRPr="00FD211F">
        <w:rPr>
          <w:sz w:val="36"/>
          <w:szCs w:val="36"/>
          <w:rtl/>
        </w:rPr>
        <w:t>ابن</w:t>
      </w:r>
      <w:r w:rsidR="00E8128F">
        <w:rPr>
          <w:sz w:val="36"/>
          <w:szCs w:val="36"/>
          <w:rtl/>
        </w:rPr>
        <w:t xml:space="preserve"> </w:t>
      </w:r>
      <w:r w:rsidR="00C020C1" w:rsidRPr="00FD211F">
        <w:rPr>
          <w:sz w:val="36"/>
          <w:szCs w:val="36"/>
          <w:rtl/>
        </w:rPr>
        <w:t>مهزيار</w:t>
      </w:r>
      <w:r w:rsidR="00E8128F">
        <w:rPr>
          <w:sz w:val="36"/>
          <w:szCs w:val="36"/>
          <w:rtl/>
        </w:rPr>
        <w:t xml:space="preserve"> </w:t>
      </w:r>
      <w:r w:rsidR="00045715" w:rsidRPr="00FD211F">
        <w:rPr>
          <w:sz w:val="36"/>
          <w:szCs w:val="36"/>
          <w:rtl/>
        </w:rPr>
        <w:t>فيقال</w:t>
      </w:r>
      <w:r w:rsidR="00E8128F">
        <w:rPr>
          <w:sz w:val="36"/>
          <w:szCs w:val="36"/>
          <w:rtl/>
        </w:rPr>
        <w:t xml:space="preserve"> </w:t>
      </w:r>
      <w:r w:rsidR="00045715" w:rsidRPr="00FD211F">
        <w:rPr>
          <w:sz w:val="36"/>
          <w:szCs w:val="36"/>
          <w:rtl/>
        </w:rPr>
        <w:t>بأن</w:t>
      </w:r>
      <w:r w:rsidR="00E8128F">
        <w:rPr>
          <w:sz w:val="36"/>
          <w:szCs w:val="36"/>
          <w:rtl/>
        </w:rPr>
        <w:t xml:space="preserve"> </w:t>
      </w:r>
      <w:r w:rsidR="00C020C1" w:rsidRPr="00FD211F">
        <w:rPr>
          <w:sz w:val="36"/>
          <w:szCs w:val="36"/>
          <w:rtl/>
        </w:rPr>
        <w:t>الظاهر</w:t>
      </w:r>
      <w:r w:rsidR="00E8128F">
        <w:rPr>
          <w:sz w:val="36"/>
          <w:szCs w:val="36"/>
          <w:rtl/>
        </w:rPr>
        <w:t xml:space="preserve"> </w:t>
      </w:r>
      <w:r w:rsidR="00C020C1" w:rsidRPr="00FD211F">
        <w:rPr>
          <w:sz w:val="36"/>
          <w:szCs w:val="36"/>
          <w:rtl/>
        </w:rPr>
        <w:t>من</w:t>
      </w:r>
      <w:r w:rsidR="00E8128F">
        <w:rPr>
          <w:sz w:val="36"/>
          <w:szCs w:val="36"/>
          <w:rtl/>
        </w:rPr>
        <w:t xml:space="preserve"> </w:t>
      </w:r>
      <w:r w:rsidR="00C020C1" w:rsidRPr="00FD211F">
        <w:rPr>
          <w:sz w:val="36"/>
          <w:szCs w:val="36"/>
          <w:rtl/>
        </w:rPr>
        <w:t>هذا</w:t>
      </w:r>
      <w:r w:rsidR="00E8128F">
        <w:rPr>
          <w:sz w:val="36"/>
          <w:szCs w:val="36"/>
          <w:rtl/>
        </w:rPr>
        <w:t xml:space="preserve"> </w:t>
      </w:r>
      <w:r w:rsidR="00C020C1" w:rsidRPr="00FD211F">
        <w:rPr>
          <w:sz w:val="36"/>
          <w:szCs w:val="36"/>
          <w:rtl/>
        </w:rPr>
        <w:t>الكلام</w:t>
      </w:r>
      <w:r w:rsidR="00E8128F">
        <w:rPr>
          <w:sz w:val="36"/>
          <w:szCs w:val="36"/>
          <w:rtl/>
        </w:rPr>
        <w:t xml:space="preserve"> </w:t>
      </w:r>
      <w:r w:rsidR="00C020C1" w:rsidRPr="00FD211F">
        <w:rPr>
          <w:sz w:val="36"/>
          <w:szCs w:val="36"/>
          <w:rtl/>
        </w:rPr>
        <w:t>وجود</w:t>
      </w:r>
      <w:r w:rsidR="00E8128F">
        <w:rPr>
          <w:sz w:val="36"/>
          <w:szCs w:val="36"/>
          <w:rtl/>
        </w:rPr>
        <w:t xml:space="preserve"> </w:t>
      </w:r>
      <w:r w:rsidR="00C020C1" w:rsidRPr="00FD211F">
        <w:rPr>
          <w:sz w:val="36"/>
          <w:szCs w:val="36"/>
          <w:rtl/>
        </w:rPr>
        <w:t>طرق</w:t>
      </w:r>
      <w:r w:rsidR="00E8128F">
        <w:rPr>
          <w:sz w:val="36"/>
          <w:szCs w:val="36"/>
          <w:rtl/>
        </w:rPr>
        <w:t xml:space="preserve"> </w:t>
      </w:r>
      <w:r w:rsidR="00C020C1" w:rsidRPr="00FD211F">
        <w:rPr>
          <w:sz w:val="36"/>
          <w:szCs w:val="36"/>
          <w:rtl/>
        </w:rPr>
        <w:t>له</w:t>
      </w:r>
      <w:r w:rsidR="00E8128F">
        <w:rPr>
          <w:sz w:val="36"/>
          <w:szCs w:val="36"/>
          <w:rtl/>
        </w:rPr>
        <w:t xml:space="preserve"> </w:t>
      </w:r>
      <w:r w:rsidR="00C020C1" w:rsidRPr="00FD211F">
        <w:rPr>
          <w:sz w:val="36"/>
          <w:szCs w:val="36"/>
          <w:rtl/>
        </w:rPr>
        <w:t>الى</w:t>
      </w:r>
      <w:r w:rsidR="00E8128F">
        <w:rPr>
          <w:sz w:val="36"/>
          <w:szCs w:val="36"/>
          <w:rtl/>
        </w:rPr>
        <w:t xml:space="preserve"> </w:t>
      </w:r>
      <w:r w:rsidR="00C020C1" w:rsidRPr="00FD211F">
        <w:rPr>
          <w:sz w:val="36"/>
          <w:szCs w:val="36"/>
          <w:rtl/>
        </w:rPr>
        <w:t>الروايات</w:t>
      </w:r>
      <w:r w:rsidR="00E8128F">
        <w:rPr>
          <w:sz w:val="36"/>
          <w:szCs w:val="36"/>
          <w:rtl/>
        </w:rPr>
        <w:t xml:space="preserve"> </w:t>
      </w:r>
      <w:r w:rsidR="00C020C1" w:rsidRPr="00FD211F">
        <w:rPr>
          <w:sz w:val="36"/>
          <w:szCs w:val="36"/>
          <w:rtl/>
        </w:rPr>
        <w:t>الواصل</w:t>
      </w:r>
      <w:r w:rsidR="00EC7EDF" w:rsidRPr="00FD211F">
        <w:rPr>
          <w:sz w:val="36"/>
          <w:szCs w:val="36"/>
          <w:rtl/>
        </w:rPr>
        <w:t>ة</w:t>
      </w:r>
      <w:r w:rsidR="00E8128F">
        <w:rPr>
          <w:sz w:val="36"/>
          <w:szCs w:val="36"/>
          <w:rtl/>
        </w:rPr>
        <w:t xml:space="preserve"> </w:t>
      </w:r>
      <w:r w:rsidR="00C020C1" w:rsidRPr="00FD211F">
        <w:rPr>
          <w:sz w:val="36"/>
          <w:szCs w:val="36"/>
          <w:rtl/>
        </w:rPr>
        <w:t>اليه</w:t>
      </w:r>
      <w:r w:rsidR="00E8128F">
        <w:rPr>
          <w:sz w:val="36"/>
          <w:szCs w:val="36"/>
          <w:rtl/>
        </w:rPr>
        <w:t xml:space="preserve"> </w:t>
      </w:r>
      <w:r w:rsidR="00C020C1" w:rsidRPr="00FD211F">
        <w:rPr>
          <w:sz w:val="36"/>
          <w:szCs w:val="36"/>
          <w:rtl/>
        </w:rPr>
        <w:t>الذي</w:t>
      </w:r>
      <w:r w:rsidR="00E8128F">
        <w:rPr>
          <w:sz w:val="36"/>
          <w:szCs w:val="36"/>
          <w:rtl/>
        </w:rPr>
        <w:t xml:space="preserve"> </w:t>
      </w:r>
      <w:r w:rsidR="00C020C1" w:rsidRPr="00FD211F">
        <w:rPr>
          <w:sz w:val="36"/>
          <w:szCs w:val="36"/>
          <w:rtl/>
        </w:rPr>
        <w:t>نسبت</w:t>
      </w:r>
      <w:r w:rsidR="00E8128F">
        <w:rPr>
          <w:sz w:val="36"/>
          <w:szCs w:val="36"/>
          <w:rtl/>
        </w:rPr>
        <w:t xml:space="preserve"> </w:t>
      </w:r>
      <w:r w:rsidR="00C020C1" w:rsidRPr="00FD211F">
        <w:rPr>
          <w:sz w:val="36"/>
          <w:szCs w:val="36"/>
          <w:rtl/>
        </w:rPr>
        <w:t>الى</w:t>
      </w:r>
      <w:r w:rsidR="00E8128F">
        <w:rPr>
          <w:sz w:val="36"/>
          <w:szCs w:val="36"/>
          <w:rtl/>
        </w:rPr>
        <w:t xml:space="preserve"> </w:t>
      </w:r>
      <w:r w:rsidR="00C020C1" w:rsidRPr="00FD211F">
        <w:rPr>
          <w:sz w:val="36"/>
          <w:szCs w:val="36"/>
          <w:rtl/>
        </w:rPr>
        <w:t>ابن</w:t>
      </w:r>
      <w:r w:rsidR="00E8128F">
        <w:rPr>
          <w:sz w:val="36"/>
          <w:szCs w:val="36"/>
          <w:rtl/>
        </w:rPr>
        <w:t xml:space="preserve"> </w:t>
      </w:r>
      <w:r w:rsidR="00C020C1" w:rsidRPr="00FD211F">
        <w:rPr>
          <w:sz w:val="36"/>
          <w:szCs w:val="36"/>
          <w:rtl/>
        </w:rPr>
        <w:t>مهزيار</w:t>
      </w:r>
      <w:r w:rsidR="00603323" w:rsidRPr="00FD211F">
        <w:rPr>
          <w:sz w:val="36"/>
          <w:szCs w:val="36"/>
          <w:rtl/>
        </w:rPr>
        <w:t>،</w:t>
      </w:r>
      <w:r w:rsidR="00E8128F">
        <w:rPr>
          <w:sz w:val="36"/>
          <w:szCs w:val="36"/>
          <w:rtl/>
        </w:rPr>
        <w:t xml:space="preserve"> </w:t>
      </w:r>
      <w:r w:rsidR="00C020C1" w:rsidRPr="00FD211F">
        <w:rPr>
          <w:sz w:val="36"/>
          <w:szCs w:val="36"/>
          <w:rtl/>
        </w:rPr>
        <w:t>فينطبق</w:t>
      </w:r>
      <w:r w:rsidR="00E8128F">
        <w:rPr>
          <w:sz w:val="36"/>
          <w:szCs w:val="36"/>
          <w:rtl/>
        </w:rPr>
        <w:t xml:space="preserve"> </w:t>
      </w:r>
      <w:r w:rsidR="00C020C1" w:rsidRPr="00FD211F">
        <w:rPr>
          <w:sz w:val="36"/>
          <w:szCs w:val="36"/>
          <w:rtl/>
        </w:rPr>
        <w:t>على</w:t>
      </w:r>
      <w:r w:rsidR="00E8128F">
        <w:rPr>
          <w:sz w:val="36"/>
          <w:szCs w:val="36"/>
          <w:rtl/>
        </w:rPr>
        <w:t xml:space="preserve"> </w:t>
      </w:r>
      <w:r w:rsidR="00C020C1" w:rsidRPr="00FD211F">
        <w:rPr>
          <w:sz w:val="36"/>
          <w:szCs w:val="36"/>
          <w:rtl/>
        </w:rPr>
        <w:t>هذه</w:t>
      </w:r>
      <w:r w:rsidR="00E8128F">
        <w:rPr>
          <w:sz w:val="36"/>
          <w:szCs w:val="36"/>
          <w:rtl/>
        </w:rPr>
        <w:t xml:space="preserve"> </w:t>
      </w:r>
      <w:r w:rsidR="00C020C1" w:rsidRPr="00FD211F">
        <w:rPr>
          <w:sz w:val="36"/>
          <w:szCs w:val="36"/>
          <w:rtl/>
        </w:rPr>
        <w:t>الرواي</w:t>
      </w:r>
      <w:r w:rsidR="00EC7EDF" w:rsidRPr="00FD211F">
        <w:rPr>
          <w:sz w:val="36"/>
          <w:szCs w:val="36"/>
          <w:rtl/>
        </w:rPr>
        <w:t>ة</w:t>
      </w:r>
      <w:r w:rsidR="00E8128F">
        <w:rPr>
          <w:sz w:val="36"/>
          <w:szCs w:val="36"/>
          <w:rtl/>
        </w:rPr>
        <w:t xml:space="preserve"> </w:t>
      </w:r>
      <w:r w:rsidR="00C020C1" w:rsidRPr="00FD211F">
        <w:rPr>
          <w:sz w:val="36"/>
          <w:szCs w:val="36"/>
          <w:rtl/>
        </w:rPr>
        <w:t>المروي</w:t>
      </w:r>
      <w:r w:rsidR="00EC7EDF" w:rsidRPr="00FD211F">
        <w:rPr>
          <w:sz w:val="36"/>
          <w:szCs w:val="36"/>
          <w:rtl/>
        </w:rPr>
        <w:t>ة</w:t>
      </w:r>
      <w:r w:rsidR="00E8128F">
        <w:rPr>
          <w:sz w:val="36"/>
          <w:szCs w:val="36"/>
          <w:rtl/>
        </w:rPr>
        <w:t xml:space="preserve"> </w:t>
      </w:r>
      <w:r w:rsidR="00C020C1" w:rsidRPr="00FD211F">
        <w:rPr>
          <w:sz w:val="36"/>
          <w:szCs w:val="36"/>
          <w:rtl/>
        </w:rPr>
        <w:t>في</w:t>
      </w:r>
      <w:r w:rsidR="00E8128F">
        <w:rPr>
          <w:sz w:val="36"/>
          <w:szCs w:val="36"/>
          <w:rtl/>
        </w:rPr>
        <w:t xml:space="preserve"> </w:t>
      </w:r>
      <w:r w:rsidR="00C020C1" w:rsidRPr="00FD211F">
        <w:rPr>
          <w:sz w:val="36"/>
          <w:szCs w:val="36"/>
          <w:rtl/>
        </w:rPr>
        <w:t>الكافي</w:t>
      </w:r>
      <w:r w:rsidR="00E8128F">
        <w:rPr>
          <w:sz w:val="36"/>
          <w:szCs w:val="36"/>
          <w:rtl/>
        </w:rPr>
        <w:t xml:space="preserve"> </w:t>
      </w:r>
      <w:r w:rsidR="00C020C1" w:rsidRPr="00FD211F">
        <w:rPr>
          <w:sz w:val="36"/>
          <w:szCs w:val="36"/>
          <w:rtl/>
        </w:rPr>
        <w:t>عن</w:t>
      </w:r>
      <w:r w:rsidR="00E8128F">
        <w:rPr>
          <w:sz w:val="36"/>
          <w:szCs w:val="36"/>
          <w:rtl/>
        </w:rPr>
        <w:t xml:space="preserve"> </w:t>
      </w:r>
      <w:r w:rsidR="00C020C1" w:rsidRPr="00FD211F">
        <w:rPr>
          <w:sz w:val="36"/>
          <w:szCs w:val="36"/>
          <w:rtl/>
        </w:rPr>
        <w:t>ابن</w:t>
      </w:r>
      <w:r w:rsidR="00E8128F">
        <w:rPr>
          <w:sz w:val="36"/>
          <w:szCs w:val="36"/>
          <w:rtl/>
        </w:rPr>
        <w:t xml:space="preserve"> </w:t>
      </w:r>
      <w:r w:rsidR="00C020C1" w:rsidRPr="00FD211F">
        <w:rPr>
          <w:sz w:val="36"/>
          <w:szCs w:val="36"/>
          <w:rtl/>
        </w:rPr>
        <w:t>مهزيار</w:t>
      </w:r>
      <w:r w:rsidR="00E8128F">
        <w:rPr>
          <w:sz w:val="36"/>
          <w:szCs w:val="36"/>
          <w:rtl/>
        </w:rPr>
        <w:t xml:space="preserve"> </w:t>
      </w:r>
      <w:r w:rsidR="00C020C1" w:rsidRPr="00FD211F">
        <w:rPr>
          <w:sz w:val="36"/>
          <w:szCs w:val="36"/>
          <w:rtl/>
        </w:rPr>
        <w:t>بعد</w:t>
      </w:r>
      <w:r w:rsidR="00E8128F">
        <w:rPr>
          <w:sz w:val="36"/>
          <w:szCs w:val="36"/>
          <w:rtl/>
        </w:rPr>
        <w:t xml:space="preserve"> </w:t>
      </w:r>
      <w:r w:rsidR="00C020C1" w:rsidRPr="00FD211F">
        <w:rPr>
          <w:sz w:val="36"/>
          <w:szCs w:val="36"/>
          <w:rtl/>
        </w:rPr>
        <w:t>شهاد</w:t>
      </w:r>
      <w:r w:rsidR="00EC7EDF" w:rsidRPr="00FD211F">
        <w:rPr>
          <w:sz w:val="36"/>
          <w:szCs w:val="36"/>
          <w:rtl/>
        </w:rPr>
        <w:t>ة</w:t>
      </w:r>
      <w:r w:rsidR="00E8128F">
        <w:rPr>
          <w:sz w:val="36"/>
          <w:szCs w:val="36"/>
          <w:rtl/>
        </w:rPr>
        <w:t xml:space="preserve"> </w:t>
      </w:r>
      <w:r w:rsidR="00C020C1" w:rsidRPr="00FD211F">
        <w:rPr>
          <w:sz w:val="36"/>
          <w:szCs w:val="36"/>
          <w:rtl/>
        </w:rPr>
        <w:t>الشيخ</w:t>
      </w:r>
      <w:r w:rsidR="00E8128F">
        <w:rPr>
          <w:sz w:val="36"/>
          <w:szCs w:val="36"/>
          <w:rtl/>
        </w:rPr>
        <w:t xml:space="preserve"> </w:t>
      </w:r>
      <w:r w:rsidR="00C020C1" w:rsidRPr="00FD211F">
        <w:rPr>
          <w:sz w:val="36"/>
          <w:szCs w:val="36"/>
          <w:rtl/>
        </w:rPr>
        <w:t>بوصول</w:t>
      </w:r>
      <w:r w:rsidR="00E8128F">
        <w:rPr>
          <w:sz w:val="36"/>
          <w:szCs w:val="36"/>
          <w:rtl/>
        </w:rPr>
        <w:t xml:space="preserve"> </w:t>
      </w:r>
      <w:r w:rsidR="00C020C1" w:rsidRPr="00FD211F">
        <w:rPr>
          <w:sz w:val="36"/>
          <w:szCs w:val="36"/>
          <w:rtl/>
        </w:rPr>
        <w:t>كتاب</w:t>
      </w:r>
      <w:r w:rsidR="00E8128F">
        <w:rPr>
          <w:sz w:val="36"/>
          <w:szCs w:val="36"/>
          <w:rtl/>
        </w:rPr>
        <w:t xml:space="preserve"> </w:t>
      </w:r>
      <w:r w:rsidR="00C020C1" w:rsidRPr="00FD211F">
        <w:rPr>
          <w:sz w:val="36"/>
          <w:szCs w:val="36"/>
          <w:rtl/>
        </w:rPr>
        <w:t>الكافي</w:t>
      </w:r>
      <w:r w:rsidR="00E8128F">
        <w:rPr>
          <w:sz w:val="36"/>
          <w:szCs w:val="36"/>
          <w:rtl/>
        </w:rPr>
        <w:t xml:space="preserve"> </w:t>
      </w:r>
      <w:r w:rsidR="00C020C1" w:rsidRPr="00FD211F">
        <w:rPr>
          <w:sz w:val="36"/>
          <w:szCs w:val="36"/>
          <w:rtl/>
        </w:rPr>
        <w:t>اليه.</w:t>
      </w:r>
    </w:p>
    <w:p w14:paraId="5103A1A4" w14:textId="77777777" w:rsidR="00C020C1" w:rsidRPr="00FD211F" w:rsidRDefault="00C020C1" w:rsidP="009C58C8">
      <w:pPr>
        <w:ind w:left="0" w:firstLine="227"/>
        <w:jc w:val="both"/>
        <w:rPr>
          <w:sz w:val="36"/>
          <w:szCs w:val="36"/>
          <w:rtl/>
        </w:rPr>
      </w:pPr>
      <w:r w:rsidRPr="00FD211F">
        <w:rPr>
          <w:sz w:val="36"/>
          <w:szCs w:val="36"/>
          <w:rtl/>
        </w:rPr>
        <w:t>ان</w:t>
      </w:r>
      <w:r w:rsidR="00E8128F">
        <w:rPr>
          <w:sz w:val="36"/>
          <w:szCs w:val="36"/>
          <w:rtl/>
        </w:rPr>
        <w:t xml:space="preserve"> </w:t>
      </w:r>
      <w:r w:rsidRPr="00FD211F">
        <w:rPr>
          <w:sz w:val="36"/>
          <w:szCs w:val="36"/>
          <w:rtl/>
        </w:rPr>
        <w:t>قلت:</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استثنى</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الفهرست</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الطرق</w:t>
      </w:r>
      <w:r w:rsidR="00E8128F">
        <w:rPr>
          <w:sz w:val="36"/>
          <w:szCs w:val="36"/>
          <w:rtl/>
        </w:rPr>
        <w:t xml:space="preserve"> </w:t>
      </w:r>
      <w:r w:rsidRPr="00FD211F">
        <w:rPr>
          <w:sz w:val="36"/>
          <w:szCs w:val="36"/>
          <w:rtl/>
        </w:rPr>
        <w:t>المعتبر</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وروايات</w:t>
      </w:r>
      <w:r w:rsidR="00E8128F">
        <w:rPr>
          <w:sz w:val="36"/>
          <w:szCs w:val="36"/>
          <w:rtl/>
        </w:rPr>
        <w:t xml:space="preserve"> </w:t>
      </w:r>
      <w:r w:rsidRPr="00FD211F">
        <w:rPr>
          <w:sz w:val="36"/>
          <w:szCs w:val="36"/>
          <w:rtl/>
        </w:rPr>
        <w:t>ابن</w:t>
      </w:r>
      <w:r w:rsidR="00E8128F">
        <w:rPr>
          <w:sz w:val="36"/>
          <w:szCs w:val="36"/>
          <w:rtl/>
        </w:rPr>
        <w:t xml:space="preserve"> </w:t>
      </w:r>
      <w:r w:rsidRPr="00FD211F">
        <w:rPr>
          <w:sz w:val="36"/>
          <w:szCs w:val="36"/>
          <w:rtl/>
        </w:rPr>
        <w:t>مهزيار</w:t>
      </w:r>
      <w:r w:rsidR="00E8128F">
        <w:rPr>
          <w:sz w:val="36"/>
          <w:szCs w:val="36"/>
          <w:rtl/>
        </w:rPr>
        <w:t xml:space="preserve"> </w:t>
      </w:r>
      <w:r w:rsidRPr="00FD211F">
        <w:rPr>
          <w:sz w:val="36"/>
          <w:szCs w:val="36"/>
          <w:rtl/>
        </w:rPr>
        <w:t>كتاب</w:t>
      </w:r>
      <w:r w:rsidR="00E8128F">
        <w:rPr>
          <w:sz w:val="36"/>
          <w:szCs w:val="36"/>
          <w:rtl/>
        </w:rPr>
        <w:t xml:space="preserve"> </w:t>
      </w:r>
      <w:r w:rsidRPr="00FD211F">
        <w:rPr>
          <w:sz w:val="36"/>
          <w:szCs w:val="36"/>
          <w:rtl/>
        </w:rPr>
        <w:t>المثالب</w:t>
      </w:r>
      <w:r w:rsidR="00E8128F">
        <w:rPr>
          <w:sz w:val="36"/>
          <w:szCs w:val="36"/>
          <w:rtl/>
        </w:rPr>
        <w:t xml:space="preserve"> </w:t>
      </w:r>
      <w:r w:rsidRPr="00FD211F">
        <w:rPr>
          <w:sz w:val="36"/>
          <w:szCs w:val="36"/>
          <w:rtl/>
        </w:rPr>
        <w:t>وذكر</w:t>
      </w:r>
      <w:r w:rsidR="00E8128F">
        <w:rPr>
          <w:sz w:val="36"/>
          <w:szCs w:val="36"/>
          <w:rtl/>
        </w:rPr>
        <w:t xml:space="preserve"> </w:t>
      </w:r>
      <w:r w:rsidRPr="00FD211F">
        <w:rPr>
          <w:sz w:val="36"/>
          <w:szCs w:val="36"/>
          <w:rtl/>
        </w:rPr>
        <w:t>اليه</w:t>
      </w:r>
      <w:r w:rsidR="00E8128F">
        <w:rPr>
          <w:sz w:val="36"/>
          <w:szCs w:val="36"/>
          <w:rtl/>
        </w:rPr>
        <w:t xml:space="preserve"> </w:t>
      </w:r>
      <w:r w:rsidRPr="00FD211F">
        <w:rPr>
          <w:sz w:val="36"/>
          <w:szCs w:val="36"/>
          <w:rtl/>
        </w:rPr>
        <w:t>طريقا</w:t>
      </w:r>
      <w:r w:rsidR="00E8128F">
        <w:rPr>
          <w:sz w:val="36"/>
          <w:szCs w:val="36"/>
          <w:rtl/>
        </w:rPr>
        <w:t xml:space="preserve"> </w:t>
      </w:r>
      <w:r w:rsidRPr="00FD211F">
        <w:rPr>
          <w:sz w:val="36"/>
          <w:szCs w:val="36"/>
          <w:rtl/>
        </w:rPr>
        <w:t>واحدا</w:t>
      </w:r>
      <w:r w:rsidR="00E8128F">
        <w:rPr>
          <w:sz w:val="36"/>
          <w:szCs w:val="36"/>
          <w:rtl/>
        </w:rPr>
        <w:t xml:space="preserve"> </w:t>
      </w:r>
      <w:r w:rsidRPr="00FD211F">
        <w:rPr>
          <w:sz w:val="36"/>
          <w:szCs w:val="36"/>
          <w:rtl/>
        </w:rPr>
        <w:t>فقط</w:t>
      </w:r>
      <w:r w:rsidR="00E8128F">
        <w:rPr>
          <w:sz w:val="36"/>
          <w:szCs w:val="36"/>
          <w:rtl/>
        </w:rPr>
        <w:t xml:space="preserve"> </w:t>
      </w:r>
      <w:r w:rsidRPr="00FD211F">
        <w:rPr>
          <w:sz w:val="36"/>
          <w:szCs w:val="36"/>
          <w:rtl/>
        </w:rPr>
        <w:t>وهذا</w:t>
      </w:r>
      <w:r w:rsidR="00E8128F">
        <w:rPr>
          <w:sz w:val="36"/>
          <w:szCs w:val="36"/>
          <w:rtl/>
        </w:rPr>
        <w:t xml:space="preserve"> </w:t>
      </w:r>
      <w:r w:rsidRPr="00FD211F">
        <w:rPr>
          <w:sz w:val="36"/>
          <w:szCs w:val="36"/>
          <w:rtl/>
        </w:rPr>
        <w:t>الطريق</w:t>
      </w:r>
      <w:r w:rsidR="00E8128F">
        <w:rPr>
          <w:sz w:val="36"/>
          <w:szCs w:val="36"/>
          <w:rtl/>
        </w:rPr>
        <w:t xml:space="preserve"> </w:t>
      </w:r>
      <w:r w:rsidRPr="00FD211F">
        <w:rPr>
          <w:sz w:val="36"/>
          <w:szCs w:val="36"/>
          <w:rtl/>
        </w:rPr>
        <w:t>مشتمل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ابراهيم</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مهزيار</w:t>
      </w:r>
      <w:r w:rsidR="00E8128F">
        <w:rPr>
          <w:sz w:val="36"/>
          <w:szCs w:val="36"/>
          <w:rtl/>
        </w:rPr>
        <w:t xml:space="preserve"> </w:t>
      </w:r>
      <w:r w:rsidR="009977FE" w:rsidRPr="00FD211F">
        <w:rPr>
          <w:sz w:val="36"/>
          <w:szCs w:val="36"/>
          <w:rtl/>
        </w:rPr>
        <w:t>و</w:t>
      </w:r>
      <w:r w:rsidR="00E8128F">
        <w:rPr>
          <w:sz w:val="36"/>
          <w:szCs w:val="36"/>
          <w:rtl/>
        </w:rPr>
        <w:t xml:space="preserve"> </w:t>
      </w:r>
      <w:r w:rsidR="008D7B3D" w:rsidRPr="00FD211F">
        <w:rPr>
          <w:sz w:val="36"/>
          <w:szCs w:val="36"/>
          <w:rtl/>
        </w:rPr>
        <w:t>لم‌</w:t>
      </w:r>
      <w:r w:rsidRPr="00FD211F">
        <w:rPr>
          <w:sz w:val="36"/>
          <w:szCs w:val="36"/>
          <w:rtl/>
        </w:rPr>
        <w:t>يرد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حقه</w:t>
      </w:r>
      <w:r w:rsidR="00E8128F">
        <w:rPr>
          <w:sz w:val="36"/>
          <w:szCs w:val="36"/>
          <w:rtl/>
        </w:rPr>
        <w:t xml:space="preserve"> </w:t>
      </w:r>
      <w:r w:rsidRPr="00FD211F">
        <w:rPr>
          <w:sz w:val="36"/>
          <w:szCs w:val="36"/>
          <w:rtl/>
        </w:rPr>
        <w:t>اي</w:t>
      </w:r>
      <w:r w:rsidR="00E8128F">
        <w:rPr>
          <w:sz w:val="36"/>
          <w:szCs w:val="36"/>
          <w:rtl/>
        </w:rPr>
        <w:t xml:space="preserve"> </w:t>
      </w:r>
      <w:r w:rsidRPr="00FD211F">
        <w:rPr>
          <w:sz w:val="36"/>
          <w:szCs w:val="36"/>
          <w:rtl/>
        </w:rPr>
        <w:t>توثيق</w:t>
      </w:r>
      <w:r w:rsidR="00603323" w:rsidRPr="00FD211F">
        <w:rPr>
          <w:sz w:val="36"/>
          <w:szCs w:val="36"/>
          <w:rtl/>
        </w:rPr>
        <w:t>،</w:t>
      </w:r>
      <w:r w:rsidR="00E8128F">
        <w:rPr>
          <w:sz w:val="36"/>
          <w:szCs w:val="36"/>
          <w:rtl/>
        </w:rPr>
        <w:t xml:space="preserve"> </w:t>
      </w:r>
      <w:r w:rsidRPr="00FD211F">
        <w:rPr>
          <w:sz w:val="36"/>
          <w:szCs w:val="36"/>
          <w:rtl/>
        </w:rPr>
        <w:t>ويحتمل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الرواي</w:t>
      </w:r>
      <w:r w:rsidR="00EC7EDF" w:rsidRPr="00FD211F">
        <w:rPr>
          <w:sz w:val="36"/>
          <w:szCs w:val="36"/>
          <w:rtl/>
        </w:rPr>
        <w:t>ة</w:t>
      </w:r>
      <w:r w:rsidR="00E8128F">
        <w:rPr>
          <w:sz w:val="36"/>
          <w:szCs w:val="36"/>
          <w:rtl/>
        </w:rPr>
        <w:t xml:space="preserve"> </w:t>
      </w:r>
      <w:r w:rsidRPr="00FD211F">
        <w:rPr>
          <w:sz w:val="36"/>
          <w:szCs w:val="36"/>
          <w:rtl/>
        </w:rPr>
        <w:t>منقول</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كتاب</w:t>
      </w:r>
      <w:r w:rsidR="00E8128F">
        <w:rPr>
          <w:sz w:val="36"/>
          <w:szCs w:val="36"/>
          <w:rtl/>
        </w:rPr>
        <w:t xml:space="preserve"> </w:t>
      </w:r>
      <w:r w:rsidRPr="00FD211F">
        <w:rPr>
          <w:sz w:val="36"/>
          <w:szCs w:val="36"/>
          <w:rtl/>
        </w:rPr>
        <w:t>المثالب.</w:t>
      </w:r>
    </w:p>
    <w:p w14:paraId="135CEB65" w14:textId="77777777" w:rsidR="00045715" w:rsidRPr="00FD211F" w:rsidRDefault="00C020C1" w:rsidP="009C58C8">
      <w:pPr>
        <w:ind w:left="0" w:firstLine="227"/>
        <w:jc w:val="both"/>
        <w:rPr>
          <w:sz w:val="36"/>
          <w:szCs w:val="36"/>
          <w:rtl/>
        </w:rPr>
      </w:pPr>
      <w:r w:rsidRPr="00FD211F">
        <w:rPr>
          <w:sz w:val="36"/>
          <w:szCs w:val="36"/>
          <w:rtl/>
        </w:rPr>
        <w:t>قلت:</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شيخنا</w:t>
      </w:r>
      <w:r w:rsidR="00E8128F">
        <w:rPr>
          <w:sz w:val="36"/>
          <w:szCs w:val="36"/>
          <w:rtl/>
        </w:rPr>
        <w:t xml:space="preserve"> </w:t>
      </w:r>
      <w:r w:rsidRPr="00FD211F">
        <w:rPr>
          <w:sz w:val="36"/>
          <w:szCs w:val="36"/>
          <w:rtl/>
        </w:rPr>
        <w:t>الاستاذ</w:t>
      </w:r>
      <w:r w:rsidR="00E8128F">
        <w:rPr>
          <w:sz w:val="36"/>
          <w:szCs w:val="36"/>
          <w:rtl/>
        </w:rPr>
        <w:t xml:space="preserve"> </w:t>
      </w:r>
      <w:r w:rsidR="00C04DBB" w:rsidRPr="00FD211F">
        <w:rPr>
          <w:sz w:val="36"/>
          <w:szCs w:val="36"/>
          <w:rtl/>
        </w:rPr>
        <w:t>"قده"</w:t>
      </w:r>
      <w:r w:rsidR="00E8128F">
        <w:rPr>
          <w:sz w:val="36"/>
          <w:szCs w:val="36"/>
          <w:rtl/>
        </w:rPr>
        <w:t xml:space="preserve"> </w:t>
      </w:r>
      <w:r w:rsidRPr="00FD211F">
        <w:rPr>
          <w:b/>
          <w:bCs/>
          <w:sz w:val="36"/>
          <w:szCs w:val="36"/>
          <w:rtl/>
        </w:rPr>
        <w:t>اولا</w:t>
      </w:r>
      <w:r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ابراهيم</w:t>
      </w:r>
      <w:r w:rsidR="00E8128F">
        <w:rPr>
          <w:sz w:val="36"/>
          <w:szCs w:val="36"/>
          <w:rtl/>
        </w:rPr>
        <w:t xml:space="preserve"> </w:t>
      </w:r>
      <w:r w:rsidRPr="00FD211F">
        <w:rPr>
          <w:sz w:val="36"/>
          <w:szCs w:val="36"/>
          <w:rtl/>
        </w:rPr>
        <w:t>ابن</w:t>
      </w:r>
      <w:r w:rsidR="00E8128F">
        <w:rPr>
          <w:sz w:val="36"/>
          <w:szCs w:val="36"/>
          <w:rtl/>
        </w:rPr>
        <w:t xml:space="preserve"> </w:t>
      </w:r>
      <w:r w:rsidRPr="00FD211F">
        <w:rPr>
          <w:sz w:val="36"/>
          <w:szCs w:val="36"/>
          <w:rtl/>
        </w:rPr>
        <w:t>مهزيار</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المعاريف</w:t>
      </w:r>
      <w:r w:rsidR="00E8128F">
        <w:rPr>
          <w:sz w:val="36"/>
          <w:szCs w:val="36"/>
          <w:rtl/>
        </w:rPr>
        <w:t xml:space="preserve"> </w:t>
      </w:r>
      <w:r w:rsidRPr="00FD211F">
        <w:rPr>
          <w:sz w:val="36"/>
          <w:szCs w:val="36"/>
          <w:rtl/>
        </w:rPr>
        <w:t>الذين</w:t>
      </w:r>
      <w:r w:rsidR="00E8128F">
        <w:rPr>
          <w:sz w:val="36"/>
          <w:szCs w:val="36"/>
          <w:rtl/>
        </w:rPr>
        <w:t xml:space="preserve"> </w:t>
      </w:r>
      <w:r w:rsidR="008D7B3D" w:rsidRPr="00FD211F">
        <w:rPr>
          <w:sz w:val="36"/>
          <w:szCs w:val="36"/>
          <w:rtl/>
        </w:rPr>
        <w:t>لم‌</w:t>
      </w:r>
      <w:r w:rsidRPr="00FD211F">
        <w:rPr>
          <w:sz w:val="36"/>
          <w:szCs w:val="36"/>
          <w:rtl/>
        </w:rPr>
        <w:t>يرد</w:t>
      </w:r>
      <w:r w:rsidR="00E8128F">
        <w:rPr>
          <w:sz w:val="36"/>
          <w:szCs w:val="36"/>
          <w:rtl/>
        </w:rPr>
        <w:t xml:space="preserve"> </w:t>
      </w:r>
      <w:r w:rsidR="00045715" w:rsidRPr="00FD211F">
        <w:rPr>
          <w:sz w:val="36"/>
          <w:szCs w:val="36"/>
          <w:rtl/>
        </w:rPr>
        <w:t>في</w:t>
      </w:r>
      <w:r w:rsidR="00E8128F">
        <w:rPr>
          <w:sz w:val="36"/>
          <w:szCs w:val="36"/>
          <w:rtl/>
        </w:rPr>
        <w:t xml:space="preserve"> </w:t>
      </w:r>
      <w:r w:rsidR="00045715" w:rsidRPr="00FD211F">
        <w:rPr>
          <w:sz w:val="36"/>
          <w:szCs w:val="36"/>
          <w:rtl/>
        </w:rPr>
        <w:t>حقهم</w:t>
      </w:r>
      <w:r w:rsidR="00E8128F">
        <w:rPr>
          <w:sz w:val="36"/>
          <w:szCs w:val="36"/>
          <w:rtl/>
        </w:rPr>
        <w:t xml:space="preserve"> </w:t>
      </w:r>
      <w:r w:rsidR="00045715" w:rsidRPr="00FD211F">
        <w:rPr>
          <w:sz w:val="36"/>
          <w:szCs w:val="36"/>
          <w:rtl/>
        </w:rPr>
        <w:t>قدح</w:t>
      </w:r>
      <w:r w:rsidR="00E8128F">
        <w:rPr>
          <w:sz w:val="36"/>
          <w:szCs w:val="36"/>
          <w:rtl/>
        </w:rPr>
        <w:t xml:space="preserve"> </w:t>
      </w:r>
      <w:r w:rsidR="00045715" w:rsidRPr="00FD211F">
        <w:rPr>
          <w:sz w:val="36"/>
          <w:szCs w:val="36"/>
          <w:rtl/>
        </w:rPr>
        <w:t>فيكشف</w:t>
      </w:r>
      <w:r w:rsidR="00E8128F">
        <w:rPr>
          <w:sz w:val="36"/>
          <w:szCs w:val="36"/>
          <w:rtl/>
        </w:rPr>
        <w:t xml:space="preserve"> </w:t>
      </w:r>
      <w:r w:rsidR="00045715" w:rsidRPr="00FD211F">
        <w:rPr>
          <w:sz w:val="36"/>
          <w:szCs w:val="36"/>
          <w:rtl/>
        </w:rPr>
        <w:t>عن</w:t>
      </w:r>
      <w:r w:rsidR="00E8128F">
        <w:rPr>
          <w:sz w:val="36"/>
          <w:szCs w:val="36"/>
          <w:rtl/>
        </w:rPr>
        <w:t xml:space="preserve"> </w:t>
      </w:r>
      <w:r w:rsidR="00045715" w:rsidRPr="00FD211F">
        <w:rPr>
          <w:sz w:val="36"/>
          <w:szCs w:val="36"/>
          <w:rtl/>
        </w:rPr>
        <w:t>حسن</w:t>
      </w:r>
      <w:r w:rsidR="00E8128F">
        <w:rPr>
          <w:sz w:val="36"/>
          <w:szCs w:val="36"/>
          <w:rtl/>
        </w:rPr>
        <w:t xml:space="preserve"> </w:t>
      </w:r>
      <w:r w:rsidR="00045715" w:rsidRPr="00FD211F">
        <w:rPr>
          <w:sz w:val="36"/>
          <w:szCs w:val="36"/>
          <w:rtl/>
        </w:rPr>
        <w:t>ظاهره.</w:t>
      </w:r>
      <w:r w:rsidR="00E8128F">
        <w:rPr>
          <w:sz w:val="36"/>
          <w:szCs w:val="36"/>
          <w:rtl/>
        </w:rPr>
        <w:t xml:space="preserve"> </w:t>
      </w:r>
    </w:p>
    <w:p w14:paraId="6EBF3ADC" w14:textId="77777777" w:rsidR="00C020C1" w:rsidRPr="00FD211F" w:rsidRDefault="00C020C1" w:rsidP="009C58C8">
      <w:pPr>
        <w:ind w:left="0" w:firstLine="227"/>
        <w:jc w:val="both"/>
        <w:rPr>
          <w:sz w:val="36"/>
          <w:szCs w:val="36"/>
          <w:rtl/>
        </w:rPr>
      </w:pPr>
      <w:r w:rsidRPr="00FD211F">
        <w:rPr>
          <w:b/>
          <w:bCs/>
          <w:sz w:val="36"/>
          <w:szCs w:val="36"/>
          <w:rtl/>
        </w:rPr>
        <w:t>وثانيا</w:t>
      </w:r>
      <w:r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الرواي</w:t>
      </w:r>
      <w:r w:rsidR="00EC7EDF" w:rsidRPr="00FD211F">
        <w:rPr>
          <w:sz w:val="36"/>
          <w:szCs w:val="36"/>
          <w:rtl/>
        </w:rPr>
        <w:t>ة</w:t>
      </w:r>
      <w:r w:rsidR="00E8128F">
        <w:rPr>
          <w:sz w:val="36"/>
          <w:szCs w:val="36"/>
          <w:rtl/>
        </w:rPr>
        <w:t xml:space="preserve"> </w:t>
      </w:r>
      <w:r w:rsidRPr="00FD211F">
        <w:rPr>
          <w:sz w:val="36"/>
          <w:szCs w:val="36"/>
          <w:rtl/>
        </w:rPr>
        <w:t>الفقهي</w:t>
      </w:r>
      <w:r w:rsidR="00EC7EDF" w:rsidRPr="00FD211F">
        <w:rPr>
          <w:sz w:val="36"/>
          <w:szCs w:val="36"/>
          <w:rtl/>
        </w:rPr>
        <w:t>ة</w:t>
      </w:r>
      <w:r w:rsidR="00E8128F">
        <w:rPr>
          <w:sz w:val="36"/>
          <w:szCs w:val="36"/>
          <w:rtl/>
        </w:rPr>
        <w:t xml:space="preserve"> </w:t>
      </w:r>
      <w:r w:rsidRPr="00FD211F">
        <w:rPr>
          <w:sz w:val="36"/>
          <w:szCs w:val="36"/>
          <w:rtl/>
        </w:rPr>
        <w:t>مذكور</w:t>
      </w:r>
      <w:r w:rsidR="00EC7EDF" w:rsidRPr="00FD211F">
        <w:rPr>
          <w:sz w:val="36"/>
          <w:szCs w:val="36"/>
          <w:rtl/>
        </w:rPr>
        <w:t>ة</w:t>
      </w:r>
      <w:r w:rsidR="00E8128F">
        <w:rPr>
          <w:sz w:val="36"/>
          <w:szCs w:val="36"/>
          <w:rtl/>
        </w:rPr>
        <w:t xml:space="preserve"> </w:t>
      </w:r>
      <w:r w:rsidRPr="00FD211F">
        <w:rPr>
          <w:sz w:val="36"/>
          <w:szCs w:val="36"/>
          <w:rtl/>
        </w:rPr>
        <w:t>استطرادا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خصوص</w:t>
      </w:r>
      <w:r w:rsidR="00E8128F">
        <w:rPr>
          <w:sz w:val="36"/>
          <w:szCs w:val="36"/>
          <w:rtl/>
        </w:rPr>
        <w:t xml:space="preserve"> </w:t>
      </w:r>
      <w:r w:rsidRPr="00FD211F">
        <w:rPr>
          <w:sz w:val="36"/>
          <w:szCs w:val="36"/>
          <w:rtl/>
        </w:rPr>
        <w:t>كتاب</w:t>
      </w:r>
      <w:r w:rsidR="00E8128F">
        <w:rPr>
          <w:sz w:val="36"/>
          <w:szCs w:val="36"/>
          <w:rtl/>
        </w:rPr>
        <w:t xml:space="preserve"> </w:t>
      </w:r>
      <w:r w:rsidRPr="00FD211F">
        <w:rPr>
          <w:sz w:val="36"/>
          <w:szCs w:val="36"/>
          <w:rtl/>
        </w:rPr>
        <w:t>المثالب</w:t>
      </w:r>
      <w:r w:rsidR="00E8128F">
        <w:rPr>
          <w:sz w:val="36"/>
          <w:szCs w:val="36"/>
          <w:rtl/>
        </w:rPr>
        <w:t xml:space="preserve"> </w:t>
      </w:r>
      <w:r w:rsidRPr="00FD211F">
        <w:rPr>
          <w:sz w:val="36"/>
          <w:szCs w:val="36"/>
          <w:rtl/>
        </w:rPr>
        <w:t>بعيد</w:t>
      </w:r>
      <w:r w:rsidR="00E8128F">
        <w:rPr>
          <w:sz w:val="36"/>
          <w:szCs w:val="36"/>
          <w:rtl/>
        </w:rPr>
        <w:t xml:space="preserve"> </w:t>
      </w:r>
      <w:r w:rsidRPr="00FD211F">
        <w:rPr>
          <w:sz w:val="36"/>
          <w:szCs w:val="36"/>
          <w:rtl/>
        </w:rPr>
        <w:t>جدا</w:t>
      </w:r>
      <w:r w:rsidR="00045715" w:rsidRPr="00FD211F">
        <w:rPr>
          <w:sz w:val="36"/>
          <w:szCs w:val="36"/>
          <w:rtl/>
        </w:rPr>
        <w:t>فيطمئن</w:t>
      </w:r>
      <w:r w:rsidR="00E8128F">
        <w:rPr>
          <w:sz w:val="36"/>
          <w:szCs w:val="36"/>
          <w:rtl/>
        </w:rPr>
        <w:t xml:space="preserve"> </w:t>
      </w:r>
      <w:r w:rsidR="00045715" w:rsidRPr="00FD211F">
        <w:rPr>
          <w:sz w:val="36"/>
          <w:szCs w:val="36"/>
          <w:rtl/>
        </w:rPr>
        <w:t>بعدمه</w:t>
      </w:r>
      <w:r w:rsidR="00EC7EDF" w:rsidRPr="00FD211F">
        <w:rPr>
          <w:sz w:val="36"/>
          <w:szCs w:val="36"/>
          <w:rtl/>
        </w:rPr>
        <w:t>.</w:t>
      </w:r>
    </w:p>
    <w:p w14:paraId="3941FA77" w14:textId="77777777" w:rsidR="00C020C1" w:rsidRPr="00FD211F" w:rsidRDefault="00C020C1" w:rsidP="009C58C8">
      <w:pPr>
        <w:ind w:left="0" w:firstLine="227"/>
        <w:jc w:val="both"/>
        <w:rPr>
          <w:sz w:val="36"/>
          <w:szCs w:val="36"/>
          <w:rtl/>
        </w:rPr>
      </w:pPr>
      <w:r w:rsidRPr="00FD211F">
        <w:rPr>
          <w:sz w:val="36"/>
          <w:szCs w:val="36"/>
          <w:rtl/>
        </w:rPr>
        <w:t>والظاهر</w:t>
      </w:r>
      <w:r w:rsidR="00E8128F">
        <w:rPr>
          <w:sz w:val="36"/>
          <w:szCs w:val="36"/>
          <w:rtl/>
        </w:rPr>
        <w:t xml:space="preserve"> </w:t>
      </w:r>
      <w:r w:rsidRPr="00FD211F">
        <w:rPr>
          <w:sz w:val="36"/>
          <w:szCs w:val="36"/>
          <w:rtl/>
        </w:rPr>
        <w:t>تمامي</w:t>
      </w:r>
      <w:r w:rsidR="00EC7EDF" w:rsidRPr="00FD211F">
        <w:rPr>
          <w:sz w:val="36"/>
          <w:szCs w:val="36"/>
          <w:rtl/>
        </w:rPr>
        <w:t>ة</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الجواب</w:t>
      </w:r>
      <w:r w:rsidR="00E8128F">
        <w:rPr>
          <w:sz w:val="36"/>
          <w:szCs w:val="36"/>
          <w:rtl/>
        </w:rPr>
        <w:t xml:space="preserve"> </w:t>
      </w:r>
      <w:r w:rsidRPr="00FD211F">
        <w:rPr>
          <w:sz w:val="36"/>
          <w:szCs w:val="36"/>
          <w:rtl/>
        </w:rPr>
        <w:t>الثاني</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الجواب</w:t>
      </w:r>
      <w:r w:rsidR="00E8128F">
        <w:rPr>
          <w:sz w:val="36"/>
          <w:szCs w:val="36"/>
          <w:rtl/>
        </w:rPr>
        <w:t xml:space="preserve"> </w:t>
      </w:r>
      <w:r w:rsidRPr="00FD211F">
        <w:rPr>
          <w:sz w:val="36"/>
          <w:szCs w:val="36"/>
          <w:rtl/>
        </w:rPr>
        <w:t>الاول</w:t>
      </w:r>
      <w:r w:rsidR="00603323" w:rsidRPr="00FD211F">
        <w:rPr>
          <w:sz w:val="36"/>
          <w:szCs w:val="36"/>
          <w:rtl/>
        </w:rPr>
        <w:t>،</w:t>
      </w:r>
      <w:r w:rsidR="00E8128F">
        <w:rPr>
          <w:sz w:val="36"/>
          <w:szCs w:val="36"/>
          <w:rtl/>
        </w:rPr>
        <w:t xml:space="preserve"> </w:t>
      </w:r>
      <w:r w:rsidRPr="00FD211F">
        <w:rPr>
          <w:sz w:val="36"/>
          <w:szCs w:val="36"/>
          <w:rtl/>
        </w:rPr>
        <w:t>لان</w:t>
      </w:r>
      <w:r w:rsidR="00E8128F">
        <w:rPr>
          <w:sz w:val="36"/>
          <w:szCs w:val="36"/>
          <w:rtl/>
        </w:rPr>
        <w:t xml:space="preserve"> </w:t>
      </w:r>
      <w:r w:rsidRPr="00FD211F">
        <w:rPr>
          <w:sz w:val="36"/>
          <w:szCs w:val="36"/>
          <w:rtl/>
        </w:rPr>
        <w:t>روايات</w:t>
      </w:r>
      <w:r w:rsidR="00E8128F">
        <w:rPr>
          <w:sz w:val="36"/>
          <w:szCs w:val="36"/>
          <w:rtl/>
        </w:rPr>
        <w:t xml:space="preserve"> </w:t>
      </w:r>
      <w:r w:rsidRPr="00FD211F">
        <w:rPr>
          <w:sz w:val="36"/>
          <w:szCs w:val="36"/>
          <w:rtl/>
        </w:rPr>
        <w:t>ابراهيم</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مهزيار</w:t>
      </w:r>
      <w:r w:rsidR="00E8128F">
        <w:rPr>
          <w:sz w:val="36"/>
          <w:szCs w:val="36"/>
          <w:rtl/>
        </w:rPr>
        <w:t xml:space="preserve"> </w:t>
      </w:r>
      <w:r w:rsidRPr="00FD211F">
        <w:rPr>
          <w:sz w:val="36"/>
          <w:szCs w:val="36"/>
          <w:rtl/>
        </w:rPr>
        <w:t>لاتزيد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ستين</w:t>
      </w:r>
      <w:r w:rsidR="00E8128F">
        <w:rPr>
          <w:sz w:val="36"/>
          <w:szCs w:val="36"/>
          <w:rtl/>
        </w:rPr>
        <w:t xml:space="preserve"> </w:t>
      </w:r>
      <w:r w:rsidRPr="00FD211F">
        <w:rPr>
          <w:sz w:val="36"/>
          <w:szCs w:val="36"/>
          <w:rtl/>
        </w:rPr>
        <w:t>رواي</w:t>
      </w:r>
      <w:r w:rsidR="00EC7EDF" w:rsidRPr="00FD211F">
        <w:rPr>
          <w:sz w:val="36"/>
          <w:szCs w:val="36"/>
          <w:rtl/>
        </w:rPr>
        <w:t>ة</w:t>
      </w:r>
      <w:r w:rsidR="00E8128F">
        <w:rPr>
          <w:sz w:val="36"/>
          <w:szCs w:val="36"/>
          <w:rtl/>
        </w:rPr>
        <w:t xml:space="preserve"> </w:t>
      </w:r>
      <w:r w:rsidRPr="00FD211F">
        <w:rPr>
          <w:sz w:val="36"/>
          <w:szCs w:val="36"/>
          <w:rtl/>
        </w:rPr>
        <w:t>تقريبا</w:t>
      </w:r>
      <w:r w:rsidR="00E8128F">
        <w:rPr>
          <w:sz w:val="36"/>
          <w:szCs w:val="36"/>
          <w:rtl/>
        </w:rPr>
        <w:t xml:space="preserve"> </w:t>
      </w:r>
      <w:r w:rsidRPr="00FD211F">
        <w:rPr>
          <w:sz w:val="36"/>
          <w:szCs w:val="36"/>
          <w:rtl/>
        </w:rPr>
        <w:t>فليست</w:t>
      </w:r>
      <w:r w:rsidR="00E8128F">
        <w:rPr>
          <w:sz w:val="36"/>
          <w:szCs w:val="36"/>
          <w:rtl/>
        </w:rPr>
        <w:t xml:space="preserve"> </w:t>
      </w:r>
      <w:r w:rsidRPr="00FD211F">
        <w:rPr>
          <w:sz w:val="36"/>
          <w:szCs w:val="36"/>
          <w:rtl/>
        </w:rPr>
        <w:t>بمرتب</w:t>
      </w:r>
      <w:r w:rsidR="00EC7EDF" w:rsidRPr="00FD211F">
        <w:rPr>
          <w:sz w:val="36"/>
          <w:szCs w:val="36"/>
          <w:rtl/>
        </w:rPr>
        <w:t>ة</w:t>
      </w:r>
      <w:r w:rsidR="00E8128F">
        <w:rPr>
          <w:sz w:val="36"/>
          <w:szCs w:val="36"/>
          <w:rtl/>
        </w:rPr>
        <w:t xml:space="preserve"> </w:t>
      </w:r>
      <w:r w:rsidRPr="00FD211F">
        <w:rPr>
          <w:sz w:val="36"/>
          <w:szCs w:val="36"/>
          <w:rtl/>
        </w:rPr>
        <w:t>تورث</w:t>
      </w:r>
      <w:r w:rsidR="00E8128F">
        <w:rPr>
          <w:sz w:val="36"/>
          <w:szCs w:val="36"/>
          <w:rtl/>
        </w:rPr>
        <w:t xml:space="preserve"> </w:t>
      </w:r>
      <w:r w:rsidRPr="00FD211F">
        <w:rPr>
          <w:sz w:val="36"/>
          <w:szCs w:val="36"/>
          <w:rtl/>
        </w:rPr>
        <w:t>الاطمئنان</w:t>
      </w:r>
      <w:r w:rsidR="00E8128F">
        <w:rPr>
          <w:sz w:val="36"/>
          <w:szCs w:val="36"/>
          <w:rtl/>
        </w:rPr>
        <w:t xml:space="preserve"> </w:t>
      </w:r>
      <w:r w:rsidRPr="00FD211F">
        <w:rPr>
          <w:sz w:val="36"/>
          <w:szCs w:val="36"/>
          <w:rtl/>
        </w:rPr>
        <w:t>بحسن</w:t>
      </w:r>
      <w:r w:rsidR="00E8128F">
        <w:rPr>
          <w:sz w:val="36"/>
          <w:szCs w:val="36"/>
          <w:rtl/>
        </w:rPr>
        <w:t xml:space="preserve"> </w:t>
      </w:r>
      <w:r w:rsidRPr="00FD211F">
        <w:rPr>
          <w:sz w:val="36"/>
          <w:szCs w:val="36"/>
          <w:rtl/>
        </w:rPr>
        <w:t>ظاهره.</w:t>
      </w:r>
    </w:p>
    <w:p w14:paraId="33327A7A" w14:textId="77777777" w:rsidR="000C5BBA" w:rsidRPr="00FD211F" w:rsidRDefault="00FB2B96"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فالمهم</w:t>
      </w:r>
      <w:r w:rsidR="00E8128F">
        <w:rPr>
          <w:sz w:val="36"/>
          <w:szCs w:val="36"/>
          <w:rtl/>
        </w:rPr>
        <w:t xml:space="preserve"> </w:t>
      </w:r>
      <w:r w:rsidRPr="00FD211F">
        <w:rPr>
          <w:sz w:val="36"/>
          <w:szCs w:val="36"/>
          <w:rtl/>
        </w:rPr>
        <w:t>ان</w:t>
      </w:r>
      <w:r w:rsidR="00E8128F">
        <w:rPr>
          <w:sz w:val="36"/>
          <w:szCs w:val="36"/>
          <w:rtl/>
        </w:rPr>
        <w:t xml:space="preserve"> </w:t>
      </w:r>
      <w:r w:rsidR="0079145C" w:rsidRPr="00FD211F">
        <w:rPr>
          <w:sz w:val="36"/>
          <w:szCs w:val="36"/>
          <w:rtl/>
        </w:rPr>
        <w:t>نظري</w:t>
      </w:r>
      <w:r w:rsidR="00EC7EDF" w:rsidRPr="00FD211F">
        <w:rPr>
          <w:sz w:val="36"/>
          <w:szCs w:val="36"/>
          <w:rtl/>
        </w:rPr>
        <w:t>ة</w:t>
      </w:r>
      <w:r w:rsidR="00E8128F">
        <w:rPr>
          <w:sz w:val="36"/>
          <w:szCs w:val="36"/>
          <w:rtl/>
        </w:rPr>
        <w:t xml:space="preserve"> </w:t>
      </w:r>
      <w:r w:rsidR="003927DE" w:rsidRPr="00FD211F">
        <w:rPr>
          <w:sz w:val="36"/>
          <w:szCs w:val="36"/>
          <w:rtl/>
        </w:rPr>
        <w:t>تعويض</w:t>
      </w:r>
      <w:r w:rsidR="00E8128F">
        <w:rPr>
          <w:sz w:val="36"/>
          <w:szCs w:val="36"/>
          <w:rtl/>
        </w:rPr>
        <w:t xml:space="preserve"> </w:t>
      </w:r>
      <w:r w:rsidR="003927DE" w:rsidRPr="00FD211F">
        <w:rPr>
          <w:sz w:val="36"/>
          <w:szCs w:val="36"/>
          <w:rtl/>
        </w:rPr>
        <w:t>السند</w:t>
      </w:r>
      <w:r w:rsidR="00E8128F">
        <w:rPr>
          <w:sz w:val="36"/>
          <w:szCs w:val="36"/>
          <w:rtl/>
        </w:rPr>
        <w:t xml:space="preserve"> </w:t>
      </w:r>
      <w:r w:rsidR="003927DE" w:rsidRPr="00FD211F">
        <w:rPr>
          <w:sz w:val="36"/>
          <w:szCs w:val="36"/>
          <w:rtl/>
        </w:rPr>
        <w:t>بعرضه</w:t>
      </w:r>
      <w:r w:rsidRPr="00FD211F">
        <w:rPr>
          <w:sz w:val="36"/>
          <w:szCs w:val="36"/>
          <w:rtl/>
        </w:rPr>
        <w:t>ا</w:t>
      </w:r>
      <w:r w:rsidR="00E8128F">
        <w:rPr>
          <w:sz w:val="36"/>
          <w:szCs w:val="36"/>
          <w:rtl/>
        </w:rPr>
        <w:t xml:space="preserve"> </w:t>
      </w:r>
      <w:r w:rsidR="003927DE" w:rsidRPr="00FD211F">
        <w:rPr>
          <w:sz w:val="36"/>
          <w:szCs w:val="36"/>
          <w:rtl/>
        </w:rPr>
        <w:t>العريض</w:t>
      </w:r>
      <w:r w:rsidR="00E8128F">
        <w:rPr>
          <w:sz w:val="36"/>
          <w:szCs w:val="36"/>
          <w:rtl/>
        </w:rPr>
        <w:t xml:space="preserve"> </w:t>
      </w:r>
      <w:r w:rsidR="003927DE" w:rsidRPr="00FD211F">
        <w:rPr>
          <w:sz w:val="36"/>
          <w:szCs w:val="36"/>
          <w:rtl/>
        </w:rPr>
        <w:t>غير</w:t>
      </w:r>
      <w:r w:rsidR="00E8128F">
        <w:rPr>
          <w:sz w:val="36"/>
          <w:szCs w:val="36"/>
          <w:rtl/>
        </w:rPr>
        <w:t xml:space="preserve"> </w:t>
      </w:r>
      <w:r w:rsidR="003927DE" w:rsidRPr="00FD211F">
        <w:rPr>
          <w:sz w:val="36"/>
          <w:szCs w:val="36"/>
          <w:rtl/>
        </w:rPr>
        <w:t>تام</w:t>
      </w:r>
      <w:r w:rsidR="00EC7EDF" w:rsidRPr="00FD211F">
        <w:rPr>
          <w:sz w:val="36"/>
          <w:szCs w:val="36"/>
          <w:rtl/>
        </w:rPr>
        <w:t>ة</w:t>
      </w:r>
      <w:r w:rsidR="00E8128F">
        <w:rPr>
          <w:sz w:val="36"/>
          <w:szCs w:val="36"/>
          <w:rtl/>
        </w:rPr>
        <w:t xml:space="preserve"> </w:t>
      </w:r>
      <w:r w:rsidR="003927DE" w:rsidRPr="00FD211F">
        <w:rPr>
          <w:sz w:val="36"/>
          <w:szCs w:val="36"/>
          <w:rtl/>
        </w:rPr>
        <w:t>عندنا</w:t>
      </w:r>
      <w:r w:rsidR="00045715" w:rsidRPr="00FD211F">
        <w:rPr>
          <w:sz w:val="36"/>
          <w:szCs w:val="36"/>
          <w:rtl/>
        </w:rPr>
        <w:t>.</w:t>
      </w:r>
    </w:p>
    <w:p w14:paraId="32916C98" w14:textId="77777777" w:rsidR="00045715" w:rsidRPr="00FD211F" w:rsidRDefault="00045715" w:rsidP="009C58C8">
      <w:pPr>
        <w:pStyle w:val="a4"/>
        <w:ind w:left="0" w:firstLine="227"/>
        <w:jc w:val="both"/>
        <w:rPr>
          <w:sz w:val="36"/>
          <w:szCs w:val="36"/>
          <w:rtl/>
        </w:rPr>
      </w:pPr>
      <w:r w:rsidRPr="00FD211F">
        <w:rPr>
          <w:sz w:val="36"/>
          <w:szCs w:val="36"/>
          <w:rtl/>
        </w:rPr>
        <w:t>فانه</w:t>
      </w:r>
      <w:r w:rsidR="00E8128F">
        <w:rPr>
          <w:sz w:val="36"/>
          <w:szCs w:val="36"/>
          <w:rtl/>
        </w:rPr>
        <w:t xml:space="preserve"> </w:t>
      </w:r>
      <w:r w:rsidRPr="00FD211F">
        <w:rPr>
          <w:b/>
          <w:bCs/>
          <w:sz w:val="36"/>
          <w:szCs w:val="36"/>
          <w:rtl/>
        </w:rPr>
        <w:t>اولا</w:t>
      </w:r>
      <w:r w:rsidRPr="00FD211F">
        <w:rPr>
          <w:sz w:val="36"/>
          <w:szCs w:val="36"/>
          <w:rtl/>
        </w:rPr>
        <w:t>:</w:t>
      </w:r>
      <w:r w:rsidR="00E8128F">
        <w:rPr>
          <w:sz w:val="36"/>
          <w:szCs w:val="36"/>
          <w:rtl/>
        </w:rPr>
        <w:t xml:space="preserve"> </w:t>
      </w:r>
      <w:r w:rsidRPr="00FD211F">
        <w:rPr>
          <w:sz w:val="36"/>
          <w:szCs w:val="36"/>
          <w:rtl/>
        </w:rPr>
        <w:t>يمكن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لايظهر</w:t>
      </w:r>
      <w:r w:rsidR="00E8128F">
        <w:rPr>
          <w:sz w:val="36"/>
          <w:szCs w:val="36"/>
          <w:rtl/>
        </w:rPr>
        <w:t xml:space="preserve"> </w:t>
      </w:r>
      <w:r w:rsidRPr="00FD211F">
        <w:rPr>
          <w:sz w:val="36"/>
          <w:szCs w:val="36"/>
          <w:rtl/>
        </w:rPr>
        <w:t>عرفا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قول</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أخبرنا</w:t>
      </w:r>
      <w:r w:rsidR="00E8128F">
        <w:rPr>
          <w:sz w:val="36"/>
          <w:szCs w:val="36"/>
          <w:rtl/>
        </w:rPr>
        <w:t xml:space="preserve"> </w:t>
      </w:r>
      <w:r w:rsidRPr="00FD211F">
        <w:rPr>
          <w:sz w:val="36"/>
          <w:szCs w:val="36"/>
          <w:rtl/>
        </w:rPr>
        <w:t>بجميع</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وروايات</w:t>
      </w:r>
      <w:r w:rsidR="00E8128F">
        <w:rPr>
          <w:sz w:val="36"/>
          <w:szCs w:val="36"/>
          <w:rtl/>
        </w:rPr>
        <w:t xml:space="preserve"> </w:t>
      </w:r>
      <w:r w:rsidRPr="00FD211F">
        <w:rPr>
          <w:sz w:val="36"/>
          <w:szCs w:val="36"/>
          <w:rtl/>
        </w:rPr>
        <w:t>حريز</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أكثر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حريزا</w:t>
      </w:r>
      <w:r w:rsidR="00E8128F">
        <w:rPr>
          <w:sz w:val="36"/>
          <w:szCs w:val="36"/>
          <w:rtl/>
        </w:rPr>
        <w:t xml:space="preserve"> </w:t>
      </w:r>
      <w:r w:rsidRPr="00FD211F">
        <w:rPr>
          <w:sz w:val="36"/>
          <w:szCs w:val="36"/>
          <w:rtl/>
        </w:rPr>
        <w:t>أجاز</w:t>
      </w:r>
      <w:r w:rsidR="00E8128F">
        <w:rPr>
          <w:sz w:val="36"/>
          <w:szCs w:val="36"/>
          <w:rtl/>
        </w:rPr>
        <w:t xml:space="preserve"> </w:t>
      </w:r>
      <w:r w:rsidRPr="00FD211F">
        <w:rPr>
          <w:sz w:val="36"/>
          <w:szCs w:val="36"/>
          <w:rtl/>
        </w:rPr>
        <w:t>لتلميذه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يروي</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كتبه</w:t>
      </w:r>
      <w:r w:rsidR="00E8128F">
        <w:rPr>
          <w:sz w:val="36"/>
          <w:szCs w:val="36"/>
          <w:rtl/>
        </w:rPr>
        <w:t xml:space="preserve"> </w:t>
      </w:r>
      <w:r w:rsidRPr="00FD211F">
        <w:rPr>
          <w:sz w:val="36"/>
          <w:szCs w:val="36"/>
          <w:rtl/>
        </w:rPr>
        <w:t>ورواياته</w:t>
      </w:r>
      <w:r w:rsidR="00E8128F">
        <w:rPr>
          <w:sz w:val="36"/>
          <w:szCs w:val="36"/>
          <w:rtl/>
        </w:rPr>
        <w:t xml:space="preserve"> </w:t>
      </w:r>
      <w:r w:rsidRPr="00FD211F">
        <w:rPr>
          <w:sz w:val="36"/>
          <w:szCs w:val="36"/>
          <w:rtl/>
        </w:rPr>
        <w:t>بشكل</w:t>
      </w:r>
      <w:r w:rsidR="00E8128F">
        <w:rPr>
          <w:sz w:val="36"/>
          <w:szCs w:val="36"/>
          <w:rtl/>
        </w:rPr>
        <w:t xml:space="preserve"> </w:t>
      </w:r>
      <w:r w:rsidRPr="00FD211F">
        <w:rPr>
          <w:sz w:val="36"/>
          <w:szCs w:val="36"/>
          <w:rtl/>
        </w:rPr>
        <w:t>عام</w:t>
      </w:r>
      <w:r w:rsidR="00603323" w:rsidRPr="00FD211F">
        <w:rPr>
          <w:sz w:val="36"/>
          <w:szCs w:val="36"/>
          <w:rtl/>
        </w:rPr>
        <w:t>،</w:t>
      </w:r>
      <w:r w:rsidR="00E8128F">
        <w:rPr>
          <w:sz w:val="36"/>
          <w:szCs w:val="36"/>
          <w:rtl/>
        </w:rPr>
        <w:t xml:space="preserve"> </w:t>
      </w:r>
      <w:r w:rsidRPr="00FD211F">
        <w:rPr>
          <w:sz w:val="36"/>
          <w:szCs w:val="36"/>
          <w:rtl/>
        </w:rPr>
        <w:t>ثم</w:t>
      </w:r>
      <w:r w:rsidR="00E8128F">
        <w:rPr>
          <w:sz w:val="36"/>
          <w:szCs w:val="36"/>
          <w:rtl/>
        </w:rPr>
        <w:t xml:space="preserve"> </w:t>
      </w:r>
      <w:r w:rsidRPr="00FD211F">
        <w:rPr>
          <w:sz w:val="36"/>
          <w:szCs w:val="36"/>
          <w:rtl/>
        </w:rPr>
        <w:t>أجاز</w:t>
      </w:r>
      <w:r w:rsidR="00E8128F">
        <w:rPr>
          <w:sz w:val="36"/>
          <w:szCs w:val="36"/>
          <w:rtl/>
        </w:rPr>
        <w:t xml:space="preserve"> </w:t>
      </w:r>
      <w:r w:rsidRPr="00FD211F">
        <w:rPr>
          <w:sz w:val="36"/>
          <w:szCs w:val="36"/>
          <w:rtl/>
        </w:rPr>
        <w:t>تلميذه</w:t>
      </w:r>
      <w:r w:rsidR="00E8128F">
        <w:rPr>
          <w:sz w:val="36"/>
          <w:szCs w:val="36"/>
          <w:rtl/>
        </w:rPr>
        <w:t xml:space="preserve"> </w:t>
      </w:r>
      <w:r w:rsidRPr="00FD211F">
        <w:rPr>
          <w:sz w:val="36"/>
          <w:szCs w:val="36"/>
          <w:rtl/>
        </w:rPr>
        <w:t>لشخص</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يروي</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وروايات</w:t>
      </w:r>
      <w:r w:rsidR="00E8128F">
        <w:rPr>
          <w:sz w:val="36"/>
          <w:szCs w:val="36"/>
          <w:rtl/>
        </w:rPr>
        <w:t xml:space="preserve"> </w:t>
      </w:r>
      <w:r w:rsidRPr="00FD211F">
        <w:rPr>
          <w:sz w:val="36"/>
          <w:szCs w:val="36"/>
          <w:rtl/>
        </w:rPr>
        <w:t>حريز</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طريقه</w:t>
      </w:r>
      <w:r w:rsidR="00E8128F">
        <w:rPr>
          <w:sz w:val="36"/>
          <w:szCs w:val="36"/>
          <w:rtl/>
        </w:rPr>
        <w:t xml:space="preserve"> </w:t>
      </w:r>
      <w:r w:rsidRPr="00FD211F">
        <w:rPr>
          <w:sz w:val="36"/>
          <w:szCs w:val="36"/>
          <w:rtl/>
        </w:rPr>
        <w:t>وهكذا</w:t>
      </w:r>
      <w:r w:rsidR="00EC7EDF" w:rsidRPr="00FD211F">
        <w:rPr>
          <w:sz w:val="36"/>
          <w:szCs w:val="36"/>
          <w:rtl/>
        </w:rPr>
        <w:t>.</w:t>
      </w:r>
      <w:r w:rsidRPr="00FD211F">
        <w:rPr>
          <w:sz w:val="36"/>
          <w:szCs w:val="36"/>
          <w:rtl/>
        </w:rPr>
        <w:t>..</w:t>
      </w:r>
      <w:r w:rsidR="00603323" w:rsidRPr="00FD211F">
        <w:rPr>
          <w:sz w:val="36"/>
          <w:szCs w:val="36"/>
          <w:rtl/>
        </w:rPr>
        <w:t>،</w:t>
      </w:r>
      <w:r w:rsidR="00E8128F">
        <w:rPr>
          <w:sz w:val="36"/>
          <w:szCs w:val="36"/>
          <w:rtl/>
        </w:rPr>
        <w:t xml:space="preserve"> </w:t>
      </w:r>
      <w:r w:rsidRPr="00FD211F">
        <w:rPr>
          <w:sz w:val="36"/>
          <w:szCs w:val="36"/>
          <w:rtl/>
        </w:rPr>
        <w:t>ويشهد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في</w:t>
      </w:r>
      <w:r w:rsidR="00E8128F">
        <w:rPr>
          <w:sz w:val="36"/>
          <w:szCs w:val="36"/>
          <w:rtl/>
        </w:rPr>
        <w:t xml:space="preserve"> </w:t>
      </w:r>
      <w:r w:rsidR="00F60402" w:rsidRPr="00FD211F">
        <w:rPr>
          <w:sz w:val="36"/>
          <w:szCs w:val="36"/>
          <w:rtl/>
        </w:rPr>
        <w:t>الفهرست</w:t>
      </w:r>
      <w:r w:rsidR="00E8128F">
        <w:rPr>
          <w:sz w:val="36"/>
          <w:szCs w:val="36"/>
          <w:rtl/>
        </w:rPr>
        <w:t xml:space="preserve"> </w:t>
      </w:r>
      <w:r w:rsidR="00F60402" w:rsidRPr="00FD211F">
        <w:rPr>
          <w:sz w:val="36"/>
          <w:szCs w:val="36"/>
          <w:rtl/>
        </w:rPr>
        <w:t>في</w:t>
      </w:r>
      <w:r w:rsidR="00E8128F">
        <w:rPr>
          <w:sz w:val="36"/>
          <w:szCs w:val="36"/>
          <w:rtl/>
        </w:rPr>
        <w:t xml:space="preserve"> </w:t>
      </w:r>
      <w:r w:rsidRPr="00FD211F">
        <w:rPr>
          <w:sz w:val="36"/>
          <w:szCs w:val="36"/>
          <w:rtl/>
        </w:rPr>
        <w:t>ترجم</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الحسن</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فضال</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قيل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ثلاثين</w:t>
      </w:r>
      <w:r w:rsidR="00E8128F">
        <w:rPr>
          <w:sz w:val="36"/>
          <w:szCs w:val="36"/>
          <w:rtl/>
        </w:rPr>
        <w:t xml:space="preserve"> </w:t>
      </w:r>
      <w:r w:rsidRPr="00FD211F">
        <w:rPr>
          <w:sz w:val="36"/>
          <w:szCs w:val="36"/>
          <w:rtl/>
        </w:rPr>
        <w:t>كتبا</w:t>
      </w:r>
      <w:r w:rsidR="00603323" w:rsidRPr="00FD211F">
        <w:rPr>
          <w:sz w:val="36"/>
          <w:szCs w:val="36"/>
          <w:rtl/>
        </w:rPr>
        <w:t>،</w:t>
      </w:r>
      <w:r w:rsidR="00E8128F">
        <w:rPr>
          <w:sz w:val="36"/>
          <w:szCs w:val="36"/>
          <w:rtl/>
        </w:rPr>
        <w:t xml:space="preserve"> </w:t>
      </w:r>
      <w:r w:rsidRPr="00FD211F">
        <w:rPr>
          <w:sz w:val="36"/>
          <w:szCs w:val="36"/>
          <w:rtl/>
        </w:rPr>
        <w:t>ثم</w:t>
      </w:r>
      <w:r w:rsidR="00E8128F">
        <w:rPr>
          <w:sz w:val="36"/>
          <w:szCs w:val="36"/>
          <w:rtl/>
        </w:rPr>
        <w:t xml:space="preserve"> </w:t>
      </w:r>
      <w:r w:rsidRPr="00FD211F">
        <w:rPr>
          <w:sz w:val="36"/>
          <w:szCs w:val="36"/>
          <w:rtl/>
        </w:rPr>
        <w:t>قال</w:t>
      </w:r>
      <w:r w:rsidR="00E8128F">
        <w:rPr>
          <w:sz w:val="36"/>
          <w:szCs w:val="36"/>
          <w:rtl/>
        </w:rPr>
        <w:t xml:space="preserve"> </w:t>
      </w:r>
      <w:r w:rsidRPr="00FD211F">
        <w:rPr>
          <w:sz w:val="36"/>
          <w:szCs w:val="36"/>
          <w:rtl/>
        </w:rPr>
        <w:t>اخبرنا</w:t>
      </w:r>
      <w:r w:rsidR="00E8128F">
        <w:rPr>
          <w:sz w:val="36"/>
          <w:szCs w:val="36"/>
          <w:rtl/>
        </w:rPr>
        <w:t xml:space="preserve"> </w:t>
      </w:r>
      <w:r w:rsidRPr="00FD211F">
        <w:rPr>
          <w:sz w:val="36"/>
          <w:szCs w:val="36"/>
          <w:rtl/>
        </w:rPr>
        <w:t>بكتبه</w:t>
      </w:r>
      <w:r w:rsidR="00E8128F">
        <w:rPr>
          <w:sz w:val="36"/>
          <w:szCs w:val="36"/>
          <w:rtl/>
        </w:rPr>
        <w:t xml:space="preserve"> </w:t>
      </w:r>
      <w:r w:rsidRPr="00FD211F">
        <w:rPr>
          <w:sz w:val="36"/>
          <w:szCs w:val="36"/>
          <w:rtl/>
        </w:rPr>
        <w:t>ورواياته</w:t>
      </w:r>
      <w:r w:rsidR="00603323" w:rsidRPr="00FD211F">
        <w:rPr>
          <w:sz w:val="36"/>
          <w:szCs w:val="36"/>
          <w:rtl/>
        </w:rPr>
        <w:t>،</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المفروض</w:t>
      </w:r>
      <w:r w:rsidR="00E8128F">
        <w:rPr>
          <w:sz w:val="36"/>
          <w:szCs w:val="36"/>
          <w:rtl/>
        </w:rPr>
        <w:t xml:space="preserve"> </w:t>
      </w:r>
      <w:r w:rsidRPr="00FD211F">
        <w:rPr>
          <w:sz w:val="36"/>
          <w:szCs w:val="36"/>
          <w:rtl/>
        </w:rPr>
        <w:t>انه</w:t>
      </w:r>
      <w:r w:rsidR="00E8128F">
        <w:rPr>
          <w:sz w:val="36"/>
          <w:szCs w:val="36"/>
          <w:rtl/>
        </w:rPr>
        <w:t xml:space="preserve"> </w:t>
      </w:r>
      <w:r w:rsidR="008D7B3D" w:rsidRPr="00FD211F">
        <w:rPr>
          <w:sz w:val="36"/>
          <w:szCs w:val="36"/>
          <w:rtl/>
        </w:rPr>
        <w:t>لم‌</w:t>
      </w:r>
      <w:r w:rsidRPr="00FD211F">
        <w:rPr>
          <w:sz w:val="36"/>
          <w:szCs w:val="36"/>
          <w:rtl/>
        </w:rPr>
        <w:t>يصل</w:t>
      </w:r>
      <w:r w:rsidR="00E8128F">
        <w:rPr>
          <w:sz w:val="36"/>
          <w:szCs w:val="36"/>
          <w:rtl/>
        </w:rPr>
        <w:t xml:space="preserve"> </w:t>
      </w:r>
      <w:r w:rsidRPr="00FD211F">
        <w:rPr>
          <w:sz w:val="36"/>
          <w:szCs w:val="36"/>
          <w:rtl/>
        </w:rPr>
        <w:t>اليه</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كتبه</w:t>
      </w:r>
      <w:r w:rsidR="00E8128F">
        <w:rPr>
          <w:sz w:val="36"/>
          <w:szCs w:val="36"/>
          <w:rtl/>
        </w:rPr>
        <w:t xml:space="preserve"> </w:t>
      </w:r>
      <w:r w:rsidRPr="00FD211F">
        <w:rPr>
          <w:sz w:val="36"/>
          <w:szCs w:val="36"/>
          <w:rtl/>
        </w:rPr>
        <w:t>والا</w:t>
      </w:r>
      <w:r w:rsidR="00E8128F">
        <w:rPr>
          <w:sz w:val="36"/>
          <w:szCs w:val="36"/>
          <w:rtl/>
        </w:rPr>
        <w:t xml:space="preserve"> </w:t>
      </w:r>
      <w:r w:rsidRPr="00FD211F">
        <w:rPr>
          <w:sz w:val="36"/>
          <w:szCs w:val="36"/>
          <w:rtl/>
        </w:rPr>
        <w:t>لما</w:t>
      </w:r>
      <w:r w:rsidR="00E8128F">
        <w:rPr>
          <w:sz w:val="36"/>
          <w:szCs w:val="36"/>
          <w:rtl/>
        </w:rPr>
        <w:t xml:space="preserve"> </w:t>
      </w:r>
      <w:r w:rsidRPr="00FD211F">
        <w:rPr>
          <w:sz w:val="36"/>
          <w:szCs w:val="36"/>
          <w:rtl/>
        </w:rPr>
        <w:t>عبر</w:t>
      </w:r>
      <w:r w:rsidR="00E8128F">
        <w:rPr>
          <w:sz w:val="36"/>
          <w:szCs w:val="36"/>
          <w:rtl/>
        </w:rPr>
        <w:t xml:space="preserve"> </w:t>
      </w:r>
      <w:r w:rsidRPr="00FD211F">
        <w:rPr>
          <w:sz w:val="36"/>
          <w:szCs w:val="36"/>
          <w:rtl/>
        </w:rPr>
        <w:t>عنها</w:t>
      </w:r>
      <w:r w:rsidR="00E8128F">
        <w:rPr>
          <w:sz w:val="36"/>
          <w:szCs w:val="36"/>
          <w:rtl/>
        </w:rPr>
        <w:t xml:space="preserve"> </w:t>
      </w:r>
      <w:r w:rsidRPr="00FD211F">
        <w:rPr>
          <w:sz w:val="36"/>
          <w:szCs w:val="36"/>
          <w:rtl/>
        </w:rPr>
        <w:t>بكلم</w:t>
      </w:r>
      <w:r w:rsidR="00EC7EDF" w:rsidRPr="00FD211F">
        <w:rPr>
          <w:sz w:val="36"/>
          <w:szCs w:val="36"/>
          <w:rtl/>
        </w:rPr>
        <w:t>ة</w:t>
      </w:r>
      <w:r w:rsidR="00E8128F">
        <w:rPr>
          <w:sz w:val="36"/>
          <w:szCs w:val="36"/>
          <w:rtl/>
        </w:rPr>
        <w:t xml:space="preserve"> </w:t>
      </w:r>
      <w:r w:rsidRPr="00FD211F">
        <w:rPr>
          <w:sz w:val="36"/>
          <w:szCs w:val="36"/>
          <w:rtl/>
        </w:rPr>
        <w:t>"قيل"</w:t>
      </w:r>
      <w:r w:rsidR="00603323" w:rsidRPr="00FD211F">
        <w:rPr>
          <w:sz w:val="36"/>
          <w:szCs w:val="36"/>
          <w:rtl/>
        </w:rPr>
        <w:t>،</w:t>
      </w:r>
      <w:r w:rsidR="00E8128F">
        <w:rPr>
          <w:sz w:val="36"/>
          <w:szCs w:val="36"/>
          <w:rtl/>
        </w:rPr>
        <w:t xml:space="preserve"> </w:t>
      </w:r>
      <w:r w:rsidRPr="00FD211F">
        <w:rPr>
          <w:sz w:val="36"/>
          <w:szCs w:val="36"/>
          <w:rtl/>
        </w:rPr>
        <w:t>وعليه</w:t>
      </w:r>
      <w:r w:rsidR="00E8128F">
        <w:rPr>
          <w:sz w:val="36"/>
          <w:szCs w:val="36"/>
          <w:rtl/>
        </w:rPr>
        <w:t xml:space="preserve"> </w:t>
      </w:r>
      <w:r w:rsidRPr="00FD211F">
        <w:rPr>
          <w:sz w:val="36"/>
          <w:szCs w:val="36"/>
          <w:rtl/>
        </w:rPr>
        <w:t>فليس</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الإجازات</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باب</w:t>
      </w:r>
      <w:r w:rsidR="00E8128F">
        <w:rPr>
          <w:sz w:val="36"/>
          <w:szCs w:val="36"/>
          <w:rtl/>
        </w:rPr>
        <w:t xml:space="preserve"> </w:t>
      </w:r>
      <w:r w:rsidRPr="00FD211F">
        <w:rPr>
          <w:sz w:val="36"/>
          <w:szCs w:val="36"/>
          <w:rtl/>
        </w:rPr>
        <w:t>التيمن</w:t>
      </w:r>
      <w:r w:rsidR="00E8128F">
        <w:rPr>
          <w:sz w:val="36"/>
          <w:szCs w:val="36"/>
          <w:rtl/>
        </w:rPr>
        <w:t xml:space="preserve"> </w:t>
      </w:r>
      <w:r w:rsidRPr="00FD211F">
        <w:rPr>
          <w:sz w:val="36"/>
          <w:szCs w:val="36"/>
          <w:rtl/>
        </w:rPr>
        <w:t>والتبرك</w:t>
      </w:r>
      <w:r w:rsidR="00603323" w:rsidRPr="00FD211F">
        <w:rPr>
          <w:sz w:val="36"/>
          <w:szCs w:val="36"/>
          <w:rtl/>
        </w:rPr>
        <w:t>،</w:t>
      </w:r>
      <w:r w:rsidR="00E8128F">
        <w:rPr>
          <w:sz w:val="36"/>
          <w:szCs w:val="36"/>
          <w:rtl/>
        </w:rPr>
        <w:t xml:space="preserve"> </w:t>
      </w:r>
      <w:r w:rsidRPr="00FD211F">
        <w:rPr>
          <w:sz w:val="36"/>
          <w:szCs w:val="36"/>
          <w:rtl/>
        </w:rPr>
        <w:t>نظير</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العلام</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ظهر</w:t>
      </w:r>
      <w:r w:rsidR="00E8128F">
        <w:rPr>
          <w:sz w:val="36"/>
          <w:szCs w:val="36"/>
          <w:rtl/>
        </w:rPr>
        <w:t xml:space="preserve"> </w:t>
      </w:r>
      <w:r w:rsidRPr="00FD211F">
        <w:rPr>
          <w:sz w:val="36"/>
          <w:szCs w:val="36"/>
          <w:rtl/>
        </w:rPr>
        <w:t>كتاب</w:t>
      </w:r>
      <w:r w:rsidR="00E8128F">
        <w:rPr>
          <w:sz w:val="36"/>
          <w:szCs w:val="36"/>
          <w:rtl/>
        </w:rPr>
        <w:t xml:space="preserve"> </w:t>
      </w:r>
      <w:r w:rsidRPr="00FD211F">
        <w:rPr>
          <w:sz w:val="36"/>
          <w:szCs w:val="36"/>
          <w:rtl/>
        </w:rPr>
        <w:t>القواعد</w:t>
      </w:r>
      <w:r w:rsidR="00E8128F">
        <w:rPr>
          <w:sz w:val="36"/>
          <w:szCs w:val="36"/>
          <w:rtl/>
        </w:rPr>
        <w:t xml:space="preserve"> </w:t>
      </w:r>
      <w:r w:rsidRPr="00FD211F">
        <w:rPr>
          <w:sz w:val="36"/>
          <w:szCs w:val="36"/>
          <w:rtl/>
        </w:rPr>
        <w:t>للقطب</w:t>
      </w:r>
      <w:r w:rsidR="00E8128F">
        <w:rPr>
          <w:sz w:val="36"/>
          <w:szCs w:val="36"/>
          <w:rtl/>
        </w:rPr>
        <w:t xml:space="preserve"> </w:t>
      </w:r>
      <w:r w:rsidRPr="00FD211F">
        <w:rPr>
          <w:sz w:val="36"/>
          <w:szCs w:val="36"/>
          <w:rtl/>
        </w:rPr>
        <w:t>الرازي</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أني</w:t>
      </w:r>
      <w:r w:rsidR="00E8128F">
        <w:rPr>
          <w:sz w:val="36"/>
          <w:szCs w:val="36"/>
          <w:rtl/>
        </w:rPr>
        <w:t xml:space="preserve"> </w:t>
      </w:r>
      <w:r w:rsidRPr="00FD211F">
        <w:rPr>
          <w:sz w:val="36"/>
          <w:szCs w:val="36"/>
          <w:rtl/>
        </w:rPr>
        <w:t>اجزت</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رواي</w:t>
      </w:r>
      <w:r w:rsidR="00EC7EDF" w:rsidRPr="00FD211F">
        <w:rPr>
          <w:sz w:val="36"/>
          <w:szCs w:val="36"/>
          <w:rtl/>
        </w:rPr>
        <w:t>ة</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الكتاب</w:t>
      </w:r>
      <w:r w:rsidR="00E8128F">
        <w:rPr>
          <w:sz w:val="36"/>
          <w:szCs w:val="36"/>
          <w:rtl/>
        </w:rPr>
        <w:t xml:space="preserve"> </w:t>
      </w:r>
      <w:r w:rsidRPr="00FD211F">
        <w:rPr>
          <w:sz w:val="36"/>
          <w:szCs w:val="36"/>
          <w:rtl/>
        </w:rPr>
        <w:t>باجمعه</w:t>
      </w:r>
      <w:r w:rsidR="00E8128F">
        <w:rPr>
          <w:sz w:val="36"/>
          <w:szCs w:val="36"/>
          <w:rtl/>
        </w:rPr>
        <w:t xml:space="preserve"> </w:t>
      </w:r>
      <w:r w:rsidRPr="00FD211F">
        <w:rPr>
          <w:sz w:val="36"/>
          <w:szCs w:val="36"/>
          <w:rtl/>
        </w:rPr>
        <w:t>ورواي</w:t>
      </w:r>
      <w:r w:rsidR="00EC7EDF" w:rsidRPr="00FD211F">
        <w:rPr>
          <w:sz w:val="36"/>
          <w:szCs w:val="36"/>
          <w:rtl/>
        </w:rPr>
        <w:t>ة</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مؤلفاتي</w:t>
      </w:r>
      <w:r w:rsidR="00E8128F">
        <w:rPr>
          <w:sz w:val="36"/>
          <w:szCs w:val="36"/>
          <w:rtl/>
        </w:rPr>
        <w:t xml:space="preserve"> </w:t>
      </w:r>
      <w:r w:rsidRPr="00FD211F">
        <w:rPr>
          <w:sz w:val="36"/>
          <w:szCs w:val="36"/>
          <w:rtl/>
        </w:rPr>
        <w:t>وروايأتي</w:t>
      </w:r>
      <w:r w:rsidR="00E8128F">
        <w:rPr>
          <w:sz w:val="36"/>
          <w:szCs w:val="36"/>
          <w:rtl/>
        </w:rPr>
        <w:t xml:space="preserve"> </w:t>
      </w:r>
      <w:r w:rsidRPr="00FD211F">
        <w:rPr>
          <w:sz w:val="36"/>
          <w:szCs w:val="36"/>
          <w:rtl/>
        </w:rPr>
        <w:t>وما</w:t>
      </w:r>
      <w:r w:rsidR="00E8128F">
        <w:rPr>
          <w:sz w:val="36"/>
          <w:szCs w:val="36"/>
          <w:rtl/>
        </w:rPr>
        <w:t xml:space="preserve"> </w:t>
      </w:r>
      <w:r w:rsidRPr="00FD211F">
        <w:rPr>
          <w:sz w:val="36"/>
          <w:szCs w:val="36"/>
          <w:rtl/>
        </w:rPr>
        <w:t>اجيز</w:t>
      </w:r>
      <w:r w:rsidR="00E8128F">
        <w:rPr>
          <w:sz w:val="36"/>
          <w:szCs w:val="36"/>
          <w:rtl/>
        </w:rPr>
        <w:t xml:space="preserve"> </w:t>
      </w:r>
      <w:r w:rsidRPr="00FD211F">
        <w:rPr>
          <w:sz w:val="36"/>
          <w:szCs w:val="36"/>
          <w:rtl/>
        </w:rPr>
        <w:t>لي</w:t>
      </w:r>
      <w:r w:rsidR="00E8128F">
        <w:rPr>
          <w:sz w:val="36"/>
          <w:szCs w:val="36"/>
          <w:rtl/>
        </w:rPr>
        <w:t xml:space="preserve"> </w:t>
      </w:r>
      <w:r w:rsidRPr="00FD211F">
        <w:rPr>
          <w:sz w:val="36"/>
          <w:szCs w:val="36"/>
          <w:rtl/>
        </w:rPr>
        <w:t>روايته</w:t>
      </w:r>
      <w:r w:rsidR="00E8128F">
        <w:rPr>
          <w:sz w:val="36"/>
          <w:szCs w:val="36"/>
          <w:rtl/>
        </w:rPr>
        <w:t xml:space="preserve"> </w:t>
      </w:r>
      <w:r w:rsidRPr="00FD211F">
        <w:rPr>
          <w:sz w:val="36"/>
          <w:szCs w:val="36"/>
          <w:rtl/>
        </w:rPr>
        <w:t>وجميع</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اصحابنا</w:t>
      </w:r>
      <w:r w:rsidR="00E8128F">
        <w:rPr>
          <w:sz w:val="36"/>
          <w:szCs w:val="36"/>
          <w:rtl/>
        </w:rPr>
        <w:t xml:space="preserve"> </w:t>
      </w:r>
      <w:r w:rsidRPr="00FD211F">
        <w:rPr>
          <w:sz w:val="36"/>
          <w:szCs w:val="36"/>
          <w:rtl/>
        </w:rPr>
        <w:t>السالفين</w:t>
      </w:r>
      <w:r w:rsidR="00603323" w:rsidRPr="00FD211F">
        <w:rPr>
          <w:sz w:val="36"/>
          <w:szCs w:val="36"/>
          <w:rtl/>
        </w:rPr>
        <w:t>،</w:t>
      </w:r>
      <w:r w:rsidR="00E8128F">
        <w:rPr>
          <w:sz w:val="36"/>
          <w:szCs w:val="36"/>
          <w:rtl/>
        </w:rPr>
        <w:t xml:space="preserve"> </w:t>
      </w:r>
      <w:r w:rsidRPr="00FD211F">
        <w:rPr>
          <w:sz w:val="36"/>
          <w:szCs w:val="36"/>
          <w:rtl/>
        </w:rPr>
        <w:t>وكذا</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العلام</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إجازته</w:t>
      </w:r>
      <w:r w:rsidR="00E8128F">
        <w:rPr>
          <w:sz w:val="36"/>
          <w:szCs w:val="36"/>
          <w:rtl/>
        </w:rPr>
        <w:t xml:space="preserve"> </w:t>
      </w:r>
      <w:r w:rsidRPr="00FD211F">
        <w:rPr>
          <w:sz w:val="36"/>
          <w:szCs w:val="36"/>
          <w:rtl/>
        </w:rPr>
        <w:t>لبني</w:t>
      </w:r>
      <w:r w:rsidR="00E8128F">
        <w:rPr>
          <w:sz w:val="36"/>
          <w:szCs w:val="36"/>
          <w:rtl/>
        </w:rPr>
        <w:t xml:space="preserve"> </w:t>
      </w:r>
      <w:r w:rsidRPr="00FD211F">
        <w:rPr>
          <w:sz w:val="36"/>
          <w:szCs w:val="36"/>
          <w:rtl/>
        </w:rPr>
        <w:t>زهر</w:t>
      </w:r>
      <w:r w:rsidR="00EC7EDF" w:rsidRPr="00FD211F">
        <w:rPr>
          <w:sz w:val="36"/>
          <w:szCs w:val="36"/>
          <w:rtl/>
        </w:rPr>
        <w:t>ة</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ذلك</w:t>
      </w:r>
      <w:r w:rsidR="009C58C8" w:rsidRPr="00FD211F">
        <w:rPr>
          <w:rStyle w:val="a6"/>
          <w:sz w:val="36"/>
          <w:szCs w:val="36"/>
          <w:rtl/>
        </w:rPr>
        <w:t>(</w:t>
      </w:r>
      <w:r w:rsidR="009C58C8" w:rsidRPr="00FD211F">
        <w:rPr>
          <w:rStyle w:val="a6"/>
          <w:sz w:val="36"/>
          <w:szCs w:val="36"/>
          <w:rtl/>
        </w:rPr>
        <w:footnoteReference w:id="509"/>
      </w:r>
      <w:r w:rsidR="009C58C8" w:rsidRPr="00FD211F">
        <w:rPr>
          <w:rStyle w:val="a6"/>
          <w:sz w:val="36"/>
          <w:szCs w:val="36"/>
          <w:rtl/>
        </w:rPr>
        <w:t>)</w:t>
      </w:r>
      <w:r w:rsidR="00603323" w:rsidRPr="00FD211F">
        <w:rPr>
          <w:sz w:val="36"/>
          <w:szCs w:val="36"/>
          <w:rtl/>
        </w:rPr>
        <w:t>،</w:t>
      </w:r>
      <w:r w:rsidR="00E8128F">
        <w:rPr>
          <w:sz w:val="36"/>
          <w:szCs w:val="36"/>
          <w:rtl/>
        </w:rPr>
        <w:t xml:space="preserve"> </w:t>
      </w:r>
      <w:r w:rsidRPr="00FD211F">
        <w:rPr>
          <w:sz w:val="36"/>
          <w:szCs w:val="36"/>
          <w:rtl/>
        </w:rPr>
        <w:t>ومثله</w:t>
      </w:r>
      <w:r w:rsidR="00E8128F">
        <w:rPr>
          <w:sz w:val="36"/>
          <w:szCs w:val="36"/>
          <w:rtl/>
        </w:rPr>
        <w:t xml:space="preserve"> </w:t>
      </w:r>
      <w:r w:rsidRPr="00FD211F">
        <w:rPr>
          <w:sz w:val="36"/>
          <w:szCs w:val="36"/>
          <w:rtl/>
        </w:rPr>
        <w:t>قول</w:t>
      </w:r>
      <w:r w:rsidR="00E8128F">
        <w:rPr>
          <w:sz w:val="36"/>
          <w:szCs w:val="36"/>
          <w:rtl/>
        </w:rPr>
        <w:t xml:space="preserve"> </w:t>
      </w:r>
      <w:r w:rsidRPr="00FD211F">
        <w:rPr>
          <w:sz w:val="36"/>
          <w:szCs w:val="36"/>
          <w:rtl/>
        </w:rPr>
        <w:t>الشهيد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إجازته</w:t>
      </w:r>
      <w:r w:rsidR="00E8128F">
        <w:rPr>
          <w:sz w:val="36"/>
          <w:szCs w:val="36"/>
          <w:rtl/>
        </w:rPr>
        <w:t xml:space="preserve"> </w:t>
      </w:r>
      <w:r w:rsidRPr="00FD211F">
        <w:rPr>
          <w:sz w:val="36"/>
          <w:szCs w:val="36"/>
          <w:rtl/>
        </w:rPr>
        <w:t>لابن</w:t>
      </w:r>
      <w:r w:rsidR="00E8128F">
        <w:rPr>
          <w:sz w:val="36"/>
          <w:szCs w:val="36"/>
          <w:rtl/>
        </w:rPr>
        <w:t xml:space="preserve"> </w:t>
      </w:r>
      <w:r w:rsidRPr="00FD211F">
        <w:rPr>
          <w:sz w:val="36"/>
          <w:szCs w:val="36"/>
          <w:rtl/>
        </w:rPr>
        <w:t>خازن:</w:t>
      </w:r>
      <w:r w:rsidR="00E8128F">
        <w:rPr>
          <w:sz w:val="36"/>
          <w:szCs w:val="36"/>
          <w:rtl/>
        </w:rPr>
        <w:t xml:space="preserve"> </w:t>
      </w:r>
      <w:r w:rsidRPr="00FD211F">
        <w:rPr>
          <w:sz w:val="36"/>
          <w:szCs w:val="36"/>
          <w:rtl/>
        </w:rPr>
        <w:t>فليرو</w:t>
      </w:r>
      <w:r w:rsidR="00E8128F">
        <w:rPr>
          <w:sz w:val="36"/>
          <w:szCs w:val="36"/>
          <w:rtl/>
        </w:rPr>
        <w:t xml:space="preserve"> </w:t>
      </w:r>
      <w:r w:rsidRPr="00FD211F">
        <w:rPr>
          <w:sz w:val="36"/>
          <w:szCs w:val="36"/>
          <w:rtl/>
        </w:rPr>
        <w:t>مولانا</w:t>
      </w:r>
      <w:r w:rsidR="00E8128F">
        <w:rPr>
          <w:sz w:val="36"/>
          <w:szCs w:val="36"/>
          <w:rtl/>
        </w:rPr>
        <w:t xml:space="preserve"> </w:t>
      </w:r>
      <w:r w:rsidRPr="00FD211F">
        <w:rPr>
          <w:sz w:val="36"/>
          <w:szCs w:val="36"/>
          <w:rtl/>
        </w:rPr>
        <w:t>زين</w:t>
      </w:r>
      <w:r w:rsidR="00E8128F">
        <w:rPr>
          <w:sz w:val="36"/>
          <w:szCs w:val="36"/>
          <w:rtl/>
        </w:rPr>
        <w:t xml:space="preserve"> </w:t>
      </w:r>
      <w:r w:rsidRPr="00FD211F">
        <w:rPr>
          <w:sz w:val="36"/>
          <w:szCs w:val="36"/>
          <w:rtl/>
        </w:rPr>
        <w:t>الدين</w:t>
      </w:r>
      <w:r w:rsidR="00E8128F">
        <w:rPr>
          <w:sz w:val="36"/>
          <w:szCs w:val="36"/>
          <w:rtl/>
        </w:rPr>
        <w:t xml:space="preserve"> </w:t>
      </w:r>
      <w:r w:rsidRPr="00FD211F">
        <w:rPr>
          <w:sz w:val="36"/>
          <w:szCs w:val="36"/>
          <w:rtl/>
        </w:rPr>
        <w:t>علي</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خازن</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شاء</w:t>
      </w:r>
      <w:r w:rsidR="00E8128F">
        <w:rPr>
          <w:sz w:val="36"/>
          <w:szCs w:val="36"/>
          <w:rtl/>
        </w:rPr>
        <w:t xml:space="preserve"> </w:t>
      </w:r>
      <w:r w:rsidRPr="00FD211F">
        <w:rPr>
          <w:sz w:val="36"/>
          <w:szCs w:val="36"/>
          <w:rtl/>
        </w:rPr>
        <w:t>بهذه</w:t>
      </w:r>
      <w:r w:rsidR="00E8128F">
        <w:rPr>
          <w:sz w:val="36"/>
          <w:szCs w:val="36"/>
          <w:rtl/>
        </w:rPr>
        <w:t xml:space="preserve"> </w:t>
      </w:r>
      <w:r w:rsidRPr="00FD211F">
        <w:rPr>
          <w:sz w:val="36"/>
          <w:szCs w:val="36"/>
          <w:rtl/>
        </w:rPr>
        <w:t>الطرق</w:t>
      </w:r>
      <w:r w:rsidR="00E8128F">
        <w:rPr>
          <w:sz w:val="36"/>
          <w:szCs w:val="36"/>
          <w:rtl/>
        </w:rPr>
        <w:t xml:space="preserve"> </w:t>
      </w:r>
      <w:r w:rsidRPr="00FD211F">
        <w:rPr>
          <w:sz w:val="36"/>
          <w:szCs w:val="36"/>
          <w:rtl/>
        </w:rPr>
        <w:t>وغيرها</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يزيد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الالف</w:t>
      </w:r>
      <w:r w:rsidR="00E8128F">
        <w:rPr>
          <w:sz w:val="36"/>
          <w:szCs w:val="36"/>
          <w:rtl/>
        </w:rPr>
        <w:t xml:space="preserve"> </w:t>
      </w:r>
      <w:r w:rsidRPr="00FD211F">
        <w:rPr>
          <w:sz w:val="36"/>
          <w:szCs w:val="36"/>
          <w:rtl/>
        </w:rPr>
        <w:t>والضابط</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يصح</w:t>
      </w:r>
      <w:r w:rsidR="00E8128F">
        <w:rPr>
          <w:sz w:val="36"/>
          <w:szCs w:val="36"/>
          <w:rtl/>
        </w:rPr>
        <w:t xml:space="preserve"> </w:t>
      </w:r>
      <w:r w:rsidRPr="00FD211F">
        <w:rPr>
          <w:sz w:val="36"/>
          <w:szCs w:val="36"/>
          <w:rtl/>
        </w:rPr>
        <w:t>عنده</w:t>
      </w:r>
      <w:r w:rsidR="00E8128F">
        <w:rPr>
          <w:sz w:val="36"/>
          <w:szCs w:val="36"/>
          <w:rtl/>
        </w:rPr>
        <w:t xml:space="preserve"> </w:t>
      </w:r>
      <w:r w:rsidRPr="00FD211F">
        <w:rPr>
          <w:sz w:val="36"/>
          <w:szCs w:val="36"/>
          <w:rtl/>
        </w:rPr>
        <w:t>السند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لي</w:t>
      </w:r>
      <w:r w:rsidR="00E8128F">
        <w:rPr>
          <w:sz w:val="36"/>
          <w:szCs w:val="36"/>
          <w:rtl/>
        </w:rPr>
        <w:t xml:space="preserve"> </w:t>
      </w:r>
      <w:r w:rsidRPr="00FD211F">
        <w:rPr>
          <w:sz w:val="36"/>
          <w:szCs w:val="36"/>
          <w:rtl/>
        </w:rPr>
        <w:t>وله</w:t>
      </w:r>
      <w:r w:rsidR="009C58C8" w:rsidRPr="00FD211F">
        <w:rPr>
          <w:rStyle w:val="a6"/>
          <w:sz w:val="36"/>
          <w:szCs w:val="36"/>
          <w:rtl/>
        </w:rPr>
        <w:t>(</w:t>
      </w:r>
      <w:r w:rsidR="009C58C8" w:rsidRPr="00FD211F">
        <w:rPr>
          <w:rStyle w:val="a6"/>
          <w:sz w:val="36"/>
          <w:szCs w:val="36"/>
          <w:rtl/>
        </w:rPr>
        <w:footnoteReference w:id="510"/>
      </w:r>
      <w:r w:rsidR="009C58C8" w:rsidRPr="00FD211F">
        <w:rPr>
          <w:rStyle w:val="a6"/>
          <w:sz w:val="36"/>
          <w:szCs w:val="36"/>
          <w:rtl/>
        </w:rPr>
        <w:t>)</w:t>
      </w:r>
      <w:r w:rsidRPr="00FD211F">
        <w:rPr>
          <w:sz w:val="36"/>
          <w:szCs w:val="36"/>
          <w:rtl/>
        </w:rPr>
        <w:t>.</w:t>
      </w:r>
    </w:p>
    <w:p w14:paraId="0FFFC7A2" w14:textId="77777777" w:rsidR="00045715" w:rsidRPr="00FD211F" w:rsidRDefault="00045715" w:rsidP="009C58C8">
      <w:pPr>
        <w:pStyle w:val="a4"/>
        <w:ind w:left="0" w:firstLine="227"/>
        <w:jc w:val="both"/>
        <w:rPr>
          <w:sz w:val="36"/>
          <w:szCs w:val="36"/>
          <w:rtl/>
        </w:rPr>
      </w:pPr>
      <w:r w:rsidRPr="00FD211F">
        <w:rPr>
          <w:sz w:val="36"/>
          <w:szCs w:val="36"/>
          <w:rtl/>
        </w:rPr>
        <w:t>ويؤيد</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ذكرناه</w:t>
      </w:r>
      <w:r w:rsidR="00E8128F">
        <w:rPr>
          <w:sz w:val="36"/>
          <w:szCs w:val="36"/>
          <w:rtl/>
        </w:rPr>
        <w:t xml:space="preserve"> </w:t>
      </w:r>
      <w:r w:rsidRPr="00FD211F">
        <w:rPr>
          <w:sz w:val="36"/>
          <w:szCs w:val="36"/>
          <w:rtl/>
        </w:rPr>
        <w:t>استبعاد</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مراد</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الطوسي</w:t>
      </w:r>
      <w:r w:rsidR="00E8128F">
        <w:rPr>
          <w:sz w:val="36"/>
          <w:szCs w:val="36"/>
          <w:rtl/>
        </w:rPr>
        <w:t xml:space="preserve"> </w:t>
      </w:r>
      <w:r w:rsidR="00C04DBB" w:rsidRPr="00FD211F">
        <w:rPr>
          <w:sz w:val="36"/>
          <w:szCs w:val="36"/>
          <w:rtl/>
        </w:rPr>
        <w:t>"</w:t>
      </w:r>
      <w:r w:rsidR="007A4A0D" w:rsidRPr="00FD211F">
        <w:rPr>
          <w:sz w:val="36"/>
          <w:szCs w:val="36"/>
          <w:rtl/>
        </w:rPr>
        <w:t>ره</w:t>
      </w:r>
      <w:r w:rsidR="00C04DBB" w:rsidRPr="00FD211F">
        <w:rPr>
          <w:sz w:val="36"/>
          <w:szCs w:val="36"/>
          <w:rtl/>
        </w:rPr>
        <w:t>"</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قوله</w:t>
      </w:r>
      <w:r w:rsidR="00E8128F">
        <w:rPr>
          <w:sz w:val="36"/>
          <w:szCs w:val="36"/>
          <w:rtl/>
        </w:rPr>
        <w:t xml:space="preserve"> </w:t>
      </w:r>
      <w:r w:rsidRPr="00FD211F">
        <w:rPr>
          <w:sz w:val="36"/>
          <w:szCs w:val="36"/>
          <w:rtl/>
        </w:rPr>
        <w:t>اخبرنا</w:t>
      </w:r>
      <w:r w:rsidR="00E8128F">
        <w:rPr>
          <w:sz w:val="36"/>
          <w:szCs w:val="36"/>
          <w:rtl/>
        </w:rPr>
        <w:t xml:space="preserve"> </w:t>
      </w:r>
      <w:r w:rsidRPr="00FD211F">
        <w:rPr>
          <w:sz w:val="36"/>
          <w:szCs w:val="36"/>
          <w:rtl/>
        </w:rPr>
        <w:t>بجميع</w:t>
      </w:r>
      <w:r w:rsidR="00E8128F">
        <w:rPr>
          <w:sz w:val="36"/>
          <w:szCs w:val="36"/>
          <w:rtl/>
        </w:rPr>
        <w:t xml:space="preserve"> </w:t>
      </w:r>
      <w:r w:rsidRPr="00FD211F">
        <w:rPr>
          <w:sz w:val="36"/>
          <w:szCs w:val="36"/>
          <w:rtl/>
        </w:rPr>
        <w:t>كتبه</w:t>
      </w:r>
      <w:r w:rsidR="00E8128F">
        <w:rPr>
          <w:sz w:val="36"/>
          <w:szCs w:val="36"/>
          <w:rtl/>
        </w:rPr>
        <w:t xml:space="preserve"> </w:t>
      </w:r>
      <w:r w:rsidRPr="00FD211F">
        <w:rPr>
          <w:sz w:val="36"/>
          <w:szCs w:val="36"/>
          <w:rtl/>
        </w:rPr>
        <w:t>ورواياته</w:t>
      </w:r>
      <w:r w:rsidR="00E8128F">
        <w:rPr>
          <w:sz w:val="36"/>
          <w:szCs w:val="36"/>
          <w:rtl/>
        </w:rPr>
        <w:t xml:space="preserve"> </w:t>
      </w:r>
      <w:r w:rsidRPr="00FD211F">
        <w:rPr>
          <w:sz w:val="36"/>
          <w:szCs w:val="36"/>
          <w:rtl/>
        </w:rPr>
        <w:t>بيان</w:t>
      </w:r>
      <w:r w:rsidR="00E8128F">
        <w:rPr>
          <w:sz w:val="36"/>
          <w:szCs w:val="36"/>
          <w:rtl/>
        </w:rPr>
        <w:t xml:space="preserve"> </w:t>
      </w:r>
      <w:r w:rsidRPr="00FD211F">
        <w:rPr>
          <w:sz w:val="36"/>
          <w:szCs w:val="36"/>
          <w:rtl/>
        </w:rPr>
        <w:t>طرقه</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تفاصيل</w:t>
      </w:r>
      <w:r w:rsidR="00E8128F">
        <w:rPr>
          <w:sz w:val="36"/>
          <w:szCs w:val="36"/>
          <w:rtl/>
        </w:rPr>
        <w:t xml:space="preserve"> </w:t>
      </w:r>
      <w:r w:rsidRPr="00FD211F">
        <w:rPr>
          <w:sz w:val="36"/>
          <w:szCs w:val="36"/>
          <w:rtl/>
        </w:rPr>
        <w:t>الكتب</w:t>
      </w:r>
      <w:r w:rsidR="00E8128F">
        <w:rPr>
          <w:sz w:val="36"/>
          <w:szCs w:val="36"/>
          <w:rtl/>
        </w:rPr>
        <w:t xml:space="preserve"> </w:t>
      </w:r>
      <w:r w:rsidRPr="00FD211F">
        <w:rPr>
          <w:sz w:val="36"/>
          <w:szCs w:val="36"/>
          <w:rtl/>
        </w:rPr>
        <w:t>والروايات</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كثرتها</w:t>
      </w:r>
      <w:r w:rsidR="00603323" w:rsidRPr="00FD211F">
        <w:rPr>
          <w:sz w:val="36"/>
          <w:szCs w:val="36"/>
          <w:rtl/>
        </w:rPr>
        <w:t>،</w:t>
      </w:r>
      <w:r w:rsidR="00E8128F">
        <w:rPr>
          <w:sz w:val="36"/>
          <w:szCs w:val="36"/>
          <w:rtl/>
        </w:rPr>
        <w:t xml:space="preserve"> </w:t>
      </w:r>
      <w:r w:rsidRPr="00FD211F">
        <w:rPr>
          <w:sz w:val="36"/>
          <w:szCs w:val="36"/>
          <w:rtl/>
        </w:rPr>
        <w:t>فقد</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التعبير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كتاب</w:t>
      </w:r>
      <w:r w:rsidR="00E8128F">
        <w:rPr>
          <w:sz w:val="36"/>
          <w:szCs w:val="36"/>
          <w:rtl/>
        </w:rPr>
        <w:t xml:space="preserve"> </w:t>
      </w:r>
      <w:r w:rsidRPr="00FD211F">
        <w:rPr>
          <w:sz w:val="36"/>
          <w:szCs w:val="36"/>
          <w:rtl/>
        </w:rPr>
        <w:t>الفهرست</w:t>
      </w:r>
      <w:r w:rsidR="00E8128F">
        <w:rPr>
          <w:sz w:val="36"/>
          <w:szCs w:val="36"/>
          <w:rtl/>
        </w:rPr>
        <w:t xml:space="preserve"> </w:t>
      </w:r>
      <w:r w:rsidRPr="00FD211F">
        <w:rPr>
          <w:sz w:val="36"/>
          <w:szCs w:val="36"/>
          <w:rtl/>
        </w:rPr>
        <w:t>بالنسب</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اشخاص</w:t>
      </w:r>
      <w:r w:rsidR="00E8128F">
        <w:rPr>
          <w:sz w:val="36"/>
          <w:szCs w:val="36"/>
          <w:rtl/>
        </w:rPr>
        <w:t xml:space="preserve"> </w:t>
      </w:r>
      <w:r w:rsidRPr="00FD211F">
        <w:rPr>
          <w:sz w:val="36"/>
          <w:szCs w:val="36"/>
          <w:rtl/>
        </w:rPr>
        <w:t>كثيرين</w:t>
      </w:r>
      <w:r w:rsidR="00E8128F">
        <w:rPr>
          <w:sz w:val="36"/>
          <w:szCs w:val="36"/>
          <w:rtl/>
        </w:rPr>
        <w:t xml:space="preserve"> </w:t>
      </w:r>
      <w:r w:rsidRPr="00FD211F">
        <w:rPr>
          <w:sz w:val="36"/>
          <w:szCs w:val="36"/>
          <w:rtl/>
        </w:rPr>
        <w:t>كابي</w:t>
      </w:r>
      <w:r w:rsidR="00E8128F">
        <w:rPr>
          <w:sz w:val="36"/>
          <w:szCs w:val="36"/>
          <w:rtl/>
        </w:rPr>
        <w:t xml:space="preserve"> </w:t>
      </w:r>
      <w:r w:rsidRPr="00FD211F">
        <w:rPr>
          <w:sz w:val="36"/>
          <w:szCs w:val="36"/>
          <w:rtl/>
        </w:rPr>
        <w:t>الفرج</w:t>
      </w:r>
      <w:r w:rsidR="00E8128F">
        <w:rPr>
          <w:sz w:val="36"/>
          <w:szCs w:val="36"/>
          <w:rtl/>
        </w:rPr>
        <w:t xml:space="preserve"> </w:t>
      </w:r>
      <w:r w:rsidRPr="00FD211F">
        <w:rPr>
          <w:sz w:val="36"/>
          <w:szCs w:val="36"/>
          <w:rtl/>
        </w:rPr>
        <w:t>الاصفهاني</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قال</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كتاب</w:t>
      </w:r>
      <w:r w:rsidR="00E8128F">
        <w:rPr>
          <w:sz w:val="36"/>
          <w:szCs w:val="36"/>
          <w:rtl/>
        </w:rPr>
        <w:t xml:space="preserve"> </w:t>
      </w:r>
      <w:r w:rsidRPr="00FD211F">
        <w:rPr>
          <w:sz w:val="36"/>
          <w:szCs w:val="36"/>
          <w:rtl/>
        </w:rPr>
        <w:t>الاغاني</w:t>
      </w:r>
      <w:r w:rsidR="00E8128F">
        <w:rPr>
          <w:sz w:val="36"/>
          <w:szCs w:val="36"/>
          <w:rtl/>
        </w:rPr>
        <w:t xml:space="preserve"> </w:t>
      </w:r>
      <w:r w:rsidRPr="00FD211F">
        <w:rPr>
          <w:sz w:val="36"/>
          <w:szCs w:val="36"/>
          <w:rtl/>
        </w:rPr>
        <w:t>كبير</w:t>
      </w:r>
      <w:r w:rsidR="00E8128F">
        <w:rPr>
          <w:sz w:val="36"/>
          <w:szCs w:val="36"/>
          <w:rtl/>
        </w:rPr>
        <w:t xml:space="preserve"> </w:t>
      </w:r>
      <w:r w:rsidRPr="00FD211F">
        <w:rPr>
          <w:sz w:val="36"/>
          <w:szCs w:val="36"/>
          <w:rtl/>
        </w:rPr>
        <w:t>وكتاب</w:t>
      </w:r>
      <w:r w:rsidR="00E8128F">
        <w:rPr>
          <w:sz w:val="36"/>
          <w:szCs w:val="36"/>
          <w:rtl/>
        </w:rPr>
        <w:t xml:space="preserve"> </w:t>
      </w:r>
      <w:r w:rsidRPr="00FD211F">
        <w:rPr>
          <w:sz w:val="36"/>
          <w:szCs w:val="36"/>
          <w:rtl/>
        </w:rPr>
        <w:t>مقاتل</w:t>
      </w:r>
      <w:r w:rsidR="00E8128F">
        <w:rPr>
          <w:sz w:val="36"/>
          <w:szCs w:val="36"/>
          <w:rtl/>
        </w:rPr>
        <w:t xml:space="preserve"> </w:t>
      </w:r>
      <w:r w:rsidRPr="00FD211F">
        <w:rPr>
          <w:sz w:val="36"/>
          <w:szCs w:val="36"/>
          <w:rtl/>
        </w:rPr>
        <w:t>الطالبين</w:t>
      </w:r>
      <w:r w:rsidR="00E8128F">
        <w:rPr>
          <w:sz w:val="36"/>
          <w:szCs w:val="36"/>
          <w:rtl/>
        </w:rPr>
        <w:t xml:space="preserve"> </w:t>
      </w:r>
      <w:r w:rsidRPr="00FD211F">
        <w:rPr>
          <w:sz w:val="36"/>
          <w:szCs w:val="36"/>
          <w:rtl/>
        </w:rPr>
        <w:t>وغير</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الكتب</w:t>
      </w:r>
      <w:r w:rsidR="00E8128F">
        <w:rPr>
          <w:sz w:val="36"/>
          <w:szCs w:val="36"/>
          <w:rtl/>
        </w:rPr>
        <w:t xml:space="preserve"> </w:t>
      </w:r>
      <w:r w:rsidRPr="00FD211F">
        <w:rPr>
          <w:sz w:val="36"/>
          <w:szCs w:val="36"/>
          <w:rtl/>
        </w:rPr>
        <w:t>اخبرنا</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جماع</w:t>
      </w:r>
      <w:r w:rsidR="00EC7EDF" w:rsidRPr="00FD211F">
        <w:rPr>
          <w:sz w:val="36"/>
          <w:szCs w:val="36"/>
          <w:rtl/>
        </w:rPr>
        <w:t>ة</w:t>
      </w:r>
      <w:r w:rsidR="00E8128F">
        <w:rPr>
          <w:sz w:val="36"/>
          <w:szCs w:val="36"/>
          <w:rtl/>
        </w:rPr>
        <w:t xml:space="preserve"> </w:t>
      </w:r>
      <w:r w:rsidRPr="00FD211F">
        <w:rPr>
          <w:sz w:val="36"/>
          <w:szCs w:val="36"/>
          <w:rtl/>
        </w:rPr>
        <w:t>منهم</w:t>
      </w:r>
      <w:r w:rsidR="00E8128F">
        <w:rPr>
          <w:sz w:val="36"/>
          <w:szCs w:val="36"/>
          <w:rtl/>
        </w:rPr>
        <w:t xml:space="preserve"> </w:t>
      </w:r>
      <w:r w:rsidRPr="00FD211F">
        <w:rPr>
          <w:sz w:val="36"/>
          <w:szCs w:val="36"/>
          <w:rtl/>
        </w:rPr>
        <w:t>احمد</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عبدون</w:t>
      </w:r>
      <w:r w:rsidR="00E8128F">
        <w:rPr>
          <w:sz w:val="36"/>
          <w:szCs w:val="36"/>
          <w:rtl/>
        </w:rPr>
        <w:t xml:space="preserve"> </w:t>
      </w:r>
      <w:r w:rsidRPr="00FD211F">
        <w:rPr>
          <w:sz w:val="36"/>
          <w:szCs w:val="36"/>
          <w:rtl/>
        </w:rPr>
        <w:t>بجميع</w:t>
      </w:r>
      <w:r w:rsidR="00E8128F">
        <w:rPr>
          <w:sz w:val="36"/>
          <w:szCs w:val="36"/>
          <w:rtl/>
        </w:rPr>
        <w:t xml:space="preserve"> </w:t>
      </w:r>
      <w:r w:rsidRPr="00FD211F">
        <w:rPr>
          <w:sz w:val="36"/>
          <w:szCs w:val="36"/>
          <w:rtl/>
        </w:rPr>
        <w:t>كتبه</w:t>
      </w:r>
      <w:r w:rsidR="00E8128F">
        <w:rPr>
          <w:sz w:val="36"/>
          <w:szCs w:val="36"/>
          <w:rtl/>
        </w:rPr>
        <w:t xml:space="preserve"> </w:t>
      </w:r>
      <w:r w:rsidRPr="00FD211F">
        <w:rPr>
          <w:sz w:val="36"/>
          <w:szCs w:val="36"/>
          <w:rtl/>
        </w:rPr>
        <w:t>ورواياته</w:t>
      </w:r>
      <w:r w:rsidR="00603323" w:rsidRPr="00FD211F">
        <w:rPr>
          <w:sz w:val="36"/>
          <w:szCs w:val="36"/>
          <w:rtl/>
        </w:rPr>
        <w:t>،</w:t>
      </w:r>
      <w:r w:rsidR="00E8128F">
        <w:rPr>
          <w:sz w:val="36"/>
          <w:szCs w:val="36"/>
          <w:rtl/>
        </w:rPr>
        <w:t xml:space="preserve"> </w:t>
      </w:r>
      <w:r w:rsidRPr="00FD211F">
        <w:rPr>
          <w:sz w:val="36"/>
          <w:szCs w:val="36"/>
          <w:rtl/>
        </w:rPr>
        <w:t>ولايحتمل</w:t>
      </w:r>
      <w:r w:rsidR="00E8128F">
        <w:rPr>
          <w:sz w:val="36"/>
          <w:szCs w:val="36"/>
          <w:rtl/>
        </w:rPr>
        <w:t xml:space="preserve"> </w:t>
      </w:r>
      <w:r w:rsidRPr="00FD211F">
        <w:rPr>
          <w:sz w:val="36"/>
          <w:szCs w:val="36"/>
          <w:rtl/>
        </w:rPr>
        <w:t>عاد</w:t>
      </w:r>
      <w:r w:rsidR="00EC7EDF" w:rsidRPr="00FD211F">
        <w:rPr>
          <w:sz w:val="36"/>
          <w:szCs w:val="36"/>
          <w:rtl/>
        </w:rPr>
        <w:t>ة</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يخبره</w:t>
      </w:r>
      <w:r w:rsidR="00E8128F">
        <w:rPr>
          <w:sz w:val="36"/>
          <w:szCs w:val="36"/>
          <w:rtl/>
        </w:rPr>
        <w:t xml:space="preserve"> </w:t>
      </w:r>
      <w:r w:rsidRPr="00FD211F">
        <w:rPr>
          <w:sz w:val="36"/>
          <w:szCs w:val="36"/>
          <w:rtl/>
        </w:rPr>
        <w:t>جماع</w:t>
      </w:r>
      <w:r w:rsidR="00EC7EDF" w:rsidRPr="00FD211F">
        <w:rPr>
          <w:sz w:val="36"/>
          <w:szCs w:val="36"/>
          <w:rtl/>
        </w:rPr>
        <w:t>ة</w:t>
      </w:r>
      <w:r w:rsidR="00E8128F">
        <w:rPr>
          <w:sz w:val="36"/>
          <w:szCs w:val="36"/>
          <w:rtl/>
        </w:rPr>
        <w:t xml:space="preserve"> </w:t>
      </w:r>
      <w:r w:rsidRPr="00FD211F">
        <w:rPr>
          <w:sz w:val="36"/>
          <w:szCs w:val="36"/>
          <w:rtl/>
        </w:rPr>
        <w:t>بتفاصيل</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ابي</w:t>
      </w:r>
      <w:r w:rsidR="00E8128F">
        <w:rPr>
          <w:sz w:val="36"/>
          <w:szCs w:val="36"/>
          <w:rtl/>
        </w:rPr>
        <w:t xml:space="preserve"> </w:t>
      </w:r>
      <w:r w:rsidRPr="00FD211F">
        <w:rPr>
          <w:sz w:val="36"/>
          <w:szCs w:val="36"/>
          <w:rtl/>
        </w:rPr>
        <w:t>الفرج</w:t>
      </w:r>
      <w:r w:rsidR="00E8128F">
        <w:rPr>
          <w:sz w:val="36"/>
          <w:szCs w:val="36"/>
          <w:rtl/>
        </w:rPr>
        <w:t xml:space="preserve"> </w:t>
      </w:r>
      <w:r w:rsidRPr="00FD211F">
        <w:rPr>
          <w:sz w:val="36"/>
          <w:szCs w:val="36"/>
          <w:rtl/>
        </w:rPr>
        <w:t>الاصفهاني</w:t>
      </w:r>
      <w:r w:rsidR="00E8128F">
        <w:rPr>
          <w:sz w:val="36"/>
          <w:szCs w:val="36"/>
          <w:rtl/>
        </w:rPr>
        <w:t xml:space="preserve"> </w:t>
      </w:r>
      <w:r w:rsidRPr="00FD211F">
        <w:rPr>
          <w:sz w:val="36"/>
          <w:szCs w:val="36"/>
          <w:rtl/>
        </w:rPr>
        <w:t>ورواياته</w:t>
      </w:r>
      <w:r w:rsidR="00E8128F">
        <w:rPr>
          <w:sz w:val="36"/>
          <w:szCs w:val="36"/>
          <w:rtl/>
        </w:rPr>
        <w:t xml:space="preserve"> </w:t>
      </w:r>
      <w:r w:rsidRPr="00FD211F">
        <w:rPr>
          <w:sz w:val="36"/>
          <w:szCs w:val="36"/>
          <w:rtl/>
        </w:rPr>
        <w:t>بما</w:t>
      </w:r>
      <w:r w:rsidR="00E8128F">
        <w:rPr>
          <w:sz w:val="36"/>
          <w:szCs w:val="36"/>
          <w:rtl/>
        </w:rPr>
        <w:t xml:space="preserve"> </w:t>
      </w:r>
      <w:r w:rsidRPr="00FD211F">
        <w:rPr>
          <w:sz w:val="36"/>
          <w:szCs w:val="36"/>
          <w:rtl/>
        </w:rPr>
        <w:t>فيها</w:t>
      </w:r>
      <w:r w:rsidR="00E8128F">
        <w:rPr>
          <w:sz w:val="36"/>
          <w:szCs w:val="36"/>
          <w:rtl/>
        </w:rPr>
        <w:t xml:space="preserve"> </w:t>
      </w:r>
      <w:r w:rsidRPr="00FD211F">
        <w:rPr>
          <w:sz w:val="36"/>
          <w:szCs w:val="36"/>
          <w:rtl/>
        </w:rPr>
        <w:t>كتاب</w:t>
      </w:r>
      <w:r w:rsidR="00E8128F">
        <w:rPr>
          <w:sz w:val="36"/>
          <w:szCs w:val="36"/>
          <w:rtl/>
        </w:rPr>
        <w:t xml:space="preserve"> </w:t>
      </w:r>
      <w:r w:rsidRPr="00FD211F">
        <w:rPr>
          <w:sz w:val="36"/>
          <w:szCs w:val="36"/>
          <w:rtl/>
        </w:rPr>
        <w:t>الاغاني</w:t>
      </w:r>
      <w:r w:rsidR="00E8128F">
        <w:rPr>
          <w:sz w:val="36"/>
          <w:szCs w:val="36"/>
          <w:rtl/>
        </w:rPr>
        <w:t xml:space="preserve"> </w:t>
      </w:r>
      <w:r w:rsidRPr="00FD211F">
        <w:rPr>
          <w:sz w:val="36"/>
          <w:szCs w:val="36"/>
          <w:rtl/>
        </w:rPr>
        <w:t>الكبير</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اشتماله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لايمتّ</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العلوم</w:t>
      </w:r>
      <w:r w:rsidR="00E8128F">
        <w:rPr>
          <w:sz w:val="36"/>
          <w:szCs w:val="36"/>
          <w:rtl/>
        </w:rPr>
        <w:t xml:space="preserve"> </w:t>
      </w:r>
      <w:r w:rsidRPr="00FD211F">
        <w:rPr>
          <w:sz w:val="36"/>
          <w:szCs w:val="36"/>
          <w:rtl/>
        </w:rPr>
        <w:t>الشرعي</w:t>
      </w:r>
      <w:r w:rsidR="00EC7EDF" w:rsidRPr="00FD211F">
        <w:rPr>
          <w:sz w:val="36"/>
          <w:szCs w:val="36"/>
          <w:rtl/>
        </w:rPr>
        <w:t>ة</w:t>
      </w:r>
      <w:r w:rsidR="00E8128F">
        <w:rPr>
          <w:sz w:val="36"/>
          <w:szCs w:val="36"/>
          <w:rtl/>
        </w:rPr>
        <w:t xml:space="preserve"> </w:t>
      </w:r>
      <w:r w:rsidRPr="00FD211F">
        <w:rPr>
          <w:sz w:val="36"/>
          <w:szCs w:val="36"/>
          <w:rtl/>
        </w:rPr>
        <w:t>بصل</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الإخبار</w:t>
      </w:r>
      <w:r w:rsidR="00E8128F">
        <w:rPr>
          <w:sz w:val="36"/>
          <w:szCs w:val="36"/>
          <w:rtl/>
        </w:rPr>
        <w:t xml:space="preserve"> </w:t>
      </w:r>
      <w:r w:rsidRPr="00FD211F">
        <w:rPr>
          <w:sz w:val="36"/>
          <w:szCs w:val="36"/>
          <w:rtl/>
        </w:rPr>
        <w:t>بتفاصيل</w:t>
      </w:r>
      <w:r w:rsidR="00E8128F">
        <w:rPr>
          <w:sz w:val="36"/>
          <w:szCs w:val="36"/>
          <w:rtl/>
        </w:rPr>
        <w:t xml:space="preserve"> </w:t>
      </w:r>
      <w:r w:rsidRPr="00FD211F">
        <w:rPr>
          <w:sz w:val="36"/>
          <w:szCs w:val="36"/>
          <w:rtl/>
        </w:rPr>
        <w:t>تلك</w:t>
      </w:r>
      <w:r w:rsidR="00E8128F">
        <w:rPr>
          <w:sz w:val="36"/>
          <w:szCs w:val="36"/>
          <w:rtl/>
        </w:rPr>
        <w:t xml:space="preserve"> </w:t>
      </w:r>
      <w:r w:rsidRPr="00FD211F">
        <w:rPr>
          <w:sz w:val="36"/>
          <w:szCs w:val="36"/>
          <w:rtl/>
        </w:rPr>
        <w:t>الكتب</w:t>
      </w:r>
      <w:r w:rsidR="00E8128F">
        <w:rPr>
          <w:sz w:val="36"/>
          <w:szCs w:val="36"/>
          <w:rtl/>
        </w:rPr>
        <w:t xml:space="preserve"> </w:t>
      </w:r>
      <w:r w:rsidRPr="00FD211F">
        <w:rPr>
          <w:sz w:val="36"/>
          <w:szCs w:val="36"/>
          <w:rtl/>
        </w:rPr>
        <w:t>والروايات</w:t>
      </w:r>
      <w:r w:rsidR="00E8128F">
        <w:rPr>
          <w:sz w:val="36"/>
          <w:szCs w:val="36"/>
          <w:rtl/>
        </w:rPr>
        <w:t xml:space="preserve"> </w:t>
      </w:r>
      <w:r w:rsidRPr="00FD211F">
        <w:rPr>
          <w:sz w:val="36"/>
          <w:szCs w:val="36"/>
          <w:rtl/>
        </w:rPr>
        <w:t>إما</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بالسماع</w:t>
      </w:r>
      <w:r w:rsidR="00E8128F">
        <w:rPr>
          <w:sz w:val="36"/>
          <w:szCs w:val="36"/>
          <w:rtl/>
        </w:rPr>
        <w:t xml:space="preserve"> </w:t>
      </w:r>
      <w:r w:rsidRPr="00FD211F">
        <w:rPr>
          <w:sz w:val="36"/>
          <w:szCs w:val="36"/>
          <w:rtl/>
        </w:rPr>
        <w:t>منهم</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الق</w:t>
      </w:r>
      <w:r w:rsidR="008D7B3D" w:rsidRPr="00FD211F">
        <w:rPr>
          <w:sz w:val="36"/>
          <w:szCs w:val="36"/>
          <w:rtl/>
        </w:rPr>
        <w:t>راءة</w:t>
      </w:r>
      <w:r w:rsidR="00E8128F">
        <w:rPr>
          <w:sz w:val="36"/>
          <w:szCs w:val="36"/>
          <w:rtl/>
        </w:rPr>
        <w:t xml:space="preserve"> </w:t>
      </w:r>
      <w:r w:rsidRPr="00FD211F">
        <w:rPr>
          <w:sz w:val="36"/>
          <w:szCs w:val="36"/>
          <w:rtl/>
        </w:rPr>
        <w:t>عليهم</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نسخهم</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الاستنساخ</w:t>
      </w:r>
      <w:r w:rsidR="00E8128F">
        <w:rPr>
          <w:sz w:val="36"/>
          <w:szCs w:val="36"/>
          <w:rtl/>
        </w:rPr>
        <w:t xml:space="preserve"> </w:t>
      </w:r>
      <w:r w:rsidRPr="00FD211F">
        <w:rPr>
          <w:sz w:val="36"/>
          <w:szCs w:val="36"/>
          <w:rtl/>
        </w:rPr>
        <w:t>منها</w:t>
      </w:r>
      <w:r w:rsidR="00E8128F">
        <w:rPr>
          <w:sz w:val="36"/>
          <w:szCs w:val="36"/>
          <w:rtl/>
        </w:rPr>
        <w:t xml:space="preserve"> </w:t>
      </w:r>
      <w:r w:rsidRPr="00FD211F">
        <w:rPr>
          <w:sz w:val="36"/>
          <w:szCs w:val="36"/>
          <w:rtl/>
        </w:rPr>
        <w:t>وكل</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محتمل</w:t>
      </w:r>
      <w:r w:rsidR="00E8128F">
        <w:rPr>
          <w:sz w:val="36"/>
          <w:szCs w:val="36"/>
          <w:rtl/>
        </w:rPr>
        <w:t xml:space="preserve"> </w:t>
      </w:r>
      <w:r w:rsidRPr="00FD211F">
        <w:rPr>
          <w:sz w:val="36"/>
          <w:szCs w:val="36"/>
          <w:rtl/>
        </w:rPr>
        <w:t>عاد</w:t>
      </w:r>
      <w:r w:rsidR="00EC7EDF" w:rsidRPr="00FD211F">
        <w:rPr>
          <w:sz w:val="36"/>
          <w:szCs w:val="36"/>
          <w:rtl/>
        </w:rPr>
        <w:t>ة</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كثر</w:t>
      </w:r>
      <w:r w:rsidR="00EC7EDF" w:rsidRPr="00FD211F">
        <w:rPr>
          <w:sz w:val="36"/>
          <w:szCs w:val="36"/>
          <w:rtl/>
        </w:rPr>
        <w:t>ة</w:t>
      </w:r>
      <w:r w:rsidR="00E8128F">
        <w:rPr>
          <w:sz w:val="36"/>
          <w:szCs w:val="36"/>
          <w:rtl/>
        </w:rPr>
        <w:t xml:space="preserve"> </w:t>
      </w:r>
      <w:r w:rsidRPr="00FD211F">
        <w:rPr>
          <w:sz w:val="36"/>
          <w:szCs w:val="36"/>
          <w:rtl/>
        </w:rPr>
        <w:t>تلك</w:t>
      </w:r>
      <w:r w:rsidR="00E8128F">
        <w:rPr>
          <w:sz w:val="36"/>
          <w:szCs w:val="36"/>
          <w:rtl/>
        </w:rPr>
        <w:t xml:space="preserve"> </w:t>
      </w:r>
      <w:r w:rsidRPr="00FD211F">
        <w:rPr>
          <w:sz w:val="36"/>
          <w:szCs w:val="36"/>
          <w:rtl/>
        </w:rPr>
        <w:t>ال</w:t>
      </w:r>
      <w:r w:rsidR="00F60402" w:rsidRPr="00FD211F">
        <w:rPr>
          <w:sz w:val="36"/>
          <w:szCs w:val="36"/>
          <w:rtl/>
        </w:rPr>
        <w:t>كتب</w:t>
      </w:r>
      <w:r w:rsidR="00E8128F">
        <w:rPr>
          <w:sz w:val="36"/>
          <w:szCs w:val="36"/>
          <w:rtl/>
        </w:rPr>
        <w:t xml:space="preserve"> </w:t>
      </w:r>
      <w:r w:rsidR="00F60402" w:rsidRPr="00FD211F">
        <w:rPr>
          <w:sz w:val="36"/>
          <w:szCs w:val="36"/>
          <w:rtl/>
        </w:rPr>
        <w:t>والروايات</w:t>
      </w:r>
      <w:r w:rsidR="00E8128F">
        <w:rPr>
          <w:sz w:val="36"/>
          <w:szCs w:val="36"/>
          <w:rtl/>
        </w:rPr>
        <w:t xml:space="preserve"> </w:t>
      </w:r>
      <w:r w:rsidR="00F60402" w:rsidRPr="00FD211F">
        <w:rPr>
          <w:sz w:val="36"/>
          <w:szCs w:val="36"/>
          <w:rtl/>
        </w:rPr>
        <w:t>وتعدد</w:t>
      </w:r>
      <w:r w:rsidR="00E8128F">
        <w:rPr>
          <w:sz w:val="36"/>
          <w:szCs w:val="36"/>
          <w:rtl/>
        </w:rPr>
        <w:t xml:space="preserve"> </w:t>
      </w:r>
      <w:r w:rsidR="00F60402" w:rsidRPr="00FD211F">
        <w:rPr>
          <w:sz w:val="36"/>
          <w:szCs w:val="36"/>
          <w:rtl/>
        </w:rPr>
        <w:t>الطرق</w:t>
      </w:r>
      <w:r w:rsidR="00E8128F">
        <w:rPr>
          <w:sz w:val="36"/>
          <w:szCs w:val="36"/>
          <w:rtl/>
        </w:rPr>
        <w:t xml:space="preserve"> </w:t>
      </w:r>
      <w:r w:rsidR="00F60402" w:rsidRPr="00FD211F">
        <w:rPr>
          <w:sz w:val="36"/>
          <w:szCs w:val="36"/>
          <w:rtl/>
        </w:rPr>
        <w:t>اليها</w:t>
      </w:r>
      <w:r w:rsidRPr="00FD211F">
        <w:rPr>
          <w:sz w:val="36"/>
          <w:szCs w:val="36"/>
          <w:rtl/>
        </w:rPr>
        <w:t>.</w:t>
      </w:r>
    </w:p>
    <w:p w14:paraId="629A3F1B" w14:textId="77777777" w:rsidR="00045715" w:rsidRPr="00FD211F" w:rsidRDefault="00045715" w:rsidP="009C58C8">
      <w:pPr>
        <w:pStyle w:val="a4"/>
        <w:ind w:left="0" w:firstLine="227"/>
        <w:jc w:val="both"/>
        <w:rPr>
          <w:sz w:val="36"/>
          <w:szCs w:val="36"/>
          <w:rtl/>
        </w:rPr>
      </w:pPr>
      <w:r w:rsidRPr="00FD211F">
        <w:rPr>
          <w:b/>
          <w:bCs/>
          <w:sz w:val="36"/>
          <w:szCs w:val="36"/>
          <w:rtl/>
        </w:rPr>
        <w:t>وثانيا</w:t>
      </w:r>
      <w:r w:rsidRPr="00FD211F">
        <w:rPr>
          <w:sz w:val="36"/>
          <w:szCs w:val="36"/>
          <w:rtl/>
        </w:rPr>
        <w:t>:</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سلمنا</w:t>
      </w:r>
      <w:r w:rsidR="00E8128F">
        <w:rPr>
          <w:sz w:val="36"/>
          <w:szCs w:val="36"/>
          <w:rtl/>
        </w:rPr>
        <w:t xml:space="preserve"> </w:t>
      </w:r>
      <w:r w:rsidRPr="00FD211F">
        <w:rPr>
          <w:sz w:val="36"/>
          <w:szCs w:val="36"/>
          <w:rtl/>
        </w:rPr>
        <w:t>ظهوره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تفاصيل</w:t>
      </w:r>
      <w:r w:rsidR="00E8128F">
        <w:rPr>
          <w:sz w:val="36"/>
          <w:szCs w:val="36"/>
          <w:rtl/>
        </w:rPr>
        <w:t xml:space="preserve"> </w:t>
      </w:r>
      <w:r w:rsidRPr="00FD211F">
        <w:rPr>
          <w:sz w:val="36"/>
          <w:szCs w:val="36"/>
          <w:rtl/>
        </w:rPr>
        <w:t>روايات</w:t>
      </w:r>
      <w:r w:rsidR="00E8128F">
        <w:rPr>
          <w:sz w:val="36"/>
          <w:szCs w:val="36"/>
          <w:rtl/>
        </w:rPr>
        <w:t xml:space="preserve"> </w:t>
      </w:r>
      <w:r w:rsidRPr="00FD211F">
        <w:rPr>
          <w:sz w:val="36"/>
          <w:szCs w:val="36"/>
          <w:rtl/>
        </w:rPr>
        <w:t>حريز</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فالمتيقن</w:t>
      </w:r>
      <w:r w:rsidR="00E8128F">
        <w:rPr>
          <w:sz w:val="36"/>
          <w:szCs w:val="36"/>
          <w:rtl/>
        </w:rPr>
        <w:t xml:space="preserve"> </w:t>
      </w:r>
      <w:r w:rsidRPr="00FD211F">
        <w:rPr>
          <w:sz w:val="36"/>
          <w:szCs w:val="36"/>
          <w:rtl/>
        </w:rPr>
        <w:t>لولا</w:t>
      </w:r>
      <w:r w:rsidR="00E8128F">
        <w:rPr>
          <w:sz w:val="36"/>
          <w:szCs w:val="36"/>
          <w:rtl/>
        </w:rPr>
        <w:t xml:space="preserve"> </w:t>
      </w:r>
      <w:r w:rsidRPr="00FD211F">
        <w:rPr>
          <w:sz w:val="36"/>
          <w:szCs w:val="36"/>
          <w:rtl/>
        </w:rPr>
        <w:t>الظاهر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اضاف</w:t>
      </w:r>
      <w:r w:rsidR="00EC7EDF" w:rsidRPr="00FD211F">
        <w:rPr>
          <w:sz w:val="36"/>
          <w:szCs w:val="36"/>
          <w:rtl/>
        </w:rPr>
        <w:t>ة</w:t>
      </w:r>
      <w:r w:rsidR="00E8128F">
        <w:rPr>
          <w:sz w:val="36"/>
          <w:szCs w:val="36"/>
          <w:rtl/>
        </w:rPr>
        <w:t xml:space="preserve"> </w:t>
      </w:r>
      <w:r w:rsidRPr="00FD211F">
        <w:rPr>
          <w:sz w:val="36"/>
          <w:szCs w:val="36"/>
          <w:rtl/>
        </w:rPr>
        <w:t>الروايات</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شخص</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تلك</w:t>
      </w:r>
      <w:r w:rsidR="00E8128F">
        <w:rPr>
          <w:sz w:val="36"/>
          <w:szCs w:val="36"/>
          <w:rtl/>
        </w:rPr>
        <w:t xml:space="preserve"> </w:t>
      </w:r>
      <w:r w:rsidRPr="00FD211F">
        <w:rPr>
          <w:sz w:val="36"/>
          <w:szCs w:val="36"/>
          <w:rtl/>
        </w:rPr>
        <w:t>الروايات</w:t>
      </w:r>
      <w:r w:rsidR="00E8128F">
        <w:rPr>
          <w:sz w:val="36"/>
          <w:szCs w:val="36"/>
          <w:rtl/>
        </w:rPr>
        <w:t xml:space="preserve"> </w:t>
      </w:r>
      <w:r w:rsidRPr="00FD211F">
        <w:rPr>
          <w:sz w:val="36"/>
          <w:szCs w:val="36"/>
          <w:rtl/>
        </w:rPr>
        <w:t>روايات</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الشخص</w:t>
      </w:r>
      <w:r w:rsidR="00E8128F">
        <w:rPr>
          <w:sz w:val="36"/>
          <w:szCs w:val="36"/>
          <w:rtl/>
        </w:rPr>
        <w:t xml:space="preserve"> </w:t>
      </w:r>
      <w:r w:rsidRPr="00FD211F">
        <w:rPr>
          <w:sz w:val="36"/>
          <w:szCs w:val="36"/>
          <w:rtl/>
        </w:rPr>
        <w:t>واقعا</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باعتقاد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صدر</w:t>
      </w:r>
      <w:r w:rsidR="00E8128F">
        <w:rPr>
          <w:sz w:val="36"/>
          <w:szCs w:val="36"/>
          <w:rtl/>
        </w:rPr>
        <w:t xml:space="preserve"> </w:t>
      </w:r>
      <w:r w:rsidRPr="00FD211F">
        <w:rPr>
          <w:sz w:val="36"/>
          <w:szCs w:val="36"/>
          <w:rtl/>
        </w:rPr>
        <w:t>منه</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الكلام</w:t>
      </w:r>
      <w:r w:rsidR="00E8128F">
        <w:rPr>
          <w:sz w:val="36"/>
          <w:szCs w:val="36"/>
          <w:rtl/>
        </w:rPr>
        <w:t xml:space="preserve"> </w:t>
      </w:r>
      <w:r w:rsidRPr="00FD211F">
        <w:rPr>
          <w:sz w:val="36"/>
          <w:szCs w:val="36"/>
          <w:rtl/>
        </w:rPr>
        <w:t>وهو</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المقام</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شهد</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اُخبر</w:t>
      </w:r>
      <w:r w:rsidR="00E8128F">
        <w:rPr>
          <w:sz w:val="36"/>
          <w:szCs w:val="36"/>
          <w:rtl/>
        </w:rPr>
        <w:t xml:space="preserve"> </w:t>
      </w:r>
      <w:r w:rsidRPr="00FD211F">
        <w:rPr>
          <w:sz w:val="36"/>
          <w:szCs w:val="36"/>
          <w:rtl/>
        </w:rPr>
        <w:t>بجميع</w:t>
      </w:r>
      <w:r w:rsidR="00E8128F">
        <w:rPr>
          <w:sz w:val="36"/>
          <w:szCs w:val="36"/>
          <w:rtl/>
        </w:rPr>
        <w:t xml:space="preserve"> </w:t>
      </w:r>
      <w:r w:rsidRPr="00FD211F">
        <w:rPr>
          <w:sz w:val="36"/>
          <w:szCs w:val="36"/>
          <w:rtl/>
        </w:rPr>
        <w:t>كتبه</w:t>
      </w:r>
      <w:r w:rsidR="00E8128F">
        <w:rPr>
          <w:sz w:val="36"/>
          <w:szCs w:val="36"/>
          <w:rtl/>
        </w:rPr>
        <w:t xml:space="preserve"> </w:t>
      </w:r>
      <w:r w:rsidRPr="00FD211F">
        <w:rPr>
          <w:sz w:val="36"/>
          <w:szCs w:val="36"/>
          <w:rtl/>
        </w:rPr>
        <w:t>ورواياته-</w:t>
      </w:r>
      <w:r w:rsidR="00E8128F">
        <w:rPr>
          <w:sz w:val="36"/>
          <w:szCs w:val="36"/>
          <w:rtl/>
        </w:rPr>
        <w:t xml:space="preserve"> </w:t>
      </w:r>
      <w:r w:rsidRPr="00FD211F">
        <w:rPr>
          <w:sz w:val="36"/>
          <w:szCs w:val="36"/>
          <w:rtl/>
        </w:rPr>
        <w:t>ولايشمل</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رواي</w:t>
      </w:r>
      <w:r w:rsidR="00EC7EDF" w:rsidRPr="00FD211F">
        <w:rPr>
          <w:sz w:val="36"/>
          <w:szCs w:val="36"/>
          <w:rtl/>
        </w:rPr>
        <w:t>ة</w:t>
      </w:r>
      <w:r w:rsidR="00E8128F">
        <w:rPr>
          <w:sz w:val="36"/>
          <w:szCs w:val="36"/>
          <w:rtl/>
        </w:rPr>
        <w:t xml:space="preserve"> </w:t>
      </w:r>
      <w:r w:rsidR="00F60402" w:rsidRPr="00FD211F">
        <w:rPr>
          <w:sz w:val="36"/>
          <w:szCs w:val="36"/>
          <w:rtl/>
        </w:rPr>
        <w:t>نسبت</w:t>
      </w:r>
      <w:r w:rsidR="00E8128F">
        <w:rPr>
          <w:sz w:val="36"/>
          <w:szCs w:val="36"/>
          <w:rtl/>
        </w:rPr>
        <w:t xml:space="preserve"> </w:t>
      </w:r>
      <w:r w:rsidR="00F60402" w:rsidRPr="00FD211F">
        <w:rPr>
          <w:sz w:val="36"/>
          <w:szCs w:val="36"/>
          <w:rtl/>
        </w:rPr>
        <w:t>الى</w:t>
      </w:r>
      <w:r w:rsidR="00E8128F">
        <w:rPr>
          <w:sz w:val="36"/>
          <w:szCs w:val="36"/>
          <w:rtl/>
        </w:rPr>
        <w:t xml:space="preserve"> </w:t>
      </w:r>
      <w:r w:rsidR="00F60402" w:rsidRPr="00FD211F">
        <w:rPr>
          <w:sz w:val="36"/>
          <w:szCs w:val="36"/>
          <w:rtl/>
        </w:rPr>
        <w:t>ذلك</w:t>
      </w:r>
      <w:r w:rsidR="00E8128F">
        <w:rPr>
          <w:sz w:val="36"/>
          <w:szCs w:val="36"/>
          <w:rtl/>
        </w:rPr>
        <w:t xml:space="preserve"> </w:t>
      </w:r>
      <w:r w:rsidR="00F60402" w:rsidRPr="00FD211F">
        <w:rPr>
          <w:sz w:val="36"/>
          <w:szCs w:val="36"/>
          <w:rtl/>
        </w:rPr>
        <w:t>الشخص</w:t>
      </w:r>
      <w:r w:rsidR="00603323" w:rsidRPr="00FD211F">
        <w:rPr>
          <w:sz w:val="36"/>
          <w:szCs w:val="36"/>
          <w:rtl/>
        </w:rPr>
        <w:t>،</w:t>
      </w:r>
      <w:r w:rsidR="00E8128F">
        <w:rPr>
          <w:sz w:val="36"/>
          <w:szCs w:val="36"/>
          <w:rtl/>
        </w:rPr>
        <w:t xml:space="preserve"> </w:t>
      </w:r>
      <w:r w:rsidR="00F60402" w:rsidRPr="00FD211F">
        <w:rPr>
          <w:sz w:val="36"/>
          <w:szCs w:val="36"/>
          <w:rtl/>
        </w:rPr>
        <w:t>فلو</w:t>
      </w:r>
      <w:r w:rsidR="00E8128F">
        <w:rPr>
          <w:sz w:val="36"/>
          <w:szCs w:val="36"/>
          <w:rtl/>
        </w:rPr>
        <w:t xml:space="preserve"> </w:t>
      </w:r>
      <w:r w:rsidR="00F60402" w:rsidRPr="00FD211F">
        <w:rPr>
          <w:sz w:val="36"/>
          <w:szCs w:val="36"/>
          <w:rtl/>
        </w:rPr>
        <w:t>قال</w:t>
      </w:r>
      <w:r w:rsidR="00E8128F">
        <w:rPr>
          <w:sz w:val="36"/>
          <w:szCs w:val="36"/>
          <w:rtl/>
        </w:rPr>
        <w:t xml:space="preserve"> </w:t>
      </w:r>
      <w:r w:rsidR="00F60402" w:rsidRPr="00FD211F">
        <w:rPr>
          <w:sz w:val="36"/>
          <w:szCs w:val="36"/>
          <w:rtl/>
        </w:rPr>
        <w:t>شخص</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لي</w:t>
      </w:r>
      <w:r w:rsidR="00E8128F">
        <w:rPr>
          <w:sz w:val="36"/>
          <w:szCs w:val="36"/>
          <w:rtl/>
        </w:rPr>
        <w:t xml:space="preserve"> </w:t>
      </w:r>
      <w:r w:rsidRPr="00FD211F">
        <w:rPr>
          <w:sz w:val="36"/>
          <w:szCs w:val="36"/>
          <w:rtl/>
        </w:rPr>
        <w:t>طريقا</w:t>
      </w:r>
      <w:r w:rsidR="00E8128F">
        <w:rPr>
          <w:sz w:val="36"/>
          <w:szCs w:val="36"/>
          <w:rtl/>
        </w:rPr>
        <w:t xml:space="preserve"> </w:t>
      </w:r>
      <w:r w:rsidRPr="00FD211F">
        <w:rPr>
          <w:sz w:val="36"/>
          <w:szCs w:val="36"/>
          <w:rtl/>
        </w:rPr>
        <w:t>صحيحا</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كلمات</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الانصاري</w:t>
      </w:r>
      <w:r w:rsidR="00E8128F">
        <w:rPr>
          <w:sz w:val="36"/>
          <w:szCs w:val="36"/>
          <w:rtl/>
        </w:rPr>
        <w:t xml:space="preserve"> </w:t>
      </w:r>
      <w:r w:rsidRPr="00FD211F">
        <w:rPr>
          <w:sz w:val="36"/>
          <w:szCs w:val="36"/>
          <w:rtl/>
        </w:rPr>
        <w:t>فلايعني</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يدعي</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كلام</w:t>
      </w:r>
      <w:r w:rsidR="00E8128F">
        <w:rPr>
          <w:sz w:val="36"/>
          <w:szCs w:val="36"/>
          <w:rtl/>
        </w:rPr>
        <w:t xml:space="preserve"> </w:t>
      </w:r>
      <w:r w:rsidRPr="00FD211F">
        <w:rPr>
          <w:sz w:val="36"/>
          <w:szCs w:val="36"/>
          <w:rtl/>
        </w:rPr>
        <w:t>نسب</w:t>
      </w:r>
      <w:r w:rsidR="00E8128F">
        <w:rPr>
          <w:sz w:val="36"/>
          <w:szCs w:val="36"/>
          <w:rtl/>
        </w:rPr>
        <w:t xml:space="preserve"> </w:t>
      </w:r>
      <w:r w:rsidRPr="00FD211F">
        <w:rPr>
          <w:sz w:val="36"/>
          <w:szCs w:val="36"/>
          <w:rtl/>
        </w:rPr>
        <w:t>اليه</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قبل</w:t>
      </w:r>
      <w:r w:rsidR="00E8128F">
        <w:rPr>
          <w:sz w:val="36"/>
          <w:szCs w:val="36"/>
          <w:rtl/>
        </w:rPr>
        <w:t xml:space="preserve"> </w:t>
      </w:r>
      <w:r w:rsidRPr="00FD211F">
        <w:rPr>
          <w:sz w:val="36"/>
          <w:szCs w:val="36"/>
          <w:rtl/>
        </w:rPr>
        <w:t>اشخاص</w:t>
      </w:r>
      <w:r w:rsidR="00E8128F">
        <w:rPr>
          <w:sz w:val="36"/>
          <w:szCs w:val="36"/>
          <w:rtl/>
        </w:rPr>
        <w:t xml:space="preserve"> </w:t>
      </w:r>
      <w:r w:rsidRPr="00FD211F">
        <w:rPr>
          <w:sz w:val="36"/>
          <w:szCs w:val="36"/>
          <w:rtl/>
        </w:rPr>
        <w:t>ضعاف.</w:t>
      </w:r>
    </w:p>
    <w:p w14:paraId="5273E3EC" w14:textId="77777777" w:rsidR="00045715" w:rsidRPr="00FD211F" w:rsidRDefault="00045715" w:rsidP="009C58C8">
      <w:pPr>
        <w:pStyle w:val="a4"/>
        <w:ind w:left="0" w:firstLine="227"/>
        <w:jc w:val="both"/>
        <w:rPr>
          <w:sz w:val="36"/>
          <w:szCs w:val="36"/>
          <w:rtl/>
        </w:rPr>
      </w:pPr>
      <w:r w:rsidRPr="00FD211F">
        <w:rPr>
          <w:sz w:val="36"/>
          <w:szCs w:val="36"/>
          <w:rtl/>
        </w:rPr>
        <w:t>فالمتيقن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قوله</w:t>
      </w:r>
      <w:r w:rsidR="00E8128F">
        <w:rPr>
          <w:sz w:val="36"/>
          <w:szCs w:val="36"/>
          <w:rtl/>
        </w:rPr>
        <w:t xml:space="preserve"> </w:t>
      </w:r>
      <w:r w:rsidRPr="00FD211F">
        <w:rPr>
          <w:sz w:val="36"/>
          <w:szCs w:val="36"/>
          <w:rtl/>
        </w:rPr>
        <w:t>اخبرنا</w:t>
      </w:r>
      <w:r w:rsidR="00E8128F">
        <w:rPr>
          <w:sz w:val="36"/>
          <w:szCs w:val="36"/>
          <w:rtl/>
        </w:rPr>
        <w:t xml:space="preserve"> </w:t>
      </w:r>
      <w:r w:rsidRPr="00FD211F">
        <w:rPr>
          <w:sz w:val="36"/>
          <w:szCs w:val="36"/>
          <w:rtl/>
        </w:rPr>
        <w:t>بجميع</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حريز</w:t>
      </w:r>
      <w:r w:rsidR="00E8128F">
        <w:rPr>
          <w:sz w:val="36"/>
          <w:szCs w:val="36"/>
          <w:rtl/>
        </w:rPr>
        <w:t xml:space="preserve"> </w:t>
      </w:r>
      <w:r w:rsidRPr="00FD211F">
        <w:rPr>
          <w:sz w:val="36"/>
          <w:szCs w:val="36"/>
          <w:rtl/>
        </w:rPr>
        <w:t>ورواياته</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يراه</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رواي</w:t>
      </w:r>
      <w:r w:rsidR="00EC7EDF" w:rsidRPr="00FD211F">
        <w:rPr>
          <w:sz w:val="36"/>
          <w:szCs w:val="36"/>
          <w:rtl/>
        </w:rPr>
        <w:t>ة</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ينسبه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كتبه</w:t>
      </w:r>
      <w:r w:rsidR="00E8128F">
        <w:rPr>
          <w:sz w:val="36"/>
          <w:szCs w:val="36"/>
          <w:rtl/>
        </w:rPr>
        <w:t xml:space="preserve"> </w:t>
      </w:r>
      <w:r w:rsidRPr="00FD211F">
        <w:rPr>
          <w:sz w:val="36"/>
          <w:szCs w:val="36"/>
          <w:rtl/>
        </w:rPr>
        <w:t>اليه</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بدأ</w:t>
      </w:r>
      <w:r w:rsidR="00E8128F">
        <w:rPr>
          <w:sz w:val="36"/>
          <w:szCs w:val="36"/>
          <w:rtl/>
        </w:rPr>
        <w:t xml:space="preserve"> </w:t>
      </w:r>
      <w:r w:rsidRPr="00FD211F">
        <w:rPr>
          <w:sz w:val="36"/>
          <w:szCs w:val="36"/>
          <w:rtl/>
        </w:rPr>
        <w:t>السند</w:t>
      </w:r>
      <w:r w:rsidR="00E8128F">
        <w:rPr>
          <w:sz w:val="36"/>
          <w:szCs w:val="36"/>
          <w:rtl/>
        </w:rPr>
        <w:t xml:space="preserve"> </w:t>
      </w:r>
      <w:r w:rsidRPr="00FD211F">
        <w:rPr>
          <w:sz w:val="36"/>
          <w:szCs w:val="36"/>
          <w:rtl/>
        </w:rPr>
        <w:t>به</w:t>
      </w:r>
      <w:r w:rsidRPr="00FD211F">
        <w:rPr>
          <w:sz w:val="36"/>
          <w:szCs w:val="36"/>
          <w:rtl/>
        </w:rPr>
        <w:annotationRef/>
      </w:r>
      <w:r w:rsidR="00603323" w:rsidRPr="00FD211F">
        <w:rPr>
          <w:sz w:val="36"/>
          <w:szCs w:val="36"/>
          <w:rtl/>
        </w:rPr>
        <w:t>،</w:t>
      </w:r>
      <w:r w:rsidR="00E8128F">
        <w:rPr>
          <w:sz w:val="36"/>
          <w:szCs w:val="36"/>
          <w:rtl/>
        </w:rPr>
        <w:t xml:space="preserve"> </w:t>
      </w:r>
      <w:r w:rsidRPr="00FD211F">
        <w:rPr>
          <w:sz w:val="36"/>
          <w:szCs w:val="36"/>
          <w:rtl/>
        </w:rPr>
        <w:t>وأما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روى</w:t>
      </w:r>
      <w:r w:rsidR="00E8128F">
        <w:rPr>
          <w:sz w:val="36"/>
          <w:szCs w:val="36"/>
          <w:rtl/>
        </w:rPr>
        <w:t xml:space="preserve"> </w:t>
      </w:r>
      <w:r w:rsidRPr="00FD211F">
        <w:rPr>
          <w:sz w:val="36"/>
          <w:szCs w:val="36"/>
          <w:rtl/>
        </w:rPr>
        <w:t>بسند</w:t>
      </w:r>
      <w:r w:rsidR="00E8128F">
        <w:rPr>
          <w:sz w:val="36"/>
          <w:szCs w:val="36"/>
          <w:rtl/>
        </w:rPr>
        <w:t xml:space="preserve"> </w:t>
      </w:r>
      <w:r w:rsidRPr="00FD211F">
        <w:rPr>
          <w:sz w:val="36"/>
          <w:szCs w:val="36"/>
          <w:rtl/>
        </w:rPr>
        <w:t>ضعيف</w:t>
      </w:r>
      <w:r w:rsidR="00E8128F">
        <w:rPr>
          <w:sz w:val="36"/>
          <w:szCs w:val="36"/>
          <w:rtl/>
        </w:rPr>
        <w:t xml:space="preserve"> </w:t>
      </w:r>
      <w:r w:rsidRPr="00FD211F">
        <w:rPr>
          <w:sz w:val="36"/>
          <w:szCs w:val="36"/>
          <w:rtl/>
        </w:rPr>
        <w:t>حديثا</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الشبه</w:t>
      </w:r>
      <w:r w:rsidR="00EC7EDF" w:rsidRPr="00FD211F">
        <w:rPr>
          <w:sz w:val="36"/>
          <w:szCs w:val="36"/>
          <w:rtl/>
        </w:rPr>
        <w:t>ة</w:t>
      </w:r>
      <w:r w:rsidR="00E8128F">
        <w:rPr>
          <w:sz w:val="36"/>
          <w:szCs w:val="36"/>
          <w:rtl/>
        </w:rPr>
        <w:t xml:space="preserve"> </w:t>
      </w:r>
      <w:r w:rsidRPr="00FD211F">
        <w:rPr>
          <w:sz w:val="36"/>
          <w:szCs w:val="36"/>
          <w:rtl/>
        </w:rPr>
        <w:t>المصداقي</w:t>
      </w:r>
      <w:r w:rsidR="00EC7EDF" w:rsidRPr="00FD211F">
        <w:rPr>
          <w:sz w:val="36"/>
          <w:szCs w:val="36"/>
          <w:rtl/>
        </w:rPr>
        <w:t>ة</w:t>
      </w:r>
      <w:r w:rsidR="00E8128F">
        <w:rPr>
          <w:sz w:val="36"/>
          <w:szCs w:val="36"/>
          <w:rtl/>
        </w:rPr>
        <w:t xml:space="preserve"> </w:t>
      </w:r>
      <w:r w:rsidRPr="00FD211F">
        <w:rPr>
          <w:sz w:val="36"/>
          <w:szCs w:val="36"/>
          <w:rtl/>
        </w:rPr>
        <w:t>لما</w:t>
      </w:r>
      <w:r w:rsidR="00E8128F">
        <w:rPr>
          <w:sz w:val="36"/>
          <w:szCs w:val="36"/>
          <w:rtl/>
        </w:rPr>
        <w:t xml:space="preserve"> </w:t>
      </w:r>
      <w:r w:rsidRPr="00FD211F">
        <w:rPr>
          <w:sz w:val="36"/>
          <w:szCs w:val="36"/>
          <w:rtl/>
        </w:rPr>
        <w:t>يراه</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بنفسه</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رواياته</w:t>
      </w:r>
      <w:r w:rsidR="00603323" w:rsidRPr="00FD211F">
        <w:rPr>
          <w:sz w:val="36"/>
          <w:szCs w:val="36"/>
          <w:rtl/>
        </w:rPr>
        <w:t>،</w:t>
      </w:r>
      <w:r w:rsidR="00E8128F">
        <w:rPr>
          <w:sz w:val="36"/>
          <w:szCs w:val="36"/>
          <w:rtl/>
        </w:rPr>
        <w:t xml:space="preserve"> </w:t>
      </w:r>
      <w:r w:rsidRPr="00FD211F">
        <w:rPr>
          <w:sz w:val="36"/>
          <w:szCs w:val="36"/>
          <w:rtl/>
        </w:rPr>
        <w:t>فلايمكن</w:t>
      </w:r>
      <w:r w:rsidR="00E8128F">
        <w:rPr>
          <w:sz w:val="36"/>
          <w:szCs w:val="36"/>
          <w:rtl/>
        </w:rPr>
        <w:t xml:space="preserve"> </w:t>
      </w:r>
      <w:r w:rsidRPr="00FD211F">
        <w:rPr>
          <w:sz w:val="36"/>
          <w:szCs w:val="36"/>
          <w:rtl/>
        </w:rPr>
        <w:t>تطبيق</w:t>
      </w:r>
      <w:r w:rsidR="00E8128F">
        <w:rPr>
          <w:sz w:val="36"/>
          <w:szCs w:val="36"/>
          <w:rtl/>
        </w:rPr>
        <w:t xml:space="preserve"> </w:t>
      </w:r>
      <w:r w:rsidRPr="00FD211F">
        <w:rPr>
          <w:sz w:val="36"/>
          <w:szCs w:val="36"/>
          <w:rtl/>
        </w:rPr>
        <w:t>تعويض</w:t>
      </w:r>
      <w:r w:rsidR="00E8128F">
        <w:rPr>
          <w:sz w:val="36"/>
          <w:szCs w:val="36"/>
          <w:rtl/>
        </w:rPr>
        <w:t xml:space="preserve"> </w:t>
      </w:r>
      <w:r w:rsidRPr="00FD211F">
        <w:rPr>
          <w:sz w:val="36"/>
          <w:szCs w:val="36"/>
          <w:rtl/>
        </w:rPr>
        <w:t>السند</w:t>
      </w:r>
      <w:r w:rsidR="00E8128F">
        <w:rPr>
          <w:sz w:val="36"/>
          <w:szCs w:val="36"/>
          <w:rtl/>
        </w:rPr>
        <w:t xml:space="preserve"> </w:t>
      </w:r>
      <w:r w:rsidRPr="00FD211F">
        <w:rPr>
          <w:sz w:val="36"/>
          <w:szCs w:val="36"/>
          <w:rtl/>
        </w:rPr>
        <w:t>عليه</w:t>
      </w:r>
      <w:r w:rsidR="00603323" w:rsidRPr="00FD211F">
        <w:rPr>
          <w:sz w:val="36"/>
          <w:szCs w:val="36"/>
          <w:rtl/>
        </w:rPr>
        <w:t>،</w:t>
      </w:r>
      <w:r w:rsidR="00E8128F">
        <w:rPr>
          <w:sz w:val="36"/>
          <w:szCs w:val="36"/>
          <w:rtl/>
        </w:rPr>
        <w:t xml:space="preserve"> </w:t>
      </w:r>
      <w:r w:rsidRPr="00FD211F">
        <w:rPr>
          <w:sz w:val="36"/>
          <w:szCs w:val="36"/>
          <w:rtl/>
        </w:rPr>
        <w:t>نعم</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الطريق</w:t>
      </w:r>
      <w:r w:rsidR="00E8128F">
        <w:rPr>
          <w:sz w:val="36"/>
          <w:szCs w:val="36"/>
          <w:rtl/>
        </w:rPr>
        <w:t xml:space="preserve"> </w:t>
      </w:r>
      <w:r w:rsidRPr="00FD211F">
        <w:rPr>
          <w:sz w:val="36"/>
          <w:szCs w:val="36"/>
          <w:rtl/>
        </w:rPr>
        <w:t>الضعيف</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يذكره</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التهذيب</w:t>
      </w:r>
      <w:r w:rsidR="00E8128F">
        <w:rPr>
          <w:sz w:val="36"/>
          <w:szCs w:val="36"/>
          <w:rtl/>
        </w:rPr>
        <w:t xml:space="preserve"> </w:t>
      </w:r>
      <w:r w:rsidRPr="00FD211F">
        <w:rPr>
          <w:sz w:val="36"/>
          <w:szCs w:val="36"/>
          <w:rtl/>
        </w:rPr>
        <w:t>والاستبصار</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إحدى</w:t>
      </w:r>
      <w:r w:rsidR="00E8128F">
        <w:rPr>
          <w:sz w:val="36"/>
          <w:szCs w:val="36"/>
          <w:rtl/>
        </w:rPr>
        <w:t xml:space="preserve"> </w:t>
      </w:r>
      <w:r w:rsidRPr="00FD211F">
        <w:rPr>
          <w:sz w:val="36"/>
          <w:szCs w:val="36"/>
          <w:rtl/>
        </w:rPr>
        <w:t>روايات</w:t>
      </w:r>
      <w:r w:rsidR="00E8128F">
        <w:rPr>
          <w:sz w:val="36"/>
          <w:szCs w:val="36"/>
          <w:rtl/>
        </w:rPr>
        <w:t xml:space="preserve"> </w:t>
      </w:r>
      <w:r w:rsidRPr="00FD211F">
        <w:rPr>
          <w:sz w:val="36"/>
          <w:szCs w:val="36"/>
          <w:rtl/>
        </w:rPr>
        <w:t>حريز</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احد</w:t>
      </w:r>
      <w:r w:rsidR="00E8128F">
        <w:rPr>
          <w:sz w:val="36"/>
          <w:szCs w:val="36"/>
          <w:rtl/>
        </w:rPr>
        <w:t xml:space="preserve"> </w:t>
      </w:r>
      <w:r w:rsidRPr="00FD211F">
        <w:rPr>
          <w:sz w:val="36"/>
          <w:szCs w:val="36"/>
          <w:rtl/>
        </w:rPr>
        <w:t>الطرق</w:t>
      </w:r>
      <w:r w:rsidR="00E8128F">
        <w:rPr>
          <w:sz w:val="36"/>
          <w:szCs w:val="36"/>
          <w:rtl/>
        </w:rPr>
        <w:t xml:space="preserve"> </w:t>
      </w:r>
      <w:r w:rsidRPr="00FD211F">
        <w:rPr>
          <w:sz w:val="36"/>
          <w:szCs w:val="36"/>
          <w:rtl/>
        </w:rPr>
        <w:t>المذكور</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الفهرست</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ضمن</w:t>
      </w:r>
      <w:r w:rsidR="00E8128F">
        <w:rPr>
          <w:sz w:val="36"/>
          <w:szCs w:val="36"/>
          <w:rtl/>
        </w:rPr>
        <w:t xml:space="preserve"> </w:t>
      </w:r>
      <w:r w:rsidRPr="00FD211F">
        <w:rPr>
          <w:sz w:val="36"/>
          <w:szCs w:val="36"/>
          <w:rtl/>
        </w:rPr>
        <w:t>قوله:</w:t>
      </w:r>
      <w:r w:rsidR="00E8128F">
        <w:rPr>
          <w:sz w:val="36"/>
          <w:szCs w:val="36"/>
          <w:rtl/>
        </w:rPr>
        <w:t xml:space="preserve"> </w:t>
      </w:r>
      <w:r w:rsidRPr="00FD211F">
        <w:rPr>
          <w:sz w:val="36"/>
          <w:szCs w:val="36"/>
          <w:rtl/>
        </w:rPr>
        <w:t>اخبرنا</w:t>
      </w:r>
      <w:r w:rsidR="00E8128F">
        <w:rPr>
          <w:sz w:val="36"/>
          <w:szCs w:val="36"/>
          <w:rtl/>
        </w:rPr>
        <w:t xml:space="preserve"> </w:t>
      </w:r>
      <w:r w:rsidRPr="00FD211F">
        <w:rPr>
          <w:sz w:val="36"/>
          <w:szCs w:val="36"/>
          <w:rtl/>
        </w:rPr>
        <w:t>بجميع</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وروايات</w:t>
      </w:r>
      <w:r w:rsidR="00E8128F">
        <w:rPr>
          <w:sz w:val="36"/>
          <w:szCs w:val="36"/>
          <w:rtl/>
        </w:rPr>
        <w:t xml:space="preserve"> </w:t>
      </w:r>
      <w:r w:rsidRPr="00FD211F">
        <w:rPr>
          <w:sz w:val="36"/>
          <w:szCs w:val="36"/>
          <w:rtl/>
        </w:rPr>
        <w:t>حريز</w:t>
      </w:r>
      <w:r w:rsidR="00EC7EDF" w:rsidRPr="00FD211F">
        <w:rPr>
          <w:sz w:val="36"/>
          <w:szCs w:val="36"/>
          <w:rtl/>
        </w:rPr>
        <w:t>.</w:t>
      </w:r>
      <w:r w:rsidRPr="00FD211F">
        <w:rPr>
          <w:sz w:val="36"/>
          <w:szCs w:val="36"/>
          <w:rtl/>
        </w:rPr>
        <w:t>..</w:t>
      </w:r>
      <w:r w:rsidR="00603323" w:rsidRPr="00FD211F">
        <w:rPr>
          <w:sz w:val="36"/>
          <w:szCs w:val="36"/>
          <w:rtl/>
        </w:rPr>
        <w:t>،</w:t>
      </w:r>
      <w:r w:rsidR="00E8128F">
        <w:rPr>
          <w:sz w:val="36"/>
          <w:szCs w:val="36"/>
          <w:rtl/>
        </w:rPr>
        <w:t xml:space="preserve"> </w:t>
      </w:r>
      <w:r w:rsidRPr="00FD211F">
        <w:rPr>
          <w:sz w:val="36"/>
          <w:szCs w:val="36"/>
          <w:rtl/>
        </w:rPr>
        <w:t>فيمكن</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تعويض</w:t>
      </w:r>
      <w:r w:rsidR="00E8128F">
        <w:rPr>
          <w:sz w:val="36"/>
          <w:szCs w:val="36"/>
          <w:rtl/>
        </w:rPr>
        <w:t xml:space="preserve"> </w:t>
      </w:r>
      <w:r w:rsidRPr="00FD211F">
        <w:rPr>
          <w:sz w:val="36"/>
          <w:szCs w:val="36"/>
          <w:rtl/>
        </w:rPr>
        <w:t>السند</w:t>
      </w:r>
      <w:r w:rsidR="00E8128F">
        <w:rPr>
          <w:sz w:val="36"/>
          <w:szCs w:val="36"/>
          <w:rtl/>
        </w:rPr>
        <w:t xml:space="preserve"> </w:t>
      </w:r>
      <w:r w:rsidRPr="00FD211F">
        <w:rPr>
          <w:sz w:val="36"/>
          <w:szCs w:val="36"/>
          <w:rtl/>
        </w:rPr>
        <w:t>ايضا</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ظاهر</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عد</w:t>
      </w:r>
      <w:r w:rsidR="00EC7EDF" w:rsidRPr="00FD211F">
        <w:rPr>
          <w:sz w:val="36"/>
          <w:szCs w:val="36"/>
          <w:rtl/>
        </w:rPr>
        <w:t>ة</w:t>
      </w:r>
      <w:r w:rsidR="00E8128F">
        <w:rPr>
          <w:sz w:val="36"/>
          <w:szCs w:val="36"/>
          <w:rtl/>
        </w:rPr>
        <w:t xml:space="preserve"> </w:t>
      </w:r>
      <w:r w:rsidRPr="00FD211F">
        <w:rPr>
          <w:sz w:val="36"/>
          <w:szCs w:val="36"/>
          <w:rtl/>
        </w:rPr>
        <w:t>طرق</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كتبه</w:t>
      </w:r>
      <w:r w:rsidR="00E8128F">
        <w:rPr>
          <w:sz w:val="36"/>
          <w:szCs w:val="36"/>
          <w:rtl/>
        </w:rPr>
        <w:t xml:space="preserve"> </w:t>
      </w:r>
      <w:r w:rsidRPr="00FD211F">
        <w:rPr>
          <w:sz w:val="36"/>
          <w:szCs w:val="36"/>
          <w:rtl/>
        </w:rPr>
        <w:t>ورواياته</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يرويه</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باحد</w:t>
      </w:r>
      <w:r w:rsidR="00E8128F">
        <w:rPr>
          <w:sz w:val="36"/>
          <w:szCs w:val="36"/>
          <w:rtl/>
        </w:rPr>
        <w:t xml:space="preserve"> </w:t>
      </w:r>
      <w:r w:rsidRPr="00FD211F">
        <w:rPr>
          <w:sz w:val="36"/>
          <w:szCs w:val="36"/>
          <w:rtl/>
        </w:rPr>
        <w:t>تلك</w:t>
      </w:r>
      <w:r w:rsidR="00E8128F">
        <w:rPr>
          <w:sz w:val="36"/>
          <w:szCs w:val="36"/>
          <w:rtl/>
        </w:rPr>
        <w:t xml:space="preserve"> </w:t>
      </w:r>
      <w:r w:rsidRPr="00FD211F">
        <w:rPr>
          <w:sz w:val="36"/>
          <w:szCs w:val="36"/>
          <w:rtl/>
        </w:rPr>
        <w:t>الطرق</w:t>
      </w:r>
      <w:r w:rsidR="00E8128F">
        <w:rPr>
          <w:sz w:val="36"/>
          <w:szCs w:val="36"/>
          <w:rtl/>
        </w:rPr>
        <w:t xml:space="preserve"> </w:t>
      </w:r>
      <w:r w:rsidRPr="00FD211F">
        <w:rPr>
          <w:sz w:val="36"/>
          <w:szCs w:val="36"/>
          <w:rtl/>
        </w:rPr>
        <w:t>فهو</w:t>
      </w:r>
      <w:r w:rsidR="00E8128F">
        <w:rPr>
          <w:sz w:val="36"/>
          <w:szCs w:val="36"/>
          <w:rtl/>
        </w:rPr>
        <w:t xml:space="preserve"> </w:t>
      </w:r>
      <w:r w:rsidRPr="00FD211F">
        <w:rPr>
          <w:sz w:val="36"/>
          <w:szCs w:val="36"/>
          <w:rtl/>
        </w:rPr>
        <w:t>يرويه</w:t>
      </w:r>
      <w:r w:rsidR="00E8128F">
        <w:rPr>
          <w:sz w:val="36"/>
          <w:szCs w:val="36"/>
          <w:rtl/>
        </w:rPr>
        <w:t xml:space="preserve"> </w:t>
      </w:r>
      <w:r w:rsidRPr="00FD211F">
        <w:rPr>
          <w:sz w:val="36"/>
          <w:szCs w:val="36"/>
          <w:rtl/>
        </w:rPr>
        <w:t>بالطرق</w:t>
      </w:r>
      <w:r w:rsidR="00E8128F">
        <w:rPr>
          <w:sz w:val="36"/>
          <w:szCs w:val="36"/>
          <w:rtl/>
        </w:rPr>
        <w:t xml:space="preserve"> </w:t>
      </w:r>
      <w:r w:rsidRPr="00FD211F">
        <w:rPr>
          <w:sz w:val="36"/>
          <w:szCs w:val="36"/>
          <w:rtl/>
        </w:rPr>
        <w:t>الأخرى</w:t>
      </w:r>
      <w:r w:rsidR="00E8128F">
        <w:rPr>
          <w:sz w:val="36"/>
          <w:szCs w:val="36"/>
          <w:rtl/>
        </w:rPr>
        <w:t xml:space="preserve"> </w:t>
      </w:r>
      <w:r w:rsidRPr="00FD211F">
        <w:rPr>
          <w:sz w:val="36"/>
          <w:szCs w:val="36"/>
          <w:rtl/>
        </w:rPr>
        <w:t>أيضا.</w:t>
      </w:r>
    </w:p>
    <w:p w14:paraId="42FBAAE7" w14:textId="77777777" w:rsidR="00045715" w:rsidRPr="00FD211F" w:rsidRDefault="00045715" w:rsidP="009C58C8">
      <w:pPr>
        <w:pStyle w:val="a4"/>
        <w:ind w:left="0" w:firstLine="227"/>
        <w:jc w:val="both"/>
        <w:rPr>
          <w:sz w:val="36"/>
          <w:szCs w:val="36"/>
          <w:rtl/>
        </w:rPr>
      </w:pPr>
      <w:r w:rsidRPr="00FD211F">
        <w:rPr>
          <w:sz w:val="36"/>
          <w:szCs w:val="36"/>
          <w:rtl/>
        </w:rPr>
        <w:t>ان</w:t>
      </w:r>
      <w:r w:rsidR="00E8128F">
        <w:rPr>
          <w:sz w:val="36"/>
          <w:szCs w:val="36"/>
          <w:rtl/>
        </w:rPr>
        <w:t xml:space="preserve"> </w:t>
      </w:r>
      <w:r w:rsidRPr="00FD211F">
        <w:rPr>
          <w:sz w:val="36"/>
          <w:szCs w:val="36"/>
          <w:rtl/>
        </w:rPr>
        <w:t>قلت:</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حمل</w:t>
      </w:r>
      <w:r w:rsidR="00E8128F">
        <w:rPr>
          <w:sz w:val="36"/>
          <w:szCs w:val="36"/>
          <w:rtl/>
        </w:rPr>
        <w:t xml:space="preserve"> </w:t>
      </w:r>
      <w:r w:rsidRPr="00FD211F">
        <w:rPr>
          <w:sz w:val="36"/>
          <w:szCs w:val="36"/>
          <w:rtl/>
        </w:rPr>
        <w:t>قوله</w:t>
      </w:r>
      <w:r w:rsidR="00E8128F">
        <w:rPr>
          <w:sz w:val="36"/>
          <w:szCs w:val="36"/>
          <w:rtl/>
        </w:rPr>
        <w:t xml:space="preserve"> </w:t>
      </w:r>
      <w:r w:rsidRPr="00FD211F">
        <w:rPr>
          <w:sz w:val="36"/>
          <w:szCs w:val="36"/>
          <w:rtl/>
        </w:rPr>
        <w:t>اخبرنا</w:t>
      </w:r>
      <w:r w:rsidR="00E8128F">
        <w:rPr>
          <w:sz w:val="36"/>
          <w:szCs w:val="36"/>
          <w:rtl/>
        </w:rPr>
        <w:t xml:space="preserve"> </w:t>
      </w:r>
      <w:r w:rsidRPr="00FD211F">
        <w:rPr>
          <w:sz w:val="36"/>
          <w:szCs w:val="36"/>
          <w:rtl/>
        </w:rPr>
        <w:t>بجميع</w:t>
      </w:r>
      <w:r w:rsidR="00E8128F">
        <w:rPr>
          <w:sz w:val="36"/>
          <w:szCs w:val="36"/>
          <w:rtl/>
        </w:rPr>
        <w:t xml:space="preserve"> </w:t>
      </w:r>
      <w:r w:rsidRPr="00FD211F">
        <w:rPr>
          <w:sz w:val="36"/>
          <w:szCs w:val="36"/>
          <w:rtl/>
        </w:rPr>
        <w:t>كتبه</w:t>
      </w:r>
      <w:r w:rsidR="00E8128F">
        <w:rPr>
          <w:sz w:val="36"/>
          <w:szCs w:val="36"/>
          <w:rtl/>
        </w:rPr>
        <w:t xml:space="preserve"> </w:t>
      </w:r>
      <w:r w:rsidRPr="00FD211F">
        <w:rPr>
          <w:sz w:val="36"/>
          <w:szCs w:val="36"/>
          <w:rtl/>
        </w:rPr>
        <w:t>ورواياته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خصوص</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رواي</w:t>
      </w:r>
      <w:r w:rsidR="00EC7EDF" w:rsidRPr="00FD211F">
        <w:rPr>
          <w:sz w:val="36"/>
          <w:szCs w:val="36"/>
          <w:rtl/>
        </w:rPr>
        <w:t>ة</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نظر</w:t>
      </w:r>
      <w:r w:rsidR="00E8128F">
        <w:rPr>
          <w:sz w:val="36"/>
          <w:szCs w:val="36"/>
          <w:rtl/>
        </w:rPr>
        <w:t xml:space="preserve"> </w:t>
      </w:r>
      <w:r w:rsidRPr="00FD211F">
        <w:rPr>
          <w:sz w:val="36"/>
          <w:szCs w:val="36"/>
          <w:rtl/>
        </w:rPr>
        <w:t>الشيخ</w:t>
      </w:r>
      <w:r w:rsidR="00603323" w:rsidRPr="00FD211F">
        <w:rPr>
          <w:sz w:val="36"/>
          <w:szCs w:val="36"/>
          <w:rtl/>
        </w:rPr>
        <w:t>،</w:t>
      </w:r>
      <w:r w:rsidR="00E8128F">
        <w:rPr>
          <w:sz w:val="36"/>
          <w:szCs w:val="36"/>
          <w:rtl/>
        </w:rPr>
        <w:t xml:space="preserve"> </w:t>
      </w:r>
      <w:r w:rsidRPr="00FD211F">
        <w:rPr>
          <w:sz w:val="36"/>
          <w:szCs w:val="36"/>
          <w:rtl/>
        </w:rPr>
        <w:t>تقييد</w:t>
      </w:r>
      <w:r w:rsidR="00E8128F">
        <w:rPr>
          <w:sz w:val="36"/>
          <w:szCs w:val="36"/>
          <w:rtl/>
        </w:rPr>
        <w:t xml:space="preserve"> </w:t>
      </w:r>
      <w:r w:rsidRPr="00FD211F">
        <w:rPr>
          <w:sz w:val="36"/>
          <w:szCs w:val="36"/>
          <w:rtl/>
        </w:rPr>
        <w:t>لهذا</w:t>
      </w:r>
      <w:r w:rsidR="00E8128F">
        <w:rPr>
          <w:sz w:val="36"/>
          <w:szCs w:val="36"/>
          <w:rtl/>
        </w:rPr>
        <w:t xml:space="preserve"> </w:t>
      </w:r>
      <w:r w:rsidRPr="00FD211F">
        <w:rPr>
          <w:sz w:val="36"/>
          <w:szCs w:val="36"/>
          <w:rtl/>
        </w:rPr>
        <w:t>الاطلاق</w:t>
      </w:r>
      <w:r w:rsidR="00E8128F">
        <w:rPr>
          <w:sz w:val="36"/>
          <w:szCs w:val="36"/>
          <w:rtl/>
        </w:rPr>
        <w:t xml:space="preserve"> </w:t>
      </w:r>
      <w:r w:rsidRPr="00FD211F">
        <w:rPr>
          <w:sz w:val="36"/>
          <w:szCs w:val="36"/>
          <w:rtl/>
        </w:rPr>
        <w:t>بلامقيد</w:t>
      </w:r>
      <w:r w:rsidR="00603323" w:rsidRPr="00FD211F">
        <w:rPr>
          <w:sz w:val="36"/>
          <w:szCs w:val="36"/>
          <w:rtl/>
        </w:rPr>
        <w:t>،</w:t>
      </w:r>
      <w:r w:rsidR="00E8128F">
        <w:rPr>
          <w:sz w:val="36"/>
          <w:szCs w:val="36"/>
          <w:rtl/>
        </w:rPr>
        <w:t xml:space="preserve"> </w:t>
      </w:r>
      <w:r w:rsidRPr="00FD211F">
        <w:rPr>
          <w:sz w:val="36"/>
          <w:szCs w:val="36"/>
          <w:rtl/>
        </w:rPr>
        <w:t>نعم</w:t>
      </w:r>
      <w:r w:rsidR="00E8128F">
        <w:rPr>
          <w:sz w:val="36"/>
          <w:szCs w:val="36"/>
          <w:rtl/>
        </w:rPr>
        <w:t xml:space="preserve"> </w:t>
      </w:r>
      <w:r w:rsidRPr="00FD211F">
        <w:rPr>
          <w:sz w:val="36"/>
          <w:szCs w:val="36"/>
          <w:rtl/>
        </w:rPr>
        <w:t>غاي</w:t>
      </w:r>
      <w:r w:rsidR="00EC7EDF" w:rsidRPr="00FD211F">
        <w:rPr>
          <w:sz w:val="36"/>
          <w:szCs w:val="36"/>
          <w:rtl/>
        </w:rPr>
        <w:t>ة</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تقتضيه</w:t>
      </w:r>
      <w:r w:rsidR="00E8128F">
        <w:rPr>
          <w:sz w:val="36"/>
          <w:szCs w:val="36"/>
          <w:rtl/>
        </w:rPr>
        <w:t xml:space="preserve"> </w:t>
      </w:r>
      <w:r w:rsidRPr="00FD211F">
        <w:rPr>
          <w:sz w:val="36"/>
          <w:szCs w:val="36"/>
          <w:rtl/>
        </w:rPr>
        <w:t>القرين</w:t>
      </w:r>
      <w:r w:rsidR="00EC7EDF" w:rsidRPr="00FD211F">
        <w:rPr>
          <w:sz w:val="36"/>
          <w:szCs w:val="36"/>
          <w:rtl/>
        </w:rPr>
        <w:t>ة</w:t>
      </w:r>
      <w:r w:rsidR="00E8128F">
        <w:rPr>
          <w:sz w:val="36"/>
          <w:szCs w:val="36"/>
          <w:rtl/>
        </w:rPr>
        <w:t xml:space="preserve"> </w:t>
      </w:r>
      <w:r w:rsidRPr="00FD211F">
        <w:rPr>
          <w:sz w:val="36"/>
          <w:szCs w:val="36"/>
          <w:rtl/>
        </w:rPr>
        <w:t>الحالي</w:t>
      </w:r>
      <w:r w:rsidR="00EC7EDF" w:rsidRPr="00FD211F">
        <w:rPr>
          <w:sz w:val="36"/>
          <w:szCs w:val="36"/>
          <w:rtl/>
        </w:rPr>
        <w:t>ة</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تقييده</w:t>
      </w:r>
      <w:r w:rsidR="00E8128F">
        <w:rPr>
          <w:sz w:val="36"/>
          <w:szCs w:val="36"/>
          <w:rtl/>
        </w:rPr>
        <w:t xml:space="preserve"> </w:t>
      </w:r>
      <w:r w:rsidRPr="00FD211F">
        <w:rPr>
          <w:sz w:val="36"/>
          <w:szCs w:val="36"/>
          <w:rtl/>
        </w:rPr>
        <w:t>بالروايات</w:t>
      </w:r>
      <w:r w:rsidR="00E8128F">
        <w:rPr>
          <w:sz w:val="36"/>
          <w:szCs w:val="36"/>
          <w:rtl/>
        </w:rPr>
        <w:t xml:space="preserve"> </w:t>
      </w:r>
      <w:r w:rsidRPr="00FD211F">
        <w:rPr>
          <w:sz w:val="36"/>
          <w:szCs w:val="36"/>
          <w:rtl/>
        </w:rPr>
        <w:t>الواصل</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الشيخ</w:t>
      </w:r>
      <w:r w:rsidR="00603323" w:rsidRPr="00FD211F">
        <w:rPr>
          <w:sz w:val="36"/>
          <w:szCs w:val="36"/>
          <w:rtl/>
        </w:rPr>
        <w:t>،</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الروايات</w:t>
      </w:r>
      <w:r w:rsidR="00E8128F">
        <w:rPr>
          <w:sz w:val="36"/>
          <w:szCs w:val="36"/>
          <w:rtl/>
        </w:rPr>
        <w:t xml:space="preserve"> </w:t>
      </w:r>
      <w:r w:rsidRPr="00FD211F">
        <w:rPr>
          <w:sz w:val="36"/>
          <w:szCs w:val="36"/>
          <w:rtl/>
        </w:rPr>
        <w:t>المنسوب</w:t>
      </w:r>
      <w:r w:rsidR="00EC7EDF" w:rsidRPr="00FD211F">
        <w:rPr>
          <w:sz w:val="36"/>
          <w:szCs w:val="36"/>
          <w:rtl/>
        </w:rPr>
        <w:t>ة</w:t>
      </w:r>
      <w:r w:rsidR="00E8128F">
        <w:rPr>
          <w:sz w:val="36"/>
          <w:szCs w:val="36"/>
          <w:rtl/>
        </w:rPr>
        <w:t xml:space="preserve"> </w:t>
      </w:r>
      <w:r w:rsidRPr="00FD211F">
        <w:rPr>
          <w:sz w:val="36"/>
          <w:szCs w:val="36"/>
          <w:rtl/>
        </w:rPr>
        <w:t>اليه</w:t>
      </w:r>
      <w:r w:rsidR="00E8128F">
        <w:rPr>
          <w:sz w:val="36"/>
          <w:szCs w:val="36"/>
          <w:rtl/>
        </w:rPr>
        <w:t xml:space="preserve"> </w:t>
      </w:r>
      <w:r w:rsidRPr="00FD211F">
        <w:rPr>
          <w:sz w:val="36"/>
          <w:szCs w:val="36"/>
          <w:rtl/>
        </w:rPr>
        <w:t>مما</w:t>
      </w:r>
      <w:r w:rsidR="00E8128F">
        <w:rPr>
          <w:sz w:val="36"/>
          <w:szCs w:val="36"/>
          <w:rtl/>
        </w:rPr>
        <w:t xml:space="preserve"> </w:t>
      </w:r>
      <w:r w:rsidR="008D7B3D" w:rsidRPr="00FD211F">
        <w:rPr>
          <w:sz w:val="36"/>
          <w:szCs w:val="36"/>
          <w:rtl/>
        </w:rPr>
        <w:t>لم‌</w:t>
      </w:r>
      <w:r w:rsidRPr="00FD211F">
        <w:rPr>
          <w:sz w:val="36"/>
          <w:szCs w:val="36"/>
          <w:rtl/>
        </w:rPr>
        <w:t>تصل</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الشيخ</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مر</w:t>
      </w:r>
      <w:r w:rsidR="00E8128F">
        <w:rPr>
          <w:sz w:val="36"/>
          <w:szCs w:val="36"/>
          <w:rtl/>
        </w:rPr>
        <w:t xml:space="preserve"> </w:t>
      </w:r>
      <w:r w:rsidRPr="00FD211F">
        <w:rPr>
          <w:sz w:val="36"/>
          <w:szCs w:val="36"/>
          <w:rtl/>
        </w:rPr>
        <w:t>أنه</w:t>
      </w:r>
      <w:r w:rsidR="00E8128F">
        <w:rPr>
          <w:sz w:val="36"/>
          <w:szCs w:val="36"/>
          <w:rtl/>
        </w:rPr>
        <w:t xml:space="preserve"> </w:t>
      </w:r>
      <w:r w:rsidRPr="00FD211F">
        <w:rPr>
          <w:sz w:val="36"/>
          <w:szCs w:val="36"/>
          <w:rtl/>
        </w:rPr>
        <w:t>لايمكن</w:t>
      </w:r>
      <w:r w:rsidR="00E8128F">
        <w:rPr>
          <w:sz w:val="36"/>
          <w:szCs w:val="36"/>
          <w:rtl/>
        </w:rPr>
        <w:t xml:space="preserve"> </w:t>
      </w:r>
      <w:r w:rsidRPr="00FD211F">
        <w:rPr>
          <w:sz w:val="36"/>
          <w:szCs w:val="36"/>
          <w:rtl/>
        </w:rPr>
        <w:t>للشيخ</w:t>
      </w:r>
      <w:r w:rsidR="00E8128F">
        <w:rPr>
          <w:sz w:val="36"/>
          <w:szCs w:val="36"/>
          <w:rtl/>
        </w:rPr>
        <w:t xml:space="preserve"> </w:t>
      </w:r>
      <w:r w:rsidRPr="00FD211F">
        <w:rPr>
          <w:sz w:val="36"/>
          <w:szCs w:val="36"/>
          <w:rtl/>
        </w:rPr>
        <w:t>عاد</w:t>
      </w:r>
      <w:r w:rsidR="00EC7EDF" w:rsidRPr="00FD211F">
        <w:rPr>
          <w:sz w:val="36"/>
          <w:szCs w:val="36"/>
          <w:rtl/>
        </w:rPr>
        <w:t>ة</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يحيط</w:t>
      </w:r>
      <w:r w:rsidR="00E8128F">
        <w:rPr>
          <w:sz w:val="36"/>
          <w:szCs w:val="36"/>
          <w:rtl/>
        </w:rPr>
        <w:t xml:space="preserve"> </w:t>
      </w:r>
      <w:r w:rsidRPr="00FD211F">
        <w:rPr>
          <w:sz w:val="36"/>
          <w:szCs w:val="36"/>
          <w:rtl/>
        </w:rPr>
        <w:t>بجميع</w:t>
      </w:r>
      <w:r w:rsidR="00E8128F">
        <w:rPr>
          <w:sz w:val="36"/>
          <w:szCs w:val="36"/>
          <w:rtl/>
        </w:rPr>
        <w:t xml:space="preserve"> </w:t>
      </w:r>
      <w:r w:rsidRPr="00FD211F">
        <w:rPr>
          <w:sz w:val="36"/>
          <w:szCs w:val="36"/>
          <w:rtl/>
        </w:rPr>
        <w:t>الروايات</w:t>
      </w:r>
      <w:r w:rsidR="00E8128F">
        <w:rPr>
          <w:sz w:val="36"/>
          <w:szCs w:val="36"/>
          <w:rtl/>
        </w:rPr>
        <w:t xml:space="preserve"> </w:t>
      </w:r>
      <w:r w:rsidRPr="00FD211F">
        <w:rPr>
          <w:sz w:val="36"/>
          <w:szCs w:val="36"/>
          <w:rtl/>
        </w:rPr>
        <w:t>المنسوب</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الشخص.</w:t>
      </w:r>
    </w:p>
    <w:p w14:paraId="4BD83569" w14:textId="77777777" w:rsidR="00045715" w:rsidRPr="00FD211F" w:rsidRDefault="00045715" w:rsidP="009C58C8">
      <w:pPr>
        <w:pStyle w:val="a4"/>
        <w:ind w:left="0" w:firstLine="227"/>
        <w:jc w:val="both"/>
        <w:rPr>
          <w:sz w:val="36"/>
          <w:szCs w:val="36"/>
          <w:rtl/>
        </w:rPr>
      </w:pPr>
      <w:r w:rsidRPr="00FD211F">
        <w:rPr>
          <w:sz w:val="36"/>
          <w:szCs w:val="36"/>
          <w:rtl/>
        </w:rPr>
        <w:t>قلت:</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مر</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المتيقن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اضاف</w:t>
      </w:r>
      <w:r w:rsidR="00EC7EDF" w:rsidRPr="00FD211F">
        <w:rPr>
          <w:sz w:val="36"/>
          <w:szCs w:val="36"/>
          <w:rtl/>
        </w:rPr>
        <w:t>ة</w:t>
      </w:r>
      <w:r w:rsidR="00E8128F">
        <w:rPr>
          <w:sz w:val="36"/>
          <w:szCs w:val="36"/>
          <w:rtl/>
        </w:rPr>
        <w:t xml:space="preserve"> </w:t>
      </w:r>
      <w:r w:rsidRPr="00FD211F">
        <w:rPr>
          <w:sz w:val="36"/>
          <w:szCs w:val="36"/>
          <w:rtl/>
        </w:rPr>
        <w:t>الروايات</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شخص</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رواياته</w:t>
      </w:r>
      <w:r w:rsidR="00E8128F">
        <w:rPr>
          <w:sz w:val="36"/>
          <w:szCs w:val="36"/>
          <w:rtl/>
        </w:rPr>
        <w:t xml:space="preserve"> </w:t>
      </w:r>
      <w:r w:rsidRPr="00FD211F">
        <w:rPr>
          <w:sz w:val="36"/>
          <w:szCs w:val="36"/>
          <w:rtl/>
        </w:rPr>
        <w:t>واقعا</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باعتقاد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صدر</w:t>
      </w:r>
      <w:r w:rsidR="00E8128F">
        <w:rPr>
          <w:sz w:val="36"/>
          <w:szCs w:val="36"/>
          <w:rtl/>
        </w:rPr>
        <w:t xml:space="preserve"> </w:t>
      </w:r>
      <w:r w:rsidRPr="00FD211F">
        <w:rPr>
          <w:sz w:val="36"/>
          <w:szCs w:val="36"/>
          <w:rtl/>
        </w:rPr>
        <w:t>منه</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الكلام.</w:t>
      </w:r>
    </w:p>
    <w:p w14:paraId="4085E0A6" w14:textId="77777777" w:rsidR="00045715" w:rsidRPr="00FD211F" w:rsidRDefault="00045715" w:rsidP="009C58C8">
      <w:pPr>
        <w:pStyle w:val="a4"/>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وقد</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الصدر</w:t>
      </w:r>
      <w:r w:rsidR="00AB1B12" w:rsidRPr="00FD211F">
        <w:rPr>
          <w:sz w:val="36"/>
          <w:szCs w:val="36"/>
          <w:rtl/>
        </w:rPr>
        <w:t>"</w:t>
      </w:r>
      <w:r w:rsidRPr="00FD211F">
        <w:rPr>
          <w:sz w:val="36"/>
          <w:szCs w:val="36"/>
          <w:rtl/>
        </w:rPr>
        <w:t>قده</w:t>
      </w:r>
      <w:r w:rsidR="00AB1B12" w:rsidRPr="00FD211F">
        <w:rPr>
          <w:sz w:val="36"/>
          <w:szCs w:val="36"/>
          <w:rtl/>
        </w:rPr>
        <w:t>"</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حكي</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دورته</w:t>
      </w:r>
      <w:r w:rsidR="00E8128F">
        <w:rPr>
          <w:sz w:val="36"/>
          <w:szCs w:val="36"/>
          <w:rtl/>
        </w:rPr>
        <w:t xml:space="preserve"> </w:t>
      </w:r>
      <w:r w:rsidRPr="00FD211F">
        <w:rPr>
          <w:sz w:val="36"/>
          <w:szCs w:val="36"/>
          <w:rtl/>
        </w:rPr>
        <w:t>الأولى</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الاصول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احتمال</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المراد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قول</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الفهرست:</w:t>
      </w:r>
      <w:r w:rsidR="00E8128F">
        <w:rPr>
          <w:sz w:val="36"/>
          <w:szCs w:val="36"/>
          <w:rtl/>
        </w:rPr>
        <w:t xml:space="preserve"> </w:t>
      </w:r>
      <w:r w:rsidRPr="00FD211F">
        <w:rPr>
          <w:sz w:val="36"/>
          <w:szCs w:val="36"/>
          <w:rtl/>
        </w:rPr>
        <w:t>"اخبرنا</w:t>
      </w:r>
      <w:r w:rsidR="00E8128F">
        <w:rPr>
          <w:sz w:val="36"/>
          <w:szCs w:val="36"/>
          <w:rtl/>
        </w:rPr>
        <w:t xml:space="preserve"> </w:t>
      </w:r>
      <w:r w:rsidRPr="00FD211F">
        <w:rPr>
          <w:sz w:val="36"/>
          <w:szCs w:val="36"/>
          <w:rtl/>
        </w:rPr>
        <w:t>بجميع</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حريز</w:t>
      </w:r>
      <w:r w:rsidR="00E8128F">
        <w:rPr>
          <w:sz w:val="36"/>
          <w:szCs w:val="36"/>
          <w:rtl/>
        </w:rPr>
        <w:t xml:space="preserve"> </w:t>
      </w:r>
      <w:r w:rsidRPr="00FD211F">
        <w:rPr>
          <w:sz w:val="36"/>
          <w:szCs w:val="36"/>
          <w:rtl/>
        </w:rPr>
        <w:t>ورواياته"</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يراه</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رواي</w:t>
      </w:r>
      <w:r w:rsidR="00EC7EDF" w:rsidRPr="00FD211F">
        <w:rPr>
          <w:sz w:val="36"/>
          <w:szCs w:val="36"/>
          <w:rtl/>
        </w:rPr>
        <w:t>ة</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خلاف</w:t>
      </w:r>
      <w:r w:rsidR="00E8128F">
        <w:rPr>
          <w:sz w:val="36"/>
          <w:szCs w:val="36"/>
          <w:rtl/>
        </w:rPr>
        <w:t xml:space="preserve"> </w:t>
      </w:r>
      <w:r w:rsidRPr="00FD211F">
        <w:rPr>
          <w:sz w:val="36"/>
          <w:szCs w:val="36"/>
          <w:rtl/>
        </w:rPr>
        <w:t>الظاهر</w:t>
      </w:r>
      <w:r w:rsidR="00603323" w:rsidRPr="00FD211F">
        <w:rPr>
          <w:sz w:val="36"/>
          <w:szCs w:val="36"/>
          <w:rtl/>
        </w:rPr>
        <w:t>،</w:t>
      </w:r>
      <w:r w:rsidR="00E8128F">
        <w:rPr>
          <w:sz w:val="36"/>
          <w:szCs w:val="36"/>
          <w:rtl/>
        </w:rPr>
        <w:t xml:space="preserve"> </w:t>
      </w:r>
      <w:r w:rsidRPr="00FD211F">
        <w:rPr>
          <w:sz w:val="36"/>
          <w:szCs w:val="36"/>
          <w:rtl/>
        </w:rPr>
        <w:t>لان</w:t>
      </w:r>
      <w:r w:rsidR="00E8128F">
        <w:rPr>
          <w:sz w:val="36"/>
          <w:szCs w:val="36"/>
          <w:rtl/>
        </w:rPr>
        <w:t xml:space="preserve"> </w:t>
      </w:r>
      <w:r w:rsidRPr="00FD211F">
        <w:rPr>
          <w:sz w:val="36"/>
          <w:szCs w:val="36"/>
          <w:rtl/>
        </w:rPr>
        <w:t>الظاهر</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انما</w:t>
      </w:r>
      <w:r w:rsidR="00E8128F">
        <w:rPr>
          <w:sz w:val="36"/>
          <w:szCs w:val="36"/>
          <w:rtl/>
        </w:rPr>
        <w:t xml:space="preserve"> </w:t>
      </w:r>
      <w:r w:rsidRPr="00FD211F">
        <w:rPr>
          <w:sz w:val="36"/>
          <w:szCs w:val="36"/>
          <w:rtl/>
        </w:rPr>
        <w:t>يقول</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الكلام</w:t>
      </w:r>
      <w:r w:rsidR="00E8128F">
        <w:rPr>
          <w:sz w:val="36"/>
          <w:szCs w:val="36"/>
          <w:rtl/>
        </w:rPr>
        <w:t xml:space="preserve"> </w:t>
      </w:r>
      <w:r w:rsidRPr="00FD211F">
        <w:rPr>
          <w:sz w:val="36"/>
          <w:szCs w:val="36"/>
          <w:rtl/>
        </w:rPr>
        <w:t>بما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اهل</w:t>
      </w:r>
      <w:r w:rsidR="00E8128F">
        <w:rPr>
          <w:sz w:val="36"/>
          <w:szCs w:val="36"/>
          <w:rtl/>
        </w:rPr>
        <w:t xml:space="preserve"> </w:t>
      </w:r>
      <w:r w:rsidRPr="00FD211F">
        <w:rPr>
          <w:sz w:val="36"/>
          <w:szCs w:val="36"/>
          <w:rtl/>
        </w:rPr>
        <w:t>الرواي</w:t>
      </w:r>
      <w:r w:rsidR="00EC7EDF" w:rsidRPr="00FD211F">
        <w:rPr>
          <w:sz w:val="36"/>
          <w:szCs w:val="36"/>
          <w:rtl/>
        </w:rPr>
        <w:t>ة</w:t>
      </w:r>
      <w:r w:rsidR="00E8128F">
        <w:rPr>
          <w:sz w:val="36"/>
          <w:szCs w:val="36"/>
          <w:rtl/>
        </w:rPr>
        <w:t xml:space="preserve"> </w:t>
      </w:r>
      <w:r w:rsidRPr="00FD211F">
        <w:rPr>
          <w:sz w:val="36"/>
          <w:szCs w:val="36"/>
          <w:rtl/>
        </w:rPr>
        <w:t>والحديث</w:t>
      </w:r>
      <w:r w:rsidR="00603323" w:rsidRPr="00FD211F">
        <w:rPr>
          <w:sz w:val="36"/>
          <w:szCs w:val="36"/>
          <w:rtl/>
        </w:rPr>
        <w:t>،</w:t>
      </w:r>
      <w:r w:rsidR="00E8128F">
        <w:rPr>
          <w:sz w:val="36"/>
          <w:szCs w:val="36"/>
          <w:rtl/>
        </w:rPr>
        <w:t xml:space="preserve"> </w:t>
      </w:r>
      <w:r w:rsidRPr="00FD211F">
        <w:rPr>
          <w:sz w:val="36"/>
          <w:szCs w:val="36"/>
          <w:rtl/>
        </w:rPr>
        <w:t>لابما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مجتهد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الاحاديث</w:t>
      </w:r>
      <w:r w:rsidR="00E8128F">
        <w:rPr>
          <w:sz w:val="36"/>
          <w:szCs w:val="36"/>
          <w:rtl/>
        </w:rPr>
        <w:t xml:space="preserve"> </w:t>
      </w:r>
      <w:r w:rsidRPr="00FD211F">
        <w:rPr>
          <w:sz w:val="36"/>
          <w:szCs w:val="36"/>
          <w:rtl/>
        </w:rPr>
        <w:t>يحكم</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حديث</w:t>
      </w:r>
      <w:r w:rsidR="00E8128F">
        <w:rPr>
          <w:sz w:val="36"/>
          <w:szCs w:val="36"/>
          <w:rtl/>
        </w:rPr>
        <w:t xml:space="preserve"> </w:t>
      </w:r>
      <w:r w:rsidRPr="00FD211F">
        <w:rPr>
          <w:sz w:val="36"/>
          <w:szCs w:val="36"/>
          <w:rtl/>
        </w:rPr>
        <w:t>حريز</w:t>
      </w:r>
      <w:r w:rsidR="00E8128F">
        <w:rPr>
          <w:sz w:val="36"/>
          <w:szCs w:val="36"/>
          <w:rtl/>
        </w:rPr>
        <w:t xml:space="preserve"> </w:t>
      </w:r>
      <w:r w:rsidRPr="00FD211F">
        <w:rPr>
          <w:sz w:val="36"/>
          <w:szCs w:val="36"/>
          <w:rtl/>
        </w:rPr>
        <w:t>واقعا</w:t>
      </w:r>
      <w:r w:rsidR="00E8128F">
        <w:rPr>
          <w:sz w:val="36"/>
          <w:szCs w:val="36"/>
          <w:rtl/>
        </w:rPr>
        <w:t xml:space="preserve"> </w:t>
      </w:r>
      <w:r w:rsidRPr="00FD211F">
        <w:rPr>
          <w:sz w:val="36"/>
          <w:szCs w:val="36"/>
          <w:rtl/>
        </w:rPr>
        <w:t>ام</w:t>
      </w:r>
      <w:r w:rsidR="00E8128F">
        <w:rPr>
          <w:sz w:val="36"/>
          <w:szCs w:val="36"/>
          <w:rtl/>
        </w:rPr>
        <w:t xml:space="preserve"> </w:t>
      </w:r>
      <w:r w:rsidRPr="00FD211F">
        <w:rPr>
          <w:sz w:val="36"/>
          <w:szCs w:val="36"/>
          <w:rtl/>
        </w:rPr>
        <w:t>لا</w:t>
      </w:r>
      <w:r w:rsidR="00603323" w:rsidRPr="00FD211F">
        <w:rPr>
          <w:sz w:val="36"/>
          <w:szCs w:val="36"/>
          <w:rtl/>
        </w:rPr>
        <w:t>،</w:t>
      </w:r>
      <w:r w:rsidR="00E8128F">
        <w:rPr>
          <w:sz w:val="36"/>
          <w:szCs w:val="36"/>
          <w:rtl/>
        </w:rPr>
        <w:t xml:space="preserve"> </w:t>
      </w:r>
      <w:r w:rsidRPr="00FD211F">
        <w:rPr>
          <w:sz w:val="36"/>
          <w:szCs w:val="36"/>
          <w:rtl/>
        </w:rPr>
        <w:t>وانما</w:t>
      </w:r>
      <w:r w:rsidR="00E8128F">
        <w:rPr>
          <w:sz w:val="36"/>
          <w:szCs w:val="36"/>
          <w:rtl/>
        </w:rPr>
        <w:t xml:space="preserve"> </w:t>
      </w:r>
      <w:r w:rsidRPr="00FD211F">
        <w:rPr>
          <w:sz w:val="36"/>
          <w:szCs w:val="36"/>
          <w:rtl/>
        </w:rPr>
        <w:t>قال</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الكلام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الفهرست</w:t>
      </w:r>
      <w:r w:rsidR="00E8128F">
        <w:rPr>
          <w:sz w:val="36"/>
          <w:szCs w:val="36"/>
          <w:rtl/>
        </w:rPr>
        <w:t xml:space="preserve"> </w:t>
      </w:r>
      <w:r w:rsidRPr="00FD211F">
        <w:rPr>
          <w:sz w:val="36"/>
          <w:szCs w:val="36"/>
          <w:rtl/>
        </w:rPr>
        <w:t>ليمكن</w:t>
      </w:r>
      <w:r w:rsidR="00E8128F">
        <w:rPr>
          <w:sz w:val="36"/>
          <w:szCs w:val="36"/>
          <w:rtl/>
        </w:rPr>
        <w:t xml:space="preserve"> </w:t>
      </w:r>
      <w:r w:rsidRPr="00FD211F">
        <w:rPr>
          <w:sz w:val="36"/>
          <w:szCs w:val="36"/>
          <w:rtl/>
        </w:rPr>
        <w:t>لنا</w:t>
      </w:r>
      <w:r w:rsidR="00E8128F">
        <w:rPr>
          <w:sz w:val="36"/>
          <w:szCs w:val="36"/>
          <w:rtl/>
        </w:rPr>
        <w:t xml:space="preserve"> </w:t>
      </w:r>
      <w:r w:rsidRPr="00FD211F">
        <w:rPr>
          <w:sz w:val="36"/>
          <w:szCs w:val="36"/>
          <w:rtl/>
        </w:rPr>
        <w:t>تصحيح</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حريز</w:t>
      </w:r>
      <w:r w:rsidR="00E8128F">
        <w:rPr>
          <w:sz w:val="36"/>
          <w:szCs w:val="36"/>
          <w:rtl/>
        </w:rPr>
        <w:t xml:space="preserve"> </w:t>
      </w:r>
      <w:r w:rsidRPr="00FD211F">
        <w:rPr>
          <w:sz w:val="36"/>
          <w:szCs w:val="36"/>
          <w:rtl/>
        </w:rPr>
        <w:t>ورواياته</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واخراجه</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الارسال</w:t>
      </w:r>
      <w:r w:rsidR="00603323" w:rsidRPr="00FD211F">
        <w:rPr>
          <w:sz w:val="36"/>
          <w:szCs w:val="36"/>
          <w:rtl/>
        </w:rPr>
        <w:t>،</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فرض</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مقصود</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خصوص</w:t>
      </w:r>
      <w:r w:rsidR="00E8128F">
        <w:rPr>
          <w:sz w:val="36"/>
          <w:szCs w:val="36"/>
          <w:rtl/>
        </w:rPr>
        <w:t xml:space="preserve"> </w:t>
      </w:r>
      <w:r w:rsidRPr="00FD211F">
        <w:rPr>
          <w:sz w:val="36"/>
          <w:szCs w:val="36"/>
          <w:rtl/>
        </w:rPr>
        <w:t>الكتب</w:t>
      </w:r>
      <w:r w:rsidR="00E8128F">
        <w:rPr>
          <w:sz w:val="36"/>
          <w:szCs w:val="36"/>
          <w:rtl/>
        </w:rPr>
        <w:t xml:space="preserve"> </w:t>
      </w:r>
      <w:r w:rsidRPr="00FD211F">
        <w:rPr>
          <w:sz w:val="36"/>
          <w:szCs w:val="36"/>
          <w:rtl/>
        </w:rPr>
        <w:t>والروايات</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يعتبرها</w:t>
      </w:r>
      <w:r w:rsidR="00E8128F">
        <w:rPr>
          <w:sz w:val="36"/>
          <w:szCs w:val="36"/>
          <w:rtl/>
        </w:rPr>
        <w:t xml:space="preserve"> </w:t>
      </w:r>
      <w:r w:rsidRPr="00FD211F">
        <w:rPr>
          <w:sz w:val="36"/>
          <w:szCs w:val="36"/>
          <w:rtl/>
        </w:rPr>
        <w:t>بنفسه</w:t>
      </w:r>
      <w:r w:rsidR="00E8128F">
        <w:rPr>
          <w:sz w:val="36"/>
          <w:szCs w:val="36"/>
          <w:rtl/>
        </w:rPr>
        <w:t xml:space="preserve"> </w:t>
      </w:r>
      <w:r w:rsidRPr="00FD211F">
        <w:rPr>
          <w:sz w:val="36"/>
          <w:szCs w:val="36"/>
          <w:rtl/>
        </w:rPr>
        <w:t>كتبا</w:t>
      </w:r>
      <w:r w:rsidR="00E8128F">
        <w:rPr>
          <w:sz w:val="36"/>
          <w:szCs w:val="36"/>
          <w:rtl/>
        </w:rPr>
        <w:t xml:space="preserve"> </w:t>
      </w:r>
      <w:r w:rsidRPr="00FD211F">
        <w:rPr>
          <w:sz w:val="36"/>
          <w:szCs w:val="36"/>
          <w:rtl/>
        </w:rPr>
        <w:t>وروايات</w:t>
      </w:r>
      <w:r w:rsidR="00E8128F">
        <w:rPr>
          <w:sz w:val="36"/>
          <w:szCs w:val="36"/>
          <w:rtl/>
        </w:rPr>
        <w:t xml:space="preserve"> </w:t>
      </w:r>
      <w:r w:rsidRPr="00FD211F">
        <w:rPr>
          <w:sz w:val="36"/>
          <w:szCs w:val="36"/>
          <w:rtl/>
        </w:rPr>
        <w:t>لحريز</w:t>
      </w:r>
      <w:r w:rsidR="00E8128F">
        <w:rPr>
          <w:sz w:val="36"/>
          <w:szCs w:val="36"/>
          <w:rtl/>
        </w:rPr>
        <w:t xml:space="preserve"> </w:t>
      </w:r>
      <w:r w:rsidR="008D7B3D" w:rsidRPr="00FD211F">
        <w:rPr>
          <w:sz w:val="36"/>
          <w:szCs w:val="36"/>
          <w:rtl/>
        </w:rPr>
        <w:t>لم‌</w:t>
      </w:r>
      <w:r w:rsidRPr="00FD211F">
        <w:rPr>
          <w:sz w:val="36"/>
          <w:szCs w:val="36"/>
          <w:rtl/>
        </w:rPr>
        <w:t>يفد</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الكلام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نفسه</w:t>
      </w:r>
      <w:r w:rsidR="00E8128F">
        <w:rPr>
          <w:sz w:val="36"/>
          <w:szCs w:val="36"/>
          <w:rtl/>
        </w:rPr>
        <w:t xml:space="preserve"> </w:t>
      </w:r>
      <w:r w:rsidRPr="00FD211F">
        <w:rPr>
          <w:sz w:val="36"/>
          <w:szCs w:val="36"/>
          <w:rtl/>
        </w:rPr>
        <w:t>شيئا</w:t>
      </w:r>
      <w:r w:rsidR="00603323" w:rsidRPr="00FD211F">
        <w:rPr>
          <w:sz w:val="36"/>
          <w:szCs w:val="36"/>
          <w:rtl/>
        </w:rPr>
        <w:t>،</w:t>
      </w:r>
      <w:r w:rsidR="00E8128F">
        <w:rPr>
          <w:sz w:val="36"/>
          <w:szCs w:val="36"/>
          <w:rtl/>
        </w:rPr>
        <w:t xml:space="preserve"> </w:t>
      </w:r>
      <w:r w:rsidRPr="00FD211F">
        <w:rPr>
          <w:sz w:val="36"/>
          <w:szCs w:val="36"/>
          <w:rtl/>
        </w:rPr>
        <w:t>اذ</w:t>
      </w:r>
      <w:r w:rsidR="00E8128F">
        <w:rPr>
          <w:sz w:val="36"/>
          <w:szCs w:val="36"/>
          <w:rtl/>
        </w:rPr>
        <w:t xml:space="preserve"> </w:t>
      </w:r>
      <w:r w:rsidRPr="00FD211F">
        <w:rPr>
          <w:sz w:val="36"/>
          <w:szCs w:val="36"/>
          <w:rtl/>
        </w:rPr>
        <w:t>لعل</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الخبر</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يرويه</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وجداني</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تعبدي</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له</w:t>
      </w:r>
      <w:r w:rsidR="00603323" w:rsidRPr="00FD211F">
        <w:rPr>
          <w:sz w:val="36"/>
          <w:szCs w:val="36"/>
          <w:rtl/>
        </w:rPr>
        <w:t>،</w:t>
      </w:r>
      <w:r w:rsidR="00E8128F">
        <w:rPr>
          <w:sz w:val="36"/>
          <w:szCs w:val="36"/>
          <w:rtl/>
        </w:rPr>
        <w:t xml:space="preserve"> </w:t>
      </w:r>
      <w:r w:rsidRPr="00FD211F">
        <w:rPr>
          <w:sz w:val="36"/>
          <w:szCs w:val="36"/>
          <w:rtl/>
        </w:rPr>
        <w:t>ولاينافي</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اياه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كتاب</w:t>
      </w:r>
      <w:r w:rsidR="00E8128F">
        <w:rPr>
          <w:sz w:val="36"/>
          <w:szCs w:val="36"/>
          <w:rtl/>
        </w:rPr>
        <w:t xml:space="preserve"> </w:t>
      </w:r>
      <w:r w:rsidRPr="00FD211F">
        <w:rPr>
          <w:sz w:val="36"/>
          <w:szCs w:val="36"/>
          <w:rtl/>
        </w:rPr>
        <w:t>التهذيب</w:t>
      </w:r>
      <w:r w:rsidR="00E8128F">
        <w:rPr>
          <w:sz w:val="36"/>
          <w:szCs w:val="36"/>
          <w:rtl/>
        </w:rPr>
        <w:t xml:space="preserve"> </w:t>
      </w:r>
      <w:r w:rsidRPr="00FD211F">
        <w:rPr>
          <w:sz w:val="36"/>
          <w:szCs w:val="36"/>
          <w:rtl/>
        </w:rPr>
        <w:t>والاستبصار</w:t>
      </w:r>
      <w:r w:rsidR="00E8128F">
        <w:rPr>
          <w:sz w:val="36"/>
          <w:szCs w:val="36"/>
          <w:rtl/>
        </w:rPr>
        <w:t xml:space="preserve"> </w:t>
      </w:r>
      <w:r w:rsidRPr="00FD211F">
        <w:rPr>
          <w:sz w:val="36"/>
          <w:szCs w:val="36"/>
          <w:rtl/>
        </w:rPr>
        <w:t>لانه</w:t>
      </w:r>
      <w:r w:rsidR="00E8128F">
        <w:rPr>
          <w:sz w:val="36"/>
          <w:szCs w:val="36"/>
          <w:rtl/>
        </w:rPr>
        <w:t xml:space="preserve"> </w:t>
      </w:r>
      <w:r w:rsidRPr="00FD211F">
        <w:rPr>
          <w:sz w:val="36"/>
          <w:szCs w:val="36"/>
          <w:rtl/>
        </w:rPr>
        <w:t>يكفي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ادراج</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الخبر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هذين</w:t>
      </w:r>
      <w:r w:rsidR="00E8128F">
        <w:rPr>
          <w:sz w:val="36"/>
          <w:szCs w:val="36"/>
          <w:rtl/>
        </w:rPr>
        <w:t xml:space="preserve"> </w:t>
      </w:r>
      <w:r w:rsidRPr="00FD211F">
        <w:rPr>
          <w:sz w:val="36"/>
          <w:szCs w:val="36"/>
          <w:rtl/>
        </w:rPr>
        <w:t>الكتابين</w:t>
      </w:r>
      <w:r w:rsidR="00E8128F">
        <w:rPr>
          <w:sz w:val="36"/>
          <w:szCs w:val="36"/>
          <w:rtl/>
        </w:rPr>
        <w:t xml:space="preserve"> </w:t>
      </w:r>
      <w:r w:rsidRPr="00FD211F">
        <w:rPr>
          <w:sz w:val="36"/>
          <w:szCs w:val="36"/>
          <w:rtl/>
        </w:rPr>
        <w:t>كونه</w:t>
      </w:r>
      <w:r w:rsidR="00E8128F">
        <w:rPr>
          <w:sz w:val="36"/>
          <w:szCs w:val="36"/>
          <w:rtl/>
        </w:rPr>
        <w:t xml:space="preserve"> </w:t>
      </w:r>
      <w:r w:rsidRPr="00FD211F">
        <w:rPr>
          <w:sz w:val="36"/>
          <w:szCs w:val="36"/>
          <w:rtl/>
        </w:rPr>
        <w:t>مرويا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حريز</w:t>
      </w:r>
      <w:r w:rsidR="00603323" w:rsidRPr="00FD211F">
        <w:rPr>
          <w:sz w:val="36"/>
          <w:szCs w:val="36"/>
          <w:rtl/>
        </w:rPr>
        <w:t>،</w:t>
      </w:r>
      <w:r w:rsidR="00E8128F">
        <w:rPr>
          <w:sz w:val="36"/>
          <w:szCs w:val="36"/>
          <w:rtl/>
        </w:rPr>
        <w:t xml:space="preserve"> </w:t>
      </w:r>
      <w:r w:rsidRPr="00FD211F">
        <w:rPr>
          <w:sz w:val="36"/>
          <w:szCs w:val="36"/>
          <w:rtl/>
        </w:rPr>
        <w:t>فالظاهر</w:t>
      </w:r>
      <w:r w:rsidR="00E8128F">
        <w:rPr>
          <w:sz w:val="36"/>
          <w:szCs w:val="36"/>
          <w:rtl/>
        </w:rPr>
        <w:t xml:space="preserve"> </w:t>
      </w:r>
      <w:r w:rsidRPr="00FD211F">
        <w:rPr>
          <w:sz w:val="36"/>
          <w:szCs w:val="36"/>
          <w:rtl/>
        </w:rPr>
        <w:t>عرفا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الكلام</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للشيخ</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الكتب</w:t>
      </w:r>
      <w:r w:rsidR="00E8128F">
        <w:rPr>
          <w:sz w:val="36"/>
          <w:szCs w:val="36"/>
          <w:rtl/>
        </w:rPr>
        <w:t xml:space="preserve"> </w:t>
      </w:r>
      <w:r w:rsidRPr="00FD211F">
        <w:rPr>
          <w:sz w:val="36"/>
          <w:szCs w:val="36"/>
          <w:rtl/>
        </w:rPr>
        <w:t>والروايات</w:t>
      </w:r>
      <w:r w:rsidR="00E8128F">
        <w:rPr>
          <w:sz w:val="36"/>
          <w:szCs w:val="36"/>
          <w:rtl/>
        </w:rPr>
        <w:t xml:space="preserve"> </w:t>
      </w:r>
      <w:r w:rsidRPr="00FD211F">
        <w:rPr>
          <w:sz w:val="36"/>
          <w:szCs w:val="36"/>
          <w:rtl/>
        </w:rPr>
        <w:t>المنسوب</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حريز</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وصلت</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الشيخ</w:t>
      </w:r>
      <w:r w:rsidR="009C58C8" w:rsidRPr="00FD211F">
        <w:rPr>
          <w:rStyle w:val="a6"/>
          <w:sz w:val="36"/>
          <w:szCs w:val="36"/>
          <w:rtl/>
        </w:rPr>
        <w:t>(</w:t>
      </w:r>
      <w:r w:rsidR="009C58C8" w:rsidRPr="00FD211F">
        <w:rPr>
          <w:rStyle w:val="a6"/>
          <w:sz w:val="36"/>
          <w:szCs w:val="36"/>
          <w:rtl/>
        </w:rPr>
        <w:footnoteReference w:id="511"/>
      </w:r>
      <w:r w:rsidR="009C58C8" w:rsidRPr="00FD211F">
        <w:rPr>
          <w:rStyle w:val="a6"/>
          <w:sz w:val="36"/>
          <w:szCs w:val="36"/>
          <w:rtl/>
        </w:rPr>
        <w:t>)</w:t>
      </w:r>
    </w:p>
    <w:p w14:paraId="6B082289" w14:textId="77777777" w:rsidR="00045715" w:rsidRPr="00FD211F" w:rsidRDefault="00045715" w:rsidP="009C58C8">
      <w:pPr>
        <w:pStyle w:val="a4"/>
        <w:ind w:left="0" w:firstLine="227"/>
        <w:jc w:val="both"/>
        <w:rPr>
          <w:sz w:val="36"/>
          <w:szCs w:val="36"/>
          <w:rtl/>
        </w:rPr>
      </w:pPr>
      <w:r w:rsidRPr="00FD211F">
        <w:rPr>
          <w:sz w:val="36"/>
          <w:szCs w:val="36"/>
          <w:rtl/>
        </w:rPr>
        <w:t>ويلاحظ</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تظهر</w:t>
      </w:r>
      <w:r w:rsidR="00E8128F">
        <w:rPr>
          <w:sz w:val="36"/>
          <w:szCs w:val="36"/>
          <w:rtl/>
        </w:rPr>
        <w:t xml:space="preserve"> </w:t>
      </w:r>
      <w:r w:rsidRPr="00FD211F">
        <w:rPr>
          <w:sz w:val="36"/>
          <w:szCs w:val="36"/>
          <w:rtl/>
        </w:rPr>
        <w:t>ثمر</w:t>
      </w:r>
      <w:r w:rsidR="00EC7EDF" w:rsidRPr="00FD211F">
        <w:rPr>
          <w:sz w:val="36"/>
          <w:szCs w:val="36"/>
          <w:rtl/>
        </w:rPr>
        <w:t>ة</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الطرق</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الفهرست</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روايات</w:t>
      </w:r>
      <w:r w:rsidR="00E8128F">
        <w:rPr>
          <w:sz w:val="36"/>
          <w:szCs w:val="36"/>
          <w:rtl/>
        </w:rPr>
        <w:t xml:space="preserve"> </w:t>
      </w:r>
      <w:r w:rsidRPr="00FD211F">
        <w:rPr>
          <w:sz w:val="36"/>
          <w:szCs w:val="36"/>
          <w:rtl/>
        </w:rPr>
        <w:t>حريز</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فيما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بدأ</w:t>
      </w:r>
      <w:r w:rsidR="00E8128F">
        <w:rPr>
          <w:sz w:val="36"/>
          <w:szCs w:val="36"/>
          <w:rtl/>
        </w:rPr>
        <w:t xml:space="preserve"> </w:t>
      </w:r>
      <w:r w:rsidRPr="00FD211F">
        <w:rPr>
          <w:sz w:val="36"/>
          <w:szCs w:val="36"/>
          <w:rtl/>
        </w:rPr>
        <w:t>السند</w:t>
      </w:r>
      <w:r w:rsidR="00E8128F">
        <w:rPr>
          <w:sz w:val="36"/>
          <w:szCs w:val="36"/>
          <w:rtl/>
        </w:rPr>
        <w:t xml:space="preserve"> </w:t>
      </w:r>
      <w:r w:rsidRPr="00FD211F">
        <w:rPr>
          <w:sz w:val="36"/>
          <w:szCs w:val="36"/>
          <w:rtl/>
        </w:rPr>
        <w:t>بحريز</w:t>
      </w:r>
      <w:r w:rsidRPr="00FD211F">
        <w:rPr>
          <w:sz w:val="36"/>
          <w:szCs w:val="36"/>
          <w:rtl/>
        </w:rPr>
        <w:annotationRef/>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الطريق</w:t>
      </w:r>
      <w:r w:rsidR="00E8128F">
        <w:rPr>
          <w:sz w:val="36"/>
          <w:szCs w:val="36"/>
          <w:rtl/>
        </w:rPr>
        <w:t xml:space="preserve"> </w:t>
      </w:r>
      <w:r w:rsidRPr="00FD211F">
        <w:rPr>
          <w:sz w:val="36"/>
          <w:szCs w:val="36"/>
          <w:rtl/>
        </w:rPr>
        <w:t>المذكور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التهذيب</w:t>
      </w:r>
      <w:r w:rsidR="00E8128F">
        <w:rPr>
          <w:sz w:val="36"/>
          <w:szCs w:val="36"/>
          <w:rtl/>
        </w:rPr>
        <w:t xml:space="preserve"> </w:t>
      </w:r>
      <w:r w:rsidRPr="00FD211F">
        <w:rPr>
          <w:sz w:val="36"/>
          <w:szCs w:val="36"/>
          <w:rtl/>
        </w:rPr>
        <w:t>والاستبصار</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روايته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احد</w:t>
      </w:r>
      <w:r w:rsidR="00E8128F">
        <w:rPr>
          <w:sz w:val="36"/>
          <w:szCs w:val="36"/>
          <w:rtl/>
        </w:rPr>
        <w:t xml:space="preserve"> </w:t>
      </w:r>
      <w:r w:rsidRPr="00FD211F">
        <w:rPr>
          <w:sz w:val="36"/>
          <w:szCs w:val="36"/>
          <w:rtl/>
        </w:rPr>
        <w:t>الطرق</w:t>
      </w:r>
      <w:r w:rsidR="00E8128F">
        <w:rPr>
          <w:sz w:val="36"/>
          <w:szCs w:val="36"/>
          <w:rtl/>
        </w:rPr>
        <w:t xml:space="preserve"> </w:t>
      </w:r>
      <w:r w:rsidRPr="00FD211F">
        <w:rPr>
          <w:sz w:val="36"/>
          <w:szCs w:val="36"/>
          <w:rtl/>
        </w:rPr>
        <w:t>المذكور</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الفهرست</w:t>
      </w:r>
      <w:r w:rsidR="00603323" w:rsidRPr="00FD211F">
        <w:rPr>
          <w:sz w:val="36"/>
          <w:szCs w:val="36"/>
          <w:rtl/>
        </w:rPr>
        <w:t>،</w:t>
      </w:r>
      <w:r w:rsidR="00E8128F">
        <w:rPr>
          <w:sz w:val="36"/>
          <w:szCs w:val="36"/>
          <w:rtl/>
        </w:rPr>
        <w:t xml:space="preserve"> </w:t>
      </w:r>
      <w:r w:rsidRPr="00FD211F">
        <w:rPr>
          <w:sz w:val="36"/>
          <w:szCs w:val="36"/>
          <w:rtl/>
        </w:rPr>
        <w:t>وبذلك</w:t>
      </w:r>
      <w:r w:rsidR="00E8128F">
        <w:rPr>
          <w:sz w:val="36"/>
          <w:szCs w:val="36"/>
          <w:rtl/>
        </w:rPr>
        <w:t xml:space="preserve"> </w:t>
      </w:r>
      <w:r w:rsidRPr="00FD211F">
        <w:rPr>
          <w:sz w:val="36"/>
          <w:szCs w:val="36"/>
          <w:rtl/>
        </w:rPr>
        <w:t>يخرج</w:t>
      </w:r>
      <w:r w:rsidR="00E8128F">
        <w:rPr>
          <w:sz w:val="36"/>
          <w:szCs w:val="36"/>
          <w:rtl/>
        </w:rPr>
        <w:t xml:space="preserve"> </w:t>
      </w:r>
      <w:r w:rsidRPr="00FD211F">
        <w:rPr>
          <w:sz w:val="36"/>
          <w:szCs w:val="36"/>
          <w:rtl/>
        </w:rPr>
        <w:t>الحديث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الارسال</w:t>
      </w:r>
      <w:r w:rsidR="00E8128F">
        <w:rPr>
          <w:sz w:val="36"/>
          <w:szCs w:val="36"/>
          <w:rtl/>
        </w:rPr>
        <w:t xml:space="preserve"> </w:t>
      </w:r>
      <w:r w:rsidRPr="00FD211F">
        <w:rPr>
          <w:sz w:val="36"/>
          <w:szCs w:val="36"/>
          <w:rtl/>
        </w:rPr>
        <w:t>والضعف</w:t>
      </w:r>
      <w:r w:rsidR="00603323" w:rsidRPr="00FD211F">
        <w:rPr>
          <w:sz w:val="36"/>
          <w:szCs w:val="36"/>
          <w:rtl/>
        </w:rPr>
        <w:t>،</w:t>
      </w:r>
      <w:r w:rsidR="00E8128F">
        <w:rPr>
          <w:sz w:val="36"/>
          <w:szCs w:val="36"/>
          <w:rtl/>
        </w:rPr>
        <w:t xml:space="preserve"> </w:t>
      </w:r>
      <w:r w:rsidRPr="00FD211F">
        <w:rPr>
          <w:sz w:val="36"/>
          <w:szCs w:val="36"/>
          <w:rtl/>
        </w:rPr>
        <w:t>وليس</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أيّ</w:t>
      </w:r>
      <w:r w:rsidR="00EC7EDF" w:rsidRPr="00FD211F">
        <w:rPr>
          <w:sz w:val="36"/>
          <w:szCs w:val="36"/>
          <w:rtl/>
        </w:rPr>
        <w:t>ة</w:t>
      </w:r>
      <w:r w:rsidR="00E8128F">
        <w:rPr>
          <w:sz w:val="36"/>
          <w:szCs w:val="36"/>
          <w:rtl/>
        </w:rPr>
        <w:t xml:space="preserve"> </w:t>
      </w:r>
      <w:r w:rsidRPr="00FD211F">
        <w:rPr>
          <w:sz w:val="36"/>
          <w:szCs w:val="36"/>
          <w:rtl/>
        </w:rPr>
        <w:t>منافا</w:t>
      </w:r>
      <w:r w:rsidR="00EC7EDF" w:rsidRPr="00FD211F">
        <w:rPr>
          <w:sz w:val="36"/>
          <w:szCs w:val="36"/>
          <w:rtl/>
        </w:rPr>
        <w:t>ة</w:t>
      </w:r>
      <w:r w:rsidR="00E8128F">
        <w:rPr>
          <w:sz w:val="36"/>
          <w:szCs w:val="36"/>
          <w:rtl/>
        </w:rPr>
        <w:t xml:space="preserve"> </w:t>
      </w:r>
      <w:r w:rsidRPr="00FD211F">
        <w:rPr>
          <w:sz w:val="36"/>
          <w:szCs w:val="36"/>
          <w:rtl/>
        </w:rPr>
        <w:t>لظاهر</w:t>
      </w:r>
      <w:r w:rsidR="00E8128F">
        <w:rPr>
          <w:sz w:val="36"/>
          <w:szCs w:val="36"/>
          <w:rtl/>
        </w:rPr>
        <w:t xml:space="preserve"> </w:t>
      </w:r>
      <w:r w:rsidRPr="00FD211F">
        <w:rPr>
          <w:sz w:val="36"/>
          <w:szCs w:val="36"/>
          <w:rtl/>
        </w:rPr>
        <w:t>حال</w:t>
      </w:r>
      <w:r w:rsidR="00E8128F">
        <w:rPr>
          <w:sz w:val="36"/>
          <w:szCs w:val="36"/>
          <w:rtl/>
        </w:rPr>
        <w:t xml:space="preserve"> </w:t>
      </w:r>
      <w:r w:rsidRPr="00FD211F">
        <w:rPr>
          <w:sz w:val="36"/>
          <w:szCs w:val="36"/>
          <w:rtl/>
        </w:rPr>
        <w:t>الشيخ.</w:t>
      </w:r>
    </w:p>
    <w:p w14:paraId="3221C0A1" w14:textId="77777777" w:rsidR="00045715" w:rsidRPr="00FD211F" w:rsidRDefault="00045715" w:rsidP="009C58C8">
      <w:pPr>
        <w:pStyle w:val="a4"/>
        <w:ind w:left="0" w:firstLine="227"/>
        <w:jc w:val="both"/>
        <w:rPr>
          <w:sz w:val="36"/>
          <w:szCs w:val="36"/>
          <w:rtl/>
        </w:rPr>
      </w:pPr>
      <w:r w:rsidRPr="00FD211F">
        <w:rPr>
          <w:sz w:val="36"/>
          <w:szCs w:val="36"/>
          <w:rtl/>
        </w:rPr>
        <w:t>ويؤيد</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ذكرناه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الطوسي</w:t>
      </w:r>
      <w:r w:rsidR="00E8128F">
        <w:rPr>
          <w:sz w:val="36"/>
          <w:szCs w:val="36"/>
          <w:rtl/>
        </w:rPr>
        <w:t xml:space="preserve"> </w:t>
      </w:r>
      <w:r w:rsidRPr="00FD211F">
        <w:rPr>
          <w:sz w:val="36"/>
          <w:szCs w:val="36"/>
          <w:rtl/>
        </w:rPr>
        <w:t>نفسه</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التهذيب</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روى</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ابي</w:t>
      </w:r>
      <w:r w:rsidR="00E8128F">
        <w:rPr>
          <w:sz w:val="36"/>
          <w:szCs w:val="36"/>
          <w:rtl/>
        </w:rPr>
        <w:t xml:space="preserve"> </w:t>
      </w:r>
      <w:r w:rsidRPr="00FD211F">
        <w:rPr>
          <w:sz w:val="36"/>
          <w:szCs w:val="36"/>
          <w:rtl/>
        </w:rPr>
        <w:t>سمين</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محمد</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زياد</w:t>
      </w:r>
      <w:r w:rsidR="00E8128F">
        <w:rPr>
          <w:sz w:val="36"/>
          <w:szCs w:val="36"/>
          <w:rtl/>
        </w:rPr>
        <w:t xml:space="preserve"> </w:t>
      </w:r>
      <w:r w:rsidRPr="00FD211F">
        <w:rPr>
          <w:sz w:val="36"/>
          <w:szCs w:val="36"/>
          <w:rtl/>
        </w:rPr>
        <w:t>البزاز</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هارون</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خارج</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ابي</w:t>
      </w:r>
      <w:r w:rsidR="00E8128F">
        <w:rPr>
          <w:sz w:val="36"/>
          <w:szCs w:val="36"/>
          <w:rtl/>
        </w:rPr>
        <w:t xml:space="preserve"> </w:t>
      </w:r>
      <w:r w:rsidRPr="00FD211F">
        <w:rPr>
          <w:sz w:val="36"/>
          <w:szCs w:val="36"/>
          <w:rtl/>
        </w:rPr>
        <w:t>بصير</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ابي</w:t>
      </w:r>
      <w:r w:rsidR="00E8128F">
        <w:rPr>
          <w:sz w:val="36"/>
          <w:szCs w:val="36"/>
          <w:rtl/>
        </w:rPr>
        <w:t xml:space="preserve"> </w:t>
      </w:r>
      <w:r w:rsidRPr="00FD211F">
        <w:rPr>
          <w:sz w:val="36"/>
          <w:szCs w:val="36"/>
          <w:rtl/>
        </w:rPr>
        <w:t>عبدالله</w:t>
      </w:r>
      <w:r w:rsidR="00E8128F">
        <w:rPr>
          <w:sz w:val="36"/>
          <w:szCs w:val="36"/>
          <w:rtl/>
        </w:rPr>
        <w:t xml:space="preserve"> </w:t>
      </w:r>
      <w:r w:rsidR="007A4A0D" w:rsidRPr="00FD211F">
        <w:rPr>
          <w:sz w:val="36"/>
          <w:szCs w:val="36"/>
          <w:rtl/>
        </w:rPr>
        <w:t>(عليه‌السلام)</w:t>
      </w:r>
      <w:r w:rsidR="00EC7EDF" w:rsidRPr="00FD211F">
        <w:rPr>
          <w:sz w:val="36"/>
          <w:szCs w:val="36"/>
          <w:rtl/>
        </w:rPr>
        <w:t>.</w:t>
      </w:r>
      <w:r w:rsidRPr="00FD211F">
        <w:rPr>
          <w:sz w:val="36"/>
          <w:szCs w:val="36"/>
          <w:rtl/>
        </w:rPr>
        <w:t>..:</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الخبر</w:t>
      </w:r>
      <w:r w:rsidR="00E8128F">
        <w:rPr>
          <w:sz w:val="36"/>
          <w:szCs w:val="36"/>
          <w:rtl/>
        </w:rPr>
        <w:t xml:space="preserve"> </w:t>
      </w:r>
      <w:r w:rsidRPr="00FD211F">
        <w:rPr>
          <w:sz w:val="36"/>
          <w:szCs w:val="36"/>
          <w:rtl/>
        </w:rPr>
        <w:t>ضعيف</w:t>
      </w:r>
      <w:r w:rsidR="00E8128F">
        <w:rPr>
          <w:sz w:val="36"/>
          <w:szCs w:val="36"/>
          <w:rtl/>
        </w:rPr>
        <w:t xml:space="preserve"> </w:t>
      </w:r>
      <w:r w:rsidRPr="00FD211F">
        <w:rPr>
          <w:sz w:val="36"/>
          <w:szCs w:val="36"/>
          <w:rtl/>
        </w:rPr>
        <w:t>الاسناد</w:t>
      </w:r>
      <w:r w:rsidR="009C58C8" w:rsidRPr="00FD211F">
        <w:rPr>
          <w:rStyle w:val="a6"/>
          <w:sz w:val="36"/>
          <w:szCs w:val="36"/>
          <w:rtl/>
        </w:rPr>
        <w:t>(</w:t>
      </w:r>
      <w:r w:rsidR="009C58C8" w:rsidRPr="00FD211F">
        <w:rPr>
          <w:rStyle w:val="a6"/>
          <w:sz w:val="36"/>
          <w:szCs w:val="36"/>
          <w:rtl/>
        </w:rPr>
        <w:footnoteReference w:id="512"/>
      </w:r>
      <w:r w:rsidR="009C58C8" w:rsidRPr="00FD211F">
        <w:rPr>
          <w:rStyle w:val="a6"/>
          <w:sz w:val="36"/>
          <w:szCs w:val="36"/>
          <w:rtl/>
        </w:rPr>
        <w:t>)</w:t>
      </w:r>
      <w:r w:rsidR="00E8128F">
        <w:rPr>
          <w:sz w:val="36"/>
          <w:szCs w:val="36"/>
          <w:rtl/>
        </w:rPr>
        <w:t xml:space="preserve"> </w:t>
      </w:r>
      <w:r w:rsidRPr="00FD211F">
        <w:rPr>
          <w:sz w:val="36"/>
          <w:szCs w:val="36"/>
          <w:rtl/>
        </w:rPr>
        <w:t>ومحمد</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زياد</w:t>
      </w:r>
      <w:r w:rsidR="00E8128F">
        <w:rPr>
          <w:sz w:val="36"/>
          <w:szCs w:val="36"/>
          <w:rtl/>
        </w:rPr>
        <w:t xml:space="preserve"> </w:t>
      </w:r>
      <w:r w:rsidRPr="00FD211F">
        <w:rPr>
          <w:sz w:val="36"/>
          <w:szCs w:val="36"/>
          <w:rtl/>
        </w:rPr>
        <w:t>البزاز</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محمد</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ابي</w:t>
      </w:r>
      <w:r w:rsidR="00E8128F">
        <w:rPr>
          <w:sz w:val="36"/>
          <w:szCs w:val="36"/>
          <w:rtl/>
        </w:rPr>
        <w:t xml:space="preserve"> </w:t>
      </w:r>
      <w:r w:rsidRPr="00FD211F">
        <w:rPr>
          <w:sz w:val="36"/>
          <w:szCs w:val="36"/>
          <w:rtl/>
        </w:rPr>
        <w:t>عمير</w:t>
      </w:r>
      <w:r w:rsidR="00E8128F">
        <w:rPr>
          <w:sz w:val="36"/>
          <w:szCs w:val="36"/>
          <w:rtl/>
        </w:rPr>
        <w:t xml:space="preserve"> </w:t>
      </w:r>
      <w:r w:rsidRPr="00FD211F">
        <w:rPr>
          <w:sz w:val="36"/>
          <w:szCs w:val="36"/>
          <w:rtl/>
        </w:rPr>
        <w:t>وقد</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الفهرست</w:t>
      </w:r>
      <w:r w:rsidR="00E8128F">
        <w:rPr>
          <w:sz w:val="36"/>
          <w:szCs w:val="36"/>
          <w:rtl/>
        </w:rPr>
        <w:t xml:space="preserve"> </w:t>
      </w:r>
      <w:r w:rsidRPr="00FD211F">
        <w:rPr>
          <w:sz w:val="36"/>
          <w:szCs w:val="36"/>
          <w:rtl/>
        </w:rPr>
        <w:t>طرقا</w:t>
      </w:r>
      <w:r w:rsidR="00E8128F">
        <w:rPr>
          <w:sz w:val="36"/>
          <w:szCs w:val="36"/>
          <w:rtl/>
        </w:rPr>
        <w:t xml:space="preserve"> </w:t>
      </w:r>
      <w:r w:rsidRPr="00FD211F">
        <w:rPr>
          <w:sz w:val="36"/>
          <w:szCs w:val="36"/>
          <w:rtl/>
        </w:rPr>
        <w:t>صحيح</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وروايات</w:t>
      </w:r>
      <w:r w:rsidR="00E8128F">
        <w:rPr>
          <w:sz w:val="36"/>
          <w:szCs w:val="36"/>
          <w:rtl/>
        </w:rPr>
        <w:t xml:space="preserve"> </w:t>
      </w:r>
      <w:r w:rsidRPr="00FD211F">
        <w:rPr>
          <w:sz w:val="36"/>
          <w:szCs w:val="36"/>
          <w:rtl/>
        </w:rPr>
        <w:t>ابن</w:t>
      </w:r>
      <w:r w:rsidR="00E8128F">
        <w:rPr>
          <w:sz w:val="36"/>
          <w:szCs w:val="36"/>
          <w:rtl/>
        </w:rPr>
        <w:t xml:space="preserve"> </w:t>
      </w:r>
      <w:r w:rsidRPr="00FD211F">
        <w:rPr>
          <w:sz w:val="36"/>
          <w:szCs w:val="36"/>
          <w:rtl/>
        </w:rPr>
        <w:t>ابي</w:t>
      </w:r>
      <w:r w:rsidR="00E8128F">
        <w:rPr>
          <w:sz w:val="36"/>
          <w:szCs w:val="36"/>
          <w:rtl/>
        </w:rPr>
        <w:t xml:space="preserve"> </w:t>
      </w:r>
      <w:r w:rsidRPr="00FD211F">
        <w:rPr>
          <w:sz w:val="36"/>
          <w:szCs w:val="36"/>
          <w:rtl/>
        </w:rPr>
        <w:t>عمير</w:t>
      </w:r>
      <w:r w:rsidR="00603323" w:rsidRPr="00FD211F">
        <w:rPr>
          <w:sz w:val="36"/>
          <w:szCs w:val="36"/>
          <w:rtl/>
        </w:rPr>
        <w:t>،</w:t>
      </w:r>
      <w:r w:rsidR="00E8128F">
        <w:rPr>
          <w:sz w:val="36"/>
          <w:szCs w:val="36"/>
          <w:rtl/>
        </w:rPr>
        <w:t xml:space="preserve"> </w:t>
      </w:r>
      <w:r w:rsidRPr="00FD211F">
        <w:rPr>
          <w:sz w:val="36"/>
          <w:szCs w:val="36"/>
          <w:rtl/>
        </w:rPr>
        <w:t>وكذا</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الاستبصار</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روى</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محمد</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عيسى</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يونس</w:t>
      </w:r>
      <w:r w:rsidR="00E8128F">
        <w:rPr>
          <w:sz w:val="36"/>
          <w:szCs w:val="36"/>
          <w:rtl/>
        </w:rPr>
        <w:t xml:space="preserve"> </w:t>
      </w:r>
      <w:r w:rsidRPr="00FD211F">
        <w:rPr>
          <w:sz w:val="36"/>
          <w:szCs w:val="36"/>
          <w:rtl/>
        </w:rPr>
        <w:t>(ابن</w:t>
      </w:r>
      <w:r w:rsidR="00E8128F">
        <w:rPr>
          <w:sz w:val="36"/>
          <w:szCs w:val="36"/>
          <w:rtl/>
        </w:rPr>
        <w:t xml:space="preserve"> </w:t>
      </w:r>
      <w:r w:rsidRPr="00FD211F">
        <w:rPr>
          <w:sz w:val="36"/>
          <w:szCs w:val="36"/>
          <w:rtl/>
        </w:rPr>
        <w:t>عبدالرحمن)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الخبر</w:t>
      </w:r>
      <w:r w:rsidR="00E8128F">
        <w:rPr>
          <w:sz w:val="36"/>
          <w:szCs w:val="36"/>
          <w:rtl/>
        </w:rPr>
        <w:t xml:space="preserve"> </w:t>
      </w:r>
      <w:r w:rsidRPr="00FD211F">
        <w:rPr>
          <w:sz w:val="36"/>
          <w:szCs w:val="36"/>
          <w:rtl/>
        </w:rPr>
        <w:t>طريقه</w:t>
      </w:r>
      <w:r w:rsidR="00E8128F">
        <w:rPr>
          <w:sz w:val="36"/>
          <w:szCs w:val="36"/>
          <w:rtl/>
        </w:rPr>
        <w:t xml:space="preserve"> </w:t>
      </w:r>
      <w:r w:rsidRPr="00FD211F">
        <w:rPr>
          <w:sz w:val="36"/>
          <w:szCs w:val="36"/>
          <w:rtl/>
        </w:rPr>
        <w:t>محمد</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عيسى</w:t>
      </w:r>
      <w:r w:rsidR="00E8128F">
        <w:rPr>
          <w:sz w:val="36"/>
          <w:szCs w:val="36"/>
          <w:rtl/>
        </w:rPr>
        <w:t xml:space="preserve"> </w:t>
      </w:r>
      <w:r w:rsidRPr="00FD211F">
        <w:rPr>
          <w:sz w:val="36"/>
          <w:szCs w:val="36"/>
          <w:rtl/>
        </w:rPr>
        <w:t>ابن</w:t>
      </w:r>
      <w:r w:rsidR="00E8128F">
        <w:rPr>
          <w:sz w:val="36"/>
          <w:szCs w:val="36"/>
          <w:rtl/>
        </w:rPr>
        <w:t xml:space="preserve"> </w:t>
      </w:r>
      <w:r w:rsidRPr="00FD211F">
        <w:rPr>
          <w:sz w:val="36"/>
          <w:szCs w:val="36"/>
          <w:rtl/>
        </w:rPr>
        <w:t>عبيد</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يونس</w:t>
      </w:r>
      <w:r w:rsidR="00E8128F">
        <w:rPr>
          <w:sz w:val="36"/>
          <w:szCs w:val="36"/>
          <w:rtl/>
        </w:rPr>
        <w:t xml:space="preserve"> </w:t>
      </w:r>
      <w:r w:rsidRPr="00FD211F">
        <w:rPr>
          <w:sz w:val="36"/>
          <w:szCs w:val="36"/>
          <w:rtl/>
        </w:rPr>
        <w:t>وهو</w:t>
      </w:r>
      <w:r w:rsidR="00E8128F">
        <w:rPr>
          <w:sz w:val="36"/>
          <w:szCs w:val="36"/>
          <w:rtl/>
        </w:rPr>
        <w:t xml:space="preserve"> </w:t>
      </w:r>
      <w:r w:rsidRPr="00FD211F">
        <w:rPr>
          <w:sz w:val="36"/>
          <w:szCs w:val="36"/>
          <w:rtl/>
        </w:rPr>
        <w:t>ضعيف</w:t>
      </w:r>
      <w:r w:rsidR="009C58C8" w:rsidRPr="00FD211F">
        <w:rPr>
          <w:rStyle w:val="a6"/>
          <w:sz w:val="36"/>
          <w:szCs w:val="36"/>
          <w:rtl/>
        </w:rPr>
        <w:t>(</w:t>
      </w:r>
      <w:r w:rsidR="009C58C8" w:rsidRPr="00FD211F">
        <w:rPr>
          <w:rStyle w:val="a6"/>
          <w:sz w:val="36"/>
          <w:szCs w:val="36"/>
          <w:rtl/>
        </w:rPr>
        <w:footnoteReference w:id="513"/>
      </w:r>
      <w:r w:rsidR="009C58C8" w:rsidRPr="00FD211F">
        <w:rPr>
          <w:rStyle w:val="a6"/>
          <w:sz w:val="36"/>
          <w:szCs w:val="36"/>
          <w:rtl/>
        </w:rPr>
        <w:t>)</w:t>
      </w:r>
      <w:r w:rsidR="00603323" w:rsidRPr="00FD211F">
        <w:rPr>
          <w:sz w:val="36"/>
          <w:szCs w:val="36"/>
          <w:rtl/>
        </w:rPr>
        <w:t>،</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الفهرست</w:t>
      </w:r>
      <w:r w:rsidR="00E8128F">
        <w:rPr>
          <w:sz w:val="36"/>
          <w:szCs w:val="36"/>
          <w:rtl/>
        </w:rPr>
        <w:t xml:space="preserve"> </w:t>
      </w:r>
      <w:r w:rsidRPr="00FD211F">
        <w:rPr>
          <w:sz w:val="36"/>
          <w:szCs w:val="36"/>
          <w:rtl/>
        </w:rPr>
        <w:t>طرقا</w:t>
      </w:r>
      <w:r w:rsidR="00E8128F">
        <w:rPr>
          <w:sz w:val="36"/>
          <w:szCs w:val="36"/>
          <w:rtl/>
        </w:rPr>
        <w:t xml:space="preserve"> </w:t>
      </w:r>
      <w:r w:rsidRPr="00FD211F">
        <w:rPr>
          <w:sz w:val="36"/>
          <w:szCs w:val="36"/>
          <w:rtl/>
        </w:rPr>
        <w:t>متعدد</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وروايات</w:t>
      </w:r>
      <w:r w:rsidR="00E8128F">
        <w:rPr>
          <w:sz w:val="36"/>
          <w:szCs w:val="36"/>
          <w:rtl/>
        </w:rPr>
        <w:t xml:space="preserve"> </w:t>
      </w:r>
      <w:r w:rsidRPr="00FD211F">
        <w:rPr>
          <w:sz w:val="36"/>
          <w:szCs w:val="36"/>
          <w:rtl/>
        </w:rPr>
        <w:t>يونس</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عبدالرحمن</w:t>
      </w:r>
      <w:r w:rsidR="00603323" w:rsidRPr="00FD211F">
        <w:rPr>
          <w:sz w:val="36"/>
          <w:szCs w:val="36"/>
          <w:rtl/>
        </w:rPr>
        <w:t>،</w:t>
      </w:r>
      <w:r w:rsidR="00E8128F">
        <w:rPr>
          <w:sz w:val="36"/>
          <w:szCs w:val="36"/>
          <w:rtl/>
        </w:rPr>
        <w:t xml:space="preserve"> </w:t>
      </w:r>
      <w:r w:rsidRPr="00FD211F">
        <w:rPr>
          <w:sz w:val="36"/>
          <w:szCs w:val="36"/>
          <w:rtl/>
        </w:rPr>
        <w:t>لكن</w:t>
      </w:r>
      <w:r w:rsidR="00E8128F">
        <w:rPr>
          <w:sz w:val="36"/>
          <w:szCs w:val="36"/>
          <w:rtl/>
        </w:rPr>
        <w:t xml:space="preserve"> </w:t>
      </w:r>
      <w:r w:rsidRPr="00FD211F">
        <w:rPr>
          <w:sz w:val="36"/>
          <w:szCs w:val="36"/>
          <w:rtl/>
        </w:rPr>
        <w:t>يمكن</w:t>
      </w:r>
      <w:r w:rsidR="00E8128F">
        <w:rPr>
          <w:sz w:val="36"/>
          <w:szCs w:val="36"/>
          <w:rtl/>
        </w:rPr>
        <w:t xml:space="preserve"> </w:t>
      </w:r>
      <w:r w:rsidRPr="00FD211F">
        <w:rPr>
          <w:sz w:val="36"/>
          <w:szCs w:val="36"/>
          <w:rtl/>
        </w:rPr>
        <w:t>الجواب</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فرض</w:t>
      </w:r>
      <w:r w:rsidR="00E8128F">
        <w:rPr>
          <w:sz w:val="36"/>
          <w:szCs w:val="36"/>
          <w:rtl/>
        </w:rPr>
        <w:t xml:space="preserve"> </w:t>
      </w:r>
      <w:r w:rsidRPr="00FD211F">
        <w:rPr>
          <w:sz w:val="36"/>
          <w:szCs w:val="36"/>
          <w:rtl/>
        </w:rPr>
        <w:t>تمامي</w:t>
      </w:r>
      <w:r w:rsidR="00EC7EDF" w:rsidRPr="00FD211F">
        <w:rPr>
          <w:sz w:val="36"/>
          <w:szCs w:val="36"/>
          <w:rtl/>
        </w:rPr>
        <w:t>ة</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النظري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حد</w:t>
      </w:r>
      <w:r w:rsidR="00E8128F">
        <w:rPr>
          <w:sz w:val="36"/>
          <w:szCs w:val="36"/>
          <w:rtl/>
        </w:rPr>
        <w:t xml:space="preserve"> </w:t>
      </w:r>
      <w:r w:rsidRPr="00FD211F">
        <w:rPr>
          <w:sz w:val="36"/>
          <w:szCs w:val="36"/>
          <w:rtl/>
        </w:rPr>
        <w:t>ذاتها</w:t>
      </w:r>
      <w:r w:rsidR="00E8128F">
        <w:rPr>
          <w:sz w:val="36"/>
          <w:szCs w:val="36"/>
          <w:rtl/>
        </w:rPr>
        <w:t xml:space="preserve"> </w:t>
      </w:r>
      <w:r w:rsidRPr="00FD211F">
        <w:rPr>
          <w:sz w:val="36"/>
          <w:szCs w:val="36"/>
          <w:rtl/>
        </w:rPr>
        <w:t>باحتمال</w:t>
      </w:r>
      <w:r w:rsidR="00E8128F">
        <w:rPr>
          <w:sz w:val="36"/>
          <w:szCs w:val="36"/>
          <w:rtl/>
        </w:rPr>
        <w:t xml:space="preserve"> </w:t>
      </w:r>
      <w:r w:rsidRPr="00FD211F">
        <w:rPr>
          <w:sz w:val="36"/>
          <w:szCs w:val="36"/>
          <w:rtl/>
        </w:rPr>
        <w:t>غفل</w:t>
      </w:r>
      <w:r w:rsidR="00EC7EDF" w:rsidRPr="00FD211F">
        <w:rPr>
          <w:sz w:val="36"/>
          <w:szCs w:val="36"/>
          <w:rtl/>
        </w:rPr>
        <w:t>ة</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مبناه</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التفاته</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محمد</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زياد</w:t>
      </w:r>
      <w:r w:rsidR="00E8128F">
        <w:rPr>
          <w:sz w:val="36"/>
          <w:szCs w:val="36"/>
          <w:rtl/>
        </w:rPr>
        <w:t xml:space="preserve"> </w:t>
      </w:r>
      <w:r w:rsidRPr="00FD211F">
        <w:rPr>
          <w:sz w:val="36"/>
          <w:szCs w:val="36"/>
          <w:rtl/>
        </w:rPr>
        <w:t>البزاز</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محمد</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ابي</w:t>
      </w:r>
      <w:r w:rsidR="00E8128F">
        <w:rPr>
          <w:sz w:val="36"/>
          <w:szCs w:val="36"/>
          <w:rtl/>
        </w:rPr>
        <w:t xml:space="preserve"> </w:t>
      </w:r>
      <w:r w:rsidRPr="00FD211F">
        <w:rPr>
          <w:sz w:val="36"/>
          <w:szCs w:val="36"/>
          <w:rtl/>
        </w:rPr>
        <w:t>عمير</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لتخفيف</w:t>
      </w:r>
      <w:r w:rsidR="00E8128F">
        <w:rPr>
          <w:sz w:val="36"/>
          <w:szCs w:val="36"/>
          <w:rtl/>
        </w:rPr>
        <w:t xml:space="preserve"> </w:t>
      </w:r>
      <w:r w:rsidRPr="00FD211F">
        <w:rPr>
          <w:sz w:val="36"/>
          <w:szCs w:val="36"/>
          <w:rtl/>
        </w:rPr>
        <w:t>مشكل</w:t>
      </w:r>
      <w:r w:rsidR="00EC7EDF" w:rsidRPr="00FD211F">
        <w:rPr>
          <w:sz w:val="36"/>
          <w:szCs w:val="36"/>
          <w:rtl/>
        </w:rPr>
        <w:t>ة</w:t>
      </w:r>
      <w:r w:rsidR="00E8128F">
        <w:rPr>
          <w:sz w:val="36"/>
          <w:szCs w:val="36"/>
          <w:rtl/>
        </w:rPr>
        <w:t xml:space="preserve"> </w:t>
      </w:r>
      <w:r w:rsidRPr="00FD211F">
        <w:rPr>
          <w:sz w:val="36"/>
          <w:szCs w:val="36"/>
          <w:rtl/>
        </w:rPr>
        <w:t>التعارض</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الروايات</w:t>
      </w:r>
      <w:r w:rsidR="00603323" w:rsidRPr="00FD211F">
        <w:rPr>
          <w:sz w:val="36"/>
          <w:szCs w:val="36"/>
          <w:rtl/>
        </w:rPr>
        <w:t>،</w:t>
      </w:r>
      <w:r w:rsidR="00E8128F">
        <w:rPr>
          <w:sz w:val="36"/>
          <w:szCs w:val="36"/>
          <w:rtl/>
        </w:rPr>
        <w:t xml:space="preserve"> </w:t>
      </w:r>
      <w:r w:rsidRPr="00FD211F">
        <w:rPr>
          <w:sz w:val="36"/>
          <w:szCs w:val="36"/>
          <w:rtl/>
        </w:rPr>
        <w:t>فترى</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صرح</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كتاب</w:t>
      </w:r>
      <w:r w:rsidR="00E8128F">
        <w:rPr>
          <w:sz w:val="36"/>
          <w:szCs w:val="36"/>
          <w:rtl/>
        </w:rPr>
        <w:t xml:space="preserve"> </w:t>
      </w:r>
      <w:r w:rsidRPr="00FD211F">
        <w:rPr>
          <w:sz w:val="36"/>
          <w:szCs w:val="36"/>
          <w:rtl/>
        </w:rPr>
        <w:t>العد</w:t>
      </w:r>
      <w:r w:rsidR="00EC7EDF" w:rsidRPr="00FD211F">
        <w:rPr>
          <w:sz w:val="36"/>
          <w:szCs w:val="36"/>
          <w:rtl/>
        </w:rPr>
        <w:t>ة</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الطائف</w:t>
      </w:r>
      <w:r w:rsidR="00EC7EDF" w:rsidRPr="00FD211F">
        <w:rPr>
          <w:sz w:val="36"/>
          <w:szCs w:val="36"/>
          <w:rtl/>
        </w:rPr>
        <w:t>ة</w:t>
      </w:r>
      <w:r w:rsidR="00E8128F">
        <w:rPr>
          <w:sz w:val="36"/>
          <w:szCs w:val="36"/>
          <w:rtl/>
        </w:rPr>
        <w:t xml:space="preserve"> </w:t>
      </w:r>
      <w:r w:rsidRPr="00FD211F">
        <w:rPr>
          <w:sz w:val="36"/>
          <w:szCs w:val="36"/>
          <w:rtl/>
        </w:rPr>
        <w:t>سوّت</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مراسيل</w:t>
      </w:r>
      <w:r w:rsidR="00E8128F">
        <w:rPr>
          <w:sz w:val="36"/>
          <w:szCs w:val="36"/>
          <w:rtl/>
        </w:rPr>
        <w:t xml:space="preserve"> </w:t>
      </w:r>
      <w:r w:rsidRPr="00FD211F">
        <w:rPr>
          <w:sz w:val="36"/>
          <w:szCs w:val="36"/>
          <w:rtl/>
        </w:rPr>
        <w:t>صفوان</w:t>
      </w:r>
      <w:r w:rsidR="00E8128F">
        <w:rPr>
          <w:sz w:val="36"/>
          <w:szCs w:val="36"/>
          <w:rtl/>
        </w:rPr>
        <w:t xml:space="preserve"> </w:t>
      </w:r>
      <w:r w:rsidRPr="00FD211F">
        <w:rPr>
          <w:sz w:val="36"/>
          <w:szCs w:val="36"/>
          <w:rtl/>
        </w:rPr>
        <w:t>وابن</w:t>
      </w:r>
      <w:r w:rsidR="00E8128F">
        <w:rPr>
          <w:sz w:val="36"/>
          <w:szCs w:val="36"/>
          <w:rtl/>
        </w:rPr>
        <w:t xml:space="preserve"> </w:t>
      </w:r>
      <w:r w:rsidRPr="00FD211F">
        <w:rPr>
          <w:sz w:val="36"/>
          <w:szCs w:val="36"/>
          <w:rtl/>
        </w:rPr>
        <w:t>ابي</w:t>
      </w:r>
      <w:r w:rsidR="00E8128F">
        <w:rPr>
          <w:sz w:val="36"/>
          <w:szCs w:val="36"/>
          <w:rtl/>
        </w:rPr>
        <w:t xml:space="preserve"> </w:t>
      </w:r>
      <w:r w:rsidRPr="00FD211F">
        <w:rPr>
          <w:sz w:val="36"/>
          <w:szCs w:val="36"/>
          <w:rtl/>
        </w:rPr>
        <w:t>عمير</w:t>
      </w:r>
      <w:r w:rsidR="00E8128F">
        <w:rPr>
          <w:sz w:val="36"/>
          <w:szCs w:val="36"/>
          <w:rtl/>
        </w:rPr>
        <w:t xml:space="preserve"> </w:t>
      </w:r>
      <w:r w:rsidRPr="00FD211F">
        <w:rPr>
          <w:sz w:val="36"/>
          <w:szCs w:val="36"/>
          <w:rtl/>
        </w:rPr>
        <w:t>والبزنطي</w:t>
      </w:r>
      <w:r w:rsidR="00E8128F">
        <w:rPr>
          <w:sz w:val="36"/>
          <w:szCs w:val="36"/>
          <w:rtl/>
        </w:rPr>
        <w:t xml:space="preserve"> </w:t>
      </w:r>
      <w:r w:rsidRPr="00FD211F">
        <w:rPr>
          <w:sz w:val="36"/>
          <w:szCs w:val="36"/>
          <w:rtl/>
        </w:rPr>
        <w:t>وبين</w:t>
      </w:r>
      <w:r w:rsidR="00E8128F">
        <w:rPr>
          <w:sz w:val="36"/>
          <w:szCs w:val="36"/>
          <w:rtl/>
        </w:rPr>
        <w:t xml:space="preserve"> </w:t>
      </w:r>
      <w:r w:rsidRPr="00FD211F">
        <w:rPr>
          <w:sz w:val="36"/>
          <w:szCs w:val="36"/>
          <w:rtl/>
        </w:rPr>
        <w:t>مسانيد</w:t>
      </w:r>
      <w:r w:rsidR="00E8128F">
        <w:rPr>
          <w:sz w:val="36"/>
          <w:szCs w:val="36"/>
          <w:rtl/>
        </w:rPr>
        <w:t xml:space="preserve"> </w:t>
      </w:r>
      <w:r w:rsidRPr="00FD211F">
        <w:rPr>
          <w:sz w:val="36"/>
          <w:szCs w:val="36"/>
          <w:rtl/>
        </w:rPr>
        <w:t>غيرهم</w:t>
      </w:r>
      <w:r w:rsidR="00603323" w:rsidRPr="00FD211F">
        <w:rPr>
          <w:sz w:val="36"/>
          <w:szCs w:val="36"/>
          <w:rtl/>
        </w:rPr>
        <w:t>،</w:t>
      </w:r>
      <w:r w:rsidR="00E8128F">
        <w:rPr>
          <w:sz w:val="36"/>
          <w:szCs w:val="36"/>
          <w:rtl/>
        </w:rPr>
        <w:t xml:space="preserve"> </w:t>
      </w:r>
      <w:r w:rsidRPr="00FD211F">
        <w:rPr>
          <w:sz w:val="36"/>
          <w:szCs w:val="36"/>
          <w:rtl/>
        </w:rPr>
        <w:t>ولكنه</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التهذيب</w:t>
      </w:r>
      <w:r w:rsidR="00E8128F">
        <w:rPr>
          <w:sz w:val="36"/>
          <w:szCs w:val="36"/>
          <w:rtl/>
        </w:rPr>
        <w:t xml:space="preserve"> </w:t>
      </w:r>
      <w:r w:rsidRPr="00FD211F">
        <w:rPr>
          <w:sz w:val="36"/>
          <w:szCs w:val="36"/>
          <w:rtl/>
        </w:rPr>
        <w:t>والاستبصار</w:t>
      </w:r>
      <w:r w:rsidR="00E8128F">
        <w:rPr>
          <w:sz w:val="36"/>
          <w:szCs w:val="36"/>
          <w:rtl/>
        </w:rPr>
        <w:t xml:space="preserve"> </w:t>
      </w:r>
      <w:r w:rsidRPr="00FD211F">
        <w:rPr>
          <w:sz w:val="36"/>
          <w:szCs w:val="36"/>
          <w:rtl/>
        </w:rPr>
        <w:t>رواي</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ابن</w:t>
      </w:r>
      <w:r w:rsidR="00E8128F">
        <w:rPr>
          <w:sz w:val="36"/>
          <w:szCs w:val="36"/>
          <w:rtl/>
        </w:rPr>
        <w:t xml:space="preserve"> </w:t>
      </w:r>
      <w:r w:rsidRPr="00FD211F">
        <w:rPr>
          <w:sz w:val="36"/>
          <w:szCs w:val="36"/>
          <w:rtl/>
        </w:rPr>
        <w:t>ابي</w:t>
      </w:r>
      <w:r w:rsidR="00E8128F">
        <w:rPr>
          <w:sz w:val="36"/>
          <w:szCs w:val="36"/>
          <w:rtl/>
        </w:rPr>
        <w:t xml:space="preserve"> </w:t>
      </w:r>
      <w:r w:rsidRPr="00FD211F">
        <w:rPr>
          <w:sz w:val="36"/>
          <w:szCs w:val="36"/>
          <w:rtl/>
        </w:rPr>
        <w:t>عمير</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بعض</w:t>
      </w:r>
      <w:r w:rsidR="00E8128F">
        <w:rPr>
          <w:sz w:val="36"/>
          <w:szCs w:val="36"/>
          <w:rtl/>
        </w:rPr>
        <w:t xml:space="preserve"> </w:t>
      </w:r>
      <w:r w:rsidRPr="00FD211F">
        <w:rPr>
          <w:sz w:val="36"/>
          <w:szCs w:val="36"/>
          <w:rtl/>
        </w:rPr>
        <w:t>اصحابنا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زرار</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ابي</w:t>
      </w:r>
      <w:r w:rsidR="00E8128F">
        <w:rPr>
          <w:sz w:val="36"/>
          <w:szCs w:val="36"/>
          <w:rtl/>
        </w:rPr>
        <w:t xml:space="preserve"> </w:t>
      </w:r>
      <w:r w:rsidRPr="00FD211F">
        <w:rPr>
          <w:sz w:val="36"/>
          <w:szCs w:val="36"/>
          <w:rtl/>
        </w:rPr>
        <w:t>جعفر</w:t>
      </w:r>
      <w:r w:rsidR="00E8128F">
        <w:rPr>
          <w:sz w:val="36"/>
          <w:szCs w:val="36"/>
          <w:rtl/>
        </w:rPr>
        <w:t xml:space="preserve"> </w:t>
      </w:r>
      <w:r w:rsidR="007A4A0D" w:rsidRPr="00FD211F">
        <w:rPr>
          <w:sz w:val="36"/>
          <w:szCs w:val="36"/>
          <w:rtl/>
        </w:rPr>
        <w:t>(عليه‌السلام)</w:t>
      </w:r>
      <w:r w:rsidR="00603323" w:rsidRPr="00FD211F">
        <w:rPr>
          <w:sz w:val="36"/>
          <w:szCs w:val="36"/>
          <w:rtl/>
        </w:rPr>
        <w:t>،</w:t>
      </w:r>
      <w:r w:rsidR="00E8128F">
        <w:rPr>
          <w:sz w:val="36"/>
          <w:szCs w:val="36"/>
          <w:rtl/>
        </w:rPr>
        <w:t xml:space="preserve"> </w:t>
      </w:r>
      <w:r w:rsidRPr="00FD211F">
        <w:rPr>
          <w:sz w:val="36"/>
          <w:szCs w:val="36"/>
          <w:rtl/>
        </w:rPr>
        <w:t>ثم</w:t>
      </w:r>
      <w:r w:rsidR="00E8128F">
        <w:rPr>
          <w:sz w:val="36"/>
          <w:szCs w:val="36"/>
          <w:rtl/>
        </w:rPr>
        <w:t xml:space="preserve"> </w:t>
      </w:r>
      <w:r w:rsidRPr="00FD211F">
        <w:rPr>
          <w:sz w:val="36"/>
          <w:szCs w:val="36"/>
          <w:rtl/>
        </w:rPr>
        <w:t>قال</w:t>
      </w:r>
      <w:r w:rsidR="00E8128F">
        <w:rPr>
          <w:sz w:val="36"/>
          <w:szCs w:val="36"/>
          <w:rtl/>
        </w:rPr>
        <w:t xml:space="preserve"> </w:t>
      </w:r>
      <w:r w:rsidRPr="00FD211F">
        <w:rPr>
          <w:sz w:val="36"/>
          <w:szCs w:val="36"/>
          <w:rtl/>
        </w:rPr>
        <w:t>اول</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مرسل</w:t>
      </w:r>
      <w:r w:rsidR="00E8128F">
        <w:rPr>
          <w:sz w:val="36"/>
          <w:szCs w:val="36"/>
          <w:rtl/>
        </w:rPr>
        <w:t xml:space="preserve"> </w:t>
      </w:r>
      <w:r w:rsidRPr="00FD211F">
        <w:rPr>
          <w:sz w:val="36"/>
          <w:szCs w:val="36"/>
          <w:rtl/>
        </w:rPr>
        <w:t>وما</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سبيله</w:t>
      </w:r>
      <w:r w:rsidR="00E8128F">
        <w:rPr>
          <w:sz w:val="36"/>
          <w:szCs w:val="36"/>
          <w:rtl/>
        </w:rPr>
        <w:t xml:space="preserve"> </w:t>
      </w:r>
      <w:r w:rsidRPr="00FD211F">
        <w:rPr>
          <w:sz w:val="36"/>
          <w:szCs w:val="36"/>
          <w:rtl/>
        </w:rPr>
        <w:t>لايعارض</w:t>
      </w:r>
      <w:r w:rsidR="00E8128F">
        <w:rPr>
          <w:sz w:val="36"/>
          <w:szCs w:val="36"/>
          <w:rtl/>
        </w:rPr>
        <w:t xml:space="preserve"> </w:t>
      </w:r>
      <w:r w:rsidRPr="00FD211F">
        <w:rPr>
          <w:sz w:val="36"/>
          <w:szCs w:val="36"/>
          <w:rtl/>
        </w:rPr>
        <w:t>الاخبار</w:t>
      </w:r>
      <w:r w:rsidR="00E8128F">
        <w:rPr>
          <w:sz w:val="36"/>
          <w:szCs w:val="36"/>
          <w:rtl/>
        </w:rPr>
        <w:t xml:space="preserve"> </w:t>
      </w:r>
      <w:r w:rsidRPr="00FD211F">
        <w:rPr>
          <w:sz w:val="36"/>
          <w:szCs w:val="36"/>
          <w:rtl/>
        </w:rPr>
        <w:t>المسند</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514"/>
      </w:r>
      <w:r w:rsidR="009C58C8" w:rsidRPr="00FD211F">
        <w:rPr>
          <w:rStyle w:val="a6"/>
          <w:sz w:val="36"/>
          <w:szCs w:val="36"/>
          <w:rtl/>
        </w:rPr>
        <w:t>)</w:t>
      </w:r>
      <w:r w:rsidRPr="00FD211F">
        <w:rPr>
          <w:sz w:val="36"/>
          <w:szCs w:val="36"/>
          <w:rtl/>
        </w:rPr>
        <w:t>.</w:t>
      </w:r>
    </w:p>
    <w:p w14:paraId="53E7B8D4" w14:textId="77777777" w:rsidR="000C5BBA" w:rsidRPr="00FD211F" w:rsidRDefault="00045715" w:rsidP="009C58C8">
      <w:pPr>
        <w:ind w:left="0" w:firstLine="227"/>
        <w:jc w:val="both"/>
        <w:rPr>
          <w:sz w:val="36"/>
          <w:szCs w:val="36"/>
          <w:rtl/>
        </w:rPr>
      </w:pPr>
      <w:r w:rsidRPr="00FD211F">
        <w:rPr>
          <w:sz w:val="36"/>
          <w:szCs w:val="36"/>
          <w:rtl/>
        </w:rPr>
        <w:t>ولكن</w:t>
      </w:r>
      <w:r w:rsidR="00E8128F">
        <w:rPr>
          <w:sz w:val="36"/>
          <w:szCs w:val="36"/>
          <w:rtl/>
        </w:rPr>
        <w:t xml:space="preserve"> </w:t>
      </w:r>
      <w:r w:rsidRPr="00FD211F">
        <w:rPr>
          <w:sz w:val="36"/>
          <w:szCs w:val="36"/>
          <w:rtl/>
        </w:rPr>
        <w:t>يوجد</w:t>
      </w:r>
      <w:r w:rsidR="00E8128F">
        <w:rPr>
          <w:sz w:val="36"/>
          <w:szCs w:val="36"/>
          <w:rtl/>
        </w:rPr>
        <w:t xml:space="preserve"> </w:t>
      </w:r>
      <w:r w:rsidRPr="00FD211F">
        <w:rPr>
          <w:sz w:val="36"/>
          <w:szCs w:val="36"/>
          <w:rtl/>
        </w:rPr>
        <w:t>شاهد</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أقوى</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تمامي</w:t>
      </w:r>
      <w:r w:rsidR="00EC7EDF" w:rsidRPr="00FD211F">
        <w:rPr>
          <w:sz w:val="36"/>
          <w:szCs w:val="36"/>
          <w:rtl/>
        </w:rPr>
        <w:t>ة</w:t>
      </w:r>
      <w:r w:rsidR="00E8128F">
        <w:rPr>
          <w:sz w:val="36"/>
          <w:szCs w:val="36"/>
          <w:rtl/>
        </w:rPr>
        <w:t xml:space="preserve"> </w:t>
      </w:r>
      <w:r w:rsidRPr="00FD211F">
        <w:rPr>
          <w:sz w:val="36"/>
          <w:szCs w:val="36"/>
          <w:rtl/>
        </w:rPr>
        <w:t>نظري</w:t>
      </w:r>
      <w:r w:rsidR="00EC7EDF" w:rsidRPr="00FD211F">
        <w:rPr>
          <w:sz w:val="36"/>
          <w:szCs w:val="36"/>
          <w:rtl/>
        </w:rPr>
        <w:t>ة</w:t>
      </w:r>
      <w:r w:rsidR="00E8128F">
        <w:rPr>
          <w:sz w:val="36"/>
          <w:szCs w:val="36"/>
          <w:rtl/>
        </w:rPr>
        <w:t xml:space="preserve"> </w:t>
      </w:r>
      <w:r w:rsidRPr="00FD211F">
        <w:rPr>
          <w:sz w:val="36"/>
          <w:szCs w:val="36"/>
          <w:rtl/>
        </w:rPr>
        <w:t>تعويض</w:t>
      </w:r>
      <w:r w:rsidR="00E8128F">
        <w:rPr>
          <w:sz w:val="36"/>
          <w:szCs w:val="36"/>
          <w:rtl/>
        </w:rPr>
        <w:t xml:space="preserve"> </w:t>
      </w:r>
      <w:r w:rsidRPr="00FD211F">
        <w:rPr>
          <w:sz w:val="36"/>
          <w:szCs w:val="36"/>
          <w:rtl/>
        </w:rPr>
        <w:t>السند</w:t>
      </w:r>
      <w:r w:rsidR="00E8128F">
        <w:rPr>
          <w:sz w:val="36"/>
          <w:szCs w:val="36"/>
          <w:rtl/>
        </w:rPr>
        <w:t xml:space="preserve"> </w:t>
      </w:r>
      <w:r w:rsidRPr="00FD211F">
        <w:rPr>
          <w:sz w:val="36"/>
          <w:szCs w:val="36"/>
          <w:rtl/>
        </w:rPr>
        <w:t>وهو</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الفهرست</w:t>
      </w:r>
      <w:r w:rsidR="00E8128F">
        <w:rPr>
          <w:sz w:val="36"/>
          <w:szCs w:val="36"/>
          <w:rtl/>
        </w:rPr>
        <w:t xml:space="preserve"> </w:t>
      </w:r>
      <w:r w:rsidRPr="00FD211F">
        <w:rPr>
          <w:sz w:val="36"/>
          <w:szCs w:val="36"/>
          <w:rtl/>
        </w:rPr>
        <w:t>عد</w:t>
      </w:r>
      <w:r w:rsidR="00EC7EDF" w:rsidRPr="00FD211F">
        <w:rPr>
          <w:sz w:val="36"/>
          <w:szCs w:val="36"/>
          <w:rtl/>
        </w:rPr>
        <w:t>ة</w:t>
      </w:r>
      <w:r w:rsidR="00E8128F">
        <w:rPr>
          <w:sz w:val="36"/>
          <w:szCs w:val="36"/>
          <w:rtl/>
        </w:rPr>
        <w:t xml:space="preserve"> </w:t>
      </w:r>
      <w:r w:rsidRPr="00FD211F">
        <w:rPr>
          <w:sz w:val="36"/>
          <w:szCs w:val="36"/>
          <w:rtl/>
        </w:rPr>
        <w:t>طرق</w:t>
      </w:r>
      <w:r w:rsidR="00E8128F">
        <w:rPr>
          <w:sz w:val="36"/>
          <w:szCs w:val="36"/>
          <w:rtl/>
        </w:rPr>
        <w:t xml:space="preserve"> </w:t>
      </w:r>
      <w:r w:rsidRPr="00FD211F">
        <w:rPr>
          <w:sz w:val="36"/>
          <w:szCs w:val="36"/>
          <w:rtl/>
        </w:rPr>
        <w:t>صحيح</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يونس</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عبدالرحمن</w:t>
      </w:r>
      <w:r w:rsidR="00E8128F">
        <w:rPr>
          <w:sz w:val="36"/>
          <w:szCs w:val="36"/>
          <w:rtl/>
        </w:rPr>
        <w:t xml:space="preserve"> </w:t>
      </w:r>
      <w:r w:rsidRPr="00FD211F">
        <w:rPr>
          <w:sz w:val="36"/>
          <w:szCs w:val="36"/>
          <w:rtl/>
        </w:rPr>
        <w:t>ورواياته</w:t>
      </w:r>
      <w:r w:rsidR="00603323" w:rsidRPr="00FD211F">
        <w:rPr>
          <w:sz w:val="36"/>
          <w:szCs w:val="36"/>
          <w:rtl/>
        </w:rPr>
        <w:t>،</w:t>
      </w:r>
      <w:r w:rsidR="00E8128F">
        <w:rPr>
          <w:sz w:val="36"/>
          <w:szCs w:val="36"/>
          <w:rtl/>
        </w:rPr>
        <w:t xml:space="preserve"> </w:t>
      </w:r>
      <w:r w:rsidRPr="00FD211F">
        <w:rPr>
          <w:sz w:val="36"/>
          <w:szCs w:val="36"/>
          <w:rtl/>
        </w:rPr>
        <w:t>وتشتمل</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الطرق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محمد</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الحسن</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الوليد</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عدا</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واحد</w:t>
      </w:r>
      <w:r w:rsidR="00603323" w:rsidRPr="00FD211F">
        <w:rPr>
          <w:sz w:val="36"/>
          <w:szCs w:val="36"/>
          <w:rtl/>
        </w:rPr>
        <w:t>،</w:t>
      </w:r>
      <w:r w:rsidR="00E8128F">
        <w:rPr>
          <w:sz w:val="36"/>
          <w:szCs w:val="36"/>
          <w:rtl/>
        </w:rPr>
        <w:t xml:space="preserve"> </w:t>
      </w:r>
      <w:r w:rsidRPr="00FD211F">
        <w:rPr>
          <w:sz w:val="36"/>
          <w:szCs w:val="36"/>
          <w:rtl/>
        </w:rPr>
        <w:t>وحينئذ</w:t>
      </w:r>
      <w:r w:rsidR="00E8128F">
        <w:rPr>
          <w:sz w:val="36"/>
          <w:szCs w:val="36"/>
          <w:rtl/>
        </w:rPr>
        <w:t xml:space="preserve"> </w:t>
      </w:r>
      <w:r w:rsidRPr="00FD211F">
        <w:rPr>
          <w:sz w:val="36"/>
          <w:szCs w:val="36"/>
          <w:rtl/>
        </w:rPr>
        <w:t>فكيف</w:t>
      </w:r>
      <w:r w:rsidR="00E8128F">
        <w:rPr>
          <w:sz w:val="36"/>
          <w:szCs w:val="36"/>
          <w:rtl/>
        </w:rPr>
        <w:t xml:space="preserve"> </w:t>
      </w:r>
      <w:r w:rsidRPr="00FD211F">
        <w:rPr>
          <w:sz w:val="36"/>
          <w:szCs w:val="36"/>
          <w:rtl/>
        </w:rPr>
        <w:t>يجتمع</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ابن</w:t>
      </w:r>
      <w:r w:rsidR="00E8128F">
        <w:rPr>
          <w:sz w:val="36"/>
          <w:szCs w:val="36"/>
          <w:rtl/>
        </w:rPr>
        <w:t xml:space="preserve"> </w:t>
      </w:r>
      <w:r w:rsidRPr="00FD211F">
        <w:rPr>
          <w:sz w:val="36"/>
          <w:szCs w:val="36"/>
          <w:rtl/>
        </w:rPr>
        <w:t>الوليد</w:t>
      </w:r>
      <w:r w:rsidR="00E8128F">
        <w:rPr>
          <w:sz w:val="36"/>
          <w:szCs w:val="36"/>
          <w:rtl/>
        </w:rPr>
        <w:t xml:space="preserve"> </w:t>
      </w:r>
      <w:r w:rsidRPr="00FD211F">
        <w:rPr>
          <w:sz w:val="36"/>
          <w:szCs w:val="36"/>
          <w:rtl/>
        </w:rPr>
        <w:t>وسيطا</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كتب</w:t>
      </w:r>
      <w:r w:rsidR="00E8128F">
        <w:rPr>
          <w:sz w:val="36"/>
          <w:szCs w:val="36"/>
          <w:rtl/>
        </w:rPr>
        <w:t xml:space="preserve"> </w:t>
      </w:r>
      <w:r w:rsidRPr="00FD211F">
        <w:rPr>
          <w:sz w:val="36"/>
          <w:szCs w:val="36"/>
          <w:rtl/>
        </w:rPr>
        <w:t>وروايات</w:t>
      </w:r>
      <w:r w:rsidR="00E8128F">
        <w:rPr>
          <w:sz w:val="36"/>
          <w:szCs w:val="36"/>
          <w:rtl/>
        </w:rPr>
        <w:t xml:space="preserve"> </w:t>
      </w:r>
      <w:r w:rsidRPr="00FD211F">
        <w:rPr>
          <w:sz w:val="36"/>
          <w:szCs w:val="36"/>
          <w:rtl/>
        </w:rPr>
        <w:t>يونس</w:t>
      </w:r>
      <w:r w:rsidR="00E8128F">
        <w:rPr>
          <w:sz w:val="36"/>
          <w:szCs w:val="36"/>
          <w:rtl/>
        </w:rPr>
        <w:t xml:space="preserve"> </w:t>
      </w:r>
      <w:r w:rsidRPr="00FD211F">
        <w:rPr>
          <w:sz w:val="36"/>
          <w:szCs w:val="36"/>
          <w:rtl/>
        </w:rPr>
        <w:t>بعد</w:t>
      </w:r>
      <w:r w:rsidR="00EC7EDF" w:rsidRPr="00FD211F">
        <w:rPr>
          <w:sz w:val="36"/>
          <w:szCs w:val="36"/>
          <w:rtl/>
        </w:rPr>
        <w:t>ة</w:t>
      </w:r>
      <w:r w:rsidR="00E8128F">
        <w:rPr>
          <w:sz w:val="36"/>
          <w:szCs w:val="36"/>
          <w:rtl/>
        </w:rPr>
        <w:t xml:space="preserve"> </w:t>
      </w:r>
      <w:r w:rsidRPr="00FD211F">
        <w:rPr>
          <w:sz w:val="36"/>
          <w:szCs w:val="36"/>
          <w:rtl/>
        </w:rPr>
        <w:t>طرق</w:t>
      </w:r>
      <w:r w:rsidR="00E8128F">
        <w:rPr>
          <w:sz w:val="36"/>
          <w:szCs w:val="36"/>
          <w:rtl/>
        </w:rPr>
        <w:t xml:space="preserve"> </w:t>
      </w:r>
      <w:r w:rsidRPr="00FD211F">
        <w:rPr>
          <w:sz w:val="36"/>
          <w:szCs w:val="36"/>
          <w:rtl/>
        </w:rPr>
        <w:t>ومنها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رواه</w:t>
      </w:r>
      <w:r w:rsidR="00E8128F">
        <w:rPr>
          <w:sz w:val="36"/>
          <w:szCs w:val="36"/>
          <w:rtl/>
        </w:rPr>
        <w:t xml:space="preserve"> </w:t>
      </w:r>
      <w:r w:rsidRPr="00FD211F">
        <w:rPr>
          <w:sz w:val="36"/>
          <w:szCs w:val="36"/>
          <w:rtl/>
        </w:rPr>
        <w:t>محمد</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عيسى</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يونس</w:t>
      </w:r>
      <w:r w:rsidR="00603323" w:rsidRPr="00FD211F">
        <w:rPr>
          <w:sz w:val="36"/>
          <w:szCs w:val="36"/>
          <w:rtl/>
        </w:rPr>
        <w:t>،</w:t>
      </w:r>
      <w:r w:rsidR="00E8128F">
        <w:rPr>
          <w:sz w:val="36"/>
          <w:szCs w:val="36"/>
          <w:rtl/>
        </w:rPr>
        <w:t xml:space="preserve"> </w:t>
      </w:r>
      <w:r w:rsidRPr="00FD211F">
        <w:rPr>
          <w:sz w:val="36"/>
          <w:szCs w:val="36"/>
          <w:rtl/>
        </w:rPr>
        <w:t>ومع</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يحكي</w:t>
      </w:r>
      <w:r w:rsidR="00E8128F">
        <w:rPr>
          <w:sz w:val="36"/>
          <w:szCs w:val="36"/>
          <w:rtl/>
        </w:rPr>
        <w:t xml:space="preserve"> </w:t>
      </w:r>
      <w:r w:rsidRPr="00FD211F">
        <w:rPr>
          <w:sz w:val="36"/>
          <w:szCs w:val="36"/>
          <w:rtl/>
        </w:rPr>
        <w:t>الشيخ</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نفس</w:t>
      </w:r>
      <w:r w:rsidR="00E8128F">
        <w:rPr>
          <w:sz w:val="36"/>
          <w:szCs w:val="36"/>
          <w:rtl/>
        </w:rPr>
        <w:t xml:space="preserve"> </w:t>
      </w:r>
      <w:r w:rsidRPr="00FD211F">
        <w:rPr>
          <w:sz w:val="36"/>
          <w:szCs w:val="36"/>
          <w:rtl/>
        </w:rPr>
        <w:t>الموضع</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تفرد</w:t>
      </w:r>
      <w:r w:rsidR="00E8128F">
        <w:rPr>
          <w:sz w:val="36"/>
          <w:szCs w:val="36"/>
          <w:rtl/>
        </w:rPr>
        <w:t xml:space="preserve"> </w:t>
      </w:r>
      <w:r w:rsidRPr="00FD211F">
        <w:rPr>
          <w:sz w:val="36"/>
          <w:szCs w:val="36"/>
          <w:rtl/>
        </w:rPr>
        <w:t>به</w:t>
      </w:r>
      <w:r w:rsidR="00E8128F">
        <w:rPr>
          <w:sz w:val="36"/>
          <w:szCs w:val="36"/>
          <w:rtl/>
        </w:rPr>
        <w:t xml:space="preserve"> </w:t>
      </w:r>
      <w:r w:rsidRPr="00FD211F">
        <w:rPr>
          <w:sz w:val="36"/>
          <w:szCs w:val="36"/>
          <w:rtl/>
        </w:rPr>
        <w:t>محمد</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عيسى</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يونس</w:t>
      </w:r>
      <w:r w:rsidR="00E8128F">
        <w:rPr>
          <w:sz w:val="36"/>
          <w:szCs w:val="36"/>
          <w:rtl/>
        </w:rPr>
        <w:t xml:space="preserve"> </w:t>
      </w:r>
      <w:r w:rsidRPr="00FD211F">
        <w:rPr>
          <w:sz w:val="36"/>
          <w:szCs w:val="36"/>
          <w:rtl/>
        </w:rPr>
        <w:t>لايعتمد</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ولايفتى</w:t>
      </w:r>
      <w:r w:rsidR="00E8128F">
        <w:rPr>
          <w:sz w:val="36"/>
          <w:szCs w:val="36"/>
          <w:rtl/>
        </w:rPr>
        <w:t xml:space="preserve"> </w:t>
      </w:r>
      <w:r w:rsidRPr="00FD211F">
        <w:rPr>
          <w:sz w:val="36"/>
          <w:szCs w:val="36"/>
          <w:rtl/>
        </w:rPr>
        <w:t>به</w:t>
      </w:r>
      <w:r w:rsidR="00603323" w:rsidRPr="00FD211F">
        <w:rPr>
          <w:sz w:val="36"/>
          <w:szCs w:val="36"/>
          <w:rtl/>
        </w:rPr>
        <w:t>،</w:t>
      </w:r>
      <w:r w:rsidR="00E8128F">
        <w:rPr>
          <w:sz w:val="36"/>
          <w:szCs w:val="36"/>
          <w:rtl/>
        </w:rPr>
        <w:t xml:space="preserve"> </w:t>
      </w:r>
      <w:r w:rsidRPr="00FD211F">
        <w:rPr>
          <w:sz w:val="36"/>
          <w:szCs w:val="36"/>
          <w:rtl/>
        </w:rPr>
        <w:t>وهذا</w:t>
      </w:r>
      <w:r w:rsidR="00E8128F">
        <w:rPr>
          <w:sz w:val="36"/>
          <w:szCs w:val="36"/>
          <w:rtl/>
        </w:rPr>
        <w:t xml:space="preserve"> </w:t>
      </w:r>
      <w:r w:rsidRPr="00FD211F">
        <w:rPr>
          <w:sz w:val="36"/>
          <w:szCs w:val="36"/>
          <w:rtl/>
        </w:rPr>
        <w:t>يعني</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روايات</w:t>
      </w:r>
      <w:r w:rsidR="00E8128F">
        <w:rPr>
          <w:sz w:val="36"/>
          <w:szCs w:val="36"/>
          <w:rtl/>
        </w:rPr>
        <w:t xml:space="preserve"> </w:t>
      </w:r>
      <w:r w:rsidRPr="00FD211F">
        <w:rPr>
          <w:sz w:val="36"/>
          <w:szCs w:val="36"/>
          <w:rtl/>
        </w:rPr>
        <w:t>يتفرد</w:t>
      </w:r>
      <w:r w:rsidR="00E8128F">
        <w:rPr>
          <w:sz w:val="36"/>
          <w:szCs w:val="36"/>
          <w:rtl/>
        </w:rPr>
        <w:t xml:space="preserve"> </w:t>
      </w:r>
      <w:r w:rsidRPr="00FD211F">
        <w:rPr>
          <w:sz w:val="36"/>
          <w:szCs w:val="36"/>
          <w:rtl/>
        </w:rPr>
        <w:t>بها</w:t>
      </w:r>
      <w:r w:rsidR="00E8128F">
        <w:rPr>
          <w:sz w:val="36"/>
          <w:szCs w:val="36"/>
          <w:rtl/>
        </w:rPr>
        <w:t xml:space="preserve"> </w:t>
      </w:r>
      <w:r w:rsidRPr="00FD211F">
        <w:rPr>
          <w:sz w:val="36"/>
          <w:szCs w:val="36"/>
          <w:rtl/>
        </w:rPr>
        <w:t>محمد</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عيسى</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يونس</w:t>
      </w:r>
      <w:r w:rsidR="00E8128F">
        <w:rPr>
          <w:sz w:val="36"/>
          <w:szCs w:val="36"/>
          <w:rtl/>
        </w:rPr>
        <w:t xml:space="preserve"> </w:t>
      </w:r>
      <w:r w:rsidRPr="00FD211F">
        <w:rPr>
          <w:sz w:val="36"/>
          <w:szCs w:val="36"/>
          <w:rtl/>
        </w:rPr>
        <w:t>ولايرويها</w:t>
      </w:r>
      <w:r w:rsidR="00E8128F">
        <w:rPr>
          <w:sz w:val="36"/>
          <w:szCs w:val="36"/>
          <w:rtl/>
        </w:rPr>
        <w:t xml:space="preserve"> </w:t>
      </w:r>
      <w:r w:rsidRPr="00FD211F">
        <w:rPr>
          <w:sz w:val="36"/>
          <w:szCs w:val="36"/>
          <w:rtl/>
        </w:rPr>
        <w:t>غيره</w:t>
      </w:r>
      <w:r w:rsidR="00603323" w:rsidRPr="00FD211F">
        <w:rPr>
          <w:sz w:val="36"/>
          <w:szCs w:val="36"/>
          <w:rtl/>
        </w:rPr>
        <w:t>،</w:t>
      </w:r>
      <w:r w:rsidR="00E8128F">
        <w:rPr>
          <w:sz w:val="36"/>
          <w:szCs w:val="36"/>
          <w:rtl/>
        </w:rPr>
        <w:t xml:space="preserve"> </w:t>
      </w:r>
      <w:r w:rsidRPr="00FD211F">
        <w:rPr>
          <w:sz w:val="36"/>
          <w:szCs w:val="36"/>
          <w:rtl/>
        </w:rPr>
        <w:t>فكيف</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ابن</w:t>
      </w:r>
      <w:r w:rsidR="00E8128F">
        <w:rPr>
          <w:sz w:val="36"/>
          <w:szCs w:val="36"/>
          <w:rtl/>
        </w:rPr>
        <w:t xml:space="preserve"> </w:t>
      </w:r>
      <w:r w:rsidRPr="00FD211F">
        <w:rPr>
          <w:sz w:val="36"/>
          <w:szCs w:val="36"/>
          <w:rtl/>
        </w:rPr>
        <w:t>الوليد</w:t>
      </w:r>
      <w:r w:rsidR="00E8128F">
        <w:rPr>
          <w:sz w:val="36"/>
          <w:szCs w:val="36"/>
          <w:rtl/>
        </w:rPr>
        <w:t xml:space="preserve"> </w:t>
      </w:r>
      <w:r w:rsidRPr="00FD211F">
        <w:rPr>
          <w:sz w:val="36"/>
          <w:szCs w:val="36"/>
          <w:rtl/>
        </w:rPr>
        <w:t>طرقها</w:t>
      </w:r>
      <w:r w:rsidR="00E8128F">
        <w:rPr>
          <w:sz w:val="36"/>
          <w:szCs w:val="36"/>
          <w:rtl/>
        </w:rPr>
        <w:t xml:space="preserve"> </w:t>
      </w:r>
      <w:r w:rsidRPr="00FD211F">
        <w:rPr>
          <w:sz w:val="36"/>
          <w:szCs w:val="36"/>
          <w:rtl/>
        </w:rPr>
        <w:t>ا</w:t>
      </w:r>
      <w:r w:rsidR="00F60402" w:rsidRPr="00FD211F">
        <w:rPr>
          <w:sz w:val="36"/>
          <w:szCs w:val="36"/>
          <w:rtl/>
        </w:rPr>
        <w:t>لأخرى</w:t>
      </w:r>
      <w:r w:rsidR="00E8128F">
        <w:rPr>
          <w:sz w:val="36"/>
          <w:szCs w:val="36"/>
          <w:rtl/>
        </w:rPr>
        <w:t xml:space="preserve"> </w:t>
      </w:r>
      <w:r w:rsidR="00F60402" w:rsidRPr="00FD211F">
        <w:rPr>
          <w:sz w:val="36"/>
          <w:szCs w:val="36"/>
          <w:rtl/>
        </w:rPr>
        <w:t>الى</w:t>
      </w:r>
      <w:r w:rsidR="00E8128F">
        <w:rPr>
          <w:sz w:val="36"/>
          <w:szCs w:val="36"/>
          <w:rtl/>
        </w:rPr>
        <w:t xml:space="preserve"> </w:t>
      </w:r>
      <w:r w:rsidR="00F60402" w:rsidRPr="00FD211F">
        <w:rPr>
          <w:sz w:val="36"/>
          <w:szCs w:val="36"/>
          <w:rtl/>
        </w:rPr>
        <w:t>جميع</w:t>
      </w:r>
      <w:r w:rsidR="00E8128F">
        <w:rPr>
          <w:sz w:val="36"/>
          <w:szCs w:val="36"/>
          <w:rtl/>
        </w:rPr>
        <w:t xml:space="preserve"> </w:t>
      </w:r>
      <w:r w:rsidR="00F60402" w:rsidRPr="00FD211F">
        <w:rPr>
          <w:sz w:val="36"/>
          <w:szCs w:val="36"/>
          <w:rtl/>
        </w:rPr>
        <w:t>كتب</w:t>
      </w:r>
      <w:r w:rsidR="00E8128F">
        <w:rPr>
          <w:sz w:val="36"/>
          <w:szCs w:val="36"/>
          <w:rtl/>
        </w:rPr>
        <w:t xml:space="preserve"> </w:t>
      </w:r>
      <w:r w:rsidR="00F60402" w:rsidRPr="00FD211F">
        <w:rPr>
          <w:sz w:val="36"/>
          <w:szCs w:val="36"/>
          <w:rtl/>
        </w:rPr>
        <w:t>وروايات</w:t>
      </w:r>
      <w:r w:rsidR="00E8128F">
        <w:rPr>
          <w:sz w:val="36"/>
          <w:szCs w:val="36"/>
          <w:rtl/>
        </w:rPr>
        <w:t xml:space="preserve"> </w:t>
      </w:r>
      <w:r w:rsidR="00F60402" w:rsidRPr="00FD211F">
        <w:rPr>
          <w:sz w:val="36"/>
          <w:szCs w:val="36"/>
          <w:rtl/>
        </w:rPr>
        <w:t>يونس.</w:t>
      </w:r>
    </w:p>
    <w:p w14:paraId="7BAA7CC5" w14:textId="77777777" w:rsidR="003927DE" w:rsidRPr="00FD211F" w:rsidRDefault="00045715"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فالصحيح</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تمامي</w:t>
      </w:r>
      <w:r w:rsidR="00EC7EDF" w:rsidRPr="00FD211F">
        <w:rPr>
          <w:sz w:val="36"/>
          <w:szCs w:val="36"/>
          <w:rtl/>
        </w:rPr>
        <w:t>ة</w:t>
      </w:r>
      <w:r w:rsidR="00E8128F">
        <w:rPr>
          <w:sz w:val="36"/>
          <w:szCs w:val="36"/>
          <w:rtl/>
        </w:rPr>
        <w:t xml:space="preserve"> </w:t>
      </w:r>
      <w:r w:rsidRPr="00FD211F">
        <w:rPr>
          <w:sz w:val="36"/>
          <w:szCs w:val="36"/>
          <w:rtl/>
        </w:rPr>
        <w:t>نظري</w:t>
      </w:r>
      <w:r w:rsidR="00EC7EDF" w:rsidRPr="00FD211F">
        <w:rPr>
          <w:sz w:val="36"/>
          <w:szCs w:val="36"/>
          <w:rtl/>
        </w:rPr>
        <w:t>ة</w:t>
      </w:r>
      <w:r w:rsidR="00E8128F">
        <w:rPr>
          <w:sz w:val="36"/>
          <w:szCs w:val="36"/>
          <w:rtl/>
        </w:rPr>
        <w:t xml:space="preserve"> </w:t>
      </w:r>
      <w:r w:rsidRPr="00FD211F">
        <w:rPr>
          <w:sz w:val="36"/>
          <w:szCs w:val="36"/>
          <w:rtl/>
        </w:rPr>
        <w:t>تعويض</w:t>
      </w:r>
      <w:r w:rsidR="00E8128F">
        <w:rPr>
          <w:sz w:val="36"/>
          <w:szCs w:val="36"/>
          <w:rtl/>
        </w:rPr>
        <w:t xml:space="preserve"> </w:t>
      </w:r>
      <w:r w:rsidRPr="00FD211F">
        <w:rPr>
          <w:sz w:val="36"/>
          <w:szCs w:val="36"/>
          <w:rtl/>
        </w:rPr>
        <w:t>السند.</w:t>
      </w:r>
    </w:p>
    <w:p w14:paraId="56819703" w14:textId="77777777" w:rsidR="00335F30" w:rsidRPr="00FD211F" w:rsidRDefault="0079145C" w:rsidP="009C58C8">
      <w:pPr>
        <w:ind w:left="0" w:firstLine="227"/>
        <w:jc w:val="both"/>
        <w:rPr>
          <w:sz w:val="36"/>
          <w:szCs w:val="36"/>
          <w:rtl/>
        </w:rPr>
      </w:pPr>
      <w:r w:rsidRPr="00FD211F">
        <w:rPr>
          <w:sz w:val="36"/>
          <w:szCs w:val="36"/>
          <w:rtl/>
        </w:rPr>
        <w:t>واما</w:t>
      </w:r>
      <w:r w:rsidR="00E8128F">
        <w:rPr>
          <w:sz w:val="36"/>
          <w:szCs w:val="36"/>
          <w:rtl/>
        </w:rPr>
        <w:t xml:space="preserve"> </w:t>
      </w:r>
      <w:r w:rsidRPr="00FD211F">
        <w:rPr>
          <w:sz w:val="36"/>
          <w:szCs w:val="36"/>
          <w:rtl/>
        </w:rPr>
        <w:t>الاشكال</w:t>
      </w:r>
      <w:r w:rsidR="00E8128F">
        <w:rPr>
          <w:sz w:val="36"/>
          <w:szCs w:val="36"/>
          <w:rtl/>
        </w:rPr>
        <w:t xml:space="preserve"> </w:t>
      </w:r>
      <w:r w:rsidRPr="00FD211F">
        <w:rPr>
          <w:sz w:val="36"/>
          <w:szCs w:val="36"/>
          <w:rtl/>
        </w:rPr>
        <w:t>الثاني</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المسالك</w:t>
      </w:r>
      <w:r w:rsidR="00E8128F">
        <w:rPr>
          <w:sz w:val="36"/>
          <w:szCs w:val="36"/>
          <w:rtl/>
        </w:rPr>
        <w:t xml:space="preserve"> </w:t>
      </w:r>
      <w:r w:rsidR="00F60402" w:rsidRPr="00FD211F">
        <w:rPr>
          <w:sz w:val="36"/>
          <w:szCs w:val="36"/>
          <w:rtl/>
        </w:rPr>
        <w:t>على</w:t>
      </w:r>
      <w:r w:rsidR="00E8128F">
        <w:rPr>
          <w:sz w:val="36"/>
          <w:szCs w:val="36"/>
          <w:rtl/>
        </w:rPr>
        <w:t xml:space="preserve"> </w:t>
      </w:r>
      <w:r w:rsidR="00F60402" w:rsidRPr="00FD211F">
        <w:rPr>
          <w:sz w:val="36"/>
          <w:szCs w:val="36"/>
          <w:rtl/>
        </w:rPr>
        <w:t>رواي</w:t>
      </w:r>
      <w:r w:rsidR="00EC7EDF" w:rsidRPr="00FD211F">
        <w:rPr>
          <w:sz w:val="36"/>
          <w:szCs w:val="36"/>
          <w:rtl/>
        </w:rPr>
        <w:t>ة</w:t>
      </w:r>
      <w:r w:rsidR="00E8128F">
        <w:rPr>
          <w:sz w:val="36"/>
          <w:szCs w:val="36"/>
          <w:rtl/>
        </w:rPr>
        <w:t xml:space="preserve"> </w:t>
      </w:r>
      <w:r w:rsidR="00F60402" w:rsidRPr="00FD211F">
        <w:rPr>
          <w:sz w:val="36"/>
          <w:szCs w:val="36"/>
          <w:rtl/>
        </w:rPr>
        <w:t>ابن</w:t>
      </w:r>
      <w:r w:rsidR="00E8128F">
        <w:rPr>
          <w:sz w:val="36"/>
          <w:szCs w:val="36"/>
          <w:rtl/>
        </w:rPr>
        <w:t xml:space="preserve"> </w:t>
      </w:r>
      <w:r w:rsidR="00F60402" w:rsidRPr="00FD211F">
        <w:rPr>
          <w:sz w:val="36"/>
          <w:szCs w:val="36"/>
          <w:rtl/>
        </w:rPr>
        <w:t>مهزيار</w:t>
      </w:r>
      <w:r w:rsidR="00E8128F">
        <w:rPr>
          <w:sz w:val="36"/>
          <w:szCs w:val="36"/>
          <w:rtl/>
        </w:rPr>
        <w:t xml:space="preserve"> </w:t>
      </w:r>
      <w:r w:rsidRPr="00FD211F">
        <w:rPr>
          <w:sz w:val="36"/>
          <w:szCs w:val="36"/>
          <w:rtl/>
        </w:rPr>
        <w:t>فقد</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ان</w:t>
      </w:r>
      <w:r w:rsidR="00E8128F">
        <w:rPr>
          <w:sz w:val="36"/>
          <w:szCs w:val="36"/>
          <w:rtl/>
        </w:rPr>
        <w:t xml:space="preserve"> </w:t>
      </w:r>
      <w:r w:rsidR="003927DE" w:rsidRPr="00FD211F">
        <w:rPr>
          <w:sz w:val="36"/>
          <w:szCs w:val="36"/>
          <w:rtl/>
        </w:rPr>
        <w:t>اطلاق</w:t>
      </w:r>
      <w:r w:rsidR="00E8128F">
        <w:rPr>
          <w:sz w:val="36"/>
          <w:szCs w:val="36"/>
          <w:rtl/>
        </w:rPr>
        <w:t xml:space="preserve"> </w:t>
      </w:r>
      <w:r w:rsidR="003927DE" w:rsidRPr="00FD211F">
        <w:rPr>
          <w:sz w:val="36"/>
          <w:szCs w:val="36"/>
          <w:rtl/>
        </w:rPr>
        <w:t>ابي</w:t>
      </w:r>
      <w:r w:rsidR="00E8128F">
        <w:rPr>
          <w:sz w:val="36"/>
          <w:szCs w:val="36"/>
          <w:rtl/>
        </w:rPr>
        <w:t xml:space="preserve"> </w:t>
      </w:r>
      <w:r w:rsidR="003927DE" w:rsidRPr="00FD211F">
        <w:rPr>
          <w:sz w:val="36"/>
          <w:szCs w:val="36"/>
          <w:rtl/>
        </w:rPr>
        <w:t>جعفر</w:t>
      </w:r>
      <w:r w:rsidR="00E8128F">
        <w:rPr>
          <w:sz w:val="36"/>
          <w:szCs w:val="36"/>
          <w:rtl/>
        </w:rPr>
        <w:t xml:space="preserve"> </w:t>
      </w:r>
      <w:r w:rsidR="003927DE" w:rsidRPr="00FD211F">
        <w:rPr>
          <w:sz w:val="36"/>
          <w:szCs w:val="36"/>
          <w:rtl/>
        </w:rPr>
        <w:t>على</w:t>
      </w:r>
      <w:r w:rsidR="00E8128F">
        <w:rPr>
          <w:sz w:val="36"/>
          <w:szCs w:val="36"/>
          <w:rtl/>
        </w:rPr>
        <w:t xml:space="preserve"> </w:t>
      </w:r>
      <w:r w:rsidR="003927DE" w:rsidRPr="00FD211F">
        <w:rPr>
          <w:sz w:val="36"/>
          <w:szCs w:val="36"/>
          <w:rtl/>
        </w:rPr>
        <w:t>الامام</w:t>
      </w:r>
      <w:r w:rsidR="00E8128F">
        <w:rPr>
          <w:sz w:val="36"/>
          <w:szCs w:val="36"/>
          <w:rtl/>
        </w:rPr>
        <w:t xml:space="preserve"> </w:t>
      </w:r>
      <w:r w:rsidR="003927DE" w:rsidRPr="00FD211F">
        <w:rPr>
          <w:sz w:val="36"/>
          <w:szCs w:val="36"/>
          <w:rtl/>
        </w:rPr>
        <w:t>الجواد</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3927DE" w:rsidRPr="00FD211F">
        <w:rPr>
          <w:sz w:val="36"/>
          <w:szCs w:val="36"/>
          <w:rtl/>
        </w:rPr>
        <w:t>موجود</w:t>
      </w:r>
      <w:r w:rsidR="00E8128F">
        <w:rPr>
          <w:sz w:val="36"/>
          <w:szCs w:val="36"/>
          <w:rtl/>
        </w:rPr>
        <w:t xml:space="preserve"> </w:t>
      </w:r>
      <w:r w:rsidR="003927DE" w:rsidRPr="00FD211F">
        <w:rPr>
          <w:sz w:val="36"/>
          <w:szCs w:val="36"/>
          <w:rtl/>
        </w:rPr>
        <w:t>في</w:t>
      </w:r>
      <w:r w:rsidR="00E8128F">
        <w:rPr>
          <w:sz w:val="36"/>
          <w:szCs w:val="36"/>
          <w:rtl/>
        </w:rPr>
        <w:t xml:space="preserve"> </w:t>
      </w:r>
      <w:r w:rsidR="003927DE" w:rsidRPr="00FD211F">
        <w:rPr>
          <w:sz w:val="36"/>
          <w:szCs w:val="36"/>
          <w:rtl/>
        </w:rPr>
        <w:t>الروايات</w:t>
      </w:r>
      <w:r w:rsidR="00E8128F">
        <w:rPr>
          <w:sz w:val="36"/>
          <w:szCs w:val="36"/>
          <w:rtl/>
        </w:rPr>
        <w:t xml:space="preserve"> </w:t>
      </w:r>
      <w:r w:rsidR="003927DE" w:rsidRPr="00FD211F">
        <w:rPr>
          <w:sz w:val="36"/>
          <w:szCs w:val="36"/>
          <w:rtl/>
        </w:rPr>
        <w:t>وحينئذ</w:t>
      </w:r>
      <w:r w:rsidR="00E8128F">
        <w:rPr>
          <w:sz w:val="36"/>
          <w:szCs w:val="36"/>
          <w:rtl/>
        </w:rPr>
        <w:t xml:space="preserve"> </w:t>
      </w:r>
      <w:r w:rsidR="003927DE" w:rsidRPr="00FD211F">
        <w:rPr>
          <w:sz w:val="36"/>
          <w:szCs w:val="36"/>
          <w:rtl/>
        </w:rPr>
        <w:t>فقد</w:t>
      </w:r>
      <w:r w:rsidR="00E8128F">
        <w:rPr>
          <w:sz w:val="36"/>
          <w:szCs w:val="36"/>
          <w:rtl/>
        </w:rPr>
        <w:t xml:space="preserve"> </w:t>
      </w:r>
      <w:r w:rsidR="003927DE" w:rsidRPr="00FD211F">
        <w:rPr>
          <w:sz w:val="36"/>
          <w:szCs w:val="36"/>
          <w:rtl/>
        </w:rPr>
        <w:t>يقال</w:t>
      </w:r>
      <w:r w:rsidR="00E8128F">
        <w:rPr>
          <w:sz w:val="36"/>
          <w:szCs w:val="36"/>
          <w:rtl/>
        </w:rPr>
        <w:t xml:space="preserve"> </w:t>
      </w:r>
      <w:r w:rsidR="003927DE" w:rsidRPr="00FD211F">
        <w:rPr>
          <w:sz w:val="36"/>
          <w:szCs w:val="36"/>
          <w:rtl/>
        </w:rPr>
        <w:t>ان</w:t>
      </w:r>
      <w:r w:rsidR="00E8128F">
        <w:rPr>
          <w:sz w:val="36"/>
          <w:szCs w:val="36"/>
          <w:rtl/>
        </w:rPr>
        <w:t xml:space="preserve"> </w:t>
      </w:r>
      <w:r w:rsidR="003927DE" w:rsidRPr="00FD211F">
        <w:rPr>
          <w:sz w:val="36"/>
          <w:szCs w:val="36"/>
          <w:rtl/>
        </w:rPr>
        <w:t>رواي</w:t>
      </w:r>
      <w:r w:rsidR="00EC7EDF" w:rsidRPr="00FD211F">
        <w:rPr>
          <w:sz w:val="36"/>
          <w:szCs w:val="36"/>
          <w:rtl/>
        </w:rPr>
        <w:t>ة</w:t>
      </w:r>
      <w:r w:rsidR="00E8128F">
        <w:rPr>
          <w:sz w:val="36"/>
          <w:szCs w:val="36"/>
          <w:rtl/>
        </w:rPr>
        <w:t xml:space="preserve"> </w:t>
      </w:r>
      <w:r w:rsidR="00523DD6" w:rsidRPr="00FD211F">
        <w:rPr>
          <w:sz w:val="36"/>
          <w:szCs w:val="36"/>
          <w:rtl/>
        </w:rPr>
        <w:t>ابن</w:t>
      </w:r>
      <w:r w:rsidR="00E8128F">
        <w:rPr>
          <w:sz w:val="36"/>
          <w:szCs w:val="36"/>
          <w:rtl/>
        </w:rPr>
        <w:t xml:space="preserve"> </w:t>
      </w:r>
      <w:r w:rsidR="00523DD6" w:rsidRPr="00FD211F">
        <w:rPr>
          <w:sz w:val="36"/>
          <w:szCs w:val="36"/>
          <w:rtl/>
        </w:rPr>
        <w:t>مهزيار</w:t>
      </w:r>
      <w:r w:rsidR="00E8128F">
        <w:rPr>
          <w:sz w:val="36"/>
          <w:szCs w:val="36"/>
          <w:rtl/>
        </w:rPr>
        <w:t xml:space="preserve"> </w:t>
      </w:r>
      <w:r w:rsidR="00523DD6" w:rsidRPr="00FD211F">
        <w:rPr>
          <w:sz w:val="36"/>
          <w:szCs w:val="36"/>
          <w:rtl/>
        </w:rPr>
        <w:t>عنه</w:t>
      </w:r>
      <w:r w:rsidR="00E8128F">
        <w:rPr>
          <w:sz w:val="36"/>
          <w:szCs w:val="36"/>
          <w:rtl/>
        </w:rPr>
        <w:t xml:space="preserve"> </w:t>
      </w:r>
      <w:r w:rsidR="003927DE" w:rsidRPr="00FD211F">
        <w:rPr>
          <w:sz w:val="36"/>
          <w:szCs w:val="36"/>
          <w:rtl/>
        </w:rPr>
        <w:t>ظاهر</w:t>
      </w:r>
      <w:r w:rsidR="00523DD6" w:rsidRPr="00FD211F">
        <w:rPr>
          <w:sz w:val="36"/>
          <w:szCs w:val="36"/>
          <w:rtl/>
        </w:rPr>
        <w:t>ة</w:t>
      </w:r>
      <w:r w:rsidR="00E8128F">
        <w:rPr>
          <w:sz w:val="36"/>
          <w:szCs w:val="36"/>
          <w:rtl/>
        </w:rPr>
        <w:t xml:space="preserve"> </w:t>
      </w:r>
      <w:r w:rsidR="003927DE" w:rsidRPr="00FD211F">
        <w:rPr>
          <w:sz w:val="36"/>
          <w:szCs w:val="36"/>
          <w:rtl/>
        </w:rPr>
        <w:t>في</w:t>
      </w:r>
      <w:r w:rsidR="00E8128F">
        <w:rPr>
          <w:sz w:val="36"/>
          <w:szCs w:val="36"/>
          <w:rtl/>
        </w:rPr>
        <w:t xml:space="preserve"> </w:t>
      </w:r>
      <w:r w:rsidR="003927DE" w:rsidRPr="00FD211F">
        <w:rPr>
          <w:sz w:val="36"/>
          <w:szCs w:val="36"/>
          <w:rtl/>
        </w:rPr>
        <w:t>الحس</w:t>
      </w:r>
      <w:r w:rsidR="001764C0" w:rsidRPr="00FD211F">
        <w:rPr>
          <w:sz w:val="36"/>
          <w:szCs w:val="36"/>
          <w:rtl/>
        </w:rPr>
        <w:t>ّ</w:t>
      </w:r>
      <w:r w:rsidR="00E8128F">
        <w:rPr>
          <w:sz w:val="36"/>
          <w:szCs w:val="36"/>
          <w:rtl/>
        </w:rPr>
        <w:t xml:space="preserve"> </w:t>
      </w:r>
      <w:r w:rsidR="00523DD6" w:rsidRPr="00FD211F">
        <w:rPr>
          <w:sz w:val="36"/>
          <w:szCs w:val="36"/>
          <w:rtl/>
        </w:rPr>
        <w:t>ف</w:t>
      </w:r>
      <w:r w:rsidR="003927DE" w:rsidRPr="00FD211F">
        <w:rPr>
          <w:sz w:val="36"/>
          <w:szCs w:val="36"/>
          <w:rtl/>
        </w:rPr>
        <w:t>تكون</w:t>
      </w:r>
      <w:r w:rsidR="00E8128F">
        <w:rPr>
          <w:sz w:val="36"/>
          <w:szCs w:val="36"/>
          <w:rtl/>
        </w:rPr>
        <w:t xml:space="preserve"> </w:t>
      </w:r>
      <w:r w:rsidR="003927DE" w:rsidRPr="00FD211F">
        <w:rPr>
          <w:sz w:val="36"/>
          <w:szCs w:val="36"/>
          <w:rtl/>
        </w:rPr>
        <w:t>قرين</w:t>
      </w:r>
      <w:r w:rsidR="00EC7EDF" w:rsidRPr="00FD211F">
        <w:rPr>
          <w:sz w:val="36"/>
          <w:szCs w:val="36"/>
          <w:rtl/>
        </w:rPr>
        <w:t>ة</w:t>
      </w:r>
      <w:r w:rsidR="00E8128F">
        <w:rPr>
          <w:sz w:val="36"/>
          <w:szCs w:val="36"/>
          <w:rtl/>
        </w:rPr>
        <w:t xml:space="preserve"> </w:t>
      </w:r>
      <w:r w:rsidR="00523DD6" w:rsidRPr="00FD211F">
        <w:rPr>
          <w:sz w:val="36"/>
          <w:szCs w:val="36"/>
          <w:rtl/>
        </w:rPr>
        <w:t>على</w:t>
      </w:r>
      <w:r w:rsidR="00E8128F">
        <w:rPr>
          <w:sz w:val="36"/>
          <w:szCs w:val="36"/>
          <w:rtl/>
        </w:rPr>
        <w:t xml:space="preserve"> </w:t>
      </w:r>
      <w:r w:rsidR="00523DD6" w:rsidRPr="00FD211F">
        <w:rPr>
          <w:sz w:val="36"/>
          <w:szCs w:val="36"/>
          <w:rtl/>
        </w:rPr>
        <w:t>ارادة</w:t>
      </w:r>
      <w:r w:rsidR="00E8128F">
        <w:rPr>
          <w:sz w:val="36"/>
          <w:szCs w:val="36"/>
          <w:rtl/>
        </w:rPr>
        <w:t xml:space="preserve"> </w:t>
      </w:r>
      <w:r w:rsidR="00523DD6" w:rsidRPr="00FD211F">
        <w:rPr>
          <w:sz w:val="36"/>
          <w:szCs w:val="36"/>
          <w:rtl/>
        </w:rPr>
        <w:t>الامام</w:t>
      </w:r>
      <w:r w:rsidR="00E8128F">
        <w:rPr>
          <w:sz w:val="36"/>
          <w:szCs w:val="36"/>
          <w:rtl/>
        </w:rPr>
        <w:t xml:space="preserve"> </w:t>
      </w:r>
      <w:r w:rsidR="00523DD6" w:rsidRPr="00FD211F">
        <w:rPr>
          <w:sz w:val="36"/>
          <w:szCs w:val="36"/>
          <w:rtl/>
        </w:rPr>
        <w:t>الجواد</w:t>
      </w:r>
      <w:r w:rsidR="00E8128F">
        <w:rPr>
          <w:sz w:val="36"/>
          <w:szCs w:val="36"/>
          <w:rtl/>
        </w:rPr>
        <w:t xml:space="preserve"> </w:t>
      </w:r>
      <w:r w:rsidR="007A4A0D" w:rsidRPr="00FD211F">
        <w:rPr>
          <w:sz w:val="36"/>
          <w:szCs w:val="36"/>
          <w:rtl/>
        </w:rPr>
        <w:t>(عليه‌السلام)</w:t>
      </w:r>
      <w:r w:rsidR="00603323" w:rsidRPr="00FD211F">
        <w:rPr>
          <w:sz w:val="36"/>
          <w:szCs w:val="36"/>
          <w:rtl/>
        </w:rPr>
        <w:t>،</w:t>
      </w:r>
      <w:r w:rsidR="00E8128F">
        <w:rPr>
          <w:sz w:val="36"/>
          <w:szCs w:val="36"/>
          <w:rtl/>
        </w:rPr>
        <w:t xml:space="preserve"> </w:t>
      </w:r>
      <w:r w:rsidR="003927DE" w:rsidRPr="00FD211F">
        <w:rPr>
          <w:sz w:val="36"/>
          <w:szCs w:val="36"/>
          <w:rtl/>
        </w:rPr>
        <w:t>و</w:t>
      </w:r>
      <w:r w:rsidR="00E8128F">
        <w:rPr>
          <w:sz w:val="36"/>
          <w:szCs w:val="36"/>
          <w:rtl/>
        </w:rPr>
        <w:t xml:space="preserve"> </w:t>
      </w:r>
      <w:r w:rsidR="00523DD6" w:rsidRPr="00FD211F">
        <w:rPr>
          <w:sz w:val="36"/>
          <w:szCs w:val="36"/>
          <w:rtl/>
        </w:rPr>
        <w:t>لامانع</w:t>
      </w:r>
      <w:r w:rsidR="00E8128F">
        <w:rPr>
          <w:sz w:val="36"/>
          <w:szCs w:val="36"/>
          <w:rtl/>
        </w:rPr>
        <w:t xml:space="preserve"> </w:t>
      </w:r>
      <w:r w:rsidR="00523DD6" w:rsidRPr="00FD211F">
        <w:rPr>
          <w:sz w:val="36"/>
          <w:szCs w:val="36"/>
          <w:rtl/>
        </w:rPr>
        <w:t>عرفي</w:t>
      </w:r>
      <w:r w:rsidR="00E8128F">
        <w:rPr>
          <w:sz w:val="36"/>
          <w:szCs w:val="36"/>
          <w:rtl/>
        </w:rPr>
        <w:t xml:space="preserve"> </w:t>
      </w:r>
      <w:r w:rsidR="00523DD6" w:rsidRPr="00FD211F">
        <w:rPr>
          <w:sz w:val="36"/>
          <w:szCs w:val="36"/>
          <w:rtl/>
        </w:rPr>
        <w:t>من</w:t>
      </w:r>
      <w:r w:rsidR="00E8128F">
        <w:rPr>
          <w:sz w:val="36"/>
          <w:szCs w:val="36"/>
          <w:rtl/>
        </w:rPr>
        <w:t xml:space="preserve"> </w:t>
      </w:r>
      <w:r w:rsidR="003927DE" w:rsidRPr="00FD211F">
        <w:rPr>
          <w:sz w:val="36"/>
          <w:szCs w:val="36"/>
          <w:rtl/>
        </w:rPr>
        <w:t>نقل</w:t>
      </w:r>
      <w:r w:rsidR="00E8128F">
        <w:rPr>
          <w:sz w:val="36"/>
          <w:szCs w:val="36"/>
          <w:rtl/>
        </w:rPr>
        <w:t xml:space="preserve"> </w:t>
      </w:r>
      <w:r w:rsidR="003927DE" w:rsidRPr="00FD211F">
        <w:rPr>
          <w:sz w:val="36"/>
          <w:szCs w:val="36"/>
          <w:rtl/>
        </w:rPr>
        <w:t>فتو</w:t>
      </w:r>
      <w:r w:rsidR="00E66292" w:rsidRPr="00FD211F">
        <w:rPr>
          <w:sz w:val="36"/>
          <w:szCs w:val="36"/>
          <w:rtl/>
        </w:rPr>
        <w:t>ى</w:t>
      </w:r>
      <w:r w:rsidR="00E8128F">
        <w:rPr>
          <w:sz w:val="36"/>
          <w:szCs w:val="36"/>
          <w:rtl/>
        </w:rPr>
        <w:t xml:space="preserve"> </w:t>
      </w:r>
      <w:r w:rsidR="00E66292" w:rsidRPr="00FD211F">
        <w:rPr>
          <w:sz w:val="36"/>
          <w:szCs w:val="36"/>
          <w:rtl/>
        </w:rPr>
        <w:t>ابن</w:t>
      </w:r>
      <w:r w:rsidR="00E8128F">
        <w:rPr>
          <w:sz w:val="36"/>
          <w:szCs w:val="36"/>
          <w:rtl/>
        </w:rPr>
        <w:t xml:space="preserve"> </w:t>
      </w:r>
      <w:r w:rsidR="00E66292" w:rsidRPr="00FD211F">
        <w:rPr>
          <w:sz w:val="36"/>
          <w:szCs w:val="36"/>
          <w:rtl/>
        </w:rPr>
        <w:t>شبرم</w:t>
      </w:r>
      <w:r w:rsidR="00EC7EDF" w:rsidRPr="00FD211F">
        <w:rPr>
          <w:sz w:val="36"/>
          <w:szCs w:val="36"/>
          <w:rtl/>
        </w:rPr>
        <w:t>ة</w:t>
      </w:r>
      <w:r w:rsidR="00E8128F">
        <w:rPr>
          <w:sz w:val="36"/>
          <w:szCs w:val="36"/>
          <w:rtl/>
        </w:rPr>
        <w:t xml:space="preserve"> </w:t>
      </w:r>
      <w:r w:rsidR="00E66292" w:rsidRPr="00FD211F">
        <w:rPr>
          <w:sz w:val="36"/>
          <w:szCs w:val="36"/>
          <w:rtl/>
        </w:rPr>
        <w:t>في</w:t>
      </w:r>
      <w:r w:rsidR="00E8128F">
        <w:rPr>
          <w:sz w:val="36"/>
          <w:szCs w:val="36"/>
          <w:rtl/>
        </w:rPr>
        <w:t xml:space="preserve"> </w:t>
      </w:r>
      <w:r w:rsidR="00E66292" w:rsidRPr="00FD211F">
        <w:rPr>
          <w:sz w:val="36"/>
          <w:szCs w:val="36"/>
          <w:rtl/>
        </w:rPr>
        <w:t>عصر</w:t>
      </w:r>
      <w:r w:rsidR="00523DD6" w:rsidRPr="00FD211F">
        <w:rPr>
          <w:sz w:val="36"/>
          <w:szCs w:val="36"/>
          <w:rtl/>
        </w:rPr>
        <w:t>الامام</w:t>
      </w:r>
      <w:r w:rsidR="00E8128F">
        <w:rPr>
          <w:sz w:val="36"/>
          <w:szCs w:val="36"/>
          <w:rtl/>
        </w:rPr>
        <w:t xml:space="preserve"> </w:t>
      </w:r>
      <w:r w:rsidR="00523DD6" w:rsidRPr="00FD211F">
        <w:rPr>
          <w:sz w:val="36"/>
          <w:szCs w:val="36"/>
          <w:rtl/>
        </w:rPr>
        <w:t>الجواد</w:t>
      </w:r>
      <w:r w:rsidR="00E8128F">
        <w:rPr>
          <w:sz w:val="36"/>
          <w:szCs w:val="36"/>
          <w:rtl/>
        </w:rPr>
        <w:t xml:space="preserve"> </w:t>
      </w:r>
      <w:r w:rsidR="00523DD6" w:rsidRPr="00FD211F">
        <w:rPr>
          <w:sz w:val="36"/>
          <w:szCs w:val="36"/>
          <w:rtl/>
        </w:rPr>
        <w:t>(عليه</w:t>
      </w:r>
      <w:r w:rsidR="00E8128F">
        <w:rPr>
          <w:sz w:val="36"/>
          <w:szCs w:val="36"/>
          <w:rtl/>
        </w:rPr>
        <w:t xml:space="preserve"> </w:t>
      </w:r>
      <w:r w:rsidR="00523DD6" w:rsidRPr="00FD211F">
        <w:rPr>
          <w:sz w:val="36"/>
          <w:szCs w:val="36"/>
          <w:rtl/>
        </w:rPr>
        <w:t>السلام)</w:t>
      </w:r>
      <w:r w:rsidR="00E8128F">
        <w:rPr>
          <w:sz w:val="36"/>
          <w:szCs w:val="36"/>
          <w:rtl/>
        </w:rPr>
        <w:t xml:space="preserve"> </w:t>
      </w:r>
      <w:r w:rsidR="00E66292" w:rsidRPr="00FD211F">
        <w:rPr>
          <w:sz w:val="36"/>
          <w:szCs w:val="36"/>
          <w:rtl/>
        </w:rPr>
        <w:t>فانه</w:t>
      </w:r>
      <w:r w:rsidR="00E8128F">
        <w:rPr>
          <w:sz w:val="36"/>
          <w:szCs w:val="36"/>
          <w:rtl/>
        </w:rPr>
        <w:t xml:space="preserve"> </w:t>
      </w:r>
      <w:r w:rsidR="00E66292" w:rsidRPr="00FD211F">
        <w:rPr>
          <w:sz w:val="36"/>
          <w:szCs w:val="36"/>
          <w:rtl/>
        </w:rPr>
        <w:t>كان</w:t>
      </w:r>
      <w:r w:rsidR="00E8128F">
        <w:rPr>
          <w:sz w:val="36"/>
          <w:szCs w:val="36"/>
          <w:rtl/>
        </w:rPr>
        <w:t xml:space="preserve"> </w:t>
      </w:r>
      <w:r w:rsidR="00E66292" w:rsidRPr="00FD211F">
        <w:rPr>
          <w:sz w:val="36"/>
          <w:szCs w:val="36"/>
          <w:rtl/>
        </w:rPr>
        <w:t>من</w:t>
      </w:r>
      <w:r w:rsidR="00E8128F">
        <w:rPr>
          <w:sz w:val="36"/>
          <w:szCs w:val="36"/>
          <w:rtl/>
        </w:rPr>
        <w:t xml:space="preserve"> </w:t>
      </w:r>
      <w:r w:rsidR="00E66292" w:rsidRPr="00FD211F">
        <w:rPr>
          <w:sz w:val="36"/>
          <w:szCs w:val="36"/>
          <w:rtl/>
        </w:rPr>
        <w:t>فقهاء</w:t>
      </w:r>
      <w:r w:rsidR="00E8128F">
        <w:rPr>
          <w:sz w:val="36"/>
          <w:szCs w:val="36"/>
          <w:rtl/>
        </w:rPr>
        <w:t xml:space="preserve"> </w:t>
      </w:r>
      <w:r w:rsidR="00E66292" w:rsidRPr="00FD211F">
        <w:rPr>
          <w:sz w:val="36"/>
          <w:szCs w:val="36"/>
          <w:rtl/>
        </w:rPr>
        <w:t>العام</w:t>
      </w:r>
      <w:r w:rsidR="00EC7EDF" w:rsidRPr="00FD211F">
        <w:rPr>
          <w:sz w:val="36"/>
          <w:szCs w:val="36"/>
          <w:rtl/>
        </w:rPr>
        <w:t>ة</w:t>
      </w:r>
      <w:r w:rsidR="00E8128F">
        <w:rPr>
          <w:sz w:val="36"/>
          <w:szCs w:val="36"/>
          <w:rtl/>
        </w:rPr>
        <w:t xml:space="preserve"> </w:t>
      </w:r>
      <w:r w:rsidR="00E66292" w:rsidRPr="00FD211F">
        <w:rPr>
          <w:sz w:val="36"/>
          <w:szCs w:val="36"/>
          <w:rtl/>
        </w:rPr>
        <w:t>الم</w:t>
      </w:r>
      <w:r w:rsidR="00523DD6" w:rsidRPr="00FD211F">
        <w:rPr>
          <w:sz w:val="36"/>
          <w:szCs w:val="36"/>
          <w:rtl/>
        </w:rPr>
        <w:t>ع</w:t>
      </w:r>
      <w:r w:rsidR="00E66292" w:rsidRPr="00FD211F">
        <w:rPr>
          <w:sz w:val="36"/>
          <w:szCs w:val="36"/>
          <w:rtl/>
        </w:rPr>
        <w:t>ر</w:t>
      </w:r>
      <w:r w:rsidR="00523DD6" w:rsidRPr="00FD211F">
        <w:rPr>
          <w:sz w:val="36"/>
          <w:szCs w:val="36"/>
          <w:rtl/>
        </w:rPr>
        <w:t>وف</w:t>
      </w:r>
      <w:r w:rsidR="00E66292" w:rsidRPr="00FD211F">
        <w:rPr>
          <w:sz w:val="36"/>
          <w:szCs w:val="36"/>
          <w:rtl/>
        </w:rPr>
        <w:t>ين</w:t>
      </w:r>
      <w:r w:rsidR="00603323" w:rsidRPr="00FD211F">
        <w:rPr>
          <w:sz w:val="36"/>
          <w:szCs w:val="36"/>
          <w:rtl/>
        </w:rPr>
        <w:t>،</w:t>
      </w:r>
      <w:r w:rsidR="00E8128F">
        <w:rPr>
          <w:sz w:val="36"/>
          <w:szCs w:val="36"/>
          <w:rtl/>
        </w:rPr>
        <w:t xml:space="preserve"> </w:t>
      </w:r>
      <w:r w:rsidR="00523DD6" w:rsidRPr="00FD211F">
        <w:rPr>
          <w:sz w:val="36"/>
          <w:szCs w:val="36"/>
          <w:rtl/>
        </w:rPr>
        <w:t>وقد</w:t>
      </w:r>
      <w:r w:rsidR="00E8128F">
        <w:rPr>
          <w:sz w:val="36"/>
          <w:szCs w:val="36"/>
          <w:rtl/>
        </w:rPr>
        <w:t xml:space="preserve"> </w:t>
      </w:r>
      <w:r w:rsidR="00523DD6" w:rsidRPr="00FD211F">
        <w:rPr>
          <w:sz w:val="36"/>
          <w:szCs w:val="36"/>
          <w:rtl/>
        </w:rPr>
        <w:t>نق</w:t>
      </w:r>
      <w:r w:rsidR="00E66292" w:rsidRPr="00FD211F">
        <w:rPr>
          <w:sz w:val="36"/>
          <w:szCs w:val="36"/>
          <w:rtl/>
        </w:rPr>
        <w:t>ل</w:t>
      </w:r>
      <w:r w:rsidR="00E8128F">
        <w:rPr>
          <w:sz w:val="36"/>
          <w:szCs w:val="36"/>
          <w:rtl/>
        </w:rPr>
        <w:t xml:space="preserve"> </w:t>
      </w:r>
      <w:r w:rsidR="00E66292" w:rsidRPr="00FD211F">
        <w:rPr>
          <w:sz w:val="36"/>
          <w:szCs w:val="36"/>
          <w:rtl/>
        </w:rPr>
        <w:t>في</w:t>
      </w:r>
      <w:r w:rsidR="00E8128F">
        <w:rPr>
          <w:sz w:val="36"/>
          <w:szCs w:val="36"/>
          <w:rtl/>
        </w:rPr>
        <w:t xml:space="preserve"> </w:t>
      </w:r>
      <w:r w:rsidRPr="00FD211F">
        <w:rPr>
          <w:sz w:val="36"/>
          <w:szCs w:val="36"/>
          <w:rtl/>
        </w:rPr>
        <w:t>تهذيب</w:t>
      </w:r>
      <w:r w:rsidR="00E8128F">
        <w:rPr>
          <w:sz w:val="36"/>
          <w:szCs w:val="36"/>
          <w:rtl/>
        </w:rPr>
        <w:t xml:space="preserve"> </w:t>
      </w:r>
      <w:r w:rsidRPr="00FD211F">
        <w:rPr>
          <w:sz w:val="36"/>
          <w:szCs w:val="36"/>
          <w:rtl/>
        </w:rPr>
        <w:t>التهذيب</w:t>
      </w:r>
      <w:r w:rsidR="00E8128F">
        <w:rPr>
          <w:sz w:val="36"/>
          <w:szCs w:val="36"/>
          <w:rtl/>
        </w:rPr>
        <w:t xml:space="preserve"> </w:t>
      </w:r>
      <w:r w:rsidR="00E66292" w:rsidRPr="00FD211F">
        <w:rPr>
          <w:sz w:val="36"/>
          <w:szCs w:val="36"/>
          <w:rtl/>
        </w:rPr>
        <w:t>في</w:t>
      </w:r>
      <w:r w:rsidR="00E8128F">
        <w:rPr>
          <w:sz w:val="36"/>
          <w:szCs w:val="36"/>
          <w:rtl/>
        </w:rPr>
        <w:t xml:space="preserve"> </w:t>
      </w:r>
      <w:r w:rsidR="00E66292" w:rsidRPr="00FD211F">
        <w:rPr>
          <w:sz w:val="36"/>
          <w:szCs w:val="36"/>
          <w:rtl/>
        </w:rPr>
        <w:t>ترجم</w:t>
      </w:r>
      <w:r w:rsidR="00EC7EDF" w:rsidRPr="00FD211F">
        <w:rPr>
          <w:sz w:val="36"/>
          <w:szCs w:val="36"/>
          <w:rtl/>
        </w:rPr>
        <w:t>ة</w:t>
      </w:r>
      <w:r w:rsidR="00E8128F">
        <w:rPr>
          <w:sz w:val="36"/>
          <w:szCs w:val="36"/>
          <w:rtl/>
        </w:rPr>
        <w:t xml:space="preserve"> </w:t>
      </w:r>
      <w:r w:rsidR="00E66292" w:rsidRPr="00FD211F">
        <w:rPr>
          <w:sz w:val="36"/>
          <w:szCs w:val="36"/>
          <w:rtl/>
        </w:rPr>
        <w:t>عبدالله</w:t>
      </w:r>
      <w:r w:rsidR="00E8128F">
        <w:rPr>
          <w:sz w:val="36"/>
          <w:szCs w:val="36"/>
          <w:rtl/>
        </w:rPr>
        <w:t xml:space="preserve"> </w:t>
      </w:r>
      <w:r w:rsidR="00E66292" w:rsidRPr="00FD211F">
        <w:rPr>
          <w:sz w:val="36"/>
          <w:szCs w:val="36"/>
          <w:rtl/>
        </w:rPr>
        <w:t>بن</w:t>
      </w:r>
      <w:r w:rsidR="00E8128F">
        <w:rPr>
          <w:sz w:val="36"/>
          <w:szCs w:val="36"/>
          <w:rtl/>
        </w:rPr>
        <w:t xml:space="preserve"> </w:t>
      </w:r>
      <w:r w:rsidR="00E66292" w:rsidRPr="00FD211F">
        <w:rPr>
          <w:sz w:val="36"/>
          <w:szCs w:val="36"/>
          <w:rtl/>
        </w:rPr>
        <w:t>شبرم</w:t>
      </w:r>
      <w:r w:rsidR="00EC7EDF" w:rsidRPr="00FD211F">
        <w:rPr>
          <w:sz w:val="36"/>
          <w:szCs w:val="36"/>
          <w:rtl/>
        </w:rPr>
        <w:t>ة</w:t>
      </w:r>
      <w:r w:rsidR="00E8128F">
        <w:rPr>
          <w:sz w:val="36"/>
          <w:szCs w:val="36"/>
          <w:rtl/>
        </w:rPr>
        <w:t xml:space="preserve"> </w:t>
      </w:r>
      <w:r w:rsidR="00E66292" w:rsidRPr="00FD211F">
        <w:rPr>
          <w:sz w:val="36"/>
          <w:szCs w:val="36"/>
          <w:rtl/>
        </w:rPr>
        <w:t>عن</w:t>
      </w:r>
      <w:r w:rsidR="00E8128F">
        <w:rPr>
          <w:sz w:val="36"/>
          <w:szCs w:val="36"/>
          <w:rtl/>
        </w:rPr>
        <w:t xml:space="preserve"> </w:t>
      </w:r>
      <w:r w:rsidR="00E66292" w:rsidRPr="00FD211F">
        <w:rPr>
          <w:sz w:val="36"/>
          <w:szCs w:val="36"/>
          <w:rtl/>
        </w:rPr>
        <w:t>الثوري:</w:t>
      </w:r>
      <w:r w:rsidR="00E8128F">
        <w:rPr>
          <w:sz w:val="36"/>
          <w:szCs w:val="36"/>
          <w:rtl/>
        </w:rPr>
        <w:t xml:space="preserve"> </w:t>
      </w:r>
      <w:r w:rsidR="00E66292" w:rsidRPr="00FD211F">
        <w:rPr>
          <w:sz w:val="36"/>
          <w:szCs w:val="36"/>
          <w:rtl/>
        </w:rPr>
        <w:t>فقهائنا</w:t>
      </w:r>
      <w:r w:rsidR="00E8128F">
        <w:rPr>
          <w:sz w:val="36"/>
          <w:szCs w:val="36"/>
          <w:rtl/>
        </w:rPr>
        <w:t xml:space="preserve"> </w:t>
      </w:r>
      <w:r w:rsidR="00E66292" w:rsidRPr="00FD211F">
        <w:rPr>
          <w:sz w:val="36"/>
          <w:szCs w:val="36"/>
          <w:rtl/>
        </w:rPr>
        <w:t>ابن</w:t>
      </w:r>
      <w:r w:rsidR="00E8128F">
        <w:rPr>
          <w:sz w:val="36"/>
          <w:szCs w:val="36"/>
          <w:rtl/>
        </w:rPr>
        <w:t xml:space="preserve"> </w:t>
      </w:r>
      <w:r w:rsidR="00E66292" w:rsidRPr="00FD211F">
        <w:rPr>
          <w:sz w:val="36"/>
          <w:szCs w:val="36"/>
          <w:rtl/>
        </w:rPr>
        <w:t>شبرم</w:t>
      </w:r>
      <w:r w:rsidR="00EC7EDF" w:rsidRPr="00FD211F">
        <w:rPr>
          <w:sz w:val="36"/>
          <w:szCs w:val="36"/>
          <w:rtl/>
        </w:rPr>
        <w:t>ة</w:t>
      </w:r>
      <w:r w:rsidR="00E8128F">
        <w:rPr>
          <w:sz w:val="36"/>
          <w:szCs w:val="36"/>
          <w:rtl/>
        </w:rPr>
        <w:t xml:space="preserve"> </w:t>
      </w:r>
      <w:r w:rsidR="00E66292" w:rsidRPr="00FD211F">
        <w:rPr>
          <w:sz w:val="36"/>
          <w:szCs w:val="36"/>
          <w:rtl/>
        </w:rPr>
        <w:t>وابن</w:t>
      </w:r>
      <w:r w:rsidR="00E8128F">
        <w:rPr>
          <w:sz w:val="36"/>
          <w:szCs w:val="36"/>
          <w:rtl/>
        </w:rPr>
        <w:t xml:space="preserve"> </w:t>
      </w:r>
      <w:r w:rsidR="00E66292" w:rsidRPr="00FD211F">
        <w:rPr>
          <w:sz w:val="36"/>
          <w:szCs w:val="36"/>
          <w:rtl/>
        </w:rPr>
        <w:t>ابي</w:t>
      </w:r>
      <w:r w:rsidR="00E8128F">
        <w:rPr>
          <w:sz w:val="36"/>
          <w:szCs w:val="36"/>
          <w:rtl/>
        </w:rPr>
        <w:t xml:space="preserve"> </w:t>
      </w:r>
      <w:r w:rsidR="00E66292" w:rsidRPr="00FD211F">
        <w:rPr>
          <w:sz w:val="36"/>
          <w:szCs w:val="36"/>
          <w:rtl/>
        </w:rPr>
        <w:t>ليلى</w:t>
      </w:r>
      <w:r w:rsidR="00603323" w:rsidRPr="00FD211F">
        <w:rPr>
          <w:sz w:val="36"/>
          <w:szCs w:val="36"/>
          <w:rtl/>
        </w:rPr>
        <w:t>،</w:t>
      </w:r>
      <w:r w:rsidR="00E8128F">
        <w:rPr>
          <w:sz w:val="36"/>
          <w:szCs w:val="36"/>
          <w:rtl/>
        </w:rPr>
        <w:t xml:space="preserve"> </w:t>
      </w:r>
      <w:r w:rsidR="00E66292" w:rsidRPr="00FD211F">
        <w:rPr>
          <w:sz w:val="36"/>
          <w:szCs w:val="36"/>
          <w:rtl/>
        </w:rPr>
        <w:t>وكان</w:t>
      </w:r>
      <w:r w:rsidR="00E8128F">
        <w:rPr>
          <w:sz w:val="36"/>
          <w:szCs w:val="36"/>
          <w:rtl/>
        </w:rPr>
        <w:t xml:space="preserve"> </w:t>
      </w:r>
      <w:r w:rsidR="00E66292" w:rsidRPr="00FD211F">
        <w:rPr>
          <w:sz w:val="36"/>
          <w:szCs w:val="36"/>
          <w:rtl/>
        </w:rPr>
        <w:t>اذا</w:t>
      </w:r>
      <w:r w:rsidR="00E8128F">
        <w:rPr>
          <w:sz w:val="36"/>
          <w:szCs w:val="36"/>
          <w:rtl/>
        </w:rPr>
        <w:t xml:space="preserve"> </w:t>
      </w:r>
      <w:r w:rsidR="00E66292" w:rsidRPr="00FD211F">
        <w:rPr>
          <w:sz w:val="36"/>
          <w:szCs w:val="36"/>
          <w:rtl/>
        </w:rPr>
        <w:t>قيل</w:t>
      </w:r>
      <w:r w:rsidR="00E8128F">
        <w:rPr>
          <w:sz w:val="36"/>
          <w:szCs w:val="36"/>
          <w:rtl/>
        </w:rPr>
        <w:t xml:space="preserve"> </w:t>
      </w:r>
      <w:r w:rsidR="00E66292" w:rsidRPr="00FD211F">
        <w:rPr>
          <w:sz w:val="36"/>
          <w:szCs w:val="36"/>
          <w:rtl/>
        </w:rPr>
        <w:t>له</w:t>
      </w:r>
      <w:r w:rsidR="00523DD6" w:rsidRPr="00FD211F">
        <w:rPr>
          <w:sz w:val="36"/>
          <w:szCs w:val="36"/>
          <w:rtl/>
        </w:rPr>
        <w:t>(اي</w:t>
      </w:r>
      <w:r w:rsidR="00E8128F">
        <w:rPr>
          <w:sz w:val="36"/>
          <w:szCs w:val="36"/>
          <w:rtl/>
        </w:rPr>
        <w:t xml:space="preserve"> </w:t>
      </w:r>
      <w:r w:rsidR="00523DD6" w:rsidRPr="00FD211F">
        <w:rPr>
          <w:sz w:val="36"/>
          <w:szCs w:val="36"/>
          <w:rtl/>
        </w:rPr>
        <w:t>للثوري)</w:t>
      </w:r>
      <w:r w:rsidR="00E8128F">
        <w:rPr>
          <w:sz w:val="36"/>
          <w:szCs w:val="36"/>
          <w:rtl/>
        </w:rPr>
        <w:t xml:space="preserve"> </w:t>
      </w:r>
      <w:r w:rsidR="00E66292" w:rsidRPr="00FD211F">
        <w:rPr>
          <w:sz w:val="36"/>
          <w:szCs w:val="36"/>
          <w:rtl/>
        </w:rPr>
        <w:t>م</w:t>
      </w:r>
      <w:r w:rsidR="00523DD6" w:rsidRPr="00FD211F">
        <w:rPr>
          <w:sz w:val="36"/>
          <w:szCs w:val="36"/>
          <w:rtl/>
        </w:rPr>
        <w:t>َ</w:t>
      </w:r>
      <w:r w:rsidR="00E66292" w:rsidRPr="00FD211F">
        <w:rPr>
          <w:sz w:val="36"/>
          <w:szCs w:val="36"/>
          <w:rtl/>
        </w:rPr>
        <w:t>ن</w:t>
      </w:r>
      <w:r w:rsidR="00E8128F">
        <w:rPr>
          <w:sz w:val="36"/>
          <w:szCs w:val="36"/>
          <w:rtl/>
        </w:rPr>
        <w:t xml:space="preserve"> </w:t>
      </w:r>
      <w:r w:rsidR="00E66292" w:rsidRPr="00FD211F">
        <w:rPr>
          <w:sz w:val="36"/>
          <w:szCs w:val="36"/>
          <w:rtl/>
        </w:rPr>
        <w:t>مفتيكم</w:t>
      </w:r>
      <w:r w:rsidR="00603323" w:rsidRPr="00FD211F">
        <w:rPr>
          <w:sz w:val="36"/>
          <w:szCs w:val="36"/>
          <w:rtl/>
        </w:rPr>
        <w:t>،</w:t>
      </w:r>
      <w:r w:rsidR="00E8128F">
        <w:rPr>
          <w:sz w:val="36"/>
          <w:szCs w:val="36"/>
          <w:rtl/>
        </w:rPr>
        <w:t xml:space="preserve"> </w:t>
      </w:r>
      <w:r w:rsidR="00E66292" w:rsidRPr="00FD211F">
        <w:rPr>
          <w:sz w:val="36"/>
          <w:szCs w:val="36"/>
          <w:rtl/>
        </w:rPr>
        <w:t>يقول</w:t>
      </w:r>
      <w:r w:rsidR="00E8128F">
        <w:rPr>
          <w:sz w:val="36"/>
          <w:szCs w:val="36"/>
          <w:rtl/>
        </w:rPr>
        <w:t xml:space="preserve"> </w:t>
      </w:r>
      <w:r w:rsidR="00E66292" w:rsidRPr="00FD211F">
        <w:rPr>
          <w:sz w:val="36"/>
          <w:szCs w:val="36"/>
          <w:rtl/>
        </w:rPr>
        <w:t>ابن</w:t>
      </w:r>
      <w:r w:rsidR="00E8128F">
        <w:rPr>
          <w:sz w:val="36"/>
          <w:szCs w:val="36"/>
          <w:rtl/>
        </w:rPr>
        <w:t xml:space="preserve"> </w:t>
      </w:r>
      <w:r w:rsidR="00E66292" w:rsidRPr="00FD211F">
        <w:rPr>
          <w:sz w:val="36"/>
          <w:szCs w:val="36"/>
          <w:rtl/>
        </w:rPr>
        <w:t>ابي</w:t>
      </w:r>
      <w:r w:rsidR="00E8128F">
        <w:rPr>
          <w:sz w:val="36"/>
          <w:szCs w:val="36"/>
          <w:rtl/>
        </w:rPr>
        <w:t xml:space="preserve"> </w:t>
      </w:r>
      <w:r w:rsidR="00E66292" w:rsidRPr="00FD211F">
        <w:rPr>
          <w:sz w:val="36"/>
          <w:szCs w:val="36"/>
          <w:rtl/>
        </w:rPr>
        <w:t>ليلى</w:t>
      </w:r>
      <w:r w:rsidR="00E8128F">
        <w:rPr>
          <w:sz w:val="36"/>
          <w:szCs w:val="36"/>
          <w:rtl/>
        </w:rPr>
        <w:t xml:space="preserve"> </w:t>
      </w:r>
      <w:r w:rsidR="00E66292" w:rsidRPr="00FD211F">
        <w:rPr>
          <w:sz w:val="36"/>
          <w:szCs w:val="36"/>
          <w:rtl/>
        </w:rPr>
        <w:t>وابن</w:t>
      </w:r>
      <w:r w:rsidR="00E8128F">
        <w:rPr>
          <w:sz w:val="36"/>
          <w:szCs w:val="36"/>
          <w:rtl/>
        </w:rPr>
        <w:t xml:space="preserve"> </w:t>
      </w:r>
      <w:r w:rsidR="00E66292" w:rsidRPr="00FD211F">
        <w:rPr>
          <w:sz w:val="36"/>
          <w:szCs w:val="36"/>
          <w:rtl/>
        </w:rPr>
        <w:t>شبرم</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515"/>
      </w:r>
      <w:r w:rsidR="009C58C8" w:rsidRPr="00FD211F">
        <w:rPr>
          <w:rStyle w:val="a6"/>
          <w:sz w:val="36"/>
          <w:szCs w:val="36"/>
          <w:rtl/>
        </w:rPr>
        <w:t>)</w:t>
      </w:r>
      <w:r w:rsidR="00E8128F">
        <w:rPr>
          <w:sz w:val="36"/>
          <w:szCs w:val="36"/>
          <w:rtl/>
        </w:rPr>
        <w:t xml:space="preserve"> </w:t>
      </w:r>
      <w:r w:rsidR="00E66292" w:rsidRPr="00FD211F">
        <w:rPr>
          <w:sz w:val="36"/>
          <w:szCs w:val="36"/>
          <w:rtl/>
        </w:rPr>
        <w:t>وذكر</w:t>
      </w:r>
      <w:r w:rsidR="00E8128F">
        <w:rPr>
          <w:sz w:val="36"/>
          <w:szCs w:val="36"/>
          <w:rtl/>
        </w:rPr>
        <w:t xml:space="preserve"> </w:t>
      </w:r>
      <w:r w:rsidR="00E66292" w:rsidRPr="00FD211F">
        <w:rPr>
          <w:sz w:val="36"/>
          <w:szCs w:val="36"/>
          <w:rtl/>
        </w:rPr>
        <w:t>في</w:t>
      </w:r>
      <w:r w:rsidR="00E8128F">
        <w:rPr>
          <w:sz w:val="36"/>
          <w:szCs w:val="36"/>
          <w:rtl/>
        </w:rPr>
        <w:t xml:space="preserve"> </w:t>
      </w:r>
      <w:r w:rsidR="00E66292" w:rsidRPr="00FD211F">
        <w:rPr>
          <w:sz w:val="36"/>
          <w:szCs w:val="36"/>
          <w:rtl/>
        </w:rPr>
        <w:t>المحاضرات</w:t>
      </w:r>
      <w:r w:rsidR="00E8128F">
        <w:rPr>
          <w:sz w:val="36"/>
          <w:szCs w:val="36"/>
          <w:rtl/>
        </w:rPr>
        <w:t xml:space="preserve"> </w:t>
      </w:r>
      <w:r w:rsidR="00E66292" w:rsidRPr="00FD211F">
        <w:rPr>
          <w:sz w:val="36"/>
          <w:szCs w:val="36"/>
          <w:rtl/>
        </w:rPr>
        <w:t>ان</w:t>
      </w:r>
      <w:r w:rsidR="00E8128F">
        <w:rPr>
          <w:sz w:val="36"/>
          <w:szCs w:val="36"/>
          <w:rtl/>
        </w:rPr>
        <w:t xml:space="preserve"> </w:t>
      </w:r>
      <w:r w:rsidR="00E66292" w:rsidRPr="00FD211F">
        <w:rPr>
          <w:sz w:val="36"/>
          <w:szCs w:val="36"/>
          <w:rtl/>
        </w:rPr>
        <w:t>الموجود</w:t>
      </w:r>
      <w:r w:rsidR="00E8128F">
        <w:rPr>
          <w:sz w:val="36"/>
          <w:szCs w:val="36"/>
          <w:rtl/>
        </w:rPr>
        <w:t xml:space="preserve"> </w:t>
      </w:r>
      <w:r w:rsidR="00E66292" w:rsidRPr="00FD211F">
        <w:rPr>
          <w:sz w:val="36"/>
          <w:szCs w:val="36"/>
          <w:rtl/>
        </w:rPr>
        <w:t>في</w:t>
      </w:r>
      <w:r w:rsidR="00E8128F">
        <w:rPr>
          <w:sz w:val="36"/>
          <w:szCs w:val="36"/>
          <w:rtl/>
        </w:rPr>
        <w:t xml:space="preserve"> </w:t>
      </w:r>
      <w:r w:rsidR="00E66292" w:rsidRPr="00FD211F">
        <w:rPr>
          <w:sz w:val="36"/>
          <w:szCs w:val="36"/>
          <w:rtl/>
        </w:rPr>
        <w:t>نسخ</w:t>
      </w:r>
      <w:r w:rsidR="00EC7EDF" w:rsidRPr="00FD211F">
        <w:rPr>
          <w:sz w:val="36"/>
          <w:szCs w:val="36"/>
          <w:rtl/>
        </w:rPr>
        <w:t>ة</w:t>
      </w:r>
      <w:r w:rsidR="00E8128F">
        <w:rPr>
          <w:sz w:val="36"/>
          <w:szCs w:val="36"/>
          <w:rtl/>
        </w:rPr>
        <w:t xml:space="preserve"> </w:t>
      </w:r>
      <w:r w:rsidRPr="00FD211F">
        <w:rPr>
          <w:sz w:val="36"/>
          <w:szCs w:val="36"/>
          <w:rtl/>
        </w:rPr>
        <w:t>ال</w:t>
      </w:r>
      <w:r w:rsidR="00E66292" w:rsidRPr="00FD211F">
        <w:rPr>
          <w:sz w:val="36"/>
          <w:szCs w:val="36"/>
          <w:rtl/>
        </w:rPr>
        <w:t>تهذيب</w:t>
      </w:r>
      <w:r w:rsidR="00E8128F">
        <w:rPr>
          <w:sz w:val="36"/>
          <w:szCs w:val="36"/>
          <w:rtl/>
        </w:rPr>
        <w:t xml:space="preserve"> </w:t>
      </w:r>
      <w:r w:rsidR="00E66292" w:rsidRPr="00FD211F">
        <w:rPr>
          <w:sz w:val="36"/>
          <w:szCs w:val="36"/>
          <w:rtl/>
        </w:rPr>
        <w:t>و</w:t>
      </w:r>
      <w:r w:rsidRPr="00FD211F">
        <w:rPr>
          <w:sz w:val="36"/>
          <w:szCs w:val="36"/>
          <w:rtl/>
        </w:rPr>
        <w:t>ال</w:t>
      </w:r>
      <w:r w:rsidR="00E66292" w:rsidRPr="00FD211F">
        <w:rPr>
          <w:sz w:val="36"/>
          <w:szCs w:val="36"/>
          <w:rtl/>
        </w:rPr>
        <w:t>كافي</w:t>
      </w:r>
      <w:r w:rsidR="00E8128F">
        <w:rPr>
          <w:sz w:val="36"/>
          <w:szCs w:val="36"/>
          <w:rtl/>
        </w:rPr>
        <w:t xml:space="preserve"> </w:t>
      </w:r>
      <w:r w:rsidR="00E66292" w:rsidRPr="00FD211F">
        <w:rPr>
          <w:sz w:val="36"/>
          <w:szCs w:val="36"/>
          <w:rtl/>
        </w:rPr>
        <w:t>عن</w:t>
      </w:r>
      <w:r w:rsidR="00E8128F">
        <w:rPr>
          <w:sz w:val="36"/>
          <w:szCs w:val="36"/>
          <w:rtl/>
        </w:rPr>
        <w:t xml:space="preserve"> </w:t>
      </w:r>
      <w:r w:rsidR="00E66292" w:rsidRPr="00FD211F">
        <w:rPr>
          <w:sz w:val="36"/>
          <w:szCs w:val="36"/>
          <w:rtl/>
        </w:rPr>
        <w:t>ابن</w:t>
      </w:r>
      <w:r w:rsidR="00E8128F">
        <w:rPr>
          <w:sz w:val="36"/>
          <w:szCs w:val="36"/>
          <w:rtl/>
        </w:rPr>
        <w:t xml:space="preserve"> </w:t>
      </w:r>
      <w:r w:rsidR="00E66292" w:rsidRPr="00FD211F">
        <w:rPr>
          <w:sz w:val="36"/>
          <w:szCs w:val="36"/>
          <w:rtl/>
        </w:rPr>
        <w:t>مهزيار</w:t>
      </w:r>
      <w:r w:rsidR="00E8128F">
        <w:rPr>
          <w:sz w:val="36"/>
          <w:szCs w:val="36"/>
          <w:rtl/>
        </w:rPr>
        <w:t xml:space="preserve"> </w:t>
      </w:r>
      <w:r w:rsidR="00E66292" w:rsidRPr="00FD211F">
        <w:rPr>
          <w:sz w:val="36"/>
          <w:szCs w:val="36"/>
          <w:rtl/>
        </w:rPr>
        <w:t>انه</w:t>
      </w:r>
      <w:r w:rsidR="00E8128F">
        <w:rPr>
          <w:sz w:val="36"/>
          <w:szCs w:val="36"/>
          <w:rtl/>
        </w:rPr>
        <w:t xml:space="preserve"> </w:t>
      </w:r>
      <w:r w:rsidR="00E66292" w:rsidRPr="00FD211F">
        <w:rPr>
          <w:sz w:val="36"/>
          <w:szCs w:val="36"/>
          <w:rtl/>
        </w:rPr>
        <w:t>رواه</w:t>
      </w:r>
      <w:r w:rsidR="00E8128F">
        <w:rPr>
          <w:sz w:val="36"/>
          <w:szCs w:val="36"/>
          <w:rtl/>
        </w:rPr>
        <w:t xml:space="preserve"> </w:t>
      </w:r>
      <w:r w:rsidR="00E66292" w:rsidRPr="00FD211F">
        <w:rPr>
          <w:sz w:val="36"/>
          <w:szCs w:val="36"/>
          <w:rtl/>
        </w:rPr>
        <w:t>عن</w:t>
      </w:r>
      <w:r w:rsidR="00E8128F">
        <w:rPr>
          <w:sz w:val="36"/>
          <w:szCs w:val="36"/>
          <w:rtl/>
        </w:rPr>
        <w:t xml:space="preserve"> </w:t>
      </w:r>
      <w:r w:rsidR="00E66292" w:rsidRPr="00FD211F">
        <w:rPr>
          <w:sz w:val="36"/>
          <w:szCs w:val="36"/>
          <w:rtl/>
        </w:rPr>
        <w:t>ابي</w:t>
      </w:r>
      <w:r w:rsidR="00E8128F">
        <w:rPr>
          <w:sz w:val="36"/>
          <w:szCs w:val="36"/>
          <w:rtl/>
        </w:rPr>
        <w:t xml:space="preserve"> </w:t>
      </w:r>
      <w:r w:rsidR="00E66292" w:rsidRPr="00FD211F">
        <w:rPr>
          <w:sz w:val="36"/>
          <w:szCs w:val="36"/>
          <w:rtl/>
        </w:rPr>
        <w:t>جعفر</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E66292" w:rsidRPr="00FD211F">
        <w:rPr>
          <w:sz w:val="36"/>
          <w:szCs w:val="36"/>
          <w:rtl/>
        </w:rPr>
        <w:t>فلو</w:t>
      </w:r>
      <w:r w:rsidR="00E8128F">
        <w:rPr>
          <w:sz w:val="36"/>
          <w:szCs w:val="36"/>
          <w:rtl/>
        </w:rPr>
        <w:t xml:space="preserve"> </w:t>
      </w:r>
      <w:r w:rsidR="00E66292" w:rsidRPr="00FD211F">
        <w:rPr>
          <w:sz w:val="36"/>
          <w:szCs w:val="36"/>
          <w:rtl/>
        </w:rPr>
        <w:t>كان</w:t>
      </w:r>
      <w:r w:rsidR="00E8128F">
        <w:rPr>
          <w:sz w:val="36"/>
          <w:szCs w:val="36"/>
          <w:rtl/>
        </w:rPr>
        <w:t xml:space="preserve"> </w:t>
      </w:r>
      <w:r w:rsidR="00E66292" w:rsidRPr="00FD211F">
        <w:rPr>
          <w:sz w:val="36"/>
          <w:szCs w:val="36"/>
          <w:rtl/>
        </w:rPr>
        <w:t>مسندا</w:t>
      </w:r>
      <w:r w:rsidR="00E8128F">
        <w:rPr>
          <w:sz w:val="36"/>
          <w:szCs w:val="36"/>
          <w:rtl/>
        </w:rPr>
        <w:t xml:space="preserve"> </w:t>
      </w:r>
      <w:r w:rsidR="00E66292" w:rsidRPr="00FD211F">
        <w:rPr>
          <w:sz w:val="36"/>
          <w:szCs w:val="36"/>
          <w:rtl/>
        </w:rPr>
        <w:t>لما</w:t>
      </w:r>
      <w:r w:rsidR="00E8128F">
        <w:rPr>
          <w:sz w:val="36"/>
          <w:szCs w:val="36"/>
          <w:rtl/>
        </w:rPr>
        <w:t xml:space="preserve"> </w:t>
      </w:r>
      <w:r w:rsidR="00E66292" w:rsidRPr="00FD211F">
        <w:rPr>
          <w:sz w:val="36"/>
          <w:szCs w:val="36"/>
          <w:rtl/>
        </w:rPr>
        <w:t>كان</w:t>
      </w:r>
      <w:r w:rsidR="00E8128F">
        <w:rPr>
          <w:sz w:val="36"/>
          <w:szCs w:val="36"/>
          <w:rtl/>
        </w:rPr>
        <w:t xml:space="preserve"> </w:t>
      </w:r>
      <w:r w:rsidR="00E66292" w:rsidRPr="00FD211F">
        <w:rPr>
          <w:sz w:val="36"/>
          <w:szCs w:val="36"/>
          <w:rtl/>
        </w:rPr>
        <w:t>وجه</w:t>
      </w:r>
      <w:r w:rsidR="00E8128F">
        <w:rPr>
          <w:sz w:val="36"/>
          <w:szCs w:val="36"/>
          <w:rtl/>
        </w:rPr>
        <w:t xml:space="preserve"> </w:t>
      </w:r>
      <w:r w:rsidR="00E66292" w:rsidRPr="00FD211F">
        <w:rPr>
          <w:sz w:val="36"/>
          <w:szCs w:val="36"/>
          <w:rtl/>
        </w:rPr>
        <w:t>لهذا</w:t>
      </w:r>
      <w:r w:rsidR="00E8128F">
        <w:rPr>
          <w:sz w:val="36"/>
          <w:szCs w:val="36"/>
          <w:rtl/>
        </w:rPr>
        <w:t xml:space="preserve"> </w:t>
      </w:r>
      <w:r w:rsidR="00E66292" w:rsidRPr="00FD211F">
        <w:rPr>
          <w:sz w:val="36"/>
          <w:szCs w:val="36"/>
          <w:rtl/>
        </w:rPr>
        <w:t>التعبير</w:t>
      </w:r>
      <w:r w:rsidR="00E8128F">
        <w:rPr>
          <w:sz w:val="36"/>
          <w:szCs w:val="36"/>
          <w:rtl/>
        </w:rPr>
        <w:t xml:space="preserve"> </w:t>
      </w:r>
      <w:r w:rsidR="00E66292" w:rsidRPr="00FD211F">
        <w:rPr>
          <w:sz w:val="36"/>
          <w:szCs w:val="36"/>
          <w:rtl/>
        </w:rPr>
        <w:t>عاد</w:t>
      </w:r>
      <w:r w:rsidR="00EC7EDF" w:rsidRPr="00FD211F">
        <w:rPr>
          <w:sz w:val="36"/>
          <w:szCs w:val="36"/>
          <w:rtl/>
        </w:rPr>
        <w:t>ة</w:t>
      </w:r>
      <w:r w:rsidR="00E8128F">
        <w:rPr>
          <w:sz w:val="36"/>
          <w:szCs w:val="36"/>
          <w:rtl/>
        </w:rPr>
        <w:t xml:space="preserve"> </w:t>
      </w:r>
      <w:r w:rsidRPr="00FD211F">
        <w:rPr>
          <w:sz w:val="36"/>
          <w:szCs w:val="36"/>
          <w:rtl/>
        </w:rPr>
        <w:t>ولايخفى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حد</w:t>
      </w:r>
      <w:r w:rsidR="00E8128F">
        <w:rPr>
          <w:sz w:val="36"/>
          <w:szCs w:val="36"/>
          <w:rtl/>
        </w:rPr>
        <w:t xml:space="preserve"> </w:t>
      </w:r>
      <w:r w:rsidRPr="00FD211F">
        <w:rPr>
          <w:sz w:val="36"/>
          <w:szCs w:val="36"/>
          <w:rtl/>
        </w:rPr>
        <w:t>نفسه</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موجبا</w:t>
      </w:r>
      <w:r w:rsidR="00E8128F">
        <w:rPr>
          <w:sz w:val="36"/>
          <w:szCs w:val="36"/>
          <w:rtl/>
        </w:rPr>
        <w:t xml:space="preserve"> </w:t>
      </w:r>
      <w:r w:rsidR="00E66292" w:rsidRPr="00FD211F">
        <w:rPr>
          <w:sz w:val="36"/>
          <w:szCs w:val="36"/>
          <w:rtl/>
        </w:rPr>
        <w:t>لعدم</w:t>
      </w:r>
      <w:r w:rsidR="00E8128F">
        <w:rPr>
          <w:sz w:val="36"/>
          <w:szCs w:val="36"/>
          <w:rtl/>
        </w:rPr>
        <w:t xml:space="preserve"> </w:t>
      </w:r>
      <w:r w:rsidR="00E66292" w:rsidRPr="00FD211F">
        <w:rPr>
          <w:sz w:val="36"/>
          <w:szCs w:val="36"/>
          <w:rtl/>
        </w:rPr>
        <w:t>ظهوره</w:t>
      </w:r>
      <w:r w:rsidR="00E8128F">
        <w:rPr>
          <w:sz w:val="36"/>
          <w:szCs w:val="36"/>
          <w:rtl/>
        </w:rPr>
        <w:t xml:space="preserve"> </w:t>
      </w:r>
      <w:r w:rsidR="00E66292" w:rsidRPr="00FD211F">
        <w:rPr>
          <w:sz w:val="36"/>
          <w:szCs w:val="36"/>
          <w:rtl/>
        </w:rPr>
        <w:t>في</w:t>
      </w:r>
      <w:r w:rsidR="00E8128F">
        <w:rPr>
          <w:sz w:val="36"/>
          <w:szCs w:val="36"/>
          <w:rtl/>
        </w:rPr>
        <w:t xml:space="preserve"> </w:t>
      </w:r>
      <w:r w:rsidRPr="00FD211F">
        <w:rPr>
          <w:sz w:val="36"/>
          <w:szCs w:val="36"/>
          <w:rtl/>
        </w:rPr>
        <w:t>الإخبار</w:t>
      </w:r>
      <w:r w:rsidR="00E8128F">
        <w:rPr>
          <w:sz w:val="36"/>
          <w:szCs w:val="36"/>
          <w:rtl/>
        </w:rPr>
        <w:t xml:space="preserve"> </w:t>
      </w:r>
      <w:r w:rsidRPr="00FD211F">
        <w:rPr>
          <w:sz w:val="36"/>
          <w:szCs w:val="36"/>
          <w:rtl/>
        </w:rPr>
        <w:t>الحسي</w:t>
      </w:r>
      <w:r w:rsidR="00603323" w:rsidRPr="00FD211F">
        <w:rPr>
          <w:sz w:val="36"/>
          <w:szCs w:val="36"/>
          <w:rtl/>
        </w:rPr>
        <w:t>،</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وجود</w:t>
      </w:r>
      <w:r w:rsidR="00E8128F">
        <w:rPr>
          <w:sz w:val="36"/>
          <w:szCs w:val="36"/>
          <w:rtl/>
        </w:rPr>
        <w:t xml:space="preserve"> </w:t>
      </w:r>
      <w:r w:rsidR="00E66292" w:rsidRPr="00FD211F">
        <w:rPr>
          <w:sz w:val="36"/>
          <w:szCs w:val="36"/>
          <w:rtl/>
        </w:rPr>
        <w:t>هذه</w:t>
      </w:r>
      <w:r w:rsidR="00E8128F">
        <w:rPr>
          <w:sz w:val="36"/>
          <w:szCs w:val="36"/>
          <w:rtl/>
        </w:rPr>
        <w:t xml:space="preserve"> </w:t>
      </w:r>
      <w:r w:rsidR="00E66292" w:rsidRPr="00FD211F">
        <w:rPr>
          <w:sz w:val="36"/>
          <w:szCs w:val="36"/>
          <w:rtl/>
        </w:rPr>
        <w:t>الامور</w:t>
      </w:r>
      <w:r w:rsidR="00E8128F">
        <w:rPr>
          <w:sz w:val="36"/>
          <w:szCs w:val="36"/>
          <w:rtl/>
        </w:rPr>
        <w:t xml:space="preserve"> </w:t>
      </w:r>
      <w:r w:rsidR="00E66292" w:rsidRPr="00FD211F">
        <w:rPr>
          <w:sz w:val="36"/>
          <w:szCs w:val="36"/>
          <w:rtl/>
        </w:rPr>
        <w:t>الصالح</w:t>
      </w:r>
      <w:r w:rsidR="00EC7EDF" w:rsidRPr="00FD211F">
        <w:rPr>
          <w:sz w:val="36"/>
          <w:szCs w:val="36"/>
          <w:rtl/>
        </w:rPr>
        <w:t>ة</w:t>
      </w:r>
      <w:r w:rsidR="00E8128F">
        <w:rPr>
          <w:sz w:val="36"/>
          <w:szCs w:val="36"/>
          <w:rtl/>
        </w:rPr>
        <w:t xml:space="preserve"> </w:t>
      </w:r>
      <w:r w:rsidR="00E66292" w:rsidRPr="00FD211F">
        <w:rPr>
          <w:sz w:val="36"/>
          <w:szCs w:val="36"/>
          <w:rtl/>
        </w:rPr>
        <w:t>للقريني</w:t>
      </w:r>
      <w:r w:rsidR="00EC7EDF" w:rsidRPr="00FD211F">
        <w:rPr>
          <w:sz w:val="36"/>
          <w:szCs w:val="36"/>
          <w:rtl/>
        </w:rPr>
        <w:t>ة</w:t>
      </w:r>
      <w:r w:rsidR="00E8128F">
        <w:rPr>
          <w:sz w:val="36"/>
          <w:szCs w:val="36"/>
          <w:rtl/>
        </w:rPr>
        <w:t xml:space="preserve"> </w:t>
      </w:r>
      <w:r w:rsidR="00E66292" w:rsidRPr="00FD211F">
        <w:rPr>
          <w:sz w:val="36"/>
          <w:szCs w:val="36"/>
          <w:rtl/>
        </w:rPr>
        <w:t>فاحراز</w:t>
      </w:r>
      <w:r w:rsidR="00E8128F">
        <w:rPr>
          <w:sz w:val="36"/>
          <w:szCs w:val="36"/>
          <w:rtl/>
        </w:rPr>
        <w:t xml:space="preserve"> </w:t>
      </w:r>
      <w:r w:rsidR="00E66292" w:rsidRPr="00FD211F">
        <w:rPr>
          <w:sz w:val="36"/>
          <w:szCs w:val="36"/>
          <w:rtl/>
        </w:rPr>
        <w:t>ظهوره</w:t>
      </w:r>
      <w:r w:rsidR="00E8128F">
        <w:rPr>
          <w:sz w:val="36"/>
          <w:szCs w:val="36"/>
          <w:rtl/>
        </w:rPr>
        <w:t xml:space="preserve"> </w:t>
      </w:r>
      <w:r w:rsidR="00E66292" w:rsidRPr="00FD211F">
        <w:rPr>
          <w:sz w:val="36"/>
          <w:szCs w:val="36"/>
          <w:rtl/>
        </w:rPr>
        <w:t>في</w:t>
      </w:r>
      <w:r w:rsidR="00E8128F">
        <w:rPr>
          <w:sz w:val="36"/>
          <w:szCs w:val="36"/>
          <w:rtl/>
        </w:rPr>
        <w:t xml:space="preserve"> </w:t>
      </w:r>
      <w:r w:rsidR="00E66292" w:rsidRPr="00FD211F">
        <w:rPr>
          <w:sz w:val="36"/>
          <w:szCs w:val="36"/>
          <w:rtl/>
        </w:rPr>
        <w:t>اراد</w:t>
      </w:r>
      <w:r w:rsidR="00EC7EDF" w:rsidRPr="00FD211F">
        <w:rPr>
          <w:sz w:val="36"/>
          <w:szCs w:val="36"/>
          <w:rtl/>
        </w:rPr>
        <w:t>ة</w:t>
      </w:r>
      <w:r w:rsidR="00E8128F">
        <w:rPr>
          <w:sz w:val="36"/>
          <w:szCs w:val="36"/>
          <w:rtl/>
        </w:rPr>
        <w:t xml:space="preserve"> </w:t>
      </w:r>
      <w:r w:rsidR="00E66292" w:rsidRPr="00FD211F">
        <w:rPr>
          <w:sz w:val="36"/>
          <w:szCs w:val="36"/>
          <w:rtl/>
        </w:rPr>
        <w:t>الامام</w:t>
      </w:r>
      <w:r w:rsidR="00E8128F">
        <w:rPr>
          <w:sz w:val="36"/>
          <w:szCs w:val="36"/>
          <w:rtl/>
        </w:rPr>
        <w:t xml:space="preserve"> </w:t>
      </w:r>
      <w:r w:rsidR="00E66292" w:rsidRPr="00FD211F">
        <w:rPr>
          <w:sz w:val="36"/>
          <w:szCs w:val="36"/>
          <w:rtl/>
        </w:rPr>
        <w:t>الجواد</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E66292" w:rsidRPr="00FD211F">
        <w:rPr>
          <w:sz w:val="36"/>
          <w:szCs w:val="36"/>
          <w:rtl/>
        </w:rPr>
        <w:t>لايخلو</w:t>
      </w:r>
      <w:r w:rsidR="00E8128F">
        <w:rPr>
          <w:sz w:val="36"/>
          <w:szCs w:val="36"/>
          <w:rtl/>
        </w:rPr>
        <w:t xml:space="preserve"> </w:t>
      </w:r>
      <w:r w:rsidR="00E66292" w:rsidRPr="00FD211F">
        <w:rPr>
          <w:sz w:val="36"/>
          <w:szCs w:val="36"/>
          <w:rtl/>
        </w:rPr>
        <w:t>من</w:t>
      </w:r>
      <w:r w:rsidR="00E8128F">
        <w:rPr>
          <w:sz w:val="36"/>
          <w:szCs w:val="36"/>
          <w:rtl/>
        </w:rPr>
        <w:t xml:space="preserve"> </w:t>
      </w:r>
      <w:r w:rsidR="00E66292" w:rsidRPr="00FD211F">
        <w:rPr>
          <w:sz w:val="36"/>
          <w:szCs w:val="36"/>
          <w:rtl/>
        </w:rPr>
        <w:t>اشكال</w:t>
      </w:r>
      <w:r w:rsidR="00335F30" w:rsidRPr="00FD211F">
        <w:rPr>
          <w:sz w:val="36"/>
          <w:szCs w:val="36"/>
          <w:rtl/>
        </w:rPr>
        <w:t>.</w:t>
      </w:r>
    </w:p>
    <w:p w14:paraId="448B3B43" w14:textId="77777777" w:rsidR="00E66292" w:rsidRPr="00FD211F" w:rsidRDefault="00E66292" w:rsidP="009C58C8">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واما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المسالك</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انه</w:t>
      </w:r>
      <w:r w:rsidR="00E8128F">
        <w:rPr>
          <w:sz w:val="36"/>
          <w:szCs w:val="36"/>
          <w:rtl/>
        </w:rPr>
        <w:t xml:space="preserve"> </w:t>
      </w:r>
      <w:r w:rsidR="008D7B3D" w:rsidRPr="00FD211F">
        <w:rPr>
          <w:sz w:val="36"/>
          <w:szCs w:val="36"/>
          <w:rtl/>
        </w:rPr>
        <w:t>لم‌</w:t>
      </w:r>
      <w:r w:rsidRPr="00FD211F">
        <w:rPr>
          <w:sz w:val="36"/>
          <w:szCs w:val="36"/>
          <w:rtl/>
        </w:rPr>
        <w:t>يذكر</w:t>
      </w:r>
      <w:r w:rsidR="00E8128F">
        <w:rPr>
          <w:sz w:val="36"/>
          <w:szCs w:val="36"/>
          <w:rtl/>
        </w:rPr>
        <w:t xml:space="preserve"> </w:t>
      </w:r>
      <w:r w:rsidRPr="00FD211F">
        <w:rPr>
          <w:sz w:val="36"/>
          <w:szCs w:val="36"/>
          <w:rtl/>
        </w:rPr>
        <w:t>السائل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الحديث</w:t>
      </w:r>
      <w:r w:rsidR="00E8128F">
        <w:rPr>
          <w:sz w:val="36"/>
          <w:szCs w:val="36"/>
          <w:rtl/>
        </w:rPr>
        <w:t xml:space="preserve"> </w:t>
      </w:r>
      <w:r w:rsidRPr="00FD211F">
        <w:rPr>
          <w:sz w:val="36"/>
          <w:szCs w:val="36"/>
          <w:rtl/>
        </w:rPr>
        <w:t>فف</w:t>
      </w:r>
      <w:r w:rsidR="001764C0" w:rsidRPr="00FD211F">
        <w:rPr>
          <w:sz w:val="36"/>
          <w:szCs w:val="36"/>
          <w:rtl/>
        </w:rPr>
        <w:t>يه</w:t>
      </w:r>
      <w:r w:rsidR="00E8128F">
        <w:rPr>
          <w:sz w:val="36"/>
          <w:szCs w:val="36"/>
          <w:rtl/>
        </w:rPr>
        <w:t xml:space="preserve"> </w:t>
      </w:r>
      <w:r w:rsidR="001764C0" w:rsidRPr="00FD211F">
        <w:rPr>
          <w:sz w:val="36"/>
          <w:szCs w:val="36"/>
          <w:rtl/>
        </w:rPr>
        <w:t>ان</w:t>
      </w:r>
      <w:r w:rsidR="00E8128F">
        <w:rPr>
          <w:sz w:val="36"/>
          <w:szCs w:val="36"/>
          <w:rtl/>
        </w:rPr>
        <w:t xml:space="preserve"> </w:t>
      </w:r>
      <w:r w:rsidR="001764C0" w:rsidRPr="00FD211F">
        <w:rPr>
          <w:sz w:val="36"/>
          <w:szCs w:val="36"/>
          <w:rtl/>
        </w:rPr>
        <w:t>ظاهر</w:t>
      </w:r>
      <w:r w:rsidR="00E8128F">
        <w:rPr>
          <w:sz w:val="36"/>
          <w:szCs w:val="36"/>
          <w:rtl/>
        </w:rPr>
        <w:t xml:space="preserve"> </w:t>
      </w:r>
      <w:r w:rsidR="001764C0" w:rsidRPr="00FD211F">
        <w:rPr>
          <w:sz w:val="36"/>
          <w:szCs w:val="36"/>
          <w:rtl/>
        </w:rPr>
        <w:t>نقل</w:t>
      </w:r>
      <w:r w:rsidR="00E8128F">
        <w:rPr>
          <w:sz w:val="36"/>
          <w:szCs w:val="36"/>
          <w:rtl/>
        </w:rPr>
        <w:t xml:space="preserve"> </w:t>
      </w:r>
      <w:r w:rsidR="001764C0" w:rsidRPr="00FD211F">
        <w:rPr>
          <w:sz w:val="36"/>
          <w:szCs w:val="36"/>
          <w:rtl/>
        </w:rPr>
        <w:t>ابن</w:t>
      </w:r>
      <w:r w:rsidR="00E8128F">
        <w:rPr>
          <w:sz w:val="36"/>
          <w:szCs w:val="36"/>
          <w:rtl/>
        </w:rPr>
        <w:t xml:space="preserve"> </w:t>
      </w:r>
      <w:r w:rsidR="001764C0" w:rsidRPr="00FD211F">
        <w:rPr>
          <w:sz w:val="36"/>
          <w:szCs w:val="36"/>
          <w:rtl/>
        </w:rPr>
        <w:t>مهزيار</w:t>
      </w:r>
      <w:r w:rsidR="00E8128F">
        <w:rPr>
          <w:sz w:val="36"/>
          <w:szCs w:val="36"/>
          <w:rtl/>
        </w:rPr>
        <w:t xml:space="preserve"> </w:t>
      </w:r>
      <w:r w:rsidR="001764C0" w:rsidRPr="00FD211F">
        <w:rPr>
          <w:sz w:val="36"/>
          <w:szCs w:val="36"/>
          <w:rtl/>
        </w:rPr>
        <w:t>هو</w:t>
      </w:r>
      <w:r w:rsidR="00E8128F">
        <w:rPr>
          <w:sz w:val="36"/>
          <w:szCs w:val="36"/>
          <w:rtl/>
        </w:rPr>
        <w:t xml:space="preserve"> </w:t>
      </w:r>
      <w:r w:rsidR="001764C0" w:rsidRPr="00FD211F">
        <w:rPr>
          <w:sz w:val="36"/>
          <w:szCs w:val="36"/>
          <w:rtl/>
        </w:rPr>
        <w:t>حسّ</w:t>
      </w:r>
      <w:r w:rsidR="00E8128F">
        <w:rPr>
          <w:sz w:val="36"/>
          <w:szCs w:val="36"/>
          <w:rtl/>
        </w:rPr>
        <w:t xml:space="preserve"> </w:t>
      </w:r>
      <w:r w:rsidRPr="00FD211F">
        <w:rPr>
          <w:sz w:val="36"/>
          <w:szCs w:val="36"/>
          <w:rtl/>
        </w:rPr>
        <w:t>قول</w:t>
      </w:r>
      <w:r w:rsidR="00E8128F">
        <w:rPr>
          <w:sz w:val="36"/>
          <w:szCs w:val="36"/>
          <w:rtl/>
        </w:rPr>
        <w:t xml:space="preserve"> </w:t>
      </w:r>
      <w:r w:rsidRPr="00FD211F">
        <w:rPr>
          <w:sz w:val="36"/>
          <w:szCs w:val="36"/>
          <w:rtl/>
        </w:rPr>
        <w:t>الامام</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Pr="00FD211F">
        <w:rPr>
          <w:sz w:val="36"/>
          <w:szCs w:val="36"/>
          <w:rtl/>
        </w:rPr>
        <w:t>ولايضره</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السائل</w:t>
      </w:r>
      <w:r w:rsidR="00E8128F">
        <w:rPr>
          <w:sz w:val="36"/>
          <w:szCs w:val="36"/>
          <w:rtl/>
        </w:rPr>
        <w:t xml:space="preserve"> </w:t>
      </w:r>
      <w:r w:rsidRPr="00FD211F">
        <w:rPr>
          <w:sz w:val="36"/>
          <w:szCs w:val="36"/>
          <w:rtl/>
        </w:rPr>
        <w:t>لعدم</w:t>
      </w:r>
      <w:r w:rsidR="00E8128F">
        <w:rPr>
          <w:sz w:val="36"/>
          <w:szCs w:val="36"/>
          <w:rtl/>
        </w:rPr>
        <w:t xml:space="preserve"> </w:t>
      </w:r>
      <w:r w:rsidRPr="00FD211F">
        <w:rPr>
          <w:sz w:val="36"/>
          <w:szCs w:val="36"/>
          <w:rtl/>
        </w:rPr>
        <w:t>الاهتمام</w:t>
      </w:r>
      <w:r w:rsidR="00E8128F">
        <w:rPr>
          <w:sz w:val="36"/>
          <w:szCs w:val="36"/>
          <w:rtl/>
        </w:rPr>
        <w:t xml:space="preserve"> </w:t>
      </w:r>
      <w:r w:rsidRPr="00FD211F">
        <w:rPr>
          <w:sz w:val="36"/>
          <w:szCs w:val="36"/>
          <w:rtl/>
        </w:rPr>
        <w:t>به.</w:t>
      </w:r>
    </w:p>
    <w:p w14:paraId="2C6D45C5" w14:textId="77777777" w:rsidR="00E66292" w:rsidRPr="00FD211F" w:rsidRDefault="00E66292"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فلو</w:t>
      </w:r>
      <w:r w:rsidR="00E8128F">
        <w:rPr>
          <w:sz w:val="36"/>
          <w:szCs w:val="36"/>
          <w:rtl/>
        </w:rPr>
        <w:t xml:space="preserve"> </w:t>
      </w:r>
      <w:r w:rsidRPr="00FD211F">
        <w:rPr>
          <w:sz w:val="36"/>
          <w:szCs w:val="36"/>
          <w:rtl/>
        </w:rPr>
        <w:t>تمت</w:t>
      </w:r>
      <w:r w:rsidR="00E8128F">
        <w:rPr>
          <w:sz w:val="36"/>
          <w:szCs w:val="36"/>
          <w:rtl/>
        </w:rPr>
        <w:t xml:space="preserve"> </w:t>
      </w:r>
      <w:r w:rsidRPr="00FD211F">
        <w:rPr>
          <w:sz w:val="36"/>
          <w:szCs w:val="36"/>
          <w:rtl/>
        </w:rPr>
        <w:t>الرواي</w:t>
      </w:r>
      <w:r w:rsidR="00EC7EDF" w:rsidRPr="00FD211F">
        <w:rPr>
          <w:sz w:val="36"/>
          <w:szCs w:val="36"/>
          <w:rtl/>
        </w:rPr>
        <w:t>ة</w:t>
      </w:r>
      <w:r w:rsidR="00E8128F">
        <w:rPr>
          <w:sz w:val="36"/>
          <w:szCs w:val="36"/>
          <w:rtl/>
        </w:rPr>
        <w:t xml:space="preserve"> </w:t>
      </w:r>
      <w:r w:rsidRPr="00FD211F">
        <w:rPr>
          <w:sz w:val="36"/>
          <w:szCs w:val="36"/>
          <w:rtl/>
        </w:rPr>
        <w:t>سندا</w:t>
      </w:r>
      <w:r w:rsidR="00E8128F">
        <w:rPr>
          <w:sz w:val="36"/>
          <w:szCs w:val="36"/>
          <w:rtl/>
        </w:rPr>
        <w:t xml:space="preserve"> </w:t>
      </w:r>
      <w:r w:rsidRPr="00FD211F">
        <w:rPr>
          <w:sz w:val="36"/>
          <w:szCs w:val="36"/>
          <w:rtl/>
        </w:rPr>
        <w:t>لدلت</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حرم</w:t>
      </w:r>
      <w:r w:rsidR="00EC7EDF" w:rsidRPr="00FD211F">
        <w:rPr>
          <w:sz w:val="36"/>
          <w:szCs w:val="36"/>
          <w:rtl/>
        </w:rPr>
        <w:t>ة</w:t>
      </w:r>
      <w:r w:rsidR="00E8128F">
        <w:rPr>
          <w:sz w:val="36"/>
          <w:szCs w:val="36"/>
          <w:rtl/>
        </w:rPr>
        <w:t xml:space="preserve"> </w:t>
      </w:r>
      <w:r w:rsidRPr="00FD211F">
        <w:rPr>
          <w:sz w:val="36"/>
          <w:szCs w:val="36"/>
          <w:rtl/>
        </w:rPr>
        <w:t>الكبير</w:t>
      </w:r>
      <w:r w:rsidR="00EC7EDF" w:rsidRPr="00FD211F">
        <w:rPr>
          <w:sz w:val="36"/>
          <w:szCs w:val="36"/>
          <w:rtl/>
        </w:rPr>
        <w:t>ة</w:t>
      </w:r>
      <w:r w:rsidR="00E8128F">
        <w:rPr>
          <w:sz w:val="36"/>
          <w:szCs w:val="36"/>
          <w:rtl/>
        </w:rPr>
        <w:t xml:space="preserve"> </w:t>
      </w:r>
      <w:r w:rsidRPr="00FD211F">
        <w:rPr>
          <w:sz w:val="36"/>
          <w:szCs w:val="36"/>
          <w:rtl/>
        </w:rPr>
        <w:t>الأولى</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فرض</w:t>
      </w:r>
      <w:r w:rsidR="00E8128F">
        <w:rPr>
          <w:sz w:val="36"/>
          <w:szCs w:val="36"/>
          <w:rtl/>
        </w:rPr>
        <w:t xml:space="preserve"> </w:t>
      </w:r>
      <w:r w:rsidRPr="00FD211F">
        <w:rPr>
          <w:sz w:val="36"/>
          <w:szCs w:val="36"/>
          <w:rtl/>
        </w:rPr>
        <w:t>الدخول</w:t>
      </w:r>
      <w:r w:rsidR="00E8128F">
        <w:rPr>
          <w:sz w:val="36"/>
          <w:szCs w:val="36"/>
          <w:rtl/>
        </w:rPr>
        <w:t xml:space="preserve"> </w:t>
      </w:r>
      <w:r w:rsidRPr="00FD211F">
        <w:rPr>
          <w:sz w:val="36"/>
          <w:szCs w:val="36"/>
          <w:rtl/>
        </w:rPr>
        <w:t>بها</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ارضاعها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لبنه</w:t>
      </w:r>
      <w:r w:rsidR="00603323" w:rsidRPr="00FD211F">
        <w:rPr>
          <w:sz w:val="36"/>
          <w:szCs w:val="36"/>
          <w:rtl/>
        </w:rPr>
        <w:t>،</w:t>
      </w:r>
      <w:r w:rsidR="00E8128F">
        <w:rPr>
          <w:sz w:val="36"/>
          <w:szCs w:val="36"/>
          <w:rtl/>
        </w:rPr>
        <w:t xml:space="preserve"> </w:t>
      </w:r>
      <w:r w:rsidRPr="00FD211F">
        <w:rPr>
          <w:sz w:val="36"/>
          <w:szCs w:val="36"/>
          <w:rtl/>
        </w:rPr>
        <w:t>وعلى</w:t>
      </w:r>
      <w:r w:rsidR="00E8128F">
        <w:rPr>
          <w:sz w:val="36"/>
          <w:szCs w:val="36"/>
          <w:rtl/>
        </w:rPr>
        <w:t xml:space="preserve"> </w:t>
      </w:r>
      <w:r w:rsidRPr="00FD211F">
        <w:rPr>
          <w:sz w:val="36"/>
          <w:szCs w:val="36"/>
          <w:rtl/>
        </w:rPr>
        <w:t>بقاء</w:t>
      </w:r>
      <w:r w:rsidR="00F60402" w:rsidRPr="00FD211F">
        <w:rPr>
          <w:sz w:val="36"/>
          <w:szCs w:val="36"/>
          <w:rtl/>
        </w:rPr>
        <w:t>الكبير</w:t>
      </w:r>
      <w:r w:rsidR="00EC7EDF" w:rsidRPr="00FD211F">
        <w:rPr>
          <w:sz w:val="36"/>
          <w:szCs w:val="36"/>
          <w:rtl/>
        </w:rPr>
        <w:t>ة</w:t>
      </w:r>
      <w:r w:rsidR="00E8128F">
        <w:rPr>
          <w:sz w:val="36"/>
          <w:szCs w:val="36"/>
          <w:rtl/>
        </w:rPr>
        <w:t xml:space="preserve"> </w:t>
      </w:r>
      <w:r w:rsidRPr="00FD211F">
        <w:rPr>
          <w:sz w:val="36"/>
          <w:szCs w:val="36"/>
          <w:rtl/>
        </w:rPr>
        <w:t>الثاني</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الزوجي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وعليه</w:t>
      </w:r>
      <w:r w:rsidR="00E8128F">
        <w:rPr>
          <w:sz w:val="36"/>
          <w:szCs w:val="36"/>
          <w:rtl/>
        </w:rPr>
        <w:t xml:space="preserve"> </w:t>
      </w:r>
      <w:r w:rsidRPr="00FD211F">
        <w:rPr>
          <w:sz w:val="36"/>
          <w:szCs w:val="36"/>
          <w:rtl/>
        </w:rPr>
        <w:t>فيستفاد</w:t>
      </w:r>
      <w:r w:rsidR="00E8128F">
        <w:rPr>
          <w:sz w:val="36"/>
          <w:szCs w:val="36"/>
          <w:rtl/>
        </w:rPr>
        <w:t xml:space="preserve"> </w:t>
      </w:r>
      <w:r w:rsidRPr="00FD211F">
        <w:rPr>
          <w:sz w:val="36"/>
          <w:szCs w:val="36"/>
          <w:rtl/>
        </w:rPr>
        <w:t>منها</w:t>
      </w:r>
      <w:r w:rsidR="00E8128F">
        <w:rPr>
          <w:sz w:val="36"/>
          <w:szCs w:val="36"/>
          <w:rtl/>
        </w:rPr>
        <w:t xml:space="preserve"> </w:t>
      </w:r>
      <w:r w:rsidRPr="00FD211F">
        <w:rPr>
          <w:sz w:val="36"/>
          <w:szCs w:val="36"/>
          <w:rtl/>
        </w:rPr>
        <w:t>نكت</w:t>
      </w:r>
      <w:r w:rsidR="00EC7EDF" w:rsidRPr="00FD211F">
        <w:rPr>
          <w:sz w:val="36"/>
          <w:szCs w:val="36"/>
          <w:rtl/>
        </w:rPr>
        <w:t>ة</w:t>
      </w:r>
      <w:r w:rsidR="00E8128F">
        <w:rPr>
          <w:sz w:val="36"/>
          <w:szCs w:val="36"/>
          <w:rtl/>
        </w:rPr>
        <w:t xml:space="preserve"> </w:t>
      </w:r>
      <w:r w:rsidRPr="00FD211F">
        <w:rPr>
          <w:sz w:val="36"/>
          <w:szCs w:val="36"/>
          <w:rtl/>
        </w:rPr>
        <w:t>عام</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باب</w:t>
      </w:r>
      <w:r w:rsidR="00E8128F">
        <w:rPr>
          <w:sz w:val="36"/>
          <w:szCs w:val="36"/>
          <w:rtl/>
        </w:rPr>
        <w:t xml:space="preserve"> </w:t>
      </w:r>
      <w:r w:rsidRPr="00FD211F">
        <w:rPr>
          <w:sz w:val="36"/>
          <w:szCs w:val="36"/>
          <w:rtl/>
        </w:rPr>
        <w:t>الرضاع</w:t>
      </w:r>
      <w:r w:rsidR="00E8128F">
        <w:rPr>
          <w:sz w:val="36"/>
          <w:szCs w:val="36"/>
          <w:rtl/>
        </w:rPr>
        <w:t xml:space="preserve"> </w:t>
      </w:r>
      <w:r w:rsidRPr="00FD211F">
        <w:rPr>
          <w:sz w:val="36"/>
          <w:szCs w:val="36"/>
          <w:rtl/>
        </w:rPr>
        <w:t>وهو</w:t>
      </w:r>
      <w:r w:rsidR="00E8128F">
        <w:rPr>
          <w:sz w:val="36"/>
          <w:szCs w:val="36"/>
          <w:rtl/>
        </w:rPr>
        <w:t xml:space="preserve"> </w:t>
      </w:r>
      <w:r w:rsidRPr="00FD211F">
        <w:rPr>
          <w:sz w:val="36"/>
          <w:szCs w:val="36"/>
          <w:rtl/>
        </w:rPr>
        <w:t>كفاي</w:t>
      </w:r>
      <w:r w:rsidR="00EC7EDF" w:rsidRPr="00FD211F">
        <w:rPr>
          <w:sz w:val="36"/>
          <w:szCs w:val="36"/>
          <w:rtl/>
        </w:rPr>
        <w:t>ة</w:t>
      </w:r>
      <w:r w:rsidR="00E8128F">
        <w:rPr>
          <w:sz w:val="36"/>
          <w:szCs w:val="36"/>
          <w:rtl/>
        </w:rPr>
        <w:t xml:space="preserve"> </w:t>
      </w:r>
      <w:r w:rsidRPr="00FD211F">
        <w:rPr>
          <w:sz w:val="36"/>
          <w:szCs w:val="36"/>
          <w:rtl/>
        </w:rPr>
        <w:t>الاتحاد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الرتب</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صدق</w:t>
      </w:r>
      <w:r w:rsidR="00E8128F">
        <w:rPr>
          <w:sz w:val="36"/>
          <w:szCs w:val="36"/>
          <w:rtl/>
        </w:rPr>
        <w:t xml:space="preserve"> </w:t>
      </w:r>
      <w:r w:rsidRPr="00FD211F">
        <w:rPr>
          <w:sz w:val="36"/>
          <w:szCs w:val="36"/>
          <w:rtl/>
        </w:rPr>
        <w:t>عنوان</w:t>
      </w:r>
      <w:r w:rsidR="00E8128F">
        <w:rPr>
          <w:sz w:val="36"/>
          <w:szCs w:val="36"/>
          <w:rtl/>
        </w:rPr>
        <w:t xml:space="preserve"> </w:t>
      </w:r>
      <w:r w:rsidRPr="00FD211F">
        <w:rPr>
          <w:sz w:val="36"/>
          <w:szCs w:val="36"/>
          <w:rtl/>
        </w:rPr>
        <w:t>ام</w:t>
      </w:r>
      <w:r w:rsidR="00E8128F">
        <w:rPr>
          <w:sz w:val="36"/>
          <w:szCs w:val="36"/>
          <w:rtl/>
        </w:rPr>
        <w:t xml:space="preserve"> </w:t>
      </w:r>
      <w:r w:rsidRPr="00FD211F">
        <w:rPr>
          <w:sz w:val="36"/>
          <w:szCs w:val="36"/>
          <w:rtl/>
        </w:rPr>
        <w:t>الزوج</w:t>
      </w:r>
      <w:r w:rsidR="00EC7EDF" w:rsidRPr="00FD211F">
        <w:rPr>
          <w:sz w:val="36"/>
          <w:szCs w:val="36"/>
          <w:rtl/>
        </w:rPr>
        <w:t>ة</w:t>
      </w:r>
      <w:r w:rsidR="00E8128F">
        <w:rPr>
          <w:sz w:val="36"/>
          <w:szCs w:val="36"/>
          <w:rtl/>
        </w:rPr>
        <w:t xml:space="preserve"> </w:t>
      </w:r>
      <w:r w:rsidRPr="00FD211F">
        <w:rPr>
          <w:sz w:val="36"/>
          <w:szCs w:val="36"/>
          <w:rtl/>
        </w:rPr>
        <w:t>ونحوها</w:t>
      </w:r>
      <w:r w:rsidR="00E8128F">
        <w:rPr>
          <w:sz w:val="36"/>
          <w:szCs w:val="36"/>
          <w:rtl/>
        </w:rPr>
        <w:t xml:space="preserve"> </w:t>
      </w:r>
      <w:r w:rsidRPr="00FD211F">
        <w:rPr>
          <w:sz w:val="36"/>
          <w:szCs w:val="36"/>
          <w:rtl/>
        </w:rPr>
        <w:t>وفي</w:t>
      </w:r>
      <w:r w:rsidR="00E8128F">
        <w:rPr>
          <w:sz w:val="36"/>
          <w:szCs w:val="36"/>
          <w:rtl/>
        </w:rPr>
        <w:t xml:space="preserve"> </w:t>
      </w:r>
      <w:r w:rsidRPr="00FD211F">
        <w:rPr>
          <w:sz w:val="36"/>
          <w:szCs w:val="36"/>
          <w:rtl/>
        </w:rPr>
        <w:t>انتشار</w:t>
      </w:r>
      <w:r w:rsidR="00E8128F">
        <w:rPr>
          <w:sz w:val="36"/>
          <w:szCs w:val="36"/>
          <w:rtl/>
        </w:rPr>
        <w:t xml:space="preserve"> </w:t>
      </w:r>
      <w:r w:rsidRPr="00FD211F">
        <w:rPr>
          <w:sz w:val="36"/>
          <w:szCs w:val="36"/>
          <w:rtl/>
        </w:rPr>
        <w:t>الحرم</w:t>
      </w:r>
      <w:r w:rsidR="00EC7EDF" w:rsidRPr="00FD211F">
        <w:rPr>
          <w:sz w:val="36"/>
          <w:szCs w:val="36"/>
          <w:rtl/>
        </w:rPr>
        <w:t>ة</w:t>
      </w:r>
      <w:r w:rsidR="00E8128F">
        <w:rPr>
          <w:sz w:val="36"/>
          <w:szCs w:val="36"/>
          <w:rtl/>
        </w:rPr>
        <w:t xml:space="preserve"> </w:t>
      </w:r>
      <w:r w:rsidRPr="00FD211F">
        <w:rPr>
          <w:sz w:val="36"/>
          <w:szCs w:val="36"/>
          <w:rtl/>
        </w:rPr>
        <w:t>ومن</w:t>
      </w:r>
      <w:r w:rsidR="00E8128F">
        <w:rPr>
          <w:sz w:val="36"/>
          <w:szCs w:val="36"/>
          <w:rtl/>
        </w:rPr>
        <w:t xml:space="preserve"> </w:t>
      </w:r>
      <w:r w:rsidRPr="00FD211F">
        <w:rPr>
          <w:sz w:val="36"/>
          <w:szCs w:val="36"/>
          <w:rtl/>
        </w:rPr>
        <w:t>هنا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اراد</w:t>
      </w:r>
      <w:r w:rsidR="00E8128F">
        <w:rPr>
          <w:sz w:val="36"/>
          <w:szCs w:val="36"/>
          <w:rtl/>
        </w:rPr>
        <w:t xml:space="preserve"> </w:t>
      </w:r>
      <w:r w:rsidRPr="00FD211F">
        <w:rPr>
          <w:sz w:val="36"/>
          <w:szCs w:val="36"/>
          <w:rtl/>
        </w:rPr>
        <w:t>اخوان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تصير</w:t>
      </w:r>
      <w:r w:rsidR="00E8128F">
        <w:rPr>
          <w:sz w:val="36"/>
          <w:szCs w:val="36"/>
          <w:rtl/>
        </w:rPr>
        <w:t xml:space="preserve"> </w:t>
      </w:r>
      <w:r w:rsidRPr="00FD211F">
        <w:rPr>
          <w:sz w:val="36"/>
          <w:szCs w:val="36"/>
          <w:rtl/>
        </w:rPr>
        <w:t>زوج</w:t>
      </w:r>
      <w:r w:rsidR="00EC7EDF" w:rsidRPr="00FD211F">
        <w:rPr>
          <w:sz w:val="36"/>
          <w:szCs w:val="36"/>
          <w:rtl/>
        </w:rPr>
        <w:t>ة</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منهما</w:t>
      </w:r>
      <w:r w:rsidR="00E8128F">
        <w:rPr>
          <w:sz w:val="36"/>
          <w:szCs w:val="36"/>
          <w:rtl/>
        </w:rPr>
        <w:t xml:space="preserve"> </w:t>
      </w:r>
      <w:r w:rsidRPr="00FD211F">
        <w:rPr>
          <w:sz w:val="36"/>
          <w:szCs w:val="36"/>
          <w:rtl/>
        </w:rPr>
        <w:t>محرما</w:t>
      </w:r>
      <w:r w:rsidR="00E8128F">
        <w:rPr>
          <w:sz w:val="36"/>
          <w:szCs w:val="36"/>
          <w:rtl/>
        </w:rPr>
        <w:t xml:space="preserve"> </w:t>
      </w:r>
      <w:r w:rsidRPr="00FD211F">
        <w:rPr>
          <w:sz w:val="36"/>
          <w:szCs w:val="36"/>
          <w:rtl/>
        </w:rPr>
        <w:t>للآخر</w:t>
      </w:r>
      <w:r w:rsidR="00603323" w:rsidRPr="00FD211F">
        <w:rPr>
          <w:sz w:val="36"/>
          <w:szCs w:val="36"/>
          <w:rtl/>
        </w:rPr>
        <w:t>،</w:t>
      </w:r>
      <w:r w:rsidR="00E8128F">
        <w:rPr>
          <w:sz w:val="36"/>
          <w:szCs w:val="36"/>
          <w:rtl/>
        </w:rPr>
        <w:t xml:space="preserve"> </w:t>
      </w:r>
      <w:r w:rsidRPr="00FD211F">
        <w:rPr>
          <w:sz w:val="36"/>
          <w:szCs w:val="36"/>
          <w:rtl/>
        </w:rPr>
        <w:t>فقد</w:t>
      </w:r>
      <w:r w:rsidR="00E8128F">
        <w:rPr>
          <w:sz w:val="36"/>
          <w:szCs w:val="36"/>
          <w:rtl/>
        </w:rPr>
        <w:t xml:space="preserve"> </w:t>
      </w:r>
      <w:r w:rsidRPr="00FD211F">
        <w:rPr>
          <w:sz w:val="36"/>
          <w:szCs w:val="36"/>
          <w:rtl/>
        </w:rPr>
        <w:t>ذكروا</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يتزوج</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منهما</w:t>
      </w:r>
      <w:r w:rsidR="00E8128F">
        <w:rPr>
          <w:sz w:val="36"/>
          <w:szCs w:val="36"/>
          <w:rtl/>
        </w:rPr>
        <w:t xml:space="preserve"> </w:t>
      </w:r>
      <w:r w:rsidRPr="00FD211F">
        <w:rPr>
          <w:sz w:val="36"/>
          <w:szCs w:val="36"/>
          <w:rtl/>
        </w:rPr>
        <w:t>زوج</w:t>
      </w:r>
      <w:r w:rsidR="00EC7EDF" w:rsidRPr="00FD211F">
        <w:rPr>
          <w:sz w:val="36"/>
          <w:szCs w:val="36"/>
          <w:rtl/>
        </w:rPr>
        <w:t>ة</w:t>
      </w:r>
      <w:r w:rsidR="00E8128F">
        <w:rPr>
          <w:sz w:val="36"/>
          <w:szCs w:val="36"/>
          <w:rtl/>
        </w:rPr>
        <w:t xml:space="preserve"> </w:t>
      </w:r>
      <w:r w:rsidRPr="00FD211F">
        <w:rPr>
          <w:sz w:val="36"/>
          <w:szCs w:val="36"/>
          <w:rtl/>
        </w:rPr>
        <w:t>صغير</w:t>
      </w:r>
      <w:r w:rsidR="00EC7EDF" w:rsidRPr="00FD211F">
        <w:rPr>
          <w:sz w:val="36"/>
          <w:szCs w:val="36"/>
          <w:rtl/>
        </w:rPr>
        <w:t>ة</w:t>
      </w:r>
      <w:r w:rsidR="00E8128F">
        <w:rPr>
          <w:sz w:val="36"/>
          <w:szCs w:val="36"/>
          <w:rtl/>
        </w:rPr>
        <w:t xml:space="preserve"> </w:t>
      </w:r>
      <w:r w:rsidRPr="00FD211F">
        <w:rPr>
          <w:sz w:val="36"/>
          <w:szCs w:val="36"/>
          <w:rtl/>
        </w:rPr>
        <w:t>ويدفعها</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زوج</w:t>
      </w:r>
      <w:r w:rsidR="00EC7EDF" w:rsidRPr="00FD211F">
        <w:rPr>
          <w:sz w:val="36"/>
          <w:szCs w:val="36"/>
          <w:rtl/>
        </w:rPr>
        <w:t>ة</w:t>
      </w:r>
      <w:r w:rsidR="00E8128F">
        <w:rPr>
          <w:sz w:val="36"/>
          <w:szCs w:val="36"/>
          <w:rtl/>
        </w:rPr>
        <w:t xml:space="preserve"> </w:t>
      </w:r>
      <w:r w:rsidRPr="00FD211F">
        <w:rPr>
          <w:sz w:val="36"/>
          <w:szCs w:val="36"/>
          <w:rtl/>
        </w:rPr>
        <w:t>اخيه</w:t>
      </w:r>
      <w:r w:rsidR="00E8128F">
        <w:rPr>
          <w:sz w:val="36"/>
          <w:szCs w:val="36"/>
          <w:rtl/>
        </w:rPr>
        <w:t xml:space="preserve"> </w:t>
      </w:r>
      <w:r w:rsidRPr="00FD211F">
        <w:rPr>
          <w:sz w:val="36"/>
          <w:szCs w:val="36"/>
          <w:rtl/>
        </w:rPr>
        <w:t>لترضعها</w:t>
      </w:r>
      <w:r w:rsidR="00E8128F">
        <w:rPr>
          <w:sz w:val="36"/>
          <w:szCs w:val="36"/>
          <w:rtl/>
        </w:rPr>
        <w:t xml:space="preserve"> </w:t>
      </w:r>
      <w:r w:rsidRPr="00FD211F">
        <w:rPr>
          <w:sz w:val="36"/>
          <w:szCs w:val="36"/>
          <w:rtl/>
        </w:rPr>
        <w:t>وبعد</w:t>
      </w:r>
      <w:r w:rsidR="00E8128F">
        <w:rPr>
          <w:sz w:val="36"/>
          <w:szCs w:val="36"/>
          <w:rtl/>
        </w:rPr>
        <w:t xml:space="preserve"> </w:t>
      </w:r>
      <w:r w:rsidRPr="00FD211F">
        <w:rPr>
          <w:sz w:val="36"/>
          <w:szCs w:val="36"/>
          <w:rtl/>
        </w:rPr>
        <w:t>تحقق</w:t>
      </w:r>
      <w:r w:rsidR="00E8128F">
        <w:rPr>
          <w:sz w:val="36"/>
          <w:szCs w:val="36"/>
          <w:rtl/>
        </w:rPr>
        <w:t xml:space="preserve"> </w:t>
      </w:r>
      <w:r w:rsidRPr="00FD211F">
        <w:rPr>
          <w:sz w:val="36"/>
          <w:szCs w:val="36"/>
          <w:rtl/>
        </w:rPr>
        <w:t>الارضاع</w:t>
      </w:r>
      <w:r w:rsidR="00E8128F">
        <w:rPr>
          <w:sz w:val="36"/>
          <w:szCs w:val="36"/>
          <w:rtl/>
        </w:rPr>
        <w:t xml:space="preserve"> </w:t>
      </w:r>
      <w:r w:rsidRPr="00FD211F">
        <w:rPr>
          <w:sz w:val="36"/>
          <w:szCs w:val="36"/>
          <w:rtl/>
        </w:rPr>
        <w:t>ا</w:t>
      </w:r>
      <w:r w:rsidR="00214C82" w:rsidRPr="00FD211F">
        <w:rPr>
          <w:sz w:val="36"/>
          <w:szCs w:val="36"/>
          <w:rtl/>
        </w:rPr>
        <w:t>لمحرم</w:t>
      </w:r>
      <w:r w:rsidR="00E8128F">
        <w:rPr>
          <w:sz w:val="36"/>
          <w:szCs w:val="36"/>
          <w:rtl/>
        </w:rPr>
        <w:t xml:space="preserve"> </w:t>
      </w:r>
      <w:r w:rsidR="00214C82" w:rsidRPr="00FD211F">
        <w:rPr>
          <w:sz w:val="36"/>
          <w:szCs w:val="36"/>
          <w:rtl/>
        </w:rPr>
        <w:t>يصير</w:t>
      </w:r>
      <w:r w:rsidR="00E8128F">
        <w:rPr>
          <w:sz w:val="36"/>
          <w:szCs w:val="36"/>
          <w:rtl/>
        </w:rPr>
        <w:t xml:space="preserve"> </w:t>
      </w:r>
      <w:r w:rsidR="00523DD6" w:rsidRPr="00FD211F">
        <w:rPr>
          <w:sz w:val="36"/>
          <w:szCs w:val="36"/>
          <w:rtl/>
        </w:rPr>
        <w:t>هو</w:t>
      </w:r>
      <w:r w:rsidR="00214C82" w:rsidRPr="00FD211F">
        <w:rPr>
          <w:sz w:val="36"/>
          <w:szCs w:val="36"/>
          <w:rtl/>
        </w:rPr>
        <w:t>عم</w:t>
      </w:r>
      <w:r w:rsidR="00523DD6" w:rsidRPr="00FD211F">
        <w:rPr>
          <w:sz w:val="36"/>
          <w:szCs w:val="36"/>
          <w:rtl/>
        </w:rPr>
        <w:t>َّ</w:t>
      </w:r>
      <w:r w:rsidR="00214C82" w:rsidRPr="00FD211F">
        <w:rPr>
          <w:sz w:val="36"/>
          <w:szCs w:val="36"/>
          <w:rtl/>
        </w:rPr>
        <w:t>ا</w:t>
      </w:r>
      <w:r w:rsidR="00523DD6" w:rsidRPr="00FD211F">
        <w:rPr>
          <w:sz w:val="36"/>
          <w:szCs w:val="36"/>
          <w:rtl/>
        </w:rPr>
        <w:t>ً</w:t>
      </w:r>
      <w:r w:rsidR="00E8128F">
        <w:rPr>
          <w:sz w:val="36"/>
          <w:szCs w:val="36"/>
          <w:rtl/>
        </w:rPr>
        <w:t xml:space="preserve"> </w:t>
      </w:r>
      <w:r w:rsidR="00214C82" w:rsidRPr="00FD211F">
        <w:rPr>
          <w:sz w:val="36"/>
          <w:szCs w:val="36"/>
          <w:rtl/>
        </w:rPr>
        <w:t>رضاعيا</w:t>
      </w:r>
      <w:r w:rsidR="00523DD6" w:rsidRPr="00FD211F">
        <w:rPr>
          <w:sz w:val="36"/>
          <w:szCs w:val="36"/>
          <w:rtl/>
        </w:rPr>
        <w:t>ً</w:t>
      </w:r>
      <w:r w:rsidR="00E8128F">
        <w:rPr>
          <w:sz w:val="36"/>
          <w:szCs w:val="36"/>
          <w:rtl/>
        </w:rPr>
        <w:t xml:space="preserve"> </w:t>
      </w:r>
      <w:r w:rsidR="00214C82" w:rsidRPr="00FD211F">
        <w:rPr>
          <w:sz w:val="36"/>
          <w:szCs w:val="36"/>
          <w:rtl/>
        </w:rPr>
        <w:t>للصغير</w:t>
      </w:r>
      <w:r w:rsidR="00EC7EDF" w:rsidRPr="00FD211F">
        <w:rPr>
          <w:sz w:val="36"/>
          <w:szCs w:val="36"/>
          <w:rtl/>
        </w:rPr>
        <w:t>ة</w:t>
      </w:r>
      <w:r w:rsidR="00E8128F">
        <w:rPr>
          <w:sz w:val="36"/>
          <w:szCs w:val="36"/>
          <w:rtl/>
        </w:rPr>
        <w:t xml:space="preserve"> </w:t>
      </w:r>
      <w:r w:rsidR="00214C82" w:rsidRPr="00FD211F">
        <w:rPr>
          <w:sz w:val="36"/>
          <w:szCs w:val="36"/>
          <w:rtl/>
        </w:rPr>
        <w:t>وبذلك</w:t>
      </w:r>
      <w:r w:rsidR="00E8128F">
        <w:rPr>
          <w:sz w:val="36"/>
          <w:szCs w:val="36"/>
          <w:rtl/>
        </w:rPr>
        <w:t xml:space="preserve"> </w:t>
      </w:r>
      <w:r w:rsidR="00214C82" w:rsidRPr="00FD211F">
        <w:rPr>
          <w:sz w:val="36"/>
          <w:szCs w:val="36"/>
          <w:rtl/>
        </w:rPr>
        <w:t>تزول</w:t>
      </w:r>
      <w:r w:rsidR="00E8128F">
        <w:rPr>
          <w:sz w:val="36"/>
          <w:szCs w:val="36"/>
          <w:rtl/>
        </w:rPr>
        <w:t xml:space="preserve"> </w:t>
      </w:r>
      <w:r w:rsidR="00214C82" w:rsidRPr="00FD211F">
        <w:rPr>
          <w:sz w:val="36"/>
          <w:szCs w:val="36"/>
          <w:rtl/>
        </w:rPr>
        <w:t>زوجيتها</w:t>
      </w:r>
      <w:r w:rsidR="00603323" w:rsidRPr="00FD211F">
        <w:rPr>
          <w:sz w:val="36"/>
          <w:szCs w:val="36"/>
          <w:rtl/>
        </w:rPr>
        <w:t>،</w:t>
      </w:r>
      <w:r w:rsidR="00E8128F">
        <w:rPr>
          <w:sz w:val="36"/>
          <w:szCs w:val="36"/>
          <w:rtl/>
        </w:rPr>
        <w:t xml:space="preserve"> </w:t>
      </w:r>
      <w:r w:rsidR="00214C82" w:rsidRPr="00FD211F">
        <w:rPr>
          <w:sz w:val="36"/>
          <w:szCs w:val="36"/>
          <w:rtl/>
        </w:rPr>
        <w:t>لكنه</w:t>
      </w:r>
      <w:r w:rsidR="00E8128F">
        <w:rPr>
          <w:sz w:val="36"/>
          <w:szCs w:val="36"/>
          <w:rtl/>
        </w:rPr>
        <w:t xml:space="preserve"> </w:t>
      </w:r>
      <w:r w:rsidR="00214C82" w:rsidRPr="00FD211F">
        <w:rPr>
          <w:sz w:val="36"/>
          <w:szCs w:val="36"/>
          <w:rtl/>
        </w:rPr>
        <w:t>في</w:t>
      </w:r>
      <w:r w:rsidR="00E8128F">
        <w:rPr>
          <w:sz w:val="36"/>
          <w:szCs w:val="36"/>
          <w:rtl/>
        </w:rPr>
        <w:t xml:space="preserve"> </w:t>
      </w:r>
      <w:r w:rsidR="00214C82" w:rsidRPr="00FD211F">
        <w:rPr>
          <w:sz w:val="36"/>
          <w:szCs w:val="36"/>
          <w:rtl/>
        </w:rPr>
        <w:t>هذه</w:t>
      </w:r>
      <w:r w:rsidR="00E8128F">
        <w:rPr>
          <w:sz w:val="36"/>
          <w:szCs w:val="36"/>
          <w:rtl/>
        </w:rPr>
        <w:t xml:space="preserve"> </w:t>
      </w:r>
      <w:r w:rsidR="00214C82" w:rsidRPr="00FD211F">
        <w:rPr>
          <w:sz w:val="36"/>
          <w:szCs w:val="36"/>
          <w:rtl/>
        </w:rPr>
        <w:t>الرتب</w:t>
      </w:r>
      <w:r w:rsidR="00EC7EDF" w:rsidRPr="00FD211F">
        <w:rPr>
          <w:sz w:val="36"/>
          <w:szCs w:val="36"/>
          <w:rtl/>
        </w:rPr>
        <w:t>ة</w:t>
      </w:r>
      <w:r w:rsidR="00E8128F">
        <w:rPr>
          <w:sz w:val="36"/>
          <w:szCs w:val="36"/>
          <w:rtl/>
        </w:rPr>
        <w:t xml:space="preserve"> </w:t>
      </w:r>
      <w:r w:rsidR="00214C82" w:rsidRPr="00FD211F">
        <w:rPr>
          <w:sz w:val="36"/>
          <w:szCs w:val="36"/>
          <w:rtl/>
        </w:rPr>
        <w:t>تصير</w:t>
      </w:r>
      <w:r w:rsidR="00E8128F">
        <w:rPr>
          <w:sz w:val="36"/>
          <w:szCs w:val="36"/>
          <w:rtl/>
        </w:rPr>
        <w:t xml:space="preserve"> </w:t>
      </w:r>
      <w:r w:rsidR="00214C82" w:rsidRPr="00FD211F">
        <w:rPr>
          <w:sz w:val="36"/>
          <w:szCs w:val="36"/>
          <w:rtl/>
        </w:rPr>
        <w:t>زوج</w:t>
      </w:r>
      <w:r w:rsidR="00EC7EDF" w:rsidRPr="00FD211F">
        <w:rPr>
          <w:sz w:val="36"/>
          <w:szCs w:val="36"/>
          <w:rtl/>
        </w:rPr>
        <w:t>ة</w:t>
      </w:r>
      <w:r w:rsidR="00E8128F">
        <w:rPr>
          <w:sz w:val="36"/>
          <w:szCs w:val="36"/>
          <w:rtl/>
        </w:rPr>
        <w:t xml:space="preserve"> </w:t>
      </w:r>
      <w:r w:rsidR="00214C82" w:rsidRPr="00FD211F">
        <w:rPr>
          <w:sz w:val="36"/>
          <w:szCs w:val="36"/>
          <w:rtl/>
        </w:rPr>
        <w:t>اخيه</w:t>
      </w:r>
      <w:r w:rsidR="00E8128F">
        <w:rPr>
          <w:sz w:val="36"/>
          <w:szCs w:val="36"/>
          <w:rtl/>
        </w:rPr>
        <w:t xml:space="preserve"> </w:t>
      </w:r>
      <w:r w:rsidR="00214C82" w:rsidRPr="00FD211F">
        <w:rPr>
          <w:sz w:val="36"/>
          <w:szCs w:val="36"/>
          <w:rtl/>
        </w:rPr>
        <w:t>ام</w:t>
      </w:r>
      <w:r w:rsidR="00E8128F">
        <w:rPr>
          <w:sz w:val="36"/>
          <w:szCs w:val="36"/>
          <w:rtl/>
        </w:rPr>
        <w:t xml:space="preserve"> </w:t>
      </w:r>
      <w:r w:rsidR="00214C82" w:rsidRPr="00FD211F">
        <w:rPr>
          <w:sz w:val="36"/>
          <w:szCs w:val="36"/>
          <w:rtl/>
        </w:rPr>
        <w:t>زوجته</w:t>
      </w:r>
      <w:r w:rsidR="00E8128F">
        <w:rPr>
          <w:sz w:val="36"/>
          <w:szCs w:val="36"/>
          <w:rtl/>
        </w:rPr>
        <w:t xml:space="preserve"> </w:t>
      </w:r>
      <w:r w:rsidR="00214C82" w:rsidRPr="00FD211F">
        <w:rPr>
          <w:sz w:val="36"/>
          <w:szCs w:val="36"/>
          <w:rtl/>
        </w:rPr>
        <w:t>فتصير</w:t>
      </w:r>
      <w:r w:rsidR="00E8128F">
        <w:rPr>
          <w:sz w:val="36"/>
          <w:szCs w:val="36"/>
          <w:rtl/>
        </w:rPr>
        <w:t xml:space="preserve"> </w:t>
      </w:r>
      <w:r w:rsidR="00214C82" w:rsidRPr="00FD211F">
        <w:rPr>
          <w:sz w:val="36"/>
          <w:szCs w:val="36"/>
          <w:rtl/>
        </w:rPr>
        <w:t>محرما</w:t>
      </w:r>
      <w:r w:rsidR="00E8128F">
        <w:rPr>
          <w:sz w:val="36"/>
          <w:szCs w:val="36"/>
          <w:rtl/>
        </w:rPr>
        <w:t xml:space="preserve"> </w:t>
      </w:r>
      <w:r w:rsidR="00214C82" w:rsidRPr="00FD211F">
        <w:rPr>
          <w:sz w:val="36"/>
          <w:szCs w:val="36"/>
          <w:rtl/>
        </w:rPr>
        <w:t>عليه</w:t>
      </w:r>
      <w:r w:rsidR="00603323" w:rsidRPr="00FD211F">
        <w:rPr>
          <w:sz w:val="36"/>
          <w:szCs w:val="36"/>
          <w:rtl/>
        </w:rPr>
        <w:t>،</w:t>
      </w:r>
      <w:r w:rsidR="00E8128F">
        <w:rPr>
          <w:sz w:val="36"/>
          <w:szCs w:val="36"/>
          <w:rtl/>
        </w:rPr>
        <w:t xml:space="preserve"> </w:t>
      </w:r>
      <w:r w:rsidR="0079145C" w:rsidRPr="00FD211F">
        <w:rPr>
          <w:sz w:val="36"/>
          <w:szCs w:val="36"/>
          <w:rtl/>
        </w:rPr>
        <w:t>وقد</w:t>
      </w:r>
      <w:r w:rsidR="00E8128F">
        <w:rPr>
          <w:sz w:val="36"/>
          <w:szCs w:val="36"/>
          <w:rtl/>
        </w:rPr>
        <w:t xml:space="preserve"> </w:t>
      </w:r>
      <w:r w:rsidR="0079145C" w:rsidRPr="00FD211F">
        <w:rPr>
          <w:sz w:val="36"/>
          <w:szCs w:val="36"/>
          <w:rtl/>
        </w:rPr>
        <w:t>افتى</w:t>
      </w:r>
      <w:r w:rsidR="00E8128F">
        <w:rPr>
          <w:sz w:val="36"/>
          <w:szCs w:val="36"/>
          <w:rtl/>
        </w:rPr>
        <w:t xml:space="preserve"> </w:t>
      </w:r>
      <w:r w:rsidR="0079145C" w:rsidRPr="00FD211F">
        <w:rPr>
          <w:sz w:val="36"/>
          <w:szCs w:val="36"/>
          <w:rtl/>
        </w:rPr>
        <w:t>بذلك</w:t>
      </w:r>
      <w:r w:rsidR="00E8128F">
        <w:rPr>
          <w:sz w:val="36"/>
          <w:szCs w:val="36"/>
          <w:rtl/>
        </w:rPr>
        <w:t xml:space="preserve"> </w:t>
      </w:r>
      <w:r w:rsidR="00BF3C80" w:rsidRPr="00FD211F">
        <w:rPr>
          <w:sz w:val="36"/>
          <w:szCs w:val="36"/>
          <w:rtl/>
        </w:rPr>
        <w:t>جمع</w:t>
      </w:r>
      <w:r w:rsidR="00E8128F">
        <w:rPr>
          <w:sz w:val="36"/>
          <w:szCs w:val="36"/>
          <w:rtl/>
        </w:rPr>
        <w:t xml:space="preserve"> </w:t>
      </w:r>
      <w:r w:rsidR="00BF3C80" w:rsidRPr="00FD211F">
        <w:rPr>
          <w:sz w:val="36"/>
          <w:szCs w:val="36"/>
          <w:rtl/>
        </w:rPr>
        <w:t>من</w:t>
      </w:r>
      <w:r w:rsidR="00E8128F">
        <w:rPr>
          <w:sz w:val="36"/>
          <w:szCs w:val="36"/>
          <w:rtl/>
        </w:rPr>
        <w:t xml:space="preserve"> </w:t>
      </w:r>
      <w:r w:rsidR="00BF3C80" w:rsidRPr="00FD211F">
        <w:rPr>
          <w:sz w:val="36"/>
          <w:szCs w:val="36"/>
          <w:rtl/>
        </w:rPr>
        <w:t>الاعلام</w:t>
      </w:r>
      <w:r w:rsidR="009C58C8" w:rsidRPr="00FD211F">
        <w:rPr>
          <w:rStyle w:val="a6"/>
          <w:sz w:val="36"/>
          <w:szCs w:val="36"/>
          <w:rtl/>
        </w:rPr>
        <w:t>(</w:t>
      </w:r>
      <w:r w:rsidR="009C58C8" w:rsidRPr="00FD211F">
        <w:rPr>
          <w:rStyle w:val="a6"/>
          <w:sz w:val="36"/>
          <w:szCs w:val="36"/>
          <w:rtl/>
        </w:rPr>
        <w:footnoteReference w:id="516"/>
      </w:r>
      <w:r w:rsidR="009C58C8" w:rsidRPr="00FD211F">
        <w:rPr>
          <w:rStyle w:val="a6"/>
          <w:sz w:val="36"/>
          <w:szCs w:val="36"/>
          <w:rtl/>
        </w:rPr>
        <w:t>)</w:t>
      </w:r>
      <w:r w:rsidR="00214C82" w:rsidRPr="00FD211F">
        <w:rPr>
          <w:sz w:val="36"/>
          <w:szCs w:val="36"/>
          <w:rtl/>
        </w:rPr>
        <w:t>.</w:t>
      </w:r>
    </w:p>
    <w:p w14:paraId="771A5487" w14:textId="77777777" w:rsidR="00214C82" w:rsidRPr="00FD211F" w:rsidRDefault="0079145C" w:rsidP="00DD2AAE">
      <w:pPr>
        <w:ind w:left="0" w:firstLine="227"/>
        <w:jc w:val="both"/>
        <w:rPr>
          <w:sz w:val="36"/>
          <w:szCs w:val="36"/>
          <w:rtl/>
        </w:rPr>
      </w:pPr>
      <w:r w:rsidRPr="00FD211F">
        <w:rPr>
          <w:b/>
          <w:bCs/>
          <w:sz w:val="36"/>
          <w:szCs w:val="36"/>
          <w:rtl/>
        </w:rPr>
        <w:t>الرواي</w:t>
      </w:r>
      <w:r w:rsidR="00EC7EDF" w:rsidRPr="00FD211F">
        <w:rPr>
          <w:b/>
          <w:bCs/>
          <w:sz w:val="36"/>
          <w:szCs w:val="36"/>
          <w:rtl/>
        </w:rPr>
        <w:t>ة</w:t>
      </w:r>
      <w:r w:rsidR="00E8128F">
        <w:rPr>
          <w:b/>
          <w:bCs/>
          <w:sz w:val="36"/>
          <w:szCs w:val="36"/>
          <w:rtl/>
        </w:rPr>
        <w:t xml:space="preserve"> </w:t>
      </w: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00214C82" w:rsidRPr="00FD211F">
        <w:rPr>
          <w:sz w:val="36"/>
          <w:szCs w:val="36"/>
          <w:rtl/>
        </w:rPr>
        <w:t>صحيح</w:t>
      </w:r>
      <w:r w:rsidR="00EC7EDF" w:rsidRPr="00FD211F">
        <w:rPr>
          <w:sz w:val="36"/>
          <w:szCs w:val="36"/>
          <w:rtl/>
        </w:rPr>
        <w:t>ة</w:t>
      </w:r>
      <w:r w:rsidR="00E8128F">
        <w:rPr>
          <w:sz w:val="36"/>
          <w:szCs w:val="36"/>
          <w:rtl/>
        </w:rPr>
        <w:t xml:space="preserve"> </w:t>
      </w:r>
      <w:r w:rsidR="00214C82" w:rsidRPr="00FD211F">
        <w:rPr>
          <w:sz w:val="36"/>
          <w:szCs w:val="36"/>
          <w:rtl/>
        </w:rPr>
        <w:t>محمد</w:t>
      </w:r>
      <w:r w:rsidR="00E8128F">
        <w:rPr>
          <w:sz w:val="36"/>
          <w:szCs w:val="36"/>
          <w:rtl/>
        </w:rPr>
        <w:t xml:space="preserve"> </w:t>
      </w:r>
      <w:r w:rsidR="00214C82" w:rsidRPr="00FD211F">
        <w:rPr>
          <w:sz w:val="36"/>
          <w:szCs w:val="36"/>
          <w:rtl/>
        </w:rPr>
        <w:t>بن</w:t>
      </w:r>
      <w:r w:rsidR="00E8128F">
        <w:rPr>
          <w:sz w:val="36"/>
          <w:szCs w:val="36"/>
          <w:rtl/>
        </w:rPr>
        <w:t xml:space="preserve"> </w:t>
      </w:r>
      <w:r w:rsidR="00214C82" w:rsidRPr="00FD211F">
        <w:rPr>
          <w:sz w:val="36"/>
          <w:szCs w:val="36"/>
          <w:rtl/>
        </w:rPr>
        <w:t>مسلم:</w:t>
      </w:r>
      <w:r w:rsidR="00E8128F">
        <w:rPr>
          <w:sz w:val="36"/>
          <w:szCs w:val="36"/>
          <w:rtl/>
        </w:rPr>
        <w:t xml:space="preserve"> </w:t>
      </w:r>
      <w:r w:rsidR="00214C82" w:rsidRPr="00FD211F">
        <w:rPr>
          <w:sz w:val="36"/>
          <w:szCs w:val="36"/>
          <w:rtl/>
        </w:rPr>
        <w:t>لو</w:t>
      </w:r>
      <w:r w:rsidR="00E8128F">
        <w:rPr>
          <w:sz w:val="36"/>
          <w:szCs w:val="36"/>
          <w:rtl/>
        </w:rPr>
        <w:t xml:space="preserve"> </w:t>
      </w:r>
      <w:r w:rsidR="00214C82" w:rsidRPr="00FD211F">
        <w:rPr>
          <w:sz w:val="36"/>
          <w:szCs w:val="36"/>
          <w:rtl/>
        </w:rPr>
        <w:t>ان</w:t>
      </w:r>
      <w:r w:rsidR="00E8128F">
        <w:rPr>
          <w:sz w:val="36"/>
          <w:szCs w:val="36"/>
          <w:rtl/>
        </w:rPr>
        <w:t xml:space="preserve"> </w:t>
      </w:r>
      <w:r w:rsidR="00214C82" w:rsidRPr="00FD211F">
        <w:rPr>
          <w:sz w:val="36"/>
          <w:szCs w:val="36"/>
          <w:rtl/>
        </w:rPr>
        <w:t>رجلا</w:t>
      </w:r>
      <w:r w:rsidR="00E8128F">
        <w:rPr>
          <w:sz w:val="36"/>
          <w:szCs w:val="36"/>
          <w:rtl/>
        </w:rPr>
        <w:t xml:space="preserve"> </w:t>
      </w:r>
      <w:r w:rsidR="00214C82" w:rsidRPr="00FD211F">
        <w:rPr>
          <w:sz w:val="36"/>
          <w:szCs w:val="36"/>
          <w:rtl/>
        </w:rPr>
        <w:t>تزوج</w:t>
      </w:r>
      <w:r w:rsidR="00E8128F">
        <w:rPr>
          <w:sz w:val="36"/>
          <w:szCs w:val="36"/>
          <w:rtl/>
        </w:rPr>
        <w:t xml:space="preserve"> </w:t>
      </w:r>
      <w:r w:rsidR="00214C82" w:rsidRPr="00FD211F">
        <w:rPr>
          <w:sz w:val="36"/>
          <w:szCs w:val="36"/>
          <w:rtl/>
        </w:rPr>
        <w:t>جاري</w:t>
      </w:r>
      <w:r w:rsidR="00EC7EDF" w:rsidRPr="00FD211F">
        <w:rPr>
          <w:sz w:val="36"/>
          <w:szCs w:val="36"/>
          <w:rtl/>
        </w:rPr>
        <w:t>ة</w:t>
      </w:r>
      <w:r w:rsidR="00E8128F">
        <w:rPr>
          <w:sz w:val="36"/>
          <w:szCs w:val="36"/>
          <w:rtl/>
        </w:rPr>
        <w:t xml:space="preserve"> </w:t>
      </w:r>
      <w:r w:rsidR="00214C82" w:rsidRPr="00FD211F">
        <w:rPr>
          <w:sz w:val="36"/>
          <w:szCs w:val="36"/>
          <w:rtl/>
        </w:rPr>
        <w:t>رضيع</w:t>
      </w:r>
      <w:r w:rsidR="00EC7EDF" w:rsidRPr="00FD211F">
        <w:rPr>
          <w:sz w:val="36"/>
          <w:szCs w:val="36"/>
          <w:rtl/>
        </w:rPr>
        <w:t>ة</w:t>
      </w:r>
      <w:r w:rsidR="00E8128F">
        <w:rPr>
          <w:sz w:val="36"/>
          <w:szCs w:val="36"/>
          <w:rtl/>
        </w:rPr>
        <w:t xml:space="preserve"> </w:t>
      </w:r>
      <w:r w:rsidR="00214C82" w:rsidRPr="00FD211F">
        <w:rPr>
          <w:sz w:val="36"/>
          <w:szCs w:val="36"/>
          <w:rtl/>
        </w:rPr>
        <w:t>فارضعتها</w:t>
      </w:r>
      <w:r w:rsidR="00E8128F">
        <w:rPr>
          <w:sz w:val="36"/>
          <w:szCs w:val="36"/>
          <w:rtl/>
        </w:rPr>
        <w:t xml:space="preserve"> </w:t>
      </w:r>
      <w:r w:rsidR="00214C82" w:rsidRPr="00FD211F">
        <w:rPr>
          <w:sz w:val="36"/>
          <w:szCs w:val="36"/>
          <w:rtl/>
        </w:rPr>
        <w:t>امرأته</w:t>
      </w:r>
      <w:r w:rsidR="00E8128F">
        <w:rPr>
          <w:sz w:val="36"/>
          <w:szCs w:val="36"/>
          <w:rtl/>
        </w:rPr>
        <w:t xml:space="preserve"> </w:t>
      </w:r>
      <w:r w:rsidR="00214C82" w:rsidRPr="00FD211F">
        <w:rPr>
          <w:sz w:val="36"/>
          <w:szCs w:val="36"/>
          <w:rtl/>
        </w:rPr>
        <w:t>فسد</w:t>
      </w:r>
      <w:r w:rsidR="00E8128F">
        <w:rPr>
          <w:sz w:val="36"/>
          <w:szCs w:val="36"/>
          <w:rtl/>
        </w:rPr>
        <w:t xml:space="preserve"> </w:t>
      </w:r>
      <w:r w:rsidR="00214C82" w:rsidRPr="00FD211F">
        <w:rPr>
          <w:sz w:val="36"/>
          <w:szCs w:val="36"/>
          <w:rtl/>
        </w:rPr>
        <w:t>النكاح</w:t>
      </w:r>
      <w:r w:rsidR="009C58C8" w:rsidRPr="00FD211F">
        <w:rPr>
          <w:rStyle w:val="a6"/>
          <w:sz w:val="36"/>
          <w:szCs w:val="36"/>
          <w:rtl/>
        </w:rPr>
        <w:t>(</w:t>
      </w:r>
      <w:r w:rsidR="009C58C8" w:rsidRPr="00FD211F">
        <w:rPr>
          <w:rStyle w:val="a6"/>
          <w:sz w:val="36"/>
          <w:szCs w:val="36"/>
          <w:rtl/>
        </w:rPr>
        <w:footnoteReference w:id="517"/>
      </w:r>
      <w:r w:rsidR="009C58C8" w:rsidRPr="00FD211F">
        <w:rPr>
          <w:rStyle w:val="a6"/>
          <w:sz w:val="36"/>
          <w:szCs w:val="36"/>
          <w:rtl/>
        </w:rPr>
        <w:t>)</w:t>
      </w:r>
      <w:r w:rsidR="00E8128F">
        <w:rPr>
          <w:sz w:val="36"/>
          <w:szCs w:val="36"/>
          <w:rtl/>
        </w:rPr>
        <w:t xml:space="preserve"> </w:t>
      </w:r>
      <w:r w:rsidR="004E6AA8" w:rsidRPr="00FD211F">
        <w:rPr>
          <w:sz w:val="36"/>
          <w:szCs w:val="36"/>
          <w:rtl/>
        </w:rPr>
        <w:t>فق</w:t>
      </w:r>
      <w:r w:rsidR="00214C82" w:rsidRPr="00FD211F">
        <w:rPr>
          <w:sz w:val="36"/>
          <w:szCs w:val="36"/>
          <w:rtl/>
        </w:rPr>
        <w:t>د</w:t>
      </w:r>
      <w:r w:rsidR="00E8128F">
        <w:rPr>
          <w:sz w:val="36"/>
          <w:szCs w:val="36"/>
          <w:rtl/>
        </w:rPr>
        <w:t xml:space="preserve"> </w:t>
      </w:r>
      <w:r w:rsidRPr="00FD211F">
        <w:rPr>
          <w:sz w:val="36"/>
          <w:szCs w:val="36"/>
          <w:rtl/>
        </w:rPr>
        <w:t>يستظهر</w:t>
      </w:r>
      <w:r w:rsidR="00E8128F">
        <w:rPr>
          <w:sz w:val="36"/>
          <w:szCs w:val="36"/>
          <w:rtl/>
        </w:rPr>
        <w:t xml:space="preserve"> </w:t>
      </w:r>
      <w:r w:rsidRPr="00FD211F">
        <w:rPr>
          <w:sz w:val="36"/>
          <w:szCs w:val="36"/>
          <w:rtl/>
        </w:rPr>
        <w:t>منها</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المحاضرات</w:t>
      </w:r>
      <w:r w:rsidR="00E8128F">
        <w:rPr>
          <w:sz w:val="36"/>
          <w:szCs w:val="36"/>
          <w:rtl/>
        </w:rPr>
        <w:t xml:space="preserve"> </w:t>
      </w:r>
      <w:r w:rsidR="00214C82" w:rsidRPr="00FD211F">
        <w:rPr>
          <w:sz w:val="36"/>
          <w:szCs w:val="36"/>
          <w:rtl/>
        </w:rPr>
        <w:t>فساد</w:t>
      </w:r>
      <w:r w:rsidR="00E8128F">
        <w:rPr>
          <w:sz w:val="36"/>
          <w:szCs w:val="36"/>
          <w:rtl/>
        </w:rPr>
        <w:t xml:space="preserve"> </w:t>
      </w:r>
      <w:r w:rsidR="00214C82" w:rsidRPr="00FD211F">
        <w:rPr>
          <w:sz w:val="36"/>
          <w:szCs w:val="36"/>
          <w:rtl/>
        </w:rPr>
        <w:t>نكاح</w:t>
      </w:r>
      <w:r w:rsidR="00E8128F">
        <w:rPr>
          <w:sz w:val="36"/>
          <w:szCs w:val="36"/>
          <w:rtl/>
        </w:rPr>
        <w:t xml:space="preserve"> </w:t>
      </w:r>
      <w:r w:rsidR="00214C82" w:rsidRPr="00FD211F">
        <w:rPr>
          <w:sz w:val="36"/>
          <w:szCs w:val="36"/>
          <w:rtl/>
        </w:rPr>
        <w:t>الجاري</w:t>
      </w:r>
      <w:r w:rsidR="00EC7EDF" w:rsidRPr="00FD211F">
        <w:rPr>
          <w:sz w:val="36"/>
          <w:szCs w:val="36"/>
          <w:rtl/>
        </w:rPr>
        <w:t>ة</w:t>
      </w:r>
      <w:r w:rsidR="00E8128F">
        <w:rPr>
          <w:sz w:val="36"/>
          <w:szCs w:val="36"/>
          <w:rtl/>
        </w:rPr>
        <w:t xml:space="preserve"> </w:t>
      </w:r>
      <w:r w:rsidR="00214C82" w:rsidRPr="00FD211F">
        <w:rPr>
          <w:sz w:val="36"/>
          <w:szCs w:val="36"/>
          <w:rtl/>
        </w:rPr>
        <w:t>حيث</w:t>
      </w:r>
      <w:r w:rsidR="00E8128F">
        <w:rPr>
          <w:sz w:val="36"/>
          <w:szCs w:val="36"/>
          <w:rtl/>
        </w:rPr>
        <w:t xml:space="preserve"> </w:t>
      </w:r>
      <w:r w:rsidR="00214C82" w:rsidRPr="00FD211F">
        <w:rPr>
          <w:sz w:val="36"/>
          <w:szCs w:val="36"/>
          <w:rtl/>
        </w:rPr>
        <w:t>انه</w:t>
      </w:r>
      <w:r w:rsidR="00E8128F">
        <w:rPr>
          <w:sz w:val="36"/>
          <w:szCs w:val="36"/>
          <w:rtl/>
        </w:rPr>
        <w:t xml:space="preserve"> </w:t>
      </w:r>
      <w:r w:rsidR="00214C82" w:rsidRPr="00FD211F">
        <w:rPr>
          <w:sz w:val="36"/>
          <w:szCs w:val="36"/>
          <w:rtl/>
        </w:rPr>
        <w:t>المذكور</w:t>
      </w:r>
      <w:r w:rsidR="00E8128F">
        <w:rPr>
          <w:sz w:val="36"/>
          <w:szCs w:val="36"/>
          <w:rtl/>
        </w:rPr>
        <w:t xml:space="preserve"> </w:t>
      </w:r>
      <w:r w:rsidR="00214C82" w:rsidRPr="00FD211F">
        <w:rPr>
          <w:sz w:val="36"/>
          <w:szCs w:val="36"/>
          <w:rtl/>
        </w:rPr>
        <w:t>في</w:t>
      </w:r>
      <w:r w:rsidR="00E8128F">
        <w:rPr>
          <w:sz w:val="36"/>
          <w:szCs w:val="36"/>
          <w:rtl/>
        </w:rPr>
        <w:t xml:space="preserve"> </w:t>
      </w:r>
      <w:r w:rsidR="00214C82" w:rsidRPr="00FD211F">
        <w:rPr>
          <w:sz w:val="36"/>
          <w:szCs w:val="36"/>
          <w:rtl/>
        </w:rPr>
        <w:t>صدر</w:t>
      </w:r>
      <w:r w:rsidR="00E8128F">
        <w:rPr>
          <w:sz w:val="36"/>
          <w:szCs w:val="36"/>
          <w:rtl/>
        </w:rPr>
        <w:t xml:space="preserve"> </w:t>
      </w:r>
      <w:r w:rsidR="00214C82" w:rsidRPr="00FD211F">
        <w:rPr>
          <w:sz w:val="36"/>
          <w:szCs w:val="36"/>
          <w:rtl/>
        </w:rPr>
        <w:t>الحديث</w:t>
      </w:r>
      <w:r w:rsidR="009C58C8" w:rsidRPr="00FD211F">
        <w:rPr>
          <w:rStyle w:val="a6"/>
          <w:sz w:val="36"/>
          <w:szCs w:val="36"/>
          <w:rtl/>
        </w:rPr>
        <w:t>(</w:t>
      </w:r>
      <w:r w:rsidR="009C58C8" w:rsidRPr="00FD211F">
        <w:rPr>
          <w:rStyle w:val="a6"/>
          <w:sz w:val="36"/>
          <w:szCs w:val="36"/>
          <w:rtl/>
        </w:rPr>
        <w:footnoteReference w:id="518"/>
      </w:r>
      <w:r w:rsidR="009C58C8" w:rsidRPr="00FD211F">
        <w:rPr>
          <w:rStyle w:val="a6"/>
          <w:sz w:val="36"/>
          <w:szCs w:val="36"/>
          <w:rtl/>
        </w:rPr>
        <w:t>)</w:t>
      </w:r>
      <w:r w:rsidR="00E8128F">
        <w:rPr>
          <w:sz w:val="36"/>
          <w:szCs w:val="36"/>
          <w:rtl/>
        </w:rPr>
        <w:t xml:space="preserve"> </w:t>
      </w:r>
      <w:r w:rsidR="004E6AA8" w:rsidRPr="00FD211F">
        <w:rPr>
          <w:sz w:val="36"/>
          <w:szCs w:val="36"/>
          <w:rtl/>
        </w:rPr>
        <w:t>فان</w:t>
      </w:r>
      <w:r w:rsidR="00E8128F">
        <w:rPr>
          <w:sz w:val="36"/>
          <w:szCs w:val="36"/>
          <w:rtl/>
        </w:rPr>
        <w:t xml:space="preserve"> </w:t>
      </w:r>
      <w:r w:rsidR="004E6AA8" w:rsidRPr="00FD211F">
        <w:rPr>
          <w:sz w:val="36"/>
          <w:szCs w:val="36"/>
          <w:rtl/>
        </w:rPr>
        <w:t>قلنا</w:t>
      </w:r>
      <w:r w:rsidR="00E8128F">
        <w:rPr>
          <w:sz w:val="36"/>
          <w:szCs w:val="36"/>
          <w:rtl/>
        </w:rPr>
        <w:t xml:space="preserve"> </w:t>
      </w:r>
      <w:r w:rsidR="004E6AA8" w:rsidRPr="00FD211F">
        <w:rPr>
          <w:sz w:val="36"/>
          <w:szCs w:val="36"/>
          <w:rtl/>
        </w:rPr>
        <w:t>بما</w:t>
      </w:r>
      <w:r w:rsidR="00E8128F">
        <w:rPr>
          <w:sz w:val="36"/>
          <w:szCs w:val="36"/>
          <w:rtl/>
        </w:rPr>
        <w:t xml:space="preserve"> </w:t>
      </w:r>
      <w:r w:rsidR="004E6AA8" w:rsidRPr="00FD211F">
        <w:rPr>
          <w:sz w:val="36"/>
          <w:szCs w:val="36"/>
          <w:rtl/>
        </w:rPr>
        <w:t>هو</w:t>
      </w:r>
      <w:r w:rsidR="00E8128F">
        <w:rPr>
          <w:sz w:val="36"/>
          <w:szCs w:val="36"/>
          <w:rtl/>
        </w:rPr>
        <w:t xml:space="preserve"> </w:t>
      </w:r>
      <w:r w:rsidR="004E6AA8" w:rsidRPr="00FD211F">
        <w:rPr>
          <w:sz w:val="36"/>
          <w:szCs w:val="36"/>
          <w:rtl/>
        </w:rPr>
        <w:t>الصحيح</w:t>
      </w:r>
      <w:r w:rsidR="00E8128F">
        <w:rPr>
          <w:sz w:val="36"/>
          <w:szCs w:val="36"/>
          <w:rtl/>
        </w:rPr>
        <w:t xml:space="preserve"> </w:t>
      </w:r>
      <w:r w:rsidR="004E6AA8" w:rsidRPr="00FD211F">
        <w:rPr>
          <w:sz w:val="36"/>
          <w:szCs w:val="36"/>
          <w:rtl/>
        </w:rPr>
        <w:t>من</w:t>
      </w:r>
      <w:r w:rsidR="00E8128F">
        <w:rPr>
          <w:sz w:val="36"/>
          <w:szCs w:val="36"/>
          <w:rtl/>
        </w:rPr>
        <w:t xml:space="preserve"> </w:t>
      </w:r>
      <w:r w:rsidR="004E6AA8" w:rsidRPr="00FD211F">
        <w:rPr>
          <w:sz w:val="36"/>
          <w:szCs w:val="36"/>
          <w:rtl/>
        </w:rPr>
        <w:t>انصرافها</w:t>
      </w:r>
      <w:r w:rsidR="00E8128F">
        <w:rPr>
          <w:sz w:val="36"/>
          <w:szCs w:val="36"/>
          <w:rtl/>
        </w:rPr>
        <w:t xml:space="preserve"> </w:t>
      </w:r>
      <w:r w:rsidR="004E6AA8" w:rsidRPr="00FD211F">
        <w:rPr>
          <w:sz w:val="36"/>
          <w:szCs w:val="36"/>
          <w:rtl/>
        </w:rPr>
        <w:t>الى</w:t>
      </w:r>
      <w:r w:rsidR="00E8128F">
        <w:rPr>
          <w:sz w:val="36"/>
          <w:szCs w:val="36"/>
          <w:rtl/>
        </w:rPr>
        <w:t xml:space="preserve"> </w:t>
      </w:r>
      <w:r w:rsidR="004E6AA8" w:rsidRPr="00FD211F">
        <w:rPr>
          <w:sz w:val="36"/>
          <w:szCs w:val="36"/>
          <w:rtl/>
        </w:rPr>
        <w:t>ما</w:t>
      </w:r>
      <w:r w:rsidR="00E8128F">
        <w:rPr>
          <w:sz w:val="36"/>
          <w:szCs w:val="36"/>
          <w:rtl/>
        </w:rPr>
        <w:t xml:space="preserve"> </w:t>
      </w:r>
      <w:r w:rsidR="004E6AA8" w:rsidRPr="00FD211F">
        <w:rPr>
          <w:sz w:val="36"/>
          <w:szCs w:val="36"/>
          <w:rtl/>
        </w:rPr>
        <w:t>هو</w:t>
      </w:r>
      <w:r w:rsidR="00E8128F">
        <w:rPr>
          <w:sz w:val="36"/>
          <w:szCs w:val="36"/>
          <w:rtl/>
        </w:rPr>
        <w:t xml:space="preserve"> </w:t>
      </w:r>
      <w:r w:rsidR="004E6AA8" w:rsidRPr="00FD211F">
        <w:rPr>
          <w:sz w:val="36"/>
          <w:szCs w:val="36"/>
          <w:rtl/>
        </w:rPr>
        <w:t>المتعارف</w:t>
      </w:r>
      <w:r w:rsidR="00E8128F">
        <w:rPr>
          <w:sz w:val="36"/>
          <w:szCs w:val="36"/>
          <w:rtl/>
        </w:rPr>
        <w:t xml:space="preserve"> </w:t>
      </w:r>
      <w:r w:rsidR="004E6AA8" w:rsidRPr="00FD211F">
        <w:rPr>
          <w:sz w:val="36"/>
          <w:szCs w:val="36"/>
          <w:rtl/>
        </w:rPr>
        <w:t>من</w:t>
      </w:r>
      <w:r w:rsidR="00E8128F">
        <w:rPr>
          <w:sz w:val="36"/>
          <w:szCs w:val="36"/>
          <w:rtl/>
        </w:rPr>
        <w:t xml:space="preserve"> </w:t>
      </w:r>
      <w:r w:rsidR="004E6AA8" w:rsidRPr="00FD211F">
        <w:rPr>
          <w:sz w:val="36"/>
          <w:szCs w:val="36"/>
          <w:rtl/>
        </w:rPr>
        <w:t>فرض</w:t>
      </w:r>
      <w:r w:rsidR="00E8128F">
        <w:rPr>
          <w:sz w:val="36"/>
          <w:szCs w:val="36"/>
          <w:rtl/>
        </w:rPr>
        <w:t xml:space="preserve"> </w:t>
      </w:r>
      <w:r w:rsidR="004E6AA8" w:rsidRPr="00FD211F">
        <w:rPr>
          <w:sz w:val="36"/>
          <w:szCs w:val="36"/>
          <w:rtl/>
        </w:rPr>
        <w:t>دخوله</w:t>
      </w:r>
      <w:r w:rsidR="00E8128F">
        <w:rPr>
          <w:sz w:val="36"/>
          <w:szCs w:val="36"/>
          <w:rtl/>
        </w:rPr>
        <w:t xml:space="preserve"> </w:t>
      </w:r>
      <w:r w:rsidR="004E6AA8" w:rsidRPr="00FD211F">
        <w:rPr>
          <w:sz w:val="36"/>
          <w:szCs w:val="36"/>
          <w:rtl/>
        </w:rPr>
        <w:t>بامرأته</w:t>
      </w:r>
      <w:r w:rsidR="00E8128F">
        <w:rPr>
          <w:sz w:val="36"/>
          <w:szCs w:val="36"/>
          <w:rtl/>
        </w:rPr>
        <w:t xml:space="preserve"> </w:t>
      </w:r>
      <w:r w:rsidR="004E6AA8" w:rsidRPr="00FD211F">
        <w:rPr>
          <w:sz w:val="36"/>
          <w:szCs w:val="36"/>
          <w:rtl/>
        </w:rPr>
        <w:t>او</w:t>
      </w:r>
      <w:r w:rsidR="00E8128F">
        <w:rPr>
          <w:sz w:val="36"/>
          <w:szCs w:val="36"/>
          <w:rtl/>
        </w:rPr>
        <w:t xml:space="preserve"> </w:t>
      </w:r>
      <w:r w:rsidR="004E6AA8" w:rsidRPr="00FD211F">
        <w:rPr>
          <w:sz w:val="36"/>
          <w:szCs w:val="36"/>
          <w:rtl/>
        </w:rPr>
        <w:t>كون</w:t>
      </w:r>
      <w:r w:rsidR="00E8128F">
        <w:rPr>
          <w:sz w:val="36"/>
          <w:szCs w:val="36"/>
          <w:rtl/>
        </w:rPr>
        <w:t xml:space="preserve"> </w:t>
      </w:r>
      <w:r w:rsidR="004E6AA8" w:rsidRPr="00FD211F">
        <w:rPr>
          <w:sz w:val="36"/>
          <w:szCs w:val="36"/>
          <w:rtl/>
        </w:rPr>
        <w:t>ارضاعها</w:t>
      </w:r>
      <w:r w:rsidR="00E8128F">
        <w:rPr>
          <w:sz w:val="36"/>
          <w:szCs w:val="36"/>
          <w:rtl/>
        </w:rPr>
        <w:t xml:space="preserve"> </w:t>
      </w:r>
      <w:r w:rsidR="004E6AA8" w:rsidRPr="00FD211F">
        <w:rPr>
          <w:sz w:val="36"/>
          <w:szCs w:val="36"/>
          <w:rtl/>
        </w:rPr>
        <w:t>تلك</w:t>
      </w:r>
      <w:r w:rsidR="00E8128F">
        <w:rPr>
          <w:sz w:val="36"/>
          <w:szCs w:val="36"/>
          <w:rtl/>
        </w:rPr>
        <w:t xml:space="preserve"> </w:t>
      </w:r>
      <w:r w:rsidR="004E6AA8" w:rsidRPr="00FD211F">
        <w:rPr>
          <w:sz w:val="36"/>
          <w:szCs w:val="36"/>
          <w:rtl/>
        </w:rPr>
        <w:t>الجاري</w:t>
      </w:r>
      <w:r w:rsidR="00EC7EDF" w:rsidRPr="00FD211F">
        <w:rPr>
          <w:sz w:val="36"/>
          <w:szCs w:val="36"/>
          <w:rtl/>
        </w:rPr>
        <w:t>ة</w:t>
      </w:r>
      <w:r w:rsidR="00E8128F">
        <w:rPr>
          <w:sz w:val="36"/>
          <w:szCs w:val="36"/>
          <w:rtl/>
        </w:rPr>
        <w:t xml:space="preserve"> </w:t>
      </w:r>
      <w:r w:rsidR="004E6AA8" w:rsidRPr="00FD211F">
        <w:rPr>
          <w:sz w:val="36"/>
          <w:szCs w:val="36"/>
          <w:rtl/>
        </w:rPr>
        <w:t>بلبنه</w:t>
      </w:r>
      <w:r w:rsidR="00E8128F">
        <w:rPr>
          <w:sz w:val="36"/>
          <w:szCs w:val="36"/>
          <w:rtl/>
        </w:rPr>
        <w:t xml:space="preserve"> </w:t>
      </w:r>
      <w:r w:rsidR="004E6AA8" w:rsidRPr="00FD211F">
        <w:rPr>
          <w:sz w:val="36"/>
          <w:szCs w:val="36"/>
          <w:rtl/>
        </w:rPr>
        <w:t>فتكون</w:t>
      </w:r>
      <w:r w:rsidR="00E8128F">
        <w:rPr>
          <w:sz w:val="36"/>
          <w:szCs w:val="36"/>
          <w:rtl/>
        </w:rPr>
        <w:t xml:space="preserve"> </w:t>
      </w:r>
      <w:r w:rsidR="004E6AA8" w:rsidRPr="00FD211F">
        <w:rPr>
          <w:sz w:val="36"/>
          <w:szCs w:val="36"/>
          <w:rtl/>
        </w:rPr>
        <w:t>الصحيح</w:t>
      </w:r>
      <w:r w:rsidR="00EC7EDF" w:rsidRPr="00FD211F">
        <w:rPr>
          <w:sz w:val="36"/>
          <w:szCs w:val="36"/>
          <w:rtl/>
        </w:rPr>
        <w:t>ة</w:t>
      </w:r>
      <w:r w:rsidR="00E8128F">
        <w:rPr>
          <w:sz w:val="36"/>
          <w:szCs w:val="36"/>
          <w:rtl/>
        </w:rPr>
        <w:t xml:space="preserve"> </w:t>
      </w:r>
      <w:r w:rsidR="004E6AA8" w:rsidRPr="00FD211F">
        <w:rPr>
          <w:sz w:val="36"/>
          <w:szCs w:val="36"/>
          <w:rtl/>
        </w:rPr>
        <w:t>مطابق</w:t>
      </w:r>
      <w:r w:rsidR="00EC7EDF" w:rsidRPr="00FD211F">
        <w:rPr>
          <w:sz w:val="36"/>
          <w:szCs w:val="36"/>
          <w:rtl/>
        </w:rPr>
        <w:t>ة</w:t>
      </w:r>
      <w:r w:rsidR="00E8128F">
        <w:rPr>
          <w:sz w:val="36"/>
          <w:szCs w:val="36"/>
          <w:rtl/>
        </w:rPr>
        <w:t xml:space="preserve"> </w:t>
      </w:r>
      <w:r w:rsidR="004E6AA8" w:rsidRPr="00FD211F">
        <w:rPr>
          <w:sz w:val="36"/>
          <w:szCs w:val="36"/>
          <w:rtl/>
        </w:rPr>
        <w:t>للقاعد</w:t>
      </w:r>
      <w:r w:rsidR="00EC7EDF" w:rsidRPr="00FD211F">
        <w:rPr>
          <w:sz w:val="36"/>
          <w:szCs w:val="36"/>
          <w:rtl/>
        </w:rPr>
        <w:t>ة</w:t>
      </w:r>
      <w:r w:rsidR="00603323" w:rsidRPr="00FD211F">
        <w:rPr>
          <w:sz w:val="36"/>
          <w:szCs w:val="36"/>
          <w:rtl/>
        </w:rPr>
        <w:t>،</w:t>
      </w:r>
      <w:r w:rsidR="00E8128F">
        <w:rPr>
          <w:sz w:val="36"/>
          <w:szCs w:val="36"/>
          <w:rtl/>
        </w:rPr>
        <w:t xml:space="preserve"> </w:t>
      </w:r>
      <w:r w:rsidR="001D0030" w:rsidRPr="00FD211F">
        <w:rPr>
          <w:sz w:val="36"/>
          <w:szCs w:val="36"/>
          <w:rtl/>
        </w:rPr>
        <w:t>وان</w:t>
      </w:r>
      <w:r w:rsidR="00E8128F">
        <w:rPr>
          <w:sz w:val="36"/>
          <w:szCs w:val="36"/>
          <w:rtl/>
        </w:rPr>
        <w:t xml:space="preserve"> </w:t>
      </w:r>
      <w:r w:rsidR="004E6AA8" w:rsidRPr="00FD211F">
        <w:rPr>
          <w:sz w:val="36"/>
          <w:szCs w:val="36"/>
          <w:rtl/>
        </w:rPr>
        <w:t>قلنا</w:t>
      </w:r>
      <w:r w:rsidR="00E8128F">
        <w:rPr>
          <w:sz w:val="36"/>
          <w:szCs w:val="36"/>
          <w:rtl/>
        </w:rPr>
        <w:t xml:space="preserve"> </w:t>
      </w:r>
      <w:r w:rsidR="004E6AA8" w:rsidRPr="00FD211F">
        <w:rPr>
          <w:sz w:val="36"/>
          <w:szCs w:val="36"/>
          <w:rtl/>
        </w:rPr>
        <w:t>باطلاقها</w:t>
      </w:r>
      <w:r w:rsidR="00E8128F">
        <w:rPr>
          <w:sz w:val="36"/>
          <w:szCs w:val="36"/>
          <w:rtl/>
        </w:rPr>
        <w:t xml:space="preserve"> </w:t>
      </w:r>
      <w:r w:rsidR="004E6AA8" w:rsidRPr="00FD211F">
        <w:rPr>
          <w:sz w:val="36"/>
          <w:szCs w:val="36"/>
          <w:rtl/>
        </w:rPr>
        <w:t>لفرض</w:t>
      </w:r>
      <w:r w:rsidR="00E8128F">
        <w:rPr>
          <w:sz w:val="36"/>
          <w:szCs w:val="36"/>
          <w:rtl/>
        </w:rPr>
        <w:t xml:space="preserve"> </w:t>
      </w:r>
      <w:r w:rsidR="00214C82" w:rsidRPr="00FD211F">
        <w:rPr>
          <w:sz w:val="36"/>
          <w:szCs w:val="36"/>
          <w:rtl/>
        </w:rPr>
        <w:t>عدم</w:t>
      </w:r>
      <w:r w:rsidR="00E8128F">
        <w:rPr>
          <w:sz w:val="36"/>
          <w:szCs w:val="36"/>
          <w:rtl/>
        </w:rPr>
        <w:t xml:space="preserve"> </w:t>
      </w:r>
      <w:r w:rsidR="00214C82" w:rsidRPr="00FD211F">
        <w:rPr>
          <w:sz w:val="36"/>
          <w:szCs w:val="36"/>
          <w:rtl/>
        </w:rPr>
        <w:t>الدخول</w:t>
      </w:r>
      <w:r w:rsidR="00E8128F">
        <w:rPr>
          <w:sz w:val="36"/>
          <w:szCs w:val="36"/>
          <w:rtl/>
        </w:rPr>
        <w:t xml:space="preserve"> </w:t>
      </w:r>
      <w:r w:rsidR="00214C82" w:rsidRPr="00FD211F">
        <w:rPr>
          <w:sz w:val="36"/>
          <w:szCs w:val="36"/>
          <w:rtl/>
        </w:rPr>
        <w:t>بالكبير</w:t>
      </w:r>
      <w:r w:rsidR="00EC7EDF" w:rsidRPr="00FD211F">
        <w:rPr>
          <w:sz w:val="36"/>
          <w:szCs w:val="36"/>
          <w:rtl/>
        </w:rPr>
        <w:t>ة</w:t>
      </w:r>
      <w:r w:rsidR="00E8128F">
        <w:rPr>
          <w:sz w:val="36"/>
          <w:szCs w:val="36"/>
          <w:rtl/>
        </w:rPr>
        <w:t xml:space="preserve"> </w:t>
      </w:r>
      <w:r w:rsidR="00214C82" w:rsidRPr="00FD211F">
        <w:rPr>
          <w:sz w:val="36"/>
          <w:szCs w:val="36"/>
          <w:rtl/>
        </w:rPr>
        <w:t>وعدم</w:t>
      </w:r>
      <w:r w:rsidR="00E8128F">
        <w:rPr>
          <w:sz w:val="36"/>
          <w:szCs w:val="36"/>
          <w:rtl/>
        </w:rPr>
        <w:t xml:space="preserve"> </w:t>
      </w:r>
      <w:r w:rsidR="00214C82" w:rsidRPr="00FD211F">
        <w:rPr>
          <w:sz w:val="36"/>
          <w:szCs w:val="36"/>
          <w:rtl/>
        </w:rPr>
        <w:t>ارضاعها</w:t>
      </w:r>
      <w:r w:rsidR="00E8128F">
        <w:rPr>
          <w:sz w:val="36"/>
          <w:szCs w:val="36"/>
          <w:rtl/>
        </w:rPr>
        <w:t xml:space="preserve"> </w:t>
      </w:r>
      <w:r w:rsidR="00214C82" w:rsidRPr="00FD211F">
        <w:rPr>
          <w:sz w:val="36"/>
          <w:szCs w:val="36"/>
          <w:rtl/>
        </w:rPr>
        <w:t>من</w:t>
      </w:r>
      <w:r w:rsidR="00E8128F">
        <w:rPr>
          <w:sz w:val="36"/>
          <w:szCs w:val="36"/>
          <w:rtl/>
        </w:rPr>
        <w:t xml:space="preserve"> </w:t>
      </w:r>
      <w:r w:rsidR="00214C82" w:rsidRPr="00FD211F">
        <w:rPr>
          <w:sz w:val="36"/>
          <w:szCs w:val="36"/>
          <w:rtl/>
        </w:rPr>
        <w:t>لبنه</w:t>
      </w:r>
      <w:r w:rsidR="00E8128F">
        <w:rPr>
          <w:sz w:val="36"/>
          <w:szCs w:val="36"/>
          <w:rtl/>
        </w:rPr>
        <w:t xml:space="preserve"> </w:t>
      </w:r>
      <w:r w:rsidR="004E6AA8" w:rsidRPr="00FD211F">
        <w:rPr>
          <w:sz w:val="36"/>
          <w:szCs w:val="36"/>
          <w:rtl/>
        </w:rPr>
        <w:t>بان</w:t>
      </w:r>
      <w:r w:rsidR="00E8128F">
        <w:rPr>
          <w:sz w:val="36"/>
          <w:szCs w:val="36"/>
          <w:rtl/>
        </w:rPr>
        <w:t xml:space="preserve"> </w:t>
      </w:r>
      <w:r w:rsidR="004E6AA8" w:rsidRPr="00FD211F">
        <w:rPr>
          <w:sz w:val="36"/>
          <w:szCs w:val="36"/>
          <w:rtl/>
        </w:rPr>
        <w:t>تزوج</w:t>
      </w:r>
      <w:r w:rsidR="00E8128F">
        <w:rPr>
          <w:sz w:val="36"/>
          <w:szCs w:val="36"/>
          <w:rtl/>
        </w:rPr>
        <w:t xml:space="preserve"> </w:t>
      </w:r>
      <w:r w:rsidR="004E6AA8" w:rsidRPr="00FD211F">
        <w:rPr>
          <w:sz w:val="36"/>
          <w:szCs w:val="36"/>
          <w:rtl/>
        </w:rPr>
        <w:t>بامرأته</w:t>
      </w:r>
      <w:r w:rsidR="00E8128F">
        <w:rPr>
          <w:sz w:val="36"/>
          <w:szCs w:val="36"/>
          <w:rtl/>
        </w:rPr>
        <w:t xml:space="preserve"> </w:t>
      </w:r>
      <w:r w:rsidR="004E6AA8" w:rsidRPr="00FD211F">
        <w:rPr>
          <w:sz w:val="36"/>
          <w:szCs w:val="36"/>
          <w:rtl/>
        </w:rPr>
        <w:t>بعد</w:t>
      </w:r>
      <w:r w:rsidR="00E8128F">
        <w:rPr>
          <w:sz w:val="36"/>
          <w:szCs w:val="36"/>
          <w:rtl/>
        </w:rPr>
        <w:t xml:space="preserve"> </w:t>
      </w:r>
      <w:r w:rsidR="004E6AA8" w:rsidRPr="00FD211F">
        <w:rPr>
          <w:sz w:val="36"/>
          <w:szCs w:val="36"/>
          <w:rtl/>
        </w:rPr>
        <w:t>ما</w:t>
      </w:r>
      <w:r w:rsidR="00E8128F">
        <w:rPr>
          <w:sz w:val="36"/>
          <w:szCs w:val="36"/>
          <w:rtl/>
        </w:rPr>
        <w:t xml:space="preserve"> </w:t>
      </w:r>
      <w:r w:rsidR="004E6AA8" w:rsidRPr="00FD211F">
        <w:rPr>
          <w:sz w:val="36"/>
          <w:szCs w:val="36"/>
          <w:rtl/>
        </w:rPr>
        <w:t>وضعت</w:t>
      </w:r>
      <w:r w:rsidR="00E8128F">
        <w:rPr>
          <w:sz w:val="36"/>
          <w:szCs w:val="36"/>
          <w:rtl/>
        </w:rPr>
        <w:t xml:space="preserve"> </w:t>
      </w:r>
      <w:r w:rsidR="004E6AA8" w:rsidRPr="00FD211F">
        <w:rPr>
          <w:sz w:val="36"/>
          <w:szCs w:val="36"/>
          <w:rtl/>
        </w:rPr>
        <w:t>حملها</w:t>
      </w:r>
      <w:r w:rsidR="00E8128F">
        <w:rPr>
          <w:sz w:val="36"/>
          <w:szCs w:val="36"/>
          <w:rtl/>
        </w:rPr>
        <w:t xml:space="preserve"> </w:t>
      </w:r>
      <w:r w:rsidR="004E6AA8" w:rsidRPr="00FD211F">
        <w:rPr>
          <w:sz w:val="36"/>
          <w:szCs w:val="36"/>
          <w:rtl/>
        </w:rPr>
        <w:t>من</w:t>
      </w:r>
      <w:r w:rsidR="00E8128F">
        <w:rPr>
          <w:sz w:val="36"/>
          <w:szCs w:val="36"/>
          <w:rtl/>
        </w:rPr>
        <w:t xml:space="preserve"> </w:t>
      </w:r>
      <w:r w:rsidR="004E6AA8" w:rsidRPr="00FD211F">
        <w:rPr>
          <w:sz w:val="36"/>
          <w:szCs w:val="36"/>
          <w:rtl/>
        </w:rPr>
        <w:t>زوجها</w:t>
      </w:r>
      <w:r w:rsidR="00E8128F">
        <w:rPr>
          <w:sz w:val="36"/>
          <w:szCs w:val="36"/>
          <w:rtl/>
        </w:rPr>
        <w:t xml:space="preserve"> </w:t>
      </w:r>
      <w:r w:rsidR="004E6AA8" w:rsidRPr="00FD211F">
        <w:rPr>
          <w:sz w:val="36"/>
          <w:szCs w:val="36"/>
          <w:rtl/>
        </w:rPr>
        <w:t>السابق</w:t>
      </w:r>
      <w:r w:rsidR="00E8128F">
        <w:rPr>
          <w:sz w:val="36"/>
          <w:szCs w:val="36"/>
          <w:rtl/>
        </w:rPr>
        <w:t xml:space="preserve"> </w:t>
      </w:r>
      <w:r w:rsidR="004E6AA8" w:rsidRPr="00FD211F">
        <w:rPr>
          <w:sz w:val="36"/>
          <w:szCs w:val="36"/>
          <w:rtl/>
        </w:rPr>
        <w:t>ثم</w:t>
      </w:r>
      <w:r w:rsidR="00E8128F">
        <w:rPr>
          <w:sz w:val="36"/>
          <w:szCs w:val="36"/>
          <w:rtl/>
        </w:rPr>
        <w:t xml:space="preserve"> </w:t>
      </w:r>
      <w:r w:rsidR="008D7B3D" w:rsidRPr="00FD211F">
        <w:rPr>
          <w:sz w:val="36"/>
          <w:szCs w:val="36"/>
          <w:rtl/>
        </w:rPr>
        <w:t>لم‌</w:t>
      </w:r>
      <w:r w:rsidR="004E6AA8" w:rsidRPr="00FD211F">
        <w:rPr>
          <w:sz w:val="36"/>
          <w:szCs w:val="36"/>
          <w:rtl/>
        </w:rPr>
        <w:t>يدخل</w:t>
      </w:r>
      <w:r w:rsidR="00E8128F">
        <w:rPr>
          <w:sz w:val="36"/>
          <w:szCs w:val="36"/>
          <w:rtl/>
        </w:rPr>
        <w:t xml:space="preserve"> </w:t>
      </w:r>
      <w:r w:rsidR="004E6AA8" w:rsidRPr="00FD211F">
        <w:rPr>
          <w:sz w:val="36"/>
          <w:szCs w:val="36"/>
          <w:rtl/>
        </w:rPr>
        <w:t>بها</w:t>
      </w:r>
      <w:r w:rsidR="00E8128F">
        <w:rPr>
          <w:sz w:val="36"/>
          <w:szCs w:val="36"/>
          <w:rtl/>
        </w:rPr>
        <w:t xml:space="preserve"> </w:t>
      </w:r>
      <w:r w:rsidR="004E6AA8" w:rsidRPr="00FD211F">
        <w:rPr>
          <w:sz w:val="36"/>
          <w:szCs w:val="36"/>
          <w:rtl/>
        </w:rPr>
        <w:t>هذا</w:t>
      </w:r>
      <w:r w:rsidR="00E8128F">
        <w:rPr>
          <w:sz w:val="36"/>
          <w:szCs w:val="36"/>
          <w:rtl/>
        </w:rPr>
        <w:t xml:space="preserve"> </w:t>
      </w:r>
      <w:r w:rsidR="004E6AA8" w:rsidRPr="00FD211F">
        <w:rPr>
          <w:sz w:val="36"/>
          <w:szCs w:val="36"/>
          <w:rtl/>
        </w:rPr>
        <w:t>الرجل</w:t>
      </w:r>
      <w:r w:rsidR="00E8128F">
        <w:rPr>
          <w:sz w:val="36"/>
          <w:szCs w:val="36"/>
          <w:rtl/>
        </w:rPr>
        <w:t xml:space="preserve"> </w:t>
      </w:r>
      <w:r w:rsidR="004E6AA8" w:rsidRPr="00FD211F">
        <w:rPr>
          <w:sz w:val="36"/>
          <w:szCs w:val="36"/>
          <w:rtl/>
        </w:rPr>
        <w:t>الى</w:t>
      </w:r>
      <w:r w:rsidR="00E8128F">
        <w:rPr>
          <w:sz w:val="36"/>
          <w:szCs w:val="36"/>
          <w:rtl/>
        </w:rPr>
        <w:t xml:space="preserve"> </w:t>
      </w:r>
      <w:r w:rsidR="004E6AA8" w:rsidRPr="00FD211F">
        <w:rPr>
          <w:sz w:val="36"/>
          <w:szCs w:val="36"/>
          <w:rtl/>
        </w:rPr>
        <w:t>ان</w:t>
      </w:r>
      <w:r w:rsidR="00E8128F">
        <w:rPr>
          <w:sz w:val="36"/>
          <w:szCs w:val="36"/>
          <w:rtl/>
        </w:rPr>
        <w:t xml:space="preserve"> </w:t>
      </w:r>
      <w:r w:rsidR="004E6AA8" w:rsidRPr="00FD211F">
        <w:rPr>
          <w:sz w:val="36"/>
          <w:szCs w:val="36"/>
          <w:rtl/>
        </w:rPr>
        <w:t>ارضعت</w:t>
      </w:r>
      <w:r w:rsidR="00E8128F">
        <w:rPr>
          <w:sz w:val="36"/>
          <w:szCs w:val="36"/>
          <w:rtl/>
        </w:rPr>
        <w:t xml:space="preserve"> </w:t>
      </w:r>
      <w:r w:rsidR="004E6AA8" w:rsidRPr="00FD211F">
        <w:rPr>
          <w:sz w:val="36"/>
          <w:szCs w:val="36"/>
          <w:rtl/>
        </w:rPr>
        <w:t>الجاري</w:t>
      </w:r>
      <w:r w:rsidR="00EC7EDF" w:rsidRPr="00FD211F">
        <w:rPr>
          <w:sz w:val="36"/>
          <w:szCs w:val="36"/>
          <w:rtl/>
        </w:rPr>
        <w:t>ة</w:t>
      </w:r>
      <w:r w:rsidR="00603323" w:rsidRPr="00FD211F">
        <w:rPr>
          <w:sz w:val="36"/>
          <w:szCs w:val="36"/>
          <w:rtl/>
        </w:rPr>
        <w:t>،</w:t>
      </w:r>
      <w:r w:rsidR="00E8128F">
        <w:rPr>
          <w:sz w:val="36"/>
          <w:szCs w:val="36"/>
          <w:rtl/>
        </w:rPr>
        <w:t xml:space="preserve"> </w:t>
      </w:r>
      <w:r w:rsidR="00783F9C" w:rsidRPr="00FD211F">
        <w:rPr>
          <w:sz w:val="36"/>
          <w:szCs w:val="36"/>
          <w:rtl/>
        </w:rPr>
        <w:t>فتدل</w:t>
      </w:r>
      <w:r w:rsidR="00E8128F">
        <w:rPr>
          <w:sz w:val="36"/>
          <w:szCs w:val="36"/>
          <w:rtl/>
        </w:rPr>
        <w:t xml:space="preserve"> </w:t>
      </w:r>
      <w:r w:rsidR="00783F9C" w:rsidRPr="00FD211F">
        <w:rPr>
          <w:sz w:val="36"/>
          <w:szCs w:val="36"/>
          <w:rtl/>
        </w:rPr>
        <w:t>على</w:t>
      </w:r>
      <w:r w:rsidR="00E8128F">
        <w:rPr>
          <w:sz w:val="36"/>
          <w:szCs w:val="36"/>
          <w:rtl/>
        </w:rPr>
        <w:t xml:space="preserve"> </w:t>
      </w:r>
      <w:r w:rsidR="00783F9C" w:rsidRPr="00FD211F">
        <w:rPr>
          <w:sz w:val="36"/>
          <w:szCs w:val="36"/>
          <w:rtl/>
        </w:rPr>
        <w:t>فساد</w:t>
      </w:r>
      <w:r w:rsidR="00E8128F">
        <w:rPr>
          <w:sz w:val="36"/>
          <w:szCs w:val="36"/>
          <w:rtl/>
        </w:rPr>
        <w:t xml:space="preserve"> </w:t>
      </w:r>
      <w:r w:rsidR="00783F9C" w:rsidRPr="00FD211F">
        <w:rPr>
          <w:sz w:val="36"/>
          <w:szCs w:val="36"/>
          <w:rtl/>
        </w:rPr>
        <w:t>نكاح</w:t>
      </w:r>
      <w:r w:rsidR="00E8128F">
        <w:rPr>
          <w:sz w:val="36"/>
          <w:szCs w:val="36"/>
          <w:rtl/>
        </w:rPr>
        <w:t xml:space="preserve"> </w:t>
      </w:r>
      <w:r w:rsidR="00783F9C" w:rsidRPr="00FD211F">
        <w:rPr>
          <w:sz w:val="36"/>
          <w:szCs w:val="36"/>
          <w:rtl/>
        </w:rPr>
        <w:t>الجاري</w:t>
      </w:r>
      <w:r w:rsidR="00EC7EDF" w:rsidRPr="00FD211F">
        <w:rPr>
          <w:sz w:val="36"/>
          <w:szCs w:val="36"/>
          <w:rtl/>
        </w:rPr>
        <w:t>ة</w:t>
      </w:r>
      <w:r w:rsidR="00E8128F">
        <w:rPr>
          <w:sz w:val="36"/>
          <w:szCs w:val="36"/>
          <w:rtl/>
        </w:rPr>
        <w:t xml:space="preserve"> </w:t>
      </w:r>
      <w:r w:rsidR="00783F9C" w:rsidRPr="00FD211F">
        <w:rPr>
          <w:sz w:val="36"/>
          <w:szCs w:val="36"/>
          <w:rtl/>
        </w:rPr>
        <w:t>ولكن</w:t>
      </w:r>
      <w:r w:rsidR="00E8128F">
        <w:rPr>
          <w:sz w:val="36"/>
          <w:szCs w:val="36"/>
          <w:rtl/>
        </w:rPr>
        <w:t xml:space="preserve"> </w:t>
      </w:r>
      <w:r w:rsidR="00783F9C" w:rsidRPr="00FD211F">
        <w:rPr>
          <w:sz w:val="36"/>
          <w:szCs w:val="36"/>
          <w:rtl/>
        </w:rPr>
        <w:t>لاتحرم</w:t>
      </w:r>
      <w:r w:rsidR="00E8128F">
        <w:rPr>
          <w:sz w:val="36"/>
          <w:szCs w:val="36"/>
          <w:rtl/>
        </w:rPr>
        <w:t xml:space="preserve"> </w:t>
      </w:r>
      <w:r w:rsidR="00783F9C" w:rsidRPr="00FD211F">
        <w:rPr>
          <w:sz w:val="36"/>
          <w:szCs w:val="36"/>
          <w:rtl/>
        </w:rPr>
        <w:t>عليه</w:t>
      </w:r>
      <w:r w:rsidR="00E8128F">
        <w:rPr>
          <w:sz w:val="36"/>
          <w:szCs w:val="36"/>
          <w:rtl/>
        </w:rPr>
        <w:t xml:space="preserve"> </w:t>
      </w:r>
      <w:r w:rsidR="00783F9C" w:rsidRPr="00FD211F">
        <w:rPr>
          <w:sz w:val="36"/>
          <w:szCs w:val="36"/>
          <w:rtl/>
        </w:rPr>
        <w:t>مؤبدا</w:t>
      </w:r>
      <w:r w:rsidR="00E8128F">
        <w:rPr>
          <w:sz w:val="36"/>
          <w:szCs w:val="36"/>
          <w:rtl/>
        </w:rPr>
        <w:t xml:space="preserve"> </w:t>
      </w:r>
      <w:r w:rsidR="00783F9C" w:rsidRPr="00FD211F">
        <w:rPr>
          <w:sz w:val="36"/>
          <w:szCs w:val="36"/>
          <w:rtl/>
        </w:rPr>
        <w:t>في</w:t>
      </w:r>
      <w:r w:rsidR="00E8128F">
        <w:rPr>
          <w:sz w:val="36"/>
          <w:szCs w:val="36"/>
          <w:rtl/>
        </w:rPr>
        <w:t xml:space="preserve"> </w:t>
      </w:r>
      <w:r w:rsidR="00783F9C" w:rsidRPr="00FD211F">
        <w:rPr>
          <w:sz w:val="36"/>
          <w:szCs w:val="36"/>
          <w:rtl/>
        </w:rPr>
        <w:t>هذا</w:t>
      </w:r>
      <w:r w:rsidR="00E8128F">
        <w:rPr>
          <w:sz w:val="36"/>
          <w:szCs w:val="36"/>
          <w:rtl/>
        </w:rPr>
        <w:t xml:space="preserve"> </w:t>
      </w:r>
      <w:r w:rsidR="00783F9C" w:rsidRPr="00FD211F">
        <w:rPr>
          <w:sz w:val="36"/>
          <w:szCs w:val="36"/>
          <w:rtl/>
        </w:rPr>
        <w:t>الفرض</w:t>
      </w:r>
      <w:r w:rsidR="00E8128F">
        <w:rPr>
          <w:sz w:val="36"/>
          <w:szCs w:val="36"/>
          <w:rtl/>
        </w:rPr>
        <w:t xml:space="preserve"> </w:t>
      </w:r>
      <w:r w:rsidR="00783F9C" w:rsidRPr="00FD211F">
        <w:rPr>
          <w:sz w:val="36"/>
          <w:szCs w:val="36"/>
          <w:rtl/>
        </w:rPr>
        <w:t>لعدم</w:t>
      </w:r>
      <w:r w:rsidR="00E8128F">
        <w:rPr>
          <w:sz w:val="36"/>
          <w:szCs w:val="36"/>
          <w:rtl/>
        </w:rPr>
        <w:t xml:space="preserve"> </w:t>
      </w:r>
      <w:r w:rsidR="00783F9C" w:rsidRPr="00FD211F">
        <w:rPr>
          <w:sz w:val="36"/>
          <w:szCs w:val="36"/>
          <w:rtl/>
        </w:rPr>
        <w:t>كونها</w:t>
      </w:r>
      <w:r w:rsidR="00E8128F">
        <w:rPr>
          <w:sz w:val="36"/>
          <w:szCs w:val="36"/>
          <w:rtl/>
        </w:rPr>
        <w:t xml:space="preserve"> </w:t>
      </w:r>
      <w:r w:rsidR="00783F9C" w:rsidRPr="00FD211F">
        <w:rPr>
          <w:sz w:val="36"/>
          <w:szCs w:val="36"/>
          <w:rtl/>
        </w:rPr>
        <w:t>بنت</w:t>
      </w:r>
      <w:r w:rsidR="00E8128F">
        <w:rPr>
          <w:sz w:val="36"/>
          <w:szCs w:val="36"/>
          <w:rtl/>
        </w:rPr>
        <w:t xml:space="preserve"> </w:t>
      </w:r>
      <w:r w:rsidR="00783F9C" w:rsidRPr="00FD211F">
        <w:rPr>
          <w:sz w:val="36"/>
          <w:szCs w:val="36"/>
          <w:rtl/>
        </w:rPr>
        <w:t>الزوج</w:t>
      </w:r>
      <w:r w:rsidR="00EC7EDF" w:rsidRPr="00FD211F">
        <w:rPr>
          <w:sz w:val="36"/>
          <w:szCs w:val="36"/>
          <w:rtl/>
        </w:rPr>
        <w:t>ة</w:t>
      </w:r>
      <w:r w:rsidR="00E8128F">
        <w:rPr>
          <w:sz w:val="36"/>
          <w:szCs w:val="36"/>
          <w:rtl/>
        </w:rPr>
        <w:t xml:space="preserve"> </w:t>
      </w:r>
      <w:r w:rsidR="00783F9C" w:rsidRPr="00FD211F">
        <w:rPr>
          <w:sz w:val="36"/>
          <w:szCs w:val="36"/>
          <w:rtl/>
        </w:rPr>
        <w:t>المدخول</w:t>
      </w:r>
      <w:r w:rsidR="00E8128F">
        <w:rPr>
          <w:sz w:val="36"/>
          <w:szCs w:val="36"/>
          <w:rtl/>
        </w:rPr>
        <w:t xml:space="preserve"> </w:t>
      </w:r>
      <w:r w:rsidR="00783F9C" w:rsidRPr="00FD211F">
        <w:rPr>
          <w:sz w:val="36"/>
          <w:szCs w:val="36"/>
          <w:rtl/>
        </w:rPr>
        <w:t>بها</w:t>
      </w:r>
      <w:r w:rsidR="00E8128F">
        <w:rPr>
          <w:sz w:val="36"/>
          <w:szCs w:val="36"/>
          <w:rtl/>
        </w:rPr>
        <w:t xml:space="preserve"> </w:t>
      </w:r>
      <w:r w:rsidR="00783F9C" w:rsidRPr="00FD211F">
        <w:rPr>
          <w:sz w:val="36"/>
          <w:szCs w:val="36"/>
          <w:rtl/>
        </w:rPr>
        <w:t>ولابنتا</w:t>
      </w:r>
      <w:r w:rsidR="00E8128F">
        <w:rPr>
          <w:sz w:val="36"/>
          <w:szCs w:val="36"/>
          <w:rtl/>
        </w:rPr>
        <w:t xml:space="preserve"> </w:t>
      </w:r>
      <w:r w:rsidR="00783F9C" w:rsidRPr="00FD211F">
        <w:rPr>
          <w:sz w:val="36"/>
          <w:szCs w:val="36"/>
          <w:rtl/>
        </w:rPr>
        <w:t>رضاعي</w:t>
      </w:r>
      <w:r w:rsidR="00DD2AAE" w:rsidRPr="00FD211F">
        <w:rPr>
          <w:sz w:val="36"/>
          <w:szCs w:val="36"/>
          <w:rtl/>
        </w:rPr>
        <w:t>ة</w:t>
      </w:r>
      <w:r w:rsidR="00E8128F">
        <w:rPr>
          <w:sz w:val="36"/>
          <w:szCs w:val="36"/>
          <w:rtl/>
        </w:rPr>
        <w:t xml:space="preserve"> </w:t>
      </w:r>
      <w:r w:rsidR="00783F9C" w:rsidRPr="00FD211F">
        <w:rPr>
          <w:sz w:val="36"/>
          <w:szCs w:val="36"/>
          <w:rtl/>
        </w:rPr>
        <w:t>للرجل</w:t>
      </w:r>
      <w:r w:rsidR="00603323" w:rsidRPr="00FD211F">
        <w:rPr>
          <w:sz w:val="36"/>
          <w:szCs w:val="36"/>
          <w:rtl/>
        </w:rPr>
        <w:t>،</w:t>
      </w:r>
      <w:r w:rsidR="00E8128F">
        <w:rPr>
          <w:sz w:val="36"/>
          <w:szCs w:val="36"/>
          <w:rtl/>
        </w:rPr>
        <w:t xml:space="preserve"> </w:t>
      </w:r>
      <w:r w:rsidR="004E6AA8" w:rsidRPr="00FD211F">
        <w:rPr>
          <w:sz w:val="36"/>
          <w:szCs w:val="36"/>
          <w:rtl/>
        </w:rPr>
        <w:t>فتكون</w:t>
      </w:r>
      <w:r w:rsidR="00E8128F">
        <w:rPr>
          <w:sz w:val="36"/>
          <w:szCs w:val="36"/>
          <w:rtl/>
        </w:rPr>
        <w:t xml:space="preserve"> </w:t>
      </w:r>
      <w:r w:rsidR="00214C82" w:rsidRPr="00FD211F">
        <w:rPr>
          <w:sz w:val="36"/>
          <w:szCs w:val="36"/>
          <w:rtl/>
        </w:rPr>
        <w:t>نسبتها</w:t>
      </w:r>
      <w:r w:rsidR="00E8128F">
        <w:rPr>
          <w:sz w:val="36"/>
          <w:szCs w:val="36"/>
          <w:rtl/>
        </w:rPr>
        <w:t xml:space="preserve"> </w:t>
      </w:r>
      <w:r w:rsidR="00214C82" w:rsidRPr="00FD211F">
        <w:rPr>
          <w:sz w:val="36"/>
          <w:szCs w:val="36"/>
          <w:rtl/>
        </w:rPr>
        <w:t>مع</w:t>
      </w:r>
      <w:r w:rsidR="00E8128F">
        <w:rPr>
          <w:sz w:val="36"/>
          <w:szCs w:val="36"/>
          <w:rtl/>
        </w:rPr>
        <w:t xml:space="preserve"> </w:t>
      </w:r>
      <w:r w:rsidR="00214C82" w:rsidRPr="00FD211F">
        <w:rPr>
          <w:sz w:val="36"/>
          <w:szCs w:val="36"/>
          <w:rtl/>
        </w:rPr>
        <w:t>قوله</w:t>
      </w:r>
      <w:r w:rsidR="00E8128F">
        <w:rPr>
          <w:sz w:val="36"/>
          <w:szCs w:val="36"/>
          <w:rtl/>
        </w:rPr>
        <w:t xml:space="preserve"> </w:t>
      </w:r>
      <w:r w:rsidR="00214C82" w:rsidRPr="00FD211F">
        <w:rPr>
          <w:sz w:val="36"/>
          <w:szCs w:val="36"/>
          <w:rtl/>
        </w:rPr>
        <w:t>تعالى</w:t>
      </w:r>
      <w:r w:rsidR="00EC7EDF" w:rsidRPr="00FD211F">
        <w:rPr>
          <w:sz w:val="36"/>
          <w:szCs w:val="36"/>
          <w:rtl/>
        </w:rPr>
        <w:t>:</w:t>
      </w:r>
      <w:r w:rsidR="00214C82" w:rsidRPr="00FD211F">
        <w:rPr>
          <w:sz w:val="36"/>
          <w:szCs w:val="36"/>
          <w:rtl/>
        </w:rPr>
        <w:t>وربائبكم</w:t>
      </w:r>
      <w:r w:rsidR="00E8128F">
        <w:rPr>
          <w:sz w:val="36"/>
          <w:szCs w:val="36"/>
          <w:rtl/>
        </w:rPr>
        <w:t xml:space="preserve"> </w:t>
      </w:r>
      <w:r w:rsidR="00214C82" w:rsidRPr="00FD211F">
        <w:rPr>
          <w:sz w:val="36"/>
          <w:szCs w:val="36"/>
          <w:rtl/>
        </w:rPr>
        <w:t>اللاتي</w:t>
      </w:r>
      <w:r w:rsidR="00E8128F">
        <w:rPr>
          <w:sz w:val="36"/>
          <w:szCs w:val="36"/>
          <w:rtl/>
        </w:rPr>
        <w:t xml:space="preserve"> </w:t>
      </w:r>
      <w:r w:rsidR="00214C82" w:rsidRPr="00FD211F">
        <w:rPr>
          <w:sz w:val="36"/>
          <w:szCs w:val="36"/>
          <w:rtl/>
        </w:rPr>
        <w:t>في</w:t>
      </w:r>
      <w:r w:rsidR="00E8128F">
        <w:rPr>
          <w:sz w:val="36"/>
          <w:szCs w:val="36"/>
          <w:rtl/>
        </w:rPr>
        <w:t xml:space="preserve"> </w:t>
      </w:r>
      <w:r w:rsidR="00214C82" w:rsidRPr="00FD211F">
        <w:rPr>
          <w:sz w:val="36"/>
          <w:szCs w:val="36"/>
          <w:rtl/>
        </w:rPr>
        <w:t>حجوركم</w:t>
      </w:r>
      <w:r w:rsidR="00E8128F">
        <w:rPr>
          <w:sz w:val="36"/>
          <w:szCs w:val="36"/>
          <w:rtl/>
        </w:rPr>
        <w:t xml:space="preserve"> </w:t>
      </w:r>
      <w:r w:rsidR="00214C82" w:rsidRPr="00FD211F">
        <w:rPr>
          <w:sz w:val="36"/>
          <w:szCs w:val="36"/>
          <w:rtl/>
        </w:rPr>
        <w:t>من</w:t>
      </w:r>
      <w:r w:rsidR="00E8128F">
        <w:rPr>
          <w:sz w:val="36"/>
          <w:szCs w:val="36"/>
          <w:rtl/>
        </w:rPr>
        <w:t xml:space="preserve"> </w:t>
      </w:r>
      <w:r w:rsidR="00214C82" w:rsidRPr="00FD211F">
        <w:rPr>
          <w:sz w:val="36"/>
          <w:szCs w:val="36"/>
          <w:rtl/>
        </w:rPr>
        <w:t>نسائكم</w:t>
      </w:r>
      <w:r w:rsidR="00E8128F">
        <w:rPr>
          <w:sz w:val="36"/>
          <w:szCs w:val="36"/>
          <w:rtl/>
        </w:rPr>
        <w:t xml:space="preserve"> </w:t>
      </w:r>
      <w:r w:rsidR="00214C82" w:rsidRPr="00FD211F">
        <w:rPr>
          <w:sz w:val="36"/>
          <w:szCs w:val="36"/>
          <w:rtl/>
        </w:rPr>
        <w:t>اللاتي</w:t>
      </w:r>
      <w:r w:rsidR="00E8128F">
        <w:rPr>
          <w:sz w:val="36"/>
          <w:szCs w:val="36"/>
          <w:rtl/>
        </w:rPr>
        <w:t xml:space="preserve"> </w:t>
      </w:r>
      <w:r w:rsidR="00214C82" w:rsidRPr="00FD211F">
        <w:rPr>
          <w:sz w:val="36"/>
          <w:szCs w:val="36"/>
          <w:rtl/>
        </w:rPr>
        <w:t>دخلتم</w:t>
      </w:r>
      <w:r w:rsidR="00E8128F">
        <w:rPr>
          <w:sz w:val="36"/>
          <w:szCs w:val="36"/>
          <w:rtl/>
        </w:rPr>
        <w:t xml:space="preserve"> </w:t>
      </w:r>
      <w:r w:rsidR="00214C82" w:rsidRPr="00FD211F">
        <w:rPr>
          <w:sz w:val="36"/>
          <w:szCs w:val="36"/>
          <w:rtl/>
        </w:rPr>
        <w:t>بهن</w:t>
      </w:r>
      <w:r w:rsidR="00E8128F">
        <w:rPr>
          <w:sz w:val="36"/>
          <w:szCs w:val="36"/>
          <w:rtl/>
        </w:rPr>
        <w:t xml:space="preserve"> </w:t>
      </w:r>
      <w:r w:rsidR="00214C82" w:rsidRPr="00FD211F">
        <w:rPr>
          <w:sz w:val="36"/>
          <w:szCs w:val="36"/>
          <w:rtl/>
        </w:rPr>
        <w:t>فان</w:t>
      </w:r>
      <w:r w:rsidR="00E8128F">
        <w:rPr>
          <w:sz w:val="36"/>
          <w:szCs w:val="36"/>
          <w:rtl/>
        </w:rPr>
        <w:t xml:space="preserve"> </w:t>
      </w:r>
      <w:r w:rsidR="008D7B3D" w:rsidRPr="00FD211F">
        <w:rPr>
          <w:sz w:val="36"/>
          <w:szCs w:val="36"/>
          <w:rtl/>
        </w:rPr>
        <w:t>لم‌</w:t>
      </w:r>
      <w:r w:rsidR="00214C82" w:rsidRPr="00FD211F">
        <w:rPr>
          <w:sz w:val="36"/>
          <w:szCs w:val="36"/>
          <w:rtl/>
        </w:rPr>
        <w:t>تكونوا</w:t>
      </w:r>
      <w:r w:rsidR="00E8128F">
        <w:rPr>
          <w:sz w:val="36"/>
          <w:szCs w:val="36"/>
          <w:rtl/>
        </w:rPr>
        <w:t xml:space="preserve"> </w:t>
      </w:r>
      <w:r w:rsidR="00214C82" w:rsidRPr="00FD211F">
        <w:rPr>
          <w:sz w:val="36"/>
          <w:szCs w:val="36"/>
          <w:rtl/>
        </w:rPr>
        <w:t>دخلتم</w:t>
      </w:r>
      <w:r w:rsidR="00E8128F">
        <w:rPr>
          <w:sz w:val="36"/>
          <w:szCs w:val="36"/>
          <w:rtl/>
        </w:rPr>
        <w:t xml:space="preserve"> </w:t>
      </w:r>
      <w:r w:rsidR="00214C82" w:rsidRPr="00FD211F">
        <w:rPr>
          <w:sz w:val="36"/>
          <w:szCs w:val="36"/>
          <w:rtl/>
        </w:rPr>
        <w:t>بهن</w:t>
      </w:r>
      <w:r w:rsidR="00E8128F">
        <w:rPr>
          <w:sz w:val="36"/>
          <w:szCs w:val="36"/>
          <w:rtl/>
        </w:rPr>
        <w:t xml:space="preserve"> </w:t>
      </w:r>
      <w:r w:rsidR="00214C82" w:rsidRPr="00FD211F">
        <w:rPr>
          <w:sz w:val="36"/>
          <w:szCs w:val="36"/>
          <w:rtl/>
        </w:rPr>
        <w:t>فلاجناح</w:t>
      </w:r>
      <w:r w:rsidR="00E8128F">
        <w:rPr>
          <w:sz w:val="36"/>
          <w:szCs w:val="36"/>
          <w:rtl/>
        </w:rPr>
        <w:t xml:space="preserve"> </w:t>
      </w:r>
      <w:r w:rsidR="00214C82" w:rsidRPr="00FD211F">
        <w:rPr>
          <w:sz w:val="36"/>
          <w:szCs w:val="36"/>
          <w:rtl/>
        </w:rPr>
        <w:t>عليكم</w:t>
      </w:r>
      <w:r w:rsidR="00EC7EDF" w:rsidRPr="00FD211F">
        <w:rPr>
          <w:sz w:val="36"/>
          <w:szCs w:val="36"/>
          <w:rtl/>
        </w:rPr>
        <w:t>.</w:t>
      </w:r>
      <w:r w:rsidR="00214C82" w:rsidRPr="00FD211F">
        <w:rPr>
          <w:sz w:val="36"/>
          <w:szCs w:val="36"/>
          <w:rtl/>
        </w:rPr>
        <w:t>..</w:t>
      </w:r>
      <w:r w:rsidR="00E8128F">
        <w:rPr>
          <w:sz w:val="36"/>
          <w:szCs w:val="36"/>
          <w:rtl/>
        </w:rPr>
        <w:t xml:space="preserve"> </w:t>
      </w:r>
      <w:r w:rsidR="00214C82" w:rsidRPr="00FD211F">
        <w:rPr>
          <w:sz w:val="36"/>
          <w:szCs w:val="36"/>
          <w:rtl/>
        </w:rPr>
        <w:t>واحل</w:t>
      </w:r>
      <w:r w:rsidR="00E8128F">
        <w:rPr>
          <w:sz w:val="36"/>
          <w:szCs w:val="36"/>
          <w:rtl/>
        </w:rPr>
        <w:t xml:space="preserve"> </w:t>
      </w:r>
      <w:r w:rsidR="00214C82" w:rsidRPr="00FD211F">
        <w:rPr>
          <w:sz w:val="36"/>
          <w:szCs w:val="36"/>
          <w:rtl/>
        </w:rPr>
        <w:t>لكم</w:t>
      </w:r>
      <w:r w:rsidR="00E8128F">
        <w:rPr>
          <w:sz w:val="36"/>
          <w:szCs w:val="36"/>
          <w:rtl/>
        </w:rPr>
        <w:t xml:space="preserve"> </w:t>
      </w:r>
      <w:r w:rsidR="00214C82" w:rsidRPr="00FD211F">
        <w:rPr>
          <w:sz w:val="36"/>
          <w:szCs w:val="36"/>
          <w:rtl/>
        </w:rPr>
        <w:t>ما</w:t>
      </w:r>
      <w:r w:rsidR="00E8128F">
        <w:rPr>
          <w:sz w:val="36"/>
          <w:szCs w:val="36"/>
          <w:rtl/>
        </w:rPr>
        <w:t xml:space="preserve"> </w:t>
      </w:r>
      <w:r w:rsidR="00214C82" w:rsidRPr="00FD211F">
        <w:rPr>
          <w:sz w:val="36"/>
          <w:szCs w:val="36"/>
          <w:rtl/>
        </w:rPr>
        <w:t>وراء</w:t>
      </w:r>
      <w:r w:rsidR="00E8128F">
        <w:rPr>
          <w:sz w:val="36"/>
          <w:szCs w:val="36"/>
          <w:rtl/>
        </w:rPr>
        <w:t xml:space="preserve"> </w:t>
      </w:r>
      <w:r w:rsidR="00214C82" w:rsidRPr="00FD211F">
        <w:rPr>
          <w:sz w:val="36"/>
          <w:szCs w:val="36"/>
          <w:rtl/>
        </w:rPr>
        <w:t>ذلكم...</w:t>
      </w:r>
      <w:r w:rsidR="00E8128F">
        <w:rPr>
          <w:sz w:val="36"/>
          <w:szCs w:val="36"/>
          <w:rtl/>
        </w:rPr>
        <w:t xml:space="preserve"> </w:t>
      </w:r>
      <w:r w:rsidR="004E6AA8" w:rsidRPr="00FD211F">
        <w:rPr>
          <w:sz w:val="36"/>
          <w:szCs w:val="36"/>
          <w:rtl/>
        </w:rPr>
        <w:t>هي</w:t>
      </w:r>
      <w:r w:rsidR="00E8128F">
        <w:rPr>
          <w:sz w:val="36"/>
          <w:szCs w:val="36"/>
          <w:rtl/>
        </w:rPr>
        <w:t xml:space="preserve"> </w:t>
      </w:r>
      <w:r w:rsidR="004E6AA8" w:rsidRPr="00FD211F">
        <w:rPr>
          <w:sz w:val="36"/>
          <w:szCs w:val="36"/>
          <w:rtl/>
        </w:rPr>
        <w:t>ال</w:t>
      </w:r>
      <w:r w:rsidR="00214C82" w:rsidRPr="00FD211F">
        <w:rPr>
          <w:sz w:val="36"/>
          <w:szCs w:val="36"/>
          <w:rtl/>
        </w:rPr>
        <w:t>عموم</w:t>
      </w:r>
      <w:r w:rsidR="00E8128F">
        <w:rPr>
          <w:sz w:val="36"/>
          <w:szCs w:val="36"/>
          <w:rtl/>
        </w:rPr>
        <w:t xml:space="preserve"> </w:t>
      </w:r>
      <w:r w:rsidR="00214C82" w:rsidRPr="00FD211F">
        <w:rPr>
          <w:sz w:val="36"/>
          <w:szCs w:val="36"/>
          <w:rtl/>
        </w:rPr>
        <w:t>من</w:t>
      </w:r>
      <w:r w:rsidR="00E8128F">
        <w:rPr>
          <w:sz w:val="36"/>
          <w:szCs w:val="36"/>
          <w:rtl/>
        </w:rPr>
        <w:t xml:space="preserve"> </w:t>
      </w:r>
      <w:r w:rsidR="00214C82" w:rsidRPr="00FD211F">
        <w:rPr>
          <w:sz w:val="36"/>
          <w:szCs w:val="36"/>
          <w:rtl/>
        </w:rPr>
        <w:t>وجه</w:t>
      </w:r>
      <w:r w:rsidR="00603323" w:rsidRPr="00FD211F">
        <w:rPr>
          <w:sz w:val="36"/>
          <w:szCs w:val="36"/>
          <w:rtl/>
        </w:rPr>
        <w:t>،</w:t>
      </w:r>
      <w:r w:rsidR="00E8128F">
        <w:rPr>
          <w:sz w:val="36"/>
          <w:szCs w:val="36"/>
          <w:rtl/>
        </w:rPr>
        <w:t xml:space="preserve"> </w:t>
      </w:r>
      <w:r w:rsidR="004E6AA8" w:rsidRPr="00FD211F">
        <w:rPr>
          <w:sz w:val="36"/>
          <w:szCs w:val="36"/>
          <w:rtl/>
        </w:rPr>
        <w:t>حيث</w:t>
      </w:r>
      <w:r w:rsidR="00E8128F">
        <w:rPr>
          <w:sz w:val="36"/>
          <w:szCs w:val="36"/>
          <w:rtl/>
        </w:rPr>
        <w:t xml:space="preserve"> </w:t>
      </w:r>
      <w:r w:rsidR="00594521" w:rsidRPr="00FD211F">
        <w:rPr>
          <w:sz w:val="36"/>
          <w:szCs w:val="36"/>
          <w:rtl/>
        </w:rPr>
        <w:t>مرّ</w:t>
      </w:r>
      <w:r w:rsidR="00E8128F">
        <w:rPr>
          <w:sz w:val="36"/>
          <w:szCs w:val="36"/>
          <w:rtl/>
        </w:rPr>
        <w:t xml:space="preserve"> </w:t>
      </w:r>
      <w:r w:rsidR="004E6AA8" w:rsidRPr="00FD211F">
        <w:rPr>
          <w:sz w:val="36"/>
          <w:szCs w:val="36"/>
          <w:rtl/>
        </w:rPr>
        <w:t>ان</w:t>
      </w:r>
      <w:r w:rsidR="00E8128F">
        <w:rPr>
          <w:sz w:val="36"/>
          <w:szCs w:val="36"/>
          <w:rtl/>
        </w:rPr>
        <w:t xml:space="preserve"> </w:t>
      </w:r>
      <w:r w:rsidR="004E6AA8" w:rsidRPr="00FD211F">
        <w:rPr>
          <w:sz w:val="36"/>
          <w:szCs w:val="36"/>
          <w:rtl/>
        </w:rPr>
        <w:t>الآي</w:t>
      </w:r>
      <w:r w:rsidR="00EC7EDF" w:rsidRPr="00FD211F">
        <w:rPr>
          <w:sz w:val="36"/>
          <w:szCs w:val="36"/>
          <w:rtl/>
        </w:rPr>
        <w:t>ة</w:t>
      </w:r>
      <w:r w:rsidR="00E8128F">
        <w:rPr>
          <w:sz w:val="36"/>
          <w:szCs w:val="36"/>
          <w:rtl/>
        </w:rPr>
        <w:t xml:space="preserve"> </w:t>
      </w:r>
      <w:r w:rsidR="004E6AA8" w:rsidRPr="00FD211F">
        <w:rPr>
          <w:sz w:val="36"/>
          <w:szCs w:val="36"/>
          <w:rtl/>
        </w:rPr>
        <w:t>باطلاقها</w:t>
      </w:r>
      <w:r w:rsidR="00E8128F">
        <w:rPr>
          <w:sz w:val="36"/>
          <w:szCs w:val="36"/>
          <w:rtl/>
        </w:rPr>
        <w:t xml:space="preserve"> </w:t>
      </w:r>
      <w:r w:rsidR="004E6AA8" w:rsidRPr="00FD211F">
        <w:rPr>
          <w:sz w:val="36"/>
          <w:szCs w:val="36"/>
          <w:rtl/>
        </w:rPr>
        <w:t>تقتضي</w:t>
      </w:r>
      <w:r w:rsidR="00E8128F">
        <w:rPr>
          <w:sz w:val="36"/>
          <w:szCs w:val="36"/>
          <w:rtl/>
        </w:rPr>
        <w:t xml:space="preserve"> </w:t>
      </w:r>
      <w:r w:rsidR="004E6AA8" w:rsidRPr="00FD211F">
        <w:rPr>
          <w:sz w:val="36"/>
          <w:szCs w:val="36"/>
          <w:rtl/>
        </w:rPr>
        <w:t>حلي</w:t>
      </w:r>
      <w:r w:rsidR="00EC7EDF" w:rsidRPr="00FD211F">
        <w:rPr>
          <w:sz w:val="36"/>
          <w:szCs w:val="36"/>
          <w:rtl/>
        </w:rPr>
        <w:t>ة</w:t>
      </w:r>
      <w:r w:rsidR="00E8128F">
        <w:rPr>
          <w:sz w:val="36"/>
          <w:szCs w:val="36"/>
          <w:rtl/>
        </w:rPr>
        <w:t xml:space="preserve"> </w:t>
      </w:r>
      <w:r w:rsidR="004E6AA8" w:rsidRPr="00FD211F">
        <w:rPr>
          <w:sz w:val="36"/>
          <w:szCs w:val="36"/>
          <w:rtl/>
        </w:rPr>
        <w:t>نكاح</w:t>
      </w:r>
      <w:r w:rsidR="00E8128F">
        <w:rPr>
          <w:sz w:val="36"/>
          <w:szCs w:val="36"/>
          <w:rtl/>
        </w:rPr>
        <w:t xml:space="preserve"> </w:t>
      </w:r>
      <w:r w:rsidR="004E6AA8" w:rsidRPr="00FD211F">
        <w:rPr>
          <w:sz w:val="36"/>
          <w:szCs w:val="36"/>
          <w:rtl/>
        </w:rPr>
        <w:t>هذه</w:t>
      </w:r>
      <w:r w:rsidR="00E8128F">
        <w:rPr>
          <w:sz w:val="36"/>
          <w:szCs w:val="36"/>
          <w:rtl/>
        </w:rPr>
        <w:t xml:space="preserve"> </w:t>
      </w:r>
      <w:r w:rsidR="004E6AA8" w:rsidRPr="00FD211F">
        <w:rPr>
          <w:sz w:val="36"/>
          <w:szCs w:val="36"/>
          <w:rtl/>
        </w:rPr>
        <w:t>الجاري</w:t>
      </w:r>
      <w:r w:rsidR="00EC7EDF" w:rsidRPr="00FD211F">
        <w:rPr>
          <w:sz w:val="36"/>
          <w:szCs w:val="36"/>
          <w:rtl/>
        </w:rPr>
        <w:t>ة</w:t>
      </w:r>
      <w:r w:rsidR="00E8128F">
        <w:rPr>
          <w:sz w:val="36"/>
          <w:szCs w:val="36"/>
          <w:rtl/>
        </w:rPr>
        <w:t xml:space="preserve"> </w:t>
      </w:r>
      <w:r w:rsidR="004E6AA8" w:rsidRPr="00FD211F">
        <w:rPr>
          <w:sz w:val="36"/>
          <w:szCs w:val="36"/>
          <w:rtl/>
        </w:rPr>
        <w:t>اذا</w:t>
      </w:r>
      <w:r w:rsidR="00E8128F">
        <w:rPr>
          <w:sz w:val="36"/>
          <w:szCs w:val="36"/>
          <w:rtl/>
        </w:rPr>
        <w:t xml:space="preserve"> </w:t>
      </w:r>
      <w:r w:rsidR="008D7B3D" w:rsidRPr="00FD211F">
        <w:rPr>
          <w:sz w:val="36"/>
          <w:szCs w:val="36"/>
          <w:rtl/>
        </w:rPr>
        <w:t>لم‌</w:t>
      </w:r>
      <w:r w:rsidR="004E6AA8" w:rsidRPr="00FD211F">
        <w:rPr>
          <w:sz w:val="36"/>
          <w:szCs w:val="36"/>
          <w:rtl/>
        </w:rPr>
        <w:t>يدخل</w:t>
      </w:r>
      <w:r w:rsidR="00E8128F">
        <w:rPr>
          <w:sz w:val="36"/>
          <w:szCs w:val="36"/>
          <w:rtl/>
        </w:rPr>
        <w:t xml:space="preserve"> </w:t>
      </w:r>
      <w:r w:rsidR="004E6AA8" w:rsidRPr="00FD211F">
        <w:rPr>
          <w:sz w:val="36"/>
          <w:szCs w:val="36"/>
          <w:rtl/>
        </w:rPr>
        <w:t>الرجل</w:t>
      </w:r>
      <w:r w:rsidR="00E8128F">
        <w:rPr>
          <w:sz w:val="36"/>
          <w:szCs w:val="36"/>
          <w:rtl/>
        </w:rPr>
        <w:t xml:space="preserve"> </w:t>
      </w:r>
      <w:r w:rsidR="002D6BCE" w:rsidRPr="00FD211F">
        <w:rPr>
          <w:sz w:val="36"/>
          <w:szCs w:val="36"/>
          <w:rtl/>
        </w:rPr>
        <w:t>بامرأته</w:t>
      </w:r>
      <w:r w:rsidR="00E8128F">
        <w:rPr>
          <w:sz w:val="36"/>
          <w:szCs w:val="36"/>
          <w:rtl/>
        </w:rPr>
        <w:t xml:space="preserve"> </w:t>
      </w:r>
      <w:r w:rsidR="009977FE" w:rsidRPr="00FD211F">
        <w:rPr>
          <w:sz w:val="36"/>
          <w:szCs w:val="36"/>
          <w:rtl/>
        </w:rPr>
        <w:t>و</w:t>
      </w:r>
      <w:r w:rsidR="00E8128F">
        <w:rPr>
          <w:sz w:val="36"/>
          <w:szCs w:val="36"/>
          <w:rtl/>
        </w:rPr>
        <w:t xml:space="preserve"> </w:t>
      </w:r>
      <w:r w:rsidR="008D7B3D" w:rsidRPr="00FD211F">
        <w:rPr>
          <w:sz w:val="36"/>
          <w:szCs w:val="36"/>
          <w:rtl/>
        </w:rPr>
        <w:t>لم‌</w:t>
      </w:r>
      <w:r w:rsidR="0085016B" w:rsidRPr="00FD211F">
        <w:rPr>
          <w:sz w:val="36"/>
          <w:szCs w:val="36"/>
          <w:rtl/>
        </w:rPr>
        <w:t>يكن</w:t>
      </w:r>
      <w:r w:rsidR="00E8128F">
        <w:rPr>
          <w:sz w:val="36"/>
          <w:szCs w:val="36"/>
          <w:rtl/>
        </w:rPr>
        <w:t xml:space="preserve"> </w:t>
      </w:r>
      <w:r w:rsidR="0085016B" w:rsidRPr="00FD211F">
        <w:rPr>
          <w:sz w:val="36"/>
          <w:szCs w:val="36"/>
          <w:rtl/>
        </w:rPr>
        <w:t>ارضاعها</w:t>
      </w:r>
      <w:r w:rsidR="00E8128F">
        <w:rPr>
          <w:sz w:val="36"/>
          <w:szCs w:val="36"/>
          <w:rtl/>
        </w:rPr>
        <w:t xml:space="preserve"> </w:t>
      </w:r>
      <w:r w:rsidR="0085016B" w:rsidRPr="00FD211F">
        <w:rPr>
          <w:sz w:val="36"/>
          <w:szCs w:val="36"/>
          <w:rtl/>
        </w:rPr>
        <w:t>من</w:t>
      </w:r>
      <w:r w:rsidR="00E8128F">
        <w:rPr>
          <w:sz w:val="36"/>
          <w:szCs w:val="36"/>
          <w:rtl/>
        </w:rPr>
        <w:t xml:space="preserve"> </w:t>
      </w:r>
      <w:r w:rsidR="0085016B" w:rsidRPr="00FD211F">
        <w:rPr>
          <w:sz w:val="36"/>
          <w:szCs w:val="36"/>
          <w:rtl/>
        </w:rPr>
        <w:t>لبنه</w:t>
      </w:r>
      <w:r w:rsidR="00603323" w:rsidRPr="00FD211F">
        <w:rPr>
          <w:sz w:val="36"/>
          <w:szCs w:val="36"/>
          <w:rtl/>
        </w:rPr>
        <w:t>،</w:t>
      </w:r>
      <w:r w:rsidR="00E8128F">
        <w:rPr>
          <w:sz w:val="36"/>
          <w:szCs w:val="36"/>
          <w:rtl/>
        </w:rPr>
        <w:t xml:space="preserve"> </w:t>
      </w:r>
      <w:r w:rsidR="0085016B" w:rsidRPr="00FD211F">
        <w:rPr>
          <w:sz w:val="36"/>
          <w:szCs w:val="36"/>
          <w:rtl/>
        </w:rPr>
        <w:t>وحينئذ</w:t>
      </w:r>
      <w:r w:rsidR="00E8128F">
        <w:rPr>
          <w:sz w:val="36"/>
          <w:szCs w:val="36"/>
          <w:rtl/>
        </w:rPr>
        <w:t xml:space="preserve"> </w:t>
      </w:r>
      <w:r w:rsidR="0085016B" w:rsidRPr="00FD211F">
        <w:rPr>
          <w:sz w:val="36"/>
          <w:szCs w:val="36"/>
          <w:rtl/>
        </w:rPr>
        <w:t>فيكون</w:t>
      </w:r>
      <w:r w:rsidR="00E8128F">
        <w:rPr>
          <w:sz w:val="36"/>
          <w:szCs w:val="36"/>
          <w:rtl/>
        </w:rPr>
        <w:t xml:space="preserve"> </w:t>
      </w:r>
      <w:r w:rsidRPr="00FD211F">
        <w:rPr>
          <w:sz w:val="36"/>
          <w:szCs w:val="36"/>
          <w:rtl/>
        </w:rPr>
        <w:t>المتعين</w:t>
      </w:r>
      <w:r w:rsidR="00E8128F">
        <w:rPr>
          <w:sz w:val="36"/>
          <w:szCs w:val="36"/>
          <w:rtl/>
        </w:rPr>
        <w:t xml:space="preserve"> </w:t>
      </w:r>
      <w:r w:rsidR="00214C82" w:rsidRPr="00FD211F">
        <w:rPr>
          <w:sz w:val="36"/>
          <w:szCs w:val="36"/>
          <w:rtl/>
        </w:rPr>
        <w:t>حجي</w:t>
      </w:r>
      <w:r w:rsidR="00EC7EDF" w:rsidRPr="00FD211F">
        <w:rPr>
          <w:sz w:val="36"/>
          <w:szCs w:val="36"/>
          <w:rtl/>
        </w:rPr>
        <w:t>ة</w:t>
      </w:r>
      <w:r w:rsidR="00E8128F">
        <w:rPr>
          <w:sz w:val="36"/>
          <w:szCs w:val="36"/>
          <w:rtl/>
        </w:rPr>
        <w:t xml:space="preserve"> </w:t>
      </w:r>
      <w:r w:rsidR="00214C82" w:rsidRPr="00FD211F">
        <w:rPr>
          <w:sz w:val="36"/>
          <w:szCs w:val="36"/>
          <w:rtl/>
        </w:rPr>
        <w:t>اطلاق</w:t>
      </w:r>
      <w:r w:rsidR="00E8128F">
        <w:rPr>
          <w:sz w:val="36"/>
          <w:szCs w:val="36"/>
          <w:rtl/>
        </w:rPr>
        <w:t xml:space="preserve"> </w:t>
      </w:r>
      <w:r w:rsidR="00214C82" w:rsidRPr="00FD211F">
        <w:rPr>
          <w:sz w:val="36"/>
          <w:szCs w:val="36"/>
          <w:rtl/>
        </w:rPr>
        <w:t>الآي</w:t>
      </w:r>
      <w:r w:rsidR="00EC7EDF" w:rsidRPr="00FD211F">
        <w:rPr>
          <w:sz w:val="36"/>
          <w:szCs w:val="36"/>
          <w:rtl/>
        </w:rPr>
        <w:t>ة</w:t>
      </w:r>
      <w:r w:rsidR="00E8128F">
        <w:rPr>
          <w:sz w:val="36"/>
          <w:szCs w:val="36"/>
          <w:rtl/>
        </w:rPr>
        <w:t xml:space="preserve"> </w:t>
      </w:r>
      <w:r w:rsidR="00214C82" w:rsidRPr="00FD211F">
        <w:rPr>
          <w:sz w:val="36"/>
          <w:szCs w:val="36"/>
          <w:rtl/>
        </w:rPr>
        <w:t>عند</w:t>
      </w:r>
      <w:r w:rsidR="00E8128F">
        <w:rPr>
          <w:sz w:val="36"/>
          <w:szCs w:val="36"/>
          <w:rtl/>
        </w:rPr>
        <w:t xml:space="preserve"> </w:t>
      </w:r>
      <w:r w:rsidR="00214C82" w:rsidRPr="00FD211F">
        <w:rPr>
          <w:sz w:val="36"/>
          <w:szCs w:val="36"/>
          <w:rtl/>
        </w:rPr>
        <w:t>معارضته</w:t>
      </w:r>
      <w:r w:rsidR="00E8128F">
        <w:rPr>
          <w:sz w:val="36"/>
          <w:szCs w:val="36"/>
          <w:rtl/>
        </w:rPr>
        <w:t xml:space="preserve"> </w:t>
      </w:r>
      <w:r w:rsidR="00214C82" w:rsidRPr="00FD211F">
        <w:rPr>
          <w:sz w:val="36"/>
          <w:szCs w:val="36"/>
          <w:rtl/>
        </w:rPr>
        <w:t>مع</w:t>
      </w:r>
      <w:r w:rsidR="00E8128F">
        <w:rPr>
          <w:sz w:val="36"/>
          <w:szCs w:val="36"/>
          <w:rtl/>
        </w:rPr>
        <w:t xml:space="preserve"> </w:t>
      </w:r>
      <w:r w:rsidR="00214C82" w:rsidRPr="00FD211F">
        <w:rPr>
          <w:sz w:val="36"/>
          <w:szCs w:val="36"/>
          <w:rtl/>
        </w:rPr>
        <w:t>اطلاق</w:t>
      </w:r>
      <w:r w:rsidR="00E8128F">
        <w:rPr>
          <w:sz w:val="36"/>
          <w:szCs w:val="36"/>
          <w:rtl/>
        </w:rPr>
        <w:t xml:space="preserve"> </w:t>
      </w:r>
      <w:r w:rsidR="00214C82" w:rsidRPr="00FD211F">
        <w:rPr>
          <w:sz w:val="36"/>
          <w:szCs w:val="36"/>
          <w:rtl/>
        </w:rPr>
        <w:t>الرواي</w:t>
      </w:r>
      <w:r w:rsidR="00EC7EDF" w:rsidRPr="00FD211F">
        <w:rPr>
          <w:sz w:val="36"/>
          <w:szCs w:val="36"/>
          <w:rtl/>
        </w:rPr>
        <w:t>ة</w:t>
      </w:r>
      <w:r w:rsidR="00603323" w:rsidRPr="00FD211F">
        <w:rPr>
          <w:sz w:val="36"/>
          <w:szCs w:val="36"/>
          <w:rtl/>
        </w:rPr>
        <w:t>،</w:t>
      </w:r>
      <w:r w:rsidR="00E8128F">
        <w:rPr>
          <w:sz w:val="36"/>
          <w:szCs w:val="36"/>
          <w:rtl/>
        </w:rPr>
        <w:t xml:space="preserve"> </w:t>
      </w:r>
      <w:r w:rsidR="0085016B" w:rsidRPr="00FD211F">
        <w:rPr>
          <w:sz w:val="36"/>
          <w:szCs w:val="36"/>
          <w:rtl/>
        </w:rPr>
        <w:t>نعم</w:t>
      </w:r>
      <w:r w:rsidR="00E8128F">
        <w:rPr>
          <w:sz w:val="36"/>
          <w:szCs w:val="36"/>
          <w:rtl/>
        </w:rPr>
        <w:t xml:space="preserve"> </w:t>
      </w:r>
      <w:r w:rsidR="0085016B" w:rsidRPr="00FD211F">
        <w:rPr>
          <w:sz w:val="36"/>
          <w:szCs w:val="36"/>
          <w:rtl/>
        </w:rPr>
        <w:t>بناء</w:t>
      </w:r>
      <w:r w:rsidR="00E8128F">
        <w:rPr>
          <w:sz w:val="36"/>
          <w:szCs w:val="36"/>
          <w:rtl/>
        </w:rPr>
        <w:t xml:space="preserve"> </w:t>
      </w:r>
      <w:r w:rsidR="0085016B" w:rsidRPr="00FD211F">
        <w:rPr>
          <w:sz w:val="36"/>
          <w:szCs w:val="36"/>
          <w:rtl/>
        </w:rPr>
        <w:t>على</w:t>
      </w:r>
      <w:r w:rsidR="00E8128F">
        <w:rPr>
          <w:sz w:val="36"/>
          <w:szCs w:val="36"/>
          <w:rtl/>
        </w:rPr>
        <w:t xml:space="preserve"> </w:t>
      </w:r>
      <w:r w:rsidR="0085016B" w:rsidRPr="00FD211F">
        <w:rPr>
          <w:sz w:val="36"/>
          <w:szCs w:val="36"/>
          <w:rtl/>
        </w:rPr>
        <w:t>مسلك</w:t>
      </w:r>
      <w:r w:rsidR="00E8128F">
        <w:rPr>
          <w:sz w:val="36"/>
          <w:szCs w:val="36"/>
          <w:rtl/>
        </w:rPr>
        <w:t xml:space="preserve"> </w:t>
      </w:r>
      <w:r w:rsidR="0085016B" w:rsidRPr="00FD211F">
        <w:rPr>
          <w:sz w:val="36"/>
          <w:szCs w:val="36"/>
          <w:rtl/>
        </w:rPr>
        <w:t>السيد</w:t>
      </w:r>
      <w:r w:rsidR="00E8128F">
        <w:rPr>
          <w:sz w:val="36"/>
          <w:szCs w:val="36"/>
          <w:rtl/>
        </w:rPr>
        <w:t xml:space="preserve"> </w:t>
      </w:r>
      <w:r w:rsidR="0085016B" w:rsidRPr="00FD211F">
        <w:rPr>
          <w:sz w:val="36"/>
          <w:szCs w:val="36"/>
          <w:rtl/>
        </w:rPr>
        <w:t>الخوئي</w:t>
      </w:r>
      <w:r w:rsidR="00E8128F">
        <w:rPr>
          <w:sz w:val="36"/>
          <w:szCs w:val="36"/>
          <w:rtl/>
        </w:rPr>
        <w:t xml:space="preserve"> </w:t>
      </w:r>
      <w:r w:rsidR="00C04DBB" w:rsidRPr="00FD211F">
        <w:rPr>
          <w:sz w:val="36"/>
          <w:szCs w:val="36"/>
          <w:rtl/>
        </w:rPr>
        <w:t>"قده"</w:t>
      </w:r>
      <w:r w:rsidR="00E8128F">
        <w:rPr>
          <w:sz w:val="36"/>
          <w:szCs w:val="36"/>
          <w:rtl/>
        </w:rPr>
        <w:t xml:space="preserve"> </w:t>
      </w:r>
      <w:r w:rsidR="0085016B" w:rsidRPr="00FD211F">
        <w:rPr>
          <w:sz w:val="36"/>
          <w:szCs w:val="36"/>
          <w:rtl/>
        </w:rPr>
        <w:t>من</w:t>
      </w:r>
      <w:r w:rsidR="00E8128F">
        <w:rPr>
          <w:sz w:val="36"/>
          <w:szCs w:val="36"/>
          <w:rtl/>
        </w:rPr>
        <w:t xml:space="preserve"> </w:t>
      </w:r>
      <w:r w:rsidR="0085016B" w:rsidRPr="00FD211F">
        <w:rPr>
          <w:sz w:val="36"/>
          <w:szCs w:val="36"/>
          <w:rtl/>
        </w:rPr>
        <w:t>سقوط</w:t>
      </w:r>
      <w:r w:rsidR="00E8128F">
        <w:rPr>
          <w:sz w:val="36"/>
          <w:szCs w:val="36"/>
          <w:rtl/>
        </w:rPr>
        <w:t xml:space="preserve"> </w:t>
      </w:r>
      <w:r w:rsidR="0085016B" w:rsidRPr="00FD211F">
        <w:rPr>
          <w:sz w:val="36"/>
          <w:szCs w:val="36"/>
          <w:rtl/>
        </w:rPr>
        <w:t>اطلاق</w:t>
      </w:r>
      <w:r w:rsidR="00E8128F">
        <w:rPr>
          <w:sz w:val="36"/>
          <w:szCs w:val="36"/>
          <w:rtl/>
        </w:rPr>
        <w:t xml:space="preserve"> </w:t>
      </w:r>
      <w:r w:rsidR="0085016B" w:rsidRPr="00FD211F">
        <w:rPr>
          <w:sz w:val="36"/>
          <w:szCs w:val="36"/>
          <w:rtl/>
        </w:rPr>
        <w:t>الكتاب</w:t>
      </w:r>
      <w:r w:rsidR="00E8128F">
        <w:rPr>
          <w:sz w:val="36"/>
          <w:szCs w:val="36"/>
          <w:rtl/>
        </w:rPr>
        <w:t xml:space="preserve"> </w:t>
      </w:r>
      <w:r w:rsidR="0085016B" w:rsidRPr="00FD211F">
        <w:rPr>
          <w:sz w:val="36"/>
          <w:szCs w:val="36"/>
          <w:rtl/>
        </w:rPr>
        <w:t>بمعارضته</w:t>
      </w:r>
      <w:r w:rsidR="00E8128F">
        <w:rPr>
          <w:sz w:val="36"/>
          <w:szCs w:val="36"/>
          <w:rtl/>
        </w:rPr>
        <w:t xml:space="preserve"> </w:t>
      </w:r>
      <w:r w:rsidR="0085016B" w:rsidRPr="00FD211F">
        <w:rPr>
          <w:sz w:val="36"/>
          <w:szCs w:val="36"/>
          <w:rtl/>
        </w:rPr>
        <w:t>مع</w:t>
      </w:r>
      <w:r w:rsidR="00E8128F">
        <w:rPr>
          <w:sz w:val="36"/>
          <w:szCs w:val="36"/>
          <w:rtl/>
        </w:rPr>
        <w:t xml:space="preserve"> </w:t>
      </w:r>
      <w:r w:rsidR="0085016B" w:rsidRPr="00FD211F">
        <w:rPr>
          <w:sz w:val="36"/>
          <w:szCs w:val="36"/>
          <w:rtl/>
        </w:rPr>
        <w:t>اطلاق</w:t>
      </w:r>
      <w:r w:rsidR="00E8128F">
        <w:rPr>
          <w:sz w:val="36"/>
          <w:szCs w:val="36"/>
          <w:rtl/>
        </w:rPr>
        <w:t xml:space="preserve"> </w:t>
      </w:r>
      <w:r w:rsidR="0085016B" w:rsidRPr="00FD211F">
        <w:rPr>
          <w:sz w:val="36"/>
          <w:szCs w:val="36"/>
          <w:rtl/>
        </w:rPr>
        <w:t>الخبر</w:t>
      </w:r>
      <w:r w:rsidR="00E8128F">
        <w:rPr>
          <w:sz w:val="36"/>
          <w:szCs w:val="36"/>
          <w:rtl/>
        </w:rPr>
        <w:t xml:space="preserve"> </w:t>
      </w:r>
      <w:r w:rsidR="0085016B" w:rsidRPr="00FD211F">
        <w:rPr>
          <w:sz w:val="36"/>
          <w:szCs w:val="36"/>
          <w:rtl/>
        </w:rPr>
        <w:t>فيلزم</w:t>
      </w:r>
      <w:r w:rsidR="00E8128F">
        <w:rPr>
          <w:sz w:val="36"/>
          <w:szCs w:val="36"/>
          <w:rtl/>
        </w:rPr>
        <w:t xml:space="preserve"> </w:t>
      </w:r>
      <w:r w:rsidR="0085016B" w:rsidRPr="00FD211F">
        <w:rPr>
          <w:sz w:val="36"/>
          <w:szCs w:val="36"/>
          <w:rtl/>
        </w:rPr>
        <w:t>الاحتياط</w:t>
      </w:r>
      <w:r w:rsidR="00E8128F">
        <w:rPr>
          <w:sz w:val="36"/>
          <w:szCs w:val="36"/>
          <w:rtl/>
        </w:rPr>
        <w:t xml:space="preserve"> </w:t>
      </w:r>
      <w:r w:rsidR="0085016B" w:rsidRPr="00FD211F">
        <w:rPr>
          <w:sz w:val="36"/>
          <w:szCs w:val="36"/>
          <w:rtl/>
        </w:rPr>
        <w:t>بالاجتناب</w:t>
      </w:r>
      <w:r w:rsidR="00E8128F">
        <w:rPr>
          <w:sz w:val="36"/>
          <w:szCs w:val="36"/>
          <w:rtl/>
        </w:rPr>
        <w:t xml:space="preserve"> </w:t>
      </w:r>
      <w:r w:rsidR="0085016B" w:rsidRPr="00FD211F">
        <w:rPr>
          <w:sz w:val="36"/>
          <w:szCs w:val="36"/>
          <w:rtl/>
        </w:rPr>
        <w:t>عن</w:t>
      </w:r>
      <w:r w:rsidR="00E8128F">
        <w:rPr>
          <w:sz w:val="36"/>
          <w:szCs w:val="36"/>
          <w:rtl/>
        </w:rPr>
        <w:t xml:space="preserve"> </w:t>
      </w:r>
      <w:r w:rsidR="0085016B" w:rsidRPr="00FD211F">
        <w:rPr>
          <w:sz w:val="36"/>
          <w:szCs w:val="36"/>
          <w:rtl/>
        </w:rPr>
        <w:t>الجاري</w:t>
      </w:r>
      <w:r w:rsidR="00EC7EDF" w:rsidRPr="00FD211F">
        <w:rPr>
          <w:sz w:val="36"/>
          <w:szCs w:val="36"/>
          <w:rtl/>
        </w:rPr>
        <w:t>ة</w:t>
      </w:r>
      <w:r w:rsidR="00E8128F">
        <w:rPr>
          <w:sz w:val="36"/>
          <w:szCs w:val="36"/>
          <w:rtl/>
        </w:rPr>
        <w:t xml:space="preserve"> </w:t>
      </w:r>
      <w:r w:rsidR="0085016B" w:rsidRPr="00FD211F">
        <w:rPr>
          <w:sz w:val="36"/>
          <w:szCs w:val="36"/>
          <w:rtl/>
        </w:rPr>
        <w:t>والمرأ</w:t>
      </w:r>
      <w:r w:rsidR="00EC7EDF" w:rsidRPr="00FD211F">
        <w:rPr>
          <w:sz w:val="36"/>
          <w:szCs w:val="36"/>
          <w:rtl/>
        </w:rPr>
        <w:t>ة</w:t>
      </w:r>
      <w:r w:rsidR="00E8128F">
        <w:rPr>
          <w:sz w:val="36"/>
          <w:szCs w:val="36"/>
          <w:rtl/>
        </w:rPr>
        <w:t xml:space="preserve"> </w:t>
      </w:r>
      <w:r w:rsidR="0085016B" w:rsidRPr="00FD211F">
        <w:rPr>
          <w:sz w:val="36"/>
          <w:szCs w:val="36"/>
          <w:rtl/>
        </w:rPr>
        <w:t>للعلم</w:t>
      </w:r>
      <w:r w:rsidR="00E8128F">
        <w:rPr>
          <w:sz w:val="36"/>
          <w:szCs w:val="36"/>
          <w:rtl/>
        </w:rPr>
        <w:t xml:space="preserve"> </w:t>
      </w:r>
      <w:r w:rsidR="0085016B" w:rsidRPr="00FD211F">
        <w:rPr>
          <w:sz w:val="36"/>
          <w:szCs w:val="36"/>
          <w:rtl/>
        </w:rPr>
        <w:t>الإجمالي</w:t>
      </w:r>
      <w:r w:rsidR="00E8128F">
        <w:rPr>
          <w:sz w:val="36"/>
          <w:szCs w:val="36"/>
          <w:rtl/>
        </w:rPr>
        <w:t xml:space="preserve"> </w:t>
      </w:r>
      <w:r w:rsidR="0085016B" w:rsidRPr="00FD211F">
        <w:rPr>
          <w:sz w:val="36"/>
          <w:szCs w:val="36"/>
          <w:rtl/>
        </w:rPr>
        <w:t>بزوال</w:t>
      </w:r>
      <w:r w:rsidR="00E8128F">
        <w:rPr>
          <w:sz w:val="36"/>
          <w:szCs w:val="36"/>
          <w:rtl/>
        </w:rPr>
        <w:t xml:space="preserve"> </w:t>
      </w:r>
      <w:r w:rsidR="0085016B" w:rsidRPr="00FD211F">
        <w:rPr>
          <w:sz w:val="36"/>
          <w:szCs w:val="36"/>
          <w:rtl/>
        </w:rPr>
        <w:t>زوجي</w:t>
      </w:r>
      <w:r w:rsidR="00EC7EDF" w:rsidRPr="00FD211F">
        <w:rPr>
          <w:sz w:val="36"/>
          <w:szCs w:val="36"/>
          <w:rtl/>
        </w:rPr>
        <w:t>ة</w:t>
      </w:r>
      <w:r w:rsidR="00E8128F">
        <w:rPr>
          <w:sz w:val="36"/>
          <w:szCs w:val="36"/>
          <w:rtl/>
        </w:rPr>
        <w:t xml:space="preserve"> </w:t>
      </w:r>
      <w:r w:rsidR="0085016B" w:rsidRPr="00FD211F">
        <w:rPr>
          <w:sz w:val="36"/>
          <w:szCs w:val="36"/>
          <w:rtl/>
        </w:rPr>
        <w:t>احديهما</w:t>
      </w:r>
      <w:r w:rsidR="00214C82" w:rsidRPr="00FD211F">
        <w:rPr>
          <w:sz w:val="36"/>
          <w:szCs w:val="36"/>
          <w:rtl/>
        </w:rPr>
        <w:t>.</w:t>
      </w:r>
    </w:p>
    <w:p w14:paraId="4829C790" w14:textId="77777777" w:rsidR="00214C82" w:rsidRPr="00FD211F" w:rsidRDefault="00214C82" w:rsidP="009C58C8">
      <w:pPr>
        <w:ind w:left="0" w:firstLine="227"/>
        <w:jc w:val="both"/>
        <w:rPr>
          <w:sz w:val="36"/>
          <w:szCs w:val="36"/>
          <w:rtl/>
        </w:rPr>
      </w:pPr>
      <w:r w:rsidRPr="00FD211F">
        <w:rPr>
          <w:sz w:val="36"/>
          <w:szCs w:val="36"/>
          <w:rtl/>
        </w:rPr>
        <w:t>وبناء</w:t>
      </w:r>
      <w:r w:rsidR="00E8128F">
        <w:rPr>
          <w:sz w:val="36"/>
          <w:szCs w:val="36"/>
          <w:rtl/>
        </w:rPr>
        <w:t xml:space="preserve"> </w:t>
      </w:r>
      <w:r w:rsidRPr="00FD211F">
        <w:rPr>
          <w:sz w:val="36"/>
          <w:szCs w:val="36"/>
          <w:rtl/>
        </w:rPr>
        <w:t>على</w:t>
      </w:r>
      <w:r w:rsidR="00E8128F">
        <w:rPr>
          <w:sz w:val="36"/>
          <w:szCs w:val="36"/>
          <w:rtl/>
        </w:rPr>
        <w:t xml:space="preserve"> </w:t>
      </w:r>
      <w:r w:rsidR="00355827" w:rsidRPr="00FD211F">
        <w:rPr>
          <w:sz w:val="36"/>
          <w:szCs w:val="36"/>
          <w:rtl/>
        </w:rPr>
        <w:t>ما</w:t>
      </w:r>
      <w:r w:rsidR="00E8128F">
        <w:rPr>
          <w:sz w:val="36"/>
          <w:szCs w:val="36"/>
          <w:rtl/>
        </w:rPr>
        <w:t xml:space="preserve"> </w:t>
      </w:r>
      <w:r w:rsidR="00355827" w:rsidRPr="00FD211F">
        <w:rPr>
          <w:sz w:val="36"/>
          <w:szCs w:val="36"/>
          <w:rtl/>
        </w:rPr>
        <w:t>هو</w:t>
      </w:r>
      <w:r w:rsidR="00E8128F">
        <w:rPr>
          <w:sz w:val="36"/>
          <w:szCs w:val="36"/>
          <w:rtl/>
        </w:rPr>
        <w:t xml:space="preserve"> </w:t>
      </w:r>
      <w:r w:rsidR="00355827" w:rsidRPr="00FD211F">
        <w:rPr>
          <w:sz w:val="36"/>
          <w:szCs w:val="36"/>
          <w:rtl/>
        </w:rPr>
        <w:t>الظاهر</w:t>
      </w:r>
      <w:r w:rsidR="00E8128F">
        <w:rPr>
          <w:sz w:val="36"/>
          <w:szCs w:val="36"/>
          <w:rtl/>
        </w:rPr>
        <w:t xml:space="preserve"> </w:t>
      </w:r>
      <w:r w:rsidR="00355827" w:rsidRPr="00FD211F">
        <w:rPr>
          <w:sz w:val="36"/>
          <w:szCs w:val="36"/>
          <w:rtl/>
        </w:rPr>
        <w:t>من</w:t>
      </w:r>
      <w:r w:rsidR="00E8128F">
        <w:rPr>
          <w:sz w:val="36"/>
          <w:szCs w:val="36"/>
          <w:rtl/>
        </w:rPr>
        <w:t xml:space="preserve"> </w:t>
      </w:r>
      <w:r w:rsidRPr="00FD211F">
        <w:rPr>
          <w:sz w:val="36"/>
          <w:szCs w:val="36"/>
          <w:rtl/>
        </w:rPr>
        <w:t>اجمال</w:t>
      </w:r>
      <w:r w:rsidR="00E8128F">
        <w:rPr>
          <w:sz w:val="36"/>
          <w:szCs w:val="36"/>
          <w:rtl/>
        </w:rPr>
        <w:t xml:space="preserve"> </w:t>
      </w:r>
      <w:r w:rsidRPr="00FD211F">
        <w:rPr>
          <w:sz w:val="36"/>
          <w:szCs w:val="36"/>
          <w:rtl/>
        </w:rPr>
        <w:t>الصحيح</w:t>
      </w:r>
      <w:r w:rsidR="00EC7EDF" w:rsidRPr="00FD211F">
        <w:rPr>
          <w:sz w:val="36"/>
          <w:szCs w:val="36"/>
          <w:rtl/>
        </w:rPr>
        <w:t>ة</w:t>
      </w:r>
      <w:r w:rsidR="00E8128F">
        <w:rPr>
          <w:sz w:val="36"/>
          <w:szCs w:val="36"/>
          <w:rtl/>
        </w:rPr>
        <w:t xml:space="preserve"> </w:t>
      </w:r>
      <w:r w:rsidR="0079145C" w:rsidRPr="00FD211F">
        <w:rPr>
          <w:sz w:val="36"/>
          <w:szCs w:val="36"/>
          <w:rtl/>
        </w:rPr>
        <w:t>وتردد</w:t>
      </w:r>
      <w:r w:rsidR="00E8128F">
        <w:rPr>
          <w:sz w:val="36"/>
          <w:szCs w:val="36"/>
          <w:rtl/>
        </w:rPr>
        <w:t xml:space="preserve"> </w:t>
      </w:r>
      <w:r w:rsidR="0079145C" w:rsidRPr="00FD211F">
        <w:rPr>
          <w:sz w:val="36"/>
          <w:szCs w:val="36"/>
          <w:rtl/>
        </w:rPr>
        <w:t>معناها</w:t>
      </w:r>
      <w:r w:rsidR="00E8128F">
        <w:rPr>
          <w:sz w:val="36"/>
          <w:szCs w:val="36"/>
          <w:rtl/>
        </w:rPr>
        <w:t xml:space="preserve"> </w:t>
      </w:r>
      <w:r w:rsidR="0079145C" w:rsidRPr="00FD211F">
        <w:rPr>
          <w:sz w:val="36"/>
          <w:szCs w:val="36"/>
          <w:rtl/>
        </w:rPr>
        <w:t>بين</w:t>
      </w:r>
      <w:r w:rsidR="00E8128F">
        <w:rPr>
          <w:sz w:val="36"/>
          <w:szCs w:val="36"/>
          <w:rtl/>
        </w:rPr>
        <w:t xml:space="preserve"> </w:t>
      </w:r>
      <w:r w:rsidR="0079145C" w:rsidRPr="00FD211F">
        <w:rPr>
          <w:sz w:val="36"/>
          <w:szCs w:val="36"/>
          <w:rtl/>
        </w:rPr>
        <w:t>ان</w:t>
      </w:r>
      <w:r w:rsidR="00E8128F">
        <w:rPr>
          <w:sz w:val="36"/>
          <w:szCs w:val="36"/>
          <w:rtl/>
        </w:rPr>
        <w:t xml:space="preserve"> </w:t>
      </w:r>
      <w:r w:rsidR="0079145C" w:rsidRPr="00FD211F">
        <w:rPr>
          <w:sz w:val="36"/>
          <w:szCs w:val="36"/>
          <w:rtl/>
        </w:rPr>
        <w:t>يكون</w:t>
      </w:r>
      <w:r w:rsidR="00E8128F">
        <w:rPr>
          <w:sz w:val="36"/>
          <w:szCs w:val="36"/>
          <w:rtl/>
        </w:rPr>
        <w:t xml:space="preserve"> </w:t>
      </w:r>
      <w:r w:rsidR="0079145C" w:rsidRPr="00FD211F">
        <w:rPr>
          <w:sz w:val="36"/>
          <w:szCs w:val="36"/>
          <w:rtl/>
        </w:rPr>
        <w:t>فساد</w:t>
      </w:r>
      <w:r w:rsidR="00E8128F">
        <w:rPr>
          <w:sz w:val="36"/>
          <w:szCs w:val="36"/>
          <w:rtl/>
        </w:rPr>
        <w:t xml:space="preserve"> </w:t>
      </w:r>
      <w:r w:rsidR="0079145C" w:rsidRPr="00FD211F">
        <w:rPr>
          <w:sz w:val="36"/>
          <w:szCs w:val="36"/>
          <w:rtl/>
        </w:rPr>
        <w:t>نكاح</w:t>
      </w:r>
      <w:r w:rsidR="00E8128F">
        <w:rPr>
          <w:sz w:val="36"/>
          <w:szCs w:val="36"/>
          <w:rtl/>
        </w:rPr>
        <w:t xml:space="preserve"> </w:t>
      </w:r>
      <w:r w:rsidR="0079145C" w:rsidRPr="00FD211F">
        <w:rPr>
          <w:sz w:val="36"/>
          <w:szCs w:val="36"/>
          <w:rtl/>
        </w:rPr>
        <w:t>المرأ</w:t>
      </w:r>
      <w:r w:rsidR="00EC7EDF" w:rsidRPr="00FD211F">
        <w:rPr>
          <w:sz w:val="36"/>
          <w:szCs w:val="36"/>
          <w:rtl/>
        </w:rPr>
        <w:t>ة</w:t>
      </w:r>
      <w:r w:rsidR="00E8128F">
        <w:rPr>
          <w:sz w:val="36"/>
          <w:szCs w:val="36"/>
          <w:rtl/>
        </w:rPr>
        <w:t xml:space="preserve"> </w:t>
      </w:r>
      <w:r w:rsidR="0079145C" w:rsidRPr="00FD211F">
        <w:rPr>
          <w:sz w:val="36"/>
          <w:szCs w:val="36"/>
          <w:rtl/>
        </w:rPr>
        <w:t>المرض</w:t>
      </w:r>
      <w:r w:rsidR="00355827" w:rsidRPr="00FD211F">
        <w:rPr>
          <w:sz w:val="36"/>
          <w:szCs w:val="36"/>
          <w:rtl/>
        </w:rPr>
        <w:t>ع</w:t>
      </w:r>
      <w:r w:rsidR="00EC7EDF" w:rsidRPr="00FD211F">
        <w:rPr>
          <w:sz w:val="36"/>
          <w:szCs w:val="36"/>
          <w:rtl/>
        </w:rPr>
        <w:t>ة</w:t>
      </w:r>
      <w:r w:rsidR="00E8128F">
        <w:rPr>
          <w:sz w:val="36"/>
          <w:szCs w:val="36"/>
          <w:rtl/>
        </w:rPr>
        <w:t xml:space="preserve"> </w:t>
      </w:r>
      <w:r w:rsidR="00355827" w:rsidRPr="00FD211F">
        <w:rPr>
          <w:sz w:val="36"/>
          <w:szCs w:val="36"/>
          <w:rtl/>
        </w:rPr>
        <w:t>او</w:t>
      </w:r>
      <w:r w:rsidR="00E8128F">
        <w:rPr>
          <w:sz w:val="36"/>
          <w:szCs w:val="36"/>
          <w:rtl/>
        </w:rPr>
        <w:t xml:space="preserve"> </w:t>
      </w:r>
      <w:r w:rsidR="00355827" w:rsidRPr="00FD211F">
        <w:rPr>
          <w:sz w:val="36"/>
          <w:szCs w:val="36"/>
          <w:rtl/>
        </w:rPr>
        <w:t>فساد</w:t>
      </w:r>
      <w:r w:rsidR="00E8128F">
        <w:rPr>
          <w:sz w:val="36"/>
          <w:szCs w:val="36"/>
          <w:rtl/>
        </w:rPr>
        <w:t xml:space="preserve"> </w:t>
      </w:r>
      <w:r w:rsidR="00355827" w:rsidRPr="00FD211F">
        <w:rPr>
          <w:sz w:val="36"/>
          <w:szCs w:val="36"/>
          <w:rtl/>
        </w:rPr>
        <w:t>نكاح</w:t>
      </w:r>
      <w:r w:rsidR="00E8128F">
        <w:rPr>
          <w:sz w:val="36"/>
          <w:szCs w:val="36"/>
          <w:rtl/>
        </w:rPr>
        <w:t xml:space="preserve"> </w:t>
      </w:r>
      <w:r w:rsidR="00355827" w:rsidRPr="00FD211F">
        <w:rPr>
          <w:sz w:val="36"/>
          <w:szCs w:val="36"/>
          <w:rtl/>
        </w:rPr>
        <w:t>الجاري</w:t>
      </w:r>
      <w:r w:rsidR="00EC7EDF" w:rsidRPr="00FD211F">
        <w:rPr>
          <w:sz w:val="36"/>
          <w:szCs w:val="36"/>
          <w:rtl/>
        </w:rPr>
        <w:t>ة</w:t>
      </w:r>
      <w:r w:rsidR="00E8128F">
        <w:rPr>
          <w:sz w:val="36"/>
          <w:szCs w:val="36"/>
          <w:rtl/>
        </w:rPr>
        <w:t xml:space="preserve"> </w:t>
      </w:r>
      <w:r w:rsidR="00355827" w:rsidRPr="00FD211F">
        <w:rPr>
          <w:sz w:val="36"/>
          <w:szCs w:val="36"/>
          <w:rtl/>
        </w:rPr>
        <w:t>الرضيع</w:t>
      </w:r>
      <w:r w:rsidR="00EC7EDF" w:rsidRPr="00FD211F">
        <w:rPr>
          <w:sz w:val="36"/>
          <w:szCs w:val="36"/>
          <w:rtl/>
        </w:rPr>
        <w:t>ة</w:t>
      </w:r>
      <w:r w:rsidR="00603323" w:rsidRPr="00FD211F">
        <w:rPr>
          <w:sz w:val="36"/>
          <w:szCs w:val="36"/>
          <w:rtl/>
        </w:rPr>
        <w:t>،</w:t>
      </w:r>
      <w:r w:rsidR="00E8128F">
        <w:rPr>
          <w:sz w:val="36"/>
          <w:szCs w:val="36"/>
          <w:rtl/>
        </w:rPr>
        <w:t xml:space="preserve"> </w:t>
      </w:r>
      <w:r w:rsidR="004E6AA8" w:rsidRPr="00FD211F">
        <w:rPr>
          <w:sz w:val="36"/>
          <w:szCs w:val="36"/>
          <w:rtl/>
        </w:rPr>
        <w:t>فان</w:t>
      </w:r>
      <w:r w:rsidR="00E8128F">
        <w:rPr>
          <w:sz w:val="36"/>
          <w:szCs w:val="36"/>
          <w:rtl/>
        </w:rPr>
        <w:t xml:space="preserve"> </w:t>
      </w:r>
      <w:r w:rsidR="00355827" w:rsidRPr="00FD211F">
        <w:rPr>
          <w:sz w:val="36"/>
          <w:szCs w:val="36"/>
          <w:rtl/>
        </w:rPr>
        <w:t>قلنا</w:t>
      </w:r>
      <w:r w:rsidR="00E8128F">
        <w:rPr>
          <w:sz w:val="36"/>
          <w:szCs w:val="36"/>
          <w:rtl/>
        </w:rPr>
        <w:t xml:space="preserve"> </w:t>
      </w:r>
      <w:r w:rsidR="00355827" w:rsidRPr="00FD211F">
        <w:rPr>
          <w:sz w:val="36"/>
          <w:szCs w:val="36"/>
          <w:rtl/>
        </w:rPr>
        <w:t>ب</w:t>
      </w:r>
      <w:r w:rsidR="004E6AA8" w:rsidRPr="00FD211F">
        <w:rPr>
          <w:sz w:val="36"/>
          <w:szCs w:val="36"/>
          <w:rtl/>
        </w:rPr>
        <w:t>انصرافها</w:t>
      </w:r>
      <w:r w:rsidR="00E8128F">
        <w:rPr>
          <w:sz w:val="36"/>
          <w:szCs w:val="36"/>
          <w:rtl/>
        </w:rPr>
        <w:t xml:space="preserve"> </w:t>
      </w:r>
      <w:r w:rsidR="004E6AA8" w:rsidRPr="00FD211F">
        <w:rPr>
          <w:sz w:val="36"/>
          <w:szCs w:val="36"/>
          <w:rtl/>
        </w:rPr>
        <w:t>الى</w:t>
      </w:r>
      <w:r w:rsidR="00E8128F">
        <w:rPr>
          <w:sz w:val="36"/>
          <w:szCs w:val="36"/>
          <w:rtl/>
        </w:rPr>
        <w:t xml:space="preserve"> </w:t>
      </w:r>
      <w:r w:rsidR="004E6AA8" w:rsidRPr="00FD211F">
        <w:rPr>
          <w:sz w:val="36"/>
          <w:szCs w:val="36"/>
          <w:rtl/>
        </w:rPr>
        <w:t>الفرض</w:t>
      </w:r>
      <w:r w:rsidR="00E8128F">
        <w:rPr>
          <w:sz w:val="36"/>
          <w:szCs w:val="36"/>
          <w:rtl/>
        </w:rPr>
        <w:t xml:space="preserve"> </w:t>
      </w:r>
      <w:r w:rsidR="004E6AA8" w:rsidRPr="00FD211F">
        <w:rPr>
          <w:sz w:val="36"/>
          <w:szCs w:val="36"/>
          <w:rtl/>
        </w:rPr>
        <w:t>المتعارف</w:t>
      </w:r>
      <w:r w:rsidR="00E8128F">
        <w:rPr>
          <w:sz w:val="36"/>
          <w:szCs w:val="36"/>
          <w:rtl/>
        </w:rPr>
        <w:t xml:space="preserve"> </w:t>
      </w:r>
      <w:r w:rsidR="004E6AA8" w:rsidRPr="00FD211F">
        <w:rPr>
          <w:sz w:val="36"/>
          <w:szCs w:val="36"/>
          <w:rtl/>
        </w:rPr>
        <w:t>من</w:t>
      </w:r>
      <w:r w:rsidR="00E8128F">
        <w:rPr>
          <w:sz w:val="36"/>
          <w:szCs w:val="36"/>
          <w:rtl/>
        </w:rPr>
        <w:t xml:space="preserve"> </w:t>
      </w:r>
      <w:r w:rsidR="004E6AA8" w:rsidRPr="00FD211F">
        <w:rPr>
          <w:sz w:val="36"/>
          <w:szCs w:val="36"/>
          <w:rtl/>
        </w:rPr>
        <w:t>دخوله</w:t>
      </w:r>
      <w:r w:rsidR="00E8128F">
        <w:rPr>
          <w:sz w:val="36"/>
          <w:szCs w:val="36"/>
          <w:rtl/>
        </w:rPr>
        <w:t xml:space="preserve"> </w:t>
      </w:r>
      <w:r w:rsidR="004E6AA8" w:rsidRPr="00FD211F">
        <w:rPr>
          <w:sz w:val="36"/>
          <w:szCs w:val="36"/>
          <w:rtl/>
        </w:rPr>
        <w:t>بامرأته</w:t>
      </w:r>
      <w:r w:rsidR="00E8128F">
        <w:rPr>
          <w:sz w:val="36"/>
          <w:szCs w:val="36"/>
          <w:rtl/>
        </w:rPr>
        <w:t xml:space="preserve"> </w:t>
      </w:r>
      <w:r w:rsidR="004E6AA8" w:rsidRPr="00FD211F">
        <w:rPr>
          <w:sz w:val="36"/>
          <w:szCs w:val="36"/>
          <w:rtl/>
        </w:rPr>
        <w:t>او</w:t>
      </w:r>
      <w:r w:rsidR="00E8128F">
        <w:rPr>
          <w:sz w:val="36"/>
          <w:szCs w:val="36"/>
          <w:rtl/>
        </w:rPr>
        <w:t xml:space="preserve"> </w:t>
      </w:r>
      <w:r w:rsidR="004E6AA8" w:rsidRPr="00FD211F">
        <w:rPr>
          <w:sz w:val="36"/>
          <w:szCs w:val="36"/>
          <w:rtl/>
        </w:rPr>
        <w:t>كون</w:t>
      </w:r>
      <w:r w:rsidR="00E8128F">
        <w:rPr>
          <w:sz w:val="36"/>
          <w:szCs w:val="36"/>
          <w:rtl/>
        </w:rPr>
        <w:t xml:space="preserve"> </w:t>
      </w:r>
      <w:r w:rsidR="004E6AA8" w:rsidRPr="00FD211F">
        <w:rPr>
          <w:sz w:val="36"/>
          <w:szCs w:val="36"/>
          <w:rtl/>
        </w:rPr>
        <w:t>إرضاعها</w:t>
      </w:r>
      <w:r w:rsidR="00E8128F">
        <w:rPr>
          <w:sz w:val="36"/>
          <w:szCs w:val="36"/>
          <w:rtl/>
        </w:rPr>
        <w:t xml:space="preserve"> </w:t>
      </w:r>
      <w:r w:rsidR="004E6AA8" w:rsidRPr="00FD211F">
        <w:rPr>
          <w:sz w:val="36"/>
          <w:szCs w:val="36"/>
          <w:rtl/>
        </w:rPr>
        <w:t>للجاري</w:t>
      </w:r>
      <w:r w:rsidR="00EC7EDF" w:rsidRPr="00FD211F">
        <w:rPr>
          <w:sz w:val="36"/>
          <w:szCs w:val="36"/>
          <w:rtl/>
        </w:rPr>
        <w:t>ة</w:t>
      </w:r>
      <w:r w:rsidR="00E8128F">
        <w:rPr>
          <w:sz w:val="36"/>
          <w:szCs w:val="36"/>
          <w:rtl/>
        </w:rPr>
        <w:t xml:space="preserve"> </w:t>
      </w:r>
      <w:r w:rsidR="004E6AA8" w:rsidRPr="00FD211F">
        <w:rPr>
          <w:sz w:val="36"/>
          <w:szCs w:val="36"/>
          <w:rtl/>
        </w:rPr>
        <w:t>من</w:t>
      </w:r>
      <w:r w:rsidR="00E8128F">
        <w:rPr>
          <w:sz w:val="36"/>
          <w:szCs w:val="36"/>
          <w:rtl/>
        </w:rPr>
        <w:t xml:space="preserve"> </w:t>
      </w:r>
      <w:r w:rsidR="004E6AA8" w:rsidRPr="00FD211F">
        <w:rPr>
          <w:sz w:val="36"/>
          <w:szCs w:val="36"/>
          <w:rtl/>
        </w:rPr>
        <w:t>لبنه</w:t>
      </w:r>
      <w:r w:rsidR="00E8128F">
        <w:rPr>
          <w:sz w:val="36"/>
          <w:szCs w:val="36"/>
          <w:rtl/>
        </w:rPr>
        <w:t xml:space="preserve"> </w:t>
      </w:r>
      <w:r w:rsidR="004D0BBE" w:rsidRPr="00FD211F">
        <w:rPr>
          <w:sz w:val="36"/>
          <w:szCs w:val="36"/>
          <w:rtl/>
        </w:rPr>
        <w:t>فيدور</w:t>
      </w:r>
      <w:r w:rsidR="00E8128F">
        <w:rPr>
          <w:sz w:val="36"/>
          <w:szCs w:val="36"/>
          <w:rtl/>
        </w:rPr>
        <w:t xml:space="preserve"> </w:t>
      </w:r>
      <w:r w:rsidR="004D0BBE" w:rsidRPr="00FD211F">
        <w:rPr>
          <w:sz w:val="36"/>
          <w:szCs w:val="36"/>
          <w:rtl/>
        </w:rPr>
        <w:t>امرها</w:t>
      </w:r>
      <w:r w:rsidR="00E8128F">
        <w:rPr>
          <w:sz w:val="36"/>
          <w:szCs w:val="36"/>
          <w:rtl/>
        </w:rPr>
        <w:t xml:space="preserve"> </w:t>
      </w:r>
      <w:r w:rsidR="004D0BBE" w:rsidRPr="00FD211F">
        <w:rPr>
          <w:sz w:val="36"/>
          <w:szCs w:val="36"/>
          <w:rtl/>
        </w:rPr>
        <w:t>بين</w:t>
      </w:r>
      <w:r w:rsidR="00E8128F">
        <w:rPr>
          <w:sz w:val="36"/>
          <w:szCs w:val="36"/>
          <w:rtl/>
        </w:rPr>
        <w:t xml:space="preserve"> </w:t>
      </w:r>
      <w:r w:rsidR="004D0BBE" w:rsidRPr="00FD211F">
        <w:rPr>
          <w:sz w:val="36"/>
          <w:szCs w:val="36"/>
          <w:rtl/>
        </w:rPr>
        <w:t>ان</w:t>
      </w:r>
      <w:r w:rsidR="00E8128F">
        <w:rPr>
          <w:sz w:val="36"/>
          <w:szCs w:val="36"/>
          <w:rtl/>
        </w:rPr>
        <w:t xml:space="preserve"> </w:t>
      </w:r>
      <w:r w:rsidR="004D0BBE" w:rsidRPr="00FD211F">
        <w:rPr>
          <w:sz w:val="36"/>
          <w:szCs w:val="36"/>
          <w:rtl/>
        </w:rPr>
        <w:t>يراد</w:t>
      </w:r>
      <w:r w:rsidR="00E8128F">
        <w:rPr>
          <w:sz w:val="36"/>
          <w:szCs w:val="36"/>
          <w:rtl/>
        </w:rPr>
        <w:t xml:space="preserve"> </w:t>
      </w:r>
      <w:r w:rsidR="004D0BBE" w:rsidRPr="00FD211F">
        <w:rPr>
          <w:sz w:val="36"/>
          <w:szCs w:val="36"/>
          <w:rtl/>
        </w:rPr>
        <w:t>بها</w:t>
      </w:r>
      <w:r w:rsidR="00E8128F">
        <w:rPr>
          <w:sz w:val="36"/>
          <w:szCs w:val="36"/>
          <w:rtl/>
        </w:rPr>
        <w:t xml:space="preserve"> </w:t>
      </w:r>
      <w:r w:rsidR="004D0BBE" w:rsidRPr="00FD211F">
        <w:rPr>
          <w:sz w:val="36"/>
          <w:szCs w:val="36"/>
          <w:rtl/>
        </w:rPr>
        <w:t>فساد</w:t>
      </w:r>
      <w:r w:rsidR="00E8128F">
        <w:rPr>
          <w:sz w:val="36"/>
          <w:szCs w:val="36"/>
          <w:rtl/>
        </w:rPr>
        <w:t xml:space="preserve"> </w:t>
      </w:r>
      <w:r w:rsidR="004D0BBE" w:rsidRPr="00FD211F">
        <w:rPr>
          <w:sz w:val="36"/>
          <w:szCs w:val="36"/>
          <w:rtl/>
        </w:rPr>
        <w:t>نكاح</w:t>
      </w:r>
      <w:r w:rsidR="00E8128F">
        <w:rPr>
          <w:sz w:val="36"/>
          <w:szCs w:val="36"/>
          <w:rtl/>
        </w:rPr>
        <w:t xml:space="preserve"> </w:t>
      </w:r>
      <w:r w:rsidR="004D0BBE" w:rsidRPr="00FD211F">
        <w:rPr>
          <w:sz w:val="36"/>
          <w:szCs w:val="36"/>
          <w:rtl/>
        </w:rPr>
        <w:t>الجاري</w:t>
      </w:r>
      <w:r w:rsidR="00EC7EDF" w:rsidRPr="00FD211F">
        <w:rPr>
          <w:sz w:val="36"/>
          <w:szCs w:val="36"/>
          <w:rtl/>
        </w:rPr>
        <w:t>ة</w:t>
      </w:r>
      <w:r w:rsidR="00E8128F">
        <w:rPr>
          <w:sz w:val="36"/>
          <w:szCs w:val="36"/>
          <w:rtl/>
        </w:rPr>
        <w:t xml:space="preserve"> </w:t>
      </w:r>
      <w:r w:rsidR="004D0BBE" w:rsidRPr="00FD211F">
        <w:rPr>
          <w:sz w:val="36"/>
          <w:szCs w:val="36"/>
          <w:rtl/>
        </w:rPr>
        <w:t>وهذا</w:t>
      </w:r>
      <w:r w:rsidR="00E8128F">
        <w:rPr>
          <w:sz w:val="36"/>
          <w:szCs w:val="36"/>
          <w:rtl/>
        </w:rPr>
        <w:t xml:space="preserve"> </w:t>
      </w:r>
      <w:r w:rsidR="004D0BBE" w:rsidRPr="00FD211F">
        <w:rPr>
          <w:sz w:val="36"/>
          <w:szCs w:val="36"/>
          <w:rtl/>
        </w:rPr>
        <w:t>مطابق</w:t>
      </w:r>
      <w:r w:rsidR="00E8128F">
        <w:rPr>
          <w:sz w:val="36"/>
          <w:szCs w:val="36"/>
          <w:rtl/>
        </w:rPr>
        <w:t xml:space="preserve"> </w:t>
      </w:r>
      <w:r w:rsidR="004D0BBE" w:rsidRPr="00FD211F">
        <w:rPr>
          <w:sz w:val="36"/>
          <w:szCs w:val="36"/>
          <w:rtl/>
        </w:rPr>
        <w:t>لما</w:t>
      </w:r>
      <w:r w:rsidR="00E8128F">
        <w:rPr>
          <w:sz w:val="36"/>
          <w:szCs w:val="36"/>
          <w:rtl/>
        </w:rPr>
        <w:t xml:space="preserve"> </w:t>
      </w:r>
      <w:r w:rsidR="004D0BBE" w:rsidRPr="00FD211F">
        <w:rPr>
          <w:sz w:val="36"/>
          <w:szCs w:val="36"/>
          <w:rtl/>
        </w:rPr>
        <w:t>هو</w:t>
      </w:r>
      <w:r w:rsidR="00E8128F">
        <w:rPr>
          <w:sz w:val="36"/>
          <w:szCs w:val="36"/>
          <w:rtl/>
        </w:rPr>
        <w:t xml:space="preserve"> </w:t>
      </w:r>
      <w:r w:rsidR="004D0BBE" w:rsidRPr="00FD211F">
        <w:rPr>
          <w:sz w:val="36"/>
          <w:szCs w:val="36"/>
          <w:rtl/>
        </w:rPr>
        <w:t>مقتضى</w:t>
      </w:r>
      <w:r w:rsidR="00E8128F">
        <w:rPr>
          <w:sz w:val="36"/>
          <w:szCs w:val="36"/>
          <w:rtl/>
        </w:rPr>
        <w:t xml:space="preserve"> </w:t>
      </w:r>
      <w:r w:rsidR="004D0BBE" w:rsidRPr="00FD211F">
        <w:rPr>
          <w:sz w:val="36"/>
          <w:szCs w:val="36"/>
          <w:rtl/>
        </w:rPr>
        <w:t>القاعد</w:t>
      </w:r>
      <w:r w:rsidR="00EC7EDF" w:rsidRPr="00FD211F">
        <w:rPr>
          <w:sz w:val="36"/>
          <w:szCs w:val="36"/>
          <w:rtl/>
        </w:rPr>
        <w:t>ة</w:t>
      </w:r>
      <w:r w:rsidR="00E8128F">
        <w:rPr>
          <w:sz w:val="36"/>
          <w:szCs w:val="36"/>
          <w:rtl/>
        </w:rPr>
        <w:t xml:space="preserve"> </w:t>
      </w:r>
      <w:r w:rsidR="004D0BBE" w:rsidRPr="00FD211F">
        <w:rPr>
          <w:sz w:val="36"/>
          <w:szCs w:val="36"/>
          <w:rtl/>
        </w:rPr>
        <w:t>وبين</w:t>
      </w:r>
      <w:r w:rsidR="00E8128F">
        <w:rPr>
          <w:sz w:val="36"/>
          <w:szCs w:val="36"/>
          <w:rtl/>
        </w:rPr>
        <w:t xml:space="preserve"> </w:t>
      </w:r>
      <w:r w:rsidR="004D0BBE" w:rsidRPr="00FD211F">
        <w:rPr>
          <w:sz w:val="36"/>
          <w:szCs w:val="36"/>
          <w:rtl/>
        </w:rPr>
        <w:t>ان</w:t>
      </w:r>
      <w:r w:rsidR="00E8128F">
        <w:rPr>
          <w:sz w:val="36"/>
          <w:szCs w:val="36"/>
          <w:rtl/>
        </w:rPr>
        <w:t xml:space="preserve"> </w:t>
      </w:r>
      <w:r w:rsidR="004D0BBE" w:rsidRPr="00FD211F">
        <w:rPr>
          <w:sz w:val="36"/>
          <w:szCs w:val="36"/>
          <w:rtl/>
        </w:rPr>
        <w:t>يراد</w:t>
      </w:r>
      <w:r w:rsidR="00E8128F">
        <w:rPr>
          <w:sz w:val="36"/>
          <w:szCs w:val="36"/>
          <w:rtl/>
        </w:rPr>
        <w:t xml:space="preserve"> </w:t>
      </w:r>
      <w:r w:rsidR="004D0BBE" w:rsidRPr="00FD211F">
        <w:rPr>
          <w:sz w:val="36"/>
          <w:szCs w:val="36"/>
          <w:rtl/>
        </w:rPr>
        <w:t>بها</w:t>
      </w:r>
      <w:r w:rsidR="00E8128F">
        <w:rPr>
          <w:sz w:val="36"/>
          <w:szCs w:val="36"/>
          <w:rtl/>
        </w:rPr>
        <w:t xml:space="preserve"> </w:t>
      </w:r>
      <w:r w:rsidR="004D0BBE" w:rsidRPr="00FD211F">
        <w:rPr>
          <w:sz w:val="36"/>
          <w:szCs w:val="36"/>
          <w:rtl/>
        </w:rPr>
        <w:t>فساد</w:t>
      </w:r>
      <w:r w:rsidR="00E8128F">
        <w:rPr>
          <w:sz w:val="36"/>
          <w:szCs w:val="36"/>
          <w:rtl/>
        </w:rPr>
        <w:t xml:space="preserve"> </w:t>
      </w:r>
      <w:r w:rsidR="004D0BBE" w:rsidRPr="00FD211F">
        <w:rPr>
          <w:sz w:val="36"/>
          <w:szCs w:val="36"/>
          <w:rtl/>
        </w:rPr>
        <w:t>نكاح</w:t>
      </w:r>
      <w:r w:rsidR="00E8128F">
        <w:rPr>
          <w:sz w:val="36"/>
          <w:szCs w:val="36"/>
          <w:rtl/>
        </w:rPr>
        <w:t xml:space="preserve"> </w:t>
      </w:r>
      <w:r w:rsidR="004D0BBE" w:rsidRPr="00FD211F">
        <w:rPr>
          <w:sz w:val="36"/>
          <w:szCs w:val="36"/>
          <w:rtl/>
        </w:rPr>
        <w:t>المرأ</w:t>
      </w:r>
      <w:r w:rsidR="00EC7EDF" w:rsidRPr="00FD211F">
        <w:rPr>
          <w:sz w:val="36"/>
          <w:szCs w:val="36"/>
          <w:rtl/>
        </w:rPr>
        <w:t>ة</w:t>
      </w:r>
      <w:r w:rsidR="00E8128F">
        <w:rPr>
          <w:sz w:val="36"/>
          <w:szCs w:val="36"/>
          <w:rtl/>
        </w:rPr>
        <w:t xml:space="preserve"> </w:t>
      </w:r>
      <w:r w:rsidR="004D0BBE" w:rsidRPr="00FD211F">
        <w:rPr>
          <w:sz w:val="36"/>
          <w:szCs w:val="36"/>
          <w:rtl/>
        </w:rPr>
        <w:t>وهذا</w:t>
      </w:r>
      <w:r w:rsidR="00E8128F">
        <w:rPr>
          <w:sz w:val="36"/>
          <w:szCs w:val="36"/>
          <w:rtl/>
        </w:rPr>
        <w:t xml:space="preserve"> </w:t>
      </w:r>
      <w:r w:rsidR="004D0BBE" w:rsidRPr="00FD211F">
        <w:rPr>
          <w:sz w:val="36"/>
          <w:szCs w:val="36"/>
          <w:rtl/>
        </w:rPr>
        <w:t>خلاف</w:t>
      </w:r>
      <w:r w:rsidR="00E8128F">
        <w:rPr>
          <w:sz w:val="36"/>
          <w:szCs w:val="36"/>
          <w:rtl/>
        </w:rPr>
        <w:t xml:space="preserve"> </w:t>
      </w:r>
      <w:r w:rsidR="004D0BBE" w:rsidRPr="00FD211F">
        <w:rPr>
          <w:sz w:val="36"/>
          <w:szCs w:val="36"/>
          <w:rtl/>
        </w:rPr>
        <w:t>مقتضى</w:t>
      </w:r>
      <w:r w:rsidR="00E8128F">
        <w:rPr>
          <w:sz w:val="36"/>
          <w:szCs w:val="36"/>
          <w:rtl/>
        </w:rPr>
        <w:t xml:space="preserve"> </w:t>
      </w:r>
      <w:r w:rsidR="004D0BBE" w:rsidRPr="00FD211F">
        <w:rPr>
          <w:sz w:val="36"/>
          <w:szCs w:val="36"/>
          <w:rtl/>
        </w:rPr>
        <w:t>القاعد</w:t>
      </w:r>
      <w:r w:rsidR="00EC7EDF" w:rsidRPr="00FD211F">
        <w:rPr>
          <w:sz w:val="36"/>
          <w:szCs w:val="36"/>
          <w:rtl/>
        </w:rPr>
        <w:t>ة</w:t>
      </w:r>
      <w:r w:rsidR="00603323" w:rsidRPr="00FD211F">
        <w:rPr>
          <w:sz w:val="36"/>
          <w:szCs w:val="36"/>
          <w:rtl/>
        </w:rPr>
        <w:t>،</w:t>
      </w:r>
      <w:r w:rsidR="00E8128F">
        <w:rPr>
          <w:sz w:val="36"/>
          <w:szCs w:val="36"/>
          <w:rtl/>
        </w:rPr>
        <w:t xml:space="preserve"> </w:t>
      </w:r>
      <w:r w:rsidR="004D0BBE" w:rsidRPr="00FD211F">
        <w:rPr>
          <w:sz w:val="36"/>
          <w:szCs w:val="36"/>
          <w:rtl/>
        </w:rPr>
        <w:t>فلايمكن</w:t>
      </w:r>
      <w:r w:rsidR="00E8128F">
        <w:rPr>
          <w:sz w:val="36"/>
          <w:szCs w:val="36"/>
          <w:rtl/>
        </w:rPr>
        <w:t xml:space="preserve"> </w:t>
      </w:r>
      <w:r w:rsidR="004D0BBE" w:rsidRPr="00FD211F">
        <w:rPr>
          <w:sz w:val="36"/>
          <w:szCs w:val="36"/>
          <w:rtl/>
        </w:rPr>
        <w:t>الاستدلال</w:t>
      </w:r>
      <w:r w:rsidR="00E8128F">
        <w:rPr>
          <w:sz w:val="36"/>
          <w:szCs w:val="36"/>
          <w:rtl/>
        </w:rPr>
        <w:t xml:space="preserve"> </w:t>
      </w:r>
      <w:r w:rsidR="004D0BBE" w:rsidRPr="00FD211F">
        <w:rPr>
          <w:sz w:val="36"/>
          <w:szCs w:val="36"/>
          <w:rtl/>
        </w:rPr>
        <w:t>بها</w:t>
      </w:r>
      <w:r w:rsidR="00E8128F">
        <w:rPr>
          <w:sz w:val="36"/>
          <w:szCs w:val="36"/>
          <w:rtl/>
        </w:rPr>
        <w:t xml:space="preserve"> </w:t>
      </w:r>
      <w:r w:rsidR="004D0BBE" w:rsidRPr="00FD211F">
        <w:rPr>
          <w:sz w:val="36"/>
          <w:szCs w:val="36"/>
          <w:rtl/>
        </w:rPr>
        <w:t>على</w:t>
      </w:r>
      <w:r w:rsidR="00E8128F">
        <w:rPr>
          <w:sz w:val="36"/>
          <w:szCs w:val="36"/>
          <w:rtl/>
        </w:rPr>
        <w:t xml:space="preserve"> </w:t>
      </w:r>
      <w:r w:rsidR="004D0BBE" w:rsidRPr="00FD211F">
        <w:rPr>
          <w:sz w:val="36"/>
          <w:szCs w:val="36"/>
          <w:rtl/>
        </w:rPr>
        <w:t>خلاف</w:t>
      </w:r>
      <w:r w:rsidR="00E8128F">
        <w:rPr>
          <w:sz w:val="36"/>
          <w:szCs w:val="36"/>
          <w:rtl/>
        </w:rPr>
        <w:t xml:space="preserve"> </w:t>
      </w:r>
      <w:r w:rsidR="004D0BBE" w:rsidRPr="00FD211F">
        <w:rPr>
          <w:sz w:val="36"/>
          <w:szCs w:val="36"/>
          <w:rtl/>
        </w:rPr>
        <w:t>مقتضى</w:t>
      </w:r>
      <w:r w:rsidR="00E8128F">
        <w:rPr>
          <w:sz w:val="36"/>
          <w:szCs w:val="36"/>
          <w:rtl/>
        </w:rPr>
        <w:t xml:space="preserve"> </w:t>
      </w:r>
      <w:r w:rsidR="004D0BBE" w:rsidRPr="00FD211F">
        <w:rPr>
          <w:sz w:val="36"/>
          <w:szCs w:val="36"/>
          <w:rtl/>
        </w:rPr>
        <w:t>القاعد</w:t>
      </w:r>
      <w:r w:rsidR="00EC7EDF" w:rsidRPr="00FD211F">
        <w:rPr>
          <w:sz w:val="36"/>
          <w:szCs w:val="36"/>
          <w:rtl/>
        </w:rPr>
        <w:t>ة</w:t>
      </w:r>
      <w:r w:rsidR="00E8128F">
        <w:rPr>
          <w:sz w:val="36"/>
          <w:szCs w:val="36"/>
          <w:rtl/>
        </w:rPr>
        <w:t xml:space="preserve"> </w:t>
      </w:r>
      <w:r w:rsidR="004D0BBE" w:rsidRPr="00FD211F">
        <w:rPr>
          <w:sz w:val="36"/>
          <w:szCs w:val="36"/>
          <w:rtl/>
        </w:rPr>
        <w:t>لفرض</w:t>
      </w:r>
      <w:r w:rsidR="00E8128F">
        <w:rPr>
          <w:sz w:val="36"/>
          <w:szCs w:val="36"/>
          <w:rtl/>
        </w:rPr>
        <w:t xml:space="preserve"> </w:t>
      </w:r>
      <w:r w:rsidR="004D0BBE" w:rsidRPr="00FD211F">
        <w:rPr>
          <w:sz w:val="36"/>
          <w:szCs w:val="36"/>
          <w:rtl/>
        </w:rPr>
        <w:t>اجمالها</w:t>
      </w:r>
      <w:r w:rsidR="00603323" w:rsidRPr="00FD211F">
        <w:rPr>
          <w:sz w:val="36"/>
          <w:szCs w:val="36"/>
          <w:rtl/>
        </w:rPr>
        <w:t>،</w:t>
      </w:r>
      <w:r w:rsidR="00E8128F">
        <w:rPr>
          <w:sz w:val="36"/>
          <w:szCs w:val="36"/>
          <w:rtl/>
        </w:rPr>
        <w:t xml:space="preserve"> </w:t>
      </w:r>
      <w:r w:rsidR="004D0BBE" w:rsidRPr="00FD211F">
        <w:rPr>
          <w:sz w:val="36"/>
          <w:szCs w:val="36"/>
          <w:rtl/>
        </w:rPr>
        <w:t>وان</w:t>
      </w:r>
      <w:r w:rsidR="00E8128F">
        <w:rPr>
          <w:sz w:val="36"/>
          <w:szCs w:val="36"/>
          <w:rtl/>
        </w:rPr>
        <w:t xml:space="preserve"> </w:t>
      </w:r>
      <w:r w:rsidR="004D0BBE" w:rsidRPr="00FD211F">
        <w:rPr>
          <w:sz w:val="36"/>
          <w:szCs w:val="36"/>
          <w:rtl/>
        </w:rPr>
        <w:t>بنينا</w:t>
      </w:r>
      <w:r w:rsidR="00E8128F">
        <w:rPr>
          <w:sz w:val="36"/>
          <w:szCs w:val="36"/>
          <w:rtl/>
        </w:rPr>
        <w:t xml:space="preserve"> </w:t>
      </w:r>
      <w:r w:rsidR="004D0BBE" w:rsidRPr="00FD211F">
        <w:rPr>
          <w:sz w:val="36"/>
          <w:szCs w:val="36"/>
          <w:rtl/>
        </w:rPr>
        <w:t>على</w:t>
      </w:r>
      <w:r w:rsidR="00E8128F">
        <w:rPr>
          <w:sz w:val="36"/>
          <w:szCs w:val="36"/>
          <w:rtl/>
        </w:rPr>
        <w:t xml:space="preserve"> </w:t>
      </w:r>
      <w:r w:rsidR="004D0BBE" w:rsidRPr="00FD211F">
        <w:rPr>
          <w:sz w:val="36"/>
          <w:szCs w:val="36"/>
          <w:rtl/>
        </w:rPr>
        <w:t>اطلاقها</w:t>
      </w:r>
      <w:r w:rsidR="00E8128F">
        <w:rPr>
          <w:sz w:val="36"/>
          <w:szCs w:val="36"/>
          <w:rtl/>
        </w:rPr>
        <w:t xml:space="preserve"> </w:t>
      </w:r>
      <w:r w:rsidR="004D0BBE" w:rsidRPr="00FD211F">
        <w:rPr>
          <w:sz w:val="36"/>
          <w:szCs w:val="36"/>
          <w:rtl/>
        </w:rPr>
        <w:t>لفرض</w:t>
      </w:r>
      <w:r w:rsidR="00E8128F">
        <w:rPr>
          <w:sz w:val="36"/>
          <w:szCs w:val="36"/>
          <w:rtl/>
        </w:rPr>
        <w:t xml:space="preserve"> </w:t>
      </w:r>
      <w:r w:rsidR="004D0BBE" w:rsidRPr="00FD211F">
        <w:rPr>
          <w:sz w:val="36"/>
          <w:szCs w:val="36"/>
          <w:rtl/>
        </w:rPr>
        <w:t>عدم</w:t>
      </w:r>
      <w:r w:rsidR="00E8128F">
        <w:rPr>
          <w:sz w:val="36"/>
          <w:szCs w:val="36"/>
          <w:rtl/>
        </w:rPr>
        <w:t xml:space="preserve"> </w:t>
      </w:r>
      <w:r w:rsidR="004D0BBE" w:rsidRPr="00FD211F">
        <w:rPr>
          <w:sz w:val="36"/>
          <w:szCs w:val="36"/>
          <w:rtl/>
        </w:rPr>
        <w:t>دخوله</w:t>
      </w:r>
      <w:r w:rsidR="00E8128F">
        <w:rPr>
          <w:sz w:val="36"/>
          <w:szCs w:val="36"/>
          <w:rtl/>
        </w:rPr>
        <w:t xml:space="preserve"> </w:t>
      </w:r>
      <w:r w:rsidR="004D0BBE" w:rsidRPr="00FD211F">
        <w:rPr>
          <w:sz w:val="36"/>
          <w:szCs w:val="36"/>
          <w:rtl/>
        </w:rPr>
        <w:t>بامرأته</w:t>
      </w:r>
      <w:r w:rsidR="00E8128F">
        <w:rPr>
          <w:sz w:val="36"/>
          <w:szCs w:val="36"/>
          <w:rtl/>
        </w:rPr>
        <w:t xml:space="preserve"> </w:t>
      </w:r>
      <w:r w:rsidR="004D0BBE" w:rsidRPr="00FD211F">
        <w:rPr>
          <w:sz w:val="36"/>
          <w:szCs w:val="36"/>
          <w:rtl/>
        </w:rPr>
        <w:t>وعدم</w:t>
      </w:r>
      <w:r w:rsidR="00E8128F">
        <w:rPr>
          <w:sz w:val="36"/>
          <w:szCs w:val="36"/>
          <w:rtl/>
        </w:rPr>
        <w:t xml:space="preserve"> </w:t>
      </w:r>
      <w:r w:rsidR="004D0BBE" w:rsidRPr="00FD211F">
        <w:rPr>
          <w:sz w:val="36"/>
          <w:szCs w:val="36"/>
          <w:rtl/>
        </w:rPr>
        <w:t>إرضاعها</w:t>
      </w:r>
      <w:r w:rsidR="00E8128F">
        <w:rPr>
          <w:sz w:val="36"/>
          <w:szCs w:val="36"/>
          <w:rtl/>
        </w:rPr>
        <w:t xml:space="preserve"> </w:t>
      </w:r>
      <w:r w:rsidR="004D0BBE" w:rsidRPr="00FD211F">
        <w:rPr>
          <w:sz w:val="36"/>
          <w:szCs w:val="36"/>
          <w:rtl/>
        </w:rPr>
        <w:t>الجاري</w:t>
      </w:r>
      <w:r w:rsidR="00EC7EDF" w:rsidRPr="00FD211F">
        <w:rPr>
          <w:sz w:val="36"/>
          <w:szCs w:val="36"/>
          <w:rtl/>
        </w:rPr>
        <w:t>ة</w:t>
      </w:r>
      <w:r w:rsidR="00E8128F">
        <w:rPr>
          <w:sz w:val="36"/>
          <w:szCs w:val="36"/>
          <w:rtl/>
        </w:rPr>
        <w:t xml:space="preserve"> </w:t>
      </w:r>
      <w:r w:rsidR="004D0BBE" w:rsidRPr="00FD211F">
        <w:rPr>
          <w:sz w:val="36"/>
          <w:szCs w:val="36"/>
          <w:rtl/>
        </w:rPr>
        <w:t>من</w:t>
      </w:r>
      <w:r w:rsidR="00E8128F">
        <w:rPr>
          <w:sz w:val="36"/>
          <w:szCs w:val="36"/>
          <w:rtl/>
        </w:rPr>
        <w:t xml:space="preserve"> </w:t>
      </w:r>
      <w:r w:rsidR="004D0BBE" w:rsidRPr="00FD211F">
        <w:rPr>
          <w:sz w:val="36"/>
          <w:szCs w:val="36"/>
          <w:rtl/>
        </w:rPr>
        <w:t>لبنه</w:t>
      </w:r>
      <w:r w:rsidR="00E8128F">
        <w:rPr>
          <w:sz w:val="36"/>
          <w:szCs w:val="36"/>
          <w:rtl/>
        </w:rPr>
        <w:t xml:space="preserve"> </w:t>
      </w:r>
      <w:r w:rsidR="004D0BBE" w:rsidRPr="00FD211F">
        <w:rPr>
          <w:sz w:val="36"/>
          <w:szCs w:val="36"/>
          <w:rtl/>
        </w:rPr>
        <w:t>فيدور</w:t>
      </w:r>
      <w:r w:rsidR="00E8128F">
        <w:rPr>
          <w:sz w:val="36"/>
          <w:szCs w:val="36"/>
          <w:rtl/>
        </w:rPr>
        <w:t xml:space="preserve"> </w:t>
      </w:r>
      <w:r w:rsidR="004D0BBE" w:rsidRPr="00FD211F">
        <w:rPr>
          <w:sz w:val="36"/>
          <w:szCs w:val="36"/>
          <w:rtl/>
        </w:rPr>
        <w:t>امرها</w:t>
      </w:r>
      <w:r w:rsidR="00E8128F">
        <w:rPr>
          <w:sz w:val="36"/>
          <w:szCs w:val="36"/>
          <w:rtl/>
        </w:rPr>
        <w:t xml:space="preserve"> </w:t>
      </w:r>
      <w:r w:rsidR="004D0BBE" w:rsidRPr="00FD211F">
        <w:rPr>
          <w:sz w:val="36"/>
          <w:szCs w:val="36"/>
          <w:rtl/>
        </w:rPr>
        <w:t>بين</w:t>
      </w:r>
      <w:r w:rsidR="00E8128F">
        <w:rPr>
          <w:sz w:val="36"/>
          <w:szCs w:val="36"/>
          <w:rtl/>
        </w:rPr>
        <w:t xml:space="preserve"> </w:t>
      </w:r>
      <w:r w:rsidR="004D0BBE" w:rsidRPr="00FD211F">
        <w:rPr>
          <w:sz w:val="36"/>
          <w:szCs w:val="36"/>
          <w:rtl/>
        </w:rPr>
        <w:t>كونها</w:t>
      </w:r>
      <w:r w:rsidR="00E8128F">
        <w:rPr>
          <w:sz w:val="36"/>
          <w:szCs w:val="36"/>
          <w:rtl/>
        </w:rPr>
        <w:t xml:space="preserve"> </w:t>
      </w:r>
      <w:r w:rsidR="004D0BBE" w:rsidRPr="00FD211F">
        <w:rPr>
          <w:sz w:val="36"/>
          <w:szCs w:val="36"/>
          <w:rtl/>
        </w:rPr>
        <w:t>معارض</w:t>
      </w:r>
      <w:r w:rsidR="00EC7EDF" w:rsidRPr="00FD211F">
        <w:rPr>
          <w:sz w:val="36"/>
          <w:szCs w:val="36"/>
          <w:rtl/>
        </w:rPr>
        <w:t>ة</w:t>
      </w:r>
      <w:r w:rsidR="00E8128F">
        <w:rPr>
          <w:sz w:val="36"/>
          <w:szCs w:val="36"/>
          <w:rtl/>
        </w:rPr>
        <w:t xml:space="preserve"> </w:t>
      </w:r>
      <w:r w:rsidR="004D0BBE" w:rsidRPr="00FD211F">
        <w:rPr>
          <w:sz w:val="36"/>
          <w:szCs w:val="36"/>
          <w:rtl/>
        </w:rPr>
        <w:t>بالعموم</w:t>
      </w:r>
      <w:r w:rsidR="00E8128F">
        <w:rPr>
          <w:sz w:val="36"/>
          <w:szCs w:val="36"/>
          <w:rtl/>
        </w:rPr>
        <w:t xml:space="preserve"> </w:t>
      </w:r>
      <w:r w:rsidR="004D0BBE" w:rsidRPr="00FD211F">
        <w:rPr>
          <w:sz w:val="36"/>
          <w:szCs w:val="36"/>
          <w:rtl/>
        </w:rPr>
        <w:t>من</w:t>
      </w:r>
      <w:r w:rsidR="00E8128F">
        <w:rPr>
          <w:sz w:val="36"/>
          <w:szCs w:val="36"/>
          <w:rtl/>
        </w:rPr>
        <w:t xml:space="preserve"> </w:t>
      </w:r>
      <w:r w:rsidR="004D0BBE" w:rsidRPr="00FD211F">
        <w:rPr>
          <w:sz w:val="36"/>
          <w:szCs w:val="36"/>
          <w:rtl/>
        </w:rPr>
        <w:t>وجه</w:t>
      </w:r>
      <w:r w:rsidR="00E8128F">
        <w:rPr>
          <w:sz w:val="36"/>
          <w:szCs w:val="36"/>
          <w:rtl/>
        </w:rPr>
        <w:t xml:space="preserve"> </w:t>
      </w:r>
      <w:r w:rsidR="004D0BBE" w:rsidRPr="00FD211F">
        <w:rPr>
          <w:sz w:val="36"/>
          <w:szCs w:val="36"/>
          <w:rtl/>
        </w:rPr>
        <w:t>مع</w:t>
      </w:r>
      <w:r w:rsidR="00E8128F">
        <w:rPr>
          <w:sz w:val="36"/>
          <w:szCs w:val="36"/>
          <w:rtl/>
        </w:rPr>
        <w:t xml:space="preserve"> </w:t>
      </w:r>
      <w:r w:rsidR="004D0BBE" w:rsidRPr="00FD211F">
        <w:rPr>
          <w:sz w:val="36"/>
          <w:szCs w:val="36"/>
          <w:rtl/>
        </w:rPr>
        <w:t>الآي</w:t>
      </w:r>
      <w:r w:rsidR="00EC7EDF" w:rsidRPr="00FD211F">
        <w:rPr>
          <w:sz w:val="36"/>
          <w:szCs w:val="36"/>
          <w:rtl/>
        </w:rPr>
        <w:t>ة</w:t>
      </w:r>
      <w:r w:rsidR="00E8128F">
        <w:rPr>
          <w:sz w:val="36"/>
          <w:szCs w:val="36"/>
          <w:rtl/>
        </w:rPr>
        <w:t xml:space="preserve"> </w:t>
      </w:r>
      <w:r w:rsidR="004D0BBE" w:rsidRPr="00FD211F">
        <w:rPr>
          <w:sz w:val="36"/>
          <w:szCs w:val="36"/>
          <w:rtl/>
        </w:rPr>
        <w:t>ان</w:t>
      </w:r>
      <w:r w:rsidR="00E8128F">
        <w:rPr>
          <w:sz w:val="36"/>
          <w:szCs w:val="36"/>
          <w:rtl/>
        </w:rPr>
        <w:t xml:space="preserve"> </w:t>
      </w:r>
      <w:r w:rsidR="004D0BBE" w:rsidRPr="00FD211F">
        <w:rPr>
          <w:sz w:val="36"/>
          <w:szCs w:val="36"/>
          <w:rtl/>
        </w:rPr>
        <w:t>اريد</w:t>
      </w:r>
      <w:r w:rsidR="00E8128F">
        <w:rPr>
          <w:sz w:val="36"/>
          <w:szCs w:val="36"/>
          <w:rtl/>
        </w:rPr>
        <w:t xml:space="preserve"> </w:t>
      </w:r>
      <w:r w:rsidR="004D0BBE" w:rsidRPr="00FD211F">
        <w:rPr>
          <w:sz w:val="36"/>
          <w:szCs w:val="36"/>
          <w:rtl/>
        </w:rPr>
        <w:t>منها</w:t>
      </w:r>
      <w:r w:rsidR="00E8128F">
        <w:rPr>
          <w:sz w:val="36"/>
          <w:szCs w:val="36"/>
          <w:rtl/>
        </w:rPr>
        <w:t xml:space="preserve"> </w:t>
      </w:r>
      <w:r w:rsidR="004D0BBE" w:rsidRPr="00FD211F">
        <w:rPr>
          <w:sz w:val="36"/>
          <w:szCs w:val="36"/>
          <w:rtl/>
        </w:rPr>
        <w:t>فساد</w:t>
      </w:r>
      <w:r w:rsidR="00E8128F">
        <w:rPr>
          <w:sz w:val="36"/>
          <w:szCs w:val="36"/>
          <w:rtl/>
        </w:rPr>
        <w:t xml:space="preserve"> </w:t>
      </w:r>
      <w:r w:rsidR="004D0BBE" w:rsidRPr="00FD211F">
        <w:rPr>
          <w:sz w:val="36"/>
          <w:szCs w:val="36"/>
          <w:rtl/>
        </w:rPr>
        <w:t>نكاح</w:t>
      </w:r>
      <w:r w:rsidR="00E8128F">
        <w:rPr>
          <w:sz w:val="36"/>
          <w:szCs w:val="36"/>
          <w:rtl/>
        </w:rPr>
        <w:t xml:space="preserve"> </w:t>
      </w:r>
      <w:r w:rsidR="004D0BBE" w:rsidRPr="00FD211F">
        <w:rPr>
          <w:sz w:val="36"/>
          <w:szCs w:val="36"/>
          <w:rtl/>
        </w:rPr>
        <w:t>الجاري</w:t>
      </w:r>
      <w:r w:rsidR="00EC7EDF" w:rsidRPr="00FD211F">
        <w:rPr>
          <w:sz w:val="36"/>
          <w:szCs w:val="36"/>
          <w:rtl/>
        </w:rPr>
        <w:t>ة</w:t>
      </w:r>
      <w:r w:rsidR="00E8128F">
        <w:rPr>
          <w:sz w:val="36"/>
          <w:szCs w:val="36"/>
          <w:rtl/>
        </w:rPr>
        <w:t xml:space="preserve"> </w:t>
      </w:r>
      <w:r w:rsidR="004D0BBE" w:rsidRPr="00FD211F">
        <w:rPr>
          <w:sz w:val="36"/>
          <w:szCs w:val="36"/>
          <w:rtl/>
        </w:rPr>
        <w:t>وبين</w:t>
      </w:r>
      <w:r w:rsidR="00E8128F">
        <w:rPr>
          <w:sz w:val="36"/>
          <w:szCs w:val="36"/>
          <w:rtl/>
        </w:rPr>
        <w:t xml:space="preserve"> </w:t>
      </w:r>
      <w:r w:rsidR="004D0BBE" w:rsidRPr="00FD211F">
        <w:rPr>
          <w:sz w:val="36"/>
          <w:szCs w:val="36"/>
          <w:rtl/>
        </w:rPr>
        <w:t>كونها</w:t>
      </w:r>
      <w:r w:rsidR="00E8128F">
        <w:rPr>
          <w:sz w:val="36"/>
          <w:szCs w:val="36"/>
          <w:rtl/>
        </w:rPr>
        <w:t xml:space="preserve"> </w:t>
      </w:r>
      <w:r w:rsidR="004D0BBE" w:rsidRPr="00FD211F">
        <w:rPr>
          <w:sz w:val="36"/>
          <w:szCs w:val="36"/>
          <w:rtl/>
        </w:rPr>
        <w:t>مخصص</w:t>
      </w:r>
      <w:r w:rsidR="00EC7EDF" w:rsidRPr="00FD211F">
        <w:rPr>
          <w:sz w:val="36"/>
          <w:szCs w:val="36"/>
          <w:rtl/>
        </w:rPr>
        <w:t>ة</w:t>
      </w:r>
      <w:r w:rsidR="00E8128F">
        <w:rPr>
          <w:sz w:val="36"/>
          <w:szCs w:val="36"/>
          <w:rtl/>
        </w:rPr>
        <w:t xml:space="preserve"> </w:t>
      </w:r>
      <w:r w:rsidR="004D0BBE" w:rsidRPr="00FD211F">
        <w:rPr>
          <w:sz w:val="36"/>
          <w:szCs w:val="36"/>
          <w:rtl/>
        </w:rPr>
        <w:t>لاطلاق</w:t>
      </w:r>
      <w:r w:rsidR="00E8128F">
        <w:rPr>
          <w:sz w:val="36"/>
          <w:szCs w:val="36"/>
          <w:rtl/>
        </w:rPr>
        <w:t xml:space="preserve"> </w:t>
      </w:r>
      <w:r w:rsidR="004D0BBE" w:rsidRPr="00FD211F">
        <w:rPr>
          <w:sz w:val="36"/>
          <w:szCs w:val="36"/>
          <w:rtl/>
        </w:rPr>
        <w:t>الآي</w:t>
      </w:r>
      <w:r w:rsidR="00EC7EDF" w:rsidRPr="00FD211F">
        <w:rPr>
          <w:sz w:val="36"/>
          <w:szCs w:val="36"/>
          <w:rtl/>
        </w:rPr>
        <w:t>ة</w:t>
      </w:r>
      <w:r w:rsidR="00E8128F">
        <w:rPr>
          <w:sz w:val="36"/>
          <w:szCs w:val="36"/>
          <w:rtl/>
        </w:rPr>
        <w:t xml:space="preserve"> </w:t>
      </w:r>
      <w:r w:rsidR="004D0BBE" w:rsidRPr="00FD211F">
        <w:rPr>
          <w:sz w:val="36"/>
          <w:szCs w:val="36"/>
          <w:rtl/>
        </w:rPr>
        <w:t>بناء</w:t>
      </w:r>
      <w:r w:rsidR="00E8128F">
        <w:rPr>
          <w:sz w:val="36"/>
          <w:szCs w:val="36"/>
          <w:rtl/>
        </w:rPr>
        <w:t xml:space="preserve"> </w:t>
      </w:r>
      <w:r w:rsidR="004D0BBE" w:rsidRPr="00FD211F">
        <w:rPr>
          <w:sz w:val="36"/>
          <w:szCs w:val="36"/>
          <w:rtl/>
        </w:rPr>
        <w:t>على</w:t>
      </w:r>
      <w:r w:rsidR="00E8128F">
        <w:rPr>
          <w:sz w:val="36"/>
          <w:szCs w:val="36"/>
          <w:rtl/>
        </w:rPr>
        <w:t xml:space="preserve"> </w:t>
      </w:r>
      <w:r w:rsidR="004D0BBE" w:rsidRPr="00FD211F">
        <w:rPr>
          <w:sz w:val="36"/>
          <w:szCs w:val="36"/>
          <w:rtl/>
        </w:rPr>
        <w:t>كون</w:t>
      </w:r>
      <w:r w:rsidR="00E8128F">
        <w:rPr>
          <w:sz w:val="36"/>
          <w:szCs w:val="36"/>
          <w:rtl/>
        </w:rPr>
        <w:t xml:space="preserve"> </w:t>
      </w:r>
      <w:r w:rsidR="004D0BBE" w:rsidRPr="00FD211F">
        <w:rPr>
          <w:sz w:val="36"/>
          <w:szCs w:val="36"/>
          <w:rtl/>
        </w:rPr>
        <w:t>المراد</w:t>
      </w:r>
      <w:r w:rsidR="00E8128F">
        <w:rPr>
          <w:sz w:val="36"/>
          <w:szCs w:val="36"/>
          <w:rtl/>
        </w:rPr>
        <w:t xml:space="preserve"> </w:t>
      </w:r>
      <w:r w:rsidR="004D0BBE" w:rsidRPr="00FD211F">
        <w:rPr>
          <w:sz w:val="36"/>
          <w:szCs w:val="36"/>
          <w:rtl/>
        </w:rPr>
        <w:t>بها</w:t>
      </w:r>
      <w:r w:rsidR="00E8128F">
        <w:rPr>
          <w:sz w:val="36"/>
          <w:szCs w:val="36"/>
          <w:rtl/>
        </w:rPr>
        <w:t xml:space="preserve"> </w:t>
      </w:r>
      <w:r w:rsidR="004D0BBE" w:rsidRPr="00FD211F">
        <w:rPr>
          <w:sz w:val="36"/>
          <w:szCs w:val="36"/>
          <w:rtl/>
        </w:rPr>
        <w:t>فساد</w:t>
      </w:r>
      <w:r w:rsidR="00E8128F">
        <w:rPr>
          <w:sz w:val="36"/>
          <w:szCs w:val="36"/>
          <w:rtl/>
        </w:rPr>
        <w:t xml:space="preserve"> </w:t>
      </w:r>
      <w:r w:rsidR="004D0BBE" w:rsidRPr="00FD211F">
        <w:rPr>
          <w:sz w:val="36"/>
          <w:szCs w:val="36"/>
          <w:rtl/>
        </w:rPr>
        <w:t>نكاح</w:t>
      </w:r>
      <w:r w:rsidR="00E8128F">
        <w:rPr>
          <w:sz w:val="36"/>
          <w:szCs w:val="36"/>
          <w:rtl/>
        </w:rPr>
        <w:t xml:space="preserve"> </w:t>
      </w:r>
      <w:r w:rsidR="004D0BBE" w:rsidRPr="00FD211F">
        <w:rPr>
          <w:sz w:val="36"/>
          <w:szCs w:val="36"/>
          <w:rtl/>
        </w:rPr>
        <w:t>المرأ</w:t>
      </w:r>
      <w:r w:rsidR="00EC7EDF" w:rsidRPr="00FD211F">
        <w:rPr>
          <w:sz w:val="36"/>
          <w:szCs w:val="36"/>
          <w:rtl/>
        </w:rPr>
        <w:t>ة</w:t>
      </w:r>
      <w:r w:rsidR="00603323" w:rsidRPr="00FD211F">
        <w:rPr>
          <w:sz w:val="36"/>
          <w:szCs w:val="36"/>
          <w:rtl/>
        </w:rPr>
        <w:t>،</w:t>
      </w:r>
      <w:r w:rsidR="00E8128F">
        <w:rPr>
          <w:sz w:val="36"/>
          <w:szCs w:val="36"/>
          <w:rtl/>
        </w:rPr>
        <w:t xml:space="preserve"> </w:t>
      </w:r>
      <w:r w:rsidR="004D0BBE" w:rsidRPr="00FD211F">
        <w:rPr>
          <w:sz w:val="36"/>
          <w:szCs w:val="36"/>
          <w:rtl/>
        </w:rPr>
        <w:t>ومع</w:t>
      </w:r>
      <w:r w:rsidR="00E8128F">
        <w:rPr>
          <w:sz w:val="36"/>
          <w:szCs w:val="36"/>
          <w:rtl/>
        </w:rPr>
        <w:t xml:space="preserve"> </w:t>
      </w:r>
      <w:r w:rsidR="004D0BBE" w:rsidRPr="00FD211F">
        <w:rPr>
          <w:sz w:val="36"/>
          <w:szCs w:val="36"/>
          <w:rtl/>
        </w:rPr>
        <w:t>هذا</w:t>
      </w:r>
      <w:r w:rsidR="00E8128F">
        <w:rPr>
          <w:sz w:val="36"/>
          <w:szCs w:val="36"/>
          <w:rtl/>
        </w:rPr>
        <w:t xml:space="preserve"> </w:t>
      </w:r>
      <w:r w:rsidR="004D0BBE" w:rsidRPr="00FD211F">
        <w:rPr>
          <w:sz w:val="36"/>
          <w:szCs w:val="36"/>
          <w:rtl/>
        </w:rPr>
        <w:t>الاحتمال</w:t>
      </w:r>
      <w:r w:rsidR="00E8128F">
        <w:rPr>
          <w:sz w:val="36"/>
          <w:szCs w:val="36"/>
          <w:rtl/>
        </w:rPr>
        <w:t xml:space="preserve"> </w:t>
      </w:r>
      <w:r w:rsidR="004D0BBE" w:rsidRPr="00FD211F">
        <w:rPr>
          <w:sz w:val="36"/>
          <w:szCs w:val="36"/>
          <w:rtl/>
        </w:rPr>
        <w:t>فلايمكن</w:t>
      </w:r>
      <w:r w:rsidR="00E8128F">
        <w:rPr>
          <w:sz w:val="36"/>
          <w:szCs w:val="36"/>
          <w:rtl/>
        </w:rPr>
        <w:t xml:space="preserve"> </w:t>
      </w:r>
      <w:r w:rsidR="004D0BBE" w:rsidRPr="00FD211F">
        <w:rPr>
          <w:sz w:val="36"/>
          <w:szCs w:val="36"/>
          <w:rtl/>
        </w:rPr>
        <w:t>العمل</w:t>
      </w:r>
      <w:r w:rsidR="00E8128F">
        <w:rPr>
          <w:sz w:val="36"/>
          <w:szCs w:val="36"/>
          <w:rtl/>
        </w:rPr>
        <w:t xml:space="preserve"> </w:t>
      </w:r>
      <w:r w:rsidR="004D0BBE" w:rsidRPr="00FD211F">
        <w:rPr>
          <w:sz w:val="36"/>
          <w:szCs w:val="36"/>
          <w:rtl/>
        </w:rPr>
        <w:t>بالصحيح</w:t>
      </w:r>
      <w:r w:rsidR="00EC7EDF" w:rsidRPr="00FD211F">
        <w:rPr>
          <w:sz w:val="36"/>
          <w:szCs w:val="36"/>
          <w:rtl/>
        </w:rPr>
        <w:t>ة</w:t>
      </w:r>
      <w:r w:rsidR="00E8128F">
        <w:rPr>
          <w:sz w:val="36"/>
          <w:szCs w:val="36"/>
          <w:rtl/>
        </w:rPr>
        <w:t xml:space="preserve"> </w:t>
      </w:r>
      <w:r w:rsidR="004D0BBE" w:rsidRPr="00FD211F">
        <w:rPr>
          <w:sz w:val="36"/>
          <w:szCs w:val="36"/>
          <w:rtl/>
        </w:rPr>
        <w:t>فيما</w:t>
      </w:r>
      <w:r w:rsidR="00E8128F">
        <w:rPr>
          <w:sz w:val="36"/>
          <w:szCs w:val="36"/>
          <w:rtl/>
        </w:rPr>
        <w:t xml:space="preserve"> </w:t>
      </w:r>
      <w:r w:rsidR="004D0BBE" w:rsidRPr="00FD211F">
        <w:rPr>
          <w:sz w:val="36"/>
          <w:szCs w:val="36"/>
          <w:rtl/>
        </w:rPr>
        <w:t>هو</w:t>
      </w:r>
      <w:r w:rsidR="00E8128F">
        <w:rPr>
          <w:sz w:val="36"/>
          <w:szCs w:val="36"/>
          <w:rtl/>
        </w:rPr>
        <w:t xml:space="preserve"> </w:t>
      </w:r>
      <w:r w:rsidR="004D0BBE" w:rsidRPr="00FD211F">
        <w:rPr>
          <w:sz w:val="36"/>
          <w:szCs w:val="36"/>
          <w:rtl/>
        </w:rPr>
        <w:t>مخالف</w:t>
      </w:r>
      <w:r w:rsidR="00E8128F">
        <w:rPr>
          <w:sz w:val="36"/>
          <w:szCs w:val="36"/>
          <w:rtl/>
        </w:rPr>
        <w:t xml:space="preserve"> </w:t>
      </w:r>
      <w:r w:rsidR="004D0BBE" w:rsidRPr="00FD211F">
        <w:rPr>
          <w:sz w:val="36"/>
          <w:szCs w:val="36"/>
          <w:rtl/>
        </w:rPr>
        <w:t>لمقتضى</w:t>
      </w:r>
      <w:r w:rsidR="00E8128F">
        <w:rPr>
          <w:sz w:val="36"/>
          <w:szCs w:val="36"/>
          <w:rtl/>
        </w:rPr>
        <w:t xml:space="preserve"> </w:t>
      </w:r>
      <w:r w:rsidR="004D0BBE" w:rsidRPr="00FD211F">
        <w:rPr>
          <w:sz w:val="36"/>
          <w:szCs w:val="36"/>
          <w:rtl/>
        </w:rPr>
        <w:t>اطلاق</w:t>
      </w:r>
      <w:r w:rsidR="00E8128F">
        <w:rPr>
          <w:sz w:val="36"/>
          <w:szCs w:val="36"/>
          <w:rtl/>
        </w:rPr>
        <w:t xml:space="preserve"> </w:t>
      </w:r>
      <w:r w:rsidR="004D0BBE" w:rsidRPr="00FD211F">
        <w:rPr>
          <w:sz w:val="36"/>
          <w:szCs w:val="36"/>
          <w:rtl/>
        </w:rPr>
        <w:t>الآي</w:t>
      </w:r>
      <w:r w:rsidR="00EC7EDF" w:rsidRPr="00FD211F">
        <w:rPr>
          <w:sz w:val="36"/>
          <w:szCs w:val="36"/>
          <w:rtl/>
        </w:rPr>
        <w:t>ة</w:t>
      </w:r>
      <w:r w:rsidR="00A61BAE" w:rsidRPr="00FD211F">
        <w:rPr>
          <w:sz w:val="36"/>
          <w:szCs w:val="36"/>
          <w:rtl/>
        </w:rPr>
        <w:t>.</w:t>
      </w:r>
    </w:p>
    <w:p w14:paraId="05D9B75B" w14:textId="77777777" w:rsidR="00D46BF9" w:rsidRPr="00FD211F" w:rsidRDefault="004D0BBE" w:rsidP="009C58C8">
      <w:pPr>
        <w:ind w:left="0" w:firstLine="227"/>
        <w:jc w:val="both"/>
        <w:rPr>
          <w:sz w:val="36"/>
          <w:szCs w:val="36"/>
          <w:rtl/>
        </w:rPr>
      </w:pPr>
      <w:r w:rsidRPr="00FD211F">
        <w:rPr>
          <w:b/>
          <w:bCs/>
          <w:sz w:val="36"/>
          <w:szCs w:val="36"/>
          <w:rtl/>
        </w:rPr>
        <w:t>الرواي</w:t>
      </w:r>
      <w:r w:rsidR="00EC7EDF" w:rsidRPr="00FD211F">
        <w:rPr>
          <w:b/>
          <w:bCs/>
          <w:sz w:val="36"/>
          <w:szCs w:val="36"/>
          <w:rtl/>
        </w:rPr>
        <w:t>ة</w:t>
      </w:r>
      <w:r w:rsidR="00E8128F">
        <w:rPr>
          <w:b/>
          <w:bCs/>
          <w:sz w:val="36"/>
          <w:szCs w:val="36"/>
          <w:rtl/>
        </w:rPr>
        <w:t xml:space="preserve"> </w:t>
      </w: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Pr="00FD211F">
        <w:rPr>
          <w:sz w:val="36"/>
          <w:szCs w:val="36"/>
          <w:rtl/>
        </w:rPr>
        <w:t>صحيح</w:t>
      </w:r>
      <w:r w:rsidR="00EC7EDF" w:rsidRPr="00FD211F">
        <w:rPr>
          <w:sz w:val="36"/>
          <w:szCs w:val="36"/>
          <w:rtl/>
        </w:rPr>
        <w:t>ة</w:t>
      </w:r>
      <w:r w:rsidR="00E8128F">
        <w:rPr>
          <w:sz w:val="36"/>
          <w:szCs w:val="36"/>
          <w:rtl/>
        </w:rPr>
        <w:t xml:space="preserve"> </w:t>
      </w:r>
      <w:r w:rsidRPr="00FD211F">
        <w:rPr>
          <w:sz w:val="36"/>
          <w:szCs w:val="36"/>
          <w:rtl/>
        </w:rPr>
        <w:t>عبدالله</w:t>
      </w:r>
      <w:r w:rsidR="00E8128F">
        <w:rPr>
          <w:sz w:val="36"/>
          <w:szCs w:val="36"/>
          <w:rtl/>
        </w:rPr>
        <w:t xml:space="preserve"> </w:t>
      </w:r>
      <w:r w:rsidRPr="00FD211F">
        <w:rPr>
          <w:sz w:val="36"/>
          <w:szCs w:val="36"/>
          <w:rtl/>
        </w:rPr>
        <w:t>بن</w:t>
      </w:r>
      <w:r w:rsidR="00E8128F">
        <w:rPr>
          <w:sz w:val="36"/>
          <w:szCs w:val="36"/>
          <w:rtl/>
        </w:rPr>
        <w:t xml:space="preserve"> </w:t>
      </w:r>
      <w:r w:rsidRPr="00FD211F">
        <w:rPr>
          <w:sz w:val="36"/>
          <w:szCs w:val="36"/>
          <w:rtl/>
        </w:rPr>
        <w:t>سنان</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ابي</w:t>
      </w:r>
      <w:r w:rsidR="00E8128F">
        <w:rPr>
          <w:sz w:val="36"/>
          <w:szCs w:val="36"/>
          <w:rtl/>
        </w:rPr>
        <w:t xml:space="preserve"> </w:t>
      </w:r>
      <w:r w:rsidRPr="00FD211F">
        <w:rPr>
          <w:sz w:val="36"/>
          <w:szCs w:val="36"/>
          <w:rtl/>
        </w:rPr>
        <w:t>عبدالله</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رجل</w:t>
      </w:r>
      <w:r w:rsidR="00E8128F">
        <w:rPr>
          <w:sz w:val="36"/>
          <w:szCs w:val="36"/>
          <w:rtl/>
        </w:rPr>
        <w:t xml:space="preserve"> </w:t>
      </w:r>
      <w:r w:rsidRPr="00FD211F">
        <w:rPr>
          <w:sz w:val="36"/>
          <w:szCs w:val="36"/>
          <w:rtl/>
        </w:rPr>
        <w:t>تزوج</w:t>
      </w:r>
      <w:r w:rsidR="00E8128F">
        <w:rPr>
          <w:sz w:val="36"/>
          <w:szCs w:val="36"/>
          <w:rtl/>
        </w:rPr>
        <w:t xml:space="preserve"> </w:t>
      </w:r>
      <w:r w:rsidRPr="00FD211F">
        <w:rPr>
          <w:sz w:val="36"/>
          <w:szCs w:val="36"/>
          <w:rtl/>
        </w:rPr>
        <w:t>بجاري</w:t>
      </w:r>
      <w:r w:rsidR="00EC7EDF" w:rsidRPr="00FD211F">
        <w:rPr>
          <w:sz w:val="36"/>
          <w:szCs w:val="36"/>
          <w:rtl/>
        </w:rPr>
        <w:t>ة</w:t>
      </w:r>
      <w:r w:rsidR="00E8128F">
        <w:rPr>
          <w:sz w:val="36"/>
          <w:szCs w:val="36"/>
          <w:rtl/>
        </w:rPr>
        <w:t xml:space="preserve"> </w:t>
      </w:r>
      <w:r w:rsidRPr="00FD211F">
        <w:rPr>
          <w:sz w:val="36"/>
          <w:szCs w:val="36"/>
          <w:rtl/>
        </w:rPr>
        <w:t>فارضعته</w:t>
      </w:r>
      <w:r w:rsidR="00C95AF5" w:rsidRPr="00FD211F">
        <w:rPr>
          <w:sz w:val="36"/>
          <w:szCs w:val="36"/>
          <w:rtl/>
        </w:rPr>
        <w:t>ا</w:t>
      </w:r>
      <w:r w:rsidR="00E8128F">
        <w:rPr>
          <w:sz w:val="36"/>
          <w:szCs w:val="36"/>
          <w:rtl/>
        </w:rPr>
        <w:t xml:space="preserve"> </w:t>
      </w:r>
      <w:r w:rsidRPr="00FD211F">
        <w:rPr>
          <w:sz w:val="36"/>
          <w:szCs w:val="36"/>
          <w:rtl/>
        </w:rPr>
        <w:t>امراته</w:t>
      </w:r>
      <w:r w:rsidR="00E8128F">
        <w:rPr>
          <w:sz w:val="36"/>
          <w:szCs w:val="36"/>
          <w:rtl/>
        </w:rPr>
        <w:t xml:space="preserve"> </w:t>
      </w:r>
      <w:r w:rsidRPr="00FD211F">
        <w:rPr>
          <w:sz w:val="36"/>
          <w:szCs w:val="36"/>
          <w:rtl/>
        </w:rPr>
        <w:t>وام</w:t>
      </w:r>
      <w:r w:rsidR="00E8128F">
        <w:rPr>
          <w:sz w:val="36"/>
          <w:szCs w:val="36"/>
          <w:rtl/>
        </w:rPr>
        <w:t xml:space="preserve"> </w:t>
      </w:r>
      <w:r w:rsidRPr="00FD211F">
        <w:rPr>
          <w:sz w:val="36"/>
          <w:szCs w:val="36"/>
          <w:rtl/>
        </w:rPr>
        <w:t>ولده</w:t>
      </w:r>
      <w:r w:rsidR="00E8128F">
        <w:rPr>
          <w:sz w:val="36"/>
          <w:szCs w:val="36"/>
          <w:rtl/>
        </w:rPr>
        <w:t xml:space="preserve"> </w:t>
      </w:r>
      <w:r w:rsidRPr="00FD211F">
        <w:rPr>
          <w:sz w:val="36"/>
          <w:szCs w:val="36"/>
          <w:rtl/>
        </w:rPr>
        <w:t>قال</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Pr="00FD211F">
        <w:rPr>
          <w:sz w:val="36"/>
          <w:szCs w:val="36"/>
          <w:rtl/>
        </w:rPr>
        <w:t>تحرم</w:t>
      </w:r>
      <w:r w:rsidR="00E8128F">
        <w:rPr>
          <w:sz w:val="36"/>
          <w:szCs w:val="36"/>
          <w:rtl/>
        </w:rPr>
        <w:t xml:space="preserve"> </w:t>
      </w:r>
      <w:r w:rsidRPr="00FD211F">
        <w:rPr>
          <w:sz w:val="36"/>
          <w:szCs w:val="36"/>
          <w:rtl/>
        </w:rPr>
        <w:t>عليه</w:t>
      </w:r>
      <w:r w:rsidR="009C58C8" w:rsidRPr="00FD211F">
        <w:rPr>
          <w:rStyle w:val="a6"/>
          <w:sz w:val="36"/>
          <w:szCs w:val="36"/>
          <w:rtl/>
        </w:rPr>
        <w:t>(</w:t>
      </w:r>
      <w:r w:rsidR="009C58C8" w:rsidRPr="00FD211F">
        <w:rPr>
          <w:rStyle w:val="a6"/>
          <w:sz w:val="36"/>
          <w:szCs w:val="36"/>
          <w:rtl/>
        </w:rPr>
        <w:footnoteReference w:id="519"/>
      </w:r>
      <w:r w:rsidR="009C58C8" w:rsidRPr="00FD211F">
        <w:rPr>
          <w:rStyle w:val="a6"/>
          <w:sz w:val="36"/>
          <w:szCs w:val="36"/>
          <w:rtl/>
        </w:rPr>
        <w:t>)</w:t>
      </w:r>
      <w:r w:rsidR="00603323" w:rsidRPr="00FD211F">
        <w:rPr>
          <w:sz w:val="36"/>
          <w:szCs w:val="36"/>
          <w:rtl/>
        </w:rPr>
        <w:t>،</w:t>
      </w:r>
      <w:r w:rsidR="00E8128F">
        <w:rPr>
          <w:sz w:val="36"/>
          <w:szCs w:val="36"/>
          <w:rtl/>
        </w:rPr>
        <w:t xml:space="preserve"> </w:t>
      </w:r>
      <w:r w:rsidRPr="00FD211F">
        <w:rPr>
          <w:sz w:val="36"/>
          <w:szCs w:val="36"/>
          <w:rtl/>
        </w:rPr>
        <w:t>والظاهر</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المراد</w:t>
      </w:r>
      <w:r w:rsidR="00E8128F">
        <w:rPr>
          <w:sz w:val="36"/>
          <w:szCs w:val="36"/>
          <w:rtl/>
        </w:rPr>
        <w:t xml:space="preserve"> </w:t>
      </w:r>
      <w:r w:rsidRPr="00FD211F">
        <w:rPr>
          <w:sz w:val="36"/>
          <w:szCs w:val="36"/>
          <w:rtl/>
        </w:rPr>
        <w:t>بها</w:t>
      </w:r>
      <w:r w:rsidR="00E8128F">
        <w:rPr>
          <w:sz w:val="36"/>
          <w:szCs w:val="36"/>
          <w:rtl/>
        </w:rPr>
        <w:t xml:space="preserve"> </w:t>
      </w:r>
      <w:r w:rsidRPr="00FD211F">
        <w:rPr>
          <w:sz w:val="36"/>
          <w:szCs w:val="36"/>
          <w:rtl/>
        </w:rPr>
        <w:t>حرم</w:t>
      </w:r>
      <w:r w:rsidR="00EC7EDF" w:rsidRPr="00FD211F">
        <w:rPr>
          <w:sz w:val="36"/>
          <w:szCs w:val="36"/>
          <w:rtl/>
        </w:rPr>
        <w:t>ة</w:t>
      </w:r>
      <w:r w:rsidR="00E8128F">
        <w:rPr>
          <w:sz w:val="36"/>
          <w:szCs w:val="36"/>
          <w:rtl/>
        </w:rPr>
        <w:t xml:space="preserve"> </w:t>
      </w:r>
      <w:r w:rsidRPr="00FD211F">
        <w:rPr>
          <w:sz w:val="36"/>
          <w:szCs w:val="36"/>
          <w:rtl/>
        </w:rPr>
        <w:t>الجاري</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الرجل</w:t>
      </w:r>
      <w:r w:rsidR="00E8128F">
        <w:rPr>
          <w:sz w:val="36"/>
          <w:szCs w:val="36"/>
          <w:rtl/>
        </w:rPr>
        <w:t xml:space="preserve"> </w:t>
      </w:r>
      <w:r w:rsidR="00D46BF9" w:rsidRPr="00FD211F">
        <w:rPr>
          <w:sz w:val="36"/>
          <w:szCs w:val="36"/>
          <w:rtl/>
        </w:rPr>
        <w:t>فتكون</w:t>
      </w:r>
      <w:r w:rsidR="00E8128F">
        <w:rPr>
          <w:sz w:val="36"/>
          <w:szCs w:val="36"/>
          <w:rtl/>
        </w:rPr>
        <w:t xml:space="preserve"> </w:t>
      </w:r>
      <w:r w:rsidR="00D46BF9" w:rsidRPr="00FD211F">
        <w:rPr>
          <w:sz w:val="36"/>
          <w:szCs w:val="36"/>
          <w:rtl/>
        </w:rPr>
        <w:t>الصحيح</w:t>
      </w:r>
      <w:r w:rsidR="00EC7EDF" w:rsidRPr="00FD211F">
        <w:rPr>
          <w:sz w:val="36"/>
          <w:szCs w:val="36"/>
          <w:rtl/>
        </w:rPr>
        <w:t>ة</w:t>
      </w:r>
      <w:r w:rsidR="00E8128F">
        <w:rPr>
          <w:sz w:val="36"/>
          <w:szCs w:val="36"/>
          <w:rtl/>
        </w:rPr>
        <w:t xml:space="preserve"> </w:t>
      </w:r>
      <w:r w:rsidR="00D46BF9" w:rsidRPr="00FD211F">
        <w:rPr>
          <w:sz w:val="36"/>
          <w:szCs w:val="36"/>
          <w:rtl/>
        </w:rPr>
        <w:t>مطابق</w:t>
      </w:r>
      <w:r w:rsidR="00EC7EDF" w:rsidRPr="00FD211F">
        <w:rPr>
          <w:sz w:val="36"/>
          <w:szCs w:val="36"/>
          <w:rtl/>
        </w:rPr>
        <w:t>ة</w:t>
      </w:r>
      <w:r w:rsidR="00E8128F">
        <w:rPr>
          <w:sz w:val="36"/>
          <w:szCs w:val="36"/>
          <w:rtl/>
        </w:rPr>
        <w:t xml:space="preserve"> </w:t>
      </w:r>
      <w:r w:rsidR="00D46BF9" w:rsidRPr="00FD211F">
        <w:rPr>
          <w:sz w:val="36"/>
          <w:szCs w:val="36"/>
          <w:rtl/>
        </w:rPr>
        <w:t>لمقتضى</w:t>
      </w:r>
      <w:r w:rsidR="00E8128F">
        <w:rPr>
          <w:sz w:val="36"/>
          <w:szCs w:val="36"/>
          <w:rtl/>
        </w:rPr>
        <w:t xml:space="preserve"> </w:t>
      </w:r>
      <w:r w:rsidR="00D46BF9" w:rsidRPr="00FD211F">
        <w:rPr>
          <w:sz w:val="36"/>
          <w:szCs w:val="36"/>
          <w:rtl/>
        </w:rPr>
        <w:t>القاعد</w:t>
      </w:r>
      <w:r w:rsidR="00EC7EDF" w:rsidRPr="00FD211F">
        <w:rPr>
          <w:sz w:val="36"/>
          <w:szCs w:val="36"/>
          <w:rtl/>
        </w:rPr>
        <w:t>ة</w:t>
      </w:r>
      <w:r w:rsidR="00A61BAE" w:rsidRPr="00FD211F">
        <w:rPr>
          <w:sz w:val="36"/>
          <w:szCs w:val="36"/>
          <w:rtl/>
        </w:rPr>
        <w:t>.</w:t>
      </w:r>
    </w:p>
    <w:p w14:paraId="0C5BE1F2" w14:textId="77777777" w:rsidR="00D46BF9" w:rsidRPr="00FD211F" w:rsidRDefault="00D46BF9" w:rsidP="009C58C8">
      <w:pPr>
        <w:ind w:left="0" w:firstLine="227"/>
        <w:jc w:val="both"/>
        <w:rPr>
          <w:sz w:val="36"/>
          <w:szCs w:val="36"/>
          <w:rtl/>
        </w:rPr>
      </w:pPr>
      <w:r w:rsidRPr="00FD211F">
        <w:rPr>
          <w:sz w:val="36"/>
          <w:szCs w:val="36"/>
          <w:rtl/>
        </w:rPr>
        <w:t>والحاصل</w:t>
      </w:r>
      <w:r w:rsidR="00E8128F">
        <w:rPr>
          <w:sz w:val="36"/>
          <w:szCs w:val="36"/>
          <w:rtl/>
        </w:rPr>
        <w:t xml:space="preserve"> </w:t>
      </w:r>
      <w:r w:rsidRPr="00FD211F">
        <w:rPr>
          <w:sz w:val="36"/>
          <w:szCs w:val="36"/>
          <w:rtl/>
        </w:rPr>
        <w:t>انه</w:t>
      </w:r>
      <w:r w:rsidR="00E8128F">
        <w:rPr>
          <w:sz w:val="36"/>
          <w:szCs w:val="36"/>
          <w:rtl/>
        </w:rPr>
        <w:t xml:space="preserve"> </w:t>
      </w:r>
      <w:r w:rsidR="008D7B3D" w:rsidRPr="00FD211F">
        <w:rPr>
          <w:sz w:val="36"/>
          <w:szCs w:val="36"/>
          <w:rtl/>
        </w:rPr>
        <w:t>لم‌</w:t>
      </w:r>
      <w:r w:rsidRPr="00FD211F">
        <w:rPr>
          <w:sz w:val="36"/>
          <w:szCs w:val="36"/>
          <w:rtl/>
        </w:rPr>
        <w:t>يتم</w:t>
      </w:r>
      <w:r w:rsidR="00E8128F">
        <w:rPr>
          <w:sz w:val="36"/>
          <w:szCs w:val="36"/>
          <w:rtl/>
        </w:rPr>
        <w:t xml:space="preserve"> </w:t>
      </w:r>
      <w:r w:rsidRPr="00FD211F">
        <w:rPr>
          <w:sz w:val="36"/>
          <w:szCs w:val="36"/>
          <w:rtl/>
        </w:rPr>
        <w:t>دليل</w:t>
      </w:r>
      <w:r w:rsidR="00E8128F">
        <w:rPr>
          <w:sz w:val="36"/>
          <w:szCs w:val="36"/>
          <w:rtl/>
        </w:rPr>
        <w:t xml:space="preserve"> </w:t>
      </w:r>
      <w:r w:rsidRPr="00FD211F">
        <w:rPr>
          <w:sz w:val="36"/>
          <w:szCs w:val="36"/>
          <w:rtl/>
        </w:rPr>
        <w:t>واضح</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الخروج</w:t>
      </w:r>
      <w:r w:rsidR="00E8128F">
        <w:rPr>
          <w:sz w:val="36"/>
          <w:szCs w:val="36"/>
          <w:rtl/>
        </w:rPr>
        <w:t xml:space="preserve"> </w:t>
      </w:r>
      <w:r w:rsidRPr="00FD211F">
        <w:rPr>
          <w:sz w:val="36"/>
          <w:szCs w:val="36"/>
          <w:rtl/>
        </w:rPr>
        <w:t>عما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مقتضى</w:t>
      </w:r>
      <w:r w:rsidR="00E8128F">
        <w:rPr>
          <w:sz w:val="36"/>
          <w:szCs w:val="36"/>
          <w:rtl/>
        </w:rPr>
        <w:t xml:space="preserve"> </w:t>
      </w:r>
      <w:r w:rsidR="00C95AF5" w:rsidRPr="00FD211F">
        <w:rPr>
          <w:sz w:val="36"/>
          <w:szCs w:val="36"/>
          <w:rtl/>
        </w:rPr>
        <w:t>القواعد</w:t>
      </w:r>
      <w:r w:rsidR="00E8128F">
        <w:rPr>
          <w:sz w:val="36"/>
          <w:szCs w:val="36"/>
          <w:rtl/>
        </w:rPr>
        <w:t xml:space="preserve"> </w:t>
      </w:r>
      <w:r w:rsidR="00C95AF5" w:rsidRPr="00FD211F">
        <w:rPr>
          <w:sz w:val="36"/>
          <w:szCs w:val="36"/>
          <w:rtl/>
        </w:rPr>
        <w:t>العام</w:t>
      </w:r>
      <w:r w:rsidR="00EC7EDF" w:rsidRPr="00FD211F">
        <w:rPr>
          <w:sz w:val="36"/>
          <w:szCs w:val="36"/>
          <w:rtl/>
        </w:rPr>
        <w:t>ة</w:t>
      </w:r>
      <w:r w:rsidR="00A61BAE" w:rsidRPr="00FD211F">
        <w:rPr>
          <w:sz w:val="36"/>
          <w:szCs w:val="36"/>
          <w:rtl/>
        </w:rPr>
        <w:t>.</w:t>
      </w:r>
    </w:p>
    <w:p w14:paraId="3BF7CA1F" w14:textId="77777777" w:rsidR="009867AE" w:rsidRPr="00FD211F" w:rsidRDefault="009867AE" w:rsidP="009C58C8">
      <w:pPr>
        <w:pStyle w:val="3"/>
        <w:ind w:firstLine="227"/>
        <w:jc w:val="both"/>
        <w:rPr>
          <w:rtl/>
        </w:rPr>
      </w:pPr>
      <w:bookmarkStart w:id="431" w:name="درس106"/>
      <w:bookmarkStart w:id="432" w:name="_Toc192092943"/>
      <w:bookmarkStart w:id="433" w:name="_Toc223890423"/>
      <w:bookmarkEnd w:id="431"/>
      <w:r w:rsidRPr="00FD211F">
        <w:rPr>
          <w:rtl/>
        </w:rPr>
        <w:t>هل</w:t>
      </w:r>
      <w:r w:rsidR="00E8128F">
        <w:rPr>
          <w:rtl/>
        </w:rPr>
        <w:t xml:space="preserve"> </w:t>
      </w:r>
      <w:r w:rsidRPr="00FD211F">
        <w:rPr>
          <w:rtl/>
        </w:rPr>
        <w:t>يجري</w:t>
      </w:r>
      <w:r w:rsidR="00E8128F">
        <w:rPr>
          <w:rtl/>
        </w:rPr>
        <w:t xml:space="preserve"> </w:t>
      </w:r>
      <w:r w:rsidRPr="00FD211F">
        <w:rPr>
          <w:rtl/>
        </w:rPr>
        <w:t>النزاع</w:t>
      </w:r>
      <w:r w:rsidR="00E8128F">
        <w:rPr>
          <w:rtl/>
        </w:rPr>
        <w:t xml:space="preserve"> </w:t>
      </w:r>
      <w:r w:rsidRPr="00FD211F">
        <w:rPr>
          <w:rtl/>
        </w:rPr>
        <w:t>في</w:t>
      </w:r>
      <w:r w:rsidR="00E8128F">
        <w:rPr>
          <w:rtl/>
        </w:rPr>
        <w:t xml:space="preserve"> </w:t>
      </w:r>
      <w:r w:rsidRPr="00FD211F">
        <w:rPr>
          <w:rtl/>
        </w:rPr>
        <w:t>العناوين</w:t>
      </w:r>
      <w:r w:rsidR="00E8128F">
        <w:rPr>
          <w:rtl/>
        </w:rPr>
        <w:t xml:space="preserve"> </w:t>
      </w:r>
      <w:r w:rsidRPr="00FD211F">
        <w:rPr>
          <w:rtl/>
        </w:rPr>
        <w:t>الذاتي</w:t>
      </w:r>
      <w:r w:rsidR="00EC7EDF" w:rsidRPr="00FD211F">
        <w:rPr>
          <w:rtl/>
        </w:rPr>
        <w:t>ة</w:t>
      </w:r>
      <w:r w:rsidR="00E8128F">
        <w:rPr>
          <w:rtl/>
        </w:rPr>
        <w:t xml:space="preserve"> </w:t>
      </w:r>
      <w:r w:rsidRPr="00FD211F">
        <w:rPr>
          <w:rtl/>
        </w:rPr>
        <w:t>ام</w:t>
      </w:r>
      <w:r w:rsidR="00E8128F">
        <w:rPr>
          <w:rtl/>
        </w:rPr>
        <w:t xml:space="preserve"> </w:t>
      </w:r>
      <w:r w:rsidRPr="00FD211F">
        <w:rPr>
          <w:rtl/>
        </w:rPr>
        <w:t>لا؟</w:t>
      </w:r>
      <w:bookmarkEnd w:id="432"/>
      <w:bookmarkEnd w:id="433"/>
    </w:p>
    <w:p w14:paraId="2C11CC7F" w14:textId="77777777" w:rsidR="00EE705A" w:rsidRPr="00FD211F" w:rsidRDefault="00214C82"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ذكر</w:t>
      </w:r>
      <w:r w:rsidR="00E8128F">
        <w:rPr>
          <w:sz w:val="36"/>
          <w:szCs w:val="36"/>
          <w:rtl/>
        </w:rPr>
        <w:t xml:space="preserve"> </w:t>
      </w:r>
      <w:r w:rsidR="00EE705A" w:rsidRPr="00FD211F">
        <w:rPr>
          <w:sz w:val="36"/>
          <w:szCs w:val="36"/>
          <w:rtl/>
        </w:rPr>
        <w:t>صاحب</w:t>
      </w:r>
      <w:r w:rsidR="00E8128F">
        <w:rPr>
          <w:sz w:val="36"/>
          <w:szCs w:val="36"/>
          <w:rtl/>
        </w:rPr>
        <w:t xml:space="preserve"> </w:t>
      </w:r>
      <w:r w:rsidR="00EE705A" w:rsidRPr="00FD211F">
        <w:rPr>
          <w:sz w:val="36"/>
          <w:szCs w:val="36"/>
          <w:rtl/>
        </w:rPr>
        <w:t>الكفاي</w:t>
      </w:r>
      <w:r w:rsidR="00EC7EDF" w:rsidRPr="00FD211F">
        <w:rPr>
          <w:sz w:val="36"/>
          <w:szCs w:val="36"/>
          <w:rtl/>
        </w:rPr>
        <w:t>ة</w:t>
      </w:r>
      <w:r w:rsidR="00E8128F">
        <w:rPr>
          <w:sz w:val="36"/>
          <w:szCs w:val="36"/>
          <w:rtl/>
        </w:rPr>
        <w:t xml:space="preserve"> </w:t>
      </w:r>
      <w:r w:rsidR="00BF7324" w:rsidRPr="00FD211F">
        <w:rPr>
          <w:sz w:val="36"/>
          <w:szCs w:val="36"/>
          <w:rtl/>
        </w:rPr>
        <w:t>"قده"</w:t>
      </w:r>
      <w:r w:rsidR="00EE705A" w:rsidRPr="00FD211F">
        <w:rPr>
          <w:sz w:val="36"/>
          <w:szCs w:val="36"/>
          <w:rtl/>
        </w:rPr>
        <w:t>ما</w:t>
      </w:r>
      <w:r w:rsidR="00E8128F">
        <w:rPr>
          <w:sz w:val="36"/>
          <w:szCs w:val="36"/>
          <w:rtl/>
        </w:rPr>
        <w:t xml:space="preserve"> </w:t>
      </w:r>
      <w:r w:rsidR="00EE705A" w:rsidRPr="00FD211F">
        <w:rPr>
          <w:sz w:val="36"/>
          <w:szCs w:val="36"/>
          <w:rtl/>
        </w:rPr>
        <w:t>محصله</w:t>
      </w:r>
      <w:r w:rsidR="00E8128F">
        <w:rPr>
          <w:sz w:val="36"/>
          <w:szCs w:val="36"/>
          <w:rtl/>
        </w:rPr>
        <w:t xml:space="preserve"> </w:t>
      </w:r>
      <w:r w:rsidR="00EE705A" w:rsidRPr="00FD211F">
        <w:rPr>
          <w:sz w:val="36"/>
          <w:szCs w:val="36"/>
          <w:rtl/>
        </w:rPr>
        <w:t>ان</w:t>
      </w:r>
      <w:r w:rsidR="00E8128F">
        <w:rPr>
          <w:sz w:val="36"/>
          <w:szCs w:val="36"/>
          <w:rtl/>
        </w:rPr>
        <w:t xml:space="preserve"> </w:t>
      </w:r>
      <w:r w:rsidR="00EE705A" w:rsidRPr="00FD211F">
        <w:rPr>
          <w:sz w:val="36"/>
          <w:szCs w:val="36"/>
          <w:rtl/>
        </w:rPr>
        <w:t>ما</w:t>
      </w:r>
      <w:r w:rsidR="00E8128F">
        <w:rPr>
          <w:sz w:val="36"/>
          <w:szCs w:val="36"/>
          <w:rtl/>
        </w:rPr>
        <w:t xml:space="preserve"> </w:t>
      </w:r>
      <w:r w:rsidR="00EE705A" w:rsidRPr="00FD211F">
        <w:rPr>
          <w:sz w:val="36"/>
          <w:szCs w:val="36"/>
          <w:rtl/>
        </w:rPr>
        <w:t>يقع</w:t>
      </w:r>
      <w:r w:rsidR="00E8128F">
        <w:rPr>
          <w:sz w:val="36"/>
          <w:szCs w:val="36"/>
          <w:rtl/>
        </w:rPr>
        <w:t xml:space="preserve"> </w:t>
      </w:r>
      <w:r w:rsidR="00EE705A" w:rsidRPr="00FD211F">
        <w:rPr>
          <w:sz w:val="36"/>
          <w:szCs w:val="36"/>
          <w:rtl/>
        </w:rPr>
        <w:t>النزاع</w:t>
      </w:r>
      <w:r w:rsidR="00E8128F">
        <w:rPr>
          <w:sz w:val="36"/>
          <w:szCs w:val="36"/>
          <w:rtl/>
        </w:rPr>
        <w:t xml:space="preserve"> </w:t>
      </w:r>
      <w:r w:rsidR="00EE705A" w:rsidRPr="00FD211F">
        <w:rPr>
          <w:sz w:val="36"/>
          <w:szCs w:val="36"/>
          <w:rtl/>
        </w:rPr>
        <w:t>في</w:t>
      </w:r>
      <w:r w:rsidR="00E8128F">
        <w:rPr>
          <w:sz w:val="36"/>
          <w:szCs w:val="36"/>
          <w:rtl/>
        </w:rPr>
        <w:t xml:space="preserve"> </w:t>
      </w:r>
      <w:r w:rsidR="00EE705A" w:rsidRPr="00FD211F">
        <w:rPr>
          <w:sz w:val="36"/>
          <w:szCs w:val="36"/>
          <w:rtl/>
        </w:rPr>
        <w:t>وضعه</w:t>
      </w:r>
      <w:r w:rsidR="00E8128F">
        <w:rPr>
          <w:sz w:val="36"/>
          <w:szCs w:val="36"/>
          <w:rtl/>
        </w:rPr>
        <w:t xml:space="preserve"> </w:t>
      </w:r>
      <w:r w:rsidR="00EE705A" w:rsidRPr="00FD211F">
        <w:rPr>
          <w:sz w:val="36"/>
          <w:szCs w:val="36"/>
          <w:rtl/>
        </w:rPr>
        <w:t>لخصوص</w:t>
      </w:r>
      <w:r w:rsidR="00E8128F">
        <w:rPr>
          <w:sz w:val="36"/>
          <w:szCs w:val="36"/>
          <w:rtl/>
        </w:rPr>
        <w:t xml:space="preserve"> </w:t>
      </w:r>
      <w:r w:rsidR="00EE705A" w:rsidRPr="00FD211F">
        <w:rPr>
          <w:sz w:val="36"/>
          <w:szCs w:val="36"/>
          <w:rtl/>
        </w:rPr>
        <w:t>المتلبس</w:t>
      </w:r>
      <w:r w:rsidR="00E8128F">
        <w:rPr>
          <w:sz w:val="36"/>
          <w:szCs w:val="36"/>
          <w:rtl/>
        </w:rPr>
        <w:t xml:space="preserve"> </w:t>
      </w:r>
      <w:r w:rsidR="00EE705A" w:rsidRPr="00FD211F">
        <w:rPr>
          <w:sz w:val="36"/>
          <w:szCs w:val="36"/>
          <w:rtl/>
        </w:rPr>
        <w:t>بال</w:t>
      </w:r>
      <w:r w:rsidR="0079493B" w:rsidRPr="00FD211F">
        <w:rPr>
          <w:sz w:val="36"/>
          <w:szCs w:val="36"/>
          <w:rtl/>
        </w:rPr>
        <w:t>مبدأ</w:t>
      </w:r>
      <w:r w:rsidR="00E8128F">
        <w:rPr>
          <w:sz w:val="36"/>
          <w:szCs w:val="36"/>
          <w:rtl/>
        </w:rPr>
        <w:t xml:space="preserve"> </w:t>
      </w:r>
      <w:r w:rsidR="00EE705A" w:rsidRPr="00FD211F">
        <w:rPr>
          <w:sz w:val="36"/>
          <w:szCs w:val="36"/>
          <w:rtl/>
        </w:rPr>
        <w:t>او</w:t>
      </w:r>
      <w:r w:rsidR="00E8128F">
        <w:rPr>
          <w:sz w:val="36"/>
          <w:szCs w:val="36"/>
          <w:rtl/>
        </w:rPr>
        <w:t xml:space="preserve"> </w:t>
      </w:r>
      <w:r w:rsidR="00EE705A" w:rsidRPr="00FD211F">
        <w:rPr>
          <w:sz w:val="36"/>
          <w:szCs w:val="36"/>
          <w:rtl/>
        </w:rPr>
        <w:t>للأعم</w:t>
      </w:r>
      <w:r w:rsidR="00E8128F">
        <w:rPr>
          <w:sz w:val="36"/>
          <w:szCs w:val="36"/>
          <w:rtl/>
        </w:rPr>
        <w:t xml:space="preserve"> </w:t>
      </w:r>
      <w:r w:rsidR="00EE705A" w:rsidRPr="00FD211F">
        <w:rPr>
          <w:sz w:val="36"/>
          <w:szCs w:val="36"/>
          <w:rtl/>
        </w:rPr>
        <w:t>منه</w:t>
      </w:r>
      <w:r w:rsidR="00E8128F">
        <w:rPr>
          <w:sz w:val="36"/>
          <w:szCs w:val="36"/>
          <w:rtl/>
        </w:rPr>
        <w:t xml:space="preserve"> </w:t>
      </w:r>
      <w:r w:rsidR="00EE705A" w:rsidRPr="00FD211F">
        <w:rPr>
          <w:sz w:val="36"/>
          <w:szCs w:val="36"/>
          <w:rtl/>
        </w:rPr>
        <w:t>وممن</w:t>
      </w:r>
      <w:r w:rsidR="00E8128F">
        <w:rPr>
          <w:sz w:val="36"/>
          <w:szCs w:val="36"/>
          <w:rtl/>
        </w:rPr>
        <w:t xml:space="preserve"> </w:t>
      </w:r>
      <w:r w:rsidR="00EE705A" w:rsidRPr="00FD211F">
        <w:rPr>
          <w:sz w:val="36"/>
          <w:szCs w:val="36"/>
          <w:rtl/>
        </w:rPr>
        <w:t>انقضى</w:t>
      </w:r>
      <w:r w:rsidR="00E8128F">
        <w:rPr>
          <w:sz w:val="36"/>
          <w:szCs w:val="36"/>
          <w:rtl/>
        </w:rPr>
        <w:t xml:space="preserve"> </w:t>
      </w:r>
      <w:r w:rsidR="00EE705A" w:rsidRPr="00FD211F">
        <w:rPr>
          <w:sz w:val="36"/>
          <w:szCs w:val="36"/>
          <w:rtl/>
        </w:rPr>
        <w:t>عنه</w:t>
      </w:r>
      <w:r w:rsidR="00E8128F">
        <w:rPr>
          <w:sz w:val="36"/>
          <w:szCs w:val="36"/>
          <w:rtl/>
        </w:rPr>
        <w:t xml:space="preserve"> </w:t>
      </w:r>
      <w:r w:rsidR="00EE705A" w:rsidRPr="00FD211F">
        <w:rPr>
          <w:sz w:val="36"/>
          <w:szCs w:val="36"/>
          <w:rtl/>
        </w:rPr>
        <w:t>ال</w:t>
      </w:r>
      <w:r w:rsidR="0079493B" w:rsidRPr="00FD211F">
        <w:rPr>
          <w:sz w:val="36"/>
          <w:szCs w:val="36"/>
          <w:rtl/>
        </w:rPr>
        <w:t>مبدأ</w:t>
      </w:r>
      <w:r w:rsidR="00E8128F">
        <w:rPr>
          <w:sz w:val="36"/>
          <w:szCs w:val="36"/>
          <w:rtl/>
        </w:rPr>
        <w:t xml:space="preserve"> </w:t>
      </w:r>
      <w:r w:rsidR="00EE705A" w:rsidRPr="00FD211F">
        <w:rPr>
          <w:sz w:val="36"/>
          <w:szCs w:val="36"/>
          <w:rtl/>
        </w:rPr>
        <w:t>هو</w:t>
      </w:r>
      <w:r w:rsidR="00E8128F">
        <w:rPr>
          <w:sz w:val="36"/>
          <w:szCs w:val="36"/>
          <w:rtl/>
        </w:rPr>
        <w:t xml:space="preserve"> </w:t>
      </w:r>
      <w:r w:rsidR="00EE705A" w:rsidRPr="00FD211F">
        <w:rPr>
          <w:sz w:val="36"/>
          <w:szCs w:val="36"/>
          <w:rtl/>
        </w:rPr>
        <w:t>غير</w:t>
      </w:r>
      <w:r w:rsidR="00E8128F">
        <w:rPr>
          <w:sz w:val="36"/>
          <w:szCs w:val="36"/>
          <w:rtl/>
        </w:rPr>
        <w:t xml:space="preserve"> </w:t>
      </w:r>
      <w:r w:rsidR="00EE705A" w:rsidRPr="00FD211F">
        <w:rPr>
          <w:sz w:val="36"/>
          <w:szCs w:val="36"/>
          <w:rtl/>
        </w:rPr>
        <w:t>العناوين</w:t>
      </w:r>
      <w:r w:rsidR="00E8128F">
        <w:rPr>
          <w:sz w:val="36"/>
          <w:szCs w:val="36"/>
          <w:rtl/>
        </w:rPr>
        <w:t xml:space="preserve"> </w:t>
      </w:r>
      <w:r w:rsidR="00EE705A" w:rsidRPr="00FD211F">
        <w:rPr>
          <w:sz w:val="36"/>
          <w:szCs w:val="36"/>
          <w:rtl/>
        </w:rPr>
        <w:t>الذاتي</w:t>
      </w:r>
      <w:r w:rsidR="00EC7EDF" w:rsidRPr="00FD211F">
        <w:rPr>
          <w:sz w:val="36"/>
          <w:szCs w:val="36"/>
          <w:rtl/>
        </w:rPr>
        <w:t>ة</w:t>
      </w:r>
      <w:r w:rsidR="00603323" w:rsidRPr="00FD211F">
        <w:rPr>
          <w:sz w:val="36"/>
          <w:szCs w:val="36"/>
          <w:rtl/>
        </w:rPr>
        <w:t>،</w:t>
      </w:r>
      <w:r w:rsidR="00E8128F">
        <w:rPr>
          <w:sz w:val="36"/>
          <w:szCs w:val="36"/>
          <w:rtl/>
        </w:rPr>
        <w:t xml:space="preserve"> </w:t>
      </w:r>
      <w:r w:rsidR="00EE705A" w:rsidRPr="00FD211F">
        <w:rPr>
          <w:sz w:val="36"/>
          <w:szCs w:val="36"/>
          <w:rtl/>
        </w:rPr>
        <w:t>واما</w:t>
      </w:r>
      <w:r w:rsidR="00E8128F">
        <w:rPr>
          <w:sz w:val="36"/>
          <w:szCs w:val="36"/>
          <w:rtl/>
        </w:rPr>
        <w:t xml:space="preserve"> </w:t>
      </w:r>
      <w:r w:rsidR="00EE705A" w:rsidRPr="00FD211F">
        <w:rPr>
          <w:sz w:val="36"/>
          <w:szCs w:val="36"/>
          <w:rtl/>
        </w:rPr>
        <w:t>العناوين</w:t>
      </w:r>
      <w:r w:rsidR="00E8128F">
        <w:rPr>
          <w:sz w:val="36"/>
          <w:szCs w:val="36"/>
          <w:rtl/>
        </w:rPr>
        <w:t xml:space="preserve"> </w:t>
      </w:r>
      <w:r w:rsidR="00EE705A" w:rsidRPr="00FD211F">
        <w:rPr>
          <w:sz w:val="36"/>
          <w:szCs w:val="36"/>
          <w:rtl/>
        </w:rPr>
        <w:t>الذاتي</w:t>
      </w:r>
      <w:r w:rsidR="00EC7EDF" w:rsidRPr="00FD211F">
        <w:rPr>
          <w:sz w:val="36"/>
          <w:szCs w:val="36"/>
          <w:rtl/>
        </w:rPr>
        <w:t>ة</w:t>
      </w:r>
      <w:r w:rsidR="00E8128F">
        <w:rPr>
          <w:sz w:val="36"/>
          <w:szCs w:val="36"/>
          <w:rtl/>
        </w:rPr>
        <w:t xml:space="preserve"> </w:t>
      </w:r>
      <w:r w:rsidR="00EE705A" w:rsidRPr="00FD211F">
        <w:rPr>
          <w:sz w:val="36"/>
          <w:szCs w:val="36"/>
          <w:rtl/>
        </w:rPr>
        <w:t>كعنوان</w:t>
      </w:r>
      <w:r w:rsidR="00E8128F">
        <w:rPr>
          <w:sz w:val="36"/>
          <w:szCs w:val="36"/>
          <w:rtl/>
        </w:rPr>
        <w:t xml:space="preserve"> </w:t>
      </w:r>
      <w:r w:rsidR="00EE705A" w:rsidRPr="00FD211F">
        <w:rPr>
          <w:sz w:val="36"/>
          <w:szCs w:val="36"/>
          <w:rtl/>
        </w:rPr>
        <w:t>الجسم</w:t>
      </w:r>
      <w:r w:rsidR="00E8128F">
        <w:rPr>
          <w:sz w:val="36"/>
          <w:szCs w:val="36"/>
          <w:rtl/>
        </w:rPr>
        <w:t xml:space="preserve"> </w:t>
      </w:r>
      <w:r w:rsidR="00EE705A" w:rsidRPr="00FD211F">
        <w:rPr>
          <w:sz w:val="36"/>
          <w:szCs w:val="36"/>
          <w:rtl/>
        </w:rPr>
        <w:t>والحيوان</w:t>
      </w:r>
      <w:r w:rsidR="00E8128F">
        <w:rPr>
          <w:sz w:val="36"/>
          <w:szCs w:val="36"/>
          <w:rtl/>
        </w:rPr>
        <w:t xml:space="preserve"> </w:t>
      </w:r>
      <w:r w:rsidR="00EE705A" w:rsidRPr="00FD211F">
        <w:rPr>
          <w:sz w:val="36"/>
          <w:szCs w:val="36"/>
          <w:rtl/>
        </w:rPr>
        <w:t>والانسان</w:t>
      </w:r>
      <w:r w:rsidR="00E8128F">
        <w:rPr>
          <w:sz w:val="36"/>
          <w:szCs w:val="36"/>
          <w:rtl/>
        </w:rPr>
        <w:t xml:space="preserve"> </w:t>
      </w:r>
      <w:r w:rsidR="00EE705A" w:rsidRPr="00FD211F">
        <w:rPr>
          <w:sz w:val="36"/>
          <w:szCs w:val="36"/>
          <w:rtl/>
        </w:rPr>
        <w:t>والشجر</w:t>
      </w:r>
      <w:r w:rsidR="00E8128F">
        <w:rPr>
          <w:sz w:val="36"/>
          <w:szCs w:val="36"/>
          <w:rtl/>
        </w:rPr>
        <w:t xml:space="preserve"> </w:t>
      </w:r>
      <w:r w:rsidR="00EE705A" w:rsidRPr="00FD211F">
        <w:rPr>
          <w:sz w:val="36"/>
          <w:szCs w:val="36"/>
          <w:rtl/>
        </w:rPr>
        <w:t>والناطق</w:t>
      </w:r>
      <w:r w:rsidR="00E8128F">
        <w:rPr>
          <w:sz w:val="36"/>
          <w:szCs w:val="36"/>
          <w:rtl/>
        </w:rPr>
        <w:t xml:space="preserve"> </w:t>
      </w:r>
      <w:r w:rsidR="00EE705A" w:rsidRPr="00FD211F">
        <w:rPr>
          <w:sz w:val="36"/>
          <w:szCs w:val="36"/>
          <w:rtl/>
        </w:rPr>
        <w:t>ونحو</w:t>
      </w:r>
      <w:r w:rsidR="00E8128F">
        <w:rPr>
          <w:sz w:val="36"/>
          <w:szCs w:val="36"/>
          <w:rtl/>
        </w:rPr>
        <w:t xml:space="preserve"> </w:t>
      </w:r>
      <w:r w:rsidR="00EE705A" w:rsidRPr="00FD211F">
        <w:rPr>
          <w:sz w:val="36"/>
          <w:szCs w:val="36"/>
          <w:rtl/>
        </w:rPr>
        <w:t>ذلك</w:t>
      </w:r>
      <w:r w:rsidR="00E8128F">
        <w:rPr>
          <w:sz w:val="36"/>
          <w:szCs w:val="36"/>
          <w:rtl/>
        </w:rPr>
        <w:t xml:space="preserve"> </w:t>
      </w:r>
      <w:r w:rsidR="00EE705A" w:rsidRPr="00FD211F">
        <w:rPr>
          <w:sz w:val="36"/>
          <w:szCs w:val="36"/>
          <w:rtl/>
        </w:rPr>
        <w:t>مما</w:t>
      </w:r>
      <w:r w:rsidR="00E8128F">
        <w:rPr>
          <w:sz w:val="36"/>
          <w:szCs w:val="36"/>
          <w:rtl/>
        </w:rPr>
        <w:t xml:space="preserve"> </w:t>
      </w:r>
      <w:r w:rsidR="00EE705A" w:rsidRPr="00FD211F">
        <w:rPr>
          <w:sz w:val="36"/>
          <w:szCs w:val="36"/>
          <w:rtl/>
        </w:rPr>
        <w:t>يكون</w:t>
      </w:r>
      <w:r w:rsidR="00E8128F">
        <w:rPr>
          <w:sz w:val="36"/>
          <w:szCs w:val="36"/>
          <w:rtl/>
        </w:rPr>
        <w:t xml:space="preserve"> </w:t>
      </w:r>
      <w:r w:rsidR="00EE705A" w:rsidRPr="00FD211F">
        <w:rPr>
          <w:sz w:val="36"/>
          <w:szCs w:val="36"/>
          <w:rtl/>
        </w:rPr>
        <w:t>جنسا</w:t>
      </w:r>
      <w:r w:rsidR="00E8128F">
        <w:rPr>
          <w:sz w:val="36"/>
          <w:szCs w:val="36"/>
          <w:rtl/>
        </w:rPr>
        <w:t xml:space="preserve"> </w:t>
      </w:r>
      <w:r w:rsidR="00EE705A" w:rsidRPr="00FD211F">
        <w:rPr>
          <w:sz w:val="36"/>
          <w:szCs w:val="36"/>
          <w:rtl/>
        </w:rPr>
        <w:t>او</w:t>
      </w:r>
      <w:r w:rsidR="00E8128F">
        <w:rPr>
          <w:sz w:val="36"/>
          <w:szCs w:val="36"/>
          <w:rtl/>
        </w:rPr>
        <w:t xml:space="preserve"> </w:t>
      </w:r>
      <w:r w:rsidR="00EE705A" w:rsidRPr="00FD211F">
        <w:rPr>
          <w:sz w:val="36"/>
          <w:szCs w:val="36"/>
          <w:rtl/>
        </w:rPr>
        <w:t>فصلا</w:t>
      </w:r>
      <w:r w:rsidR="00E8128F">
        <w:rPr>
          <w:sz w:val="36"/>
          <w:szCs w:val="36"/>
          <w:rtl/>
        </w:rPr>
        <w:t xml:space="preserve"> </w:t>
      </w:r>
      <w:r w:rsidR="00EE705A" w:rsidRPr="00FD211F">
        <w:rPr>
          <w:sz w:val="36"/>
          <w:szCs w:val="36"/>
          <w:rtl/>
        </w:rPr>
        <w:t>او</w:t>
      </w:r>
      <w:r w:rsidR="00E8128F">
        <w:rPr>
          <w:sz w:val="36"/>
          <w:szCs w:val="36"/>
          <w:rtl/>
        </w:rPr>
        <w:t xml:space="preserve"> </w:t>
      </w:r>
      <w:r w:rsidR="00EE705A" w:rsidRPr="00FD211F">
        <w:rPr>
          <w:sz w:val="36"/>
          <w:szCs w:val="36"/>
          <w:rtl/>
        </w:rPr>
        <w:t>نوعا</w:t>
      </w:r>
      <w:r w:rsidR="00E8128F">
        <w:rPr>
          <w:sz w:val="36"/>
          <w:szCs w:val="36"/>
          <w:rtl/>
        </w:rPr>
        <w:t xml:space="preserve"> </w:t>
      </w:r>
      <w:r w:rsidR="00EE705A" w:rsidRPr="00FD211F">
        <w:rPr>
          <w:sz w:val="36"/>
          <w:szCs w:val="36"/>
          <w:rtl/>
        </w:rPr>
        <w:t>فهي</w:t>
      </w:r>
      <w:r w:rsidR="00E8128F">
        <w:rPr>
          <w:sz w:val="36"/>
          <w:szCs w:val="36"/>
          <w:rtl/>
        </w:rPr>
        <w:t xml:space="preserve"> </w:t>
      </w:r>
      <w:r w:rsidR="00EE705A" w:rsidRPr="00FD211F">
        <w:rPr>
          <w:sz w:val="36"/>
          <w:szCs w:val="36"/>
          <w:rtl/>
        </w:rPr>
        <w:t>خارج</w:t>
      </w:r>
      <w:r w:rsidR="00EC7EDF" w:rsidRPr="00FD211F">
        <w:rPr>
          <w:sz w:val="36"/>
          <w:szCs w:val="36"/>
          <w:rtl/>
        </w:rPr>
        <w:t>ة</w:t>
      </w:r>
      <w:r w:rsidR="00E8128F">
        <w:rPr>
          <w:sz w:val="36"/>
          <w:szCs w:val="36"/>
          <w:rtl/>
        </w:rPr>
        <w:t xml:space="preserve"> </w:t>
      </w:r>
      <w:r w:rsidR="00EE705A" w:rsidRPr="00FD211F">
        <w:rPr>
          <w:sz w:val="36"/>
          <w:szCs w:val="36"/>
          <w:rtl/>
        </w:rPr>
        <w:t>عن</w:t>
      </w:r>
      <w:r w:rsidR="00E8128F">
        <w:rPr>
          <w:sz w:val="36"/>
          <w:szCs w:val="36"/>
          <w:rtl/>
        </w:rPr>
        <w:t xml:space="preserve"> </w:t>
      </w:r>
      <w:r w:rsidR="00EE705A" w:rsidRPr="00FD211F">
        <w:rPr>
          <w:sz w:val="36"/>
          <w:szCs w:val="36"/>
          <w:rtl/>
        </w:rPr>
        <w:t>محل</w:t>
      </w:r>
      <w:r w:rsidR="00E8128F">
        <w:rPr>
          <w:sz w:val="36"/>
          <w:szCs w:val="36"/>
          <w:rtl/>
        </w:rPr>
        <w:t xml:space="preserve"> </w:t>
      </w:r>
      <w:r w:rsidR="00EE705A" w:rsidRPr="00FD211F">
        <w:rPr>
          <w:sz w:val="36"/>
          <w:szCs w:val="36"/>
          <w:rtl/>
        </w:rPr>
        <w:t>النزاع</w:t>
      </w:r>
      <w:r w:rsidR="00E8128F">
        <w:rPr>
          <w:sz w:val="36"/>
          <w:szCs w:val="36"/>
          <w:rtl/>
        </w:rPr>
        <w:t xml:space="preserve"> </w:t>
      </w:r>
      <w:r w:rsidR="00EE705A" w:rsidRPr="00FD211F">
        <w:rPr>
          <w:sz w:val="36"/>
          <w:szCs w:val="36"/>
          <w:rtl/>
        </w:rPr>
        <w:t>لان</w:t>
      </w:r>
      <w:r w:rsidR="00E8128F">
        <w:rPr>
          <w:sz w:val="36"/>
          <w:szCs w:val="36"/>
          <w:rtl/>
        </w:rPr>
        <w:t xml:space="preserve"> </w:t>
      </w:r>
      <w:r w:rsidR="00EE705A" w:rsidRPr="00FD211F">
        <w:rPr>
          <w:sz w:val="36"/>
          <w:szCs w:val="36"/>
          <w:rtl/>
        </w:rPr>
        <w:t>مباديها</w:t>
      </w:r>
      <w:r w:rsidR="00E8128F">
        <w:rPr>
          <w:sz w:val="36"/>
          <w:szCs w:val="36"/>
          <w:rtl/>
        </w:rPr>
        <w:t xml:space="preserve"> </w:t>
      </w:r>
      <w:r w:rsidR="00EE705A" w:rsidRPr="00FD211F">
        <w:rPr>
          <w:sz w:val="36"/>
          <w:szCs w:val="36"/>
          <w:rtl/>
        </w:rPr>
        <w:t>تكون</w:t>
      </w:r>
      <w:r w:rsidR="00E8128F">
        <w:rPr>
          <w:sz w:val="36"/>
          <w:szCs w:val="36"/>
          <w:rtl/>
        </w:rPr>
        <w:t xml:space="preserve"> </w:t>
      </w:r>
      <w:r w:rsidR="00EE705A" w:rsidRPr="00FD211F">
        <w:rPr>
          <w:sz w:val="36"/>
          <w:szCs w:val="36"/>
          <w:rtl/>
        </w:rPr>
        <w:t>مقوم</w:t>
      </w:r>
      <w:r w:rsidR="00EC7EDF" w:rsidRPr="00FD211F">
        <w:rPr>
          <w:sz w:val="36"/>
          <w:szCs w:val="36"/>
          <w:rtl/>
        </w:rPr>
        <w:t>ة</w:t>
      </w:r>
      <w:r w:rsidR="00E8128F">
        <w:rPr>
          <w:sz w:val="36"/>
          <w:szCs w:val="36"/>
          <w:rtl/>
        </w:rPr>
        <w:t xml:space="preserve"> </w:t>
      </w:r>
      <w:r w:rsidR="00EE705A" w:rsidRPr="00FD211F">
        <w:rPr>
          <w:sz w:val="36"/>
          <w:szCs w:val="36"/>
          <w:rtl/>
        </w:rPr>
        <w:t>للذات</w:t>
      </w:r>
      <w:r w:rsidR="00603323" w:rsidRPr="00FD211F">
        <w:rPr>
          <w:sz w:val="36"/>
          <w:szCs w:val="36"/>
          <w:rtl/>
        </w:rPr>
        <w:t>،</w:t>
      </w:r>
      <w:r w:rsidR="00E8128F">
        <w:rPr>
          <w:sz w:val="36"/>
          <w:szCs w:val="36"/>
          <w:rtl/>
        </w:rPr>
        <w:t xml:space="preserve"> </w:t>
      </w:r>
      <w:r w:rsidR="00EE705A" w:rsidRPr="00FD211F">
        <w:rPr>
          <w:sz w:val="36"/>
          <w:szCs w:val="36"/>
          <w:rtl/>
        </w:rPr>
        <w:t>ولايفرض</w:t>
      </w:r>
      <w:r w:rsidR="00E8128F">
        <w:rPr>
          <w:sz w:val="36"/>
          <w:szCs w:val="36"/>
          <w:rtl/>
        </w:rPr>
        <w:t xml:space="preserve"> </w:t>
      </w:r>
      <w:r w:rsidR="00EE705A" w:rsidRPr="00FD211F">
        <w:rPr>
          <w:sz w:val="36"/>
          <w:szCs w:val="36"/>
          <w:rtl/>
        </w:rPr>
        <w:t>بقاء</w:t>
      </w:r>
      <w:r w:rsidR="00E8128F">
        <w:rPr>
          <w:sz w:val="36"/>
          <w:szCs w:val="36"/>
          <w:rtl/>
        </w:rPr>
        <w:t xml:space="preserve"> </w:t>
      </w:r>
      <w:r w:rsidR="00EE705A" w:rsidRPr="00FD211F">
        <w:rPr>
          <w:sz w:val="36"/>
          <w:szCs w:val="36"/>
          <w:rtl/>
        </w:rPr>
        <w:t>ال</w:t>
      </w:r>
      <w:r w:rsidR="009867AE" w:rsidRPr="00FD211F">
        <w:rPr>
          <w:sz w:val="36"/>
          <w:szCs w:val="36"/>
          <w:rtl/>
        </w:rPr>
        <w:t>ذات</w:t>
      </w:r>
      <w:r w:rsidR="00E8128F">
        <w:rPr>
          <w:sz w:val="36"/>
          <w:szCs w:val="36"/>
          <w:rtl/>
        </w:rPr>
        <w:t xml:space="preserve"> </w:t>
      </w:r>
      <w:r w:rsidR="009867AE" w:rsidRPr="00FD211F">
        <w:rPr>
          <w:sz w:val="36"/>
          <w:szCs w:val="36"/>
          <w:rtl/>
        </w:rPr>
        <w:t>بعد</w:t>
      </w:r>
      <w:r w:rsidR="00E8128F">
        <w:rPr>
          <w:sz w:val="36"/>
          <w:szCs w:val="36"/>
          <w:rtl/>
        </w:rPr>
        <w:t xml:space="preserve"> </w:t>
      </w:r>
      <w:r w:rsidR="009867AE" w:rsidRPr="00FD211F">
        <w:rPr>
          <w:sz w:val="36"/>
          <w:szCs w:val="36"/>
          <w:rtl/>
        </w:rPr>
        <w:t>انقضاء</w:t>
      </w:r>
      <w:r w:rsidR="00E8128F">
        <w:rPr>
          <w:sz w:val="36"/>
          <w:szCs w:val="36"/>
          <w:rtl/>
        </w:rPr>
        <w:t xml:space="preserve"> </w:t>
      </w:r>
      <w:r w:rsidR="009867AE" w:rsidRPr="00FD211F">
        <w:rPr>
          <w:sz w:val="36"/>
          <w:szCs w:val="36"/>
          <w:rtl/>
        </w:rPr>
        <w:t>تلبسها</w:t>
      </w:r>
      <w:r w:rsidR="00E8128F">
        <w:rPr>
          <w:sz w:val="36"/>
          <w:szCs w:val="36"/>
          <w:rtl/>
        </w:rPr>
        <w:t xml:space="preserve"> </w:t>
      </w:r>
      <w:r w:rsidR="009867AE" w:rsidRPr="00FD211F">
        <w:rPr>
          <w:sz w:val="36"/>
          <w:szCs w:val="36"/>
          <w:rtl/>
        </w:rPr>
        <w:t>بالمبادئ</w:t>
      </w:r>
      <w:r w:rsidR="00E8128F">
        <w:rPr>
          <w:sz w:val="36"/>
          <w:szCs w:val="36"/>
          <w:rtl/>
        </w:rPr>
        <w:t xml:space="preserve"> </w:t>
      </w:r>
      <w:r w:rsidR="009867AE" w:rsidRPr="00FD211F">
        <w:rPr>
          <w:sz w:val="36"/>
          <w:szCs w:val="36"/>
          <w:rtl/>
        </w:rPr>
        <w:t>فلا</w:t>
      </w:r>
      <w:r w:rsidR="00E8128F">
        <w:rPr>
          <w:sz w:val="36"/>
          <w:szCs w:val="36"/>
          <w:rtl/>
        </w:rPr>
        <w:t xml:space="preserve"> </w:t>
      </w:r>
      <w:r w:rsidR="00EE705A" w:rsidRPr="00FD211F">
        <w:rPr>
          <w:sz w:val="36"/>
          <w:szCs w:val="36"/>
          <w:rtl/>
        </w:rPr>
        <w:t>تصل</w:t>
      </w:r>
      <w:r w:rsidR="00E8128F">
        <w:rPr>
          <w:sz w:val="36"/>
          <w:szCs w:val="36"/>
          <w:rtl/>
        </w:rPr>
        <w:t xml:space="preserve"> </w:t>
      </w:r>
      <w:r w:rsidR="00EE705A" w:rsidRPr="00FD211F">
        <w:rPr>
          <w:sz w:val="36"/>
          <w:szCs w:val="36"/>
          <w:rtl/>
        </w:rPr>
        <w:t>النوب</w:t>
      </w:r>
      <w:r w:rsidR="00EC7EDF" w:rsidRPr="00FD211F">
        <w:rPr>
          <w:sz w:val="36"/>
          <w:szCs w:val="36"/>
          <w:rtl/>
        </w:rPr>
        <w:t>ة</w:t>
      </w:r>
      <w:r w:rsidR="00E8128F">
        <w:rPr>
          <w:sz w:val="36"/>
          <w:szCs w:val="36"/>
          <w:rtl/>
        </w:rPr>
        <w:t xml:space="preserve"> </w:t>
      </w:r>
      <w:r w:rsidR="00EE705A" w:rsidRPr="00FD211F">
        <w:rPr>
          <w:sz w:val="36"/>
          <w:szCs w:val="36"/>
          <w:rtl/>
        </w:rPr>
        <w:t>الى</w:t>
      </w:r>
      <w:r w:rsidR="00E8128F">
        <w:rPr>
          <w:sz w:val="36"/>
          <w:szCs w:val="36"/>
          <w:rtl/>
        </w:rPr>
        <w:t xml:space="preserve"> </w:t>
      </w:r>
      <w:r w:rsidR="00EE705A" w:rsidRPr="00FD211F">
        <w:rPr>
          <w:sz w:val="36"/>
          <w:szCs w:val="36"/>
          <w:rtl/>
        </w:rPr>
        <w:t>البحث</w:t>
      </w:r>
      <w:r w:rsidR="00E8128F">
        <w:rPr>
          <w:sz w:val="36"/>
          <w:szCs w:val="36"/>
          <w:rtl/>
        </w:rPr>
        <w:t xml:space="preserve"> </w:t>
      </w:r>
      <w:r w:rsidR="00EE705A" w:rsidRPr="00FD211F">
        <w:rPr>
          <w:sz w:val="36"/>
          <w:szCs w:val="36"/>
          <w:rtl/>
        </w:rPr>
        <w:t>عن</w:t>
      </w:r>
      <w:r w:rsidR="00E8128F">
        <w:rPr>
          <w:sz w:val="36"/>
          <w:szCs w:val="36"/>
          <w:rtl/>
        </w:rPr>
        <w:t xml:space="preserve"> </w:t>
      </w:r>
      <w:r w:rsidR="00EE705A" w:rsidRPr="00FD211F">
        <w:rPr>
          <w:sz w:val="36"/>
          <w:szCs w:val="36"/>
          <w:rtl/>
        </w:rPr>
        <w:t>كون</w:t>
      </w:r>
      <w:r w:rsidR="00E8128F">
        <w:rPr>
          <w:sz w:val="36"/>
          <w:szCs w:val="36"/>
          <w:rtl/>
        </w:rPr>
        <w:t xml:space="preserve"> </w:t>
      </w:r>
      <w:r w:rsidR="00EE705A" w:rsidRPr="00FD211F">
        <w:rPr>
          <w:sz w:val="36"/>
          <w:szCs w:val="36"/>
          <w:rtl/>
        </w:rPr>
        <w:t>حمل</w:t>
      </w:r>
      <w:r w:rsidR="00E8128F">
        <w:rPr>
          <w:sz w:val="36"/>
          <w:szCs w:val="36"/>
          <w:rtl/>
        </w:rPr>
        <w:t xml:space="preserve"> </w:t>
      </w:r>
      <w:r w:rsidR="00EE705A" w:rsidRPr="00FD211F">
        <w:rPr>
          <w:sz w:val="36"/>
          <w:szCs w:val="36"/>
          <w:rtl/>
        </w:rPr>
        <w:t>تلك</w:t>
      </w:r>
      <w:r w:rsidR="00E8128F">
        <w:rPr>
          <w:sz w:val="36"/>
          <w:szCs w:val="36"/>
          <w:rtl/>
        </w:rPr>
        <w:t xml:space="preserve"> </w:t>
      </w:r>
      <w:r w:rsidR="00EE705A" w:rsidRPr="00FD211F">
        <w:rPr>
          <w:sz w:val="36"/>
          <w:szCs w:val="36"/>
          <w:rtl/>
        </w:rPr>
        <w:t>العناوين</w:t>
      </w:r>
      <w:r w:rsidR="00E8128F">
        <w:rPr>
          <w:sz w:val="36"/>
          <w:szCs w:val="36"/>
          <w:rtl/>
        </w:rPr>
        <w:t xml:space="preserve"> </w:t>
      </w:r>
      <w:r w:rsidR="00EE705A" w:rsidRPr="00FD211F">
        <w:rPr>
          <w:sz w:val="36"/>
          <w:szCs w:val="36"/>
          <w:rtl/>
        </w:rPr>
        <w:t>على</w:t>
      </w:r>
      <w:r w:rsidR="00E8128F">
        <w:rPr>
          <w:sz w:val="36"/>
          <w:szCs w:val="36"/>
          <w:rtl/>
        </w:rPr>
        <w:t xml:space="preserve"> </w:t>
      </w:r>
      <w:r w:rsidR="00EE705A" w:rsidRPr="00FD211F">
        <w:rPr>
          <w:sz w:val="36"/>
          <w:szCs w:val="36"/>
          <w:rtl/>
        </w:rPr>
        <w:t>الذات</w:t>
      </w:r>
      <w:r w:rsidR="00E8128F">
        <w:rPr>
          <w:sz w:val="36"/>
          <w:szCs w:val="36"/>
          <w:rtl/>
        </w:rPr>
        <w:t xml:space="preserve"> </w:t>
      </w:r>
      <w:r w:rsidR="00EE705A" w:rsidRPr="00FD211F">
        <w:rPr>
          <w:sz w:val="36"/>
          <w:szCs w:val="36"/>
          <w:rtl/>
        </w:rPr>
        <w:t>بعد</w:t>
      </w:r>
      <w:r w:rsidR="00E8128F">
        <w:rPr>
          <w:sz w:val="36"/>
          <w:szCs w:val="36"/>
          <w:rtl/>
        </w:rPr>
        <w:t xml:space="preserve"> </w:t>
      </w:r>
      <w:r w:rsidR="00EE705A" w:rsidRPr="00FD211F">
        <w:rPr>
          <w:sz w:val="36"/>
          <w:szCs w:val="36"/>
          <w:rtl/>
        </w:rPr>
        <w:t>انقضاء</w:t>
      </w:r>
      <w:r w:rsidR="00E8128F">
        <w:rPr>
          <w:sz w:val="36"/>
          <w:szCs w:val="36"/>
          <w:rtl/>
        </w:rPr>
        <w:t xml:space="preserve"> </w:t>
      </w:r>
      <w:r w:rsidR="00EE705A" w:rsidRPr="00FD211F">
        <w:rPr>
          <w:sz w:val="36"/>
          <w:szCs w:val="36"/>
          <w:rtl/>
        </w:rPr>
        <w:t>تلبسها</w:t>
      </w:r>
      <w:r w:rsidR="00E8128F">
        <w:rPr>
          <w:sz w:val="36"/>
          <w:szCs w:val="36"/>
          <w:rtl/>
        </w:rPr>
        <w:t xml:space="preserve"> </w:t>
      </w:r>
      <w:r w:rsidR="009867AE" w:rsidRPr="00FD211F">
        <w:rPr>
          <w:sz w:val="36"/>
          <w:szCs w:val="36"/>
          <w:rtl/>
        </w:rPr>
        <w:t>بتلك</w:t>
      </w:r>
      <w:r w:rsidR="00E8128F">
        <w:rPr>
          <w:sz w:val="36"/>
          <w:szCs w:val="36"/>
          <w:rtl/>
        </w:rPr>
        <w:t xml:space="preserve"> </w:t>
      </w:r>
      <w:r w:rsidR="009867AE" w:rsidRPr="00FD211F">
        <w:rPr>
          <w:sz w:val="36"/>
          <w:szCs w:val="36"/>
          <w:rtl/>
        </w:rPr>
        <w:t>المبادي</w:t>
      </w:r>
      <w:r w:rsidR="00E8128F">
        <w:rPr>
          <w:sz w:val="36"/>
          <w:szCs w:val="36"/>
          <w:rtl/>
        </w:rPr>
        <w:t xml:space="preserve"> </w:t>
      </w:r>
      <w:r w:rsidR="009867AE" w:rsidRPr="00FD211F">
        <w:rPr>
          <w:sz w:val="36"/>
          <w:szCs w:val="36"/>
          <w:rtl/>
        </w:rPr>
        <w:t>هل</w:t>
      </w:r>
      <w:r w:rsidR="00E8128F">
        <w:rPr>
          <w:sz w:val="36"/>
          <w:szCs w:val="36"/>
          <w:rtl/>
        </w:rPr>
        <w:t xml:space="preserve"> </w:t>
      </w:r>
      <w:r w:rsidR="009867AE" w:rsidRPr="00FD211F">
        <w:rPr>
          <w:sz w:val="36"/>
          <w:szCs w:val="36"/>
          <w:rtl/>
        </w:rPr>
        <w:t>يكون</w:t>
      </w:r>
      <w:r w:rsidR="00E8128F">
        <w:rPr>
          <w:sz w:val="36"/>
          <w:szCs w:val="36"/>
          <w:rtl/>
        </w:rPr>
        <w:t xml:space="preserve"> </w:t>
      </w:r>
      <w:r w:rsidR="009867AE" w:rsidRPr="00FD211F">
        <w:rPr>
          <w:sz w:val="36"/>
          <w:szCs w:val="36"/>
          <w:rtl/>
        </w:rPr>
        <w:t>بنحو</w:t>
      </w:r>
      <w:r w:rsidR="00E8128F">
        <w:rPr>
          <w:sz w:val="36"/>
          <w:szCs w:val="36"/>
          <w:rtl/>
        </w:rPr>
        <w:t xml:space="preserve"> </w:t>
      </w:r>
      <w:r w:rsidR="009867AE" w:rsidRPr="00FD211F">
        <w:rPr>
          <w:sz w:val="36"/>
          <w:szCs w:val="36"/>
          <w:rtl/>
        </w:rPr>
        <w:t>الحقيق</w:t>
      </w:r>
      <w:r w:rsidR="00EC7EDF" w:rsidRPr="00FD211F">
        <w:rPr>
          <w:sz w:val="36"/>
          <w:szCs w:val="36"/>
          <w:rtl/>
        </w:rPr>
        <w:t>ة</w:t>
      </w:r>
      <w:r w:rsidR="00E8128F">
        <w:rPr>
          <w:sz w:val="36"/>
          <w:szCs w:val="36"/>
          <w:rtl/>
        </w:rPr>
        <w:t xml:space="preserve"> </w:t>
      </w:r>
      <w:r w:rsidR="009867AE" w:rsidRPr="00FD211F">
        <w:rPr>
          <w:sz w:val="36"/>
          <w:szCs w:val="36"/>
          <w:rtl/>
        </w:rPr>
        <w:t>او</w:t>
      </w:r>
      <w:r w:rsidR="00E8128F">
        <w:rPr>
          <w:sz w:val="36"/>
          <w:szCs w:val="36"/>
          <w:rtl/>
        </w:rPr>
        <w:t xml:space="preserve"> </w:t>
      </w:r>
      <w:r w:rsidR="009867AE" w:rsidRPr="00FD211F">
        <w:rPr>
          <w:sz w:val="36"/>
          <w:szCs w:val="36"/>
          <w:rtl/>
        </w:rPr>
        <w:t>المجاز</w:t>
      </w:r>
      <w:r w:rsidR="00EE705A" w:rsidRPr="00FD211F">
        <w:rPr>
          <w:sz w:val="36"/>
          <w:szCs w:val="36"/>
          <w:rtl/>
        </w:rPr>
        <w:t>.</w:t>
      </w:r>
    </w:p>
    <w:p w14:paraId="41DEF7AF" w14:textId="77777777" w:rsidR="00EE705A" w:rsidRPr="00FD211F" w:rsidRDefault="00BF0F0D" w:rsidP="009C58C8">
      <w:pPr>
        <w:ind w:left="0" w:firstLine="227"/>
        <w:jc w:val="both"/>
        <w:rPr>
          <w:sz w:val="36"/>
          <w:szCs w:val="36"/>
          <w:rtl/>
        </w:rPr>
      </w:pPr>
      <w:r w:rsidRPr="00FD211F">
        <w:rPr>
          <w:sz w:val="36"/>
          <w:szCs w:val="36"/>
          <w:rtl/>
        </w:rPr>
        <w:t>وحكي</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الم</w:t>
      </w:r>
      <w:r w:rsidR="00214C82" w:rsidRPr="00FD211F">
        <w:rPr>
          <w:sz w:val="36"/>
          <w:szCs w:val="36"/>
          <w:rtl/>
        </w:rPr>
        <w:t>حقق</w:t>
      </w:r>
      <w:r w:rsidR="00E8128F">
        <w:rPr>
          <w:sz w:val="36"/>
          <w:szCs w:val="36"/>
          <w:rtl/>
        </w:rPr>
        <w:t xml:space="preserve"> </w:t>
      </w:r>
      <w:r w:rsidR="00214C82" w:rsidRPr="00FD211F">
        <w:rPr>
          <w:sz w:val="36"/>
          <w:szCs w:val="36"/>
          <w:rtl/>
        </w:rPr>
        <w:t>النائيني</w:t>
      </w:r>
      <w:r w:rsidR="00E8128F">
        <w:rPr>
          <w:sz w:val="36"/>
          <w:szCs w:val="36"/>
          <w:rtl/>
        </w:rPr>
        <w:t xml:space="preserve"> </w:t>
      </w:r>
      <w:r w:rsidR="000026AA" w:rsidRPr="00FD211F">
        <w:rPr>
          <w:sz w:val="36"/>
          <w:szCs w:val="36"/>
          <w:rtl/>
        </w:rPr>
        <w:t>"</w:t>
      </w:r>
      <w:r w:rsidR="00214C82" w:rsidRPr="00FD211F">
        <w:rPr>
          <w:sz w:val="36"/>
          <w:szCs w:val="36"/>
          <w:rtl/>
        </w:rPr>
        <w:t>قده</w:t>
      </w:r>
      <w:r w:rsidR="000026AA" w:rsidRPr="00FD211F">
        <w:rPr>
          <w:sz w:val="36"/>
          <w:szCs w:val="36"/>
          <w:rtl/>
        </w:rPr>
        <w:t>"</w:t>
      </w:r>
      <w:r w:rsidR="00E8128F">
        <w:rPr>
          <w:sz w:val="36"/>
          <w:szCs w:val="36"/>
          <w:rtl/>
        </w:rPr>
        <w:t xml:space="preserve"> </w:t>
      </w:r>
      <w:r w:rsidR="00214C82" w:rsidRPr="00FD211F">
        <w:rPr>
          <w:sz w:val="36"/>
          <w:szCs w:val="36"/>
          <w:rtl/>
        </w:rPr>
        <w:t>ان</w:t>
      </w:r>
      <w:r w:rsidRPr="00FD211F">
        <w:rPr>
          <w:sz w:val="36"/>
          <w:szCs w:val="36"/>
          <w:rtl/>
        </w:rPr>
        <w:t>ه</w:t>
      </w:r>
      <w:r w:rsidR="00E8128F">
        <w:rPr>
          <w:sz w:val="36"/>
          <w:szCs w:val="36"/>
          <w:rtl/>
        </w:rPr>
        <w:t xml:space="preserve"> </w:t>
      </w:r>
      <w:r w:rsidRPr="00FD211F">
        <w:rPr>
          <w:sz w:val="36"/>
          <w:szCs w:val="36"/>
          <w:rtl/>
        </w:rPr>
        <w:t>ذكرأن</w:t>
      </w:r>
      <w:r w:rsidR="00E8128F">
        <w:rPr>
          <w:sz w:val="36"/>
          <w:szCs w:val="36"/>
          <w:rtl/>
        </w:rPr>
        <w:t xml:space="preserve"> </w:t>
      </w:r>
      <w:r w:rsidR="00214C82" w:rsidRPr="00FD211F">
        <w:rPr>
          <w:sz w:val="36"/>
          <w:szCs w:val="36"/>
          <w:rtl/>
        </w:rPr>
        <w:t>ذاتي</w:t>
      </w:r>
      <w:r w:rsidR="00E8128F">
        <w:rPr>
          <w:sz w:val="36"/>
          <w:szCs w:val="36"/>
          <w:rtl/>
        </w:rPr>
        <w:t xml:space="preserve"> </w:t>
      </w:r>
      <w:r w:rsidR="00214C82" w:rsidRPr="00FD211F">
        <w:rPr>
          <w:sz w:val="36"/>
          <w:szCs w:val="36"/>
          <w:rtl/>
        </w:rPr>
        <w:t>باب</w:t>
      </w:r>
      <w:r w:rsidR="00E8128F">
        <w:rPr>
          <w:sz w:val="36"/>
          <w:szCs w:val="36"/>
          <w:rtl/>
        </w:rPr>
        <w:t xml:space="preserve"> </w:t>
      </w:r>
      <w:r w:rsidR="00214C82" w:rsidRPr="00FD211F">
        <w:rPr>
          <w:sz w:val="36"/>
          <w:szCs w:val="36"/>
          <w:rtl/>
        </w:rPr>
        <w:t>البرهان</w:t>
      </w:r>
      <w:r w:rsidR="00E8128F">
        <w:rPr>
          <w:sz w:val="36"/>
          <w:szCs w:val="36"/>
          <w:rtl/>
        </w:rPr>
        <w:t xml:space="preserve"> </w:t>
      </w:r>
      <w:r w:rsidR="00214C82" w:rsidRPr="00FD211F">
        <w:rPr>
          <w:sz w:val="36"/>
          <w:szCs w:val="36"/>
          <w:rtl/>
        </w:rPr>
        <w:t>كالممكن</w:t>
      </w:r>
      <w:r w:rsidR="00E8128F">
        <w:rPr>
          <w:sz w:val="36"/>
          <w:szCs w:val="36"/>
          <w:rtl/>
        </w:rPr>
        <w:t xml:space="preserve"> </w:t>
      </w:r>
      <w:r w:rsidR="00214C82" w:rsidRPr="00FD211F">
        <w:rPr>
          <w:sz w:val="36"/>
          <w:szCs w:val="36"/>
          <w:rtl/>
        </w:rPr>
        <w:t>كذلك</w:t>
      </w:r>
      <w:r w:rsidR="00E8128F">
        <w:rPr>
          <w:sz w:val="36"/>
          <w:szCs w:val="36"/>
          <w:rtl/>
        </w:rPr>
        <w:t xml:space="preserve"> </w:t>
      </w:r>
      <w:r w:rsidR="00214C82" w:rsidRPr="00FD211F">
        <w:rPr>
          <w:sz w:val="36"/>
          <w:szCs w:val="36"/>
          <w:rtl/>
        </w:rPr>
        <w:t>مما</w:t>
      </w:r>
      <w:r w:rsidR="00E8128F">
        <w:rPr>
          <w:sz w:val="36"/>
          <w:szCs w:val="36"/>
          <w:rtl/>
        </w:rPr>
        <w:t xml:space="preserve"> </w:t>
      </w:r>
      <w:r w:rsidR="00214C82" w:rsidRPr="00FD211F">
        <w:rPr>
          <w:sz w:val="36"/>
          <w:szCs w:val="36"/>
          <w:rtl/>
        </w:rPr>
        <w:t>لايقبل</w:t>
      </w:r>
      <w:r w:rsidR="00E8128F">
        <w:rPr>
          <w:sz w:val="36"/>
          <w:szCs w:val="36"/>
          <w:rtl/>
        </w:rPr>
        <w:t xml:space="preserve"> </w:t>
      </w:r>
      <w:r w:rsidR="00214C82" w:rsidRPr="00FD211F">
        <w:rPr>
          <w:sz w:val="36"/>
          <w:szCs w:val="36"/>
          <w:rtl/>
        </w:rPr>
        <w:t>النزاع</w:t>
      </w:r>
      <w:r w:rsidR="00E8128F">
        <w:rPr>
          <w:sz w:val="36"/>
          <w:szCs w:val="36"/>
          <w:rtl/>
        </w:rPr>
        <w:t xml:space="preserve"> </w:t>
      </w:r>
      <w:r w:rsidR="00214C82" w:rsidRPr="00FD211F">
        <w:rPr>
          <w:sz w:val="36"/>
          <w:szCs w:val="36"/>
          <w:rtl/>
        </w:rPr>
        <w:t>لنفس</w:t>
      </w:r>
      <w:r w:rsidR="00E8128F">
        <w:rPr>
          <w:sz w:val="36"/>
          <w:szCs w:val="36"/>
          <w:rtl/>
        </w:rPr>
        <w:t xml:space="preserve"> </w:t>
      </w:r>
      <w:r w:rsidR="00214C82" w:rsidRPr="00FD211F">
        <w:rPr>
          <w:sz w:val="36"/>
          <w:szCs w:val="36"/>
          <w:rtl/>
        </w:rPr>
        <w:t>النكت</w:t>
      </w:r>
      <w:r w:rsidR="00EC7EDF" w:rsidRPr="00FD211F">
        <w:rPr>
          <w:sz w:val="36"/>
          <w:szCs w:val="36"/>
          <w:rtl/>
        </w:rPr>
        <w:t>ة</w:t>
      </w:r>
      <w:r w:rsidR="00A61BAE" w:rsidRPr="00FD211F">
        <w:rPr>
          <w:sz w:val="36"/>
          <w:szCs w:val="36"/>
          <w:rtl/>
        </w:rPr>
        <w:t>.</w:t>
      </w:r>
    </w:p>
    <w:p w14:paraId="21D0BC5C" w14:textId="77777777" w:rsidR="0093416E" w:rsidRPr="00FD211F" w:rsidRDefault="00214C82" w:rsidP="009C58C8">
      <w:pPr>
        <w:ind w:left="0" w:firstLine="227"/>
        <w:jc w:val="both"/>
        <w:rPr>
          <w:sz w:val="36"/>
          <w:szCs w:val="36"/>
          <w:rtl/>
        </w:rPr>
      </w:pPr>
      <w:r w:rsidRPr="00FD211F">
        <w:rPr>
          <w:sz w:val="36"/>
          <w:szCs w:val="36"/>
          <w:rtl/>
        </w:rPr>
        <w:t>وقد</w:t>
      </w:r>
      <w:r w:rsidR="00E8128F">
        <w:rPr>
          <w:sz w:val="36"/>
          <w:szCs w:val="36"/>
          <w:rtl/>
        </w:rPr>
        <w:t xml:space="preserve"> </w:t>
      </w:r>
      <w:r w:rsidR="00EE705A" w:rsidRPr="00FD211F">
        <w:rPr>
          <w:sz w:val="36"/>
          <w:szCs w:val="36"/>
          <w:rtl/>
        </w:rPr>
        <w:t>فصل</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00387008" w:rsidRPr="00FD211F">
        <w:rPr>
          <w:sz w:val="36"/>
          <w:szCs w:val="36"/>
          <w:rtl/>
        </w:rPr>
        <w:t>"</w:t>
      </w:r>
      <w:r w:rsidRPr="00FD211F">
        <w:rPr>
          <w:sz w:val="36"/>
          <w:szCs w:val="36"/>
          <w:rtl/>
        </w:rPr>
        <w:t>قده</w:t>
      </w:r>
      <w:r w:rsidR="00387008" w:rsidRPr="00FD211F">
        <w:rPr>
          <w:sz w:val="36"/>
          <w:szCs w:val="36"/>
          <w:rtl/>
        </w:rPr>
        <w:t>"</w:t>
      </w:r>
      <w:r w:rsidR="00E8128F">
        <w:rPr>
          <w:sz w:val="36"/>
          <w:szCs w:val="36"/>
          <w:rtl/>
        </w:rPr>
        <w:t xml:space="preserve"> </w:t>
      </w:r>
      <w:r w:rsidRPr="00FD211F">
        <w:rPr>
          <w:sz w:val="36"/>
          <w:szCs w:val="36"/>
          <w:rtl/>
        </w:rPr>
        <w:t>بين</w:t>
      </w:r>
      <w:r w:rsidR="00E8128F">
        <w:rPr>
          <w:sz w:val="36"/>
          <w:szCs w:val="36"/>
          <w:rtl/>
        </w:rPr>
        <w:t xml:space="preserve"> </w:t>
      </w:r>
      <w:r w:rsidR="00EE705A" w:rsidRPr="00FD211F">
        <w:rPr>
          <w:sz w:val="36"/>
          <w:szCs w:val="36"/>
          <w:rtl/>
        </w:rPr>
        <w:t>العنوان</w:t>
      </w:r>
      <w:r w:rsidR="00E8128F">
        <w:rPr>
          <w:sz w:val="36"/>
          <w:szCs w:val="36"/>
          <w:rtl/>
        </w:rPr>
        <w:t xml:space="preserve"> </w:t>
      </w:r>
      <w:r w:rsidRPr="00FD211F">
        <w:rPr>
          <w:sz w:val="36"/>
          <w:szCs w:val="36"/>
          <w:rtl/>
        </w:rPr>
        <w:t>المشتق</w:t>
      </w:r>
      <w:r w:rsidR="00E8128F">
        <w:rPr>
          <w:sz w:val="36"/>
          <w:szCs w:val="36"/>
          <w:rtl/>
        </w:rPr>
        <w:t xml:space="preserve"> </w:t>
      </w:r>
      <w:r w:rsidR="00EE705A" w:rsidRPr="00FD211F">
        <w:rPr>
          <w:sz w:val="36"/>
          <w:szCs w:val="36"/>
          <w:rtl/>
        </w:rPr>
        <w:t>كالحيوان</w:t>
      </w:r>
      <w:r w:rsidR="00E8128F">
        <w:rPr>
          <w:sz w:val="36"/>
          <w:szCs w:val="36"/>
          <w:rtl/>
        </w:rPr>
        <w:t xml:space="preserve"> </w:t>
      </w:r>
      <w:r w:rsidR="00EE705A" w:rsidRPr="00FD211F">
        <w:rPr>
          <w:sz w:val="36"/>
          <w:szCs w:val="36"/>
          <w:rtl/>
        </w:rPr>
        <w:t>والناطق</w:t>
      </w:r>
      <w:r w:rsidR="00E8128F">
        <w:rPr>
          <w:sz w:val="36"/>
          <w:szCs w:val="36"/>
          <w:rtl/>
        </w:rPr>
        <w:t xml:space="preserve"> </w:t>
      </w:r>
      <w:r w:rsidR="00EE705A" w:rsidRPr="00FD211F">
        <w:rPr>
          <w:sz w:val="36"/>
          <w:szCs w:val="36"/>
          <w:rtl/>
        </w:rPr>
        <w:t>وبين</w:t>
      </w:r>
      <w:r w:rsidR="00E8128F">
        <w:rPr>
          <w:sz w:val="36"/>
          <w:szCs w:val="36"/>
          <w:rtl/>
        </w:rPr>
        <w:t xml:space="preserve"> </w:t>
      </w:r>
      <w:r w:rsidR="00EE705A" w:rsidRPr="00FD211F">
        <w:rPr>
          <w:sz w:val="36"/>
          <w:szCs w:val="36"/>
          <w:rtl/>
        </w:rPr>
        <w:t>العنوان</w:t>
      </w:r>
      <w:r w:rsidR="00E8128F">
        <w:rPr>
          <w:sz w:val="36"/>
          <w:szCs w:val="36"/>
          <w:rtl/>
        </w:rPr>
        <w:t xml:space="preserve"> </w:t>
      </w:r>
      <w:r w:rsidRPr="00FD211F">
        <w:rPr>
          <w:sz w:val="36"/>
          <w:szCs w:val="36"/>
          <w:rtl/>
        </w:rPr>
        <w:t>الجامد</w:t>
      </w:r>
      <w:r w:rsidR="00E8128F">
        <w:rPr>
          <w:sz w:val="36"/>
          <w:szCs w:val="36"/>
          <w:rtl/>
        </w:rPr>
        <w:t xml:space="preserve"> </w:t>
      </w:r>
      <w:r w:rsidR="00EE705A" w:rsidRPr="00FD211F">
        <w:rPr>
          <w:sz w:val="36"/>
          <w:szCs w:val="36"/>
          <w:rtl/>
        </w:rPr>
        <w:t>كالجسم</w:t>
      </w:r>
      <w:r w:rsidR="00E8128F">
        <w:rPr>
          <w:sz w:val="36"/>
          <w:szCs w:val="36"/>
          <w:rtl/>
        </w:rPr>
        <w:t xml:space="preserve"> </w:t>
      </w:r>
      <w:r w:rsidR="00EE705A" w:rsidRPr="00FD211F">
        <w:rPr>
          <w:sz w:val="36"/>
          <w:szCs w:val="36"/>
          <w:rtl/>
        </w:rPr>
        <w:t>والإنسان</w:t>
      </w:r>
      <w:r w:rsidR="00E8128F">
        <w:rPr>
          <w:sz w:val="36"/>
          <w:szCs w:val="36"/>
          <w:rtl/>
        </w:rPr>
        <w:t xml:space="preserve"> </w:t>
      </w:r>
      <w:r w:rsidR="00EE705A" w:rsidRPr="00FD211F">
        <w:rPr>
          <w:sz w:val="36"/>
          <w:szCs w:val="36"/>
          <w:rtl/>
        </w:rPr>
        <w:t>والشجر</w:t>
      </w:r>
      <w:r w:rsidR="00E8128F">
        <w:rPr>
          <w:sz w:val="36"/>
          <w:szCs w:val="36"/>
          <w:rtl/>
        </w:rPr>
        <w:t xml:space="preserve"> </w:t>
      </w:r>
      <w:r w:rsidRPr="00FD211F">
        <w:rPr>
          <w:sz w:val="36"/>
          <w:szCs w:val="36"/>
          <w:rtl/>
        </w:rPr>
        <w:t>فادعى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الهيئ</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المشتق</w:t>
      </w:r>
      <w:r w:rsidR="00E8128F">
        <w:rPr>
          <w:sz w:val="36"/>
          <w:szCs w:val="36"/>
          <w:rtl/>
        </w:rPr>
        <w:t xml:space="preserve"> </w:t>
      </w:r>
      <w:r w:rsidR="00EE705A" w:rsidRPr="00FD211F">
        <w:rPr>
          <w:sz w:val="36"/>
          <w:szCs w:val="36"/>
          <w:rtl/>
        </w:rPr>
        <w:t>لما</w:t>
      </w:r>
      <w:r w:rsidR="00E8128F">
        <w:rPr>
          <w:sz w:val="36"/>
          <w:szCs w:val="36"/>
          <w:rtl/>
        </w:rPr>
        <w:t xml:space="preserve"> </w:t>
      </w:r>
      <w:r w:rsidR="00EE705A" w:rsidRPr="00FD211F">
        <w:rPr>
          <w:sz w:val="36"/>
          <w:szCs w:val="36"/>
          <w:rtl/>
        </w:rPr>
        <w:t>كان</w:t>
      </w:r>
      <w:r w:rsidR="00E8128F">
        <w:rPr>
          <w:sz w:val="36"/>
          <w:szCs w:val="36"/>
          <w:rtl/>
        </w:rPr>
        <w:t xml:space="preserve"> </w:t>
      </w:r>
      <w:r w:rsidR="00EE705A" w:rsidRPr="00FD211F">
        <w:rPr>
          <w:sz w:val="36"/>
          <w:szCs w:val="36"/>
          <w:rtl/>
        </w:rPr>
        <w:t>نوعيا</w:t>
      </w:r>
      <w:r w:rsidR="00E8128F">
        <w:rPr>
          <w:sz w:val="36"/>
          <w:szCs w:val="36"/>
          <w:rtl/>
        </w:rPr>
        <w:t xml:space="preserve"> </w:t>
      </w:r>
      <w:r w:rsidR="00EE705A" w:rsidRPr="00FD211F">
        <w:rPr>
          <w:sz w:val="36"/>
          <w:szCs w:val="36"/>
          <w:rtl/>
        </w:rPr>
        <w:t>ف</w:t>
      </w:r>
      <w:r w:rsidRPr="00FD211F">
        <w:rPr>
          <w:sz w:val="36"/>
          <w:szCs w:val="36"/>
          <w:rtl/>
        </w:rPr>
        <w:t>لايلحظ</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خصوصي</w:t>
      </w:r>
      <w:r w:rsidR="00EC7EDF" w:rsidRPr="00FD211F">
        <w:rPr>
          <w:sz w:val="36"/>
          <w:szCs w:val="36"/>
          <w:rtl/>
        </w:rPr>
        <w:t>ة</w:t>
      </w:r>
      <w:r w:rsidR="00E8128F">
        <w:rPr>
          <w:sz w:val="36"/>
          <w:szCs w:val="36"/>
          <w:rtl/>
        </w:rPr>
        <w:t xml:space="preserve"> </w:t>
      </w:r>
      <w:r w:rsidRPr="00FD211F">
        <w:rPr>
          <w:sz w:val="36"/>
          <w:szCs w:val="36"/>
          <w:rtl/>
        </w:rPr>
        <w:t>الماد</w:t>
      </w:r>
      <w:r w:rsidR="00EC7EDF" w:rsidRPr="00FD211F">
        <w:rPr>
          <w:sz w:val="36"/>
          <w:szCs w:val="36"/>
          <w:rtl/>
        </w:rPr>
        <w:t>ة</w:t>
      </w:r>
      <w:r w:rsidR="00603323" w:rsidRPr="00FD211F">
        <w:rPr>
          <w:sz w:val="36"/>
          <w:szCs w:val="36"/>
          <w:rtl/>
        </w:rPr>
        <w:t>،</w:t>
      </w:r>
      <w:r w:rsidR="00E8128F">
        <w:rPr>
          <w:sz w:val="36"/>
          <w:szCs w:val="36"/>
          <w:rtl/>
        </w:rPr>
        <w:t xml:space="preserve"> </w:t>
      </w:r>
      <w:r w:rsidR="00EE705A" w:rsidRPr="00FD211F">
        <w:rPr>
          <w:sz w:val="36"/>
          <w:szCs w:val="36"/>
          <w:rtl/>
        </w:rPr>
        <w:t>وحينئذ</w:t>
      </w:r>
      <w:r w:rsidR="00E8128F">
        <w:rPr>
          <w:sz w:val="36"/>
          <w:szCs w:val="36"/>
          <w:rtl/>
        </w:rPr>
        <w:t xml:space="preserve"> </w:t>
      </w:r>
      <w:r w:rsidRPr="00FD211F">
        <w:rPr>
          <w:sz w:val="36"/>
          <w:szCs w:val="36"/>
          <w:rtl/>
        </w:rPr>
        <w:t>فلايلغو</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00EE705A" w:rsidRPr="00FD211F">
        <w:rPr>
          <w:sz w:val="36"/>
          <w:szCs w:val="36"/>
          <w:rtl/>
        </w:rPr>
        <w:t>المشتق</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انقضى</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استحال</w:t>
      </w:r>
      <w:r w:rsidR="00E8128F">
        <w:rPr>
          <w:sz w:val="36"/>
          <w:szCs w:val="36"/>
          <w:rtl/>
        </w:rPr>
        <w:t xml:space="preserve"> </w:t>
      </w:r>
      <w:r w:rsidRPr="00FD211F">
        <w:rPr>
          <w:sz w:val="36"/>
          <w:szCs w:val="36"/>
          <w:rtl/>
        </w:rPr>
        <w:t>بقاء</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انقضاء</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لخصوصي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بعض</w:t>
      </w:r>
      <w:r w:rsidR="00E8128F">
        <w:rPr>
          <w:sz w:val="36"/>
          <w:szCs w:val="36"/>
          <w:rtl/>
        </w:rPr>
        <w:t xml:space="preserve"> </w:t>
      </w:r>
      <w:r w:rsidRPr="00FD211F">
        <w:rPr>
          <w:sz w:val="36"/>
          <w:szCs w:val="36"/>
          <w:rtl/>
        </w:rPr>
        <w:t>المواد</w:t>
      </w:r>
      <w:r w:rsidR="00E8128F">
        <w:rPr>
          <w:sz w:val="36"/>
          <w:szCs w:val="36"/>
          <w:rtl/>
        </w:rPr>
        <w:t xml:space="preserve"> </w:t>
      </w:r>
      <w:r w:rsidRPr="00FD211F">
        <w:rPr>
          <w:sz w:val="36"/>
          <w:szCs w:val="36"/>
          <w:rtl/>
        </w:rPr>
        <w:t>كالممكن</w:t>
      </w:r>
      <w:r w:rsidR="00E8128F">
        <w:rPr>
          <w:sz w:val="36"/>
          <w:szCs w:val="36"/>
          <w:rtl/>
        </w:rPr>
        <w:t xml:space="preserve"> </w:t>
      </w:r>
      <w:r w:rsidR="00054748" w:rsidRPr="00FD211F">
        <w:rPr>
          <w:sz w:val="36"/>
          <w:szCs w:val="36"/>
          <w:rtl/>
        </w:rPr>
        <w:t>والحيوان</w:t>
      </w:r>
      <w:r w:rsidR="00603323" w:rsidRPr="00FD211F">
        <w:rPr>
          <w:sz w:val="36"/>
          <w:szCs w:val="36"/>
          <w:rtl/>
        </w:rPr>
        <w:t>،</w:t>
      </w:r>
      <w:r w:rsidR="00E8128F">
        <w:rPr>
          <w:sz w:val="36"/>
          <w:szCs w:val="36"/>
          <w:rtl/>
        </w:rPr>
        <w:t xml:space="preserve"> </w:t>
      </w:r>
      <w:r w:rsidR="00054748" w:rsidRPr="00FD211F">
        <w:rPr>
          <w:sz w:val="36"/>
          <w:szCs w:val="36"/>
          <w:rtl/>
        </w:rPr>
        <w:t>-فان</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الفعلان</w:t>
      </w:r>
      <w:r w:rsidR="00E8128F">
        <w:rPr>
          <w:sz w:val="36"/>
          <w:szCs w:val="36"/>
          <w:rtl/>
        </w:rPr>
        <w:t xml:space="preserve"> </w:t>
      </w:r>
      <w:r w:rsidR="00054748" w:rsidRPr="00FD211F">
        <w:rPr>
          <w:sz w:val="36"/>
          <w:szCs w:val="36"/>
          <w:rtl/>
        </w:rPr>
        <w:t>مشترك</w:t>
      </w:r>
      <w:r w:rsidR="00EC7EDF" w:rsidRPr="00FD211F">
        <w:rPr>
          <w:sz w:val="36"/>
          <w:szCs w:val="36"/>
          <w:rtl/>
        </w:rPr>
        <w:t>ة</w:t>
      </w:r>
      <w:r w:rsidR="00E8128F">
        <w:rPr>
          <w:sz w:val="36"/>
          <w:szCs w:val="36"/>
          <w:rtl/>
        </w:rPr>
        <w:t xml:space="preserve"> </w:t>
      </w:r>
      <w:r w:rsidR="00054748" w:rsidRPr="00FD211F">
        <w:rPr>
          <w:sz w:val="36"/>
          <w:szCs w:val="36"/>
          <w:rtl/>
        </w:rPr>
        <w:t>بينه</w:t>
      </w:r>
      <w:r w:rsidR="00E8128F">
        <w:rPr>
          <w:sz w:val="36"/>
          <w:szCs w:val="36"/>
          <w:rtl/>
        </w:rPr>
        <w:t xml:space="preserve"> </w:t>
      </w:r>
      <w:r w:rsidR="00054748" w:rsidRPr="00FD211F">
        <w:rPr>
          <w:sz w:val="36"/>
          <w:szCs w:val="36"/>
          <w:rtl/>
        </w:rPr>
        <w:t>وبين</w:t>
      </w:r>
      <w:r w:rsidR="00E8128F">
        <w:rPr>
          <w:sz w:val="36"/>
          <w:szCs w:val="36"/>
          <w:rtl/>
        </w:rPr>
        <w:t xml:space="preserve"> </w:t>
      </w:r>
      <w:r w:rsidR="00054748" w:rsidRPr="00FD211F">
        <w:rPr>
          <w:sz w:val="36"/>
          <w:szCs w:val="36"/>
          <w:rtl/>
        </w:rPr>
        <w:t>ما</w:t>
      </w:r>
      <w:r w:rsidR="00E8128F">
        <w:rPr>
          <w:sz w:val="36"/>
          <w:szCs w:val="36"/>
          <w:rtl/>
        </w:rPr>
        <w:t xml:space="preserve"> </w:t>
      </w:r>
      <w:r w:rsidR="00054748" w:rsidRPr="00FD211F">
        <w:rPr>
          <w:sz w:val="36"/>
          <w:szCs w:val="36"/>
          <w:rtl/>
        </w:rPr>
        <w:t>يتصور</w:t>
      </w:r>
      <w:r w:rsidR="00E8128F">
        <w:rPr>
          <w:sz w:val="36"/>
          <w:szCs w:val="36"/>
          <w:rtl/>
        </w:rPr>
        <w:t xml:space="preserve"> </w:t>
      </w:r>
      <w:r w:rsidR="00054748" w:rsidRPr="00FD211F">
        <w:rPr>
          <w:sz w:val="36"/>
          <w:szCs w:val="36"/>
          <w:rtl/>
        </w:rPr>
        <w:t>فيه</w:t>
      </w:r>
      <w:r w:rsidR="00E8128F">
        <w:rPr>
          <w:sz w:val="36"/>
          <w:szCs w:val="36"/>
          <w:rtl/>
        </w:rPr>
        <w:t xml:space="preserve"> </w:t>
      </w:r>
      <w:r w:rsidR="00054748" w:rsidRPr="00FD211F">
        <w:rPr>
          <w:sz w:val="36"/>
          <w:szCs w:val="36"/>
          <w:rtl/>
        </w:rPr>
        <w:t>بقاء</w:t>
      </w:r>
      <w:r w:rsidR="00E8128F">
        <w:rPr>
          <w:sz w:val="36"/>
          <w:szCs w:val="36"/>
          <w:rtl/>
        </w:rPr>
        <w:t xml:space="preserve"> </w:t>
      </w:r>
      <w:r w:rsidR="00054748" w:rsidRPr="00FD211F">
        <w:rPr>
          <w:sz w:val="36"/>
          <w:szCs w:val="36"/>
          <w:rtl/>
        </w:rPr>
        <w:t>الذات</w:t>
      </w:r>
      <w:r w:rsidR="00E8128F">
        <w:rPr>
          <w:sz w:val="36"/>
          <w:szCs w:val="36"/>
          <w:rtl/>
        </w:rPr>
        <w:t xml:space="preserve"> </w:t>
      </w:r>
      <w:r w:rsidR="00054748" w:rsidRPr="00FD211F">
        <w:rPr>
          <w:sz w:val="36"/>
          <w:szCs w:val="36"/>
          <w:rtl/>
        </w:rPr>
        <w:t>بعد</w:t>
      </w:r>
      <w:r w:rsidR="00E8128F">
        <w:rPr>
          <w:sz w:val="36"/>
          <w:szCs w:val="36"/>
          <w:rtl/>
        </w:rPr>
        <w:t xml:space="preserve"> </w:t>
      </w:r>
      <w:r w:rsidR="00054748" w:rsidRPr="00FD211F">
        <w:rPr>
          <w:sz w:val="36"/>
          <w:szCs w:val="36"/>
          <w:rtl/>
        </w:rPr>
        <w:t>انقضاء</w:t>
      </w:r>
      <w:r w:rsidR="00E8128F">
        <w:rPr>
          <w:sz w:val="36"/>
          <w:szCs w:val="36"/>
          <w:rtl/>
        </w:rPr>
        <w:t xml:space="preserve"> </w:t>
      </w:r>
      <w:r w:rsidR="00054748" w:rsidRPr="00FD211F">
        <w:rPr>
          <w:sz w:val="36"/>
          <w:szCs w:val="36"/>
          <w:rtl/>
        </w:rPr>
        <w:t>تلبسه</w:t>
      </w:r>
      <w:r w:rsidR="00E8128F">
        <w:rPr>
          <w:sz w:val="36"/>
          <w:szCs w:val="36"/>
          <w:rtl/>
        </w:rPr>
        <w:t xml:space="preserve"> </w:t>
      </w:r>
      <w:r w:rsidR="00054748" w:rsidRPr="00FD211F">
        <w:rPr>
          <w:sz w:val="36"/>
          <w:szCs w:val="36"/>
          <w:rtl/>
        </w:rPr>
        <w:t>بال</w:t>
      </w:r>
      <w:r w:rsidR="0079493B" w:rsidRPr="00FD211F">
        <w:rPr>
          <w:sz w:val="36"/>
          <w:szCs w:val="36"/>
          <w:rtl/>
        </w:rPr>
        <w:t>مبدأ</w:t>
      </w:r>
      <w:r w:rsidR="00E8128F">
        <w:rPr>
          <w:sz w:val="36"/>
          <w:szCs w:val="36"/>
          <w:rtl/>
        </w:rPr>
        <w:t xml:space="preserve"> </w:t>
      </w:r>
      <w:r w:rsidR="00054748" w:rsidRPr="00FD211F">
        <w:rPr>
          <w:sz w:val="36"/>
          <w:szCs w:val="36"/>
          <w:rtl/>
        </w:rPr>
        <w:t>ك</w:t>
      </w:r>
      <w:r w:rsidRPr="00FD211F">
        <w:rPr>
          <w:sz w:val="36"/>
          <w:szCs w:val="36"/>
          <w:rtl/>
        </w:rPr>
        <w:t>العطشان</w:t>
      </w:r>
      <w:r w:rsidR="00603323" w:rsidRPr="00FD211F">
        <w:rPr>
          <w:sz w:val="36"/>
          <w:szCs w:val="36"/>
          <w:rtl/>
        </w:rPr>
        <w:t>،</w:t>
      </w:r>
      <w:r w:rsidR="00E8128F">
        <w:rPr>
          <w:sz w:val="36"/>
          <w:szCs w:val="36"/>
          <w:rtl/>
        </w:rPr>
        <w:t xml:space="preserve"> </w:t>
      </w:r>
      <w:r w:rsidR="00054748" w:rsidRPr="00FD211F">
        <w:rPr>
          <w:sz w:val="36"/>
          <w:szCs w:val="36"/>
          <w:rtl/>
        </w:rPr>
        <w:t>فيتصور</w:t>
      </w:r>
      <w:r w:rsidR="00E8128F">
        <w:rPr>
          <w:sz w:val="36"/>
          <w:szCs w:val="36"/>
          <w:rtl/>
        </w:rPr>
        <w:t xml:space="preserve"> </w:t>
      </w:r>
      <w:r w:rsidR="00054748" w:rsidRPr="00FD211F">
        <w:rPr>
          <w:sz w:val="36"/>
          <w:szCs w:val="36"/>
          <w:rtl/>
        </w:rPr>
        <w:t>فيها</w:t>
      </w:r>
      <w:r w:rsidR="00E8128F">
        <w:rPr>
          <w:sz w:val="36"/>
          <w:szCs w:val="36"/>
          <w:rtl/>
        </w:rPr>
        <w:t xml:space="preserve"> </w:t>
      </w:r>
      <w:r w:rsidR="00054748" w:rsidRPr="00FD211F">
        <w:rPr>
          <w:sz w:val="36"/>
          <w:szCs w:val="36"/>
          <w:rtl/>
        </w:rPr>
        <w:t>الوضع</w:t>
      </w:r>
      <w:r w:rsidR="00E8128F">
        <w:rPr>
          <w:sz w:val="36"/>
          <w:szCs w:val="36"/>
          <w:rtl/>
        </w:rPr>
        <w:t xml:space="preserve"> </w:t>
      </w:r>
      <w:r w:rsidR="0093416E" w:rsidRPr="00FD211F">
        <w:rPr>
          <w:sz w:val="36"/>
          <w:szCs w:val="36"/>
          <w:rtl/>
        </w:rPr>
        <w:t>للأعم-</w:t>
      </w:r>
      <w:r w:rsidR="00E8128F">
        <w:rPr>
          <w:sz w:val="36"/>
          <w:szCs w:val="36"/>
          <w:rtl/>
        </w:rPr>
        <w:t xml:space="preserve"> </w:t>
      </w:r>
      <w:r w:rsidRPr="00FD211F">
        <w:rPr>
          <w:sz w:val="36"/>
          <w:szCs w:val="36"/>
          <w:rtl/>
        </w:rPr>
        <w:t>واما</w:t>
      </w:r>
      <w:r w:rsidR="00E8128F">
        <w:rPr>
          <w:sz w:val="36"/>
          <w:szCs w:val="36"/>
          <w:rtl/>
        </w:rPr>
        <w:t xml:space="preserve"> </w:t>
      </w:r>
      <w:r w:rsidRPr="00FD211F">
        <w:rPr>
          <w:sz w:val="36"/>
          <w:szCs w:val="36"/>
          <w:rtl/>
        </w:rPr>
        <w:t>الجوامد</w:t>
      </w:r>
      <w:r w:rsidR="00E8128F">
        <w:rPr>
          <w:sz w:val="36"/>
          <w:szCs w:val="36"/>
          <w:rtl/>
        </w:rPr>
        <w:t xml:space="preserve"> </w:t>
      </w:r>
      <w:r w:rsidRPr="00FD211F">
        <w:rPr>
          <w:sz w:val="36"/>
          <w:szCs w:val="36"/>
          <w:rtl/>
        </w:rPr>
        <w:t>كلفظ</w:t>
      </w:r>
      <w:r w:rsidR="00E8128F">
        <w:rPr>
          <w:sz w:val="36"/>
          <w:szCs w:val="36"/>
          <w:rtl/>
        </w:rPr>
        <w:t xml:space="preserve"> </w:t>
      </w:r>
      <w:r w:rsidRPr="00FD211F">
        <w:rPr>
          <w:sz w:val="36"/>
          <w:szCs w:val="36"/>
          <w:rtl/>
        </w:rPr>
        <w:t>الجسم</w:t>
      </w:r>
      <w:r w:rsidR="00E8128F">
        <w:rPr>
          <w:sz w:val="36"/>
          <w:szCs w:val="36"/>
          <w:rtl/>
        </w:rPr>
        <w:t xml:space="preserve"> </w:t>
      </w:r>
      <w:r w:rsidR="0093416E" w:rsidRPr="00FD211F">
        <w:rPr>
          <w:sz w:val="36"/>
          <w:szCs w:val="36"/>
          <w:rtl/>
        </w:rPr>
        <w:t>فحيث</w:t>
      </w:r>
      <w:r w:rsidR="00E8128F">
        <w:rPr>
          <w:sz w:val="36"/>
          <w:szCs w:val="36"/>
          <w:rtl/>
        </w:rPr>
        <w:t xml:space="preserve"> </w:t>
      </w:r>
      <w:r w:rsidR="0093416E" w:rsidRPr="00FD211F">
        <w:rPr>
          <w:sz w:val="36"/>
          <w:szCs w:val="36"/>
          <w:rtl/>
        </w:rPr>
        <w:t>ت</w:t>
      </w:r>
      <w:r w:rsidRPr="00FD211F">
        <w:rPr>
          <w:sz w:val="36"/>
          <w:szCs w:val="36"/>
          <w:rtl/>
        </w:rPr>
        <w:t>كون</w:t>
      </w:r>
      <w:r w:rsidR="00E8128F">
        <w:rPr>
          <w:sz w:val="36"/>
          <w:szCs w:val="36"/>
          <w:rtl/>
        </w:rPr>
        <w:t xml:space="preserve"> </w:t>
      </w:r>
      <w:r w:rsidRPr="00FD211F">
        <w:rPr>
          <w:sz w:val="36"/>
          <w:szCs w:val="36"/>
          <w:rtl/>
        </w:rPr>
        <w:t>موضوع</w:t>
      </w:r>
      <w:r w:rsidR="00EC7EDF" w:rsidRPr="00FD211F">
        <w:rPr>
          <w:sz w:val="36"/>
          <w:szCs w:val="36"/>
          <w:rtl/>
        </w:rPr>
        <w:t>ة</w:t>
      </w:r>
      <w:r w:rsidR="00E8128F">
        <w:rPr>
          <w:sz w:val="36"/>
          <w:szCs w:val="36"/>
          <w:rtl/>
        </w:rPr>
        <w:t xml:space="preserve"> </w:t>
      </w:r>
      <w:r w:rsidR="0093416E" w:rsidRPr="00FD211F">
        <w:rPr>
          <w:sz w:val="36"/>
          <w:szCs w:val="36"/>
          <w:rtl/>
        </w:rPr>
        <w:t>بمادتها</w:t>
      </w:r>
      <w:r w:rsidR="00E8128F">
        <w:rPr>
          <w:sz w:val="36"/>
          <w:szCs w:val="36"/>
          <w:rtl/>
        </w:rPr>
        <w:t xml:space="preserve"> </w:t>
      </w:r>
      <w:r w:rsidR="0093416E" w:rsidRPr="00FD211F">
        <w:rPr>
          <w:sz w:val="36"/>
          <w:szCs w:val="36"/>
          <w:rtl/>
        </w:rPr>
        <w:t>وهيئتها</w:t>
      </w:r>
      <w:r w:rsidR="00E8128F">
        <w:rPr>
          <w:sz w:val="36"/>
          <w:szCs w:val="36"/>
          <w:rtl/>
        </w:rPr>
        <w:t xml:space="preserve"> </w:t>
      </w:r>
      <w:r w:rsidRPr="00FD211F">
        <w:rPr>
          <w:sz w:val="36"/>
          <w:szCs w:val="36"/>
          <w:rtl/>
        </w:rPr>
        <w:t>بوضع</w:t>
      </w:r>
      <w:r w:rsidR="00E8128F">
        <w:rPr>
          <w:sz w:val="36"/>
          <w:szCs w:val="36"/>
          <w:rtl/>
        </w:rPr>
        <w:t xml:space="preserve"> </w:t>
      </w:r>
      <w:r w:rsidRPr="00FD211F">
        <w:rPr>
          <w:sz w:val="36"/>
          <w:szCs w:val="36"/>
          <w:rtl/>
        </w:rPr>
        <w:t>شخصي</w:t>
      </w:r>
      <w:r w:rsidR="00E8128F">
        <w:rPr>
          <w:sz w:val="36"/>
          <w:szCs w:val="36"/>
          <w:rtl/>
        </w:rPr>
        <w:t xml:space="preserve"> </w:t>
      </w:r>
      <w:r w:rsidR="0093416E" w:rsidRPr="00FD211F">
        <w:rPr>
          <w:sz w:val="36"/>
          <w:szCs w:val="36"/>
          <w:rtl/>
        </w:rPr>
        <w:t>على</w:t>
      </w:r>
      <w:r w:rsidR="00E8128F">
        <w:rPr>
          <w:sz w:val="36"/>
          <w:szCs w:val="36"/>
          <w:rtl/>
        </w:rPr>
        <w:t xml:space="preserve"> </w:t>
      </w:r>
      <w:r w:rsidR="0093416E" w:rsidRPr="00FD211F">
        <w:rPr>
          <w:sz w:val="36"/>
          <w:szCs w:val="36"/>
          <w:rtl/>
        </w:rPr>
        <w:t>معانيها</w:t>
      </w:r>
      <w:r w:rsidR="00E8128F">
        <w:rPr>
          <w:sz w:val="36"/>
          <w:szCs w:val="36"/>
          <w:rtl/>
        </w:rPr>
        <w:t xml:space="preserve"> </w:t>
      </w:r>
      <w:r w:rsidR="0093416E" w:rsidRPr="00FD211F">
        <w:rPr>
          <w:sz w:val="36"/>
          <w:szCs w:val="36"/>
          <w:rtl/>
        </w:rPr>
        <w:t>فلو</w:t>
      </w:r>
      <w:r w:rsidR="00E8128F">
        <w:rPr>
          <w:sz w:val="36"/>
          <w:szCs w:val="36"/>
          <w:rtl/>
        </w:rPr>
        <w:t xml:space="preserve"> </w:t>
      </w:r>
      <w:r w:rsidR="0093416E" w:rsidRPr="00FD211F">
        <w:rPr>
          <w:sz w:val="36"/>
          <w:szCs w:val="36"/>
          <w:rtl/>
        </w:rPr>
        <w:t>فرض</w:t>
      </w:r>
      <w:r w:rsidR="00E8128F">
        <w:rPr>
          <w:sz w:val="36"/>
          <w:szCs w:val="36"/>
          <w:rtl/>
        </w:rPr>
        <w:t xml:space="preserve"> </w:t>
      </w:r>
      <w:r w:rsidRPr="00FD211F">
        <w:rPr>
          <w:sz w:val="36"/>
          <w:szCs w:val="36"/>
          <w:rtl/>
        </w:rPr>
        <w:t>استحال</w:t>
      </w:r>
      <w:r w:rsidR="00EC7EDF" w:rsidRPr="00FD211F">
        <w:rPr>
          <w:sz w:val="36"/>
          <w:szCs w:val="36"/>
          <w:rtl/>
        </w:rPr>
        <w:t>ة</w:t>
      </w:r>
      <w:r w:rsidR="00E8128F">
        <w:rPr>
          <w:sz w:val="36"/>
          <w:szCs w:val="36"/>
          <w:rtl/>
        </w:rPr>
        <w:t xml:space="preserve"> </w:t>
      </w:r>
      <w:r w:rsidRPr="00FD211F">
        <w:rPr>
          <w:sz w:val="36"/>
          <w:szCs w:val="36"/>
          <w:rtl/>
        </w:rPr>
        <w:t>بقاء</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انقضاء</w:t>
      </w:r>
      <w:r w:rsidR="00E8128F">
        <w:rPr>
          <w:sz w:val="36"/>
          <w:szCs w:val="36"/>
          <w:rtl/>
        </w:rPr>
        <w:t xml:space="preserve"> </w:t>
      </w:r>
      <w:r w:rsidR="0093416E" w:rsidRPr="00FD211F">
        <w:rPr>
          <w:sz w:val="36"/>
          <w:szCs w:val="36"/>
          <w:rtl/>
        </w:rPr>
        <w:t>تلبسها</w:t>
      </w:r>
      <w:r w:rsidR="00E8128F">
        <w:rPr>
          <w:sz w:val="36"/>
          <w:szCs w:val="36"/>
          <w:rtl/>
        </w:rPr>
        <w:t xml:space="preserve"> </w:t>
      </w:r>
      <w:r w:rsidR="0093416E" w:rsidRPr="00FD211F">
        <w:rPr>
          <w:sz w:val="36"/>
          <w:szCs w:val="36"/>
          <w:rtl/>
        </w:rPr>
        <w:t>بال</w:t>
      </w:r>
      <w:r w:rsidR="0079493B" w:rsidRPr="00FD211F">
        <w:rPr>
          <w:sz w:val="36"/>
          <w:szCs w:val="36"/>
          <w:rtl/>
        </w:rPr>
        <w:t>مبدأ</w:t>
      </w:r>
      <w:r w:rsidR="00603323" w:rsidRPr="00FD211F">
        <w:rPr>
          <w:sz w:val="36"/>
          <w:szCs w:val="36"/>
          <w:rtl/>
        </w:rPr>
        <w:t>،</w:t>
      </w:r>
      <w:r w:rsidR="00E8128F">
        <w:rPr>
          <w:sz w:val="36"/>
          <w:szCs w:val="36"/>
          <w:rtl/>
        </w:rPr>
        <w:t xml:space="preserve"> </w:t>
      </w:r>
      <w:r w:rsidR="0093416E" w:rsidRPr="00FD211F">
        <w:rPr>
          <w:sz w:val="36"/>
          <w:szCs w:val="36"/>
          <w:rtl/>
        </w:rPr>
        <w:t>فيلغو</w:t>
      </w:r>
      <w:r w:rsidR="00E8128F">
        <w:rPr>
          <w:sz w:val="36"/>
          <w:szCs w:val="36"/>
          <w:rtl/>
        </w:rPr>
        <w:t xml:space="preserve"> </w:t>
      </w:r>
      <w:r w:rsidR="0093416E" w:rsidRPr="00FD211F">
        <w:rPr>
          <w:sz w:val="36"/>
          <w:szCs w:val="36"/>
          <w:rtl/>
        </w:rPr>
        <w:t>وضع</w:t>
      </w:r>
      <w:r w:rsidR="00E8128F">
        <w:rPr>
          <w:sz w:val="36"/>
          <w:szCs w:val="36"/>
          <w:rtl/>
        </w:rPr>
        <w:t xml:space="preserve"> </w:t>
      </w:r>
      <w:r w:rsidR="00456DE6" w:rsidRPr="00FD211F">
        <w:rPr>
          <w:sz w:val="36"/>
          <w:szCs w:val="36"/>
          <w:rtl/>
        </w:rPr>
        <w:t>ال</w:t>
      </w:r>
      <w:r w:rsidR="0093416E" w:rsidRPr="00FD211F">
        <w:rPr>
          <w:sz w:val="36"/>
          <w:szCs w:val="36"/>
          <w:rtl/>
        </w:rPr>
        <w:t>اسم</w:t>
      </w:r>
      <w:r w:rsidR="00E8128F">
        <w:rPr>
          <w:sz w:val="36"/>
          <w:szCs w:val="36"/>
          <w:rtl/>
        </w:rPr>
        <w:t xml:space="preserve"> </w:t>
      </w:r>
      <w:r w:rsidR="00456DE6" w:rsidRPr="00FD211F">
        <w:rPr>
          <w:sz w:val="36"/>
          <w:szCs w:val="36"/>
          <w:rtl/>
        </w:rPr>
        <w:t>ال</w:t>
      </w:r>
      <w:r w:rsidR="0093416E" w:rsidRPr="00FD211F">
        <w:rPr>
          <w:sz w:val="36"/>
          <w:szCs w:val="36"/>
          <w:rtl/>
        </w:rPr>
        <w:t>جامد</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ل</w:t>
      </w:r>
      <w:r w:rsidR="0093416E" w:rsidRPr="00FD211F">
        <w:rPr>
          <w:sz w:val="36"/>
          <w:szCs w:val="36"/>
          <w:rtl/>
        </w:rPr>
        <w:t>ان</w:t>
      </w:r>
      <w:r w:rsidR="00E8128F">
        <w:rPr>
          <w:sz w:val="36"/>
          <w:szCs w:val="36"/>
          <w:rtl/>
        </w:rPr>
        <w:t xml:space="preserve"> </w:t>
      </w:r>
      <w:r w:rsidR="0093416E" w:rsidRPr="00FD211F">
        <w:rPr>
          <w:sz w:val="36"/>
          <w:szCs w:val="36"/>
          <w:rtl/>
        </w:rPr>
        <w:t>الغرض</w:t>
      </w:r>
      <w:r w:rsidR="00E8128F">
        <w:rPr>
          <w:sz w:val="36"/>
          <w:szCs w:val="36"/>
          <w:rtl/>
        </w:rPr>
        <w:t xml:space="preserve"> </w:t>
      </w:r>
      <w:r w:rsidR="0093416E" w:rsidRPr="00FD211F">
        <w:rPr>
          <w:sz w:val="36"/>
          <w:szCs w:val="36"/>
          <w:rtl/>
        </w:rPr>
        <w:t>من</w:t>
      </w:r>
      <w:r w:rsidR="00E8128F">
        <w:rPr>
          <w:sz w:val="36"/>
          <w:szCs w:val="36"/>
          <w:rtl/>
        </w:rPr>
        <w:t xml:space="preserve"> </w:t>
      </w:r>
      <w:r w:rsidR="0093416E" w:rsidRPr="00FD211F">
        <w:rPr>
          <w:sz w:val="36"/>
          <w:szCs w:val="36"/>
          <w:rtl/>
        </w:rPr>
        <w:t>الوضع</w:t>
      </w:r>
      <w:r w:rsidR="00E8128F">
        <w:rPr>
          <w:sz w:val="36"/>
          <w:szCs w:val="36"/>
          <w:rtl/>
        </w:rPr>
        <w:t xml:space="preserve"> </w:t>
      </w:r>
      <w:r w:rsidR="0093416E" w:rsidRPr="00FD211F">
        <w:rPr>
          <w:sz w:val="36"/>
          <w:szCs w:val="36"/>
          <w:rtl/>
        </w:rPr>
        <w:t>هو</w:t>
      </w:r>
      <w:r w:rsidR="00E8128F">
        <w:rPr>
          <w:sz w:val="36"/>
          <w:szCs w:val="36"/>
          <w:rtl/>
        </w:rPr>
        <w:t xml:space="preserve"> </w:t>
      </w:r>
      <w:r w:rsidR="0093416E" w:rsidRPr="00FD211F">
        <w:rPr>
          <w:sz w:val="36"/>
          <w:szCs w:val="36"/>
          <w:rtl/>
        </w:rPr>
        <w:t>التفهيم</w:t>
      </w:r>
      <w:r w:rsidR="00E8128F">
        <w:rPr>
          <w:sz w:val="36"/>
          <w:szCs w:val="36"/>
          <w:rtl/>
        </w:rPr>
        <w:t xml:space="preserve"> </w:t>
      </w:r>
      <w:r w:rsidR="0093416E" w:rsidRPr="00FD211F">
        <w:rPr>
          <w:sz w:val="36"/>
          <w:szCs w:val="36"/>
          <w:rtl/>
        </w:rPr>
        <w:t>والتفهم</w:t>
      </w:r>
      <w:r w:rsidR="00603323" w:rsidRPr="00FD211F">
        <w:rPr>
          <w:sz w:val="36"/>
          <w:szCs w:val="36"/>
          <w:rtl/>
        </w:rPr>
        <w:t>،</w:t>
      </w:r>
      <w:r w:rsidR="00E8128F">
        <w:rPr>
          <w:sz w:val="36"/>
          <w:szCs w:val="36"/>
          <w:rtl/>
        </w:rPr>
        <w:t xml:space="preserve"> </w:t>
      </w:r>
      <w:r w:rsidR="0093416E" w:rsidRPr="00FD211F">
        <w:rPr>
          <w:sz w:val="36"/>
          <w:szCs w:val="36"/>
          <w:rtl/>
        </w:rPr>
        <w:t>ومع</w:t>
      </w:r>
      <w:r w:rsidR="00E8128F">
        <w:rPr>
          <w:sz w:val="36"/>
          <w:szCs w:val="36"/>
          <w:rtl/>
        </w:rPr>
        <w:t xml:space="preserve"> </w:t>
      </w:r>
      <w:r w:rsidR="0093416E" w:rsidRPr="00FD211F">
        <w:rPr>
          <w:sz w:val="36"/>
          <w:szCs w:val="36"/>
          <w:rtl/>
        </w:rPr>
        <w:t>عدم</w:t>
      </w:r>
      <w:r w:rsidR="00E8128F">
        <w:rPr>
          <w:sz w:val="36"/>
          <w:szCs w:val="36"/>
          <w:rtl/>
        </w:rPr>
        <w:t xml:space="preserve"> </w:t>
      </w:r>
      <w:r w:rsidR="009867AE" w:rsidRPr="00FD211F">
        <w:rPr>
          <w:sz w:val="36"/>
          <w:szCs w:val="36"/>
          <w:rtl/>
        </w:rPr>
        <w:t>افتراض</w:t>
      </w:r>
      <w:r w:rsidR="00E8128F">
        <w:rPr>
          <w:sz w:val="36"/>
          <w:szCs w:val="36"/>
          <w:rtl/>
        </w:rPr>
        <w:t xml:space="preserve"> </w:t>
      </w:r>
      <w:r w:rsidR="0093416E" w:rsidRPr="00FD211F">
        <w:rPr>
          <w:sz w:val="36"/>
          <w:szCs w:val="36"/>
          <w:rtl/>
        </w:rPr>
        <w:t>الذات</w:t>
      </w:r>
      <w:r w:rsidR="00E8128F">
        <w:rPr>
          <w:sz w:val="36"/>
          <w:szCs w:val="36"/>
          <w:rtl/>
        </w:rPr>
        <w:t xml:space="preserve"> </w:t>
      </w:r>
      <w:r w:rsidR="0093416E" w:rsidRPr="00FD211F">
        <w:rPr>
          <w:sz w:val="36"/>
          <w:szCs w:val="36"/>
          <w:rtl/>
        </w:rPr>
        <w:t>التي</w:t>
      </w:r>
      <w:r w:rsidR="00E8128F">
        <w:rPr>
          <w:sz w:val="36"/>
          <w:szCs w:val="36"/>
          <w:rtl/>
        </w:rPr>
        <w:t xml:space="preserve"> </w:t>
      </w:r>
      <w:r w:rsidR="0093416E" w:rsidRPr="00FD211F">
        <w:rPr>
          <w:sz w:val="36"/>
          <w:szCs w:val="36"/>
          <w:rtl/>
        </w:rPr>
        <w:t>انقضى</w:t>
      </w:r>
      <w:r w:rsidR="00E8128F">
        <w:rPr>
          <w:sz w:val="36"/>
          <w:szCs w:val="36"/>
          <w:rtl/>
        </w:rPr>
        <w:t xml:space="preserve"> </w:t>
      </w:r>
      <w:r w:rsidR="0093416E" w:rsidRPr="00FD211F">
        <w:rPr>
          <w:sz w:val="36"/>
          <w:szCs w:val="36"/>
          <w:rtl/>
        </w:rPr>
        <w:t>عنها</w:t>
      </w:r>
      <w:r w:rsidR="00E8128F">
        <w:rPr>
          <w:sz w:val="36"/>
          <w:szCs w:val="36"/>
          <w:rtl/>
        </w:rPr>
        <w:t xml:space="preserve"> </w:t>
      </w:r>
      <w:r w:rsidR="0093416E" w:rsidRPr="00FD211F">
        <w:rPr>
          <w:sz w:val="36"/>
          <w:szCs w:val="36"/>
          <w:rtl/>
        </w:rPr>
        <w:t>صور</w:t>
      </w:r>
      <w:r w:rsidR="00EC7EDF" w:rsidRPr="00FD211F">
        <w:rPr>
          <w:sz w:val="36"/>
          <w:szCs w:val="36"/>
          <w:rtl/>
        </w:rPr>
        <w:t>ة</w:t>
      </w:r>
      <w:r w:rsidR="00E8128F">
        <w:rPr>
          <w:sz w:val="36"/>
          <w:szCs w:val="36"/>
          <w:rtl/>
        </w:rPr>
        <w:t xml:space="preserve"> </w:t>
      </w:r>
      <w:r w:rsidR="0093416E" w:rsidRPr="00FD211F">
        <w:rPr>
          <w:sz w:val="36"/>
          <w:szCs w:val="36"/>
          <w:rtl/>
        </w:rPr>
        <w:t>الجسمي</w:t>
      </w:r>
      <w:r w:rsidR="00EC7EDF" w:rsidRPr="00FD211F">
        <w:rPr>
          <w:sz w:val="36"/>
          <w:szCs w:val="36"/>
          <w:rtl/>
        </w:rPr>
        <w:t>ة</w:t>
      </w:r>
      <w:r w:rsidR="00E8128F">
        <w:rPr>
          <w:sz w:val="36"/>
          <w:szCs w:val="36"/>
          <w:rtl/>
        </w:rPr>
        <w:t xml:space="preserve"> </w:t>
      </w:r>
      <w:r w:rsidR="0093416E" w:rsidRPr="00FD211F">
        <w:rPr>
          <w:sz w:val="36"/>
          <w:szCs w:val="36"/>
          <w:rtl/>
        </w:rPr>
        <w:t>مثلا</w:t>
      </w:r>
      <w:r w:rsidR="00E8128F">
        <w:rPr>
          <w:sz w:val="36"/>
          <w:szCs w:val="36"/>
          <w:rtl/>
        </w:rPr>
        <w:t xml:space="preserve"> </w:t>
      </w:r>
      <w:r w:rsidR="0093416E" w:rsidRPr="00FD211F">
        <w:rPr>
          <w:sz w:val="36"/>
          <w:szCs w:val="36"/>
          <w:rtl/>
        </w:rPr>
        <w:t>فلافائد</w:t>
      </w:r>
      <w:r w:rsidR="00EC7EDF" w:rsidRPr="00FD211F">
        <w:rPr>
          <w:sz w:val="36"/>
          <w:szCs w:val="36"/>
          <w:rtl/>
        </w:rPr>
        <w:t>ة</w:t>
      </w:r>
      <w:r w:rsidR="00E8128F">
        <w:rPr>
          <w:sz w:val="36"/>
          <w:szCs w:val="36"/>
          <w:rtl/>
        </w:rPr>
        <w:t xml:space="preserve"> </w:t>
      </w:r>
      <w:r w:rsidR="0093416E" w:rsidRPr="00FD211F">
        <w:rPr>
          <w:sz w:val="36"/>
          <w:szCs w:val="36"/>
          <w:rtl/>
        </w:rPr>
        <w:t>في</w:t>
      </w:r>
      <w:r w:rsidR="00E8128F">
        <w:rPr>
          <w:sz w:val="36"/>
          <w:szCs w:val="36"/>
          <w:rtl/>
        </w:rPr>
        <w:t xml:space="preserve"> </w:t>
      </w:r>
      <w:r w:rsidR="0093416E" w:rsidRPr="00FD211F">
        <w:rPr>
          <w:sz w:val="36"/>
          <w:szCs w:val="36"/>
          <w:rtl/>
        </w:rPr>
        <w:t>وضع</w:t>
      </w:r>
      <w:r w:rsidR="00E8128F">
        <w:rPr>
          <w:sz w:val="36"/>
          <w:szCs w:val="36"/>
          <w:rtl/>
        </w:rPr>
        <w:t xml:space="preserve"> </w:t>
      </w:r>
      <w:r w:rsidR="0093416E" w:rsidRPr="00FD211F">
        <w:rPr>
          <w:sz w:val="36"/>
          <w:szCs w:val="36"/>
          <w:rtl/>
        </w:rPr>
        <w:t>عنوان</w:t>
      </w:r>
      <w:r w:rsidR="00E8128F">
        <w:rPr>
          <w:sz w:val="36"/>
          <w:szCs w:val="36"/>
          <w:rtl/>
        </w:rPr>
        <w:t xml:space="preserve"> </w:t>
      </w:r>
      <w:r w:rsidR="0093416E" w:rsidRPr="00FD211F">
        <w:rPr>
          <w:sz w:val="36"/>
          <w:szCs w:val="36"/>
          <w:rtl/>
        </w:rPr>
        <w:t>الجسم</w:t>
      </w:r>
      <w:r w:rsidR="00E8128F">
        <w:rPr>
          <w:sz w:val="36"/>
          <w:szCs w:val="36"/>
          <w:rtl/>
        </w:rPr>
        <w:t xml:space="preserve"> </w:t>
      </w:r>
      <w:r w:rsidR="0093416E" w:rsidRPr="00FD211F">
        <w:rPr>
          <w:sz w:val="36"/>
          <w:szCs w:val="36"/>
          <w:rtl/>
        </w:rPr>
        <w:t>للأعم</w:t>
      </w:r>
      <w:r w:rsidR="00603323" w:rsidRPr="00FD211F">
        <w:rPr>
          <w:sz w:val="36"/>
          <w:szCs w:val="36"/>
          <w:rtl/>
        </w:rPr>
        <w:t>،</w:t>
      </w:r>
      <w:r w:rsidR="00E8128F">
        <w:rPr>
          <w:sz w:val="36"/>
          <w:szCs w:val="36"/>
          <w:rtl/>
        </w:rPr>
        <w:t xml:space="preserve"> </w:t>
      </w:r>
      <w:r w:rsidR="009867AE" w:rsidRPr="00FD211F">
        <w:rPr>
          <w:sz w:val="36"/>
          <w:szCs w:val="36"/>
          <w:rtl/>
        </w:rPr>
        <w:t>و</w:t>
      </w:r>
      <w:r w:rsidR="0093416E" w:rsidRPr="00FD211F">
        <w:rPr>
          <w:sz w:val="36"/>
          <w:szCs w:val="36"/>
          <w:rtl/>
        </w:rPr>
        <w:t>يختلف</w:t>
      </w:r>
      <w:r w:rsidR="00E8128F">
        <w:rPr>
          <w:sz w:val="36"/>
          <w:szCs w:val="36"/>
          <w:rtl/>
        </w:rPr>
        <w:t xml:space="preserve"> </w:t>
      </w:r>
      <w:r w:rsidR="0093416E" w:rsidRPr="00FD211F">
        <w:rPr>
          <w:sz w:val="36"/>
          <w:szCs w:val="36"/>
          <w:rtl/>
        </w:rPr>
        <w:t>عن</w:t>
      </w:r>
      <w:r w:rsidR="00E8128F">
        <w:rPr>
          <w:sz w:val="36"/>
          <w:szCs w:val="36"/>
          <w:rtl/>
        </w:rPr>
        <w:t xml:space="preserve"> </w:t>
      </w:r>
      <w:r w:rsidR="0093416E" w:rsidRPr="00FD211F">
        <w:rPr>
          <w:sz w:val="36"/>
          <w:szCs w:val="36"/>
          <w:rtl/>
        </w:rPr>
        <w:t>وضع</w:t>
      </w:r>
      <w:r w:rsidR="00E8128F">
        <w:rPr>
          <w:sz w:val="36"/>
          <w:szCs w:val="36"/>
          <w:rtl/>
        </w:rPr>
        <w:t xml:space="preserve"> </w:t>
      </w:r>
      <w:r w:rsidR="0093416E" w:rsidRPr="00FD211F">
        <w:rPr>
          <w:sz w:val="36"/>
          <w:szCs w:val="36"/>
          <w:rtl/>
        </w:rPr>
        <w:t>اللفظ</w:t>
      </w:r>
      <w:r w:rsidR="00E8128F">
        <w:rPr>
          <w:sz w:val="36"/>
          <w:szCs w:val="36"/>
          <w:rtl/>
        </w:rPr>
        <w:t xml:space="preserve"> </w:t>
      </w:r>
      <w:r w:rsidR="0093416E" w:rsidRPr="00FD211F">
        <w:rPr>
          <w:sz w:val="36"/>
          <w:szCs w:val="36"/>
          <w:rtl/>
        </w:rPr>
        <w:t>بإزاء</w:t>
      </w:r>
      <w:r w:rsidR="00E8128F">
        <w:rPr>
          <w:sz w:val="36"/>
          <w:szCs w:val="36"/>
          <w:rtl/>
        </w:rPr>
        <w:t xml:space="preserve"> </w:t>
      </w:r>
      <w:r w:rsidR="0093416E" w:rsidRPr="00FD211F">
        <w:rPr>
          <w:sz w:val="36"/>
          <w:szCs w:val="36"/>
          <w:rtl/>
        </w:rPr>
        <w:t>أمر</w:t>
      </w:r>
      <w:r w:rsidR="00E8128F">
        <w:rPr>
          <w:sz w:val="36"/>
          <w:szCs w:val="36"/>
          <w:rtl/>
        </w:rPr>
        <w:t xml:space="preserve"> </w:t>
      </w:r>
      <w:r w:rsidR="0093416E" w:rsidRPr="00FD211F">
        <w:rPr>
          <w:sz w:val="36"/>
          <w:szCs w:val="36"/>
          <w:rtl/>
        </w:rPr>
        <w:t>مستحيل</w:t>
      </w:r>
      <w:r w:rsidR="00E8128F">
        <w:rPr>
          <w:sz w:val="36"/>
          <w:szCs w:val="36"/>
          <w:rtl/>
        </w:rPr>
        <w:t xml:space="preserve"> </w:t>
      </w:r>
      <w:r w:rsidR="0093416E" w:rsidRPr="00FD211F">
        <w:rPr>
          <w:sz w:val="36"/>
          <w:szCs w:val="36"/>
          <w:rtl/>
        </w:rPr>
        <w:t>اذ</w:t>
      </w:r>
      <w:r w:rsidR="009867AE" w:rsidRPr="00FD211F">
        <w:rPr>
          <w:sz w:val="36"/>
          <w:szCs w:val="36"/>
          <w:rtl/>
        </w:rPr>
        <w:t>ا</w:t>
      </w:r>
      <w:r w:rsidR="00E8128F">
        <w:rPr>
          <w:sz w:val="36"/>
          <w:szCs w:val="36"/>
          <w:rtl/>
        </w:rPr>
        <w:t xml:space="preserve"> </w:t>
      </w:r>
      <w:r w:rsidR="0093416E" w:rsidRPr="00FD211F">
        <w:rPr>
          <w:sz w:val="36"/>
          <w:szCs w:val="36"/>
          <w:rtl/>
        </w:rPr>
        <w:t>تعلق</w:t>
      </w:r>
      <w:r w:rsidR="00E8128F">
        <w:rPr>
          <w:sz w:val="36"/>
          <w:szCs w:val="36"/>
          <w:rtl/>
        </w:rPr>
        <w:t xml:space="preserve"> </w:t>
      </w:r>
      <w:r w:rsidR="0093416E" w:rsidRPr="00FD211F">
        <w:rPr>
          <w:sz w:val="36"/>
          <w:szCs w:val="36"/>
          <w:rtl/>
        </w:rPr>
        <w:t>الغرض</w:t>
      </w:r>
      <w:r w:rsidR="00E8128F">
        <w:rPr>
          <w:sz w:val="36"/>
          <w:szCs w:val="36"/>
          <w:rtl/>
        </w:rPr>
        <w:t xml:space="preserve"> </w:t>
      </w:r>
      <w:r w:rsidR="0093416E" w:rsidRPr="00FD211F">
        <w:rPr>
          <w:sz w:val="36"/>
          <w:szCs w:val="36"/>
          <w:rtl/>
        </w:rPr>
        <w:t>العرفي</w:t>
      </w:r>
      <w:r w:rsidR="00E8128F">
        <w:rPr>
          <w:sz w:val="36"/>
          <w:szCs w:val="36"/>
          <w:rtl/>
        </w:rPr>
        <w:t xml:space="preserve"> </w:t>
      </w:r>
      <w:r w:rsidR="0093416E" w:rsidRPr="00FD211F">
        <w:rPr>
          <w:sz w:val="36"/>
          <w:szCs w:val="36"/>
          <w:rtl/>
        </w:rPr>
        <w:t>بتفهيمه</w:t>
      </w:r>
      <w:r w:rsidR="00E8128F">
        <w:rPr>
          <w:sz w:val="36"/>
          <w:szCs w:val="36"/>
          <w:rtl/>
        </w:rPr>
        <w:t xml:space="preserve"> </w:t>
      </w:r>
      <w:r w:rsidR="0093416E" w:rsidRPr="00FD211F">
        <w:rPr>
          <w:sz w:val="36"/>
          <w:szCs w:val="36"/>
          <w:rtl/>
        </w:rPr>
        <w:t>وتفهمه</w:t>
      </w:r>
      <w:r w:rsidR="009C58C8" w:rsidRPr="00FD211F">
        <w:rPr>
          <w:rStyle w:val="a6"/>
          <w:sz w:val="36"/>
          <w:szCs w:val="36"/>
          <w:rtl/>
        </w:rPr>
        <w:t>(</w:t>
      </w:r>
      <w:r w:rsidR="009C58C8" w:rsidRPr="00FD211F">
        <w:rPr>
          <w:rStyle w:val="a6"/>
          <w:sz w:val="36"/>
          <w:szCs w:val="36"/>
          <w:rtl/>
        </w:rPr>
        <w:footnoteReference w:id="520"/>
      </w:r>
      <w:r w:rsidR="009C58C8" w:rsidRPr="00FD211F">
        <w:rPr>
          <w:rStyle w:val="a6"/>
          <w:sz w:val="36"/>
          <w:szCs w:val="36"/>
          <w:rtl/>
        </w:rPr>
        <w:t>)</w:t>
      </w:r>
      <w:r w:rsidR="0093416E" w:rsidRPr="00FD211F">
        <w:rPr>
          <w:sz w:val="36"/>
          <w:szCs w:val="36"/>
          <w:rtl/>
        </w:rPr>
        <w:t>.</w:t>
      </w:r>
    </w:p>
    <w:p w14:paraId="5FD6C958" w14:textId="77777777" w:rsidR="000C5BBA" w:rsidRPr="00FD211F" w:rsidRDefault="009867AE" w:rsidP="009C58C8">
      <w:pPr>
        <w:ind w:left="0" w:firstLine="227"/>
        <w:jc w:val="both"/>
        <w:rPr>
          <w:sz w:val="36"/>
          <w:szCs w:val="36"/>
          <w:rtl/>
        </w:rPr>
      </w:pPr>
      <w:r w:rsidRPr="00FD211F">
        <w:rPr>
          <w:sz w:val="36"/>
          <w:szCs w:val="36"/>
          <w:rtl/>
        </w:rPr>
        <w:t>اقول:</w:t>
      </w:r>
      <w:r w:rsidR="00E8128F">
        <w:rPr>
          <w:sz w:val="36"/>
          <w:szCs w:val="36"/>
          <w:rtl/>
        </w:rPr>
        <w:t xml:space="preserve"> </w:t>
      </w:r>
      <w:r w:rsidRPr="00FD211F">
        <w:rPr>
          <w:sz w:val="36"/>
          <w:szCs w:val="36"/>
          <w:rtl/>
        </w:rPr>
        <w:t>هنا</w:t>
      </w:r>
      <w:r w:rsidR="00E8128F">
        <w:rPr>
          <w:sz w:val="36"/>
          <w:szCs w:val="36"/>
          <w:rtl/>
        </w:rPr>
        <w:t xml:space="preserve"> </w:t>
      </w:r>
      <w:r w:rsidRPr="00FD211F">
        <w:rPr>
          <w:sz w:val="36"/>
          <w:szCs w:val="36"/>
          <w:rtl/>
        </w:rPr>
        <w:t>ملاحظتان</w:t>
      </w:r>
      <w:r w:rsidR="000026AA" w:rsidRPr="00FD211F">
        <w:rPr>
          <w:sz w:val="36"/>
          <w:szCs w:val="36"/>
          <w:rtl/>
        </w:rPr>
        <w:t>:</w:t>
      </w:r>
    </w:p>
    <w:p w14:paraId="4DF73073" w14:textId="77777777" w:rsidR="00EC7666" w:rsidRPr="00FD211F" w:rsidRDefault="009867AE" w:rsidP="009C58C8">
      <w:pPr>
        <w:ind w:left="0" w:firstLine="227"/>
        <w:jc w:val="both"/>
        <w:rPr>
          <w:sz w:val="36"/>
          <w:szCs w:val="36"/>
          <w:rtl/>
        </w:rPr>
      </w:pPr>
      <w:r w:rsidRPr="00FD211F">
        <w:rPr>
          <w:b/>
          <w:bCs/>
          <w:sz w:val="36"/>
          <w:szCs w:val="36"/>
          <w:rtl/>
        </w:rPr>
        <w:t>الاولى</w:t>
      </w:r>
      <w:r w:rsidRPr="00FD211F">
        <w:rPr>
          <w:sz w:val="36"/>
          <w:szCs w:val="36"/>
          <w:rtl/>
        </w:rPr>
        <w:t>:</w:t>
      </w:r>
      <w:r w:rsidR="00E8128F">
        <w:rPr>
          <w:sz w:val="36"/>
          <w:szCs w:val="36"/>
          <w:rtl/>
        </w:rPr>
        <w:t xml:space="preserve"> </w:t>
      </w:r>
      <w:r w:rsidR="0093416E" w:rsidRPr="00FD211F">
        <w:rPr>
          <w:sz w:val="36"/>
          <w:szCs w:val="36"/>
          <w:rtl/>
        </w:rPr>
        <w:t>ان</w:t>
      </w:r>
      <w:r w:rsidR="00E8128F">
        <w:rPr>
          <w:sz w:val="36"/>
          <w:szCs w:val="36"/>
          <w:rtl/>
        </w:rPr>
        <w:t xml:space="preserve"> </w:t>
      </w:r>
      <w:r w:rsidR="0093416E" w:rsidRPr="00FD211F">
        <w:rPr>
          <w:sz w:val="36"/>
          <w:szCs w:val="36"/>
          <w:rtl/>
        </w:rPr>
        <w:t>ما</w:t>
      </w:r>
      <w:r w:rsidR="00E8128F">
        <w:rPr>
          <w:sz w:val="36"/>
          <w:szCs w:val="36"/>
          <w:rtl/>
        </w:rPr>
        <w:t xml:space="preserve"> </w:t>
      </w:r>
      <w:r w:rsidR="0093416E" w:rsidRPr="00FD211F">
        <w:rPr>
          <w:sz w:val="36"/>
          <w:szCs w:val="36"/>
          <w:rtl/>
        </w:rPr>
        <w:t>ذكره</w:t>
      </w:r>
      <w:r w:rsidR="00E8128F">
        <w:rPr>
          <w:sz w:val="36"/>
          <w:szCs w:val="36"/>
          <w:rtl/>
        </w:rPr>
        <w:t xml:space="preserve"> </w:t>
      </w:r>
      <w:r w:rsidR="0093416E" w:rsidRPr="00FD211F">
        <w:rPr>
          <w:sz w:val="36"/>
          <w:szCs w:val="36"/>
          <w:rtl/>
        </w:rPr>
        <w:t>السيد</w:t>
      </w:r>
      <w:r w:rsidR="00E8128F">
        <w:rPr>
          <w:sz w:val="36"/>
          <w:szCs w:val="36"/>
          <w:rtl/>
        </w:rPr>
        <w:t xml:space="preserve"> </w:t>
      </w:r>
      <w:r w:rsidR="0093416E" w:rsidRPr="00FD211F">
        <w:rPr>
          <w:sz w:val="36"/>
          <w:szCs w:val="36"/>
          <w:rtl/>
        </w:rPr>
        <w:t>الخوئي</w:t>
      </w:r>
      <w:r w:rsidR="00E8128F">
        <w:rPr>
          <w:sz w:val="36"/>
          <w:szCs w:val="36"/>
          <w:rtl/>
        </w:rPr>
        <w:t xml:space="preserve"> </w:t>
      </w:r>
      <w:r w:rsidR="00C04DBB" w:rsidRPr="00FD211F">
        <w:rPr>
          <w:sz w:val="36"/>
          <w:szCs w:val="36"/>
          <w:rtl/>
        </w:rPr>
        <w:t>"قده"</w:t>
      </w:r>
      <w:r w:rsidR="00E8128F">
        <w:rPr>
          <w:sz w:val="36"/>
          <w:szCs w:val="36"/>
          <w:rtl/>
        </w:rPr>
        <w:t xml:space="preserve"> </w:t>
      </w:r>
      <w:r w:rsidR="0093416E" w:rsidRPr="00FD211F">
        <w:rPr>
          <w:sz w:val="36"/>
          <w:szCs w:val="36"/>
          <w:rtl/>
        </w:rPr>
        <w:t>حول</w:t>
      </w:r>
      <w:r w:rsidR="00E8128F">
        <w:rPr>
          <w:sz w:val="36"/>
          <w:szCs w:val="36"/>
          <w:rtl/>
        </w:rPr>
        <w:t xml:space="preserve"> </w:t>
      </w:r>
      <w:r w:rsidR="0093416E" w:rsidRPr="00FD211F">
        <w:rPr>
          <w:sz w:val="36"/>
          <w:szCs w:val="36"/>
          <w:rtl/>
        </w:rPr>
        <w:t>امكان</w:t>
      </w:r>
      <w:r w:rsidR="00E8128F">
        <w:rPr>
          <w:sz w:val="36"/>
          <w:szCs w:val="36"/>
          <w:rtl/>
        </w:rPr>
        <w:t xml:space="preserve"> </w:t>
      </w:r>
      <w:r w:rsidR="0093416E" w:rsidRPr="00FD211F">
        <w:rPr>
          <w:sz w:val="36"/>
          <w:szCs w:val="36"/>
          <w:rtl/>
        </w:rPr>
        <w:t>وضع</w:t>
      </w:r>
      <w:r w:rsidR="00E8128F">
        <w:rPr>
          <w:sz w:val="36"/>
          <w:szCs w:val="36"/>
          <w:rtl/>
        </w:rPr>
        <w:t xml:space="preserve"> </w:t>
      </w:r>
      <w:r w:rsidR="0093416E" w:rsidRPr="00FD211F">
        <w:rPr>
          <w:sz w:val="36"/>
          <w:szCs w:val="36"/>
          <w:rtl/>
        </w:rPr>
        <w:t>هيئ</w:t>
      </w:r>
      <w:r w:rsidR="00EC7EDF" w:rsidRPr="00FD211F">
        <w:rPr>
          <w:sz w:val="36"/>
          <w:szCs w:val="36"/>
          <w:rtl/>
        </w:rPr>
        <w:t>ة</w:t>
      </w:r>
      <w:r w:rsidR="00E8128F">
        <w:rPr>
          <w:sz w:val="36"/>
          <w:szCs w:val="36"/>
          <w:rtl/>
        </w:rPr>
        <w:t xml:space="preserve"> </w:t>
      </w:r>
      <w:r w:rsidR="0093416E" w:rsidRPr="00FD211F">
        <w:rPr>
          <w:sz w:val="36"/>
          <w:szCs w:val="36"/>
          <w:rtl/>
        </w:rPr>
        <w:t>المشتق</w:t>
      </w:r>
      <w:r w:rsidR="00E8128F">
        <w:rPr>
          <w:sz w:val="36"/>
          <w:szCs w:val="36"/>
          <w:rtl/>
        </w:rPr>
        <w:t xml:space="preserve"> </w:t>
      </w:r>
      <w:r w:rsidR="0093416E" w:rsidRPr="00FD211F">
        <w:rPr>
          <w:sz w:val="36"/>
          <w:szCs w:val="36"/>
          <w:rtl/>
        </w:rPr>
        <w:t>للأعم</w:t>
      </w:r>
      <w:r w:rsidR="00E8128F">
        <w:rPr>
          <w:sz w:val="36"/>
          <w:szCs w:val="36"/>
          <w:rtl/>
        </w:rPr>
        <w:t xml:space="preserve"> </w:t>
      </w:r>
      <w:r w:rsidR="0093416E" w:rsidRPr="00FD211F">
        <w:rPr>
          <w:sz w:val="36"/>
          <w:szCs w:val="36"/>
          <w:rtl/>
        </w:rPr>
        <w:t>وان</w:t>
      </w:r>
      <w:r w:rsidR="00E8128F">
        <w:rPr>
          <w:sz w:val="36"/>
          <w:szCs w:val="36"/>
          <w:rtl/>
        </w:rPr>
        <w:t xml:space="preserve"> </w:t>
      </w:r>
      <w:r w:rsidR="0093416E" w:rsidRPr="00FD211F">
        <w:rPr>
          <w:sz w:val="36"/>
          <w:szCs w:val="36"/>
          <w:rtl/>
        </w:rPr>
        <w:t>كان</w:t>
      </w:r>
      <w:r w:rsidR="00E8128F">
        <w:rPr>
          <w:sz w:val="36"/>
          <w:szCs w:val="36"/>
          <w:rtl/>
        </w:rPr>
        <w:t xml:space="preserve"> </w:t>
      </w:r>
      <w:r w:rsidR="0093416E" w:rsidRPr="00FD211F">
        <w:rPr>
          <w:sz w:val="36"/>
          <w:szCs w:val="36"/>
          <w:rtl/>
        </w:rPr>
        <w:t>صحيحا</w:t>
      </w:r>
      <w:r w:rsidR="00603323" w:rsidRPr="00FD211F">
        <w:rPr>
          <w:sz w:val="36"/>
          <w:szCs w:val="36"/>
          <w:rtl/>
        </w:rPr>
        <w:t>،</w:t>
      </w:r>
      <w:r w:rsidR="00E8128F">
        <w:rPr>
          <w:sz w:val="36"/>
          <w:szCs w:val="36"/>
          <w:rtl/>
        </w:rPr>
        <w:t xml:space="preserve"> </w:t>
      </w:r>
      <w:r w:rsidR="0093416E" w:rsidRPr="00FD211F">
        <w:rPr>
          <w:sz w:val="36"/>
          <w:szCs w:val="36"/>
          <w:rtl/>
        </w:rPr>
        <w:t>لكن</w:t>
      </w:r>
      <w:r w:rsidR="00E8128F">
        <w:rPr>
          <w:sz w:val="36"/>
          <w:szCs w:val="36"/>
          <w:rtl/>
        </w:rPr>
        <w:t xml:space="preserve"> </w:t>
      </w:r>
      <w:r w:rsidR="0093416E" w:rsidRPr="00FD211F">
        <w:rPr>
          <w:sz w:val="36"/>
          <w:szCs w:val="36"/>
          <w:rtl/>
        </w:rPr>
        <w:t>ما</w:t>
      </w:r>
      <w:r w:rsidR="00E8128F">
        <w:rPr>
          <w:sz w:val="36"/>
          <w:szCs w:val="36"/>
          <w:rtl/>
        </w:rPr>
        <w:t xml:space="preserve"> </w:t>
      </w:r>
      <w:r w:rsidR="0093416E" w:rsidRPr="00FD211F">
        <w:rPr>
          <w:sz w:val="36"/>
          <w:szCs w:val="36"/>
          <w:rtl/>
        </w:rPr>
        <w:t>ذكره</w:t>
      </w:r>
      <w:r w:rsidR="00E8128F">
        <w:rPr>
          <w:sz w:val="36"/>
          <w:szCs w:val="36"/>
          <w:rtl/>
        </w:rPr>
        <w:t xml:space="preserve"> </w:t>
      </w:r>
      <w:r w:rsidR="0093416E" w:rsidRPr="00FD211F">
        <w:rPr>
          <w:sz w:val="36"/>
          <w:szCs w:val="36"/>
          <w:rtl/>
        </w:rPr>
        <w:t>في</w:t>
      </w:r>
      <w:r w:rsidR="00E8128F">
        <w:rPr>
          <w:sz w:val="36"/>
          <w:szCs w:val="36"/>
          <w:rtl/>
        </w:rPr>
        <w:t xml:space="preserve"> </w:t>
      </w:r>
      <w:r w:rsidR="0093416E" w:rsidRPr="00FD211F">
        <w:rPr>
          <w:sz w:val="36"/>
          <w:szCs w:val="36"/>
          <w:rtl/>
        </w:rPr>
        <w:t>الجوامد</w:t>
      </w:r>
      <w:r w:rsidR="00E8128F">
        <w:rPr>
          <w:sz w:val="36"/>
          <w:szCs w:val="36"/>
          <w:rtl/>
        </w:rPr>
        <w:t xml:space="preserve"> </w:t>
      </w:r>
      <w:r w:rsidR="0093416E" w:rsidRPr="00FD211F">
        <w:rPr>
          <w:sz w:val="36"/>
          <w:szCs w:val="36"/>
          <w:rtl/>
        </w:rPr>
        <w:t>التي</w:t>
      </w:r>
      <w:r w:rsidR="00E8128F">
        <w:rPr>
          <w:sz w:val="36"/>
          <w:szCs w:val="36"/>
          <w:rtl/>
        </w:rPr>
        <w:t xml:space="preserve"> </w:t>
      </w:r>
      <w:r w:rsidR="0093416E" w:rsidRPr="00FD211F">
        <w:rPr>
          <w:sz w:val="36"/>
          <w:szCs w:val="36"/>
          <w:rtl/>
        </w:rPr>
        <w:t>تكون</w:t>
      </w:r>
      <w:r w:rsidR="00E8128F">
        <w:rPr>
          <w:sz w:val="36"/>
          <w:szCs w:val="36"/>
          <w:rtl/>
        </w:rPr>
        <w:t xml:space="preserve"> </w:t>
      </w:r>
      <w:r w:rsidR="0093416E" w:rsidRPr="00FD211F">
        <w:rPr>
          <w:sz w:val="36"/>
          <w:szCs w:val="36"/>
          <w:rtl/>
        </w:rPr>
        <w:t>من</w:t>
      </w:r>
      <w:r w:rsidR="00E8128F">
        <w:rPr>
          <w:sz w:val="36"/>
          <w:szCs w:val="36"/>
          <w:rtl/>
        </w:rPr>
        <w:t xml:space="preserve"> </w:t>
      </w:r>
      <w:r w:rsidR="0093416E" w:rsidRPr="00FD211F">
        <w:rPr>
          <w:sz w:val="36"/>
          <w:szCs w:val="36"/>
          <w:rtl/>
        </w:rPr>
        <w:t>العناوين</w:t>
      </w:r>
      <w:r w:rsidR="00E8128F">
        <w:rPr>
          <w:sz w:val="36"/>
          <w:szCs w:val="36"/>
          <w:rtl/>
        </w:rPr>
        <w:t xml:space="preserve"> </w:t>
      </w:r>
      <w:r w:rsidR="0093416E" w:rsidRPr="00FD211F">
        <w:rPr>
          <w:sz w:val="36"/>
          <w:szCs w:val="36"/>
          <w:rtl/>
        </w:rPr>
        <w:t>الذاتي</w:t>
      </w:r>
      <w:r w:rsidR="00EC7EDF" w:rsidRPr="00FD211F">
        <w:rPr>
          <w:sz w:val="36"/>
          <w:szCs w:val="36"/>
          <w:rtl/>
        </w:rPr>
        <w:t>ة</w:t>
      </w:r>
      <w:r w:rsidR="00E8128F">
        <w:rPr>
          <w:sz w:val="36"/>
          <w:szCs w:val="36"/>
          <w:rtl/>
        </w:rPr>
        <w:t xml:space="preserve"> </w:t>
      </w:r>
      <w:r w:rsidR="0093416E" w:rsidRPr="00FD211F">
        <w:rPr>
          <w:sz w:val="36"/>
          <w:szCs w:val="36"/>
          <w:rtl/>
        </w:rPr>
        <w:t>كالجسم</w:t>
      </w:r>
      <w:r w:rsidR="00E8128F">
        <w:rPr>
          <w:sz w:val="36"/>
          <w:szCs w:val="36"/>
          <w:rtl/>
        </w:rPr>
        <w:t xml:space="preserve"> </w:t>
      </w:r>
      <w:r w:rsidR="0093416E" w:rsidRPr="00FD211F">
        <w:rPr>
          <w:sz w:val="36"/>
          <w:szCs w:val="36"/>
          <w:rtl/>
        </w:rPr>
        <w:t>والإنسان</w:t>
      </w:r>
      <w:r w:rsidR="00E8128F">
        <w:rPr>
          <w:sz w:val="36"/>
          <w:szCs w:val="36"/>
          <w:rtl/>
        </w:rPr>
        <w:t xml:space="preserve"> </w:t>
      </w:r>
      <w:r w:rsidR="0093416E" w:rsidRPr="00FD211F">
        <w:rPr>
          <w:sz w:val="36"/>
          <w:szCs w:val="36"/>
          <w:rtl/>
        </w:rPr>
        <w:t>والشجر</w:t>
      </w:r>
      <w:r w:rsidR="00E8128F">
        <w:rPr>
          <w:sz w:val="36"/>
          <w:szCs w:val="36"/>
          <w:rtl/>
        </w:rPr>
        <w:t xml:space="preserve"> </w:t>
      </w:r>
      <w:r w:rsidR="0093416E" w:rsidRPr="00FD211F">
        <w:rPr>
          <w:sz w:val="36"/>
          <w:szCs w:val="36"/>
          <w:rtl/>
        </w:rPr>
        <w:t>والحجر</w:t>
      </w:r>
      <w:r w:rsidR="00E8128F">
        <w:rPr>
          <w:sz w:val="36"/>
          <w:szCs w:val="36"/>
          <w:rtl/>
        </w:rPr>
        <w:t xml:space="preserve"> </w:t>
      </w:r>
      <w:r w:rsidR="0093416E" w:rsidRPr="00FD211F">
        <w:rPr>
          <w:sz w:val="36"/>
          <w:szCs w:val="36"/>
          <w:rtl/>
        </w:rPr>
        <w:t>ونحو</w:t>
      </w:r>
      <w:r w:rsidR="00E8128F">
        <w:rPr>
          <w:sz w:val="36"/>
          <w:szCs w:val="36"/>
          <w:rtl/>
        </w:rPr>
        <w:t xml:space="preserve"> </w:t>
      </w:r>
      <w:r w:rsidR="0093416E" w:rsidRPr="00FD211F">
        <w:rPr>
          <w:sz w:val="36"/>
          <w:szCs w:val="36"/>
          <w:rtl/>
        </w:rPr>
        <w:t>ذلك</w:t>
      </w:r>
      <w:r w:rsidR="00E8128F">
        <w:rPr>
          <w:sz w:val="36"/>
          <w:szCs w:val="36"/>
          <w:rtl/>
        </w:rPr>
        <w:t xml:space="preserve"> </w:t>
      </w:r>
      <w:r w:rsidR="0093416E" w:rsidRPr="00FD211F">
        <w:rPr>
          <w:sz w:val="36"/>
          <w:szCs w:val="36"/>
          <w:rtl/>
        </w:rPr>
        <w:t>غير</w:t>
      </w:r>
      <w:r w:rsidR="00E8128F">
        <w:rPr>
          <w:sz w:val="36"/>
          <w:szCs w:val="36"/>
          <w:rtl/>
        </w:rPr>
        <w:t xml:space="preserve"> </w:t>
      </w:r>
      <w:r w:rsidR="0093416E" w:rsidRPr="00FD211F">
        <w:rPr>
          <w:sz w:val="36"/>
          <w:szCs w:val="36"/>
          <w:rtl/>
        </w:rPr>
        <w:t>متجه</w:t>
      </w:r>
      <w:r w:rsidR="00603323" w:rsidRPr="00FD211F">
        <w:rPr>
          <w:sz w:val="36"/>
          <w:szCs w:val="36"/>
          <w:rtl/>
        </w:rPr>
        <w:t>،</w:t>
      </w:r>
      <w:r w:rsidR="00E8128F">
        <w:rPr>
          <w:sz w:val="36"/>
          <w:szCs w:val="36"/>
          <w:rtl/>
        </w:rPr>
        <w:t xml:space="preserve"> </w:t>
      </w:r>
      <w:r w:rsidR="007020F2" w:rsidRPr="00FD211F">
        <w:rPr>
          <w:sz w:val="36"/>
          <w:szCs w:val="36"/>
          <w:rtl/>
        </w:rPr>
        <w:t>فان</w:t>
      </w:r>
      <w:r w:rsidR="00E8128F">
        <w:rPr>
          <w:sz w:val="36"/>
          <w:szCs w:val="36"/>
          <w:rtl/>
        </w:rPr>
        <w:t xml:space="preserve"> </w:t>
      </w:r>
      <w:r w:rsidR="007020F2" w:rsidRPr="00FD211F">
        <w:rPr>
          <w:sz w:val="36"/>
          <w:szCs w:val="36"/>
          <w:rtl/>
        </w:rPr>
        <w:t>تبدل</w:t>
      </w:r>
      <w:r w:rsidR="00E8128F">
        <w:rPr>
          <w:sz w:val="36"/>
          <w:szCs w:val="36"/>
          <w:rtl/>
        </w:rPr>
        <w:t xml:space="preserve"> </w:t>
      </w:r>
      <w:r w:rsidR="007020F2" w:rsidRPr="00FD211F">
        <w:rPr>
          <w:sz w:val="36"/>
          <w:szCs w:val="36"/>
          <w:rtl/>
        </w:rPr>
        <w:t>العناوين</w:t>
      </w:r>
      <w:r w:rsidR="00E8128F">
        <w:rPr>
          <w:sz w:val="36"/>
          <w:szCs w:val="36"/>
          <w:rtl/>
        </w:rPr>
        <w:t xml:space="preserve"> </w:t>
      </w:r>
      <w:r w:rsidR="007020F2" w:rsidRPr="00FD211F">
        <w:rPr>
          <w:sz w:val="36"/>
          <w:szCs w:val="36"/>
          <w:rtl/>
        </w:rPr>
        <w:t>الذاتي</w:t>
      </w:r>
      <w:r w:rsidR="00EC7EDF" w:rsidRPr="00FD211F">
        <w:rPr>
          <w:sz w:val="36"/>
          <w:szCs w:val="36"/>
          <w:rtl/>
        </w:rPr>
        <w:t>ة</w:t>
      </w:r>
      <w:r w:rsidR="00E8128F">
        <w:rPr>
          <w:sz w:val="36"/>
          <w:szCs w:val="36"/>
          <w:rtl/>
        </w:rPr>
        <w:t xml:space="preserve"> </w:t>
      </w:r>
      <w:r w:rsidR="007020F2" w:rsidRPr="00FD211F">
        <w:rPr>
          <w:sz w:val="36"/>
          <w:szCs w:val="36"/>
          <w:rtl/>
        </w:rPr>
        <w:t>لايمنع</w:t>
      </w:r>
      <w:r w:rsidR="00E8128F">
        <w:rPr>
          <w:sz w:val="36"/>
          <w:szCs w:val="36"/>
          <w:rtl/>
        </w:rPr>
        <w:t xml:space="preserve"> </w:t>
      </w:r>
      <w:r w:rsidR="007020F2" w:rsidRPr="00FD211F">
        <w:rPr>
          <w:sz w:val="36"/>
          <w:szCs w:val="36"/>
          <w:rtl/>
        </w:rPr>
        <w:t>من</w:t>
      </w:r>
      <w:r w:rsidR="00E8128F">
        <w:rPr>
          <w:sz w:val="36"/>
          <w:szCs w:val="36"/>
          <w:rtl/>
        </w:rPr>
        <w:t xml:space="preserve"> </w:t>
      </w:r>
      <w:r w:rsidR="007020F2" w:rsidRPr="00FD211F">
        <w:rPr>
          <w:sz w:val="36"/>
          <w:szCs w:val="36"/>
          <w:rtl/>
        </w:rPr>
        <w:t>بقاء</w:t>
      </w:r>
      <w:r w:rsidR="00E8128F">
        <w:rPr>
          <w:sz w:val="36"/>
          <w:szCs w:val="36"/>
          <w:rtl/>
        </w:rPr>
        <w:t xml:space="preserve"> </w:t>
      </w:r>
      <w:r w:rsidR="007020F2" w:rsidRPr="00FD211F">
        <w:rPr>
          <w:sz w:val="36"/>
          <w:szCs w:val="36"/>
          <w:rtl/>
        </w:rPr>
        <w:t>الماد</w:t>
      </w:r>
      <w:r w:rsidR="00EC7EDF" w:rsidRPr="00FD211F">
        <w:rPr>
          <w:sz w:val="36"/>
          <w:szCs w:val="36"/>
          <w:rtl/>
        </w:rPr>
        <w:t>ة</w:t>
      </w:r>
      <w:r w:rsidR="00E8128F">
        <w:rPr>
          <w:sz w:val="36"/>
          <w:szCs w:val="36"/>
          <w:rtl/>
        </w:rPr>
        <w:t xml:space="preserve"> </w:t>
      </w:r>
      <w:r w:rsidR="00C11850" w:rsidRPr="00FD211F">
        <w:rPr>
          <w:sz w:val="36"/>
          <w:szCs w:val="36"/>
          <w:rtl/>
        </w:rPr>
        <w:t>التي</w:t>
      </w:r>
      <w:r w:rsidR="00E8128F">
        <w:rPr>
          <w:sz w:val="36"/>
          <w:szCs w:val="36"/>
          <w:rtl/>
        </w:rPr>
        <w:t xml:space="preserve"> </w:t>
      </w:r>
      <w:r w:rsidR="00C11850" w:rsidRPr="00FD211F">
        <w:rPr>
          <w:sz w:val="36"/>
          <w:szCs w:val="36"/>
          <w:rtl/>
        </w:rPr>
        <w:t>تعرضها</w:t>
      </w:r>
      <w:r w:rsidR="00E8128F">
        <w:rPr>
          <w:sz w:val="36"/>
          <w:szCs w:val="36"/>
          <w:rtl/>
        </w:rPr>
        <w:t xml:space="preserve"> </w:t>
      </w:r>
      <w:r w:rsidR="003F11B1" w:rsidRPr="00FD211F">
        <w:rPr>
          <w:sz w:val="36"/>
          <w:szCs w:val="36"/>
          <w:rtl/>
        </w:rPr>
        <w:t>ا</w:t>
      </w:r>
      <w:r w:rsidR="007020F2" w:rsidRPr="00FD211F">
        <w:rPr>
          <w:sz w:val="36"/>
          <w:szCs w:val="36"/>
          <w:rtl/>
        </w:rPr>
        <w:t>لصور</w:t>
      </w:r>
      <w:r w:rsidR="00EC7EDF" w:rsidRPr="00FD211F">
        <w:rPr>
          <w:sz w:val="36"/>
          <w:szCs w:val="36"/>
          <w:rtl/>
        </w:rPr>
        <w:t>ة</w:t>
      </w:r>
      <w:r w:rsidR="00E8128F">
        <w:rPr>
          <w:sz w:val="36"/>
          <w:szCs w:val="36"/>
          <w:rtl/>
        </w:rPr>
        <w:t xml:space="preserve"> </w:t>
      </w:r>
      <w:r w:rsidR="007020F2" w:rsidRPr="00FD211F">
        <w:rPr>
          <w:sz w:val="36"/>
          <w:szCs w:val="36"/>
          <w:rtl/>
        </w:rPr>
        <w:t>النوعي</w:t>
      </w:r>
      <w:r w:rsidR="00EC7EDF" w:rsidRPr="00FD211F">
        <w:rPr>
          <w:sz w:val="36"/>
          <w:szCs w:val="36"/>
          <w:rtl/>
        </w:rPr>
        <w:t>ة</w:t>
      </w:r>
      <w:r w:rsidR="00603323" w:rsidRPr="00FD211F">
        <w:rPr>
          <w:sz w:val="36"/>
          <w:szCs w:val="36"/>
          <w:rtl/>
        </w:rPr>
        <w:t>،</w:t>
      </w:r>
      <w:r w:rsidR="00E8128F">
        <w:rPr>
          <w:sz w:val="36"/>
          <w:szCs w:val="36"/>
          <w:rtl/>
        </w:rPr>
        <w:t xml:space="preserve"> </w:t>
      </w:r>
      <w:r w:rsidR="003F11B1" w:rsidRPr="00FD211F">
        <w:rPr>
          <w:sz w:val="36"/>
          <w:szCs w:val="36"/>
          <w:rtl/>
        </w:rPr>
        <w:t>وان</w:t>
      </w:r>
      <w:r w:rsidR="00E8128F">
        <w:rPr>
          <w:sz w:val="36"/>
          <w:szCs w:val="36"/>
          <w:rtl/>
        </w:rPr>
        <w:t xml:space="preserve"> </w:t>
      </w:r>
      <w:r w:rsidR="003F11B1" w:rsidRPr="00FD211F">
        <w:rPr>
          <w:sz w:val="36"/>
          <w:szCs w:val="36"/>
          <w:rtl/>
        </w:rPr>
        <w:t>شئت</w:t>
      </w:r>
      <w:r w:rsidR="00E8128F">
        <w:rPr>
          <w:sz w:val="36"/>
          <w:szCs w:val="36"/>
          <w:rtl/>
        </w:rPr>
        <w:t xml:space="preserve"> </w:t>
      </w:r>
      <w:r w:rsidR="003F11B1" w:rsidRPr="00FD211F">
        <w:rPr>
          <w:sz w:val="36"/>
          <w:szCs w:val="36"/>
          <w:rtl/>
        </w:rPr>
        <w:t>فعبر</w:t>
      </w:r>
      <w:r w:rsidR="00E8128F">
        <w:rPr>
          <w:sz w:val="36"/>
          <w:szCs w:val="36"/>
          <w:rtl/>
        </w:rPr>
        <w:t xml:space="preserve"> </w:t>
      </w:r>
      <w:r w:rsidR="003F11B1" w:rsidRPr="00FD211F">
        <w:rPr>
          <w:sz w:val="36"/>
          <w:szCs w:val="36"/>
          <w:rtl/>
        </w:rPr>
        <w:t>عن</w:t>
      </w:r>
      <w:r w:rsidR="00E8128F">
        <w:rPr>
          <w:sz w:val="36"/>
          <w:szCs w:val="36"/>
          <w:rtl/>
        </w:rPr>
        <w:t xml:space="preserve"> </w:t>
      </w:r>
      <w:r w:rsidR="003F11B1" w:rsidRPr="00FD211F">
        <w:rPr>
          <w:sz w:val="36"/>
          <w:szCs w:val="36"/>
          <w:rtl/>
        </w:rPr>
        <w:t>هذه</w:t>
      </w:r>
      <w:r w:rsidR="00E8128F">
        <w:rPr>
          <w:sz w:val="36"/>
          <w:szCs w:val="36"/>
          <w:rtl/>
        </w:rPr>
        <w:t xml:space="preserve"> </w:t>
      </w:r>
      <w:r w:rsidR="003F11B1" w:rsidRPr="00FD211F">
        <w:rPr>
          <w:sz w:val="36"/>
          <w:szCs w:val="36"/>
          <w:rtl/>
        </w:rPr>
        <w:t>الماد</w:t>
      </w:r>
      <w:r w:rsidR="00EC7EDF" w:rsidRPr="00FD211F">
        <w:rPr>
          <w:sz w:val="36"/>
          <w:szCs w:val="36"/>
          <w:rtl/>
        </w:rPr>
        <w:t>ة</w:t>
      </w:r>
      <w:r w:rsidR="00E8128F">
        <w:rPr>
          <w:sz w:val="36"/>
          <w:szCs w:val="36"/>
          <w:rtl/>
        </w:rPr>
        <w:t xml:space="preserve"> </w:t>
      </w:r>
      <w:r w:rsidR="003F11B1" w:rsidRPr="00FD211F">
        <w:rPr>
          <w:sz w:val="36"/>
          <w:szCs w:val="36"/>
          <w:rtl/>
        </w:rPr>
        <w:t>بالصور</w:t>
      </w:r>
      <w:r w:rsidR="00EC7EDF" w:rsidRPr="00FD211F">
        <w:rPr>
          <w:sz w:val="36"/>
          <w:szCs w:val="36"/>
          <w:rtl/>
        </w:rPr>
        <w:t>ة</w:t>
      </w:r>
      <w:r w:rsidR="00E8128F">
        <w:rPr>
          <w:sz w:val="36"/>
          <w:szCs w:val="36"/>
          <w:rtl/>
        </w:rPr>
        <w:t xml:space="preserve"> </w:t>
      </w:r>
      <w:r w:rsidR="003F11B1" w:rsidRPr="00FD211F">
        <w:rPr>
          <w:sz w:val="36"/>
          <w:szCs w:val="36"/>
          <w:rtl/>
        </w:rPr>
        <w:t>الجنسي</w:t>
      </w:r>
      <w:r w:rsidR="00EC7EDF" w:rsidRPr="00FD211F">
        <w:rPr>
          <w:sz w:val="36"/>
          <w:szCs w:val="36"/>
          <w:rtl/>
        </w:rPr>
        <w:t>ة</w:t>
      </w:r>
      <w:r w:rsidR="00603323" w:rsidRPr="00FD211F">
        <w:rPr>
          <w:sz w:val="36"/>
          <w:szCs w:val="36"/>
          <w:rtl/>
        </w:rPr>
        <w:t>،</w:t>
      </w:r>
      <w:r w:rsidR="00E8128F">
        <w:rPr>
          <w:sz w:val="36"/>
          <w:szCs w:val="36"/>
          <w:rtl/>
        </w:rPr>
        <w:t xml:space="preserve"> </w:t>
      </w:r>
      <w:r w:rsidR="007020F2" w:rsidRPr="00FD211F">
        <w:rPr>
          <w:sz w:val="36"/>
          <w:szCs w:val="36"/>
          <w:rtl/>
        </w:rPr>
        <w:t>ولأجل</w:t>
      </w:r>
      <w:r w:rsidR="00E8128F">
        <w:rPr>
          <w:sz w:val="36"/>
          <w:szCs w:val="36"/>
          <w:rtl/>
        </w:rPr>
        <w:t xml:space="preserve"> </w:t>
      </w:r>
      <w:r w:rsidR="007020F2" w:rsidRPr="00FD211F">
        <w:rPr>
          <w:sz w:val="36"/>
          <w:szCs w:val="36"/>
          <w:rtl/>
        </w:rPr>
        <w:t>ذلك</w:t>
      </w:r>
      <w:r w:rsidR="00E8128F">
        <w:rPr>
          <w:sz w:val="36"/>
          <w:szCs w:val="36"/>
          <w:rtl/>
        </w:rPr>
        <w:t xml:space="preserve"> </w:t>
      </w:r>
      <w:r w:rsidRPr="00FD211F">
        <w:rPr>
          <w:sz w:val="36"/>
          <w:szCs w:val="36"/>
          <w:rtl/>
        </w:rPr>
        <w:t>يصح</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كذا</w:t>
      </w:r>
      <w:r w:rsidR="00E8128F">
        <w:rPr>
          <w:sz w:val="36"/>
          <w:szCs w:val="36"/>
          <w:rtl/>
        </w:rPr>
        <w:t xml:space="preserve"> </w:t>
      </w:r>
      <w:r w:rsidR="00456DE6" w:rsidRPr="00FD211F">
        <w:rPr>
          <w:sz w:val="36"/>
          <w:szCs w:val="36"/>
          <w:rtl/>
        </w:rPr>
        <w:t>سابقا</w:t>
      </w:r>
      <w:r w:rsidR="00603323" w:rsidRPr="00FD211F">
        <w:rPr>
          <w:sz w:val="36"/>
          <w:szCs w:val="36"/>
          <w:rtl/>
        </w:rPr>
        <w:t>،</w:t>
      </w:r>
      <w:r w:rsidR="00E8128F">
        <w:rPr>
          <w:sz w:val="36"/>
          <w:szCs w:val="36"/>
          <w:rtl/>
        </w:rPr>
        <w:t xml:space="preserve"> </w:t>
      </w:r>
      <w:r w:rsidR="00456DE6" w:rsidRPr="00FD211F">
        <w:rPr>
          <w:sz w:val="36"/>
          <w:szCs w:val="36"/>
          <w:rtl/>
        </w:rPr>
        <w:t>وقد</w:t>
      </w:r>
      <w:r w:rsidR="00E8128F">
        <w:rPr>
          <w:sz w:val="36"/>
          <w:szCs w:val="36"/>
          <w:rtl/>
        </w:rPr>
        <w:t xml:space="preserve"> </w:t>
      </w:r>
      <w:r w:rsidR="00456DE6" w:rsidRPr="00FD211F">
        <w:rPr>
          <w:sz w:val="36"/>
          <w:szCs w:val="36"/>
          <w:rtl/>
        </w:rPr>
        <w:t>قال</w:t>
      </w:r>
      <w:r w:rsidR="00E8128F">
        <w:rPr>
          <w:sz w:val="36"/>
          <w:szCs w:val="36"/>
          <w:rtl/>
        </w:rPr>
        <w:t xml:space="preserve"> </w:t>
      </w:r>
      <w:r w:rsidR="00456DE6" w:rsidRPr="00FD211F">
        <w:rPr>
          <w:sz w:val="36"/>
          <w:szCs w:val="36"/>
          <w:rtl/>
        </w:rPr>
        <w:t>تعالى</w:t>
      </w:r>
      <w:r w:rsidR="00E8128F">
        <w:rPr>
          <w:sz w:val="36"/>
          <w:szCs w:val="36"/>
          <w:rtl/>
        </w:rPr>
        <w:t xml:space="preserve"> </w:t>
      </w:r>
      <w:r w:rsidR="000026AA" w:rsidRPr="00FD211F">
        <w:rPr>
          <w:sz w:val="36"/>
          <w:szCs w:val="36"/>
          <w:rtl/>
        </w:rPr>
        <w:t>"</w:t>
      </w:r>
      <w:r w:rsidR="00456DE6" w:rsidRPr="00FD211F">
        <w:rPr>
          <w:sz w:val="36"/>
          <w:szCs w:val="36"/>
          <w:rtl/>
        </w:rPr>
        <w:t>الم</w:t>
      </w:r>
      <w:r w:rsidR="00E8128F">
        <w:rPr>
          <w:sz w:val="36"/>
          <w:szCs w:val="36"/>
          <w:rtl/>
        </w:rPr>
        <w:t xml:space="preserve"> </w:t>
      </w:r>
      <w:r w:rsidR="00456DE6" w:rsidRPr="00FD211F">
        <w:rPr>
          <w:sz w:val="36"/>
          <w:szCs w:val="36"/>
          <w:rtl/>
        </w:rPr>
        <w:t>يك</w:t>
      </w:r>
      <w:r w:rsidR="00E8128F">
        <w:rPr>
          <w:sz w:val="36"/>
          <w:szCs w:val="36"/>
          <w:rtl/>
        </w:rPr>
        <w:t xml:space="preserve"> </w:t>
      </w:r>
      <w:r w:rsidRPr="00FD211F">
        <w:rPr>
          <w:sz w:val="36"/>
          <w:szCs w:val="36"/>
          <w:rtl/>
        </w:rPr>
        <w:t>نطف</w:t>
      </w:r>
      <w:r w:rsidR="00EC7EDF" w:rsidRPr="00FD211F">
        <w:rPr>
          <w:sz w:val="36"/>
          <w:szCs w:val="36"/>
          <w:rtl/>
        </w:rPr>
        <w:t>ة</w:t>
      </w:r>
      <w:r w:rsidR="00E8128F">
        <w:rPr>
          <w:sz w:val="36"/>
          <w:szCs w:val="36"/>
          <w:rtl/>
        </w:rPr>
        <w:t xml:space="preserve"> </w:t>
      </w:r>
      <w:r w:rsidR="00FC27C6" w:rsidRPr="00FD211F">
        <w:rPr>
          <w:sz w:val="36"/>
          <w:szCs w:val="36"/>
          <w:rtl/>
        </w:rPr>
        <w:t>من</w:t>
      </w:r>
      <w:r w:rsidR="00E8128F">
        <w:rPr>
          <w:sz w:val="36"/>
          <w:szCs w:val="36"/>
          <w:rtl/>
        </w:rPr>
        <w:t xml:space="preserve"> </w:t>
      </w:r>
      <w:r w:rsidR="00FC27C6" w:rsidRPr="00FD211F">
        <w:rPr>
          <w:sz w:val="36"/>
          <w:szCs w:val="36"/>
          <w:rtl/>
        </w:rPr>
        <w:t>مني</w:t>
      </w:r>
      <w:r w:rsidR="00E8128F">
        <w:rPr>
          <w:sz w:val="36"/>
          <w:szCs w:val="36"/>
          <w:rtl/>
        </w:rPr>
        <w:t xml:space="preserve"> </w:t>
      </w:r>
      <w:r w:rsidR="00FC27C6" w:rsidRPr="00FD211F">
        <w:rPr>
          <w:sz w:val="36"/>
          <w:szCs w:val="36"/>
          <w:rtl/>
        </w:rPr>
        <w:t>يمنى</w:t>
      </w:r>
      <w:r w:rsidR="009C58C8" w:rsidRPr="00FD211F">
        <w:rPr>
          <w:rStyle w:val="a6"/>
          <w:sz w:val="36"/>
          <w:szCs w:val="36"/>
          <w:rtl/>
        </w:rPr>
        <w:t>(</w:t>
      </w:r>
      <w:r w:rsidR="009C58C8" w:rsidRPr="00FD211F">
        <w:rPr>
          <w:rStyle w:val="a6"/>
          <w:sz w:val="36"/>
          <w:szCs w:val="36"/>
          <w:rtl/>
        </w:rPr>
        <w:footnoteReference w:id="521"/>
      </w:r>
      <w:r w:rsidR="009C58C8" w:rsidRPr="00FD211F">
        <w:rPr>
          <w:rStyle w:val="a6"/>
          <w:sz w:val="36"/>
          <w:szCs w:val="36"/>
          <w:rtl/>
        </w:rPr>
        <w:t>)</w:t>
      </w:r>
      <w:r w:rsidR="000026AA" w:rsidRPr="00FD211F">
        <w:rPr>
          <w:sz w:val="36"/>
          <w:szCs w:val="36"/>
          <w:rtl/>
        </w:rPr>
        <w:t>"</w:t>
      </w:r>
      <w:r w:rsidR="00603323" w:rsidRPr="00FD211F">
        <w:rPr>
          <w:sz w:val="36"/>
          <w:szCs w:val="36"/>
          <w:rtl/>
        </w:rPr>
        <w:t>،</w:t>
      </w:r>
      <w:r w:rsidR="00E8128F">
        <w:rPr>
          <w:sz w:val="36"/>
          <w:szCs w:val="36"/>
          <w:rtl/>
        </w:rPr>
        <w:t xml:space="preserve"> </w:t>
      </w:r>
      <w:r w:rsidR="00FC27C6" w:rsidRPr="00FD211F">
        <w:rPr>
          <w:sz w:val="36"/>
          <w:szCs w:val="36"/>
          <w:rtl/>
        </w:rPr>
        <w:t>ولذا</w:t>
      </w:r>
      <w:r w:rsidR="00E8128F">
        <w:rPr>
          <w:sz w:val="36"/>
          <w:szCs w:val="36"/>
          <w:rtl/>
        </w:rPr>
        <w:t xml:space="preserve"> </w:t>
      </w:r>
      <w:r w:rsidR="00FC27C6" w:rsidRPr="00FD211F">
        <w:rPr>
          <w:sz w:val="36"/>
          <w:szCs w:val="36"/>
          <w:rtl/>
        </w:rPr>
        <w:t>لو</w:t>
      </w:r>
      <w:r w:rsidR="00E8128F">
        <w:rPr>
          <w:sz w:val="36"/>
          <w:szCs w:val="36"/>
          <w:rtl/>
        </w:rPr>
        <w:t xml:space="preserve"> </w:t>
      </w:r>
      <w:r w:rsidR="00FC27C6" w:rsidRPr="00FD211F">
        <w:rPr>
          <w:sz w:val="36"/>
          <w:szCs w:val="36"/>
          <w:rtl/>
        </w:rPr>
        <w:t>شك</w:t>
      </w:r>
      <w:r w:rsidR="00E8128F">
        <w:rPr>
          <w:sz w:val="36"/>
          <w:szCs w:val="36"/>
          <w:rtl/>
        </w:rPr>
        <w:t xml:space="preserve"> </w:t>
      </w:r>
      <w:r w:rsidR="00FC27C6" w:rsidRPr="00FD211F">
        <w:rPr>
          <w:sz w:val="36"/>
          <w:szCs w:val="36"/>
          <w:rtl/>
        </w:rPr>
        <w:t>في</w:t>
      </w:r>
      <w:r w:rsidR="00E8128F">
        <w:rPr>
          <w:sz w:val="36"/>
          <w:szCs w:val="36"/>
          <w:rtl/>
        </w:rPr>
        <w:t xml:space="preserve"> </w:t>
      </w:r>
      <w:r w:rsidRPr="00FD211F">
        <w:rPr>
          <w:sz w:val="36"/>
          <w:szCs w:val="36"/>
          <w:rtl/>
        </w:rPr>
        <w:t>استحال</w:t>
      </w:r>
      <w:r w:rsidR="00EC7EDF" w:rsidRPr="00FD211F">
        <w:rPr>
          <w:sz w:val="36"/>
          <w:szCs w:val="36"/>
          <w:rtl/>
        </w:rPr>
        <w:t>ة</w:t>
      </w:r>
      <w:r w:rsidR="00E8128F">
        <w:rPr>
          <w:sz w:val="36"/>
          <w:szCs w:val="36"/>
          <w:rtl/>
        </w:rPr>
        <w:t xml:space="preserve"> </w:t>
      </w:r>
      <w:r w:rsidRPr="00FD211F">
        <w:rPr>
          <w:sz w:val="36"/>
          <w:szCs w:val="36"/>
          <w:rtl/>
        </w:rPr>
        <w:t>الكلب</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الملح</w:t>
      </w:r>
      <w:r w:rsidR="00E8128F">
        <w:rPr>
          <w:sz w:val="36"/>
          <w:szCs w:val="36"/>
          <w:rtl/>
        </w:rPr>
        <w:t xml:space="preserve"> </w:t>
      </w:r>
      <w:r w:rsidR="007020F2" w:rsidRPr="00FD211F">
        <w:rPr>
          <w:sz w:val="36"/>
          <w:szCs w:val="36"/>
          <w:rtl/>
        </w:rPr>
        <w:t>خارجا</w:t>
      </w:r>
      <w:r w:rsidR="00E8128F">
        <w:rPr>
          <w:sz w:val="36"/>
          <w:szCs w:val="36"/>
          <w:rtl/>
        </w:rPr>
        <w:t xml:space="preserve"> </w:t>
      </w:r>
      <w:r w:rsidRPr="00FD211F">
        <w:rPr>
          <w:sz w:val="36"/>
          <w:szCs w:val="36"/>
          <w:rtl/>
        </w:rPr>
        <w:t>ف</w:t>
      </w:r>
      <w:r w:rsidR="007020F2" w:rsidRPr="00FD211F">
        <w:rPr>
          <w:sz w:val="36"/>
          <w:szCs w:val="36"/>
          <w:rtl/>
        </w:rPr>
        <w:t>يجري</w:t>
      </w:r>
      <w:r w:rsidR="00E8128F">
        <w:rPr>
          <w:sz w:val="36"/>
          <w:szCs w:val="36"/>
          <w:rtl/>
        </w:rPr>
        <w:t xml:space="preserve"> </w:t>
      </w:r>
      <w:r w:rsidR="007020F2" w:rsidRPr="00FD211F">
        <w:rPr>
          <w:sz w:val="36"/>
          <w:szCs w:val="36"/>
          <w:rtl/>
        </w:rPr>
        <w:t>الاستصحاب</w:t>
      </w:r>
      <w:r w:rsidR="00E8128F">
        <w:rPr>
          <w:sz w:val="36"/>
          <w:szCs w:val="36"/>
          <w:rtl/>
        </w:rPr>
        <w:t xml:space="preserve"> </w:t>
      </w:r>
      <w:r w:rsidR="007020F2" w:rsidRPr="00FD211F">
        <w:rPr>
          <w:sz w:val="36"/>
          <w:szCs w:val="36"/>
          <w:rtl/>
        </w:rPr>
        <w:t>الموضوعي</w:t>
      </w:r>
      <w:r w:rsidR="00E8128F">
        <w:rPr>
          <w:sz w:val="36"/>
          <w:szCs w:val="36"/>
          <w:rtl/>
        </w:rPr>
        <w:t xml:space="preserve"> </w:t>
      </w:r>
      <w:r w:rsidR="007020F2" w:rsidRPr="00FD211F">
        <w:rPr>
          <w:sz w:val="36"/>
          <w:szCs w:val="36"/>
          <w:rtl/>
        </w:rPr>
        <w:t>فيقال</w:t>
      </w:r>
      <w:r w:rsidR="00E8128F">
        <w:rPr>
          <w:sz w:val="36"/>
          <w:szCs w:val="36"/>
          <w:rtl/>
        </w:rPr>
        <w:t xml:space="preserve"> </w:t>
      </w:r>
      <w:r w:rsidR="007020F2" w:rsidRPr="00FD211F">
        <w:rPr>
          <w:sz w:val="36"/>
          <w:szCs w:val="36"/>
          <w:rtl/>
        </w:rPr>
        <w:t>هذا</w:t>
      </w:r>
      <w:r w:rsidR="00E8128F">
        <w:rPr>
          <w:sz w:val="36"/>
          <w:szCs w:val="36"/>
          <w:rtl/>
        </w:rPr>
        <w:t xml:space="preserve"> </w:t>
      </w:r>
      <w:r w:rsidR="007020F2" w:rsidRPr="00FD211F">
        <w:rPr>
          <w:sz w:val="36"/>
          <w:szCs w:val="36"/>
          <w:rtl/>
        </w:rPr>
        <w:t>كان</w:t>
      </w:r>
      <w:r w:rsidR="00E8128F">
        <w:rPr>
          <w:sz w:val="36"/>
          <w:szCs w:val="36"/>
          <w:rtl/>
        </w:rPr>
        <w:t xml:space="preserve"> </w:t>
      </w:r>
      <w:r w:rsidR="007020F2" w:rsidRPr="00FD211F">
        <w:rPr>
          <w:sz w:val="36"/>
          <w:szCs w:val="36"/>
          <w:rtl/>
        </w:rPr>
        <w:t>كلبا</w:t>
      </w:r>
      <w:r w:rsidR="00E8128F">
        <w:rPr>
          <w:sz w:val="36"/>
          <w:szCs w:val="36"/>
          <w:rtl/>
        </w:rPr>
        <w:t xml:space="preserve"> </w:t>
      </w:r>
      <w:r w:rsidR="007020F2" w:rsidRPr="00FD211F">
        <w:rPr>
          <w:sz w:val="36"/>
          <w:szCs w:val="36"/>
          <w:rtl/>
        </w:rPr>
        <w:t>سابقا</w:t>
      </w:r>
      <w:r w:rsidR="00E8128F">
        <w:rPr>
          <w:sz w:val="36"/>
          <w:szCs w:val="36"/>
          <w:rtl/>
        </w:rPr>
        <w:t xml:space="preserve"> </w:t>
      </w:r>
      <w:r w:rsidR="007020F2" w:rsidRPr="00FD211F">
        <w:rPr>
          <w:sz w:val="36"/>
          <w:szCs w:val="36"/>
          <w:rtl/>
        </w:rPr>
        <w:t>ويشك</w:t>
      </w:r>
      <w:r w:rsidR="00E8128F">
        <w:rPr>
          <w:sz w:val="36"/>
          <w:szCs w:val="36"/>
          <w:rtl/>
        </w:rPr>
        <w:t xml:space="preserve"> </w:t>
      </w:r>
      <w:r w:rsidR="007020F2" w:rsidRPr="00FD211F">
        <w:rPr>
          <w:sz w:val="36"/>
          <w:szCs w:val="36"/>
          <w:rtl/>
        </w:rPr>
        <w:t>في</w:t>
      </w:r>
      <w:r w:rsidR="00E8128F">
        <w:rPr>
          <w:sz w:val="36"/>
          <w:szCs w:val="36"/>
          <w:rtl/>
        </w:rPr>
        <w:t xml:space="preserve"> </w:t>
      </w:r>
      <w:r w:rsidR="007020F2" w:rsidRPr="00FD211F">
        <w:rPr>
          <w:sz w:val="36"/>
          <w:szCs w:val="36"/>
          <w:rtl/>
        </w:rPr>
        <w:t>كونه</w:t>
      </w:r>
      <w:r w:rsidR="00E8128F">
        <w:rPr>
          <w:sz w:val="36"/>
          <w:szCs w:val="36"/>
          <w:rtl/>
        </w:rPr>
        <w:t xml:space="preserve"> </w:t>
      </w:r>
      <w:r w:rsidR="007020F2" w:rsidRPr="00FD211F">
        <w:rPr>
          <w:sz w:val="36"/>
          <w:szCs w:val="36"/>
          <w:rtl/>
        </w:rPr>
        <w:t>كلبا</w:t>
      </w:r>
      <w:r w:rsidR="00E8128F">
        <w:rPr>
          <w:sz w:val="36"/>
          <w:szCs w:val="36"/>
          <w:rtl/>
        </w:rPr>
        <w:t xml:space="preserve"> </w:t>
      </w:r>
      <w:r w:rsidR="007020F2" w:rsidRPr="00FD211F">
        <w:rPr>
          <w:sz w:val="36"/>
          <w:szCs w:val="36"/>
          <w:rtl/>
        </w:rPr>
        <w:t>فعلا</w:t>
      </w:r>
      <w:r w:rsidR="00E8128F">
        <w:rPr>
          <w:sz w:val="36"/>
          <w:szCs w:val="36"/>
          <w:rtl/>
        </w:rPr>
        <w:t xml:space="preserve"> </w:t>
      </w:r>
      <w:r w:rsidR="007020F2" w:rsidRPr="00FD211F">
        <w:rPr>
          <w:sz w:val="36"/>
          <w:szCs w:val="36"/>
          <w:rtl/>
        </w:rPr>
        <w:t>فيستصحب</w:t>
      </w:r>
      <w:r w:rsidR="00603323" w:rsidRPr="00FD211F">
        <w:rPr>
          <w:sz w:val="36"/>
          <w:szCs w:val="36"/>
          <w:rtl/>
        </w:rPr>
        <w:t>،</w:t>
      </w:r>
      <w:r w:rsidR="00E8128F">
        <w:rPr>
          <w:sz w:val="36"/>
          <w:szCs w:val="36"/>
          <w:rtl/>
        </w:rPr>
        <w:t xml:space="preserve"> </w:t>
      </w:r>
      <w:r w:rsidR="0070294C" w:rsidRPr="00FD211F">
        <w:rPr>
          <w:sz w:val="36"/>
          <w:szCs w:val="36"/>
          <w:rtl/>
        </w:rPr>
        <w:t>وهذا</w:t>
      </w:r>
      <w:r w:rsidR="00E8128F">
        <w:rPr>
          <w:sz w:val="36"/>
          <w:szCs w:val="36"/>
          <w:rtl/>
        </w:rPr>
        <w:t xml:space="preserve"> </w:t>
      </w:r>
      <w:r w:rsidR="0070294C" w:rsidRPr="00FD211F">
        <w:rPr>
          <w:sz w:val="36"/>
          <w:szCs w:val="36"/>
          <w:rtl/>
        </w:rPr>
        <w:t>لاينافي</w:t>
      </w:r>
      <w:r w:rsidR="00E8128F">
        <w:rPr>
          <w:sz w:val="36"/>
          <w:szCs w:val="36"/>
          <w:rtl/>
        </w:rPr>
        <w:t xml:space="preserve"> </w:t>
      </w:r>
      <w:r w:rsidR="0070294C" w:rsidRPr="00FD211F">
        <w:rPr>
          <w:sz w:val="36"/>
          <w:szCs w:val="36"/>
          <w:rtl/>
        </w:rPr>
        <w:t>عدم</w:t>
      </w:r>
      <w:r w:rsidR="00E8128F">
        <w:rPr>
          <w:sz w:val="36"/>
          <w:szCs w:val="36"/>
          <w:rtl/>
        </w:rPr>
        <w:t xml:space="preserve"> </w:t>
      </w:r>
      <w:r w:rsidR="0070294C" w:rsidRPr="00FD211F">
        <w:rPr>
          <w:sz w:val="36"/>
          <w:szCs w:val="36"/>
          <w:rtl/>
        </w:rPr>
        <w:t>صح</w:t>
      </w:r>
      <w:r w:rsidR="00EC7EDF" w:rsidRPr="00FD211F">
        <w:rPr>
          <w:sz w:val="36"/>
          <w:szCs w:val="36"/>
          <w:rtl/>
        </w:rPr>
        <w:t>ة</w:t>
      </w:r>
      <w:r w:rsidR="00E8128F">
        <w:rPr>
          <w:sz w:val="36"/>
          <w:szCs w:val="36"/>
          <w:rtl/>
        </w:rPr>
        <w:t xml:space="preserve"> </w:t>
      </w:r>
      <w:r w:rsidR="0070294C" w:rsidRPr="00FD211F">
        <w:rPr>
          <w:sz w:val="36"/>
          <w:szCs w:val="36"/>
          <w:rtl/>
        </w:rPr>
        <w:t>استصحاب</w:t>
      </w:r>
      <w:r w:rsidR="00E8128F">
        <w:rPr>
          <w:sz w:val="36"/>
          <w:szCs w:val="36"/>
          <w:rtl/>
        </w:rPr>
        <w:t xml:space="preserve"> </w:t>
      </w:r>
      <w:r w:rsidR="0070294C" w:rsidRPr="00FD211F">
        <w:rPr>
          <w:sz w:val="36"/>
          <w:szCs w:val="36"/>
          <w:rtl/>
        </w:rPr>
        <w:t>بعض</w:t>
      </w:r>
      <w:r w:rsidR="00E8128F">
        <w:rPr>
          <w:sz w:val="36"/>
          <w:szCs w:val="36"/>
          <w:rtl/>
        </w:rPr>
        <w:t xml:space="preserve"> </w:t>
      </w:r>
      <w:r w:rsidR="0070294C" w:rsidRPr="00FD211F">
        <w:rPr>
          <w:sz w:val="36"/>
          <w:szCs w:val="36"/>
          <w:rtl/>
        </w:rPr>
        <w:t>احكام</w:t>
      </w:r>
      <w:r w:rsidR="00E8128F">
        <w:rPr>
          <w:sz w:val="36"/>
          <w:szCs w:val="36"/>
          <w:rtl/>
        </w:rPr>
        <w:t xml:space="preserve"> </w:t>
      </w:r>
      <w:r w:rsidR="0070294C" w:rsidRPr="00FD211F">
        <w:rPr>
          <w:sz w:val="36"/>
          <w:szCs w:val="36"/>
          <w:rtl/>
        </w:rPr>
        <w:t>الصور</w:t>
      </w:r>
      <w:r w:rsidR="00EC7EDF" w:rsidRPr="00FD211F">
        <w:rPr>
          <w:sz w:val="36"/>
          <w:szCs w:val="36"/>
          <w:rtl/>
        </w:rPr>
        <w:t>ة</w:t>
      </w:r>
      <w:r w:rsidR="00E8128F">
        <w:rPr>
          <w:sz w:val="36"/>
          <w:szCs w:val="36"/>
          <w:rtl/>
        </w:rPr>
        <w:t xml:space="preserve"> </w:t>
      </w:r>
      <w:r w:rsidR="0070294C" w:rsidRPr="00FD211F">
        <w:rPr>
          <w:sz w:val="36"/>
          <w:szCs w:val="36"/>
          <w:rtl/>
        </w:rPr>
        <w:t>النوعي</w:t>
      </w:r>
      <w:r w:rsidR="00EC7EDF" w:rsidRPr="00FD211F">
        <w:rPr>
          <w:sz w:val="36"/>
          <w:szCs w:val="36"/>
          <w:rtl/>
        </w:rPr>
        <w:t>ة</w:t>
      </w:r>
      <w:r w:rsidR="00E8128F">
        <w:rPr>
          <w:sz w:val="36"/>
          <w:szCs w:val="36"/>
          <w:rtl/>
        </w:rPr>
        <w:t xml:space="preserve"> </w:t>
      </w:r>
      <w:r w:rsidRPr="00FD211F">
        <w:rPr>
          <w:sz w:val="36"/>
          <w:szCs w:val="36"/>
          <w:rtl/>
        </w:rPr>
        <w:t>السابق</w:t>
      </w:r>
      <w:r w:rsidR="00EC7EDF" w:rsidRPr="00FD211F">
        <w:rPr>
          <w:sz w:val="36"/>
          <w:szCs w:val="36"/>
          <w:rtl/>
        </w:rPr>
        <w:t>ة</w:t>
      </w:r>
      <w:r w:rsidR="00E8128F">
        <w:rPr>
          <w:sz w:val="36"/>
          <w:szCs w:val="36"/>
          <w:rtl/>
        </w:rPr>
        <w:t xml:space="preserve"> </w:t>
      </w:r>
      <w:r w:rsidRPr="00FD211F">
        <w:rPr>
          <w:sz w:val="36"/>
          <w:szCs w:val="36"/>
          <w:rtl/>
        </w:rPr>
        <w:t>كالنجاس</w:t>
      </w:r>
      <w:r w:rsidR="00EC7EDF" w:rsidRPr="00FD211F">
        <w:rPr>
          <w:sz w:val="36"/>
          <w:szCs w:val="36"/>
          <w:rtl/>
        </w:rPr>
        <w:t>ة</w:t>
      </w:r>
      <w:r w:rsidR="00E8128F">
        <w:rPr>
          <w:sz w:val="36"/>
          <w:szCs w:val="36"/>
          <w:rtl/>
        </w:rPr>
        <w:t xml:space="preserve"> </w:t>
      </w:r>
      <w:r w:rsidR="0070294C" w:rsidRPr="00FD211F">
        <w:rPr>
          <w:sz w:val="36"/>
          <w:szCs w:val="36"/>
          <w:rtl/>
        </w:rPr>
        <w:t>حيث</w:t>
      </w:r>
      <w:r w:rsidR="00E8128F">
        <w:rPr>
          <w:sz w:val="36"/>
          <w:szCs w:val="36"/>
          <w:rtl/>
        </w:rPr>
        <w:t xml:space="preserve"> </w:t>
      </w:r>
      <w:r w:rsidR="0070294C" w:rsidRPr="00FD211F">
        <w:rPr>
          <w:sz w:val="36"/>
          <w:szCs w:val="36"/>
          <w:rtl/>
        </w:rPr>
        <w:t>ان</w:t>
      </w:r>
      <w:r w:rsidR="00E8128F">
        <w:rPr>
          <w:sz w:val="36"/>
          <w:szCs w:val="36"/>
          <w:rtl/>
        </w:rPr>
        <w:t xml:space="preserve"> </w:t>
      </w:r>
      <w:r w:rsidR="0070294C" w:rsidRPr="00FD211F">
        <w:rPr>
          <w:sz w:val="36"/>
          <w:szCs w:val="36"/>
          <w:rtl/>
        </w:rPr>
        <w:t>العرف</w:t>
      </w:r>
      <w:r w:rsidR="00E8128F">
        <w:rPr>
          <w:sz w:val="36"/>
          <w:szCs w:val="36"/>
          <w:rtl/>
        </w:rPr>
        <w:t xml:space="preserve"> </w:t>
      </w:r>
      <w:r w:rsidR="0070294C" w:rsidRPr="00FD211F">
        <w:rPr>
          <w:sz w:val="36"/>
          <w:szCs w:val="36"/>
          <w:rtl/>
        </w:rPr>
        <w:t>يرى</w:t>
      </w:r>
      <w:r w:rsidR="00E8128F">
        <w:rPr>
          <w:sz w:val="36"/>
          <w:szCs w:val="36"/>
          <w:rtl/>
        </w:rPr>
        <w:t xml:space="preserve"> </w:t>
      </w:r>
      <w:r w:rsidR="0070294C" w:rsidRPr="00FD211F">
        <w:rPr>
          <w:sz w:val="36"/>
          <w:szCs w:val="36"/>
          <w:rtl/>
        </w:rPr>
        <w:t>عروضها</w:t>
      </w:r>
      <w:r w:rsidR="00E8128F">
        <w:rPr>
          <w:sz w:val="36"/>
          <w:szCs w:val="36"/>
          <w:rtl/>
        </w:rPr>
        <w:t xml:space="preserve"> </w:t>
      </w:r>
      <w:r w:rsidR="0070294C" w:rsidRPr="00FD211F">
        <w:rPr>
          <w:sz w:val="36"/>
          <w:szCs w:val="36"/>
          <w:rtl/>
        </w:rPr>
        <w:t>للصور</w:t>
      </w:r>
      <w:r w:rsidR="00EC7EDF" w:rsidRPr="00FD211F">
        <w:rPr>
          <w:sz w:val="36"/>
          <w:szCs w:val="36"/>
          <w:rtl/>
        </w:rPr>
        <w:t>ة</w:t>
      </w:r>
      <w:r w:rsidR="00E8128F">
        <w:rPr>
          <w:sz w:val="36"/>
          <w:szCs w:val="36"/>
          <w:rtl/>
        </w:rPr>
        <w:t xml:space="preserve"> </w:t>
      </w:r>
      <w:r w:rsidRPr="00FD211F">
        <w:rPr>
          <w:sz w:val="36"/>
          <w:szCs w:val="36"/>
          <w:rtl/>
        </w:rPr>
        <w:t>النوعي</w:t>
      </w:r>
      <w:r w:rsidR="00EC7EDF" w:rsidRPr="00FD211F">
        <w:rPr>
          <w:sz w:val="36"/>
          <w:szCs w:val="36"/>
          <w:rtl/>
        </w:rPr>
        <w:t>ة</w:t>
      </w:r>
      <w:r w:rsidR="00E8128F">
        <w:rPr>
          <w:sz w:val="36"/>
          <w:szCs w:val="36"/>
          <w:rtl/>
        </w:rPr>
        <w:t xml:space="preserve"> </w:t>
      </w:r>
      <w:r w:rsidRPr="00FD211F">
        <w:rPr>
          <w:sz w:val="36"/>
          <w:szCs w:val="36"/>
          <w:rtl/>
        </w:rPr>
        <w:t>السابق</w:t>
      </w:r>
      <w:r w:rsidR="00EC7EDF" w:rsidRPr="00FD211F">
        <w:rPr>
          <w:sz w:val="36"/>
          <w:szCs w:val="36"/>
          <w:rtl/>
        </w:rPr>
        <w:t>ة</w:t>
      </w:r>
      <w:r w:rsidR="00603323" w:rsidRPr="00FD211F">
        <w:rPr>
          <w:sz w:val="36"/>
          <w:szCs w:val="36"/>
          <w:rtl/>
        </w:rPr>
        <w:t>،</w:t>
      </w:r>
      <w:r w:rsidR="00E8128F">
        <w:rPr>
          <w:sz w:val="36"/>
          <w:szCs w:val="36"/>
          <w:rtl/>
        </w:rPr>
        <w:t xml:space="preserve"> </w:t>
      </w:r>
      <w:r w:rsidR="0070294C" w:rsidRPr="00FD211F">
        <w:rPr>
          <w:sz w:val="36"/>
          <w:szCs w:val="36"/>
          <w:rtl/>
        </w:rPr>
        <w:t>فلايصدق</w:t>
      </w:r>
      <w:r w:rsidR="00E8128F">
        <w:rPr>
          <w:sz w:val="36"/>
          <w:szCs w:val="36"/>
          <w:rtl/>
        </w:rPr>
        <w:t xml:space="preserve"> </w:t>
      </w:r>
      <w:r w:rsidR="0070294C" w:rsidRPr="00FD211F">
        <w:rPr>
          <w:sz w:val="36"/>
          <w:szCs w:val="36"/>
          <w:rtl/>
        </w:rPr>
        <w:t>على</w:t>
      </w:r>
      <w:r w:rsidR="00E8128F">
        <w:rPr>
          <w:sz w:val="36"/>
          <w:szCs w:val="36"/>
          <w:rtl/>
        </w:rPr>
        <w:t xml:space="preserve"> </w:t>
      </w:r>
      <w:r w:rsidR="0070294C" w:rsidRPr="00FD211F">
        <w:rPr>
          <w:sz w:val="36"/>
          <w:szCs w:val="36"/>
          <w:rtl/>
        </w:rPr>
        <w:t>الملح</w:t>
      </w:r>
      <w:r w:rsidR="00E8128F">
        <w:rPr>
          <w:sz w:val="36"/>
          <w:szCs w:val="36"/>
          <w:rtl/>
        </w:rPr>
        <w:t xml:space="preserve"> </w:t>
      </w:r>
      <w:r w:rsidR="0070294C" w:rsidRPr="00FD211F">
        <w:rPr>
          <w:sz w:val="36"/>
          <w:szCs w:val="36"/>
          <w:rtl/>
        </w:rPr>
        <w:t>المستحيل</w:t>
      </w:r>
      <w:r w:rsidR="00E8128F">
        <w:rPr>
          <w:sz w:val="36"/>
          <w:szCs w:val="36"/>
          <w:rtl/>
        </w:rPr>
        <w:t xml:space="preserve"> </w:t>
      </w:r>
      <w:r w:rsidR="0070294C" w:rsidRPr="00FD211F">
        <w:rPr>
          <w:sz w:val="36"/>
          <w:szCs w:val="36"/>
          <w:rtl/>
        </w:rPr>
        <w:t>من</w:t>
      </w:r>
      <w:r w:rsidR="00E8128F">
        <w:rPr>
          <w:sz w:val="36"/>
          <w:szCs w:val="36"/>
          <w:rtl/>
        </w:rPr>
        <w:t xml:space="preserve"> </w:t>
      </w:r>
      <w:r w:rsidR="0070294C" w:rsidRPr="00FD211F">
        <w:rPr>
          <w:sz w:val="36"/>
          <w:szCs w:val="36"/>
          <w:rtl/>
        </w:rPr>
        <w:t>الكلب</w:t>
      </w:r>
      <w:r w:rsidR="00E8128F">
        <w:rPr>
          <w:sz w:val="36"/>
          <w:szCs w:val="36"/>
          <w:rtl/>
        </w:rPr>
        <w:t xml:space="preserve"> </w:t>
      </w:r>
      <w:r w:rsidR="0070294C" w:rsidRPr="00FD211F">
        <w:rPr>
          <w:sz w:val="36"/>
          <w:szCs w:val="36"/>
          <w:rtl/>
        </w:rPr>
        <w:t>انه</w:t>
      </w:r>
      <w:r w:rsidR="00E8128F">
        <w:rPr>
          <w:sz w:val="36"/>
          <w:szCs w:val="36"/>
          <w:rtl/>
        </w:rPr>
        <w:t xml:space="preserve"> </w:t>
      </w:r>
      <w:r w:rsidR="0070294C" w:rsidRPr="00FD211F">
        <w:rPr>
          <w:sz w:val="36"/>
          <w:szCs w:val="36"/>
          <w:rtl/>
        </w:rPr>
        <w:t>كان</w:t>
      </w:r>
      <w:r w:rsidR="00E8128F">
        <w:rPr>
          <w:sz w:val="36"/>
          <w:szCs w:val="36"/>
          <w:rtl/>
        </w:rPr>
        <w:t xml:space="preserve"> </w:t>
      </w:r>
      <w:r w:rsidR="0070294C" w:rsidRPr="00FD211F">
        <w:rPr>
          <w:sz w:val="36"/>
          <w:szCs w:val="36"/>
          <w:rtl/>
        </w:rPr>
        <w:t>نجسا</w:t>
      </w:r>
      <w:r w:rsidR="00603323" w:rsidRPr="00FD211F">
        <w:rPr>
          <w:sz w:val="36"/>
          <w:szCs w:val="36"/>
          <w:rtl/>
        </w:rPr>
        <w:t>،</w:t>
      </w:r>
      <w:r w:rsidR="00E8128F">
        <w:rPr>
          <w:sz w:val="36"/>
          <w:szCs w:val="36"/>
          <w:rtl/>
        </w:rPr>
        <w:t xml:space="preserve"> </w:t>
      </w:r>
      <w:r w:rsidR="0070294C" w:rsidRPr="00FD211F">
        <w:rPr>
          <w:sz w:val="36"/>
          <w:szCs w:val="36"/>
          <w:rtl/>
        </w:rPr>
        <w:t>وانما</w:t>
      </w:r>
      <w:r w:rsidR="00E8128F">
        <w:rPr>
          <w:sz w:val="36"/>
          <w:szCs w:val="36"/>
          <w:rtl/>
        </w:rPr>
        <w:t xml:space="preserve"> </w:t>
      </w:r>
      <w:r w:rsidR="0070294C" w:rsidRPr="00FD211F">
        <w:rPr>
          <w:sz w:val="36"/>
          <w:szCs w:val="36"/>
          <w:rtl/>
        </w:rPr>
        <w:t>يصدق</w:t>
      </w:r>
      <w:r w:rsidR="00E8128F">
        <w:rPr>
          <w:sz w:val="36"/>
          <w:szCs w:val="36"/>
          <w:rtl/>
        </w:rPr>
        <w:t xml:space="preserve"> </w:t>
      </w:r>
      <w:r w:rsidR="0070294C" w:rsidRPr="00FD211F">
        <w:rPr>
          <w:sz w:val="36"/>
          <w:szCs w:val="36"/>
          <w:rtl/>
        </w:rPr>
        <w:t>عليه</w:t>
      </w:r>
      <w:r w:rsidR="00E8128F">
        <w:rPr>
          <w:sz w:val="36"/>
          <w:szCs w:val="36"/>
          <w:rtl/>
        </w:rPr>
        <w:t xml:space="preserve"> </w:t>
      </w:r>
      <w:r w:rsidR="0070294C" w:rsidRPr="00FD211F">
        <w:rPr>
          <w:sz w:val="36"/>
          <w:szCs w:val="36"/>
          <w:rtl/>
        </w:rPr>
        <w:t>انه</w:t>
      </w:r>
      <w:r w:rsidR="00E8128F">
        <w:rPr>
          <w:sz w:val="36"/>
          <w:szCs w:val="36"/>
          <w:rtl/>
        </w:rPr>
        <w:t xml:space="preserve"> </w:t>
      </w:r>
      <w:r w:rsidR="0070294C" w:rsidRPr="00FD211F">
        <w:rPr>
          <w:sz w:val="36"/>
          <w:szCs w:val="36"/>
          <w:rtl/>
        </w:rPr>
        <w:t>كان</w:t>
      </w:r>
      <w:r w:rsidR="00E8128F">
        <w:rPr>
          <w:sz w:val="36"/>
          <w:szCs w:val="36"/>
          <w:rtl/>
        </w:rPr>
        <w:t xml:space="preserve"> </w:t>
      </w:r>
      <w:r w:rsidR="0070294C" w:rsidRPr="00FD211F">
        <w:rPr>
          <w:sz w:val="36"/>
          <w:szCs w:val="36"/>
          <w:rtl/>
        </w:rPr>
        <w:t>كلبا</w:t>
      </w:r>
      <w:r w:rsidR="00E8128F">
        <w:rPr>
          <w:sz w:val="36"/>
          <w:szCs w:val="36"/>
          <w:rtl/>
        </w:rPr>
        <w:t xml:space="preserve"> </w:t>
      </w:r>
      <w:r w:rsidR="00EC7666" w:rsidRPr="00FD211F">
        <w:rPr>
          <w:sz w:val="36"/>
          <w:szCs w:val="36"/>
          <w:rtl/>
        </w:rPr>
        <w:t>و</w:t>
      </w:r>
      <w:r w:rsidR="00FC27C6" w:rsidRPr="00FD211F">
        <w:rPr>
          <w:sz w:val="36"/>
          <w:szCs w:val="36"/>
          <w:rtl/>
        </w:rPr>
        <w:t>كان</w:t>
      </w:r>
      <w:r w:rsidR="00E8128F">
        <w:rPr>
          <w:sz w:val="36"/>
          <w:szCs w:val="36"/>
          <w:rtl/>
        </w:rPr>
        <w:t xml:space="preserve"> </w:t>
      </w:r>
      <w:r w:rsidR="0070294C" w:rsidRPr="00FD211F">
        <w:rPr>
          <w:sz w:val="36"/>
          <w:szCs w:val="36"/>
          <w:rtl/>
        </w:rPr>
        <w:t>الكلب</w:t>
      </w:r>
      <w:r w:rsidR="00E8128F">
        <w:rPr>
          <w:sz w:val="36"/>
          <w:szCs w:val="36"/>
          <w:rtl/>
        </w:rPr>
        <w:t xml:space="preserve"> </w:t>
      </w:r>
      <w:r w:rsidR="0070294C" w:rsidRPr="00FD211F">
        <w:rPr>
          <w:sz w:val="36"/>
          <w:szCs w:val="36"/>
          <w:rtl/>
        </w:rPr>
        <w:t>نجسا</w:t>
      </w:r>
      <w:r w:rsidR="00E8128F">
        <w:rPr>
          <w:sz w:val="36"/>
          <w:szCs w:val="36"/>
          <w:rtl/>
        </w:rPr>
        <w:t xml:space="preserve"> </w:t>
      </w:r>
      <w:r w:rsidR="0070294C" w:rsidRPr="00FD211F">
        <w:rPr>
          <w:sz w:val="36"/>
          <w:szCs w:val="36"/>
          <w:rtl/>
        </w:rPr>
        <w:t>فلايجري</w:t>
      </w:r>
      <w:r w:rsidR="00E8128F">
        <w:rPr>
          <w:sz w:val="36"/>
          <w:szCs w:val="36"/>
          <w:rtl/>
        </w:rPr>
        <w:t xml:space="preserve"> </w:t>
      </w:r>
      <w:r w:rsidR="0070294C" w:rsidRPr="00FD211F">
        <w:rPr>
          <w:sz w:val="36"/>
          <w:szCs w:val="36"/>
          <w:rtl/>
        </w:rPr>
        <w:t>استصحاب</w:t>
      </w:r>
      <w:r w:rsidR="00E8128F">
        <w:rPr>
          <w:sz w:val="36"/>
          <w:szCs w:val="36"/>
          <w:rtl/>
        </w:rPr>
        <w:t xml:space="preserve"> </w:t>
      </w:r>
      <w:r w:rsidR="0070294C" w:rsidRPr="00FD211F">
        <w:rPr>
          <w:sz w:val="36"/>
          <w:szCs w:val="36"/>
          <w:rtl/>
        </w:rPr>
        <w:t>النجاس</w:t>
      </w:r>
      <w:r w:rsidR="00EC7EDF" w:rsidRPr="00FD211F">
        <w:rPr>
          <w:sz w:val="36"/>
          <w:szCs w:val="36"/>
          <w:rtl/>
        </w:rPr>
        <w:t>ة</w:t>
      </w:r>
      <w:r w:rsidR="00603323" w:rsidRPr="00FD211F">
        <w:rPr>
          <w:sz w:val="36"/>
          <w:szCs w:val="36"/>
          <w:rtl/>
        </w:rPr>
        <w:t>،</w:t>
      </w:r>
      <w:r w:rsidR="00E8128F">
        <w:rPr>
          <w:sz w:val="36"/>
          <w:szCs w:val="36"/>
          <w:rtl/>
        </w:rPr>
        <w:t xml:space="preserve"> </w:t>
      </w:r>
      <w:r w:rsidR="0070294C" w:rsidRPr="00FD211F">
        <w:rPr>
          <w:sz w:val="36"/>
          <w:szCs w:val="36"/>
          <w:rtl/>
        </w:rPr>
        <w:t>وكذا</w:t>
      </w:r>
      <w:r w:rsidR="00E8128F">
        <w:rPr>
          <w:sz w:val="36"/>
          <w:szCs w:val="36"/>
          <w:rtl/>
        </w:rPr>
        <w:t xml:space="preserve"> </w:t>
      </w:r>
      <w:r w:rsidR="0070294C" w:rsidRPr="00FD211F">
        <w:rPr>
          <w:sz w:val="36"/>
          <w:szCs w:val="36"/>
          <w:rtl/>
        </w:rPr>
        <w:t>لو</w:t>
      </w:r>
      <w:r w:rsidR="00E8128F">
        <w:rPr>
          <w:sz w:val="36"/>
          <w:szCs w:val="36"/>
          <w:rtl/>
        </w:rPr>
        <w:t xml:space="preserve"> </w:t>
      </w:r>
      <w:r w:rsidR="0070294C" w:rsidRPr="00FD211F">
        <w:rPr>
          <w:sz w:val="36"/>
          <w:szCs w:val="36"/>
          <w:rtl/>
        </w:rPr>
        <w:t>استحال</w:t>
      </w:r>
      <w:r w:rsidR="00E8128F">
        <w:rPr>
          <w:sz w:val="36"/>
          <w:szCs w:val="36"/>
          <w:rtl/>
        </w:rPr>
        <w:t xml:space="preserve"> </w:t>
      </w:r>
      <w:r w:rsidR="0070294C" w:rsidRPr="00FD211F">
        <w:rPr>
          <w:sz w:val="36"/>
          <w:szCs w:val="36"/>
          <w:rtl/>
        </w:rPr>
        <w:t>الخشب</w:t>
      </w:r>
      <w:r w:rsidR="00E8128F">
        <w:rPr>
          <w:sz w:val="36"/>
          <w:szCs w:val="36"/>
          <w:rtl/>
        </w:rPr>
        <w:t xml:space="preserve"> </w:t>
      </w:r>
      <w:r w:rsidR="0070294C" w:rsidRPr="00FD211F">
        <w:rPr>
          <w:sz w:val="36"/>
          <w:szCs w:val="36"/>
          <w:rtl/>
        </w:rPr>
        <w:t>المتنجس</w:t>
      </w:r>
      <w:r w:rsidR="00E8128F">
        <w:rPr>
          <w:sz w:val="36"/>
          <w:szCs w:val="36"/>
          <w:rtl/>
        </w:rPr>
        <w:t xml:space="preserve"> </w:t>
      </w:r>
      <w:r w:rsidR="0070294C" w:rsidRPr="00FD211F">
        <w:rPr>
          <w:sz w:val="36"/>
          <w:szCs w:val="36"/>
          <w:rtl/>
        </w:rPr>
        <w:t>ترابا</w:t>
      </w:r>
      <w:r w:rsidR="00E8128F">
        <w:rPr>
          <w:sz w:val="36"/>
          <w:szCs w:val="36"/>
          <w:rtl/>
        </w:rPr>
        <w:t xml:space="preserve"> </w:t>
      </w:r>
      <w:r w:rsidRPr="00FD211F">
        <w:rPr>
          <w:sz w:val="36"/>
          <w:szCs w:val="36"/>
          <w:rtl/>
        </w:rPr>
        <w:t>فلايقال</w:t>
      </w:r>
      <w:r w:rsidR="00E8128F">
        <w:rPr>
          <w:sz w:val="36"/>
          <w:szCs w:val="36"/>
          <w:rtl/>
        </w:rPr>
        <w:t xml:space="preserve"> </w:t>
      </w:r>
      <w:r w:rsidR="0070294C" w:rsidRPr="00FD211F">
        <w:rPr>
          <w:sz w:val="36"/>
          <w:szCs w:val="36"/>
          <w:rtl/>
        </w:rPr>
        <w:t>ان</w:t>
      </w:r>
      <w:r w:rsidR="00E8128F">
        <w:rPr>
          <w:sz w:val="36"/>
          <w:szCs w:val="36"/>
          <w:rtl/>
        </w:rPr>
        <w:t xml:space="preserve"> </w:t>
      </w:r>
      <w:r w:rsidR="0070294C" w:rsidRPr="00FD211F">
        <w:rPr>
          <w:sz w:val="36"/>
          <w:szCs w:val="36"/>
          <w:rtl/>
        </w:rPr>
        <w:t>هذا</w:t>
      </w:r>
      <w:r w:rsidR="00E8128F">
        <w:rPr>
          <w:sz w:val="36"/>
          <w:szCs w:val="36"/>
          <w:rtl/>
        </w:rPr>
        <w:t xml:space="preserve"> </w:t>
      </w:r>
      <w:r w:rsidR="0070294C" w:rsidRPr="00FD211F">
        <w:rPr>
          <w:sz w:val="36"/>
          <w:szCs w:val="36"/>
          <w:rtl/>
        </w:rPr>
        <w:t>التراب</w:t>
      </w:r>
      <w:r w:rsidR="00E8128F">
        <w:rPr>
          <w:sz w:val="36"/>
          <w:szCs w:val="36"/>
          <w:rtl/>
        </w:rPr>
        <w:t xml:space="preserve"> </w:t>
      </w:r>
      <w:r w:rsidR="0070294C" w:rsidRPr="00FD211F">
        <w:rPr>
          <w:sz w:val="36"/>
          <w:szCs w:val="36"/>
          <w:rtl/>
        </w:rPr>
        <w:t>كان</w:t>
      </w:r>
      <w:r w:rsidR="00E8128F">
        <w:rPr>
          <w:sz w:val="36"/>
          <w:szCs w:val="36"/>
          <w:rtl/>
        </w:rPr>
        <w:t xml:space="preserve"> </w:t>
      </w:r>
      <w:r w:rsidRPr="00FD211F">
        <w:rPr>
          <w:sz w:val="36"/>
          <w:szCs w:val="36"/>
          <w:rtl/>
        </w:rPr>
        <w:t>متنجسا</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كان</w:t>
      </w:r>
      <w:r w:rsidR="00E8128F">
        <w:rPr>
          <w:sz w:val="36"/>
          <w:szCs w:val="36"/>
          <w:rtl/>
        </w:rPr>
        <w:t xml:space="preserve"> </w:t>
      </w:r>
      <w:r w:rsidR="0070294C" w:rsidRPr="00FD211F">
        <w:rPr>
          <w:sz w:val="36"/>
          <w:szCs w:val="36"/>
          <w:rtl/>
        </w:rPr>
        <w:t>خشبا</w:t>
      </w:r>
      <w:r w:rsidR="00E8128F">
        <w:rPr>
          <w:sz w:val="36"/>
          <w:szCs w:val="36"/>
          <w:rtl/>
        </w:rPr>
        <w:t xml:space="preserve"> </w:t>
      </w:r>
      <w:r w:rsidR="0070294C" w:rsidRPr="00FD211F">
        <w:rPr>
          <w:sz w:val="36"/>
          <w:szCs w:val="36"/>
          <w:rtl/>
        </w:rPr>
        <w:t>وكان</w:t>
      </w:r>
      <w:r w:rsidR="00E8128F">
        <w:rPr>
          <w:sz w:val="36"/>
          <w:szCs w:val="36"/>
          <w:rtl/>
        </w:rPr>
        <w:t xml:space="preserve"> </w:t>
      </w:r>
      <w:r w:rsidR="0070294C" w:rsidRPr="00FD211F">
        <w:rPr>
          <w:sz w:val="36"/>
          <w:szCs w:val="36"/>
          <w:rtl/>
        </w:rPr>
        <w:t>الخشب</w:t>
      </w:r>
      <w:r w:rsidR="00E8128F">
        <w:rPr>
          <w:sz w:val="36"/>
          <w:szCs w:val="36"/>
          <w:rtl/>
        </w:rPr>
        <w:t xml:space="preserve"> </w:t>
      </w:r>
      <w:r w:rsidR="0070294C" w:rsidRPr="00FD211F">
        <w:rPr>
          <w:sz w:val="36"/>
          <w:szCs w:val="36"/>
          <w:rtl/>
        </w:rPr>
        <w:t>متنجسا</w:t>
      </w:r>
      <w:r w:rsidR="00603323" w:rsidRPr="00FD211F">
        <w:rPr>
          <w:sz w:val="36"/>
          <w:szCs w:val="36"/>
          <w:rtl/>
        </w:rPr>
        <w:t>،</w:t>
      </w:r>
      <w:r w:rsidR="00E8128F">
        <w:rPr>
          <w:sz w:val="36"/>
          <w:szCs w:val="36"/>
          <w:rtl/>
        </w:rPr>
        <w:t xml:space="preserve"> </w:t>
      </w:r>
      <w:r w:rsidRPr="00FD211F">
        <w:rPr>
          <w:sz w:val="36"/>
          <w:szCs w:val="36"/>
          <w:rtl/>
        </w:rPr>
        <w:t>ولأجل</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عدّوا</w:t>
      </w:r>
      <w:r w:rsidR="00E8128F">
        <w:rPr>
          <w:sz w:val="36"/>
          <w:szCs w:val="36"/>
          <w:rtl/>
        </w:rPr>
        <w:t xml:space="preserve"> </w:t>
      </w:r>
      <w:r w:rsidRPr="00FD211F">
        <w:rPr>
          <w:sz w:val="36"/>
          <w:szCs w:val="36"/>
          <w:rtl/>
        </w:rPr>
        <w:t>استحال</w:t>
      </w:r>
      <w:r w:rsidR="00EC7EDF" w:rsidRPr="00FD211F">
        <w:rPr>
          <w:sz w:val="36"/>
          <w:szCs w:val="36"/>
          <w:rtl/>
        </w:rPr>
        <w:t>ة</w:t>
      </w:r>
      <w:r w:rsidR="00E8128F">
        <w:rPr>
          <w:sz w:val="36"/>
          <w:szCs w:val="36"/>
          <w:rtl/>
        </w:rPr>
        <w:t xml:space="preserve"> </w:t>
      </w:r>
      <w:r w:rsidRPr="00FD211F">
        <w:rPr>
          <w:sz w:val="36"/>
          <w:szCs w:val="36"/>
          <w:rtl/>
        </w:rPr>
        <w:t>النجس</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المتنج</w:t>
      </w:r>
      <w:r w:rsidR="00456DE6" w:rsidRPr="00FD211F">
        <w:rPr>
          <w:sz w:val="36"/>
          <w:szCs w:val="36"/>
          <w:rtl/>
        </w:rPr>
        <w:t>س</w:t>
      </w:r>
      <w:r w:rsidR="00E8128F">
        <w:rPr>
          <w:sz w:val="36"/>
          <w:szCs w:val="36"/>
          <w:rtl/>
        </w:rPr>
        <w:t xml:space="preserve"> </w:t>
      </w:r>
      <w:r w:rsidR="00456DE6" w:rsidRPr="00FD211F">
        <w:rPr>
          <w:sz w:val="36"/>
          <w:szCs w:val="36"/>
          <w:rtl/>
        </w:rPr>
        <w:t>من</w:t>
      </w:r>
      <w:r w:rsidR="00E8128F">
        <w:rPr>
          <w:sz w:val="36"/>
          <w:szCs w:val="36"/>
          <w:rtl/>
        </w:rPr>
        <w:t xml:space="preserve"> </w:t>
      </w:r>
      <w:r w:rsidR="00456DE6" w:rsidRPr="00FD211F">
        <w:rPr>
          <w:sz w:val="36"/>
          <w:szCs w:val="36"/>
          <w:rtl/>
        </w:rPr>
        <w:t>المطهِّرات</w:t>
      </w:r>
      <w:r w:rsidR="00EC7666" w:rsidRPr="00FD211F">
        <w:rPr>
          <w:sz w:val="36"/>
          <w:szCs w:val="36"/>
          <w:rtl/>
        </w:rPr>
        <w:t>.</w:t>
      </w:r>
    </w:p>
    <w:p w14:paraId="1F0A92CE" w14:textId="77777777" w:rsidR="00EC7666" w:rsidRPr="00FD211F" w:rsidRDefault="00EC7666" w:rsidP="009C58C8">
      <w:pPr>
        <w:ind w:left="0" w:firstLine="227"/>
        <w:jc w:val="both"/>
        <w:rPr>
          <w:sz w:val="36"/>
          <w:szCs w:val="36"/>
          <w:rtl/>
        </w:rPr>
      </w:pPr>
      <w:bookmarkStart w:id="434" w:name="درس107اول_درس"/>
      <w:bookmarkEnd w:id="434"/>
      <w:r w:rsidRPr="00FD211F">
        <w:rPr>
          <w:sz w:val="36"/>
          <w:szCs w:val="36"/>
          <w:rtl/>
        </w:rPr>
        <w:t>ان</w:t>
      </w:r>
      <w:r w:rsidR="00E8128F">
        <w:rPr>
          <w:sz w:val="36"/>
          <w:szCs w:val="36"/>
          <w:rtl/>
        </w:rPr>
        <w:t xml:space="preserve"> </w:t>
      </w:r>
      <w:r w:rsidRPr="00FD211F">
        <w:rPr>
          <w:sz w:val="36"/>
          <w:szCs w:val="36"/>
          <w:rtl/>
        </w:rPr>
        <w:t>قلت:</w:t>
      </w:r>
      <w:r w:rsidR="00E8128F">
        <w:rPr>
          <w:sz w:val="36"/>
          <w:szCs w:val="36"/>
          <w:rtl/>
        </w:rPr>
        <w:t xml:space="preserve"> </w:t>
      </w:r>
      <w:r w:rsidRPr="00FD211F">
        <w:rPr>
          <w:sz w:val="36"/>
          <w:szCs w:val="36"/>
          <w:rtl/>
        </w:rPr>
        <w:t>كيف</w:t>
      </w:r>
      <w:r w:rsidR="00E8128F">
        <w:rPr>
          <w:sz w:val="36"/>
          <w:szCs w:val="36"/>
          <w:rtl/>
        </w:rPr>
        <w:t xml:space="preserve"> </w:t>
      </w:r>
      <w:r w:rsidRPr="00FD211F">
        <w:rPr>
          <w:sz w:val="36"/>
          <w:szCs w:val="36"/>
          <w:rtl/>
        </w:rPr>
        <w:t>يمنع</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صدق</w:t>
      </w:r>
      <w:r w:rsidR="00E8128F">
        <w:rPr>
          <w:sz w:val="36"/>
          <w:szCs w:val="36"/>
          <w:rtl/>
        </w:rPr>
        <w:t xml:space="preserve"> </w:t>
      </w:r>
      <w:r w:rsidRPr="00FD211F">
        <w:rPr>
          <w:sz w:val="36"/>
          <w:szCs w:val="36"/>
          <w:rtl/>
        </w:rPr>
        <w:t>قولنا</w:t>
      </w:r>
      <w:r w:rsidR="00E8128F">
        <w:rPr>
          <w:sz w:val="36"/>
          <w:szCs w:val="36"/>
          <w:rtl/>
        </w:rPr>
        <w:t xml:space="preserve"> </w:t>
      </w:r>
      <w:r w:rsidR="000026AA" w:rsidRPr="00FD211F">
        <w:rPr>
          <w:sz w:val="36"/>
          <w:szCs w:val="36"/>
          <w:rtl/>
        </w:rPr>
        <w:t>"</w:t>
      </w:r>
      <w:r w:rsidRPr="00FD211F">
        <w:rPr>
          <w:sz w:val="36"/>
          <w:szCs w:val="36"/>
          <w:rtl/>
        </w:rPr>
        <w:t>كان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الملح</w:t>
      </w:r>
      <w:r w:rsidR="00E8128F">
        <w:rPr>
          <w:sz w:val="36"/>
          <w:szCs w:val="36"/>
          <w:rtl/>
        </w:rPr>
        <w:t xml:space="preserve"> </w:t>
      </w:r>
      <w:r w:rsidRPr="00FD211F">
        <w:rPr>
          <w:sz w:val="36"/>
          <w:szCs w:val="36"/>
          <w:rtl/>
        </w:rPr>
        <w:t>المستحيل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الكلب</w:t>
      </w:r>
      <w:r w:rsidR="00E8128F">
        <w:rPr>
          <w:sz w:val="36"/>
          <w:szCs w:val="36"/>
          <w:rtl/>
        </w:rPr>
        <w:t xml:space="preserve"> </w:t>
      </w:r>
      <w:r w:rsidR="000026AA" w:rsidRPr="00FD211F">
        <w:rPr>
          <w:sz w:val="36"/>
          <w:szCs w:val="36"/>
          <w:rtl/>
        </w:rPr>
        <w:t>نجسا"</w:t>
      </w:r>
      <w:r w:rsidRPr="00FD211F">
        <w:rPr>
          <w:sz w:val="36"/>
          <w:szCs w:val="36"/>
          <w:rtl/>
        </w:rPr>
        <w:t>او</w:t>
      </w:r>
      <w:r w:rsidR="00E8128F">
        <w:rPr>
          <w:sz w:val="36"/>
          <w:szCs w:val="36"/>
          <w:rtl/>
        </w:rPr>
        <w:t xml:space="preserve"> </w:t>
      </w:r>
      <w:r w:rsidR="000026AA" w:rsidRPr="00FD211F">
        <w:rPr>
          <w:sz w:val="36"/>
          <w:szCs w:val="36"/>
          <w:rtl/>
        </w:rPr>
        <w:t>يقال</w:t>
      </w:r>
      <w:r w:rsidR="00E8128F">
        <w:rPr>
          <w:sz w:val="36"/>
          <w:szCs w:val="36"/>
          <w:rtl/>
        </w:rPr>
        <w:t xml:space="preserve"> </w:t>
      </w:r>
      <w:r w:rsidR="000026AA" w:rsidRPr="00FD211F">
        <w:rPr>
          <w:sz w:val="36"/>
          <w:szCs w:val="36"/>
          <w:rtl/>
        </w:rPr>
        <w:t>"كان</w:t>
      </w:r>
      <w:r w:rsidR="00E8128F">
        <w:rPr>
          <w:sz w:val="36"/>
          <w:szCs w:val="36"/>
          <w:rtl/>
        </w:rPr>
        <w:t xml:space="preserve"> </w:t>
      </w:r>
      <w:r w:rsidRPr="00FD211F">
        <w:rPr>
          <w:sz w:val="36"/>
          <w:szCs w:val="36"/>
          <w:rtl/>
        </w:rPr>
        <w:t>التراب</w:t>
      </w:r>
      <w:r w:rsidR="00E8128F">
        <w:rPr>
          <w:sz w:val="36"/>
          <w:szCs w:val="36"/>
          <w:rtl/>
        </w:rPr>
        <w:t xml:space="preserve"> </w:t>
      </w:r>
      <w:r w:rsidRPr="00FD211F">
        <w:rPr>
          <w:sz w:val="36"/>
          <w:szCs w:val="36"/>
          <w:rtl/>
        </w:rPr>
        <w:t>المستحيل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الخشب</w:t>
      </w:r>
      <w:r w:rsidR="00E8128F">
        <w:rPr>
          <w:sz w:val="36"/>
          <w:szCs w:val="36"/>
          <w:rtl/>
        </w:rPr>
        <w:t xml:space="preserve"> </w:t>
      </w:r>
      <w:r w:rsidRPr="00FD211F">
        <w:rPr>
          <w:sz w:val="36"/>
          <w:szCs w:val="36"/>
          <w:rtl/>
        </w:rPr>
        <w:t>نجسا</w:t>
      </w:r>
      <w:r w:rsidR="000026AA" w:rsidRPr="00FD211F">
        <w:rPr>
          <w:sz w:val="36"/>
          <w:szCs w:val="36"/>
          <w:rtl/>
        </w:rPr>
        <w:t>"</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نتيج</w:t>
      </w:r>
      <w:r w:rsidR="00EC7EDF" w:rsidRPr="00FD211F">
        <w:rPr>
          <w:sz w:val="36"/>
          <w:szCs w:val="36"/>
          <w:rtl/>
        </w:rPr>
        <w:t>ة</w:t>
      </w:r>
      <w:r w:rsidR="00E8128F">
        <w:rPr>
          <w:sz w:val="36"/>
          <w:szCs w:val="36"/>
          <w:rtl/>
        </w:rPr>
        <w:t xml:space="preserve"> </w:t>
      </w:r>
      <w:r w:rsidRPr="00FD211F">
        <w:rPr>
          <w:sz w:val="36"/>
          <w:szCs w:val="36"/>
          <w:rtl/>
        </w:rPr>
        <w:t>الشكل</w:t>
      </w:r>
      <w:r w:rsidR="00E8128F">
        <w:rPr>
          <w:sz w:val="36"/>
          <w:szCs w:val="36"/>
          <w:rtl/>
        </w:rPr>
        <w:t xml:space="preserve"> </w:t>
      </w:r>
      <w:r w:rsidRPr="00FD211F">
        <w:rPr>
          <w:sz w:val="36"/>
          <w:szCs w:val="36"/>
          <w:rtl/>
        </w:rPr>
        <w:t>الأول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القياس</w:t>
      </w:r>
      <w:r w:rsidR="00603323" w:rsidRPr="00FD211F">
        <w:rPr>
          <w:sz w:val="36"/>
          <w:szCs w:val="36"/>
          <w:rtl/>
        </w:rPr>
        <w:t>،</w:t>
      </w:r>
      <w:r w:rsidR="00E8128F">
        <w:rPr>
          <w:sz w:val="36"/>
          <w:szCs w:val="36"/>
          <w:rtl/>
        </w:rPr>
        <w:t xml:space="preserve"> </w:t>
      </w:r>
      <w:r w:rsidR="00594521" w:rsidRPr="00FD211F">
        <w:rPr>
          <w:sz w:val="36"/>
          <w:szCs w:val="36"/>
          <w:rtl/>
        </w:rPr>
        <w:t>حيث</w:t>
      </w:r>
      <w:r w:rsidR="00E8128F">
        <w:rPr>
          <w:sz w:val="36"/>
          <w:szCs w:val="36"/>
          <w:rtl/>
        </w:rPr>
        <w:t xml:space="preserve"> </w:t>
      </w:r>
      <w:r w:rsidR="00594521" w:rsidRPr="00FD211F">
        <w:rPr>
          <w:sz w:val="36"/>
          <w:szCs w:val="36"/>
          <w:rtl/>
        </w:rPr>
        <w:t>يقال</w:t>
      </w:r>
      <w:r w:rsidR="00E8128F">
        <w:rPr>
          <w:sz w:val="36"/>
          <w:szCs w:val="36"/>
          <w:rtl/>
        </w:rPr>
        <w:t xml:space="preserve"> </w:t>
      </w:r>
      <w:r w:rsidR="00594521" w:rsidRPr="00FD211F">
        <w:rPr>
          <w:sz w:val="36"/>
          <w:szCs w:val="36"/>
          <w:rtl/>
        </w:rPr>
        <w:t>هذا</w:t>
      </w:r>
      <w:r w:rsidR="00E8128F">
        <w:rPr>
          <w:sz w:val="36"/>
          <w:szCs w:val="36"/>
          <w:rtl/>
        </w:rPr>
        <w:t xml:space="preserve"> </w:t>
      </w:r>
      <w:r w:rsidR="00594521" w:rsidRPr="00FD211F">
        <w:rPr>
          <w:sz w:val="36"/>
          <w:szCs w:val="36"/>
          <w:rtl/>
        </w:rPr>
        <w:t>كان</w:t>
      </w:r>
      <w:r w:rsidR="00E8128F">
        <w:rPr>
          <w:sz w:val="36"/>
          <w:szCs w:val="36"/>
          <w:rtl/>
        </w:rPr>
        <w:t xml:space="preserve"> </w:t>
      </w:r>
      <w:r w:rsidR="00594521" w:rsidRPr="00FD211F">
        <w:rPr>
          <w:sz w:val="36"/>
          <w:szCs w:val="36"/>
          <w:rtl/>
        </w:rPr>
        <w:t>كلبا</w:t>
      </w:r>
      <w:r w:rsidR="00E8128F">
        <w:rPr>
          <w:sz w:val="36"/>
          <w:szCs w:val="36"/>
          <w:rtl/>
        </w:rPr>
        <w:t xml:space="preserve"> </w:t>
      </w:r>
      <w:r w:rsidR="00594521" w:rsidRPr="00FD211F">
        <w:rPr>
          <w:sz w:val="36"/>
          <w:szCs w:val="36"/>
          <w:rtl/>
        </w:rPr>
        <w:t>وكان</w:t>
      </w:r>
      <w:r w:rsidR="00E8128F">
        <w:rPr>
          <w:sz w:val="36"/>
          <w:szCs w:val="36"/>
          <w:rtl/>
        </w:rPr>
        <w:t xml:space="preserve"> </w:t>
      </w:r>
      <w:r w:rsidR="00594521" w:rsidRPr="00FD211F">
        <w:rPr>
          <w:sz w:val="36"/>
          <w:szCs w:val="36"/>
          <w:rtl/>
        </w:rPr>
        <w:t>الكلب</w:t>
      </w:r>
      <w:r w:rsidR="00E8128F">
        <w:rPr>
          <w:sz w:val="36"/>
          <w:szCs w:val="36"/>
          <w:rtl/>
        </w:rPr>
        <w:t xml:space="preserve"> </w:t>
      </w:r>
      <w:r w:rsidR="00594521" w:rsidRPr="00FD211F">
        <w:rPr>
          <w:sz w:val="36"/>
          <w:szCs w:val="36"/>
          <w:rtl/>
        </w:rPr>
        <w:t>نجسا</w:t>
      </w:r>
      <w:r w:rsidR="00E8128F">
        <w:rPr>
          <w:sz w:val="36"/>
          <w:szCs w:val="36"/>
          <w:rtl/>
        </w:rPr>
        <w:t xml:space="preserve"> </w:t>
      </w:r>
      <w:r w:rsidR="00594521" w:rsidRPr="00FD211F">
        <w:rPr>
          <w:sz w:val="36"/>
          <w:szCs w:val="36"/>
          <w:rtl/>
        </w:rPr>
        <w:t>فهذا</w:t>
      </w:r>
      <w:r w:rsidR="00E8128F">
        <w:rPr>
          <w:sz w:val="36"/>
          <w:szCs w:val="36"/>
          <w:rtl/>
        </w:rPr>
        <w:t xml:space="preserve"> </w:t>
      </w:r>
      <w:r w:rsidR="00594521" w:rsidRPr="00FD211F">
        <w:rPr>
          <w:sz w:val="36"/>
          <w:szCs w:val="36"/>
          <w:rtl/>
        </w:rPr>
        <w:t>كان</w:t>
      </w:r>
      <w:r w:rsidR="00E8128F">
        <w:rPr>
          <w:sz w:val="36"/>
          <w:szCs w:val="36"/>
          <w:rtl/>
        </w:rPr>
        <w:t xml:space="preserve"> </w:t>
      </w:r>
      <w:r w:rsidR="00594521" w:rsidRPr="00FD211F">
        <w:rPr>
          <w:sz w:val="36"/>
          <w:szCs w:val="36"/>
          <w:rtl/>
        </w:rPr>
        <w:t>نجسا</w:t>
      </w:r>
      <w:r w:rsidRPr="00FD211F">
        <w:rPr>
          <w:sz w:val="36"/>
          <w:szCs w:val="36"/>
          <w:rtl/>
        </w:rPr>
        <w:t>.</w:t>
      </w:r>
    </w:p>
    <w:p w14:paraId="73AEB94E" w14:textId="77777777" w:rsidR="001B792F" w:rsidRPr="00FD211F" w:rsidRDefault="00EC7666" w:rsidP="009C58C8">
      <w:pPr>
        <w:ind w:left="0" w:firstLine="227"/>
        <w:jc w:val="both"/>
        <w:rPr>
          <w:sz w:val="36"/>
          <w:szCs w:val="36"/>
          <w:rtl/>
        </w:rPr>
      </w:pPr>
      <w:r w:rsidRPr="00FD211F">
        <w:rPr>
          <w:sz w:val="36"/>
          <w:szCs w:val="36"/>
          <w:rtl/>
        </w:rPr>
        <w:t>قلت:</w:t>
      </w:r>
      <w:r w:rsidR="00E8128F">
        <w:rPr>
          <w:sz w:val="36"/>
          <w:szCs w:val="36"/>
          <w:rtl/>
        </w:rPr>
        <w:t xml:space="preserve"> </w:t>
      </w:r>
      <w:r w:rsidR="00D442FD" w:rsidRPr="00FD211F">
        <w:rPr>
          <w:sz w:val="36"/>
          <w:szCs w:val="36"/>
          <w:rtl/>
        </w:rPr>
        <w:t>يوجد</w:t>
      </w:r>
      <w:r w:rsidR="00E8128F">
        <w:rPr>
          <w:sz w:val="36"/>
          <w:szCs w:val="36"/>
          <w:rtl/>
        </w:rPr>
        <w:t xml:space="preserve"> </w:t>
      </w:r>
      <w:r w:rsidR="007644AD" w:rsidRPr="00FD211F">
        <w:rPr>
          <w:sz w:val="36"/>
          <w:szCs w:val="36"/>
          <w:rtl/>
        </w:rPr>
        <w:t>فرق</w:t>
      </w:r>
      <w:r w:rsidR="00E8128F">
        <w:rPr>
          <w:sz w:val="36"/>
          <w:szCs w:val="36"/>
          <w:rtl/>
        </w:rPr>
        <w:t xml:space="preserve"> </w:t>
      </w:r>
      <w:r w:rsidR="007644AD" w:rsidRPr="00FD211F">
        <w:rPr>
          <w:sz w:val="36"/>
          <w:szCs w:val="36"/>
          <w:rtl/>
        </w:rPr>
        <w:t>بين</w:t>
      </w:r>
      <w:r w:rsidR="00E8128F">
        <w:rPr>
          <w:sz w:val="36"/>
          <w:szCs w:val="36"/>
          <w:rtl/>
        </w:rPr>
        <w:t xml:space="preserve"> </w:t>
      </w:r>
      <w:r w:rsidR="007644AD" w:rsidRPr="00FD211F">
        <w:rPr>
          <w:sz w:val="36"/>
          <w:szCs w:val="36"/>
          <w:rtl/>
        </w:rPr>
        <w:t>كون</w:t>
      </w:r>
      <w:r w:rsidR="00E8128F">
        <w:rPr>
          <w:sz w:val="36"/>
          <w:szCs w:val="36"/>
          <w:rtl/>
        </w:rPr>
        <w:t xml:space="preserve"> </w:t>
      </w:r>
      <w:r w:rsidR="007644AD" w:rsidRPr="00FD211F">
        <w:rPr>
          <w:sz w:val="36"/>
          <w:szCs w:val="36"/>
          <w:rtl/>
        </w:rPr>
        <w:t>الجمل</w:t>
      </w:r>
      <w:r w:rsidR="00EC7EDF" w:rsidRPr="00FD211F">
        <w:rPr>
          <w:sz w:val="36"/>
          <w:szCs w:val="36"/>
          <w:rtl/>
        </w:rPr>
        <w:t>ة</w:t>
      </w:r>
      <w:r w:rsidR="00E8128F">
        <w:rPr>
          <w:sz w:val="36"/>
          <w:szCs w:val="36"/>
          <w:rtl/>
        </w:rPr>
        <w:t xml:space="preserve"> </w:t>
      </w:r>
      <w:r w:rsidR="007644AD" w:rsidRPr="00FD211F">
        <w:rPr>
          <w:sz w:val="36"/>
          <w:szCs w:val="36"/>
          <w:rtl/>
        </w:rPr>
        <w:t>الصغري</w:t>
      </w:r>
      <w:r w:rsidR="00E8128F">
        <w:rPr>
          <w:sz w:val="36"/>
          <w:szCs w:val="36"/>
          <w:rtl/>
        </w:rPr>
        <w:t xml:space="preserve"> </w:t>
      </w:r>
      <w:r w:rsidR="007644AD" w:rsidRPr="00FD211F">
        <w:rPr>
          <w:sz w:val="36"/>
          <w:szCs w:val="36"/>
          <w:rtl/>
        </w:rPr>
        <w:t>مشتمل</w:t>
      </w:r>
      <w:r w:rsidR="00EC7EDF" w:rsidRPr="00FD211F">
        <w:rPr>
          <w:sz w:val="36"/>
          <w:szCs w:val="36"/>
          <w:rtl/>
        </w:rPr>
        <w:t>ة</w:t>
      </w:r>
      <w:r w:rsidR="00E8128F">
        <w:rPr>
          <w:sz w:val="36"/>
          <w:szCs w:val="36"/>
          <w:rtl/>
        </w:rPr>
        <w:t xml:space="preserve"> </w:t>
      </w:r>
      <w:r w:rsidR="00D442FD" w:rsidRPr="00FD211F">
        <w:rPr>
          <w:sz w:val="36"/>
          <w:szCs w:val="36"/>
          <w:rtl/>
        </w:rPr>
        <w:t>على</w:t>
      </w:r>
      <w:r w:rsidR="00E8128F">
        <w:rPr>
          <w:sz w:val="36"/>
          <w:szCs w:val="36"/>
          <w:rtl/>
        </w:rPr>
        <w:t xml:space="preserve"> </w:t>
      </w:r>
      <w:r w:rsidR="00D442FD" w:rsidRPr="00FD211F">
        <w:rPr>
          <w:sz w:val="36"/>
          <w:szCs w:val="36"/>
          <w:rtl/>
        </w:rPr>
        <w:t>الاسناد</w:t>
      </w:r>
      <w:r w:rsidR="00E8128F">
        <w:rPr>
          <w:sz w:val="36"/>
          <w:szCs w:val="36"/>
          <w:rtl/>
        </w:rPr>
        <w:t xml:space="preserve"> </w:t>
      </w:r>
      <w:r w:rsidR="00D442FD" w:rsidRPr="00FD211F">
        <w:rPr>
          <w:sz w:val="36"/>
          <w:szCs w:val="36"/>
          <w:rtl/>
        </w:rPr>
        <w:t>بلحاظ</w:t>
      </w:r>
      <w:r w:rsidR="00E8128F">
        <w:rPr>
          <w:sz w:val="36"/>
          <w:szCs w:val="36"/>
          <w:rtl/>
        </w:rPr>
        <w:t xml:space="preserve"> </w:t>
      </w:r>
      <w:r w:rsidR="00D442FD" w:rsidRPr="00FD211F">
        <w:rPr>
          <w:sz w:val="36"/>
          <w:szCs w:val="36"/>
          <w:rtl/>
        </w:rPr>
        <w:t>الزمان</w:t>
      </w:r>
      <w:r w:rsidR="00E8128F">
        <w:rPr>
          <w:sz w:val="36"/>
          <w:szCs w:val="36"/>
          <w:rtl/>
        </w:rPr>
        <w:t xml:space="preserve"> </w:t>
      </w:r>
      <w:r w:rsidR="00D442FD" w:rsidRPr="00FD211F">
        <w:rPr>
          <w:sz w:val="36"/>
          <w:szCs w:val="36"/>
          <w:rtl/>
        </w:rPr>
        <w:t>الماضي</w:t>
      </w:r>
      <w:r w:rsidR="00E8128F">
        <w:rPr>
          <w:sz w:val="36"/>
          <w:szCs w:val="36"/>
          <w:rtl/>
        </w:rPr>
        <w:t xml:space="preserve"> </w:t>
      </w:r>
      <w:r w:rsidR="00D442FD" w:rsidRPr="00FD211F">
        <w:rPr>
          <w:sz w:val="36"/>
          <w:szCs w:val="36"/>
          <w:rtl/>
        </w:rPr>
        <w:t>كما</w:t>
      </w:r>
      <w:r w:rsidR="00E8128F">
        <w:rPr>
          <w:sz w:val="36"/>
          <w:szCs w:val="36"/>
          <w:rtl/>
        </w:rPr>
        <w:t xml:space="preserve"> </w:t>
      </w:r>
      <w:r w:rsidR="00D442FD" w:rsidRPr="00FD211F">
        <w:rPr>
          <w:sz w:val="36"/>
          <w:szCs w:val="36"/>
          <w:rtl/>
        </w:rPr>
        <w:t>في</w:t>
      </w:r>
      <w:r w:rsidR="00E8128F">
        <w:rPr>
          <w:sz w:val="36"/>
          <w:szCs w:val="36"/>
          <w:rtl/>
        </w:rPr>
        <w:t xml:space="preserve"> </w:t>
      </w:r>
      <w:r w:rsidR="00D442FD" w:rsidRPr="00FD211F">
        <w:rPr>
          <w:sz w:val="36"/>
          <w:szCs w:val="36"/>
          <w:rtl/>
        </w:rPr>
        <w:t>قولنا</w:t>
      </w:r>
      <w:r w:rsidR="00E8128F">
        <w:rPr>
          <w:sz w:val="36"/>
          <w:szCs w:val="36"/>
          <w:rtl/>
        </w:rPr>
        <w:t xml:space="preserve"> </w:t>
      </w:r>
      <w:r w:rsidR="00D442FD" w:rsidRPr="00FD211F">
        <w:rPr>
          <w:sz w:val="36"/>
          <w:szCs w:val="36"/>
          <w:rtl/>
        </w:rPr>
        <w:t>هذا</w:t>
      </w:r>
      <w:r w:rsidR="00E8128F">
        <w:rPr>
          <w:sz w:val="36"/>
          <w:szCs w:val="36"/>
          <w:rtl/>
        </w:rPr>
        <w:t xml:space="preserve"> </w:t>
      </w:r>
      <w:r w:rsidR="00D442FD" w:rsidRPr="00FD211F">
        <w:rPr>
          <w:sz w:val="36"/>
          <w:szCs w:val="36"/>
          <w:rtl/>
        </w:rPr>
        <w:t>كان</w:t>
      </w:r>
      <w:r w:rsidR="00E8128F">
        <w:rPr>
          <w:sz w:val="36"/>
          <w:szCs w:val="36"/>
          <w:rtl/>
        </w:rPr>
        <w:t xml:space="preserve"> </w:t>
      </w:r>
      <w:r w:rsidR="00D442FD" w:rsidRPr="00FD211F">
        <w:rPr>
          <w:sz w:val="36"/>
          <w:szCs w:val="36"/>
          <w:rtl/>
        </w:rPr>
        <w:t>كلبا</w:t>
      </w:r>
      <w:r w:rsidR="00E8128F">
        <w:rPr>
          <w:sz w:val="36"/>
          <w:szCs w:val="36"/>
          <w:rtl/>
        </w:rPr>
        <w:t xml:space="preserve"> </w:t>
      </w:r>
      <w:r w:rsidR="00D442FD" w:rsidRPr="00FD211F">
        <w:rPr>
          <w:sz w:val="36"/>
          <w:szCs w:val="36"/>
          <w:rtl/>
        </w:rPr>
        <w:t>وبين</w:t>
      </w:r>
      <w:r w:rsidR="00E8128F">
        <w:rPr>
          <w:sz w:val="36"/>
          <w:szCs w:val="36"/>
          <w:rtl/>
        </w:rPr>
        <w:t xml:space="preserve"> </w:t>
      </w:r>
      <w:r w:rsidR="00D442FD" w:rsidRPr="00FD211F">
        <w:rPr>
          <w:sz w:val="36"/>
          <w:szCs w:val="36"/>
          <w:rtl/>
        </w:rPr>
        <w:t>غيره</w:t>
      </w:r>
      <w:r w:rsidR="00E8128F">
        <w:rPr>
          <w:sz w:val="36"/>
          <w:szCs w:val="36"/>
          <w:rtl/>
        </w:rPr>
        <w:t xml:space="preserve"> </w:t>
      </w:r>
      <w:r w:rsidR="00D442FD" w:rsidRPr="00FD211F">
        <w:rPr>
          <w:sz w:val="36"/>
          <w:szCs w:val="36"/>
          <w:rtl/>
        </w:rPr>
        <w:t>كقولنا</w:t>
      </w:r>
      <w:r w:rsidR="00E8128F">
        <w:rPr>
          <w:sz w:val="36"/>
          <w:szCs w:val="36"/>
          <w:rtl/>
        </w:rPr>
        <w:t xml:space="preserve"> </w:t>
      </w:r>
      <w:r w:rsidR="00D442FD" w:rsidRPr="00FD211F">
        <w:rPr>
          <w:sz w:val="36"/>
          <w:szCs w:val="36"/>
          <w:rtl/>
        </w:rPr>
        <w:t>هذا</w:t>
      </w:r>
      <w:r w:rsidR="00E8128F">
        <w:rPr>
          <w:sz w:val="36"/>
          <w:szCs w:val="36"/>
          <w:rtl/>
        </w:rPr>
        <w:t xml:space="preserve"> </w:t>
      </w:r>
      <w:r w:rsidR="00D442FD" w:rsidRPr="00FD211F">
        <w:rPr>
          <w:sz w:val="36"/>
          <w:szCs w:val="36"/>
          <w:rtl/>
        </w:rPr>
        <w:t>كلب</w:t>
      </w:r>
      <w:r w:rsidR="00603323" w:rsidRPr="00FD211F">
        <w:rPr>
          <w:sz w:val="36"/>
          <w:szCs w:val="36"/>
          <w:rtl/>
        </w:rPr>
        <w:t>،</w:t>
      </w:r>
      <w:r w:rsidR="00E8128F">
        <w:rPr>
          <w:sz w:val="36"/>
          <w:szCs w:val="36"/>
          <w:rtl/>
        </w:rPr>
        <w:t xml:space="preserve"> </w:t>
      </w:r>
      <w:r w:rsidR="00D442FD" w:rsidRPr="00FD211F">
        <w:rPr>
          <w:sz w:val="36"/>
          <w:szCs w:val="36"/>
          <w:rtl/>
        </w:rPr>
        <w:t>فلااشكال</w:t>
      </w:r>
      <w:r w:rsidR="00E8128F">
        <w:rPr>
          <w:sz w:val="36"/>
          <w:szCs w:val="36"/>
          <w:rtl/>
        </w:rPr>
        <w:t xml:space="preserve"> </w:t>
      </w:r>
      <w:r w:rsidR="00D442FD" w:rsidRPr="00FD211F">
        <w:rPr>
          <w:sz w:val="36"/>
          <w:szCs w:val="36"/>
          <w:rtl/>
        </w:rPr>
        <w:t>في</w:t>
      </w:r>
      <w:r w:rsidR="00E8128F">
        <w:rPr>
          <w:sz w:val="36"/>
          <w:szCs w:val="36"/>
          <w:rtl/>
        </w:rPr>
        <w:t xml:space="preserve"> </w:t>
      </w:r>
      <w:r w:rsidR="00D442FD" w:rsidRPr="00FD211F">
        <w:rPr>
          <w:sz w:val="36"/>
          <w:szCs w:val="36"/>
          <w:rtl/>
        </w:rPr>
        <w:t>الصور</w:t>
      </w:r>
      <w:r w:rsidR="00EC7EDF" w:rsidRPr="00FD211F">
        <w:rPr>
          <w:sz w:val="36"/>
          <w:szCs w:val="36"/>
          <w:rtl/>
        </w:rPr>
        <w:t>ة</w:t>
      </w:r>
      <w:r w:rsidR="00E8128F">
        <w:rPr>
          <w:sz w:val="36"/>
          <w:szCs w:val="36"/>
          <w:rtl/>
        </w:rPr>
        <w:t xml:space="preserve"> </w:t>
      </w:r>
      <w:r w:rsidR="00D442FD" w:rsidRPr="00FD211F">
        <w:rPr>
          <w:sz w:val="36"/>
          <w:szCs w:val="36"/>
          <w:rtl/>
        </w:rPr>
        <w:t>الثاني</w:t>
      </w:r>
      <w:r w:rsidR="00EC7EDF" w:rsidRPr="00FD211F">
        <w:rPr>
          <w:sz w:val="36"/>
          <w:szCs w:val="36"/>
          <w:rtl/>
        </w:rPr>
        <w:t>ة</w:t>
      </w:r>
      <w:r w:rsidR="00E8128F">
        <w:rPr>
          <w:sz w:val="36"/>
          <w:szCs w:val="36"/>
          <w:rtl/>
        </w:rPr>
        <w:t xml:space="preserve"> </w:t>
      </w:r>
      <w:r w:rsidR="00D442FD" w:rsidRPr="00FD211F">
        <w:rPr>
          <w:sz w:val="36"/>
          <w:szCs w:val="36"/>
          <w:rtl/>
        </w:rPr>
        <w:t>في</w:t>
      </w:r>
      <w:r w:rsidR="00E8128F">
        <w:rPr>
          <w:sz w:val="36"/>
          <w:szCs w:val="36"/>
          <w:rtl/>
        </w:rPr>
        <w:t xml:space="preserve"> </w:t>
      </w:r>
      <w:r w:rsidR="00D442FD" w:rsidRPr="00FD211F">
        <w:rPr>
          <w:sz w:val="36"/>
          <w:szCs w:val="36"/>
          <w:rtl/>
        </w:rPr>
        <w:t>كون</w:t>
      </w:r>
      <w:r w:rsidR="00E8128F">
        <w:rPr>
          <w:sz w:val="36"/>
          <w:szCs w:val="36"/>
          <w:rtl/>
        </w:rPr>
        <w:t xml:space="preserve"> </w:t>
      </w:r>
      <w:r w:rsidR="00D442FD" w:rsidRPr="00FD211F">
        <w:rPr>
          <w:sz w:val="36"/>
          <w:szCs w:val="36"/>
          <w:rtl/>
        </w:rPr>
        <w:t>نتيج</w:t>
      </w:r>
      <w:r w:rsidR="00EC7EDF" w:rsidRPr="00FD211F">
        <w:rPr>
          <w:sz w:val="36"/>
          <w:szCs w:val="36"/>
          <w:rtl/>
        </w:rPr>
        <w:t>ة</w:t>
      </w:r>
      <w:r w:rsidR="00E8128F">
        <w:rPr>
          <w:sz w:val="36"/>
          <w:szCs w:val="36"/>
          <w:rtl/>
        </w:rPr>
        <w:t xml:space="preserve"> </w:t>
      </w:r>
      <w:r w:rsidR="00D442FD" w:rsidRPr="00FD211F">
        <w:rPr>
          <w:sz w:val="36"/>
          <w:szCs w:val="36"/>
          <w:rtl/>
        </w:rPr>
        <w:t>القياس</w:t>
      </w:r>
      <w:r w:rsidR="00E8128F">
        <w:rPr>
          <w:sz w:val="36"/>
          <w:szCs w:val="36"/>
          <w:rtl/>
        </w:rPr>
        <w:t xml:space="preserve"> </w:t>
      </w:r>
      <w:r w:rsidR="00D442FD" w:rsidRPr="00FD211F">
        <w:rPr>
          <w:sz w:val="36"/>
          <w:szCs w:val="36"/>
          <w:rtl/>
        </w:rPr>
        <w:t>عرفي</w:t>
      </w:r>
      <w:r w:rsidR="00EC7EDF" w:rsidRPr="00FD211F">
        <w:rPr>
          <w:sz w:val="36"/>
          <w:szCs w:val="36"/>
          <w:rtl/>
        </w:rPr>
        <w:t>ة</w:t>
      </w:r>
      <w:r w:rsidR="00603323" w:rsidRPr="00FD211F">
        <w:rPr>
          <w:sz w:val="36"/>
          <w:szCs w:val="36"/>
          <w:rtl/>
        </w:rPr>
        <w:t>،</w:t>
      </w:r>
      <w:r w:rsidR="00E8128F">
        <w:rPr>
          <w:sz w:val="36"/>
          <w:szCs w:val="36"/>
          <w:rtl/>
        </w:rPr>
        <w:t xml:space="preserve"> </w:t>
      </w:r>
      <w:r w:rsidR="00D442FD" w:rsidRPr="00FD211F">
        <w:rPr>
          <w:sz w:val="36"/>
          <w:szCs w:val="36"/>
          <w:rtl/>
        </w:rPr>
        <w:t>واما</w:t>
      </w:r>
      <w:r w:rsidR="00E8128F">
        <w:rPr>
          <w:sz w:val="36"/>
          <w:szCs w:val="36"/>
          <w:rtl/>
        </w:rPr>
        <w:t xml:space="preserve"> </w:t>
      </w:r>
      <w:r w:rsidR="00D442FD" w:rsidRPr="00FD211F">
        <w:rPr>
          <w:sz w:val="36"/>
          <w:szCs w:val="36"/>
          <w:rtl/>
        </w:rPr>
        <w:t>في</w:t>
      </w:r>
      <w:r w:rsidR="00E8128F">
        <w:rPr>
          <w:sz w:val="36"/>
          <w:szCs w:val="36"/>
          <w:rtl/>
        </w:rPr>
        <w:t xml:space="preserve"> </w:t>
      </w:r>
      <w:r w:rsidR="00D442FD" w:rsidRPr="00FD211F">
        <w:rPr>
          <w:sz w:val="36"/>
          <w:szCs w:val="36"/>
          <w:rtl/>
        </w:rPr>
        <w:t>الصور</w:t>
      </w:r>
      <w:r w:rsidR="00EC7EDF" w:rsidRPr="00FD211F">
        <w:rPr>
          <w:sz w:val="36"/>
          <w:szCs w:val="36"/>
          <w:rtl/>
        </w:rPr>
        <w:t>ة</w:t>
      </w:r>
      <w:r w:rsidR="00E8128F">
        <w:rPr>
          <w:sz w:val="36"/>
          <w:szCs w:val="36"/>
          <w:rtl/>
        </w:rPr>
        <w:t xml:space="preserve"> </w:t>
      </w:r>
      <w:r w:rsidR="00D442FD" w:rsidRPr="00FD211F">
        <w:rPr>
          <w:sz w:val="36"/>
          <w:szCs w:val="36"/>
          <w:rtl/>
        </w:rPr>
        <w:t>الأولى</w:t>
      </w:r>
      <w:r w:rsidR="00E8128F">
        <w:rPr>
          <w:sz w:val="36"/>
          <w:szCs w:val="36"/>
          <w:rtl/>
        </w:rPr>
        <w:t xml:space="preserve"> </w:t>
      </w:r>
      <w:r w:rsidR="00D442FD" w:rsidRPr="00FD211F">
        <w:rPr>
          <w:sz w:val="36"/>
          <w:szCs w:val="36"/>
          <w:rtl/>
        </w:rPr>
        <w:t>فيفرق</w:t>
      </w:r>
      <w:r w:rsidR="00E8128F">
        <w:rPr>
          <w:sz w:val="36"/>
          <w:szCs w:val="36"/>
          <w:rtl/>
        </w:rPr>
        <w:t xml:space="preserve"> </w:t>
      </w:r>
      <w:r w:rsidR="00D442FD" w:rsidRPr="00FD211F">
        <w:rPr>
          <w:sz w:val="36"/>
          <w:szCs w:val="36"/>
          <w:rtl/>
        </w:rPr>
        <w:t>العرف</w:t>
      </w:r>
      <w:r w:rsidR="00E8128F">
        <w:rPr>
          <w:sz w:val="36"/>
          <w:szCs w:val="36"/>
          <w:rtl/>
        </w:rPr>
        <w:t xml:space="preserve"> </w:t>
      </w:r>
      <w:r w:rsidR="00D442FD" w:rsidRPr="00FD211F">
        <w:rPr>
          <w:sz w:val="36"/>
          <w:szCs w:val="36"/>
          <w:rtl/>
        </w:rPr>
        <w:t>بين</w:t>
      </w:r>
      <w:r w:rsidR="00E8128F">
        <w:rPr>
          <w:rFonts w:hint="cs"/>
          <w:sz w:val="36"/>
          <w:szCs w:val="36"/>
          <w:rtl/>
          <w:lang w:bidi="fa-IR"/>
        </w:rPr>
        <w:t xml:space="preserve"> </w:t>
      </w:r>
      <w:r w:rsidR="00D442FD" w:rsidRPr="00FD211F">
        <w:rPr>
          <w:sz w:val="36"/>
          <w:szCs w:val="36"/>
          <w:rtl/>
        </w:rPr>
        <w:t>ما</w:t>
      </w:r>
      <w:r w:rsidR="00E8128F">
        <w:rPr>
          <w:sz w:val="36"/>
          <w:szCs w:val="36"/>
          <w:rtl/>
        </w:rPr>
        <w:t xml:space="preserve"> </w:t>
      </w:r>
      <w:r w:rsidR="00D442FD" w:rsidRPr="00FD211F">
        <w:rPr>
          <w:sz w:val="36"/>
          <w:szCs w:val="36"/>
          <w:rtl/>
        </w:rPr>
        <w:t>لو</w:t>
      </w:r>
      <w:r w:rsidR="00E8128F">
        <w:rPr>
          <w:sz w:val="36"/>
          <w:szCs w:val="36"/>
          <w:rtl/>
        </w:rPr>
        <w:t xml:space="preserve"> </w:t>
      </w:r>
      <w:r w:rsidR="00D442FD" w:rsidRPr="00FD211F">
        <w:rPr>
          <w:sz w:val="36"/>
          <w:szCs w:val="36"/>
          <w:rtl/>
        </w:rPr>
        <w:t>كان</w:t>
      </w:r>
      <w:r w:rsidR="00E8128F">
        <w:rPr>
          <w:sz w:val="36"/>
          <w:szCs w:val="36"/>
          <w:rtl/>
        </w:rPr>
        <w:t xml:space="preserve"> </w:t>
      </w:r>
      <w:r w:rsidR="00D442FD" w:rsidRPr="00FD211F">
        <w:rPr>
          <w:sz w:val="36"/>
          <w:szCs w:val="36"/>
          <w:rtl/>
        </w:rPr>
        <w:t>المحمول</w:t>
      </w:r>
      <w:r w:rsidR="00E8128F">
        <w:rPr>
          <w:sz w:val="36"/>
          <w:szCs w:val="36"/>
          <w:rtl/>
        </w:rPr>
        <w:t xml:space="preserve"> </w:t>
      </w:r>
      <w:r w:rsidR="00D442FD" w:rsidRPr="00FD211F">
        <w:rPr>
          <w:sz w:val="36"/>
          <w:szCs w:val="36"/>
          <w:rtl/>
        </w:rPr>
        <w:t>في</w:t>
      </w:r>
      <w:r w:rsidR="00E8128F">
        <w:rPr>
          <w:sz w:val="36"/>
          <w:szCs w:val="36"/>
          <w:rtl/>
        </w:rPr>
        <w:t xml:space="preserve"> </w:t>
      </w:r>
      <w:r w:rsidR="00D442FD" w:rsidRPr="00FD211F">
        <w:rPr>
          <w:sz w:val="36"/>
          <w:szCs w:val="36"/>
          <w:rtl/>
        </w:rPr>
        <w:t>الجمل</w:t>
      </w:r>
      <w:r w:rsidR="00EC7EDF" w:rsidRPr="00FD211F">
        <w:rPr>
          <w:sz w:val="36"/>
          <w:szCs w:val="36"/>
          <w:rtl/>
        </w:rPr>
        <w:t>ة</w:t>
      </w:r>
      <w:r w:rsidR="00E8128F">
        <w:rPr>
          <w:sz w:val="36"/>
          <w:szCs w:val="36"/>
          <w:rtl/>
        </w:rPr>
        <w:t xml:space="preserve"> </w:t>
      </w:r>
      <w:r w:rsidR="00D442FD" w:rsidRPr="00FD211F">
        <w:rPr>
          <w:sz w:val="36"/>
          <w:szCs w:val="36"/>
          <w:rtl/>
        </w:rPr>
        <w:t>الصغري</w:t>
      </w:r>
      <w:r w:rsidR="00E8128F">
        <w:rPr>
          <w:sz w:val="36"/>
          <w:szCs w:val="36"/>
          <w:rtl/>
        </w:rPr>
        <w:t xml:space="preserve"> </w:t>
      </w:r>
      <w:r w:rsidR="00D442FD" w:rsidRPr="00FD211F">
        <w:rPr>
          <w:sz w:val="36"/>
          <w:szCs w:val="36"/>
          <w:rtl/>
        </w:rPr>
        <w:t>من</w:t>
      </w:r>
      <w:r w:rsidR="00E8128F">
        <w:rPr>
          <w:sz w:val="36"/>
          <w:szCs w:val="36"/>
          <w:rtl/>
        </w:rPr>
        <w:t xml:space="preserve"> </w:t>
      </w:r>
      <w:r w:rsidR="00D442FD" w:rsidRPr="00FD211F">
        <w:rPr>
          <w:sz w:val="36"/>
          <w:szCs w:val="36"/>
          <w:rtl/>
        </w:rPr>
        <w:t>الحالات</w:t>
      </w:r>
      <w:r w:rsidR="00E8128F">
        <w:rPr>
          <w:sz w:val="36"/>
          <w:szCs w:val="36"/>
          <w:rtl/>
        </w:rPr>
        <w:t xml:space="preserve"> </w:t>
      </w:r>
      <w:r w:rsidR="00D442FD" w:rsidRPr="00FD211F">
        <w:rPr>
          <w:sz w:val="36"/>
          <w:szCs w:val="36"/>
          <w:rtl/>
        </w:rPr>
        <w:t>او</w:t>
      </w:r>
      <w:r w:rsidR="00E8128F">
        <w:rPr>
          <w:sz w:val="36"/>
          <w:szCs w:val="36"/>
          <w:rtl/>
        </w:rPr>
        <w:t xml:space="preserve"> </w:t>
      </w:r>
      <w:r w:rsidR="00D442FD" w:rsidRPr="00FD211F">
        <w:rPr>
          <w:sz w:val="36"/>
          <w:szCs w:val="36"/>
          <w:rtl/>
        </w:rPr>
        <w:t>من</w:t>
      </w:r>
      <w:r w:rsidR="00E8128F">
        <w:rPr>
          <w:sz w:val="36"/>
          <w:szCs w:val="36"/>
          <w:rtl/>
        </w:rPr>
        <w:t xml:space="preserve"> </w:t>
      </w:r>
      <w:r w:rsidR="00D442FD" w:rsidRPr="00FD211F">
        <w:rPr>
          <w:sz w:val="36"/>
          <w:szCs w:val="36"/>
          <w:rtl/>
        </w:rPr>
        <w:t>المقومات</w:t>
      </w:r>
      <w:r w:rsidR="00603323" w:rsidRPr="00FD211F">
        <w:rPr>
          <w:sz w:val="36"/>
          <w:szCs w:val="36"/>
          <w:rtl/>
        </w:rPr>
        <w:t>،</w:t>
      </w:r>
      <w:r w:rsidR="00E8128F">
        <w:rPr>
          <w:sz w:val="36"/>
          <w:szCs w:val="36"/>
          <w:rtl/>
        </w:rPr>
        <w:t xml:space="preserve"> </w:t>
      </w:r>
      <w:r w:rsidR="00D442FD" w:rsidRPr="00FD211F">
        <w:rPr>
          <w:sz w:val="36"/>
          <w:szCs w:val="36"/>
          <w:rtl/>
        </w:rPr>
        <w:t>فلو</w:t>
      </w:r>
      <w:r w:rsidR="00E8128F">
        <w:rPr>
          <w:sz w:val="36"/>
          <w:szCs w:val="36"/>
          <w:rtl/>
        </w:rPr>
        <w:t xml:space="preserve"> </w:t>
      </w:r>
      <w:r w:rsidR="00D442FD" w:rsidRPr="00FD211F">
        <w:rPr>
          <w:sz w:val="36"/>
          <w:szCs w:val="36"/>
          <w:rtl/>
        </w:rPr>
        <w:t>كان</w:t>
      </w:r>
      <w:r w:rsidR="00E8128F">
        <w:rPr>
          <w:sz w:val="36"/>
          <w:szCs w:val="36"/>
          <w:rtl/>
        </w:rPr>
        <w:t xml:space="preserve"> </w:t>
      </w:r>
      <w:r w:rsidR="00D442FD" w:rsidRPr="00FD211F">
        <w:rPr>
          <w:sz w:val="36"/>
          <w:szCs w:val="36"/>
          <w:rtl/>
        </w:rPr>
        <w:t>من</w:t>
      </w:r>
      <w:r w:rsidR="00E8128F">
        <w:rPr>
          <w:sz w:val="36"/>
          <w:szCs w:val="36"/>
          <w:rtl/>
        </w:rPr>
        <w:t xml:space="preserve"> </w:t>
      </w:r>
      <w:r w:rsidR="00D442FD" w:rsidRPr="00FD211F">
        <w:rPr>
          <w:sz w:val="36"/>
          <w:szCs w:val="36"/>
          <w:rtl/>
        </w:rPr>
        <w:t>الحالات</w:t>
      </w:r>
      <w:r w:rsidR="00E8128F">
        <w:rPr>
          <w:sz w:val="36"/>
          <w:szCs w:val="36"/>
          <w:rtl/>
        </w:rPr>
        <w:t xml:space="preserve"> </w:t>
      </w:r>
      <w:r w:rsidR="00D442FD" w:rsidRPr="00FD211F">
        <w:rPr>
          <w:sz w:val="36"/>
          <w:szCs w:val="36"/>
          <w:rtl/>
        </w:rPr>
        <w:t>فيكون</w:t>
      </w:r>
      <w:r w:rsidR="00E8128F">
        <w:rPr>
          <w:sz w:val="36"/>
          <w:szCs w:val="36"/>
          <w:rtl/>
        </w:rPr>
        <w:t xml:space="preserve"> </w:t>
      </w:r>
      <w:r w:rsidR="00D442FD" w:rsidRPr="00FD211F">
        <w:rPr>
          <w:sz w:val="36"/>
          <w:szCs w:val="36"/>
          <w:rtl/>
        </w:rPr>
        <w:t>حيثي</w:t>
      </w:r>
      <w:r w:rsidR="00EC7EDF" w:rsidRPr="00FD211F">
        <w:rPr>
          <w:sz w:val="36"/>
          <w:szCs w:val="36"/>
          <w:rtl/>
        </w:rPr>
        <w:t>ة</w:t>
      </w:r>
      <w:r w:rsidR="00E8128F">
        <w:rPr>
          <w:sz w:val="36"/>
          <w:szCs w:val="36"/>
          <w:rtl/>
        </w:rPr>
        <w:t xml:space="preserve"> </w:t>
      </w:r>
      <w:r w:rsidR="00D442FD" w:rsidRPr="00FD211F">
        <w:rPr>
          <w:sz w:val="36"/>
          <w:szCs w:val="36"/>
          <w:rtl/>
        </w:rPr>
        <w:t>تعليلي</w:t>
      </w:r>
      <w:r w:rsidR="00EC7EDF" w:rsidRPr="00FD211F">
        <w:rPr>
          <w:sz w:val="36"/>
          <w:szCs w:val="36"/>
          <w:rtl/>
        </w:rPr>
        <w:t>ة</w:t>
      </w:r>
      <w:r w:rsidR="00E8128F">
        <w:rPr>
          <w:sz w:val="36"/>
          <w:szCs w:val="36"/>
          <w:rtl/>
        </w:rPr>
        <w:t xml:space="preserve"> </w:t>
      </w:r>
      <w:r w:rsidR="00D442FD" w:rsidRPr="00FD211F">
        <w:rPr>
          <w:sz w:val="36"/>
          <w:szCs w:val="36"/>
          <w:rtl/>
        </w:rPr>
        <w:t>لثبوت</w:t>
      </w:r>
      <w:r w:rsidR="00E8128F">
        <w:rPr>
          <w:sz w:val="36"/>
          <w:szCs w:val="36"/>
          <w:rtl/>
        </w:rPr>
        <w:t xml:space="preserve"> </w:t>
      </w:r>
      <w:r w:rsidR="00D442FD" w:rsidRPr="00FD211F">
        <w:rPr>
          <w:sz w:val="36"/>
          <w:szCs w:val="36"/>
          <w:rtl/>
        </w:rPr>
        <w:t>محمول</w:t>
      </w:r>
      <w:r w:rsidR="00E8128F">
        <w:rPr>
          <w:sz w:val="36"/>
          <w:szCs w:val="36"/>
          <w:rtl/>
        </w:rPr>
        <w:t xml:space="preserve"> </w:t>
      </w:r>
      <w:r w:rsidR="00D442FD" w:rsidRPr="00FD211F">
        <w:rPr>
          <w:sz w:val="36"/>
          <w:szCs w:val="36"/>
          <w:rtl/>
        </w:rPr>
        <w:t>الجمل</w:t>
      </w:r>
      <w:r w:rsidR="00EC7EDF" w:rsidRPr="00FD211F">
        <w:rPr>
          <w:sz w:val="36"/>
          <w:szCs w:val="36"/>
          <w:rtl/>
        </w:rPr>
        <w:t>ة</w:t>
      </w:r>
      <w:r w:rsidR="00E8128F">
        <w:rPr>
          <w:sz w:val="36"/>
          <w:szCs w:val="36"/>
          <w:rtl/>
        </w:rPr>
        <w:t xml:space="preserve"> </w:t>
      </w:r>
      <w:r w:rsidR="00D442FD" w:rsidRPr="00FD211F">
        <w:rPr>
          <w:sz w:val="36"/>
          <w:szCs w:val="36"/>
          <w:rtl/>
        </w:rPr>
        <w:t>الكبرى</w:t>
      </w:r>
      <w:r w:rsidR="00E8128F">
        <w:rPr>
          <w:sz w:val="36"/>
          <w:szCs w:val="36"/>
          <w:rtl/>
        </w:rPr>
        <w:t xml:space="preserve"> </w:t>
      </w:r>
      <w:r w:rsidR="00D442FD" w:rsidRPr="00FD211F">
        <w:rPr>
          <w:sz w:val="36"/>
          <w:szCs w:val="36"/>
          <w:rtl/>
        </w:rPr>
        <w:t>على</w:t>
      </w:r>
      <w:r w:rsidR="00E8128F">
        <w:rPr>
          <w:sz w:val="36"/>
          <w:szCs w:val="36"/>
          <w:rtl/>
        </w:rPr>
        <w:t xml:space="preserve"> </w:t>
      </w:r>
      <w:r w:rsidR="00D442FD" w:rsidRPr="00FD211F">
        <w:rPr>
          <w:sz w:val="36"/>
          <w:szCs w:val="36"/>
          <w:rtl/>
        </w:rPr>
        <w:t>الموضوع</w:t>
      </w:r>
      <w:r w:rsidR="00E8128F">
        <w:rPr>
          <w:sz w:val="36"/>
          <w:szCs w:val="36"/>
          <w:rtl/>
        </w:rPr>
        <w:t xml:space="preserve"> </w:t>
      </w:r>
      <w:r w:rsidR="00D442FD" w:rsidRPr="00FD211F">
        <w:rPr>
          <w:sz w:val="36"/>
          <w:szCs w:val="36"/>
          <w:rtl/>
        </w:rPr>
        <w:t>في</w:t>
      </w:r>
      <w:r w:rsidR="00E8128F">
        <w:rPr>
          <w:sz w:val="36"/>
          <w:szCs w:val="36"/>
          <w:rtl/>
        </w:rPr>
        <w:t xml:space="preserve"> </w:t>
      </w:r>
      <w:r w:rsidR="00D442FD" w:rsidRPr="00FD211F">
        <w:rPr>
          <w:sz w:val="36"/>
          <w:szCs w:val="36"/>
          <w:rtl/>
        </w:rPr>
        <w:t>الجمل</w:t>
      </w:r>
      <w:r w:rsidR="00EC7EDF" w:rsidRPr="00FD211F">
        <w:rPr>
          <w:sz w:val="36"/>
          <w:szCs w:val="36"/>
          <w:rtl/>
        </w:rPr>
        <w:t>ة</w:t>
      </w:r>
      <w:r w:rsidR="00E8128F">
        <w:rPr>
          <w:sz w:val="36"/>
          <w:szCs w:val="36"/>
          <w:rtl/>
        </w:rPr>
        <w:t xml:space="preserve"> </w:t>
      </w:r>
      <w:r w:rsidR="00D442FD" w:rsidRPr="00FD211F">
        <w:rPr>
          <w:sz w:val="36"/>
          <w:szCs w:val="36"/>
          <w:rtl/>
        </w:rPr>
        <w:t>الصغري</w:t>
      </w:r>
      <w:r w:rsidR="00E8128F">
        <w:rPr>
          <w:sz w:val="36"/>
          <w:szCs w:val="36"/>
          <w:rtl/>
        </w:rPr>
        <w:t xml:space="preserve"> </w:t>
      </w:r>
      <w:r w:rsidR="00D442FD" w:rsidRPr="00FD211F">
        <w:rPr>
          <w:sz w:val="36"/>
          <w:szCs w:val="36"/>
          <w:rtl/>
        </w:rPr>
        <w:t>ولو</w:t>
      </w:r>
      <w:r w:rsidR="00E8128F">
        <w:rPr>
          <w:sz w:val="36"/>
          <w:szCs w:val="36"/>
          <w:rtl/>
        </w:rPr>
        <w:t xml:space="preserve"> </w:t>
      </w:r>
      <w:r w:rsidR="00D442FD" w:rsidRPr="00FD211F">
        <w:rPr>
          <w:sz w:val="36"/>
          <w:szCs w:val="36"/>
          <w:rtl/>
        </w:rPr>
        <w:t>في</w:t>
      </w:r>
      <w:r w:rsidR="00E8128F">
        <w:rPr>
          <w:sz w:val="36"/>
          <w:szCs w:val="36"/>
          <w:rtl/>
        </w:rPr>
        <w:t xml:space="preserve"> </w:t>
      </w:r>
      <w:r w:rsidR="00D442FD" w:rsidRPr="00FD211F">
        <w:rPr>
          <w:sz w:val="36"/>
          <w:szCs w:val="36"/>
          <w:rtl/>
        </w:rPr>
        <w:t>الزمان</w:t>
      </w:r>
      <w:r w:rsidR="00E8128F">
        <w:rPr>
          <w:sz w:val="36"/>
          <w:szCs w:val="36"/>
          <w:rtl/>
        </w:rPr>
        <w:t xml:space="preserve"> </w:t>
      </w:r>
      <w:r w:rsidR="00D442FD" w:rsidRPr="00FD211F">
        <w:rPr>
          <w:sz w:val="36"/>
          <w:szCs w:val="36"/>
          <w:rtl/>
        </w:rPr>
        <w:t>السابق</w:t>
      </w:r>
      <w:r w:rsidR="00603323" w:rsidRPr="00FD211F">
        <w:rPr>
          <w:sz w:val="36"/>
          <w:szCs w:val="36"/>
          <w:rtl/>
        </w:rPr>
        <w:t>،</w:t>
      </w:r>
      <w:r w:rsidR="00E8128F">
        <w:rPr>
          <w:sz w:val="36"/>
          <w:szCs w:val="36"/>
          <w:rtl/>
        </w:rPr>
        <w:t xml:space="preserve"> </w:t>
      </w:r>
      <w:r w:rsidR="00D442FD" w:rsidRPr="00FD211F">
        <w:rPr>
          <w:sz w:val="36"/>
          <w:szCs w:val="36"/>
          <w:rtl/>
        </w:rPr>
        <w:t>واما</w:t>
      </w:r>
      <w:r w:rsidR="00E8128F">
        <w:rPr>
          <w:sz w:val="36"/>
          <w:szCs w:val="36"/>
          <w:rtl/>
        </w:rPr>
        <w:t xml:space="preserve"> </w:t>
      </w:r>
      <w:r w:rsidR="00D442FD" w:rsidRPr="00FD211F">
        <w:rPr>
          <w:sz w:val="36"/>
          <w:szCs w:val="36"/>
          <w:rtl/>
        </w:rPr>
        <w:t>لو</w:t>
      </w:r>
      <w:r w:rsidR="00E8128F">
        <w:rPr>
          <w:sz w:val="36"/>
          <w:szCs w:val="36"/>
          <w:rtl/>
        </w:rPr>
        <w:t xml:space="preserve"> </w:t>
      </w:r>
      <w:r w:rsidR="00D442FD" w:rsidRPr="00FD211F">
        <w:rPr>
          <w:sz w:val="36"/>
          <w:szCs w:val="36"/>
          <w:rtl/>
        </w:rPr>
        <w:t>كان</w:t>
      </w:r>
      <w:r w:rsidR="00E8128F">
        <w:rPr>
          <w:sz w:val="36"/>
          <w:szCs w:val="36"/>
          <w:rtl/>
        </w:rPr>
        <w:t xml:space="preserve"> </w:t>
      </w:r>
      <w:r w:rsidR="00D442FD" w:rsidRPr="00FD211F">
        <w:rPr>
          <w:sz w:val="36"/>
          <w:szCs w:val="36"/>
          <w:rtl/>
        </w:rPr>
        <w:t>من</w:t>
      </w:r>
      <w:r w:rsidR="00E8128F">
        <w:rPr>
          <w:sz w:val="36"/>
          <w:szCs w:val="36"/>
          <w:rtl/>
        </w:rPr>
        <w:t xml:space="preserve"> </w:t>
      </w:r>
      <w:r w:rsidR="00D442FD" w:rsidRPr="00FD211F">
        <w:rPr>
          <w:sz w:val="36"/>
          <w:szCs w:val="36"/>
          <w:rtl/>
        </w:rPr>
        <w:t>المقومات</w:t>
      </w:r>
      <w:r w:rsidR="00E8128F">
        <w:rPr>
          <w:sz w:val="36"/>
          <w:szCs w:val="36"/>
          <w:rtl/>
        </w:rPr>
        <w:t xml:space="preserve"> </w:t>
      </w:r>
      <w:r w:rsidR="00D442FD" w:rsidRPr="00FD211F">
        <w:rPr>
          <w:sz w:val="36"/>
          <w:szCs w:val="36"/>
          <w:rtl/>
        </w:rPr>
        <w:t>فلايرى</w:t>
      </w:r>
      <w:r w:rsidR="00E8128F">
        <w:rPr>
          <w:sz w:val="36"/>
          <w:szCs w:val="36"/>
          <w:rtl/>
        </w:rPr>
        <w:t xml:space="preserve"> </w:t>
      </w:r>
      <w:r w:rsidR="00D442FD" w:rsidRPr="00FD211F">
        <w:rPr>
          <w:sz w:val="36"/>
          <w:szCs w:val="36"/>
          <w:rtl/>
        </w:rPr>
        <w:t>العرف</w:t>
      </w:r>
      <w:r w:rsidR="00E8128F">
        <w:rPr>
          <w:sz w:val="36"/>
          <w:szCs w:val="36"/>
          <w:rtl/>
        </w:rPr>
        <w:t xml:space="preserve"> </w:t>
      </w:r>
      <w:r w:rsidR="007E3FEC" w:rsidRPr="00FD211F">
        <w:rPr>
          <w:sz w:val="36"/>
          <w:szCs w:val="36"/>
          <w:rtl/>
        </w:rPr>
        <w:t>عروضه</w:t>
      </w:r>
      <w:r w:rsidR="00E8128F">
        <w:rPr>
          <w:sz w:val="36"/>
          <w:szCs w:val="36"/>
          <w:rtl/>
        </w:rPr>
        <w:t xml:space="preserve"> </w:t>
      </w:r>
      <w:r w:rsidR="009826DB" w:rsidRPr="00FD211F">
        <w:rPr>
          <w:sz w:val="36"/>
          <w:szCs w:val="36"/>
          <w:rtl/>
        </w:rPr>
        <w:t>له</w:t>
      </w:r>
      <w:r w:rsidR="00E8128F">
        <w:rPr>
          <w:sz w:val="36"/>
          <w:szCs w:val="36"/>
          <w:rtl/>
        </w:rPr>
        <w:t xml:space="preserve"> </w:t>
      </w:r>
      <w:r w:rsidR="009826DB" w:rsidRPr="00FD211F">
        <w:rPr>
          <w:sz w:val="36"/>
          <w:szCs w:val="36"/>
          <w:rtl/>
        </w:rPr>
        <w:t>حتى</w:t>
      </w:r>
      <w:r w:rsidR="00E8128F">
        <w:rPr>
          <w:sz w:val="36"/>
          <w:szCs w:val="36"/>
          <w:rtl/>
        </w:rPr>
        <w:t xml:space="preserve"> </w:t>
      </w:r>
      <w:r w:rsidR="009826DB" w:rsidRPr="00FD211F">
        <w:rPr>
          <w:sz w:val="36"/>
          <w:szCs w:val="36"/>
          <w:rtl/>
        </w:rPr>
        <w:t>في</w:t>
      </w:r>
      <w:r w:rsidR="00E8128F">
        <w:rPr>
          <w:sz w:val="36"/>
          <w:szCs w:val="36"/>
          <w:rtl/>
        </w:rPr>
        <w:t xml:space="preserve"> </w:t>
      </w:r>
      <w:r w:rsidR="009826DB" w:rsidRPr="00FD211F">
        <w:rPr>
          <w:sz w:val="36"/>
          <w:szCs w:val="36"/>
          <w:rtl/>
        </w:rPr>
        <w:t>الزمان</w:t>
      </w:r>
      <w:r w:rsidR="00E8128F">
        <w:rPr>
          <w:sz w:val="36"/>
          <w:szCs w:val="36"/>
          <w:rtl/>
        </w:rPr>
        <w:t xml:space="preserve"> </w:t>
      </w:r>
      <w:commentRangeStart w:id="435"/>
      <w:r w:rsidR="009826DB" w:rsidRPr="00FD211F">
        <w:rPr>
          <w:sz w:val="36"/>
          <w:szCs w:val="36"/>
          <w:rtl/>
        </w:rPr>
        <w:t>السابق</w:t>
      </w:r>
      <w:commentRangeEnd w:id="435"/>
      <w:r w:rsidR="00E8128F">
        <w:rPr>
          <w:rStyle w:val="ab"/>
          <w:rtl/>
        </w:rPr>
        <w:commentReference w:id="435"/>
      </w:r>
      <w:r w:rsidR="00603323" w:rsidRPr="00FD211F">
        <w:rPr>
          <w:sz w:val="36"/>
          <w:szCs w:val="36"/>
          <w:rtl/>
        </w:rPr>
        <w:t>،</w:t>
      </w:r>
      <w:r w:rsidR="00E8128F">
        <w:rPr>
          <w:sz w:val="36"/>
          <w:szCs w:val="36"/>
          <w:rtl/>
        </w:rPr>
        <w:t xml:space="preserve"> </w:t>
      </w:r>
      <w:r w:rsidR="009826DB" w:rsidRPr="00FD211F">
        <w:rPr>
          <w:sz w:val="36"/>
          <w:szCs w:val="36"/>
          <w:rtl/>
        </w:rPr>
        <w:t>بل</w:t>
      </w:r>
      <w:r w:rsidR="00E8128F">
        <w:rPr>
          <w:sz w:val="36"/>
          <w:szCs w:val="36"/>
          <w:rtl/>
        </w:rPr>
        <w:t xml:space="preserve"> </w:t>
      </w:r>
      <w:r w:rsidR="009826DB" w:rsidRPr="00FD211F">
        <w:rPr>
          <w:sz w:val="36"/>
          <w:szCs w:val="36"/>
          <w:rtl/>
        </w:rPr>
        <w:t>يرى</w:t>
      </w:r>
      <w:r w:rsidR="00E8128F">
        <w:rPr>
          <w:sz w:val="36"/>
          <w:szCs w:val="36"/>
          <w:rtl/>
        </w:rPr>
        <w:t xml:space="preserve"> </w:t>
      </w:r>
      <w:r w:rsidR="007E3FEC" w:rsidRPr="00FD211F">
        <w:rPr>
          <w:sz w:val="36"/>
          <w:szCs w:val="36"/>
          <w:rtl/>
        </w:rPr>
        <w:t>عروضه</w:t>
      </w:r>
      <w:r w:rsidR="00E8128F">
        <w:rPr>
          <w:sz w:val="36"/>
          <w:szCs w:val="36"/>
          <w:rtl/>
        </w:rPr>
        <w:t xml:space="preserve"> </w:t>
      </w:r>
      <w:r w:rsidR="007E3FEC" w:rsidRPr="00FD211F">
        <w:rPr>
          <w:sz w:val="36"/>
          <w:szCs w:val="36"/>
          <w:rtl/>
        </w:rPr>
        <w:t>للمحمول</w:t>
      </w:r>
      <w:r w:rsidR="00E8128F">
        <w:rPr>
          <w:sz w:val="36"/>
          <w:szCs w:val="36"/>
          <w:rtl/>
        </w:rPr>
        <w:t xml:space="preserve"> </w:t>
      </w:r>
      <w:r w:rsidR="007E3FEC" w:rsidRPr="00FD211F">
        <w:rPr>
          <w:sz w:val="36"/>
          <w:szCs w:val="36"/>
          <w:rtl/>
        </w:rPr>
        <w:t>في</w:t>
      </w:r>
      <w:r w:rsidR="00E8128F">
        <w:rPr>
          <w:sz w:val="36"/>
          <w:szCs w:val="36"/>
          <w:rtl/>
        </w:rPr>
        <w:t xml:space="preserve"> </w:t>
      </w:r>
      <w:r w:rsidR="007E3FEC" w:rsidRPr="00FD211F">
        <w:rPr>
          <w:sz w:val="36"/>
          <w:szCs w:val="36"/>
          <w:rtl/>
        </w:rPr>
        <w:t>الجمل</w:t>
      </w:r>
      <w:r w:rsidR="00EC7EDF" w:rsidRPr="00FD211F">
        <w:rPr>
          <w:sz w:val="36"/>
          <w:szCs w:val="36"/>
          <w:rtl/>
        </w:rPr>
        <w:t>ة</w:t>
      </w:r>
      <w:r w:rsidR="00E8128F">
        <w:rPr>
          <w:sz w:val="36"/>
          <w:szCs w:val="36"/>
          <w:rtl/>
        </w:rPr>
        <w:t xml:space="preserve"> </w:t>
      </w:r>
      <w:r w:rsidR="007E3FEC" w:rsidRPr="00FD211F">
        <w:rPr>
          <w:sz w:val="36"/>
          <w:szCs w:val="36"/>
          <w:rtl/>
        </w:rPr>
        <w:t>الصغري</w:t>
      </w:r>
      <w:r w:rsidR="00603323" w:rsidRPr="00FD211F">
        <w:rPr>
          <w:sz w:val="36"/>
          <w:szCs w:val="36"/>
          <w:rtl/>
        </w:rPr>
        <w:t>،</w:t>
      </w:r>
      <w:r w:rsidR="00E8128F">
        <w:rPr>
          <w:sz w:val="36"/>
          <w:szCs w:val="36"/>
          <w:rtl/>
        </w:rPr>
        <w:t xml:space="preserve"> </w:t>
      </w:r>
      <w:r w:rsidR="007E3FEC" w:rsidRPr="00FD211F">
        <w:rPr>
          <w:sz w:val="36"/>
          <w:szCs w:val="36"/>
          <w:rtl/>
        </w:rPr>
        <w:t>ولاعجب</w:t>
      </w:r>
      <w:r w:rsidR="00E8128F">
        <w:rPr>
          <w:sz w:val="36"/>
          <w:szCs w:val="36"/>
          <w:rtl/>
        </w:rPr>
        <w:t xml:space="preserve"> </w:t>
      </w:r>
      <w:r w:rsidR="007E3FEC" w:rsidRPr="00FD211F">
        <w:rPr>
          <w:sz w:val="36"/>
          <w:szCs w:val="36"/>
          <w:rtl/>
        </w:rPr>
        <w:t>في</w:t>
      </w:r>
      <w:r w:rsidR="00E8128F">
        <w:rPr>
          <w:sz w:val="36"/>
          <w:szCs w:val="36"/>
          <w:rtl/>
        </w:rPr>
        <w:t xml:space="preserve"> </w:t>
      </w:r>
      <w:r w:rsidR="007E3FEC" w:rsidRPr="00FD211F">
        <w:rPr>
          <w:sz w:val="36"/>
          <w:szCs w:val="36"/>
          <w:rtl/>
        </w:rPr>
        <w:t>اباء</w:t>
      </w:r>
      <w:r w:rsidR="00E8128F">
        <w:rPr>
          <w:sz w:val="36"/>
          <w:szCs w:val="36"/>
          <w:rtl/>
        </w:rPr>
        <w:t xml:space="preserve"> </w:t>
      </w:r>
      <w:r w:rsidR="007E3FEC" w:rsidRPr="00FD211F">
        <w:rPr>
          <w:sz w:val="36"/>
          <w:szCs w:val="36"/>
          <w:rtl/>
        </w:rPr>
        <w:t>العرف</w:t>
      </w:r>
      <w:r w:rsidR="00E8128F">
        <w:rPr>
          <w:sz w:val="36"/>
          <w:szCs w:val="36"/>
          <w:rtl/>
        </w:rPr>
        <w:t xml:space="preserve"> </w:t>
      </w:r>
      <w:r w:rsidR="007E3FEC" w:rsidRPr="00FD211F">
        <w:rPr>
          <w:sz w:val="36"/>
          <w:szCs w:val="36"/>
          <w:rtl/>
        </w:rPr>
        <w:t>عن</w:t>
      </w:r>
      <w:r w:rsidR="00E8128F">
        <w:rPr>
          <w:sz w:val="36"/>
          <w:szCs w:val="36"/>
          <w:rtl/>
        </w:rPr>
        <w:t xml:space="preserve"> </w:t>
      </w:r>
      <w:r w:rsidR="007E3FEC" w:rsidRPr="00FD211F">
        <w:rPr>
          <w:sz w:val="36"/>
          <w:szCs w:val="36"/>
          <w:rtl/>
        </w:rPr>
        <w:t>قبول</w:t>
      </w:r>
      <w:r w:rsidR="00E8128F">
        <w:rPr>
          <w:sz w:val="36"/>
          <w:szCs w:val="36"/>
          <w:rtl/>
        </w:rPr>
        <w:t xml:space="preserve"> </w:t>
      </w:r>
      <w:r w:rsidR="007E3FEC" w:rsidRPr="00FD211F">
        <w:rPr>
          <w:sz w:val="36"/>
          <w:szCs w:val="36"/>
          <w:rtl/>
        </w:rPr>
        <w:t>ما</w:t>
      </w:r>
      <w:r w:rsidR="00E8128F">
        <w:rPr>
          <w:sz w:val="36"/>
          <w:szCs w:val="36"/>
          <w:rtl/>
        </w:rPr>
        <w:t xml:space="preserve"> </w:t>
      </w:r>
      <w:r w:rsidR="007E3FEC" w:rsidRPr="00FD211F">
        <w:rPr>
          <w:sz w:val="36"/>
          <w:szCs w:val="36"/>
          <w:rtl/>
        </w:rPr>
        <w:t>يقتضيه</w:t>
      </w:r>
      <w:r w:rsidR="00E8128F">
        <w:rPr>
          <w:sz w:val="36"/>
          <w:szCs w:val="36"/>
          <w:rtl/>
        </w:rPr>
        <w:t xml:space="preserve"> </w:t>
      </w:r>
      <w:r w:rsidR="007E3FEC" w:rsidRPr="00FD211F">
        <w:rPr>
          <w:sz w:val="36"/>
          <w:szCs w:val="36"/>
          <w:rtl/>
        </w:rPr>
        <w:t>حكم</w:t>
      </w:r>
      <w:r w:rsidR="00E8128F">
        <w:rPr>
          <w:sz w:val="36"/>
          <w:szCs w:val="36"/>
          <w:rtl/>
        </w:rPr>
        <w:t xml:space="preserve"> </w:t>
      </w:r>
      <w:r w:rsidR="007E3FEC" w:rsidRPr="00FD211F">
        <w:rPr>
          <w:sz w:val="36"/>
          <w:szCs w:val="36"/>
          <w:rtl/>
        </w:rPr>
        <w:t>العقل</w:t>
      </w:r>
      <w:r w:rsidR="00E8128F">
        <w:rPr>
          <w:sz w:val="36"/>
          <w:szCs w:val="36"/>
          <w:rtl/>
        </w:rPr>
        <w:t xml:space="preserve"> </w:t>
      </w:r>
      <w:r w:rsidR="007E3FEC" w:rsidRPr="00FD211F">
        <w:rPr>
          <w:sz w:val="36"/>
          <w:szCs w:val="36"/>
          <w:rtl/>
        </w:rPr>
        <w:t>من</w:t>
      </w:r>
      <w:r w:rsidR="00E8128F">
        <w:rPr>
          <w:sz w:val="36"/>
          <w:szCs w:val="36"/>
          <w:rtl/>
        </w:rPr>
        <w:t xml:space="preserve"> </w:t>
      </w:r>
      <w:r w:rsidR="007E3FEC" w:rsidRPr="00FD211F">
        <w:rPr>
          <w:sz w:val="36"/>
          <w:szCs w:val="36"/>
          <w:rtl/>
        </w:rPr>
        <w:t>صح</w:t>
      </w:r>
      <w:r w:rsidR="00EC7EDF" w:rsidRPr="00FD211F">
        <w:rPr>
          <w:sz w:val="36"/>
          <w:szCs w:val="36"/>
          <w:rtl/>
        </w:rPr>
        <w:t>ة</w:t>
      </w:r>
      <w:r w:rsidR="00E8128F">
        <w:rPr>
          <w:sz w:val="36"/>
          <w:szCs w:val="36"/>
          <w:rtl/>
        </w:rPr>
        <w:t xml:space="preserve"> </w:t>
      </w:r>
      <w:r w:rsidR="007E3FEC" w:rsidRPr="00FD211F">
        <w:rPr>
          <w:sz w:val="36"/>
          <w:szCs w:val="36"/>
          <w:rtl/>
        </w:rPr>
        <w:t>القياس</w:t>
      </w:r>
      <w:r w:rsidR="00603323" w:rsidRPr="00FD211F">
        <w:rPr>
          <w:sz w:val="36"/>
          <w:szCs w:val="36"/>
          <w:rtl/>
        </w:rPr>
        <w:t>،</w:t>
      </w:r>
      <w:r w:rsidR="00E8128F">
        <w:rPr>
          <w:sz w:val="36"/>
          <w:szCs w:val="36"/>
          <w:rtl/>
        </w:rPr>
        <w:t xml:space="preserve"> </w:t>
      </w:r>
      <w:r w:rsidR="007E3FEC" w:rsidRPr="00FD211F">
        <w:rPr>
          <w:sz w:val="36"/>
          <w:szCs w:val="36"/>
          <w:rtl/>
        </w:rPr>
        <w:t>فانه</w:t>
      </w:r>
      <w:r w:rsidR="00E8128F">
        <w:rPr>
          <w:sz w:val="36"/>
          <w:szCs w:val="36"/>
          <w:rtl/>
        </w:rPr>
        <w:t xml:space="preserve"> </w:t>
      </w:r>
      <w:r w:rsidR="007E3FEC" w:rsidRPr="00FD211F">
        <w:rPr>
          <w:sz w:val="36"/>
          <w:szCs w:val="36"/>
          <w:rtl/>
        </w:rPr>
        <w:t>قد</w:t>
      </w:r>
      <w:r w:rsidR="00E8128F">
        <w:rPr>
          <w:sz w:val="36"/>
          <w:szCs w:val="36"/>
          <w:rtl/>
        </w:rPr>
        <w:t xml:space="preserve"> </w:t>
      </w:r>
      <w:r w:rsidR="007E3FEC" w:rsidRPr="00FD211F">
        <w:rPr>
          <w:sz w:val="36"/>
          <w:szCs w:val="36"/>
          <w:rtl/>
        </w:rPr>
        <w:t>يرى</w:t>
      </w:r>
      <w:r w:rsidR="00E8128F">
        <w:rPr>
          <w:sz w:val="36"/>
          <w:szCs w:val="36"/>
          <w:rtl/>
        </w:rPr>
        <w:t xml:space="preserve"> </w:t>
      </w:r>
      <w:r w:rsidR="007E3FEC" w:rsidRPr="00FD211F">
        <w:rPr>
          <w:sz w:val="36"/>
          <w:szCs w:val="36"/>
          <w:rtl/>
        </w:rPr>
        <w:t>العرف</w:t>
      </w:r>
      <w:r w:rsidR="00E8128F">
        <w:rPr>
          <w:sz w:val="36"/>
          <w:szCs w:val="36"/>
          <w:rtl/>
        </w:rPr>
        <w:t xml:space="preserve"> </w:t>
      </w:r>
      <w:r w:rsidR="007E3FEC" w:rsidRPr="00FD211F">
        <w:rPr>
          <w:sz w:val="36"/>
          <w:szCs w:val="36"/>
          <w:rtl/>
        </w:rPr>
        <w:t>كون</w:t>
      </w:r>
      <w:r w:rsidR="00E8128F">
        <w:rPr>
          <w:sz w:val="36"/>
          <w:szCs w:val="36"/>
          <w:rtl/>
        </w:rPr>
        <w:t xml:space="preserve"> </w:t>
      </w:r>
      <w:r w:rsidR="007E3FEC" w:rsidRPr="00FD211F">
        <w:rPr>
          <w:sz w:val="36"/>
          <w:szCs w:val="36"/>
          <w:rtl/>
        </w:rPr>
        <w:t>لون</w:t>
      </w:r>
      <w:r w:rsidR="00E8128F">
        <w:rPr>
          <w:sz w:val="36"/>
          <w:szCs w:val="36"/>
          <w:rtl/>
        </w:rPr>
        <w:t xml:space="preserve"> </w:t>
      </w:r>
      <w:r w:rsidR="007E3FEC" w:rsidRPr="00FD211F">
        <w:rPr>
          <w:sz w:val="36"/>
          <w:szCs w:val="36"/>
          <w:rtl/>
        </w:rPr>
        <w:t>الدم</w:t>
      </w:r>
      <w:r w:rsidR="00E8128F">
        <w:rPr>
          <w:sz w:val="36"/>
          <w:szCs w:val="36"/>
          <w:rtl/>
        </w:rPr>
        <w:t xml:space="preserve"> </w:t>
      </w:r>
      <w:r w:rsidR="007E3FEC" w:rsidRPr="00FD211F">
        <w:rPr>
          <w:sz w:val="36"/>
          <w:szCs w:val="36"/>
          <w:rtl/>
        </w:rPr>
        <w:t>الباقي</w:t>
      </w:r>
      <w:r w:rsidR="00E8128F">
        <w:rPr>
          <w:sz w:val="36"/>
          <w:szCs w:val="36"/>
          <w:rtl/>
        </w:rPr>
        <w:t xml:space="preserve"> </w:t>
      </w:r>
      <w:r w:rsidR="007E3FEC" w:rsidRPr="00FD211F">
        <w:rPr>
          <w:sz w:val="36"/>
          <w:szCs w:val="36"/>
          <w:rtl/>
        </w:rPr>
        <w:t>في</w:t>
      </w:r>
      <w:r w:rsidR="00E8128F">
        <w:rPr>
          <w:sz w:val="36"/>
          <w:szCs w:val="36"/>
          <w:rtl/>
        </w:rPr>
        <w:t xml:space="preserve"> </w:t>
      </w:r>
      <w:r w:rsidR="007E3FEC" w:rsidRPr="00FD211F">
        <w:rPr>
          <w:sz w:val="36"/>
          <w:szCs w:val="36"/>
          <w:rtl/>
        </w:rPr>
        <w:t>الثوب</w:t>
      </w:r>
      <w:r w:rsidR="00E8128F">
        <w:rPr>
          <w:sz w:val="36"/>
          <w:szCs w:val="36"/>
          <w:rtl/>
        </w:rPr>
        <w:t xml:space="preserve"> </w:t>
      </w:r>
      <w:r w:rsidR="007E3FEC" w:rsidRPr="00FD211F">
        <w:rPr>
          <w:sz w:val="36"/>
          <w:szCs w:val="36"/>
          <w:rtl/>
        </w:rPr>
        <w:t>لونا</w:t>
      </w:r>
      <w:r w:rsidR="00E8128F">
        <w:rPr>
          <w:sz w:val="36"/>
          <w:szCs w:val="36"/>
          <w:rtl/>
        </w:rPr>
        <w:t xml:space="preserve"> </w:t>
      </w:r>
      <w:r w:rsidR="007E3FEC" w:rsidRPr="00FD211F">
        <w:rPr>
          <w:sz w:val="36"/>
          <w:szCs w:val="36"/>
          <w:rtl/>
        </w:rPr>
        <w:t>محضا</w:t>
      </w:r>
      <w:r w:rsidR="00E8128F">
        <w:rPr>
          <w:sz w:val="36"/>
          <w:szCs w:val="36"/>
          <w:rtl/>
        </w:rPr>
        <w:t xml:space="preserve"> </w:t>
      </w:r>
      <w:r w:rsidR="007E3FEC" w:rsidRPr="00FD211F">
        <w:rPr>
          <w:sz w:val="36"/>
          <w:szCs w:val="36"/>
          <w:rtl/>
        </w:rPr>
        <w:t>فلايجب</w:t>
      </w:r>
      <w:r w:rsidR="00E8128F">
        <w:rPr>
          <w:sz w:val="36"/>
          <w:szCs w:val="36"/>
          <w:rtl/>
        </w:rPr>
        <w:t xml:space="preserve"> </w:t>
      </w:r>
      <w:r w:rsidR="007E3FEC" w:rsidRPr="00FD211F">
        <w:rPr>
          <w:sz w:val="36"/>
          <w:szCs w:val="36"/>
          <w:rtl/>
        </w:rPr>
        <w:t>غسله</w:t>
      </w:r>
      <w:r w:rsidR="00603323" w:rsidRPr="00FD211F">
        <w:rPr>
          <w:sz w:val="36"/>
          <w:szCs w:val="36"/>
          <w:rtl/>
        </w:rPr>
        <w:t>،</w:t>
      </w:r>
      <w:r w:rsidR="00E8128F">
        <w:rPr>
          <w:sz w:val="36"/>
          <w:szCs w:val="36"/>
          <w:rtl/>
        </w:rPr>
        <w:t xml:space="preserve"> </w:t>
      </w:r>
      <w:r w:rsidR="007E3FEC" w:rsidRPr="00FD211F">
        <w:rPr>
          <w:sz w:val="36"/>
          <w:szCs w:val="36"/>
          <w:rtl/>
        </w:rPr>
        <w:t>مع</w:t>
      </w:r>
      <w:r w:rsidR="00E8128F">
        <w:rPr>
          <w:sz w:val="36"/>
          <w:szCs w:val="36"/>
          <w:rtl/>
        </w:rPr>
        <w:t xml:space="preserve"> </w:t>
      </w:r>
      <w:r w:rsidR="007E3FEC" w:rsidRPr="00FD211F">
        <w:rPr>
          <w:sz w:val="36"/>
          <w:szCs w:val="36"/>
          <w:rtl/>
        </w:rPr>
        <w:t>ان</w:t>
      </w:r>
      <w:r w:rsidR="00E8128F">
        <w:rPr>
          <w:sz w:val="36"/>
          <w:szCs w:val="36"/>
          <w:rtl/>
        </w:rPr>
        <w:t xml:space="preserve"> </w:t>
      </w:r>
      <w:r w:rsidR="007E3FEC" w:rsidRPr="00FD211F">
        <w:rPr>
          <w:sz w:val="36"/>
          <w:szCs w:val="36"/>
          <w:rtl/>
        </w:rPr>
        <w:t>العقل</w:t>
      </w:r>
      <w:r w:rsidR="00E8128F">
        <w:rPr>
          <w:sz w:val="36"/>
          <w:szCs w:val="36"/>
          <w:rtl/>
        </w:rPr>
        <w:t xml:space="preserve"> </w:t>
      </w:r>
      <w:r w:rsidR="007E3FEC" w:rsidRPr="00FD211F">
        <w:rPr>
          <w:sz w:val="36"/>
          <w:szCs w:val="36"/>
          <w:rtl/>
        </w:rPr>
        <w:t>يرى</w:t>
      </w:r>
      <w:r w:rsidR="00E8128F">
        <w:rPr>
          <w:sz w:val="36"/>
          <w:szCs w:val="36"/>
          <w:rtl/>
        </w:rPr>
        <w:t xml:space="preserve"> </w:t>
      </w:r>
      <w:r w:rsidR="007E3FEC" w:rsidRPr="00FD211F">
        <w:rPr>
          <w:sz w:val="36"/>
          <w:szCs w:val="36"/>
          <w:rtl/>
        </w:rPr>
        <w:t>استحال</w:t>
      </w:r>
      <w:r w:rsidR="00EC7EDF" w:rsidRPr="00FD211F">
        <w:rPr>
          <w:sz w:val="36"/>
          <w:szCs w:val="36"/>
          <w:rtl/>
        </w:rPr>
        <w:t>ة</w:t>
      </w:r>
      <w:r w:rsidR="00E8128F">
        <w:rPr>
          <w:sz w:val="36"/>
          <w:szCs w:val="36"/>
          <w:rtl/>
        </w:rPr>
        <w:t xml:space="preserve"> </w:t>
      </w:r>
      <w:r w:rsidR="007E3FEC" w:rsidRPr="00FD211F">
        <w:rPr>
          <w:sz w:val="36"/>
          <w:szCs w:val="36"/>
          <w:rtl/>
        </w:rPr>
        <w:t>انتقال</w:t>
      </w:r>
      <w:r w:rsidR="00E8128F">
        <w:rPr>
          <w:sz w:val="36"/>
          <w:szCs w:val="36"/>
          <w:rtl/>
        </w:rPr>
        <w:t xml:space="preserve"> </w:t>
      </w:r>
      <w:r w:rsidR="007E3FEC" w:rsidRPr="00FD211F">
        <w:rPr>
          <w:sz w:val="36"/>
          <w:szCs w:val="36"/>
          <w:rtl/>
        </w:rPr>
        <w:t>ذلك</w:t>
      </w:r>
      <w:r w:rsidR="00E8128F">
        <w:rPr>
          <w:sz w:val="36"/>
          <w:szCs w:val="36"/>
          <w:rtl/>
        </w:rPr>
        <w:t xml:space="preserve"> </w:t>
      </w:r>
      <w:r w:rsidR="007E3FEC" w:rsidRPr="00FD211F">
        <w:rPr>
          <w:sz w:val="36"/>
          <w:szCs w:val="36"/>
          <w:rtl/>
        </w:rPr>
        <w:t>اللون</w:t>
      </w:r>
      <w:r w:rsidR="00E8128F">
        <w:rPr>
          <w:sz w:val="36"/>
          <w:szCs w:val="36"/>
          <w:rtl/>
        </w:rPr>
        <w:t xml:space="preserve"> </w:t>
      </w:r>
      <w:r w:rsidR="007E3FEC" w:rsidRPr="00FD211F">
        <w:rPr>
          <w:sz w:val="36"/>
          <w:szCs w:val="36"/>
          <w:rtl/>
        </w:rPr>
        <w:t>من</w:t>
      </w:r>
      <w:r w:rsidR="00E8128F">
        <w:rPr>
          <w:sz w:val="36"/>
          <w:szCs w:val="36"/>
          <w:rtl/>
        </w:rPr>
        <w:t xml:space="preserve"> </w:t>
      </w:r>
      <w:r w:rsidR="007E3FEC" w:rsidRPr="00FD211F">
        <w:rPr>
          <w:sz w:val="36"/>
          <w:szCs w:val="36"/>
          <w:rtl/>
        </w:rPr>
        <w:t>الدم</w:t>
      </w:r>
      <w:r w:rsidR="00E8128F">
        <w:rPr>
          <w:sz w:val="36"/>
          <w:szCs w:val="36"/>
          <w:rtl/>
        </w:rPr>
        <w:t xml:space="preserve"> </w:t>
      </w:r>
      <w:r w:rsidR="007E3FEC" w:rsidRPr="00FD211F">
        <w:rPr>
          <w:sz w:val="36"/>
          <w:szCs w:val="36"/>
          <w:rtl/>
        </w:rPr>
        <w:t>الى</w:t>
      </w:r>
      <w:r w:rsidR="00E8128F">
        <w:rPr>
          <w:sz w:val="36"/>
          <w:szCs w:val="36"/>
          <w:rtl/>
        </w:rPr>
        <w:t xml:space="preserve"> </w:t>
      </w:r>
      <w:r w:rsidR="007E3FEC" w:rsidRPr="00FD211F">
        <w:rPr>
          <w:sz w:val="36"/>
          <w:szCs w:val="36"/>
          <w:rtl/>
        </w:rPr>
        <w:t>الثوب</w:t>
      </w:r>
      <w:r w:rsidR="00E8128F">
        <w:rPr>
          <w:sz w:val="36"/>
          <w:szCs w:val="36"/>
          <w:rtl/>
        </w:rPr>
        <w:t xml:space="preserve"> </w:t>
      </w:r>
      <w:r w:rsidR="007E3FEC" w:rsidRPr="00FD211F">
        <w:rPr>
          <w:sz w:val="36"/>
          <w:szCs w:val="36"/>
          <w:rtl/>
        </w:rPr>
        <w:t>لاستلزامه</w:t>
      </w:r>
      <w:r w:rsidR="00E8128F">
        <w:rPr>
          <w:sz w:val="36"/>
          <w:szCs w:val="36"/>
          <w:rtl/>
        </w:rPr>
        <w:t xml:space="preserve"> </w:t>
      </w:r>
      <w:r w:rsidR="007E3FEC" w:rsidRPr="00FD211F">
        <w:rPr>
          <w:sz w:val="36"/>
          <w:szCs w:val="36"/>
          <w:rtl/>
        </w:rPr>
        <w:t>انتقال</w:t>
      </w:r>
      <w:r w:rsidR="00E8128F">
        <w:rPr>
          <w:sz w:val="36"/>
          <w:szCs w:val="36"/>
          <w:rtl/>
        </w:rPr>
        <w:t xml:space="preserve"> </w:t>
      </w:r>
      <w:r w:rsidR="007E3FEC" w:rsidRPr="00FD211F">
        <w:rPr>
          <w:sz w:val="36"/>
          <w:szCs w:val="36"/>
          <w:rtl/>
        </w:rPr>
        <w:t>العرض</w:t>
      </w:r>
      <w:r w:rsidR="00E8128F">
        <w:rPr>
          <w:sz w:val="36"/>
          <w:szCs w:val="36"/>
          <w:rtl/>
        </w:rPr>
        <w:t xml:space="preserve"> </w:t>
      </w:r>
      <w:r w:rsidR="007E3FEC" w:rsidRPr="00FD211F">
        <w:rPr>
          <w:sz w:val="36"/>
          <w:szCs w:val="36"/>
          <w:rtl/>
        </w:rPr>
        <w:t>من</w:t>
      </w:r>
      <w:r w:rsidR="00E8128F">
        <w:rPr>
          <w:sz w:val="36"/>
          <w:szCs w:val="36"/>
          <w:rtl/>
        </w:rPr>
        <w:t xml:space="preserve"> </w:t>
      </w:r>
      <w:r w:rsidR="007E3FEC" w:rsidRPr="00FD211F">
        <w:rPr>
          <w:sz w:val="36"/>
          <w:szCs w:val="36"/>
          <w:rtl/>
        </w:rPr>
        <w:t>محل</w:t>
      </w:r>
      <w:r w:rsidR="00E8128F">
        <w:rPr>
          <w:sz w:val="36"/>
          <w:szCs w:val="36"/>
          <w:rtl/>
        </w:rPr>
        <w:t xml:space="preserve"> </w:t>
      </w:r>
      <w:r w:rsidR="007E3FEC" w:rsidRPr="00FD211F">
        <w:rPr>
          <w:sz w:val="36"/>
          <w:szCs w:val="36"/>
          <w:rtl/>
        </w:rPr>
        <w:t>الى</w:t>
      </w:r>
      <w:r w:rsidR="00E8128F">
        <w:rPr>
          <w:sz w:val="36"/>
          <w:szCs w:val="36"/>
          <w:rtl/>
        </w:rPr>
        <w:t xml:space="preserve"> </w:t>
      </w:r>
      <w:r w:rsidR="007E3FEC" w:rsidRPr="00FD211F">
        <w:rPr>
          <w:sz w:val="36"/>
          <w:szCs w:val="36"/>
          <w:rtl/>
        </w:rPr>
        <w:t>محل</w:t>
      </w:r>
      <w:r w:rsidR="00E8128F">
        <w:rPr>
          <w:sz w:val="36"/>
          <w:szCs w:val="36"/>
          <w:rtl/>
        </w:rPr>
        <w:t xml:space="preserve"> </w:t>
      </w:r>
      <w:r w:rsidR="007E3FEC" w:rsidRPr="00FD211F">
        <w:rPr>
          <w:sz w:val="36"/>
          <w:szCs w:val="36"/>
          <w:rtl/>
        </w:rPr>
        <w:t>آخر</w:t>
      </w:r>
      <w:r w:rsidR="00E8128F">
        <w:rPr>
          <w:sz w:val="36"/>
          <w:szCs w:val="36"/>
          <w:rtl/>
        </w:rPr>
        <w:t xml:space="preserve"> </w:t>
      </w:r>
      <w:r w:rsidR="007E3FEC" w:rsidRPr="00FD211F">
        <w:rPr>
          <w:sz w:val="36"/>
          <w:szCs w:val="36"/>
          <w:rtl/>
        </w:rPr>
        <w:t>وهذا</w:t>
      </w:r>
      <w:r w:rsidR="00E8128F">
        <w:rPr>
          <w:sz w:val="36"/>
          <w:szCs w:val="36"/>
          <w:rtl/>
        </w:rPr>
        <w:t xml:space="preserve"> </w:t>
      </w:r>
      <w:r w:rsidR="007E3FEC" w:rsidRPr="00FD211F">
        <w:rPr>
          <w:sz w:val="36"/>
          <w:szCs w:val="36"/>
          <w:rtl/>
        </w:rPr>
        <w:t>محال</w:t>
      </w:r>
      <w:r w:rsidR="00E8128F">
        <w:rPr>
          <w:sz w:val="36"/>
          <w:szCs w:val="36"/>
          <w:rtl/>
        </w:rPr>
        <w:t xml:space="preserve"> </w:t>
      </w:r>
      <w:r w:rsidR="007E3FEC" w:rsidRPr="00FD211F">
        <w:rPr>
          <w:sz w:val="36"/>
          <w:szCs w:val="36"/>
          <w:rtl/>
        </w:rPr>
        <w:t>عنده</w:t>
      </w:r>
      <w:r w:rsidR="00E8128F">
        <w:rPr>
          <w:sz w:val="36"/>
          <w:szCs w:val="36"/>
          <w:rtl/>
        </w:rPr>
        <w:t xml:space="preserve"> </w:t>
      </w:r>
      <w:r w:rsidR="007E3FEC" w:rsidRPr="00FD211F">
        <w:rPr>
          <w:sz w:val="36"/>
          <w:szCs w:val="36"/>
          <w:rtl/>
        </w:rPr>
        <w:t>فيكشف</w:t>
      </w:r>
      <w:r w:rsidR="00E8128F">
        <w:rPr>
          <w:sz w:val="36"/>
          <w:szCs w:val="36"/>
          <w:rtl/>
        </w:rPr>
        <w:t xml:space="preserve"> </w:t>
      </w:r>
      <w:r w:rsidR="007E3FEC" w:rsidRPr="00FD211F">
        <w:rPr>
          <w:sz w:val="36"/>
          <w:szCs w:val="36"/>
          <w:rtl/>
        </w:rPr>
        <w:t>عن</w:t>
      </w:r>
      <w:r w:rsidR="00E8128F">
        <w:rPr>
          <w:sz w:val="36"/>
          <w:szCs w:val="36"/>
          <w:rtl/>
        </w:rPr>
        <w:t xml:space="preserve"> </w:t>
      </w:r>
      <w:r w:rsidR="007E3FEC" w:rsidRPr="00FD211F">
        <w:rPr>
          <w:sz w:val="36"/>
          <w:szCs w:val="36"/>
          <w:rtl/>
        </w:rPr>
        <w:t>وجود</w:t>
      </w:r>
      <w:r w:rsidR="00E8128F">
        <w:rPr>
          <w:sz w:val="36"/>
          <w:szCs w:val="36"/>
          <w:rtl/>
        </w:rPr>
        <w:t xml:space="preserve"> </w:t>
      </w:r>
      <w:r w:rsidR="007E3FEC" w:rsidRPr="00FD211F">
        <w:rPr>
          <w:sz w:val="36"/>
          <w:szCs w:val="36"/>
          <w:rtl/>
        </w:rPr>
        <w:t>الدم</w:t>
      </w:r>
      <w:r w:rsidR="00E8128F">
        <w:rPr>
          <w:sz w:val="36"/>
          <w:szCs w:val="36"/>
          <w:rtl/>
        </w:rPr>
        <w:t xml:space="preserve"> </w:t>
      </w:r>
      <w:r w:rsidR="007E3FEC" w:rsidRPr="00FD211F">
        <w:rPr>
          <w:sz w:val="36"/>
          <w:szCs w:val="36"/>
          <w:rtl/>
        </w:rPr>
        <w:t>واقعا</w:t>
      </w:r>
      <w:r w:rsidR="00603323" w:rsidRPr="00FD211F">
        <w:rPr>
          <w:sz w:val="36"/>
          <w:szCs w:val="36"/>
          <w:rtl/>
        </w:rPr>
        <w:t>،</w:t>
      </w:r>
      <w:r w:rsidR="00E8128F">
        <w:rPr>
          <w:sz w:val="36"/>
          <w:szCs w:val="36"/>
          <w:rtl/>
        </w:rPr>
        <w:t xml:space="preserve"> </w:t>
      </w:r>
      <w:r w:rsidR="007E3FEC" w:rsidRPr="00FD211F">
        <w:rPr>
          <w:sz w:val="36"/>
          <w:szCs w:val="36"/>
          <w:rtl/>
        </w:rPr>
        <w:t>ولكن</w:t>
      </w:r>
      <w:r w:rsidR="00E8128F">
        <w:rPr>
          <w:sz w:val="36"/>
          <w:szCs w:val="36"/>
          <w:rtl/>
        </w:rPr>
        <w:t xml:space="preserve"> </w:t>
      </w:r>
      <w:r w:rsidR="007E3FEC" w:rsidRPr="00FD211F">
        <w:rPr>
          <w:sz w:val="36"/>
          <w:szCs w:val="36"/>
          <w:rtl/>
        </w:rPr>
        <w:t>لايرتضيه</w:t>
      </w:r>
      <w:r w:rsidR="00E8128F">
        <w:rPr>
          <w:sz w:val="36"/>
          <w:szCs w:val="36"/>
          <w:rtl/>
        </w:rPr>
        <w:t xml:space="preserve"> </w:t>
      </w:r>
      <w:r w:rsidR="007E3FEC" w:rsidRPr="00FD211F">
        <w:rPr>
          <w:sz w:val="36"/>
          <w:szCs w:val="36"/>
          <w:rtl/>
        </w:rPr>
        <w:t>العرف</w:t>
      </w:r>
      <w:r w:rsidR="001B792F" w:rsidRPr="00FD211F">
        <w:rPr>
          <w:sz w:val="36"/>
          <w:szCs w:val="36"/>
          <w:rtl/>
        </w:rPr>
        <w:t>.</w:t>
      </w:r>
    </w:p>
    <w:p w14:paraId="1107E8B0" w14:textId="77777777" w:rsidR="001B792F" w:rsidRPr="00FD211F" w:rsidRDefault="006B59FC" w:rsidP="009C58C8">
      <w:pPr>
        <w:ind w:left="0" w:firstLine="227"/>
        <w:jc w:val="both"/>
        <w:rPr>
          <w:sz w:val="36"/>
          <w:szCs w:val="36"/>
          <w:rtl/>
        </w:rPr>
      </w:pPr>
      <w:r w:rsidRPr="00FD211F">
        <w:rPr>
          <w:sz w:val="36"/>
          <w:szCs w:val="36"/>
          <w:rtl/>
        </w:rPr>
        <w:t>ولولا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ذكرنا</w:t>
      </w:r>
      <w:r w:rsidR="00E8128F">
        <w:rPr>
          <w:sz w:val="36"/>
          <w:szCs w:val="36"/>
          <w:rtl/>
        </w:rPr>
        <w:t xml:space="preserve"> </w:t>
      </w:r>
      <w:r w:rsidR="008D7B3D" w:rsidRPr="00FD211F">
        <w:rPr>
          <w:sz w:val="36"/>
          <w:szCs w:val="36"/>
          <w:rtl/>
        </w:rPr>
        <w:t>لم‌</w:t>
      </w:r>
      <w:r w:rsidRPr="00FD211F">
        <w:rPr>
          <w:sz w:val="36"/>
          <w:szCs w:val="36"/>
          <w:rtl/>
        </w:rPr>
        <w:t>يتم</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بمطهري</w:t>
      </w:r>
      <w:r w:rsidR="00EC7EDF" w:rsidRPr="00FD211F">
        <w:rPr>
          <w:sz w:val="36"/>
          <w:szCs w:val="36"/>
          <w:rtl/>
        </w:rPr>
        <w:t>ة</w:t>
      </w:r>
      <w:r w:rsidR="00E8128F">
        <w:rPr>
          <w:sz w:val="36"/>
          <w:szCs w:val="36"/>
          <w:rtl/>
        </w:rPr>
        <w:t xml:space="preserve"> </w:t>
      </w:r>
      <w:r w:rsidRPr="00FD211F">
        <w:rPr>
          <w:sz w:val="36"/>
          <w:szCs w:val="36"/>
          <w:rtl/>
        </w:rPr>
        <w:t>استحال</w:t>
      </w:r>
      <w:r w:rsidR="00EC7EDF" w:rsidRPr="00FD211F">
        <w:rPr>
          <w:sz w:val="36"/>
          <w:szCs w:val="36"/>
          <w:rtl/>
        </w:rPr>
        <w:t>ة</w:t>
      </w:r>
      <w:r w:rsidR="00E8128F">
        <w:rPr>
          <w:sz w:val="36"/>
          <w:szCs w:val="36"/>
          <w:rtl/>
        </w:rPr>
        <w:t xml:space="preserve"> </w:t>
      </w:r>
      <w:r w:rsidRPr="00FD211F">
        <w:rPr>
          <w:sz w:val="36"/>
          <w:szCs w:val="36"/>
          <w:rtl/>
        </w:rPr>
        <w:t>المتنجس</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يصدق</w:t>
      </w:r>
      <w:r w:rsidR="00E8128F">
        <w:rPr>
          <w:sz w:val="36"/>
          <w:szCs w:val="36"/>
          <w:rtl/>
        </w:rPr>
        <w:t xml:space="preserve"> </w:t>
      </w:r>
      <w:r w:rsidRPr="00FD211F">
        <w:rPr>
          <w:sz w:val="36"/>
          <w:szCs w:val="36"/>
          <w:rtl/>
        </w:rPr>
        <w:t>عرفا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التراب</w:t>
      </w:r>
      <w:r w:rsidR="00E8128F">
        <w:rPr>
          <w:sz w:val="36"/>
          <w:szCs w:val="36"/>
          <w:rtl/>
        </w:rPr>
        <w:t xml:space="preserve"> </w:t>
      </w:r>
      <w:r w:rsidRPr="00FD211F">
        <w:rPr>
          <w:sz w:val="36"/>
          <w:szCs w:val="36"/>
          <w:rtl/>
        </w:rPr>
        <w:t>المستحيل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الخشب</w:t>
      </w:r>
      <w:r w:rsidR="00E8128F">
        <w:rPr>
          <w:sz w:val="36"/>
          <w:szCs w:val="36"/>
          <w:rtl/>
        </w:rPr>
        <w:t xml:space="preserve"> </w:t>
      </w:r>
      <w:r w:rsidRPr="00FD211F">
        <w:rPr>
          <w:sz w:val="36"/>
          <w:szCs w:val="36"/>
          <w:rtl/>
        </w:rPr>
        <w:t>المتنجس</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متنجسا</w:t>
      </w:r>
      <w:r w:rsidR="00E8128F">
        <w:rPr>
          <w:sz w:val="36"/>
          <w:szCs w:val="36"/>
          <w:rtl/>
        </w:rPr>
        <w:t xml:space="preserve"> </w:t>
      </w:r>
      <w:r w:rsidRPr="00FD211F">
        <w:rPr>
          <w:sz w:val="36"/>
          <w:szCs w:val="36"/>
          <w:rtl/>
        </w:rPr>
        <w:t>فيجري</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نجاسته</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يشمله</w:t>
      </w:r>
      <w:r w:rsidR="00E8128F">
        <w:rPr>
          <w:sz w:val="36"/>
          <w:szCs w:val="36"/>
          <w:rtl/>
        </w:rPr>
        <w:t xml:space="preserve"> </w:t>
      </w:r>
      <w:r w:rsidRPr="00FD211F">
        <w:rPr>
          <w:sz w:val="36"/>
          <w:szCs w:val="36"/>
          <w:rtl/>
        </w:rPr>
        <w:t>عموم</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دل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اصابه</w:t>
      </w:r>
      <w:r w:rsidR="00E8128F">
        <w:rPr>
          <w:sz w:val="36"/>
          <w:szCs w:val="36"/>
          <w:rtl/>
        </w:rPr>
        <w:t xml:space="preserve"> </w:t>
      </w:r>
      <w:r w:rsidRPr="00FD211F">
        <w:rPr>
          <w:sz w:val="36"/>
          <w:szCs w:val="36"/>
          <w:rtl/>
        </w:rPr>
        <w:t>القذر</w:t>
      </w:r>
      <w:r w:rsidR="00E8128F">
        <w:rPr>
          <w:sz w:val="36"/>
          <w:szCs w:val="36"/>
          <w:rtl/>
        </w:rPr>
        <w:t xml:space="preserve"> </w:t>
      </w:r>
      <w:r w:rsidRPr="00FD211F">
        <w:rPr>
          <w:sz w:val="36"/>
          <w:szCs w:val="36"/>
          <w:rtl/>
        </w:rPr>
        <w:t>فيجب</w:t>
      </w:r>
      <w:r w:rsidR="00E8128F">
        <w:rPr>
          <w:sz w:val="36"/>
          <w:szCs w:val="36"/>
          <w:rtl/>
        </w:rPr>
        <w:t xml:space="preserve"> </w:t>
      </w:r>
      <w:r w:rsidRPr="00FD211F">
        <w:rPr>
          <w:sz w:val="36"/>
          <w:szCs w:val="36"/>
          <w:rtl/>
        </w:rPr>
        <w:t>غسله</w:t>
      </w:r>
      <w:r w:rsidR="00603323" w:rsidRPr="00FD211F">
        <w:rPr>
          <w:sz w:val="36"/>
          <w:szCs w:val="36"/>
          <w:rtl/>
        </w:rPr>
        <w:t>،</w:t>
      </w:r>
      <w:r w:rsidR="00E8128F">
        <w:rPr>
          <w:sz w:val="36"/>
          <w:szCs w:val="36"/>
          <w:rtl/>
        </w:rPr>
        <w:t xml:space="preserve"> </w:t>
      </w:r>
      <w:r w:rsidRPr="00FD211F">
        <w:rPr>
          <w:sz w:val="36"/>
          <w:szCs w:val="36"/>
          <w:rtl/>
        </w:rPr>
        <w:t>نعم</w:t>
      </w:r>
      <w:r w:rsidR="00E8128F">
        <w:rPr>
          <w:sz w:val="36"/>
          <w:szCs w:val="36"/>
          <w:rtl/>
        </w:rPr>
        <w:t xml:space="preserve"> </w:t>
      </w:r>
      <w:r w:rsidRPr="00FD211F">
        <w:rPr>
          <w:sz w:val="36"/>
          <w:szCs w:val="36"/>
          <w:rtl/>
        </w:rPr>
        <w:t>يوجد</w:t>
      </w:r>
      <w:r w:rsidR="00E8128F">
        <w:rPr>
          <w:sz w:val="36"/>
          <w:szCs w:val="36"/>
          <w:rtl/>
        </w:rPr>
        <w:t xml:space="preserve"> </w:t>
      </w:r>
      <w:r w:rsidRPr="00FD211F">
        <w:rPr>
          <w:sz w:val="36"/>
          <w:szCs w:val="36"/>
          <w:rtl/>
        </w:rPr>
        <w:t>لاثبات</w:t>
      </w:r>
      <w:r w:rsidR="00E8128F">
        <w:rPr>
          <w:sz w:val="36"/>
          <w:szCs w:val="36"/>
          <w:rtl/>
        </w:rPr>
        <w:t xml:space="preserve"> </w:t>
      </w:r>
      <w:r w:rsidRPr="00FD211F">
        <w:rPr>
          <w:sz w:val="36"/>
          <w:szCs w:val="36"/>
          <w:rtl/>
        </w:rPr>
        <w:t>مطهري</w:t>
      </w:r>
      <w:r w:rsidR="00EC7EDF" w:rsidRPr="00FD211F">
        <w:rPr>
          <w:sz w:val="36"/>
          <w:szCs w:val="36"/>
          <w:rtl/>
        </w:rPr>
        <w:t>ة</w:t>
      </w:r>
      <w:r w:rsidR="00E8128F">
        <w:rPr>
          <w:sz w:val="36"/>
          <w:szCs w:val="36"/>
          <w:rtl/>
        </w:rPr>
        <w:t xml:space="preserve"> </w:t>
      </w:r>
      <w:r w:rsidRPr="00FD211F">
        <w:rPr>
          <w:sz w:val="36"/>
          <w:szCs w:val="36"/>
          <w:rtl/>
        </w:rPr>
        <w:t>الاستحال</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اعيان</w:t>
      </w:r>
      <w:r w:rsidR="00E8128F">
        <w:rPr>
          <w:sz w:val="36"/>
          <w:szCs w:val="36"/>
          <w:rtl/>
        </w:rPr>
        <w:t xml:space="preserve"> </w:t>
      </w:r>
      <w:r w:rsidRPr="00FD211F">
        <w:rPr>
          <w:sz w:val="36"/>
          <w:szCs w:val="36"/>
          <w:rtl/>
        </w:rPr>
        <w:t>النجاس</w:t>
      </w:r>
      <w:r w:rsidR="00EC7EDF" w:rsidRPr="00FD211F">
        <w:rPr>
          <w:sz w:val="36"/>
          <w:szCs w:val="36"/>
          <w:rtl/>
        </w:rPr>
        <w:t>ة</w:t>
      </w:r>
      <w:r w:rsidR="00E8128F">
        <w:rPr>
          <w:sz w:val="36"/>
          <w:szCs w:val="36"/>
          <w:rtl/>
        </w:rPr>
        <w:t xml:space="preserve"> </w:t>
      </w:r>
      <w:r w:rsidRPr="00FD211F">
        <w:rPr>
          <w:sz w:val="36"/>
          <w:szCs w:val="36"/>
          <w:rtl/>
        </w:rPr>
        <w:t>طريق</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وهو</w:t>
      </w:r>
      <w:r w:rsidR="00E8128F">
        <w:rPr>
          <w:sz w:val="36"/>
          <w:szCs w:val="36"/>
          <w:rtl/>
        </w:rPr>
        <w:t xml:space="preserve"> </w:t>
      </w:r>
      <w:r w:rsidRPr="00FD211F">
        <w:rPr>
          <w:sz w:val="36"/>
          <w:szCs w:val="36"/>
          <w:rtl/>
        </w:rPr>
        <w:t>دعوى</w:t>
      </w:r>
      <w:r w:rsidR="00E8128F">
        <w:rPr>
          <w:sz w:val="36"/>
          <w:szCs w:val="36"/>
          <w:rtl/>
        </w:rPr>
        <w:t xml:space="preserve"> </w:t>
      </w:r>
      <w:r w:rsidRPr="00FD211F">
        <w:rPr>
          <w:sz w:val="36"/>
          <w:szCs w:val="36"/>
          <w:rtl/>
        </w:rPr>
        <w:t>حكم</w:t>
      </w:r>
      <w:r w:rsidR="00E8128F">
        <w:rPr>
          <w:sz w:val="36"/>
          <w:szCs w:val="36"/>
          <w:rtl/>
        </w:rPr>
        <w:t xml:space="preserve"> </w:t>
      </w:r>
      <w:r w:rsidRPr="00FD211F">
        <w:rPr>
          <w:sz w:val="36"/>
          <w:szCs w:val="36"/>
          <w:rtl/>
        </w:rPr>
        <w:t>العرف</w:t>
      </w:r>
      <w:r w:rsidR="00E8128F">
        <w:rPr>
          <w:sz w:val="36"/>
          <w:szCs w:val="36"/>
          <w:rtl/>
        </w:rPr>
        <w:t xml:space="preserve"> </w:t>
      </w:r>
      <w:r w:rsidRPr="00FD211F">
        <w:rPr>
          <w:sz w:val="36"/>
          <w:szCs w:val="36"/>
          <w:rtl/>
        </w:rPr>
        <w:t>بدخال</w:t>
      </w:r>
      <w:r w:rsidR="00EC7EDF" w:rsidRPr="00FD211F">
        <w:rPr>
          <w:sz w:val="36"/>
          <w:szCs w:val="36"/>
          <w:rtl/>
        </w:rPr>
        <w:t>ة</w:t>
      </w:r>
      <w:r w:rsidR="00E8128F">
        <w:rPr>
          <w:sz w:val="36"/>
          <w:szCs w:val="36"/>
          <w:rtl/>
        </w:rPr>
        <w:t xml:space="preserve"> </w:t>
      </w:r>
      <w:r w:rsidRPr="00FD211F">
        <w:rPr>
          <w:sz w:val="36"/>
          <w:szCs w:val="36"/>
          <w:rtl/>
        </w:rPr>
        <w:t>العنوان</w:t>
      </w:r>
      <w:r w:rsidR="00E8128F">
        <w:rPr>
          <w:sz w:val="36"/>
          <w:szCs w:val="36"/>
          <w:rtl/>
        </w:rPr>
        <w:t xml:space="preserve"> </w:t>
      </w:r>
      <w:r w:rsidR="001B792F" w:rsidRPr="00FD211F">
        <w:rPr>
          <w:sz w:val="36"/>
          <w:szCs w:val="36"/>
          <w:rtl/>
        </w:rPr>
        <w:t>في</w:t>
      </w:r>
      <w:r w:rsidR="00E8128F">
        <w:rPr>
          <w:sz w:val="36"/>
          <w:szCs w:val="36"/>
          <w:rtl/>
        </w:rPr>
        <w:t xml:space="preserve"> </w:t>
      </w:r>
      <w:r w:rsidR="001B792F" w:rsidRPr="00FD211F">
        <w:rPr>
          <w:sz w:val="36"/>
          <w:szCs w:val="36"/>
          <w:rtl/>
        </w:rPr>
        <w:t>شخص</w:t>
      </w:r>
      <w:r w:rsidR="00E8128F">
        <w:rPr>
          <w:sz w:val="36"/>
          <w:szCs w:val="36"/>
          <w:rtl/>
        </w:rPr>
        <w:t xml:space="preserve"> </w:t>
      </w:r>
      <w:r w:rsidR="001B792F" w:rsidRPr="00FD211F">
        <w:rPr>
          <w:sz w:val="36"/>
          <w:szCs w:val="36"/>
          <w:rtl/>
        </w:rPr>
        <w:t>الحكم</w:t>
      </w:r>
      <w:r w:rsidR="00E8128F">
        <w:rPr>
          <w:sz w:val="36"/>
          <w:szCs w:val="36"/>
          <w:rtl/>
        </w:rPr>
        <w:t xml:space="preserve"> </w:t>
      </w:r>
      <w:r w:rsidR="001B792F" w:rsidRPr="00FD211F">
        <w:rPr>
          <w:sz w:val="36"/>
          <w:szCs w:val="36"/>
          <w:rtl/>
        </w:rPr>
        <w:t>بنجاسته</w:t>
      </w:r>
      <w:r w:rsidR="00E8128F">
        <w:rPr>
          <w:sz w:val="36"/>
          <w:szCs w:val="36"/>
          <w:rtl/>
        </w:rPr>
        <w:t xml:space="preserve"> </w:t>
      </w:r>
      <w:r w:rsidR="001B792F" w:rsidRPr="00FD211F">
        <w:rPr>
          <w:sz w:val="36"/>
          <w:szCs w:val="36"/>
          <w:rtl/>
        </w:rPr>
        <w:t>حدوثا</w:t>
      </w:r>
      <w:r w:rsidR="00E8128F">
        <w:rPr>
          <w:sz w:val="36"/>
          <w:szCs w:val="36"/>
          <w:rtl/>
        </w:rPr>
        <w:t xml:space="preserve"> </w:t>
      </w:r>
      <w:r w:rsidR="001B792F" w:rsidRPr="00FD211F">
        <w:rPr>
          <w:sz w:val="36"/>
          <w:szCs w:val="36"/>
          <w:rtl/>
        </w:rPr>
        <w:t>وبقاء</w:t>
      </w:r>
      <w:r w:rsidR="00603323" w:rsidRPr="00FD211F">
        <w:rPr>
          <w:sz w:val="36"/>
          <w:szCs w:val="36"/>
          <w:rtl/>
        </w:rPr>
        <w:t>،</w:t>
      </w:r>
      <w:r w:rsidR="00E8128F">
        <w:rPr>
          <w:sz w:val="36"/>
          <w:szCs w:val="36"/>
          <w:rtl/>
        </w:rPr>
        <w:t xml:space="preserve"> </w:t>
      </w:r>
      <w:r w:rsidR="001B792F" w:rsidRPr="00FD211F">
        <w:rPr>
          <w:sz w:val="36"/>
          <w:szCs w:val="36"/>
          <w:rtl/>
        </w:rPr>
        <w:t>بحيث</w:t>
      </w:r>
      <w:r w:rsidR="00E8128F">
        <w:rPr>
          <w:sz w:val="36"/>
          <w:szCs w:val="36"/>
          <w:rtl/>
        </w:rPr>
        <w:t xml:space="preserve"> </w:t>
      </w:r>
      <w:r w:rsidR="001B792F" w:rsidRPr="00FD211F">
        <w:rPr>
          <w:sz w:val="36"/>
          <w:szCs w:val="36"/>
          <w:rtl/>
        </w:rPr>
        <w:t>لو</w:t>
      </w:r>
      <w:r w:rsidR="00E8128F">
        <w:rPr>
          <w:sz w:val="36"/>
          <w:szCs w:val="36"/>
          <w:rtl/>
        </w:rPr>
        <w:t xml:space="preserve"> </w:t>
      </w:r>
      <w:r w:rsidR="001B792F" w:rsidRPr="00FD211F">
        <w:rPr>
          <w:sz w:val="36"/>
          <w:szCs w:val="36"/>
          <w:rtl/>
        </w:rPr>
        <w:t>كان</w:t>
      </w:r>
      <w:r w:rsidR="00E8128F">
        <w:rPr>
          <w:sz w:val="36"/>
          <w:szCs w:val="36"/>
          <w:rtl/>
        </w:rPr>
        <w:t xml:space="preserve"> </w:t>
      </w:r>
      <w:r w:rsidR="001B792F" w:rsidRPr="00FD211F">
        <w:rPr>
          <w:sz w:val="36"/>
          <w:szCs w:val="36"/>
          <w:rtl/>
        </w:rPr>
        <w:t>الملح</w:t>
      </w:r>
      <w:r w:rsidR="00E8128F">
        <w:rPr>
          <w:sz w:val="36"/>
          <w:szCs w:val="36"/>
          <w:rtl/>
        </w:rPr>
        <w:t xml:space="preserve"> </w:t>
      </w:r>
      <w:r w:rsidR="001B792F" w:rsidRPr="00FD211F">
        <w:rPr>
          <w:sz w:val="36"/>
          <w:szCs w:val="36"/>
          <w:rtl/>
        </w:rPr>
        <w:t>المستحيل</w:t>
      </w:r>
      <w:r w:rsidR="00E8128F">
        <w:rPr>
          <w:sz w:val="36"/>
          <w:szCs w:val="36"/>
          <w:rtl/>
        </w:rPr>
        <w:t xml:space="preserve"> </w:t>
      </w:r>
      <w:r w:rsidR="001B792F" w:rsidRPr="00FD211F">
        <w:rPr>
          <w:sz w:val="36"/>
          <w:szCs w:val="36"/>
          <w:rtl/>
        </w:rPr>
        <w:t>من</w:t>
      </w:r>
      <w:r w:rsidR="00E8128F">
        <w:rPr>
          <w:sz w:val="36"/>
          <w:szCs w:val="36"/>
          <w:rtl/>
        </w:rPr>
        <w:t xml:space="preserve"> </w:t>
      </w:r>
      <w:r w:rsidR="001B792F" w:rsidRPr="00FD211F">
        <w:rPr>
          <w:sz w:val="36"/>
          <w:szCs w:val="36"/>
          <w:rtl/>
        </w:rPr>
        <w:t>الكلب</w:t>
      </w:r>
      <w:r w:rsidR="00E8128F">
        <w:rPr>
          <w:sz w:val="36"/>
          <w:szCs w:val="36"/>
          <w:rtl/>
        </w:rPr>
        <w:t xml:space="preserve"> </w:t>
      </w:r>
      <w:r w:rsidR="001B792F" w:rsidRPr="00FD211F">
        <w:rPr>
          <w:sz w:val="36"/>
          <w:szCs w:val="36"/>
          <w:rtl/>
        </w:rPr>
        <w:t>نجسا</w:t>
      </w:r>
      <w:r w:rsidR="00E8128F">
        <w:rPr>
          <w:sz w:val="36"/>
          <w:szCs w:val="36"/>
          <w:rtl/>
        </w:rPr>
        <w:t xml:space="preserve"> </w:t>
      </w:r>
      <w:r w:rsidR="001B792F" w:rsidRPr="00FD211F">
        <w:rPr>
          <w:sz w:val="36"/>
          <w:szCs w:val="36"/>
          <w:rtl/>
        </w:rPr>
        <w:t>لكان</w:t>
      </w:r>
      <w:r w:rsidR="00594521" w:rsidRPr="00FD211F">
        <w:rPr>
          <w:sz w:val="36"/>
          <w:szCs w:val="36"/>
          <w:rtl/>
        </w:rPr>
        <w:t>ت</w:t>
      </w:r>
      <w:r w:rsidR="00E8128F">
        <w:rPr>
          <w:sz w:val="36"/>
          <w:szCs w:val="36"/>
          <w:rtl/>
        </w:rPr>
        <w:t xml:space="preserve"> </w:t>
      </w:r>
      <w:r w:rsidR="001B792F" w:rsidRPr="00FD211F">
        <w:rPr>
          <w:sz w:val="36"/>
          <w:szCs w:val="36"/>
          <w:rtl/>
        </w:rPr>
        <w:t>نجاسته</w:t>
      </w:r>
      <w:r w:rsidR="00E8128F">
        <w:rPr>
          <w:sz w:val="36"/>
          <w:szCs w:val="36"/>
          <w:rtl/>
        </w:rPr>
        <w:t xml:space="preserve"> </w:t>
      </w:r>
      <w:r w:rsidR="001B792F" w:rsidRPr="00FD211F">
        <w:rPr>
          <w:sz w:val="36"/>
          <w:szCs w:val="36"/>
          <w:rtl/>
        </w:rPr>
        <w:t>فردا</w:t>
      </w:r>
      <w:r w:rsidR="00E8128F">
        <w:rPr>
          <w:sz w:val="36"/>
          <w:szCs w:val="36"/>
          <w:rtl/>
        </w:rPr>
        <w:t xml:space="preserve"> </w:t>
      </w:r>
      <w:r w:rsidR="001B792F" w:rsidRPr="00FD211F">
        <w:rPr>
          <w:sz w:val="36"/>
          <w:szCs w:val="36"/>
          <w:rtl/>
        </w:rPr>
        <w:t>آخر</w:t>
      </w:r>
      <w:r w:rsidR="00E8128F">
        <w:rPr>
          <w:sz w:val="36"/>
          <w:szCs w:val="36"/>
          <w:rtl/>
        </w:rPr>
        <w:t xml:space="preserve"> </w:t>
      </w:r>
      <w:r w:rsidR="00594521" w:rsidRPr="00FD211F">
        <w:rPr>
          <w:sz w:val="36"/>
          <w:szCs w:val="36"/>
          <w:rtl/>
        </w:rPr>
        <w:t>من</w:t>
      </w:r>
      <w:r w:rsidR="00E8128F">
        <w:rPr>
          <w:sz w:val="36"/>
          <w:szCs w:val="36"/>
          <w:rtl/>
        </w:rPr>
        <w:t xml:space="preserve"> </w:t>
      </w:r>
      <w:r w:rsidR="00594521" w:rsidRPr="00FD211F">
        <w:rPr>
          <w:sz w:val="36"/>
          <w:szCs w:val="36"/>
          <w:rtl/>
        </w:rPr>
        <w:t>النجاس</w:t>
      </w:r>
      <w:r w:rsidR="00EC7EDF" w:rsidRPr="00FD211F">
        <w:rPr>
          <w:sz w:val="36"/>
          <w:szCs w:val="36"/>
          <w:rtl/>
        </w:rPr>
        <w:t>ة</w:t>
      </w:r>
      <w:r w:rsidR="00E8128F">
        <w:rPr>
          <w:sz w:val="36"/>
          <w:szCs w:val="36"/>
          <w:rtl/>
        </w:rPr>
        <w:t xml:space="preserve"> </w:t>
      </w:r>
      <w:r w:rsidR="00594521" w:rsidRPr="00FD211F">
        <w:rPr>
          <w:sz w:val="36"/>
          <w:szCs w:val="36"/>
          <w:rtl/>
        </w:rPr>
        <w:t>غير</w:t>
      </w:r>
      <w:r w:rsidR="00E8128F">
        <w:rPr>
          <w:sz w:val="36"/>
          <w:szCs w:val="36"/>
          <w:rtl/>
        </w:rPr>
        <w:t xml:space="preserve"> </w:t>
      </w:r>
      <w:r w:rsidR="00594521" w:rsidRPr="00FD211F">
        <w:rPr>
          <w:sz w:val="36"/>
          <w:szCs w:val="36"/>
          <w:rtl/>
        </w:rPr>
        <w:t>النجاس</w:t>
      </w:r>
      <w:r w:rsidR="00EC7EDF" w:rsidRPr="00FD211F">
        <w:rPr>
          <w:sz w:val="36"/>
          <w:szCs w:val="36"/>
          <w:rtl/>
        </w:rPr>
        <w:t>ة</w:t>
      </w:r>
      <w:r w:rsidR="00E8128F">
        <w:rPr>
          <w:sz w:val="36"/>
          <w:szCs w:val="36"/>
          <w:rtl/>
        </w:rPr>
        <w:t xml:space="preserve"> </w:t>
      </w:r>
      <w:r w:rsidR="00594521" w:rsidRPr="00FD211F">
        <w:rPr>
          <w:sz w:val="36"/>
          <w:szCs w:val="36"/>
          <w:rtl/>
        </w:rPr>
        <w:t>السابق</w:t>
      </w:r>
      <w:r w:rsidR="00EC7EDF" w:rsidRPr="00FD211F">
        <w:rPr>
          <w:sz w:val="36"/>
          <w:szCs w:val="36"/>
          <w:rtl/>
        </w:rPr>
        <w:t>ة</w:t>
      </w:r>
      <w:r w:rsidR="00603323" w:rsidRPr="00FD211F">
        <w:rPr>
          <w:sz w:val="36"/>
          <w:szCs w:val="36"/>
          <w:rtl/>
        </w:rPr>
        <w:t>،</w:t>
      </w:r>
      <w:r w:rsidR="00E8128F">
        <w:rPr>
          <w:sz w:val="36"/>
          <w:szCs w:val="36"/>
          <w:rtl/>
        </w:rPr>
        <w:t xml:space="preserve"> </w:t>
      </w:r>
      <w:r w:rsidR="00594521" w:rsidRPr="00FD211F">
        <w:rPr>
          <w:sz w:val="36"/>
          <w:szCs w:val="36"/>
          <w:rtl/>
        </w:rPr>
        <w:t>فيكون</w:t>
      </w:r>
      <w:r w:rsidR="00E8128F">
        <w:rPr>
          <w:sz w:val="36"/>
          <w:szCs w:val="36"/>
          <w:rtl/>
        </w:rPr>
        <w:t xml:space="preserve"> </w:t>
      </w:r>
      <w:r w:rsidR="00594521" w:rsidRPr="00FD211F">
        <w:rPr>
          <w:sz w:val="36"/>
          <w:szCs w:val="36"/>
          <w:rtl/>
        </w:rPr>
        <w:t>استصحاب</w:t>
      </w:r>
      <w:r w:rsidR="00E8128F">
        <w:rPr>
          <w:sz w:val="36"/>
          <w:szCs w:val="36"/>
          <w:rtl/>
        </w:rPr>
        <w:t xml:space="preserve"> </w:t>
      </w:r>
      <w:r w:rsidR="00594521" w:rsidRPr="00FD211F">
        <w:rPr>
          <w:sz w:val="36"/>
          <w:szCs w:val="36"/>
          <w:rtl/>
        </w:rPr>
        <w:t>نجاسته</w:t>
      </w:r>
      <w:r w:rsidR="00E8128F">
        <w:rPr>
          <w:sz w:val="36"/>
          <w:szCs w:val="36"/>
          <w:rtl/>
        </w:rPr>
        <w:t xml:space="preserve"> </w:t>
      </w:r>
      <w:r w:rsidR="00594521" w:rsidRPr="00FD211F">
        <w:rPr>
          <w:sz w:val="36"/>
          <w:szCs w:val="36"/>
          <w:rtl/>
        </w:rPr>
        <w:t>من</w:t>
      </w:r>
      <w:r w:rsidR="00E8128F">
        <w:rPr>
          <w:sz w:val="36"/>
          <w:szCs w:val="36"/>
          <w:rtl/>
        </w:rPr>
        <w:t xml:space="preserve"> </w:t>
      </w:r>
      <w:r w:rsidR="00594521" w:rsidRPr="00FD211F">
        <w:rPr>
          <w:sz w:val="36"/>
          <w:szCs w:val="36"/>
          <w:rtl/>
        </w:rPr>
        <w:t>استصحاب</w:t>
      </w:r>
      <w:r w:rsidR="00E8128F">
        <w:rPr>
          <w:sz w:val="36"/>
          <w:szCs w:val="36"/>
          <w:rtl/>
        </w:rPr>
        <w:t xml:space="preserve"> </w:t>
      </w:r>
      <w:r w:rsidR="00594521" w:rsidRPr="00FD211F">
        <w:rPr>
          <w:sz w:val="36"/>
          <w:szCs w:val="36"/>
          <w:rtl/>
        </w:rPr>
        <w:t>القسم</w:t>
      </w:r>
      <w:r w:rsidR="00E8128F">
        <w:rPr>
          <w:sz w:val="36"/>
          <w:szCs w:val="36"/>
          <w:rtl/>
        </w:rPr>
        <w:t xml:space="preserve"> </w:t>
      </w:r>
      <w:r w:rsidR="00594521" w:rsidRPr="00FD211F">
        <w:rPr>
          <w:sz w:val="36"/>
          <w:szCs w:val="36"/>
          <w:rtl/>
        </w:rPr>
        <w:t>الثالث</w:t>
      </w:r>
      <w:r w:rsidR="00E8128F">
        <w:rPr>
          <w:sz w:val="36"/>
          <w:szCs w:val="36"/>
          <w:rtl/>
        </w:rPr>
        <w:t xml:space="preserve"> </w:t>
      </w:r>
      <w:r w:rsidR="00594521" w:rsidRPr="00FD211F">
        <w:rPr>
          <w:sz w:val="36"/>
          <w:szCs w:val="36"/>
          <w:rtl/>
        </w:rPr>
        <w:t>من</w:t>
      </w:r>
      <w:r w:rsidR="00E8128F">
        <w:rPr>
          <w:sz w:val="36"/>
          <w:szCs w:val="36"/>
          <w:rtl/>
        </w:rPr>
        <w:t xml:space="preserve"> </w:t>
      </w:r>
      <w:r w:rsidR="00594521" w:rsidRPr="00FD211F">
        <w:rPr>
          <w:sz w:val="36"/>
          <w:szCs w:val="36"/>
          <w:rtl/>
        </w:rPr>
        <w:t>الكلي</w:t>
      </w:r>
      <w:r w:rsidR="00603323" w:rsidRPr="00FD211F">
        <w:rPr>
          <w:sz w:val="36"/>
          <w:szCs w:val="36"/>
          <w:rtl/>
        </w:rPr>
        <w:t>،</w:t>
      </w:r>
      <w:r w:rsidR="00E8128F">
        <w:rPr>
          <w:sz w:val="36"/>
          <w:szCs w:val="36"/>
          <w:rtl/>
        </w:rPr>
        <w:t xml:space="preserve"> </w:t>
      </w:r>
      <w:r w:rsidR="00594521" w:rsidRPr="00FD211F">
        <w:rPr>
          <w:sz w:val="36"/>
          <w:szCs w:val="36"/>
          <w:rtl/>
        </w:rPr>
        <w:t>والحق</w:t>
      </w:r>
      <w:r w:rsidR="00E8128F">
        <w:rPr>
          <w:sz w:val="36"/>
          <w:szCs w:val="36"/>
          <w:rtl/>
        </w:rPr>
        <w:t xml:space="preserve"> </w:t>
      </w:r>
      <w:r w:rsidR="00594521" w:rsidRPr="00FD211F">
        <w:rPr>
          <w:sz w:val="36"/>
          <w:szCs w:val="36"/>
          <w:rtl/>
        </w:rPr>
        <w:t>عدم</w:t>
      </w:r>
      <w:r w:rsidR="00E8128F">
        <w:rPr>
          <w:sz w:val="36"/>
          <w:szCs w:val="36"/>
          <w:rtl/>
        </w:rPr>
        <w:t xml:space="preserve"> </w:t>
      </w:r>
      <w:r w:rsidR="00594521" w:rsidRPr="00FD211F">
        <w:rPr>
          <w:sz w:val="36"/>
          <w:szCs w:val="36"/>
          <w:rtl/>
        </w:rPr>
        <w:t>جريانه.</w:t>
      </w:r>
    </w:p>
    <w:p w14:paraId="77766B72" w14:textId="77777777" w:rsidR="0070294C" w:rsidRPr="00FD211F" w:rsidRDefault="00456DE6" w:rsidP="009C58C8">
      <w:pPr>
        <w:ind w:left="0" w:firstLine="227"/>
        <w:jc w:val="both"/>
        <w:rPr>
          <w:sz w:val="36"/>
          <w:szCs w:val="36"/>
          <w:rtl/>
        </w:rPr>
      </w:pPr>
      <w:r w:rsidRPr="00FD211F">
        <w:rPr>
          <w:sz w:val="36"/>
          <w:szCs w:val="36"/>
          <w:rtl/>
        </w:rPr>
        <w:t>نعم</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با</w:t>
      </w:r>
      <w:r w:rsidR="009867AE" w:rsidRPr="00FD211F">
        <w:rPr>
          <w:sz w:val="36"/>
          <w:szCs w:val="36"/>
          <w:rtl/>
        </w:rPr>
        <w:t>لملكي</w:t>
      </w:r>
      <w:r w:rsidR="00EC7EDF" w:rsidRPr="00FD211F">
        <w:rPr>
          <w:sz w:val="36"/>
          <w:szCs w:val="36"/>
          <w:rtl/>
        </w:rPr>
        <w:t>ة</w:t>
      </w:r>
      <w:r w:rsidR="00E8128F">
        <w:rPr>
          <w:sz w:val="36"/>
          <w:szCs w:val="36"/>
          <w:rtl/>
        </w:rPr>
        <w:t xml:space="preserve"> </w:t>
      </w:r>
      <w:r w:rsidR="009867AE" w:rsidRPr="00FD211F">
        <w:rPr>
          <w:sz w:val="36"/>
          <w:szCs w:val="36"/>
          <w:rtl/>
        </w:rPr>
        <w:t>عارض</w:t>
      </w:r>
      <w:r w:rsidR="00E8128F">
        <w:rPr>
          <w:sz w:val="36"/>
          <w:szCs w:val="36"/>
          <w:rtl/>
        </w:rPr>
        <w:t xml:space="preserve"> </w:t>
      </w:r>
      <w:r w:rsidR="009867AE" w:rsidRPr="00FD211F">
        <w:rPr>
          <w:sz w:val="36"/>
          <w:szCs w:val="36"/>
          <w:rtl/>
        </w:rPr>
        <w:t>عرفا</w:t>
      </w:r>
      <w:r w:rsidR="00E8128F">
        <w:rPr>
          <w:sz w:val="36"/>
          <w:szCs w:val="36"/>
          <w:rtl/>
        </w:rPr>
        <w:t xml:space="preserve"> </w:t>
      </w:r>
      <w:r w:rsidR="009867AE" w:rsidRPr="00FD211F">
        <w:rPr>
          <w:sz w:val="36"/>
          <w:szCs w:val="36"/>
          <w:rtl/>
        </w:rPr>
        <w:t>على</w:t>
      </w:r>
      <w:r w:rsidR="00E8128F">
        <w:rPr>
          <w:sz w:val="36"/>
          <w:szCs w:val="36"/>
          <w:rtl/>
        </w:rPr>
        <w:t xml:space="preserve"> </w:t>
      </w:r>
      <w:r w:rsidR="000627A4" w:rsidRPr="00FD211F">
        <w:rPr>
          <w:sz w:val="36"/>
          <w:szCs w:val="36"/>
          <w:rtl/>
        </w:rPr>
        <w:t>الصور</w:t>
      </w:r>
      <w:r w:rsidR="00EC7EDF" w:rsidRPr="00FD211F">
        <w:rPr>
          <w:sz w:val="36"/>
          <w:szCs w:val="36"/>
          <w:rtl/>
        </w:rPr>
        <w:t>ة</w:t>
      </w:r>
      <w:r w:rsidR="00E8128F">
        <w:rPr>
          <w:sz w:val="36"/>
          <w:szCs w:val="36"/>
          <w:rtl/>
        </w:rPr>
        <w:t xml:space="preserve"> </w:t>
      </w:r>
      <w:r w:rsidR="000627A4" w:rsidRPr="00FD211F">
        <w:rPr>
          <w:sz w:val="36"/>
          <w:szCs w:val="36"/>
          <w:rtl/>
        </w:rPr>
        <w:t>الجسمي</w:t>
      </w:r>
      <w:r w:rsidR="00EC7EDF" w:rsidRPr="00FD211F">
        <w:rPr>
          <w:sz w:val="36"/>
          <w:szCs w:val="36"/>
          <w:rtl/>
        </w:rPr>
        <w:t>ة</w:t>
      </w:r>
      <w:r w:rsidR="00603323" w:rsidRPr="00FD211F">
        <w:rPr>
          <w:sz w:val="36"/>
          <w:szCs w:val="36"/>
          <w:rtl/>
        </w:rPr>
        <w:t>،</w:t>
      </w:r>
      <w:r w:rsidR="00E8128F">
        <w:rPr>
          <w:sz w:val="36"/>
          <w:szCs w:val="36"/>
          <w:rtl/>
        </w:rPr>
        <w:t xml:space="preserve"> </w:t>
      </w:r>
      <w:r w:rsidR="000627A4" w:rsidRPr="00FD211F">
        <w:rPr>
          <w:sz w:val="36"/>
          <w:szCs w:val="36"/>
          <w:rtl/>
        </w:rPr>
        <w:t>فلامانع</w:t>
      </w:r>
      <w:r w:rsidR="00E8128F">
        <w:rPr>
          <w:sz w:val="36"/>
          <w:szCs w:val="36"/>
          <w:rtl/>
        </w:rPr>
        <w:t xml:space="preserve"> </w:t>
      </w:r>
      <w:r w:rsidR="000627A4" w:rsidRPr="00FD211F">
        <w:rPr>
          <w:sz w:val="36"/>
          <w:szCs w:val="36"/>
          <w:rtl/>
        </w:rPr>
        <w:t>من</w:t>
      </w:r>
      <w:r w:rsidR="00E8128F">
        <w:rPr>
          <w:sz w:val="36"/>
          <w:szCs w:val="36"/>
          <w:rtl/>
        </w:rPr>
        <w:t xml:space="preserve"> </w:t>
      </w:r>
      <w:r w:rsidR="000627A4" w:rsidRPr="00FD211F">
        <w:rPr>
          <w:sz w:val="36"/>
          <w:szCs w:val="36"/>
          <w:rtl/>
        </w:rPr>
        <w:t>استصحاب</w:t>
      </w:r>
      <w:r w:rsidR="00E8128F">
        <w:rPr>
          <w:sz w:val="36"/>
          <w:szCs w:val="36"/>
          <w:rtl/>
        </w:rPr>
        <w:t xml:space="preserve"> </w:t>
      </w:r>
      <w:r w:rsidR="000627A4" w:rsidRPr="00FD211F">
        <w:rPr>
          <w:sz w:val="36"/>
          <w:szCs w:val="36"/>
          <w:rtl/>
        </w:rPr>
        <w:t>ملكي</w:t>
      </w:r>
      <w:r w:rsidR="00EC7EDF" w:rsidRPr="00FD211F">
        <w:rPr>
          <w:sz w:val="36"/>
          <w:szCs w:val="36"/>
          <w:rtl/>
        </w:rPr>
        <w:t>ة</w:t>
      </w:r>
      <w:r w:rsidR="00E8128F">
        <w:rPr>
          <w:sz w:val="36"/>
          <w:szCs w:val="36"/>
          <w:rtl/>
        </w:rPr>
        <w:t xml:space="preserve"> </w:t>
      </w:r>
      <w:r w:rsidR="000627A4" w:rsidRPr="00FD211F">
        <w:rPr>
          <w:sz w:val="36"/>
          <w:szCs w:val="36"/>
          <w:rtl/>
        </w:rPr>
        <w:t>المالك</w:t>
      </w:r>
      <w:r w:rsidR="00E8128F">
        <w:rPr>
          <w:sz w:val="36"/>
          <w:szCs w:val="36"/>
          <w:rtl/>
        </w:rPr>
        <w:t xml:space="preserve"> </w:t>
      </w:r>
      <w:r w:rsidR="009867AE" w:rsidRPr="00FD211F">
        <w:rPr>
          <w:sz w:val="36"/>
          <w:szCs w:val="36"/>
          <w:rtl/>
        </w:rPr>
        <w:t>لها</w:t>
      </w:r>
      <w:r w:rsidR="00E8128F">
        <w:rPr>
          <w:sz w:val="36"/>
          <w:szCs w:val="36"/>
          <w:rtl/>
        </w:rPr>
        <w:t xml:space="preserve"> </w:t>
      </w:r>
      <w:r w:rsidR="000627A4" w:rsidRPr="00FD211F">
        <w:rPr>
          <w:sz w:val="36"/>
          <w:szCs w:val="36"/>
          <w:rtl/>
        </w:rPr>
        <w:t>حتى</w:t>
      </w:r>
      <w:r w:rsidR="00E8128F">
        <w:rPr>
          <w:sz w:val="36"/>
          <w:szCs w:val="36"/>
          <w:rtl/>
        </w:rPr>
        <w:t xml:space="preserve"> </w:t>
      </w:r>
      <w:r w:rsidR="000627A4" w:rsidRPr="00FD211F">
        <w:rPr>
          <w:sz w:val="36"/>
          <w:szCs w:val="36"/>
          <w:rtl/>
        </w:rPr>
        <w:t>بعد</w:t>
      </w:r>
      <w:r w:rsidR="00E8128F">
        <w:rPr>
          <w:sz w:val="36"/>
          <w:szCs w:val="36"/>
          <w:rtl/>
        </w:rPr>
        <w:t xml:space="preserve"> </w:t>
      </w:r>
      <w:r w:rsidR="000627A4" w:rsidRPr="00FD211F">
        <w:rPr>
          <w:sz w:val="36"/>
          <w:szCs w:val="36"/>
          <w:rtl/>
        </w:rPr>
        <w:t>تحقق</w:t>
      </w:r>
      <w:r w:rsidR="00E8128F">
        <w:rPr>
          <w:sz w:val="36"/>
          <w:szCs w:val="36"/>
          <w:rtl/>
        </w:rPr>
        <w:t xml:space="preserve"> </w:t>
      </w:r>
      <w:r w:rsidR="000627A4" w:rsidRPr="00FD211F">
        <w:rPr>
          <w:sz w:val="36"/>
          <w:szCs w:val="36"/>
          <w:rtl/>
        </w:rPr>
        <w:t>الاستحال</w:t>
      </w:r>
      <w:r w:rsidR="00EC7EDF" w:rsidRPr="00FD211F">
        <w:rPr>
          <w:sz w:val="36"/>
          <w:szCs w:val="36"/>
          <w:rtl/>
        </w:rPr>
        <w:t>ة</w:t>
      </w:r>
      <w:r w:rsidR="00A61BAE" w:rsidRPr="00FD211F">
        <w:rPr>
          <w:sz w:val="36"/>
          <w:szCs w:val="36"/>
          <w:rtl/>
        </w:rPr>
        <w:t>.</w:t>
      </w:r>
    </w:p>
    <w:p w14:paraId="1504E782" w14:textId="77777777" w:rsidR="009867AE" w:rsidRPr="00FD211F" w:rsidRDefault="000627A4" w:rsidP="009C58C8">
      <w:pPr>
        <w:ind w:left="0" w:firstLine="227"/>
        <w:jc w:val="both"/>
        <w:rPr>
          <w:sz w:val="36"/>
          <w:szCs w:val="36"/>
          <w:rtl/>
        </w:rPr>
      </w:pPr>
      <w:r w:rsidRPr="00FD211F">
        <w:rPr>
          <w:sz w:val="36"/>
          <w:szCs w:val="36"/>
          <w:rtl/>
        </w:rPr>
        <w:t>وبناء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ف</w:t>
      </w:r>
      <w:r w:rsidR="00456DE6" w:rsidRPr="00FD211F">
        <w:rPr>
          <w:sz w:val="36"/>
          <w:szCs w:val="36"/>
          <w:rtl/>
        </w:rPr>
        <w:t>لا</w:t>
      </w:r>
      <w:r w:rsidR="009867AE" w:rsidRPr="00FD211F">
        <w:rPr>
          <w:sz w:val="36"/>
          <w:szCs w:val="36"/>
          <w:rtl/>
        </w:rPr>
        <w:t>يكون</w:t>
      </w:r>
      <w:r w:rsidR="00E8128F">
        <w:rPr>
          <w:sz w:val="36"/>
          <w:szCs w:val="36"/>
          <w:rtl/>
        </w:rPr>
        <w:t xml:space="preserve"> </w:t>
      </w:r>
      <w:r w:rsidR="009867AE" w:rsidRPr="00FD211F">
        <w:rPr>
          <w:sz w:val="36"/>
          <w:szCs w:val="36"/>
          <w:rtl/>
        </w:rPr>
        <w:t>فرض</w:t>
      </w:r>
      <w:r w:rsidR="00E8128F">
        <w:rPr>
          <w:sz w:val="36"/>
          <w:szCs w:val="36"/>
          <w:rtl/>
        </w:rPr>
        <w:t xml:space="preserve"> </w:t>
      </w:r>
      <w:r w:rsidR="009867AE" w:rsidRPr="00FD211F">
        <w:rPr>
          <w:sz w:val="36"/>
          <w:szCs w:val="36"/>
          <w:rtl/>
        </w:rPr>
        <w:t>زوال</w:t>
      </w:r>
      <w:r w:rsidR="00E8128F">
        <w:rPr>
          <w:sz w:val="36"/>
          <w:szCs w:val="36"/>
          <w:rtl/>
        </w:rPr>
        <w:t xml:space="preserve"> </w:t>
      </w:r>
      <w:r w:rsidR="009867AE" w:rsidRPr="00FD211F">
        <w:rPr>
          <w:sz w:val="36"/>
          <w:szCs w:val="36"/>
          <w:rtl/>
        </w:rPr>
        <w:t>العنوان</w:t>
      </w:r>
      <w:r w:rsidR="00E8128F">
        <w:rPr>
          <w:sz w:val="36"/>
          <w:szCs w:val="36"/>
          <w:rtl/>
        </w:rPr>
        <w:t xml:space="preserve"> </w:t>
      </w:r>
      <w:r w:rsidR="009867AE" w:rsidRPr="00FD211F">
        <w:rPr>
          <w:sz w:val="36"/>
          <w:szCs w:val="36"/>
          <w:rtl/>
        </w:rPr>
        <w:t>الذات</w:t>
      </w:r>
      <w:r w:rsidR="00456DE6" w:rsidRPr="00FD211F">
        <w:rPr>
          <w:sz w:val="36"/>
          <w:szCs w:val="36"/>
          <w:rtl/>
        </w:rPr>
        <w:t>ي</w:t>
      </w:r>
      <w:r w:rsidR="00E8128F">
        <w:rPr>
          <w:sz w:val="36"/>
          <w:szCs w:val="36"/>
          <w:rtl/>
        </w:rPr>
        <w:t xml:space="preserve"> </w:t>
      </w:r>
      <w:r w:rsidR="009867AE" w:rsidRPr="00FD211F">
        <w:rPr>
          <w:sz w:val="36"/>
          <w:szCs w:val="36"/>
          <w:rtl/>
        </w:rPr>
        <w:t>مستلزما</w:t>
      </w:r>
      <w:r w:rsidR="00E8128F">
        <w:rPr>
          <w:sz w:val="36"/>
          <w:szCs w:val="36"/>
          <w:rtl/>
        </w:rPr>
        <w:t xml:space="preserve"> </w:t>
      </w:r>
      <w:r w:rsidR="009867AE" w:rsidRPr="00FD211F">
        <w:rPr>
          <w:sz w:val="36"/>
          <w:szCs w:val="36"/>
          <w:rtl/>
        </w:rPr>
        <w:t>لزوال</w:t>
      </w:r>
      <w:r w:rsidR="00E8128F">
        <w:rPr>
          <w:sz w:val="36"/>
          <w:szCs w:val="36"/>
          <w:rtl/>
        </w:rPr>
        <w:t xml:space="preserve"> </w:t>
      </w:r>
      <w:r w:rsidR="009867AE" w:rsidRPr="00FD211F">
        <w:rPr>
          <w:sz w:val="36"/>
          <w:szCs w:val="36"/>
          <w:rtl/>
        </w:rPr>
        <w:t>الذات</w:t>
      </w:r>
      <w:r w:rsidR="00E8128F">
        <w:rPr>
          <w:sz w:val="36"/>
          <w:szCs w:val="36"/>
          <w:rtl/>
        </w:rPr>
        <w:t xml:space="preserve"> </w:t>
      </w:r>
      <w:r w:rsidR="009867AE" w:rsidRPr="00FD211F">
        <w:rPr>
          <w:sz w:val="36"/>
          <w:szCs w:val="36"/>
          <w:rtl/>
        </w:rPr>
        <w:t>المعروض</w:t>
      </w:r>
      <w:r w:rsidR="00EC7EDF" w:rsidRPr="00FD211F">
        <w:rPr>
          <w:sz w:val="36"/>
          <w:szCs w:val="36"/>
          <w:rtl/>
        </w:rPr>
        <w:t>ة</w:t>
      </w:r>
      <w:r w:rsidR="00E8128F">
        <w:rPr>
          <w:sz w:val="36"/>
          <w:szCs w:val="36"/>
          <w:rtl/>
        </w:rPr>
        <w:t xml:space="preserve"> </w:t>
      </w:r>
      <w:r w:rsidR="009867AE" w:rsidRPr="00FD211F">
        <w:rPr>
          <w:sz w:val="36"/>
          <w:szCs w:val="36"/>
          <w:rtl/>
        </w:rPr>
        <w:t>له</w:t>
      </w:r>
      <w:r w:rsidR="009C58C8" w:rsidRPr="00FD211F">
        <w:rPr>
          <w:rStyle w:val="a6"/>
          <w:sz w:val="36"/>
          <w:szCs w:val="36"/>
          <w:rtl/>
        </w:rPr>
        <w:t>(</w:t>
      </w:r>
      <w:r w:rsidR="009C58C8" w:rsidRPr="00FD211F">
        <w:rPr>
          <w:rStyle w:val="a6"/>
          <w:sz w:val="36"/>
          <w:szCs w:val="36"/>
          <w:rtl/>
        </w:rPr>
        <w:footnoteReference w:id="522"/>
      </w:r>
      <w:r w:rsidR="009C58C8" w:rsidRPr="00FD211F">
        <w:rPr>
          <w:rStyle w:val="a6"/>
          <w:sz w:val="36"/>
          <w:szCs w:val="36"/>
          <w:rtl/>
        </w:rPr>
        <w:t>)</w:t>
      </w:r>
      <w:r w:rsidR="00E8128F">
        <w:rPr>
          <w:sz w:val="36"/>
          <w:szCs w:val="36"/>
          <w:rtl/>
        </w:rPr>
        <w:t xml:space="preserve"> </w:t>
      </w:r>
      <w:r w:rsidR="009867AE" w:rsidRPr="00FD211F">
        <w:rPr>
          <w:sz w:val="36"/>
          <w:szCs w:val="36"/>
          <w:rtl/>
        </w:rPr>
        <w:t>فيقال</w:t>
      </w:r>
      <w:r w:rsidR="00E8128F">
        <w:rPr>
          <w:sz w:val="36"/>
          <w:szCs w:val="36"/>
          <w:rtl/>
        </w:rPr>
        <w:t xml:space="preserve"> </w:t>
      </w:r>
      <w:r w:rsidR="009867AE" w:rsidRPr="00FD211F">
        <w:rPr>
          <w:sz w:val="36"/>
          <w:szCs w:val="36"/>
          <w:rtl/>
        </w:rPr>
        <w:t>حينئذ</w:t>
      </w:r>
      <w:r w:rsidR="00E8128F">
        <w:rPr>
          <w:sz w:val="36"/>
          <w:szCs w:val="36"/>
          <w:rtl/>
        </w:rPr>
        <w:t xml:space="preserve"> </w:t>
      </w:r>
      <w:r w:rsidR="009867AE" w:rsidRPr="00FD211F">
        <w:rPr>
          <w:sz w:val="36"/>
          <w:szCs w:val="36"/>
          <w:rtl/>
        </w:rPr>
        <w:t>بانه</w:t>
      </w:r>
      <w:r w:rsidR="00E8128F">
        <w:rPr>
          <w:sz w:val="36"/>
          <w:szCs w:val="36"/>
          <w:rtl/>
        </w:rPr>
        <w:t xml:space="preserve"> </w:t>
      </w:r>
      <w:r w:rsidRPr="00FD211F">
        <w:rPr>
          <w:sz w:val="36"/>
          <w:szCs w:val="36"/>
          <w:rtl/>
        </w:rPr>
        <w:t>لامانع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صدق</w:t>
      </w:r>
      <w:r w:rsidR="00E8128F">
        <w:rPr>
          <w:sz w:val="36"/>
          <w:szCs w:val="36"/>
          <w:rtl/>
        </w:rPr>
        <w:t xml:space="preserve"> </w:t>
      </w:r>
      <w:r w:rsidRPr="00FD211F">
        <w:rPr>
          <w:sz w:val="36"/>
          <w:szCs w:val="36"/>
          <w:rtl/>
        </w:rPr>
        <w:t>العنوان</w:t>
      </w:r>
      <w:r w:rsidR="00E8128F">
        <w:rPr>
          <w:sz w:val="36"/>
          <w:szCs w:val="36"/>
          <w:rtl/>
        </w:rPr>
        <w:t xml:space="preserve"> </w:t>
      </w:r>
      <w:r w:rsidRPr="00FD211F">
        <w:rPr>
          <w:sz w:val="36"/>
          <w:szCs w:val="36"/>
          <w:rtl/>
        </w:rPr>
        <w:t>الذاتي</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زوال</w:t>
      </w:r>
      <w:r w:rsidR="00E8128F">
        <w:rPr>
          <w:sz w:val="36"/>
          <w:szCs w:val="36"/>
          <w:rtl/>
        </w:rPr>
        <w:t xml:space="preserve"> </w:t>
      </w:r>
      <w:r w:rsidRPr="00FD211F">
        <w:rPr>
          <w:sz w:val="36"/>
          <w:szCs w:val="36"/>
          <w:rtl/>
        </w:rPr>
        <w:t>تلبسها</w:t>
      </w:r>
      <w:r w:rsidR="00E8128F">
        <w:rPr>
          <w:sz w:val="36"/>
          <w:szCs w:val="36"/>
          <w:rtl/>
        </w:rPr>
        <w:t xml:space="preserve"> </w:t>
      </w:r>
      <w:r w:rsidRPr="00FD211F">
        <w:rPr>
          <w:sz w:val="36"/>
          <w:szCs w:val="36"/>
          <w:rtl/>
        </w:rPr>
        <w:t>بال</w:t>
      </w:r>
      <w:r w:rsidR="0079493B" w:rsidRPr="00FD211F">
        <w:rPr>
          <w:sz w:val="36"/>
          <w:szCs w:val="36"/>
          <w:rtl/>
        </w:rPr>
        <w:t>مبدأ</w:t>
      </w:r>
      <w:r w:rsidR="00603323" w:rsidRPr="00FD211F">
        <w:rPr>
          <w:sz w:val="36"/>
          <w:szCs w:val="36"/>
          <w:rtl/>
        </w:rPr>
        <w:t>،</w:t>
      </w:r>
      <w:r w:rsidR="00E8128F">
        <w:rPr>
          <w:sz w:val="36"/>
          <w:szCs w:val="36"/>
          <w:rtl/>
        </w:rPr>
        <w:t xml:space="preserve"> </w:t>
      </w:r>
      <w:r w:rsidRPr="00FD211F">
        <w:rPr>
          <w:sz w:val="36"/>
          <w:szCs w:val="36"/>
          <w:rtl/>
        </w:rPr>
        <w:t>فيبحث</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صدق</w:t>
      </w:r>
      <w:r w:rsidR="00E8128F">
        <w:rPr>
          <w:sz w:val="36"/>
          <w:szCs w:val="36"/>
          <w:rtl/>
        </w:rPr>
        <w:t xml:space="preserve"> </w:t>
      </w:r>
      <w:r w:rsidRPr="00FD211F">
        <w:rPr>
          <w:sz w:val="36"/>
          <w:szCs w:val="36"/>
          <w:rtl/>
        </w:rPr>
        <w:t>عنوان</w:t>
      </w:r>
      <w:r w:rsidR="00E8128F">
        <w:rPr>
          <w:sz w:val="36"/>
          <w:szCs w:val="36"/>
          <w:rtl/>
        </w:rPr>
        <w:t xml:space="preserve"> </w:t>
      </w:r>
      <w:r w:rsidRPr="00FD211F">
        <w:rPr>
          <w:sz w:val="36"/>
          <w:szCs w:val="36"/>
          <w:rtl/>
        </w:rPr>
        <w:t>الكلب</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الملح</w:t>
      </w:r>
      <w:r w:rsidR="00E8128F">
        <w:rPr>
          <w:sz w:val="36"/>
          <w:szCs w:val="36"/>
          <w:rtl/>
        </w:rPr>
        <w:t xml:space="preserve"> </w:t>
      </w:r>
      <w:r w:rsidRPr="00FD211F">
        <w:rPr>
          <w:sz w:val="36"/>
          <w:szCs w:val="36"/>
          <w:rtl/>
        </w:rPr>
        <w:t>المستحيل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الكلب</w:t>
      </w:r>
      <w:r w:rsidR="00E8128F">
        <w:rPr>
          <w:sz w:val="36"/>
          <w:szCs w:val="36"/>
          <w:rtl/>
        </w:rPr>
        <w:t xml:space="preserve"> </w:t>
      </w:r>
      <w:r w:rsidRPr="00FD211F">
        <w:rPr>
          <w:sz w:val="36"/>
          <w:szCs w:val="36"/>
          <w:rtl/>
        </w:rPr>
        <w:t>خاص</w:t>
      </w:r>
      <w:r w:rsidR="00EC7EDF" w:rsidRPr="00FD211F">
        <w:rPr>
          <w:sz w:val="36"/>
          <w:szCs w:val="36"/>
          <w:rtl/>
        </w:rPr>
        <w:t>ة</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انحفاظ</w:t>
      </w:r>
      <w:r w:rsidR="00E8128F">
        <w:rPr>
          <w:sz w:val="36"/>
          <w:szCs w:val="36"/>
          <w:rtl/>
        </w:rPr>
        <w:t xml:space="preserve"> </w:t>
      </w:r>
      <w:r w:rsidRPr="00FD211F">
        <w:rPr>
          <w:sz w:val="36"/>
          <w:szCs w:val="36"/>
          <w:rtl/>
        </w:rPr>
        <w:t>شكله</w:t>
      </w:r>
      <w:r w:rsidR="00603323" w:rsidRPr="00FD211F">
        <w:rPr>
          <w:sz w:val="36"/>
          <w:szCs w:val="36"/>
          <w:rtl/>
        </w:rPr>
        <w:t>،</w:t>
      </w:r>
      <w:r w:rsidR="00E8128F">
        <w:rPr>
          <w:sz w:val="36"/>
          <w:szCs w:val="36"/>
          <w:rtl/>
        </w:rPr>
        <w:t xml:space="preserve"> </w:t>
      </w:r>
      <w:r w:rsidRPr="00FD211F">
        <w:rPr>
          <w:sz w:val="36"/>
          <w:szCs w:val="36"/>
          <w:rtl/>
        </w:rPr>
        <w:t>اللهم</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صدق</w:t>
      </w:r>
      <w:r w:rsidR="00E8128F">
        <w:rPr>
          <w:sz w:val="36"/>
          <w:szCs w:val="36"/>
          <w:rtl/>
        </w:rPr>
        <w:t xml:space="preserve"> </w:t>
      </w:r>
      <w:r w:rsidRPr="00FD211F">
        <w:rPr>
          <w:sz w:val="36"/>
          <w:szCs w:val="36"/>
          <w:rtl/>
        </w:rPr>
        <w:t>العنوان</w:t>
      </w:r>
      <w:r w:rsidR="00E8128F">
        <w:rPr>
          <w:sz w:val="36"/>
          <w:szCs w:val="36"/>
          <w:rtl/>
        </w:rPr>
        <w:t xml:space="preserve"> </w:t>
      </w:r>
      <w:r w:rsidRPr="00FD211F">
        <w:rPr>
          <w:sz w:val="36"/>
          <w:szCs w:val="36"/>
          <w:rtl/>
        </w:rPr>
        <w:t>الذاتي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مورد</w:t>
      </w:r>
      <w:r w:rsidR="00E8128F">
        <w:rPr>
          <w:sz w:val="36"/>
          <w:szCs w:val="36"/>
          <w:rtl/>
        </w:rPr>
        <w:t xml:space="preserve"> </w:t>
      </w:r>
      <w:r w:rsidRPr="00FD211F">
        <w:rPr>
          <w:sz w:val="36"/>
          <w:szCs w:val="36"/>
          <w:rtl/>
        </w:rPr>
        <w:t>تحقق</w:t>
      </w:r>
      <w:r w:rsidR="00E8128F">
        <w:rPr>
          <w:sz w:val="36"/>
          <w:szCs w:val="36"/>
          <w:rtl/>
        </w:rPr>
        <w:t xml:space="preserve"> </w:t>
      </w:r>
      <w:r w:rsidRPr="00FD211F">
        <w:rPr>
          <w:sz w:val="36"/>
          <w:szCs w:val="36"/>
          <w:rtl/>
        </w:rPr>
        <w:t>الاستحال</w:t>
      </w:r>
      <w:r w:rsidR="00EC7EDF" w:rsidRPr="00FD211F">
        <w:rPr>
          <w:sz w:val="36"/>
          <w:szCs w:val="36"/>
          <w:rtl/>
        </w:rPr>
        <w:t>ة</w:t>
      </w:r>
      <w:r w:rsidR="00E8128F">
        <w:rPr>
          <w:sz w:val="36"/>
          <w:szCs w:val="36"/>
          <w:rtl/>
        </w:rPr>
        <w:t xml:space="preserve"> </w:t>
      </w:r>
      <w:r w:rsidRPr="00FD211F">
        <w:rPr>
          <w:sz w:val="36"/>
          <w:szCs w:val="36"/>
          <w:rtl/>
        </w:rPr>
        <w:t>واضح</w:t>
      </w:r>
      <w:r w:rsidR="00E8128F">
        <w:rPr>
          <w:sz w:val="36"/>
          <w:szCs w:val="36"/>
          <w:rtl/>
        </w:rPr>
        <w:t xml:space="preserve"> </w:t>
      </w:r>
      <w:r w:rsidRPr="00FD211F">
        <w:rPr>
          <w:sz w:val="36"/>
          <w:szCs w:val="36"/>
          <w:rtl/>
        </w:rPr>
        <w:t>جدا</w:t>
      </w:r>
      <w:r w:rsidR="00E8128F">
        <w:rPr>
          <w:sz w:val="36"/>
          <w:szCs w:val="36"/>
          <w:rtl/>
        </w:rPr>
        <w:t xml:space="preserve"> </w:t>
      </w:r>
      <w:r w:rsidRPr="00FD211F">
        <w:rPr>
          <w:sz w:val="36"/>
          <w:szCs w:val="36"/>
          <w:rtl/>
        </w:rPr>
        <w:t>فلايصلح</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محلا</w:t>
      </w:r>
      <w:r w:rsidR="00E8128F">
        <w:rPr>
          <w:sz w:val="36"/>
          <w:szCs w:val="36"/>
          <w:rtl/>
        </w:rPr>
        <w:t xml:space="preserve"> </w:t>
      </w:r>
      <w:r w:rsidRPr="00FD211F">
        <w:rPr>
          <w:sz w:val="36"/>
          <w:szCs w:val="36"/>
          <w:rtl/>
        </w:rPr>
        <w:t>للنزاع</w:t>
      </w:r>
      <w:r w:rsidR="00603323" w:rsidRPr="00FD211F">
        <w:rPr>
          <w:sz w:val="36"/>
          <w:szCs w:val="36"/>
          <w:rtl/>
        </w:rPr>
        <w:t>،</w:t>
      </w:r>
      <w:r w:rsidR="00E8128F">
        <w:rPr>
          <w:sz w:val="36"/>
          <w:szCs w:val="36"/>
          <w:rtl/>
        </w:rPr>
        <w:t xml:space="preserve"> </w:t>
      </w:r>
      <w:r w:rsidR="009867AE" w:rsidRPr="00FD211F">
        <w:rPr>
          <w:sz w:val="36"/>
          <w:szCs w:val="36"/>
          <w:rtl/>
        </w:rPr>
        <w:t>بخلاف</w:t>
      </w:r>
      <w:r w:rsidR="00E8128F">
        <w:rPr>
          <w:sz w:val="36"/>
          <w:szCs w:val="36"/>
          <w:rtl/>
        </w:rPr>
        <w:t xml:space="preserve"> </w:t>
      </w:r>
      <w:r w:rsidR="009867AE" w:rsidRPr="00FD211F">
        <w:rPr>
          <w:sz w:val="36"/>
          <w:szCs w:val="36"/>
          <w:rtl/>
        </w:rPr>
        <w:t>العنوان</w:t>
      </w:r>
      <w:r w:rsidR="00E8128F">
        <w:rPr>
          <w:sz w:val="36"/>
          <w:szCs w:val="36"/>
          <w:rtl/>
        </w:rPr>
        <w:t xml:space="preserve"> </w:t>
      </w:r>
      <w:r w:rsidR="009867AE" w:rsidRPr="00FD211F">
        <w:rPr>
          <w:sz w:val="36"/>
          <w:szCs w:val="36"/>
          <w:rtl/>
        </w:rPr>
        <w:t>العرضي</w:t>
      </w:r>
      <w:r w:rsidR="00E8128F">
        <w:rPr>
          <w:sz w:val="36"/>
          <w:szCs w:val="36"/>
          <w:rtl/>
        </w:rPr>
        <w:t xml:space="preserve"> </w:t>
      </w:r>
      <w:r w:rsidR="009867AE" w:rsidRPr="00FD211F">
        <w:rPr>
          <w:sz w:val="36"/>
          <w:szCs w:val="36"/>
          <w:rtl/>
        </w:rPr>
        <w:t>كعنوان</w:t>
      </w:r>
      <w:r w:rsidR="00E8128F">
        <w:rPr>
          <w:sz w:val="36"/>
          <w:szCs w:val="36"/>
          <w:rtl/>
        </w:rPr>
        <w:t xml:space="preserve"> </w:t>
      </w:r>
      <w:r w:rsidR="009867AE" w:rsidRPr="00FD211F">
        <w:rPr>
          <w:sz w:val="36"/>
          <w:szCs w:val="36"/>
          <w:rtl/>
        </w:rPr>
        <w:t>السيف</w:t>
      </w:r>
      <w:r w:rsidR="00E8128F">
        <w:rPr>
          <w:sz w:val="36"/>
          <w:szCs w:val="36"/>
          <w:rtl/>
        </w:rPr>
        <w:t xml:space="preserve"> </w:t>
      </w:r>
      <w:r w:rsidR="009867AE" w:rsidRPr="00FD211F">
        <w:rPr>
          <w:sz w:val="36"/>
          <w:szCs w:val="36"/>
          <w:rtl/>
        </w:rPr>
        <w:t>حيث</w:t>
      </w:r>
      <w:r w:rsidR="00E8128F">
        <w:rPr>
          <w:sz w:val="36"/>
          <w:szCs w:val="36"/>
          <w:rtl/>
        </w:rPr>
        <w:t xml:space="preserve"> </w:t>
      </w:r>
      <w:r w:rsidR="009867AE" w:rsidRPr="00FD211F">
        <w:rPr>
          <w:sz w:val="36"/>
          <w:szCs w:val="36"/>
          <w:rtl/>
        </w:rPr>
        <w:t>يصح</w:t>
      </w:r>
      <w:r w:rsidR="00E8128F">
        <w:rPr>
          <w:sz w:val="36"/>
          <w:szCs w:val="36"/>
          <w:rtl/>
        </w:rPr>
        <w:t xml:space="preserve"> </w:t>
      </w:r>
      <w:r w:rsidR="009867AE" w:rsidRPr="00FD211F">
        <w:rPr>
          <w:sz w:val="36"/>
          <w:szCs w:val="36"/>
          <w:rtl/>
        </w:rPr>
        <w:t>حمله</w:t>
      </w:r>
      <w:r w:rsidR="00E8128F">
        <w:rPr>
          <w:sz w:val="36"/>
          <w:szCs w:val="36"/>
          <w:rtl/>
        </w:rPr>
        <w:t xml:space="preserve"> </w:t>
      </w:r>
      <w:r w:rsidR="009867AE" w:rsidRPr="00FD211F">
        <w:rPr>
          <w:sz w:val="36"/>
          <w:szCs w:val="36"/>
          <w:rtl/>
        </w:rPr>
        <w:t>على</w:t>
      </w:r>
      <w:r w:rsidR="00E8128F">
        <w:rPr>
          <w:sz w:val="36"/>
          <w:szCs w:val="36"/>
          <w:rtl/>
        </w:rPr>
        <w:t xml:space="preserve"> </w:t>
      </w:r>
      <w:r w:rsidR="009867AE" w:rsidRPr="00FD211F">
        <w:rPr>
          <w:sz w:val="36"/>
          <w:szCs w:val="36"/>
          <w:rtl/>
        </w:rPr>
        <w:t>ما</w:t>
      </w:r>
      <w:r w:rsidR="00E8128F">
        <w:rPr>
          <w:sz w:val="36"/>
          <w:szCs w:val="36"/>
          <w:rtl/>
        </w:rPr>
        <w:t xml:space="preserve"> </w:t>
      </w:r>
      <w:r w:rsidR="009867AE" w:rsidRPr="00FD211F">
        <w:rPr>
          <w:sz w:val="36"/>
          <w:szCs w:val="36"/>
          <w:rtl/>
        </w:rPr>
        <w:t>لو</w:t>
      </w:r>
      <w:r w:rsidR="00E8128F">
        <w:rPr>
          <w:sz w:val="36"/>
          <w:szCs w:val="36"/>
          <w:rtl/>
        </w:rPr>
        <w:t xml:space="preserve"> </w:t>
      </w:r>
      <w:r w:rsidR="009867AE" w:rsidRPr="00FD211F">
        <w:rPr>
          <w:sz w:val="36"/>
          <w:szCs w:val="36"/>
          <w:rtl/>
        </w:rPr>
        <w:t>صار</w:t>
      </w:r>
      <w:r w:rsidR="00E8128F">
        <w:rPr>
          <w:sz w:val="36"/>
          <w:szCs w:val="36"/>
          <w:rtl/>
        </w:rPr>
        <w:t xml:space="preserve"> </w:t>
      </w:r>
      <w:r w:rsidR="009867AE" w:rsidRPr="00FD211F">
        <w:rPr>
          <w:sz w:val="36"/>
          <w:szCs w:val="36"/>
          <w:rtl/>
        </w:rPr>
        <w:t>حديدا</w:t>
      </w:r>
      <w:r w:rsidR="00E8128F">
        <w:rPr>
          <w:sz w:val="36"/>
          <w:szCs w:val="36"/>
          <w:rtl/>
        </w:rPr>
        <w:t xml:space="preserve"> </w:t>
      </w:r>
      <w:r w:rsidR="009867AE" w:rsidRPr="00FD211F">
        <w:rPr>
          <w:sz w:val="36"/>
          <w:szCs w:val="36"/>
          <w:rtl/>
        </w:rPr>
        <w:t>محضا</w:t>
      </w:r>
      <w:r w:rsidR="00603323" w:rsidRPr="00FD211F">
        <w:rPr>
          <w:sz w:val="36"/>
          <w:szCs w:val="36"/>
          <w:rtl/>
        </w:rPr>
        <w:t>،</w:t>
      </w:r>
      <w:r w:rsidR="00E8128F">
        <w:rPr>
          <w:sz w:val="36"/>
          <w:szCs w:val="36"/>
          <w:rtl/>
        </w:rPr>
        <w:t xml:space="preserve"> </w:t>
      </w:r>
      <w:r w:rsidR="009867AE" w:rsidRPr="00FD211F">
        <w:rPr>
          <w:sz w:val="36"/>
          <w:szCs w:val="36"/>
          <w:rtl/>
        </w:rPr>
        <w:t>وحينئذ</w:t>
      </w:r>
      <w:r w:rsidR="00E8128F">
        <w:rPr>
          <w:sz w:val="36"/>
          <w:szCs w:val="36"/>
          <w:rtl/>
        </w:rPr>
        <w:t xml:space="preserve"> </w:t>
      </w:r>
      <w:r w:rsidR="009867AE" w:rsidRPr="00FD211F">
        <w:rPr>
          <w:sz w:val="36"/>
          <w:szCs w:val="36"/>
          <w:rtl/>
        </w:rPr>
        <w:t>فقد</w:t>
      </w:r>
      <w:r w:rsidR="00E8128F">
        <w:rPr>
          <w:sz w:val="36"/>
          <w:szCs w:val="36"/>
          <w:rtl/>
        </w:rPr>
        <w:t xml:space="preserve"> </w:t>
      </w:r>
      <w:r w:rsidR="009867AE" w:rsidRPr="00FD211F">
        <w:rPr>
          <w:sz w:val="36"/>
          <w:szCs w:val="36"/>
          <w:rtl/>
        </w:rPr>
        <w:t>يدعى</w:t>
      </w:r>
      <w:r w:rsidR="00E8128F">
        <w:rPr>
          <w:sz w:val="36"/>
          <w:szCs w:val="36"/>
          <w:rtl/>
        </w:rPr>
        <w:t xml:space="preserve"> </w:t>
      </w:r>
      <w:r w:rsidR="009867AE" w:rsidRPr="00FD211F">
        <w:rPr>
          <w:sz w:val="36"/>
          <w:szCs w:val="36"/>
          <w:rtl/>
        </w:rPr>
        <w:t>ان</w:t>
      </w:r>
      <w:r w:rsidR="00E8128F">
        <w:rPr>
          <w:sz w:val="36"/>
          <w:szCs w:val="36"/>
          <w:rtl/>
        </w:rPr>
        <w:t xml:space="preserve"> </w:t>
      </w:r>
      <w:r w:rsidR="009867AE" w:rsidRPr="00FD211F">
        <w:rPr>
          <w:sz w:val="36"/>
          <w:szCs w:val="36"/>
          <w:rtl/>
        </w:rPr>
        <w:t>حمله</w:t>
      </w:r>
      <w:r w:rsidR="00E8128F">
        <w:rPr>
          <w:sz w:val="36"/>
          <w:szCs w:val="36"/>
          <w:rtl/>
        </w:rPr>
        <w:t xml:space="preserve"> </w:t>
      </w:r>
      <w:r w:rsidR="009867AE" w:rsidRPr="00FD211F">
        <w:rPr>
          <w:sz w:val="36"/>
          <w:szCs w:val="36"/>
          <w:rtl/>
        </w:rPr>
        <w:t>يكون</w:t>
      </w:r>
      <w:r w:rsidR="00E8128F">
        <w:rPr>
          <w:sz w:val="36"/>
          <w:szCs w:val="36"/>
          <w:rtl/>
        </w:rPr>
        <w:t xml:space="preserve"> </w:t>
      </w:r>
      <w:r w:rsidR="009867AE" w:rsidRPr="00FD211F">
        <w:rPr>
          <w:sz w:val="36"/>
          <w:szCs w:val="36"/>
          <w:rtl/>
        </w:rPr>
        <w:t>من</w:t>
      </w:r>
      <w:r w:rsidR="00E8128F">
        <w:rPr>
          <w:sz w:val="36"/>
          <w:szCs w:val="36"/>
          <w:rtl/>
        </w:rPr>
        <w:t xml:space="preserve"> </w:t>
      </w:r>
      <w:r w:rsidR="009867AE" w:rsidRPr="00FD211F">
        <w:rPr>
          <w:sz w:val="36"/>
          <w:szCs w:val="36"/>
          <w:rtl/>
        </w:rPr>
        <w:t>باب</w:t>
      </w:r>
      <w:r w:rsidR="00E8128F">
        <w:rPr>
          <w:sz w:val="36"/>
          <w:szCs w:val="36"/>
          <w:rtl/>
        </w:rPr>
        <w:t xml:space="preserve"> </w:t>
      </w:r>
      <w:r w:rsidR="009867AE" w:rsidRPr="00FD211F">
        <w:rPr>
          <w:sz w:val="36"/>
          <w:szCs w:val="36"/>
          <w:rtl/>
        </w:rPr>
        <w:t>الحقيق</w:t>
      </w:r>
      <w:r w:rsidR="00EC7EDF" w:rsidRPr="00FD211F">
        <w:rPr>
          <w:sz w:val="36"/>
          <w:szCs w:val="36"/>
          <w:rtl/>
        </w:rPr>
        <w:t>ة</w:t>
      </w:r>
      <w:r w:rsidR="00A61BAE" w:rsidRPr="00FD211F">
        <w:rPr>
          <w:sz w:val="36"/>
          <w:szCs w:val="36"/>
          <w:rtl/>
        </w:rPr>
        <w:t>.</w:t>
      </w:r>
    </w:p>
    <w:p w14:paraId="783219B3" w14:textId="77777777" w:rsidR="000627A4" w:rsidRPr="00FD211F" w:rsidRDefault="000627A4"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فالمهم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ملاحظ</w:t>
      </w:r>
      <w:r w:rsidR="00EC7EDF" w:rsidRPr="00FD211F">
        <w:rPr>
          <w:sz w:val="36"/>
          <w:szCs w:val="36"/>
          <w:rtl/>
        </w:rPr>
        <w:t>ة</w:t>
      </w:r>
      <w:r w:rsidR="00E8128F">
        <w:rPr>
          <w:sz w:val="36"/>
          <w:szCs w:val="36"/>
          <w:rtl/>
        </w:rPr>
        <w:t xml:space="preserve"> </w:t>
      </w:r>
      <w:r w:rsidRPr="00FD211F">
        <w:rPr>
          <w:sz w:val="36"/>
          <w:szCs w:val="36"/>
          <w:rtl/>
        </w:rPr>
        <w:t>النظر</w:t>
      </w:r>
      <w:r w:rsidR="00E8128F">
        <w:rPr>
          <w:sz w:val="36"/>
          <w:szCs w:val="36"/>
          <w:rtl/>
        </w:rPr>
        <w:t xml:space="preserve"> </w:t>
      </w:r>
      <w:r w:rsidRPr="00FD211F">
        <w:rPr>
          <w:sz w:val="36"/>
          <w:szCs w:val="36"/>
          <w:rtl/>
        </w:rPr>
        <w:t>العرفي</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النظر</w:t>
      </w:r>
      <w:r w:rsidR="00E8128F">
        <w:rPr>
          <w:sz w:val="36"/>
          <w:szCs w:val="36"/>
          <w:rtl/>
        </w:rPr>
        <w:t xml:space="preserve"> </w:t>
      </w:r>
      <w:r w:rsidRPr="00FD211F">
        <w:rPr>
          <w:sz w:val="36"/>
          <w:szCs w:val="36"/>
          <w:rtl/>
        </w:rPr>
        <w:t>الفلسفي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تبدل</w:t>
      </w:r>
      <w:r w:rsidR="00E8128F">
        <w:rPr>
          <w:sz w:val="36"/>
          <w:szCs w:val="36"/>
          <w:rtl/>
        </w:rPr>
        <w:t xml:space="preserve"> </w:t>
      </w:r>
      <w:r w:rsidRPr="00FD211F">
        <w:rPr>
          <w:sz w:val="36"/>
          <w:szCs w:val="36"/>
          <w:rtl/>
        </w:rPr>
        <w:t>العناوين</w:t>
      </w:r>
      <w:r w:rsidR="00E8128F">
        <w:rPr>
          <w:sz w:val="36"/>
          <w:szCs w:val="36"/>
          <w:rtl/>
        </w:rPr>
        <w:t xml:space="preserve"> </w:t>
      </w:r>
      <w:r w:rsidRPr="00FD211F">
        <w:rPr>
          <w:sz w:val="36"/>
          <w:szCs w:val="36"/>
          <w:rtl/>
        </w:rPr>
        <w:t>الذاتي</w:t>
      </w:r>
      <w:r w:rsidR="00EC7EDF" w:rsidRPr="00FD211F">
        <w:rPr>
          <w:sz w:val="36"/>
          <w:szCs w:val="36"/>
          <w:rtl/>
        </w:rPr>
        <w:t>ة</w:t>
      </w:r>
      <w:r w:rsidR="00E8128F">
        <w:rPr>
          <w:sz w:val="36"/>
          <w:szCs w:val="36"/>
          <w:rtl/>
        </w:rPr>
        <w:t xml:space="preserve"> </w:t>
      </w:r>
      <w:r w:rsidRPr="00FD211F">
        <w:rPr>
          <w:sz w:val="36"/>
          <w:szCs w:val="36"/>
          <w:rtl/>
        </w:rPr>
        <w:t>والصور</w:t>
      </w:r>
      <w:r w:rsidR="00E8128F">
        <w:rPr>
          <w:sz w:val="36"/>
          <w:szCs w:val="36"/>
          <w:rtl/>
        </w:rPr>
        <w:t xml:space="preserve"> </w:t>
      </w:r>
      <w:r w:rsidRPr="00FD211F">
        <w:rPr>
          <w:sz w:val="36"/>
          <w:szCs w:val="36"/>
          <w:rtl/>
        </w:rPr>
        <w:t>النوعي</w:t>
      </w:r>
      <w:r w:rsidR="00EC7EDF" w:rsidRPr="00FD211F">
        <w:rPr>
          <w:sz w:val="36"/>
          <w:szCs w:val="36"/>
          <w:rtl/>
        </w:rPr>
        <w:t>ة</w:t>
      </w:r>
      <w:r w:rsidR="00E8128F">
        <w:rPr>
          <w:sz w:val="36"/>
          <w:szCs w:val="36"/>
          <w:rtl/>
        </w:rPr>
        <w:t xml:space="preserve"> </w:t>
      </w:r>
      <w:r w:rsidRPr="00FD211F">
        <w:rPr>
          <w:sz w:val="36"/>
          <w:szCs w:val="36"/>
          <w:rtl/>
        </w:rPr>
        <w:t>ولأجل</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يصدق</w:t>
      </w:r>
      <w:r w:rsidR="00E8128F">
        <w:rPr>
          <w:sz w:val="36"/>
          <w:szCs w:val="36"/>
          <w:rtl/>
        </w:rPr>
        <w:t xml:space="preserve"> </w:t>
      </w:r>
      <w:r w:rsidRPr="00FD211F">
        <w:rPr>
          <w:sz w:val="36"/>
          <w:szCs w:val="36"/>
          <w:rtl/>
        </w:rPr>
        <w:t>عنوان</w:t>
      </w:r>
      <w:r w:rsidR="00E8128F">
        <w:rPr>
          <w:sz w:val="36"/>
          <w:szCs w:val="36"/>
          <w:rtl/>
        </w:rPr>
        <w:t xml:space="preserve"> </w:t>
      </w:r>
      <w:r w:rsidRPr="00FD211F">
        <w:rPr>
          <w:sz w:val="36"/>
          <w:szCs w:val="36"/>
          <w:rtl/>
        </w:rPr>
        <w:t>الشجر</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الشجر</w:t>
      </w:r>
      <w:r w:rsidR="00E8128F">
        <w:rPr>
          <w:sz w:val="36"/>
          <w:szCs w:val="36"/>
          <w:rtl/>
        </w:rPr>
        <w:t xml:space="preserve"> </w:t>
      </w:r>
      <w:r w:rsidRPr="00FD211F">
        <w:rPr>
          <w:sz w:val="36"/>
          <w:szCs w:val="36"/>
          <w:rtl/>
        </w:rPr>
        <w:t>المقطوع</w:t>
      </w:r>
      <w:r w:rsidR="00603323" w:rsidRPr="00FD211F">
        <w:rPr>
          <w:sz w:val="36"/>
          <w:szCs w:val="36"/>
          <w:rtl/>
        </w:rPr>
        <w:t>،</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خرج</w:t>
      </w:r>
      <w:r w:rsidR="00E8128F">
        <w:rPr>
          <w:sz w:val="36"/>
          <w:szCs w:val="36"/>
          <w:rtl/>
        </w:rPr>
        <w:t xml:space="preserve"> </w:t>
      </w:r>
      <w:r w:rsidRPr="00FD211F">
        <w:rPr>
          <w:sz w:val="36"/>
          <w:szCs w:val="36"/>
          <w:rtl/>
        </w:rPr>
        <w:t>بذلك</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الحيا</w:t>
      </w:r>
      <w:r w:rsidR="00EC7EDF" w:rsidRPr="00FD211F">
        <w:rPr>
          <w:sz w:val="36"/>
          <w:szCs w:val="36"/>
          <w:rtl/>
        </w:rPr>
        <w:t>ة</w:t>
      </w:r>
      <w:r w:rsidR="00E8128F">
        <w:rPr>
          <w:sz w:val="36"/>
          <w:szCs w:val="36"/>
          <w:rtl/>
        </w:rPr>
        <w:t xml:space="preserve"> </w:t>
      </w:r>
      <w:r w:rsidRPr="00FD211F">
        <w:rPr>
          <w:sz w:val="36"/>
          <w:szCs w:val="36"/>
          <w:rtl/>
        </w:rPr>
        <w:t>النباتي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يصدق</w:t>
      </w:r>
      <w:r w:rsidR="00E8128F">
        <w:rPr>
          <w:sz w:val="36"/>
          <w:szCs w:val="36"/>
          <w:rtl/>
        </w:rPr>
        <w:t xml:space="preserve"> </w:t>
      </w:r>
      <w:r w:rsidRPr="00FD211F">
        <w:rPr>
          <w:sz w:val="36"/>
          <w:szCs w:val="36"/>
          <w:rtl/>
        </w:rPr>
        <w:t>الحيوان</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الحيوان</w:t>
      </w:r>
      <w:r w:rsidR="00E8128F">
        <w:rPr>
          <w:sz w:val="36"/>
          <w:szCs w:val="36"/>
          <w:rtl/>
        </w:rPr>
        <w:t xml:space="preserve"> </w:t>
      </w:r>
      <w:r w:rsidRPr="00FD211F">
        <w:rPr>
          <w:sz w:val="36"/>
          <w:szCs w:val="36"/>
          <w:rtl/>
        </w:rPr>
        <w:t>الميت</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زوال</w:t>
      </w:r>
      <w:r w:rsidR="00E8128F">
        <w:rPr>
          <w:sz w:val="36"/>
          <w:szCs w:val="36"/>
          <w:rtl/>
        </w:rPr>
        <w:t xml:space="preserve"> </w:t>
      </w:r>
      <w:r w:rsidRPr="00FD211F">
        <w:rPr>
          <w:sz w:val="36"/>
          <w:szCs w:val="36"/>
          <w:rtl/>
        </w:rPr>
        <w:t>حياته</w:t>
      </w:r>
      <w:r w:rsidR="00E8128F">
        <w:rPr>
          <w:sz w:val="36"/>
          <w:szCs w:val="36"/>
          <w:rtl/>
        </w:rPr>
        <w:t xml:space="preserve"> </w:t>
      </w:r>
      <w:r w:rsidRPr="00FD211F">
        <w:rPr>
          <w:sz w:val="36"/>
          <w:szCs w:val="36"/>
          <w:rtl/>
        </w:rPr>
        <w:t>الحيواني</w:t>
      </w:r>
      <w:r w:rsidR="00EC7EDF" w:rsidRPr="00FD211F">
        <w:rPr>
          <w:sz w:val="36"/>
          <w:szCs w:val="36"/>
          <w:rtl/>
        </w:rPr>
        <w:t>ة</w:t>
      </w:r>
      <w:r w:rsidR="00E8128F">
        <w:rPr>
          <w:sz w:val="36"/>
          <w:szCs w:val="36"/>
          <w:rtl/>
        </w:rPr>
        <w:t xml:space="preserve"> </w:t>
      </w:r>
      <w:r w:rsidRPr="00FD211F">
        <w:rPr>
          <w:sz w:val="36"/>
          <w:szCs w:val="36"/>
          <w:rtl/>
        </w:rPr>
        <w:t>فيختلف</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استحال</w:t>
      </w:r>
      <w:r w:rsidR="00EC7EDF" w:rsidRPr="00FD211F">
        <w:rPr>
          <w:sz w:val="36"/>
          <w:szCs w:val="36"/>
          <w:rtl/>
        </w:rPr>
        <w:t>ة</w:t>
      </w:r>
      <w:r w:rsidR="00E8128F">
        <w:rPr>
          <w:sz w:val="36"/>
          <w:szCs w:val="36"/>
          <w:rtl/>
        </w:rPr>
        <w:t xml:space="preserve"> </w:t>
      </w:r>
      <w:r w:rsidRPr="00FD211F">
        <w:rPr>
          <w:sz w:val="36"/>
          <w:szCs w:val="36"/>
          <w:rtl/>
        </w:rPr>
        <w:t>الكلب</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الملح</w:t>
      </w:r>
      <w:r w:rsidR="00603323" w:rsidRPr="00FD211F">
        <w:rPr>
          <w:sz w:val="36"/>
          <w:szCs w:val="36"/>
          <w:rtl/>
        </w:rPr>
        <w:t>،</w:t>
      </w:r>
      <w:r w:rsidR="00E8128F">
        <w:rPr>
          <w:sz w:val="36"/>
          <w:szCs w:val="36"/>
          <w:rtl/>
        </w:rPr>
        <w:t xml:space="preserve"> </w:t>
      </w:r>
      <w:r w:rsidRPr="00FD211F">
        <w:rPr>
          <w:sz w:val="36"/>
          <w:szCs w:val="36"/>
          <w:rtl/>
        </w:rPr>
        <w:t>ولأجل</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يجري</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نجاس</w:t>
      </w:r>
      <w:r w:rsidR="00EC7EDF" w:rsidRPr="00FD211F">
        <w:rPr>
          <w:sz w:val="36"/>
          <w:szCs w:val="36"/>
          <w:rtl/>
        </w:rPr>
        <w:t>ة</w:t>
      </w:r>
      <w:r w:rsidR="00E8128F">
        <w:rPr>
          <w:sz w:val="36"/>
          <w:szCs w:val="36"/>
          <w:rtl/>
        </w:rPr>
        <w:t xml:space="preserve"> </w:t>
      </w:r>
      <w:r w:rsidRPr="00FD211F">
        <w:rPr>
          <w:sz w:val="36"/>
          <w:szCs w:val="36"/>
          <w:rtl/>
        </w:rPr>
        <w:t>الشجر</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صيرورته</w:t>
      </w:r>
      <w:r w:rsidR="00E8128F">
        <w:rPr>
          <w:sz w:val="36"/>
          <w:szCs w:val="36"/>
          <w:rtl/>
        </w:rPr>
        <w:t xml:space="preserve"> </w:t>
      </w:r>
      <w:r w:rsidR="009867AE" w:rsidRPr="00FD211F">
        <w:rPr>
          <w:sz w:val="36"/>
          <w:szCs w:val="36"/>
          <w:rtl/>
        </w:rPr>
        <w:t>مقطوعا</w:t>
      </w:r>
      <w:r w:rsidR="001F2C1E" w:rsidRPr="00FD211F">
        <w:rPr>
          <w:sz w:val="36"/>
          <w:szCs w:val="36"/>
          <w:rtl/>
        </w:rPr>
        <w:t>.</w:t>
      </w:r>
    </w:p>
    <w:p w14:paraId="3510E010" w14:textId="77777777" w:rsidR="00554188" w:rsidRPr="00FD211F" w:rsidRDefault="001F2C1E" w:rsidP="005946E3">
      <w:pPr>
        <w:ind w:left="0" w:firstLine="227"/>
        <w:jc w:val="both"/>
        <w:rPr>
          <w:sz w:val="36"/>
          <w:szCs w:val="36"/>
          <w:rtl/>
        </w:rPr>
      </w:pP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يجاب</w:t>
      </w:r>
      <w:r w:rsidR="00E8128F">
        <w:rPr>
          <w:sz w:val="36"/>
          <w:szCs w:val="36"/>
          <w:rtl/>
        </w:rPr>
        <w:t xml:space="preserve"> </w:t>
      </w:r>
      <w:r w:rsidRPr="00FD211F">
        <w:rPr>
          <w:sz w:val="36"/>
          <w:szCs w:val="36"/>
          <w:rtl/>
        </w:rPr>
        <w:t>عما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النائيني</w:t>
      </w:r>
      <w:r w:rsidR="00E8128F">
        <w:rPr>
          <w:sz w:val="36"/>
          <w:szCs w:val="36"/>
          <w:rtl/>
        </w:rPr>
        <w:t xml:space="preserve"> </w:t>
      </w:r>
      <w:r w:rsidR="005946E3" w:rsidRPr="00FD211F">
        <w:rPr>
          <w:sz w:val="36"/>
          <w:szCs w:val="36"/>
          <w:rtl/>
        </w:rPr>
        <w:t>"قده"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جريان</w:t>
      </w:r>
      <w:r w:rsidR="00E8128F">
        <w:rPr>
          <w:sz w:val="36"/>
          <w:szCs w:val="36"/>
          <w:rtl/>
        </w:rPr>
        <w:t xml:space="preserve"> </w:t>
      </w:r>
      <w:r w:rsidRPr="00FD211F">
        <w:rPr>
          <w:sz w:val="36"/>
          <w:szCs w:val="36"/>
          <w:rtl/>
        </w:rPr>
        <w:t>النزاع</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ذاتي</w:t>
      </w:r>
      <w:r w:rsidR="00E8128F">
        <w:rPr>
          <w:sz w:val="36"/>
          <w:szCs w:val="36"/>
          <w:rtl/>
        </w:rPr>
        <w:t xml:space="preserve"> </w:t>
      </w:r>
      <w:r w:rsidRPr="00FD211F">
        <w:rPr>
          <w:sz w:val="36"/>
          <w:szCs w:val="36"/>
          <w:rtl/>
        </w:rPr>
        <w:t>باب</w:t>
      </w:r>
      <w:r w:rsidR="00E8128F">
        <w:rPr>
          <w:sz w:val="36"/>
          <w:szCs w:val="36"/>
          <w:rtl/>
        </w:rPr>
        <w:t xml:space="preserve"> </w:t>
      </w:r>
      <w:r w:rsidRPr="00FD211F">
        <w:rPr>
          <w:sz w:val="36"/>
          <w:szCs w:val="36"/>
          <w:rtl/>
        </w:rPr>
        <w:t>البرهان</w:t>
      </w:r>
      <w:r w:rsidR="00E8128F">
        <w:rPr>
          <w:sz w:val="36"/>
          <w:szCs w:val="36"/>
          <w:rtl/>
        </w:rPr>
        <w:t xml:space="preserve"> </w:t>
      </w:r>
      <w:r w:rsidRPr="00FD211F">
        <w:rPr>
          <w:sz w:val="36"/>
          <w:szCs w:val="36"/>
          <w:rtl/>
        </w:rPr>
        <w:t>كالممكن</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يستحيل</w:t>
      </w:r>
      <w:r w:rsidR="00E8128F">
        <w:rPr>
          <w:sz w:val="36"/>
          <w:szCs w:val="36"/>
          <w:rtl/>
        </w:rPr>
        <w:t xml:space="preserve"> </w:t>
      </w:r>
      <w:r w:rsidRPr="00FD211F">
        <w:rPr>
          <w:sz w:val="36"/>
          <w:szCs w:val="36"/>
          <w:rtl/>
        </w:rPr>
        <w:t>انفكاك</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w:t>
      </w:r>
      <w:r w:rsidR="0079493B" w:rsidRPr="00FD211F">
        <w:rPr>
          <w:sz w:val="36"/>
          <w:szCs w:val="36"/>
          <w:rtl/>
        </w:rPr>
        <w:t>مبدأ</w:t>
      </w:r>
      <w:r w:rsidRPr="00FD211F">
        <w:rPr>
          <w:sz w:val="36"/>
          <w:szCs w:val="36"/>
          <w:rtl/>
        </w:rPr>
        <w:t>-</w:t>
      </w:r>
      <w:r w:rsidR="00E8128F">
        <w:rPr>
          <w:sz w:val="36"/>
          <w:szCs w:val="36"/>
          <w:rtl/>
        </w:rPr>
        <w:t xml:space="preserve"> </w:t>
      </w:r>
      <w:r w:rsidRPr="00FD211F">
        <w:rPr>
          <w:sz w:val="36"/>
          <w:szCs w:val="36"/>
          <w:rtl/>
        </w:rPr>
        <w:t>بما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استحال</w:t>
      </w:r>
      <w:r w:rsidR="00EC7EDF" w:rsidRPr="00FD211F">
        <w:rPr>
          <w:sz w:val="36"/>
          <w:szCs w:val="36"/>
          <w:rtl/>
        </w:rPr>
        <w:t>ة</w:t>
      </w:r>
      <w:r w:rsidR="00E8128F">
        <w:rPr>
          <w:sz w:val="36"/>
          <w:szCs w:val="36"/>
          <w:rtl/>
        </w:rPr>
        <w:t xml:space="preserve"> </w:t>
      </w:r>
      <w:r w:rsidRPr="00FD211F">
        <w:rPr>
          <w:sz w:val="36"/>
          <w:szCs w:val="36"/>
          <w:rtl/>
        </w:rPr>
        <w:t>انفكاك</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ذاتي</w:t>
      </w:r>
      <w:r w:rsidR="00E8128F">
        <w:rPr>
          <w:sz w:val="36"/>
          <w:szCs w:val="36"/>
          <w:rtl/>
        </w:rPr>
        <w:t xml:space="preserve"> </w:t>
      </w:r>
      <w:r w:rsidRPr="00FD211F">
        <w:rPr>
          <w:sz w:val="36"/>
          <w:szCs w:val="36"/>
          <w:rtl/>
        </w:rPr>
        <w:t>باب</w:t>
      </w:r>
      <w:r w:rsidR="00E8128F">
        <w:rPr>
          <w:sz w:val="36"/>
          <w:szCs w:val="36"/>
          <w:rtl/>
        </w:rPr>
        <w:t xml:space="preserve"> </w:t>
      </w:r>
      <w:r w:rsidRPr="00FD211F">
        <w:rPr>
          <w:sz w:val="36"/>
          <w:szCs w:val="36"/>
          <w:rtl/>
        </w:rPr>
        <w:t>الكليات</w:t>
      </w:r>
      <w:r w:rsidR="00E8128F">
        <w:rPr>
          <w:sz w:val="36"/>
          <w:szCs w:val="36"/>
          <w:rtl/>
        </w:rPr>
        <w:t xml:space="preserve"> </w:t>
      </w:r>
      <w:r w:rsidRPr="00FD211F">
        <w:rPr>
          <w:sz w:val="36"/>
          <w:szCs w:val="36"/>
          <w:rtl/>
        </w:rPr>
        <w:t>الخمس</w:t>
      </w:r>
      <w:r w:rsidR="00E8128F">
        <w:rPr>
          <w:sz w:val="36"/>
          <w:szCs w:val="36"/>
          <w:rtl/>
        </w:rPr>
        <w:t xml:space="preserve"> </w:t>
      </w:r>
      <w:r w:rsidRPr="00FD211F">
        <w:rPr>
          <w:sz w:val="36"/>
          <w:szCs w:val="36"/>
          <w:rtl/>
        </w:rPr>
        <w:t>استحال</w:t>
      </w:r>
      <w:r w:rsidR="00EC7EDF" w:rsidRPr="00FD211F">
        <w:rPr>
          <w:sz w:val="36"/>
          <w:szCs w:val="36"/>
          <w:rtl/>
        </w:rPr>
        <w:t>ة</w:t>
      </w:r>
      <w:r w:rsidR="00E8128F">
        <w:rPr>
          <w:sz w:val="36"/>
          <w:szCs w:val="36"/>
          <w:rtl/>
        </w:rPr>
        <w:t xml:space="preserve"> </w:t>
      </w:r>
      <w:r w:rsidRPr="00FD211F">
        <w:rPr>
          <w:sz w:val="36"/>
          <w:szCs w:val="36"/>
          <w:rtl/>
        </w:rPr>
        <w:t>منطقي</w:t>
      </w:r>
      <w:r w:rsidR="00EC7EDF" w:rsidRPr="00FD211F">
        <w:rPr>
          <w:sz w:val="36"/>
          <w:szCs w:val="36"/>
          <w:rtl/>
        </w:rPr>
        <w:t>ة</w:t>
      </w:r>
      <w:r w:rsidR="00E8128F">
        <w:rPr>
          <w:sz w:val="36"/>
          <w:szCs w:val="36"/>
          <w:rtl/>
        </w:rPr>
        <w:t xml:space="preserve"> </w:t>
      </w:r>
      <w:r w:rsidRPr="00FD211F">
        <w:rPr>
          <w:sz w:val="36"/>
          <w:szCs w:val="36"/>
          <w:rtl/>
        </w:rPr>
        <w:t>واستحال</w:t>
      </w:r>
      <w:r w:rsidR="00EC7EDF" w:rsidRPr="00FD211F">
        <w:rPr>
          <w:sz w:val="36"/>
          <w:szCs w:val="36"/>
          <w:rtl/>
        </w:rPr>
        <w:t>ة</w:t>
      </w:r>
      <w:r w:rsidR="00E8128F">
        <w:rPr>
          <w:sz w:val="36"/>
          <w:szCs w:val="36"/>
          <w:rtl/>
        </w:rPr>
        <w:t xml:space="preserve"> </w:t>
      </w:r>
      <w:r w:rsidRPr="00FD211F">
        <w:rPr>
          <w:sz w:val="36"/>
          <w:szCs w:val="36"/>
          <w:rtl/>
        </w:rPr>
        <w:t>انفكاك</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ذاتي</w:t>
      </w:r>
      <w:r w:rsidR="00E8128F">
        <w:rPr>
          <w:sz w:val="36"/>
          <w:szCs w:val="36"/>
          <w:rtl/>
        </w:rPr>
        <w:t xml:space="preserve"> </w:t>
      </w:r>
      <w:r w:rsidRPr="00FD211F">
        <w:rPr>
          <w:sz w:val="36"/>
          <w:szCs w:val="36"/>
          <w:rtl/>
        </w:rPr>
        <w:t>باب</w:t>
      </w:r>
      <w:r w:rsidR="00E8128F">
        <w:rPr>
          <w:sz w:val="36"/>
          <w:szCs w:val="36"/>
          <w:rtl/>
        </w:rPr>
        <w:t xml:space="preserve"> </w:t>
      </w:r>
      <w:r w:rsidRPr="00FD211F">
        <w:rPr>
          <w:sz w:val="36"/>
          <w:szCs w:val="36"/>
          <w:rtl/>
        </w:rPr>
        <w:t>البرهان</w:t>
      </w:r>
      <w:r w:rsidR="00E8128F">
        <w:rPr>
          <w:sz w:val="36"/>
          <w:szCs w:val="36"/>
          <w:rtl/>
        </w:rPr>
        <w:t xml:space="preserve"> </w:t>
      </w:r>
      <w:r w:rsidRPr="00FD211F">
        <w:rPr>
          <w:sz w:val="36"/>
          <w:szCs w:val="36"/>
          <w:rtl/>
        </w:rPr>
        <w:t>استحال</w:t>
      </w:r>
      <w:r w:rsidR="00EC7EDF" w:rsidRPr="00FD211F">
        <w:rPr>
          <w:sz w:val="36"/>
          <w:szCs w:val="36"/>
          <w:rtl/>
        </w:rPr>
        <w:t>ة</w:t>
      </w:r>
      <w:r w:rsidR="00E8128F">
        <w:rPr>
          <w:sz w:val="36"/>
          <w:szCs w:val="36"/>
          <w:rtl/>
        </w:rPr>
        <w:t xml:space="preserve"> </w:t>
      </w:r>
      <w:r w:rsidRPr="00FD211F">
        <w:rPr>
          <w:sz w:val="36"/>
          <w:szCs w:val="36"/>
          <w:rtl/>
        </w:rPr>
        <w:t>عقلي</w:t>
      </w:r>
      <w:r w:rsidR="00EC7EDF" w:rsidRPr="00FD211F">
        <w:rPr>
          <w:sz w:val="36"/>
          <w:szCs w:val="36"/>
          <w:rtl/>
        </w:rPr>
        <w:t>ة</w:t>
      </w:r>
      <w:r w:rsidR="00E8128F">
        <w:rPr>
          <w:sz w:val="36"/>
          <w:szCs w:val="36"/>
          <w:rtl/>
        </w:rPr>
        <w:t xml:space="preserve"> </w:t>
      </w:r>
      <w:r w:rsidRPr="00FD211F">
        <w:rPr>
          <w:sz w:val="36"/>
          <w:szCs w:val="36"/>
          <w:rtl/>
        </w:rPr>
        <w:t>ف</w:t>
      </w:r>
      <w:r w:rsidR="008F6D2B" w:rsidRPr="00FD211F">
        <w:rPr>
          <w:sz w:val="36"/>
          <w:szCs w:val="36"/>
          <w:rtl/>
        </w:rPr>
        <w:t>عند</w:t>
      </w:r>
      <w:r w:rsidR="00E8128F">
        <w:rPr>
          <w:sz w:val="36"/>
          <w:szCs w:val="36"/>
          <w:rtl/>
        </w:rPr>
        <w:t xml:space="preserve"> </w:t>
      </w:r>
      <w:r w:rsidR="008F6D2B" w:rsidRPr="00FD211F">
        <w:rPr>
          <w:sz w:val="36"/>
          <w:szCs w:val="36"/>
          <w:rtl/>
        </w:rPr>
        <w:t>ما</w:t>
      </w:r>
      <w:r w:rsidR="00E8128F">
        <w:rPr>
          <w:sz w:val="36"/>
          <w:szCs w:val="36"/>
          <w:rtl/>
        </w:rPr>
        <w:t xml:space="preserve"> </w:t>
      </w:r>
      <w:r w:rsidR="008F6D2B" w:rsidRPr="00FD211F">
        <w:rPr>
          <w:sz w:val="36"/>
          <w:szCs w:val="36"/>
          <w:rtl/>
        </w:rPr>
        <w:t>يقا</w:t>
      </w:r>
      <w:r w:rsidR="00214C82" w:rsidRPr="00FD211F">
        <w:rPr>
          <w:sz w:val="36"/>
          <w:szCs w:val="36"/>
          <w:rtl/>
        </w:rPr>
        <w:t>ل</w:t>
      </w:r>
      <w:r w:rsidR="00E8128F">
        <w:rPr>
          <w:sz w:val="36"/>
          <w:szCs w:val="36"/>
          <w:rtl/>
        </w:rPr>
        <w:t xml:space="preserve"> </w:t>
      </w:r>
      <w:r w:rsidR="008F6D2B" w:rsidRPr="00FD211F">
        <w:rPr>
          <w:sz w:val="36"/>
          <w:szCs w:val="36"/>
          <w:rtl/>
        </w:rPr>
        <w:t>"</w:t>
      </w:r>
      <w:r w:rsidR="00214C82" w:rsidRPr="00FD211F">
        <w:rPr>
          <w:sz w:val="36"/>
          <w:szCs w:val="36"/>
          <w:rtl/>
        </w:rPr>
        <w:t>الانسان</w:t>
      </w:r>
      <w:r w:rsidR="00E8128F">
        <w:rPr>
          <w:sz w:val="36"/>
          <w:szCs w:val="36"/>
          <w:rtl/>
        </w:rPr>
        <w:t xml:space="preserve"> </w:t>
      </w:r>
      <w:r w:rsidR="00214C82" w:rsidRPr="00FD211F">
        <w:rPr>
          <w:sz w:val="36"/>
          <w:szCs w:val="36"/>
          <w:rtl/>
        </w:rPr>
        <w:t>ليس</w:t>
      </w:r>
      <w:r w:rsidR="00E8128F">
        <w:rPr>
          <w:sz w:val="36"/>
          <w:szCs w:val="36"/>
          <w:rtl/>
        </w:rPr>
        <w:t xml:space="preserve"> </w:t>
      </w:r>
      <w:r w:rsidR="00214C82" w:rsidRPr="00FD211F">
        <w:rPr>
          <w:sz w:val="36"/>
          <w:szCs w:val="36"/>
          <w:rtl/>
        </w:rPr>
        <w:t>بحيوان</w:t>
      </w:r>
      <w:r w:rsidR="008F6D2B" w:rsidRPr="00FD211F">
        <w:rPr>
          <w:sz w:val="36"/>
          <w:szCs w:val="36"/>
          <w:rtl/>
        </w:rPr>
        <w:t>"</w:t>
      </w:r>
      <w:r w:rsidR="00E8128F">
        <w:rPr>
          <w:sz w:val="36"/>
          <w:szCs w:val="36"/>
          <w:rtl/>
        </w:rPr>
        <w:t xml:space="preserve"> </w:t>
      </w:r>
      <w:r w:rsidR="00214C82" w:rsidRPr="00FD211F">
        <w:rPr>
          <w:sz w:val="36"/>
          <w:szCs w:val="36"/>
          <w:rtl/>
        </w:rPr>
        <w:t>فهذا</w:t>
      </w:r>
      <w:r w:rsidR="00E8128F">
        <w:rPr>
          <w:sz w:val="36"/>
          <w:szCs w:val="36"/>
          <w:rtl/>
        </w:rPr>
        <w:t xml:space="preserve"> </w:t>
      </w:r>
      <w:r w:rsidR="00214C82" w:rsidRPr="00FD211F">
        <w:rPr>
          <w:sz w:val="36"/>
          <w:szCs w:val="36"/>
          <w:rtl/>
        </w:rPr>
        <w:t>فرض</w:t>
      </w:r>
      <w:r w:rsidR="00E8128F">
        <w:rPr>
          <w:sz w:val="36"/>
          <w:szCs w:val="36"/>
          <w:rtl/>
        </w:rPr>
        <w:t xml:space="preserve"> </w:t>
      </w:r>
      <w:r w:rsidR="00214C82" w:rsidRPr="00FD211F">
        <w:rPr>
          <w:sz w:val="36"/>
          <w:szCs w:val="36"/>
          <w:rtl/>
        </w:rPr>
        <w:t>مستحيل</w:t>
      </w:r>
      <w:r w:rsidR="00E8128F">
        <w:rPr>
          <w:sz w:val="36"/>
          <w:szCs w:val="36"/>
          <w:rtl/>
        </w:rPr>
        <w:t xml:space="preserve"> </w:t>
      </w:r>
      <w:r w:rsidR="00214C82" w:rsidRPr="00FD211F">
        <w:rPr>
          <w:sz w:val="36"/>
          <w:szCs w:val="36"/>
          <w:rtl/>
        </w:rPr>
        <w:t>منطقي</w:t>
      </w:r>
      <w:r w:rsidR="00E8128F">
        <w:rPr>
          <w:sz w:val="36"/>
          <w:szCs w:val="36"/>
          <w:rtl/>
        </w:rPr>
        <w:t xml:space="preserve"> </w:t>
      </w:r>
      <w:r w:rsidR="00214C82" w:rsidRPr="00FD211F">
        <w:rPr>
          <w:sz w:val="36"/>
          <w:szCs w:val="36"/>
          <w:rtl/>
        </w:rPr>
        <w:t>اي</w:t>
      </w:r>
      <w:r w:rsidR="00E8128F">
        <w:rPr>
          <w:sz w:val="36"/>
          <w:szCs w:val="36"/>
          <w:rtl/>
        </w:rPr>
        <w:t xml:space="preserve"> </w:t>
      </w:r>
      <w:r w:rsidR="00214C82" w:rsidRPr="00FD211F">
        <w:rPr>
          <w:sz w:val="36"/>
          <w:szCs w:val="36"/>
          <w:rtl/>
        </w:rPr>
        <w:t>فرض</w:t>
      </w:r>
      <w:r w:rsidR="00E8128F">
        <w:rPr>
          <w:sz w:val="36"/>
          <w:szCs w:val="36"/>
          <w:rtl/>
        </w:rPr>
        <w:t xml:space="preserve"> </w:t>
      </w:r>
      <w:r w:rsidR="00214C82" w:rsidRPr="00FD211F">
        <w:rPr>
          <w:sz w:val="36"/>
          <w:szCs w:val="36"/>
          <w:rtl/>
        </w:rPr>
        <w:t>متناقض</w:t>
      </w:r>
      <w:r w:rsidR="00E8128F">
        <w:rPr>
          <w:sz w:val="36"/>
          <w:szCs w:val="36"/>
          <w:rtl/>
        </w:rPr>
        <w:t xml:space="preserve"> </w:t>
      </w:r>
      <w:r w:rsidR="00214C82" w:rsidRPr="00FD211F">
        <w:rPr>
          <w:sz w:val="36"/>
          <w:szCs w:val="36"/>
          <w:rtl/>
        </w:rPr>
        <w:t>في</w:t>
      </w:r>
      <w:r w:rsidR="00E8128F">
        <w:rPr>
          <w:sz w:val="36"/>
          <w:szCs w:val="36"/>
          <w:rtl/>
        </w:rPr>
        <w:t xml:space="preserve"> </w:t>
      </w:r>
      <w:r w:rsidR="00214C82" w:rsidRPr="00FD211F">
        <w:rPr>
          <w:sz w:val="36"/>
          <w:szCs w:val="36"/>
          <w:rtl/>
        </w:rPr>
        <w:t>نفس</w:t>
      </w:r>
      <w:r w:rsidR="00E8128F">
        <w:rPr>
          <w:sz w:val="36"/>
          <w:szCs w:val="36"/>
          <w:rtl/>
        </w:rPr>
        <w:t xml:space="preserve"> </w:t>
      </w:r>
      <w:r w:rsidR="00214C82" w:rsidRPr="00FD211F">
        <w:rPr>
          <w:sz w:val="36"/>
          <w:szCs w:val="36"/>
          <w:rtl/>
        </w:rPr>
        <w:t>القضي</w:t>
      </w:r>
      <w:r w:rsidR="00EC7EDF" w:rsidRPr="00FD211F">
        <w:rPr>
          <w:sz w:val="36"/>
          <w:szCs w:val="36"/>
          <w:rtl/>
        </w:rPr>
        <w:t>ة</w:t>
      </w:r>
      <w:r w:rsidR="00E8128F">
        <w:rPr>
          <w:sz w:val="36"/>
          <w:szCs w:val="36"/>
          <w:rtl/>
        </w:rPr>
        <w:t xml:space="preserve"> </w:t>
      </w:r>
      <w:r w:rsidR="00214C82" w:rsidRPr="00FD211F">
        <w:rPr>
          <w:sz w:val="36"/>
          <w:szCs w:val="36"/>
          <w:rtl/>
        </w:rPr>
        <w:t>حيث</w:t>
      </w:r>
      <w:r w:rsidR="00E8128F">
        <w:rPr>
          <w:sz w:val="36"/>
          <w:szCs w:val="36"/>
          <w:rtl/>
        </w:rPr>
        <w:t xml:space="preserve"> </w:t>
      </w:r>
      <w:r w:rsidR="00214C82" w:rsidRPr="00FD211F">
        <w:rPr>
          <w:sz w:val="36"/>
          <w:szCs w:val="36"/>
          <w:rtl/>
        </w:rPr>
        <w:t>ان</w:t>
      </w:r>
      <w:r w:rsidR="00E8128F">
        <w:rPr>
          <w:sz w:val="36"/>
          <w:szCs w:val="36"/>
          <w:rtl/>
        </w:rPr>
        <w:t xml:space="preserve"> </w:t>
      </w:r>
      <w:r w:rsidR="00214C82" w:rsidRPr="00FD211F">
        <w:rPr>
          <w:sz w:val="36"/>
          <w:szCs w:val="36"/>
          <w:rtl/>
        </w:rPr>
        <w:t>مفهوم</w:t>
      </w:r>
      <w:r w:rsidR="00E8128F">
        <w:rPr>
          <w:sz w:val="36"/>
          <w:szCs w:val="36"/>
          <w:rtl/>
        </w:rPr>
        <w:t xml:space="preserve"> </w:t>
      </w:r>
      <w:r w:rsidR="00214C82" w:rsidRPr="00FD211F">
        <w:rPr>
          <w:sz w:val="36"/>
          <w:szCs w:val="36"/>
          <w:rtl/>
        </w:rPr>
        <w:t>الانسان</w:t>
      </w:r>
      <w:r w:rsidR="00E8128F">
        <w:rPr>
          <w:sz w:val="36"/>
          <w:szCs w:val="36"/>
          <w:rtl/>
        </w:rPr>
        <w:t xml:space="preserve"> </w:t>
      </w:r>
      <w:r w:rsidR="00214C82" w:rsidRPr="00FD211F">
        <w:rPr>
          <w:sz w:val="36"/>
          <w:szCs w:val="36"/>
          <w:rtl/>
        </w:rPr>
        <w:t>مشتمل</w:t>
      </w:r>
      <w:r w:rsidR="00E8128F">
        <w:rPr>
          <w:sz w:val="36"/>
          <w:szCs w:val="36"/>
          <w:rtl/>
        </w:rPr>
        <w:t xml:space="preserve"> </w:t>
      </w:r>
      <w:r w:rsidR="00214C82" w:rsidRPr="00FD211F">
        <w:rPr>
          <w:sz w:val="36"/>
          <w:szCs w:val="36"/>
          <w:rtl/>
        </w:rPr>
        <w:t>على</w:t>
      </w:r>
      <w:r w:rsidR="00E8128F">
        <w:rPr>
          <w:sz w:val="36"/>
          <w:szCs w:val="36"/>
          <w:rtl/>
        </w:rPr>
        <w:t xml:space="preserve"> </w:t>
      </w:r>
      <w:r w:rsidR="00214C82" w:rsidRPr="00FD211F">
        <w:rPr>
          <w:sz w:val="36"/>
          <w:szCs w:val="36"/>
          <w:rtl/>
        </w:rPr>
        <w:t>الحيوان</w:t>
      </w:r>
      <w:r w:rsidR="00603323" w:rsidRPr="00FD211F">
        <w:rPr>
          <w:sz w:val="36"/>
          <w:szCs w:val="36"/>
          <w:rtl/>
        </w:rPr>
        <w:t>،</w:t>
      </w:r>
      <w:r w:rsidR="00E8128F">
        <w:rPr>
          <w:sz w:val="36"/>
          <w:szCs w:val="36"/>
          <w:rtl/>
        </w:rPr>
        <w:t xml:space="preserve"> </w:t>
      </w:r>
      <w:r w:rsidR="008F6D2B" w:rsidRPr="00FD211F">
        <w:rPr>
          <w:sz w:val="36"/>
          <w:szCs w:val="36"/>
          <w:rtl/>
        </w:rPr>
        <w:t>فقول"</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بحيوان</w:t>
      </w:r>
      <w:r w:rsidR="008F6D2B" w:rsidRPr="00FD211F">
        <w:rPr>
          <w:sz w:val="36"/>
          <w:szCs w:val="36"/>
          <w:rtl/>
        </w:rPr>
        <w:t>"</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نظير</w:t>
      </w:r>
      <w:r w:rsidR="00E8128F">
        <w:rPr>
          <w:rFonts w:hint="cs"/>
          <w:sz w:val="36"/>
          <w:szCs w:val="36"/>
          <w:rtl/>
        </w:rPr>
        <w:t xml:space="preserve"> </w:t>
      </w:r>
      <w:r w:rsidR="008F6D2B" w:rsidRPr="00FD211F">
        <w:rPr>
          <w:sz w:val="36"/>
          <w:szCs w:val="36"/>
          <w:rtl/>
        </w:rPr>
        <w:t>القول</w:t>
      </w:r>
      <w:r w:rsidR="00E8128F">
        <w:rPr>
          <w:sz w:val="36"/>
          <w:szCs w:val="36"/>
          <w:rtl/>
        </w:rPr>
        <w:t xml:space="preserve"> </w:t>
      </w:r>
      <w:r w:rsidR="008F6D2B" w:rsidRPr="00FD211F">
        <w:rPr>
          <w:sz w:val="36"/>
          <w:szCs w:val="36"/>
          <w:rtl/>
        </w:rPr>
        <w:t>بان</w:t>
      </w:r>
      <w:r w:rsidR="00E8128F">
        <w:rPr>
          <w:sz w:val="36"/>
          <w:szCs w:val="36"/>
          <w:rtl/>
        </w:rPr>
        <w:t xml:space="preserve"> </w:t>
      </w:r>
      <w:r w:rsidRPr="00FD211F">
        <w:rPr>
          <w:sz w:val="36"/>
          <w:szCs w:val="36"/>
          <w:rtl/>
        </w:rPr>
        <w:t>البياض</w:t>
      </w:r>
      <w:r w:rsidR="00E8128F">
        <w:rPr>
          <w:sz w:val="36"/>
          <w:szCs w:val="36"/>
          <w:rtl/>
        </w:rPr>
        <w:t xml:space="preserve"> </w:t>
      </w:r>
      <w:r w:rsidRPr="00FD211F">
        <w:rPr>
          <w:sz w:val="36"/>
          <w:szCs w:val="36"/>
          <w:rtl/>
        </w:rPr>
        <w:t>الذ</w:t>
      </w:r>
      <w:r w:rsidR="008F6D2B" w:rsidRPr="00FD211F">
        <w:rPr>
          <w:sz w:val="36"/>
          <w:szCs w:val="36"/>
          <w:rtl/>
        </w:rPr>
        <w:t>ي</w:t>
      </w:r>
      <w:r w:rsidR="00E8128F">
        <w:rPr>
          <w:sz w:val="36"/>
          <w:szCs w:val="36"/>
          <w:rtl/>
        </w:rPr>
        <w:t xml:space="preserve"> </w:t>
      </w:r>
      <w:r w:rsidR="008F6D2B" w:rsidRPr="00FD211F">
        <w:rPr>
          <w:sz w:val="36"/>
          <w:szCs w:val="36"/>
          <w:rtl/>
        </w:rPr>
        <w:t>ليس</w:t>
      </w:r>
      <w:r w:rsidR="00E8128F">
        <w:rPr>
          <w:sz w:val="36"/>
          <w:szCs w:val="36"/>
          <w:rtl/>
        </w:rPr>
        <w:t xml:space="preserve"> </w:t>
      </w:r>
      <w:r w:rsidR="008F6D2B" w:rsidRPr="00FD211F">
        <w:rPr>
          <w:sz w:val="36"/>
          <w:szCs w:val="36"/>
          <w:rtl/>
        </w:rPr>
        <w:t>ببياض</w:t>
      </w:r>
      <w:r w:rsidR="00603323" w:rsidRPr="00FD211F">
        <w:rPr>
          <w:sz w:val="36"/>
          <w:szCs w:val="36"/>
          <w:rtl/>
        </w:rPr>
        <w:t>،</w:t>
      </w:r>
      <w:r w:rsidR="00E8128F">
        <w:rPr>
          <w:sz w:val="36"/>
          <w:szCs w:val="36"/>
          <w:rtl/>
        </w:rPr>
        <w:t xml:space="preserve"> </w:t>
      </w:r>
      <w:r w:rsidR="008F6D2B" w:rsidRPr="00FD211F">
        <w:rPr>
          <w:sz w:val="36"/>
          <w:szCs w:val="36"/>
          <w:rtl/>
        </w:rPr>
        <w:t>وهذا</w:t>
      </w:r>
      <w:r w:rsidR="00E8128F">
        <w:rPr>
          <w:sz w:val="36"/>
          <w:szCs w:val="36"/>
          <w:rtl/>
        </w:rPr>
        <w:t xml:space="preserve"> </w:t>
      </w:r>
      <w:r w:rsidR="008F6D2B" w:rsidRPr="00FD211F">
        <w:rPr>
          <w:sz w:val="36"/>
          <w:szCs w:val="36"/>
          <w:rtl/>
        </w:rPr>
        <w:t>بخلاف</w:t>
      </w:r>
      <w:r w:rsidR="00E8128F">
        <w:rPr>
          <w:sz w:val="36"/>
          <w:szCs w:val="36"/>
          <w:rtl/>
        </w:rPr>
        <w:t xml:space="preserve"> </w:t>
      </w:r>
      <w:r w:rsidR="008F6D2B" w:rsidRPr="00FD211F">
        <w:rPr>
          <w:sz w:val="36"/>
          <w:szCs w:val="36"/>
          <w:rtl/>
        </w:rPr>
        <w:t>ان</w:t>
      </w:r>
      <w:r w:rsidR="00E8128F">
        <w:rPr>
          <w:sz w:val="36"/>
          <w:szCs w:val="36"/>
          <w:rtl/>
        </w:rPr>
        <w:t xml:space="preserve"> </w:t>
      </w:r>
      <w:r w:rsidR="008F6D2B" w:rsidRPr="00FD211F">
        <w:rPr>
          <w:sz w:val="36"/>
          <w:szCs w:val="36"/>
          <w:rtl/>
        </w:rPr>
        <w:t>يقال</w:t>
      </w:r>
      <w:r w:rsidR="00E8128F">
        <w:rPr>
          <w:rFonts w:hint="cs"/>
          <w:sz w:val="36"/>
          <w:szCs w:val="36"/>
          <w:rtl/>
        </w:rPr>
        <w:t xml:space="preserve"> </w:t>
      </w:r>
      <w:r w:rsidR="008F6D2B" w:rsidRPr="00FD211F">
        <w:rPr>
          <w:sz w:val="36"/>
          <w:szCs w:val="36"/>
          <w:rtl/>
        </w:rPr>
        <w:t>"</w:t>
      </w:r>
      <w:r w:rsidR="00214C82" w:rsidRPr="00FD211F">
        <w:rPr>
          <w:sz w:val="36"/>
          <w:szCs w:val="36"/>
          <w:rtl/>
        </w:rPr>
        <w:t>الانسان</w:t>
      </w:r>
      <w:r w:rsidR="00E8128F">
        <w:rPr>
          <w:sz w:val="36"/>
          <w:szCs w:val="36"/>
          <w:rtl/>
        </w:rPr>
        <w:t xml:space="preserve"> </w:t>
      </w:r>
      <w:r w:rsidR="00214C82" w:rsidRPr="00FD211F">
        <w:rPr>
          <w:sz w:val="36"/>
          <w:szCs w:val="36"/>
          <w:rtl/>
        </w:rPr>
        <w:t>ليس</w:t>
      </w:r>
      <w:r w:rsidR="00E8128F">
        <w:rPr>
          <w:sz w:val="36"/>
          <w:szCs w:val="36"/>
          <w:rtl/>
        </w:rPr>
        <w:t xml:space="preserve"> </w:t>
      </w:r>
      <w:r w:rsidR="00214C82" w:rsidRPr="00FD211F">
        <w:rPr>
          <w:sz w:val="36"/>
          <w:szCs w:val="36"/>
          <w:rtl/>
        </w:rPr>
        <w:t>بممكن</w:t>
      </w:r>
      <w:r w:rsidR="008F6D2B" w:rsidRPr="00FD211F">
        <w:rPr>
          <w:sz w:val="36"/>
          <w:szCs w:val="36"/>
          <w:rtl/>
        </w:rPr>
        <w:t>"</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مجرد</w:t>
      </w:r>
      <w:r w:rsidR="00E8128F">
        <w:rPr>
          <w:sz w:val="36"/>
          <w:szCs w:val="36"/>
          <w:rtl/>
        </w:rPr>
        <w:t xml:space="preserve"> </w:t>
      </w:r>
      <w:r w:rsidR="00642F18" w:rsidRPr="00FD211F">
        <w:rPr>
          <w:sz w:val="36"/>
          <w:szCs w:val="36"/>
          <w:rtl/>
        </w:rPr>
        <w:t>فرض</w:t>
      </w:r>
      <w:r w:rsidR="00E8128F">
        <w:rPr>
          <w:sz w:val="36"/>
          <w:szCs w:val="36"/>
          <w:rtl/>
        </w:rPr>
        <w:t xml:space="preserve"> </w:t>
      </w:r>
      <w:r w:rsidR="00642F18" w:rsidRPr="00FD211F">
        <w:rPr>
          <w:sz w:val="36"/>
          <w:szCs w:val="36"/>
          <w:rtl/>
        </w:rPr>
        <w:t>مستحيل</w:t>
      </w:r>
      <w:r w:rsidR="00E8128F">
        <w:rPr>
          <w:sz w:val="36"/>
          <w:szCs w:val="36"/>
          <w:rtl/>
        </w:rPr>
        <w:t xml:space="preserve"> </w:t>
      </w:r>
      <w:r w:rsidR="00642F18" w:rsidRPr="00FD211F">
        <w:rPr>
          <w:sz w:val="36"/>
          <w:szCs w:val="36"/>
          <w:rtl/>
        </w:rPr>
        <w:t>عقلي</w:t>
      </w:r>
      <w:r w:rsidR="00603323" w:rsidRPr="00FD211F">
        <w:rPr>
          <w:sz w:val="36"/>
          <w:szCs w:val="36"/>
          <w:rtl/>
        </w:rPr>
        <w:t>،</w:t>
      </w:r>
      <w:r w:rsidR="00E8128F">
        <w:rPr>
          <w:sz w:val="36"/>
          <w:szCs w:val="36"/>
          <w:rtl/>
        </w:rPr>
        <w:t xml:space="preserve"> </w:t>
      </w:r>
      <w:r w:rsidR="009F4677" w:rsidRPr="00FD211F">
        <w:rPr>
          <w:sz w:val="36"/>
          <w:szCs w:val="36"/>
          <w:rtl/>
        </w:rPr>
        <w:t>فلامانع</w:t>
      </w:r>
      <w:r w:rsidR="00E8128F">
        <w:rPr>
          <w:sz w:val="36"/>
          <w:szCs w:val="36"/>
          <w:rtl/>
        </w:rPr>
        <w:t xml:space="preserve"> </w:t>
      </w:r>
      <w:r w:rsidR="009F4677" w:rsidRPr="00FD211F">
        <w:rPr>
          <w:sz w:val="36"/>
          <w:szCs w:val="36"/>
          <w:rtl/>
        </w:rPr>
        <w:t>من</w:t>
      </w:r>
      <w:r w:rsidR="00E8128F">
        <w:rPr>
          <w:sz w:val="36"/>
          <w:szCs w:val="36"/>
          <w:rtl/>
        </w:rPr>
        <w:t xml:space="preserve"> </w:t>
      </w:r>
      <w:r w:rsidR="009F4677" w:rsidRPr="00FD211F">
        <w:rPr>
          <w:sz w:val="36"/>
          <w:szCs w:val="36"/>
          <w:rtl/>
        </w:rPr>
        <w:t>وضع</w:t>
      </w:r>
      <w:r w:rsidR="00E8128F">
        <w:rPr>
          <w:sz w:val="36"/>
          <w:szCs w:val="36"/>
          <w:rtl/>
        </w:rPr>
        <w:t xml:space="preserve"> </w:t>
      </w:r>
      <w:r w:rsidR="009F4677" w:rsidRPr="00FD211F">
        <w:rPr>
          <w:sz w:val="36"/>
          <w:szCs w:val="36"/>
          <w:rtl/>
        </w:rPr>
        <w:t>ذاتي</w:t>
      </w:r>
      <w:r w:rsidR="00E8128F">
        <w:rPr>
          <w:sz w:val="36"/>
          <w:szCs w:val="36"/>
          <w:rtl/>
        </w:rPr>
        <w:t xml:space="preserve"> </w:t>
      </w:r>
      <w:r w:rsidR="009F4677" w:rsidRPr="00FD211F">
        <w:rPr>
          <w:sz w:val="36"/>
          <w:szCs w:val="36"/>
          <w:rtl/>
        </w:rPr>
        <w:t>باب</w:t>
      </w:r>
      <w:r w:rsidR="00E8128F">
        <w:rPr>
          <w:sz w:val="36"/>
          <w:szCs w:val="36"/>
          <w:rtl/>
        </w:rPr>
        <w:t xml:space="preserve"> </w:t>
      </w:r>
      <w:r w:rsidR="009F4677" w:rsidRPr="00FD211F">
        <w:rPr>
          <w:sz w:val="36"/>
          <w:szCs w:val="36"/>
          <w:rtl/>
        </w:rPr>
        <w:t>البرهان</w:t>
      </w:r>
      <w:r w:rsidR="00E8128F">
        <w:rPr>
          <w:sz w:val="36"/>
          <w:szCs w:val="36"/>
          <w:rtl/>
        </w:rPr>
        <w:t xml:space="preserve"> </w:t>
      </w:r>
      <w:r w:rsidR="009F4677" w:rsidRPr="00FD211F">
        <w:rPr>
          <w:sz w:val="36"/>
          <w:szCs w:val="36"/>
          <w:rtl/>
        </w:rPr>
        <w:t>للأعم</w:t>
      </w:r>
      <w:r w:rsidR="00603323" w:rsidRPr="00FD211F">
        <w:rPr>
          <w:sz w:val="36"/>
          <w:szCs w:val="36"/>
          <w:rtl/>
        </w:rPr>
        <w:t>،</w:t>
      </w:r>
      <w:r w:rsidR="00E8128F">
        <w:rPr>
          <w:sz w:val="36"/>
          <w:szCs w:val="36"/>
          <w:rtl/>
        </w:rPr>
        <w:t xml:space="preserve"> </w:t>
      </w:r>
      <w:r w:rsidR="009F4677" w:rsidRPr="00FD211F">
        <w:rPr>
          <w:sz w:val="36"/>
          <w:szCs w:val="36"/>
          <w:rtl/>
        </w:rPr>
        <w:t>فان</w:t>
      </w:r>
      <w:r w:rsidR="00E8128F">
        <w:rPr>
          <w:sz w:val="36"/>
          <w:szCs w:val="36"/>
          <w:rtl/>
        </w:rPr>
        <w:t xml:space="preserve"> </w:t>
      </w:r>
      <w:r w:rsidR="009F4677" w:rsidRPr="00FD211F">
        <w:rPr>
          <w:sz w:val="36"/>
          <w:szCs w:val="36"/>
          <w:rtl/>
        </w:rPr>
        <w:t>وضع</w:t>
      </w:r>
      <w:r w:rsidR="00E8128F">
        <w:rPr>
          <w:sz w:val="36"/>
          <w:szCs w:val="36"/>
          <w:rtl/>
        </w:rPr>
        <w:t xml:space="preserve"> </w:t>
      </w:r>
      <w:r w:rsidR="009F4677" w:rsidRPr="00FD211F">
        <w:rPr>
          <w:sz w:val="36"/>
          <w:szCs w:val="36"/>
          <w:rtl/>
        </w:rPr>
        <w:t>لفظ</w:t>
      </w:r>
      <w:r w:rsidR="00E8128F">
        <w:rPr>
          <w:sz w:val="36"/>
          <w:szCs w:val="36"/>
          <w:rtl/>
        </w:rPr>
        <w:t xml:space="preserve"> </w:t>
      </w:r>
      <w:r w:rsidR="009F4677" w:rsidRPr="00FD211F">
        <w:rPr>
          <w:sz w:val="36"/>
          <w:szCs w:val="36"/>
          <w:rtl/>
        </w:rPr>
        <w:t>بإزاء</w:t>
      </w:r>
      <w:r w:rsidR="00E8128F">
        <w:rPr>
          <w:sz w:val="36"/>
          <w:szCs w:val="36"/>
          <w:rtl/>
        </w:rPr>
        <w:t xml:space="preserve"> </w:t>
      </w:r>
      <w:r w:rsidR="009F4677" w:rsidRPr="00FD211F">
        <w:rPr>
          <w:sz w:val="36"/>
          <w:szCs w:val="36"/>
          <w:rtl/>
        </w:rPr>
        <w:t>معنى</w:t>
      </w:r>
      <w:r w:rsidR="00E8128F">
        <w:rPr>
          <w:sz w:val="36"/>
          <w:szCs w:val="36"/>
          <w:rtl/>
        </w:rPr>
        <w:t xml:space="preserve"> </w:t>
      </w:r>
      <w:r w:rsidR="009F4677" w:rsidRPr="00FD211F">
        <w:rPr>
          <w:sz w:val="36"/>
          <w:szCs w:val="36"/>
          <w:rtl/>
        </w:rPr>
        <w:t>لايتوقف</w:t>
      </w:r>
      <w:r w:rsidR="00E8128F">
        <w:rPr>
          <w:sz w:val="36"/>
          <w:szCs w:val="36"/>
          <w:rtl/>
        </w:rPr>
        <w:t xml:space="preserve"> </w:t>
      </w:r>
      <w:r w:rsidR="009F4677" w:rsidRPr="00FD211F">
        <w:rPr>
          <w:sz w:val="36"/>
          <w:szCs w:val="36"/>
          <w:rtl/>
        </w:rPr>
        <w:t>على</w:t>
      </w:r>
      <w:r w:rsidR="00E8128F">
        <w:rPr>
          <w:sz w:val="36"/>
          <w:szCs w:val="36"/>
          <w:rtl/>
        </w:rPr>
        <w:t xml:space="preserve"> </w:t>
      </w:r>
      <w:r w:rsidR="009F4677" w:rsidRPr="00FD211F">
        <w:rPr>
          <w:sz w:val="36"/>
          <w:szCs w:val="36"/>
          <w:rtl/>
        </w:rPr>
        <w:t>امكان</w:t>
      </w:r>
      <w:r w:rsidR="00E8128F">
        <w:rPr>
          <w:sz w:val="36"/>
          <w:szCs w:val="36"/>
          <w:rtl/>
        </w:rPr>
        <w:t xml:space="preserve"> </w:t>
      </w:r>
      <w:r w:rsidR="009F4677" w:rsidRPr="00FD211F">
        <w:rPr>
          <w:sz w:val="36"/>
          <w:szCs w:val="36"/>
          <w:rtl/>
        </w:rPr>
        <w:t>وقوعه</w:t>
      </w:r>
      <w:r w:rsidR="00E8128F">
        <w:rPr>
          <w:sz w:val="36"/>
          <w:szCs w:val="36"/>
          <w:rtl/>
        </w:rPr>
        <w:t xml:space="preserve"> </w:t>
      </w:r>
      <w:r w:rsidR="009F4677" w:rsidRPr="00FD211F">
        <w:rPr>
          <w:sz w:val="36"/>
          <w:szCs w:val="36"/>
          <w:rtl/>
        </w:rPr>
        <w:t>عقلا</w:t>
      </w:r>
      <w:r w:rsidR="00603323" w:rsidRPr="00FD211F">
        <w:rPr>
          <w:sz w:val="36"/>
          <w:szCs w:val="36"/>
          <w:rtl/>
        </w:rPr>
        <w:t>،</w:t>
      </w:r>
      <w:r w:rsidR="00E8128F">
        <w:rPr>
          <w:sz w:val="36"/>
          <w:szCs w:val="36"/>
          <w:rtl/>
        </w:rPr>
        <w:t xml:space="preserve"> </w:t>
      </w:r>
      <w:r w:rsidR="009F4677" w:rsidRPr="00FD211F">
        <w:rPr>
          <w:sz w:val="36"/>
          <w:szCs w:val="36"/>
          <w:rtl/>
        </w:rPr>
        <w:t>فانه</w:t>
      </w:r>
      <w:r w:rsidR="00E8128F">
        <w:rPr>
          <w:sz w:val="36"/>
          <w:szCs w:val="36"/>
          <w:rtl/>
        </w:rPr>
        <w:t xml:space="preserve"> </w:t>
      </w:r>
      <w:r w:rsidR="009F4677" w:rsidRPr="00FD211F">
        <w:rPr>
          <w:sz w:val="36"/>
          <w:szCs w:val="36"/>
          <w:rtl/>
        </w:rPr>
        <w:t>قد</w:t>
      </w:r>
      <w:r w:rsidR="00E8128F">
        <w:rPr>
          <w:sz w:val="36"/>
          <w:szCs w:val="36"/>
          <w:rtl/>
        </w:rPr>
        <w:t xml:space="preserve"> </w:t>
      </w:r>
      <w:r w:rsidR="009F4677" w:rsidRPr="00FD211F">
        <w:rPr>
          <w:sz w:val="36"/>
          <w:szCs w:val="36"/>
          <w:rtl/>
        </w:rPr>
        <w:t>يفرض</w:t>
      </w:r>
      <w:r w:rsidR="00E8128F">
        <w:rPr>
          <w:sz w:val="36"/>
          <w:szCs w:val="36"/>
          <w:rtl/>
        </w:rPr>
        <w:t xml:space="preserve"> </w:t>
      </w:r>
      <w:r w:rsidR="009F4677" w:rsidRPr="00FD211F">
        <w:rPr>
          <w:sz w:val="36"/>
          <w:szCs w:val="36"/>
          <w:rtl/>
        </w:rPr>
        <w:t>وضع</w:t>
      </w:r>
      <w:r w:rsidR="00E8128F">
        <w:rPr>
          <w:sz w:val="36"/>
          <w:szCs w:val="36"/>
          <w:rtl/>
        </w:rPr>
        <w:t xml:space="preserve"> </w:t>
      </w:r>
      <w:r w:rsidR="009F4677" w:rsidRPr="00FD211F">
        <w:rPr>
          <w:sz w:val="36"/>
          <w:szCs w:val="36"/>
          <w:rtl/>
        </w:rPr>
        <w:t>اللفظ</w:t>
      </w:r>
      <w:r w:rsidR="00E8128F">
        <w:rPr>
          <w:sz w:val="36"/>
          <w:szCs w:val="36"/>
          <w:rtl/>
        </w:rPr>
        <w:t xml:space="preserve"> </w:t>
      </w:r>
      <w:r w:rsidR="009F4677" w:rsidRPr="00FD211F">
        <w:rPr>
          <w:sz w:val="36"/>
          <w:szCs w:val="36"/>
          <w:rtl/>
        </w:rPr>
        <w:t>بإزاء</w:t>
      </w:r>
      <w:r w:rsidR="00E8128F">
        <w:rPr>
          <w:sz w:val="36"/>
          <w:szCs w:val="36"/>
          <w:rtl/>
        </w:rPr>
        <w:t xml:space="preserve"> </w:t>
      </w:r>
      <w:r w:rsidR="009F4677" w:rsidRPr="00FD211F">
        <w:rPr>
          <w:sz w:val="36"/>
          <w:szCs w:val="36"/>
          <w:rtl/>
        </w:rPr>
        <w:t>امر</w:t>
      </w:r>
      <w:r w:rsidR="00E8128F">
        <w:rPr>
          <w:sz w:val="36"/>
          <w:szCs w:val="36"/>
          <w:rtl/>
        </w:rPr>
        <w:t xml:space="preserve"> </w:t>
      </w:r>
      <w:r w:rsidR="009F4677" w:rsidRPr="00FD211F">
        <w:rPr>
          <w:sz w:val="36"/>
          <w:szCs w:val="36"/>
          <w:rtl/>
        </w:rPr>
        <w:t>مستحيل</w:t>
      </w:r>
      <w:r w:rsidR="00603323" w:rsidRPr="00FD211F">
        <w:rPr>
          <w:sz w:val="36"/>
          <w:szCs w:val="36"/>
          <w:rtl/>
        </w:rPr>
        <w:t>،</w:t>
      </w:r>
      <w:r w:rsidR="00E8128F">
        <w:rPr>
          <w:sz w:val="36"/>
          <w:szCs w:val="36"/>
          <w:rtl/>
        </w:rPr>
        <w:t xml:space="preserve"> </w:t>
      </w:r>
      <w:r w:rsidR="009F4677" w:rsidRPr="00FD211F">
        <w:rPr>
          <w:sz w:val="36"/>
          <w:szCs w:val="36"/>
          <w:rtl/>
        </w:rPr>
        <w:t>وعليه</w:t>
      </w:r>
      <w:r w:rsidR="00E8128F">
        <w:rPr>
          <w:sz w:val="36"/>
          <w:szCs w:val="36"/>
          <w:rtl/>
        </w:rPr>
        <w:t xml:space="preserve"> </w:t>
      </w:r>
      <w:r w:rsidR="009F4677" w:rsidRPr="00FD211F">
        <w:rPr>
          <w:sz w:val="36"/>
          <w:szCs w:val="36"/>
          <w:rtl/>
        </w:rPr>
        <w:t>فيشمل</w:t>
      </w:r>
      <w:r w:rsidR="00E8128F">
        <w:rPr>
          <w:sz w:val="36"/>
          <w:szCs w:val="36"/>
          <w:rtl/>
        </w:rPr>
        <w:t xml:space="preserve"> </w:t>
      </w:r>
      <w:r w:rsidR="009F4677" w:rsidRPr="00FD211F">
        <w:rPr>
          <w:sz w:val="36"/>
          <w:szCs w:val="36"/>
          <w:rtl/>
        </w:rPr>
        <w:t>النزاع</w:t>
      </w:r>
      <w:r w:rsidR="00E8128F">
        <w:rPr>
          <w:sz w:val="36"/>
          <w:szCs w:val="36"/>
          <w:rtl/>
        </w:rPr>
        <w:t xml:space="preserve"> </w:t>
      </w:r>
      <w:r w:rsidR="009F4677" w:rsidRPr="00FD211F">
        <w:rPr>
          <w:sz w:val="36"/>
          <w:szCs w:val="36"/>
          <w:rtl/>
        </w:rPr>
        <w:t>ذاتي</w:t>
      </w:r>
      <w:r w:rsidR="00E8128F">
        <w:rPr>
          <w:sz w:val="36"/>
          <w:szCs w:val="36"/>
          <w:rtl/>
        </w:rPr>
        <w:t xml:space="preserve"> </w:t>
      </w:r>
      <w:r w:rsidR="009F4677" w:rsidRPr="00FD211F">
        <w:rPr>
          <w:sz w:val="36"/>
          <w:szCs w:val="36"/>
          <w:rtl/>
        </w:rPr>
        <w:t>باب</w:t>
      </w:r>
      <w:r w:rsidR="00E8128F">
        <w:rPr>
          <w:sz w:val="36"/>
          <w:szCs w:val="36"/>
          <w:rtl/>
        </w:rPr>
        <w:t xml:space="preserve"> </w:t>
      </w:r>
      <w:r w:rsidR="009F4677" w:rsidRPr="00FD211F">
        <w:rPr>
          <w:sz w:val="36"/>
          <w:szCs w:val="36"/>
          <w:rtl/>
        </w:rPr>
        <w:t>البرهان</w:t>
      </w:r>
      <w:r w:rsidR="00E8128F">
        <w:rPr>
          <w:sz w:val="36"/>
          <w:szCs w:val="36"/>
          <w:rtl/>
        </w:rPr>
        <w:t xml:space="preserve"> </w:t>
      </w:r>
      <w:r w:rsidR="009F4677" w:rsidRPr="00FD211F">
        <w:rPr>
          <w:sz w:val="36"/>
          <w:szCs w:val="36"/>
          <w:rtl/>
        </w:rPr>
        <w:t>كعنوان</w:t>
      </w:r>
      <w:r w:rsidR="00E8128F">
        <w:rPr>
          <w:sz w:val="36"/>
          <w:szCs w:val="36"/>
          <w:rtl/>
        </w:rPr>
        <w:t xml:space="preserve"> </w:t>
      </w:r>
      <w:r w:rsidR="009F4677" w:rsidRPr="00FD211F">
        <w:rPr>
          <w:sz w:val="36"/>
          <w:szCs w:val="36"/>
          <w:rtl/>
        </w:rPr>
        <w:t>الزوج</w:t>
      </w:r>
      <w:r w:rsidR="00603323" w:rsidRPr="00FD211F">
        <w:rPr>
          <w:sz w:val="36"/>
          <w:szCs w:val="36"/>
          <w:rtl/>
        </w:rPr>
        <w:t>،</w:t>
      </w:r>
      <w:r w:rsidR="00E8128F">
        <w:rPr>
          <w:sz w:val="36"/>
          <w:szCs w:val="36"/>
          <w:rtl/>
        </w:rPr>
        <w:t xml:space="preserve"> </w:t>
      </w:r>
      <w:r w:rsidR="00554188" w:rsidRPr="00FD211F">
        <w:rPr>
          <w:sz w:val="36"/>
          <w:szCs w:val="36"/>
          <w:rtl/>
        </w:rPr>
        <w:t>وان</w:t>
      </w:r>
      <w:r w:rsidR="00E8128F">
        <w:rPr>
          <w:sz w:val="36"/>
          <w:szCs w:val="36"/>
          <w:rtl/>
        </w:rPr>
        <w:t xml:space="preserve"> </w:t>
      </w:r>
      <w:r w:rsidR="00554188" w:rsidRPr="00FD211F">
        <w:rPr>
          <w:sz w:val="36"/>
          <w:szCs w:val="36"/>
          <w:rtl/>
        </w:rPr>
        <w:t>كان</w:t>
      </w:r>
      <w:r w:rsidR="00E8128F">
        <w:rPr>
          <w:sz w:val="36"/>
          <w:szCs w:val="36"/>
          <w:rtl/>
        </w:rPr>
        <w:t xml:space="preserve"> </w:t>
      </w:r>
      <w:r w:rsidR="00554188" w:rsidRPr="00FD211F">
        <w:rPr>
          <w:sz w:val="36"/>
          <w:szCs w:val="36"/>
          <w:rtl/>
        </w:rPr>
        <w:t>ثبوته</w:t>
      </w:r>
      <w:r w:rsidR="00E8128F">
        <w:rPr>
          <w:sz w:val="36"/>
          <w:szCs w:val="36"/>
          <w:rtl/>
        </w:rPr>
        <w:t xml:space="preserve"> </w:t>
      </w:r>
      <w:r w:rsidR="00554188" w:rsidRPr="00FD211F">
        <w:rPr>
          <w:sz w:val="36"/>
          <w:szCs w:val="36"/>
          <w:rtl/>
        </w:rPr>
        <w:t>للأربع</w:t>
      </w:r>
      <w:r w:rsidR="00EC7EDF" w:rsidRPr="00FD211F">
        <w:rPr>
          <w:sz w:val="36"/>
          <w:szCs w:val="36"/>
          <w:rtl/>
        </w:rPr>
        <w:t>ة</w:t>
      </w:r>
      <w:r w:rsidR="00E8128F">
        <w:rPr>
          <w:sz w:val="36"/>
          <w:szCs w:val="36"/>
          <w:rtl/>
        </w:rPr>
        <w:t xml:space="preserve"> </w:t>
      </w:r>
      <w:r w:rsidR="00554188" w:rsidRPr="00FD211F">
        <w:rPr>
          <w:sz w:val="36"/>
          <w:szCs w:val="36"/>
          <w:rtl/>
        </w:rPr>
        <w:t>مثلا</w:t>
      </w:r>
      <w:r w:rsidR="00E8128F">
        <w:rPr>
          <w:sz w:val="36"/>
          <w:szCs w:val="36"/>
          <w:rtl/>
        </w:rPr>
        <w:t xml:space="preserve"> </w:t>
      </w:r>
      <w:r w:rsidR="00554188" w:rsidRPr="00FD211F">
        <w:rPr>
          <w:sz w:val="36"/>
          <w:szCs w:val="36"/>
          <w:rtl/>
        </w:rPr>
        <w:t>ضروريا</w:t>
      </w:r>
      <w:r w:rsidR="00E8128F">
        <w:rPr>
          <w:sz w:val="36"/>
          <w:szCs w:val="36"/>
          <w:rtl/>
        </w:rPr>
        <w:t xml:space="preserve"> </w:t>
      </w:r>
      <w:r w:rsidR="00554188" w:rsidRPr="00FD211F">
        <w:rPr>
          <w:sz w:val="36"/>
          <w:szCs w:val="36"/>
          <w:rtl/>
        </w:rPr>
        <w:t>لكن</w:t>
      </w:r>
      <w:r w:rsidR="00E8128F">
        <w:rPr>
          <w:sz w:val="36"/>
          <w:szCs w:val="36"/>
          <w:rtl/>
        </w:rPr>
        <w:t xml:space="preserve"> </w:t>
      </w:r>
      <w:r w:rsidR="00554188" w:rsidRPr="00FD211F">
        <w:rPr>
          <w:sz w:val="36"/>
          <w:szCs w:val="36"/>
          <w:rtl/>
        </w:rPr>
        <w:t>فرض</w:t>
      </w:r>
      <w:r w:rsidR="00E8128F">
        <w:rPr>
          <w:sz w:val="36"/>
          <w:szCs w:val="36"/>
          <w:rtl/>
        </w:rPr>
        <w:t xml:space="preserve"> </w:t>
      </w:r>
      <w:r w:rsidR="00554188" w:rsidRPr="00FD211F">
        <w:rPr>
          <w:sz w:val="36"/>
          <w:szCs w:val="36"/>
          <w:rtl/>
        </w:rPr>
        <w:t>انفكاكه</w:t>
      </w:r>
      <w:r w:rsidR="00E8128F">
        <w:rPr>
          <w:sz w:val="36"/>
          <w:szCs w:val="36"/>
          <w:rtl/>
        </w:rPr>
        <w:t xml:space="preserve"> </w:t>
      </w:r>
      <w:r w:rsidR="00554188" w:rsidRPr="00FD211F">
        <w:rPr>
          <w:sz w:val="36"/>
          <w:szCs w:val="36"/>
          <w:rtl/>
        </w:rPr>
        <w:t>عنها</w:t>
      </w:r>
      <w:r w:rsidR="00E8128F">
        <w:rPr>
          <w:sz w:val="36"/>
          <w:szCs w:val="36"/>
          <w:rtl/>
        </w:rPr>
        <w:t xml:space="preserve"> </w:t>
      </w:r>
      <w:r w:rsidR="00554188" w:rsidRPr="00FD211F">
        <w:rPr>
          <w:sz w:val="36"/>
          <w:szCs w:val="36"/>
          <w:rtl/>
        </w:rPr>
        <w:t>لايشتمل</w:t>
      </w:r>
      <w:r w:rsidR="00E8128F">
        <w:rPr>
          <w:sz w:val="36"/>
          <w:szCs w:val="36"/>
          <w:rtl/>
        </w:rPr>
        <w:t xml:space="preserve"> </w:t>
      </w:r>
      <w:r w:rsidR="00554188" w:rsidRPr="00FD211F">
        <w:rPr>
          <w:sz w:val="36"/>
          <w:szCs w:val="36"/>
          <w:rtl/>
        </w:rPr>
        <w:t>على</w:t>
      </w:r>
      <w:r w:rsidR="00E8128F">
        <w:rPr>
          <w:sz w:val="36"/>
          <w:szCs w:val="36"/>
          <w:rtl/>
        </w:rPr>
        <w:t xml:space="preserve"> </w:t>
      </w:r>
      <w:r w:rsidR="00554188" w:rsidRPr="00FD211F">
        <w:rPr>
          <w:sz w:val="36"/>
          <w:szCs w:val="36"/>
          <w:rtl/>
        </w:rPr>
        <w:t>استحال</w:t>
      </w:r>
      <w:r w:rsidR="00EC7EDF" w:rsidRPr="00FD211F">
        <w:rPr>
          <w:sz w:val="36"/>
          <w:szCs w:val="36"/>
          <w:rtl/>
        </w:rPr>
        <w:t>ة</w:t>
      </w:r>
      <w:r w:rsidR="00E8128F">
        <w:rPr>
          <w:sz w:val="36"/>
          <w:szCs w:val="36"/>
          <w:rtl/>
        </w:rPr>
        <w:t xml:space="preserve"> </w:t>
      </w:r>
      <w:r w:rsidR="00554188" w:rsidRPr="00FD211F">
        <w:rPr>
          <w:sz w:val="36"/>
          <w:szCs w:val="36"/>
          <w:rtl/>
        </w:rPr>
        <w:t>منطقي</w:t>
      </w:r>
      <w:r w:rsidR="00EC7EDF" w:rsidRPr="00FD211F">
        <w:rPr>
          <w:sz w:val="36"/>
          <w:szCs w:val="36"/>
          <w:rtl/>
        </w:rPr>
        <w:t>ة</w:t>
      </w:r>
      <w:r w:rsidR="00603323" w:rsidRPr="00FD211F">
        <w:rPr>
          <w:sz w:val="36"/>
          <w:szCs w:val="36"/>
          <w:rtl/>
        </w:rPr>
        <w:t>،</w:t>
      </w:r>
      <w:r w:rsidR="00E8128F">
        <w:rPr>
          <w:sz w:val="36"/>
          <w:szCs w:val="36"/>
          <w:rtl/>
        </w:rPr>
        <w:t xml:space="preserve"> </w:t>
      </w:r>
      <w:r w:rsidR="00554188" w:rsidRPr="00FD211F">
        <w:rPr>
          <w:sz w:val="36"/>
          <w:szCs w:val="36"/>
          <w:rtl/>
        </w:rPr>
        <w:t>بخلاف</w:t>
      </w:r>
      <w:r w:rsidR="00E8128F">
        <w:rPr>
          <w:sz w:val="36"/>
          <w:szCs w:val="36"/>
          <w:rtl/>
        </w:rPr>
        <w:t xml:space="preserve"> </w:t>
      </w:r>
      <w:r w:rsidR="00554188" w:rsidRPr="00FD211F">
        <w:rPr>
          <w:sz w:val="36"/>
          <w:szCs w:val="36"/>
          <w:rtl/>
        </w:rPr>
        <w:t>ذاتي</w:t>
      </w:r>
      <w:r w:rsidR="00E8128F">
        <w:rPr>
          <w:sz w:val="36"/>
          <w:szCs w:val="36"/>
          <w:rtl/>
        </w:rPr>
        <w:t xml:space="preserve"> </w:t>
      </w:r>
      <w:r w:rsidR="00554188" w:rsidRPr="00FD211F">
        <w:rPr>
          <w:sz w:val="36"/>
          <w:szCs w:val="36"/>
          <w:rtl/>
        </w:rPr>
        <w:t>باب</w:t>
      </w:r>
      <w:r w:rsidR="00E8128F">
        <w:rPr>
          <w:sz w:val="36"/>
          <w:szCs w:val="36"/>
          <w:rtl/>
        </w:rPr>
        <w:t xml:space="preserve"> </w:t>
      </w:r>
      <w:r w:rsidR="00554188" w:rsidRPr="00FD211F">
        <w:rPr>
          <w:sz w:val="36"/>
          <w:szCs w:val="36"/>
          <w:rtl/>
        </w:rPr>
        <w:t>الكليات</w:t>
      </w:r>
      <w:r w:rsidR="00E8128F">
        <w:rPr>
          <w:sz w:val="36"/>
          <w:szCs w:val="36"/>
          <w:rtl/>
        </w:rPr>
        <w:t xml:space="preserve"> </w:t>
      </w:r>
      <w:r w:rsidR="00554188" w:rsidRPr="00FD211F">
        <w:rPr>
          <w:sz w:val="36"/>
          <w:szCs w:val="36"/>
          <w:rtl/>
        </w:rPr>
        <w:t>الخمس</w:t>
      </w:r>
      <w:r w:rsidR="00E8128F">
        <w:rPr>
          <w:sz w:val="36"/>
          <w:szCs w:val="36"/>
          <w:rtl/>
        </w:rPr>
        <w:t xml:space="preserve"> </w:t>
      </w:r>
      <w:r w:rsidR="00554188" w:rsidRPr="00FD211F">
        <w:rPr>
          <w:sz w:val="36"/>
          <w:szCs w:val="36"/>
          <w:rtl/>
        </w:rPr>
        <w:t>فان</w:t>
      </w:r>
      <w:r w:rsidR="00E8128F">
        <w:rPr>
          <w:sz w:val="36"/>
          <w:szCs w:val="36"/>
          <w:rtl/>
        </w:rPr>
        <w:t xml:space="preserve"> </w:t>
      </w:r>
      <w:r w:rsidR="00554188" w:rsidRPr="00FD211F">
        <w:rPr>
          <w:sz w:val="36"/>
          <w:szCs w:val="36"/>
          <w:rtl/>
        </w:rPr>
        <w:t>فرض</w:t>
      </w:r>
      <w:r w:rsidR="00E8128F">
        <w:rPr>
          <w:sz w:val="36"/>
          <w:szCs w:val="36"/>
          <w:rtl/>
        </w:rPr>
        <w:t xml:space="preserve"> </w:t>
      </w:r>
      <w:r w:rsidR="00554188" w:rsidRPr="00FD211F">
        <w:rPr>
          <w:sz w:val="36"/>
          <w:szCs w:val="36"/>
          <w:rtl/>
        </w:rPr>
        <w:t>انفكاك</w:t>
      </w:r>
      <w:r w:rsidR="00E8128F">
        <w:rPr>
          <w:sz w:val="36"/>
          <w:szCs w:val="36"/>
          <w:rtl/>
        </w:rPr>
        <w:t xml:space="preserve"> </w:t>
      </w:r>
      <w:r w:rsidR="00554188" w:rsidRPr="00FD211F">
        <w:rPr>
          <w:sz w:val="36"/>
          <w:szCs w:val="36"/>
          <w:rtl/>
        </w:rPr>
        <w:t>الذات</w:t>
      </w:r>
      <w:r w:rsidR="00E8128F">
        <w:rPr>
          <w:sz w:val="36"/>
          <w:szCs w:val="36"/>
          <w:rtl/>
        </w:rPr>
        <w:t xml:space="preserve"> </w:t>
      </w:r>
      <w:r w:rsidR="00554188" w:rsidRPr="00FD211F">
        <w:rPr>
          <w:sz w:val="36"/>
          <w:szCs w:val="36"/>
          <w:rtl/>
        </w:rPr>
        <w:t>عنه</w:t>
      </w:r>
      <w:r w:rsidR="00E8128F">
        <w:rPr>
          <w:sz w:val="36"/>
          <w:szCs w:val="36"/>
          <w:rtl/>
        </w:rPr>
        <w:t xml:space="preserve"> </w:t>
      </w:r>
      <w:r w:rsidR="00554188" w:rsidRPr="00FD211F">
        <w:rPr>
          <w:sz w:val="36"/>
          <w:szCs w:val="36"/>
          <w:rtl/>
        </w:rPr>
        <w:t>فرض</w:t>
      </w:r>
      <w:r w:rsidR="00E8128F">
        <w:rPr>
          <w:sz w:val="36"/>
          <w:szCs w:val="36"/>
          <w:rtl/>
        </w:rPr>
        <w:t xml:space="preserve"> </w:t>
      </w:r>
      <w:r w:rsidR="00554188" w:rsidRPr="00FD211F">
        <w:rPr>
          <w:sz w:val="36"/>
          <w:szCs w:val="36"/>
          <w:rtl/>
        </w:rPr>
        <w:t>متناقض</w:t>
      </w:r>
      <w:r w:rsidR="00E8128F">
        <w:rPr>
          <w:sz w:val="36"/>
          <w:szCs w:val="36"/>
          <w:rtl/>
        </w:rPr>
        <w:t xml:space="preserve"> </w:t>
      </w:r>
      <w:r w:rsidR="00554188" w:rsidRPr="00FD211F">
        <w:rPr>
          <w:sz w:val="36"/>
          <w:szCs w:val="36"/>
          <w:rtl/>
        </w:rPr>
        <w:t>تصورا.</w:t>
      </w:r>
    </w:p>
    <w:p w14:paraId="63709F5A" w14:textId="77777777" w:rsidR="00554188" w:rsidRPr="00FD211F" w:rsidRDefault="00554188" w:rsidP="009C58C8">
      <w:pPr>
        <w:ind w:left="0" w:firstLine="227"/>
        <w:jc w:val="both"/>
        <w:rPr>
          <w:sz w:val="36"/>
          <w:szCs w:val="36"/>
          <w:rtl/>
        </w:rPr>
      </w:pPr>
      <w:r w:rsidRPr="00FD211F">
        <w:rPr>
          <w:sz w:val="36"/>
          <w:szCs w:val="36"/>
          <w:rtl/>
        </w:rPr>
        <w:t>ان</w:t>
      </w:r>
      <w:r w:rsidR="00E8128F">
        <w:rPr>
          <w:sz w:val="36"/>
          <w:szCs w:val="36"/>
          <w:rtl/>
        </w:rPr>
        <w:t xml:space="preserve"> </w:t>
      </w:r>
      <w:r w:rsidRPr="00FD211F">
        <w:rPr>
          <w:sz w:val="36"/>
          <w:szCs w:val="36"/>
          <w:rtl/>
        </w:rPr>
        <w:t>قلت:</w:t>
      </w:r>
      <w:r w:rsidR="00E8128F">
        <w:rPr>
          <w:sz w:val="36"/>
          <w:szCs w:val="36"/>
          <w:rtl/>
        </w:rPr>
        <w:t xml:space="preserve"> </w:t>
      </w:r>
      <w:r w:rsidRPr="00FD211F">
        <w:rPr>
          <w:sz w:val="36"/>
          <w:szCs w:val="36"/>
          <w:rtl/>
        </w:rPr>
        <w:t>فماذا</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الناطق</w:t>
      </w:r>
      <w:r w:rsidR="00E8128F">
        <w:rPr>
          <w:sz w:val="36"/>
          <w:szCs w:val="36"/>
          <w:rtl/>
        </w:rPr>
        <w:t xml:space="preserve"> </w:t>
      </w:r>
      <w:r w:rsidRPr="00FD211F">
        <w:rPr>
          <w:sz w:val="36"/>
          <w:szCs w:val="36"/>
          <w:rtl/>
        </w:rPr>
        <w:t>والصاهل</w:t>
      </w:r>
      <w:r w:rsidR="00E8128F">
        <w:rPr>
          <w:sz w:val="36"/>
          <w:szCs w:val="36"/>
          <w:rtl/>
        </w:rPr>
        <w:t xml:space="preserve"> </w:t>
      </w:r>
      <w:r w:rsidRPr="00FD211F">
        <w:rPr>
          <w:sz w:val="36"/>
          <w:szCs w:val="36"/>
          <w:rtl/>
        </w:rPr>
        <w:t>ونحوهما</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يدخل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محل</w:t>
      </w:r>
      <w:r w:rsidR="00E8128F">
        <w:rPr>
          <w:sz w:val="36"/>
          <w:szCs w:val="36"/>
          <w:rtl/>
        </w:rPr>
        <w:t xml:space="preserve"> </w:t>
      </w:r>
      <w:r w:rsidRPr="00FD211F">
        <w:rPr>
          <w:sz w:val="36"/>
          <w:szCs w:val="36"/>
          <w:rtl/>
        </w:rPr>
        <w:t>النزاع</w:t>
      </w:r>
      <w:r w:rsidR="00E8128F">
        <w:rPr>
          <w:sz w:val="36"/>
          <w:szCs w:val="36"/>
          <w:rtl/>
        </w:rPr>
        <w:t xml:space="preserve"> </w:t>
      </w:r>
      <w:r w:rsidRPr="00FD211F">
        <w:rPr>
          <w:sz w:val="36"/>
          <w:szCs w:val="36"/>
          <w:rtl/>
        </w:rPr>
        <w:t>بحسب</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هيئاتها</w:t>
      </w:r>
      <w:r w:rsidR="00E8128F">
        <w:rPr>
          <w:sz w:val="36"/>
          <w:szCs w:val="36"/>
          <w:rtl/>
        </w:rPr>
        <w:t xml:space="preserve"> </w:t>
      </w:r>
      <w:r w:rsidRPr="00FD211F">
        <w:rPr>
          <w:sz w:val="36"/>
          <w:szCs w:val="36"/>
          <w:rtl/>
        </w:rPr>
        <w:t>رغم</w:t>
      </w:r>
      <w:r w:rsidR="00E8128F">
        <w:rPr>
          <w:sz w:val="36"/>
          <w:szCs w:val="36"/>
          <w:rtl/>
        </w:rPr>
        <w:t xml:space="preserve"> </w:t>
      </w:r>
      <w:r w:rsidRPr="00FD211F">
        <w:rPr>
          <w:sz w:val="36"/>
          <w:szCs w:val="36"/>
          <w:rtl/>
        </w:rPr>
        <w:t>كونها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ذاتيات</w:t>
      </w:r>
      <w:r w:rsidR="00E8128F">
        <w:rPr>
          <w:sz w:val="36"/>
          <w:szCs w:val="36"/>
          <w:rtl/>
        </w:rPr>
        <w:t xml:space="preserve"> </w:t>
      </w:r>
      <w:r w:rsidRPr="00FD211F">
        <w:rPr>
          <w:sz w:val="36"/>
          <w:szCs w:val="36"/>
          <w:rtl/>
        </w:rPr>
        <w:t>باب</w:t>
      </w:r>
      <w:r w:rsidR="00E8128F">
        <w:rPr>
          <w:sz w:val="36"/>
          <w:szCs w:val="36"/>
          <w:rtl/>
        </w:rPr>
        <w:t xml:space="preserve"> </w:t>
      </w:r>
      <w:r w:rsidRPr="00FD211F">
        <w:rPr>
          <w:sz w:val="36"/>
          <w:szCs w:val="36"/>
          <w:rtl/>
        </w:rPr>
        <w:t>الكليات</w:t>
      </w:r>
      <w:r w:rsidR="00E8128F">
        <w:rPr>
          <w:sz w:val="36"/>
          <w:szCs w:val="36"/>
          <w:rtl/>
        </w:rPr>
        <w:t xml:space="preserve"> </w:t>
      </w:r>
      <w:r w:rsidRPr="00FD211F">
        <w:rPr>
          <w:sz w:val="36"/>
          <w:szCs w:val="36"/>
          <w:rtl/>
        </w:rPr>
        <w:t>الخمس.</w:t>
      </w:r>
    </w:p>
    <w:p w14:paraId="729E1BDB" w14:textId="77777777" w:rsidR="00554188" w:rsidRPr="00FD211F" w:rsidRDefault="00554188" w:rsidP="009C58C8">
      <w:pPr>
        <w:ind w:left="0" w:firstLine="227"/>
        <w:jc w:val="both"/>
        <w:rPr>
          <w:sz w:val="36"/>
          <w:szCs w:val="36"/>
          <w:rtl/>
        </w:rPr>
      </w:pPr>
      <w:r w:rsidRPr="00FD211F">
        <w:rPr>
          <w:sz w:val="36"/>
          <w:szCs w:val="36"/>
          <w:rtl/>
        </w:rPr>
        <w:t>قلت:</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الناطق</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الصاهل</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فصلا</w:t>
      </w:r>
      <w:r w:rsidR="00E8128F">
        <w:rPr>
          <w:sz w:val="36"/>
          <w:szCs w:val="36"/>
          <w:rtl/>
        </w:rPr>
        <w:t xml:space="preserve"> </w:t>
      </w:r>
      <w:r w:rsidRPr="00FD211F">
        <w:rPr>
          <w:sz w:val="36"/>
          <w:szCs w:val="36"/>
          <w:rtl/>
        </w:rPr>
        <w:t>حقيقيا</w:t>
      </w:r>
      <w:r w:rsidR="00E8128F">
        <w:rPr>
          <w:sz w:val="36"/>
          <w:szCs w:val="36"/>
          <w:rtl/>
        </w:rPr>
        <w:t xml:space="preserve"> </w:t>
      </w:r>
      <w:r w:rsidRPr="00FD211F">
        <w:rPr>
          <w:sz w:val="36"/>
          <w:szCs w:val="36"/>
          <w:rtl/>
        </w:rPr>
        <w:t>وانما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فصل</w:t>
      </w:r>
      <w:r w:rsidR="00E8128F">
        <w:rPr>
          <w:sz w:val="36"/>
          <w:szCs w:val="36"/>
          <w:rtl/>
        </w:rPr>
        <w:t xml:space="preserve"> </w:t>
      </w:r>
      <w:r w:rsidRPr="00FD211F">
        <w:rPr>
          <w:sz w:val="36"/>
          <w:szCs w:val="36"/>
          <w:rtl/>
        </w:rPr>
        <w:t>مشهوري</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باب</w:t>
      </w:r>
      <w:r w:rsidR="00E8128F">
        <w:rPr>
          <w:sz w:val="36"/>
          <w:szCs w:val="36"/>
          <w:rtl/>
        </w:rPr>
        <w:t xml:space="preserve"> </w:t>
      </w:r>
      <w:r w:rsidRPr="00FD211F">
        <w:rPr>
          <w:sz w:val="36"/>
          <w:szCs w:val="36"/>
          <w:rtl/>
        </w:rPr>
        <w:t>اقام</w:t>
      </w:r>
      <w:r w:rsidR="00EC7EDF" w:rsidRPr="00FD211F">
        <w:rPr>
          <w:sz w:val="36"/>
          <w:szCs w:val="36"/>
          <w:rtl/>
        </w:rPr>
        <w:t>ة</w:t>
      </w:r>
      <w:r w:rsidR="00E8128F">
        <w:rPr>
          <w:sz w:val="36"/>
          <w:szCs w:val="36"/>
          <w:rtl/>
        </w:rPr>
        <w:t xml:space="preserve"> </w:t>
      </w:r>
      <w:r w:rsidRPr="00FD211F">
        <w:rPr>
          <w:sz w:val="36"/>
          <w:szCs w:val="36"/>
          <w:rtl/>
        </w:rPr>
        <w:t>العرض</w:t>
      </w:r>
      <w:r w:rsidR="00E8128F">
        <w:rPr>
          <w:sz w:val="36"/>
          <w:szCs w:val="36"/>
          <w:rtl/>
        </w:rPr>
        <w:t xml:space="preserve"> </w:t>
      </w:r>
      <w:r w:rsidRPr="00FD211F">
        <w:rPr>
          <w:sz w:val="36"/>
          <w:szCs w:val="36"/>
          <w:rtl/>
        </w:rPr>
        <w:t>الخاص</w:t>
      </w:r>
      <w:r w:rsidR="00E8128F">
        <w:rPr>
          <w:sz w:val="36"/>
          <w:szCs w:val="36"/>
          <w:rtl/>
        </w:rPr>
        <w:t xml:space="preserve"> </w:t>
      </w:r>
      <w:r w:rsidRPr="00FD211F">
        <w:rPr>
          <w:sz w:val="36"/>
          <w:szCs w:val="36"/>
          <w:rtl/>
        </w:rPr>
        <w:t>مقام</w:t>
      </w:r>
      <w:r w:rsidR="00E8128F">
        <w:rPr>
          <w:sz w:val="36"/>
          <w:szCs w:val="36"/>
          <w:rtl/>
        </w:rPr>
        <w:t xml:space="preserve"> </w:t>
      </w:r>
      <w:r w:rsidRPr="00FD211F">
        <w:rPr>
          <w:sz w:val="36"/>
          <w:szCs w:val="36"/>
          <w:rtl/>
        </w:rPr>
        <w:t>الفصل</w:t>
      </w:r>
      <w:r w:rsidR="00E8128F">
        <w:rPr>
          <w:sz w:val="36"/>
          <w:szCs w:val="36"/>
          <w:rtl/>
        </w:rPr>
        <w:t xml:space="preserve"> </w:t>
      </w:r>
      <w:r w:rsidRPr="00FD211F">
        <w:rPr>
          <w:sz w:val="36"/>
          <w:szCs w:val="36"/>
          <w:rtl/>
        </w:rPr>
        <w:t>الحقيقي</w:t>
      </w:r>
      <w:r w:rsidR="00E8128F">
        <w:rPr>
          <w:sz w:val="36"/>
          <w:szCs w:val="36"/>
          <w:rtl/>
        </w:rPr>
        <w:t xml:space="preserve"> </w:t>
      </w:r>
      <w:r w:rsidRPr="00FD211F">
        <w:rPr>
          <w:sz w:val="36"/>
          <w:szCs w:val="36"/>
          <w:rtl/>
        </w:rPr>
        <w:t>المجهول</w:t>
      </w:r>
      <w:r w:rsidR="009C58C8" w:rsidRPr="00FD211F">
        <w:rPr>
          <w:rStyle w:val="a6"/>
          <w:sz w:val="36"/>
          <w:szCs w:val="36"/>
          <w:rtl/>
        </w:rPr>
        <w:t>(</w:t>
      </w:r>
      <w:r w:rsidR="009C58C8" w:rsidRPr="00FD211F">
        <w:rPr>
          <w:rStyle w:val="a6"/>
          <w:sz w:val="36"/>
          <w:szCs w:val="36"/>
          <w:rtl/>
        </w:rPr>
        <w:footnoteReference w:id="523"/>
      </w:r>
      <w:r w:rsidR="009C58C8" w:rsidRPr="00FD211F">
        <w:rPr>
          <w:rStyle w:val="a6"/>
          <w:sz w:val="36"/>
          <w:szCs w:val="36"/>
          <w:rtl/>
        </w:rPr>
        <w:t>)</w:t>
      </w:r>
      <w:r w:rsidRPr="00FD211F">
        <w:rPr>
          <w:sz w:val="36"/>
          <w:szCs w:val="36"/>
          <w:rtl/>
        </w:rPr>
        <w:t>.</w:t>
      </w:r>
    </w:p>
    <w:p w14:paraId="369F8A6F" w14:textId="77777777" w:rsidR="00F557E5" w:rsidRPr="00FD211F" w:rsidRDefault="00554188" w:rsidP="009C58C8">
      <w:pPr>
        <w:ind w:left="0" w:firstLine="227"/>
        <w:jc w:val="both"/>
        <w:rPr>
          <w:sz w:val="36"/>
          <w:szCs w:val="36"/>
          <w:rtl/>
        </w:rPr>
      </w:pPr>
      <w:r w:rsidRPr="00FD211F">
        <w:rPr>
          <w:sz w:val="36"/>
          <w:szCs w:val="36"/>
          <w:rtl/>
        </w:rPr>
        <w:t>ولكن</w:t>
      </w:r>
      <w:r w:rsidR="00E8128F">
        <w:rPr>
          <w:sz w:val="36"/>
          <w:szCs w:val="36"/>
          <w:rtl/>
        </w:rPr>
        <w:t xml:space="preserve"> </w:t>
      </w:r>
      <w:r w:rsidRPr="00FD211F">
        <w:rPr>
          <w:sz w:val="36"/>
          <w:szCs w:val="36"/>
          <w:rtl/>
        </w:rPr>
        <w:t>يرد</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مر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لامانع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الأعم</w:t>
      </w:r>
      <w:r w:rsidR="00E8128F">
        <w:rPr>
          <w:sz w:val="36"/>
          <w:szCs w:val="36"/>
          <w:rtl/>
        </w:rPr>
        <w:t xml:space="preserve"> </w:t>
      </w:r>
      <w:r w:rsidRPr="00FD211F">
        <w:rPr>
          <w:sz w:val="36"/>
          <w:szCs w:val="36"/>
          <w:rtl/>
        </w:rPr>
        <w:t>نظير</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الحيوان</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الأعم</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الهيئ</w:t>
      </w:r>
      <w:r w:rsidR="00EC7EDF" w:rsidRPr="00FD211F">
        <w:rPr>
          <w:sz w:val="36"/>
          <w:szCs w:val="36"/>
          <w:rtl/>
        </w:rPr>
        <w:t>ة</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مشترك</w:t>
      </w:r>
      <w:r w:rsidR="00EC7EDF" w:rsidRPr="00FD211F">
        <w:rPr>
          <w:sz w:val="36"/>
          <w:szCs w:val="36"/>
          <w:rtl/>
        </w:rPr>
        <w:t>ة</w:t>
      </w:r>
      <w:r w:rsidR="00E8128F">
        <w:rPr>
          <w:sz w:val="36"/>
          <w:szCs w:val="36"/>
          <w:rtl/>
        </w:rPr>
        <w:t xml:space="preserve"> </w:t>
      </w:r>
      <w:r w:rsidRPr="00FD211F">
        <w:rPr>
          <w:sz w:val="36"/>
          <w:szCs w:val="36"/>
          <w:rtl/>
        </w:rPr>
        <w:t>بينه</w:t>
      </w:r>
      <w:r w:rsidR="00E8128F">
        <w:rPr>
          <w:sz w:val="36"/>
          <w:szCs w:val="36"/>
          <w:rtl/>
        </w:rPr>
        <w:t xml:space="preserve"> </w:t>
      </w:r>
      <w:r w:rsidRPr="00FD211F">
        <w:rPr>
          <w:sz w:val="36"/>
          <w:szCs w:val="36"/>
          <w:rtl/>
        </w:rPr>
        <w:t>وبين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يمكن</w:t>
      </w:r>
      <w:r w:rsidR="00E8128F">
        <w:rPr>
          <w:sz w:val="36"/>
          <w:szCs w:val="36"/>
          <w:rtl/>
        </w:rPr>
        <w:t xml:space="preserve"> </w:t>
      </w:r>
      <w:r w:rsidRPr="00FD211F">
        <w:rPr>
          <w:sz w:val="36"/>
          <w:szCs w:val="36"/>
          <w:rtl/>
        </w:rPr>
        <w:t>انقضاء</w:t>
      </w:r>
      <w:r w:rsidR="00E8128F">
        <w:rPr>
          <w:sz w:val="36"/>
          <w:szCs w:val="36"/>
          <w:rtl/>
        </w:rPr>
        <w:t xml:space="preserve"> </w:t>
      </w:r>
      <w:r w:rsidRPr="00FD211F">
        <w:rPr>
          <w:sz w:val="36"/>
          <w:szCs w:val="36"/>
          <w:rtl/>
        </w:rPr>
        <w:t>تلبسه</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Pr="00FD211F">
        <w:rPr>
          <w:sz w:val="36"/>
          <w:szCs w:val="36"/>
          <w:rtl/>
        </w:rPr>
        <w:t>كالعطشان</w:t>
      </w:r>
      <w:r w:rsidR="00E8128F">
        <w:rPr>
          <w:sz w:val="36"/>
          <w:szCs w:val="36"/>
          <w:rtl/>
        </w:rPr>
        <w:t xml:space="preserve"> </w:t>
      </w:r>
      <w:r w:rsidRPr="00FD211F">
        <w:rPr>
          <w:sz w:val="36"/>
          <w:szCs w:val="36"/>
          <w:rtl/>
        </w:rPr>
        <w:t>وقد</w:t>
      </w:r>
      <w:r w:rsidR="00E8128F">
        <w:rPr>
          <w:sz w:val="36"/>
          <w:szCs w:val="36"/>
          <w:rtl/>
        </w:rPr>
        <w:t xml:space="preserve"> </w:t>
      </w:r>
      <w:r w:rsidRPr="00FD211F">
        <w:rPr>
          <w:sz w:val="36"/>
          <w:szCs w:val="36"/>
          <w:rtl/>
        </w:rPr>
        <w:t>مر</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المدار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الوضع</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لغويته</w:t>
      </w:r>
      <w:r w:rsidR="00603323" w:rsidRPr="00FD211F">
        <w:rPr>
          <w:sz w:val="36"/>
          <w:szCs w:val="36"/>
          <w:rtl/>
        </w:rPr>
        <w:t>،</w:t>
      </w:r>
      <w:r w:rsidR="00E8128F">
        <w:rPr>
          <w:sz w:val="36"/>
          <w:szCs w:val="36"/>
          <w:rtl/>
        </w:rPr>
        <w:t xml:space="preserve"> </w:t>
      </w:r>
      <w:r w:rsidRPr="00FD211F">
        <w:rPr>
          <w:sz w:val="36"/>
          <w:szCs w:val="36"/>
          <w:rtl/>
        </w:rPr>
        <w:t>واما</w:t>
      </w:r>
      <w:r w:rsidR="00E8128F">
        <w:rPr>
          <w:sz w:val="36"/>
          <w:szCs w:val="36"/>
          <w:rtl/>
        </w:rPr>
        <w:t xml:space="preserve"> </w:t>
      </w:r>
      <w:r w:rsidRPr="00FD211F">
        <w:rPr>
          <w:sz w:val="36"/>
          <w:szCs w:val="36"/>
          <w:rtl/>
        </w:rPr>
        <w:t>الاسم</w:t>
      </w:r>
      <w:r w:rsidR="00E8128F">
        <w:rPr>
          <w:sz w:val="36"/>
          <w:szCs w:val="36"/>
          <w:rtl/>
        </w:rPr>
        <w:t xml:space="preserve"> </w:t>
      </w:r>
      <w:r w:rsidRPr="00FD211F">
        <w:rPr>
          <w:sz w:val="36"/>
          <w:szCs w:val="36"/>
          <w:rtl/>
        </w:rPr>
        <w:t>الجامد</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العناوين</w:t>
      </w:r>
      <w:r w:rsidR="00E8128F">
        <w:rPr>
          <w:sz w:val="36"/>
          <w:szCs w:val="36"/>
          <w:rtl/>
        </w:rPr>
        <w:t xml:space="preserve"> </w:t>
      </w:r>
      <w:r w:rsidRPr="00FD211F">
        <w:rPr>
          <w:sz w:val="36"/>
          <w:szCs w:val="36"/>
          <w:rtl/>
        </w:rPr>
        <w:t>الذاتي</w:t>
      </w:r>
      <w:r w:rsidR="00EC7EDF" w:rsidRPr="00FD211F">
        <w:rPr>
          <w:sz w:val="36"/>
          <w:szCs w:val="36"/>
          <w:rtl/>
        </w:rPr>
        <w:t>ة</w:t>
      </w:r>
      <w:r w:rsidR="00E8128F">
        <w:rPr>
          <w:sz w:val="36"/>
          <w:szCs w:val="36"/>
          <w:rtl/>
        </w:rPr>
        <w:t xml:space="preserve"> </w:t>
      </w:r>
      <w:r w:rsidRPr="00FD211F">
        <w:rPr>
          <w:sz w:val="36"/>
          <w:szCs w:val="36"/>
          <w:rtl/>
        </w:rPr>
        <w:t>فحيث</w:t>
      </w:r>
      <w:r w:rsidR="00E8128F">
        <w:rPr>
          <w:sz w:val="36"/>
          <w:szCs w:val="36"/>
          <w:rtl/>
        </w:rPr>
        <w:t xml:space="preserve"> </w:t>
      </w:r>
      <w:r w:rsidRPr="00FD211F">
        <w:rPr>
          <w:sz w:val="36"/>
          <w:szCs w:val="36"/>
          <w:rtl/>
        </w:rPr>
        <w:t>يستحيل</w:t>
      </w:r>
      <w:r w:rsidR="00E8128F">
        <w:rPr>
          <w:sz w:val="36"/>
          <w:szCs w:val="36"/>
          <w:rtl/>
        </w:rPr>
        <w:t xml:space="preserve"> </w:t>
      </w:r>
      <w:r w:rsidRPr="00FD211F">
        <w:rPr>
          <w:sz w:val="36"/>
          <w:szCs w:val="36"/>
          <w:rtl/>
        </w:rPr>
        <w:t>فرض</w:t>
      </w:r>
      <w:r w:rsidR="00E8128F">
        <w:rPr>
          <w:sz w:val="36"/>
          <w:szCs w:val="36"/>
          <w:rtl/>
        </w:rPr>
        <w:t xml:space="preserve"> </w:t>
      </w:r>
      <w:r w:rsidRPr="00FD211F">
        <w:rPr>
          <w:sz w:val="36"/>
          <w:szCs w:val="36"/>
          <w:rtl/>
        </w:rPr>
        <w:t>انقضاء</w:t>
      </w:r>
      <w:r w:rsidR="00E8128F">
        <w:rPr>
          <w:sz w:val="36"/>
          <w:szCs w:val="36"/>
          <w:rtl/>
        </w:rPr>
        <w:t xml:space="preserve"> </w:t>
      </w:r>
      <w:r w:rsidRPr="00FD211F">
        <w:rPr>
          <w:sz w:val="36"/>
          <w:szCs w:val="36"/>
          <w:rtl/>
        </w:rPr>
        <w:t>تلبس</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Pr="00FD211F">
        <w:rPr>
          <w:sz w:val="36"/>
          <w:szCs w:val="36"/>
          <w:rtl/>
        </w:rPr>
        <w:t>استحال</w:t>
      </w:r>
      <w:r w:rsidR="00EC7EDF" w:rsidRPr="00FD211F">
        <w:rPr>
          <w:sz w:val="36"/>
          <w:szCs w:val="36"/>
          <w:rtl/>
        </w:rPr>
        <w:t>ة</w:t>
      </w:r>
      <w:r w:rsidR="00E8128F">
        <w:rPr>
          <w:sz w:val="36"/>
          <w:szCs w:val="36"/>
          <w:rtl/>
        </w:rPr>
        <w:t xml:space="preserve"> </w:t>
      </w:r>
      <w:r w:rsidRPr="00FD211F">
        <w:rPr>
          <w:sz w:val="36"/>
          <w:szCs w:val="36"/>
          <w:rtl/>
        </w:rPr>
        <w:t>عقلي</w:t>
      </w:r>
      <w:r w:rsidR="00EC7EDF" w:rsidRPr="00FD211F">
        <w:rPr>
          <w:sz w:val="36"/>
          <w:szCs w:val="36"/>
          <w:rtl/>
        </w:rPr>
        <w:t>ة</w:t>
      </w:r>
      <w:r w:rsidR="00E8128F">
        <w:rPr>
          <w:sz w:val="36"/>
          <w:szCs w:val="36"/>
          <w:rtl/>
        </w:rPr>
        <w:t xml:space="preserve"> </w:t>
      </w:r>
      <w:r w:rsidRPr="00FD211F">
        <w:rPr>
          <w:sz w:val="36"/>
          <w:szCs w:val="36"/>
          <w:rtl/>
        </w:rPr>
        <w:t>فيلغو</w:t>
      </w:r>
      <w:r w:rsidR="00E8128F">
        <w:rPr>
          <w:sz w:val="36"/>
          <w:szCs w:val="36"/>
          <w:rtl/>
        </w:rPr>
        <w:t xml:space="preserve"> </w:t>
      </w:r>
      <w:r w:rsidRPr="00FD211F">
        <w:rPr>
          <w:sz w:val="36"/>
          <w:szCs w:val="36"/>
          <w:rtl/>
        </w:rPr>
        <w:t>وضعه</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لعدم</w:t>
      </w:r>
      <w:r w:rsidR="00E8128F">
        <w:rPr>
          <w:sz w:val="36"/>
          <w:szCs w:val="36"/>
          <w:rtl/>
        </w:rPr>
        <w:t xml:space="preserve"> </w:t>
      </w:r>
      <w:r w:rsidRPr="00FD211F">
        <w:rPr>
          <w:sz w:val="36"/>
          <w:szCs w:val="36"/>
          <w:rtl/>
        </w:rPr>
        <w:t>غرض</w:t>
      </w:r>
      <w:r w:rsidR="00E8128F">
        <w:rPr>
          <w:sz w:val="36"/>
          <w:szCs w:val="36"/>
          <w:rtl/>
        </w:rPr>
        <w:t xml:space="preserve"> </w:t>
      </w:r>
      <w:r w:rsidRPr="00FD211F">
        <w:rPr>
          <w:sz w:val="36"/>
          <w:szCs w:val="36"/>
          <w:rtl/>
        </w:rPr>
        <w:t>عرفي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تفهيمه</w:t>
      </w:r>
      <w:r w:rsidR="00E8128F">
        <w:rPr>
          <w:sz w:val="36"/>
          <w:szCs w:val="36"/>
          <w:rtl/>
        </w:rPr>
        <w:t xml:space="preserve"> </w:t>
      </w:r>
      <w:r w:rsidRPr="00FD211F">
        <w:rPr>
          <w:sz w:val="36"/>
          <w:szCs w:val="36"/>
          <w:rtl/>
        </w:rPr>
        <w:t>وتفهمه</w:t>
      </w:r>
      <w:r w:rsidR="00603323" w:rsidRPr="00FD211F">
        <w:rPr>
          <w:sz w:val="36"/>
          <w:szCs w:val="36"/>
          <w:rtl/>
        </w:rPr>
        <w:t>،</w:t>
      </w:r>
      <w:r w:rsidR="00E8128F">
        <w:rPr>
          <w:sz w:val="36"/>
          <w:szCs w:val="36"/>
          <w:rtl/>
        </w:rPr>
        <w:t xml:space="preserve"> </w:t>
      </w:r>
      <w:r w:rsidRPr="00FD211F">
        <w:rPr>
          <w:sz w:val="36"/>
          <w:szCs w:val="36"/>
          <w:rtl/>
        </w:rPr>
        <w:t>بلافرق</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ذاتي</w:t>
      </w:r>
      <w:r w:rsidR="00E8128F">
        <w:rPr>
          <w:sz w:val="36"/>
          <w:szCs w:val="36"/>
          <w:rtl/>
        </w:rPr>
        <w:t xml:space="preserve"> </w:t>
      </w:r>
      <w:r w:rsidRPr="00FD211F">
        <w:rPr>
          <w:sz w:val="36"/>
          <w:szCs w:val="36"/>
          <w:rtl/>
        </w:rPr>
        <w:t>باب</w:t>
      </w:r>
      <w:r w:rsidR="00E8128F">
        <w:rPr>
          <w:sz w:val="36"/>
          <w:szCs w:val="36"/>
          <w:rtl/>
        </w:rPr>
        <w:t xml:space="preserve"> </w:t>
      </w:r>
      <w:r w:rsidRPr="00FD211F">
        <w:rPr>
          <w:sz w:val="36"/>
          <w:szCs w:val="36"/>
          <w:rtl/>
        </w:rPr>
        <w:t>الكليات</w:t>
      </w:r>
      <w:r w:rsidR="00E8128F">
        <w:rPr>
          <w:sz w:val="36"/>
          <w:szCs w:val="36"/>
          <w:rtl/>
        </w:rPr>
        <w:t xml:space="preserve"> </w:t>
      </w:r>
      <w:r w:rsidRPr="00FD211F">
        <w:rPr>
          <w:sz w:val="36"/>
          <w:szCs w:val="36"/>
          <w:rtl/>
        </w:rPr>
        <w:t>الخمس</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ذاتي</w:t>
      </w:r>
      <w:r w:rsidR="00E8128F">
        <w:rPr>
          <w:sz w:val="36"/>
          <w:szCs w:val="36"/>
          <w:rtl/>
        </w:rPr>
        <w:t xml:space="preserve"> </w:t>
      </w:r>
      <w:r w:rsidRPr="00FD211F">
        <w:rPr>
          <w:sz w:val="36"/>
          <w:szCs w:val="36"/>
          <w:rtl/>
        </w:rPr>
        <w:t>باب</w:t>
      </w:r>
      <w:r w:rsidR="00E8128F">
        <w:rPr>
          <w:sz w:val="36"/>
          <w:szCs w:val="36"/>
          <w:rtl/>
        </w:rPr>
        <w:t xml:space="preserve"> </w:t>
      </w:r>
      <w:r w:rsidRPr="00FD211F">
        <w:rPr>
          <w:sz w:val="36"/>
          <w:szCs w:val="36"/>
          <w:rtl/>
        </w:rPr>
        <w:t>البرهان</w:t>
      </w:r>
      <w:r w:rsidR="00603323" w:rsidRPr="00FD211F">
        <w:rPr>
          <w:sz w:val="36"/>
          <w:szCs w:val="36"/>
          <w:rtl/>
        </w:rPr>
        <w:t>،</w:t>
      </w:r>
      <w:r w:rsidR="00E8128F">
        <w:rPr>
          <w:sz w:val="36"/>
          <w:szCs w:val="36"/>
          <w:rtl/>
        </w:rPr>
        <w:t xml:space="preserve"> </w:t>
      </w:r>
      <w:r w:rsidRPr="00FD211F">
        <w:rPr>
          <w:sz w:val="36"/>
          <w:szCs w:val="36"/>
          <w:rtl/>
        </w:rPr>
        <w:t>نعم</w:t>
      </w:r>
      <w:r w:rsidR="00E8128F">
        <w:rPr>
          <w:sz w:val="36"/>
          <w:szCs w:val="36"/>
          <w:rtl/>
        </w:rPr>
        <w:t xml:space="preserve"> </w:t>
      </w:r>
      <w:r w:rsidR="008D7B3D" w:rsidRPr="00FD211F">
        <w:rPr>
          <w:sz w:val="36"/>
          <w:szCs w:val="36"/>
          <w:rtl/>
        </w:rPr>
        <w:t>لم‌</w:t>
      </w:r>
      <w:r w:rsidR="009867AE" w:rsidRPr="00FD211F">
        <w:rPr>
          <w:sz w:val="36"/>
          <w:szCs w:val="36"/>
          <w:rtl/>
        </w:rPr>
        <w:t>نجد</w:t>
      </w:r>
      <w:r w:rsidR="00E8128F">
        <w:rPr>
          <w:sz w:val="36"/>
          <w:szCs w:val="36"/>
          <w:rtl/>
        </w:rPr>
        <w:t xml:space="preserve"> </w:t>
      </w:r>
      <w:r w:rsidR="009867AE" w:rsidRPr="00FD211F">
        <w:rPr>
          <w:sz w:val="36"/>
          <w:szCs w:val="36"/>
          <w:rtl/>
        </w:rPr>
        <w:t>اسما</w:t>
      </w:r>
      <w:r w:rsidR="00E8128F">
        <w:rPr>
          <w:sz w:val="36"/>
          <w:szCs w:val="36"/>
          <w:rtl/>
        </w:rPr>
        <w:t xml:space="preserve"> </w:t>
      </w:r>
      <w:r w:rsidR="009867AE" w:rsidRPr="00FD211F">
        <w:rPr>
          <w:sz w:val="36"/>
          <w:szCs w:val="36"/>
          <w:rtl/>
        </w:rPr>
        <w:t>جامدا</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موضوعا</w:t>
      </w:r>
      <w:r w:rsidR="00E8128F">
        <w:rPr>
          <w:sz w:val="36"/>
          <w:szCs w:val="36"/>
          <w:rtl/>
        </w:rPr>
        <w:t xml:space="preserve"> </w:t>
      </w:r>
      <w:r w:rsidRPr="00FD211F">
        <w:rPr>
          <w:sz w:val="36"/>
          <w:szCs w:val="36"/>
          <w:rtl/>
        </w:rPr>
        <w:t>لذاتي</w:t>
      </w:r>
      <w:r w:rsidR="00E8128F">
        <w:rPr>
          <w:sz w:val="36"/>
          <w:szCs w:val="36"/>
          <w:rtl/>
        </w:rPr>
        <w:t xml:space="preserve"> </w:t>
      </w:r>
      <w:r w:rsidRPr="00FD211F">
        <w:rPr>
          <w:sz w:val="36"/>
          <w:szCs w:val="36"/>
          <w:rtl/>
        </w:rPr>
        <w:t>باب</w:t>
      </w:r>
      <w:r w:rsidR="00E8128F">
        <w:rPr>
          <w:sz w:val="36"/>
          <w:szCs w:val="36"/>
          <w:rtl/>
        </w:rPr>
        <w:t xml:space="preserve"> </w:t>
      </w:r>
      <w:r w:rsidRPr="00FD211F">
        <w:rPr>
          <w:sz w:val="36"/>
          <w:szCs w:val="36"/>
          <w:rtl/>
        </w:rPr>
        <w:t>البرهان</w:t>
      </w:r>
      <w:r w:rsidR="00603323" w:rsidRPr="00FD211F">
        <w:rPr>
          <w:sz w:val="36"/>
          <w:szCs w:val="36"/>
          <w:rtl/>
        </w:rPr>
        <w:t>،</w:t>
      </w:r>
      <w:r w:rsidR="00E8128F">
        <w:rPr>
          <w:sz w:val="36"/>
          <w:szCs w:val="36"/>
          <w:rtl/>
        </w:rPr>
        <w:t xml:space="preserve"> </w:t>
      </w:r>
      <w:r w:rsidR="00AD1127" w:rsidRPr="00FD211F">
        <w:rPr>
          <w:sz w:val="36"/>
          <w:szCs w:val="36"/>
          <w:rtl/>
        </w:rPr>
        <w:t>فان</w:t>
      </w:r>
      <w:r w:rsidR="00E8128F">
        <w:rPr>
          <w:sz w:val="36"/>
          <w:szCs w:val="36"/>
          <w:rtl/>
        </w:rPr>
        <w:t xml:space="preserve"> </w:t>
      </w:r>
      <w:r w:rsidRPr="00FD211F">
        <w:rPr>
          <w:sz w:val="36"/>
          <w:szCs w:val="36"/>
          <w:rtl/>
        </w:rPr>
        <w:t>كلم</w:t>
      </w:r>
      <w:r w:rsidR="00EC7EDF" w:rsidRPr="00FD211F">
        <w:rPr>
          <w:sz w:val="36"/>
          <w:szCs w:val="36"/>
          <w:rtl/>
        </w:rPr>
        <w:t>ة</w:t>
      </w:r>
      <w:r w:rsidR="00E8128F">
        <w:rPr>
          <w:sz w:val="36"/>
          <w:szCs w:val="36"/>
          <w:rtl/>
        </w:rPr>
        <w:t xml:space="preserve"> </w:t>
      </w:r>
      <w:r w:rsidRPr="00FD211F">
        <w:rPr>
          <w:sz w:val="36"/>
          <w:szCs w:val="36"/>
          <w:rtl/>
        </w:rPr>
        <w:t>الزوج</w:t>
      </w:r>
      <w:r w:rsidR="00E8128F">
        <w:rPr>
          <w:sz w:val="36"/>
          <w:szCs w:val="36"/>
          <w:rtl/>
        </w:rPr>
        <w:t xml:space="preserve"> </w:t>
      </w:r>
      <w:r w:rsidRPr="00FD211F">
        <w:rPr>
          <w:sz w:val="36"/>
          <w:szCs w:val="36"/>
          <w:rtl/>
        </w:rPr>
        <w:t>لاتدل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خصوصي</w:t>
      </w:r>
      <w:r w:rsidR="00EC7EDF" w:rsidRPr="00FD211F">
        <w:rPr>
          <w:sz w:val="36"/>
          <w:szCs w:val="36"/>
          <w:rtl/>
        </w:rPr>
        <w:t>ة</w:t>
      </w:r>
      <w:r w:rsidR="00E8128F">
        <w:rPr>
          <w:sz w:val="36"/>
          <w:szCs w:val="36"/>
          <w:rtl/>
        </w:rPr>
        <w:t xml:space="preserve"> </w:t>
      </w:r>
      <w:r w:rsidRPr="00FD211F">
        <w:rPr>
          <w:sz w:val="36"/>
          <w:szCs w:val="36"/>
          <w:rtl/>
        </w:rPr>
        <w:t>الزوجي</w:t>
      </w:r>
      <w:r w:rsidR="00EC7EDF" w:rsidRPr="00FD211F">
        <w:rPr>
          <w:sz w:val="36"/>
          <w:szCs w:val="36"/>
          <w:rtl/>
        </w:rPr>
        <w:t>ة</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ذاتي</w:t>
      </w:r>
      <w:r w:rsidR="00E8128F">
        <w:rPr>
          <w:sz w:val="36"/>
          <w:szCs w:val="36"/>
          <w:rtl/>
        </w:rPr>
        <w:t xml:space="preserve"> </w:t>
      </w:r>
      <w:r w:rsidRPr="00FD211F">
        <w:rPr>
          <w:sz w:val="36"/>
          <w:szCs w:val="36"/>
          <w:rtl/>
        </w:rPr>
        <w:t>باب</w:t>
      </w:r>
      <w:r w:rsidR="00E8128F">
        <w:rPr>
          <w:sz w:val="36"/>
          <w:szCs w:val="36"/>
          <w:rtl/>
        </w:rPr>
        <w:t xml:space="preserve"> </w:t>
      </w:r>
      <w:r w:rsidRPr="00FD211F">
        <w:rPr>
          <w:sz w:val="36"/>
          <w:szCs w:val="36"/>
          <w:rtl/>
        </w:rPr>
        <w:t>البرهان</w:t>
      </w:r>
      <w:r w:rsidR="00E8128F">
        <w:rPr>
          <w:sz w:val="36"/>
          <w:szCs w:val="36"/>
          <w:rtl/>
        </w:rPr>
        <w:t xml:space="preserve"> </w:t>
      </w:r>
      <w:r w:rsidRPr="00FD211F">
        <w:rPr>
          <w:sz w:val="36"/>
          <w:szCs w:val="36"/>
          <w:rtl/>
        </w:rPr>
        <w:t>كزوجي</w:t>
      </w:r>
      <w:r w:rsidR="00EC7EDF" w:rsidRPr="00FD211F">
        <w:rPr>
          <w:sz w:val="36"/>
          <w:szCs w:val="36"/>
          <w:rtl/>
        </w:rPr>
        <w:t>ة</w:t>
      </w:r>
      <w:r w:rsidR="00E8128F">
        <w:rPr>
          <w:sz w:val="36"/>
          <w:szCs w:val="36"/>
          <w:rtl/>
        </w:rPr>
        <w:t xml:space="preserve"> </w:t>
      </w:r>
      <w:r w:rsidRPr="00FD211F">
        <w:rPr>
          <w:sz w:val="36"/>
          <w:szCs w:val="36"/>
          <w:rtl/>
        </w:rPr>
        <w:t>الأربع</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00AD1127" w:rsidRPr="00FD211F">
        <w:rPr>
          <w:sz w:val="36"/>
          <w:szCs w:val="36"/>
          <w:rtl/>
        </w:rPr>
        <w:t>ت</w:t>
      </w:r>
      <w:r w:rsidRPr="00FD211F">
        <w:rPr>
          <w:sz w:val="36"/>
          <w:szCs w:val="36"/>
          <w:rtl/>
        </w:rPr>
        <w:t>شمل</w:t>
      </w:r>
      <w:r w:rsidR="00E8128F">
        <w:rPr>
          <w:sz w:val="36"/>
          <w:szCs w:val="36"/>
          <w:rtl/>
        </w:rPr>
        <w:t xml:space="preserve"> </w:t>
      </w:r>
      <w:r w:rsidRPr="00FD211F">
        <w:rPr>
          <w:sz w:val="36"/>
          <w:szCs w:val="36"/>
          <w:rtl/>
        </w:rPr>
        <w:t>الزوجي</w:t>
      </w:r>
      <w:r w:rsidR="00EC7EDF" w:rsidRPr="00FD211F">
        <w:rPr>
          <w:sz w:val="36"/>
          <w:szCs w:val="36"/>
          <w:rtl/>
        </w:rPr>
        <w:t>ة</w:t>
      </w:r>
      <w:r w:rsidR="00E8128F">
        <w:rPr>
          <w:sz w:val="36"/>
          <w:szCs w:val="36"/>
          <w:rtl/>
        </w:rPr>
        <w:t xml:space="preserve"> </w:t>
      </w:r>
      <w:r w:rsidRPr="00FD211F">
        <w:rPr>
          <w:sz w:val="36"/>
          <w:szCs w:val="36"/>
          <w:rtl/>
        </w:rPr>
        <w:t>الاعتباري</w:t>
      </w:r>
      <w:r w:rsidR="00EC7EDF" w:rsidRPr="00FD211F">
        <w:rPr>
          <w:sz w:val="36"/>
          <w:szCs w:val="36"/>
          <w:rtl/>
        </w:rPr>
        <w:t>ة</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الزوجي</w:t>
      </w:r>
      <w:r w:rsidR="00EC7EDF" w:rsidRPr="00FD211F">
        <w:rPr>
          <w:sz w:val="36"/>
          <w:szCs w:val="36"/>
          <w:rtl/>
        </w:rPr>
        <w:t>ة</w:t>
      </w:r>
      <w:r w:rsidR="00E8128F">
        <w:rPr>
          <w:sz w:val="36"/>
          <w:szCs w:val="36"/>
          <w:rtl/>
        </w:rPr>
        <w:t xml:space="preserve"> </w:t>
      </w:r>
      <w:r w:rsidRPr="00FD211F">
        <w:rPr>
          <w:sz w:val="36"/>
          <w:szCs w:val="36"/>
          <w:rtl/>
        </w:rPr>
        <w:t>الخارجي</w:t>
      </w:r>
      <w:r w:rsidR="00EC7EDF" w:rsidRPr="00FD211F">
        <w:rPr>
          <w:sz w:val="36"/>
          <w:szCs w:val="36"/>
          <w:rtl/>
        </w:rPr>
        <w:t>ة</w:t>
      </w:r>
      <w:r w:rsidR="00E8128F">
        <w:rPr>
          <w:sz w:val="36"/>
          <w:szCs w:val="36"/>
          <w:rtl/>
        </w:rPr>
        <w:t xml:space="preserve"> </w:t>
      </w:r>
      <w:r w:rsidR="00AD1127" w:rsidRPr="00FD211F">
        <w:rPr>
          <w:sz w:val="36"/>
          <w:szCs w:val="36"/>
          <w:rtl/>
        </w:rPr>
        <w:t>بين</w:t>
      </w:r>
      <w:r w:rsidR="00E8128F">
        <w:rPr>
          <w:sz w:val="36"/>
          <w:szCs w:val="36"/>
          <w:rtl/>
        </w:rPr>
        <w:t xml:space="preserve"> </w:t>
      </w:r>
      <w:r w:rsidR="00AD1127" w:rsidRPr="00FD211F">
        <w:rPr>
          <w:sz w:val="36"/>
          <w:szCs w:val="36"/>
          <w:rtl/>
        </w:rPr>
        <w:t>شيئين.</w:t>
      </w:r>
    </w:p>
    <w:p w14:paraId="218E9121" w14:textId="77777777" w:rsidR="00DC517F" w:rsidRPr="00FD211F" w:rsidRDefault="00F557E5" w:rsidP="009C58C8">
      <w:pPr>
        <w:ind w:left="0" w:firstLine="227"/>
        <w:jc w:val="both"/>
        <w:rPr>
          <w:sz w:val="36"/>
          <w:szCs w:val="36"/>
          <w:rtl/>
        </w:rPr>
      </w:pPr>
      <w:bookmarkStart w:id="436" w:name="درس107"/>
      <w:bookmarkEnd w:id="436"/>
      <w:r w:rsidRPr="00FD211F">
        <w:rPr>
          <w:sz w:val="36"/>
          <w:szCs w:val="36"/>
          <w:rtl/>
        </w:rPr>
        <w:t>ثم</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وق</w:t>
      </w:r>
      <w:r w:rsidR="00BF7324" w:rsidRPr="00FD211F">
        <w:rPr>
          <w:sz w:val="36"/>
          <w:szCs w:val="36"/>
          <w:rtl/>
        </w:rPr>
        <w:t>ع</w:t>
      </w:r>
      <w:r w:rsidR="00E8128F">
        <w:rPr>
          <w:sz w:val="36"/>
          <w:szCs w:val="36"/>
          <w:rtl/>
        </w:rPr>
        <w:t xml:space="preserve"> </w:t>
      </w:r>
      <w:r w:rsidR="00BF7324" w:rsidRPr="00FD211F">
        <w:rPr>
          <w:sz w:val="36"/>
          <w:szCs w:val="36"/>
          <w:rtl/>
        </w:rPr>
        <w:t>الكلام</w:t>
      </w:r>
      <w:r w:rsidR="00E8128F">
        <w:rPr>
          <w:sz w:val="36"/>
          <w:szCs w:val="36"/>
          <w:rtl/>
        </w:rPr>
        <w:t xml:space="preserve"> </w:t>
      </w:r>
      <w:r w:rsidR="00BF7324" w:rsidRPr="00FD211F">
        <w:rPr>
          <w:sz w:val="36"/>
          <w:szCs w:val="36"/>
          <w:rtl/>
        </w:rPr>
        <w:t>في</w:t>
      </w:r>
      <w:r w:rsidR="00E8128F">
        <w:rPr>
          <w:sz w:val="36"/>
          <w:szCs w:val="36"/>
          <w:rtl/>
        </w:rPr>
        <w:t xml:space="preserve"> </w:t>
      </w:r>
      <w:r w:rsidR="00BF7324" w:rsidRPr="00FD211F">
        <w:rPr>
          <w:sz w:val="36"/>
          <w:szCs w:val="36"/>
          <w:rtl/>
        </w:rPr>
        <w:t>بعض</w:t>
      </w:r>
      <w:r w:rsidR="00E8128F">
        <w:rPr>
          <w:sz w:val="36"/>
          <w:szCs w:val="36"/>
          <w:rtl/>
        </w:rPr>
        <w:t xml:space="preserve"> </w:t>
      </w:r>
      <w:r w:rsidR="00BF7324" w:rsidRPr="00FD211F">
        <w:rPr>
          <w:sz w:val="36"/>
          <w:szCs w:val="36"/>
          <w:rtl/>
        </w:rPr>
        <w:t>المشتقات</w:t>
      </w:r>
      <w:r w:rsidR="00E8128F">
        <w:rPr>
          <w:sz w:val="36"/>
          <w:szCs w:val="36"/>
          <w:rtl/>
        </w:rPr>
        <w:t xml:space="preserve"> </w:t>
      </w:r>
      <w:r w:rsidRPr="00FD211F">
        <w:rPr>
          <w:sz w:val="36"/>
          <w:szCs w:val="36"/>
          <w:rtl/>
        </w:rPr>
        <w:t>هل</w:t>
      </w:r>
      <w:r w:rsidR="00E8128F">
        <w:rPr>
          <w:sz w:val="36"/>
          <w:szCs w:val="36"/>
          <w:rtl/>
        </w:rPr>
        <w:t xml:space="preserve"> </w:t>
      </w:r>
      <w:r w:rsidRPr="00FD211F">
        <w:rPr>
          <w:sz w:val="36"/>
          <w:szCs w:val="36"/>
          <w:rtl/>
        </w:rPr>
        <w:t>انها</w:t>
      </w:r>
      <w:r w:rsidR="00E8128F">
        <w:rPr>
          <w:sz w:val="36"/>
          <w:szCs w:val="36"/>
          <w:rtl/>
        </w:rPr>
        <w:t xml:space="preserve"> </w:t>
      </w:r>
      <w:r w:rsidRPr="00FD211F">
        <w:rPr>
          <w:sz w:val="36"/>
          <w:szCs w:val="36"/>
          <w:rtl/>
        </w:rPr>
        <w:t>داخل</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محل</w:t>
      </w:r>
      <w:r w:rsidR="00E8128F">
        <w:rPr>
          <w:sz w:val="36"/>
          <w:szCs w:val="36"/>
          <w:rtl/>
        </w:rPr>
        <w:t xml:space="preserve"> </w:t>
      </w:r>
      <w:r w:rsidRPr="00FD211F">
        <w:rPr>
          <w:sz w:val="36"/>
          <w:szCs w:val="36"/>
          <w:rtl/>
        </w:rPr>
        <w:t>النزاع</w:t>
      </w:r>
      <w:r w:rsidR="00E8128F">
        <w:rPr>
          <w:sz w:val="36"/>
          <w:szCs w:val="36"/>
          <w:rtl/>
        </w:rPr>
        <w:t xml:space="preserve"> </w:t>
      </w:r>
      <w:r w:rsidR="00DC517F" w:rsidRPr="00FD211F">
        <w:rPr>
          <w:sz w:val="36"/>
          <w:szCs w:val="36"/>
          <w:rtl/>
        </w:rPr>
        <w:t>ام</w:t>
      </w:r>
      <w:r w:rsidR="00E8128F">
        <w:rPr>
          <w:sz w:val="36"/>
          <w:szCs w:val="36"/>
          <w:rtl/>
        </w:rPr>
        <w:t xml:space="preserve"> </w:t>
      </w:r>
      <w:r w:rsidR="00DC517F" w:rsidRPr="00FD211F">
        <w:rPr>
          <w:sz w:val="36"/>
          <w:szCs w:val="36"/>
          <w:rtl/>
        </w:rPr>
        <w:t>لا.</w:t>
      </w:r>
    </w:p>
    <w:p w14:paraId="7562596E" w14:textId="77777777" w:rsidR="005D5A20" w:rsidRPr="00FD211F" w:rsidRDefault="005D5A20" w:rsidP="009C58C8">
      <w:pPr>
        <w:pStyle w:val="3"/>
        <w:ind w:firstLine="227"/>
        <w:jc w:val="both"/>
        <w:rPr>
          <w:rtl/>
        </w:rPr>
      </w:pPr>
      <w:bookmarkStart w:id="437" w:name="_Toc192092944"/>
      <w:bookmarkStart w:id="438" w:name="_Toc223890424"/>
      <w:r w:rsidRPr="00FD211F">
        <w:rPr>
          <w:rtl/>
        </w:rPr>
        <w:t>اسم</w:t>
      </w:r>
      <w:r w:rsidR="00E8128F">
        <w:rPr>
          <w:rtl/>
        </w:rPr>
        <w:t xml:space="preserve"> </w:t>
      </w:r>
      <w:r w:rsidRPr="00FD211F">
        <w:rPr>
          <w:rtl/>
        </w:rPr>
        <w:t>الآل</w:t>
      </w:r>
      <w:r w:rsidR="00EC7EDF" w:rsidRPr="00FD211F">
        <w:rPr>
          <w:rtl/>
        </w:rPr>
        <w:t>ة</w:t>
      </w:r>
      <w:bookmarkEnd w:id="438"/>
      <w:r w:rsidR="00E8128F">
        <w:rPr>
          <w:rtl/>
        </w:rPr>
        <w:t xml:space="preserve"> </w:t>
      </w:r>
      <w:bookmarkEnd w:id="437"/>
    </w:p>
    <w:p w14:paraId="590DC4E0" w14:textId="77777777" w:rsidR="00DC517F" w:rsidRPr="00FD211F" w:rsidRDefault="00DC517F" w:rsidP="009C58C8">
      <w:pPr>
        <w:ind w:left="0" w:firstLine="227"/>
        <w:jc w:val="both"/>
        <w:rPr>
          <w:sz w:val="36"/>
          <w:szCs w:val="36"/>
          <w:rtl/>
        </w:rPr>
      </w:pPr>
      <w:r w:rsidRPr="00FD211F">
        <w:rPr>
          <w:b/>
          <w:bCs/>
          <w:sz w:val="36"/>
          <w:szCs w:val="36"/>
          <w:rtl/>
        </w:rPr>
        <w:t>منها</w:t>
      </w:r>
      <w:r w:rsidRPr="00FD211F">
        <w:rPr>
          <w:sz w:val="36"/>
          <w:szCs w:val="36"/>
          <w:rtl/>
        </w:rPr>
        <w:t>:</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الآل</w:t>
      </w:r>
      <w:r w:rsidR="00EC7EDF" w:rsidRPr="00FD211F">
        <w:rPr>
          <w:sz w:val="36"/>
          <w:szCs w:val="36"/>
          <w:rtl/>
        </w:rPr>
        <w:t>ة</w:t>
      </w:r>
      <w:r w:rsidR="00E8128F">
        <w:rPr>
          <w:sz w:val="36"/>
          <w:szCs w:val="36"/>
          <w:rtl/>
        </w:rPr>
        <w:t xml:space="preserve"> </w:t>
      </w:r>
      <w:r w:rsidRPr="00FD211F">
        <w:rPr>
          <w:sz w:val="36"/>
          <w:szCs w:val="36"/>
          <w:rtl/>
        </w:rPr>
        <w:t>كالمفتاح</w:t>
      </w:r>
      <w:r w:rsidR="00E8128F">
        <w:rPr>
          <w:sz w:val="36"/>
          <w:szCs w:val="36"/>
          <w:rtl/>
        </w:rPr>
        <w:t xml:space="preserve"> </w:t>
      </w:r>
      <w:r w:rsidRPr="00FD211F">
        <w:rPr>
          <w:sz w:val="36"/>
          <w:szCs w:val="36"/>
          <w:rtl/>
        </w:rPr>
        <w:t>فقد</w:t>
      </w:r>
      <w:r w:rsidR="00E8128F">
        <w:rPr>
          <w:sz w:val="36"/>
          <w:szCs w:val="36"/>
          <w:rtl/>
        </w:rPr>
        <w:t xml:space="preserve"> </w:t>
      </w:r>
      <w:r w:rsidRPr="00FD211F">
        <w:rPr>
          <w:sz w:val="36"/>
          <w:szCs w:val="36"/>
          <w:rtl/>
        </w:rPr>
        <w:t>استثناه</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النائيني</w:t>
      </w:r>
      <w:r w:rsidR="00E8128F">
        <w:rPr>
          <w:sz w:val="36"/>
          <w:szCs w:val="36"/>
          <w:rtl/>
        </w:rPr>
        <w:t xml:space="preserve"> </w:t>
      </w:r>
      <w:r w:rsidR="00AB1B12" w:rsidRPr="00FD211F">
        <w:rPr>
          <w:sz w:val="36"/>
          <w:szCs w:val="36"/>
          <w:rtl/>
        </w:rPr>
        <w:t>"</w:t>
      </w:r>
      <w:r w:rsidRPr="00FD211F">
        <w:rPr>
          <w:sz w:val="36"/>
          <w:szCs w:val="36"/>
          <w:rtl/>
        </w:rPr>
        <w:t>قده</w:t>
      </w:r>
      <w:r w:rsidR="00AB1B12" w:rsidRPr="00FD211F">
        <w:rPr>
          <w:sz w:val="36"/>
          <w:szCs w:val="36"/>
          <w:rtl/>
        </w:rPr>
        <w:t>"</w:t>
      </w:r>
      <w:r w:rsidR="00E8128F">
        <w:rPr>
          <w:sz w:val="36"/>
          <w:szCs w:val="36"/>
          <w:rtl/>
        </w:rPr>
        <w:t xml:space="preserve"> </w:t>
      </w:r>
      <w:r w:rsidR="00F557E5" w:rsidRPr="00FD211F">
        <w:rPr>
          <w:sz w:val="36"/>
          <w:szCs w:val="36"/>
          <w:rtl/>
        </w:rPr>
        <w:t>تبعا</w:t>
      </w:r>
      <w:r w:rsidR="00E8128F">
        <w:rPr>
          <w:sz w:val="36"/>
          <w:szCs w:val="36"/>
          <w:rtl/>
        </w:rPr>
        <w:t xml:space="preserve"> </w:t>
      </w:r>
      <w:r w:rsidR="00F557E5" w:rsidRPr="00FD211F">
        <w:rPr>
          <w:sz w:val="36"/>
          <w:szCs w:val="36"/>
          <w:rtl/>
        </w:rPr>
        <w:t>لما</w:t>
      </w:r>
      <w:r w:rsidR="00E8128F">
        <w:rPr>
          <w:rFonts w:hint="cs"/>
          <w:sz w:val="36"/>
          <w:szCs w:val="36"/>
          <w:rtl/>
        </w:rPr>
        <w:t xml:space="preserve"> </w:t>
      </w:r>
      <w:r w:rsidR="00F557E5" w:rsidRPr="00FD211F">
        <w:rPr>
          <w:sz w:val="36"/>
          <w:szCs w:val="36"/>
          <w:rtl/>
        </w:rPr>
        <w:t>عن</w:t>
      </w:r>
      <w:r w:rsidR="00E8128F">
        <w:rPr>
          <w:sz w:val="36"/>
          <w:szCs w:val="36"/>
          <w:rtl/>
        </w:rPr>
        <w:t xml:space="preserve"> </w:t>
      </w:r>
      <w:r w:rsidR="00F557E5" w:rsidRPr="00FD211F">
        <w:rPr>
          <w:sz w:val="36"/>
          <w:szCs w:val="36"/>
          <w:rtl/>
        </w:rPr>
        <w:t>صاحب</w:t>
      </w:r>
      <w:r w:rsidR="00E8128F">
        <w:rPr>
          <w:sz w:val="36"/>
          <w:szCs w:val="36"/>
          <w:rtl/>
        </w:rPr>
        <w:t xml:space="preserve"> </w:t>
      </w:r>
      <w:r w:rsidR="00F557E5" w:rsidRPr="00FD211F">
        <w:rPr>
          <w:sz w:val="36"/>
          <w:szCs w:val="36"/>
          <w:rtl/>
        </w:rPr>
        <w:t>الفصول</w:t>
      </w:r>
      <w:r w:rsidR="00E8128F">
        <w:rPr>
          <w:sz w:val="36"/>
          <w:szCs w:val="36"/>
          <w:rtl/>
        </w:rPr>
        <w:t xml:space="preserve"> </w:t>
      </w:r>
      <w:r w:rsidR="00AD1127" w:rsidRPr="00FD211F">
        <w:rPr>
          <w:sz w:val="36"/>
          <w:szCs w:val="36"/>
          <w:rtl/>
        </w:rPr>
        <w:t>-</w:t>
      </w:r>
      <w:r w:rsidRPr="00FD211F">
        <w:rPr>
          <w:sz w:val="36"/>
          <w:szCs w:val="36"/>
          <w:rtl/>
        </w:rPr>
        <w:t>بالرغم</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كونه</w:t>
      </w:r>
      <w:r w:rsidR="00E8128F">
        <w:rPr>
          <w:sz w:val="36"/>
          <w:szCs w:val="36"/>
          <w:rtl/>
        </w:rPr>
        <w:t xml:space="preserve"> </w:t>
      </w:r>
      <w:r w:rsidRPr="00FD211F">
        <w:rPr>
          <w:sz w:val="36"/>
          <w:szCs w:val="36"/>
          <w:rtl/>
        </w:rPr>
        <w:t>مشتقا</w:t>
      </w:r>
      <w:r w:rsidR="00E8128F">
        <w:rPr>
          <w:sz w:val="36"/>
          <w:szCs w:val="36"/>
          <w:rtl/>
        </w:rPr>
        <w:t xml:space="preserve"> </w:t>
      </w:r>
      <w:r w:rsidRPr="00FD211F">
        <w:rPr>
          <w:sz w:val="36"/>
          <w:szCs w:val="36"/>
          <w:rtl/>
        </w:rPr>
        <w:t>وصفيا</w:t>
      </w:r>
      <w:r w:rsidR="00AD1127" w:rsidRPr="00FD211F">
        <w:rPr>
          <w:sz w:val="36"/>
          <w:szCs w:val="36"/>
          <w:rtl/>
        </w:rPr>
        <w:t>-</w:t>
      </w:r>
      <w:r w:rsidR="00E8128F">
        <w:rPr>
          <w:sz w:val="36"/>
          <w:szCs w:val="36"/>
          <w:rtl/>
        </w:rPr>
        <w:t xml:space="preserve"> </w:t>
      </w:r>
      <w:r w:rsidR="00AD1127" w:rsidRPr="00FD211F">
        <w:rPr>
          <w:sz w:val="36"/>
          <w:szCs w:val="36"/>
          <w:rtl/>
        </w:rPr>
        <w:t>حيث</w:t>
      </w:r>
      <w:r w:rsidR="00E8128F">
        <w:rPr>
          <w:sz w:val="36"/>
          <w:szCs w:val="36"/>
          <w:rtl/>
        </w:rPr>
        <w:t xml:space="preserve"> </w:t>
      </w:r>
      <w:r w:rsidR="00AD1127" w:rsidRPr="00FD211F">
        <w:rPr>
          <w:sz w:val="36"/>
          <w:szCs w:val="36"/>
          <w:rtl/>
        </w:rPr>
        <w:t>انه</w:t>
      </w:r>
      <w:r w:rsidR="00E8128F">
        <w:rPr>
          <w:sz w:val="36"/>
          <w:szCs w:val="36"/>
          <w:rtl/>
        </w:rPr>
        <w:t xml:space="preserve"> </w:t>
      </w:r>
      <w:r w:rsidRPr="00FD211F">
        <w:rPr>
          <w:sz w:val="36"/>
          <w:szCs w:val="36"/>
          <w:rtl/>
        </w:rPr>
        <w:t>لااشكال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صدقه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يقبل</w:t>
      </w:r>
      <w:r w:rsidR="00E8128F">
        <w:rPr>
          <w:sz w:val="36"/>
          <w:szCs w:val="36"/>
          <w:rtl/>
        </w:rPr>
        <w:t xml:space="preserve"> </w:t>
      </w:r>
      <w:r w:rsidRPr="00FD211F">
        <w:rPr>
          <w:sz w:val="36"/>
          <w:szCs w:val="36"/>
          <w:rtl/>
        </w:rPr>
        <w:t>الفتح</w:t>
      </w:r>
      <w:r w:rsidR="00E8128F">
        <w:rPr>
          <w:sz w:val="36"/>
          <w:szCs w:val="36"/>
          <w:rtl/>
        </w:rPr>
        <w:t xml:space="preserve"> </w:t>
      </w:r>
      <w:r w:rsidRPr="00FD211F">
        <w:rPr>
          <w:sz w:val="36"/>
          <w:szCs w:val="36"/>
          <w:rtl/>
        </w:rPr>
        <w:t>ولو</w:t>
      </w:r>
      <w:r w:rsidR="00E8128F">
        <w:rPr>
          <w:sz w:val="36"/>
          <w:szCs w:val="36"/>
          <w:rtl/>
        </w:rPr>
        <w:t xml:space="preserve"> </w:t>
      </w:r>
      <w:r w:rsidR="008D7B3D" w:rsidRPr="00FD211F">
        <w:rPr>
          <w:sz w:val="36"/>
          <w:szCs w:val="36"/>
          <w:rtl/>
        </w:rPr>
        <w:t>لم‌</w:t>
      </w:r>
      <w:r w:rsidRPr="00FD211F">
        <w:rPr>
          <w:sz w:val="36"/>
          <w:szCs w:val="36"/>
          <w:rtl/>
        </w:rPr>
        <w:t>يكن</w:t>
      </w:r>
      <w:r w:rsidR="00E8128F">
        <w:rPr>
          <w:sz w:val="36"/>
          <w:szCs w:val="36"/>
          <w:rtl/>
        </w:rPr>
        <w:t xml:space="preserve"> </w:t>
      </w:r>
      <w:r w:rsidRPr="00FD211F">
        <w:rPr>
          <w:sz w:val="36"/>
          <w:szCs w:val="36"/>
          <w:rtl/>
        </w:rPr>
        <w:t>متلبسا</w:t>
      </w:r>
      <w:r w:rsidR="00E8128F">
        <w:rPr>
          <w:sz w:val="36"/>
          <w:szCs w:val="36"/>
          <w:rtl/>
        </w:rPr>
        <w:t xml:space="preserve"> </w:t>
      </w:r>
      <w:r w:rsidRPr="00FD211F">
        <w:rPr>
          <w:sz w:val="36"/>
          <w:szCs w:val="36"/>
          <w:rtl/>
        </w:rPr>
        <w:t>بالفتح</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اي</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الأزمن</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524"/>
      </w:r>
      <w:r w:rsidR="009C58C8" w:rsidRPr="00FD211F">
        <w:rPr>
          <w:rStyle w:val="a6"/>
          <w:sz w:val="36"/>
          <w:szCs w:val="36"/>
          <w:rtl/>
        </w:rPr>
        <w:t>)</w:t>
      </w:r>
      <w:r w:rsidRPr="00FD211F">
        <w:rPr>
          <w:sz w:val="36"/>
          <w:szCs w:val="36"/>
          <w:rtl/>
        </w:rPr>
        <w:t>.</w:t>
      </w:r>
    </w:p>
    <w:p w14:paraId="00469F38" w14:textId="77777777" w:rsidR="00DC517F" w:rsidRPr="00FD211F" w:rsidRDefault="00DC517F" w:rsidP="009C58C8">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اجاب</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المأخوذ</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الآل</w:t>
      </w:r>
      <w:r w:rsidR="00EC7EDF" w:rsidRPr="00FD211F">
        <w:rPr>
          <w:sz w:val="36"/>
          <w:szCs w:val="36"/>
          <w:rtl/>
        </w:rPr>
        <w:t>ة</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لوحظ</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الفعلي</w:t>
      </w:r>
      <w:r w:rsidR="00EC7EDF" w:rsidRPr="00FD211F">
        <w:rPr>
          <w:sz w:val="36"/>
          <w:szCs w:val="36"/>
          <w:rtl/>
        </w:rPr>
        <w:t>ة</w:t>
      </w:r>
      <w:r w:rsidR="00E8128F">
        <w:rPr>
          <w:sz w:val="36"/>
          <w:szCs w:val="36"/>
          <w:rtl/>
        </w:rPr>
        <w:t xml:space="preserve"> </w:t>
      </w:r>
      <w:r w:rsidRPr="00FD211F">
        <w:rPr>
          <w:sz w:val="36"/>
          <w:szCs w:val="36"/>
          <w:rtl/>
        </w:rPr>
        <w:t>فكان</w:t>
      </w:r>
      <w:r w:rsidR="00E8128F">
        <w:rPr>
          <w:sz w:val="36"/>
          <w:szCs w:val="36"/>
          <w:rtl/>
        </w:rPr>
        <w:t xml:space="preserve"> </w:t>
      </w:r>
      <w:r w:rsidRPr="00FD211F">
        <w:rPr>
          <w:sz w:val="36"/>
          <w:szCs w:val="36"/>
          <w:rtl/>
        </w:rPr>
        <w:t>المراد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المفتاح</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الفتح</w:t>
      </w:r>
      <w:r w:rsidR="00E8128F">
        <w:rPr>
          <w:sz w:val="36"/>
          <w:szCs w:val="36"/>
          <w:rtl/>
        </w:rPr>
        <w:t xml:space="preserve"> </w:t>
      </w:r>
      <w:r w:rsidRPr="00FD211F">
        <w:rPr>
          <w:sz w:val="36"/>
          <w:szCs w:val="36"/>
          <w:rtl/>
        </w:rPr>
        <w:t>الفعلي</w:t>
      </w:r>
      <w:r w:rsidR="00E8128F">
        <w:rPr>
          <w:sz w:val="36"/>
          <w:szCs w:val="36"/>
          <w:rtl/>
        </w:rPr>
        <w:t xml:space="preserve"> </w:t>
      </w:r>
      <w:r w:rsidRPr="00FD211F">
        <w:rPr>
          <w:sz w:val="36"/>
          <w:szCs w:val="36"/>
          <w:rtl/>
        </w:rPr>
        <w:t>فلامحال</w:t>
      </w:r>
      <w:r w:rsidR="00EC7EDF" w:rsidRPr="00FD211F">
        <w:rPr>
          <w:sz w:val="36"/>
          <w:szCs w:val="36"/>
          <w:rtl/>
        </w:rPr>
        <w:t>ة</w:t>
      </w:r>
      <w:r w:rsidR="00E8128F">
        <w:rPr>
          <w:sz w:val="36"/>
          <w:szCs w:val="36"/>
          <w:rtl/>
        </w:rPr>
        <w:t xml:space="preserve"> </w:t>
      </w:r>
      <w:r w:rsidRPr="00FD211F">
        <w:rPr>
          <w:sz w:val="36"/>
          <w:szCs w:val="36"/>
          <w:rtl/>
        </w:rPr>
        <w:t>يلتزم</w:t>
      </w:r>
      <w:r w:rsidR="00E8128F">
        <w:rPr>
          <w:sz w:val="36"/>
          <w:szCs w:val="36"/>
          <w:rtl/>
        </w:rPr>
        <w:t xml:space="preserve"> </w:t>
      </w:r>
      <w:r w:rsidRPr="00FD211F">
        <w:rPr>
          <w:sz w:val="36"/>
          <w:szCs w:val="36"/>
          <w:rtl/>
        </w:rPr>
        <w:t>بعدم</w:t>
      </w:r>
      <w:r w:rsidR="00E8128F">
        <w:rPr>
          <w:sz w:val="36"/>
          <w:szCs w:val="36"/>
          <w:rtl/>
        </w:rPr>
        <w:t xml:space="preserve"> </w:t>
      </w:r>
      <w:r w:rsidRPr="00FD211F">
        <w:rPr>
          <w:sz w:val="36"/>
          <w:szCs w:val="36"/>
          <w:rtl/>
        </w:rPr>
        <w:t>صدقه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ما</w:t>
      </w:r>
      <w:r w:rsidR="00E8128F">
        <w:rPr>
          <w:sz w:val="36"/>
          <w:szCs w:val="36"/>
          <w:rtl/>
        </w:rPr>
        <w:t xml:space="preserve"> </w:t>
      </w:r>
      <w:r w:rsidR="008D7B3D" w:rsidRPr="00FD211F">
        <w:rPr>
          <w:sz w:val="36"/>
          <w:szCs w:val="36"/>
          <w:rtl/>
        </w:rPr>
        <w:t>لم‌</w:t>
      </w:r>
      <w:r w:rsidRPr="00FD211F">
        <w:rPr>
          <w:sz w:val="36"/>
          <w:szCs w:val="36"/>
          <w:rtl/>
        </w:rPr>
        <w:t>يكن</w:t>
      </w:r>
      <w:r w:rsidR="00E8128F">
        <w:rPr>
          <w:sz w:val="36"/>
          <w:szCs w:val="36"/>
          <w:rtl/>
        </w:rPr>
        <w:t xml:space="preserve"> </w:t>
      </w:r>
      <w:r w:rsidRPr="00FD211F">
        <w:rPr>
          <w:sz w:val="36"/>
          <w:szCs w:val="36"/>
          <w:rtl/>
        </w:rPr>
        <w:t>متلبسا</w:t>
      </w:r>
      <w:r w:rsidR="00E8128F">
        <w:rPr>
          <w:sz w:val="36"/>
          <w:szCs w:val="36"/>
          <w:rtl/>
        </w:rPr>
        <w:t xml:space="preserve"> </w:t>
      </w:r>
      <w:r w:rsidRPr="00FD211F">
        <w:rPr>
          <w:sz w:val="36"/>
          <w:szCs w:val="36"/>
          <w:rtl/>
        </w:rPr>
        <w:t>بالفتح</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لخصوص</w:t>
      </w:r>
      <w:r w:rsidR="00E8128F">
        <w:rPr>
          <w:sz w:val="36"/>
          <w:szCs w:val="36"/>
          <w:rtl/>
        </w:rPr>
        <w:t xml:space="preserve"> </w:t>
      </w:r>
      <w:r w:rsidRPr="00FD211F">
        <w:rPr>
          <w:sz w:val="36"/>
          <w:szCs w:val="36"/>
          <w:rtl/>
        </w:rPr>
        <w:t>المتلبس</w:t>
      </w:r>
      <w:r w:rsidR="00E8128F">
        <w:rPr>
          <w:sz w:val="36"/>
          <w:szCs w:val="36"/>
          <w:rtl/>
        </w:rPr>
        <w:t xml:space="preserve"> </w:t>
      </w:r>
      <w:r w:rsidRPr="00FD211F">
        <w:rPr>
          <w:sz w:val="36"/>
          <w:szCs w:val="36"/>
          <w:rtl/>
        </w:rPr>
        <w:t>الفعلي</w:t>
      </w:r>
      <w:r w:rsidR="00603323" w:rsidRPr="00FD211F">
        <w:rPr>
          <w:sz w:val="36"/>
          <w:szCs w:val="36"/>
          <w:rtl/>
        </w:rPr>
        <w:t>،</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المراد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الفتح</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قابلي</w:t>
      </w:r>
      <w:r w:rsidR="00EC7EDF" w:rsidRPr="00FD211F">
        <w:rPr>
          <w:sz w:val="36"/>
          <w:szCs w:val="36"/>
          <w:rtl/>
        </w:rPr>
        <w:t>ة</w:t>
      </w:r>
      <w:r w:rsidR="00E8128F">
        <w:rPr>
          <w:sz w:val="36"/>
          <w:szCs w:val="36"/>
          <w:rtl/>
        </w:rPr>
        <w:t xml:space="preserve"> </w:t>
      </w:r>
      <w:r w:rsidRPr="00FD211F">
        <w:rPr>
          <w:sz w:val="36"/>
          <w:szCs w:val="36"/>
          <w:rtl/>
        </w:rPr>
        <w:t>الفتح</w:t>
      </w:r>
      <w:r w:rsidR="00E8128F">
        <w:rPr>
          <w:sz w:val="36"/>
          <w:szCs w:val="36"/>
          <w:rtl/>
        </w:rPr>
        <w:t xml:space="preserve"> </w:t>
      </w:r>
      <w:r w:rsidRPr="00FD211F">
        <w:rPr>
          <w:sz w:val="36"/>
          <w:szCs w:val="36"/>
          <w:rtl/>
        </w:rPr>
        <w:t>فدخوله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محل</w:t>
      </w:r>
      <w:r w:rsidR="00E8128F">
        <w:rPr>
          <w:sz w:val="36"/>
          <w:szCs w:val="36"/>
          <w:rtl/>
        </w:rPr>
        <w:t xml:space="preserve"> </w:t>
      </w:r>
      <w:r w:rsidRPr="00FD211F">
        <w:rPr>
          <w:sz w:val="36"/>
          <w:szCs w:val="36"/>
          <w:rtl/>
        </w:rPr>
        <w:t>النزاع</w:t>
      </w:r>
      <w:r w:rsidR="00E8128F">
        <w:rPr>
          <w:sz w:val="36"/>
          <w:szCs w:val="36"/>
          <w:rtl/>
        </w:rPr>
        <w:t xml:space="preserve"> </w:t>
      </w:r>
      <w:r w:rsidRPr="00FD211F">
        <w:rPr>
          <w:sz w:val="36"/>
          <w:szCs w:val="36"/>
          <w:rtl/>
        </w:rPr>
        <w:t>لابد</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يقاس</w:t>
      </w:r>
      <w:r w:rsidR="00E8128F">
        <w:rPr>
          <w:sz w:val="36"/>
          <w:szCs w:val="36"/>
          <w:rtl/>
        </w:rPr>
        <w:t xml:space="preserve"> </w:t>
      </w:r>
      <w:r w:rsidRPr="00FD211F">
        <w:rPr>
          <w:sz w:val="36"/>
          <w:szCs w:val="36"/>
          <w:rtl/>
        </w:rPr>
        <w:t>بلحاظ</w:t>
      </w:r>
      <w:r w:rsidR="00E8128F">
        <w:rPr>
          <w:sz w:val="36"/>
          <w:szCs w:val="36"/>
          <w:rtl/>
        </w:rPr>
        <w:t xml:space="preserve"> </w:t>
      </w:r>
      <w:r w:rsidRPr="00FD211F">
        <w:rPr>
          <w:sz w:val="36"/>
          <w:szCs w:val="36"/>
          <w:rtl/>
        </w:rPr>
        <w:t>حال</w:t>
      </w:r>
      <w:r w:rsidR="00E8128F">
        <w:rPr>
          <w:sz w:val="36"/>
          <w:szCs w:val="36"/>
          <w:rtl/>
        </w:rPr>
        <w:t xml:space="preserve"> </w:t>
      </w:r>
      <w:r w:rsidRPr="00FD211F">
        <w:rPr>
          <w:sz w:val="36"/>
          <w:szCs w:val="36"/>
          <w:rtl/>
        </w:rPr>
        <w:t>انقضاء</w:t>
      </w:r>
      <w:r w:rsidR="00E8128F">
        <w:rPr>
          <w:sz w:val="36"/>
          <w:szCs w:val="36"/>
          <w:rtl/>
        </w:rPr>
        <w:t xml:space="preserve"> </w:t>
      </w:r>
      <w:r w:rsidRPr="00FD211F">
        <w:rPr>
          <w:sz w:val="36"/>
          <w:szCs w:val="36"/>
          <w:rtl/>
        </w:rPr>
        <w:t>تلبس</w:t>
      </w:r>
      <w:r w:rsidR="00E8128F">
        <w:rPr>
          <w:sz w:val="36"/>
          <w:szCs w:val="36"/>
          <w:rtl/>
        </w:rPr>
        <w:t xml:space="preserve"> </w:t>
      </w:r>
      <w:r w:rsidRPr="00FD211F">
        <w:rPr>
          <w:sz w:val="36"/>
          <w:szCs w:val="36"/>
          <w:rtl/>
        </w:rPr>
        <w:t>المفتاح</w:t>
      </w:r>
      <w:r w:rsidR="00E8128F">
        <w:rPr>
          <w:sz w:val="36"/>
          <w:szCs w:val="36"/>
          <w:rtl/>
        </w:rPr>
        <w:t xml:space="preserve"> </w:t>
      </w:r>
      <w:r w:rsidRPr="00FD211F">
        <w:rPr>
          <w:sz w:val="36"/>
          <w:szCs w:val="36"/>
          <w:rtl/>
        </w:rPr>
        <w:t>بقابلي</w:t>
      </w:r>
      <w:r w:rsidR="00EC7EDF" w:rsidRPr="00FD211F">
        <w:rPr>
          <w:sz w:val="36"/>
          <w:szCs w:val="36"/>
          <w:rtl/>
        </w:rPr>
        <w:t>ة</w:t>
      </w:r>
      <w:r w:rsidR="00E8128F">
        <w:rPr>
          <w:sz w:val="36"/>
          <w:szCs w:val="36"/>
          <w:rtl/>
        </w:rPr>
        <w:t xml:space="preserve"> </w:t>
      </w:r>
      <w:r w:rsidRPr="00FD211F">
        <w:rPr>
          <w:sz w:val="36"/>
          <w:szCs w:val="36"/>
          <w:rtl/>
        </w:rPr>
        <w:t>الفتح.</w:t>
      </w:r>
    </w:p>
    <w:p w14:paraId="3056D2A7" w14:textId="77777777" w:rsidR="00DC517F" w:rsidRPr="00FD211F" w:rsidRDefault="00DC517F" w:rsidP="009C58C8">
      <w:pPr>
        <w:ind w:left="0" w:firstLine="227"/>
        <w:jc w:val="both"/>
        <w:rPr>
          <w:sz w:val="36"/>
          <w:szCs w:val="36"/>
          <w:rtl/>
        </w:rPr>
      </w:pPr>
      <w:r w:rsidRPr="00FD211F">
        <w:rPr>
          <w:sz w:val="36"/>
          <w:szCs w:val="36"/>
          <w:rtl/>
        </w:rPr>
        <w:t>ويرد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سيأتي</w:t>
      </w:r>
      <w:r w:rsidR="00E8128F">
        <w:rPr>
          <w:sz w:val="36"/>
          <w:szCs w:val="36"/>
          <w:rtl/>
        </w:rPr>
        <w:t xml:space="preserve"> </w:t>
      </w:r>
      <w:r w:rsidRPr="00FD211F">
        <w:rPr>
          <w:sz w:val="36"/>
          <w:szCs w:val="36"/>
          <w:rtl/>
        </w:rPr>
        <w:t>منه</w:t>
      </w:r>
      <w:r w:rsidR="00E8128F">
        <w:rPr>
          <w:sz w:val="36"/>
          <w:szCs w:val="36"/>
          <w:rtl/>
        </w:rPr>
        <w:t xml:space="preserve"> </w:t>
      </w:r>
      <w:r w:rsidR="00AB1B12" w:rsidRPr="00FD211F">
        <w:rPr>
          <w:sz w:val="36"/>
          <w:szCs w:val="36"/>
          <w:rtl/>
        </w:rPr>
        <w:t>"</w:t>
      </w:r>
      <w:r w:rsidRPr="00FD211F">
        <w:rPr>
          <w:sz w:val="36"/>
          <w:szCs w:val="36"/>
          <w:rtl/>
        </w:rPr>
        <w:t>قده</w:t>
      </w:r>
      <w:r w:rsidR="00AB1B12"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الماد</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الآل</w:t>
      </w:r>
      <w:r w:rsidR="00EC7EDF" w:rsidRPr="00FD211F">
        <w:rPr>
          <w:sz w:val="36"/>
          <w:szCs w:val="36"/>
          <w:rtl/>
        </w:rPr>
        <w:t>ة</w:t>
      </w:r>
      <w:r w:rsidR="00E8128F">
        <w:rPr>
          <w:sz w:val="36"/>
          <w:szCs w:val="36"/>
          <w:rtl/>
        </w:rPr>
        <w:t xml:space="preserve"> </w:t>
      </w:r>
      <w:r w:rsidRPr="00FD211F">
        <w:rPr>
          <w:sz w:val="36"/>
          <w:szCs w:val="36"/>
          <w:rtl/>
        </w:rPr>
        <w:t>موضوع</w:t>
      </w:r>
      <w:r w:rsidR="00EC7EDF" w:rsidRPr="00FD211F">
        <w:rPr>
          <w:sz w:val="36"/>
          <w:szCs w:val="36"/>
          <w:rtl/>
        </w:rPr>
        <w:t>ة</w:t>
      </w:r>
      <w:r w:rsidR="00E8128F">
        <w:rPr>
          <w:sz w:val="36"/>
          <w:szCs w:val="36"/>
          <w:rtl/>
        </w:rPr>
        <w:t xml:space="preserve"> </w:t>
      </w:r>
      <w:r w:rsidRPr="00FD211F">
        <w:rPr>
          <w:sz w:val="36"/>
          <w:szCs w:val="36"/>
          <w:rtl/>
        </w:rPr>
        <w:t>لمدلولها</w:t>
      </w:r>
      <w:r w:rsidR="00E8128F">
        <w:rPr>
          <w:sz w:val="36"/>
          <w:szCs w:val="36"/>
          <w:rtl/>
        </w:rPr>
        <w:t xml:space="preserve"> </w:t>
      </w:r>
      <w:r w:rsidRPr="00FD211F">
        <w:rPr>
          <w:sz w:val="36"/>
          <w:szCs w:val="36"/>
          <w:rtl/>
        </w:rPr>
        <w:t>الثابت</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ضمن</w:t>
      </w:r>
      <w:r w:rsidR="00E8128F">
        <w:rPr>
          <w:sz w:val="36"/>
          <w:szCs w:val="36"/>
          <w:rtl/>
        </w:rPr>
        <w:t xml:space="preserve"> </w:t>
      </w:r>
      <w:r w:rsidRPr="00FD211F">
        <w:rPr>
          <w:sz w:val="36"/>
          <w:szCs w:val="36"/>
          <w:rtl/>
        </w:rPr>
        <w:t>سائر</w:t>
      </w:r>
      <w:r w:rsidR="00E8128F">
        <w:rPr>
          <w:sz w:val="36"/>
          <w:szCs w:val="36"/>
          <w:rtl/>
        </w:rPr>
        <w:t xml:space="preserve"> </w:t>
      </w:r>
      <w:r w:rsidRPr="00FD211F">
        <w:rPr>
          <w:sz w:val="36"/>
          <w:szCs w:val="36"/>
          <w:rtl/>
        </w:rPr>
        <w:t>الهيئات</w:t>
      </w:r>
      <w:r w:rsidR="00E8128F">
        <w:rPr>
          <w:sz w:val="36"/>
          <w:szCs w:val="36"/>
          <w:rtl/>
        </w:rPr>
        <w:t xml:space="preserve"> </w:t>
      </w:r>
      <w:r w:rsidRPr="00FD211F">
        <w:rPr>
          <w:sz w:val="36"/>
          <w:szCs w:val="36"/>
          <w:rtl/>
        </w:rPr>
        <w:t>والنسب</w:t>
      </w:r>
      <w:r w:rsidR="00EC7EDF" w:rsidRPr="00FD211F">
        <w:rPr>
          <w:sz w:val="36"/>
          <w:szCs w:val="36"/>
          <w:rtl/>
        </w:rPr>
        <w:t>ة</w:t>
      </w:r>
      <w:r w:rsidR="00E8128F">
        <w:rPr>
          <w:sz w:val="36"/>
          <w:szCs w:val="36"/>
          <w:rtl/>
        </w:rPr>
        <w:t xml:space="preserve"> </w:t>
      </w:r>
      <w:r w:rsidRPr="00FD211F">
        <w:rPr>
          <w:sz w:val="36"/>
          <w:szCs w:val="36"/>
          <w:rtl/>
        </w:rPr>
        <w:t>الاعدادي</w:t>
      </w:r>
      <w:r w:rsidR="00EC7EDF" w:rsidRPr="00FD211F">
        <w:rPr>
          <w:sz w:val="36"/>
          <w:szCs w:val="36"/>
          <w:rtl/>
        </w:rPr>
        <w:t>ة</w:t>
      </w:r>
      <w:r w:rsidR="00E8128F">
        <w:rPr>
          <w:sz w:val="36"/>
          <w:szCs w:val="36"/>
          <w:rtl/>
        </w:rPr>
        <w:t xml:space="preserve"> </w:t>
      </w:r>
      <w:r w:rsidRPr="00FD211F">
        <w:rPr>
          <w:sz w:val="36"/>
          <w:szCs w:val="36"/>
          <w:rtl/>
        </w:rPr>
        <w:t>مستفاد</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الهيئ</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وما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لوحظ</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الفعلي</w:t>
      </w:r>
      <w:r w:rsidR="00EC7EDF" w:rsidRPr="00FD211F">
        <w:rPr>
          <w:sz w:val="36"/>
          <w:szCs w:val="36"/>
          <w:rtl/>
        </w:rPr>
        <w:t>ة</w:t>
      </w:r>
      <w:r w:rsidR="00E8128F">
        <w:rPr>
          <w:sz w:val="36"/>
          <w:szCs w:val="36"/>
          <w:rtl/>
        </w:rPr>
        <w:t xml:space="preserve"> </w:t>
      </w:r>
      <w:r w:rsidRPr="00FD211F">
        <w:rPr>
          <w:sz w:val="36"/>
          <w:szCs w:val="36"/>
          <w:rtl/>
        </w:rPr>
        <w:t>فبناء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للمتلبس</w:t>
      </w:r>
      <w:r w:rsidR="00E8128F">
        <w:rPr>
          <w:sz w:val="36"/>
          <w:szCs w:val="36"/>
          <w:rtl/>
        </w:rPr>
        <w:t xml:space="preserve"> </w:t>
      </w:r>
      <w:r w:rsidRPr="00FD211F">
        <w:rPr>
          <w:sz w:val="36"/>
          <w:szCs w:val="36"/>
          <w:rtl/>
        </w:rPr>
        <w:t>يلتزم</w:t>
      </w:r>
      <w:r w:rsidR="00E8128F">
        <w:rPr>
          <w:sz w:val="36"/>
          <w:szCs w:val="36"/>
          <w:rtl/>
        </w:rPr>
        <w:t xml:space="preserve"> </w:t>
      </w:r>
      <w:r w:rsidRPr="00FD211F">
        <w:rPr>
          <w:sz w:val="36"/>
          <w:szCs w:val="36"/>
          <w:rtl/>
        </w:rPr>
        <w:t>بعدم</w:t>
      </w:r>
      <w:r w:rsidR="00E8128F">
        <w:rPr>
          <w:sz w:val="36"/>
          <w:szCs w:val="36"/>
          <w:rtl/>
        </w:rPr>
        <w:t xml:space="preserve"> </w:t>
      </w:r>
      <w:r w:rsidRPr="00FD211F">
        <w:rPr>
          <w:sz w:val="36"/>
          <w:szCs w:val="36"/>
          <w:rtl/>
        </w:rPr>
        <w:t>صدقه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مورد</w:t>
      </w:r>
      <w:r w:rsidR="00E8128F">
        <w:rPr>
          <w:sz w:val="36"/>
          <w:szCs w:val="36"/>
          <w:rtl/>
        </w:rPr>
        <w:t xml:space="preserve"> </w:t>
      </w:r>
      <w:r w:rsidRPr="00FD211F">
        <w:rPr>
          <w:sz w:val="36"/>
          <w:szCs w:val="36"/>
          <w:rtl/>
        </w:rPr>
        <w:t>النقض</w:t>
      </w:r>
      <w:r w:rsidR="00E8128F">
        <w:rPr>
          <w:sz w:val="36"/>
          <w:szCs w:val="36"/>
          <w:rtl/>
        </w:rPr>
        <w:t xml:space="preserve"> </w:t>
      </w:r>
      <w:r w:rsidRPr="00FD211F">
        <w:rPr>
          <w:sz w:val="36"/>
          <w:szCs w:val="36"/>
          <w:rtl/>
        </w:rPr>
        <w:t>ففيه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الالتزام</w:t>
      </w:r>
      <w:r w:rsidR="00E8128F">
        <w:rPr>
          <w:sz w:val="36"/>
          <w:szCs w:val="36"/>
          <w:rtl/>
        </w:rPr>
        <w:t xml:space="preserve"> </w:t>
      </w:r>
      <w:r w:rsidRPr="00FD211F">
        <w:rPr>
          <w:sz w:val="36"/>
          <w:szCs w:val="36"/>
          <w:rtl/>
        </w:rPr>
        <w:t>به</w:t>
      </w:r>
      <w:r w:rsidR="00E8128F">
        <w:rPr>
          <w:sz w:val="36"/>
          <w:szCs w:val="36"/>
          <w:rtl/>
        </w:rPr>
        <w:t xml:space="preserve"> </w:t>
      </w:r>
      <w:r w:rsidRPr="00FD211F">
        <w:rPr>
          <w:sz w:val="36"/>
          <w:szCs w:val="36"/>
          <w:rtl/>
        </w:rPr>
        <w:t>خلاف</w:t>
      </w:r>
      <w:r w:rsidR="00E8128F">
        <w:rPr>
          <w:sz w:val="36"/>
          <w:szCs w:val="36"/>
          <w:rtl/>
        </w:rPr>
        <w:t xml:space="preserve"> </w:t>
      </w:r>
      <w:r w:rsidRPr="00FD211F">
        <w:rPr>
          <w:sz w:val="36"/>
          <w:szCs w:val="36"/>
          <w:rtl/>
        </w:rPr>
        <w:t>الضرور</w:t>
      </w:r>
      <w:r w:rsidR="00EC7EDF" w:rsidRPr="00FD211F">
        <w:rPr>
          <w:sz w:val="36"/>
          <w:szCs w:val="36"/>
          <w:rtl/>
        </w:rPr>
        <w:t>ة</w:t>
      </w:r>
      <w:r w:rsidR="00E8128F">
        <w:rPr>
          <w:sz w:val="36"/>
          <w:szCs w:val="36"/>
          <w:rtl/>
        </w:rPr>
        <w:t xml:space="preserve"> </w:t>
      </w:r>
      <w:r w:rsidRPr="00FD211F">
        <w:rPr>
          <w:sz w:val="36"/>
          <w:szCs w:val="36"/>
          <w:rtl/>
        </w:rPr>
        <w:t>العرفي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ولأجل</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استثنى</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النائيني</w:t>
      </w:r>
      <w:r w:rsidR="00E8128F">
        <w:rPr>
          <w:sz w:val="36"/>
          <w:szCs w:val="36"/>
          <w:rtl/>
        </w:rPr>
        <w:t xml:space="preserve"> </w:t>
      </w:r>
      <w:r w:rsidR="00AB1B12" w:rsidRPr="00FD211F">
        <w:rPr>
          <w:sz w:val="36"/>
          <w:szCs w:val="36"/>
          <w:rtl/>
        </w:rPr>
        <w:t>"</w:t>
      </w:r>
      <w:r w:rsidRPr="00FD211F">
        <w:rPr>
          <w:sz w:val="36"/>
          <w:szCs w:val="36"/>
          <w:rtl/>
        </w:rPr>
        <w:t>قده</w:t>
      </w:r>
      <w:r w:rsidR="00AB1B12" w:rsidRPr="00FD211F">
        <w:rPr>
          <w:sz w:val="36"/>
          <w:szCs w:val="36"/>
          <w:rtl/>
        </w:rPr>
        <w:t>"</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الآل</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محل</w:t>
      </w:r>
      <w:r w:rsidR="00E8128F">
        <w:rPr>
          <w:sz w:val="36"/>
          <w:szCs w:val="36"/>
          <w:rtl/>
        </w:rPr>
        <w:t xml:space="preserve"> </w:t>
      </w:r>
      <w:r w:rsidRPr="00FD211F">
        <w:rPr>
          <w:sz w:val="36"/>
          <w:szCs w:val="36"/>
          <w:rtl/>
        </w:rPr>
        <w:t>الن</w:t>
      </w:r>
      <w:r w:rsidR="00AD1127" w:rsidRPr="00FD211F">
        <w:rPr>
          <w:sz w:val="36"/>
          <w:szCs w:val="36"/>
          <w:rtl/>
        </w:rPr>
        <w:t>ز</w:t>
      </w:r>
      <w:r w:rsidRPr="00FD211F">
        <w:rPr>
          <w:sz w:val="36"/>
          <w:szCs w:val="36"/>
          <w:rtl/>
        </w:rPr>
        <w:t>اع.</w:t>
      </w:r>
    </w:p>
    <w:p w14:paraId="0DDC2A10" w14:textId="77777777" w:rsidR="003F188F" w:rsidRPr="00FD211F" w:rsidRDefault="00DC517F" w:rsidP="009C58C8">
      <w:pPr>
        <w:ind w:left="0" w:firstLine="227"/>
        <w:jc w:val="both"/>
        <w:rPr>
          <w:sz w:val="36"/>
          <w:szCs w:val="36"/>
          <w:rtl/>
        </w:rPr>
      </w:pPr>
      <w:r w:rsidRPr="00FD211F">
        <w:rPr>
          <w:sz w:val="36"/>
          <w:szCs w:val="36"/>
          <w:rtl/>
        </w:rPr>
        <w:t>فالصحيح</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الجواب</w:t>
      </w:r>
      <w:r w:rsidR="00E8128F">
        <w:rPr>
          <w:sz w:val="36"/>
          <w:szCs w:val="36"/>
          <w:rtl/>
        </w:rPr>
        <w:t xml:space="preserve"> </w:t>
      </w:r>
      <w:r w:rsidR="00456DE6" w:rsidRPr="00FD211F">
        <w:rPr>
          <w:sz w:val="36"/>
          <w:szCs w:val="36"/>
          <w:rtl/>
        </w:rPr>
        <w:t>عما</w:t>
      </w:r>
      <w:r w:rsidR="00E8128F">
        <w:rPr>
          <w:sz w:val="36"/>
          <w:szCs w:val="36"/>
          <w:rtl/>
        </w:rPr>
        <w:t xml:space="preserve"> </w:t>
      </w:r>
      <w:r w:rsidR="00456DE6" w:rsidRPr="00FD211F">
        <w:rPr>
          <w:sz w:val="36"/>
          <w:szCs w:val="36"/>
          <w:rtl/>
        </w:rPr>
        <w:t>ذكره</w:t>
      </w:r>
      <w:r w:rsidR="00E8128F">
        <w:rPr>
          <w:sz w:val="36"/>
          <w:szCs w:val="36"/>
          <w:rtl/>
        </w:rPr>
        <w:t xml:space="preserve"> </w:t>
      </w:r>
      <w:r w:rsidR="00AD1127" w:rsidRPr="00FD211F">
        <w:rPr>
          <w:sz w:val="36"/>
          <w:szCs w:val="36"/>
          <w:rtl/>
        </w:rPr>
        <w:t>المحقق</w:t>
      </w:r>
      <w:r w:rsidR="00E8128F">
        <w:rPr>
          <w:sz w:val="36"/>
          <w:szCs w:val="36"/>
          <w:rtl/>
        </w:rPr>
        <w:t xml:space="preserve"> </w:t>
      </w:r>
      <w:r w:rsidR="00AD1127" w:rsidRPr="00FD211F">
        <w:rPr>
          <w:sz w:val="36"/>
          <w:szCs w:val="36"/>
          <w:rtl/>
        </w:rPr>
        <w:t>النائيني</w:t>
      </w:r>
      <w:r w:rsidR="00E8128F">
        <w:rPr>
          <w:sz w:val="36"/>
          <w:szCs w:val="36"/>
          <w:rtl/>
        </w:rPr>
        <w:t xml:space="preserve"> </w:t>
      </w:r>
      <w:r w:rsidR="00AB1B12" w:rsidRPr="00FD211F">
        <w:rPr>
          <w:sz w:val="36"/>
          <w:szCs w:val="36"/>
          <w:rtl/>
        </w:rPr>
        <w:t>"</w:t>
      </w:r>
      <w:r w:rsidR="00AD1127" w:rsidRPr="00FD211F">
        <w:rPr>
          <w:sz w:val="36"/>
          <w:szCs w:val="36"/>
          <w:rtl/>
        </w:rPr>
        <w:t>قده</w:t>
      </w:r>
      <w:r w:rsidR="00AB1B12"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ان</w:t>
      </w:r>
      <w:r w:rsidR="00E8128F">
        <w:rPr>
          <w:sz w:val="36"/>
          <w:szCs w:val="36"/>
          <w:rtl/>
        </w:rPr>
        <w:t xml:space="preserve"> </w:t>
      </w:r>
      <w:r w:rsidR="00F557E5" w:rsidRPr="00FD211F">
        <w:rPr>
          <w:sz w:val="36"/>
          <w:szCs w:val="36"/>
          <w:rtl/>
        </w:rPr>
        <w:t>مفاد</w:t>
      </w:r>
      <w:r w:rsidR="00E8128F">
        <w:rPr>
          <w:sz w:val="36"/>
          <w:szCs w:val="36"/>
          <w:rtl/>
        </w:rPr>
        <w:t xml:space="preserve"> </w:t>
      </w:r>
      <w:r w:rsidR="00F557E5" w:rsidRPr="00FD211F">
        <w:rPr>
          <w:sz w:val="36"/>
          <w:szCs w:val="36"/>
          <w:rtl/>
        </w:rPr>
        <w:t>الهيئ</w:t>
      </w:r>
      <w:r w:rsidR="00EC7EDF" w:rsidRPr="00FD211F">
        <w:rPr>
          <w:sz w:val="36"/>
          <w:szCs w:val="36"/>
          <w:rtl/>
        </w:rPr>
        <w:t>ة</w:t>
      </w:r>
      <w:r w:rsidR="00E8128F">
        <w:rPr>
          <w:sz w:val="36"/>
          <w:szCs w:val="36"/>
          <w:rtl/>
        </w:rPr>
        <w:t xml:space="preserve"> </w:t>
      </w:r>
      <w:r w:rsidR="00F557E5" w:rsidRPr="00FD211F">
        <w:rPr>
          <w:sz w:val="36"/>
          <w:szCs w:val="36"/>
          <w:rtl/>
        </w:rPr>
        <w:t>في</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الآل</w:t>
      </w:r>
      <w:r w:rsidR="00EC7EDF" w:rsidRPr="00FD211F">
        <w:rPr>
          <w:sz w:val="36"/>
          <w:szCs w:val="36"/>
          <w:rtl/>
        </w:rPr>
        <w:t>ة</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w:t>
      </w:r>
      <w:r w:rsidR="00F557E5" w:rsidRPr="00FD211F">
        <w:rPr>
          <w:sz w:val="36"/>
          <w:szCs w:val="36"/>
          <w:rtl/>
        </w:rPr>
        <w:t>تلبس</w:t>
      </w:r>
      <w:r w:rsidR="00E8128F">
        <w:rPr>
          <w:sz w:val="36"/>
          <w:szCs w:val="36"/>
          <w:rtl/>
        </w:rPr>
        <w:t xml:space="preserve"> </w:t>
      </w:r>
      <w:r w:rsidR="00F557E5" w:rsidRPr="00FD211F">
        <w:rPr>
          <w:sz w:val="36"/>
          <w:szCs w:val="36"/>
          <w:rtl/>
        </w:rPr>
        <w:t>الإعدادي</w:t>
      </w:r>
      <w:r w:rsidR="00603323" w:rsidRPr="00FD211F">
        <w:rPr>
          <w:sz w:val="36"/>
          <w:szCs w:val="36"/>
          <w:rtl/>
        </w:rPr>
        <w:t>،</w:t>
      </w:r>
      <w:r w:rsidR="00E8128F">
        <w:rPr>
          <w:sz w:val="36"/>
          <w:szCs w:val="36"/>
          <w:rtl/>
        </w:rPr>
        <w:t xml:space="preserve"> </w:t>
      </w:r>
      <w:r w:rsidR="00F557E5" w:rsidRPr="00FD211F">
        <w:rPr>
          <w:sz w:val="36"/>
          <w:szCs w:val="36"/>
          <w:rtl/>
        </w:rPr>
        <w:t>فالمفتاح</w:t>
      </w:r>
      <w:r w:rsidR="00E8128F">
        <w:rPr>
          <w:sz w:val="36"/>
          <w:szCs w:val="36"/>
          <w:rtl/>
        </w:rPr>
        <w:t xml:space="preserve"> </w:t>
      </w:r>
      <w:r w:rsidR="00F557E5" w:rsidRPr="00FD211F">
        <w:rPr>
          <w:sz w:val="36"/>
          <w:szCs w:val="36"/>
          <w:rtl/>
        </w:rPr>
        <w:t>بمعنى</w:t>
      </w:r>
      <w:r w:rsidR="00E8128F">
        <w:rPr>
          <w:sz w:val="36"/>
          <w:szCs w:val="36"/>
          <w:rtl/>
        </w:rPr>
        <w:t xml:space="preserve"> </w:t>
      </w:r>
      <w:r w:rsidR="00F557E5" w:rsidRPr="00FD211F">
        <w:rPr>
          <w:sz w:val="36"/>
          <w:szCs w:val="36"/>
          <w:rtl/>
        </w:rPr>
        <w:t>ما</w:t>
      </w:r>
      <w:r w:rsidR="00E8128F">
        <w:rPr>
          <w:sz w:val="36"/>
          <w:szCs w:val="36"/>
          <w:rtl/>
        </w:rPr>
        <w:t xml:space="preserve"> </w:t>
      </w:r>
      <w:r w:rsidR="00F557E5" w:rsidRPr="00FD211F">
        <w:rPr>
          <w:sz w:val="36"/>
          <w:szCs w:val="36"/>
          <w:rtl/>
        </w:rPr>
        <w:t>اعد</w:t>
      </w:r>
      <w:r w:rsidR="00E8128F">
        <w:rPr>
          <w:sz w:val="36"/>
          <w:szCs w:val="36"/>
          <w:rtl/>
        </w:rPr>
        <w:t xml:space="preserve"> </w:t>
      </w:r>
      <w:r w:rsidR="00F557E5" w:rsidRPr="00FD211F">
        <w:rPr>
          <w:sz w:val="36"/>
          <w:szCs w:val="36"/>
          <w:rtl/>
        </w:rPr>
        <w:t>للفتح</w:t>
      </w:r>
      <w:r w:rsidR="00603323" w:rsidRPr="00FD211F">
        <w:rPr>
          <w:sz w:val="36"/>
          <w:szCs w:val="36"/>
          <w:rtl/>
        </w:rPr>
        <w:t>،</w:t>
      </w:r>
      <w:r w:rsidR="00E8128F">
        <w:rPr>
          <w:sz w:val="36"/>
          <w:szCs w:val="36"/>
          <w:rtl/>
        </w:rPr>
        <w:t xml:space="preserve"> </w:t>
      </w:r>
      <w:r w:rsidR="00F557E5" w:rsidRPr="00FD211F">
        <w:rPr>
          <w:sz w:val="36"/>
          <w:szCs w:val="36"/>
          <w:rtl/>
        </w:rPr>
        <w:t>وانقضاء</w:t>
      </w:r>
      <w:r w:rsidR="00E8128F">
        <w:rPr>
          <w:sz w:val="36"/>
          <w:szCs w:val="36"/>
          <w:rtl/>
        </w:rPr>
        <w:t xml:space="preserve"> </w:t>
      </w:r>
      <w:r w:rsidR="00F557E5" w:rsidRPr="00FD211F">
        <w:rPr>
          <w:sz w:val="36"/>
          <w:szCs w:val="36"/>
          <w:rtl/>
        </w:rPr>
        <w:t>التلبس</w:t>
      </w:r>
      <w:r w:rsidR="00E8128F">
        <w:rPr>
          <w:sz w:val="36"/>
          <w:szCs w:val="36"/>
          <w:rtl/>
        </w:rPr>
        <w:t xml:space="preserve"> </w:t>
      </w:r>
      <w:r w:rsidR="00F557E5" w:rsidRPr="00FD211F">
        <w:rPr>
          <w:sz w:val="36"/>
          <w:szCs w:val="36"/>
          <w:rtl/>
        </w:rPr>
        <w:t>فيه</w:t>
      </w:r>
      <w:r w:rsidR="00E8128F">
        <w:rPr>
          <w:sz w:val="36"/>
          <w:szCs w:val="36"/>
          <w:rtl/>
        </w:rPr>
        <w:t xml:space="preserve"> </w:t>
      </w:r>
      <w:r w:rsidRPr="00FD211F">
        <w:rPr>
          <w:sz w:val="36"/>
          <w:szCs w:val="36"/>
          <w:rtl/>
        </w:rPr>
        <w:t>انما</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بانقضاء</w:t>
      </w:r>
      <w:r w:rsidR="00E8128F">
        <w:rPr>
          <w:sz w:val="36"/>
          <w:szCs w:val="36"/>
          <w:rtl/>
        </w:rPr>
        <w:t xml:space="preserve"> </w:t>
      </w:r>
      <w:r w:rsidRPr="00FD211F">
        <w:rPr>
          <w:sz w:val="36"/>
          <w:szCs w:val="36"/>
          <w:rtl/>
        </w:rPr>
        <w:t>إعداده</w:t>
      </w:r>
      <w:r w:rsidR="00E8128F">
        <w:rPr>
          <w:sz w:val="36"/>
          <w:szCs w:val="36"/>
          <w:rtl/>
        </w:rPr>
        <w:t xml:space="preserve"> </w:t>
      </w:r>
      <w:r w:rsidRPr="00FD211F">
        <w:rPr>
          <w:sz w:val="36"/>
          <w:szCs w:val="36"/>
          <w:rtl/>
        </w:rPr>
        <w:t>للفتح</w:t>
      </w:r>
      <w:r w:rsidR="00E8128F">
        <w:rPr>
          <w:sz w:val="36"/>
          <w:szCs w:val="36"/>
          <w:rtl/>
        </w:rPr>
        <w:t xml:space="preserve"> </w:t>
      </w:r>
      <w:r w:rsidR="00456DE6" w:rsidRPr="00FD211F">
        <w:rPr>
          <w:sz w:val="36"/>
          <w:szCs w:val="36"/>
          <w:rtl/>
        </w:rPr>
        <w:t>كما</w:t>
      </w:r>
      <w:r w:rsidR="00E8128F">
        <w:rPr>
          <w:sz w:val="36"/>
          <w:szCs w:val="36"/>
          <w:rtl/>
        </w:rPr>
        <w:t xml:space="preserve"> </w:t>
      </w:r>
      <w:r w:rsidR="00456DE6" w:rsidRPr="00FD211F">
        <w:rPr>
          <w:sz w:val="36"/>
          <w:szCs w:val="36"/>
          <w:rtl/>
        </w:rPr>
        <w:t>اذا</w:t>
      </w:r>
      <w:r w:rsidR="00E8128F">
        <w:rPr>
          <w:sz w:val="36"/>
          <w:szCs w:val="36"/>
          <w:rtl/>
        </w:rPr>
        <w:t xml:space="preserve"> </w:t>
      </w:r>
      <w:r w:rsidR="00456DE6" w:rsidRPr="00FD211F">
        <w:rPr>
          <w:sz w:val="36"/>
          <w:szCs w:val="36"/>
          <w:rtl/>
        </w:rPr>
        <w:t>انكسرت</w:t>
      </w:r>
      <w:r w:rsidR="00E8128F">
        <w:rPr>
          <w:sz w:val="36"/>
          <w:szCs w:val="36"/>
          <w:rtl/>
        </w:rPr>
        <w:t xml:space="preserve"> </w:t>
      </w:r>
      <w:r w:rsidR="00456DE6" w:rsidRPr="00FD211F">
        <w:rPr>
          <w:sz w:val="36"/>
          <w:szCs w:val="36"/>
          <w:rtl/>
        </w:rPr>
        <w:t>اسنانه</w:t>
      </w:r>
      <w:r w:rsidR="00E8128F">
        <w:rPr>
          <w:sz w:val="36"/>
          <w:szCs w:val="36"/>
          <w:rtl/>
        </w:rPr>
        <w:t xml:space="preserve"> </w:t>
      </w:r>
      <w:r w:rsidR="00456DE6" w:rsidRPr="00FD211F">
        <w:rPr>
          <w:sz w:val="36"/>
          <w:szCs w:val="36"/>
          <w:rtl/>
        </w:rPr>
        <w:t>مثلا</w:t>
      </w:r>
      <w:r w:rsidR="00E8128F">
        <w:rPr>
          <w:sz w:val="36"/>
          <w:szCs w:val="36"/>
          <w:rtl/>
        </w:rPr>
        <w:t xml:space="preserve"> </w:t>
      </w:r>
      <w:r w:rsidR="009977FE" w:rsidRPr="00FD211F">
        <w:rPr>
          <w:sz w:val="36"/>
          <w:szCs w:val="36"/>
          <w:rtl/>
        </w:rPr>
        <w:t>و</w:t>
      </w:r>
      <w:r w:rsidR="00E8128F">
        <w:rPr>
          <w:sz w:val="36"/>
          <w:szCs w:val="36"/>
          <w:rtl/>
        </w:rPr>
        <w:t xml:space="preserve"> </w:t>
      </w:r>
      <w:r w:rsidR="008D7B3D" w:rsidRPr="00FD211F">
        <w:rPr>
          <w:sz w:val="36"/>
          <w:szCs w:val="36"/>
          <w:rtl/>
        </w:rPr>
        <w:t>لم‌</w:t>
      </w:r>
      <w:r w:rsidR="005D5A20" w:rsidRPr="00FD211F">
        <w:rPr>
          <w:sz w:val="36"/>
          <w:szCs w:val="36"/>
          <w:rtl/>
        </w:rPr>
        <w:t>يصلح</w:t>
      </w:r>
      <w:r w:rsidR="00E8128F">
        <w:rPr>
          <w:sz w:val="36"/>
          <w:szCs w:val="36"/>
          <w:rtl/>
        </w:rPr>
        <w:t xml:space="preserve"> </w:t>
      </w:r>
      <w:r w:rsidR="005D5A20" w:rsidRPr="00FD211F">
        <w:rPr>
          <w:sz w:val="36"/>
          <w:szCs w:val="36"/>
          <w:rtl/>
        </w:rPr>
        <w:t>للفتح</w:t>
      </w:r>
      <w:r w:rsidR="00603323" w:rsidRPr="00FD211F">
        <w:rPr>
          <w:sz w:val="36"/>
          <w:szCs w:val="36"/>
          <w:rtl/>
        </w:rPr>
        <w:t>،</w:t>
      </w:r>
      <w:r w:rsidR="00E8128F">
        <w:rPr>
          <w:sz w:val="36"/>
          <w:szCs w:val="36"/>
          <w:rtl/>
        </w:rPr>
        <w:t xml:space="preserve"> </w:t>
      </w:r>
      <w:r w:rsidR="003F188F" w:rsidRPr="00FD211F">
        <w:rPr>
          <w:sz w:val="36"/>
          <w:szCs w:val="36"/>
          <w:rtl/>
        </w:rPr>
        <w:t>ومما</w:t>
      </w:r>
      <w:r w:rsidR="00E8128F">
        <w:rPr>
          <w:sz w:val="36"/>
          <w:szCs w:val="36"/>
          <w:rtl/>
        </w:rPr>
        <w:t xml:space="preserve"> </w:t>
      </w:r>
      <w:r w:rsidR="003F188F" w:rsidRPr="00FD211F">
        <w:rPr>
          <w:sz w:val="36"/>
          <w:szCs w:val="36"/>
          <w:rtl/>
        </w:rPr>
        <w:t>يشهد</w:t>
      </w:r>
      <w:r w:rsidR="00E8128F">
        <w:rPr>
          <w:sz w:val="36"/>
          <w:szCs w:val="36"/>
          <w:rtl/>
        </w:rPr>
        <w:t xml:space="preserve"> </w:t>
      </w:r>
      <w:r w:rsidR="003F188F" w:rsidRPr="00FD211F">
        <w:rPr>
          <w:sz w:val="36"/>
          <w:szCs w:val="36"/>
          <w:rtl/>
        </w:rPr>
        <w:t>على</w:t>
      </w:r>
      <w:r w:rsidR="00E8128F">
        <w:rPr>
          <w:sz w:val="36"/>
          <w:szCs w:val="36"/>
          <w:rtl/>
        </w:rPr>
        <w:t xml:space="preserve"> </w:t>
      </w:r>
      <w:r w:rsidR="003F188F" w:rsidRPr="00FD211F">
        <w:rPr>
          <w:sz w:val="36"/>
          <w:szCs w:val="36"/>
          <w:rtl/>
        </w:rPr>
        <w:t>ذلك</w:t>
      </w:r>
      <w:r w:rsidR="00E8128F">
        <w:rPr>
          <w:sz w:val="36"/>
          <w:szCs w:val="36"/>
          <w:rtl/>
        </w:rPr>
        <w:t xml:space="preserve"> </w:t>
      </w:r>
      <w:r w:rsidR="003F188F" w:rsidRPr="00FD211F">
        <w:rPr>
          <w:sz w:val="36"/>
          <w:szCs w:val="36"/>
          <w:rtl/>
        </w:rPr>
        <w:t>صدق</w:t>
      </w:r>
      <w:r w:rsidR="00E8128F">
        <w:rPr>
          <w:sz w:val="36"/>
          <w:szCs w:val="36"/>
          <w:rtl/>
        </w:rPr>
        <w:t xml:space="preserve"> </w:t>
      </w:r>
      <w:r w:rsidR="003F188F" w:rsidRPr="00FD211F">
        <w:rPr>
          <w:sz w:val="36"/>
          <w:szCs w:val="36"/>
          <w:rtl/>
        </w:rPr>
        <w:t>عنوان</w:t>
      </w:r>
      <w:r w:rsidR="00E8128F">
        <w:rPr>
          <w:sz w:val="36"/>
          <w:szCs w:val="36"/>
          <w:rtl/>
        </w:rPr>
        <w:t xml:space="preserve"> </w:t>
      </w:r>
      <w:r w:rsidR="003F188F" w:rsidRPr="00FD211F">
        <w:rPr>
          <w:sz w:val="36"/>
          <w:szCs w:val="36"/>
          <w:rtl/>
        </w:rPr>
        <w:t>المفتاح</w:t>
      </w:r>
      <w:r w:rsidR="00E8128F">
        <w:rPr>
          <w:sz w:val="36"/>
          <w:szCs w:val="36"/>
          <w:rtl/>
        </w:rPr>
        <w:t xml:space="preserve"> </w:t>
      </w:r>
      <w:r w:rsidR="003F188F" w:rsidRPr="00FD211F">
        <w:rPr>
          <w:sz w:val="36"/>
          <w:szCs w:val="36"/>
          <w:rtl/>
        </w:rPr>
        <w:t>على</w:t>
      </w:r>
      <w:r w:rsidR="00E8128F">
        <w:rPr>
          <w:sz w:val="36"/>
          <w:szCs w:val="36"/>
          <w:rtl/>
        </w:rPr>
        <w:t xml:space="preserve"> </w:t>
      </w:r>
      <w:r w:rsidR="003F188F" w:rsidRPr="00FD211F">
        <w:rPr>
          <w:sz w:val="36"/>
          <w:szCs w:val="36"/>
          <w:rtl/>
        </w:rPr>
        <w:t>ما</w:t>
      </w:r>
      <w:r w:rsidR="00E8128F">
        <w:rPr>
          <w:sz w:val="36"/>
          <w:szCs w:val="36"/>
          <w:rtl/>
        </w:rPr>
        <w:t xml:space="preserve"> </w:t>
      </w:r>
      <w:r w:rsidR="003F188F" w:rsidRPr="00FD211F">
        <w:rPr>
          <w:sz w:val="36"/>
          <w:szCs w:val="36"/>
          <w:rtl/>
        </w:rPr>
        <w:t>اُعدّ</w:t>
      </w:r>
      <w:r w:rsidR="00E8128F">
        <w:rPr>
          <w:sz w:val="36"/>
          <w:szCs w:val="36"/>
          <w:rtl/>
        </w:rPr>
        <w:t xml:space="preserve"> </w:t>
      </w:r>
      <w:r w:rsidR="003F188F" w:rsidRPr="00FD211F">
        <w:rPr>
          <w:sz w:val="36"/>
          <w:szCs w:val="36"/>
          <w:rtl/>
        </w:rPr>
        <w:t>للفتح</w:t>
      </w:r>
      <w:r w:rsidR="00E8128F">
        <w:rPr>
          <w:sz w:val="36"/>
          <w:szCs w:val="36"/>
          <w:rtl/>
        </w:rPr>
        <w:t xml:space="preserve"> </w:t>
      </w:r>
      <w:r w:rsidR="003F188F" w:rsidRPr="00FD211F">
        <w:rPr>
          <w:sz w:val="36"/>
          <w:szCs w:val="36"/>
          <w:rtl/>
        </w:rPr>
        <w:t>ول</w:t>
      </w:r>
      <w:r w:rsidR="009977FE" w:rsidRPr="00FD211F">
        <w:rPr>
          <w:sz w:val="36"/>
          <w:szCs w:val="36"/>
          <w:rtl/>
        </w:rPr>
        <w:t>و</w:t>
      </w:r>
      <w:r w:rsidR="00E8128F">
        <w:rPr>
          <w:sz w:val="36"/>
          <w:szCs w:val="36"/>
          <w:rtl/>
        </w:rPr>
        <w:t xml:space="preserve"> </w:t>
      </w:r>
      <w:r w:rsidR="008D7B3D" w:rsidRPr="00FD211F">
        <w:rPr>
          <w:sz w:val="36"/>
          <w:szCs w:val="36"/>
          <w:rtl/>
        </w:rPr>
        <w:t>لم‌</w:t>
      </w:r>
      <w:r w:rsidR="003F188F" w:rsidRPr="00FD211F">
        <w:rPr>
          <w:sz w:val="36"/>
          <w:szCs w:val="36"/>
          <w:rtl/>
        </w:rPr>
        <w:t>يفتح</w:t>
      </w:r>
      <w:r w:rsidR="00E8128F">
        <w:rPr>
          <w:sz w:val="36"/>
          <w:szCs w:val="36"/>
          <w:rtl/>
        </w:rPr>
        <w:t xml:space="preserve"> </w:t>
      </w:r>
      <w:r w:rsidR="003F188F" w:rsidRPr="00FD211F">
        <w:rPr>
          <w:sz w:val="36"/>
          <w:szCs w:val="36"/>
          <w:rtl/>
        </w:rPr>
        <w:t>به</w:t>
      </w:r>
      <w:r w:rsidR="00E8128F">
        <w:rPr>
          <w:sz w:val="36"/>
          <w:szCs w:val="36"/>
          <w:rtl/>
        </w:rPr>
        <w:t xml:space="preserve"> </w:t>
      </w:r>
      <w:r w:rsidR="003F188F" w:rsidRPr="00FD211F">
        <w:rPr>
          <w:sz w:val="36"/>
          <w:szCs w:val="36"/>
          <w:rtl/>
        </w:rPr>
        <w:t>باب</w:t>
      </w:r>
      <w:r w:rsidR="00E8128F">
        <w:rPr>
          <w:sz w:val="36"/>
          <w:szCs w:val="36"/>
          <w:rtl/>
        </w:rPr>
        <w:t xml:space="preserve"> </w:t>
      </w:r>
      <w:r w:rsidR="003F188F" w:rsidRPr="00FD211F">
        <w:rPr>
          <w:sz w:val="36"/>
          <w:szCs w:val="36"/>
          <w:rtl/>
        </w:rPr>
        <w:t>أبدا</w:t>
      </w:r>
      <w:r w:rsidR="00603323" w:rsidRPr="00FD211F">
        <w:rPr>
          <w:sz w:val="36"/>
          <w:szCs w:val="36"/>
          <w:rtl/>
        </w:rPr>
        <w:t>،</w:t>
      </w:r>
      <w:r w:rsidR="00E8128F">
        <w:rPr>
          <w:sz w:val="36"/>
          <w:szCs w:val="36"/>
          <w:rtl/>
        </w:rPr>
        <w:t xml:space="preserve"> </w:t>
      </w:r>
      <w:r w:rsidR="00C66567" w:rsidRPr="00FD211F">
        <w:rPr>
          <w:sz w:val="36"/>
          <w:szCs w:val="36"/>
          <w:rtl/>
        </w:rPr>
        <w:t>-كما</w:t>
      </w:r>
      <w:r w:rsidR="00E8128F">
        <w:rPr>
          <w:sz w:val="36"/>
          <w:szCs w:val="36"/>
          <w:rtl/>
        </w:rPr>
        <w:t xml:space="preserve"> </w:t>
      </w:r>
      <w:r w:rsidR="00C66567" w:rsidRPr="00FD211F">
        <w:rPr>
          <w:sz w:val="36"/>
          <w:szCs w:val="36"/>
          <w:rtl/>
        </w:rPr>
        <w:t>صرح</w:t>
      </w:r>
      <w:r w:rsidR="00E8128F">
        <w:rPr>
          <w:sz w:val="36"/>
          <w:szCs w:val="36"/>
          <w:rtl/>
        </w:rPr>
        <w:t xml:space="preserve"> </w:t>
      </w:r>
      <w:r w:rsidR="00C66567" w:rsidRPr="00FD211F">
        <w:rPr>
          <w:sz w:val="36"/>
          <w:szCs w:val="36"/>
          <w:rtl/>
        </w:rPr>
        <w:t>به</w:t>
      </w:r>
      <w:r w:rsidR="00E8128F">
        <w:rPr>
          <w:sz w:val="36"/>
          <w:szCs w:val="36"/>
          <w:rtl/>
        </w:rPr>
        <w:t xml:space="preserve"> </w:t>
      </w:r>
      <w:r w:rsidR="00C66567" w:rsidRPr="00FD211F">
        <w:rPr>
          <w:sz w:val="36"/>
          <w:szCs w:val="36"/>
          <w:rtl/>
        </w:rPr>
        <w:t>المحقق</w:t>
      </w:r>
      <w:r w:rsidR="00E8128F">
        <w:rPr>
          <w:sz w:val="36"/>
          <w:szCs w:val="36"/>
          <w:rtl/>
        </w:rPr>
        <w:t xml:space="preserve"> </w:t>
      </w:r>
      <w:r w:rsidR="00C66567" w:rsidRPr="00FD211F">
        <w:rPr>
          <w:sz w:val="36"/>
          <w:szCs w:val="36"/>
          <w:rtl/>
        </w:rPr>
        <w:t>النائيني</w:t>
      </w:r>
      <w:r w:rsidR="00E8128F">
        <w:rPr>
          <w:sz w:val="36"/>
          <w:szCs w:val="36"/>
          <w:rtl/>
        </w:rPr>
        <w:t xml:space="preserve"> </w:t>
      </w:r>
      <w:r w:rsidR="00AB1B12" w:rsidRPr="00FD211F">
        <w:rPr>
          <w:sz w:val="36"/>
          <w:szCs w:val="36"/>
          <w:rtl/>
        </w:rPr>
        <w:t>"</w:t>
      </w:r>
      <w:r w:rsidR="00C66567" w:rsidRPr="00FD211F">
        <w:rPr>
          <w:sz w:val="36"/>
          <w:szCs w:val="36"/>
          <w:rtl/>
        </w:rPr>
        <w:t>قده</w:t>
      </w:r>
      <w:r w:rsidR="00AB1B12" w:rsidRPr="00FD211F">
        <w:rPr>
          <w:sz w:val="36"/>
          <w:szCs w:val="36"/>
          <w:rtl/>
        </w:rPr>
        <w:t>"</w:t>
      </w:r>
      <w:r w:rsidR="00C66567" w:rsidRPr="00FD211F">
        <w:rPr>
          <w:sz w:val="36"/>
          <w:szCs w:val="36"/>
          <w:rtl/>
        </w:rPr>
        <w:t>-</w:t>
      </w:r>
      <w:r w:rsidR="00E8128F">
        <w:rPr>
          <w:sz w:val="36"/>
          <w:szCs w:val="36"/>
          <w:rtl/>
        </w:rPr>
        <w:t xml:space="preserve"> </w:t>
      </w:r>
      <w:r w:rsidR="003F188F" w:rsidRPr="00FD211F">
        <w:rPr>
          <w:sz w:val="36"/>
          <w:szCs w:val="36"/>
          <w:rtl/>
        </w:rPr>
        <w:t>فانه</w:t>
      </w:r>
      <w:r w:rsidR="00E8128F">
        <w:rPr>
          <w:sz w:val="36"/>
          <w:szCs w:val="36"/>
          <w:rtl/>
        </w:rPr>
        <w:t xml:space="preserve"> </w:t>
      </w:r>
      <w:r w:rsidR="003F188F" w:rsidRPr="00FD211F">
        <w:rPr>
          <w:sz w:val="36"/>
          <w:szCs w:val="36"/>
          <w:rtl/>
        </w:rPr>
        <w:t>لايمكن</w:t>
      </w:r>
      <w:r w:rsidR="00E8128F">
        <w:rPr>
          <w:sz w:val="36"/>
          <w:szCs w:val="36"/>
          <w:rtl/>
        </w:rPr>
        <w:t xml:space="preserve"> </w:t>
      </w:r>
      <w:r w:rsidR="003F188F" w:rsidRPr="00FD211F">
        <w:rPr>
          <w:sz w:val="36"/>
          <w:szCs w:val="36"/>
          <w:rtl/>
        </w:rPr>
        <w:t>توجيهه</w:t>
      </w:r>
      <w:r w:rsidR="00E8128F">
        <w:rPr>
          <w:sz w:val="36"/>
          <w:szCs w:val="36"/>
          <w:rtl/>
        </w:rPr>
        <w:t xml:space="preserve"> </w:t>
      </w:r>
      <w:r w:rsidR="003F188F" w:rsidRPr="00FD211F">
        <w:rPr>
          <w:sz w:val="36"/>
          <w:szCs w:val="36"/>
          <w:rtl/>
        </w:rPr>
        <w:t>بان</w:t>
      </w:r>
      <w:r w:rsidR="00E8128F">
        <w:rPr>
          <w:sz w:val="36"/>
          <w:szCs w:val="36"/>
          <w:rtl/>
        </w:rPr>
        <w:t xml:space="preserve"> </w:t>
      </w:r>
      <w:r w:rsidR="003F188F" w:rsidRPr="00FD211F">
        <w:rPr>
          <w:sz w:val="36"/>
          <w:szCs w:val="36"/>
          <w:rtl/>
        </w:rPr>
        <w:t>حمله</w:t>
      </w:r>
      <w:r w:rsidR="00E8128F">
        <w:rPr>
          <w:sz w:val="36"/>
          <w:szCs w:val="36"/>
          <w:rtl/>
        </w:rPr>
        <w:t xml:space="preserve"> </w:t>
      </w:r>
      <w:r w:rsidR="003F188F" w:rsidRPr="00FD211F">
        <w:rPr>
          <w:sz w:val="36"/>
          <w:szCs w:val="36"/>
          <w:rtl/>
        </w:rPr>
        <w:t>عليه</w:t>
      </w:r>
      <w:r w:rsidR="00E8128F">
        <w:rPr>
          <w:sz w:val="36"/>
          <w:szCs w:val="36"/>
          <w:rtl/>
        </w:rPr>
        <w:t xml:space="preserve"> </w:t>
      </w:r>
      <w:r w:rsidR="003F188F" w:rsidRPr="00FD211F">
        <w:rPr>
          <w:sz w:val="36"/>
          <w:szCs w:val="36"/>
          <w:rtl/>
        </w:rPr>
        <w:t>لاجل</w:t>
      </w:r>
      <w:r w:rsidR="00E8128F">
        <w:rPr>
          <w:sz w:val="36"/>
          <w:szCs w:val="36"/>
          <w:rtl/>
        </w:rPr>
        <w:t xml:space="preserve"> </w:t>
      </w:r>
      <w:r w:rsidR="003F188F" w:rsidRPr="00FD211F">
        <w:rPr>
          <w:sz w:val="36"/>
          <w:szCs w:val="36"/>
          <w:rtl/>
        </w:rPr>
        <w:t>تلبسه</w:t>
      </w:r>
      <w:r w:rsidR="00E8128F">
        <w:rPr>
          <w:sz w:val="36"/>
          <w:szCs w:val="36"/>
          <w:rtl/>
        </w:rPr>
        <w:t xml:space="preserve"> </w:t>
      </w:r>
      <w:r w:rsidR="003F188F" w:rsidRPr="00FD211F">
        <w:rPr>
          <w:sz w:val="36"/>
          <w:szCs w:val="36"/>
          <w:rtl/>
        </w:rPr>
        <w:t>السابق</w:t>
      </w:r>
      <w:r w:rsidR="00E8128F">
        <w:rPr>
          <w:sz w:val="36"/>
          <w:szCs w:val="36"/>
          <w:rtl/>
        </w:rPr>
        <w:t xml:space="preserve"> </w:t>
      </w:r>
      <w:r w:rsidR="003F188F" w:rsidRPr="00FD211F">
        <w:rPr>
          <w:sz w:val="36"/>
          <w:szCs w:val="36"/>
          <w:rtl/>
        </w:rPr>
        <w:t>او</w:t>
      </w:r>
      <w:r w:rsidR="00E8128F">
        <w:rPr>
          <w:sz w:val="36"/>
          <w:szCs w:val="36"/>
          <w:rtl/>
        </w:rPr>
        <w:t xml:space="preserve"> </w:t>
      </w:r>
      <w:r w:rsidR="003F188F" w:rsidRPr="00FD211F">
        <w:rPr>
          <w:sz w:val="36"/>
          <w:szCs w:val="36"/>
          <w:rtl/>
        </w:rPr>
        <w:t>اللاحق</w:t>
      </w:r>
      <w:r w:rsidR="00E8128F">
        <w:rPr>
          <w:sz w:val="36"/>
          <w:szCs w:val="36"/>
          <w:rtl/>
        </w:rPr>
        <w:t xml:space="preserve"> </w:t>
      </w:r>
      <w:r w:rsidR="003F188F" w:rsidRPr="00FD211F">
        <w:rPr>
          <w:sz w:val="36"/>
          <w:szCs w:val="36"/>
          <w:rtl/>
        </w:rPr>
        <w:t>بالفتح.</w:t>
      </w:r>
    </w:p>
    <w:p w14:paraId="52465E0F" w14:textId="77777777" w:rsidR="005D5A20" w:rsidRPr="00FD211F" w:rsidRDefault="005D5A20" w:rsidP="009C58C8">
      <w:pPr>
        <w:pStyle w:val="3"/>
        <w:ind w:firstLine="227"/>
        <w:jc w:val="both"/>
        <w:rPr>
          <w:rtl/>
        </w:rPr>
      </w:pPr>
      <w:bookmarkStart w:id="439" w:name="_Toc192092945"/>
      <w:bookmarkStart w:id="440" w:name="_Toc223890425"/>
      <w:r w:rsidRPr="00FD211F">
        <w:rPr>
          <w:rtl/>
        </w:rPr>
        <w:t>اسم</w:t>
      </w:r>
      <w:r w:rsidR="00E8128F">
        <w:rPr>
          <w:rtl/>
        </w:rPr>
        <w:t xml:space="preserve"> </w:t>
      </w:r>
      <w:r w:rsidRPr="00FD211F">
        <w:rPr>
          <w:rtl/>
        </w:rPr>
        <w:t>المفعول</w:t>
      </w:r>
      <w:bookmarkEnd w:id="439"/>
      <w:bookmarkEnd w:id="440"/>
    </w:p>
    <w:p w14:paraId="709352C4" w14:textId="77777777" w:rsidR="005D5A20" w:rsidRPr="00FD211F" w:rsidRDefault="005D5A20" w:rsidP="009C58C8">
      <w:pPr>
        <w:ind w:left="0" w:firstLine="227"/>
        <w:jc w:val="both"/>
        <w:rPr>
          <w:sz w:val="36"/>
          <w:szCs w:val="36"/>
          <w:rtl/>
        </w:rPr>
      </w:pPr>
      <w:r w:rsidRPr="00FD211F">
        <w:rPr>
          <w:b/>
          <w:bCs/>
          <w:sz w:val="36"/>
          <w:szCs w:val="36"/>
          <w:rtl/>
        </w:rPr>
        <w:t>ومنها</w:t>
      </w:r>
      <w:r w:rsidRPr="00FD211F">
        <w:rPr>
          <w:sz w:val="36"/>
          <w:szCs w:val="36"/>
          <w:rtl/>
        </w:rPr>
        <w:t>:</w:t>
      </w:r>
      <w:r w:rsidR="00E8128F">
        <w:rPr>
          <w:sz w:val="36"/>
          <w:szCs w:val="36"/>
          <w:rtl/>
        </w:rPr>
        <w:t xml:space="preserve"> </w:t>
      </w:r>
      <w:r w:rsidR="00F641FB" w:rsidRPr="00FD211F">
        <w:rPr>
          <w:sz w:val="36"/>
          <w:szCs w:val="36"/>
          <w:rtl/>
        </w:rPr>
        <w:t>اسم</w:t>
      </w:r>
      <w:r w:rsidR="00E8128F">
        <w:rPr>
          <w:sz w:val="36"/>
          <w:szCs w:val="36"/>
          <w:rtl/>
        </w:rPr>
        <w:t xml:space="preserve"> </w:t>
      </w:r>
      <w:r w:rsidR="00F641FB" w:rsidRPr="00FD211F">
        <w:rPr>
          <w:sz w:val="36"/>
          <w:szCs w:val="36"/>
          <w:rtl/>
        </w:rPr>
        <w:t>المفعول</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النائيني</w:t>
      </w:r>
      <w:r w:rsidR="00E8128F">
        <w:rPr>
          <w:sz w:val="36"/>
          <w:szCs w:val="36"/>
          <w:rtl/>
        </w:rPr>
        <w:t xml:space="preserve"> </w:t>
      </w:r>
      <w:r w:rsidRPr="00FD211F">
        <w:rPr>
          <w:sz w:val="36"/>
          <w:szCs w:val="36"/>
          <w:rtl/>
        </w:rPr>
        <w:t>تبعا</w:t>
      </w:r>
      <w:r w:rsidR="00E8128F">
        <w:rPr>
          <w:sz w:val="36"/>
          <w:szCs w:val="36"/>
          <w:rtl/>
        </w:rPr>
        <w:t xml:space="preserve"> </w:t>
      </w:r>
      <w:r w:rsidRPr="00FD211F">
        <w:rPr>
          <w:sz w:val="36"/>
          <w:szCs w:val="36"/>
          <w:rtl/>
        </w:rPr>
        <w:t>لصاحب</w:t>
      </w:r>
      <w:r w:rsidR="00E8128F">
        <w:rPr>
          <w:sz w:val="36"/>
          <w:szCs w:val="36"/>
          <w:rtl/>
        </w:rPr>
        <w:t xml:space="preserve"> </w:t>
      </w:r>
      <w:r w:rsidRPr="00FD211F">
        <w:rPr>
          <w:sz w:val="36"/>
          <w:szCs w:val="36"/>
          <w:rtl/>
        </w:rPr>
        <w:t>الفصول</w:t>
      </w:r>
      <w:r w:rsidR="00AB1B12" w:rsidRPr="00FD211F">
        <w:rPr>
          <w:sz w:val="36"/>
          <w:szCs w:val="36"/>
          <w:rtl/>
        </w:rPr>
        <w:t>"قدهما"</w:t>
      </w:r>
      <w:r w:rsidR="00E8128F">
        <w:rPr>
          <w:sz w:val="36"/>
          <w:szCs w:val="36"/>
          <w:rtl/>
        </w:rPr>
        <w:t xml:space="preserve"> </w:t>
      </w:r>
      <w:r w:rsidRPr="00FD211F">
        <w:rPr>
          <w:sz w:val="36"/>
          <w:szCs w:val="36"/>
          <w:rtl/>
        </w:rPr>
        <w:t>انه</w:t>
      </w:r>
      <w:r w:rsidR="00E8128F">
        <w:rPr>
          <w:sz w:val="36"/>
          <w:szCs w:val="36"/>
          <w:rtl/>
        </w:rPr>
        <w:t xml:space="preserve"> </w:t>
      </w:r>
      <w:r w:rsidR="00F641FB" w:rsidRPr="00FD211F">
        <w:rPr>
          <w:sz w:val="36"/>
          <w:szCs w:val="36"/>
          <w:rtl/>
        </w:rPr>
        <w:t>خارج</w:t>
      </w:r>
      <w:r w:rsidR="00E8128F">
        <w:rPr>
          <w:sz w:val="36"/>
          <w:szCs w:val="36"/>
          <w:rtl/>
        </w:rPr>
        <w:t xml:space="preserve"> </w:t>
      </w:r>
      <w:r w:rsidR="00F641FB" w:rsidRPr="00FD211F">
        <w:rPr>
          <w:sz w:val="36"/>
          <w:szCs w:val="36"/>
          <w:rtl/>
        </w:rPr>
        <w:t>عن</w:t>
      </w:r>
      <w:r w:rsidR="00E8128F">
        <w:rPr>
          <w:sz w:val="36"/>
          <w:szCs w:val="36"/>
          <w:rtl/>
        </w:rPr>
        <w:t xml:space="preserve"> </w:t>
      </w:r>
      <w:r w:rsidR="00F641FB" w:rsidRPr="00FD211F">
        <w:rPr>
          <w:sz w:val="36"/>
          <w:szCs w:val="36"/>
          <w:rtl/>
        </w:rPr>
        <w:t>مورد</w:t>
      </w:r>
      <w:r w:rsidR="00E8128F">
        <w:rPr>
          <w:sz w:val="36"/>
          <w:szCs w:val="36"/>
          <w:rtl/>
        </w:rPr>
        <w:t xml:space="preserve"> </w:t>
      </w:r>
      <w:r w:rsidR="00F641FB" w:rsidRPr="00FD211F">
        <w:rPr>
          <w:sz w:val="36"/>
          <w:szCs w:val="36"/>
          <w:rtl/>
        </w:rPr>
        <w:t>النزاع</w:t>
      </w:r>
      <w:r w:rsidR="00E8128F">
        <w:rPr>
          <w:sz w:val="36"/>
          <w:szCs w:val="36"/>
          <w:rtl/>
        </w:rPr>
        <w:t xml:space="preserve"> </w:t>
      </w:r>
      <w:r w:rsidR="00F641FB" w:rsidRPr="00FD211F">
        <w:rPr>
          <w:sz w:val="36"/>
          <w:szCs w:val="36"/>
          <w:rtl/>
        </w:rPr>
        <w:t>لعدم</w:t>
      </w:r>
      <w:r w:rsidR="00E8128F">
        <w:rPr>
          <w:sz w:val="36"/>
          <w:szCs w:val="36"/>
          <w:rtl/>
        </w:rPr>
        <w:t xml:space="preserve"> </w:t>
      </w:r>
      <w:r w:rsidR="00F641FB" w:rsidRPr="00FD211F">
        <w:rPr>
          <w:sz w:val="36"/>
          <w:szCs w:val="36"/>
          <w:rtl/>
        </w:rPr>
        <w:t>تعقل</w:t>
      </w:r>
      <w:r w:rsidR="00E8128F">
        <w:rPr>
          <w:sz w:val="36"/>
          <w:szCs w:val="36"/>
          <w:rtl/>
        </w:rPr>
        <w:t xml:space="preserve"> </w:t>
      </w:r>
      <w:r w:rsidR="00F641FB" w:rsidRPr="00FD211F">
        <w:rPr>
          <w:sz w:val="36"/>
          <w:szCs w:val="36"/>
          <w:rtl/>
        </w:rPr>
        <w:t>انقضاء</w:t>
      </w:r>
      <w:r w:rsidR="00E8128F">
        <w:rPr>
          <w:sz w:val="36"/>
          <w:szCs w:val="36"/>
          <w:rtl/>
        </w:rPr>
        <w:t xml:space="preserve"> </w:t>
      </w:r>
      <w:r w:rsidR="00F641FB" w:rsidRPr="00FD211F">
        <w:rPr>
          <w:sz w:val="36"/>
          <w:szCs w:val="36"/>
          <w:rtl/>
        </w:rPr>
        <w:t>التلبس</w:t>
      </w:r>
      <w:r w:rsidR="00E8128F">
        <w:rPr>
          <w:sz w:val="36"/>
          <w:szCs w:val="36"/>
          <w:rtl/>
        </w:rPr>
        <w:t xml:space="preserve"> </w:t>
      </w:r>
      <w:r w:rsidR="00F641FB" w:rsidRPr="00FD211F">
        <w:rPr>
          <w:sz w:val="36"/>
          <w:szCs w:val="36"/>
          <w:rtl/>
        </w:rPr>
        <w:t>فيه</w:t>
      </w:r>
      <w:r w:rsidR="00E8128F">
        <w:rPr>
          <w:sz w:val="36"/>
          <w:szCs w:val="36"/>
          <w:rtl/>
        </w:rPr>
        <w:t xml:space="preserve"> </w:t>
      </w:r>
      <w:r w:rsidR="00F641FB" w:rsidRPr="00FD211F">
        <w:rPr>
          <w:sz w:val="36"/>
          <w:szCs w:val="36"/>
          <w:rtl/>
        </w:rPr>
        <w:t>فان</w:t>
      </w:r>
      <w:r w:rsidR="00E8128F">
        <w:rPr>
          <w:sz w:val="36"/>
          <w:szCs w:val="36"/>
          <w:rtl/>
        </w:rPr>
        <w:t xml:space="preserve"> </w:t>
      </w:r>
      <w:r w:rsidR="00F641FB" w:rsidRPr="00FD211F">
        <w:rPr>
          <w:sz w:val="36"/>
          <w:szCs w:val="36"/>
          <w:rtl/>
        </w:rPr>
        <w:t>المضروب</w:t>
      </w:r>
      <w:r w:rsidR="00E8128F">
        <w:rPr>
          <w:sz w:val="36"/>
          <w:szCs w:val="36"/>
          <w:rtl/>
        </w:rPr>
        <w:t xml:space="preserve"> </w:t>
      </w:r>
      <w:r w:rsidR="00F641FB" w:rsidRPr="00FD211F">
        <w:rPr>
          <w:sz w:val="36"/>
          <w:szCs w:val="36"/>
          <w:rtl/>
        </w:rPr>
        <w:t>من</w:t>
      </w:r>
      <w:r w:rsidR="00E8128F">
        <w:rPr>
          <w:sz w:val="36"/>
          <w:szCs w:val="36"/>
          <w:rtl/>
        </w:rPr>
        <w:t xml:space="preserve"> </w:t>
      </w:r>
      <w:r w:rsidR="00F641FB" w:rsidRPr="00FD211F">
        <w:rPr>
          <w:sz w:val="36"/>
          <w:szCs w:val="36"/>
          <w:rtl/>
        </w:rPr>
        <w:t>وقع</w:t>
      </w:r>
      <w:r w:rsidR="00E8128F">
        <w:rPr>
          <w:sz w:val="36"/>
          <w:szCs w:val="36"/>
          <w:rtl/>
        </w:rPr>
        <w:t xml:space="preserve"> </w:t>
      </w:r>
      <w:r w:rsidR="00F641FB" w:rsidRPr="00FD211F">
        <w:rPr>
          <w:sz w:val="36"/>
          <w:szCs w:val="36"/>
          <w:rtl/>
        </w:rPr>
        <w:t>عليه</w:t>
      </w:r>
      <w:r w:rsidR="00E8128F">
        <w:rPr>
          <w:sz w:val="36"/>
          <w:szCs w:val="36"/>
          <w:rtl/>
        </w:rPr>
        <w:t xml:space="preserve"> </w:t>
      </w:r>
      <w:r w:rsidR="00F641FB" w:rsidRPr="00FD211F">
        <w:rPr>
          <w:sz w:val="36"/>
          <w:szCs w:val="36"/>
          <w:rtl/>
        </w:rPr>
        <w:t>الضرب</w:t>
      </w:r>
      <w:r w:rsidR="00E8128F">
        <w:rPr>
          <w:sz w:val="36"/>
          <w:szCs w:val="36"/>
          <w:rtl/>
        </w:rPr>
        <w:t xml:space="preserve"> </w:t>
      </w:r>
      <w:r w:rsidR="00F641FB" w:rsidRPr="00FD211F">
        <w:rPr>
          <w:sz w:val="36"/>
          <w:szCs w:val="36"/>
          <w:rtl/>
        </w:rPr>
        <w:t>وهذا</w:t>
      </w:r>
      <w:r w:rsidR="00E8128F">
        <w:rPr>
          <w:sz w:val="36"/>
          <w:szCs w:val="36"/>
          <w:rtl/>
        </w:rPr>
        <w:t xml:space="preserve"> </w:t>
      </w:r>
      <w:r w:rsidR="00F641FB" w:rsidRPr="00FD211F">
        <w:rPr>
          <w:sz w:val="36"/>
          <w:szCs w:val="36"/>
          <w:rtl/>
        </w:rPr>
        <w:t>التلبس</w:t>
      </w:r>
      <w:r w:rsidR="00E8128F">
        <w:rPr>
          <w:sz w:val="36"/>
          <w:szCs w:val="36"/>
          <w:rtl/>
        </w:rPr>
        <w:t xml:space="preserve"> </w:t>
      </w:r>
      <w:r w:rsidR="00F641FB" w:rsidRPr="00FD211F">
        <w:rPr>
          <w:sz w:val="36"/>
          <w:szCs w:val="36"/>
          <w:rtl/>
        </w:rPr>
        <w:t>بعد</w:t>
      </w:r>
      <w:r w:rsidR="00E8128F">
        <w:rPr>
          <w:sz w:val="36"/>
          <w:szCs w:val="36"/>
          <w:rtl/>
        </w:rPr>
        <w:t xml:space="preserve"> </w:t>
      </w:r>
      <w:r w:rsidR="00F641FB" w:rsidRPr="00FD211F">
        <w:rPr>
          <w:sz w:val="36"/>
          <w:szCs w:val="36"/>
          <w:rtl/>
        </w:rPr>
        <w:t>حدوثه</w:t>
      </w:r>
      <w:r w:rsidR="00E8128F">
        <w:rPr>
          <w:sz w:val="36"/>
          <w:szCs w:val="36"/>
          <w:rtl/>
        </w:rPr>
        <w:t xml:space="preserve"> </w:t>
      </w:r>
      <w:r w:rsidR="00F641FB" w:rsidRPr="00FD211F">
        <w:rPr>
          <w:sz w:val="36"/>
          <w:szCs w:val="36"/>
          <w:rtl/>
        </w:rPr>
        <w:t>لايعقل</w:t>
      </w:r>
      <w:r w:rsidR="00E8128F">
        <w:rPr>
          <w:sz w:val="36"/>
          <w:szCs w:val="36"/>
          <w:rtl/>
        </w:rPr>
        <w:t xml:space="preserve"> </w:t>
      </w:r>
      <w:r w:rsidR="00F641FB" w:rsidRPr="00FD211F">
        <w:rPr>
          <w:sz w:val="36"/>
          <w:szCs w:val="36"/>
          <w:rtl/>
        </w:rPr>
        <w:t>زواله</w:t>
      </w:r>
      <w:r w:rsidR="00E8128F">
        <w:rPr>
          <w:sz w:val="36"/>
          <w:szCs w:val="36"/>
          <w:rtl/>
        </w:rPr>
        <w:t xml:space="preserve"> </w:t>
      </w:r>
      <w:r w:rsidR="00F641FB" w:rsidRPr="00FD211F">
        <w:rPr>
          <w:sz w:val="36"/>
          <w:szCs w:val="36"/>
          <w:rtl/>
        </w:rPr>
        <w:t>لان</w:t>
      </w:r>
      <w:r w:rsidR="00E8128F">
        <w:rPr>
          <w:sz w:val="36"/>
          <w:szCs w:val="36"/>
          <w:rtl/>
        </w:rPr>
        <w:t xml:space="preserve"> </w:t>
      </w:r>
      <w:r w:rsidR="00F641FB" w:rsidRPr="00FD211F">
        <w:rPr>
          <w:sz w:val="36"/>
          <w:szCs w:val="36"/>
          <w:rtl/>
        </w:rPr>
        <w:t>ال</w:t>
      </w:r>
      <w:r w:rsidR="008D7B3D" w:rsidRPr="00FD211F">
        <w:rPr>
          <w:sz w:val="36"/>
          <w:szCs w:val="36"/>
          <w:rtl/>
        </w:rPr>
        <w:t>شيء</w:t>
      </w:r>
      <w:r w:rsidR="00E8128F">
        <w:rPr>
          <w:sz w:val="36"/>
          <w:szCs w:val="36"/>
          <w:rtl/>
        </w:rPr>
        <w:t xml:space="preserve"> </w:t>
      </w:r>
      <w:r w:rsidR="00F641FB" w:rsidRPr="00FD211F">
        <w:rPr>
          <w:sz w:val="36"/>
          <w:szCs w:val="36"/>
          <w:rtl/>
        </w:rPr>
        <w:t>لاينقلب</w:t>
      </w:r>
      <w:r w:rsidR="00E8128F">
        <w:rPr>
          <w:sz w:val="36"/>
          <w:szCs w:val="36"/>
          <w:rtl/>
        </w:rPr>
        <w:t xml:space="preserve"> </w:t>
      </w:r>
      <w:r w:rsidR="00F641FB" w:rsidRPr="00FD211F">
        <w:rPr>
          <w:sz w:val="36"/>
          <w:szCs w:val="36"/>
          <w:rtl/>
        </w:rPr>
        <w:t>عما</w:t>
      </w:r>
      <w:r w:rsidR="00E8128F">
        <w:rPr>
          <w:sz w:val="36"/>
          <w:szCs w:val="36"/>
          <w:rtl/>
        </w:rPr>
        <w:t xml:space="preserve"> </w:t>
      </w:r>
      <w:r w:rsidR="00F641FB" w:rsidRPr="00FD211F">
        <w:rPr>
          <w:sz w:val="36"/>
          <w:szCs w:val="36"/>
          <w:rtl/>
        </w:rPr>
        <w:t>هو</w:t>
      </w:r>
      <w:r w:rsidR="00E8128F">
        <w:rPr>
          <w:sz w:val="36"/>
          <w:szCs w:val="36"/>
          <w:rtl/>
        </w:rPr>
        <w:t xml:space="preserve"> </w:t>
      </w:r>
      <w:r w:rsidR="00F641FB" w:rsidRPr="00FD211F">
        <w:rPr>
          <w:sz w:val="36"/>
          <w:szCs w:val="36"/>
          <w:rtl/>
        </w:rPr>
        <w:t>عليه</w:t>
      </w:r>
      <w:r w:rsidR="009C58C8" w:rsidRPr="00FD211F">
        <w:rPr>
          <w:rStyle w:val="a6"/>
          <w:sz w:val="36"/>
          <w:szCs w:val="36"/>
          <w:rtl/>
        </w:rPr>
        <w:t>(</w:t>
      </w:r>
      <w:r w:rsidR="009C58C8" w:rsidRPr="00FD211F">
        <w:rPr>
          <w:rStyle w:val="a6"/>
          <w:sz w:val="36"/>
          <w:szCs w:val="36"/>
          <w:rtl/>
        </w:rPr>
        <w:footnoteReference w:id="525"/>
      </w:r>
      <w:r w:rsidR="009C58C8" w:rsidRPr="00FD211F">
        <w:rPr>
          <w:rStyle w:val="a6"/>
          <w:sz w:val="36"/>
          <w:szCs w:val="36"/>
          <w:rtl/>
        </w:rPr>
        <w:t>)</w:t>
      </w:r>
      <w:r w:rsidRPr="00FD211F">
        <w:rPr>
          <w:sz w:val="36"/>
          <w:szCs w:val="36"/>
          <w:rtl/>
        </w:rPr>
        <w:t>.</w:t>
      </w:r>
    </w:p>
    <w:p w14:paraId="5EDB29EE" w14:textId="77777777" w:rsidR="005D5A20" w:rsidRPr="00FD211F" w:rsidRDefault="005D5A20" w:rsidP="005946E3">
      <w:pPr>
        <w:ind w:left="0" w:firstLine="227"/>
        <w:jc w:val="both"/>
        <w:rPr>
          <w:sz w:val="36"/>
          <w:szCs w:val="36"/>
          <w:rtl/>
        </w:rPr>
      </w:pPr>
      <w:r w:rsidRPr="00FD211F">
        <w:rPr>
          <w:sz w:val="36"/>
          <w:szCs w:val="36"/>
          <w:rtl/>
        </w:rPr>
        <w:t>ويرد</w:t>
      </w:r>
      <w:r w:rsidR="00E8128F">
        <w:rPr>
          <w:sz w:val="36"/>
          <w:szCs w:val="36"/>
          <w:rtl/>
        </w:rPr>
        <w:t xml:space="preserve"> </w:t>
      </w:r>
      <w:r w:rsidRPr="00FD211F">
        <w:rPr>
          <w:sz w:val="36"/>
          <w:szCs w:val="36"/>
          <w:rtl/>
        </w:rPr>
        <w:t>عليه</w:t>
      </w:r>
      <w:r w:rsidR="00E8128F">
        <w:rPr>
          <w:sz w:val="36"/>
          <w:szCs w:val="36"/>
          <w:rtl/>
        </w:rPr>
        <w:t xml:space="preserve"> </w:t>
      </w:r>
      <w:r w:rsidRPr="00FD211F">
        <w:rPr>
          <w:b/>
          <w:bCs/>
          <w:sz w:val="36"/>
          <w:szCs w:val="36"/>
          <w:rtl/>
        </w:rPr>
        <w:t>اولا</w:t>
      </w:r>
      <w:r w:rsidR="00CE59AF" w:rsidRPr="00FD211F">
        <w:rPr>
          <w:sz w:val="36"/>
          <w:szCs w:val="36"/>
          <w:rtl/>
        </w:rPr>
        <w:t>:</w:t>
      </w:r>
      <w:r w:rsidR="00E8128F">
        <w:rPr>
          <w:sz w:val="36"/>
          <w:szCs w:val="36"/>
          <w:rtl/>
        </w:rPr>
        <w:t xml:space="preserve"> </w:t>
      </w:r>
      <w:r w:rsidRPr="00FD211F">
        <w:rPr>
          <w:sz w:val="36"/>
          <w:szCs w:val="36"/>
          <w:rtl/>
        </w:rPr>
        <w:t>بالنقض</w:t>
      </w:r>
      <w:r w:rsidR="00E8128F">
        <w:rPr>
          <w:sz w:val="36"/>
          <w:szCs w:val="36"/>
          <w:rtl/>
        </w:rPr>
        <w:t xml:space="preserve"> </w:t>
      </w:r>
      <w:r w:rsidR="00F641FB" w:rsidRPr="00FD211F">
        <w:rPr>
          <w:sz w:val="36"/>
          <w:szCs w:val="36"/>
          <w:rtl/>
        </w:rPr>
        <w:t>بمثل</w:t>
      </w:r>
      <w:r w:rsidR="00E8128F">
        <w:rPr>
          <w:sz w:val="36"/>
          <w:szCs w:val="36"/>
          <w:rtl/>
        </w:rPr>
        <w:t xml:space="preserve"> </w:t>
      </w:r>
      <w:r w:rsidR="00F641FB" w:rsidRPr="00FD211F">
        <w:rPr>
          <w:sz w:val="36"/>
          <w:szCs w:val="36"/>
          <w:rtl/>
        </w:rPr>
        <w:t>المعلوم</w:t>
      </w:r>
      <w:r w:rsidR="00E8128F">
        <w:rPr>
          <w:sz w:val="36"/>
          <w:szCs w:val="36"/>
          <w:rtl/>
        </w:rPr>
        <w:t xml:space="preserve"> </w:t>
      </w:r>
      <w:r w:rsidRPr="00FD211F">
        <w:rPr>
          <w:sz w:val="36"/>
          <w:szCs w:val="36"/>
          <w:rtl/>
        </w:rPr>
        <w:t>والمجهول</w:t>
      </w:r>
      <w:r w:rsidR="00E8128F">
        <w:rPr>
          <w:sz w:val="36"/>
          <w:szCs w:val="36"/>
          <w:rtl/>
        </w:rPr>
        <w:t xml:space="preserve"> </w:t>
      </w:r>
      <w:r w:rsidRPr="00FD211F">
        <w:rPr>
          <w:sz w:val="36"/>
          <w:szCs w:val="36"/>
          <w:rtl/>
        </w:rPr>
        <w:t>والمحبوب</w:t>
      </w:r>
      <w:r w:rsidR="00E8128F">
        <w:rPr>
          <w:sz w:val="36"/>
          <w:szCs w:val="36"/>
          <w:rtl/>
        </w:rPr>
        <w:t xml:space="preserve"> </w:t>
      </w:r>
      <w:r w:rsidRPr="00FD211F">
        <w:rPr>
          <w:sz w:val="36"/>
          <w:szCs w:val="36"/>
          <w:rtl/>
        </w:rPr>
        <w:t>والمبغوض</w:t>
      </w:r>
      <w:r w:rsidR="00E8128F">
        <w:rPr>
          <w:sz w:val="36"/>
          <w:szCs w:val="36"/>
          <w:rtl/>
        </w:rPr>
        <w:t xml:space="preserve"> </w:t>
      </w:r>
      <w:r w:rsidRPr="00FD211F">
        <w:rPr>
          <w:sz w:val="36"/>
          <w:szCs w:val="36"/>
          <w:rtl/>
        </w:rPr>
        <w:t>والمطلوب</w:t>
      </w:r>
      <w:r w:rsidR="00E8128F">
        <w:rPr>
          <w:sz w:val="36"/>
          <w:szCs w:val="36"/>
          <w:rtl/>
        </w:rPr>
        <w:t xml:space="preserve"> </w:t>
      </w:r>
      <w:r w:rsidRPr="00FD211F">
        <w:rPr>
          <w:sz w:val="36"/>
          <w:szCs w:val="36"/>
          <w:rtl/>
        </w:rPr>
        <w:t>والمصبوغ</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العناوين</w:t>
      </w:r>
      <w:r w:rsidR="00E8128F">
        <w:rPr>
          <w:sz w:val="36"/>
          <w:szCs w:val="36"/>
          <w:rtl/>
        </w:rPr>
        <w:t xml:space="preserve"> </w:t>
      </w:r>
      <w:r w:rsidRPr="00FD211F">
        <w:rPr>
          <w:sz w:val="36"/>
          <w:szCs w:val="36"/>
          <w:rtl/>
        </w:rPr>
        <w:t>لاتصدق</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انقضاء</w:t>
      </w:r>
      <w:r w:rsidR="00E8128F">
        <w:rPr>
          <w:sz w:val="36"/>
          <w:szCs w:val="36"/>
          <w:rtl/>
        </w:rPr>
        <w:t xml:space="preserve"> </w:t>
      </w:r>
      <w:r w:rsidRPr="00FD211F">
        <w:rPr>
          <w:sz w:val="36"/>
          <w:szCs w:val="36"/>
          <w:rtl/>
        </w:rPr>
        <w:t>تلبس</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بمبادئها</w:t>
      </w:r>
      <w:r w:rsidR="00603323" w:rsidRPr="00FD211F">
        <w:rPr>
          <w:sz w:val="36"/>
          <w:szCs w:val="36"/>
          <w:rtl/>
        </w:rPr>
        <w:t>،</w:t>
      </w:r>
      <w:r w:rsidR="00E8128F">
        <w:rPr>
          <w:sz w:val="36"/>
          <w:szCs w:val="36"/>
          <w:rtl/>
        </w:rPr>
        <w:t xml:space="preserve"> </w:t>
      </w:r>
      <w:r w:rsidR="00F641FB" w:rsidRPr="00FD211F">
        <w:rPr>
          <w:sz w:val="36"/>
          <w:szCs w:val="36"/>
          <w:rtl/>
        </w:rPr>
        <w:t>واما</w:t>
      </w:r>
      <w:r w:rsidR="00E8128F">
        <w:rPr>
          <w:sz w:val="36"/>
          <w:szCs w:val="36"/>
          <w:rtl/>
        </w:rPr>
        <w:t xml:space="preserve"> </w:t>
      </w:r>
      <w:r w:rsidR="00F641FB" w:rsidRPr="00FD211F">
        <w:rPr>
          <w:sz w:val="36"/>
          <w:szCs w:val="36"/>
          <w:rtl/>
        </w:rPr>
        <w:t>في</w:t>
      </w:r>
      <w:r w:rsidR="00E8128F">
        <w:rPr>
          <w:sz w:val="36"/>
          <w:szCs w:val="36"/>
          <w:rtl/>
        </w:rPr>
        <w:t xml:space="preserve"> </w:t>
      </w:r>
      <w:r w:rsidR="00F641FB" w:rsidRPr="00FD211F">
        <w:rPr>
          <w:sz w:val="36"/>
          <w:szCs w:val="36"/>
          <w:rtl/>
        </w:rPr>
        <w:t>مثل</w:t>
      </w:r>
      <w:r w:rsidR="00E8128F">
        <w:rPr>
          <w:sz w:val="36"/>
          <w:szCs w:val="36"/>
          <w:rtl/>
        </w:rPr>
        <w:t xml:space="preserve"> </w:t>
      </w:r>
      <w:r w:rsidR="00F641FB" w:rsidRPr="00FD211F">
        <w:rPr>
          <w:sz w:val="36"/>
          <w:szCs w:val="36"/>
          <w:rtl/>
        </w:rPr>
        <w:t>المضروب</w:t>
      </w:r>
      <w:r w:rsidR="00E8128F">
        <w:rPr>
          <w:sz w:val="36"/>
          <w:szCs w:val="36"/>
          <w:rtl/>
        </w:rPr>
        <w:t xml:space="preserve"> </w:t>
      </w:r>
      <w:r w:rsidR="00F641FB" w:rsidRPr="00FD211F">
        <w:rPr>
          <w:sz w:val="36"/>
          <w:szCs w:val="36"/>
          <w:rtl/>
        </w:rPr>
        <w:t>فان</w:t>
      </w:r>
      <w:r w:rsidR="00E8128F">
        <w:rPr>
          <w:sz w:val="36"/>
          <w:szCs w:val="36"/>
          <w:rtl/>
        </w:rPr>
        <w:t xml:space="preserve"> </w:t>
      </w:r>
      <w:r w:rsidR="00F641FB" w:rsidRPr="00FD211F">
        <w:rPr>
          <w:sz w:val="36"/>
          <w:szCs w:val="36"/>
          <w:rtl/>
        </w:rPr>
        <w:t>الضرب</w:t>
      </w:r>
      <w:r w:rsidR="00E8128F">
        <w:rPr>
          <w:sz w:val="36"/>
          <w:szCs w:val="36"/>
          <w:rtl/>
        </w:rPr>
        <w:t xml:space="preserve"> </w:t>
      </w:r>
      <w:r w:rsidR="00F641FB" w:rsidRPr="00FD211F">
        <w:rPr>
          <w:sz w:val="36"/>
          <w:szCs w:val="36"/>
          <w:rtl/>
        </w:rPr>
        <w:t>لمكان</w:t>
      </w:r>
      <w:r w:rsidR="00E8128F">
        <w:rPr>
          <w:sz w:val="36"/>
          <w:szCs w:val="36"/>
          <w:rtl/>
        </w:rPr>
        <w:t xml:space="preserve"> </w:t>
      </w:r>
      <w:r w:rsidR="00F641FB" w:rsidRPr="00FD211F">
        <w:rPr>
          <w:sz w:val="36"/>
          <w:szCs w:val="36"/>
          <w:rtl/>
        </w:rPr>
        <w:t>كونه</w:t>
      </w:r>
      <w:r w:rsidR="00E8128F">
        <w:rPr>
          <w:sz w:val="36"/>
          <w:szCs w:val="36"/>
          <w:rtl/>
        </w:rPr>
        <w:t xml:space="preserve"> </w:t>
      </w:r>
      <w:r w:rsidR="00F641FB" w:rsidRPr="00FD211F">
        <w:rPr>
          <w:sz w:val="36"/>
          <w:szCs w:val="36"/>
          <w:rtl/>
        </w:rPr>
        <w:t>آنيا</w:t>
      </w:r>
      <w:r w:rsidR="00E8128F">
        <w:rPr>
          <w:sz w:val="36"/>
          <w:szCs w:val="36"/>
          <w:rtl/>
        </w:rPr>
        <w:t xml:space="preserve"> </w:t>
      </w:r>
      <w:r w:rsidR="00F641FB" w:rsidRPr="00FD211F">
        <w:rPr>
          <w:sz w:val="36"/>
          <w:szCs w:val="36"/>
          <w:rtl/>
        </w:rPr>
        <w:t>لابقاء</w:t>
      </w:r>
      <w:r w:rsidR="00E8128F">
        <w:rPr>
          <w:sz w:val="36"/>
          <w:szCs w:val="36"/>
          <w:rtl/>
        </w:rPr>
        <w:t xml:space="preserve"> </w:t>
      </w:r>
      <w:r w:rsidR="00F641FB" w:rsidRPr="00FD211F">
        <w:rPr>
          <w:sz w:val="36"/>
          <w:szCs w:val="36"/>
          <w:rtl/>
        </w:rPr>
        <w:t>له</w:t>
      </w:r>
      <w:r w:rsidR="00E8128F">
        <w:rPr>
          <w:sz w:val="36"/>
          <w:szCs w:val="36"/>
          <w:rtl/>
        </w:rPr>
        <w:t xml:space="preserve"> </w:t>
      </w:r>
      <w:r w:rsidR="00F641FB" w:rsidRPr="00FD211F">
        <w:rPr>
          <w:sz w:val="36"/>
          <w:szCs w:val="36"/>
          <w:rtl/>
        </w:rPr>
        <w:t>عاد</w:t>
      </w:r>
      <w:r w:rsidR="00EC7EDF" w:rsidRPr="00FD211F">
        <w:rPr>
          <w:sz w:val="36"/>
          <w:szCs w:val="36"/>
          <w:rtl/>
        </w:rPr>
        <w:t>ة</w:t>
      </w:r>
      <w:r w:rsidR="00E8128F">
        <w:rPr>
          <w:sz w:val="36"/>
          <w:szCs w:val="36"/>
          <w:rtl/>
        </w:rPr>
        <w:t xml:space="preserve"> </w:t>
      </w:r>
      <w:r w:rsidR="00F641FB" w:rsidRPr="00FD211F">
        <w:rPr>
          <w:sz w:val="36"/>
          <w:szCs w:val="36"/>
          <w:rtl/>
        </w:rPr>
        <w:t>فقد</w:t>
      </w:r>
      <w:r w:rsidR="00E8128F">
        <w:rPr>
          <w:sz w:val="36"/>
          <w:szCs w:val="36"/>
          <w:rtl/>
        </w:rPr>
        <w:t xml:space="preserve"> </w:t>
      </w:r>
      <w:r w:rsidR="00F641FB" w:rsidRPr="00FD211F">
        <w:rPr>
          <w:sz w:val="36"/>
          <w:szCs w:val="36"/>
          <w:rtl/>
        </w:rPr>
        <w:t>يقال</w:t>
      </w:r>
      <w:r w:rsidR="00E8128F">
        <w:rPr>
          <w:sz w:val="36"/>
          <w:szCs w:val="36"/>
          <w:rtl/>
        </w:rPr>
        <w:t xml:space="preserve"> </w:t>
      </w:r>
      <w:r w:rsidR="00F641FB" w:rsidRPr="00FD211F">
        <w:rPr>
          <w:sz w:val="36"/>
          <w:szCs w:val="36"/>
          <w:rtl/>
        </w:rPr>
        <w:t>بان</w:t>
      </w:r>
      <w:r w:rsidR="00E8128F">
        <w:rPr>
          <w:sz w:val="36"/>
          <w:szCs w:val="36"/>
          <w:rtl/>
        </w:rPr>
        <w:t xml:space="preserve"> </w:t>
      </w:r>
      <w:r w:rsidR="00F641FB" w:rsidRPr="00FD211F">
        <w:rPr>
          <w:sz w:val="36"/>
          <w:szCs w:val="36"/>
          <w:rtl/>
        </w:rPr>
        <w:t>المشتق</w:t>
      </w:r>
      <w:r w:rsidR="00E8128F">
        <w:rPr>
          <w:sz w:val="36"/>
          <w:szCs w:val="36"/>
          <w:rtl/>
        </w:rPr>
        <w:t xml:space="preserve"> </w:t>
      </w:r>
      <w:r w:rsidR="00F641FB" w:rsidRPr="00FD211F">
        <w:rPr>
          <w:sz w:val="36"/>
          <w:szCs w:val="36"/>
          <w:rtl/>
        </w:rPr>
        <w:t>من</w:t>
      </w:r>
      <w:r w:rsidR="00E8128F">
        <w:rPr>
          <w:sz w:val="36"/>
          <w:szCs w:val="36"/>
          <w:rtl/>
        </w:rPr>
        <w:t xml:space="preserve"> </w:t>
      </w:r>
      <w:r w:rsidR="00F641FB" w:rsidRPr="00FD211F">
        <w:rPr>
          <w:sz w:val="36"/>
          <w:szCs w:val="36"/>
          <w:rtl/>
        </w:rPr>
        <w:t>ال</w:t>
      </w:r>
      <w:r w:rsidR="0079493B" w:rsidRPr="00FD211F">
        <w:rPr>
          <w:sz w:val="36"/>
          <w:szCs w:val="36"/>
          <w:rtl/>
        </w:rPr>
        <w:t>مبدأ</w:t>
      </w:r>
      <w:r w:rsidR="00E8128F">
        <w:rPr>
          <w:sz w:val="36"/>
          <w:szCs w:val="36"/>
          <w:rtl/>
        </w:rPr>
        <w:t xml:space="preserve"> </w:t>
      </w:r>
      <w:r w:rsidR="00F641FB" w:rsidRPr="00FD211F">
        <w:rPr>
          <w:sz w:val="36"/>
          <w:szCs w:val="36"/>
          <w:rtl/>
        </w:rPr>
        <w:t>الآني</w:t>
      </w:r>
      <w:r w:rsidR="00E8128F">
        <w:rPr>
          <w:sz w:val="36"/>
          <w:szCs w:val="36"/>
          <w:rtl/>
        </w:rPr>
        <w:t xml:space="preserve"> </w:t>
      </w:r>
      <w:r w:rsidR="00F641FB" w:rsidRPr="00FD211F">
        <w:rPr>
          <w:sz w:val="36"/>
          <w:szCs w:val="36"/>
          <w:rtl/>
        </w:rPr>
        <w:t>حقيق</w:t>
      </w:r>
      <w:r w:rsidR="00EC7EDF" w:rsidRPr="00FD211F">
        <w:rPr>
          <w:sz w:val="36"/>
          <w:szCs w:val="36"/>
          <w:rtl/>
        </w:rPr>
        <w:t>ة</w:t>
      </w:r>
      <w:r w:rsidR="00E8128F">
        <w:rPr>
          <w:sz w:val="36"/>
          <w:szCs w:val="36"/>
          <w:rtl/>
        </w:rPr>
        <w:t xml:space="preserve"> </w:t>
      </w:r>
      <w:r w:rsidR="00F641FB" w:rsidRPr="00FD211F">
        <w:rPr>
          <w:sz w:val="36"/>
          <w:szCs w:val="36"/>
          <w:rtl/>
        </w:rPr>
        <w:t>في</w:t>
      </w:r>
      <w:r w:rsidR="00E8128F">
        <w:rPr>
          <w:sz w:val="36"/>
          <w:szCs w:val="36"/>
          <w:rtl/>
        </w:rPr>
        <w:t xml:space="preserve"> </w:t>
      </w:r>
      <w:r w:rsidR="00F641FB" w:rsidRPr="00FD211F">
        <w:rPr>
          <w:sz w:val="36"/>
          <w:szCs w:val="36"/>
          <w:rtl/>
        </w:rPr>
        <w:t>الاعم</w:t>
      </w:r>
      <w:r w:rsidR="00E8128F">
        <w:rPr>
          <w:sz w:val="36"/>
          <w:szCs w:val="36"/>
          <w:rtl/>
        </w:rPr>
        <w:t xml:space="preserve"> </w:t>
      </w:r>
      <w:r w:rsidRPr="00FD211F">
        <w:rPr>
          <w:sz w:val="36"/>
          <w:szCs w:val="36"/>
          <w:rtl/>
        </w:rPr>
        <w:t>-</w:t>
      </w:r>
      <w:r w:rsidR="00F641FB" w:rsidRPr="00FD211F">
        <w:rPr>
          <w:sz w:val="36"/>
          <w:szCs w:val="36"/>
          <w:rtl/>
        </w:rPr>
        <w:t>كما</w:t>
      </w:r>
      <w:r w:rsidRPr="00FD211F">
        <w:rPr>
          <w:sz w:val="36"/>
          <w:szCs w:val="36"/>
          <w:rtl/>
        </w:rPr>
        <w:t>حكي</w:t>
      </w:r>
      <w:r w:rsidR="00E8128F">
        <w:rPr>
          <w:sz w:val="36"/>
          <w:szCs w:val="36"/>
          <w:rtl/>
        </w:rPr>
        <w:t xml:space="preserve"> </w:t>
      </w:r>
      <w:r w:rsidR="00F641FB" w:rsidRPr="00FD211F">
        <w:rPr>
          <w:sz w:val="36"/>
          <w:szCs w:val="36"/>
          <w:rtl/>
        </w:rPr>
        <w:t>عن</w:t>
      </w:r>
      <w:r w:rsidR="00E8128F">
        <w:rPr>
          <w:sz w:val="36"/>
          <w:szCs w:val="36"/>
          <w:rtl/>
        </w:rPr>
        <w:t xml:space="preserve"> </w:t>
      </w:r>
      <w:r w:rsidR="00F641FB" w:rsidRPr="00FD211F">
        <w:rPr>
          <w:sz w:val="36"/>
          <w:szCs w:val="36"/>
          <w:rtl/>
        </w:rPr>
        <w:t>السيد</w:t>
      </w:r>
      <w:r w:rsidR="00E8128F">
        <w:rPr>
          <w:sz w:val="36"/>
          <w:szCs w:val="36"/>
          <w:rtl/>
        </w:rPr>
        <w:t xml:space="preserve"> </w:t>
      </w:r>
      <w:r w:rsidR="00F641FB" w:rsidRPr="00FD211F">
        <w:rPr>
          <w:sz w:val="36"/>
          <w:szCs w:val="36"/>
          <w:rtl/>
        </w:rPr>
        <w:t>البروجردي</w:t>
      </w:r>
      <w:r w:rsidR="00E8128F">
        <w:rPr>
          <w:sz w:val="36"/>
          <w:szCs w:val="36"/>
          <w:rtl/>
        </w:rPr>
        <w:t xml:space="preserve"> </w:t>
      </w:r>
      <w:r w:rsidR="005946E3" w:rsidRPr="00FD211F">
        <w:rPr>
          <w:sz w:val="36"/>
          <w:szCs w:val="36"/>
          <w:rtl/>
        </w:rPr>
        <w:t>"قده"</w:t>
      </w:r>
      <w:r w:rsidR="00E8128F">
        <w:rPr>
          <w:sz w:val="36"/>
          <w:szCs w:val="36"/>
          <w:rtl/>
        </w:rPr>
        <w:t xml:space="preserve"> </w:t>
      </w:r>
      <w:r w:rsidR="00F641FB" w:rsidRPr="00FD211F">
        <w:rPr>
          <w:sz w:val="36"/>
          <w:szCs w:val="36"/>
          <w:rtl/>
        </w:rPr>
        <w:t>انه</w:t>
      </w:r>
      <w:r w:rsidR="00E8128F">
        <w:rPr>
          <w:sz w:val="36"/>
          <w:szCs w:val="36"/>
          <w:rtl/>
        </w:rPr>
        <w:t xml:space="preserve"> </w:t>
      </w:r>
      <w:r w:rsidR="00F641FB" w:rsidRPr="00FD211F">
        <w:rPr>
          <w:sz w:val="36"/>
          <w:szCs w:val="36"/>
          <w:rtl/>
        </w:rPr>
        <w:t>كان</w:t>
      </w:r>
      <w:r w:rsidR="00E8128F">
        <w:rPr>
          <w:sz w:val="36"/>
          <w:szCs w:val="36"/>
          <w:rtl/>
        </w:rPr>
        <w:t xml:space="preserve"> </w:t>
      </w:r>
      <w:r w:rsidR="00F641FB" w:rsidRPr="00FD211F">
        <w:rPr>
          <w:sz w:val="36"/>
          <w:szCs w:val="36"/>
          <w:rtl/>
        </w:rPr>
        <w:t>يقول</w:t>
      </w:r>
      <w:r w:rsidR="00E8128F">
        <w:rPr>
          <w:sz w:val="36"/>
          <w:szCs w:val="36"/>
          <w:rtl/>
        </w:rPr>
        <w:t xml:space="preserve"> </w:t>
      </w:r>
      <w:r w:rsidR="00F641FB" w:rsidRPr="00FD211F">
        <w:rPr>
          <w:sz w:val="36"/>
          <w:szCs w:val="36"/>
          <w:rtl/>
        </w:rPr>
        <w:t>به</w:t>
      </w:r>
      <w:r w:rsidR="00E8128F">
        <w:rPr>
          <w:sz w:val="36"/>
          <w:szCs w:val="36"/>
          <w:rtl/>
        </w:rPr>
        <w:t xml:space="preserve"> </w:t>
      </w:r>
      <w:r w:rsidR="00F641FB" w:rsidRPr="00FD211F">
        <w:rPr>
          <w:sz w:val="36"/>
          <w:szCs w:val="36"/>
          <w:rtl/>
        </w:rPr>
        <w:t>سابقا</w:t>
      </w:r>
      <w:r w:rsidRPr="00FD211F">
        <w:rPr>
          <w:sz w:val="36"/>
          <w:szCs w:val="36"/>
          <w:rtl/>
        </w:rPr>
        <w:t>-</w:t>
      </w:r>
      <w:r w:rsidR="00E8128F">
        <w:rPr>
          <w:sz w:val="36"/>
          <w:szCs w:val="36"/>
          <w:rtl/>
        </w:rPr>
        <w:t xml:space="preserve"> </w:t>
      </w:r>
      <w:r w:rsidR="00F641FB" w:rsidRPr="00FD211F">
        <w:rPr>
          <w:sz w:val="36"/>
          <w:szCs w:val="36"/>
          <w:rtl/>
        </w:rPr>
        <w:t>وسيأتي</w:t>
      </w:r>
      <w:r w:rsidR="00E8128F">
        <w:rPr>
          <w:sz w:val="36"/>
          <w:szCs w:val="36"/>
          <w:rtl/>
        </w:rPr>
        <w:t xml:space="preserve"> </w:t>
      </w:r>
      <w:r w:rsidR="00F641FB" w:rsidRPr="00FD211F">
        <w:rPr>
          <w:sz w:val="36"/>
          <w:szCs w:val="36"/>
          <w:rtl/>
        </w:rPr>
        <w:t>البحث</w:t>
      </w:r>
      <w:r w:rsidR="00E8128F">
        <w:rPr>
          <w:sz w:val="36"/>
          <w:szCs w:val="36"/>
          <w:rtl/>
        </w:rPr>
        <w:t xml:space="preserve"> </w:t>
      </w:r>
      <w:r w:rsidR="00F641FB" w:rsidRPr="00FD211F">
        <w:rPr>
          <w:sz w:val="36"/>
          <w:szCs w:val="36"/>
          <w:rtl/>
        </w:rPr>
        <w:t>عنه</w:t>
      </w:r>
      <w:r w:rsidRPr="00FD211F">
        <w:rPr>
          <w:sz w:val="36"/>
          <w:szCs w:val="36"/>
          <w:rtl/>
        </w:rPr>
        <w:t>.</w:t>
      </w:r>
    </w:p>
    <w:p w14:paraId="18E46BB3" w14:textId="77777777" w:rsidR="00F641FB" w:rsidRPr="00FD211F" w:rsidRDefault="005D5A20" w:rsidP="009C58C8">
      <w:pPr>
        <w:ind w:left="0" w:firstLine="227"/>
        <w:jc w:val="both"/>
        <w:rPr>
          <w:sz w:val="36"/>
          <w:szCs w:val="36"/>
          <w:rtl/>
        </w:rPr>
      </w:pPr>
      <w:r w:rsidRPr="00FD211F">
        <w:rPr>
          <w:b/>
          <w:bCs/>
          <w:sz w:val="36"/>
          <w:szCs w:val="36"/>
          <w:rtl/>
        </w:rPr>
        <w:t>وثانيا</w:t>
      </w:r>
      <w:r w:rsidRPr="00FD211F">
        <w:rPr>
          <w:sz w:val="36"/>
          <w:szCs w:val="36"/>
          <w:rtl/>
        </w:rPr>
        <w:t>:</w:t>
      </w:r>
      <w:r w:rsidR="00E8128F">
        <w:rPr>
          <w:sz w:val="36"/>
          <w:szCs w:val="36"/>
          <w:rtl/>
        </w:rPr>
        <w:t xml:space="preserve"> </w:t>
      </w:r>
      <w:r w:rsidRPr="00FD211F">
        <w:rPr>
          <w:sz w:val="36"/>
          <w:szCs w:val="36"/>
          <w:rtl/>
        </w:rPr>
        <w:t>لافرق</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00F641FB" w:rsidRPr="00FD211F">
        <w:rPr>
          <w:sz w:val="36"/>
          <w:szCs w:val="36"/>
          <w:rtl/>
        </w:rPr>
        <w:t>بين</w:t>
      </w:r>
      <w:r w:rsidR="00E8128F">
        <w:rPr>
          <w:sz w:val="36"/>
          <w:szCs w:val="36"/>
          <w:rtl/>
        </w:rPr>
        <w:t xml:space="preserve"> </w:t>
      </w:r>
      <w:r w:rsidR="00F641FB" w:rsidRPr="00FD211F">
        <w:rPr>
          <w:sz w:val="36"/>
          <w:szCs w:val="36"/>
          <w:rtl/>
        </w:rPr>
        <w:t>اسم</w:t>
      </w:r>
      <w:r w:rsidR="00E8128F">
        <w:rPr>
          <w:sz w:val="36"/>
          <w:szCs w:val="36"/>
          <w:rtl/>
        </w:rPr>
        <w:t xml:space="preserve"> </w:t>
      </w:r>
      <w:r w:rsidR="00F641FB" w:rsidRPr="00FD211F">
        <w:rPr>
          <w:sz w:val="36"/>
          <w:szCs w:val="36"/>
          <w:rtl/>
        </w:rPr>
        <w:t>المفعول</w:t>
      </w:r>
      <w:r w:rsidR="00E8128F">
        <w:rPr>
          <w:sz w:val="36"/>
          <w:szCs w:val="36"/>
          <w:rtl/>
        </w:rPr>
        <w:t xml:space="preserve"> </w:t>
      </w:r>
      <w:r w:rsidR="00F641FB" w:rsidRPr="00FD211F">
        <w:rPr>
          <w:sz w:val="36"/>
          <w:szCs w:val="36"/>
          <w:rtl/>
        </w:rPr>
        <w:t>والفاعل</w:t>
      </w:r>
      <w:r w:rsidR="00E8128F">
        <w:rPr>
          <w:sz w:val="36"/>
          <w:szCs w:val="36"/>
          <w:rtl/>
        </w:rPr>
        <w:t xml:space="preserve"> </w:t>
      </w:r>
      <w:r w:rsidR="00F641FB" w:rsidRPr="00FD211F">
        <w:rPr>
          <w:sz w:val="36"/>
          <w:szCs w:val="36"/>
          <w:rtl/>
        </w:rPr>
        <w:t>فكما</w:t>
      </w:r>
      <w:r w:rsidR="00E8128F">
        <w:rPr>
          <w:sz w:val="36"/>
          <w:szCs w:val="36"/>
          <w:rtl/>
        </w:rPr>
        <w:t xml:space="preserve"> </w:t>
      </w:r>
      <w:r w:rsidR="00F641FB" w:rsidRPr="00FD211F">
        <w:rPr>
          <w:sz w:val="36"/>
          <w:szCs w:val="36"/>
          <w:rtl/>
        </w:rPr>
        <w:t>يقال</w:t>
      </w:r>
      <w:r w:rsidR="00E8128F">
        <w:rPr>
          <w:sz w:val="36"/>
          <w:szCs w:val="36"/>
          <w:rtl/>
        </w:rPr>
        <w:t xml:space="preserve"> </w:t>
      </w:r>
      <w:r w:rsidR="00AD1127" w:rsidRPr="00FD211F">
        <w:rPr>
          <w:sz w:val="36"/>
          <w:szCs w:val="36"/>
          <w:rtl/>
        </w:rPr>
        <w:t>"</w:t>
      </w:r>
      <w:r w:rsidR="00F641FB" w:rsidRPr="00FD211F">
        <w:rPr>
          <w:sz w:val="36"/>
          <w:szCs w:val="36"/>
          <w:rtl/>
        </w:rPr>
        <w:t>زيد</w:t>
      </w:r>
      <w:r w:rsidR="00E8128F">
        <w:rPr>
          <w:sz w:val="36"/>
          <w:szCs w:val="36"/>
          <w:rtl/>
        </w:rPr>
        <w:t xml:space="preserve"> </w:t>
      </w:r>
      <w:r w:rsidR="00F641FB" w:rsidRPr="00FD211F">
        <w:rPr>
          <w:sz w:val="36"/>
          <w:szCs w:val="36"/>
          <w:rtl/>
        </w:rPr>
        <w:t>مضروب</w:t>
      </w:r>
      <w:r w:rsidR="00E8128F">
        <w:rPr>
          <w:sz w:val="36"/>
          <w:szCs w:val="36"/>
          <w:rtl/>
        </w:rPr>
        <w:t xml:space="preserve"> </w:t>
      </w:r>
      <w:r w:rsidR="00F641FB" w:rsidRPr="00FD211F">
        <w:rPr>
          <w:sz w:val="36"/>
          <w:szCs w:val="36"/>
          <w:rtl/>
        </w:rPr>
        <w:t>عمرو</w:t>
      </w:r>
      <w:r w:rsidR="00AD1127" w:rsidRPr="00FD211F">
        <w:rPr>
          <w:sz w:val="36"/>
          <w:szCs w:val="36"/>
          <w:rtl/>
        </w:rPr>
        <w:t>"</w:t>
      </w:r>
      <w:r w:rsidR="00E8128F">
        <w:rPr>
          <w:sz w:val="36"/>
          <w:szCs w:val="36"/>
          <w:rtl/>
        </w:rPr>
        <w:t xml:space="preserve"> </w:t>
      </w:r>
      <w:r w:rsidR="00F641FB" w:rsidRPr="00FD211F">
        <w:rPr>
          <w:sz w:val="36"/>
          <w:szCs w:val="36"/>
          <w:rtl/>
        </w:rPr>
        <w:t>باعتبار</w:t>
      </w:r>
      <w:r w:rsidR="00E8128F">
        <w:rPr>
          <w:sz w:val="36"/>
          <w:szCs w:val="36"/>
          <w:rtl/>
        </w:rPr>
        <w:t xml:space="preserve"> </w:t>
      </w:r>
      <w:r w:rsidR="00F641FB" w:rsidRPr="00FD211F">
        <w:rPr>
          <w:sz w:val="36"/>
          <w:szCs w:val="36"/>
          <w:rtl/>
        </w:rPr>
        <w:t>وقوع</w:t>
      </w:r>
      <w:r w:rsidR="00E8128F">
        <w:rPr>
          <w:sz w:val="36"/>
          <w:szCs w:val="36"/>
          <w:rtl/>
        </w:rPr>
        <w:t xml:space="preserve"> </w:t>
      </w:r>
      <w:r w:rsidR="00F641FB" w:rsidRPr="00FD211F">
        <w:rPr>
          <w:sz w:val="36"/>
          <w:szCs w:val="36"/>
          <w:rtl/>
        </w:rPr>
        <w:t>الضرب</w:t>
      </w:r>
      <w:r w:rsidR="00E8128F">
        <w:rPr>
          <w:sz w:val="36"/>
          <w:szCs w:val="36"/>
          <w:rtl/>
        </w:rPr>
        <w:t xml:space="preserve"> </w:t>
      </w:r>
      <w:r w:rsidR="00F641FB" w:rsidRPr="00FD211F">
        <w:rPr>
          <w:sz w:val="36"/>
          <w:szCs w:val="36"/>
          <w:rtl/>
        </w:rPr>
        <w:t>عليه</w:t>
      </w:r>
      <w:r w:rsidR="00E8128F">
        <w:rPr>
          <w:sz w:val="36"/>
          <w:szCs w:val="36"/>
          <w:rtl/>
        </w:rPr>
        <w:t xml:space="preserve"> </w:t>
      </w:r>
      <w:r w:rsidR="00F641FB" w:rsidRPr="00FD211F">
        <w:rPr>
          <w:sz w:val="36"/>
          <w:szCs w:val="36"/>
          <w:rtl/>
        </w:rPr>
        <w:t>سابقا</w:t>
      </w:r>
      <w:r w:rsidR="00E8128F">
        <w:rPr>
          <w:sz w:val="36"/>
          <w:szCs w:val="36"/>
          <w:rtl/>
        </w:rPr>
        <w:t xml:space="preserve"> </w:t>
      </w:r>
      <w:r w:rsidR="00F641FB" w:rsidRPr="00FD211F">
        <w:rPr>
          <w:sz w:val="36"/>
          <w:szCs w:val="36"/>
          <w:rtl/>
        </w:rPr>
        <w:t>يقال</w:t>
      </w:r>
      <w:r w:rsidR="00E8128F">
        <w:rPr>
          <w:sz w:val="36"/>
          <w:szCs w:val="36"/>
          <w:rtl/>
        </w:rPr>
        <w:t xml:space="preserve"> </w:t>
      </w:r>
      <w:r w:rsidR="00AD1127" w:rsidRPr="00FD211F">
        <w:rPr>
          <w:sz w:val="36"/>
          <w:szCs w:val="36"/>
          <w:rtl/>
        </w:rPr>
        <w:t>"</w:t>
      </w:r>
      <w:r w:rsidR="00F641FB" w:rsidRPr="00FD211F">
        <w:rPr>
          <w:sz w:val="36"/>
          <w:szCs w:val="36"/>
          <w:rtl/>
        </w:rPr>
        <w:t>عمرو</w:t>
      </w:r>
      <w:r w:rsidR="00E8128F">
        <w:rPr>
          <w:sz w:val="36"/>
          <w:szCs w:val="36"/>
          <w:rtl/>
        </w:rPr>
        <w:t xml:space="preserve"> </w:t>
      </w:r>
      <w:r w:rsidR="00F641FB" w:rsidRPr="00FD211F">
        <w:rPr>
          <w:sz w:val="36"/>
          <w:szCs w:val="36"/>
          <w:rtl/>
        </w:rPr>
        <w:t>ضارب</w:t>
      </w:r>
      <w:r w:rsidR="00E8128F">
        <w:rPr>
          <w:sz w:val="36"/>
          <w:szCs w:val="36"/>
          <w:rtl/>
        </w:rPr>
        <w:t xml:space="preserve"> </w:t>
      </w:r>
      <w:r w:rsidR="00F641FB" w:rsidRPr="00FD211F">
        <w:rPr>
          <w:sz w:val="36"/>
          <w:szCs w:val="36"/>
          <w:rtl/>
        </w:rPr>
        <w:t>زيد</w:t>
      </w:r>
      <w:r w:rsidR="00AD1127" w:rsidRPr="00FD211F">
        <w:rPr>
          <w:sz w:val="36"/>
          <w:szCs w:val="36"/>
          <w:rtl/>
        </w:rPr>
        <w:t>"</w:t>
      </w:r>
      <w:r w:rsidR="00E8128F">
        <w:rPr>
          <w:sz w:val="36"/>
          <w:szCs w:val="36"/>
          <w:rtl/>
        </w:rPr>
        <w:t xml:space="preserve"> </w:t>
      </w:r>
      <w:r w:rsidR="00F641FB" w:rsidRPr="00FD211F">
        <w:rPr>
          <w:sz w:val="36"/>
          <w:szCs w:val="36"/>
          <w:rtl/>
        </w:rPr>
        <w:t>باعتبار</w:t>
      </w:r>
      <w:r w:rsidR="00E8128F">
        <w:rPr>
          <w:sz w:val="36"/>
          <w:szCs w:val="36"/>
          <w:rtl/>
        </w:rPr>
        <w:t xml:space="preserve"> </w:t>
      </w:r>
      <w:r w:rsidR="00F641FB" w:rsidRPr="00FD211F">
        <w:rPr>
          <w:sz w:val="36"/>
          <w:szCs w:val="36"/>
          <w:rtl/>
        </w:rPr>
        <w:t>صدور</w:t>
      </w:r>
      <w:r w:rsidR="00E8128F">
        <w:rPr>
          <w:sz w:val="36"/>
          <w:szCs w:val="36"/>
          <w:rtl/>
        </w:rPr>
        <w:t xml:space="preserve"> </w:t>
      </w:r>
      <w:r w:rsidR="00F641FB" w:rsidRPr="00FD211F">
        <w:rPr>
          <w:sz w:val="36"/>
          <w:szCs w:val="36"/>
          <w:rtl/>
        </w:rPr>
        <w:t>الضرب</w:t>
      </w:r>
      <w:r w:rsidR="00E8128F">
        <w:rPr>
          <w:sz w:val="36"/>
          <w:szCs w:val="36"/>
          <w:rtl/>
        </w:rPr>
        <w:t xml:space="preserve"> </w:t>
      </w:r>
      <w:r w:rsidR="00F641FB" w:rsidRPr="00FD211F">
        <w:rPr>
          <w:sz w:val="36"/>
          <w:szCs w:val="36"/>
          <w:rtl/>
        </w:rPr>
        <w:t>منه</w:t>
      </w:r>
      <w:r w:rsidR="00603323" w:rsidRPr="00FD211F">
        <w:rPr>
          <w:sz w:val="36"/>
          <w:szCs w:val="36"/>
          <w:rtl/>
        </w:rPr>
        <w:t>،</w:t>
      </w:r>
      <w:r w:rsidR="00E8128F">
        <w:rPr>
          <w:sz w:val="36"/>
          <w:szCs w:val="36"/>
          <w:rtl/>
        </w:rPr>
        <w:t xml:space="preserve"> </w:t>
      </w:r>
      <w:r w:rsidR="00AD1127" w:rsidRPr="00FD211F">
        <w:rPr>
          <w:sz w:val="36"/>
          <w:szCs w:val="36"/>
          <w:rtl/>
        </w:rPr>
        <w:t>فيمكن</w:t>
      </w:r>
      <w:r w:rsidR="00E8128F">
        <w:rPr>
          <w:sz w:val="36"/>
          <w:szCs w:val="36"/>
          <w:rtl/>
        </w:rPr>
        <w:t xml:space="preserve"> </w:t>
      </w:r>
      <w:r w:rsidR="00AD1127" w:rsidRPr="00FD211F">
        <w:rPr>
          <w:sz w:val="36"/>
          <w:szCs w:val="36"/>
          <w:rtl/>
        </w:rPr>
        <w:t>ان</w:t>
      </w:r>
      <w:r w:rsidR="00E8128F">
        <w:rPr>
          <w:sz w:val="36"/>
          <w:szCs w:val="36"/>
          <w:rtl/>
        </w:rPr>
        <w:t xml:space="preserve"> </w:t>
      </w:r>
      <w:r w:rsidR="00AD1127" w:rsidRPr="00FD211F">
        <w:rPr>
          <w:sz w:val="36"/>
          <w:szCs w:val="36"/>
          <w:rtl/>
        </w:rPr>
        <w:t>يدعى</w:t>
      </w:r>
      <w:r w:rsidR="00E8128F">
        <w:rPr>
          <w:sz w:val="36"/>
          <w:szCs w:val="36"/>
          <w:rtl/>
        </w:rPr>
        <w:t xml:space="preserve"> </w:t>
      </w:r>
      <w:r w:rsidR="00F641FB" w:rsidRPr="00FD211F">
        <w:rPr>
          <w:sz w:val="36"/>
          <w:szCs w:val="36"/>
          <w:rtl/>
        </w:rPr>
        <w:t>في</w:t>
      </w:r>
      <w:r w:rsidR="00E8128F">
        <w:rPr>
          <w:sz w:val="36"/>
          <w:szCs w:val="36"/>
          <w:rtl/>
        </w:rPr>
        <w:t xml:space="preserve"> </w:t>
      </w:r>
      <w:r w:rsidR="00F641FB" w:rsidRPr="00FD211F">
        <w:rPr>
          <w:sz w:val="36"/>
          <w:szCs w:val="36"/>
          <w:rtl/>
        </w:rPr>
        <w:t>مثله</w:t>
      </w:r>
      <w:r w:rsidR="00E8128F">
        <w:rPr>
          <w:sz w:val="36"/>
          <w:szCs w:val="36"/>
          <w:rtl/>
        </w:rPr>
        <w:t xml:space="preserve"> </w:t>
      </w:r>
      <w:r w:rsidR="00F641FB" w:rsidRPr="00FD211F">
        <w:rPr>
          <w:sz w:val="36"/>
          <w:szCs w:val="36"/>
          <w:rtl/>
        </w:rPr>
        <w:t>ايضا</w:t>
      </w:r>
      <w:r w:rsidR="00E8128F">
        <w:rPr>
          <w:sz w:val="36"/>
          <w:szCs w:val="36"/>
          <w:rtl/>
        </w:rPr>
        <w:t xml:space="preserve"> </w:t>
      </w:r>
      <w:r w:rsidR="00F641FB" w:rsidRPr="00FD211F">
        <w:rPr>
          <w:sz w:val="36"/>
          <w:szCs w:val="36"/>
          <w:rtl/>
        </w:rPr>
        <w:t>انه</w:t>
      </w:r>
      <w:r w:rsidR="00E8128F">
        <w:rPr>
          <w:sz w:val="36"/>
          <w:szCs w:val="36"/>
          <w:rtl/>
        </w:rPr>
        <w:t xml:space="preserve"> </w:t>
      </w:r>
      <w:r w:rsidR="00F641FB" w:rsidRPr="00FD211F">
        <w:rPr>
          <w:sz w:val="36"/>
          <w:szCs w:val="36"/>
          <w:rtl/>
        </w:rPr>
        <w:t>وقع</w:t>
      </w:r>
      <w:r w:rsidR="00E8128F">
        <w:rPr>
          <w:sz w:val="36"/>
          <w:szCs w:val="36"/>
          <w:rtl/>
        </w:rPr>
        <w:t xml:space="preserve"> </w:t>
      </w:r>
      <w:r w:rsidR="00F641FB" w:rsidRPr="00FD211F">
        <w:rPr>
          <w:sz w:val="36"/>
          <w:szCs w:val="36"/>
          <w:rtl/>
        </w:rPr>
        <w:t>منه</w:t>
      </w:r>
      <w:r w:rsidR="00E8128F">
        <w:rPr>
          <w:sz w:val="36"/>
          <w:szCs w:val="36"/>
          <w:rtl/>
        </w:rPr>
        <w:t xml:space="preserve"> </w:t>
      </w:r>
      <w:r w:rsidR="00F641FB" w:rsidRPr="00FD211F">
        <w:rPr>
          <w:sz w:val="36"/>
          <w:szCs w:val="36"/>
          <w:rtl/>
        </w:rPr>
        <w:t>الضرب</w:t>
      </w:r>
      <w:r w:rsidR="00E8128F">
        <w:rPr>
          <w:sz w:val="36"/>
          <w:szCs w:val="36"/>
          <w:rtl/>
        </w:rPr>
        <w:t xml:space="preserve"> </w:t>
      </w:r>
      <w:r w:rsidR="00F641FB" w:rsidRPr="00FD211F">
        <w:rPr>
          <w:sz w:val="36"/>
          <w:szCs w:val="36"/>
          <w:rtl/>
        </w:rPr>
        <w:t>وال</w:t>
      </w:r>
      <w:r w:rsidR="008D7B3D" w:rsidRPr="00FD211F">
        <w:rPr>
          <w:sz w:val="36"/>
          <w:szCs w:val="36"/>
          <w:rtl/>
        </w:rPr>
        <w:t>شيء</w:t>
      </w:r>
      <w:r w:rsidR="00E8128F">
        <w:rPr>
          <w:sz w:val="36"/>
          <w:szCs w:val="36"/>
          <w:rtl/>
        </w:rPr>
        <w:t xml:space="preserve"> </w:t>
      </w:r>
      <w:r w:rsidR="00F641FB" w:rsidRPr="00FD211F">
        <w:rPr>
          <w:sz w:val="36"/>
          <w:szCs w:val="36"/>
          <w:rtl/>
        </w:rPr>
        <w:t>لاينقلب</w:t>
      </w:r>
      <w:r w:rsidR="00E8128F">
        <w:rPr>
          <w:sz w:val="36"/>
          <w:szCs w:val="36"/>
          <w:rtl/>
        </w:rPr>
        <w:t xml:space="preserve"> </w:t>
      </w:r>
      <w:r w:rsidR="00F641FB" w:rsidRPr="00FD211F">
        <w:rPr>
          <w:sz w:val="36"/>
          <w:szCs w:val="36"/>
          <w:rtl/>
        </w:rPr>
        <w:t>عما</w:t>
      </w:r>
      <w:r w:rsidR="00E8128F">
        <w:rPr>
          <w:sz w:val="36"/>
          <w:szCs w:val="36"/>
          <w:rtl/>
        </w:rPr>
        <w:t xml:space="preserve"> </w:t>
      </w:r>
      <w:r w:rsidR="00F641FB" w:rsidRPr="00FD211F">
        <w:rPr>
          <w:sz w:val="36"/>
          <w:szCs w:val="36"/>
          <w:rtl/>
        </w:rPr>
        <w:t>هو</w:t>
      </w:r>
      <w:r w:rsidR="00E8128F">
        <w:rPr>
          <w:sz w:val="36"/>
          <w:szCs w:val="36"/>
          <w:rtl/>
        </w:rPr>
        <w:t xml:space="preserve"> </w:t>
      </w:r>
      <w:r w:rsidR="00F641FB" w:rsidRPr="00FD211F">
        <w:rPr>
          <w:sz w:val="36"/>
          <w:szCs w:val="36"/>
          <w:rtl/>
        </w:rPr>
        <w:t>عليه</w:t>
      </w:r>
      <w:r w:rsidR="00603323" w:rsidRPr="00FD211F">
        <w:rPr>
          <w:sz w:val="36"/>
          <w:szCs w:val="36"/>
          <w:rtl/>
        </w:rPr>
        <w:t>،</w:t>
      </w:r>
      <w:r w:rsidR="00E8128F">
        <w:rPr>
          <w:sz w:val="36"/>
          <w:szCs w:val="36"/>
          <w:rtl/>
        </w:rPr>
        <w:t xml:space="preserve"> </w:t>
      </w:r>
      <w:r w:rsidRPr="00FD211F">
        <w:rPr>
          <w:sz w:val="36"/>
          <w:szCs w:val="36"/>
          <w:rtl/>
        </w:rPr>
        <w:t>ودعوى</w:t>
      </w:r>
      <w:r w:rsidR="00E8128F">
        <w:rPr>
          <w:sz w:val="36"/>
          <w:szCs w:val="36"/>
          <w:rtl/>
        </w:rPr>
        <w:t xml:space="preserve"> </w:t>
      </w:r>
      <w:r w:rsidRPr="00FD211F">
        <w:rPr>
          <w:sz w:val="36"/>
          <w:szCs w:val="36"/>
          <w:rtl/>
        </w:rPr>
        <w:t>الفرق</w:t>
      </w:r>
      <w:r w:rsidR="00E8128F">
        <w:rPr>
          <w:sz w:val="36"/>
          <w:szCs w:val="36"/>
          <w:rtl/>
        </w:rPr>
        <w:t xml:space="preserve"> </w:t>
      </w:r>
      <w:r w:rsidRPr="00FD211F">
        <w:rPr>
          <w:sz w:val="36"/>
          <w:szCs w:val="36"/>
          <w:rtl/>
        </w:rPr>
        <w:t>الإثباتي</w:t>
      </w:r>
      <w:r w:rsidR="00E8128F">
        <w:rPr>
          <w:sz w:val="36"/>
          <w:szCs w:val="36"/>
          <w:rtl/>
        </w:rPr>
        <w:t xml:space="preserve"> </w:t>
      </w:r>
      <w:r w:rsidRPr="00FD211F">
        <w:rPr>
          <w:sz w:val="36"/>
          <w:szCs w:val="36"/>
          <w:rtl/>
        </w:rPr>
        <w:t>بينهما</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المفعول</w:t>
      </w:r>
      <w:r w:rsidR="00E8128F">
        <w:rPr>
          <w:sz w:val="36"/>
          <w:szCs w:val="36"/>
          <w:rtl/>
        </w:rPr>
        <w:t xml:space="preserve"> </w:t>
      </w:r>
      <w:r w:rsidRPr="00FD211F">
        <w:rPr>
          <w:sz w:val="36"/>
          <w:szCs w:val="36"/>
          <w:rtl/>
        </w:rPr>
        <w:t>موضوعا</w:t>
      </w:r>
      <w:r w:rsidR="00E8128F">
        <w:rPr>
          <w:sz w:val="36"/>
          <w:szCs w:val="36"/>
          <w:rtl/>
        </w:rPr>
        <w:t xml:space="preserve"> </w:t>
      </w:r>
      <w:r w:rsidRPr="00FD211F">
        <w:rPr>
          <w:sz w:val="36"/>
          <w:szCs w:val="36"/>
          <w:rtl/>
        </w:rPr>
        <w:t>لما</w:t>
      </w:r>
      <w:r w:rsidR="00E8128F">
        <w:rPr>
          <w:sz w:val="36"/>
          <w:szCs w:val="36"/>
          <w:rtl/>
        </w:rPr>
        <w:t xml:space="preserve"> </w:t>
      </w:r>
      <w:r w:rsidRPr="00FD211F">
        <w:rPr>
          <w:sz w:val="36"/>
          <w:szCs w:val="36"/>
          <w:rtl/>
        </w:rPr>
        <w:t>يشمل</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السابق</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ومفعوله</w:t>
      </w:r>
      <w:r w:rsidR="00E8128F">
        <w:rPr>
          <w:sz w:val="36"/>
          <w:szCs w:val="36"/>
          <w:rtl/>
        </w:rPr>
        <w:t xml:space="preserve"> </w:t>
      </w:r>
      <w:r w:rsidR="00456DE6" w:rsidRPr="00FD211F">
        <w:rPr>
          <w:sz w:val="36"/>
          <w:szCs w:val="36"/>
          <w:rtl/>
        </w:rPr>
        <w:t>ويكون</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الفاعل</w:t>
      </w:r>
      <w:r w:rsidR="00E8128F">
        <w:rPr>
          <w:sz w:val="36"/>
          <w:szCs w:val="36"/>
          <w:rtl/>
        </w:rPr>
        <w:t xml:space="preserve"> </w:t>
      </w:r>
      <w:r w:rsidRPr="00FD211F">
        <w:rPr>
          <w:sz w:val="36"/>
          <w:szCs w:val="36"/>
          <w:rtl/>
        </w:rPr>
        <w:t>موضوعا</w:t>
      </w:r>
      <w:r w:rsidR="00E8128F">
        <w:rPr>
          <w:sz w:val="36"/>
          <w:szCs w:val="36"/>
          <w:rtl/>
        </w:rPr>
        <w:t xml:space="preserve"> </w:t>
      </w:r>
      <w:r w:rsidRPr="00FD211F">
        <w:rPr>
          <w:sz w:val="36"/>
          <w:szCs w:val="36"/>
          <w:rtl/>
        </w:rPr>
        <w:t>لخصوص</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الفعلي</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الفع</w:t>
      </w:r>
      <w:r w:rsidR="00AD1127" w:rsidRPr="00FD211F">
        <w:rPr>
          <w:sz w:val="36"/>
          <w:szCs w:val="36"/>
          <w:rtl/>
        </w:rPr>
        <w:t>ل</w:t>
      </w:r>
      <w:r w:rsidR="00E8128F">
        <w:rPr>
          <w:sz w:val="36"/>
          <w:szCs w:val="36"/>
          <w:rtl/>
        </w:rPr>
        <w:t xml:space="preserve"> </w:t>
      </w:r>
      <w:r w:rsidR="00AD1127" w:rsidRPr="00FD211F">
        <w:rPr>
          <w:sz w:val="36"/>
          <w:szCs w:val="36"/>
          <w:rtl/>
        </w:rPr>
        <w:t>وفاعله</w:t>
      </w:r>
      <w:r w:rsidR="00E8128F">
        <w:rPr>
          <w:sz w:val="36"/>
          <w:szCs w:val="36"/>
          <w:rtl/>
        </w:rPr>
        <w:t xml:space="preserve"> </w:t>
      </w:r>
      <w:r w:rsidR="00AD1127" w:rsidRPr="00FD211F">
        <w:rPr>
          <w:sz w:val="36"/>
          <w:szCs w:val="36"/>
          <w:rtl/>
        </w:rPr>
        <w:t>غير</w:t>
      </w:r>
      <w:r w:rsidR="00E8128F">
        <w:rPr>
          <w:sz w:val="36"/>
          <w:szCs w:val="36"/>
          <w:rtl/>
        </w:rPr>
        <w:t xml:space="preserve"> </w:t>
      </w:r>
      <w:r w:rsidR="00AD1127" w:rsidRPr="00FD211F">
        <w:rPr>
          <w:sz w:val="36"/>
          <w:szCs w:val="36"/>
          <w:rtl/>
        </w:rPr>
        <w:t>تام</w:t>
      </w:r>
      <w:r w:rsidR="00EC7EDF" w:rsidRPr="00FD211F">
        <w:rPr>
          <w:sz w:val="36"/>
          <w:szCs w:val="36"/>
          <w:rtl/>
        </w:rPr>
        <w:t>ة</w:t>
      </w:r>
      <w:r w:rsidR="00E8128F">
        <w:rPr>
          <w:sz w:val="36"/>
          <w:szCs w:val="36"/>
          <w:rtl/>
        </w:rPr>
        <w:t xml:space="preserve"> </w:t>
      </w:r>
      <w:r w:rsidR="00AD1127" w:rsidRPr="00FD211F">
        <w:rPr>
          <w:sz w:val="36"/>
          <w:szCs w:val="36"/>
          <w:rtl/>
        </w:rPr>
        <w:t>فانهما</w:t>
      </w:r>
      <w:r w:rsidR="00E8128F">
        <w:rPr>
          <w:sz w:val="36"/>
          <w:szCs w:val="36"/>
          <w:rtl/>
        </w:rPr>
        <w:t xml:space="preserve"> </w:t>
      </w:r>
      <w:r w:rsidR="00AD1127" w:rsidRPr="00FD211F">
        <w:rPr>
          <w:sz w:val="36"/>
          <w:szCs w:val="36"/>
          <w:rtl/>
        </w:rPr>
        <w:t>متضايف</w:t>
      </w:r>
      <w:r w:rsidRPr="00FD211F">
        <w:rPr>
          <w:sz w:val="36"/>
          <w:szCs w:val="36"/>
          <w:rtl/>
        </w:rPr>
        <w:t>ان</w:t>
      </w:r>
      <w:r w:rsidR="00E8128F">
        <w:rPr>
          <w:sz w:val="36"/>
          <w:szCs w:val="36"/>
          <w:rtl/>
        </w:rPr>
        <w:t xml:space="preserve"> </w:t>
      </w:r>
      <w:r w:rsidRPr="00FD211F">
        <w:rPr>
          <w:sz w:val="36"/>
          <w:szCs w:val="36"/>
          <w:rtl/>
        </w:rPr>
        <w:t>عرفا</w:t>
      </w:r>
      <w:r w:rsidR="00603323" w:rsidRPr="00FD211F">
        <w:rPr>
          <w:sz w:val="36"/>
          <w:szCs w:val="36"/>
          <w:rtl/>
        </w:rPr>
        <w:t>،</w:t>
      </w:r>
      <w:r w:rsidR="00E8128F">
        <w:rPr>
          <w:sz w:val="36"/>
          <w:szCs w:val="36"/>
          <w:rtl/>
        </w:rPr>
        <w:t xml:space="preserve"> </w:t>
      </w:r>
      <w:r w:rsidR="00F641FB" w:rsidRPr="00FD211F">
        <w:rPr>
          <w:sz w:val="36"/>
          <w:szCs w:val="36"/>
          <w:rtl/>
        </w:rPr>
        <w:t>ويبعد</w:t>
      </w:r>
      <w:r w:rsidR="00E8128F">
        <w:rPr>
          <w:sz w:val="36"/>
          <w:szCs w:val="36"/>
          <w:rtl/>
        </w:rPr>
        <w:t xml:space="preserve"> </w:t>
      </w:r>
      <w:r w:rsidR="00F641FB" w:rsidRPr="00FD211F">
        <w:rPr>
          <w:sz w:val="36"/>
          <w:szCs w:val="36"/>
          <w:rtl/>
        </w:rPr>
        <w:t>وضع</w:t>
      </w:r>
      <w:r w:rsidR="00E8128F">
        <w:rPr>
          <w:sz w:val="36"/>
          <w:szCs w:val="36"/>
          <w:rtl/>
        </w:rPr>
        <w:t xml:space="preserve"> </w:t>
      </w:r>
      <w:r w:rsidR="00F641FB" w:rsidRPr="00FD211F">
        <w:rPr>
          <w:sz w:val="36"/>
          <w:szCs w:val="36"/>
          <w:rtl/>
        </w:rPr>
        <w:t>اسم</w:t>
      </w:r>
      <w:r w:rsidR="00E8128F">
        <w:rPr>
          <w:sz w:val="36"/>
          <w:szCs w:val="36"/>
          <w:rtl/>
        </w:rPr>
        <w:t xml:space="preserve"> </w:t>
      </w:r>
      <w:r w:rsidR="00F641FB" w:rsidRPr="00FD211F">
        <w:rPr>
          <w:sz w:val="36"/>
          <w:szCs w:val="36"/>
          <w:rtl/>
        </w:rPr>
        <w:t>المفعول</w:t>
      </w:r>
      <w:r w:rsidR="00E8128F">
        <w:rPr>
          <w:sz w:val="36"/>
          <w:szCs w:val="36"/>
          <w:rtl/>
        </w:rPr>
        <w:t xml:space="preserve"> </w:t>
      </w:r>
      <w:r w:rsidR="00F641FB" w:rsidRPr="00FD211F">
        <w:rPr>
          <w:sz w:val="36"/>
          <w:szCs w:val="36"/>
          <w:rtl/>
        </w:rPr>
        <w:t>على</w:t>
      </w:r>
      <w:r w:rsidR="00E8128F">
        <w:rPr>
          <w:sz w:val="36"/>
          <w:szCs w:val="36"/>
          <w:rtl/>
        </w:rPr>
        <w:t xml:space="preserve"> </w:t>
      </w:r>
      <w:r w:rsidR="00F641FB" w:rsidRPr="00FD211F">
        <w:rPr>
          <w:sz w:val="36"/>
          <w:szCs w:val="36"/>
          <w:rtl/>
        </w:rPr>
        <w:t>حال</w:t>
      </w:r>
      <w:r w:rsidR="00EC7EDF" w:rsidRPr="00FD211F">
        <w:rPr>
          <w:sz w:val="36"/>
          <w:szCs w:val="36"/>
          <w:rtl/>
        </w:rPr>
        <w:t>ة</w:t>
      </w:r>
      <w:r w:rsidR="00E8128F">
        <w:rPr>
          <w:sz w:val="36"/>
          <w:szCs w:val="36"/>
          <w:rtl/>
        </w:rPr>
        <w:t xml:space="preserve"> </w:t>
      </w:r>
      <w:r w:rsidRPr="00FD211F">
        <w:rPr>
          <w:sz w:val="36"/>
          <w:szCs w:val="36"/>
          <w:rtl/>
        </w:rPr>
        <w:t>وعدم</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الفاعل</w:t>
      </w:r>
      <w:r w:rsidR="00E8128F">
        <w:rPr>
          <w:sz w:val="36"/>
          <w:szCs w:val="36"/>
          <w:rtl/>
        </w:rPr>
        <w:t xml:space="preserve"> </w:t>
      </w:r>
      <w:r w:rsidRPr="00FD211F">
        <w:rPr>
          <w:sz w:val="36"/>
          <w:szCs w:val="36"/>
          <w:rtl/>
        </w:rPr>
        <w:t>على</w:t>
      </w:r>
      <w:r w:rsidR="00E8128F">
        <w:rPr>
          <w:sz w:val="36"/>
          <w:szCs w:val="36"/>
          <w:rtl/>
        </w:rPr>
        <w:t xml:space="preserve"> </w:t>
      </w:r>
      <w:commentRangeStart w:id="441"/>
      <w:r w:rsidRPr="00FD211F">
        <w:rPr>
          <w:sz w:val="36"/>
          <w:szCs w:val="36"/>
          <w:rtl/>
        </w:rPr>
        <w:t>وزانه</w:t>
      </w:r>
      <w:commentRangeEnd w:id="441"/>
      <w:r w:rsidR="00595A44">
        <w:rPr>
          <w:rStyle w:val="ab"/>
          <w:rtl/>
        </w:rPr>
        <w:commentReference w:id="441"/>
      </w:r>
      <w:r w:rsidR="00F641FB" w:rsidRPr="00FD211F">
        <w:rPr>
          <w:sz w:val="36"/>
          <w:szCs w:val="36"/>
          <w:rtl/>
        </w:rPr>
        <w:t>.</w:t>
      </w:r>
    </w:p>
    <w:p w14:paraId="0E047C82" w14:textId="77777777" w:rsidR="005D5A20" w:rsidRPr="00FD211F" w:rsidRDefault="005D5A20" w:rsidP="009C58C8">
      <w:pPr>
        <w:pStyle w:val="3"/>
        <w:ind w:firstLine="227"/>
        <w:jc w:val="both"/>
        <w:rPr>
          <w:rtl/>
        </w:rPr>
      </w:pPr>
      <w:bookmarkStart w:id="442" w:name="_Toc192092946"/>
      <w:bookmarkStart w:id="443" w:name="_Toc223890426"/>
      <w:r w:rsidRPr="00FD211F">
        <w:rPr>
          <w:rtl/>
        </w:rPr>
        <w:t>اسم</w:t>
      </w:r>
      <w:r w:rsidR="00E8128F">
        <w:rPr>
          <w:rtl/>
        </w:rPr>
        <w:t xml:space="preserve"> </w:t>
      </w:r>
      <w:r w:rsidRPr="00FD211F">
        <w:rPr>
          <w:rtl/>
        </w:rPr>
        <w:t>الزمان</w:t>
      </w:r>
      <w:bookmarkEnd w:id="442"/>
      <w:bookmarkEnd w:id="443"/>
    </w:p>
    <w:p w14:paraId="5D294FD5" w14:textId="77777777" w:rsidR="00101848" w:rsidRPr="00FD211F" w:rsidRDefault="005D5A20" w:rsidP="009C58C8">
      <w:pPr>
        <w:ind w:left="0" w:firstLine="227"/>
        <w:jc w:val="both"/>
        <w:rPr>
          <w:sz w:val="36"/>
          <w:szCs w:val="36"/>
          <w:rtl/>
        </w:rPr>
      </w:pPr>
      <w:r w:rsidRPr="00FD211F">
        <w:rPr>
          <w:b/>
          <w:bCs/>
          <w:sz w:val="36"/>
          <w:szCs w:val="36"/>
          <w:rtl/>
        </w:rPr>
        <w:t>ومنها</w:t>
      </w:r>
      <w:r w:rsidRPr="00FD211F">
        <w:rPr>
          <w:sz w:val="36"/>
          <w:szCs w:val="36"/>
          <w:rtl/>
        </w:rPr>
        <w:t>:</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الزمان</w:t>
      </w:r>
      <w:r w:rsidR="00E8128F">
        <w:rPr>
          <w:sz w:val="36"/>
          <w:szCs w:val="36"/>
          <w:rtl/>
        </w:rPr>
        <w:t xml:space="preserve"> </w:t>
      </w:r>
      <w:r w:rsidR="00101848" w:rsidRPr="00FD211F">
        <w:rPr>
          <w:sz w:val="36"/>
          <w:szCs w:val="36"/>
          <w:rtl/>
        </w:rPr>
        <w:t>كالمقتل</w:t>
      </w:r>
      <w:r w:rsidR="00603323" w:rsidRPr="00FD211F">
        <w:rPr>
          <w:sz w:val="36"/>
          <w:szCs w:val="36"/>
          <w:rtl/>
        </w:rPr>
        <w:t>،</w:t>
      </w:r>
      <w:r w:rsidR="00E8128F">
        <w:rPr>
          <w:sz w:val="36"/>
          <w:szCs w:val="36"/>
          <w:rtl/>
        </w:rPr>
        <w:t xml:space="preserve"> </w:t>
      </w:r>
      <w:r w:rsidRPr="00FD211F">
        <w:rPr>
          <w:sz w:val="36"/>
          <w:szCs w:val="36"/>
          <w:rtl/>
        </w:rPr>
        <w:t>فقد</w:t>
      </w:r>
      <w:r w:rsidR="00E8128F">
        <w:rPr>
          <w:sz w:val="36"/>
          <w:szCs w:val="36"/>
          <w:rtl/>
        </w:rPr>
        <w:t xml:space="preserve"> </w:t>
      </w:r>
      <w:r w:rsidR="00F641FB" w:rsidRPr="00FD211F">
        <w:rPr>
          <w:sz w:val="36"/>
          <w:szCs w:val="36"/>
          <w:rtl/>
        </w:rPr>
        <w:t>ذكر</w:t>
      </w:r>
      <w:r w:rsidR="00E8128F">
        <w:rPr>
          <w:sz w:val="36"/>
          <w:szCs w:val="36"/>
          <w:rtl/>
        </w:rPr>
        <w:t xml:space="preserve"> </w:t>
      </w:r>
      <w:r w:rsidR="00F641FB" w:rsidRPr="00FD211F">
        <w:rPr>
          <w:sz w:val="36"/>
          <w:szCs w:val="36"/>
          <w:rtl/>
        </w:rPr>
        <w:t>صاحب</w:t>
      </w:r>
      <w:r w:rsidR="00E8128F">
        <w:rPr>
          <w:sz w:val="36"/>
          <w:szCs w:val="36"/>
          <w:rtl/>
        </w:rPr>
        <w:t xml:space="preserve"> </w:t>
      </w:r>
      <w:r w:rsidR="00F641FB" w:rsidRPr="00FD211F">
        <w:rPr>
          <w:sz w:val="36"/>
          <w:szCs w:val="36"/>
          <w:rtl/>
        </w:rPr>
        <w:t>الكفاي</w:t>
      </w:r>
      <w:r w:rsidR="00EC7EDF" w:rsidRPr="00FD211F">
        <w:rPr>
          <w:sz w:val="36"/>
          <w:szCs w:val="36"/>
          <w:rtl/>
        </w:rPr>
        <w:t>ة</w:t>
      </w:r>
      <w:r w:rsidR="00E8128F">
        <w:rPr>
          <w:sz w:val="36"/>
          <w:szCs w:val="36"/>
          <w:rtl/>
        </w:rPr>
        <w:t xml:space="preserve"> </w:t>
      </w:r>
      <w:r w:rsidR="00E43829" w:rsidRPr="00FD211F">
        <w:rPr>
          <w:sz w:val="36"/>
          <w:szCs w:val="36"/>
          <w:rtl/>
        </w:rPr>
        <w:t>"</w:t>
      </w:r>
      <w:r w:rsidR="00F641FB" w:rsidRPr="00FD211F">
        <w:rPr>
          <w:sz w:val="36"/>
          <w:szCs w:val="36"/>
          <w:rtl/>
        </w:rPr>
        <w:t>قده</w:t>
      </w:r>
      <w:r w:rsidR="00E43829" w:rsidRPr="00FD211F">
        <w:rPr>
          <w:sz w:val="36"/>
          <w:szCs w:val="36"/>
          <w:rtl/>
        </w:rPr>
        <w:t>"</w:t>
      </w:r>
      <w:r w:rsidR="00E8128F">
        <w:rPr>
          <w:sz w:val="36"/>
          <w:szCs w:val="36"/>
          <w:rtl/>
        </w:rPr>
        <w:t xml:space="preserve"> </w:t>
      </w:r>
      <w:r w:rsidR="00F641FB" w:rsidRPr="00FD211F">
        <w:rPr>
          <w:sz w:val="36"/>
          <w:szCs w:val="36"/>
          <w:rtl/>
        </w:rPr>
        <w:t>انه</w:t>
      </w:r>
      <w:r w:rsidR="00E8128F">
        <w:rPr>
          <w:sz w:val="36"/>
          <w:szCs w:val="36"/>
          <w:rtl/>
        </w:rPr>
        <w:t xml:space="preserve"> </w:t>
      </w:r>
      <w:r w:rsidR="00F641FB" w:rsidRPr="00FD211F">
        <w:rPr>
          <w:sz w:val="36"/>
          <w:szCs w:val="36"/>
          <w:rtl/>
        </w:rPr>
        <w:t>قد</w:t>
      </w:r>
      <w:r w:rsidR="00E8128F">
        <w:rPr>
          <w:sz w:val="36"/>
          <w:szCs w:val="36"/>
          <w:rtl/>
        </w:rPr>
        <w:t xml:space="preserve"> </w:t>
      </w:r>
      <w:r w:rsidR="00F641FB" w:rsidRPr="00FD211F">
        <w:rPr>
          <w:sz w:val="36"/>
          <w:szCs w:val="36"/>
          <w:rtl/>
        </w:rPr>
        <w:t>يقال</w:t>
      </w:r>
      <w:r w:rsidR="00E8128F">
        <w:rPr>
          <w:sz w:val="36"/>
          <w:szCs w:val="36"/>
          <w:rtl/>
        </w:rPr>
        <w:t xml:space="preserve"> </w:t>
      </w:r>
      <w:r w:rsidR="00101848" w:rsidRPr="00FD211F">
        <w:rPr>
          <w:sz w:val="36"/>
          <w:szCs w:val="36"/>
          <w:rtl/>
        </w:rPr>
        <w:t>بكونه</w:t>
      </w:r>
      <w:r w:rsidR="00E8128F">
        <w:rPr>
          <w:sz w:val="36"/>
          <w:szCs w:val="36"/>
          <w:rtl/>
        </w:rPr>
        <w:t xml:space="preserve"> </w:t>
      </w:r>
      <w:r w:rsidR="00101848" w:rsidRPr="00FD211F">
        <w:rPr>
          <w:sz w:val="36"/>
          <w:szCs w:val="36"/>
          <w:rtl/>
        </w:rPr>
        <w:t>خارجا</w:t>
      </w:r>
      <w:r w:rsidR="00E8128F">
        <w:rPr>
          <w:sz w:val="36"/>
          <w:szCs w:val="36"/>
          <w:rtl/>
        </w:rPr>
        <w:t xml:space="preserve"> </w:t>
      </w:r>
      <w:r w:rsidR="00101848" w:rsidRPr="00FD211F">
        <w:rPr>
          <w:sz w:val="36"/>
          <w:szCs w:val="36"/>
          <w:rtl/>
        </w:rPr>
        <w:t>عن</w:t>
      </w:r>
      <w:r w:rsidR="00E8128F">
        <w:rPr>
          <w:sz w:val="36"/>
          <w:szCs w:val="36"/>
          <w:rtl/>
        </w:rPr>
        <w:t xml:space="preserve"> </w:t>
      </w:r>
      <w:r w:rsidR="00F641FB" w:rsidRPr="00FD211F">
        <w:rPr>
          <w:sz w:val="36"/>
          <w:szCs w:val="36"/>
          <w:rtl/>
        </w:rPr>
        <w:t>مورد</w:t>
      </w:r>
      <w:r w:rsidR="00E8128F">
        <w:rPr>
          <w:sz w:val="36"/>
          <w:szCs w:val="36"/>
          <w:rtl/>
        </w:rPr>
        <w:t xml:space="preserve"> </w:t>
      </w:r>
      <w:r w:rsidR="00F641FB" w:rsidRPr="00FD211F">
        <w:rPr>
          <w:sz w:val="36"/>
          <w:szCs w:val="36"/>
          <w:rtl/>
        </w:rPr>
        <w:t>النزاع</w:t>
      </w:r>
      <w:r w:rsidR="00E8128F">
        <w:rPr>
          <w:sz w:val="36"/>
          <w:szCs w:val="36"/>
          <w:rtl/>
        </w:rPr>
        <w:t xml:space="preserve"> </w:t>
      </w:r>
      <w:r w:rsidR="00F641FB" w:rsidRPr="00FD211F">
        <w:rPr>
          <w:sz w:val="36"/>
          <w:szCs w:val="36"/>
          <w:rtl/>
        </w:rPr>
        <w:t>لانه</w:t>
      </w:r>
      <w:r w:rsidR="00E8128F">
        <w:rPr>
          <w:sz w:val="36"/>
          <w:szCs w:val="36"/>
          <w:rtl/>
        </w:rPr>
        <w:t xml:space="preserve"> </w:t>
      </w:r>
      <w:r w:rsidR="00F641FB" w:rsidRPr="00FD211F">
        <w:rPr>
          <w:sz w:val="36"/>
          <w:szCs w:val="36"/>
          <w:rtl/>
        </w:rPr>
        <w:t>لايعقل</w:t>
      </w:r>
      <w:r w:rsidR="00E8128F">
        <w:rPr>
          <w:sz w:val="36"/>
          <w:szCs w:val="36"/>
          <w:rtl/>
        </w:rPr>
        <w:t xml:space="preserve"> </w:t>
      </w:r>
      <w:r w:rsidR="00F641FB" w:rsidRPr="00FD211F">
        <w:rPr>
          <w:sz w:val="36"/>
          <w:szCs w:val="36"/>
          <w:rtl/>
        </w:rPr>
        <w:t>بقاء</w:t>
      </w:r>
      <w:r w:rsidR="00E8128F">
        <w:rPr>
          <w:sz w:val="36"/>
          <w:szCs w:val="36"/>
          <w:rtl/>
        </w:rPr>
        <w:t xml:space="preserve"> </w:t>
      </w:r>
      <w:r w:rsidR="00F641FB" w:rsidRPr="00FD211F">
        <w:rPr>
          <w:sz w:val="36"/>
          <w:szCs w:val="36"/>
          <w:rtl/>
        </w:rPr>
        <w:t>الذات</w:t>
      </w:r>
      <w:r w:rsidR="00E8128F">
        <w:rPr>
          <w:sz w:val="36"/>
          <w:szCs w:val="36"/>
          <w:rtl/>
        </w:rPr>
        <w:t xml:space="preserve"> </w:t>
      </w:r>
      <w:r w:rsidR="00F641FB" w:rsidRPr="00FD211F">
        <w:rPr>
          <w:sz w:val="36"/>
          <w:szCs w:val="36"/>
          <w:rtl/>
        </w:rPr>
        <w:t>فيه</w:t>
      </w:r>
      <w:r w:rsidR="00E8128F">
        <w:rPr>
          <w:sz w:val="36"/>
          <w:szCs w:val="36"/>
          <w:rtl/>
        </w:rPr>
        <w:t xml:space="preserve"> </w:t>
      </w:r>
      <w:r w:rsidR="00F641FB" w:rsidRPr="00FD211F">
        <w:rPr>
          <w:sz w:val="36"/>
          <w:szCs w:val="36"/>
          <w:rtl/>
        </w:rPr>
        <w:t>وه</w:t>
      </w:r>
      <w:r w:rsidR="00E43829" w:rsidRPr="00FD211F">
        <w:rPr>
          <w:sz w:val="36"/>
          <w:szCs w:val="36"/>
          <w:rtl/>
        </w:rPr>
        <w:t>و</w:t>
      </w:r>
      <w:r w:rsidR="00E8128F">
        <w:rPr>
          <w:sz w:val="36"/>
          <w:szCs w:val="36"/>
          <w:rtl/>
        </w:rPr>
        <w:t xml:space="preserve"> </w:t>
      </w:r>
      <w:r w:rsidR="00F641FB" w:rsidRPr="00FD211F">
        <w:rPr>
          <w:sz w:val="36"/>
          <w:szCs w:val="36"/>
          <w:rtl/>
        </w:rPr>
        <w:t>الزمان</w:t>
      </w:r>
      <w:r w:rsidR="00E8128F">
        <w:rPr>
          <w:sz w:val="36"/>
          <w:szCs w:val="36"/>
          <w:rtl/>
        </w:rPr>
        <w:t xml:space="preserve"> </w:t>
      </w:r>
      <w:r w:rsidR="00F641FB" w:rsidRPr="00FD211F">
        <w:rPr>
          <w:sz w:val="36"/>
          <w:szCs w:val="36"/>
          <w:rtl/>
        </w:rPr>
        <w:t>مع</w:t>
      </w:r>
      <w:r w:rsidR="00E8128F">
        <w:rPr>
          <w:sz w:val="36"/>
          <w:szCs w:val="36"/>
          <w:rtl/>
        </w:rPr>
        <w:t xml:space="preserve"> </w:t>
      </w:r>
      <w:r w:rsidR="00F641FB" w:rsidRPr="00FD211F">
        <w:rPr>
          <w:sz w:val="36"/>
          <w:szCs w:val="36"/>
          <w:rtl/>
        </w:rPr>
        <w:t>انقضاء</w:t>
      </w:r>
      <w:r w:rsidR="00E8128F">
        <w:rPr>
          <w:sz w:val="36"/>
          <w:szCs w:val="36"/>
          <w:rtl/>
        </w:rPr>
        <w:t xml:space="preserve"> </w:t>
      </w:r>
      <w:r w:rsidR="00F641FB" w:rsidRPr="00FD211F">
        <w:rPr>
          <w:sz w:val="36"/>
          <w:szCs w:val="36"/>
          <w:rtl/>
        </w:rPr>
        <w:t>تلبسه</w:t>
      </w:r>
      <w:r w:rsidR="00E8128F">
        <w:rPr>
          <w:sz w:val="36"/>
          <w:szCs w:val="36"/>
          <w:rtl/>
        </w:rPr>
        <w:t xml:space="preserve"> </w:t>
      </w:r>
      <w:r w:rsidR="00F641FB" w:rsidRPr="00FD211F">
        <w:rPr>
          <w:sz w:val="36"/>
          <w:szCs w:val="36"/>
          <w:rtl/>
        </w:rPr>
        <w:t>بال</w:t>
      </w:r>
      <w:r w:rsidR="0079493B" w:rsidRPr="00FD211F">
        <w:rPr>
          <w:sz w:val="36"/>
          <w:szCs w:val="36"/>
          <w:rtl/>
        </w:rPr>
        <w:t>مبدأ</w:t>
      </w:r>
      <w:r w:rsidR="00603323" w:rsidRPr="00FD211F">
        <w:rPr>
          <w:sz w:val="36"/>
          <w:szCs w:val="36"/>
          <w:rtl/>
        </w:rPr>
        <w:t>،</w:t>
      </w:r>
      <w:r w:rsidR="00E8128F">
        <w:rPr>
          <w:sz w:val="36"/>
          <w:szCs w:val="36"/>
          <w:rtl/>
        </w:rPr>
        <w:t xml:space="preserve"> </w:t>
      </w:r>
      <w:r w:rsidR="00101848" w:rsidRPr="00FD211F">
        <w:rPr>
          <w:sz w:val="36"/>
          <w:szCs w:val="36"/>
          <w:rtl/>
        </w:rPr>
        <w:t>ف</w:t>
      </w:r>
      <w:r w:rsidR="00F641FB" w:rsidRPr="00FD211F">
        <w:rPr>
          <w:sz w:val="36"/>
          <w:szCs w:val="36"/>
          <w:rtl/>
        </w:rPr>
        <w:t>ان</w:t>
      </w:r>
      <w:r w:rsidR="00E8128F">
        <w:rPr>
          <w:sz w:val="36"/>
          <w:szCs w:val="36"/>
          <w:rtl/>
        </w:rPr>
        <w:t xml:space="preserve"> </w:t>
      </w:r>
      <w:r w:rsidR="00F641FB" w:rsidRPr="00FD211F">
        <w:rPr>
          <w:sz w:val="36"/>
          <w:szCs w:val="36"/>
          <w:rtl/>
        </w:rPr>
        <w:t>الزمان</w:t>
      </w:r>
      <w:r w:rsidR="00E8128F">
        <w:rPr>
          <w:sz w:val="36"/>
          <w:szCs w:val="36"/>
          <w:rtl/>
        </w:rPr>
        <w:t xml:space="preserve"> </w:t>
      </w:r>
      <w:r w:rsidR="00F641FB" w:rsidRPr="00FD211F">
        <w:rPr>
          <w:sz w:val="36"/>
          <w:szCs w:val="36"/>
          <w:rtl/>
        </w:rPr>
        <w:t>متصرم</w:t>
      </w:r>
      <w:r w:rsidR="00E8128F">
        <w:rPr>
          <w:sz w:val="36"/>
          <w:szCs w:val="36"/>
          <w:rtl/>
        </w:rPr>
        <w:t xml:space="preserve"> </w:t>
      </w:r>
      <w:r w:rsidR="00F641FB" w:rsidRPr="00FD211F">
        <w:rPr>
          <w:sz w:val="36"/>
          <w:szCs w:val="36"/>
          <w:rtl/>
        </w:rPr>
        <w:t>الوجود</w:t>
      </w:r>
      <w:r w:rsidR="00E8128F">
        <w:rPr>
          <w:sz w:val="36"/>
          <w:szCs w:val="36"/>
          <w:rtl/>
        </w:rPr>
        <w:t xml:space="preserve"> </w:t>
      </w:r>
      <w:r w:rsidR="00F641FB" w:rsidRPr="00FD211F">
        <w:rPr>
          <w:sz w:val="36"/>
          <w:szCs w:val="36"/>
          <w:rtl/>
        </w:rPr>
        <w:t>فالجزء</w:t>
      </w:r>
      <w:r w:rsidR="00E8128F">
        <w:rPr>
          <w:sz w:val="36"/>
          <w:szCs w:val="36"/>
          <w:rtl/>
        </w:rPr>
        <w:t xml:space="preserve"> </w:t>
      </w:r>
      <w:r w:rsidR="00F641FB" w:rsidRPr="00FD211F">
        <w:rPr>
          <w:sz w:val="36"/>
          <w:szCs w:val="36"/>
          <w:rtl/>
        </w:rPr>
        <w:t>المتصف</w:t>
      </w:r>
      <w:r w:rsidR="00E8128F">
        <w:rPr>
          <w:sz w:val="36"/>
          <w:szCs w:val="36"/>
          <w:rtl/>
        </w:rPr>
        <w:t xml:space="preserve"> </w:t>
      </w:r>
      <w:r w:rsidR="00F641FB" w:rsidRPr="00FD211F">
        <w:rPr>
          <w:sz w:val="36"/>
          <w:szCs w:val="36"/>
          <w:rtl/>
        </w:rPr>
        <w:t>منه</w:t>
      </w:r>
      <w:r w:rsidR="00E8128F">
        <w:rPr>
          <w:sz w:val="36"/>
          <w:szCs w:val="36"/>
          <w:rtl/>
        </w:rPr>
        <w:t xml:space="preserve"> </w:t>
      </w:r>
      <w:r w:rsidR="00F641FB" w:rsidRPr="00FD211F">
        <w:rPr>
          <w:sz w:val="36"/>
          <w:szCs w:val="36"/>
          <w:rtl/>
        </w:rPr>
        <w:t>بوقوع</w:t>
      </w:r>
      <w:r w:rsidR="00E8128F">
        <w:rPr>
          <w:sz w:val="36"/>
          <w:szCs w:val="36"/>
          <w:rtl/>
        </w:rPr>
        <w:t xml:space="preserve"> </w:t>
      </w:r>
      <w:r w:rsidR="00F641FB" w:rsidRPr="00FD211F">
        <w:rPr>
          <w:sz w:val="36"/>
          <w:szCs w:val="36"/>
          <w:rtl/>
        </w:rPr>
        <w:t>قتل</w:t>
      </w:r>
      <w:r w:rsidR="00E8128F">
        <w:rPr>
          <w:sz w:val="36"/>
          <w:szCs w:val="36"/>
          <w:rtl/>
        </w:rPr>
        <w:t xml:space="preserve"> </w:t>
      </w:r>
      <w:r w:rsidR="00F641FB" w:rsidRPr="00FD211F">
        <w:rPr>
          <w:sz w:val="36"/>
          <w:szCs w:val="36"/>
          <w:rtl/>
        </w:rPr>
        <w:t>الحسين</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F641FB" w:rsidRPr="00FD211F">
        <w:rPr>
          <w:sz w:val="36"/>
          <w:szCs w:val="36"/>
          <w:rtl/>
        </w:rPr>
        <w:t>فيه</w:t>
      </w:r>
      <w:r w:rsidR="00E8128F">
        <w:rPr>
          <w:sz w:val="36"/>
          <w:szCs w:val="36"/>
          <w:rtl/>
        </w:rPr>
        <w:t xml:space="preserve"> </w:t>
      </w:r>
      <w:r w:rsidR="00F641FB" w:rsidRPr="00FD211F">
        <w:rPr>
          <w:sz w:val="36"/>
          <w:szCs w:val="36"/>
          <w:rtl/>
        </w:rPr>
        <w:t>ينعدم</w:t>
      </w:r>
      <w:r w:rsidR="00E8128F">
        <w:rPr>
          <w:sz w:val="36"/>
          <w:szCs w:val="36"/>
          <w:rtl/>
        </w:rPr>
        <w:t xml:space="preserve"> </w:t>
      </w:r>
      <w:r w:rsidR="00F641FB" w:rsidRPr="00FD211F">
        <w:rPr>
          <w:sz w:val="36"/>
          <w:szCs w:val="36"/>
          <w:rtl/>
        </w:rPr>
        <w:t>بانقضاء</w:t>
      </w:r>
      <w:r w:rsidR="00E8128F">
        <w:rPr>
          <w:sz w:val="36"/>
          <w:szCs w:val="36"/>
          <w:rtl/>
        </w:rPr>
        <w:t xml:space="preserve"> </w:t>
      </w:r>
      <w:r w:rsidR="00101848" w:rsidRPr="00FD211F">
        <w:rPr>
          <w:sz w:val="36"/>
          <w:szCs w:val="36"/>
          <w:rtl/>
        </w:rPr>
        <w:t>القتل</w:t>
      </w:r>
      <w:r w:rsidR="00E8128F">
        <w:rPr>
          <w:sz w:val="36"/>
          <w:szCs w:val="36"/>
          <w:rtl/>
        </w:rPr>
        <w:t xml:space="preserve"> </w:t>
      </w:r>
      <w:r w:rsidR="00F641FB" w:rsidRPr="00FD211F">
        <w:rPr>
          <w:sz w:val="36"/>
          <w:szCs w:val="36"/>
          <w:rtl/>
        </w:rPr>
        <w:t>ويكون</w:t>
      </w:r>
      <w:r w:rsidR="00E8128F">
        <w:rPr>
          <w:sz w:val="36"/>
          <w:szCs w:val="36"/>
          <w:rtl/>
        </w:rPr>
        <w:t xml:space="preserve"> </w:t>
      </w:r>
      <w:r w:rsidR="00F641FB" w:rsidRPr="00FD211F">
        <w:rPr>
          <w:sz w:val="36"/>
          <w:szCs w:val="36"/>
          <w:rtl/>
        </w:rPr>
        <w:t>الموجود</w:t>
      </w:r>
      <w:r w:rsidR="00E8128F">
        <w:rPr>
          <w:sz w:val="36"/>
          <w:szCs w:val="36"/>
          <w:rtl/>
        </w:rPr>
        <w:t xml:space="preserve"> </w:t>
      </w:r>
      <w:r w:rsidR="00101848" w:rsidRPr="00FD211F">
        <w:rPr>
          <w:sz w:val="36"/>
          <w:szCs w:val="36"/>
          <w:rtl/>
        </w:rPr>
        <w:t>اللاحق</w:t>
      </w:r>
      <w:r w:rsidR="00E8128F">
        <w:rPr>
          <w:sz w:val="36"/>
          <w:szCs w:val="36"/>
          <w:rtl/>
        </w:rPr>
        <w:t xml:space="preserve"> </w:t>
      </w:r>
      <w:r w:rsidR="00F641FB" w:rsidRPr="00FD211F">
        <w:rPr>
          <w:sz w:val="36"/>
          <w:szCs w:val="36"/>
          <w:rtl/>
        </w:rPr>
        <w:t>جزءا</w:t>
      </w:r>
      <w:r w:rsidR="00E8128F">
        <w:rPr>
          <w:sz w:val="36"/>
          <w:szCs w:val="36"/>
          <w:rtl/>
        </w:rPr>
        <w:t xml:space="preserve"> </w:t>
      </w:r>
      <w:r w:rsidR="00F641FB" w:rsidRPr="00FD211F">
        <w:rPr>
          <w:sz w:val="36"/>
          <w:szCs w:val="36"/>
          <w:rtl/>
        </w:rPr>
        <w:t>آخر</w:t>
      </w:r>
      <w:r w:rsidR="00E8128F">
        <w:rPr>
          <w:sz w:val="36"/>
          <w:szCs w:val="36"/>
          <w:rtl/>
        </w:rPr>
        <w:t xml:space="preserve"> </w:t>
      </w:r>
      <w:r w:rsidR="00F641FB" w:rsidRPr="00FD211F">
        <w:rPr>
          <w:sz w:val="36"/>
          <w:szCs w:val="36"/>
          <w:rtl/>
        </w:rPr>
        <w:t>منه</w:t>
      </w:r>
      <w:r w:rsidR="00E8128F">
        <w:rPr>
          <w:sz w:val="36"/>
          <w:szCs w:val="36"/>
          <w:rtl/>
        </w:rPr>
        <w:t xml:space="preserve"> </w:t>
      </w:r>
      <w:r w:rsidR="00F641FB" w:rsidRPr="00FD211F">
        <w:rPr>
          <w:sz w:val="36"/>
          <w:szCs w:val="36"/>
          <w:rtl/>
        </w:rPr>
        <w:t>مباين</w:t>
      </w:r>
      <w:r w:rsidR="00101848" w:rsidRPr="00FD211F">
        <w:rPr>
          <w:sz w:val="36"/>
          <w:szCs w:val="36"/>
          <w:rtl/>
        </w:rPr>
        <w:t>ا</w:t>
      </w:r>
      <w:r w:rsidR="00E8128F">
        <w:rPr>
          <w:sz w:val="36"/>
          <w:szCs w:val="36"/>
          <w:rtl/>
        </w:rPr>
        <w:t xml:space="preserve"> </w:t>
      </w:r>
      <w:r w:rsidR="00F641FB" w:rsidRPr="00FD211F">
        <w:rPr>
          <w:sz w:val="36"/>
          <w:szCs w:val="36"/>
          <w:rtl/>
        </w:rPr>
        <w:t>له</w:t>
      </w:r>
      <w:r w:rsidR="00E8128F">
        <w:rPr>
          <w:sz w:val="36"/>
          <w:szCs w:val="36"/>
          <w:rtl/>
        </w:rPr>
        <w:t xml:space="preserve"> </w:t>
      </w:r>
      <w:r w:rsidR="00F641FB" w:rsidRPr="00FD211F">
        <w:rPr>
          <w:sz w:val="36"/>
          <w:szCs w:val="36"/>
          <w:rtl/>
        </w:rPr>
        <w:t>ذاتا</w:t>
      </w:r>
      <w:r w:rsidR="00101848" w:rsidRPr="00FD211F">
        <w:rPr>
          <w:sz w:val="36"/>
          <w:szCs w:val="36"/>
          <w:rtl/>
        </w:rPr>
        <w:t>.</w:t>
      </w:r>
    </w:p>
    <w:p w14:paraId="14E87898" w14:textId="77777777" w:rsidR="00AD1127" w:rsidRPr="00FD211F" w:rsidRDefault="00077317"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اجاب</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الاشكال</w:t>
      </w:r>
      <w:r w:rsidR="00E8128F">
        <w:rPr>
          <w:sz w:val="36"/>
          <w:szCs w:val="36"/>
          <w:rtl/>
        </w:rPr>
        <w:t xml:space="preserve"> </w:t>
      </w:r>
      <w:r w:rsidRPr="00FD211F">
        <w:rPr>
          <w:sz w:val="36"/>
          <w:szCs w:val="36"/>
          <w:rtl/>
        </w:rPr>
        <w:t>ب</w:t>
      </w:r>
      <w:r w:rsidR="00F641FB" w:rsidRPr="00FD211F">
        <w:rPr>
          <w:sz w:val="36"/>
          <w:szCs w:val="36"/>
          <w:rtl/>
        </w:rPr>
        <w:t>ان</w:t>
      </w:r>
      <w:r w:rsidRPr="00FD211F">
        <w:rPr>
          <w:sz w:val="36"/>
          <w:szCs w:val="36"/>
          <w:rtl/>
        </w:rPr>
        <w:t>ه</w:t>
      </w:r>
      <w:r w:rsidR="00E8128F">
        <w:rPr>
          <w:sz w:val="36"/>
          <w:szCs w:val="36"/>
          <w:rtl/>
        </w:rPr>
        <w:t xml:space="preserve"> </w:t>
      </w:r>
      <w:r w:rsidRPr="00FD211F">
        <w:rPr>
          <w:sz w:val="36"/>
          <w:szCs w:val="36"/>
          <w:rtl/>
        </w:rPr>
        <w:t>لامانع</w:t>
      </w:r>
      <w:r w:rsidR="00E8128F">
        <w:rPr>
          <w:sz w:val="36"/>
          <w:szCs w:val="36"/>
          <w:rtl/>
        </w:rPr>
        <w:t xml:space="preserve"> </w:t>
      </w:r>
      <w:r w:rsidRPr="00FD211F">
        <w:rPr>
          <w:sz w:val="36"/>
          <w:szCs w:val="36"/>
          <w:rtl/>
        </w:rPr>
        <w:t>من</w:t>
      </w:r>
      <w:r w:rsidR="00E8128F">
        <w:rPr>
          <w:sz w:val="36"/>
          <w:szCs w:val="36"/>
          <w:rtl/>
        </w:rPr>
        <w:t xml:space="preserve"> </w:t>
      </w:r>
      <w:r w:rsidR="00F641FB" w:rsidRPr="00FD211F">
        <w:rPr>
          <w:sz w:val="36"/>
          <w:szCs w:val="36"/>
          <w:rtl/>
        </w:rPr>
        <w:t>وضع</w:t>
      </w:r>
      <w:r w:rsidR="00E8128F">
        <w:rPr>
          <w:sz w:val="36"/>
          <w:szCs w:val="36"/>
          <w:rtl/>
        </w:rPr>
        <w:t xml:space="preserve"> </w:t>
      </w:r>
      <w:r w:rsidR="00F641FB" w:rsidRPr="00FD211F">
        <w:rPr>
          <w:sz w:val="36"/>
          <w:szCs w:val="36"/>
          <w:rtl/>
        </w:rPr>
        <w:t>لفظ</w:t>
      </w:r>
      <w:r w:rsidRPr="00FD211F">
        <w:rPr>
          <w:sz w:val="36"/>
          <w:szCs w:val="36"/>
          <w:rtl/>
        </w:rPr>
        <w:t>ٍ</w:t>
      </w:r>
      <w:r w:rsidR="00E8128F">
        <w:rPr>
          <w:sz w:val="36"/>
          <w:szCs w:val="36"/>
          <w:rtl/>
        </w:rPr>
        <w:t xml:space="preserve"> </w:t>
      </w:r>
      <w:r w:rsidR="00F641FB" w:rsidRPr="00FD211F">
        <w:rPr>
          <w:sz w:val="36"/>
          <w:szCs w:val="36"/>
          <w:rtl/>
        </w:rPr>
        <w:t>لل</w:t>
      </w:r>
      <w:r w:rsidRPr="00FD211F">
        <w:rPr>
          <w:sz w:val="36"/>
          <w:szCs w:val="36"/>
          <w:rtl/>
        </w:rPr>
        <w:t>معنى</w:t>
      </w:r>
      <w:r w:rsidR="00E8128F">
        <w:rPr>
          <w:sz w:val="36"/>
          <w:szCs w:val="36"/>
          <w:rtl/>
        </w:rPr>
        <w:t xml:space="preserve"> </w:t>
      </w:r>
      <w:r w:rsidRPr="00FD211F">
        <w:rPr>
          <w:sz w:val="36"/>
          <w:szCs w:val="36"/>
          <w:rtl/>
        </w:rPr>
        <w:t>ال</w:t>
      </w:r>
      <w:r w:rsidR="00F641FB" w:rsidRPr="00FD211F">
        <w:rPr>
          <w:sz w:val="36"/>
          <w:szCs w:val="36"/>
          <w:rtl/>
        </w:rPr>
        <w:t>أعم</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استحال</w:t>
      </w:r>
      <w:r w:rsidR="00E8128F">
        <w:rPr>
          <w:sz w:val="36"/>
          <w:szCs w:val="36"/>
          <w:rtl/>
        </w:rPr>
        <w:t xml:space="preserve"> </w:t>
      </w:r>
      <w:r w:rsidR="0040555A" w:rsidRPr="00FD211F">
        <w:rPr>
          <w:sz w:val="36"/>
          <w:szCs w:val="36"/>
          <w:rtl/>
        </w:rPr>
        <w:t>بعض</w:t>
      </w:r>
      <w:r w:rsidR="00E8128F">
        <w:rPr>
          <w:sz w:val="36"/>
          <w:szCs w:val="36"/>
          <w:rtl/>
        </w:rPr>
        <w:t xml:space="preserve"> </w:t>
      </w:r>
      <w:r w:rsidR="0040555A" w:rsidRPr="00FD211F">
        <w:rPr>
          <w:sz w:val="36"/>
          <w:szCs w:val="36"/>
          <w:rtl/>
        </w:rPr>
        <w:t>افراده</w:t>
      </w:r>
      <w:r w:rsidR="00603323" w:rsidRPr="00FD211F">
        <w:rPr>
          <w:sz w:val="36"/>
          <w:szCs w:val="36"/>
          <w:rtl/>
        </w:rPr>
        <w:t>،</w:t>
      </w:r>
      <w:r w:rsidR="00E8128F">
        <w:rPr>
          <w:sz w:val="36"/>
          <w:szCs w:val="36"/>
          <w:rtl/>
        </w:rPr>
        <w:t xml:space="preserve"> </w:t>
      </w:r>
      <w:r w:rsidR="00F641FB" w:rsidRPr="00FD211F">
        <w:rPr>
          <w:sz w:val="36"/>
          <w:szCs w:val="36"/>
          <w:rtl/>
        </w:rPr>
        <w:t>فترى</w:t>
      </w:r>
      <w:r w:rsidR="00E8128F">
        <w:rPr>
          <w:sz w:val="36"/>
          <w:szCs w:val="36"/>
          <w:rtl/>
        </w:rPr>
        <w:t xml:space="preserve"> </w:t>
      </w:r>
      <w:r w:rsidR="00F641FB" w:rsidRPr="00FD211F">
        <w:rPr>
          <w:sz w:val="36"/>
          <w:szCs w:val="36"/>
          <w:rtl/>
        </w:rPr>
        <w:t>ان</w:t>
      </w:r>
      <w:r w:rsidR="00E8128F">
        <w:rPr>
          <w:sz w:val="36"/>
          <w:szCs w:val="36"/>
          <w:rtl/>
        </w:rPr>
        <w:t xml:space="preserve"> </w:t>
      </w:r>
      <w:r w:rsidR="00F641FB" w:rsidRPr="00FD211F">
        <w:rPr>
          <w:sz w:val="36"/>
          <w:szCs w:val="36"/>
          <w:rtl/>
        </w:rPr>
        <w:t>الواجب</w:t>
      </w:r>
      <w:r w:rsidR="00E8128F">
        <w:rPr>
          <w:sz w:val="36"/>
          <w:szCs w:val="36"/>
          <w:rtl/>
        </w:rPr>
        <w:t xml:space="preserve"> </w:t>
      </w:r>
      <w:r w:rsidR="00F641FB" w:rsidRPr="00FD211F">
        <w:rPr>
          <w:sz w:val="36"/>
          <w:szCs w:val="36"/>
          <w:rtl/>
        </w:rPr>
        <w:t>موضوع</w:t>
      </w:r>
      <w:r w:rsidR="00E8128F">
        <w:rPr>
          <w:sz w:val="36"/>
          <w:szCs w:val="36"/>
          <w:rtl/>
        </w:rPr>
        <w:t xml:space="preserve"> </w:t>
      </w:r>
      <w:r w:rsidR="00F641FB" w:rsidRPr="00FD211F">
        <w:rPr>
          <w:sz w:val="36"/>
          <w:szCs w:val="36"/>
          <w:rtl/>
        </w:rPr>
        <w:t>لمعنى</w:t>
      </w:r>
      <w:r w:rsidR="00E8128F">
        <w:rPr>
          <w:sz w:val="36"/>
          <w:szCs w:val="36"/>
          <w:rtl/>
        </w:rPr>
        <w:t xml:space="preserve"> </w:t>
      </w:r>
      <w:r w:rsidR="00EC4FC8" w:rsidRPr="00FD211F">
        <w:rPr>
          <w:sz w:val="36"/>
          <w:szCs w:val="36"/>
          <w:rtl/>
        </w:rPr>
        <w:t>كلي</w:t>
      </w:r>
      <w:r w:rsidR="00E8128F">
        <w:rPr>
          <w:sz w:val="36"/>
          <w:szCs w:val="36"/>
          <w:rtl/>
        </w:rPr>
        <w:t xml:space="preserve"> </w:t>
      </w:r>
      <w:r w:rsidR="00F641FB" w:rsidRPr="00FD211F">
        <w:rPr>
          <w:sz w:val="36"/>
          <w:szCs w:val="36"/>
          <w:rtl/>
        </w:rPr>
        <w:t>يستحيل</w:t>
      </w:r>
      <w:r w:rsidR="00E8128F">
        <w:rPr>
          <w:sz w:val="36"/>
          <w:szCs w:val="36"/>
          <w:rtl/>
        </w:rPr>
        <w:t xml:space="preserve"> </w:t>
      </w:r>
      <w:r w:rsidR="00F641FB" w:rsidRPr="00FD211F">
        <w:rPr>
          <w:sz w:val="36"/>
          <w:szCs w:val="36"/>
          <w:rtl/>
        </w:rPr>
        <w:t>وجود</w:t>
      </w:r>
      <w:r w:rsidR="00E8128F">
        <w:rPr>
          <w:sz w:val="36"/>
          <w:szCs w:val="36"/>
          <w:rtl/>
        </w:rPr>
        <w:t xml:space="preserve"> </w:t>
      </w:r>
      <w:r w:rsidR="00F641FB" w:rsidRPr="00FD211F">
        <w:rPr>
          <w:sz w:val="36"/>
          <w:szCs w:val="36"/>
          <w:rtl/>
        </w:rPr>
        <w:t>مصداق</w:t>
      </w:r>
      <w:r w:rsidR="00E8128F">
        <w:rPr>
          <w:sz w:val="36"/>
          <w:szCs w:val="36"/>
          <w:rtl/>
        </w:rPr>
        <w:t xml:space="preserve"> </w:t>
      </w:r>
      <w:r w:rsidR="00F641FB" w:rsidRPr="00FD211F">
        <w:rPr>
          <w:sz w:val="36"/>
          <w:szCs w:val="36"/>
          <w:rtl/>
        </w:rPr>
        <w:t>آخر</w:t>
      </w:r>
      <w:r w:rsidR="00E8128F">
        <w:rPr>
          <w:sz w:val="36"/>
          <w:szCs w:val="36"/>
          <w:rtl/>
        </w:rPr>
        <w:t xml:space="preserve"> </w:t>
      </w:r>
      <w:r w:rsidR="00F641FB" w:rsidRPr="00FD211F">
        <w:rPr>
          <w:sz w:val="36"/>
          <w:szCs w:val="36"/>
          <w:rtl/>
        </w:rPr>
        <w:t>له</w:t>
      </w:r>
      <w:r w:rsidR="00E8128F">
        <w:rPr>
          <w:sz w:val="36"/>
          <w:szCs w:val="36"/>
          <w:rtl/>
        </w:rPr>
        <w:t xml:space="preserve"> </w:t>
      </w:r>
      <w:r w:rsidR="00F641FB" w:rsidRPr="00FD211F">
        <w:rPr>
          <w:sz w:val="36"/>
          <w:szCs w:val="36"/>
          <w:rtl/>
        </w:rPr>
        <w:t>غيره</w:t>
      </w:r>
      <w:r w:rsidR="00E8128F">
        <w:rPr>
          <w:sz w:val="36"/>
          <w:szCs w:val="36"/>
          <w:rtl/>
        </w:rPr>
        <w:t xml:space="preserve"> </w:t>
      </w:r>
      <w:r w:rsidR="00F641FB" w:rsidRPr="00FD211F">
        <w:rPr>
          <w:sz w:val="36"/>
          <w:szCs w:val="36"/>
          <w:rtl/>
        </w:rPr>
        <w:t>تعالى</w:t>
      </w:r>
      <w:r w:rsidR="009C58C8" w:rsidRPr="00FD211F">
        <w:rPr>
          <w:rStyle w:val="a6"/>
          <w:sz w:val="36"/>
          <w:szCs w:val="36"/>
          <w:rtl/>
        </w:rPr>
        <w:t>(</w:t>
      </w:r>
      <w:r w:rsidR="009C58C8" w:rsidRPr="00FD211F">
        <w:rPr>
          <w:rStyle w:val="a6"/>
          <w:sz w:val="36"/>
          <w:szCs w:val="36"/>
          <w:rtl/>
        </w:rPr>
        <w:footnoteReference w:id="526"/>
      </w:r>
      <w:r w:rsidR="009C58C8" w:rsidRPr="00FD211F">
        <w:rPr>
          <w:rStyle w:val="a6"/>
          <w:sz w:val="36"/>
          <w:szCs w:val="36"/>
          <w:rtl/>
        </w:rPr>
        <w:t>)</w:t>
      </w:r>
      <w:r w:rsidR="00AD1127" w:rsidRPr="00FD211F">
        <w:rPr>
          <w:sz w:val="36"/>
          <w:szCs w:val="36"/>
          <w:rtl/>
        </w:rPr>
        <w:t>.</w:t>
      </w:r>
    </w:p>
    <w:p w14:paraId="35672D5F" w14:textId="77777777" w:rsidR="00077317" w:rsidRPr="00FD211F" w:rsidRDefault="0096632C" w:rsidP="00142012">
      <w:pPr>
        <w:ind w:left="0" w:firstLine="227"/>
        <w:jc w:val="both"/>
        <w:rPr>
          <w:sz w:val="36"/>
          <w:szCs w:val="36"/>
          <w:rtl/>
        </w:rPr>
      </w:pPr>
      <w:r w:rsidRPr="00FD211F">
        <w:rPr>
          <w:sz w:val="36"/>
          <w:szCs w:val="36"/>
          <w:rtl/>
        </w:rPr>
        <w:t>وقد</w:t>
      </w:r>
      <w:r w:rsidR="00E8128F">
        <w:rPr>
          <w:sz w:val="36"/>
          <w:szCs w:val="36"/>
          <w:rtl/>
        </w:rPr>
        <w:t xml:space="preserve"> </w:t>
      </w:r>
      <w:r w:rsidR="0054001F" w:rsidRPr="00FD211F">
        <w:rPr>
          <w:sz w:val="36"/>
          <w:szCs w:val="36"/>
          <w:rtl/>
        </w:rPr>
        <w:t>ذك</w:t>
      </w:r>
      <w:r w:rsidR="00E43829" w:rsidRPr="00FD211F">
        <w:rPr>
          <w:sz w:val="36"/>
          <w:szCs w:val="36"/>
          <w:rtl/>
        </w:rPr>
        <w:t>ر</w:t>
      </w:r>
      <w:r w:rsidR="00E8128F">
        <w:rPr>
          <w:sz w:val="36"/>
          <w:szCs w:val="36"/>
          <w:rtl/>
        </w:rPr>
        <w:t xml:space="preserve"> </w:t>
      </w:r>
      <w:r w:rsidR="00142012" w:rsidRPr="00FD211F">
        <w:rPr>
          <w:sz w:val="36"/>
          <w:szCs w:val="36"/>
          <w:rtl/>
        </w:rPr>
        <w:t>لكلامه</w:t>
      </w:r>
      <w:r w:rsidR="00E8128F">
        <w:rPr>
          <w:sz w:val="36"/>
          <w:szCs w:val="36"/>
          <w:rtl/>
        </w:rPr>
        <w:t xml:space="preserve"> </w:t>
      </w:r>
      <w:r w:rsidR="00142012" w:rsidRPr="00FD211F">
        <w:rPr>
          <w:sz w:val="36"/>
          <w:szCs w:val="36"/>
          <w:rtl/>
        </w:rPr>
        <w:t>تقريبان:</w:t>
      </w:r>
    </w:p>
    <w:p w14:paraId="52445A4C" w14:textId="77777777" w:rsidR="0096632C" w:rsidRPr="00FD211F" w:rsidRDefault="00077317" w:rsidP="00142012">
      <w:pPr>
        <w:ind w:left="0" w:firstLine="227"/>
        <w:jc w:val="both"/>
        <w:rPr>
          <w:sz w:val="36"/>
          <w:szCs w:val="36"/>
          <w:rtl/>
        </w:rPr>
      </w:pPr>
      <w:r w:rsidRPr="00FD211F">
        <w:rPr>
          <w:b/>
          <w:bCs/>
          <w:sz w:val="36"/>
          <w:szCs w:val="36"/>
          <w:rtl/>
        </w:rPr>
        <w:t>احدهما</w:t>
      </w:r>
      <w:r w:rsidR="00736EFC" w:rsidRPr="00FD211F">
        <w:rPr>
          <w:b/>
          <w:bCs/>
          <w:sz w:val="36"/>
          <w:szCs w:val="36"/>
          <w:rtl/>
        </w:rPr>
        <w:t>:</w:t>
      </w:r>
      <w:r w:rsidR="00E8128F">
        <w:rPr>
          <w:sz w:val="36"/>
          <w:szCs w:val="36"/>
          <w:rtl/>
        </w:rPr>
        <w:t xml:space="preserve"> </w:t>
      </w:r>
      <w:r w:rsidRPr="00FD211F">
        <w:rPr>
          <w:sz w:val="36"/>
          <w:szCs w:val="36"/>
          <w:rtl/>
        </w:rPr>
        <w:t>ماذكره</w:t>
      </w:r>
      <w:r w:rsidR="00E8128F">
        <w:rPr>
          <w:sz w:val="36"/>
          <w:szCs w:val="36"/>
          <w:rtl/>
        </w:rPr>
        <w:t xml:space="preserve"> </w:t>
      </w:r>
      <w:r w:rsidR="00E43829" w:rsidRPr="00FD211F">
        <w:rPr>
          <w:sz w:val="36"/>
          <w:szCs w:val="36"/>
          <w:rtl/>
        </w:rPr>
        <w:t>المحقق</w:t>
      </w:r>
      <w:r w:rsidR="00E8128F">
        <w:rPr>
          <w:sz w:val="36"/>
          <w:szCs w:val="36"/>
          <w:rtl/>
        </w:rPr>
        <w:t xml:space="preserve"> </w:t>
      </w:r>
      <w:r w:rsidR="00E43829" w:rsidRPr="00FD211F">
        <w:rPr>
          <w:sz w:val="36"/>
          <w:szCs w:val="36"/>
          <w:rtl/>
        </w:rPr>
        <w:t>الاصفهاني</w:t>
      </w:r>
      <w:r w:rsidR="00E8128F">
        <w:rPr>
          <w:sz w:val="36"/>
          <w:szCs w:val="36"/>
          <w:rtl/>
        </w:rPr>
        <w:t xml:space="preserve"> </w:t>
      </w:r>
      <w:r w:rsidR="00142012" w:rsidRPr="00FD211F">
        <w:rPr>
          <w:sz w:val="36"/>
          <w:szCs w:val="36"/>
          <w:rtl/>
        </w:rPr>
        <w:t>"</w:t>
      </w:r>
      <w:r w:rsidR="005D03BA" w:rsidRPr="00FD211F">
        <w:rPr>
          <w:sz w:val="36"/>
          <w:szCs w:val="36"/>
          <w:rtl/>
        </w:rPr>
        <w:t>قده</w:t>
      </w:r>
      <w:r w:rsidR="00142012"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0096632C" w:rsidRPr="00FD211F">
        <w:rPr>
          <w:sz w:val="36"/>
          <w:szCs w:val="36"/>
          <w:rtl/>
        </w:rPr>
        <w:t>انه</w:t>
      </w:r>
      <w:r w:rsidR="00E8128F">
        <w:rPr>
          <w:sz w:val="36"/>
          <w:szCs w:val="36"/>
          <w:rtl/>
        </w:rPr>
        <w:t xml:space="preserve"> </w:t>
      </w:r>
      <w:r w:rsidR="0096632C" w:rsidRPr="00FD211F">
        <w:rPr>
          <w:sz w:val="36"/>
          <w:szCs w:val="36"/>
          <w:rtl/>
        </w:rPr>
        <w:t>حيث</w:t>
      </w:r>
      <w:r w:rsidR="00E8128F">
        <w:rPr>
          <w:sz w:val="36"/>
          <w:szCs w:val="36"/>
          <w:rtl/>
        </w:rPr>
        <w:t xml:space="preserve"> </w:t>
      </w:r>
      <w:r w:rsidR="0096632C" w:rsidRPr="00FD211F">
        <w:rPr>
          <w:sz w:val="36"/>
          <w:szCs w:val="36"/>
          <w:rtl/>
        </w:rPr>
        <w:t>لايكون</w:t>
      </w:r>
      <w:r w:rsidR="00E8128F">
        <w:rPr>
          <w:sz w:val="36"/>
          <w:szCs w:val="36"/>
          <w:rtl/>
        </w:rPr>
        <w:t xml:space="preserve"> </w:t>
      </w:r>
      <w:r w:rsidR="0054001F" w:rsidRPr="00FD211F">
        <w:rPr>
          <w:sz w:val="36"/>
          <w:szCs w:val="36"/>
          <w:rtl/>
        </w:rPr>
        <w:t>لاسم</w:t>
      </w:r>
      <w:r w:rsidR="00E8128F">
        <w:rPr>
          <w:sz w:val="36"/>
          <w:szCs w:val="36"/>
          <w:rtl/>
        </w:rPr>
        <w:t xml:space="preserve"> </w:t>
      </w:r>
      <w:r w:rsidR="0054001F" w:rsidRPr="00FD211F">
        <w:rPr>
          <w:sz w:val="36"/>
          <w:szCs w:val="36"/>
          <w:rtl/>
        </w:rPr>
        <w:t>الزمان</w:t>
      </w:r>
      <w:r w:rsidR="00E8128F">
        <w:rPr>
          <w:sz w:val="36"/>
          <w:szCs w:val="36"/>
          <w:rtl/>
        </w:rPr>
        <w:t xml:space="preserve"> </w:t>
      </w:r>
      <w:r w:rsidR="0054001F" w:rsidRPr="00FD211F">
        <w:rPr>
          <w:sz w:val="36"/>
          <w:szCs w:val="36"/>
          <w:rtl/>
        </w:rPr>
        <w:t>وضع</w:t>
      </w:r>
      <w:r w:rsidR="00E8128F">
        <w:rPr>
          <w:sz w:val="36"/>
          <w:szCs w:val="36"/>
          <w:rtl/>
        </w:rPr>
        <w:t xml:space="preserve"> </w:t>
      </w:r>
      <w:r w:rsidR="0054001F" w:rsidRPr="00FD211F">
        <w:rPr>
          <w:sz w:val="36"/>
          <w:szCs w:val="36"/>
          <w:rtl/>
        </w:rPr>
        <w:t>مستقل</w:t>
      </w:r>
      <w:r w:rsidR="00E8128F">
        <w:rPr>
          <w:sz w:val="36"/>
          <w:szCs w:val="36"/>
          <w:rtl/>
        </w:rPr>
        <w:t xml:space="preserve"> </w:t>
      </w:r>
      <w:r w:rsidR="0054001F" w:rsidRPr="00FD211F">
        <w:rPr>
          <w:sz w:val="36"/>
          <w:szCs w:val="36"/>
          <w:rtl/>
        </w:rPr>
        <w:t>بل</w:t>
      </w:r>
      <w:r w:rsidR="00E8128F">
        <w:rPr>
          <w:sz w:val="36"/>
          <w:szCs w:val="36"/>
          <w:rtl/>
        </w:rPr>
        <w:t xml:space="preserve"> </w:t>
      </w:r>
      <w:r w:rsidR="0096632C" w:rsidRPr="00FD211F">
        <w:rPr>
          <w:sz w:val="36"/>
          <w:szCs w:val="36"/>
          <w:rtl/>
        </w:rPr>
        <w:t>هيئ</w:t>
      </w:r>
      <w:r w:rsidR="00EC7EDF" w:rsidRPr="00FD211F">
        <w:rPr>
          <w:sz w:val="36"/>
          <w:szCs w:val="36"/>
          <w:rtl/>
        </w:rPr>
        <w:t>ة</w:t>
      </w:r>
      <w:r w:rsidR="00E8128F">
        <w:rPr>
          <w:sz w:val="36"/>
          <w:szCs w:val="36"/>
          <w:rtl/>
        </w:rPr>
        <w:t xml:space="preserve"> </w:t>
      </w:r>
      <w:r w:rsidR="0054001F" w:rsidRPr="00FD211F">
        <w:rPr>
          <w:sz w:val="36"/>
          <w:szCs w:val="36"/>
          <w:rtl/>
        </w:rPr>
        <w:t>مفعل</w:t>
      </w:r>
      <w:r w:rsidR="00E8128F">
        <w:rPr>
          <w:sz w:val="36"/>
          <w:szCs w:val="36"/>
          <w:rtl/>
        </w:rPr>
        <w:t xml:space="preserve"> </w:t>
      </w:r>
      <w:r w:rsidR="0054001F" w:rsidRPr="00FD211F">
        <w:rPr>
          <w:sz w:val="36"/>
          <w:szCs w:val="36"/>
          <w:rtl/>
        </w:rPr>
        <w:t>مثلا</w:t>
      </w:r>
      <w:r w:rsidR="00E8128F">
        <w:rPr>
          <w:sz w:val="36"/>
          <w:szCs w:val="36"/>
          <w:rtl/>
        </w:rPr>
        <w:t xml:space="preserve"> </w:t>
      </w:r>
      <w:r w:rsidR="0054001F" w:rsidRPr="00FD211F">
        <w:rPr>
          <w:sz w:val="36"/>
          <w:szCs w:val="36"/>
          <w:rtl/>
        </w:rPr>
        <w:t>موضوع</w:t>
      </w:r>
      <w:r w:rsidR="00EC7EDF" w:rsidRPr="00FD211F">
        <w:rPr>
          <w:sz w:val="36"/>
          <w:szCs w:val="36"/>
          <w:rtl/>
        </w:rPr>
        <w:t>ة</w:t>
      </w:r>
      <w:r w:rsidR="00E8128F">
        <w:rPr>
          <w:sz w:val="36"/>
          <w:szCs w:val="36"/>
          <w:rtl/>
        </w:rPr>
        <w:t xml:space="preserve"> </w:t>
      </w:r>
      <w:r w:rsidR="0054001F" w:rsidRPr="00FD211F">
        <w:rPr>
          <w:sz w:val="36"/>
          <w:szCs w:val="36"/>
          <w:rtl/>
        </w:rPr>
        <w:t>لوعاء</w:t>
      </w:r>
      <w:r w:rsidR="00E8128F">
        <w:rPr>
          <w:sz w:val="36"/>
          <w:szCs w:val="36"/>
          <w:rtl/>
        </w:rPr>
        <w:t xml:space="preserve"> </w:t>
      </w:r>
      <w:r w:rsidR="0054001F" w:rsidRPr="00FD211F">
        <w:rPr>
          <w:sz w:val="36"/>
          <w:szCs w:val="36"/>
          <w:rtl/>
        </w:rPr>
        <w:t>الفعل</w:t>
      </w:r>
      <w:r w:rsidR="00E8128F">
        <w:rPr>
          <w:sz w:val="36"/>
          <w:szCs w:val="36"/>
          <w:rtl/>
        </w:rPr>
        <w:t xml:space="preserve"> </w:t>
      </w:r>
      <w:r w:rsidR="0054001F" w:rsidRPr="00FD211F">
        <w:rPr>
          <w:sz w:val="36"/>
          <w:szCs w:val="36"/>
          <w:rtl/>
        </w:rPr>
        <w:t>وهو</w:t>
      </w:r>
      <w:r w:rsidR="00E8128F">
        <w:rPr>
          <w:sz w:val="36"/>
          <w:szCs w:val="36"/>
          <w:rtl/>
        </w:rPr>
        <w:t xml:space="preserve"> </w:t>
      </w:r>
      <w:r w:rsidR="0054001F" w:rsidRPr="00FD211F">
        <w:rPr>
          <w:sz w:val="36"/>
          <w:szCs w:val="36"/>
          <w:rtl/>
        </w:rPr>
        <w:t>اعم</w:t>
      </w:r>
      <w:r w:rsidR="00E8128F">
        <w:rPr>
          <w:sz w:val="36"/>
          <w:szCs w:val="36"/>
          <w:rtl/>
        </w:rPr>
        <w:t xml:space="preserve"> </w:t>
      </w:r>
      <w:r w:rsidR="0054001F" w:rsidRPr="00FD211F">
        <w:rPr>
          <w:sz w:val="36"/>
          <w:szCs w:val="36"/>
          <w:rtl/>
        </w:rPr>
        <w:t>من</w:t>
      </w:r>
      <w:r w:rsidR="00E8128F">
        <w:rPr>
          <w:sz w:val="36"/>
          <w:szCs w:val="36"/>
          <w:rtl/>
        </w:rPr>
        <w:t xml:space="preserve"> </w:t>
      </w:r>
      <w:r w:rsidR="0054001F" w:rsidRPr="00FD211F">
        <w:rPr>
          <w:sz w:val="36"/>
          <w:szCs w:val="36"/>
          <w:rtl/>
        </w:rPr>
        <w:t>الزمان</w:t>
      </w:r>
      <w:r w:rsidR="00E8128F">
        <w:rPr>
          <w:sz w:val="36"/>
          <w:szCs w:val="36"/>
          <w:rtl/>
        </w:rPr>
        <w:t xml:space="preserve"> </w:t>
      </w:r>
      <w:r w:rsidR="0054001F" w:rsidRPr="00FD211F">
        <w:rPr>
          <w:sz w:val="36"/>
          <w:szCs w:val="36"/>
          <w:rtl/>
        </w:rPr>
        <w:t>والمكان</w:t>
      </w:r>
      <w:r w:rsidR="00603323" w:rsidRPr="00FD211F">
        <w:rPr>
          <w:sz w:val="36"/>
          <w:szCs w:val="36"/>
          <w:rtl/>
        </w:rPr>
        <w:t>،</w:t>
      </w:r>
      <w:r w:rsidR="00E8128F">
        <w:rPr>
          <w:sz w:val="36"/>
          <w:szCs w:val="36"/>
          <w:rtl/>
        </w:rPr>
        <w:t xml:space="preserve"> </w:t>
      </w:r>
      <w:r w:rsidR="0096632C" w:rsidRPr="00FD211F">
        <w:rPr>
          <w:sz w:val="36"/>
          <w:szCs w:val="36"/>
          <w:rtl/>
        </w:rPr>
        <w:t>فيكفي</w:t>
      </w:r>
      <w:r w:rsidR="00E8128F">
        <w:rPr>
          <w:sz w:val="36"/>
          <w:szCs w:val="36"/>
          <w:rtl/>
        </w:rPr>
        <w:t xml:space="preserve"> </w:t>
      </w:r>
      <w:r w:rsidR="0096632C" w:rsidRPr="00FD211F">
        <w:rPr>
          <w:sz w:val="36"/>
          <w:szCs w:val="36"/>
          <w:rtl/>
        </w:rPr>
        <w:t>تصور</w:t>
      </w:r>
      <w:r w:rsidR="00E8128F">
        <w:rPr>
          <w:sz w:val="36"/>
          <w:szCs w:val="36"/>
          <w:rtl/>
        </w:rPr>
        <w:t xml:space="preserve"> </w:t>
      </w:r>
      <w:r w:rsidR="0096632C" w:rsidRPr="00FD211F">
        <w:rPr>
          <w:sz w:val="36"/>
          <w:szCs w:val="36"/>
          <w:rtl/>
        </w:rPr>
        <w:t>بقاء</w:t>
      </w:r>
      <w:r w:rsidR="00E8128F">
        <w:rPr>
          <w:sz w:val="36"/>
          <w:szCs w:val="36"/>
          <w:rtl/>
        </w:rPr>
        <w:t xml:space="preserve"> </w:t>
      </w:r>
      <w:r w:rsidR="0096632C" w:rsidRPr="00FD211F">
        <w:rPr>
          <w:sz w:val="36"/>
          <w:szCs w:val="36"/>
          <w:rtl/>
        </w:rPr>
        <w:t>الذات</w:t>
      </w:r>
      <w:r w:rsidR="00E8128F">
        <w:rPr>
          <w:sz w:val="36"/>
          <w:szCs w:val="36"/>
          <w:rtl/>
        </w:rPr>
        <w:t xml:space="preserve"> </w:t>
      </w:r>
      <w:r w:rsidR="0054001F" w:rsidRPr="00FD211F">
        <w:rPr>
          <w:sz w:val="36"/>
          <w:szCs w:val="36"/>
          <w:rtl/>
        </w:rPr>
        <w:t>مع</w:t>
      </w:r>
      <w:r w:rsidR="00E8128F">
        <w:rPr>
          <w:sz w:val="36"/>
          <w:szCs w:val="36"/>
          <w:rtl/>
        </w:rPr>
        <w:t xml:space="preserve"> </w:t>
      </w:r>
      <w:r w:rsidR="0054001F" w:rsidRPr="00FD211F">
        <w:rPr>
          <w:sz w:val="36"/>
          <w:szCs w:val="36"/>
          <w:rtl/>
        </w:rPr>
        <w:t>انقضاء</w:t>
      </w:r>
      <w:r w:rsidR="00E8128F">
        <w:rPr>
          <w:sz w:val="36"/>
          <w:szCs w:val="36"/>
          <w:rtl/>
        </w:rPr>
        <w:t xml:space="preserve"> </w:t>
      </w:r>
      <w:r w:rsidR="0054001F" w:rsidRPr="00FD211F">
        <w:rPr>
          <w:sz w:val="36"/>
          <w:szCs w:val="36"/>
          <w:rtl/>
        </w:rPr>
        <w:t>ال</w:t>
      </w:r>
      <w:r w:rsidR="0079493B" w:rsidRPr="00FD211F">
        <w:rPr>
          <w:sz w:val="36"/>
          <w:szCs w:val="36"/>
          <w:rtl/>
        </w:rPr>
        <w:t>مبدأ</w:t>
      </w:r>
      <w:r w:rsidR="00E8128F">
        <w:rPr>
          <w:sz w:val="36"/>
          <w:szCs w:val="36"/>
          <w:rtl/>
        </w:rPr>
        <w:t xml:space="preserve"> </w:t>
      </w:r>
      <w:r w:rsidR="0054001F" w:rsidRPr="00FD211F">
        <w:rPr>
          <w:sz w:val="36"/>
          <w:szCs w:val="36"/>
          <w:rtl/>
        </w:rPr>
        <w:t>في</w:t>
      </w:r>
      <w:r w:rsidR="00E8128F">
        <w:rPr>
          <w:sz w:val="36"/>
          <w:szCs w:val="36"/>
          <w:rtl/>
        </w:rPr>
        <w:t xml:space="preserve"> </w:t>
      </w:r>
      <w:r w:rsidR="0054001F" w:rsidRPr="00FD211F">
        <w:rPr>
          <w:sz w:val="36"/>
          <w:szCs w:val="36"/>
          <w:rtl/>
        </w:rPr>
        <w:t>المكان</w:t>
      </w:r>
      <w:r w:rsidR="00E8128F">
        <w:rPr>
          <w:sz w:val="36"/>
          <w:szCs w:val="36"/>
          <w:rtl/>
        </w:rPr>
        <w:t xml:space="preserve"> </w:t>
      </w:r>
      <w:r w:rsidR="0096632C" w:rsidRPr="00FD211F">
        <w:rPr>
          <w:sz w:val="36"/>
          <w:szCs w:val="36"/>
          <w:rtl/>
        </w:rPr>
        <w:t>في</w:t>
      </w:r>
      <w:r w:rsidR="00E8128F">
        <w:rPr>
          <w:sz w:val="36"/>
          <w:szCs w:val="36"/>
          <w:rtl/>
        </w:rPr>
        <w:t xml:space="preserve"> </w:t>
      </w:r>
      <w:r w:rsidR="0096632C" w:rsidRPr="00FD211F">
        <w:rPr>
          <w:sz w:val="36"/>
          <w:szCs w:val="36"/>
          <w:rtl/>
        </w:rPr>
        <w:t>عدم</w:t>
      </w:r>
      <w:r w:rsidR="00E8128F">
        <w:rPr>
          <w:sz w:val="36"/>
          <w:szCs w:val="36"/>
          <w:rtl/>
        </w:rPr>
        <w:t xml:space="preserve"> </w:t>
      </w:r>
      <w:r w:rsidR="0096632C" w:rsidRPr="00FD211F">
        <w:rPr>
          <w:sz w:val="36"/>
          <w:szCs w:val="36"/>
          <w:rtl/>
        </w:rPr>
        <w:t>لغوي</w:t>
      </w:r>
      <w:r w:rsidR="00EC7EDF" w:rsidRPr="00FD211F">
        <w:rPr>
          <w:sz w:val="36"/>
          <w:szCs w:val="36"/>
          <w:rtl/>
        </w:rPr>
        <w:t>ة</w:t>
      </w:r>
      <w:r w:rsidR="00E8128F">
        <w:rPr>
          <w:sz w:val="36"/>
          <w:szCs w:val="36"/>
          <w:rtl/>
        </w:rPr>
        <w:t xml:space="preserve"> </w:t>
      </w:r>
      <w:r w:rsidR="0096632C" w:rsidRPr="00FD211F">
        <w:rPr>
          <w:sz w:val="36"/>
          <w:szCs w:val="36"/>
          <w:rtl/>
        </w:rPr>
        <w:t>وضع</w:t>
      </w:r>
      <w:r w:rsidR="00E8128F">
        <w:rPr>
          <w:sz w:val="36"/>
          <w:szCs w:val="36"/>
          <w:rtl/>
        </w:rPr>
        <w:t xml:space="preserve"> </w:t>
      </w:r>
      <w:r w:rsidR="0096632C" w:rsidRPr="00FD211F">
        <w:rPr>
          <w:sz w:val="36"/>
          <w:szCs w:val="36"/>
          <w:rtl/>
        </w:rPr>
        <w:t>هيئ</w:t>
      </w:r>
      <w:r w:rsidR="00EC7EDF" w:rsidRPr="00FD211F">
        <w:rPr>
          <w:sz w:val="36"/>
          <w:szCs w:val="36"/>
          <w:rtl/>
        </w:rPr>
        <w:t>ة</w:t>
      </w:r>
      <w:r w:rsidR="00E8128F">
        <w:rPr>
          <w:sz w:val="36"/>
          <w:szCs w:val="36"/>
          <w:rtl/>
        </w:rPr>
        <w:t xml:space="preserve"> </w:t>
      </w:r>
      <w:r w:rsidR="0096632C" w:rsidRPr="00FD211F">
        <w:rPr>
          <w:sz w:val="36"/>
          <w:szCs w:val="36"/>
          <w:rtl/>
        </w:rPr>
        <w:t>مفعل</w:t>
      </w:r>
      <w:r w:rsidR="00E8128F">
        <w:rPr>
          <w:sz w:val="36"/>
          <w:szCs w:val="36"/>
          <w:rtl/>
        </w:rPr>
        <w:t xml:space="preserve"> </w:t>
      </w:r>
      <w:r w:rsidR="0096632C" w:rsidRPr="00FD211F">
        <w:rPr>
          <w:sz w:val="36"/>
          <w:szCs w:val="36"/>
          <w:rtl/>
        </w:rPr>
        <w:t>للأعم</w:t>
      </w:r>
      <w:r w:rsidR="00E8128F">
        <w:rPr>
          <w:sz w:val="36"/>
          <w:szCs w:val="36"/>
          <w:rtl/>
        </w:rPr>
        <w:t xml:space="preserve"> </w:t>
      </w:r>
      <w:r w:rsidR="0096632C" w:rsidRPr="00FD211F">
        <w:rPr>
          <w:sz w:val="36"/>
          <w:szCs w:val="36"/>
          <w:rtl/>
        </w:rPr>
        <w:t>ممن</w:t>
      </w:r>
      <w:r w:rsidR="00E8128F">
        <w:rPr>
          <w:sz w:val="36"/>
          <w:szCs w:val="36"/>
          <w:rtl/>
        </w:rPr>
        <w:t xml:space="preserve"> </w:t>
      </w:r>
      <w:r w:rsidR="0096632C" w:rsidRPr="00FD211F">
        <w:rPr>
          <w:sz w:val="36"/>
          <w:szCs w:val="36"/>
          <w:rtl/>
        </w:rPr>
        <w:t>انقضى</w:t>
      </w:r>
      <w:r w:rsidR="00E8128F">
        <w:rPr>
          <w:sz w:val="36"/>
          <w:szCs w:val="36"/>
          <w:rtl/>
        </w:rPr>
        <w:t xml:space="preserve"> </w:t>
      </w:r>
      <w:r w:rsidR="0096632C" w:rsidRPr="00FD211F">
        <w:rPr>
          <w:sz w:val="36"/>
          <w:szCs w:val="36"/>
          <w:rtl/>
        </w:rPr>
        <w:t>عنه</w:t>
      </w:r>
      <w:r w:rsidR="00E8128F">
        <w:rPr>
          <w:sz w:val="36"/>
          <w:szCs w:val="36"/>
          <w:rtl/>
        </w:rPr>
        <w:t xml:space="preserve"> </w:t>
      </w:r>
      <w:r w:rsidR="0096632C" w:rsidRPr="00FD211F">
        <w:rPr>
          <w:sz w:val="36"/>
          <w:szCs w:val="36"/>
          <w:rtl/>
        </w:rPr>
        <w:t>ال</w:t>
      </w:r>
      <w:r w:rsidR="0079493B" w:rsidRPr="00FD211F">
        <w:rPr>
          <w:sz w:val="36"/>
          <w:szCs w:val="36"/>
          <w:rtl/>
        </w:rPr>
        <w:t>مبدأ</w:t>
      </w:r>
      <w:r w:rsidR="009C58C8" w:rsidRPr="00FD211F">
        <w:rPr>
          <w:rStyle w:val="a6"/>
          <w:sz w:val="36"/>
          <w:szCs w:val="36"/>
          <w:rtl/>
        </w:rPr>
        <w:t>(</w:t>
      </w:r>
      <w:r w:rsidR="009C58C8" w:rsidRPr="00FD211F">
        <w:rPr>
          <w:rStyle w:val="a6"/>
          <w:sz w:val="36"/>
          <w:szCs w:val="36"/>
          <w:rtl/>
        </w:rPr>
        <w:footnoteReference w:id="527"/>
      </w:r>
      <w:r w:rsidR="009C58C8" w:rsidRPr="00FD211F">
        <w:rPr>
          <w:rStyle w:val="a6"/>
          <w:sz w:val="36"/>
          <w:szCs w:val="36"/>
          <w:rtl/>
        </w:rPr>
        <w:t>)</w:t>
      </w:r>
      <w:r w:rsidR="0096632C" w:rsidRPr="00FD211F">
        <w:rPr>
          <w:sz w:val="36"/>
          <w:szCs w:val="36"/>
          <w:rtl/>
        </w:rPr>
        <w:t>.</w:t>
      </w:r>
    </w:p>
    <w:p w14:paraId="2348E5B6" w14:textId="77777777" w:rsidR="0096632C" w:rsidRPr="00FD211F" w:rsidRDefault="0096632C" w:rsidP="009C58C8">
      <w:pPr>
        <w:ind w:left="0" w:firstLine="227"/>
        <w:jc w:val="both"/>
        <w:rPr>
          <w:sz w:val="36"/>
          <w:szCs w:val="36"/>
          <w:rtl/>
        </w:rPr>
      </w:pPr>
      <w:r w:rsidRPr="00FD211F">
        <w:rPr>
          <w:sz w:val="36"/>
          <w:szCs w:val="36"/>
          <w:rtl/>
        </w:rPr>
        <w:t>وأشكل</w:t>
      </w:r>
      <w:r w:rsidR="00E8128F">
        <w:rPr>
          <w:sz w:val="36"/>
          <w:szCs w:val="36"/>
          <w:rtl/>
        </w:rPr>
        <w:t xml:space="preserve"> </w:t>
      </w:r>
      <w:r w:rsidR="0054001F" w:rsidRPr="00FD211F">
        <w:rPr>
          <w:sz w:val="36"/>
          <w:szCs w:val="36"/>
          <w:rtl/>
        </w:rPr>
        <w:t>في</w:t>
      </w:r>
      <w:r w:rsidR="00E8128F">
        <w:rPr>
          <w:sz w:val="36"/>
          <w:szCs w:val="36"/>
          <w:rtl/>
        </w:rPr>
        <w:t xml:space="preserve"> </w:t>
      </w:r>
      <w:r w:rsidR="0054001F" w:rsidRPr="00FD211F">
        <w:rPr>
          <w:sz w:val="36"/>
          <w:szCs w:val="36"/>
          <w:rtl/>
        </w:rPr>
        <w:t>البحوث</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هذا</w:t>
      </w:r>
      <w:r w:rsidR="00E8128F">
        <w:rPr>
          <w:sz w:val="36"/>
          <w:szCs w:val="36"/>
          <w:rtl/>
        </w:rPr>
        <w:t xml:space="preserve"> </w:t>
      </w:r>
      <w:r w:rsidR="00AD1127" w:rsidRPr="00FD211F">
        <w:rPr>
          <w:sz w:val="36"/>
          <w:szCs w:val="36"/>
          <w:rtl/>
        </w:rPr>
        <w:t>التقريب</w:t>
      </w:r>
      <w:r w:rsidR="00E8128F">
        <w:rPr>
          <w:sz w:val="36"/>
          <w:szCs w:val="36"/>
          <w:rtl/>
        </w:rPr>
        <w:t xml:space="preserve"> </w:t>
      </w:r>
      <w:r w:rsidRPr="00FD211F">
        <w:rPr>
          <w:sz w:val="36"/>
          <w:szCs w:val="36"/>
          <w:rtl/>
        </w:rPr>
        <w:t>ب</w:t>
      </w:r>
      <w:r w:rsidR="0054001F" w:rsidRPr="00FD211F">
        <w:rPr>
          <w:sz w:val="36"/>
          <w:szCs w:val="36"/>
          <w:rtl/>
        </w:rPr>
        <w:t>انه</w:t>
      </w:r>
      <w:r w:rsidR="00E8128F">
        <w:rPr>
          <w:sz w:val="36"/>
          <w:szCs w:val="36"/>
          <w:rtl/>
        </w:rPr>
        <w:t xml:space="preserve"> </w:t>
      </w:r>
      <w:r w:rsidR="0054001F" w:rsidRPr="00FD211F">
        <w:rPr>
          <w:sz w:val="36"/>
          <w:szCs w:val="36"/>
          <w:rtl/>
        </w:rPr>
        <w:t>لو</w:t>
      </w:r>
      <w:r w:rsidR="00E8128F">
        <w:rPr>
          <w:sz w:val="36"/>
          <w:szCs w:val="36"/>
          <w:rtl/>
        </w:rPr>
        <w:t xml:space="preserve"> </w:t>
      </w:r>
      <w:r w:rsidR="0054001F" w:rsidRPr="00FD211F">
        <w:rPr>
          <w:sz w:val="36"/>
          <w:szCs w:val="36"/>
          <w:rtl/>
        </w:rPr>
        <w:t>اريد</w:t>
      </w:r>
      <w:r w:rsidR="00E8128F">
        <w:rPr>
          <w:sz w:val="36"/>
          <w:szCs w:val="36"/>
          <w:rtl/>
        </w:rPr>
        <w:t xml:space="preserve"> </w:t>
      </w:r>
      <w:r w:rsidR="0054001F" w:rsidRPr="00FD211F">
        <w:rPr>
          <w:sz w:val="36"/>
          <w:szCs w:val="36"/>
          <w:rtl/>
        </w:rPr>
        <w:t>وضع</w:t>
      </w:r>
      <w:r w:rsidR="00E8128F">
        <w:rPr>
          <w:sz w:val="36"/>
          <w:szCs w:val="36"/>
          <w:rtl/>
        </w:rPr>
        <w:t xml:space="preserve"> </w:t>
      </w:r>
      <w:r w:rsidR="0054001F" w:rsidRPr="00FD211F">
        <w:rPr>
          <w:sz w:val="36"/>
          <w:szCs w:val="36"/>
          <w:rtl/>
        </w:rPr>
        <w:t>هيئ</w:t>
      </w:r>
      <w:r w:rsidR="00EC7EDF" w:rsidRPr="00FD211F">
        <w:rPr>
          <w:sz w:val="36"/>
          <w:szCs w:val="36"/>
          <w:rtl/>
        </w:rPr>
        <w:t>ة</w:t>
      </w:r>
      <w:r w:rsidR="00E8128F">
        <w:rPr>
          <w:sz w:val="36"/>
          <w:szCs w:val="36"/>
          <w:rtl/>
        </w:rPr>
        <w:t xml:space="preserve"> </w:t>
      </w:r>
      <w:r w:rsidR="0054001F" w:rsidRPr="00FD211F">
        <w:rPr>
          <w:sz w:val="36"/>
          <w:szCs w:val="36"/>
          <w:rtl/>
        </w:rPr>
        <w:t>مفعل</w:t>
      </w:r>
      <w:r w:rsidR="00E8128F">
        <w:rPr>
          <w:sz w:val="36"/>
          <w:szCs w:val="36"/>
          <w:rtl/>
        </w:rPr>
        <w:t xml:space="preserve"> </w:t>
      </w:r>
      <w:r w:rsidR="0054001F" w:rsidRPr="00FD211F">
        <w:rPr>
          <w:sz w:val="36"/>
          <w:szCs w:val="36"/>
          <w:rtl/>
        </w:rPr>
        <w:t>لمفهوم</w:t>
      </w:r>
      <w:r w:rsidR="00E8128F">
        <w:rPr>
          <w:sz w:val="36"/>
          <w:szCs w:val="36"/>
          <w:rtl/>
        </w:rPr>
        <w:t xml:space="preserve"> </w:t>
      </w:r>
      <w:r w:rsidR="0054001F" w:rsidRPr="00FD211F">
        <w:rPr>
          <w:sz w:val="36"/>
          <w:szCs w:val="36"/>
          <w:rtl/>
        </w:rPr>
        <w:t>وعاء</w:t>
      </w:r>
      <w:r w:rsidR="00E8128F">
        <w:rPr>
          <w:sz w:val="36"/>
          <w:szCs w:val="36"/>
          <w:rtl/>
        </w:rPr>
        <w:t xml:space="preserve"> </w:t>
      </w:r>
      <w:r w:rsidR="0054001F" w:rsidRPr="00FD211F">
        <w:rPr>
          <w:sz w:val="36"/>
          <w:szCs w:val="36"/>
          <w:rtl/>
        </w:rPr>
        <w:t>القتل</w:t>
      </w:r>
      <w:r w:rsidR="00603323" w:rsidRPr="00FD211F">
        <w:rPr>
          <w:sz w:val="36"/>
          <w:szCs w:val="36"/>
          <w:rtl/>
        </w:rPr>
        <w:t>،</w:t>
      </w:r>
      <w:r w:rsidR="00E8128F">
        <w:rPr>
          <w:sz w:val="36"/>
          <w:szCs w:val="36"/>
          <w:rtl/>
        </w:rPr>
        <w:t xml:space="preserve"> </w:t>
      </w:r>
      <w:r w:rsidR="0054001F" w:rsidRPr="00FD211F">
        <w:rPr>
          <w:sz w:val="36"/>
          <w:szCs w:val="36"/>
          <w:rtl/>
        </w:rPr>
        <w:t>ففيه</w:t>
      </w:r>
      <w:r w:rsidR="00E8128F">
        <w:rPr>
          <w:sz w:val="36"/>
          <w:szCs w:val="36"/>
          <w:rtl/>
        </w:rPr>
        <w:t xml:space="preserve"> </w:t>
      </w:r>
      <w:r w:rsidR="0054001F" w:rsidRPr="00FD211F">
        <w:rPr>
          <w:sz w:val="36"/>
          <w:szCs w:val="36"/>
          <w:rtl/>
        </w:rPr>
        <w:t>انه</w:t>
      </w:r>
      <w:r w:rsidR="00E8128F">
        <w:rPr>
          <w:sz w:val="36"/>
          <w:szCs w:val="36"/>
          <w:rtl/>
        </w:rPr>
        <w:t xml:space="preserve"> </w:t>
      </w:r>
      <w:r w:rsidR="0054001F" w:rsidRPr="00FD211F">
        <w:rPr>
          <w:sz w:val="36"/>
          <w:szCs w:val="36"/>
          <w:rtl/>
        </w:rPr>
        <w:t>مفهوم</w:t>
      </w:r>
      <w:r w:rsidR="00E8128F">
        <w:rPr>
          <w:sz w:val="36"/>
          <w:szCs w:val="36"/>
          <w:rtl/>
        </w:rPr>
        <w:t xml:space="preserve"> </w:t>
      </w:r>
      <w:r w:rsidR="0054001F" w:rsidRPr="00FD211F">
        <w:rPr>
          <w:sz w:val="36"/>
          <w:szCs w:val="36"/>
          <w:rtl/>
        </w:rPr>
        <w:t>اسمي</w:t>
      </w:r>
      <w:r w:rsidR="00E8128F">
        <w:rPr>
          <w:sz w:val="36"/>
          <w:szCs w:val="36"/>
          <w:rtl/>
        </w:rPr>
        <w:t xml:space="preserve"> </w:t>
      </w:r>
      <w:r w:rsidR="0054001F" w:rsidRPr="00FD211F">
        <w:rPr>
          <w:sz w:val="36"/>
          <w:szCs w:val="36"/>
          <w:rtl/>
        </w:rPr>
        <w:t>منتزع</w:t>
      </w:r>
      <w:r w:rsidR="00E8128F">
        <w:rPr>
          <w:sz w:val="36"/>
          <w:szCs w:val="36"/>
          <w:rtl/>
        </w:rPr>
        <w:t xml:space="preserve"> </w:t>
      </w:r>
      <w:r w:rsidR="0054001F" w:rsidRPr="00FD211F">
        <w:rPr>
          <w:sz w:val="36"/>
          <w:szCs w:val="36"/>
          <w:rtl/>
        </w:rPr>
        <w:t>عن</w:t>
      </w:r>
      <w:r w:rsidR="00E8128F">
        <w:rPr>
          <w:sz w:val="36"/>
          <w:szCs w:val="36"/>
          <w:rtl/>
        </w:rPr>
        <w:t xml:space="preserve"> </w:t>
      </w:r>
      <w:r w:rsidR="0054001F" w:rsidRPr="00FD211F">
        <w:rPr>
          <w:sz w:val="36"/>
          <w:szCs w:val="36"/>
          <w:rtl/>
        </w:rPr>
        <w:t>المعنى</w:t>
      </w:r>
      <w:r w:rsidR="00E8128F">
        <w:rPr>
          <w:sz w:val="36"/>
          <w:szCs w:val="36"/>
          <w:rtl/>
        </w:rPr>
        <w:t xml:space="preserve"> </w:t>
      </w:r>
      <w:r w:rsidR="0054001F" w:rsidRPr="00FD211F">
        <w:rPr>
          <w:sz w:val="36"/>
          <w:szCs w:val="36"/>
          <w:rtl/>
        </w:rPr>
        <w:t>الحرفي</w:t>
      </w:r>
      <w:r w:rsidR="00E8128F">
        <w:rPr>
          <w:sz w:val="36"/>
          <w:szCs w:val="36"/>
          <w:rtl/>
        </w:rPr>
        <w:t xml:space="preserve"> </w:t>
      </w:r>
      <w:r w:rsidR="0054001F" w:rsidRPr="00FD211F">
        <w:rPr>
          <w:sz w:val="36"/>
          <w:szCs w:val="36"/>
          <w:rtl/>
        </w:rPr>
        <w:t>للهيئ</w:t>
      </w:r>
      <w:r w:rsidR="00EC7EDF" w:rsidRPr="00FD211F">
        <w:rPr>
          <w:sz w:val="36"/>
          <w:szCs w:val="36"/>
          <w:rtl/>
        </w:rPr>
        <w:t>ة</w:t>
      </w:r>
      <w:r w:rsidR="00603323" w:rsidRPr="00FD211F">
        <w:rPr>
          <w:sz w:val="36"/>
          <w:szCs w:val="36"/>
          <w:rtl/>
        </w:rPr>
        <w:t>،</w:t>
      </w:r>
      <w:r w:rsidR="00E8128F">
        <w:rPr>
          <w:sz w:val="36"/>
          <w:szCs w:val="36"/>
          <w:rtl/>
        </w:rPr>
        <w:t xml:space="preserve"> </w:t>
      </w:r>
      <w:r w:rsidR="0054001F" w:rsidRPr="00FD211F">
        <w:rPr>
          <w:sz w:val="36"/>
          <w:szCs w:val="36"/>
          <w:rtl/>
        </w:rPr>
        <w:t>وان</w:t>
      </w:r>
      <w:r w:rsidR="00E8128F">
        <w:rPr>
          <w:sz w:val="36"/>
          <w:szCs w:val="36"/>
          <w:rtl/>
        </w:rPr>
        <w:t xml:space="preserve"> </w:t>
      </w:r>
      <w:r w:rsidR="0054001F" w:rsidRPr="00FD211F">
        <w:rPr>
          <w:sz w:val="36"/>
          <w:szCs w:val="36"/>
          <w:rtl/>
        </w:rPr>
        <w:t>اريد</w:t>
      </w:r>
      <w:r w:rsidR="00E8128F">
        <w:rPr>
          <w:sz w:val="36"/>
          <w:szCs w:val="36"/>
          <w:rtl/>
        </w:rPr>
        <w:t xml:space="preserve"> </w:t>
      </w:r>
      <w:r w:rsidR="0054001F" w:rsidRPr="00FD211F">
        <w:rPr>
          <w:sz w:val="36"/>
          <w:szCs w:val="36"/>
          <w:rtl/>
        </w:rPr>
        <w:t>وضعها</w:t>
      </w:r>
      <w:r w:rsidR="00E8128F">
        <w:rPr>
          <w:sz w:val="36"/>
          <w:szCs w:val="36"/>
          <w:rtl/>
        </w:rPr>
        <w:t xml:space="preserve"> </w:t>
      </w:r>
      <w:r w:rsidR="0054001F" w:rsidRPr="00FD211F">
        <w:rPr>
          <w:sz w:val="36"/>
          <w:szCs w:val="36"/>
          <w:rtl/>
        </w:rPr>
        <w:t>لواقع</w:t>
      </w:r>
      <w:r w:rsidR="00E8128F">
        <w:rPr>
          <w:sz w:val="36"/>
          <w:szCs w:val="36"/>
          <w:rtl/>
        </w:rPr>
        <w:t xml:space="preserve"> </w:t>
      </w:r>
      <w:r w:rsidR="0054001F" w:rsidRPr="00FD211F">
        <w:rPr>
          <w:sz w:val="36"/>
          <w:szCs w:val="36"/>
          <w:rtl/>
        </w:rPr>
        <w:t>النسب</w:t>
      </w:r>
      <w:r w:rsidR="00EC7EDF" w:rsidRPr="00FD211F">
        <w:rPr>
          <w:sz w:val="36"/>
          <w:szCs w:val="36"/>
          <w:rtl/>
        </w:rPr>
        <w:t>ة</w:t>
      </w:r>
      <w:r w:rsidR="00E8128F">
        <w:rPr>
          <w:sz w:val="36"/>
          <w:szCs w:val="36"/>
          <w:rtl/>
        </w:rPr>
        <w:t xml:space="preserve"> </w:t>
      </w:r>
      <w:r w:rsidR="0054001F" w:rsidRPr="00FD211F">
        <w:rPr>
          <w:sz w:val="36"/>
          <w:szCs w:val="36"/>
          <w:rtl/>
        </w:rPr>
        <w:t>الظرفي</w:t>
      </w:r>
      <w:r w:rsidR="00EC7EDF" w:rsidRPr="00FD211F">
        <w:rPr>
          <w:sz w:val="36"/>
          <w:szCs w:val="36"/>
          <w:rtl/>
        </w:rPr>
        <w:t>ة</w:t>
      </w:r>
      <w:r w:rsidR="00603323" w:rsidRPr="00FD211F">
        <w:rPr>
          <w:sz w:val="36"/>
          <w:szCs w:val="36"/>
          <w:rtl/>
        </w:rPr>
        <w:t>،</w:t>
      </w:r>
      <w:r w:rsidR="00E8128F">
        <w:rPr>
          <w:sz w:val="36"/>
          <w:szCs w:val="36"/>
          <w:rtl/>
        </w:rPr>
        <w:t xml:space="preserve"> </w:t>
      </w:r>
      <w:r w:rsidR="0054001F" w:rsidRPr="00FD211F">
        <w:rPr>
          <w:sz w:val="36"/>
          <w:szCs w:val="36"/>
          <w:rtl/>
        </w:rPr>
        <w:t>ففيه</w:t>
      </w:r>
      <w:r w:rsidR="00E8128F">
        <w:rPr>
          <w:sz w:val="36"/>
          <w:szCs w:val="36"/>
          <w:rtl/>
        </w:rPr>
        <w:t xml:space="preserve"> </w:t>
      </w:r>
      <w:r w:rsidR="0054001F" w:rsidRPr="00FD211F">
        <w:rPr>
          <w:sz w:val="36"/>
          <w:szCs w:val="36"/>
          <w:rtl/>
        </w:rPr>
        <w:t>ان</w:t>
      </w:r>
      <w:r w:rsidR="00E8128F">
        <w:rPr>
          <w:sz w:val="36"/>
          <w:szCs w:val="36"/>
          <w:rtl/>
        </w:rPr>
        <w:t xml:space="preserve"> </w:t>
      </w:r>
      <w:r w:rsidR="0054001F" w:rsidRPr="00FD211F">
        <w:rPr>
          <w:sz w:val="36"/>
          <w:szCs w:val="36"/>
          <w:rtl/>
        </w:rPr>
        <w:t>سنخ</w:t>
      </w:r>
      <w:r w:rsidR="00E8128F">
        <w:rPr>
          <w:sz w:val="36"/>
          <w:szCs w:val="36"/>
          <w:rtl/>
        </w:rPr>
        <w:t xml:space="preserve"> </w:t>
      </w:r>
      <w:r w:rsidR="0054001F" w:rsidRPr="00FD211F">
        <w:rPr>
          <w:sz w:val="36"/>
          <w:szCs w:val="36"/>
          <w:rtl/>
        </w:rPr>
        <w:t>الظرفي</w:t>
      </w:r>
      <w:r w:rsidR="00EC7EDF" w:rsidRPr="00FD211F">
        <w:rPr>
          <w:sz w:val="36"/>
          <w:szCs w:val="36"/>
          <w:rtl/>
        </w:rPr>
        <w:t>ة</w:t>
      </w:r>
      <w:r w:rsidR="00E8128F">
        <w:rPr>
          <w:sz w:val="36"/>
          <w:szCs w:val="36"/>
          <w:rtl/>
        </w:rPr>
        <w:t xml:space="preserve"> </w:t>
      </w:r>
      <w:r w:rsidR="0054001F" w:rsidRPr="00FD211F">
        <w:rPr>
          <w:sz w:val="36"/>
          <w:szCs w:val="36"/>
          <w:rtl/>
        </w:rPr>
        <w:t>الزماني</w:t>
      </w:r>
      <w:r w:rsidR="00EC7EDF" w:rsidRPr="00FD211F">
        <w:rPr>
          <w:sz w:val="36"/>
          <w:szCs w:val="36"/>
          <w:rtl/>
        </w:rPr>
        <w:t>ة</w:t>
      </w:r>
      <w:r w:rsidR="00E8128F">
        <w:rPr>
          <w:sz w:val="36"/>
          <w:szCs w:val="36"/>
          <w:rtl/>
        </w:rPr>
        <w:t xml:space="preserve"> </w:t>
      </w:r>
      <w:r w:rsidR="0054001F" w:rsidRPr="00FD211F">
        <w:rPr>
          <w:sz w:val="36"/>
          <w:szCs w:val="36"/>
          <w:rtl/>
        </w:rPr>
        <w:t>متغاير</w:t>
      </w:r>
      <w:r w:rsidR="00EC7EDF" w:rsidRPr="00FD211F">
        <w:rPr>
          <w:sz w:val="36"/>
          <w:szCs w:val="36"/>
          <w:rtl/>
        </w:rPr>
        <w:t>ة</w:t>
      </w:r>
      <w:r w:rsidR="00E8128F">
        <w:rPr>
          <w:sz w:val="36"/>
          <w:szCs w:val="36"/>
          <w:rtl/>
        </w:rPr>
        <w:t xml:space="preserve"> </w:t>
      </w:r>
      <w:r w:rsidR="0054001F" w:rsidRPr="00FD211F">
        <w:rPr>
          <w:sz w:val="36"/>
          <w:szCs w:val="36"/>
          <w:rtl/>
        </w:rPr>
        <w:t>عن</w:t>
      </w:r>
      <w:r w:rsidR="00E8128F">
        <w:rPr>
          <w:sz w:val="36"/>
          <w:szCs w:val="36"/>
          <w:rtl/>
        </w:rPr>
        <w:t xml:space="preserve"> </w:t>
      </w:r>
      <w:r w:rsidR="0054001F" w:rsidRPr="00FD211F">
        <w:rPr>
          <w:sz w:val="36"/>
          <w:szCs w:val="36"/>
          <w:rtl/>
        </w:rPr>
        <w:t>سنخ</w:t>
      </w:r>
      <w:r w:rsidR="00E8128F">
        <w:rPr>
          <w:sz w:val="36"/>
          <w:szCs w:val="36"/>
          <w:rtl/>
        </w:rPr>
        <w:t xml:space="preserve"> </w:t>
      </w:r>
      <w:r w:rsidRPr="00FD211F">
        <w:rPr>
          <w:sz w:val="36"/>
          <w:szCs w:val="36"/>
          <w:rtl/>
        </w:rPr>
        <w:t>الظرفي</w:t>
      </w:r>
      <w:r w:rsidR="00EC7EDF" w:rsidRPr="00FD211F">
        <w:rPr>
          <w:sz w:val="36"/>
          <w:szCs w:val="36"/>
          <w:rtl/>
        </w:rPr>
        <w:t>ة</w:t>
      </w:r>
      <w:r w:rsidR="00E8128F">
        <w:rPr>
          <w:sz w:val="36"/>
          <w:szCs w:val="36"/>
          <w:rtl/>
        </w:rPr>
        <w:t xml:space="preserve"> </w:t>
      </w:r>
      <w:r w:rsidR="0054001F" w:rsidRPr="00FD211F">
        <w:rPr>
          <w:sz w:val="36"/>
          <w:szCs w:val="36"/>
          <w:rtl/>
        </w:rPr>
        <w:t>المكاني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0054001F" w:rsidRPr="00FD211F">
        <w:rPr>
          <w:sz w:val="36"/>
          <w:szCs w:val="36"/>
          <w:rtl/>
        </w:rPr>
        <w:t>الأولى</w:t>
      </w:r>
      <w:r w:rsidR="00E8128F">
        <w:rPr>
          <w:sz w:val="36"/>
          <w:szCs w:val="36"/>
          <w:rtl/>
        </w:rPr>
        <w:t xml:space="preserve"> </w:t>
      </w:r>
      <w:r w:rsidRPr="00FD211F">
        <w:rPr>
          <w:sz w:val="36"/>
          <w:szCs w:val="36"/>
          <w:rtl/>
        </w:rPr>
        <w:t>تكون</w:t>
      </w:r>
      <w:r w:rsidR="00E8128F">
        <w:rPr>
          <w:sz w:val="36"/>
          <w:szCs w:val="36"/>
          <w:rtl/>
        </w:rPr>
        <w:t xml:space="preserve"> </w:t>
      </w:r>
      <w:r w:rsidR="0054001F" w:rsidRPr="00FD211F">
        <w:rPr>
          <w:sz w:val="36"/>
          <w:szCs w:val="36"/>
          <w:rtl/>
        </w:rPr>
        <w:t>من</w:t>
      </w:r>
      <w:r w:rsidR="00E8128F">
        <w:rPr>
          <w:sz w:val="36"/>
          <w:szCs w:val="36"/>
          <w:rtl/>
        </w:rPr>
        <w:t xml:space="preserve"> </w:t>
      </w:r>
      <w:r w:rsidR="0054001F" w:rsidRPr="00FD211F">
        <w:rPr>
          <w:sz w:val="36"/>
          <w:szCs w:val="36"/>
          <w:rtl/>
        </w:rPr>
        <w:t>مقول</w:t>
      </w:r>
      <w:r w:rsidR="00EC7EDF" w:rsidRPr="00FD211F">
        <w:rPr>
          <w:sz w:val="36"/>
          <w:szCs w:val="36"/>
          <w:rtl/>
        </w:rPr>
        <w:t>ة</w:t>
      </w:r>
      <w:r w:rsidR="00E8128F">
        <w:rPr>
          <w:sz w:val="36"/>
          <w:szCs w:val="36"/>
          <w:rtl/>
        </w:rPr>
        <w:t xml:space="preserve"> </w:t>
      </w:r>
      <w:r w:rsidR="0054001F" w:rsidRPr="00FD211F">
        <w:rPr>
          <w:sz w:val="36"/>
          <w:szCs w:val="36"/>
          <w:rtl/>
        </w:rPr>
        <w:t>متى</w:t>
      </w:r>
      <w:r w:rsidR="00E8128F">
        <w:rPr>
          <w:sz w:val="36"/>
          <w:szCs w:val="36"/>
          <w:rtl/>
        </w:rPr>
        <w:t xml:space="preserve"> </w:t>
      </w:r>
      <w:r w:rsidR="0054001F" w:rsidRPr="00FD211F">
        <w:rPr>
          <w:sz w:val="36"/>
          <w:szCs w:val="36"/>
          <w:rtl/>
        </w:rPr>
        <w:t>والثاني</w:t>
      </w:r>
      <w:r w:rsidR="00EC7EDF" w:rsidRPr="00FD211F">
        <w:rPr>
          <w:sz w:val="36"/>
          <w:szCs w:val="36"/>
          <w:rtl/>
        </w:rPr>
        <w:t>ة</w:t>
      </w:r>
      <w:r w:rsidR="00E8128F">
        <w:rPr>
          <w:sz w:val="36"/>
          <w:szCs w:val="36"/>
          <w:rtl/>
        </w:rPr>
        <w:t xml:space="preserve"> </w:t>
      </w:r>
      <w:r w:rsidRPr="00FD211F">
        <w:rPr>
          <w:sz w:val="36"/>
          <w:szCs w:val="36"/>
          <w:rtl/>
        </w:rPr>
        <w:t>تكون</w:t>
      </w:r>
      <w:r w:rsidR="00E8128F">
        <w:rPr>
          <w:sz w:val="36"/>
          <w:szCs w:val="36"/>
          <w:rtl/>
        </w:rPr>
        <w:t xml:space="preserve"> </w:t>
      </w:r>
      <w:r w:rsidR="0054001F" w:rsidRPr="00FD211F">
        <w:rPr>
          <w:sz w:val="36"/>
          <w:szCs w:val="36"/>
          <w:rtl/>
        </w:rPr>
        <w:t>من</w:t>
      </w:r>
      <w:r w:rsidR="00E8128F">
        <w:rPr>
          <w:sz w:val="36"/>
          <w:szCs w:val="36"/>
          <w:rtl/>
        </w:rPr>
        <w:t xml:space="preserve"> </w:t>
      </w:r>
      <w:r w:rsidR="0054001F" w:rsidRPr="00FD211F">
        <w:rPr>
          <w:sz w:val="36"/>
          <w:szCs w:val="36"/>
          <w:rtl/>
        </w:rPr>
        <w:t>مقول</w:t>
      </w:r>
      <w:r w:rsidR="00EC7EDF" w:rsidRPr="00FD211F">
        <w:rPr>
          <w:sz w:val="36"/>
          <w:szCs w:val="36"/>
          <w:rtl/>
        </w:rPr>
        <w:t>ة</w:t>
      </w:r>
      <w:r w:rsidR="00E8128F">
        <w:rPr>
          <w:sz w:val="36"/>
          <w:szCs w:val="36"/>
          <w:rtl/>
        </w:rPr>
        <w:t xml:space="preserve"> </w:t>
      </w:r>
      <w:r w:rsidRPr="00FD211F">
        <w:rPr>
          <w:sz w:val="36"/>
          <w:szCs w:val="36"/>
          <w:rtl/>
        </w:rPr>
        <w:t>ال</w:t>
      </w:r>
      <w:r w:rsidR="0054001F" w:rsidRPr="00FD211F">
        <w:rPr>
          <w:sz w:val="36"/>
          <w:szCs w:val="36"/>
          <w:rtl/>
        </w:rPr>
        <w:t>اين</w:t>
      </w:r>
      <w:r w:rsidR="00603323" w:rsidRPr="00FD211F">
        <w:rPr>
          <w:sz w:val="36"/>
          <w:szCs w:val="36"/>
          <w:rtl/>
        </w:rPr>
        <w:t>،</w:t>
      </w:r>
      <w:r w:rsidR="00E8128F">
        <w:rPr>
          <w:sz w:val="36"/>
          <w:szCs w:val="36"/>
          <w:rtl/>
        </w:rPr>
        <w:t xml:space="preserve"> </w:t>
      </w:r>
      <w:r w:rsidRPr="00FD211F">
        <w:rPr>
          <w:sz w:val="36"/>
          <w:szCs w:val="36"/>
          <w:rtl/>
        </w:rPr>
        <w:t>وقد</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الفلاسف</w:t>
      </w:r>
      <w:r w:rsidR="00EC7EDF" w:rsidRPr="00FD211F">
        <w:rPr>
          <w:sz w:val="36"/>
          <w:szCs w:val="36"/>
          <w:rtl/>
        </w:rPr>
        <w:t>ة</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لايعقل</w:t>
      </w:r>
      <w:r w:rsidR="00E8128F">
        <w:rPr>
          <w:sz w:val="36"/>
          <w:szCs w:val="36"/>
          <w:rtl/>
        </w:rPr>
        <w:t xml:space="preserve"> </w:t>
      </w:r>
      <w:r w:rsidRPr="00FD211F">
        <w:rPr>
          <w:sz w:val="36"/>
          <w:szCs w:val="36"/>
          <w:rtl/>
        </w:rPr>
        <w:t>جامع</w:t>
      </w:r>
      <w:r w:rsidR="00E8128F">
        <w:rPr>
          <w:sz w:val="36"/>
          <w:szCs w:val="36"/>
          <w:rtl/>
        </w:rPr>
        <w:t xml:space="preserve"> </w:t>
      </w:r>
      <w:r w:rsidRPr="00FD211F">
        <w:rPr>
          <w:sz w:val="36"/>
          <w:szCs w:val="36"/>
          <w:rtl/>
        </w:rPr>
        <w:t>ذاتي</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المقولات</w:t>
      </w:r>
      <w:r w:rsidR="00E8128F">
        <w:rPr>
          <w:sz w:val="36"/>
          <w:szCs w:val="36"/>
          <w:rtl/>
        </w:rPr>
        <w:t xml:space="preserve"> </w:t>
      </w:r>
      <w:r w:rsidRPr="00FD211F">
        <w:rPr>
          <w:sz w:val="36"/>
          <w:szCs w:val="36"/>
          <w:rtl/>
        </w:rPr>
        <w:t>العشر</w:t>
      </w:r>
      <w:r w:rsidR="00E8128F">
        <w:rPr>
          <w:sz w:val="36"/>
          <w:szCs w:val="36"/>
          <w:rtl/>
        </w:rPr>
        <w:t xml:space="preserve"> </w:t>
      </w:r>
      <w:r w:rsidR="0054001F" w:rsidRPr="00FD211F">
        <w:rPr>
          <w:sz w:val="36"/>
          <w:szCs w:val="36"/>
          <w:rtl/>
        </w:rPr>
        <w:t>وهذا</w:t>
      </w:r>
      <w:r w:rsidR="00E8128F">
        <w:rPr>
          <w:sz w:val="36"/>
          <w:szCs w:val="36"/>
          <w:rtl/>
        </w:rPr>
        <w:t xml:space="preserve"> </w:t>
      </w:r>
      <w:r w:rsidR="0054001F" w:rsidRPr="00FD211F">
        <w:rPr>
          <w:sz w:val="36"/>
          <w:szCs w:val="36"/>
          <w:rtl/>
        </w:rPr>
        <w:t>يوجب</w:t>
      </w:r>
      <w:r w:rsidR="00E8128F">
        <w:rPr>
          <w:sz w:val="36"/>
          <w:szCs w:val="36"/>
          <w:rtl/>
        </w:rPr>
        <w:t xml:space="preserve"> </w:t>
      </w:r>
      <w:r w:rsidR="0054001F" w:rsidRPr="00FD211F">
        <w:rPr>
          <w:sz w:val="36"/>
          <w:szCs w:val="36"/>
          <w:rtl/>
        </w:rPr>
        <w:t>عدم</w:t>
      </w:r>
      <w:r w:rsidR="00E8128F">
        <w:rPr>
          <w:sz w:val="36"/>
          <w:szCs w:val="36"/>
          <w:rtl/>
        </w:rPr>
        <w:t xml:space="preserve"> </w:t>
      </w:r>
      <w:r w:rsidR="0054001F" w:rsidRPr="00FD211F">
        <w:rPr>
          <w:sz w:val="36"/>
          <w:szCs w:val="36"/>
          <w:rtl/>
        </w:rPr>
        <w:t>كون</w:t>
      </w:r>
      <w:r w:rsidR="00E8128F">
        <w:rPr>
          <w:sz w:val="36"/>
          <w:szCs w:val="36"/>
          <w:rtl/>
        </w:rPr>
        <w:t xml:space="preserve"> </w:t>
      </w:r>
      <w:r w:rsidR="0054001F" w:rsidRPr="00FD211F">
        <w:rPr>
          <w:sz w:val="36"/>
          <w:szCs w:val="36"/>
          <w:rtl/>
        </w:rPr>
        <w:t>معنى</w:t>
      </w:r>
      <w:r w:rsidR="00E8128F">
        <w:rPr>
          <w:sz w:val="36"/>
          <w:szCs w:val="36"/>
          <w:rtl/>
        </w:rPr>
        <w:t xml:space="preserve"> </w:t>
      </w:r>
      <w:r w:rsidR="00AD1127" w:rsidRPr="00FD211F">
        <w:rPr>
          <w:sz w:val="36"/>
          <w:szCs w:val="36"/>
          <w:rtl/>
        </w:rPr>
        <w:t>هيئ</w:t>
      </w:r>
      <w:r w:rsidR="00EC7EDF" w:rsidRPr="00FD211F">
        <w:rPr>
          <w:sz w:val="36"/>
          <w:szCs w:val="36"/>
          <w:rtl/>
        </w:rPr>
        <w:t>ة</w:t>
      </w:r>
      <w:r w:rsidR="00E8128F">
        <w:rPr>
          <w:sz w:val="36"/>
          <w:szCs w:val="36"/>
          <w:rtl/>
        </w:rPr>
        <w:t xml:space="preserve"> </w:t>
      </w:r>
      <w:r w:rsidR="00AD1127" w:rsidRPr="00FD211F">
        <w:rPr>
          <w:sz w:val="36"/>
          <w:szCs w:val="36"/>
          <w:rtl/>
        </w:rPr>
        <w:t>"</w:t>
      </w:r>
      <w:r w:rsidR="0054001F" w:rsidRPr="00FD211F">
        <w:rPr>
          <w:sz w:val="36"/>
          <w:szCs w:val="36"/>
          <w:rtl/>
        </w:rPr>
        <w:t>مفعل</w:t>
      </w:r>
      <w:r w:rsidR="00AD1127" w:rsidRPr="00FD211F">
        <w:rPr>
          <w:sz w:val="36"/>
          <w:szCs w:val="36"/>
          <w:rtl/>
        </w:rPr>
        <w:t>"</w:t>
      </w:r>
      <w:r w:rsidR="00E8128F">
        <w:rPr>
          <w:sz w:val="36"/>
          <w:szCs w:val="36"/>
          <w:rtl/>
        </w:rPr>
        <w:t xml:space="preserve"> </w:t>
      </w:r>
      <w:r w:rsidR="0054001F" w:rsidRPr="00FD211F">
        <w:rPr>
          <w:sz w:val="36"/>
          <w:szCs w:val="36"/>
          <w:rtl/>
        </w:rPr>
        <w:t>واحدا</w:t>
      </w:r>
      <w:r w:rsidRPr="00FD211F">
        <w:rPr>
          <w:sz w:val="36"/>
          <w:szCs w:val="36"/>
          <w:rtl/>
        </w:rPr>
        <w:t>.</w:t>
      </w:r>
    </w:p>
    <w:p w14:paraId="3EA13143" w14:textId="77777777" w:rsidR="0096632C" w:rsidRPr="00FD211F" w:rsidRDefault="00E43829" w:rsidP="009C58C8">
      <w:pPr>
        <w:ind w:left="0" w:firstLine="227"/>
        <w:jc w:val="both"/>
        <w:rPr>
          <w:sz w:val="36"/>
          <w:szCs w:val="36"/>
          <w:rtl/>
        </w:rPr>
      </w:pPr>
      <w:r w:rsidRPr="00FD211F">
        <w:rPr>
          <w:sz w:val="36"/>
          <w:szCs w:val="36"/>
          <w:rtl/>
        </w:rPr>
        <w:t>ان</w:t>
      </w:r>
      <w:r w:rsidR="00E8128F">
        <w:rPr>
          <w:sz w:val="36"/>
          <w:szCs w:val="36"/>
          <w:rtl/>
        </w:rPr>
        <w:t xml:space="preserve"> </w:t>
      </w:r>
      <w:r w:rsidRPr="00FD211F">
        <w:rPr>
          <w:sz w:val="36"/>
          <w:szCs w:val="36"/>
          <w:rtl/>
        </w:rPr>
        <w:t>قلت:</w:t>
      </w:r>
      <w:r w:rsidR="0054001F" w:rsidRPr="00FD211F">
        <w:rPr>
          <w:sz w:val="36"/>
          <w:szCs w:val="36"/>
          <w:rtl/>
        </w:rPr>
        <w:t>انه</w:t>
      </w:r>
      <w:r w:rsidR="00E8128F">
        <w:rPr>
          <w:sz w:val="36"/>
          <w:szCs w:val="36"/>
          <w:rtl/>
        </w:rPr>
        <w:t xml:space="preserve"> </w:t>
      </w:r>
      <w:r w:rsidR="0054001F" w:rsidRPr="00FD211F">
        <w:rPr>
          <w:sz w:val="36"/>
          <w:szCs w:val="36"/>
          <w:rtl/>
        </w:rPr>
        <w:t>كما</w:t>
      </w:r>
      <w:r w:rsidR="00E8128F">
        <w:rPr>
          <w:sz w:val="36"/>
          <w:szCs w:val="36"/>
          <w:rtl/>
        </w:rPr>
        <w:t xml:space="preserve"> </w:t>
      </w:r>
      <w:r w:rsidR="0054001F" w:rsidRPr="00FD211F">
        <w:rPr>
          <w:sz w:val="36"/>
          <w:szCs w:val="36"/>
          <w:rtl/>
        </w:rPr>
        <w:t>لوحظ</w:t>
      </w:r>
      <w:r w:rsidR="00E8128F">
        <w:rPr>
          <w:sz w:val="36"/>
          <w:szCs w:val="36"/>
          <w:rtl/>
        </w:rPr>
        <w:t xml:space="preserve"> </w:t>
      </w:r>
      <w:r w:rsidR="0054001F" w:rsidRPr="00FD211F">
        <w:rPr>
          <w:sz w:val="36"/>
          <w:szCs w:val="36"/>
          <w:rtl/>
        </w:rPr>
        <w:t>عنوان</w:t>
      </w:r>
      <w:r w:rsidR="00E8128F">
        <w:rPr>
          <w:sz w:val="36"/>
          <w:szCs w:val="36"/>
          <w:rtl/>
        </w:rPr>
        <w:t xml:space="preserve"> </w:t>
      </w:r>
      <w:r w:rsidR="0054001F" w:rsidRPr="00FD211F">
        <w:rPr>
          <w:sz w:val="36"/>
          <w:szCs w:val="36"/>
          <w:rtl/>
        </w:rPr>
        <w:t>النسب</w:t>
      </w:r>
      <w:r w:rsidR="00EC7EDF" w:rsidRPr="00FD211F">
        <w:rPr>
          <w:sz w:val="36"/>
          <w:szCs w:val="36"/>
          <w:rtl/>
        </w:rPr>
        <w:t>ة</w:t>
      </w:r>
      <w:r w:rsidR="00E8128F">
        <w:rPr>
          <w:sz w:val="36"/>
          <w:szCs w:val="36"/>
          <w:rtl/>
        </w:rPr>
        <w:t xml:space="preserve"> </w:t>
      </w:r>
      <w:r w:rsidR="0054001F" w:rsidRPr="00FD211F">
        <w:rPr>
          <w:sz w:val="36"/>
          <w:szCs w:val="36"/>
          <w:rtl/>
        </w:rPr>
        <w:t>الظرفي</w:t>
      </w:r>
      <w:r w:rsidR="00EC7EDF" w:rsidRPr="00FD211F">
        <w:rPr>
          <w:sz w:val="36"/>
          <w:szCs w:val="36"/>
          <w:rtl/>
        </w:rPr>
        <w:t>ة</w:t>
      </w:r>
      <w:r w:rsidR="00E8128F">
        <w:rPr>
          <w:sz w:val="36"/>
          <w:szCs w:val="36"/>
          <w:rtl/>
        </w:rPr>
        <w:t xml:space="preserve"> </w:t>
      </w:r>
      <w:r w:rsidR="0054001F" w:rsidRPr="00FD211F">
        <w:rPr>
          <w:sz w:val="36"/>
          <w:szCs w:val="36"/>
          <w:rtl/>
        </w:rPr>
        <w:t>مرآ</w:t>
      </w:r>
      <w:r w:rsidR="00EC7EDF" w:rsidRPr="00FD211F">
        <w:rPr>
          <w:sz w:val="36"/>
          <w:szCs w:val="36"/>
          <w:rtl/>
        </w:rPr>
        <w:t>ة</w:t>
      </w:r>
      <w:r w:rsidR="00E8128F">
        <w:rPr>
          <w:sz w:val="36"/>
          <w:szCs w:val="36"/>
          <w:rtl/>
        </w:rPr>
        <w:t xml:space="preserve"> </w:t>
      </w:r>
      <w:r w:rsidR="0054001F" w:rsidRPr="00FD211F">
        <w:rPr>
          <w:sz w:val="36"/>
          <w:szCs w:val="36"/>
          <w:rtl/>
        </w:rPr>
        <w:t>لوضع</w:t>
      </w:r>
      <w:r w:rsidR="00E8128F">
        <w:rPr>
          <w:sz w:val="36"/>
          <w:szCs w:val="36"/>
          <w:rtl/>
        </w:rPr>
        <w:t xml:space="preserve"> </w:t>
      </w:r>
      <w:r w:rsidR="0054001F" w:rsidRPr="00FD211F">
        <w:rPr>
          <w:sz w:val="36"/>
          <w:szCs w:val="36"/>
          <w:rtl/>
        </w:rPr>
        <w:t>حرف</w:t>
      </w:r>
      <w:r w:rsidR="00E8128F">
        <w:rPr>
          <w:sz w:val="36"/>
          <w:szCs w:val="36"/>
          <w:rtl/>
        </w:rPr>
        <w:t xml:space="preserve"> </w:t>
      </w:r>
      <w:r w:rsidR="00AD1127" w:rsidRPr="00FD211F">
        <w:rPr>
          <w:sz w:val="36"/>
          <w:szCs w:val="36"/>
          <w:rtl/>
        </w:rPr>
        <w:t>"</w:t>
      </w:r>
      <w:r w:rsidR="0054001F" w:rsidRPr="00FD211F">
        <w:rPr>
          <w:sz w:val="36"/>
          <w:szCs w:val="36"/>
          <w:rtl/>
        </w:rPr>
        <w:t>في</w:t>
      </w:r>
      <w:r w:rsidR="00AD1127" w:rsidRPr="00FD211F">
        <w:rPr>
          <w:sz w:val="36"/>
          <w:szCs w:val="36"/>
          <w:rtl/>
        </w:rPr>
        <w:t>"</w:t>
      </w:r>
      <w:r w:rsidR="00E8128F">
        <w:rPr>
          <w:sz w:val="36"/>
          <w:szCs w:val="36"/>
          <w:rtl/>
        </w:rPr>
        <w:t xml:space="preserve"> </w:t>
      </w:r>
      <w:r w:rsidR="0054001F" w:rsidRPr="00FD211F">
        <w:rPr>
          <w:sz w:val="36"/>
          <w:szCs w:val="36"/>
          <w:rtl/>
        </w:rPr>
        <w:t>لواقع</w:t>
      </w:r>
      <w:r w:rsidR="00E8128F">
        <w:rPr>
          <w:sz w:val="36"/>
          <w:szCs w:val="36"/>
          <w:rtl/>
        </w:rPr>
        <w:t xml:space="preserve"> </w:t>
      </w:r>
      <w:r w:rsidR="0054001F" w:rsidRPr="00FD211F">
        <w:rPr>
          <w:sz w:val="36"/>
          <w:szCs w:val="36"/>
          <w:rtl/>
        </w:rPr>
        <w:t>النسب</w:t>
      </w:r>
      <w:r w:rsidR="00EC7EDF" w:rsidRPr="00FD211F">
        <w:rPr>
          <w:sz w:val="36"/>
          <w:szCs w:val="36"/>
          <w:rtl/>
        </w:rPr>
        <w:t>ة</w:t>
      </w:r>
      <w:r w:rsidR="00E8128F">
        <w:rPr>
          <w:sz w:val="36"/>
          <w:szCs w:val="36"/>
          <w:rtl/>
        </w:rPr>
        <w:t xml:space="preserve"> </w:t>
      </w:r>
      <w:r w:rsidR="0054001F" w:rsidRPr="00FD211F">
        <w:rPr>
          <w:sz w:val="36"/>
          <w:szCs w:val="36"/>
          <w:rtl/>
        </w:rPr>
        <w:t>الظرفي</w:t>
      </w:r>
      <w:r w:rsidR="00EC7EDF" w:rsidRPr="00FD211F">
        <w:rPr>
          <w:sz w:val="36"/>
          <w:szCs w:val="36"/>
          <w:rtl/>
        </w:rPr>
        <w:t>ة</w:t>
      </w:r>
      <w:r w:rsidR="00E8128F">
        <w:rPr>
          <w:sz w:val="36"/>
          <w:szCs w:val="36"/>
          <w:rtl/>
        </w:rPr>
        <w:t xml:space="preserve"> </w:t>
      </w:r>
      <w:r w:rsidR="0054001F" w:rsidRPr="00FD211F">
        <w:rPr>
          <w:sz w:val="36"/>
          <w:szCs w:val="36"/>
          <w:rtl/>
        </w:rPr>
        <w:t>الزماني</w:t>
      </w:r>
      <w:r w:rsidR="00EC7EDF" w:rsidRPr="00FD211F">
        <w:rPr>
          <w:sz w:val="36"/>
          <w:szCs w:val="36"/>
          <w:rtl/>
        </w:rPr>
        <w:t>ة</w:t>
      </w:r>
      <w:r w:rsidR="00E8128F">
        <w:rPr>
          <w:sz w:val="36"/>
          <w:szCs w:val="36"/>
          <w:rtl/>
        </w:rPr>
        <w:t xml:space="preserve"> </w:t>
      </w:r>
      <w:r w:rsidR="0054001F" w:rsidRPr="00FD211F">
        <w:rPr>
          <w:sz w:val="36"/>
          <w:szCs w:val="36"/>
          <w:rtl/>
        </w:rPr>
        <w:t>والمكاني</w:t>
      </w:r>
      <w:r w:rsidR="00EC7EDF" w:rsidRPr="00FD211F">
        <w:rPr>
          <w:sz w:val="36"/>
          <w:szCs w:val="36"/>
          <w:rtl/>
        </w:rPr>
        <w:t>ة</w:t>
      </w:r>
      <w:r w:rsidR="00E8128F">
        <w:rPr>
          <w:sz w:val="36"/>
          <w:szCs w:val="36"/>
          <w:rtl/>
        </w:rPr>
        <w:t xml:space="preserve"> </w:t>
      </w:r>
      <w:r w:rsidR="0054001F" w:rsidRPr="00FD211F">
        <w:rPr>
          <w:sz w:val="36"/>
          <w:szCs w:val="36"/>
          <w:rtl/>
        </w:rPr>
        <w:t>كقولنا</w:t>
      </w:r>
      <w:r w:rsidR="00E8128F">
        <w:rPr>
          <w:sz w:val="36"/>
          <w:szCs w:val="36"/>
          <w:rtl/>
        </w:rPr>
        <w:t xml:space="preserve"> </w:t>
      </w:r>
      <w:r w:rsidR="0054001F" w:rsidRPr="00FD211F">
        <w:rPr>
          <w:sz w:val="36"/>
          <w:szCs w:val="36"/>
          <w:rtl/>
        </w:rPr>
        <w:t>القائم</w:t>
      </w:r>
      <w:r w:rsidR="00E8128F">
        <w:rPr>
          <w:sz w:val="36"/>
          <w:szCs w:val="36"/>
          <w:rtl/>
        </w:rPr>
        <w:t xml:space="preserve"> </w:t>
      </w:r>
      <w:r w:rsidR="0054001F" w:rsidRPr="00FD211F">
        <w:rPr>
          <w:sz w:val="36"/>
          <w:szCs w:val="36"/>
          <w:rtl/>
        </w:rPr>
        <w:t>في</w:t>
      </w:r>
      <w:r w:rsidR="00E8128F">
        <w:rPr>
          <w:sz w:val="36"/>
          <w:szCs w:val="36"/>
          <w:rtl/>
        </w:rPr>
        <w:t xml:space="preserve"> </w:t>
      </w:r>
      <w:r w:rsidR="0054001F" w:rsidRPr="00FD211F">
        <w:rPr>
          <w:sz w:val="36"/>
          <w:szCs w:val="36"/>
          <w:rtl/>
        </w:rPr>
        <w:t>الدار</w:t>
      </w:r>
      <w:r w:rsidR="00E8128F">
        <w:rPr>
          <w:sz w:val="36"/>
          <w:szCs w:val="36"/>
          <w:rtl/>
        </w:rPr>
        <w:t xml:space="preserve"> </w:t>
      </w:r>
      <w:r w:rsidR="0054001F" w:rsidRPr="00FD211F">
        <w:rPr>
          <w:sz w:val="36"/>
          <w:szCs w:val="36"/>
          <w:rtl/>
        </w:rPr>
        <w:t>او</w:t>
      </w:r>
      <w:r w:rsidR="00E8128F">
        <w:rPr>
          <w:sz w:val="36"/>
          <w:szCs w:val="36"/>
          <w:rtl/>
        </w:rPr>
        <w:t xml:space="preserve"> </w:t>
      </w:r>
      <w:r w:rsidR="0040555A" w:rsidRPr="00FD211F">
        <w:rPr>
          <w:sz w:val="36"/>
          <w:szCs w:val="36"/>
          <w:rtl/>
        </w:rPr>
        <w:t>القائم</w:t>
      </w:r>
      <w:r w:rsidR="00E8128F">
        <w:rPr>
          <w:sz w:val="36"/>
          <w:szCs w:val="36"/>
          <w:rtl/>
        </w:rPr>
        <w:t xml:space="preserve"> </w:t>
      </w:r>
      <w:r w:rsidR="0054001F" w:rsidRPr="00FD211F">
        <w:rPr>
          <w:sz w:val="36"/>
          <w:szCs w:val="36"/>
          <w:rtl/>
        </w:rPr>
        <w:t>في</w:t>
      </w:r>
      <w:r w:rsidR="00E8128F">
        <w:rPr>
          <w:sz w:val="36"/>
          <w:szCs w:val="36"/>
          <w:rtl/>
        </w:rPr>
        <w:t xml:space="preserve"> </w:t>
      </w:r>
      <w:r w:rsidR="0054001F" w:rsidRPr="00FD211F">
        <w:rPr>
          <w:sz w:val="36"/>
          <w:szCs w:val="36"/>
          <w:rtl/>
        </w:rPr>
        <w:t>يوم</w:t>
      </w:r>
      <w:r w:rsidR="00E8128F">
        <w:rPr>
          <w:sz w:val="36"/>
          <w:szCs w:val="36"/>
          <w:rtl/>
        </w:rPr>
        <w:t xml:space="preserve"> </w:t>
      </w:r>
      <w:r w:rsidR="0054001F" w:rsidRPr="00FD211F">
        <w:rPr>
          <w:sz w:val="36"/>
          <w:szCs w:val="36"/>
          <w:rtl/>
        </w:rPr>
        <w:t>الجمع</w:t>
      </w:r>
      <w:r w:rsidR="00EC7EDF" w:rsidRPr="00FD211F">
        <w:rPr>
          <w:sz w:val="36"/>
          <w:szCs w:val="36"/>
          <w:rtl/>
        </w:rPr>
        <w:t>ة</w:t>
      </w:r>
      <w:r w:rsidR="00E8128F">
        <w:rPr>
          <w:sz w:val="36"/>
          <w:szCs w:val="36"/>
          <w:rtl/>
        </w:rPr>
        <w:t xml:space="preserve"> </w:t>
      </w:r>
      <w:r w:rsidR="0054001F" w:rsidRPr="00FD211F">
        <w:rPr>
          <w:sz w:val="36"/>
          <w:szCs w:val="36"/>
          <w:rtl/>
        </w:rPr>
        <w:t>وكان</w:t>
      </w:r>
      <w:r w:rsidR="00E8128F">
        <w:rPr>
          <w:sz w:val="36"/>
          <w:szCs w:val="36"/>
          <w:rtl/>
        </w:rPr>
        <w:t xml:space="preserve"> </w:t>
      </w:r>
      <w:r w:rsidR="0054001F" w:rsidRPr="00FD211F">
        <w:rPr>
          <w:sz w:val="36"/>
          <w:szCs w:val="36"/>
          <w:rtl/>
        </w:rPr>
        <w:t>من</w:t>
      </w:r>
      <w:r w:rsidR="00E8128F">
        <w:rPr>
          <w:sz w:val="36"/>
          <w:szCs w:val="36"/>
          <w:rtl/>
        </w:rPr>
        <w:t xml:space="preserve"> </w:t>
      </w:r>
      <w:r w:rsidR="0054001F" w:rsidRPr="00FD211F">
        <w:rPr>
          <w:sz w:val="36"/>
          <w:szCs w:val="36"/>
          <w:rtl/>
        </w:rPr>
        <w:t>الوضع</w:t>
      </w:r>
      <w:r w:rsidR="00E8128F">
        <w:rPr>
          <w:sz w:val="36"/>
          <w:szCs w:val="36"/>
          <w:rtl/>
        </w:rPr>
        <w:t xml:space="preserve"> </w:t>
      </w:r>
      <w:r w:rsidR="0054001F" w:rsidRPr="00FD211F">
        <w:rPr>
          <w:sz w:val="36"/>
          <w:szCs w:val="36"/>
          <w:rtl/>
        </w:rPr>
        <w:t>العام</w:t>
      </w:r>
      <w:r w:rsidR="00E8128F">
        <w:rPr>
          <w:sz w:val="36"/>
          <w:szCs w:val="36"/>
          <w:rtl/>
        </w:rPr>
        <w:t xml:space="preserve"> </w:t>
      </w:r>
      <w:r w:rsidR="0054001F" w:rsidRPr="00FD211F">
        <w:rPr>
          <w:sz w:val="36"/>
          <w:szCs w:val="36"/>
          <w:rtl/>
        </w:rPr>
        <w:t>والموضوع</w:t>
      </w:r>
      <w:r w:rsidR="00E8128F">
        <w:rPr>
          <w:sz w:val="36"/>
          <w:szCs w:val="36"/>
          <w:rtl/>
        </w:rPr>
        <w:t xml:space="preserve"> </w:t>
      </w:r>
      <w:r w:rsidR="0054001F" w:rsidRPr="00FD211F">
        <w:rPr>
          <w:sz w:val="36"/>
          <w:szCs w:val="36"/>
          <w:rtl/>
        </w:rPr>
        <w:t>له</w:t>
      </w:r>
      <w:r w:rsidR="00E8128F">
        <w:rPr>
          <w:sz w:val="36"/>
          <w:szCs w:val="36"/>
          <w:rtl/>
        </w:rPr>
        <w:t xml:space="preserve"> </w:t>
      </w:r>
      <w:r w:rsidR="0054001F" w:rsidRPr="00FD211F">
        <w:rPr>
          <w:sz w:val="36"/>
          <w:szCs w:val="36"/>
          <w:rtl/>
        </w:rPr>
        <w:t>الخاص</w:t>
      </w:r>
      <w:r w:rsidR="00603323" w:rsidRPr="00FD211F">
        <w:rPr>
          <w:sz w:val="36"/>
          <w:szCs w:val="36"/>
          <w:rtl/>
        </w:rPr>
        <w:t>،</w:t>
      </w:r>
      <w:r w:rsidR="00E8128F">
        <w:rPr>
          <w:sz w:val="36"/>
          <w:szCs w:val="36"/>
          <w:rtl/>
        </w:rPr>
        <w:t xml:space="preserve"> </w:t>
      </w:r>
      <w:r w:rsidR="0054001F" w:rsidRPr="00FD211F">
        <w:rPr>
          <w:sz w:val="36"/>
          <w:szCs w:val="36"/>
          <w:rtl/>
        </w:rPr>
        <w:t>فلامانع</w:t>
      </w:r>
      <w:r w:rsidR="00E8128F">
        <w:rPr>
          <w:sz w:val="36"/>
          <w:szCs w:val="36"/>
          <w:rtl/>
        </w:rPr>
        <w:t xml:space="preserve"> </w:t>
      </w:r>
      <w:r w:rsidR="0054001F" w:rsidRPr="00FD211F">
        <w:rPr>
          <w:sz w:val="36"/>
          <w:szCs w:val="36"/>
          <w:rtl/>
        </w:rPr>
        <w:t>من</w:t>
      </w:r>
      <w:r w:rsidR="00E8128F">
        <w:rPr>
          <w:sz w:val="36"/>
          <w:szCs w:val="36"/>
          <w:rtl/>
        </w:rPr>
        <w:t xml:space="preserve"> </w:t>
      </w:r>
      <w:r w:rsidR="0054001F" w:rsidRPr="00FD211F">
        <w:rPr>
          <w:sz w:val="36"/>
          <w:szCs w:val="36"/>
          <w:rtl/>
        </w:rPr>
        <w:t>الالتزام</w:t>
      </w:r>
      <w:r w:rsidR="00E8128F">
        <w:rPr>
          <w:sz w:val="36"/>
          <w:szCs w:val="36"/>
          <w:rtl/>
        </w:rPr>
        <w:t xml:space="preserve"> </w:t>
      </w:r>
      <w:r w:rsidR="0054001F" w:rsidRPr="00FD211F">
        <w:rPr>
          <w:sz w:val="36"/>
          <w:szCs w:val="36"/>
          <w:rtl/>
        </w:rPr>
        <w:t>بمثله</w:t>
      </w:r>
      <w:r w:rsidR="00E8128F">
        <w:rPr>
          <w:sz w:val="36"/>
          <w:szCs w:val="36"/>
          <w:rtl/>
        </w:rPr>
        <w:t xml:space="preserve"> </w:t>
      </w:r>
      <w:r w:rsidR="0054001F" w:rsidRPr="00FD211F">
        <w:rPr>
          <w:sz w:val="36"/>
          <w:szCs w:val="36"/>
          <w:rtl/>
        </w:rPr>
        <w:t>في</w:t>
      </w:r>
      <w:r w:rsidR="00E8128F">
        <w:rPr>
          <w:sz w:val="36"/>
          <w:szCs w:val="36"/>
          <w:rtl/>
        </w:rPr>
        <w:t xml:space="preserve"> </w:t>
      </w:r>
      <w:r w:rsidR="0054001F" w:rsidRPr="00FD211F">
        <w:rPr>
          <w:sz w:val="36"/>
          <w:szCs w:val="36"/>
          <w:rtl/>
        </w:rPr>
        <w:t>هيئ</w:t>
      </w:r>
      <w:r w:rsidR="00EC7EDF" w:rsidRPr="00FD211F">
        <w:rPr>
          <w:sz w:val="36"/>
          <w:szCs w:val="36"/>
          <w:rtl/>
        </w:rPr>
        <w:t>ة</w:t>
      </w:r>
      <w:r w:rsidR="00E8128F">
        <w:rPr>
          <w:sz w:val="36"/>
          <w:szCs w:val="36"/>
          <w:rtl/>
        </w:rPr>
        <w:t xml:space="preserve"> </w:t>
      </w:r>
      <w:r w:rsidR="0054001F" w:rsidRPr="00FD211F">
        <w:rPr>
          <w:sz w:val="36"/>
          <w:szCs w:val="36"/>
          <w:rtl/>
        </w:rPr>
        <w:t>مفعل</w:t>
      </w:r>
      <w:r w:rsidR="00E8128F">
        <w:rPr>
          <w:sz w:val="36"/>
          <w:szCs w:val="36"/>
          <w:rtl/>
        </w:rPr>
        <w:t xml:space="preserve"> </w:t>
      </w:r>
      <w:r w:rsidR="0054001F" w:rsidRPr="00FD211F">
        <w:rPr>
          <w:sz w:val="36"/>
          <w:szCs w:val="36"/>
          <w:rtl/>
        </w:rPr>
        <w:t>فيقال</w:t>
      </w:r>
      <w:r w:rsidR="00E8128F">
        <w:rPr>
          <w:sz w:val="36"/>
          <w:szCs w:val="36"/>
          <w:rtl/>
        </w:rPr>
        <w:t xml:space="preserve"> </w:t>
      </w:r>
      <w:r w:rsidR="0054001F" w:rsidRPr="00FD211F">
        <w:rPr>
          <w:sz w:val="36"/>
          <w:szCs w:val="36"/>
          <w:rtl/>
        </w:rPr>
        <w:t>بانه</w:t>
      </w:r>
      <w:r w:rsidR="00E8128F">
        <w:rPr>
          <w:sz w:val="36"/>
          <w:szCs w:val="36"/>
          <w:rtl/>
        </w:rPr>
        <w:t xml:space="preserve"> </w:t>
      </w:r>
      <w:r w:rsidR="0054001F" w:rsidRPr="00FD211F">
        <w:rPr>
          <w:sz w:val="36"/>
          <w:szCs w:val="36"/>
          <w:rtl/>
        </w:rPr>
        <w:t>لوحظ</w:t>
      </w:r>
      <w:r w:rsidR="00E8128F">
        <w:rPr>
          <w:sz w:val="36"/>
          <w:szCs w:val="36"/>
          <w:rtl/>
        </w:rPr>
        <w:t xml:space="preserve"> </w:t>
      </w:r>
      <w:r w:rsidR="0054001F" w:rsidRPr="00FD211F">
        <w:rPr>
          <w:sz w:val="36"/>
          <w:szCs w:val="36"/>
          <w:rtl/>
        </w:rPr>
        <w:t>مفهوم</w:t>
      </w:r>
      <w:r w:rsidR="00E8128F">
        <w:rPr>
          <w:sz w:val="36"/>
          <w:szCs w:val="36"/>
          <w:rtl/>
        </w:rPr>
        <w:t xml:space="preserve"> </w:t>
      </w:r>
      <w:r w:rsidR="0054001F" w:rsidRPr="00FD211F">
        <w:rPr>
          <w:sz w:val="36"/>
          <w:szCs w:val="36"/>
          <w:rtl/>
        </w:rPr>
        <w:t>الذات</w:t>
      </w:r>
      <w:r w:rsidR="00E8128F">
        <w:rPr>
          <w:sz w:val="36"/>
          <w:szCs w:val="36"/>
          <w:rtl/>
        </w:rPr>
        <w:t xml:space="preserve"> </w:t>
      </w:r>
      <w:r w:rsidR="0054001F" w:rsidRPr="00FD211F">
        <w:rPr>
          <w:sz w:val="36"/>
          <w:szCs w:val="36"/>
          <w:rtl/>
        </w:rPr>
        <w:t>المنتسب</w:t>
      </w:r>
      <w:r w:rsidR="00EC7EDF" w:rsidRPr="00FD211F">
        <w:rPr>
          <w:sz w:val="36"/>
          <w:szCs w:val="36"/>
          <w:rtl/>
        </w:rPr>
        <w:t>ة</w:t>
      </w:r>
      <w:r w:rsidR="00E8128F">
        <w:rPr>
          <w:sz w:val="36"/>
          <w:szCs w:val="36"/>
          <w:rtl/>
        </w:rPr>
        <w:t xml:space="preserve"> </w:t>
      </w:r>
      <w:r w:rsidR="0054001F" w:rsidRPr="00FD211F">
        <w:rPr>
          <w:sz w:val="36"/>
          <w:szCs w:val="36"/>
          <w:rtl/>
        </w:rPr>
        <w:t>بالنسب</w:t>
      </w:r>
      <w:r w:rsidR="00EC7EDF" w:rsidRPr="00FD211F">
        <w:rPr>
          <w:sz w:val="36"/>
          <w:szCs w:val="36"/>
          <w:rtl/>
        </w:rPr>
        <w:t>ة</w:t>
      </w:r>
      <w:r w:rsidR="00E8128F">
        <w:rPr>
          <w:sz w:val="36"/>
          <w:szCs w:val="36"/>
          <w:rtl/>
        </w:rPr>
        <w:t xml:space="preserve"> </w:t>
      </w:r>
      <w:r w:rsidR="0054001F" w:rsidRPr="00FD211F">
        <w:rPr>
          <w:sz w:val="36"/>
          <w:szCs w:val="36"/>
          <w:rtl/>
        </w:rPr>
        <w:t>الظرفي</w:t>
      </w:r>
      <w:r w:rsidR="00EC7EDF" w:rsidRPr="00FD211F">
        <w:rPr>
          <w:sz w:val="36"/>
          <w:szCs w:val="36"/>
          <w:rtl/>
        </w:rPr>
        <w:t>ة</w:t>
      </w:r>
      <w:r w:rsidR="00E8128F">
        <w:rPr>
          <w:sz w:val="36"/>
          <w:szCs w:val="36"/>
          <w:rtl/>
        </w:rPr>
        <w:t xml:space="preserve"> </w:t>
      </w:r>
      <w:r w:rsidR="0054001F" w:rsidRPr="00FD211F">
        <w:rPr>
          <w:sz w:val="36"/>
          <w:szCs w:val="36"/>
          <w:rtl/>
        </w:rPr>
        <w:t>الى</w:t>
      </w:r>
      <w:r w:rsidR="00E8128F">
        <w:rPr>
          <w:sz w:val="36"/>
          <w:szCs w:val="36"/>
          <w:rtl/>
        </w:rPr>
        <w:t xml:space="preserve"> </w:t>
      </w:r>
      <w:r w:rsidR="0054001F" w:rsidRPr="00FD211F">
        <w:rPr>
          <w:sz w:val="36"/>
          <w:szCs w:val="36"/>
          <w:rtl/>
        </w:rPr>
        <w:t>الحدث</w:t>
      </w:r>
      <w:r w:rsidR="00E8128F">
        <w:rPr>
          <w:sz w:val="36"/>
          <w:szCs w:val="36"/>
          <w:rtl/>
        </w:rPr>
        <w:t xml:space="preserve"> </w:t>
      </w:r>
      <w:r w:rsidR="0054001F" w:rsidRPr="00FD211F">
        <w:rPr>
          <w:sz w:val="36"/>
          <w:szCs w:val="36"/>
          <w:rtl/>
        </w:rPr>
        <w:t>فوضع</w:t>
      </w:r>
      <w:r w:rsidRPr="00FD211F">
        <w:rPr>
          <w:sz w:val="36"/>
          <w:szCs w:val="36"/>
          <w:rtl/>
        </w:rPr>
        <w:t>ت</w:t>
      </w:r>
      <w:r w:rsidR="00E8128F">
        <w:rPr>
          <w:sz w:val="36"/>
          <w:szCs w:val="36"/>
          <w:rtl/>
        </w:rPr>
        <w:t xml:space="preserve"> </w:t>
      </w:r>
      <w:r w:rsidR="0054001F" w:rsidRPr="00FD211F">
        <w:rPr>
          <w:sz w:val="36"/>
          <w:szCs w:val="36"/>
          <w:rtl/>
        </w:rPr>
        <w:t>هيئ</w:t>
      </w:r>
      <w:r w:rsidR="00EC7EDF" w:rsidRPr="00FD211F">
        <w:rPr>
          <w:sz w:val="36"/>
          <w:szCs w:val="36"/>
          <w:rtl/>
        </w:rPr>
        <w:t>ة</w:t>
      </w:r>
      <w:r w:rsidR="00E8128F">
        <w:rPr>
          <w:sz w:val="36"/>
          <w:szCs w:val="36"/>
          <w:rtl/>
        </w:rPr>
        <w:t xml:space="preserve"> </w:t>
      </w:r>
      <w:r w:rsidR="0054001F" w:rsidRPr="00FD211F">
        <w:rPr>
          <w:sz w:val="36"/>
          <w:szCs w:val="36"/>
          <w:rtl/>
        </w:rPr>
        <w:t>مقتل</w:t>
      </w:r>
      <w:r w:rsidR="00E8128F">
        <w:rPr>
          <w:sz w:val="36"/>
          <w:szCs w:val="36"/>
          <w:rtl/>
        </w:rPr>
        <w:t xml:space="preserve"> </w:t>
      </w:r>
      <w:r w:rsidR="0054001F" w:rsidRPr="00FD211F">
        <w:rPr>
          <w:sz w:val="36"/>
          <w:szCs w:val="36"/>
          <w:rtl/>
        </w:rPr>
        <w:t>مثلا</w:t>
      </w:r>
      <w:r w:rsidR="00E8128F">
        <w:rPr>
          <w:sz w:val="36"/>
          <w:szCs w:val="36"/>
          <w:rtl/>
        </w:rPr>
        <w:t xml:space="preserve"> </w:t>
      </w:r>
      <w:r w:rsidR="0054001F" w:rsidRPr="00FD211F">
        <w:rPr>
          <w:sz w:val="36"/>
          <w:szCs w:val="36"/>
          <w:rtl/>
        </w:rPr>
        <w:t>بإزاء</w:t>
      </w:r>
      <w:r w:rsidR="00E8128F">
        <w:rPr>
          <w:sz w:val="36"/>
          <w:szCs w:val="36"/>
          <w:rtl/>
        </w:rPr>
        <w:t xml:space="preserve"> </w:t>
      </w:r>
      <w:r w:rsidR="0054001F" w:rsidRPr="00FD211F">
        <w:rPr>
          <w:sz w:val="36"/>
          <w:szCs w:val="36"/>
          <w:rtl/>
        </w:rPr>
        <w:t>ذات</w:t>
      </w:r>
      <w:r w:rsidR="00E8128F">
        <w:rPr>
          <w:sz w:val="36"/>
          <w:szCs w:val="36"/>
          <w:rtl/>
        </w:rPr>
        <w:t xml:space="preserve"> </w:t>
      </w:r>
      <w:r w:rsidR="0054001F" w:rsidRPr="00FD211F">
        <w:rPr>
          <w:sz w:val="36"/>
          <w:szCs w:val="36"/>
          <w:rtl/>
        </w:rPr>
        <w:t>منتسب</w:t>
      </w:r>
      <w:r w:rsidR="00EC7EDF" w:rsidRPr="00FD211F">
        <w:rPr>
          <w:sz w:val="36"/>
          <w:szCs w:val="36"/>
          <w:rtl/>
        </w:rPr>
        <w:t>ة</w:t>
      </w:r>
      <w:r w:rsidR="00E8128F">
        <w:rPr>
          <w:sz w:val="36"/>
          <w:szCs w:val="36"/>
          <w:rtl/>
        </w:rPr>
        <w:t xml:space="preserve"> </w:t>
      </w:r>
      <w:r w:rsidR="0054001F" w:rsidRPr="00FD211F">
        <w:rPr>
          <w:sz w:val="36"/>
          <w:szCs w:val="36"/>
          <w:rtl/>
        </w:rPr>
        <w:t>الى</w:t>
      </w:r>
      <w:r w:rsidR="00E8128F">
        <w:rPr>
          <w:sz w:val="36"/>
          <w:szCs w:val="36"/>
          <w:rtl/>
        </w:rPr>
        <w:t xml:space="preserve"> </w:t>
      </w:r>
      <w:r w:rsidR="00AD1127" w:rsidRPr="00FD211F">
        <w:rPr>
          <w:sz w:val="36"/>
          <w:szCs w:val="36"/>
          <w:rtl/>
        </w:rPr>
        <w:t>القتل</w:t>
      </w:r>
      <w:r w:rsidR="00E8128F">
        <w:rPr>
          <w:sz w:val="36"/>
          <w:szCs w:val="36"/>
          <w:rtl/>
        </w:rPr>
        <w:t xml:space="preserve"> </w:t>
      </w:r>
      <w:r w:rsidR="0054001F" w:rsidRPr="00FD211F">
        <w:rPr>
          <w:sz w:val="36"/>
          <w:szCs w:val="36"/>
          <w:rtl/>
        </w:rPr>
        <w:t>بنسب</w:t>
      </w:r>
      <w:r w:rsidR="00EC7EDF" w:rsidRPr="00FD211F">
        <w:rPr>
          <w:sz w:val="36"/>
          <w:szCs w:val="36"/>
          <w:rtl/>
        </w:rPr>
        <w:t>ة</w:t>
      </w:r>
      <w:r w:rsidR="00E8128F">
        <w:rPr>
          <w:sz w:val="36"/>
          <w:szCs w:val="36"/>
          <w:rtl/>
        </w:rPr>
        <w:t xml:space="preserve"> </w:t>
      </w:r>
      <w:r w:rsidR="00AD1127" w:rsidRPr="00FD211F">
        <w:rPr>
          <w:sz w:val="36"/>
          <w:szCs w:val="36"/>
          <w:rtl/>
        </w:rPr>
        <w:t>ظرفي</w:t>
      </w:r>
      <w:r w:rsidR="00EC7EDF" w:rsidRPr="00FD211F">
        <w:rPr>
          <w:sz w:val="36"/>
          <w:szCs w:val="36"/>
          <w:rtl/>
        </w:rPr>
        <w:t>ة</w:t>
      </w:r>
      <w:r w:rsidR="00E8128F">
        <w:rPr>
          <w:sz w:val="36"/>
          <w:szCs w:val="36"/>
          <w:rtl/>
        </w:rPr>
        <w:t xml:space="preserve"> </w:t>
      </w:r>
      <w:r w:rsidR="0054001F" w:rsidRPr="00FD211F">
        <w:rPr>
          <w:sz w:val="36"/>
          <w:szCs w:val="36"/>
          <w:rtl/>
        </w:rPr>
        <w:t>زماني</w:t>
      </w:r>
      <w:r w:rsidR="00EC7EDF" w:rsidRPr="00FD211F">
        <w:rPr>
          <w:sz w:val="36"/>
          <w:szCs w:val="36"/>
          <w:rtl/>
        </w:rPr>
        <w:t>ة</w:t>
      </w:r>
      <w:r w:rsidR="00E8128F">
        <w:rPr>
          <w:sz w:val="36"/>
          <w:szCs w:val="36"/>
          <w:rtl/>
        </w:rPr>
        <w:t xml:space="preserve"> </w:t>
      </w:r>
      <w:r w:rsidR="00AD1127" w:rsidRPr="00FD211F">
        <w:rPr>
          <w:sz w:val="36"/>
          <w:szCs w:val="36"/>
          <w:rtl/>
        </w:rPr>
        <w:t>او</w:t>
      </w:r>
      <w:r w:rsidR="00E8128F">
        <w:rPr>
          <w:sz w:val="36"/>
          <w:szCs w:val="36"/>
          <w:rtl/>
        </w:rPr>
        <w:t xml:space="preserve"> </w:t>
      </w:r>
      <w:r w:rsidR="00AD1127" w:rsidRPr="00FD211F">
        <w:rPr>
          <w:sz w:val="36"/>
          <w:szCs w:val="36"/>
          <w:rtl/>
        </w:rPr>
        <w:t>مكاني</w:t>
      </w:r>
      <w:r w:rsidR="00EC7EDF" w:rsidRPr="00FD211F">
        <w:rPr>
          <w:sz w:val="36"/>
          <w:szCs w:val="36"/>
          <w:rtl/>
        </w:rPr>
        <w:t>ة</w:t>
      </w:r>
      <w:r w:rsidR="00A61BAE" w:rsidRPr="00FD211F">
        <w:rPr>
          <w:sz w:val="36"/>
          <w:szCs w:val="36"/>
          <w:rtl/>
        </w:rPr>
        <w:t>.</w:t>
      </w:r>
    </w:p>
    <w:p w14:paraId="48EBAF61" w14:textId="77777777" w:rsidR="0054001F" w:rsidRPr="00FD211F" w:rsidRDefault="0054001F" w:rsidP="009C58C8">
      <w:pPr>
        <w:ind w:left="0" w:firstLine="227"/>
        <w:jc w:val="both"/>
        <w:rPr>
          <w:sz w:val="36"/>
          <w:szCs w:val="36"/>
          <w:rtl/>
        </w:rPr>
      </w:pPr>
      <w:r w:rsidRPr="00FD211F">
        <w:rPr>
          <w:sz w:val="36"/>
          <w:szCs w:val="36"/>
          <w:rtl/>
        </w:rPr>
        <w:t>قلت</w:t>
      </w:r>
      <w:r w:rsidR="00E43829" w:rsidRPr="00FD211F">
        <w:rPr>
          <w:sz w:val="36"/>
          <w:szCs w:val="36"/>
          <w:rtl/>
        </w:rPr>
        <w:t>:</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خلف</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قلنا</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الزمان</w:t>
      </w:r>
      <w:r w:rsidR="00E8128F">
        <w:rPr>
          <w:sz w:val="36"/>
          <w:szCs w:val="36"/>
          <w:rtl/>
        </w:rPr>
        <w:t xml:space="preserve"> </w:t>
      </w:r>
      <w:r w:rsidRPr="00FD211F">
        <w:rPr>
          <w:sz w:val="36"/>
          <w:szCs w:val="36"/>
          <w:rtl/>
        </w:rPr>
        <w:t>مغاير</w:t>
      </w:r>
      <w:r w:rsidR="00E8128F">
        <w:rPr>
          <w:sz w:val="36"/>
          <w:szCs w:val="36"/>
          <w:rtl/>
        </w:rPr>
        <w:t xml:space="preserve"> </w:t>
      </w:r>
      <w:r w:rsidRPr="00FD211F">
        <w:rPr>
          <w:sz w:val="36"/>
          <w:szCs w:val="36"/>
          <w:rtl/>
        </w:rPr>
        <w:t>ذاتا</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المكان</w:t>
      </w:r>
      <w:r w:rsidR="00E8128F">
        <w:rPr>
          <w:sz w:val="36"/>
          <w:szCs w:val="36"/>
          <w:rtl/>
        </w:rPr>
        <w:t xml:space="preserve"> </w:t>
      </w:r>
      <w:r w:rsidR="009C6FEB" w:rsidRPr="00FD211F">
        <w:rPr>
          <w:sz w:val="36"/>
          <w:szCs w:val="36"/>
          <w:rtl/>
        </w:rPr>
        <w:t>ولايوجد</w:t>
      </w:r>
      <w:r w:rsidR="00E8128F">
        <w:rPr>
          <w:sz w:val="36"/>
          <w:szCs w:val="36"/>
          <w:rtl/>
        </w:rPr>
        <w:t xml:space="preserve"> </w:t>
      </w:r>
      <w:r w:rsidR="009C6FEB" w:rsidRPr="00FD211F">
        <w:rPr>
          <w:sz w:val="36"/>
          <w:szCs w:val="36"/>
          <w:rtl/>
        </w:rPr>
        <w:t>جامع</w:t>
      </w:r>
      <w:r w:rsidR="00E8128F">
        <w:rPr>
          <w:sz w:val="36"/>
          <w:szCs w:val="36"/>
          <w:rtl/>
        </w:rPr>
        <w:t xml:space="preserve"> </w:t>
      </w:r>
      <w:r w:rsidR="009C6FEB" w:rsidRPr="00FD211F">
        <w:rPr>
          <w:sz w:val="36"/>
          <w:szCs w:val="36"/>
          <w:rtl/>
        </w:rPr>
        <w:t>مشترك</w:t>
      </w:r>
      <w:r w:rsidR="00E8128F">
        <w:rPr>
          <w:sz w:val="36"/>
          <w:szCs w:val="36"/>
          <w:rtl/>
        </w:rPr>
        <w:t xml:space="preserve"> </w:t>
      </w:r>
      <w:r w:rsidR="009C6FEB" w:rsidRPr="00FD211F">
        <w:rPr>
          <w:sz w:val="36"/>
          <w:szCs w:val="36"/>
          <w:rtl/>
        </w:rPr>
        <w:t>بينهما</w:t>
      </w:r>
      <w:r w:rsidR="00E8128F">
        <w:rPr>
          <w:sz w:val="36"/>
          <w:szCs w:val="36"/>
          <w:rtl/>
        </w:rPr>
        <w:t xml:space="preserve"> </w:t>
      </w:r>
      <w:r w:rsidR="009C6FEB" w:rsidRPr="00FD211F">
        <w:rPr>
          <w:sz w:val="36"/>
          <w:szCs w:val="36"/>
          <w:rtl/>
        </w:rPr>
        <w:t>يوضع</w:t>
      </w:r>
      <w:r w:rsidR="00E8128F">
        <w:rPr>
          <w:sz w:val="36"/>
          <w:szCs w:val="36"/>
          <w:rtl/>
        </w:rPr>
        <w:t xml:space="preserve"> </w:t>
      </w:r>
      <w:r w:rsidR="009C6FEB" w:rsidRPr="00FD211F">
        <w:rPr>
          <w:sz w:val="36"/>
          <w:szCs w:val="36"/>
          <w:rtl/>
        </w:rPr>
        <w:t>بإزاءه</w:t>
      </w:r>
      <w:r w:rsidR="00E8128F">
        <w:rPr>
          <w:sz w:val="36"/>
          <w:szCs w:val="36"/>
          <w:rtl/>
        </w:rPr>
        <w:t xml:space="preserve"> </w:t>
      </w:r>
      <w:r w:rsidR="009C6FEB" w:rsidRPr="00FD211F">
        <w:rPr>
          <w:sz w:val="36"/>
          <w:szCs w:val="36"/>
          <w:rtl/>
        </w:rPr>
        <w:t>هيئ</w:t>
      </w:r>
      <w:r w:rsidR="00EC7EDF" w:rsidRPr="00FD211F">
        <w:rPr>
          <w:sz w:val="36"/>
          <w:szCs w:val="36"/>
          <w:rtl/>
        </w:rPr>
        <w:t>ة</w:t>
      </w:r>
      <w:r w:rsidR="00E8128F">
        <w:rPr>
          <w:sz w:val="36"/>
          <w:szCs w:val="36"/>
          <w:rtl/>
        </w:rPr>
        <w:t xml:space="preserve"> </w:t>
      </w:r>
      <w:r w:rsidR="009C6FEB" w:rsidRPr="00FD211F">
        <w:rPr>
          <w:sz w:val="36"/>
          <w:szCs w:val="36"/>
          <w:rtl/>
        </w:rPr>
        <w:t>مفعل</w:t>
      </w:r>
      <w:r w:rsidR="00E8128F">
        <w:rPr>
          <w:sz w:val="36"/>
          <w:szCs w:val="36"/>
          <w:rtl/>
        </w:rPr>
        <w:t xml:space="preserve"> </w:t>
      </w:r>
      <w:r w:rsidR="009C6FEB" w:rsidRPr="00FD211F">
        <w:rPr>
          <w:sz w:val="36"/>
          <w:szCs w:val="36"/>
          <w:rtl/>
        </w:rPr>
        <w:t>ويستفاد</w:t>
      </w:r>
      <w:r w:rsidR="00E8128F">
        <w:rPr>
          <w:sz w:val="36"/>
          <w:szCs w:val="36"/>
          <w:rtl/>
        </w:rPr>
        <w:t xml:space="preserve"> </w:t>
      </w:r>
      <w:r w:rsidR="009C6FEB" w:rsidRPr="00FD211F">
        <w:rPr>
          <w:sz w:val="36"/>
          <w:szCs w:val="36"/>
          <w:rtl/>
        </w:rPr>
        <w:t>خصوصي</w:t>
      </w:r>
      <w:r w:rsidR="00EC7EDF" w:rsidRPr="00FD211F">
        <w:rPr>
          <w:sz w:val="36"/>
          <w:szCs w:val="36"/>
          <w:rtl/>
        </w:rPr>
        <w:t>ة</w:t>
      </w:r>
      <w:r w:rsidR="00E8128F">
        <w:rPr>
          <w:sz w:val="36"/>
          <w:szCs w:val="36"/>
          <w:rtl/>
        </w:rPr>
        <w:t xml:space="preserve"> </w:t>
      </w:r>
      <w:r w:rsidR="009C6FEB" w:rsidRPr="00FD211F">
        <w:rPr>
          <w:sz w:val="36"/>
          <w:szCs w:val="36"/>
          <w:rtl/>
        </w:rPr>
        <w:t>الزمان</w:t>
      </w:r>
      <w:r w:rsidR="00E8128F">
        <w:rPr>
          <w:sz w:val="36"/>
          <w:szCs w:val="36"/>
          <w:rtl/>
        </w:rPr>
        <w:t xml:space="preserve"> </w:t>
      </w:r>
      <w:r w:rsidR="009C6FEB" w:rsidRPr="00FD211F">
        <w:rPr>
          <w:sz w:val="36"/>
          <w:szCs w:val="36"/>
          <w:rtl/>
        </w:rPr>
        <w:t>او</w:t>
      </w:r>
      <w:r w:rsidR="00E8128F">
        <w:rPr>
          <w:sz w:val="36"/>
          <w:szCs w:val="36"/>
          <w:rtl/>
        </w:rPr>
        <w:t xml:space="preserve"> </w:t>
      </w:r>
      <w:r w:rsidR="009C6FEB" w:rsidRPr="00FD211F">
        <w:rPr>
          <w:sz w:val="36"/>
          <w:szCs w:val="36"/>
          <w:rtl/>
        </w:rPr>
        <w:t>المكان</w:t>
      </w:r>
      <w:r w:rsidR="00E8128F">
        <w:rPr>
          <w:sz w:val="36"/>
          <w:szCs w:val="36"/>
          <w:rtl/>
        </w:rPr>
        <w:t xml:space="preserve"> </w:t>
      </w:r>
      <w:r w:rsidR="009C6FEB" w:rsidRPr="00FD211F">
        <w:rPr>
          <w:sz w:val="36"/>
          <w:szCs w:val="36"/>
          <w:rtl/>
        </w:rPr>
        <w:t>من</w:t>
      </w:r>
      <w:r w:rsidR="00E8128F">
        <w:rPr>
          <w:sz w:val="36"/>
          <w:szCs w:val="36"/>
          <w:rtl/>
        </w:rPr>
        <w:t xml:space="preserve"> </w:t>
      </w:r>
      <w:r w:rsidR="009C6FEB" w:rsidRPr="00FD211F">
        <w:rPr>
          <w:sz w:val="36"/>
          <w:szCs w:val="36"/>
          <w:rtl/>
        </w:rPr>
        <w:t>دال</w:t>
      </w:r>
      <w:r w:rsidR="00E8128F">
        <w:rPr>
          <w:sz w:val="36"/>
          <w:szCs w:val="36"/>
          <w:rtl/>
        </w:rPr>
        <w:t xml:space="preserve"> </w:t>
      </w:r>
      <w:r w:rsidR="009C6FEB" w:rsidRPr="00FD211F">
        <w:rPr>
          <w:sz w:val="36"/>
          <w:szCs w:val="36"/>
          <w:rtl/>
        </w:rPr>
        <w:t>آخر</w:t>
      </w:r>
      <w:r w:rsidR="009C58C8" w:rsidRPr="00FD211F">
        <w:rPr>
          <w:rStyle w:val="a6"/>
          <w:sz w:val="36"/>
          <w:szCs w:val="36"/>
          <w:rtl/>
        </w:rPr>
        <w:t>(</w:t>
      </w:r>
      <w:r w:rsidR="009C58C8" w:rsidRPr="00FD211F">
        <w:rPr>
          <w:rStyle w:val="a6"/>
          <w:sz w:val="36"/>
          <w:szCs w:val="36"/>
          <w:rtl/>
        </w:rPr>
        <w:footnoteReference w:id="528"/>
      </w:r>
      <w:r w:rsidR="009C58C8" w:rsidRPr="00FD211F">
        <w:rPr>
          <w:rStyle w:val="a6"/>
          <w:sz w:val="36"/>
          <w:szCs w:val="36"/>
          <w:rtl/>
        </w:rPr>
        <w:t>)</w:t>
      </w:r>
      <w:r w:rsidR="009C6FEB" w:rsidRPr="00FD211F">
        <w:rPr>
          <w:sz w:val="36"/>
          <w:szCs w:val="36"/>
          <w:rtl/>
        </w:rPr>
        <w:t>.</w:t>
      </w:r>
    </w:p>
    <w:p w14:paraId="14B4067D" w14:textId="77777777" w:rsidR="000C5BBA" w:rsidRPr="00FD211F" w:rsidRDefault="009C6FEB" w:rsidP="002A6FB2">
      <w:pPr>
        <w:ind w:left="0" w:firstLine="227"/>
        <w:jc w:val="both"/>
        <w:rPr>
          <w:sz w:val="36"/>
          <w:szCs w:val="36"/>
          <w:rtl/>
        </w:rPr>
      </w:pPr>
      <w:r w:rsidRPr="00FD211F">
        <w:rPr>
          <w:sz w:val="36"/>
          <w:szCs w:val="36"/>
          <w:rtl/>
        </w:rPr>
        <w:t>و</w:t>
      </w:r>
      <w:r w:rsidR="00C10D0D" w:rsidRPr="00FD211F">
        <w:rPr>
          <w:sz w:val="36"/>
          <w:szCs w:val="36"/>
          <w:rtl/>
        </w:rPr>
        <w:t>يرد</w:t>
      </w:r>
      <w:r w:rsidR="00E8128F">
        <w:rPr>
          <w:sz w:val="36"/>
          <w:szCs w:val="36"/>
          <w:rtl/>
        </w:rPr>
        <w:t xml:space="preserve"> </w:t>
      </w:r>
      <w:r w:rsidR="00C10D0D" w:rsidRPr="00FD211F">
        <w:rPr>
          <w:sz w:val="36"/>
          <w:szCs w:val="36"/>
          <w:rtl/>
        </w:rPr>
        <w:t>على</w:t>
      </w:r>
      <w:r w:rsidR="00E8128F">
        <w:rPr>
          <w:sz w:val="36"/>
          <w:szCs w:val="36"/>
          <w:rtl/>
        </w:rPr>
        <w:t xml:space="preserve"> </w:t>
      </w:r>
      <w:r w:rsidR="00C10D0D" w:rsidRPr="00FD211F">
        <w:rPr>
          <w:sz w:val="36"/>
          <w:szCs w:val="36"/>
          <w:rtl/>
        </w:rPr>
        <w:t>ما</w:t>
      </w:r>
      <w:r w:rsidR="00E8128F">
        <w:rPr>
          <w:sz w:val="36"/>
          <w:szCs w:val="36"/>
          <w:rtl/>
        </w:rPr>
        <w:t xml:space="preserve"> </w:t>
      </w:r>
      <w:r w:rsidR="00C10D0D" w:rsidRPr="00FD211F">
        <w:rPr>
          <w:sz w:val="36"/>
          <w:szCs w:val="36"/>
          <w:rtl/>
        </w:rPr>
        <w:t>ذكره</w:t>
      </w:r>
      <w:r w:rsidR="00E8128F">
        <w:rPr>
          <w:sz w:val="36"/>
          <w:szCs w:val="36"/>
          <w:rtl/>
        </w:rPr>
        <w:t xml:space="preserve"> </w:t>
      </w:r>
      <w:r w:rsidR="00C10D0D" w:rsidRPr="00FD211F">
        <w:rPr>
          <w:sz w:val="36"/>
          <w:szCs w:val="36"/>
          <w:rtl/>
        </w:rPr>
        <w:t>في</w:t>
      </w:r>
      <w:r w:rsidR="00E8128F">
        <w:rPr>
          <w:sz w:val="36"/>
          <w:szCs w:val="36"/>
          <w:rtl/>
        </w:rPr>
        <w:t xml:space="preserve"> </w:t>
      </w:r>
      <w:r w:rsidR="00C10D0D" w:rsidRPr="00FD211F">
        <w:rPr>
          <w:sz w:val="36"/>
          <w:szCs w:val="36"/>
          <w:rtl/>
        </w:rPr>
        <w:t>البحوث</w:t>
      </w:r>
      <w:r w:rsidR="00E8128F">
        <w:rPr>
          <w:sz w:val="36"/>
          <w:szCs w:val="36"/>
          <w:rtl/>
        </w:rPr>
        <w:t xml:space="preserve"> </w:t>
      </w:r>
      <w:r w:rsidR="00A772DF" w:rsidRPr="00FD211F">
        <w:rPr>
          <w:b/>
          <w:bCs/>
          <w:sz w:val="36"/>
          <w:szCs w:val="36"/>
          <w:rtl/>
        </w:rPr>
        <w:t>اولا</w:t>
      </w:r>
      <w:r w:rsidR="00B74B32" w:rsidRPr="00FD211F">
        <w:rPr>
          <w:sz w:val="36"/>
          <w:szCs w:val="36"/>
          <w:rtl/>
        </w:rPr>
        <w:t>:</w:t>
      </w:r>
      <w:r w:rsidR="00E8128F">
        <w:rPr>
          <w:sz w:val="36"/>
          <w:szCs w:val="36"/>
          <w:rtl/>
        </w:rPr>
        <w:t xml:space="preserve"> </w:t>
      </w:r>
      <w:r w:rsidR="00C10D0D" w:rsidRPr="00FD211F">
        <w:rPr>
          <w:sz w:val="36"/>
          <w:szCs w:val="36"/>
          <w:rtl/>
        </w:rPr>
        <w:t>انه</w:t>
      </w:r>
      <w:r w:rsidR="00E8128F">
        <w:rPr>
          <w:sz w:val="36"/>
          <w:szCs w:val="36"/>
          <w:rtl/>
        </w:rPr>
        <w:t xml:space="preserve"> </w:t>
      </w:r>
      <w:r w:rsidR="00C10D0D" w:rsidRPr="00FD211F">
        <w:rPr>
          <w:sz w:val="36"/>
          <w:szCs w:val="36"/>
          <w:rtl/>
        </w:rPr>
        <w:t>يكفي</w:t>
      </w:r>
      <w:r w:rsidR="00E8128F">
        <w:rPr>
          <w:sz w:val="36"/>
          <w:szCs w:val="36"/>
          <w:rtl/>
        </w:rPr>
        <w:t xml:space="preserve"> </w:t>
      </w:r>
      <w:r w:rsidR="00C10D0D" w:rsidRPr="00FD211F">
        <w:rPr>
          <w:sz w:val="36"/>
          <w:szCs w:val="36"/>
          <w:rtl/>
        </w:rPr>
        <w:t>وجود</w:t>
      </w:r>
      <w:r w:rsidR="00E8128F">
        <w:rPr>
          <w:sz w:val="36"/>
          <w:szCs w:val="36"/>
          <w:rtl/>
        </w:rPr>
        <w:t xml:space="preserve"> </w:t>
      </w:r>
      <w:r w:rsidRPr="00FD211F">
        <w:rPr>
          <w:sz w:val="36"/>
          <w:szCs w:val="36"/>
          <w:rtl/>
        </w:rPr>
        <w:t>جامع</w:t>
      </w:r>
      <w:r w:rsidR="00E8128F">
        <w:rPr>
          <w:sz w:val="36"/>
          <w:szCs w:val="36"/>
          <w:rtl/>
        </w:rPr>
        <w:t xml:space="preserve"> </w:t>
      </w:r>
      <w:r w:rsidRPr="00FD211F">
        <w:rPr>
          <w:sz w:val="36"/>
          <w:szCs w:val="36"/>
          <w:rtl/>
        </w:rPr>
        <w:t>عرفي</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المكان</w:t>
      </w:r>
      <w:r w:rsidR="00E8128F">
        <w:rPr>
          <w:sz w:val="36"/>
          <w:szCs w:val="36"/>
          <w:rtl/>
        </w:rPr>
        <w:t xml:space="preserve"> </w:t>
      </w:r>
      <w:r w:rsidRPr="00FD211F">
        <w:rPr>
          <w:sz w:val="36"/>
          <w:szCs w:val="36"/>
          <w:rtl/>
        </w:rPr>
        <w:t>والزمان</w:t>
      </w:r>
      <w:r w:rsidR="00E8128F">
        <w:rPr>
          <w:sz w:val="36"/>
          <w:szCs w:val="36"/>
          <w:rtl/>
        </w:rPr>
        <w:t xml:space="preserve"> </w:t>
      </w:r>
      <w:r w:rsidR="0093411C" w:rsidRPr="00FD211F">
        <w:rPr>
          <w:sz w:val="36"/>
          <w:szCs w:val="36"/>
          <w:rtl/>
        </w:rPr>
        <w:t>فيوضع</w:t>
      </w:r>
      <w:r w:rsidR="00E8128F">
        <w:rPr>
          <w:sz w:val="36"/>
          <w:szCs w:val="36"/>
          <w:rtl/>
        </w:rPr>
        <w:t xml:space="preserve"> </w:t>
      </w:r>
      <w:r w:rsidR="0093411C" w:rsidRPr="00FD211F">
        <w:rPr>
          <w:sz w:val="36"/>
          <w:szCs w:val="36"/>
          <w:rtl/>
        </w:rPr>
        <w:t>هيئ</w:t>
      </w:r>
      <w:r w:rsidR="00EC7EDF" w:rsidRPr="00FD211F">
        <w:rPr>
          <w:sz w:val="36"/>
          <w:szCs w:val="36"/>
          <w:rtl/>
        </w:rPr>
        <w:t>ة</w:t>
      </w:r>
      <w:r w:rsidR="00E8128F">
        <w:rPr>
          <w:sz w:val="36"/>
          <w:szCs w:val="36"/>
          <w:rtl/>
        </w:rPr>
        <w:t xml:space="preserve"> </w:t>
      </w:r>
      <w:r w:rsidR="0093411C" w:rsidRPr="00FD211F">
        <w:rPr>
          <w:sz w:val="36"/>
          <w:szCs w:val="36"/>
          <w:rtl/>
        </w:rPr>
        <w:t>المفعل</w:t>
      </w:r>
      <w:r w:rsidR="00E8128F">
        <w:rPr>
          <w:sz w:val="36"/>
          <w:szCs w:val="36"/>
          <w:rtl/>
        </w:rPr>
        <w:t xml:space="preserve"> </w:t>
      </w:r>
      <w:r w:rsidR="0093411C" w:rsidRPr="00FD211F">
        <w:rPr>
          <w:sz w:val="36"/>
          <w:szCs w:val="36"/>
          <w:rtl/>
        </w:rPr>
        <w:t>لكل</w:t>
      </w:r>
      <w:r w:rsidR="00E8128F">
        <w:rPr>
          <w:sz w:val="36"/>
          <w:szCs w:val="36"/>
          <w:rtl/>
        </w:rPr>
        <w:t xml:space="preserve"> </w:t>
      </w:r>
      <w:r w:rsidR="0093411C" w:rsidRPr="00FD211F">
        <w:rPr>
          <w:sz w:val="36"/>
          <w:szCs w:val="36"/>
          <w:rtl/>
        </w:rPr>
        <w:t>ماوقع</w:t>
      </w:r>
      <w:r w:rsidR="00E8128F">
        <w:rPr>
          <w:sz w:val="36"/>
          <w:szCs w:val="36"/>
          <w:rtl/>
        </w:rPr>
        <w:t xml:space="preserve"> </w:t>
      </w:r>
      <w:r w:rsidR="0093411C" w:rsidRPr="00FD211F">
        <w:rPr>
          <w:sz w:val="36"/>
          <w:szCs w:val="36"/>
          <w:rtl/>
        </w:rPr>
        <w:t>فيه</w:t>
      </w:r>
      <w:r w:rsidR="00E8128F">
        <w:rPr>
          <w:sz w:val="36"/>
          <w:szCs w:val="36"/>
          <w:rtl/>
        </w:rPr>
        <w:t xml:space="preserve"> </w:t>
      </w:r>
      <w:r w:rsidR="0093411C" w:rsidRPr="00FD211F">
        <w:rPr>
          <w:sz w:val="36"/>
          <w:szCs w:val="36"/>
          <w:rtl/>
        </w:rPr>
        <w:t>الفعل</w:t>
      </w:r>
      <w:r w:rsidR="00603323" w:rsidRPr="00FD211F">
        <w:rPr>
          <w:sz w:val="36"/>
          <w:szCs w:val="36"/>
          <w:rtl/>
        </w:rPr>
        <w:t>،</w:t>
      </w:r>
      <w:r w:rsidR="00E8128F">
        <w:rPr>
          <w:sz w:val="36"/>
          <w:szCs w:val="36"/>
          <w:rtl/>
        </w:rPr>
        <w:t xml:space="preserve"> </w:t>
      </w:r>
      <w:r w:rsidR="0093411C" w:rsidRPr="00FD211F">
        <w:rPr>
          <w:sz w:val="36"/>
          <w:szCs w:val="36"/>
          <w:rtl/>
        </w:rPr>
        <w:t>فيقال</w:t>
      </w:r>
      <w:r w:rsidR="00E8128F">
        <w:rPr>
          <w:sz w:val="36"/>
          <w:szCs w:val="36"/>
          <w:rtl/>
        </w:rPr>
        <w:t xml:space="preserve"> </w:t>
      </w:r>
      <w:r w:rsidR="0093411C" w:rsidRPr="00FD211F">
        <w:rPr>
          <w:sz w:val="36"/>
          <w:szCs w:val="36"/>
          <w:rtl/>
        </w:rPr>
        <w:t>يوم</w:t>
      </w:r>
      <w:r w:rsidR="00E8128F">
        <w:rPr>
          <w:sz w:val="36"/>
          <w:szCs w:val="36"/>
          <w:rtl/>
        </w:rPr>
        <w:t xml:space="preserve"> </w:t>
      </w:r>
      <w:r w:rsidR="0093411C" w:rsidRPr="00FD211F">
        <w:rPr>
          <w:sz w:val="36"/>
          <w:szCs w:val="36"/>
          <w:rtl/>
        </w:rPr>
        <w:t>عاشوراء</w:t>
      </w:r>
      <w:r w:rsidR="00E8128F">
        <w:rPr>
          <w:sz w:val="36"/>
          <w:szCs w:val="36"/>
          <w:rtl/>
        </w:rPr>
        <w:t xml:space="preserve"> </w:t>
      </w:r>
      <w:r w:rsidR="0093411C" w:rsidRPr="00FD211F">
        <w:rPr>
          <w:sz w:val="36"/>
          <w:szCs w:val="36"/>
          <w:rtl/>
        </w:rPr>
        <w:t>مقتل</w:t>
      </w:r>
      <w:r w:rsidR="00E8128F">
        <w:rPr>
          <w:sz w:val="36"/>
          <w:szCs w:val="36"/>
          <w:rtl/>
        </w:rPr>
        <w:t xml:space="preserve"> </w:t>
      </w:r>
      <w:r w:rsidR="0093411C" w:rsidRPr="00FD211F">
        <w:rPr>
          <w:sz w:val="36"/>
          <w:szCs w:val="36"/>
          <w:rtl/>
        </w:rPr>
        <w:t>الحسين</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E43829" w:rsidRPr="00FD211F">
        <w:rPr>
          <w:sz w:val="36"/>
          <w:szCs w:val="36"/>
          <w:rtl/>
        </w:rPr>
        <w:t>ب</w:t>
      </w:r>
      <w:r w:rsidR="0093411C" w:rsidRPr="00FD211F">
        <w:rPr>
          <w:sz w:val="36"/>
          <w:szCs w:val="36"/>
          <w:rtl/>
        </w:rPr>
        <w:t>اعتبار</w:t>
      </w:r>
      <w:r w:rsidR="00E8128F">
        <w:rPr>
          <w:sz w:val="36"/>
          <w:szCs w:val="36"/>
          <w:rtl/>
        </w:rPr>
        <w:t xml:space="preserve"> </w:t>
      </w:r>
      <w:r w:rsidR="0093411C" w:rsidRPr="00FD211F">
        <w:rPr>
          <w:sz w:val="36"/>
          <w:szCs w:val="36"/>
          <w:rtl/>
        </w:rPr>
        <w:t>انه</w:t>
      </w:r>
      <w:r w:rsidR="00E8128F">
        <w:rPr>
          <w:sz w:val="36"/>
          <w:szCs w:val="36"/>
          <w:rtl/>
        </w:rPr>
        <w:t xml:space="preserve"> </w:t>
      </w:r>
      <w:r w:rsidR="0093411C" w:rsidRPr="00FD211F">
        <w:rPr>
          <w:sz w:val="36"/>
          <w:szCs w:val="36"/>
          <w:rtl/>
        </w:rPr>
        <w:t>يوم</w:t>
      </w:r>
      <w:r w:rsidR="00E8128F">
        <w:rPr>
          <w:sz w:val="36"/>
          <w:szCs w:val="36"/>
          <w:rtl/>
        </w:rPr>
        <w:t xml:space="preserve"> </w:t>
      </w:r>
      <w:r w:rsidR="0093411C" w:rsidRPr="00FD211F">
        <w:rPr>
          <w:sz w:val="36"/>
          <w:szCs w:val="36"/>
          <w:rtl/>
        </w:rPr>
        <w:t>قتل</w:t>
      </w:r>
      <w:r w:rsidR="00E8128F">
        <w:rPr>
          <w:sz w:val="36"/>
          <w:szCs w:val="36"/>
          <w:rtl/>
        </w:rPr>
        <w:t xml:space="preserve"> </w:t>
      </w:r>
      <w:r w:rsidR="0093411C" w:rsidRPr="00FD211F">
        <w:rPr>
          <w:sz w:val="36"/>
          <w:szCs w:val="36"/>
          <w:rtl/>
        </w:rPr>
        <w:t>فيه</w:t>
      </w:r>
      <w:r w:rsidR="00E8128F">
        <w:rPr>
          <w:sz w:val="36"/>
          <w:szCs w:val="36"/>
          <w:rtl/>
        </w:rPr>
        <w:t xml:space="preserve"> </w:t>
      </w:r>
      <w:r w:rsidR="0093411C" w:rsidRPr="00FD211F">
        <w:rPr>
          <w:sz w:val="36"/>
          <w:szCs w:val="36"/>
          <w:rtl/>
        </w:rPr>
        <w:t>الحسين</w:t>
      </w:r>
      <w:r w:rsidR="00E8128F">
        <w:rPr>
          <w:sz w:val="36"/>
          <w:szCs w:val="36"/>
          <w:rtl/>
        </w:rPr>
        <w:t xml:space="preserve"> </w:t>
      </w:r>
      <w:r w:rsidR="007A4A0D" w:rsidRPr="00FD211F">
        <w:rPr>
          <w:sz w:val="36"/>
          <w:szCs w:val="36"/>
          <w:rtl/>
        </w:rPr>
        <w:t>(عليه‌السلام)</w:t>
      </w:r>
      <w:r w:rsidR="0093411C" w:rsidRPr="00FD211F">
        <w:rPr>
          <w:sz w:val="36"/>
          <w:szCs w:val="36"/>
          <w:rtl/>
        </w:rPr>
        <w:t>كما</w:t>
      </w:r>
      <w:r w:rsidR="00E8128F">
        <w:rPr>
          <w:sz w:val="36"/>
          <w:szCs w:val="36"/>
          <w:rtl/>
        </w:rPr>
        <w:t xml:space="preserve"> </w:t>
      </w:r>
      <w:r w:rsidR="0093411C" w:rsidRPr="00FD211F">
        <w:rPr>
          <w:sz w:val="36"/>
          <w:szCs w:val="36"/>
          <w:rtl/>
        </w:rPr>
        <w:t>يقال</w:t>
      </w:r>
      <w:r w:rsidR="00E8128F">
        <w:rPr>
          <w:sz w:val="36"/>
          <w:szCs w:val="36"/>
          <w:rtl/>
        </w:rPr>
        <w:t xml:space="preserve"> </w:t>
      </w:r>
      <w:r w:rsidR="0093411C" w:rsidRPr="00FD211F">
        <w:rPr>
          <w:sz w:val="36"/>
          <w:szCs w:val="36"/>
          <w:rtl/>
        </w:rPr>
        <w:t>كربلامقتل</w:t>
      </w:r>
      <w:r w:rsidR="00E8128F">
        <w:rPr>
          <w:sz w:val="36"/>
          <w:szCs w:val="36"/>
          <w:rtl/>
        </w:rPr>
        <w:t xml:space="preserve"> </w:t>
      </w:r>
      <w:r w:rsidR="0093411C" w:rsidRPr="00FD211F">
        <w:rPr>
          <w:sz w:val="36"/>
          <w:szCs w:val="36"/>
          <w:rtl/>
        </w:rPr>
        <w:t>الحسين</w:t>
      </w:r>
      <w:r w:rsidR="00E8128F">
        <w:rPr>
          <w:sz w:val="36"/>
          <w:szCs w:val="36"/>
          <w:rtl/>
        </w:rPr>
        <w:t xml:space="preserve"> </w:t>
      </w:r>
      <w:r w:rsidR="007A4A0D" w:rsidRPr="00FD211F">
        <w:rPr>
          <w:sz w:val="36"/>
          <w:szCs w:val="36"/>
          <w:rtl/>
        </w:rPr>
        <w:t>(عليه‌السلام)</w:t>
      </w:r>
      <w:r w:rsidR="002A6FB2">
        <w:rPr>
          <w:rFonts w:hint="cs"/>
          <w:sz w:val="36"/>
          <w:szCs w:val="36"/>
          <w:rtl/>
        </w:rPr>
        <w:t xml:space="preserve"> </w:t>
      </w:r>
      <w:r w:rsidR="0093411C" w:rsidRPr="00FD211F">
        <w:rPr>
          <w:sz w:val="36"/>
          <w:szCs w:val="36"/>
          <w:rtl/>
        </w:rPr>
        <w:t>باعتبار</w:t>
      </w:r>
      <w:r w:rsidR="00E8128F">
        <w:rPr>
          <w:sz w:val="36"/>
          <w:szCs w:val="36"/>
          <w:rtl/>
        </w:rPr>
        <w:t xml:space="preserve"> </w:t>
      </w:r>
      <w:r w:rsidR="0093411C" w:rsidRPr="00FD211F">
        <w:rPr>
          <w:sz w:val="36"/>
          <w:szCs w:val="36"/>
          <w:rtl/>
        </w:rPr>
        <w:t>انه</w:t>
      </w:r>
      <w:r w:rsidR="00E8128F">
        <w:rPr>
          <w:sz w:val="36"/>
          <w:szCs w:val="36"/>
          <w:rtl/>
        </w:rPr>
        <w:t xml:space="preserve"> </w:t>
      </w:r>
      <w:r w:rsidR="0093411C" w:rsidRPr="00FD211F">
        <w:rPr>
          <w:sz w:val="36"/>
          <w:szCs w:val="36"/>
          <w:rtl/>
        </w:rPr>
        <w:t>مكان</w:t>
      </w:r>
      <w:r w:rsidR="00E8128F">
        <w:rPr>
          <w:sz w:val="36"/>
          <w:szCs w:val="36"/>
          <w:rtl/>
        </w:rPr>
        <w:t xml:space="preserve"> </w:t>
      </w:r>
      <w:r w:rsidR="0093411C" w:rsidRPr="00FD211F">
        <w:rPr>
          <w:sz w:val="36"/>
          <w:szCs w:val="36"/>
          <w:rtl/>
        </w:rPr>
        <w:t>قتل</w:t>
      </w:r>
      <w:r w:rsidR="00E8128F">
        <w:rPr>
          <w:sz w:val="36"/>
          <w:szCs w:val="36"/>
          <w:rtl/>
        </w:rPr>
        <w:t xml:space="preserve"> </w:t>
      </w:r>
      <w:r w:rsidR="0093411C" w:rsidRPr="00FD211F">
        <w:rPr>
          <w:sz w:val="36"/>
          <w:szCs w:val="36"/>
          <w:rtl/>
        </w:rPr>
        <w:t>فيه</w:t>
      </w:r>
      <w:r w:rsidR="00E8128F">
        <w:rPr>
          <w:sz w:val="36"/>
          <w:szCs w:val="36"/>
          <w:rtl/>
        </w:rPr>
        <w:t xml:space="preserve"> </w:t>
      </w:r>
      <w:r w:rsidR="0093411C" w:rsidRPr="00FD211F">
        <w:rPr>
          <w:sz w:val="36"/>
          <w:szCs w:val="36"/>
          <w:rtl/>
        </w:rPr>
        <w:t>الحسين</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AD1127" w:rsidRPr="00FD211F">
        <w:rPr>
          <w:sz w:val="36"/>
          <w:szCs w:val="36"/>
          <w:rtl/>
        </w:rPr>
        <w:t>ومجرد</w:t>
      </w:r>
      <w:r w:rsidR="00E8128F">
        <w:rPr>
          <w:sz w:val="36"/>
          <w:szCs w:val="36"/>
          <w:rtl/>
        </w:rPr>
        <w:t xml:space="preserve"> </w:t>
      </w:r>
      <w:r w:rsidR="00A63DAC" w:rsidRPr="00FD211F">
        <w:rPr>
          <w:sz w:val="36"/>
          <w:szCs w:val="36"/>
          <w:rtl/>
        </w:rPr>
        <w:t>عدم</w:t>
      </w:r>
      <w:r w:rsidR="00E8128F">
        <w:rPr>
          <w:sz w:val="36"/>
          <w:szCs w:val="36"/>
          <w:rtl/>
        </w:rPr>
        <w:t xml:space="preserve"> </w:t>
      </w:r>
      <w:r w:rsidR="00A63DAC" w:rsidRPr="00FD211F">
        <w:rPr>
          <w:sz w:val="36"/>
          <w:szCs w:val="36"/>
          <w:rtl/>
        </w:rPr>
        <w:t>جامع</w:t>
      </w:r>
      <w:r w:rsidR="00E8128F">
        <w:rPr>
          <w:sz w:val="36"/>
          <w:szCs w:val="36"/>
          <w:rtl/>
        </w:rPr>
        <w:t xml:space="preserve"> </w:t>
      </w:r>
      <w:r w:rsidR="00A63DAC" w:rsidRPr="00FD211F">
        <w:rPr>
          <w:sz w:val="36"/>
          <w:szCs w:val="36"/>
          <w:rtl/>
        </w:rPr>
        <w:t>حقيقي</w:t>
      </w:r>
      <w:r w:rsidR="00E8128F">
        <w:rPr>
          <w:sz w:val="36"/>
          <w:szCs w:val="36"/>
          <w:rtl/>
        </w:rPr>
        <w:t xml:space="preserve"> </w:t>
      </w:r>
      <w:r w:rsidR="00A63DAC" w:rsidRPr="00FD211F">
        <w:rPr>
          <w:sz w:val="36"/>
          <w:szCs w:val="36"/>
          <w:rtl/>
        </w:rPr>
        <w:t>بين</w:t>
      </w:r>
      <w:r w:rsidR="00E8128F">
        <w:rPr>
          <w:sz w:val="36"/>
          <w:szCs w:val="36"/>
          <w:rtl/>
        </w:rPr>
        <w:t xml:space="preserve"> </w:t>
      </w:r>
      <w:r w:rsidR="00A63DAC" w:rsidRPr="00FD211F">
        <w:rPr>
          <w:sz w:val="36"/>
          <w:szCs w:val="36"/>
          <w:rtl/>
        </w:rPr>
        <w:t>مقول</w:t>
      </w:r>
      <w:r w:rsidR="00EC7EDF" w:rsidRPr="00FD211F">
        <w:rPr>
          <w:sz w:val="36"/>
          <w:szCs w:val="36"/>
          <w:rtl/>
        </w:rPr>
        <w:t>ة</w:t>
      </w:r>
      <w:r w:rsidR="00E8128F">
        <w:rPr>
          <w:sz w:val="36"/>
          <w:szCs w:val="36"/>
          <w:rtl/>
        </w:rPr>
        <w:t xml:space="preserve"> </w:t>
      </w:r>
      <w:r w:rsidR="00A772DF" w:rsidRPr="00FD211F">
        <w:rPr>
          <w:sz w:val="36"/>
          <w:szCs w:val="36"/>
          <w:rtl/>
        </w:rPr>
        <w:t>ال</w:t>
      </w:r>
      <w:r w:rsidR="00B74B32" w:rsidRPr="00FD211F">
        <w:rPr>
          <w:sz w:val="36"/>
          <w:szCs w:val="36"/>
          <w:rtl/>
        </w:rPr>
        <w:t>اين</w:t>
      </w:r>
      <w:r w:rsidR="00E8128F">
        <w:rPr>
          <w:sz w:val="36"/>
          <w:szCs w:val="36"/>
          <w:rtl/>
        </w:rPr>
        <w:t xml:space="preserve"> </w:t>
      </w:r>
      <w:r w:rsidR="00B74B32" w:rsidRPr="00FD211F">
        <w:rPr>
          <w:sz w:val="36"/>
          <w:szCs w:val="36"/>
          <w:rtl/>
        </w:rPr>
        <w:t>ومتى</w:t>
      </w:r>
      <w:r w:rsidR="00E8128F">
        <w:rPr>
          <w:sz w:val="36"/>
          <w:szCs w:val="36"/>
          <w:rtl/>
        </w:rPr>
        <w:t xml:space="preserve"> </w:t>
      </w:r>
      <w:r w:rsidR="00B74B32" w:rsidRPr="00FD211F">
        <w:rPr>
          <w:sz w:val="36"/>
          <w:szCs w:val="36"/>
          <w:rtl/>
        </w:rPr>
        <w:t>لو</w:t>
      </w:r>
      <w:r w:rsidR="00E8128F">
        <w:rPr>
          <w:sz w:val="36"/>
          <w:szCs w:val="36"/>
          <w:rtl/>
        </w:rPr>
        <w:t xml:space="preserve"> </w:t>
      </w:r>
      <w:r w:rsidR="00B74B32" w:rsidRPr="00FD211F">
        <w:rPr>
          <w:sz w:val="36"/>
          <w:szCs w:val="36"/>
          <w:rtl/>
        </w:rPr>
        <w:t>سلم</w:t>
      </w:r>
      <w:r w:rsidR="00E8128F">
        <w:rPr>
          <w:sz w:val="36"/>
          <w:szCs w:val="36"/>
          <w:rtl/>
        </w:rPr>
        <w:t xml:space="preserve"> </w:t>
      </w:r>
      <w:r w:rsidR="00B74B32" w:rsidRPr="00FD211F">
        <w:rPr>
          <w:sz w:val="36"/>
          <w:szCs w:val="36"/>
          <w:rtl/>
        </w:rPr>
        <w:t>لايمنع</w:t>
      </w:r>
      <w:r w:rsidR="00E8128F">
        <w:rPr>
          <w:sz w:val="36"/>
          <w:szCs w:val="36"/>
          <w:rtl/>
        </w:rPr>
        <w:t xml:space="preserve"> </w:t>
      </w:r>
      <w:r w:rsidR="00B74B32" w:rsidRPr="00FD211F">
        <w:rPr>
          <w:sz w:val="36"/>
          <w:szCs w:val="36"/>
          <w:rtl/>
        </w:rPr>
        <w:t>من</w:t>
      </w:r>
      <w:r w:rsidR="00E8128F">
        <w:rPr>
          <w:sz w:val="36"/>
          <w:szCs w:val="36"/>
          <w:rtl/>
        </w:rPr>
        <w:t xml:space="preserve"> </w:t>
      </w:r>
      <w:r w:rsidR="00A63DAC" w:rsidRPr="00FD211F">
        <w:rPr>
          <w:sz w:val="36"/>
          <w:szCs w:val="36"/>
          <w:rtl/>
        </w:rPr>
        <w:t>تصوير</w:t>
      </w:r>
      <w:r w:rsidR="00E8128F">
        <w:rPr>
          <w:sz w:val="36"/>
          <w:szCs w:val="36"/>
          <w:rtl/>
        </w:rPr>
        <w:t xml:space="preserve"> </w:t>
      </w:r>
      <w:r w:rsidR="00A63DAC" w:rsidRPr="00FD211F">
        <w:rPr>
          <w:sz w:val="36"/>
          <w:szCs w:val="36"/>
          <w:rtl/>
        </w:rPr>
        <w:t>مفهوم</w:t>
      </w:r>
      <w:r w:rsidR="00E8128F">
        <w:rPr>
          <w:sz w:val="36"/>
          <w:szCs w:val="36"/>
          <w:rtl/>
        </w:rPr>
        <w:t xml:space="preserve"> </w:t>
      </w:r>
      <w:r w:rsidR="00A772DF" w:rsidRPr="00FD211F">
        <w:rPr>
          <w:sz w:val="36"/>
          <w:szCs w:val="36"/>
          <w:rtl/>
        </w:rPr>
        <w:t>عرفي</w:t>
      </w:r>
      <w:r w:rsidR="00E8128F">
        <w:rPr>
          <w:sz w:val="36"/>
          <w:szCs w:val="36"/>
          <w:rtl/>
        </w:rPr>
        <w:t xml:space="preserve"> </w:t>
      </w:r>
      <w:r w:rsidR="00A63DAC" w:rsidRPr="00FD211F">
        <w:rPr>
          <w:sz w:val="36"/>
          <w:szCs w:val="36"/>
          <w:rtl/>
        </w:rPr>
        <w:t>جامع</w:t>
      </w:r>
      <w:r w:rsidR="00E8128F">
        <w:rPr>
          <w:sz w:val="36"/>
          <w:szCs w:val="36"/>
          <w:rtl/>
        </w:rPr>
        <w:t xml:space="preserve"> </w:t>
      </w:r>
      <w:r w:rsidR="00A63DAC" w:rsidRPr="00FD211F">
        <w:rPr>
          <w:sz w:val="36"/>
          <w:szCs w:val="36"/>
          <w:rtl/>
        </w:rPr>
        <w:t>بين</w:t>
      </w:r>
      <w:r w:rsidR="00E8128F">
        <w:rPr>
          <w:sz w:val="36"/>
          <w:szCs w:val="36"/>
          <w:rtl/>
        </w:rPr>
        <w:t xml:space="preserve"> </w:t>
      </w:r>
      <w:r w:rsidR="00A63DAC" w:rsidRPr="00FD211F">
        <w:rPr>
          <w:sz w:val="36"/>
          <w:szCs w:val="36"/>
          <w:rtl/>
        </w:rPr>
        <w:t>زمان</w:t>
      </w:r>
      <w:r w:rsidR="00E8128F">
        <w:rPr>
          <w:sz w:val="36"/>
          <w:szCs w:val="36"/>
          <w:rtl/>
        </w:rPr>
        <w:t xml:space="preserve"> </w:t>
      </w:r>
      <w:r w:rsidR="00A63DAC" w:rsidRPr="00FD211F">
        <w:rPr>
          <w:sz w:val="36"/>
          <w:szCs w:val="36"/>
          <w:rtl/>
        </w:rPr>
        <w:t>الفعل</w:t>
      </w:r>
      <w:r w:rsidR="00E8128F">
        <w:rPr>
          <w:sz w:val="36"/>
          <w:szCs w:val="36"/>
          <w:rtl/>
        </w:rPr>
        <w:t xml:space="preserve"> </w:t>
      </w:r>
      <w:r w:rsidR="00A63DAC" w:rsidRPr="00FD211F">
        <w:rPr>
          <w:sz w:val="36"/>
          <w:szCs w:val="36"/>
          <w:rtl/>
        </w:rPr>
        <w:t>ومكانه</w:t>
      </w:r>
      <w:r w:rsidR="00603323" w:rsidRPr="00FD211F">
        <w:rPr>
          <w:sz w:val="36"/>
          <w:szCs w:val="36"/>
          <w:rtl/>
        </w:rPr>
        <w:t>،</w:t>
      </w:r>
      <w:r w:rsidR="00E8128F">
        <w:rPr>
          <w:sz w:val="36"/>
          <w:szCs w:val="36"/>
          <w:rtl/>
        </w:rPr>
        <w:t xml:space="preserve"> </w:t>
      </w:r>
      <w:r w:rsidR="00A772DF" w:rsidRPr="00FD211F">
        <w:rPr>
          <w:sz w:val="36"/>
          <w:szCs w:val="36"/>
          <w:rtl/>
        </w:rPr>
        <w:t>ويكفي</w:t>
      </w:r>
      <w:r w:rsidR="00E8128F">
        <w:rPr>
          <w:sz w:val="36"/>
          <w:szCs w:val="36"/>
          <w:rtl/>
        </w:rPr>
        <w:t xml:space="preserve"> </w:t>
      </w:r>
      <w:r w:rsidR="00A772DF" w:rsidRPr="00FD211F">
        <w:rPr>
          <w:sz w:val="36"/>
          <w:szCs w:val="36"/>
          <w:rtl/>
        </w:rPr>
        <w:t>في</w:t>
      </w:r>
      <w:r w:rsidR="00E8128F">
        <w:rPr>
          <w:sz w:val="36"/>
          <w:szCs w:val="36"/>
          <w:rtl/>
        </w:rPr>
        <w:t xml:space="preserve"> </w:t>
      </w:r>
      <w:r w:rsidR="00A772DF" w:rsidRPr="00FD211F">
        <w:rPr>
          <w:sz w:val="36"/>
          <w:szCs w:val="36"/>
          <w:rtl/>
        </w:rPr>
        <w:t>ذلك</w:t>
      </w:r>
      <w:r w:rsidR="00E8128F">
        <w:rPr>
          <w:sz w:val="36"/>
          <w:szCs w:val="36"/>
          <w:rtl/>
        </w:rPr>
        <w:t xml:space="preserve"> </w:t>
      </w:r>
      <w:r w:rsidR="00A772DF" w:rsidRPr="00FD211F">
        <w:rPr>
          <w:sz w:val="36"/>
          <w:szCs w:val="36"/>
          <w:rtl/>
        </w:rPr>
        <w:t>لحاظ</w:t>
      </w:r>
      <w:r w:rsidR="00E8128F">
        <w:rPr>
          <w:sz w:val="36"/>
          <w:szCs w:val="36"/>
          <w:rtl/>
        </w:rPr>
        <w:t xml:space="preserve"> </w:t>
      </w:r>
      <w:r w:rsidR="00A772DF" w:rsidRPr="00FD211F">
        <w:rPr>
          <w:sz w:val="36"/>
          <w:szCs w:val="36"/>
          <w:rtl/>
        </w:rPr>
        <w:t>مفهوم</w:t>
      </w:r>
      <w:r w:rsidR="00E8128F">
        <w:rPr>
          <w:sz w:val="36"/>
          <w:szCs w:val="36"/>
          <w:rtl/>
        </w:rPr>
        <w:t xml:space="preserve"> </w:t>
      </w:r>
      <w:r w:rsidR="00A772DF" w:rsidRPr="00FD211F">
        <w:rPr>
          <w:sz w:val="36"/>
          <w:szCs w:val="36"/>
          <w:rtl/>
        </w:rPr>
        <w:t>و</w:t>
      </w:r>
      <w:r w:rsidR="00A63DAC" w:rsidRPr="00FD211F">
        <w:rPr>
          <w:sz w:val="36"/>
          <w:szCs w:val="36"/>
          <w:rtl/>
        </w:rPr>
        <w:t>عاء</w:t>
      </w:r>
      <w:r w:rsidR="00E8128F">
        <w:rPr>
          <w:sz w:val="36"/>
          <w:szCs w:val="36"/>
          <w:rtl/>
        </w:rPr>
        <w:t xml:space="preserve"> </w:t>
      </w:r>
      <w:r w:rsidR="00A772DF" w:rsidRPr="00FD211F">
        <w:rPr>
          <w:sz w:val="36"/>
          <w:szCs w:val="36"/>
          <w:rtl/>
        </w:rPr>
        <w:t>الفعل</w:t>
      </w:r>
      <w:r w:rsidR="00E8128F">
        <w:rPr>
          <w:sz w:val="36"/>
          <w:szCs w:val="36"/>
          <w:rtl/>
        </w:rPr>
        <w:t xml:space="preserve"> </w:t>
      </w:r>
      <w:r w:rsidR="00A772DF" w:rsidRPr="00FD211F">
        <w:rPr>
          <w:sz w:val="36"/>
          <w:szCs w:val="36"/>
          <w:rtl/>
        </w:rPr>
        <w:t>مثلا</w:t>
      </w:r>
      <w:r w:rsidR="00E8128F">
        <w:rPr>
          <w:sz w:val="36"/>
          <w:szCs w:val="36"/>
          <w:rtl/>
        </w:rPr>
        <w:t xml:space="preserve"> </w:t>
      </w:r>
      <w:r w:rsidR="00A772DF" w:rsidRPr="00FD211F">
        <w:rPr>
          <w:sz w:val="36"/>
          <w:szCs w:val="36"/>
          <w:rtl/>
        </w:rPr>
        <w:t>وجعله</w:t>
      </w:r>
      <w:r w:rsidR="00E8128F">
        <w:rPr>
          <w:sz w:val="36"/>
          <w:szCs w:val="36"/>
          <w:rtl/>
        </w:rPr>
        <w:t xml:space="preserve"> </w:t>
      </w:r>
      <w:r w:rsidR="00A772DF" w:rsidRPr="00FD211F">
        <w:rPr>
          <w:sz w:val="36"/>
          <w:szCs w:val="36"/>
          <w:rtl/>
        </w:rPr>
        <w:t>عنوانا</w:t>
      </w:r>
      <w:r w:rsidR="00E8128F">
        <w:rPr>
          <w:sz w:val="36"/>
          <w:szCs w:val="36"/>
          <w:rtl/>
        </w:rPr>
        <w:t xml:space="preserve"> </w:t>
      </w:r>
      <w:r w:rsidR="00A772DF" w:rsidRPr="00FD211F">
        <w:rPr>
          <w:sz w:val="36"/>
          <w:szCs w:val="36"/>
          <w:rtl/>
        </w:rPr>
        <w:t>مشيرا</w:t>
      </w:r>
      <w:r w:rsidR="00E8128F">
        <w:rPr>
          <w:sz w:val="36"/>
          <w:szCs w:val="36"/>
          <w:rtl/>
        </w:rPr>
        <w:t xml:space="preserve"> </w:t>
      </w:r>
      <w:r w:rsidR="00AD1127" w:rsidRPr="00FD211F">
        <w:rPr>
          <w:sz w:val="36"/>
          <w:szCs w:val="36"/>
          <w:rtl/>
        </w:rPr>
        <w:t>الى</w:t>
      </w:r>
      <w:r w:rsidR="00E8128F">
        <w:rPr>
          <w:sz w:val="36"/>
          <w:szCs w:val="36"/>
          <w:rtl/>
        </w:rPr>
        <w:t xml:space="preserve"> </w:t>
      </w:r>
      <w:r w:rsidR="003B4715" w:rsidRPr="00FD211F">
        <w:rPr>
          <w:sz w:val="36"/>
          <w:szCs w:val="36"/>
          <w:rtl/>
        </w:rPr>
        <w:t>ما</w:t>
      </w:r>
      <w:r w:rsidR="00E8128F">
        <w:rPr>
          <w:sz w:val="36"/>
          <w:szCs w:val="36"/>
          <w:rtl/>
        </w:rPr>
        <w:t xml:space="preserve"> </w:t>
      </w:r>
      <w:r w:rsidR="00A772DF" w:rsidRPr="00FD211F">
        <w:rPr>
          <w:sz w:val="36"/>
          <w:szCs w:val="36"/>
          <w:rtl/>
        </w:rPr>
        <w:t>وقع</w:t>
      </w:r>
      <w:r w:rsidR="00E8128F">
        <w:rPr>
          <w:sz w:val="36"/>
          <w:szCs w:val="36"/>
          <w:rtl/>
        </w:rPr>
        <w:t xml:space="preserve"> </w:t>
      </w:r>
      <w:r w:rsidR="00A772DF" w:rsidRPr="00FD211F">
        <w:rPr>
          <w:sz w:val="36"/>
          <w:szCs w:val="36"/>
          <w:rtl/>
        </w:rPr>
        <w:t>فيه</w:t>
      </w:r>
      <w:r w:rsidR="00E8128F">
        <w:rPr>
          <w:sz w:val="36"/>
          <w:szCs w:val="36"/>
          <w:rtl/>
        </w:rPr>
        <w:t xml:space="preserve"> </w:t>
      </w:r>
      <w:r w:rsidR="00A772DF" w:rsidRPr="00FD211F">
        <w:rPr>
          <w:sz w:val="36"/>
          <w:szCs w:val="36"/>
          <w:rtl/>
        </w:rPr>
        <w:t>الفعل</w:t>
      </w:r>
      <w:r w:rsidR="00603323" w:rsidRPr="00FD211F">
        <w:rPr>
          <w:sz w:val="36"/>
          <w:szCs w:val="36"/>
          <w:rtl/>
        </w:rPr>
        <w:t>،</w:t>
      </w:r>
      <w:r w:rsidR="00E8128F">
        <w:rPr>
          <w:sz w:val="36"/>
          <w:szCs w:val="36"/>
          <w:rtl/>
        </w:rPr>
        <w:t xml:space="preserve"> </w:t>
      </w:r>
      <w:r w:rsidR="00AC2AC2" w:rsidRPr="00FD211F">
        <w:rPr>
          <w:sz w:val="36"/>
          <w:szCs w:val="36"/>
          <w:rtl/>
        </w:rPr>
        <w:t>وهو</w:t>
      </w:r>
      <w:r w:rsidR="00E8128F">
        <w:rPr>
          <w:sz w:val="36"/>
          <w:szCs w:val="36"/>
          <w:rtl/>
        </w:rPr>
        <w:t xml:space="preserve"> </w:t>
      </w:r>
      <w:r w:rsidR="00AC2AC2" w:rsidRPr="00FD211F">
        <w:rPr>
          <w:sz w:val="36"/>
          <w:szCs w:val="36"/>
          <w:rtl/>
        </w:rPr>
        <w:t>اعم</w:t>
      </w:r>
      <w:r w:rsidR="00E8128F">
        <w:rPr>
          <w:sz w:val="36"/>
          <w:szCs w:val="36"/>
          <w:rtl/>
        </w:rPr>
        <w:t xml:space="preserve"> </w:t>
      </w:r>
      <w:r w:rsidR="00AC2AC2" w:rsidRPr="00FD211F">
        <w:rPr>
          <w:sz w:val="36"/>
          <w:szCs w:val="36"/>
          <w:rtl/>
        </w:rPr>
        <w:t>من</w:t>
      </w:r>
      <w:r w:rsidR="00E8128F">
        <w:rPr>
          <w:sz w:val="36"/>
          <w:szCs w:val="36"/>
          <w:rtl/>
        </w:rPr>
        <w:t xml:space="preserve"> </w:t>
      </w:r>
      <w:r w:rsidR="00AC2AC2" w:rsidRPr="00FD211F">
        <w:rPr>
          <w:sz w:val="36"/>
          <w:szCs w:val="36"/>
          <w:rtl/>
        </w:rPr>
        <w:t>الزمان</w:t>
      </w:r>
      <w:r w:rsidR="00E8128F">
        <w:rPr>
          <w:sz w:val="36"/>
          <w:szCs w:val="36"/>
          <w:rtl/>
        </w:rPr>
        <w:t xml:space="preserve"> </w:t>
      </w:r>
      <w:r w:rsidR="00AC2AC2" w:rsidRPr="00FD211F">
        <w:rPr>
          <w:sz w:val="36"/>
          <w:szCs w:val="36"/>
          <w:rtl/>
        </w:rPr>
        <w:t>والمكان</w:t>
      </w:r>
      <w:r w:rsidR="00E8128F">
        <w:rPr>
          <w:sz w:val="36"/>
          <w:szCs w:val="36"/>
          <w:rtl/>
        </w:rPr>
        <w:t xml:space="preserve"> </w:t>
      </w:r>
      <w:r w:rsidR="00AC2AC2" w:rsidRPr="00FD211F">
        <w:rPr>
          <w:sz w:val="36"/>
          <w:szCs w:val="36"/>
          <w:rtl/>
        </w:rPr>
        <w:t>عرفا</w:t>
      </w:r>
      <w:r w:rsidR="00FD5BAD" w:rsidRPr="00FD211F">
        <w:rPr>
          <w:sz w:val="36"/>
          <w:szCs w:val="36"/>
          <w:rtl/>
        </w:rPr>
        <w:t>.</w:t>
      </w:r>
    </w:p>
    <w:p w14:paraId="5969B29D" w14:textId="77777777" w:rsidR="00FD5BAD" w:rsidRPr="00FD211F" w:rsidRDefault="00FD5BAD" w:rsidP="009C58C8">
      <w:pPr>
        <w:ind w:left="0" w:firstLine="227"/>
        <w:jc w:val="both"/>
        <w:rPr>
          <w:sz w:val="36"/>
          <w:szCs w:val="36"/>
          <w:rtl/>
        </w:rPr>
      </w:pPr>
      <w:r w:rsidRPr="00FD211F">
        <w:rPr>
          <w:b/>
          <w:bCs/>
          <w:sz w:val="36"/>
          <w:szCs w:val="36"/>
          <w:rtl/>
        </w:rPr>
        <w:t>وثانيا</w:t>
      </w:r>
      <w:r w:rsidRPr="00FD211F">
        <w:rPr>
          <w:sz w:val="36"/>
          <w:szCs w:val="36"/>
          <w:rtl/>
        </w:rPr>
        <w:t>:</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سلمنا</w:t>
      </w:r>
      <w:r w:rsidR="00E8128F">
        <w:rPr>
          <w:sz w:val="36"/>
          <w:szCs w:val="36"/>
          <w:rtl/>
        </w:rPr>
        <w:t xml:space="preserve"> </w:t>
      </w:r>
      <w:r w:rsidRPr="00FD211F">
        <w:rPr>
          <w:sz w:val="36"/>
          <w:szCs w:val="36"/>
          <w:rtl/>
        </w:rPr>
        <w:t>اختلاف</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الزمان</w:t>
      </w:r>
      <w:r w:rsidR="00E8128F">
        <w:rPr>
          <w:sz w:val="36"/>
          <w:szCs w:val="36"/>
          <w:rtl/>
        </w:rPr>
        <w:t xml:space="preserve"> </w:t>
      </w:r>
      <w:r w:rsidRPr="00FD211F">
        <w:rPr>
          <w:sz w:val="36"/>
          <w:szCs w:val="36"/>
          <w:rtl/>
        </w:rPr>
        <w:t>واسم</w:t>
      </w:r>
      <w:r w:rsidR="00E8128F">
        <w:rPr>
          <w:sz w:val="36"/>
          <w:szCs w:val="36"/>
          <w:rtl/>
        </w:rPr>
        <w:t xml:space="preserve"> </w:t>
      </w:r>
      <w:r w:rsidRPr="00FD211F">
        <w:rPr>
          <w:sz w:val="36"/>
          <w:szCs w:val="36"/>
          <w:rtl/>
        </w:rPr>
        <w:t>المكان</w:t>
      </w:r>
      <w:r w:rsidR="00E8128F">
        <w:rPr>
          <w:sz w:val="36"/>
          <w:szCs w:val="36"/>
          <w:rtl/>
        </w:rPr>
        <w:t xml:space="preserve"> </w:t>
      </w:r>
      <w:r w:rsidRPr="00FD211F">
        <w:rPr>
          <w:sz w:val="36"/>
          <w:szCs w:val="36"/>
          <w:rtl/>
        </w:rPr>
        <w:t>فلايمنع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واحد</w:t>
      </w:r>
      <w:r w:rsidR="00EC7EDF" w:rsidRPr="00FD211F">
        <w:rPr>
          <w:sz w:val="36"/>
          <w:szCs w:val="36"/>
          <w:rtl/>
        </w:rPr>
        <w:t>ة</w:t>
      </w:r>
      <w:r w:rsidR="00E8128F">
        <w:rPr>
          <w:sz w:val="36"/>
          <w:szCs w:val="36"/>
          <w:rtl/>
        </w:rPr>
        <w:t xml:space="preserve"> </w:t>
      </w:r>
      <w:r w:rsidRPr="00FD211F">
        <w:rPr>
          <w:sz w:val="36"/>
          <w:szCs w:val="36"/>
          <w:rtl/>
        </w:rPr>
        <w:t>لهما</w:t>
      </w:r>
      <w:r w:rsidR="00E8128F">
        <w:rPr>
          <w:sz w:val="36"/>
          <w:szCs w:val="36"/>
          <w:rtl/>
        </w:rPr>
        <w:t xml:space="preserve"> </w:t>
      </w:r>
      <w:r w:rsidRPr="00FD211F">
        <w:rPr>
          <w:sz w:val="36"/>
          <w:szCs w:val="36"/>
          <w:rtl/>
        </w:rPr>
        <w:t>بوضع</w:t>
      </w:r>
      <w:r w:rsidR="00E8128F">
        <w:rPr>
          <w:sz w:val="36"/>
          <w:szCs w:val="36"/>
          <w:rtl/>
        </w:rPr>
        <w:t xml:space="preserve"> </w:t>
      </w:r>
      <w:r w:rsidRPr="00FD211F">
        <w:rPr>
          <w:sz w:val="36"/>
          <w:szCs w:val="36"/>
          <w:rtl/>
        </w:rPr>
        <w:t>واحد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وزان</w:t>
      </w:r>
      <w:r w:rsidR="00E8128F">
        <w:rPr>
          <w:sz w:val="36"/>
          <w:szCs w:val="36"/>
          <w:rtl/>
        </w:rPr>
        <w:t xml:space="preserve"> </w:t>
      </w:r>
      <w:r w:rsidRPr="00FD211F">
        <w:rPr>
          <w:sz w:val="36"/>
          <w:szCs w:val="36"/>
          <w:rtl/>
        </w:rPr>
        <w:t>الوضع</w:t>
      </w:r>
      <w:r w:rsidR="00E8128F">
        <w:rPr>
          <w:sz w:val="36"/>
          <w:szCs w:val="36"/>
          <w:rtl/>
        </w:rPr>
        <w:t xml:space="preserve"> </w:t>
      </w:r>
      <w:r w:rsidRPr="00FD211F">
        <w:rPr>
          <w:sz w:val="36"/>
          <w:szCs w:val="36"/>
          <w:rtl/>
        </w:rPr>
        <w:t>العام</w:t>
      </w:r>
      <w:r w:rsidR="00E8128F">
        <w:rPr>
          <w:sz w:val="36"/>
          <w:szCs w:val="36"/>
          <w:rtl/>
        </w:rPr>
        <w:t xml:space="preserve"> </w:t>
      </w:r>
      <w:r w:rsidRPr="00FD211F">
        <w:rPr>
          <w:sz w:val="36"/>
          <w:szCs w:val="36"/>
          <w:rtl/>
        </w:rPr>
        <w:t>والموضوع</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الخاص</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لفظ</w:t>
      </w:r>
      <w:r w:rsidR="00E8128F">
        <w:rPr>
          <w:sz w:val="36"/>
          <w:szCs w:val="36"/>
          <w:rtl/>
        </w:rPr>
        <w:t xml:space="preserve"> </w:t>
      </w:r>
      <w:r w:rsidRPr="00FD211F">
        <w:rPr>
          <w:sz w:val="36"/>
          <w:szCs w:val="36"/>
          <w:rtl/>
        </w:rPr>
        <w:t>لمعنيين</w:t>
      </w:r>
      <w:r w:rsidR="00E8128F">
        <w:rPr>
          <w:sz w:val="36"/>
          <w:szCs w:val="36"/>
          <w:rtl/>
        </w:rPr>
        <w:t xml:space="preserve"> </w:t>
      </w:r>
      <w:r w:rsidRPr="00FD211F">
        <w:rPr>
          <w:sz w:val="36"/>
          <w:szCs w:val="36"/>
          <w:rtl/>
        </w:rPr>
        <w:t>بوضع</w:t>
      </w:r>
      <w:r w:rsidR="00E8128F">
        <w:rPr>
          <w:sz w:val="36"/>
          <w:szCs w:val="36"/>
          <w:rtl/>
        </w:rPr>
        <w:t xml:space="preserve"> </w:t>
      </w:r>
      <w:r w:rsidRPr="00FD211F">
        <w:rPr>
          <w:sz w:val="36"/>
          <w:szCs w:val="36"/>
          <w:rtl/>
        </w:rPr>
        <w:t>اجمالي</w:t>
      </w:r>
      <w:r w:rsidR="00E8128F">
        <w:rPr>
          <w:sz w:val="36"/>
          <w:szCs w:val="36"/>
          <w:rtl/>
        </w:rPr>
        <w:t xml:space="preserve"> </w:t>
      </w:r>
      <w:r w:rsidRPr="00FD211F">
        <w:rPr>
          <w:sz w:val="36"/>
          <w:szCs w:val="36"/>
          <w:rtl/>
        </w:rPr>
        <w:t>واحد</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الوضع</w:t>
      </w:r>
      <w:r w:rsidR="00E8128F">
        <w:rPr>
          <w:sz w:val="36"/>
          <w:szCs w:val="36"/>
          <w:rtl/>
        </w:rPr>
        <w:t xml:space="preserve"> </w:t>
      </w:r>
      <w:r w:rsidRPr="00FD211F">
        <w:rPr>
          <w:sz w:val="36"/>
          <w:szCs w:val="36"/>
          <w:rtl/>
        </w:rPr>
        <w:t>العام</w:t>
      </w:r>
      <w:r w:rsidR="00E8128F">
        <w:rPr>
          <w:sz w:val="36"/>
          <w:szCs w:val="36"/>
          <w:rtl/>
        </w:rPr>
        <w:t xml:space="preserve"> </w:t>
      </w:r>
      <w:r w:rsidRPr="00FD211F">
        <w:rPr>
          <w:sz w:val="36"/>
          <w:szCs w:val="36"/>
          <w:rtl/>
        </w:rPr>
        <w:t>والموضوع</w:t>
      </w:r>
      <w:r w:rsidR="00E8128F">
        <w:rPr>
          <w:sz w:val="36"/>
          <w:szCs w:val="36"/>
          <w:rtl/>
        </w:rPr>
        <w:t xml:space="preserve"> </w:t>
      </w:r>
      <w:r w:rsidRPr="00FD211F">
        <w:rPr>
          <w:sz w:val="36"/>
          <w:szCs w:val="36"/>
          <w:rtl/>
        </w:rPr>
        <w:t>الخاص</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قال</w:t>
      </w:r>
      <w:r w:rsidR="00E8128F">
        <w:rPr>
          <w:sz w:val="36"/>
          <w:szCs w:val="36"/>
          <w:rtl/>
        </w:rPr>
        <w:t xml:space="preserve"> </w:t>
      </w:r>
      <w:r w:rsidRPr="00FD211F">
        <w:rPr>
          <w:sz w:val="36"/>
          <w:szCs w:val="36"/>
          <w:rtl/>
        </w:rPr>
        <w:t>وضعت</w:t>
      </w:r>
      <w:r w:rsidR="00E8128F">
        <w:rPr>
          <w:sz w:val="36"/>
          <w:szCs w:val="36"/>
          <w:rtl/>
        </w:rPr>
        <w:t xml:space="preserve"> </w:t>
      </w:r>
      <w:r w:rsidRPr="00FD211F">
        <w:rPr>
          <w:sz w:val="36"/>
          <w:szCs w:val="36"/>
          <w:rtl/>
        </w:rPr>
        <w:t>لفظ</w:t>
      </w:r>
      <w:r w:rsidR="00E8128F">
        <w:rPr>
          <w:sz w:val="36"/>
          <w:szCs w:val="36"/>
          <w:rtl/>
        </w:rPr>
        <w:t xml:space="preserve"> </w:t>
      </w:r>
      <w:r w:rsidRPr="00FD211F">
        <w:rPr>
          <w:sz w:val="36"/>
          <w:szCs w:val="36"/>
          <w:rtl/>
        </w:rPr>
        <w:t>العين</w:t>
      </w:r>
      <w:r w:rsidR="00E8128F">
        <w:rPr>
          <w:sz w:val="36"/>
          <w:szCs w:val="36"/>
          <w:rtl/>
        </w:rPr>
        <w:t xml:space="preserve"> </w:t>
      </w:r>
      <w:r w:rsidRPr="00FD211F">
        <w:rPr>
          <w:sz w:val="36"/>
          <w:szCs w:val="36"/>
          <w:rtl/>
        </w:rPr>
        <w:t>لكل</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البيت</w:t>
      </w:r>
      <w:r w:rsidR="00E8128F">
        <w:rPr>
          <w:sz w:val="36"/>
          <w:szCs w:val="36"/>
          <w:rtl/>
        </w:rPr>
        <w:t xml:space="preserve"> </w:t>
      </w:r>
      <w:r w:rsidRPr="00FD211F">
        <w:rPr>
          <w:sz w:val="36"/>
          <w:szCs w:val="36"/>
          <w:rtl/>
        </w:rPr>
        <w:t>وحيث</w:t>
      </w:r>
      <w:r w:rsidR="00E8128F">
        <w:rPr>
          <w:sz w:val="36"/>
          <w:szCs w:val="36"/>
          <w:rtl/>
        </w:rPr>
        <w:t xml:space="preserve"> </w:t>
      </w:r>
      <w:r w:rsidRPr="00FD211F">
        <w:rPr>
          <w:sz w:val="36"/>
          <w:szCs w:val="36"/>
          <w:rtl/>
        </w:rPr>
        <w:t>صار</w:t>
      </w:r>
      <w:r w:rsidR="00E8128F">
        <w:rPr>
          <w:sz w:val="36"/>
          <w:szCs w:val="36"/>
          <w:rtl/>
        </w:rPr>
        <w:t xml:space="preserve"> </w:t>
      </w:r>
      <w:r w:rsidRPr="00FD211F">
        <w:rPr>
          <w:sz w:val="36"/>
          <w:szCs w:val="36"/>
          <w:rtl/>
        </w:rPr>
        <w:t>الوضع</w:t>
      </w:r>
      <w:r w:rsidR="00E8128F">
        <w:rPr>
          <w:sz w:val="36"/>
          <w:szCs w:val="36"/>
          <w:rtl/>
        </w:rPr>
        <w:t xml:space="preserve"> </w:t>
      </w:r>
      <w:r w:rsidRPr="00FD211F">
        <w:rPr>
          <w:sz w:val="36"/>
          <w:szCs w:val="36"/>
          <w:rtl/>
        </w:rPr>
        <w:t>واحدا</w:t>
      </w:r>
      <w:r w:rsidR="00E8128F">
        <w:rPr>
          <w:sz w:val="36"/>
          <w:szCs w:val="36"/>
          <w:rtl/>
        </w:rPr>
        <w:t xml:space="preserve"> </w:t>
      </w:r>
      <w:r w:rsidRPr="00FD211F">
        <w:rPr>
          <w:sz w:val="36"/>
          <w:szCs w:val="36"/>
          <w:rtl/>
        </w:rPr>
        <w:t>اتجه</w:t>
      </w:r>
      <w:r w:rsidR="00E8128F">
        <w:rPr>
          <w:sz w:val="36"/>
          <w:szCs w:val="36"/>
          <w:rtl/>
        </w:rPr>
        <w:t xml:space="preserve"> </w:t>
      </w:r>
      <w:r w:rsidRPr="00FD211F">
        <w:rPr>
          <w:sz w:val="36"/>
          <w:szCs w:val="36"/>
          <w:rtl/>
        </w:rPr>
        <w:t>القول</w:t>
      </w:r>
      <w:r w:rsidR="00E8128F">
        <w:rPr>
          <w:sz w:val="36"/>
          <w:szCs w:val="36"/>
          <w:rtl/>
        </w:rPr>
        <w:t xml:space="preserve"> </w:t>
      </w:r>
      <w:r w:rsidRPr="00FD211F">
        <w:rPr>
          <w:sz w:val="36"/>
          <w:szCs w:val="36"/>
          <w:rtl/>
        </w:rPr>
        <w:t>هنا</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لالغوي</w:t>
      </w:r>
      <w:r w:rsidR="00EC7EDF" w:rsidRPr="00FD211F">
        <w:rPr>
          <w:sz w:val="36"/>
          <w:szCs w:val="36"/>
          <w:rtl/>
        </w:rPr>
        <w:t>ة</w:t>
      </w:r>
      <w:r w:rsidR="00E8128F">
        <w:rPr>
          <w:sz w:val="36"/>
          <w:szCs w:val="36"/>
          <w:rtl/>
        </w:rPr>
        <w:t xml:space="preserve"> </w:t>
      </w:r>
      <w:r w:rsidRPr="00FD211F">
        <w:rPr>
          <w:sz w:val="36"/>
          <w:szCs w:val="36"/>
          <w:rtl/>
        </w:rPr>
        <w:t>عرفا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مفعل</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انقضى</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المبدأ</w:t>
      </w:r>
      <w:r w:rsidR="00E8128F">
        <w:rPr>
          <w:sz w:val="36"/>
          <w:szCs w:val="36"/>
          <w:rtl/>
        </w:rPr>
        <w:t xml:space="preserve"> </w:t>
      </w:r>
      <w:r w:rsidRPr="00FD211F">
        <w:rPr>
          <w:sz w:val="36"/>
          <w:szCs w:val="36"/>
          <w:rtl/>
        </w:rPr>
        <w:t>بخلاف</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تعددت</w:t>
      </w:r>
      <w:r w:rsidR="00E8128F">
        <w:rPr>
          <w:sz w:val="36"/>
          <w:szCs w:val="36"/>
          <w:rtl/>
        </w:rPr>
        <w:t xml:space="preserve"> </w:t>
      </w:r>
      <w:r w:rsidRPr="00FD211F">
        <w:rPr>
          <w:sz w:val="36"/>
          <w:szCs w:val="36"/>
          <w:rtl/>
        </w:rPr>
        <w:t>عملي</w:t>
      </w:r>
      <w:r w:rsidR="00EC7EDF" w:rsidRPr="00FD211F">
        <w:rPr>
          <w:sz w:val="36"/>
          <w:szCs w:val="36"/>
          <w:rtl/>
        </w:rPr>
        <w:t>ة</w:t>
      </w:r>
      <w:r w:rsidR="00E8128F">
        <w:rPr>
          <w:sz w:val="36"/>
          <w:szCs w:val="36"/>
          <w:rtl/>
        </w:rPr>
        <w:t xml:space="preserve"> </w:t>
      </w:r>
      <w:r w:rsidRPr="00FD211F">
        <w:rPr>
          <w:sz w:val="36"/>
          <w:szCs w:val="36"/>
          <w:rtl/>
        </w:rPr>
        <w:t>الوضع.</w:t>
      </w:r>
    </w:p>
    <w:p w14:paraId="46F61CA2" w14:textId="77777777" w:rsidR="00810AAA" w:rsidRPr="00FD211F" w:rsidRDefault="00810AAA" w:rsidP="009C58C8">
      <w:pPr>
        <w:ind w:left="0" w:firstLine="227"/>
        <w:jc w:val="both"/>
        <w:rPr>
          <w:sz w:val="36"/>
          <w:szCs w:val="36"/>
        </w:rPr>
      </w:pPr>
      <w:r w:rsidRPr="00FD211F">
        <w:rPr>
          <w:sz w:val="36"/>
          <w:szCs w:val="36"/>
          <w:rtl/>
        </w:rPr>
        <w:t>و</w:t>
      </w:r>
      <w:r w:rsidR="00E8128F">
        <w:rPr>
          <w:sz w:val="36"/>
          <w:szCs w:val="36"/>
          <w:rtl/>
        </w:rPr>
        <w:t xml:space="preserve"> </w:t>
      </w:r>
      <w:r w:rsidRPr="00FD211F">
        <w:rPr>
          <w:sz w:val="36"/>
          <w:szCs w:val="36"/>
          <w:rtl/>
        </w:rPr>
        <w:t>اتضح</w:t>
      </w:r>
      <w:r w:rsidR="00E8128F">
        <w:rPr>
          <w:sz w:val="36"/>
          <w:szCs w:val="36"/>
          <w:rtl/>
        </w:rPr>
        <w:t xml:space="preserve"> </w:t>
      </w:r>
      <w:r w:rsidR="00097E87" w:rsidRPr="00FD211F">
        <w:rPr>
          <w:sz w:val="36"/>
          <w:szCs w:val="36"/>
          <w:rtl/>
        </w:rPr>
        <w:t>من</w:t>
      </w:r>
      <w:r w:rsidR="00E8128F">
        <w:rPr>
          <w:sz w:val="36"/>
          <w:szCs w:val="36"/>
          <w:rtl/>
        </w:rPr>
        <w:t xml:space="preserve"> </w:t>
      </w:r>
      <w:r w:rsidR="00097E87" w:rsidRPr="00FD211F">
        <w:rPr>
          <w:sz w:val="36"/>
          <w:szCs w:val="36"/>
          <w:rtl/>
        </w:rPr>
        <w:t>جميع</w:t>
      </w:r>
      <w:r w:rsidR="00E8128F">
        <w:rPr>
          <w:sz w:val="36"/>
          <w:szCs w:val="36"/>
          <w:rtl/>
        </w:rPr>
        <w:t xml:space="preserve"> </w:t>
      </w:r>
      <w:r w:rsidR="00097E87" w:rsidRPr="00FD211F">
        <w:rPr>
          <w:sz w:val="36"/>
          <w:szCs w:val="36"/>
          <w:rtl/>
        </w:rPr>
        <w:t>ما</w:t>
      </w:r>
      <w:r w:rsidR="00E8128F">
        <w:rPr>
          <w:sz w:val="36"/>
          <w:szCs w:val="36"/>
          <w:rtl/>
        </w:rPr>
        <w:t xml:space="preserve"> </w:t>
      </w:r>
      <w:r w:rsidR="00097E87" w:rsidRPr="00FD211F">
        <w:rPr>
          <w:sz w:val="36"/>
          <w:szCs w:val="36"/>
          <w:rtl/>
        </w:rPr>
        <w:t>ذكرناه</w:t>
      </w:r>
      <w:r w:rsidR="00E8128F">
        <w:rPr>
          <w:sz w:val="36"/>
          <w:szCs w:val="36"/>
          <w:rtl/>
        </w:rPr>
        <w:t xml:space="preserve"> </w:t>
      </w:r>
      <w:r w:rsidRPr="00FD211F">
        <w:rPr>
          <w:sz w:val="36"/>
          <w:szCs w:val="36"/>
          <w:rtl/>
        </w:rPr>
        <w:t>الاشكال</w:t>
      </w:r>
      <w:r w:rsidR="00E8128F">
        <w:rPr>
          <w:sz w:val="36"/>
          <w:szCs w:val="36"/>
          <w:rtl/>
        </w:rPr>
        <w:t xml:space="preserve"> </w:t>
      </w:r>
      <w:r w:rsidRPr="00FD211F">
        <w:rPr>
          <w:sz w:val="36"/>
          <w:szCs w:val="36"/>
          <w:rtl/>
        </w:rPr>
        <w:t>فيما</w:t>
      </w:r>
      <w:r w:rsidR="00E8128F">
        <w:rPr>
          <w:sz w:val="36"/>
          <w:szCs w:val="36"/>
          <w:rtl/>
        </w:rPr>
        <w:t xml:space="preserve"> </w:t>
      </w:r>
      <w:r w:rsidR="005D1E38" w:rsidRPr="00FD211F">
        <w:rPr>
          <w:sz w:val="36"/>
          <w:szCs w:val="36"/>
          <w:rtl/>
        </w:rPr>
        <w:t>حكي</w:t>
      </w:r>
      <w:r w:rsidR="00E8128F">
        <w:rPr>
          <w:sz w:val="36"/>
          <w:szCs w:val="36"/>
          <w:rtl/>
        </w:rPr>
        <w:t xml:space="preserve"> </w:t>
      </w:r>
      <w:r w:rsidR="00AC2AC2" w:rsidRPr="00FD211F">
        <w:rPr>
          <w:sz w:val="36"/>
          <w:szCs w:val="36"/>
          <w:rtl/>
        </w:rPr>
        <w:t>عن</w:t>
      </w:r>
      <w:r w:rsidR="00E8128F">
        <w:rPr>
          <w:sz w:val="36"/>
          <w:szCs w:val="36"/>
          <w:rtl/>
        </w:rPr>
        <w:t xml:space="preserve"> </w:t>
      </w:r>
      <w:r w:rsidR="00AC2AC2" w:rsidRPr="00FD211F">
        <w:rPr>
          <w:sz w:val="36"/>
          <w:szCs w:val="36"/>
          <w:rtl/>
        </w:rPr>
        <w:t>السيد</w:t>
      </w:r>
      <w:r w:rsidR="00E8128F">
        <w:rPr>
          <w:sz w:val="36"/>
          <w:szCs w:val="36"/>
          <w:rtl/>
        </w:rPr>
        <w:t xml:space="preserve"> </w:t>
      </w:r>
      <w:r w:rsidR="00AC2AC2" w:rsidRPr="00FD211F">
        <w:rPr>
          <w:sz w:val="36"/>
          <w:szCs w:val="36"/>
          <w:rtl/>
        </w:rPr>
        <w:t>الإمام</w:t>
      </w:r>
      <w:r w:rsidR="00E8128F">
        <w:rPr>
          <w:sz w:val="36"/>
          <w:szCs w:val="36"/>
          <w:rtl/>
        </w:rPr>
        <w:t xml:space="preserve"> </w:t>
      </w:r>
      <w:r w:rsidR="00AB1B12" w:rsidRPr="00FD211F">
        <w:rPr>
          <w:sz w:val="36"/>
          <w:szCs w:val="36"/>
          <w:rtl/>
        </w:rPr>
        <w:t>"</w:t>
      </w:r>
      <w:r w:rsidR="00AC2AC2" w:rsidRPr="00FD211F">
        <w:rPr>
          <w:sz w:val="36"/>
          <w:szCs w:val="36"/>
          <w:rtl/>
        </w:rPr>
        <w:t>قده</w:t>
      </w:r>
      <w:r w:rsidR="00AB1B12" w:rsidRPr="00FD211F">
        <w:rPr>
          <w:sz w:val="36"/>
          <w:szCs w:val="36"/>
          <w:rtl/>
        </w:rPr>
        <w:t>"</w:t>
      </w:r>
      <w:r w:rsidR="00E8128F">
        <w:rPr>
          <w:sz w:val="36"/>
          <w:szCs w:val="36"/>
          <w:rtl/>
        </w:rPr>
        <w:t xml:space="preserve"> </w:t>
      </w:r>
      <w:r w:rsidR="00CE59AF" w:rsidRPr="00FD211F">
        <w:rPr>
          <w:sz w:val="36"/>
          <w:szCs w:val="36"/>
          <w:rtl/>
        </w:rPr>
        <w:t>من</w:t>
      </w:r>
      <w:r w:rsidR="00E8128F">
        <w:rPr>
          <w:sz w:val="36"/>
          <w:szCs w:val="36"/>
          <w:rtl/>
        </w:rPr>
        <w:t xml:space="preserve"> </w:t>
      </w:r>
      <w:r w:rsidR="005D1E38" w:rsidRPr="00FD211F">
        <w:rPr>
          <w:sz w:val="36"/>
          <w:szCs w:val="36"/>
          <w:rtl/>
        </w:rPr>
        <w:t>أ</w:t>
      </w:r>
      <w:r w:rsidR="009C7A9A" w:rsidRPr="00FD211F">
        <w:rPr>
          <w:sz w:val="36"/>
          <w:szCs w:val="36"/>
          <w:rtl/>
        </w:rPr>
        <w:t>نه</w:t>
      </w:r>
      <w:r w:rsidR="00E8128F">
        <w:rPr>
          <w:sz w:val="36"/>
          <w:szCs w:val="36"/>
          <w:rtl/>
        </w:rPr>
        <w:t xml:space="preserve"> </w:t>
      </w:r>
      <w:r w:rsidR="009C7A9A" w:rsidRPr="00FD211F">
        <w:rPr>
          <w:sz w:val="36"/>
          <w:szCs w:val="36"/>
          <w:rtl/>
        </w:rPr>
        <w:t>لايوجد</w:t>
      </w:r>
      <w:r w:rsidR="00E8128F">
        <w:rPr>
          <w:sz w:val="36"/>
          <w:szCs w:val="36"/>
          <w:rtl/>
        </w:rPr>
        <w:t xml:space="preserve"> </w:t>
      </w:r>
      <w:r w:rsidR="009C7A9A" w:rsidRPr="00FD211F">
        <w:rPr>
          <w:sz w:val="36"/>
          <w:szCs w:val="36"/>
          <w:rtl/>
        </w:rPr>
        <w:t>جامع</w:t>
      </w:r>
      <w:r w:rsidR="00E8128F">
        <w:rPr>
          <w:sz w:val="36"/>
          <w:szCs w:val="36"/>
          <w:rtl/>
        </w:rPr>
        <w:t xml:space="preserve"> </w:t>
      </w:r>
      <w:r w:rsidR="009C7A9A" w:rsidRPr="00FD211F">
        <w:rPr>
          <w:sz w:val="36"/>
          <w:szCs w:val="36"/>
          <w:rtl/>
        </w:rPr>
        <w:t>حقيقي</w:t>
      </w:r>
      <w:r w:rsidR="00E8128F">
        <w:rPr>
          <w:sz w:val="36"/>
          <w:szCs w:val="36"/>
          <w:rtl/>
        </w:rPr>
        <w:t xml:space="preserve"> </w:t>
      </w:r>
      <w:r w:rsidR="009C7A9A" w:rsidRPr="00FD211F">
        <w:rPr>
          <w:sz w:val="36"/>
          <w:szCs w:val="36"/>
          <w:rtl/>
        </w:rPr>
        <w:t>بين</w:t>
      </w:r>
      <w:r w:rsidR="00E8128F">
        <w:rPr>
          <w:sz w:val="36"/>
          <w:szCs w:val="36"/>
          <w:rtl/>
        </w:rPr>
        <w:t xml:space="preserve"> </w:t>
      </w:r>
      <w:r w:rsidR="009C7A9A" w:rsidRPr="00FD211F">
        <w:rPr>
          <w:sz w:val="36"/>
          <w:szCs w:val="36"/>
          <w:rtl/>
        </w:rPr>
        <w:t>وعاء</w:t>
      </w:r>
      <w:r w:rsidR="00E8128F">
        <w:rPr>
          <w:sz w:val="36"/>
          <w:szCs w:val="36"/>
          <w:rtl/>
        </w:rPr>
        <w:t xml:space="preserve"> </w:t>
      </w:r>
      <w:r w:rsidR="009C7A9A" w:rsidRPr="00FD211F">
        <w:rPr>
          <w:sz w:val="36"/>
          <w:szCs w:val="36"/>
          <w:rtl/>
        </w:rPr>
        <w:t>الزمان</w:t>
      </w:r>
      <w:r w:rsidR="00E8128F">
        <w:rPr>
          <w:sz w:val="36"/>
          <w:szCs w:val="36"/>
          <w:rtl/>
        </w:rPr>
        <w:t xml:space="preserve"> </w:t>
      </w:r>
      <w:r w:rsidR="009C7A9A" w:rsidRPr="00FD211F">
        <w:rPr>
          <w:sz w:val="36"/>
          <w:szCs w:val="36"/>
          <w:rtl/>
        </w:rPr>
        <w:t>والمكان</w:t>
      </w:r>
      <w:r w:rsidR="00603323" w:rsidRPr="00FD211F">
        <w:rPr>
          <w:sz w:val="36"/>
          <w:szCs w:val="36"/>
          <w:rtl/>
        </w:rPr>
        <w:t>،</w:t>
      </w:r>
      <w:r w:rsidR="00E8128F">
        <w:rPr>
          <w:sz w:val="36"/>
          <w:szCs w:val="36"/>
          <w:rtl/>
        </w:rPr>
        <w:t xml:space="preserve"> </w:t>
      </w:r>
      <w:r w:rsidR="009C7A9A" w:rsidRPr="00FD211F">
        <w:rPr>
          <w:sz w:val="36"/>
          <w:szCs w:val="36"/>
          <w:rtl/>
        </w:rPr>
        <w:t>فان</w:t>
      </w:r>
      <w:r w:rsidR="00E8128F">
        <w:rPr>
          <w:sz w:val="36"/>
          <w:szCs w:val="36"/>
          <w:rtl/>
        </w:rPr>
        <w:t xml:space="preserve"> </w:t>
      </w:r>
      <w:r w:rsidR="009C7A9A" w:rsidRPr="00FD211F">
        <w:rPr>
          <w:sz w:val="36"/>
          <w:szCs w:val="36"/>
          <w:rtl/>
        </w:rPr>
        <w:t>وقوع</w:t>
      </w:r>
      <w:r w:rsidR="00E8128F">
        <w:rPr>
          <w:sz w:val="36"/>
          <w:szCs w:val="36"/>
          <w:rtl/>
        </w:rPr>
        <w:t xml:space="preserve"> </w:t>
      </w:r>
      <w:r w:rsidR="009C7A9A" w:rsidRPr="00FD211F">
        <w:rPr>
          <w:sz w:val="36"/>
          <w:szCs w:val="36"/>
          <w:rtl/>
        </w:rPr>
        <w:t>الفعل</w:t>
      </w:r>
      <w:r w:rsidR="00E8128F">
        <w:rPr>
          <w:sz w:val="36"/>
          <w:szCs w:val="36"/>
          <w:rtl/>
        </w:rPr>
        <w:t xml:space="preserve"> </w:t>
      </w:r>
      <w:r w:rsidR="009C7A9A" w:rsidRPr="00FD211F">
        <w:rPr>
          <w:sz w:val="36"/>
          <w:szCs w:val="36"/>
          <w:rtl/>
        </w:rPr>
        <w:t>في</w:t>
      </w:r>
      <w:r w:rsidR="00E8128F">
        <w:rPr>
          <w:sz w:val="36"/>
          <w:szCs w:val="36"/>
          <w:rtl/>
        </w:rPr>
        <w:t xml:space="preserve"> </w:t>
      </w:r>
      <w:r w:rsidR="009C7A9A" w:rsidRPr="00FD211F">
        <w:rPr>
          <w:sz w:val="36"/>
          <w:szCs w:val="36"/>
          <w:rtl/>
        </w:rPr>
        <w:t>المكان</w:t>
      </w:r>
      <w:r w:rsidR="00E8128F">
        <w:rPr>
          <w:sz w:val="36"/>
          <w:szCs w:val="36"/>
          <w:rtl/>
        </w:rPr>
        <w:t xml:space="preserve"> </w:t>
      </w:r>
      <w:r w:rsidR="009C7A9A" w:rsidRPr="00FD211F">
        <w:rPr>
          <w:sz w:val="36"/>
          <w:szCs w:val="36"/>
          <w:rtl/>
        </w:rPr>
        <w:t>غير</w:t>
      </w:r>
      <w:r w:rsidR="00E8128F">
        <w:rPr>
          <w:sz w:val="36"/>
          <w:szCs w:val="36"/>
          <w:rtl/>
        </w:rPr>
        <w:t xml:space="preserve"> </w:t>
      </w:r>
      <w:r w:rsidR="009C7A9A" w:rsidRPr="00FD211F">
        <w:rPr>
          <w:sz w:val="36"/>
          <w:szCs w:val="36"/>
          <w:rtl/>
        </w:rPr>
        <w:t>وقوعه</w:t>
      </w:r>
      <w:r w:rsidR="00E8128F">
        <w:rPr>
          <w:sz w:val="36"/>
          <w:szCs w:val="36"/>
          <w:rtl/>
        </w:rPr>
        <w:t xml:space="preserve"> </w:t>
      </w:r>
      <w:r w:rsidR="009C7A9A" w:rsidRPr="00FD211F">
        <w:rPr>
          <w:sz w:val="36"/>
          <w:szCs w:val="36"/>
          <w:rtl/>
        </w:rPr>
        <w:t>في</w:t>
      </w:r>
      <w:r w:rsidR="00E8128F">
        <w:rPr>
          <w:sz w:val="36"/>
          <w:szCs w:val="36"/>
          <w:rtl/>
        </w:rPr>
        <w:t xml:space="preserve"> </w:t>
      </w:r>
      <w:r w:rsidR="009C7A9A" w:rsidRPr="00FD211F">
        <w:rPr>
          <w:sz w:val="36"/>
          <w:szCs w:val="36"/>
          <w:rtl/>
        </w:rPr>
        <w:t>الزمان</w:t>
      </w:r>
      <w:r w:rsidR="00603323" w:rsidRPr="00FD211F">
        <w:rPr>
          <w:sz w:val="36"/>
          <w:szCs w:val="36"/>
          <w:rtl/>
        </w:rPr>
        <w:t>،</w:t>
      </w:r>
      <w:r w:rsidR="00E8128F">
        <w:rPr>
          <w:sz w:val="36"/>
          <w:szCs w:val="36"/>
          <w:rtl/>
        </w:rPr>
        <w:t xml:space="preserve"> </w:t>
      </w:r>
      <w:r w:rsidR="00EC7EDF" w:rsidRPr="00FD211F">
        <w:rPr>
          <w:sz w:val="36"/>
          <w:szCs w:val="36"/>
          <w:rtl/>
        </w:rPr>
        <w:t>و</w:t>
      </w:r>
      <w:r w:rsidR="009C7A9A" w:rsidRPr="00FD211F">
        <w:rPr>
          <w:sz w:val="36"/>
          <w:szCs w:val="36"/>
          <w:rtl/>
        </w:rPr>
        <w:t>الجامع</w:t>
      </w:r>
      <w:r w:rsidR="00E8128F">
        <w:rPr>
          <w:sz w:val="36"/>
          <w:szCs w:val="36"/>
          <w:rtl/>
        </w:rPr>
        <w:t xml:space="preserve"> </w:t>
      </w:r>
      <w:r w:rsidR="009C7A9A" w:rsidRPr="00FD211F">
        <w:rPr>
          <w:sz w:val="36"/>
          <w:szCs w:val="36"/>
          <w:rtl/>
        </w:rPr>
        <w:t>الانتزاعي</w:t>
      </w:r>
      <w:r w:rsidR="00E8128F">
        <w:rPr>
          <w:sz w:val="36"/>
          <w:szCs w:val="36"/>
          <w:rtl/>
        </w:rPr>
        <w:t xml:space="preserve"> </w:t>
      </w:r>
      <w:r w:rsidR="009C7A9A" w:rsidRPr="00FD211F">
        <w:rPr>
          <w:sz w:val="36"/>
          <w:szCs w:val="36"/>
          <w:rtl/>
        </w:rPr>
        <w:t>كمفهوم</w:t>
      </w:r>
      <w:r w:rsidR="00E8128F">
        <w:rPr>
          <w:sz w:val="36"/>
          <w:szCs w:val="36"/>
          <w:rtl/>
        </w:rPr>
        <w:t xml:space="preserve"> </w:t>
      </w:r>
      <w:r w:rsidR="009C7A9A" w:rsidRPr="00FD211F">
        <w:rPr>
          <w:sz w:val="36"/>
          <w:szCs w:val="36"/>
          <w:rtl/>
        </w:rPr>
        <w:t>الوعاء</w:t>
      </w:r>
      <w:r w:rsidR="00E8128F">
        <w:rPr>
          <w:sz w:val="36"/>
          <w:szCs w:val="36"/>
          <w:rtl/>
        </w:rPr>
        <w:t xml:space="preserve"> </w:t>
      </w:r>
      <w:r w:rsidR="00EC7EDF" w:rsidRPr="00FD211F">
        <w:rPr>
          <w:sz w:val="36"/>
          <w:szCs w:val="36"/>
          <w:rtl/>
        </w:rPr>
        <w:t>و</w:t>
      </w:r>
      <w:r w:rsidR="009C7A9A" w:rsidRPr="00FD211F">
        <w:rPr>
          <w:sz w:val="36"/>
          <w:szCs w:val="36"/>
          <w:rtl/>
        </w:rPr>
        <w:t>الظرف</w:t>
      </w:r>
      <w:r w:rsidR="00E8128F">
        <w:rPr>
          <w:sz w:val="36"/>
          <w:szCs w:val="36"/>
          <w:rtl/>
        </w:rPr>
        <w:t xml:space="preserve"> </w:t>
      </w:r>
      <w:r w:rsidR="00EC7EDF" w:rsidRPr="00FD211F">
        <w:rPr>
          <w:sz w:val="36"/>
          <w:szCs w:val="36"/>
          <w:rtl/>
        </w:rPr>
        <w:t>و</w:t>
      </w:r>
      <w:r w:rsidR="009C7A9A" w:rsidRPr="00FD211F">
        <w:rPr>
          <w:sz w:val="36"/>
          <w:szCs w:val="36"/>
          <w:rtl/>
        </w:rPr>
        <w:t>ان</w:t>
      </w:r>
      <w:r w:rsidR="00E8128F">
        <w:rPr>
          <w:sz w:val="36"/>
          <w:szCs w:val="36"/>
          <w:rtl/>
        </w:rPr>
        <w:t xml:space="preserve"> </w:t>
      </w:r>
      <w:r w:rsidR="009C7A9A" w:rsidRPr="00FD211F">
        <w:rPr>
          <w:sz w:val="36"/>
          <w:szCs w:val="36"/>
          <w:rtl/>
        </w:rPr>
        <w:t>كان</w:t>
      </w:r>
      <w:r w:rsidR="00E8128F">
        <w:rPr>
          <w:sz w:val="36"/>
          <w:szCs w:val="36"/>
          <w:rtl/>
        </w:rPr>
        <w:t xml:space="preserve"> </w:t>
      </w:r>
      <w:r w:rsidR="009C7A9A" w:rsidRPr="00FD211F">
        <w:rPr>
          <w:sz w:val="36"/>
          <w:szCs w:val="36"/>
          <w:rtl/>
        </w:rPr>
        <w:t>متصورا</w:t>
      </w:r>
      <w:r w:rsidR="00E8128F">
        <w:rPr>
          <w:sz w:val="36"/>
          <w:szCs w:val="36"/>
          <w:rtl/>
        </w:rPr>
        <w:t xml:space="preserve"> </w:t>
      </w:r>
      <w:r w:rsidR="009C7A9A" w:rsidRPr="00FD211F">
        <w:rPr>
          <w:sz w:val="36"/>
          <w:szCs w:val="36"/>
          <w:rtl/>
        </w:rPr>
        <w:t>الا</w:t>
      </w:r>
      <w:r w:rsidR="00E8128F">
        <w:rPr>
          <w:sz w:val="36"/>
          <w:szCs w:val="36"/>
          <w:rtl/>
        </w:rPr>
        <w:t xml:space="preserve"> </w:t>
      </w:r>
      <w:r w:rsidR="009C7A9A" w:rsidRPr="00FD211F">
        <w:rPr>
          <w:sz w:val="36"/>
          <w:szCs w:val="36"/>
          <w:rtl/>
        </w:rPr>
        <w:t>ان</w:t>
      </w:r>
      <w:r w:rsidR="00E8128F">
        <w:rPr>
          <w:sz w:val="36"/>
          <w:szCs w:val="36"/>
          <w:rtl/>
        </w:rPr>
        <w:t xml:space="preserve"> </w:t>
      </w:r>
      <w:r w:rsidR="009C7A9A" w:rsidRPr="00FD211F">
        <w:rPr>
          <w:sz w:val="36"/>
          <w:szCs w:val="36"/>
          <w:rtl/>
        </w:rPr>
        <w:t>الوضع</w:t>
      </w:r>
      <w:r w:rsidR="00E8128F">
        <w:rPr>
          <w:sz w:val="36"/>
          <w:szCs w:val="36"/>
          <w:rtl/>
        </w:rPr>
        <w:t xml:space="preserve"> </w:t>
      </w:r>
      <w:r w:rsidR="009C7A9A" w:rsidRPr="00FD211F">
        <w:rPr>
          <w:sz w:val="36"/>
          <w:szCs w:val="36"/>
          <w:rtl/>
        </w:rPr>
        <w:t>بازاء</w:t>
      </w:r>
      <w:r w:rsidR="00E8128F">
        <w:rPr>
          <w:sz w:val="36"/>
          <w:szCs w:val="36"/>
          <w:rtl/>
        </w:rPr>
        <w:t xml:space="preserve"> </w:t>
      </w:r>
      <w:r w:rsidR="009C7A9A" w:rsidRPr="00FD211F">
        <w:rPr>
          <w:sz w:val="36"/>
          <w:szCs w:val="36"/>
          <w:rtl/>
        </w:rPr>
        <w:t>هذا</w:t>
      </w:r>
      <w:r w:rsidR="00E8128F">
        <w:rPr>
          <w:sz w:val="36"/>
          <w:szCs w:val="36"/>
          <w:rtl/>
        </w:rPr>
        <w:t xml:space="preserve"> </w:t>
      </w:r>
      <w:r w:rsidR="009C7A9A" w:rsidRPr="00FD211F">
        <w:rPr>
          <w:sz w:val="36"/>
          <w:szCs w:val="36"/>
          <w:rtl/>
        </w:rPr>
        <w:t>الجامع</w:t>
      </w:r>
      <w:r w:rsidR="00E8128F">
        <w:rPr>
          <w:sz w:val="36"/>
          <w:szCs w:val="36"/>
          <w:rtl/>
        </w:rPr>
        <w:t xml:space="preserve"> </w:t>
      </w:r>
      <w:r w:rsidR="009C7A9A" w:rsidRPr="00FD211F">
        <w:rPr>
          <w:sz w:val="36"/>
          <w:szCs w:val="36"/>
          <w:rtl/>
        </w:rPr>
        <w:t>الانتزاعي</w:t>
      </w:r>
      <w:r w:rsidR="00E8128F">
        <w:rPr>
          <w:sz w:val="36"/>
          <w:szCs w:val="36"/>
          <w:rtl/>
        </w:rPr>
        <w:t xml:space="preserve"> </w:t>
      </w:r>
      <w:r w:rsidR="009C7A9A" w:rsidRPr="00FD211F">
        <w:rPr>
          <w:sz w:val="36"/>
          <w:szCs w:val="36"/>
          <w:rtl/>
        </w:rPr>
        <w:t>غير</w:t>
      </w:r>
      <w:r w:rsidR="00E8128F">
        <w:rPr>
          <w:sz w:val="36"/>
          <w:szCs w:val="36"/>
          <w:rtl/>
        </w:rPr>
        <w:t xml:space="preserve"> </w:t>
      </w:r>
      <w:r w:rsidR="009C7A9A" w:rsidRPr="00FD211F">
        <w:rPr>
          <w:sz w:val="36"/>
          <w:szCs w:val="36"/>
          <w:rtl/>
        </w:rPr>
        <w:t>محتمل</w:t>
      </w:r>
      <w:r w:rsidR="00E8128F">
        <w:rPr>
          <w:sz w:val="36"/>
          <w:szCs w:val="36"/>
          <w:rtl/>
        </w:rPr>
        <w:t xml:space="preserve"> </w:t>
      </w:r>
      <w:r w:rsidR="009C7A9A" w:rsidRPr="00FD211F">
        <w:rPr>
          <w:sz w:val="36"/>
          <w:szCs w:val="36"/>
          <w:rtl/>
        </w:rPr>
        <w:t>لأنه</w:t>
      </w:r>
      <w:r w:rsidR="00E8128F">
        <w:rPr>
          <w:sz w:val="36"/>
          <w:szCs w:val="36"/>
          <w:rtl/>
        </w:rPr>
        <w:t xml:space="preserve"> </w:t>
      </w:r>
      <w:r w:rsidR="009C7A9A" w:rsidRPr="00FD211F">
        <w:rPr>
          <w:sz w:val="36"/>
          <w:szCs w:val="36"/>
          <w:rtl/>
        </w:rPr>
        <w:t>خلاف</w:t>
      </w:r>
      <w:r w:rsidR="00E8128F">
        <w:rPr>
          <w:sz w:val="36"/>
          <w:szCs w:val="36"/>
          <w:rtl/>
        </w:rPr>
        <w:t xml:space="preserve"> </w:t>
      </w:r>
      <w:r w:rsidR="009C7A9A" w:rsidRPr="00FD211F">
        <w:rPr>
          <w:sz w:val="36"/>
          <w:szCs w:val="36"/>
          <w:rtl/>
        </w:rPr>
        <w:t>المتبادر</w:t>
      </w:r>
      <w:r w:rsidR="00E8128F">
        <w:rPr>
          <w:sz w:val="36"/>
          <w:szCs w:val="36"/>
          <w:rtl/>
        </w:rPr>
        <w:t xml:space="preserve"> </w:t>
      </w:r>
      <w:r w:rsidR="009C7A9A" w:rsidRPr="00FD211F">
        <w:rPr>
          <w:sz w:val="36"/>
          <w:szCs w:val="36"/>
          <w:rtl/>
        </w:rPr>
        <w:t>من</w:t>
      </w:r>
      <w:r w:rsidR="00E8128F">
        <w:rPr>
          <w:sz w:val="36"/>
          <w:szCs w:val="36"/>
          <w:rtl/>
        </w:rPr>
        <w:t xml:space="preserve"> </w:t>
      </w:r>
      <w:r w:rsidR="009C7A9A" w:rsidRPr="00FD211F">
        <w:rPr>
          <w:sz w:val="36"/>
          <w:szCs w:val="36"/>
          <w:rtl/>
        </w:rPr>
        <w:t>اسمي</w:t>
      </w:r>
      <w:r w:rsidR="00E8128F">
        <w:rPr>
          <w:sz w:val="36"/>
          <w:szCs w:val="36"/>
          <w:rtl/>
        </w:rPr>
        <w:t xml:space="preserve"> </w:t>
      </w:r>
      <w:r w:rsidR="009C7A9A" w:rsidRPr="00FD211F">
        <w:rPr>
          <w:sz w:val="36"/>
          <w:szCs w:val="36"/>
          <w:rtl/>
        </w:rPr>
        <w:t>الزمان</w:t>
      </w:r>
      <w:r w:rsidR="00E8128F">
        <w:rPr>
          <w:sz w:val="36"/>
          <w:szCs w:val="36"/>
          <w:rtl/>
        </w:rPr>
        <w:t xml:space="preserve"> </w:t>
      </w:r>
      <w:r w:rsidR="00EC7EDF" w:rsidRPr="00FD211F">
        <w:rPr>
          <w:sz w:val="36"/>
          <w:szCs w:val="36"/>
          <w:rtl/>
        </w:rPr>
        <w:t>و</w:t>
      </w:r>
      <w:r w:rsidR="009C7A9A" w:rsidRPr="00FD211F">
        <w:rPr>
          <w:sz w:val="36"/>
          <w:szCs w:val="36"/>
          <w:rtl/>
        </w:rPr>
        <w:t>المكان</w:t>
      </w:r>
      <w:r w:rsidR="00E8128F">
        <w:rPr>
          <w:sz w:val="36"/>
          <w:szCs w:val="36"/>
          <w:rtl/>
        </w:rPr>
        <w:t xml:space="preserve"> </w:t>
      </w:r>
      <w:r w:rsidR="009C7A9A" w:rsidRPr="00FD211F">
        <w:rPr>
          <w:sz w:val="36"/>
          <w:szCs w:val="36"/>
          <w:rtl/>
        </w:rPr>
        <w:t>ضرور</w:t>
      </w:r>
      <w:r w:rsidR="00EC7EDF" w:rsidRPr="00FD211F">
        <w:rPr>
          <w:sz w:val="36"/>
          <w:szCs w:val="36"/>
          <w:rtl/>
        </w:rPr>
        <w:t>ة</w:t>
      </w:r>
      <w:r w:rsidR="00E8128F">
        <w:rPr>
          <w:sz w:val="36"/>
          <w:szCs w:val="36"/>
          <w:rtl/>
        </w:rPr>
        <w:t xml:space="preserve"> </w:t>
      </w:r>
      <w:r w:rsidR="009C7A9A" w:rsidRPr="00FD211F">
        <w:rPr>
          <w:sz w:val="36"/>
          <w:szCs w:val="36"/>
          <w:rtl/>
        </w:rPr>
        <w:t>انه</w:t>
      </w:r>
      <w:r w:rsidR="00E8128F">
        <w:rPr>
          <w:sz w:val="36"/>
          <w:szCs w:val="36"/>
          <w:rtl/>
        </w:rPr>
        <w:t xml:space="preserve"> </w:t>
      </w:r>
      <w:r w:rsidR="009C7A9A" w:rsidRPr="00FD211F">
        <w:rPr>
          <w:sz w:val="36"/>
          <w:szCs w:val="36"/>
          <w:rtl/>
        </w:rPr>
        <w:t>لا</w:t>
      </w:r>
      <w:r w:rsidR="00E8128F">
        <w:rPr>
          <w:sz w:val="36"/>
          <w:szCs w:val="36"/>
          <w:rtl/>
        </w:rPr>
        <w:t xml:space="preserve"> </w:t>
      </w:r>
      <w:r w:rsidR="009C7A9A" w:rsidRPr="00FD211F">
        <w:rPr>
          <w:sz w:val="36"/>
          <w:szCs w:val="36"/>
          <w:rtl/>
        </w:rPr>
        <w:t>يفهم</w:t>
      </w:r>
      <w:r w:rsidR="00E8128F">
        <w:rPr>
          <w:sz w:val="36"/>
          <w:szCs w:val="36"/>
          <w:rtl/>
        </w:rPr>
        <w:t xml:space="preserve"> </w:t>
      </w:r>
      <w:r w:rsidR="009C7A9A" w:rsidRPr="00FD211F">
        <w:rPr>
          <w:sz w:val="36"/>
          <w:szCs w:val="36"/>
          <w:rtl/>
        </w:rPr>
        <w:t>من</w:t>
      </w:r>
      <w:r w:rsidR="00E8128F">
        <w:rPr>
          <w:sz w:val="36"/>
          <w:szCs w:val="36"/>
          <w:rtl/>
        </w:rPr>
        <w:t xml:space="preserve"> </w:t>
      </w:r>
      <w:r w:rsidR="009C7A9A" w:rsidRPr="00FD211F">
        <w:rPr>
          <w:sz w:val="36"/>
          <w:szCs w:val="36"/>
          <w:rtl/>
        </w:rPr>
        <w:t>لفظ</w:t>
      </w:r>
      <w:r w:rsidR="00E8128F">
        <w:rPr>
          <w:sz w:val="36"/>
          <w:szCs w:val="36"/>
          <w:rtl/>
        </w:rPr>
        <w:t xml:space="preserve"> </w:t>
      </w:r>
      <w:r w:rsidR="009C7A9A" w:rsidRPr="00FD211F">
        <w:rPr>
          <w:sz w:val="36"/>
          <w:szCs w:val="36"/>
          <w:rtl/>
        </w:rPr>
        <w:t>المقتل</w:t>
      </w:r>
      <w:r w:rsidR="00E8128F">
        <w:rPr>
          <w:sz w:val="36"/>
          <w:szCs w:val="36"/>
          <w:rtl/>
        </w:rPr>
        <w:t xml:space="preserve"> </w:t>
      </w:r>
      <w:r w:rsidR="009C7A9A" w:rsidRPr="00FD211F">
        <w:rPr>
          <w:sz w:val="36"/>
          <w:szCs w:val="36"/>
          <w:rtl/>
        </w:rPr>
        <w:t>مفهوم</w:t>
      </w:r>
      <w:r w:rsidR="00E8128F">
        <w:rPr>
          <w:sz w:val="36"/>
          <w:szCs w:val="36"/>
          <w:rtl/>
        </w:rPr>
        <w:t xml:space="preserve"> </w:t>
      </w:r>
      <w:r w:rsidR="009C7A9A" w:rsidRPr="00FD211F">
        <w:rPr>
          <w:sz w:val="36"/>
          <w:szCs w:val="36"/>
          <w:rtl/>
        </w:rPr>
        <w:t>وعاء</w:t>
      </w:r>
      <w:r w:rsidR="00E8128F">
        <w:rPr>
          <w:sz w:val="36"/>
          <w:szCs w:val="36"/>
          <w:rtl/>
        </w:rPr>
        <w:t xml:space="preserve"> </w:t>
      </w:r>
      <w:r w:rsidR="009C7A9A" w:rsidRPr="00FD211F">
        <w:rPr>
          <w:sz w:val="36"/>
          <w:szCs w:val="36"/>
          <w:rtl/>
        </w:rPr>
        <w:t>القتل</w:t>
      </w:r>
      <w:r w:rsidR="00E8128F">
        <w:rPr>
          <w:sz w:val="36"/>
          <w:szCs w:val="36"/>
          <w:rtl/>
        </w:rPr>
        <w:t xml:space="preserve"> </w:t>
      </w:r>
      <w:r w:rsidR="009C7A9A" w:rsidRPr="00FD211F">
        <w:rPr>
          <w:sz w:val="36"/>
          <w:szCs w:val="36"/>
          <w:rtl/>
        </w:rPr>
        <w:t>أو</w:t>
      </w:r>
      <w:r w:rsidR="00E8128F">
        <w:rPr>
          <w:sz w:val="36"/>
          <w:szCs w:val="36"/>
          <w:rtl/>
        </w:rPr>
        <w:t xml:space="preserve"> </w:t>
      </w:r>
      <w:r w:rsidR="009C7A9A" w:rsidRPr="00FD211F">
        <w:rPr>
          <w:sz w:val="36"/>
          <w:szCs w:val="36"/>
          <w:rtl/>
        </w:rPr>
        <w:t>ظرف</w:t>
      </w:r>
      <w:r w:rsidR="00E8128F">
        <w:rPr>
          <w:sz w:val="36"/>
          <w:szCs w:val="36"/>
          <w:rtl/>
        </w:rPr>
        <w:t xml:space="preserve"> </w:t>
      </w:r>
      <w:r w:rsidR="009C7A9A" w:rsidRPr="00FD211F">
        <w:rPr>
          <w:sz w:val="36"/>
          <w:szCs w:val="36"/>
          <w:rtl/>
        </w:rPr>
        <w:t>القتل</w:t>
      </w:r>
      <w:r w:rsidR="00603323" w:rsidRPr="00FD211F">
        <w:rPr>
          <w:sz w:val="36"/>
          <w:szCs w:val="36"/>
          <w:rtl/>
        </w:rPr>
        <w:t>،</w:t>
      </w:r>
      <w:r w:rsidR="00E8128F">
        <w:rPr>
          <w:sz w:val="36"/>
          <w:szCs w:val="36"/>
          <w:rtl/>
        </w:rPr>
        <w:t xml:space="preserve"> </w:t>
      </w:r>
      <w:r w:rsidR="00EC7EDF" w:rsidRPr="00FD211F">
        <w:rPr>
          <w:sz w:val="36"/>
          <w:szCs w:val="36"/>
          <w:rtl/>
        </w:rPr>
        <w:t>و</w:t>
      </w:r>
      <w:r w:rsidR="009C7A9A" w:rsidRPr="00FD211F">
        <w:rPr>
          <w:sz w:val="36"/>
          <w:szCs w:val="36"/>
          <w:rtl/>
        </w:rPr>
        <w:t>اما</w:t>
      </w:r>
      <w:r w:rsidR="00E8128F">
        <w:rPr>
          <w:sz w:val="36"/>
          <w:szCs w:val="36"/>
          <w:rtl/>
        </w:rPr>
        <w:t xml:space="preserve"> </w:t>
      </w:r>
      <w:r w:rsidR="009C7A9A" w:rsidRPr="00FD211F">
        <w:rPr>
          <w:sz w:val="36"/>
          <w:szCs w:val="36"/>
          <w:rtl/>
        </w:rPr>
        <w:t>أخذ</w:t>
      </w:r>
      <w:r w:rsidR="00E8128F">
        <w:rPr>
          <w:sz w:val="36"/>
          <w:szCs w:val="36"/>
          <w:rtl/>
        </w:rPr>
        <w:t xml:space="preserve"> </w:t>
      </w:r>
      <w:r w:rsidR="008928F4" w:rsidRPr="00FD211F">
        <w:rPr>
          <w:sz w:val="36"/>
          <w:szCs w:val="36"/>
          <w:rtl/>
        </w:rPr>
        <w:t>عنوان</w:t>
      </w:r>
      <w:r w:rsidR="00E8128F">
        <w:rPr>
          <w:sz w:val="36"/>
          <w:szCs w:val="36"/>
          <w:rtl/>
        </w:rPr>
        <w:t xml:space="preserve"> </w:t>
      </w:r>
      <w:r w:rsidR="009C7A9A" w:rsidRPr="00FD211F">
        <w:rPr>
          <w:sz w:val="36"/>
          <w:szCs w:val="36"/>
          <w:rtl/>
        </w:rPr>
        <w:t>وعاء</w:t>
      </w:r>
      <w:r w:rsidR="008928F4" w:rsidRPr="00FD211F">
        <w:rPr>
          <w:sz w:val="36"/>
          <w:szCs w:val="36"/>
          <w:rtl/>
        </w:rPr>
        <w:t>الفعل</w:t>
      </w:r>
      <w:r w:rsidR="00E8128F">
        <w:rPr>
          <w:sz w:val="36"/>
          <w:szCs w:val="36"/>
          <w:rtl/>
        </w:rPr>
        <w:t xml:space="preserve"> </w:t>
      </w:r>
      <w:r w:rsidR="005D1E38" w:rsidRPr="00FD211F">
        <w:rPr>
          <w:sz w:val="36"/>
          <w:szCs w:val="36"/>
          <w:rtl/>
        </w:rPr>
        <w:t>وظرفيته</w:t>
      </w:r>
      <w:r w:rsidR="00E8128F">
        <w:rPr>
          <w:sz w:val="36"/>
          <w:szCs w:val="36"/>
          <w:rtl/>
        </w:rPr>
        <w:t xml:space="preserve"> </w:t>
      </w:r>
      <w:r w:rsidR="008928F4" w:rsidRPr="00FD211F">
        <w:rPr>
          <w:sz w:val="36"/>
          <w:szCs w:val="36"/>
          <w:rtl/>
        </w:rPr>
        <w:t>عنوانا</w:t>
      </w:r>
      <w:r w:rsidR="00E8128F">
        <w:rPr>
          <w:sz w:val="36"/>
          <w:szCs w:val="36"/>
          <w:rtl/>
        </w:rPr>
        <w:t xml:space="preserve"> </w:t>
      </w:r>
      <w:r w:rsidR="008928F4" w:rsidRPr="00FD211F">
        <w:rPr>
          <w:sz w:val="36"/>
          <w:szCs w:val="36"/>
          <w:rtl/>
        </w:rPr>
        <w:t>مشيرا</w:t>
      </w:r>
      <w:r w:rsidR="00E8128F">
        <w:rPr>
          <w:sz w:val="36"/>
          <w:szCs w:val="36"/>
          <w:rtl/>
        </w:rPr>
        <w:t xml:space="preserve"> </w:t>
      </w:r>
      <w:r w:rsidR="008928F4" w:rsidRPr="00FD211F">
        <w:rPr>
          <w:sz w:val="36"/>
          <w:szCs w:val="36"/>
          <w:rtl/>
        </w:rPr>
        <w:t>لوضع</w:t>
      </w:r>
      <w:r w:rsidR="00E8128F">
        <w:rPr>
          <w:sz w:val="36"/>
          <w:szCs w:val="36"/>
          <w:rtl/>
        </w:rPr>
        <w:t xml:space="preserve"> </w:t>
      </w:r>
      <w:r w:rsidR="008928F4" w:rsidRPr="00FD211F">
        <w:rPr>
          <w:sz w:val="36"/>
          <w:szCs w:val="36"/>
          <w:rtl/>
        </w:rPr>
        <w:t>هيئ</w:t>
      </w:r>
      <w:r w:rsidR="00EC7EDF" w:rsidRPr="00FD211F">
        <w:rPr>
          <w:sz w:val="36"/>
          <w:szCs w:val="36"/>
          <w:rtl/>
        </w:rPr>
        <w:t>ة</w:t>
      </w:r>
      <w:r w:rsidR="00E8128F">
        <w:rPr>
          <w:sz w:val="36"/>
          <w:szCs w:val="36"/>
          <w:rtl/>
        </w:rPr>
        <w:t xml:space="preserve"> </w:t>
      </w:r>
      <w:r w:rsidR="008928F4" w:rsidRPr="00FD211F">
        <w:rPr>
          <w:sz w:val="36"/>
          <w:szCs w:val="36"/>
          <w:rtl/>
        </w:rPr>
        <w:t>المفعل</w:t>
      </w:r>
      <w:r w:rsidR="00E8128F">
        <w:rPr>
          <w:sz w:val="36"/>
          <w:szCs w:val="36"/>
          <w:rtl/>
        </w:rPr>
        <w:t xml:space="preserve"> </w:t>
      </w:r>
      <w:r w:rsidR="008928F4" w:rsidRPr="00FD211F">
        <w:rPr>
          <w:sz w:val="36"/>
          <w:szCs w:val="36"/>
          <w:rtl/>
        </w:rPr>
        <w:t>ل</w:t>
      </w:r>
      <w:r w:rsidR="005D1E38" w:rsidRPr="00FD211F">
        <w:rPr>
          <w:sz w:val="36"/>
          <w:szCs w:val="36"/>
          <w:rtl/>
        </w:rPr>
        <w:t>زمان</w:t>
      </w:r>
      <w:r w:rsidR="00E8128F">
        <w:rPr>
          <w:sz w:val="36"/>
          <w:szCs w:val="36"/>
          <w:rtl/>
        </w:rPr>
        <w:t xml:space="preserve"> </w:t>
      </w:r>
      <w:r w:rsidR="005D1E38" w:rsidRPr="00FD211F">
        <w:rPr>
          <w:sz w:val="36"/>
          <w:szCs w:val="36"/>
          <w:rtl/>
        </w:rPr>
        <w:t>الفعل</w:t>
      </w:r>
      <w:r w:rsidR="00E8128F">
        <w:rPr>
          <w:sz w:val="36"/>
          <w:szCs w:val="36"/>
          <w:rtl/>
        </w:rPr>
        <w:t xml:space="preserve"> </w:t>
      </w:r>
      <w:r w:rsidR="005D1E38" w:rsidRPr="00FD211F">
        <w:rPr>
          <w:sz w:val="36"/>
          <w:szCs w:val="36"/>
          <w:rtl/>
        </w:rPr>
        <w:t>ومكانه</w:t>
      </w:r>
      <w:r w:rsidR="00E8128F">
        <w:rPr>
          <w:sz w:val="36"/>
          <w:szCs w:val="36"/>
          <w:rtl/>
        </w:rPr>
        <w:t xml:space="preserve"> </w:t>
      </w:r>
      <w:r w:rsidR="005D1E38" w:rsidRPr="00FD211F">
        <w:rPr>
          <w:sz w:val="36"/>
          <w:szCs w:val="36"/>
          <w:rtl/>
        </w:rPr>
        <w:t>فهذا</w:t>
      </w:r>
      <w:r w:rsidR="00E8128F">
        <w:rPr>
          <w:sz w:val="36"/>
          <w:szCs w:val="36"/>
          <w:rtl/>
        </w:rPr>
        <w:t xml:space="preserve"> </w:t>
      </w:r>
      <w:r w:rsidR="005D1E38" w:rsidRPr="00FD211F">
        <w:rPr>
          <w:sz w:val="36"/>
          <w:szCs w:val="36"/>
          <w:rtl/>
        </w:rPr>
        <w:t>ي</w:t>
      </w:r>
      <w:r w:rsidR="009C7A9A" w:rsidRPr="00FD211F">
        <w:rPr>
          <w:sz w:val="36"/>
          <w:szCs w:val="36"/>
          <w:rtl/>
        </w:rPr>
        <w:t>وجب</w:t>
      </w:r>
      <w:r w:rsidR="00E8128F">
        <w:rPr>
          <w:sz w:val="36"/>
          <w:szCs w:val="36"/>
          <w:rtl/>
        </w:rPr>
        <w:t xml:space="preserve"> </w:t>
      </w:r>
      <w:r w:rsidR="005D1E38" w:rsidRPr="00FD211F">
        <w:rPr>
          <w:sz w:val="36"/>
          <w:szCs w:val="36"/>
          <w:rtl/>
        </w:rPr>
        <w:t>صيرور</w:t>
      </w:r>
      <w:r w:rsidR="00EC7EDF" w:rsidRPr="00FD211F">
        <w:rPr>
          <w:sz w:val="36"/>
          <w:szCs w:val="36"/>
          <w:rtl/>
        </w:rPr>
        <w:t>ة</w:t>
      </w:r>
      <w:r w:rsidR="00E8128F">
        <w:rPr>
          <w:sz w:val="36"/>
          <w:szCs w:val="36"/>
          <w:rtl/>
        </w:rPr>
        <w:t xml:space="preserve"> </w:t>
      </w:r>
      <w:r w:rsidR="005D1E38" w:rsidRPr="00FD211F">
        <w:rPr>
          <w:sz w:val="36"/>
          <w:szCs w:val="36"/>
          <w:rtl/>
        </w:rPr>
        <w:t>المعنى</w:t>
      </w:r>
      <w:r w:rsidR="00E8128F">
        <w:rPr>
          <w:sz w:val="36"/>
          <w:szCs w:val="36"/>
          <w:rtl/>
        </w:rPr>
        <w:t xml:space="preserve"> </w:t>
      </w:r>
      <w:r w:rsidR="005D1E38" w:rsidRPr="00FD211F">
        <w:rPr>
          <w:sz w:val="36"/>
          <w:szCs w:val="36"/>
          <w:rtl/>
        </w:rPr>
        <w:t>الموضوع</w:t>
      </w:r>
      <w:r w:rsidR="00E8128F">
        <w:rPr>
          <w:sz w:val="36"/>
          <w:szCs w:val="36"/>
          <w:rtl/>
        </w:rPr>
        <w:t xml:space="preserve"> </w:t>
      </w:r>
      <w:r w:rsidR="005D1E38" w:rsidRPr="00FD211F">
        <w:rPr>
          <w:sz w:val="36"/>
          <w:szCs w:val="36"/>
          <w:rtl/>
        </w:rPr>
        <w:t>له</w:t>
      </w:r>
      <w:r w:rsidR="00E8128F">
        <w:rPr>
          <w:sz w:val="36"/>
          <w:szCs w:val="36"/>
          <w:rtl/>
        </w:rPr>
        <w:t xml:space="preserve"> </w:t>
      </w:r>
      <w:r w:rsidR="005D1E38" w:rsidRPr="00FD211F">
        <w:rPr>
          <w:sz w:val="36"/>
          <w:szCs w:val="36"/>
          <w:rtl/>
        </w:rPr>
        <w:t>خاصا</w:t>
      </w:r>
      <w:r w:rsidR="00E8128F">
        <w:rPr>
          <w:sz w:val="36"/>
          <w:szCs w:val="36"/>
          <w:rtl/>
        </w:rPr>
        <w:t xml:space="preserve"> </w:t>
      </w:r>
      <w:r w:rsidR="005D1E38" w:rsidRPr="00FD211F">
        <w:rPr>
          <w:sz w:val="36"/>
          <w:szCs w:val="36"/>
          <w:rtl/>
        </w:rPr>
        <w:t>وهو</w:t>
      </w:r>
      <w:r w:rsidR="00E8128F">
        <w:rPr>
          <w:sz w:val="36"/>
          <w:szCs w:val="36"/>
          <w:rtl/>
        </w:rPr>
        <w:t xml:space="preserve"> </w:t>
      </w:r>
      <w:r w:rsidR="005D1E38" w:rsidRPr="00FD211F">
        <w:rPr>
          <w:sz w:val="36"/>
          <w:szCs w:val="36"/>
          <w:rtl/>
        </w:rPr>
        <w:t>غير</w:t>
      </w:r>
      <w:r w:rsidR="00E8128F">
        <w:rPr>
          <w:sz w:val="36"/>
          <w:szCs w:val="36"/>
          <w:rtl/>
        </w:rPr>
        <w:t xml:space="preserve"> </w:t>
      </w:r>
      <w:r w:rsidR="005D1E38" w:rsidRPr="00FD211F">
        <w:rPr>
          <w:sz w:val="36"/>
          <w:szCs w:val="36"/>
          <w:rtl/>
        </w:rPr>
        <w:t>محتمل</w:t>
      </w:r>
      <w:r w:rsidR="00E8128F">
        <w:rPr>
          <w:sz w:val="36"/>
          <w:szCs w:val="36"/>
          <w:rtl/>
        </w:rPr>
        <w:t xml:space="preserve"> </w:t>
      </w:r>
      <w:r w:rsidR="00FD5BAD" w:rsidRPr="00FD211F">
        <w:rPr>
          <w:sz w:val="36"/>
          <w:szCs w:val="36"/>
          <w:rtl/>
        </w:rPr>
        <w:t>لانفهام</w:t>
      </w:r>
      <w:r w:rsidR="00E8128F">
        <w:rPr>
          <w:sz w:val="36"/>
          <w:szCs w:val="36"/>
          <w:rtl/>
        </w:rPr>
        <w:t xml:space="preserve"> </w:t>
      </w:r>
      <w:r w:rsidR="00FD5BAD" w:rsidRPr="00FD211F">
        <w:rPr>
          <w:sz w:val="36"/>
          <w:szCs w:val="36"/>
          <w:rtl/>
        </w:rPr>
        <w:t>معنىً</w:t>
      </w:r>
      <w:r w:rsidR="00E8128F">
        <w:rPr>
          <w:sz w:val="36"/>
          <w:szCs w:val="36"/>
          <w:rtl/>
        </w:rPr>
        <w:t xml:space="preserve"> </w:t>
      </w:r>
      <w:r w:rsidR="00FD5BAD" w:rsidRPr="00FD211F">
        <w:rPr>
          <w:sz w:val="36"/>
          <w:szCs w:val="36"/>
          <w:rtl/>
        </w:rPr>
        <w:t>واحد</w:t>
      </w:r>
      <w:r w:rsidR="00E8128F">
        <w:rPr>
          <w:sz w:val="36"/>
          <w:szCs w:val="36"/>
          <w:rtl/>
        </w:rPr>
        <w:t xml:space="preserve"> </w:t>
      </w:r>
      <w:r w:rsidR="00FD5BAD" w:rsidRPr="00FD211F">
        <w:rPr>
          <w:sz w:val="36"/>
          <w:szCs w:val="36"/>
          <w:rtl/>
        </w:rPr>
        <w:t>منه</w:t>
      </w:r>
      <w:r w:rsidR="00603323" w:rsidRPr="00FD211F">
        <w:rPr>
          <w:sz w:val="36"/>
          <w:szCs w:val="36"/>
          <w:rtl/>
        </w:rPr>
        <w:t>،</w:t>
      </w:r>
      <w:r w:rsidR="00E8128F">
        <w:rPr>
          <w:sz w:val="36"/>
          <w:szCs w:val="36"/>
          <w:rtl/>
        </w:rPr>
        <w:t xml:space="preserve"> </w:t>
      </w:r>
      <w:r w:rsidR="009C7A9A" w:rsidRPr="00FD211F">
        <w:rPr>
          <w:sz w:val="36"/>
          <w:szCs w:val="36"/>
          <w:rtl/>
        </w:rPr>
        <w:t>هذا</w:t>
      </w:r>
      <w:r w:rsidR="00E8128F">
        <w:rPr>
          <w:sz w:val="36"/>
          <w:szCs w:val="36"/>
          <w:rtl/>
        </w:rPr>
        <w:t xml:space="preserve"> </w:t>
      </w:r>
      <w:r w:rsidR="009C7A9A" w:rsidRPr="00FD211F">
        <w:rPr>
          <w:sz w:val="36"/>
          <w:szCs w:val="36"/>
          <w:rtl/>
        </w:rPr>
        <w:t>مضافا</w:t>
      </w:r>
      <w:r w:rsidR="00E8128F">
        <w:rPr>
          <w:sz w:val="36"/>
          <w:szCs w:val="36"/>
          <w:rtl/>
        </w:rPr>
        <w:t xml:space="preserve"> </w:t>
      </w:r>
      <w:r w:rsidR="009C7A9A" w:rsidRPr="00FD211F">
        <w:rPr>
          <w:sz w:val="36"/>
          <w:szCs w:val="36"/>
          <w:rtl/>
        </w:rPr>
        <w:t>إلى</w:t>
      </w:r>
      <w:r w:rsidR="00E8128F">
        <w:rPr>
          <w:sz w:val="36"/>
          <w:szCs w:val="36"/>
          <w:rtl/>
        </w:rPr>
        <w:t xml:space="preserve"> </w:t>
      </w:r>
      <w:r w:rsidR="009C7A9A" w:rsidRPr="00FD211F">
        <w:rPr>
          <w:sz w:val="36"/>
          <w:szCs w:val="36"/>
          <w:rtl/>
        </w:rPr>
        <w:t>ان</w:t>
      </w:r>
      <w:r w:rsidR="00E8128F">
        <w:rPr>
          <w:sz w:val="36"/>
          <w:szCs w:val="36"/>
          <w:rtl/>
        </w:rPr>
        <w:t xml:space="preserve"> </w:t>
      </w:r>
      <w:r w:rsidR="009C7A9A" w:rsidRPr="00FD211F">
        <w:rPr>
          <w:sz w:val="36"/>
          <w:szCs w:val="36"/>
          <w:rtl/>
        </w:rPr>
        <w:t>الظاهر</w:t>
      </w:r>
      <w:r w:rsidR="00E8128F">
        <w:rPr>
          <w:sz w:val="36"/>
          <w:szCs w:val="36"/>
          <w:rtl/>
        </w:rPr>
        <w:t xml:space="preserve"> </w:t>
      </w:r>
      <w:r w:rsidR="009C7A9A" w:rsidRPr="00FD211F">
        <w:rPr>
          <w:sz w:val="36"/>
          <w:szCs w:val="36"/>
          <w:rtl/>
        </w:rPr>
        <w:t>ان</w:t>
      </w:r>
      <w:r w:rsidR="00E8128F">
        <w:rPr>
          <w:sz w:val="36"/>
          <w:szCs w:val="36"/>
          <w:rtl/>
        </w:rPr>
        <w:t xml:space="preserve"> </w:t>
      </w:r>
      <w:r w:rsidR="005D1E38" w:rsidRPr="00FD211F">
        <w:rPr>
          <w:sz w:val="36"/>
          <w:szCs w:val="36"/>
          <w:rtl/>
        </w:rPr>
        <w:t>ظرف</w:t>
      </w:r>
      <w:r w:rsidR="009C7A9A" w:rsidRPr="00FD211F">
        <w:rPr>
          <w:sz w:val="36"/>
          <w:szCs w:val="36"/>
          <w:rtl/>
        </w:rPr>
        <w:t>ي</w:t>
      </w:r>
      <w:r w:rsidR="00EC7EDF" w:rsidRPr="00FD211F">
        <w:rPr>
          <w:sz w:val="36"/>
          <w:szCs w:val="36"/>
          <w:rtl/>
        </w:rPr>
        <w:t>ة</w:t>
      </w:r>
      <w:r w:rsidR="00E8128F">
        <w:rPr>
          <w:sz w:val="36"/>
          <w:szCs w:val="36"/>
          <w:rtl/>
        </w:rPr>
        <w:t xml:space="preserve"> </w:t>
      </w:r>
      <w:r w:rsidR="009C7A9A" w:rsidRPr="00FD211F">
        <w:rPr>
          <w:sz w:val="36"/>
          <w:szCs w:val="36"/>
          <w:rtl/>
        </w:rPr>
        <w:t>الزمان</w:t>
      </w:r>
      <w:r w:rsidR="00E8128F">
        <w:rPr>
          <w:sz w:val="36"/>
          <w:szCs w:val="36"/>
          <w:rtl/>
        </w:rPr>
        <w:t xml:space="preserve"> </w:t>
      </w:r>
      <w:r w:rsidRPr="00FD211F">
        <w:rPr>
          <w:sz w:val="36"/>
          <w:szCs w:val="36"/>
          <w:rtl/>
        </w:rPr>
        <w:t>ليست</w:t>
      </w:r>
      <w:r w:rsidR="00E8128F">
        <w:rPr>
          <w:sz w:val="36"/>
          <w:szCs w:val="36"/>
          <w:rtl/>
        </w:rPr>
        <w:t xml:space="preserve"> </w:t>
      </w:r>
      <w:r w:rsidRPr="00FD211F">
        <w:rPr>
          <w:sz w:val="36"/>
          <w:szCs w:val="36"/>
          <w:rtl/>
        </w:rPr>
        <w:t>ظرفي</w:t>
      </w:r>
      <w:r w:rsidR="00EC7EDF" w:rsidRPr="00FD211F">
        <w:rPr>
          <w:sz w:val="36"/>
          <w:szCs w:val="36"/>
          <w:rtl/>
        </w:rPr>
        <w:t>ة</w:t>
      </w:r>
      <w:r w:rsidR="00E8128F">
        <w:rPr>
          <w:sz w:val="36"/>
          <w:szCs w:val="36"/>
          <w:rtl/>
        </w:rPr>
        <w:t xml:space="preserve"> </w:t>
      </w:r>
      <w:r w:rsidRPr="00FD211F">
        <w:rPr>
          <w:sz w:val="36"/>
          <w:szCs w:val="36"/>
          <w:rtl/>
        </w:rPr>
        <w:t>حقيقي</w:t>
      </w:r>
      <w:r w:rsidR="00EC7EDF" w:rsidRPr="00FD211F">
        <w:rPr>
          <w:sz w:val="36"/>
          <w:szCs w:val="36"/>
          <w:rtl/>
        </w:rPr>
        <w:t>ة</w:t>
      </w:r>
      <w:r w:rsidR="00E8128F">
        <w:rPr>
          <w:sz w:val="36"/>
          <w:szCs w:val="36"/>
          <w:rtl/>
        </w:rPr>
        <w:t xml:space="preserve"> </w:t>
      </w:r>
      <w:r w:rsidRPr="00FD211F">
        <w:rPr>
          <w:sz w:val="36"/>
          <w:szCs w:val="36"/>
          <w:rtl/>
        </w:rPr>
        <w:t>وانما</w:t>
      </w:r>
      <w:r w:rsidR="00E8128F">
        <w:rPr>
          <w:sz w:val="36"/>
          <w:szCs w:val="36"/>
          <w:rtl/>
        </w:rPr>
        <w:t xml:space="preserve"> </w:t>
      </w:r>
      <w:r w:rsidRPr="00FD211F">
        <w:rPr>
          <w:sz w:val="36"/>
          <w:szCs w:val="36"/>
          <w:rtl/>
        </w:rPr>
        <w:t>هي</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تشبيه</w:t>
      </w:r>
      <w:r w:rsidR="00E8128F">
        <w:rPr>
          <w:sz w:val="36"/>
          <w:szCs w:val="36"/>
          <w:rtl/>
        </w:rPr>
        <w:t xml:space="preserve"> </w:t>
      </w:r>
      <w:r w:rsidRPr="00FD211F">
        <w:rPr>
          <w:sz w:val="36"/>
          <w:szCs w:val="36"/>
          <w:rtl/>
        </w:rPr>
        <w:t>إحاط</w:t>
      </w:r>
      <w:r w:rsidR="00EC7EDF" w:rsidRPr="00FD211F">
        <w:rPr>
          <w:sz w:val="36"/>
          <w:szCs w:val="36"/>
          <w:rtl/>
        </w:rPr>
        <w:t>ة</w:t>
      </w:r>
      <w:r w:rsidR="00E8128F">
        <w:rPr>
          <w:sz w:val="36"/>
          <w:szCs w:val="36"/>
          <w:rtl/>
        </w:rPr>
        <w:t xml:space="preserve"> </w:t>
      </w:r>
      <w:r w:rsidRPr="00FD211F">
        <w:rPr>
          <w:sz w:val="36"/>
          <w:szCs w:val="36"/>
          <w:rtl/>
        </w:rPr>
        <w:t>الزمان</w:t>
      </w:r>
      <w:r w:rsidR="00E8128F">
        <w:rPr>
          <w:sz w:val="36"/>
          <w:szCs w:val="36"/>
          <w:rtl/>
        </w:rPr>
        <w:t xml:space="preserve"> </w:t>
      </w:r>
      <w:r w:rsidRPr="00FD211F">
        <w:rPr>
          <w:sz w:val="36"/>
          <w:szCs w:val="36"/>
          <w:rtl/>
        </w:rPr>
        <w:t>بالزماني</w:t>
      </w:r>
      <w:r w:rsidR="00E8128F">
        <w:rPr>
          <w:sz w:val="36"/>
          <w:szCs w:val="36"/>
          <w:rtl/>
        </w:rPr>
        <w:t xml:space="preserve"> </w:t>
      </w:r>
      <w:r w:rsidR="009C7A9A" w:rsidRPr="00FD211F">
        <w:rPr>
          <w:sz w:val="36"/>
          <w:szCs w:val="36"/>
          <w:rtl/>
        </w:rPr>
        <w:t>بإحا</w:t>
      </w:r>
      <w:r w:rsidRPr="00FD211F">
        <w:rPr>
          <w:sz w:val="36"/>
          <w:szCs w:val="36"/>
          <w:rtl/>
        </w:rPr>
        <w:t>ط</w:t>
      </w:r>
      <w:r w:rsidR="00EC7EDF" w:rsidRPr="00FD211F">
        <w:rPr>
          <w:sz w:val="36"/>
          <w:szCs w:val="36"/>
          <w:rtl/>
        </w:rPr>
        <w:t>ة</w:t>
      </w:r>
      <w:r w:rsidR="00E8128F">
        <w:rPr>
          <w:sz w:val="36"/>
          <w:szCs w:val="36"/>
          <w:rtl/>
        </w:rPr>
        <w:t xml:space="preserve"> </w:t>
      </w:r>
      <w:r w:rsidRPr="00FD211F">
        <w:rPr>
          <w:sz w:val="36"/>
          <w:szCs w:val="36"/>
          <w:rtl/>
        </w:rPr>
        <w:t>المكان</w:t>
      </w:r>
      <w:r w:rsidR="00E8128F">
        <w:rPr>
          <w:sz w:val="36"/>
          <w:szCs w:val="36"/>
          <w:rtl/>
        </w:rPr>
        <w:t xml:space="preserve"> </w:t>
      </w:r>
      <w:r w:rsidRPr="00FD211F">
        <w:rPr>
          <w:sz w:val="36"/>
          <w:szCs w:val="36"/>
          <w:rtl/>
        </w:rPr>
        <w:t>بالجسم</w:t>
      </w:r>
      <w:r w:rsidR="009C58C8" w:rsidRPr="00FD211F">
        <w:rPr>
          <w:rStyle w:val="a6"/>
          <w:sz w:val="36"/>
          <w:szCs w:val="36"/>
          <w:rtl/>
        </w:rPr>
        <w:t>(</w:t>
      </w:r>
      <w:r w:rsidR="009C58C8" w:rsidRPr="00FD211F">
        <w:rPr>
          <w:rStyle w:val="a6"/>
          <w:sz w:val="36"/>
          <w:szCs w:val="36"/>
          <w:rtl/>
        </w:rPr>
        <w:footnoteReference w:id="529"/>
      </w:r>
      <w:r w:rsidR="009C58C8" w:rsidRPr="00FD211F">
        <w:rPr>
          <w:rStyle w:val="a6"/>
          <w:sz w:val="36"/>
          <w:szCs w:val="36"/>
          <w:rtl/>
        </w:rPr>
        <w:t>)</w:t>
      </w:r>
      <w:r w:rsidRPr="00FD211F">
        <w:rPr>
          <w:sz w:val="36"/>
          <w:szCs w:val="36"/>
          <w:rtl/>
        </w:rPr>
        <w:t>.</w:t>
      </w:r>
    </w:p>
    <w:p w14:paraId="6AB54665" w14:textId="77777777" w:rsidR="00B74B32" w:rsidRPr="00FD211F" w:rsidRDefault="00AC2AC2" w:rsidP="009C58C8">
      <w:pPr>
        <w:ind w:left="0" w:firstLine="227"/>
        <w:jc w:val="both"/>
        <w:rPr>
          <w:sz w:val="36"/>
          <w:szCs w:val="36"/>
          <w:rtl/>
        </w:rPr>
      </w:pPr>
      <w:r w:rsidRPr="00FD211F">
        <w:rPr>
          <w:sz w:val="36"/>
          <w:szCs w:val="36"/>
          <w:rtl/>
        </w:rPr>
        <w:t>ف</w:t>
      </w:r>
      <w:r w:rsidR="00810AAA" w:rsidRPr="00FD211F">
        <w:rPr>
          <w:sz w:val="36"/>
          <w:szCs w:val="36"/>
          <w:rtl/>
        </w:rPr>
        <w:t>ان</w:t>
      </w:r>
      <w:r w:rsidR="00E8128F">
        <w:rPr>
          <w:sz w:val="36"/>
          <w:szCs w:val="36"/>
          <w:rtl/>
        </w:rPr>
        <w:t xml:space="preserve"> </w:t>
      </w:r>
      <w:r w:rsidR="00FD5BAD" w:rsidRPr="00FD211F">
        <w:rPr>
          <w:sz w:val="36"/>
          <w:szCs w:val="36"/>
          <w:rtl/>
        </w:rPr>
        <w:t>انكار</w:t>
      </w:r>
      <w:r w:rsidR="00E8128F">
        <w:rPr>
          <w:sz w:val="36"/>
          <w:szCs w:val="36"/>
          <w:rtl/>
        </w:rPr>
        <w:t xml:space="preserve"> </w:t>
      </w:r>
      <w:r w:rsidR="00FD5BAD" w:rsidRPr="00FD211F">
        <w:rPr>
          <w:sz w:val="36"/>
          <w:szCs w:val="36"/>
          <w:rtl/>
        </w:rPr>
        <w:t>الظرفي</w:t>
      </w:r>
      <w:r w:rsidR="00EC7EDF" w:rsidRPr="00FD211F">
        <w:rPr>
          <w:sz w:val="36"/>
          <w:szCs w:val="36"/>
          <w:rtl/>
        </w:rPr>
        <w:t>ة</w:t>
      </w:r>
      <w:r w:rsidR="00E8128F">
        <w:rPr>
          <w:sz w:val="36"/>
          <w:szCs w:val="36"/>
          <w:rtl/>
        </w:rPr>
        <w:t xml:space="preserve"> </w:t>
      </w:r>
      <w:r w:rsidR="00FD5BAD" w:rsidRPr="00FD211F">
        <w:rPr>
          <w:sz w:val="36"/>
          <w:szCs w:val="36"/>
          <w:rtl/>
        </w:rPr>
        <w:t>للزمان</w:t>
      </w:r>
      <w:r w:rsidR="00E8128F">
        <w:rPr>
          <w:sz w:val="36"/>
          <w:szCs w:val="36"/>
          <w:rtl/>
        </w:rPr>
        <w:t xml:space="preserve"> </w:t>
      </w:r>
      <w:r w:rsidRPr="00FD211F">
        <w:rPr>
          <w:sz w:val="36"/>
          <w:szCs w:val="36"/>
          <w:rtl/>
        </w:rPr>
        <w:t>خلاف</w:t>
      </w:r>
      <w:r w:rsidR="00E8128F">
        <w:rPr>
          <w:sz w:val="36"/>
          <w:szCs w:val="36"/>
          <w:rtl/>
        </w:rPr>
        <w:t xml:space="preserve"> </w:t>
      </w:r>
      <w:r w:rsidRPr="00FD211F">
        <w:rPr>
          <w:sz w:val="36"/>
          <w:szCs w:val="36"/>
          <w:rtl/>
        </w:rPr>
        <w:t>الظاهر</w:t>
      </w:r>
      <w:r w:rsidR="00E8128F">
        <w:rPr>
          <w:sz w:val="36"/>
          <w:szCs w:val="36"/>
          <w:rtl/>
        </w:rPr>
        <w:t xml:space="preserve"> </w:t>
      </w:r>
      <w:r w:rsidRPr="00FD211F">
        <w:rPr>
          <w:sz w:val="36"/>
          <w:szCs w:val="36"/>
          <w:rtl/>
        </w:rPr>
        <w:t>العرفي</w:t>
      </w:r>
      <w:r w:rsidR="00603323" w:rsidRPr="00FD211F">
        <w:rPr>
          <w:sz w:val="36"/>
          <w:szCs w:val="36"/>
          <w:rtl/>
        </w:rPr>
        <w:t>،</w:t>
      </w:r>
      <w:r w:rsidR="00E8128F">
        <w:rPr>
          <w:sz w:val="36"/>
          <w:szCs w:val="36"/>
          <w:rtl/>
        </w:rPr>
        <w:t xml:space="preserve"> </w:t>
      </w:r>
      <w:r w:rsidRPr="00FD211F">
        <w:rPr>
          <w:sz w:val="36"/>
          <w:szCs w:val="36"/>
          <w:rtl/>
        </w:rPr>
        <w:t>ويشهد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التعبير</w:t>
      </w:r>
      <w:r w:rsidR="00E8128F">
        <w:rPr>
          <w:sz w:val="36"/>
          <w:szCs w:val="36"/>
          <w:rtl/>
        </w:rPr>
        <w:t xml:space="preserve"> </w:t>
      </w:r>
      <w:r w:rsidRPr="00FD211F">
        <w:rPr>
          <w:sz w:val="36"/>
          <w:szCs w:val="36"/>
          <w:rtl/>
        </w:rPr>
        <w:t>بكلم</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مقام</w:t>
      </w:r>
      <w:r w:rsidR="00E8128F">
        <w:rPr>
          <w:sz w:val="36"/>
          <w:szCs w:val="36"/>
          <w:rtl/>
        </w:rPr>
        <w:t xml:space="preserve"> </w:t>
      </w:r>
      <w:r w:rsidRPr="00FD211F">
        <w:rPr>
          <w:sz w:val="36"/>
          <w:szCs w:val="36"/>
          <w:rtl/>
        </w:rPr>
        <w:t>الدلال</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وقوع</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الزمان</w:t>
      </w:r>
      <w:r w:rsidR="00603323" w:rsidRPr="00FD211F">
        <w:rPr>
          <w:sz w:val="36"/>
          <w:szCs w:val="36"/>
          <w:rtl/>
        </w:rPr>
        <w:t>،</w:t>
      </w:r>
      <w:r w:rsidR="00E8128F">
        <w:rPr>
          <w:sz w:val="36"/>
          <w:szCs w:val="36"/>
          <w:rtl/>
        </w:rPr>
        <w:t xml:space="preserve"> </w:t>
      </w:r>
      <w:r w:rsidRPr="00FD211F">
        <w:rPr>
          <w:sz w:val="36"/>
          <w:szCs w:val="36"/>
          <w:rtl/>
        </w:rPr>
        <w:t>وبناء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ذكرناه</w:t>
      </w:r>
      <w:r w:rsidR="00E8128F">
        <w:rPr>
          <w:sz w:val="36"/>
          <w:szCs w:val="36"/>
          <w:rtl/>
        </w:rPr>
        <w:t xml:space="preserve"> </w:t>
      </w:r>
      <w:r w:rsidR="00A63DAC" w:rsidRPr="00FD211F">
        <w:rPr>
          <w:sz w:val="36"/>
          <w:szCs w:val="36"/>
          <w:rtl/>
        </w:rPr>
        <w:t>فيكون</w:t>
      </w:r>
      <w:r w:rsidR="00E8128F">
        <w:rPr>
          <w:sz w:val="36"/>
          <w:szCs w:val="36"/>
          <w:rtl/>
        </w:rPr>
        <w:t xml:space="preserve"> </w:t>
      </w:r>
      <w:r w:rsidR="00A63DAC" w:rsidRPr="00FD211F">
        <w:rPr>
          <w:sz w:val="36"/>
          <w:szCs w:val="36"/>
          <w:rtl/>
        </w:rPr>
        <w:t>الفرق</w:t>
      </w:r>
      <w:r w:rsidR="00E8128F">
        <w:rPr>
          <w:sz w:val="36"/>
          <w:szCs w:val="36"/>
          <w:rtl/>
        </w:rPr>
        <w:t xml:space="preserve"> </w:t>
      </w:r>
      <w:r w:rsidR="00A63DAC" w:rsidRPr="00FD211F">
        <w:rPr>
          <w:sz w:val="36"/>
          <w:szCs w:val="36"/>
          <w:rtl/>
        </w:rPr>
        <w:t>بين</w:t>
      </w:r>
      <w:r w:rsidR="00E8128F">
        <w:rPr>
          <w:sz w:val="36"/>
          <w:szCs w:val="36"/>
          <w:rtl/>
        </w:rPr>
        <w:t xml:space="preserve"> </w:t>
      </w:r>
      <w:r w:rsidR="00A772DF" w:rsidRPr="00FD211F">
        <w:rPr>
          <w:sz w:val="36"/>
          <w:szCs w:val="36"/>
          <w:rtl/>
        </w:rPr>
        <w:t>كلم</w:t>
      </w:r>
      <w:r w:rsidR="00EC7EDF" w:rsidRPr="00FD211F">
        <w:rPr>
          <w:sz w:val="36"/>
          <w:szCs w:val="36"/>
          <w:rtl/>
        </w:rPr>
        <w:t>ة</w:t>
      </w:r>
      <w:r w:rsidR="00E8128F">
        <w:rPr>
          <w:sz w:val="36"/>
          <w:szCs w:val="36"/>
          <w:rtl/>
        </w:rPr>
        <w:t xml:space="preserve"> </w:t>
      </w:r>
      <w:r w:rsidR="00A772DF" w:rsidRPr="00FD211F">
        <w:rPr>
          <w:sz w:val="36"/>
          <w:szCs w:val="36"/>
          <w:rtl/>
        </w:rPr>
        <w:t>المقتل</w:t>
      </w:r>
      <w:r w:rsidR="00E8128F">
        <w:rPr>
          <w:sz w:val="36"/>
          <w:szCs w:val="36"/>
          <w:rtl/>
        </w:rPr>
        <w:t xml:space="preserve"> </w:t>
      </w:r>
      <w:r w:rsidR="00A772DF" w:rsidRPr="00FD211F">
        <w:rPr>
          <w:sz w:val="36"/>
          <w:szCs w:val="36"/>
          <w:rtl/>
        </w:rPr>
        <w:t>وجمل</w:t>
      </w:r>
      <w:r w:rsidR="00EC7EDF" w:rsidRPr="00FD211F">
        <w:rPr>
          <w:sz w:val="36"/>
          <w:szCs w:val="36"/>
          <w:rtl/>
        </w:rPr>
        <w:t>ة</w:t>
      </w:r>
      <w:r w:rsidR="00E8128F">
        <w:rPr>
          <w:sz w:val="36"/>
          <w:szCs w:val="36"/>
          <w:rtl/>
        </w:rPr>
        <w:t xml:space="preserve"> </w:t>
      </w:r>
      <w:r w:rsidR="00A772DF" w:rsidRPr="00FD211F">
        <w:rPr>
          <w:sz w:val="36"/>
          <w:szCs w:val="36"/>
          <w:rtl/>
        </w:rPr>
        <w:t>ما</w:t>
      </w:r>
      <w:r w:rsidR="00E8128F">
        <w:rPr>
          <w:sz w:val="36"/>
          <w:szCs w:val="36"/>
          <w:rtl/>
        </w:rPr>
        <w:t xml:space="preserve"> </w:t>
      </w:r>
      <w:r w:rsidR="00A772DF" w:rsidRPr="00FD211F">
        <w:rPr>
          <w:sz w:val="36"/>
          <w:szCs w:val="36"/>
          <w:rtl/>
        </w:rPr>
        <w:t>وقع</w:t>
      </w:r>
      <w:r w:rsidR="00E8128F">
        <w:rPr>
          <w:sz w:val="36"/>
          <w:szCs w:val="36"/>
          <w:rtl/>
        </w:rPr>
        <w:t xml:space="preserve"> </w:t>
      </w:r>
      <w:r w:rsidR="00A772DF" w:rsidRPr="00FD211F">
        <w:rPr>
          <w:sz w:val="36"/>
          <w:szCs w:val="36"/>
          <w:rtl/>
        </w:rPr>
        <w:t>فيه</w:t>
      </w:r>
      <w:r w:rsidR="00E8128F">
        <w:rPr>
          <w:sz w:val="36"/>
          <w:szCs w:val="36"/>
          <w:rtl/>
        </w:rPr>
        <w:t xml:space="preserve"> </w:t>
      </w:r>
      <w:r w:rsidR="00A772DF" w:rsidRPr="00FD211F">
        <w:rPr>
          <w:sz w:val="36"/>
          <w:szCs w:val="36"/>
          <w:rtl/>
        </w:rPr>
        <w:t>القتل</w:t>
      </w:r>
      <w:r w:rsidR="00E8128F">
        <w:rPr>
          <w:sz w:val="36"/>
          <w:szCs w:val="36"/>
          <w:rtl/>
        </w:rPr>
        <w:t xml:space="preserve"> </w:t>
      </w:r>
      <w:r w:rsidR="00A772DF" w:rsidRPr="00FD211F">
        <w:rPr>
          <w:sz w:val="36"/>
          <w:szCs w:val="36"/>
          <w:rtl/>
        </w:rPr>
        <w:t>نظير</w:t>
      </w:r>
      <w:r w:rsidR="00E8128F">
        <w:rPr>
          <w:sz w:val="36"/>
          <w:szCs w:val="36"/>
          <w:rtl/>
        </w:rPr>
        <w:t xml:space="preserve"> </w:t>
      </w:r>
      <w:r w:rsidR="00A63DAC" w:rsidRPr="00FD211F">
        <w:rPr>
          <w:sz w:val="36"/>
          <w:szCs w:val="36"/>
          <w:rtl/>
        </w:rPr>
        <w:t>الفرق</w:t>
      </w:r>
      <w:r w:rsidR="00E8128F">
        <w:rPr>
          <w:sz w:val="36"/>
          <w:szCs w:val="36"/>
          <w:rtl/>
        </w:rPr>
        <w:t xml:space="preserve"> </w:t>
      </w:r>
      <w:r w:rsidR="00A63DAC" w:rsidRPr="00FD211F">
        <w:rPr>
          <w:sz w:val="36"/>
          <w:szCs w:val="36"/>
          <w:rtl/>
        </w:rPr>
        <w:t>بين</w:t>
      </w:r>
      <w:r w:rsidR="00E8128F">
        <w:rPr>
          <w:sz w:val="36"/>
          <w:szCs w:val="36"/>
          <w:rtl/>
        </w:rPr>
        <w:t xml:space="preserve"> </w:t>
      </w:r>
      <w:r w:rsidR="00A63DAC" w:rsidRPr="00FD211F">
        <w:rPr>
          <w:sz w:val="36"/>
          <w:szCs w:val="36"/>
          <w:rtl/>
        </w:rPr>
        <w:t>العالم</w:t>
      </w:r>
      <w:r w:rsidR="00E8128F">
        <w:rPr>
          <w:sz w:val="36"/>
          <w:szCs w:val="36"/>
          <w:rtl/>
        </w:rPr>
        <w:t xml:space="preserve"> </w:t>
      </w:r>
      <w:r w:rsidR="00A63DAC" w:rsidRPr="00FD211F">
        <w:rPr>
          <w:sz w:val="36"/>
          <w:szCs w:val="36"/>
          <w:rtl/>
        </w:rPr>
        <w:t>وذات</w:t>
      </w:r>
      <w:r w:rsidR="00E8128F">
        <w:rPr>
          <w:sz w:val="36"/>
          <w:szCs w:val="36"/>
          <w:rtl/>
        </w:rPr>
        <w:t xml:space="preserve"> </w:t>
      </w:r>
      <w:r w:rsidR="00A63DAC" w:rsidRPr="00FD211F">
        <w:rPr>
          <w:sz w:val="36"/>
          <w:szCs w:val="36"/>
          <w:rtl/>
        </w:rPr>
        <w:t>ثبت</w:t>
      </w:r>
      <w:r w:rsidR="00E8128F">
        <w:rPr>
          <w:sz w:val="36"/>
          <w:szCs w:val="36"/>
          <w:rtl/>
        </w:rPr>
        <w:t xml:space="preserve"> </w:t>
      </w:r>
      <w:r w:rsidR="00A63DAC" w:rsidRPr="00FD211F">
        <w:rPr>
          <w:sz w:val="36"/>
          <w:szCs w:val="36"/>
          <w:rtl/>
        </w:rPr>
        <w:t>له</w:t>
      </w:r>
      <w:r w:rsidR="00E8128F">
        <w:rPr>
          <w:sz w:val="36"/>
          <w:szCs w:val="36"/>
          <w:rtl/>
        </w:rPr>
        <w:t xml:space="preserve"> </w:t>
      </w:r>
      <w:r w:rsidR="00A63DAC" w:rsidRPr="00FD211F">
        <w:rPr>
          <w:sz w:val="36"/>
          <w:szCs w:val="36"/>
          <w:rtl/>
        </w:rPr>
        <w:t>العلم</w:t>
      </w:r>
      <w:r w:rsidR="00A772DF" w:rsidRPr="00FD211F">
        <w:rPr>
          <w:sz w:val="36"/>
          <w:szCs w:val="36"/>
          <w:rtl/>
        </w:rPr>
        <w:t>.</w:t>
      </w:r>
      <w:r w:rsidR="00E8128F">
        <w:rPr>
          <w:sz w:val="36"/>
          <w:szCs w:val="36"/>
          <w:rtl/>
        </w:rPr>
        <w:t xml:space="preserve"> </w:t>
      </w:r>
    </w:p>
    <w:p w14:paraId="475A7ED6" w14:textId="77777777" w:rsidR="000C5BBA" w:rsidRPr="00FD211F" w:rsidRDefault="00736EFC" w:rsidP="009C58C8">
      <w:pPr>
        <w:ind w:left="0" w:firstLine="227"/>
        <w:jc w:val="both"/>
        <w:rPr>
          <w:sz w:val="36"/>
          <w:szCs w:val="36"/>
          <w:rtl/>
        </w:rPr>
      </w:pPr>
      <w:r w:rsidRPr="00FD211F">
        <w:rPr>
          <w:b/>
          <w:bCs/>
          <w:sz w:val="36"/>
          <w:szCs w:val="36"/>
          <w:rtl/>
        </w:rPr>
        <w:t>ثانيهما: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أن</w:t>
      </w:r>
      <w:r w:rsidR="00E8128F">
        <w:rPr>
          <w:sz w:val="36"/>
          <w:szCs w:val="36"/>
          <w:rtl/>
        </w:rPr>
        <w:t xml:space="preserve"> </w:t>
      </w:r>
      <w:r w:rsidR="00EC4FC8" w:rsidRPr="00FD211F">
        <w:rPr>
          <w:sz w:val="36"/>
          <w:szCs w:val="36"/>
          <w:rtl/>
        </w:rPr>
        <w:t>صاحب</w:t>
      </w:r>
      <w:r w:rsidR="00E8128F">
        <w:rPr>
          <w:sz w:val="36"/>
          <w:szCs w:val="36"/>
          <w:rtl/>
        </w:rPr>
        <w:t xml:space="preserve"> </w:t>
      </w:r>
      <w:r w:rsidR="00EC4FC8" w:rsidRPr="00FD211F">
        <w:rPr>
          <w:sz w:val="36"/>
          <w:szCs w:val="36"/>
          <w:rtl/>
        </w:rPr>
        <w:t>الكفاي</w:t>
      </w:r>
      <w:r w:rsidR="00EC7EDF" w:rsidRPr="00FD211F">
        <w:rPr>
          <w:sz w:val="36"/>
          <w:szCs w:val="36"/>
          <w:rtl/>
        </w:rPr>
        <w:t>ة</w:t>
      </w:r>
      <w:r w:rsidR="00E8128F">
        <w:rPr>
          <w:sz w:val="36"/>
          <w:szCs w:val="36"/>
          <w:rtl/>
        </w:rPr>
        <w:t xml:space="preserve"> </w:t>
      </w:r>
      <w:r w:rsidRPr="00FD211F">
        <w:rPr>
          <w:sz w:val="36"/>
          <w:szCs w:val="36"/>
          <w:rtl/>
        </w:rPr>
        <w:t>"قده"</w:t>
      </w:r>
      <w:r w:rsidR="00E8128F">
        <w:rPr>
          <w:sz w:val="36"/>
          <w:szCs w:val="36"/>
          <w:rtl/>
        </w:rPr>
        <w:t xml:space="preserve"> </w:t>
      </w:r>
      <w:r w:rsidR="00643097" w:rsidRPr="00FD211F">
        <w:rPr>
          <w:sz w:val="36"/>
          <w:szCs w:val="36"/>
          <w:rtl/>
        </w:rPr>
        <w:t>يدعي</w:t>
      </w:r>
      <w:r w:rsidR="00E8128F">
        <w:rPr>
          <w:sz w:val="36"/>
          <w:szCs w:val="36"/>
          <w:rtl/>
        </w:rPr>
        <w:t xml:space="preserve"> </w:t>
      </w:r>
      <w:r w:rsidR="00643097" w:rsidRPr="00FD211F">
        <w:rPr>
          <w:sz w:val="36"/>
          <w:szCs w:val="36"/>
          <w:rtl/>
        </w:rPr>
        <w:t>ان</w:t>
      </w:r>
      <w:r w:rsidR="00E8128F">
        <w:rPr>
          <w:sz w:val="36"/>
          <w:szCs w:val="36"/>
          <w:rtl/>
        </w:rPr>
        <w:t xml:space="preserve"> </w:t>
      </w:r>
      <w:r w:rsidR="00EC4FC8" w:rsidRPr="00FD211F">
        <w:rPr>
          <w:sz w:val="36"/>
          <w:szCs w:val="36"/>
          <w:rtl/>
        </w:rPr>
        <w:t>انفكاك</w:t>
      </w:r>
      <w:r w:rsidR="00E8128F">
        <w:rPr>
          <w:sz w:val="36"/>
          <w:szCs w:val="36"/>
          <w:rtl/>
        </w:rPr>
        <w:t xml:space="preserve"> </w:t>
      </w:r>
      <w:r w:rsidR="00EC4FC8" w:rsidRPr="00FD211F">
        <w:rPr>
          <w:sz w:val="36"/>
          <w:szCs w:val="36"/>
          <w:rtl/>
        </w:rPr>
        <w:t>الحدث</w:t>
      </w:r>
      <w:r w:rsidR="00E8128F">
        <w:rPr>
          <w:sz w:val="36"/>
          <w:szCs w:val="36"/>
          <w:rtl/>
        </w:rPr>
        <w:t xml:space="preserve"> </w:t>
      </w:r>
      <w:r w:rsidR="00EC4FC8" w:rsidRPr="00FD211F">
        <w:rPr>
          <w:sz w:val="36"/>
          <w:szCs w:val="36"/>
          <w:rtl/>
        </w:rPr>
        <w:t>مع</w:t>
      </w:r>
      <w:r w:rsidR="00E8128F">
        <w:rPr>
          <w:sz w:val="36"/>
          <w:szCs w:val="36"/>
          <w:rtl/>
        </w:rPr>
        <w:t xml:space="preserve"> </w:t>
      </w:r>
      <w:r w:rsidR="00EC4FC8" w:rsidRPr="00FD211F">
        <w:rPr>
          <w:sz w:val="36"/>
          <w:szCs w:val="36"/>
          <w:rtl/>
        </w:rPr>
        <w:t>بقاء</w:t>
      </w:r>
      <w:r w:rsidR="00E8128F">
        <w:rPr>
          <w:sz w:val="36"/>
          <w:szCs w:val="36"/>
          <w:rtl/>
        </w:rPr>
        <w:t xml:space="preserve"> </w:t>
      </w:r>
      <w:r w:rsidR="00EC4FC8" w:rsidRPr="00FD211F">
        <w:rPr>
          <w:sz w:val="36"/>
          <w:szCs w:val="36"/>
          <w:rtl/>
        </w:rPr>
        <w:t>الآن</w:t>
      </w:r>
      <w:r w:rsidR="00E8128F">
        <w:rPr>
          <w:sz w:val="36"/>
          <w:szCs w:val="36"/>
          <w:rtl/>
        </w:rPr>
        <w:t xml:space="preserve"> </w:t>
      </w:r>
      <w:r w:rsidR="00EC4FC8" w:rsidRPr="00FD211F">
        <w:rPr>
          <w:sz w:val="36"/>
          <w:szCs w:val="36"/>
          <w:rtl/>
        </w:rPr>
        <w:t>الواقع</w:t>
      </w:r>
      <w:r w:rsidR="00E8128F">
        <w:rPr>
          <w:sz w:val="36"/>
          <w:szCs w:val="36"/>
          <w:rtl/>
        </w:rPr>
        <w:t xml:space="preserve"> </w:t>
      </w:r>
      <w:r w:rsidR="00EC4FC8" w:rsidRPr="00FD211F">
        <w:rPr>
          <w:sz w:val="36"/>
          <w:szCs w:val="36"/>
          <w:rtl/>
        </w:rPr>
        <w:t>فيه</w:t>
      </w:r>
      <w:r w:rsidR="00E8128F">
        <w:rPr>
          <w:sz w:val="36"/>
          <w:szCs w:val="36"/>
          <w:rtl/>
        </w:rPr>
        <w:t xml:space="preserve"> </w:t>
      </w:r>
      <w:r w:rsidR="00EC4FC8" w:rsidRPr="00FD211F">
        <w:rPr>
          <w:sz w:val="36"/>
          <w:szCs w:val="36"/>
          <w:rtl/>
        </w:rPr>
        <w:t>الحدث</w:t>
      </w:r>
      <w:r w:rsidR="00E8128F">
        <w:rPr>
          <w:sz w:val="36"/>
          <w:szCs w:val="36"/>
          <w:rtl/>
        </w:rPr>
        <w:t xml:space="preserve"> </w:t>
      </w:r>
      <w:r w:rsidR="00643097" w:rsidRPr="00FD211F">
        <w:rPr>
          <w:sz w:val="36"/>
          <w:szCs w:val="36"/>
          <w:rtl/>
        </w:rPr>
        <w:t>وان</w:t>
      </w:r>
      <w:r w:rsidR="00E8128F">
        <w:rPr>
          <w:sz w:val="36"/>
          <w:szCs w:val="36"/>
          <w:rtl/>
        </w:rPr>
        <w:t xml:space="preserve"> </w:t>
      </w:r>
      <w:r w:rsidR="00643097" w:rsidRPr="00FD211F">
        <w:rPr>
          <w:sz w:val="36"/>
          <w:szCs w:val="36"/>
          <w:rtl/>
        </w:rPr>
        <w:t>كان</w:t>
      </w:r>
      <w:r w:rsidR="00E8128F">
        <w:rPr>
          <w:sz w:val="36"/>
          <w:szCs w:val="36"/>
          <w:rtl/>
        </w:rPr>
        <w:t xml:space="preserve"> </w:t>
      </w:r>
      <w:r w:rsidR="00643097" w:rsidRPr="00FD211F">
        <w:rPr>
          <w:sz w:val="36"/>
          <w:szCs w:val="36"/>
          <w:rtl/>
        </w:rPr>
        <w:t>مستحيلا</w:t>
      </w:r>
      <w:r w:rsidR="00E8128F">
        <w:rPr>
          <w:sz w:val="36"/>
          <w:szCs w:val="36"/>
          <w:rtl/>
        </w:rPr>
        <w:t xml:space="preserve"> </w:t>
      </w:r>
      <w:r w:rsidR="00643097" w:rsidRPr="00FD211F">
        <w:rPr>
          <w:sz w:val="36"/>
          <w:szCs w:val="36"/>
          <w:rtl/>
        </w:rPr>
        <w:t>عقلا</w:t>
      </w:r>
      <w:r w:rsidR="00603323" w:rsidRPr="00FD211F">
        <w:rPr>
          <w:sz w:val="36"/>
          <w:szCs w:val="36"/>
          <w:rtl/>
        </w:rPr>
        <w:t>،</w:t>
      </w:r>
      <w:r w:rsidR="00E8128F">
        <w:rPr>
          <w:sz w:val="36"/>
          <w:szCs w:val="36"/>
          <w:rtl/>
        </w:rPr>
        <w:t xml:space="preserve"> </w:t>
      </w:r>
      <w:r w:rsidR="00643097" w:rsidRPr="00FD211F">
        <w:rPr>
          <w:sz w:val="36"/>
          <w:szCs w:val="36"/>
          <w:rtl/>
        </w:rPr>
        <w:t>لكن</w:t>
      </w:r>
      <w:r w:rsidR="00E8128F">
        <w:rPr>
          <w:sz w:val="36"/>
          <w:szCs w:val="36"/>
          <w:rtl/>
        </w:rPr>
        <w:t xml:space="preserve"> </w:t>
      </w:r>
      <w:r w:rsidR="00EC4FC8" w:rsidRPr="00FD211F">
        <w:rPr>
          <w:sz w:val="36"/>
          <w:szCs w:val="36"/>
          <w:rtl/>
        </w:rPr>
        <w:t>ليس</w:t>
      </w:r>
      <w:r w:rsidR="00E8128F">
        <w:rPr>
          <w:sz w:val="36"/>
          <w:szCs w:val="36"/>
          <w:rtl/>
        </w:rPr>
        <w:t xml:space="preserve"> </w:t>
      </w:r>
      <w:r w:rsidR="00EC4FC8" w:rsidRPr="00FD211F">
        <w:rPr>
          <w:sz w:val="36"/>
          <w:szCs w:val="36"/>
          <w:rtl/>
        </w:rPr>
        <w:t>فرضا</w:t>
      </w:r>
      <w:r w:rsidR="00E8128F">
        <w:rPr>
          <w:sz w:val="36"/>
          <w:szCs w:val="36"/>
          <w:rtl/>
        </w:rPr>
        <w:t xml:space="preserve"> </w:t>
      </w:r>
      <w:r w:rsidR="00EC4FC8" w:rsidRPr="00FD211F">
        <w:rPr>
          <w:sz w:val="36"/>
          <w:szCs w:val="36"/>
          <w:rtl/>
        </w:rPr>
        <w:t>مستحيلا</w:t>
      </w:r>
      <w:r w:rsidR="00E8128F">
        <w:rPr>
          <w:sz w:val="36"/>
          <w:szCs w:val="36"/>
          <w:rtl/>
        </w:rPr>
        <w:t xml:space="preserve"> </w:t>
      </w:r>
      <w:r w:rsidR="00EC4FC8" w:rsidRPr="00FD211F">
        <w:rPr>
          <w:sz w:val="36"/>
          <w:szCs w:val="36"/>
          <w:rtl/>
        </w:rPr>
        <w:t>بالاستحال</w:t>
      </w:r>
      <w:r w:rsidR="00EC7EDF" w:rsidRPr="00FD211F">
        <w:rPr>
          <w:sz w:val="36"/>
          <w:szCs w:val="36"/>
          <w:rtl/>
        </w:rPr>
        <w:t>ة</w:t>
      </w:r>
      <w:r w:rsidR="00E8128F">
        <w:rPr>
          <w:sz w:val="36"/>
          <w:szCs w:val="36"/>
          <w:rtl/>
        </w:rPr>
        <w:t xml:space="preserve"> </w:t>
      </w:r>
      <w:r w:rsidR="00EC4FC8" w:rsidRPr="00FD211F">
        <w:rPr>
          <w:sz w:val="36"/>
          <w:szCs w:val="36"/>
          <w:rtl/>
        </w:rPr>
        <w:t>المنطقي</w:t>
      </w:r>
      <w:r w:rsidR="00EC7EDF" w:rsidRPr="00FD211F">
        <w:rPr>
          <w:sz w:val="36"/>
          <w:szCs w:val="36"/>
          <w:rtl/>
        </w:rPr>
        <w:t>ة</w:t>
      </w:r>
      <w:r w:rsidR="00E8128F">
        <w:rPr>
          <w:sz w:val="36"/>
          <w:szCs w:val="36"/>
          <w:rtl/>
        </w:rPr>
        <w:t xml:space="preserve"> </w:t>
      </w:r>
      <w:r w:rsidR="00643097" w:rsidRPr="00FD211F">
        <w:rPr>
          <w:sz w:val="36"/>
          <w:szCs w:val="36"/>
          <w:rtl/>
        </w:rPr>
        <w:t>اي</w:t>
      </w:r>
      <w:r w:rsidR="00E8128F">
        <w:rPr>
          <w:sz w:val="36"/>
          <w:szCs w:val="36"/>
          <w:rtl/>
        </w:rPr>
        <w:t xml:space="preserve"> </w:t>
      </w:r>
      <w:r w:rsidR="00643097" w:rsidRPr="00FD211F">
        <w:rPr>
          <w:sz w:val="36"/>
          <w:szCs w:val="36"/>
          <w:rtl/>
        </w:rPr>
        <w:t>ليس</w:t>
      </w:r>
      <w:r w:rsidR="00E8128F">
        <w:rPr>
          <w:sz w:val="36"/>
          <w:szCs w:val="36"/>
          <w:rtl/>
        </w:rPr>
        <w:t xml:space="preserve"> </w:t>
      </w:r>
      <w:r w:rsidR="00643097" w:rsidRPr="00FD211F">
        <w:rPr>
          <w:sz w:val="36"/>
          <w:szCs w:val="36"/>
          <w:rtl/>
        </w:rPr>
        <w:t>مشتملا</w:t>
      </w:r>
      <w:r w:rsidR="00E8128F">
        <w:rPr>
          <w:sz w:val="36"/>
          <w:szCs w:val="36"/>
          <w:rtl/>
        </w:rPr>
        <w:t xml:space="preserve"> </w:t>
      </w:r>
      <w:r w:rsidR="00643097" w:rsidRPr="00FD211F">
        <w:rPr>
          <w:sz w:val="36"/>
          <w:szCs w:val="36"/>
          <w:rtl/>
        </w:rPr>
        <w:t>على</w:t>
      </w:r>
      <w:r w:rsidR="00E8128F">
        <w:rPr>
          <w:sz w:val="36"/>
          <w:szCs w:val="36"/>
          <w:rtl/>
        </w:rPr>
        <w:t xml:space="preserve"> </w:t>
      </w:r>
      <w:r w:rsidR="00097E87" w:rsidRPr="00FD211F">
        <w:rPr>
          <w:sz w:val="36"/>
          <w:szCs w:val="36"/>
          <w:rtl/>
        </w:rPr>
        <w:t>التناقض</w:t>
      </w:r>
      <w:r w:rsidR="00E8128F">
        <w:rPr>
          <w:sz w:val="36"/>
          <w:szCs w:val="36"/>
          <w:rtl/>
        </w:rPr>
        <w:t xml:space="preserve"> </w:t>
      </w:r>
      <w:r w:rsidR="00097E87" w:rsidRPr="00FD211F">
        <w:rPr>
          <w:sz w:val="36"/>
          <w:szCs w:val="36"/>
          <w:rtl/>
        </w:rPr>
        <w:t>وال</w:t>
      </w:r>
      <w:r w:rsidR="00643097" w:rsidRPr="00FD211F">
        <w:rPr>
          <w:sz w:val="36"/>
          <w:szCs w:val="36"/>
          <w:rtl/>
        </w:rPr>
        <w:t>تهافت</w:t>
      </w:r>
      <w:r w:rsidR="00E8128F">
        <w:rPr>
          <w:sz w:val="36"/>
          <w:szCs w:val="36"/>
          <w:rtl/>
        </w:rPr>
        <w:t xml:space="preserve"> </w:t>
      </w:r>
      <w:r w:rsidR="00097E87" w:rsidRPr="00FD211F">
        <w:rPr>
          <w:sz w:val="36"/>
          <w:szCs w:val="36"/>
          <w:rtl/>
        </w:rPr>
        <w:t>ال</w:t>
      </w:r>
      <w:r w:rsidR="00643097" w:rsidRPr="00FD211F">
        <w:rPr>
          <w:sz w:val="36"/>
          <w:szCs w:val="36"/>
          <w:rtl/>
        </w:rPr>
        <w:t>تصوري</w:t>
      </w:r>
      <w:r w:rsidR="00603323" w:rsidRPr="00FD211F">
        <w:rPr>
          <w:sz w:val="36"/>
          <w:szCs w:val="36"/>
          <w:rtl/>
        </w:rPr>
        <w:t>،</w:t>
      </w:r>
      <w:r w:rsidR="00E8128F">
        <w:rPr>
          <w:sz w:val="36"/>
          <w:szCs w:val="36"/>
          <w:rtl/>
        </w:rPr>
        <w:t xml:space="preserve"> </w:t>
      </w:r>
      <w:r w:rsidR="00EC4FC8" w:rsidRPr="00FD211F">
        <w:rPr>
          <w:sz w:val="36"/>
          <w:szCs w:val="36"/>
          <w:rtl/>
        </w:rPr>
        <w:t>وقد</w:t>
      </w:r>
      <w:r w:rsidR="00E8128F">
        <w:rPr>
          <w:sz w:val="36"/>
          <w:szCs w:val="36"/>
          <w:rtl/>
        </w:rPr>
        <w:t xml:space="preserve"> </w:t>
      </w:r>
      <w:r w:rsidR="00EC4FC8" w:rsidRPr="00FD211F">
        <w:rPr>
          <w:sz w:val="36"/>
          <w:szCs w:val="36"/>
          <w:rtl/>
        </w:rPr>
        <w:t>مر</w:t>
      </w:r>
      <w:r w:rsidR="00E8128F">
        <w:rPr>
          <w:sz w:val="36"/>
          <w:szCs w:val="36"/>
          <w:rtl/>
        </w:rPr>
        <w:t xml:space="preserve"> </w:t>
      </w:r>
      <w:r w:rsidR="00EC4FC8" w:rsidRPr="00FD211F">
        <w:rPr>
          <w:sz w:val="36"/>
          <w:szCs w:val="36"/>
          <w:rtl/>
        </w:rPr>
        <w:t>ان</w:t>
      </w:r>
      <w:r w:rsidR="00E8128F">
        <w:rPr>
          <w:sz w:val="36"/>
          <w:szCs w:val="36"/>
          <w:rtl/>
        </w:rPr>
        <w:t xml:space="preserve"> </w:t>
      </w:r>
      <w:r w:rsidR="00EC4FC8" w:rsidRPr="00FD211F">
        <w:rPr>
          <w:sz w:val="36"/>
          <w:szCs w:val="36"/>
          <w:rtl/>
        </w:rPr>
        <w:t>المعتبر</w:t>
      </w:r>
      <w:r w:rsidR="00E8128F">
        <w:rPr>
          <w:sz w:val="36"/>
          <w:szCs w:val="36"/>
          <w:rtl/>
        </w:rPr>
        <w:t xml:space="preserve"> </w:t>
      </w:r>
      <w:r w:rsidR="00EC4FC8" w:rsidRPr="00FD211F">
        <w:rPr>
          <w:sz w:val="36"/>
          <w:szCs w:val="36"/>
          <w:rtl/>
        </w:rPr>
        <w:t>هو</w:t>
      </w:r>
      <w:r w:rsidR="00E8128F">
        <w:rPr>
          <w:sz w:val="36"/>
          <w:szCs w:val="36"/>
          <w:rtl/>
        </w:rPr>
        <w:t xml:space="preserve"> </w:t>
      </w:r>
      <w:r w:rsidR="00EC4FC8" w:rsidRPr="00FD211F">
        <w:rPr>
          <w:sz w:val="36"/>
          <w:szCs w:val="36"/>
          <w:rtl/>
        </w:rPr>
        <w:t>امكان</w:t>
      </w:r>
      <w:r w:rsidR="00E8128F">
        <w:rPr>
          <w:sz w:val="36"/>
          <w:szCs w:val="36"/>
          <w:rtl/>
        </w:rPr>
        <w:t xml:space="preserve"> </w:t>
      </w:r>
      <w:r w:rsidR="00EC4FC8" w:rsidRPr="00FD211F">
        <w:rPr>
          <w:sz w:val="36"/>
          <w:szCs w:val="36"/>
          <w:rtl/>
        </w:rPr>
        <w:t>انفكاك</w:t>
      </w:r>
      <w:r w:rsidR="00E8128F">
        <w:rPr>
          <w:sz w:val="36"/>
          <w:szCs w:val="36"/>
          <w:rtl/>
        </w:rPr>
        <w:t xml:space="preserve"> </w:t>
      </w:r>
      <w:r w:rsidR="00EC4FC8" w:rsidRPr="00FD211F">
        <w:rPr>
          <w:sz w:val="36"/>
          <w:szCs w:val="36"/>
          <w:rtl/>
        </w:rPr>
        <w:t>الذات</w:t>
      </w:r>
      <w:r w:rsidR="00E8128F">
        <w:rPr>
          <w:sz w:val="36"/>
          <w:szCs w:val="36"/>
          <w:rtl/>
        </w:rPr>
        <w:t xml:space="preserve"> </w:t>
      </w:r>
      <w:r w:rsidR="00EC4FC8" w:rsidRPr="00FD211F">
        <w:rPr>
          <w:sz w:val="36"/>
          <w:szCs w:val="36"/>
          <w:rtl/>
        </w:rPr>
        <w:t>عن</w:t>
      </w:r>
      <w:r w:rsidR="00E8128F">
        <w:rPr>
          <w:sz w:val="36"/>
          <w:szCs w:val="36"/>
          <w:rtl/>
        </w:rPr>
        <w:t xml:space="preserve"> </w:t>
      </w:r>
      <w:r w:rsidR="00EC4FC8"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بالامكان</w:t>
      </w:r>
      <w:r w:rsidR="00E8128F">
        <w:rPr>
          <w:sz w:val="36"/>
          <w:szCs w:val="36"/>
          <w:rtl/>
        </w:rPr>
        <w:t xml:space="preserve"> </w:t>
      </w:r>
      <w:r w:rsidRPr="00FD211F">
        <w:rPr>
          <w:sz w:val="36"/>
          <w:szCs w:val="36"/>
          <w:rtl/>
        </w:rPr>
        <w:t>المنطقي.</w:t>
      </w:r>
    </w:p>
    <w:p w14:paraId="75C0B207" w14:textId="77777777" w:rsidR="00EC4FC8" w:rsidRPr="00FD211F" w:rsidRDefault="00736EFC" w:rsidP="009C58C8">
      <w:pPr>
        <w:ind w:left="0" w:firstLine="227"/>
        <w:jc w:val="both"/>
        <w:rPr>
          <w:sz w:val="36"/>
          <w:szCs w:val="36"/>
          <w:rtl/>
        </w:rPr>
      </w:pPr>
      <w:r w:rsidRPr="00FD211F">
        <w:rPr>
          <w:sz w:val="36"/>
          <w:szCs w:val="36"/>
          <w:rtl/>
        </w:rPr>
        <w:t>ثم</w:t>
      </w:r>
      <w:r w:rsidR="00E8128F">
        <w:rPr>
          <w:sz w:val="36"/>
          <w:szCs w:val="36"/>
          <w:rtl/>
        </w:rPr>
        <w:t xml:space="preserve"> </w:t>
      </w:r>
      <w:r w:rsidR="00EC4FC8" w:rsidRPr="00FD211F">
        <w:rPr>
          <w:sz w:val="36"/>
          <w:szCs w:val="36"/>
          <w:rtl/>
        </w:rPr>
        <w:t>استشكل</w:t>
      </w:r>
      <w:r w:rsidR="00E8128F">
        <w:rPr>
          <w:sz w:val="36"/>
          <w:szCs w:val="36"/>
          <w:rtl/>
        </w:rPr>
        <w:t xml:space="preserve"> </w:t>
      </w:r>
      <w:r w:rsidR="00EC4FC8" w:rsidRPr="00FD211F">
        <w:rPr>
          <w:sz w:val="36"/>
          <w:szCs w:val="36"/>
          <w:rtl/>
        </w:rPr>
        <w:t>فيه</w:t>
      </w:r>
      <w:r w:rsidR="00E8128F">
        <w:rPr>
          <w:sz w:val="36"/>
          <w:szCs w:val="36"/>
          <w:rtl/>
        </w:rPr>
        <w:t xml:space="preserve"> </w:t>
      </w:r>
      <w:r w:rsidR="00EC4FC8" w:rsidRPr="00FD211F">
        <w:rPr>
          <w:sz w:val="36"/>
          <w:szCs w:val="36"/>
          <w:rtl/>
        </w:rPr>
        <w:t>بان</w:t>
      </w:r>
      <w:r w:rsidR="00E8128F">
        <w:rPr>
          <w:sz w:val="36"/>
          <w:szCs w:val="36"/>
          <w:rtl/>
        </w:rPr>
        <w:t xml:space="preserve"> </w:t>
      </w:r>
      <w:r w:rsidR="00EC4FC8" w:rsidRPr="00FD211F">
        <w:rPr>
          <w:sz w:val="36"/>
          <w:szCs w:val="36"/>
          <w:rtl/>
        </w:rPr>
        <w:t>فرض</w:t>
      </w:r>
      <w:r w:rsidR="00E8128F">
        <w:rPr>
          <w:sz w:val="36"/>
          <w:szCs w:val="36"/>
          <w:rtl/>
        </w:rPr>
        <w:t xml:space="preserve"> </w:t>
      </w:r>
      <w:r w:rsidR="00EC4FC8" w:rsidRPr="00FD211F">
        <w:rPr>
          <w:sz w:val="36"/>
          <w:szCs w:val="36"/>
          <w:rtl/>
        </w:rPr>
        <w:t>بقاء</w:t>
      </w:r>
      <w:r w:rsidR="00E8128F">
        <w:rPr>
          <w:sz w:val="36"/>
          <w:szCs w:val="36"/>
          <w:rtl/>
        </w:rPr>
        <w:t xml:space="preserve"> </w:t>
      </w:r>
      <w:r w:rsidR="00EC4FC8" w:rsidRPr="00FD211F">
        <w:rPr>
          <w:sz w:val="36"/>
          <w:szCs w:val="36"/>
          <w:rtl/>
        </w:rPr>
        <w:t>الزمان</w:t>
      </w:r>
      <w:r w:rsidR="00E8128F">
        <w:rPr>
          <w:sz w:val="36"/>
          <w:szCs w:val="36"/>
          <w:rtl/>
        </w:rPr>
        <w:t xml:space="preserve"> </w:t>
      </w:r>
      <w:r w:rsidR="00643097" w:rsidRPr="00FD211F">
        <w:rPr>
          <w:sz w:val="36"/>
          <w:szCs w:val="36"/>
          <w:rtl/>
        </w:rPr>
        <w:t>الذي</w:t>
      </w:r>
      <w:r w:rsidR="00E8128F">
        <w:rPr>
          <w:sz w:val="36"/>
          <w:szCs w:val="36"/>
          <w:rtl/>
        </w:rPr>
        <w:t xml:space="preserve"> </w:t>
      </w:r>
      <w:r w:rsidR="00643097" w:rsidRPr="00FD211F">
        <w:rPr>
          <w:sz w:val="36"/>
          <w:szCs w:val="36"/>
          <w:rtl/>
        </w:rPr>
        <w:t>فرض</w:t>
      </w:r>
      <w:r w:rsidR="00E8128F">
        <w:rPr>
          <w:sz w:val="36"/>
          <w:szCs w:val="36"/>
          <w:rtl/>
        </w:rPr>
        <w:t xml:space="preserve"> </w:t>
      </w:r>
      <w:r w:rsidR="00643097" w:rsidRPr="00FD211F">
        <w:rPr>
          <w:sz w:val="36"/>
          <w:szCs w:val="36"/>
          <w:rtl/>
        </w:rPr>
        <w:t>كونه</w:t>
      </w:r>
      <w:r w:rsidR="00E8128F">
        <w:rPr>
          <w:sz w:val="36"/>
          <w:szCs w:val="36"/>
          <w:rtl/>
        </w:rPr>
        <w:t xml:space="preserve"> </w:t>
      </w:r>
      <w:r w:rsidR="00643097" w:rsidRPr="00FD211F">
        <w:rPr>
          <w:sz w:val="36"/>
          <w:szCs w:val="36"/>
          <w:rtl/>
        </w:rPr>
        <w:t>آنيا</w:t>
      </w:r>
      <w:r w:rsidR="00E8128F">
        <w:rPr>
          <w:sz w:val="36"/>
          <w:szCs w:val="36"/>
          <w:rtl/>
        </w:rPr>
        <w:t xml:space="preserve"> </w:t>
      </w:r>
      <w:r w:rsidR="00643097" w:rsidRPr="00FD211F">
        <w:rPr>
          <w:sz w:val="36"/>
          <w:szCs w:val="36"/>
          <w:rtl/>
        </w:rPr>
        <w:t>ومتصرما</w:t>
      </w:r>
      <w:r w:rsidR="00E8128F">
        <w:rPr>
          <w:sz w:val="36"/>
          <w:szCs w:val="36"/>
          <w:rtl/>
        </w:rPr>
        <w:t xml:space="preserve"> </w:t>
      </w:r>
      <w:r w:rsidR="00643097" w:rsidRPr="00FD211F">
        <w:rPr>
          <w:sz w:val="36"/>
          <w:szCs w:val="36"/>
          <w:rtl/>
        </w:rPr>
        <w:t>لابقاء</w:t>
      </w:r>
      <w:r w:rsidR="00E8128F">
        <w:rPr>
          <w:sz w:val="36"/>
          <w:szCs w:val="36"/>
          <w:rtl/>
        </w:rPr>
        <w:t xml:space="preserve"> </w:t>
      </w:r>
      <w:r w:rsidR="00643097" w:rsidRPr="00FD211F">
        <w:rPr>
          <w:sz w:val="36"/>
          <w:szCs w:val="36"/>
          <w:rtl/>
        </w:rPr>
        <w:t>له</w:t>
      </w:r>
      <w:r w:rsidR="00E8128F">
        <w:rPr>
          <w:sz w:val="36"/>
          <w:szCs w:val="36"/>
          <w:rtl/>
        </w:rPr>
        <w:t xml:space="preserve"> </w:t>
      </w:r>
      <w:r w:rsidR="00EC4FC8" w:rsidRPr="00FD211F">
        <w:rPr>
          <w:sz w:val="36"/>
          <w:szCs w:val="36"/>
          <w:rtl/>
        </w:rPr>
        <w:t>بعد</w:t>
      </w:r>
      <w:r w:rsidR="00E8128F">
        <w:rPr>
          <w:sz w:val="36"/>
          <w:szCs w:val="36"/>
          <w:rtl/>
        </w:rPr>
        <w:t xml:space="preserve"> </w:t>
      </w:r>
      <w:r w:rsidR="00EC4FC8" w:rsidRPr="00FD211F">
        <w:rPr>
          <w:sz w:val="36"/>
          <w:szCs w:val="36"/>
          <w:rtl/>
        </w:rPr>
        <w:t>زوال</w:t>
      </w:r>
      <w:r w:rsidR="00E8128F">
        <w:rPr>
          <w:sz w:val="36"/>
          <w:szCs w:val="36"/>
          <w:rtl/>
        </w:rPr>
        <w:t xml:space="preserve"> </w:t>
      </w:r>
      <w:r w:rsidR="00EC4FC8" w:rsidRPr="00FD211F">
        <w:rPr>
          <w:sz w:val="36"/>
          <w:szCs w:val="36"/>
          <w:rtl/>
        </w:rPr>
        <w:t>تلبسه</w:t>
      </w:r>
      <w:r w:rsidR="00E8128F">
        <w:rPr>
          <w:sz w:val="36"/>
          <w:szCs w:val="36"/>
          <w:rtl/>
        </w:rPr>
        <w:t xml:space="preserve"> </w:t>
      </w:r>
      <w:r w:rsidR="00EC4FC8" w:rsidRPr="00FD211F">
        <w:rPr>
          <w:sz w:val="36"/>
          <w:szCs w:val="36"/>
          <w:rtl/>
        </w:rPr>
        <w:t>بال</w:t>
      </w:r>
      <w:r w:rsidR="0079493B" w:rsidRPr="00FD211F">
        <w:rPr>
          <w:sz w:val="36"/>
          <w:szCs w:val="36"/>
          <w:rtl/>
        </w:rPr>
        <w:t>مبدأ</w:t>
      </w:r>
      <w:r w:rsidR="00E8128F">
        <w:rPr>
          <w:sz w:val="36"/>
          <w:szCs w:val="36"/>
          <w:rtl/>
        </w:rPr>
        <w:t xml:space="preserve"> </w:t>
      </w:r>
      <w:r w:rsidR="00EC4FC8" w:rsidRPr="00FD211F">
        <w:rPr>
          <w:sz w:val="36"/>
          <w:szCs w:val="36"/>
          <w:rtl/>
        </w:rPr>
        <w:t>فرض</w:t>
      </w:r>
      <w:r w:rsidR="00E8128F">
        <w:rPr>
          <w:sz w:val="36"/>
          <w:szCs w:val="36"/>
          <w:rtl/>
        </w:rPr>
        <w:t xml:space="preserve"> </w:t>
      </w:r>
      <w:r w:rsidR="00EC4FC8" w:rsidRPr="00FD211F">
        <w:rPr>
          <w:sz w:val="36"/>
          <w:szCs w:val="36"/>
          <w:rtl/>
        </w:rPr>
        <w:t>مستحيل</w:t>
      </w:r>
      <w:r w:rsidR="00E8128F">
        <w:rPr>
          <w:sz w:val="36"/>
          <w:szCs w:val="36"/>
          <w:rtl/>
        </w:rPr>
        <w:t xml:space="preserve"> </w:t>
      </w:r>
      <w:r w:rsidR="00EC4FC8" w:rsidRPr="00FD211F">
        <w:rPr>
          <w:sz w:val="36"/>
          <w:szCs w:val="36"/>
          <w:rtl/>
        </w:rPr>
        <w:t>منطقيا</w:t>
      </w:r>
      <w:r w:rsidR="009C58C8" w:rsidRPr="00FD211F">
        <w:rPr>
          <w:rStyle w:val="a6"/>
          <w:sz w:val="36"/>
          <w:szCs w:val="36"/>
          <w:rtl/>
        </w:rPr>
        <w:t>(</w:t>
      </w:r>
      <w:r w:rsidR="009C58C8" w:rsidRPr="00FD211F">
        <w:rPr>
          <w:rStyle w:val="a6"/>
          <w:sz w:val="36"/>
          <w:szCs w:val="36"/>
          <w:rtl/>
        </w:rPr>
        <w:footnoteReference w:id="530"/>
      </w:r>
      <w:r w:rsidR="009C58C8" w:rsidRPr="00FD211F">
        <w:rPr>
          <w:rStyle w:val="a6"/>
          <w:sz w:val="36"/>
          <w:szCs w:val="36"/>
          <w:rtl/>
        </w:rPr>
        <w:t>)</w:t>
      </w:r>
      <w:r w:rsidR="00EC4FC8" w:rsidRPr="00FD211F">
        <w:rPr>
          <w:sz w:val="36"/>
          <w:szCs w:val="36"/>
          <w:rtl/>
        </w:rPr>
        <w:t>.</w:t>
      </w:r>
    </w:p>
    <w:p w14:paraId="7C7AB205" w14:textId="77777777" w:rsidR="004150FD" w:rsidRPr="00FD211F" w:rsidRDefault="007D7158" w:rsidP="00142012">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ذكر</w:t>
      </w:r>
      <w:r w:rsidR="00E8128F">
        <w:rPr>
          <w:sz w:val="36"/>
          <w:szCs w:val="36"/>
          <w:rtl/>
        </w:rPr>
        <w:t xml:space="preserve"> </w:t>
      </w:r>
      <w:r w:rsidR="00892DFE" w:rsidRPr="00FD211F">
        <w:rPr>
          <w:sz w:val="36"/>
          <w:szCs w:val="36"/>
          <w:rtl/>
        </w:rPr>
        <w:t>المحقق</w:t>
      </w:r>
      <w:r w:rsidR="00E8128F">
        <w:rPr>
          <w:sz w:val="36"/>
          <w:szCs w:val="36"/>
          <w:rtl/>
        </w:rPr>
        <w:t xml:space="preserve"> </w:t>
      </w:r>
      <w:r w:rsidR="00892DFE" w:rsidRPr="00FD211F">
        <w:rPr>
          <w:sz w:val="36"/>
          <w:szCs w:val="36"/>
          <w:rtl/>
        </w:rPr>
        <w:t>العراقي</w:t>
      </w:r>
      <w:r w:rsidR="00E8128F">
        <w:rPr>
          <w:sz w:val="36"/>
          <w:szCs w:val="36"/>
          <w:rtl/>
        </w:rPr>
        <w:t xml:space="preserve"> </w:t>
      </w:r>
      <w:r w:rsidRPr="00FD211F">
        <w:rPr>
          <w:sz w:val="36"/>
          <w:szCs w:val="36"/>
          <w:rtl/>
        </w:rPr>
        <w:t>"</w:t>
      </w:r>
      <w:r w:rsidR="00892DFE" w:rsidRPr="00FD211F">
        <w:rPr>
          <w:sz w:val="36"/>
          <w:szCs w:val="36"/>
          <w:rtl/>
        </w:rPr>
        <w:t>قده</w:t>
      </w:r>
      <w:r w:rsidRPr="00FD211F">
        <w:rPr>
          <w:sz w:val="36"/>
          <w:szCs w:val="36"/>
          <w:rtl/>
        </w:rPr>
        <w:t>"وجها</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لجريان</w:t>
      </w:r>
      <w:r w:rsidR="00E8128F">
        <w:rPr>
          <w:sz w:val="36"/>
          <w:szCs w:val="36"/>
          <w:rtl/>
        </w:rPr>
        <w:t xml:space="preserve"> </w:t>
      </w:r>
      <w:r w:rsidRPr="00FD211F">
        <w:rPr>
          <w:sz w:val="36"/>
          <w:szCs w:val="36"/>
          <w:rtl/>
        </w:rPr>
        <w:t>النزاع</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الزمان</w:t>
      </w:r>
      <w:r w:rsidR="00E8128F">
        <w:rPr>
          <w:sz w:val="36"/>
          <w:szCs w:val="36"/>
          <w:rtl/>
        </w:rPr>
        <w:t xml:space="preserve"> </w:t>
      </w:r>
      <w:r w:rsidRPr="00FD211F">
        <w:rPr>
          <w:sz w:val="36"/>
          <w:szCs w:val="36"/>
          <w:rtl/>
        </w:rPr>
        <w:t>وهو</w:t>
      </w:r>
      <w:r w:rsidR="00E8128F">
        <w:rPr>
          <w:sz w:val="36"/>
          <w:szCs w:val="36"/>
          <w:rtl/>
        </w:rPr>
        <w:t xml:space="preserve"> </w:t>
      </w:r>
      <w:r w:rsidR="00892DFE" w:rsidRPr="00FD211F">
        <w:rPr>
          <w:sz w:val="36"/>
          <w:szCs w:val="36"/>
          <w:rtl/>
        </w:rPr>
        <w:t>ان</w:t>
      </w:r>
      <w:r w:rsidR="00E8128F">
        <w:rPr>
          <w:sz w:val="36"/>
          <w:szCs w:val="36"/>
          <w:rtl/>
        </w:rPr>
        <w:t xml:space="preserve"> </w:t>
      </w:r>
      <w:r w:rsidR="00892DFE" w:rsidRPr="00FD211F">
        <w:rPr>
          <w:sz w:val="36"/>
          <w:szCs w:val="36"/>
          <w:rtl/>
        </w:rPr>
        <w:t>الزمان</w:t>
      </w:r>
      <w:r w:rsidR="00E8128F">
        <w:rPr>
          <w:sz w:val="36"/>
          <w:szCs w:val="36"/>
          <w:rtl/>
        </w:rPr>
        <w:t xml:space="preserve"> </w:t>
      </w:r>
      <w:r w:rsidR="00892DFE" w:rsidRPr="00FD211F">
        <w:rPr>
          <w:sz w:val="36"/>
          <w:szCs w:val="36"/>
          <w:rtl/>
        </w:rPr>
        <w:t>قد</w:t>
      </w:r>
      <w:r w:rsidR="00E8128F">
        <w:rPr>
          <w:sz w:val="36"/>
          <w:szCs w:val="36"/>
          <w:rtl/>
        </w:rPr>
        <w:t xml:space="preserve"> </w:t>
      </w:r>
      <w:r w:rsidR="00892DFE" w:rsidRPr="00FD211F">
        <w:rPr>
          <w:sz w:val="36"/>
          <w:szCs w:val="36"/>
          <w:rtl/>
        </w:rPr>
        <w:t>يعتبر</w:t>
      </w:r>
      <w:r w:rsidR="00E8128F">
        <w:rPr>
          <w:sz w:val="36"/>
          <w:szCs w:val="36"/>
          <w:rtl/>
        </w:rPr>
        <w:t xml:space="preserve"> </w:t>
      </w:r>
      <w:r w:rsidR="00892DFE" w:rsidRPr="00FD211F">
        <w:rPr>
          <w:sz w:val="36"/>
          <w:szCs w:val="36"/>
          <w:rtl/>
        </w:rPr>
        <w:t>كل</w:t>
      </w:r>
      <w:r w:rsidR="00E8128F">
        <w:rPr>
          <w:sz w:val="36"/>
          <w:szCs w:val="36"/>
          <w:rtl/>
        </w:rPr>
        <w:t xml:space="preserve"> </w:t>
      </w:r>
      <w:r w:rsidR="00892DFE" w:rsidRPr="00FD211F">
        <w:rPr>
          <w:sz w:val="36"/>
          <w:szCs w:val="36"/>
          <w:rtl/>
        </w:rPr>
        <w:t>آن</w:t>
      </w:r>
      <w:r w:rsidR="00E8128F">
        <w:rPr>
          <w:sz w:val="36"/>
          <w:szCs w:val="36"/>
          <w:rtl/>
        </w:rPr>
        <w:t xml:space="preserve"> </w:t>
      </w:r>
      <w:r w:rsidR="00892DFE" w:rsidRPr="00FD211F">
        <w:rPr>
          <w:sz w:val="36"/>
          <w:szCs w:val="36"/>
          <w:rtl/>
        </w:rPr>
        <w:t>من</w:t>
      </w:r>
      <w:r w:rsidR="00E8128F">
        <w:rPr>
          <w:sz w:val="36"/>
          <w:szCs w:val="36"/>
          <w:rtl/>
        </w:rPr>
        <w:t xml:space="preserve"> </w:t>
      </w:r>
      <w:r w:rsidR="00892DFE" w:rsidRPr="00FD211F">
        <w:rPr>
          <w:sz w:val="36"/>
          <w:szCs w:val="36"/>
          <w:rtl/>
        </w:rPr>
        <w:t>آناته</w:t>
      </w:r>
      <w:r w:rsidR="00E8128F">
        <w:rPr>
          <w:sz w:val="36"/>
          <w:szCs w:val="36"/>
          <w:rtl/>
        </w:rPr>
        <w:t xml:space="preserve"> </w:t>
      </w:r>
      <w:r w:rsidR="00892DFE" w:rsidRPr="00FD211F">
        <w:rPr>
          <w:sz w:val="36"/>
          <w:szCs w:val="36"/>
          <w:rtl/>
        </w:rPr>
        <w:t>على</w:t>
      </w:r>
      <w:r w:rsidR="00E8128F">
        <w:rPr>
          <w:sz w:val="36"/>
          <w:szCs w:val="36"/>
          <w:rtl/>
        </w:rPr>
        <w:t xml:space="preserve"> </w:t>
      </w:r>
      <w:r w:rsidR="00892DFE" w:rsidRPr="00FD211F">
        <w:rPr>
          <w:sz w:val="36"/>
          <w:szCs w:val="36"/>
          <w:rtl/>
        </w:rPr>
        <w:t>حد</w:t>
      </w:r>
      <w:r w:rsidR="00EC7EDF" w:rsidRPr="00FD211F">
        <w:rPr>
          <w:sz w:val="36"/>
          <w:szCs w:val="36"/>
          <w:rtl/>
        </w:rPr>
        <w:t>ة</w:t>
      </w:r>
      <w:r w:rsidR="00E8128F">
        <w:rPr>
          <w:sz w:val="36"/>
          <w:szCs w:val="36"/>
          <w:rtl/>
        </w:rPr>
        <w:t xml:space="preserve"> </w:t>
      </w:r>
      <w:r w:rsidR="00892DFE" w:rsidRPr="00FD211F">
        <w:rPr>
          <w:sz w:val="36"/>
          <w:szCs w:val="36"/>
          <w:rtl/>
        </w:rPr>
        <w:t>فحي</w:t>
      </w:r>
      <w:r w:rsidR="00142012" w:rsidRPr="00FD211F">
        <w:rPr>
          <w:sz w:val="36"/>
          <w:szCs w:val="36"/>
          <w:rtl/>
        </w:rPr>
        <w:t>نئ</w:t>
      </w:r>
      <w:r w:rsidR="00892DFE" w:rsidRPr="00FD211F">
        <w:rPr>
          <w:sz w:val="36"/>
          <w:szCs w:val="36"/>
          <w:rtl/>
        </w:rPr>
        <w:t>ذ</w:t>
      </w:r>
      <w:r w:rsidR="00E8128F">
        <w:rPr>
          <w:sz w:val="36"/>
          <w:szCs w:val="36"/>
          <w:rtl/>
        </w:rPr>
        <w:t xml:space="preserve"> </w:t>
      </w:r>
      <w:r w:rsidR="00892DFE" w:rsidRPr="00FD211F">
        <w:rPr>
          <w:sz w:val="36"/>
          <w:szCs w:val="36"/>
          <w:rtl/>
        </w:rPr>
        <w:t>يكون</w:t>
      </w:r>
      <w:r w:rsidR="00E8128F">
        <w:rPr>
          <w:sz w:val="36"/>
          <w:szCs w:val="36"/>
          <w:rtl/>
        </w:rPr>
        <w:t xml:space="preserve"> </w:t>
      </w:r>
      <w:r w:rsidR="00892DFE" w:rsidRPr="00FD211F">
        <w:rPr>
          <w:sz w:val="36"/>
          <w:szCs w:val="36"/>
          <w:rtl/>
        </w:rPr>
        <w:t>كل</w:t>
      </w:r>
      <w:r w:rsidR="00E8128F">
        <w:rPr>
          <w:sz w:val="36"/>
          <w:szCs w:val="36"/>
          <w:rtl/>
        </w:rPr>
        <w:t xml:space="preserve"> </w:t>
      </w:r>
      <w:r w:rsidR="00892DFE" w:rsidRPr="00FD211F">
        <w:rPr>
          <w:sz w:val="36"/>
          <w:szCs w:val="36"/>
          <w:rtl/>
        </w:rPr>
        <w:t>آن</w:t>
      </w:r>
      <w:r w:rsidR="00E8128F">
        <w:rPr>
          <w:sz w:val="36"/>
          <w:szCs w:val="36"/>
          <w:rtl/>
        </w:rPr>
        <w:t xml:space="preserve"> </w:t>
      </w:r>
      <w:r w:rsidR="00892DFE" w:rsidRPr="00FD211F">
        <w:rPr>
          <w:sz w:val="36"/>
          <w:szCs w:val="36"/>
          <w:rtl/>
        </w:rPr>
        <w:t>منه</w:t>
      </w:r>
      <w:r w:rsidR="00E8128F">
        <w:rPr>
          <w:sz w:val="36"/>
          <w:szCs w:val="36"/>
          <w:rtl/>
        </w:rPr>
        <w:t xml:space="preserve"> </w:t>
      </w:r>
      <w:r w:rsidR="00892DFE" w:rsidRPr="00FD211F">
        <w:rPr>
          <w:sz w:val="36"/>
          <w:szCs w:val="36"/>
          <w:rtl/>
        </w:rPr>
        <w:t>مغايرا</w:t>
      </w:r>
      <w:r w:rsidR="00E8128F">
        <w:rPr>
          <w:sz w:val="36"/>
          <w:szCs w:val="36"/>
          <w:rtl/>
        </w:rPr>
        <w:t xml:space="preserve"> </w:t>
      </w:r>
      <w:r w:rsidR="00892DFE" w:rsidRPr="00FD211F">
        <w:rPr>
          <w:sz w:val="36"/>
          <w:szCs w:val="36"/>
          <w:rtl/>
        </w:rPr>
        <w:t>للآنات</w:t>
      </w:r>
      <w:r w:rsidR="00E8128F">
        <w:rPr>
          <w:sz w:val="36"/>
          <w:szCs w:val="36"/>
          <w:rtl/>
        </w:rPr>
        <w:t xml:space="preserve"> </w:t>
      </w:r>
      <w:r w:rsidR="00892DFE" w:rsidRPr="00FD211F">
        <w:rPr>
          <w:sz w:val="36"/>
          <w:szCs w:val="36"/>
          <w:rtl/>
        </w:rPr>
        <w:t>الأخر</w:t>
      </w:r>
      <w:r w:rsidR="00E8128F">
        <w:rPr>
          <w:sz w:val="36"/>
          <w:szCs w:val="36"/>
          <w:rtl/>
        </w:rPr>
        <w:t xml:space="preserve"> </w:t>
      </w:r>
      <w:r w:rsidR="00892DFE" w:rsidRPr="00FD211F">
        <w:rPr>
          <w:sz w:val="36"/>
          <w:szCs w:val="36"/>
          <w:rtl/>
        </w:rPr>
        <w:t>ولابقاء</w:t>
      </w:r>
      <w:r w:rsidR="00E8128F">
        <w:rPr>
          <w:sz w:val="36"/>
          <w:szCs w:val="36"/>
          <w:rtl/>
        </w:rPr>
        <w:t xml:space="preserve"> </w:t>
      </w:r>
      <w:r w:rsidR="00892DFE" w:rsidRPr="00FD211F">
        <w:rPr>
          <w:sz w:val="36"/>
          <w:szCs w:val="36"/>
          <w:rtl/>
        </w:rPr>
        <w:t>له</w:t>
      </w:r>
      <w:r w:rsidR="00E8128F">
        <w:rPr>
          <w:sz w:val="36"/>
          <w:szCs w:val="36"/>
          <w:rtl/>
        </w:rPr>
        <w:t xml:space="preserve"> </w:t>
      </w:r>
      <w:r w:rsidR="00892DFE" w:rsidRPr="00FD211F">
        <w:rPr>
          <w:sz w:val="36"/>
          <w:szCs w:val="36"/>
          <w:rtl/>
        </w:rPr>
        <w:t>وقد</w:t>
      </w:r>
      <w:r w:rsidR="00E8128F">
        <w:rPr>
          <w:sz w:val="36"/>
          <w:szCs w:val="36"/>
          <w:rtl/>
        </w:rPr>
        <w:t xml:space="preserve"> </w:t>
      </w:r>
      <w:r w:rsidR="00892DFE" w:rsidRPr="00FD211F">
        <w:rPr>
          <w:sz w:val="36"/>
          <w:szCs w:val="36"/>
          <w:rtl/>
        </w:rPr>
        <w:t>يعتبر</w:t>
      </w:r>
      <w:r w:rsidR="00E8128F">
        <w:rPr>
          <w:sz w:val="36"/>
          <w:szCs w:val="36"/>
          <w:rtl/>
        </w:rPr>
        <w:t xml:space="preserve"> </w:t>
      </w:r>
      <w:r w:rsidR="00892DFE" w:rsidRPr="00FD211F">
        <w:rPr>
          <w:sz w:val="36"/>
          <w:szCs w:val="36"/>
          <w:rtl/>
        </w:rPr>
        <w:t>مجموع</w:t>
      </w:r>
      <w:r w:rsidR="00E8128F">
        <w:rPr>
          <w:sz w:val="36"/>
          <w:szCs w:val="36"/>
          <w:rtl/>
        </w:rPr>
        <w:t xml:space="preserve"> </w:t>
      </w:r>
      <w:r w:rsidR="00892DFE" w:rsidRPr="00FD211F">
        <w:rPr>
          <w:sz w:val="36"/>
          <w:szCs w:val="36"/>
          <w:rtl/>
        </w:rPr>
        <w:t>آناته</w:t>
      </w:r>
      <w:r w:rsidR="00E8128F">
        <w:rPr>
          <w:sz w:val="36"/>
          <w:szCs w:val="36"/>
          <w:rtl/>
        </w:rPr>
        <w:t xml:space="preserve"> </w:t>
      </w:r>
      <w:r w:rsidR="00892DFE" w:rsidRPr="00FD211F">
        <w:rPr>
          <w:sz w:val="36"/>
          <w:szCs w:val="36"/>
          <w:rtl/>
        </w:rPr>
        <w:t>واحد</w:t>
      </w:r>
      <w:r w:rsidR="00456DE6" w:rsidRPr="00FD211F">
        <w:rPr>
          <w:sz w:val="36"/>
          <w:szCs w:val="36"/>
          <w:rtl/>
        </w:rPr>
        <w:t>ا</w:t>
      </w:r>
      <w:r w:rsidR="00E8128F">
        <w:rPr>
          <w:sz w:val="36"/>
          <w:szCs w:val="36"/>
          <w:rtl/>
        </w:rPr>
        <w:t xml:space="preserve"> </w:t>
      </w:r>
      <w:r w:rsidR="00892DFE" w:rsidRPr="00FD211F">
        <w:rPr>
          <w:sz w:val="36"/>
          <w:szCs w:val="36"/>
          <w:rtl/>
        </w:rPr>
        <w:t>مستمرا</w:t>
      </w:r>
      <w:r w:rsidR="00E8128F">
        <w:rPr>
          <w:sz w:val="36"/>
          <w:szCs w:val="36"/>
          <w:rtl/>
        </w:rPr>
        <w:t xml:space="preserve"> </w:t>
      </w:r>
      <w:r w:rsidR="00AD1127" w:rsidRPr="00FD211F">
        <w:rPr>
          <w:sz w:val="36"/>
          <w:szCs w:val="36"/>
          <w:rtl/>
        </w:rPr>
        <w:t>يوجد</w:t>
      </w:r>
      <w:r w:rsidR="00E8128F">
        <w:rPr>
          <w:sz w:val="36"/>
          <w:szCs w:val="36"/>
          <w:rtl/>
        </w:rPr>
        <w:t xml:space="preserve"> </w:t>
      </w:r>
      <w:r w:rsidR="00AD1127" w:rsidRPr="00FD211F">
        <w:rPr>
          <w:sz w:val="36"/>
          <w:szCs w:val="36"/>
          <w:rtl/>
        </w:rPr>
        <w:t>بأول</w:t>
      </w:r>
      <w:r w:rsidR="00E8128F">
        <w:rPr>
          <w:sz w:val="36"/>
          <w:szCs w:val="36"/>
          <w:rtl/>
        </w:rPr>
        <w:t xml:space="preserve"> </w:t>
      </w:r>
      <w:r w:rsidR="00AD1127" w:rsidRPr="00FD211F">
        <w:rPr>
          <w:sz w:val="36"/>
          <w:szCs w:val="36"/>
          <w:rtl/>
        </w:rPr>
        <w:t>آن</w:t>
      </w:r>
      <w:r w:rsidR="00E8128F">
        <w:rPr>
          <w:sz w:val="36"/>
          <w:szCs w:val="36"/>
          <w:rtl/>
        </w:rPr>
        <w:t xml:space="preserve"> </w:t>
      </w:r>
      <w:r w:rsidR="00892DFE" w:rsidRPr="00FD211F">
        <w:rPr>
          <w:sz w:val="36"/>
          <w:szCs w:val="36"/>
          <w:rtl/>
        </w:rPr>
        <w:t>ويبقى</w:t>
      </w:r>
      <w:r w:rsidR="00E8128F">
        <w:rPr>
          <w:sz w:val="36"/>
          <w:szCs w:val="36"/>
          <w:rtl/>
        </w:rPr>
        <w:t xml:space="preserve"> </w:t>
      </w:r>
      <w:r w:rsidR="00892DFE" w:rsidRPr="00FD211F">
        <w:rPr>
          <w:sz w:val="36"/>
          <w:szCs w:val="36"/>
          <w:rtl/>
        </w:rPr>
        <w:t>الى</w:t>
      </w:r>
      <w:r w:rsidR="00E8128F">
        <w:rPr>
          <w:sz w:val="36"/>
          <w:szCs w:val="36"/>
          <w:rtl/>
        </w:rPr>
        <w:t xml:space="preserve"> </w:t>
      </w:r>
      <w:r w:rsidR="00892DFE" w:rsidRPr="00FD211F">
        <w:rPr>
          <w:sz w:val="36"/>
          <w:szCs w:val="36"/>
          <w:rtl/>
        </w:rPr>
        <w:t>آخر</w:t>
      </w:r>
      <w:r w:rsidR="00E8128F">
        <w:rPr>
          <w:sz w:val="36"/>
          <w:szCs w:val="36"/>
          <w:rtl/>
        </w:rPr>
        <w:t xml:space="preserve"> </w:t>
      </w:r>
      <w:r w:rsidR="00892DFE" w:rsidRPr="00FD211F">
        <w:rPr>
          <w:sz w:val="36"/>
          <w:szCs w:val="36"/>
          <w:rtl/>
        </w:rPr>
        <w:t>الآنات</w:t>
      </w:r>
      <w:r w:rsidR="00603323" w:rsidRPr="00FD211F">
        <w:rPr>
          <w:sz w:val="36"/>
          <w:szCs w:val="36"/>
          <w:rtl/>
        </w:rPr>
        <w:t>،</w:t>
      </w:r>
      <w:r w:rsidR="00E8128F">
        <w:rPr>
          <w:sz w:val="36"/>
          <w:szCs w:val="36"/>
          <w:rtl/>
        </w:rPr>
        <w:t xml:space="preserve"> </w:t>
      </w:r>
      <w:r w:rsidR="00892DFE" w:rsidRPr="00FD211F">
        <w:rPr>
          <w:sz w:val="36"/>
          <w:szCs w:val="36"/>
          <w:rtl/>
        </w:rPr>
        <w:t>و</w:t>
      </w:r>
      <w:r w:rsidR="009659AE" w:rsidRPr="00FD211F">
        <w:rPr>
          <w:sz w:val="36"/>
          <w:szCs w:val="36"/>
          <w:rtl/>
        </w:rPr>
        <w:t>هذا</w:t>
      </w:r>
      <w:r w:rsidR="00E8128F">
        <w:rPr>
          <w:sz w:val="36"/>
          <w:szCs w:val="36"/>
          <w:rtl/>
        </w:rPr>
        <w:t xml:space="preserve"> </w:t>
      </w:r>
      <w:r w:rsidR="00892DFE" w:rsidRPr="00FD211F">
        <w:rPr>
          <w:sz w:val="36"/>
          <w:szCs w:val="36"/>
          <w:rtl/>
        </w:rPr>
        <w:t>الاعتبار</w:t>
      </w:r>
      <w:r w:rsidR="00E8128F">
        <w:rPr>
          <w:sz w:val="36"/>
          <w:szCs w:val="36"/>
          <w:rtl/>
        </w:rPr>
        <w:t xml:space="preserve"> </w:t>
      </w:r>
      <w:r w:rsidR="00892DFE" w:rsidRPr="00FD211F">
        <w:rPr>
          <w:sz w:val="36"/>
          <w:szCs w:val="36"/>
          <w:rtl/>
        </w:rPr>
        <w:t>الثاني</w:t>
      </w:r>
      <w:r w:rsidR="00E8128F">
        <w:rPr>
          <w:sz w:val="36"/>
          <w:szCs w:val="36"/>
          <w:rtl/>
        </w:rPr>
        <w:t xml:space="preserve"> </w:t>
      </w:r>
      <w:r w:rsidR="00892DFE" w:rsidRPr="00FD211F">
        <w:rPr>
          <w:sz w:val="36"/>
          <w:szCs w:val="36"/>
          <w:rtl/>
        </w:rPr>
        <w:t>هو</w:t>
      </w:r>
      <w:r w:rsidR="00E8128F">
        <w:rPr>
          <w:sz w:val="36"/>
          <w:szCs w:val="36"/>
          <w:rtl/>
        </w:rPr>
        <w:t xml:space="preserve"> </w:t>
      </w:r>
      <w:r w:rsidR="00892DFE" w:rsidRPr="00FD211F">
        <w:rPr>
          <w:sz w:val="36"/>
          <w:szCs w:val="36"/>
          <w:rtl/>
        </w:rPr>
        <w:t>الذي</w:t>
      </w:r>
      <w:r w:rsidR="00E8128F">
        <w:rPr>
          <w:sz w:val="36"/>
          <w:szCs w:val="36"/>
          <w:rtl/>
        </w:rPr>
        <w:t xml:space="preserve"> </w:t>
      </w:r>
      <w:r w:rsidR="00892DFE" w:rsidRPr="00FD211F">
        <w:rPr>
          <w:sz w:val="36"/>
          <w:szCs w:val="36"/>
          <w:rtl/>
        </w:rPr>
        <w:t>يساعد</w:t>
      </w:r>
      <w:r w:rsidR="00E8128F">
        <w:rPr>
          <w:sz w:val="36"/>
          <w:szCs w:val="36"/>
          <w:rtl/>
        </w:rPr>
        <w:t xml:space="preserve"> </w:t>
      </w:r>
      <w:r w:rsidR="00892DFE" w:rsidRPr="00FD211F">
        <w:rPr>
          <w:sz w:val="36"/>
          <w:szCs w:val="36"/>
          <w:rtl/>
        </w:rPr>
        <w:t>عليه</w:t>
      </w:r>
      <w:r w:rsidR="00E8128F">
        <w:rPr>
          <w:sz w:val="36"/>
          <w:szCs w:val="36"/>
          <w:rtl/>
        </w:rPr>
        <w:t xml:space="preserve"> </w:t>
      </w:r>
      <w:r w:rsidR="00892DFE" w:rsidRPr="00FD211F">
        <w:rPr>
          <w:sz w:val="36"/>
          <w:szCs w:val="36"/>
          <w:rtl/>
        </w:rPr>
        <w:t>نظر</w:t>
      </w:r>
      <w:r w:rsidR="00E8128F">
        <w:rPr>
          <w:sz w:val="36"/>
          <w:szCs w:val="36"/>
          <w:rtl/>
        </w:rPr>
        <w:t xml:space="preserve"> </w:t>
      </w:r>
      <w:r w:rsidR="00892DFE" w:rsidRPr="00FD211F">
        <w:rPr>
          <w:sz w:val="36"/>
          <w:szCs w:val="36"/>
          <w:rtl/>
        </w:rPr>
        <w:t>العرف</w:t>
      </w:r>
      <w:r w:rsidR="00603323" w:rsidRPr="00FD211F">
        <w:rPr>
          <w:sz w:val="36"/>
          <w:szCs w:val="36"/>
          <w:rtl/>
        </w:rPr>
        <w:t>،</w:t>
      </w:r>
      <w:r w:rsidR="00E8128F">
        <w:rPr>
          <w:sz w:val="36"/>
          <w:szCs w:val="36"/>
          <w:rtl/>
        </w:rPr>
        <w:t xml:space="preserve"> </w:t>
      </w:r>
      <w:r w:rsidR="00892DFE" w:rsidRPr="00FD211F">
        <w:rPr>
          <w:sz w:val="36"/>
          <w:szCs w:val="36"/>
          <w:rtl/>
        </w:rPr>
        <w:t>وعليه</w:t>
      </w:r>
      <w:r w:rsidR="00E8128F">
        <w:rPr>
          <w:sz w:val="36"/>
          <w:szCs w:val="36"/>
          <w:rtl/>
        </w:rPr>
        <w:t xml:space="preserve"> </w:t>
      </w:r>
      <w:r w:rsidR="00892DFE" w:rsidRPr="00FD211F">
        <w:rPr>
          <w:sz w:val="36"/>
          <w:szCs w:val="36"/>
          <w:rtl/>
        </w:rPr>
        <w:t>فتكون</w:t>
      </w:r>
      <w:r w:rsidR="00E8128F">
        <w:rPr>
          <w:sz w:val="36"/>
          <w:szCs w:val="36"/>
          <w:rtl/>
        </w:rPr>
        <w:t xml:space="preserve"> </w:t>
      </w:r>
      <w:r w:rsidR="00A73A83" w:rsidRPr="00FD211F">
        <w:rPr>
          <w:sz w:val="36"/>
          <w:szCs w:val="36"/>
          <w:rtl/>
        </w:rPr>
        <w:t>ذات</w:t>
      </w:r>
      <w:r w:rsidR="00E8128F">
        <w:rPr>
          <w:sz w:val="36"/>
          <w:szCs w:val="36"/>
          <w:rtl/>
        </w:rPr>
        <w:t xml:space="preserve"> </w:t>
      </w:r>
      <w:r w:rsidR="00A73A83" w:rsidRPr="00FD211F">
        <w:rPr>
          <w:sz w:val="36"/>
          <w:szCs w:val="36"/>
          <w:rtl/>
        </w:rPr>
        <w:t>الزمان</w:t>
      </w:r>
      <w:r w:rsidR="00E8128F">
        <w:rPr>
          <w:sz w:val="36"/>
          <w:szCs w:val="36"/>
          <w:rtl/>
        </w:rPr>
        <w:t xml:space="preserve"> </w:t>
      </w:r>
      <w:r w:rsidR="00892DFE" w:rsidRPr="00FD211F">
        <w:rPr>
          <w:sz w:val="36"/>
          <w:szCs w:val="36"/>
          <w:rtl/>
        </w:rPr>
        <w:t>باقي</w:t>
      </w:r>
      <w:r w:rsidR="00EC7EDF" w:rsidRPr="00FD211F">
        <w:rPr>
          <w:sz w:val="36"/>
          <w:szCs w:val="36"/>
          <w:rtl/>
        </w:rPr>
        <w:t>ة</w:t>
      </w:r>
      <w:r w:rsidR="00E8128F">
        <w:rPr>
          <w:sz w:val="36"/>
          <w:szCs w:val="36"/>
          <w:rtl/>
        </w:rPr>
        <w:t xml:space="preserve"> </w:t>
      </w:r>
      <w:r w:rsidR="00892DFE" w:rsidRPr="00FD211F">
        <w:rPr>
          <w:sz w:val="36"/>
          <w:szCs w:val="36"/>
          <w:rtl/>
        </w:rPr>
        <w:t>بعد</w:t>
      </w:r>
      <w:r w:rsidR="00E8128F">
        <w:rPr>
          <w:sz w:val="36"/>
          <w:szCs w:val="36"/>
          <w:rtl/>
        </w:rPr>
        <w:t xml:space="preserve"> </w:t>
      </w:r>
      <w:r w:rsidR="00892DFE" w:rsidRPr="00FD211F">
        <w:rPr>
          <w:sz w:val="36"/>
          <w:szCs w:val="36"/>
          <w:rtl/>
        </w:rPr>
        <w:t>انقضاء</w:t>
      </w:r>
      <w:r w:rsidR="00E8128F">
        <w:rPr>
          <w:sz w:val="36"/>
          <w:szCs w:val="36"/>
          <w:rtl/>
        </w:rPr>
        <w:t xml:space="preserve"> </w:t>
      </w:r>
      <w:r w:rsidR="00892DFE" w:rsidRPr="00FD211F">
        <w:rPr>
          <w:sz w:val="36"/>
          <w:szCs w:val="36"/>
          <w:rtl/>
        </w:rPr>
        <w:t>ال</w:t>
      </w:r>
      <w:r w:rsidR="0079493B" w:rsidRPr="00FD211F">
        <w:rPr>
          <w:sz w:val="36"/>
          <w:szCs w:val="36"/>
          <w:rtl/>
        </w:rPr>
        <w:t>مبدأ</w:t>
      </w:r>
      <w:r w:rsidR="00603323" w:rsidRPr="00FD211F">
        <w:rPr>
          <w:sz w:val="36"/>
          <w:szCs w:val="36"/>
          <w:rtl/>
        </w:rPr>
        <w:t>،</w:t>
      </w:r>
      <w:r w:rsidR="00E8128F">
        <w:rPr>
          <w:sz w:val="36"/>
          <w:szCs w:val="36"/>
          <w:rtl/>
        </w:rPr>
        <w:t xml:space="preserve"> </w:t>
      </w:r>
      <w:r w:rsidR="00A73A83" w:rsidRPr="00FD211F">
        <w:rPr>
          <w:sz w:val="36"/>
          <w:szCs w:val="36"/>
          <w:rtl/>
        </w:rPr>
        <w:t>فيقال</w:t>
      </w:r>
      <w:r w:rsidR="00E8128F">
        <w:rPr>
          <w:sz w:val="36"/>
          <w:szCs w:val="36"/>
          <w:rtl/>
        </w:rPr>
        <w:t xml:space="preserve"> </w:t>
      </w:r>
      <w:r w:rsidR="00A73A83" w:rsidRPr="00FD211F">
        <w:rPr>
          <w:sz w:val="36"/>
          <w:szCs w:val="36"/>
          <w:rtl/>
        </w:rPr>
        <w:t>يوم</w:t>
      </w:r>
      <w:r w:rsidR="00E8128F">
        <w:rPr>
          <w:sz w:val="36"/>
          <w:szCs w:val="36"/>
          <w:rtl/>
        </w:rPr>
        <w:t xml:space="preserve"> </w:t>
      </w:r>
      <w:r w:rsidR="00892DFE" w:rsidRPr="00FD211F">
        <w:rPr>
          <w:sz w:val="36"/>
          <w:szCs w:val="36"/>
          <w:rtl/>
        </w:rPr>
        <w:t>عاشورا</w:t>
      </w:r>
      <w:r w:rsidR="00E8128F">
        <w:rPr>
          <w:sz w:val="36"/>
          <w:szCs w:val="36"/>
          <w:rtl/>
        </w:rPr>
        <w:t xml:space="preserve"> </w:t>
      </w:r>
      <w:r w:rsidR="00892DFE" w:rsidRPr="00FD211F">
        <w:rPr>
          <w:sz w:val="36"/>
          <w:szCs w:val="36"/>
          <w:rtl/>
        </w:rPr>
        <w:t>كان</w:t>
      </w:r>
      <w:r w:rsidR="00E8128F">
        <w:rPr>
          <w:sz w:val="36"/>
          <w:szCs w:val="36"/>
          <w:rtl/>
        </w:rPr>
        <w:t xml:space="preserve"> </w:t>
      </w:r>
      <w:r w:rsidR="00892DFE" w:rsidRPr="00FD211F">
        <w:rPr>
          <w:sz w:val="36"/>
          <w:szCs w:val="36"/>
          <w:rtl/>
        </w:rPr>
        <w:t>في</w:t>
      </w:r>
      <w:r w:rsidR="00E8128F">
        <w:rPr>
          <w:sz w:val="36"/>
          <w:szCs w:val="36"/>
          <w:rtl/>
        </w:rPr>
        <w:t xml:space="preserve"> </w:t>
      </w:r>
      <w:r w:rsidR="00892DFE" w:rsidRPr="00FD211F">
        <w:rPr>
          <w:sz w:val="36"/>
          <w:szCs w:val="36"/>
          <w:rtl/>
        </w:rPr>
        <w:t>اوله</w:t>
      </w:r>
      <w:r w:rsidR="00E8128F">
        <w:rPr>
          <w:sz w:val="36"/>
          <w:szCs w:val="36"/>
          <w:rtl/>
        </w:rPr>
        <w:t xml:space="preserve"> </w:t>
      </w:r>
      <w:r w:rsidR="00A73A83" w:rsidRPr="00FD211F">
        <w:rPr>
          <w:sz w:val="36"/>
          <w:szCs w:val="36"/>
          <w:rtl/>
        </w:rPr>
        <w:t>مثلا</w:t>
      </w:r>
      <w:r w:rsidR="00E8128F">
        <w:rPr>
          <w:sz w:val="36"/>
          <w:szCs w:val="36"/>
          <w:rtl/>
        </w:rPr>
        <w:t xml:space="preserve"> </w:t>
      </w:r>
      <w:r w:rsidR="00892DFE" w:rsidRPr="00FD211F">
        <w:rPr>
          <w:sz w:val="36"/>
          <w:szCs w:val="36"/>
          <w:rtl/>
        </w:rPr>
        <w:t>متلبسا</w:t>
      </w:r>
      <w:r w:rsidR="00E8128F">
        <w:rPr>
          <w:sz w:val="36"/>
          <w:szCs w:val="36"/>
          <w:rtl/>
        </w:rPr>
        <w:t xml:space="preserve"> </w:t>
      </w:r>
      <w:r w:rsidR="00892DFE" w:rsidRPr="00FD211F">
        <w:rPr>
          <w:sz w:val="36"/>
          <w:szCs w:val="36"/>
          <w:rtl/>
        </w:rPr>
        <w:t>بقتل</w:t>
      </w:r>
      <w:r w:rsidR="00E8128F">
        <w:rPr>
          <w:sz w:val="36"/>
          <w:szCs w:val="36"/>
          <w:rtl/>
        </w:rPr>
        <w:t xml:space="preserve"> </w:t>
      </w:r>
      <w:r w:rsidR="00A73A83" w:rsidRPr="00FD211F">
        <w:rPr>
          <w:sz w:val="36"/>
          <w:szCs w:val="36"/>
          <w:rtl/>
        </w:rPr>
        <w:t>الحسين</w:t>
      </w:r>
      <w:r w:rsidR="00E8128F">
        <w:rPr>
          <w:sz w:val="36"/>
          <w:szCs w:val="36"/>
          <w:rtl/>
        </w:rPr>
        <w:t xml:space="preserve"> </w:t>
      </w:r>
      <w:r w:rsidR="007A4A0D" w:rsidRPr="00FD211F">
        <w:rPr>
          <w:sz w:val="36"/>
          <w:szCs w:val="36"/>
          <w:rtl/>
        </w:rPr>
        <w:t>(عليه‌السلام)</w:t>
      </w:r>
      <w:r w:rsidR="00603323" w:rsidRPr="00FD211F">
        <w:rPr>
          <w:sz w:val="36"/>
          <w:szCs w:val="36"/>
          <w:rtl/>
        </w:rPr>
        <w:t>،</w:t>
      </w:r>
      <w:r w:rsidR="00E8128F">
        <w:rPr>
          <w:sz w:val="36"/>
          <w:szCs w:val="36"/>
          <w:rtl/>
        </w:rPr>
        <w:t xml:space="preserve"> </w:t>
      </w:r>
      <w:r w:rsidR="004150FD" w:rsidRPr="00FD211F">
        <w:rPr>
          <w:sz w:val="36"/>
          <w:szCs w:val="36"/>
          <w:rtl/>
        </w:rPr>
        <w:t>وزال</w:t>
      </w:r>
      <w:r w:rsidR="00E8128F">
        <w:rPr>
          <w:sz w:val="36"/>
          <w:szCs w:val="36"/>
          <w:rtl/>
        </w:rPr>
        <w:t xml:space="preserve"> </w:t>
      </w:r>
      <w:r w:rsidR="004150FD" w:rsidRPr="00FD211F">
        <w:rPr>
          <w:sz w:val="36"/>
          <w:szCs w:val="36"/>
          <w:rtl/>
        </w:rPr>
        <w:t>عنه</w:t>
      </w:r>
      <w:r w:rsidR="00E8128F">
        <w:rPr>
          <w:sz w:val="36"/>
          <w:szCs w:val="36"/>
          <w:rtl/>
        </w:rPr>
        <w:t xml:space="preserve"> </w:t>
      </w:r>
      <w:r w:rsidR="004150FD" w:rsidRPr="00FD211F">
        <w:rPr>
          <w:sz w:val="36"/>
          <w:szCs w:val="36"/>
          <w:rtl/>
        </w:rPr>
        <w:t>التلبس</w:t>
      </w:r>
      <w:r w:rsidR="00E8128F">
        <w:rPr>
          <w:sz w:val="36"/>
          <w:szCs w:val="36"/>
          <w:rtl/>
        </w:rPr>
        <w:t xml:space="preserve"> </w:t>
      </w:r>
      <w:r w:rsidR="004150FD" w:rsidRPr="00FD211F">
        <w:rPr>
          <w:sz w:val="36"/>
          <w:szCs w:val="36"/>
          <w:rtl/>
        </w:rPr>
        <w:t>به</w:t>
      </w:r>
      <w:r w:rsidR="00E8128F">
        <w:rPr>
          <w:sz w:val="36"/>
          <w:szCs w:val="36"/>
          <w:rtl/>
        </w:rPr>
        <w:t xml:space="preserve"> </w:t>
      </w:r>
      <w:r w:rsidR="004150FD" w:rsidRPr="00FD211F">
        <w:rPr>
          <w:sz w:val="36"/>
          <w:szCs w:val="36"/>
          <w:rtl/>
        </w:rPr>
        <w:t>في</w:t>
      </w:r>
      <w:r w:rsidR="00E8128F">
        <w:rPr>
          <w:sz w:val="36"/>
          <w:szCs w:val="36"/>
          <w:rtl/>
        </w:rPr>
        <w:t xml:space="preserve"> </w:t>
      </w:r>
      <w:r w:rsidR="004150FD" w:rsidRPr="00FD211F">
        <w:rPr>
          <w:sz w:val="36"/>
          <w:szCs w:val="36"/>
          <w:rtl/>
        </w:rPr>
        <w:t>آخره</w:t>
      </w:r>
      <w:r w:rsidR="00603323" w:rsidRPr="00FD211F">
        <w:rPr>
          <w:sz w:val="36"/>
          <w:szCs w:val="36"/>
          <w:rtl/>
        </w:rPr>
        <w:t>،</w:t>
      </w:r>
      <w:r w:rsidR="00E8128F">
        <w:rPr>
          <w:sz w:val="36"/>
          <w:szCs w:val="36"/>
          <w:rtl/>
        </w:rPr>
        <w:t xml:space="preserve"> </w:t>
      </w:r>
      <w:r w:rsidR="00892DFE" w:rsidRPr="00FD211F">
        <w:rPr>
          <w:sz w:val="36"/>
          <w:szCs w:val="36"/>
          <w:rtl/>
        </w:rPr>
        <w:t>وحينئذ</w:t>
      </w:r>
      <w:r w:rsidR="00E8128F">
        <w:rPr>
          <w:sz w:val="36"/>
          <w:szCs w:val="36"/>
          <w:rtl/>
        </w:rPr>
        <w:t xml:space="preserve"> </w:t>
      </w:r>
      <w:r w:rsidR="00892DFE" w:rsidRPr="00FD211F">
        <w:rPr>
          <w:sz w:val="36"/>
          <w:szCs w:val="36"/>
          <w:rtl/>
        </w:rPr>
        <w:t>يقع</w:t>
      </w:r>
      <w:r w:rsidR="00E8128F">
        <w:rPr>
          <w:sz w:val="36"/>
          <w:szCs w:val="36"/>
          <w:rtl/>
        </w:rPr>
        <w:t xml:space="preserve"> </w:t>
      </w:r>
      <w:r w:rsidR="00892DFE" w:rsidRPr="00FD211F">
        <w:rPr>
          <w:sz w:val="36"/>
          <w:szCs w:val="36"/>
          <w:rtl/>
        </w:rPr>
        <w:t>الكلام</w:t>
      </w:r>
      <w:r w:rsidR="00E8128F">
        <w:rPr>
          <w:sz w:val="36"/>
          <w:szCs w:val="36"/>
          <w:rtl/>
        </w:rPr>
        <w:t xml:space="preserve"> </w:t>
      </w:r>
      <w:r w:rsidR="00892DFE" w:rsidRPr="00FD211F">
        <w:rPr>
          <w:sz w:val="36"/>
          <w:szCs w:val="36"/>
          <w:rtl/>
        </w:rPr>
        <w:t>في</w:t>
      </w:r>
      <w:r w:rsidR="00E8128F">
        <w:rPr>
          <w:sz w:val="36"/>
          <w:szCs w:val="36"/>
          <w:rtl/>
        </w:rPr>
        <w:t xml:space="preserve"> </w:t>
      </w:r>
      <w:r w:rsidR="004150FD" w:rsidRPr="00FD211F">
        <w:rPr>
          <w:sz w:val="36"/>
          <w:szCs w:val="36"/>
          <w:rtl/>
        </w:rPr>
        <w:t>انه</w:t>
      </w:r>
      <w:r w:rsidR="00E8128F">
        <w:rPr>
          <w:sz w:val="36"/>
          <w:szCs w:val="36"/>
          <w:rtl/>
        </w:rPr>
        <w:t xml:space="preserve"> </w:t>
      </w:r>
      <w:r w:rsidR="004150FD" w:rsidRPr="00FD211F">
        <w:rPr>
          <w:sz w:val="36"/>
          <w:szCs w:val="36"/>
          <w:rtl/>
        </w:rPr>
        <w:t>هل</w:t>
      </w:r>
      <w:r w:rsidR="00E8128F">
        <w:rPr>
          <w:sz w:val="36"/>
          <w:szCs w:val="36"/>
          <w:rtl/>
        </w:rPr>
        <w:t xml:space="preserve"> </w:t>
      </w:r>
      <w:r w:rsidR="004150FD" w:rsidRPr="00FD211F">
        <w:rPr>
          <w:sz w:val="36"/>
          <w:szCs w:val="36"/>
          <w:rtl/>
        </w:rPr>
        <w:t>يصدق</w:t>
      </w:r>
      <w:r w:rsidR="00E8128F">
        <w:rPr>
          <w:sz w:val="36"/>
          <w:szCs w:val="36"/>
          <w:rtl/>
        </w:rPr>
        <w:t xml:space="preserve"> </w:t>
      </w:r>
      <w:r w:rsidR="00892DFE" w:rsidRPr="00FD211F">
        <w:rPr>
          <w:sz w:val="36"/>
          <w:szCs w:val="36"/>
          <w:rtl/>
        </w:rPr>
        <w:t>عنوان</w:t>
      </w:r>
      <w:r w:rsidR="00E8128F">
        <w:rPr>
          <w:sz w:val="36"/>
          <w:szCs w:val="36"/>
          <w:rtl/>
        </w:rPr>
        <w:t xml:space="preserve"> </w:t>
      </w:r>
      <w:r w:rsidR="00892DFE" w:rsidRPr="00FD211F">
        <w:rPr>
          <w:sz w:val="36"/>
          <w:szCs w:val="36"/>
          <w:rtl/>
        </w:rPr>
        <w:t>مقتل</w:t>
      </w:r>
      <w:r w:rsidR="00E8128F">
        <w:rPr>
          <w:sz w:val="36"/>
          <w:szCs w:val="36"/>
          <w:rtl/>
        </w:rPr>
        <w:t xml:space="preserve"> </w:t>
      </w:r>
      <w:r w:rsidR="00892DFE" w:rsidRPr="00FD211F">
        <w:rPr>
          <w:sz w:val="36"/>
          <w:szCs w:val="36"/>
          <w:rtl/>
        </w:rPr>
        <w:t>الحسين</w:t>
      </w:r>
      <w:r w:rsidR="00E8128F">
        <w:rPr>
          <w:sz w:val="36"/>
          <w:szCs w:val="36"/>
          <w:rtl/>
        </w:rPr>
        <w:t xml:space="preserve"> </w:t>
      </w:r>
      <w:r w:rsidR="00892DFE" w:rsidRPr="00FD211F">
        <w:rPr>
          <w:sz w:val="36"/>
          <w:szCs w:val="36"/>
          <w:rtl/>
        </w:rPr>
        <w:t>على</w:t>
      </w:r>
      <w:r w:rsidR="00E8128F">
        <w:rPr>
          <w:sz w:val="36"/>
          <w:szCs w:val="36"/>
          <w:rtl/>
        </w:rPr>
        <w:t xml:space="preserve"> </w:t>
      </w:r>
      <w:r w:rsidR="00892DFE" w:rsidRPr="00FD211F">
        <w:rPr>
          <w:sz w:val="36"/>
          <w:szCs w:val="36"/>
          <w:rtl/>
        </w:rPr>
        <w:t>يوم</w:t>
      </w:r>
      <w:r w:rsidR="00E8128F">
        <w:rPr>
          <w:sz w:val="36"/>
          <w:szCs w:val="36"/>
          <w:rtl/>
        </w:rPr>
        <w:t xml:space="preserve"> </w:t>
      </w:r>
      <w:r w:rsidR="00892DFE" w:rsidRPr="00FD211F">
        <w:rPr>
          <w:sz w:val="36"/>
          <w:szCs w:val="36"/>
          <w:rtl/>
        </w:rPr>
        <w:t>عاشورا</w:t>
      </w:r>
      <w:r w:rsidR="00E8128F">
        <w:rPr>
          <w:sz w:val="36"/>
          <w:szCs w:val="36"/>
          <w:rtl/>
        </w:rPr>
        <w:t xml:space="preserve"> </w:t>
      </w:r>
      <w:r w:rsidR="00892DFE" w:rsidRPr="00FD211F">
        <w:rPr>
          <w:sz w:val="36"/>
          <w:szCs w:val="36"/>
          <w:rtl/>
        </w:rPr>
        <w:t>في</w:t>
      </w:r>
      <w:r w:rsidR="00E8128F">
        <w:rPr>
          <w:sz w:val="36"/>
          <w:szCs w:val="36"/>
          <w:rtl/>
        </w:rPr>
        <w:t xml:space="preserve"> </w:t>
      </w:r>
      <w:r w:rsidR="00892DFE" w:rsidRPr="00FD211F">
        <w:rPr>
          <w:sz w:val="36"/>
          <w:szCs w:val="36"/>
          <w:rtl/>
        </w:rPr>
        <w:t>آخره</w:t>
      </w:r>
      <w:r w:rsidR="00E8128F">
        <w:rPr>
          <w:sz w:val="36"/>
          <w:szCs w:val="36"/>
          <w:rtl/>
        </w:rPr>
        <w:t xml:space="preserve"> </w:t>
      </w:r>
      <w:r w:rsidR="00892DFE" w:rsidRPr="00FD211F">
        <w:rPr>
          <w:sz w:val="36"/>
          <w:szCs w:val="36"/>
          <w:rtl/>
        </w:rPr>
        <w:t>ام</w:t>
      </w:r>
      <w:r w:rsidR="00E8128F">
        <w:rPr>
          <w:sz w:val="36"/>
          <w:szCs w:val="36"/>
          <w:rtl/>
        </w:rPr>
        <w:t xml:space="preserve"> </w:t>
      </w:r>
      <w:r w:rsidR="00892DFE" w:rsidRPr="00FD211F">
        <w:rPr>
          <w:sz w:val="36"/>
          <w:szCs w:val="36"/>
          <w:rtl/>
        </w:rPr>
        <w:t>لا</w:t>
      </w:r>
      <w:r w:rsidR="009C58C8" w:rsidRPr="00FD211F">
        <w:rPr>
          <w:rStyle w:val="a6"/>
          <w:sz w:val="36"/>
          <w:szCs w:val="36"/>
          <w:rtl/>
        </w:rPr>
        <w:t>(</w:t>
      </w:r>
      <w:r w:rsidR="009C58C8" w:rsidRPr="00FD211F">
        <w:rPr>
          <w:rStyle w:val="a6"/>
          <w:sz w:val="36"/>
          <w:szCs w:val="36"/>
          <w:rtl/>
        </w:rPr>
        <w:footnoteReference w:id="531"/>
      </w:r>
      <w:r w:rsidR="009C58C8" w:rsidRPr="00FD211F">
        <w:rPr>
          <w:rStyle w:val="a6"/>
          <w:sz w:val="36"/>
          <w:szCs w:val="36"/>
          <w:rtl/>
        </w:rPr>
        <w:t>)</w:t>
      </w:r>
      <w:r w:rsidR="004150FD" w:rsidRPr="00FD211F">
        <w:rPr>
          <w:sz w:val="36"/>
          <w:szCs w:val="36"/>
          <w:rtl/>
        </w:rPr>
        <w:t>.</w:t>
      </w:r>
    </w:p>
    <w:p w14:paraId="0A0C7736" w14:textId="77777777" w:rsidR="000C5BBA" w:rsidRPr="00FD211F" w:rsidRDefault="00892DFE" w:rsidP="004472F7">
      <w:pPr>
        <w:ind w:left="0" w:firstLine="227"/>
        <w:jc w:val="both"/>
        <w:rPr>
          <w:sz w:val="36"/>
          <w:szCs w:val="36"/>
          <w:rtl/>
        </w:rPr>
      </w:pPr>
      <w:r w:rsidRPr="00FD211F">
        <w:rPr>
          <w:sz w:val="36"/>
          <w:szCs w:val="36"/>
          <w:rtl/>
        </w:rPr>
        <w:t>وقد</w:t>
      </w:r>
      <w:r w:rsidR="00E8128F">
        <w:rPr>
          <w:sz w:val="36"/>
          <w:szCs w:val="36"/>
          <w:rtl/>
        </w:rPr>
        <w:t xml:space="preserve"> </w:t>
      </w:r>
      <w:r w:rsidR="004150FD" w:rsidRPr="00FD211F">
        <w:rPr>
          <w:sz w:val="36"/>
          <w:szCs w:val="36"/>
          <w:rtl/>
        </w:rPr>
        <w:t>اورد</w:t>
      </w:r>
      <w:r w:rsidR="00E8128F">
        <w:rPr>
          <w:sz w:val="36"/>
          <w:szCs w:val="36"/>
          <w:rtl/>
        </w:rPr>
        <w:t xml:space="preserve"> </w:t>
      </w:r>
      <w:r w:rsidR="004150FD" w:rsidRPr="00FD211F">
        <w:rPr>
          <w:sz w:val="36"/>
          <w:szCs w:val="36"/>
          <w:rtl/>
        </w:rPr>
        <w:t>عليه</w:t>
      </w:r>
      <w:r w:rsidR="00E8128F">
        <w:rPr>
          <w:sz w:val="36"/>
          <w:szCs w:val="36"/>
          <w:rtl/>
        </w:rPr>
        <w:t xml:space="preserve"> </w:t>
      </w:r>
      <w:r w:rsidR="004150FD" w:rsidRPr="00FD211F">
        <w:rPr>
          <w:sz w:val="36"/>
          <w:szCs w:val="36"/>
          <w:rtl/>
        </w:rPr>
        <w:t>المحقق</w:t>
      </w:r>
      <w:r w:rsidR="00E8128F">
        <w:rPr>
          <w:sz w:val="36"/>
          <w:szCs w:val="36"/>
          <w:rtl/>
        </w:rPr>
        <w:t xml:space="preserve"> </w:t>
      </w:r>
      <w:r w:rsidR="004150FD" w:rsidRPr="00FD211F">
        <w:rPr>
          <w:sz w:val="36"/>
          <w:szCs w:val="36"/>
          <w:rtl/>
        </w:rPr>
        <w:t>الاصفهاني</w:t>
      </w:r>
      <w:r w:rsidR="00E8128F">
        <w:rPr>
          <w:sz w:val="36"/>
          <w:szCs w:val="36"/>
          <w:rtl/>
        </w:rPr>
        <w:t xml:space="preserve"> </w:t>
      </w:r>
      <w:r w:rsidR="005946E3" w:rsidRPr="00FD211F">
        <w:rPr>
          <w:sz w:val="36"/>
          <w:szCs w:val="36"/>
          <w:rtl/>
        </w:rPr>
        <w:t>"قده"</w:t>
      </w:r>
      <w:r w:rsidR="00E8128F">
        <w:rPr>
          <w:sz w:val="36"/>
          <w:szCs w:val="36"/>
          <w:rtl/>
        </w:rPr>
        <w:t xml:space="preserve"> </w:t>
      </w:r>
      <w:r w:rsidR="004150FD" w:rsidRPr="00FD211F">
        <w:rPr>
          <w:sz w:val="36"/>
          <w:szCs w:val="36"/>
          <w:rtl/>
        </w:rPr>
        <w:t>بان</w:t>
      </w:r>
      <w:r w:rsidR="00E8128F">
        <w:rPr>
          <w:sz w:val="36"/>
          <w:szCs w:val="36"/>
          <w:rtl/>
        </w:rPr>
        <w:t xml:space="preserve"> </w:t>
      </w:r>
      <w:r w:rsidRPr="00FD211F">
        <w:rPr>
          <w:sz w:val="36"/>
          <w:szCs w:val="36"/>
          <w:rtl/>
        </w:rPr>
        <w:t>مجرد</w:t>
      </w:r>
      <w:r w:rsidR="00E8128F">
        <w:rPr>
          <w:sz w:val="36"/>
          <w:szCs w:val="36"/>
          <w:rtl/>
        </w:rPr>
        <w:t xml:space="preserve"> </w:t>
      </w:r>
      <w:r w:rsidRPr="00FD211F">
        <w:rPr>
          <w:sz w:val="36"/>
          <w:szCs w:val="36"/>
          <w:rtl/>
        </w:rPr>
        <w:t>اتصال</w:t>
      </w:r>
      <w:r w:rsidR="00E8128F">
        <w:rPr>
          <w:sz w:val="36"/>
          <w:szCs w:val="36"/>
          <w:rtl/>
        </w:rPr>
        <w:t xml:space="preserve"> </w:t>
      </w:r>
      <w:r w:rsidRPr="00FD211F">
        <w:rPr>
          <w:sz w:val="36"/>
          <w:szCs w:val="36"/>
          <w:rtl/>
        </w:rPr>
        <w:t>الهويات</w:t>
      </w:r>
      <w:r w:rsidR="00E8128F">
        <w:rPr>
          <w:sz w:val="36"/>
          <w:szCs w:val="36"/>
          <w:rtl/>
        </w:rPr>
        <w:t xml:space="preserve"> </w:t>
      </w:r>
      <w:r w:rsidRPr="00FD211F">
        <w:rPr>
          <w:sz w:val="36"/>
          <w:szCs w:val="36"/>
          <w:rtl/>
        </w:rPr>
        <w:t>المتغاير</w:t>
      </w:r>
      <w:r w:rsidR="00EC7EDF" w:rsidRPr="00FD211F">
        <w:rPr>
          <w:sz w:val="36"/>
          <w:szCs w:val="36"/>
          <w:rtl/>
        </w:rPr>
        <w:t>ة</w:t>
      </w:r>
      <w:r w:rsidR="00E8128F">
        <w:rPr>
          <w:sz w:val="36"/>
          <w:szCs w:val="36"/>
          <w:rtl/>
        </w:rPr>
        <w:t xml:space="preserve"> </w:t>
      </w:r>
      <w:r w:rsidRPr="00FD211F">
        <w:rPr>
          <w:sz w:val="36"/>
          <w:szCs w:val="36"/>
          <w:rtl/>
        </w:rPr>
        <w:t>لايوجب</w:t>
      </w:r>
      <w:r w:rsidR="00E8128F">
        <w:rPr>
          <w:sz w:val="36"/>
          <w:szCs w:val="36"/>
          <w:rtl/>
        </w:rPr>
        <w:t xml:space="preserve"> </w:t>
      </w:r>
      <w:r w:rsidRPr="00FD211F">
        <w:rPr>
          <w:sz w:val="36"/>
          <w:szCs w:val="36"/>
          <w:rtl/>
        </w:rPr>
        <w:t>بقاء</w:t>
      </w:r>
      <w:r w:rsidR="00E8128F">
        <w:rPr>
          <w:sz w:val="36"/>
          <w:szCs w:val="36"/>
          <w:rtl/>
        </w:rPr>
        <w:t xml:space="preserve"> </w:t>
      </w:r>
      <w:r w:rsidRPr="00FD211F">
        <w:rPr>
          <w:sz w:val="36"/>
          <w:szCs w:val="36"/>
          <w:rtl/>
        </w:rPr>
        <w:t>الهوي</w:t>
      </w:r>
      <w:r w:rsidR="00EC7EDF" w:rsidRPr="00FD211F">
        <w:rPr>
          <w:sz w:val="36"/>
          <w:szCs w:val="36"/>
          <w:rtl/>
        </w:rPr>
        <w:t>ة</w:t>
      </w:r>
      <w:r w:rsidR="00E8128F">
        <w:rPr>
          <w:sz w:val="36"/>
          <w:szCs w:val="36"/>
          <w:rtl/>
        </w:rPr>
        <w:t xml:space="preserve"> </w:t>
      </w:r>
      <w:r w:rsidRPr="00FD211F">
        <w:rPr>
          <w:sz w:val="36"/>
          <w:szCs w:val="36"/>
          <w:rtl/>
        </w:rPr>
        <w:t>المتلبس</w:t>
      </w:r>
      <w:r w:rsidR="00EC7EDF" w:rsidRPr="00FD211F">
        <w:rPr>
          <w:sz w:val="36"/>
          <w:szCs w:val="36"/>
          <w:rtl/>
        </w:rPr>
        <w:t>ة</w:t>
      </w:r>
      <w:r w:rsidR="00E8128F">
        <w:rPr>
          <w:sz w:val="36"/>
          <w:szCs w:val="36"/>
          <w:rtl/>
        </w:rPr>
        <w:t xml:space="preserve"> </w:t>
      </w:r>
      <w:r w:rsidRPr="00FD211F">
        <w:rPr>
          <w:sz w:val="36"/>
          <w:szCs w:val="36"/>
          <w:rtl/>
        </w:rPr>
        <w:t>بال</w:t>
      </w:r>
      <w:r w:rsidR="0079493B" w:rsidRPr="00FD211F">
        <w:rPr>
          <w:sz w:val="36"/>
          <w:szCs w:val="36"/>
          <w:rtl/>
        </w:rPr>
        <w:t>مبدأ</w:t>
      </w:r>
      <w:r w:rsidR="00603323" w:rsidRPr="00FD211F">
        <w:rPr>
          <w:sz w:val="36"/>
          <w:szCs w:val="36"/>
          <w:rtl/>
        </w:rPr>
        <w:t>،</w:t>
      </w:r>
      <w:r w:rsidR="00E8128F">
        <w:rPr>
          <w:sz w:val="36"/>
          <w:szCs w:val="36"/>
          <w:rtl/>
        </w:rPr>
        <w:t xml:space="preserve"> </w:t>
      </w:r>
      <w:r w:rsidRPr="00FD211F">
        <w:rPr>
          <w:sz w:val="36"/>
          <w:szCs w:val="36"/>
          <w:rtl/>
        </w:rPr>
        <w:t>والا</w:t>
      </w:r>
      <w:r w:rsidR="00E8128F">
        <w:rPr>
          <w:sz w:val="36"/>
          <w:szCs w:val="36"/>
          <w:rtl/>
        </w:rPr>
        <w:t xml:space="preserve"> </w:t>
      </w:r>
      <w:r w:rsidRPr="00FD211F">
        <w:rPr>
          <w:sz w:val="36"/>
          <w:szCs w:val="36"/>
          <w:rtl/>
        </w:rPr>
        <w:t>لزم</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يقال</w:t>
      </w:r>
      <w:r w:rsidR="00E8128F">
        <w:rPr>
          <w:sz w:val="36"/>
          <w:szCs w:val="36"/>
          <w:rtl/>
        </w:rPr>
        <w:t xml:space="preserve"> </w:t>
      </w:r>
      <w:r w:rsidR="004150FD" w:rsidRPr="00FD211F">
        <w:rPr>
          <w:sz w:val="36"/>
          <w:szCs w:val="36"/>
          <w:rtl/>
        </w:rPr>
        <w:t>ان</w:t>
      </w:r>
      <w:r w:rsidR="00E8128F">
        <w:rPr>
          <w:sz w:val="36"/>
          <w:szCs w:val="36"/>
          <w:rtl/>
        </w:rPr>
        <w:t xml:space="preserve"> </w:t>
      </w:r>
      <w:r w:rsidR="004150FD" w:rsidRPr="00FD211F">
        <w:rPr>
          <w:sz w:val="36"/>
          <w:szCs w:val="36"/>
          <w:rtl/>
        </w:rPr>
        <w:t>زماننا</w:t>
      </w:r>
      <w:r w:rsidR="00E8128F">
        <w:rPr>
          <w:sz w:val="36"/>
          <w:szCs w:val="36"/>
          <w:rtl/>
        </w:rPr>
        <w:t xml:space="preserve"> </w:t>
      </w:r>
      <w:r w:rsidR="004150FD" w:rsidRPr="00FD211F">
        <w:rPr>
          <w:sz w:val="36"/>
          <w:szCs w:val="36"/>
          <w:rtl/>
        </w:rPr>
        <w:t>هذا</w:t>
      </w:r>
      <w:r w:rsidR="00E8128F">
        <w:rPr>
          <w:sz w:val="36"/>
          <w:szCs w:val="36"/>
          <w:rtl/>
        </w:rPr>
        <w:t xml:space="preserve"> </w:t>
      </w:r>
      <w:r w:rsidRPr="00FD211F">
        <w:rPr>
          <w:sz w:val="36"/>
          <w:szCs w:val="36"/>
          <w:rtl/>
        </w:rPr>
        <w:t>مقتل</w:t>
      </w:r>
      <w:r w:rsidR="00E8128F">
        <w:rPr>
          <w:sz w:val="36"/>
          <w:szCs w:val="36"/>
          <w:rtl/>
        </w:rPr>
        <w:t xml:space="preserve"> </w:t>
      </w:r>
      <w:r w:rsidRPr="00FD211F">
        <w:rPr>
          <w:sz w:val="36"/>
          <w:szCs w:val="36"/>
          <w:rtl/>
        </w:rPr>
        <w:t>زكريا</w:t>
      </w:r>
      <w:r w:rsidR="004472F7">
        <w:rPr>
          <w:rFonts w:hint="cs"/>
          <w:sz w:val="36"/>
          <w:szCs w:val="36"/>
          <w:rtl/>
        </w:rPr>
        <w:t xml:space="preserve"> </w:t>
      </w:r>
      <w:r w:rsidR="007A4A0D" w:rsidRPr="00FD211F">
        <w:rPr>
          <w:sz w:val="36"/>
          <w:szCs w:val="36"/>
          <w:rtl/>
        </w:rPr>
        <w:t>(عليه‌السلام)</w:t>
      </w:r>
      <w:r w:rsidR="00E8128F">
        <w:rPr>
          <w:sz w:val="36"/>
          <w:szCs w:val="36"/>
          <w:rtl/>
        </w:rPr>
        <w:t xml:space="preserve"> </w:t>
      </w:r>
      <w:r w:rsidRPr="00FD211F">
        <w:rPr>
          <w:sz w:val="36"/>
          <w:szCs w:val="36"/>
          <w:rtl/>
        </w:rPr>
        <w:t>لفرض</w:t>
      </w:r>
      <w:r w:rsidR="00E8128F">
        <w:rPr>
          <w:sz w:val="36"/>
          <w:szCs w:val="36"/>
          <w:rtl/>
        </w:rPr>
        <w:t xml:space="preserve"> </w:t>
      </w:r>
      <w:r w:rsidRPr="00FD211F">
        <w:rPr>
          <w:sz w:val="36"/>
          <w:szCs w:val="36"/>
          <w:rtl/>
        </w:rPr>
        <w:t>اتصاله</w:t>
      </w:r>
      <w:r w:rsidR="00E8128F">
        <w:rPr>
          <w:sz w:val="36"/>
          <w:szCs w:val="36"/>
          <w:rtl/>
        </w:rPr>
        <w:t xml:space="preserve"> </w:t>
      </w:r>
      <w:r w:rsidRPr="00FD211F">
        <w:rPr>
          <w:sz w:val="36"/>
          <w:szCs w:val="36"/>
          <w:rtl/>
        </w:rPr>
        <w:t>ب</w:t>
      </w:r>
      <w:r w:rsidR="004150FD" w:rsidRPr="00FD211F">
        <w:rPr>
          <w:sz w:val="36"/>
          <w:szCs w:val="36"/>
          <w:rtl/>
        </w:rPr>
        <w:t>آن</w:t>
      </w:r>
      <w:r w:rsidR="00E8128F">
        <w:rPr>
          <w:sz w:val="36"/>
          <w:szCs w:val="36"/>
          <w:rtl/>
        </w:rPr>
        <w:t xml:space="preserve"> </w:t>
      </w:r>
      <w:r w:rsidR="004150FD" w:rsidRPr="00FD211F">
        <w:rPr>
          <w:sz w:val="36"/>
          <w:szCs w:val="36"/>
          <w:rtl/>
        </w:rPr>
        <w:t>قتله</w:t>
      </w:r>
      <w:r w:rsidR="00603323" w:rsidRPr="00FD211F">
        <w:rPr>
          <w:sz w:val="36"/>
          <w:szCs w:val="36"/>
          <w:rtl/>
        </w:rPr>
        <w:t>،</w:t>
      </w:r>
      <w:r w:rsidR="00E8128F">
        <w:rPr>
          <w:sz w:val="36"/>
          <w:szCs w:val="36"/>
          <w:rtl/>
        </w:rPr>
        <w:t xml:space="preserve"> </w:t>
      </w:r>
      <w:r w:rsidRPr="00FD211F">
        <w:rPr>
          <w:sz w:val="36"/>
          <w:szCs w:val="36"/>
          <w:rtl/>
        </w:rPr>
        <w:t>نعم</w:t>
      </w:r>
      <w:r w:rsidR="00E8128F">
        <w:rPr>
          <w:sz w:val="36"/>
          <w:szCs w:val="36"/>
          <w:rtl/>
        </w:rPr>
        <w:t xml:space="preserve"> </w:t>
      </w:r>
      <w:r w:rsidRPr="00FD211F">
        <w:rPr>
          <w:sz w:val="36"/>
          <w:szCs w:val="36"/>
          <w:rtl/>
        </w:rPr>
        <w:t>لامانع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حمل</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الزمان</w:t>
      </w:r>
      <w:r w:rsidR="00E8128F">
        <w:rPr>
          <w:sz w:val="36"/>
          <w:szCs w:val="36"/>
          <w:rtl/>
        </w:rPr>
        <w:t xml:space="preserve"> </w:t>
      </w:r>
      <w:r w:rsidR="004704ED" w:rsidRPr="00FD211F">
        <w:rPr>
          <w:sz w:val="36"/>
          <w:szCs w:val="36"/>
          <w:rtl/>
        </w:rPr>
        <w:t>مجازا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آن</w:t>
      </w:r>
      <w:r w:rsidR="00E8128F">
        <w:rPr>
          <w:sz w:val="36"/>
          <w:szCs w:val="36"/>
          <w:rtl/>
        </w:rPr>
        <w:t xml:space="preserve"> </w:t>
      </w:r>
      <w:r w:rsidRPr="00FD211F">
        <w:rPr>
          <w:sz w:val="36"/>
          <w:szCs w:val="36"/>
          <w:rtl/>
        </w:rPr>
        <w:t>مقارب</w:t>
      </w:r>
      <w:r w:rsidR="00E8128F">
        <w:rPr>
          <w:sz w:val="36"/>
          <w:szCs w:val="36"/>
          <w:rtl/>
        </w:rPr>
        <w:t xml:space="preserve"> </w:t>
      </w:r>
      <w:r w:rsidR="004704ED" w:rsidRPr="00FD211F">
        <w:rPr>
          <w:sz w:val="36"/>
          <w:szCs w:val="36"/>
          <w:rtl/>
        </w:rPr>
        <w:t>له</w:t>
      </w:r>
      <w:r w:rsidR="00E8128F">
        <w:rPr>
          <w:sz w:val="36"/>
          <w:szCs w:val="36"/>
          <w:rtl/>
        </w:rPr>
        <w:t xml:space="preserve"> </w:t>
      </w:r>
      <w:r w:rsidRPr="00FD211F">
        <w:rPr>
          <w:sz w:val="36"/>
          <w:szCs w:val="36"/>
          <w:rtl/>
        </w:rPr>
        <w:t>او</w:t>
      </w:r>
      <w:r w:rsidR="00E8128F">
        <w:rPr>
          <w:sz w:val="36"/>
          <w:szCs w:val="36"/>
          <w:rtl/>
        </w:rPr>
        <w:t xml:space="preserve"> </w:t>
      </w:r>
      <w:r w:rsidR="004704ED" w:rsidRPr="00FD211F">
        <w:rPr>
          <w:sz w:val="36"/>
          <w:szCs w:val="36"/>
          <w:rtl/>
        </w:rPr>
        <w:t>م</w:t>
      </w:r>
      <w:r w:rsidRPr="00FD211F">
        <w:rPr>
          <w:sz w:val="36"/>
          <w:szCs w:val="36"/>
          <w:rtl/>
        </w:rPr>
        <w:t>شابه</w:t>
      </w:r>
      <w:r w:rsidR="00E8128F">
        <w:rPr>
          <w:sz w:val="36"/>
          <w:szCs w:val="36"/>
          <w:rtl/>
        </w:rPr>
        <w:t xml:space="preserve"> </w:t>
      </w:r>
      <w:r w:rsidRPr="00FD211F">
        <w:rPr>
          <w:sz w:val="36"/>
          <w:szCs w:val="36"/>
          <w:rtl/>
        </w:rPr>
        <w:t>له</w:t>
      </w:r>
      <w:r w:rsidR="00E8128F">
        <w:rPr>
          <w:sz w:val="36"/>
          <w:szCs w:val="36"/>
          <w:rtl/>
        </w:rPr>
        <w:t xml:space="preserve"> </w:t>
      </w:r>
      <w:r w:rsidR="007D7158" w:rsidRPr="00FD211F">
        <w:rPr>
          <w:sz w:val="36"/>
          <w:szCs w:val="36"/>
          <w:rtl/>
        </w:rPr>
        <w:t>كما</w:t>
      </w:r>
      <w:r w:rsidR="00E8128F">
        <w:rPr>
          <w:sz w:val="36"/>
          <w:szCs w:val="36"/>
          <w:rtl/>
        </w:rPr>
        <w:t xml:space="preserve"> </w:t>
      </w:r>
      <w:r w:rsidR="007D7158" w:rsidRPr="00FD211F">
        <w:rPr>
          <w:sz w:val="36"/>
          <w:szCs w:val="36"/>
          <w:rtl/>
        </w:rPr>
        <w:t>يقال</w:t>
      </w:r>
      <w:r w:rsidR="00E8128F">
        <w:rPr>
          <w:sz w:val="36"/>
          <w:szCs w:val="36"/>
          <w:rtl/>
        </w:rPr>
        <w:t xml:space="preserve"> </w:t>
      </w:r>
      <w:r w:rsidR="007D7158" w:rsidRPr="00FD211F">
        <w:rPr>
          <w:sz w:val="36"/>
          <w:szCs w:val="36"/>
          <w:rtl/>
        </w:rPr>
        <w:t>في</w:t>
      </w:r>
      <w:r w:rsidR="00E8128F">
        <w:rPr>
          <w:sz w:val="36"/>
          <w:szCs w:val="36"/>
          <w:rtl/>
        </w:rPr>
        <w:t xml:space="preserve"> </w:t>
      </w:r>
      <w:r w:rsidR="007D7158" w:rsidRPr="00FD211F">
        <w:rPr>
          <w:sz w:val="36"/>
          <w:szCs w:val="36"/>
          <w:rtl/>
        </w:rPr>
        <w:t>ال</w:t>
      </w:r>
      <w:r w:rsidR="004704ED" w:rsidRPr="00FD211F">
        <w:rPr>
          <w:sz w:val="36"/>
          <w:szCs w:val="36"/>
          <w:rtl/>
        </w:rPr>
        <w:t>يوم</w:t>
      </w:r>
      <w:r w:rsidR="00E8128F">
        <w:rPr>
          <w:sz w:val="36"/>
          <w:szCs w:val="36"/>
          <w:rtl/>
        </w:rPr>
        <w:t xml:space="preserve"> </w:t>
      </w:r>
      <w:r w:rsidR="007D7158" w:rsidRPr="00FD211F">
        <w:rPr>
          <w:sz w:val="36"/>
          <w:szCs w:val="36"/>
          <w:rtl/>
        </w:rPr>
        <w:t>ال</w:t>
      </w:r>
      <w:r w:rsidR="004704ED" w:rsidRPr="00FD211F">
        <w:rPr>
          <w:sz w:val="36"/>
          <w:szCs w:val="36"/>
          <w:rtl/>
        </w:rPr>
        <w:t>عاشر</w:t>
      </w:r>
      <w:r w:rsidR="00E8128F">
        <w:rPr>
          <w:sz w:val="36"/>
          <w:szCs w:val="36"/>
          <w:rtl/>
        </w:rPr>
        <w:t xml:space="preserve"> </w:t>
      </w:r>
      <w:r w:rsidR="004704ED" w:rsidRPr="00FD211F">
        <w:rPr>
          <w:sz w:val="36"/>
          <w:szCs w:val="36"/>
          <w:rtl/>
        </w:rPr>
        <w:t>من</w:t>
      </w:r>
      <w:r w:rsidR="00E8128F">
        <w:rPr>
          <w:sz w:val="36"/>
          <w:szCs w:val="36"/>
          <w:rtl/>
        </w:rPr>
        <w:t xml:space="preserve"> </w:t>
      </w:r>
      <w:r w:rsidR="004704ED" w:rsidRPr="00FD211F">
        <w:rPr>
          <w:sz w:val="36"/>
          <w:szCs w:val="36"/>
          <w:rtl/>
        </w:rPr>
        <w:t>المحرم</w:t>
      </w:r>
      <w:r w:rsidR="00E8128F">
        <w:rPr>
          <w:sz w:val="36"/>
          <w:szCs w:val="36"/>
          <w:rtl/>
        </w:rPr>
        <w:t xml:space="preserve"> </w:t>
      </w:r>
      <w:r w:rsidR="007D7158" w:rsidRPr="00FD211F">
        <w:rPr>
          <w:sz w:val="36"/>
          <w:szCs w:val="36"/>
          <w:rtl/>
        </w:rPr>
        <w:t>في</w:t>
      </w:r>
      <w:r w:rsidR="00E8128F">
        <w:rPr>
          <w:sz w:val="36"/>
          <w:szCs w:val="36"/>
          <w:rtl/>
        </w:rPr>
        <w:t xml:space="preserve"> </w:t>
      </w:r>
      <w:r w:rsidR="007D7158" w:rsidRPr="00FD211F">
        <w:rPr>
          <w:sz w:val="36"/>
          <w:szCs w:val="36"/>
          <w:rtl/>
        </w:rPr>
        <w:t>كل</w:t>
      </w:r>
      <w:r w:rsidR="00E8128F">
        <w:rPr>
          <w:sz w:val="36"/>
          <w:szCs w:val="36"/>
          <w:rtl/>
        </w:rPr>
        <w:t xml:space="preserve"> </w:t>
      </w:r>
      <w:r w:rsidR="007D7158" w:rsidRPr="00FD211F">
        <w:rPr>
          <w:sz w:val="36"/>
          <w:szCs w:val="36"/>
          <w:rtl/>
        </w:rPr>
        <w:t>سن</w:t>
      </w:r>
      <w:r w:rsidR="00EC7EDF" w:rsidRPr="00FD211F">
        <w:rPr>
          <w:sz w:val="36"/>
          <w:szCs w:val="36"/>
          <w:rtl/>
        </w:rPr>
        <w:t>ة</w:t>
      </w:r>
      <w:r w:rsidR="00E8128F">
        <w:rPr>
          <w:sz w:val="36"/>
          <w:szCs w:val="36"/>
          <w:rtl/>
        </w:rPr>
        <w:t xml:space="preserve"> </w:t>
      </w:r>
      <w:r w:rsidR="004704ED" w:rsidRPr="00FD211F">
        <w:rPr>
          <w:sz w:val="36"/>
          <w:szCs w:val="36"/>
          <w:rtl/>
        </w:rPr>
        <w:t>انه</w:t>
      </w:r>
      <w:r w:rsidR="00E8128F">
        <w:rPr>
          <w:sz w:val="36"/>
          <w:szCs w:val="36"/>
          <w:rtl/>
        </w:rPr>
        <w:t xml:space="preserve"> </w:t>
      </w:r>
      <w:r w:rsidR="004704ED" w:rsidRPr="00FD211F">
        <w:rPr>
          <w:sz w:val="36"/>
          <w:szCs w:val="36"/>
          <w:rtl/>
        </w:rPr>
        <w:t>مقتل</w:t>
      </w:r>
      <w:r w:rsidR="00E8128F">
        <w:rPr>
          <w:sz w:val="36"/>
          <w:szCs w:val="36"/>
          <w:rtl/>
        </w:rPr>
        <w:t xml:space="preserve"> </w:t>
      </w:r>
      <w:r w:rsidR="004704ED" w:rsidRPr="00FD211F">
        <w:rPr>
          <w:sz w:val="36"/>
          <w:szCs w:val="36"/>
          <w:rtl/>
        </w:rPr>
        <w:t>الحسين</w:t>
      </w:r>
      <w:r w:rsidR="00E8128F">
        <w:rPr>
          <w:sz w:val="36"/>
          <w:szCs w:val="36"/>
          <w:rtl/>
        </w:rPr>
        <w:t xml:space="preserve"> </w:t>
      </w:r>
      <w:r w:rsidR="007A4A0D" w:rsidRPr="00FD211F">
        <w:rPr>
          <w:sz w:val="36"/>
          <w:szCs w:val="36"/>
          <w:rtl/>
        </w:rPr>
        <w:t>(عليه‌السلام)</w:t>
      </w:r>
      <w:r w:rsidR="0091008F" w:rsidRPr="00FD211F">
        <w:rPr>
          <w:sz w:val="36"/>
          <w:szCs w:val="36"/>
          <w:rtl/>
        </w:rPr>
        <w:t>.</w:t>
      </w:r>
    </w:p>
    <w:p w14:paraId="1B45FCCE" w14:textId="77777777" w:rsidR="00892DFE" w:rsidRPr="00FD211F" w:rsidRDefault="00892DFE"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قال</w:t>
      </w:r>
      <w:r w:rsidR="00E8128F">
        <w:rPr>
          <w:sz w:val="36"/>
          <w:szCs w:val="36"/>
          <w:rtl/>
        </w:rPr>
        <w:t xml:space="preserve"> </w:t>
      </w:r>
      <w:r w:rsidR="0091008F" w:rsidRPr="00FD211F">
        <w:rPr>
          <w:sz w:val="36"/>
          <w:szCs w:val="36"/>
          <w:rtl/>
        </w:rPr>
        <w:t>"</w:t>
      </w:r>
      <w:r w:rsidRPr="00FD211F">
        <w:rPr>
          <w:sz w:val="36"/>
          <w:szCs w:val="36"/>
          <w:rtl/>
        </w:rPr>
        <w:t>قده</w:t>
      </w:r>
      <w:r w:rsidR="0091008F" w:rsidRPr="00FD211F">
        <w:rPr>
          <w:sz w:val="36"/>
          <w:szCs w:val="36"/>
          <w:rtl/>
        </w:rPr>
        <w:t>"</w:t>
      </w:r>
      <w:r w:rsidR="004704ED"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اطلاق</w:t>
      </w:r>
      <w:r w:rsidR="00E8128F">
        <w:rPr>
          <w:sz w:val="36"/>
          <w:szCs w:val="36"/>
          <w:rtl/>
        </w:rPr>
        <w:t xml:space="preserve"> </w:t>
      </w:r>
      <w:r w:rsidRPr="00FD211F">
        <w:rPr>
          <w:sz w:val="36"/>
          <w:szCs w:val="36"/>
          <w:rtl/>
        </w:rPr>
        <w:t>المقتل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يوم</w:t>
      </w:r>
      <w:r w:rsidR="00E8128F">
        <w:rPr>
          <w:sz w:val="36"/>
          <w:szCs w:val="36"/>
          <w:rtl/>
        </w:rPr>
        <w:t xml:space="preserve"> </w:t>
      </w:r>
      <w:r w:rsidRPr="00FD211F">
        <w:rPr>
          <w:sz w:val="36"/>
          <w:szCs w:val="36"/>
          <w:rtl/>
        </w:rPr>
        <w:t>عاشورا</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بتمامه</w:t>
      </w:r>
      <w:r w:rsidR="00E8128F">
        <w:rPr>
          <w:sz w:val="36"/>
          <w:szCs w:val="36"/>
          <w:rtl/>
        </w:rPr>
        <w:t xml:space="preserve"> </w:t>
      </w:r>
      <w:r w:rsidR="004704ED" w:rsidRPr="00FD211F">
        <w:rPr>
          <w:sz w:val="36"/>
          <w:szCs w:val="36"/>
          <w:rtl/>
        </w:rPr>
        <w:t>حقيقي</w:t>
      </w:r>
      <w:r w:rsidR="00E8128F">
        <w:rPr>
          <w:sz w:val="36"/>
          <w:szCs w:val="36"/>
          <w:rtl/>
        </w:rPr>
        <w:t xml:space="preserve"> </w:t>
      </w:r>
      <w:r w:rsidRPr="00FD211F">
        <w:rPr>
          <w:sz w:val="36"/>
          <w:szCs w:val="36"/>
          <w:rtl/>
        </w:rPr>
        <w:t>لأجل</w:t>
      </w:r>
      <w:r w:rsidR="00E8128F">
        <w:rPr>
          <w:sz w:val="36"/>
          <w:szCs w:val="36"/>
          <w:rtl/>
        </w:rPr>
        <w:t xml:space="preserve"> </w:t>
      </w:r>
      <w:r w:rsidRPr="00FD211F">
        <w:rPr>
          <w:sz w:val="36"/>
          <w:szCs w:val="36"/>
          <w:rtl/>
        </w:rPr>
        <w:t>إراد</w:t>
      </w:r>
      <w:r w:rsidR="00EC7EDF" w:rsidRPr="00FD211F">
        <w:rPr>
          <w:sz w:val="36"/>
          <w:szCs w:val="36"/>
          <w:rtl/>
        </w:rPr>
        <w:t>ة</w:t>
      </w:r>
      <w:r w:rsidR="00E8128F">
        <w:rPr>
          <w:sz w:val="36"/>
          <w:szCs w:val="36"/>
          <w:rtl/>
        </w:rPr>
        <w:t xml:space="preserve"> </w:t>
      </w:r>
      <w:r w:rsidR="004704ED" w:rsidRPr="00FD211F">
        <w:rPr>
          <w:sz w:val="36"/>
          <w:szCs w:val="36"/>
          <w:rtl/>
        </w:rPr>
        <w:t>انه</w:t>
      </w:r>
      <w:r w:rsidR="00E8128F">
        <w:rPr>
          <w:sz w:val="36"/>
          <w:szCs w:val="36"/>
          <w:rtl/>
        </w:rPr>
        <w:t xml:space="preserve"> </w:t>
      </w:r>
      <w:r w:rsidRPr="00FD211F">
        <w:rPr>
          <w:sz w:val="36"/>
          <w:szCs w:val="36"/>
          <w:rtl/>
        </w:rPr>
        <w:t>يوم</w:t>
      </w:r>
      <w:r w:rsidR="00E8128F">
        <w:rPr>
          <w:sz w:val="36"/>
          <w:szCs w:val="36"/>
          <w:rtl/>
        </w:rPr>
        <w:t xml:space="preserve"> </w:t>
      </w:r>
      <w:r w:rsidR="004704ED" w:rsidRPr="00FD211F">
        <w:rPr>
          <w:sz w:val="36"/>
          <w:szCs w:val="36"/>
          <w:rtl/>
        </w:rPr>
        <w:t>وقع</w:t>
      </w:r>
      <w:r w:rsidR="00E8128F">
        <w:rPr>
          <w:sz w:val="36"/>
          <w:szCs w:val="36"/>
          <w:rtl/>
        </w:rPr>
        <w:t xml:space="preserve"> </w:t>
      </w:r>
      <w:r w:rsidR="004704ED" w:rsidRPr="00FD211F">
        <w:rPr>
          <w:sz w:val="36"/>
          <w:szCs w:val="36"/>
          <w:rtl/>
        </w:rPr>
        <w:t>فيه</w:t>
      </w:r>
      <w:r w:rsidR="00E8128F">
        <w:rPr>
          <w:sz w:val="36"/>
          <w:szCs w:val="36"/>
          <w:rtl/>
        </w:rPr>
        <w:t xml:space="preserve"> </w:t>
      </w:r>
      <w:r w:rsidR="004704ED" w:rsidRPr="00FD211F">
        <w:rPr>
          <w:sz w:val="36"/>
          <w:szCs w:val="36"/>
          <w:rtl/>
        </w:rPr>
        <w:t>القتل</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تلبسه</w:t>
      </w:r>
      <w:r w:rsidR="00E8128F">
        <w:rPr>
          <w:sz w:val="36"/>
          <w:szCs w:val="36"/>
          <w:rtl/>
        </w:rPr>
        <w:t xml:space="preserve"> </w:t>
      </w:r>
      <w:r w:rsidRPr="00FD211F">
        <w:rPr>
          <w:sz w:val="36"/>
          <w:szCs w:val="36"/>
          <w:rtl/>
        </w:rPr>
        <w:t>بكونه</w:t>
      </w:r>
      <w:r w:rsidR="00E8128F">
        <w:rPr>
          <w:sz w:val="36"/>
          <w:szCs w:val="36"/>
          <w:rtl/>
        </w:rPr>
        <w:t xml:space="preserve"> </w:t>
      </w:r>
      <w:r w:rsidRPr="00FD211F">
        <w:rPr>
          <w:sz w:val="36"/>
          <w:szCs w:val="36"/>
          <w:rtl/>
        </w:rPr>
        <w:t>يوم</w:t>
      </w:r>
      <w:r w:rsidR="00E8128F">
        <w:rPr>
          <w:sz w:val="36"/>
          <w:szCs w:val="36"/>
          <w:rtl/>
        </w:rPr>
        <w:t xml:space="preserve"> </w:t>
      </w:r>
      <w:r w:rsidRPr="00FD211F">
        <w:rPr>
          <w:sz w:val="36"/>
          <w:szCs w:val="36"/>
          <w:rtl/>
        </w:rPr>
        <w:t>قتله</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Pr="00FD211F">
        <w:rPr>
          <w:sz w:val="36"/>
          <w:szCs w:val="36"/>
          <w:rtl/>
        </w:rPr>
        <w:t>باق</w:t>
      </w:r>
      <w:r w:rsidR="00E8128F">
        <w:rPr>
          <w:sz w:val="36"/>
          <w:szCs w:val="36"/>
          <w:rtl/>
        </w:rPr>
        <w:t xml:space="preserve"> </w:t>
      </w:r>
      <w:r w:rsidRPr="00FD211F">
        <w:rPr>
          <w:sz w:val="36"/>
          <w:szCs w:val="36"/>
          <w:rtl/>
        </w:rPr>
        <w:t>الى</w:t>
      </w:r>
      <w:r w:rsidR="00E8128F">
        <w:rPr>
          <w:sz w:val="36"/>
          <w:szCs w:val="36"/>
          <w:rtl/>
        </w:rPr>
        <w:t xml:space="preserve"> </w:t>
      </w:r>
      <w:r w:rsidR="00131322" w:rsidRPr="00FD211F">
        <w:rPr>
          <w:sz w:val="36"/>
          <w:szCs w:val="36"/>
          <w:rtl/>
        </w:rPr>
        <w:t>آخر</w:t>
      </w:r>
      <w:r w:rsidR="00E8128F">
        <w:rPr>
          <w:sz w:val="36"/>
          <w:szCs w:val="36"/>
          <w:rtl/>
        </w:rPr>
        <w:t xml:space="preserve"> </w:t>
      </w:r>
      <w:r w:rsidR="00131322" w:rsidRPr="00FD211F">
        <w:rPr>
          <w:sz w:val="36"/>
          <w:szCs w:val="36"/>
          <w:rtl/>
        </w:rPr>
        <w:t>وقته</w:t>
      </w:r>
      <w:r w:rsidR="00603323" w:rsidRPr="00FD211F">
        <w:rPr>
          <w:sz w:val="36"/>
          <w:szCs w:val="36"/>
          <w:rtl/>
        </w:rPr>
        <w:t>،</w:t>
      </w:r>
      <w:r w:rsidR="00E8128F">
        <w:rPr>
          <w:sz w:val="36"/>
          <w:szCs w:val="36"/>
          <w:rtl/>
        </w:rPr>
        <w:t xml:space="preserve"> </w:t>
      </w:r>
      <w:r w:rsidR="00131322" w:rsidRPr="00FD211F">
        <w:rPr>
          <w:sz w:val="36"/>
          <w:szCs w:val="36"/>
          <w:rtl/>
        </w:rPr>
        <w:t>وكذا</w:t>
      </w:r>
      <w:r w:rsidR="00E8128F">
        <w:rPr>
          <w:sz w:val="36"/>
          <w:szCs w:val="36"/>
          <w:rtl/>
        </w:rPr>
        <w:t xml:space="preserve"> </w:t>
      </w:r>
      <w:r w:rsidR="0091008F" w:rsidRPr="00FD211F">
        <w:rPr>
          <w:sz w:val="36"/>
          <w:szCs w:val="36"/>
          <w:rtl/>
        </w:rPr>
        <w:t>اطلاقه</w:t>
      </w:r>
      <w:r w:rsidR="00E8128F">
        <w:rPr>
          <w:sz w:val="36"/>
          <w:szCs w:val="36"/>
          <w:rtl/>
        </w:rPr>
        <w:t xml:space="preserve"> </w:t>
      </w:r>
      <w:r w:rsidR="0091008F" w:rsidRPr="00FD211F">
        <w:rPr>
          <w:sz w:val="36"/>
          <w:szCs w:val="36"/>
          <w:rtl/>
        </w:rPr>
        <w:t>على</w:t>
      </w:r>
      <w:r w:rsidR="00E8128F">
        <w:rPr>
          <w:sz w:val="36"/>
          <w:szCs w:val="36"/>
          <w:rtl/>
        </w:rPr>
        <w:t xml:space="preserve"> </w:t>
      </w:r>
      <w:r w:rsidR="0091008F" w:rsidRPr="00FD211F">
        <w:rPr>
          <w:sz w:val="36"/>
          <w:szCs w:val="36"/>
          <w:rtl/>
        </w:rPr>
        <w:t>شهر</w:t>
      </w:r>
      <w:r w:rsidR="00E8128F">
        <w:rPr>
          <w:sz w:val="36"/>
          <w:szCs w:val="36"/>
          <w:rtl/>
        </w:rPr>
        <w:t xml:space="preserve"> </w:t>
      </w:r>
      <w:r w:rsidR="0091008F" w:rsidRPr="00FD211F">
        <w:rPr>
          <w:sz w:val="36"/>
          <w:szCs w:val="36"/>
          <w:rtl/>
        </w:rPr>
        <w:t>قتله</w:t>
      </w:r>
      <w:r w:rsidR="00E8128F">
        <w:rPr>
          <w:sz w:val="36"/>
          <w:szCs w:val="36"/>
          <w:rtl/>
        </w:rPr>
        <w:t xml:space="preserve"> </w:t>
      </w:r>
      <w:r w:rsidR="0091008F" w:rsidRPr="00FD211F">
        <w:rPr>
          <w:sz w:val="36"/>
          <w:szCs w:val="36"/>
          <w:rtl/>
        </w:rPr>
        <w:t>او</w:t>
      </w:r>
      <w:r w:rsidR="00E8128F">
        <w:rPr>
          <w:sz w:val="36"/>
          <w:szCs w:val="36"/>
          <w:rtl/>
        </w:rPr>
        <w:t xml:space="preserve"> </w:t>
      </w:r>
      <w:r w:rsidR="0091008F" w:rsidRPr="00FD211F">
        <w:rPr>
          <w:sz w:val="36"/>
          <w:szCs w:val="36"/>
          <w:rtl/>
        </w:rPr>
        <w:t>سن</w:t>
      </w:r>
      <w:r w:rsidR="00EC7EDF" w:rsidRPr="00FD211F">
        <w:rPr>
          <w:sz w:val="36"/>
          <w:szCs w:val="36"/>
          <w:rtl/>
        </w:rPr>
        <w:t>ة</w:t>
      </w:r>
      <w:r w:rsidR="00E8128F">
        <w:rPr>
          <w:sz w:val="36"/>
          <w:szCs w:val="36"/>
          <w:rtl/>
        </w:rPr>
        <w:t xml:space="preserve"> </w:t>
      </w:r>
      <w:r w:rsidR="0091008F" w:rsidRPr="00FD211F">
        <w:rPr>
          <w:sz w:val="36"/>
          <w:szCs w:val="36"/>
          <w:rtl/>
        </w:rPr>
        <w:t>قتله</w:t>
      </w:r>
      <w:r w:rsidR="00E8128F">
        <w:rPr>
          <w:sz w:val="36"/>
          <w:szCs w:val="36"/>
          <w:rtl/>
        </w:rPr>
        <w:t xml:space="preserve"> </w:t>
      </w:r>
      <w:r w:rsidR="0091008F" w:rsidRPr="00FD211F">
        <w:rPr>
          <w:sz w:val="36"/>
          <w:szCs w:val="36"/>
          <w:rtl/>
        </w:rPr>
        <w:t>فيقال</w:t>
      </w:r>
      <w:r w:rsidR="00E8128F">
        <w:rPr>
          <w:sz w:val="36"/>
          <w:szCs w:val="36"/>
          <w:rtl/>
        </w:rPr>
        <w:t xml:space="preserve"> </w:t>
      </w:r>
      <w:r w:rsidR="0091008F" w:rsidRPr="00FD211F">
        <w:rPr>
          <w:sz w:val="36"/>
          <w:szCs w:val="36"/>
          <w:rtl/>
        </w:rPr>
        <w:t>سن</w:t>
      </w:r>
      <w:r w:rsidR="00EC7EDF" w:rsidRPr="00FD211F">
        <w:rPr>
          <w:sz w:val="36"/>
          <w:szCs w:val="36"/>
          <w:rtl/>
        </w:rPr>
        <w:t>ة</w:t>
      </w:r>
      <w:r w:rsidR="00E8128F">
        <w:rPr>
          <w:sz w:val="36"/>
          <w:szCs w:val="36"/>
          <w:rtl/>
        </w:rPr>
        <w:t xml:space="preserve"> </w:t>
      </w:r>
      <w:r w:rsidR="0091008F" w:rsidRPr="00FD211F">
        <w:rPr>
          <w:sz w:val="36"/>
          <w:szCs w:val="36"/>
          <w:rtl/>
        </w:rPr>
        <w:t>احدى</w:t>
      </w:r>
      <w:r w:rsidR="00E8128F">
        <w:rPr>
          <w:sz w:val="36"/>
          <w:szCs w:val="36"/>
          <w:rtl/>
        </w:rPr>
        <w:t xml:space="preserve"> </w:t>
      </w:r>
      <w:r w:rsidR="0091008F" w:rsidRPr="00FD211F">
        <w:rPr>
          <w:sz w:val="36"/>
          <w:szCs w:val="36"/>
          <w:rtl/>
        </w:rPr>
        <w:t>وستين</w:t>
      </w:r>
      <w:r w:rsidR="00E8128F">
        <w:rPr>
          <w:sz w:val="36"/>
          <w:szCs w:val="36"/>
          <w:rtl/>
        </w:rPr>
        <w:t xml:space="preserve"> </w:t>
      </w:r>
      <w:r w:rsidR="0091008F" w:rsidRPr="00FD211F">
        <w:rPr>
          <w:sz w:val="36"/>
          <w:szCs w:val="36"/>
          <w:rtl/>
        </w:rPr>
        <w:t>من</w:t>
      </w:r>
      <w:r w:rsidR="00E8128F">
        <w:rPr>
          <w:sz w:val="36"/>
          <w:szCs w:val="36"/>
          <w:rtl/>
        </w:rPr>
        <w:t xml:space="preserve"> </w:t>
      </w:r>
      <w:r w:rsidR="0091008F" w:rsidRPr="00FD211F">
        <w:rPr>
          <w:sz w:val="36"/>
          <w:szCs w:val="36"/>
          <w:rtl/>
        </w:rPr>
        <w:t>الهجر</w:t>
      </w:r>
      <w:r w:rsidR="00EC7EDF" w:rsidRPr="00FD211F">
        <w:rPr>
          <w:sz w:val="36"/>
          <w:szCs w:val="36"/>
          <w:rtl/>
        </w:rPr>
        <w:t>ة</w:t>
      </w:r>
      <w:r w:rsidR="00E8128F">
        <w:rPr>
          <w:sz w:val="36"/>
          <w:szCs w:val="36"/>
          <w:rtl/>
        </w:rPr>
        <w:t xml:space="preserve"> </w:t>
      </w:r>
      <w:r w:rsidR="0091008F" w:rsidRPr="00FD211F">
        <w:rPr>
          <w:sz w:val="36"/>
          <w:szCs w:val="36"/>
          <w:rtl/>
        </w:rPr>
        <w:t>مقتل</w:t>
      </w:r>
      <w:r w:rsidR="00E8128F">
        <w:rPr>
          <w:sz w:val="36"/>
          <w:szCs w:val="36"/>
          <w:rtl/>
        </w:rPr>
        <w:t xml:space="preserve"> </w:t>
      </w:r>
      <w:r w:rsidR="0091008F" w:rsidRPr="00FD211F">
        <w:rPr>
          <w:sz w:val="36"/>
          <w:szCs w:val="36"/>
          <w:rtl/>
        </w:rPr>
        <w:t>الحسين</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91008F" w:rsidRPr="00FD211F">
        <w:rPr>
          <w:sz w:val="36"/>
          <w:szCs w:val="36"/>
          <w:rtl/>
        </w:rPr>
        <w:t>ويراد</w:t>
      </w:r>
      <w:r w:rsidR="00E8128F">
        <w:rPr>
          <w:sz w:val="36"/>
          <w:szCs w:val="36"/>
          <w:rtl/>
        </w:rPr>
        <w:t xml:space="preserve"> </w:t>
      </w:r>
      <w:r w:rsidR="0091008F" w:rsidRPr="00FD211F">
        <w:rPr>
          <w:sz w:val="36"/>
          <w:szCs w:val="36"/>
          <w:rtl/>
        </w:rPr>
        <w:t>أنها</w:t>
      </w:r>
      <w:r w:rsidR="00E8128F">
        <w:rPr>
          <w:sz w:val="36"/>
          <w:szCs w:val="36"/>
          <w:rtl/>
        </w:rPr>
        <w:t xml:space="preserve"> </w:t>
      </w:r>
      <w:r w:rsidR="0091008F" w:rsidRPr="00FD211F">
        <w:rPr>
          <w:sz w:val="36"/>
          <w:szCs w:val="36"/>
          <w:rtl/>
        </w:rPr>
        <w:t>سن</w:t>
      </w:r>
      <w:r w:rsidR="00EC7EDF" w:rsidRPr="00FD211F">
        <w:rPr>
          <w:sz w:val="36"/>
          <w:szCs w:val="36"/>
          <w:rtl/>
        </w:rPr>
        <w:t>ة</w:t>
      </w:r>
      <w:r w:rsidR="00E8128F">
        <w:rPr>
          <w:sz w:val="36"/>
          <w:szCs w:val="36"/>
          <w:rtl/>
        </w:rPr>
        <w:t xml:space="preserve"> </w:t>
      </w:r>
      <w:r w:rsidR="0091008F" w:rsidRPr="00FD211F">
        <w:rPr>
          <w:sz w:val="36"/>
          <w:szCs w:val="36"/>
          <w:rtl/>
        </w:rPr>
        <w:t>قتله</w:t>
      </w:r>
      <w:r w:rsidR="009C58C8" w:rsidRPr="00FD211F">
        <w:rPr>
          <w:rStyle w:val="a6"/>
          <w:sz w:val="36"/>
          <w:szCs w:val="36"/>
          <w:rtl/>
        </w:rPr>
        <w:t>(</w:t>
      </w:r>
      <w:r w:rsidR="009C58C8" w:rsidRPr="00FD211F">
        <w:rPr>
          <w:rStyle w:val="a6"/>
          <w:sz w:val="36"/>
          <w:szCs w:val="36"/>
          <w:rtl/>
        </w:rPr>
        <w:footnoteReference w:id="532"/>
      </w:r>
      <w:r w:rsidR="009C58C8" w:rsidRPr="00FD211F">
        <w:rPr>
          <w:rStyle w:val="a6"/>
          <w:sz w:val="36"/>
          <w:szCs w:val="36"/>
          <w:rtl/>
        </w:rPr>
        <w:t>)</w:t>
      </w:r>
      <w:r w:rsidR="00131322" w:rsidRPr="00FD211F">
        <w:rPr>
          <w:sz w:val="36"/>
          <w:szCs w:val="36"/>
          <w:rtl/>
        </w:rPr>
        <w:t>.</w:t>
      </w:r>
    </w:p>
    <w:p w14:paraId="6700286D" w14:textId="77777777" w:rsidR="00AD1127" w:rsidRPr="00FD211F" w:rsidRDefault="00131322" w:rsidP="00142012">
      <w:pPr>
        <w:ind w:left="0" w:firstLine="227"/>
        <w:jc w:val="both"/>
        <w:rPr>
          <w:sz w:val="36"/>
          <w:szCs w:val="36"/>
          <w:rtl/>
        </w:rPr>
      </w:pPr>
      <w:r w:rsidRPr="00FD211F">
        <w:rPr>
          <w:sz w:val="36"/>
          <w:szCs w:val="36"/>
          <w:rtl/>
        </w:rPr>
        <w:t>والانصاف</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تمامي</w:t>
      </w:r>
      <w:r w:rsidR="00EC7EDF" w:rsidRPr="00FD211F">
        <w:rPr>
          <w:sz w:val="36"/>
          <w:szCs w:val="36"/>
          <w:rtl/>
        </w:rPr>
        <w:t>ة</w:t>
      </w:r>
      <w:r w:rsidR="00E8128F">
        <w:rPr>
          <w:sz w:val="36"/>
          <w:szCs w:val="36"/>
          <w:rtl/>
        </w:rPr>
        <w:t xml:space="preserve"> </w:t>
      </w:r>
      <w:r w:rsidRPr="00FD211F">
        <w:rPr>
          <w:sz w:val="36"/>
          <w:szCs w:val="36"/>
          <w:rtl/>
        </w:rPr>
        <w:t>اشكال</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الاصفهاني</w:t>
      </w:r>
      <w:r w:rsidR="00E8128F">
        <w:rPr>
          <w:sz w:val="36"/>
          <w:szCs w:val="36"/>
          <w:rtl/>
        </w:rPr>
        <w:t xml:space="preserve"> </w:t>
      </w:r>
      <w:r w:rsidR="00142012" w:rsidRPr="00FD211F">
        <w:rPr>
          <w:sz w:val="36"/>
          <w:szCs w:val="36"/>
          <w:rtl/>
        </w:rPr>
        <w:t>"</w:t>
      </w:r>
      <w:r w:rsidR="005D03BA" w:rsidRPr="00FD211F">
        <w:rPr>
          <w:sz w:val="36"/>
          <w:szCs w:val="36"/>
          <w:rtl/>
        </w:rPr>
        <w:t>قده</w:t>
      </w:r>
      <w:r w:rsidR="00142012" w:rsidRPr="00FD211F">
        <w:rPr>
          <w:sz w:val="36"/>
          <w:szCs w:val="36"/>
          <w:rtl/>
        </w:rPr>
        <w:t>"</w:t>
      </w:r>
      <w:r w:rsidR="00E8128F">
        <w:rPr>
          <w:sz w:val="36"/>
          <w:szCs w:val="36"/>
          <w:rtl/>
        </w:rPr>
        <w:t xml:space="preserve"> </w:t>
      </w:r>
      <w:r w:rsidR="0091008F" w:rsidRPr="00FD211F">
        <w:rPr>
          <w:sz w:val="36"/>
          <w:szCs w:val="36"/>
          <w:rtl/>
        </w:rPr>
        <w:t>فانه</w:t>
      </w:r>
      <w:r w:rsidR="00E8128F">
        <w:rPr>
          <w:sz w:val="36"/>
          <w:szCs w:val="36"/>
          <w:rtl/>
        </w:rPr>
        <w:t xml:space="preserve"> </w:t>
      </w:r>
      <w:r w:rsidR="0091008F" w:rsidRPr="00FD211F">
        <w:rPr>
          <w:sz w:val="36"/>
          <w:szCs w:val="36"/>
          <w:rtl/>
        </w:rPr>
        <w:t>لو</w:t>
      </w:r>
      <w:r w:rsidR="00E8128F">
        <w:rPr>
          <w:sz w:val="36"/>
          <w:szCs w:val="36"/>
          <w:rtl/>
        </w:rPr>
        <w:t xml:space="preserve"> </w:t>
      </w:r>
      <w:r w:rsidR="0091008F" w:rsidRPr="00FD211F">
        <w:rPr>
          <w:sz w:val="36"/>
          <w:szCs w:val="36"/>
          <w:rtl/>
        </w:rPr>
        <w:t>قال</w:t>
      </w:r>
      <w:r w:rsidR="00E8128F">
        <w:rPr>
          <w:sz w:val="36"/>
          <w:szCs w:val="36"/>
          <w:rtl/>
        </w:rPr>
        <w:t xml:space="preserve"> </w:t>
      </w:r>
      <w:r w:rsidR="0091008F" w:rsidRPr="00FD211F">
        <w:rPr>
          <w:sz w:val="36"/>
          <w:szCs w:val="36"/>
          <w:rtl/>
        </w:rPr>
        <w:t>المولى</w:t>
      </w:r>
      <w:r w:rsidR="00E8128F">
        <w:rPr>
          <w:sz w:val="36"/>
          <w:szCs w:val="36"/>
          <w:rtl/>
        </w:rPr>
        <w:t xml:space="preserve"> </w:t>
      </w:r>
      <w:r w:rsidR="0091008F" w:rsidRPr="00FD211F">
        <w:rPr>
          <w:sz w:val="36"/>
          <w:szCs w:val="36"/>
          <w:rtl/>
        </w:rPr>
        <w:t>لعبده</w:t>
      </w:r>
      <w:r w:rsidR="00E8128F">
        <w:rPr>
          <w:sz w:val="36"/>
          <w:szCs w:val="36"/>
          <w:rtl/>
        </w:rPr>
        <w:t xml:space="preserve"> </w:t>
      </w:r>
      <w:r w:rsidR="0091008F" w:rsidRPr="00FD211F">
        <w:rPr>
          <w:sz w:val="36"/>
          <w:szCs w:val="36"/>
          <w:rtl/>
        </w:rPr>
        <w:t>"</w:t>
      </w:r>
      <w:r w:rsidRPr="00FD211F">
        <w:rPr>
          <w:sz w:val="36"/>
          <w:szCs w:val="36"/>
          <w:rtl/>
        </w:rPr>
        <w:t>لاتأكل</w:t>
      </w:r>
      <w:r w:rsidR="00E8128F">
        <w:rPr>
          <w:sz w:val="36"/>
          <w:szCs w:val="36"/>
          <w:rtl/>
        </w:rPr>
        <w:t xml:space="preserve"> </w:t>
      </w:r>
      <w:r w:rsidR="0091008F" w:rsidRPr="00FD211F">
        <w:rPr>
          <w:sz w:val="36"/>
          <w:szCs w:val="36"/>
          <w:rtl/>
        </w:rPr>
        <w:t>الطعام</w:t>
      </w:r>
      <w:r w:rsidR="00E8128F">
        <w:rPr>
          <w:sz w:val="36"/>
          <w:szCs w:val="36"/>
          <w:rtl/>
        </w:rPr>
        <w:t xml:space="preserve"> </w:t>
      </w:r>
      <w:r w:rsidRPr="00FD211F">
        <w:rPr>
          <w:sz w:val="36"/>
          <w:szCs w:val="36"/>
          <w:rtl/>
        </w:rPr>
        <w:t>عند</w:t>
      </w:r>
      <w:r w:rsidR="00E8128F">
        <w:rPr>
          <w:sz w:val="36"/>
          <w:szCs w:val="36"/>
          <w:rtl/>
        </w:rPr>
        <w:t xml:space="preserve"> </w:t>
      </w:r>
      <w:r w:rsidRPr="00FD211F">
        <w:rPr>
          <w:sz w:val="36"/>
          <w:szCs w:val="36"/>
          <w:rtl/>
        </w:rPr>
        <w:t>مقتل</w:t>
      </w:r>
      <w:r w:rsidR="00E8128F">
        <w:rPr>
          <w:sz w:val="36"/>
          <w:szCs w:val="36"/>
          <w:rtl/>
        </w:rPr>
        <w:t xml:space="preserve"> </w:t>
      </w:r>
      <w:r w:rsidRPr="00FD211F">
        <w:rPr>
          <w:sz w:val="36"/>
          <w:szCs w:val="36"/>
          <w:rtl/>
        </w:rPr>
        <w:t>المؤمن</w:t>
      </w:r>
      <w:r w:rsidR="0091008F" w:rsidRPr="00FD211F">
        <w:rPr>
          <w:sz w:val="36"/>
          <w:szCs w:val="36"/>
          <w:rtl/>
        </w:rPr>
        <w:t>"</w:t>
      </w:r>
      <w:r w:rsidR="00603323" w:rsidRPr="00FD211F">
        <w:rPr>
          <w:sz w:val="36"/>
          <w:szCs w:val="36"/>
          <w:rtl/>
        </w:rPr>
        <w:t>،</w:t>
      </w:r>
      <w:r w:rsidR="00E8128F">
        <w:rPr>
          <w:sz w:val="36"/>
          <w:szCs w:val="36"/>
          <w:rtl/>
        </w:rPr>
        <w:t xml:space="preserve"> </w:t>
      </w:r>
      <w:r w:rsidR="0091008F" w:rsidRPr="00FD211F">
        <w:rPr>
          <w:sz w:val="36"/>
          <w:szCs w:val="36"/>
          <w:rtl/>
        </w:rPr>
        <w:t>فقُتل</w:t>
      </w:r>
      <w:r w:rsidR="00CE59AF" w:rsidRPr="00FD211F">
        <w:rPr>
          <w:sz w:val="36"/>
          <w:szCs w:val="36"/>
          <w:rtl/>
        </w:rPr>
        <w:t>َ</w:t>
      </w:r>
      <w:r w:rsidR="00E8128F">
        <w:rPr>
          <w:sz w:val="36"/>
          <w:szCs w:val="36"/>
          <w:rtl/>
        </w:rPr>
        <w:t xml:space="preserve"> </w:t>
      </w:r>
      <w:r w:rsidRPr="00FD211F">
        <w:rPr>
          <w:sz w:val="36"/>
          <w:szCs w:val="36"/>
          <w:rtl/>
        </w:rPr>
        <w:t>مؤمن</w:t>
      </w:r>
      <w:r w:rsidR="00CE59AF" w:rsidRPr="00FD211F">
        <w:rPr>
          <w:sz w:val="36"/>
          <w:szCs w:val="36"/>
          <w:rtl/>
        </w:rPr>
        <w:t>ٌ</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اول</w:t>
      </w:r>
      <w:r w:rsidR="00E8128F">
        <w:rPr>
          <w:sz w:val="36"/>
          <w:szCs w:val="36"/>
          <w:rtl/>
        </w:rPr>
        <w:t xml:space="preserve"> </w:t>
      </w:r>
      <w:r w:rsidRPr="00FD211F">
        <w:rPr>
          <w:sz w:val="36"/>
          <w:szCs w:val="36"/>
          <w:rtl/>
        </w:rPr>
        <w:t>يوم</w:t>
      </w:r>
      <w:r w:rsidR="00E8128F">
        <w:rPr>
          <w:sz w:val="36"/>
          <w:szCs w:val="36"/>
          <w:rtl/>
        </w:rPr>
        <w:t xml:space="preserve"> </w:t>
      </w:r>
      <w:r w:rsidRPr="00FD211F">
        <w:rPr>
          <w:sz w:val="36"/>
          <w:szCs w:val="36"/>
          <w:rtl/>
        </w:rPr>
        <w:t>الجمع</w:t>
      </w:r>
      <w:r w:rsidR="00EC7EDF" w:rsidRPr="00FD211F">
        <w:rPr>
          <w:sz w:val="36"/>
          <w:szCs w:val="36"/>
          <w:rtl/>
        </w:rPr>
        <w:t>ة</w:t>
      </w:r>
      <w:r w:rsidR="00E8128F">
        <w:rPr>
          <w:sz w:val="36"/>
          <w:szCs w:val="36"/>
          <w:rtl/>
        </w:rPr>
        <w:t xml:space="preserve"> </w:t>
      </w:r>
      <w:r w:rsidRPr="00FD211F">
        <w:rPr>
          <w:sz w:val="36"/>
          <w:szCs w:val="36"/>
          <w:rtl/>
        </w:rPr>
        <w:t>مثلا</w:t>
      </w:r>
      <w:r w:rsidR="00603323" w:rsidRPr="00FD211F">
        <w:rPr>
          <w:sz w:val="36"/>
          <w:szCs w:val="36"/>
          <w:rtl/>
        </w:rPr>
        <w:t>،</w:t>
      </w:r>
      <w:r w:rsidR="00E8128F">
        <w:rPr>
          <w:sz w:val="36"/>
          <w:szCs w:val="36"/>
          <w:rtl/>
        </w:rPr>
        <w:t xml:space="preserve"> </w:t>
      </w:r>
      <w:r w:rsidRPr="00FD211F">
        <w:rPr>
          <w:sz w:val="36"/>
          <w:szCs w:val="36"/>
          <w:rtl/>
        </w:rPr>
        <w:t>ثم</w:t>
      </w:r>
      <w:r w:rsidR="00E8128F">
        <w:rPr>
          <w:sz w:val="36"/>
          <w:szCs w:val="36"/>
          <w:rtl/>
        </w:rPr>
        <w:t xml:space="preserve"> </w:t>
      </w:r>
      <w:r w:rsidRPr="00FD211F">
        <w:rPr>
          <w:sz w:val="36"/>
          <w:szCs w:val="36"/>
          <w:rtl/>
        </w:rPr>
        <w:t>مضى</w:t>
      </w:r>
      <w:r w:rsidR="00E8128F">
        <w:rPr>
          <w:sz w:val="36"/>
          <w:szCs w:val="36"/>
          <w:rtl/>
        </w:rPr>
        <w:t xml:space="preserve"> </w:t>
      </w:r>
      <w:r w:rsidRPr="00FD211F">
        <w:rPr>
          <w:sz w:val="36"/>
          <w:szCs w:val="36"/>
          <w:rtl/>
        </w:rPr>
        <w:t>ساع</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قتله</w:t>
      </w:r>
      <w:r w:rsidR="00603323" w:rsidRPr="00FD211F">
        <w:rPr>
          <w:sz w:val="36"/>
          <w:szCs w:val="36"/>
          <w:rtl/>
        </w:rPr>
        <w:t>،</w:t>
      </w:r>
      <w:r w:rsidR="00E8128F">
        <w:rPr>
          <w:sz w:val="36"/>
          <w:szCs w:val="36"/>
          <w:rtl/>
        </w:rPr>
        <w:t xml:space="preserve"> </w:t>
      </w:r>
      <w:r w:rsidRPr="00FD211F">
        <w:rPr>
          <w:sz w:val="36"/>
          <w:szCs w:val="36"/>
          <w:rtl/>
        </w:rPr>
        <w:t>فيصح</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اليوم</w:t>
      </w:r>
      <w:r w:rsidR="00E8128F">
        <w:rPr>
          <w:sz w:val="36"/>
          <w:szCs w:val="36"/>
          <w:rtl/>
        </w:rPr>
        <w:t xml:space="preserve"> </w:t>
      </w:r>
      <w:r w:rsidR="004704ED" w:rsidRPr="00FD211F">
        <w:rPr>
          <w:sz w:val="36"/>
          <w:szCs w:val="36"/>
          <w:rtl/>
        </w:rPr>
        <w:t>كان</w:t>
      </w:r>
      <w:r w:rsidR="00E8128F">
        <w:rPr>
          <w:sz w:val="36"/>
          <w:szCs w:val="36"/>
          <w:rtl/>
        </w:rPr>
        <w:t xml:space="preserve"> </w:t>
      </w:r>
      <w:r w:rsidR="00AD1127" w:rsidRPr="00FD211F">
        <w:rPr>
          <w:sz w:val="36"/>
          <w:szCs w:val="36"/>
          <w:rtl/>
        </w:rPr>
        <w:t>متصفا</w:t>
      </w:r>
      <w:r w:rsidR="00E8128F">
        <w:rPr>
          <w:sz w:val="36"/>
          <w:szCs w:val="36"/>
          <w:rtl/>
        </w:rPr>
        <w:t xml:space="preserve"> </w:t>
      </w:r>
      <w:r w:rsidR="004704ED" w:rsidRPr="00FD211F">
        <w:rPr>
          <w:sz w:val="36"/>
          <w:szCs w:val="36"/>
          <w:rtl/>
        </w:rPr>
        <w:t>قبل</w:t>
      </w:r>
      <w:r w:rsidR="00E8128F">
        <w:rPr>
          <w:sz w:val="36"/>
          <w:szCs w:val="36"/>
          <w:rtl/>
        </w:rPr>
        <w:t xml:space="preserve"> </w:t>
      </w:r>
      <w:r w:rsidR="004704ED" w:rsidRPr="00FD211F">
        <w:rPr>
          <w:sz w:val="36"/>
          <w:szCs w:val="36"/>
          <w:rtl/>
        </w:rPr>
        <w:t>ساع</w:t>
      </w:r>
      <w:r w:rsidR="00EC7EDF" w:rsidRPr="00FD211F">
        <w:rPr>
          <w:sz w:val="36"/>
          <w:szCs w:val="36"/>
          <w:rtl/>
        </w:rPr>
        <w:t>ة</w:t>
      </w:r>
      <w:r w:rsidR="00E8128F">
        <w:rPr>
          <w:sz w:val="36"/>
          <w:szCs w:val="36"/>
          <w:rtl/>
        </w:rPr>
        <w:t xml:space="preserve"> </w:t>
      </w:r>
      <w:r w:rsidRPr="00FD211F">
        <w:rPr>
          <w:sz w:val="36"/>
          <w:szCs w:val="36"/>
          <w:rtl/>
        </w:rPr>
        <w:t>بكون</w:t>
      </w:r>
      <w:r w:rsidR="00AD1127" w:rsidRPr="00FD211F">
        <w:rPr>
          <w:sz w:val="36"/>
          <w:szCs w:val="36"/>
          <w:rtl/>
        </w:rPr>
        <w:t>ه</w:t>
      </w:r>
      <w:r w:rsidR="00E8128F">
        <w:rPr>
          <w:sz w:val="36"/>
          <w:szCs w:val="36"/>
          <w:rtl/>
        </w:rPr>
        <w:t xml:space="preserve"> </w:t>
      </w:r>
      <w:r w:rsidRPr="00FD211F">
        <w:rPr>
          <w:sz w:val="36"/>
          <w:szCs w:val="36"/>
          <w:rtl/>
        </w:rPr>
        <w:t>زمان</w:t>
      </w:r>
      <w:r w:rsidR="00E8128F">
        <w:rPr>
          <w:sz w:val="36"/>
          <w:szCs w:val="36"/>
          <w:rtl/>
        </w:rPr>
        <w:t xml:space="preserve"> </w:t>
      </w:r>
      <w:r w:rsidR="004704ED" w:rsidRPr="00FD211F">
        <w:rPr>
          <w:sz w:val="36"/>
          <w:szCs w:val="36"/>
          <w:rtl/>
        </w:rPr>
        <w:t>قتل</w:t>
      </w:r>
      <w:r w:rsidR="00E8128F">
        <w:rPr>
          <w:sz w:val="36"/>
          <w:szCs w:val="36"/>
          <w:rtl/>
        </w:rPr>
        <w:t xml:space="preserve"> </w:t>
      </w:r>
      <w:commentRangeStart w:id="444"/>
      <w:r w:rsidR="004704ED" w:rsidRPr="00FD211F">
        <w:rPr>
          <w:sz w:val="36"/>
          <w:szCs w:val="36"/>
          <w:rtl/>
        </w:rPr>
        <w:t>المؤمن</w:t>
      </w:r>
      <w:commentRangeEnd w:id="444"/>
      <w:r w:rsidR="004472F7">
        <w:rPr>
          <w:rStyle w:val="ab"/>
          <w:rtl/>
        </w:rPr>
        <w:commentReference w:id="444"/>
      </w:r>
      <w:r w:rsidR="00603323" w:rsidRPr="00FD211F">
        <w:rPr>
          <w:sz w:val="36"/>
          <w:szCs w:val="36"/>
          <w:rtl/>
        </w:rPr>
        <w:t>،</w:t>
      </w:r>
      <w:r w:rsidR="00E8128F">
        <w:rPr>
          <w:sz w:val="36"/>
          <w:szCs w:val="36"/>
          <w:rtl/>
        </w:rPr>
        <w:t xml:space="preserve"> </w:t>
      </w:r>
      <w:r w:rsidRPr="00FD211F">
        <w:rPr>
          <w:sz w:val="36"/>
          <w:szCs w:val="36"/>
          <w:rtl/>
        </w:rPr>
        <w:t>ونظير</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ورد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الخطاب</w:t>
      </w:r>
      <w:r w:rsidR="00E8128F">
        <w:rPr>
          <w:sz w:val="36"/>
          <w:szCs w:val="36"/>
          <w:rtl/>
        </w:rPr>
        <w:t xml:space="preserve"> </w:t>
      </w:r>
      <w:r w:rsidR="00915DC8" w:rsidRPr="00FD211F">
        <w:rPr>
          <w:sz w:val="36"/>
          <w:szCs w:val="36"/>
          <w:rtl/>
        </w:rPr>
        <w:t>"</w:t>
      </w:r>
      <w:r w:rsidRPr="00FD211F">
        <w:rPr>
          <w:sz w:val="36"/>
          <w:szCs w:val="36"/>
          <w:rtl/>
        </w:rPr>
        <w:t>لاتصل</w:t>
      </w:r>
      <w:r w:rsidR="00E8128F">
        <w:rPr>
          <w:sz w:val="36"/>
          <w:szCs w:val="36"/>
          <w:rtl/>
        </w:rPr>
        <w:t xml:space="preserve"> </w:t>
      </w:r>
      <w:r w:rsidR="004704ED" w:rsidRPr="00FD211F">
        <w:rPr>
          <w:sz w:val="36"/>
          <w:szCs w:val="36"/>
          <w:rtl/>
        </w:rPr>
        <w:t>عند</w:t>
      </w:r>
      <w:r w:rsidR="00E8128F">
        <w:rPr>
          <w:sz w:val="36"/>
          <w:szCs w:val="36"/>
          <w:rtl/>
        </w:rPr>
        <w:t xml:space="preserve"> </w:t>
      </w:r>
      <w:r w:rsidR="004704ED" w:rsidRPr="00FD211F">
        <w:rPr>
          <w:sz w:val="36"/>
          <w:szCs w:val="36"/>
          <w:rtl/>
        </w:rPr>
        <w:t>مطلع</w:t>
      </w:r>
      <w:r w:rsidR="00E8128F">
        <w:rPr>
          <w:sz w:val="36"/>
          <w:szCs w:val="36"/>
          <w:rtl/>
        </w:rPr>
        <w:t xml:space="preserve"> </w:t>
      </w:r>
      <w:commentRangeStart w:id="445"/>
      <w:r w:rsidR="004704ED" w:rsidRPr="00FD211F">
        <w:rPr>
          <w:sz w:val="36"/>
          <w:szCs w:val="36"/>
          <w:rtl/>
        </w:rPr>
        <w:t>الشمس</w:t>
      </w:r>
      <w:commentRangeEnd w:id="445"/>
      <w:r w:rsidR="004472F7">
        <w:rPr>
          <w:rStyle w:val="ab"/>
          <w:rtl/>
        </w:rPr>
        <w:commentReference w:id="445"/>
      </w:r>
      <w:r w:rsidR="00915DC8" w:rsidRPr="00FD211F">
        <w:rPr>
          <w:sz w:val="36"/>
          <w:szCs w:val="36"/>
          <w:rtl/>
        </w:rPr>
        <w:t>"</w:t>
      </w:r>
      <w:r w:rsidR="00AD1127" w:rsidRPr="00FD211F">
        <w:rPr>
          <w:sz w:val="36"/>
          <w:szCs w:val="36"/>
          <w:rtl/>
        </w:rPr>
        <w:t>.</w:t>
      </w:r>
    </w:p>
    <w:p w14:paraId="0C1BC347" w14:textId="77777777" w:rsidR="00E43829" w:rsidRPr="00FD211F" w:rsidRDefault="004704ED" w:rsidP="005946E3">
      <w:pPr>
        <w:ind w:left="0" w:firstLine="227"/>
        <w:jc w:val="both"/>
        <w:rPr>
          <w:b/>
          <w:bCs/>
          <w:sz w:val="36"/>
          <w:szCs w:val="36"/>
          <w:rtl/>
        </w:rPr>
      </w:pPr>
      <w:r w:rsidRPr="00FD211F">
        <w:rPr>
          <w:sz w:val="36"/>
          <w:szCs w:val="36"/>
          <w:rtl/>
        </w:rPr>
        <w:t>واما</w:t>
      </w:r>
      <w:r w:rsidR="00E8128F">
        <w:rPr>
          <w:sz w:val="36"/>
          <w:szCs w:val="36"/>
          <w:rtl/>
        </w:rPr>
        <w:t xml:space="preserve"> </w:t>
      </w:r>
      <w:r w:rsidRPr="00FD211F">
        <w:rPr>
          <w:sz w:val="36"/>
          <w:szCs w:val="36"/>
          <w:rtl/>
        </w:rPr>
        <w:t>النقض</w:t>
      </w:r>
      <w:r w:rsidR="00E8128F">
        <w:rPr>
          <w:sz w:val="36"/>
          <w:szCs w:val="36"/>
          <w:rtl/>
        </w:rPr>
        <w:t xml:space="preserve"> </w:t>
      </w:r>
      <w:r w:rsidRPr="00FD211F">
        <w:rPr>
          <w:sz w:val="36"/>
          <w:szCs w:val="36"/>
          <w:rtl/>
        </w:rPr>
        <w:t>المذكور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كلام</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الاصفهاني</w:t>
      </w:r>
      <w:r w:rsidR="00E8128F">
        <w:rPr>
          <w:sz w:val="36"/>
          <w:szCs w:val="36"/>
          <w:rtl/>
        </w:rPr>
        <w:t xml:space="preserve"> </w:t>
      </w:r>
      <w:r w:rsidR="005946E3" w:rsidRPr="00FD211F">
        <w:rPr>
          <w:sz w:val="36"/>
          <w:szCs w:val="36"/>
          <w:rtl/>
        </w:rPr>
        <w:t>"قده"</w:t>
      </w:r>
      <w:r w:rsidR="00E8128F">
        <w:rPr>
          <w:sz w:val="36"/>
          <w:szCs w:val="36"/>
          <w:rtl/>
        </w:rPr>
        <w:t xml:space="preserve"> </w:t>
      </w:r>
      <w:r w:rsidR="00131322" w:rsidRPr="00FD211F">
        <w:rPr>
          <w:sz w:val="36"/>
          <w:szCs w:val="36"/>
          <w:rtl/>
        </w:rPr>
        <w:t>-بانه</w:t>
      </w:r>
      <w:r w:rsidR="00E8128F">
        <w:rPr>
          <w:sz w:val="36"/>
          <w:szCs w:val="36"/>
          <w:rtl/>
        </w:rPr>
        <w:t xml:space="preserve"> </w:t>
      </w:r>
      <w:r w:rsidR="00131322" w:rsidRPr="00FD211F">
        <w:rPr>
          <w:sz w:val="36"/>
          <w:szCs w:val="36"/>
          <w:rtl/>
        </w:rPr>
        <w:t>لو</w:t>
      </w:r>
      <w:r w:rsidR="00E8128F">
        <w:rPr>
          <w:sz w:val="36"/>
          <w:szCs w:val="36"/>
          <w:rtl/>
        </w:rPr>
        <w:t xml:space="preserve"> </w:t>
      </w:r>
      <w:r w:rsidR="00131322" w:rsidRPr="00FD211F">
        <w:rPr>
          <w:sz w:val="36"/>
          <w:szCs w:val="36"/>
          <w:rtl/>
        </w:rPr>
        <w:t>صح</w:t>
      </w:r>
      <w:r w:rsidR="00E8128F">
        <w:rPr>
          <w:sz w:val="36"/>
          <w:szCs w:val="36"/>
          <w:rtl/>
        </w:rPr>
        <w:t xml:space="preserve"> </w:t>
      </w:r>
      <w:r w:rsidR="00131322" w:rsidRPr="00FD211F">
        <w:rPr>
          <w:sz w:val="36"/>
          <w:szCs w:val="36"/>
          <w:rtl/>
        </w:rPr>
        <w:t>اطلاق</w:t>
      </w:r>
      <w:r w:rsidR="00E8128F">
        <w:rPr>
          <w:sz w:val="36"/>
          <w:szCs w:val="36"/>
          <w:rtl/>
        </w:rPr>
        <w:t xml:space="preserve"> </w:t>
      </w:r>
      <w:r w:rsidR="00131322" w:rsidRPr="00FD211F">
        <w:rPr>
          <w:sz w:val="36"/>
          <w:szCs w:val="36"/>
          <w:rtl/>
        </w:rPr>
        <w:t>مقتل</w:t>
      </w:r>
      <w:r w:rsidR="00E8128F">
        <w:rPr>
          <w:sz w:val="36"/>
          <w:szCs w:val="36"/>
          <w:rtl/>
        </w:rPr>
        <w:t xml:space="preserve"> </w:t>
      </w:r>
      <w:r w:rsidR="00131322" w:rsidRPr="00FD211F">
        <w:rPr>
          <w:sz w:val="36"/>
          <w:szCs w:val="36"/>
          <w:rtl/>
        </w:rPr>
        <w:t>الحسين</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131322" w:rsidRPr="00FD211F">
        <w:rPr>
          <w:sz w:val="36"/>
          <w:szCs w:val="36"/>
          <w:rtl/>
        </w:rPr>
        <w:t>على</w:t>
      </w:r>
      <w:r w:rsidR="00E8128F">
        <w:rPr>
          <w:sz w:val="36"/>
          <w:szCs w:val="36"/>
          <w:rtl/>
        </w:rPr>
        <w:t xml:space="preserve"> </w:t>
      </w:r>
      <w:r w:rsidR="00131322" w:rsidRPr="00FD211F">
        <w:rPr>
          <w:sz w:val="36"/>
          <w:szCs w:val="36"/>
          <w:rtl/>
        </w:rPr>
        <w:t>الآن</w:t>
      </w:r>
      <w:r w:rsidR="00E8128F">
        <w:rPr>
          <w:sz w:val="36"/>
          <w:szCs w:val="36"/>
          <w:rtl/>
        </w:rPr>
        <w:t xml:space="preserve"> </w:t>
      </w:r>
      <w:r w:rsidR="00131322" w:rsidRPr="00FD211F">
        <w:rPr>
          <w:sz w:val="36"/>
          <w:szCs w:val="36"/>
          <w:rtl/>
        </w:rPr>
        <w:t>المتصل</w:t>
      </w:r>
      <w:r w:rsidR="00E8128F">
        <w:rPr>
          <w:sz w:val="36"/>
          <w:szCs w:val="36"/>
          <w:rtl/>
        </w:rPr>
        <w:t xml:space="preserve"> </w:t>
      </w:r>
      <w:r w:rsidR="00131322" w:rsidRPr="00FD211F">
        <w:rPr>
          <w:sz w:val="36"/>
          <w:szCs w:val="36"/>
          <w:rtl/>
        </w:rPr>
        <w:t>بآن</w:t>
      </w:r>
      <w:r w:rsidR="00E8128F">
        <w:rPr>
          <w:sz w:val="36"/>
          <w:szCs w:val="36"/>
          <w:rtl/>
        </w:rPr>
        <w:t xml:space="preserve"> </w:t>
      </w:r>
      <w:r w:rsidR="00131322" w:rsidRPr="00FD211F">
        <w:rPr>
          <w:sz w:val="36"/>
          <w:szCs w:val="36"/>
          <w:rtl/>
        </w:rPr>
        <w:t>قتله</w:t>
      </w:r>
      <w:r w:rsidR="00E8128F">
        <w:rPr>
          <w:sz w:val="36"/>
          <w:szCs w:val="36"/>
          <w:rtl/>
        </w:rPr>
        <w:t xml:space="preserve"> </w:t>
      </w:r>
      <w:r w:rsidR="00131322" w:rsidRPr="00FD211F">
        <w:rPr>
          <w:sz w:val="36"/>
          <w:szCs w:val="36"/>
          <w:rtl/>
        </w:rPr>
        <w:t>لزم</w:t>
      </w:r>
      <w:r w:rsidR="00E8128F">
        <w:rPr>
          <w:sz w:val="36"/>
          <w:szCs w:val="36"/>
          <w:rtl/>
        </w:rPr>
        <w:t xml:space="preserve"> </w:t>
      </w:r>
      <w:r w:rsidR="00131322" w:rsidRPr="00FD211F">
        <w:rPr>
          <w:sz w:val="36"/>
          <w:szCs w:val="36"/>
          <w:rtl/>
        </w:rPr>
        <w:t>صح</w:t>
      </w:r>
      <w:r w:rsidR="00EC7EDF" w:rsidRPr="00FD211F">
        <w:rPr>
          <w:sz w:val="36"/>
          <w:szCs w:val="36"/>
          <w:rtl/>
        </w:rPr>
        <w:t>ة</w:t>
      </w:r>
      <w:r w:rsidR="00E8128F">
        <w:rPr>
          <w:sz w:val="36"/>
          <w:szCs w:val="36"/>
          <w:rtl/>
        </w:rPr>
        <w:t xml:space="preserve"> </w:t>
      </w:r>
      <w:r w:rsidR="00131322" w:rsidRPr="00FD211F">
        <w:rPr>
          <w:sz w:val="36"/>
          <w:szCs w:val="36"/>
          <w:rtl/>
        </w:rPr>
        <w:t>اطلاق</w:t>
      </w:r>
      <w:r w:rsidR="00E8128F">
        <w:rPr>
          <w:sz w:val="36"/>
          <w:szCs w:val="36"/>
          <w:rtl/>
        </w:rPr>
        <w:t xml:space="preserve"> </w:t>
      </w:r>
      <w:r w:rsidR="00131322" w:rsidRPr="00FD211F">
        <w:rPr>
          <w:sz w:val="36"/>
          <w:szCs w:val="36"/>
          <w:rtl/>
        </w:rPr>
        <w:t>مقتل</w:t>
      </w:r>
      <w:r w:rsidR="00E8128F">
        <w:rPr>
          <w:sz w:val="36"/>
          <w:szCs w:val="36"/>
          <w:rtl/>
        </w:rPr>
        <w:t xml:space="preserve"> </w:t>
      </w:r>
      <w:r w:rsidR="00131322" w:rsidRPr="00FD211F">
        <w:rPr>
          <w:sz w:val="36"/>
          <w:szCs w:val="36"/>
          <w:rtl/>
        </w:rPr>
        <w:t>زكريا</w:t>
      </w:r>
      <w:r w:rsidR="00E8128F">
        <w:rPr>
          <w:sz w:val="36"/>
          <w:szCs w:val="36"/>
          <w:rtl/>
        </w:rPr>
        <w:t xml:space="preserve"> </w:t>
      </w:r>
      <w:r w:rsidR="00131322" w:rsidRPr="00FD211F">
        <w:rPr>
          <w:sz w:val="36"/>
          <w:szCs w:val="36"/>
          <w:rtl/>
        </w:rPr>
        <w:t>على</w:t>
      </w:r>
      <w:r w:rsidR="00E8128F">
        <w:rPr>
          <w:sz w:val="36"/>
          <w:szCs w:val="36"/>
          <w:rtl/>
        </w:rPr>
        <w:t xml:space="preserve"> </w:t>
      </w:r>
      <w:r w:rsidR="00131322" w:rsidRPr="00FD211F">
        <w:rPr>
          <w:sz w:val="36"/>
          <w:szCs w:val="36"/>
          <w:rtl/>
        </w:rPr>
        <w:t>الآن</w:t>
      </w:r>
      <w:r w:rsidR="00E8128F">
        <w:rPr>
          <w:sz w:val="36"/>
          <w:szCs w:val="36"/>
          <w:rtl/>
        </w:rPr>
        <w:t xml:space="preserve"> </w:t>
      </w:r>
      <w:r w:rsidR="00131322" w:rsidRPr="00FD211F">
        <w:rPr>
          <w:sz w:val="36"/>
          <w:szCs w:val="36"/>
          <w:rtl/>
        </w:rPr>
        <w:t>الفعلي</w:t>
      </w:r>
      <w:r w:rsidR="00E8128F">
        <w:rPr>
          <w:sz w:val="36"/>
          <w:szCs w:val="36"/>
          <w:rtl/>
        </w:rPr>
        <w:t xml:space="preserve"> </w:t>
      </w:r>
      <w:r w:rsidR="00131322" w:rsidRPr="00FD211F">
        <w:rPr>
          <w:sz w:val="36"/>
          <w:szCs w:val="36"/>
          <w:rtl/>
        </w:rPr>
        <w:t>لاتصاله</w:t>
      </w:r>
      <w:r w:rsidR="00E8128F">
        <w:rPr>
          <w:sz w:val="36"/>
          <w:szCs w:val="36"/>
          <w:rtl/>
        </w:rPr>
        <w:t xml:space="preserve"> </w:t>
      </w:r>
      <w:r w:rsidR="00131322" w:rsidRPr="00FD211F">
        <w:rPr>
          <w:sz w:val="36"/>
          <w:szCs w:val="36"/>
          <w:rtl/>
        </w:rPr>
        <w:t>بآن</w:t>
      </w:r>
      <w:r w:rsidR="00E8128F">
        <w:rPr>
          <w:sz w:val="36"/>
          <w:szCs w:val="36"/>
          <w:rtl/>
        </w:rPr>
        <w:t xml:space="preserve"> </w:t>
      </w:r>
      <w:r w:rsidR="00131322" w:rsidRPr="00FD211F">
        <w:rPr>
          <w:sz w:val="36"/>
          <w:szCs w:val="36"/>
          <w:rtl/>
        </w:rPr>
        <w:t>قتله-</w:t>
      </w:r>
      <w:r w:rsidR="00E8128F">
        <w:rPr>
          <w:sz w:val="36"/>
          <w:szCs w:val="36"/>
          <w:rtl/>
        </w:rPr>
        <w:t xml:space="preserve"> </w:t>
      </w:r>
      <w:r w:rsidR="00BA53ED" w:rsidRPr="00FD211F">
        <w:rPr>
          <w:sz w:val="36"/>
          <w:szCs w:val="36"/>
          <w:rtl/>
        </w:rPr>
        <w:t>فقد</w:t>
      </w:r>
      <w:r w:rsidR="00E8128F">
        <w:rPr>
          <w:sz w:val="36"/>
          <w:szCs w:val="36"/>
          <w:rtl/>
        </w:rPr>
        <w:t xml:space="preserve"> </w:t>
      </w:r>
      <w:r w:rsidR="00BA53ED" w:rsidRPr="00FD211F">
        <w:rPr>
          <w:sz w:val="36"/>
          <w:szCs w:val="36"/>
          <w:rtl/>
        </w:rPr>
        <w:t>اجاب</w:t>
      </w:r>
      <w:r w:rsidR="00E8128F">
        <w:rPr>
          <w:sz w:val="36"/>
          <w:szCs w:val="36"/>
          <w:rtl/>
        </w:rPr>
        <w:t xml:space="preserve"> </w:t>
      </w:r>
      <w:r w:rsidR="00BA53ED" w:rsidRPr="00FD211F">
        <w:rPr>
          <w:sz w:val="36"/>
          <w:szCs w:val="36"/>
          <w:rtl/>
        </w:rPr>
        <w:t>عنه</w:t>
      </w:r>
      <w:r w:rsidR="00E8128F">
        <w:rPr>
          <w:sz w:val="36"/>
          <w:szCs w:val="36"/>
          <w:rtl/>
        </w:rPr>
        <w:t xml:space="preserve"> </w:t>
      </w:r>
      <w:r w:rsidR="00BA53ED" w:rsidRPr="00FD211F">
        <w:rPr>
          <w:sz w:val="36"/>
          <w:szCs w:val="36"/>
          <w:rtl/>
        </w:rPr>
        <w:t>المحقق</w:t>
      </w:r>
      <w:r w:rsidR="00E8128F">
        <w:rPr>
          <w:sz w:val="36"/>
          <w:szCs w:val="36"/>
          <w:rtl/>
        </w:rPr>
        <w:t xml:space="preserve"> </w:t>
      </w:r>
      <w:r w:rsidR="00BA53ED" w:rsidRPr="00FD211F">
        <w:rPr>
          <w:sz w:val="36"/>
          <w:szCs w:val="36"/>
          <w:rtl/>
        </w:rPr>
        <w:t>العراقي</w:t>
      </w:r>
      <w:r w:rsidR="00E8128F">
        <w:rPr>
          <w:sz w:val="36"/>
          <w:szCs w:val="36"/>
          <w:rtl/>
        </w:rPr>
        <w:t xml:space="preserve"> </w:t>
      </w:r>
      <w:r w:rsidR="00915DC8" w:rsidRPr="00FD211F">
        <w:rPr>
          <w:sz w:val="36"/>
          <w:szCs w:val="36"/>
          <w:rtl/>
        </w:rPr>
        <w:t>"</w:t>
      </w:r>
      <w:r w:rsidR="00BA53ED" w:rsidRPr="00FD211F">
        <w:rPr>
          <w:sz w:val="36"/>
          <w:szCs w:val="36"/>
          <w:rtl/>
        </w:rPr>
        <w:t>قده</w:t>
      </w:r>
      <w:r w:rsidR="00915DC8" w:rsidRPr="00FD211F">
        <w:rPr>
          <w:sz w:val="36"/>
          <w:szCs w:val="36"/>
          <w:rtl/>
        </w:rPr>
        <w:t>"</w:t>
      </w:r>
      <w:r w:rsidR="00E8128F">
        <w:rPr>
          <w:sz w:val="36"/>
          <w:szCs w:val="36"/>
          <w:rtl/>
        </w:rPr>
        <w:t xml:space="preserve"> </w:t>
      </w:r>
      <w:r w:rsidR="00BA53ED" w:rsidRPr="00FD211F">
        <w:rPr>
          <w:sz w:val="36"/>
          <w:szCs w:val="36"/>
          <w:rtl/>
        </w:rPr>
        <w:t>نفسه</w:t>
      </w:r>
      <w:r w:rsidR="00E8128F">
        <w:rPr>
          <w:sz w:val="36"/>
          <w:szCs w:val="36"/>
          <w:rtl/>
        </w:rPr>
        <w:t xml:space="preserve"> </w:t>
      </w:r>
      <w:r w:rsidR="00BA53ED" w:rsidRPr="00FD211F">
        <w:rPr>
          <w:sz w:val="36"/>
          <w:szCs w:val="36"/>
          <w:rtl/>
        </w:rPr>
        <w:t>بان</w:t>
      </w:r>
      <w:r w:rsidR="00E8128F">
        <w:rPr>
          <w:sz w:val="36"/>
          <w:szCs w:val="36"/>
          <w:rtl/>
        </w:rPr>
        <w:t xml:space="preserve"> </w:t>
      </w:r>
      <w:r w:rsidR="00131322" w:rsidRPr="00FD211F">
        <w:rPr>
          <w:sz w:val="36"/>
          <w:szCs w:val="36"/>
          <w:rtl/>
        </w:rPr>
        <w:t>العرف</w:t>
      </w:r>
      <w:r w:rsidR="00E8128F">
        <w:rPr>
          <w:sz w:val="36"/>
          <w:szCs w:val="36"/>
          <w:rtl/>
        </w:rPr>
        <w:t xml:space="preserve"> </w:t>
      </w:r>
      <w:r w:rsidR="00131322" w:rsidRPr="00FD211F">
        <w:rPr>
          <w:sz w:val="36"/>
          <w:szCs w:val="36"/>
          <w:rtl/>
        </w:rPr>
        <w:t>يرى</w:t>
      </w:r>
      <w:r w:rsidR="00E8128F">
        <w:rPr>
          <w:sz w:val="36"/>
          <w:szCs w:val="36"/>
          <w:rtl/>
        </w:rPr>
        <w:t xml:space="preserve"> </w:t>
      </w:r>
      <w:r w:rsidR="00131322" w:rsidRPr="00FD211F">
        <w:rPr>
          <w:sz w:val="36"/>
          <w:szCs w:val="36"/>
          <w:rtl/>
        </w:rPr>
        <w:t>الزمان</w:t>
      </w:r>
      <w:r w:rsidR="00E8128F">
        <w:rPr>
          <w:sz w:val="36"/>
          <w:szCs w:val="36"/>
          <w:rtl/>
        </w:rPr>
        <w:t xml:space="preserve"> </w:t>
      </w:r>
      <w:r w:rsidR="00131322" w:rsidRPr="00FD211F">
        <w:rPr>
          <w:sz w:val="36"/>
          <w:szCs w:val="36"/>
          <w:rtl/>
        </w:rPr>
        <w:t>قطعات</w:t>
      </w:r>
      <w:r w:rsidR="00E8128F">
        <w:rPr>
          <w:sz w:val="36"/>
          <w:szCs w:val="36"/>
          <w:rtl/>
        </w:rPr>
        <w:t xml:space="preserve"> </w:t>
      </w:r>
      <w:r w:rsidR="00131322" w:rsidRPr="00FD211F">
        <w:rPr>
          <w:sz w:val="36"/>
          <w:szCs w:val="36"/>
          <w:rtl/>
        </w:rPr>
        <w:t>مختلف</w:t>
      </w:r>
      <w:r w:rsidR="00EC7EDF" w:rsidRPr="00FD211F">
        <w:rPr>
          <w:sz w:val="36"/>
          <w:szCs w:val="36"/>
          <w:rtl/>
        </w:rPr>
        <w:t>ة</w:t>
      </w:r>
      <w:r w:rsidR="00E8128F">
        <w:rPr>
          <w:sz w:val="36"/>
          <w:szCs w:val="36"/>
          <w:rtl/>
        </w:rPr>
        <w:t xml:space="preserve"> </w:t>
      </w:r>
      <w:r w:rsidR="00131322" w:rsidRPr="00FD211F">
        <w:rPr>
          <w:sz w:val="36"/>
          <w:szCs w:val="36"/>
          <w:rtl/>
        </w:rPr>
        <w:t>ويرى</w:t>
      </w:r>
      <w:r w:rsidR="00E8128F">
        <w:rPr>
          <w:sz w:val="36"/>
          <w:szCs w:val="36"/>
          <w:rtl/>
        </w:rPr>
        <w:t xml:space="preserve"> </w:t>
      </w:r>
      <w:r w:rsidR="00131322" w:rsidRPr="00FD211F">
        <w:rPr>
          <w:sz w:val="36"/>
          <w:szCs w:val="36"/>
          <w:rtl/>
        </w:rPr>
        <w:t>قتل</w:t>
      </w:r>
      <w:r w:rsidR="00E8128F">
        <w:rPr>
          <w:sz w:val="36"/>
          <w:szCs w:val="36"/>
          <w:rtl/>
        </w:rPr>
        <w:t xml:space="preserve"> </w:t>
      </w:r>
      <w:r w:rsidR="00131322" w:rsidRPr="00FD211F">
        <w:rPr>
          <w:sz w:val="36"/>
          <w:szCs w:val="36"/>
          <w:rtl/>
        </w:rPr>
        <w:t>الحسين</w:t>
      </w:r>
      <w:r w:rsidR="00E8128F">
        <w:rPr>
          <w:sz w:val="36"/>
          <w:szCs w:val="36"/>
          <w:rtl/>
        </w:rPr>
        <w:t xml:space="preserve"> </w:t>
      </w:r>
      <w:r w:rsidR="003E10D8" w:rsidRPr="00FD211F">
        <w:rPr>
          <w:sz w:val="36"/>
          <w:szCs w:val="36"/>
          <w:rtl/>
        </w:rPr>
        <w:t>او</w:t>
      </w:r>
      <w:r w:rsidR="00E8128F">
        <w:rPr>
          <w:sz w:val="36"/>
          <w:szCs w:val="36"/>
          <w:rtl/>
        </w:rPr>
        <w:t xml:space="preserve"> </w:t>
      </w:r>
      <w:r w:rsidR="003E10D8" w:rsidRPr="00FD211F">
        <w:rPr>
          <w:sz w:val="36"/>
          <w:szCs w:val="36"/>
          <w:rtl/>
        </w:rPr>
        <w:t>زكريا</w:t>
      </w:r>
      <w:r w:rsidR="00E8128F">
        <w:rPr>
          <w:sz w:val="36"/>
          <w:szCs w:val="36"/>
          <w:rtl/>
        </w:rPr>
        <w:t xml:space="preserve"> </w:t>
      </w:r>
      <w:r w:rsidR="00131322" w:rsidRPr="00FD211F">
        <w:rPr>
          <w:sz w:val="36"/>
          <w:szCs w:val="36"/>
          <w:rtl/>
        </w:rPr>
        <w:t>عليه</w:t>
      </w:r>
      <w:r w:rsidR="003E10D8" w:rsidRPr="00FD211F">
        <w:rPr>
          <w:sz w:val="36"/>
          <w:szCs w:val="36"/>
          <w:rtl/>
        </w:rPr>
        <w:t>ما</w:t>
      </w:r>
      <w:r w:rsidR="00E8128F">
        <w:rPr>
          <w:sz w:val="36"/>
          <w:szCs w:val="36"/>
          <w:rtl/>
        </w:rPr>
        <w:t xml:space="preserve"> </w:t>
      </w:r>
      <w:r w:rsidR="00131322" w:rsidRPr="00FD211F">
        <w:rPr>
          <w:sz w:val="36"/>
          <w:szCs w:val="36"/>
          <w:rtl/>
        </w:rPr>
        <w:t>السلام</w:t>
      </w:r>
      <w:r w:rsidR="00E8128F">
        <w:rPr>
          <w:sz w:val="36"/>
          <w:szCs w:val="36"/>
          <w:rtl/>
        </w:rPr>
        <w:t xml:space="preserve"> </w:t>
      </w:r>
      <w:r w:rsidR="00131322" w:rsidRPr="00FD211F">
        <w:rPr>
          <w:sz w:val="36"/>
          <w:szCs w:val="36"/>
          <w:rtl/>
        </w:rPr>
        <w:t>وصفا</w:t>
      </w:r>
      <w:r w:rsidR="00E8128F">
        <w:rPr>
          <w:sz w:val="36"/>
          <w:szCs w:val="36"/>
          <w:rtl/>
        </w:rPr>
        <w:t xml:space="preserve"> </w:t>
      </w:r>
      <w:r w:rsidR="00131322" w:rsidRPr="00FD211F">
        <w:rPr>
          <w:sz w:val="36"/>
          <w:szCs w:val="36"/>
          <w:rtl/>
        </w:rPr>
        <w:t>خاصا</w:t>
      </w:r>
      <w:r w:rsidR="00E8128F">
        <w:rPr>
          <w:sz w:val="36"/>
          <w:szCs w:val="36"/>
          <w:rtl/>
        </w:rPr>
        <w:t xml:space="preserve"> </w:t>
      </w:r>
      <w:r w:rsidR="00131322" w:rsidRPr="00FD211F">
        <w:rPr>
          <w:sz w:val="36"/>
          <w:szCs w:val="36"/>
          <w:rtl/>
        </w:rPr>
        <w:t>بقطع</w:t>
      </w:r>
      <w:r w:rsidR="00EC7EDF" w:rsidRPr="00FD211F">
        <w:rPr>
          <w:sz w:val="36"/>
          <w:szCs w:val="36"/>
          <w:rtl/>
        </w:rPr>
        <w:t>ة</w:t>
      </w:r>
      <w:r w:rsidR="00E8128F">
        <w:rPr>
          <w:sz w:val="36"/>
          <w:szCs w:val="36"/>
          <w:rtl/>
        </w:rPr>
        <w:t xml:space="preserve"> </w:t>
      </w:r>
      <w:r w:rsidR="00131322" w:rsidRPr="00FD211F">
        <w:rPr>
          <w:sz w:val="36"/>
          <w:szCs w:val="36"/>
          <w:rtl/>
        </w:rPr>
        <w:t>منه</w:t>
      </w:r>
      <w:r w:rsidR="00E8128F">
        <w:rPr>
          <w:sz w:val="36"/>
          <w:szCs w:val="36"/>
          <w:rtl/>
        </w:rPr>
        <w:t xml:space="preserve"> </w:t>
      </w:r>
      <w:r w:rsidR="00131322" w:rsidRPr="00FD211F">
        <w:rPr>
          <w:sz w:val="36"/>
          <w:szCs w:val="36"/>
          <w:rtl/>
        </w:rPr>
        <w:t>لالجميع</w:t>
      </w:r>
      <w:r w:rsidR="00E8128F">
        <w:rPr>
          <w:sz w:val="36"/>
          <w:szCs w:val="36"/>
          <w:rtl/>
        </w:rPr>
        <w:t xml:space="preserve"> </w:t>
      </w:r>
      <w:r w:rsidR="00131322" w:rsidRPr="00FD211F">
        <w:rPr>
          <w:sz w:val="36"/>
          <w:szCs w:val="36"/>
          <w:rtl/>
        </w:rPr>
        <w:t>الدهر</w:t>
      </w:r>
      <w:r w:rsidR="00603323" w:rsidRPr="00FD211F">
        <w:rPr>
          <w:sz w:val="36"/>
          <w:szCs w:val="36"/>
          <w:rtl/>
        </w:rPr>
        <w:t>،</w:t>
      </w:r>
      <w:r w:rsidR="00E8128F">
        <w:rPr>
          <w:sz w:val="36"/>
          <w:szCs w:val="36"/>
          <w:rtl/>
        </w:rPr>
        <w:t xml:space="preserve"> </w:t>
      </w:r>
      <w:r w:rsidR="00131322" w:rsidRPr="00FD211F">
        <w:rPr>
          <w:sz w:val="36"/>
          <w:szCs w:val="36"/>
          <w:rtl/>
        </w:rPr>
        <w:t>مضافا</w:t>
      </w:r>
      <w:r w:rsidR="00E8128F">
        <w:rPr>
          <w:sz w:val="36"/>
          <w:szCs w:val="36"/>
          <w:rtl/>
        </w:rPr>
        <w:t xml:space="preserve"> </w:t>
      </w:r>
      <w:r w:rsidR="00131322" w:rsidRPr="00FD211F">
        <w:rPr>
          <w:sz w:val="36"/>
          <w:szCs w:val="36"/>
          <w:rtl/>
        </w:rPr>
        <w:t>الى</w:t>
      </w:r>
      <w:r w:rsidR="00E8128F">
        <w:rPr>
          <w:sz w:val="36"/>
          <w:szCs w:val="36"/>
          <w:rtl/>
        </w:rPr>
        <w:t xml:space="preserve"> </w:t>
      </w:r>
      <w:r w:rsidR="00131322" w:rsidRPr="00FD211F">
        <w:rPr>
          <w:sz w:val="36"/>
          <w:szCs w:val="36"/>
          <w:rtl/>
        </w:rPr>
        <w:t>ان</w:t>
      </w:r>
      <w:r w:rsidR="00E8128F">
        <w:rPr>
          <w:sz w:val="36"/>
          <w:szCs w:val="36"/>
          <w:rtl/>
        </w:rPr>
        <w:t xml:space="preserve"> </w:t>
      </w:r>
      <w:r w:rsidR="00131322" w:rsidRPr="00FD211F">
        <w:rPr>
          <w:sz w:val="36"/>
          <w:szCs w:val="36"/>
          <w:rtl/>
        </w:rPr>
        <w:t>وصف</w:t>
      </w:r>
      <w:r w:rsidR="00E8128F">
        <w:rPr>
          <w:sz w:val="36"/>
          <w:szCs w:val="36"/>
          <w:rtl/>
        </w:rPr>
        <w:t xml:space="preserve"> </w:t>
      </w:r>
      <w:r w:rsidR="00131322" w:rsidRPr="00FD211F">
        <w:rPr>
          <w:sz w:val="36"/>
          <w:szCs w:val="36"/>
          <w:rtl/>
        </w:rPr>
        <w:t>الجزء</w:t>
      </w:r>
      <w:r w:rsidR="00E8128F">
        <w:rPr>
          <w:sz w:val="36"/>
          <w:szCs w:val="36"/>
          <w:rtl/>
        </w:rPr>
        <w:t xml:space="preserve"> </w:t>
      </w:r>
      <w:r w:rsidR="00131322" w:rsidRPr="00FD211F">
        <w:rPr>
          <w:sz w:val="36"/>
          <w:szCs w:val="36"/>
          <w:rtl/>
        </w:rPr>
        <w:t>انما</w:t>
      </w:r>
      <w:r w:rsidR="00E8128F">
        <w:rPr>
          <w:sz w:val="36"/>
          <w:szCs w:val="36"/>
          <w:rtl/>
        </w:rPr>
        <w:t xml:space="preserve"> </w:t>
      </w:r>
      <w:r w:rsidR="00131322" w:rsidRPr="00FD211F">
        <w:rPr>
          <w:sz w:val="36"/>
          <w:szCs w:val="36"/>
          <w:rtl/>
        </w:rPr>
        <w:t>يصح</w:t>
      </w:r>
      <w:r w:rsidR="00E8128F">
        <w:rPr>
          <w:sz w:val="36"/>
          <w:szCs w:val="36"/>
          <w:rtl/>
        </w:rPr>
        <w:t xml:space="preserve"> </w:t>
      </w:r>
      <w:r w:rsidR="00131322" w:rsidRPr="00FD211F">
        <w:rPr>
          <w:sz w:val="36"/>
          <w:szCs w:val="36"/>
          <w:rtl/>
        </w:rPr>
        <w:t>اسناده</w:t>
      </w:r>
      <w:r w:rsidR="00E8128F">
        <w:rPr>
          <w:sz w:val="36"/>
          <w:szCs w:val="36"/>
          <w:rtl/>
        </w:rPr>
        <w:t xml:space="preserve"> </w:t>
      </w:r>
      <w:r w:rsidR="00131322" w:rsidRPr="00FD211F">
        <w:rPr>
          <w:sz w:val="36"/>
          <w:szCs w:val="36"/>
          <w:rtl/>
        </w:rPr>
        <w:t>الى</w:t>
      </w:r>
      <w:r w:rsidR="00E8128F">
        <w:rPr>
          <w:sz w:val="36"/>
          <w:szCs w:val="36"/>
          <w:rtl/>
        </w:rPr>
        <w:t xml:space="preserve"> </w:t>
      </w:r>
      <w:r w:rsidR="00131322" w:rsidRPr="00FD211F">
        <w:rPr>
          <w:sz w:val="36"/>
          <w:szCs w:val="36"/>
          <w:rtl/>
        </w:rPr>
        <w:t>الكل</w:t>
      </w:r>
      <w:r w:rsidR="00E8128F">
        <w:rPr>
          <w:sz w:val="36"/>
          <w:szCs w:val="36"/>
          <w:rtl/>
        </w:rPr>
        <w:t xml:space="preserve"> </w:t>
      </w:r>
      <w:r w:rsidR="00131322" w:rsidRPr="00FD211F">
        <w:rPr>
          <w:sz w:val="36"/>
          <w:szCs w:val="36"/>
          <w:rtl/>
        </w:rPr>
        <w:t>اذا</w:t>
      </w:r>
      <w:r w:rsidR="00E8128F">
        <w:rPr>
          <w:sz w:val="36"/>
          <w:szCs w:val="36"/>
          <w:rtl/>
        </w:rPr>
        <w:t xml:space="preserve"> </w:t>
      </w:r>
      <w:r w:rsidR="008D7B3D" w:rsidRPr="00FD211F">
        <w:rPr>
          <w:sz w:val="36"/>
          <w:szCs w:val="36"/>
          <w:rtl/>
        </w:rPr>
        <w:t>لم‌</w:t>
      </w:r>
      <w:r w:rsidR="00131322" w:rsidRPr="00FD211F">
        <w:rPr>
          <w:sz w:val="36"/>
          <w:szCs w:val="36"/>
          <w:rtl/>
        </w:rPr>
        <w:t>يكن</w:t>
      </w:r>
      <w:r w:rsidR="00E8128F">
        <w:rPr>
          <w:sz w:val="36"/>
          <w:szCs w:val="36"/>
          <w:rtl/>
        </w:rPr>
        <w:t xml:space="preserve"> </w:t>
      </w:r>
      <w:r w:rsidR="00131322" w:rsidRPr="00FD211F">
        <w:rPr>
          <w:sz w:val="36"/>
          <w:szCs w:val="36"/>
          <w:rtl/>
        </w:rPr>
        <w:t>جزءا</w:t>
      </w:r>
      <w:r w:rsidR="00E8128F">
        <w:rPr>
          <w:sz w:val="36"/>
          <w:szCs w:val="36"/>
          <w:rtl/>
        </w:rPr>
        <w:t xml:space="preserve"> </w:t>
      </w:r>
      <w:r w:rsidR="00131322" w:rsidRPr="00FD211F">
        <w:rPr>
          <w:sz w:val="36"/>
          <w:szCs w:val="36"/>
          <w:rtl/>
        </w:rPr>
        <w:t>يسيرا</w:t>
      </w:r>
      <w:r w:rsidR="00E8128F">
        <w:rPr>
          <w:sz w:val="36"/>
          <w:szCs w:val="36"/>
          <w:rtl/>
        </w:rPr>
        <w:t xml:space="preserve"> </w:t>
      </w:r>
      <w:r w:rsidR="00131322" w:rsidRPr="00FD211F">
        <w:rPr>
          <w:sz w:val="36"/>
          <w:szCs w:val="36"/>
          <w:rtl/>
        </w:rPr>
        <w:t>فلايقال</w:t>
      </w:r>
      <w:r w:rsidR="00E8128F">
        <w:rPr>
          <w:sz w:val="36"/>
          <w:szCs w:val="36"/>
          <w:rtl/>
        </w:rPr>
        <w:t xml:space="preserve"> </w:t>
      </w:r>
      <w:r w:rsidR="00131322" w:rsidRPr="00FD211F">
        <w:rPr>
          <w:sz w:val="36"/>
          <w:szCs w:val="36"/>
          <w:rtl/>
        </w:rPr>
        <w:t>لبحر</w:t>
      </w:r>
      <w:r w:rsidR="00E8128F">
        <w:rPr>
          <w:sz w:val="36"/>
          <w:szCs w:val="36"/>
          <w:rtl/>
        </w:rPr>
        <w:t xml:space="preserve"> </w:t>
      </w:r>
      <w:r w:rsidR="00131322" w:rsidRPr="00FD211F">
        <w:rPr>
          <w:sz w:val="36"/>
          <w:szCs w:val="36"/>
          <w:rtl/>
        </w:rPr>
        <w:t>صار</w:t>
      </w:r>
      <w:r w:rsidR="00E8128F">
        <w:rPr>
          <w:sz w:val="36"/>
          <w:szCs w:val="36"/>
          <w:rtl/>
        </w:rPr>
        <w:t xml:space="preserve"> </w:t>
      </w:r>
      <w:r w:rsidR="00131322" w:rsidRPr="00FD211F">
        <w:rPr>
          <w:sz w:val="36"/>
          <w:szCs w:val="36"/>
          <w:rtl/>
        </w:rPr>
        <w:t>جزء</w:t>
      </w:r>
      <w:r w:rsidR="00E8128F">
        <w:rPr>
          <w:sz w:val="36"/>
          <w:szCs w:val="36"/>
          <w:rtl/>
        </w:rPr>
        <w:t xml:space="preserve"> </w:t>
      </w:r>
      <w:r w:rsidR="00131322" w:rsidRPr="00FD211F">
        <w:rPr>
          <w:sz w:val="36"/>
          <w:szCs w:val="36"/>
          <w:rtl/>
        </w:rPr>
        <w:t>يسير</w:t>
      </w:r>
      <w:r w:rsidR="00E8128F">
        <w:rPr>
          <w:sz w:val="36"/>
          <w:szCs w:val="36"/>
          <w:rtl/>
        </w:rPr>
        <w:t xml:space="preserve"> </w:t>
      </w:r>
      <w:r w:rsidR="00131322" w:rsidRPr="00FD211F">
        <w:rPr>
          <w:sz w:val="36"/>
          <w:szCs w:val="36"/>
          <w:rtl/>
        </w:rPr>
        <w:t>من</w:t>
      </w:r>
      <w:r w:rsidR="00E8128F">
        <w:rPr>
          <w:sz w:val="36"/>
          <w:szCs w:val="36"/>
          <w:rtl/>
        </w:rPr>
        <w:t xml:space="preserve"> </w:t>
      </w:r>
      <w:r w:rsidR="00131322" w:rsidRPr="00FD211F">
        <w:rPr>
          <w:sz w:val="36"/>
          <w:szCs w:val="36"/>
          <w:rtl/>
        </w:rPr>
        <w:t>ماءه</w:t>
      </w:r>
      <w:r w:rsidR="00E8128F">
        <w:rPr>
          <w:sz w:val="36"/>
          <w:szCs w:val="36"/>
          <w:rtl/>
        </w:rPr>
        <w:t xml:space="preserve"> </w:t>
      </w:r>
      <w:r w:rsidR="00131322" w:rsidRPr="00FD211F">
        <w:rPr>
          <w:sz w:val="36"/>
          <w:szCs w:val="36"/>
          <w:rtl/>
        </w:rPr>
        <w:t>اصفر</w:t>
      </w:r>
      <w:r w:rsidR="00E8128F">
        <w:rPr>
          <w:sz w:val="36"/>
          <w:szCs w:val="36"/>
          <w:rtl/>
        </w:rPr>
        <w:t xml:space="preserve"> </w:t>
      </w:r>
      <w:r w:rsidR="00131322" w:rsidRPr="00FD211F">
        <w:rPr>
          <w:sz w:val="36"/>
          <w:szCs w:val="36"/>
          <w:rtl/>
        </w:rPr>
        <w:t>ان</w:t>
      </w:r>
      <w:r w:rsidR="00E8128F">
        <w:rPr>
          <w:sz w:val="36"/>
          <w:szCs w:val="36"/>
          <w:rtl/>
        </w:rPr>
        <w:t xml:space="preserve"> </w:t>
      </w:r>
      <w:r w:rsidR="00131322" w:rsidRPr="00FD211F">
        <w:rPr>
          <w:sz w:val="36"/>
          <w:szCs w:val="36"/>
          <w:rtl/>
        </w:rPr>
        <w:t>البحر</w:t>
      </w:r>
      <w:r w:rsidR="00E8128F">
        <w:rPr>
          <w:sz w:val="36"/>
          <w:szCs w:val="36"/>
          <w:rtl/>
        </w:rPr>
        <w:t xml:space="preserve"> </w:t>
      </w:r>
      <w:r w:rsidR="00131322" w:rsidRPr="00FD211F">
        <w:rPr>
          <w:sz w:val="36"/>
          <w:szCs w:val="36"/>
          <w:rtl/>
        </w:rPr>
        <w:t>اصفر</w:t>
      </w:r>
      <w:r w:rsidR="00603323" w:rsidRPr="00FD211F">
        <w:rPr>
          <w:sz w:val="36"/>
          <w:szCs w:val="36"/>
          <w:rtl/>
        </w:rPr>
        <w:t>،</w:t>
      </w:r>
      <w:r w:rsidR="00E8128F">
        <w:rPr>
          <w:sz w:val="36"/>
          <w:szCs w:val="36"/>
          <w:rtl/>
        </w:rPr>
        <w:t xml:space="preserve"> </w:t>
      </w:r>
      <w:r w:rsidR="00131322" w:rsidRPr="00FD211F">
        <w:rPr>
          <w:sz w:val="36"/>
          <w:szCs w:val="36"/>
          <w:rtl/>
        </w:rPr>
        <w:t>فلايصح</w:t>
      </w:r>
      <w:r w:rsidR="00E8128F">
        <w:rPr>
          <w:sz w:val="36"/>
          <w:szCs w:val="36"/>
          <w:rtl/>
        </w:rPr>
        <w:t xml:space="preserve"> </w:t>
      </w:r>
      <w:r w:rsidR="00131322" w:rsidRPr="00FD211F">
        <w:rPr>
          <w:sz w:val="36"/>
          <w:szCs w:val="36"/>
          <w:rtl/>
        </w:rPr>
        <w:t>ان</w:t>
      </w:r>
      <w:r w:rsidR="00E8128F">
        <w:rPr>
          <w:sz w:val="36"/>
          <w:szCs w:val="36"/>
          <w:rtl/>
        </w:rPr>
        <w:t xml:space="preserve"> </w:t>
      </w:r>
      <w:r w:rsidR="00131322" w:rsidRPr="00FD211F">
        <w:rPr>
          <w:sz w:val="36"/>
          <w:szCs w:val="36"/>
          <w:rtl/>
        </w:rPr>
        <w:t>يطلق</w:t>
      </w:r>
      <w:r w:rsidR="00E8128F">
        <w:rPr>
          <w:sz w:val="36"/>
          <w:szCs w:val="36"/>
          <w:rtl/>
        </w:rPr>
        <w:t xml:space="preserve"> </w:t>
      </w:r>
      <w:r w:rsidR="00131322" w:rsidRPr="00FD211F">
        <w:rPr>
          <w:sz w:val="36"/>
          <w:szCs w:val="36"/>
          <w:rtl/>
        </w:rPr>
        <w:t>عنوان</w:t>
      </w:r>
      <w:r w:rsidR="00E8128F">
        <w:rPr>
          <w:sz w:val="36"/>
          <w:szCs w:val="36"/>
          <w:rtl/>
        </w:rPr>
        <w:t xml:space="preserve"> </w:t>
      </w:r>
      <w:r w:rsidR="00131322" w:rsidRPr="00FD211F">
        <w:rPr>
          <w:sz w:val="36"/>
          <w:szCs w:val="36"/>
          <w:rtl/>
        </w:rPr>
        <w:t>مقتل</w:t>
      </w:r>
      <w:r w:rsidR="00E8128F">
        <w:rPr>
          <w:sz w:val="36"/>
          <w:szCs w:val="36"/>
          <w:rtl/>
        </w:rPr>
        <w:t xml:space="preserve"> </w:t>
      </w:r>
      <w:r w:rsidR="00131322" w:rsidRPr="00FD211F">
        <w:rPr>
          <w:sz w:val="36"/>
          <w:szCs w:val="36"/>
          <w:rtl/>
        </w:rPr>
        <w:t>زكريا</w:t>
      </w:r>
      <w:r w:rsidR="00E8128F">
        <w:rPr>
          <w:sz w:val="36"/>
          <w:szCs w:val="36"/>
          <w:rtl/>
        </w:rPr>
        <w:t xml:space="preserve"> </w:t>
      </w:r>
      <w:r w:rsidR="00131322" w:rsidRPr="00FD211F">
        <w:rPr>
          <w:sz w:val="36"/>
          <w:szCs w:val="36"/>
          <w:rtl/>
        </w:rPr>
        <w:t>على</w:t>
      </w:r>
      <w:r w:rsidR="00E8128F">
        <w:rPr>
          <w:sz w:val="36"/>
          <w:szCs w:val="36"/>
          <w:rtl/>
        </w:rPr>
        <w:t xml:space="preserve"> </w:t>
      </w:r>
      <w:r w:rsidR="00131322" w:rsidRPr="00FD211F">
        <w:rPr>
          <w:sz w:val="36"/>
          <w:szCs w:val="36"/>
          <w:rtl/>
        </w:rPr>
        <w:t>جميع</w:t>
      </w:r>
      <w:r w:rsidR="00E8128F">
        <w:rPr>
          <w:sz w:val="36"/>
          <w:szCs w:val="36"/>
          <w:rtl/>
        </w:rPr>
        <w:t xml:space="preserve"> </w:t>
      </w:r>
      <w:r w:rsidR="00131322" w:rsidRPr="00FD211F">
        <w:rPr>
          <w:sz w:val="36"/>
          <w:szCs w:val="36"/>
          <w:rtl/>
        </w:rPr>
        <w:t>الدهر</w:t>
      </w:r>
      <w:r w:rsidR="00603323" w:rsidRPr="00FD211F">
        <w:rPr>
          <w:sz w:val="36"/>
          <w:szCs w:val="36"/>
          <w:rtl/>
        </w:rPr>
        <w:t>،</w:t>
      </w:r>
      <w:r w:rsidR="00E8128F">
        <w:rPr>
          <w:sz w:val="36"/>
          <w:szCs w:val="36"/>
          <w:rtl/>
        </w:rPr>
        <w:t xml:space="preserve"> </w:t>
      </w:r>
      <w:r w:rsidR="00131322" w:rsidRPr="00FD211F">
        <w:rPr>
          <w:sz w:val="36"/>
          <w:szCs w:val="36"/>
          <w:rtl/>
        </w:rPr>
        <w:t>وما</w:t>
      </w:r>
      <w:r w:rsidR="00E8128F">
        <w:rPr>
          <w:sz w:val="36"/>
          <w:szCs w:val="36"/>
          <w:rtl/>
        </w:rPr>
        <w:t xml:space="preserve"> </w:t>
      </w:r>
      <w:r w:rsidR="00131322" w:rsidRPr="00FD211F">
        <w:rPr>
          <w:sz w:val="36"/>
          <w:szCs w:val="36"/>
          <w:rtl/>
        </w:rPr>
        <w:t>ذكره</w:t>
      </w:r>
      <w:r w:rsidR="00E8128F">
        <w:rPr>
          <w:sz w:val="36"/>
          <w:szCs w:val="36"/>
          <w:rtl/>
        </w:rPr>
        <w:t xml:space="preserve"> </w:t>
      </w:r>
      <w:r w:rsidR="00131322" w:rsidRPr="00FD211F">
        <w:rPr>
          <w:sz w:val="36"/>
          <w:szCs w:val="36"/>
          <w:rtl/>
        </w:rPr>
        <w:t>متين</w:t>
      </w:r>
      <w:r w:rsidR="00E8128F">
        <w:rPr>
          <w:sz w:val="36"/>
          <w:szCs w:val="36"/>
          <w:rtl/>
        </w:rPr>
        <w:t xml:space="preserve"> </w:t>
      </w:r>
      <w:r w:rsidR="00131322" w:rsidRPr="00FD211F">
        <w:rPr>
          <w:sz w:val="36"/>
          <w:szCs w:val="36"/>
          <w:rtl/>
        </w:rPr>
        <w:t>جدّا</w:t>
      </w:r>
      <w:r w:rsidR="00E43829" w:rsidRPr="00FD211F">
        <w:rPr>
          <w:sz w:val="36"/>
          <w:szCs w:val="36"/>
          <w:rtl/>
        </w:rPr>
        <w:t>.</w:t>
      </w:r>
    </w:p>
    <w:p w14:paraId="201F40EE" w14:textId="77777777" w:rsidR="00915DC8" w:rsidRPr="00FD211F" w:rsidRDefault="00CE59AF" w:rsidP="009C58C8">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وقد</w:t>
      </w:r>
      <w:r w:rsidR="00E8128F">
        <w:rPr>
          <w:sz w:val="36"/>
          <w:szCs w:val="36"/>
          <w:rtl/>
        </w:rPr>
        <w:t xml:space="preserve"> </w:t>
      </w:r>
      <w:r w:rsidR="003230A7" w:rsidRPr="00FD211F">
        <w:rPr>
          <w:sz w:val="36"/>
          <w:szCs w:val="36"/>
          <w:rtl/>
        </w:rPr>
        <w:t>نسب</w:t>
      </w:r>
      <w:r w:rsidR="00E8128F">
        <w:rPr>
          <w:sz w:val="36"/>
          <w:szCs w:val="36"/>
          <w:rtl/>
        </w:rPr>
        <w:t xml:space="preserve"> </w:t>
      </w:r>
      <w:r w:rsidR="003230A7" w:rsidRPr="00FD211F">
        <w:rPr>
          <w:sz w:val="36"/>
          <w:szCs w:val="36"/>
          <w:rtl/>
        </w:rPr>
        <w:t>في</w:t>
      </w:r>
      <w:r w:rsidR="00E8128F">
        <w:rPr>
          <w:sz w:val="36"/>
          <w:szCs w:val="36"/>
          <w:rtl/>
        </w:rPr>
        <w:t xml:space="preserve"> </w:t>
      </w:r>
      <w:r w:rsidR="003230A7" w:rsidRPr="00FD211F">
        <w:rPr>
          <w:sz w:val="36"/>
          <w:szCs w:val="36"/>
          <w:rtl/>
        </w:rPr>
        <w:t>البحوث</w:t>
      </w:r>
      <w:r w:rsidR="00E8128F">
        <w:rPr>
          <w:sz w:val="36"/>
          <w:szCs w:val="36"/>
          <w:rtl/>
        </w:rPr>
        <w:t xml:space="preserve"> </w:t>
      </w:r>
      <w:r w:rsidR="003230A7" w:rsidRPr="00FD211F">
        <w:rPr>
          <w:sz w:val="36"/>
          <w:szCs w:val="36"/>
          <w:rtl/>
        </w:rPr>
        <w:t>الى</w:t>
      </w:r>
      <w:r w:rsidR="00E8128F">
        <w:rPr>
          <w:sz w:val="36"/>
          <w:szCs w:val="36"/>
          <w:rtl/>
        </w:rPr>
        <w:t xml:space="preserve"> </w:t>
      </w:r>
      <w:r w:rsidR="003230A7" w:rsidRPr="00FD211F">
        <w:rPr>
          <w:sz w:val="36"/>
          <w:szCs w:val="36"/>
          <w:rtl/>
        </w:rPr>
        <w:t>المحقق</w:t>
      </w:r>
      <w:r w:rsidR="00E8128F">
        <w:rPr>
          <w:sz w:val="36"/>
          <w:szCs w:val="36"/>
          <w:rtl/>
        </w:rPr>
        <w:t xml:space="preserve"> </w:t>
      </w:r>
      <w:r w:rsidR="003230A7" w:rsidRPr="00FD211F">
        <w:rPr>
          <w:sz w:val="36"/>
          <w:szCs w:val="36"/>
          <w:rtl/>
        </w:rPr>
        <w:t>الاصفهاني</w:t>
      </w:r>
      <w:r w:rsidR="00E8128F">
        <w:rPr>
          <w:sz w:val="36"/>
          <w:szCs w:val="36"/>
          <w:rtl/>
        </w:rPr>
        <w:t xml:space="preserve"> </w:t>
      </w:r>
      <w:r w:rsidR="00915DC8" w:rsidRPr="00FD211F">
        <w:rPr>
          <w:sz w:val="36"/>
          <w:szCs w:val="36"/>
          <w:rtl/>
        </w:rPr>
        <w:t>"</w:t>
      </w:r>
      <w:r w:rsidR="003230A7" w:rsidRPr="00FD211F">
        <w:rPr>
          <w:sz w:val="36"/>
          <w:szCs w:val="36"/>
          <w:rtl/>
        </w:rPr>
        <w:t>قده</w:t>
      </w:r>
      <w:r w:rsidR="00915DC8" w:rsidRPr="00FD211F">
        <w:rPr>
          <w:sz w:val="36"/>
          <w:szCs w:val="36"/>
          <w:rtl/>
        </w:rPr>
        <w:t>"</w:t>
      </w:r>
      <w:r w:rsidR="00E8128F">
        <w:rPr>
          <w:sz w:val="36"/>
          <w:szCs w:val="36"/>
          <w:rtl/>
        </w:rPr>
        <w:t xml:space="preserve"> </w:t>
      </w:r>
      <w:r w:rsidR="003230A7" w:rsidRPr="00FD211F">
        <w:rPr>
          <w:sz w:val="36"/>
          <w:szCs w:val="36"/>
          <w:rtl/>
        </w:rPr>
        <w:t>انه</w:t>
      </w:r>
      <w:r w:rsidR="00E8128F">
        <w:rPr>
          <w:sz w:val="36"/>
          <w:szCs w:val="36"/>
          <w:rtl/>
        </w:rPr>
        <w:t xml:space="preserve"> </w:t>
      </w:r>
      <w:r w:rsidR="003230A7" w:rsidRPr="00FD211F">
        <w:rPr>
          <w:sz w:val="36"/>
          <w:szCs w:val="36"/>
          <w:rtl/>
        </w:rPr>
        <w:t>ذكر</w:t>
      </w:r>
      <w:r w:rsidR="00E8128F">
        <w:rPr>
          <w:sz w:val="36"/>
          <w:szCs w:val="36"/>
          <w:rtl/>
        </w:rPr>
        <w:t xml:space="preserve"> </w:t>
      </w:r>
      <w:r w:rsidR="003230A7" w:rsidRPr="00FD211F">
        <w:rPr>
          <w:sz w:val="36"/>
          <w:szCs w:val="36"/>
          <w:rtl/>
        </w:rPr>
        <w:t>ان</w:t>
      </w:r>
      <w:r w:rsidR="00E8128F">
        <w:rPr>
          <w:sz w:val="36"/>
          <w:szCs w:val="36"/>
          <w:rtl/>
        </w:rPr>
        <w:t xml:space="preserve"> </w:t>
      </w:r>
      <w:r w:rsidR="003230A7" w:rsidRPr="00FD211F">
        <w:rPr>
          <w:sz w:val="36"/>
          <w:szCs w:val="36"/>
          <w:rtl/>
        </w:rPr>
        <w:t>الحدث</w:t>
      </w:r>
      <w:r w:rsidR="00E8128F">
        <w:rPr>
          <w:sz w:val="36"/>
          <w:szCs w:val="36"/>
          <w:rtl/>
        </w:rPr>
        <w:t xml:space="preserve"> </w:t>
      </w:r>
      <w:r w:rsidR="003230A7" w:rsidRPr="00FD211F">
        <w:rPr>
          <w:sz w:val="36"/>
          <w:szCs w:val="36"/>
          <w:rtl/>
        </w:rPr>
        <w:t>وصف</w:t>
      </w:r>
      <w:r w:rsidR="00E8128F">
        <w:rPr>
          <w:sz w:val="36"/>
          <w:szCs w:val="36"/>
          <w:rtl/>
        </w:rPr>
        <w:t xml:space="preserve"> </w:t>
      </w:r>
      <w:r w:rsidR="003230A7" w:rsidRPr="00FD211F">
        <w:rPr>
          <w:sz w:val="36"/>
          <w:szCs w:val="36"/>
          <w:rtl/>
        </w:rPr>
        <w:t>للآن</w:t>
      </w:r>
      <w:r w:rsidR="00E8128F">
        <w:rPr>
          <w:sz w:val="36"/>
          <w:szCs w:val="36"/>
          <w:rtl/>
        </w:rPr>
        <w:t xml:space="preserve"> </w:t>
      </w:r>
      <w:r w:rsidR="003230A7" w:rsidRPr="00FD211F">
        <w:rPr>
          <w:sz w:val="36"/>
          <w:szCs w:val="36"/>
          <w:rtl/>
        </w:rPr>
        <w:t>الذي</w:t>
      </w:r>
      <w:r w:rsidR="00E8128F">
        <w:rPr>
          <w:sz w:val="36"/>
          <w:szCs w:val="36"/>
          <w:rtl/>
        </w:rPr>
        <w:t xml:space="preserve"> </w:t>
      </w:r>
      <w:r w:rsidR="003230A7" w:rsidRPr="00FD211F">
        <w:rPr>
          <w:sz w:val="36"/>
          <w:szCs w:val="36"/>
          <w:rtl/>
        </w:rPr>
        <w:t>وقع</w:t>
      </w:r>
      <w:r w:rsidR="00E8128F">
        <w:rPr>
          <w:sz w:val="36"/>
          <w:szCs w:val="36"/>
          <w:rtl/>
        </w:rPr>
        <w:t xml:space="preserve"> </w:t>
      </w:r>
      <w:r w:rsidR="003230A7" w:rsidRPr="00FD211F">
        <w:rPr>
          <w:sz w:val="36"/>
          <w:szCs w:val="36"/>
          <w:rtl/>
        </w:rPr>
        <w:t>فيه</w:t>
      </w:r>
      <w:r w:rsidR="00E8128F">
        <w:rPr>
          <w:sz w:val="36"/>
          <w:szCs w:val="36"/>
          <w:rtl/>
        </w:rPr>
        <w:t xml:space="preserve"> </w:t>
      </w:r>
      <w:r w:rsidR="003230A7" w:rsidRPr="00FD211F">
        <w:rPr>
          <w:sz w:val="36"/>
          <w:szCs w:val="36"/>
          <w:rtl/>
        </w:rPr>
        <w:t>الحدث</w:t>
      </w:r>
      <w:r w:rsidR="00E8128F">
        <w:rPr>
          <w:sz w:val="36"/>
          <w:szCs w:val="36"/>
          <w:rtl/>
        </w:rPr>
        <w:t xml:space="preserve"> </w:t>
      </w:r>
      <w:r w:rsidR="003230A7" w:rsidRPr="00FD211F">
        <w:rPr>
          <w:sz w:val="36"/>
          <w:szCs w:val="36"/>
          <w:rtl/>
        </w:rPr>
        <w:t>واسناده</w:t>
      </w:r>
      <w:r w:rsidR="00E8128F">
        <w:rPr>
          <w:sz w:val="36"/>
          <w:szCs w:val="36"/>
          <w:rtl/>
        </w:rPr>
        <w:t xml:space="preserve"> </w:t>
      </w:r>
      <w:r w:rsidR="003230A7" w:rsidRPr="00FD211F">
        <w:rPr>
          <w:sz w:val="36"/>
          <w:szCs w:val="36"/>
          <w:rtl/>
        </w:rPr>
        <w:t>الى</w:t>
      </w:r>
      <w:r w:rsidR="00E8128F">
        <w:rPr>
          <w:sz w:val="36"/>
          <w:szCs w:val="36"/>
          <w:rtl/>
        </w:rPr>
        <w:t xml:space="preserve"> </w:t>
      </w:r>
      <w:r w:rsidR="003230A7" w:rsidRPr="00FD211F">
        <w:rPr>
          <w:sz w:val="36"/>
          <w:szCs w:val="36"/>
          <w:rtl/>
        </w:rPr>
        <w:t>النهار</w:t>
      </w:r>
      <w:r w:rsidR="00E8128F">
        <w:rPr>
          <w:sz w:val="36"/>
          <w:szCs w:val="36"/>
          <w:rtl/>
        </w:rPr>
        <w:t xml:space="preserve"> </w:t>
      </w:r>
      <w:r w:rsidR="003230A7" w:rsidRPr="00FD211F">
        <w:rPr>
          <w:sz w:val="36"/>
          <w:szCs w:val="36"/>
          <w:rtl/>
        </w:rPr>
        <w:t>الذي</w:t>
      </w:r>
      <w:r w:rsidR="00E8128F">
        <w:rPr>
          <w:sz w:val="36"/>
          <w:szCs w:val="36"/>
          <w:rtl/>
        </w:rPr>
        <w:t xml:space="preserve"> </w:t>
      </w:r>
      <w:r w:rsidR="003230A7" w:rsidRPr="00FD211F">
        <w:rPr>
          <w:sz w:val="36"/>
          <w:szCs w:val="36"/>
          <w:rtl/>
        </w:rPr>
        <w:t>هو</w:t>
      </w:r>
      <w:r w:rsidR="00E8128F">
        <w:rPr>
          <w:sz w:val="36"/>
          <w:szCs w:val="36"/>
          <w:rtl/>
        </w:rPr>
        <w:t xml:space="preserve"> </w:t>
      </w:r>
      <w:r w:rsidR="003230A7" w:rsidRPr="00FD211F">
        <w:rPr>
          <w:sz w:val="36"/>
          <w:szCs w:val="36"/>
          <w:rtl/>
        </w:rPr>
        <w:t>مركب</w:t>
      </w:r>
      <w:r w:rsidR="00E8128F">
        <w:rPr>
          <w:sz w:val="36"/>
          <w:szCs w:val="36"/>
          <w:rtl/>
        </w:rPr>
        <w:t xml:space="preserve"> </w:t>
      </w:r>
      <w:r w:rsidR="003230A7" w:rsidRPr="00FD211F">
        <w:rPr>
          <w:sz w:val="36"/>
          <w:szCs w:val="36"/>
          <w:rtl/>
        </w:rPr>
        <w:t>من</w:t>
      </w:r>
      <w:r w:rsidR="00E8128F">
        <w:rPr>
          <w:sz w:val="36"/>
          <w:szCs w:val="36"/>
          <w:rtl/>
        </w:rPr>
        <w:t xml:space="preserve"> </w:t>
      </w:r>
      <w:r w:rsidR="003230A7" w:rsidRPr="00FD211F">
        <w:rPr>
          <w:sz w:val="36"/>
          <w:szCs w:val="36"/>
          <w:rtl/>
        </w:rPr>
        <w:t>تلك</w:t>
      </w:r>
      <w:r w:rsidR="00E8128F">
        <w:rPr>
          <w:sz w:val="36"/>
          <w:szCs w:val="36"/>
          <w:rtl/>
        </w:rPr>
        <w:t xml:space="preserve"> </w:t>
      </w:r>
      <w:r w:rsidR="003230A7" w:rsidRPr="00FD211F">
        <w:rPr>
          <w:sz w:val="36"/>
          <w:szCs w:val="36"/>
          <w:rtl/>
        </w:rPr>
        <w:t>الآنات</w:t>
      </w:r>
      <w:r w:rsidR="00E8128F">
        <w:rPr>
          <w:sz w:val="36"/>
          <w:szCs w:val="36"/>
          <w:rtl/>
        </w:rPr>
        <w:t xml:space="preserve"> </w:t>
      </w:r>
      <w:r w:rsidR="003230A7" w:rsidRPr="00FD211F">
        <w:rPr>
          <w:sz w:val="36"/>
          <w:szCs w:val="36"/>
          <w:rtl/>
        </w:rPr>
        <w:t>مجاز</w:t>
      </w:r>
      <w:r w:rsidR="00E8128F">
        <w:rPr>
          <w:sz w:val="36"/>
          <w:szCs w:val="36"/>
          <w:rtl/>
        </w:rPr>
        <w:t xml:space="preserve"> </w:t>
      </w:r>
      <w:r w:rsidR="003230A7" w:rsidRPr="00FD211F">
        <w:rPr>
          <w:sz w:val="36"/>
          <w:szCs w:val="36"/>
          <w:rtl/>
        </w:rPr>
        <w:t>من</w:t>
      </w:r>
      <w:r w:rsidR="00E8128F">
        <w:rPr>
          <w:sz w:val="36"/>
          <w:szCs w:val="36"/>
          <w:rtl/>
        </w:rPr>
        <w:t xml:space="preserve"> </w:t>
      </w:r>
      <w:r w:rsidR="003230A7" w:rsidRPr="00FD211F">
        <w:rPr>
          <w:sz w:val="36"/>
          <w:szCs w:val="36"/>
          <w:rtl/>
        </w:rPr>
        <w:t>باب</w:t>
      </w:r>
      <w:r w:rsidR="00E8128F">
        <w:rPr>
          <w:sz w:val="36"/>
          <w:szCs w:val="36"/>
          <w:rtl/>
        </w:rPr>
        <w:t xml:space="preserve"> </w:t>
      </w:r>
      <w:r w:rsidR="003230A7" w:rsidRPr="00FD211F">
        <w:rPr>
          <w:sz w:val="36"/>
          <w:szCs w:val="36"/>
          <w:rtl/>
        </w:rPr>
        <w:t>اسناد</w:t>
      </w:r>
      <w:r w:rsidR="00E8128F">
        <w:rPr>
          <w:sz w:val="36"/>
          <w:szCs w:val="36"/>
          <w:rtl/>
        </w:rPr>
        <w:t xml:space="preserve"> </w:t>
      </w:r>
      <w:r w:rsidR="003230A7" w:rsidRPr="00FD211F">
        <w:rPr>
          <w:sz w:val="36"/>
          <w:szCs w:val="36"/>
          <w:rtl/>
        </w:rPr>
        <w:t>وصف</w:t>
      </w:r>
      <w:r w:rsidR="00E8128F">
        <w:rPr>
          <w:sz w:val="36"/>
          <w:szCs w:val="36"/>
          <w:rtl/>
        </w:rPr>
        <w:t xml:space="preserve"> </w:t>
      </w:r>
      <w:r w:rsidR="003230A7" w:rsidRPr="00FD211F">
        <w:rPr>
          <w:sz w:val="36"/>
          <w:szCs w:val="36"/>
          <w:rtl/>
        </w:rPr>
        <w:t>الجزء</w:t>
      </w:r>
      <w:r w:rsidR="00E8128F">
        <w:rPr>
          <w:sz w:val="36"/>
          <w:szCs w:val="36"/>
          <w:rtl/>
        </w:rPr>
        <w:t xml:space="preserve"> </w:t>
      </w:r>
      <w:r w:rsidR="003230A7" w:rsidRPr="00FD211F">
        <w:rPr>
          <w:sz w:val="36"/>
          <w:szCs w:val="36"/>
          <w:rtl/>
        </w:rPr>
        <w:t>الى</w:t>
      </w:r>
      <w:r w:rsidR="00E8128F">
        <w:rPr>
          <w:sz w:val="36"/>
          <w:szCs w:val="36"/>
          <w:rtl/>
        </w:rPr>
        <w:t xml:space="preserve"> </w:t>
      </w:r>
      <w:r w:rsidR="003230A7" w:rsidRPr="00FD211F">
        <w:rPr>
          <w:sz w:val="36"/>
          <w:szCs w:val="36"/>
          <w:rtl/>
        </w:rPr>
        <w:t>الكل</w:t>
      </w:r>
      <w:r w:rsidR="00603323" w:rsidRPr="00FD211F">
        <w:rPr>
          <w:sz w:val="36"/>
          <w:szCs w:val="36"/>
          <w:rtl/>
        </w:rPr>
        <w:t>،</w:t>
      </w:r>
      <w:r w:rsidR="00E8128F">
        <w:rPr>
          <w:sz w:val="36"/>
          <w:szCs w:val="36"/>
          <w:rtl/>
        </w:rPr>
        <w:t xml:space="preserve"> </w:t>
      </w:r>
      <w:r w:rsidR="003230A7" w:rsidRPr="00FD211F">
        <w:rPr>
          <w:sz w:val="36"/>
          <w:szCs w:val="36"/>
          <w:rtl/>
        </w:rPr>
        <w:t>فلو</w:t>
      </w:r>
      <w:r w:rsidR="004472F7">
        <w:rPr>
          <w:rFonts w:hint="cs"/>
          <w:sz w:val="36"/>
          <w:szCs w:val="36"/>
          <w:rtl/>
        </w:rPr>
        <w:t xml:space="preserve"> </w:t>
      </w:r>
      <w:r w:rsidR="003230A7" w:rsidRPr="00FD211F">
        <w:rPr>
          <w:sz w:val="36"/>
          <w:szCs w:val="36"/>
          <w:rtl/>
        </w:rPr>
        <w:t>وقعت</w:t>
      </w:r>
      <w:r w:rsidR="00E8128F">
        <w:rPr>
          <w:sz w:val="36"/>
          <w:szCs w:val="36"/>
          <w:rtl/>
        </w:rPr>
        <w:t xml:space="preserve"> </w:t>
      </w:r>
      <w:r w:rsidR="003230A7" w:rsidRPr="00FD211F">
        <w:rPr>
          <w:sz w:val="36"/>
          <w:szCs w:val="36"/>
          <w:rtl/>
        </w:rPr>
        <w:t>حمر</w:t>
      </w:r>
      <w:r w:rsidR="00EC7EDF" w:rsidRPr="00FD211F">
        <w:rPr>
          <w:sz w:val="36"/>
          <w:szCs w:val="36"/>
          <w:rtl/>
        </w:rPr>
        <w:t>ة</w:t>
      </w:r>
      <w:r w:rsidR="00E8128F">
        <w:rPr>
          <w:sz w:val="36"/>
          <w:szCs w:val="36"/>
          <w:rtl/>
        </w:rPr>
        <w:t xml:space="preserve"> </w:t>
      </w:r>
      <w:r w:rsidR="003230A7" w:rsidRPr="00FD211F">
        <w:rPr>
          <w:sz w:val="36"/>
          <w:szCs w:val="36"/>
          <w:rtl/>
        </w:rPr>
        <w:t>على</w:t>
      </w:r>
      <w:r w:rsidR="00E8128F">
        <w:rPr>
          <w:sz w:val="36"/>
          <w:szCs w:val="36"/>
          <w:rtl/>
        </w:rPr>
        <w:t xml:space="preserve"> </w:t>
      </w:r>
      <w:r w:rsidR="003230A7" w:rsidRPr="00FD211F">
        <w:rPr>
          <w:sz w:val="36"/>
          <w:szCs w:val="36"/>
          <w:rtl/>
        </w:rPr>
        <w:t>جزء</w:t>
      </w:r>
      <w:r w:rsidR="004472F7">
        <w:rPr>
          <w:rFonts w:hint="cs"/>
          <w:sz w:val="36"/>
          <w:szCs w:val="36"/>
          <w:rtl/>
        </w:rPr>
        <w:t xml:space="preserve"> </w:t>
      </w:r>
      <w:r w:rsidR="003230A7" w:rsidRPr="00FD211F">
        <w:rPr>
          <w:sz w:val="36"/>
          <w:szCs w:val="36"/>
          <w:rtl/>
        </w:rPr>
        <w:t>من</w:t>
      </w:r>
      <w:r w:rsidR="00E8128F">
        <w:rPr>
          <w:sz w:val="36"/>
          <w:szCs w:val="36"/>
          <w:rtl/>
        </w:rPr>
        <w:t xml:space="preserve"> </w:t>
      </w:r>
      <w:r w:rsidR="003230A7" w:rsidRPr="00FD211F">
        <w:rPr>
          <w:sz w:val="36"/>
          <w:szCs w:val="36"/>
          <w:rtl/>
        </w:rPr>
        <w:t>الفراش</w:t>
      </w:r>
      <w:r w:rsidR="00E8128F">
        <w:rPr>
          <w:sz w:val="36"/>
          <w:szCs w:val="36"/>
          <w:rtl/>
        </w:rPr>
        <w:t xml:space="preserve"> </w:t>
      </w:r>
      <w:r w:rsidR="003230A7" w:rsidRPr="00FD211F">
        <w:rPr>
          <w:sz w:val="36"/>
          <w:szCs w:val="36"/>
          <w:rtl/>
        </w:rPr>
        <w:t>فخصوص</w:t>
      </w:r>
      <w:r w:rsidR="00E8128F">
        <w:rPr>
          <w:sz w:val="36"/>
          <w:szCs w:val="36"/>
          <w:rtl/>
        </w:rPr>
        <w:t xml:space="preserve"> </w:t>
      </w:r>
      <w:r w:rsidR="003230A7" w:rsidRPr="00FD211F">
        <w:rPr>
          <w:sz w:val="36"/>
          <w:szCs w:val="36"/>
          <w:rtl/>
        </w:rPr>
        <w:t>ذلك</w:t>
      </w:r>
      <w:r w:rsidR="00E8128F">
        <w:rPr>
          <w:sz w:val="36"/>
          <w:szCs w:val="36"/>
          <w:rtl/>
        </w:rPr>
        <w:t xml:space="preserve"> </w:t>
      </w:r>
      <w:r w:rsidR="003230A7" w:rsidRPr="00FD211F">
        <w:rPr>
          <w:sz w:val="36"/>
          <w:szCs w:val="36"/>
          <w:rtl/>
        </w:rPr>
        <w:t>الجزء</w:t>
      </w:r>
      <w:r w:rsidR="004472F7">
        <w:rPr>
          <w:rFonts w:hint="cs"/>
          <w:sz w:val="36"/>
          <w:szCs w:val="36"/>
          <w:rtl/>
        </w:rPr>
        <w:t xml:space="preserve"> </w:t>
      </w:r>
      <w:r w:rsidR="003230A7" w:rsidRPr="00FD211F">
        <w:rPr>
          <w:sz w:val="36"/>
          <w:szCs w:val="36"/>
          <w:rtl/>
        </w:rPr>
        <w:t>يتصف</w:t>
      </w:r>
      <w:r w:rsidR="00E8128F">
        <w:rPr>
          <w:sz w:val="36"/>
          <w:szCs w:val="36"/>
          <w:rtl/>
        </w:rPr>
        <w:t xml:space="preserve"> </w:t>
      </w:r>
      <w:r w:rsidR="003230A7" w:rsidRPr="00FD211F">
        <w:rPr>
          <w:sz w:val="36"/>
          <w:szCs w:val="36"/>
          <w:rtl/>
        </w:rPr>
        <w:t>بالاحمرار</w:t>
      </w:r>
      <w:r w:rsidR="004472F7">
        <w:rPr>
          <w:rFonts w:hint="cs"/>
          <w:sz w:val="36"/>
          <w:szCs w:val="36"/>
          <w:rtl/>
        </w:rPr>
        <w:t xml:space="preserve"> </w:t>
      </w:r>
      <w:r w:rsidR="003230A7" w:rsidRPr="00FD211F">
        <w:rPr>
          <w:sz w:val="36"/>
          <w:szCs w:val="36"/>
          <w:rtl/>
        </w:rPr>
        <w:t>حقيق</w:t>
      </w:r>
      <w:r w:rsidR="00EC7EDF" w:rsidRPr="00FD211F">
        <w:rPr>
          <w:sz w:val="36"/>
          <w:szCs w:val="36"/>
          <w:rtl/>
        </w:rPr>
        <w:t>ة</w:t>
      </w:r>
      <w:r w:rsidR="00E8128F">
        <w:rPr>
          <w:sz w:val="36"/>
          <w:szCs w:val="36"/>
          <w:rtl/>
        </w:rPr>
        <w:t xml:space="preserve"> </w:t>
      </w:r>
      <w:r w:rsidR="003230A7" w:rsidRPr="00FD211F">
        <w:rPr>
          <w:sz w:val="36"/>
          <w:szCs w:val="36"/>
          <w:rtl/>
        </w:rPr>
        <w:t>لاالفراش</w:t>
      </w:r>
      <w:r w:rsidR="00E8128F">
        <w:rPr>
          <w:sz w:val="36"/>
          <w:szCs w:val="36"/>
          <w:rtl/>
        </w:rPr>
        <w:t xml:space="preserve"> </w:t>
      </w:r>
      <w:r w:rsidR="003230A7" w:rsidRPr="00FD211F">
        <w:rPr>
          <w:sz w:val="36"/>
          <w:szCs w:val="36"/>
          <w:rtl/>
        </w:rPr>
        <w:t>بتمامه</w:t>
      </w:r>
      <w:r w:rsidR="00EC7EDF" w:rsidRPr="00FD211F">
        <w:rPr>
          <w:sz w:val="36"/>
          <w:szCs w:val="36"/>
          <w:rtl/>
        </w:rPr>
        <w:t>.</w:t>
      </w:r>
    </w:p>
    <w:p w14:paraId="6A0A9E89" w14:textId="77777777" w:rsidR="003E5240" w:rsidRPr="00FD211F" w:rsidRDefault="00915DC8" w:rsidP="009C58C8">
      <w:pPr>
        <w:ind w:left="0" w:firstLine="227"/>
        <w:jc w:val="both"/>
        <w:rPr>
          <w:sz w:val="36"/>
          <w:szCs w:val="36"/>
          <w:rtl/>
        </w:rPr>
      </w:pPr>
      <w:r w:rsidRPr="00FD211F">
        <w:rPr>
          <w:sz w:val="36"/>
          <w:szCs w:val="36"/>
          <w:rtl/>
        </w:rPr>
        <w:t>ثم</w:t>
      </w:r>
      <w:r w:rsidR="00E8128F">
        <w:rPr>
          <w:sz w:val="36"/>
          <w:szCs w:val="36"/>
          <w:rtl/>
        </w:rPr>
        <w:t xml:space="preserve"> </w:t>
      </w:r>
      <w:r w:rsidR="003230A7" w:rsidRPr="00FD211F">
        <w:rPr>
          <w:sz w:val="36"/>
          <w:szCs w:val="36"/>
          <w:rtl/>
        </w:rPr>
        <w:t>اجاب</w:t>
      </w:r>
      <w:r w:rsidR="00E8128F">
        <w:rPr>
          <w:sz w:val="36"/>
          <w:szCs w:val="36"/>
          <w:rtl/>
        </w:rPr>
        <w:t xml:space="preserve"> </w:t>
      </w:r>
      <w:r w:rsidR="003230A7" w:rsidRPr="00FD211F">
        <w:rPr>
          <w:sz w:val="36"/>
          <w:szCs w:val="36"/>
          <w:rtl/>
        </w:rPr>
        <w:t>عنه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003230A7" w:rsidRPr="00FD211F">
        <w:rPr>
          <w:sz w:val="36"/>
          <w:szCs w:val="36"/>
          <w:rtl/>
        </w:rPr>
        <w:t>بانه</w:t>
      </w:r>
      <w:r w:rsidR="00E8128F">
        <w:rPr>
          <w:sz w:val="36"/>
          <w:szCs w:val="36"/>
          <w:rtl/>
        </w:rPr>
        <w:t xml:space="preserve"> </w:t>
      </w:r>
      <w:r w:rsidR="003230A7" w:rsidRPr="00FD211F">
        <w:rPr>
          <w:sz w:val="36"/>
          <w:szCs w:val="36"/>
          <w:rtl/>
        </w:rPr>
        <w:t>انما</w:t>
      </w:r>
      <w:r w:rsidR="00E8128F">
        <w:rPr>
          <w:sz w:val="36"/>
          <w:szCs w:val="36"/>
          <w:rtl/>
        </w:rPr>
        <w:t xml:space="preserve"> </w:t>
      </w:r>
      <w:r w:rsidR="003230A7" w:rsidRPr="00FD211F">
        <w:rPr>
          <w:sz w:val="36"/>
          <w:szCs w:val="36"/>
          <w:rtl/>
        </w:rPr>
        <w:t>يتم</w:t>
      </w:r>
      <w:r w:rsidR="00E8128F">
        <w:rPr>
          <w:sz w:val="36"/>
          <w:szCs w:val="36"/>
          <w:rtl/>
        </w:rPr>
        <w:t xml:space="preserve"> </w:t>
      </w:r>
      <w:r w:rsidR="003230A7" w:rsidRPr="00FD211F">
        <w:rPr>
          <w:sz w:val="36"/>
          <w:szCs w:val="36"/>
          <w:rtl/>
        </w:rPr>
        <w:t>في</w:t>
      </w:r>
      <w:r w:rsidR="00E8128F">
        <w:rPr>
          <w:sz w:val="36"/>
          <w:szCs w:val="36"/>
          <w:rtl/>
        </w:rPr>
        <w:t xml:space="preserve"> </w:t>
      </w:r>
      <w:r w:rsidR="003230A7" w:rsidRPr="00FD211F">
        <w:rPr>
          <w:sz w:val="36"/>
          <w:szCs w:val="36"/>
          <w:rtl/>
        </w:rPr>
        <w:t>الجزء</w:t>
      </w:r>
      <w:r w:rsidR="00E8128F">
        <w:rPr>
          <w:sz w:val="36"/>
          <w:szCs w:val="36"/>
          <w:rtl/>
        </w:rPr>
        <w:t xml:space="preserve"> </w:t>
      </w:r>
      <w:r w:rsidR="003230A7" w:rsidRPr="00FD211F">
        <w:rPr>
          <w:sz w:val="36"/>
          <w:szCs w:val="36"/>
          <w:rtl/>
        </w:rPr>
        <w:t>والكل</w:t>
      </w:r>
      <w:r w:rsidR="00E8128F">
        <w:rPr>
          <w:sz w:val="36"/>
          <w:szCs w:val="36"/>
          <w:rtl/>
        </w:rPr>
        <w:t xml:space="preserve"> </w:t>
      </w:r>
      <w:r w:rsidR="003230A7" w:rsidRPr="00FD211F">
        <w:rPr>
          <w:sz w:val="36"/>
          <w:szCs w:val="36"/>
          <w:rtl/>
        </w:rPr>
        <w:t>العَرْضيين</w:t>
      </w:r>
      <w:r w:rsidR="00E8128F">
        <w:rPr>
          <w:sz w:val="36"/>
          <w:szCs w:val="36"/>
          <w:rtl/>
        </w:rPr>
        <w:t xml:space="preserve"> </w:t>
      </w:r>
      <w:r w:rsidR="003230A7" w:rsidRPr="00FD211F">
        <w:rPr>
          <w:sz w:val="36"/>
          <w:szCs w:val="36"/>
          <w:rtl/>
        </w:rPr>
        <w:t>_كمافي</w:t>
      </w:r>
      <w:r w:rsidR="00E8128F">
        <w:rPr>
          <w:sz w:val="36"/>
          <w:szCs w:val="36"/>
          <w:rtl/>
        </w:rPr>
        <w:t xml:space="preserve"> </w:t>
      </w:r>
      <w:r w:rsidR="003230A7" w:rsidRPr="00FD211F">
        <w:rPr>
          <w:sz w:val="36"/>
          <w:szCs w:val="36"/>
          <w:rtl/>
        </w:rPr>
        <w:t>مثال</w:t>
      </w:r>
      <w:r w:rsidR="00E8128F">
        <w:rPr>
          <w:sz w:val="36"/>
          <w:szCs w:val="36"/>
          <w:rtl/>
        </w:rPr>
        <w:t xml:space="preserve"> </w:t>
      </w:r>
      <w:r w:rsidR="003230A7" w:rsidRPr="00FD211F">
        <w:rPr>
          <w:sz w:val="36"/>
          <w:szCs w:val="36"/>
          <w:rtl/>
        </w:rPr>
        <w:t>الفراش</w:t>
      </w:r>
      <w:r w:rsidR="00E8128F">
        <w:rPr>
          <w:sz w:val="36"/>
          <w:szCs w:val="36"/>
          <w:rtl/>
        </w:rPr>
        <w:t xml:space="preserve"> </w:t>
      </w:r>
      <w:r w:rsidR="003230A7" w:rsidRPr="00FD211F">
        <w:rPr>
          <w:sz w:val="36"/>
          <w:szCs w:val="36"/>
          <w:rtl/>
        </w:rPr>
        <w:t>-لاالتدريجيين</w:t>
      </w:r>
      <w:r w:rsidR="00603323" w:rsidRPr="00FD211F">
        <w:rPr>
          <w:sz w:val="36"/>
          <w:szCs w:val="36"/>
          <w:rtl/>
        </w:rPr>
        <w:t>،</w:t>
      </w:r>
      <w:r w:rsidR="00E8128F">
        <w:rPr>
          <w:sz w:val="36"/>
          <w:szCs w:val="36"/>
          <w:rtl/>
        </w:rPr>
        <w:t xml:space="preserve"> </w:t>
      </w:r>
      <w:r w:rsidR="003230A7" w:rsidRPr="00FD211F">
        <w:rPr>
          <w:sz w:val="36"/>
          <w:szCs w:val="36"/>
          <w:rtl/>
        </w:rPr>
        <w:t>والنهار</w:t>
      </w:r>
      <w:r w:rsidR="00E8128F">
        <w:rPr>
          <w:sz w:val="36"/>
          <w:szCs w:val="36"/>
          <w:rtl/>
        </w:rPr>
        <w:t xml:space="preserve"> </w:t>
      </w:r>
      <w:r w:rsidR="003230A7" w:rsidRPr="00FD211F">
        <w:rPr>
          <w:sz w:val="36"/>
          <w:szCs w:val="36"/>
          <w:rtl/>
        </w:rPr>
        <w:t>حيث</w:t>
      </w:r>
      <w:r w:rsidR="00E8128F">
        <w:rPr>
          <w:sz w:val="36"/>
          <w:szCs w:val="36"/>
          <w:rtl/>
        </w:rPr>
        <w:t xml:space="preserve"> </w:t>
      </w:r>
      <w:r w:rsidR="003230A7" w:rsidRPr="00FD211F">
        <w:rPr>
          <w:sz w:val="36"/>
          <w:szCs w:val="36"/>
          <w:rtl/>
        </w:rPr>
        <w:t>يلحظ</w:t>
      </w:r>
      <w:r w:rsidR="00E8128F">
        <w:rPr>
          <w:sz w:val="36"/>
          <w:szCs w:val="36"/>
          <w:rtl/>
        </w:rPr>
        <w:t xml:space="preserve"> </w:t>
      </w:r>
      <w:r w:rsidR="003230A7" w:rsidRPr="00FD211F">
        <w:rPr>
          <w:sz w:val="36"/>
          <w:szCs w:val="36"/>
          <w:rtl/>
        </w:rPr>
        <w:t>على</w:t>
      </w:r>
      <w:r w:rsidR="00E8128F">
        <w:rPr>
          <w:sz w:val="36"/>
          <w:szCs w:val="36"/>
          <w:rtl/>
        </w:rPr>
        <w:t xml:space="preserve"> </w:t>
      </w:r>
      <w:r w:rsidR="003230A7" w:rsidRPr="00FD211F">
        <w:rPr>
          <w:sz w:val="36"/>
          <w:szCs w:val="36"/>
          <w:rtl/>
        </w:rPr>
        <w:t>نحو</w:t>
      </w:r>
      <w:r w:rsidR="00E8128F">
        <w:rPr>
          <w:sz w:val="36"/>
          <w:szCs w:val="36"/>
          <w:rtl/>
        </w:rPr>
        <w:t xml:space="preserve"> </w:t>
      </w:r>
      <w:r w:rsidR="003230A7" w:rsidRPr="00FD211F">
        <w:rPr>
          <w:sz w:val="36"/>
          <w:szCs w:val="36"/>
          <w:rtl/>
        </w:rPr>
        <w:t>الحرك</w:t>
      </w:r>
      <w:r w:rsidR="00EC7EDF" w:rsidRPr="00FD211F">
        <w:rPr>
          <w:sz w:val="36"/>
          <w:szCs w:val="36"/>
          <w:rtl/>
        </w:rPr>
        <w:t>ة</w:t>
      </w:r>
      <w:r w:rsidR="00E8128F">
        <w:rPr>
          <w:sz w:val="36"/>
          <w:szCs w:val="36"/>
          <w:rtl/>
        </w:rPr>
        <w:t xml:space="preserve"> </w:t>
      </w:r>
      <w:r w:rsidR="003230A7" w:rsidRPr="00FD211F">
        <w:rPr>
          <w:sz w:val="36"/>
          <w:szCs w:val="36"/>
          <w:rtl/>
        </w:rPr>
        <w:t>التوسطي</w:t>
      </w:r>
      <w:r w:rsidR="00EC7EDF" w:rsidRPr="00FD211F">
        <w:rPr>
          <w:sz w:val="36"/>
          <w:szCs w:val="36"/>
          <w:rtl/>
        </w:rPr>
        <w:t>ة</w:t>
      </w:r>
      <w:r w:rsidR="00E8128F">
        <w:rPr>
          <w:sz w:val="36"/>
          <w:szCs w:val="36"/>
          <w:rtl/>
        </w:rPr>
        <w:t xml:space="preserve"> </w:t>
      </w:r>
      <w:r w:rsidR="003230A7" w:rsidRPr="00FD211F">
        <w:rPr>
          <w:sz w:val="36"/>
          <w:szCs w:val="36"/>
          <w:rtl/>
        </w:rPr>
        <w:t>لاالقطعي</w:t>
      </w:r>
      <w:r w:rsidR="00EC7EDF" w:rsidRPr="00FD211F">
        <w:rPr>
          <w:sz w:val="36"/>
          <w:szCs w:val="36"/>
          <w:rtl/>
        </w:rPr>
        <w:t>ة</w:t>
      </w:r>
      <w:r w:rsidR="00E8128F">
        <w:rPr>
          <w:sz w:val="36"/>
          <w:szCs w:val="36"/>
          <w:rtl/>
        </w:rPr>
        <w:t xml:space="preserve"> </w:t>
      </w:r>
      <w:r w:rsidR="003230A7" w:rsidRPr="00FD211F">
        <w:rPr>
          <w:sz w:val="36"/>
          <w:szCs w:val="36"/>
          <w:rtl/>
        </w:rPr>
        <w:t>فيكون</w:t>
      </w:r>
      <w:r w:rsidR="00E8128F">
        <w:rPr>
          <w:sz w:val="36"/>
          <w:szCs w:val="36"/>
          <w:rtl/>
        </w:rPr>
        <w:t xml:space="preserve"> </w:t>
      </w:r>
      <w:r w:rsidR="003230A7" w:rsidRPr="00FD211F">
        <w:rPr>
          <w:sz w:val="36"/>
          <w:szCs w:val="36"/>
          <w:rtl/>
        </w:rPr>
        <w:t>كلا</w:t>
      </w:r>
      <w:r w:rsidR="00E8128F">
        <w:rPr>
          <w:sz w:val="36"/>
          <w:szCs w:val="36"/>
          <w:rtl/>
        </w:rPr>
        <w:t xml:space="preserve"> </w:t>
      </w:r>
      <w:r w:rsidR="003230A7" w:rsidRPr="00FD211F">
        <w:rPr>
          <w:sz w:val="36"/>
          <w:szCs w:val="36"/>
          <w:rtl/>
        </w:rPr>
        <w:t>تدريجيا</w:t>
      </w:r>
      <w:r w:rsidR="00E8128F">
        <w:rPr>
          <w:sz w:val="36"/>
          <w:szCs w:val="36"/>
          <w:rtl/>
        </w:rPr>
        <w:t xml:space="preserve"> </w:t>
      </w:r>
      <w:r w:rsidR="003230A7" w:rsidRPr="00FD211F">
        <w:rPr>
          <w:sz w:val="36"/>
          <w:szCs w:val="36"/>
          <w:rtl/>
        </w:rPr>
        <w:t>يوجد</w:t>
      </w:r>
      <w:r w:rsidR="00E8128F">
        <w:rPr>
          <w:sz w:val="36"/>
          <w:szCs w:val="36"/>
          <w:rtl/>
        </w:rPr>
        <w:t xml:space="preserve"> </w:t>
      </w:r>
      <w:r w:rsidR="003230A7" w:rsidRPr="00FD211F">
        <w:rPr>
          <w:sz w:val="36"/>
          <w:szCs w:val="36"/>
          <w:rtl/>
        </w:rPr>
        <w:t>باول</w:t>
      </w:r>
      <w:r w:rsidR="00E8128F">
        <w:rPr>
          <w:sz w:val="36"/>
          <w:szCs w:val="36"/>
          <w:rtl/>
        </w:rPr>
        <w:t xml:space="preserve"> </w:t>
      </w:r>
      <w:r w:rsidR="003230A7" w:rsidRPr="00FD211F">
        <w:rPr>
          <w:sz w:val="36"/>
          <w:szCs w:val="36"/>
          <w:rtl/>
        </w:rPr>
        <w:t>آن</w:t>
      </w:r>
      <w:r w:rsidR="00E8128F">
        <w:rPr>
          <w:sz w:val="36"/>
          <w:szCs w:val="36"/>
          <w:rtl/>
        </w:rPr>
        <w:t xml:space="preserve"> </w:t>
      </w:r>
      <w:r w:rsidR="003230A7" w:rsidRPr="00FD211F">
        <w:rPr>
          <w:sz w:val="36"/>
          <w:szCs w:val="36"/>
          <w:rtl/>
        </w:rPr>
        <w:t>ويبقى</w:t>
      </w:r>
      <w:r w:rsidR="00E8128F">
        <w:rPr>
          <w:sz w:val="36"/>
          <w:szCs w:val="36"/>
          <w:rtl/>
        </w:rPr>
        <w:t xml:space="preserve"> </w:t>
      </w:r>
      <w:r w:rsidR="003230A7" w:rsidRPr="00FD211F">
        <w:rPr>
          <w:sz w:val="36"/>
          <w:szCs w:val="36"/>
          <w:rtl/>
        </w:rPr>
        <w:t>بتمامه</w:t>
      </w:r>
      <w:r w:rsidR="00E8128F">
        <w:rPr>
          <w:sz w:val="36"/>
          <w:szCs w:val="36"/>
          <w:rtl/>
        </w:rPr>
        <w:t xml:space="preserve"> </w:t>
      </w:r>
      <w:r w:rsidR="003230A7" w:rsidRPr="00FD211F">
        <w:rPr>
          <w:sz w:val="36"/>
          <w:szCs w:val="36"/>
          <w:rtl/>
        </w:rPr>
        <w:t>الى</w:t>
      </w:r>
      <w:r w:rsidR="00E8128F">
        <w:rPr>
          <w:sz w:val="36"/>
          <w:szCs w:val="36"/>
          <w:rtl/>
        </w:rPr>
        <w:t xml:space="preserve"> </w:t>
      </w:r>
      <w:r w:rsidR="003230A7" w:rsidRPr="00FD211F">
        <w:rPr>
          <w:sz w:val="36"/>
          <w:szCs w:val="36"/>
          <w:rtl/>
        </w:rPr>
        <w:t>آخر</w:t>
      </w:r>
      <w:r w:rsidR="00E8128F">
        <w:rPr>
          <w:sz w:val="36"/>
          <w:szCs w:val="36"/>
          <w:rtl/>
        </w:rPr>
        <w:t xml:space="preserve"> </w:t>
      </w:r>
      <w:r w:rsidR="003230A7" w:rsidRPr="00FD211F">
        <w:rPr>
          <w:sz w:val="36"/>
          <w:szCs w:val="36"/>
          <w:rtl/>
        </w:rPr>
        <w:t>آناته</w:t>
      </w:r>
      <w:r w:rsidR="00603323" w:rsidRPr="00FD211F">
        <w:rPr>
          <w:sz w:val="36"/>
          <w:szCs w:val="36"/>
          <w:rtl/>
        </w:rPr>
        <w:t>،</w:t>
      </w:r>
      <w:r w:rsidR="00E8128F">
        <w:rPr>
          <w:sz w:val="36"/>
          <w:szCs w:val="36"/>
          <w:rtl/>
        </w:rPr>
        <w:t xml:space="preserve"> </w:t>
      </w:r>
      <w:r w:rsidR="003230A7" w:rsidRPr="00FD211F">
        <w:rPr>
          <w:sz w:val="36"/>
          <w:szCs w:val="36"/>
          <w:rtl/>
        </w:rPr>
        <w:t>ويكون</w:t>
      </w:r>
      <w:r w:rsidR="00E8128F">
        <w:rPr>
          <w:sz w:val="36"/>
          <w:szCs w:val="36"/>
          <w:rtl/>
        </w:rPr>
        <w:t xml:space="preserve"> </w:t>
      </w:r>
      <w:r w:rsidR="003230A7" w:rsidRPr="00FD211F">
        <w:rPr>
          <w:sz w:val="36"/>
          <w:szCs w:val="36"/>
          <w:rtl/>
        </w:rPr>
        <w:t>المتلبس</w:t>
      </w:r>
      <w:r w:rsidR="00E8128F">
        <w:rPr>
          <w:sz w:val="36"/>
          <w:szCs w:val="36"/>
          <w:rtl/>
        </w:rPr>
        <w:t xml:space="preserve"> </w:t>
      </w:r>
      <w:r w:rsidR="003230A7" w:rsidRPr="00FD211F">
        <w:rPr>
          <w:sz w:val="36"/>
          <w:szCs w:val="36"/>
          <w:rtl/>
        </w:rPr>
        <w:t>حقيق</w:t>
      </w:r>
      <w:r w:rsidR="00EC7EDF" w:rsidRPr="00FD211F">
        <w:rPr>
          <w:sz w:val="36"/>
          <w:szCs w:val="36"/>
          <w:rtl/>
        </w:rPr>
        <w:t>ة</w:t>
      </w:r>
      <w:r w:rsidR="00E8128F">
        <w:rPr>
          <w:sz w:val="36"/>
          <w:szCs w:val="36"/>
          <w:rtl/>
        </w:rPr>
        <w:t xml:space="preserve"> </w:t>
      </w:r>
      <w:r w:rsidR="003230A7" w:rsidRPr="00FD211F">
        <w:rPr>
          <w:sz w:val="36"/>
          <w:szCs w:val="36"/>
          <w:rtl/>
        </w:rPr>
        <w:t>نفس</w:t>
      </w:r>
      <w:r w:rsidR="00E8128F">
        <w:rPr>
          <w:sz w:val="36"/>
          <w:szCs w:val="36"/>
          <w:rtl/>
        </w:rPr>
        <w:t xml:space="preserve"> </w:t>
      </w:r>
      <w:r w:rsidR="003230A7" w:rsidRPr="00FD211F">
        <w:rPr>
          <w:sz w:val="36"/>
          <w:szCs w:val="36"/>
          <w:rtl/>
        </w:rPr>
        <w:t>الكل</w:t>
      </w:r>
      <w:r w:rsidR="00E8128F">
        <w:rPr>
          <w:sz w:val="36"/>
          <w:szCs w:val="36"/>
          <w:rtl/>
        </w:rPr>
        <w:t xml:space="preserve"> </w:t>
      </w:r>
      <w:r w:rsidR="003230A7" w:rsidRPr="00FD211F">
        <w:rPr>
          <w:sz w:val="36"/>
          <w:szCs w:val="36"/>
          <w:rtl/>
        </w:rPr>
        <w:t>في</w:t>
      </w:r>
      <w:r w:rsidR="00E8128F">
        <w:rPr>
          <w:sz w:val="36"/>
          <w:szCs w:val="36"/>
          <w:rtl/>
        </w:rPr>
        <w:t xml:space="preserve"> </w:t>
      </w:r>
      <w:r w:rsidR="003230A7" w:rsidRPr="00FD211F">
        <w:rPr>
          <w:sz w:val="36"/>
          <w:szCs w:val="36"/>
          <w:rtl/>
        </w:rPr>
        <w:t>الزمان</w:t>
      </w:r>
      <w:r w:rsidR="00E8128F">
        <w:rPr>
          <w:sz w:val="36"/>
          <w:szCs w:val="36"/>
          <w:rtl/>
        </w:rPr>
        <w:t xml:space="preserve"> </w:t>
      </w:r>
      <w:r w:rsidR="003230A7" w:rsidRPr="00FD211F">
        <w:rPr>
          <w:sz w:val="36"/>
          <w:szCs w:val="36"/>
          <w:rtl/>
        </w:rPr>
        <w:t>السابق</w:t>
      </w:r>
      <w:r w:rsidR="009C58C8" w:rsidRPr="00FD211F">
        <w:rPr>
          <w:rStyle w:val="a6"/>
          <w:sz w:val="36"/>
          <w:szCs w:val="36"/>
          <w:rtl/>
        </w:rPr>
        <w:t>(</w:t>
      </w:r>
      <w:r w:rsidR="009C58C8" w:rsidRPr="00FD211F">
        <w:rPr>
          <w:rStyle w:val="a6"/>
          <w:sz w:val="36"/>
          <w:szCs w:val="36"/>
          <w:rtl/>
        </w:rPr>
        <w:footnoteReference w:id="533"/>
      </w:r>
      <w:r w:rsidR="009C58C8" w:rsidRPr="00FD211F">
        <w:rPr>
          <w:rStyle w:val="a6"/>
          <w:sz w:val="36"/>
          <w:szCs w:val="36"/>
          <w:rtl/>
        </w:rPr>
        <w:t>)</w:t>
      </w:r>
      <w:r w:rsidR="003E5240" w:rsidRPr="00FD211F">
        <w:rPr>
          <w:sz w:val="36"/>
          <w:szCs w:val="36"/>
          <w:rtl/>
        </w:rPr>
        <w:t>.</w:t>
      </w:r>
    </w:p>
    <w:p w14:paraId="3470D0D3" w14:textId="77777777" w:rsidR="004704ED" w:rsidRPr="00FD211F" w:rsidRDefault="00915DC8" w:rsidP="009C58C8">
      <w:pPr>
        <w:ind w:left="0" w:firstLine="227"/>
        <w:jc w:val="both"/>
        <w:rPr>
          <w:sz w:val="36"/>
          <w:szCs w:val="36"/>
          <w:rtl/>
        </w:rPr>
      </w:pPr>
      <w:r w:rsidRPr="00FD211F">
        <w:rPr>
          <w:sz w:val="36"/>
          <w:szCs w:val="36"/>
          <w:rtl/>
        </w:rPr>
        <w:t>و</w:t>
      </w:r>
      <w:r w:rsidR="003E5240" w:rsidRPr="00FD211F">
        <w:rPr>
          <w:sz w:val="36"/>
          <w:szCs w:val="36"/>
          <w:rtl/>
        </w:rPr>
        <w:t>ما</w:t>
      </w:r>
      <w:r w:rsidR="00E8128F">
        <w:rPr>
          <w:sz w:val="36"/>
          <w:szCs w:val="36"/>
          <w:rtl/>
        </w:rPr>
        <w:t xml:space="preserve"> </w:t>
      </w:r>
      <w:r w:rsidR="003E5240" w:rsidRPr="00FD211F">
        <w:rPr>
          <w:sz w:val="36"/>
          <w:szCs w:val="36"/>
          <w:rtl/>
        </w:rPr>
        <w:t>ذكره</w:t>
      </w:r>
      <w:r w:rsidR="00E8128F">
        <w:rPr>
          <w:sz w:val="36"/>
          <w:szCs w:val="36"/>
          <w:rtl/>
        </w:rPr>
        <w:t xml:space="preserve"> </w:t>
      </w:r>
      <w:r w:rsidR="003E5240" w:rsidRPr="00FD211F">
        <w:rPr>
          <w:sz w:val="36"/>
          <w:szCs w:val="36"/>
          <w:rtl/>
        </w:rPr>
        <w:t>وان</w:t>
      </w:r>
      <w:r w:rsidR="00E8128F">
        <w:rPr>
          <w:sz w:val="36"/>
          <w:szCs w:val="36"/>
          <w:rtl/>
        </w:rPr>
        <w:t xml:space="preserve"> </w:t>
      </w:r>
      <w:r w:rsidR="003E5240" w:rsidRPr="00FD211F">
        <w:rPr>
          <w:sz w:val="36"/>
          <w:szCs w:val="36"/>
          <w:rtl/>
        </w:rPr>
        <w:t>كان</w:t>
      </w:r>
      <w:r w:rsidR="00E8128F">
        <w:rPr>
          <w:sz w:val="36"/>
          <w:szCs w:val="36"/>
          <w:rtl/>
        </w:rPr>
        <w:t xml:space="preserve"> </w:t>
      </w:r>
      <w:r w:rsidR="003E5240" w:rsidRPr="00FD211F">
        <w:rPr>
          <w:sz w:val="36"/>
          <w:szCs w:val="36"/>
          <w:rtl/>
        </w:rPr>
        <w:t>صحيحا</w:t>
      </w:r>
      <w:r w:rsidR="00E8128F">
        <w:rPr>
          <w:sz w:val="36"/>
          <w:szCs w:val="36"/>
          <w:rtl/>
        </w:rPr>
        <w:t xml:space="preserve"> </w:t>
      </w:r>
      <w:r w:rsidR="003E5240" w:rsidRPr="00FD211F">
        <w:rPr>
          <w:sz w:val="36"/>
          <w:szCs w:val="36"/>
          <w:rtl/>
        </w:rPr>
        <w:t>ولكن</w:t>
      </w:r>
      <w:r w:rsidR="00E8128F">
        <w:rPr>
          <w:sz w:val="36"/>
          <w:szCs w:val="36"/>
          <w:rtl/>
        </w:rPr>
        <w:t xml:space="preserve"> </w:t>
      </w:r>
      <w:r w:rsidR="003E5240" w:rsidRPr="00FD211F">
        <w:rPr>
          <w:sz w:val="36"/>
          <w:szCs w:val="36"/>
          <w:rtl/>
        </w:rPr>
        <w:t>ما</w:t>
      </w:r>
      <w:r w:rsidR="00E8128F">
        <w:rPr>
          <w:sz w:val="36"/>
          <w:szCs w:val="36"/>
          <w:rtl/>
        </w:rPr>
        <w:t xml:space="preserve"> </w:t>
      </w:r>
      <w:r w:rsidR="003E5240" w:rsidRPr="00FD211F">
        <w:rPr>
          <w:sz w:val="36"/>
          <w:szCs w:val="36"/>
          <w:rtl/>
        </w:rPr>
        <w:t>نسبه</w:t>
      </w:r>
      <w:r w:rsidR="00E8128F">
        <w:rPr>
          <w:sz w:val="36"/>
          <w:szCs w:val="36"/>
          <w:rtl/>
        </w:rPr>
        <w:t xml:space="preserve"> </w:t>
      </w:r>
      <w:r w:rsidR="003E5240" w:rsidRPr="00FD211F">
        <w:rPr>
          <w:sz w:val="36"/>
          <w:szCs w:val="36"/>
          <w:rtl/>
        </w:rPr>
        <w:t>الى</w:t>
      </w:r>
      <w:r w:rsidR="00E8128F">
        <w:rPr>
          <w:sz w:val="36"/>
          <w:szCs w:val="36"/>
          <w:rtl/>
        </w:rPr>
        <w:t xml:space="preserve"> </w:t>
      </w:r>
      <w:r w:rsidR="003E5240" w:rsidRPr="00FD211F">
        <w:rPr>
          <w:sz w:val="36"/>
          <w:szCs w:val="36"/>
          <w:rtl/>
        </w:rPr>
        <w:t>المحقق</w:t>
      </w:r>
      <w:r w:rsidR="00E8128F">
        <w:rPr>
          <w:sz w:val="36"/>
          <w:szCs w:val="36"/>
          <w:rtl/>
        </w:rPr>
        <w:t xml:space="preserve"> </w:t>
      </w:r>
      <w:r w:rsidR="003E5240" w:rsidRPr="00FD211F">
        <w:rPr>
          <w:sz w:val="36"/>
          <w:szCs w:val="36"/>
          <w:rtl/>
        </w:rPr>
        <w:t>الاصفهاني</w:t>
      </w:r>
      <w:r w:rsidR="00CE59AF" w:rsidRPr="00FD211F">
        <w:rPr>
          <w:sz w:val="36"/>
          <w:szCs w:val="36"/>
          <w:rtl/>
        </w:rPr>
        <w:t>"قده"</w:t>
      </w:r>
      <w:r w:rsidR="00E8128F">
        <w:rPr>
          <w:sz w:val="36"/>
          <w:szCs w:val="36"/>
          <w:rtl/>
        </w:rPr>
        <w:t xml:space="preserve"> </w:t>
      </w:r>
      <w:r w:rsidR="003E5240" w:rsidRPr="00FD211F">
        <w:rPr>
          <w:sz w:val="36"/>
          <w:szCs w:val="36"/>
          <w:rtl/>
        </w:rPr>
        <w:t>لايطابق</w:t>
      </w:r>
      <w:r w:rsidR="00E8128F">
        <w:rPr>
          <w:sz w:val="36"/>
          <w:szCs w:val="36"/>
          <w:rtl/>
        </w:rPr>
        <w:t xml:space="preserve"> </w:t>
      </w:r>
      <w:r w:rsidR="003E5240" w:rsidRPr="00FD211F">
        <w:rPr>
          <w:sz w:val="36"/>
          <w:szCs w:val="36"/>
          <w:rtl/>
        </w:rPr>
        <w:t>عباراته</w:t>
      </w:r>
      <w:r w:rsidR="00603323" w:rsidRPr="00FD211F">
        <w:rPr>
          <w:sz w:val="36"/>
          <w:szCs w:val="36"/>
          <w:rtl/>
        </w:rPr>
        <w:t>،</w:t>
      </w:r>
      <w:r w:rsidR="00E8128F">
        <w:rPr>
          <w:sz w:val="36"/>
          <w:szCs w:val="36"/>
          <w:rtl/>
        </w:rPr>
        <w:t xml:space="preserve"> </w:t>
      </w:r>
      <w:r w:rsidR="003E5240" w:rsidRPr="00FD211F">
        <w:rPr>
          <w:sz w:val="36"/>
          <w:szCs w:val="36"/>
          <w:rtl/>
        </w:rPr>
        <w:t>فانه</w:t>
      </w:r>
      <w:r w:rsidR="00E8128F">
        <w:rPr>
          <w:sz w:val="36"/>
          <w:szCs w:val="36"/>
          <w:rtl/>
        </w:rPr>
        <w:t xml:space="preserve"> </w:t>
      </w:r>
      <w:r w:rsidR="003E5240" w:rsidRPr="00FD211F">
        <w:rPr>
          <w:sz w:val="36"/>
          <w:szCs w:val="36"/>
          <w:rtl/>
        </w:rPr>
        <w:t>وان</w:t>
      </w:r>
      <w:r w:rsidR="00E8128F">
        <w:rPr>
          <w:sz w:val="36"/>
          <w:szCs w:val="36"/>
          <w:rtl/>
        </w:rPr>
        <w:t xml:space="preserve"> </w:t>
      </w:r>
      <w:r w:rsidR="003E5240" w:rsidRPr="00FD211F">
        <w:rPr>
          <w:sz w:val="36"/>
          <w:szCs w:val="36"/>
          <w:rtl/>
        </w:rPr>
        <w:t>ذكر</w:t>
      </w:r>
      <w:r w:rsidR="00E8128F">
        <w:rPr>
          <w:sz w:val="36"/>
          <w:szCs w:val="36"/>
          <w:rtl/>
        </w:rPr>
        <w:t xml:space="preserve"> </w:t>
      </w:r>
      <w:r w:rsidR="00CE59AF" w:rsidRPr="00FD211F">
        <w:rPr>
          <w:sz w:val="36"/>
          <w:szCs w:val="36"/>
          <w:rtl/>
        </w:rPr>
        <w:t>في</w:t>
      </w:r>
      <w:r w:rsidR="00E8128F">
        <w:rPr>
          <w:sz w:val="36"/>
          <w:szCs w:val="36"/>
          <w:rtl/>
        </w:rPr>
        <w:t xml:space="preserve"> </w:t>
      </w:r>
      <w:r w:rsidR="00CE59AF" w:rsidRPr="00FD211F">
        <w:rPr>
          <w:sz w:val="36"/>
          <w:szCs w:val="36"/>
          <w:rtl/>
        </w:rPr>
        <w:t>حاشيته</w:t>
      </w:r>
      <w:r w:rsidR="00E8128F">
        <w:rPr>
          <w:sz w:val="36"/>
          <w:szCs w:val="36"/>
          <w:rtl/>
        </w:rPr>
        <w:t xml:space="preserve"> </w:t>
      </w:r>
      <w:r w:rsidR="00CE59AF" w:rsidRPr="00FD211F">
        <w:rPr>
          <w:sz w:val="36"/>
          <w:szCs w:val="36"/>
          <w:rtl/>
        </w:rPr>
        <w:t>على</w:t>
      </w:r>
      <w:r w:rsidR="00E8128F">
        <w:rPr>
          <w:sz w:val="36"/>
          <w:szCs w:val="36"/>
          <w:rtl/>
        </w:rPr>
        <w:t xml:space="preserve"> </w:t>
      </w:r>
      <w:r w:rsidR="00CE59AF" w:rsidRPr="00FD211F">
        <w:rPr>
          <w:sz w:val="36"/>
          <w:szCs w:val="36"/>
          <w:rtl/>
        </w:rPr>
        <w:t>الكفاية</w:t>
      </w:r>
      <w:r w:rsidR="00E8128F">
        <w:rPr>
          <w:sz w:val="36"/>
          <w:szCs w:val="36"/>
          <w:rtl/>
        </w:rPr>
        <w:t xml:space="preserve"> </w:t>
      </w:r>
      <w:r w:rsidR="00CE59AF" w:rsidRPr="00FD211F">
        <w:rPr>
          <w:sz w:val="36"/>
          <w:szCs w:val="36"/>
          <w:rtl/>
        </w:rPr>
        <w:t>أ</w:t>
      </w:r>
      <w:r w:rsidR="003E5240" w:rsidRPr="00FD211F">
        <w:rPr>
          <w:sz w:val="36"/>
          <w:szCs w:val="36"/>
          <w:rtl/>
        </w:rPr>
        <w:t>ن</w:t>
      </w:r>
      <w:r w:rsidR="00E8128F">
        <w:rPr>
          <w:sz w:val="36"/>
          <w:szCs w:val="36"/>
          <w:rtl/>
        </w:rPr>
        <w:t xml:space="preserve"> </w:t>
      </w:r>
      <w:r w:rsidR="003E5240" w:rsidRPr="00FD211F">
        <w:rPr>
          <w:sz w:val="36"/>
          <w:szCs w:val="36"/>
          <w:rtl/>
        </w:rPr>
        <w:t>هويات</w:t>
      </w:r>
      <w:r w:rsidR="00E8128F">
        <w:rPr>
          <w:sz w:val="36"/>
          <w:szCs w:val="36"/>
          <w:rtl/>
        </w:rPr>
        <w:t xml:space="preserve"> </w:t>
      </w:r>
      <w:r w:rsidR="003E5240" w:rsidRPr="00FD211F">
        <w:rPr>
          <w:sz w:val="36"/>
          <w:szCs w:val="36"/>
          <w:rtl/>
        </w:rPr>
        <w:t>اجزاء</w:t>
      </w:r>
      <w:r w:rsidR="00E8128F">
        <w:rPr>
          <w:sz w:val="36"/>
          <w:szCs w:val="36"/>
          <w:rtl/>
        </w:rPr>
        <w:t xml:space="preserve"> </w:t>
      </w:r>
      <w:r w:rsidR="003E5240" w:rsidRPr="00FD211F">
        <w:rPr>
          <w:sz w:val="36"/>
          <w:szCs w:val="36"/>
          <w:rtl/>
        </w:rPr>
        <w:t>الزمان</w:t>
      </w:r>
      <w:r w:rsidR="00E8128F">
        <w:rPr>
          <w:sz w:val="36"/>
          <w:szCs w:val="36"/>
          <w:rtl/>
        </w:rPr>
        <w:t xml:space="preserve"> </w:t>
      </w:r>
      <w:r w:rsidR="003E5240" w:rsidRPr="00FD211F">
        <w:rPr>
          <w:sz w:val="36"/>
          <w:szCs w:val="36"/>
          <w:rtl/>
        </w:rPr>
        <w:t>وان</w:t>
      </w:r>
      <w:r w:rsidR="00E8128F">
        <w:rPr>
          <w:sz w:val="36"/>
          <w:szCs w:val="36"/>
          <w:rtl/>
        </w:rPr>
        <w:t xml:space="preserve"> </w:t>
      </w:r>
      <w:r w:rsidR="003E5240" w:rsidRPr="00FD211F">
        <w:rPr>
          <w:sz w:val="36"/>
          <w:szCs w:val="36"/>
          <w:rtl/>
        </w:rPr>
        <w:t>كانت</w:t>
      </w:r>
      <w:r w:rsidR="00E8128F">
        <w:rPr>
          <w:sz w:val="36"/>
          <w:szCs w:val="36"/>
          <w:rtl/>
        </w:rPr>
        <w:t xml:space="preserve"> </w:t>
      </w:r>
      <w:r w:rsidR="003E5240" w:rsidRPr="00FD211F">
        <w:rPr>
          <w:sz w:val="36"/>
          <w:szCs w:val="36"/>
          <w:rtl/>
        </w:rPr>
        <w:t>واحد</w:t>
      </w:r>
      <w:r w:rsidR="00EC7EDF" w:rsidRPr="00FD211F">
        <w:rPr>
          <w:sz w:val="36"/>
          <w:szCs w:val="36"/>
          <w:rtl/>
        </w:rPr>
        <w:t>ة</w:t>
      </w:r>
      <w:r w:rsidR="00E8128F">
        <w:rPr>
          <w:sz w:val="36"/>
          <w:szCs w:val="36"/>
          <w:rtl/>
        </w:rPr>
        <w:t xml:space="preserve"> </w:t>
      </w:r>
      <w:r w:rsidR="003E5240" w:rsidRPr="00FD211F">
        <w:rPr>
          <w:sz w:val="36"/>
          <w:szCs w:val="36"/>
          <w:rtl/>
        </w:rPr>
        <w:t>بوحد</w:t>
      </w:r>
      <w:r w:rsidR="00EC7EDF" w:rsidRPr="00FD211F">
        <w:rPr>
          <w:sz w:val="36"/>
          <w:szCs w:val="36"/>
          <w:rtl/>
        </w:rPr>
        <w:t>ة</w:t>
      </w:r>
      <w:r w:rsidR="00E8128F">
        <w:rPr>
          <w:sz w:val="36"/>
          <w:szCs w:val="36"/>
          <w:rtl/>
        </w:rPr>
        <w:t xml:space="preserve"> </w:t>
      </w:r>
      <w:r w:rsidR="003E5240" w:rsidRPr="00FD211F">
        <w:rPr>
          <w:sz w:val="36"/>
          <w:szCs w:val="36"/>
          <w:rtl/>
        </w:rPr>
        <w:t>اتصالي</w:t>
      </w:r>
      <w:r w:rsidR="00EC7EDF" w:rsidRPr="00FD211F">
        <w:rPr>
          <w:sz w:val="36"/>
          <w:szCs w:val="36"/>
          <w:rtl/>
        </w:rPr>
        <w:t>ة</w:t>
      </w:r>
      <w:r w:rsidR="00E8128F">
        <w:rPr>
          <w:sz w:val="36"/>
          <w:szCs w:val="36"/>
          <w:rtl/>
        </w:rPr>
        <w:t xml:space="preserve"> </w:t>
      </w:r>
      <w:r w:rsidR="003E5240" w:rsidRPr="00FD211F">
        <w:rPr>
          <w:sz w:val="36"/>
          <w:szCs w:val="36"/>
          <w:rtl/>
        </w:rPr>
        <w:t>عقلا</w:t>
      </w:r>
      <w:r w:rsidR="00603323" w:rsidRPr="00FD211F">
        <w:rPr>
          <w:sz w:val="36"/>
          <w:szCs w:val="36"/>
          <w:rtl/>
        </w:rPr>
        <w:t>،</w:t>
      </w:r>
      <w:r w:rsidR="00E8128F">
        <w:rPr>
          <w:sz w:val="36"/>
          <w:szCs w:val="36"/>
          <w:rtl/>
        </w:rPr>
        <w:t xml:space="preserve"> </w:t>
      </w:r>
      <w:r w:rsidR="00CE59AF" w:rsidRPr="00FD211F">
        <w:rPr>
          <w:sz w:val="36"/>
          <w:szCs w:val="36"/>
          <w:rtl/>
        </w:rPr>
        <w:t>الا</w:t>
      </w:r>
      <w:r w:rsidR="00E8128F">
        <w:rPr>
          <w:sz w:val="36"/>
          <w:szCs w:val="36"/>
          <w:rtl/>
        </w:rPr>
        <w:t xml:space="preserve"> </w:t>
      </w:r>
      <w:r w:rsidR="00CE59AF" w:rsidRPr="00FD211F">
        <w:rPr>
          <w:sz w:val="36"/>
          <w:szCs w:val="36"/>
          <w:rtl/>
        </w:rPr>
        <w:t>أ</w:t>
      </w:r>
      <w:r w:rsidR="003E5240" w:rsidRPr="00FD211F">
        <w:rPr>
          <w:sz w:val="36"/>
          <w:szCs w:val="36"/>
          <w:rtl/>
        </w:rPr>
        <w:t>ن</w:t>
      </w:r>
      <w:r w:rsidR="00E8128F">
        <w:rPr>
          <w:sz w:val="36"/>
          <w:szCs w:val="36"/>
          <w:rtl/>
        </w:rPr>
        <w:t xml:space="preserve"> </w:t>
      </w:r>
      <w:r w:rsidR="003E5240" w:rsidRPr="00FD211F">
        <w:rPr>
          <w:sz w:val="36"/>
          <w:szCs w:val="36"/>
          <w:rtl/>
        </w:rPr>
        <w:t>كل</w:t>
      </w:r>
      <w:r w:rsidR="00E8128F">
        <w:rPr>
          <w:sz w:val="36"/>
          <w:szCs w:val="36"/>
          <w:rtl/>
        </w:rPr>
        <w:t xml:space="preserve"> </w:t>
      </w:r>
      <w:r w:rsidR="003E5240" w:rsidRPr="00FD211F">
        <w:rPr>
          <w:sz w:val="36"/>
          <w:szCs w:val="36"/>
          <w:rtl/>
        </w:rPr>
        <w:t>هوي</w:t>
      </w:r>
      <w:r w:rsidR="00EC7EDF" w:rsidRPr="00FD211F">
        <w:rPr>
          <w:sz w:val="36"/>
          <w:szCs w:val="36"/>
          <w:rtl/>
        </w:rPr>
        <w:t>ة</w:t>
      </w:r>
      <w:r w:rsidR="00E8128F">
        <w:rPr>
          <w:sz w:val="36"/>
          <w:szCs w:val="36"/>
          <w:rtl/>
        </w:rPr>
        <w:t xml:space="preserve"> </w:t>
      </w:r>
      <w:r w:rsidR="009A0301" w:rsidRPr="00FD211F">
        <w:rPr>
          <w:sz w:val="36"/>
          <w:szCs w:val="36"/>
          <w:rtl/>
        </w:rPr>
        <w:t>منها</w:t>
      </w:r>
      <w:r w:rsidR="00E8128F">
        <w:rPr>
          <w:sz w:val="36"/>
          <w:szCs w:val="36"/>
          <w:rtl/>
        </w:rPr>
        <w:t xml:space="preserve"> </w:t>
      </w:r>
      <w:r w:rsidR="009A0301" w:rsidRPr="00FD211F">
        <w:rPr>
          <w:sz w:val="36"/>
          <w:szCs w:val="36"/>
          <w:rtl/>
        </w:rPr>
        <w:t>مغاير</w:t>
      </w:r>
      <w:r w:rsidR="00EC7EDF" w:rsidRPr="00FD211F">
        <w:rPr>
          <w:sz w:val="36"/>
          <w:szCs w:val="36"/>
          <w:rtl/>
        </w:rPr>
        <w:t>ة</w:t>
      </w:r>
      <w:r w:rsidR="00E8128F">
        <w:rPr>
          <w:sz w:val="36"/>
          <w:szCs w:val="36"/>
          <w:rtl/>
        </w:rPr>
        <w:t xml:space="preserve"> </w:t>
      </w:r>
      <w:r w:rsidR="009A0301" w:rsidRPr="00FD211F">
        <w:rPr>
          <w:sz w:val="36"/>
          <w:szCs w:val="36"/>
          <w:rtl/>
        </w:rPr>
        <w:t>بنفس</w:t>
      </w:r>
      <w:r w:rsidR="00E8128F">
        <w:rPr>
          <w:sz w:val="36"/>
          <w:szCs w:val="36"/>
          <w:rtl/>
        </w:rPr>
        <w:t xml:space="preserve"> </w:t>
      </w:r>
      <w:r w:rsidR="009A0301" w:rsidRPr="00FD211F">
        <w:rPr>
          <w:sz w:val="36"/>
          <w:szCs w:val="36"/>
          <w:rtl/>
        </w:rPr>
        <w:t>ذاتها</w:t>
      </w:r>
      <w:r w:rsidR="00E8128F">
        <w:rPr>
          <w:sz w:val="36"/>
          <w:szCs w:val="36"/>
          <w:rtl/>
        </w:rPr>
        <w:t xml:space="preserve"> </w:t>
      </w:r>
      <w:r w:rsidR="009A0301" w:rsidRPr="00FD211F">
        <w:rPr>
          <w:sz w:val="36"/>
          <w:szCs w:val="36"/>
          <w:rtl/>
        </w:rPr>
        <w:t>مع</w:t>
      </w:r>
      <w:r w:rsidR="00E8128F">
        <w:rPr>
          <w:sz w:val="36"/>
          <w:szCs w:val="36"/>
          <w:rtl/>
        </w:rPr>
        <w:t xml:space="preserve"> </w:t>
      </w:r>
      <w:r w:rsidR="00CE59AF" w:rsidRPr="00FD211F">
        <w:rPr>
          <w:sz w:val="36"/>
          <w:szCs w:val="36"/>
          <w:rtl/>
        </w:rPr>
        <w:t>ال</w:t>
      </w:r>
      <w:r w:rsidR="009A0301" w:rsidRPr="00FD211F">
        <w:rPr>
          <w:sz w:val="36"/>
          <w:szCs w:val="36"/>
          <w:rtl/>
        </w:rPr>
        <w:t>هوي</w:t>
      </w:r>
      <w:r w:rsidR="00CE59AF" w:rsidRPr="00FD211F">
        <w:rPr>
          <w:sz w:val="36"/>
          <w:szCs w:val="36"/>
          <w:rtl/>
        </w:rPr>
        <w:t>ات</w:t>
      </w:r>
      <w:r w:rsidR="00E8128F">
        <w:rPr>
          <w:sz w:val="36"/>
          <w:szCs w:val="36"/>
          <w:rtl/>
        </w:rPr>
        <w:t xml:space="preserve"> </w:t>
      </w:r>
      <w:r w:rsidR="00CE59AF" w:rsidRPr="00FD211F">
        <w:rPr>
          <w:sz w:val="36"/>
          <w:szCs w:val="36"/>
          <w:rtl/>
        </w:rPr>
        <w:t>ال</w:t>
      </w:r>
      <w:r w:rsidR="009A0301" w:rsidRPr="00FD211F">
        <w:rPr>
          <w:sz w:val="36"/>
          <w:szCs w:val="36"/>
          <w:rtl/>
        </w:rPr>
        <w:t>أخرى</w:t>
      </w:r>
      <w:r w:rsidR="00603323" w:rsidRPr="00FD211F">
        <w:rPr>
          <w:sz w:val="36"/>
          <w:szCs w:val="36"/>
          <w:rtl/>
        </w:rPr>
        <w:t>،</w:t>
      </w:r>
      <w:r w:rsidR="00E8128F">
        <w:rPr>
          <w:sz w:val="36"/>
          <w:szCs w:val="36"/>
          <w:rtl/>
        </w:rPr>
        <w:t xml:space="preserve"> </w:t>
      </w:r>
      <w:r w:rsidR="009A0301" w:rsidRPr="00FD211F">
        <w:rPr>
          <w:sz w:val="36"/>
          <w:szCs w:val="36"/>
          <w:rtl/>
        </w:rPr>
        <w:t>وما</w:t>
      </w:r>
      <w:r w:rsidR="00E8128F">
        <w:rPr>
          <w:sz w:val="36"/>
          <w:szCs w:val="36"/>
          <w:rtl/>
        </w:rPr>
        <w:t xml:space="preserve"> </w:t>
      </w:r>
      <w:r w:rsidR="009A0301" w:rsidRPr="00FD211F">
        <w:rPr>
          <w:sz w:val="36"/>
          <w:szCs w:val="36"/>
          <w:rtl/>
        </w:rPr>
        <w:t>يصدق</w:t>
      </w:r>
      <w:r w:rsidR="00E8128F">
        <w:rPr>
          <w:sz w:val="36"/>
          <w:szCs w:val="36"/>
          <w:rtl/>
        </w:rPr>
        <w:t xml:space="preserve"> </w:t>
      </w:r>
      <w:r w:rsidR="009A0301" w:rsidRPr="00FD211F">
        <w:rPr>
          <w:sz w:val="36"/>
          <w:szCs w:val="36"/>
          <w:rtl/>
        </w:rPr>
        <w:t>عليه</w:t>
      </w:r>
      <w:r w:rsidR="00E8128F">
        <w:rPr>
          <w:sz w:val="36"/>
          <w:szCs w:val="36"/>
          <w:rtl/>
        </w:rPr>
        <w:t xml:space="preserve"> </w:t>
      </w:r>
      <w:r w:rsidR="009A0301" w:rsidRPr="00FD211F">
        <w:rPr>
          <w:sz w:val="36"/>
          <w:szCs w:val="36"/>
          <w:rtl/>
        </w:rPr>
        <w:t>حقيق</w:t>
      </w:r>
      <w:r w:rsidR="00EC7EDF" w:rsidRPr="00FD211F">
        <w:rPr>
          <w:sz w:val="36"/>
          <w:szCs w:val="36"/>
          <w:rtl/>
        </w:rPr>
        <w:t>ة</w:t>
      </w:r>
      <w:r w:rsidR="00E8128F">
        <w:rPr>
          <w:sz w:val="36"/>
          <w:szCs w:val="36"/>
          <w:rtl/>
        </w:rPr>
        <w:t xml:space="preserve"> </w:t>
      </w:r>
      <w:r w:rsidR="009A0301" w:rsidRPr="00FD211F">
        <w:rPr>
          <w:sz w:val="36"/>
          <w:szCs w:val="36"/>
          <w:rtl/>
        </w:rPr>
        <w:t>أنه</w:t>
      </w:r>
      <w:r w:rsidR="00E8128F">
        <w:rPr>
          <w:sz w:val="36"/>
          <w:szCs w:val="36"/>
          <w:rtl/>
        </w:rPr>
        <w:t xml:space="preserve"> </w:t>
      </w:r>
      <w:r w:rsidR="009A0301" w:rsidRPr="00FD211F">
        <w:rPr>
          <w:sz w:val="36"/>
          <w:szCs w:val="36"/>
          <w:rtl/>
        </w:rPr>
        <w:t>تلبس</w:t>
      </w:r>
      <w:r w:rsidR="00E8128F">
        <w:rPr>
          <w:sz w:val="36"/>
          <w:szCs w:val="36"/>
          <w:rtl/>
        </w:rPr>
        <w:t xml:space="preserve"> </w:t>
      </w:r>
      <w:r w:rsidR="009A0301" w:rsidRPr="00FD211F">
        <w:rPr>
          <w:sz w:val="36"/>
          <w:szCs w:val="36"/>
          <w:rtl/>
        </w:rPr>
        <w:t>بالمبدأتلك</w:t>
      </w:r>
      <w:r w:rsidR="00E8128F">
        <w:rPr>
          <w:sz w:val="36"/>
          <w:szCs w:val="36"/>
          <w:rtl/>
        </w:rPr>
        <w:t xml:space="preserve"> </w:t>
      </w:r>
      <w:r w:rsidR="009A0301" w:rsidRPr="00FD211F">
        <w:rPr>
          <w:sz w:val="36"/>
          <w:szCs w:val="36"/>
          <w:rtl/>
        </w:rPr>
        <w:t>الهوي</w:t>
      </w:r>
      <w:r w:rsidR="00EC7EDF" w:rsidRPr="00FD211F">
        <w:rPr>
          <w:sz w:val="36"/>
          <w:szCs w:val="36"/>
          <w:rtl/>
        </w:rPr>
        <w:t>ة</w:t>
      </w:r>
      <w:r w:rsidR="00E8128F">
        <w:rPr>
          <w:sz w:val="36"/>
          <w:szCs w:val="36"/>
          <w:rtl/>
        </w:rPr>
        <w:t xml:space="preserve"> </w:t>
      </w:r>
      <w:r w:rsidR="009A0301" w:rsidRPr="00FD211F">
        <w:rPr>
          <w:sz w:val="36"/>
          <w:szCs w:val="36"/>
          <w:rtl/>
        </w:rPr>
        <w:t>ال</w:t>
      </w:r>
      <w:r w:rsidR="00CE59AF" w:rsidRPr="00FD211F">
        <w:rPr>
          <w:sz w:val="36"/>
          <w:szCs w:val="36"/>
          <w:rtl/>
        </w:rPr>
        <w:t>تي</w:t>
      </w:r>
      <w:r w:rsidR="00E8128F">
        <w:rPr>
          <w:sz w:val="36"/>
          <w:szCs w:val="36"/>
          <w:rtl/>
        </w:rPr>
        <w:t xml:space="preserve"> </w:t>
      </w:r>
      <w:r w:rsidR="00CE59AF" w:rsidRPr="00FD211F">
        <w:rPr>
          <w:sz w:val="36"/>
          <w:szCs w:val="36"/>
          <w:rtl/>
        </w:rPr>
        <w:t>و</w:t>
      </w:r>
      <w:r w:rsidR="009A0301" w:rsidRPr="00FD211F">
        <w:rPr>
          <w:sz w:val="36"/>
          <w:szCs w:val="36"/>
          <w:rtl/>
        </w:rPr>
        <w:t>قع</w:t>
      </w:r>
      <w:r w:rsidR="00CE59AF" w:rsidRPr="00FD211F">
        <w:rPr>
          <w:sz w:val="36"/>
          <w:szCs w:val="36"/>
          <w:rtl/>
        </w:rPr>
        <w:t>ت</w:t>
      </w:r>
      <w:r w:rsidR="00E8128F">
        <w:rPr>
          <w:sz w:val="36"/>
          <w:szCs w:val="36"/>
          <w:rtl/>
        </w:rPr>
        <w:t xml:space="preserve"> </w:t>
      </w:r>
      <w:r w:rsidR="009A0301" w:rsidRPr="00FD211F">
        <w:rPr>
          <w:sz w:val="36"/>
          <w:szCs w:val="36"/>
          <w:rtl/>
        </w:rPr>
        <w:t>فيه</w:t>
      </w:r>
      <w:r w:rsidR="00CE59AF" w:rsidRPr="00FD211F">
        <w:rPr>
          <w:sz w:val="36"/>
          <w:szCs w:val="36"/>
          <w:rtl/>
        </w:rPr>
        <w:t>االحدث</w:t>
      </w:r>
      <w:r w:rsidR="00603323" w:rsidRPr="00FD211F">
        <w:rPr>
          <w:sz w:val="36"/>
          <w:szCs w:val="36"/>
          <w:rtl/>
        </w:rPr>
        <w:t>،</w:t>
      </w:r>
      <w:r w:rsidR="00E8128F">
        <w:rPr>
          <w:sz w:val="36"/>
          <w:szCs w:val="36"/>
          <w:rtl/>
        </w:rPr>
        <w:t xml:space="preserve"> </w:t>
      </w:r>
      <w:r w:rsidR="009A0301" w:rsidRPr="00FD211F">
        <w:rPr>
          <w:sz w:val="36"/>
          <w:szCs w:val="36"/>
          <w:rtl/>
        </w:rPr>
        <w:t>وهذه</w:t>
      </w:r>
      <w:r w:rsidR="00E8128F">
        <w:rPr>
          <w:sz w:val="36"/>
          <w:szCs w:val="36"/>
          <w:rtl/>
        </w:rPr>
        <w:t xml:space="preserve"> </w:t>
      </w:r>
      <w:r w:rsidR="009A0301" w:rsidRPr="00FD211F">
        <w:rPr>
          <w:sz w:val="36"/>
          <w:szCs w:val="36"/>
          <w:rtl/>
        </w:rPr>
        <w:t>الهوي</w:t>
      </w:r>
      <w:r w:rsidR="00EC7EDF" w:rsidRPr="00FD211F">
        <w:rPr>
          <w:sz w:val="36"/>
          <w:szCs w:val="36"/>
          <w:rtl/>
        </w:rPr>
        <w:t>ة</w:t>
      </w:r>
      <w:r w:rsidR="00E8128F">
        <w:rPr>
          <w:sz w:val="36"/>
          <w:szCs w:val="36"/>
          <w:rtl/>
        </w:rPr>
        <w:t xml:space="preserve"> </w:t>
      </w:r>
      <w:r w:rsidR="009A0301" w:rsidRPr="00FD211F">
        <w:rPr>
          <w:sz w:val="36"/>
          <w:szCs w:val="36"/>
          <w:rtl/>
        </w:rPr>
        <w:t>هي</w:t>
      </w:r>
      <w:r w:rsidR="00E8128F">
        <w:rPr>
          <w:sz w:val="36"/>
          <w:szCs w:val="36"/>
          <w:rtl/>
        </w:rPr>
        <w:t xml:space="preserve"> </w:t>
      </w:r>
      <w:r w:rsidR="009A0301" w:rsidRPr="00FD211F">
        <w:rPr>
          <w:sz w:val="36"/>
          <w:szCs w:val="36"/>
          <w:rtl/>
        </w:rPr>
        <w:t>الذات</w:t>
      </w:r>
      <w:r w:rsidR="00E8128F">
        <w:rPr>
          <w:sz w:val="36"/>
          <w:szCs w:val="36"/>
          <w:rtl/>
        </w:rPr>
        <w:t xml:space="preserve"> </w:t>
      </w:r>
      <w:r w:rsidR="009A0301" w:rsidRPr="00FD211F">
        <w:rPr>
          <w:sz w:val="36"/>
          <w:szCs w:val="36"/>
          <w:rtl/>
        </w:rPr>
        <w:t>اللازم</w:t>
      </w:r>
      <w:r w:rsidR="00E8128F">
        <w:rPr>
          <w:sz w:val="36"/>
          <w:szCs w:val="36"/>
          <w:rtl/>
        </w:rPr>
        <w:t xml:space="preserve"> </w:t>
      </w:r>
      <w:r w:rsidR="009A0301" w:rsidRPr="00FD211F">
        <w:rPr>
          <w:sz w:val="36"/>
          <w:szCs w:val="36"/>
          <w:rtl/>
        </w:rPr>
        <w:t>بقاؤه</w:t>
      </w:r>
      <w:r w:rsidR="003E5240" w:rsidRPr="00FD211F">
        <w:rPr>
          <w:sz w:val="36"/>
          <w:szCs w:val="36"/>
          <w:rtl/>
        </w:rPr>
        <w:t>ا</w:t>
      </w:r>
      <w:r w:rsidR="009A0301" w:rsidRPr="00FD211F">
        <w:rPr>
          <w:sz w:val="36"/>
          <w:szCs w:val="36"/>
          <w:rtl/>
        </w:rPr>
        <w:t>في</w:t>
      </w:r>
      <w:r w:rsidR="00E8128F">
        <w:rPr>
          <w:sz w:val="36"/>
          <w:szCs w:val="36"/>
          <w:rtl/>
        </w:rPr>
        <w:t xml:space="preserve"> </w:t>
      </w:r>
      <w:r w:rsidR="009A0301" w:rsidRPr="00FD211F">
        <w:rPr>
          <w:sz w:val="36"/>
          <w:szCs w:val="36"/>
          <w:rtl/>
        </w:rPr>
        <w:t>صذق</w:t>
      </w:r>
      <w:r w:rsidR="00E8128F">
        <w:rPr>
          <w:sz w:val="36"/>
          <w:szCs w:val="36"/>
          <w:rtl/>
        </w:rPr>
        <w:t xml:space="preserve"> </w:t>
      </w:r>
      <w:r w:rsidR="009A0301" w:rsidRPr="00FD211F">
        <w:rPr>
          <w:sz w:val="36"/>
          <w:szCs w:val="36"/>
          <w:rtl/>
        </w:rPr>
        <w:t>المشتق</w:t>
      </w:r>
      <w:r w:rsidR="009C58C8" w:rsidRPr="00FD211F">
        <w:rPr>
          <w:rStyle w:val="a6"/>
          <w:sz w:val="36"/>
          <w:szCs w:val="36"/>
          <w:rtl/>
        </w:rPr>
        <w:t>(</w:t>
      </w:r>
      <w:r w:rsidR="009C58C8" w:rsidRPr="00FD211F">
        <w:rPr>
          <w:rStyle w:val="a6"/>
          <w:sz w:val="36"/>
          <w:szCs w:val="36"/>
          <w:rtl/>
        </w:rPr>
        <w:footnoteReference w:id="534"/>
      </w:r>
      <w:r w:rsidR="009C58C8" w:rsidRPr="00FD211F">
        <w:rPr>
          <w:rStyle w:val="a6"/>
          <w:sz w:val="36"/>
          <w:szCs w:val="36"/>
          <w:rtl/>
        </w:rPr>
        <w:t>)</w:t>
      </w:r>
      <w:r w:rsidR="00E8128F">
        <w:rPr>
          <w:sz w:val="36"/>
          <w:szCs w:val="36"/>
          <w:rtl/>
        </w:rPr>
        <w:t xml:space="preserve"> </w:t>
      </w:r>
      <w:r w:rsidR="009A0301" w:rsidRPr="00FD211F">
        <w:rPr>
          <w:sz w:val="36"/>
          <w:szCs w:val="36"/>
          <w:rtl/>
        </w:rPr>
        <w:t>ولكن</w:t>
      </w:r>
      <w:r w:rsidR="00E8128F">
        <w:rPr>
          <w:sz w:val="36"/>
          <w:szCs w:val="36"/>
          <w:rtl/>
        </w:rPr>
        <w:t xml:space="preserve"> </w:t>
      </w:r>
      <w:r w:rsidR="009A0301" w:rsidRPr="00FD211F">
        <w:rPr>
          <w:sz w:val="36"/>
          <w:szCs w:val="36"/>
          <w:rtl/>
        </w:rPr>
        <w:t>صرح</w:t>
      </w:r>
      <w:r w:rsidR="00E8128F">
        <w:rPr>
          <w:sz w:val="36"/>
          <w:szCs w:val="36"/>
          <w:rtl/>
        </w:rPr>
        <w:t xml:space="preserve"> </w:t>
      </w:r>
      <w:r w:rsidR="000B0A38" w:rsidRPr="00FD211F">
        <w:rPr>
          <w:sz w:val="36"/>
          <w:szCs w:val="36"/>
          <w:rtl/>
        </w:rPr>
        <w:t>أنه</w:t>
      </w:r>
      <w:r w:rsidR="00E8128F">
        <w:rPr>
          <w:sz w:val="36"/>
          <w:szCs w:val="36"/>
          <w:rtl/>
        </w:rPr>
        <w:t xml:space="preserve"> </w:t>
      </w:r>
      <w:r w:rsidR="000B0A38" w:rsidRPr="00FD211F">
        <w:rPr>
          <w:sz w:val="36"/>
          <w:szCs w:val="36"/>
          <w:rtl/>
        </w:rPr>
        <w:t>ربمايطلق</w:t>
      </w:r>
      <w:r w:rsidR="00E8128F">
        <w:rPr>
          <w:sz w:val="36"/>
          <w:szCs w:val="36"/>
          <w:rtl/>
        </w:rPr>
        <w:t xml:space="preserve"> </w:t>
      </w:r>
      <w:r w:rsidR="00AE661D" w:rsidRPr="00FD211F">
        <w:rPr>
          <w:sz w:val="36"/>
          <w:szCs w:val="36"/>
          <w:rtl/>
        </w:rPr>
        <w:t>المقتل</w:t>
      </w:r>
      <w:r w:rsidR="00E8128F">
        <w:rPr>
          <w:sz w:val="36"/>
          <w:szCs w:val="36"/>
          <w:rtl/>
        </w:rPr>
        <w:t xml:space="preserve"> </w:t>
      </w:r>
      <w:r w:rsidR="00AE661D" w:rsidRPr="00FD211F">
        <w:rPr>
          <w:sz w:val="36"/>
          <w:szCs w:val="36"/>
          <w:rtl/>
        </w:rPr>
        <w:t>ويراد</w:t>
      </w:r>
      <w:r w:rsidR="00E8128F">
        <w:rPr>
          <w:sz w:val="36"/>
          <w:szCs w:val="36"/>
          <w:rtl/>
        </w:rPr>
        <w:t xml:space="preserve"> </w:t>
      </w:r>
      <w:r w:rsidR="00AE661D" w:rsidRPr="00FD211F">
        <w:rPr>
          <w:sz w:val="36"/>
          <w:szCs w:val="36"/>
          <w:rtl/>
        </w:rPr>
        <w:t>به</w:t>
      </w:r>
      <w:r w:rsidR="00E8128F">
        <w:rPr>
          <w:sz w:val="36"/>
          <w:szCs w:val="36"/>
          <w:rtl/>
        </w:rPr>
        <w:t xml:space="preserve"> </w:t>
      </w:r>
      <w:r w:rsidR="00AE661D" w:rsidRPr="00FD211F">
        <w:rPr>
          <w:sz w:val="36"/>
          <w:szCs w:val="36"/>
          <w:rtl/>
        </w:rPr>
        <w:t>الساع</w:t>
      </w:r>
      <w:r w:rsidR="00EC7EDF" w:rsidRPr="00FD211F">
        <w:rPr>
          <w:sz w:val="36"/>
          <w:szCs w:val="36"/>
          <w:rtl/>
        </w:rPr>
        <w:t>ة</w:t>
      </w:r>
      <w:r w:rsidR="00E8128F">
        <w:rPr>
          <w:sz w:val="36"/>
          <w:szCs w:val="36"/>
          <w:rtl/>
        </w:rPr>
        <w:t xml:space="preserve"> </w:t>
      </w:r>
      <w:r w:rsidR="00AE661D" w:rsidRPr="00FD211F">
        <w:rPr>
          <w:sz w:val="36"/>
          <w:szCs w:val="36"/>
          <w:rtl/>
        </w:rPr>
        <w:t>التي</w:t>
      </w:r>
      <w:r w:rsidR="00E8128F">
        <w:rPr>
          <w:sz w:val="36"/>
          <w:szCs w:val="36"/>
          <w:rtl/>
        </w:rPr>
        <w:t xml:space="preserve"> </w:t>
      </w:r>
      <w:r w:rsidR="00AE661D" w:rsidRPr="00FD211F">
        <w:rPr>
          <w:sz w:val="36"/>
          <w:szCs w:val="36"/>
          <w:rtl/>
        </w:rPr>
        <w:t>وقع</w:t>
      </w:r>
      <w:r w:rsidR="00E8128F">
        <w:rPr>
          <w:sz w:val="36"/>
          <w:szCs w:val="36"/>
          <w:rtl/>
        </w:rPr>
        <w:t xml:space="preserve"> </w:t>
      </w:r>
      <w:r w:rsidR="00AE661D" w:rsidRPr="00FD211F">
        <w:rPr>
          <w:sz w:val="36"/>
          <w:szCs w:val="36"/>
          <w:rtl/>
        </w:rPr>
        <w:t>فيها</w:t>
      </w:r>
      <w:r w:rsidR="00E8128F">
        <w:rPr>
          <w:sz w:val="36"/>
          <w:szCs w:val="36"/>
          <w:rtl/>
        </w:rPr>
        <w:t xml:space="preserve"> </w:t>
      </w:r>
      <w:r w:rsidR="00AE661D" w:rsidRPr="00FD211F">
        <w:rPr>
          <w:sz w:val="36"/>
          <w:szCs w:val="36"/>
          <w:rtl/>
        </w:rPr>
        <w:t>القتل</w:t>
      </w:r>
      <w:r w:rsidR="00E8128F">
        <w:rPr>
          <w:sz w:val="36"/>
          <w:szCs w:val="36"/>
          <w:rtl/>
        </w:rPr>
        <w:t xml:space="preserve"> </w:t>
      </w:r>
      <w:r w:rsidR="00AE661D" w:rsidRPr="00FD211F">
        <w:rPr>
          <w:sz w:val="36"/>
          <w:szCs w:val="36"/>
          <w:rtl/>
        </w:rPr>
        <w:t>وربما</w:t>
      </w:r>
      <w:r w:rsidR="00E8128F">
        <w:rPr>
          <w:sz w:val="36"/>
          <w:szCs w:val="36"/>
          <w:rtl/>
        </w:rPr>
        <w:t xml:space="preserve"> </w:t>
      </w:r>
      <w:r w:rsidR="00AE661D" w:rsidRPr="00FD211F">
        <w:rPr>
          <w:sz w:val="36"/>
          <w:szCs w:val="36"/>
          <w:rtl/>
        </w:rPr>
        <w:t>يطلق</w:t>
      </w:r>
      <w:r w:rsidR="00E8128F">
        <w:rPr>
          <w:sz w:val="36"/>
          <w:szCs w:val="36"/>
          <w:rtl/>
        </w:rPr>
        <w:t xml:space="preserve"> </w:t>
      </w:r>
      <w:r w:rsidR="00AE661D" w:rsidRPr="00FD211F">
        <w:rPr>
          <w:sz w:val="36"/>
          <w:szCs w:val="36"/>
          <w:rtl/>
        </w:rPr>
        <w:t>ويراد</w:t>
      </w:r>
      <w:r w:rsidR="00E8128F">
        <w:rPr>
          <w:sz w:val="36"/>
          <w:szCs w:val="36"/>
          <w:rtl/>
        </w:rPr>
        <w:t xml:space="preserve"> </w:t>
      </w:r>
      <w:r w:rsidR="00AE661D" w:rsidRPr="00FD211F">
        <w:rPr>
          <w:sz w:val="36"/>
          <w:szCs w:val="36"/>
          <w:rtl/>
        </w:rPr>
        <w:t>به</w:t>
      </w:r>
      <w:r w:rsidR="00E8128F">
        <w:rPr>
          <w:sz w:val="36"/>
          <w:szCs w:val="36"/>
          <w:rtl/>
        </w:rPr>
        <w:t xml:space="preserve"> </w:t>
      </w:r>
      <w:r w:rsidR="00AE661D" w:rsidRPr="00FD211F">
        <w:rPr>
          <w:sz w:val="36"/>
          <w:szCs w:val="36"/>
          <w:rtl/>
        </w:rPr>
        <w:t>اليوم</w:t>
      </w:r>
      <w:r w:rsidR="00E8128F">
        <w:rPr>
          <w:sz w:val="36"/>
          <w:szCs w:val="36"/>
          <w:rtl/>
        </w:rPr>
        <w:t xml:space="preserve"> </w:t>
      </w:r>
      <w:r w:rsidR="00AE661D" w:rsidRPr="00FD211F">
        <w:rPr>
          <w:sz w:val="36"/>
          <w:szCs w:val="36"/>
          <w:rtl/>
        </w:rPr>
        <w:t>الذي</w:t>
      </w:r>
      <w:r w:rsidR="00E8128F">
        <w:rPr>
          <w:sz w:val="36"/>
          <w:szCs w:val="36"/>
          <w:rtl/>
        </w:rPr>
        <w:t xml:space="preserve"> </w:t>
      </w:r>
      <w:r w:rsidR="00AE661D" w:rsidRPr="00FD211F">
        <w:rPr>
          <w:sz w:val="36"/>
          <w:szCs w:val="36"/>
          <w:rtl/>
        </w:rPr>
        <w:t>وقع</w:t>
      </w:r>
      <w:r w:rsidR="00E8128F">
        <w:rPr>
          <w:sz w:val="36"/>
          <w:szCs w:val="36"/>
          <w:rtl/>
        </w:rPr>
        <w:t xml:space="preserve"> </w:t>
      </w:r>
      <w:r w:rsidR="00AE661D" w:rsidRPr="00FD211F">
        <w:rPr>
          <w:sz w:val="36"/>
          <w:szCs w:val="36"/>
          <w:rtl/>
        </w:rPr>
        <w:t>فيه</w:t>
      </w:r>
      <w:r w:rsidR="00E8128F">
        <w:rPr>
          <w:sz w:val="36"/>
          <w:szCs w:val="36"/>
          <w:rtl/>
        </w:rPr>
        <w:t xml:space="preserve"> </w:t>
      </w:r>
      <w:r w:rsidR="00AE661D" w:rsidRPr="00FD211F">
        <w:rPr>
          <w:sz w:val="36"/>
          <w:szCs w:val="36"/>
          <w:rtl/>
        </w:rPr>
        <w:t>القتل</w:t>
      </w:r>
      <w:r w:rsidR="00E8128F">
        <w:rPr>
          <w:sz w:val="36"/>
          <w:szCs w:val="36"/>
          <w:rtl/>
        </w:rPr>
        <w:t xml:space="preserve"> </w:t>
      </w:r>
      <w:r w:rsidR="00AE661D" w:rsidRPr="00FD211F">
        <w:rPr>
          <w:sz w:val="36"/>
          <w:szCs w:val="36"/>
          <w:rtl/>
        </w:rPr>
        <w:t>وربما</w:t>
      </w:r>
      <w:r w:rsidR="00E8128F">
        <w:rPr>
          <w:sz w:val="36"/>
          <w:szCs w:val="36"/>
          <w:rtl/>
        </w:rPr>
        <w:t xml:space="preserve"> </w:t>
      </w:r>
      <w:r w:rsidR="00AE661D" w:rsidRPr="00FD211F">
        <w:rPr>
          <w:sz w:val="36"/>
          <w:szCs w:val="36"/>
          <w:rtl/>
        </w:rPr>
        <w:t>يراد</w:t>
      </w:r>
      <w:r w:rsidR="00E8128F">
        <w:rPr>
          <w:sz w:val="36"/>
          <w:szCs w:val="36"/>
          <w:rtl/>
        </w:rPr>
        <w:t xml:space="preserve"> </w:t>
      </w:r>
      <w:r w:rsidR="00AE661D" w:rsidRPr="00FD211F">
        <w:rPr>
          <w:sz w:val="36"/>
          <w:szCs w:val="36"/>
          <w:rtl/>
        </w:rPr>
        <w:t>به</w:t>
      </w:r>
      <w:r w:rsidR="00E8128F">
        <w:rPr>
          <w:sz w:val="36"/>
          <w:szCs w:val="36"/>
          <w:rtl/>
        </w:rPr>
        <w:t xml:space="preserve"> </w:t>
      </w:r>
      <w:r w:rsidR="00AE661D" w:rsidRPr="00FD211F">
        <w:rPr>
          <w:sz w:val="36"/>
          <w:szCs w:val="36"/>
          <w:rtl/>
        </w:rPr>
        <w:t>الشهر</w:t>
      </w:r>
      <w:r w:rsidR="00E8128F">
        <w:rPr>
          <w:sz w:val="36"/>
          <w:szCs w:val="36"/>
          <w:rtl/>
        </w:rPr>
        <w:t xml:space="preserve"> </w:t>
      </w:r>
      <w:r w:rsidR="00AE661D" w:rsidRPr="00FD211F">
        <w:rPr>
          <w:sz w:val="36"/>
          <w:szCs w:val="36"/>
          <w:rtl/>
        </w:rPr>
        <w:t>اوالسن</w:t>
      </w:r>
      <w:r w:rsidR="00EC7EDF" w:rsidRPr="00FD211F">
        <w:rPr>
          <w:sz w:val="36"/>
          <w:szCs w:val="36"/>
          <w:rtl/>
        </w:rPr>
        <w:t>ة</w:t>
      </w:r>
      <w:r w:rsidR="00603323" w:rsidRPr="00FD211F">
        <w:rPr>
          <w:sz w:val="36"/>
          <w:szCs w:val="36"/>
          <w:rtl/>
        </w:rPr>
        <w:t>،</w:t>
      </w:r>
      <w:r w:rsidR="00E8128F">
        <w:rPr>
          <w:sz w:val="36"/>
          <w:szCs w:val="36"/>
          <w:rtl/>
        </w:rPr>
        <w:t xml:space="preserve"> </w:t>
      </w:r>
      <w:r w:rsidR="00AE661D" w:rsidRPr="00FD211F">
        <w:rPr>
          <w:sz w:val="36"/>
          <w:szCs w:val="36"/>
          <w:rtl/>
        </w:rPr>
        <w:t>وعلى</w:t>
      </w:r>
      <w:r w:rsidR="00E8128F">
        <w:rPr>
          <w:sz w:val="36"/>
          <w:szCs w:val="36"/>
          <w:rtl/>
        </w:rPr>
        <w:t xml:space="preserve"> </w:t>
      </w:r>
      <w:r w:rsidR="00AE661D" w:rsidRPr="00FD211F">
        <w:rPr>
          <w:sz w:val="36"/>
          <w:szCs w:val="36"/>
          <w:rtl/>
        </w:rPr>
        <w:t>هذا</w:t>
      </w:r>
      <w:r w:rsidR="00E8128F">
        <w:rPr>
          <w:sz w:val="36"/>
          <w:szCs w:val="36"/>
          <w:rtl/>
        </w:rPr>
        <w:t xml:space="preserve"> </w:t>
      </w:r>
      <w:r w:rsidR="00AE661D" w:rsidRPr="00FD211F">
        <w:rPr>
          <w:sz w:val="36"/>
          <w:szCs w:val="36"/>
          <w:rtl/>
        </w:rPr>
        <w:t>الاطلاق</w:t>
      </w:r>
      <w:r w:rsidR="00E8128F">
        <w:rPr>
          <w:sz w:val="36"/>
          <w:szCs w:val="36"/>
          <w:rtl/>
        </w:rPr>
        <w:t xml:space="preserve"> </w:t>
      </w:r>
      <w:r w:rsidR="00AE661D" w:rsidRPr="00FD211F">
        <w:rPr>
          <w:sz w:val="36"/>
          <w:szCs w:val="36"/>
          <w:rtl/>
        </w:rPr>
        <w:t>لاانقضاء</w:t>
      </w:r>
      <w:r w:rsidR="00E8128F">
        <w:rPr>
          <w:sz w:val="36"/>
          <w:szCs w:val="36"/>
          <w:rtl/>
        </w:rPr>
        <w:t xml:space="preserve"> </w:t>
      </w:r>
      <w:r w:rsidR="00AE661D" w:rsidRPr="00FD211F">
        <w:rPr>
          <w:sz w:val="36"/>
          <w:szCs w:val="36"/>
          <w:rtl/>
        </w:rPr>
        <w:t>مادامت</w:t>
      </w:r>
      <w:r w:rsidR="00E8128F">
        <w:rPr>
          <w:sz w:val="36"/>
          <w:szCs w:val="36"/>
          <w:rtl/>
        </w:rPr>
        <w:t xml:space="preserve"> </w:t>
      </w:r>
      <w:r w:rsidR="00AE661D" w:rsidRPr="00FD211F">
        <w:rPr>
          <w:sz w:val="36"/>
          <w:szCs w:val="36"/>
          <w:rtl/>
        </w:rPr>
        <w:t>الساع</w:t>
      </w:r>
      <w:r w:rsidR="00EC7EDF" w:rsidRPr="00FD211F">
        <w:rPr>
          <w:sz w:val="36"/>
          <w:szCs w:val="36"/>
          <w:rtl/>
        </w:rPr>
        <w:t>ة</w:t>
      </w:r>
      <w:r w:rsidR="00E8128F">
        <w:rPr>
          <w:sz w:val="36"/>
          <w:szCs w:val="36"/>
          <w:rtl/>
        </w:rPr>
        <w:t xml:space="preserve"> </w:t>
      </w:r>
      <w:r w:rsidR="00AE661D" w:rsidRPr="00FD211F">
        <w:rPr>
          <w:sz w:val="36"/>
          <w:szCs w:val="36"/>
          <w:rtl/>
        </w:rPr>
        <w:t>او</w:t>
      </w:r>
      <w:r w:rsidR="00E8128F">
        <w:rPr>
          <w:sz w:val="36"/>
          <w:szCs w:val="36"/>
          <w:rtl/>
        </w:rPr>
        <w:t xml:space="preserve"> </w:t>
      </w:r>
      <w:r w:rsidR="00AE661D" w:rsidRPr="00FD211F">
        <w:rPr>
          <w:sz w:val="36"/>
          <w:szCs w:val="36"/>
          <w:rtl/>
        </w:rPr>
        <w:t>اليوم</w:t>
      </w:r>
      <w:r w:rsidR="00E8128F">
        <w:rPr>
          <w:sz w:val="36"/>
          <w:szCs w:val="36"/>
          <w:rtl/>
        </w:rPr>
        <w:t xml:space="preserve"> </w:t>
      </w:r>
      <w:r w:rsidR="00AE661D" w:rsidRPr="00FD211F">
        <w:rPr>
          <w:sz w:val="36"/>
          <w:szCs w:val="36"/>
          <w:rtl/>
        </w:rPr>
        <w:t>او</w:t>
      </w:r>
      <w:r w:rsidR="00E8128F">
        <w:rPr>
          <w:sz w:val="36"/>
          <w:szCs w:val="36"/>
          <w:rtl/>
        </w:rPr>
        <w:t xml:space="preserve"> </w:t>
      </w:r>
      <w:r w:rsidR="00AE661D" w:rsidRPr="00FD211F">
        <w:rPr>
          <w:sz w:val="36"/>
          <w:szCs w:val="36"/>
          <w:rtl/>
        </w:rPr>
        <w:t>الشهر</w:t>
      </w:r>
      <w:r w:rsidR="00E8128F">
        <w:rPr>
          <w:sz w:val="36"/>
          <w:szCs w:val="36"/>
          <w:rtl/>
        </w:rPr>
        <w:t xml:space="preserve"> </w:t>
      </w:r>
      <w:r w:rsidR="00AE661D" w:rsidRPr="00FD211F">
        <w:rPr>
          <w:sz w:val="36"/>
          <w:szCs w:val="36"/>
          <w:rtl/>
        </w:rPr>
        <w:t>او</w:t>
      </w:r>
      <w:r w:rsidR="00E8128F">
        <w:rPr>
          <w:sz w:val="36"/>
          <w:szCs w:val="36"/>
          <w:rtl/>
        </w:rPr>
        <w:t xml:space="preserve"> </w:t>
      </w:r>
      <w:r w:rsidR="00AE661D" w:rsidRPr="00FD211F">
        <w:rPr>
          <w:sz w:val="36"/>
          <w:szCs w:val="36"/>
          <w:rtl/>
        </w:rPr>
        <w:t>السن</w:t>
      </w:r>
      <w:r w:rsidR="00EC7EDF" w:rsidRPr="00FD211F">
        <w:rPr>
          <w:sz w:val="36"/>
          <w:szCs w:val="36"/>
          <w:rtl/>
        </w:rPr>
        <w:t>ة</w:t>
      </w:r>
      <w:r w:rsidR="00E8128F">
        <w:rPr>
          <w:sz w:val="36"/>
          <w:szCs w:val="36"/>
          <w:rtl/>
        </w:rPr>
        <w:t xml:space="preserve"> </w:t>
      </w:r>
      <w:r w:rsidR="00AE661D" w:rsidRPr="00FD211F">
        <w:rPr>
          <w:sz w:val="36"/>
          <w:szCs w:val="36"/>
          <w:rtl/>
        </w:rPr>
        <w:t>باقي</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535"/>
      </w:r>
      <w:r w:rsidR="009C58C8" w:rsidRPr="00FD211F">
        <w:rPr>
          <w:rStyle w:val="a6"/>
          <w:sz w:val="36"/>
          <w:szCs w:val="36"/>
          <w:rtl/>
        </w:rPr>
        <w:t>)</w:t>
      </w:r>
      <w:r w:rsidR="00603323" w:rsidRPr="00FD211F">
        <w:rPr>
          <w:sz w:val="36"/>
          <w:szCs w:val="36"/>
          <w:rtl/>
        </w:rPr>
        <w:t>،</w:t>
      </w:r>
      <w:r w:rsidR="00E8128F">
        <w:rPr>
          <w:sz w:val="36"/>
          <w:szCs w:val="36"/>
          <w:rtl/>
        </w:rPr>
        <w:t xml:space="preserve"> </w:t>
      </w:r>
      <w:r w:rsidR="00AE661D" w:rsidRPr="00FD211F">
        <w:rPr>
          <w:sz w:val="36"/>
          <w:szCs w:val="36"/>
          <w:rtl/>
        </w:rPr>
        <w:t>فما</w:t>
      </w:r>
      <w:r w:rsidR="00E8128F">
        <w:rPr>
          <w:sz w:val="36"/>
          <w:szCs w:val="36"/>
          <w:rtl/>
        </w:rPr>
        <w:t xml:space="preserve"> </w:t>
      </w:r>
      <w:r w:rsidR="00AE661D" w:rsidRPr="00FD211F">
        <w:rPr>
          <w:sz w:val="36"/>
          <w:szCs w:val="36"/>
          <w:rtl/>
        </w:rPr>
        <w:t>نسبه</w:t>
      </w:r>
      <w:r w:rsidR="00E8128F">
        <w:rPr>
          <w:sz w:val="36"/>
          <w:szCs w:val="36"/>
          <w:rtl/>
        </w:rPr>
        <w:t xml:space="preserve"> </w:t>
      </w:r>
      <w:r w:rsidR="000B12D0" w:rsidRPr="00FD211F">
        <w:rPr>
          <w:sz w:val="36"/>
          <w:szCs w:val="36"/>
          <w:rtl/>
        </w:rPr>
        <w:t>في</w:t>
      </w:r>
      <w:r w:rsidR="00E8128F">
        <w:rPr>
          <w:sz w:val="36"/>
          <w:szCs w:val="36"/>
          <w:rtl/>
        </w:rPr>
        <w:t xml:space="preserve"> </w:t>
      </w:r>
      <w:r w:rsidR="000B12D0" w:rsidRPr="00FD211F">
        <w:rPr>
          <w:sz w:val="36"/>
          <w:szCs w:val="36"/>
          <w:rtl/>
        </w:rPr>
        <w:t>البحوث</w:t>
      </w:r>
      <w:r w:rsidR="00E8128F">
        <w:rPr>
          <w:sz w:val="36"/>
          <w:szCs w:val="36"/>
          <w:rtl/>
        </w:rPr>
        <w:t xml:space="preserve"> </w:t>
      </w:r>
      <w:r w:rsidR="00AE661D" w:rsidRPr="00FD211F">
        <w:rPr>
          <w:sz w:val="36"/>
          <w:szCs w:val="36"/>
          <w:rtl/>
        </w:rPr>
        <w:t>اليه</w:t>
      </w:r>
      <w:r w:rsidR="00E8128F">
        <w:rPr>
          <w:sz w:val="36"/>
          <w:szCs w:val="36"/>
          <w:rtl/>
        </w:rPr>
        <w:t xml:space="preserve"> </w:t>
      </w:r>
      <w:r w:rsidR="000B12D0" w:rsidRPr="00FD211F">
        <w:rPr>
          <w:sz w:val="36"/>
          <w:szCs w:val="36"/>
          <w:rtl/>
        </w:rPr>
        <w:t>(من</w:t>
      </w:r>
      <w:r w:rsidR="00E8128F">
        <w:rPr>
          <w:sz w:val="36"/>
          <w:szCs w:val="36"/>
          <w:rtl/>
        </w:rPr>
        <w:t xml:space="preserve"> </w:t>
      </w:r>
      <w:r w:rsidR="000B12D0" w:rsidRPr="00FD211F">
        <w:rPr>
          <w:sz w:val="36"/>
          <w:szCs w:val="36"/>
          <w:rtl/>
        </w:rPr>
        <w:t>ان</w:t>
      </w:r>
      <w:r w:rsidR="00E8128F">
        <w:rPr>
          <w:sz w:val="36"/>
          <w:szCs w:val="36"/>
          <w:rtl/>
        </w:rPr>
        <w:t xml:space="preserve"> </w:t>
      </w:r>
      <w:r w:rsidR="000B12D0" w:rsidRPr="00FD211F">
        <w:rPr>
          <w:sz w:val="36"/>
          <w:szCs w:val="36"/>
          <w:rtl/>
        </w:rPr>
        <w:t>الحدث</w:t>
      </w:r>
      <w:r w:rsidR="00E8128F">
        <w:rPr>
          <w:sz w:val="36"/>
          <w:szCs w:val="36"/>
          <w:rtl/>
        </w:rPr>
        <w:t xml:space="preserve"> </w:t>
      </w:r>
      <w:r w:rsidR="000B12D0" w:rsidRPr="00FD211F">
        <w:rPr>
          <w:sz w:val="36"/>
          <w:szCs w:val="36"/>
          <w:rtl/>
        </w:rPr>
        <w:t>وصف</w:t>
      </w:r>
      <w:r w:rsidR="00E8128F">
        <w:rPr>
          <w:sz w:val="36"/>
          <w:szCs w:val="36"/>
          <w:rtl/>
        </w:rPr>
        <w:t xml:space="preserve"> </w:t>
      </w:r>
      <w:r w:rsidR="000B12D0" w:rsidRPr="00FD211F">
        <w:rPr>
          <w:sz w:val="36"/>
          <w:szCs w:val="36"/>
          <w:rtl/>
        </w:rPr>
        <w:t>للآن</w:t>
      </w:r>
      <w:r w:rsidR="00E8128F">
        <w:rPr>
          <w:sz w:val="36"/>
          <w:szCs w:val="36"/>
          <w:rtl/>
        </w:rPr>
        <w:t xml:space="preserve"> </w:t>
      </w:r>
      <w:r w:rsidR="000B12D0" w:rsidRPr="00FD211F">
        <w:rPr>
          <w:sz w:val="36"/>
          <w:szCs w:val="36"/>
          <w:rtl/>
        </w:rPr>
        <w:t>الذي</w:t>
      </w:r>
      <w:r w:rsidR="00E8128F">
        <w:rPr>
          <w:sz w:val="36"/>
          <w:szCs w:val="36"/>
          <w:rtl/>
        </w:rPr>
        <w:t xml:space="preserve"> </w:t>
      </w:r>
      <w:r w:rsidR="000B12D0" w:rsidRPr="00FD211F">
        <w:rPr>
          <w:sz w:val="36"/>
          <w:szCs w:val="36"/>
          <w:rtl/>
        </w:rPr>
        <w:t>وقع</w:t>
      </w:r>
      <w:r w:rsidR="00E8128F">
        <w:rPr>
          <w:sz w:val="36"/>
          <w:szCs w:val="36"/>
          <w:rtl/>
        </w:rPr>
        <w:t xml:space="preserve"> </w:t>
      </w:r>
      <w:r w:rsidR="000B12D0" w:rsidRPr="00FD211F">
        <w:rPr>
          <w:sz w:val="36"/>
          <w:szCs w:val="36"/>
          <w:rtl/>
        </w:rPr>
        <w:t>فيه</w:t>
      </w:r>
      <w:r w:rsidR="00E8128F">
        <w:rPr>
          <w:sz w:val="36"/>
          <w:szCs w:val="36"/>
          <w:rtl/>
        </w:rPr>
        <w:t xml:space="preserve"> </w:t>
      </w:r>
      <w:r w:rsidR="000B12D0" w:rsidRPr="00FD211F">
        <w:rPr>
          <w:sz w:val="36"/>
          <w:szCs w:val="36"/>
          <w:rtl/>
        </w:rPr>
        <w:t>الحدث</w:t>
      </w:r>
      <w:r w:rsidR="00E8128F">
        <w:rPr>
          <w:sz w:val="36"/>
          <w:szCs w:val="36"/>
          <w:rtl/>
        </w:rPr>
        <w:t xml:space="preserve"> </w:t>
      </w:r>
      <w:r w:rsidR="000B12D0" w:rsidRPr="00FD211F">
        <w:rPr>
          <w:sz w:val="36"/>
          <w:szCs w:val="36"/>
          <w:rtl/>
        </w:rPr>
        <w:t>واسناده</w:t>
      </w:r>
      <w:r w:rsidR="00E8128F">
        <w:rPr>
          <w:sz w:val="36"/>
          <w:szCs w:val="36"/>
          <w:rtl/>
        </w:rPr>
        <w:t xml:space="preserve"> </w:t>
      </w:r>
      <w:r w:rsidR="000B12D0" w:rsidRPr="00FD211F">
        <w:rPr>
          <w:sz w:val="36"/>
          <w:szCs w:val="36"/>
          <w:rtl/>
        </w:rPr>
        <w:t>الى</w:t>
      </w:r>
      <w:r w:rsidR="00E8128F">
        <w:rPr>
          <w:sz w:val="36"/>
          <w:szCs w:val="36"/>
          <w:rtl/>
        </w:rPr>
        <w:t xml:space="preserve"> </w:t>
      </w:r>
      <w:r w:rsidR="000B12D0" w:rsidRPr="00FD211F">
        <w:rPr>
          <w:sz w:val="36"/>
          <w:szCs w:val="36"/>
          <w:rtl/>
        </w:rPr>
        <w:t>النهار</w:t>
      </w:r>
      <w:r w:rsidR="00E8128F">
        <w:rPr>
          <w:sz w:val="36"/>
          <w:szCs w:val="36"/>
          <w:rtl/>
        </w:rPr>
        <w:t xml:space="preserve"> </w:t>
      </w:r>
      <w:r w:rsidR="000B12D0" w:rsidRPr="00FD211F">
        <w:rPr>
          <w:sz w:val="36"/>
          <w:szCs w:val="36"/>
          <w:rtl/>
        </w:rPr>
        <w:t>الذي</w:t>
      </w:r>
      <w:r w:rsidR="00E8128F">
        <w:rPr>
          <w:sz w:val="36"/>
          <w:szCs w:val="36"/>
          <w:rtl/>
        </w:rPr>
        <w:t xml:space="preserve"> </w:t>
      </w:r>
      <w:r w:rsidR="000B12D0" w:rsidRPr="00FD211F">
        <w:rPr>
          <w:sz w:val="36"/>
          <w:szCs w:val="36"/>
          <w:rtl/>
        </w:rPr>
        <w:t>هو</w:t>
      </w:r>
      <w:r w:rsidR="00E8128F">
        <w:rPr>
          <w:sz w:val="36"/>
          <w:szCs w:val="36"/>
          <w:rtl/>
        </w:rPr>
        <w:t xml:space="preserve"> </w:t>
      </w:r>
      <w:r w:rsidR="000B12D0" w:rsidRPr="00FD211F">
        <w:rPr>
          <w:sz w:val="36"/>
          <w:szCs w:val="36"/>
          <w:rtl/>
        </w:rPr>
        <w:t>مركب</w:t>
      </w:r>
      <w:r w:rsidR="00E8128F">
        <w:rPr>
          <w:sz w:val="36"/>
          <w:szCs w:val="36"/>
          <w:rtl/>
        </w:rPr>
        <w:t xml:space="preserve"> </w:t>
      </w:r>
      <w:r w:rsidR="000B12D0" w:rsidRPr="00FD211F">
        <w:rPr>
          <w:sz w:val="36"/>
          <w:szCs w:val="36"/>
          <w:rtl/>
        </w:rPr>
        <w:t>من</w:t>
      </w:r>
      <w:r w:rsidR="00E8128F">
        <w:rPr>
          <w:sz w:val="36"/>
          <w:szCs w:val="36"/>
          <w:rtl/>
        </w:rPr>
        <w:t xml:space="preserve"> </w:t>
      </w:r>
      <w:r w:rsidR="000B12D0" w:rsidRPr="00FD211F">
        <w:rPr>
          <w:sz w:val="36"/>
          <w:szCs w:val="36"/>
          <w:rtl/>
        </w:rPr>
        <w:t>تلك</w:t>
      </w:r>
      <w:r w:rsidR="00E8128F">
        <w:rPr>
          <w:sz w:val="36"/>
          <w:szCs w:val="36"/>
          <w:rtl/>
        </w:rPr>
        <w:t xml:space="preserve"> </w:t>
      </w:r>
      <w:r w:rsidR="000B12D0" w:rsidRPr="00FD211F">
        <w:rPr>
          <w:sz w:val="36"/>
          <w:szCs w:val="36"/>
          <w:rtl/>
        </w:rPr>
        <w:t>الآنات</w:t>
      </w:r>
      <w:r w:rsidR="00E8128F">
        <w:rPr>
          <w:sz w:val="36"/>
          <w:szCs w:val="36"/>
          <w:rtl/>
        </w:rPr>
        <w:t xml:space="preserve"> </w:t>
      </w:r>
      <w:r w:rsidR="000B12D0" w:rsidRPr="00FD211F">
        <w:rPr>
          <w:sz w:val="36"/>
          <w:szCs w:val="36"/>
          <w:rtl/>
        </w:rPr>
        <w:t>مجاز</w:t>
      </w:r>
      <w:r w:rsidR="00E8128F">
        <w:rPr>
          <w:sz w:val="36"/>
          <w:szCs w:val="36"/>
          <w:rtl/>
        </w:rPr>
        <w:t xml:space="preserve"> </w:t>
      </w:r>
      <w:r w:rsidR="000B12D0" w:rsidRPr="00FD211F">
        <w:rPr>
          <w:sz w:val="36"/>
          <w:szCs w:val="36"/>
          <w:rtl/>
        </w:rPr>
        <w:t>من</w:t>
      </w:r>
      <w:r w:rsidR="00E8128F">
        <w:rPr>
          <w:sz w:val="36"/>
          <w:szCs w:val="36"/>
          <w:rtl/>
        </w:rPr>
        <w:t xml:space="preserve"> </w:t>
      </w:r>
      <w:r w:rsidR="000B12D0" w:rsidRPr="00FD211F">
        <w:rPr>
          <w:sz w:val="36"/>
          <w:szCs w:val="36"/>
          <w:rtl/>
        </w:rPr>
        <w:t>باب</w:t>
      </w:r>
      <w:r w:rsidR="00E8128F">
        <w:rPr>
          <w:sz w:val="36"/>
          <w:szCs w:val="36"/>
          <w:rtl/>
        </w:rPr>
        <w:t xml:space="preserve"> </w:t>
      </w:r>
      <w:r w:rsidR="000B12D0" w:rsidRPr="00FD211F">
        <w:rPr>
          <w:sz w:val="36"/>
          <w:szCs w:val="36"/>
          <w:rtl/>
        </w:rPr>
        <w:t>اسناد</w:t>
      </w:r>
      <w:r w:rsidR="00E8128F">
        <w:rPr>
          <w:sz w:val="36"/>
          <w:szCs w:val="36"/>
          <w:rtl/>
        </w:rPr>
        <w:t xml:space="preserve"> </w:t>
      </w:r>
      <w:r w:rsidR="000B12D0" w:rsidRPr="00FD211F">
        <w:rPr>
          <w:sz w:val="36"/>
          <w:szCs w:val="36"/>
          <w:rtl/>
        </w:rPr>
        <w:t>وصف</w:t>
      </w:r>
      <w:r w:rsidR="00E8128F">
        <w:rPr>
          <w:sz w:val="36"/>
          <w:szCs w:val="36"/>
          <w:rtl/>
        </w:rPr>
        <w:t xml:space="preserve"> </w:t>
      </w:r>
      <w:r w:rsidR="000B12D0" w:rsidRPr="00FD211F">
        <w:rPr>
          <w:sz w:val="36"/>
          <w:szCs w:val="36"/>
          <w:rtl/>
        </w:rPr>
        <w:t>الجزء</w:t>
      </w:r>
      <w:r w:rsidR="00E8128F">
        <w:rPr>
          <w:sz w:val="36"/>
          <w:szCs w:val="36"/>
          <w:rtl/>
        </w:rPr>
        <w:t xml:space="preserve"> </w:t>
      </w:r>
      <w:r w:rsidR="000B12D0" w:rsidRPr="00FD211F">
        <w:rPr>
          <w:sz w:val="36"/>
          <w:szCs w:val="36"/>
          <w:rtl/>
        </w:rPr>
        <w:t>الى</w:t>
      </w:r>
      <w:r w:rsidR="00E8128F">
        <w:rPr>
          <w:sz w:val="36"/>
          <w:szCs w:val="36"/>
          <w:rtl/>
        </w:rPr>
        <w:t xml:space="preserve"> </w:t>
      </w:r>
      <w:r w:rsidR="000B12D0" w:rsidRPr="00FD211F">
        <w:rPr>
          <w:sz w:val="36"/>
          <w:szCs w:val="36"/>
          <w:rtl/>
        </w:rPr>
        <w:t>الكل)</w:t>
      </w:r>
      <w:r w:rsidR="00E8128F">
        <w:rPr>
          <w:sz w:val="36"/>
          <w:szCs w:val="36"/>
          <w:rtl/>
        </w:rPr>
        <w:t xml:space="preserve"> </w:t>
      </w:r>
      <w:r w:rsidR="000B12D0" w:rsidRPr="00FD211F">
        <w:rPr>
          <w:sz w:val="36"/>
          <w:szCs w:val="36"/>
          <w:rtl/>
        </w:rPr>
        <w:t>ف</w:t>
      </w:r>
      <w:r w:rsidR="000B0A38" w:rsidRPr="00FD211F">
        <w:rPr>
          <w:sz w:val="36"/>
          <w:szCs w:val="36"/>
          <w:rtl/>
        </w:rPr>
        <w:t>الظاهر</w:t>
      </w:r>
      <w:r w:rsidR="00E8128F">
        <w:rPr>
          <w:sz w:val="36"/>
          <w:szCs w:val="36"/>
          <w:rtl/>
        </w:rPr>
        <w:t xml:space="preserve"> </w:t>
      </w:r>
      <w:r w:rsidR="000B0A38" w:rsidRPr="00FD211F">
        <w:rPr>
          <w:sz w:val="36"/>
          <w:szCs w:val="36"/>
          <w:rtl/>
        </w:rPr>
        <w:t>أنه</w:t>
      </w:r>
      <w:r w:rsidR="00E8128F">
        <w:rPr>
          <w:sz w:val="36"/>
          <w:szCs w:val="36"/>
          <w:rtl/>
        </w:rPr>
        <w:t xml:space="preserve"> </w:t>
      </w:r>
      <w:r w:rsidR="000B0A38" w:rsidRPr="00FD211F">
        <w:rPr>
          <w:sz w:val="36"/>
          <w:szCs w:val="36"/>
          <w:rtl/>
        </w:rPr>
        <w:t>لايطابق</w:t>
      </w:r>
      <w:r w:rsidR="00E8128F">
        <w:rPr>
          <w:sz w:val="36"/>
          <w:szCs w:val="36"/>
          <w:rtl/>
        </w:rPr>
        <w:t xml:space="preserve"> </w:t>
      </w:r>
      <w:r w:rsidR="000B0A38" w:rsidRPr="00FD211F">
        <w:rPr>
          <w:sz w:val="36"/>
          <w:szCs w:val="36"/>
          <w:rtl/>
        </w:rPr>
        <w:t>كلامه</w:t>
      </w:r>
      <w:r w:rsidR="00E8128F">
        <w:rPr>
          <w:sz w:val="36"/>
          <w:szCs w:val="36"/>
          <w:rtl/>
        </w:rPr>
        <w:t xml:space="preserve"> </w:t>
      </w:r>
      <w:r w:rsidR="000B0A38" w:rsidRPr="00FD211F">
        <w:rPr>
          <w:sz w:val="36"/>
          <w:szCs w:val="36"/>
          <w:rtl/>
        </w:rPr>
        <w:t>"قده"</w:t>
      </w:r>
      <w:r w:rsidR="00EC7EDF" w:rsidRPr="00FD211F">
        <w:rPr>
          <w:sz w:val="36"/>
          <w:szCs w:val="36"/>
          <w:rtl/>
        </w:rPr>
        <w:t>.</w:t>
      </w:r>
    </w:p>
    <w:p w14:paraId="67080D6F" w14:textId="77777777" w:rsidR="00735D20" w:rsidRPr="00FD211F" w:rsidRDefault="00735D20" w:rsidP="009C58C8">
      <w:pPr>
        <w:pStyle w:val="3"/>
        <w:ind w:firstLine="227"/>
        <w:jc w:val="both"/>
        <w:rPr>
          <w:rtl/>
        </w:rPr>
      </w:pPr>
      <w:bookmarkStart w:id="446" w:name="_Toc192092947"/>
      <w:bookmarkStart w:id="447" w:name="_Toc223890427"/>
      <w:bookmarkStart w:id="448" w:name="درس108دقيقه36"/>
      <w:bookmarkEnd w:id="448"/>
      <w:r w:rsidRPr="00FD211F">
        <w:rPr>
          <w:rtl/>
        </w:rPr>
        <w:t>المراد</w:t>
      </w:r>
      <w:r w:rsidR="00E8128F">
        <w:rPr>
          <w:rtl/>
        </w:rPr>
        <w:t xml:space="preserve"> </w:t>
      </w:r>
      <w:r w:rsidRPr="00FD211F">
        <w:rPr>
          <w:rtl/>
        </w:rPr>
        <w:t>بالحال</w:t>
      </w:r>
      <w:bookmarkEnd w:id="446"/>
      <w:bookmarkEnd w:id="447"/>
    </w:p>
    <w:p w14:paraId="3AF852E9" w14:textId="77777777" w:rsidR="00673C49" w:rsidRPr="00FD211F" w:rsidRDefault="006A47D3" w:rsidP="009C58C8">
      <w:pPr>
        <w:ind w:left="0" w:firstLine="227"/>
        <w:jc w:val="both"/>
        <w:rPr>
          <w:sz w:val="36"/>
          <w:szCs w:val="36"/>
          <w:rtl/>
        </w:rPr>
      </w:pPr>
      <w:r w:rsidRPr="00FD211F">
        <w:rPr>
          <w:b/>
          <w:bCs/>
          <w:sz w:val="36"/>
          <w:szCs w:val="36"/>
          <w:rtl/>
        </w:rPr>
        <w:t>الجه</w:t>
      </w:r>
      <w:r w:rsidR="00EC7EDF" w:rsidRPr="00FD211F">
        <w:rPr>
          <w:b/>
          <w:bCs/>
          <w:sz w:val="36"/>
          <w:szCs w:val="36"/>
          <w:rtl/>
        </w:rPr>
        <w:t>ة</w:t>
      </w:r>
      <w:r w:rsidR="00E8128F">
        <w:rPr>
          <w:b/>
          <w:bCs/>
          <w:sz w:val="36"/>
          <w:szCs w:val="36"/>
          <w:rtl/>
        </w:rPr>
        <w:t xml:space="preserve"> </w:t>
      </w:r>
      <w:r w:rsidRPr="00FD211F">
        <w:rPr>
          <w:b/>
          <w:bCs/>
          <w:sz w:val="36"/>
          <w:szCs w:val="36"/>
          <w:rtl/>
        </w:rPr>
        <w:t>الثالث</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00735D20" w:rsidRPr="00FD211F">
        <w:rPr>
          <w:sz w:val="36"/>
          <w:szCs w:val="36"/>
          <w:rtl/>
        </w:rPr>
        <w:t>حيث</w:t>
      </w:r>
      <w:r w:rsidR="00E8128F">
        <w:rPr>
          <w:sz w:val="36"/>
          <w:szCs w:val="36"/>
          <w:rtl/>
        </w:rPr>
        <w:t xml:space="preserve"> </w:t>
      </w:r>
      <w:r w:rsidR="00735D20" w:rsidRPr="00FD211F">
        <w:rPr>
          <w:sz w:val="36"/>
          <w:szCs w:val="36"/>
          <w:rtl/>
        </w:rPr>
        <w:t>كان</w:t>
      </w:r>
      <w:r w:rsidR="00E8128F">
        <w:rPr>
          <w:sz w:val="36"/>
          <w:szCs w:val="36"/>
          <w:rtl/>
        </w:rPr>
        <w:t xml:space="preserve"> </w:t>
      </w:r>
      <w:r w:rsidR="00735D20" w:rsidRPr="00FD211F">
        <w:rPr>
          <w:sz w:val="36"/>
          <w:szCs w:val="36"/>
          <w:rtl/>
        </w:rPr>
        <w:t>عنوان</w:t>
      </w:r>
      <w:r w:rsidR="00E8128F">
        <w:rPr>
          <w:sz w:val="36"/>
          <w:szCs w:val="36"/>
          <w:rtl/>
        </w:rPr>
        <w:t xml:space="preserve"> </w:t>
      </w:r>
      <w:r w:rsidR="00735D20" w:rsidRPr="00FD211F">
        <w:rPr>
          <w:sz w:val="36"/>
          <w:szCs w:val="36"/>
          <w:rtl/>
        </w:rPr>
        <w:t>البحث</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كلمات</w:t>
      </w:r>
      <w:r w:rsidR="00E8128F">
        <w:rPr>
          <w:sz w:val="36"/>
          <w:szCs w:val="36"/>
          <w:rtl/>
        </w:rPr>
        <w:t xml:space="preserve"> </w:t>
      </w:r>
      <w:r w:rsidRPr="00FD211F">
        <w:rPr>
          <w:sz w:val="36"/>
          <w:szCs w:val="36"/>
          <w:rtl/>
        </w:rPr>
        <w:t>المتقدمين</w:t>
      </w:r>
      <w:r w:rsidR="00E8128F">
        <w:rPr>
          <w:sz w:val="36"/>
          <w:szCs w:val="36"/>
          <w:rtl/>
        </w:rPr>
        <w:t xml:space="preserve"> </w:t>
      </w:r>
      <w:r w:rsidR="00735D20" w:rsidRPr="00FD211F">
        <w:rPr>
          <w:sz w:val="36"/>
          <w:szCs w:val="36"/>
          <w:rtl/>
        </w:rPr>
        <w:t>انه</w:t>
      </w:r>
      <w:r w:rsidR="00E8128F">
        <w:rPr>
          <w:sz w:val="36"/>
          <w:szCs w:val="36"/>
          <w:rtl/>
        </w:rPr>
        <w:t xml:space="preserve"> </w:t>
      </w:r>
      <w:r w:rsidR="00735D20" w:rsidRPr="00FD211F">
        <w:rPr>
          <w:sz w:val="36"/>
          <w:szCs w:val="36"/>
          <w:rtl/>
        </w:rPr>
        <w:t>هل</w:t>
      </w:r>
      <w:r w:rsidR="00E8128F">
        <w:rPr>
          <w:sz w:val="36"/>
          <w:szCs w:val="36"/>
          <w:rtl/>
        </w:rPr>
        <w:t xml:space="preserve"> </w:t>
      </w:r>
      <w:r w:rsidR="00735D20" w:rsidRPr="00FD211F">
        <w:rPr>
          <w:sz w:val="36"/>
          <w:szCs w:val="36"/>
          <w:rtl/>
        </w:rPr>
        <w:t>وضع</w:t>
      </w:r>
      <w:r w:rsidR="00E8128F">
        <w:rPr>
          <w:sz w:val="36"/>
          <w:szCs w:val="36"/>
          <w:rtl/>
        </w:rPr>
        <w:t xml:space="preserve"> </w:t>
      </w:r>
      <w:r w:rsidR="00735D20" w:rsidRPr="00FD211F">
        <w:rPr>
          <w:sz w:val="36"/>
          <w:szCs w:val="36"/>
          <w:rtl/>
        </w:rPr>
        <w:t>المشتق</w:t>
      </w:r>
      <w:r w:rsidR="00E8128F">
        <w:rPr>
          <w:sz w:val="36"/>
          <w:szCs w:val="36"/>
          <w:rtl/>
        </w:rPr>
        <w:t xml:space="preserve"> </w:t>
      </w:r>
      <w:r w:rsidR="00735D20" w:rsidRPr="00FD211F">
        <w:rPr>
          <w:sz w:val="36"/>
          <w:szCs w:val="36"/>
          <w:rtl/>
        </w:rPr>
        <w:t>على</w:t>
      </w:r>
      <w:r w:rsidR="00E8128F">
        <w:rPr>
          <w:sz w:val="36"/>
          <w:szCs w:val="36"/>
          <w:rtl/>
        </w:rPr>
        <w:t xml:space="preserve"> </w:t>
      </w:r>
      <w:r w:rsidR="00735D20" w:rsidRPr="00FD211F">
        <w:rPr>
          <w:sz w:val="36"/>
          <w:szCs w:val="36"/>
          <w:rtl/>
        </w:rPr>
        <w:t>خصوص</w:t>
      </w:r>
      <w:r w:rsidR="00E8128F">
        <w:rPr>
          <w:sz w:val="36"/>
          <w:szCs w:val="36"/>
          <w:rtl/>
        </w:rPr>
        <w:t xml:space="preserve"> </w:t>
      </w:r>
      <w:r w:rsidR="00735D20" w:rsidRPr="00FD211F">
        <w:rPr>
          <w:sz w:val="36"/>
          <w:szCs w:val="36"/>
          <w:rtl/>
        </w:rPr>
        <w:t>المتلبس</w:t>
      </w:r>
      <w:r w:rsidR="00E8128F">
        <w:rPr>
          <w:sz w:val="36"/>
          <w:szCs w:val="36"/>
          <w:rtl/>
        </w:rPr>
        <w:t xml:space="preserve"> </w:t>
      </w:r>
      <w:r w:rsidR="00735D20" w:rsidRPr="00FD211F">
        <w:rPr>
          <w:sz w:val="36"/>
          <w:szCs w:val="36"/>
          <w:rtl/>
        </w:rPr>
        <w:t>بال</w:t>
      </w:r>
      <w:r w:rsidR="0079493B" w:rsidRPr="00FD211F">
        <w:rPr>
          <w:sz w:val="36"/>
          <w:szCs w:val="36"/>
          <w:rtl/>
        </w:rPr>
        <w:t>مبدأ</w:t>
      </w:r>
      <w:r w:rsidR="00E8128F">
        <w:rPr>
          <w:sz w:val="36"/>
          <w:szCs w:val="36"/>
          <w:rtl/>
        </w:rPr>
        <w:t xml:space="preserve"> </w:t>
      </w:r>
      <w:r w:rsidR="00735D20" w:rsidRPr="00FD211F">
        <w:rPr>
          <w:sz w:val="36"/>
          <w:szCs w:val="36"/>
          <w:rtl/>
        </w:rPr>
        <w:t>في</w:t>
      </w:r>
      <w:r w:rsidR="00E8128F">
        <w:rPr>
          <w:sz w:val="36"/>
          <w:szCs w:val="36"/>
          <w:rtl/>
        </w:rPr>
        <w:t xml:space="preserve"> </w:t>
      </w:r>
      <w:r w:rsidR="00735D20" w:rsidRPr="00FD211F">
        <w:rPr>
          <w:sz w:val="36"/>
          <w:szCs w:val="36"/>
          <w:rtl/>
        </w:rPr>
        <w:t>الحال</w:t>
      </w:r>
      <w:r w:rsidR="00E8128F">
        <w:rPr>
          <w:sz w:val="36"/>
          <w:szCs w:val="36"/>
          <w:rtl/>
        </w:rPr>
        <w:t xml:space="preserve"> </w:t>
      </w:r>
      <w:r w:rsidR="00735D20" w:rsidRPr="00FD211F">
        <w:rPr>
          <w:sz w:val="36"/>
          <w:szCs w:val="36"/>
          <w:rtl/>
        </w:rPr>
        <w:t>او</w:t>
      </w:r>
      <w:r w:rsidR="00E8128F">
        <w:rPr>
          <w:sz w:val="36"/>
          <w:szCs w:val="36"/>
          <w:rtl/>
        </w:rPr>
        <w:t xml:space="preserve"> </w:t>
      </w:r>
      <w:r w:rsidRPr="00FD211F">
        <w:rPr>
          <w:sz w:val="36"/>
          <w:szCs w:val="36"/>
          <w:rtl/>
        </w:rPr>
        <w:t>على</w:t>
      </w:r>
      <w:r w:rsidR="00E8128F">
        <w:rPr>
          <w:sz w:val="36"/>
          <w:szCs w:val="36"/>
          <w:rtl/>
        </w:rPr>
        <w:t xml:space="preserve"> </w:t>
      </w:r>
      <w:r w:rsidR="00735D20" w:rsidRPr="00FD211F">
        <w:rPr>
          <w:sz w:val="36"/>
          <w:szCs w:val="36"/>
          <w:rtl/>
        </w:rPr>
        <w:t>الاعم</w:t>
      </w:r>
      <w:r w:rsidR="00E8128F">
        <w:rPr>
          <w:sz w:val="36"/>
          <w:szCs w:val="36"/>
          <w:rtl/>
        </w:rPr>
        <w:t xml:space="preserve"> </w:t>
      </w:r>
      <w:r w:rsidR="00735D20" w:rsidRPr="00FD211F">
        <w:rPr>
          <w:sz w:val="36"/>
          <w:szCs w:val="36"/>
          <w:rtl/>
        </w:rPr>
        <w:t>منه</w:t>
      </w:r>
      <w:r w:rsidR="00E8128F">
        <w:rPr>
          <w:sz w:val="36"/>
          <w:szCs w:val="36"/>
          <w:rtl/>
        </w:rPr>
        <w:t xml:space="preserve"> </w:t>
      </w:r>
      <w:r w:rsidR="00735D20" w:rsidRPr="00FD211F">
        <w:rPr>
          <w:sz w:val="36"/>
          <w:szCs w:val="36"/>
          <w:rtl/>
        </w:rPr>
        <w:t>ومما</w:t>
      </w:r>
      <w:r w:rsidR="00E8128F">
        <w:rPr>
          <w:sz w:val="36"/>
          <w:szCs w:val="36"/>
          <w:rtl/>
        </w:rPr>
        <w:t xml:space="preserve"> </w:t>
      </w:r>
      <w:r w:rsidR="00735D20" w:rsidRPr="00FD211F">
        <w:rPr>
          <w:sz w:val="36"/>
          <w:szCs w:val="36"/>
          <w:rtl/>
        </w:rPr>
        <w:t>انقضى</w:t>
      </w:r>
      <w:r w:rsidR="00E8128F">
        <w:rPr>
          <w:sz w:val="36"/>
          <w:szCs w:val="36"/>
          <w:rtl/>
        </w:rPr>
        <w:t xml:space="preserve"> </w:t>
      </w:r>
      <w:r w:rsidR="00735D20" w:rsidRPr="00FD211F">
        <w:rPr>
          <w:sz w:val="36"/>
          <w:szCs w:val="36"/>
          <w:rtl/>
        </w:rPr>
        <w:t>عنه</w:t>
      </w:r>
      <w:r w:rsidR="00E8128F">
        <w:rPr>
          <w:sz w:val="36"/>
          <w:szCs w:val="36"/>
          <w:rtl/>
        </w:rPr>
        <w:t xml:space="preserve"> </w:t>
      </w:r>
      <w:r w:rsidR="00735D20" w:rsidRPr="00FD211F">
        <w:rPr>
          <w:sz w:val="36"/>
          <w:szCs w:val="36"/>
          <w:rtl/>
        </w:rPr>
        <w:t>ال</w:t>
      </w:r>
      <w:r w:rsidR="0079493B" w:rsidRPr="00FD211F">
        <w:rPr>
          <w:sz w:val="36"/>
          <w:szCs w:val="36"/>
          <w:rtl/>
        </w:rPr>
        <w:t>مبدأ</w:t>
      </w:r>
      <w:r w:rsidR="00603323" w:rsidRPr="00FD211F">
        <w:rPr>
          <w:sz w:val="36"/>
          <w:szCs w:val="36"/>
          <w:rtl/>
        </w:rPr>
        <w:t>،</w:t>
      </w:r>
      <w:r w:rsidR="00E8128F">
        <w:rPr>
          <w:sz w:val="36"/>
          <w:szCs w:val="36"/>
          <w:rtl/>
        </w:rPr>
        <w:t xml:space="preserve"> </w:t>
      </w:r>
      <w:r w:rsidR="00735D20" w:rsidRPr="00FD211F">
        <w:rPr>
          <w:sz w:val="36"/>
          <w:szCs w:val="36"/>
          <w:rtl/>
        </w:rPr>
        <w:t>وكان</w:t>
      </w:r>
      <w:r w:rsidR="00E8128F">
        <w:rPr>
          <w:sz w:val="36"/>
          <w:szCs w:val="36"/>
          <w:rtl/>
        </w:rPr>
        <w:t xml:space="preserve"> </w:t>
      </w:r>
      <w:r w:rsidR="00735D20" w:rsidRPr="00FD211F">
        <w:rPr>
          <w:sz w:val="36"/>
          <w:szCs w:val="36"/>
          <w:rtl/>
        </w:rPr>
        <w:t>هذا</w:t>
      </w:r>
      <w:r w:rsidR="00E8128F">
        <w:rPr>
          <w:sz w:val="36"/>
          <w:szCs w:val="36"/>
          <w:rtl/>
        </w:rPr>
        <w:t xml:space="preserve"> </w:t>
      </w:r>
      <w:r w:rsidR="00735D20" w:rsidRPr="00FD211F">
        <w:rPr>
          <w:sz w:val="36"/>
          <w:szCs w:val="36"/>
          <w:rtl/>
        </w:rPr>
        <w:t>موهما</w:t>
      </w:r>
      <w:r w:rsidR="00E8128F">
        <w:rPr>
          <w:sz w:val="36"/>
          <w:szCs w:val="36"/>
          <w:rtl/>
        </w:rPr>
        <w:t xml:space="preserve"> </w:t>
      </w:r>
      <w:r w:rsidR="00735D20" w:rsidRPr="00FD211F">
        <w:rPr>
          <w:sz w:val="36"/>
          <w:szCs w:val="36"/>
          <w:rtl/>
        </w:rPr>
        <w:t>لأخذ</w:t>
      </w:r>
      <w:r w:rsidR="00E8128F">
        <w:rPr>
          <w:sz w:val="36"/>
          <w:szCs w:val="36"/>
          <w:rtl/>
        </w:rPr>
        <w:t xml:space="preserve"> </w:t>
      </w:r>
      <w:r w:rsidR="00735D20" w:rsidRPr="00FD211F">
        <w:rPr>
          <w:sz w:val="36"/>
          <w:szCs w:val="36"/>
          <w:rtl/>
        </w:rPr>
        <w:t>زمان</w:t>
      </w:r>
      <w:r w:rsidR="00E8128F">
        <w:rPr>
          <w:sz w:val="36"/>
          <w:szCs w:val="36"/>
          <w:rtl/>
        </w:rPr>
        <w:t xml:space="preserve"> </w:t>
      </w:r>
      <w:r w:rsidR="00735D20" w:rsidRPr="00FD211F">
        <w:rPr>
          <w:sz w:val="36"/>
          <w:szCs w:val="36"/>
          <w:rtl/>
        </w:rPr>
        <w:t>الحال</w:t>
      </w:r>
      <w:r w:rsidR="00E8128F">
        <w:rPr>
          <w:sz w:val="36"/>
          <w:szCs w:val="36"/>
          <w:rtl/>
        </w:rPr>
        <w:t xml:space="preserve"> </w:t>
      </w:r>
      <w:r w:rsidR="00735D20" w:rsidRPr="00FD211F">
        <w:rPr>
          <w:sz w:val="36"/>
          <w:szCs w:val="36"/>
          <w:rtl/>
        </w:rPr>
        <w:t>في</w:t>
      </w:r>
      <w:r w:rsidR="00E8128F">
        <w:rPr>
          <w:sz w:val="36"/>
          <w:szCs w:val="36"/>
          <w:rtl/>
        </w:rPr>
        <w:t xml:space="preserve"> </w:t>
      </w:r>
      <w:r w:rsidR="00735D20" w:rsidRPr="00FD211F">
        <w:rPr>
          <w:sz w:val="36"/>
          <w:szCs w:val="36"/>
          <w:rtl/>
        </w:rPr>
        <w:t>المشتق</w:t>
      </w:r>
      <w:r w:rsidR="00E8128F">
        <w:rPr>
          <w:sz w:val="36"/>
          <w:szCs w:val="36"/>
          <w:rtl/>
        </w:rPr>
        <w:t xml:space="preserve"> </w:t>
      </w:r>
      <w:r w:rsidR="00735D20" w:rsidRPr="00FD211F">
        <w:rPr>
          <w:sz w:val="36"/>
          <w:szCs w:val="36"/>
          <w:rtl/>
        </w:rPr>
        <w:t>بناء</w:t>
      </w:r>
      <w:r w:rsidR="00E8128F">
        <w:rPr>
          <w:sz w:val="36"/>
          <w:szCs w:val="36"/>
          <w:rtl/>
        </w:rPr>
        <w:t xml:space="preserve"> </w:t>
      </w:r>
      <w:r w:rsidR="00735D20" w:rsidRPr="00FD211F">
        <w:rPr>
          <w:sz w:val="36"/>
          <w:szCs w:val="36"/>
          <w:rtl/>
        </w:rPr>
        <w:t>على</w:t>
      </w:r>
      <w:r w:rsidR="00E8128F">
        <w:rPr>
          <w:sz w:val="36"/>
          <w:szCs w:val="36"/>
          <w:rtl/>
        </w:rPr>
        <w:t xml:space="preserve"> </w:t>
      </w:r>
      <w:r w:rsidR="00735D20" w:rsidRPr="00FD211F">
        <w:rPr>
          <w:sz w:val="36"/>
          <w:szCs w:val="36"/>
          <w:rtl/>
        </w:rPr>
        <w:t>الوضع</w:t>
      </w:r>
      <w:r w:rsidR="00E8128F">
        <w:rPr>
          <w:sz w:val="36"/>
          <w:szCs w:val="36"/>
          <w:rtl/>
        </w:rPr>
        <w:t xml:space="preserve"> </w:t>
      </w:r>
      <w:r w:rsidR="00735D20" w:rsidRPr="00FD211F">
        <w:rPr>
          <w:sz w:val="36"/>
          <w:szCs w:val="36"/>
          <w:rtl/>
        </w:rPr>
        <w:t>ل</w:t>
      </w:r>
      <w:r w:rsidRPr="00FD211F">
        <w:rPr>
          <w:sz w:val="36"/>
          <w:szCs w:val="36"/>
          <w:rtl/>
        </w:rPr>
        <w:t>خصوص</w:t>
      </w:r>
      <w:r w:rsidR="00E8128F">
        <w:rPr>
          <w:sz w:val="36"/>
          <w:szCs w:val="36"/>
          <w:rtl/>
        </w:rPr>
        <w:t xml:space="preserve"> </w:t>
      </w:r>
      <w:r w:rsidRPr="00FD211F">
        <w:rPr>
          <w:sz w:val="36"/>
          <w:szCs w:val="36"/>
          <w:rtl/>
        </w:rPr>
        <w:t>ا</w:t>
      </w:r>
      <w:r w:rsidR="00735D20" w:rsidRPr="00FD211F">
        <w:rPr>
          <w:sz w:val="36"/>
          <w:szCs w:val="36"/>
          <w:rtl/>
        </w:rPr>
        <w:t>لمتلبس</w:t>
      </w:r>
      <w:r w:rsidR="00E8128F">
        <w:rPr>
          <w:sz w:val="36"/>
          <w:szCs w:val="36"/>
          <w:rtl/>
        </w:rPr>
        <w:t xml:space="preserve"> </w:t>
      </w:r>
      <w:r w:rsidRPr="00FD211F">
        <w:rPr>
          <w:sz w:val="36"/>
          <w:szCs w:val="36"/>
          <w:rtl/>
        </w:rPr>
        <w:t>بال</w:t>
      </w:r>
      <w:r w:rsidR="0079493B" w:rsidRPr="00FD211F">
        <w:rPr>
          <w:sz w:val="36"/>
          <w:szCs w:val="36"/>
          <w:rtl/>
        </w:rPr>
        <w:t>مبدأ</w:t>
      </w:r>
      <w:r w:rsidR="00603323" w:rsidRPr="00FD211F">
        <w:rPr>
          <w:sz w:val="36"/>
          <w:szCs w:val="36"/>
          <w:rtl/>
        </w:rPr>
        <w:t>،</w:t>
      </w:r>
      <w:r w:rsidR="00E8128F">
        <w:rPr>
          <w:sz w:val="36"/>
          <w:szCs w:val="36"/>
          <w:rtl/>
        </w:rPr>
        <w:t xml:space="preserve"> </w:t>
      </w:r>
      <w:r w:rsidR="00735D20" w:rsidRPr="00FD211F">
        <w:rPr>
          <w:sz w:val="36"/>
          <w:szCs w:val="36"/>
          <w:rtl/>
        </w:rPr>
        <w:t>فمن</w:t>
      </w:r>
      <w:r w:rsidR="00E8128F">
        <w:rPr>
          <w:sz w:val="36"/>
          <w:szCs w:val="36"/>
          <w:rtl/>
        </w:rPr>
        <w:t xml:space="preserve"> </w:t>
      </w:r>
      <w:r w:rsidR="00735D20" w:rsidRPr="00FD211F">
        <w:rPr>
          <w:sz w:val="36"/>
          <w:szCs w:val="36"/>
          <w:rtl/>
        </w:rPr>
        <w:t>ثم</w:t>
      </w:r>
      <w:r w:rsidR="00E8128F">
        <w:rPr>
          <w:sz w:val="36"/>
          <w:szCs w:val="36"/>
          <w:rtl/>
        </w:rPr>
        <w:t xml:space="preserve"> </w:t>
      </w:r>
      <w:r w:rsidR="00735D20" w:rsidRPr="00FD211F">
        <w:rPr>
          <w:sz w:val="36"/>
          <w:szCs w:val="36"/>
          <w:rtl/>
        </w:rPr>
        <w:t>تصدى</w:t>
      </w:r>
      <w:r w:rsidR="00E8128F">
        <w:rPr>
          <w:sz w:val="36"/>
          <w:szCs w:val="36"/>
          <w:rtl/>
        </w:rPr>
        <w:t xml:space="preserve"> </w:t>
      </w:r>
      <w:r w:rsidR="00735D20" w:rsidRPr="00FD211F">
        <w:rPr>
          <w:sz w:val="36"/>
          <w:szCs w:val="36"/>
          <w:rtl/>
        </w:rPr>
        <w:t>المحققون</w:t>
      </w:r>
      <w:r w:rsidR="00E8128F">
        <w:rPr>
          <w:sz w:val="36"/>
          <w:szCs w:val="36"/>
          <w:rtl/>
        </w:rPr>
        <w:t xml:space="preserve"> </w:t>
      </w:r>
      <w:r w:rsidR="00735D20" w:rsidRPr="00FD211F">
        <w:rPr>
          <w:sz w:val="36"/>
          <w:szCs w:val="36"/>
          <w:rtl/>
        </w:rPr>
        <w:t>لدفع</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الوهم</w:t>
      </w:r>
      <w:r w:rsidR="00603323" w:rsidRPr="00FD211F">
        <w:rPr>
          <w:sz w:val="36"/>
          <w:szCs w:val="36"/>
          <w:rtl/>
        </w:rPr>
        <w:t>،</w:t>
      </w:r>
      <w:r w:rsidR="00E8128F">
        <w:rPr>
          <w:sz w:val="36"/>
          <w:szCs w:val="36"/>
          <w:rtl/>
        </w:rPr>
        <w:t xml:space="preserve"> </w:t>
      </w:r>
      <w:r w:rsidR="00735D20" w:rsidRPr="00FD211F">
        <w:rPr>
          <w:sz w:val="36"/>
          <w:szCs w:val="36"/>
          <w:rtl/>
        </w:rPr>
        <w:t>فقالوا</w:t>
      </w:r>
      <w:r w:rsidR="00E8128F">
        <w:rPr>
          <w:sz w:val="36"/>
          <w:szCs w:val="36"/>
          <w:rtl/>
        </w:rPr>
        <w:t xml:space="preserve"> </w:t>
      </w:r>
      <w:r w:rsidR="00735D20" w:rsidRPr="00FD211F">
        <w:rPr>
          <w:sz w:val="36"/>
          <w:szCs w:val="36"/>
          <w:rtl/>
        </w:rPr>
        <w:t>ان</w:t>
      </w:r>
      <w:r w:rsidR="00E8128F">
        <w:rPr>
          <w:sz w:val="36"/>
          <w:szCs w:val="36"/>
          <w:rtl/>
        </w:rPr>
        <w:t xml:space="preserve"> </w:t>
      </w:r>
      <w:r w:rsidR="00735D20" w:rsidRPr="00FD211F">
        <w:rPr>
          <w:sz w:val="36"/>
          <w:szCs w:val="36"/>
          <w:rtl/>
        </w:rPr>
        <w:t>المراد</w:t>
      </w:r>
      <w:r w:rsidR="00E8128F">
        <w:rPr>
          <w:sz w:val="36"/>
          <w:szCs w:val="36"/>
          <w:rtl/>
        </w:rPr>
        <w:t xml:space="preserve"> </w:t>
      </w:r>
      <w:r w:rsidR="00735D20" w:rsidRPr="00FD211F">
        <w:rPr>
          <w:sz w:val="36"/>
          <w:szCs w:val="36"/>
          <w:rtl/>
        </w:rPr>
        <w:t>هو</w:t>
      </w:r>
      <w:r w:rsidR="00E8128F">
        <w:rPr>
          <w:sz w:val="36"/>
          <w:szCs w:val="36"/>
          <w:rtl/>
        </w:rPr>
        <w:t xml:space="preserve"> </w:t>
      </w:r>
      <w:r w:rsidR="00735D20" w:rsidRPr="00FD211F">
        <w:rPr>
          <w:sz w:val="36"/>
          <w:szCs w:val="36"/>
          <w:rtl/>
        </w:rPr>
        <w:t>وضع</w:t>
      </w:r>
      <w:r w:rsidR="00E8128F">
        <w:rPr>
          <w:sz w:val="36"/>
          <w:szCs w:val="36"/>
          <w:rtl/>
        </w:rPr>
        <w:t xml:space="preserve"> </w:t>
      </w:r>
      <w:r w:rsidR="00735D20" w:rsidRPr="00FD211F">
        <w:rPr>
          <w:sz w:val="36"/>
          <w:szCs w:val="36"/>
          <w:rtl/>
        </w:rPr>
        <w:t>المشتق</w:t>
      </w:r>
      <w:r w:rsidR="00E8128F">
        <w:rPr>
          <w:sz w:val="36"/>
          <w:szCs w:val="36"/>
          <w:rtl/>
        </w:rPr>
        <w:t xml:space="preserve"> </w:t>
      </w:r>
      <w:r w:rsidR="00735D20" w:rsidRPr="00FD211F">
        <w:rPr>
          <w:sz w:val="36"/>
          <w:szCs w:val="36"/>
          <w:rtl/>
        </w:rPr>
        <w:t>للذات</w:t>
      </w:r>
      <w:r w:rsidR="00E8128F">
        <w:rPr>
          <w:sz w:val="36"/>
          <w:szCs w:val="36"/>
          <w:rtl/>
        </w:rPr>
        <w:t xml:space="preserve"> </w:t>
      </w:r>
      <w:r w:rsidR="00735D20" w:rsidRPr="00FD211F">
        <w:rPr>
          <w:sz w:val="36"/>
          <w:szCs w:val="36"/>
          <w:rtl/>
        </w:rPr>
        <w:t>في</w:t>
      </w:r>
      <w:r w:rsidR="00E8128F">
        <w:rPr>
          <w:sz w:val="36"/>
          <w:szCs w:val="36"/>
          <w:rtl/>
        </w:rPr>
        <w:t xml:space="preserve"> </w:t>
      </w:r>
      <w:r w:rsidR="00735D20" w:rsidRPr="00FD211F">
        <w:rPr>
          <w:sz w:val="36"/>
          <w:szCs w:val="36"/>
          <w:rtl/>
        </w:rPr>
        <w:t>حال</w:t>
      </w:r>
      <w:r w:rsidR="00E8128F">
        <w:rPr>
          <w:sz w:val="36"/>
          <w:szCs w:val="36"/>
          <w:rtl/>
        </w:rPr>
        <w:t xml:space="preserve"> </w:t>
      </w:r>
      <w:r w:rsidR="00735D20" w:rsidRPr="00FD211F">
        <w:rPr>
          <w:sz w:val="36"/>
          <w:szCs w:val="36"/>
          <w:rtl/>
        </w:rPr>
        <w:t>تلبسه</w:t>
      </w:r>
      <w:r w:rsidR="00D00E58" w:rsidRPr="00FD211F">
        <w:rPr>
          <w:sz w:val="36"/>
          <w:szCs w:val="36"/>
          <w:rtl/>
        </w:rPr>
        <w:t>ا</w:t>
      </w:r>
      <w:r w:rsidR="00E8128F">
        <w:rPr>
          <w:sz w:val="36"/>
          <w:szCs w:val="36"/>
          <w:rtl/>
        </w:rPr>
        <w:t xml:space="preserve"> </w:t>
      </w:r>
      <w:r w:rsidR="00735D20" w:rsidRPr="00FD211F">
        <w:rPr>
          <w:sz w:val="36"/>
          <w:szCs w:val="36"/>
          <w:rtl/>
        </w:rPr>
        <w:t>بال</w:t>
      </w:r>
      <w:r w:rsidR="0079493B" w:rsidRPr="00FD211F">
        <w:rPr>
          <w:sz w:val="36"/>
          <w:szCs w:val="36"/>
          <w:rtl/>
        </w:rPr>
        <w:t>مبدأ</w:t>
      </w:r>
      <w:r w:rsidR="00E8128F">
        <w:rPr>
          <w:sz w:val="36"/>
          <w:szCs w:val="36"/>
          <w:rtl/>
        </w:rPr>
        <w:t xml:space="preserve"> </w:t>
      </w:r>
      <w:r w:rsidR="00735D20" w:rsidRPr="00FD211F">
        <w:rPr>
          <w:sz w:val="36"/>
          <w:szCs w:val="36"/>
          <w:rtl/>
        </w:rPr>
        <w:t>فلاينطبق</w:t>
      </w:r>
      <w:r w:rsidR="00E8128F">
        <w:rPr>
          <w:sz w:val="36"/>
          <w:szCs w:val="36"/>
          <w:rtl/>
        </w:rPr>
        <w:t xml:space="preserve"> </w:t>
      </w:r>
      <w:r w:rsidR="00735D20" w:rsidRPr="00FD211F">
        <w:rPr>
          <w:sz w:val="36"/>
          <w:szCs w:val="36"/>
          <w:rtl/>
        </w:rPr>
        <w:t>على</w:t>
      </w:r>
      <w:r w:rsidR="00E8128F">
        <w:rPr>
          <w:sz w:val="36"/>
          <w:szCs w:val="36"/>
          <w:rtl/>
        </w:rPr>
        <w:t xml:space="preserve"> </w:t>
      </w:r>
      <w:r w:rsidR="00735D20" w:rsidRPr="00FD211F">
        <w:rPr>
          <w:sz w:val="36"/>
          <w:szCs w:val="36"/>
          <w:rtl/>
        </w:rPr>
        <w:t>الذات</w:t>
      </w:r>
      <w:r w:rsidR="00E8128F">
        <w:rPr>
          <w:sz w:val="36"/>
          <w:szCs w:val="36"/>
          <w:rtl/>
        </w:rPr>
        <w:t xml:space="preserve"> </w:t>
      </w:r>
      <w:r w:rsidR="00735D20" w:rsidRPr="00FD211F">
        <w:rPr>
          <w:sz w:val="36"/>
          <w:szCs w:val="36"/>
          <w:rtl/>
        </w:rPr>
        <w:t>بعد</w:t>
      </w:r>
      <w:r w:rsidR="00E8128F">
        <w:rPr>
          <w:sz w:val="36"/>
          <w:szCs w:val="36"/>
          <w:rtl/>
        </w:rPr>
        <w:t xml:space="preserve"> </w:t>
      </w:r>
      <w:r w:rsidR="00735D20" w:rsidRPr="00FD211F">
        <w:rPr>
          <w:sz w:val="36"/>
          <w:szCs w:val="36"/>
          <w:rtl/>
        </w:rPr>
        <w:t>انقضاء</w:t>
      </w:r>
      <w:r w:rsidR="00E8128F">
        <w:rPr>
          <w:sz w:val="36"/>
          <w:szCs w:val="36"/>
          <w:rtl/>
        </w:rPr>
        <w:t xml:space="preserve"> </w:t>
      </w:r>
      <w:r w:rsidR="00735D20" w:rsidRPr="00FD211F">
        <w:rPr>
          <w:sz w:val="36"/>
          <w:szCs w:val="36"/>
          <w:rtl/>
        </w:rPr>
        <w:t>تلبسه</w:t>
      </w:r>
      <w:r w:rsidR="00D00E58" w:rsidRPr="00FD211F">
        <w:rPr>
          <w:sz w:val="36"/>
          <w:szCs w:val="36"/>
          <w:rtl/>
        </w:rPr>
        <w:t>ا</w:t>
      </w:r>
      <w:r w:rsidR="00E8128F">
        <w:rPr>
          <w:sz w:val="36"/>
          <w:szCs w:val="36"/>
          <w:rtl/>
        </w:rPr>
        <w:t xml:space="preserve"> </w:t>
      </w:r>
      <w:r w:rsidR="00735D20" w:rsidRPr="00FD211F">
        <w:rPr>
          <w:sz w:val="36"/>
          <w:szCs w:val="36"/>
          <w:rtl/>
        </w:rPr>
        <w:t>به</w:t>
      </w:r>
      <w:r w:rsidR="00E8128F">
        <w:rPr>
          <w:sz w:val="36"/>
          <w:szCs w:val="36"/>
          <w:rtl/>
        </w:rPr>
        <w:t xml:space="preserve"> </w:t>
      </w:r>
      <w:r w:rsidR="00735D20" w:rsidRPr="00FD211F">
        <w:rPr>
          <w:sz w:val="36"/>
          <w:szCs w:val="36"/>
          <w:rtl/>
        </w:rPr>
        <w:t>من</w:t>
      </w:r>
      <w:r w:rsidR="00E8128F">
        <w:rPr>
          <w:sz w:val="36"/>
          <w:szCs w:val="36"/>
          <w:rtl/>
        </w:rPr>
        <w:t xml:space="preserve"> </w:t>
      </w:r>
      <w:r w:rsidR="00735D20" w:rsidRPr="00FD211F">
        <w:rPr>
          <w:sz w:val="36"/>
          <w:szCs w:val="36"/>
          <w:rtl/>
        </w:rPr>
        <w:t>دون</w:t>
      </w:r>
      <w:r w:rsidR="00E8128F">
        <w:rPr>
          <w:sz w:val="36"/>
          <w:szCs w:val="36"/>
          <w:rtl/>
        </w:rPr>
        <w:t xml:space="preserve"> </w:t>
      </w:r>
      <w:r w:rsidR="00735D20" w:rsidRPr="00FD211F">
        <w:rPr>
          <w:sz w:val="36"/>
          <w:szCs w:val="36"/>
          <w:rtl/>
        </w:rPr>
        <w:t>اخذ</w:t>
      </w:r>
      <w:r w:rsidR="00E8128F">
        <w:rPr>
          <w:sz w:val="36"/>
          <w:szCs w:val="36"/>
          <w:rtl/>
        </w:rPr>
        <w:t xml:space="preserve"> </w:t>
      </w:r>
      <w:r w:rsidR="00735D20" w:rsidRPr="00FD211F">
        <w:rPr>
          <w:sz w:val="36"/>
          <w:szCs w:val="36"/>
          <w:rtl/>
        </w:rPr>
        <w:t>زمان</w:t>
      </w:r>
      <w:r w:rsidR="00E8128F">
        <w:rPr>
          <w:sz w:val="36"/>
          <w:szCs w:val="36"/>
          <w:rtl/>
        </w:rPr>
        <w:t xml:space="preserve"> </w:t>
      </w:r>
      <w:r w:rsidR="00735D20" w:rsidRPr="00FD211F">
        <w:rPr>
          <w:sz w:val="36"/>
          <w:szCs w:val="36"/>
          <w:rtl/>
        </w:rPr>
        <w:t>فيه</w:t>
      </w:r>
      <w:r w:rsidR="00E8128F">
        <w:rPr>
          <w:sz w:val="36"/>
          <w:szCs w:val="36"/>
          <w:rtl/>
        </w:rPr>
        <w:t xml:space="preserve"> </w:t>
      </w:r>
      <w:r w:rsidR="000B0A38" w:rsidRPr="00FD211F">
        <w:rPr>
          <w:sz w:val="36"/>
          <w:szCs w:val="36"/>
          <w:rtl/>
        </w:rPr>
        <w:t>وهذا</w:t>
      </w:r>
      <w:r w:rsidR="00E8128F">
        <w:rPr>
          <w:sz w:val="36"/>
          <w:szCs w:val="36"/>
          <w:rtl/>
        </w:rPr>
        <w:t xml:space="preserve"> </w:t>
      </w:r>
      <w:r w:rsidR="00735D20" w:rsidRPr="00FD211F">
        <w:rPr>
          <w:sz w:val="36"/>
          <w:szCs w:val="36"/>
          <w:rtl/>
        </w:rPr>
        <w:t>مثل</w:t>
      </w:r>
      <w:r w:rsidR="00E8128F">
        <w:rPr>
          <w:sz w:val="36"/>
          <w:szCs w:val="36"/>
          <w:rtl/>
        </w:rPr>
        <w:t xml:space="preserve"> </w:t>
      </w:r>
      <w:r w:rsidR="00735D20" w:rsidRPr="00FD211F">
        <w:rPr>
          <w:sz w:val="36"/>
          <w:szCs w:val="36"/>
          <w:rtl/>
        </w:rPr>
        <w:t>السيف</w:t>
      </w:r>
      <w:r w:rsidR="00E8128F">
        <w:rPr>
          <w:sz w:val="36"/>
          <w:szCs w:val="36"/>
          <w:rtl/>
        </w:rPr>
        <w:t xml:space="preserve"> </w:t>
      </w:r>
      <w:r w:rsidR="00735D20" w:rsidRPr="00FD211F">
        <w:rPr>
          <w:sz w:val="36"/>
          <w:szCs w:val="36"/>
          <w:rtl/>
        </w:rPr>
        <w:t>حيث</w:t>
      </w:r>
      <w:r w:rsidR="00E8128F">
        <w:rPr>
          <w:sz w:val="36"/>
          <w:szCs w:val="36"/>
          <w:rtl/>
        </w:rPr>
        <w:t xml:space="preserve"> </w:t>
      </w:r>
      <w:r w:rsidR="00735D20" w:rsidRPr="00FD211F">
        <w:rPr>
          <w:sz w:val="36"/>
          <w:szCs w:val="36"/>
          <w:rtl/>
        </w:rPr>
        <w:t>لايصدق</w:t>
      </w:r>
      <w:r w:rsidR="00E8128F">
        <w:rPr>
          <w:sz w:val="36"/>
          <w:szCs w:val="36"/>
          <w:rtl/>
        </w:rPr>
        <w:t xml:space="preserve"> </w:t>
      </w:r>
      <w:r w:rsidR="000B0A38" w:rsidRPr="00FD211F">
        <w:rPr>
          <w:sz w:val="36"/>
          <w:szCs w:val="36"/>
          <w:rtl/>
        </w:rPr>
        <w:t>السيف</w:t>
      </w:r>
      <w:r w:rsidR="00E8128F">
        <w:rPr>
          <w:sz w:val="36"/>
          <w:szCs w:val="36"/>
          <w:rtl/>
        </w:rPr>
        <w:t xml:space="preserve"> </w:t>
      </w:r>
      <w:r w:rsidR="00735D20" w:rsidRPr="00FD211F">
        <w:rPr>
          <w:sz w:val="36"/>
          <w:szCs w:val="36"/>
          <w:rtl/>
        </w:rPr>
        <w:t>على</w:t>
      </w:r>
      <w:r w:rsidR="00E8128F">
        <w:rPr>
          <w:sz w:val="36"/>
          <w:szCs w:val="36"/>
          <w:rtl/>
        </w:rPr>
        <w:t xml:space="preserve"> </w:t>
      </w:r>
      <w:r w:rsidR="00735D20" w:rsidRPr="00FD211F">
        <w:rPr>
          <w:sz w:val="36"/>
          <w:szCs w:val="36"/>
          <w:rtl/>
        </w:rPr>
        <w:t>الحديد</w:t>
      </w:r>
      <w:r w:rsidR="00E8128F">
        <w:rPr>
          <w:sz w:val="36"/>
          <w:szCs w:val="36"/>
          <w:rtl/>
        </w:rPr>
        <w:t xml:space="preserve"> </w:t>
      </w:r>
      <w:r w:rsidR="00735D20" w:rsidRPr="00FD211F">
        <w:rPr>
          <w:sz w:val="36"/>
          <w:szCs w:val="36"/>
          <w:rtl/>
        </w:rPr>
        <w:t>الذي</w:t>
      </w:r>
      <w:r w:rsidR="00E8128F">
        <w:rPr>
          <w:sz w:val="36"/>
          <w:szCs w:val="36"/>
          <w:rtl/>
        </w:rPr>
        <w:t xml:space="preserve"> </w:t>
      </w:r>
      <w:r w:rsidR="00735D20" w:rsidRPr="00FD211F">
        <w:rPr>
          <w:sz w:val="36"/>
          <w:szCs w:val="36"/>
          <w:rtl/>
        </w:rPr>
        <w:t>كان</w:t>
      </w:r>
      <w:r w:rsidR="00E8128F">
        <w:rPr>
          <w:sz w:val="36"/>
          <w:szCs w:val="36"/>
          <w:rtl/>
        </w:rPr>
        <w:t xml:space="preserve"> </w:t>
      </w:r>
      <w:r w:rsidR="00735D20" w:rsidRPr="00FD211F">
        <w:rPr>
          <w:sz w:val="36"/>
          <w:szCs w:val="36"/>
          <w:rtl/>
        </w:rPr>
        <w:t>سيفا</w:t>
      </w:r>
      <w:r w:rsidR="00E8128F">
        <w:rPr>
          <w:sz w:val="36"/>
          <w:szCs w:val="36"/>
          <w:rtl/>
        </w:rPr>
        <w:t xml:space="preserve"> </w:t>
      </w:r>
      <w:r w:rsidR="00821B9F" w:rsidRPr="00FD211F">
        <w:rPr>
          <w:sz w:val="36"/>
          <w:szCs w:val="36"/>
          <w:rtl/>
        </w:rPr>
        <w:t>ثم</w:t>
      </w:r>
      <w:r w:rsidR="00E8128F">
        <w:rPr>
          <w:sz w:val="36"/>
          <w:szCs w:val="36"/>
          <w:rtl/>
        </w:rPr>
        <w:t xml:space="preserve"> </w:t>
      </w:r>
      <w:r w:rsidR="00821B9F" w:rsidRPr="00FD211F">
        <w:rPr>
          <w:sz w:val="36"/>
          <w:szCs w:val="36"/>
          <w:rtl/>
        </w:rPr>
        <w:t>زال</w:t>
      </w:r>
      <w:r w:rsidR="00D00E58" w:rsidRPr="00FD211F">
        <w:rPr>
          <w:sz w:val="36"/>
          <w:szCs w:val="36"/>
          <w:rtl/>
        </w:rPr>
        <w:t>ت</w:t>
      </w:r>
      <w:r w:rsidR="00E8128F">
        <w:rPr>
          <w:sz w:val="36"/>
          <w:szCs w:val="36"/>
          <w:rtl/>
        </w:rPr>
        <w:t xml:space="preserve"> </w:t>
      </w:r>
      <w:r w:rsidR="00821B9F" w:rsidRPr="00FD211F">
        <w:rPr>
          <w:sz w:val="36"/>
          <w:szCs w:val="36"/>
          <w:rtl/>
        </w:rPr>
        <w:t>عنه</w:t>
      </w:r>
      <w:r w:rsidR="00E8128F">
        <w:rPr>
          <w:sz w:val="36"/>
          <w:szCs w:val="36"/>
          <w:rtl/>
        </w:rPr>
        <w:t xml:space="preserve"> </w:t>
      </w:r>
      <w:r w:rsidR="00821B9F" w:rsidRPr="00FD211F">
        <w:rPr>
          <w:sz w:val="36"/>
          <w:szCs w:val="36"/>
          <w:rtl/>
        </w:rPr>
        <w:t>صور</w:t>
      </w:r>
      <w:r w:rsidR="00EC7EDF" w:rsidRPr="00FD211F">
        <w:rPr>
          <w:sz w:val="36"/>
          <w:szCs w:val="36"/>
          <w:rtl/>
        </w:rPr>
        <w:t>ة</w:t>
      </w:r>
      <w:r w:rsidR="00E8128F">
        <w:rPr>
          <w:sz w:val="36"/>
          <w:szCs w:val="36"/>
          <w:rtl/>
        </w:rPr>
        <w:t xml:space="preserve"> </w:t>
      </w:r>
      <w:r w:rsidR="00821B9F" w:rsidRPr="00FD211F">
        <w:rPr>
          <w:sz w:val="36"/>
          <w:szCs w:val="36"/>
          <w:rtl/>
        </w:rPr>
        <w:t>السيفي</w:t>
      </w:r>
      <w:r w:rsidR="00EC7EDF" w:rsidRPr="00FD211F">
        <w:rPr>
          <w:sz w:val="36"/>
          <w:szCs w:val="36"/>
          <w:rtl/>
        </w:rPr>
        <w:t>ة</w:t>
      </w:r>
      <w:r w:rsidR="00E8128F">
        <w:rPr>
          <w:sz w:val="36"/>
          <w:szCs w:val="36"/>
          <w:rtl/>
        </w:rPr>
        <w:t xml:space="preserve"> </w:t>
      </w:r>
      <w:r w:rsidR="00D00E58" w:rsidRPr="00FD211F">
        <w:rPr>
          <w:sz w:val="36"/>
          <w:szCs w:val="36"/>
          <w:rtl/>
        </w:rPr>
        <w:t>ل</w:t>
      </w:r>
      <w:r w:rsidR="00735D20" w:rsidRPr="00FD211F">
        <w:rPr>
          <w:sz w:val="36"/>
          <w:szCs w:val="36"/>
          <w:rtl/>
        </w:rPr>
        <w:t>انه</w:t>
      </w:r>
      <w:r w:rsidR="00E8128F">
        <w:rPr>
          <w:sz w:val="36"/>
          <w:szCs w:val="36"/>
          <w:rtl/>
        </w:rPr>
        <w:t xml:space="preserve"> </w:t>
      </w:r>
      <w:r w:rsidR="00735D20" w:rsidRPr="00FD211F">
        <w:rPr>
          <w:sz w:val="36"/>
          <w:szCs w:val="36"/>
          <w:rtl/>
        </w:rPr>
        <w:t>موضوع</w:t>
      </w:r>
      <w:r w:rsidR="00E8128F">
        <w:rPr>
          <w:sz w:val="36"/>
          <w:szCs w:val="36"/>
          <w:rtl/>
        </w:rPr>
        <w:t xml:space="preserve"> </w:t>
      </w:r>
      <w:r w:rsidR="00735D20" w:rsidRPr="00FD211F">
        <w:rPr>
          <w:sz w:val="36"/>
          <w:szCs w:val="36"/>
          <w:rtl/>
        </w:rPr>
        <w:t>لحص</w:t>
      </w:r>
      <w:r w:rsidR="00EC7EDF" w:rsidRPr="00FD211F">
        <w:rPr>
          <w:sz w:val="36"/>
          <w:szCs w:val="36"/>
          <w:rtl/>
        </w:rPr>
        <w:t>ة</w:t>
      </w:r>
      <w:r w:rsidR="00E8128F">
        <w:rPr>
          <w:sz w:val="36"/>
          <w:szCs w:val="36"/>
          <w:rtl/>
        </w:rPr>
        <w:t xml:space="preserve"> </w:t>
      </w:r>
      <w:r w:rsidR="00735D20" w:rsidRPr="00FD211F">
        <w:rPr>
          <w:sz w:val="36"/>
          <w:szCs w:val="36"/>
          <w:rtl/>
        </w:rPr>
        <w:t>خاص</w:t>
      </w:r>
      <w:r w:rsidR="00EC7EDF" w:rsidRPr="00FD211F">
        <w:rPr>
          <w:sz w:val="36"/>
          <w:szCs w:val="36"/>
          <w:rtl/>
        </w:rPr>
        <w:t>ة</w:t>
      </w:r>
      <w:r w:rsidR="00E8128F">
        <w:rPr>
          <w:sz w:val="36"/>
          <w:szCs w:val="36"/>
          <w:rtl/>
        </w:rPr>
        <w:t xml:space="preserve"> </w:t>
      </w:r>
      <w:r w:rsidR="00735D20" w:rsidRPr="00FD211F">
        <w:rPr>
          <w:sz w:val="36"/>
          <w:szCs w:val="36"/>
          <w:rtl/>
        </w:rPr>
        <w:t>من</w:t>
      </w:r>
      <w:r w:rsidR="00E8128F">
        <w:rPr>
          <w:sz w:val="36"/>
          <w:szCs w:val="36"/>
          <w:rtl/>
        </w:rPr>
        <w:t xml:space="preserve"> </w:t>
      </w:r>
      <w:r w:rsidR="00735D20" w:rsidRPr="00FD211F">
        <w:rPr>
          <w:sz w:val="36"/>
          <w:szCs w:val="36"/>
          <w:rtl/>
        </w:rPr>
        <w:t>الحديد</w:t>
      </w:r>
      <w:r w:rsidR="00E8128F">
        <w:rPr>
          <w:sz w:val="36"/>
          <w:szCs w:val="36"/>
          <w:rtl/>
        </w:rPr>
        <w:t xml:space="preserve"> </w:t>
      </w:r>
      <w:r w:rsidR="00735D20" w:rsidRPr="00FD211F">
        <w:rPr>
          <w:sz w:val="36"/>
          <w:szCs w:val="36"/>
          <w:rtl/>
        </w:rPr>
        <w:t>وهو</w:t>
      </w:r>
      <w:r w:rsidR="00E8128F">
        <w:rPr>
          <w:sz w:val="36"/>
          <w:szCs w:val="36"/>
          <w:rtl/>
        </w:rPr>
        <w:t xml:space="preserve"> </w:t>
      </w:r>
      <w:r w:rsidR="00735D20" w:rsidRPr="00FD211F">
        <w:rPr>
          <w:sz w:val="36"/>
          <w:szCs w:val="36"/>
          <w:rtl/>
        </w:rPr>
        <w:t>الحديد</w:t>
      </w:r>
      <w:r w:rsidR="00E8128F">
        <w:rPr>
          <w:sz w:val="36"/>
          <w:szCs w:val="36"/>
          <w:rtl/>
        </w:rPr>
        <w:t xml:space="preserve"> </w:t>
      </w:r>
      <w:r w:rsidR="00673C49" w:rsidRPr="00FD211F">
        <w:rPr>
          <w:sz w:val="36"/>
          <w:szCs w:val="36"/>
          <w:rtl/>
        </w:rPr>
        <w:t>المقترن</w:t>
      </w:r>
      <w:r w:rsidR="00E8128F">
        <w:rPr>
          <w:sz w:val="36"/>
          <w:szCs w:val="36"/>
          <w:rtl/>
        </w:rPr>
        <w:t xml:space="preserve"> </w:t>
      </w:r>
      <w:r w:rsidR="00673C49" w:rsidRPr="00FD211F">
        <w:rPr>
          <w:sz w:val="36"/>
          <w:szCs w:val="36"/>
          <w:rtl/>
        </w:rPr>
        <w:t>بهيئ</w:t>
      </w:r>
      <w:r w:rsidR="00EC7EDF" w:rsidRPr="00FD211F">
        <w:rPr>
          <w:sz w:val="36"/>
          <w:szCs w:val="36"/>
          <w:rtl/>
        </w:rPr>
        <w:t>ة</w:t>
      </w:r>
      <w:r w:rsidR="00E8128F">
        <w:rPr>
          <w:sz w:val="36"/>
          <w:szCs w:val="36"/>
          <w:rtl/>
        </w:rPr>
        <w:t xml:space="preserve"> </w:t>
      </w:r>
      <w:r w:rsidR="00673C49" w:rsidRPr="00FD211F">
        <w:rPr>
          <w:sz w:val="36"/>
          <w:szCs w:val="36"/>
          <w:rtl/>
        </w:rPr>
        <w:t>خاص</w:t>
      </w:r>
      <w:r w:rsidR="00EC7EDF" w:rsidRPr="00FD211F">
        <w:rPr>
          <w:sz w:val="36"/>
          <w:szCs w:val="36"/>
          <w:rtl/>
        </w:rPr>
        <w:t>ة</w:t>
      </w:r>
      <w:r w:rsidR="00603323" w:rsidRPr="00FD211F">
        <w:rPr>
          <w:sz w:val="36"/>
          <w:szCs w:val="36"/>
          <w:rtl/>
        </w:rPr>
        <w:t>،</w:t>
      </w:r>
      <w:r w:rsidR="00E8128F">
        <w:rPr>
          <w:sz w:val="36"/>
          <w:szCs w:val="36"/>
          <w:rtl/>
        </w:rPr>
        <w:t xml:space="preserve"> </w:t>
      </w:r>
      <w:r w:rsidR="00673C49" w:rsidRPr="00FD211F">
        <w:rPr>
          <w:sz w:val="36"/>
          <w:szCs w:val="36"/>
          <w:rtl/>
        </w:rPr>
        <w:t>وهذا</w:t>
      </w:r>
      <w:r w:rsidR="00E8128F">
        <w:rPr>
          <w:sz w:val="36"/>
          <w:szCs w:val="36"/>
          <w:rtl/>
        </w:rPr>
        <w:t xml:space="preserve"> </w:t>
      </w:r>
      <w:r w:rsidR="00673C49" w:rsidRPr="00FD211F">
        <w:rPr>
          <w:sz w:val="36"/>
          <w:szCs w:val="36"/>
          <w:rtl/>
        </w:rPr>
        <w:t>هو</w:t>
      </w:r>
      <w:r w:rsidR="00E8128F">
        <w:rPr>
          <w:sz w:val="36"/>
          <w:szCs w:val="36"/>
          <w:rtl/>
        </w:rPr>
        <w:t xml:space="preserve"> </w:t>
      </w:r>
      <w:r w:rsidR="00673C49" w:rsidRPr="00FD211F">
        <w:rPr>
          <w:sz w:val="36"/>
          <w:szCs w:val="36"/>
          <w:rtl/>
        </w:rPr>
        <w:t>الصحيح</w:t>
      </w:r>
      <w:r w:rsidR="00E8128F">
        <w:rPr>
          <w:sz w:val="36"/>
          <w:szCs w:val="36"/>
          <w:rtl/>
        </w:rPr>
        <w:t xml:space="preserve"> </w:t>
      </w:r>
      <w:r w:rsidR="00673C49" w:rsidRPr="00FD211F">
        <w:rPr>
          <w:sz w:val="36"/>
          <w:szCs w:val="36"/>
          <w:rtl/>
        </w:rPr>
        <w:t>فانه</w:t>
      </w:r>
      <w:r w:rsidR="00E8128F">
        <w:rPr>
          <w:sz w:val="36"/>
          <w:szCs w:val="36"/>
          <w:rtl/>
        </w:rPr>
        <w:t xml:space="preserve"> </w:t>
      </w:r>
      <w:r w:rsidR="00673C49" w:rsidRPr="00FD211F">
        <w:rPr>
          <w:sz w:val="36"/>
          <w:szCs w:val="36"/>
          <w:rtl/>
        </w:rPr>
        <w:t>لايتبادر</w:t>
      </w:r>
      <w:r w:rsidR="00E8128F">
        <w:rPr>
          <w:sz w:val="36"/>
          <w:szCs w:val="36"/>
          <w:rtl/>
        </w:rPr>
        <w:t xml:space="preserve"> </w:t>
      </w:r>
      <w:r w:rsidR="00673C49" w:rsidRPr="00FD211F">
        <w:rPr>
          <w:sz w:val="36"/>
          <w:szCs w:val="36"/>
          <w:rtl/>
        </w:rPr>
        <w:t>من</w:t>
      </w:r>
      <w:r w:rsidR="00E8128F">
        <w:rPr>
          <w:sz w:val="36"/>
          <w:szCs w:val="36"/>
          <w:rtl/>
        </w:rPr>
        <w:t xml:space="preserve"> </w:t>
      </w:r>
      <w:r w:rsidR="00673C49" w:rsidRPr="00FD211F">
        <w:rPr>
          <w:sz w:val="36"/>
          <w:szCs w:val="36"/>
          <w:rtl/>
        </w:rPr>
        <w:t>المشتق</w:t>
      </w:r>
      <w:r w:rsidR="00E8128F">
        <w:rPr>
          <w:sz w:val="36"/>
          <w:szCs w:val="36"/>
          <w:rtl/>
        </w:rPr>
        <w:t xml:space="preserve"> </w:t>
      </w:r>
      <w:r w:rsidR="00673C49" w:rsidRPr="00FD211F">
        <w:rPr>
          <w:sz w:val="36"/>
          <w:szCs w:val="36"/>
          <w:rtl/>
        </w:rPr>
        <w:t>زمان</w:t>
      </w:r>
      <w:r w:rsidR="00E8128F">
        <w:rPr>
          <w:sz w:val="36"/>
          <w:szCs w:val="36"/>
          <w:rtl/>
        </w:rPr>
        <w:t xml:space="preserve"> </w:t>
      </w:r>
      <w:r w:rsidR="00673C49" w:rsidRPr="00FD211F">
        <w:rPr>
          <w:sz w:val="36"/>
          <w:szCs w:val="36"/>
          <w:rtl/>
        </w:rPr>
        <w:t>الحال</w:t>
      </w:r>
      <w:r w:rsidR="00E8128F">
        <w:rPr>
          <w:sz w:val="36"/>
          <w:szCs w:val="36"/>
          <w:rtl/>
        </w:rPr>
        <w:t xml:space="preserve"> </w:t>
      </w:r>
      <w:r w:rsidR="00673C49" w:rsidRPr="00FD211F">
        <w:rPr>
          <w:sz w:val="36"/>
          <w:szCs w:val="36"/>
          <w:rtl/>
        </w:rPr>
        <w:t>او</w:t>
      </w:r>
      <w:r w:rsidR="00E8128F">
        <w:rPr>
          <w:sz w:val="36"/>
          <w:szCs w:val="36"/>
          <w:rtl/>
        </w:rPr>
        <w:t xml:space="preserve"> </w:t>
      </w:r>
      <w:r w:rsidR="00673C49" w:rsidRPr="00FD211F">
        <w:rPr>
          <w:sz w:val="36"/>
          <w:szCs w:val="36"/>
          <w:rtl/>
        </w:rPr>
        <w:t>اي</w:t>
      </w:r>
      <w:r w:rsidR="00E8128F">
        <w:rPr>
          <w:sz w:val="36"/>
          <w:szCs w:val="36"/>
          <w:rtl/>
        </w:rPr>
        <w:t xml:space="preserve"> </w:t>
      </w:r>
      <w:r w:rsidR="00673C49" w:rsidRPr="00FD211F">
        <w:rPr>
          <w:sz w:val="36"/>
          <w:szCs w:val="36"/>
          <w:rtl/>
        </w:rPr>
        <w:t>زمان</w:t>
      </w:r>
      <w:r w:rsidR="00E8128F">
        <w:rPr>
          <w:sz w:val="36"/>
          <w:szCs w:val="36"/>
          <w:rtl/>
        </w:rPr>
        <w:t xml:space="preserve"> </w:t>
      </w:r>
      <w:r w:rsidR="00673C49" w:rsidRPr="00FD211F">
        <w:rPr>
          <w:sz w:val="36"/>
          <w:szCs w:val="36"/>
          <w:rtl/>
        </w:rPr>
        <w:t>من</w:t>
      </w:r>
      <w:r w:rsidR="00E8128F">
        <w:rPr>
          <w:sz w:val="36"/>
          <w:szCs w:val="36"/>
          <w:rtl/>
        </w:rPr>
        <w:t xml:space="preserve"> </w:t>
      </w:r>
      <w:r w:rsidR="00673C49" w:rsidRPr="00FD211F">
        <w:rPr>
          <w:sz w:val="36"/>
          <w:szCs w:val="36"/>
          <w:rtl/>
        </w:rPr>
        <w:t>الأزمن</w:t>
      </w:r>
      <w:r w:rsidR="00EC7EDF" w:rsidRPr="00FD211F">
        <w:rPr>
          <w:sz w:val="36"/>
          <w:szCs w:val="36"/>
          <w:rtl/>
        </w:rPr>
        <w:t>ة</w:t>
      </w:r>
      <w:r w:rsidR="00A61BAE" w:rsidRPr="00FD211F">
        <w:rPr>
          <w:sz w:val="36"/>
          <w:szCs w:val="36"/>
          <w:rtl/>
        </w:rPr>
        <w:t>.</w:t>
      </w:r>
    </w:p>
    <w:p w14:paraId="63918A96" w14:textId="77777777" w:rsidR="000C5BBA" w:rsidRPr="00FD211F" w:rsidRDefault="00673C49" w:rsidP="009C58C8">
      <w:pPr>
        <w:ind w:left="0" w:firstLine="227"/>
        <w:jc w:val="both"/>
        <w:rPr>
          <w:sz w:val="36"/>
          <w:szCs w:val="36"/>
          <w:rtl/>
        </w:rPr>
      </w:pPr>
      <w:r w:rsidRPr="00FD211F">
        <w:rPr>
          <w:sz w:val="36"/>
          <w:szCs w:val="36"/>
          <w:rtl/>
        </w:rPr>
        <w:t>وقد</w:t>
      </w:r>
      <w:r w:rsidR="00E8128F">
        <w:rPr>
          <w:sz w:val="36"/>
          <w:szCs w:val="36"/>
          <w:rtl/>
        </w:rPr>
        <w:t xml:space="preserve"> </w:t>
      </w:r>
      <w:r w:rsidR="00821B9F" w:rsidRPr="00FD211F">
        <w:rPr>
          <w:sz w:val="36"/>
          <w:szCs w:val="36"/>
          <w:rtl/>
        </w:rPr>
        <w:t>استدل</w:t>
      </w:r>
      <w:r w:rsidR="00E8128F">
        <w:rPr>
          <w:sz w:val="36"/>
          <w:szCs w:val="36"/>
          <w:rtl/>
        </w:rPr>
        <w:t xml:space="preserve"> </w:t>
      </w:r>
      <w:r w:rsidR="00821B9F" w:rsidRPr="00FD211F">
        <w:rPr>
          <w:sz w:val="36"/>
          <w:szCs w:val="36"/>
          <w:rtl/>
        </w:rPr>
        <w:t>في</w:t>
      </w:r>
      <w:r w:rsidR="00E8128F">
        <w:rPr>
          <w:sz w:val="36"/>
          <w:szCs w:val="36"/>
          <w:rtl/>
        </w:rPr>
        <w:t xml:space="preserve"> </w:t>
      </w:r>
      <w:r w:rsidR="00821B9F" w:rsidRPr="00FD211F">
        <w:rPr>
          <w:sz w:val="36"/>
          <w:szCs w:val="36"/>
          <w:rtl/>
        </w:rPr>
        <w:t>البحوث</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بان</w:t>
      </w:r>
      <w:r w:rsidR="00E8128F">
        <w:rPr>
          <w:sz w:val="36"/>
          <w:szCs w:val="36"/>
          <w:rtl/>
        </w:rPr>
        <w:t xml:space="preserve"> </w:t>
      </w:r>
      <w:r w:rsidR="00821B9F" w:rsidRPr="00FD211F">
        <w:rPr>
          <w:sz w:val="36"/>
          <w:szCs w:val="36"/>
          <w:rtl/>
        </w:rPr>
        <w:t>الدال</w:t>
      </w:r>
      <w:r w:rsidR="00E8128F">
        <w:rPr>
          <w:sz w:val="36"/>
          <w:szCs w:val="36"/>
          <w:rtl/>
        </w:rPr>
        <w:t xml:space="preserve"> </w:t>
      </w:r>
      <w:r w:rsidR="00821B9F" w:rsidRPr="00FD211F">
        <w:rPr>
          <w:sz w:val="36"/>
          <w:szCs w:val="36"/>
          <w:rtl/>
        </w:rPr>
        <w:t>على</w:t>
      </w:r>
      <w:r w:rsidR="00E8128F">
        <w:rPr>
          <w:sz w:val="36"/>
          <w:szCs w:val="36"/>
          <w:rtl/>
        </w:rPr>
        <w:t xml:space="preserve"> </w:t>
      </w:r>
      <w:r w:rsidR="00821B9F" w:rsidRPr="00FD211F">
        <w:rPr>
          <w:sz w:val="36"/>
          <w:szCs w:val="36"/>
          <w:rtl/>
        </w:rPr>
        <w:t>زمان</w:t>
      </w:r>
      <w:r w:rsidR="00E8128F">
        <w:rPr>
          <w:sz w:val="36"/>
          <w:szCs w:val="36"/>
          <w:rtl/>
        </w:rPr>
        <w:t xml:space="preserve"> </w:t>
      </w:r>
      <w:r w:rsidR="00821B9F" w:rsidRPr="00FD211F">
        <w:rPr>
          <w:sz w:val="36"/>
          <w:szCs w:val="36"/>
          <w:rtl/>
        </w:rPr>
        <w:t>الحال</w:t>
      </w:r>
      <w:r w:rsidR="00E8128F">
        <w:rPr>
          <w:sz w:val="36"/>
          <w:szCs w:val="36"/>
          <w:rtl/>
        </w:rPr>
        <w:t xml:space="preserve"> </w:t>
      </w:r>
      <w:r w:rsidR="00821B9F" w:rsidRPr="00FD211F">
        <w:rPr>
          <w:sz w:val="36"/>
          <w:szCs w:val="36"/>
          <w:rtl/>
        </w:rPr>
        <w:t>إما</w:t>
      </w:r>
      <w:r w:rsidR="00E8128F">
        <w:rPr>
          <w:sz w:val="36"/>
          <w:szCs w:val="36"/>
          <w:rtl/>
        </w:rPr>
        <w:t xml:space="preserve"> </w:t>
      </w:r>
      <w:r w:rsidR="00372893" w:rsidRPr="00FD211F">
        <w:rPr>
          <w:sz w:val="36"/>
          <w:szCs w:val="36"/>
          <w:rtl/>
        </w:rPr>
        <w:t>ان</w:t>
      </w:r>
      <w:r w:rsidR="00E8128F">
        <w:rPr>
          <w:sz w:val="36"/>
          <w:szCs w:val="36"/>
          <w:rtl/>
        </w:rPr>
        <w:t xml:space="preserve"> </w:t>
      </w:r>
      <w:r w:rsidR="00372893" w:rsidRPr="00FD211F">
        <w:rPr>
          <w:sz w:val="36"/>
          <w:szCs w:val="36"/>
          <w:rtl/>
        </w:rPr>
        <w:t>يكون</w:t>
      </w:r>
      <w:r w:rsidR="00E8128F">
        <w:rPr>
          <w:sz w:val="36"/>
          <w:szCs w:val="36"/>
          <w:rtl/>
        </w:rPr>
        <w:t xml:space="preserve"> </w:t>
      </w:r>
      <w:r w:rsidRPr="00FD211F">
        <w:rPr>
          <w:sz w:val="36"/>
          <w:szCs w:val="36"/>
          <w:rtl/>
        </w:rPr>
        <w:t>ماد</w:t>
      </w:r>
      <w:r w:rsidR="00EC7EDF" w:rsidRPr="00FD211F">
        <w:rPr>
          <w:sz w:val="36"/>
          <w:szCs w:val="36"/>
          <w:rtl/>
        </w:rPr>
        <w:t>ة</w:t>
      </w:r>
      <w:r w:rsidR="00E8128F">
        <w:rPr>
          <w:sz w:val="36"/>
          <w:szCs w:val="36"/>
          <w:rtl/>
        </w:rPr>
        <w:t xml:space="preserve"> </w:t>
      </w:r>
      <w:r w:rsidRPr="00FD211F">
        <w:rPr>
          <w:sz w:val="36"/>
          <w:szCs w:val="36"/>
          <w:rtl/>
        </w:rPr>
        <w:t>المشتق</w:t>
      </w:r>
      <w:r w:rsidR="00E8128F">
        <w:rPr>
          <w:sz w:val="36"/>
          <w:szCs w:val="36"/>
          <w:rtl/>
        </w:rPr>
        <w:t xml:space="preserve"> </w:t>
      </w:r>
      <w:r w:rsidR="000B0A38" w:rsidRPr="00FD211F">
        <w:rPr>
          <w:sz w:val="36"/>
          <w:szCs w:val="36"/>
          <w:rtl/>
        </w:rPr>
        <w:t>او</w:t>
      </w:r>
      <w:r w:rsidR="00E8128F">
        <w:rPr>
          <w:sz w:val="36"/>
          <w:szCs w:val="36"/>
          <w:rtl/>
        </w:rPr>
        <w:t xml:space="preserve"> </w:t>
      </w:r>
      <w:r w:rsidR="000B0A38" w:rsidRPr="00FD211F">
        <w:rPr>
          <w:sz w:val="36"/>
          <w:szCs w:val="36"/>
          <w:rtl/>
        </w:rPr>
        <w:t>هيئته.</w:t>
      </w:r>
    </w:p>
    <w:p w14:paraId="617E8371" w14:textId="77777777" w:rsidR="000C5BBA" w:rsidRPr="00FD211F" w:rsidRDefault="000B0A38" w:rsidP="009C58C8">
      <w:pPr>
        <w:ind w:left="0" w:firstLine="227"/>
        <w:jc w:val="both"/>
        <w:rPr>
          <w:sz w:val="36"/>
          <w:szCs w:val="36"/>
          <w:rtl/>
        </w:rPr>
      </w:pPr>
      <w:r w:rsidRPr="00FD211F">
        <w:rPr>
          <w:sz w:val="36"/>
          <w:szCs w:val="36"/>
          <w:rtl/>
        </w:rPr>
        <w:t>أما</w:t>
      </w:r>
      <w:r w:rsidR="00E8128F">
        <w:rPr>
          <w:sz w:val="36"/>
          <w:szCs w:val="36"/>
          <w:rtl/>
        </w:rPr>
        <w:t xml:space="preserve"> </w:t>
      </w:r>
      <w:r w:rsidRPr="00FD211F">
        <w:rPr>
          <w:sz w:val="36"/>
          <w:szCs w:val="36"/>
          <w:rtl/>
        </w:rPr>
        <w:t>مادة</w:t>
      </w:r>
      <w:r w:rsidR="00E8128F">
        <w:rPr>
          <w:sz w:val="36"/>
          <w:szCs w:val="36"/>
          <w:rtl/>
        </w:rPr>
        <w:t xml:space="preserve"> </w:t>
      </w:r>
      <w:r w:rsidRPr="00FD211F">
        <w:rPr>
          <w:sz w:val="36"/>
          <w:szCs w:val="36"/>
          <w:rtl/>
        </w:rPr>
        <w:t>المشتق</w:t>
      </w:r>
      <w:r w:rsidR="00E8128F">
        <w:rPr>
          <w:sz w:val="36"/>
          <w:szCs w:val="36"/>
          <w:rtl/>
        </w:rPr>
        <w:t xml:space="preserve"> </w:t>
      </w:r>
      <w:r w:rsidR="00372893" w:rsidRPr="00FD211F">
        <w:rPr>
          <w:sz w:val="36"/>
          <w:szCs w:val="36"/>
          <w:rtl/>
        </w:rPr>
        <w:t>ف</w:t>
      </w:r>
      <w:r w:rsidR="00673C49" w:rsidRPr="00FD211F">
        <w:rPr>
          <w:sz w:val="36"/>
          <w:szCs w:val="36"/>
          <w:rtl/>
        </w:rPr>
        <w:t>لاتدل</w:t>
      </w:r>
      <w:r w:rsidR="00E8128F">
        <w:rPr>
          <w:sz w:val="36"/>
          <w:szCs w:val="36"/>
          <w:rtl/>
        </w:rPr>
        <w:t xml:space="preserve"> </w:t>
      </w:r>
      <w:r w:rsidR="00673C49" w:rsidRPr="00FD211F">
        <w:rPr>
          <w:sz w:val="36"/>
          <w:szCs w:val="36"/>
          <w:rtl/>
        </w:rPr>
        <w:t>على</w:t>
      </w:r>
      <w:r w:rsidR="00E8128F">
        <w:rPr>
          <w:sz w:val="36"/>
          <w:szCs w:val="36"/>
          <w:rtl/>
        </w:rPr>
        <w:t xml:space="preserve"> </w:t>
      </w:r>
      <w:r w:rsidR="00821B9F" w:rsidRPr="00FD211F">
        <w:rPr>
          <w:sz w:val="36"/>
          <w:szCs w:val="36"/>
          <w:rtl/>
        </w:rPr>
        <w:t>ال</w:t>
      </w:r>
      <w:r w:rsidR="00673C49" w:rsidRPr="00FD211F">
        <w:rPr>
          <w:sz w:val="36"/>
          <w:szCs w:val="36"/>
          <w:rtl/>
        </w:rPr>
        <w:t>زمان</w:t>
      </w:r>
      <w:r w:rsidR="00E8128F">
        <w:rPr>
          <w:sz w:val="36"/>
          <w:szCs w:val="36"/>
          <w:rtl/>
        </w:rPr>
        <w:t xml:space="preserve"> </w:t>
      </w:r>
      <w:r w:rsidR="00372893" w:rsidRPr="00FD211F">
        <w:rPr>
          <w:sz w:val="36"/>
          <w:szCs w:val="36"/>
          <w:rtl/>
        </w:rPr>
        <w:t>جزما</w:t>
      </w:r>
      <w:r w:rsidR="00E8128F">
        <w:rPr>
          <w:sz w:val="36"/>
          <w:szCs w:val="36"/>
          <w:rtl/>
        </w:rPr>
        <w:t xml:space="preserve"> </w:t>
      </w:r>
      <w:r w:rsidR="00372893" w:rsidRPr="00FD211F">
        <w:rPr>
          <w:sz w:val="36"/>
          <w:szCs w:val="36"/>
          <w:rtl/>
        </w:rPr>
        <w:t>لكونها</w:t>
      </w:r>
      <w:r w:rsidR="00E8128F">
        <w:rPr>
          <w:sz w:val="36"/>
          <w:szCs w:val="36"/>
          <w:rtl/>
        </w:rPr>
        <w:t xml:space="preserve"> </w:t>
      </w:r>
      <w:r w:rsidR="00372893" w:rsidRPr="00FD211F">
        <w:rPr>
          <w:sz w:val="36"/>
          <w:szCs w:val="36"/>
          <w:rtl/>
        </w:rPr>
        <w:t>موجود</w:t>
      </w:r>
      <w:r w:rsidR="00EC7EDF" w:rsidRPr="00FD211F">
        <w:rPr>
          <w:sz w:val="36"/>
          <w:szCs w:val="36"/>
          <w:rtl/>
        </w:rPr>
        <w:t>ة</w:t>
      </w:r>
      <w:r w:rsidR="00E8128F">
        <w:rPr>
          <w:sz w:val="36"/>
          <w:szCs w:val="36"/>
          <w:rtl/>
        </w:rPr>
        <w:t xml:space="preserve"> </w:t>
      </w:r>
      <w:r w:rsidR="00821B9F" w:rsidRPr="00FD211F">
        <w:rPr>
          <w:sz w:val="36"/>
          <w:szCs w:val="36"/>
          <w:rtl/>
        </w:rPr>
        <w:t>في</w:t>
      </w:r>
      <w:r w:rsidR="00E8128F">
        <w:rPr>
          <w:sz w:val="36"/>
          <w:szCs w:val="36"/>
          <w:rtl/>
        </w:rPr>
        <w:t xml:space="preserve"> </w:t>
      </w:r>
      <w:r w:rsidR="00372893" w:rsidRPr="00FD211F">
        <w:rPr>
          <w:sz w:val="36"/>
          <w:szCs w:val="36"/>
          <w:rtl/>
        </w:rPr>
        <w:t>ضمن</w:t>
      </w:r>
      <w:r w:rsidR="00E8128F">
        <w:rPr>
          <w:sz w:val="36"/>
          <w:szCs w:val="36"/>
          <w:rtl/>
        </w:rPr>
        <w:t xml:space="preserve"> </w:t>
      </w:r>
      <w:r w:rsidR="00673C49" w:rsidRPr="00FD211F">
        <w:rPr>
          <w:sz w:val="36"/>
          <w:szCs w:val="36"/>
          <w:rtl/>
        </w:rPr>
        <w:t>المصدر</w:t>
      </w:r>
      <w:r w:rsidR="00E8128F">
        <w:rPr>
          <w:sz w:val="36"/>
          <w:szCs w:val="36"/>
          <w:rtl/>
        </w:rPr>
        <w:t xml:space="preserve"> </w:t>
      </w:r>
      <w:r w:rsidR="00372893" w:rsidRPr="00FD211F">
        <w:rPr>
          <w:sz w:val="36"/>
          <w:szCs w:val="36"/>
          <w:rtl/>
        </w:rPr>
        <w:t>ايضا</w:t>
      </w:r>
      <w:r w:rsidR="00E8128F">
        <w:rPr>
          <w:sz w:val="36"/>
          <w:szCs w:val="36"/>
          <w:rtl/>
        </w:rPr>
        <w:t xml:space="preserve"> </w:t>
      </w:r>
      <w:r w:rsidR="00673C49" w:rsidRPr="00FD211F">
        <w:rPr>
          <w:sz w:val="36"/>
          <w:szCs w:val="36"/>
          <w:rtl/>
        </w:rPr>
        <w:t>وهو</w:t>
      </w:r>
      <w:r w:rsidR="00E8128F">
        <w:rPr>
          <w:sz w:val="36"/>
          <w:szCs w:val="36"/>
          <w:rtl/>
        </w:rPr>
        <w:t xml:space="preserve"> </w:t>
      </w:r>
      <w:r w:rsidR="00372893" w:rsidRPr="00FD211F">
        <w:rPr>
          <w:sz w:val="36"/>
          <w:szCs w:val="36"/>
          <w:rtl/>
        </w:rPr>
        <w:t>لايدل</w:t>
      </w:r>
      <w:r w:rsidR="00E8128F">
        <w:rPr>
          <w:sz w:val="36"/>
          <w:szCs w:val="36"/>
          <w:rtl/>
        </w:rPr>
        <w:t xml:space="preserve"> </w:t>
      </w:r>
      <w:r w:rsidR="00372893" w:rsidRPr="00FD211F">
        <w:rPr>
          <w:sz w:val="36"/>
          <w:szCs w:val="36"/>
          <w:rtl/>
        </w:rPr>
        <w:t>على</w:t>
      </w:r>
      <w:r w:rsidR="00E8128F">
        <w:rPr>
          <w:sz w:val="36"/>
          <w:szCs w:val="36"/>
          <w:rtl/>
        </w:rPr>
        <w:t xml:space="preserve"> </w:t>
      </w:r>
      <w:r w:rsidRPr="00FD211F">
        <w:rPr>
          <w:sz w:val="36"/>
          <w:szCs w:val="36"/>
          <w:rtl/>
        </w:rPr>
        <w:t>الزمان</w:t>
      </w:r>
      <w:r w:rsidR="00E8128F">
        <w:rPr>
          <w:sz w:val="36"/>
          <w:szCs w:val="36"/>
          <w:rtl/>
        </w:rPr>
        <w:t xml:space="preserve"> </w:t>
      </w:r>
      <w:r w:rsidRPr="00FD211F">
        <w:rPr>
          <w:sz w:val="36"/>
          <w:szCs w:val="36"/>
          <w:rtl/>
        </w:rPr>
        <w:t>ابدا.</w:t>
      </w:r>
    </w:p>
    <w:p w14:paraId="4D8575EB" w14:textId="77777777" w:rsidR="00FA4977" w:rsidRPr="00FD211F" w:rsidRDefault="000B0A38" w:rsidP="009C58C8">
      <w:pPr>
        <w:ind w:left="0" w:firstLine="227"/>
        <w:jc w:val="both"/>
        <w:rPr>
          <w:sz w:val="36"/>
          <w:szCs w:val="36"/>
          <w:rtl/>
        </w:rPr>
      </w:pPr>
      <w:r w:rsidRPr="00FD211F">
        <w:rPr>
          <w:sz w:val="36"/>
          <w:szCs w:val="36"/>
          <w:rtl/>
        </w:rPr>
        <w:t>واما</w:t>
      </w:r>
      <w:r w:rsidR="00E8128F">
        <w:rPr>
          <w:sz w:val="36"/>
          <w:szCs w:val="36"/>
          <w:rtl/>
        </w:rPr>
        <w:t xml:space="preserve"> </w:t>
      </w:r>
      <w:r w:rsidRPr="00FD211F">
        <w:rPr>
          <w:sz w:val="36"/>
          <w:szCs w:val="36"/>
          <w:rtl/>
        </w:rPr>
        <w:t>هيئة</w:t>
      </w:r>
      <w:r w:rsidR="00E8128F">
        <w:rPr>
          <w:sz w:val="36"/>
          <w:szCs w:val="36"/>
          <w:rtl/>
        </w:rPr>
        <w:t xml:space="preserve"> </w:t>
      </w:r>
      <w:r w:rsidRPr="00FD211F">
        <w:rPr>
          <w:sz w:val="36"/>
          <w:szCs w:val="36"/>
          <w:rtl/>
        </w:rPr>
        <w:t>المشتق</w:t>
      </w:r>
      <w:r w:rsidR="00E8128F">
        <w:rPr>
          <w:sz w:val="36"/>
          <w:szCs w:val="36"/>
          <w:rtl/>
        </w:rPr>
        <w:t xml:space="preserve"> </w:t>
      </w:r>
      <w:r w:rsidR="00821B9F" w:rsidRPr="00FD211F">
        <w:rPr>
          <w:sz w:val="36"/>
          <w:szCs w:val="36"/>
          <w:rtl/>
        </w:rPr>
        <w:t>فلايحتمل</w:t>
      </w:r>
      <w:r w:rsidR="00E8128F">
        <w:rPr>
          <w:sz w:val="36"/>
          <w:szCs w:val="36"/>
          <w:rtl/>
        </w:rPr>
        <w:t xml:space="preserve"> </w:t>
      </w:r>
      <w:r w:rsidR="00821B9F" w:rsidRPr="00FD211F">
        <w:rPr>
          <w:sz w:val="36"/>
          <w:szCs w:val="36"/>
          <w:rtl/>
        </w:rPr>
        <w:t>ان</w:t>
      </w:r>
      <w:r w:rsidR="00E8128F">
        <w:rPr>
          <w:sz w:val="36"/>
          <w:szCs w:val="36"/>
          <w:rtl/>
        </w:rPr>
        <w:t xml:space="preserve"> </w:t>
      </w:r>
      <w:r w:rsidR="00821B9F" w:rsidRPr="00FD211F">
        <w:rPr>
          <w:sz w:val="36"/>
          <w:szCs w:val="36"/>
          <w:rtl/>
        </w:rPr>
        <w:t>يكون</w:t>
      </w:r>
      <w:r w:rsidR="00E8128F">
        <w:rPr>
          <w:sz w:val="36"/>
          <w:szCs w:val="36"/>
          <w:rtl/>
        </w:rPr>
        <w:t xml:space="preserve"> </w:t>
      </w:r>
      <w:r w:rsidR="00673C49" w:rsidRPr="00FD211F">
        <w:rPr>
          <w:sz w:val="36"/>
          <w:szCs w:val="36"/>
          <w:rtl/>
        </w:rPr>
        <w:t>دلالتها</w:t>
      </w:r>
      <w:r w:rsidR="00E8128F">
        <w:rPr>
          <w:sz w:val="36"/>
          <w:szCs w:val="36"/>
          <w:rtl/>
        </w:rPr>
        <w:t xml:space="preserve"> </w:t>
      </w:r>
      <w:r w:rsidR="00673C49" w:rsidRPr="00FD211F">
        <w:rPr>
          <w:sz w:val="36"/>
          <w:szCs w:val="36"/>
          <w:rtl/>
        </w:rPr>
        <w:t>على</w:t>
      </w:r>
      <w:r w:rsidR="00E8128F">
        <w:rPr>
          <w:sz w:val="36"/>
          <w:szCs w:val="36"/>
          <w:rtl/>
        </w:rPr>
        <w:t xml:space="preserve"> </w:t>
      </w:r>
      <w:r w:rsidR="00673C49" w:rsidRPr="00FD211F">
        <w:rPr>
          <w:sz w:val="36"/>
          <w:szCs w:val="36"/>
          <w:rtl/>
        </w:rPr>
        <w:t>زمان</w:t>
      </w:r>
      <w:r w:rsidR="00E8128F">
        <w:rPr>
          <w:sz w:val="36"/>
          <w:szCs w:val="36"/>
          <w:rtl/>
        </w:rPr>
        <w:t xml:space="preserve"> </w:t>
      </w:r>
      <w:r w:rsidR="00673C49" w:rsidRPr="00FD211F">
        <w:rPr>
          <w:sz w:val="36"/>
          <w:szCs w:val="36"/>
          <w:rtl/>
        </w:rPr>
        <w:t>الحال</w:t>
      </w:r>
      <w:r w:rsidR="00E8128F">
        <w:rPr>
          <w:sz w:val="36"/>
          <w:szCs w:val="36"/>
          <w:rtl/>
        </w:rPr>
        <w:t xml:space="preserve"> </w:t>
      </w:r>
      <w:r w:rsidR="00673C49" w:rsidRPr="00FD211F">
        <w:rPr>
          <w:sz w:val="36"/>
          <w:szCs w:val="36"/>
          <w:rtl/>
        </w:rPr>
        <w:t>بنحو</w:t>
      </w:r>
      <w:r w:rsidR="00E8128F">
        <w:rPr>
          <w:sz w:val="36"/>
          <w:szCs w:val="36"/>
          <w:rtl/>
        </w:rPr>
        <w:t xml:space="preserve"> </w:t>
      </w:r>
      <w:r w:rsidR="00673C49" w:rsidRPr="00FD211F">
        <w:rPr>
          <w:sz w:val="36"/>
          <w:szCs w:val="36"/>
          <w:rtl/>
        </w:rPr>
        <w:t>المعنى</w:t>
      </w:r>
      <w:r w:rsidR="00E8128F">
        <w:rPr>
          <w:sz w:val="36"/>
          <w:szCs w:val="36"/>
          <w:rtl/>
        </w:rPr>
        <w:t xml:space="preserve"> </w:t>
      </w:r>
      <w:r w:rsidR="00673C49" w:rsidRPr="00FD211F">
        <w:rPr>
          <w:sz w:val="36"/>
          <w:szCs w:val="36"/>
          <w:rtl/>
        </w:rPr>
        <w:t>الإسمي</w:t>
      </w:r>
      <w:r w:rsidR="00E8128F">
        <w:rPr>
          <w:sz w:val="36"/>
          <w:szCs w:val="36"/>
          <w:rtl/>
        </w:rPr>
        <w:t xml:space="preserve"> </w:t>
      </w:r>
      <w:r w:rsidR="00821B9F" w:rsidRPr="00FD211F">
        <w:rPr>
          <w:sz w:val="36"/>
          <w:szCs w:val="36"/>
          <w:rtl/>
        </w:rPr>
        <w:t>بعد</w:t>
      </w:r>
      <w:r w:rsidR="00E8128F">
        <w:rPr>
          <w:sz w:val="36"/>
          <w:szCs w:val="36"/>
          <w:rtl/>
        </w:rPr>
        <w:t xml:space="preserve"> </w:t>
      </w:r>
      <w:r w:rsidR="00821B9F" w:rsidRPr="00FD211F">
        <w:rPr>
          <w:sz w:val="36"/>
          <w:szCs w:val="36"/>
          <w:rtl/>
        </w:rPr>
        <w:t>ان</w:t>
      </w:r>
      <w:r w:rsidR="00E8128F">
        <w:rPr>
          <w:sz w:val="36"/>
          <w:szCs w:val="36"/>
          <w:rtl/>
        </w:rPr>
        <w:t xml:space="preserve"> </w:t>
      </w:r>
      <w:r w:rsidR="00821B9F" w:rsidRPr="00FD211F">
        <w:rPr>
          <w:sz w:val="36"/>
          <w:szCs w:val="36"/>
          <w:rtl/>
        </w:rPr>
        <w:t>كان</w:t>
      </w:r>
      <w:r w:rsidR="00E8128F">
        <w:rPr>
          <w:sz w:val="36"/>
          <w:szCs w:val="36"/>
          <w:rtl/>
        </w:rPr>
        <w:t xml:space="preserve"> </w:t>
      </w:r>
      <w:r w:rsidR="00821B9F" w:rsidRPr="00FD211F">
        <w:rPr>
          <w:sz w:val="36"/>
          <w:szCs w:val="36"/>
          <w:rtl/>
        </w:rPr>
        <w:t>مدلول</w:t>
      </w:r>
      <w:r w:rsidR="00E8128F">
        <w:rPr>
          <w:sz w:val="36"/>
          <w:szCs w:val="36"/>
          <w:rtl/>
        </w:rPr>
        <w:t xml:space="preserve"> </w:t>
      </w:r>
      <w:r w:rsidR="00821B9F" w:rsidRPr="00FD211F">
        <w:rPr>
          <w:sz w:val="36"/>
          <w:szCs w:val="36"/>
          <w:rtl/>
        </w:rPr>
        <w:t>الهيئ</w:t>
      </w:r>
      <w:r w:rsidR="00EC7EDF" w:rsidRPr="00FD211F">
        <w:rPr>
          <w:sz w:val="36"/>
          <w:szCs w:val="36"/>
          <w:rtl/>
        </w:rPr>
        <w:t>ة</w:t>
      </w:r>
      <w:r w:rsidR="00E8128F">
        <w:rPr>
          <w:sz w:val="36"/>
          <w:szCs w:val="36"/>
          <w:rtl/>
        </w:rPr>
        <w:t xml:space="preserve"> </w:t>
      </w:r>
      <w:r w:rsidR="00821B9F" w:rsidRPr="00FD211F">
        <w:rPr>
          <w:sz w:val="36"/>
          <w:szCs w:val="36"/>
          <w:rtl/>
        </w:rPr>
        <w:t>معنى</w:t>
      </w:r>
      <w:r w:rsidR="00E8128F">
        <w:rPr>
          <w:sz w:val="36"/>
          <w:szCs w:val="36"/>
          <w:rtl/>
        </w:rPr>
        <w:t xml:space="preserve"> </w:t>
      </w:r>
      <w:r w:rsidR="00821B9F" w:rsidRPr="00FD211F">
        <w:rPr>
          <w:sz w:val="36"/>
          <w:szCs w:val="36"/>
          <w:rtl/>
        </w:rPr>
        <w:t>حرفيا</w:t>
      </w:r>
      <w:r w:rsidR="00E8128F">
        <w:rPr>
          <w:sz w:val="36"/>
          <w:szCs w:val="36"/>
          <w:rtl/>
        </w:rPr>
        <w:t xml:space="preserve"> </w:t>
      </w:r>
      <w:r w:rsidR="00821B9F" w:rsidRPr="00FD211F">
        <w:rPr>
          <w:sz w:val="36"/>
          <w:szCs w:val="36"/>
          <w:rtl/>
        </w:rPr>
        <w:t>فيبقى</w:t>
      </w:r>
      <w:r w:rsidR="00E8128F">
        <w:rPr>
          <w:sz w:val="36"/>
          <w:szCs w:val="36"/>
          <w:rtl/>
        </w:rPr>
        <w:t xml:space="preserve"> </w:t>
      </w:r>
      <w:r w:rsidR="00821B9F" w:rsidRPr="00FD211F">
        <w:rPr>
          <w:sz w:val="36"/>
          <w:szCs w:val="36"/>
          <w:rtl/>
        </w:rPr>
        <w:t>احتمال</w:t>
      </w:r>
      <w:r w:rsidR="00E8128F">
        <w:rPr>
          <w:sz w:val="36"/>
          <w:szCs w:val="36"/>
          <w:rtl/>
        </w:rPr>
        <w:t xml:space="preserve"> </w:t>
      </w:r>
      <w:r w:rsidR="00821B9F" w:rsidRPr="00FD211F">
        <w:rPr>
          <w:sz w:val="36"/>
          <w:szCs w:val="36"/>
          <w:rtl/>
        </w:rPr>
        <w:t>دلال</w:t>
      </w:r>
      <w:r w:rsidR="00EC7EDF" w:rsidRPr="00FD211F">
        <w:rPr>
          <w:sz w:val="36"/>
          <w:szCs w:val="36"/>
          <w:rtl/>
        </w:rPr>
        <w:t>ة</w:t>
      </w:r>
      <w:r w:rsidR="00E8128F">
        <w:rPr>
          <w:sz w:val="36"/>
          <w:szCs w:val="36"/>
          <w:rtl/>
        </w:rPr>
        <w:t xml:space="preserve"> </w:t>
      </w:r>
      <w:r w:rsidR="00821B9F" w:rsidRPr="00FD211F">
        <w:rPr>
          <w:sz w:val="36"/>
          <w:szCs w:val="36"/>
          <w:rtl/>
        </w:rPr>
        <w:t>هيئ</w:t>
      </w:r>
      <w:r w:rsidR="00EC7EDF" w:rsidRPr="00FD211F">
        <w:rPr>
          <w:sz w:val="36"/>
          <w:szCs w:val="36"/>
          <w:rtl/>
        </w:rPr>
        <w:t>ة</w:t>
      </w:r>
      <w:r w:rsidR="00E8128F">
        <w:rPr>
          <w:sz w:val="36"/>
          <w:szCs w:val="36"/>
          <w:rtl/>
        </w:rPr>
        <w:t xml:space="preserve"> </w:t>
      </w:r>
      <w:r w:rsidR="00821B9F" w:rsidRPr="00FD211F">
        <w:rPr>
          <w:sz w:val="36"/>
          <w:szCs w:val="36"/>
          <w:rtl/>
        </w:rPr>
        <w:t>المشتق</w:t>
      </w:r>
      <w:r w:rsidR="00E8128F">
        <w:rPr>
          <w:sz w:val="36"/>
          <w:szCs w:val="36"/>
          <w:rtl/>
        </w:rPr>
        <w:t xml:space="preserve"> </w:t>
      </w:r>
      <w:r w:rsidR="00175177" w:rsidRPr="00FD211F">
        <w:rPr>
          <w:sz w:val="36"/>
          <w:szCs w:val="36"/>
          <w:rtl/>
        </w:rPr>
        <w:t>على</w:t>
      </w:r>
      <w:r w:rsidR="00E8128F">
        <w:rPr>
          <w:sz w:val="36"/>
          <w:szCs w:val="36"/>
          <w:rtl/>
        </w:rPr>
        <w:t xml:space="preserve"> </w:t>
      </w:r>
      <w:r w:rsidR="00175177" w:rsidRPr="00FD211F">
        <w:rPr>
          <w:sz w:val="36"/>
          <w:szCs w:val="36"/>
          <w:rtl/>
        </w:rPr>
        <w:t>زمان</w:t>
      </w:r>
      <w:r w:rsidR="00E8128F">
        <w:rPr>
          <w:sz w:val="36"/>
          <w:szCs w:val="36"/>
          <w:rtl/>
        </w:rPr>
        <w:t xml:space="preserve"> </w:t>
      </w:r>
      <w:r w:rsidR="00175177" w:rsidRPr="00FD211F">
        <w:rPr>
          <w:sz w:val="36"/>
          <w:szCs w:val="36"/>
          <w:rtl/>
        </w:rPr>
        <w:t>الحال</w:t>
      </w:r>
      <w:r w:rsidR="00E8128F">
        <w:rPr>
          <w:sz w:val="36"/>
          <w:szCs w:val="36"/>
          <w:rtl/>
        </w:rPr>
        <w:t xml:space="preserve"> </w:t>
      </w:r>
      <w:r w:rsidR="00175177" w:rsidRPr="00FD211F">
        <w:rPr>
          <w:sz w:val="36"/>
          <w:szCs w:val="36"/>
          <w:rtl/>
        </w:rPr>
        <w:t>بنحو</w:t>
      </w:r>
      <w:r w:rsidR="00E8128F">
        <w:rPr>
          <w:sz w:val="36"/>
          <w:szCs w:val="36"/>
          <w:rtl/>
        </w:rPr>
        <w:t xml:space="preserve"> </w:t>
      </w:r>
      <w:r w:rsidR="00175177" w:rsidRPr="00FD211F">
        <w:rPr>
          <w:sz w:val="36"/>
          <w:szCs w:val="36"/>
          <w:rtl/>
        </w:rPr>
        <w:t>المعنى</w:t>
      </w:r>
      <w:r w:rsidR="00E8128F">
        <w:rPr>
          <w:sz w:val="36"/>
          <w:szCs w:val="36"/>
          <w:rtl/>
        </w:rPr>
        <w:t xml:space="preserve"> </w:t>
      </w:r>
      <w:r w:rsidR="00175177" w:rsidRPr="00FD211F">
        <w:rPr>
          <w:sz w:val="36"/>
          <w:szCs w:val="36"/>
          <w:rtl/>
        </w:rPr>
        <w:t>الحرفي</w:t>
      </w:r>
      <w:r w:rsidR="00603323" w:rsidRPr="00FD211F">
        <w:rPr>
          <w:sz w:val="36"/>
          <w:szCs w:val="36"/>
          <w:rtl/>
        </w:rPr>
        <w:t>،</w:t>
      </w:r>
      <w:r w:rsidR="00E8128F">
        <w:rPr>
          <w:sz w:val="36"/>
          <w:szCs w:val="36"/>
          <w:rtl/>
        </w:rPr>
        <w:t xml:space="preserve"> </w:t>
      </w:r>
      <w:r w:rsidR="00175177" w:rsidRPr="00FD211F">
        <w:rPr>
          <w:sz w:val="36"/>
          <w:szCs w:val="36"/>
          <w:rtl/>
        </w:rPr>
        <w:t>وحينئذ</w:t>
      </w:r>
      <w:r w:rsidR="00E8128F">
        <w:rPr>
          <w:sz w:val="36"/>
          <w:szCs w:val="36"/>
          <w:rtl/>
        </w:rPr>
        <w:t xml:space="preserve"> </w:t>
      </w:r>
      <w:r w:rsidR="00175177" w:rsidRPr="00FD211F">
        <w:rPr>
          <w:sz w:val="36"/>
          <w:szCs w:val="36"/>
          <w:rtl/>
        </w:rPr>
        <w:t>ف</w:t>
      </w:r>
      <w:r w:rsidR="002F5852" w:rsidRPr="00FD211F">
        <w:rPr>
          <w:sz w:val="36"/>
          <w:szCs w:val="36"/>
          <w:rtl/>
        </w:rPr>
        <w:t>اما</w:t>
      </w:r>
      <w:r w:rsidR="00E8128F">
        <w:rPr>
          <w:sz w:val="36"/>
          <w:szCs w:val="36"/>
          <w:rtl/>
        </w:rPr>
        <w:t xml:space="preserve"> </w:t>
      </w:r>
      <w:r w:rsidR="002F5852" w:rsidRPr="00FD211F">
        <w:rPr>
          <w:sz w:val="36"/>
          <w:szCs w:val="36"/>
          <w:rtl/>
        </w:rPr>
        <w:t>ان</w:t>
      </w:r>
      <w:r w:rsidR="00E8128F">
        <w:rPr>
          <w:sz w:val="36"/>
          <w:szCs w:val="36"/>
          <w:rtl/>
        </w:rPr>
        <w:t xml:space="preserve"> </w:t>
      </w:r>
      <w:r w:rsidR="002F5852" w:rsidRPr="00FD211F">
        <w:rPr>
          <w:sz w:val="36"/>
          <w:szCs w:val="36"/>
          <w:rtl/>
        </w:rPr>
        <w:t>يؤخذ</w:t>
      </w:r>
      <w:r w:rsidR="00E8128F">
        <w:rPr>
          <w:sz w:val="36"/>
          <w:szCs w:val="36"/>
          <w:rtl/>
        </w:rPr>
        <w:t xml:space="preserve"> </w:t>
      </w:r>
      <w:r w:rsidR="002F5852" w:rsidRPr="00FD211F">
        <w:rPr>
          <w:sz w:val="36"/>
          <w:szCs w:val="36"/>
          <w:rtl/>
        </w:rPr>
        <w:t>في</w:t>
      </w:r>
      <w:r w:rsidR="00E8128F">
        <w:rPr>
          <w:sz w:val="36"/>
          <w:szCs w:val="36"/>
          <w:rtl/>
        </w:rPr>
        <w:t xml:space="preserve"> </w:t>
      </w:r>
      <w:r w:rsidR="002F5852" w:rsidRPr="00FD211F">
        <w:rPr>
          <w:sz w:val="36"/>
          <w:szCs w:val="36"/>
          <w:rtl/>
        </w:rPr>
        <w:t>المشتق</w:t>
      </w:r>
      <w:r w:rsidR="00E8128F">
        <w:rPr>
          <w:sz w:val="36"/>
          <w:szCs w:val="36"/>
          <w:rtl/>
        </w:rPr>
        <w:t xml:space="preserve"> </w:t>
      </w:r>
      <w:r w:rsidR="002F5852" w:rsidRPr="00FD211F">
        <w:rPr>
          <w:sz w:val="36"/>
          <w:szCs w:val="36"/>
          <w:rtl/>
        </w:rPr>
        <w:t>تلبس</w:t>
      </w:r>
      <w:r w:rsidR="00E8128F">
        <w:rPr>
          <w:sz w:val="36"/>
          <w:szCs w:val="36"/>
          <w:rtl/>
        </w:rPr>
        <w:t xml:space="preserve"> </w:t>
      </w:r>
      <w:r w:rsidR="002F5852" w:rsidRPr="00FD211F">
        <w:rPr>
          <w:sz w:val="36"/>
          <w:szCs w:val="36"/>
          <w:rtl/>
        </w:rPr>
        <w:t>الذات</w:t>
      </w:r>
      <w:r w:rsidR="00E8128F">
        <w:rPr>
          <w:sz w:val="36"/>
          <w:szCs w:val="36"/>
          <w:rtl/>
        </w:rPr>
        <w:t xml:space="preserve"> </w:t>
      </w:r>
      <w:r w:rsidR="002F5852" w:rsidRPr="00FD211F">
        <w:rPr>
          <w:sz w:val="36"/>
          <w:szCs w:val="36"/>
          <w:rtl/>
        </w:rPr>
        <w:t>بال</w:t>
      </w:r>
      <w:r w:rsidR="0079493B" w:rsidRPr="00FD211F">
        <w:rPr>
          <w:sz w:val="36"/>
          <w:szCs w:val="36"/>
          <w:rtl/>
        </w:rPr>
        <w:t>مبدأ</w:t>
      </w:r>
      <w:r w:rsidR="00E8128F">
        <w:rPr>
          <w:sz w:val="36"/>
          <w:szCs w:val="36"/>
          <w:rtl/>
        </w:rPr>
        <w:t xml:space="preserve"> </w:t>
      </w:r>
      <w:r w:rsidR="002F5852" w:rsidRPr="00FD211F">
        <w:rPr>
          <w:sz w:val="36"/>
          <w:szCs w:val="36"/>
          <w:rtl/>
        </w:rPr>
        <w:t>في</w:t>
      </w:r>
      <w:r w:rsidR="00E8128F">
        <w:rPr>
          <w:sz w:val="36"/>
          <w:szCs w:val="36"/>
          <w:rtl/>
        </w:rPr>
        <w:t xml:space="preserve"> </w:t>
      </w:r>
      <w:r w:rsidR="002F5852" w:rsidRPr="00FD211F">
        <w:rPr>
          <w:sz w:val="36"/>
          <w:szCs w:val="36"/>
          <w:rtl/>
        </w:rPr>
        <w:t>زمان</w:t>
      </w:r>
      <w:r w:rsidR="00E8128F">
        <w:rPr>
          <w:sz w:val="36"/>
          <w:szCs w:val="36"/>
          <w:rtl/>
        </w:rPr>
        <w:t xml:space="preserve"> </w:t>
      </w:r>
      <w:r w:rsidR="002F5852" w:rsidRPr="00FD211F">
        <w:rPr>
          <w:sz w:val="36"/>
          <w:szCs w:val="36"/>
          <w:rtl/>
        </w:rPr>
        <w:t>النطق</w:t>
      </w:r>
      <w:r w:rsidR="00E8128F">
        <w:rPr>
          <w:sz w:val="36"/>
          <w:szCs w:val="36"/>
          <w:rtl/>
        </w:rPr>
        <w:t xml:space="preserve"> </w:t>
      </w:r>
      <w:r w:rsidR="002F5852" w:rsidRPr="00FD211F">
        <w:rPr>
          <w:sz w:val="36"/>
          <w:szCs w:val="36"/>
          <w:rtl/>
        </w:rPr>
        <w:t>او</w:t>
      </w:r>
      <w:r w:rsidR="00E8128F">
        <w:rPr>
          <w:sz w:val="36"/>
          <w:szCs w:val="36"/>
          <w:rtl/>
        </w:rPr>
        <w:t xml:space="preserve"> </w:t>
      </w:r>
      <w:r w:rsidR="002F5852" w:rsidRPr="00FD211F">
        <w:rPr>
          <w:sz w:val="36"/>
          <w:szCs w:val="36"/>
          <w:rtl/>
        </w:rPr>
        <w:t>يؤخذ</w:t>
      </w:r>
      <w:r w:rsidR="00E8128F">
        <w:rPr>
          <w:sz w:val="36"/>
          <w:szCs w:val="36"/>
          <w:rtl/>
        </w:rPr>
        <w:t xml:space="preserve"> </w:t>
      </w:r>
      <w:r w:rsidR="002F5852" w:rsidRPr="00FD211F">
        <w:rPr>
          <w:sz w:val="36"/>
          <w:szCs w:val="36"/>
          <w:rtl/>
        </w:rPr>
        <w:t>تلبسه</w:t>
      </w:r>
      <w:r w:rsidR="00E8128F">
        <w:rPr>
          <w:sz w:val="36"/>
          <w:szCs w:val="36"/>
          <w:rtl/>
        </w:rPr>
        <w:t xml:space="preserve"> </w:t>
      </w:r>
      <w:r w:rsidR="002F5852" w:rsidRPr="00FD211F">
        <w:rPr>
          <w:sz w:val="36"/>
          <w:szCs w:val="36"/>
          <w:rtl/>
        </w:rPr>
        <w:t>به</w:t>
      </w:r>
      <w:r w:rsidR="00E8128F">
        <w:rPr>
          <w:sz w:val="36"/>
          <w:szCs w:val="36"/>
          <w:rtl/>
        </w:rPr>
        <w:t xml:space="preserve"> </w:t>
      </w:r>
      <w:r w:rsidR="002F5852" w:rsidRPr="00FD211F">
        <w:rPr>
          <w:sz w:val="36"/>
          <w:szCs w:val="36"/>
          <w:rtl/>
        </w:rPr>
        <w:t>في</w:t>
      </w:r>
      <w:r w:rsidR="00E8128F">
        <w:rPr>
          <w:sz w:val="36"/>
          <w:szCs w:val="36"/>
          <w:rtl/>
        </w:rPr>
        <w:t xml:space="preserve"> </w:t>
      </w:r>
      <w:r w:rsidR="002F5852" w:rsidRPr="00FD211F">
        <w:rPr>
          <w:sz w:val="36"/>
          <w:szCs w:val="36"/>
          <w:rtl/>
        </w:rPr>
        <w:t>زمان</w:t>
      </w:r>
      <w:r w:rsidR="00E8128F">
        <w:rPr>
          <w:sz w:val="36"/>
          <w:szCs w:val="36"/>
          <w:rtl/>
        </w:rPr>
        <w:t xml:space="preserve"> </w:t>
      </w:r>
      <w:r w:rsidR="00FA4977" w:rsidRPr="00FD211F">
        <w:rPr>
          <w:sz w:val="36"/>
          <w:szCs w:val="36"/>
          <w:rtl/>
        </w:rPr>
        <w:t>الحمل</w:t>
      </w:r>
      <w:r w:rsidR="00E8128F">
        <w:rPr>
          <w:sz w:val="36"/>
          <w:szCs w:val="36"/>
          <w:rtl/>
        </w:rPr>
        <w:t xml:space="preserve"> </w:t>
      </w:r>
      <w:r w:rsidR="00FA4977" w:rsidRPr="00FD211F">
        <w:rPr>
          <w:sz w:val="36"/>
          <w:szCs w:val="36"/>
          <w:rtl/>
        </w:rPr>
        <w:t>و</w:t>
      </w:r>
      <w:r w:rsidR="002F5852" w:rsidRPr="00FD211F">
        <w:rPr>
          <w:sz w:val="36"/>
          <w:szCs w:val="36"/>
          <w:rtl/>
        </w:rPr>
        <w:t>ال</w:t>
      </w:r>
      <w:r w:rsidR="00FA4977" w:rsidRPr="00FD211F">
        <w:rPr>
          <w:sz w:val="36"/>
          <w:szCs w:val="36"/>
          <w:rtl/>
        </w:rPr>
        <w:t>إ</w:t>
      </w:r>
      <w:r w:rsidR="002F5852" w:rsidRPr="00FD211F">
        <w:rPr>
          <w:sz w:val="36"/>
          <w:szCs w:val="36"/>
          <w:rtl/>
        </w:rPr>
        <w:t>سناد</w:t>
      </w:r>
      <w:r w:rsidR="00603323" w:rsidRPr="00FD211F">
        <w:rPr>
          <w:sz w:val="36"/>
          <w:szCs w:val="36"/>
          <w:rtl/>
        </w:rPr>
        <w:t>،</w:t>
      </w:r>
      <w:r w:rsidR="00E8128F">
        <w:rPr>
          <w:sz w:val="36"/>
          <w:szCs w:val="36"/>
          <w:rtl/>
        </w:rPr>
        <w:t xml:space="preserve"> </w:t>
      </w:r>
      <w:r w:rsidR="00FA4977" w:rsidRPr="00FD211F">
        <w:rPr>
          <w:sz w:val="36"/>
          <w:szCs w:val="36"/>
          <w:rtl/>
        </w:rPr>
        <w:t>والفرق</w:t>
      </w:r>
      <w:r w:rsidR="00E8128F">
        <w:rPr>
          <w:sz w:val="36"/>
          <w:szCs w:val="36"/>
          <w:rtl/>
        </w:rPr>
        <w:t xml:space="preserve"> </w:t>
      </w:r>
      <w:r w:rsidR="00FA4977" w:rsidRPr="00FD211F">
        <w:rPr>
          <w:sz w:val="36"/>
          <w:szCs w:val="36"/>
          <w:rtl/>
        </w:rPr>
        <w:t>بينهما</w:t>
      </w:r>
      <w:r w:rsidR="00E8128F">
        <w:rPr>
          <w:sz w:val="36"/>
          <w:szCs w:val="36"/>
          <w:rtl/>
        </w:rPr>
        <w:t xml:space="preserve"> </w:t>
      </w:r>
      <w:r w:rsidR="00FA4977" w:rsidRPr="00FD211F">
        <w:rPr>
          <w:sz w:val="36"/>
          <w:szCs w:val="36"/>
          <w:rtl/>
        </w:rPr>
        <w:t>انه</w:t>
      </w:r>
      <w:r w:rsidR="00E8128F">
        <w:rPr>
          <w:sz w:val="36"/>
          <w:szCs w:val="36"/>
          <w:rtl/>
        </w:rPr>
        <w:t xml:space="preserve"> </w:t>
      </w:r>
      <w:r w:rsidR="00FA4977" w:rsidRPr="00FD211F">
        <w:rPr>
          <w:sz w:val="36"/>
          <w:szCs w:val="36"/>
          <w:rtl/>
        </w:rPr>
        <w:t>لو</w:t>
      </w:r>
      <w:r w:rsidR="00E8128F">
        <w:rPr>
          <w:sz w:val="36"/>
          <w:szCs w:val="36"/>
          <w:rtl/>
        </w:rPr>
        <w:t xml:space="preserve"> </w:t>
      </w:r>
      <w:r w:rsidR="00FA4977" w:rsidRPr="00FD211F">
        <w:rPr>
          <w:sz w:val="36"/>
          <w:szCs w:val="36"/>
          <w:rtl/>
        </w:rPr>
        <w:t>قلنا</w:t>
      </w:r>
      <w:r w:rsidR="00E8128F">
        <w:rPr>
          <w:sz w:val="36"/>
          <w:szCs w:val="36"/>
          <w:rtl/>
        </w:rPr>
        <w:t xml:space="preserve"> </w:t>
      </w:r>
      <w:r w:rsidR="00FA4977" w:rsidRPr="00FD211F">
        <w:rPr>
          <w:sz w:val="36"/>
          <w:szCs w:val="36"/>
          <w:rtl/>
        </w:rPr>
        <w:t>زيد</w:t>
      </w:r>
      <w:r w:rsidR="00E8128F">
        <w:rPr>
          <w:sz w:val="36"/>
          <w:szCs w:val="36"/>
          <w:rtl/>
        </w:rPr>
        <w:t xml:space="preserve"> </w:t>
      </w:r>
      <w:r w:rsidR="00FA4977" w:rsidRPr="00FD211F">
        <w:rPr>
          <w:sz w:val="36"/>
          <w:szCs w:val="36"/>
          <w:rtl/>
        </w:rPr>
        <w:t>كان</w:t>
      </w:r>
      <w:r w:rsidR="00E8128F">
        <w:rPr>
          <w:sz w:val="36"/>
          <w:szCs w:val="36"/>
          <w:rtl/>
        </w:rPr>
        <w:t xml:space="preserve"> </w:t>
      </w:r>
      <w:r w:rsidR="00FA4977" w:rsidRPr="00FD211F">
        <w:rPr>
          <w:sz w:val="36"/>
          <w:szCs w:val="36"/>
          <w:rtl/>
        </w:rPr>
        <w:t>ضاربا</w:t>
      </w:r>
      <w:r w:rsidR="00E8128F">
        <w:rPr>
          <w:sz w:val="36"/>
          <w:szCs w:val="36"/>
          <w:rtl/>
        </w:rPr>
        <w:t xml:space="preserve"> </w:t>
      </w:r>
      <w:r w:rsidR="00821B9F" w:rsidRPr="00FD211F">
        <w:rPr>
          <w:sz w:val="36"/>
          <w:szCs w:val="36"/>
          <w:rtl/>
        </w:rPr>
        <w:t>امس</w:t>
      </w:r>
      <w:r w:rsidR="00E8128F">
        <w:rPr>
          <w:sz w:val="36"/>
          <w:szCs w:val="36"/>
          <w:rtl/>
        </w:rPr>
        <w:t xml:space="preserve"> </w:t>
      </w:r>
      <w:r w:rsidR="00FA4977" w:rsidRPr="00FD211F">
        <w:rPr>
          <w:sz w:val="36"/>
          <w:szCs w:val="36"/>
          <w:rtl/>
        </w:rPr>
        <w:t>فيكون</w:t>
      </w:r>
      <w:r w:rsidR="00E8128F">
        <w:rPr>
          <w:sz w:val="36"/>
          <w:szCs w:val="36"/>
          <w:rtl/>
        </w:rPr>
        <w:t xml:space="preserve"> </w:t>
      </w:r>
      <w:r w:rsidR="00FA4977" w:rsidRPr="00FD211F">
        <w:rPr>
          <w:sz w:val="36"/>
          <w:szCs w:val="36"/>
          <w:rtl/>
        </w:rPr>
        <w:t>تلبس</w:t>
      </w:r>
      <w:r w:rsidR="00E8128F">
        <w:rPr>
          <w:sz w:val="36"/>
          <w:szCs w:val="36"/>
          <w:rtl/>
        </w:rPr>
        <w:t xml:space="preserve"> </w:t>
      </w:r>
      <w:r w:rsidR="00FA4977" w:rsidRPr="00FD211F">
        <w:rPr>
          <w:sz w:val="36"/>
          <w:szCs w:val="36"/>
          <w:rtl/>
        </w:rPr>
        <w:t>الذات</w:t>
      </w:r>
      <w:r w:rsidR="00E8128F">
        <w:rPr>
          <w:sz w:val="36"/>
          <w:szCs w:val="36"/>
          <w:rtl/>
        </w:rPr>
        <w:t xml:space="preserve"> </w:t>
      </w:r>
      <w:r w:rsidR="00FA4977" w:rsidRPr="00FD211F">
        <w:rPr>
          <w:sz w:val="36"/>
          <w:szCs w:val="36"/>
          <w:rtl/>
        </w:rPr>
        <w:t>ب</w:t>
      </w:r>
      <w:r w:rsidR="0079493B" w:rsidRPr="00FD211F">
        <w:rPr>
          <w:sz w:val="36"/>
          <w:szCs w:val="36"/>
          <w:rtl/>
        </w:rPr>
        <w:t>مبدأ</w:t>
      </w:r>
      <w:r w:rsidR="00E8128F">
        <w:rPr>
          <w:sz w:val="36"/>
          <w:szCs w:val="36"/>
          <w:rtl/>
        </w:rPr>
        <w:t xml:space="preserve"> </w:t>
      </w:r>
      <w:r w:rsidR="00FA4977" w:rsidRPr="00FD211F">
        <w:rPr>
          <w:sz w:val="36"/>
          <w:szCs w:val="36"/>
          <w:rtl/>
        </w:rPr>
        <w:t>الضرب</w:t>
      </w:r>
      <w:r w:rsidR="00E8128F">
        <w:rPr>
          <w:sz w:val="36"/>
          <w:szCs w:val="36"/>
          <w:rtl/>
        </w:rPr>
        <w:t xml:space="preserve"> </w:t>
      </w:r>
      <w:r w:rsidR="00FA4977" w:rsidRPr="00FD211F">
        <w:rPr>
          <w:sz w:val="36"/>
          <w:szCs w:val="36"/>
          <w:rtl/>
        </w:rPr>
        <w:t>فعليا</w:t>
      </w:r>
      <w:r w:rsidR="00E8128F">
        <w:rPr>
          <w:sz w:val="36"/>
          <w:szCs w:val="36"/>
          <w:rtl/>
        </w:rPr>
        <w:t xml:space="preserve"> </w:t>
      </w:r>
      <w:r w:rsidR="00FA4977" w:rsidRPr="00FD211F">
        <w:rPr>
          <w:sz w:val="36"/>
          <w:szCs w:val="36"/>
          <w:rtl/>
        </w:rPr>
        <w:t>في</w:t>
      </w:r>
      <w:r w:rsidR="00E8128F">
        <w:rPr>
          <w:sz w:val="36"/>
          <w:szCs w:val="36"/>
          <w:rtl/>
        </w:rPr>
        <w:t xml:space="preserve"> </w:t>
      </w:r>
      <w:r w:rsidR="00FA4977" w:rsidRPr="00FD211F">
        <w:rPr>
          <w:sz w:val="36"/>
          <w:szCs w:val="36"/>
          <w:rtl/>
        </w:rPr>
        <w:t>زمان</w:t>
      </w:r>
      <w:r w:rsidR="00E8128F">
        <w:rPr>
          <w:sz w:val="36"/>
          <w:szCs w:val="36"/>
          <w:rtl/>
        </w:rPr>
        <w:t xml:space="preserve"> </w:t>
      </w:r>
      <w:r w:rsidR="00FA4977" w:rsidRPr="00FD211F">
        <w:rPr>
          <w:sz w:val="36"/>
          <w:szCs w:val="36"/>
          <w:rtl/>
        </w:rPr>
        <w:t>الاسناد</w:t>
      </w:r>
      <w:r w:rsidR="00E8128F">
        <w:rPr>
          <w:sz w:val="36"/>
          <w:szCs w:val="36"/>
          <w:rtl/>
        </w:rPr>
        <w:t xml:space="preserve"> </w:t>
      </w:r>
      <w:r w:rsidR="00FA4977" w:rsidRPr="00FD211F">
        <w:rPr>
          <w:sz w:val="36"/>
          <w:szCs w:val="36"/>
          <w:rtl/>
        </w:rPr>
        <w:t>وهو</w:t>
      </w:r>
      <w:r w:rsidR="00E8128F">
        <w:rPr>
          <w:sz w:val="36"/>
          <w:szCs w:val="36"/>
          <w:rtl/>
        </w:rPr>
        <w:t xml:space="preserve"> </w:t>
      </w:r>
      <w:r w:rsidR="00821B9F" w:rsidRPr="00FD211F">
        <w:rPr>
          <w:sz w:val="36"/>
          <w:szCs w:val="36"/>
          <w:rtl/>
        </w:rPr>
        <w:t>امس</w:t>
      </w:r>
      <w:r w:rsidR="00603323" w:rsidRPr="00FD211F">
        <w:rPr>
          <w:sz w:val="36"/>
          <w:szCs w:val="36"/>
          <w:rtl/>
        </w:rPr>
        <w:t>،</w:t>
      </w:r>
      <w:r w:rsidR="00E8128F">
        <w:rPr>
          <w:sz w:val="36"/>
          <w:szCs w:val="36"/>
          <w:rtl/>
        </w:rPr>
        <w:t xml:space="preserve"> </w:t>
      </w:r>
      <w:r w:rsidR="00FA4977" w:rsidRPr="00FD211F">
        <w:rPr>
          <w:sz w:val="36"/>
          <w:szCs w:val="36"/>
          <w:rtl/>
        </w:rPr>
        <w:t>و</w:t>
      </w:r>
      <w:r w:rsidR="00821B9F" w:rsidRPr="00FD211F">
        <w:rPr>
          <w:sz w:val="36"/>
          <w:szCs w:val="36"/>
          <w:rtl/>
        </w:rPr>
        <w:t>منقضيا</w:t>
      </w:r>
      <w:r w:rsidR="00E8128F">
        <w:rPr>
          <w:sz w:val="36"/>
          <w:szCs w:val="36"/>
          <w:rtl/>
        </w:rPr>
        <w:t xml:space="preserve"> </w:t>
      </w:r>
      <w:r w:rsidR="00821B9F" w:rsidRPr="00FD211F">
        <w:rPr>
          <w:sz w:val="36"/>
          <w:szCs w:val="36"/>
          <w:rtl/>
        </w:rPr>
        <w:t>في</w:t>
      </w:r>
      <w:r w:rsidR="00E8128F">
        <w:rPr>
          <w:sz w:val="36"/>
          <w:szCs w:val="36"/>
          <w:rtl/>
        </w:rPr>
        <w:t xml:space="preserve"> </w:t>
      </w:r>
      <w:r w:rsidR="00FA4977" w:rsidRPr="00FD211F">
        <w:rPr>
          <w:sz w:val="36"/>
          <w:szCs w:val="36"/>
          <w:rtl/>
        </w:rPr>
        <w:t>زمان</w:t>
      </w:r>
      <w:r w:rsidR="00E8128F">
        <w:rPr>
          <w:sz w:val="36"/>
          <w:szCs w:val="36"/>
          <w:rtl/>
        </w:rPr>
        <w:t xml:space="preserve"> </w:t>
      </w:r>
      <w:r w:rsidR="00FA4977" w:rsidRPr="00FD211F">
        <w:rPr>
          <w:sz w:val="36"/>
          <w:szCs w:val="36"/>
          <w:rtl/>
        </w:rPr>
        <w:t>النطق.</w:t>
      </w:r>
    </w:p>
    <w:p w14:paraId="1409997B" w14:textId="77777777" w:rsidR="000C5BBA" w:rsidRPr="00FD211F" w:rsidRDefault="00FA4977" w:rsidP="009C58C8">
      <w:pPr>
        <w:ind w:left="0" w:firstLine="227"/>
        <w:jc w:val="both"/>
        <w:rPr>
          <w:sz w:val="36"/>
          <w:szCs w:val="36"/>
          <w:rtl/>
        </w:rPr>
      </w:pPr>
      <w:r w:rsidRPr="00FD211F">
        <w:rPr>
          <w:sz w:val="36"/>
          <w:szCs w:val="36"/>
          <w:rtl/>
        </w:rPr>
        <w:t>اما</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تلبس</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النطق</w:t>
      </w:r>
      <w:r w:rsidR="00E8128F">
        <w:rPr>
          <w:sz w:val="36"/>
          <w:szCs w:val="36"/>
          <w:rtl/>
        </w:rPr>
        <w:t xml:space="preserve"> </w:t>
      </w:r>
      <w:r w:rsidRPr="00FD211F">
        <w:rPr>
          <w:sz w:val="36"/>
          <w:szCs w:val="36"/>
          <w:rtl/>
        </w:rPr>
        <w:t>فهو</w:t>
      </w:r>
      <w:r w:rsidR="00E8128F">
        <w:rPr>
          <w:sz w:val="36"/>
          <w:szCs w:val="36"/>
          <w:rtl/>
        </w:rPr>
        <w:t xml:space="preserve"> </w:t>
      </w:r>
      <w:r w:rsidRPr="00FD211F">
        <w:rPr>
          <w:sz w:val="36"/>
          <w:szCs w:val="36"/>
          <w:rtl/>
        </w:rPr>
        <w:t>خلاف</w:t>
      </w:r>
      <w:r w:rsidR="00E8128F">
        <w:rPr>
          <w:sz w:val="36"/>
          <w:szCs w:val="36"/>
          <w:rtl/>
        </w:rPr>
        <w:t xml:space="preserve"> </w:t>
      </w:r>
      <w:r w:rsidRPr="00FD211F">
        <w:rPr>
          <w:sz w:val="36"/>
          <w:szCs w:val="36"/>
          <w:rtl/>
        </w:rPr>
        <w:t>الوجدان</w:t>
      </w:r>
      <w:r w:rsidR="00E8128F">
        <w:rPr>
          <w:sz w:val="36"/>
          <w:szCs w:val="36"/>
          <w:rtl/>
        </w:rPr>
        <w:t xml:space="preserve"> </w:t>
      </w:r>
      <w:r w:rsidRPr="00FD211F">
        <w:rPr>
          <w:sz w:val="36"/>
          <w:szCs w:val="36"/>
          <w:rtl/>
        </w:rPr>
        <w:t>اذ</w:t>
      </w:r>
      <w:r w:rsidR="00E8128F">
        <w:rPr>
          <w:sz w:val="36"/>
          <w:szCs w:val="36"/>
          <w:rtl/>
        </w:rPr>
        <w:t xml:space="preserve"> </w:t>
      </w:r>
      <w:r w:rsidR="002F5852" w:rsidRPr="00FD211F">
        <w:rPr>
          <w:sz w:val="36"/>
          <w:szCs w:val="36"/>
          <w:rtl/>
        </w:rPr>
        <w:t>لازمه</w:t>
      </w:r>
      <w:r w:rsidR="00E8128F">
        <w:rPr>
          <w:sz w:val="36"/>
          <w:szCs w:val="36"/>
          <w:rtl/>
        </w:rPr>
        <w:t xml:space="preserve"> </w:t>
      </w:r>
      <w:r w:rsidRPr="00FD211F">
        <w:rPr>
          <w:sz w:val="36"/>
          <w:szCs w:val="36"/>
          <w:rtl/>
        </w:rPr>
        <w:t>صيرور</w:t>
      </w:r>
      <w:r w:rsidR="00EC7EDF" w:rsidRPr="00FD211F">
        <w:rPr>
          <w:sz w:val="36"/>
          <w:szCs w:val="36"/>
          <w:rtl/>
        </w:rPr>
        <w:t>ة</w:t>
      </w:r>
      <w:r w:rsidR="00E8128F">
        <w:rPr>
          <w:sz w:val="36"/>
          <w:szCs w:val="36"/>
          <w:rtl/>
        </w:rPr>
        <w:t xml:space="preserve"> </w:t>
      </w:r>
      <w:r w:rsidR="002F5852" w:rsidRPr="00FD211F">
        <w:rPr>
          <w:sz w:val="36"/>
          <w:szCs w:val="36"/>
          <w:rtl/>
        </w:rPr>
        <w:t>قولنا</w:t>
      </w:r>
      <w:r w:rsidR="00E8128F">
        <w:rPr>
          <w:sz w:val="36"/>
          <w:szCs w:val="36"/>
          <w:rtl/>
        </w:rPr>
        <w:t xml:space="preserve"> </w:t>
      </w:r>
      <w:r w:rsidRPr="00FD211F">
        <w:rPr>
          <w:sz w:val="36"/>
          <w:szCs w:val="36"/>
          <w:rtl/>
        </w:rPr>
        <w:t>"</w:t>
      </w:r>
      <w:r w:rsidR="002F5852" w:rsidRPr="00FD211F">
        <w:rPr>
          <w:sz w:val="36"/>
          <w:szCs w:val="36"/>
          <w:rtl/>
        </w:rPr>
        <w:t>زيد</w:t>
      </w:r>
      <w:r w:rsidR="00E8128F">
        <w:rPr>
          <w:sz w:val="36"/>
          <w:szCs w:val="36"/>
          <w:rtl/>
        </w:rPr>
        <w:t xml:space="preserve"> </w:t>
      </w:r>
      <w:r w:rsidR="002F5852" w:rsidRPr="00FD211F">
        <w:rPr>
          <w:sz w:val="36"/>
          <w:szCs w:val="36"/>
          <w:rtl/>
        </w:rPr>
        <w:t>ضارب</w:t>
      </w:r>
      <w:r w:rsidR="00E8128F">
        <w:rPr>
          <w:sz w:val="36"/>
          <w:szCs w:val="36"/>
          <w:rtl/>
        </w:rPr>
        <w:t xml:space="preserve"> </w:t>
      </w:r>
      <w:r w:rsidR="002F5852" w:rsidRPr="00FD211F">
        <w:rPr>
          <w:sz w:val="36"/>
          <w:szCs w:val="36"/>
          <w:rtl/>
        </w:rPr>
        <w:t>بالأمس</w:t>
      </w:r>
      <w:r w:rsidRPr="00FD211F">
        <w:rPr>
          <w:sz w:val="36"/>
          <w:szCs w:val="36"/>
          <w:rtl/>
        </w:rPr>
        <w:t>"</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قولنا</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ضارب</w:t>
      </w:r>
      <w:r w:rsidR="00E8128F">
        <w:rPr>
          <w:sz w:val="36"/>
          <w:szCs w:val="36"/>
          <w:rtl/>
        </w:rPr>
        <w:t xml:space="preserve"> </w:t>
      </w:r>
      <w:r w:rsidRPr="00FD211F">
        <w:rPr>
          <w:sz w:val="36"/>
          <w:szCs w:val="36"/>
          <w:rtl/>
        </w:rPr>
        <w:t>غدا"</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قولنا</w:t>
      </w:r>
      <w:r w:rsidR="00E8128F">
        <w:rPr>
          <w:sz w:val="36"/>
          <w:szCs w:val="36"/>
          <w:rtl/>
        </w:rPr>
        <w:t xml:space="preserve"> </w:t>
      </w:r>
      <w:r w:rsidRPr="00FD211F">
        <w:rPr>
          <w:sz w:val="36"/>
          <w:szCs w:val="36"/>
          <w:rtl/>
        </w:rPr>
        <w:t>"</w:t>
      </w:r>
      <w:r w:rsidR="002F5852" w:rsidRPr="00FD211F">
        <w:rPr>
          <w:sz w:val="36"/>
          <w:szCs w:val="36"/>
          <w:rtl/>
        </w:rPr>
        <w:t>يجيئ</w:t>
      </w:r>
      <w:r w:rsidR="00E8128F">
        <w:rPr>
          <w:sz w:val="36"/>
          <w:szCs w:val="36"/>
          <w:rtl/>
        </w:rPr>
        <w:t xml:space="preserve"> </w:t>
      </w:r>
      <w:r w:rsidR="002F5852" w:rsidRPr="00FD211F">
        <w:rPr>
          <w:sz w:val="36"/>
          <w:szCs w:val="36"/>
          <w:rtl/>
        </w:rPr>
        <w:t>زيد</w:t>
      </w:r>
      <w:r w:rsidR="00E8128F">
        <w:rPr>
          <w:sz w:val="36"/>
          <w:szCs w:val="36"/>
          <w:rtl/>
        </w:rPr>
        <w:t xml:space="preserve"> </w:t>
      </w:r>
      <w:r w:rsidR="002F5852" w:rsidRPr="00FD211F">
        <w:rPr>
          <w:sz w:val="36"/>
          <w:szCs w:val="36"/>
          <w:rtl/>
        </w:rPr>
        <w:t>بعد</w:t>
      </w:r>
      <w:r w:rsidR="00E8128F">
        <w:rPr>
          <w:sz w:val="36"/>
          <w:szCs w:val="36"/>
          <w:rtl/>
        </w:rPr>
        <w:t xml:space="preserve"> </w:t>
      </w:r>
      <w:r w:rsidR="002F5852" w:rsidRPr="00FD211F">
        <w:rPr>
          <w:sz w:val="36"/>
          <w:szCs w:val="36"/>
          <w:rtl/>
        </w:rPr>
        <w:t>سن</w:t>
      </w:r>
      <w:r w:rsidR="00EC7EDF" w:rsidRPr="00FD211F">
        <w:rPr>
          <w:sz w:val="36"/>
          <w:szCs w:val="36"/>
          <w:rtl/>
        </w:rPr>
        <w:t>ة</w:t>
      </w:r>
      <w:r w:rsidR="00E8128F">
        <w:rPr>
          <w:sz w:val="36"/>
          <w:szCs w:val="36"/>
          <w:rtl/>
        </w:rPr>
        <w:t xml:space="preserve"> </w:t>
      </w:r>
      <w:r w:rsidR="002F5852" w:rsidRPr="00FD211F">
        <w:rPr>
          <w:sz w:val="36"/>
          <w:szCs w:val="36"/>
          <w:rtl/>
        </w:rPr>
        <w:t>وهو</w:t>
      </w:r>
      <w:r w:rsidR="00E8128F">
        <w:rPr>
          <w:sz w:val="36"/>
          <w:szCs w:val="36"/>
          <w:rtl/>
        </w:rPr>
        <w:t xml:space="preserve"> </w:t>
      </w:r>
      <w:r w:rsidR="002F5852" w:rsidRPr="00FD211F">
        <w:rPr>
          <w:sz w:val="36"/>
          <w:szCs w:val="36"/>
          <w:rtl/>
        </w:rPr>
        <w:t>عالم</w:t>
      </w:r>
      <w:r w:rsidRPr="00FD211F">
        <w:rPr>
          <w:sz w:val="36"/>
          <w:szCs w:val="36"/>
          <w:rtl/>
        </w:rPr>
        <w:t>"</w:t>
      </w:r>
      <w:r w:rsidR="00E8128F">
        <w:rPr>
          <w:sz w:val="36"/>
          <w:szCs w:val="36"/>
          <w:rtl/>
        </w:rPr>
        <w:t xml:space="preserve"> </w:t>
      </w:r>
      <w:r w:rsidRPr="00FD211F">
        <w:rPr>
          <w:sz w:val="36"/>
          <w:szCs w:val="36"/>
          <w:rtl/>
        </w:rPr>
        <w:t>مجازا</w:t>
      </w:r>
      <w:r w:rsidR="00603323" w:rsidRPr="00FD211F">
        <w:rPr>
          <w:sz w:val="36"/>
          <w:szCs w:val="36"/>
          <w:rtl/>
        </w:rPr>
        <w:t>،</w:t>
      </w:r>
      <w:r w:rsidR="00E8128F">
        <w:rPr>
          <w:sz w:val="36"/>
          <w:szCs w:val="36"/>
          <w:rtl/>
        </w:rPr>
        <w:t xml:space="preserve"> </w:t>
      </w:r>
      <w:r w:rsidR="00F45D05" w:rsidRPr="00FD211F">
        <w:rPr>
          <w:sz w:val="36"/>
          <w:szCs w:val="36"/>
          <w:rtl/>
        </w:rPr>
        <w:t>وهو</w:t>
      </w:r>
      <w:r w:rsidR="00E8128F">
        <w:rPr>
          <w:sz w:val="36"/>
          <w:szCs w:val="36"/>
          <w:rtl/>
        </w:rPr>
        <w:t xml:space="preserve"> </w:t>
      </w:r>
      <w:r w:rsidR="00F45D05" w:rsidRPr="00FD211F">
        <w:rPr>
          <w:sz w:val="36"/>
          <w:szCs w:val="36"/>
          <w:rtl/>
        </w:rPr>
        <w:t>غير</w:t>
      </w:r>
      <w:r w:rsidR="00E8128F">
        <w:rPr>
          <w:sz w:val="36"/>
          <w:szCs w:val="36"/>
          <w:rtl/>
        </w:rPr>
        <w:t xml:space="preserve"> </w:t>
      </w:r>
      <w:r w:rsidR="00F45D05" w:rsidRPr="00FD211F">
        <w:rPr>
          <w:sz w:val="36"/>
          <w:szCs w:val="36"/>
          <w:rtl/>
        </w:rPr>
        <w:t>محتمل.</w:t>
      </w:r>
    </w:p>
    <w:p w14:paraId="4F51C6BE" w14:textId="77777777" w:rsidR="00F45D05" w:rsidRPr="00FD211F" w:rsidRDefault="00D2047A" w:rsidP="009C58C8">
      <w:pPr>
        <w:ind w:left="0" w:firstLine="227"/>
        <w:jc w:val="both"/>
        <w:rPr>
          <w:sz w:val="36"/>
          <w:szCs w:val="36"/>
          <w:rtl/>
        </w:rPr>
      </w:pPr>
      <w:r w:rsidRPr="00FD211F">
        <w:rPr>
          <w:sz w:val="36"/>
          <w:szCs w:val="36"/>
          <w:rtl/>
        </w:rPr>
        <w:t>مضافا</w:t>
      </w:r>
      <w:r w:rsidR="00E8128F">
        <w:rPr>
          <w:sz w:val="36"/>
          <w:szCs w:val="36"/>
          <w:rtl/>
        </w:rPr>
        <w:t xml:space="preserve"> </w:t>
      </w:r>
      <w:r w:rsidRPr="00FD211F">
        <w:rPr>
          <w:sz w:val="36"/>
          <w:szCs w:val="36"/>
          <w:rtl/>
        </w:rPr>
        <w:t>الى</w:t>
      </w:r>
      <w:r w:rsidR="00E8128F">
        <w:rPr>
          <w:sz w:val="36"/>
          <w:szCs w:val="36"/>
          <w:rtl/>
        </w:rPr>
        <w:t xml:space="preserve"> </w:t>
      </w:r>
      <w:r w:rsidR="002F5852" w:rsidRPr="00FD211F">
        <w:rPr>
          <w:sz w:val="36"/>
          <w:szCs w:val="36"/>
          <w:rtl/>
        </w:rPr>
        <w:t>انه</w:t>
      </w:r>
      <w:r w:rsidR="00E8128F">
        <w:rPr>
          <w:sz w:val="36"/>
          <w:szCs w:val="36"/>
          <w:rtl/>
        </w:rPr>
        <w:t xml:space="preserve"> </w:t>
      </w:r>
      <w:r w:rsidR="002F5852" w:rsidRPr="00FD211F">
        <w:rPr>
          <w:sz w:val="36"/>
          <w:szCs w:val="36"/>
          <w:rtl/>
        </w:rPr>
        <w:t>ان</w:t>
      </w:r>
      <w:r w:rsidR="00E8128F">
        <w:rPr>
          <w:sz w:val="36"/>
          <w:szCs w:val="36"/>
          <w:rtl/>
        </w:rPr>
        <w:t xml:space="preserve"> </w:t>
      </w:r>
      <w:r w:rsidR="002F5852" w:rsidRPr="00FD211F">
        <w:rPr>
          <w:sz w:val="36"/>
          <w:szCs w:val="36"/>
          <w:rtl/>
        </w:rPr>
        <w:t>اريد</w:t>
      </w:r>
      <w:r w:rsidR="00E8128F">
        <w:rPr>
          <w:sz w:val="36"/>
          <w:szCs w:val="36"/>
          <w:rtl/>
        </w:rPr>
        <w:t xml:space="preserve"> </w:t>
      </w:r>
      <w:r w:rsidR="002F5852" w:rsidRPr="00FD211F">
        <w:rPr>
          <w:sz w:val="36"/>
          <w:szCs w:val="36"/>
          <w:rtl/>
        </w:rPr>
        <w:t>اخذ</w:t>
      </w:r>
      <w:r w:rsidR="00E8128F">
        <w:rPr>
          <w:sz w:val="36"/>
          <w:szCs w:val="36"/>
          <w:rtl/>
        </w:rPr>
        <w:t xml:space="preserve"> </w:t>
      </w:r>
      <w:r w:rsidRPr="00FD211F">
        <w:rPr>
          <w:sz w:val="36"/>
          <w:szCs w:val="36"/>
          <w:rtl/>
        </w:rPr>
        <w:t>اقتران</w:t>
      </w:r>
      <w:r w:rsidR="00E8128F">
        <w:rPr>
          <w:sz w:val="36"/>
          <w:szCs w:val="36"/>
          <w:rtl/>
        </w:rPr>
        <w:t xml:space="preserve"> </w:t>
      </w:r>
      <w:r w:rsidRPr="00FD211F">
        <w:rPr>
          <w:sz w:val="36"/>
          <w:szCs w:val="36"/>
          <w:rtl/>
        </w:rPr>
        <w:t>التلبس</w:t>
      </w:r>
      <w:r w:rsidR="00E8128F">
        <w:rPr>
          <w:sz w:val="36"/>
          <w:szCs w:val="36"/>
          <w:rtl/>
        </w:rPr>
        <w:t xml:space="preserve"> </w:t>
      </w:r>
      <w:r w:rsidR="002F5852" w:rsidRPr="00FD211F">
        <w:rPr>
          <w:sz w:val="36"/>
          <w:szCs w:val="36"/>
          <w:rtl/>
        </w:rPr>
        <w:t>بال</w:t>
      </w:r>
      <w:r w:rsidR="0079493B" w:rsidRPr="00FD211F">
        <w:rPr>
          <w:sz w:val="36"/>
          <w:szCs w:val="36"/>
          <w:rtl/>
        </w:rPr>
        <w:t>مبدأ</w:t>
      </w:r>
      <w:r w:rsidR="00E8128F">
        <w:rPr>
          <w:sz w:val="36"/>
          <w:szCs w:val="36"/>
          <w:rtl/>
        </w:rPr>
        <w:t xml:space="preserve"> </w:t>
      </w:r>
      <w:r w:rsidR="002F5852" w:rsidRPr="00FD211F">
        <w:rPr>
          <w:sz w:val="36"/>
          <w:szCs w:val="36"/>
          <w:rtl/>
        </w:rPr>
        <w:t>بمفهوم</w:t>
      </w:r>
      <w:r w:rsidR="00E8128F">
        <w:rPr>
          <w:sz w:val="36"/>
          <w:szCs w:val="36"/>
          <w:rtl/>
        </w:rPr>
        <w:t xml:space="preserve"> </w:t>
      </w:r>
      <w:r w:rsidR="002F5852" w:rsidRPr="00FD211F">
        <w:rPr>
          <w:sz w:val="36"/>
          <w:szCs w:val="36"/>
          <w:rtl/>
        </w:rPr>
        <w:t>زمان</w:t>
      </w:r>
      <w:r w:rsidR="00E8128F">
        <w:rPr>
          <w:sz w:val="36"/>
          <w:szCs w:val="36"/>
          <w:rtl/>
        </w:rPr>
        <w:t xml:space="preserve"> </w:t>
      </w:r>
      <w:r w:rsidR="002F5852" w:rsidRPr="00FD211F">
        <w:rPr>
          <w:sz w:val="36"/>
          <w:szCs w:val="36"/>
          <w:rtl/>
        </w:rPr>
        <w:t>النطق</w:t>
      </w:r>
      <w:r w:rsidR="00E8128F">
        <w:rPr>
          <w:sz w:val="36"/>
          <w:szCs w:val="36"/>
          <w:rtl/>
        </w:rPr>
        <w:t xml:space="preserve"> </w:t>
      </w:r>
      <w:r w:rsidR="002F5852" w:rsidRPr="00FD211F">
        <w:rPr>
          <w:sz w:val="36"/>
          <w:szCs w:val="36"/>
          <w:rtl/>
        </w:rPr>
        <w:t>فهو</w:t>
      </w:r>
      <w:r w:rsidR="00E8128F">
        <w:rPr>
          <w:sz w:val="36"/>
          <w:szCs w:val="36"/>
          <w:rtl/>
        </w:rPr>
        <w:t xml:space="preserve"> </w:t>
      </w:r>
      <w:r w:rsidR="002F5852" w:rsidRPr="00FD211F">
        <w:rPr>
          <w:sz w:val="36"/>
          <w:szCs w:val="36"/>
          <w:rtl/>
        </w:rPr>
        <w:t>واضح</w:t>
      </w:r>
      <w:r w:rsidR="00E8128F">
        <w:rPr>
          <w:sz w:val="36"/>
          <w:szCs w:val="36"/>
          <w:rtl/>
        </w:rPr>
        <w:t xml:space="preserve"> </w:t>
      </w:r>
      <w:r w:rsidR="002F5852" w:rsidRPr="00FD211F">
        <w:rPr>
          <w:sz w:val="36"/>
          <w:szCs w:val="36"/>
          <w:rtl/>
        </w:rPr>
        <w:t>الفساد</w:t>
      </w:r>
      <w:r w:rsidR="00603323" w:rsidRPr="00FD211F">
        <w:rPr>
          <w:sz w:val="36"/>
          <w:szCs w:val="36"/>
          <w:rtl/>
        </w:rPr>
        <w:t>،</w:t>
      </w:r>
      <w:r w:rsidR="00E8128F">
        <w:rPr>
          <w:sz w:val="36"/>
          <w:szCs w:val="36"/>
          <w:rtl/>
        </w:rPr>
        <w:t xml:space="preserve"> </w:t>
      </w:r>
      <w:r w:rsidR="004C2D1F" w:rsidRPr="00FD211F">
        <w:rPr>
          <w:sz w:val="36"/>
          <w:szCs w:val="36"/>
          <w:rtl/>
        </w:rPr>
        <w:t>مع</w:t>
      </w:r>
      <w:r w:rsidR="00E8128F">
        <w:rPr>
          <w:sz w:val="36"/>
          <w:szCs w:val="36"/>
          <w:rtl/>
        </w:rPr>
        <w:t xml:space="preserve"> </w:t>
      </w:r>
      <w:r w:rsidR="004C2D1F" w:rsidRPr="00FD211F">
        <w:rPr>
          <w:sz w:val="36"/>
          <w:szCs w:val="36"/>
          <w:rtl/>
        </w:rPr>
        <w:t>أنه</w:t>
      </w:r>
      <w:r w:rsidR="00E8128F">
        <w:rPr>
          <w:sz w:val="36"/>
          <w:szCs w:val="36"/>
          <w:rtl/>
        </w:rPr>
        <w:t xml:space="preserve"> </w:t>
      </w:r>
      <w:r w:rsidRPr="00FD211F">
        <w:rPr>
          <w:sz w:val="36"/>
          <w:szCs w:val="36"/>
          <w:rtl/>
        </w:rPr>
        <w:t>لايقتضي</w:t>
      </w:r>
      <w:r w:rsidR="00E8128F">
        <w:rPr>
          <w:sz w:val="36"/>
          <w:szCs w:val="36"/>
          <w:rtl/>
        </w:rPr>
        <w:t xml:space="preserve"> </w:t>
      </w:r>
      <w:r w:rsidRPr="00FD211F">
        <w:rPr>
          <w:sz w:val="36"/>
          <w:szCs w:val="36"/>
          <w:rtl/>
        </w:rPr>
        <w:t>تلبس</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00F45D05" w:rsidRPr="00FD211F">
        <w:rPr>
          <w:sz w:val="36"/>
          <w:szCs w:val="36"/>
          <w:rtl/>
        </w:rPr>
        <w:t>في</w:t>
      </w:r>
      <w:r w:rsidR="00E8128F">
        <w:rPr>
          <w:sz w:val="36"/>
          <w:szCs w:val="36"/>
          <w:rtl/>
        </w:rPr>
        <w:t xml:space="preserve"> </w:t>
      </w:r>
      <w:r w:rsidR="00F45D05" w:rsidRPr="00FD211F">
        <w:rPr>
          <w:sz w:val="36"/>
          <w:szCs w:val="36"/>
          <w:rtl/>
        </w:rPr>
        <w:t>واقع</w:t>
      </w:r>
      <w:r w:rsidR="00E8128F">
        <w:rPr>
          <w:sz w:val="36"/>
          <w:szCs w:val="36"/>
          <w:rtl/>
        </w:rPr>
        <w:t xml:space="preserve"> </w:t>
      </w:r>
      <w:r w:rsidR="00F45D05" w:rsidRPr="00FD211F">
        <w:rPr>
          <w:sz w:val="36"/>
          <w:szCs w:val="36"/>
          <w:rtl/>
        </w:rPr>
        <w:t>زمان</w:t>
      </w:r>
      <w:r w:rsidR="00E8128F">
        <w:rPr>
          <w:sz w:val="36"/>
          <w:szCs w:val="36"/>
          <w:rtl/>
        </w:rPr>
        <w:t xml:space="preserve"> </w:t>
      </w:r>
      <w:r w:rsidR="00F45D05" w:rsidRPr="00FD211F">
        <w:rPr>
          <w:sz w:val="36"/>
          <w:szCs w:val="36"/>
          <w:rtl/>
        </w:rPr>
        <w:t>النطق.</w:t>
      </w:r>
    </w:p>
    <w:p w14:paraId="0F4256AB" w14:textId="77777777" w:rsidR="00735D20" w:rsidRPr="00FD211F" w:rsidRDefault="002F5852" w:rsidP="009C58C8">
      <w:pPr>
        <w:ind w:left="0" w:firstLine="227"/>
        <w:jc w:val="both"/>
        <w:rPr>
          <w:sz w:val="36"/>
          <w:szCs w:val="36"/>
          <w:rtl/>
        </w:rPr>
      </w:pPr>
      <w:r w:rsidRPr="00FD211F">
        <w:rPr>
          <w:sz w:val="36"/>
          <w:szCs w:val="36"/>
          <w:rtl/>
        </w:rPr>
        <w:t>وان</w:t>
      </w:r>
      <w:r w:rsidR="00E8128F">
        <w:rPr>
          <w:sz w:val="36"/>
          <w:szCs w:val="36"/>
          <w:rtl/>
        </w:rPr>
        <w:t xml:space="preserve"> </w:t>
      </w:r>
      <w:r w:rsidRPr="00FD211F">
        <w:rPr>
          <w:sz w:val="36"/>
          <w:szCs w:val="36"/>
          <w:rtl/>
        </w:rPr>
        <w:t>اريد</w:t>
      </w:r>
      <w:r w:rsidR="00E8128F">
        <w:rPr>
          <w:sz w:val="36"/>
          <w:szCs w:val="36"/>
          <w:rtl/>
        </w:rPr>
        <w:t xml:space="preserve"> </w:t>
      </w:r>
      <w:r w:rsidRPr="00FD211F">
        <w:rPr>
          <w:sz w:val="36"/>
          <w:szCs w:val="36"/>
          <w:rtl/>
        </w:rPr>
        <w:t>اخذ</w:t>
      </w:r>
      <w:r w:rsidR="00E8128F">
        <w:rPr>
          <w:sz w:val="36"/>
          <w:szCs w:val="36"/>
          <w:rtl/>
        </w:rPr>
        <w:t xml:space="preserve"> </w:t>
      </w:r>
      <w:r w:rsidR="00D2047A" w:rsidRPr="00FD211F">
        <w:rPr>
          <w:sz w:val="36"/>
          <w:szCs w:val="36"/>
          <w:rtl/>
        </w:rPr>
        <w:t>تلبس</w:t>
      </w:r>
      <w:r w:rsidR="00E8128F">
        <w:rPr>
          <w:sz w:val="36"/>
          <w:szCs w:val="36"/>
          <w:rtl/>
        </w:rPr>
        <w:t xml:space="preserve"> </w:t>
      </w:r>
      <w:r w:rsidR="00D2047A" w:rsidRPr="00FD211F">
        <w:rPr>
          <w:sz w:val="36"/>
          <w:szCs w:val="36"/>
          <w:rtl/>
        </w:rPr>
        <w:t>الذات</w:t>
      </w:r>
      <w:r w:rsidR="00E8128F">
        <w:rPr>
          <w:sz w:val="36"/>
          <w:szCs w:val="36"/>
          <w:rtl/>
        </w:rPr>
        <w:t xml:space="preserve"> </w:t>
      </w:r>
      <w:r w:rsidR="00D2047A" w:rsidRPr="00FD211F">
        <w:rPr>
          <w:sz w:val="36"/>
          <w:szCs w:val="36"/>
          <w:rtl/>
        </w:rPr>
        <w:t>بال</w:t>
      </w:r>
      <w:r w:rsidR="0079493B" w:rsidRPr="00FD211F">
        <w:rPr>
          <w:sz w:val="36"/>
          <w:szCs w:val="36"/>
          <w:rtl/>
        </w:rPr>
        <w:t>مبدأ</w:t>
      </w:r>
      <w:r w:rsidR="00E8128F">
        <w:rPr>
          <w:sz w:val="36"/>
          <w:szCs w:val="36"/>
          <w:rtl/>
        </w:rPr>
        <w:t xml:space="preserve"> </w:t>
      </w:r>
      <w:r w:rsidR="00D2047A" w:rsidRPr="00FD211F">
        <w:rPr>
          <w:sz w:val="36"/>
          <w:szCs w:val="36"/>
          <w:rtl/>
        </w:rPr>
        <w:t>في</w:t>
      </w:r>
      <w:r w:rsidR="00E8128F">
        <w:rPr>
          <w:sz w:val="36"/>
          <w:szCs w:val="36"/>
          <w:rtl/>
        </w:rPr>
        <w:t xml:space="preserve"> </w:t>
      </w:r>
      <w:r w:rsidRPr="00FD211F">
        <w:rPr>
          <w:sz w:val="36"/>
          <w:szCs w:val="36"/>
          <w:rtl/>
        </w:rPr>
        <w:t>واقع</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النطق</w:t>
      </w:r>
      <w:r w:rsidR="00E8128F">
        <w:rPr>
          <w:sz w:val="36"/>
          <w:szCs w:val="36"/>
          <w:rtl/>
        </w:rPr>
        <w:t xml:space="preserve"> </w:t>
      </w:r>
      <w:r w:rsidR="00D2047A" w:rsidRPr="00FD211F">
        <w:rPr>
          <w:sz w:val="36"/>
          <w:szCs w:val="36"/>
          <w:rtl/>
        </w:rPr>
        <w:t>ف</w:t>
      </w:r>
      <w:r w:rsidRPr="00FD211F">
        <w:rPr>
          <w:sz w:val="36"/>
          <w:szCs w:val="36"/>
          <w:rtl/>
        </w:rPr>
        <w:t>لازمه</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تصور</w:t>
      </w:r>
      <w:r w:rsidR="00E8128F">
        <w:rPr>
          <w:sz w:val="36"/>
          <w:szCs w:val="36"/>
          <w:rtl/>
        </w:rPr>
        <w:t xml:space="preserve"> </w:t>
      </w:r>
      <w:r w:rsidRPr="00FD211F">
        <w:rPr>
          <w:sz w:val="36"/>
          <w:szCs w:val="36"/>
          <w:rtl/>
        </w:rPr>
        <w:t>معنى</w:t>
      </w:r>
      <w:r w:rsidR="00821B9F" w:rsidRPr="00FD211F">
        <w:rPr>
          <w:sz w:val="36"/>
          <w:szCs w:val="36"/>
          <w:rtl/>
        </w:rPr>
        <w:t>ً</w:t>
      </w:r>
      <w:r w:rsidR="00E8128F">
        <w:rPr>
          <w:sz w:val="36"/>
          <w:szCs w:val="36"/>
          <w:rtl/>
        </w:rPr>
        <w:t xml:space="preserve"> </w:t>
      </w:r>
      <w:r w:rsidR="00821B9F" w:rsidRPr="00FD211F">
        <w:rPr>
          <w:sz w:val="36"/>
          <w:szCs w:val="36"/>
          <w:rtl/>
        </w:rPr>
        <w:t>ل</w:t>
      </w:r>
      <w:r w:rsidRPr="00FD211F">
        <w:rPr>
          <w:sz w:val="36"/>
          <w:szCs w:val="36"/>
          <w:rtl/>
        </w:rPr>
        <w:t>لمشتق</w:t>
      </w:r>
      <w:r w:rsidR="00E8128F">
        <w:rPr>
          <w:sz w:val="36"/>
          <w:szCs w:val="36"/>
          <w:rtl/>
        </w:rPr>
        <w:t xml:space="preserve"> </w:t>
      </w:r>
      <w:r w:rsidR="00D2047A" w:rsidRPr="00FD211F">
        <w:rPr>
          <w:sz w:val="36"/>
          <w:szCs w:val="36"/>
          <w:rtl/>
        </w:rPr>
        <w:t>عند</w:t>
      </w:r>
      <w:r w:rsidR="00E8128F">
        <w:rPr>
          <w:sz w:val="36"/>
          <w:szCs w:val="36"/>
          <w:rtl/>
        </w:rPr>
        <w:t xml:space="preserve"> </w:t>
      </w:r>
      <w:r w:rsidR="00D2047A" w:rsidRPr="00FD211F">
        <w:rPr>
          <w:sz w:val="36"/>
          <w:szCs w:val="36"/>
          <w:rtl/>
        </w:rPr>
        <w:t>عدم</w:t>
      </w:r>
      <w:r w:rsidR="00E8128F">
        <w:rPr>
          <w:sz w:val="36"/>
          <w:szCs w:val="36"/>
          <w:rtl/>
        </w:rPr>
        <w:t xml:space="preserve"> </w:t>
      </w:r>
      <w:r w:rsidRPr="00FD211F">
        <w:rPr>
          <w:sz w:val="36"/>
          <w:szCs w:val="36"/>
          <w:rtl/>
        </w:rPr>
        <w:t>النطق</w:t>
      </w:r>
      <w:r w:rsidR="00E8128F">
        <w:rPr>
          <w:sz w:val="36"/>
          <w:szCs w:val="36"/>
          <w:rtl/>
        </w:rPr>
        <w:t xml:space="preserve"> </w:t>
      </w:r>
      <w:r w:rsidRPr="00FD211F">
        <w:rPr>
          <w:sz w:val="36"/>
          <w:szCs w:val="36"/>
          <w:rtl/>
        </w:rPr>
        <w:t>به</w:t>
      </w:r>
      <w:r w:rsidR="00E8128F">
        <w:rPr>
          <w:sz w:val="36"/>
          <w:szCs w:val="36"/>
          <w:rtl/>
        </w:rPr>
        <w:t xml:space="preserve"> </w:t>
      </w:r>
      <w:r w:rsidRPr="00FD211F">
        <w:rPr>
          <w:sz w:val="36"/>
          <w:szCs w:val="36"/>
          <w:rtl/>
        </w:rPr>
        <w:t>خارجا</w:t>
      </w:r>
      <w:r w:rsidR="00E8128F">
        <w:rPr>
          <w:sz w:val="36"/>
          <w:szCs w:val="36"/>
          <w:rtl/>
        </w:rPr>
        <w:t xml:space="preserve"> </w:t>
      </w:r>
      <w:r w:rsidR="00D2047A" w:rsidRPr="00FD211F">
        <w:rPr>
          <w:sz w:val="36"/>
          <w:szCs w:val="36"/>
          <w:rtl/>
        </w:rPr>
        <w:t>كما</w:t>
      </w:r>
      <w:r w:rsidR="00E8128F">
        <w:rPr>
          <w:sz w:val="36"/>
          <w:szCs w:val="36"/>
          <w:rtl/>
        </w:rPr>
        <w:t xml:space="preserve"> </w:t>
      </w:r>
      <w:r w:rsidR="00D2047A" w:rsidRPr="00FD211F">
        <w:rPr>
          <w:sz w:val="36"/>
          <w:szCs w:val="36"/>
          <w:rtl/>
        </w:rPr>
        <w:t>لو</w:t>
      </w:r>
      <w:r w:rsidR="00E8128F">
        <w:rPr>
          <w:sz w:val="36"/>
          <w:szCs w:val="36"/>
          <w:rtl/>
        </w:rPr>
        <w:t xml:space="preserve"> </w:t>
      </w:r>
      <w:r w:rsidR="00D2047A" w:rsidRPr="00FD211F">
        <w:rPr>
          <w:sz w:val="36"/>
          <w:szCs w:val="36"/>
          <w:rtl/>
        </w:rPr>
        <w:t>تصور</w:t>
      </w:r>
      <w:r w:rsidR="00821B9F" w:rsidRPr="00FD211F">
        <w:rPr>
          <w:sz w:val="36"/>
          <w:szCs w:val="36"/>
          <w:rtl/>
        </w:rPr>
        <w:t>ه</w:t>
      </w:r>
      <w:r w:rsidR="00E8128F">
        <w:rPr>
          <w:sz w:val="36"/>
          <w:szCs w:val="36"/>
          <w:rtl/>
        </w:rPr>
        <w:t xml:space="preserve"> </w:t>
      </w:r>
      <w:r w:rsidR="00D2047A" w:rsidRPr="00FD211F">
        <w:rPr>
          <w:sz w:val="36"/>
          <w:szCs w:val="36"/>
          <w:rtl/>
        </w:rPr>
        <w:t>شخص</w:t>
      </w:r>
      <w:r w:rsidR="00E8128F">
        <w:rPr>
          <w:sz w:val="36"/>
          <w:szCs w:val="36"/>
          <w:rtl/>
        </w:rPr>
        <w:t xml:space="preserve"> </w:t>
      </w:r>
      <w:r w:rsidR="00D2047A" w:rsidRPr="00FD211F">
        <w:rPr>
          <w:sz w:val="36"/>
          <w:szCs w:val="36"/>
          <w:rtl/>
        </w:rPr>
        <w:t>من</w:t>
      </w:r>
      <w:r w:rsidR="00E8128F">
        <w:rPr>
          <w:sz w:val="36"/>
          <w:szCs w:val="36"/>
          <w:rtl/>
        </w:rPr>
        <w:t xml:space="preserve"> </w:t>
      </w:r>
      <w:r w:rsidR="00D2047A" w:rsidRPr="00FD211F">
        <w:rPr>
          <w:sz w:val="36"/>
          <w:szCs w:val="36"/>
          <w:rtl/>
        </w:rPr>
        <w:t>غير</w:t>
      </w:r>
      <w:r w:rsidR="00E8128F">
        <w:rPr>
          <w:sz w:val="36"/>
          <w:szCs w:val="36"/>
          <w:rtl/>
        </w:rPr>
        <w:t xml:space="preserve"> </w:t>
      </w:r>
      <w:r w:rsidR="00D2047A" w:rsidRPr="00FD211F">
        <w:rPr>
          <w:sz w:val="36"/>
          <w:szCs w:val="36"/>
          <w:rtl/>
        </w:rPr>
        <w:t>ان</w:t>
      </w:r>
      <w:r w:rsidR="00E8128F">
        <w:rPr>
          <w:sz w:val="36"/>
          <w:szCs w:val="36"/>
          <w:rtl/>
        </w:rPr>
        <w:t xml:space="preserve"> </w:t>
      </w:r>
      <w:r w:rsidR="00D2047A" w:rsidRPr="00FD211F">
        <w:rPr>
          <w:sz w:val="36"/>
          <w:szCs w:val="36"/>
          <w:rtl/>
        </w:rPr>
        <w:t>ينطق</w:t>
      </w:r>
      <w:r w:rsidR="00E8128F">
        <w:rPr>
          <w:sz w:val="36"/>
          <w:szCs w:val="36"/>
          <w:rtl/>
        </w:rPr>
        <w:t xml:space="preserve"> </w:t>
      </w:r>
      <w:r w:rsidR="00D2047A" w:rsidRPr="00FD211F">
        <w:rPr>
          <w:sz w:val="36"/>
          <w:szCs w:val="36"/>
          <w:rtl/>
        </w:rPr>
        <w:t>به</w:t>
      </w:r>
      <w:r w:rsidR="00603323" w:rsidRPr="00FD211F">
        <w:rPr>
          <w:sz w:val="36"/>
          <w:szCs w:val="36"/>
          <w:rtl/>
        </w:rPr>
        <w:t>،</w:t>
      </w:r>
      <w:r w:rsidR="00E8128F">
        <w:rPr>
          <w:sz w:val="36"/>
          <w:szCs w:val="36"/>
          <w:rtl/>
        </w:rPr>
        <w:t xml:space="preserve"> </w:t>
      </w:r>
      <w:r w:rsidR="00D2047A" w:rsidRPr="00FD211F">
        <w:rPr>
          <w:sz w:val="36"/>
          <w:szCs w:val="36"/>
          <w:rtl/>
        </w:rPr>
        <w:t>مضافا</w:t>
      </w:r>
      <w:r w:rsidR="00E8128F">
        <w:rPr>
          <w:sz w:val="36"/>
          <w:szCs w:val="36"/>
          <w:rtl/>
        </w:rPr>
        <w:t xml:space="preserve"> </w:t>
      </w:r>
      <w:r w:rsidR="00D2047A" w:rsidRPr="00FD211F">
        <w:rPr>
          <w:sz w:val="36"/>
          <w:szCs w:val="36"/>
          <w:rtl/>
        </w:rPr>
        <w:t>الى</w:t>
      </w:r>
      <w:r w:rsidR="00E8128F">
        <w:rPr>
          <w:sz w:val="36"/>
          <w:szCs w:val="36"/>
          <w:rtl/>
        </w:rPr>
        <w:t xml:space="preserve"> </w:t>
      </w:r>
      <w:r w:rsidRPr="00FD211F">
        <w:rPr>
          <w:sz w:val="36"/>
          <w:szCs w:val="36"/>
          <w:rtl/>
        </w:rPr>
        <w:t>استلزامه</w:t>
      </w:r>
      <w:r w:rsidR="00E8128F">
        <w:rPr>
          <w:sz w:val="36"/>
          <w:szCs w:val="36"/>
          <w:rtl/>
        </w:rPr>
        <w:t xml:space="preserve"> </w:t>
      </w:r>
      <w:r w:rsidR="005E52DA" w:rsidRPr="00FD211F">
        <w:rPr>
          <w:sz w:val="36"/>
          <w:szCs w:val="36"/>
          <w:rtl/>
        </w:rPr>
        <w:t>لان</w:t>
      </w:r>
      <w:r w:rsidR="00E8128F">
        <w:rPr>
          <w:sz w:val="36"/>
          <w:szCs w:val="36"/>
          <w:rtl/>
        </w:rPr>
        <w:t xml:space="preserve"> </w:t>
      </w:r>
      <w:r w:rsidR="005E52DA" w:rsidRPr="00FD211F">
        <w:rPr>
          <w:sz w:val="36"/>
          <w:szCs w:val="36"/>
          <w:rtl/>
        </w:rPr>
        <w:t>يكون</w:t>
      </w:r>
      <w:r w:rsidR="00E8128F">
        <w:rPr>
          <w:sz w:val="36"/>
          <w:szCs w:val="36"/>
          <w:rtl/>
        </w:rPr>
        <w:t xml:space="preserve"> </w:t>
      </w:r>
      <w:r w:rsidR="005E52DA" w:rsidRPr="00FD211F">
        <w:rPr>
          <w:sz w:val="36"/>
          <w:szCs w:val="36"/>
          <w:rtl/>
        </w:rPr>
        <w:t>المدلول</w:t>
      </w:r>
      <w:r w:rsidR="00E8128F">
        <w:rPr>
          <w:sz w:val="36"/>
          <w:szCs w:val="36"/>
          <w:rtl/>
        </w:rPr>
        <w:t xml:space="preserve"> </w:t>
      </w:r>
      <w:r w:rsidR="005E52DA" w:rsidRPr="00FD211F">
        <w:rPr>
          <w:sz w:val="36"/>
          <w:szCs w:val="36"/>
          <w:rtl/>
        </w:rPr>
        <w:t>الوضعي</w:t>
      </w:r>
      <w:r w:rsidR="00E8128F">
        <w:rPr>
          <w:sz w:val="36"/>
          <w:szCs w:val="36"/>
          <w:rtl/>
        </w:rPr>
        <w:t xml:space="preserve"> </w:t>
      </w:r>
      <w:r w:rsidR="005E52DA" w:rsidRPr="00FD211F">
        <w:rPr>
          <w:sz w:val="36"/>
          <w:szCs w:val="36"/>
          <w:rtl/>
        </w:rPr>
        <w:t>متقيدا</w:t>
      </w:r>
      <w:r w:rsidR="00E8128F">
        <w:rPr>
          <w:sz w:val="36"/>
          <w:szCs w:val="36"/>
          <w:rtl/>
        </w:rPr>
        <w:t xml:space="preserve"> </w:t>
      </w:r>
      <w:r w:rsidR="005E52DA" w:rsidRPr="00FD211F">
        <w:rPr>
          <w:sz w:val="36"/>
          <w:szCs w:val="36"/>
          <w:rtl/>
        </w:rPr>
        <w:t>بوجود</w:t>
      </w:r>
      <w:r w:rsidR="00E8128F">
        <w:rPr>
          <w:sz w:val="36"/>
          <w:szCs w:val="36"/>
          <w:rtl/>
        </w:rPr>
        <w:t xml:space="preserve"> </w:t>
      </w:r>
      <w:r w:rsidR="008D7B3D" w:rsidRPr="00FD211F">
        <w:rPr>
          <w:sz w:val="36"/>
          <w:szCs w:val="36"/>
          <w:rtl/>
        </w:rPr>
        <w:t>شيء</w:t>
      </w:r>
      <w:r w:rsidR="00E8128F">
        <w:rPr>
          <w:sz w:val="36"/>
          <w:szCs w:val="36"/>
          <w:rtl/>
        </w:rPr>
        <w:t xml:space="preserve"> </w:t>
      </w:r>
      <w:r w:rsidRPr="00FD211F">
        <w:rPr>
          <w:sz w:val="36"/>
          <w:szCs w:val="36"/>
          <w:rtl/>
        </w:rPr>
        <w:t>خارجا</w:t>
      </w:r>
      <w:r w:rsidR="00E8128F">
        <w:rPr>
          <w:sz w:val="36"/>
          <w:szCs w:val="36"/>
          <w:rtl/>
        </w:rPr>
        <w:t xml:space="preserve"> </w:t>
      </w:r>
      <w:r w:rsidR="004C2D1F" w:rsidRPr="00FD211F">
        <w:rPr>
          <w:sz w:val="36"/>
          <w:szCs w:val="36"/>
          <w:rtl/>
        </w:rPr>
        <w:t>اي</w:t>
      </w:r>
      <w:r w:rsidR="00E8128F">
        <w:rPr>
          <w:sz w:val="36"/>
          <w:szCs w:val="36"/>
          <w:rtl/>
        </w:rPr>
        <w:t xml:space="preserve"> </w:t>
      </w:r>
      <w:r w:rsidR="004C2D1F" w:rsidRPr="00FD211F">
        <w:rPr>
          <w:sz w:val="36"/>
          <w:szCs w:val="36"/>
          <w:rtl/>
        </w:rPr>
        <w:t>النطق</w:t>
      </w:r>
      <w:r w:rsidR="00E8128F">
        <w:rPr>
          <w:sz w:val="36"/>
          <w:szCs w:val="36"/>
          <w:rtl/>
        </w:rPr>
        <w:t xml:space="preserve"> </w:t>
      </w:r>
      <w:r w:rsidR="005E52DA" w:rsidRPr="00FD211F">
        <w:rPr>
          <w:sz w:val="36"/>
          <w:szCs w:val="36"/>
          <w:rtl/>
        </w:rPr>
        <w:t>وهو</w:t>
      </w:r>
      <w:r w:rsidR="00E8128F">
        <w:rPr>
          <w:sz w:val="36"/>
          <w:szCs w:val="36"/>
          <w:rtl/>
        </w:rPr>
        <w:t xml:space="preserve"> </w:t>
      </w:r>
      <w:r w:rsidR="005E52DA" w:rsidRPr="00FD211F">
        <w:rPr>
          <w:sz w:val="36"/>
          <w:szCs w:val="36"/>
          <w:rtl/>
        </w:rPr>
        <w:t>غير</w:t>
      </w:r>
      <w:r w:rsidR="00E8128F">
        <w:rPr>
          <w:sz w:val="36"/>
          <w:szCs w:val="36"/>
          <w:rtl/>
        </w:rPr>
        <w:t xml:space="preserve"> </w:t>
      </w:r>
      <w:r w:rsidR="005E52DA" w:rsidRPr="00FD211F">
        <w:rPr>
          <w:sz w:val="36"/>
          <w:szCs w:val="36"/>
          <w:rtl/>
        </w:rPr>
        <w:t>معقول</w:t>
      </w:r>
      <w:r w:rsidR="00E8128F">
        <w:rPr>
          <w:sz w:val="36"/>
          <w:szCs w:val="36"/>
          <w:rtl/>
        </w:rPr>
        <w:t xml:space="preserve"> </w:t>
      </w:r>
      <w:r w:rsidR="005E52DA" w:rsidRPr="00FD211F">
        <w:rPr>
          <w:sz w:val="36"/>
          <w:szCs w:val="36"/>
          <w:rtl/>
        </w:rPr>
        <w:t>بناء</w:t>
      </w:r>
      <w:r w:rsidR="00E8128F">
        <w:rPr>
          <w:sz w:val="36"/>
          <w:szCs w:val="36"/>
          <w:rtl/>
        </w:rPr>
        <w:t xml:space="preserve"> </w:t>
      </w:r>
      <w:r w:rsidR="005E52DA" w:rsidRPr="00FD211F">
        <w:rPr>
          <w:sz w:val="36"/>
          <w:szCs w:val="36"/>
          <w:rtl/>
        </w:rPr>
        <w:t>على</w:t>
      </w:r>
      <w:r w:rsidR="00E8128F">
        <w:rPr>
          <w:sz w:val="36"/>
          <w:szCs w:val="36"/>
          <w:rtl/>
        </w:rPr>
        <w:t xml:space="preserve"> </w:t>
      </w:r>
      <w:r w:rsidR="005E52DA" w:rsidRPr="00FD211F">
        <w:rPr>
          <w:sz w:val="36"/>
          <w:szCs w:val="36"/>
          <w:rtl/>
        </w:rPr>
        <w:t>كون</w:t>
      </w:r>
      <w:r w:rsidR="00E8128F">
        <w:rPr>
          <w:sz w:val="36"/>
          <w:szCs w:val="36"/>
          <w:rtl/>
        </w:rPr>
        <w:t xml:space="preserve"> </w:t>
      </w:r>
      <w:r w:rsidR="005E52DA" w:rsidRPr="00FD211F">
        <w:rPr>
          <w:sz w:val="36"/>
          <w:szCs w:val="36"/>
          <w:rtl/>
        </w:rPr>
        <w:t>الوضع</w:t>
      </w:r>
      <w:r w:rsidR="00E8128F">
        <w:rPr>
          <w:sz w:val="36"/>
          <w:szCs w:val="36"/>
          <w:rtl/>
        </w:rPr>
        <w:t xml:space="preserve"> </w:t>
      </w:r>
      <w:r w:rsidR="005E52DA" w:rsidRPr="00FD211F">
        <w:rPr>
          <w:sz w:val="36"/>
          <w:szCs w:val="36"/>
          <w:rtl/>
        </w:rPr>
        <w:t>هو</w:t>
      </w:r>
      <w:r w:rsidR="00E8128F">
        <w:rPr>
          <w:sz w:val="36"/>
          <w:szCs w:val="36"/>
          <w:rtl/>
        </w:rPr>
        <w:t xml:space="preserve"> </w:t>
      </w:r>
      <w:r w:rsidR="005E52DA" w:rsidRPr="00FD211F">
        <w:rPr>
          <w:sz w:val="36"/>
          <w:szCs w:val="36"/>
          <w:rtl/>
        </w:rPr>
        <w:t>الاقتران</w:t>
      </w:r>
      <w:r w:rsidR="00E8128F">
        <w:rPr>
          <w:sz w:val="36"/>
          <w:szCs w:val="36"/>
          <w:rtl/>
        </w:rPr>
        <w:t xml:space="preserve"> </w:t>
      </w:r>
      <w:r w:rsidR="005E52DA" w:rsidRPr="00FD211F">
        <w:rPr>
          <w:sz w:val="36"/>
          <w:szCs w:val="36"/>
          <w:rtl/>
        </w:rPr>
        <w:t>الأكيد</w:t>
      </w:r>
      <w:r w:rsidR="00E8128F">
        <w:rPr>
          <w:sz w:val="36"/>
          <w:szCs w:val="36"/>
          <w:rtl/>
        </w:rPr>
        <w:t xml:space="preserve"> </w:t>
      </w:r>
      <w:r w:rsidR="005E52DA" w:rsidRPr="00FD211F">
        <w:rPr>
          <w:sz w:val="36"/>
          <w:szCs w:val="36"/>
          <w:rtl/>
        </w:rPr>
        <w:t>بين</w:t>
      </w:r>
      <w:r w:rsidR="00E8128F">
        <w:rPr>
          <w:sz w:val="36"/>
          <w:szCs w:val="36"/>
          <w:rtl/>
        </w:rPr>
        <w:t xml:space="preserve"> </w:t>
      </w:r>
      <w:r w:rsidR="005E52DA" w:rsidRPr="00FD211F">
        <w:rPr>
          <w:sz w:val="36"/>
          <w:szCs w:val="36"/>
          <w:rtl/>
        </w:rPr>
        <w:t>تصور</w:t>
      </w:r>
      <w:r w:rsidR="00E8128F">
        <w:rPr>
          <w:sz w:val="36"/>
          <w:szCs w:val="36"/>
          <w:rtl/>
        </w:rPr>
        <w:t xml:space="preserve"> </w:t>
      </w:r>
      <w:r w:rsidR="005E52DA" w:rsidRPr="00FD211F">
        <w:rPr>
          <w:sz w:val="36"/>
          <w:szCs w:val="36"/>
          <w:rtl/>
        </w:rPr>
        <w:t>اللفظ</w:t>
      </w:r>
      <w:r w:rsidR="00E8128F">
        <w:rPr>
          <w:sz w:val="36"/>
          <w:szCs w:val="36"/>
          <w:rtl/>
        </w:rPr>
        <w:t xml:space="preserve"> </w:t>
      </w:r>
      <w:r w:rsidR="005E52DA" w:rsidRPr="00FD211F">
        <w:rPr>
          <w:sz w:val="36"/>
          <w:szCs w:val="36"/>
          <w:rtl/>
        </w:rPr>
        <w:t>وتصور</w:t>
      </w:r>
      <w:r w:rsidR="00E8128F">
        <w:rPr>
          <w:sz w:val="36"/>
          <w:szCs w:val="36"/>
          <w:rtl/>
        </w:rPr>
        <w:t xml:space="preserve"> </w:t>
      </w:r>
      <w:r w:rsidR="005E52DA" w:rsidRPr="00FD211F">
        <w:rPr>
          <w:sz w:val="36"/>
          <w:szCs w:val="36"/>
          <w:rtl/>
        </w:rPr>
        <w:t>المعنى</w:t>
      </w:r>
      <w:r w:rsidRPr="00FD211F">
        <w:rPr>
          <w:sz w:val="36"/>
          <w:szCs w:val="36"/>
          <w:rtl/>
        </w:rPr>
        <w:t>.</w:t>
      </w:r>
    </w:p>
    <w:p w14:paraId="7F03AA52" w14:textId="77777777" w:rsidR="000C5BBA" w:rsidRPr="00FD211F" w:rsidRDefault="003F74CA" w:rsidP="009C58C8">
      <w:pPr>
        <w:ind w:left="0" w:firstLine="227"/>
        <w:jc w:val="both"/>
        <w:rPr>
          <w:sz w:val="36"/>
          <w:szCs w:val="36"/>
          <w:rtl/>
        </w:rPr>
      </w:pPr>
      <w:r w:rsidRPr="00FD211F">
        <w:rPr>
          <w:sz w:val="36"/>
          <w:szCs w:val="36"/>
          <w:rtl/>
        </w:rPr>
        <w:t>و</w:t>
      </w:r>
      <w:r w:rsidR="005E52DA" w:rsidRPr="00FD211F">
        <w:rPr>
          <w:sz w:val="36"/>
          <w:szCs w:val="36"/>
          <w:rtl/>
        </w:rPr>
        <w:t>اما</w:t>
      </w:r>
      <w:r w:rsidR="00E8128F">
        <w:rPr>
          <w:sz w:val="36"/>
          <w:szCs w:val="36"/>
          <w:rtl/>
        </w:rPr>
        <w:t xml:space="preserve"> </w:t>
      </w:r>
      <w:r w:rsidR="005E52DA" w:rsidRPr="00FD211F">
        <w:rPr>
          <w:sz w:val="36"/>
          <w:szCs w:val="36"/>
          <w:rtl/>
        </w:rPr>
        <w:t>اخذ</w:t>
      </w:r>
      <w:r w:rsidR="00E8128F">
        <w:rPr>
          <w:sz w:val="36"/>
          <w:szCs w:val="36"/>
          <w:rtl/>
        </w:rPr>
        <w:t xml:space="preserve"> </w:t>
      </w:r>
      <w:r w:rsidR="005E52DA" w:rsidRPr="00FD211F">
        <w:rPr>
          <w:sz w:val="36"/>
          <w:szCs w:val="36"/>
          <w:rtl/>
        </w:rPr>
        <w:t>تلبس</w:t>
      </w:r>
      <w:r w:rsidR="00E8128F">
        <w:rPr>
          <w:sz w:val="36"/>
          <w:szCs w:val="36"/>
          <w:rtl/>
        </w:rPr>
        <w:t xml:space="preserve"> </w:t>
      </w:r>
      <w:r w:rsidR="005E52DA" w:rsidRPr="00FD211F">
        <w:rPr>
          <w:sz w:val="36"/>
          <w:szCs w:val="36"/>
          <w:rtl/>
        </w:rPr>
        <w:t>الذات</w:t>
      </w:r>
      <w:r w:rsidR="00E8128F">
        <w:rPr>
          <w:sz w:val="36"/>
          <w:szCs w:val="36"/>
          <w:rtl/>
        </w:rPr>
        <w:t xml:space="preserve"> </w:t>
      </w:r>
      <w:r w:rsidR="005E52DA" w:rsidRPr="00FD211F">
        <w:rPr>
          <w:sz w:val="36"/>
          <w:szCs w:val="36"/>
          <w:rtl/>
        </w:rPr>
        <w:t>بال</w:t>
      </w:r>
      <w:r w:rsidR="0079493B" w:rsidRPr="00FD211F">
        <w:rPr>
          <w:sz w:val="36"/>
          <w:szCs w:val="36"/>
          <w:rtl/>
        </w:rPr>
        <w:t>مبدأ</w:t>
      </w:r>
      <w:r w:rsidR="00E8128F">
        <w:rPr>
          <w:sz w:val="36"/>
          <w:szCs w:val="36"/>
          <w:rtl/>
        </w:rPr>
        <w:t xml:space="preserve"> </w:t>
      </w:r>
      <w:r w:rsidR="005E52DA" w:rsidRPr="00FD211F">
        <w:rPr>
          <w:sz w:val="36"/>
          <w:szCs w:val="36"/>
          <w:rtl/>
        </w:rPr>
        <w:t>في</w:t>
      </w:r>
      <w:r w:rsidR="00E8128F">
        <w:rPr>
          <w:sz w:val="36"/>
          <w:szCs w:val="36"/>
          <w:rtl/>
        </w:rPr>
        <w:t xml:space="preserve"> </w:t>
      </w:r>
      <w:r w:rsidR="005E52DA" w:rsidRPr="00FD211F">
        <w:rPr>
          <w:sz w:val="36"/>
          <w:szCs w:val="36"/>
          <w:rtl/>
        </w:rPr>
        <w:t>زمان</w:t>
      </w:r>
      <w:r w:rsidR="00E8128F">
        <w:rPr>
          <w:sz w:val="36"/>
          <w:szCs w:val="36"/>
          <w:rtl/>
        </w:rPr>
        <w:t xml:space="preserve"> </w:t>
      </w:r>
      <w:r w:rsidR="005E52DA" w:rsidRPr="00FD211F">
        <w:rPr>
          <w:sz w:val="36"/>
          <w:szCs w:val="36"/>
          <w:rtl/>
        </w:rPr>
        <w:t>الاسناد</w:t>
      </w:r>
      <w:r w:rsidR="00E8128F">
        <w:rPr>
          <w:sz w:val="36"/>
          <w:szCs w:val="36"/>
          <w:rtl/>
        </w:rPr>
        <w:t xml:space="preserve"> </w:t>
      </w:r>
      <w:r w:rsidR="005E52DA" w:rsidRPr="00FD211F">
        <w:rPr>
          <w:sz w:val="36"/>
          <w:szCs w:val="36"/>
          <w:rtl/>
        </w:rPr>
        <w:t>فيرد</w:t>
      </w:r>
      <w:r w:rsidR="00E8128F">
        <w:rPr>
          <w:sz w:val="36"/>
          <w:szCs w:val="36"/>
          <w:rtl/>
        </w:rPr>
        <w:t xml:space="preserve"> </w:t>
      </w:r>
      <w:r w:rsidR="005E52DA" w:rsidRPr="00FD211F">
        <w:rPr>
          <w:sz w:val="36"/>
          <w:szCs w:val="36"/>
          <w:rtl/>
        </w:rPr>
        <w:t>عليه</w:t>
      </w:r>
      <w:r w:rsidR="00E8128F">
        <w:rPr>
          <w:sz w:val="36"/>
          <w:szCs w:val="36"/>
          <w:rtl/>
        </w:rPr>
        <w:t xml:space="preserve"> </w:t>
      </w:r>
      <w:r w:rsidR="005E52DA" w:rsidRPr="00FD211F">
        <w:rPr>
          <w:b/>
          <w:bCs/>
          <w:sz w:val="36"/>
          <w:szCs w:val="36"/>
          <w:rtl/>
        </w:rPr>
        <w:t>اولا</w:t>
      </w:r>
      <w:r w:rsidR="00F45D05" w:rsidRPr="00FD211F">
        <w:rPr>
          <w:b/>
          <w:bCs/>
          <w:sz w:val="36"/>
          <w:szCs w:val="36"/>
          <w:rtl/>
        </w:rPr>
        <w:t>:</w:t>
      </w:r>
      <w:r w:rsidR="00E8128F">
        <w:rPr>
          <w:sz w:val="36"/>
          <w:szCs w:val="36"/>
          <w:rtl/>
        </w:rPr>
        <w:t xml:space="preserve"> </w:t>
      </w:r>
      <w:r w:rsidR="005E52DA" w:rsidRPr="00FD211F">
        <w:rPr>
          <w:sz w:val="36"/>
          <w:szCs w:val="36"/>
          <w:rtl/>
        </w:rPr>
        <w:t>انه</w:t>
      </w:r>
      <w:r w:rsidR="00E8128F">
        <w:rPr>
          <w:sz w:val="36"/>
          <w:szCs w:val="36"/>
          <w:rtl/>
        </w:rPr>
        <w:t xml:space="preserve"> </w:t>
      </w:r>
      <w:r w:rsidR="005E52DA" w:rsidRPr="00FD211F">
        <w:rPr>
          <w:sz w:val="36"/>
          <w:szCs w:val="36"/>
          <w:rtl/>
        </w:rPr>
        <w:t>ان</w:t>
      </w:r>
      <w:r w:rsidR="00E8128F">
        <w:rPr>
          <w:sz w:val="36"/>
          <w:szCs w:val="36"/>
          <w:rtl/>
        </w:rPr>
        <w:t xml:space="preserve"> </w:t>
      </w:r>
      <w:r w:rsidR="005E52DA" w:rsidRPr="00FD211F">
        <w:rPr>
          <w:sz w:val="36"/>
          <w:szCs w:val="36"/>
          <w:rtl/>
        </w:rPr>
        <w:t>اريد</w:t>
      </w:r>
      <w:r w:rsidR="00E8128F">
        <w:rPr>
          <w:sz w:val="36"/>
          <w:szCs w:val="36"/>
          <w:rtl/>
        </w:rPr>
        <w:t xml:space="preserve"> </w:t>
      </w:r>
      <w:r w:rsidR="005E52DA" w:rsidRPr="00FD211F">
        <w:rPr>
          <w:sz w:val="36"/>
          <w:szCs w:val="36"/>
          <w:rtl/>
        </w:rPr>
        <w:t>اخذ</w:t>
      </w:r>
      <w:r w:rsidR="00E8128F">
        <w:rPr>
          <w:sz w:val="36"/>
          <w:szCs w:val="36"/>
          <w:rtl/>
        </w:rPr>
        <w:t xml:space="preserve"> </w:t>
      </w:r>
      <w:r w:rsidR="005E52DA" w:rsidRPr="00FD211F">
        <w:rPr>
          <w:sz w:val="36"/>
          <w:szCs w:val="36"/>
          <w:rtl/>
        </w:rPr>
        <w:t>مفهوم</w:t>
      </w:r>
      <w:r w:rsidR="00E8128F">
        <w:rPr>
          <w:sz w:val="36"/>
          <w:szCs w:val="36"/>
          <w:rtl/>
        </w:rPr>
        <w:t xml:space="preserve"> </w:t>
      </w:r>
      <w:r w:rsidR="005E52DA" w:rsidRPr="00FD211F">
        <w:rPr>
          <w:sz w:val="36"/>
          <w:szCs w:val="36"/>
          <w:rtl/>
        </w:rPr>
        <w:t>زمان</w:t>
      </w:r>
      <w:r w:rsidR="00E8128F">
        <w:rPr>
          <w:sz w:val="36"/>
          <w:szCs w:val="36"/>
          <w:rtl/>
        </w:rPr>
        <w:t xml:space="preserve"> </w:t>
      </w:r>
      <w:r w:rsidR="005E52DA" w:rsidRPr="00FD211F">
        <w:rPr>
          <w:sz w:val="36"/>
          <w:szCs w:val="36"/>
          <w:rtl/>
        </w:rPr>
        <w:t>الاسناد</w:t>
      </w:r>
      <w:r w:rsidR="00E8128F">
        <w:rPr>
          <w:sz w:val="36"/>
          <w:szCs w:val="36"/>
          <w:rtl/>
        </w:rPr>
        <w:t xml:space="preserve"> </w:t>
      </w:r>
      <w:r w:rsidR="005E52DA" w:rsidRPr="00FD211F">
        <w:rPr>
          <w:sz w:val="36"/>
          <w:szCs w:val="36"/>
          <w:rtl/>
        </w:rPr>
        <w:t>في</w:t>
      </w:r>
      <w:r w:rsidR="00E8128F">
        <w:rPr>
          <w:sz w:val="36"/>
          <w:szCs w:val="36"/>
          <w:rtl/>
        </w:rPr>
        <w:t xml:space="preserve"> </w:t>
      </w:r>
      <w:r w:rsidR="005E52DA" w:rsidRPr="00FD211F">
        <w:rPr>
          <w:sz w:val="36"/>
          <w:szCs w:val="36"/>
          <w:rtl/>
        </w:rPr>
        <w:t>معنى</w:t>
      </w:r>
      <w:r w:rsidR="00E8128F">
        <w:rPr>
          <w:sz w:val="36"/>
          <w:szCs w:val="36"/>
          <w:rtl/>
        </w:rPr>
        <w:t xml:space="preserve"> </w:t>
      </w:r>
      <w:r w:rsidR="005E52DA" w:rsidRPr="00FD211F">
        <w:rPr>
          <w:sz w:val="36"/>
          <w:szCs w:val="36"/>
          <w:rtl/>
        </w:rPr>
        <w:t>المشتق</w:t>
      </w:r>
      <w:r w:rsidR="00E8128F">
        <w:rPr>
          <w:sz w:val="36"/>
          <w:szCs w:val="36"/>
          <w:rtl/>
        </w:rPr>
        <w:t xml:space="preserve"> </w:t>
      </w:r>
      <w:r w:rsidR="005E52DA" w:rsidRPr="00FD211F">
        <w:rPr>
          <w:sz w:val="36"/>
          <w:szCs w:val="36"/>
          <w:rtl/>
        </w:rPr>
        <w:t>فهو</w:t>
      </w:r>
      <w:r w:rsidR="00E8128F">
        <w:rPr>
          <w:sz w:val="36"/>
          <w:szCs w:val="36"/>
          <w:rtl/>
        </w:rPr>
        <w:t xml:space="preserve"> </w:t>
      </w:r>
      <w:r w:rsidR="005E52DA" w:rsidRPr="00FD211F">
        <w:rPr>
          <w:sz w:val="36"/>
          <w:szCs w:val="36"/>
          <w:rtl/>
        </w:rPr>
        <w:t>واضح</w:t>
      </w:r>
      <w:r w:rsidR="00E8128F">
        <w:rPr>
          <w:sz w:val="36"/>
          <w:szCs w:val="36"/>
          <w:rtl/>
        </w:rPr>
        <w:t xml:space="preserve"> </w:t>
      </w:r>
      <w:r w:rsidR="005E52DA" w:rsidRPr="00FD211F">
        <w:rPr>
          <w:sz w:val="36"/>
          <w:szCs w:val="36"/>
          <w:rtl/>
        </w:rPr>
        <w:t>الفساد</w:t>
      </w:r>
      <w:r w:rsidR="00603323" w:rsidRPr="00FD211F">
        <w:rPr>
          <w:sz w:val="36"/>
          <w:szCs w:val="36"/>
          <w:rtl/>
        </w:rPr>
        <w:t>،</w:t>
      </w:r>
      <w:r w:rsidR="00E8128F">
        <w:rPr>
          <w:sz w:val="36"/>
          <w:szCs w:val="36"/>
          <w:rtl/>
        </w:rPr>
        <w:t xml:space="preserve"> </w:t>
      </w:r>
      <w:r w:rsidR="005E52DA" w:rsidRPr="00FD211F">
        <w:rPr>
          <w:sz w:val="36"/>
          <w:szCs w:val="36"/>
          <w:rtl/>
        </w:rPr>
        <w:t>وان</w:t>
      </w:r>
      <w:r w:rsidR="00E8128F">
        <w:rPr>
          <w:sz w:val="36"/>
          <w:szCs w:val="36"/>
          <w:rtl/>
        </w:rPr>
        <w:t xml:space="preserve"> </w:t>
      </w:r>
      <w:r w:rsidR="005E52DA" w:rsidRPr="00FD211F">
        <w:rPr>
          <w:sz w:val="36"/>
          <w:szCs w:val="36"/>
          <w:rtl/>
        </w:rPr>
        <w:t>اريد</w:t>
      </w:r>
      <w:r w:rsidR="00E8128F">
        <w:rPr>
          <w:sz w:val="36"/>
          <w:szCs w:val="36"/>
          <w:rtl/>
        </w:rPr>
        <w:t xml:space="preserve"> </w:t>
      </w:r>
      <w:r w:rsidR="005E52DA" w:rsidRPr="00FD211F">
        <w:rPr>
          <w:sz w:val="36"/>
          <w:szCs w:val="36"/>
          <w:rtl/>
        </w:rPr>
        <w:t>اخذ</w:t>
      </w:r>
      <w:r w:rsidR="00E8128F">
        <w:rPr>
          <w:sz w:val="36"/>
          <w:szCs w:val="36"/>
          <w:rtl/>
        </w:rPr>
        <w:t xml:space="preserve"> </w:t>
      </w:r>
      <w:r w:rsidR="005E52DA" w:rsidRPr="00FD211F">
        <w:rPr>
          <w:sz w:val="36"/>
          <w:szCs w:val="36"/>
          <w:rtl/>
        </w:rPr>
        <w:t>واقع</w:t>
      </w:r>
      <w:r w:rsidR="00E8128F">
        <w:rPr>
          <w:sz w:val="36"/>
          <w:szCs w:val="36"/>
          <w:rtl/>
        </w:rPr>
        <w:t xml:space="preserve"> </w:t>
      </w:r>
      <w:r w:rsidR="005E52DA" w:rsidRPr="00FD211F">
        <w:rPr>
          <w:sz w:val="36"/>
          <w:szCs w:val="36"/>
          <w:rtl/>
        </w:rPr>
        <w:t>زمان</w:t>
      </w:r>
      <w:r w:rsidR="00E8128F">
        <w:rPr>
          <w:sz w:val="36"/>
          <w:szCs w:val="36"/>
          <w:rtl/>
        </w:rPr>
        <w:t xml:space="preserve"> </w:t>
      </w:r>
      <w:r w:rsidR="005E52DA" w:rsidRPr="00FD211F">
        <w:rPr>
          <w:sz w:val="36"/>
          <w:szCs w:val="36"/>
          <w:rtl/>
        </w:rPr>
        <w:t>الاسناد</w:t>
      </w:r>
      <w:r w:rsidR="00E8128F">
        <w:rPr>
          <w:sz w:val="36"/>
          <w:szCs w:val="36"/>
          <w:rtl/>
        </w:rPr>
        <w:t xml:space="preserve"> </w:t>
      </w:r>
      <w:r w:rsidR="005E52DA" w:rsidRPr="00FD211F">
        <w:rPr>
          <w:sz w:val="36"/>
          <w:szCs w:val="36"/>
          <w:rtl/>
        </w:rPr>
        <w:t>فيه</w:t>
      </w:r>
      <w:r w:rsidR="00E8128F">
        <w:rPr>
          <w:sz w:val="36"/>
          <w:szCs w:val="36"/>
          <w:rtl/>
        </w:rPr>
        <w:t xml:space="preserve"> </w:t>
      </w:r>
      <w:r w:rsidR="005E52DA" w:rsidRPr="00FD211F">
        <w:rPr>
          <w:sz w:val="36"/>
          <w:szCs w:val="36"/>
          <w:rtl/>
        </w:rPr>
        <w:t>فلازمه</w:t>
      </w:r>
      <w:r w:rsidR="00E8128F">
        <w:rPr>
          <w:sz w:val="36"/>
          <w:szCs w:val="36"/>
          <w:rtl/>
        </w:rPr>
        <w:t xml:space="preserve"> </w:t>
      </w:r>
      <w:r w:rsidR="005E52DA" w:rsidRPr="00FD211F">
        <w:rPr>
          <w:sz w:val="36"/>
          <w:szCs w:val="36"/>
          <w:rtl/>
        </w:rPr>
        <w:t>عدم</w:t>
      </w:r>
      <w:r w:rsidR="00E8128F">
        <w:rPr>
          <w:sz w:val="36"/>
          <w:szCs w:val="36"/>
          <w:rtl/>
        </w:rPr>
        <w:t xml:space="preserve"> </w:t>
      </w:r>
      <w:r w:rsidR="005E52DA" w:rsidRPr="00FD211F">
        <w:rPr>
          <w:sz w:val="36"/>
          <w:szCs w:val="36"/>
          <w:rtl/>
        </w:rPr>
        <w:t>تصور</w:t>
      </w:r>
      <w:r w:rsidR="00E8128F">
        <w:rPr>
          <w:sz w:val="36"/>
          <w:szCs w:val="36"/>
          <w:rtl/>
        </w:rPr>
        <w:t xml:space="preserve"> </w:t>
      </w:r>
      <w:r w:rsidR="005E52DA" w:rsidRPr="00FD211F">
        <w:rPr>
          <w:sz w:val="36"/>
          <w:szCs w:val="36"/>
          <w:rtl/>
        </w:rPr>
        <w:t>معنى</w:t>
      </w:r>
      <w:r w:rsidR="00E8128F">
        <w:rPr>
          <w:sz w:val="36"/>
          <w:szCs w:val="36"/>
          <w:rtl/>
        </w:rPr>
        <w:t xml:space="preserve"> </w:t>
      </w:r>
      <w:r w:rsidR="005E52DA" w:rsidRPr="00FD211F">
        <w:rPr>
          <w:sz w:val="36"/>
          <w:szCs w:val="36"/>
          <w:rtl/>
        </w:rPr>
        <w:t>للمشتق</w:t>
      </w:r>
      <w:r w:rsidR="00E8128F">
        <w:rPr>
          <w:sz w:val="36"/>
          <w:szCs w:val="36"/>
          <w:rtl/>
        </w:rPr>
        <w:t xml:space="preserve"> </w:t>
      </w:r>
      <w:r w:rsidR="005E52DA" w:rsidRPr="00FD211F">
        <w:rPr>
          <w:sz w:val="36"/>
          <w:szCs w:val="36"/>
          <w:rtl/>
        </w:rPr>
        <w:t>فيما</w:t>
      </w:r>
      <w:r w:rsidR="00E8128F">
        <w:rPr>
          <w:sz w:val="36"/>
          <w:szCs w:val="36"/>
          <w:rtl/>
        </w:rPr>
        <w:t xml:space="preserve"> </w:t>
      </w:r>
      <w:r w:rsidR="005E52DA" w:rsidRPr="00FD211F">
        <w:rPr>
          <w:sz w:val="36"/>
          <w:szCs w:val="36"/>
          <w:rtl/>
        </w:rPr>
        <w:t>اذا</w:t>
      </w:r>
      <w:r w:rsidR="00E8128F">
        <w:rPr>
          <w:sz w:val="36"/>
          <w:szCs w:val="36"/>
          <w:rtl/>
        </w:rPr>
        <w:t xml:space="preserve"> </w:t>
      </w:r>
      <w:r w:rsidR="005E52DA" w:rsidRPr="00FD211F">
        <w:rPr>
          <w:sz w:val="36"/>
          <w:szCs w:val="36"/>
          <w:rtl/>
        </w:rPr>
        <w:t>جيئ</w:t>
      </w:r>
      <w:r w:rsidR="00E8128F">
        <w:rPr>
          <w:sz w:val="36"/>
          <w:szCs w:val="36"/>
          <w:rtl/>
        </w:rPr>
        <w:t xml:space="preserve"> </w:t>
      </w:r>
      <w:r w:rsidR="005E52DA" w:rsidRPr="00FD211F">
        <w:rPr>
          <w:sz w:val="36"/>
          <w:szCs w:val="36"/>
          <w:rtl/>
        </w:rPr>
        <w:t>به</w:t>
      </w:r>
      <w:r w:rsidR="00E8128F">
        <w:rPr>
          <w:sz w:val="36"/>
          <w:szCs w:val="36"/>
          <w:rtl/>
        </w:rPr>
        <w:t xml:space="preserve"> </w:t>
      </w:r>
      <w:r w:rsidR="005E52DA" w:rsidRPr="00FD211F">
        <w:rPr>
          <w:sz w:val="36"/>
          <w:szCs w:val="36"/>
          <w:rtl/>
        </w:rPr>
        <w:t>مفردا</w:t>
      </w:r>
      <w:r w:rsidR="00E8128F">
        <w:rPr>
          <w:sz w:val="36"/>
          <w:szCs w:val="36"/>
          <w:rtl/>
        </w:rPr>
        <w:t xml:space="preserve"> </w:t>
      </w:r>
      <w:r w:rsidR="009977FE" w:rsidRPr="00FD211F">
        <w:rPr>
          <w:sz w:val="36"/>
          <w:szCs w:val="36"/>
          <w:rtl/>
        </w:rPr>
        <w:t>و</w:t>
      </w:r>
      <w:r w:rsidR="00E8128F">
        <w:rPr>
          <w:sz w:val="36"/>
          <w:szCs w:val="36"/>
          <w:rtl/>
        </w:rPr>
        <w:t xml:space="preserve"> </w:t>
      </w:r>
      <w:r w:rsidR="008D7B3D" w:rsidRPr="00FD211F">
        <w:rPr>
          <w:sz w:val="36"/>
          <w:szCs w:val="36"/>
          <w:rtl/>
        </w:rPr>
        <w:t>لم‌</w:t>
      </w:r>
      <w:r w:rsidR="005E52DA" w:rsidRPr="00FD211F">
        <w:rPr>
          <w:sz w:val="36"/>
          <w:szCs w:val="36"/>
          <w:rtl/>
        </w:rPr>
        <w:t>يقع</w:t>
      </w:r>
      <w:r w:rsidR="00E8128F">
        <w:rPr>
          <w:sz w:val="36"/>
          <w:szCs w:val="36"/>
          <w:rtl/>
        </w:rPr>
        <w:t xml:space="preserve"> </w:t>
      </w:r>
      <w:r w:rsidR="005E52DA" w:rsidRPr="00FD211F">
        <w:rPr>
          <w:sz w:val="36"/>
          <w:szCs w:val="36"/>
          <w:rtl/>
        </w:rPr>
        <w:t>في</w:t>
      </w:r>
      <w:r w:rsidR="00E8128F">
        <w:rPr>
          <w:sz w:val="36"/>
          <w:szCs w:val="36"/>
          <w:rtl/>
        </w:rPr>
        <w:t xml:space="preserve"> </w:t>
      </w:r>
      <w:r w:rsidR="005E52DA" w:rsidRPr="00FD211F">
        <w:rPr>
          <w:sz w:val="36"/>
          <w:szCs w:val="36"/>
          <w:rtl/>
        </w:rPr>
        <w:t>ضمن</w:t>
      </w:r>
      <w:r w:rsidR="00E8128F">
        <w:rPr>
          <w:sz w:val="36"/>
          <w:szCs w:val="36"/>
          <w:rtl/>
        </w:rPr>
        <w:t xml:space="preserve"> </w:t>
      </w:r>
      <w:r w:rsidR="005E52DA" w:rsidRPr="00FD211F">
        <w:rPr>
          <w:sz w:val="36"/>
          <w:szCs w:val="36"/>
          <w:rtl/>
        </w:rPr>
        <w:t>جمل</w:t>
      </w:r>
      <w:r w:rsidR="00EC7EDF" w:rsidRPr="00FD211F">
        <w:rPr>
          <w:sz w:val="36"/>
          <w:szCs w:val="36"/>
          <w:rtl/>
        </w:rPr>
        <w:t>ة</w:t>
      </w:r>
      <w:r w:rsidR="00E8128F">
        <w:rPr>
          <w:sz w:val="36"/>
          <w:szCs w:val="36"/>
          <w:rtl/>
        </w:rPr>
        <w:t xml:space="preserve"> </w:t>
      </w:r>
      <w:r w:rsidR="005E52DA" w:rsidRPr="00FD211F">
        <w:rPr>
          <w:sz w:val="36"/>
          <w:szCs w:val="36"/>
          <w:rtl/>
        </w:rPr>
        <w:t>اسنادي</w:t>
      </w:r>
      <w:r w:rsidR="00EC7EDF" w:rsidRPr="00FD211F">
        <w:rPr>
          <w:sz w:val="36"/>
          <w:szCs w:val="36"/>
          <w:rtl/>
        </w:rPr>
        <w:t>ة</w:t>
      </w:r>
      <w:r w:rsidR="00603323" w:rsidRPr="00FD211F">
        <w:rPr>
          <w:sz w:val="36"/>
          <w:szCs w:val="36"/>
          <w:rtl/>
        </w:rPr>
        <w:t>،</w:t>
      </w:r>
      <w:r w:rsidR="00E8128F">
        <w:rPr>
          <w:sz w:val="36"/>
          <w:szCs w:val="36"/>
          <w:rtl/>
        </w:rPr>
        <w:t xml:space="preserve"> </w:t>
      </w:r>
      <w:r w:rsidR="005E52DA" w:rsidRPr="00FD211F">
        <w:rPr>
          <w:sz w:val="36"/>
          <w:szCs w:val="36"/>
          <w:rtl/>
        </w:rPr>
        <w:t>مضافا</w:t>
      </w:r>
      <w:r w:rsidR="00E8128F">
        <w:rPr>
          <w:sz w:val="36"/>
          <w:szCs w:val="36"/>
          <w:rtl/>
        </w:rPr>
        <w:t xml:space="preserve"> </w:t>
      </w:r>
      <w:r w:rsidR="005E52DA" w:rsidRPr="00FD211F">
        <w:rPr>
          <w:sz w:val="36"/>
          <w:szCs w:val="36"/>
          <w:rtl/>
        </w:rPr>
        <w:t>الى</w:t>
      </w:r>
      <w:r w:rsidR="00E8128F">
        <w:rPr>
          <w:sz w:val="36"/>
          <w:szCs w:val="36"/>
          <w:rtl/>
        </w:rPr>
        <w:t xml:space="preserve"> </w:t>
      </w:r>
      <w:r w:rsidR="005E52DA" w:rsidRPr="00FD211F">
        <w:rPr>
          <w:sz w:val="36"/>
          <w:szCs w:val="36"/>
          <w:rtl/>
        </w:rPr>
        <w:t>استلزامه</w:t>
      </w:r>
      <w:r w:rsidR="00E8128F">
        <w:rPr>
          <w:sz w:val="36"/>
          <w:szCs w:val="36"/>
          <w:rtl/>
        </w:rPr>
        <w:t xml:space="preserve"> </w:t>
      </w:r>
      <w:r w:rsidR="005E52DA" w:rsidRPr="00FD211F">
        <w:rPr>
          <w:sz w:val="36"/>
          <w:szCs w:val="36"/>
          <w:rtl/>
        </w:rPr>
        <w:t>ان</w:t>
      </w:r>
      <w:r w:rsidR="00E8128F">
        <w:rPr>
          <w:sz w:val="36"/>
          <w:szCs w:val="36"/>
          <w:rtl/>
        </w:rPr>
        <w:t xml:space="preserve"> </w:t>
      </w:r>
      <w:r w:rsidR="005E52DA" w:rsidRPr="00FD211F">
        <w:rPr>
          <w:sz w:val="36"/>
          <w:szCs w:val="36"/>
          <w:rtl/>
        </w:rPr>
        <w:t>يكون</w:t>
      </w:r>
      <w:r w:rsidR="00E8128F">
        <w:rPr>
          <w:sz w:val="36"/>
          <w:szCs w:val="36"/>
          <w:rtl/>
        </w:rPr>
        <w:t xml:space="preserve"> </w:t>
      </w:r>
      <w:r w:rsidR="005E52DA" w:rsidRPr="00FD211F">
        <w:rPr>
          <w:sz w:val="36"/>
          <w:szCs w:val="36"/>
          <w:rtl/>
        </w:rPr>
        <w:t>المدلول</w:t>
      </w:r>
      <w:r w:rsidR="00E8128F">
        <w:rPr>
          <w:sz w:val="36"/>
          <w:szCs w:val="36"/>
          <w:rtl/>
        </w:rPr>
        <w:t xml:space="preserve"> </w:t>
      </w:r>
      <w:r w:rsidR="005E52DA" w:rsidRPr="00FD211F">
        <w:rPr>
          <w:sz w:val="36"/>
          <w:szCs w:val="36"/>
          <w:rtl/>
        </w:rPr>
        <w:t>الوضعي</w:t>
      </w:r>
      <w:r w:rsidR="00E8128F">
        <w:rPr>
          <w:sz w:val="36"/>
          <w:szCs w:val="36"/>
          <w:rtl/>
        </w:rPr>
        <w:t xml:space="preserve"> </w:t>
      </w:r>
      <w:r w:rsidR="005E52DA" w:rsidRPr="00FD211F">
        <w:rPr>
          <w:sz w:val="36"/>
          <w:szCs w:val="36"/>
          <w:rtl/>
        </w:rPr>
        <w:t>مقيدا</w:t>
      </w:r>
      <w:r w:rsidR="00E8128F">
        <w:rPr>
          <w:sz w:val="36"/>
          <w:szCs w:val="36"/>
          <w:rtl/>
        </w:rPr>
        <w:t xml:space="preserve"> </w:t>
      </w:r>
      <w:r w:rsidR="005E52DA" w:rsidRPr="00FD211F">
        <w:rPr>
          <w:sz w:val="36"/>
          <w:szCs w:val="36"/>
          <w:rtl/>
        </w:rPr>
        <w:t>بوجود</w:t>
      </w:r>
      <w:r w:rsidR="00E8128F">
        <w:rPr>
          <w:sz w:val="36"/>
          <w:szCs w:val="36"/>
          <w:rtl/>
        </w:rPr>
        <w:t xml:space="preserve"> </w:t>
      </w:r>
      <w:r w:rsidR="008D7B3D" w:rsidRPr="00FD211F">
        <w:rPr>
          <w:sz w:val="36"/>
          <w:szCs w:val="36"/>
          <w:rtl/>
        </w:rPr>
        <w:t>شيء</w:t>
      </w:r>
      <w:r w:rsidR="00E8128F">
        <w:rPr>
          <w:sz w:val="36"/>
          <w:szCs w:val="36"/>
          <w:rtl/>
        </w:rPr>
        <w:t xml:space="preserve"> </w:t>
      </w:r>
      <w:r w:rsidR="005E52DA" w:rsidRPr="00FD211F">
        <w:rPr>
          <w:sz w:val="36"/>
          <w:szCs w:val="36"/>
          <w:rtl/>
        </w:rPr>
        <w:t>خارجا</w:t>
      </w:r>
      <w:r w:rsidR="00E8128F">
        <w:rPr>
          <w:sz w:val="36"/>
          <w:szCs w:val="36"/>
          <w:rtl/>
        </w:rPr>
        <w:t xml:space="preserve"> </w:t>
      </w:r>
      <w:r w:rsidR="005E52DA" w:rsidRPr="00FD211F">
        <w:rPr>
          <w:sz w:val="36"/>
          <w:szCs w:val="36"/>
          <w:rtl/>
        </w:rPr>
        <w:t>و</w:t>
      </w:r>
      <w:r w:rsidR="004C2D1F" w:rsidRPr="00FD211F">
        <w:rPr>
          <w:sz w:val="36"/>
          <w:szCs w:val="36"/>
          <w:rtl/>
        </w:rPr>
        <w:t>هو</w:t>
      </w:r>
      <w:r w:rsidR="00E8128F">
        <w:rPr>
          <w:sz w:val="36"/>
          <w:szCs w:val="36"/>
          <w:rtl/>
        </w:rPr>
        <w:t xml:space="preserve"> </w:t>
      </w:r>
      <w:r w:rsidR="004C2D1F" w:rsidRPr="00FD211F">
        <w:rPr>
          <w:sz w:val="36"/>
          <w:szCs w:val="36"/>
          <w:rtl/>
        </w:rPr>
        <w:t>الاسناد</w:t>
      </w:r>
      <w:r w:rsidR="00603323" w:rsidRPr="00FD211F">
        <w:rPr>
          <w:sz w:val="36"/>
          <w:szCs w:val="36"/>
          <w:rtl/>
        </w:rPr>
        <w:t>،</w:t>
      </w:r>
      <w:r w:rsidR="00E8128F">
        <w:rPr>
          <w:sz w:val="36"/>
          <w:szCs w:val="36"/>
          <w:rtl/>
        </w:rPr>
        <w:t xml:space="preserve"> </w:t>
      </w:r>
      <w:r w:rsidR="004C2D1F" w:rsidRPr="00FD211F">
        <w:rPr>
          <w:sz w:val="36"/>
          <w:szCs w:val="36"/>
          <w:rtl/>
        </w:rPr>
        <w:t>و</w:t>
      </w:r>
      <w:r w:rsidR="005E52DA" w:rsidRPr="00FD211F">
        <w:rPr>
          <w:sz w:val="36"/>
          <w:szCs w:val="36"/>
          <w:rtl/>
        </w:rPr>
        <w:t>قد</w:t>
      </w:r>
      <w:r w:rsidR="00E8128F">
        <w:rPr>
          <w:sz w:val="36"/>
          <w:szCs w:val="36"/>
          <w:rtl/>
        </w:rPr>
        <w:t xml:space="preserve"> </w:t>
      </w:r>
      <w:r w:rsidR="005E52DA" w:rsidRPr="00FD211F">
        <w:rPr>
          <w:sz w:val="36"/>
          <w:szCs w:val="36"/>
          <w:rtl/>
        </w:rPr>
        <w:t>مر</w:t>
      </w:r>
      <w:r w:rsidR="00E8128F">
        <w:rPr>
          <w:sz w:val="36"/>
          <w:szCs w:val="36"/>
          <w:rtl/>
        </w:rPr>
        <w:t xml:space="preserve"> </w:t>
      </w:r>
      <w:r w:rsidR="00F035E8" w:rsidRPr="00FD211F">
        <w:rPr>
          <w:sz w:val="36"/>
          <w:szCs w:val="36"/>
          <w:rtl/>
        </w:rPr>
        <w:t>انه</w:t>
      </w:r>
      <w:r w:rsidR="00E8128F">
        <w:rPr>
          <w:sz w:val="36"/>
          <w:szCs w:val="36"/>
          <w:rtl/>
        </w:rPr>
        <w:t xml:space="preserve"> </w:t>
      </w:r>
      <w:r w:rsidR="00F035E8" w:rsidRPr="00FD211F">
        <w:rPr>
          <w:sz w:val="36"/>
          <w:szCs w:val="36"/>
          <w:rtl/>
        </w:rPr>
        <w:t>غير</w:t>
      </w:r>
      <w:r w:rsidR="00E8128F">
        <w:rPr>
          <w:sz w:val="36"/>
          <w:szCs w:val="36"/>
          <w:rtl/>
        </w:rPr>
        <w:t xml:space="preserve"> </w:t>
      </w:r>
      <w:r w:rsidR="003B4715" w:rsidRPr="00FD211F">
        <w:rPr>
          <w:sz w:val="36"/>
          <w:szCs w:val="36"/>
          <w:rtl/>
        </w:rPr>
        <w:t>معقول</w:t>
      </w:r>
      <w:r w:rsidR="00603323" w:rsidRPr="00FD211F">
        <w:rPr>
          <w:sz w:val="36"/>
          <w:szCs w:val="36"/>
          <w:rtl/>
        </w:rPr>
        <w:t>،</w:t>
      </w:r>
      <w:r w:rsidR="00E8128F">
        <w:rPr>
          <w:sz w:val="36"/>
          <w:szCs w:val="36"/>
          <w:rtl/>
        </w:rPr>
        <w:t xml:space="preserve"> </w:t>
      </w:r>
      <w:r w:rsidR="00F035E8" w:rsidRPr="00FD211F">
        <w:rPr>
          <w:sz w:val="36"/>
          <w:szCs w:val="36"/>
          <w:rtl/>
        </w:rPr>
        <w:t>حيث</w:t>
      </w:r>
      <w:r w:rsidR="00E8128F">
        <w:rPr>
          <w:sz w:val="36"/>
          <w:szCs w:val="36"/>
          <w:rtl/>
        </w:rPr>
        <w:t xml:space="preserve"> </w:t>
      </w:r>
      <w:r w:rsidR="00F035E8" w:rsidRPr="00FD211F">
        <w:rPr>
          <w:sz w:val="36"/>
          <w:szCs w:val="36"/>
          <w:rtl/>
        </w:rPr>
        <w:t>ان</w:t>
      </w:r>
      <w:r w:rsidR="00E8128F">
        <w:rPr>
          <w:sz w:val="36"/>
          <w:szCs w:val="36"/>
          <w:rtl/>
        </w:rPr>
        <w:t xml:space="preserve"> </w:t>
      </w:r>
      <w:r w:rsidR="00F035E8" w:rsidRPr="00FD211F">
        <w:rPr>
          <w:sz w:val="36"/>
          <w:szCs w:val="36"/>
          <w:rtl/>
        </w:rPr>
        <w:t>الوضع</w:t>
      </w:r>
      <w:r w:rsidR="00E8128F">
        <w:rPr>
          <w:sz w:val="36"/>
          <w:szCs w:val="36"/>
          <w:rtl/>
        </w:rPr>
        <w:t xml:space="preserve"> </w:t>
      </w:r>
      <w:r w:rsidR="00F035E8" w:rsidRPr="00FD211F">
        <w:rPr>
          <w:sz w:val="36"/>
          <w:szCs w:val="36"/>
          <w:rtl/>
        </w:rPr>
        <w:t>هو</w:t>
      </w:r>
      <w:r w:rsidR="00E8128F">
        <w:rPr>
          <w:sz w:val="36"/>
          <w:szCs w:val="36"/>
          <w:rtl/>
        </w:rPr>
        <w:t xml:space="preserve"> </w:t>
      </w:r>
      <w:r w:rsidR="005E52DA" w:rsidRPr="00FD211F">
        <w:rPr>
          <w:sz w:val="36"/>
          <w:szCs w:val="36"/>
          <w:rtl/>
        </w:rPr>
        <w:t>القرن</w:t>
      </w:r>
      <w:r w:rsidR="00E8128F">
        <w:rPr>
          <w:sz w:val="36"/>
          <w:szCs w:val="36"/>
          <w:rtl/>
        </w:rPr>
        <w:t xml:space="preserve"> </w:t>
      </w:r>
      <w:r w:rsidR="005E52DA" w:rsidRPr="00FD211F">
        <w:rPr>
          <w:sz w:val="36"/>
          <w:szCs w:val="36"/>
          <w:rtl/>
        </w:rPr>
        <w:t>الأكيد</w:t>
      </w:r>
      <w:r w:rsidR="00E8128F">
        <w:rPr>
          <w:sz w:val="36"/>
          <w:szCs w:val="36"/>
          <w:rtl/>
        </w:rPr>
        <w:t xml:space="preserve"> </w:t>
      </w:r>
      <w:r w:rsidR="00F035E8" w:rsidRPr="00FD211F">
        <w:rPr>
          <w:sz w:val="36"/>
          <w:szCs w:val="36"/>
          <w:rtl/>
        </w:rPr>
        <w:t>بين</w:t>
      </w:r>
      <w:r w:rsidR="00E8128F">
        <w:rPr>
          <w:sz w:val="36"/>
          <w:szCs w:val="36"/>
          <w:rtl/>
        </w:rPr>
        <w:t xml:space="preserve"> </w:t>
      </w:r>
      <w:r w:rsidR="00F035E8" w:rsidRPr="00FD211F">
        <w:rPr>
          <w:sz w:val="36"/>
          <w:szCs w:val="36"/>
          <w:rtl/>
        </w:rPr>
        <w:t>تصور</w:t>
      </w:r>
      <w:r w:rsidR="00E8128F">
        <w:rPr>
          <w:sz w:val="36"/>
          <w:szCs w:val="36"/>
          <w:rtl/>
        </w:rPr>
        <w:t xml:space="preserve"> </w:t>
      </w:r>
      <w:r w:rsidR="00F035E8" w:rsidRPr="00FD211F">
        <w:rPr>
          <w:sz w:val="36"/>
          <w:szCs w:val="36"/>
          <w:rtl/>
        </w:rPr>
        <w:t>اللفظ</w:t>
      </w:r>
      <w:r w:rsidR="00E8128F">
        <w:rPr>
          <w:sz w:val="36"/>
          <w:szCs w:val="36"/>
          <w:rtl/>
        </w:rPr>
        <w:t xml:space="preserve"> </w:t>
      </w:r>
      <w:r w:rsidR="00F035E8" w:rsidRPr="00FD211F">
        <w:rPr>
          <w:sz w:val="36"/>
          <w:szCs w:val="36"/>
          <w:rtl/>
        </w:rPr>
        <w:t>وتصور</w:t>
      </w:r>
      <w:r w:rsidR="00E8128F">
        <w:rPr>
          <w:sz w:val="36"/>
          <w:szCs w:val="36"/>
          <w:rtl/>
        </w:rPr>
        <w:t xml:space="preserve"> </w:t>
      </w:r>
      <w:r w:rsidR="00F035E8" w:rsidRPr="00FD211F">
        <w:rPr>
          <w:sz w:val="36"/>
          <w:szCs w:val="36"/>
          <w:rtl/>
        </w:rPr>
        <w:t>المعنى</w:t>
      </w:r>
      <w:r w:rsidR="00F45D05" w:rsidRPr="00FD211F">
        <w:rPr>
          <w:sz w:val="36"/>
          <w:szCs w:val="36"/>
          <w:rtl/>
        </w:rPr>
        <w:t>.</w:t>
      </w:r>
    </w:p>
    <w:p w14:paraId="4AAA0193" w14:textId="77777777" w:rsidR="00BC09B8" w:rsidRPr="00FD211F" w:rsidRDefault="005E52DA" w:rsidP="009C58C8">
      <w:pPr>
        <w:ind w:left="0" w:firstLine="227"/>
        <w:jc w:val="both"/>
        <w:rPr>
          <w:sz w:val="36"/>
          <w:szCs w:val="36"/>
          <w:rtl/>
        </w:rPr>
      </w:pPr>
      <w:r w:rsidRPr="00FD211F">
        <w:rPr>
          <w:b/>
          <w:bCs/>
          <w:sz w:val="36"/>
          <w:szCs w:val="36"/>
          <w:rtl/>
        </w:rPr>
        <w:t>وثانيا</w:t>
      </w:r>
      <w:r w:rsidR="00F45D05" w:rsidRPr="00FD211F">
        <w:rPr>
          <w:b/>
          <w:bCs/>
          <w:sz w:val="36"/>
          <w:szCs w:val="36"/>
          <w:rtl/>
        </w:rPr>
        <w:t>:</w:t>
      </w:r>
      <w:r w:rsidR="00E8128F">
        <w:rPr>
          <w:sz w:val="36"/>
          <w:szCs w:val="36"/>
          <w:rtl/>
        </w:rPr>
        <w:t xml:space="preserve"> </w:t>
      </w:r>
      <w:r w:rsidR="00BC09B8" w:rsidRPr="00FD211F">
        <w:rPr>
          <w:sz w:val="36"/>
          <w:szCs w:val="36"/>
          <w:rtl/>
        </w:rPr>
        <w:t>ان</w:t>
      </w:r>
      <w:r w:rsidR="00E8128F">
        <w:rPr>
          <w:sz w:val="36"/>
          <w:szCs w:val="36"/>
          <w:rtl/>
        </w:rPr>
        <w:t xml:space="preserve"> </w:t>
      </w:r>
      <w:r w:rsidR="00BC09B8" w:rsidRPr="00FD211F">
        <w:rPr>
          <w:sz w:val="36"/>
          <w:szCs w:val="36"/>
          <w:rtl/>
        </w:rPr>
        <w:t>تقيد</w:t>
      </w:r>
      <w:r w:rsidR="00E8128F">
        <w:rPr>
          <w:sz w:val="36"/>
          <w:szCs w:val="36"/>
          <w:rtl/>
        </w:rPr>
        <w:t xml:space="preserve"> </w:t>
      </w:r>
      <w:r w:rsidR="00BC09B8" w:rsidRPr="00FD211F">
        <w:rPr>
          <w:sz w:val="36"/>
          <w:szCs w:val="36"/>
          <w:rtl/>
        </w:rPr>
        <w:t>تلبس</w:t>
      </w:r>
      <w:r w:rsidR="00E8128F">
        <w:rPr>
          <w:sz w:val="36"/>
          <w:szCs w:val="36"/>
          <w:rtl/>
        </w:rPr>
        <w:t xml:space="preserve"> </w:t>
      </w:r>
      <w:r w:rsidR="00BC09B8" w:rsidRPr="00FD211F">
        <w:rPr>
          <w:sz w:val="36"/>
          <w:szCs w:val="36"/>
          <w:rtl/>
        </w:rPr>
        <w:t>الذات</w:t>
      </w:r>
      <w:r w:rsidR="00E8128F">
        <w:rPr>
          <w:sz w:val="36"/>
          <w:szCs w:val="36"/>
          <w:rtl/>
        </w:rPr>
        <w:t xml:space="preserve"> </w:t>
      </w:r>
      <w:r w:rsidR="00BC09B8" w:rsidRPr="00FD211F">
        <w:rPr>
          <w:sz w:val="36"/>
          <w:szCs w:val="36"/>
          <w:rtl/>
        </w:rPr>
        <w:t>بال</w:t>
      </w:r>
      <w:r w:rsidR="0079493B" w:rsidRPr="00FD211F">
        <w:rPr>
          <w:sz w:val="36"/>
          <w:szCs w:val="36"/>
          <w:rtl/>
        </w:rPr>
        <w:t>مبدأ</w:t>
      </w:r>
      <w:r w:rsidR="00E8128F">
        <w:rPr>
          <w:sz w:val="36"/>
          <w:szCs w:val="36"/>
          <w:rtl/>
        </w:rPr>
        <w:t xml:space="preserve"> </w:t>
      </w:r>
      <w:r w:rsidR="00BC09B8" w:rsidRPr="00FD211F">
        <w:rPr>
          <w:sz w:val="36"/>
          <w:szCs w:val="36"/>
          <w:rtl/>
        </w:rPr>
        <w:t>بكونه</w:t>
      </w:r>
      <w:r w:rsidR="00E8128F">
        <w:rPr>
          <w:sz w:val="36"/>
          <w:szCs w:val="36"/>
          <w:rtl/>
        </w:rPr>
        <w:t xml:space="preserve"> </w:t>
      </w:r>
      <w:r w:rsidR="00BC09B8" w:rsidRPr="00FD211F">
        <w:rPr>
          <w:sz w:val="36"/>
          <w:szCs w:val="36"/>
          <w:rtl/>
        </w:rPr>
        <w:t>في</w:t>
      </w:r>
      <w:r w:rsidR="00E8128F">
        <w:rPr>
          <w:sz w:val="36"/>
          <w:szCs w:val="36"/>
          <w:rtl/>
        </w:rPr>
        <w:t xml:space="preserve"> </w:t>
      </w:r>
      <w:r w:rsidR="00BC09B8" w:rsidRPr="00FD211F">
        <w:rPr>
          <w:sz w:val="36"/>
          <w:szCs w:val="36"/>
          <w:rtl/>
        </w:rPr>
        <w:t>واقع</w:t>
      </w:r>
      <w:r w:rsidR="00E8128F">
        <w:rPr>
          <w:sz w:val="36"/>
          <w:szCs w:val="36"/>
          <w:rtl/>
        </w:rPr>
        <w:t xml:space="preserve"> </w:t>
      </w:r>
      <w:r w:rsidR="00BC09B8" w:rsidRPr="00FD211F">
        <w:rPr>
          <w:sz w:val="36"/>
          <w:szCs w:val="36"/>
          <w:rtl/>
        </w:rPr>
        <w:t>زمان</w:t>
      </w:r>
      <w:r w:rsidR="00E8128F">
        <w:rPr>
          <w:sz w:val="36"/>
          <w:szCs w:val="36"/>
          <w:rtl/>
        </w:rPr>
        <w:t xml:space="preserve"> </w:t>
      </w:r>
      <w:r w:rsidR="00BC09B8" w:rsidRPr="00FD211F">
        <w:rPr>
          <w:sz w:val="36"/>
          <w:szCs w:val="36"/>
          <w:rtl/>
        </w:rPr>
        <w:t>الاسناد</w:t>
      </w:r>
      <w:r w:rsidR="00E8128F">
        <w:rPr>
          <w:sz w:val="36"/>
          <w:szCs w:val="36"/>
          <w:rtl/>
        </w:rPr>
        <w:t xml:space="preserve"> </w:t>
      </w:r>
      <w:r w:rsidR="00BC09B8" w:rsidRPr="00FD211F">
        <w:rPr>
          <w:sz w:val="36"/>
          <w:szCs w:val="36"/>
          <w:rtl/>
        </w:rPr>
        <w:t>مستلزم</w:t>
      </w:r>
      <w:r w:rsidR="00E8128F">
        <w:rPr>
          <w:sz w:val="36"/>
          <w:szCs w:val="36"/>
          <w:rtl/>
        </w:rPr>
        <w:t xml:space="preserve"> </w:t>
      </w:r>
      <w:r w:rsidR="00BC09B8" w:rsidRPr="00FD211F">
        <w:rPr>
          <w:sz w:val="36"/>
          <w:szCs w:val="36"/>
          <w:rtl/>
        </w:rPr>
        <w:t>للخلف</w:t>
      </w:r>
      <w:r w:rsidR="00603323" w:rsidRPr="00FD211F">
        <w:rPr>
          <w:sz w:val="36"/>
          <w:szCs w:val="36"/>
          <w:rtl/>
        </w:rPr>
        <w:t>،</w:t>
      </w:r>
      <w:r w:rsidR="00E8128F">
        <w:rPr>
          <w:sz w:val="36"/>
          <w:szCs w:val="36"/>
          <w:rtl/>
        </w:rPr>
        <w:t xml:space="preserve"> </w:t>
      </w:r>
      <w:r w:rsidR="00BC09B8" w:rsidRPr="00FD211F">
        <w:rPr>
          <w:sz w:val="36"/>
          <w:szCs w:val="36"/>
          <w:rtl/>
        </w:rPr>
        <w:t>اذ</w:t>
      </w:r>
      <w:r w:rsidR="00E8128F">
        <w:rPr>
          <w:sz w:val="36"/>
          <w:szCs w:val="36"/>
          <w:rtl/>
        </w:rPr>
        <w:t xml:space="preserve"> </w:t>
      </w:r>
      <w:r w:rsidR="00BC09B8" w:rsidRPr="00FD211F">
        <w:rPr>
          <w:sz w:val="36"/>
          <w:szCs w:val="36"/>
          <w:rtl/>
        </w:rPr>
        <w:t>الإسناد</w:t>
      </w:r>
      <w:r w:rsidR="00E8128F">
        <w:rPr>
          <w:sz w:val="36"/>
          <w:szCs w:val="36"/>
          <w:rtl/>
        </w:rPr>
        <w:t xml:space="preserve"> </w:t>
      </w:r>
      <w:r w:rsidR="00BC09B8" w:rsidRPr="00FD211F">
        <w:rPr>
          <w:sz w:val="36"/>
          <w:szCs w:val="36"/>
          <w:rtl/>
        </w:rPr>
        <w:t>متأخر</w:t>
      </w:r>
      <w:r w:rsidR="00E8128F">
        <w:rPr>
          <w:sz w:val="36"/>
          <w:szCs w:val="36"/>
          <w:rtl/>
        </w:rPr>
        <w:t xml:space="preserve"> </w:t>
      </w:r>
      <w:r w:rsidR="00BC09B8" w:rsidRPr="00FD211F">
        <w:rPr>
          <w:sz w:val="36"/>
          <w:szCs w:val="36"/>
          <w:rtl/>
        </w:rPr>
        <w:t>رتب</w:t>
      </w:r>
      <w:r w:rsidR="00EC7EDF" w:rsidRPr="00FD211F">
        <w:rPr>
          <w:sz w:val="36"/>
          <w:szCs w:val="36"/>
          <w:rtl/>
        </w:rPr>
        <w:t>ة</w:t>
      </w:r>
      <w:r w:rsidR="00E8128F">
        <w:rPr>
          <w:sz w:val="36"/>
          <w:szCs w:val="36"/>
          <w:rtl/>
        </w:rPr>
        <w:t xml:space="preserve"> </w:t>
      </w:r>
      <w:r w:rsidR="00BC09B8" w:rsidRPr="00FD211F">
        <w:rPr>
          <w:sz w:val="36"/>
          <w:szCs w:val="36"/>
          <w:rtl/>
        </w:rPr>
        <w:t>عن</w:t>
      </w:r>
      <w:r w:rsidR="00E8128F">
        <w:rPr>
          <w:sz w:val="36"/>
          <w:szCs w:val="36"/>
          <w:rtl/>
        </w:rPr>
        <w:t xml:space="preserve"> </w:t>
      </w:r>
      <w:r w:rsidR="00BC09B8" w:rsidRPr="00FD211F">
        <w:rPr>
          <w:sz w:val="36"/>
          <w:szCs w:val="36"/>
          <w:rtl/>
        </w:rPr>
        <w:t>المحمول</w:t>
      </w:r>
      <w:r w:rsidR="00E8128F">
        <w:rPr>
          <w:sz w:val="36"/>
          <w:szCs w:val="36"/>
          <w:rtl/>
        </w:rPr>
        <w:t xml:space="preserve"> </w:t>
      </w:r>
      <w:r w:rsidR="00BC09B8" w:rsidRPr="00FD211F">
        <w:rPr>
          <w:sz w:val="36"/>
          <w:szCs w:val="36"/>
          <w:rtl/>
        </w:rPr>
        <w:t>في</w:t>
      </w:r>
      <w:r w:rsidR="00E8128F">
        <w:rPr>
          <w:sz w:val="36"/>
          <w:szCs w:val="36"/>
          <w:rtl/>
        </w:rPr>
        <w:t xml:space="preserve"> </w:t>
      </w:r>
      <w:r w:rsidR="00BC09B8" w:rsidRPr="00FD211F">
        <w:rPr>
          <w:sz w:val="36"/>
          <w:szCs w:val="36"/>
          <w:rtl/>
        </w:rPr>
        <w:t>القضي</w:t>
      </w:r>
      <w:r w:rsidR="00EC7EDF" w:rsidRPr="00FD211F">
        <w:rPr>
          <w:sz w:val="36"/>
          <w:szCs w:val="36"/>
          <w:rtl/>
        </w:rPr>
        <w:t>ة</w:t>
      </w:r>
      <w:r w:rsidR="00E8128F">
        <w:rPr>
          <w:sz w:val="36"/>
          <w:szCs w:val="36"/>
          <w:rtl/>
        </w:rPr>
        <w:t xml:space="preserve"> </w:t>
      </w:r>
      <w:r w:rsidR="00BC09B8" w:rsidRPr="00FD211F">
        <w:rPr>
          <w:sz w:val="36"/>
          <w:szCs w:val="36"/>
          <w:rtl/>
        </w:rPr>
        <w:t>فلايعقل</w:t>
      </w:r>
      <w:r w:rsidR="00E8128F">
        <w:rPr>
          <w:sz w:val="36"/>
          <w:szCs w:val="36"/>
          <w:rtl/>
        </w:rPr>
        <w:t xml:space="preserve"> </w:t>
      </w:r>
      <w:r w:rsidR="00BC09B8" w:rsidRPr="00FD211F">
        <w:rPr>
          <w:sz w:val="36"/>
          <w:szCs w:val="36"/>
          <w:rtl/>
        </w:rPr>
        <w:t>ان</w:t>
      </w:r>
      <w:r w:rsidR="00E8128F">
        <w:rPr>
          <w:sz w:val="36"/>
          <w:szCs w:val="36"/>
          <w:rtl/>
        </w:rPr>
        <w:t xml:space="preserve"> </w:t>
      </w:r>
      <w:r w:rsidR="00BC09B8" w:rsidRPr="00FD211F">
        <w:rPr>
          <w:sz w:val="36"/>
          <w:szCs w:val="36"/>
          <w:rtl/>
        </w:rPr>
        <w:t>يؤخذ</w:t>
      </w:r>
      <w:r w:rsidR="00E8128F">
        <w:rPr>
          <w:sz w:val="36"/>
          <w:szCs w:val="36"/>
          <w:rtl/>
        </w:rPr>
        <w:t xml:space="preserve"> </w:t>
      </w:r>
      <w:r w:rsidR="00BC09B8" w:rsidRPr="00FD211F">
        <w:rPr>
          <w:sz w:val="36"/>
          <w:szCs w:val="36"/>
          <w:rtl/>
        </w:rPr>
        <w:t>في</w:t>
      </w:r>
      <w:r w:rsidR="00E8128F">
        <w:rPr>
          <w:sz w:val="36"/>
          <w:szCs w:val="36"/>
          <w:rtl/>
        </w:rPr>
        <w:t xml:space="preserve"> </w:t>
      </w:r>
      <w:r w:rsidR="00BC09B8" w:rsidRPr="00FD211F">
        <w:rPr>
          <w:sz w:val="36"/>
          <w:szCs w:val="36"/>
          <w:rtl/>
        </w:rPr>
        <w:t>معناه</w:t>
      </w:r>
      <w:r w:rsidR="009C58C8" w:rsidRPr="00FD211F">
        <w:rPr>
          <w:rStyle w:val="a6"/>
          <w:sz w:val="36"/>
          <w:szCs w:val="36"/>
          <w:rtl/>
        </w:rPr>
        <w:t>(</w:t>
      </w:r>
      <w:r w:rsidR="009C58C8" w:rsidRPr="00FD211F">
        <w:rPr>
          <w:rStyle w:val="a6"/>
          <w:sz w:val="36"/>
          <w:szCs w:val="36"/>
          <w:rtl/>
        </w:rPr>
        <w:footnoteReference w:id="536"/>
      </w:r>
      <w:r w:rsidR="009C58C8" w:rsidRPr="00FD211F">
        <w:rPr>
          <w:rStyle w:val="a6"/>
          <w:sz w:val="36"/>
          <w:szCs w:val="36"/>
          <w:rtl/>
        </w:rPr>
        <w:t>)</w:t>
      </w:r>
      <w:r w:rsidR="00BC09B8" w:rsidRPr="00FD211F">
        <w:rPr>
          <w:sz w:val="36"/>
          <w:szCs w:val="36"/>
          <w:rtl/>
        </w:rPr>
        <w:t>.</w:t>
      </w:r>
    </w:p>
    <w:p w14:paraId="770B52EB" w14:textId="77777777" w:rsidR="00D9118C" w:rsidRPr="00FD211F" w:rsidRDefault="00BC09B8" w:rsidP="00D304B8">
      <w:pPr>
        <w:ind w:left="0" w:firstLine="227"/>
        <w:jc w:val="both"/>
        <w:rPr>
          <w:sz w:val="36"/>
          <w:szCs w:val="36"/>
          <w:rtl/>
        </w:rPr>
      </w:pPr>
      <w:r w:rsidRPr="00FD211F">
        <w:rPr>
          <w:sz w:val="36"/>
          <w:szCs w:val="36"/>
          <w:rtl/>
        </w:rPr>
        <w:t>اقول:</w:t>
      </w:r>
      <w:r w:rsidR="00E8128F">
        <w:rPr>
          <w:sz w:val="36"/>
          <w:szCs w:val="36"/>
          <w:rtl/>
        </w:rPr>
        <w:t xml:space="preserve"> </w:t>
      </w:r>
      <w:r w:rsidRPr="00FD211F">
        <w:rPr>
          <w:sz w:val="36"/>
          <w:szCs w:val="36"/>
          <w:rtl/>
        </w:rPr>
        <w:t>لامانع</w:t>
      </w:r>
      <w:r w:rsidR="00E8128F">
        <w:rPr>
          <w:sz w:val="36"/>
          <w:szCs w:val="36"/>
          <w:rtl/>
        </w:rPr>
        <w:t xml:space="preserve"> </w:t>
      </w:r>
      <w:r w:rsidRPr="00FD211F">
        <w:rPr>
          <w:sz w:val="36"/>
          <w:szCs w:val="36"/>
          <w:rtl/>
        </w:rPr>
        <w:t>ثبوتا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تقيد</w:t>
      </w:r>
      <w:r w:rsidR="00E8128F">
        <w:rPr>
          <w:sz w:val="36"/>
          <w:szCs w:val="36"/>
          <w:rtl/>
        </w:rPr>
        <w:t xml:space="preserve"> </w:t>
      </w:r>
      <w:r w:rsidRPr="00FD211F">
        <w:rPr>
          <w:sz w:val="36"/>
          <w:szCs w:val="36"/>
          <w:rtl/>
        </w:rPr>
        <w:t>تلبس</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00184DAB" w:rsidRPr="00FD211F">
        <w:rPr>
          <w:sz w:val="36"/>
          <w:szCs w:val="36"/>
          <w:rtl/>
        </w:rPr>
        <w:t>ب</w:t>
      </w:r>
      <w:r w:rsidRPr="00FD211F">
        <w:rPr>
          <w:sz w:val="36"/>
          <w:szCs w:val="36"/>
          <w:rtl/>
        </w:rPr>
        <w:t>كونه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النطق</w:t>
      </w:r>
      <w:r w:rsidR="00E8128F">
        <w:rPr>
          <w:sz w:val="36"/>
          <w:szCs w:val="36"/>
          <w:rtl/>
        </w:rPr>
        <w:t xml:space="preserve"> </w:t>
      </w:r>
      <w:r w:rsidR="00D9118C" w:rsidRPr="00FD211F">
        <w:rPr>
          <w:sz w:val="36"/>
          <w:szCs w:val="36"/>
          <w:rtl/>
        </w:rPr>
        <w:t>ا</w:t>
      </w:r>
      <w:r w:rsidRPr="00FD211F">
        <w:rPr>
          <w:sz w:val="36"/>
          <w:szCs w:val="36"/>
          <w:rtl/>
        </w:rPr>
        <w:t>و</w:t>
      </w:r>
      <w:r w:rsidR="00E8128F">
        <w:rPr>
          <w:sz w:val="36"/>
          <w:szCs w:val="36"/>
          <w:rtl/>
        </w:rPr>
        <w:t xml:space="preserve"> </w:t>
      </w:r>
      <w:r w:rsidRPr="00FD211F">
        <w:rPr>
          <w:sz w:val="36"/>
          <w:szCs w:val="36"/>
          <w:rtl/>
        </w:rPr>
        <w:t>الاسناد</w:t>
      </w:r>
      <w:r w:rsidR="00603323" w:rsidRPr="00FD211F">
        <w:rPr>
          <w:sz w:val="36"/>
          <w:szCs w:val="36"/>
          <w:rtl/>
        </w:rPr>
        <w:t>،</w:t>
      </w:r>
      <w:r w:rsidR="00E8128F">
        <w:rPr>
          <w:sz w:val="36"/>
          <w:szCs w:val="36"/>
          <w:rtl/>
        </w:rPr>
        <w:t xml:space="preserve"> </w:t>
      </w:r>
      <w:r w:rsidR="00F035E8" w:rsidRPr="00FD211F">
        <w:rPr>
          <w:sz w:val="36"/>
          <w:szCs w:val="36"/>
          <w:rtl/>
        </w:rPr>
        <w:t>واما</w:t>
      </w:r>
      <w:r w:rsidR="00E8128F">
        <w:rPr>
          <w:sz w:val="36"/>
          <w:szCs w:val="36"/>
          <w:rtl/>
        </w:rPr>
        <w:t xml:space="preserve"> </w:t>
      </w:r>
      <w:r w:rsidR="00F035E8" w:rsidRPr="00FD211F">
        <w:rPr>
          <w:sz w:val="36"/>
          <w:szCs w:val="36"/>
          <w:rtl/>
        </w:rPr>
        <w:t>الاشكال</w:t>
      </w:r>
      <w:r w:rsidR="00E8128F">
        <w:rPr>
          <w:sz w:val="36"/>
          <w:szCs w:val="36"/>
          <w:rtl/>
        </w:rPr>
        <w:t xml:space="preserve"> </w:t>
      </w:r>
      <w:r w:rsidR="00F035E8" w:rsidRPr="00FD211F">
        <w:rPr>
          <w:sz w:val="36"/>
          <w:szCs w:val="36"/>
          <w:rtl/>
        </w:rPr>
        <w:t>بان</w:t>
      </w:r>
      <w:r w:rsidR="00E8128F">
        <w:rPr>
          <w:sz w:val="36"/>
          <w:szCs w:val="36"/>
          <w:rtl/>
        </w:rPr>
        <w:t xml:space="preserve"> </w:t>
      </w:r>
      <w:r w:rsidR="00F035E8" w:rsidRPr="00FD211F">
        <w:rPr>
          <w:sz w:val="36"/>
          <w:szCs w:val="36"/>
          <w:rtl/>
        </w:rPr>
        <w:t>اخذ</w:t>
      </w:r>
      <w:r w:rsidR="00E8128F">
        <w:rPr>
          <w:sz w:val="36"/>
          <w:szCs w:val="36"/>
          <w:rtl/>
        </w:rPr>
        <w:t xml:space="preserve"> </w:t>
      </w:r>
      <w:r w:rsidR="00F035E8" w:rsidRPr="00FD211F">
        <w:rPr>
          <w:sz w:val="36"/>
          <w:szCs w:val="36"/>
          <w:rtl/>
        </w:rPr>
        <w:t>واقع</w:t>
      </w:r>
      <w:r w:rsidR="00E8128F">
        <w:rPr>
          <w:sz w:val="36"/>
          <w:szCs w:val="36"/>
          <w:rtl/>
        </w:rPr>
        <w:t xml:space="preserve"> </w:t>
      </w:r>
      <w:r w:rsidR="00F035E8" w:rsidRPr="00FD211F">
        <w:rPr>
          <w:sz w:val="36"/>
          <w:szCs w:val="36"/>
          <w:rtl/>
        </w:rPr>
        <w:t>زمان</w:t>
      </w:r>
      <w:r w:rsidR="00E8128F">
        <w:rPr>
          <w:sz w:val="36"/>
          <w:szCs w:val="36"/>
          <w:rtl/>
        </w:rPr>
        <w:t xml:space="preserve"> </w:t>
      </w:r>
      <w:r w:rsidR="00F035E8" w:rsidRPr="00FD211F">
        <w:rPr>
          <w:sz w:val="36"/>
          <w:szCs w:val="36"/>
          <w:rtl/>
        </w:rPr>
        <w:t>النطق</w:t>
      </w:r>
      <w:r w:rsidR="00E8128F">
        <w:rPr>
          <w:sz w:val="36"/>
          <w:szCs w:val="36"/>
          <w:rtl/>
        </w:rPr>
        <w:t xml:space="preserve"> </w:t>
      </w:r>
      <w:r w:rsidR="00F035E8" w:rsidRPr="00FD211F">
        <w:rPr>
          <w:sz w:val="36"/>
          <w:szCs w:val="36"/>
          <w:rtl/>
        </w:rPr>
        <w:t>او</w:t>
      </w:r>
      <w:r w:rsidR="00E8128F">
        <w:rPr>
          <w:sz w:val="36"/>
          <w:szCs w:val="36"/>
          <w:rtl/>
        </w:rPr>
        <w:t xml:space="preserve"> </w:t>
      </w:r>
      <w:r w:rsidR="00F035E8" w:rsidRPr="00FD211F">
        <w:rPr>
          <w:sz w:val="36"/>
          <w:szCs w:val="36"/>
          <w:rtl/>
        </w:rPr>
        <w:t>الاسناد</w:t>
      </w:r>
      <w:r w:rsidR="00E8128F">
        <w:rPr>
          <w:sz w:val="36"/>
          <w:szCs w:val="36"/>
          <w:rtl/>
        </w:rPr>
        <w:t xml:space="preserve"> </w:t>
      </w:r>
      <w:r w:rsidR="00F035E8" w:rsidRPr="00FD211F">
        <w:rPr>
          <w:sz w:val="36"/>
          <w:szCs w:val="36"/>
          <w:rtl/>
        </w:rPr>
        <w:t>يوجب</w:t>
      </w:r>
      <w:r w:rsidR="00E8128F">
        <w:rPr>
          <w:sz w:val="36"/>
          <w:szCs w:val="36"/>
          <w:rtl/>
        </w:rPr>
        <w:t xml:space="preserve"> </w:t>
      </w:r>
      <w:r w:rsidR="00F035E8" w:rsidRPr="00FD211F">
        <w:rPr>
          <w:sz w:val="36"/>
          <w:szCs w:val="36"/>
          <w:rtl/>
        </w:rPr>
        <w:t>عدم</w:t>
      </w:r>
      <w:r w:rsidR="00E8128F">
        <w:rPr>
          <w:sz w:val="36"/>
          <w:szCs w:val="36"/>
          <w:rtl/>
        </w:rPr>
        <w:t xml:space="preserve"> </w:t>
      </w:r>
      <w:r w:rsidR="00F035E8" w:rsidRPr="00FD211F">
        <w:rPr>
          <w:sz w:val="36"/>
          <w:szCs w:val="36"/>
          <w:rtl/>
        </w:rPr>
        <w:t>وجود</w:t>
      </w:r>
      <w:r w:rsidR="00E8128F">
        <w:rPr>
          <w:sz w:val="36"/>
          <w:szCs w:val="36"/>
          <w:rtl/>
        </w:rPr>
        <w:t xml:space="preserve"> </w:t>
      </w:r>
      <w:r w:rsidR="00F035E8" w:rsidRPr="00FD211F">
        <w:rPr>
          <w:sz w:val="36"/>
          <w:szCs w:val="36"/>
          <w:rtl/>
        </w:rPr>
        <w:t>معنى</w:t>
      </w:r>
      <w:r w:rsidR="00E8128F">
        <w:rPr>
          <w:sz w:val="36"/>
          <w:szCs w:val="36"/>
          <w:rtl/>
        </w:rPr>
        <w:t xml:space="preserve"> </w:t>
      </w:r>
      <w:r w:rsidR="00F035E8" w:rsidRPr="00FD211F">
        <w:rPr>
          <w:sz w:val="36"/>
          <w:szCs w:val="36"/>
          <w:rtl/>
        </w:rPr>
        <w:t>للمشتق</w:t>
      </w:r>
      <w:r w:rsidR="00E8128F">
        <w:rPr>
          <w:sz w:val="36"/>
          <w:szCs w:val="36"/>
          <w:rtl/>
        </w:rPr>
        <w:t xml:space="preserve"> </w:t>
      </w:r>
      <w:r w:rsidR="00F035E8" w:rsidRPr="00FD211F">
        <w:rPr>
          <w:sz w:val="36"/>
          <w:szCs w:val="36"/>
          <w:rtl/>
        </w:rPr>
        <w:t>ما</w:t>
      </w:r>
      <w:r w:rsidR="00E8128F">
        <w:rPr>
          <w:sz w:val="36"/>
          <w:szCs w:val="36"/>
          <w:rtl/>
        </w:rPr>
        <w:t xml:space="preserve"> </w:t>
      </w:r>
      <w:r w:rsidR="008D7B3D" w:rsidRPr="00FD211F">
        <w:rPr>
          <w:sz w:val="36"/>
          <w:szCs w:val="36"/>
          <w:rtl/>
        </w:rPr>
        <w:t>لم‌</w:t>
      </w:r>
      <w:r w:rsidR="00F035E8" w:rsidRPr="00FD211F">
        <w:rPr>
          <w:sz w:val="36"/>
          <w:szCs w:val="36"/>
          <w:rtl/>
        </w:rPr>
        <w:t>ينطق</w:t>
      </w:r>
      <w:r w:rsidR="00E8128F">
        <w:rPr>
          <w:sz w:val="36"/>
          <w:szCs w:val="36"/>
          <w:rtl/>
        </w:rPr>
        <w:t xml:space="preserve"> </w:t>
      </w:r>
      <w:r w:rsidR="00F035E8" w:rsidRPr="00FD211F">
        <w:rPr>
          <w:sz w:val="36"/>
          <w:szCs w:val="36"/>
          <w:rtl/>
        </w:rPr>
        <w:t>به</w:t>
      </w:r>
      <w:r w:rsidR="00E8128F">
        <w:rPr>
          <w:sz w:val="36"/>
          <w:szCs w:val="36"/>
          <w:rtl/>
        </w:rPr>
        <w:t xml:space="preserve"> </w:t>
      </w:r>
      <w:r w:rsidR="00F035E8" w:rsidRPr="00FD211F">
        <w:rPr>
          <w:sz w:val="36"/>
          <w:szCs w:val="36"/>
          <w:rtl/>
        </w:rPr>
        <w:t>او</w:t>
      </w:r>
      <w:r w:rsidR="00E8128F">
        <w:rPr>
          <w:sz w:val="36"/>
          <w:szCs w:val="36"/>
          <w:rtl/>
        </w:rPr>
        <w:t xml:space="preserve"> </w:t>
      </w:r>
      <w:r w:rsidR="00F035E8" w:rsidRPr="00FD211F">
        <w:rPr>
          <w:sz w:val="36"/>
          <w:szCs w:val="36"/>
          <w:rtl/>
        </w:rPr>
        <w:t>يقع</w:t>
      </w:r>
      <w:r w:rsidR="00E8128F">
        <w:rPr>
          <w:sz w:val="36"/>
          <w:szCs w:val="36"/>
          <w:rtl/>
        </w:rPr>
        <w:t xml:space="preserve"> </w:t>
      </w:r>
      <w:r w:rsidR="00F035E8" w:rsidRPr="00FD211F">
        <w:rPr>
          <w:sz w:val="36"/>
          <w:szCs w:val="36"/>
          <w:rtl/>
        </w:rPr>
        <w:t>في</w:t>
      </w:r>
      <w:r w:rsidR="00E8128F">
        <w:rPr>
          <w:sz w:val="36"/>
          <w:szCs w:val="36"/>
          <w:rtl/>
        </w:rPr>
        <w:t xml:space="preserve"> </w:t>
      </w:r>
      <w:r w:rsidR="00F035E8" w:rsidRPr="00FD211F">
        <w:rPr>
          <w:sz w:val="36"/>
          <w:szCs w:val="36"/>
          <w:rtl/>
        </w:rPr>
        <w:t>ضمن</w:t>
      </w:r>
      <w:r w:rsidR="00E8128F">
        <w:rPr>
          <w:sz w:val="36"/>
          <w:szCs w:val="36"/>
          <w:rtl/>
        </w:rPr>
        <w:t xml:space="preserve"> </w:t>
      </w:r>
      <w:r w:rsidR="00F035E8" w:rsidRPr="00FD211F">
        <w:rPr>
          <w:sz w:val="36"/>
          <w:szCs w:val="36"/>
          <w:rtl/>
        </w:rPr>
        <w:t>جمل</w:t>
      </w:r>
      <w:r w:rsidR="00EC7EDF" w:rsidRPr="00FD211F">
        <w:rPr>
          <w:sz w:val="36"/>
          <w:szCs w:val="36"/>
          <w:rtl/>
        </w:rPr>
        <w:t>ة</w:t>
      </w:r>
      <w:r w:rsidR="00E8128F">
        <w:rPr>
          <w:sz w:val="36"/>
          <w:szCs w:val="36"/>
          <w:rtl/>
        </w:rPr>
        <w:t xml:space="preserve"> </w:t>
      </w:r>
      <w:r w:rsidR="00F035E8" w:rsidRPr="00FD211F">
        <w:rPr>
          <w:sz w:val="36"/>
          <w:szCs w:val="36"/>
          <w:rtl/>
        </w:rPr>
        <w:t>اسنادي</w:t>
      </w:r>
      <w:r w:rsidR="00EC7EDF" w:rsidRPr="00FD211F">
        <w:rPr>
          <w:sz w:val="36"/>
          <w:szCs w:val="36"/>
          <w:rtl/>
        </w:rPr>
        <w:t>ة</w:t>
      </w:r>
      <w:r w:rsidR="00603323" w:rsidRPr="00FD211F">
        <w:rPr>
          <w:sz w:val="36"/>
          <w:szCs w:val="36"/>
          <w:rtl/>
        </w:rPr>
        <w:t>،</w:t>
      </w:r>
      <w:r w:rsidR="00E8128F">
        <w:rPr>
          <w:sz w:val="36"/>
          <w:szCs w:val="36"/>
          <w:rtl/>
        </w:rPr>
        <w:t xml:space="preserve"> </w:t>
      </w:r>
      <w:r w:rsidR="00F035E8" w:rsidRPr="00FD211F">
        <w:rPr>
          <w:sz w:val="36"/>
          <w:szCs w:val="36"/>
          <w:rtl/>
        </w:rPr>
        <w:t>او</w:t>
      </w:r>
      <w:r w:rsidR="00E8128F">
        <w:rPr>
          <w:sz w:val="36"/>
          <w:szCs w:val="36"/>
          <w:rtl/>
        </w:rPr>
        <w:t xml:space="preserve"> </w:t>
      </w:r>
      <w:r w:rsidR="00F035E8" w:rsidRPr="00FD211F">
        <w:rPr>
          <w:sz w:val="36"/>
          <w:szCs w:val="36"/>
          <w:rtl/>
        </w:rPr>
        <w:t>ان</w:t>
      </w:r>
      <w:r w:rsidR="00E8128F">
        <w:rPr>
          <w:sz w:val="36"/>
          <w:szCs w:val="36"/>
          <w:rtl/>
        </w:rPr>
        <w:t xml:space="preserve"> </w:t>
      </w:r>
      <w:r w:rsidR="00F035E8" w:rsidRPr="00FD211F">
        <w:rPr>
          <w:sz w:val="36"/>
          <w:szCs w:val="36"/>
          <w:rtl/>
        </w:rPr>
        <w:t>ذلك</w:t>
      </w:r>
      <w:r w:rsidR="00E8128F">
        <w:rPr>
          <w:sz w:val="36"/>
          <w:szCs w:val="36"/>
          <w:rtl/>
        </w:rPr>
        <w:t xml:space="preserve"> </w:t>
      </w:r>
      <w:r w:rsidR="00F035E8" w:rsidRPr="00FD211F">
        <w:rPr>
          <w:sz w:val="36"/>
          <w:szCs w:val="36"/>
          <w:rtl/>
        </w:rPr>
        <w:t>ينافي</w:t>
      </w:r>
      <w:r w:rsidR="00E8128F">
        <w:rPr>
          <w:sz w:val="36"/>
          <w:szCs w:val="36"/>
          <w:rtl/>
        </w:rPr>
        <w:t xml:space="preserve"> </w:t>
      </w:r>
      <w:r w:rsidR="00F035E8" w:rsidRPr="00FD211F">
        <w:rPr>
          <w:sz w:val="36"/>
          <w:szCs w:val="36"/>
          <w:rtl/>
        </w:rPr>
        <w:t>كون</w:t>
      </w:r>
      <w:r w:rsidR="00E8128F">
        <w:rPr>
          <w:sz w:val="36"/>
          <w:szCs w:val="36"/>
          <w:rtl/>
        </w:rPr>
        <w:t xml:space="preserve"> </w:t>
      </w:r>
      <w:r w:rsidR="00F035E8" w:rsidRPr="00FD211F">
        <w:rPr>
          <w:sz w:val="36"/>
          <w:szCs w:val="36"/>
          <w:rtl/>
        </w:rPr>
        <w:t>العلق</w:t>
      </w:r>
      <w:r w:rsidR="00EC7EDF" w:rsidRPr="00FD211F">
        <w:rPr>
          <w:sz w:val="36"/>
          <w:szCs w:val="36"/>
          <w:rtl/>
        </w:rPr>
        <w:t>ة</w:t>
      </w:r>
      <w:r w:rsidR="00E8128F">
        <w:rPr>
          <w:sz w:val="36"/>
          <w:szCs w:val="36"/>
          <w:rtl/>
        </w:rPr>
        <w:t xml:space="preserve"> </w:t>
      </w:r>
      <w:r w:rsidR="00F035E8" w:rsidRPr="00FD211F">
        <w:rPr>
          <w:sz w:val="36"/>
          <w:szCs w:val="36"/>
          <w:rtl/>
        </w:rPr>
        <w:t>الوضعي</w:t>
      </w:r>
      <w:r w:rsidR="00EC7EDF" w:rsidRPr="00FD211F">
        <w:rPr>
          <w:sz w:val="36"/>
          <w:szCs w:val="36"/>
          <w:rtl/>
        </w:rPr>
        <w:t>ة</w:t>
      </w:r>
      <w:r w:rsidR="00E8128F">
        <w:rPr>
          <w:sz w:val="36"/>
          <w:szCs w:val="36"/>
          <w:rtl/>
        </w:rPr>
        <w:t xml:space="preserve"> </w:t>
      </w:r>
      <w:r w:rsidR="00F035E8" w:rsidRPr="00FD211F">
        <w:rPr>
          <w:sz w:val="36"/>
          <w:szCs w:val="36"/>
          <w:rtl/>
        </w:rPr>
        <w:t>تصوري</w:t>
      </w:r>
      <w:r w:rsidR="00EC7EDF" w:rsidRPr="00FD211F">
        <w:rPr>
          <w:sz w:val="36"/>
          <w:szCs w:val="36"/>
          <w:rtl/>
        </w:rPr>
        <w:t>ة</w:t>
      </w:r>
      <w:r w:rsidR="00E8128F">
        <w:rPr>
          <w:sz w:val="36"/>
          <w:szCs w:val="36"/>
          <w:rtl/>
        </w:rPr>
        <w:t xml:space="preserve"> </w:t>
      </w:r>
      <w:r w:rsidR="00F035E8" w:rsidRPr="00FD211F">
        <w:rPr>
          <w:sz w:val="36"/>
          <w:szCs w:val="36"/>
          <w:rtl/>
        </w:rPr>
        <w:t>فيمكن</w:t>
      </w:r>
      <w:r w:rsidR="00E8128F">
        <w:rPr>
          <w:sz w:val="36"/>
          <w:szCs w:val="36"/>
          <w:rtl/>
        </w:rPr>
        <w:t xml:space="preserve"> </w:t>
      </w:r>
      <w:r w:rsidR="00F035E8" w:rsidRPr="00FD211F">
        <w:rPr>
          <w:sz w:val="36"/>
          <w:szCs w:val="36"/>
          <w:rtl/>
        </w:rPr>
        <w:t>دفعه</w:t>
      </w:r>
      <w:r w:rsidR="00E8128F">
        <w:rPr>
          <w:sz w:val="36"/>
          <w:szCs w:val="36"/>
          <w:rtl/>
        </w:rPr>
        <w:t xml:space="preserve"> </w:t>
      </w:r>
      <w:r w:rsidR="00F035E8" w:rsidRPr="00FD211F">
        <w:rPr>
          <w:sz w:val="36"/>
          <w:szCs w:val="36"/>
          <w:rtl/>
        </w:rPr>
        <w:t>بان</w:t>
      </w:r>
      <w:r w:rsidR="00E8128F">
        <w:rPr>
          <w:sz w:val="36"/>
          <w:szCs w:val="36"/>
          <w:rtl/>
        </w:rPr>
        <w:t xml:space="preserve"> </w:t>
      </w:r>
      <w:r w:rsidR="00F035E8" w:rsidRPr="00FD211F">
        <w:rPr>
          <w:sz w:val="36"/>
          <w:szCs w:val="36"/>
          <w:rtl/>
        </w:rPr>
        <w:t>المأخوذ</w:t>
      </w:r>
      <w:r w:rsidR="00E8128F">
        <w:rPr>
          <w:sz w:val="36"/>
          <w:szCs w:val="36"/>
          <w:rtl/>
        </w:rPr>
        <w:t xml:space="preserve"> </w:t>
      </w:r>
      <w:r w:rsidR="00F035E8" w:rsidRPr="00FD211F">
        <w:rPr>
          <w:sz w:val="36"/>
          <w:szCs w:val="36"/>
          <w:rtl/>
        </w:rPr>
        <w:t>في</w:t>
      </w:r>
      <w:r w:rsidR="00E8128F">
        <w:rPr>
          <w:sz w:val="36"/>
          <w:szCs w:val="36"/>
          <w:rtl/>
        </w:rPr>
        <w:t xml:space="preserve"> </w:t>
      </w:r>
      <w:r w:rsidRPr="00FD211F">
        <w:rPr>
          <w:sz w:val="36"/>
          <w:szCs w:val="36"/>
          <w:rtl/>
        </w:rPr>
        <w:t>المدلول</w:t>
      </w:r>
      <w:r w:rsidR="00E8128F">
        <w:rPr>
          <w:sz w:val="36"/>
          <w:szCs w:val="36"/>
          <w:rtl/>
        </w:rPr>
        <w:t xml:space="preserve"> </w:t>
      </w:r>
      <w:r w:rsidRPr="00FD211F">
        <w:rPr>
          <w:sz w:val="36"/>
          <w:szCs w:val="36"/>
          <w:rtl/>
        </w:rPr>
        <w:t>التصوري</w:t>
      </w:r>
      <w:r w:rsidR="00E8128F">
        <w:rPr>
          <w:sz w:val="36"/>
          <w:szCs w:val="36"/>
          <w:rtl/>
        </w:rPr>
        <w:t xml:space="preserve"> </w:t>
      </w:r>
      <w:r w:rsidR="00F035E8" w:rsidRPr="00FD211F">
        <w:rPr>
          <w:sz w:val="36"/>
          <w:szCs w:val="36"/>
          <w:rtl/>
        </w:rPr>
        <w:t>للمشتق</w:t>
      </w:r>
      <w:r w:rsidR="00E8128F">
        <w:rPr>
          <w:sz w:val="36"/>
          <w:szCs w:val="36"/>
          <w:rtl/>
        </w:rPr>
        <w:t xml:space="preserve"> </w:t>
      </w:r>
      <w:r w:rsidR="00D9118C" w:rsidRPr="00FD211F">
        <w:rPr>
          <w:sz w:val="36"/>
          <w:szCs w:val="36"/>
          <w:rtl/>
        </w:rPr>
        <w:t>صور</w:t>
      </w:r>
      <w:r w:rsidR="00EC7EDF" w:rsidRPr="00FD211F">
        <w:rPr>
          <w:sz w:val="36"/>
          <w:szCs w:val="36"/>
          <w:rtl/>
        </w:rPr>
        <w:t>ة</w:t>
      </w:r>
      <w:r w:rsidR="00E8128F">
        <w:rPr>
          <w:sz w:val="36"/>
          <w:szCs w:val="36"/>
          <w:rtl/>
        </w:rPr>
        <w:t xml:space="preserve"> </w:t>
      </w:r>
      <w:r w:rsidR="00D9118C" w:rsidRPr="00FD211F">
        <w:rPr>
          <w:sz w:val="36"/>
          <w:szCs w:val="36"/>
          <w:rtl/>
        </w:rPr>
        <w:t>واقع</w:t>
      </w:r>
      <w:r w:rsidR="00E8128F">
        <w:rPr>
          <w:sz w:val="36"/>
          <w:szCs w:val="36"/>
          <w:rtl/>
        </w:rPr>
        <w:t xml:space="preserve"> </w:t>
      </w:r>
      <w:r w:rsidR="00D9118C" w:rsidRPr="00FD211F">
        <w:rPr>
          <w:sz w:val="36"/>
          <w:szCs w:val="36"/>
          <w:rtl/>
        </w:rPr>
        <w:t>زمان</w:t>
      </w:r>
      <w:r w:rsidR="00E8128F">
        <w:rPr>
          <w:sz w:val="36"/>
          <w:szCs w:val="36"/>
          <w:rtl/>
        </w:rPr>
        <w:t xml:space="preserve"> </w:t>
      </w:r>
      <w:r w:rsidR="00D9118C" w:rsidRPr="00FD211F">
        <w:rPr>
          <w:sz w:val="36"/>
          <w:szCs w:val="36"/>
          <w:rtl/>
        </w:rPr>
        <w:t>النطق</w:t>
      </w:r>
      <w:r w:rsidR="00E8128F">
        <w:rPr>
          <w:sz w:val="36"/>
          <w:szCs w:val="36"/>
          <w:rtl/>
        </w:rPr>
        <w:t xml:space="preserve"> </w:t>
      </w:r>
      <w:r w:rsidR="00D9118C" w:rsidRPr="00FD211F">
        <w:rPr>
          <w:sz w:val="36"/>
          <w:szCs w:val="36"/>
          <w:rtl/>
        </w:rPr>
        <w:t>او</w:t>
      </w:r>
      <w:r w:rsidR="00E8128F">
        <w:rPr>
          <w:sz w:val="36"/>
          <w:szCs w:val="36"/>
          <w:rtl/>
        </w:rPr>
        <w:t xml:space="preserve"> </w:t>
      </w:r>
      <w:r w:rsidR="00D9118C" w:rsidRPr="00FD211F">
        <w:rPr>
          <w:sz w:val="36"/>
          <w:szCs w:val="36"/>
          <w:rtl/>
        </w:rPr>
        <w:t>زمان</w:t>
      </w:r>
      <w:r w:rsidR="00E8128F">
        <w:rPr>
          <w:sz w:val="36"/>
          <w:szCs w:val="36"/>
          <w:rtl/>
        </w:rPr>
        <w:t xml:space="preserve"> </w:t>
      </w:r>
      <w:r w:rsidR="00D9118C" w:rsidRPr="00FD211F">
        <w:rPr>
          <w:sz w:val="36"/>
          <w:szCs w:val="36"/>
          <w:rtl/>
        </w:rPr>
        <w:t>الاسناد</w:t>
      </w:r>
      <w:r w:rsidR="00603323" w:rsidRPr="00FD211F">
        <w:rPr>
          <w:sz w:val="36"/>
          <w:szCs w:val="36"/>
          <w:rtl/>
        </w:rPr>
        <w:t>،</w:t>
      </w:r>
      <w:r w:rsidR="00E8128F">
        <w:rPr>
          <w:sz w:val="36"/>
          <w:szCs w:val="36"/>
          <w:rtl/>
        </w:rPr>
        <w:t xml:space="preserve"> </w:t>
      </w:r>
      <w:r w:rsidR="00D9118C" w:rsidRPr="00FD211F">
        <w:rPr>
          <w:sz w:val="36"/>
          <w:szCs w:val="36"/>
          <w:rtl/>
        </w:rPr>
        <w:t>كما</w:t>
      </w:r>
      <w:r w:rsidR="00E8128F">
        <w:rPr>
          <w:sz w:val="36"/>
          <w:szCs w:val="36"/>
          <w:rtl/>
        </w:rPr>
        <w:t xml:space="preserve"> </w:t>
      </w:r>
      <w:r w:rsidR="00D9118C" w:rsidRPr="00FD211F">
        <w:rPr>
          <w:sz w:val="36"/>
          <w:szCs w:val="36"/>
          <w:rtl/>
        </w:rPr>
        <w:t>مر</w:t>
      </w:r>
      <w:r w:rsidR="00E8128F">
        <w:rPr>
          <w:sz w:val="36"/>
          <w:szCs w:val="36"/>
          <w:rtl/>
        </w:rPr>
        <w:t xml:space="preserve"> </w:t>
      </w:r>
      <w:r w:rsidR="00D9118C" w:rsidRPr="00FD211F">
        <w:rPr>
          <w:sz w:val="36"/>
          <w:szCs w:val="36"/>
          <w:rtl/>
        </w:rPr>
        <w:t>نظيره</w:t>
      </w:r>
      <w:r w:rsidR="00E8128F">
        <w:rPr>
          <w:sz w:val="36"/>
          <w:szCs w:val="36"/>
          <w:rtl/>
        </w:rPr>
        <w:t xml:space="preserve"> </w:t>
      </w:r>
      <w:r w:rsidR="00D9118C" w:rsidRPr="00FD211F">
        <w:rPr>
          <w:sz w:val="36"/>
          <w:szCs w:val="36"/>
          <w:rtl/>
        </w:rPr>
        <w:t>في</w:t>
      </w:r>
      <w:r w:rsidR="00E8128F">
        <w:rPr>
          <w:sz w:val="36"/>
          <w:szCs w:val="36"/>
          <w:rtl/>
        </w:rPr>
        <w:t xml:space="preserve"> </w:t>
      </w:r>
      <w:r w:rsidR="00D9118C" w:rsidRPr="00FD211F">
        <w:rPr>
          <w:sz w:val="36"/>
          <w:szCs w:val="36"/>
          <w:rtl/>
        </w:rPr>
        <w:t>مثل</w:t>
      </w:r>
      <w:r w:rsidR="00E8128F">
        <w:rPr>
          <w:sz w:val="36"/>
          <w:szCs w:val="36"/>
          <w:rtl/>
        </w:rPr>
        <w:t xml:space="preserve"> </w:t>
      </w:r>
      <w:r w:rsidR="00F45D05" w:rsidRPr="00FD211F">
        <w:rPr>
          <w:sz w:val="36"/>
          <w:szCs w:val="36"/>
          <w:rtl/>
        </w:rPr>
        <w:t>حرف</w:t>
      </w:r>
      <w:r w:rsidR="00E8128F">
        <w:rPr>
          <w:sz w:val="36"/>
          <w:szCs w:val="36"/>
          <w:rtl/>
        </w:rPr>
        <w:t xml:space="preserve"> </w:t>
      </w:r>
      <w:r w:rsidR="00346C8B" w:rsidRPr="00FD211F">
        <w:rPr>
          <w:sz w:val="36"/>
          <w:szCs w:val="36"/>
          <w:rtl/>
        </w:rPr>
        <w:t>"ليت"</w:t>
      </w:r>
      <w:r w:rsidR="00E8128F">
        <w:rPr>
          <w:sz w:val="36"/>
          <w:szCs w:val="36"/>
          <w:rtl/>
        </w:rPr>
        <w:t xml:space="preserve"> </w:t>
      </w:r>
      <w:r w:rsidR="00D9118C" w:rsidRPr="00FD211F">
        <w:rPr>
          <w:sz w:val="36"/>
          <w:szCs w:val="36"/>
          <w:rtl/>
        </w:rPr>
        <w:t>حيث</w:t>
      </w:r>
      <w:r w:rsidR="00E8128F">
        <w:rPr>
          <w:sz w:val="36"/>
          <w:szCs w:val="36"/>
          <w:rtl/>
        </w:rPr>
        <w:t xml:space="preserve"> </w:t>
      </w:r>
      <w:r w:rsidR="00D9118C" w:rsidRPr="00FD211F">
        <w:rPr>
          <w:sz w:val="36"/>
          <w:szCs w:val="36"/>
          <w:rtl/>
        </w:rPr>
        <w:t>قلنا</w:t>
      </w:r>
      <w:r w:rsidR="00E8128F">
        <w:rPr>
          <w:sz w:val="36"/>
          <w:szCs w:val="36"/>
          <w:rtl/>
        </w:rPr>
        <w:t xml:space="preserve"> </w:t>
      </w:r>
      <w:r w:rsidR="00D9118C" w:rsidRPr="00FD211F">
        <w:rPr>
          <w:sz w:val="36"/>
          <w:szCs w:val="36"/>
          <w:rtl/>
        </w:rPr>
        <w:t>ان</w:t>
      </w:r>
      <w:r w:rsidR="00E8128F">
        <w:rPr>
          <w:sz w:val="36"/>
          <w:szCs w:val="36"/>
          <w:rtl/>
        </w:rPr>
        <w:t xml:space="preserve"> </w:t>
      </w:r>
      <w:r w:rsidR="00D9118C" w:rsidRPr="00FD211F">
        <w:rPr>
          <w:sz w:val="36"/>
          <w:szCs w:val="36"/>
          <w:rtl/>
        </w:rPr>
        <w:t>مدلوله</w:t>
      </w:r>
      <w:r w:rsidR="00E8128F">
        <w:rPr>
          <w:sz w:val="36"/>
          <w:szCs w:val="36"/>
          <w:rtl/>
        </w:rPr>
        <w:t xml:space="preserve"> </w:t>
      </w:r>
      <w:r w:rsidR="00D9118C" w:rsidRPr="00FD211F">
        <w:rPr>
          <w:sz w:val="36"/>
          <w:szCs w:val="36"/>
          <w:rtl/>
        </w:rPr>
        <w:t>التصوري</w:t>
      </w:r>
      <w:r w:rsidR="00E8128F">
        <w:rPr>
          <w:sz w:val="36"/>
          <w:szCs w:val="36"/>
          <w:rtl/>
        </w:rPr>
        <w:t xml:space="preserve"> </w:t>
      </w:r>
      <w:r w:rsidR="00D9118C" w:rsidRPr="00FD211F">
        <w:rPr>
          <w:sz w:val="36"/>
          <w:szCs w:val="36"/>
          <w:rtl/>
        </w:rPr>
        <w:t>هو</w:t>
      </w:r>
      <w:r w:rsidR="00E8128F">
        <w:rPr>
          <w:sz w:val="36"/>
          <w:szCs w:val="36"/>
          <w:rtl/>
        </w:rPr>
        <w:t xml:space="preserve"> </w:t>
      </w:r>
      <w:r w:rsidR="00D9118C" w:rsidRPr="00FD211F">
        <w:rPr>
          <w:sz w:val="36"/>
          <w:szCs w:val="36"/>
          <w:rtl/>
        </w:rPr>
        <w:t>صور</w:t>
      </w:r>
      <w:r w:rsidR="00EC7EDF" w:rsidRPr="00FD211F">
        <w:rPr>
          <w:sz w:val="36"/>
          <w:szCs w:val="36"/>
          <w:rtl/>
        </w:rPr>
        <w:t>ة</w:t>
      </w:r>
      <w:r w:rsidR="00E8128F">
        <w:rPr>
          <w:sz w:val="36"/>
          <w:szCs w:val="36"/>
          <w:rtl/>
        </w:rPr>
        <w:t xml:space="preserve"> </w:t>
      </w:r>
      <w:r w:rsidR="00346C8B" w:rsidRPr="00FD211F">
        <w:rPr>
          <w:sz w:val="36"/>
          <w:szCs w:val="36"/>
          <w:rtl/>
        </w:rPr>
        <w:t>مصداق</w:t>
      </w:r>
      <w:r w:rsidR="00E8128F">
        <w:rPr>
          <w:sz w:val="36"/>
          <w:szCs w:val="36"/>
          <w:rtl/>
        </w:rPr>
        <w:t xml:space="preserve"> </w:t>
      </w:r>
      <w:r w:rsidR="00346C8B" w:rsidRPr="00FD211F">
        <w:rPr>
          <w:sz w:val="36"/>
          <w:szCs w:val="36"/>
          <w:rtl/>
        </w:rPr>
        <w:t>إبراز</w:t>
      </w:r>
      <w:r w:rsidR="00E8128F">
        <w:rPr>
          <w:sz w:val="36"/>
          <w:szCs w:val="36"/>
          <w:rtl/>
        </w:rPr>
        <w:t xml:space="preserve"> </w:t>
      </w:r>
      <w:r w:rsidR="00346C8B" w:rsidRPr="00FD211F">
        <w:rPr>
          <w:sz w:val="36"/>
          <w:szCs w:val="36"/>
          <w:rtl/>
        </w:rPr>
        <w:t>التمني</w:t>
      </w:r>
      <w:r w:rsidR="00E8128F">
        <w:rPr>
          <w:sz w:val="36"/>
          <w:szCs w:val="36"/>
          <w:rtl/>
        </w:rPr>
        <w:t xml:space="preserve"> </w:t>
      </w:r>
      <w:r w:rsidR="00346C8B" w:rsidRPr="00FD211F">
        <w:rPr>
          <w:sz w:val="36"/>
          <w:szCs w:val="36"/>
          <w:rtl/>
        </w:rPr>
        <w:t>دون</w:t>
      </w:r>
      <w:r w:rsidR="00E8128F">
        <w:rPr>
          <w:sz w:val="36"/>
          <w:szCs w:val="36"/>
          <w:rtl/>
        </w:rPr>
        <w:t xml:space="preserve"> </w:t>
      </w:r>
      <w:r w:rsidR="00346C8B" w:rsidRPr="00FD211F">
        <w:rPr>
          <w:sz w:val="36"/>
          <w:szCs w:val="36"/>
          <w:rtl/>
        </w:rPr>
        <w:t>مفهوم</w:t>
      </w:r>
      <w:r w:rsidR="00E8128F">
        <w:rPr>
          <w:sz w:val="36"/>
          <w:szCs w:val="36"/>
          <w:rtl/>
        </w:rPr>
        <w:t xml:space="preserve"> </w:t>
      </w:r>
      <w:r w:rsidR="00346C8B" w:rsidRPr="00FD211F">
        <w:rPr>
          <w:sz w:val="36"/>
          <w:szCs w:val="36"/>
          <w:rtl/>
        </w:rPr>
        <w:t>"ابراز</w:t>
      </w:r>
      <w:r w:rsidR="00E8128F">
        <w:rPr>
          <w:sz w:val="36"/>
          <w:szCs w:val="36"/>
          <w:rtl/>
        </w:rPr>
        <w:t xml:space="preserve"> </w:t>
      </w:r>
      <w:r w:rsidR="00346C8B" w:rsidRPr="00FD211F">
        <w:rPr>
          <w:sz w:val="36"/>
          <w:szCs w:val="36"/>
          <w:rtl/>
        </w:rPr>
        <w:t>التمني"</w:t>
      </w:r>
      <w:r w:rsidR="00E8128F">
        <w:rPr>
          <w:sz w:val="36"/>
          <w:szCs w:val="36"/>
          <w:rtl/>
        </w:rPr>
        <w:t xml:space="preserve"> </w:t>
      </w:r>
      <w:r w:rsidR="00346C8B" w:rsidRPr="00FD211F">
        <w:rPr>
          <w:sz w:val="36"/>
          <w:szCs w:val="36"/>
          <w:rtl/>
        </w:rPr>
        <w:t>الذي</w:t>
      </w:r>
      <w:r w:rsidR="00E8128F">
        <w:rPr>
          <w:sz w:val="36"/>
          <w:szCs w:val="36"/>
          <w:rtl/>
        </w:rPr>
        <w:t xml:space="preserve"> </w:t>
      </w:r>
      <w:r w:rsidR="00346C8B" w:rsidRPr="00FD211F">
        <w:rPr>
          <w:sz w:val="36"/>
          <w:szCs w:val="36"/>
          <w:rtl/>
        </w:rPr>
        <w:t>هو</w:t>
      </w:r>
      <w:r w:rsidR="00E8128F">
        <w:rPr>
          <w:sz w:val="36"/>
          <w:szCs w:val="36"/>
          <w:rtl/>
        </w:rPr>
        <w:t xml:space="preserve"> </w:t>
      </w:r>
      <w:r w:rsidR="00346C8B" w:rsidRPr="00FD211F">
        <w:rPr>
          <w:sz w:val="36"/>
          <w:szCs w:val="36"/>
          <w:rtl/>
        </w:rPr>
        <w:t>مفهوم</w:t>
      </w:r>
      <w:r w:rsidR="00E8128F">
        <w:rPr>
          <w:sz w:val="36"/>
          <w:szCs w:val="36"/>
          <w:rtl/>
        </w:rPr>
        <w:t xml:space="preserve"> </w:t>
      </w:r>
      <w:r w:rsidR="00346C8B" w:rsidRPr="00FD211F">
        <w:rPr>
          <w:sz w:val="36"/>
          <w:szCs w:val="36"/>
          <w:rtl/>
        </w:rPr>
        <w:t>اسمي</w:t>
      </w:r>
      <w:r w:rsidR="00603323" w:rsidRPr="00FD211F">
        <w:rPr>
          <w:sz w:val="36"/>
          <w:szCs w:val="36"/>
          <w:rtl/>
        </w:rPr>
        <w:t>،</w:t>
      </w:r>
      <w:r w:rsidR="00E8128F">
        <w:rPr>
          <w:sz w:val="36"/>
          <w:szCs w:val="36"/>
          <w:rtl/>
        </w:rPr>
        <w:t xml:space="preserve"> </w:t>
      </w:r>
      <w:r w:rsidR="00242A59" w:rsidRPr="00FD211F">
        <w:rPr>
          <w:sz w:val="36"/>
          <w:szCs w:val="36"/>
          <w:rtl/>
        </w:rPr>
        <w:t>ودون</w:t>
      </w:r>
      <w:r w:rsidR="00E8128F">
        <w:rPr>
          <w:sz w:val="36"/>
          <w:szCs w:val="36"/>
          <w:rtl/>
        </w:rPr>
        <w:t xml:space="preserve"> </w:t>
      </w:r>
      <w:r w:rsidR="00242A59" w:rsidRPr="00FD211F">
        <w:rPr>
          <w:sz w:val="36"/>
          <w:szCs w:val="36"/>
          <w:rtl/>
        </w:rPr>
        <w:t>مصداق</w:t>
      </w:r>
      <w:r w:rsidR="00E8128F">
        <w:rPr>
          <w:sz w:val="36"/>
          <w:szCs w:val="36"/>
          <w:rtl/>
        </w:rPr>
        <w:t xml:space="preserve"> </w:t>
      </w:r>
      <w:r w:rsidR="00242A59" w:rsidRPr="00FD211F">
        <w:rPr>
          <w:sz w:val="36"/>
          <w:szCs w:val="36"/>
          <w:rtl/>
        </w:rPr>
        <w:t>ابراز</w:t>
      </w:r>
      <w:r w:rsidR="00E8128F">
        <w:rPr>
          <w:sz w:val="36"/>
          <w:szCs w:val="36"/>
          <w:rtl/>
        </w:rPr>
        <w:t xml:space="preserve"> </w:t>
      </w:r>
      <w:r w:rsidR="00242A59" w:rsidRPr="00FD211F">
        <w:rPr>
          <w:sz w:val="36"/>
          <w:szCs w:val="36"/>
          <w:rtl/>
        </w:rPr>
        <w:t>التمني</w:t>
      </w:r>
      <w:r w:rsidR="00603323" w:rsidRPr="00FD211F">
        <w:rPr>
          <w:sz w:val="36"/>
          <w:szCs w:val="36"/>
          <w:rtl/>
        </w:rPr>
        <w:t>،</w:t>
      </w:r>
      <w:r w:rsidR="00E8128F">
        <w:rPr>
          <w:sz w:val="36"/>
          <w:szCs w:val="36"/>
          <w:rtl/>
        </w:rPr>
        <w:t xml:space="preserve"> </w:t>
      </w:r>
      <w:r w:rsidR="00242A59" w:rsidRPr="00FD211F">
        <w:rPr>
          <w:sz w:val="36"/>
          <w:szCs w:val="36"/>
          <w:rtl/>
        </w:rPr>
        <w:t>فانه</w:t>
      </w:r>
      <w:r w:rsidR="00E8128F">
        <w:rPr>
          <w:sz w:val="36"/>
          <w:szCs w:val="36"/>
          <w:rtl/>
        </w:rPr>
        <w:t xml:space="preserve"> </w:t>
      </w:r>
      <w:r w:rsidR="00346C8B" w:rsidRPr="00FD211F">
        <w:rPr>
          <w:sz w:val="36"/>
          <w:szCs w:val="36"/>
          <w:rtl/>
        </w:rPr>
        <w:t>لو</w:t>
      </w:r>
      <w:r w:rsidR="00E8128F">
        <w:rPr>
          <w:sz w:val="36"/>
          <w:szCs w:val="36"/>
          <w:rtl/>
        </w:rPr>
        <w:t xml:space="preserve"> </w:t>
      </w:r>
      <w:r w:rsidR="00346C8B" w:rsidRPr="00FD211F">
        <w:rPr>
          <w:sz w:val="36"/>
          <w:szCs w:val="36"/>
          <w:rtl/>
        </w:rPr>
        <w:t>سُمع</w:t>
      </w:r>
      <w:r w:rsidR="00E8128F">
        <w:rPr>
          <w:sz w:val="36"/>
          <w:szCs w:val="36"/>
          <w:rtl/>
        </w:rPr>
        <w:t xml:space="preserve"> </w:t>
      </w:r>
      <w:r w:rsidR="00346C8B" w:rsidRPr="00FD211F">
        <w:rPr>
          <w:sz w:val="36"/>
          <w:szCs w:val="36"/>
          <w:rtl/>
        </w:rPr>
        <w:t>حرف</w:t>
      </w:r>
      <w:r w:rsidR="00E8128F">
        <w:rPr>
          <w:sz w:val="36"/>
          <w:szCs w:val="36"/>
          <w:rtl/>
        </w:rPr>
        <w:t xml:space="preserve"> </w:t>
      </w:r>
      <w:r w:rsidR="00346C8B" w:rsidRPr="00FD211F">
        <w:rPr>
          <w:sz w:val="36"/>
          <w:szCs w:val="36"/>
          <w:rtl/>
        </w:rPr>
        <w:t>"</w:t>
      </w:r>
      <w:r w:rsidR="00D9118C" w:rsidRPr="00FD211F">
        <w:rPr>
          <w:sz w:val="36"/>
          <w:szCs w:val="36"/>
          <w:rtl/>
        </w:rPr>
        <w:t>ليت</w:t>
      </w:r>
      <w:r w:rsidR="00346C8B" w:rsidRPr="00FD211F">
        <w:rPr>
          <w:sz w:val="36"/>
          <w:szCs w:val="36"/>
          <w:rtl/>
        </w:rPr>
        <w:t>"</w:t>
      </w:r>
      <w:r w:rsidR="00E8128F">
        <w:rPr>
          <w:sz w:val="36"/>
          <w:szCs w:val="36"/>
          <w:rtl/>
        </w:rPr>
        <w:t xml:space="preserve"> </w:t>
      </w:r>
      <w:r w:rsidR="00D9118C" w:rsidRPr="00FD211F">
        <w:rPr>
          <w:sz w:val="36"/>
          <w:szCs w:val="36"/>
          <w:rtl/>
        </w:rPr>
        <w:t>من</w:t>
      </w:r>
      <w:r w:rsidR="00E8128F">
        <w:rPr>
          <w:sz w:val="36"/>
          <w:szCs w:val="36"/>
          <w:rtl/>
        </w:rPr>
        <w:t xml:space="preserve"> </w:t>
      </w:r>
      <w:r w:rsidR="00346C8B" w:rsidRPr="00FD211F">
        <w:rPr>
          <w:sz w:val="36"/>
          <w:szCs w:val="36"/>
          <w:rtl/>
        </w:rPr>
        <w:t>متكلم</w:t>
      </w:r>
      <w:r w:rsidR="00E8128F">
        <w:rPr>
          <w:sz w:val="36"/>
          <w:szCs w:val="36"/>
          <w:rtl/>
        </w:rPr>
        <w:t xml:space="preserve"> </w:t>
      </w:r>
      <w:r w:rsidR="00346C8B" w:rsidRPr="00FD211F">
        <w:rPr>
          <w:sz w:val="36"/>
          <w:szCs w:val="36"/>
          <w:rtl/>
        </w:rPr>
        <w:t>غير</w:t>
      </w:r>
      <w:r w:rsidR="00E8128F">
        <w:rPr>
          <w:sz w:val="36"/>
          <w:szCs w:val="36"/>
          <w:rtl/>
        </w:rPr>
        <w:t xml:space="preserve"> </w:t>
      </w:r>
      <w:r w:rsidR="00346C8B" w:rsidRPr="00FD211F">
        <w:rPr>
          <w:sz w:val="36"/>
          <w:szCs w:val="36"/>
          <w:rtl/>
        </w:rPr>
        <w:t>ملتفت</w:t>
      </w:r>
      <w:r w:rsidR="00E8128F">
        <w:rPr>
          <w:sz w:val="36"/>
          <w:szCs w:val="36"/>
          <w:rtl/>
        </w:rPr>
        <w:t xml:space="preserve"> </w:t>
      </w:r>
      <w:r w:rsidR="00346C8B" w:rsidRPr="00FD211F">
        <w:rPr>
          <w:sz w:val="36"/>
          <w:szCs w:val="36"/>
          <w:rtl/>
        </w:rPr>
        <w:t>كالنائم</w:t>
      </w:r>
      <w:r w:rsidR="00E8128F">
        <w:rPr>
          <w:sz w:val="36"/>
          <w:szCs w:val="36"/>
          <w:rtl/>
        </w:rPr>
        <w:t xml:space="preserve"> </w:t>
      </w:r>
      <w:r w:rsidR="00D9118C" w:rsidRPr="00FD211F">
        <w:rPr>
          <w:sz w:val="36"/>
          <w:szCs w:val="36"/>
          <w:rtl/>
        </w:rPr>
        <w:t>لخطر</w:t>
      </w:r>
      <w:r w:rsidR="00E8128F">
        <w:rPr>
          <w:sz w:val="36"/>
          <w:szCs w:val="36"/>
          <w:rtl/>
        </w:rPr>
        <w:t xml:space="preserve"> </w:t>
      </w:r>
      <w:r w:rsidR="00346C8B" w:rsidRPr="00FD211F">
        <w:rPr>
          <w:sz w:val="36"/>
          <w:szCs w:val="36"/>
          <w:rtl/>
        </w:rPr>
        <w:t>بذهن</w:t>
      </w:r>
      <w:r w:rsidR="00E8128F">
        <w:rPr>
          <w:sz w:val="36"/>
          <w:szCs w:val="36"/>
          <w:rtl/>
        </w:rPr>
        <w:t xml:space="preserve"> </w:t>
      </w:r>
      <w:r w:rsidR="00D9118C" w:rsidRPr="00FD211F">
        <w:rPr>
          <w:sz w:val="36"/>
          <w:szCs w:val="36"/>
          <w:rtl/>
        </w:rPr>
        <w:t>السامع</w:t>
      </w:r>
      <w:r w:rsidR="00E8128F">
        <w:rPr>
          <w:sz w:val="36"/>
          <w:szCs w:val="36"/>
          <w:rtl/>
        </w:rPr>
        <w:t xml:space="preserve"> </w:t>
      </w:r>
      <w:r w:rsidR="00346C8B" w:rsidRPr="00FD211F">
        <w:rPr>
          <w:sz w:val="36"/>
          <w:szCs w:val="36"/>
          <w:rtl/>
        </w:rPr>
        <w:t>هذه</w:t>
      </w:r>
      <w:r w:rsidR="00E8128F">
        <w:rPr>
          <w:sz w:val="36"/>
          <w:szCs w:val="36"/>
          <w:rtl/>
        </w:rPr>
        <w:t xml:space="preserve"> </w:t>
      </w:r>
      <w:r w:rsidR="00346C8B" w:rsidRPr="00FD211F">
        <w:rPr>
          <w:sz w:val="36"/>
          <w:szCs w:val="36"/>
          <w:rtl/>
        </w:rPr>
        <w:t>ال</w:t>
      </w:r>
      <w:r w:rsidR="00F035E8" w:rsidRPr="00FD211F">
        <w:rPr>
          <w:sz w:val="36"/>
          <w:szCs w:val="36"/>
          <w:rtl/>
        </w:rPr>
        <w:t>صور</w:t>
      </w:r>
      <w:r w:rsidR="00EC7EDF" w:rsidRPr="00FD211F">
        <w:rPr>
          <w:sz w:val="36"/>
          <w:szCs w:val="36"/>
          <w:rtl/>
        </w:rPr>
        <w:t>ة</w:t>
      </w:r>
      <w:r w:rsidR="00603323" w:rsidRPr="00FD211F">
        <w:rPr>
          <w:sz w:val="36"/>
          <w:szCs w:val="36"/>
          <w:rtl/>
        </w:rPr>
        <w:t>،</w:t>
      </w:r>
      <w:r w:rsidR="00E8128F">
        <w:rPr>
          <w:sz w:val="36"/>
          <w:szCs w:val="36"/>
          <w:rtl/>
        </w:rPr>
        <w:t xml:space="preserve"> </w:t>
      </w:r>
      <w:r w:rsidR="00346C8B" w:rsidRPr="00FD211F">
        <w:rPr>
          <w:sz w:val="36"/>
          <w:szCs w:val="36"/>
          <w:rtl/>
        </w:rPr>
        <w:t>مع</w:t>
      </w:r>
      <w:r w:rsidR="00E8128F">
        <w:rPr>
          <w:sz w:val="36"/>
          <w:szCs w:val="36"/>
          <w:rtl/>
        </w:rPr>
        <w:t xml:space="preserve"> </w:t>
      </w:r>
      <w:r w:rsidR="00346C8B" w:rsidRPr="00FD211F">
        <w:rPr>
          <w:sz w:val="36"/>
          <w:szCs w:val="36"/>
          <w:rtl/>
        </w:rPr>
        <w:t>أنه</w:t>
      </w:r>
      <w:r w:rsidR="00E8128F">
        <w:rPr>
          <w:sz w:val="36"/>
          <w:szCs w:val="36"/>
          <w:rtl/>
        </w:rPr>
        <w:t xml:space="preserve"> </w:t>
      </w:r>
      <w:r w:rsidR="00346C8B" w:rsidRPr="00FD211F">
        <w:rPr>
          <w:sz w:val="36"/>
          <w:szCs w:val="36"/>
          <w:rtl/>
        </w:rPr>
        <w:t>لم</w:t>
      </w:r>
      <w:r w:rsidR="00E8128F">
        <w:rPr>
          <w:sz w:val="36"/>
          <w:szCs w:val="36"/>
          <w:rtl/>
        </w:rPr>
        <w:t xml:space="preserve"> </w:t>
      </w:r>
      <w:r w:rsidR="00346C8B" w:rsidRPr="00FD211F">
        <w:rPr>
          <w:sz w:val="36"/>
          <w:szCs w:val="36"/>
          <w:rtl/>
        </w:rPr>
        <w:t>يوجد</w:t>
      </w:r>
      <w:r w:rsidR="00E8128F">
        <w:rPr>
          <w:sz w:val="36"/>
          <w:szCs w:val="36"/>
          <w:rtl/>
        </w:rPr>
        <w:t xml:space="preserve"> </w:t>
      </w:r>
      <w:r w:rsidR="00346C8B" w:rsidRPr="00FD211F">
        <w:rPr>
          <w:sz w:val="36"/>
          <w:szCs w:val="36"/>
          <w:rtl/>
        </w:rPr>
        <w:t>مصداق</w:t>
      </w:r>
      <w:r w:rsidR="00E8128F">
        <w:rPr>
          <w:sz w:val="36"/>
          <w:szCs w:val="36"/>
          <w:rtl/>
        </w:rPr>
        <w:t xml:space="preserve"> </w:t>
      </w:r>
      <w:r w:rsidR="00346C8B" w:rsidRPr="00FD211F">
        <w:rPr>
          <w:sz w:val="36"/>
          <w:szCs w:val="36"/>
          <w:rtl/>
        </w:rPr>
        <w:t>ابراز</w:t>
      </w:r>
      <w:r w:rsidR="00E8128F">
        <w:rPr>
          <w:sz w:val="36"/>
          <w:szCs w:val="36"/>
          <w:rtl/>
        </w:rPr>
        <w:t xml:space="preserve"> </w:t>
      </w:r>
      <w:r w:rsidR="00346C8B" w:rsidRPr="00FD211F">
        <w:rPr>
          <w:sz w:val="36"/>
          <w:szCs w:val="36"/>
          <w:rtl/>
        </w:rPr>
        <w:t>التمني</w:t>
      </w:r>
      <w:r w:rsidR="00603323" w:rsidRPr="00FD211F">
        <w:rPr>
          <w:sz w:val="36"/>
          <w:szCs w:val="36"/>
          <w:rtl/>
        </w:rPr>
        <w:t>،</w:t>
      </w:r>
      <w:r w:rsidR="00E8128F">
        <w:rPr>
          <w:sz w:val="36"/>
          <w:szCs w:val="36"/>
          <w:rtl/>
        </w:rPr>
        <w:t xml:space="preserve"> </w:t>
      </w:r>
      <w:r w:rsidR="00184DAB" w:rsidRPr="00FD211F">
        <w:rPr>
          <w:sz w:val="36"/>
          <w:szCs w:val="36"/>
          <w:rtl/>
        </w:rPr>
        <w:t>و</w:t>
      </w:r>
      <w:r w:rsidR="00C97D90" w:rsidRPr="00FD211F">
        <w:rPr>
          <w:sz w:val="36"/>
          <w:szCs w:val="36"/>
          <w:rtl/>
        </w:rPr>
        <w:t>سيأتي</w:t>
      </w:r>
      <w:r w:rsidR="00E8128F">
        <w:rPr>
          <w:sz w:val="36"/>
          <w:szCs w:val="36"/>
          <w:rtl/>
        </w:rPr>
        <w:t xml:space="preserve"> </w:t>
      </w:r>
      <w:r w:rsidR="00C97D90" w:rsidRPr="00FD211F">
        <w:rPr>
          <w:sz w:val="36"/>
          <w:szCs w:val="36"/>
          <w:rtl/>
        </w:rPr>
        <w:t>تكميل</w:t>
      </w:r>
      <w:r w:rsidR="00E8128F">
        <w:rPr>
          <w:sz w:val="36"/>
          <w:szCs w:val="36"/>
          <w:rtl/>
        </w:rPr>
        <w:t xml:space="preserve"> </w:t>
      </w:r>
      <w:r w:rsidR="00C97D90" w:rsidRPr="00FD211F">
        <w:rPr>
          <w:sz w:val="36"/>
          <w:szCs w:val="36"/>
          <w:rtl/>
        </w:rPr>
        <w:t>هذا</w:t>
      </w:r>
      <w:r w:rsidR="00E8128F">
        <w:rPr>
          <w:sz w:val="36"/>
          <w:szCs w:val="36"/>
          <w:rtl/>
        </w:rPr>
        <w:t xml:space="preserve"> </w:t>
      </w:r>
      <w:r w:rsidR="00C97D90" w:rsidRPr="00FD211F">
        <w:rPr>
          <w:sz w:val="36"/>
          <w:szCs w:val="36"/>
          <w:rtl/>
        </w:rPr>
        <w:t>البحث</w:t>
      </w:r>
      <w:r w:rsidR="00E8128F">
        <w:rPr>
          <w:sz w:val="36"/>
          <w:szCs w:val="36"/>
          <w:rtl/>
        </w:rPr>
        <w:t xml:space="preserve"> </w:t>
      </w:r>
      <w:r w:rsidR="00C97D90" w:rsidRPr="00FD211F">
        <w:rPr>
          <w:sz w:val="36"/>
          <w:szCs w:val="36"/>
          <w:rtl/>
        </w:rPr>
        <w:t>قريبا</w:t>
      </w:r>
      <w:r w:rsidR="00E8128F">
        <w:rPr>
          <w:sz w:val="36"/>
          <w:szCs w:val="36"/>
          <w:rtl/>
        </w:rPr>
        <w:t xml:space="preserve"> </w:t>
      </w:r>
      <w:r w:rsidR="00C97D90" w:rsidRPr="00FD211F">
        <w:rPr>
          <w:sz w:val="36"/>
          <w:szCs w:val="36"/>
          <w:rtl/>
        </w:rPr>
        <w:t>في</w:t>
      </w:r>
      <w:r w:rsidR="00E8128F">
        <w:rPr>
          <w:sz w:val="36"/>
          <w:szCs w:val="36"/>
          <w:rtl/>
        </w:rPr>
        <w:t xml:space="preserve"> </w:t>
      </w:r>
      <w:r w:rsidR="00C97D90" w:rsidRPr="00FD211F">
        <w:rPr>
          <w:sz w:val="36"/>
          <w:szCs w:val="36"/>
          <w:rtl/>
        </w:rPr>
        <w:t>الكلام</w:t>
      </w:r>
      <w:r w:rsidR="00E8128F">
        <w:rPr>
          <w:sz w:val="36"/>
          <w:szCs w:val="36"/>
          <w:rtl/>
        </w:rPr>
        <w:t xml:space="preserve"> </w:t>
      </w:r>
      <w:r w:rsidR="00C97D90" w:rsidRPr="00FD211F">
        <w:rPr>
          <w:sz w:val="36"/>
          <w:szCs w:val="36"/>
          <w:rtl/>
        </w:rPr>
        <w:t>حول</w:t>
      </w:r>
      <w:r w:rsidR="00E8128F">
        <w:rPr>
          <w:sz w:val="36"/>
          <w:szCs w:val="36"/>
          <w:rtl/>
        </w:rPr>
        <w:t xml:space="preserve"> </w:t>
      </w:r>
      <w:r w:rsidR="00C97D90" w:rsidRPr="00FD211F">
        <w:rPr>
          <w:sz w:val="36"/>
          <w:szCs w:val="36"/>
          <w:rtl/>
        </w:rPr>
        <w:t>دلال</w:t>
      </w:r>
      <w:r w:rsidR="00EC7EDF" w:rsidRPr="00FD211F">
        <w:rPr>
          <w:sz w:val="36"/>
          <w:szCs w:val="36"/>
          <w:rtl/>
        </w:rPr>
        <w:t>ة</w:t>
      </w:r>
      <w:r w:rsidR="00E8128F">
        <w:rPr>
          <w:sz w:val="36"/>
          <w:szCs w:val="36"/>
          <w:rtl/>
        </w:rPr>
        <w:t xml:space="preserve"> </w:t>
      </w:r>
      <w:r w:rsidR="00C97D90" w:rsidRPr="00FD211F">
        <w:rPr>
          <w:sz w:val="36"/>
          <w:szCs w:val="36"/>
          <w:rtl/>
        </w:rPr>
        <w:t>الفعل</w:t>
      </w:r>
      <w:r w:rsidR="00E8128F">
        <w:rPr>
          <w:sz w:val="36"/>
          <w:szCs w:val="36"/>
          <w:rtl/>
        </w:rPr>
        <w:t xml:space="preserve"> </w:t>
      </w:r>
      <w:r w:rsidR="00C97D90" w:rsidRPr="00FD211F">
        <w:rPr>
          <w:sz w:val="36"/>
          <w:szCs w:val="36"/>
          <w:rtl/>
        </w:rPr>
        <w:t>الماضي</w:t>
      </w:r>
      <w:r w:rsidR="00E8128F">
        <w:rPr>
          <w:sz w:val="36"/>
          <w:szCs w:val="36"/>
          <w:rtl/>
        </w:rPr>
        <w:t xml:space="preserve"> </w:t>
      </w:r>
      <w:r w:rsidR="00C97D90" w:rsidRPr="00FD211F">
        <w:rPr>
          <w:sz w:val="36"/>
          <w:szCs w:val="36"/>
          <w:rtl/>
        </w:rPr>
        <w:t>او</w:t>
      </w:r>
      <w:r w:rsidR="00E8128F">
        <w:rPr>
          <w:sz w:val="36"/>
          <w:szCs w:val="36"/>
          <w:rtl/>
        </w:rPr>
        <w:t xml:space="preserve"> </w:t>
      </w:r>
      <w:r w:rsidR="00C97D90" w:rsidRPr="00FD211F">
        <w:rPr>
          <w:sz w:val="36"/>
          <w:szCs w:val="36"/>
          <w:rtl/>
        </w:rPr>
        <w:t>المضارع</w:t>
      </w:r>
      <w:r w:rsidR="00E8128F">
        <w:rPr>
          <w:sz w:val="36"/>
          <w:szCs w:val="36"/>
          <w:rtl/>
        </w:rPr>
        <w:t xml:space="preserve"> </w:t>
      </w:r>
      <w:r w:rsidR="00C97D90" w:rsidRPr="00FD211F">
        <w:rPr>
          <w:sz w:val="36"/>
          <w:szCs w:val="36"/>
          <w:rtl/>
        </w:rPr>
        <w:t>على</w:t>
      </w:r>
      <w:r w:rsidR="00E8128F">
        <w:rPr>
          <w:sz w:val="36"/>
          <w:szCs w:val="36"/>
          <w:rtl/>
        </w:rPr>
        <w:t xml:space="preserve"> </w:t>
      </w:r>
      <w:r w:rsidR="00C97D90" w:rsidRPr="00FD211F">
        <w:rPr>
          <w:sz w:val="36"/>
          <w:szCs w:val="36"/>
          <w:rtl/>
        </w:rPr>
        <w:t>الزمان</w:t>
      </w:r>
      <w:r w:rsidR="00EC7EDF" w:rsidRPr="00FD211F">
        <w:rPr>
          <w:sz w:val="36"/>
          <w:szCs w:val="36"/>
          <w:rtl/>
        </w:rPr>
        <w:t>.</w:t>
      </w:r>
    </w:p>
    <w:p w14:paraId="0878FE81" w14:textId="77777777" w:rsidR="00242A59" w:rsidRPr="00FD211F" w:rsidRDefault="00D9118C" w:rsidP="009C58C8">
      <w:pPr>
        <w:ind w:left="0" w:firstLine="227"/>
        <w:jc w:val="both"/>
        <w:rPr>
          <w:sz w:val="36"/>
          <w:szCs w:val="36"/>
          <w:rtl/>
        </w:rPr>
      </w:pPr>
      <w:r w:rsidRPr="00FD211F">
        <w:rPr>
          <w:sz w:val="36"/>
          <w:szCs w:val="36"/>
          <w:rtl/>
        </w:rPr>
        <w:t>واما</w:t>
      </w:r>
      <w:r w:rsidR="00E8128F">
        <w:rPr>
          <w:sz w:val="36"/>
          <w:szCs w:val="36"/>
          <w:rtl/>
        </w:rPr>
        <w:t xml:space="preserve"> </w:t>
      </w:r>
      <w:r w:rsidRPr="00FD211F">
        <w:rPr>
          <w:sz w:val="36"/>
          <w:szCs w:val="36"/>
          <w:rtl/>
        </w:rPr>
        <w:t>الإيراد</w:t>
      </w:r>
      <w:r w:rsidR="00E8128F">
        <w:rPr>
          <w:sz w:val="36"/>
          <w:szCs w:val="36"/>
          <w:rtl/>
        </w:rPr>
        <w:t xml:space="preserve"> </w:t>
      </w:r>
      <w:r w:rsidRPr="00FD211F">
        <w:rPr>
          <w:sz w:val="36"/>
          <w:szCs w:val="36"/>
          <w:rtl/>
        </w:rPr>
        <w:t>الأخير</w:t>
      </w:r>
      <w:r w:rsidR="00E8128F">
        <w:rPr>
          <w:sz w:val="36"/>
          <w:szCs w:val="36"/>
          <w:rtl/>
        </w:rPr>
        <w:t xml:space="preserve"> </w:t>
      </w:r>
      <w:r w:rsidR="005C5FD5" w:rsidRPr="00FD211F">
        <w:rPr>
          <w:sz w:val="36"/>
          <w:szCs w:val="36"/>
          <w:rtl/>
        </w:rPr>
        <w:t>الذي</w:t>
      </w:r>
      <w:r w:rsidR="00E8128F">
        <w:rPr>
          <w:sz w:val="36"/>
          <w:szCs w:val="36"/>
          <w:rtl/>
        </w:rPr>
        <w:t xml:space="preserve"> </w:t>
      </w:r>
      <w:r w:rsidR="005C5FD5" w:rsidRPr="00FD211F">
        <w:rPr>
          <w:sz w:val="36"/>
          <w:szCs w:val="36"/>
          <w:rtl/>
        </w:rPr>
        <w:t>ذكره</w:t>
      </w:r>
      <w:r w:rsidR="00E8128F">
        <w:rPr>
          <w:sz w:val="36"/>
          <w:szCs w:val="36"/>
          <w:rtl/>
        </w:rPr>
        <w:t xml:space="preserve"> </w:t>
      </w:r>
      <w:r w:rsidR="005C5FD5" w:rsidRPr="00FD211F">
        <w:rPr>
          <w:sz w:val="36"/>
          <w:szCs w:val="36"/>
          <w:rtl/>
        </w:rPr>
        <w:t>المحقق</w:t>
      </w:r>
      <w:r w:rsidR="00E8128F">
        <w:rPr>
          <w:sz w:val="36"/>
          <w:szCs w:val="36"/>
          <w:rtl/>
        </w:rPr>
        <w:t xml:space="preserve"> </w:t>
      </w:r>
      <w:r w:rsidR="005C5FD5" w:rsidRPr="00FD211F">
        <w:rPr>
          <w:sz w:val="36"/>
          <w:szCs w:val="36"/>
          <w:rtl/>
        </w:rPr>
        <w:t>الاصفهاني</w:t>
      </w:r>
      <w:r w:rsidR="00E8128F">
        <w:rPr>
          <w:sz w:val="36"/>
          <w:szCs w:val="36"/>
          <w:rtl/>
        </w:rPr>
        <w:t xml:space="preserve"> </w:t>
      </w:r>
      <w:r w:rsidR="00184DAB" w:rsidRPr="00FD211F">
        <w:rPr>
          <w:sz w:val="36"/>
          <w:szCs w:val="36"/>
          <w:rtl/>
        </w:rPr>
        <w:t>"</w:t>
      </w:r>
      <w:r w:rsidR="005C5FD5" w:rsidRPr="00FD211F">
        <w:rPr>
          <w:sz w:val="36"/>
          <w:szCs w:val="36"/>
          <w:rtl/>
        </w:rPr>
        <w:t>قده</w:t>
      </w:r>
      <w:r w:rsidR="00184DAB" w:rsidRPr="00FD211F">
        <w:rPr>
          <w:sz w:val="36"/>
          <w:szCs w:val="36"/>
          <w:rtl/>
        </w:rPr>
        <w:t>"</w:t>
      </w:r>
      <w:r w:rsidR="00E8128F">
        <w:rPr>
          <w:sz w:val="36"/>
          <w:szCs w:val="36"/>
          <w:rtl/>
        </w:rPr>
        <w:t xml:space="preserve"> </w:t>
      </w:r>
      <w:r w:rsidR="005C5FD5" w:rsidRPr="00FD211F">
        <w:rPr>
          <w:sz w:val="36"/>
          <w:szCs w:val="36"/>
          <w:rtl/>
        </w:rPr>
        <w:t>ايضا</w:t>
      </w:r>
      <w:r w:rsidR="00E8128F">
        <w:rPr>
          <w:sz w:val="36"/>
          <w:szCs w:val="36"/>
          <w:rtl/>
        </w:rPr>
        <w:t xml:space="preserve"> </w:t>
      </w:r>
      <w:r w:rsidR="005C5FD5" w:rsidRPr="00FD211F">
        <w:rPr>
          <w:sz w:val="36"/>
          <w:szCs w:val="36"/>
          <w:rtl/>
        </w:rPr>
        <w:t>–من</w:t>
      </w:r>
      <w:r w:rsidR="00E8128F">
        <w:rPr>
          <w:sz w:val="36"/>
          <w:szCs w:val="36"/>
          <w:rtl/>
        </w:rPr>
        <w:t xml:space="preserve"> </w:t>
      </w:r>
      <w:r w:rsidR="005C5FD5" w:rsidRPr="00FD211F">
        <w:rPr>
          <w:sz w:val="36"/>
          <w:szCs w:val="36"/>
          <w:rtl/>
        </w:rPr>
        <w:t>ان</w:t>
      </w:r>
      <w:r w:rsidR="00E8128F">
        <w:rPr>
          <w:sz w:val="36"/>
          <w:szCs w:val="36"/>
          <w:rtl/>
        </w:rPr>
        <w:t xml:space="preserve"> </w:t>
      </w:r>
      <w:r w:rsidRPr="00FD211F">
        <w:rPr>
          <w:sz w:val="36"/>
          <w:szCs w:val="36"/>
          <w:rtl/>
        </w:rPr>
        <w:t>أخذ</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الإسناد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مدلول</w:t>
      </w:r>
      <w:r w:rsidR="00E8128F">
        <w:rPr>
          <w:sz w:val="36"/>
          <w:szCs w:val="36"/>
          <w:rtl/>
        </w:rPr>
        <w:t xml:space="preserve"> </w:t>
      </w:r>
      <w:r w:rsidRPr="00FD211F">
        <w:rPr>
          <w:sz w:val="36"/>
          <w:szCs w:val="36"/>
          <w:rtl/>
        </w:rPr>
        <w:t>المشتق</w:t>
      </w:r>
      <w:r w:rsidR="00E8128F">
        <w:rPr>
          <w:sz w:val="36"/>
          <w:szCs w:val="36"/>
          <w:rtl/>
        </w:rPr>
        <w:t xml:space="preserve"> </w:t>
      </w:r>
      <w:r w:rsidR="005C5FD5" w:rsidRPr="00FD211F">
        <w:rPr>
          <w:sz w:val="36"/>
          <w:szCs w:val="36"/>
          <w:rtl/>
        </w:rPr>
        <w:t>يستلزم</w:t>
      </w:r>
      <w:r w:rsidR="00E8128F">
        <w:rPr>
          <w:sz w:val="36"/>
          <w:szCs w:val="36"/>
          <w:rtl/>
        </w:rPr>
        <w:t xml:space="preserve"> </w:t>
      </w:r>
      <w:r w:rsidR="005C5FD5" w:rsidRPr="00FD211F">
        <w:rPr>
          <w:sz w:val="36"/>
          <w:szCs w:val="36"/>
          <w:rtl/>
        </w:rPr>
        <w:t>الخلف-</w:t>
      </w:r>
      <w:r w:rsidR="00E8128F">
        <w:rPr>
          <w:sz w:val="36"/>
          <w:szCs w:val="36"/>
          <w:rtl/>
        </w:rPr>
        <w:t xml:space="preserve"> </w:t>
      </w:r>
      <w:r w:rsidRPr="00FD211F">
        <w:rPr>
          <w:sz w:val="36"/>
          <w:szCs w:val="36"/>
          <w:rtl/>
        </w:rPr>
        <w:t>ففيه</w:t>
      </w:r>
      <w:r w:rsidR="00E8128F">
        <w:rPr>
          <w:sz w:val="36"/>
          <w:szCs w:val="36"/>
          <w:rtl/>
        </w:rPr>
        <w:t xml:space="preserve"> </w:t>
      </w:r>
      <w:r w:rsidR="005C5FD5" w:rsidRPr="00FD211F">
        <w:rPr>
          <w:b/>
          <w:bCs/>
          <w:sz w:val="36"/>
          <w:szCs w:val="36"/>
          <w:rtl/>
        </w:rPr>
        <w:t>اولاً</w:t>
      </w:r>
      <w:r w:rsidR="00242A59" w:rsidRPr="00FD211F">
        <w:rPr>
          <w:b/>
          <w:bCs/>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يؤخذ</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مدلول</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تقيده</w:t>
      </w:r>
      <w:r w:rsidR="00E8128F">
        <w:rPr>
          <w:sz w:val="36"/>
          <w:szCs w:val="36"/>
          <w:rtl/>
        </w:rPr>
        <w:t xml:space="preserve"> </w:t>
      </w:r>
      <w:r w:rsidRPr="00FD211F">
        <w:rPr>
          <w:sz w:val="36"/>
          <w:szCs w:val="36"/>
          <w:rtl/>
        </w:rPr>
        <w:t>بصور</w:t>
      </w:r>
      <w:r w:rsidR="00EC7EDF" w:rsidRPr="00FD211F">
        <w:rPr>
          <w:sz w:val="36"/>
          <w:szCs w:val="36"/>
          <w:rtl/>
        </w:rPr>
        <w:t>ة</w:t>
      </w:r>
      <w:r w:rsidR="00E8128F">
        <w:rPr>
          <w:sz w:val="36"/>
          <w:szCs w:val="36"/>
          <w:rtl/>
        </w:rPr>
        <w:t xml:space="preserve"> </w:t>
      </w:r>
      <w:r w:rsidRPr="00FD211F">
        <w:rPr>
          <w:sz w:val="36"/>
          <w:szCs w:val="36"/>
          <w:rtl/>
        </w:rPr>
        <w:t>واقع</w:t>
      </w:r>
      <w:r w:rsidR="00E8128F">
        <w:rPr>
          <w:sz w:val="36"/>
          <w:szCs w:val="36"/>
          <w:rtl/>
        </w:rPr>
        <w:t xml:space="preserve"> </w:t>
      </w:r>
      <w:r w:rsidRPr="00FD211F">
        <w:rPr>
          <w:sz w:val="36"/>
          <w:szCs w:val="36"/>
          <w:rtl/>
        </w:rPr>
        <w:t>الإسناد</w:t>
      </w:r>
      <w:r w:rsidR="00603323" w:rsidRPr="00FD211F">
        <w:rPr>
          <w:sz w:val="36"/>
          <w:szCs w:val="36"/>
          <w:rtl/>
        </w:rPr>
        <w:t>،</w:t>
      </w:r>
      <w:r w:rsidR="00E8128F">
        <w:rPr>
          <w:sz w:val="36"/>
          <w:szCs w:val="36"/>
          <w:rtl/>
        </w:rPr>
        <w:t xml:space="preserve"> </w:t>
      </w:r>
      <w:r w:rsidRPr="00FD211F">
        <w:rPr>
          <w:sz w:val="36"/>
          <w:szCs w:val="36"/>
          <w:rtl/>
        </w:rPr>
        <w:t>وما</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متأخرا</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تحقق</w:t>
      </w:r>
      <w:r w:rsidR="00E8128F">
        <w:rPr>
          <w:sz w:val="36"/>
          <w:szCs w:val="36"/>
          <w:rtl/>
        </w:rPr>
        <w:t xml:space="preserve"> </w:t>
      </w:r>
      <w:r w:rsidRPr="00FD211F">
        <w:rPr>
          <w:sz w:val="36"/>
          <w:szCs w:val="36"/>
          <w:rtl/>
        </w:rPr>
        <w:t>الإسناد</w:t>
      </w:r>
      <w:r w:rsidR="00E8128F">
        <w:rPr>
          <w:sz w:val="36"/>
          <w:szCs w:val="36"/>
          <w:rtl/>
        </w:rPr>
        <w:t xml:space="preserve"> </w:t>
      </w:r>
      <w:r w:rsidRPr="00FD211F">
        <w:rPr>
          <w:sz w:val="36"/>
          <w:szCs w:val="36"/>
          <w:rtl/>
        </w:rPr>
        <w:t>خارجا</w:t>
      </w:r>
      <w:r w:rsidR="00C774D9" w:rsidRPr="00FD211F">
        <w:rPr>
          <w:sz w:val="36"/>
          <w:szCs w:val="36"/>
          <w:rtl/>
        </w:rPr>
        <w:t>.</w:t>
      </w:r>
    </w:p>
    <w:p w14:paraId="24C85B87" w14:textId="77777777" w:rsidR="003F74CA" w:rsidRPr="00FD211F" w:rsidRDefault="005C5FD5" w:rsidP="009C58C8">
      <w:pPr>
        <w:ind w:left="0" w:firstLine="227"/>
        <w:jc w:val="both"/>
        <w:rPr>
          <w:sz w:val="36"/>
          <w:szCs w:val="36"/>
          <w:rtl/>
        </w:rPr>
      </w:pPr>
      <w:r w:rsidRPr="00FD211F">
        <w:rPr>
          <w:b/>
          <w:bCs/>
          <w:sz w:val="36"/>
          <w:szCs w:val="36"/>
          <w:rtl/>
        </w:rPr>
        <w:t>وثانيا</w:t>
      </w:r>
      <w:r w:rsidRPr="00FD211F">
        <w:rPr>
          <w:sz w:val="36"/>
          <w:szCs w:val="36"/>
          <w:rtl/>
        </w:rPr>
        <w:t>:</w:t>
      </w:r>
      <w:r w:rsidR="00E8128F">
        <w:rPr>
          <w:sz w:val="36"/>
          <w:szCs w:val="36"/>
          <w:rtl/>
        </w:rPr>
        <w:t xml:space="preserve"> </w:t>
      </w:r>
      <w:r w:rsidR="00D9118C" w:rsidRPr="00FD211F">
        <w:rPr>
          <w:sz w:val="36"/>
          <w:szCs w:val="36"/>
          <w:rtl/>
        </w:rPr>
        <w:t>انه</w:t>
      </w:r>
      <w:r w:rsidR="00E8128F">
        <w:rPr>
          <w:sz w:val="36"/>
          <w:szCs w:val="36"/>
          <w:rtl/>
        </w:rPr>
        <w:t xml:space="preserve"> </w:t>
      </w:r>
      <w:r w:rsidR="00D9118C" w:rsidRPr="00FD211F">
        <w:rPr>
          <w:sz w:val="36"/>
          <w:szCs w:val="36"/>
          <w:rtl/>
        </w:rPr>
        <w:t>لايوجد</w:t>
      </w:r>
      <w:r w:rsidR="00E8128F">
        <w:rPr>
          <w:sz w:val="36"/>
          <w:szCs w:val="36"/>
          <w:rtl/>
        </w:rPr>
        <w:t xml:space="preserve"> </w:t>
      </w:r>
      <w:r w:rsidR="00D9118C" w:rsidRPr="00FD211F">
        <w:rPr>
          <w:sz w:val="36"/>
          <w:szCs w:val="36"/>
          <w:rtl/>
        </w:rPr>
        <w:t>اي</w:t>
      </w:r>
      <w:r w:rsidR="00E8128F">
        <w:rPr>
          <w:sz w:val="36"/>
          <w:szCs w:val="36"/>
          <w:rtl/>
        </w:rPr>
        <w:t xml:space="preserve"> </w:t>
      </w:r>
      <w:r w:rsidR="00D9118C" w:rsidRPr="00FD211F">
        <w:rPr>
          <w:sz w:val="36"/>
          <w:szCs w:val="36"/>
          <w:rtl/>
        </w:rPr>
        <w:t>مانع</w:t>
      </w:r>
      <w:r w:rsidR="00E8128F">
        <w:rPr>
          <w:sz w:val="36"/>
          <w:szCs w:val="36"/>
          <w:rtl/>
        </w:rPr>
        <w:t xml:space="preserve"> </w:t>
      </w:r>
      <w:r w:rsidR="003F74CA" w:rsidRPr="00FD211F">
        <w:rPr>
          <w:sz w:val="36"/>
          <w:szCs w:val="36"/>
          <w:rtl/>
        </w:rPr>
        <w:t>من</w:t>
      </w:r>
      <w:r w:rsidR="00E8128F">
        <w:rPr>
          <w:sz w:val="36"/>
          <w:szCs w:val="36"/>
          <w:rtl/>
        </w:rPr>
        <w:t xml:space="preserve"> </w:t>
      </w:r>
      <w:r w:rsidR="003F74CA" w:rsidRPr="00FD211F">
        <w:rPr>
          <w:sz w:val="36"/>
          <w:szCs w:val="36"/>
          <w:rtl/>
        </w:rPr>
        <w:t>اخذ</w:t>
      </w:r>
      <w:r w:rsidR="00E8128F">
        <w:rPr>
          <w:sz w:val="36"/>
          <w:szCs w:val="36"/>
          <w:rtl/>
        </w:rPr>
        <w:t xml:space="preserve"> </w:t>
      </w:r>
      <w:r w:rsidR="003F74CA" w:rsidRPr="00FD211F">
        <w:rPr>
          <w:sz w:val="36"/>
          <w:szCs w:val="36"/>
          <w:rtl/>
        </w:rPr>
        <w:t>التقيد</w:t>
      </w:r>
      <w:r w:rsidR="00E8128F">
        <w:rPr>
          <w:sz w:val="36"/>
          <w:szCs w:val="36"/>
          <w:rtl/>
        </w:rPr>
        <w:t xml:space="preserve"> </w:t>
      </w:r>
      <w:r w:rsidR="003F74CA" w:rsidRPr="00FD211F">
        <w:rPr>
          <w:sz w:val="36"/>
          <w:szCs w:val="36"/>
          <w:rtl/>
        </w:rPr>
        <w:t>بقيد</w:t>
      </w:r>
      <w:r w:rsidR="00E8128F">
        <w:rPr>
          <w:sz w:val="36"/>
          <w:szCs w:val="36"/>
          <w:rtl/>
        </w:rPr>
        <w:t xml:space="preserve"> </w:t>
      </w:r>
      <w:r w:rsidR="003F74CA" w:rsidRPr="00FD211F">
        <w:rPr>
          <w:sz w:val="36"/>
          <w:szCs w:val="36"/>
          <w:rtl/>
        </w:rPr>
        <w:t>متأخر</w:t>
      </w:r>
      <w:r w:rsidR="00E8128F">
        <w:rPr>
          <w:sz w:val="36"/>
          <w:szCs w:val="36"/>
          <w:rtl/>
        </w:rPr>
        <w:t xml:space="preserve"> </w:t>
      </w:r>
      <w:r w:rsidR="003F74CA" w:rsidRPr="00FD211F">
        <w:rPr>
          <w:sz w:val="36"/>
          <w:szCs w:val="36"/>
          <w:rtl/>
        </w:rPr>
        <w:t>رتب</w:t>
      </w:r>
      <w:r w:rsidR="00EC7EDF" w:rsidRPr="00FD211F">
        <w:rPr>
          <w:sz w:val="36"/>
          <w:szCs w:val="36"/>
          <w:rtl/>
        </w:rPr>
        <w:t>ة</w:t>
      </w:r>
      <w:r w:rsidR="00E8128F">
        <w:rPr>
          <w:sz w:val="36"/>
          <w:szCs w:val="36"/>
          <w:rtl/>
        </w:rPr>
        <w:t xml:space="preserve"> </w:t>
      </w:r>
      <w:r w:rsidR="00D9118C" w:rsidRPr="00FD211F">
        <w:rPr>
          <w:sz w:val="36"/>
          <w:szCs w:val="36"/>
          <w:rtl/>
        </w:rPr>
        <w:t>فيما</w:t>
      </w:r>
      <w:r w:rsidR="00E8128F">
        <w:rPr>
          <w:sz w:val="36"/>
          <w:szCs w:val="36"/>
          <w:rtl/>
        </w:rPr>
        <w:t xml:space="preserve"> </w:t>
      </w:r>
      <w:r w:rsidR="00D9118C" w:rsidRPr="00FD211F">
        <w:rPr>
          <w:sz w:val="36"/>
          <w:szCs w:val="36"/>
          <w:rtl/>
        </w:rPr>
        <w:t>هو</w:t>
      </w:r>
      <w:r w:rsidR="00E8128F">
        <w:rPr>
          <w:sz w:val="36"/>
          <w:szCs w:val="36"/>
          <w:rtl/>
        </w:rPr>
        <w:t xml:space="preserve"> </w:t>
      </w:r>
      <w:r w:rsidR="00D9118C" w:rsidRPr="00FD211F">
        <w:rPr>
          <w:sz w:val="36"/>
          <w:szCs w:val="36"/>
          <w:rtl/>
        </w:rPr>
        <w:t>متقدم</w:t>
      </w:r>
      <w:r w:rsidR="00E8128F">
        <w:rPr>
          <w:sz w:val="36"/>
          <w:szCs w:val="36"/>
          <w:rtl/>
        </w:rPr>
        <w:t xml:space="preserve"> </w:t>
      </w:r>
      <w:r w:rsidR="00D9118C" w:rsidRPr="00FD211F">
        <w:rPr>
          <w:sz w:val="36"/>
          <w:szCs w:val="36"/>
          <w:rtl/>
        </w:rPr>
        <w:t>رتب</w:t>
      </w:r>
      <w:r w:rsidR="00EC7EDF" w:rsidRPr="00FD211F">
        <w:rPr>
          <w:sz w:val="36"/>
          <w:szCs w:val="36"/>
          <w:rtl/>
        </w:rPr>
        <w:t>ة</w:t>
      </w:r>
      <w:r w:rsidR="00E8128F">
        <w:rPr>
          <w:sz w:val="36"/>
          <w:szCs w:val="36"/>
          <w:rtl/>
        </w:rPr>
        <w:t xml:space="preserve"> </w:t>
      </w:r>
      <w:r w:rsidR="003F74CA" w:rsidRPr="00FD211F">
        <w:rPr>
          <w:sz w:val="36"/>
          <w:szCs w:val="36"/>
          <w:rtl/>
        </w:rPr>
        <w:t>بعد</w:t>
      </w:r>
      <w:r w:rsidR="00E8128F">
        <w:rPr>
          <w:sz w:val="36"/>
          <w:szCs w:val="36"/>
          <w:rtl/>
        </w:rPr>
        <w:t xml:space="preserve"> </w:t>
      </w:r>
      <w:r w:rsidRPr="00FD211F">
        <w:rPr>
          <w:sz w:val="36"/>
          <w:szCs w:val="36"/>
          <w:rtl/>
        </w:rPr>
        <w:t>افتراض</w:t>
      </w:r>
      <w:r w:rsidR="00E8128F">
        <w:rPr>
          <w:sz w:val="36"/>
          <w:szCs w:val="36"/>
          <w:rtl/>
        </w:rPr>
        <w:t xml:space="preserve"> </w:t>
      </w:r>
      <w:r w:rsidR="003F74CA" w:rsidRPr="00FD211F">
        <w:rPr>
          <w:sz w:val="36"/>
          <w:szCs w:val="36"/>
          <w:rtl/>
        </w:rPr>
        <w:t>اجتماعهما</w:t>
      </w:r>
      <w:r w:rsidR="00E8128F">
        <w:rPr>
          <w:sz w:val="36"/>
          <w:szCs w:val="36"/>
          <w:rtl/>
        </w:rPr>
        <w:t xml:space="preserve"> </w:t>
      </w:r>
      <w:r w:rsidR="003F74CA" w:rsidRPr="00FD211F">
        <w:rPr>
          <w:sz w:val="36"/>
          <w:szCs w:val="36"/>
          <w:rtl/>
        </w:rPr>
        <w:t>في</w:t>
      </w:r>
      <w:r w:rsidR="00E8128F">
        <w:rPr>
          <w:sz w:val="36"/>
          <w:szCs w:val="36"/>
          <w:rtl/>
        </w:rPr>
        <w:t xml:space="preserve"> </w:t>
      </w:r>
      <w:r w:rsidR="003F74CA" w:rsidRPr="00FD211F">
        <w:rPr>
          <w:sz w:val="36"/>
          <w:szCs w:val="36"/>
          <w:rtl/>
        </w:rPr>
        <w:t>الوجود</w:t>
      </w:r>
      <w:r w:rsidR="008E2B3B" w:rsidRPr="00FD211F">
        <w:rPr>
          <w:sz w:val="36"/>
          <w:szCs w:val="36"/>
          <w:rtl/>
        </w:rPr>
        <w:t>.</w:t>
      </w:r>
      <w:r w:rsidR="00E8128F">
        <w:rPr>
          <w:sz w:val="36"/>
          <w:szCs w:val="36"/>
          <w:rtl/>
        </w:rPr>
        <w:t xml:space="preserve"> </w:t>
      </w:r>
    </w:p>
    <w:p w14:paraId="356C1A84" w14:textId="77777777" w:rsidR="00DA7C26" w:rsidRPr="00FD211F" w:rsidRDefault="00DA7C26" w:rsidP="009C58C8">
      <w:pPr>
        <w:ind w:left="0" w:firstLine="227"/>
        <w:jc w:val="both"/>
        <w:rPr>
          <w:sz w:val="36"/>
          <w:szCs w:val="36"/>
          <w:rtl/>
        </w:rPr>
      </w:pPr>
      <w:r w:rsidRPr="00FD211F">
        <w:rPr>
          <w:sz w:val="36"/>
          <w:szCs w:val="36"/>
          <w:rtl/>
        </w:rPr>
        <w:t>والحاصل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الزمان</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مدلول</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خلاف</w:t>
      </w:r>
      <w:r w:rsidR="00E8128F">
        <w:rPr>
          <w:sz w:val="36"/>
          <w:szCs w:val="36"/>
          <w:rtl/>
        </w:rPr>
        <w:t xml:space="preserve"> </w:t>
      </w:r>
      <w:r w:rsidRPr="00FD211F">
        <w:rPr>
          <w:sz w:val="36"/>
          <w:szCs w:val="36"/>
          <w:rtl/>
        </w:rPr>
        <w:t>الوجدان</w:t>
      </w:r>
      <w:r w:rsidR="00E8128F">
        <w:rPr>
          <w:sz w:val="36"/>
          <w:szCs w:val="36"/>
          <w:rtl/>
        </w:rPr>
        <w:t xml:space="preserve"> </w:t>
      </w:r>
      <w:r w:rsidRPr="00FD211F">
        <w:rPr>
          <w:sz w:val="36"/>
          <w:szCs w:val="36"/>
          <w:rtl/>
        </w:rPr>
        <w:t>لكن</w:t>
      </w:r>
      <w:r w:rsidR="00E8128F">
        <w:rPr>
          <w:sz w:val="36"/>
          <w:szCs w:val="36"/>
          <w:rtl/>
        </w:rPr>
        <w:t xml:space="preserve"> </w:t>
      </w:r>
      <w:r w:rsidRPr="00FD211F">
        <w:rPr>
          <w:sz w:val="36"/>
          <w:szCs w:val="36"/>
          <w:rtl/>
        </w:rPr>
        <w:t>الظاهر</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لامانع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الزمان</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مدلول</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الظاهر</w:t>
      </w:r>
      <w:r w:rsidR="00E8128F">
        <w:rPr>
          <w:sz w:val="36"/>
          <w:szCs w:val="36"/>
          <w:rtl/>
        </w:rPr>
        <w:t xml:space="preserve"> </w:t>
      </w:r>
      <w:r w:rsidRPr="00FD211F">
        <w:rPr>
          <w:sz w:val="36"/>
          <w:szCs w:val="36"/>
          <w:rtl/>
        </w:rPr>
        <w:t>عرفا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الماضي</w:t>
      </w:r>
      <w:r w:rsidR="00E8128F">
        <w:rPr>
          <w:sz w:val="36"/>
          <w:szCs w:val="36"/>
          <w:rtl/>
        </w:rPr>
        <w:t xml:space="preserve"> </w:t>
      </w:r>
      <w:r w:rsidRPr="00FD211F">
        <w:rPr>
          <w:sz w:val="36"/>
          <w:szCs w:val="36"/>
          <w:rtl/>
        </w:rPr>
        <w:t>والمضارع</w:t>
      </w:r>
      <w:r w:rsidR="00603323" w:rsidRPr="00FD211F">
        <w:rPr>
          <w:sz w:val="36"/>
          <w:szCs w:val="36"/>
          <w:rtl/>
        </w:rPr>
        <w:t>،</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سيأتي</w:t>
      </w:r>
      <w:r w:rsidR="00E8128F">
        <w:rPr>
          <w:sz w:val="36"/>
          <w:szCs w:val="36"/>
          <w:rtl/>
        </w:rPr>
        <w:t xml:space="preserve"> </w:t>
      </w:r>
      <w:r w:rsidRPr="00FD211F">
        <w:rPr>
          <w:sz w:val="36"/>
          <w:szCs w:val="36"/>
          <w:rtl/>
        </w:rPr>
        <w:t>توضيحه</w:t>
      </w:r>
      <w:r w:rsidR="00E8128F">
        <w:rPr>
          <w:sz w:val="36"/>
          <w:szCs w:val="36"/>
          <w:rtl/>
        </w:rPr>
        <w:t xml:space="preserve"> </w:t>
      </w:r>
      <w:r w:rsidRPr="00FD211F">
        <w:rPr>
          <w:sz w:val="36"/>
          <w:szCs w:val="36"/>
          <w:rtl/>
        </w:rPr>
        <w:t>قريبا.</w:t>
      </w:r>
    </w:p>
    <w:p w14:paraId="0F4216F1" w14:textId="77777777" w:rsidR="004609B7" w:rsidRPr="00FD211F" w:rsidRDefault="00DA7C26"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لاريب</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ظاهر</w:t>
      </w:r>
      <w:r w:rsidR="00E8128F">
        <w:rPr>
          <w:sz w:val="36"/>
          <w:szCs w:val="36"/>
          <w:rtl/>
        </w:rPr>
        <w:t xml:space="preserve"> </w:t>
      </w:r>
      <w:r w:rsidRPr="00FD211F">
        <w:rPr>
          <w:sz w:val="36"/>
          <w:szCs w:val="36"/>
          <w:rtl/>
        </w:rPr>
        <w:t>قولنا</w:t>
      </w:r>
      <w:r w:rsidR="00E8128F">
        <w:rPr>
          <w:sz w:val="36"/>
          <w:szCs w:val="36"/>
          <w:rtl/>
        </w:rPr>
        <w:t xml:space="preserve"> </w:t>
      </w:r>
      <w:r w:rsidR="003230A7" w:rsidRPr="00FD211F">
        <w:rPr>
          <w:sz w:val="36"/>
          <w:szCs w:val="36"/>
          <w:rtl/>
        </w:rPr>
        <w:t>"</w:t>
      </w:r>
      <w:r w:rsidRPr="00FD211F">
        <w:rPr>
          <w:sz w:val="36"/>
          <w:szCs w:val="36"/>
          <w:rtl/>
        </w:rPr>
        <w:t>زيد</w:t>
      </w:r>
      <w:r w:rsidR="00E8128F">
        <w:rPr>
          <w:sz w:val="36"/>
          <w:szCs w:val="36"/>
          <w:rtl/>
        </w:rPr>
        <w:t xml:space="preserve"> </w:t>
      </w:r>
      <w:r w:rsidRPr="00FD211F">
        <w:rPr>
          <w:sz w:val="36"/>
          <w:szCs w:val="36"/>
          <w:rtl/>
        </w:rPr>
        <w:t>عالم</w:t>
      </w:r>
      <w:r w:rsidR="003230A7" w:rsidRPr="00FD211F">
        <w:rPr>
          <w:sz w:val="36"/>
          <w:szCs w:val="36"/>
          <w:rtl/>
        </w:rPr>
        <w:t>"</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عالما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النطق</w:t>
      </w:r>
      <w:r w:rsidR="00603323" w:rsidRPr="00FD211F">
        <w:rPr>
          <w:sz w:val="36"/>
          <w:szCs w:val="36"/>
          <w:rtl/>
        </w:rPr>
        <w:t>،</w:t>
      </w:r>
      <w:r w:rsidR="00E8128F">
        <w:rPr>
          <w:sz w:val="36"/>
          <w:szCs w:val="36"/>
          <w:rtl/>
        </w:rPr>
        <w:t xml:space="preserve"> </w:t>
      </w:r>
      <w:r w:rsidR="005C5FD5" w:rsidRPr="00FD211F">
        <w:rPr>
          <w:sz w:val="36"/>
          <w:szCs w:val="36"/>
          <w:rtl/>
        </w:rPr>
        <w:t>ف</w:t>
      </w:r>
      <w:r w:rsidR="008E2B3B" w:rsidRPr="00FD211F">
        <w:rPr>
          <w:sz w:val="36"/>
          <w:szCs w:val="36"/>
          <w:rtl/>
        </w:rPr>
        <w:t>بناء</w:t>
      </w:r>
      <w:r w:rsidR="00E8128F">
        <w:rPr>
          <w:sz w:val="36"/>
          <w:szCs w:val="36"/>
          <w:rtl/>
        </w:rPr>
        <w:t xml:space="preserve"> </w:t>
      </w:r>
      <w:r w:rsidR="008E2B3B" w:rsidRPr="00FD211F">
        <w:rPr>
          <w:sz w:val="36"/>
          <w:szCs w:val="36"/>
          <w:rtl/>
        </w:rPr>
        <w:t>على</w:t>
      </w:r>
      <w:r w:rsidR="00E8128F">
        <w:rPr>
          <w:sz w:val="36"/>
          <w:szCs w:val="36"/>
          <w:rtl/>
        </w:rPr>
        <w:t xml:space="preserve"> </w:t>
      </w:r>
      <w:r w:rsidR="008E2B3B" w:rsidRPr="00FD211F">
        <w:rPr>
          <w:sz w:val="36"/>
          <w:szCs w:val="36"/>
          <w:rtl/>
        </w:rPr>
        <w:t>كون</w:t>
      </w:r>
      <w:r w:rsidR="00E8128F">
        <w:rPr>
          <w:sz w:val="36"/>
          <w:szCs w:val="36"/>
          <w:rtl/>
        </w:rPr>
        <w:t xml:space="preserve"> </w:t>
      </w:r>
      <w:r w:rsidR="008E2B3B" w:rsidRPr="00FD211F">
        <w:rPr>
          <w:sz w:val="36"/>
          <w:szCs w:val="36"/>
          <w:rtl/>
        </w:rPr>
        <w:t>المشتق</w:t>
      </w:r>
      <w:r w:rsidR="00E8128F">
        <w:rPr>
          <w:sz w:val="36"/>
          <w:szCs w:val="36"/>
          <w:rtl/>
        </w:rPr>
        <w:t xml:space="preserve"> </w:t>
      </w:r>
      <w:r w:rsidR="008E2B3B" w:rsidRPr="00FD211F">
        <w:rPr>
          <w:sz w:val="36"/>
          <w:szCs w:val="36"/>
          <w:rtl/>
        </w:rPr>
        <w:t>مقيدا</w:t>
      </w:r>
      <w:r w:rsidR="00E8128F">
        <w:rPr>
          <w:sz w:val="36"/>
          <w:szCs w:val="36"/>
          <w:rtl/>
        </w:rPr>
        <w:t xml:space="preserve"> </w:t>
      </w:r>
      <w:r w:rsidR="008E2B3B" w:rsidRPr="00FD211F">
        <w:rPr>
          <w:sz w:val="36"/>
          <w:szCs w:val="36"/>
          <w:rtl/>
        </w:rPr>
        <w:t>بتلبس</w:t>
      </w:r>
      <w:r w:rsidR="00E8128F">
        <w:rPr>
          <w:sz w:val="36"/>
          <w:szCs w:val="36"/>
          <w:rtl/>
        </w:rPr>
        <w:t xml:space="preserve"> </w:t>
      </w:r>
      <w:r w:rsidR="008E2B3B" w:rsidRPr="00FD211F">
        <w:rPr>
          <w:sz w:val="36"/>
          <w:szCs w:val="36"/>
          <w:rtl/>
        </w:rPr>
        <w:t>الذات</w:t>
      </w:r>
      <w:r w:rsidR="00E8128F">
        <w:rPr>
          <w:sz w:val="36"/>
          <w:szCs w:val="36"/>
          <w:rtl/>
        </w:rPr>
        <w:t xml:space="preserve"> </w:t>
      </w:r>
      <w:r w:rsidR="008E2B3B" w:rsidRPr="00FD211F">
        <w:rPr>
          <w:sz w:val="36"/>
          <w:szCs w:val="36"/>
          <w:rtl/>
        </w:rPr>
        <w:t>بال</w:t>
      </w:r>
      <w:r w:rsidR="0079493B" w:rsidRPr="00FD211F">
        <w:rPr>
          <w:sz w:val="36"/>
          <w:szCs w:val="36"/>
          <w:rtl/>
        </w:rPr>
        <w:t>مبدأ</w:t>
      </w:r>
      <w:r w:rsidR="00E8128F">
        <w:rPr>
          <w:sz w:val="36"/>
          <w:szCs w:val="36"/>
          <w:rtl/>
        </w:rPr>
        <w:t xml:space="preserve"> </w:t>
      </w:r>
      <w:r w:rsidR="008E2B3B" w:rsidRPr="00FD211F">
        <w:rPr>
          <w:sz w:val="36"/>
          <w:szCs w:val="36"/>
          <w:rtl/>
        </w:rPr>
        <w:t>في</w:t>
      </w:r>
      <w:r w:rsidR="00E8128F">
        <w:rPr>
          <w:sz w:val="36"/>
          <w:szCs w:val="36"/>
          <w:rtl/>
        </w:rPr>
        <w:t xml:space="preserve"> </w:t>
      </w:r>
      <w:r w:rsidR="008E2B3B" w:rsidRPr="00FD211F">
        <w:rPr>
          <w:sz w:val="36"/>
          <w:szCs w:val="36"/>
          <w:rtl/>
        </w:rPr>
        <w:t>زمان</w:t>
      </w:r>
      <w:r w:rsidR="00E8128F">
        <w:rPr>
          <w:sz w:val="36"/>
          <w:szCs w:val="36"/>
          <w:rtl/>
        </w:rPr>
        <w:t xml:space="preserve"> </w:t>
      </w:r>
      <w:r w:rsidR="008E2B3B" w:rsidRPr="00FD211F">
        <w:rPr>
          <w:sz w:val="36"/>
          <w:szCs w:val="36"/>
          <w:rtl/>
        </w:rPr>
        <w:t>النطق</w:t>
      </w:r>
      <w:r w:rsidR="00E8128F">
        <w:rPr>
          <w:sz w:val="36"/>
          <w:szCs w:val="36"/>
          <w:rtl/>
        </w:rPr>
        <w:t xml:space="preserve"> </w:t>
      </w:r>
      <w:r w:rsidR="008E2B3B" w:rsidRPr="00FD211F">
        <w:rPr>
          <w:sz w:val="36"/>
          <w:szCs w:val="36"/>
          <w:rtl/>
        </w:rPr>
        <w:t>يكون</w:t>
      </w:r>
      <w:r w:rsidR="00E8128F">
        <w:rPr>
          <w:sz w:val="36"/>
          <w:szCs w:val="36"/>
          <w:rtl/>
        </w:rPr>
        <w:t xml:space="preserve"> </w:t>
      </w:r>
      <w:r w:rsidR="008E2B3B" w:rsidRPr="00FD211F">
        <w:rPr>
          <w:sz w:val="36"/>
          <w:szCs w:val="36"/>
          <w:rtl/>
        </w:rPr>
        <w:t>انفهام</w:t>
      </w:r>
      <w:r w:rsidR="00E8128F">
        <w:rPr>
          <w:sz w:val="36"/>
          <w:szCs w:val="36"/>
          <w:rtl/>
        </w:rPr>
        <w:t xml:space="preserve"> </w:t>
      </w:r>
      <w:r w:rsidR="008E2B3B" w:rsidRPr="00FD211F">
        <w:rPr>
          <w:sz w:val="36"/>
          <w:szCs w:val="36"/>
          <w:rtl/>
        </w:rPr>
        <w:t>تلبس</w:t>
      </w:r>
      <w:r w:rsidR="00E8128F">
        <w:rPr>
          <w:sz w:val="36"/>
          <w:szCs w:val="36"/>
          <w:rtl/>
        </w:rPr>
        <w:t xml:space="preserve"> </w:t>
      </w:r>
      <w:r w:rsidR="008E2B3B" w:rsidRPr="00FD211F">
        <w:rPr>
          <w:sz w:val="36"/>
          <w:szCs w:val="36"/>
          <w:rtl/>
        </w:rPr>
        <w:t>زيد</w:t>
      </w:r>
      <w:r w:rsidR="00E8128F">
        <w:rPr>
          <w:sz w:val="36"/>
          <w:szCs w:val="36"/>
          <w:rtl/>
        </w:rPr>
        <w:t xml:space="preserve"> </w:t>
      </w:r>
      <w:r w:rsidR="008E2B3B" w:rsidRPr="00FD211F">
        <w:rPr>
          <w:sz w:val="36"/>
          <w:szCs w:val="36"/>
          <w:rtl/>
        </w:rPr>
        <w:t>بالعلم</w:t>
      </w:r>
      <w:r w:rsidR="00E8128F">
        <w:rPr>
          <w:sz w:val="36"/>
          <w:szCs w:val="36"/>
          <w:rtl/>
        </w:rPr>
        <w:t xml:space="preserve"> </w:t>
      </w:r>
      <w:r w:rsidR="008E2B3B" w:rsidRPr="00FD211F">
        <w:rPr>
          <w:sz w:val="36"/>
          <w:szCs w:val="36"/>
          <w:rtl/>
        </w:rPr>
        <w:t>حال</w:t>
      </w:r>
      <w:r w:rsidR="00E8128F">
        <w:rPr>
          <w:sz w:val="36"/>
          <w:szCs w:val="36"/>
          <w:rtl/>
        </w:rPr>
        <w:t xml:space="preserve"> </w:t>
      </w:r>
      <w:r w:rsidR="008E2B3B" w:rsidRPr="00FD211F">
        <w:rPr>
          <w:sz w:val="36"/>
          <w:szCs w:val="36"/>
          <w:rtl/>
        </w:rPr>
        <w:t>النطق</w:t>
      </w:r>
      <w:r w:rsidR="00E8128F">
        <w:rPr>
          <w:sz w:val="36"/>
          <w:szCs w:val="36"/>
          <w:rtl/>
        </w:rPr>
        <w:t xml:space="preserve"> </w:t>
      </w:r>
      <w:r w:rsidR="008E2B3B" w:rsidRPr="00FD211F">
        <w:rPr>
          <w:sz w:val="36"/>
          <w:szCs w:val="36"/>
          <w:rtl/>
        </w:rPr>
        <w:t>من</w:t>
      </w:r>
      <w:r w:rsidR="00E8128F">
        <w:rPr>
          <w:sz w:val="36"/>
          <w:szCs w:val="36"/>
          <w:rtl/>
        </w:rPr>
        <w:t xml:space="preserve"> </w:t>
      </w:r>
      <w:r w:rsidR="008E2B3B" w:rsidRPr="00FD211F">
        <w:rPr>
          <w:sz w:val="36"/>
          <w:szCs w:val="36"/>
          <w:rtl/>
        </w:rPr>
        <w:t>نفس</w:t>
      </w:r>
      <w:r w:rsidR="00E8128F">
        <w:rPr>
          <w:sz w:val="36"/>
          <w:szCs w:val="36"/>
          <w:rtl/>
        </w:rPr>
        <w:t xml:space="preserve"> </w:t>
      </w:r>
      <w:r w:rsidR="008E2B3B" w:rsidRPr="00FD211F">
        <w:rPr>
          <w:sz w:val="36"/>
          <w:szCs w:val="36"/>
          <w:rtl/>
        </w:rPr>
        <w:t>العلق</w:t>
      </w:r>
      <w:r w:rsidR="00EC7EDF" w:rsidRPr="00FD211F">
        <w:rPr>
          <w:sz w:val="36"/>
          <w:szCs w:val="36"/>
          <w:rtl/>
        </w:rPr>
        <w:t>ة</w:t>
      </w:r>
      <w:r w:rsidR="00E8128F">
        <w:rPr>
          <w:sz w:val="36"/>
          <w:szCs w:val="36"/>
          <w:rtl/>
        </w:rPr>
        <w:t xml:space="preserve"> </w:t>
      </w:r>
      <w:r w:rsidR="008E2B3B" w:rsidRPr="00FD211F">
        <w:rPr>
          <w:sz w:val="36"/>
          <w:szCs w:val="36"/>
          <w:rtl/>
        </w:rPr>
        <w:t>الوضعي</w:t>
      </w:r>
      <w:r w:rsidR="00EC7EDF" w:rsidRPr="00FD211F">
        <w:rPr>
          <w:sz w:val="36"/>
          <w:szCs w:val="36"/>
          <w:rtl/>
        </w:rPr>
        <w:t>ة</w:t>
      </w:r>
      <w:r w:rsidR="00603323" w:rsidRPr="00FD211F">
        <w:rPr>
          <w:sz w:val="36"/>
          <w:szCs w:val="36"/>
          <w:rtl/>
        </w:rPr>
        <w:t>،</w:t>
      </w:r>
      <w:r w:rsidR="00E8128F">
        <w:rPr>
          <w:sz w:val="36"/>
          <w:szCs w:val="36"/>
          <w:rtl/>
        </w:rPr>
        <w:t xml:space="preserve"> </w:t>
      </w:r>
      <w:r w:rsidR="008E2B3B" w:rsidRPr="00FD211F">
        <w:rPr>
          <w:sz w:val="36"/>
          <w:szCs w:val="36"/>
          <w:rtl/>
        </w:rPr>
        <w:t>و</w:t>
      </w:r>
      <w:r w:rsidR="004609B7" w:rsidRPr="00FD211F">
        <w:rPr>
          <w:sz w:val="36"/>
          <w:szCs w:val="36"/>
          <w:rtl/>
        </w:rPr>
        <w:t>أما</w:t>
      </w:r>
      <w:r w:rsidR="00E8128F">
        <w:rPr>
          <w:sz w:val="36"/>
          <w:szCs w:val="36"/>
          <w:rtl/>
        </w:rPr>
        <w:t xml:space="preserve"> </w:t>
      </w:r>
      <w:r w:rsidR="008E2B3B" w:rsidRPr="00FD211F">
        <w:rPr>
          <w:sz w:val="36"/>
          <w:szCs w:val="36"/>
          <w:rtl/>
        </w:rPr>
        <w:t>بناء</w:t>
      </w:r>
      <w:r w:rsidR="00E8128F">
        <w:rPr>
          <w:sz w:val="36"/>
          <w:szCs w:val="36"/>
          <w:rtl/>
        </w:rPr>
        <w:t xml:space="preserve"> </w:t>
      </w:r>
      <w:r w:rsidR="008E2B3B" w:rsidRPr="00FD211F">
        <w:rPr>
          <w:sz w:val="36"/>
          <w:szCs w:val="36"/>
          <w:rtl/>
        </w:rPr>
        <w:t>على</w:t>
      </w:r>
      <w:r w:rsidR="00E8128F">
        <w:rPr>
          <w:sz w:val="36"/>
          <w:szCs w:val="36"/>
          <w:rtl/>
        </w:rPr>
        <w:t xml:space="preserve"> </w:t>
      </w:r>
      <w:r w:rsidR="008E2B3B" w:rsidRPr="00FD211F">
        <w:rPr>
          <w:sz w:val="36"/>
          <w:szCs w:val="36"/>
          <w:rtl/>
        </w:rPr>
        <w:t>كونه</w:t>
      </w:r>
      <w:r w:rsidR="00E8128F">
        <w:rPr>
          <w:sz w:val="36"/>
          <w:szCs w:val="36"/>
          <w:rtl/>
        </w:rPr>
        <w:t xml:space="preserve"> </w:t>
      </w:r>
      <w:r w:rsidR="008E2B3B" w:rsidRPr="00FD211F">
        <w:rPr>
          <w:sz w:val="36"/>
          <w:szCs w:val="36"/>
          <w:rtl/>
        </w:rPr>
        <w:t>مقيدا</w:t>
      </w:r>
      <w:r w:rsidR="00E8128F">
        <w:rPr>
          <w:sz w:val="36"/>
          <w:szCs w:val="36"/>
          <w:rtl/>
        </w:rPr>
        <w:t xml:space="preserve"> </w:t>
      </w:r>
      <w:r w:rsidR="008E2B3B" w:rsidRPr="00FD211F">
        <w:rPr>
          <w:sz w:val="36"/>
          <w:szCs w:val="36"/>
          <w:rtl/>
        </w:rPr>
        <w:t>بالتلبس</w:t>
      </w:r>
      <w:r w:rsidR="00E8128F">
        <w:rPr>
          <w:sz w:val="36"/>
          <w:szCs w:val="36"/>
          <w:rtl/>
        </w:rPr>
        <w:t xml:space="preserve"> </w:t>
      </w:r>
      <w:r w:rsidR="008E2B3B" w:rsidRPr="00FD211F">
        <w:rPr>
          <w:sz w:val="36"/>
          <w:szCs w:val="36"/>
          <w:rtl/>
        </w:rPr>
        <w:t>في</w:t>
      </w:r>
      <w:r w:rsidR="00E8128F">
        <w:rPr>
          <w:sz w:val="36"/>
          <w:szCs w:val="36"/>
          <w:rtl/>
        </w:rPr>
        <w:t xml:space="preserve"> </w:t>
      </w:r>
      <w:r w:rsidR="008E2B3B" w:rsidRPr="00FD211F">
        <w:rPr>
          <w:sz w:val="36"/>
          <w:szCs w:val="36"/>
          <w:rtl/>
        </w:rPr>
        <w:t>زمان</w:t>
      </w:r>
      <w:r w:rsidR="00E8128F">
        <w:rPr>
          <w:sz w:val="36"/>
          <w:szCs w:val="36"/>
          <w:rtl/>
        </w:rPr>
        <w:t xml:space="preserve"> </w:t>
      </w:r>
      <w:r w:rsidR="008E2B3B" w:rsidRPr="00FD211F">
        <w:rPr>
          <w:sz w:val="36"/>
          <w:szCs w:val="36"/>
          <w:rtl/>
        </w:rPr>
        <w:t>الاسناد</w:t>
      </w:r>
      <w:r w:rsidR="00E8128F">
        <w:rPr>
          <w:sz w:val="36"/>
          <w:szCs w:val="36"/>
          <w:rtl/>
        </w:rPr>
        <w:t xml:space="preserve"> </w:t>
      </w:r>
      <w:r w:rsidR="008E2B3B" w:rsidRPr="00FD211F">
        <w:rPr>
          <w:sz w:val="36"/>
          <w:szCs w:val="36"/>
          <w:rtl/>
        </w:rPr>
        <w:t>فاحتمال</w:t>
      </w:r>
      <w:r w:rsidR="00E8128F">
        <w:rPr>
          <w:sz w:val="36"/>
          <w:szCs w:val="36"/>
          <w:rtl/>
        </w:rPr>
        <w:t xml:space="preserve"> </w:t>
      </w:r>
      <w:r w:rsidR="005C5FD5" w:rsidRPr="00FD211F">
        <w:rPr>
          <w:sz w:val="36"/>
          <w:szCs w:val="36"/>
          <w:rtl/>
        </w:rPr>
        <w:t>ان</w:t>
      </w:r>
      <w:r w:rsidR="00E8128F">
        <w:rPr>
          <w:sz w:val="36"/>
          <w:szCs w:val="36"/>
          <w:rtl/>
        </w:rPr>
        <w:t xml:space="preserve"> </w:t>
      </w:r>
      <w:r w:rsidR="005C5FD5" w:rsidRPr="00FD211F">
        <w:rPr>
          <w:sz w:val="36"/>
          <w:szCs w:val="36"/>
          <w:rtl/>
        </w:rPr>
        <w:t>يراد</w:t>
      </w:r>
      <w:r w:rsidR="00E8128F">
        <w:rPr>
          <w:sz w:val="36"/>
          <w:szCs w:val="36"/>
          <w:rtl/>
        </w:rPr>
        <w:t xml:space="preserve"> </w:t>
      </w:r>
      <w:r w:rsidR="008E2B3B" w:rsidRPr="00FD211F">
        <w:rPr>
          <w:sz w:val="36"/>
          <w:szCs w:val="36"/>
          <w:rtl/>
        </w:rPr>
        <w:t>منه</w:t>
      </w:r>
      <w:r w:rsidR="00E8128F">
        <w:rPr>
          <w:sz w:val="36"/>
          <w:szCs w:val="36"/>
          <w:rtl/>
        </w:rPr>
        <w:t xml:space="preserve"> </w:t>
      </w:r>
      <w:r w:rsidR="008E2B3B" w:rsidRPr="00FD211F">
        <w:rPr>
          <w:sz w:val="36"/>
          <w:szCs w:val="36"/>
          <w:rtl/>
        </w:rPr>
        <w:t>انه</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عالما</w:t>
      </w:r>
      <w:r w:rsidR="00E8128F">
        <w:rPr>
          <w:sz w:val="36"/>
          <w:szCs w:val="36"/>
          <w:rtl/>
        </w:rPr>
        <w:t xml:space="preserve"> </w:t>
      </w:r>
      <w:r w:rsidRPr="00FD211F">
        <w:rPr>
          <w:sz w:val="36"/>
          <w:szCs w:val="36"/>
          <w:rtl/>
        </w:rPr>
        <w:t>سابقا</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عالما</w:t>
      </w:r>
      <w:r w:rsidR="00E8128F">
        <w:rPr>
          <w:sz w:val="36"/>
          <w:szCs w:val="36"/>
          <w:rtl/>
        </w:rPr>
        <w:t xml:space="preserve"> </w:t>
      </w:r>
      <w:r w:rsidR="008E2B3B" w:rsidRPr="00FD211F">
        <w:rPr>
          <w:sz w:val="36"/>
          <w:szCs w:val="36"/>
          <w:rtl/>
        </w:rPr>
        <w:t>غدا</w:t>
      </w:r>
      <w:r w:rsidR="00E8128F">
        <w:rPr>
          <w:sz w:val="36"/>
          <w:szCs w:val="36"/>
          <w:rtl/>
        </w:rPr>
        <w:t xml:space="preserve"> </w:t>
      </w:r>
      <w:r w:rsidR="005C5FD5" w:rsidRPr="00FD211F">
        <w:rPr>
          <w:sz w:val="36"/>
          <w:szCs w:val="36"/>
          <w:rtl/>
        </w:rPr>
        <w:t>مما</w:t>
      </w:r>
      <w:r w:rsidR="00E8128F">
        <w:rPr>
          <w:sz w:val="36"/>
          <w:szCs w:val="36"/>
          <w:rtl/>
        </w:rPr>
        <w:t xml:space="preserve"> </w:t>
      </w:r>
      <w:r w:rsidRPr="00FD211F">
        <w:rPr>
          <w:sz w:val="36"/>
          <w:szCs w:val="36"/>
          <w:rtl/>
        </w:rPr>
        <w:t>لايندفع</w:t>
      </w:r>
      <w:r w:rsidR="00E8128F">
        <w:rPr>
          <w:sz w:val="36"/>
          <w:szCs w:val="36"/>
          <w:rtl/>
        </w:rPr>
        <w:t xml:space="preserve"> </w:t>
      </w:r>
      <w:r w:rsidRPr="00FD211F">
        <w:rPr>
          <w:sz w:val="36"/>
          <w:szCs w:val="36"/>
          <w:rtl/>
        </w:rPr>
        <w:t>بنفس</w:t>
      </w:r>
      <w:r w:rsidR="00E8128F">
        <w:rPr>
          <w:sz w:val="36"/>
          <w:szCs w:val="36"/>
          <w:rtl/>
        </w:rPr>
        <w:t xml:space="preserve"> </w:t>
      </w:r>
      <w:r w:rsidRPr="00FD211F">
        <w:rPr>
          <w:sz w:val="36"/>
          <w:szCs w:val="36"/>
          <w:rtl/>
        </w:rPr>
        <w:t>العلق</w:t>
      </w:r>
      <w:r w:rsidR="00EC7EDF" w:rsidRPr="00FD211F">
        <w:rPr>
          <w:sz w:val="36"/>
          <w:szCs w:val="36"/>
          <w:rtl/>
        </w:rPr>
        <w:t>ة</w:t>
      </w:r>
      <w:r w:rsidR="00E8128F">
        <w:rPr>
          <w:sz w:val="36"/>
          <w:szCs w:val="36"/>
          <w:rtl/>
        </w:rPr>
        <w:t xml:space="preserve"> </w:t>
      </w:r>
      <w:r w:rsidRPr="00FD211F">
        <w:rPr>
          <w:sz w:val="36"/>
          <w:szCs w:val="36"/>
          <w:rtl/>
        </w:rPr>
        <w:t>الوضعي</w:t>
      </w:r>
      <w:r w:rsidR="00EC7EDF" w:rsidRPr="00FD211F">
        <w:rPr>
          <w:sz w:val="36"/>
          <w:szCs w:val="36"/>
          <w:rtl/>
        </w:rPr>
        <w:t>ة</w:t>
      </w:r>
      <w:r w:rsidR="00E8128F">
        <w:rPr>
          <w:sz w:val="36"/>
          <w:szCs w:val="36"/>
          <w:rtl/>
        </w:rPr>
        <w:t xml:space="preserve"> </w:t>
      </w:r>
      <w:r w:rsidRPr="00FD211F">
        <w:rPr>
          <w:sz w:val="36"/>
          <w:szCs w:val="36"/>
          <w:rtl/>
        </w:rPr>
        <w:t>وانما</w:t>
      </w:r>
      <w:r w:rsidR="00E8128F">
        <w:rPr>
          <w:sz w:val="36"/>
          <w:szCs w:val="36"/>
          <w:rtl/>
        </w:rPr>
        <w:t xml:space="preserve"> </w:t>
      </w:r>
      <w:r w:rsidRPr="00FD211F">
        <w:rPr>
          <w:sz w:val="36"/>
          <w:szCs w:val="36"/>
          <w:rtl/>
        </w:rPr>
        <w:t>يندفع</w:t>
      </w:r>
      <w:r w:rsidR="00E8128F">
        <w:rPr>
          <w:sz w:val="36"/>
          <w:szCs w:val="36"/>
          <w:rtl/>
        </w:rPr>
        <w:t xml:space="preserve"> </w:t>
      </w:r>
      <w:r w:rsidR="004609B7" w:rsidRPr="00FD211F">
        <w:rPr>
          <w:sz w:val="36"/>
          <w:szCs w:val="36"/>
          <w:rtl/>
        </w:rPr>
        <w:t>بالظهور</w:t>
      </w:r>
      <w:r w:rsidR="00E8128F">
        <w:rPr>
          <w:sz w:val="36"/>
          <w:szCs w:val="36"/>
          <w:rtl/>
        </w:rPr>
        <w:t xml:space="preserve"> </w:t>
      </w:r>
      <w:r w:rsidR="004609B7" w:rsidRPr="00FD211F">
        <w:rPr>
          <w:sz w:val="36"/>
          <w:szCs w:val="36"/>
          <w:rtl/>
        </w:rPr>
        <w:t>الانصرافي</w:t>
      </w:r>
      <w:r w:rsidR="00603323" w:rsidRPr="00FD211F">
        <w:rPr>
          <w:sz w:val="36"/>
          <w:szCs w:val="36"/>
          <w:rtl/>
        </w:rPr>
        <w:t>،</w:t>
      </w:r>
      <w:r w:rsidR="00E8128F">
        <w:rPr>
          <w:sz w:val="36"/>
          <w:szCs w:val="36"/>
          <w:rtl/>
        </w:rPr>
        <w:t xml:space="preserve"> </w:t>
      </w:r>
      <w:r w:rsidR="008E2B3B" w:rsidRPr="00FD211F">
        <w:rPr>
          <w:sz w:val="36"/>
          <w:szCs w:val="36"/>
          <w:rtl/>
        </w:rPr>
        <w:t>فان</w:t>
      </w:r>
      <w:r w:rsidR="00E8128F">
        <w:rPr>
          <w:sz w:val="36"/>
          <w:szCs w:val="36"/>
          <w:rtl/>
        </w:rPr>
        <w:t xml:space="preserve"> </w:t>
      </w:r>
      <w:r w:rsidR="008E2B3B" w:rsidRPr="00FD211F">
        <w:rPr>
          <w:sz w:val="36"/>
          <w:szCs w:val="36"/>
          <w:rtl/>
        </w:rPr>
        <w:t>ظاهر</w:t>
      </w:r>
      <w:r w:rsidR="00E8128F">
        <w:rPr>
          <w:sz w:val="36"/>
          <w:szCs w:val="36"/>
          <w:rtl/>
        </w:rPr>
        <w:t xml:space="preserve"> </w:t>
      </w:r>
      <w:r w:rsidRPr="00FD211F">
        <w:rPr>
          <w:sz w:val="36"/>
          <w:szCs w:val="36"/>
          <w:rtl/>
        </w:rPr>
        <w:t>القضي</w:t>
      </w:r>
      <w:r w:rsidR="00EC7EDF" w:rsidRPr="00FD211F">
        <w:rPr>
          <w:sz w:val="36"/>
          <w:szCs w:val="36"/>
          <w:rtl/>
        </w:rPr>
        <w:t>ة</w:t>
      </w:r>
      <w:r w:rsidR="00E8128F">
        <w:rPr>
          <w:sz w:val="36"/>
          <w:szCs w:val="36"/>
          <w:rtl/>
        </w:rPr>
        <w:t xml:space="preserve"> </w:t>
      </w:r>
      <w:r w:rsidR="008E2B3B" w:rsidRPr="00FD211F">
        <w:rPr>
          <w:sz w:val="36"/>
          <w:szCs w:val="36"/>
          <w:rtl/>
        </w:rPr>
        <w:t>اتحاد</w:t>
      </w:r>
      <w:r w:rsidR="00E8128F">
        <w:rPr>
          <w:sz w:val="36"/>
          <w:szCs w:val="36"/>
          <w:rtl/>
        </w:rPr>
        <w:t xml:space="preserve"> </w:t>
      </w:r>
      <w:r w:rsidR="008E2B3B" w:rsidRPr="00FD211F">
        <w:rPr>
          <w:sz w:val="36"/>
          <w:szCs w:val="36"/>
          <w:rtl/>
        </w:rPr>
        <w:t>زمان</w:t>
      </w:r>
      <w:r w:rsidR="00E8128F">
        <w:rPr>
          <w:sz w:val="36"/>
          <w:szCs w:val="36"/>
          <w:rtl/>
        </w:rPr>
        <w:t xml:space="preserve"> </w:t>
      </w:r>
      <w:r w:rsidR="008E2B3B" w:rsidRPr="00FD211F">
        <w:rPr>
          <w:sz w:val="36"/>
          <w:szCs w:val="36"/>
          <w:rtl/>
        </w:rPr>
        <w:t>النطق</w:t>
      </w:r>
      <w:r w:rsidR="00E8128F">
        <w:rPr>
          <w:sz w:val="36"/>
          <w:szCs w:val="36"/>
          <w:rtl/>
        </w:rPr>
        <w:t xml:space="preserve"> </w:t>
      </w:r>
      <w:r w:rsidR="008E2B3B" w:rsidRPr="00FD211F">
        <w:rPr>
          <w:sz w:val="36"/>
          <w:szCs w:val="36"/>
          <w:rtl/>
        </w:rPr>
        <w:t>والاسناد</w:t>
      </w:r>
      <w:r w:rsidR="00E8128F">
        <w:rPr>
          <w:sz w:val="36"/>
          <w:szCs w:val="36"/>
          <w:rtl/>
        </w:rPr>
        <w:t xml:space="preserve"> </w:t>
      </w:r>
      <w:r w:rsidR="008E2B3B" w:rsidRPr="00FD211F">
        <w:rPr>
          <w:sz w:val="36"/>
          <w:szCs w:val="36"/>
          <w:rtl/>
        </w:rPr>
        <w:t>حيث</w:t>
      </w:r>
      <w:r w:rsidR="00E8128F">
        <w:rPr>
          <w:sz w:val="36"/>
          <w:szCs w:val="36"/>
          <w:rtl/>
        </w:rPr>
        <w:t xml:space="preserve"> </w:t>
      </w:r>
      <w:r w:rsidR="008E2B3B" w:rsidRPr="00FD211F">
        <w:rPr>
          <w:sz w:val="36"/>
          <w:szCs w:val="36"/>
          <w:rtl/>
        </w:rPr>
        <w:t>ان</w:t>
      </w:r>
      <w:r w:rsidR="00E8128F">
        <w:rPr>
          <w:sz w:val="36"/>
          <w:szCs w:val="36"/>
          <w:rtl/>
        </w:rPr>
        <w:t xml:space="preserve"> </w:t>
      </w:r>
      <w:r w:rsidR="008E2B3B" w:rsidRPr="00FD211F">
        <w:rPr>
          <w:sz w:val="36"/>
          <w:szCs w:val="36"/>
          <w:rtl/>
        </w:rPr>
        <w:t>كون</w:t>
      </w:r>
      <w:r w:rsidR="00E8128F">
        <w:rPr>
          <w:sz w:val="36"/>
          <w:szCs w:val="36"/>
          <w:rtl/>
        </w:rPr>
        <w:t xml:space="preserve"> </w:t>
      </w:r>
      <w:r w:rsidR="008E2B3B" w:rsidRPr="00FD211F">
        <w:rPr>
          <w:sz w:val="36"/>
          <w:szCs w:val="36"/>
          <w:rtl/>
        </w:rPr>
        <w:t>النظر</w:t>
      </w:r>
      <w:r w:rsidR="00E8128F">
        <w:rPr>
          <w:sz w:val="36"/>
          <w:szCs w:val="36"/>
          <w:rtl/>
        </w:rPr>
        <w:t xml:space="preserve"> </w:t>
      </w:r>
      <w:r w:rsidR="008E2B3B" w:rsidRPr="00FD211F">
        <w:rPr>
          <w:sz w:val="36"/>
          <w:szCs w:val="36"/>
          <w:rtl/>
        </w:rPr>
        <w:t>في</w:t>
      </w:r>
      <w:r w:rsidR="00E8128F">
        <w:rPr>
          <w:sz w:val="36"/>
          <w:szCs w:val="36"/>
          <w:rtl/>
        </w:rPr>
        <w:t xml:space="preserve"> </w:t>
      </w:r>
      <w:r w:rsidR="008E2B3B" w:rsidRPr="00FD211F">
        <w:rPr>
          <w:sz w:val="36"/>
          <w:szCs w:val="36"/>
          <w:rtl/>
        </w:rPr>
        <w:t>الاسناد</w:t>
      </w:r>
      <w:r w:rsidR="00E8128F">
        <w:rPr>
          <w:sz w:val="36"/>
          <w:szCs w:val="36"/>
          <w:rtl/>
        </w:rPr>
        <w:t xml:space="preserve"> </w:t>
      </w:r>
      <w:r w:rsidR="008E2B3B" w:rsidRPr="00FD211F">
        <w:rPr>
          <w:sz w:val="36"/>
          <w:szCs w:val="36"/>
          <w:rtl/>
        </w:rPr>
        <w:t>الى</w:t>
      </w:r>
      <w:r w:rsidR="00E8128F">
        <w:rPr>
          <w:sz w:val="36"/>
          <w:szCs w:val="36"/>
          <w:rtl/>
        </w:rPr>
        <w:t xml:space="preserve"> </w:t>
      </w:r>
      <w:r w:rsidR="008E2B3B" w:rsidRPr="00FD211F">
        <w:rPr>
          <w:sz w:val="36"/>
          <w:szCs w:val="36"/>
          <w:rtl/>
        </w:rPr>
        <w:t>زمان</w:t>
      </w:r>
      <w:r w:rsidR="00E8128F">
        <w:rPr>
          <w:sz w:val="36"/>
          <w:szCs w:val="36"/>
          <w:rtl/>
        </w:rPr>
        <w:t xml:space="preserve"> </w:t>
      </w:r>
      <w:r w:rsidR="008E2B3B" w:rsidRPr="00FD211F">
        <w:rPr>
          <w:sz w:val="36"/>
          <w:szCs w:val="36"/>
          <w:rtl/>
        </w:rPr>
        <w:t>آخر</w:t>
      </w:r>
      <w:r w:rsidR="00E8128F">
        <w:rPr>
          <w:sz w:val="36"/>
          <w:szCs w:val="36"/>
          <w:rtl/>
        </w:rPr>
        <w:t xml:space="preserve"> </w:t>
      </w:r>
      <w:r w:rsidR="008E2B3B" w:rsidRPr="00FD211F">
        <w:rPr>
          <w:sz w:val="36"/>
          <w:szCs w:val="36"/>
          <w:rtl/>
        </w:rPr>
        <w:t>غير</w:t>
      </w:r>
      <w:r w:rsidR="00E8128F">
        <w:rPr>
          <w:sz w:val="36"/>
          <w:szCs w:val="36"/>
          <w:rtl/>
        </w:rPr>
        <w:t xml:space="preserve"> </w:t>
      </w:r>
      <w:r w:rsidR="005C5FD5" w:rsidRPr="00FD211F">
        <w:rPr>
          <w:sz w:val="36"/>
          <w:szCs w:val="36"/>
          <w:rtl/>
        </w:rPr>
        <w:t>زمان</w:t>
      </w:r>
      <w:r w:rsidR="00E8128F">
        <w:rPr>
          <w:sz w:val="36"/>
          <w:szCs w:val="36"/>
          <w:rtl/>
        </w:rPr>
        <w:t xml:space="preserve"> </w:t>
      </w:r>
      <w:r w:rsidR="005C5FD5" w:rsidRPr="00FD211F">
        <w:rPr>
          <w:sz w:val="36"/>
          <w:szCs w:val="36"/>
          <w:rtl/>
        </w:rPr>
        <w:t>النطق</w:t>
      </w:r>
      <w:r w:rsidR="00E8128F">
        <w:rPr>
          <w:sz w:val="36"/>
          <w:szCs w:val="36"/>
          <w:rtl/>
        </w:rPr>
        <w:t xml:space="preserve"> </w:t>
      </w:r>
      <w:r w:rsidR="003230A7" w:rsidRPr="00FD211F">
        <w:rPr>
          <w:sz w:val="36"/>
          <w:szCs w:val="36"/>
          <w:rtl/>
        </w:rPr>
        <w:t>-</w:t>
      </w:r>
      <w:r w:rsidR="005C5FD5" w:rsidRPr="00FD211F">
        <w:rPr>
          <w:sz w:val="36"/>
          <w:szCs w:val="36"/>
          <w:rtl/>
        </w:rPr>
        <w:t>الذي</w:t>
      </w:r>
      <w:r w:rsidR="00E8128F">
        <w:rPr>
          <w:sz w:val="36"/>
          <w:szCs w:val="36"/>
          <w:rtl/>
        </w:rPr>
        <w:t xml:space="preserve"> </w:t>
      </w:r>
      <w:r w:rsidR="005C5FD5" w:rsidRPr="00FD211F">
        <w:rPr>
          <w:sz w:val="36"/>
          <w:szCs w:val="36"/>
          <w:rtl/>
        </w:rPr>
        <w:t>هو</w:t>
      </w:r>
      <w:r w:rsidR="00E8128F">
        <w:rPr>
          <w:sz w:val="36"/>
          <w:szCs w:val="36"/>
          <w:rtl/>
        </w:rPr>
        <w:t xml:space="preserve"> </w:t>
      </w:r>
      <w:r w:rsidR="008E2B3B" w:rsidRPr="00FD211F">
        <w:rPr>
          <w:sz w:val="36"/>
          <w:szCs w:val="36"/>
          <w:rtl/>
        </w:rPr>
        <w:t>زمان</w:t>
      </w:r>
      <w:r w:rsidR="00E8128F">
        <w:rPr>
          <w:sz w:val="36"/>
          <w:szCs w:val="36"/>
          <w:rtl/>
        </w:rPr>
        <w:t xml:space="preserve"> </w:t>
      </w:r>
      <w:r w:rsidR="008E2B3B" w:rsidRPr="00FD211F">
        <w:rPr>
          <w:sz w:val="36"/>
          <w:szCs w:val="36"/>
          <w:rtl/>
        </w:rPr>
        <w:t>ايجاد</w:t>
      </w:r>
      <w:r w:rsidR="00E8128F">
        <w:rPr>
          <w:sz w:val="36"/>
          <w:szCs w:val="36"/>
          <w:rtl/>
        </w:rPr>
        <w:t xml:space="preserve"> </w:t>
      </w:r>
      <w:r w:rsidR="008E2B3B" w:rsidRPr="00FD211F">
        <w:rPr>
          <w:sz w:val="36"/>
          <w:szCs w:val="36"/>
          <w:rtl/>
        </w:rPr>
        <w:t>نفس</w:t>
      </w:r>
      <w:r w:rsidR="00E8128F">
        <w:rPr>
          <w:sz w:val="36"/>
          <w:szCs w:val="36"/>
          <w:rtl/>
        </w:rPr>
        <w:t xml:space="preserve"> </w:t>
      </w:r>
      <w:r w:rsidR="008E2B3B" w:rsidRPr="00FD211F">
        <w:rPr>
          <w:sz w:val="36"/>
          <w:szCs w:val="36"/>
          <w:rtl/>
        </w:rPr>
        <w:t>الاسناد</w:t>
      </w:r>
      <w:r w:rsidR="00E8128F">
        <w:rPr>
          <w:sz w:val="36"/>
          <w:szCs w:val="36"/>
          <w:rtl/>
        </w:rPr>
        <w:t xml:space="preserve"> </w:t>
      </w:r>
      <w:r w:rsidR="008E2B3B" w:rsidRPr="00FD211F">
        <w:rPr>
          <w:sz w:val="36"/>
          <w:szCs w:val="36"/>
          <w:rtl/>
        </w:rPr>
        <w:t>والربط</w:t>
      </w:r>
      <w:r w:rsidR="00E8128F">
        <w:rPr>
          <w:sz w:val="36"/>
          <w:szCs w:val="36"/>
          <w:rtl/>
        </w:rPr>
        <w:t xml:space="preserve"> </w:t>
      </w:r>
      <w:r w:rsidR="008E2B3B" w:rsidRPr="00FD211F">
        <w:rPr>
          <w:sz w:val="36"/>
          <w:szCs w:val="36"/>
          <w:rtl/>
        </w:rPr>
        <w:t>الكلامي</w:t>
      </w:r>
      <w:r w:rsidR="003230A7" w:rsidRPr="00FD211F">
        <w:rPr>
          <w:sz w:val="36"/>
          <w:szCs w:val="36"/>
          <w:rtl/>
        </w:rPr>
        <w:t>-</w:t>
      </w:r>
      <w:r w:rsidR="00E8128F">
        <w:rPr>
          <w:sz w:val="36"/>
          <w:szCs w:val="36"/>
          <w:rtl/>
        </w:rPr>
        <w:t xml:space="preserve"> </w:t>
      </w:r>
      <w:r w:rsidR="008E2B3B" w:rsidRPr="00FD211F">
        <w:rPr>
          <w:sz w:val="36"/>
          <w:szCs w:val="36"/>
          <w:rtl/>
        </w:rPr>
        <w:t>يحتاج</w:t>
      </w:r>
      <w:r w:rsidR="00E8128F">
        <w:rPr>
          <w:sz w:val="36"/>
          <w:szCs w:val="36"/>
          <w:rtl/>
        </w:rPr>
        <w:t xml:space="preserve"> </w:t>
      </w:r>
      <w:r w:rsidR="008E2B3B" w:rsidRPr="00FD211F">
        <w:rPr>
          <w:sz w:val="36"/>
          <w:szCs w:val="36"/>
          <w:rtl/>
        </w:rPr>
        <w:t>الى</w:t>
      </w:r>
      <w:r w:rsidR="00E8128F">
        <w:rPr>
          <w:sz w:val="36"/>
          <w:szCs w:val="36"/>
          <w:rtl/>
        </w:rPr>
        <w:t xml:space="preserve"> </w:t>
      </w:r>
      <w:r w:rsidR="008E2B3B" w:rsidRPr="00FD211F">
        <w:rPr>
          <w:sz w:val="36"/>
          <w:szCs w:val="36"/>
          <w:rtl/>
        </w:rPr>
        <w:t>مؤون</w:t>
      </w:r>
      <w:r w:rsidR="00EC7EDF" w:rsidRPr="00FD211F">
        <w:rPr>
          <w:sz w:val="36"/>
          <w:szCs w:val="36"/>
          <w:rtl/>
        </w:rPr>
        <w:t>ة</w:t>
      </w:r>
      <w:r w:rsidR="00E8128F">
        <w:rPr>
          <w:sz w:val="36"/>
          <w:szCs w:val="36"/>
          <w:rtl/>
        </w:rPr>
        <w:t xml:space="preserve"> </w:t>
      </w:r>
      <w:r w:rsidR="008E2B3B" w:rsidRPr="00FD211F">
        <w:rPr>
          <w:sz w:val="36"/>
          <w:szCs w:val="36"/>
          <w:rtl/>
        </w:rPr>
        <w:t>وقرين</w:t>
      </w:r>
      <w:r w:rsidR="00EC7EDF" w:rsidRPr="00FD211F">
        <w:rPr>
          <w:sz w:val="36"/>
          <w:szCs w:val="36"/>
          <w:rtl/>
        </w:rPr>
        <w:t>ة</w:t>
      </w:r>
      <w:r w:rsidR="00E8128F">
        <w:rPr>
          <w:sz w:val="36"/>
          <w:szCs w:val="36"/>
          <w:rtl/>
        </w:rPr>
        <w:t xml:space="preserve"> </w:t>
      </w:r>
      <w:r w:rsidR="008E2B3B" w:rsidRPr="00FD211F">
        <w:rPr>
          <w:sz w:val="36"/>
          <w:szCs w:val="36"/>
          <w:rtl/>
        </w:rPr>
        <w:t>زائد</w:t>
      </w:r>
      <w:r w:rsidR="00EC7EDF" w:rsidRPr="00FD211F">
        <w:rPr>
          <w:sz w:val="36"/>
          <w:szCs w:val="36"/>
          <w:rtl/>
        </w:rPr>
        <w:t>ة</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مثلا</w:t>
      </w:r>
      <w:r w:rsidR="00E8128F">
        <w:rPr>
          <w:sz w:val="36"/>
          <w:szCs w:val="36"/>
          <w:rtl/>
        </w:rPr>
        <w:t xml:space="preserve"> </w:t>
      </w:r>
      <w:r w:rsidR="003230A7" w:rsidRPr="00FD211F">
        <w:rPr>
          <w:sz w:val="36"/>
          <w:szCs w:val="36"/>
          <w:rtl/>
        </w:rPr>
        <w:t>"</w:t>
      </w:r>
      <w:r w:rsidRPr="00FD211F">
        <w:rPr>
          <w:sz w:val="36"/>
          <w:szCs w:val="36"/>
          <w:rtl/>
        </w:rPr>
        <w:t>زيد</w:t>
      </w:r>
      <w:r w:rsidR="00E8128F">
        <w:rPr>
          <w:sz w:val="36"/>
          <w:szCs w:val="36"/>
          <w:rtl/>
        </w:rPr>
        <w:t xml:space="preserve"> </w:t>
      </w:r>
      <w:r w:rsidRPr="00FD211F">
        <w:rPr>
          <w:sz w:val="36"/>
          <w:szCs w:val="36"/>
          <w:rtl/>
        </w:rPr>
        <w:t>ك</w:t>
      </w:r>
      <w:r w:rsidR="005C5FD5" w:rsidRPr="00FD211F">
        <w:rPr>
          <w:sz w:val="36"/>
          <w:szCs w:val="36"/>
          <w:rtl/>
        </w:rPr>
        <w:t>ان</w:t>
      </w:r>
      <w:r w:rsidR="00E8128F">
        <w:rPr>
          <w:sz w:val="36"/>
          <w:szCs w:val="36"/>
          <w:rtl/>
        </w:rPr>
        <w:t xml:space="preserve"> </w:t>
      </w:r>
      <w:r w:rsidR="005C5FD5" w:rsidRPr="00FD211F">
        <w:rPr>
          <w:sz w:val="36"/>
          <w:szCs w:val="36"/>
          <w:rtl/>
        </w:rPr>
        <w:t>عالما</w:t>
      </w:r>
      <w:r w:rsidR="003230A7" w:rsidRPr="00FD211F">
        <w:rPr>
          <w:sz w:val="36"/>
          <w:szCs w:val="36"/>
          <w:rtl/>
        </w:rPr>
        <w:t>"</w:t>
      </w:r>
      <w:r w:rsidR="00603323" w:rsidRPr="00FD211F">
        <w:rPr>
          <w:sz w:val="36"/>
          <w:szCs w:val="36"/>
          <w:rtl/>
        </w:rPr>
        <w:t>،</w:t>
      </w:r>
      <w:r w:rsidR="00E8128F">
        <w:rPr>
          <w:sz w:val="36"/>
          <w:szCs w:val="36"/>
          <w:rtl/>
        </w:rPr>
        <w:t xml:space="preserve"> </w:t>
      </w:r>
      <w:r w:rsidR="008E2B3B" w:rsidRPr="00FD211F">
        <w:rPr>
          <w:sz w:val="36"/>
          <w:szCs w:val="36"/>
          <w:rtl/>
        </w:rPr>
        <w:t>وعليه</w:t>
      </w:r>
      <w:r w:rsidR="00E8128F">
        <w:rPr>
          <w:sz w:val="36"/>
          <w:szCs w:val="36"/>
          <w:rtl/>
        </w:rPr>
        <w:t xml:space="preserve"> </w:t>
      </w:r>
      <w:r w:rsidR="008E2B3B" w:rsidRPr="00FD211F">
        <w:rPr>
          <w:sz w:val="36"/>
          <w:szCs w:val="36"/>
          <w:rtl/>
        </w:rPr>
        <w:t>فيكون</w:t>
      </w:r>
      <w:r w:rsidR="00E8128F">
        <w:rPr>
          <w:sz w:val="36"/>
          <w:szCs w:val="36"/>
          <w:rtl/>
        </w:rPr>
        <w:t xml:space="preserve"> </w:t>
      </w:r>
      <w:r w:rsidR="005C5FD5" w:rsidRPr="00FD211F">
        <w:rPr>
          <w:sz w:val="36"/>
          <w:szCs w:val="36"/>
          <w:rtl/>
        </w:rPr>
        <w:t>قولنا</w:t>
      </w:r>
      <w:r w:rsidR="00E8128F">
        <w:rPr>
          <w:sz w:val="36"/>
          <w:szCs w:val="36"/>
          <w:rtl/>
        </w:rPr>
        <w:t xml:space="preserve"> </w:t>
      </w:r>
      <w:r w:rsidR="003230A7" w:rsidRPr="00FD211F">
        <w:rPr>
          <w:sz w:val="36"/>
          <w:szCs w:val="36"/>
          <w:rtl/>
        </w:rPr>
        <w:t>"</w:t>
      </w:r>
      <w:r w:rsidR="008E2B3B" w:rsidRPr="00FD211F">
        <w:rPr>
          <w:sz w:val="36"/>
          <w:szCs w:val="36"/>
          <w:rtl/>
        </w:rPr>
        <w:t>زيد</w:t>
      </w:r>
      <w:r w:rsidR="00E8128F">
        <w:rPr>
          <w:sz w:val="36"/>
          <w:szCs w:val="36"/>
          <w:rtl/>
        </w:rPr>
        <w:t xml:space="preserve"> </w:t>
      </w:r>
      <w:r w:rsidR="008E2B3B" w:rsidRPr="00FD211F">
        <w:rPr>
          <w:sz w:val="36"/>
          <w:szCs w:val="36"/>
          <w:rtl/>
        </w:rPr>
        <w:t>عالم</w:t>
      </w:r>
      <w:r w:rsidR="003230A7" w:rsidRPr="00FD211F">
        <w:rPr>
          <w:sz w:val="36"/>
          <w:szCs w:val="36"/>
          <w:rtl/>
        </w:rPr>
        <w:t>"</w:t>
      </w:r>
      <w:r w:rsidR="00E8128F">
        <w:rPr>
          <w:sz w:val="36"/>
          <w:szCs w:val="36"/>
          <w:rtl/>
        </w:rPr>
        <w:t xml:space="preserve"> </w:t>
      </w:r>
      <w:r w:rsidR="008E2B3B" w:rsidRPr="00FD211F">
        <w:rPr>
          <w:sz w:val="36"/>
          <w:szCs w:val="36"/>
          <w:rtl/>
        </w:rPr>
        <w:t>في</w:t>
      </w:r>
      <w:r w:rsidR="00E8128F">
        <w:rPr>
          <w:sz w:val="36"/>
          <w:szCs w:val="36"/>
          <w:rtl/>
        </w:rPr>
        <w:t xml:space="preserve"> </w:t>
      </w:r>
      <w:r w:rsidR="008E2B3B" w:rsidRPr="00FD211F">
        <w:rPr>
          <w:sz w:val="36"/>
          <w:szCs w:val="36"/>
          <w:rtl/>
        </w:rPr>
        <w:t>قو</w:t>
      </w:r>
      <w:r w:rsidR="00EC7EDF" w:rsidRPr="00FD211F">
        <w:rPr>
          <w:sz w:val="36"/>
          <w:szCs w:val="36"/>
          <w:rtl/>
        </w:rPr>
        <w:t>ة</w:t>
      </w:r>
      <w:r w:rsidR="00E8128F">
        <w:rPr>
          <w:sz w:val="36"/>
          <w:szCs w:val="36"/>
          <w:rtl/>
        </w:rPr>
        <w:t xml:space="preserve"> </w:t>
      </w:r>
      <w:r w:rsidR="005C5FD5" w:rsidRPr="00FD211F">
        <w:rPr>
          <w:sz w:val="36"/>
          <w:szCs w:val="36"/>
          <w:rtl/>
        </w:rPr>
        <w:t>"</w:t>
      </w:r>
      <w:r w:rsidR="008E2B3B" w:rsidRPr="00FD211F">
        <w:rPr>
          <w:sz w:val="36"/>
          <w:szCs w:val="36"/>
          <w:rtl/>
        </w:rPr>
        <w:t>زيد</w:t>
      </w:r>
      <w:r w:rsidR="00E8128F">
        <w:rPr>
          <w:sz w:val="36"/>
          <w:szCs w:val="36"/>
          <w:rtl/>
        </w:rPr>
        <w:t xml:space="preserve"> </w:t>
      </w:r>
      <w:r w:rsidR="005C5FD5" w:rsidRPr="00FD211F">
        <w:rPr>
          <w:sz w:val="36"/>
          <w:szCs w:val="36"/>
          <w:rtl/>
        </w:rPr>
        <w:t>الآن</w:t>
      </w:r>
      <w:r w:rsidR="00E8128F">
        <w:rPr>
          <w:sz w:val="36"/>
          <w:szCs w:val="36"/>
          <w:rtl/>
        </w:rPr>
        <w:t xml:space="preserve"> </w:t>
      </w:r>
      <w:r w:rsidR="008E2B3B" w:rsidRPr="00FD211F">
        <w:rPr>
          <w:sz w:val="36"/>
          <w:szCs w:val="36"/>
          <w:rtl/>
        </w:rPr>
        <w:t>عالم</w:t>
      </w:r>
      <w:r w:rsidR="005C5FD5" w:rsidRPr="00FD211F">
        <w:rPr>
          <w:sz w:val="36"/>
          <w:szCs w:val="36"/>
          <w:rtl/>
        </w:rPr>
        <w:t>"</w:t>
      </w:r>
      <w:r w:rsidR="00E8128F">
        <w:rPr>
          <w:sz w:val="36"/>
          <w:szCs w:val="36"/>
          <w:rtl/>
        </w:rPr>
        <w:t xml:space="preserve"> </w:t>
      </w:r>
      <w:r w:rsidR="005C5FD5" w:rsidRPr="00FD211F">
        <w:rPr>
          <w:sz w:val="36"/>
          <w:szCs w:val="36"/>
          <w:rtl/>
        </w:rPr>
        <w:t>ببرك</w:t>
      </w:r>
      <w:r w:rsidR="00EC7EDF" w:rsidRPr="00FD211F">
        <w:rPr>
          <w:sz w:val="36"/>
          <w:szCs w:val="36"/>
          <w:rtl/>
        </w:rPr>
        <w:t>ة</w:t>
      </w:r>
      <w:r w:rsidR="00E8128F">
        <w:rPr>
          <w:sz w:val="36"/>
          <w:szCs w:val="36"/>
          <w:rtl/>
        </w:rPr>
        <w:t xml:space="preserve"> </w:t>
      </w:r>
      <w:r w:rsidR="005C5FD5" w:rsidRPr="00FD211F">
        <w:rPr>
          <w:sz w:val="36"/>
          <w:szCs w:val="36"/>
          <w:rtl/>
        </w:rPr>
        <w:t>هذا</w:t>
      </w:r>
      <w:r w:rsidR="00E8128F">
        <w:rPr>
          <w:sz w:val="36"/>
          <w:szCs w:val="36"/>
          <w:rtl/>
        </w:rPr>
        <w:t xml:space="preserve"> </w:t>
      </w:r>
      <w:r w:rsidR="005C5FD5" w:rsidRPr="00FD211F">
        <w:rPr>
          <w:sz w:val="36"/>
          <w:szCs w:val="36"/>
          <w:rtl/>
        </w:rPr>
        <w:t>الظهور</w:t>
      </w:r>
      <w:r w:rsidR="00E8128F">
        <w:rPr>
          <w:sz w:val="36"/>
          <w:szCs w:val="36"/>
          <w:rtl/>
        </w:rPr>
        <w:t xml:space="preserve"> </w:t>
      </w:r>
      <w:r w:rsidR="005C5FD5" w:rsidRPr="00FD211F">
        <w:rPr>
          <w:sz w:val="36"/>
          <w:szCs w:val="36"/>
          <w:rtl/>
        </w:rPr>
        <w:t>الانصرافي</w:t>
      </w:r>
      <w:r w:rsidR="00603323" w:rsidRPr="00FD211F">
        <w:rPr>
          <w:sz w:val="36"/>
          <w:szCs w:val="36"/>
          <w:rtl/>
        </w:rPr>
        <w:t>،</w:t>
      </w:r>
      <w:r w:rsidR="00E8128F">
        <w:rPr>
          <w:sz w:val="36"/>
          <w:szCs w:val="36"/>
          <w:rtl/>
        </w:rPr>
        <w:t xml:space="preserve"> </w:t>
      </w:r>
      <w:r w:rsidR="004609B7" w:rsidRPr="00FD211F">
        <w:rPr>
          <w:sz w:val="36"/>
          <w:szCs w:val="36"/>
          <w:rtl/>
        </w:rPr>
        <w:t>وحيث</w:t>
      </w:r>
      <w:r w:rsidR="00E8128F">
        <w:rPr>
          <w:sz w:val="36"/>
          <w:szCs w:val="36"/>
          <w:rtl/>
        </w:rPr>
        <w:t xml:space="preserve"> </w:t>
      </w:r>
      <w:r w:rsidR="004609B7" w:rsidRPr="00FD211F">
        <w:rPr>
          <w:sz w:val="36"/>
          <w:szCs w:val="36"/>
          <w:rtl/>
        </w:rPr>
        <w:t>يكون</w:t>
      </w:r>
      <w:r w:rsidR="00E8128F">
        <w:rPr>
          <w:sz w:val="36"/>
          <w:szCs w:val="36"/>
          <w:rtl/>
        </w:rPr>
        <w:t xml:space="preserve"> </w:t>
      </w:r>
      <w:r w:rsidR="004609B7" w:rsidRPr="00FD211F">
        <w:rPr>
          <w:sz w:val="36"/>
          <w:szCs w:val="36"/>
          <w:rtl/>
        </w:rPr>
        <w:t>المشتق</w:t>
      </w:r>
      <w:r w:rsidR="00E8128F">
        <w:rPr>
          <w:sz w:val="36"/>
          <w:szCs w:val="36"/>
          <w:rtl/>
        </w:rPr>
        <w:t xml:space="preserve"> </w:t>
      </w:r>
      <w:r w:rsidR="005C5FD5" w:rsidRPr="00FD211F">
        <w:rPr>
          <w:sz w:val="36"/>
          <w:szCs w:val="36"/>
          <w:rtl/>
        </w:rPr>
        <w:t>موضوعا</w:t>
      </w:r>
      <w:r w:rsidR="00E8128F">
        <w:rPr>
          <w:sz w:val="36"/>
          <w:szCs w:val="36"/>
          <w:rtl/>
        </w:rPr>
        <w:t xml:space="preserve"> </w:t>
      </w:r>
      <w:r w:rsidR="004609B7" w:rsidRPr="00FD211F">
        <w:rPr>
          <w:sz w:val="36"/>
          <w:szCs w:val="36"/>
          <w:rtl/>
        </w:rPr>
        <w:t>للذات</w:t>
      </w:r>
      <w:r w:rsidR="00E8128F">
        <w:rPr>
          <w:sz w:val="36"/>
          <w:szCs w:val="36"/>
          <w:rtl/>
        </w:rPr>
        <w:t xml:space="preserve"> </w:t>
      </w:r>
      <w:r w:rsidR="004609B7" w:rsidRPr="00FD211F">
        <w:rPr>
          <w:sz w:val="36"/>
          <w:szCs w:val="36"/>
          <w:rtl/>
        </w:rPr>
        <w:t>المتلبس</w:t>
      </w:r>
      <w:r w:rsidR="00EC7EDF" w:rsidRPr="00FD211F">
        <w:rPr>
          <w:sz w:val="36"/>
          <w:szCs w:val="36"/>
          <w:rtl/>
        </w:rPr>
        <w:t>ة</w:t>
      </w:r>
      <w:r w:rsidR="00E8128F">
        <w:rPr>
          <w:sz w:val="36"/>
          <w:szCs w:val="36"/>
          <w:rtl/>
        </w:rPr>
        <w:t xml:space="preserve"> </w:t>
      </w:r>
      <w:r w:rsidR="004609B7" w:rsidRPr="00FD211F">
        <w:rPr>
          <w:sz w:val="36"/>
          <w:szCs w:val="36"/>
          <w:rtl/>
        </w:rPr>
        <w:t>بال</w:t>
      </w:r>
      <w:r w:rsidR="0079493B" w:rsidRPr="00FD211F">
        <w:rPr>
          <w:sz w:val="36"/>
          <w:szCs w:val="36"/>
          <w:rtl/>
        </w:rPr>
        <w:t>مبدأ</w:t>
      </w:r>
      <w:r w:rsidR="00E8128F">
        <w:rPr>
          <w:sz w:val="36"/>
          <w:szCs w:val="36"/>
          <w:rtl/>
        </w:rPr>
        <w:t xml:space="preserve"> </w:t>
      </w:r>
      <w:r w:rsidR="004609B7" w:rsidRPr="00FD211F">
        <w:rPr>
          <w:sz w:val="36"/>
          <w:szCs w:val="36"/>
          <w:rtl/>
        </w:rPr>
        <w:t>في</w:t>
      </w:r>
      <w:r w:rsidR="00E8128F">
        <w:rPr>
          <w:sz w:val="36"/>
          <w:szCs w:val="36"/>
          <w:rtl/>
        </w:rPr>
        <w:t xml:space="preserve"> </w:t>
      </w:r>
      <w:r w:rsidR="004609B7" w:rsidRPr="00FD211F">
        <w:rPr>
          <w:sz w:val="36"/>
          <w:szCs w:val="36"/>
          <w:rtl/>
        </w:rPr>
        <w:t>زمان</w:t>
      </w:r>
      <w:r w:rsidR="00E8128F">
        <w:rPr>
          <w:sz w:val="36"/>
          <w:szCs w:val="36"/>
          <w:rtl/>
        </w:rPr>
        <w:t xml:space="preserve"> </w:t>
      </w:r>
      <w:r w:rsidR="004609B7" w:rsidRPr="00FD211F">
        <w:rPr>
          <w:sz w:val="36"/>
          <w:szCs w:val="36"/>
          <w:rtl/>
        </w:rPr>
        <w:t>الإسناد</w:t>
      </w:r>
      <w:r w:rsidR="00E8128F">
        <w:rPr>
          <w:sz w:val="36"/>
          <w:szCs w:val="36"/>
          <w:rtl/>
        </w:rPr>
        <w:t xml:space="preserve"> </w:t>
      </w:r>
      <w:r w:rsidR="005C5FD5" w:rsidRPr="00FD211F">
        <w:rPr>
          <w:sz w:val="36"/>
          <w:szCs w:val="36"/>
          <w:rtl/>
        </w:rPr>
        <w:t>وقد</w:t>
      </w:r>
      <w:r w:rsidR="00E8128F">
        <w:rPr>
          <w:sz w:val="36"/>
          <w:szCs w:val="36"/>
          <w:rtl/>
        </w:rPr>
        <w:t xml:space="preserve"> </w:t>
      </w:r>
      <w:r w:rsidR="005C5FD5" w:rsidRPr="00FD211F">
        <w:rPr>
          <w:sz w:val="36"/>
          <w:szCs w:val="36"/>
          <w:rtl/>
        </w:rPr>
        <w:t>فرض</w:t>
      </w:r>
      <w:r w:rsidR="00E8128F">
        <w:rPr>
          <w:sz w:val="36"/>
          <w:szCs w:val="36"/>
          <w:rtl/>
        </w:rPr>
        <w:t xml:space="preserve"> </w:t>
      </w:r>
      <w:r w:rsidR="005C5FD5" w:rsidRPr="00FD211F">
        <w:rPr>
          <w:sz w:val="36"/>
          <w:szCs w:val="36"/>
          <w:rtl/>
        </w:rPr>
        <w:t>ان</w:t>
      </w:r>
      <w:r w:rsidR="00E8128F">
        <w:rPr>
          <w:sz w:val="36"/>
          <w:szCs w:val="36"/>
          <w:rtl/>
        </w:rPr>
        <w:t xml:space="preserve"> </w:t>
      </w:r>
      <w:r w:rsidR="004609B7" w:rsidRPr="00FD211F">
        <w:rPr>
          <w:sz w:val="36"/>
          <w:szCs w:val="36"/>
          <w:rtl/>
        </w:rPr>
        <w:t>مقتضى</w:t>
      </w:r>
      <w:r w:rsidR="00E8128F">
        <w:rPr>
          <w:sz w:val="36"/>
          <w:szCs w:val="36"/>
          <w:rtl/>
        </w:rPr>
        <w:t xml:space="preserve"> </w:t>
      </w:r>
      <w:r w:rsidR="004609B7" w:rsidRPr="00FD211F">
        <w:rPr>
          <w:sz w:val="36"/>
          <w:szCs w:val="36"/>
          <w:rtl/>
        </w:rPr>
        <w:t>الظهور</w:t>
      </w:r>
      <w:r w:rsidR="00E8128F">
        <w:rPr>
          <w:sz w:val="36"/>
          <w:szCs w:val="36"/>
          <w:rtl/>
        </w:rPr>
        <w:t xml:space="preserve"> </w:t>
      </w:r>
      <w:r w:rsidR="004609B7" w:rsidRPr="00FD211F">
        <w:rPr>
          <w:sz w:val="36"/>
          <w:szCs w:val="36"/>
          <w:rtl/>
        </w:rPr>
        <w:t>الانصرافي</w:t>
      </w:r>
      <w:r w:rsidR="00E8128F">
        <w:rPr>
          <w:sz w:val="36"/>
          <w:szCs w:val="36"/>
          <w:rtl/>
        </w:rPr>
        <w:t xml:space="preserve"> </w:t>
      </w:r>
      <w:r w:rsidR="004609B7" w:rsidRPr="00FD211F">
        <w:rPr>
          <w:sz w:val="36"/>
          <w:szCs w:val="36"/>
          <w:rtl/>
        </w:rPr>
        <w:t>اتحاد</w:t>
      </w:r>
      <w:r w:rsidR="00E8128F">
        <w:rPr>
          <w:sz w:val="36"/>
          <w:szCs w:val="36"/>
          <w:rtl/>
        </w:rPr>
        <w:t xml:space="preserve"> </w:t>
      </w:r>
      <w:r w:rsidR="004609B7" w:rsidRPr="00FD211F">
        <w:rPr>
          <w:sz w:val="36"/>
          <w:szCs w:val="36"/>
          <w:rtl/>
        </w:rPr>
        <w:t>زمان</w:t>
      </w:r>
      <w:r w:rsidR="00E8128F">
        <w:rPr>
          <w:sz w:val="36"/>
          <w:szCs w:val="36"/>
          <w:rtl/>
        </w:rPr>
        <w:t xml:space="preserve"> </w:t>
      </w:r>
      <w:r w:rsidR="004609B7" w:rsidRPr="00FD211F">
        <w:rPr>
          <w:sz w:val="36"/>
          <w:szCs w:val="36"/>
          <w:rtl/>
        </w:rPr>
        <w:t>الاسناد</w:t>
      </w:r>
      <w:r w:rsidR="00E8128F">
        <w:rPr>
          <w:sz w:val="36"/>
          <w:szCs w:val="36"/>
          <w:rtl/>
        </w:rPr>
        <w:t xml:space="preserve"> </w:t>
      </w:r>
      <w:r w:rsidR="004609B7" w:rsidRPr="00FD211F">
        <w:rPr>
          <w:sz w:val="36"/>
          <w:szCs w:val="36"/>
          <w:rtl/>
        </w:rPr>
        <w:t>والنطق</w:t>
      </w:r>
      <w:r w:rsidR="00E8128F">
        <w:rPr>
          <w:sz w:val="36"/>
          <w:szCs w:val="36"/>
          <w:rtl/>
        </w:rPr>
        <w:t xml:space="preserve"> </w:t>
      </w:r>
      <w:r w:rsidR="004609B7" w:rsidRPr="00FD211F">
        <w:rPr>
          <w:sz w:val="36"/>
          <w:szCs w:val="36"/>
          <w:rtl/>
        </w:rPr>
        <w:t>فيدل</w:t>
      </w:r>
      <w:r w:rsidR="00E8128F">
        <w:rPr>
          <w:sz w:val="36"/>
          <w:szCs w:val="36"/>
          <w:rtl/>
        </w:rPr>
        <w:t xml:space="preserve"> </w:t>
      </w:r>
      <w:r w:rsidR="004609B7" w:rsidRPr="00FD211F">
        <w:rPr>
          <w:sz w:val="36"/>
          <w:szCs w:val="36"/>
          <w:rtl/>
        </w:rPr>
        <w:t>الكلام</w:t>
      </w:r>
      <w:r w:rsidR="00E8128F">
        <w:rPr>
          <w:sz w:val="36"/>
          <w:szCs w:val="36"/>
          <w:rtl/>
        </w:rPr>
        <w:t xml:space="preserve"> </w:t>
      </w:r>
      <w:r w:rsidR="004609B7" w:rsidRPr="00FD211F">
        <w:rPr>
          <w:sz w:val="36"/>
          <w:szCs w:val="36"/>
          <w:rtl/>
        </w:rPr>
        <w:t>على</w:t>
      </w:r>
      <w:r w:rsidR="00E8128F">
        <w:rPr>
          <w:sz w:val="36"/>
          <w:szCs w:val="36"/>
          <w:rtl/>
        </w:rPr>
        <w:t xml:space="preserve"> </w:t>
      </w:r>
      <w:r w:rsidR="004609B7" w:rsidRPr="00FD211F">
        <w:rPr>
          <w:sz w:val="36"/>
          <w:szCs w:val="36"/>
          <w:rtl/>
        </w:rPr>
        <w:t>تلبسه</w:t>
      </w:r>
      <w:r w:rsidR="00E8128F">
        <w:rPr>
          <w:sz w:val="36"/>
          <w:szCs w:val="36"/>
          <w:rtl/>
        </w:rPr>
        <w:t xml:space="preserve"> </w:t>
      </w:r>
      <w:r w:rsidR="004609B7" w:rsidRPr="00FD211F">
        <w:rPr>
          <w:sz w:val="36"/>
          <w:szCs w:val="36"/>
          <w:rtl/>
        </w:rPr>
        <w:t>بالعلم</w:t>
      </w:r>
      <w:r w:rsidR="00E8128F">
        <w:rPr>
          <w:sz w:val="36"/>
          <w:szCs w:val="36"/>
          <w:rtl/>
        </w:rPr>
        <w:t xml:space="preserve"> </w:t>
      </w:r>
      <w:r w:rsidR="004609B7" w:rsidRPr="00FD211F">
        <w:rPr>
          <w:sz w:val="36"/>
          <w:szCs w:val="36"/>
          <w:rtl/>
        </w:rPr>
        <w:t>في</w:t>
      </w:r>
      <w:r w:rsidR="00E8128F">
        <w:rPr>
          <w:sz w:val="36"/>
          <w:szCs w:val="36"/>
          <w:rtl/>
        </w:rPr>
        <w:t xml:space="preserve"> </w:t>
      </w:r>
      <w:r w:rsidR="004609B7" w:rsidRPr="00FD211F">
        <w:rPr>
          <w:sz w:val="36"/>
          <w:szCs w:val="36"/>
          <w:rtl/>
        </w:rPr>
        <w:t>زمان</w:t>
      </w:r>
      <w:r w:rsidR="00E8128F">
        <w:rPr>
          <w:sz w:val="36"/>
          <w:szCs w:val="36"/>
          <w:rtl/>
        </w:rPr>
        <w:t xml:space="preserve"> </w:t>
      </w:r>
      <w:r w:rsidR="004609B7" w:rsidRPr="00FD211F">
        <w:rPr>
          <w:sz w:val="36"/>
          <w:szCs w:val="36"/>
          <w:rtl/>
        </w:rPr>
        <w:t>النطق.</w:t>
      </w:r>
    </w:p>
    <w:p w14:paraId="7576DEFC" w14:textId="77777777" w:rsidR="000C5BBA" w:rsidRPr="00FD211F" w:rsidRDefault="005C5FD5" w:rsidP="00142012">
      <w:pPr>
        <w:ind w:left="0" w:firstLine="227"/>
        <w:jc w:val="both"/>
        <w:rPr>
          <w:sz w:val="36"/>
          <w:szCs w:val="36"/>
          <w:rtl/>
        </w:rPr>
      </w:pPr>
      <w:r w:rsidRPr="00FD211F">
        <w:rPr>
          <w:sz w:val="36"/>
          <w:szCs w:val="36"/>
          <w:rtl/>
        </w:rPr>
        <w:t>وهكذا</w:t>
      </w:r>
      <w:r w:rsidR="00E8128F">
        <w:rPr>
          <w:sz w:val="36"/>
          <w:szCs w:val="36"/>
          <w:rtl/>
        </w:rPr>
        <w:t xml:space="preserve"> </w:t>
      </w:r>
      <w:r w:rsidR="001B3112" w:rsidRPr="00FD211F">
        <w:rPr>
          <w:sz w:val="36"/>
          <w:szCs w:val="36"/>
          <w:rtl/>
        </w:rPr>
        <w:t>الأمر</w:t>
      </w:r>
      <w:r w:rsidR="00E8128F">
        <w:rPr>
          <w:sz w:val="36"/>
          <w:szCs w:val="36"/>
          <w:rtl/>
        </w:rPr>
        <w:t xml:space="preserve"> </w:t>
      </w:r>
      <w:r w:rsidR="004609B7" w:rsidRPr="00FD211F">
        <w:rPr>
          <w:sz w:val="36"/>
          <w:szCs w:val="36"/>
          <w:rtl/>
        </w:rPr>
        <w:t>بناء</w:t>
      </w:r>
      <w:r w:rsidR="00E8128F">
        <w:rPr>
          <w:sz w:val="36"/>
          <w:szCs w:val="36"/>
          <w:rtl/>
        </w:rPr>
        <w:t xml:space="preserve"> </w:t>
      </w:r>
      <w:r w:rsidR="004609B7" w:rsidRPr="00FD211F">
        <w:rPr>
          <w:sz w:val="36"/>
          <w:szCs w:val="36"/>
          <w:rtl/>
        </w:rPr>
        <w:t>على</w:t>
      </w:r>
      <w:r w:rsidR="00E8128F">
        <w:rPr>
          <w:sz w:val="36"/>
          <w:szCs w:val="36"/>
          <w:rtl/>
        </w:rPr>
        <w:t xml:space="preserve"> </w:t>
      </w:r>
      <w:r w:rsidR="008E2B3B" w:rsidRPr="00FD211F">
        <w:rPr>
          <w:sz w:val="36"/>
          <w:szCs w:val="36"/>
          <w:rtl/>
        </w:rPr>
        <w:t>وضع</w:t>
      </w:r>
      <w:r w:rsidR="00E8128F">
        <w:rPr>
          <w:sz w:val="36"/>
          <w:szCs w:val="36"/>
          <w:rtl/>
        </w:rPr>
        <w:t xml:space="preserve"> </w:t>
      </w:r>
      <w:r w:rsidR="008E2B3B" w:rsidRPr="00FD211F">
        <w:rPr>
          <w:sz w:val="36"/>
          <w:szCs w:val="36"/>
          <w:rtl/>
        </w:rPr>
        <w:t>المشتق</w:t>
      </w:r>
      <w:r w:rsidR="00E8128F">
        <w:rPr>
          <w:sz w:val="36"/>
          <w:szCs w:val="36"/>
          <w:rtl/>
        </w:rPr>
        <w:t xml:space="preserve"> </w:t>
      </w:r>
      <w:r w:rsidR="008E2B3B" w:rsidRPr="00FD211F">
        <w:rPr>
          <w:sz w:val="36"/>
          <w:szCs w:val="36"/>
          <w:rtl/>
        </w:rPr>
        <w:t>للذات</w:t>
      </w:r>
      <w:r w:rsidR="00E8128F">
        <w:rPr>
          <w:sz w:val="36"/>
          <w:szCs w:val="36"/>
          <w:rtl/>
        </w:rPr>
        <w:t xml:space="preserve"> </w:t>
      </w:r>
      <w:r w:rsidR="008E2B3B" w:rsidRPr="00FD211F">
        <w:rPr>
          <w:sz w:val="36"/>
          <w:szCs w:val="36"/>
          <w:rtl/>
        </w:rPr>
        <w:t>في</w:t>
      </w:r>
      <w:r w:rsidR="00E8128F">
        <w:rPr>
          <w:sz w:val="36"/>
          <w:szCs w:val="36"/>
          <w:rtl/>
        </w:rPr>
        <w:t xml:space="preserve"> </w:t>
      </w:r>
      <w:r w:rsidR="008E2B3B" w:rsidRPr="00FD211F">
        <w:rPr>
          <w:sz w:val="36"/>
          <w:szCs w:val="36"/>
          <w:rtl/>
        </w:rPr>
        <w:t>حال</w:t>
      </w:r>
      <w:r w:rsidR="00E8128F">
        <w:rPr>
          <w:sz w:val="36"/>
          <w:szCs w:val="36"/>
          <w:rtl/>
        </w:rPr>
        <w:t xml:space="preserve"> </w:t>
      </w:r>
      <w:r w:rsidR="008E2B3B" w:rsidRPr="00FD211F">
        <w:rPr>
          <w:sz w:val="36"/>
          <w:szCs w:val="36"/>
          <w:rtl/>
        </w:rPr>
        <w:t>تلبسه</w:t>
      </w:r>
      <w:r w:rsidR="004609B7" w:rsidRPr="00FD211F">
        <w:rPr>
          <w:sz w:val="36"/>
          <w:szCs w:val="36"/>
          <w:rtl/>
        </w:rPr>
        <w:t>ا</w:t>
      </w:r>
      <w:r w:rsidR="00E8128F">
        <w:rPr>
          <w:sz w:val="36"/>
          <w:szCs w:val="36"/>
          <w:rtl/>
        </w:rPr>
        <w:t xml:space="preserve"> </w:t>
      </w:r>
      <w:r w:rsidR="008E2B3B" w:rsidRPr="00FD211F">
        <w:rPr>
          <w:sz w:val="36"/>
          <w:szCs w:val="36"/>
          <w:rtl/>
        </w:rPr>
        <w:t>بال</w:t>
      </w:r>
      <w:r w:rsidR="0079493B" w:rsidRPr="00FD211F">
        <w:rPr>
          <w:sz w:val="36"/>
          <w:szCs w:val="36"/>
          <w:rtl/>
        </w:rPr>
        <w:t>مبدأ</w:t>
      </w:r>
      <w:r w:rsidR="00E8128F">
        <w:rPr>
          <w:sz w:val="36"/>
          <w:szCs w:val="36"/>
          <w:rtl/>
        </w:rPr>
        <w:t xml:space="preserve"> </w:t>
      </w:r>
      <w:r w:rsidR="004609B7" w:rsidRPr="00FD211F">
        <w:rPr>
          <w:sz w:val="36"/>
          <w:szCs w:val="36"/>
          <w:rtl/>
        </w:rPr>
        <w:t>من</w:t>
      </w:r>
      <w:r w:rsidR="00E8128F">
        <w:rPr>
          <w:sz w:val="36"/>
          <w:szCs w:val="36"/>
          <w:rtl/>
        </w:rPr>
        <w:t xml:space="preserve"> </w:t>
      </w:r>
      <w:r w:rsidR="004609B7" w:rsidRPr="00FD211F">
        <w:rPr>
          <w:sz w:val="36"/>
          <w:szCs w:val="36"/>
          <w:rtl/>
        </w:rPr>
        <w:t>دون</w:t>
      </w:r>
      <w:r w:rsidR="00E8128F">
        <w:rPr>
          <w:sz w:val="36"/>
          <w:szCs w:val="36"/>
          <w:rtl/>
        </w:rPr>
        <w:t xml:space="preserve"> </w:t>
      </w:r>
      <w:r w:rsidR="004609B7" w:rsidRPr="00FD211F">
        <w:rPr>
          <w:sz w:val="36"/>
          <w:szCs w:val="36"/>
          <w:rtl/>
        </w:rPr>
        <w:t>اخذ</w:t>
      </w:r>
      <w:r w:rsidR="00E8128F">
        <w:rPr>
          <w:sz w:val="36"/>
          <w:szCs w:val="36"/>
          <w:rtl/>
        </w:rPr>
        <w:t xml:space="preserve"> </w:t>
      </w:r>
      <w:r w:rsidR="004609B7" w:rsidRPr="00FD211F">
        <w:rPr>
          <w:sz w:val="36"/>
          <w:szCs w:val="36"/>
          <w:rtl/>
        </w:rPr>
        <w:t>زمان</w:t>
      </w:r>
      <w:r w:rsidR="00E8128F">
        <w:rPr>
          <w:sz w:val="36"/>
          <w:szCs w:val="36"/>
          <w:rtl/>
        </w:rPr>
        <w:t xml:space="preserve"> </w:t>
      </w:r>
      <w:r w:rsidR="004609B7" w:rsidRPr="00FD211F">
        <w:rPr>
          <w:sz w:val="36"/>
          <w:szCs w:val="36"/>
          <w:rtl/>
        </w:rPr>
        <w:t>النطق</w:t>
      </w:r>
      <w:r w:rsidR="00E8128F">
        <w:rPr>
          <w:sz w:val="36"/>
          <w:szCs w:val="36"/>
          <w:rtl/>
        </w:rPr>
        <w:t xml:space="preserve"> </w:t>
      </w:r>
      <w:r w:rsidR="004609B7" w:rsidRPr="00FD211F">
        <w:rPr>
          <w:sz w:val="36"/>
          <w:szCs w:val="36"/>
          <w:rtl/>
        </w:rPr>
        <w:t>او</w:t>
      </w:r>
      <w:r w:rsidR="00E8128F">
        <w:rPr>
          <w:sz w:val="36"/>
          <w:szCs w:val="36"/>
          <w:rtl/>
        </w:rPr>
        <w:t xml:space="preserve"> </w:t>
      </w:r>
      <w:r w:rsidR="004609B7" w:rsidRPr="00FD211F">
        <w:rPr>
          <w:sz w:val="36"/>
          <w:szCs w:val="36"/>
          <w:rtl/>
        </w:rPr>
        <w:t>الاسناد</w:t>
      </w:r>
      <w:r w:rsidR="00E8128F">
        <w:rPr>
          <w:sz w:val="36"/>
          <w:szCs w:val="36"/>
          <w:rtl/>
        </w:rPr>
        <w:t xml:space="preserve"> </w:t>
      </w:r>
      <w:r w:rsidR="004609B7" w:rsidRPr="00FD211F">
        <w:rPr>
          <w:sz w:val="36"/>
          <w:szCs w:val="36"/>
          <w:rtl/>
        </w:rPr>
        <w:t>فيه</w:t>
      </w:r>
      <w:r w:rsidR="00E8128F">
        <w:rPr>
          <w:sz w:val="36"/>
          <w:szCs w:val="36"/>
          <w:rtl/>
        </w:rPr>
        <w:t xml:space="preserve"> </w:t>
      </w:r>
      <w:r w:rsidR="008E2B3B" w:rsidRPr="00FD211F">
        <w:rPr>
          <w:sz w:val="36"/>
          <w:szCs w:val="36"/>
          <w:rtl/>
        </w:rPr>
        <w:t>كما</w:t>
      </w:r>
      <w:r w:rsidR="00E8128F">
        <w:rPr>
          <w:sz w:val="36"/>
          <w:szCs w:val="36"/>
          <w:rtl/>
        </w:rPr>
        <w:t xml:space="preserve"> </w:t>
      </w:r>
      <w:r w:rsidR="008E2B3B" w:rsidRPr="00FD211F">
        <w:rPr>
          <w:sz w:val="36"/>
          <w:szCs w:val="36"/>
          <w:rtl/>
        </w:rPr>
        <w:t>هو</w:t>
      </w:r>
      <w:r w:rsidR="00E8128F">
        <w:rPr>
          <w:sz w:val="36"/>
          <w:szCs w:val="36"/>
          <w:rtl/>
        </w:rPr>
        <w:t xml:space="preserve"> </w:t>
      </w:r>
      <w:r w:rsidR="008E2B3B" w:rsidRPr="00FD211F">
        <w:rPr>
          <w:sz w:val="36"/>
          <w:szCs w:val="36"/>
          <w:rtl/>
        </w:rPr>
        <w:t>الصحيح</w:t>
      </w:r>
      <w:r w:rsidR="00603323" w:rsidRPr="00FD211F">
        <w:rPr>
          <w:sz w:val="36"/>
          <w:szCs w:val="36"/>
          <w:rtl/>
        </w:rPr>
        <w:t>،</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صار</w:t>
      </w:r>
      <w:r w:rsidR="002D430C">
        <w:rPr>
          <w:rFonts w:hint="cs"/>
          <w:sz w:val="36"/>
          <w:szCs w:val="36"/>
          <w:rtl/>
        </w:rPr>
        <w:t xml:space="preserve"> </w:t>
      </w:r>
      <w:r w:rsidR="003230A7" w:rsidRPr="00FD211F">
        <w:rPr>
          <w:sz w:val="36"/>
          <w:szCs w:val="36"/>
          <w:rtl/>
        </w:rPr>
        <w:t>قولنا</w:t>
      </w:r>
      <w:r w:rsidR="00E8128F">
        <w:rPr>
          <w:sz w:val="36"/>
          <w:szCs w:val="36"/>
          <w:rtl/>
        </w:rPr>
        <w:t xml:space="preserve"> </w:t>
      </w:r>
      <w:r w:rsidR="003230A7" w:rsidRPr="00FD211F">
        <w:rPr>
          <w:sz w:val="36"/>
          <w:szCs w:val="36"/>
          <w:rtl/>
        </w:rPr>
        <w:t>"</w:t>
      </w:r>
      <w:r w:rsidRPr="00FD211F">
        <w:rPr>
          <w:sz w:val="36"/>
          <w:szCs w:val="36"/>
          <w:rtl/>
        </w:rPr>
        <w:t>زيد</w:t>
      </w:r>
      <w:r w:rsidR="00E8128F">
        <w:rPr>
          <w:sz w:val="36"/>
          <w:szCs w:val="36"/>
          <w:rtl/>
        </w:rPr>
        <w:t xml:space="preserve"> </w:t>
      </w:r>
      <w:r w:rsidRPr="00FD211F">
        <w:rPr>
          <w:sz w:val="36"/>
          <w:szCs w:val="36"/>
          <w:rtl/>
        </w:rPr>
        <w:t>عالم</w:t>
      </w:r>
      <w:r w:rsidR="003230A7" w:rsidRPr="00FD211F">
        <w:rPr>
          <w:sz w:val="36"/>
          <w:szCs w:val="36"/>
          <w:rtl/>
        </w:rPr>
        <w:t>"</w:t>
      </w:r>
      <w:r w:rsidR="00E8128F">
        <w:rPr>
          <w:sz w:val="36"/>
          <w:szCs w:val="36"/>
          <w:rtl/>
        </w:rPr>
        <w:t xml:space="preserve"> </w:t>
      </w:r>
      <w:r w:rsidRPr="00FD211F">
        <w:rPr>
          <w:sz w:val="36"/>
          <w:szCs w:val="36"/>
          <w:rtl/>
        </w:rPr>
        <w:t>ببرك</w:t>
      </w:r>
      <w:r w:rsidR="00EC7EDF" w:rsidRPr="00FD211F">
        <w:rPr>
          <w:sz w:val="36"/>
          <w:szCs w:val="36"/>
          <w:rtl/>
        </w:rPr>
        <w:t>ة</w:t>
      </w:r>
      <w:r w:rsidR="00E8128F">
        <w:rPr>
          <w:sz w:val="36"/>
          <w:szCs w:val="36"/>
          <w:rtl/>
        </w:rPr>
        <w:t xml:space="preserve"> </w:t>
      </w:r>
      <w:r w:rsidRPr="00FD211F">
        <w:rPr>
          <w:sz w:val="36"/>
          <w:szCs w:val="36"/>
          <w:rtl/>
        </w:rPr>
        <w:t>الظهور</w:t>
      </w:r>
      <w:r w:rsidR="00E8128F">
        <w:rPr>
          <w:sz w:val="36"/>
          <w:szCs w:val="36"/>
          <w:rtl/>
        </w:rPr>
        <w:t xml:space="preserve"> </w:t>
      </w:r>
      <w:r w:rsidRPr="00FD211F">
        <w:rPr>
          <w:sz w:val="36"/>
          <w:szCs w:val="36"/>
          <w:rtl/>
        </w:rPr>
        <w:t>الانصرافي</w:t>
      </w:r>
      <w:r w:rsidR="00E8128F">
        <w:rPr>
          <w:sz w:val="36"/>
          <w:szCs w:val="36"/>
          <w:rtl/>
        </w:rPr>
        <w:t xml:space="preserve"> </w:t>
      </w:r>
      <w:r w:rsidRPr="00FD211F">
        <w:rPr>
          <w:sz w:val="36"/>
          <w:szCs w:val="36"/>
          <w:rtl/>
        </w:rPr>
        <w:t>الاول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قو</w:t>
      </w:r>
      <w:r w:rsidR="00EC7EDF" w:rsidRPr="00FD211F">
        <w:rPr>
          <w:sz w:val="36"/>
          <w:szCs w:val="36"/>
          <w:rtl/>
        </w:rPr>
        <w:t>ة</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فعلا</w:t>
      </w:r>
      <w:r w:rsidR="00E8128F">
        <w:rPr>
          <w:sz w:val="36"/>
          <w:szCs w:val="36"/>
          <w:rtl/>
        </w:rPr>
        <w:t xml:space="preserve"> </w:t>
      </w:r>
      <w:r w:rsidRPr="00FD211F">
        <w:rPr>
          <w:sz w:val="36"/>
          <w:szCs w:val="36"/>
          <w:rtl/>
        </w:rPr>
        <w:t>عالم"</w:t>
      </w:r>
      <w:r w:rsidR="00E8128F">
        <w:rPr>
          <w:sz w:val="36"/>
          <w:szCs w:val="36"/>
          <w:rtl/>
        </w:rPr>
        <w:t xml:space="preserve"> </w:t>
      </w:r>
      <w:r w:rsidRPr="00FD211F">
        <w:rPr>
          <w:sz w:val="36"/>
          <w:szCs w:val="36"/>
          <w:rtl/>
        </w:rPr>
        <w:t>فيصير</w:t>
      </w:r>
      <w:r w:rsidR="00E8128F">
        <w:rPr>
          <w:sz w:val="36"/>
          <w:szCs w:val="36"/>
          <w:rtl/>
        </w:rPr>
        <w:t xml:space="preserve"> </w:t>
      </w:r>
      <w:r w:rsidRPr="00FD211F">
        <w:rPr>
          <w:sz w:val="36"/>
          <w:szCs w:val="36"/>
          <w:rtl/>
        </w:rPr>
        <w:t>معناه</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للذات</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حال</w:t>
      </w:r>
      <w:r w:rsidR="00E8128F">
        <w:rPr>
          <w:sz w:val="36"/>
          <w:szCs w:val="36"/>
          <w:rtl/>
        </w:rPr>
        <w:t xml:space="preserve"> </w:t>
      </w:r>
      <w:r w:rsidRPr="00FD211F">
        <w:rPr>
          <w:sz w:val="36"/>
          <w:szCs w:val="36"/>
          <w:rtl/>
        </w:rPr>
        <w:t>تلبسها</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ف</w:t>
      </w:r>
      <w:r w:rsidR="003230A7" w:rsidRPr="00FD211F">
        <w:rPr>
          <w:sz w:val="36"/>
          <w:szCs w:val="36"/>
          <w:rtl/>
        </w:rPr>
        <w:t>علا</w:t>
      </w:r>
      <w:r w:rsidR="00E8128F">
        <w:rPr>
          <w:sz w:val="36"/>
          <w:szCs w:val="36"/>
          <w:rtl/>
        </w:rPr>
        <w:t xml:space="preserve"> </w:t>
      </w:r>
      <w:r w:rsidR="003230A7" w:rsidRPr="00FD211F">
        <w:rPr>
          <w:sz w:val="36"/>
          <w:szCs w:val="36"/>
          <w:rtl/>
        </w:rPr>
        <w:t>مصداق</w:t>
      </w:r>
      <w:r w:rsidR="00E8128F">
        <w:rPr>
          <w:sz w:val="36"/>
          <w:szCs w:val="36"/>
          <w:rtl/>
        </w:rPr>
        <w:t xml:space="preserve"> </w:t>
      </w:r>
      <w:r w:rsidR="003230A7" w:rsidRPr="00FD211F">
        <w:rPr>
          <w:sz w:val="36"/>
          <w:szCs w:val="36"/>
          <w:rtl/>
        </w:rPr>
        <w:t>للذات</w:t>
      </w:r>
      <w:r w:rsidR="00E8128F">
        <w:rPr>
          <w:sz w:val="36"/>
          <w:szCs w:val="36"/>
          <w:rtl/>
        </w:rPr>
        <w:t xml:space="preserve"> </w:t>
      </w:r>
      <w:r w:rsidR="003230A7" w:rsidRPr="00FD211F">
        <w:rPr>
          <w:sz w:val="36"/>
          <w:szCs w:val="36"/>
          <w:rtl/>
        </w:rPr>
        <w:t>المتلبس</w:t>
      </w:r>
      <w:r w:rsidR="00EC7EDF" w:rsidRPr="00FD211F">
        <w:rPr>
          <w:sz w:val="36"/>
          <w:szCs w:val="36"/>
          <w:rtl/>
        </w:rPr>
        <w:t>ة</w:t>
      </w:r>
      <w:r w:rsidR="00E8128F">
        <w:rPr>
          <w:sz w:val="36"/>
          <w:szCs w:val="36"/>
          <w:rtl/>
        </w:rPr>
        <w:t xml:space="preserve"> </w:t>
      </w:r>
      <w:r w:rsidR="003230A7" w:rsidRPr="00FD211F">
        <w:rPr>
          <w:sz w:val="36"/>
          <w:szCs w:val="36"/>
          <w:rtl/>
        </w:rPr>
        <w:t>بالعلم.</w:t>
      </w:r>
    </w:p>
    <w:p w14:paraId="6C5555AB" w14:textId="77777777" w:rsidR="008E2B3B" w:rsidRPr="00FD211F" w:rsidRDefault="005C5FD5" w:rsidP="009C58C8">
      <w:pPr>
        <w:ind w:left="0" w:firstLine="227"/>
        <w:jc w:val="both"/>
        <w:rPr>
          <w:sz w:val="36"/>
          <w:szCs w:val="36"/>
          <w:rtl/>
        </w:rPr>
      </w:pPr>
      <w:r w:rsidRPr="00FD211F">
        <w:rPr>
          <w:sz w:val="36"/>
          <w:szCs w:val="36"/>
          <w:rtl/>
        </w:rPr>
        <w:t>و</w:t>
      </w:r>
      <w:r w:rsidR="00F93528" w:rsidRPr="00FD211F">
        <w:rPr>
          <w:sz w:val="36"/>
          <w:szCs w:val="36"/>
          <w:rtl/>
        </w:rPr>
        <w:t>بذلك</w:t>
      </w:r>
      <w:r w:rsidR="00E8128F">
        <w:rPr>
          <w:sz w:val="36"/>
          <w:szCs w:val="36"/>
          <w:rtl/>
        </w:rPr>
        <w:t xml:space="preserve"> </w:t>
      </w:r>
      <w:r w:rsidR="00F93528" w:rsidRPr="00FD211F">
        <w:rPr>
          <w:sz w:val="36"/>
          <w:szCs w:val="36"/>
          <w:rtl/>
        </w:rPr>
        <w:t>اتضح</w:t>
      </w:r>
      <w:r w:rsidR="00E8128F">
        <w:rPr>
          <w:sz w:val="36"/>
          <w:szCs w:val="36"/>
          <w:rtl/>
        </w:rPr>
        <w:t xml:space="preserve"> </w:t>
      </w:r>
      <w:r w:rsidR="00F93528" w:rsidRPr="00FD211F">
        <w:rPr>
          <w:sz w:val="36"/>
          <w:szCs w:val="36"/>
          <w:rtl/>
        </w:rPr>
        <w:t>الاشكال</w:t>
      </w:r>
      <w:r w:rsidR="00E8128F">
        <w:rPr>
          <w:sz w:val="36"/>
          <w:szCs w:val="36"/>
          <w:rtl/>
        </w:rPr>
        <w:t xml:space="preserve"> </w:t>
      </w:r>
      <w:r w:rsidR="00F93528" w:rsidRPr="00FD211F">
        <w:rPr>
          <w:sz w:val="36"/>
          <w:szCs w:val="36"/>
          <w:rtl/>
        </w:rPr>
        <w:t>فيما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للذات</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حال</w:t>
      </w:r>
      <w:r w:rsidR="00E8128F">
        <w:rPr>
          <w:sz w:val="36"/>
          <w:szCs w:val="36"/>
          <w:rtl/>
        </w:rPr>
        <w:t xml:space="preserve"> </w:t>
      </w:r>
      <w:r w:rsidRPr="00FD211F">
        <w:rPr>
          <w:sz w:val="36"/>
          <w:szCs w:val="36"/>
          <w:rtl/>
        </w:rPr>
        <w:t>تلبسها</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النطق</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الاسناد</w:t>
      </w:r>
      <w:r w:rsidR="00E8128F">
        <w:rPr>
          <w:sz w:val="36"/>
          <w:szCs w:val="36"/>
          <w:rtl/>
        </w:rPr>
        <w:t xml:space="preserve"> </w:t>
      </w:r>
      <w:r w:rsidRPr="00FD211F">
        <w:rPr>
          <w:sz w:val="36"/>
          <w:szCs w:val="36"/>
          <w:rtl/>
        </w:rPr>
        <w:t>فيه</w:t>
      </w:r>
      <w:r w:rsidR="00E8128F">
        <w:rPr>
          <w:sz w:val="36"/>
          <w:szCs w:val="36"/>
          <w:rtl/>
        </w:rPr>
        <w:t xml:space="preserve"> </w:t>
      </w:r>
      <w:r w:rsidR="008E2B3B" w:rsidRPr="00FD211F">
        <w:rPr>
          <w:sz w:val="36"/>
          <w:szCs w:val="36"/>
          <w:rtl/>
        </w:rPr>
        <w:t>فاستفاد</w:t>
      </w:r>
      <w:r w:rsidR="00EC7EDF" w:rsidRPr="00FD211F">
        <w:rPr>
          <w:sz w:val="36"/>
          <w:szCs w:val="36"/>
          <w:rtl/>
        </w:rPr>
        <w:t>ة</w:t>
      </w:r>
      <w:r w:rsidR="00E8128F">
        <w:rPr>
          <w:sz w:val="36"/>
          <w:szCs w:val="36"/>
          <w:rtl/>
        </w:rPr>
        <w:t xml:space="preserve"> </w:t>
      </w:r>
      <w:r w:rsidR="008E2B3B" w:rsidRPr="00FD211F">
        <w:rPr>
          <w:sz w:val="36"/>
          <w:szCs w:val="36"/>
          <w:rtl/>
        </w:rPr>
        <w:t>كون</w:t>
      </w:r>
      <w:r w:rsidR="00E8128F">
        <w:rPr>
          <w:sz w:val="36"/>
          <w:szCs w:val="36"/>
          <w:rtl/>
        </w:rPr>
        <w:t xml:space="preserve"> </w:t>
      </w:r>
      <w:r w:rsidR="008E2B3B" w:rsidRPr="00FD211F">
        <w:rPr>
          <w:sz w:val="36"/>
          <w:szCs w:val="36"/>
          <w:rtl/>
        </w:rPr>
        <w:t>زمان</w:t>
      </w:r>
      <w:r w:rsidR="00E8128F">
        <w:rPr>
          <w:sz w:val="36"/>
          <w:szCs w:val="36"/>
          <w:rtl/>
        </w:rPr>
        <w:t xml:space="preserve"> </w:t>
      </w:r>
      <w:r w:rsidR="008E2B3B" w:rsidRPr="00FD211F">
        <w:rPr>
          <w:sz w:val="36"/>
          <w:szCs w:val="36"/>
          <w:rtl/>
        </w:rPr>
        <w:t>تلبس</w:t>
      </w:r>
      <w:r w:rsidR="00E8128F">
        <w:rPr>
          <w:sz w:val="36"/>
          <w:szCs w:val="36"/>
          <w:rtl/>
        </w:rPr>
        <w:t xml:space="preserve"> </w:t>
      </w:r>
      <w:r w:rsidR="004609B7" w:rsidRPr="00FD211F">
        <w:rPr>
          <w:sz w:val="36"/>
          <w:szCs w:val="36"/>
          <w:rtl/>
        </w:rPr>
        <w:t>الذات</w:t>
      </w:r>
      <w:r w:rsidR="00E8128F">
        <w:rPr>
          <w:sz w:val="36"/>
          <w:szCs w:val="36"/>
          <w:rtl/>
        </w:rPr>
        <w:t xml:space="preserve"> </w:t>
      </w:r>
      <w:r w:rsidR="004609B7" w:rsidRPr="00FD211F">
        <w:rPr>
          <w:sz w:val="36"/>
          <w:szCs w:val="36"/>
          <w:rtl/>
        </w:rPr>
        <w:t>بال</w:t>
      </w:r>
      <w:r w:rsidR="0079493B" w:rsidRPr="00FD211F">
        <w:rPr>
          <w:sz w:val="36"/>
          <w:szCs w:val="36"/>
          <w:rtl/>
        </w:rPr>
        <w:t>مبدأ</w:t>
      </w:r>
      <w:r w:rsidR="00E8128F">
        <w:rPr>
          <w:sz w:val="36"/>
          <w:szCs w:val="36"/>
          <w:rtl/>
        </w:rPr>
        <w:t xml:space="preserve"> </w:t>
      </w:r>
      <w:r w:rsidR="008E2B3B" w:rsidRPr="00FD211F">
        <w:rPr>
          <w:sz w:val="36"/>
          <w:szCs w:val="36"/>
          <w:rtl/>
        </w:rPr>
        <w:t>متحدا</w:t>
      </w:r>
      <w:r w:rsidR="00E8128F">
        <w:rPr>
          <w:sz w:val="36"/>
          <w:szCs w:val="36"/>
          <w:rtl/>
        </w:rPr>
        <w:t xml:space="preserve"> </w:t>
      </w:r>
      <w:r w:rsidR="008E2B3B" w:rsidRPr="00FD211F">
        <w:rPr>
          <w:sz w:val="36"/>
          <w:szCs w:val="36"/>
          <w:rtl/>
        </w:rPr>
        <w:t>مع</w:t>
      </w:r>
      <w:r w:rsidR="00E8128F">
        <w:rPr>
          <w:sz w:val="36"/>
          <w:szCs w:val="36"/>
          <w:rtl/>
        </w:rPr>
        <w:t xml:space="preserve"> </w:t>
      </w:r>
      <w:r w:rsidR="008E2B3B" w:rsidRPr="00FD211F">
        <w:rPr>
          <w:sz w:val="36"/>
          <w:szCs w:val="36"/>
          <w:rtl/>
        </w:rPr>
        <w:t>زمان</w:t>
      </w:r>
      <w:r w:rsidR="00E8128F">
        <w:rPr>
          <w:sz w:val="36"/>
          <w:szCs w:val="36"/>
          <w:rtl/>
        </w:rPr>
        <w:t xml:space="preserve"> </w:t>
      </w:r>
      <w:r w:rsidR="004609B7" w:rsidRPr="00FD211F">
        <w:rPr>
          <w:sz w:val="36"/>
          <w:szCs w:val="36"/>
          <w:rtl/>
        </w:rPr>
        <w:t>الإسناد</w:t>
      </w:r>
      <w:r w:rsidR="00E8128F">
        <w:rPr>
          <w:sz w:val="36"/>
          <w:szCs w:val="36"/>
          <w:rtl/>
        </w:rPr>
        <w:t xml:space="preserve"> </w:t>
      </w:r>
      <w:r w:rsidR="008E2B3B" w:rsidRPr="00FD211F">
        <w:rPr>
          <w:sz w:val="36"/>
          <w:szCs w:val="36"/>
          <w:rtl/>
        </w:rPr>
        <w:t>تحتاج</w:t>
      </w:r>
      <w:r w:rsidR="00E8128F">
        <w:rPr>
          <w:sz w:val="36"/>
          <w:szCs w:val="36"/>
          <w:rtl/>
        </w:rPr>
        <w:t xml:space="preserve"> </w:t>
      </w:r>
      <w:r w:rsidR="008E2B3B" w:rsidRPr="00FD211F">
        <w:rPr>
          <w:sz w:val="36"/>
          <w:szCs w:val="36"/>
          <w:rtl/>
        </w:rPr>
        <w:t>الى</w:t>
      </w:r>
      <w:r w:rsidR="00E8128F">
        <w:rPr>
          <w:sz w:val="36"/>
          <w:szCs w:val="36"/>
          <w:rtl/>
        </w:rPr>
        <w:t xml:space="preserve"> </w:t>
      </w:r>
      <w:r w:rsidR="008E2B3B" w:rsidRPr="00FD211F">
        <w:rPr>
          <w:sz w:val="36"/>
          <w:szCs w:val="36"/>
          <w:rtl/>
        </w:rPr>
        <w:t>ظهور</w:t>
      </w:r>
      <w:r w:rsidR="00E8128F">
        <w:rPr>
          <w:sz w:val="36"/>
          <w:szCs w:val="36"/>
          <w:rtl/>
        </w:rPr>
        <w:t xml:space="preserve"> </w:t>
      </w:r>
      <w:r w:rsidR="008E2B3B" w:rsidRPr="00FD211F">
        <w:rPr>
          <w:sz w:val="36"/>
          <w:szCs w:val="36"/>
          <w:rtl/>
        </w:rPr>
        <w:t>انصرافي</w:t>
      </w:r>
      <w:r w:rsidR="00E8128F">
        <w:rPr>
          <w:sz w:val="36"/>
          <w:szCs w:val="36"/>
          <w:rtl/>
        </w:rPr>
        <w:t xml:space="preserve"> </w:t>
      </w:r>
      <w:r w:rsidR="008E2B3B" w:rsidRPr="00FD211F">
        <w:rPr>
          <w:sz w:val="36"/>
          <w:szCs w:val="36"/>
          <w:rtl/>
        </w:rPr>
        <w:t>آخر</w:t>
      </w:r>
      <w:r w:rsidR="00E8128F">
        <w:rPr>
          <w:sz w:val="36"/>
          <w:szCs w:val="36"/>
          <w:rtl/>
        </w:rPr>
        <w:t xml:space="preserve"> </w:t>
      </w:r>
      <w:r w:rsidR="004609B7" w:rsidRPr="00FD211F">
        <w:rPr>
          <w:sz w:val="36"/>
          <w:szCs w:val="36"/>
          <w:rtl/>
        </w:rPr>
        <w:t>–مضافا</w:t>
      </w:r>
      <w:r w:rsidR="00E8128F">
        <w:rPr>
          <w:sz w:val="36"/>
          <w:szCs w:val="36"/>
          <w:rtl/>
        </w:rPr>
        <w:t xml:space="preserve"> </w:t>
      </w:r>
      <w:r w:rsidR="004609B7" w:rsidRPr="00FD211F">
        <w:rPr>
          <w:sz w:val="36"/>
          <w:szCs w:val="36"/>
          <w:rtl/>
        </w:rPr>
        <w:t>الى</w:t>
      </w:r>
      <w:r w:rsidR="00E8128F">
        <w:rPr>
          <w:sz w:val="36"/>
          <w:szCs w:val="36"/>
          <w:rtl/>
        </w:rPr>
        <w:t xml:space="preserve"> </w:t>
      </w:r>
      <w:r w:rsidR="004609B7" w:rsidRPr="00FD211F">
        <w:rPr>
          <w:sz w:val="36"/>
          <w:szCs w:val="36"/>
          <w:rtl/>
        </w:rPr>
        <w:t>الظهور</w:t>
      </w:r>
      <w:r w:rsidR="00E8128F">
        <w:rPr>
          <w:sz w:val="36"/>
          <w:szCs w:val="36"/>
          <w:rtl/>
        </w:rPr>
        <w:t xml:space="preserve"> </w:t>
      </w:r>
      <w:r w:rsidR="004609B7" w:rsidRPr="00FD211F">
        <w:rPr>
          <w:sz w:val="36"/>
          <w:szCs w:val="36"/>
          <w:rtl/>
        </w:rPr>
        <w:t>الانصرافي</w:t>
      </w:r>
      <w:r w:rsidR="00E8128F">
        <w:rPr>
          <w:sz w:val="36"/>
          <w:szCs w:val="36"/>
          <w:rtl/>
        </w:rPr>
        <w:t xml:space="preserve"> </w:t>
      </w:r>
      <w:r w:rsidR="004609B7" w:rsidRPr="00FD211F">
        <w:rPr>
          <w:sz w:val="36"/>
          <w:szCs w:val="36"/>
          <w:rtl/>
        </w:rPr>
        <w:t>السابق</w:t>
      </w:r>
      <w:r w:rsidR="00E8128F">
        <w:rPr>
          <w:sz w:val="36"/>
          <w:szCs w:val="36"/>
          <w:rtl/>
        </w:rPr>
        <w:t xml:space="preserve"> </w:t>
      </w:r>
      <w:r w:rsidR="004609B7" w:rsidRPr="00FD211F">
        <w:rPr>
          <w:sz w:val="36"/>
          <w:szCs w:val="36"/>
          <w:rtl/>
        </w:rPr>
        <w:t>في</w:t>
      </w:r>
      <w:r w:rsidR="00E8128F">
        <w:rPr>
          <w:sz w:val="36"/>
          <w:szCs w:val="36"/>
          <w:rtl/>
        </w:rPr>
        <w:t xml:space="preserve"> </w:t>
      </w:r>
      <w:r w:rsidR="004609B7" w:rsidRPr="00FD211F">
        <w:rPr>
          <w:sz w:val="36"/>
          <w:szCs w:val="36"/>
          <w:rtl/>
        </w:rPr>
        <w:t>اتحاد</w:t>
      </w:r>
      <w:r w:rsidR="00E8128F">
        <w:rPr>
          <w:sz w:val="36"/>
          <w:szCs w:val="36"/>
          <w:rtl/>
        </w:rPr>
        <w:t xml:space="preserve"> </w:t>
      </w:r>
      <w:r w:rsidR="004609B7" w:rsidRPr="00FD211F">
        <w:rPr>
          <w:sz w:val="36"/>
          <w:szCs w:val="36"/>
          <w:rtl/>
        </w:rPr>
        <w:t>زمان</w:t>
      </w:r>
      <w:r w:rsidR="00E8128F">
        <w:rPr>
          <w:sz w:val="36"/>
          <w:szCs w:val="36"/>
          <w:rtl/>
        </w:rPr>
        <w:t xml:space="preserve"> </w:t>
      </w:r>
      <w:r w:rsidR="004609B7" w:rsidRPr="00FD211F">
        <w:rPr>
          <w:sz w:val="36"/>
          <w:szCs w:val="36"/>
          <w:rtl/>
        </w:rPr>
        <w:t>النطق</w:t>
      </w:r>
      <w:r w:rsidR="00E8128F">
        <w:rPr>
          <w:sz w:val="36"/>
          <w:szCs w:val="36"/>
          <w:rtl/>
        </w:rPr>
        <w:t xml:space="preserve"> </w:t>
      </w:r>
      <w:r w:rsidR="004609B7" w:rsidRPr="00FD211F">
        <w:rPr>
          <w:sz w:val="36"/>
          <w:szCs w:val="36"/>
          <w:rtl/>
        </w:rPr>
        <w:t>مع</w:t>
      </w:r>
      <w:r w:rsidR="00E8128F">
        <w:rPr>
          <w:sz w:val="36"/>
          <w:szCs w:val="36"/>
          <w:rtl/>
        </w:rPr>
        <w:t xml:space="preserve"> </w:t>
      </w:r>
      <w:r w:rsidR="004609B7" w:rsidRPr="00FD211F">
        <w:rPr>
          <w:sz w:val="36"/>
          <w:szCs w:val="36"/>
          <w:rtl/>
        </w:rPr>
        <w:t>زمان</w:t>
      </w:r>
      <w:r w:rsidR="00E8128F">
        <w:rPr>
          <w:sz w:val="36"/>
          <w:szCs w:val="36"/>
          <w:rtl/>
        </w:rPr>
        <w:t xml:space="preserve"> </w:t>
      </w:r>
      <w:r w:rsidR="004609B7" w:rsidRPr="00FD211F">
        <w:rPr>
          <w:sz w:val="36"/>
          <w:szCs w:val="36"/>
          <w:rtl/>
        </w:rPr>
        <w:t>الاسناد-</w:t>
      </w:r>
      <w:r w:rsidR="00E8128F">
        <w:rPr>
          <w:sz w:val="36"/>
          <w:szCs w:val="36"/>
          <w:rtl/>
        </w:rPr>
        <w:t xml:space="preserve"> </w:t>
      </w:r>
      <w:r w:rsidR="008E2B3B" w:rsidRPr="00FD211F">
        <w:rPr>
          <w:sz w:val="36"/>
          <w:szCs w:val="36"/>
          <w:rtl/>
        </w:rPr>
        <w:t>وهو</w:t>
      </w:r>
      <w:r w:rsidR="00E8128F">
        <w:rPr>
          <w:sz w:val="36"/>
          <w:szCs w:val="36"/>
          <w:rtl/>
        </w:rPr>
        <w:t xml:space="preserve"> </w:t>
      </w:r>
      <w:r w:rsidR="008E2B3B" w:rsidRPr="00FD211F">
        <w:rPr>
          <w:sz w:val="36"/>
          <w:szCs w:val="36"/>
          <w:rtl/>
        </w:rPr>
        <w:t>ظهور</w:t>
      </w:r>
      <w:r w:rsidR="00E8128F">
        <w:rPr>
          <w:sz w:val="36"/>
          <w:szCs w:val="36"/>
          <w:rtl/>
        </w:rPr>
        <w:t xml:space="preserve"> </w:t>
      </w:r>
      <w:r w:rsidR="008E2B3B" w:rsidRPr="00FD211F">
        <w:rPr>
          <w:sz w:val="36"/>
          <w:szCs w:val="36"/>
          <w:rtl/>
        </w:rPr>
        <w:t>الكلام</w:t>
      </w:r>
      <w:r w:rsidR="00E8128F">
        <w:rPr>
          <w:sz w:val="36"/>
          <w:szCs w:val="36"/>
          <w:rtl/>
        </w:rPr>
        <w:t xml:space="preserve"> </w:t>
      </w:r>
      <w:r w:rsidR="008E2B3B" w:rsidRPr="00FD211F">
        <w:rPr>
          <w:sz w:val="36"/>
          <w:szCs w:val="36"/>
          <w:rtl/>
        </w:rPr>
        <w:t>في</w:t>
      </w:r>
      <w:r w:rsidR="00E8128F">
        <w:rPr>
          <w:sz w:val="36"/>
          <w:szCs w:val="36"/>
          <w:rtl/>
        </w:rPr>
        <w:t xml:space="preserve"> </w:t>
      </w:r>
      <w:r w:rsidR="008E2B3B" w:rsidRPr="00FD211F">
        <w:rPr>
          <w:sz w:val="36"/>
          <w:szCs w:val="36"/>
          <w:rtl/>
        </w:rPr>
        <w:t>الاتحاد</w:t>
      </w:r>
      <w:r w:rsidR="00E8128F">
        <w:rPr>
          <w:sz w:val="36"/>
          <w:szCs w:val="36"/>
          <w:rtl/>
        </w:rPr>
        <w:t xml:space="preserve"> </w:t>
      </w:r>
      <w:r w:rsidR="008E2B3B" w:rsidRPr="00FD211F">
        <w:rPr>
          <w:sz w:val="36"/>
          <w:szCs w:val="36"/>
          <w:rtl/>
        </w:rPr>
        <w:t>بين</w:t>
      </w:r>
      <w:r w:rsidR="00E8128F">
        <w:rPr>
          <w:sz w:val="36"/>
          <w:szCs w:val="36"/>
          <w:rtl/>
        </w:rPr>
        <w:t xml:space="preserve"> </w:t>
      </w:r>
      <w:r w:rsidR="008E2B3B" w:rsidRPr="00FD211F">
        <w:rPr>
          <w:sz w:val="36"/>
          <w:szCs w:val="36"/>
          <w:rtl/>
        </w:rPr>
        <w:t>الموضوع</w:t>
      </w:r>
      <w:r w:rsidR="00E8128F">
        <w:rPr>
          <w:sz w:val="36"/>
          <w:szCs w:val="36"/>
          <w:rtl/>
        </w:rPr>
        <w:t xml:space="preserve"> </w:t>
      </w:r>
      <w:r w:rsidR="008E2B3B" w:rsidRPr="00FD211F">
        <w:rPr>
          <w:sz w:val="36"/>
          <w:szCs w:val="36"/>
          <w:rtl/>
        </w:rPr>
        <w:t>والمحمول</w:t>
      </w:r>
      <w:r w:rsidR="009C58C8" w:rsidRPr="00FD211F">
        <w:rPr>
          <w:rStyle w:val="a6"/>
          <w:sz w:val="36"/>
          <w:szCs w:val="36"/>
          <w:rtl/>
        </w:rPr>
        <w:t>(</w:t>
      </w:r>
      <w:r w:rsidR="009C58C8" w:rsidRPr="00FD211F">
        <w:rPr>
          <w:rStyle w:val="a6"/>
          <w:sz w:val="36"/>
          <w:szCs w:val="36"/>
          <w:rtl/>
        </w:rPr>
        <w:footnoteReference w:id="537"/>
      </w:r>
      <w:r w:rsidR="009C58C8" w:rsidRPr="00FD211F">
        <w:rPr>
          <w:rStyle w:val="a6"/>
          <w:sz w:val="36"/>
          <w:szCs w:val="36"/>
          <w:rtl/>
        </w:rPr>
        <w:t>)</w:t>
      </w:r>
      <w:r w:rsidR="008E2B3B" w:rsidRPr="00FD211F">
        <w:rPr>
          <w:sz w:val="36"/>
          <w:szCs w:val="36"/>
          <w:rtl/>
        </w:rPr>
        <w:t>.</w:t>
      </w:r>
    </w:p>
    <w:p w14:paraId="20C45F29" w14:textId="77777777" w:rsidR="00856E9F" w:rsidRPr="00FD211F" w:rsidRDefault="00856E9F" w:rsidP="009C58C8">
      <w:pPr>
        <w:pStyle w:val="3"/>
        <w:ind w:firstLine="227"/>
        <w:jc w:val="both"/>
        <w:rPr>
          <w:rtl/>
        </w:rPr>
      </w:pPr>
      <w:bookmarkStart w:id="449" w:name="_Toc192092948"/>
      <w:bookmarkStart w:id="450" w:name="_Toc223890428"/>
      <w:r w:rsidRPr="00FD211F">
        <w:rPr>
          <w:rtl/>
        </w:rPr>
        <w:t>اخذ</w:t>
      </w:r>
      <w:r w:rsidR="00E8128F">
        <w:rPr>
          <w:rtl/>
        </w:rPr>
        <w:t xml:space="preserve"> </w:t>
      </w:r>
      <w:r w:rsidRPr="00FD211F">
        <w:rPr>
          <w:rtl/>
        </w:rPr>
        <w:t>الزمان</w:t>
      </w:r>
      <w:r w:rsidR="00E8128F">
        <w:rPr>
          <w:rtl/>
        </w:rPr>
        <w:t xml:space="preserve"> </w:t>
      </w:r>
      <w:r w:rsidRPr="00FD211F">
        <w:rPr>
          <w:rtl/>
        </w:rPr>
        <w:t>في</w:t>
      </w:r>
      <w:r w:rsidR="00E8128F">
        <w:rPr>
          <w:rtl/>
        </w:rPr>
        <w:t xml:space="preserve"> </w:t>
      </w:r>
      <w:r w:rsidRPr="00FD211F">
        <w:rPr>
          <w:rtl/>
        </w:rPr>
        <w:t>مدلول</w:t>
      </w:r>
      <w:r w:rsidR="00E8128F">
        <w:rPr>
          <w:rtl/>
        </w:rPr>
        <w:t xml:space="preserve"> </w:t>
      </w:r>
      <w:r w:rsidRPr="00FD211F">
        <w:rPr>
          <w:rtl/>
        </w:rPr>
        <w:t>الفعل</w:t>
      </w:r>
      <w:r w:rsidR="00E8128F">
        <w:rPr>
          <w:rtl/>
        </w:rPr>
        <w:t xml:space="preserve"> </w:t>
      </w:r>
      <w:r w:rsidRPr="00FD211F">
        <w:rPr>
          <w:rtl/>
        </w:rPr>
        <w:t>الماضي</w:t>
      </w:r>
      <w:r w:rsidR="00E8128F">
        <w:rPr>
          <w:rtl/>
        </w:rPr>
        <w:t xml:space="preserve"> </w:t>
      </w:r>
      <w:r w:rsidRPr="00FD211F">
        <w:rPr>
          <w:rtl/>
        </w:rPr>
        <w:t>والمضارع</w:t>
      </w:r>
      <w:bookmarkEnd w:id="449"/>
      <w:bookmarkEnd w:id="450"/>
    </w:p>
    <w:p w14:paraId="288359E0" w14:textId="77777777" w:rsidR="00F84B56" w:rsidRPr="00FD211F" w:rsidRDefault="00F93528"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انه</w:t>
      </w:r>
      <w:r w:rsidR="00E8128F">
        <w:rPr>
          <w:sz w:val="36"/>
          <w:szCs w:val="36"/>
          <w:rtl/>
        </w:rPr>
        <w:t xml:space="preserve"> </w:t>
      </w:r>
      <w:r w:rsidR="00856E9F" w:rsidRPr="00FD211F">
        <w:rPr>
          <w:sz w:val="36"/>
          <w:szCs w:val="36"/>
          <w:rtl/>
        </w:rPr>
        <w:t>بعد</w:t>
      </w:r>
      <w:r w:rsidR="00E8128F">
        <w:rPr>
          <w:sz w:val="36"/>
          <w:szCs w:val="36"/>
          <w:rtl/>
        </w:rPr>
        <w:t xml:space="preserve"> </w:t>
      </w:r>
      <w:r w:rsidR="00856E9F" w:rsidRPr="00FD211F">
        <w:rPr>
          <w:sz w:val="36"/>
          <w:szCs w:val="36"/>
          <w:rtl/>
        </w:rPr>
        <w:t>ما</w:t>
      </w:r>
      <w:r w:rsidR="00E8128F">
        <w:rPr>
          <w:sz w:val="36"/>
          <w:szCs w:val="36"/>
          <w:rtl/>
        </w:rPr>
        <w:t xml:space="preserve"> </w:t>
      </w:r>
      <w:r w:rsidR="00856E9F" w:rsidRPr="00FD211F">
        <w:rPr>
          <w:sz w:val="36"/>
          <w:szCs w:val="36"/>
          <w:rtl/>
        </w:rPr>
        <w:t>ثبت</w:t>
      </w:r>
      <w:r w:rsidR="00E8128F">
        <w:rPr>
          <w:sz w:val="36"/>
          <w:szCs w:val="36"/>
          <w:rtl/>
        </w:rPr>
        <w:t xml:space="preserve"> </w:t>
      </w:r>
      <w:r w:rsidR="00856E9F" w:rsidRPr="00FD211F">
        <w:rPr>
          <w:sz w:val="36"/>
          <w:szCs w:val="36"/>
          <w:rtl/>
        </w:rPr>
        <w:t>عدم</w:t>
      </w:r>
      <w:r w:rsidR="00E8128F">
        <w:rPr>
          <w:sz w:val="36"/>
          <w:szCs w:val="36"/>
          <w:rtl/>
        </w:rPr>
        <w:t xml:space="preserve"> </w:t>
      </w:r>
      <w:r w:rsidR="00856E9F" w:rsidRPr="00FD211F">
        <w:rPr>
          <w:sz w:val="36"/>
          <w:szCs w:val="36"/>
          <w:rtl/>
        </w:rPr>
        <w:t>دلال</w:t>
      </w:r>
      <w:r w:rsidR="00EC7EDF" w:rsidRPr="00FD211F">
        <w:rPr>
          <w:sz w:val="36"/>
          <w:szCs w:val="36"/>
          <w:rtl/>
        </w:rPr>
        <w:t>ة</w:t>
      </w:r>
      <w:r w:rsidR="00E8128F">
        <w:rPr>
          <w:sz w:val="36"/>
          <w:szCs w:val="36"/>
          <w:rtl/>
        </w:rPr>
        <w:t xml:space="preserve"> </w:t>
      </w:r>
      <w:r w:rsidR="00856E9F" w:rsidRPr="00FD211F">
        <w:rPr>
          <w:sz w:val="36"/>
          <w:szCs w:val="36"/>
          <w:rtl/>
        </w:rPr>
        <w:t>المشتق</w:t>
      </w:r>
      <w:r w:rsidR="00E8128F">
        <w:rPr>
          <w:sz w:val="36"/>
          <w:szCs w:val="36"/>
          <w:rtl/>
        </w:rPr>
        <w:t xml:space="preserve"> </w:t>
      </w:r>
      <w:r w:rsidR="00223521" w:rsidRPr="00FD211F">
        <w:rPr>
          <w:sz w:val="36"/>
          <w:szCs w:val="36"/>
          <w:rtl/>
        </w:rPr>
        <w:t>على</w:t>
      </w:r>
      <w:r w:rsidR="00E8128F">
        <w:rPr>
          <w:sz w:val="36"/>
          <w:szCs w:val="36"/>
          <w:rtl/>
        </w:rPr>
        <w:t xml:space="preserve"> </w:t>
      </w:r>
      <w:r w:rsidR="00223521" w:rsidRPr="00FD211F">
        <w:rPr>
          <w:sz w:val="36"/>
          <w:szCs w:val="36"/>
          <w:rtl/>
        </w:rPr>
        <w:t>الزمان</w:t>
      </w:r>
      <w:r w:rsidR="00E8128F">
        <w:rPr>
          <w:sz w:val="36"/>
          <w:szCs w:val="36"/>
          <w:rtl/>
        </w:rPr>
        <w:t xml:space="preserve"> </w:t>
      </w:r>
      <w:r w:rsidR="00223521" w:rsidRPr="00FD211F">
        <w:rPr>
          <w:sz w:val="36"/>
          <w:szCs w:val="36"/>
          <w:rtl/>
        </w:rPr>
        <w:t>فقد</w:t>
      </w:r>
      <w:r w:rsidR="00E8128F">
        <w:rPr>
          <w:sz w:val="36"/>
          <w:szCs w:val="36"/>
          <w:rtl/>
        </w:rPr>
        <w:t xml:space="preserve"> </w:t>
      </w:r>
      <w:r w:rsidR="003230A7" w:rsidRPr="00FD211F">
        <w:rPr>
          <w:sz w:val="36"/>
          <w:szCs w:val="36"/>
          <w:rtl/>
        </w:rPr>
        <w:t>بحث</w:t>
      </w:r>
      <w:r w:rsidR="00E8128F">
        <w:rPr>
          <w:sz w:val="36"/>
          <w:szCs w:val="36"/>
          <w:rtl/>
        </w:rPr>
        <w:t xml:space="preserve"> </w:t>
      </w:r>
      <w:r w:rsidR="00856E9F" w:rsidRPr="00FD211F">
        <w:rPr>
          <w:sz w:val="36"/>
          <w:szCs w:val="36"/>
          <w:rtl/>
        </w:rPr>
        <w:t>الأعلام</w:t>
      </w:r>
      <w:r w:rsidR="00E8128F">
        <w:rPr>
          <w:sz w:val="36"/>
          <w:szCs w:val="36"/>
          <w:rtl/>
        </w:rPr>
        <w:t xml:space="preserve"> </w:t>
      </w:r>
      <w:r w:rsidR="00856E9F" w:rsidRPr="00FD211F">
        <w:rPr>
          <w:sz w:val="36"/>
          <w:szCs w:val="36"/>
          <w:rtl/>
        </w:rPr>
        <w:t>في</w:t>
      </w:r>
      <w:r w:rsidR="00E8128F">
        <w:rPr>
          <w:sz w:val="36"/>
          <w:szCs w:val="36"/>
          <w:rtl/>
        </w:rPr>
        <w:t xml:space="preserve"> </w:t>
      </w:r>
      <w:r w:rsidR="00856E9F" w:rsidRPr="00FD211F">
        <w:rPr>
          <w:sz w:val="36"/>
          <w:szCs w:val="36"/>
          <w:rtl/>
        </w:rPr>
        <w:t>المقام</w:t>
      </w:r>
      <w:r w:rsidR="00E8128F">
        <w:rPr>
          <w:sz w:val="36"/>
          <w:szCs w:val="36"/>
          <w:rtl/>
        </w:rPr>
        <w:t xml:space="preserve"> </w:t>
      </w:r>
      <w:r w:rsidR="00856E9F" w:rsidRPr="00FD211F">
        <w:rPr>
          <w:sz w:val="36"/>
          <w:szCs w:val="36"/>
          <w:rtl/>
        </w:rPr>
        <w:t>استطرادا</w:t>
      </w:r>
      <w:r w:rsidR="00E8128F">
        <w:rPr>
          <w:sz w:val="36"/>
          <w:szCs w:val="36"/>
          <w:rtl/>
        </w:rPr>
        <w:t xml:space="preserve"> </w:t>
      </w:r>
      <w:r w:rsidR="003230A7" w:rsidRPr="00FD211F">
        <w:rPr>
          <w:sz w:val="36"/>
          <w:szCs w:val="36"/>
          <w:rtl/>
        </w:rPr>
        <w:t>حول</w:t>
      </w:r>
      <w:r w:rsidR="00E8128F">
        <w:rPr>
          <w:sz w:val="36"/>
          <w:szCs w:val="36"/>
          <w:rtl/>
        </w:rPr>
        <w:t xml:space="preserve"> </w:t>
      </w:r>
      <w:r w:rsidR="00856E9F" w:rsidRPr="00FD211F">
        <w:rPr>
          <w:sz w:val="36"/>
          <w:szCs w:val="36"/>
          <w:rtl/>
        </w:rPr>
        <w:t>اخذ</w:t>
      </w:r>
      <w:r w:rsidR="00E8128F">
        <w:rPr>
          <w:sz w:val="36"/>
          <w:szCs w:val="36"/>
          <w:rtl/>
        </w:rPr>
        <w:t xml:space="preserve"> </w:t>
      </w:r>
      <w:r w:rsidR="00856E9F" w:rsidRPr="00FD211F">
        <w:rPr>
          <w:sz w:val="36"/>
          <w:szCs w:val="36"/>
          <w:rtl/>
        </w:rPr>
        <w:t>الزمان</w:t>
      </w:r>
      <w:r w:rsidR="00E8128F">
        <w:rPr>
          <w:sz w:val="36"/>
          <w:szCs w:val="36"/>
          <w:rtl/>
        </w:rPr>
        <w:t xml:space="preserve"> </w:t>
      </w:r>
      <w:r w:rsidR="00856E9F" w:rsidRPr="00FD211F">
        <w:rPr>
          <w:sz w:val="36"/>
          <w:szCs w:val="36"/>
          <w:rtl/>
        </w:rPr>
        <w:t>في</w:t>
      </w:r>
      <w:r w:rsidR="00E8128F">
        <w:rPr>
          <w:sz w:val="36"/>
          <w:szCs w:val="36"/>
          <w:rtl/>
        </w:rPr>
        <w:t xml:space="preserve"> </w:t>
      </w:r>
      <w:r w:rsidR="00856E9F" w:rsidRPr="00FD211F">
        <w:rPr>
          <w:sz w:val="36"/>
          <w:szCs w:val="36"/>
          <w:rtl/>
        </w:rPr>
        <w:t>مدلول</w:t>
      </w:r>
      <w:r w:rsidR="00E8128F">
        <w:rPr>
          <w:sz w:val="36"/>
          <w:szCs w:val="36"/>
          <w:rtl/>
        </w:rPr>
        <w:t xml:space="preserve"> </w:t>
      </w:r>
      <w:r w:rsidR="00856E9F" w:rsidRPr="00FD211F">
        <w:rPr>
          <w:sz w:val="36"/>
          <w:szCs w:val="36"/>
          <w:rtl/>
        </w:rPr>
        <w:t>الأفعال</w:t>
      </w:r>
      <w:r w:rsidR="00F84B56" w:rsidRPr="00FD211F">
        <w:rPr>
          <w:sz w:val="36"/>
          <w:szCs w:val="36"/>
          <w:rtl/>
        </w:rPr>
        <w:t>.</w:t>
      </w:r>
    </w:p>
    <w:p w14:paraId="521B9FC5" w14:textId="77777777" w:rsidR="00072D5C" w:rsidRPr="00FD211F" w:rsidRDefault="00856E9F" w:rsidP="00142012">
      <w:pPr>
        <w:ind w:left="0" w:firstLine="227"/>
        <w:jc w:val="both"/>
        <w:rPr>
          <w:sz w:val="36"/>
          <w:szCs w:val="36"/>
          <w:rtl/>
        </w:rPr>
      </w:pPr>
      <w:r w:rsidRPr="00FD211F">
        <w:rPr>
          <w:sz w:val="36"/>
          <w:szCs w:val="36"/>
          <w:rtl/>
        </w:rPr>
        <w:t>فذكر</w:t>
      </w:r>
      <w:r w:rsidR="00E8128F">
        <w:rPr>
          <w:sz w:val="36"/>
          <w:szCs w:val="36"/>
          <w:rtl/>
        </w:rPr>
        <w:t xml:space="preserve"> </w:t>
      </w:r>
      <w:r w:rsidRPr="00FD211F">
        <w:rPr>
          <w:sz w:val="36"/>
          <w:szCs w:val="36"/>
          <w:rtl/>
        </w:rPr>
        <w:t>صاحب</w:t>
      </w:r>
      <w:r w:rsidR="00E8128F">
        <w:rPr>
          <w:sz w:val="36"/>
          <w:szCs w:val="36"/>
          <w:rtl/>
        </w:rPr>
        <w:t xml:space="preserve"> </w:t>
      </w:r>
      <w:r w:rsidR="008E2B3B" w:rsidRPr="00FD211F">
        <w:rPr>
          <w:sz w:val="36"/>
          <w:szCs w:val="36"/>
          <w:rtl/>
        </w:rPr>
        <w:t>الكفاي</w:t>
      </w:r>
      <w:r w:rsidR="00EC7EDF" w:rsidRPr="00FD211F">
        <w:rPr>
          <w:sz w:val="36"/>
          <w:szCs w:val="36"/>
          <w:rtl/>
        </w:rPr>
        <w:t>ة</w:t>
      </w:r>
      <w:r w:rsidR="00E8128F">
        <w:rPr>
          <w:sz w:val="36"/>
          <w:szCs w:val="36"/>
          <w:rtl/>
        </w:rPr>
        <w:t xml:space="preserve"> </w:t>
      </w:r>
      <w:r w:rsidR="00223521" w:rsidRPr="00FD211F">
        <w:rPr>
          <w:sz w:val="36"/>
          <w:szCs w:val="36"/>
          <w:rtl/>
        </w:rPr>
        <w:t>"قده"</w:t>
      </w:r>
      <w:r w:rsidR="00E8128F">
        <w:rPr>
          <w:sz w:val="36"/>
          <w:szCs w:val="36"/>
          <w:rtl/>
        </w:rPr>
        <w:t xml:space="preserve"> </w:t>
      </w:r>
      <w:r w:rsidR="00223521" w:rsidRPr="00FD211F">
        <w:rPr>
          <w:sz w:val="36"/>
          <w:szCs w:val="36"/>
          <w:rtl/>
        </w:rPr>
        <w:t>انه</w:t>
      </w:r>
      <w:r w:rsidR="00E8128F">
        <w:rPr>
          <w:sz w:val="36"/>
          <w:szCs w:val="36"/>
          <w:rtl/>
        </w:rPr>
        <w:t xml:space="preserve"> </w:t>
      </w:r>
      <w:r w:rsidR="00223521" w:rsidRPr="00FD211F">
        <w:rPr>
          <w:sz w:val="36"/>
          <w:szCs w:val="36"/>
          <w:rtl/>
        </w:rPr>
        <w:t>وان</w:t>
      </w:r>
      <w:r w:rsidR="00E8128F">
        <w:rPr>
          <w:sz w:val="36"/>
          <w:szCs w:val="36"/>
          <w:rtl/>
        </w:rPr>
        <w:t xml:space="preserve"> </w:t>
      </w:r>
      <w:r w:rsidR="00223521" w:rsidRPr="00FD211F">
        <w:rPr>
          <w:sz w:val="36"/>
          <w:szCs w:val="36"/>
          <w:rtl/>
        </w:rPr>
        <w:t>اشتهر</w:t>
      </w:r>
      <w:r w:rsidR="00E8128F">
        <w:rPr>
          <w:sz w:val="36"/>
          <w:szCs w:val="36"/>
          <w:rtl/>
        </w:rPr>
        <w:t xml:space="preserve"> </w:t>
      </w:r>
      <w:r w:rsidR="00223521" w:rsidRPr="00FD211F">
        <w:rPr>
          <w:sz w:val="36"/>
          <w:szCs w:val="36"/>
          <w:rtl/>
        </w:rPr>
        <w:t>في</w:t>
      </w:r>
      <w:r w:rsidR="00E8128F">
        <w:rPr>
          <w:sz w:val="36"/>
          <w:szCs w:val="36"/>
          <w:rtl/>
        </w:rPr>
        <w:t xml:space="preserve"> </w:t>
      </w:r>
      <w:r w:rsidR="00223521" w:rsidRPr="00FD211F">
        <w:rPr>
          <w:sz w:val="36"/>
          <w:szCs w:val="36"/>
          <w:rtl/>
        </w:rPr>
        <w:t>أ</w:t>
      </w:r>
      <w:r w:rsidR="008E2B3B" w:rsidRPr="00FD211F">
        <w:rPr>
          <w:sz w:val="36"/>
          <w:szCs w:val="36"/>
          <w:rtl/>
        </w:rPr>
        <w:t>لسن</w:t>
      </w:r>
      <w:r w:rsidR="00EC7EDF" w:rsidRPr="00FD211F">
        <w:rPr>
          <w:sz w:val="36"/>
          <w:szCs w:val="36"/>
          <w:rtl/>
        </w:rPr>
        <w:t>ة</w:t>
      </w:r>
      <w:r w:rsidR="00E8128F">
        <w:rPr>
          <w:sz w:val="36"/>
          <w:szCs w:val="36"/>
          <w:rtl/>
        </w:rPr>
        <w:t xml:space="preserve"> </w:t>
      </w:r>
      <w:r w:rsidR="008E2B3B" w:rsidRPr="00FD211F">
        <w:rPr>
          <w:sz w:val="36"/>
          <w:szCs w:val="36"/>
          <w:rtl/>
        </w:rPr>
        <w:t>النحا</w:t>
      </w:r>
      <w:r w:rsidR="00EC7EDF" w:rsidRPr="00FD211F">
        <w:rPr>
          <w:sz w:val="36"/>
          <w:szCs w:val="36"/>
          <w:rtl/>
        </w:rPr>
        <w:t>ة</w:t>
      </w:r>
      <w:r w:rsidR="00E8128F">
        <w:rPr>
          <w:sz w:val="36"/>
          <w:szCs w:val="36"/>
          <w:rtl/>
        </w:rPr>
        <w:t xml:space="preserve"> </w:t>
      </w:r>
      <w:r w:rsidR="008E2B3B" w:rsidRPr="00FD211F">
        <w:rPr>
          <w:sz w:val="36"/>
          <w:szCs w:val="36"/>
          <w:rtl/>
        </w:rPr>
        <w:t>دلال</w:t>
      </w:r>
      <w:r w:rsidR="00EC7EDF" w:rsidRPr="00FD211F">
        <w:rPr>
          <w:sz w:val="36"/>
          <w:szCs w:val="36"/>
          <w:rtl/>
        </w:rPr>
        <w:t>ة</w:t>
      </w:r>
      <w:r w:rsidR="00E8128F">
        <w:rPr>
          <w:sz w:val="36"/>
          <w:szCs w:val="36"/>
          <w:rtl/>
        </w:rPr>
        <w:t xml:space="preserve"> </w:t>
      </w:r>
      <w:r w:rsidR="008E2B3B" w:rsidRPr="00FD211F">
        <w:rPr>
          <w:sz w:val="36"/>
          <w:szCs w:val="36"/>
          <w:rtl/>
        </w:rPr>
        <w:t>الافعال</w:t>
      </w:r>
      <w:r w:rsidR="00E8128F">
        <w:rPr>
          <w:sz w:val="36"/>
          <w:szCs w:val="36"/>
          <w:rtl/>
        </w:rPr>
        <w:t xml:space="preserve"> </w:t>
      </w:r>
      <w:r w:rsidR="008E2B3B" w:rsidRPr="00FD211F">
        <w:rPr>
          <w:sz w:val="36"/>
          <w:szCs w:val="36"/>
          <w:rtl/>
        </w:rPr>
        <w:t>على</w:t>
      </w:r>
      <w:r w:rsidR="00E8128F">
        <w:rPr>
          <w:sz w:val="36"/>
          <w:szCs w:val="36"/>
          <w:rtl/>
        </w:rPr>
        <w:t xml:space="preserve"> </w:t>
      </w:r>
      <w:r w:rsidR="008E2B3B" w:rsidRPr="00FD211F">
        <w:rPr>
          <w:sz w:val="36"/>
          <w:szCs w:val="36"/>
          <w:rtl/>
        </w:rPr>
        <w:t>الزمان</w:t>
      </w:r>
      <w:r w:rsidR="00603323" w:rsidRPr="00FD211F">
        <w:rPr>
          <w:sz w:val="36"/>
          <w:szCs w:val="36"/>
          <w:rtl/>
        </w:rPr>
        <w:t>،</w:t>
      </w:r>
      <w:r w:rsidR="00E8128F">
        <w:rPr>
          <w:sz w:val="36"/>
          <w:szCs w:val="36"/>
          <w:rtl/>
        </w:rPr>
        <w:t xml:space="preserve"> </w:t>
      </w:r>
      <w:r w:rsidR="008E2B3B" w:rsidRPr="00FD211F">
        <w:rPr>
          <w:sz w:val="36"/>
          <w:szCs w:val="36"/>
          <w:rtl/>
        </w:rPr>
        <w:t>الا</w:t>
      </w:r>
      <w:r w:rsidR="00E8128F">
        <w:rPr>
          <w:sz w:val="36"/>
          <w:szCs w:val="36"/>
          <w:rtl/>
        </w:rPr>
        <w:t xml:space="preserve"> </w:t>
      </w:r>
      <w:r w:rsidR="008E2B3B" w:rsidRPr="00FD211F">
        <w:rPr>
          <w:sz w:val="36"/>
          <w:szCs w:val="36"/>
          <w:rtl/>
        </w:rPr>
        <w:t>انه</w:t>
      </w:r>
      <w:r w:rsidR="00E8128F">
        <w:rPr>
          <w:sz w:val="36"/>
          <w:szCs w:val="36"/>
          <w:rtl/>
        </w:rPr>
        <w:t xml:space="preserve"> </w:t>
      </w:r>
      <w:r w:rsidR="008E2B3B" w:rsidRPr="00FD211F">
        <w:rPr>
          <w:sz w:val="36"/>
          <w:szCs w:val="36"/>
          <w:rtl/>
        </w:rPr>
        <w:t>لااساس</w:t>
      </w:r>
      <w:r w:rsidR="00E8128F">
        <w:rPr>
          <w:sz w:val="36"/>
          <w:szCs w:val="36"/>
          <w:rtl/>
        </w:rPr>
        <w:t xml:space="preserve"> </w:t>
      </w:r>
      <w:r w:rsidR="008E2B3B" w:rsidRPr="00FD211F">
        <w:rPr>
          <w:sz w:val="36"/>
          <w:szCs w:val="36"/>
          <w:rtl/>
        </w:rPr>
        <w:t>له</w:t>
      </w:r>
      <w:r w:rsidR="00603323" w:rsidRPr="00FD211F">
        <w:rPr>
          <w:sz w:val="36"/>
          <w:szCs w:val="36"/>
          <w:rtl/>
        </w:rPr>
        <w:t>،</w:t>
      </w:r>
      <w:r w:rsidR="00E8128F">
        <w:rPr>
          <w:sz w:val="36"/>
          <w:szCs w:val="36"/>
          <w:rtl/>
        </w:rPr>
        <w:t xml:space="preserve"> </w:t>
      </w:r>
      <w:r w:rsidR="008E2B3B" w:rsidRPr="00FD211F">
        <w:rPr>
          <w:sz w:val="36"/>
          <w:szCs w:val="36"/>
          <w:rtl/>
        </w:rPr>
        <w:t>فان</w:t>
      </w:r>
      <w:r w:rsidR="00E8128F">
        <w:rPr>
          <w:sz w:val="36"/>
          <w:szCs w:val="36"/>
          <w:rtl/>
        </w:rPr>
        <w:t xml:space="preserve"> </w:t>
      </w:r>
      <w:r w:rsidR="001B3112" w:rsidRPr="00FD211F">
        <w:rPr>
          <w:sz w:val="36"/>
          <w:szCs w:val="36"/>
          <w:rtl/>
        </w:rPr>
        <w:t>الأمر</w:t>
      </w:r>
      <w:r w:rsidR="00E8128F">
        <w:rPr>
          <w:sz w:val="36"/>
          <w:szCs w:val="36"/>
          <w:rtl/>
        </w:rPr>
        <w:t xml:space="preserve"> </w:t>
      </w:r>
      <w:r w:rsidR="008E2B3B" w:rsidRPr="00FD211F">
        <w:rPr>
          <w:sz w:val="36"/>
          <w:szCs w:val="36"/>
          <w:rtl/>
        </w:rPr>
        <w:t>والنهي</w:t>
      </w:r>
      <w:r w:rsidR="00E8128F">
        <w:rPr>
          <w:sz w:val="36"/>
          <w:szCs w:val="36"/>
          <w:rtl/>
        </w:rPr>
        <w:t xml:space="preserve"> </w:t>
      </w:r>
      <w:r w:rsidR="00AC4326" w:rsidRPr="00FD211F">
        <w:rPr>
          <w:sz w:val="36"/>
          <w:szCs w:val="36"/>
          <w:rtl/>
        </w:rPr>
        <w:t>لايدلان</w:t>
      </w:r>
      <w:r w:rsidR="00E8128F">
        <w:rPr>
          <w:sz w:val="36"/>
          <w:szCs w:val="36"/>
          <w:rtl/>
        </w:rPr>
        <w:t xml:space="preserve"> </w:t>
      </w:r>
      <w:r w:rsidR="00AC4326" w:rsidRPr="00FD211F">
        <w:rPr>
          <w:sz w:val="36"/>
          <w:szCs w:val="36"/>
          <w:rtl/>
        </w:rPr>
        <w:t>على</w:t>
      </w:r>
      <w:r w:rsidR="00E8128F">
        <w:rPr>
          <w:sz w:val="36"/>
          <w:szCs w:val="36"/>
          <w:rtl/>
        </w:rPr>
        <w:t xml:space="preserve"> </w:t>
      </w:r>
      <w:r w:rsidR="00AC4326" w:rsidRPr="00FD211F">
        <w:rPr>
          <w:sz w:val="36"/>
          <w:szCs w:val="36"/>
          <w:rtl/>
        </w:rPr>
        <w:t>زمان</w:t>
      </w:r>
      <w:r w:rsidR="00E8128F">
        <w:rPr>
          <w:sz w:val="36"/>
          <w:szCs w:val="36"/>
          <w:rtl/>
        </w:rPr>
        <w:t xml:space="preserve"> </w:t>
      </w:r>
      <w:r w:rsidR="00AC4326" w:rsidRPr="00FD211F">
        <w:rPr>
          <w:sz w:val="36"/>
          <w:szCs w:val="36"/>
          <w:rtl/>
        </w:rPr>
        <w:t>اصلا</w:t>
      </w:r>
      <w:r w:rsidR="00603323" w:rsidRPr="00FD211F">
        <w:rPr>
          <w:sz w:val="36"/>
          <w:szCs w:val="36"/>
          <w:rtl/>
        </w:rPr>
        <w:t>،</w:t>
      </w:r>
      <w:r w:rsidR="00E8128F">
        <w:rPr>
          <w:sz w:val="36"/>
          <w:szCs w:val="36"/>
          <w:rtl/>
        </w:rPr>
        <w:t xml:space="preserve"> </w:t>
      </w:r>
      <w:r w:rsidR="00F93528" w:rsidRPr="00FD211F">
        <w:rPr>
          <w:sz w:val="36"/>
          <w:szCs w:val="36"/>
          <w:rtl/>
        </w:rPr>
        <w:t>بل</w:t>
      </w:r>
      <w:r w:rsidR="00E8128F">
        <w:rPr>
          <w:sz w:val="36"/>
          <w:szCs w:val="36"/>
          <w:rtl/>
        </w:rPr>
        <w:t xml:space="preserve"> </w:t>
      </w:r>
      <w:r w:rsidR="00F93528" w:rsidRPr="00FD211F">
        <w:rPr>
          <w:sz w:val="36"/>
          <w:szCs w:val="36"/>
          <w:rtl/>
        </w:rPr>
        <w:t>وكذا</w:t>
      </w:r>
      <w:r w:rsidR="00E8128F">
        <w:rPr>
          <w:sz w:val="36"/>
          <w:szCs w:val="36"/>
          <w:rtl/>
        </w:rPr>
        <w:t xml:space="preserve"> </w:t>
      </w:r>
      <w:r w:rsidR="00AC4326" w:rsidRPr="00FD211F">
        <w:rPr>
          <w:sz w:val="36"/>
          <w:szCs w:val="36"/>
          <w:rtl/>
        </w:rPr>
        <w:t>الفعل</w:t>
      </w:r>
      <w:r w:rsidR="00E8128F">
        <w:rPr>
          <w:sz w:val="36"/>
          <w:szCs w:val="36"/>
          <w:rtl/>
        </w:rPr>
        <w:t xml:space="preserve"> </w:t>
      </w:r>
      <w:r w:rsidR="00AC4326" w:rsidRPr="00FD211F">
        <w:rPr>
          <w:sz w:val="36"/>
          <w:szCs w:val="36"/>
          <w:rtl/>
        </w:rPr>
        <w:t>الماضي</w:t>
      </w:r>
      <w:r w:rsidR="00E8128F">
        <w:rPr>
          <w:sz w:val="36"/>
          <w:szCs w:val="36"/>
          <w:rtl/>
        </w:rPr>
        <w:t xml:space="preserve"> </w:t>
      </w:r>
      <w:r w:rsidR="00AC4326" w:rsidRPr="00FD211F">
        <w:rPr>
          <w:sz w:val="36"/>
          <w:szCs w:val="36"/>
          <w:rtl/>
        </w:rPr>
        <w:t>والمضارع</w:t>
      </w:r>
      <w:r w:rsidR="00E8128F">
        <w:rPr>
          <w:sz w:val="36"/>
          <w:szCs w:val="36"/>
          <w:rtl/>
        </w:rPr>
        <w:t xml:space="preserve"> </w:t>
      </w:r>
      <w:r w:rsidR="00AC4326" w:rsidRPr="00FD211F">
        <w:rPr>
          <w:sz w:val="36"/>
          <w:szCs w:val="36"/>
          <w:rtl/>
        </w:rPr>
        <w:t>لان</w:t>
      </w:r>
      <w:r w:rsidR="00E8128F">
        <w:rPr>
          <w:sz w:val="36"/>
          <w:szCs w:val="36"/>
          <w:rtl/>
        </w:rPr>
        <w:t xml:space="preserve"> </w:t>
      </w:r>
      <w:r w:rsidR="00AC4326" w:rsidRPr="00FD211F">
        <w:rPr>
          <w:sz w:val="36"/>
          <w:szCs w:val="36"/>
          <w:rtl/>
        </w:rPr>
        <w:t>لازم</w:t>
      </w:r>
      <w:r w:rsidR="00E8128F">
        <w:rPr>
          <w:sz w:val="36"/>
          <w:szCs w:val="36"/>
          <w:rtl/>
        </w:rPr>
        <w:t xml:space="preserve"> </w:t>
      </w:r>
      <w:r w:rsidR="00AC4326" w:rsidRPr="00FD211F">
        <w:rPr>
          <w:sz w:val="36"/>
          <w:szCs w:val="36"/>
          <w:rtl/>
        </w:rPr>
        <w:t>دلال</w:t>
      </w:r>
      <w:r w:rsidR="00EC7EDF" w:rsidRPr="00FD211F">
        <w:rPr>
          <w:sz w:val="36"/>
          <w:szCs w:val="36"/>
          <w:rtl/>
        </w:rPr>
        <w:t>ة</w:t>
      </w:r>
      <w:r w:rsidR="00E8128F">
        <w:rPr>
          <w:sz w:val="36"/>
          <w:szCs w:val="36"/>
          <w:rtl/>
        </w:rPr>
        <w:t xml:space="preserve"> </w:t>
      </w:r>
      <w:r w:rsidR="00AC4326" w:rsidRPr="00FD211F">
        <w:rPr>
          <w:sz w:val="36"/>
          <w:szCs w:val="36"/>
          <w:rtl/>
        </w:rPr>
        <w:t>الفعل</w:t>
      </w:r>
      <w:r w:rsidR="00E8128F">
        <w:rPr>
          <w:sz w:val="36"/>
          <w:szCs w:val="36"/>
          <w:rtl/>
        </w:rPr>
        <w:t xml:space="preserve"> </w:t>
      </w:r>
      <w:r w:rsidR="00AC4326" w:rsidRPr="00FD211F">
        <w:rPr>
          <w:sz w:val="36"/>
          <w:szCs w:val="36"/>
          <w:rtl/>
        </w:rPr>
        <w:t>الماضي</w:t>
      </w:r>
      <w:r w:rsidR="00E8128F">
        <w:rPr>
          <w:sz w:val="36"/>
          <w:szCs w:val="36"/>
          <w:rtl/>
        </w:rPr>
        <w:t xml:space="preserve"> </w:t>
      </w:r>
      <w:r w:rsidR="00AC4326" w:rsidRPr="00FD211F">
        <w:rPr>
          <w:sz w:val="36"/>
          <w:szCs w:val="36"/>
          <w:rtl/>
        </w:rPr>
        <w:t>مثلا</w:t>
      </w:r>
      <w:r w:rsidR="00E8128F">
        <w:rPr>
          <w:sz w:val="36"/>
          <w:szCs w:val="36"/>
          <w:rtl/>
        </w:rPr>
        <w:t xml:space="preserve"> </w:t>
      </w:r>
      <w:r w:rsidR="00AC4326" w:rsidRPr="00FD211F">
        <w:rPr>
          <w:sz w:val="36"/>
          <w:szCs w:val="36"/>
          <w:rtl/>
        </w:rPr>
        <w:t>على</w:t>
      </w:r>
      <w:r w:rsidR="00E8128F">
        <w:rPr>
          <w:sz w:val="36"/>
          <w:szCs w:val="36"/>
          <w:rtl/>
        </w:rPr>
        <w:t xml:space="preserve"> </w:t>
      </w:r>
      <w:r w:rsidR="00AC4326" w:rsidRPr="00FD211F">
        <w:rPr>
          <w:sz w:val="36"/>
          <w:szCs w:val="36"/>
          <w:rtl/>
        </w:rPr>
        <w:t>حدوث</w:t>
      </w:r>
      <w:r w:rsidR="00E8128F">
        <w:rPr>
          <w:sz w:val="36"/>
          <w:szCs w:val="36"/>
          <w:rtl/>
        </w:rPr>
        <w:t xml:space="preserve"> </w:t>
      </w:r>
      <w:r w:rsidR="00AC4326" w:rsidRPr="00FD211F">
        <w:rPr>
          <w:sz w:val="36"/>
          <w:szCs w:val="36"/>
          <w:rtl/>
        </w:rPr>
        <w:t>الفعل</w:t>
      </w:r>
      <w:r w:rsidR="00E8128F">
        <w:rPr>
          <w:sz w:val="36"/>
          <w:szCs w:val="36"/>
          <w:rtl/>
        </w:rPr>
        <w:t xml:space="preserve"> </w:t>
      </w:r>
      <w:r w:rsidR="00AC4326" w:rsidRPr="00FD211F">
        <w:rPr>
          <w:sz w:val="36"/>
          <w:szCs w:val="36"/>
          <w:rtl/>
        </w:rPr>
        <w:t>في</w:t>
      </w:r>
      <w:r w:rsidR="00E8128F">
        <w:rPr>
          <w:sz w:val="36"/>
          <w:szCs w:val="36"/>
          <w:rtl/>
        </w:rPr>
        <w:t xml:space="preserve"> </w:t>
      </w:r>
      <w:r w:rsidR="00AC4326" w:rsidRPr="00FD211F">
        <w:rPr>
          <w:sz w:val="36"/>
          <w:szCs w:val="36"/>
          <w:rtl/>
        </w:rPr>
        <w:t>زمان</w:t>
      </w:r>
      <w:r w:rsidR="00E8128F">
        <w:rPr>
          <w:sz w:val="36"/>
          <w:szCs w:val="36"/>
          <w:rtl/>
        </w:rPr>
        <w:t xml:space="preserve"> </w:t>
      </w:r>
      <w:r w:rsidR="00AC4326" w:rsidRPr="00FD211F">
        <w:rPr>
          <w:sz w:val="36"/>
          <w:szCs w:val="36"/>
          <w:rtl/>
        </w:rPr>
        <w:t>سابق</w:t>
      </w:r>
      <w:r w:rsidR="00E8128F">
        <w:rPr>
          <w:sz w:val="36"/>
          <w:szCs w:val="36"/>
          <w:rtl/>
        </w:rPr>
        <w:t xml:space="preserve"> </w:t>
      </w:r>
      <w:r w:rsidR="00F84B56" w:rsidRPr="00FD211F">
        <w:rPr>
          <w:sz w:val="36"/>
          <w:szCs w:val="36"/>
          <w:rtl/>
        </w:rPr>
        <w:t>هو</w:t>
      </w:r>
      <w:r w:rsidR="00E8128F">
        <w:rPr>
          <w:sz w:val="36"/>
          <w:szCs w:val="36"/>
          <w:rtl/>
        </w:rPr>
        <w:t xml:space="preserve"> </w:t>
      </w:r>
      <w:r w:rsidR="00F84B56" w:rsidRPr="00FD211F">
        <w:rPr>
          <w:sz w:val="36"/>
          <w:szCs w:val="36"/>
          <w:rtl/>
        </w:rPr>
        <w:t>كون</w:t>
      </w:r>
      <w:r w:rsidR="00E8128F">
        <w:rPr>
          <w:sz w:val="36"/>
          <w:szCs w:val="36"/>
          <w:rtl/>
        </w:rPr>
        <w:t xml:space="preserve"> </w:t>
      </w:r>
      <w:r w:rsidR="00F84B56" w:rsidRPr="00FD211F">
        <w:rPr>
          <w:sz w:val="36"/>
          <w:szCs w:val="36"/>
          <w:rtl/>
        </w:rPr>
        <w:t>قولنا</w:t>
      </w:r>
      <w:r w:rsidR="00E8128F">
        <w:rPr>
          <w:sz w:val="36"/>
          <w:szCs w:val="36"/>
          <w:rtl/>
        </w:rPr>
        <w:t xml:space="preserve"> </w:t>
      </w:r>
      <w:r w:rsidR="00F84B56" w:rsidRPr="00FD211F">
        <w:rPr>
          <w:sz w:val="36"/>
          <w:szCs w:val="36"/>
          <w:rtl/>
        </w:rPr>
        <w:t>"</w:t>
      </w:r>
      <w:r w:rsidR="00AC4326" w:rsidRPr="00FD211F">
        <w:rPr>
          <w:sz w:val="36"/>
          <w:szCs w:val="36"/>
          <w:rtl/>
        </w:rPr>
        <w:t>علم</w:t>
      </w:r>
      <w:r w:rsidR="00E8128F">
        <w:rPr>
          <w:sz w:val="36"/>
          <w:szCs w:val="36"/>
          <w:rtl/>
        </w:rPr>
        <w:t xml:space="preserve"> </w:t>
      </w:r>
      <w:r w:rsidR="00AC4326" w:rsidRPr="00FD211F">
        <w:rPr>
          <w:sz w:val="36"/>
          <w:szCs w:val="36"/>
          <w:rtl/>
        </w:rPr>
        <w:t>الله</w:t>
      </w:r>
      <w:r w:rsidR="00F84B56" w:rsidRPr="00FD211F">
        <w:rPr>
          <w:sz w:val="36"/>
          <w:szCs w:val="36"/>
          <w:rtl/>
        </w:rPr>
        <w:t>"</w:t>
      </w:r>
      <w:r w:rsidR="00E8128F">
        <w:rPr>
          <w:sz w:val="36"/>
          <w:szCs w:val="36"/>
          <w:rtl/>
        </w:rPr>
        <w:t xml:space="preserve"> </w:t>
      </w:r>
      <w:r w:rsidR="00AC4326" w:rsidRPr="00FD211F">
        <w:rPr>
          <w:sz w:val="36"/>
          <w:szCs w:val="36"/>
          <w:rtl/>
        </w:rPr>
        <w:t>و</w:t>
      </w:r>
      <w:r w:rsidR="00F84B56" w:rsidRPr="00FD211F">
        <w:rPr>
          <w:sz w:val="36"/>
          <w:szCs w:val="36"/>
          <w:rtl/>
        </w:rPr>
        <w:t>"</w:t>
      </w:r>
      <w:r w:rsidR="00AC4326" w:rsidRPr="00FD211F">
        <w:rPr>
          <w:sz w:val="36"/>
          <w:szCs w:val="36"/>
          <w:rtl/>
        </w:rPr>
        <w:t>كان</w:t>
      </w:r>
      <w:r w:rsidR="00E8128F">
        <w:rPr>
          <w:sz w:val="36"/>
          <w:szCs w:val="36"/>
          <w:rtl/>
        </w:rPr>
        <w:t xml:space="preserve"> </w:t>
      </w:r>
      <w:r w:rsidR="00AC4326" w:rsidRPr="00FD211F">
        <w:rPr>
          <w:sz w:val="36"/>
          <w:szCs w:val="36"/>
          <w:rtl/>
        </w:rPr>
        <w:t>الله</w:t>
      </w:r>
      <w:r w:rsidR="00F84B56" w:rsidRPr="00FD211F">
        <w:rPr>
          <w:sz w:val="36"/>
          <w:szCs w:val="36"/>
          <w:rtl/>
        </w:rPr>
        <w:t>"</w:t>
      </w:r>
      <w:r w:rsidR="00E8128F">
        <w:rPr>
          <w:sz w:val="36"/>
          <w:szCs w:val="36"/>
          <w:rtl/>
        </w:rPr>
        <w:t xml:space="preserve"> </w:t>
      </w:r>
      <w:r w:rsidR="00F84B56" w:rsidRPr="00FD211F">
        <w:rPr>
          <w:sz w:val="36"/>
          <w:szCs w:val="36"/>
          <w:rtl/>
        </w:rPr>
        <w:t>مجازا</w:t>
      </w:r>
      <w:r w:rsidR="00E8128F">
        <w:rPr>
          <w:sz w:val="36"/>
          <w:szCs w:val="36"/>
          <w:rtl/>
        </w:rPr>
        <w:t xml:space="preserve"> </w:t>
      </w:r>
      <w:r w:rsidR="00AC4326" w:rsidRPr="00FD211F">
        <w:rPr>
          <w:sz w:val="36"/>
          <w:szCs w:val="36"/>
          <w:rtl/>
        </w:rPr>
        <w:t>لان</w:t>
      </w:r>
      <w:r w:rsidR="00E8128F">
        <w:rPr>
          <w:sz w:val="36"/>
          <w:szCs w:val="36"/>
          <w:rtl/>
        </w:rPr>
        <w:t xml:space="preserve"> </w:t>
      </w:r>
      <w:r w:rsidR="00F84B56" w:rsidRPr="00FD211F">
        <w:rPr>
          <w:sz w:val="36"/>
          <w:szCs w:val="36"/>
          <w:rtl/>
        </w:rPr>
        <w:t>وصفه</w:t>
      </w:r>
      <w:r w:rsidR="00E8128F">
        <w:rPr>
          <w:sz w:val="36"/>
          <w:szCs w:val="36"/>
          <w:rtl/>
        </w:rPr>
        <w:t xml:space="preserve"> </w:t>
      </w:r>
      <w:r w:rsidR="00F84B56" w:rsidRPr="00FD211F">
        <w:rPr>
          <w:sz w:val="36"/>
          <w:szCs w:val="36"/>
          <w:rtl/>
        </w:rPr>
        <w:t>تعالى</w:t>
      </w:r>
      <w:r w:rsidR="00E8128F">
        <w:rPr>
          <w:sz w:val="36"/>
          <w:szCs w:val="36"/>
          <w:rtl/>
        </w:rPr>
        <w:t xml:space="preserve"> </w:t>
      </w:r>
      <w:r w:rsidR="00F84B56" w:rsidRPr="00FD211F">
        <w:rPr>
          <w:sz w:val="36"/>
          <w:szCs w:val="36"/>
          <w:rtl/>
        </w:rPr>
        <w:t>او</w:t>
      </w:r>
      <w:r w:rsidR="00E8128F">
        <w:rPr>
          <w:sz w:val="36"/>
          <w:szCs w:val="36"/>
          <w:rtl/>
        </w:rPr>
        <w:t xml:space="preserve"> </w:t>
      </w:r>
      <w:r w:rsidR="00F84B56" w:rsidRPr="00FD211F">
        <w:rPr>
          <w:sz w:val="36"/>
          <w:szCs w:val="36"/>
          <w:rtl/>
        </w:rPr>
        <w:t>و</w:t>
      </w:r>
      <w:r w:rsidR="00AC4326" w:rsidRPr="00FD211F">
        <w:rPr>
          <w:sz w:val="36"/>
          <w:szCs w:val="36"/>
          <w:rtl/>
        </w:rPr>
        <w:t>جوده</w:t>
      </w:r>
      <w:r w:rsidR="00E8128F">
        <w:rPr>
          <w:sz w:val="36"/>
          <w:szCs w:val="36"/>
          <w:rtl/>
        </w:rPr>
        <w:t xml:space="preserve"> </w:t>
      </w:r>
      <w:r w:rsidR="00AC4326" w:rsidRPr="00FD211F">
        <w:rPr>
          <w:sz w:val="36"/>
          <w:szCs w:val="36"/>
          <w:rtl/>
        </w:rPr>
        <w:t>ليس</w:t>
      </w:r>
      <w:r w:rsidR="00E8128F">
        <w:rPr>
          <w:sz w:val="36"/>
          <w:szCs w:val="36"/>
          <w:rtl/>
        </w:rPr>
        <w:t xml:space="preserve"> </w:t>
      </w:r>
      <w:r w:rsidR="00AC4326" w:rsidRPr="00FD211F">
        <w:rPr>
          <w:sz w:val="36"/>
          <w:szCs w:val="36"/>
          <w:rtl/>
        </w:rPr>
        <w:t>زمانيا</w:t>
      </w:r>
      <w:r w:rsidR="00E8128F">
        <w:rPr>
          <w:sz w:val="36"/>
          <w:szCs w:val="36"/>
          <w:rtl/>
        </w:rPr>
        <w:t xml:space="preserve"> </w:t>
      </w:r>
      <w:r w:rsidR="00F84B56" w:rsidRPr="00FD211F">
        <w:rPr>
          <w:sz w:val="36"/>
          <w:szCs w:val="36"/>
          <w:rtl/>
        </w:rPr>
        <w:t>كي</w:t>
      </w:r>
      <w:r w:rsidR="00E8128F">
        <w:rPr>
          <w:sz w:val="36"/>
          <w:szCs w:val="36"/>
          <w:rtl/>
        </w:rPr>
        <w:t xml:space="preserve"> </w:t>
      </w:r>
      <w:r w:rsidR="00AC4326" w:rsidRPr="00FD211F">
        <w:rPr>
          <w:sz w:val="36"/>
          <w:szCs w:val="36"/>
          <w:rtl/>
        </w:rPr>
        <w:t>يقع</w:t>
      </w:r>
      <w:r w:rsidR="00E8128F">
        <w:rPr>
          <w:sz w:val="36"/>
          <w:szCs w:val="36"/>
          <w:rtl/>
        </w:rPr>
        <w:t xml:space="preserve"> </w:t>
      </w:r>
      <w:r w:rsidR="00AC4326" w:rsidRPr="00FD211F">
        <w:rPr>
          <w:sz w:val="36"/>
          <w:szCs w:val="36"/>
          <w:rtl/>
        </w:rPr>
        <w:t>في</w:t>
      </w:r>
      <w:r w:rsidR="00E8128F">
        <w:rPr>
          <w:sz w:val="36"/>
          <w:szCs w:val="36"/>
          <w:rtl/>
        </w:rPr>
        <w:t xml:space="preserve"> </w:t>
      </w:r>
      <w:r w:rsidR="00AC4326" w:rsidRPr="00FD211F">
        <w:rPr>
          <w:sz w:val="36"/>
          <w:szCs w:val="36"/>
          <w:rtl/>
        </w:rPr>
        <w:t>الزمان</w:t>
      </w:r>
      <w:r w:rsidR="00603323" w:rsidRPr="00FD211F">
        <w:rPr>
          <w:sz w:val="36"/>
          <w:szCs w:val="36"/>
          <w:rtl/>
        </w:rPr>
        <w:t>،</w:t>
      </w:r>
      <w:r w:rsidR="00E8128F">
        <w:rPr>
          <w:sz w:val="36"/>
          <w:szCs w:val="36"/>
          <w:rtl/>
        </w:rPr>
        <w:t xml:space="preserve"> </w:t>
      </w:r>
      <w:r w:rsidR="00F84B56" w:rsidRPr="00FD211F">
        <w:rPr>
          <w:sz w:val="36"/>
          <w:szCs w:val="36"/>
          <w:rtl/>
        </w:rPr>
        <w:t>و</w:t>
      </w:r>
      <w:r w:rsidR="001E6982" w:rsidRPr="00FD211F">
        <w:rPr>
          <w:sz w:val="36"/>
          <w:szCs w:val="36"/>
          <w:rtl/>
        </w:rPr>
        <w:t>كذا</w:t>
      </w:r>
      <w:r w:rsidR="00E8128F">
        <w:rPr>
          <w:sz w:val="36"/>
          <w:szCs w:val="36"/>
          <w:rtl/>
        </w:rPr>
        <w:t xml:space="preserve"> </w:t>
      </w:r>
      <w:r w:rsidR="001E6982" w:rsidRPr="00FD211F">
        <w:rPr>
          <w:sz w:val="36"/>
          <w:szCs w:val="36"/>
          <w:rtl/>
        </w:rPr>
        <w:t>يلزم</w:t>
      </w:r>
      <w:r w:rsidR="00E8128F">
        <w:rPr>
          <w:sz w:val="36"/>
          <w:szCs w:val="36"/>
          <w:rtl/>
        </w:rPr>
        <w:t xml:space="preserve"> </w:t>
      </w:r>
      <w:r w:rsidR="001E6982" w:rsidRPr="00FD211F">
        <w:rPr>
          <w:sz w:val="36"/>
          <w:szCs w:val="36"/>
          <w:rtl/>
        </w:rPr>
        <w:t>مجازي</w:t>
      </w:r>
      <w:r w:rsidR="00EC7EDF" w:rsidRPr="00FD211F">
        <w:rPr>
          <w:sz w:val="36"/>
          <w:szCs w:val="36"/>
          <w:rtl/>
        </w:rPr>
        <w:t>ة</w:t>
      </w:r>
      <w:r w:rsidR="00E8128F">
        <w:rPr>
          <w:sz w:val="36"/>
          <w:szCs w:val="36"/>
          <w:rtl/>
        </w:rPr>
        <w:t xml:space="preserve"> </w:t>
      </w:r>
      <w:r w:rsidR="00F84B56" w:rsidRPr="00FD211F">
        <w:rPr>
          <w:sz w:val="36"/>
          <w:szCs w:val="36"/>
          <w:rtl/>
        </w:rPr>
        <w:t>قولنا</w:t>
      </w:r>
      <w:r w:rsidR="00E8128F">
        <w:rPr>
          <w:sz w:val="36"/>
          <w:szCs w:val="36"/>
          <w:rtl/>
        </w:rPr>
        <w:t xml:space="preserve"> </w:t>
      </w:r>
      <w:r w:rsidR="00F84B56" w:rsidRPr="00FD211F">
        <w:rPr>
          <w:sz w:val="36"/>
          <w:szCs w:val="36"/>
          <w:rtl/>
        </w:rPr>
        <w:t>"</w:t>
      </w:r>
      <w:r w:rsidR="00AC4326" w:rsidRPr="00FD211F">
        <w:rPr>
          <w:sz w:val="36"/>
          <w:szCs w:val="36"/>
          <w:rtl/>
        </w:rPr>
        <w:t>مضى</w:t>
      </w:r>
      <w:r w:rsidR="00E8128F">
        <w:rPr>
          <w:sz w:val="36"/>
          <w:szCs w:val="36"/>
          <w:rtl/>
        </w:rPr>
        <w:t xml:space="preserve"> </w:t>
      </w:r>
      <w:r w:rsidR="00AC4326" w:rsidRPr="00FD211F">
        <w:rPr>
          <w:sz w:val="36"/>
          <w:szCs w:val="36"/>
          <w:rtl/>
        </w:rPr>
        <w:t>يوم</w:t>
      </w:r>
      <w:r w:rsidR="00E8128F">
        <w:rPr>
          <w:sz w:val="36"/>
          <w:szCs w:val="36"/>
          <w:rtl/>
        </w:rPr>
        <w:t xml:space="preserve"> </w:t>
      </w:r>
      <w:r w:rsidR="00AC4326" w:rsidRPr="00FD211F">
        <w:rPr>
          <w:sz w:val="36"/>
          <w:szCs w:val="36"/>
          <w:rtl/>
        </w:rPr>
        <w:t>الجمع</w:t>
      </w:r>
      <w:r w:rsidR="00EC7EDF" w:rsidRPr="00FD211F">
        <w:rPr>
          <w:sz w:val="36"/>
          <w:szCs w:val="36"/>
          <w:rtl/>
        </w:rPr>
        <w:t>ة</w:t>
      </w:r>
      <w:r w:rsidR="00F84B56" w:rsidRPr="00FD211F">
        <w:rPr>
          <w:sz w:val="36"/>
          <w:szCs w:val="36"/>
          <w:rtl/>
        </w:rPr>
        <w:t>"</w:t>
      </w:r>
      <w:r w:rsidR="00E8128F">
        <w:rPr>
          <w:sz w:val="36"/>
          <w:szCs w:val="36"/>
          <w:rtl/>
        </w:rPr>
        <w:t xml:space="preserve"> </w:t>
      </w:r>
      <w:r w:rsidR="001E6982" w:rsidRPr="00FD211F">
        <w:rPr>
          <w:sz w:val="36"/>
          <w:szCs w:val="36"/>
          <w:rtl/>
        </w:rPr>
        <w:t>حيث</w:t>
      </w:r>
      <w:r w:rsidR="00E8128F">
        <w:rPr>
          <w:sz w:val="36"/>
          <w:szCs w:val="36"/>
          <w:rtl/>
        </w:rPr>
        <w:t xml:space="preserve"> </w:t>
      </w:r>
      <w:r w:rsidR="001E6982" w:rsidRPr="00FD211F">
        <w:rPr>
          <w:sz w:val="36"/>
          <w:szCs w:val="36"/>
          <w:rtl/>
        </w:rPr>
        <w:t>لايقع</w:t>
      </w:r>
      <w:r w:rsidR="00E8128F">
        <w:rPr>
          <w:sz w:val="36"/>
          <w:szCs w:val="36"/>
          <w:rtl/>
        </w:rPr>
        <w:t xml:space="preserve"> </w:t>
      </w:r>
      <w:r w:rsidR="001E6982" w:rsidRPr="00FD211F">
        <w:rPr>
          <w:sz w:val="36"/>
          <w:szCs w:val="36"/>
          <w:rtl/>
        </w:rPr>
        <w:t>الزمان</w:t>
      </w:r>
      <w:r w:rsidR="00E8128F">
        <w:rPr>
          <w:sz w:val="36"/>
          <w:szCs w:val="36"/>
          <w:rtl/>
        </w:rPr>
        <w:t xml:space="preserve"> </w:t>
      </w:r>
      <w:r w:rsidR="001E6982" w:rsidRPr="00FD211F">
        <w:rPr>
          <w:sz w:val="36"/>
          <w:szCs w:val="36"/>
          <w:rtl/>
        </w:rPr>
        <w:t>في</w:t>
      </w:r>
      <w:r w:rsidR="00E8128F">
        <w:rPr>
          <w:sz w:val="36"/>
          <w:szCs w:val="36"/>
          <w:rtl/>
        </w:rPr>
        <w:t xml:space="preserve"> </w:t>
      </w:r>
      <w:r w:rsidR="001E6982" w:rsidRPr="00FD211F">
        <w:rPr>
          <w:sz w:val="36"/>
          <w:szCs w:val="36"/>
          <w:rtl/>
        </w:rPr>
        <w:t>الزمان</w:t>
      </w:r>
      <w:r w:rsidR="00E8128F">
        <w:rPr>
          <w:sz w:val="36"/>
          <w:szCs w:val="36"/>
          <w:rtl/>
        </w:rPr>
        <w:t xml:space="preserve"> </w:t>
      </w:r>
      <w:r w:rsidR="001E6982" w:rsidRPr="00FD211F">
        <w:rPr>
          <w:sz w:val="36"/>
          <w:szCs w:val="36"/>
          <w:rtl/>
        </w:rPr>
        <w:t>فلايمكن</w:t>
      </w:r>
      <w:r w:rsidR="00E8128F">
        <w:rPr>
          <w:sz w:val="36"/>
          <w:szCs w:val="36"/>
          <w:rtl/>
        </w:rPr>
        <w:t xml:space="preserve"> </w:t>
      </w:r>
      <w:r w:rsidR="001E6982" w:rsidRPr="00FD211F">
        <w:rPr>
          <w:sz w:val="36"/>
          <w:szCs w:val="36"/>
          <w:rtl/>
        </w:rPr>
        <w:t>دلال</w:t>
      </w:r>
      <w:r w:rsidR="00EC7EDF" w:rsidRPr="00FD211F">
        <w:rPr>
          <w:sz w:val="36"/>
          <w:szCs w:val="36"/>
          <w:rtl/>
        </w:rPr>
        <w:t>ة</w:t>
      </w:r>
      <w:r w:rsidR="00E8128F">
        <w:rPr>
          <w:sz w:val="36"/>
          <w:szCs w:val="36"/>
          <w:rtl/>
        </w:rPr>
        <w:t xml:space="preserve"> </w:t>
      </w:r>
      <w:r w:rsidR="001E6982" w:rsidRPr="00FD211F">
        <w:rPr>
          <w:sz w:val="36"/>
          <w:szCs w:val="36"/>
          <w:rtl/>
        </w:rPr>
        <w:t>الفعل</w:t>
      </w:r>
      <w:r w:rsidR="00E8128F">
        <w:rPr>
          <w:sz w:val="36"/>
          <w:szCs w:val="36"/>
          <w:rtl/>
        </w:rPr>
        <w:t xml:space="preserve"> </w:t>
      </w:r>
      <w:r w:rsidR="001E6982" w:rsidRPr="00FD211F">
        <w:rPr>
          <w:sz w:val="36"/>
          <w:szCs w:val="36"/>
          <w:rtl/>
        </w:rPr>
        <w:t>في</w:t>
      </w:r>
      <w:r w:rsidR="00E8128F">
        <w:rPr>
          <w:sz w:val="36"/>
          <w:szCs w:val="36"/>
          <w:rtl/>
        </w:rPr>
        <w:t xml:space="preserve"> </w:t>
      </w:r>
      <w:r w:rsidR="001E6982" w:rsidRPr="00FD211F">
        <w:rPr>
          <w:sz w:val="36"/>
          <w:szCs w:val="36"/>
          <w:rtl/>
        </w:rPr>
        <w:t>هذا</w:t>
      </w:r>
      <w:r w:rsidR="00E8128F">
        <w:rPr>
          <w:sz w:val="36"/>
          <w:szCs w:val="36"/>
          <w:rtl/>
        </w:rPr>
        <w:t xml:space="preserve"> </w:t>
      </w:r>
      <w:r w:rsidR="001E6982" w:rsidRPr="00FD211F">
        <w:rPr>
          <w:sz w:val="36"/>
          <w:szCs w:val="36"/>
          <w:rtl/>
        </w:rPr>
        <w:t>المثال</w:t>
      </w:r>
      <w:r w:rsidR="00E8128F">
        <w:rPr>
          <w:sz w:val="36"/>
          <w:szCs w:val="36"/>
          <w:rtl/>
        </w:rPr>
        <w:t xml:space="preserve"> </w:t>
      </w:r>
      <w:r w:rsidR="001E6982" w:rsidRPr="00FD211F">
        <w:rPr>
          <w:sz w:val="36"/>
          <w:szCs w:val="36"/>
          <w:rtl/>
        </w:rPr>
        <w:t>على</w:t>
      </w:r>
      <w:r w:rsidR="00E8128F">
        <w:rPr>
          <w:sz w:val="36"/>
          <w:szCs w:val="36"/>
          <w:rtl/>
        </w:rPr>
        <w:t xml:space="preserve"> </w:t>
      </w:r>
      <w:r w:rsidR="001E6982" w:rsidRPr="00FD211F">
        <w:rPr>
          <w:sz w:val="36"/>
          <w:szCs w:val="36"/>
          <w:rtl/>
        </w:rPr>
        <w:t>الزمان</w:t>
      </w:r>
      <w:r w:rsidR="00603323" w:rsidRPr="00FD211F">
        <w:rPr>
          <w:sz w:val="36"/>
          <w:szCs w:val="36"/>
          <w:rtl/>
        </w:rPr>
        <w:t>،</w:t>
      </w:r>
      <w:r w:rsidR="00E8128F">
        <w:rPr>
          <w:sz w:val="36"/>
          <w:szCs w:val="36"/>
          <w:rtl/>
        </w:rPr>
        <w:t xml:space="preserve"> </w:t>
      </w:r>
      <w:r w:rsidR="00AC4326" w:rsidRPr="00FD211F">
        <w:rPr>
          <w:sz w:val="36"/>
          <w:szCs w:val="36"/>
          <w:rtl/>
        </w:rPr>
        <w:t>وحيث</w:t>
      </w:r>
      <w:r w:rsidR="00E8128F">
        <w:rPr>
          <w:sz w:val="36"/>
          <w:szCs w:val="36"/>
          <w:rtl/>
        </w:rPr>
        <w:t xml:space="preserve"> </w:t>
      </w:r>
      <w:r w:rsidR="001E6982" w:rsidRPr="00FD211F">
        <w:rPr>
          <w:sz w:val="36"/>
          <w:szCs w:val="36"/>
          <w:rtl/>
        </w:rPr>
        <w:t>لانحسّ</w:t>
      </w:r>
      <w:r w:rsidR="00E8128F">
        <w:rPr>
          <w:sz w:val="36"/>
          <w:szCs w:val="36"/>
          <w:rtl/>
        </w:rPr>
        <w:t xml:space="preserve"> </w:t>
      </w:r>
      <w:r w:rsidR="00AC4326" w:rsidRPr="00FD211F">
        <w:rPr>
          <w:sz w:val="36"/>
          <w:szCs w:val="36"/>
          <w:rtl/>
        </w:rPr>
        <w:t>في</w:t>
      </w:r>
      <w:r w:rsidR="00E8128F">
        <w:rPr>
          <w:sz w:val="36"/>
          <w:szCs w:val="36"/>
          <w:rtl/>
        </w:rPr>
        <w:t xml:space="preserve"> </w:t>
      </w:r>
      <w:r w:rsidR="00AC4326" w:rsidRPr="00FD211F">
        <w:rPr>
          <w:sz w:val="36"/>
          <w:szCs w:val="36"/>
          <w:rtl/>
        </w:rPr>
        <w:t>هذه</w:t>
      </w:r>
      <w:r w:rsidR="00E8128F">
        <w:rPr>
          <w:sz w:val="36"/>
          <w:szCs w:val="36"/>
          <w:rtl/>
        </w:rPr>
        <w:t xml:space="preserve"> </w:t>
      </w:r>
      <w:r w:rsidR="00AC4326" w:rsidRPr="00FD211F">
        <w:rPr>
          <w:sz w:val="36"/>
          <w:szCs w:val="36"/>
          <w:rtl/>
        </w:rPr>
        <w:t>الأمثل</w:t>
      </w:r>
      <w:r w:rsidR="00EC7EDF" w:rsidRPr="00FD211F">
        <w:rPr>
          <w:sz w:val="36"/>
          <w:szCs w:val="36"/>
          <w:rtl/>
        </w:rPr>
        <w:t>ة</w:t>
      </w:r>
      <w:r w:rsidR="00E8128F">
        <w:rPr>
          <w:sz w:val="36"/>
          <w:szCs w:val="36"/>
          <w:rtl/>
        </w:rPr>
        <w:t xml:space="preserve"> </w:t>
      </w:r>
      <w:r w:rsidR="001E6982" w:rsidRPr="00FD211F">
        <w:rPr>
          <w:sz w:val="36"/>
          <w:szCs w:val="36"/>
          <w:rtl/>
        </w:rPr>
        <w:t>ب</w:t>
      </w:r>
      <w:r w:rsidR="00AC4326" w:rsidRPr="00FD211F">
        <w:rPr>
          <w:sz w:val="36"/>
          <w:szCs w:val="36"/>
          <w:rtl/>
        </w:rPr>
        <w:t>اي</w:t>
      </w:r>
      <w:r w:rsidR="00E8128F">
        <w:rPr>
          <w:sz w:val="36"/>
          <w:szCs w:val="36"/>
          <w:rtl/>
        </w:rPr>
        <w:t xml:space="preserve"> </w:t>
      </w:r>
      <w:r w:rsidR="00AC4326" w:rsidRPr="00FD211F">
        <w:rPr>
          <w:sz w:val="36"/>
          <w:szCs w:val="36"/>
          <w:rtl/>
        </w:rPr>
        <w:t>مجاز</w:t>
      </w:r>
      <w:r w:rsidR="00E8128F">
        <w:rPr>
          <w:sz w:val="36"/>
          <w:szCs w:val="36"/>
          <w:rtl/>
        </w:rPr>
        <w:t xml:space="preserve"> </w:t>
      </w:r>
      <w:r w:rsidR="00AC4326" w:rsidRPr="00FD211F">
        <w:rPr>
          <w:sz w:val="36"/>
          <w:szCs w:val="36"/>
          <w:rtl/>
        </w:rPr>
        <w:t>فنكشف</w:t>
      </w:r>
      <w:r w:rsidR="00E8128F">
        <w:rPr>
          <w:sz w:val="36"/>
          <w:szCs w:val="36"/>
          <w:rtl/>
        </w:rPr>
        <w:t xml:space="preserve"> </w:t>
      </w:r>
      <w:r w:rsidR="00AC4326" w:rsidRPr="00FD211F">
        <w:rPr>
          <w:sz w:val="36"/>
          <w:szCs w:val="36"/>
          <w:rtl/>
        </w:rPr>
        <w:t>عدم</w:t>
      </w:r>
      <w:r w:rsidR="00E8128F">
        <w:rPr>
          <w:sz w:val="36"/>
          <w:szCs w:val="36"/>
          <w:rtl/>
        </w:rPr>
        <w:t xml:space="preserve"> </w:t>
      </w:r>
      <w:r w:rsidR="00AC4326" w:rsidRPr="00FD211F">
        <w:rPr>
          <w:sz w:val="36"/>
          <w:szCs w:val="36"/>
          <w:rtl/>
        </w:rPr>
        <w:t>دلالته</w:t>
      </w:r>
      <w:r w:rsidR="00E8128F">
        <w:rPr>
          <w:sz w:val="36"/>
          <w:szCs w:val="36"/>
          <w:rtl/>
        </w:rPr>
        <w:t xml:space="preserve"> </w:t>
      </w:r>
      <w:r w:rsidR="00AC4326" w:rsidRPr="00FD211F">
        <w:rPr>
          <w:sz w:val="36"/>
          <w:szCs w:val="36"/>
          <w:rtl/>
        </w:rPr>
        <w:t>على</w:t>
      </w:r>
      <w:r w:rsidR="00E8128F">
        <w:rPr>
          <w:sz w:val="36"/>
          <w:szCs w:val="36"/>
          <w:rtl/>
        </w:rPr>
        <w:t xml:space="preserve"> </w:t>
      </w:r>
      <w:r w:rsidR="00AC4326" w:rsidRPr="00FD211F">
        <w:rPr>
          <w:sz w:val="36"/>
          <w:szCs w:val="36"/>
          <w:rtl/>
        </w:rPr>
        <w:t>صدور</w:t>
      </w:r>
      <w:r w:rsidR="00E8128F">
        <w:rPr>
          <w:sz w:val="36"/>
          <w:szCs w:val="36"/>
          <w:rtl/>
        </w:rPr>
        <w:t xml:space="preserve"> </w:t>
      </w:r>
      <w:r w:rsidR="00AC4326" w:rsidRPr="00FD211F">
        <w:rPr>
          <w:sz w:val="36"/>
          <w:szCs w:val="36"/>
          <w:rtl/>
        </w:rPr>
        <w:t>الفعل</w:t>
      </w:r>
      <w:r w:rsidR="00E8128F">
        <w:rPr>
          <w:sz w:val="36"/>
          <w:szCs w:val="36"/>
          <w:rtl/>
        </w:rPr>
        <w:t xml:space="preserve"> </w:t>
      </w:r>
      <w:r w:rsidR="00AC4326" w:rsidRPr="00FD211F">
        <w:rPr>
          <w:sz w:val="36"/>
          <w:szCs w:val="36"/>
          <w:rtl/>
        </w:rPr>
        <w:t>في</w:t>
      </w:r>
      <w:r w:rsidR="00E8128F">
        <w:rPr>
          <w:sz w:val="36"/>
          <w:szCs w:val="36"/>
          <w:rtl/>
        </w:rPr>
        <w:t xml:space="preserve"> </w:t>
      </w:r>
      <w:r w:rsidR="00AC4326" w:rsidRPr="00FD211F">
        <w:rPr>
          <w:sz w:val="36"/>
          <w:szCs w:val="36"/>
          <w:rtl/>
        </w:rPr>
        <w:t>زمان</w:t>
      </w:r>
      <w:r w:rsidR="00E8128F">
        <w:rPr>
          <w:sz w:val="36"/>
          <w:szCs w:val="36"/>
          <w:rtl/>
        </w:rPr>
        <w:t xml:space="preserve"> </w:t>
      </w:r>
      <w:r w:rsidR="00AC4326" w:rsidRPr="00FD211F">
        <w:rPr>
          <w:sz w:val="36"/>
          <w:szCs w:val="36"/>
          <w:rtl/>
        </w:rPr>
        <w:t>سابق</w:t>
      </w:r>
      <w:r w:rsidR="00603323" w:rsidRPr="00FD211F">
        <w:rPr>
          <w:sz w:val="36"/>
          <w:szCs w:val="36"/>
          <w:rtl/>
        </w:rPr>
        <w:t>،</w:t>
      </w:r>
      <w:r w:rsidR="00E8128F">
        <w:rPr>
          <w:sz w:val="36"/>
          <w:szCs w:val="36"/>
          <w:rtl/>
        </w:rPr>
        <w:t xml:space="preserve"> </w:t>
      </w:r>
      <w:r w:rsidR="00AC4326" w:rsidRPr="00FD211F">
        <w:rPr>
          <w:sz w:val="36"/>
          <w:szCs w:val="36"/>
          <w:rtl/>
        </w:rPr>
        <w:t>نعم</w:t>
      </w:r>
      <w:r w:rsidR="00E8128F">
        <w:rPr>
          <w:sz w:val="36"/>
          <w:szCs w:val="36"/>
          <w:rtl/>
        </w:rPr>
        <w:t xml:space="preserve"> </w:t>
      </w:r>
      <w:r w:rsidR="00072D5C" w:rsidRPr="00FD211F">
        <w:rPr>
          <w:sz w:val="36"/>
          <w:szCs w:val="36"/>
          <w:rtl/>
        </w:rPr>
        <w:t>الفعل</w:t>
      </w:r>
      <w:r w:rsidR="00E8128F">
        <w:rPr>
          <w:sz w:val="36"/>
          <w:szCs w:val="36"/>
          <w:rtl/>
        </w:rPr>
        <w:t xml:space="preserve"> </w:t>
      </w:r>
      <w:r w:rsidR="00072D5C" w:rsidRPr="00FD211F">
        <w:rPr>
          <w:sz w:val="36"/>
          <w:szCs w:val="36"/>
          <w:rtl/>
        </w:rPr>
        <w:t>الماضي</w:t>
      </w:r>
      <w:r w:rsidR="00E8128F">
        <w:rPr>
          <w:sz w:val="36"/>
          <w:szCs w:val="36"/>
          <w:rtl/>
        </w:rPr>
        <w:t xml:space="preserve"> </w:t>
      </w:r>
      <w:r w:rsidR="00223521" w:rsidRPr="00FD211F">
        <w:rPr>
          <w:sz w:val="36"/>
          <w:szCs w:val="36"/>
          <w:rtl/>
        </w:rPr>
        <w:t>يدل</w:t>
      </w:r>
      <w:r w:rsidR="00E8128F">
        <w:rPr>
          <w:sz w:val="36"/>
          <w:szCs w:val="36"/>
          <w:rtl/>
        </w:rPr>
        <w:t xml:space="preserve"> </w:t>
      </w:r>
      <w:r w:rsidR="00223521" w:rsidRPr="00FD211F">
        <w:rPr>
          <w:sz w:val="36"/>
          <w:szCs w:val="36"/>
          <w:rtl/>
        </w:rPr>
        <w:t>على</w:t>
      </w:r>
      <w:r w:rsidR="00E8128F">
        <w:rPr>
          <w:sz w:val="36"/>
          <w:szCs w:val="36"/>
          <w:rtl/>
        </w:rPr>
        <w:t xml:space="preserve"> </w:t>
      </w:r>
      <w:r w:rsidR="00223521" w:rsidRPr="00FD211F">
        <w:rPr>
          <w:sz w:val="36"/>
          <w:szCs w:val="36"/>
          <w:rtl/>
        </w:rPr>
        <w:t>خصوصي</w:t>
      </w:r>
      <w:r w:rsidR="00EC7EDF" w:rsidRPr="00FD211F">
        <w:rPr>
          <w:sz w:val="36"/>
          <w:szCs w:val="36"/>
          <w:rtl/>
        </w:rPr>
        <w:t>ة</w:t>
      </w:r>
      <w:r w:rsidR="00E8128F">
        <w:rPr>
          <w:sz w:val="36"/>
          <w:szCs w:val="36"/>
          <w:rtl/>
        </w:rPr>
        <w:t xml:space="preserve"> </w:t>
      </w:r>
      <w:r w:rsidR="00223521" w:rsidRPr="00FD211F">
        <w:rPr>
          <w:sz w:val="36"/>
          <w:szCs w:val="36"/>
          <w:rtl/>
        </w:rPr>
        <w:t>لازمها</w:t>
      </w:r>
      <w:r w:rsidR="00E8128F">
        <w:rPr>
          <w:sz w:val="36"/>
          <w:szCs w:val="36"/>
          <w:rtl/>
        </w:rPr>
        <w:t xml:space="preserve"> </w:t>
      </w:r>
      <w:r w:rsidR="00AC4326" w:rsidRPr="00FD211F">
        <w:rPr>
          <w:sz w:val="36"/>
          <w:szCs w:val="36"/>
          <w:rtl/>
        </w:rPr>
        <w:t>فيما</w:t>
      </w:r>
      <w:r w:rsidR="00E8128F">
        <w:rPr>
          <w:sz w:val="36"/>
          <w:szCs w:val="36"/>
          <w:rtl/>
        </w:rPr>
        <w:t xml:space="preserve"> </w:t>
      </w:r>
      <w:r w:rsidR="00AC4326" w:rsidRPr="00FD211F">
        <w:rPr>
          <w:sz w:val="36"/>
          <w:szCs w:val="36"/>
          <w:rtl/>
        </w:rPr>
        <w:t>اذا</w:t>
      </w:r>
      <w:r w:rsidR="00E8128F">
        <w:rPr>
          <w:sz w:val="36"/>
          <w:szCs w:val="36"/>
          <w:rtl/>
        </w:rPr>
        <w:t xml:space="preserve"> </w:t>
      </w:r>
      <w:r w:rsidR="00AC4326" w:rsidRPr="00FD211F">
        <w:rPr>
          <w:sz w:val="36"/>
          <w:szCs w:val="36"/>
          <w:rtl/>
        </w:rPr>
        <w:t>اسند</w:t>
      </w:r>
      <w:r w:rsidR="00E8128F">
        <w:rPr>
          <w:sz w:val="36"/>
          <w:szCs w:val="36"/>
          <w:rtl/>
        </w:rPr>
        <w:t xml:space="preserve"> </w:t>
      </w:r>
      <w:r w:rsidR="00AC4326" w:rsidRPr="00FD211F">
        <w:rPr>
          <w:sz w:val="36"/>
          <w:szCs w:val="36"/>
          <w:rtl/>
        </w:rPr>
        <w:t>الى</w:t>
      </w:r>
      <w:r w:rsidR="00E8128F">
        <w:rPr>
          <w:sz w:val="36"/>
          <w:szCs w:val="36"/>
          <w:rtl/>
        </w:rPr>
        <w:t xml:space="preserve"> </w:t>
      </w:r>
      <w:r w:rsidR="00AC4326" w:rsidRPr="00FD211F">
        <w:rPr>
          <w:sz w:val="36"/>
          <w:szCs w:val="36"/>
          <w:rtl/>
        </w:rPr>
        <w:t>الزمانيات</w:t>
      </w:r>
      <w:r w:rsidR="00E8128F">
        <w:rPr>
          <w:sz w:val="36"/>
          <w:szCs w:val="36"/>
          <w:rtl/>
        </w:rPr>
        <w:t xml:space="preserve"> </w:t>
      </w:r>
      <w:r w:rsidR="00223521" w:rsidRPr="00FD211F">
        <w:rPr>
          <w:sz w:val="36"/>
          <w:szCs w:val="36"/>
          <w:rtl/>
        </w:rPr>
        <w:t>هو</w:t>
      </w:r>
      <w:r w:rsidR="00E8128F">
        <w:rPr>
          <w:sz w:val="36"/>
          <w:szCs w:val="36"/>
          <w:rtl/>
        </w:rPr>
        <w:t xml:space="preserve"> </w:t>
      </w:r>
      <w:r w:rsidR="00223521" w:rsidRPr="00FD211F">
        <w:rPr>
          <w:sz w:val="36"/>
          <w:szCs w:val="36"/>
          <w:rtl/>
        </w:rPr>
        <w:t>صدور</w:t>
      </w:r>
      <w:r w:rsidR="00E8128F">
        <w:rPr>
          <w:sz w:val="36"/>
          <w:szCs w:val="36"/>
          <w:rtl/>
        </w:rPr>
        <w:t xml:space="preserve"> </w:t>
      </w:r>
      <w:r w:rsidR="00223521" w:rsidRPr="00FD211F">
        <w:rPr>
          <w:sz w:val="36"/>
          <w:szCs w:val="36"/>
          <w:rtl/>
        </w:rPr>
        <w:t>الفعل</w:t>
      </w:r>
      <w:r w:rsidR="00E8128F">
        <w:rPr>
          <w:sz w:val="36"/>
          <w:szCs w:val="36"/>
          <w:rtl/>
        </w:rPr>
        <w:t xml:space="preserve"> </w:t>
      </w:r>
      <w:r w:rsidR="00223521" w:rsidRPr="00FD211F">
        <w:rPr>
          <w:sz w:val="36"/>
          <w:szCs w:val="36"/>
          <w:rtl/>
        </w:rPr>
        <w:t>في</w:t>
      </w:r>
      <w:r w:rsidR="00E8128F">
        <w:rPr>
          <w:sz w:val="36"/>
          <w:szCs w:val="36"/>
          <w:rtl/>
        </w:rPr>
        <w:t xml:space="preserve"> </w:t>
      </w:r>
      <w:r w:rsidR="00223521" w:rsidRPr="00FD211F">
        <w:rPr>
          <w:sz w:val="36"/>
          <w:szCs w:val="36"/>
          <w:rtl/>
        </w:rPr>
        <w:t>الزمان</w:t>
      </w:r>
      <w:r w:rsidR="00E8128F">
        <w:rPr>
          <w:sz w:val="36"/>
          <w:szCs w:val="36"/>
          <w:rtl/>
        </w:rPr>
        <w:t xml:space="preserve"> </w:t>
      </w:r>
      <w:r w:rsidR="00223521" w:rsidRPr="00FD211F">
        <w:rPr>
          <w:sz w:val="36"/>
          <w:szCs w:val="36"/>
          <w:rtl/>
        </w:rPr>
        <w:t>السابق</w:t>
      </w:r>
      <w:r w:rsidR="00E8128F">
        <w:rPr>
          <w:sz w:val="36"/>
          <w:szCs w:val="36"/>
          <w:rtl/>
        </w:rPr>
        <w:t xml:space="preserve"> </w:t>
      </w:r>
      <w:r w:rsidR="00AC4326" w:rsidRPr="00FD211F">
        <w:rPr>
          <w:sz w:val="36"/>
          <w:szCs w:val="36"/>
          <w:rtl/>
        </w:rPr>
        <w:t>كما</w:t>
      </w:r>
      <w:r w:rsidR="00E8128F">
        <w:rPr>
          <w:sz w:val="36"/>
          <w:szCs w:val="36"/>
          <w:rtl/>
        </w:rPr>
        <w:t xml:space="preserve"> </w:t>
      </w:r>
      <w:r w:rsidR="00AC4326" w:rsidRPr="00FD211F">
        <w:rPr>
          <w:sz w:val="36"/>
          <w:szCs w:val="36"/>
          <w:rtl/>
        </w:rPr>
        <w:t>ان</w:t>
      </w:r>
      <w:r w:rsidR="00E8128F">
        <w:rPr>
          <w:sz w:val="36"/>
          <w:szCs w:val="36"/>
          <w:rtl/>
        </w:rPr>
        <w:t xml:space="preserve"> </w:t>
      </w:r>
      <w:r w:rsidR="00AC4326" w:rsidRPr="00FD211F">
        <w:rPr>
          <w:sz w:val="36"/>
          <w:szCs w:val="36"/>
          <w:rtl/>
        </w:rPr>
        <w:t>المضارع</w:t>
      </w:r>
      <w:r w:rsidR="00E8128F">
        <w:rPr>
          <w:sz w:val="36"/>
          <w:szCs w:val="36"/>
          <w:rtl/>
        </w:rPr>
        <w:t xml:space="preserve"> </w:t>
      </w:r>
      <w:r w:rsidR="00AC4326" w:rsidRPr="00FD211F">
        <w:rPr>
          <w:sz w:val="36"/>
          <w:szCs w:val="36"/>
          <w:rtl/>
        </w:rPr>
        <w:t>يدل</w:t>
      </w:r>
      <w:r w:rsidR="00E8128F">
        <w:rPr>
          <w:sz w:val="36"/>
          <w:szCs w:val="36"/>
          <w:rtl/>
        </w:rPr>
        <w:t xml:space="preserve"> </w:t>
      </w:r>
      <w:r w:rsidR="00AC4326" w:rsidRPr="00FD211F">
        <w:rPr>
          <w:sz w:val="36"/>
          <w:szCs w:val="36"/>
          <w:rtl/>
        </w:rPr>
        <w:t>على</w:t>
      </w:r>
      <w:r w:rsidR="00E8128F">
        <w:rPr>
          <w:sz w:val="36"/>
          <w:szCs w:val="36"/>
          <w:rtl/>
        </w:rPr>
        <w:t xml:space="preserve"> </w:t>
      </w:r>
      <w:r w:rsidR="00AC4326" w:rsidRPr="00FD211F">
        <w:rPr>
          <w:sz w:val="36"/>
          <w:szCs w:val="36"/>
          <w:rtl/>
        </w:rPr>
        <w:t>خصوصي</w:t>
      </w:r>
      <w:r w:rsidR="00EC7EDF" w:rsidRPr="00FD211F">
        <w:rPr>
          <w:sz w:val="36"/>
          <w:szCs w:val="36"/>
          <w:rtl/>
        </w:rPr>
        <w:t>ة</w:t>
      </w:r>
      <w:r w:rsidR="00E8128F">
        <w:rPr>
          <w:sz w:val="36"/>
          <w:szCs w:val="36"/>
          <w:rtl/>
        </w:rPr>
        <w:t xml:space="preserve"> </w:t>
      </w:r>
      <w:r w:rsidR="00AC4326" w:rsidRPr="00FD211F">
        <w:rPr>
          <w:sz w:val="36"/>
          <w:szCs w:val="36"/>
          <w:rtl/>
        </w:rPr>
        <w:t>لازمها</w:t>
      </w:r>
      <w:r w:rsidR="00E8128F">
        <w:rPr>
          <w:sz w:val="36"/>
          <w:szCs w:val="36"/>
          <w:rtl/>
        </w:rPr>
        <w:t xml:space="preserve"> </w:t>
      </w:r>
      <w:r w:rsidR="00AC4326" w:rsidRPr="00FD211F">
        <w:rPr>
          <w:sz w:val="36"/>
          <w:szCs w:val="36"/>
          <w:rtl/>
        </w:rPr>
        <w:t>الدلال</w:t>
      </w:r>
      <w:r w:rsidR="00EC7EDF" w:rsidRPr="00FD211F">
        <w:rPr>
          <w:sz w:val="36"/>
          <w:szCs w:val="36"/>
          <w:rtl/>
        </w:rPr>
        <w:t>ة</w:t>
      </w:r>
      <w:r w:rsidR="00E8128F">
        <w:rPr>
          <w:sz w:val="36"/>
          <w:szCs w:val="36"/>
          <w:rtl/>
        </w:rPr>
        <w:t xml:space="preserve"> </w:t>
      </w:r>
      <w:r w:rsidR="00AC4326" w:rsidRPr="00FD211F">
        <w:rPr>
          <w:sz w:val="36"/>
          <w:szCs w:val="36"/>
          <w:rtl/>
        </w:rPr>
        <w:t>على</w:t>
      </w:r>
      <w:r w:rsidR="00E8128F">
        <w:rPr>
          <w:sz w:val="36"/>
          <w:szCs w:val="36"/>
          <w:rtl/>
        </w:rPr>
        <w:t xml:space="preserve"> </w:t>
      </w:r>
      <w:r w:rsidR="00AC4326" w:rsidRPr="00FD211F">
        <w:rPr>
          <w:sz w:val="36"/>
          <w:szCs w:val="36"/>
          <w:rtl/>
        </w:rPr>
        <w:t>صدور</w:t>
      </w:r>
      <w:r w:rsidR="00E8128F">
        <w:rPr>
          <w:sz w:val="36"/>
          <w:szCs w:val="36"/>
          <w:rtl/>
        </w:rPr>
        <w:t xml:space="preserve"> </w:t>
      </w:r>
      <w:r w:rsidR="00AC4326" w:rsidRPr="00FD211F">
        <w:rPr>
          <w:sz w:val="36"/>
          <w:szCs w:val="36"/>
          <w:rtl/>
        </w:rPr>
        <w:t>الفعل</w:t>
      </w:r>
      <w:r w:rsidR="00E8128F">
        <w:rPr>
          <w:sz w:val="36"/>
          <w:szCs w:val="36"/>
          <w:rtl/>
        </w:rPr>
        <w:t xml:space="preserve"> </w:t>
      </w:r>
      <w:r w:rsidR="00AC4326" w:rsidRPr="00FD211F">
        <w:rPr>
          <w:sz w:val="36"/>
          <w:szCs w:val="36"/>
          <w:rtl/>
        </w:rPr>
        <w:t>في</w:t>
      </w:r>
      <w:r w:rsidR="00E8128F">
        <w:rPr>
          <w:sz w:val="36"/>
          <w:szCs w:val="36"/>
          <w:rtl/>
        </w:rPr>
        <w:t xml:space="preserve"> </w:t>
      </w:r>
      <w:r w:rsidR="00AC4326" w:rsidRPr="00FD211F">
        <w:rPr>
          <w:sz w:val="36"/>
          <w:szCs w:val="36"/>
          <w:rtl/>
        </w:rPr>
        <w:t>الحال</w:t>
      </w:r>
      <w:r w:rsidR="00E8128F">
        <w:rPr>
          <w:sz w:val="36"/>
          <w:szCs w:val="36"/>
          <w:rtl/>
        </w:rPr>
        <w:t xml:space="preserve"> </w:t>
      </w:r>
      <w:r w:rsidR="00AC4326" w:rsidRPr="00FD211F">
        <w:rPr>
          <w:sz w:val="36"/>
          <w:szCs w:val="36"/>
          <w:rtl/>
        </w:rPr>
        <w:t>والاستقبال</w:t>
      </w:r>
      <w:r w:rsidR="00E8128F">
        <w:rPr>
          <w:sz w:val="36"/>
          <w:szCs w:val="36"/>
          <w:rtl/>
        </w:rPr>
        <w:t xml:space="preserve"> </w:t>
      </w:r>
      <w:r w:rsidR="00AC4326" w:rsidRPr="00FD211F">
        <w:rPr>
          <w:sz w:val="36"/>
          <w:szCs w:val="36"/>
          <w:rtl/>
        </w:rPr>
        <w:t>فيما</w:t>
      </w:r>
      <w:r w:rsidR="00E8128F">
        <w:rPr>
          <w:sz w:val="36"/>
          <w:szCs w:val="36"/>
          <w:rtl/>
        </w:rPr>
        <w:t xml:space="preserve"> </w:t>
      </w:r>
      <w:r w:rsidR="00AC4326" w:rsidRPr="00FD211F">
        <w:rPr>
          <w:sz w:val="36"/>
          <w:szCs w:val="36"/>
          <w:rtl/>
        </w:rPr>
        <w:t>اسند</w:t>
      </w:r>
      <w:r w:rsidR="00E8128F">
        <w:rPr>
          <w:sz w:val="36"/>
          <w:szCs w:val="36"/>
          <w:rtl/>
        </w:rPr>
        <w:t xml:space="preserve"> </w:t>
      </w:r>
      <w:r w:rsidR="00AC4326" w:rsidRPr="00FD211F">
        <w:rPr>
          <w:sz w:val="36"/>
          <w:szCs w:val="36"/>
          <w:rtl/>
        </w:rPr>
        <w:t>الى</w:t>
      </w:r>
      <w:r w:rsidR="00E8128F">
        <w:rPr>
          <w:sz w:val="36"/>
          <w:szCs w:val="36"/>
          <w:rtl/>
        </w:rPr>
        <w:t xml:space="preserve"> </w:t>
      </w:r>
      <w:r w:rsidR="00AC4326" w:rsidRPr="00FD211F">
        <w:rPr>
          <w:sz w:val="36"/>
          <w:szCs w:val="36"/>
          <w:rtl/>
        </w:rPr>
        <w:t>الزمانيات</w:t>
      </w:r>
      <w:r w:rsidR="00072D5C" w:rsidRPr="00FD211F">
        <w:rPr>
          <w:sz w:val="36"/>
          <w:szCs w:val="36"/>
          <w:rtl/>
        </w:rPr>
        <w:t>.</w:t>
      </w:r>
    </w:p>
    <w:p w14:paraId="08CD27A7" w14:textId="77777777" w:rsidR="00AC4326" w:rsidRPr="00FD211F" w:rsidRDefault="00072D5C" w:rsidP="00931AF3">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استشهد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ذلك</w:t>
      </w:r>
      <w:r w:rsidR="00E8128F">
        <w:rPr>
          <w:sz w:val="36"/>
          <w:szCs w:val="36"/>
          <w:rtl/>
        </w:rPr>
        <w:t xml:space="preserve"> </w:t>
      </w:r>
      <w:r w:rsidR="00AC4326" w:rsidRPr="00FD211F">
        <w:rPr>
          <w:sz w:val="36"/>
          <w:szCs w:val="36"/>
          <w:rtl/>
        </w:rPr>
        <w:t>بما</w:t>
      </w:r>
      <w:r w:rsidR="00E8128F">
        <w:rPr>
          <w:sz w:val="36"/>
          <w:szCs w:val="36"/>
          <w:rtl/>
        </w:rPr>
        <w:t xml:space="preserve"> </w:t>
      </w:r>
      <w:r w:rsidR="00AC4326" w:rsidRPr="00FD211F">
        <w:rPr>
          <w:sz w:val="36"/>
          <w:szCs w:val="36"/>
          <w:rtl/>
        </w:rPr>
        <w:t>محصله</w:t>
      </w:r>
      <w:r w:rsidR="00E8128F">
        <w:rPr>
          <w:sz w:val="36"/>
          <w:szCs w:val="36"/>
          <w:rtl/>
        </w:rPr>
        <w:t xml:space="preserve"> </w:t>
      </w:r>
      <w:r w:rsidR="00AC4326" w:rsidRPr="00FD211F">
        <w:rPr>
          <w:sz w:val="36"/>
          <w:szCs w:val="36"/>
          <w:rtl/>
        </w:rPr>
        <w:t>ان</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المضارع</w:t>
      </w:r>
      <w:r w:rsidR="00E8128F">
        <w:rPr>
          <w:sz w:val="36"/>
          <w:szCs w:val="36"/>
          <w:rtl/>
        </w:rPr>
        <w:t xml:space="preserve"> </w:t>
      </w:r>
      <w:r w:rsidR="00AC4326" w:rsidRPr="00FD211F">
        <w:rPr>
          <w:sz w:val="36"/>
          <w:szCs w:val="36"/>
          <w:rtl/>
        </w:rPr>
        <w:t>يستعمل</w:t>
      </w:r>
      <w:r w:rsidR="00E8128F">
        <w:rPr>
          <w:sz w:val="36"/>
          <w:szCs w:val="36"/>
          <w:rtl/>
        </w:rPr>
        <w:t xml:space="preserve"> </w:t>
      </w:r>
      <w:r w:rsidR="00AC4326" w:rsidRPr="00FD211F">
        <w:rPr>
          <w:sz w:val="36"/>
          <w:szCs w:val="36"/>
          <w:rtl/>
        </w:rPr>
        <w:t>بمعنى</w:t>
      </w:r>
      <w:r w:rsidR="00E8128F">
        <w:rPr>
          <w:sz w:val="36"/>
          <w:szCs w:val="36"/>
          <w:rtl/>
        </w:rPr>
        <w:t xml:space="preserve"> </w:t>
      </w:r>
      <w:r w:rsidR="00AC4326" w:rsidRPr="00FD211F">
        <w:rPr>
          <w:sz w:val="36"/>
          <w:szCs w:val="36"/>
          <w:rtl/>
        </w:rPr>
        <w:t>واحد</w:t>
      </w:r>
      <w:r w:rsidR="00E8128F">
        <w:rPr>
          <w:sz w:val="36"/>
          <w:szCs w:val="36"/>
          <w:rtl/>
        </w:rPr>
        <w:t xml:space="preserve"> </w:t>
      </w:r>
      <w:r w:rsidR="00AC4326" w:rsidRPr="00FD211F">
        <w:rPr>
          <w:sz w:val="36"/>
          <w:szCs w:val="36"/>
          <w:rtl/>
        </w:rPr>
        <w:t>في</w:t>
      </w:r>
      <w:r w:rsidR="00E8128F">
        <w:rPr>
          <w:sz w:val="36"/>
          <w:szCs w:val="36"/>
          <w:rtl/>
        </w:rPr>
        <w:t xml:space="preserve"> </w:t>
      </w:r>
      <w:r w:rsidR="00AC4326" w:rsidRPr="00FD211F">
        <w:rPr>
          <w:sz w:val="36"/>
          <w:szCs w:val="36"/>
          <w:rtl/>
        </w:rPr>
        <w:t>الحال</w:t>
      </w:r>
      <w:r w:rsidR="00E8128F">
        <w:rPr>
          <w:sz w:val="36"/>
          <w:szCs w:val="36"/>
          <w:rtl/>
        </w:rPr>
        <w:t xml:space="preserve"> </w:t>
      </w:r>
      <w:r w:rsidR="00AC4326" w:rsidRPr="00FD211F">
        <w:rPr>
          <w:sz w:val="36"/>
          <w:szCs w:val="36"/>
          <w:rtl/>
        </w:rPr>
        <w:t>والاستقبال</w:t>
      </w:r>
      <w:r w:rsidR="00E8128F">
        <w:rPr>
          <w:sz w:val="36"/>
          <w:szCs w:val="36"/>
          <w:rtl/>
        </w:rPr>
        <w:t xml:space="preserve"> </w:t>
      </w:r>
      <w:r w:rsidR="00AC4326" w:rsidRPr="00FD211F">
        <w:rPr>
          <w:sz w:val="36"/>
          <w:szCs w:val="36"/>
          <w:rtl/>
        </w:rPr>
        <w:t>ولذا</w:t>
      </w:r>
      <w:r w:rsidR="00E8128F">
        <w:rPr>
          <w:sz w:val="36"/>
          <w:szCs w:val="36"/>
          <w:rtl/>
        </w:rPr>
        <w:t xml:space="preserve"> </w:t>
      </w:r>
      <w:r w:rsidR="00AC4326" w:rsidRPr="00FD211F">
        <w:rPr>
          <w:sz w:val="36"/>
          <w:szCs w:val="36"/>
          <w:rtl/>
        </w:rPr>
        <w:t>يقال</w:t>
      </w:r>
      <w:r w:rsidR="00E8128F">
        <w:rPr>
          <w:sz w:val="36"/>
          <w:szCs w:val="36"/>
          <w:rtl/>
        </w:rPr>
        <w:t xml:space="preserve"> </w:t>
      </w:r>
      <w:r w:rsidR="00223521" w:rsidRPr="00FD211F">
        <w:rPr>
          <w:sz w:val="36"/>
          <w:szCs w:val="36"/>
          <w:rtl/>
        </w:rPr>
        <w:t>"</w:t>
      </w:r>
      <w:r w:rsidR="00AC4326" w:rsidRPr="00FD211F">
        <w:rPr>
          <w:sz w:val="36"/>
          <w:szCs w:val="36"/>
          <w:rtl/>
        </w:rPr>
        <w:t>زيد</w:t>
      </w:r>
      <w:r w:rsidR="00E8128F">
        <w:rPr>
          <w:sz w:val="36"/>
          <w:szCs w:val="36"/>
          <w:rtl/>
        </w:rPr>
        <w:t xml:space="preserve"> </w:t>
      </w:r>
      <w:r w:rsidR="00AC4326" w:rsidRPr="00FD211F">
        <w:rPr>
          <w:sz w:val="36"/>
          <w:szCs w:val="36"/>
          <w:rtl/>
        </w:rPr>
        <w:t>يأكل</w:t>
      </w:r>
      <w:r w:rsidR="00E8128F">
        <w:rPr>
          <w:sz w:val="36"/>
          <w:szCs w:val="36"/>
          <w:rtl/>
        </w:rPr>
        <w:t xml:space="preserve"> </w:t>
      </w:r>
      <w:r w:rsidR="00AC4326" w:rsidRPr="00FD211F">
        <w:rPr>
          <w:sz w:val="36"/>
          <w:szCs w:val="36"/>
          <w:rtl/>
        </w:rPr>
        <w:t>الآن</w:t>
      </w:r>
      <w:r w:rsidR="00E8128F">
        <w:rPr>
          <w:sz w:val="36"/>
          <w:szCs w:val="36"/>
          <w:rtl/>
        </w:rPr>
        <w:t xml:space="preserve"> </w:t>
      </w:r>
      <w:r w:rsidR="00AC4326" w:rsidRPr="00FD211F">
        <w:rPr>
          <w:sz w:val="36"/>
          <w:szCs w:val="36"/>
          <w:rtl/>
        </w:rPr>
        <w:t>وبعد</w:t>
      </w:r>
      <w:r w:rsidR="00E8128F">
        <w:rPr>
          <w:sz w:val="36"/>
          <w:szCs w:val="36"/>
          <w:rtl/>
        </w:rPr>
        <w:t xml:space="preserve"> </w:t>
      </w:r>
      <w:r w:rsidR="00AC4326" w:rsidRPr="00FD211F">
        <w:rPr>
          <w:sz w:val="36"/>
          <w:szCs w:val="36"/>
          <w:rtl/>
        </w:rPr>
        <w:t>ساع</w:t>
      </w:r>
      <w:r w:rsidR="00931AF3" w:rsidRPr="00FD211F">
        <w:rPr>
          <w:sz w:val="36"/>
          <w:szCs w:val="36"/>
          <w:rtl/>
        </w:rPr>
        <w:t>ة</w:t>
      </w:r>
      <w:r w:rsidR="00223521" w:rsidRPr="00FD211F">
        <w:rPr>
          <w:sz w:val="36"/>
          <w:szCs w:val="36"/>
          <w:rtl/>
        </w:rPr>
        <w:t>"</w:t>
      </w:r>
      <w:r w:rsidR="00603323" w:rsidRPr="00FD211F">
        <w:rPr>
          <w:sz w:val="36"/>
          <w:szCs w:val="36"/>
          <w:rtl/>
        </w:rPr>
        <w:t>،</w:t>
      </w:r>
      <w:r w:rsidR="00E8128F">
        <w:rPr>
          <w:sz w:val="36"/>
          <w:szCs w:val="36"/>
          <w:rtl/>
        </w:rPr>
        <w:t xml:space="preserve"> </w:t>
      </w:r>
      <w:r w:rsidR="00AC4326" w:rsidRPr="00FD211F">
        <w:rPr>
          <w:sz w:val="36"/>
          <w:szCs w:val="36"/>
          <w:rtl/>
        </w:rPr>
        <w:t>وحينئذ</w:t>
      </w:r>
      <w:r w:rsidR="00E8128F">
        <w:rPr>
          <w:sz w:val="36"/>
          <w:szCs w:val="36"/>
          <w:rtl/>
        </w:rPr>
        <w:t xml:space="preserve"> </w:t>
      </w:r>
      <w:r w:rsidR="00AC4326" w:rsidRPr="00FD211F">
        <w:rPr>
          <w:sz w:val="36"/>
          <w:szCs w:val="36"/>
          <w:rtl/>
        </w:rPr>
        <w:t>فان</w:t>
      </w:r>
      <w:r w:rsidR="00E8128F">
        <w:rPr>
          <w:sz w:val="36"/>
          <w:szCs w:val="36"/>
          <w:rtl/>
        </w:rPr>
        <w:t xml:space="preserve"> </w:t>
      </w:r>
      <w:r w:rsidR="00AC4326" w:rsidRPr="00FD211F">
        <w:rPr>
          <w:sz w:val="36"/>
          <w:szCs w:val="36"/>
          <w:rtl/>
        </w:rPr>
        <w:t>اريد</w:t>
      </w:r>
      <w:r w:rsidR="00E8128F">
        <w:rPr>
          <w:sz w:val="36"/>
          <w:szCs w:val="36"/>
          <w:rtl/>
        </w:rPr>
        <w:t xml:space="preserve"> </w:t>
      </w:r>
      <w:r w:rsidR="00AC4326" w:rsidRPr="00FD211F">
        <w:rPr>
          <w:sz w:val="36"/>
          <w:szCs w:val="36"/>
          <w:rtl/>
        </w:rPr>
        <w:t>اخذ</w:t>
      </w:r>
      <w:r w:rsidR="00E8128F">
        <w:rPr>
          <w:sz w:val="36"/>
          <w:szCs w:val="36"/>
          <w:rtl/>
        </w:rPr>
        <w:t xml:space="preserve"> </w:t>
      </w:r>
      <w:r w:rsidR="00AC4326" w:rsidRPr="00FD211F">
        <w:rPr>
          <w:sz w:val="36"/>
          <w:szCs w:val="36"/>
          <w:rtl/>
        </w:rPr>
        <w:t>الزمان</w:t>
      </w:r>
      <w:r w:rsidR="00E8128F">
        <w:rPr>
          <w:sz w:val="36"/>
          <w:szCs w:val="36"/>
          <w:rtl/>
        </w:rPr>
        <w:t xml:space="preserve"> </w:t>
      </w:r>
      <w:r w:rsidR="00AC4326" w:rsidRPr="00FD211F">
        <w:rPr>
          <w:sz w:val="36"/>
          <w:szCs w:val="36"/>
          <w:rtl/>
        </w:rPr>
        <w:t>فيه</w:t>
      </w:r>
      <w:r w:rsidR="00E8128F">
        <w:rPr>
          <w:sz w:val="36"/>
          <w:szCs w:val="36"/>
          <w:rtl/>
        </w:rPr>
        <w:t xml:space="preserve"> </w:t>
      </w:r>
      <w:r w:rsidR="00AC4326" w:rsidRPr="00FD211F">
        <w:rPr>
          <w:sz w:val="36"/>
          <w:szCs w:val="36"/>
          <w:rtl/>
        </w:rPr>
        <w:t>فلاجامع</w:t>
      </w:r>
      <w:r w:rsidR="00E8128F">
        <w:rPr>
          <w:sz w:val="36"/>
          <w:szCs w:val="36"/>
          <w:rtl/>
        </w:rPr>
        <w:t xml:space="preserve"> </w:t>
      </w:r>
      <w:r w:rsidR="00AC4326" w:rsidRPr="00FD211F">
        <w:rPr>
          <w:sz w:val="36"/>
          <w:szCs w:val="36"/>
          <w:rtl/>
        </w:rPr>
        <w:t>له</w:t>
      </w:r>
      <w:r w:rsidR="00E8128F">
        <w:rPr>
          <w:sz w:val="36"/>
          <w:szCs w:val="36"/>
          <w:rtl/>
        </w:rPr>
        <w:t xml:space="preserve"> </w:t>
      </w:r>
      <w:r w:rsidR="00AC4326" w:rsidRPr="00FD211F">
        <w:rPr>
          <w:sz w:val="36"/>
          <w:szCs w:val="36"/>
          <w:rtl/>
        </w:rPr>
        <w:t>الا</w:t>
      </w:r>
      <w:r w:rsidR="00E8128F">
        <w:rPr>
          <w:sz w:val="36"/>
          <w:szCs w:val="36"/>
          <w:rtl/>
        </w:rPr>
        <w:t xml:space="preserve"> </w:t>
      </w:r>
      <w:r w:rsidR="00AC4326" w:rsidRPr="00FD211F">
        <w:rPr>
          <w:sz w:val="36"/>
          <w:szCs w:val="36"/>
          <w:rtl/>
        </w:rPr>
        <w:t>عدم</w:t>
      </w:r>
      <w:r w:rsidR="00E8128F">
        <w:rPr>
          <w:sz w:val="36"/>
          <w:szCs w:val="36"/>
          <w:rtl/>
        </w:rPr>
        <w:t xml:space="preserve"> </w:t>
      </w:r>
      <w:r w:rsidR="00AC4326" w:rsidRPr="00FD211F">
        <w:rPr>
          <w:sz w:val="36"/>
          <w:szCs w:val="36"/>
          <w:rtl/>
        </w:rPr>
        <w:t>كونه</w:t>
      </w:r>
      <w:r w:rsidR="00E8128F">
        <w:rPr>
          <w:sz w:val="36"/>
          <w:szCs w:val="36"/>
          <w:rtl/>
        </w:rPr>
        <w:t xml:space="preserve"> </w:t>
      </w:r>
      <w:r w:rsidR="00AC4326" w:rsidRPr="00FD211F">
        <w:rPr>
          <w:sz w:val="36"/>
          <w:szCs w:val="36"/>
          <w:rtl/>
        </w:rPr>
        <w:t>في</w:t>
      </w:r>
      <w:r w:rsidR="00E8128F">
        <w:rPr>
          <w:sz w:val="36"/>
          <w:szCs w:val="36"/>
          <w:rtl/>
        </w:rPr>
        <w:t xml:space="preserve"> </w:t>
      </w:r>
      <w:r w:rsidR="00AC4326" w:rsidRPr="00FD211F">
        <w:rPr>
          <w:sz w:val="36"/>
          <w:szCs w:val="36"/>
          <w:rtl/>
        </w:rPr>
        <w:t>الزمان</w:t>
      </w:r>
      <w:r w:rsidR="00E8128F">
        <w:rPr>
          <w:sz w:val="36"/>
          <w:szCs w:val="36"/>
          <w:rtl/>
        </w:rPr>
        <w:t xml:space="preserve"> </w:t>
      </w:r>
      <w:r w:rsidR="00AC4326" w:rsidRPr="00FD211F">
        <w:rPr>
          <w:sz w:val="36"/>
          <w:szCs w:val="36"/>
          <w:rtl/>
        </w:rPr>
        <w:t>السابق</w:t>
      </w:r>
      <w:r w:rsidR="00E8128F">
        <w:rPr>
          <w:sz w:val="36"/>
          <w:szCs w:val="36"/>
          <w:rtl/>
        </w:rPr>
        <w:t xml:space="preserve"> </w:t>
      </w:r>
      <w:r w:rsidR="00AC4326" w:rsidRPr="00FD211F">
        <w:rPr>
          <w:sz w:val="36"/>
          <w:szCs w:val="36"/>
          <w:rtl/>
        </w:rPr>
        <w:t>مع</w:t>
      </w:r>
      <w:r w:rsidR="00E8128F">
        <w:rPr>
          <w:sz w:val="36"/>
          <w:szCs w:val="36"/>
          <w:rtl/>
        </w:rPr>
        <w:t xml:space="preserve"> </w:t>
      </w:r>
      <w:r w:rsidR="00AC4326" w:rsidRPr="00FD211F">
        <w:rPr>
          <w:sz w:val="36"/>
          <w:szCs w:val="36"/>
          <w:rtl/>
        </w:rPr>
        <w:t>انه</w:t>
      </w:r>
      <w:r w:rsidR="00E8128F">
        <w:rPr>
          <w:sz w:val="36"/>
          <w:szCs w:val="36"/>
          <w:rtl/>
        </w:rPr>
        <w:t xml:space="preserve"> </w:t>
      </w:r>
      <w:r w:rsidR="00AC4326" w:rsidRPr="00FD211F">
        <w:rPr>
          <w:sz w:val="36"/>
          <w:szCs w:val="36"/>
          <w:rtl/>
        </w:rPr>
        <w:t>لايفهم</w:t>
      </w:r>
      <w:r w:rsidR="00E8128F">
        <w:rPr>
          <w:sz w:val="36"/>
          <w:szCs w:val="36"/>
          <w:rtl/>
        </w:rPr>
        <w:t xml:space="preserve"> </w:t>
      </w:r>
      <w:r w:rsidR="00AC4326" w:rsidRPr="00FD211F">
        <w:rPr>
          <w:sz w:val="36"/>
          <w:szCs w:val="36"/>
          <w:rtl/>
        </w:rPr>
        <w:t>من</w:t>
      </w:r>
      <w:r w:rsidR="00E8128F">
        <w:rPr>
          <w:sz w:val="36"/>
          <w:szCs w:val="36"/>
          <w:rtl/>
        </w:rPr>
        <w:t xml:space="preserve"> </w:t>
      </w:r>
      <w:r w:rsidR="00AC4326" w:rsidRPr="00FD211F">
        <w:rPr>
          <w:sz w:val="36"/>
          <w:szCs w:val="36"/>
          <w:rtl/>
        </w:rPr>
        <w:t>الفعل</w:t>
      </w:r>
      <w:r w:rsidR="00E8128F">
        <w:rPr>
          <w:sz w:val="36"/>
          <w:szCs w:val="36"/>
          <w:rtl/>
        </w:rPr>
        <w:t xml:space="preserve"> </w:t>
      </w:r>
      <w:r w:rsidR="00AC4326" w:rsidRPr="00FD211F">
        <w:rPr>
          <w:sz w:val="36"/>
          <w:szCs w:val="36"/>
          <w:rtl/>
        </w:rPr>
        <w:t>المضارع</w:t>
      </w:r>
      <w:r w:rsidR="00E8128F">
        <w:rPr>
          <w:sz w:val="36"/>
          <w:szCs w:val="36"/>
          <w:rtl/>
        </w:rPr>
        <w:t xml:space="preserve"> </w:t>
      </w:r>
      <w:r w:rsidR="00AC4326" w:rsidRPr="00FD211F">
        <w:rPr>
          <w:sz w:val="36"/>
          <w:szCs w:val="36"/>
          <w:rtl/>
        </w:rPr>
        <w:t>هذا</w:t>
      </w:r>
      <w:r w:rsidR="00E8128F">
        <w:rPr>
          <w:sz w:val="36"/>
          <w:szCs w:val="36"/>
          <w:rtl/>
        </w:rPr>
        <w:t xml:space="preserve"> </w:t>
      </w:r>
      <w:r w:rsidR="00AC4326" w:rsidRPr="00FD211F">
        <w:rPr>
          <w:sz w:val="36"/>
          <w:szCs w:val="36"/>
          <w:rtl/>
        </w:rPr>
        <w:t>المعنى</w:t>
      </w:r>
      <w:r w:rsidR="00E8128F">
        <w:rPr>
          <w:sz w:val="36"/>
          <w:szCs w:val="36"/>
          <w:rtl/>
        </w:rPr>
        <w:t xml:space="preserve"> </w:t>
      </w:r>
      <w:r w:rsidR="00AC4326" w:rsidRPr="00FD211F">
        <w:rPr>
          <w:sz w:val="36"/>
          <w:szCs w:val="36"/>
          <w:rtl/>
        </w:rPr>
        <w:t>العدمي</w:t>
      </w:r>
      <w:r w:rsidR="009C58C8" w:rsidRPr="00FD211F">
        <w:rPr>
          <w:rStyle w:val="a6"/>
          <w:sz w:val="36"/>
          <w:szCs w:val="36"/>
          <w:rtl/>
        </w:rPr>
        <w:t>(</w:t>
      </w:r>
      <w:r w:rsidR="009C58C8" w:rsidRPr="00FD211F">
        <w:rPr>
          <w:rStyle w:val="a6"/>
          <w:sz w:val="36"/>
          <w:szCs w:val="36"/>
          <w:rtl/>
        </w:rPr>
        <w:footnoteReference w:id="538"/>
      </w:r>
      <w:r w:rsidR="009C58C8" w:rsidRPr="00FD211F">
        <w:rPr>
          <w:rStyle w:val="a6"/>
          <w:sz w:val="36"/>
          <w:szCs w:val="36"/>
          <w:rtl/>
        </w:rPr>
        <w:t>)</w:t>
      </w:r>
      <w:r w:rsidR="00AC4326" w:rsidRPr="00FD211F">
        <w:rPr>
          <w:sz w:val="36"/>
          <w:szCs w:val="36"/>
          <w:rtl/>
        </w:rPr>
        <w:t>.</w:t>
      </w:r>
    </w:p>
    <w:p w14:paraId="4176F867" w14:textId="77777777" w:rsidR="008E2B3B" w:rsidRPr="00FD211F" w:rsidRDefault="00AC4326" w:rsidP="005066A2">
      <w:pPr>
        <w:pStyle w:val="Style2"/>
        <w:ind w:left="0" w:firstLine="227"/>
        <w:rPr>
          <w:sz w:val="36"/>
          <w:szCs w:val="36"/>
          <w:rtl/>
        </w:rPr>
      </w:pPr>
      <w:r w:rsidRPr="00FD211F">
        <w:rPr>
          <w:sz w:val="36"/>
          <w:szCs w:val="36"/>
          <w:rtl/>
        </w:rPr>
        <w:t>ثم</w:t>
      </w:r>
      <w:r w:rsidR="00E8128F">
        <w:rPr>
          <w:sz w:val="36"/>
          <w:szCs w:val="36"/>
          <w:rtl/>
        </w:rPr>
        <w:t xml:space="preserve"> </w:t>
      </w:r>
      <w:r w:rsidRPr="00FD211F">
        <w:rPr>
          <w:sz w:val="36"/>
          <w:szCs w:val="36"/>
          <w:rtl/>
        </w:rPr>
        <w:t>انه</w:t>
      </w:r>
      <w:r w:rsidR="00E8128F">
        <w:rPr>
          <w:sz w:val="36"/>
          <w:szCs w:val="36"/>
          <w:rtl/>
        </w:rPr>
        <w:t xml:space="preserve"> </w:t>
      </w:r>
      <w:r w:rsidR="00931AF3" w:rsidRPr="00FD211F">
        <w:rPr>
          <w:sz w:val="36"/>
          <w:szCs w:val="36"/>
          <w:rtl/>
        </w:rPr>
        <w:t>"</w:t>
      </w:r>
      <w:r w:rsidR="005D03BA" w:rsidRPr="00FD211F">
        <w:rPr>
          <w:sz w:val="36"/>
          <w:szCs w:val="36"/>
          <w:rtl/>
        </w:rPr>
        <w:t>قده</w:t>
      </w:r>
      <w:r w:rsidR="00931AF3" w:rsidRPr="00FD211F">
        <w:rPr>
          <w:sz w:val="36"/>
          <w:szCs w:val="36"/>
          <w:rtl/>
        </w:rPr>
        <w:t>"</w:t>
      </w:r>
      <w:r w:rsidR="00E8128F">
        <w:rPr>
          <w:sz w:val="36"/>
          <w:szCs w:val="36"/>
          <w:rtl/>
        </w:rPr>
        <w:t xml:space="preserve"> </w:t>
      </w:r>
      <w:r w:rsidR="008D7B3D" w:rsidRPr="00FD211F">
        <w:rPr>
          <w:sz w:val="36"/>
          <w:szCs w:val="36"/>
          <w:rtl/>
        </w:rPr>
        <w:t>لم‌</w:t>
      </w:r>
      <w:r w:rsidRPr="00FD211F">
        <w:rPr>
          <w:sz w:val="36"/>
          <w:szCs w:val="36"/>
          <w:rtl/>
        </w:rPr>
        <w:t>يذكر</w:t>
      </w:r>
      <w:r w:rsidR="00E8128F">
        <w:rPr>
          <w:sz w:val="36"/>
          <w:szCs w:val="36"/>
          <w:rtl/>
        </w:rPr>
        <w:t xml:space="preserve"> </w:t>
      </w:r>
      <w:r w:rsidRPr="00FD211F">
        <w:rPr>
          <w:sz w:val="36"/>
          <w:szCs w:val="36"/>
          <w:rtl/>
        </w:rPr>
        <w:t>تلك</w:t>
      </w:r>
      <w:r w:rsidR="00E8128F">
        <w:rPr>
          <w:sz w:val="36"/>
          <w:szCs w:val="36"/>
          <w:rtl/>
        </w:rPr>
        <w:t xml:space="preserve"> </w:t>
      </w:r>
      <w:r w:rsidRPr="00FD211F">
        <w:rPr>
          <w:sz w:val="36"/>
          <w:szCs w:val="36"/>
          <w:rtl/>
        </w:rPr>
        <w:t>الخصوصي</w:t>
      </w:r>
      <w:r w:rsidR="00EC7EDF" w:rsidRPr="00FD211F">
        <w:rPr>
          <w:sz w:val="36"/>
          <w:szCs w:val="36"/>
          <w:rtl/>
        </w:rPr>
        <w:t>ة</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التزم</w:t>
      </w:r>
      <w:r w:rsidR="00E8128F">
        <w:rPr>
          <w:sz w:val="36"/>
          <w:szCs w:val="36"/>
          <w:rtl/>
        </w:rPr>
        <w:t xml:space="preserve"> </w:t>
      </w:r>
      <w:r w:rsidRPr="00FD211F">
        <w:rPr>
          <w:sz w:val="36"/>
          <w:szCs w:val="36"/>
          <w:rtl/>
        </w:rPr>
        <w:t>باخذها</w:t>
      </w:r>
      <w:r w:rsidR="00E8128F">
        <w:rPr>
          <w:sz w:val="36"/>
          <w:szCs w:val="36"/>
          <w:rtl/>
        </w:rPr>
        <w:t xml:space="preserve"> </w:t>
      </w:r>
      <w:r w:rsidRPr="00FD211F">
        <w:rPr>
          <w:sz w:val="36"/>
          <w:szCs w:val="36"/>
          <w:rtl/>
        </w:rPr>
        <w:t>في</w:t>
      </w:r>
      <w:r w:rsidR="00E8128F">
        <w:rPr>
          <w:sz w:val="36"/>
          <w:szCs w:val="36"/>
          <w:rtl/>
        </w:rPr>
        <w:t xml:space="preserve"> </w:t>
      </w:r>
      <w:r w:rsidR="00072D5C" w:rsidRPr="00FD211F">
        <w:rPr>
          <w:sz w:val="36"/>
          <w:szCs w:val="36"/>
          <w:rtl/>
        </w:rPr>
        <w:t>الفعل</w:t>
      </w:r>
      <w:r w:rsidR="00E8128F">
        <w:rPr>
          <w:sz w:val="36"/>
          <w:szCs w:val="36"/>
          <w:rtl/>
        </w:rPr>
        <w:t xml:space="preserve"> </w:t>
      </w:r>
      <w:r w:rsidR="00072D5C" w:rsidRPr="00FD211F">
        <w:rPr>
          <w:sz w:val="36"/>
          <w:szCs w:val="36"/>
          <w:rtl/>
        </w:rPr>
        <w:t>الماضي</w:t>
      </w:r>
      <w:r w:rsidR="00E8128F">
        <w:rPr>
          <w:sz w:val="36"/>
          <w:szCs w:val="36"/>
          <w:rtl/>
        </w:rPr>
        <w:t xml:space="preserve"> </w:t>
      </w:r>
      <w:r w:rsidRPr="00FD211F">
        <w:rPr>
          <w:sz w:val="36"/>
          <w:szCs w:val="36"/>
          <w:rtl/>
        </w:rPr>
        <w:t>والمضارع</w:t>
      </w:r>
      <w:r w:rsidR="00603323" w:rsidRPr="00FD211F">
        <w:rPr>
          <w:sz w:val="36"/>
          <w:szCs w:val="36"/>
          <w:rtl/>
        </w:rPr>
        <w:t>،</w:t>
      </w:r>
      <w:r w:rsidR="00E8128F">
        <w:rPr>
          <w:sz w:val="36"/>
          <w:szCs w:val="36"/>
          <w:rtl/>
        </w:rPr>
        <w:t xml:space="preserve"> </w:t>
      </w:r>
      <w:r w:rsidRPr="00FD211F">
        <w:rPr>
          <w:sz w:val="36"/>
          <w:szCs w:val="36"/>
          <w:rtl/>
        </w:rPr>
        <w:t>ولايخفى</w:t>
      </w:r>
      <w:r w:rsidR="00E8128F">
        <w:rPr>
          <w:sz w:val="36"/>
          <w:szCs w:val="36"/>
          <w:rtl/>
        </w:rPr>
        <w:t xml:space="preserve"> </w:t>
      </w:r>
      <w:r w:rsidRPr="00FD211F">
        <w:rPr>
          <w:sz w:val="36"/>
          <w:szCs w:val="36"/>
          <w:rtl/>
        </w:rPr>
        <w:t>انها</w:t>
      </w:r>
      <w:r w:rsidR="00E8128F">
        <w:rPr>
          <w:sz w:val="36"/>
          <w:szCs w:val="36"/>
          <w:rtl/>
        </w:rPr>
        <w:t xml:space="preserve"> </w:t>
      </w:r>
      <w:r w:rsidRPr="00FD211F">
        <w:rPr>
          <w:sz w:val="36"/>
          <w:szCs w:val="36"/>
          <w:rtl/>
        </w:rPr>
        <w:t>لابد</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المعنى</w:t>
      </w:r>
      <w:r w:rsidR="00E8128F">
        <w:rPr>
          <w:sz w:val="36"/>
          <w:szCs w:val="36"/>
          <w:rtl/>
        </w:rPr>
        <w:t xml:space="preserve"> </w:t>
      </w:r>
      <w:r w:rsidRPr="00FD211F">
        <w:rPr>
          <w:sz w:val="36"/>
          <w:szCs w:val="36"/>
          <w:rtl/>
        </w:rPr>
        <w:t>الحرفي</w:t>
      </w:r>
      <w:r w:rsidR="00E8128F">
        <w:rPr>
          <w:sz w:val="36"/>
          <w:szCs w:val="36"/>
          <w:rtl/>
        </w:rPr>
        <w:t xml:space="preserve"> </w:t>
      </w:r>
      <w:r w:rsidRPr="00FD211F">
        <w:rPr>
          <w:sz w:val="36"/>
          <w:szCs w:val="36"/>
          <w:rtl/>
        </w:rPr>
        <w:t>لفرض</w:t>
      </w:r>
      <w:r w:rsidR="00E8128F">
        <w:rPr>
          <w:sz w:val="36"/>
          <w:szCs w:val="36"/>
          <w:rtl/>
        </w:rPr>
        <w:t xml:space="preserve"> </w:t>
      </w:r>
      <w:r w:rsidRPr="00FD211F">
        <w:rPr>
          <w:sz w:val="36"/>
          <w:szCs w:val="36"/>
          <w:rtl/>
        </w:rPr>
        <w:t>استفادتها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الهيئ</w:t>
      </w:r>
      <w:r w:rsidR="00EC7EDF" w:rsidRPr="00FD211F">
        <w:rPr>
          <w:sz w:val="36"/>
          <w:szCs w:val="36"/>
          <w:rtl/>
        </w:rPr>
        <w:t>ة</w:t>
      </w:r>
      <w:r w:rsidR="00E8128F">
        <w:rPr>
          <w:sz w:val="36"/>
          <w:szCs w:val="36"/>
          <w:rtl/>
        </w:rPr>
        <w:t xml:space="preserve"> </w:t>
      </w:r>
      <w:r w:rsidRPr="00FD211F">
        <w:rPr>
          <w:sz w:val="36"/>
          <w:szCs w:val="36"/>
          <w:rtl/>
        </w:rPr>
        <w:t>وحينئذ</w:t>
      </w:r>
      <w:r w:rsidR="00E8128F">
        <w:rPr>
          <w:sz w:val="36"/>
          <w:szCs w:val="36"/>
          <w:rtl/>
        </w:rPr>
        <w:t xml:space="preserve"> </w:t>
      </w:r>
      <w:r w:rsidRPr="00FD211F">
        <w:rPr>
          <w:sz w:val="36"/>
          <w:szCs w:val="36"/>
          <w:rtl/>
        </w:rPr>
        <w:t>فقد</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انه</w:t>
      </w:r>
      <w:r w:rsidR="001E6982" w:rsidRPr="00FD211F">
        <w:rPr>
          <w:sz w:val="36"/>
          <w:szCs w:val="36"/>
          <w:rtl/>
        </w:rPr>
        <w:t>ا</w:t>
      </w:r>
      <w:r w:rsidR="00E8128F">
        <w:rPr>
          <w:sz w:val="36"/>
          <w:szCs w:val="36"/>
          <w:rtl/>
        </w:rPr>
        <w:t xml:space="preserve"> </w:t>
      </w:r>
      <w:r w:rsidR="001E6982" w:rsidRPr="00FD211F">
        <w:rPr>
          <w:sz w:val="36"/>
          <w:szCs w:val="36"/>
          <w:rtl/>
        </w:rPr>
        <w:t>هي</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التحققي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001E6982" w:rsidRPr="00FD211F">
        <w:rPr>
          <w:sz w:val="36"/>
          <w:szCs w:val="36"/>
          <w:rtl/>
        </w:rPr>
        <w:t>الفعل</w:t>
      </w:r>
      <w:r w:rsidR="00E8128F">
        <w:rPr>
          <w:sz w:val="36"/>
          <w:szCs w:val="36"/>
          <w:rtl/>
        </w:rPr>
        <w:t xml:space="preserve"> </w:t>
      </w:r>
      <w:r w:rsidRPr="00FD211F">
        <w:rPr>
          <w:sz w:val="36"/>
          <w:szCs w:val="36"/>
          <w:rtl/>
        </w:rPr>
        <w:t>الماضي</w:t>
      </w:r>
      <w:r w:rsidR="00E8128F">
        <w:rPr>
          <w:sz w:val="36"/>
          <w:szCs w:val="36"/>
          <w:rtl/>
        </w:rPr>
        <w:t xml:space="preserve"> </w:t>
      </w:r>
      <w:r w:rsidRPr="00FD211F">
        <w:rPr>
          <w:sz w:val="36"/>
          <w:szCs w:val="36"/>
          <w:rtl/>
        </w:rPr>
        <w:t>و</w:t>
      </w:r>
      <w:r w:rsidR="001E6982"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الترقبي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المضارع</w:t>
      </w:r>
      <w:r w:rsidR="00E8128F">
        <w:rPr>
          <w:sz w:val="36"/>
          <w:szCs w:val="36"/>
          <w:rtl/>
        </w:rPr>
        <w:t xml:space="preserve"> </w:t>
      </w:r>
      <w:r w:rsidRPr="00FD211F">
        <w:rPr>
          <w:sz w:val="36"/>
          <w:szCs w:val="36"/>
          <w:rtl/>
        </w:rPr>
        <w:t>او</w:t>
      </w:r>
      <w:r w:rsidR="00E8128F">
        <w:rPr>
          <w:sz w:val="36"/>
          <w:szCs w:val="36"/>
          <w:rtl/>
        </w:rPr>
        <w:t xml:space="preserve"> </w:t>
      </w:r>
      <w:r w:rsidR="001E6982" w:rsidRPr="00FD211F">
        <w:rPr>
          <w:sz w:val="36"/>
          <w:szCs w:val="36"/>
          <w:rtl/>
        </w:rPr>
        <w:t>فقل</w:t>
      </w:r>
      <w:r w:rsidR="00E8128F">
        <w:rPr>
          <w:sz w:val="36"/>
          <w:szCs w:val="36"/>
          <w:rtl/>
        </w:rPr>
        <w:t xml:space="preserve"> </w:t>
      </w:r>
      <w:r w:rsidR="001E6982" w:rsidRPr="00FD211F">
        <w:rPr>
          <w:sz w:val="36"/>
          <w:szCs w:val="36"/>
          <w:rtl/>
        </w:rPr>
        <w:t>انها</w:t>
      </w:r>
      <w:r w:rsidR="00E8128F">
        <w:rPr>
          <w:sz w:val="36"/>
          <w:szCs w:val="36"/>
          <w:rtl/>
        </w:rPr>
        <w:t xml:space="preserve"> </w:t>
      </w:r>
      <w:r w:rsidR="001E6982" w:rsidRPr="00FD211F">
        <w:rPr>
          <w:sz w:val="36"/>
          <w:szCs w:val="36"/>
          <w:rtl/>
        </w:rPr>
        <w:t>هي</w:t>
      </w:r>
      <w:r w:rsidR="00E8128F">
        <w:rPr>
          <w:sz w:val="36"/>
          <w:szCs w:val="36"/>
          <w:rtl/>
        </w:rPr>
        <w:t xml:space="preserve"> </w:t>
      </w:r>
      <w:r w:rsidR="001E6982" w:rsidRPr="00FD211F">
        <w:rPr>
          <w:sz w:val="36"/>
          <w:szCs w:val="36"/>
          <w:rtl/>
        </w:rPr>
        <w:t>النسب</w:t>
      </w:r>
      <w:r w:rsidR="00EC7EDF" w:rsidRPr="00FD211F">
        <w:rPr>
          <w:sz w:val="36"/>
          <w:szCs w:val="36"/>
          <w:rtl/>
        </w:rPr>
        <w:t>ة</w:t>
      </w:r>
      <w:r w:rsidR="00E8128F">
        <w:rPr>
          <w:sz w:val="36"/>
          <w:szCs w:val="36"/>
          <w:rtl/>
        </w:rPr>
        <w:t xml:space="preserve"> </w:t>
      </w:r>
      <w:r w:rsidR="001E6982" w:rsidRPr="00FD211F">
        <w:rPr>
          <w:sz w:val="36"/>
          <w:szCs w:val="36"/>
          <w:rtl/>
        </w:rPr>
        <w:t>السبقي</w:t>
      </w:r>
      <w:r w:rsidR="00EC7EDF" w:rsidRPr="00FD211F">
        <w:rPr>
          <w:sz w:val="36"/>
          <w:szCs w:val="36"/>
          <w:rtl/>
        </w:rPr>
        <w:t>ة</w:t>
      </w:r>
      <w:r w:rsidR="00E8128F">
        <w:rPr>
          <w:sz w:val="36"/>
          <w:szCs w:val="36"/>
          <w:rtl/>
        </w:rPr>
        <w:t xml:space="preserve"> </w:t>
      </w:r>
      <w:r w:rsidR="001E6982" w:rsidRPr="00FD211F">
        <w:rPr>
          <w:sz w:val="36"/>
          <w:szCs w:val="36"/>
          <w:rtl/>
        </w:rPr>
        <w:t>في</w:t>
      </w:r>
      <w:r w:rsidR="00E8128F">
        <w:rPr>
          <w:sz w:val="36"/>
          <w:szCs w:val="36"/>
          <w:rtl/>
        </w:rPr>
        <w:t xml:space="preserve"> </w:t>
      </w:r>
      <w:r w:rsidR="001E6982" w:rsidRPr="00FD211F">
        <w:rPr>
          <w:sz w:val="36"/>
          <w:szCs w:val="36"/>
          <w:rtl/>
        </w:rPr>
        <w:t>الماضي</w:t>
      </w:r>
      <w:r w:rsidR="00E8128F">
        <w:rPr>
          <w:sz w:val="36"/>
          <w:szCs w:val="36"/>
          <w:rtl/>
        </w:rPr>
        <w:t xml:space="preserve"> </w:t>
      </w:r>
      <w:r w:rsidR="001E6982" w:rsidRPr="00FD211F">
        <w:rPr>
          <w:sz w:val="36"/>
          <w:szCs w:val="36"/>
          <w:rtl/>
        </w:rPr>
        <w:t>والنسب</w:t>
      </w:r>
      <w:r w:rsidR="00EC7EDF" w:rsidRPr="00FD211F">
        <w:rPr>
          <w:sz w:val="36"/>
          <w:szCs w:val="36"/>
          <w:rtl/>
        </w:rPr>
        <w:t>ة</w:t>
      </w:r>
      <w:r w:rsidR="00E8128F">
        <w:rPr>
          <w:sz w:val="36"/>
          <w:szCs w:val="36"/>
          <w:rtl/>
        </w:rPr>
        <w:t xml:space="preserve"> </w:t>
      </w:r>
      <w:r w:rsidR="001E6982" w:rsidRPr="00FD211F">
        <w:rPr>
          <w:sz w:val="36"/>
          <w:szCs w:val="36"/>
          <w:rtl/>
        </w:rPr>
        <w:t>اللحوقي</w:t>
      </w:r>
      <w:r w:rsidR="00EC7EDF" w:rsidRPr="00FD211F">
        <w:rPr>
          <w:sz w:val="36"/>
          <w:szCs w:val="36"/>
          <w:rtl/>
        </w:rPr>
        <w:t>ة</w:t>
      </w:r>
      <w:r w:rsidR="00E8128F">
        <w:rPr>
          <w:sz w:val="36"/>
          <w:szCs w:val="36"/>
          <w:rtl/>
        </w:rPr>
        <w:t xml:space="preserve"> </w:t>
      </w:r>
      <w:r w:rsidR="001E6982" w:rsidRPr="00FD211F">
        <w:rPr>
          <w:sz w:val="36"/>
          <w:szCs w:val="36"/>
          <w:rtl/>
        </w:rPr>
        <w:t>في</w:t>
      </w:r>
      <w:r w:rsidR="00E8128F">
        <w:rPr>
          <w:sz w:val="36"/>
          <w:szCs w:val="36"/>
          <w:rtl/>
        </w:rPr>
        <w:t xml:space="preserve"> </w:t>
      </w:r>
      <w:r w:rsidR="001E6982" w:rsidRPr="00FD211F">
        <w:rPr>
          <w:sz w:val="36"/>
          <w:szCs w:val="36"/>
          <w:rtl/>
        </w:rPr>
        <w:t>المضارع</w:t>
      </w:r>
      <w:r w:rsidR="00603323" w:rsidRPr="00FD211F">
        <w:rPr>
          <w:sz w:val="36"/>
          <w:szCs w:val="36"/>
          <w:rtl/>
        </w:rPr>
        <w:t>،</w:t>
      </w:r>
      <w:r w:rsidR="00E8128F">
        <w:rPr>
          <w:sz w:val="36"/>
          <w:szCs w:val="36"/>
          <w:rtl/>
        </w:rPr>
        <w:t xml:space="preserve"> </w:t>
      </w:r>
      <w:r w:rsidR="00567265" w:rsidRPr="00FD211F">
        <w:rPr>
          <w:sz w:val="36"/>
          <w:szCs w:val="36"/>
          <w:rtl/>
        </w:rPr>
        <w:t>و</w:t>
      </w:r>
      <w:r w:rsidR="00F93528" w:rsidRPr="00FD211F">
        <w:rPr>
          <w:sz w:val="36"/>
          <w:szCs w:val="36"/>
          <w:rtl/>
        </w:rPr>
        <w:t>لايخفى</w:t>
      </w:r>
      <w:r w:rsidR="00E8128F">
        <w:rPr>
          <w:sz w:val="36"/>
          <w:szCs w:val="36"/>
          <w:rtl/>
        </w:rPr>
        <w:t xml:space="preserve"> </w:t>
      </w:r>
      <w:r w:rsidR="00F93528" w:rsidRPr="00FD211F">
        <w:rPr>
          <w:sz w:val="36"/>
          <w:szCs w:val="36"/>
          <w:rtl/>
        </w:rPr>
        <w:t>ان</w:t>
      </w:r>
      <w:r w:rsidR="00E8128F">
        <w:rPr>
          <w:sz w:val="36"/>
          <w:szCs w:val="36"/>
          <w:rtl/>
        </w:rPr>
        <w:t xml:space="preserve"> </w:t>
      </w:r>
      <w:r w:rsidR="00567265" w:rsidRPr="00FD211F">
        <w:rPr>
          <w:sz w:val="36"/>
          <w:szCs w:val="36"/>
          <w:rtl/>
        </w:rPr>
        <w:t>التحقق</w:t>
      </w:r>
      <w:r w:rsidR="00E8128F">
        <w:rPr>
          <w:sz w:val="36"/>
          <w:szCs w:val="36"/>
          <w:rtl/>
        </w:rPr>
        <w:t xml:space="preserve"> </w:t>
      </w:r>
      <w:r w:rsidR="00567265" w:rsidRPr="00FD211F">
        <w:rPr>
          <w:sz w:val="36"/>
          <w:szCs w:val="36"/>
          <w:rtl/>
        </w:rPr>
        <w:t>والسبق</w:t>
      </w:r>
      <w:r w:rsidR="00E8128F">
        <w:rPr>
          <w:sz w:val="36"/>
          <w:szCs w:val="36"/>
          <w:rtl/>
        </w:rPr>
        <w:t xml:space="preserve"> </w:t>
      </w:r>
      <w:r w:rsidR="00F93528" w:rsidRPr="00FD211F">
        <w:rPr>
          <w:sz w:val="36"/>
          <w:szCs w:val="36"/>
          <w:rtl/>
        </w:rPr>
        <w:t>يكون</w:t>
      </w:r>
      <w:r w:rsidR="00E8128F">
        <w:rPr>
          <w:sz w:val="36"/>
          <w:szCs w:val="36"/>
          <w:rtl/>
        </w:rPr>
        <w:t xml:space="preserve"> </w:t>
      </w:r>
      <w:r w:rsidR="00567265" w:rsidRPr="00FD211F">
        <w:rPr>
          <w:sz w:val="36"/>
          <w:szCs w:val="36"/>
          <w:rtl/>
        </w:rPr>
        <w:t>ب</w:t>
      </w:r>
      <w:r w:rsidR="00B734FC" w:rsidRPr="00FD211F">
        <w:rPr>
          <w:sz w:val="36"/>
          <w:szCs w:val="36"/>
          <w:rtl/>
        </w:rPr>
        <w:t>ل</w:t>
      </w:r>
      <w:r w:rsidR="00567265" w:rsidRPr="00FD211F">
        <w:rPr>
          <w:sz w:val="36"/>
          <w:szCs w:val="36"/>
          <w:rtl/>
        </w:rPr>
        <w:t>حاظ</w:t>
      </w:r>
      <w:r w:rsidR="00E8128F">
        <w:rPr>
          <w:sz w:val="36"/>
          <w:szCs w:val="36"/>
          <w:rtl/>
        </w:rPr>
        <w:t xml:space="preserve"> </w:t>
      </w:r>
      <w:r w:rsidR="00567265" w:rsidRPr="00FD211F">
        <w:rPr>
          <w:sz w:val="36"/>
          <w:szCs w:val="36"/>
          <w:rtl/>
        </w:rPr>
        <w:t>زمان</w:t>
      </w:r>
      <w:r w:rsidR="00E8128F">
        <w:rPr>
          <w:sz w:val="36"/>
          <w:szCs w:val="36"/>
          <w:rtl/>
        </w:rPr>
        <w:t xml:space="preserve"> </w:t>
      </w:r>
      <w:r w:rsidR="00567265" w:rsidRPr="00FD211F">
        <w:rPr>
          <w:sz w:val="36"/>
          <w:szCs w:val="36"/>
          <w:rtl/>
        </w:rPr>
        <w:t>الجري</w:t>
      </w:r>
      <w:r w:rsidR="00E8128F">
        <w:rPr>
          <w:sz w:val="36"/>
          <w:szCs w:val="36"/>
          <w:rtl/>
        </w:rPr>
        <w:t xml:space="preserve"> </w:t>
      </w:r>
      <w:r w:rsidR="00F93528" w:rsidRPr="00FD211F">
        <w:rPr>
          <w:sz w:val="36"/>
          <w:szCs w:val="36"/>
          <w:rtl/>
        </w:rPr>
        <w:t>و</w:t>
      </w:r>
      <w:r w:rsidR="00567265" w:rsidRPr="00FD211F">
        <w:rPr>
          <w:sz w:val="36"/>
          <w:szCs w:val="36"/>
          <w:rtl/>
        </w:rPr>
        <w:t>الإسناد</w:t>
      </w:r>
      <w:r w:rsidR="00E8128F">
        <w:rPr>
          <w:sz w:val="36"/>
          <w:szCs w:val="36"/>
          <w:rtl/>
        </w:rPr>
        <w:t xml:space="preserve"> </w:t>
      </w:r>
      <w:r w:rsidR="00567265" w:rsidRPr="00FD211F">
        <w:rPr>
          <w:sz w:val="36"/>
          <w:szCs w:val="36"/>
          <w:rtl/>
        </w:rPr>
        <w:t>لا</w:t>
      </w:r>
      <w:r w:rsidR="00E8128F">
        <w:rPr>
          <w:sz w:val="36"/>
          <w:szCs w:val="36"/>
          <w:rtl/>
        </w:rPr>
        <w:t xml:space="preserve"> </w:t>
      </w:r>
      <w:r w:rsidR="00567265" w:rsidRPr="00FD211F">
        <w:rPr>
          <w:sz w:val="36"/>
          <w:szCs w:val="36"/>
          <w:rtl/>
        </w:rPr>
        <w:t>زمان</w:t>
      </w:r>
      <w:r w:rsidR="00E8128F">
        <w:rPr>
          <w:sz w:val="36"/>
          <w:szCs w:val="36"/>
          <w:rtl/>
        </w:rPr>
        <w:t xml:space="preserve"> </w:t>
      </w:r>
      <w:r w:rsidR="00567265" w:rsidRPr="00FD211F">
        <w:rPr>
          <w:sz w:val="36"/>
          <w:szCs w:val="36"/>
          <w:rtl/>
        </w:rPr>
        <w:t>النطق</w:t>
      </w:r>
      <w:r w:rsidR="00E8128F">
        <w:rPr>
          <w:sz w:val="36"/>
          <w:szCs w:val="36"/>
          <w:rtl/>
        </w:rPr>
        <w:t xml:space="preserve"> </w:t>
      </w:r>
      <w:r w:rsidR="00567265" w:rsidRPr="00FD211F">
        <w:rPr>
          <w:sz w:val="36"/>
          <w:szCs w:val="36"/>
          <w:rtl/>
        </w:rPr>
        <w:t>ولذا</w:t>
      </w:r>
      <w:r w:rsidR="00E8128F">
        <w:rPr>
          <w:sz w:val="36"/>
          <w:szCs w:val="36"/>
          <w:rtl/>
        </w:rPr>
        <w:t xml:space="preserve"> </w:t>
      </w:r>
      <w:r w:rsidR="00567265" w:rsidRPr="00FD211F">
        <w:rPr>
          <w:sz w:val="36"/>
          <w:szCs w:val="36"/>
          <w:rtl/>
        </w:rPr>
        <w:t>يقال</w:t>
      </w:r>
      <w:r w:rsidR="00E8128F">
        <w:rPr>
          <w:sz w:val="36"/>
          <w:szCs w:val="36"/>
          <w:rtl/>
        </w:rPr>
        <w:t xml:space="preserve"> </w:t>
      </w:r>
      <w:r w:rsidR="00567265" w:rsidRPr="00FD211F">
        <w:rPr>
          <w:sz w:val="36"/>
          <w:szCs w:val="36"/>
          <w:rtl/>
        </w:rPr>
        <w:t>سيجيئ</w:t>
      </w:r>
      <w:r w:rsidR="00E8128F">
        <w:rPr>
          <w:sz w:val="36"/>
          <w:szCs w:val="36"/>
          <w:rtl/>
        </w:rPr>
        <w:t xml:space="preserve"> </w:t>
      </w:r>
      <w:r w:rsidR="00567265" w:rsidRPr="00FD211F">
        <w:rPr>
          <w:sz w:val="36"/>
          <w:szCs w:val="36"/>
          <w:rtl/>
        </w:rPr>
        <w:t>زيد</w:t>
      </w:r>
      <w:r w:rsidR="00E8128F">
        <w:rPr>
          <w:sz w:val="36"/>
          <w:szCs w:val="36"/>
          <w:rtl/>
        </w:rPr>
        <w:t xml:space="preserve"> </w:t>
      </w:r>
      <w:r w:rsidR="00567265" w:rsidRPr="00FD211F">
        <w:rPr>
          <w:sz w:val="36"/>
          <w:szCs w:val="36"/>
          <w:rtl/>
        </w:rPr>
        <w:t>بعد</w:t>
      </w:r>
      <w:r w:rsidR="00E8128F">
        <w:rPr>
          <w:sz w:val="36"/>
          <w:szCs w:val="36"/>
          <w:rtl/>
        </w:rPr>
        <w:t xml:space="preserve"> </w:t>
      </w:r>
      <w:r w:rsidR="00567265" w:rsidRPr="00FD211F">
        <w:rPr>
          <w:sz w:val="36"/>
          <w:szCs w:val="36"/>
          <w:rtl/>
        </w:rPr>
        <w:t>سن</w:t>
      </w:r>
      <w:r w:rsidR="00EC7EDF" w:rsidRPr="00FD211F">
        <w:rPr>
          <w:sz w:val="36"/>
          <w:szCs w:val="36"/>
          <w:rtl/>
        </w:rPr>
        <w:t>ة</w:t>
      </w:r>
      <w:r w:rsidR="00E8128F">
        <w:rPr>
          <w:sz w:val="36"/>
          <w:szCs w:val="36"/>
          <w:rtl/>
        </w:rPr>
        <w:t xml:space="preserve"> </w:t>
      </w:r>
      <w:r w:rsidR="00567265" w:rsidRPr="00FD211F">
        <w:rPr>
          <w:sz w:val="36"/>
          <w:szCs w:val="36"/>
          <w:rtl/>
        </w:rPr>
        <w:t>وقد</w:t>
      </w:r>
      <w:r w:rsidR="00E8128F">
        <w:rPr>
          <w:sz w:val="36"/>
          <w:szCs w:val="36"/>
          <w:rtl/>
        </w:rPr>
        <w:t xml:space="preserve"> </w:t>
      </w:r>
      <w:r w:rsidR="00567265" w:rsidRPr="00FD211F">
        <w:rPr>
          <w:sz w:val="36"/>
          <w:szCs w:val="36"/>
          <w:rtl/>
        </w:rPr>
        <w:t>ضرب</w:t>
      </w:r>
      <w:r w:rsidR="00E8128F">
        <w:rPr>
          <w:sz w:val="36"/>
          <w:szCs w:val="36"/>
          <w:rtl/>
        </w:rPr>
        <w:t xml:space="preserve"> </w:t>
      </w:r>
      <w:r w:rsidR="00567265" w:rsidRPr="00FD211F">
        <w:rPr>
          <w:sz w:val="36"/>
          <w:szCs w:val="36"/>
          <w:rtl/>
        </w:rPr>
        <w:t>عمرا</w:t>
      </w:r>
      <w:r w:rsidR="00E8128F">
        <w:rPr>
          <w:sz w:val="36"/>
          <w:szCs w:val="36"/>
          <w:rtl/>
        </w:rPr>
        <w:t xml:space="preserve"> </w:t>
      </w:r>
      <w:r w:rsidR="00567265" w:rsidRPr="00FD211F">
        <w:rPr>
          <w:sz w:val="36"/>
          <w:szCs w:val="36"/>
          <w:rtl/>
        </w:rPr>
        <w:t>قبله</w:t>
      </w:r>
      <w:r w:rsidR="00E8128F">
        <w:rPr>
          <w:sz w:val="36"/>
          <w:szCs w:val="36"/>
          <w:rtl/>
        </w:rPr>
        <w:t xml:space="preserve"> </w:t>
      </w:r>
      <w:r w:rsidR="00567265" w:rsidRPr="00FD211F">
        <w:rPr>
          <w:sz w:val="36"/>
          <w:szCs w:val="36"/>
          <w:rtl/>
        </w:rPr>
        <w:t>بيوم</w:t>
      </w:r>
      <w:r w:rsidR="00603323" w:rsidRPr="00FD211F">
        <w:rPr>
          <w:sz w:val="36"/>
          <w:szCs w:val="36"/>
          <w:rtl/>
        </w:rPr>
        <w:t>،</w:t>
      </w:r>
      <w:r w:rsidR="00E8128F">
        <w:rPr>
          <w:sz w:val="36"/>
          <w:szCs w:val="36"/>
          <w:rtl/>
        </w:rPr>
        <w:t xml:space="preserve"> </w:t>
      </w:r>
      <w:r w:rsidR="00B734FC" w:rsidRPr="00FD211F">
        <w:rPr>
          <w:sz w:val="36"/>
          <w:szCs w:val="36"/>
          <w:rtl/>
        </w:rPr>
        <w:t>نعم</w:t>
      </w:r>
      <w:r w:rsidR="00E8128F">
        <w:rPr>
          <w:sz w:val="36"/>
          <w:szCs w:val="36"/>
          <w:rtl/>
        </w:rPr>
        <w:t xml:space="preserve"> </w:t>
      </w:r>
      <w:r w:rsidR="00B734FC" w:rsidRPr="00FD211F">
        <w:rPr>
          <w:sz w:val="36"/>
          <w:szCs w:val="36"/>
          <w:rtl/>
        </w:rPr>
        <w:t>في</w:t>
      </w:r>
      <w:r w:rsidR="00E8128F">
        <w:rPr>
          <w:sz w:val="36"/>
          <w:szCs w:val="36"/>
          <w:rtl/>
        </w:rPr>
        <w:t xml:space="preserve"> </w:t>
      </w:r>
      <w:r w:rsidR="00B734FC" w:rsidRPr="00FD211F">
        <w:rPr>
          <w:sz w:val="36"/>
          <w:szCs w:val="36"/>
          <w:rtl/>
        </w:rPr>
        <w:t>قولنا</w:t>
      </w:r>
      <w:r w:rsidR="00E8128F">
        <w:rPr>
          <w:sz w:val="36"/>
          <w:szCs w:val="36"/>
          <w:rtl/>
        </w:rPr>
        <w:t xml:space="preserve"> </w:t>
      </w:r>
      <w:r w:rsidR="00B734FC" w:rsidRPr="00FD211F">
        <w:rPr>
          <w:sz w:val="36"/>
          <w:szCs w:val="36"/>
          <w:rtl/>
        </w:rPr>
        <w:t>"ضرب</w:t>
      </w:r>
      <w:r w:rsidR="00E8128F">
        <w:rPr>
          <w:sz w:val="36"/>
          <w:szCs w:val="36"/>
          <w:rtl/>
        </w:rPr>
        <w:t xml:space="preserve"> </w:t>
      </w:r>
      <w:r w:rsidR="00B734FC" w:rsidRPr="00FD211F">
        <w:rPr>
          <w:sz w:val="36"/>
          <w:szCs w:val="36"/>
          <w:rtl/>
        </w:rPr>
        <w:t>زيد</w:t>
      </w:r>
      <w:r w:rsidR="00E8128F">
        <w:rPr>
          <w:sz w:val="36"/>
          <w:szCs w:val="36"/>
          <w:rtl/>
        </w:rPr>
        <w:t xml:space="preserve"> </w:t>
      </w:r>
      <w:r w:rsidR="00B734FC" w:rsidRPr="00FD211F">
        <w:rPr>
          <w:sz w:val="36"/>
          <w:szCs w:val="36"/>
          <w:rtl/>
        </w:rPr>
        <w:t>امس"</w:t>
      </w:r>
      <w:r w:rsidR="00E8128F">
        <w:rPr>
          <w:sz w:val="36"/>
          <w:szCs w:val="36"/>
          <w:rtl/>
        </w:rPr>
        <w:t xml:space="preserve"> </w:t>
      </w:r>
      <w:r w:rsidR="00B734FC" w:rsidRPr="00FD211F">
        <w:rPr>
          <w:sz w:val="36"/>
          <w:szCs w:val="36"/>
          <w:rtl/>
        </w:rPr>
        <w:t>يكون</w:t>
      </w:r>
      <w:r w:rsidR="00E8128F">
        <w:rPr>
          <w:sz w:val="36"/>
          <w:szCs w:val="36"/>
          <w:rtl/>
        </w:rPr>
        <w:t xml:space="preserve"> </w:t>
      </w:r>
      <w:r w:rsidR="00B734FC" w:rsidRPr="00FD211F">
        <w:rPr>
          <w:sz w:val="36"/>
          <w:szCs w:val="36"/>
          <w:rtl/>
        </w:rPr>
        <w:t>زمان</w:t>
      </w:r>
      <w:r w:rsidR="00E8128F">
        <w:rPr>
          <w:sz w:val="36"/>
          <w:szCs w:val="36"/>
          <w:rtl/>
        </w:rPr>
        <w:t xml:space="preserve"> </w:t>
      </w:r>
      <w:r w:rsidR="00B734FC" w:rsidRPr="00FD211F">
        <w:rPr>
          <w:sz w:val="36"/>
          <w:szCs w:val="36"/>
          <w:rtl/>
        </w:rPr>
        <w:t>الاسناد</w:t>
      </w:r>
      <w:r w:rsidR="00E8128F">
        <w:rPr>
          <w:sz w:val="36"/>
          <w:szCs w:val="36"/>
          <w:rtl/>
        </w:rPr>
        <w:t xml:space="preserve"> </w:t>
      </w:r>
      <w:r w:rsidR="00B734FC" w:rsidRPr="00FD211F">
        <w:rPr>
          <w:sz w:val="36"/>
          <w:szCs w:val="36"/>
          <w:rtl/>
        </w:rPr>
        <w:t>م</w:t>
      </w:r>
      <w:r w:rsidR="00223521" w:rsidRPr="00FD211F">
        <w:rPr>
          <w:sz w:val="36"/>
          <w:szCs w:val="36"/>
          <w:rtl/>
        </w:rPr>
        <w:t>تحدا</w:t>
      </w:r>
      <w:r w:rsidR="00E8128F">
        <w:rPr>
          <w:sz w:val="36"/>
          <w:szCs w:val="36"/>
          <w:rtl/>
        </w:rPr>
        <w:t xml:space="preserve"> </w:t>
      </w:r>
      <w:r w:rsidR="00223521" w:rsidRPr="00FD211F">
        <w:rPr>
          <w:sz w:val="36"/>
          <w:szCs w:val="36"/>
          <w:rtl/>
        </w:rPr>
        <w:t>مع</w:t>
      </w:r>
      <w:r w:rsidR="00E8128F">
        <w:rPr>
          <w:sz w:val="36"/>
          <w:szCs w:val="36"/>
          <w:rtl/>
        </w:rPr>
        <w:t xml:space="preserve"> </w:t>
      </w:r>
      <w:r w:rsidR="00223521" w:rsidRPr="00FD211F">
        <w:rPr>
          <w:sz w:val="36"/>
          <w:szCs w:val="36"/>
          <w:rtl/>
        </w:rPr>
        <w:t>زمان</w:t>
      </w:r>
      <w:r w:rsidR="00E8128F">
        <w:rPr>
          <w:sz w:val="36"/>
          <w:szCs w:val="36"/>
          <w:rtl/>
        </w:rPr>
        <w:t xml:space="preserve"> </w:t>
      </w:r>
      <w:r w:rsidR="00223521" w:rsidRPr="00FD211F">
        <w:rPr>
          <w:sz w:val="36"/>
          <w:szCs w:val="36"/>
          <w:rtl/>
        </w:rPr>
        <w:t>النطق</w:t>
      </w:r>
      <w:r w:rsidR="00603323" w:rsidRPr="00FD211F">
        <w:rPr>
          <w:sz w:val="36"/>
          <w:szCs w:val="36"/>
          <w:rtl/>
        </w:rPr>
        <w:t>،</w:t>
      </w:r>
      <w:r w:rsidR="00E8128F">
        <w:rPr>
          <w:sz w:val="36"/>
          <w:szCs w:val="36"/>
          <w:rtl/>
        </w:rPr>
        <w:t xml:space="preserve"> </w:t>
      </w:r>
      <w:r w:rsidR="00223521" w:rsidRPr="00FD211F">
        <w:rPr>
          <w:sz w:val="36"/>
          <w:szCs w:val="36"/>
          <w:rtl/>
        </w:rPr>
        <w:t>فانه</w:t>
      </w:r>
      <w:r w:rsidR="00E8128F">
        <w:rPr>
          <w:sz w:val="36"/>
          <w:szCs w:val="36"/>
          <w:rtl/>
        </w:rPr>
        <w:t xml:space="preserve"> </w:t>
      </w:r>
      <w:r w:rsidR="008D7B3D" w:rsidRPr="00FD211F">
        <w:rPr>
          <w:sz w:val="36"/>
          <w:szCs w:val="36"/>
          <w:rtl/>
        </w:rPr>
        <w:t>لم‌</w:t>
      </w:r>
      <w:r w:rsidR="00B734FC" w:rsidRPr="00FD211F">
        <w:rPr>
          <w:sz w:val="36"/>
          <w:szCs w:val="36"/>
          <w:rtl/>
        </w:rPr>
        <w:t>يكن</w:t>
      </w:r>
      <w:r w:rsidR="00E8128F">
        <w:rPr>
          <w:sz w:val="36"/>
          <w:szCs w:val="36"/>
          <w:rtl/>
        </w:rPr>
        <w:t xml:space="preserve"> </w:t>
      </w:r>
      <w:r w:rsidR="00B734FC" w:rsidRPr="00FD211F">
        <w:rPr>
          <w:sz w:val="36"/>
          <w:szCs w:val="36"/>
          <w:rtl/>
        </w:rPr>
        <w:t>يصح</w:t>
      </w:r>
      <w:r w:rsidR="00E8128F">
        <w:rPr>
          <w:sz w:val="36"/>
          <w:szCs w:val="36"/>
          <w:rtl/>
        </w:rPr>
        <w:t xml:space="preserve"> </w:t>
      </w:r>
      <w:r w:rsidR="00223521" w:rsidRPr="00FD211F">
        <w:rPr>
          <w:sz w:val="36"/>
          <w:szCs w:val="36"/>
          <w:rtl/>
        </w:rPr>
        <w:t>في</w:t>
      </w:r>
      <w:r w:rsidR="00E8128F">
        <w:rPr>
          <w:sz w:val="36"/>
          <w:szCs w:val="36"/>
          <w:rtl/>
        </w:rPr>
        <w:t xml:space="preserve"> </w:t>
      </w:r>
      <w:r w:rsidR="00223521" w:rsidRPr="00FD211F">
        <w:rPr>
          <w:sz w:val="36"/>
          <w:szCs w:val="36"/>
          <w:rtl/>
        </w:rPr>
        <w:t>امس</w:t>
      </w:r>
      <w:r w:rsidR="00E8128F">
        <w:rPr>
          <w:sz w:val="36"/>
          <w:szCs w:val="36"/>
          <w:rtl/>
        </w:rPr>
        <w:t xml:space="preserve"> </w:t>
      </w:r>
      <w:r w:rsidR="00B734FC" w:rsidRPr="00FD211F">
        <w:rPr>
          <w:sz w:val="36"/>
          <w:szCs w:val="36"/>
          <w:rtl/>
        </w:rPr>
        <w:t>حمل</w:t>
      </w:r>
      <w:r w:rsidR="00E8128F">
        <w:rPr>
          <w:sz w:val="36"/>
          <w:szCs w:val="36"/>
          <w:rtl/>
        </w:rPr>
        <w:t xml:space="preserve"> </w:t>
      </w:r>
      <w:r w:rsidR="00B734FC" w:rsidRPr="00FD211F">
        <w:rPr>
          <w:sz w:val="36"/>
          <w:szCs w:val="36"/>
          <w:rtl/>
        </w:rPr>
        <w:t>الفعل</w:t>
      </w:r>
      <w:r w:rsidR="00E8128F">
        <w:rPr>
          <w:sz w:val="36"/>
          <w:szCs w:val="36"/>
          <w:rtl/>
        </w:rPr>
        <w:t xml:space="preserve"> </w:t>
      </w:r>
      <w:r w:rsidR="00B734FC" w:rsidRPr="00FD211F">
        <w:rPr>
          <w:sz w:val="36"/>
          <w:szCs w:val="36"/>
          <w:rtl/>
        </w:rPr>
        <w:t>الماضي</w:t>
      </w:r>
      <w:r w:rsidR="00E8128F">
        <w:rPr>
          <w:sz w:val="36"/>
          <w:szCs w:val="36"/>
          <w:rtl/>
        </w:rPr>
        <w:t xml:space="preserve"> </w:t>
      </w:r>
      <w:r w:rsidR="00B734FC" w:rsidRPr="00FD211F">
        <w:rPr>
          <w:sz w:val="36"/>
          <w:szCs w:val="36"/>
          <w:rtl/>
        </w:rPr>
        <w:t>على</w:t>
      </w:r>
      <w:r w:rsidR="00E8128F">
        <w:rPr>
          <w:sz w:val="36"/>
          <w:szCs w:val="36"/>
          <w:rtl/>
        </w:rPr>
        <w:t xml:space="preserve"> </w:t>
      </w:r>
      <w:r w:rsidR="00B734FC" w:rsidRPr="00FD211F">
        <w:rPr>
          <w:sz w:val="36"/>
          <w:szCs w:val="36"/>
          <w:rtl/>
        </w:rPr>
        <w:t>زيد</w:t>
      </w:r>
      <w:r w:rsidR="00E8128F">
        <w:rPr>
          <w:sz w:val="36"/>
          <w:szCs w:val="36"/>
          <w:rtl/>
        </w:rPr>
        <w:t xml:space="preserve"> </w:t>
      </w:r>
      <w:r w:rsidR="00B734FC" w:rsidRPr="00FD211F">
        <w:rPr>
          <w:sz w:val="36"/>
          <w:szCs w:val="36"/>
          <w:rtl/>
        </w:rPr>
        <w:t>بل</w:t>
      </w:r>
      <w:r w:rsidR="00E8128F">
        <w:rPr>
          <w:sz w:val="36"/>
          <w:szCs w:val="36"/>
          <w:rtl/>
        </w:rPr>
        <w:t xml:space="preserve"> </w:t>
      </w:r>
      <w:r w:rsidR="00B734FC" w:rsidRPr="00FD211F">
        <w:rPr>
          <w:sz w:val="36"/>
          <w:szCs w:val="36"/>
          <w:rtl/>
        </w:rPr>
        <w:t>كان</w:t>
      </w:r>
      <w:r w:rsidR="00E8128F">
        <w:rPr>
          <w:sz w:val="36"/>
          <w:szCs w:val="36"/>
          <w:rtl/>
        </w:rPr>
        <w:t xml:space="preserve"> </w:t>
      </w:r>
      <w:r w:rsidR="00B734FC" w:rsidRPr="00FD211F">
        <w:rPr>
          <w:sz w:val="36"/>
          <w:szCs w:val="36"/>
          <w:rtl/>
        </w:rPr>
        <w:t>يصدق</w:t>
      </w:r>
      <w:r w:rsidR="00E8128F">
        <w:rPr>
          <w:sz w:val="36"/>
          <w:szCs w:val="36"/>
          <w:rtl/>
        </w:rPr>
        <w:t xml:space="preserve"> </w:t>
      </w:r>
      <w:r w:rsidR="00B734FC" w:rsidRPr="00FD211F">
        <w:rPr>
          <w:sz w:val="36"/>
          <w:szCs w:val="36"/>
          <w:rtl/>
        </w:rPr>
        <w:t>عليه</w:t>
      </w:r>
      <w:r w:rsidR="00E8128F">
        <w:rPr>
          <w:sz w:val="36"/>
          <w:szCs w:val="36"/>
          <w:rtl/>
        </w:rPr>
        <w:t xml:space="preserve"> </w:t>
      </w:r>
      <w:r w:rsidR="00B734FC" w:rsidRPr="00FD211F">
        <w:rPr>
          <w:sz w:val="36"/>
          <w:szCs w:val="36"/>
          <w:rtl/>
        </w:rPr>
        <w:t>ان</w:t>
      </w:r>
      <w:r w:rsidR="00223521" w:rsidRPr="00FD211F">
        <w:rPr>
          <w:sz w:val="36"/>
          <w:szCs w:val="36"/>
          <w:rtl/>
        </w:rPr>
        <w:t>ه</w:t>
      </w:r>
      <w:r w:rsidR="00E8128F">
        <w:rPr>
          <w:sz w:val="36"/>
          <w:szCs w:val="36"/>
          <w:rtl/>
        </w:rPr>
        <w:t xml:space="preserve"> </w:t>
      </w:r>
      <w:r w:rsidR="00B734FC" w:rsidRPr="00FD211F">
        <w:rPr>
          <w:sz w:val="36"/>
          <w:szCs w:val="36"/>
          <w:rtl/>
        </w:rPr>
        <w:t>يضرب</w:t>
      </w:r>
      <w:r w:rsidR="00603323" w:rsidRPr="00FD211F">
        <w:rPr>
          <w:sz w:val="36"/>
          <w:szCs w:val="36"/>
          <w:rtl/>
        </w:rPr>
        <w:t>،</w:t>
      </w:r>
      <w:r w:rsidR="00E8128F">
        <w:rPr>
          <w:sz w:val="36"/>
          <w:szCs w:val="36"/>
          <w:rtl/>
        </w:rPr>
        <w:t xml:space="preserve"> </w:t>
      </w:r>
      <w:r w:rsidR="00B734FC" w:rsidRPr="00FD211F">
        <w:rPr>
          <w:sz w:val="36"/>
          <w:szCs w:val="36"/>
          <w:rtl/>
        </w:rPr>
        <w:t>واما</w:t>
      </w:r>
      <w:r w:rsidR="00E8128F">
        <w:rPr>
          <w:sz w:val="36"/>
          <w:szCs w:val="36"/>
          <w:rtl/>
        </w:rPr>
        <w:t xml:space="preserve"> </w:t>
      </w:r>
      <w:r w:rsidR="00B734FC" w:rsidRPr="00FD211F">
        <w:rPr>
          <w:sz w:val="36"/>
          <w:szCs w:val="36"/>
          <w:rtl/>
        </w:rPr>
        <w:t>في</w:t>
      </w:r>
      <w:r w:rsidR="00E8128F">
        <w:rPr>
          <w:sz w:val="36"/>
          <w:szCs w:val="36"/>
          <w:rtl/>
        </w:rPr>
        <w:t xml:space="preserve"> </w:t>
      </w:r>
      <w:r w:rsidR="00B734FC" w:rsidRPr="00FD211F">
        <w:rPr>
          <w:sz w:val="36"/>
          <w:szCs w:val="36"/>
          <w:rtl/>
        </w:rPr>
        <w:t>قولنا</w:t>
      </w:r>
      <w:r w:rsidR="00E8128F">
        <w:rPr>
          <w:sz w:val="36"/>
          <w:szCs w:val="36"/>
          <w:rtl/>
        </w:rPr>
        <w:t xml:space="preserve"> </w:t>
      </w:r>
      <w:r w:rsidR="00223521" w:rsidRPr="00FD211F">
        <w:rPr>
          <w:sz w:val="36"/>
          <w:szCs w:val="36"/>
          <w:rtl/>
        </w:rPr>
        <w:t>"</w:t>
      </w:r>
      <w:r w:rsidR="00B734FC" w:rsidRPr="00FD211F">
        <w:rPr>
          <w:sz w:val="36"/>
          <w:szCs w:val="36"/>
          <w:rtl/>
        </w:rPr>
        <w:t>زيد</w:t>
      </w:r>
      <w:r w:rsidR="00E8128F">
        <w:rPr>
          <w:sz w:val="36"/>
          <w:szCs w:val="36"/>
          <w:rtl/>
        </w:rPr>
        <w:t xml:space="preserve"> </w:t>
      </w:r>
      <w:r w:rsidR="00B734FC" w:rsidRPr="00FD211F">
        <w:rPr>
          <w:sz w:val="36"/>
          <w:szCs w:val="36"/>
          <w:rtl/>
        </w:rPr>
        <w:t>ضارب</w:t>
      </w:r>
      <w:r w:rsidR="00E8128F">
        <w:rPr>
          <w:sz w:val="36"/>
          <w:szCs w:val="36"/>
          <w:rtl/>
        </w:rPr>
        <w:t xml:space="preserve"> </w:t>
      </w:r>
      <w:r w:rsidR="00B734FC" w:rsidRPr="00FD211F">
        <w:rPr>
          <w:sz w:val="36"/>
          <w:szCs w:val="36"/>
          <w:rtl/>
        </w:rPr>
        <w:t>امس</w:t>
      </w:r>
      <w:r w:rsidR="00223521" w:rsidRPr="00FD211F">
        <w:rPr>
          <w:sz w:val="36"/>
          <w:szCs w:val="36"/>
          <w:rtl/>
        </w:rPr>
        <w:t>"</w:t>
      </w:r>
      <w:r w:rsidR="00E8128F">
        <w:rPr>
          <w:sz w:val="36"/>
          <w:szCs w:val="36"/>
          <w:rtl/>
        </w:rPr>
        <w:t xml:space="preserve"> </w:t>
      </w:r>
      <w:r w:rsidR="00B734FC" w:rsidRPr="00FD211F">
        <w:rPr>
          <w:sz w:val="36"/>
          <w:szCs w:val="36"/>
          <w:rtl/>
        </w:rPr>
        <w:t>فيكون</w:t>
      </w:r>
      <w:r w:rsidR="00E8128F">
        <w:rPr>
          <w:sz w:val="36"/>
          <w:szCs w:val="36"/>
          <w:rtl/>
        </w:rPr>
        <w:t xml:space="preserve"> </w:t>
      </w:r>
      <w:r w:rsidR="00B734FC" w:rsidRPr="00FD211F">
        <w:rPr>
          <w:sz w:val="36"/>
          <w:szCs w:val="36"/>
          <w:rtl/>
        </w:rPr>
        <w:t>امس</w:t>
      </w:r>
      <w:r w:rsidR="00E8128F">
        <w:rPr>
          <w:sz w:val="36"/>
          <w:szCs w:val="36"/>
          <w:rtl/>
        </w:rPr>
        <w:t xml:space="preserve"> </w:t>
      </w:r>
      <w:r w:rsidR="00B734FC" w:rsidRPr="00FD211F">
        <w:rPr>
          <w:sz w:val="36"/>
          <w:szCs w:val="36"/>
          <w:rtl/>
        </w:rPr>
        <w:t>هو</w:t>
      </w:r>
      <w:r w:rsidR="00E8128F">
        <w:rPr>
          <w:sz w:val="36"/>
          <w:szCs w:val="36"/>
          <w:rtl/>
        </w:rPr>
        <w:t xml:space="preserve"> </w:t>
      </w:r>
      <w:r w:rsidR="00B734FC" w:rsidRPr="00FD211F">
        <w:rPr>
          <w:sz w:val="36"/>
          <w:szCs w:val="36"/>
          <w:rtl/>
        </w:rPr>
        <w:t>زمان</w:t>
      </w:r>
      <w:r w:rsidR="00E8128F">
        <w:rPr>
          <w:sz w:val="36"/>
          <w:szCs w:val="36"/>
          <w:rtl/>
        </w:rPr>
        <w:t xml:space="preserve"> </w:t>
      </w:r>
      <w:r w:rsidR="00B734FC" w:rsidRPr="00FD211F">
        <w:rPr>
          <w:sz w:val="36"/>
          <w:szCs w:val="36"/>
          <w:rtl/>
        </w:rPr>
        <w:t>الجري</w:t>
      </w:r>
      <w:r w:rsidR="00E8128F">
        <w:rPr>
          <w:sz w:val="36"/>
          <w:szCs w:val="36"/>
          <w:rtl/>
        </w:rPr>
        <w:t xml:space="preserve"> </w:t>
      </w:r>
      <w:r w:rsidR="00B734FC" w:rsidRPr="00FD211F">
        <w:rPr>
          <w:sz w:val="36"/>
          <w:szCs w:val="36"/>
          <w:rtl/>
        </w:rPr>
        <w:t>والاسناد</w:t>
      </w:r>
      <w:r w:rsidR="00E8128F">
        <w:rPr>
          <w:sz w:val="36"/>
          <w:szCs w:val="36"/>
          <w:rtl/>
        </w:rPr>
        <w:t xml:space="preserve"> </w:t>
      </w:r>
      <w:r w:rsidR="00B734FC" w:rsidRPr="00FD211F">
        <w:rPr>
          <w:sz w:val="36"/>
          <w:szCs w:val="36"/>
          <w:rtl/>
        </w:rPr>
        <w:t>لانه</w:t>
      </w:r>
      <w:r w:rsidR="00E8128F">
        <w:rPr>
          <w:sz w:val="36"/>
          <w:szCs w:val="36"/>
          <w:rtl/>
        </w:rPr>
        <w:t xml:space="preserve"> </w:t>
      </w:r>
      <w:r w:rsidR="00B734FC" w:rsidRPr="00FD211F">
        <w:rPr>
          <w:sz w:val="36"/>
          <w:szCs w:val="36"/>
          <w:rtl/>
        </w:rPr>
        <w:t>موطن</w:t>
      </w:r>
      <w:r w:rsidR="00E8128F">
        <w:rPr>
          <w:sz w:val="36"/>
          <w:szCs w:val="36"/>
          <w:rtl/>
        </w:rPr>
        <w:t xml:space="preserve"> </w:t>
      </w:r>
      <w:r w:rsidR="00B734FC" w:rsidRPr="00FD211F">
        <w:rPr>
          <w:sz w:val="36"/>
          <w:szCs w:val="36"/>
          <w:rtl/>
        </w:rPr>
        <w:t>صدق</w:t>
      </w:r>
      <w:r w:rsidR="00E8128F">
        <w:rPr>
          <w:sz w:val="36"/>
          <w:szCs w:val="36"/>
          <w:rtl/>
        </w:rPr>
        <w:t xml:space="preserve"> </w:t>
      </w:r>
      <w:r w:rsidR="00B734FC" w:rsidRPr="00FD211F">
        <w:rPr>
          <w:sz w:val="36"/>
          <w:szCs w:val="36"/>
          <w:rtl/>
        </w:rPr>
        <w:t>الضارب</w:t>
      </w:r>
      <w:r w:rsidR="00E8128F">
        <w:rPr>
          <w:sz w:val="36"/>
          <w:szCs w:val="36"/>
          <w:rtl/>
        </w:rPr>
        <w:t xml:space="preserve"> </w:t>
      </w:r>
      <w:r w:rsidR="00B734FC" w:rsidRPr="00FD211F">
        <w:rPr>
          <w:sz w:val="36"/>
          <w:szCs w:val="36"/>
          <w:rtl/>
        </w:rPr>
        <w:t>على</w:t>
      </w:r>
      <w:r w:rsidR="00E8128F">
        <w:rPr>
          <w:sz w:val="36"/>
          <w:szCs w:val="36"/>
          <w:rtl/>
        </w:rPr>
        <w:t xml:space="preserve"> </w:t>
      </w:r>
      <w:r w:rsidR="00B734FC" w:rsidRPr="00FD211F">
        <w:rPr>
          <w:sz w:val="36"/>
          <w:szCs w:val="36"/>
          <w:rtl/>
        </w:rPr>
        <w:t>زيد</w:t>
      </w:r>
      <w:r w:rsidR="000670F2" w:rsidRPr="00FD211F">
        <w:rPr>
          <w:sz w:val="36"/>
          <w:szCs w:val="36"/>
          <w:rtl/>
        </w:rPr>
        <w:t>.</w:t>
      </w:r>
    </w:p>
    <w:p w14:paraId="0C244CE1" w14:textId="77777777" w:rsidR="00567265" w:rsidRPr="00FD211F" w:rsidRDefault="000670F2" w:rsidP="005066A2">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اورد</w:t>
      </w:r>
      <w:r w:rsidR="00E8128F">
        <w:rPr>
          <w:sz w:val="36"/>
          <w:szCs w:val="36"/>
          <w:rtl/>
        </w:rPr>
        <w:t xml:space="preserve"> </w:t>
      </w:r>
      <w:r w:rsidR="001E6982" w:rsidRPr="00FD211F">
        <w:rPr>
          <w:sz w:val="36"/>
          <w:szCs w:val="36"/>
          <w:rtl/>
        </w:rPr>
        <w:t>بعض</w:t>
      </w:r>
      <w:r w:rsidR="00E8128F">
        <w:rPr>
          <w:sz w:val="36"/>
          <w:szCs w:val="36"/>
          <w:rtl/>
        </w:rPr>
        <w:t xml:space="preserve"> </w:t>
      </w:r>
      <w:r w:rsidR="001E6982" w:rsidRPr="00FD211F">
        <w:rPr>
          <w:sz w:val="36"/>
          <w:szCs w:val="36"/>
          <w:rtl/>
        </w:rPr>
        <w:t>الاعلام</w:t>
      </w:r>
      <w:r w:rsidR="00E8128F">
        <w:rPr>
          <w:sz w:val="36"/>
          <w:szCs w:val="36"/>
          <w:rtl/>
        </w:rPr>
        <w:t xml:space="preserve"> </w:t>
      </w:r>
      <w:r w:rsidR="008F14E7" w:rsidRPr="00FD211F">
        <w:rPr>
          <w:sz w:val="36"/>
          <w:szCs w:val="36"/>
          <w:rtl/>
        </w:rPr>
        <w:t>"قده"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الترقبي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المضارع</w:t>
      </w:r>
      <w:r w:rsidR="00E8128F">
        <w:rPr>
          <w:sz w:val="36"/>
          <w:szCs w:val="36"/>
          <w:rtl/>
        </w:rPr>
        <w:t xml:space="preserve"> </w:t>
      </w:r>
      <w:r w:rsidR="001E6982" w:rsidRPr="00FD211F">
        <w:rPr>
          <w:sz w:val="36"/>
          <w:szCs w:val="36"/>
          <w:rtl/>
        </w:rPr>
        <w:t>بانه</w:t>
      </w:r>
      <w:r w:rsidR="00E8128F">
        <w:rPr>
          <w:sz w:val="36"/>
          <w:szCs w:val="36"/>
          <w:rtl/>
        </w:rPr>
        <w:t xml:space="preserve"> </w:t>
      </w:r>
      <w:r w:rsidR="001E6982" w:rsidRPr="00FD211F">
        <w:rPr>
          <w:sz w:val="36"/>
          <w:szCs w:val="36"/>
          <w:rtl/>
        </w:rPr>
        <w:t>يلزم</w:t>
      </w:r>
      <w:r w:rsidR="00E8128F">
        <w:rPr>
          <w:sz w:val="36"/>
          <w:szCs w:val="36"/>
          <w:rtl/>
        </w:rPr>
        <w:t xml:space="preserve"> </w:t>
      </w:r>
      <w:r w:rsidR="001E6982" w:rsidRPr="00FD211F">
        <w:rPr>
          <w:sz w:val="36"/>
          <w:szCs w:val="36"/>
          <w:rtl/>
        </w:rPr>
        <w:t>التكرار</w:t>
      </w:r>
      <w:r w:rsidR="00E8128F">
        <w:rPr>
          <w:sz w:val="36"/>
          <w:szCs w:val="36"/>
          <w:rtl/>
        </w:rPr>
        <w:t xml:space="preserve"> </w:t>
      </w:r>
      <w:r w:rsidR="001E6982" w:rsidRPr="00FD211F">
        <w:rPr>
          <w:sz w:val="36"/>
          <w:szCs w:val="36"/>
          <w:rtl/>
        </w:rPr>
        <w:t>في</w:t>
      </w:r>
      <w:r w:rsidR="00E8128F">
        <w:rPr>
          <w:sz w:val="36"/>
          <w:szCs w:val="36"/>
          <w:rtl/>
        </w:rPr>
        <w:t xml:space="preserve"> </w:t>
      </w:r>
      <w:r w:rsidR="001E6982" w:rsidRPr="00FD211F">
        <w:rPr>
          <w:sz w:val="36"/>
          <w:szCs w:val="36"/>
          <w:rtl/>
        </w:rPr>
        <w:t>قولنا</w:t>
      </w:r>
      <w:r w:rsidR="00E8128F">
        <w:rPr>
          <w:sz w:val="36"/>
          <w:szCs w:val="36"/>
          <w:rtl/>
        </w:rPr>
        <w:t xml:space="preserve"> </w:t>
      </w:r>
      <w:r w:rsidR="001E6982" w:rsidRPr="00FD211F">
        <w:rPr>
          <w:sz w:val="36"/>
          <w:szCs w:val="36"/>
          <w:rtl/>
        </w:rPr>
        <w:t>اترقب</w:t>
      </w:r>
      <w:r w:rsidR="00E8128F">
        <w:rPr>
          <w:sz w:val="36"/>
          <w:szCs w:val="36"/>
          <w:rtl/>
        </w:rPr>
        <w:t xml:space="preserve"> </w:t>
      </w:r>
      <w:r w:rsidR="001E6982" w:rsidRPr="00FD211F">
        <w:rPr>
          <w:sz w:val="36"/>
          <w:szCs w:val="36"/>
          <w:rtl/>
        </w:rPr>
        <w:t>مجيئ</w:t>
      </w:r>
      <w:r w:rsidR="00E8128F">
        <w:rPr>
          <w:sz w:val="36"/>
          <w:szCs w:val="36"/>
          <w:rtl/>
        </w:rPr>
        <w:t xml:space="preserve"> </w:t>
      </w:r>
      <w:r w:rsidR="001E6982" w:rsidRPr="00FD211F">
        <w:rPr>
          <w:sz w:val="36"/>
          <w:szCs w:val="36"/>
          <w:rtl/>
        </w:rPr>
        <w:t>زيد</w:t>
      </w:r>
      <w:r w:rsidR="00E8128F">
        <w:rPr>
          <w:sz w:val="36"/>
          <w:szCs w:val="36"/>
          <w:rtl/>
        </w:rPr>
        <w:t xml:space="preserve"> </w:t>
      </w:r>
      <w:r w:rsidR="001E6982" w:rsidRPr="00FD211F">
        <w:rPr>
          <w:sz w:val="36"/>
          <w:szCs w:val="36"/>
          <w:rtl/>
        </w:rPr>
        <w:t>حيث</w:t>
      </w:r>
      <w:r w:rsidR="00E8128F">
        <w:rPr>
          <w:sz w:val="36"/>
          <w:szCs w:val="36"/>
          <w:rtl/>
        </w:rPr>
        <w:t xml:space="preserve"> </w:t>
      </w:r>
      <w:r w:rsidR="001E6982" w:rsidRPr="00FD211F">
        <w:rPr>
          <w:sz w:val="36"/>
          <w:szCs w:val="36"/>
          <w:rtl/>
        </w:rPr>
        <w:t>تدل</w:t>
      </w:r>
      <w:r w:rsidR="00E8128F">
        <w:rPr>
          <w:sz w:val="36"/>
          <w:szCs w:val="36"/>
          <w:rtl/>
        </w:rPr>
        <w:t xml:space="preserve"> </w:t>
      </w:r>
      <w:r w:rsidR="001E6982" w:rsidRPr="00FD211F">
        <w:rPr>
          <w:sz w:val="36"/>
          <w:szCs w:val="36"/>
          <w:rtl/>
        </w:rPr>
        <w:t>الهيئ</w:t>
      </w:r>
      <w:r w:rsidR="00EC7EDF" w:rsidRPr="00FD211F">
        <w:rPr>
          <w:sz w:val="36"/>
          <w:szCs w:val="36"/>
          <w:rtl/>
        </w:rPr>
        <w:t>ة</w:t>
      </w:r>
      <w:r w:rsidR="00E8128F">
        <w:rPr>
          <w:sz w:val="36"/>
          <w:szCs w:val="36"/>
          <w:rtl/>
        </w:rPr>
        <w:t xml:space="preserve"> </w:t>
      </w:r>
      <w:r w:rsidR="001E6982" w:rsidRPr="00FD211F">
        <w:rPr>
          <w:sz w:val="36"/>
          <w:szCs w:val="36"/>
          <w:rtl/>
        </w:rPr>
        <w:t>والماد</w:t>
      </w:r>
      <w:r w:rsidR="00EC7EDF" w:rsidRPr="00FD211F">
        <w:rPr>
          <w:sz w:val="36"/>
          <w:szCs w:val="36"/>
          <w:rtl/>
        </w:rPr>
        <w:t>ة</w:t>
      </w:r>
      <w:r w:rsidR="00E8128F">
        <w:rPr>
          <w:sz w:val="36"/>
          <w:szCs w:val="36"/>
          <w:rtl/>
        </w:rPr>
        <w:t xml:space="preserve"> </w:t>
      </w:r>
      <w:r w:rsidR="001E6982" w:rsidRPr="00FD211F">
        <w:rPr>
          <w:sz w:val="36"/>
          <w:szCs w:val="36"/>
          <w:rtl/>
        </w:rPr>
        <w:t>على</w:t>
      </w:r>
      <w:r w:rsidR="00E8128F">
        <w:rPr>
          <w:sz w:val="36"/>
          <w:szCs w:val="36"/>
          <w:rtl/>
        </w:rPr>
        <w:t xml:space="preserve"> </w:t>
      </w:r>
      <w:r w:rsidR="001E6982" w:rsidRPr="00FD211F">
        <w:rPr>
          <w:sz w:val="36"/>
          <w:szCs w:val="36"/>
          <w:rtl/>
        </w:rPr>
        <w:t>معنى</w:t>
      </w:r>
      <w:r w:rsidR="00E8128F">
        <w:rPr>
          <w:sz w:val="36"/>
          <w:szCs w:val="36"/>
          <w:rtl/>
        </w:rPr>
        <w:t xml:space="preserve"> </w:t>
      </w:r>
      <w:r w:rsidR="001E6982" w:rsidRPr="00FD211F">
        <w:rPr>
          <w:sz w:val="36"/>
          <w:szCs w:val="36"/>
          <w:rtl/>
        </w:rPr>
        <w:t>واحد</w:t>
      </w:r>
      <w:r w:rsidR="009C58C8" w:rsidRPr="00FD211F">
        <w:rPr>
          <w:rStyle w:val="a6"/>
          <w:sz w:val="36"/>
          <w:szCs w:val="36"/>
          <w:rtl/>
        </w:rPr>
        <w:t>(</w:t>
      </w:r>
      <w:r w:rsidR="009C58C8" w:rsidRPr="00FD211F">
        <w:rPr>
          <w:rStyle w:val="a6"/>
          <w:sz w:val="36"/>
          <w:szCs w:val="36"/>
          <w:rtl/>
        </w:rPr>
        <w:footnoteReference w:id="539"/>
      </w:r>
      <w:r w:rsidR="009C58C8" w:rsidRPr="00FD211F">
        <w:rPr>
          <w:rStyle w:val="a6"/>
          <w:sz w:val="36"/>
          <w:szCs w:val="36"/>
          <w:rtl/>
        </w:rPr>
        <w:t>)</w:t>
      </w:r>
      <w:r w:rsidR="00E8128F">
        <w:rPr>
          <w:sz w:val="36"/>
          <w:szCs w:val="36"/>
          <w:rtl/>
        </w:rPr>
        <w:t xml:space="preserve"> </w:t>
      </w:r>
      <w:r w:rsidR="001E6982" w:rsidRPr="00FD211F">
        <w:rPr>
          <w:sz w:val="36"/>
          <w:szCs w:val="36"/>
          <w:rtl/>
        </w:rPr>
        <w:t>و</w:t>
      </w:r>
      <w:r w:rsidRPr="00FD211F">
        <w:rPr>
          <w:sz w:val="36"/>
          <w:szCs w:val="36"/>
          <w:rtl/>
        </w:rPr>
        <w:t>فيه</w:t>
      </w:r>
      <w:r w:rsidR="00E8128F">
        <w:rPr>
          <w:sz w:val="36"/>
          <w:szCs w:val="36"/>
          <w:rtl/>
        </w:rPr>
        <w:t xml:space="preserve"> </w:t>
      </w:r>
      <w:r w:rsidR="001E6982" w:rsidRPr="00FD211F">
        <w:rPr>
          <w:sz w:val="36"/>
          <w:szCs w:val="36"/>
          <w:rtl/>
        </w:rPr>
        <w:t>انه</w:t>
      </w:r>
      <w:r w:rsidR="00E8128F">
        <w:rPr>
          <w:sz w:val="36"/>
          <w:szCs w:val="36"/>
          <w:rtl/>
        </w:rPr>
        <w:t xml:space="preserve"> </w:t>
      </w:r>
      <w:r w:rsidR="00223521" w:rsidRPr="00FD211F">
        <w:rPr>
          <w:sz w:val="36"/>
          <w:szCs w:val="36"/>
          <w:rtl/>
        </w:rPr>
        <w:t>لا</w:t>
      </w:r>
      <w:r w:rsidR="00F93528" w:rsidRPr="00FD211F">
        <w:rPr>
          <w:sz w:val="36"/>
          <w:szCs w:val="36"/>
          <w:rtl/>
        </w:rPr>
        <w:t>محذور</w:t>
      </w:r>
      <w:r w:rsidR="00E8128F">
        <w:rPr>
          <w:sz w:val="36"/>
          <w:szCs w:val="36"/>
          <w:rtl/>
        </w:rPr>
        <w:t xml:space="preserve"> </w:t>
      </w:r>
      <w:r w:rsidR="00F93528" w:rsidRPr="00FD211F">
        <w:rPr>
          <w:sz w:val="36"/>
          <w:szCs w:val="36"/>
          <w:rtl/>
        </w:rPr>
        <w:t>في</w:t>
      </w:r>
      <w:r w:rsidR="00E8128F">
        <w:rPr>
          <w:sz w:val="36"/>
          <w:szCs w:val="36"/>
          <w:rtl/>
        </w:rPr>
        <w:t xml:space="preserve"> </w:t>
      </w:r>
      <w:r w:rsidR="00F93528" w:rsidRPr="00FD211F">
        <w:rPr>
          <w:sz w:val="36"/>
          <w:szCs w:val="36"/>
          <w:rtl/>
        </w:rPr>
        <w:t>دلال</w:t>
      </w:r>
      <w:r w:rsidR="00EC7EDF" w:rsidRPr="00FD211F">
        <w:rPr>
          <w:sz w:val="36"/>
          <w:szCs w:val="36"/>
          <w:rtl/>
        </w:rPr>
        <w:t>ة</w:t>
      </w:r>
      <w:r w:rsidR="00E8128F">
        <w:rPr>
          <w:sz w:val="36"/>
          <w:szCs w:val="36"/>
          <w:rtl/>
        </w:rPr>
        <w:t xml:space="preserve"> </w:t>
      </w:r>
      <w:r w:rsidR="00F93528" w:rsidRPr="00FD211F">
        <w:rPr>
          <w:sz w:val="36"/>
          <w:szCs w:val="36"/>
          <w:rtl/>
        </w:rPr>
        <w:t>هيئ</w:t>
      </w:r>
      <w:r w:rsidR="00EC7EDF" w:rsidRPr="00FD211F">
        <w:rPr>
          <w:sz w:val="36"/>
          <w:szCs w:val="36"/>
          <w:rtl/>
        </w:rPr>
        <w:t>ة</w:t>
      </w:r>
      <w:r w:rsidR="00E8128F">
        <w:rPr>
          <w:sz w:val="36"/>
          <w:szCs w:val="36"/>
          <w:rtl/>
        </w:rPr>
        <w:t xml:space="preserve"> </w:t>
      </w:r>
      <w:r w:rsidR="00F93528" w:rsidRPr="00FD211F">
        <w:rPr>
          <w:sz w:val="36"/>
          <w:szCs w:val="36"/>
          <w:rtl/>
        </w:rPr>
        <w:t>المضارع</w:t>
      </w:r>
      <w:r w:rsidR="00E8128F">
        <w:rPr>
          <w:sz w:val="36"/>
          <w:szCs w:val="36"/>
          <w:rtl/>
        </w:rPr>
        <w:t xml:space="preserve"> </w:t>
      </w:r>
      <w:r w:rsidR="00F93528" w:rsidRPr="00FD211F">
        <w:rPr>
          <w:sz w:val="36"/>
          <w:szCs w:val="36"/>
          <w:rtl/>
        </w:rPr>
        <w:t>على</w:t>
      </w:r>
      <w:r w:rsidR="00E8128F">
        <w:rPr>
          <w:sz w:val="36"/>
          <w:szCs w:val="36"/>
          <w:rtl/>
        </w:rPr>
        <w:t xml:space="preserve"> </w:t>
      </w:r>
      <w:r w:rsidR="00567265" w:rsidRPr="00FD211F">
        <w:rPr>
          <w:sz w:val="36"/>
          <w:szCs w:val="36"/>
          <w:rtl/>
        </w:rPr>
        <w:t>النسب</w:t>
      </w:r>
      <w:r w:rsidR="00EC7EDF" w:rsidRPr="00FD211F">
        <w:rPr>
          <w:sz w:val="36"/>
          <w:szCs w:val="36"/>
          <w:rtl/>
        </w:rPr>
        <w:t>ة</w:t>
      </w:r>
      <w:r w:rsidR="00E8128F">
        <w:rPr>
          <w:sz w:val="36"/>
          <w:szCs w:val="36"/>
          <w:rtl/>
        </w:rPr>
        <w:t xml:space="preserve"> </w:t>
      </w:r>
      <w:r w:rsidR="00567265" w:rsidRPr="00FD211F">
        <w:rPr>
          <w:sz w:val="36"/>
          <w:szCs w:val="36"/>
          <w:rtl/>
        </w:rPr>
        <w:t>الترقبي</w:t>
      </w:r>
      <w:r w:rsidR="00EC7EDF" w:rsidRPr="00FD211F">
        <w:rPr>
          <w:sz w:val="36"/>
          <w:szCs w:val="36"/>
          <w:rtl/>
        </w:rPr>
        <w:t>ة</w:t>
      </w:r>
      <w:r w:rsidR="00E8128F">
        <w:rPr>
          <w:sz w:val="36"/>
          <w:szCs w:val="36"/>
          <w:rtl/>
        </w:rPr>
        <w:t xml:space="preserve"> </w:t>
      </w:r>
      <w:r w:rsidR="00F93528" w:rsidRPr="00FD211F">
        <w:rPr>
          <w:sz w:val="36"/>
          <w:szCs w:val="36"/>
          <w:rtl/>
        </w:rPr>
        <w:t>بمعناها</w:t>
      </w:r>
      <w:r w:rsidR="00E8128F">
        <w:rPr>
          <w:sz w:val="36"/>
          <w:szCs w:val="36"/>
          <w:rtl/>
        </w:rPr>
        <w:t xml:space="preserve"> </w:t>
      </w:r>
      <w:r w:rsidR="00567265" w:rsidRPr="00FD211F">
        <w:rPr>
          <w:sz w:val="36"/>
          <w:szCs w:val="36"/>
          <w:rtl/>
        </w:rPr>
        <w:t>الحرفي</w:t>
      </w:r>
      <w:r w:rsidR="00603323" w:rsidRPr="00FD211F">
        <w:rPr>
          <w:sz w:val="36"/>
          <w:szCs w:val="36"/>
          <w:rtl/>
        </w:rPr>
        <w:t>،</w:t>
      </w:r>
      <w:r w:rsidR="00E8128F">
        <w:rPr>
          <w:sz w:val="36"/>
          <w:szCs w:val="36"/>
          <w:rtl/>
        </w:rPr>
        <w:t xml:space="preserve"> </w:t>
      </w:r>
      <w:r w:rsidR="00223521" w:rsidRPr="00FD211F">
        <w:rPr>
          <w:sz w:val="36"/>
          <w:szCs w:val="36"/>
          <w:rtl/>
        </w:rPr>
        <w:t>مع</w:t>
      </w:r>
      <w:r w:rsidR="00E8128F">
        <w:rPr>
          <w:sz w:val="36"/>
          <w:szCs w:val="36"/>
          <w:rtl/>
        </w:rPr>
        <w:t xml:space="preserve"> </w:t>
      </w:r>
      <w:r w:rsidR="00F93528" w:rsidRPr="00FD211F">
        <w:rPr>
          <w:sz w:val="36"/>
          <w:szCs w:val="36"/>
          <w:rtl/>
        </w:rPr>
        <w:t>دلال</w:t>
      </w:r>
      <w:r w:rsidR="00EC7EDF" w:rsidRPr="00FD211F">
        <w:rPr>
          <w:sz w:val="36"/>
          <w:szCs w:val="36"/>
          <w:rtl/>
        </w:rPr>
        <w:t>ة</w:t>
      </w:r>
      <w:r w:rsidR="00E8128F">
        <w:rPr>
          <w:sz w:val="36"/>
          <w:szCs w:val="36"/>
          <w:rtl/>
        </w:rPr>
        <w:t xml:space="preserve"> </w:t>
      </w:r>
      <w:r w:rsidR="00F93528" w:rsidRPr="00FD211F">
        <w:rPr>
          <w:sz w:val="36"/>
          <w:szCs w:val="36"/>
          <w:rtl/>
        </w:rPr>
        <w:t>ماد</w:t>
      </w:r>
      <w:r w:rsidR="00EC7EDF" w:rsidRPr="00FD211F">
        <w:rPr>
          <w:sz w:val="36"/>
          <w:szCs w:val="36"/>
          <w:rtl/>
        </w:rPr>
        <w:t>ة</w:t>
      </w:r>
      <w:r w:rsidR="00E8128F">
        <w:rPr>
          <w:sz w:val="36"/>
          <w:szCs w:val="36"/>
          <w:rtl/>
        </w:rPr>
        <w:t xml:space="preserve"> </w:t>
      </w:r>
      <w:r w:rsidR="00F93528" w:rsidRPr="00FD211F">
        <w:rPr>
          <w:sz w:val="36"/>
          <w:szCs w:val="36"/>
          <w:rtl/>
        </w:rPr>
        <w:t>المضارع</w:t>
      </w:r>
      <w:r w:rsidR="00E8128F">
        <w:rPr>
          <w:sz w:val="36"/>
          <w:szCs w:val="36"/>
          <w:rtl/>
        </w:rPr>
        <w:t xml:space="preserve"> </w:t>
      </w:r>
      <w:r w:rsidR="00F93528" w:rsidRPr="00FD211F">
        <w:rPr>
          <w:sz w:val="36"/>
          <w:szCs w:val="36"/>
          <w:rtl/>
        </w:rPr>
        <w:t>أحيانا</w:t>
      </w:r>
      <w:r w:rsidR="00E8128F">
        <w:rPr>
          <w:sz w:val="36"/>
          <w:szCs w:val="36"/>
          <w:rtl/>
        </w:rPr>
        <w:t xml:space="preserve"> </w:t>
      </w:r>
      <w:r w:rsidR="00567265" w:rsidRPr="00FD211F">
        <w:rPr>
          <w:sz w:val="36"/>
          <w:szCs w:val="36"/>
          <w:rtl/>
        </w:rPr>
        <w:t>على</w:t>
      </w:r>
      <w:r w:rsidR="00E8128F">
        <w:rPr>
          <w:sz w:val="36"/>
          <w:szCs w:val="36"/>
          <w:rtl/>
        </w:rPr>
        <w:t xml:space="preserve"> </w:t>
      </w:r>
      <w:r w:rsidR="00567265" w:rsidRPr="00FD211F">
        <w:rPr>
          <w:sz w:val="36"/>
          <w:szCs w:val="36"/>
          <w:rtl/>
        </w:rPr>
        <w:t>الترقب</w:t>
      </w:r>
      <w:r w:rsidR="00E8128F">
        <w:rPr>
          <w:sz w:val="36"/>
          <w:szCs w:val="36"/>
          <w:rtl/>
        </w:rPr>
        <w:t xml:space="preserve"> </w:t>
      </w:r>
      <w:r w:rsidR="00567265" w:rsidRPr="00FD211F">
        <w:rPr>
          <w:sz w:val="36"/>
          <w:szCs w:val="36"/>
          <w:rtl/>
        </w:rPr>
        <w:t>بنحو</w:t>
      </w:r>
      <w:r w:rsidR="00E8128F">
        <w:rPr>
          <w:sz w:val="36"/>
          <w:szCs w:val="36"/>
          <w:rtl/>
        </w:rPr>
        <w:t xml:space="preserve"> </w:t>
      </w:r>
      <w:r w:rsidR="00567265" w:rsidRPr="00FD211F">
        <w:rPr>
          <w:sz w:val="36"/>
          <w:szCs w:val="36"/>
          <w:rtl/>
        </w:rPr>
        <w:t>المفهوم</w:t>
      </w:r>
      <w:r w:rsidR="00E8128F">
        <w:rPr>
          <w:sz w:val="36"/>
          <w:szCs w:val="36"/>
          <w:rtl/>
        </w:rPr>
        <w:t xml:space="preserve"> </w:t>
      </w:r>
      <w:r w:rsidR="00567265" w:rsidRPr="00FD211F">
        <w:rPr>
          <w:sz w:val="36"/>
          <w:szCs w:val="36"/>
          <w:rtl/>
        </w:rPr>
        <w:t>الاسمي</w:t>
      </w:r>
      <w:r w:rsidR="00603323" w:rsidRPr="00FD211F">
        <w:rPr>
          <w:sz w:val="36"/>
          <w:szCs w:val="36"/>
          <w:rtl/>
        </w:rPr>
        <w:t>،</w:t>
      </w:r>
      <w:r w:rsidR="00E8128F">
        <w:rPr>
          <w:sz w:val="36"/>
          <w:szCs w:val="36"/>
          <w:rtl/>
        </w:rPr>
        <w:t xml:space="preserve"> </w:t>
      </w:r>
      <w:r w:rsidR="00F93528" w:rsidRPr="00FD211F">
        <w:rPr>
          <w:sz w:val="36"/>
          <w:szCs w:val="36"/>
          <w:rtl/>
        </w:rPr>
        <w:t>والا</w:t>
      </w:r>
      <w:r w:rsidR="00E8128F">
        <w:rPr>
          <w:sz w:val="36"/>
          <w:szCs w:val="36"/>
          <w:rtl/>
        </w:rPr>
        <w:t xml:space="preserve"> </w:t>
      </w:r>
      <w:r w:rsidR="00F93528" w:rsidRPr="00FD211F">
        <w:rPr>
          <w:sz w:val="36"/>
          <w:szCs w:val="36"/>
          <w:rtl/>
        </w:rPr>
        <w:t>فيرد</w:t>
      </w:r>
      <w:r w:rsidR="00E8128F">
        <w:rPr>
          <w:sz w:val="36"/>
          <w:szCs w:val="36"/>
          <w:rtl/>
        </w:rPr>
        <w:t xml:space="preserve"> </w:t>
      </w:r>
      <w:r w:rsidR="00F93528" w:rsidRPr="00FD211F">
        <w:rPr>
          <w:sz w:val="36"/>
          <w:szCs w:val="36"/>
          <w:rtl/>
        </w:rPr>
        <w:t>هذا</w:t>
      </w:r>
      <w:r w:rsidR="00E8128F">
        <w:rPr>
          <w:sz w:val="36"/>
          <w:szCs w:val="36"/>
          <w:rtl/>
        </w:rPr>
        <w:t xml:space="preserve"> </w:t>
      </w:r>
      <w:r w:rsidR="00F93528" w:rsidRPr="00FD211F">
        <w:rPr>
          <w:sz w:val="36"/>
          <w:szCs w:val="36"/>
          <w:rtl/>
        </w:rPr>
        <w:t>الاشكال</w:t>
      </w:r>
      <w:r w:rsidR="00E8128F">
        <w:rPr>
          <w:sz w:val="36"/>
          <w:szCs w:val="36"/>
          <w:rtl/>
        </w:rPr>
        <w:t xml:space="preserve"> </w:t>
      </w:r>
      <w:r w:rsidR="00F93528" w:rsidRPr="00FD211F">
        <w:rPr>
          <w:sz w:val="36"/>
          <w:szCs w:val="36"/>
          <w:rtl/>
        </w:rPr>
        <w:t>على</w:t>
      </w:r>
      <w:r w:rsidR="00E8128F">
        <w:rPr>
          <w:sz w:val="36"/>
          <w:szCs w:val="36"/>
          <w:rtl/>
        </w:rPr>
        <w:t xml:space="preserve"> </w:t>
      </w:r>
      <w:r w:rsidR="00F93528" w:rsidRPr="00FD211F">
        <w:rPr>
          <w:sz w:val="36"/>
          <w:szCs w:val="36"/>
          <w:rtl/>
        </w:rPr>
        <w:t>ما</w:t>
      </w:r>
      <w:r w:rsidR="00E8128F">
        <w:rPr>
          <w:sz w:val="36"/>
          <w:szCs w:val="36"/>
          <w:rtl/>
        </w:rPr>
        <w:t xml:space="preserve"> </w:t>
      </w:r>
      <w:r w:rsidR="00F93528" w:rsidRPr="00FD211F">
        <w:rPr>
          <w:sz w:val="36"/>
          <w:szCs w:val="36"/>
          <w:rtl/>
        </w:rPr>
        <w:t>اختاره</w:t>
      </w:r>
      <w:r w:rsidR="00E8128F">
        <w:rPr>
          <w:sz w:val="36"/>
          <w:szCs w:val="36"/>
          <w:rtl/>
        </w:rPr>
        <w:t xml:space="preserve"> </w:t>
      </w:r>
      <w:r w:rsidR="00F93528" w:rsidRPr="00FD211F">
        <w:rPr>
          <w:sz w:val="36"/>
          <w:szCs w:val="36"/>
          <w:rtl/>
        </w:rPr>
        <w:t>من</w:t>
      </w:r>
      <w:r w:rsidR="00E8128F">
        <w:rPr>
          <w:sz w:val="36"/>
          <w:szCs w:val="36"/>
          <w:rtl/>
        </w:rPr>
        <w:t xml:space="preserve"> </w:t>
      </w:r>
      <w:r w:rsidR="00F93528" w:rsidRPr="00FD211F">
        <w:rPr>
          <w:sz w:val="36"/>
          <w:szCs w:val="36"/>
          <w:rtl/>
        </w:rPr>
        <w:t>دلال</w:t>
      </w:r>
      <w:r w:rsidR="00EC7EDF" w:rsidRPr="00FD211F">
        <w:rPr>
          <w:sz w:val="36"/>
          <w:szCs w:val="36"/>
          <w:rtl/>
        </w:rPr>
        <w:t>ة</w:t>
      </w:r>
      <w:r w:rsidR="00E8128F">
        <w:rPr>
          <w:sz w:val="36"/>
          <w:szCs w:val="36"/>
          <w:rtl/>
        </w:rPr>
        <w:t xml:space="preserve"> </w:t>
      </w:r>
      <w:r w:rsidR="00F93528" w:rsidRPr="00FD211F">
        <w:rPr>
          <w:sz w:val="36"/>
          <w:szCs w:val="36"/>
          <w:rtl/>
        </w:rPr>
        <w:t>هيئ</w:t>
      </w:r>
      <w:r w:rsidR="00EC7EDF" w:rsidRPr="00FD211F">
        <w:rPr>
          <w:sz w:val="36"/>
          <w:szCs w:val="36"/>
          <w:rtl/>
        </w:rPr>
        <w:t>ة</w:t>
      </w:r>
      <w:r w:rsidR="00E8128F">
        <w:rPr>
          <w:sz w:val="36"/>
          <w:szCs w:val="36"/>
          <w:rtl/>
        </w:rPr>
        <w:t xml:space="preserve"> </w:t>
      </w:r>
      <w:r w:rsidR="00F93528" w:rsidRPr="00FD211F">
        <w:rPr>
          <w:sz w:val="36"/>
          <w:szCs w:val="36"/>
          <w:rtl/>
        </w:rPr>
        <w:t>الفعل</w:t>
      </w:r>
      <w:r w:rsidR="00E8128F">
        <w:rPr>
          <w:sz w:val="36"/>
          <w:szCs w:val="36"/>
          <w:rtl/>
        </w:rPr>
        <w:t xml:space="preserve"> </w:t>
      </w:r>
      <w:r w:rsidR="00F93528" w:rsidRPr="00FD211F">
        <w:rPr>
          <w:sz w:val="36"/>
          <w:szCs w:val="36"/>
          <w:rtl/>
        </w:rPr>
        <w:t>الماضي</w:t>
      </w:r>
      <w:r w:rsidR="00E8128F">
        <w:rPr>
          <w:sz w:val="36"/>
          <w:szCs w:val="36"/>
          <w:rtl/>
        </w:rPr>
        <w:t xml:space="preserve"> </w:t>
      </w:r>
      <w:r w:rsidR="00F93528" w:rsidRPr="00FD211F">
        <w:rPr>
          <w:sz w:val="36"/>
          <w:szCs w:val="36"/>
          <w:rtl/>
        </w:rPr>
        <w:t>على</w:t>
      </w:r>
      <w:r w:rsidR="00E8128F">
        <w:rPr>
          <w:sz w:val="36"/>
          <w:szCs w:val="36"/>
          <w:rtl/>
        </w:rPr>
        <w:t xml:space="preserve"> </w:t>
      </w:r>
      <w:r w:rsidR="00F93528" w:rsidRPr="00FD211F">
        <w:rPr>
          <w:sz w:val="36"/>
          <w:szCs w:val="36"/>
          <w:rtl/>
        </w:rPr>
        <w:t>السبق</w:t>
      </w:r>
      <w:r w:rsidR="00E8128F">
        <w:rPr>
          <w:sz w:val="36"/>
          <w:szCs w:val="36"/>
          <w:rtl/>
        </w:rPr>
        <w:t xml:space="preserve"> </w:t>
      </w:r>
      <w:r w:rsidR="00F93528" w:rsidRPr="00FD211F">
        <w:rPr>
          <w:sz w:val="36"/>
          <w:szCs w:val="36"/>
          <w:rtl/>
        </w:rPr>
        <w:t>ودلال</w:t>
      </w:r>
      <w:r w:rsidR="00EC7EDF" w:rsidRPr="00FD211F">
        <w:rPr>
          <w:sz w:val="36"/>
          <w:szCs w:val="36"/>
          <w:rtl/>
        </w:rPr>
        <w:t>ة</w:t>
      </w:r>
      <w:r w:rsidR="00E8128F">
        <w:rPr>
          <w:sz w:val="36"/>
          <w:szCs w:val="36"/>
          <w:rtl/>
        </w:rPr>
        <w:t xml:space="preserve"> </w:t>
      </w:r>
      <w:r w:rsidR="00F93528" w:rsidRPr="00FD211F">
        <w:rPr>
          <w:sz w:val="36"/>
          <w:szCs w:val="36"/>
          <w:rtl/>
        </w:rPr>
        <w:t>الفعل</w:t>
      </w:r>
      <w:r w:rsidR="00E8128F">
        <w:rPr>
          <w:sz w:val="36"/>
          <w:szCs w:val="36"/>
          <w:rtl/>
        </w:rPr>
        <w:t xml:space="preserve"> </w:t>
      </w:r>
      <w:r w:rsidR="00F93528" w:rsidRPr="00FD211F">
        <w:rPr>
          <w:sz w:val="36"/>
          <w:szCs w:val="36"/>
          <w:rtl/>
        </w:rPr>
        <w:t>المضارع</w:t>
      </w:r>
      <w:r w:rsidR="00E8128F">
        <w:rPr>
          <w:sz w:val="36"/>
          <w:szCs w:val="36"/>
          <w:rtl/>
        </w:rPr>
        <w:t xml:space="preserve"> </w:t>
      </w:r>
      <w:r w:rsidR="00F93528" w:rsidRPr="00FD211F">
        <w:rPr>
          <w:sz w:val="36"/>
          <w:szCs w:val="36"/>
          <w:rtl/>
        </w:rPr>
        <w:t>على</w:t>
      </w:r>
      <w:r w:rsidR="00E8128F">
        <w:rPr>
          <w:sz w:val="36"/>
          <w:szCs w:val="36"/>
          <w:rtl/>
        </w:rPr>
        <w:t xml:space="preserve"> </w:t>
      </w:r>
      <w:r w:rsidR="00F93528" w:rsidRPr="00FD211F">
        <w:rPr>
          <w:sz w:val="36"/>
          <w:szCs w:val="36"/>
          <w:rtl/>
        </w:rPr>
        <w:t>اللحوق</w:t>
      </w:r>
      <w:r w:rsidR="00603323" w:rsidRPr="00FD211F">
        <w:rPr>
          <w:sz w:val="36"/>
          <w:szCs w:val="36"/>
          <w:rtl/>
        </w:rPr>
        <w:t>،</w:t>
      </w:r>
      <w:r w:rsidR="00E8128F">
        <w:rPr>
          <w:sz w:val="36"/>
          <w:szCs w:val="36"/>
          <w:rtl/>
        </w:rPr>
        <w:t xml:space="preserve"> </w:t>
      </w:r>
      <w:r w:rsidR="00F93528" w:rsidRPr="00FD211F">
        <w:rPr>
          <w:sz w:val="36"/>
          <w:szCs w:val="36"/>
          <w:rtl/>
        </w:rPr>
        <w:t>حيث</w:t>
      </w:r>
      <w:r w:rsidR="00E8128F">
        <w:rPr>
          <w:sz w:val="36"/>
          <w:szCs w:val="36"/>
          <w:rtl/>
        </w:rPr>
        <w:t xml:space="preserve"> </w:t>
      </w:r>
      <w:r w:rsidR="00F93528" w:rsidRPr="00FD211F">
        <w:rPr>
          <w:sz w:val="36"/>
          <w:szCs w:val="36"/>
          <w:rtl/>
        </w:rPr>
        <w:t>يقال</w:t>
      </w:r>
      <w:r w:rsidR="00E8128F">
        <w:rPr>
          <w:sz w:val="36"/>
          <w:szCs w:val="36"/>
          <w:rtl/>
        </w:rPr>
        <w:t xml:space="preserve"> </w:t>
      </w:r>
      <w:r w:rsidR="00F93528" w:rsidRPr="00FD211F">
        <w:rPr>
          <w:sz w:val="36"/>
          <w:szCs w:val="36"/>
          <w:rtl/>
        </w:rPr>
        <w:t>بانه</w:t>
      </w:r>
      <w:r w:rsidR="00E8128F">
        <w:rPr>
          <w:sz w:val="36"/>
          <w:szCs w:val="36"/>
          <w:rtl/>
        </w:rPr>
        <w:t xml:space="preserve"> </w:t>
      </w:r>
      <w:r w:rsidR="00F93528" w:rsidRPr="00FD211F">
        <w:rPr>
          <w:sz w:val="36"/>
          <w:szCs w:val="36"/>
          <w:rtl/>
        </w:rPr>
        <w:t>يلزم</w:t>
      </w:r>
      <w:r w:rsidR="00E8128F">
        <w:rPr>
          <w:sz w:val="36"/>
          <w:szCs w:val="36"/>
          <w:rtl/>
        </w:rPr>
        <w:t xml:space="preserve"> </w:t>
      </w:r>
      <w:r w:rsidR="00F93528" w:rsidRPr="00FD211F">
        <w:rPr>
          <w:sz w:val="36"/>
          <w:szCs w:val="36"/>
          <w:rtl/>
        </w:rPr>
        <w:t>التكرار</w:t>
      </w:r>
      <w:r w:rsidR="00E8128F">
        <w:rPr>
          <w:sz w:val="36"/>
          <w:szCs w:val="36"/>
          <w:rtl/>
        </w:rPr>
        <w:t xml:space="preserve"> </w:t>
      </w:r>
      <w:r w:rsidR="00F93528" w:rsidRPr="00FD211F">
        <w:rPr>
          <w:sz w:val="36"/>
          <w:szCs w:val="36"/>
          <w:rtl/>
        </w:rPr>
        <w:t>في</w:t>
      </w:r>
      <w:r w:rsidR="00E8128F">
        <w:rPr>
          <w:sz w:val="36"/>
          <w:szCs w:val="36"/>
          <w:rtl/>
        </w:rPr>
        <w:t xml:space="preserve"> </w:t>
      </w:r>
      <w:r w:rsidR="00F93528" w:rsidRPr="00FD211F">
        <w:rPr>
          <w:sz w:val="36"/>
          <w:szCs w:val="36"/>
          <w:rtl/>
        </w:rPr>
        <w:t>قولنا</w:t>
      </w:r>
      <w:r w:rsidR="00E8128F">
        <w:rPr>
          <w:sz w:val="36"/>
          <w:szCs w:val="36"/>
          <w:rtl/>
        </w:rPr>
        <w:t xml:space="preserve"> </w:t>
      </w:r>
      <w:r w:rsidR="00242A59" w:rsidRPr="00FD211F">
        <w:rPr>
          <w:sz w:val="36"/>
          <w:szCs w:val="36"/>
          <w:rtl/>
        </w:rPr>
        <w:t>"</w:t>
      </w:r>
      <w:r w:rsidR="00F93528" w:rsidRPr="00FD211F">
        <w:rPr>
          <w:sz w:val="36"/>
          <w:szCs w:val="36"/>
          <w:rtl/>
        </w:rPr>
        <w:t>سبق</w:t>
      </w:r>
      <w:r w:rsidR="00E8128F">
        <w:rPr>
          <w:sz w:val="36"/>
          <w:szCs w:val="36"/>
          <w:rtl/>
        </w:rPr>
        <w:t xml:space="preserve"> </w:t>
      </w:r>
      <w:r w:rsidR="00F93528" w:rsidRPr="00FD211F">
        <w:rPr>
          <w:sz w:val="36"/>
          <w:szCs w:val="36"/>
          <w:rtl/>
        </w:rPr>
        <w:t>مجيئ</w:t>
      </w:r>
      <w:r w:rsidR="00E8128F">
        <w:rPr>
          <w:sz w:val="36"/>
          <w:szCs w:val="36"/>
          <w:rtl/>
        </w:rPr>
        <w:t xml:space="preserve"> </w:t>
      </w:r>
      <w:r w:rsidR="00F93528" w:rsidRPr="00FD211F">
        <w:rPr>
          <w:sz w:val="36"/>
          <w:szCs w:val="36"/>
          <w:rtl/>
        </w:rPr>
        <w:t>زيد</w:t>
      </w:r>
      <w:r w:rsidR="00242A59" w:rsidRPr="00FD211F">
        <w:rPr>
          <w:sz w:val="36"/>
          <w:szCs w:val="36"/>
          <w:rtl/>
        </w:rPr>
        <w:t>"</w:t>
      </w:r>
      <w:r w:rsidR="00E8128F">
        <w:rPr>
          <w:sz w:val="36"/>
          <w:szCs w:val="36"/>
          <w:rtl/>
        </w:rPr>
        <w:t xml:space="preserve"> </w:t>
      </w:r>
      <w:r w:rsidR="00F93528" w:rsidRPr="00FD211F">
        <w:rPr>
          <w:sz w:val="36"/>
          <w:szCs w:val="36"/>
          <w:rtl/>
        </w:rPr>
        <w:t>او</w:t>
      </w:r>
      <w:r w:rsidR="00242A59" w:rsidRPr="00FD211F">
        <w:rPr>
          <w:sz w:val="36"/>
          <w:szCs w:val="36"/>
          <w:rtl/>
        </w:rPr>
        <w:t>قولنا</w:t>
      </w:r>
      <w:r w:rsidR="00E8128F">
        <w:rPr>
          <w:sz w:val="36"/>
          <w:szCs w:val="36"/>
          <w:rtl/>
        </w:rPr>
        <w:t xml:space="preserve"> </w:t>
      </w:r>
      <w:r w:rsidR="00242A59" w:rsidRPr="00FD211F">
        <w:rPr>
          <w:sz w:val="36"/>
          <w:szCs w:val="36"/>
          <w:rtl/>
        </w:rPr>
        <w:t>"</w:t>
      </w:r>
      <w:r w:rsidR="00F93528" w:rsidRPr="00FD211F">
        <w:rPr>
          <w:sz w:val="36"/>
          <w:szCs w:val="36"/>
          <w:rtl/>
        </w:rPr>
        <w:t>يلحق</w:t>
      </w:r>
      <w:r w:rsidR="00E8128F">
        <w:rPr>
          <w:sz w:val="36"/>
          <w:szCs w:val="36"/>
          <w:rtl/>
        </w:rPr>
        <w:t xml:space="preserve"> </w:t>
      </w:r>
      <w:r w:rsidR="00242A59" w:rsidRPr="00FD211F">
        <w:rPr>
          <w:sz w:val="36"/>
          <w:szCs w:val="36"/>
          <w:rtl/>
        </w:rPr>
        <w:t>مجي</w:t>
      </w:r>
      <w:r w:rsidR="005066A2" w:rsidRPr="00FD211F">
        <w:rPr>
          <w:sz w:val="36"/>
          <w:szCs w:val="36"/>
          <w:rtl/>
        </w:rPr>
        <w:t>ء</w:t>
      </w:r>
      <w:r w:rsidR="00E8128F">
        <w:rPr>
          <w:sz w:val="36"/>
          <w:szCs w:val="36"/>
          <w:rtl/>
        </w:rPr>
        <w:t xml:space="preserve"> </w:t>
      </w:r>
      <w:r w:rsidR="00242A59" w:rsidRPr="00FD211F">
        <w:rPr>
          <w:sz w:val="36"/>
          <w:szCs w:val="36"/>
          <w:rtl/>
        </w:rPr>
        <w:t>زيد</w:t>
      </w:r>
      <w:r w:rsidR="005066A2" w:rsidRPr="00FD211F">
        <w:rPr>
          <w:sz w:val="36"/>
          <w:szCs w:val="36"/>
          <w:rtl/>
        </w:rPr>
        <w:t>"</w:t>
      </w:r>
      <w:r w:rsidR="00C774D9" w:rsidRPr="00FD211F">
        <w:rPr>
          <w:sz w:val="36"/>
          <w:szCs w:val="36"/>
          <w:rtl/>
        </w:rPr>
        <w:t>.</w:t>
      </w:r>
    </w:p>
    <w:p w14:paraId="67A615D3" w14:textId="77777777" w:rsidR="00567265" w:rsidRPr="00FD211F" w:rsidRDefault="00F93528"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فالظاهر</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w:t>
      </w:r>
      <w:r w:rsidR="00567265" w:rsidRPr="00FD211F">
        <w:rPr>
          <w:sz w:val="36"/>
          <w:szCs w:val="36"/>
          <w:rtl/>
        </w:rPr>
        <w:t>مانع</w:t>
      </w:r>
      <w:r w:rsidR="00E8128F">
        <w:rPr>
          <w:sz w:val="36"/>
          <w:szCs w:val="36"/>
          <w:rtl/>
        </w:rPr>
        <w:t xml:space="preserve"> </w:t>
      </w:r>
      <w:r w:rsidR="00567265" w:rsidRPr="00FD211F">
        <w:rPr>
          <w:sz w:val="36"/>
          <w:szCs w:val="36"/>
          <w:rtl/>
        </w:rPr>
        <w:t>من</w:t>
      </w:r>
      <w:r w:rsidR="00E8128F">
        <w:rPr>
          <w:sz w:val="36"/>
          <w:szCs w:val="36"/>
          <w:rtl/>
        </w:rPr>
        <w:t xml:space="preserve"> </w:t>
      </w:r>
      <w:r w:rsidR="00567265" w:rsidRPr="00FD211F">
        <w:rPr>
          <w:sz w:val="36"/>
          <w:szCs w:val="36"/>
          <w:rtl/>
        </w:rPr>
        <w:t>دلال</w:t>
      </w:r>
      <w:r w:rsidR="00EC7EDF" w:rsidRPr="00FD211F">
        <w:rPr>
          <w:sz w:val="36"/>
          <w:szCs w:val="36"/>
          <w:rtl/>
        </w:rPr>
        <w:t>ة</w:t>
      </w:r>
      <w:r w:rsidR="00E8128F">
        <w:rPr>
          <w:sz w:val="36"/>
          <w:szCs w:val="36"/>
          <w:rtl/>
        </w:rPr>
        <w:t xml:space="preserve"> </w:t>
      </w:r>
      <w:r w:rsidR="00567265" w:rsidRPr="00FD211F">
        <w:rPr>
          <w:sz w:val="36"/>
          <w:szCs w:val="36"/>
          <w:rtl/>
        </w:rPr>
        <w:t>الفعل</w:t>
      </w:r>
      <w:r w:rsidR="00E8128F">
        <w:rPr>
          <w:sz w:val="36"/>
          <w:szCs w:val="36"/>
          <w:rtl/>
        </w:rPr>
        <w:t xml:space="preserve"> </w:t>
      </w:r>
      <w:r w:rsidR="00567265" w:rsidRPr="00FD211F">
        <w:rPr>
          <w:sz w:val="36"/>
          <w:szCs w:val="36"/>
          <w:rtl/>
        </w:rPr>
        <w:t>الماضي</w:t>
      </w:r>
      <w:r w:rsidR="00E8128F">
        <w:rPr>
          <w:sz w:val="36"/>
          <w:szCs w:val="36"/>
          <w:rtl/>
        </w:rPr>
        <w:t xml:space="preserve"> </w:t>
      </w:r>
      <w:r w:rsidR="00567265" w:rsidRPr="00FD211F">
        <w:rPr>
          <w:sz w:val="36"/>
          <w:szCs w:val="36"/>
          <w:rtl/>
        </w:rPr>
        <w:t>على</w:t>
      </w:r>
      <w:r w:rsidR="00E8128F">
        <w:rPr>
          <w:sz w:val="36"/>
          <w:szCs w:val="36"/>
          <w:rtl/>
        </w:rPr>
        <w:t xml:space="preserve"> </w:t>
      </w:r>
      <w:r w:rsidR="00567265" w:rsidRPr="00FD211F">
        <w:rPr>
          <w:sz w:val="36"/>
          <w:szCs w:val="36"/>
          <w:rtl/>
        </w:rPr>
        <w:t>وقوع</w:t>
      </w:r>
      <w:r w:rsidR="00E8128F">
        <w:rPr>
          <w:sz w:val="36"/>
          <w:szCs w:val="36"/>
          <w:rtl/>
        </w:rPr>
        <w:t xml:space="preserve"> </w:t>
      </w:r>
      <w:r w:rsidR="00567265" w:rsidRPr="00FD211F">
        <w:rPr>
          <w:sz w:val="36"/>
          <w:szCs w:val="36"/>
          <w:rtl/>
        </w:rPr>
        <w:t>الحدث</w:t>
      </w:r>
      <w:r w:rsidR="00E8128F">
        <w:rPr>
          <w:sz w:val="36"/>
          <w:szCs w:val="36"/>
          <w:rtl/>
        </w:rPr>
        <w:t xml:space="preserve"> </w:t>
      </w:r>
      <w:r w:rsidR="00567265" w:rsidRPr="00FD211F">
        <w:rPr>
          <w:sz w:val="36"/>
          <w:szCs w:val="36"/>
          <w:rtl/>
        </w:rPr>
        <w:t>في</w:t>
      </w:r>
      <w:r w:rsidR="00E8128F">
        <w:rPr>
          <w:sz w:val="36"/>
          <w:szCs w:val="36"/>
          <w:rtl/>
        </w:rPr>
        <w:t xml:space="preserve"> </w:t>
      </w:r>
      <w:r w:rsidR="00567265" w:rsidRPr="00FD211F">
        <w:rPr>
          <w:sz w:val="36"/>
          <w:szCs w:val="36"/>
          <w:rtl/>
        </w:rPr>
        <w:t>زمان</w:t>
      </w:r>
      <w:r w:rsidR="00E8128F">
        <w:rPr>
          <w:sz w:val="36"/>
          <w:szCs w:val="36"/>
          <w:rtl/>
        </w:rPr>
        <w:t xml:space="preserve"> </w:t>
      </w:r>
      <w:r w:rsidR="00567265" w:rsidRPr="00FD211F">
        <w:rPr>
          <w:sz w:val="36"/>
          <w:szCs w:val="36"/>
          <w:rtl/>
        </w:rPr>
        <w:t>سابق</w:t>
      </w:r>
      <w:r w:rsidR="00E8128F">
        <w:rPr>
          <w:sz w:val="36"/>
          <w:szCs w:val="36"/>
          <w:rtl/>
        </w:rPr>
        <w:t xml:space="preserve"> </w:t>
      </w:r>
      <w:r w:rsidR="00567265" w:rsidRPr="00FD211F">
        <w:rPr>
          <w:sz w:val="36"/>
          <w:szCs w:val="36"/>
          <w:rtl/>
        </w:rPr>
        <w:t>على</w:t>
      </w:r>
      <w:r w:rsidR="00E8128F">
        <w:rPr>
          <w:sz w:val="36"/>
          <w:szCs w:val="36"/>
          <w:rtl/>
        </w:rPr>
        <w:t xml:space="preserve"> </w:t>
      </w:r>
      <w:r w:rsidR="00567265" w:rsidRPr="00FD211F">
        <w:rPr>
          <w:sz w:val="36"/>
          <w:szCs w:val="36"/>
          <w:rtl/>
        </w:rPr>
        <w:t>زمان</w:t>
      </w:r>
      <w:r w:rsidR="00E8128F">
        <w:rPr>
          <w:sz w:val="36"/>
          <w:szCs w:val="36"/>
          <w:rtl/>
        </w:rPr>
        <w:t xml:space="preserve"> </w:t>
      </w:r>
      <w:r w:rsidR="00567265" w:rsidRPr="00FD211F">
        <w:rPr>
          <w:sz w:val="36"/>
          <w:szCs w:val="36"/>
          <w:rtl/>
        </w:rPr>
        <w:t>الاسناد</w:t>
      </w:r>
      <w:r w:rsidR="00E8128F">
        <w:rPr>
          <w:sz w:val="36"/>
          <w:szCs w:val="36"/>
          <w:rtl/>
        </w:rPr>
        <w:t xml:space="preserve"> </w:t>
      </w:r>
      <w:r w:rsidR="00567265" w:rsidRPr="00FD211F">
        <w:rPr>
          <w:sz w:val="36"/>
          <w:szCs w:val="36"/>
          <w:rtl/>
        </w:rPr>
        <w:t>حتى</w:t>
      </w:r>
      <w:r w:rsidR="00E8128F">
        <w:rPr>
          <w:sz w:val="36"/>
          <w:szCs w:val="36"/>
          <w:rtl/>
        </w:rPr>
        <w:t xml:space="preserve"> </w:t>
      </w:r>
      <w:r w:rsidR="00567265" w:rsidRPr="00FD211F">
        <w:rPr>
          <w:sz w:val="36"/>
          <w:szCs w:val="36"/>
          <w:rtl/>
        </w:rPr>
        <w:t>في</w:t>
      </w:r>
      <w:r w:rsidR="00E8128F">
        <w:rPr>
          <w:sz w:val="36"/>
          <w:szCs w:val="36"/>
          <w:rtl/>
        </w:rPr>
        <w:t xml:space="preserve"> </w:t>
      </w:r>
      <w:r w:rsidR="00567265" w:rsidRPr="00FD211F">
        <w:rPr>
          <w:sz w:val="36"/>
          <w:szCs w:val="36"/>
          <w:rtl/>
        </w:rPr>
        <w:t>مثل</w:t>
      </w:r>
      <w:r w:rsidR="00E8128F">
        <w:rPr>
          <w:sz w:val="36"/>
          <w:szCs w:val="36"/>
          <w:rtl/>
        </w:rPr>
        <w:t xml:space="preserve"> </w:t>
      </w:r>
      <w:r w:rsidR="00567265" w:rsidRPr="00FD211F">
        <w:rPr>
          <w:sz w:val="36"/>
          <w:szCs w:val="36"/>
          <w:rtl/>
        </w:rPr>
        <w:t>قولنا</w:t>
      </w:r>
      <w:r w:rsidR="00E8128F">
        <w:rPr>
          <w:sz w:val="36"/>
          <w:szCs w:val="36"/>
          <w:rtl/>
        </w:rPr>
        <w:t xml:space="preserve"> </w:t>
      </w:r>
      <w:r w:rsidR="000670F2" w:rsidRPr="00FD211F">
        <w:rPr>
          <w:sz w:val="36"/>
          <w:szCs w:val="36"/>
          <w:rtl/>
        </w:rPr>
        <w:t>"</w:t>
      </w:r>
      <w:r w:rsidR="00567265" w:rsidRPr="00FD211F">
        <w:rPr>
          <w:sz w:val="36"/>
          <w:szCs w:val="36"/>
          <w:rtl/>
        </w:rPr>
        <w:t>علم</w:t>
      </w:r>
      <w:r w:rsidR="00E8128F">
        <w:rPr>
          <w:sz w:val="36"/>
          <w:szCs w:val="36"/>
          <w:rtl/>
        </w:rPr>
        <w:t xml:space="preserve"> </w:t>
      </w:r>
      <w:r w:rsidR="00567265" w:rsidRPr="00FD211F">
        <w:rPr>
          <w:sz w:val="36"/>
          <w:szCs w:val="36"/>
          <w:rtl/>
        </w:rPr>
        <w:t>الله</w:t>
      </w:r>
      <w:r w:rsidR="000670F2" w:rsidRPr="00FD211F">
        <w:rPr>
          <w:sz w:val="36"/>
          <w:szCs w:val="36"/>
          <w:rtl/>
        </w:rPr>
        <w:t>"</w:t>
      </w:r>
      <w:r w:rsidR="00E8128F">
        <w:rPr>
          <w:sz w:val="36"/>
          <w:szCs w:val="36"/>
          <w:rtl/>
        </w:rPr>
        <w:t xml:space="preserve"> </w:t>
      </w:r>
      <w:r w:rsidR="00567265" w:rsidRPr="00FD211F">
        <w:rPr>
          <w:sz w:val="36"/>
          <w:szCs w:val="36"/>
          <w:rtl/>
        </w:rPr>
        <w:t>او</w:t>
      </w:r>
      <w:r w:rsidR="000670F2" w:rsidRPr="00FD211F">
        <w:rPr>
          <w:sz w:val="36"/>
          <w:szCs w:val="36"/>
          <w:rtl/>
        </w:rPr>
        <w:t>"</w:t>
      </w:r>
      <w:r w:rsidR="00E8128F">
        <w:rPr>
          <w:sz w:val="36"/>
          <w:szCs w:val="36"/>
          <w:rtl/>
        </w:rPr>
        <w:t xml:space="preserve"> </w:t>
      </w:r>
      <w:r w:rsidR="00567265" w:rsidRPr="00FD211F">
        <w:rPr>
          <w:sz w:val="36"/>
          <w:szCs w:val="36"/>
          <w:rtl/>
        </w:rPr>
        <w:t>كان</w:t>
      </w:r>
      <w:r w:rsidR="00E8128F">
        <w:rPr>
          <w:sz w:val="36"/>
          <w:szCs w:val="36"/>
          <w:rtl/>
        </w:rPr>
        <w:t xml:space="preserve"> </w:t>
      </w:r>
      <w:r w:rsidR="00567265" w:rsidRPr="00FD211F">
        <w:rPr>
          <w:sz w:val="36"/>
          <w:szCs w:val="36"/>
          <w:rtl/>
        </w:rPr>
        <w:t>الله</w:t>
      </w:r>
      <w:r w:rsidR="000670F2" w:rsidRPr="00FD211F">
        <w:rPr>
          <w:sz w:val="36"/>
          <w:szCs w:val="36"/>
          <w:rtl/>
        </w:rPr>
        <w:t>"</w:t>
      </w:r>
      <w:r w:rsidR="00E8128F">
        <w:rPr>
          <w:sz w:val="36"/>
          <w:szCs w:val="36"/>
          <w:rtl/>
        </w:rPr>
        <w:t xml:space="preserve"> </w:t>
      </w:r>
      <w:r w:rsidR="00567265" w:rsidRPr="00FD211F">
        <w:rPr>
          <w:sz w:val="36"/>
          <w:szCs w:val="36"/>
          <w:rtl/>
        </w:rPr>
        <w:t>او</w:t>
      </w:r>
      <w:r w:rsidR="000670F2" w:rsidRPr="00FD211F">
        <w:rPr>
          <w:sz w:val="36"/>
          <w:szCs w:val="36"/>
          <w:rtl/>
        </w:rPr>
        <w:t>"</w:t>
      </w:r>
      <w:r w:rsidR="00E8128F">
        <w:rPr>
          <w:sz w:val="36"/>
          <w:szCs w:val="36"/>
          <w:rtl/>
        </w:rPr>
        <w:t xml:space="preserve"> </w:t>
      </w:r>
      <w:r w:rsidR="00567265" w:rsidRPr="00FD211F">
        <w:rPr>
          <w:sz w:val="36"/>
          <w:szCs w:val="36"/>
          <w:rtl/>
        </w:rPr>
        <w:t>مضى</w:t>
      </w:r>
      <w:r w:rsidR="00E8128F">
        <w:rPr>
          <w:sz w:val="36"/>
          <w:szCs w:val="36"/>
          <w:rtl/>
        </w:rPr>
        <w:t xml:space="preserve"> </w:t>
      </w:r>
      <w:r w:rsidR="00567265" w:rsidRPr="00FD211F">
        <w:rPr>
          <w:sz w:val="36"/>
          <w:szCs w:val="36"/>
          <w:rtl/>
        </w:rPr>
        <w:t>يوم</w:t>
      </w:r>
      <w:r w:rsidR="00E8128F">
        <w:rPr>
          <w:sz w:val="36"/>
          <w:szCs w:val="36"/>
          <w:rtl/>
        </w:rPr>
        <w:t xml:space="preserve"> </w:t>
      </w:r>
      <w:r w:rsidR="00567265" w:rsidRPr="00FD211F">
        <w:rPr>
          <w:sz w:val="36"/>
          <w:szCs w:val="36"/>
          <w:rtl/>
        </w:rPr>
        <w:t>الجمع</w:t>
      </w:r>
      <w:r w:rsidR="00EC7EDF" w:rsidRPr="00FD211F">
        <w:rPr>
          <w:sz w:val="36"/>
          <w:szCs w:val="36"/>
          <w:rtl/>
        </w:rPr>
        <w:t>ة</w:t>
      </w:r>
      <w:r w:rsidR="00E8128F">
        <w:rPr>
          <w:sz w:val="36"/>
          <w:szCs w:val="36"/>
          <w:rtl/>
        </w:rPr>
        <w:t xml:space="preserve"> </w:t>
      </w:r>
      <w:r w:rsidR="000670F2" w:rsidRPr="00FD211F">
        <w:rPr>
          <w:sz w:val="36"/>
          <w:szCs w:val="36"/>
          <w:rtl/>
        </w:rPr>
        <w:t>"</w:t>
      </w:r>
      <w:r w:rsidR="00E8128F">
        <w:rPr>
          <w:sz w:val="36"/>
          <w:szCs w:val="36"/>
          <w:rtl/>
        </w:rPr>
        <w:t xml:space="preserve"> </w:t>
      </w:r>
      <w:r w:rsidR="008627FD" w:rsidRPr="00FD211F">
        <w:rPr>
          <w:sz w:val="36"/>
          <w:szCs w:val="36"/>
          <w:rtl/>
        </w:rPr>
        <w:t>فان</w:t>
      </w:r>
      <w:r w:rsidR="00E8128F">
        <w:rPr>
          <w:sz w:val="36"/>
          <w:szCs w:val="36"/>
          <w:rtl/>
        </w:rPr>
        <w:t xml:space="preserve"> </w:t>
      </w:r>
      <w:r w:rsidR="00567265" w:rsidRPr="00FD211F">
        <w:rPr>
          <w:sz w:val="36"/>
          <w:szCs w:val="36"/>
          <w:rtl/>
        </w:rPr>
        <w:t>ال</w:t>
      </w:r>
      <w:r w:rsidRPr="00FD211F">
        <w:rPr>
          <w:sz w:val="36"/>
          <w:szCs w:val="36"/>
          <w:rtl/>
        </w:rPr>
        <w:t>متبع</w:t>
      </w:r>
      <w:r w:rsidR="00E8128F">
        <w:rPr>
          <w:sz w:val="36"/>
          <w:szCs w:val="36"/>
          <w:rtl/>
        </w:rPr>
        <w:t xml:space="preserve"> </w:t>
      </w:r>
      <w:r w:rsidR="008627FD" w:rsidRPr="00FD211F">
        <w:rPr>
          <w:sz w:val="36"/>
          <w:szCs w:val="36"/>
          <w:rtl/>
        </w:rPr>
        <w:t>في</w:t>
      </w:r>
      <w:r w:rsidR="00E8128F">
        <w:rPr>
          <w:sz w:val="36"/>
          <w:szCs w:val="36"/>
          <w:rtl/>
        </w:rPr>
        <w:t xml:space="preserve"> </w:t>
      </w:r>
      <w:r w:rsidR="008627FD" w:rsidRPr="00FD211F">
        <w:rPr>
          <w:sz w:val="36"/>
          <w:szCs w:val="36"/>
          <w:rtl/>
        </w:rPr>
        <w:t>المقام</w:t>
      </w:r>
      <w:r w:rsidR="00E8128F">
        <w:rPr>
          <w:sz w:val="36"/>
          <w:szCs w:val="36"/>
          <w:rtl/>
        </w:rPr>
        <w:t xml:space="preserve"> </w:t>
      </w:r>
      <w:r w:rsidR="00567265" w:rsidRPr="00FD211F">
        <w:rPr>
          <w:sz w:val="36"/>
          <w:szCs w:val="36"/>
          <w:rtl/>
        </w:rPr>
        <w:t>هو</w:t>
      </w:r>
      <w:r w:rsidR="00E8128F">
        <w:rPr>
          <w:sz w:val="36"/>
          <w:szCs w:val="36"/>
          <w:rtl/>
        </w:rPr>
        <w:t xml:space="preserve"> </w:t>
      </w:r>
      <w:r w:rsidR="00567265" w:rsidRPr="00FD211F">
        <w:rPr>
          <w:sz w:val="36"/>
          <w:szCs w:val="36"/>
          <w:rtl/>
        </w:rPr>
        <w:t>النظر</w:t>
      </w:r>
      <w:r w:rsidR="00E8128F">
        <w:rPr>
          <w:sz w:val="36"/>
          <w:szCs w:val="36"/>
          <w:rtl/>
        </w:rPr>
        <w:t xml:space="preserve"> </w:t>
      </w:r>
      <w:r w:rsidR="00567265" w:rsidRPr="00FD211F">
        <w:rPr>
          <w:sz w:val="36"/>
          <w:szCs w:val="36"/>
          <w:rtl/>
        </w:rPr>
        <w:t>العرفي</w:t>
      </w:r>
      <w:r w:rsidR="00E8128F">
        <w:rPr>
          <w:sz w:val="36"/>
          <w:szCs w:val="36"/>
          <w:rtl/>
        </w:rPr>
        <w:t xml:space="preserve"> </w:t>
      </w:r>
      <w:r w:rsidR="00567265" w:rsidRPr="00FD211F">
        <w:rPr>
          <w:sz w:val="36"/>
          <w:szCs w:val="36"/>
          <w:rtl/>
        </w:rPr>
        <w:t>لاالعقلي</w:t>
      </w:r>
      <w:r w:rsidR="00603323" w:rsidRPr="00FD211F">
        <w:rPr>
          <w:sz w:val="36"/>
          <w:szCs w:val="36"/>
          <w:rtl/>
        </w:rPr>
        <w:t>،</w:t>
      </w:r>
      <w:r w:rsidR="00E8128F">
        <w:rPr>
          <w:sz w:val="36"/>
          <w:szCs w:val="36"/>
          <w:rtl/>
        </w:rPr>
        <w:t xml:space="preserve"> </w:t>
      </w:r>
      <w:r w:rsidR="00567265" w:rsidRPr="00FD211F">
        <w:rPr>
          <w:sz w:val="36"/>
          <w:szCs w:val="36"/>
          <w:rtl/>
        </w:rPr>
        <w:t>وهو</w:t>
      </w:r>
      <w:r w:rsidR="00E8128F">
        <w:rPr>
          <w:sz w:val="36"/>
          <w:szCs w:val="36"/>
          <w:rtl/>
        </w:rPr>
        <w:t xml:space="preserve"> </w:t>
      </w:r>
      <w:r w:rsidR="008627FD" w:rsidRPr="00FD211F">
        <w:rPr>
          <w:sz w:val="36"/>
          <w:szCs w:val="36"/>
          <w:rtl/>
        </w:rPr>
        <w:t>تعالى</w:t>
      </w:r>
      <w:r w:rsidR="00E8128F">
        <w:rPr>
          <w:sz w:val="36"/>
          <w:szCs w:val="36"/>
          <w:rtl/>
        </w:rPr>
        <w:t xml:space="preserve"> </w:t>
      </w:r>
      <w:r w:rsidR="008627FD" w:rsidRPr="00FD211F">
        <w:rPr>
          <w:sz w:val="36"/>
          <w:szCs w:val="36"/>
          <w:rtl/>
        </w:rPr>
        <w:t>وان</w:t>
      </w:r>
      <w:r w:rsidR="00E8128F">
        <w:rPr>
          <w:sz w:val="36"/>
          <w:szCs w:val="36"/>
          <w:rtl/>
        </w:rPr>
        <w:t xml:space="preserve"> </w:t>
      </w:r>
      <w:r w:rsidR="008D7B3D" w:rsidRPr="00FD211F">
        <w:rPr>
          <w:sz w:val="36"/>
          <w:szCs w:val="36"/>
          <w:rtl/>
        </w:rPr>
        <w:t>لم‌</w:t>
      </w:r>
      <w:r w:rsidR="008627FD" w:rsidRPr="00FD211F">
        <w:rPr>
          <w:sz w:val="36"/>
          <w:szCs w:val="36"/>
          <w:rtl/>
        </w:rPr>
        <w:t>يكن</w:t>
      </w:r>
      <w:r w:rsidR="00E8128F">
        <w:rPr>
          <w:sz w:val="36"/>
          <w:szCs w:val="36"/>
          <w:rtl/>
        </w:rPr>
        <w:t xml:space="preserve"> </w:t>
      </w:r>
      <w:r w:rsidR="008627FD" w:rsidRPr="00FD211F">
        <w:rPr>
          <w:sz w:val="36"/>
          <w:szCs w:val="36"/>
          <w:rtl/>
        </w:rPr>
        <w:t>زمانيا</w:t>
      </w:r>
      <w:r w:rsidR="00E8128F">
        <w:rPr>
          <w:sz w:val="36"/>
          <w:szCs w:val="36"/>
          <w:rtl/>
        </w:rPr>
        <w:t xml:space="preserve"> </w:t>
      </w:r>
      <w:r w:rsidR="008627FD" w:rsidRPr="00FD211F">
        <w:rPr>
          <w:sz w:val="36"/>
          <w:szCs w:val="36"/>
          <w:rtl/>
        </w:rPr>
        <w:t>بمعنى</w:t>
      </w:r>
      <w:r w:rsidR="00E8128F">
        <w:rPr>
          <w:sz w:val="36"/>
          <w:szCs w:val="36"/>
          <w:rtl/>
        </w:rPr>
        <w:t xml:space="preserve"> </w:t>
      </w:r>
      <w:r w:rsidR="008627FD" w:rsidRPr="00FD211F">
        <w:rPr>
          <w:sz w:val="36"/>
          <w:szCs w:val="36"/>
          <w:rtl/>
        </w:rPr>
        <w:t>ان</w:t>
      </w:r>
      <w:r w:rsidR="00E8128F">
        <w:rPr>
          <w:sz w:val="36"/>
          <w:szCs w:val="36"/>
          <w:rtl/>
        </w:rPr>
        <w:t xml:space="preserve"> </w:t>
      </w:r>
      <w:r w:rsidR="008627FD" w:rsidRPr="00FD211F">
        <w:rPr>
          <w:sz w:val="36"/>
          <w:szCs w:val="36"/>
          <w:rtl/>
        </w:rPr>
        <w:t>يكون</w:t>
      </w:r>
      <w:r w:rsidR="00E8128F">
        <w:rPr>
          <w:sz w:val="36"/>
          <w:szCs w:val="36"/>
          <w:rtl/>
        </w:rPr>
        <w:t xml:space="preserve"> </w:t>
      </w:r>
      <w:r w:rsidR="008627FD" w:rsidRPr="00FD211F">
        <w:rPr>
          <w:sz w:val="36"/>
          <w:szCs w:val="36"/>
          <w:rtl/>
        </w:rPr>
        <w:t>في</w:t>
      </w:r>
      <w:r w:rsidR="00E8128F">
        <w:rPr>
          <w:sz w:val="36"/>
          <w:szCs w:val="36"/>
          <w:rtl/>
        </w:rPr>
        <w:t xml:space="preserve"> </w:t>
      </w:r>
      <w:r w:rsidR="008627FD" w:rsidRPr="00FD211F">
        <w:rPr>
          <w:sz w:val="36"/>
          <w:szCs w:val="36"/>
          <w:rtl/>
        </w:rPr>
        <w:t>حرك</w:t>
      </w:r>
      <w:r w:rsidR="00EC7EDF" w:rsidRPr="00FD211F">
        <w:rPr>
          <w:sz w:val="36"/>
          <w:szCs w:val="36"/>
          <w:rtl/>
        </w:rPr>
        <w:t>ة</w:t>
      </w:r>
      <w:r w:rsidR="00E8128F">
        <w:rPr>
          <w:sz w:val="36"/>
          <w:szCs w:val="36"/>
          <w:rtl/>
        </w:rPr>
        <w:t xml:space="preserve"> </w:t>
      </w:r>
      <w:r w:rsidR="008627FD" w:rsidRPr="00FD211F">
        <w:rPr>
          <w:sz w:val="36"/>
          <w:szCs w:val="36"/>
          <w:rtl/>
        </w:rPr>
        <w:t>من</w:t>
      </w:r>
      <w:r w:rsidR="00E8128F">
        <w:rPr>
          <w:sz w:val="36"/>
          <w:szCs w:val="36"/>
          <w:rtl/>
        </w:rPr>
        <w:t xml:space="preserve"> </w:t>
      </w:r>
      <w:r w:rsidR="008627FD" w:rsidRPr="00FD211F">
        <w:rPr>
          <w:sz w:val="36"/>
          <w:szCs w:val="36"/>
          <w:rtl/>
        </w:rPr>
        <w:t>القو</w:t>
      </w:r>
      <w:r w:rsidR="00EC7EDF" w:rsidRPr="00FD211F">
        <w:rPr>
          <w:sz w:val="36"/>
          <w:szCs w:val="36"/>
          <w:rtl/>
        </w:rPr>
        <w:t>ة</w:t>
      </w:r>
      <w:r w:rsidR="00E8128F">
        <w:rPr>
          <w:sz w:val="36"/>
          <w:szCs w:val="36"/>
          <w:rtl/>
        </w:rPr>
        <w:t xml:space="preserve"> </w:t>
      </w:r>
      <w:r w:rsidR="008627FD" w:rsidRPr="00FD211F">
        <w:rPr>
          <w:sz w:val="36"/>
          <w:szCs w:val="36"/>
          <w:rtl/>
        </w:rPr>
        <w:t>الى</w:t>
      </w:r>
      <w:r w:rsidR="00E8128F">
        <w:rPr>
          <w:sz w:val="36"/>
          <w:szCs w:val="36"/>
          <w:rtl/>
        </w:rPr>
        <w:t xml:space="preserve"> </w:t>
      </w:r>
      <w:r w:rsidR="008627FD" w:rsidRPr="00FD211F">
        <w:rPr>
          <w:sz w:val="36"/>
          <w:szCs w:val="36"/>
          <w:rtl/>
        </w:rPr>
        <w:t>الفعل</w:t>
      </w:r>
      <w:r w:rsidR="00E8128F">
        <w:rPr>
          <w:sz w:val="36"/>
          <w:szCs w:val="36"/>
          <w:rtl/>
        </w:rPr>
        <w:t xml:space="preserve"> </w:t>
      </w:r>
      <w:r w:rsidR="008627FD" w:rsidRPr="00FD211F">
        <w:rPr>
          <w:sz w:val="36"/>
          <w:szCs w:val="36"/>
          <w:rtl/>
        </w:rPr>
        <w:t>لكنه</w:t>
      </w:r>
      <w:r w:rsidR="00E8128F">
        <w:rPr>
          <w:sz w:val="36"/>
          <w:szCs w:val="36"/>
          <w:rtl/>
        </w:rPr>
        <w:t xml:space="preserve"> </w:t>
      </w:r>
      <w:r w:rsidR="008627FD" w:rsidRPr="00FD211F">
        <w:rPr>
          <w:sz w:val="36"/>
          <w:szCs w:val="36"/>
          <w:rtl/>
        </w:rPr>
        <w:t>تعالى</w:t>
      </w:r>
      <w:r w:rsidR="00E8128F">
        <w:rPr>
          <w:sz w:val="36"/>
          <w:szCs w:val="36"/>
          <w:rtl/>
        </w:rPr>
        <w:t xml:space="preserve"> </w:t>
      </w:r>
      <w:r w:rsidR="008627FD" w:rsidRPr="00FD211F">
        <w:rPr>
          <w:sz w:val="36"/>
          <w:szCs w:val="36"/>
          <w:rtl/>
        </w:rPr>
        <w:t>مع</w:t>
      </w:r>
      <w:r w:rsidR="00E8128F">
        <w:rPr>
          <w:sz w:val="36"/>
          <w:szCs w:val="36"/>
          <w:rtl/>
        </w:rPr>
        <w:t xml:space="preserve"> </w:t>
      </w:r>
      <w:r w:rsidR="008627FD" w:rsidRPr="00FD211F">
        <w:rPr>
          <w:sz w:val="36"/>
          <w:szCs w:val="36"/>
          <w:rtl/>
        </w:rPr>
        <w:t>الزمان</w:t>
      </w:r>
      <w:r w:rsidR="00603323" w:rsidRPr="00FD211F">
        <w:rPr>
          <w:sz w:val="36"/>
          <w:szCs w:val="36"/>
          <w:rtl/>
        </w:rPr>
        <w:t>،</w:t>
      </w:r>
      <w:r w:rsidR="00E8128F">
        <w:rPr>
          <w:sz w:val="36"/>
          <w:szCs w:val="36"/>
          <w:rtl/>
        </w:rPr>
        <w:t xml:space="preserve"> </w:t>
      </w:r>
      <w:r w:rsidRPr="00FD211F">
        <w:rPr>
          <w:sz w:val="36"/>
          <w:szCs w:val="36"/>
          <w:rtl/>
        </w:rPr>
        <w:t>فيصح</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موجودا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الزمان</w:t>
      </w:r>
      <w:r w:rsidR="00E8128F">
        <w:rPr>
          <w:sz w:val="36"/>
          <w:szCs w:val="36"/>
          <w:rtl/>
        </w:rPr>
        <w:t xml:space="preserve"> </w:t>
      </w:r>
      <w:r w:rsidRPr="00FD211F">
        <w:rPr>
          <w:sz w:val="36"/>
          <w:szCs w:val="36"/>
          <w:rtl/>
        </w:rPr>
        <w:t>السابق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العالمَ</w:t>
      </w:r>
      <w:r w:rsidR="00603323" w:rsidRPr="00FD211F">
        <w:rPr>
          <w:sz w:val="36"/>
          <w:szCs w:val="36"/>
          <w:rtl/>
        </w:rPr>
        <w:t>،</w:t>
      </w:r>
      <w:r w:rsidR="00E8128F">
        <w:rPr>
          <w:sz w:val="36"/>
          <w:szCs w:val="36"/>
          <w:rtl/>
        </w:rPr>
        <w:t xml:space="preserve"> </w:t>
      </w:r>
      <w:r w:rsidR="00567265" w:rsidRPr="00FD211F">
        <w:rPr>
          <w:sz w:val="36"/>
          <w:szCs w:val="36"/>
          <w:rtl/>
        </w:rPr>
        <w:t>كما</w:t>
      </w:r>
      <w:r w:rsidR="00E8128F">
        <w:rPr>
          <w:sz w:val="36"/>
          <w:szCs w:val="36"/>
          <w:rtl/>
        </w:rPr>
        <w:t xml:space="preserve"> </w:t>
      </w:r>
      <w:r w:rsidR="00567265" w:rsidRPr="00FD211F">
        <w:rPr>
          <w:sz w:val="36"/>
          <w:szCs w:val="36"/>
          <w:rtl/>
        </w:rPr>
        <w:t>ان</w:t>
      </w:r>
      <w:r w:rsidR="00E8128F">
        <w:rPr>
          <w:sz w:val="36"/>
          <w:szCs w:val="36"/>
          <w:rtl/>
        </w:rPr>
        <w:t xml:space="preserve"> </w:t>
      </w:r>
      <w:r w:rsidR="00567265" w:rsidRPr="00FD211F">
        <w:rPr>
          <w:sz w:val="36"/>
          <w:szCs w:val="36"/>
          <w:rtl/>
        </w:rPr>
        <w:t>مضي</w:t>
      </w:r>
      <w:r w:rsidR="00E8128F">
        <w:rPr>
          <w:sz w:val="36"/>
          <w:szCs w:val="36"/>
          <w:rtl/>
        </w:rPr>
        <w:t xml:space="preserve"> </w:t>
      </w:r>
      <w:r w:rsidR="00567265" w:rsidRPr="00FD211F">
        <w:rPr>
          <w:sz w:val="36"/>
          <w:szCs w:val="36"/>
          <w:rtl/>
        </w:rPr>
        <w:t>يوم</w:t>
      </w:r>
      <w:r w:rsidR="00E8128F">
        <w:rPr>
          <w:sz w:val="36"/>
          <w:szCs w:val="36"/>
          <w:rtl/>
        </w:rPr>
        <w:t xml:space="preserve"> </w:t>
      </w:r>
      <w:r w:rsidR="00567265" w:rsidRPr="00FD211F">
        <w:rPr>
          <w:sz w:val="36"/>
          <w:szCs w:val="36"/>
          <w:rtl/>
        </w:rPr>
        <w:t>الجمع</w:t>
      </w:r>
      <w:r w:rsidR="00EC7EDF" w:rsidRPr="00FD211F">
        <w:rPr>
          <w:sz w:val="36"/>
          <w:szCs w:val="36"/>
          <w:rtl/>
        </w:rPr>
        <w:t>ة</w:t>
      </w:r>
      <w:r w:rsidR="00E8128F">
        <w:rPr>
          <w:sz w:val="36"/>
          <w:szCs w:val="36"/>
          <w:rtl/>
        </w:rPr>
        <w:t xml:space="preserve"> </w:t>
      </w:r>
      <w:r w:rsidR="00567265" w:rsidRPr="00FD211F">
        <w:rPr>
          <w:sz w:val="36"/>
          <w:szCs w:val="36"/>
          <w:rtl/>
        </w:rPr>
        <w:t>يكون</w:t>
      </w:r>
      <w:r w:rsidR="00E8128F">
        <w:rPr>
          <w:sz w:val="36"/>
          <w:szCs w:val="36"/>
          <w:rtl/>
        </w:rPr>
        <w:t xml:space="preserve"> </w:t>
      </w:r>
      <w:r w:rsidR="00567265" w:rsidRPr="00FD211F">
        <w:rPr>
          <w:sz w:val="36"/>
          <w:szCs w:val="36"/>
          <w:rtl/>
        </w:rPr>
        <w:t>في</w:t>
      </w:r>
      <w:r w:rsidR="00E8128F">
        <w:rPr>
          <w:sz w:val="36"/>
          <w:szCs w:val="36"/>
          <w:rtl/>
        </w:rPr>
        <w:t xml:space="preserve"> </w:t>
      </w:r>
      <w:r w:rsidR="008627FD" w:rsidRPr="00FD211F">
        <w:rPr>
          <w:sz w:val="36"/>
          <w:szCs w:val="36"/>
          <w:rtl/>
        </w:rPr>
        <w:t>الزمان</w:t>
      </w:r>
      <w:r w:rsidR="00E8128F">
        <w:rPr>
          <w:sz w:val="36"/>
          <w:szCs w:val="36"/>
          <w:rtl/>
        </w:rPr>
        <w:t xml:space="preserve"> </w:t>
      </w:r>
      <w:r w:rsidR="008627FD" w:rsidRPr="00FD211F">
        <w:rPr>
          <w:sz w:val="36"/>
          <w:szCs w:val="36"/>
          <w:rtl/>
        </w:rPr>
        <w:t>السابق</w:t>
      </w:r>
      <w:r w:rsidR="00E8128F">
        <w:rPr>
          <w:sz w:val="36"/>
          <w:szCs w:val="36"/>
          <w:rtl/>
        </w:rPr>
        <w:t xml:space="preserve"> </w:t>
      </w:r>
      <w:r w:rsidR="008627FD" w:rsidRPr="00FD211F">
        <w:rPr>
          <w:sz w:val="36"/>
          <w:szCs w:val="36"/>
          <w:rtl/>
        </w:rPr>
        <w:t>على</w:t>
      </w:r>
      <w:r w:rsidR="00E8128F">
        <w:rPr>
          <w:sz w:val="36"/>
          <w:szCs w:val="36"/>
          <w:rtl/>
        </w:rPr>
        <w:t xml:space="preserve"> </w:t>
      </w:r>
      <w:r w:rsidR="00567265" w:rsidRPr="00FD211F">
        <w:rPr>
          <w:sz w:val="36"/>
          <w:szCs w:val="36"/>
          <w:rtl/>
        </w:rPr>
        <w:t>مضي</w:t>
      </w:r>
      <w:r w:rsidR="00E8128F">
        <w:rPr>
          <w:sz w:val="36"/>
          <w:szCs w:val="36"/>
          <w:rtl/>
        </w:rPr>
        <w:t xml:space="preserve"> </w:t>
      </w:r>
      <w:r w:rsidR="008627FD" w:rsidRPr="00FD211F">
        <w:rPr>
          <w:sz w:val="36"/>
          <w:szCs w:val="36"/>
          <w:rtl/>
        </w:rPr>
        <w:t>يوم</w:t>
      </w:r>
      <w:r w:rsidR="00E8128F">
        <w:rPr>
          <w:sz w:val="36"/>
          <w:szCs w:val="36"/>
          <w:rtl/>
        </w:rPr>
        <w:t xml:space="preserve"> </w:t>
      </w:r>
      <w:r w:rsidR="008627FD" w:rsidRPr="00FD211F">
        <w:rPr>
          <w:sz w:val="36"/>
          <w:szCs w:val="36"/>
          <w:rtl/>
        </w:rPr>
        <w:t>السبت</w:t>
      </w:r>
      <w:r w:rsidR="00567265" w:rsidRPr="00FD211F">
        <w:rPr>
          <w:sz w:val="36"/>
          <w:szCs w:val="36"/>
          <w:rtl/>
        </w:rPr>
        <w:t>.</w:t>
      </w:r>
    </w:p>
    <w:p w14:paraId="69A0216E" w14:textId="77777777" w:rsidR="00AC4326" w:rsidRPr="00FD211F" w:rsidRDefault="00567265" w:rsidP="002D430C">
      <w:pPr>
        <w:ind w:left="0" w:firstLine="227"/>
        <w:jc w:val="both"/>
        <w:rPr>
          <w:sz w:val="36"/>
          <w:szCs w:val="36"/>
          <w:rtl/>
        </w:rPr>
      </w:pPr>
      <w:r w:rsidRPr="00FD211F">
        <w:rPr>
          <w:sz w:val="36"/>
          <w:szCs w:val="36"/>
          <w:rtl/>
        </w:rPr>
        <w:t>فلامانع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اخذ</w:t>
      </w:r>
      <w:r w:rsidR="00E8128F">
        <w:rPr>
          <w:sz w:val="36"/>
          <w:szCs w:val="36"/>
          <w:rtl/>
        </w:rPr>
        <w:t xml:space="preserve"> </w:t>
      </w:r>
      <w:r w:rsidR="00423529" w:rsidRPr="00FD211F">
        <w:rPr>
          <w:sz w:val="36"/>
          <w:szCs w:val="36"/>
          <w:rtl/>
        </w:rPr>
        <w:t>وقوع</w:t>
      </w:r>
      <w:r w:rsidR="00E8128F">
        <w:rPr>
          <w:sz w:val="36"/>
          <w:szCs w:val="36"/>
          <w:rtl/>
        </w:rPr>
        <w:t xml:space="preserve"> </w:t>
      </w:r>
      <w:r w:rsidR="008627FD" w:rsidRPr="00FD211F">
        <w:rPr>
          <w:sz w:val="36"/>
          <w:szCs w:val="36"/>
          <w:rtl/>
        </w:rPr>
        <w:t>الفعل</w:t>
      </w:r>
      <w:r w:rsidR="00E8128F">
        <w:rPr>
          <w:sz w:val="36"/>
          <w:szCs w:val="36"/>
          <w:rtl/>
        </w:rPr>
        <w:t xml:space="preserve"> </w:t>
      </w:r>
      <w:r w:rsidR="00F93528" w:rsidRPr="00FD211F">
        <w:rPr>
          <w:sz w:val="36"/>
          <w:szCs w:val="36"/>
          <w:rtl/>
        </w:rPr>
        <w:t>في</w:t>
      </w:r>
      <w:r w:rsidR="00E8128F">
        <w:rPr>
          <w:sz w:val="36"/>
          <w:szCs w:val="36"/>
          <w:rtl/>
        </w:rPr>
        <w:t xml:space="preserve"> </w:t>
      </w:r>
      <w:r w:rsidR="00F93528" w:rsidRPr="00FD211F">
        <w:rPr>
          <w:sz w:val="36"/>
          <w:szCs w:val="36"/>
          <w:rtl/>
        </w:rPr>
        <w:t>زمان</w:t>
      </w:r>
      <w:r w:rsidR="00E8128F">
        <w:rPr>
          <w:sz w:val="36"/>
          <w:szCs w:val="36"/>
          <w:rtl/>
        </w:rPr>
        <w:t xml:space="preserve"> </w:t>
      </w:r>
      <w:r w:rsidR="00F93528" w:rsidRPr="00FD211F">
        <w:rPr>
          <w:sz w:val="36"/>
          <w:szCs w:val="36"/>
          <w:rtl/>
        </w:rPr>
        <w:t>سابق</w:t>
      </w:r>
      <w:r w:rsidR="00E8128F">
        <w:rPr>
          <w:sz w:val="36"/>
          <w:szCs w:val="36"/>
          <w:rtl/>
        </w:rPr>
        <w:t xml:space="preserve"> </w:t>
      </w:r>
      <w:r w:rsidR="00423529" w:rsidRPr="00FD211F">
        <w:rPr>
          <w:sz w:val="36"/>
          <w:szCs w:val="36"/>
          <w:rtl/>
        </w:rPr>
        <w:t>على</w:t>
      </w:r>
      <w:r w:rsidR="00E8128F">
        <w:rPr>
          <w:sz w:val="36"/>
          <w:szCs w:val="36"/>
          <w:rtl/>
        </w:rPr>
        <w:t xml:space="preserve"> </w:t>
      </w:r>
      <w:r w:rsidR="00423529" w:rsidRPr="00FD211F">
        <w:rPr>
          <w:sz w:val="36"/>
          <w:szCs w:val="36"/>
          <w:rtl/>
        </w:rPr>
        <w:t>زمان</w:t>
      </w:r>
      <w:r w:rsidR="00E8128F">
        <w:rPr>
          <w:sz w:val="36"/>
          <w:szCs w:val="36"/>
          <w:rtl/>
        </w:rPr>
        <w:t xml:space="preserve"> </w:t>
      </w:r>
      <w:r w:rsidR="00423529" w:rsidRPr="00FD211F">
        <w:rPr>
          <w:sz w:val="36"/>
          <w:szCs w:val="36"/>
          <w:rtl/>
        </w:rPr>
        <w:t>الإسناد</w:t>
      </w:r>
      <w:r w:rsidR="00E8128F">
        <w:rPr>
          <w:sz w:val="36"/>
          <w:szCs w:val="36"/>
          <w:rtl/>
        </w:rPr>
        <w:t xml:space="preserve"> </w:t>
      </w:r>
      <w:r w:rsidR="008627FD" w:rsidRPr="00FD211F">
        <w:rPr>
          <w:sz w:val="36"/>
          <w:szCs w:val="36"/>
          <w:rtl/>
        </w:rPr>
        <w:t>في</w:t>
      </w:r>
      <w:r w:rsidR="00E8128F">
        <w:rPr>
          <w:sz w:val="36"/>
          <w:szCs w:val="36"/>
          <w:rtl/>
        </w:rPr>
        <w:t xml:space="preserve"> </w:t>
      </w:r>
      <w:r w:rsidR="008627FD" w:rsidRPr="00FD211F">
        <w:rPr>
          <w:sz w:val="36"/>
          <w:szCs w:val="36"/>
          <w:rtl/>
        </w:rPr>
        <w:t>معنى</w:t>
      </w:r>
      <w:r w:rsidR="00E8128F">
        <w:rPr>
          <w:sz w:val="36"/>
          <w:szCs w:val="36"/>
          <w:rtl/>
        </w:rPr>
        <w:t xml:space="preserve"> </w:t>
      </w:r>
      <w:r w:rsidR="008627FD" w:rsidRPr="00FD211F">
        <w:rPr>
          <w:sz w:val="36"/>
          <w:szCs w:val="36"/>
          <w:rtl/>
        </w:rPr>
        <w:t>هيئ</w:t>
      </w:r>
      <w:r w:rsidR="00EC7EDF" w:rsidRPr="00FD211F">
        <w:rPr>
          <w:sz w:val="36"/>
          <w:szCs w:val="36"/>
          <w:rtl/>
        </w:rPr>
        <w:t>ة</w:t>
      </w:r>
      <w:r w:rsidR="00E8128F">
        <w:rPr>
          <w:sz w:val="36"/>
          <w:szCs w:val="36"/>
          <w:rtl/>
        </w:rPr>
        <w:t xml:space="preserve"> </w:t>
      </w:r>
      <w:r w:rsidR="008627FD" w:rsidRPr="00FD211F">
        <w:rPr>
          <w:sz w:val="36"/>
          <w:szCs w:val="36"/>
          <w:rtl/>
        </w:rPr>
        <w:t>الفعل</w:t>
      </w:r>
      <w:r w:rsidR="00E8128F">
        <w:rPr>
          <w:sz w:val="36"/>
          <w:szCs w:val="36"/>
          <w:rtl/>
        </w:rPr>
        <w:t xml:space="preserve"> </w:t>
      </w:r>
      <w:r w:rsidRPr="00FD211F">
        <w:rPr>
          <w:sz w:val="36"/>
          <w:szCs w:val="36"/>
          <w:rtl/>
        </w:rPr>
        <w:t>الماضي</w:t>
      </w:r>
      <w:r w:rsidR="00E8128F">
        <w:rPr>
          <w:sz w:val="36"/>
          <w:szCs w:val="36"/>
          <w:rtl/>
        </w:rPr>
        <w:t xml:space="preserve"> </w:t>
      </w:r>
      <w:r w:rsidR="00423529" w:rsidRPr="00FD211F">
        <w:rPr>
          <w:sz w:val="36"/>
          <w:szCs w:val="36"/>
          <w:rtl/>
        </w:rPr>
        <w:t>واخذ</w:t>
      </w:r>
      <w:r w:rsidR="00E8128F">
        <w:rPr>
          <w:sz w:val="36"/>
          <w:szCs w:val="36"/>
          <w:rtl/>
        </w:rPr>
        <w:t xml:space="preserve"> </w:t>
      </w:r>
      <w:r w:rsidR="00423529" w:rsidRPr="00FD211F">
        <w:rPr>
          <w:sz w:val="36"/>
          <w:szCs w:val="36"/>
          <w:rtl/>
        </w:rPr>
        <w:t>وقوع</w:t>
      </w:r>
      <w:r w:rsidR="00E8128F">
        <w:rPr>
          <w:sz w:val="36"/>
          <w:szCs w:val="36"/>
          <w:rtl/>
        </w:rPr>
        <w:t xml:space="preserve"> </w:t>
      </w:r>
      <w:r w:rsidR="00423529" w:rsidRPr="00FD211F">
        <w:rPr>
          <w:sz w:val="36"/>
          <w:szCs w:val="36"/>
          <w:rtl/>
        </w:rPr>
        <w:t>الفعل</w:t>
      </w:r>
      <w:r w:rsidR="00E8128F">
        <w:rPr>
          <w:sz w:val="36"/>
          <w:szCs w:val="36"/>
          <w:rtl/>
        </w:rPr>
        <w:t xml:space="preserve"> </w:t>
      </w:r>
      <w:r w:rsidR="00423529" w:rsidRPr="00FD211F">
        <w:rPr>
          <w:sz w:val="36"/>
          <w:szCs w:val="36"/>
          <w:rtl/>
        </w:rPr>
        <w:t>في</w:t>
      </w:r>
      <w:r w:rsidR="00E8128F">
        <w:rPr>
          <w:sz w:val="36"/>
          <w:szCs w:val="36"/>
          <w:rtl/>
        </w:rPr>
        <w:t xml:space="preserve"> </w:t>
      </w:r>
      <w:r w:rsidR="00423529" w:rsidRPr="00FD211F">
        <w:rPr>
          <w:sz w:val="36"/>
          <w:szCs w:val="36"/>
          <w:rtl/>
        </w:rPr>
        <w:t>زمان</w:t>
      </w:r>
      <w:r w:rsidR="002D430C">
        <w:rPr>
          <w:rFonts w:hint="cs"/>
          <w:sz w:val="36"/>
          <w:szCs w:val="36"/>
          <w:rtl/>
        </w:rPr>
        <w:t xml:space="preserve"> لاحق بزمان</w:t>
      </w:r>
      <w:r w:rsidR="00E8128F">
        <w:rPr>
          <w:sz w:val="36"/>
          <w:szCs w:val="36"/>
          <w:rtl/>
        </w:rPr>
        <w:t xml:space="preserve"> </w:t>
      </w:r>
      <w:r w:rsidR="00423529" w:rsidRPr="00FD211F">
        <w:rPr>
          <w:sz w:val="36"/>
          <w:szCs w:val="36"/>
          <w:rtl/>
        </w:rPr>
        <w:t>الاسناد</w:t>
      </w:r>
      <w:r w:rsidR="00E8128F">
        <w:rPr>
          <w:sz w:val="36"/>
          <w:szCs w:val="36"/>
          <w:rtl/>
        </w:rPr>
        <w:t xml:space="preserve"> </w:t>
      </w:r>
      <w:r w:rsidR="00423529" w:rsidRPr="00FD211F">
        <w:rPr>
          <w:sz w:val="36"/>
          <w:szCs w:val="36"/>
          <w:rtl/>
        </w:rPr>
        <w:t>في</w:t>
      </w:r>
      <w:r w:rsidR="00E8128F">
        <w:rPr>
          <w:sz w:val="36"/>
          <w:szCs w:val="36"/>
          <w:rtl/>
        </w:rPr>
        <w:t xml:space="preserve"> </w:t>
      </w:r>
      <w:r w:rsidR="00423529" w:rsidRPr="00FD211F">
        <w:rPr>
          <w:sz w:val="36"/>
          <w:szCs w:val="36"/>
          <w:rtl/>
        </w:rPr>
        <w:t>معنى</w:t>
      </w:r>
      <w:r w:rsidR="00E8128F">
        <w:rPr>
          <w:sz w:val="36"/>
          <w:szCs w:val="36"/>
          <w:rtl/>
        </w:rPr>
        <w:t xml:space="preserve"> </w:t>
      </w:r>
      <w:r w:rsidR="00423529" w:rsidRPr="00FD211F">
        <w:rPr>
          <w:sz w:val="36"/>
          <w:szCs w:val="36"/>
          <w:rtl/>
        </w:rPr>
        <w:t>هيئ</w:t>
      </w:r>
      <w:r w:rsidR="00EC7EDF" w:rsidRPr="00FD211F">
        <w:rPr>
          <w:sz w:val="36"/>
          <w:szCs w:val="36"/>
          <w:rtl/>
        </w:rPr>
        <w:t>ة</w:t>
      </w:r>
      <w:r w:rsidR="00E8128F">
        <w:rPr>
          <w:sz w:val="36"/>
          <w:szCs w:val="36"/>
          <w:rtl/>
        </w:rPr>
        <w:t xml:space="preserve"> </w:t>
      </w:r>
      <w:r w:rsidR="00423529" w:rsidRPr="00FD211F">
        <w:rPr>
          <w:sz w:val="36"/>
          <w:szCs w:val="36"/>
          <w:rtl/>
        </w:rPr>
        <w:t>المضارع</w:t>
      </w:r>
      <w:r w:rsidR="00E8128F">
        <w:rPr>
          <w:sz w:val="36"/>
          <w:szCs w:val="36"/>
          <w:rtl/>
        </w:rPr>
        <w:t xml:space="preserve"> </w:t>
      </w:r>
      <w:r w:rsidR="008627FD" w:rsidRPr="00FD211F">
        <w:rPr>
          <w:sz w:val="36"/>
          <w:szCs w:val="36"/>
          <w:rtl/>
        </w:rPr>
        <w:t>على</w:t>
      </w:r>
      <w:r w:rsidR="00E8128F">
        <w:rPr>
          <w:sz w:val="36"/>
          <w:szCs w:val="36"/>
          <w:rtl/>
        </w:rPr>
        <w:t xml:space="preserve"> </w:t>
      </w:r>
      <w:r w:rsidR="008627FD" w:rsidRPr="00FD211F">
        <w:rPr>
          <w:sz w:val="36"/>
          <w:szCs w:val="36"/>
          <w:rtl/>
        </w:rPr>
        <w:t>نحو</w:t>
      </w:r>
      <w:r w:rsidR="00E8128F">
        <w:rPr>
          <w:sz w:val="36"/>
          <w:szCs w:val="36"/>
          <w:rtl/>
        </w:rPr>
        <w:t xml:space="preserve"> </w:t>
      </w:r>
      <w:r w:rsidR="008627FD" w:rsidRPr="00FD211F">
        <w:rPr>
          <w:sz w:val="36"/>
          <w:szCs w:val="36"/>
          <w:rtl/>
        </w:rPr>
        <w:t>معنى</w:t>
      </w:r>
      <w:r w:rsidR="00E8128F">
        <w:rPr>
          <w:sz w:val="36"/>
          <w:szCs w:val="36"/>
          <w:rtl/>
        </w:rPr>
        <w:t xml:space="preserve"> </w:t>
      </w:r>
      <w:r w:rsidR="008627FD" w:rsidRPr="00FD211F">
        <w:rPr>
          <w:sz w:val="36"/>
          <w:szCs w:val="36"/>
          <w:rtl/>
        </w:rPr>
        <w:t>حرفي</w:t>
      </w:r>
      <w:r w:rsidR="00E8128F">
        <w:rPr>
          <w:sz w:val="36"/>
          <w:szCs w:val="36"/>
          <w:rtl/>
        </w:rPr>
        <w:t xml:space="preserve"> </w:t>
      </w:r>
      <w:r w:rsidR="008627FD" w:rsidRPr="00FD211F">
        <w:rPr>
          <w:sz w:val="36"/>
          <w:szCs w:val="36"/>
          <w:rtl/>
        </w:rPr>
        <w:t>مندمج</w:t>
      </w:r>
      <w:r w:rsidR="00E8128F">
        <w:rPr>
          <w:sz w:val="36"/>
          <w:szCs w:val="36"/>
          <w:rtl/>
        </w:rPr>
        <w:t xml:space="preserve"> </w:t>
      </w:r>
      <w:r w:rsidR="008627FD" w:rsidRPr="00FD211F">
        <w:rPr>
          <w:sz w:val="36"/>
          <w:szCs w:val="36"/>
          <w:rtl/>
        </w:rPr>
        <w:t>ومندك</w:t>
      </w:r>
      <w:r w:rsidR="00E8128F">
        <w:rPr>
          <w:sz w:val="36"/>
          <w:szCs w:val="36"/>
          <w:rtl/>
        </w:rPr>
        <w:t xml:space="preserve"> </w:t>
      </w:r>
      <w:r w:rsidR="008627FD" w:rsidRPr="00FD211F">
        <w:rPr>
          <w:sz w:val="36"/>
          <w:szCs w:val="36"/>
          <w:rtl/>
        </w:rPr>
        <w:t>في</w:t>
      </w:r>
      <w:r w:rsidR="00E8128F">
        <w:rPr>
          <w:sz w:val="36"/>
          <w:szCs w:val="36"/>
          <w:rtl/>
        </w:rPr>
        <w:t xml:space="preserve"> </w:t>
      </w:r>
      <w:r w:rsidR="008627FD" w:rsidRPr="00FD211F">
        <w:rPr>
          <w:sz w:val="36"/>
          <w:szCs w:val="36"/>
          <w:rtl/>
        </w:rPr>
        <w:t>معنى</w:t>
      </w:r>
      <w:r w:rsidR="00E8128F">
        <w:rPr>
          <w:sz w:val="36"/>
          <w:szCs w:val="36"/>
          <w:rtl/>
        </w:rPr>
        <w:t xml:space="preserve"> </w:t>
      </w:r>
      <w:r w:rsidR="008627FD" w:rsidRPr="00FD211F">
        <w:rPr>
          <w:sz w:val="36"/>
          <w:szCs w:val="36"/>
          <w:rtl/>
        </w:rPr>
        <w:t>الماد</w:t>
      </w:r>
      <w:r w:rsidR="00EC7EDF" w:rsidRPr="00FD211F">
        <w:rPr>
          <w:sz w:val="36"/>
          <w:szCs w:val="36"/>
          <w:rtl/>
        </w:rPr>
        <w:t>ة</w:t>
      </w:r>
      <w:r w:rsidR="00A61BAE" w:rsidRPr="00FD211F">
        <w:rPr>
          <w:sz w:val="36"/>
          <w:szCs w:val="36"/>
          <w:rtl/>
        </w:rPr>
        <w:t>.</w:t>
      </w:r>
    </w:p>
    <w:p w14:paraId="3F2F7ABD" w14:textId="77777777" w:rsidR="000C5BBA" w:rsidRPr="00FD211F" w:rsidRDefault="00423529" w:rsidP="00142012">
      <w:pPr>
        <w:ind w:left="0" w:firstLine="227"/>
        <w:jc w:val="both"/>
        <w:rPr>
          <w:sz w:val="36"/>
          <w:szCs w:val="36"/>
          <w:rtl/>
        </w:rPr>
      </w:pPr>
      <w:r w:rsidRPr="00FD211F">
        <w:rPr>
          <w:sz w:val="36"/>
          <w:szCs w:val="36"/>
          <w:rtl/>
        </w:rPr>
        <w:t>فما</w:t>
      </w:r>
      <w:r w:rsidR="00E8128F">
        <w:rPr>
          <w:sz w:val="36"/>
          <w:szCs w:val="36"/>
          <w:rtl/>
        </w:rPr>
        <w:t xml:space="preserve"> </w:t>
      </w:r>
      <w:r w:rsidRPr="00FD211F">
        <w:rPr>
          <w:sz w:val="36"/>
          <w:szCs w:val="36"/>
          <w:rtl/>
        </w:rPr>
        <w:t>حكي</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00ED5122" w:rsidRPr="00FD211F">
        <w:rPr>
          <w:sz w:val="36"/>
          <w:szCs w:val="36"/>
          <w:rtl/>
        </w:rPr>
        <w:t>"</w:t>
      </w:r>
      <w:r w:rsidRPr="00FD211F">
        <w:rPr>
          <w:sz w:val="36"/>
          <w:szCs w:val="36"/>
          <w:rtl/>
        </w:rPr>
        <w:t>قده</w:t>
      </w:r>
      <w:r w:rsidR="00ED5122"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الالتزام</w:t>
      </w:r>
      <w:r w:rsidR="00E8128F">
        <w:rPr>
          <w:sz w:val="36"/>
          <w:szCs w:val="36"/>
          <w:rtl/>
        </w:rPr>
        <w:t xml:space="preserve"> </w:t>
      </w:r>
      <w:r w:rsidRPr="00FD211F">
        <w:rPr>
          <w:sz w:val="36"/>
          <w:szCs w:val="36"/>
          <w:rtl/>
        </w:rPr>
        <w:t>بعدم</w:t>
      </w:r>
      <w:r w:rsidR="00E8128F">
        <w:rPr>
          <w:sz w:val="36"/>
          <w:szCs w:val="36"/>
          <w:rtl/>
        </w:rPr>
        <w:t xml:space="preserve"> </w:t>
      </w:r>
      <w:r w:rsidRPr="00FD211F">
        <w:rPr>
          <w:sz w:val="36"/>
          <w:szCs w:val="36"/>
          <w:rtl/>
        </w:rPr>
        <w:t>دلال</w:t>
      </w:r>
      <w:r w:rsidR="00EC7EDF" w:rsidRPr="00FD211F">
        <w:rPr>
          <w:sz w:val="36"/>
          <w:szCs w:val="36"/>
          <w:rtl/>
        </w:rPr>
        <w:t>ة</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الزمان</w:t>
      </w:r>
      <w:r w:rsidR="00E8128F">
        <w:rPr>
          <w:sz w:val="36"/>
          <w:szCs w:val="36"/>
          <w:rtl/>
        </w:rPr>
        <w:t xml:space="preserve"> </w:t>
      </w:r>
      <w:r w:rsidRPr="00FD211F">
        <w:rPr>
          <w:sz w:val="36"/>
          <w:szCs w:val="36"/>
          <w:rtl/>
        </w:rPr>
        <w:t>حذرا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النقض</w:t>
      </w:r>
      <w:r w:rsidR="00E8128F">
        <w:rPr>
          <w:sz w:val="36"/>
          <w:szCs w:val="36"/>
          <w:rtl/>
        </w:rPr>
        <w:t xml:space="preserve"> </w:t>
      </w:r>
      <w:r w:rsidRPr="00FD211F">
        <w:rPr>
          <w:sz w:val="36"/>
          <w:szCs w:val="36"/>
          <w:rtl/>
        </w:rPr>
        <w:t>بمثل</w:t>
      </w:r>
      <w:r w:rsidR="00E8128F">
        <w:rPr>
          <w:sz w:val="36"/>
          <w:szCs w:val="36"/>
          <w:rtl/>
        </w:rPr>
        <w:t xml:space="preserve"> </w:t>
      </w:r>
      <w:r w:rsidRPr="00FD211F">
        <w:rPr>
          <w:sz w:val="36"/>
          <w:szCs w:val="36"/>
          <w:rtl/>
        </w:rPr>
        <w:t>قولنا</w:t>
      </w:r>
      <w:r w:rsidR="00E8128F">
        <w:rPr>
          <w:sz w:val="36"/>
          <w:szCs w:val="36"/>
          <w:rtl/>
        </w:rPr>
        <w:t xml:space="preserve"> </w:t>
      </w:r>
      <w:r w:rsidR="00ED5122" w:rsidRPr="00FD211F">
        <w:rPr>
          <w:sz w:val="36"/>
          <w:szCs w:val="36"/>
          <w:rtl/>
        </w:rPr>
        <w:t>"</w:t>
      </w:r>
      <w:r w:rsidRPr="00FD211F">
        <w:rPr>
          <w:sz w:val="36"/>
          <w:szCs w:val="36"/>
          <w:rtl/>
        </w:rPr>
        <w:t>علم</w:t>
      </w:r>
      <w:r w:rsidR="00E8128F">
        <w:rPr>
          <w:sz w:val="36"/>
          <w:szCs w:val="36"/>
          <w:rtl/>
        </w:rPr>
        <w:t xml:space="preserve"> </w:t>
      </w:r>
      <w:r w:rsidRPr="00FD211F">
        <w:rPr>
          <w:sz w:val="36"/>
          <w:szCs w:val="36"/>
          <w:rtl/>
        </w:rPr>
        <w:t>الله</w:t>
      </w:r>
      <w:r w:rsidR="00ED5122" w:rsidRPr="00FD211F">
        <w:rPr>
          <w:sz w:val="36"/>
          <w:szCs w:val="36"/>
          <w:rtl/>
        </w:rPr>
        <w:t>"</w:t>
      </w:r>
      <w:r w:rsidR="00E8128F">
        <w:rPr>
          <w:sz w:val="36"/>
          <w:szCs w:val="36"/>
          <w:rtl/>
        </w:rPr>
        <w:t xml:space="preserve"> </w:t>
      </w:r>
      <w:r w:rsidRPr="00FD211F">
        <w:rPr>
          <w:sz w:val="36"/>
          <w:szCs w:val="36"/>
          <w:rtl/>
        </w:rPr>
        <w:t>او</w:t>
      </w:r>
      <w:r w:rsidR="00ED5122" w:rsidRPr="00FD211F">
        <w:rPr>
          <w:sz w:val="36"/>
          <w:szCs w:val="36"/>
          <w:rtl/>
        </w:rPr>
        <w:t>"</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الله</w:t>
      </w:r>
      <w:r w:rsidR="00ED5122" w:rsidRPr="00FD211F">
        <w:rPr>
          <w:sz w:val="36"/>
          <w:szCs w:val="36"/>
          <w:rtl/>
        </w:rPr>
        <w:t>"</w:t>
      </w:r>
      <w:r w:rsidR="00E8128F">
        <w:rPr>
          <w:sz w:val="36"/>
          <w:szCs w:val="36"/>
          <w:rtl/>
        </w:rPr>
        <w:t xml:space="preserve"> </w:t>
      </w:r>
      <w:r w:rsidRPr="00FD211F">
        <w:rPr>
          <w:sz w:val="36"/>
          <w:szCs w:val="36"/>
          <w:rtl/>
        </w:rPr>
        <w:t>او</w:t>
      </w:r>
      <w:r w:rsidR="00ED5122" w:rsidRPr="00FD211F">
        <w:rPr>
          <w:sz w:val="36"/>
          <w:szCs w:val="36"/>
          <w:rtl/>
        </w:rPr>
        <w:t>"</w:t>
      </w:r>
      <w:r w:rsidR="00E8128F">
        <w:rPr>
          <w:sz w:val="36"/>
          <w:szCs w:val="36"/>
          <w:rtl/>
        </w:rPr>
        <w:t xml:space="preserve"> </w:t>
      </w:r>
      <w:r w:rsidRPr="00FD211F">
        <w:rPr>
          <w:sz w:val="36"/>
          <w:szCs w:val="36"/>
          <w:rtl/>
        </w:rPr>
        <w:t>مضى</w:t>
      </w:r>
      <w:r w:rsidR="00E8128F">
        <w:rPr>
          <w:sz w:val="36"/>
          <w:szCs w:val="36"/>
          <w:rtl/>
        </w:rPr>
        <w:t xml:space="preserve"> </w:t>
      </w:r>
      <w:r w:rsidRPr="00FD211F">
        <w:rPr>
          <w:sz w:val="36"/>
          <w:szCs w:val="36"/>
          <w:rtl/>
        </w:rPr>
        <w:t>الزمان</w:t>
      </w:r>
      <w:r w:rsidR="00ED5122" w:rsidRPr="00FD211F">
        <w:rPr>
          <w:sz w:val="36"/>
          <w:szCs w:val="36"/>
          <w:rtl/>
        </w:rPr>
        <w:t>"</w:t>
      </w:r>
      <w:r w:rsidR="00603323" w:rsidRPr="00FD211F">
        <w:rPr>
          <w:sz w:val="36"/>
          <w:szCs w:val="36"/>
          <w:rtl/>
        </w:rPr>
        <w:t>،</w:t>
      </w:r>
      <w:r w:rsidR="00E8128F">
        <w:rPr>
          <w:sz w:val="36"/>
          <w:szCs w:val="36"/>
          <w:rtl/>
        </w:rPr>
        <w:t xml:space="preserve"> </w:t>
      </w:r>
      <w:r w:rsidR="00ED5122" w:rsidRPr="00FD211F">
        <w:rPr>
          <w:sz w:val="36"/>
          <w:szCs w:val="36"/>
          <w:rtl/>
        </w:rPr>
        <w:t>وانما</w:t>
      </w:r>
      <w:r w:rsidR="00A935B9">
        <w:rPr>
          <w:rFonts w:hint="cs"/>
          <w:sz w:val="36"/>
          <w:szCs w:val="36"/>
          <w:rtl/>
        </w:rPr>
        <w:t xml:space="preserve"> </w:t>
      </w:r>
      <w:r w:rsidR="00ED5122" w:rsidRPr="00FD211F">
        <w:rPr>
          <w:sz w:val="36"/>
          <w:szCs w:val="36"/>
          <w:rtl/>
        </w:rPr>
        <w:t>يدلّ</w:t>
      </w:r>
      <w:r w:rsidR="00E8128F">
        <w:rPr>
          <w:sz w:val="36"/>
          <w:szCs w:val="36"/>
          <w:rtl/>
        </w:rPr>
        <w:t xml:space="preserve"> </w:t>
      </w:r>
      <w:r w:rsidR="00ED5122" w:rsidRPr="00FD211F">
        <w:rPr>
          <w:sz w:val="36"/>
          <w:szCs w:val="36"/>
          <w:rtl/>
        </w:rPr>
        <w:t>الفعل</w:t>
      </w:r>
      <w:r w:rsidR="00E8128F">
        <w:rPr>
          <w:sz w:val="36"/>
          <w:szCs w:val="36"/>
          <w:rtl/>
        </w:rPr>
        <w:t xml:space="preserve"> </w:t>
      </w:r>
      <w:r w:rsidR="00ED5122" w:rsidRPr="00FD211F">
        <w:rPr>
          <w:sz w:val="36"/>
          <w:szCs w:val="36"/>
          <w:rtl/>
        </w:rPr>
        <w:t>الماضي</w:t>
      </w:r>
      <w:r w:rsidR="00E8128F">
        <w:rPr>
          <w:sz w:val="36"/>
          <w:szCs w:val="36"/>
          <w:rtl/>
        </w:rPr>
        <w:t xml:space="preserve"> </w:t>
      </w:r>
      <w:r w:rsidR="00ED5122" w:rsidRPr="00FD211F">
        <w:rPr>
          <w:sz w:val="36"/>
          <w:szCs w:val="36"/>
          <w:rtl/>
        </w:rPr>
        <w:t>على</w:t>
      </w:r>
      <w:r w:rsidR="00E8128F">
        <w:rPr>
          <w:sz w:val="36"/>
          <w:szCs w:val="36"/>
          <w:rtl/>
        </w:rPr>
        <w:t xml:space="preserve"> </w:t>
      </w:r>
      <w:r w:rsidR="00ED5122" w:rsidRPr="00FD211F">
        <w:rPr>
          <w:sz w:val="36"/>
          <w:szCs w:val="36"/>
          <w:rtl/>
        </w:rPr>
        <w:t>قصد</w:t>
      </w:r>
      <w:r w:rsidR="00E8128F">
        <w:rPr>
          <w:sz w:val="36"/>
          <w:szCs w:val="36"/>
          <w:rtl/>
        </w:rPr>
        <w:t xml:space="preserve"> </w:t>
      </w:r>
      <w:r w:rsidR="00ED5122" w:rsidRPr="00FD211F">
        <w:rPr>
          <w:sz w:val="36"/>
          <w:szCs w:val="36"/>
          <w:rtl/>
        </w:rPr>
        <w:t>الحكاي</w:t>
      </w:r>
      <w:r w:rsidR="00EC7EDF" w:rsidRPr="00FD211F">
        <w:rPr>
          <w:sz w:val="36"/>
          <w:szCs w:val="36"/>
          <w:rtl/>
        </w:rPr>
        <w:t>ة</w:t>
      </w:r>
      <w:r w:rsidR="00E8128F">
        <w:rPr>
          <w:sz w:val="36"/>
          <w:szCs w:val="36"/>
          <w:rtl/>
        </w:rPr>
        <w:t xml:space="preserve"> </w:t>
      </w:r>
      <w:r w:rsidR="00ED5122" w:rsidRPr="00FD211F">
        <w:rPr>
          <w:sz w:val="36"/>
          <w:szCs w:val="36"/>
          <w:rtl/>
        </w:rPr>
        <w:t>عن</w:t>
      </w:r>
      <w:r w:rsidR="00E8128F">
        <w:rPr>
          <w:sz w:val="36"/>
          <w:szCs w:val="36"/>
          <w:rtl/>
        </w:rPr>
        <w:t xml:space="preserve"> </w:t>
      </w:r>
      <w:r w:rsidRPr="00FD211F">
        <w:rPr>
          <w:sz w:val="36"/>
          <w:szCs w:val="36"/>
          <w:rtl/>
        </w:rPr>
        <w:t>وقوع</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قبل</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التكلم</w:t>
      </w:r>
      <w:r w:rsidR="00603323" w:rsidRPr="00FD211F">
        <w:rPr>
          <w:sz w:val="36"/>
          <w:szCs w:val="36"/>
          <w:rtl/>
        </w:rPr>
        <w:t>،</w:t>
      </w:r>
      <w:r w:rsidR="00E8128F">
        <w:rPr>
          <w:sz w:val="36"/>
          <w:szCs w:val="36"/>
          <w:rtl/>
        </w:rPr>
        <w:t xml:space="preserve"> </w:t>
      </w:r>
      <w:r w:rsidRPr="00FD211F">
        <w:rPr>
          <w:sz w:val="36"/>
          <w:szCs w:val="36"/>
          <w:rtl/>
        </w:rPr>
        <w:t>ودلال</w:t>
      </w:r>
      <w:r w:rsidR="00EC7EDF" w:rsidRPr="00FD211F">
        <w:rPr>
          <w:sz w:val="36"/>
          <w:szCs w:val="36"/>
          <w:rtl/>
        </w:rPr>
        <w:t>ة</w:t>
      </w:r>
      <w:r w:rsidR="00E8128F">
        <w:rPr>
          <w:sz w:val="36"/>
          <w:szCs w:val="36"/>
          <w:rtl/>
        </w:rPr>
        <w:t xml:space="preserve"> </w:t>
      </w:r>
      <w:r w:rsidR="00ED5122" w:rsidRPr="00FD211F">
        <w:rPr>
          <w:sz w:val="36"/>
          <w:szCs w:val="36"/>
          <w:rtl/>
        </w:rPr>
        <w:t>فعل</w:t>
      </w:r>
      <w:r w:rsidR="00E8128F">
        <w:rPr>
          <w:sz w:val="36"/>
          <w:szCs w:val="36"/>
          <w:rtl/>
        </w:rPr>
        <w:t xml:space="preserve"> </w:t>
      </w:r>
      <w:r w:rsidR="00ED5122" w:rsidRPr="00FD211F">
        <w:rPr>
          <w:sz w:val="36"/>
          <w:szCs w:val="36"/>
          <w:rtl/>
        </w:rPr>
        <w:t>المضارع</w:t>
      </w:r>
      <w:r w:rsidR="00E8128F">
        <w:rPr>
          <w:sz w:val="36"/>
          <w:szCs w:val="36"/>
          <w:rtl/>
        </w:rPr>
        <w:t xml:space="preserve"> </w:t>
      </w:r>
      <w:r w:rsidR="00ED5122" w:rsidRPr="00FD211F">
        <w:rPr>
          <w:sz w:val="36"/>
          <w:szCs w:val="36"/>
          <w:rtl/>
        </w:rPr>
        <w:t>على</w:t>
      </w:r>
      <w:r w:rsidR="00E8128F">
        <w:rPr>
          <w:sz w:val="36"/>
          <w:szCs w:val="36"/>
          <w:rtl/>
        </w:rPr>
        <w:t xml:space="preserve"> </w:t>
      </w:r>
      <w:r w:rsidR="00ED5122" w:rsidRPr="00FD211F">
        <w:rPr>
          <w:sz w:val="36"/>
          <w:szCs w:val="36"/>
          <w:rtl/>
        </w:rPr>
        <w:t>قصد</w:t>
      </w:r>
      <w:r w:rsidR="00E8128F">
        <w:rPr>
          <w:sz w:val="36"/>
          <w:szCs w:val="36"/>
          <w:rtl/>
        </w:rPr>
        <w:t xml:space="preserve"> </w:t>
      </w:r>
      <w:r w:rsidR="00ED5122" w:rsidRPr="00FD211F">
        <w:rPr>
          <w:sz w:val="36"/>
          <w:szCs w:val="36"/>
          <w:rtl/>
        </w:rPr>
        <w:t>الحكاي</w:t>
      </w:r>
      <w:r w:rsidR="00EC7EDF" w:rsidRPr="00FD211F">
        <w:rPr>
          <w:sz w:val="36"/>
          <w:szCs w:val="36"/>
          <w:rtl/>
        </w:rPr>
        <w:t>ة</w:t>
      </w:r>
      <w:r w:rsidR="00E8128F">
        <w:rPr>
          <w:sz w:val="36"/>
          <w:szCs w:val="36"/>
          <w:rtl/>
        </w:rPr>
        <w:t xml:space="preserve"> </w:t>
      </w:r>
      <w:r w:rsidR="00ED5122" w:rsidRPr="00FD211F">
        <w:rPr>
          <w:sz w:val="36"/>
          <w:szCs w:val="36"/>
          <w:rtl/>
        </w:rPr>
        <w:t>عن</w:t>
      </w:r>
      <w:r w:rsidR="00E8128F">
        <w:rPr>
          <w:sz w:val="36"/>
          <w:szCs w:val="36"/>
          <w:rtl/>
        </w:rPr>
        <w:t xml:space="preserve"> </w:t>
      </w:r>
      <w:r w:rsidRPr="00FD211F">
        <w:rPr>
          <w:sz w:val="36"/>
          <w:szCs w:val="36"/>
          <w:rtl/>
        </w:rPr>
        <w:t>وقوع</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التكلم</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بعده</w:t>
      </w:r>
      <w:r w:rsidR="00603323" w:rsidRPr="00FD211F">
        <w:rPr>
          <w:sz w:val="36"/>
          <w:szCs w:val="36"/>
          <w:rtl/>
        </w:rPr>
        <w:t>،</w:t>
      </w:r>
      <w:r w:rsidR="00E8128F">
        <w:rPr>
          <w:sz w:val="36"/>
          <w:szCs w:val="36"/>
          <w:rtl/>
        </w:rPr>
        <w:t xml:space="preserve"> </w:t>
      </w:r>
      <w:r w:rsidRPr="00FD211F">
        <w:rPr>
          <w:sz w:val="36"/>
          <w:szCs w:val="36"/>
          <w:rtl/>
        </w:rPr>
        <w:t>فقولنا</w:t>
      </w:r>
      <w:r w:rsidR="00E8128F">
        <w:rPr>
          <w:sz w:val="36"/>
          <w:szCs w:val="36"/>
          <w:rtl/>
        </w:rPr>
        <w:t xml:space="preserve"> </w:t>
      </w:r>
      <w:r w:rsidR="00ED5122" w:rsidRPr="00FD211F">
        <w:rPr>
          <w:sz w:val="36"/>
          <w:szCs w:val="36"/>
          <w:rtl/>
        </w:rPr>
        <w:t>"</w:t>
      </w:r>
      <w:r w:rsidRPr="00FD211F">
        <w:rPr>
          <w:sz w:val="36"/>
          <w:szCs w:val="36"/>
          <w:rtl/>
        </w:rPr>
        <w:t>مضى</w:t>
      </w:r>
      <w:r w:rsidR="00E8128F">
        <w:rPr>
          <w:sz w:val="36"/>
          <w:szCs w:val="36"/>
          <w:rtl/>
        </w:rPr>
        <w:t xml:space="preserve"> </w:t>
      </w:r>
      <w:r w:rsidRPr="00FD211F">
        <w:rPr>
          <w:sz w:val="36"/>
          <w:szCs w:val="36"/>
          <w:rtl/>
        </w:rPr>
        <w:t>الزمان</w:t>
      </w:r>
      <w:r w:rsidR="00ED5122" w:rsidRPr="00FD211F">
        <w:rPr>
          <w:sz w:val="36"/>
          <w:szCs w:val="36"/>
          <w:rtl/>
        </w:rPr>
        <w:t>"</w:t>
      </w:r>
      <w:r w:rsidR="00E8128F">
        <w:rPr>
          <w:sz w:val="36"/>
          <w:szCs w:val="36"/>
          <w:rtl/>
        </w:rPr>
        <w:t xml:space="preserve"> </w:t>
      </w:r>
      <w:r w:rsidR="00ED5122" w:rsidRPr="00FD211F">
        <w:rPr>
          <w:sz w:val="36"/>
          <w:szCs w:val="36"/>
          <w:rtl/>
        </w:rPr>
        <w:t>يدل</w:t>
      </w:r>
      <w:r w:rsidR="00E8128F">
        <w:rPr>
          <w:sz w:val="36"/>
          <w:szCs w:val="36"/>
          <w:rtl/>
        </w:rPr>
        <w:t xml:space="preserve"> </w:t>
      </w:r>
      <w:r w:rsidR="00ED5122" w:rsidRPr="00FD211F">
        <w:rPr>
          <w:sz w:val="36"/>
          <w:szCs w:val="36"/>
          <w:rtl/>
        </w:rPr>
        <w:t>على</w:t>
      </w:r>
      <w:r w:rsidR="00E8128F">
        <w:rPr>
          <w:sz w:val="36"/>
          <w:szCs w:val="36"/>
          <w:rtl/>
        </w:rPr>
        <w:t xml:space="preserve"> </w:t>
      </w:r>
      <w:r w:rsidR="00ED5122" w:rsidRPr="00FD211F">
        <w:rPr>
          <w:sz w:val="36"/>
          <w:szCs w:val="36"/>
          <w:rtl/>
        </w:rPr>
        <w:t>قصد</w:t>
      </w:r>
      <w:r w:rsidR="00E8128F">
        <w:rPr>
          <w:sz w:val="36"/>
          <w:szCs w:val="36"/>
          <w:rtl/>
        </w:rPr>
        <w:t xml:space="preserve"> </w:t>
      </w:r>
      <w:r w:rsidR="00ED5122" w:rsidRPr="00FD211F">
        <w:rPr>
          <w:sz w:val="36"/>
          <w:szCs w:val="36"/>
          <w:rtl/>
        </w:rPr>
        <w:t>الحكاي</w:t>
      </w:r>
      <w:r w:rsidR="00EC7EDF" w:rsidRPr="00FD211F">
        <w:rPr>
          <w:sz w:val="36"/>
          <w:szCs w:val="36"/>
          <w:rtl/>
        </w:rPr>
        <w:t>ة</w:t>
      </w:r>
      <w:r w:rsidR="00E8128F">
        <w:rPr>
          <w:sz w:val="36"/>
          <w:szCs w:val="36"/>
          <w:rtl/>
        </w:rPr>
        <w:t xml:space="preserve"> </w:t>
      </w:r>
      <w:r w:rsidR="00ED5122" w:rsidRPr="00FD211F">
        <w:rPr>
          <w:sz w:val="36"/>
          <w:szCs w:val="36"/>
          <w:rtl/>
        </w:rPr>
        <w:t>عن</w:t>
      </w:r>
      <w:r w:rsidR="00E8128F">
        <w:rPr>
          <w:sz w:val="36"/>
          <w:szCs w:val="36"/>
          <w:rtl/>
        </w:rPr>
        <w:t xml:space="preserve"> </w:t>
      </w:r>
      <w:r w:rsidRPr="00FD211F">
        <w:rPr>
          <w:sz w:val="36"/>
          <w:szCs w:val="36"/>
          <w:rtl/>
        </w:rPr>
        <w:t>تحقق</w:t>
      </w:r>
      <w:r w:rsidR="00E8128F">
        <w:rPr>
          <w:sz w:val="36"/>
          <w:szCs w:val="36"/>
          <w:rtl/>
        </w:rPr>
        <w:t xml:space="preserve"> </w:t>
      </w:r>
      <w:r w:rsidRPr="00FD211F">
        <w:rPr>
          <w:sz w:val="36"/>
          <w:szCs w:val="36"/>
          <w:rtl/>
        </w:rPr>
        <w:t>الزمان</w:t>
      </w:r>
      <w:r w:rsidR="00E8128F">
        <w:rPr>
          <w:sz w:val="36"/>
          <w:szCs w:val="36"/>
          <w:rtl/>
        </w:rPr>
        <w:t xml:space="preserve"> </w:t>
      </w:r>
      <w:r w:rsidRPr="00FD211F">
        <w:rPr>
          <w:sz w:val="36"/>
          <w:szCs w:val="36"/>
          <w:rtl/>
        </w:rPr>
        <w:t>قبل</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التكلم</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الزمان</w:t>
      </w:r>
      <w:r w:rsidR="00E8128F">
        <w:rPr>
          <w:sz w:val="36"/>
          <w:szCs w:val="36"/>
          <w:rtl/>
        </w:rPr>
        <w:t xml:space="preserve"> </w:t>
      </w:r>
      <w:r w:rsidRPr="00FD211F">
        <w:rPr>
          <w:sz w:val="36"/>
          <w:szCs w:val="36"/>
          <w:rtl/>
        </w:rPr>
        <w:t>لايقع</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الزمان</w:t>
      </w:r>
      <w:r w:rsidR="00603323" w:rsidRPr="00FD211F">
        <w:rPr>
          <w:sz w:val="36"/>
          <w:szCs w:val="36"/>
          <w:rtl/>
        </w:rPr>
        <w:t>،</w:t>
      </w:r>
      <w:r w:rsidR="00E8128F">
        <w:rPr>
          <w:sz w:val="36"/>
          <w:szCs w:val="36"/>
          <w:rtl/>
        </w:rPr>
        <w:t xml:space="preserve"> </w:t>
      </w:r>
      <w:r w:rsidRPr="00FD211F">
        <w:rPr>
          <w:sz w:val="36"/>
          <w:szCs w:val="36"/>
          <w:rtl/>
        </w:rPr>
        <w:t>وكذا</w:t>
      </w:r>
      <w:r w:rsidR="00E8128F">
        <w:rPr>
          <w:sz w:val="36"/>
          <w:szCs w:val="36"/>
          <w:rtl/>
        </w:rPr>
        <w:t xml:space="preserve"> </w:t>
      </w:r>
      <w:r w:rsidRPr="00FD211F">
        <w:rPr>
          <w:sz w:val="36"/>
          <w:szCs w:val="36"/>
          <w:rtl/>
        </w:rPr>
        <w:t>قولنا</w:t>
      </w:r>
      <w:r w:rsidR="00E8128F">
        <w:rPr>
          <w:sz w:val="36"/>
          <w:szCs w:val="36"/>
          <w:rtl/>
        </w:rPr>
        <w:t xml:space="preserve"> </w:t>
      </w:r>
      <w:r w:rsidR="00ED5122" w:rsidRPr="00FD211F">
        <w:rPr>
          <w:sz w:val="36"/>
          <w:szCs w:val="36"/>
          <w:rtl/>
        </w:rPr>
        <w:t>"</w:t>
      </w:r>
      <w:r w:rsidRPr="00FD211F">
        <w:rPr>
          <w:sz w:val="36"/>
          <w:szCs w:val="36"/>
          <w:rtl/>
        </w:rPr>
        <w:t>علم</w:t>
      </w:r>
      <w:r w:rsidR="00E8128F">
        <w:rPr>
          <w:sz w:val="36"/>
          <w:szCs w:val="36"/>
          <w:rtl/>
        </w:rPr>
        <w:t xml:space="preserve"> </w:t>
      </w:r>
      <w:r w:rsidRPr="00FD211F">
        <w:rPr>
          <w:sz w:val="36"/>
          <w:szCs w:val="36"/>
          <w:rtl/>
        </w:rPr>
        <w:t>الله</w:t>
      </w:r>
      <w:r w:rsidR="00ED5122" w:rsidRPr="00FD211F">
        <w:rPr>
          <w:sz w:val="36"/>
          <w:szCs w:val="36"/>
          <w:rtl/>
        </w:rPr>
        <w:t>"</w:t>
      </w:r>
      <w:r w:rsidR="00E8128F">
        <w:rPr>
          <w:sz w:val="36"/>
          <w:szCs w:val="36"/>
          <w:rtl/>
        </w:rPr>
        <w:t xml:space="preserve"> </w:t>
      </w:r>
      <w:r w:rsidRPr="00FD211F">
        <w:rPr>
          <w:sz w:val="36"/>
          <w:szCs w:val="36"/>
          <w:rtl/>
        </w:rPr>
        <w:t>و</w:t>
      </w:r>
      <w:r w:rsidR="00ED5122" w:rsidRPr="00FD211F">
        <w:rPr>
          <w:sz w:val="36"/>
          <w:szCs w:val="36"/>
          <w:rtl/>
        </w:rPr>
        <w:t>"</w:t>
      </w:r>
      <w:r w:rsidRPr="00FD211F">
        <w:rPr>
          <w:sz w:val="36"/>
          <w:szCs w:val="36"/>
          <w:rtl/>
        </w:rPr>
        <w:t>كان</w:t>
      </w:r>
      <w:r w:rsidR="00E8128F">
        <w:rPr>
          <w:sz w:val="36"/>
          <w:szCs w:val="36"/>
          <w:rtl/>
        </w:rPr>
        <w:t xml:space="preserve"> </w:t>
      </w:r>
      <w:r w:rsidRPr="00FD211F">
        <w:rPr>
          <w:sz w:val="36"/>
          <w:szCs w:val="36"/>
          <w:rtl/>
        </w:rPr>
        <w:t>الله</w:t>
      </w:r>
      <w:r w:rsidR="00ED5122" w:rsidRPr="00FD211F">
        <w:rPr>
          <w:sz w:val="36"/>
          <w:szCs w:val="36"/>
          <w:rtl/>
        </w:rPr>
        <w:t>"</w:t>
      </w:r>
      <w:r w:rsidR="009C58C8" w:rsidRPr="00FD211F">
        <w:rPr>
          <w:rStyle w:val="a6"/>
          <w:sz w:val="36"/>
          <w:szCs w:val="36"/>
          <w:rtl/>
        </w:rPr>
        <w:t>(</w:t>
      </w:r>
      <w:r w:rsidR="009C58C8" w:rsidRPr="00FD211F">
        <w:rPr>
          <w:rStyle w:val="a6"/>
          <w:sz w:val="36"/>
          <w:szCs w:val="36"/>
          <w:rtl/>
        </w:rPr>
        <w:footnoteReference w:id="540"/>
      </w:r>
      <w:r w:rsidR="009C58C8" w:rsidRPr="00FD211F">
        <w:rPr>
          <w:rStyle w:val="a6"/>
          <w:sz w:val="36"/>
          <w:szCs w:val="36"/>
          <w:rtl/>
        </w:rPr>
        <w:t>)</w:t>
      </w:r>
      <w:r w:rsidR="00ED5122" w:rsidRPr="00FD211F">
        <w:rPr>
          <w:sz w:val="36"/>
          <w:szCs w:val="36"/>
          <w:rtl/>
        </w:rPr>
        <w:t>.</w:t>
      </w:r>
    </w:p>
    <w:p w14:paraId="1B846F37" w14:textId="77777777" w:rsidR="00ED5122" w:rsidRPr="00FD211F" w:rsidRDefault="00423529" w:rsidP="009C58C8">
      <w:pPr>
        <w:ind w:left="0" w:firstLine="227"/>
        <w:jc w:val="both"/>
        <w:rPr>
          <w:sz w:val="36"/>
          <w:szCs w:val="36"/>
          <w:rtl/>
        </w:rPr>
      </w:pPr>
      <w:r w:rsidRPr="00FD211F">
        <w:rPr>
          <w:sz w:val="36"/>
          <w:szCs w:val="36"/>
          <w:rtl/>
        </w:rPr>
        <w:t>فيلاحظ</w:t>
      </w:r>
      <w:r w:rsidR="00E8128F">
        <w:rPr>
          <w:sz w:val="36"/>
          <w:szCs w:val="36"/>
          <w:rtl/>
        </w:rPr>
        <w:t xml:space="preserve"> </w:t>
      </w:r>
      <w:r w:rsidRPr="00FD211F">
        <w:rPr>
          <w:sz w:val="36"/>
          <w:szCs w:val="36"/>
          <w:rtl/>
        </w:rPr>
        <w:t>عليه</w:t>
      </w:r>
      <w:r w:rsidR="00E8128F">
        <w:rPr>
          <w:sz w:val="36"/>
          <w:szCs w:val="36"/>
          <w:rtl/>
        </w:rPr>
        <w:t xml:space="preserve"> </w:t>
      </w:r>
      <w:r w:rsidRPr="00FD211F">
        <w:rPr>
          <w:b/>
          <w:bCs/>
          <w:sz w:val="36"/>
          <w:szCs w:val="36"/>
          <w:rtl/>
        </w:rPr>
        <w:t>اولا</w:t>
      </w:r>
      <w:r w:rsidR="00242A59" w:rsidRPr="00FD211F">
        <w:rPr>
          <w:b/>
          <w:bCs/>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التعبير</w:t>
      </w:r>
      <w:r w:rsidR="00E8128F">
        <w:rPr>
          <w:sz w:val="36"/>
          <w:szCs w:val="36"/>
          <w:rtl/>
        </w:rPr>
        <w:t xml:space="preserve"> </w:t>
      </w:r>
      <w:r w:rsidRPr="00FD211F">
        <w:rPr>
          <w:sz w:val="36"/>
          <w:szCs w:val="36"/>
          <w:rtl/>
        </w:rPr>
        <w:t>بزمان</w:t>
      </w:r>
      <w:r w:rsidR="00E8128F">
        <w:rPr>
          <w:sz w:val="36"/>
          <w:szCs w:val="36"/>
          <w:rtl/>
        </w:rPr>
        <w:t xml:space="preserve"> </w:t>
      </w:r>
      <w:r w:rsidRPr="00FD211F">
        <w:rPr>
          <w:sz w:val="36"/>
          <w:szCs w:val="36"/>
          <w:rtl/>
        </w:rPr>
        <w:t>التكلم</w:t>
      </w:r>
      <w:r w:rsidR="00E8128F">
        <w:rPr>
          <w:sz w:val="36"/>
          <w:szCs w:val="36"/>
          <w:rtl/>
        </w:rPr>
        <w:t xml:space="preserve"> </w:t>
      </w:r>
      <w:r w:rsidRPr="00FD211F">
        <w:rPr>
          <w:sz w:val="36"/>
          <w:szCs w:val="36"/>
          <w:rtl/>
        </w:rPr>
        <w:t>لايخلو</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مسامح</w:t>
      </w:r>
      <w:r w:rsidR="00EC7EDF" w:rsidRPr="00FD211F">
        <w:rPr>
          <w:sz w:val="36"/>
          <w:szCs w:val="36"/>
          <w:rtl/>
        </w:rPr>
        <w:t>ة</w:t>
      </w:r>
      <w:r w:rsidR="00603323" w:rsidRPr="00FD211F">
        <w:rPr>
          <w:sz w:val="36"/>
          <w:szCs w:val="36"/>
          <w:rtl/>
        </w:rPr>
        <w:t>،</w:t>
      </w:r>
      <w:r w:rsidR="00E8128F">
        <w:rPr>
          <w:sz w:val="36"/>
          <w:szCs w:val="36"/>
          <w:rtl/>
        </w:rPr>
        <w:t xml:space="preserve"> </w:t>
      </w:r>
      <w:r w:rsidR="00B734FC" w:rsidRPr="00FD211F">
        <w:rPr>
          <w:sz w:val="36"/>
          <w:szCs w:val="36"/>
          <w:rtl/>
        </w:rPr>
        <w:t>بل</w:t>
      </w:r>
      <w:r w:rsidR="00E8128F">
        <w:rPr>
          <w:sz w:val="36"/>
          <w:szCs w:val="36"/>
          <w:rtl/>
        </w:rPr>
        <w:t xml:space="preserve"> </w:t>
      </w:r>
      <w:r w:rsidR="00B734FC" w:rsidRPr="00FD211F">
        <w:rPr>
          <w:sz w:val="36"/>
          <w:szCs w:val="36"/>
          <w:rtl/>
        </w:rPr>
        <w:t>المدار</w:t>
      </w:r>
      <w:r w:rsidR="00E8128F">
        <w:rPr>
          <w:sz w:val="36"/>
          <w:szCs w:val="36"/>
          <w:rtl/>
        </w:rPr>
        <w:t xml:space="preserve"> </w:t>
      </w:r>
      <w:r w:rsidR="00B734FC" w:rsidRPr="00FD211F">
        <w:rPr>
          <w:sz w:val="36"/>
          <w:szCs w:val="36"/>
          <w:rtl/>
        </w:rPr>
        <w:t>على</w:t>
      </w:r>
      <w:r w:rsidR="00E8128F">
        <w:rPr>
          <w:sz w:val="36"/>
          <w:szCs w:val="36"/>
          <w:rtl/>
        </w:rPr>
        <w:t xml:space="preserve"> </w:t>
      </w:r>
      <w:r w:rsidR="00B734FC" w:rsidRPr="00FD211F">
        <w:rPr>
          <w:sz w:val="36"/>
          <w:szCs w:val="36"/>
          <w:rtl/>
        </w:rPr>
        <w:t>زمان</w:t>
      </w:r>
      <w:r w:rsidR="00E8128F">
        <w:rPr>
          <w:sz w:val="36"/>
          <w:szCs w:val="36"/>
          <w:rtl/>
        </w:rPr>
        <w:t xml:space="preserve"> </w:t>
      </w:r>
      <w:r w:rsidR="00B734FC" w:rsidRPr="00FD211F">
        <w:rPr>
          <w:sz w:val="36"/>
          <w:szCs w:val="36"/>
          <w:rtl/>
        </w:rPr>
        <w:t>الإسناد</w:t>
      </w:r>
      <w:r w:rsidR="00E8128F">
        <w:rPr>
          <w:sz w:val="36"/>
          <w:szCs w:val="36"/>
          <w:rtl/>
        </w:rPr>
        <w:t xml:space="preserve"> </w:t>
      </w:r>
      <w:r w:rsidR="00B734FC" w:rsidRPr="00FD211F">
        <w:rPr>
          <w:sz w:val="36"/>
          <w:szCs w:val="36"/>
          <w:rtl/>
        </w:rPr>
        <w:t>ولذا</w:t>
      </w:r>
      <w:r w:rsidR="00E8128F">
        <w:rPr>
          <w:sz w:val="36"/>
          <w:szCs w:val="36"/>
          <w:rtl/>
        </w:rPr>
        <w:t xml:space="preserve"> </w:t>
      </w:r>
      <w:r w:rsidR="00B734FC" w:rsidRPr="00FD211F">
        <w:rPr>
          <w:sz w:val="36"/>
          <w:szCs w:val="36"/>
          <w:rtl/>
        </w:rPr>
        <w:t>يقال</w:t>
      </w:r>
      <w:r w:rsidR="00E8128F">
        <w:rPr>
          <w:sz w:val="36"/>
          <w:szCs w:val="36"/>
          <w:rtl/>
        </w:rPr>
        <w:t xml:space="preserve"> </w:t>
      </w:r>
      <w:r w:rsidR="00B734FC" w:rsidRPr="00FD211F">
        <w:rPr>
          <w:sz w:val="36"/>
          <w:szCs w:val="36"/>
          <w:rtl/>
        </w:rPr>
        <w:t>يجيئ</w:t>
      </w:r>
      <w:r w:rsidR="00E8128F">
        <w:rPr>
          <w:sz w:val="36"/>
          <w:szCs w:val="36"/>
          <w:rtl/>
        </w:rPr>
        <w:t xml:space="preserve"> </w:t>
      </w:r>
      <w:r w:rsidR="00B734FC" w:rsidRPr="00FD211F">
        <w:rPr>
          <w:sz w:val="36"/>
          <w:szCs w:val="36"/>
          <w:rtl/>
        </w:rPr>
        <w:t>زيد</w:t>
      </w:r>
      <w:r w:rsidR="00E8128F">
        <w:rPr>
          <w:sz w:val="36"/>
          <w:szCs w:val="36"/>
          <w:rtl/>
        </w:rPr>
        <w:t xml:space="preserve"> </w:t>
      </w:r>
      <w:r w:rsidR="00B734FC" w:rsidRPr="00FD211F">
        <w:rPr>
          <w:sz w:val="36"/>
          <w:szCs w:val="36"/>
          <w:rtl/>
        </w:rPr>
        <w:t>بعد</w:t>
      </w:r>
      <w:r w:rsidR="00E8128F">
        <w:rPr>
          <w:sz w:val="36"/>
          <w:szCs w:val="36"/>
          <w:rtl/>
        </w:rPr>
        <w:t xml:space="preserve"> </w:t>
      </w:r>
      <w:r w:rsidR="00B734FC" w:rsidRPr="00FD211F">
        <w:rPr>
          <w:sz w:val="36"/>
          <w:szCs w:val="36"/>
          <w:rtl/>
        </w:rPr>
        <w:t>شهر</w:t>
      </w:r>
      <w:r w:rsidR="00E8128F">
        <w:rPr>
          <w:sz w:val="36"/>
          <w:szCs w:val="36"/>
          <w:rtl/>
        </w:rPr>
        <w:t xml:space="preserve"> </w:t>
      </w:r>
      <w:r w:rsidR="00B734FC" w:rsidRPr="00FD211F">
        <w:rPr>
          <w:sz w:val="36"/>
          <w:szCs w:val="36"/>
          <w:rtl/>
        </w:rPr>
        <w:t>وقد</w:t>
      </w:r>
      <w:r w:rsidR="00E8128F">
        <w:rPr>
          <w:sz w:val="36"/>
          <w:szCs w:val="36"/>
          <w:rtl/>
        </w:rPr>
        <w:t xml:space="preserve"> </w:t>
      </w:r>
      <w:r w:rsidR="00B734FC" w:rsidRPr="00FD211F">
        <w:rPr>
          <w:sz w:val="36"/>
          <w:szCs w:val="36"/>
          <w:rtl/>
        </w:rPr>
        <w:t>ضرب</w:t>
      </w:r>
      <w:r w:rsidR="00E8128F">
        <w:rPr>
          <w:sz w:val="36"/>
          <w:szCs w:val="36"/>
          <w:rtl/>
        </w:rPr>
        <w:t xml:space="preserve"> </w:t>
      </w:r>
      <w:r w:rsidR="00B734FC" w:rsidRPr="00FD211F">
        <w:rPr>
          <w:sz w:val="36"/>
          <w:szCs w:val="36"/>
          <w:rtl/>
        </w:rPr>
        <w:t>عمروا</w:t>
      </w:r>
      <w:r w:rsidR="00E8128F">
        <w:rPr>
          <w:sz w:val="36"/>
          <w:szCs w:val="36"/>
          <w:rtl/>
        </w:rPr>
        <w:t xml:space="preserve"> </w:t>
      </w:r>
      <w:r w:rsidR="00B734FC" w:rsidRPr="00FD211F">
        <w:rPr>
          <w:sz w:val="36"/>
          <w:szCs w:val="36"/>
          <w:rtl/>
        </w:rPr>
        <w:t>قبله</w:t>
      </w:r>
      <w:r w:rsidR="00E8128F">
        <w:rPr>
          <w:sz w:val="36"/>
          <w:szCs w:val="36"/>
          <w:rtl/>
        </w:rPr>
        <w:t xml:space="preserve"> </w:t>
      </w:r>
      <w:r w:rsidR="00B734FC" w:rsidRPr="00FD211F">
        <w:rPr>
          <w:sz w:val="36"/>
          <w:szCs w:val="36"/>
          <w:rtl/>
        </w:rPr>
        <w:t>بيوم</w:t>
      </w:r>
      <w:r w:rsidR="00EC7EDF" w:rsidRPr="00FD211F">
        <w:rPr>
          <w:sz w:val="36"/>
          <w:szCs w:val="36"/>
          <w:rtl/>
        </w:rPr>
        <w:t>.</w:t>
      </w:r>
    </w:p>
    <w:p w14:paraId="42AB608E" w14:textId="77777777" w:rsidR="00423529" w:rsidRPr="00FD211F" w:rsidRDefault="00B734FC" w:rsidP="009C58C8">
      <w:pPr>
        <w:ind w:left="0" w:firstLine="227"/>
        <w:jc w:val="both"/>
        <w:rPr>
          <w:sz w:val="36"/>
          <w:szCs w:val="36"/>
          <w:rtl/>
        </w:rPr>
      </w:pPr>
      <w:r w:rsidRPr="00FD211F">
        <w:rPr>
          <w:b/>
          <w:bCs/>
          <w:sz w:val="36"/>
          <w:szCs w:val="36"/>
          <w:rtl/>
        </w:rPr>
        <w:t>وثانيا</w:t>
      </w:r>
      <w:r w:rsidRPr="00FD211F">
        <w:rPr>
          <w:sz w:val="36"/>
          <w:szCs w:val="36"/>
          <w:rtl/>
        </w:rPr>
        <w:t>:</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لايوجد</w:t>
      </w:r>
      <w:r w:rsidR="00E8128F">
        <w:rPr>
          <w:sz w:val="36"/>
          <w:szCs w:val="36"/>
          <w:rtl/>
        </w:rPr>
        <w:t xml:space="preserve"> </w:t>
      </w:r>
      <w:r w:rsidRPr="00FD211F">
        <w:rPr>
          <w:sz w:val="36"/>
          <w:szCs w:val="36"/>
          <w:rtl/>
        </w:rPr>
        <w:t>فرق</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الدلال</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وقوع</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قبل</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التكلم</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الاسناد</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الدلال</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وقوعه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سابق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التكلم</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الاسناد.</w:t>
      </w:r>
    </w:p>
    <w:p w14:paraId="43A3FDAE" w14:textId="77777777" w:rsidR="002D430C" w:rsidRDefault="00ED5122"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ما</w:t>
      </w:r>
      <w:r w:rsidR="00E8128F">
        <w:rPr>
          <w:sz w:val="36"/>
          <w:szCs w:val="36"/>
          <w:rtl/>
        </w:rPr>
        <w:t xml:space="preserve"> </w:t>
      </w:r>
      <w:r w:rsidR="00072D5C" w:rsidRPr="00FD211F">
        <w:rPr>
          <w:sz w:val="36"/>
          <w:szCs w:val="36"/>
          <w:rtl/>
        </w:rPr>
        <w:t>استشهد</w:t>
      </w:r>
      <w:r w:rsidR="00E8128F">
        <w:rPr>
          <w:sz w:val="36"/>
          <w:szCs w:val="36"/>
          <w:rtl/>
        </w:rPr>
        <w:t xml:space="preserve"> </w:t>
      </w:r>
      <w:r w:rsidR="00072D5C" w:rsidRPr="00FD211F">
        <w:rPr>
          <w:sz w:val="36"/>
          <w:szCs w:val="36"/>
          <w:rtl/>
        </w:rPr>
        <w:t>به</w:t>
      </w:r>
      <w:r w:rsidR="00E8128F">
        <w:rPr>
          <w:sz w:val="36"/>
          <w:szCs w:val="36"/>
          <w:rtl/>
        </w:rPr>
        <w:t xml:space="preserve"> </w:t>
      </w:r>
      <w:r w:rsidR="00072D5C" w:rsidRPr="00FD211F">
        <w:rPr>
          <w:sz w:val="36"/>
          <w:szCs w:val="36"/>
          <w:rtl/>
        </w:rPr>
        <w:t>صاحب</w:t>
      </w:r>
      <w:r w:rsidR="00E8128F">
        <w:rPr>
          <w:sz w:val="36"/>
          <w:szCs w:val="36"/>
          <w:rtl/>
        </w:rPr>
        <w:t xml:space="preserve"> </w:t>
      </w:r>
      <w:r w:rsidR="00072D5C" w:rsidRPr="00FD211F">
        <w:rPr>
          <w:sz w:val="36"/>
          <w:szCs w:val="36"/>
          <w:rtl/>
        </w:rPr>
        <w:t>الكفاي</w:t>
      </w:r>
      <w:r w:rsidR="00EC7EDF" w:rsidRPr="00FD211F">
        <w:rPr>
          <w:sz w:val="36"/>
          <w:szCs w:val="36"/>
          <w:rtl/>
        </w:rPr>
        <w:t>ة</w:t>
      </w:r>
      <w:r w:rsidR="00E8128F">
        <w:rPr>
          <w:sz w:val="36"/>
          <w:szCs w:val="36"/>
          <w:rtl/>
        </w:rPr>
        <w:t xml:space="preserve"> </w:t>
      </w:r>
      <w:r w:rsidRPr="00FD211F">
        <w:rPr>
          <w:sz w:val="36"/>
          <w:szCs w:val="36"/>
          <w:rtl/>
        </w:rPr>
        <w:t>"</w:t>
      </w:r>
      <w:r w:rsidR="00072D5C" w:rsidRPr="00FD211F">
        <w:rPr>
          <w:sz w:val="36"/>
          <w:szCs w:val="36"/>
          <w:rtl/>
        </w:rPr>
        <w:t>قده</w:t>
      </w:r>
      <w:r w:rsidRPr="00FD211F">
        <w:rPr>
          <w:sz w:val="36"/>
          <w:szCs w:val="36"/>
          <w:rtl/>
        </w:rPr>
        <w:t>"</w:t>
      </w:r>
      <w:r w:rsidR="00E8128F">
        <w:rPr>
          <w:sz w:val="36"/>
          <w:szCs w:val="36"/>
          <w:rtl/>
        </w:rPr>
        <w:t xml:space="preserve"> </w:t>
      </w:r>
      <w:r w:rsidR="000670F2" w:rsidRPr="00FD211F">
        <w:rPr>
          <w:sz w:val="36"/>
          <w:szCs w:val="36"/>
          <w:rtl/>
        </w:rPr>
        <w:t>على</w:t>
      </w:r>
      <w:r w:rsidR="00E8128F">
        <w:rPr>
          <w:sz w:val="36"/>
          <w:szCs w:val="36"/>
          <w:rtl/>
        </w:rPr>
        <w:t xml:space="preserve"> </w:t>
      </w:r>
      <w:r w:rsidR="000670F2" w:rsidRPr="00FD211F">
        <w:rPr>
          <w:sz w:val="36"/>
          <w:szCs w:val="36"/>
          <w:rtl/>
        </w:rPr>
        <w:t>عدم</w:t>
      </w:r>
      <w:r w:rsidR="00E8128F">
        <w:rPr>
          <w:sz w:val="36"/>
          <w:szCs w:val="36"/>
          <w:rtl/>
        </w:rPr>
        <w:t xml:space="preserve"> </w:t>
      </w:r>
      <w:r w:rsidR="000670F2" w:rsidRPr="00FD211F">
        <w:rPr>
          <w:sz w:val="36"/>
          <w:szCs w:val="36"/>
          <w:rtl/>
        </w:rPr>
        <w:t>اخذ</w:t>
      </w:r>
      <w:r w:rsidR="00E8128F">
        <w:rPr>
          <w:sz w:val="36"/>
          <w:szCs w:val="36"/>
          <w:rtl/>
        </w:rPr>
        <w:t xml:space="preserve"> </w:t>
      </w:r>
      <w:r w:rsidR="000670F2" w:rsidRPr="00FD211F">
        <w:rPr>
          <w:sz w:val="36"/>
          <w:szCs w:val="36"/>
          <w:rtl/>
        </w:rPr>
        <w:t>الزمان</w:t>
      </w:r>
      <w:r w:rsidR="00E8128F">
        <w:rPr>
          <w:sz w:val="36"/>
          <w:szCs w:val="36"/>
          <w:rtl/>
        </w:rPr>
        <w:t xml:space="preserve"> </w:t>
      </w:r>
      <w:r w:rsidR="000670F2" w:rsidRPr="00FD211F">
        <w:rPr>
          <w:sz w:val="36"/>
          <w:szCs w:val="36"/>
          <w:rtl/>
        </w:rPr>
        <w:t>في</w:t>
      </w:r>
      <w:r w:rsidR="00E8128F">
        <w:rPr>
          <w:sz w:val="36"/>
          <w:szCs w:val="36"/>
          <w:rtl/>
        </w:rPr>
        <w:t xml:space="preserve"> </w:t>
      </w:r>
      <w:r w:rsidR="000670F2" w:rsidRPr="00FD211F">
        <w:rPr>
          <w:sz w:val="36"/>
          <w:szCs w:val="36"/>
          <w:rtl/>
        </w:rPr>
        <w:t>مدلول</w:t>
      </w:r>
      <w:r w:rsidR="00E8128F">
        <w:rPr>
          <w:sz w:val="36"/>
          <w:szCs w:val="36"/>
          <w:rtl/>
        </w:rPr>
        <w:t xml:space="preserve"> </w:t>
      </w:r>
      <w:r w:rsidR="000670F2" w:rsidRPr="00FD211F">
        <w:rPr>
          <w:sz w:val="36"/>
          <w:szCs w:val="36"/>
          <w:rtl/>
        </w:rPr>
        <w:t>الفعل</w:t>
      </w:r>
      <w:r w:rsidR="00E8128F">
        <w:rPr>
          <w:sz w:val="36"/>
          <w:szCs w:val="36"/>
          <w:rtl/>
        </w:rPr>
        <w:t xml:space="preserve"> </w:t>
      </w:r>
      <w:r w:rsidR="000670F2" w:rsidRPr="00FD211F">
        <w:rPr>
          <w:sz w:val="36"/>
          <w:szCs w:val="36"/>
          <w:rtl/>
        </w:rPr>
        <w:t>ب</w:t>
      </w:r>
      <w:r w:rsidR="00072D5C" w:rsidRPr="00FD211F">
        <w:rPr>
          <w:sz w:val="36"/>
          <w:szCs w:val="36"/>
          <w:rtl/>
        </w:rPr>
        <w:t>الفعل</w:t>
      </w:r>
      <w:r w:rsidR="00E8128F">
        <w:rPr>
          <w:sz w:val="36"/>
          <w:szCs w:val="36"/>
          <w:rtl/>
        </w:rPr>
        <w:t xml:space="preserve"> </w:t>
      </w:r>
      <w:r w:rsidR="00072D5C" w:rsidRPr="00FD211F">
        <w:rPr>
          <w:sz w:val="36"/>
          <w:szCs w:val="36"/>
          <w:rtl/>
        </w:rPr>
        <w:t>المضارع</w:t>
      </w:r>
      <w:r w:rsidR="00E8128F">
        <w:rPr>
          <w:sz w:val="36"/>
          <w:szCs w:val="36"/>
          <w:rtl/>
        </w:rPr>
        <w:t xml:space="preserve"> </w:t>
      </w:r>
      <w:r w:rsidR="000670F2" w:rsidRPr="00FD211F">
        <w:rPr>
          <w:sz w:val="36"/>
          <w:szCs w:val="36"/>
          <w:rtl/>
        </w:rPr>
        <w:t>بتقريب</w:t>
      </w:r>
      <w:r w:rsidR="00E8128F">
        <w:rPr>
          <w:sz w:val="36"/>
          <w:szCs w:val="36"/>
          <w:rtl/>
        </w:rPr>
        <w:t xml:space="preserve"> </w:t>
      </w:r>
      <w:r w:rsidR="000670F2" w:rsidRPr="00FD211F">
        <w:rPr>
          <w:sz w:val="36"/>
          <w:szCs w:val="36"/>
          <w:rtl/>
        </w:rPr>
        <w:t>سبق</w:t>
      </w:r>
      <w:r w:rsidR="00E8128F">
        <w:rPr>
          <w:sz w:val="36"/>
          <w:szCs w:val="36"/>
          <w:rtl/>
        </w:rPr>
        <w:t xml:space="preserve"> </w:t>
      </w:r>
      <w:r w:rsidR="000670F2" w:rsidRPr="00FD211F">
        <w:rPr>
          <w:sz w:val="36"/>
          <w:szCs w:val="36"/>
          <w:rtl/>
        </w:rPr>
        <w:t>في</w:t>
      </w:r>
      <w:r w:rsidR="00E8128F">
        <w:rPr>
          <w:sz w:val="36"/>
          <w:szCs w:val="36"/>
          <w:rtl/>
        </w:rPr>
        <w:t xml:space="preserve"> </w:t>
      </w:r>
      <w:r w:rsidR="000670F2" w:rsidRPr="00FD211F">
        <w:rPr>
          <w:sz w:val="36"/>
          <w:szCs w:val="36"/>
          <w:rtl/>
        </w:rPr>
        <w:t>كلامه</w:t>
      </w:r>
      <w:r w:rsidR="00603323" w:rsidRPr="00FD211F">
        <w:rPr>
          <w:sz w:val="36"/>
          <w:szCs w:val="36"/>
          <w:rtl/>
        </w:rPr>
        <w:t>،</w:t>
      </w:r>
      <w:r w:rsidR="00E8128F">
        <w:rPr>
          <w:sz w:val="36"/>
          <w:szCs w:val="36"/>
          <w:rtl/>
        </w:rPr>
        <w:t xml:space="preserve"> </w:t>
      </w:r>
      <w:r w:rsidR="008627FD" w:rsidRPr="00FD211F">
        <w:rPr>
          <w:sz w:val="36"/>
          <w:szCs w:val="36"/>
          <w:rtl/>
        </w:rPr>
        <w:t>فهو</w:t>
      </w:r>
      <w:r w:rsidR="00E8128F">
        <w:rPr>
          <w:sz w:val="36"/>
          <w:szCs w:val="36"/>
          <w:rtl/>
        </w:rPr>
        <w:t xml:space="preserve"> </w:t>
      </w:r>
      <w:r w:rsidR="008627FD" w:rsidRPr="00FD211F">
        <w:rPr>
          <w:sz w:val="36"/>
          <w:szCs w:val="36"/>
          <w:rtl/>
        </w:rPr>
        <w:t>اشكال</w:t>
      </w:r>
      <w:r w:rsidR="00E8128F">
        <w:rPr>
          <w:sz w:val="36"/>
          <w:szCs w:val="36"/>
          <w:rtl/>
        </w:rPr>
        <w:t xml:space="preserve"> </w:t>
      </w:r>
      <w:r w:rsidR="008627FD" w:rsidRPr="00FD211F">
        <w:rPr>
          <w:sz w:val="36"/>
          <w:szCs w:val="36"/>
          <w:rtl/>
        </w:rPr>
        <w:t>لابد</w:t>
      </w:r>
      <w:r w:rsidR="00E8128F">
        <w:rPr>
          <w:sz w:val="36"/>
          <w:szCs w:val="36"/>
          <w:rtl/>
        </w:rPr>
        <w:t xml:space="preserve"> </w:t>
      </w:r>
      <w:r w:rsidR="008627FD" w:rsidRPr="00FD211F">
        <w:rPr>
          <w:sz w:val="36"/>
          <w:szCs w:val="36"/>
          <w:rtl/>
        </w:rPr>
        <w:t>من</w:t>
      </w:r>
      <w:r w:rsidR="00E8128F">
        <w:rPr>
          <w:sz w:val="36"/>
          <w:szCs w:val="36"/>
          <w:rtl/>
        </w:rPr>
        <w:t xml:space="preserve"> </w:t>
      </w:r>
      <w:r w:rsidR="008627FD" w:rsidRPr="00FD211F">
        <w:rPr>
          <w:sz w:val="36"/>
          <w:szCs w:val="36"/>
          <w:rtl/>
        </w:rPr>
        <w:t>دفعه</w:t>
      </w:r>
      <w:r w:rsidR="00E8128F">
        <w:rPr>
          <w:sz w:val="36"/>
          <w:szCs w:val="36"/>
          <w:rtl/>
        </w:rPr>
        <w:t xml:space="preserve"> </w:t>
      </w:r>
      <w:r w:rsidR="008627FD" w:rsidRPr="00FD211F">
        <w:rPr>
          <w:sz w:val="36"/>
          <w:szCs w:val="36"/>
          <w:rtl/>
        </w:rPr>
        <w:t>على</w:t>
      </w:r>
      <w:r w:rsidR="00E8128F">
        <w:rPr>
          <w:sz w:val="36"/>
          <w:szCs w:val="36"/>
          <w:rtl/>
        </w:rPr>
        <w:t xml:space="preserve"> </w:t>
      </w:r>
      <w:r w:rsidR="008627FD" w:rsidRPr="00FD211F">
        <w:rPr>
          <w:sz w:val="36"/>
          <w:szCs w:val="36"/>
          <w:rtl/>
        </w:rPr>
        <w:t>جميع</w:t>
      </w:r>
      <w:r w:rsidR="00E8128F">
        <w:rPr>
          <w:sz w:val="36"/>
          <w:szCs w:val="36"/>
          <w:rtl/>
        </w:rPr>
        <w:t xml:space="preserve"> </w:t>
      </w:r>
      <w:r w:rsidR="008627FD" w:rsidRPr="00FD211F">
        <w:rPr>
          <w:sz w:val="36"/>
          <w:szCs w:val="36"/>
          <w:rtl/>
        </w:rPr>
        <w:t>المباني</w:t>
      </w:r>
      <w:r w:rsidR="00E8128F">
        <w:rPr>
          <w:sz w:val="36"/>
          <w:szCs w:val="36"/>
          <w:rtl/>
        </w:rPr>
        <w:t xml:space="preserve"> </w:t>
      </w:r>
      <w:r w:rsidR="00F93528" w:rsidRPr="00FD211F">
        <w:rPr>
          <w:sz w:val="36"/>
          <w:szCs w:val="36"/>
          <w:rtl/>
        </w:rPr>
        <w:t>ف</w:t>
      </w:r>
      <w:r w:rsidR="00072D5C" w:rsidRPr="00FD211F">
        <w:rPr>
          <w:sz w:val="36"/>
          <w:szCs w:val="36"/>
          <w:rtl/>
        </w:rPr>
        <w:t>انه</w:t>
      </w:r>
      <w:r w:rsidR="00E8128F">
        <w:rPr>
          <w:sz w:val="36"/>
          <w:szCs w:val="36"/>
          <w:rtl/>
        </w:rPr>
        <w:t xml:space="preserve"> </w:t>
      </w:r>
      <w:r w:rsidR="00072D5C" w:rsidRPr="00FD211F">
        <w:rPr>
          <w:sz w:val="36"/>
          <w:szCs w:val="36"/>
          <w:rtl/>
        </w:rPr>
        <w:t>لو</w:t>
      </w:r>
      <w:r w:rsidR="00E8128F">
        <w:rPr>
          <w:sz w:val="36"/>
          <w:szCs w:val="36"/>
          <w:rtl/>
        </w:rPr>
        <w:t xml:space="preserve"> </w:t>
      </w:r>
      <w:r w:rsidR="00072D5C" w:rsidRPr="00FD211F">
        <w:rPr>
          <w:sz w:val="36"/>
          <w:szCs w:val="36"/>
          <w:rtl/>
        </w:rPr>
        <w:t>فرض</w:t>
      </w:r>
      <w:r w:rsidR="00E8128F">
        <w:rPr>
          <w:sz w:val="36"/>
          <w:szCs w:val="36"/>
          <w:rtl/>
        </w:rPr>
        <w:t xml:space="preserve"> </w:t>
      </w:r>
      <w:r w:rsidR="00F93528" w:rsidRPr="00FD211F">
        <w:rPr>
          <w:sz w:val="36"/>
          <w:szCs w:val="36"/>
          <w:rtl/>
        </w:rPr>
        <w:t>كون</w:t>
      </w:r>
      <w:r w:rsidR="00E8128F">
        <w:rPr>
          <w:sz w:val="36"/>
          <w:szCs w:val="36"/>
          <w:rtl/>
        </w:rPr>
        <w:t xml:space="preserve"> </w:t>
      </w:r>
      <w:r w:rsidR="00F93528" w:rsidRPr="00FD211F">
        <w:rPr>
          <w:sz w:val="36"/>
          <w:szCs w:val="36"/>
          <w:rtl/>
        </w:rPr>
        <w:t>المضارع</w:t>
      </w:r>
      <w:r w:rsidR="00E8128F">
        <w:rPr>
          <w:sz w:val="36"/>
          <w:szCs w:val="36"/>
          <w:rtl/>
        </w:rPr>
        <w:t xml:space="preserve"> </w:t>
      </w:r>
      <w:r w:rsidR="00F93528" w:rsidRPr="00FD211F">
        <w:rPr>
          <w:sz w:val="36"/>
          <w:szCs w:val="36"/>
          <w:rtl/>
        </w:rPr>
        <w:t>مشتركا</w:t>
      </w:r>
      <w:r w:rsidR="00E8128F">
        <w:rPr>
          <w:sz w:val="36"/>
          <w:szCs w:val="36"/>
          <w:rtl/>
        </w:rPr>
        <w:t xml:space="preserve"> </w:t>
      </w:r>
      <w:r w:rsidR="00F93528" w:rsidRPr="00FD211F">
        <w:rPr>
          <w:sz w:val="36"/>
          <w:szCs w:val="36"/>
          <w:rtl/>
        </w:rPr>
        <w:t>معنويا</w:t>
      </w:r>
      <w:r w:rsidR="00E8128F">
        <w:rPr>
          <w:sz w:val="36"/>
          <w:szCs w:val="36"/>
          <w:rtl/>
        </w:rPr>
        <w:t xml:space="preserve"> </w:t>
      </w:r>
      <w:r w:rsidR="00072D5C" w:rsidRPr="00FD211F">
        <w:rPr>
          <w:sz w:val="36"/>
          <w:szCs w:val="36"/>
          <w:rtl/>
        </w:rPr>
        <w:t>بين</w:t>
      </w:r>
      <w:r w:rsidR="00E8128F">
        <w:rPr>
          <w:sz w:val="36"/>
          <w:szCs w:val="36"/>
          <w:rtl/>
        </w:rPr>
        <w:t xml:space="preserve"> </w:t>
      </w:r>
      <w:r w:rsidR="00072D5C" w:rsidRPr="00FD211F">
        <w:rPr>
          <w:sz w:val="36"/>
          <w:szCs w:val="36"/>
          <w:rtl/>
        </w:rPr>
        <w:t>الحال</w:t>
      </w:r>
      <w:r w:rsidR="00E8128F">
        <w:rPr>
          <w:sz w:val="36"/>
          <w:szCs w:val="36"/>
          <w:rtl/>
        </w:rPr>
        <w:t xml:space="preserve"> </w:t>
      </w:r>
      <w:r w:rsidR="00072D5C" w:rsidRPr="00FD211F">
        <w:rPr>
          <w:sz w:val="36"/>
          <w:szCs w:val="36"/>
          <w:rtl/>
        </w:rPr>
        <w:t>والاستقبال</w:t>
      </w:r>
      <w:r w:rsidR="00E8128F">
        <w:rPr>
          <w:sz w:val="36"/>
          <w:szCs w:val="36"/>
          <w:rtl/>
        </w:rPr>
        <w:t xml:space="preserve"> </w:t>
      </w:r>
      <w:r w:rsidR="00F93528" w:rsidRPr="00FD211F">
        <w:rPr>
          <w:sz w:val="36"/>
          <w:szCs w:val="36"/>
          <w:rtl/>
        </w:rPr>
        <w:t>فلابد</w:t>
      </w:r>
      <w:r w:rsidR="00E8128F">
        <w:rPr>
          <w:sz w:val="36"/>
          <w:szCs w:val="36"/>
          <w:rtl/>
        </w:rPr>
        <w:t xml:space="preserve"> </w:t>
      </w:r>
      <w:r w:rsidR="00F93528" w:rsidRPr="00FD211F">
        <w:rPr>
          <w:sz w:val="36"/>
          <w:szCs w:val="36"/>
          <w:rtl/>
        </w:rPr>
        <w:t>من</w:t>
      </w:r>
      <w:r w:rsidR="00E8128F">
        <w:rPr>
          <w:sz w:val="36"/>
          <w:szCs w:val="36"/>
          <w:rtl/>
        </w:rPr>
        <w:t xml:space="preserve"> </w:t>
      </w:r>
      <w:r w:rsidR="00F93528" w:rsidRPr="00FD211F">
        <w:rPr>
          <w:sz w:val="36"/>
          <w:szCs w:val="36"/>
          <w:rtl/>
        </w:rPr>
        <w:t>فرض</w:t>
      </w:r>
      <w:r w:rsidR="00E8128F">
        <w:rPr>
          <w:sz w:val="36"/>
          <w:szCs w:val="36"/>
          <w:rtl/>
        </w:rPr>
        <w:t xml:space="preserve"> </w:t>
      </w:r>
      <w:r w:rsidR="00F93528" w:rsidRPr="00FD211F">
        <w:rPr>
          <w:sz w:val="36"/>
          <w:szCs w:val="36"/>
          <w:rtl/>
        </w:rPr>
        <w:t>دلالته</w:t>
      </w:r>
      <w:r w:rsidR="00E8128F">
        <w:rPr>
          <w:sz w:val="36"/>
          <w:szCs w:val="36"/>
          <w:rtl/>
        </w:rPr>
        <w:t xml:space="preserve"> </w:t>
      </w:r>
      <w:r w:rsidR="00F93528" w:rsidRPr="00FD211F">
        <w:rPr>
          <w:sz w:val="36"/>
          <w:szCs w:val="36"/>
          <w:rtl/>
        </w:rPr>
        <w:t>على</w:t>
      </w:r>
      <w:r w:rsidR="00E8128F">
        <w:rPr>
          <w:sz w:val="36"/>
          <w:szCs w:val="36"/>
          <w:rtl/>
        </w:rPr>
        <w:t xml:space="preserve"> </w:t>
      </w:r>
      <w:r w:rsidR="00F93528" w:rsidRPr="00FD211F">
        <w:rPr>
          <w:sz w:val="36"/>
          <w:szCs w:val="36"/>
          <w:rtl/>
        </w:rPr>
        <w:t>خصوصي</w:t>
      </w:r>
      <w:r w:rsidR="00EC7EDF" w:rsidRPr="00FD211F">
        <w:rPr>
          <w:sz w:val="36"/>
          <w:szCs w:val="36"/>
          <w:rtl/>
        </w:rPr>
        <w:t>ة</w:t>
      </w:r>
      <w:r w:rsidR="00E8128F">
        <w:rPr>
          <w:sz w:val="36"/>
          <w:szCs w:val="36"/>
          <w:rtl/>
        </w:rPr>
        <w:t xml:space="preserve"> </w:t>
      </w:r>
      <w:r w:rsidR="00F93528" w:rsidRPr="00FD211F">
        <w:rPr>
          <w:sz w:val="36"/>
          <w:szCs w:val="36"/>
          <w:rtl/>
        </w:rPr>
        <w:t>جامع</w:t>
      </w:r>
      <w:r w:rsidR="00EC7EDF" w:rsidRPr="00FD211F">
        <w:rPr>
          <w:sz w:val="36"/>
          <w:szCs w:val="36"/>
          <w:rtl/>
        </w:rPr>
        <w:t>ة</w:t>
      </w:r>
      <w:r w:rsidR="00E8128F">
        <w:rPr>
          <w:sz w:val="36"/>
          <w:szCs w:val="36"/>
          <w:rtl/>
        </w:rPr>
        <w:t xml:space="preserve"> </w:t>
      </w:r>
      <w:r w:rsidR="00F93528" w:rsidRPr="00FD211F">
        <w:rPr>
          <w:sz w:val="36"/>
          <w:szCs w:val="36"/>
          <w:rtl/>
        </w:rPr>
        <w:t>بينهما</w:t>
      </w:r>
      <w:r w:rsidR="00E8128F">
        <w:rPr>
          <w:sz w:val="36"/>
          <w:szCs w:val="36"/>
          <w:rtl/>
        </w:rPr>
        <w:t xml:space="preserve"> </w:t>
      </w:r>
      <w:r w:rsidR="00B734FC" w:rsidRPr="00FD211F">
        <w:rPr>
          <w:sz w:val="36"/>
          <w:szCs w:val="36"/>
          <w:rtl/>
        </w:rPr>
        <w:t>كالنسب</w:t>
      </w:r>
      <w:r w:rsidR="00EC7EDF" w:rsidRPr="00FD211F">
        <w:rPr>
          <w:sz w:val="36"/>
          <w:szCs w:val="36"/>
          <w:rtl/>
        </w:rPr>
        <w:t>ة</w:t>
      </w:r>
      <w:r w:rsidR="00E8128F">
        <w:rPr>
          <w:sz w:val="36"/>
          <w:szCs w:val="36"/>
          <w:rtl/>
        </w:rPr>
        <w:t xml:space="preserve"> </w:t>
      </w:r>
      <w:r w:rsidR="00B734FC" w:rsidRPr="00FD211F">
        <w:rPr>
          <w:sz w:val="36"/>
          <w:szCs w:val="36"/>
          <w:rtl/>
        </w:rPr>
        <w:t>الترقبي</w:t>
      </w:r>
      <w:r w:rsidR="00EC7EDF" w:rsidRPr="00FD211F">
        <w:rPr>
          <w:sz w:val="36"/>
          <w:szCs w:val="36"/>
          <w:rtl/>
        </w:rPr>
        <w:t>ة</w:t>
      </w:r>
      <w:r w:rsidR="00E8128F">
        <w:rPr>
          <w:sz w:val="36"/>
          <w:szCs w:val="36"/>
          <w:rtl/>
        </w:rPr>
        <w:t xml:space="preserve"> </w:t>
      </w:r>
      <w:r w:rsidR="00B734FC" w:rsidRPr="00FD211F">
        <w:rPr>
          <w:sz w:val="36"/>
          <w:szCs w:val="36"/>
          <w:rtl/>
        </w:rPr>
        <w:t>او</w:t>
      </w:r>
      <w:r w:rsidR="00E8128F">
        <w:rPr>
          <w:sz w:val="36"/>
          <w:szCs w:val="36"/>
          <w:rtl/>
        </w:rPr>
        <w:t xml:space="preserve"> </w:t>
      </w:r>
      <w:r w:rsidR="00B734FC" w:rsidRPr="00FD211F">
        <w:rPr>
          <w:sz w:val="36"/>
          <w:szCs w:val="36"/>
          <w:rtl/>
        </w:rPr>
        <w:t>اللحوقي</w:t>
      </w:r>
      <w:r w:rsidR="00EC7EDF" w:rsidRPr="00FD211F">
        <w:rPr>
          <w:sz w:val="36"/>
          <w:szCs w:val="36"/>
          <w:rtl/>
        </w:rPr>
        <w:t>ة</w:t>
      </w:r>
      <w:r w:rsidR="00603323" w:rsidRPr="00FD211F">
        <w:rPr>
          <w:sz w:val="36"/>
          <w:szCs w:val="36"/>
          <w:rtl/>
        </w:rPr>
        <w:t>،</w:t>
      </w:r>
      <w:r w:rsidR="00E8128F">
        <w:rPr>
          <w:sz w:val="36"/>
          <w:szCs w:val="36"/>
          <w:rtl/>
        </w:rPr>
        <w:t xml:space="preserve"> </w:t>
      </w:r>
      <w:r w:rsidR="00F93528" w:rsidRPr="00FD211F">
        <w:rPr>
          <w:sz w:val="36"/>
          <w:szCs w:val="36"/>
          <w:rtl/>
        </w:rPr>
        <w:t>وحينئذ</w:t>
      </w:r>
      <w:r w:rsidR="00E8128F">
        <w:rPr>
          <w:sz w:val="36"/>
          <w:szCs w:val="36"/>
          <w:rtl/>
        </w:rPr>
        <w:t xml:space="preserve"> </w:t>
      </w:r>
      <w:r w:rsidR="008627FD" w:rsidRPr="00FD211F">
        <w:rPr>
          <w:sz w:val="36"/>
          <w:szCs w:val="36"/>
          <w:rtl/>
        </w:rPr>
        <w:t>فمن</w:t>
      </w:r>
      <w:r w:rsidR="00E8128F">
        <w:rPr>
          <w:sz w:val="36"/>
          <w:szCs w:val="36"/>
          <w:rtl/>
        </w:rPr>
        <w:t xml:space="preserve"> </w:t>
      </w:r>
      <w:r w:rsidR="008627FD" w:rsidRPr="00FD211F">
        <w:rPr>
          <w:sz w:val="36"/>
          <w:szCs w:val="36"/>
          <w:rtl/>
        </w:rPr>
        <w:t>البعيد</w:t>
      </w:r>
      <w:r w:rsidR="00E8128F">
        <w:rPr>
          <w:sz w:val="36"/>
          <w:szCs w:val="36"/>
          <w:rtl/>
        </w:rPr>
        <w:t xml:space="preserve"> </w:t>
      </w:r>
      <w:r w:rsidR="008627FD" w:rsidRPr="00FD211F">
        <w:rPr>
          <w:sz w:val="36"/>
          <w:szCs w:val="36"/>
          <w:rtl/>
        </w:rPr>
        <w:t>جدا</w:t>
      </w:r>
      <w:r w:rsidR="00E8128F">
        <w:rPr>
          <w:sz w:val="36"/>
          <w:szCs w:val="36"/>
          <w:rtl/>
        </w:rPr>
        <w:t xml:space="preserve"> </w:t>
      </w:r>
      <w:r w:rsidR="008627FD" w:rsidRPr="00FD211F">
        <w:rPr>
          <w:sz w:val="36"/>
          <w:szCs w:val="36"/>
          <w:rtl/>
        </w:rPr>
        <w:t>ان</w:t>
      </w:r>
      <w:r w:rsidR="00E8128F">
        <w:rPr>
          <w:sz w:val="36"/>
          <w:szCs w:val="36"/>
          <w:rtl/>
        </w:rPr>
        <w:t xml:space="preserve"> </w:t>
      </w:r>
      <w:r w:rsidR="008627FD" w:rsidRPr="00FD211F">
        <w:rPr>
          <w:sz w:val="36"/>
          <w:szCs w:val="36"/>
          <w:rtl/>
        </w:rPr>
        <w:t>لايوجد</w:t>
      </w:r>
      <w:r w:rsidR="00E8128F">
        <w:rPr>
          <w:sz w:val="36"/>
          <w:szCs w:val="36"/>
          <w:rtl/>
        </w:rPr>
        <w:t xml:space="preserve"> </w:t>
      </w:r>
      <w:r w:rsidR="008627FD" w:rsidRPr="00FD211F">
        <w:rPr>
          <w:sz w:val="36"/>
          <w:szCs w:val="36"/>
          <w:rtl/>
        </w:rPr>
        <w:t>معنى</w:t>
      </w:r>
      <w:r w:rsidR="00E8128F">
        <w:rPr>
          <w:sz w:val="36"/>
          <w:szCs w:val="36"/>
          <w:rtl/>
        </w:rPr>
        <w:t xml:space="preserve"> </w:t>
      </w:r>
      <w:r w:rsidR="008627FD" w:rsidRPr="00FD211F">
        <w:rPr>
          <w:sz w:val="36"/>
          <w:szCs w:val="36"/>
          <w:rtl/>
        </w:rPr>
        <w:t>حرفي</w:t>
      </w:r>
      <w:r w:rsidR="00E8128F">
        <w:rPr>
          <w:sz w:val="36"/>
          <w:szCs w:val="36"/>
          <w:rtl/>
        </w:rPr>
        <w:t xml:space="preserve"> </w:t>
      </w:r>
      <w:r w:rsidR="008627FD" w:rsidRPr="00FD211F">
        <w:rPr>
          <w:sz w:val="36"/>
          <w:szCs w:val="36"/>
          <w:rtl/>
        </w:rPr>
        <w:t>جامع</w:t>
      </w:r>
      <w:r w:rsidR="00E8128F">
        <w:rPr>
          <w:sz w:val="36"/>
          <w:szCs w:val="36"/>
          <w:rtl/>
        </w:rPr>
        <w:t xml:space="preserve"> </w:t>
      </w:r>
      <w:r w:rsidR="008627FD" w:rsidRPr="00FD211F">
        <w:rPr>
          <w:sz w:val="36"/>
          <w:szCs w:val="36"/>
          <w:rtl/>
        </w:rPr>
        <w:t>للحال</w:t>
      </w:r>
      <w:r w:rsidR="00E8128F">
        <w:rPr>
          <w:sz w:val="36"/>
          <w:szCs w:val="36"/>
          <w:rtl/>
        </w:rPr>
        <w:t xml:space="preserve"> </w:t>
      </w:r>
      <w:r w:rsidR="008627FD" w:rsidRPr="00FD211F">
        <w:rPr>
          <w:sz w:val="36"/>
          <w:szCs w:val="36"/>
          <w:rtl/>
        </w:rPr>
        <w:t>والاستقبال</w:t>
      </w:r>
      <w:r w:rsidR="002D430C">
        <w:rPr>
          <w:sz w:val="36"/>
          <w:szCs w:val="36"/>
          <w:rtl/>
        </w:rPr>
        <w:t>.</w:t>
      </w:r>
    </w:p>
    <w:p w14:paraId="0547CABD" w14:textId="77777777" w:rsidR="00F93528" w:rsidRPr="00FD211F" w:rsidRDefault="00B734FC" w:rsidP="009C58C8">
      <w:pPr>
        <w:ind w:left="0" w:firstLine="227"/>
        <w:jc w:val="both"/>
        <w:rPr>
          <w:sz w:val="36"/>
          <w:szCs w:val="36"/>
          <w:rtl/>
        </w:rPr>
      </w:pPr>
      <w:r w:rsidRPr="00FD211F">
        <w:rPr>
          <w:sz w:val="36"/>
          <w:szCs w:val="36"/>
          <w:rtl/>
        </w:rPr>
        <w:t>ولاي</w:t>
      </w:r>
      <w:r w:rsidR="000670F2" w:rsidRPr="00FD211F">
        <w:rPr>
          <w:sz w:val="36"/>
          <w:szCs w:val="36"/>
          <w:rtl/>
        </w:rPr>
        <w:t>خفى</w:t>
      </w:r>
      <w:r w:rsidR="00E8128F">
        <w:rPr>
          <w:sz w:val="36"/>
          <w:szCs w:val="36"/>
          <w:rtl/>
        </w:rPr>
        <w:t xml:space="preserve"> </w:t>
      </w:r>
      <w:r w:rsidR="000670F2" w:rsidRPr="00FD211F">
        <w:rPr>
          <w:sz w:val="36"/>
          <w:szCs w:val="36"/>
          <w:rtl/>
        </w:rPr>
        <w:t>ان</w:t>
      </w:r>
      <w:r w:rsidR="00E8128F">
        <w:rPr>
          <w:sz w:val="36"/>
          <w:szCs w:val="36"/>
          <w:rtl/>
        </w:rPr>
        <w:t xml:space="preserve"> </w:t>
      </w:r>
      <w:r w:rsidR="000670F2" w:rsidRPr="00FD211F">
        <w:rPr>
          <w:sz w:val="36"/>
          <w:szCs w:val="36"/>
          <w:rtl/>
        </w:rPr>
        <w:t>اخذ</w:t>
      </w:r>
      <w:r w:rsidR="00A935B9">
        <w:rPr>
          <w:rFonts w:hint="cs"/>
          <w:sz w:val="36"/>
          <w:szCs w:val="36"/>
          <w:rtl/>
        </w:rPr>
        <w:t xml:space="preserve"> </w:t>
      </w:r>
      <w:r w:rsidR="000670F2" w:rsidRPr="00FD211F">
        <w:rPr>
          <w:sz w:val="36"/>
          <w:szCs w:val="36"/>
          <w:rtl/>
        </w:rPr>
        <w:t>عنوان</w:t>
      </w:r>
      <w:r w:rsidR="00E8128F">
        <w:rPr>
          <w:sz w:val="36"/>
          <w:szCs w:val="36"/>
          <w:rtl/>
        </w:rPr>
        <w:t xml:space="preserve"> </w:t>
      </w:r>
      <w:r w:rsidRPr="00FD211F">
        <w:rPr>
          <w:sz w:val="36"/>
          <w:szCs w:val="36"/>
          <w:rtl/>
        </w:rPr>
        <w:t>ا</w:t>
      </w:r>
      <w:r w:rsidR="000670F2" w:rsidRPr="00FD211F">
        <w:rPr>
          <w:sz w:val="36"/>
          <w:szCs w:val="36"/>
          <w:rtl/>
        </w:rPr>
        <w:t>لتحقق</w:t>
      </w:r>
      <w:r w:rsidR="00E8128F">
        <w:rPr>
          <w:sz w:val="36"/>
          <w:szCs w:val="36"/>
          <w:rtl/>
        </w:rPr>
        <w:t xml:space="preserve"> </w:t>
      </w:r>
      <w:r w:rsidR="000670F2" w:rsidRPr="00FD211F">
        <w:rPr>
          <w:sz w:val="36"/>
          <w:szCs w:val="36"/>
          <w:rtl/>
        </w:rPr>
        <w:t>او</w:t>
      </w:r>
      <w:r w:rsidR="00E8128F">
        <w:rPr>
          <w:sz w:val="36"/>
          <w:szCs w:val="36"/>
          <w:rtl/>
        </w:rPr>
        <w:t xml:space="preserve"> </w:t>
      </w:r>
      <w:r w:rsidR="000670F2" w:rsidRPr="00FD211F">
        <w:rPr>
          <w:sz w:val="36"/>
          <w:szCs w:val="36"/>
          <w:rtl/>
        </w:rPr>
        <w:t>السبق</w:t>
      </w:r>
      <w:r w:rsidR="00E8128F">
        <w:rPr>
          <w:sz w:val="36"/>
          <w:szCs w:val="36"/>
          <w:rtl/>
        </w:rPr>
        <w:t xml:space="preserve"> </w:t>
      </w:r>
      <w:r w:rsidR="000670F2" w:rsidRPr="00FD211F">
        <w:rPr>
          <w:sz w:val="36"/>
          <w:szCs w:val="36"/>
          <w:rtl/>
        </w:rPr>
        <w:t>في</w:t>
      </w:r>
      <w:r w:rsidR="00E8128F">
        <w:rPr>
          <w:sz w:val="36"/>
          <w:szCs w:val="36"/>
          <w:rtl/>
        </w:rPr>
        <w:t xml:space="preserve"> </w:t>
      </w:r>
      <w:r w:rsidR="000670F2" w:rsidRPr="00FD211F">
        <w:rPr>
          <w:sz w:val="36"/>
          <w:szCs w:val="36"/>
          <w:rtl/>
        </w:rPr>
        <w:t>الفعل</w:t>
      </w:r>
      <w:r w:rsidR="00E8128F">
        <w:rPr>
          <w:sz w:val="36"/>
          <w:szCs w:val="36"/>
          <w:rtl/>
        </w:rPr>
        <w:t xml:space="preserve"> </w:t>
      </w:r>
      <w:r w:rsidR="000670F2" w:rsidRPr="00FD211F">
        <w:rPr>
          <w:sz w:val="36"/>
          <w:szCs w:val="36"/>
          <w:rtl/>
        </w:rPr>
        <w:t>الماضي</w:t>
      </w:r>
      <w:r w:rsidR="00E8128F">
        <w:rPr>
          <w:sz w:val="36"/>
          <w:szCs w:val="36"/>
          <w:rtl/>
        </w:rPr>
        <w:t xml:space="preserve"> </w:t>
      </w:r>
      <w:r w:rsidRPr="00FD211F">
        <w:rPr>
          <w:sz w:val="36"/>
          <w:szCs w:val="36"/>
          <w:rtl/>
        </w:rPr>
        <w:t>و</w:t>
      </w:r>
      <w:r w:rsidR="000670F2" w:rsidRPr="00FD211F">
        <w:rPr>
          <w:sz w:val="36"/>
          <w:szCs w:val="36"/>
          <w:rtl/>
        </w:rPr>
        <w:t>عنوان</w:t>
      </w:r>
      <w:r w:rsidR="00E8128F">
        <w:rPr>
          <w:sz w:val="36"/>
          <w:szCs w:val="36"/>
          <w:rtl/>
        </w:rPr>
        <w:t xml:space="preserve"> </w:t>
      </w:r>
      <w:r w:rsidRPr="00FD211F">
        <w:rPr>
          <w:sz w:val="36"/>
          <w:szCs w:val="36"/>
          <w:rtl/>
        </w:rPr>
        <w:t>الترقب</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اللحوق</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المضارع</w:t>
      </w:r>
      <w:r w:rsidR="00E8128F">
        <w:rPr>
          <w:sz w:val="36"/>
          <w:szCs w:val="36"/>
          <w:rtl/>
        </w:rPr>
        <w:t xml:space="preserve"> </w:t>
      </w:r>
      <w:r w:rsidR="000670F2" w:rsidRPr="00FD211F">
        <w:rPr>
          <w:sz w:val="36"/>
          <w:szCs w:val="36"/>
          <w:rtl/>
        </w:rPr>
        <w:t>لايكون</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بملاحظ</w:t>
      </w:r>
      <w:r w:rsidR="00EC7EDF" w:rsidRPr="00FD211F">
        <w:rPr>
          <w:sz w:val="36"/>
          <w:szCs w:val="36"/>
          <w:rtl/>
        </w:rPr>
        <w:t>ة</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معين</w:t>
      </w:r>
      <w:r w:rsidR="00E8128F">
        <w:rPr>
          <w:sz w:val="36"/>
          <w:szCs w:val="36"/>
          <w:rtl/>
        </w:rPr>
        <w:t xml:space="preserve"> </w:t>
      </w:r>
      <w:r w:rsidRPr="00FD211F">
        <w:rPr>
          <w:sz w:val="36"/>
          <w:szCs w:val="36"/>
          <w:rtl/>
        </w:rPr>
        <w:t>كزمان</w:t>
      </w:r>
      <w:r w:rsidR="00E8128F">
        <w:rPr>
          <w:sz w:val="36"/>
          <w:szCs w:val="36"/>
          <w:rtl/>
        </w:rPr>
        <w:t xml:space="preserve"> </w:t>
      </w:r>
      <w:r w:rsidRPr="00FD211F">
        <w:rPr>
          <w:sz w:val="36"/>
          <w:szCs w:val="36"/>
          <w:rtl/>
        </w:rPr>
        <w:t>الاسناد</w:t>
      </w:r>
      <w:r w:rsidR="00E8128F">
        <w:rPr>
          <w:sz w:val="36"/>
          <w:szCs w:val="36"/>
          <w:rtl/>
        </w:rPr>
        <w:t xml:space="preserve"> </w:t>
      </w:r>
      <w:r w:rsidR="000670F2" w:rsidRPr="00FD211F">
        <w:rPr>
          <w:sz w:val="36"/>
          <w:szCs w:val="36"/>
          <w:rtl/>
        </w:rPr>
        <w:t>فاخذ</w:t>
      </w:r>
      <w:r w:rsidR="00E8128F">
        <w:rPr>
          <w:sz w:val="36"/>
          <w:szCs w:val="36"/>
          <w:rtl/>
        </w:rPr>
        <w:t xml:space="preserve"> </w:t>
      </w:r>
      <w:r w:rsidR="000670F2" w:rsidRPr="00FD211F">
        <w:rPr>
          <w:sz w:val="36"/>
          <w:szCs w:val="36"/>
          <w:rtl/>
        </w:rPr>
        <w:t>هذه</w:t>
      </w:r>
      <w:r w:rsidR="00E8128F">
        <w:rPr>
          <w:sz w:val="36"/>
          <w:szCs w:val="36"/>
          <w:rtl/>
        </w:rPr>
        <w:t xml:space="preserve"> </w:t>
      </w:r>
      <w:r w:rsidR="000670F2" w:rsidRPr="00FD211F">
        <w:rPr>
          <w:sz w:val="36"/>
          <w:szCs w:val="36"/>
          <w:rtl/>
        </w:rPr>
        <w:t>العناوين</w:t>
      </w:r>
      <w:r w:rsidR="00E8128F">
        <w:rPr>
          <w:sz w:val="36"/>
          <w:szCs w:val="36"/>
          <w:rtl/>
        </w:rPr>
        <w:t xml:space="preserve"> </w:t>
      </w:r>
      <w:r w:rsidR="000670F2" w:rsidRPr="00FD211F">
        <w:rPr>
          <w:sz w:val="36"/>
          <w:szCs w:val="36"/>
          <w:rtl/>
        </w:rPr>
        <w:t>لايغني</w:t>
      </w:r>
      <w:r w:rsidR="00E8128F">
        <w:rPr>
          <w:sz w:val="36"/>
          <w:szCs w:val="36"/>
          <w:rtl/>
        </w:rPr>
        <w:t xml:space="preserve"> </w:t>
      </w:r>
      <w:r w:rsidR="000670F2" w:rsidRPr="00FD211F">
        <w:rPr>
          <w:sz w:val="36"/>
          <w:szCs w:val="36"/>
          <w:rtl/>
        </w:rPr>
        <w:t>عن</w:t>
      </w:r>
      <w:r w:rsidR="00E8128F">
        <w:rPr>
          <w:sz w:val="36"/>
          <w:szCs w:val="36"/>
          <w:rtl/>
        </w:rPr>
        <w:t xml:space="preserve"> </w:t>
      </w:r>
      <w:r w:rsidR="000670F2" w:rsidRPr="00FD211F">
        <w:rPr>
          <w:sz w:val="36"/>
          <w:szCs w:val="36"/>
          <w:rtl/>
        </w:rPr>
        <w:t>اخذ</w:t>
      </w:r>
      <w:r w:rsidR="00E8128F">
        <w:rPr>
          <w:sz w:val="36"/>
          <w:szCs w:val="36"/>
          <w:rtl/>
        </w:rPr>
        <w:t xml:space="preserve"> </w:t>
      </w:r>
      <w:r w:rsidR="000670F2" w:rsidRPr="00FD211F">
        <w:rPr>
          <w:sz w:val="36"/>
          <w:szCs w:val="36"/>
          <w:rtl/>
        </w:rPr>
        <w:t>الزمان</w:t>
      </w:r>
      <w:r w:rsidR="00E8128F">
        <w:rPr>
          <w:sz w:val="36"/>
          <w:szCs w:val="36"/>
          <w:rtl/>
        </w:rPr>
        <w:t xml:space="preserve"> </w:t>
      </w:r>
      <w:r w:rsidR="000670F2" w:rsidRPr="00FD211F">
        <w:rPr>
          <w:sz w:val="36"/>
          <w:szCs w:val="36"/>
          <w:rtl/>
        </w:rPr>
        <w:t>في</w:t>
      </w:r>
      <w:r w:rsidR="00E8128F">
        <w:rPr>
          <w:sz w:val="36"/>
          <w:szCs w:val="36"/>
          <w:rtl/>
        </w:rPr>
        <w:t xml:space="preserve"> </w:t>
      </w:r>
      <w:r w:rsidR="000670F2" w:rsidRPr="00FD211F">
        <w:rPr>
          <w:sz w:val="36"/>
          <w:szCs w:val="36"/>
          <w:rtl/>
        </w:rPr>
        <w:t>مدلول</w:t>
      </w:r>
      <w:r w:rsidR="00E8128F">
        <w:rPr>
          <w:sz w:val="36"/>
          <w:szCs w:val="36"/>
          <w:rtl/>
        </w:rPr>
        <w:t xml:space="preserve"> </w:t>
      </w:r>
      <w:r w:rsidR="000670F2" w:rsidRPr="00FD211F">
        <w:rPr>
          <w:sz w:val="36"/>
          <w:szCs w:val="36"/>
          <w:rtl/>
        </w:rPr>
        <w:t>الفعل</w:t>
      </w:r>
      <w:r w:rsidR="00E8128F">
        <w:rPr>
          <w:sz w:val="36"/>
          <w:szCs w:val="36"/>
          <w:rtl/>
        </w:rPr>
        <w:t xml:space="preserve"> </w:t>
      </w:r>
      <w:r w:rsidR="001531BE" w:rsidRPr="00FD211F">
        <w:rPr>
          <w:sz w:val="36"/>
          <w:szCs w:val="36"/>
          <w:rtl/>
        </w:rPr>
        <w:t>الماضي</w:t>
      </w:r>
      <w:r w:rsidR="00E8128F">
        <w:rPr>
          <w:sz w:val="36"/>
          <w:szCs w:val="36"/>
          <w:rtl/>
        </w:rPr>
        <w:t xml:space="preserve"> </w:t>
      </w:r>
      <w:r w:rsidR="001531BE" w:rsidRPr="00FD211F">
        <w:rPr>
          <w:sz w:val="36"/>
          <w:szCs w:val="36"/>
          <w:rtl/>
        </w:rPr>
        <w:t>او</w:t>
      </w:r>
      <w:r w:rsidR="00E8128F">
        <w:rPr>
          <w:sz w:val="36"/>
          <w:szCs w:val="36"/>
          <w:rtl/>
        </w:rPr>
        <w:t xml:space="preserve"> </w:t>
      </w:r>
      <w:r w:rsidR="001531BE" w:rsidRPr="00FD211F">
        <w:rPr>
          <w:sz w:val="36"/>
          <w:szCs w:val="36"/>
          <w:rtl/>
        </w:rPr>
        <w:t>المضارع</w:t>
      </w:r>
      <w:r w:rsidR="00EC7EDF" w:rsidRPr="00FD211F">
        <w:rPr>
          <w:sz w:val="36"/>
          <w:szCs w:val="36"/>
          <w:rtl/>
        </w:rPr>
        <w:t>.</w:t>
      </w:r>
    </w:p>
    <w:p w14:paraId="2E3975ED" w14:textId="77777777" w:rsidR="00CC7081" w:rsidRPr="00FD211F" w:rsidRDefault="00F93528" w:rsidP="001E2C4B">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وقد</w:t>
      </w:r>
      <w:r w:rsidR="00E8128F">
        <w:rPr>
          <w:sz w:val="36"/>
          <w:szCs w:val="36"/>
          <w:rtl/>
        </w:rPr>
        <w:t xml:space="preserve"> </w:t>
      </w:r>
      <w:r w:rsidRPr="00FD211F">
        <w:rPr>
          <w:sz w:val="36"/>
          <w:szCs w:val="36"/>
          <w:rtl/>
        </w:rPr>
        <w:t>منع</w:t>
      </w:r>
      <w:r w:rsidR="00E8128F">
        <w:rPr>
          <w:sz w:val="36"/>
          <w:szCs w:val="36"/>
          <w:rtl/>
        </w:rPr>
        <w:t xml:space="preserve"> </w:t>
      </w:r>
      <w:r w:rsidR="00072D5C" w:rsidRPr="00FD211F">
        <w:rPr>
          <w:sz w:val="36"/>
          <w:szCs w:val="36"/>
          <w:rtl/>
        </w:rPr>
        <w:t>المحقق</w:t>
      </w:r>
      <w:r w:rsidR="00E8128F">
        <w:rPr>
          <w:sz w:val="36"/>
          <w:szCs w:val="36"/>
          <w:rtl/>
        </w:rPr>
        <w:t xml:space="preserve"> </w:t>
      </w:r>
      <w:r w:rsidR="00072D5C" w:rsidRPr="00FD211F">
        <w:rPr>
          <w:sz w:val="36"/>
          <w:szCs w:val="36"/>
          <w:rtl/>
        </w:rPr>
        <w:t>الحائري</w:t>
      </w:r>
      <w:r w:rsidR="00E8128F">
        <w:rPr>
          <w:sz w:val="36"/>
          <w:szCs w:val="36"/>
          <w:rtl/>
        </w:rPr>
        <w:t xml:space="preserve"> </w:t>
      </w:r>
      <w:r w:rsidR="00ED5122" w:rsidRPr="00FD211F">
        <w:rPr>
          <w:sz w:val="36"/>
          <w:szCs w:val="36"/>
          <w:rtl/>
        </w:rPr>
        <w:t>"قده"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دلال</w:t>
      </w:r>
      <w:r w:rsidR="00EC7EDF" w:rsidRPr="00FD211F">
        <w:rPr>
          <w:sz w:val="36"/>
          <w:szCs w:val="36"/>
          <w:rtl/>
        </w:rPr>
        <w:t>ة</w:t>
      </w:r>
      <w:r w:rsidR="00E8128F">
        <w:rPr>
          <w:sz w:val="36"/>
          <w:szCs w:val="36"/>
          <w:rtl/>
        </w:rPr>
        <w:t xml:space="preserve"> </w:t>
      </w:r>
      <w:r w:rsidR="00072D5C" w:rsidRPr="00FD211F">
        <w:rPr>
          <w:sz w:val="36"/>
          <w:szCs w:val="36"/>
          <w:rtl/>
        </w:rPr>
        <w:t>الفعل</w:t>
      </w:r>
      <w:r w:rsidR="00E8128F">
        <w:rPr>
          <w:sz w:val="36"/>
          <w:szCs w:val="36"/>
          <w:rtl/>
        </w:rPr>
        <w:t xml:space="preserve"> </w:t>
      </w:r>
      <w:r w:rsidR="00072D5C" w:rsidRPr="00FD211F">
        <w:rPr>
          <w:sz w:val="36"/>
          <w:szCs w:val="36"/>
          <w:rtl/>
        </w:rPr>
        <w:t>المضارع</w:t>
      </w:r>
      <w:r w:rsidR="00E8128F">
        <w:rPr>
          <w:sz w:val="36"/>
          <w:szCs w:val="36"/>
          <w:rtl/>
        </w:rPr>
        <w:t xml:space="preserve"> </w:t>
      </w:r>
      <w:r w:rsidR="00072D5C" w:rsidRPr="00FD211F">
        <w:rPr>
          <w:sz w:val="36"/>
          <w:szCs w:val="36"/>
          <w:rtl/>
        </w:rPr>
        <w:t>على</w:t>
      </w:r>
      <w:r w:rsidR="00E8128F">
        <w:rPr>
          <w:sz w:val="36"/>
          <w:szCs w:val="36"/>
          <w:rtl/>
        </w:rPr>
        <w:t xml:space="preserve"> </w:t>
      </w:r>
      <w:r w:rsidR="00072D5C" w:rsidRPr="00FD211F">
        <w:rPr>
          <w:sz w:val="36"/>
          <w:szCs w:val="36"/>
          <w:rtl/>
        </w:rPr>
        <w:t>الحال</w:t>
      </w:r>
      <w:r w:rsidR="00603323" w:rsidRPr="00FD211F">
        <w:rPr>
          <w:sz w:val="36"/>
          <w:szCs w:val="36"/>
          <w:rtl/>
        </w:rPr>
        <w:t>،</w:t>
      </w:r>
      <w:r w:rsidR="00E8128F">
        <w:rPr>
          <w:sz w:val="36"/>
          <w:szCs w:val="36"/>
          <w:rtl/>
        </w:rPr>
        <w:t xml:space="preserve"> </w:t>
      </w:r>
      <w:r w:rsidR="00072D5C" w:rsidRPr="00FD211F">
        <w:rPr>
          <w:sz w:val="36"/>
          <w:szCs w:val="36"/>
          <w:rtl/>
        </w:rPr>
        <w:t>ولذا</w:t>
      </w:r>
      <w:r w:rsidR="00E8128F">
        <w:rPr>
          <w:sz w:val="36"/>
          <w:szCs w:val="36"/>
          <w:rtl/>
        </w:rPr>
        <w:t xml:space="preserve"> </w:t>
      </w:r>
      <w:r w:rsidR="00072D5C" w:rsidRPr="00FD211F">
        <w:rPr>
          <w:sz w:val="36"/>
          <w:szCs w:val="36"/>
          <w:rtl/>
        </w:rPr>
        <w:t>لايصح</w:t>
      </w:r>
      <w:r w:rsidR="00E8128F">
        <w:rPr>
          <w:sz w:val="36"/>
          <w:szCs w:val="36"/>
          <w:rtl/>
        </w:rPr>
        <w:t xml:space="preserve"> </w:t>
      </w:r>
      <w:r w:rsidR="00072D5C" w:rsidRPr="00FD211F">
        <w:rPr>
          <w:sz w:val="36"/>
          <w:szCs w:val="36"/>
          <w:rtl/>
        </w:rPr>
        <w:t>ان</w:t>
      </w:r>
      <w:r w:rsidR="00E8128F">
        <w:rPr>
          <w:sz w:val="36"/>
          <w:szCs w:val="36"/>
          <w:rtl/>
        </w:rPr>
        <w:t xml:space="preserve"> </w:t>
      </w:r>
      <w:r w:rsidR="00072D5C" w:rsidRPr="00FD211F">
        <w:rPr>
          <w:sz w:val="36"/>
          <w:szCs w:val="36"/>
          <w:rtl/>
        </w:rPr>
        <w:t>يقال</w:t>
      </w:r>
      <w:r w:rsidR="00E8128F">
        <w:rPr>
          <w:sz w:val="36"/>
          <w:szCs w:val="36"/>
          <w:rtl/>
        </w:rPr>
        <w:t xml:space="preserve"> </w:t>
      </w:r>
      <w:r w:rsidR="00242A59" w:rsidRPr="00FD211F">
        <w:rPr>
          <w:sz w:val="36"/>
          <w:szCs w:val="36"/>
          <w:rtl/>
        </w:rPr>
        <w:t>"</w:t>
      </w:r>
      <w:r w:rsidR="00072D5C" w:rsidRPr="00FD211F">
        <w:rPr>
          <w:sz w:val="36"/>
          <w:szCs w:val="36"/>
          <w:rtl/>
        </w:rPr>
        <w:t>زيد</w:t>
      </w:r>
      <w:r w:rsidR="00E8128F">
        <w:rPr>
          <w:sz w:val="36"/>
          <w:szCs w:val="36"/>
          <w:rtl/>
        </w:rPr>
        <w:t xml:space="preserve"> </w:t>
      </w:r>
      <w:r w:rsidR="00072D5C" w:rsidRPr="00FD211F">
        <w:rPr>
          <w:sz w:val="36"/>
          <w:szCs w:val="36"/>
          <w:rtl/>
        </w:rPr>
        <w:t>يقوم</w:t>
      </w:r>
      <w:r w:rsidR="00242A59" w:rsidRPr="00FD211F">
        <w:rPr>
          <w:sz w:val="36"/>
          <w:szCs w:val="36"/>
          <w:rtl/>
        </w:rPr>
        <w:t>"</w:t>
      </w:r>
      <w:r w:rsidR="00E8128F">
        <w:rPr>
          <w:sz w:val="36"/>
          <w:szCs w:val="36"/>
          <w:rtl/>
        </w:rPr>
        <w:t xml:space="preserve"> </w:t>
      </w:r>
      <w:r w:rsidR="00CC7081" w:rsidRPr="00FD211F">
        <w:rPr>
          <w:sz w:val="36"/>
          <w:szCs w:val="36"/>
          <w:rtl/>
        </w:rPr>
        <w:t>بلحاظ</w:t>
      </w:r>
      <w:r w:rsidR="00E8128F">
        <w:rPr>
          <w:sz w:val="36"/>
          <w:szCs w:val="36"/>
          <w:rtl/>
        </w:rPr>
        <w:t xml:space="preserve"> </w:t>
      </w:r>
      <w:r w:rsidR="00CC7081" w:rsidRPr="00FD211F">
        <w:rPr>
          <w:sz w:val="36"/>
          <w:szCs w:val="36"/>
          <w:rtl/>
        </w:rPr>
        <w:t>تلبسه</w:t>
      </w:r>
      <w:r w:rsidR="00E8128F">
        <w:rPr>
          <w:sz w:val="36"/>
          <w:szCs w:val="36"/>
          <w:rtl/>
        </w:rPr>
        <w:t xml:space="preserve"> </w:t>
      </w:r>
      <w:r w:rsidR="00CC7081" w:rsidRPr="00FD211F">
        <w:rPr>
          <w:sz w:val="36"/>
          <w:szCs w:val="36"/>
          <w:rtl/>
        </w:rPr>
        <w:t>بال</w:t>
      </w:r>
      <w:r w:rsidR="00242A59" w:rsidRPr="00FD211F">
        <w:rPr>
          <w:sz w:val="36"/>
          <w:szCs w:val="36"/>
          <w:rtl/>
        </w:rPr>
        <w:t>قيام</w:t>
      </w:r>
      <w:r w:rsidR="00E8128F">
        <w:rPr>
          <w:sz w:val="36"/>
          <w:szCs w:val="36"/>
          <w:rtl/>
        </w:rPr>
        <w:t xml:space="preserve"> </w:t>
      </w:r>
      <w:r w:rsidR="00CC7081" w:rsidRPr="00FD211F">
        <w:rPr>
          <w:sz w:val="36"/>
          <w:szCs w:val="36"/>
          <w:rtl/>
        </w:rPr>
        <w:t>في</w:t>
      </w:r>
      <w:r w:rsidR="00E8128F">
        <w:rPr>
          <w:sz w:val="36"/>
          <w:szCs w:val="36"/>
          <w:rtl/>
        </w:rPr>
        <w:t xml:space="preserve"> </w:t>
      </w:r>
      <w:r w:rsidR="00CC7081" w:rsidRPr="00FD211F">
        <w:rPr>
          <w:sz w:val="36"/>
          <w:szCs w:val="36"/>
          <w:rtl/>
        </w:rPr>
        <w:t>زمان</w:t>
      </w:r>
      <w:r w:rsidR="00E8128F">
        <w:rPr>
          <w:sz w:val="36"/>
          <w:szCs w:val="36"/>
          <w:rtl/>
        </w:rPr>
        <w:t xml:space="preserve"> </w:t>
      </w:r>
      <w:r w:rsidR="00CC7081" w:rsidRPr="00FD211F">
        <w:rPr>
          <w:sz w:val="36"/>
          <w:szCs w:val="36"/>
          <w:rtl/>
        </w:rPr>
        <w:t>الحال</w:t>
      </w:r>
      <w:r w:rsidR="00603323" w:rsidRPr="00FD211F">
        <w:rPr>
          <w:sz w:val="36"/>
          <w:szCs w:val="36"/>
          <w:rtl/>
        </w:rPr>
        <w:t>،</w:t>
      </w:r>
      <w:r w:rsidR="00E8128F">
        <w:rPr>
          <w:sz w:val="36"/>
          <w:szCs w:val="36"/>
          <w:rtl/>
        </w:rPr>
        <w:t xml:space="preserve"> </w:t>
      </w:r>
      <w:r w:rsidR="00242A59" w:rsidRPr="00FD211F">
        <w:rPr>
          <w:sz w:val="36"/>
          <w:szCs w:val="36"/>
          <w:rtl/>
        </w:rPr>
        <w:t>وهكذا</w:t>
      </w:r>
      <w:r w:rsidR="00E8128F">
        <w:rPr>
          <w:sz w:val="36"/>
          <w:szCs w:val="36"/>
          <w:rtl/>
        </w:rPr>
        <w:t xml:space="preserve"> </w:t>
      </w:r>
      <w:r w:rsidR="00242A59" w:rsidRPr="00FD211F">
        <w:rPr>
          <w:sz w:val="36"/>
          <w:szCs w:val="36"/>
          <w:rtl/>
        </w:rPr>
        <w:t>في</w:t>
      </w:r>
      <w:r w:rsidR="00E8128F">
        <w:rPr>
          <w:sz w:val="36"/>
          <w:szCs w:val="36"/>
          <w:rtl/>
        </w:rPr>
        <w:t xml:space="preserve"> </w:t>
      </w:r>
      <w:r w:rsidR="00242A59" w:rsidRPr="00FD211F">
        <w:rPr>
          <w:sz w:val="36"/>
          <w:szCs w:val="36"/>
          <w:rtl/>
        </w:rPr>
        <w:t>مثال</w:t>
      </w:r>
      <w:r w:rsidR="00E8128F">
        <w:rPr>
          <w:sz w:val="36"/>
          <w:szCs w:val="36"/>
          <w:rtl/>
        </w:rPr>
        <w:t xml:space="preserve"> </w:t>
      </w:r>
      <w:r w:rsidR="00242A59" w:rsidRPr="00FD211F">
        <w:rPr>
          <w:sz w:val="36"/>
          <w:szCs w:val="36"/>
          <w:rtl/>
        </w:rPr>
        <w:t>"زيد</w:t>
      </w:r>
      <w:r w:rsidR="00E8128F">
        <w:rPr>
          <w:sz w:val="36"/>
          <w:szCs w:val="36"/>
          <w:rtl/>
        </w:rPr>
        <w:t xml:space="preserve"> </w:t>
      </w:r>
      <w:r w:rsidR="00242A59" w:rsidRPr="00FD211F">
        <w:rPr>
          <w:sz w:val="36"/>
          <w:szCs w:val="36"/>
          <w:rtl/>
        </w:rPr>
        <w:t>يقعد"</w:t>
      </w:r>
      <w:r w:rsidR="00E8128F">
        <w:rPr>
          <w:sz w:val="36"/>
          <w:szCs w:val="36"/>
          <w:rtl/>
        </w:rPr>
        <w:t xml:space="preserve"> </w:t>
      </w:r>
      <w:r w:rsidR="00CC7081" w:rsidRPr="00FD211F">
        <w:rPr>
          <w:sz w:val="36"/>
          <w:szCs w:val="36"/>
          <w:rtl/>
        </w:rPr>
        <w:t>نعم</w:t>
      </w:r>
      <w:r w:rsidR="00E8128F">
        <w:rPr>
          <w:sz w:val="36"/>
          <w:szCs w:val="36"/>
          <w:rtl/>
        </w:rPr>
        <w:t xml:space="preserve"> </w:t>
      </w:r>
      <w:r w:rsidR="00CC7081" w:rsidRPr="00FD211F">
        <w:rPr>
          <w:sz w:val="36"/>
          <w:szCs w:val="36"/>
          <w:rtl/>
        </w:rPr>
        <w:t>لو</w:t>
      </w:r>
      <w:r w:rsidR="00E8128F">
        <w:rPr>
          <w:sz w:val="36"/>
          <w:szCs w:val="36"/>
          <w:rtl/>
        </w:rPr>
        <w:t xml:space="preserve"> </w:t>
      </w:r>
      <w:r w:rsidR="00CC7081" w:rsidRPr="00FD211F">
        <w:rPr>
          <w:sz w:val="36"/>
          <w:szCs w:val="36"/>
          <w:rtl/>
        </w:rPr>
        <w:t>اريد</w:t>
      </w:r>
      <w:r w:rsidR="00E8128F">
        <w:rPr>
          <w:sz w:val="36"/>
          <w:szCs w:val="36"/>
          <w:rtl/>
        </w:rPr>
        <w:t xml:space="preserve"> </w:t>
      </w:r>
      <w:r w:rsidR="00CC7081" w:rsidRPr="00FD211F">
        <w:rPr>
          <w:sz w:val="36"/>
          <w:szCs w:val="36"/>
          <w:rtl/>
        </w:rPr>
        <w:t>من</w:t>
      </w:r>
      <w:r w:rsidR="00E8128F">
        <w:rPr>
          <w:sz w:val="36"/>
          <w:szCs w:val="36"/>
          <w:rtl/>
        </w:rPr>
        <w:t xml:space="preserve"> </w:t>
      </w:r>
      <w:r w:rsidR="00CC7081" w:rsidRPr="00FD211F">
        <w:rPr>
          <w:sz w:val="36"/>
          <w:szCs w:val="36"/>
          <w:rtl/>
        </w:rPr>
        <w:t>دلال</w:t>
      </w:r>
      <w:r w:rsidR="00EC7EDF" w:rsidRPr="00FD211F">
        <w:rPr>
          <w:sz w:val="36"/>
          <w:szCs w:val="36"/>
          <w:rtl/>
        </w:rPr>
        <w:t>ة</w:t>
      </w:r>
      <w:r w:rsidR="00E8128F">
        <w:rPr>
          <w:sz w:val="36"/>
          <w:szCs w:val="36"/>
          <w:rtl/>
        </w:rPr>
        <w:t xml:space="preserve"> </w:t>
      </w:r>
      <w:r w:rsidR="00CC7081" w:rsidRPr="00FD211F">
        <w:rPr>
          <w:sz w:val="36"/>
          <w:szCs w:val="36"/>
          <w:rtl/>
        </w:rPr>
        <w:t>الفعل</w:t>
      </w:r>
      <w:r w:rsidR="00E8128F">
        <w:rPr>
          <w:sz w:val="36"/>
          <w:szCs w:val="36"/>
          <w:rtl/>
        </w:rPr>
        <w:t xml:space="preserve"> </w:t>
      </w:r>
      <w:r w:rsidR="00CC7081" w:rsidRPr="00FD211F">
        <w:rPr>
          <w:sz w:val="36"/>
          <w:szCs w:val="36"/>
          <w:rtl/>
        </w:rPr>
        <w:t>المضارع</w:t>
      </w:r>
      <w:r w:rsidR="00E8128F">
        <w:rPr>
          <w:sz w:val="36"/>
          <w:szCs w:val="36"/>
          <w:rtl/>
        </w:rPr>
        <w:t xml:space="preserve"> </w:t>
      </w:r>
      <w:r w:rsidR="00CC7081" w:rsidRPr="00FD211F">
        <w:rPr>
          <w:sz w:val="36"/>
          <w:szCs w:val="36"/>
          <w:rtl/>
        </w:rPr>
        <w:t>على</w:t>
      </w:r>
      <w:r w:rsidR="00E8128F">
        <w:rPr>
          <w:sz w:val="36"/>
          <w:szCs w:val="36"/>
          <w:rtl/>
        </w:rPr>
        <w:t xml:space="preserve"> </w:t>
      </w:r>
      <w:r w:rsidR="00CC7081" w:rsidRPr="00FD211F">
        <w:rPr>
          <w:sz w:val="36"/>
          <w:szCs w:val="36"/>
          <w:rtl/>
        </w:rPr>
        <w:t>الحال</w:t>
      </w:r>
      <w:r w:rsidR="00E8128F">
        <w:rPr>
          <w:sz w:val="36"/>
          <w:szCs w:val="36"/>
          <w:rtl/>
        </w:rPr>
        <w:t xml:space="preserve"> </w:t>
      </w:r>
      <w:r w:rsidR="00CC7081" w:rsidRPr="00FD211F">
        <w:rPr>
          <w:sz w:val="36"/>
          <w:szCs w:val="36"/>
          <w:rtl/>
        </w:rPr>
        <w:t>هو</w:t>
      </w:r>
      <w:r w:rsidR="00E8128F">
        <w:rPr>
          <w:sz w:val="36"/>
          <w:szCs w:val="36"/>
          <w:rtl/>
        </w:rPr>
        <w:t xml:space="preserve"> </w:t>
      </w:r>
      <w:r w:rsidR="00CC7081" w:rsidRPr="00FD211F">
        <w:rPr>
          <w:sz w:val="36"/>
          <w:szCs w:val="36"/>
          <w:rtl/>
        </w:rPr>
        <w:t>الحال</w:t>
      </w:r>
      <w:r w:rsidR="00E8128F">
        <w:rPr>
          <w:sz w:val="36"/>
          <w:szCs w:val="36"/>
          <w:rtl/>
        </w:rPr>
        <w:t xml:space="preserve"> </w:t>
      </w:r>
      <w:r w:rsidR="00CC7081" w:rsidRPr="00FD211F">
        <w:rPr>
          <w:sz w:val="36"/>
          <w:szCs w:val="36"/>
          <w:rtl/>
        </w:rPr>
        <w:t>العرفي</w:t>
      </w:r>
      <w:r w:rsidR="00E8128F">
        <w:rPr>
          <w:sz w:val="36"/>
          <w:szCs w:val="36"/>
          <w:rtl/>
        </w:rPr>
        <w:t xml:space="preserve"> </w:t>
      </w:r>
      <w:r w:rsidR="008627FD" w:rsidRPr="00FD211F">
        <w:rPr>
          <w:sz w:val="36"/>
          <w:szCs w:val="36"/>
          <w:rtl/>
        </w:rPr>
        <w:t>اعني</w:t>
      </w:r>
      <w:r w:rsidR="00E8128F">
        <w:rPr>
          <w:sz w:val="36"/>
          <w:szCs w:val="36"/>
          <w:rtl/>
        </w:rPr>
        <w:t xml:space="preserve"> </w:t>
      </w:r>
      <w:r w:rsidR="008627FD" w:rsidRPr="00FD211F">
        <w:rPr>
          <w:sz w:val="36"/>
          <w:szCs w:val="36"/>
          <w:rtl/>
        </w:rPr>
        <w:t>الزمان</w:t>
      </w:r>
      <w:r w:rsidR="00E8128F">
        <w:rPr>
          <w:sz w:val="36"/>
          <w:szCs w:val="36"/>
          <w:rtl/>
        </w:rPr>
        <w:t xml:space="preserve"> </w:t>
      </w:r>
      <w:r w:rsidR="008627FD" w:rsidRPr="00FD211F">
        <w:rPr>
          <w:sz w:val="36"/>
          <w:szCs w:val="36"/>
          <w:rtl/>
        </w:rPr>
        <w:t>المتصل</w:t>
      </w:r>
      <w:r w:rsidR="00E8128F">
        <w:rPr>
          <w:sz w:val="36"/>
          <w:szCs w:val="36"/>
          <w:rtl/>
        </w:rPr>
        <w:t xml:space="preserve"> </w:t>
      </w:r>
      <w:r w:rsidR="008627FD" w:rsidRPr="00FD211F">
        <w:rPr>
          <w:sz w:val="36"/>
          <w:szCs w:val="36"/>
          <w:rtl/>
        </w:rPr>
        <w:t>بحال</w:t>
      </w:r>
      <w:r w:rsidR="00E8128F">
        <w:rPr>
          <w:sz w:val="36"/>
          <w:szCs w:val="36"/>
          <w:rtl/>
        </w:rPr>
        <w:t xml:space="preserve"> </w:t>
      </w:r>
      <w:r w:rsidR="00072D5C" w:rsidRPr="00FD211F">
        <w:rPr>
          <w:sz w:val="36"/>
          <w:szCs w:val="36"/>
          <w:rtl/>
        </w:rPr>
        <w:t>الاسناد</w:t>
      </w:r>
      <w:r w:rsidR="00E8128F">
        <w:rPr>
          <w:sz w:val="36"/>
          <w:szCs w:val="36"/>
          <w:rtl/>
        </w:rPr>
        <w:t xml:space="preserve"> </w:t>
      </w:r>
      <w:r w:rsidR="008627FD" w:rsidRPr="00FD211F">
        <w:rPr>
          <w:sz w:val="36"/>
          <w:szCs w:val="36"/>
          <w:rtl/>
        </w:rPr>
        <w:t>فهو</w:t>
      </w:r>
      <w:r w:rsidR="00E8128F">
        <w:rPr>
          <w:sz w:val="36"/>
          <w:szCs w:val="36"/>
          <w:rtl/>
        </w:rPr>
        <w:t xml:space="preserve"> </w:t>
      </w:r>
      <w:r w:rsidR="008627FD" w:rsidRPr="00FD211F">
        <w:rPr>
          <w:sz w:val="36"/>
          <w:szCs w:val="36"/>
          <w:rtl/>
        </w:rPr>
        <w:t>مرتب</w:t>
      </w:r>
      <w:r w:rsidR="00EC7EDF" w:rsidRPr="00FD211F">
        <w:rPr>
          <w:sz w:val="36"/>
          <w:szCs w:val="36"/>
          <w:rtl/>
        </w:rPr>
        <w:t>ة</w:t>
      </w:r>
      <w:r w:rsidR="00E8128F">
        <w:rPr>
          <w:sz w:val="36"/>
          <w:szCs w:val="36"/>
          <w:rtl/>
        </w:rPr>
        <w:t xml:space="preserve"> </w:t>
      </w:r>
      <w:r w:rsidR="008627FD" w:rsidRPr="00FD211F">
        <w:rPr>
          <w:sz w:val="36"/>
          <w:szCs w:val="36"/>
          <w:rtl/>
        </w:rPr>
        <w:t>من</w:t>
      </w:r>
      <w:r w:rsidR="00E8128F">
        <w:rPr>
          <w:sz w:val="36"/>
          <w:szCs w:val="36"/>
          <w:rtl/>
        </w:rPr>
        <w:t xml:space="preserve"> </w:t>
      </w:r>
      <w:r w:rsidR="008627FD" w:rsidRPr="00FD211F">
        <w:rPr>
          <w:sz w:val="36"/>
          <w:szCs w:val="36"/>
          <w:rtl/>
        </w:rPr>
        <w:t>مراتب</w:t>
      </w:r>
      <w:r w:rsidR="00E8128F">
        <w:rPr>
          <w:sz w:val="36"/>
          <w:szCs w:val="36"/>
          <w:rtl/>
        </w:rPr>
        <w:t xml:space="preserve"> </w:t>
      </w:r>
      <w:r w:rsidR="00072D5C" w:rsidRPr="00FD211F">
        <w:rPr>
          <w:sz w:val="36"/>
          <w:szCs w:val="36"/>
          <w:rtl/>
        </w:rPr>
        <w:t>الاستقبال</w:t>
      </w:r>
      <w:r w:rsidR="00603323" w:rsidRPr="00FD211F">
        <w:rPr>
          <w:sz w:val="36"/>
          <w:szCs w:val="36"/>
          <w:rtl/>
        </w:rPr>
        <w:t>،</w:t>
      </w:r>
      <w:r w:rsidR="00E8128F">
        <w:rPr>
          <w:sz w:val="36"/>
          <w:szCs w:val="36"/>
          <w:rtl/>
        </w:rPr>
        <w:t xml:space="preserve"> </w:t>
      </w:r>
      <w:r w:rsidR="008627FD" w:rsidRPr="00FD211F">
        <w:rPr>
          <w:sz w:val="36"/>
          <w:szCs w:val="36"/>
          <w:rtl/>
        </w:rPr>
        <w:t>واما</w:t>
      </w:r>
      <w:r w:rsidR="00E8128F">
        <w:rPr>
          <w:sz w:val="36"/>
          <w:szCs w:val="36"/>
          <w:rtl/>
        </w:rPr>
        <w:t xml:space="preserve"> </w:t>
      </w:r>
      <w:r w:rsidR="00CC7081" w:rsidRPr="00FD211F">
        <w:rPr>
          <w:sz w:val="36"/>
          <w:szCs w:val="36"/>
          <w:rtl/>
        </w:rPr>
        <w:t>صح</w:t>
      </w:r>
      <w:r w:rsidR="00EC7EDF" w:rsidRPr="00FD211F">
        <w:rPr>
          <w:sz w:val="36"/>
          <w:szCs w:val="36"/>
          <w:rtl/>
        </w:rPr>
        <w:t>ة</w:t>
      </w:r>
      <w:r w:rsidR="00E8128F">
        <w:rPr>
          <w:sz w:val="36"/>
          <w:szCs w:val="36"/>
          <w:rtl/>
        </w:rPr>
        <w:t xml:space="preserve"> </w:t>
      </w:r>
      <w:r w:rsidR="00CC7081" w:rsidRPr="00FD211F">
        <w:rPr>
          <w:sz w:val="36"/>
          <w:szCs w:val="36"/>
          <w:rtl/>
        </w:rPr>
        <w:t>حمل</w:t>
      </w:r>
      <w:r w:rsidR="00E8128F">
        <w:rPr>
          <w:sz w:val="36"/>
          <w:szCs w:val="36"/>
          <w:rtl/>
        </w:rPr>
        <w:t xml:space="preserve"> </w:t>
      </w:r>
      <w:r w:rsidR="00CC7081" w:rsidRPr="00FD211F">
        <w:rPr>
          <w:sz w:val="36"/>
          <w:szCs w:val="36"/>
          <w:rtl/>
        </w:rPr>
        <w:t>قولنا</w:t>
      </w:r>
      <w:r w:rsidR="00E8128F">
        <w:rPr>
          <w:sz w:val="36"/>
          <w:szCs w:val="36"/>
          <w:rtl/>
        </w:rPr>
        <w:t xml:space="preserve"> </w:t>
      </w:r>
      <w:r w:rsidR="003827D9" w:rsidRPr="00FD211F">
        <w:rPr>
          <w:sz w:val="36"/>
          <w:szCs w:val="36"/>
          <w:rtl/>
        </w:rPr>
        <w:t>"</w:t>
      </w:r>
      <w:r w:rsidR="008627FD" w:rsidRPr="00FD211F">
        <w:rPr>
          <w:sz w:val="36"/>
          <w:szCs w:val="36"/>
          <w:rtl/>
        </w:rPr>
        <w:t>زيد</w:t>
      </w:r>
      <w:r w:rsidR="00E8128F">
        <w:rPr>
          <w:sz w:val="36"/>
          <w:szCs w:val="36"/>
          <w:rtl/>
        </w:rPr>
        <w:t xml:space="preserve"> </w:t>
      </w:r>
      <w:r w:rsidR="008627FD" w:rsidRPr="00FD211F">
        <w:rPr>
          <w:sz w:val="36"/>
          <w:szCs w:val="36"/>
          <w:rtl/>
        </w:rPr>
        <w:t>يصلي</w:t>
      </w:r>
      <w:r w:rsidR="00E8128F">
        <w:rPr>
          <w:sz w:val="36"/>
          <w:szCs w:val="36"/>
          <w:rtl/>
        </w:rPr>
        <w:t xml:space="preserve"> </w:t>
      </w:r>
      <w:r w:rsidR="008627FD" w:rsidRPr="00FD211F">
        <w:rPr>
          <w:sz w:val="36"/>
          <w:szCs w:val="36"/>
          <w:rtl/>
        </w:rPr>
        <w:t>ويذكر</w:t>
      </w:r>
      <w:r w:rsidR="00E8128F">
        <w:rPr>
          <w:sz w:val="36"/>
          <w:szCs w:val="36"/>
          <w:rtl/>
        </w:rPr>
        <w:t xml:space="preserve"> </w:t>
      </w:r>
      <w:r w:rsidR="008627FD" w:rsidRPr="00FD211F">
        <w:rPr>
          <w:sz w:val="36"/>
          <w:szCs w:val="36"/>
          <w:rtl/>
        </w:rPr>
        <w:t>ويتكلم</w:t>
      </w:r>
      <w:r w:rsidR="003827D9" w:rsidRPr="00FD211F">
        <w:rPr>
          <w:sz w:val="36"/>
          <w:szCs w:val="36"/>
          <w:rtl/>
        </w:rPr>
        <w:t>"</w:t>
      </w:r>
      <w:r w:rsidR="00E8128F">
        <w:rPr>
          <w:sz w:val="36"/>
          <w:szCs w:val="36"/>
          <w:rtl/>
        </w:rPr>
        <w:t xml:space="preserve"> </w:t>
      </w:r>
      <w:r w:rsidR="00CC7081" w:rsidRPr="00FD211F">
        <w:rPr>
          <w:sz w:val="36"/>
          <w:szCs w:val="36"/>
          <w:rtl/>
        </w:rPr>
        <w:t>على</w:t>
      </w:r>
      <w:r w:rsidR="00E8128F">
        <w:rPr>
          <w:sz w:val="36"/>
          <w:szCs w:val="36"/>
          <w:rtl/>
        </w:rPr>
        <w:t xml:space="preserve"> </w:t>
      </w:r>
      <w:r w:rsidR="00CC7081" w:rsidRPr="00FD211F">
        <w:rPr>
          <w:sz w:val="36"/>
          <w:szCs w:val="36"/>
          <w:rtl/>
        </w:rPr>
        <w:t>فرض</w:t>
      </w:r>
      <w:r w:rsidR="00E8128F">
        <w:rPr>
          <w:sz w:val="36"/>
          <w:szCs w:val="36"/>
          <w:rtl/>
        </w:rPr>
        <w:t xml:space="preserve"> </w:t>
      </w:r>
      <w:r w:rsidR="00CC7081" w:rsidRPr="00FD211F">
        <w:rPr>
          <w:sz w:val="36"/>
          <w:szCs w:val="36"/>
          <w:rtl/>
        </w:rPr>
        <w:t>تلبسه</w:t>
      </w:r>
      <w:r w:rsidR="00E8128F">
        <w:rPr>
          <w:sz w:val="36"/>
          <w:szCs w:val="36"/>
          <w:rtl/>
        </w:rPr>
        <w:t xml:space="preserve"> </w:t>
      </w:r>
      <w:r w:rsidR="00CC7081" w:rsidRPr="00FD211F">
        <w:rPr>
          <w:sz w:val="36"/>
          <w:szCs w:val="36"/>
          <w:rtl/>
        </w:rPr>
        <w:t>فعلا</w:t>
      </w:r>
      <w:r w:rsidR="00E8128F">
        <w:rPr>
          <w:sz w:val="36"/>
          <w:szCs w:val="36"/>
          <w:rtl/>
        </w:rPr>
        <w:t xml:space="preserve"> </w:t>
      </w:r>
      <w:r w:rsidR="00CC7081" w:rsidRPr="00FD211F">
        <w:rPr>
          <w:sz w:val="36"/>
          <w:szCs w:val="36"/>
          <w:rtl/>
        </w:rPr>
        <w:t>فانما</w:t>
      </w:r>
      <w:r w:rsidR="00E8128F">
        <w:rPr>
          <w:sz w:val="36"/>
          <w:szCs w:val="36"/>
          <w:rtl/>
        </w:rPr>
        <w:t xml:space="preserve"> </w:t>
      </w:r>
      <w:r w:rsidR="00CC7081" w:rsidRPr="00FD211F">
        <w:rPr>
          <w:sz w:val="36"/>
          <w:szCs w:val="36"/>
          <w:rtl/>
        </w:rPr>
        <w:t>هو</w:t>
      </w:r>
      <w:r w:rsidR="00E8128F">
        <w:rPr>
          <w:sz w:val="36"/>
          <w:szCs w:val="36"/>
          <w:rtl/>
        </w:rPr>
        <w:t xml:space="preserve"> </w:t>
      </w:r>
      <w:r w:rsidR="008627FD" w:rsidRPr="00FD211F">
        <w:rPr>
          <w:sz w:val="36"/>
          <w:szCs w:val="36"/>
          <w:rtl/>
        </w:rPr>
        <w:t>بملاحظ</w:t>
      </w:r>
      <w:r w:rsidR="00EC7EDF" w:rsidRPr="00FD211F">
        <w:rPr>
          <w:sz w:val="36"/>
          <w:szCs w:val="36"/>
          <w:rtl/>
        </w:rPr>
        <w:t>ة</w:t>
      </w:r>
      <w:r w:rsidR="00E8128F">
        <w:rPr>
          <w:sz w:val="36"/>
          <w:szCs w:val="36"/>
          <w:rtl/>
        </w:rPr>
        <w:t xml:space="preserve"> </w:t>
      </w:r>
      <w:r w:rsidR="008627FD" w:rsidRPr="00FD211F">
        <w:rPr>
          <w:sz w:val="36"/>
          <w:szCs w:val="36"/>
          <w:rtl/>
        </w:rPr>
        <w:t>الأجزاء</w:t>
      </w:r>
      <w:r w:rsidR="00E8128F">
        <w:rPr>
          <w:sz w:val="36"/>
          <w:szCs w:val="36"/>
          <w:rtl/>
        </w:rPr>
        <w:t xml:space="preserve"> </w:t>
      </w:r>
      <w:r w:rsidR="008627FD" w:rsidRPr="00FD211F">
        <w:rPr>
          <w:sz w:val="36"/>
          <w:szCs w:val="36"/>
          <w:rtl/>
        </w:rPr>
        <w:t>اللاحق</w:t>
      </w:r>
      <w:r w:rsidR="00EC7EDF" w:rsidRPr="00FD211F">
        <w:rPr>
          <w:sz w:val="36"/>
          <w:szCs w:val="36"/>
          <w:rtl/>
        </w:rPr>
        <w:t>ة</w:t>
      </w:r>
      <w:r w:rsidR="00E8128F">
        <w:rPr>
          <w:sz w:val="36"/>
          <w:szCs w:val="36"/>
          <w:rtl/>
        </w:rPr>
        <w:t xml:space="preserve"> </w:t>
      </w:r>
      <w:r w:rsidR="00CC7081" w:rsidRPr="00FD211F">
        <w:rPr>
          <w:sz w:val="36"/>
          <w:szCs w:val="36"/>
          <w:rtl/>
        </w:rPr>
        <w:t>التي</w:t>
      </w:r>
      <w:r w:rsidR="00E8128F">
        <w:rPr>
          <w:sz w:val="36"/>
          <w:szCs w:val="36"/>
          <w:rtl/>
        </w:rPr>
        <w:t xml:space="preserve"> </w:t>
      </w:r>
      <w:r w:rsidR="00CC7081" w:rsidRPr="00FD211F">
        <w:rPr>
          <w:sz w:val="36"/>
          <w:szCs w:val="36"/>
          <w:rtl/>
        </w:rPr>
        <w:t>تتحقق</w:t>
      </w:r>
      <w:r w:rsidR="00E8128F">
        <w:rPr>
          <w:sz w:val="36"/>
          <w:szCs w:val="36"/>
          <w:rtl/>
        </w:rPr>
        <w:t xml:space="preserve"> </w:t>
      </w:r>
      <w:r w:rsidR="00CC7081" w:rsidRPr="00FD211F">
        <w:rPr>
          <w:sz w:val="36"/>
          <w:szCs w:val="36"/>
          <w:rtl/>
        </w:rPr>
        <w:t>مستقبلا</w:t>
      </w:r>
      <w:r w:rsidR="009C58C8" w:rsidRPr="00FD211F">
        <w:rPr>
          <w:rStyle w:val="a6"/>
          <w:sz w:val="36"/>
          <w:szCs w:val="36"/>
          <w:rtl/>
        </w:rPr>
        <w:t>(</w:t>
      </w:r>
      <w:r w:rsidR="009C58C8" w:rsidRPr="00FD211F">
        <w:rPr>
          <w:rStyle w:val="a6"/>
          <w:sz w:val="36"/>
          <w:szCs w:val="36"/>
          <w:rtl/>
        </w:rPr>
        <w:footnoteReference w:id="541"/>
      </w:r>
      <w:r w:rsidR="009C58C8" w:rsidRPr="00FD211F">
        <w:rPr>
          <w:rStyle w:val="a6"/>
          <w:sz w:val="36"/>
          <w:szCs w:val="36"/>
          <w:rtl/>
        </w:rPr>
        <w:t>)</w:t>
      </w:r>
      <w:r w:rsidR="00CC7081" w:rsidRPr="00FD211F">
        <w:rPr>
          <w:sz w:val="36"/>
          <w:szCs w:val="36"/>
          <w:rtl/>
        </w:rPr>
        <w:t>.</w:t>
      </w:r>
    </w:p>
    <w:p w14:paraId="6D6DC097" w14:textId="77777777" w:rsidR="008627FD" w:rsidRPr="00FD211F" w:rsidRDefault="008627FD" w:rsidP="00A935B9">
      <w:pPr>
        <w:ind w:left="0" w:firstLine="227"/>
        <w:jc w:val="both"/>
        <w:rPr>
          <w:sz w:val="36"/>
          <w:szCs w:val="36"/>
          <w:rtl/>
        </w:rPr>
      </w:pPr>
      <w:r w:rsidRPr="00FD211F">
        <w:rPr>
          <w:sz w:val="36"/>
          <w:szCs w:val="36"/>
          <w:rtl/>
        </w:rPr>
        <w:t>وقد</w:t>
      </w:r>
      <w:r w:rsidR="00E8128F">
        <w:rPr>
          <w:sz w:val="36"/>
          <w:szCs w:val="36"/>
          <w:rtl/>
        </w:rPr>
        <w:t xml:space="preserve"> </w:t>
      </w:r>
      <w:r w:rsidR="001C3D33" w:rsidRPr="00FD211F">
        <w:rPr>
          <w:sz w:val="36"/>
          <w:szCs w:val="36"/>
          <w:rtl/>
        </w:rPr>
        <w:t>أجاب</w:t>
      </w:r>
      <w:r w:rsidR="00E8128F">
        <w:rPr>
          <w:sz w:val="36"/>
          <w:szCs w:val="36"/>
          <w:rtl/>
        </w:rPr>
        <w:t xml:space="preserve"> </w:t>
      </w:r>
      <w:r w:rsidR="000627C7" w:rsidRPr="00FD211F">
        <w:rPr>
          <w:sz w:val="36"/>
          <w:szCs w:val="36"/>
          <w:rtl/>
        </w:rPr>
        <w:t>عنه</w:t>
      </w:r>
      <w:r w:rsidR="00E8128F">
        <w:rPr>
          <w:sz w:val="36"/>
          <w:szCs w:val="36"/>
          <w:rtl/>
        </w:rPr>
        <w:t xml:space="preserve"> </w:t>
      </w:r>
      <w:r w:rsidR="001C3D33" w:rsidRPr="00FD211F">
        <w:rPr>
          <w:sz w:val="36"/>
          <w:szCs w:val="36"/>
          <w:rtl/>
        </w:rPr>
        <w:t>السيد</w:t>
      </w:r>
      <w:r w:rsidR="00E8128F">
        <w:rPr>
          <w:sz w:val="36"/>
          <w:szCs w:val="36"/>
          <w:rtl/>
        </w:rPr>
        <w:t xml:space="preserve"> </w:t>
      </w:r>
      <w:r w:rsidR="001C3D33" w:rsidRPr="00FD211F">
        <w:rPr>
          <w:sz w:val="36"/>
          <w:szCs w:val="36"/>
          <w:rtl/>
        </w:rPr>
        <w:t>ال</w:t>
      </w:r>
      <w:r w:rsidR="005066A2" w:rsidRPr="00FD211F">
        <w:rPr>
          <w:sz w:val="36"/>
          <w:szCs w:val="36"/>
          <w:rtl/>
        </w:rPr>
        <w:t>گل‍‍پايگ</w:t>
      </w:r>
      <w:r w:rsidR="001C3D33" w:rsidRPr="00FD211F">
        <w:rPr>
          <w:sz w:val="36"/>
          <w:szCs w:val="36"/>
          <w:rtl/>
        </w:rPr>
        <w:t>اني</w:t>
      </w:r>
      <w:r w:rsidR="00E8128F">
        <w:rPr>
          <w:sz w:val="36"/>
          <w:szCs w:val="36"/>
          <w:rtl/>
        </w:rPr>
        <w:t xml:space="preserve"> </w:t>
      </w:r>
      <w:r w:rsidR="005066A2" w:rsidRPr="00FD211F">
        <w:rPr>
          <w:sz w:val="36"/>
          <w:szCs w:val="36"/>
          <w:rtl/>
        </w:rPr>
        <w:t>"قده"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تعليق</w:t>
      </w:r>
      <w:r w:rsidR="00EC7EDF" w:rsidRPr="00FD211F">
        <w:rPr>
          <w:sz w:val="36"/>
          <w:szCs w:val="36"/>
          <w:rtl/>
        </w:rPr>
        <w:t>ة</w:t>
      </w:r>
      <w:r w:rsidR="00E8128F">
        <w:rPr>
          <w:sz w:val="36"/>
          <w:szCs w:val="36"/>
          <w:rtl/>
        </w:rPr>
        <w:t xml:space="preserve"> </w:t>
      </w:r>
      <w:r w:rsidRPr="00FD211F">
        <w:rPr>
          <w:sz w:val="36"/>
          <w:szCs w:val="36"/>
          <w:rtl/>
        </w:rPr>
        <w:t>الدرر</w:t>
      </w:r>
      <w:r w:rsidR="00E8128F">
        <w:rPr>
          <w:sz w:val="36"/>
          <w:szCs w:val="36"/>
          <w:rtl/>
        </w:rPr>
        <w:t xml:space="preserve"> </w:t>
      </w:r>
      <w:r w:rsidR="000627C7" w:rsidRPr="00FD211F">
        <w:rPr>
          <w:sz w:val="36"/>
          <w:szCs w:val="36"/>
          <w:rtl/>
        </w:rPr>
        <w:t>ب</w:t>
      </w:r>
      <w:r w:rsidR="003827D9" w:rsidRPr="00FD211F">
        <w:rPr>
          <w:sz w:val="36"/>
          <w:szCs w:val="36"/>
          <w:rtl/>
        </w:rPr>
        <w:t>ان</w:t>
      </w:r>
      <w:r w:rsidR="00E8128F">
        <w:rPr>
          <w:sz w:val="36"/>
          <w:szCs w:val="36"/>
          <w:rtl/>
        </w:rPr>
        <w:t xml:space="preserve"> </w:t>
      </w:r>
      <w:r w:rsidR="003827D9" w:rsidRPr="00FD211F">
        <w:rPr>
          <w:sz w:val="36"/>
          <w:szCs w:val="36"/>
          <w:rtl/>
        </w:rPr>
        <w:t>معنى</w:t>
      </w:r>
      <w:r w:rsidR="00E8128F">
        <w:rPr>
          <w:sz w:val="36"/>
          <w:szCs w:val="36"/>
          <w:rtl/>
        </w:rPr>
        <w:t xml:space="preserve"> </w:t>
      </w:r>
      <w:r w:rsidR="003827D9" w:rsidRPr="00FD211F">
        <w:rPr>
          <w:sz w:val="36"/>
          <w:szCs w:val="36"/>
          <w:rtl/>
        </w:rPr>
        <w:t>الفعل</w:t>
      </w:r>
      <w:r w:rsidR="00E8128F">
        <w:rPr>
          <w:sz w:val="36"/>
          <w:szCs w:val="36"/>
          <w:rtl/>
        </w:rPr>
        <w:t xml:space="preserve"> </w:t>
      </w:r>
      <w:r w:rsidR="003827D9" w:rsidRPr="00FD211F">
        <w:rPr>
          <w:sz w:val="36"/>
          <w:szCs w:val="36"/>
          <w:rtl/>
        </w:rPr>
        <w:t>هو</w:t>
      </w:r>
      <w:r w:rsidR="00E8128F">
        <w:rPr>
          <w:sz w:val="36"/>
          <w:szCs w:val="36"/>
          <w:rtl/>
        </w:rPr>
        <w:t xml:space="preserve"> </w:t>
      </w:r>
      <w:r w:rsidR="003827D9" w:rsidRPr="00FD211F">
        <w:rPr>
          <w:sz w:val="36"/>
          <w:szCs w:val="36"/>
          <w:rtl/>
        </w:rPr>
        <w:t>الإ</w:t>
      </w:r>
      <w:r w:rsidRPr="00FD211F">
        <w:rPr>
          <w:sz w:val="36"/>
          <w:szCs w:val="36"/>
          <w:rtl/>
        </w:rPr>
        <w:t>حداث</w:t>
      </w:r>
      <w:r w:rsidR="00E8128F">
        <w:rPr>
          <w:sz w:val="36"/>
          <w:szCs w:val="36"/>
          <w:rtl/>
        </w:rPr>
        <w:t xml:space="preserve"> </w:t>
      </w:r>
      <w:r w:rsidRPr="00FD211F">
        <w:rPr>
          <w:sz w:val="36"/>
          <w:szCs w:val="36"/>
          <w:rtl/>
        </w:rPr>
        <w:t>فمعنى</w:t>
      </w:r>
      <w:r w:rsidR="00E8128F">
        <w:rPr>
          <w:sz w:val="36"/>
          <w:szCs w:val="36"/>
          <w:rtl/>
        </w:rPr>
        <w:t xml:space="preserve"> </w:t>
      </w:r>
      <w:r w:rsidR="00AC2EB4" w:rsidRPr="00FD211F">
        <w:rPr>
          <w:sz w:val="36"/>
          <w:szCs w:val="36"/>
          <w:rtl/>
        </w:rPr>
        <w:t>"</w:t>
      </w:r>
      <w:r w:rsidRPr="00FD211F">
        <w:rPr>
          <w:sz w:val="36"/>
          <w:szCs w:val="36"/>
          <w:rtl/>
        </w:rPr>
        <w:t>يقوم</w:t>
      </w:r>
      <w:r w:rsidR="00AC2EB4" w:rsidRPr="00FD211F">
        <w:rPr>
          <w:sz w:val="36"/>
          <w:szCs w:val="36"/>
          <w:rtl/>
        </w:rPr>
        <w:t>"</w:t>
      </w:r>
      <w:r w:rsidR="00E8128F">
        <w:rPr>
          <w:sz w:val="36"/>
          <w:szCs w:val="36"/>
          <w:rtl/>
        </w:rPr>
        <w:t xml:space="preserve"> </w:t>
      </w:r>
      <w:r w:rsidR="00AC2EB4" w:rsidRPr="00FD211F">
        <w:rPr>
          <w:sz w:val="36"/>
          <w:szCs w:val="36"/>
          <w:rtl/>
        </w:rPr>
        <w:t>انه</w:t>
      </w:r>
      <w:r w:rsidR="00E8128F">
        <w:rPr>
          <w:sz w:val="36"/>
          <w:szCs w:val="36"/>
          <w:rtl/>
        </w:rPr>
        <w:t xml:space="preserve"> </w:t>
      </w:r>
      <w:r w:rsidR="00AC2EB4" w:rsidRPr="00FD211F">
        <w:rPr>
          <w:sz w:val="36"/>
          <w:szCs w:val="36"/>
          <w:rtl/>
        </w:rPr>
        <w:t>ي</w:t>
      </w:r>
      <w:r w:rsidR="003827D9" w:rsidRPr="00FD211F">
        <w:rPr>
          <w:sz w:val="36"/>
          <w:szCs w:val="36"/>
          <w:rtl/>
        </w:rPr>
        <w:t>ُ</w:t>
      </w:r>
      <w:r w:rsidR="00CC7081" w:rsidRPr="00FD211F">
        <w:rPr>
          <w:sz w:val="36"/>
          <w:szCs w:val="36"/>
          <w:rtl/>
        </w:rPr>
        <w:t>حد</w:t>
      </w:r>
      <w:r w:rsidR="00AC2EB4" w:rsidRPr="00FD211F">
        <w:rPr>
          <w:sz w:val="36"/>
          <w:szCs w:val="36"/>
          <w:rtl/>
        </w:rPr>
        <w:t>ِ</w:t>
      </w:r>
      <w:r w:rsidR="00CC7081" w:rsidRPr="00FD211F">
        <w:rPr>
          <w:sz w:val="36"/>
          <w:szCs w:val="36"/>
          <w:rtl/>
        </w:rPr>
        <w:t>ث</w:t>
      </w:r>
      <w:r w:rsidR="00E8128F">
        <w:rPr>
          <w:sz w:val="36"/>
          <w:szCs w:val="36"/>
          <w:rtl/>
        </w:rPr>
        <w:t xml:space="preserve"> </w:t>
      </w:r>
      <w:r w:rsidRPr="00FD211F">
        <w:rPr>
          <w:sz w:val="36"/>
          <w:szCs w:val="36"/>
          <w:rtl/>
        </w:rPr>
        <w:t>القيام</w:t>
      </w:r>
      <w:r w:rsidR="00E8128F">
        <w:rPr>
          <w:sz w:val="36"/>
          <w:szCs w:val="36"/>
          <w:rtl/>
        </w:rPr>
        <w:t xml:space="preserve"> </w:t>
      </w:r>
      <w:r w:rsidRPr="00FD211F">
        <w:rPr>
          <w:sz w:val="36"/>
          <w:szCs w:val="36"/>
          <w:rtl/>
        </w:rPr>
        <w:t>فلو</w:t>
      </w:r>
      <w:r w:rsidR="00E8128F">
        <w:rPr>
          <w:sz w:val="36"/>
          <w:szCs w:val="36"/>
          <w:rtl/>
        </w:rPr>
        <w:t xml:space="preserve"> </w:t>
      </w:r>
      <w:r w:rsidRPr="00FD211F">
        <w:rPr>
          <w:sz w:val="36"/>
          <w:szCs w:val="36"/>
          <w:rtl/>
        </w:rPr>
        <w:t>فرض</w:t>
      </w:r>
      <w:r w:rsidR="00E8128F">
        <w:rPr>
          <w:sz w:val="36"/>
          <w:szCs w:val="36"/>
          <w:rtl/>
        </w:rPr>
        <w:t xml:space="preserve"> </w:t>
      </w:r>
      <w:r w:rsidRPr="00FD211F">
        <w:rPr>
          <w:sz w:val="36"/>
          <w:szCs w:val="36"/>
          <w:rtl/>
        </w:rPr>
        <w:t>تقارن</w:t>
      </w:r>
      <w:r w:rsidR="00E8128F">
        <w:rPr>
          <w:sz w:val="36"/>
          <w:szCs w:val="36"/>
          <w:rtl/>
        </w:rPr>
        <w:t xml:space="preserve"> </w:t>
      </w:r>
      <w:r w:rsidR="00CC7081" w:rsidRPr="00FD211F">
        <w:rPr>
          <w:sz w:val="36"/>
          <w:szCs w:val="36"/>
          <w:rtl/>
        </w:rPr>
        <w:t>الاسناد</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الاحداث</w:t>
      </w:r>
      <w:r w:rsidR="00E8128F">
        <w:rPr>
          <w:sz w:val="36"/>
          <w:szCs w:val="36"/>
          <w:rtl/>
        </w:rPr>
        <w:t xml:space="preserve"> </w:t>
      </w:r>
      <w:r w:rsidRPr="00FD211F">
        <w:rPr>
          <w:sz w:val="36"/>
          <w:szCs w:val="36"/>
          <w:rtl/>
        </w:rPr>
        <w:t>فلامانع</w:t>
      </w:r>
      <w:r w:rsidR="00E8128F">
        <w:rPr>
          <w:sz w:val="36"/>
          <w:szCs w:val="36"/>
          <w:rtl/>
        </w:rPr>
        <w:t xml:space="preserve"> </w:t>
      </w:r>
      <w:r w:rsidRPr="00FD211F">
        <w:rPr>
          <w:sz w:val="36"/>
          <w:szCs w:val="36"/>
          <w:rtl/>
        </w:rPr>
        <w:t>من</w:t>
      </w:r>
      <w:r w:rsidR="00E8128F">
        <w:rPr>
          <w:sz w:val="36"/>
          <w:szCs w:val="36"/>
          <w:rtl/>
        </w:rPr>
        <w:t xml:space="preserve"> </w:t>
      </w:r>
      <w:r w:rsidR="00CC7081" w:rsidRPr="00FD211F">
        <w:rPr>
          <w:sz w:val="36"/>
          <w:szCs w:val="36"/>
          <w:rtl/>
        </w:rPr>
        <w:t>ان</w:t>
      </w:r>
      <w:r w:rsidR="00E8128F">
        <w:rPr>
          <w:sz w:val="36"/>
          <w:szCs w:val="36"/>
          <w:rtl/>
        </w:rPr>
        <w:t xml:space="preserve"> </w:t>
      </w:r>
      <w:r w:rsidR="00CC7081" w:rsidRPr="00FD211F">
        <w:rPr>
          <w:sz w:val="36"/>
          <w:szCs w:val="36"/>
          <w:rtl/>
        </w:rPr>
        <w:t>يقال</w:t>
      </w:r>
      <w:r w:rsidR="00E8128F">
        <w:rPr>
          <w:sz w:val="36"/>
          <w:szCs w:val="36"/>
          <w:rtl/>
        </w:rPr>
        <w:t xml:space="preserve"> </w:t>
      </w:r>
      <w:r w:rsidR="00CC7081" w:rsidRPr="00FD211F">
        <w:rPr>
          <w:sz w:val="36"/>
          <w:szCs w:val="36"/>
          <w:rtl/>
        </w:rPr>
        <w:t>"انه</w:t>
      </w:r>
      <w:r w:rsidR="00E8128F">
        <w:rPr>
          <w:sz w:val="36"/>
          <w:szCs w:val="36"/>
          <w:rtl/>
        </w:rPr>
        <w:t xml:space="preserve"> </w:t>
      </w:r>
      <w:r w:rsidRPr="00FD211F">
        <w:rPr>
          <w:sz w:val="36"/>
          <w:szCs w:val="36"/>
          <w:rtl/>
        </w:rPr>
        <w:t>يقوم</w:t>
      </w:r>
      <w:r w:rsidR="00CC7081" w:rsidRPr="00FD211F">
        <w:rPr>
          <w:sz w:val="36"/>
          <w:szCs w:val="36"/>
          <w:rtl/>
        </w:rPr>
        <w:t>"</w:t>
      </w:r>
      <w:r w:rsidR="00603323" w:rsidRPr="00FD211F">
        <w:rPr>
          <w:sz w:val="36"/>
          <w:szCs w:val="36"/>
          <w:rtl/>
        </w:rPr>
        <w:t>،</w:t>
      </w:r>
      <w:r w:rsidR="00E8128F">
        <w:rPr>
          <w:sz w:val="36"/>
          <w:szCs w:val="36"/>
          <w:rtl/>
        </w:rPr>
        <w:t xml:space="preserve"> </w:t>
      </w:r>
      <w:r w:rsidR="00CC7081" w:rsidRPr="00FD211F">
        <w:rPr>
          <w:sz w:val="36"/>
          <w:szCs w:val="36"/>
          <w:rtl/>
        </w:rPr>
        <w:t>واما</w:t>
      </w:r>
      <w:r w:rsidR="00E8128F">
        <w:rPr>
          <w:sz w:val="36"/>
          <w:szCs w:val="36"/>
          <w:rtl/>
        </w:rPr>
        <w:t xml:space="preserve"> </w:t>
      </w:r>
      <w:r w:rsidR="00CC7081" w:rsidRPr="00FD211F">
        <w:rPr>
          <w:sz w:val="36"/>
          <w:szCs w:val="36"/>
          <w:rtl/>
        </w:rPr>
        <w:t>لو</w:t>
      </w:r>
      <w:r w:rsidR="00E8128F">
        <w:rPr>
          <w:sz w:val="36"/>
          <w:szCs w:val="36"/>
          <w:rtl/>
        </w:rPr>
        <w:t xml:space="preserve"> </w:t>
      </w:r>
      <w:r w:rsidR="00CC7081" w:rsidRPr="00FD211F">
        <w:rPr>
          <w:sz w:val="36"/>
          <w:szCs w:val="36"/>
          <w:rtl/>
        </w:rPr>
        <w:t>فرض</w:t>
      </w:r>
      <w:r w:rsidR="00E8128F">
        <w:rPr>
          <w:sz w:val="36"/>
          <w:szCs w:val="36"/>
          <w:rtl/>
        </w:rPr>
        <w:t xml:space="preserve"> </w:t>
      </w:r>
      <w:r w:rsidR="00CC7081" w:rsidRPr="00FD211F">
        <w:rPr>
          <w:sz w:val="36"/>
          <w:szCs w:val="36"/>
          <w:rtl/>
        </w:rPr>
        <w:t>انه</w:t>
      </w:r>
      <w:r w:rsidR="00E8128F">
        <w:rPr>
          <w:sz w:val="36"/>
          <w:szCs w:val="36"/>
          <w:rtl/>
        </w:rPr>
        <w:t xml:space="preserve"> </w:t>
      </w:r>
      <w:r w:rsidRPr="00FD211F">
        <w:rPr>
          <w:sz w:val="36"/>
          <w:szCs w:val="36"/>
          <w:rtl/>
        </w:rPr>
        <w:t>احدث</w:t>
      </w:r>
      <w:r w:rsidR="00E8128F">
        <w:rPr>
          <w:sz w:val="36"/>
          <w:szCs w:val="36"/>
          <w:rtl/>
        </w:rPr>
        <w:t xml:space="preserve"> </w:t>
      </w:r>
      <w:r w:rsidRPr="00FD211F">
        <w:rPr>
          <w:sz w:val="36"/>
          <w:szCs w:val="36"/>
          <w:rtl/>
        </w:rPr>
        <w:t>القيام</w:t>
      </w:r>
      <w:r w:rsidR="00E8128F">
        <w:rPr>
          <w:sz w:val="36"/>
          <w:szCs w:val="36"/>
          <w:rtl/>
        </w:rPr>
        <w:t xml:space="preserve"> </w:t>
      </w:r>
      <w:r w:rsidRPr="00FD211F">
        <w:rPr>
          <w:sz w:val="36"/>
          <w:szCs w:val="36"/>
          <w:rtl/>
        </w:rPr>
        <w:t>قبل</w:t>
      </w:r>
      <w:r w:rsidR="00E8128F">
        <w:rPr>
          <w:sz w:val="36"/>
          <w:szCs w:val="36"/>
          <w:rtl/>
        </w:rPr>
        <w:t xml:space="preserve"> </w:t>
      </w:r>
      <w:r w:rsidR="00CC7081" w:rsidRPr="00FD211F">
        <w:rPr>
          <w:sz w:val="36"/>
          <w:szCs w:val="36"/>
          <w:rtl/>
        </w:rPr>
        <w:t>زمان</w:t>
      </w:r>
      <w:r w:rsidR="00E8128F">
        <w:rPr>
          <w:sz w:val="36"/>
          <w:szCs w:val="36"/>
          <w:rtl/>
        </w:rPr>
        <w:t xml:space="preserve"> </w:t>
      </w:r>
      <w:r w:rsidR="00CC7081" w:rsidRPr="00FD211F">
        <w:rPr>
          <w:sz w:val="36"/>
          <w:szCs w:val="36"/>
          <w:rtl/>
        </w:rPr>
        <w:t>الإسناد</w:t>
      </w:r>
      <w:r w:rsidR="00603323" w:rsidRPr="00FD211F">
        <w:rPr>
          <w:sz w:val="36"/>
          <w:szCs w:val="36"/>
          <w:rtl/>
        </w:rPr>
        <w:t>،</w:t>
      </w:r>
      <w:r w:rsidR="00E8128F">
        <w:rPr>
          <w:sz w:val="36"/>
          <w:szCs w:val="36"/>
          <w:rtl/>
        </w:rPr>
        <w:t xml:space="preserve"> </w:t>
      </w:r>
      <w:r w:rsidR="00CC7081" w:rsidRPr="00FD211F">
        <w:rPr>
          <w:sz w:val="36"/>
          <w:szCs w:val="36"/>
          <w:rtl/>
        </w:rPr>
        <w:t>فما</w:t>
      </w:r>
      <w:r w:rsidR="00E8128F">
        <w:rPr>
          <w:sz w:val="36"/>
          <w:szCs w:val="36"/>
          <w:rtl/>
        </w:rPr>
        <w:t xml:space="preserve"> </w:t>
      </w:r>
      <w:r w:rsidR="00CC7081" w:rsidRPr="00FD211F">
        <w:rPr>
          <w:sz w:val="36"/>
          <w:szCs w:val="36"/>
          <w:rtl/>
        </w:rPr>
        <w:t>يكون</w:t>
      </w:r>
      <w:r w:rsidR="00E8128F">
        <w:rPr>
          <w:sz w:val="36"/>
          <w:szCs w:val="36"/>
          <w:rtl/>
        </w:rPr>
        <w:t xml:space="preserve"> </w:t>
      </w:r>
      <w:r w:rsidR="00CC7081" w:rsidRPr="00FD211F">
        <w:rPr>
          <w:sz w:val="36"/>
          <w:szCs w:val="36"/>
          <w:rtl/>
        </w:rPr>
        <w:t>موجودا</w:t>
      </w:r>
      <w:r w:rsidR="00E8128F">
        <w:rPr>
          <w:sz w:val="36"/>
          <w:szCs w:val="36"/>
          <w:rtl/>
        </w:rPr>
        <w:t xml:space="preserve"> </w:t>
      </w:r>
      <w:r w:rsidR="00CC7081" w:rsidRPr="00FD211F">
        <w:rPr>
          <w:sz w:val="36"/>
          <w:szCs w:val="36"/>
          <w:rtl/>
        </w:rPr>
        <w:t>في</w:t>
      </w:r>
      <w:r w:rsidR="00E8128F">
        <w:rPr>
          <w:sz w:val="36"/>
          <w:szCs w:val="36"/>
          <w:rtl/>
        </w:rPr>
        <w:t xml:space="preserve"> </w:t>
      </w:r>
      <w:r w:rsidR="00CC7081" w:rsidRPr="00FD211F">
        <w:rPr>
          <w:sz w:val="36"/>
          <w:szCs w:val="36"/>
          <w:rtl/>
        </w:rPr>
        <w:t>الحال</w:t>
      </w:r>
      <w:r w:rsidR="00E8128F">
        <w:rPr>
          <w:sz w:val="36"/>
          <w:szCs w:val="36"/>
          <w:rtl/>
        </w:rPr>
        <w:t xml:space="preserve"> </w:t>
      </w:r>
      <w:r w:rsidR="00CC7081" w:rsidRPr="00FD211F">
        <w:rPr>
          <w:sz w:val="36"/>
          <w:szCs w:val="36"/>
          <w:rtl/>
        </w:rPr>
        <w:t>هو</w:t>
      </w:r>
      <w:r w:rsidR="00E8128F">
        <w:rPr>
          <w:sz w:val="36"/>
          <w:szCs w:val="36"/>
          <w:rtl/>
        </w:rPr>
        <w:t xml:space="preserve"> </w:t>
      </w:r>
      <w:r w:rsidR="00CC7081" w:rsidRPr="00FD211F">
        <w:rPr>
          <w:sz w:val="36"/>
          <w:szCs w:val="36"/>
          <w:rtl/>
        </w:rPr>
        <w:t>إبقاء</w:t>
      </w:r>
      <w:r w:rsidR="00E8128F">
        <w:rPr>
          <w:sz w:val="36"/>
          <w:szCs w:val="36"/>
          <w:rtl/>
        </w:rPr>
        <w:t xml:space="preserve"> </w:t>
      </w:r>
      <w:r w:rsidR="00CC7081" w:rsidRPr="00FD211F">
        <w:rPr>
          <w:sz w:val="36"/>
          <w:szCs w:val="36"/>
          <w:rtl/>
        </w:rPr>
        <w:t>القيام</w:t>
      </w:r>
      <w:r w:rsidR="00603323" w:rsidRPr="00FD211F">
        <w:rPr>
          <w:sz w:val="36"/>
          <w:szCs w:val="36"/>
          <w:rtl/>
        </w:rPr>
        <w:t>،</w:t>
      </w:r>
      <w:r w:rsidR="00E8128F">
        <w:rPr>
          <w:sz w:val="36"/>
          <w:szCs w:val="36"/>
          <w:rtl/>
        </w:rPr>
        <w:t xml:space="preserve"> </w:t>
      </w:r>
      <w:r w:rsidR="00CC7081" w:rsidRPr="00FD211F">
        <w:rPr>
          <w:sz w:val="36"/>
          <w:szCs w:val="36"/>
          <w:rtl/>
        </w:rPr>
        <w:t>فلايصح</w:t>
      </w:r>
      <w:r w:rsidR="00E8128F">
        <w:rPr>
          <w:sz w:val="36"/>
          <w:szCs w:val="36"/>
          <w:rtl/>
        </w:rPr>
        <w:t xml:space="preserve"> </w:t>
      </w:r>
      <w:r w:rsidR="00CC7081" w:rsidRPr="00FD211F">
        <w:rPr>
          <w:sz w:val="36"/>
          <w:szCs w:val="36"/>
          <w:rtl/>
        </w:rPr>
        <w:t>ان</w:t>
      </w:r>
      <w:r w:rsidR="00E8128F">
        <w:rPr>
          <w:sz w:val="36"/>
          <w:szCs w:val="36"/>
          <w:rtl/>
        </w:rPr>
        <w:t xml:space="preserve"> </w:t>
      </w:r>
      <w:r w:rsidR="00CC7081" w:rsidRPr="00FD211F">
        <w:rPr>
          <w:sz w:val="36"/>
          <w:szCs w:val="36"/>
          <w:rtl/>
        </w:rPr>
        <w:t>يقال</w:t>
      </w:r>
      <w:r w:rsidR="003827D9" w:rsidRPr="00FD211F">
        <w:rPr>
          <w:sz w:val="36"/>
          <w:szCs w:val="36"/>
          <w:rtl/>
        </w:rPr>
        <w:t>"</w:t>
      </w:r>
      <w:r w:rsidR="00E8128F">
        <w:rPr>
          <w:sz w:val="36"/>
          <w:szCs w:val="36"/>
          <w:rtl/>
        </w:rPr>
        <w:t xml:space="preserve"> </w:t>
      </w:r>
      <w:r w:rsidR="00CC7081" w:rsidRPr="00FD211F">
        <w:rPr>
          <w:sz w:val="36"/>
          <w:szCs w:val="36"/>
          <w:rtl/>
        </w:rPr>
        <w:t>انه</w:t>
      </w:r>
      <w:r w:rsidR="00E8128F">
        <w:rPr>
          <w:sz w:val="36"/>
          <w:szCs w:val="36"/>
          <w:rtl/>
        </w:rPr>
        <w:t xml:space="preserve"> </w:t>
      </w:r>
      <w:r w:rsidR="00CC7081" w:rsidRPr="00FD211F">
        <w:rPr>
          <w:sz w:val="36"/>
          <w:szCs w:val="36"/>
          <w:rtl/>
        </w:rPr>
        <w:t>يقوم</w:t>
      </w:r>
      <w:r w:rsidR="003827D9" w:rsidRPr="00FD211F">
        <w:rPr>
          <w:sz w:val="36"/>
          <w:szCs w:val="36"/>
          <w:rtl/>
        </w:rPr>
        <w:t>"</w:t>
      </w:r>
      <w:r w:rsidR="00E8128F">
        <w:rPr>
          <w:sz w:val="36"/>
          <w:szCs w:val="36"/>
          <w:rtl/>
        </w:rPr>
        <w:t xml:space="preserve"> </w:t>
      </w:r>
      <w:r w:rsidR="00CC7081" w:rsidRPr="00FD211F">
        <w:rPr>
          <w:sz w:val="36"/>
          <w:szCs w:val="36"/>
          <w:rtl/>
        </w:rPr>
        <w:t>وانما</w:t>
      </w:r>
      <w:r w:rsidR="00E8128F">
        <w:rPr>
          <w:sz w:val="36"/>
          <w:szCs w:val="36"/>
          <w:rtl/>
        </w:rPr>
        <w:t xml:space="preserve"> </w:t>
      </w:r>
      <w:r w:rsidR="00CC7081" w:rsidRPr="00FD211F">
        <w:rPr>
          <w:sz w:val="36"/>
          <w:szCs w:val="36"/>
          <w:rtl/>
        </w:rPr>
        <w:t>يقال</w:t>
      </w:r>
      <w:r w:rsidR="00E8128F">
        <w:rPr>
          <w:sz w:val="36"/>
          <w:szCs w:val="36"/>
          <w:rtl/>
        </w:rPr>
        <w:t xml:space="preserve"> </w:t>
      </w:r>
      <w:r w:rsidR="003827D9" w:rsidRPr="00FD211F">
        <w:rPr>
          <w:sz w:val="36"/>
          <w:szCs w:val="36"/>
          <w:rtl/>
        </w:rPr>
        <w:t>"</w:t>
      </w:r>
      <w:r w:rsidR="00CC7081" w:rsidRPr="00FD211F">
        <w:rPr>
          <w:sz w:val="36"/>
          <w:szCs w:val="36"/>
          <w:rtl/>
        </w:rPr>
        <w:t>يبقى</w:t>
      </w:r>
      <w:r w:rsidR="00E8128F">
        <w:rPr>
          <w:sz w:val="36"/>
          <w:szCs w:val="36"/>
          <w:rtl/>
        </w:rPr>
        <w:t xml:space="preserve"> </w:t>
      </w:r>
      <w:r w:rsidR="00CC7081" w:rsidRPr="00FD211F">
        <w:rPr>
          <w:sz w:val="36"/>
          <w:szCs w:val="36"/>
          <w:rtl/>
        </w:rPr>
        <w:t>قيامه</w:t>
      </w:r>
      <w:r w:rsidR="003827D9" w:rsidRPr="00FD211F">
        <w:rPr>
          <w:sz w:val="36"/>
          <w:szCs w:val="36"/>
          <w:rtl/>
        </w:rPr>
        <w:t>"</w:t>
      </w:r>
      <w:r w:rsidR="00603323" w:rsidRPr="00FD211F">
        <w:rPr>
          <w:sz w:val="36"/>
          <w:szCs w:val="36"/>
          <w:rtl/>
        </w:rPr>
        <w:t>،</w:t>
      </w:r>
      <w:r w:rsidR="00E8128F">
        <w:rPr>
          <w:sz w:val="36"/>
          <w:szCs w:val="36"/>
          <w:rtl/>
        </w:rPr>
        <w:t xml:space="preserve"> </w:t>
      </w:r>
      <w:r w:rsidRPr="00FD211F">
        <w:rPr>
          <w:sz w:val="36"/>
          <w:szCs w:val="36"/>
          <w:rtl/>
        </w:rPr>
        <w:t>واما</w:t>
      </w:r>
      <w:r w:rsidR="00E8128F">
        <w:rPr>
          <w:sz w:val="36"/>
          <w:szCs w:val="36"/>
          <w:rtl/>
        </w:rPr>
        <w:t xml:space="preserve"> </w:t>
      </w:r>
      <w:r w:rsidRPr="00FD211F">
        <w:rPr>
          <w:sz w:val="36"/>
          <w:szCs w:val="36"/>
          <w:rtl/>
        </w:rPr>
        <w:t>مثل</w:t>
      </w:r>
      <w:r w:rsidR="00A935B9">
        <w:rPr>
          <w:rFonts w:hint="cs"/>
          <w:sz w:val="36"/>
          <w:szCs w:val="36"/>
          <w:rtl/>
        </w:rPr>
        <w:t xml:space="preserve"> </w:t>
      </w:r>
      <w:r w:rsidR="003827D9" w:rsidRPr="00FD211F">
        <w:rPr>
          <w:sz w:val="36"/>
          <w:szCs w:val="36"/>
          <w:rtl/>
        </w:rPr>
        <w:t>"</w:t>
      </w:r>
      <w:r w:rsidRPr="00FD211F">
        <w:rPr>
          <w:sz w:val="36"/>
          <w:szCs w:val="36"/>
          <w:rtl/>
        </w:rPr>
        <w:t>يأكل</w:t>
      </w:r>
      <w:r w:rsidR="003827D9" w:rsidRPr="00FD211F">
        <w:rPr>
          <w:sz w:val="36"/>
          <w:szCs w:val="36"/>
          <w:rtl/>
        </w:rPr>
        <w:t>"</w:t>
      </w:r>
      <w:r w:rsidR="00E8128F">
        <w:rPr>
          <w:sz w:val="36"/>
          <w:szCs w:val="36"/>
          <w:rtl/>
        </w:rPr>
        <w:t xml:space="preserve"> </w:t>
      </w:r>
      <w:r w:rsidRPr="00FD211F">
        <w:rPr>
          <w:sz w:val="36"/>
          <w:szCs w:val="36"/>
          <w:rtl/>
        </w:rPr>
        <w:t>فاطلاقه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الحال</w:t>
      </w:r>
      <w:r w:rsidR="00E8128F">
        <w:rPr>
          <w:sz w:val="36"/>
          <w:szCs w:val="36"/>
          <w:rtl/>
        </w:rPr>
        <w:t xml:space="preserve"> </w:t>
      </w:r>
      <w:r w:rsidRPr="00FD211F">
        <w:rPr>
          <w:sz w:val="36"/>
          <w:szCs w:val="36"/>
          <w:rtl/>
        </w:rPr>
        <w:t>بلحاظ</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الاكل</w:t>
      </w:r>
      <w:r w:rsidR="00E8128F">
        <w:rPr>
          <w:sz w:val="36"/>
          <w:szCs w:val="36"/>
          <w:rtl/>
        </w:rPr>
        <w:t xml:space="preserve"> </w:t>
      </w:r>
      <w:r w:rsidRPr="00FD211F">
        <w:rPr>
          <w:sz w:val="36"/>
          <w:szCs w:val="36"/>
          <w:rtl/>
        </w:rPr>
        <w:t>يوجد</w:t>
      </w:r>
      <w:r w:rsidR="00E8128F">
        <w:rPr>
          <w:sz w:val="36"/>
          <w:szCs w:val="36"/>
          <w:rtl/>
        </w:rPr>
        <w:t xml:space="preserve"> </w:t>
      </w:r>
      <w:r w:rsidRPr="00FD211F">
        <w:rPr>
          <w:sz w:val="36"/>
          <w:szCs w:val="36"/>
          <w:rtl/>
        </w:rPr>
        <w:t>آنا</w:t>
      </w:r>
      <w:r w:rsidR="00E8128F">
        <w:rPr>
          <w:sz w:val="36"/>
          <w:szCs w:val="36"/>
          <w:rtl/>
        </w:rPr>
        <w:t xml:space="preserve"> </w:t>
      </w:r>
      <w:r w:rsidRPr="00FD211F">
        <w:rPr>
          <w:sz w:val="36"/>
          <w:szCs w:val="36"/>
          <w:rtl/>
        </w:rPr>
        <w:t>فآنا</w:t>
      </w:r>
      <w:r w:rsidR="00E8128F">
        <w:rPr>
          <w:sz w:val="36"/>
          <w:szCs w:val="36"/>
          <w:rtl/>
        </w:rPr>
        <w:t xml:space="preserve"> </w:t>
      </w:r>
      <w:r w:rsidRPr="00FD211F">
        <w:rPr>
          <w:sz w:val="36"/>
          <w:szCs w:val="36"/>
          <w:rtl/>
        </w:rPr>
        <w:t>ومثله</w:t>
      </w:r>
      <w:r w:rsidR="00E8128F">
        <w:rPr>
          <w:sz w:val="36"/>
          <w:szCs w:val="36"/>
          <w:rtl/>
        </w:rPr>
        <w:t xml:space="preserve"> </w:t>
      </w:r>
      <w:r w:rsidR="003827D9" w:rsidRPr="00FD211F">
        <w:rPr>
          <w:sz w:val="36"/>
          <w:szCs w:val="36"/>
          <w:rtl/>
        </w:rPr>
        <w:t>"</w:t>
      </w:r>
      <w:r w:rsidRPr="00FD211F">
        <w:rPr>
          <w:sz w:val="36"/>
          <w:szCs w:val="36"/>
          <w:rtl/>
        </w:rPr>
        <w:t>ينظر</w:t>
      </w:r>
      <w:r w:rsidR="00603323" w:rsidRPr="00FD211F">
        <w:rPr>
          <w:sz w:val="36"/>
          <w:szCs w:val="36"/>
          <w:rtl/>
        </w:rPr>
        <w:t>،</w:t>
      </w:r>
      <w:r w:rsidR="00E8128F">
        <w:rPr>
          <w:sz w:val="36"/>
          <w:szCs w:val="36"/>
          <w:rtl/>
        </w:rPr>
        <w:t xml:space="preserve"> </w:t>
      </w:r>
      <w:r w:rsidRPr="00FD211F">
        <w:rPr>
          <w:sz w:val="36"/>
          <w:szCs w:val="36"/>
          <w:rtl/>
        </w:rPr>
        <w:t>يمشي</w:t>
      </w:r>
      <w:r w:rsidR="00603323" w:rsidRPr="00FD211F">
        <w:rPr>
          <w:sz w:val="36"/>
          <w:szCs w:val="36"/>
          <w:rtl/>
        </w:rPr>
        <w:t>،</w:t>
      </w:r>
      <w:r w:rsidR="00E8128F">
        <w:rPr>
          <w:sz w:val="36"/>
          <w:szCs w:val="36"/>
          <w:rtl/>
        </w:rPr>
        <w:t xml:space="preserve"> </w:t>
      </w:r>
      <w:r w:rsidR="003827D9" w:rsidRPr="00FD211F">
        <w:rPr>
          <w:sz w:val="36"/>
          <w:szCs w:val="36"/>
          <w:rtl/>
        </w:rPr>
        <w:t>يركض</w:t>
      </w:r>
      <w:r w:rsidR="00603323" w:rsidRPr="00FD211F">
        <w:rPr>
          <w:sz w:val="36"/>
          <w:szCs w:val="36"/>
          <w:rtl/>
        </w:rPr>
        <w:t>،</w:t>
      </w:r>
      <w:r w:rsidR="00E8128F">
        <w:rPr>
          <w:sz w:val="36"/>
          <w:szCs w:val="36"/>
          <w:rtl/>
        </w:rPr>
        <w:t xml:space="preserve"> </w:t>
      </w:r>
      <w:r w:rsidRPr="00FD211F">
        <w:rPr>
          <w:sz w:val="36"/>
          <w:szCs w:val="36"/>
          <w:rtl/>
        </w:rPr>
        <w:t>يضرب</w:t>
      </w:r>
      <w:r w:rsidR="00603323" w:rsidRPr="00FD211F">
        <w:rPr>
          <w:sz w:val="36"/>
          <w:szCs w:val="36"/>
          <w:rtl/>
        </w:rPr>
        <w:t>،</w:t>
      </w:r>
      <w:r w:rsidR="00E8128F">
        <w:rPr>
          <w:sz w:val="36"/>
          <w:szCs w:val="36"/>
          <w:rtl/>
        </w:rPr>
        <w:t xml:space="preserve"> </w:t>
      </w:r>
      <w:r w:rsidRPr="00FD211F">
        <w:rPr>
          <w:sz w:val="36"/>
          <w:szCs w:val="36"/>
          <w:rtl/>
        </w:rPr>
        <w:t>يخيط</w:t>
      </w:r>
      <w:r w:rsidR="00603323" w:rsidRPr="00FD211F">
        <w:rPr>
          <w:sz w:val="36"/>
          <w:szCs w:val="36"/>
          <w:rtl/>
        </w:rPr>
        <w:t>،</w:t>
      </w:r>
      <w:r w:rsidR="00E8128F">
        <w:rPr>
          <w:sz w:val="36"/>
          <w:szCs w:val="36"/>
          <w:rtl/>
        </w:rPr>
        <w:t xml:space="preserve"> </w:t>
      </w:r>
      <w:r w:rsidR="003827D9" w:rsidRPr="00FD211F">
        <w:rPr>
          <w:sz w:val="36"/>
          <w:szCs w:val="36"/>
          <w:rtl/>
        </w:rPr>
        <w:t>يغسل</w:t>
      </w:r>
      <w:r w:rsidR="00603323" w:rsidRPr="00FD211F">
        <w:rPr>
          <w:sz w:val="36"/>
          <w:szCs w:val="36"/>
          <w:rtl/>
        </w:rPr>
        <w:t>،</w:t>
      </w:r>
      <w:r w:rsidR="00E8128F">
        <w:rPr>
          <w:sz w:val="36"/>
          <w:szCs w:val="36"/>
          <w:rtl/>
        </w:rPr>
        <w:t xml:space="preserve"> </w:t>
      </w:r>
      <w:r w:rsidRPr="00FD211F">
        <w:rPr>
          <w:sz w:val="36"/>
          <w:szCs w:val="36"/>
          <w:rtl/>
        </w:rPr>
        <w:t>ينظف</w:t>
      </w:r>
      <w:r w:rsidR="00603323" w:rsidRPr="00FD211F">
        <w:rPr>
          <w:sz w:val="36"/>
          <w:szCs w:val="36"/>
          <w:rtl/>
        </w:rPr>
        <w:t>،</w:t>
      </w:r>
      <w:r w:rsidR="00E8128F">
        <w:rPr>
          <w:sz w:val="36"/>
          <w:szCs w:val="36"/>
          <w:rtl/>
        </w:rPr>
        <w:t xml:space="preserve"> </w:t>
      </w:r>
      <w:r w:rsidRPr="00FD211F">
        <w:rPr>
          <w:sz w:val="36"/>
          <w:szCs w:val="36"/>
          <w:rtl/>
        </w:rPr>
        <w:t>يكتب.</w:t>
      </w:r>
    </w:p>
    <w:p w14:paraId="2682433D" w14:textId="77777777" w:rsidR="000C5BBA" w:rsidRPr="00FD211F" w:rsidRDefault="008627FD" w:rsidP="009C58C8">
      <w:pPr>
        <w:ind w:left="0" w:firstLine="227"/>
        <w:jc w:val="both"/>
        <w:rPr>
          <w:sz w:val="36"/>
          <w:szCs w:val="36"/>
          <w:rtl/>
        </w:rPr>
      </w:pPr>
      <w:r w:rsidRPr="00FD211F">
        <w:rPr>
          <w:b/>
          <w:bCs/>
          <w:sz w:val="36"/>
          <w:szCs w:val="36"/>
          <w:rtl/>
        </w:rPr>
        <w:t>ان</w:t>
      </w:r>
      <w:r w:rsidR="00E8128F">
        <w:rPr>
          <w:b/>
          <w:bCs/>
          <w:sz w:val="36"/>
          <w:szCs w:val="36"/>
          <w:rtl/>
        </w:rPr>
        <w:t xml:space="preserve"> </w:t>
      </w:r>
      <w:r w:rsidRPr="00FD211F">
        <w:rPr>
          <w:b/>
          <w:bCs/>
          <w:sz w:val="36"/>
          <w:szCs w:val="36"/>
          <w:rtl/>
        </w:rPr>
        <w:t>قلت</w:t>
      </w:r>
      <w:r w:rsidRPr="00FD211F">
        <w:rPr>
          <w:sz w:val="36"/>
          <w:szCs w:val="36"/>
          <w:rtl/>
        </w:rPr>
        <w:t>:</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الفرق</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القيام</w:t>
      </w:r>
      <w:r w:rsidR="00E8128F">
        <w:rPr>
          <w:sz w:val="36"/>
          <w:szCs w:val="36"/>
          <w:rtl/>
        </w:rPr>
        <w:t xml:space="preserve"> </w:t>
      </w:r>
      <w:r w:rsidRPr="00FD211F">
        <w:rPr>
          <w:sz w:val="36"/>
          <w:szCs w:val="36"/>
          <w:rtl/>
        </w:rPr>
        <w:t>والعلم</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لايصح</w:t>
      </w:r>
      <w:r w:rsidR="00E8128F">
        <w:rPr>
          <w:sz w:val="36"/>
          <w:szCs w:val="36"/>
          <w:rtl/>
        </w:rPr>
        <w:t xml:space="preserve"> </w:t>
      </w:r>
      <w:r w:rsidR="00CC7081" w:rsidRPr="00FD211F">
        <w:rPr>
          <w:sz w:val="36"/>
          <w:szCs w:val="36"/>
          <w:rtl/>
        </w:rPr>
        <w:t>ان</w:t>
      </w:r>
      <w:r w:rsidR="00E8128F">
        <w:rPr>
          <w:sz w:val="36"/>
          <w:szCs w:val="36"/>
          <w:rtl/>
        </w:rPr>
        <w:t xml:space="preserve"> </w:t>
      </w:r>
      <w:r w:rsidR="00CC7081" w:rsidRPr="00FD211F">
        <w:rPr>
          <w:sz w:val="36"/>
          <w:szCs w:val="36"/>
          <w:rtl/>
        </w:rPr>
        <w:t>يقال</w:t>
      </w:r>
      <w:r w:rsidR="00E8128F">
        <w:rPr>
          <w:sz w:val="36"/>
          <w:szCs w:val="36"/>
          <w:rtl/>
        </w:rPr>
        <w:t xml:space="preserve"> </w:t>
      </w:r>
      <w:r w:rsidR="00CC7081" w:rsidRPr="00FD211F">
        <w:rPr>
          <w:sz w:val="36"/>
          <w:szCs w:val="36"/>
          <w:rtl/>
        </w:rPr>
        <w:t>لمن</w:t>
      </w:r>
      <w:r w:rsidR="00E8128F">
        <w:rPr>
          <w:sz w:val="36"/>
          <w:szCs w:val="36"/>
          <w:rtl/>
        </w:rPr>
        <w:t xml:space="preserve"> </w:t>
      </w:r>
      <w:r w:rsidR="00CC7081" w:rsidRPr="00FD211F">
        <w:rPr>
          <w:sz w:val="36"/>
          <w:szCs w:val="36"/>
          <w:rtl/>
        </w:rPr>
        <w:t>احدث</w:t>
      </w:r>
      <w:r w:rsidR="00E8128F">
        <w:rPr>
          <w:sz w:val="36"/>
          <w:szCs w:val="36"/>
          <w:rtl/>
        </w:rPr>
        <w:t xml:space="preserve"> </w:t>
      </w:r>
      <w:r w:rsidR="00CC7081" w:rsidRPr="00FD211F">
        <w:rPr>
          <w:sz w:val="36"/>
          <w:szCs w:val="36"/>
          <w:rtl/>
        </w:rPr>
        <w:t>القيام</w:t>
      </w:r>
      <w:r w:rsidR="00E8128F">
        <w:rPr>
          <w:sz w:val="36"/>
          <w:szCs w:val="36"/>
          <w:rtl/>
        </w:rPr>
        <w:t xml:space="preserve"> </w:t>
      </w:r>
      <w:r w:rsidR="00CC7081" w:rsidRPr="00FD211F">
        <w:rPr>
          <w:sz w:val="36"/>
          <w:szCs w:val="36"/>
          <w:rtl/>
        </w:rPr>
        <w:t>قبل</w:t>
      </w:r>
      <w:r w:rsidR="00E8128F">
        <w:rPr>
          <w:sz w:val="36"/>
          <w:szCs w:val="36"/>
          <w:rtl/>
        </w:rPr>
        <w:t xml:space="preserve"> </w:t>
      </w:r>
      <w:r w:rsidR="00CC7081" w:rsidRPr="00FD211F">
        <w:rPr>
          <w:sz w:val="36"/>
          <w:szCs w:val="36"/>
          <w:rtl/>
        </w:rPr>
        <w:t>ذلك</w:t>
      </w:r>
      <w:r w:rsidR="00E8128F">
        <w:rPr>
          <w:sz w:val="36"/>
          <w:szCs w:val="36"/>
          <w:rtl/>
        </w:rPr>
        <w:t xml:space="preserve"> </w:t>
      </w:r>
      <w:r w:rsidR="00CC7081" w:rsidRPr="00FD211F">
        <w:rPr>
          <w:sz w:val="36"/>
          <w:szCs w:val="36"/>
          <w:rtl/>
        </w:rPr>
        <w:t>انه</w:t>
      </w:r>
      <w:r w:rsidR="00E8128F">
        <w:rPr>
          <w:sz w:val="36"/>
          <w:szCs w:val="36"/>
          <w:rtl/>
        </w:rPr>
        <w:t xml:space="preserve"> </w:t>
      </w:r>
      <w:r w:rsidRPr="00FD211F">
        <w:rPr>
          <w:sz w:val="36"/>
          <w:szCs w:val="36"/>
          <w:rtl/>
        </w:rPr>
        <w:t>يقوم</w:t>
      </w:r>
      <w:r w:rsidR="00E8128F">
        <w:rPr>
          <w:sz w:val="36"/>
          <w:szCs w:val="36"/>
          <w:rtl/>
        </w:rPr>
        <w:t xml:space="preserve"> </w:t>
      </w:r>
      <w:r w:rsidR="00CC7081" w:rsidRPr="00FD211F">
        <w:rPr>
          <w:sz w:val="36"/>
          <w:szCs w:val="36"/>
          <w:rtl/>
        </w:rPr>
        <w:t>ولكن</w:t>
      </w:r>
      <w:r w:rsidR="00E8128F">
        <w:rPr>
          <w:sz w:val="36"/>
          <w:szCs w:val="36"/>
          <w:rtl/>
        </w:rPr>
        <w:t xml:space="preserve"> </w:t>
      </w:r>
      <w:r w:rsidR="00CC7081" w:rsidRPr="00FD211F">
        <w:rPr>
          <w:sz w:val="36"/>
          <w:szCs w:val="36"/>
          <w:rtl/>
        </w:rPr>
        <w:t>يصح</w:t>
      </w:r>
      <w:r w:rsidR="00E8128F">
        <w:rPr>
          <w:sz w:val="36"/>
          <w:szCs w:val="36"/>
          <w:rtl/>
        </w:rPr>
        <w:t xml:space="preserve"> </w:t>
      </w:r>
      <w:r w:rsidR="00CC7081" w:rsidRPr="00FD211F">
        <w:rPr>
          <w:sz w:val="36"/>
          <w:szCs w:val="36"/>
          <w:rtl/>
        </w:rPr>
        <w:t>ان</w:t>
      </w:r>
      <w:r w:rsidR="00E8128F">
        <w:rPr>
          <w:sz w:val="36"/>
          <w:szCs w:val="36"/>
          <w:rtl/>
        </w:rPr>
        <w:t xml:space="preserve"> </w:t>
      </w:r>
      <w:r w:rsidR="00CC7081" w:rsidRPr="00FD211F">
        <w:rPr>
          <w:sz w:val="36"/>
          <w:szCs w:val="36"/>
          <w:rtl/>
        </w:rPr>
        <w:t>يقال</w:t>
      </w:r>
      <w:r w:rsidR="00E8128F">
        <w:rPr>
          <w:sz w:val="36"/>
          <w:szCs w:val="36"/>
          <w:rtl/>
        </w:rPr>
        <w:t xml:space="preserve"> </w:t>
      </w:r>
      <w:r w:rsidR="00CC7081" w:rsidRPr="00FD211F">
        <w:rPr>
          <w:sz w:val="36"/>
          <w:szCs w:val="36"/>
          <w:rtl/>
        </w:rPr>
        <w:t>لمن</w:t>
      </w:r>
      <w:r w:rsidR="00E8128F">
        <w:rPr>
          <w:sz w:val="36"/>
          <w:szCs w:val="36"/>
          <w:rtl/>
        </w:rPr>
        <w:t xml:space="preserve"> </w:t>
      </w:r>
      <w:r w:rsidR="00CC7081" w:rsidRPr="00FD211F">
        <w:rPr>
          <w:sz w:val="36"/>
          <w:szCs w:val="36"/>
          <w:rtl/>
        </w:rPr>
        <w:t>حدث</w:t>
      </w:r>
      <w:r w:rsidR="00E8128F">
        <w:rPr>
          <w:sz w:val="36"/>
          <w:szCs w:val="36"/>
          <w:rtl/>
        </w:rPr>
        <w:t xml:space="preserve"> </w:t>
      </w:r>
      <w:r w:rsidR="00CC7081" w:rsidRPr="00FD211F">
        <w:rPr>
          <w:sz w:val="36"/>
          <w:szCs w:val="36"/>
          <w:rtl/>
        </w:rPr>
        <w:t>له</w:t>
      </w:r>
      <w:r w:rsidR="00E8128F">
        <w:rPr>
          <w:sz w:val="36"/>
          <w:szCs w:val="36"/>
          <w:rtl/>
        </w:rPr>
        <w:t xml:space="preserve"> </w:t>
      </w:r>
      <w:r w:rsidR="00CC7081" w:rsidRPr="00FD211F">
        <w:rPr>
          <w:sz w:val="36"/>
          <w:szCs w:val="36"/>
          <w:rtl/>
        </w:rPr>
        <w:t>العلم</w:t>
      </w:r>
      <w:r w:rsidR="00E8128F">
        <w:rPr>
          <w:sz w:val="36"/>
          <w:szCs w:val="36"/>
          <w:rtl/>
        </w:rPr>
        <w:t xml:space="preserve"> </w:t>
      </w:r>
      <w:r w:rsidR="00CC7081" w:rsidRPr="00FD211F">
        <w:rPr>
          <w:sz w:val="36"/>
          <w:szCs w:val="36"/>
          <w:rtl/>
        </w:rPr>
        <w:t>قبل</w:t>
      </w:r>
      <w:r w:rsidR="00E8128F">
        <w:rPr>
          <w:sz w:val="36"/>
          <w:szCs w:val="36"/>
          <w:rtl/>
        </w:rPr>
        <w:t xml:space="preserve"> </w:t>
      </w:r>
      <w:r w:rsidR="00CC7081" w:rsidRPr="00FD211F">
        <w:rPr>
          <w:sz w:val="36"/>
          <w:szCs w:val="36"/>
          <w:rtl/>
        </w:rPr>
        <w:t>ذلك</w:t>
      </w:r>
      <w:r w:rsidR="00E8128F">
        <w:rPr>
          <w:sz w:val="36"/>
          <w:szCs w:val="36"/>
          <w:rtl/>
        </w:rPr>
        <w:t xml:space="preserve"> </w:t>
      </w:r>
      <w:r w:rsidR="00CC7081" w:rsidRPr="00FD211F">
        <w:rPr>
          <w:sz w:val="36"/>
          <w:szCs w:val="36"/>
          <w:rtl/>
        </w:rPr>
        <w:t>انه</w:t>
      </w:r>
      <w:r w:rsidR="00E8128F">
        <w:rPr>
          <w:sz w:val="36"/>
          <w:szCs w:val="36"/>
          <w:rtl/>
        </w:rPr>
        <w:t xml:space="preserve"> </w:t>
      </w:r>
      <w:r w:rsidR="00CC7081" w:rsidRPr="00FD211F">
        <w:rPr>
          <w:sz w:val="36"/>
          <w:szCs w:val="36"/>
          <w:rtl/>
        </w:rPr>
        <w:t>يعلم</w:t>
      </w:r>
      <w:r w:rsidR="003827D9" w:rsidRPr="00FD211F">
        <w:rPr>
          <w:sz w:val="36"/>
          <w:szCs w:val="36"/>
          <w:rtl/>
        </w:rPr>
        <w:t>.</w:t>
      </w:r>
    </w:p>
    <w:p w14:paraId="6E5A41AA" w14:textId="77777777" w:rsidR="008627FD" w:rsidRPr="00FD211F" w:rsidRDefault="00B53A9C" w:rsidP="009C58C8">
      <w:pPr>
        <w:ind w:left="0" w:firstLine="227"/>
        <w:jc w:val="both"/>
        <w:rPr>
          <w:sz w:val="36"/>
          <w:szCs w:val="36"/>
          <w:rtl/>
        </w:rPr>
      </w:pPr>
      <w:r w:rsidRPr="00FD211F">
        <w:rPr>
          <w:b/>
          <w:bCs/>
          <w:sz w:val="36"/>
          <w:szCs w:val="36"/>
          <w:rtl/>
        </w:rPr>
        <w:t>قلت</w:t>
      </w:r>
      <w:r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بقاء</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وامثاله</w:t>
      </w:r>
      <w:r w:rsidR="00E8128F">
        <w:rPr>
          <w:sz w:val="36"/>
          <w:szCs w:val="36"/>
          <w:rtl/>
        </w:rPr>
        <w:t xml:space="preserve"> </w:t>
      </w:r>
      <w:r w:rsidRPr="00FD211F">
        <w:rPr>
          <w:sz w:val="36"/>
          <w:szCs w:val="36"/>
          <w:rtl/>
        </w:rPr>
        <w:t>كالإراد</w:t>
      </w:r>
      <w:r w:rsidR="00EC7EDF" w:rsidRPr="00FD211F">
        <w:rPr>
          <w:sz w:val="36"/>
          <w:szCs w:val="36"/>
          <w:rtl/>
        </w:rPr>
        <w:t>ة</w:t>
      </w:r>
      <w:r w:rsidR="00E8128F">
        <w:rPr>
          <w:sz w:val="36"/>
          <w:szCs w:val="36"/>
          <w:rtl/>
        </w:rPr>
        <w:t xml:space="preserve"> </w:t>
      </w:r>
      <w:r w:rsidRPr="00FD211F">
        <w:rPr>
          <w:sz w:val="36"/>
          <w:szCs w:val="36"/>
          <w:rtl/>
        </w:rPr>
        <w:t>والاشتهاء</w:t>
      </w:r>
      <w:r w:rsidR="00E8128F">
        <w:rPr>
          <w:sz w:val="36"/>
          <w:szCs w:val="36"/>
          <w:rtl/>
        </w:rPr>
        <w:t xml:space="preserve"> </w:t>
      </w:r>
      <w:r w:rsidRPr="00FD211F">
        <w:rPr>
          <w:sz w:val="36"/>
          <w:szCs w:val="36"/>
          <w:rtl/>
        </w:rPr>
        <w:t>والحب</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افعال</w:t>
      </w:r>
      <w:r w:rsidR="00E8128F">
        <w:rPr>
          <w:sz w:val="36"/>
          <w:szCs w:val="36"/>
          <w:rtl/>
        </w:rPr>
        <w:t xml:space="preserve"> </w:t>
      </w:r>
      <w:r w:rsidRPr="00FD211F">
        <w:rPr>
          <w:sz w:val="36"/>
          <w:szCs w:val="36"/>
          <w:rtl/>
        </w:rPr>
        <w:t>القلوب</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بتوجه</w:t>
      </w:r>
      <w:r w:rsidR="00E8128F">
        <w:rPr>
          <w:sz w:val="36"/>
          <w:szCs w:val="36"/>
          <w:rtl/>
        </w:rPr>
        <w:t xml:space="preserve"> </w:t>
      </w:r>
      <w:r w:rsidRPr="00FD211F">
        <w:rPr>
          <w:sz w:val="36"/>
          <w:szCs w:val="36"/>
          <w:rtl/>
        </w:rPr>
        <w:t>النفس</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آن</w:t>
      </w:r>
      <w:r w:rsidR="00E8128F">
        <w:rPr>
          <w:sz w:val="36"/>
          <w:szCs w:val="36"/>
          <w:rtl/>
        </w:rPr>
        <w:t xml:space="preserve"> </w:t>
      </w:r>
      <w:r w:rsidRPr="00FD211F">
        <w:rPr>
          <w:sz w:val="36"/>
          <w:szCs w:val="36"/>
          <w:rtl/>
        </w:rPr>
        <w:t>وبقاء</w:t>
      </w:r>
      <w:r w:rsidR="00E8128F">
        <w:rPr>
          <w:sz w:val="36"/>
          <w:szCs w:val="36"/>
          <w:rtl/>
        </w:rPr>
        <w:t xml:space="preserve"> </w:t>
      </w:r>
      <w:r w:rsidRPr="00FD211F">
        <w:rPr>
          <w:sz w:val="36"/>
          <w:szCs w:val="36"/>
          <w:rtl/>
        </w:rPr>
        <w:t>القيام</w:t>
      </w:r>
      <w:r w:rsidR="00E8128F">
        <w:rPr>
          <w:sz w:val="36"/>
          <w:szCs w:val="36"/>
          <w:rtl/>
        </w:rPr>
        <w:t xml:space="preserve"> </w:t>
      </w:r>
      <w:r w:rsidRPr="00FD211F">
        <w:rPr>
          <w:sz w:val="36"/>
          <w:szCs w:val="36"/>
          <w:rtl/>
        </w:rPr>
        <w:t>لا</w:t>
      </w:r>
      <w:r w:rsidR="00F374B3" w:rsidRPr="00FD211F">
        <w:rPr>
          <w:sz w:val="36"/>
          <w:szCs w:val="36"/>
          <w:rtl/>
        </w:rPr>
        <w:t>ي</w:t>
      </w:r>
      <w:r w:rsidRPr="00FD211F">
        <w:rPr>
          <w:sz w:val="36"/>
          <w:szCs w:val="36"/>
          <w:rtl/>
        </w:rPr>
        <w:t>عد</w:t>
      </w:r>
      <w:r w:rsidR="00E8128F">
        <w:rPr>
          <w:sz w:val="36"/>
          <w:szCs w:val="36"/>
          <w:rtl/>
        </w:rPr>
        <w:t xml:space="preserve"> </w:t>
      </w:r>
      <w:r w:rsidRPr="00FD211F">
        <w:rPr>
          <w:sz w:val="36"/>
          <w:szCs w:val="36"/>
          <w:rtl/>
        </w:rPr>
        <w:t>فعلا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حد</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542"/>
      </w:r>
      <w:r w:rsidR="009C58C8" w:rsidRPr="00FD211F">
        <w:rPr>
          <w:rStyle w:val="a6"/>
          <w:sz w:val="36"/>
          <w:szCs w:val="36"/>
          <w:rtl/>
        </w:rPr>
        <w:t>)</w:t>
      </w:r>
      <w:r w:rsidRPr="00FD211F">
        <w:rPr>
          <w:sz w:val="36"/>
          <w:szCs w:val="36"/>
          <w:rtl/>
        </w:rPr>
        <w:t>.</w:t>
      </w:r>
    </w:p>
    <w:p w14:paraId="1796140A" w14:textId="77777777" w:rsidR="004E69FC" w:rsidRPr="00FD211F" w:rsidRDefault="00B53A9C" w:rsidP="00142012">
      <w:pPr>
        <w:ind w:left="0" w:firstLine="227"/>
        <w:jc w:val="both"/>
        <w:rPr>
          <w:sz w:val="36"/>
          <w:szCs w:val="36"/>
          <w:rtl/>
        </w:rPr>
      </w:pPr>
      <w:r w:rsidRPr="00FD211F">
        <w:rPr>
          <w:sz w:val="36"/>
          <w:szCs w:val="36"/>
          <w:rtl/>
        </w:rPr>
        <w:t>اقول:</w:t>
      </w:r>
      <w:r w:rsidR="00E8128F">
        <w:rPr>
          <w:sz w:val="36"/>
          <w:szCs w:val="36"/>
          <w:rtl/>
        </w:rPr>
        <w:t xml:space="preserve"> </w:t>
      </w:r>
      <w:r w:rsidR="00CC7081" w:rsidRPr="00FD211F">
        <w:rPr>
          <w:sz w:val="36"/>
          <w:szCs w:val="36"/>
          <w:rtl/>
        </w:rPr>
        <w:t>الظاهر</w:t>
      </w:r>
      <w:r w:rsidR="00E8128F">
        <w:rPr>
          <w:sz w:val="36"/>
          <w:szCs w:val="36"/>
          <w:rtl/>
        </w:rPr>
        <w:t xml:space="preserve"> </w:t>
      </w:r>
      <w:r w:rsidR="00CC7081" w:rsidRPr="00FD211F">
        <w:rPr>
          <w:sz w:val="36"/>
          <w:szCs w:val="36"/>
          <w:rtl/>
        </w:rPr>
        <w:t>انه</w:t>
      </w:r>
      <w:r w:rsidR="00E8128F">
        <w:rPr>
          <w:sz w:val="36"/>
          <w:szCs w:val="36"/>
          <w:rtl/>
        </w:rPr>
        <w:t xml:space="preserve"> </w:t>
      </w:r>
      <w:r w:rsidR="00E34727" w:rsidRPr="00FD211F">
        <w:rPr>
          <w:sz w:val="36"/>
          <w:szCs w:val="36"/>
          <w:rtl/>
        </w:rPr>
        <w:t>يوجد</w:t>
      </w:r>
      <w:r w:rsidR="00E8128F">
        <w:rPr>
          <w:sz w:val="36"/>
          <w:szCs w:val="36"/>
          <w:rtl/>
        </w:rPr>
        <w:t xml:space="preserve"> </w:t>
      </w:r>
      <w:r w:rsidR="00E34727" w:rsidRPr="00FD211F">
        <w:rPr>
          <w:sz w:val="36"/>
          <w:szCs w:val="36"/>
          <w:rtl/>
        </w:rPr>
        <w:t>فرق</w:t>
      </w:r>
      <w:r w:rsidR="00E8128F">
        <w:rPr>
          <w:sz w:val="36"/>
          <w:szCs w:val="36"/>
          <w:rtl/>
        </w:rPr>
        <w:t xml:space="preserve"> </w:t>
      </w:r>
      <w:r w:rsidR="00E34727" w:rsidRPr="00FD211F">
        <w:rPr>
          <w:sz w:val="36"/>
          <w:szCs w:val="36"/>
          <w:rtl/>
        </w:rPr>
        <w:t>بين</w:t>
      </w:r>
      <w:r w:rsidR="00E8128F">
        <w:rPr>
          <w:sz w:val="36"/>
          <w:szCs w:val="36"/>
          <w:rtl/>
        </w:rPr>
        <w:t xml:space="preserve"> </w:t>
      </w:r>
      <w:r w:rsidR="00E34727" w:rsidRPr="00FD211F">
        <w:rPr>
          <w:sz w:val="36"/>
          <w:szCs w:val="36"/>
          <w:rtl/>
        </w:rPr>
        <w:t>ما</w:t>
      </w:r>
      <w:r w:rsidR="00E8128F">
        <w:rPr>
          <w:sz w:val="36"/>
          <w:szCs w:val="36"/>
          <w:rtl/>
        </w:rPr>
        <w:t xml:space="preserve"> </w:t>
      </w:r>
      <w:r w:rsidR="00E34727" w:rsidRPr="00FD211F">
        <w:rPr>
          <w:sz w:val="36"/>
          <w:szCs w:val="36"/>
          <w:rtl/>
        </w:rPr>
        <w:t>لو</w:t>
      </w:r>
      <w:r w:rsidR="00E8128F">
        <w:rPr>
          <w:sz w:val="36"/>
          <w:szCs w:val="36"/>
          <w:rtl/>
        </w:rPr>
        <w:t xml:space="preserve"> </w:t>
      </w:r>
      <w:r w:rsidR="00E34727" w:rsidRPr="00FD211F">
        <w:rPr>
          <w:sz w:val="36"/>
          <w:szCs w:val="36"/>
          <w:rtl/>
        </w:rPr>
        <w:t>قيل</w:t>
      </w:r>
      <w:r w:rsidR="00AC2EB4" w:rsidRPr="00FD211F">
        <w:rPr>
          <w:sz w:val="36"/>
          <w:szCs w:val="36"/>
          <w:rtl/>
        </w:rPr>
        <w:t>"</w:t>
      </w:r>
      <w:r w:rsidR="00E8128F">
        <w:rPr>
          <w:sz w:val="36"/>
          <w:szCs w:val="36"/>
          <w:rtl/>
        </w:rPr>
        <w:t xml:space="preserve"> </w:t>
      </w:r>
      <w:r w:rsidR="00E34727" w:rsidRPr="00FD211F">
        <w:rPr>
          <w:sz w:val="36"/>
          <w:szCs w:val="36"/>
          <w:rtl/>
        </w:rPr>
        <w:t>يرى</w:t>
      </w:r>
      <w:r w:rsidR="00E8128F">
        <w:rPr>
          <w:sz w:val="36"/>
          <w:szCs w:val="36"/>
          <w:rtl/>
        </w:rPr>
        <w:t xml:space="preserve"> </w:t>
      </w:r>
      <w:r w:rsidR="00E34727" w:rsidRPr="00FD211F">
        <w:rPr>
          <w:sz w:val="36"/>
          <w:szCs w:val="36"/>
          <w:rtl/>
        </w:rPr>
        <w:t>زيد</w:t>
      </w:r>
      <w:r w:rsidR="00AC2EB4" w:rsidRPr="00FD211F">
        <w:rPr>
          <w:sz w:val="36"/>
          <w:szCs w:val="36"/>
          <w:rtl/>
        </w:rPr>
        <w:t>"</w:t>
      </w:r>
      <w:r w:rsidR="00E8128F">
        <w:rPr>
          <w:sz w:val="36"/>
          <w:szCs w:val="36"/>
          <w:rtl/>
        </w:rPr>
        <w:t xml:space="preserve"> </w:t>
      </w:r>
      <w:r w:rsidR="00E34727" w:rsidRPr="00FD211F">
        <w:rPr>
          <w:sz w:val="36"/>
          <w:szCs w:val="36"/>
          <w:rtl/>
        </w:rPr>
        <w:t>وبين</w:t>
      </w:r>
      <w:r w:rsidR="00E8128F">
        <w:rPr>
          <w:sz w:val="36"/>
          <w:szCs w:val="36"/>
          <w:rtl/>
        </w:rPr>
        <w:t xml:space="preserve"> </w:t>
      </w:r>
      <w:r w:rsidR="00E34727" w:rsidRPr="00FD211F">
        <w:rPr>
          <w:sz w:val="36"/>
          <w:szCs w:val="36"/>
          <w:rtl/>
        </w:rPr>
        <w:t>ما</w:t>
      </w:r>
      <w:r w:rsidR="00E8128F">
        <w:rPr>
          <w:sz w:val="36"/>
          <w:szCs w:val="36"/>
          <w:rtl/>
        </w:rPr>
        <w:t xml:space="preserve"> </w:t>
      </w:r>
      <w:r w:rsidR="00E34727" w:rsidRPr="00FD211F">
        <w:rPr>
          <w:sz w:val="36"/>
          <w:szCs w:val="36"/>
          <w:rtl/>
        </w:rPr>
        <w:t>لو</w:t>
      </w:r>
      <w:r w:rsidR="00E8128F">
        <w:rPr>
          <w:sz w:val="36"/>
          <w:szCs w:val="36"/>
          <w:rtl/>
        </w:rPr>
        <w:t xml:space="preserve"> </w:t>
      </w:r>
      <w:r w:rsidR="00E34727" w:rsidRPr="00FD211F">
        <w:rPr>
          <w:sz w:val="36"/>
          <w:szCs w:val="36"/>
          <w:rtl/>
        </w:rPr>
        <w:t>قيل</w:t>
      </w:r>
      <w:r w:rsidR="00E8128F">
        <w:rPr>
          <w:sz w:val="36"/>
          <w:szCs w:val="36"/>
          <w:rtl/>
        </w:rPr>
        <w:t xml:space="preserve"> </w:t>
      </w:r>
      <w:r w:rsidR="00AC2EB4" w:rsidRPr="00FD211F">
        <w:rPr>
          <w:sz w:val="36"/>
          <w:szCs w:val="36"/>
          <w:rtl/>
        </w:rPr>
        <w:t>"</w:t>
      </w:r>
      <w:r w:rsidR="00E34727" w:rsidRPr="00FD211F">
        <w:rPr>
          <w:sz w:val="36"/>
          <w:szCs w:val="36"/>
          <w:rtl/>
        </w:rPr>
        <w:t>يبقى</w:t>
      </w:r>
      <w:r w:rsidR="00E8128F">
        <w:rPr>
          <w:sz w:val="36"/>
          <w:szCs w:val="36"/>
          <w:rtl/>
        </w:rPr>
        <w:t xml:space="preserve"> </w:t>
      </w:r>
      <w:r w:rsidR="00E34727" w:rsidRPr="00FD211F">
        <w:rPr>
          <w:sz w:val="36"/>
          <w:szCs w:val="36"/>
          <w:rtl/>
        </w:rPr>
        <w:t>قيام</w:t>
      </w:r>
      <w:r w:rsidR="00E8128F">
        <w:rPr>
          <w:sz w:val="36"/>
          <w:szCs w:val="36"/>
          <w:rtl/>
        </w:rPr>
        <w:t xml:space="preserve"> </w:t>
      </w:r>
      <w:r w:rsidR="00E34727" w:rsidRPr="00FD211F">
        <w:rPr>
          <w:sz w:val="36"/>
          <w:szCs w:val="36"/>
          <w:rtl/>
        </w:rPr>
        <w:t>زيد</w:t>
      </w:r>
      <w:r w:rsidR="00AC2EB4" w:rsidRPr="00FD211F">
        <w:rPr>
          <w:sz w:val="36"/>
          <w:szCs w:val="36"/>
          <w:rtl/>
        </w:rPr>
        <w:t>"</w:t>
      </w:r>
      <w:r w:rsidR="00603323" w:rsidRPr="00FD211F">
        <w:rPr>
          <w:sz w:val="36"/>
          <w:szCs w:val="36"/>
          <w:rtl/>
        </w:rPr>
        <w:t>،</w:t>
      </w:r>
      <w:r w:rsidR="00E8128F">
        <w:rPr>
          <w:sz w:val="36"/>
          <w:szCs w:val="36"/>
          <w:rtl/>
        </w:rPr>
        <w:t xml:space="preserve"> </w:t>
      </w:r>
      <w:r w:rsidR="00E34727" w:rsidRPr="00FD211F">
        <w:rPr>
          <w:sz w:val="36"/>
          <w:szCs w:val="36"/>
          <w:rtl/>
        </w:rPr>
        <w:t>حيث</w:t>
      </w:r>
      <w:r w:rsidR="00E8128F">
        <w:rPr>
          <w:sz w:val="36"/>
          <w:szCs w:val="36"/>
          <w:rtl/>
        </w:rPr>
        <w:t xml:space="preserve"> </w:t>
      </w:r>
      <w:r w:rsidR="00E34727" w:rsidRPr="00FD211F">
        <w:rPr>
          <w:sz w:val="36"/>
          <w:szCs w:val="36"/>
          <w:rtl/>
        </w:rPr>
        <w:t>يصدق</w:t>
      </w:r>
      <w:r w:rsidR="00E8128F">
        <w:rPr>
          <w:sz w:val="36"/>
          <w:szCs w:val="36"/>
          <w:rtl/>
        </w:rPr>
        <w:t xml:space="preserve"> </w:t>
      </w:r>
      <w:r w:rsidR="00E34727" w:rsidRPr="00FD211F">
        <w:rPr>
          <w:sz w:val="36"/>
          <w:szCs w:val="36"/>
          <w:rtl/>
        </w:rPr>
        <w:t>الأول</w:t>
      </w:r>
      <w:r w:rsidR="00E8128F">
        <w:rPr>
          <w:sz w:val="36"/>
          <w:szCs w:val="36"/>
          <w:rtl/>
        </w:rPr>
        <w:t xml:space="preserve"> </w:t>
      </w:r>
      <w:r w:rsidR="00E34727" w:rsidRPr="00FD211F">
        <w:rPr>
          <w:sz w:val="36"/>
          <w:szCs w:val="36"/>
          <w:rtl/>
        </w:rPr>
        <w:t>على</w:t>
      </w:r>
      <w:r w:rsidR="00E8128F">
        <w:rPr>
          <w:sz w:val="36"/>
          <w:szCs w:val="36"/>
          <w:rtl/>
        </w:rPr>
        <w:t xml:space="preserve"> </w:t>
      </w:r>
      <w:r w:rsidR="00E34727" w:rsidRPr="00FD211F">
        <w:rPr>
          <w:sz w:val="36"/>
          <w:szCs w:val="36"/>
          <w:rtl/>
        </w:rPr>
        <w:t>ما</w:t>
      </w:r>
      <w:r w:rsidR="00E8128F">
        <w:rPr>
          <w:sz w:val="36"/>
          <w:szCs w:val="36"/>
          <w:rtl/>
        </w:rPr>
        <w:t xml:space="preserve"> </w:t>
      </w:r>
      <w:r w:rsidR="00E34727" w:rsidRPr="00FD211F">
        <w:rPr>
          <w:sz w:val="36"/>
          <w:szCs w:val="36"/>
          <w:rtl/>
        </w:rPr>
        <w:t>لو</w:t>
      </w:r>
      <w:r w:rsidR="00E8128F">
        <w:rPr>
          <w:sz w:val="36"/>
          <w:szCs w:val="36"/>
          <w:rtl/>
        </w:rPr>
        <w:t xml:space="preserve"> </w:t>
      </w:r>
      <w:r w:rsidR="00E34727" w:rsidRPr="00FD211F">
        <w:rPr>
          <w:sz w:val="36"/>
          <w:szCs w:val="36"/>
          <w:rtl/>
        </w:rPr>
        <w:t>فرض</w:t>
      </w:r>
      <w:r w:rsidR="00E8128F">
        <w:rPr>
          <w:sz w:val="36"/>
          <w:szCs w:val="36"/>
          <w:rtl/>
        </w:rPr>
        <w:t xml:space="preserve"> </w:t>
      </w:r>
      <w:r w:rsidR="00E34727" w:rsidRPr="00FD211F">
        <w:rPr>
          <w:sz w:val="36"/>
          <w:szCs w:val="36"/>
          <w:rtl/>
        </w:rPr>
        <w:t>انعدام</w:t>
      </w:r>
      <w:r w:rsidR="00E8128F">
        <w:rPr>
          <w:sz w:val="36"/>
          <w:szCs w:val="36"/>
          <w:rtl/>
        </w:rPr>
        <w:t xml:space="preserve"> </w:t>
      </w:r>
      <w:r w:rsidR="00E34727" w:rsidRPr="00FD211F">
        <w:rPr>
          <w:sz w:val="36"/>
          <w:szCs w:val="36"/>
          <w:rtl/>
        </w:rPr>
        <w:t>رؤيته</w:t>
      </w:r>
      <w:r w:rsidR="00E8128F">
        <w:rPr>
          <w:sz w:val="36"/>
          <w:szCs w:val="36"/>
          <w:rtl/>
        </w:rPr>
        <w:t xml:space="preserve"> </w:t>
      </w:r>
      <w:r w:rsidR="00E34727" w:rsidRPr="00FD211F">
        <w:rPr>
          <w:sz w:val="36"/>
          <w:szCs w:val="36"/>
          <w:rtl/>
        </w:rPr>
        <w:t>بعد</w:t>
      </w:r>
      <w:r w:rsidR="00E8128F">
        <w:rPr>
          <w:sz w:val="36"/>
          <w:szCs w:val="36"/>
          <w:rtl/>
        </w:rPr>
        <w:t xml:space="preserve"> </w:t>
      </w:r>
      <w:r w:rsidR="00E34727" w:rsidRPr="00FD211F">
        <w:rPr>
          <w:sz w:val="36"/>
          <w:szCs w:val="36"/>
          <w:rtl/>
        </w:rPr>
        <w:t>هذا</w:t>
      </w:r>
      <w:r w:rsidR="00E8128F">
        <w:rPr>
          <w:sz w:val="36"/>
          <w:szCs w:val="36"/>
          <w:rtl/>
        </w:rPr>
        <w:t xml:space="preserve"> </w:t>
      </w:r>
      <w:r w:rsidR="00E34727" w:rsidRPr="00FD211F">
        <w:rPr>
          <w:sz w:val="36"/>
          <w:szCs w:val="36"/>
          <w:rtl/>
        </w:rPr>
        <w:t>الآن</w:t>
      </w:r>
      <w:r w:rsidR="00603323" w:rsidRPr="00FD211F">
        <w:rPr>
          <w:sz w:val="36"/>
          <w:szCs w:val="36"/>
          <w:rtl/>
        </w:rPr>
        <w:t>،</w:t>
      </w:r>
      <w:r w:rsidR="00E8128F">
        <w:rPr>
          <w:sz w:val="36"/>
          <w:szCs w:val="36"/>
          <w:rtl/>
        </w:rPr>
        <w:t xml:space="preserve"> </w:t>
      </w:r>
      <w:r w:rsidR="00E34727" w:rsidRPr="00FD211F">
        <w:rPr>
          <w:sz w:val="36"/>
          <w:szCs w:val="36"/>
          <w:rtl/>
        </w:rPr>
        <w:t>ولكن</w:t>
      </w:r>
      <w:r w:rsidR="00E8128F">
        <w:rPr>
          <w:sz w:val="36"/>
          <w:szCs w:val="36"/>
          <w:rtl/>
        </w:rPr>
        <w:t xml:space="preserve"> </w:t>
      </w:r>
      <w:r w:rsidR="00E34727" w:rsidRPr="00FD211F">
        <w:rPr>
          <w:sz w:val="36"/>
          <w:szCs w:val="36"/>
          <w:rtl/>
        </w:rPr>
        <w:t>لايصدق</w:t>
      </w:r>
      <w:r w:rsidR="00E8128F">
        <w:rPr>
          <w:sz w:val="36"/>
          <w:szCs w:val="36"/>
          <w:rtl/>
        </w:rPr>
        <w:t xml:space="preserve"> </w:t>
      </w:r>
      <w:r w:rsidR="00E34727" w:rsidRPr="00FD211F">
        <w:rPr>
          <w:sz w:val="36"/>
          <w:szCs w:val="36"/>
          <w:rtl/>
        </w:rPr>
        <w:t>الثاني</w:t>
      </w:r>
      <w:r w:rsidR="00E8128F">
        <w:rPr>
          <w:sz w:val="36"/>
          <w:szCs w:val="36"/>
          <w:rtl/>
        </w:rPr>
        <w:t xml:space="preserve"> </w:t>
      </w:r>
      <w:r w:rsidR="00E34727" w:rsidRPr="00FD211F">
        <w:rPr>
          <w:sz w:val="36"/>
          <w:szCs w:val="36"/>
          <w:rtl/>
        </w:rPr>
        <w:t>الا</w:t>
      </w:r>
      <w:r w:rsidR="00E8128F">
        <w:rPr>
          <w:sz w:val="36"/>
          <w:szCs w:val="36"/>
          <w:rtl/>
        </w:rPr>
        <w:t xml:space="preserve"> </w:t>
      </w:r>
      <w:r w:rsidR="00CC7081" w:rsidRPr="00FD211F">
        <w:rPr>
          <w:sz w:val="36"/>
          <w:szCs w:val="36"/>
          <w:rtl/>
        </w:rPr>
        <w:t>بلحاظ</w:t>
      </w:r>
      <w:r w:rsidR="00E8128F">
        <w:rPr>
          <w:sz w:val="36"/>
          <w:szCs w:val="36"/>
          <w:rtl/>
        </w:rPr>
        <w:t xml:space="preserve"> </w:t>
      </w:r>
      <w:r w:rsidR="00CC7081" w:rsidRPr="00FD211F">
        <w:rPr>
          <w:sz w:val="36"/>
          <w:szCs w:val="36"/>
          <w:rtl/>
        </w:rPr>
        <w:t>بقاء</w:t>
      </w:r>
      <w:r w:rsidR="00E8128F">
        <w:rPr>
          <w:sz w:val="36"/>
          <w:szCs w:val="36"/>
          <w:rtl/>
        </w:rPr>
        <w:t xml:space="preserve"> </w:t>
      </w:r>
      <w:r w:rsidR="00CC7081" w:rsidRPr="00FD211F">
        <w:rPr>
          <w:sz w:val="36"/>
          <w:szCs w:val="36"/>
          <w:rtl/>
        </w:rPr>
        <w:t>قيامه</w:t>
      </w:r>
      <w:r w:rsidR="00E8128F">
        <w:rPr>
          <w:sz w:val="36"/>
          <w:szCs w:val="36"/>
          <w:rtl/>
        </w:rPr>
        <w:t xml:space="preserve"> </w:t>
      </w:r>
      <w:r w:rsidR="00CC7081" w:rsidRPr="00FD211F">
        <w:rPr>
          <w:sz w:val="36"/>
          <w:szCs w:val="36"/>
          <w:rtl/>
        </w:rPr>
        <w:t>في</w:t>
      </w:r>
      <w:r w:rsidR="00E8128F">
        <w:rPr>
          <w:sz w:val="36"/>
          <w:szCs w:val="36"/>
          <w:rtl/>
        </w:rPr>
        <w:t xml:space="preserve"> </w:t>
      </w:r>
      <w:r w:rsidR="00CC7081" w:rsidRPr="00FD211F">
        <w:rPr>
          <w:sz w:val="36"/>
          <w:szCs w:val="36"/>
          <w:rtl/>
        </w:rPr>
        <w:t>المستقبل</w:t>
      </w:r>
      <w:r w:rsidR="00E8128F">
        <w:rPr>
          <w:sz w:val="36"/>
          <w:szCs w:val="36"/>
          <w:rtl/>
        </w:rPr>
        <w:t xml:space="preserve"> </w:t>
      </w:r>
      <w:r w:rsidR="00E34727" w:rsidRPr="00FD211F">
        <w:rPr>
          <w:sz w:val="36"/>
          <w:szCs w:val="36"/>
          <w:rtl/>
        </w:rPr>
        <w:t>فلايصدق</w:t>
      </w:r>
      <w:r w:rsidR="00E8128F">
        <w:rPr>
          <w:sz w:val="36"/>
          <w:szCs w:val="36"/>
          <w:rtl/>
        </w:rPr>
        <w:t xml:space="preserve"> </w:t>
      </w:r>
      <w:r w:rsidR="00E34727" w:rsidRPr="00FD211F">
        <w:rPr>
          <w:sz w:val="36"/>
          <w:szCs w:val="36"/>
          <w:rtl/>
        </w:rPr>
        <w:t>على</w:t>
      </w:r>
      <w:r w:rsidR="00E8128F">
        <w:rPr>
          <w:sz w:val="36"/>
          <w:szCs w:val="36"/>
          <w:rtl/>
        </w:rPr>
        <w:t xml:space="preserve"> </w:t>
      </w:r>
      <w:r w:rsidR="00E34727" w:rsidRPr="00FD211F">
        <w:rPr>
          <w:sz w:val="36"/>
          <w:szCs w:val="36"/>
          <w:rtl/>
        </w:rPr>
        <w:t>ما</w:t>
      </w:r>
      <w:r w:rsidR="00E8128F">
        <w:rPr>
          <w:sz w:val="36"/>
          <w:szCs w:val="36"/>
          <w:rtl/>
        </w:rPr>
        <w:t xml:space="preserve"> </w:t>
      </w:r>
      <w:r w:rsidR="00E34727" w:rsidRPr="00FD211F">
        <w:rPr>
          <w:sz w:val="36"/>
          <w:szCs w:val="36"/>
          <w:rtl/>
        </w:rPr>
        <w:t>لو</w:t>
      </w:r>
      <w:r w:rsidR="00E8128F">
        <w:rPr>
          <w:sz w:val="36"/>
          <w:szCs w:val="36"/>
          <w:rtl/>
        </w:rPr>
        <w:t xml:space="preserve"> </w:t>
      </w:r>
      <w:r w:rsidR="00E34727" w:rsidRPr="00FD211F">
        <w:rPr>
          <w:sz w:val="36"/>
          <w:szCs w:val="36"/>
          <w:rtl/>
        </w:rPr>
        <w:t>فرض</w:t>
      </w:r>
      <w:r w:rsidR="00E8128F">
        <w:rPr>
          <w:sz w:val="36"/>
          <w:szCs w:val="36"/>
          <w:rtl/>
        </w:rPr>
        <w:t xml:space="preserve"> </w:t>
      </w:r>
      <w:r w:rsidR="00E34727" w:rsidRPr="00FD211F">
        <w:rPr>
          <w:sz w:val="36"/>
          <w:szCs w:val="36"/>
          <w:rtl/>
        </w:rPr>
        <w:t>انعدام</w:t>
      </w:r>
      <w:r w:rsidR="00E8128F">
        <w:rPr>
          <w:sz w:val="36"/>
          <w:szCs w:val="36"/>
          <w:rtl/>
        </w:rPr>
        <w:t xml:space="preserve"> </w:t>
      </w:r>
      <w:r w:rsidR="00E34727" w:rsidRPr="00FD211F">
        <w:rPr>
          <w:sz w:val="36"/>
          <w:szCs w:val="36"/>
          <w:rtl/>
        </w:rPr>
        <w:t>قيامه</w:t>
      </w:r>
      <w:r w:rsidR="00E8128F">
        <w:rPr>
          <w:sz w:val="36"/>
          <w:szCs w:val="36"/>
          <w:rtl/>
        </w:rPr>
        <w:t xml:space="preserve"> </w:t>
      </w:r>
      <w:r w:rsidR="00E34727" w:rsidRPr="00FD211F">
        <w:rPr>
          <w:sz w:val="36"/>
          <w:szCs w:val="36"/>
          <w:rtl/>
        </w:rPr>
        <w:t>بعد</w:t>
      </w:r>
      <w:r w:rsidR="00E8128F">
        <w:rPr>
          <w:sz w:val="36"/>
          <w:szCs w:val="36"/>
          <w:rtl/>
        </w:rPr>
        <w:t xml:space="preserve"> </w:t>
      </w:r>
      <w:r w:rsidR="00E34727" w:rsidRPr="00FD211F">
        <w:rPr>
          <w:sz w:val="36"/>
          <w:szCs w:val="36"/>
          <w:rtl/>
        </w:rPr>
        <w:t>هذا</w:t>
      </w:r>
      <w:r w:rsidR="00E8128F">
        <w:rPr>
          <w:sz w:val="36"/>
          <w:szCs w:val="36"/>
          <w:rtl/>
        </w:rPr>
        <w:t xml:space="preserve"> </w:t>
      </w:r>
      <w:r w:rsidR="00E34727" w:rsidRPr="00FD211F">
        <w:rPr>
          <w:sz w:val="36"/>
          <w:szCs w:val="36"/>
          <w:rtl/>
        </w:rPr>
        <w:t>الآن</w:t>
      </w:r>
      <w:r w:rsidR="00603323" w:rsidRPr="00FD211F">
        <w:rPr>
          <w:sz w:val="36"/>
          <w:szCs w:val="36"/>
          <w:rtl/>
        </w:rPr>
        <w:t>،</w:t>
      </w:r>
      <w:r w:rsidR="00E8128F">
        <w:rPr>
          <w:sz w:val="36"/>
          <w:szCs w:val="36"/>
          <w:rtl/>
        </w:rPr>
        <w:t xml:space="preserve"> </w:t>
      </w:r>
      <w:r w:rsidR="00CB71D5" w:rsidRPr="00FD211F">
        <w:rPr>
          <w:sz w:val="36"/>
          <w:szCs w:val="36"/>
          <w:rtl/>
        </w:rPr>
        <w:t>وانما</w:t>
      </w:r>
      <w:r w:rsidR="00E8128F">
        <w:rPr>
          <w:sz w:val="36"/>
          <w:szCs w:val="36"/>
          <w:rtl/>
        </w:rPr>
        <w:t xml:space="preserve"> </w:t>
      </w:r>
      <w:r w:rsidR="00CB71D5" w:rsidRPr="00FD211F">
        <w:rPr>
          <w:sz w:val="36"/>
          <w:szCs w:val="36"/>
          <w:rtl/>
        </w:rPr>
        <w:t>يصح</w:t>
      </w:r>
      <w:r w:rsidR="00E8128F">
        <w:rPr>
          <w:sz w:val="36"/>
          <w:szCs w:val="36"/>
          <w:rtl/>
        </w:rPr>
        <w:t xml:space="preserve"> </w:t>
      </w:r>
      <w:r w:rsidR="00CB71D5" w:rsidRPr="00FD211F">
        <w:rPr>
          <w:sz w:val="36"/>
          <w:szCs w:val="36"/>
          <w:rtl/>
        </w:rPr>
        <w:t>ان</w:t>
      </w:r>
      <w:r w:rsidR="00E8128F">
        <w:rPr>
          <w:sz w:val="36"/>
          <w:szCs w:val="36"/>
          <w:rtl/>
        </w:rPr>
        <w:t xml:space="preserve"> </w:t>
      </w:r>
      <w:r w:rsidR="00CB71D5" w:rsidRPr="00FD211F">
        <w:rPr>
          <w:sz w:val="36"/>
          <w:szCs w:val="36"/>
          <w:rtl/>
        </w:rPr>
        <w:t>يقال</w:t>
      </w:r>
      <w:r w:rsidR="00E8128F">
        <w:rPr>
          <w:sz w:val="36"/>
          <w:szCs w:val="36"/>
          <w:rtl/>
        </w:rPr>
        <w:t xml:space="preserve"> </w:t>
      </w:r>
      <w:r w:rsidR="003827D9" w:rsidRPr="00FD211F">
        <w:rPr>
          <w:sz w:val="36"/>
          <w:szCs w:val="36"/>
          <w:rtl/>
        </w:rPr>
        <w:t>"</w:t>
      </w:r>
      <w:r w:rsidR="00CB71D5" w:rsidRPr="00FD211F">
        <w:rPr>
          <w:sz w:val="36"/>
          <w:szCs w:val="36"/>
          <w:rtl/>
        </w:rPr>
        <w:t>ان</w:t>
      </w:r>
      <w:r w:rsidR="00E8128F">
        <w:rPr>
          <w:sz w:val="36"/>
          <w:szCs w:val="36"/>
          <w:rtl/>
        </w:rPr>
        <w:t xml:space="preserve"> </w:t>
      </w:r>
      <w:r w:rsidR="00CB71D5" w:rsidRPr="00FD211F">
        <w:rPr>
          <w:sz w:val="36"/>
          <w:szCs w:val="36"/>
          <w:rtl/>
        </w:rPr>
        <w:t>قيامه</w:t>
      </w:r>
      <w:r w:rsidR="00E8128F">
        <w:rPr>
          <w:sz w:val="36"/>
          <w:szCs w:val="36"/>
          <w:rtl/>
        </w:rPr>
        <w:t xml:space="preserve"> </w:t>
      </w:r>
      <w:r w:rsidR="00CB71D5" w:rsidRPr="00FD211F">
        <w:rPr>
          <w:sz w:val="36"/>
          <w:szCs w:val="36"/>
          <w:rtl/>
        </w:rPr>
        <w:t>باق</w:t>
      </w:r>
      <w:r w:rsidR="003827D9" w:rsidRPr="00FD211F">
        <w:rPr>
          <w:sz w:val="36"/>
          <w:szCs w:val="36"/>
          <w:rtl/>
        </w:rPr>
        <w:t>"</w:t>
      </w:r>
      <w:r w:rsidR="00E8128F">
        <w:rPr>
          <w:sz w:val="36"/>
          <w:szCs w:val="36"/>
          <w:rtl/>
        </w:rPr>
        <w:t xml:space="preserve"> </w:t>
      </w:r>
      <w:r w:rsidR="006960AB" w:rsidRPr="00FD211F">
        <w:rPr>
          <w:sz w:val="36"/>
          <w:szCs w:val="36"/>
          <w:rtl/>
        </w:rPr>
        <w:t>وكذا</w:t>
      </w:r>
      <w:r w:rsidR="00E8128F">
        <w:rPr>
          <w:sz w:val="36"/>
          <w:szCs w:val="36"/>
          <w:rtl/>
        </w:rPr>
        <w:t xml:space="preserve"> </w:t>
      </w:r>
      <w:r w:rsidR="006960AB" w:rsidRPr="00FD211F">
        <w:rPr>
          <w:sz w:val="36"/>
          <w:szCs w:val="36"/>
          <w:rtl/>
        </w:rPr>
        <w:t>لو</w:t>
      </w:r>
      <w:r w:rsidR="00E8128F">
        <w:rPr>
          <w:sz w:val="36"/>
          <w:szCs w:val="36"/>
          <w:rtl/>
        </w:rPr>
        <w:t xml:space="preserve"> </w:t>
      </w:r>
      <w:r w:rsidR="006960AB" w:rsidRPr="00FD211F">
        <w:rPr>
          <w:sz w:val="36"/>
          <w:szCs w:val="36"/>
          <w:rtl/>
        </w:rPr>
        <w:t>قيل</w:t>
      </w:r>
      <w:r w:rsidR="00E8128F">
        <w:rPr>
          <w:sz w:val="36"/>
          <w:szCs w:val="36"/>
          <w:rtl/>
        </w:rPr>
        <w:t xml:space="preserve"> </w:t>
      </w:r>
      <w:r w:rsidR="006960AB" w:rsidRPr="00FD211F">
        <w:rPr>
          <w:sz w:val="36"/>
          <w:szCs w:val="36"/>
          <w:rtl/>
        </w:rPr>
        <w:t>"</w:t>
      </w:r>
      <w:r w:rsidR="00296677" w:rsidRPr="00FD211F">
        <w:rPr>
          <w:sz w:val="36"/>
          <w:szCs w:val="36"/>
          <w:rtl/>
        </w:rPr>
        <w:t>زيد</w:t>
      </w:r>
      <w:r w:rsidR="00E8128F">
        <w:rPr>
          <w:sz w:val="36"/>
          <w:szCs w:val="36"/>
          <w:rtl/>
        </w:rPr>
        <w:t xml:space="preserve"> </w:t>
      </w:r>
      <w:r w:rsidR="00296677" w:rsidRPr="00FD211F">
        <w:rPr>
          <w:sz w:val="36"/>
          <w:szCs w:val="36"/>
          <w:rtl/>
        </w:rPr>
        <w:t>يكون</w:t>
      </w:r>
      <w:r w:rsidR="00E8128F">
        <w:rPr>
          <w:sz w:val="36"/>
          <w:szCs w:val="36"/>
          <w:rtl/>
        </w:rPr>
        <w:t xml:space="preserve"> </w:t>
      </w:r>
      <w:r w:rsidR="00296677" w:rsidRPr="00FD211F">
        <w:rPr>
          <w:sz w:val="36"/>
          <w:szCs w:val="36"/>
          <w:rtl/>
        </w:rPr>
        <w:t>قائما</w:t>
      </w:r>
      <w:r w:rsidR="006960AB" w:rsidRPr="00FD211F">
        <w:rPr>
          <w:sz w:val="36"/>
          <w:szCs w:val="36"/>
          <w:rtl/>
        </w:rPr>
        <w:t>"</w:t>
      </w:r>
      <w:r w:rsidR="00E8128F">
        <w:rPr>
          <w:sz w:val="36"/>
          <w:szCs w:val="36"/>
          <w:rtl/>
        </w:rPr>
        <w:t xml:space="preserve"> </w:t>
      </w:r>
      <w:r w:rsidR="00296677" w:rsidRPr="00FD211F">
        <w:rPr>
          <w:sz w:val="36"/>
          <w:szCs w:val="36"/>
          <w:rtl/>
        </w:rPr>
        <w:t>فلايصح</w:t>
      </w:r>
      <w:r w:rsidR="00E8128F">
        <w:rPr>
          <w:sz w:val="36"/>
          <w:szCs w:val="36"/>
          <w:rtl/>
        </w:rPr>
        <w:t xml:space="preserve"> </w:t>
      </w:r>
      <w:r w:rsidR="00296677" w:rsidRPr="00FD211F">
        <w:rPr>
          <w:sz w:val="36"/>
          <w:szCs w:val="36"/>
          <w:rtl/>
        </w:rPr>
        <w:t>ذلك</w:t>
      </w:r>
      <w:r w:rsidR="00E8128F">
        <w:rPr>
          <w:sz w:val="36"/>
          <w:szCs w:val="36"/>
          <w:rtl/>
        </w:rPr>
        <w:t xml:space="preserve"> </w:t>
      </w:r>
      <w:r w:rsidR="00296677" w:rsidRPr="00FD211F">
        <w:rPr>
          <w:sz w:val="36"/>
          <w:szCs w:val="36"/>
          <w:rtl/>
        </w:rPr>
        <w:t>الا</w:t>
      </w:r>
      <w:r w:rsidR="00E8128F">
        <w:rPr>
          <w:sz w:val="36"/>
          <w:szCs w:val="36"/>
          <w:rtl/>
        </w:rPr>
        <w:t xml:space="preserve"> </w:t>
      </w:r>
      <w:r w:rsidR="006960AB" w:rsidRPr="00FD211F">
        <w:rPr>
          <w:sz w:val="36"/>
          <w:szCs w:val="36"/>
          <w:rtl/>
        </w:rPr>
        <w:t>بلحاظ</w:t>
      </w:r>
      <w:r w:rsidR="00E8128F">
        <w:rPr>
          <w:sz w:val="36"/>
          <w:szCs w:val="36"/>
          <w:rtl/>
        </w:rPr>
        <w:t xml:space="preserve"> </w:t>
      </w:r>
      <w:r w:rsidR="00296677" w:rsidRPr="00FD211F">
        <w:rPr>
          <w:sz w:val="36"/>
          <w:szCs w:val="36"/>
          <w:rtl/>
        </w:rPr>
        <w:t>قيامه</w:t>
      </w:r>
      <w:r w:rsidR="00E8128F">
        <w:rPr>
          <w:sz w:val="36"/>
          <w:szCs w:val="36"/>
          <w:rtl/>
        </w:rPr>
        <w:t xml:space="preserve"> </w:t>
      </w:r>
      <w:r w:rsidR="00296677" w:rsidRPr="00FD211F">
        <w:rPr>
          <w:sz w:val="36"/>
          <w:szCs w:val="36"/>
          <w:rtl/>
        </w:rPr>
        <w:t>في</w:t>
      </w:r>
      <w:r w:rsidR="00E8128F">
        <w:rPr>
          <w:sz w:val="36"/>
          <w:szCs w:val="36"/>
          <w:rtl/>
        </w:rPr>
        <w:t xml:space="preserve"> </w:t>
      </w:r>
      <w:r w:rsidR="00296677" w:rsidRPr="00FD211F">
        <w:rPr>
          <w:sz w:val="36"/>
          <w:szCs w:val="36"/>
          <w:rtl/>
        </w:rPr>
        <w:t>المستقبل</w:t>
      </w:r>
      <w:r w:rsidR="00603323" w:rsidRPr="00FD211F">
        <w:rPr>
          <w:sz w:val="36"/>
          <w:szCs w:val="36"/>
          <w:rtl/>
        </w:rPr>
        <w:t>،</w:t>
      </w:r>
      <w:r w:rsidR="00E8128F">
        <w:rPr>
          <w:sz w:val="36"/>
          <w:szCs w:val="36"/>
          <w:rtl/>
        </w:rPr>
        <w:t xml:space="preserve"> </w:t>
      </w:r>
      <w:r w:rsidR="006960AB" w:rsidRPr="00FD211F">
        <w:rPr>
          <w:sz w:val="36"/>
          <w:szCs w:val="36"/>
          <w:rtl/>
        </w:rPr>
        <w:t>نعم</w:t>
      </w:r>
      <w:r w:rsidR="00E8128F">
        <w:rPr>
          <w:sz w:val="36"/>
          <w:szCs w:val="36"/>
          <w:rtl/>
        </w:rPr>
        <w:t xml:space="preserve"> </w:t>
      </w:r>
      <w:r w:rsidR="006960AB" w:rsidRPr="00FD211F">
        <w:rPr>
          <w:sz w:val="36"/>
          <w:szCs w:val="36"/>
          <w:rtl/>
        </w:rPr>
        <w:t>يكفي</w:t>
      </w:r>
      <w:r w:rsidR="00E8128F">
        <w:rPr>
          <w:sz w:val="36"/>
          <w:szCs w:val="36"/>
          <w:rtl/>
        </w:rPr>
        <w:t xml:space="preserve"> </w:t>
      </w:r>
      <w:r w:rsidR="006960AB" w:rsidRPr="00FD211F">
        <w:rPr>
          <w:sz w:val="36"/>
          <w:szCs w:val="36"/>
          <w:rtl/>
        </w:rPr>
        <w:t>كونه</w:t>
      </w:r>
      <w:r w:rsidR="00E8128F">
        <w:rPr>
          <w:sz w:val="36"/>
          <w:szCs w:val="36"/>
          <w:rtl/>
        </w:rPr>
        <w:t xml:space="preserve"> </w:t>
      </w:r>
      <w:r w:rsidR="006960AB" w:rsidRPr="00FD211F">
        <w:rPr>
          <w:sz w:val="36"/>
          <w:szCs w:val="36"/>
          <w:rtl/>
        </w:rPr>
        <w:t>استمرارا</w:t>
      </w:r>
      <w:r w:rsidR="00E8128F">
        <w:rPr>
          <w:sz w:val="36"/>
          <w:szCs w:val="36"/>
          <w:rtl/>
        </w:rPr>
        <w:t xml:space="preserve"> </w:t>
      </w:r>
      <w:r w:rsidR="00296677" w:rsidRPr="00FD211F">
        <w:rPr>
          <w:sz w:val="36"/>
          <w:szCs w:val="36"/>
          <w:rtl/>
        </w:rPr>
        <w:t>لقيامه</w:t>
      </w:r>
      <w:r w:rsidR="00E8128F">
        <w:rPr>
          <w:sz w:val="36"/>
          <w:szCs w:val="36"/>
          <w:rtl/>
        </w:rPr>
        <w:t xml:space="preserve"> </w:t>
      </w:r>
      <w:r w:rsidR="00296677" w:rsidRPr="00FD211F">
        <w:rPr>
          <w:sz w:val="36"/>
          <w:szCs w:val="36"/>
          <w:rtl/>
        </w:rPr>
        <w:t>الفعلي</w:t>
      </w:r>
      <w:r w:rsidR="00603323" w:rsidRPr="00FD211F">
        <w:rPr>
          <w:sz w:val="36"/>
          <w:szCs w:val="36"/>
          <w:rtl/>
        </w:rPr>
        <w:t>،</w:t>
      </w:r>
      <w:r w:rsidR="00E8128F">
        <w:rPr>
          <w:sz w:val="36"/>
          <w:szCs w:val="36"/>
          <w:rtl/>
        </w:rPr>
        <w:t xml:space="preserve"> </w:t>
      </w:r>
      <w:r w:rsidR="00296677" w:rsidRPr="00FD211F">
        <w:rPr>
          <w:sz w:val="36"/>
          <w:szCs w:val="36"/>
          <w:rtl/>
        </w:rPr>
        <w:t>فيختلف</w:t>
      </w:r>
      <w:r w:rsidR="00E8128F">
        <w:rPr>
          <w:sz w:val="36"/>
          <w:szCs w:val="36"/>
          <w:rtl/>
        </w:rPr>
        <w:t xml:space="preserve"> </w:t>
      </w:r>
      <w:r w:rsidR="00296677" w:rsidRPr="00FD211F">
        <w:rPr>
          <w:sz w:val="36"/>
          <w:szCs w:val="36"/>
          <w:rtl/>
        </w:rPr>
        <w:t>عن</w:t>
      </w:r>
      <w:r w:rsidR="00E8128F">
        <w:rPr>
          <w:sz w:val="36"/>
          <w:szCs w:val="36"/>
          <w:rtl/>
        </w:rPr>
        <w:t xml:space="preserve"> </w:t>
      </w:r>
      <w:r w:rsidR="00296677" w:rsidRPr="00FD211F">
        <w:rPr>
          <w:sz w:val="36"/>
          <w:szCs w:val="36"/>
          <w:rtl/>
        </w:rPr>
        <w:t>مثل</w:t>
      </w:r>
      <w:r w:rsidR="00E8128F">
        <w:rPr>
          <w:sz w:val="36"/>
          <w:szCs w:val="36"/>
          <w:rtl/>
        </w:rPr>
        <w:t xml:space="preserve"> </w:t>
      </w:r>
      <w:r w:rsidR="00296677" w:rsidRPr="00FD211F">
        <w:rPr>
          <w:sz w:val="36"/>
          <w:szCs w:val="36"/>
          <w:rtl/>
        </w:rPr>
        <w:t>قولنا</w:t>
      </w:r>
      <w:r w:rsidR="00E8128F">
        <w:rPr>
          <w:sz w:val="36"/>
          <w:szCs w:val="36"/>
          <w:rtl/>
        </w:rPr>
        <w:t xml:space="preserve"> </w:t>
      </w:r>
      <w:r w:rsidR="003827D9" w:rsidRPr="00FD211F">
        <w:rPr>
          <w:sz w:val="36"/>
          <w:szCs w:val="36"/>
          <w:rtl/>
        </w:rPr>
        <w:t>"</w:t>
      </w:r>
      <w:r w:rsidR="00296677" w:rsidRPr="00FD211F">
        <w:rPr>
          <w:sz w:val="36"/>
          <w:szCs w:val="36"/>
          <w:rtl/>
        </w:rPr>
        <w:t>زيد</w:t>
      </w:r>
      <w:r w:rsidR="00E8128F">
        <w:rPr>
          <w:sz w:val="36"/>
          <w:szCs w:val="36"/>
          <w:rtl/>
        </w:rPr>
        <w:t xml:space="preserve"> </w:t>
      </w:r>
      <w:r w:rsidR="00296677" w:rsidRPr="00FD211F">
        <w:rPr>
          <w:sz w:val="36"/>
          <w:szCs w:val="36"/>
          <w:rtl/>
        </w:rPr>
        <w:t>يقوم</w:t>
      </w:r>
      <w:r w:rsidR="003827D9" w:rsidRPr="00FD211F">
        <w:rPr>
          <w:sz w:val="36"/>
          <w:szCs w:val="36"/>
          <w:rtl/>
        </w:rPr>
        <w:t>"</w:t>
      </w:r>
      <w:r w:rsidR="00A935B9">
        <w:rPr>
          <w:rFonts w:hint="cs"/>
          <w:sz w:val="36"/>
          <w:szCs w:val="36"/>
          <w:rtl/>
        </w:rPr>
        <w:t xml:space="preserve"> </w:t>
      </w:r>
      <w:r w:rsidR="00296677" w:rsidRPr="00FD211F">
        <w:rPr>
          <w:sz w:val="36"/>
          <w:szCs w:val="36"/>
          <w:rtl/>
        </w:rPr>
        <w:t>حيث</w:t>
      </w:r>
      <w:r w:rsidR="00E8128F">
        <w:rPr>
          <w:sz w:val="36"/>
          <w:szCs w:val="36"/>
          <w:rtl/>
        </w:rPr>
        <w:t xml:space="preserve"> </w:t>
      </w:r>
      <w:r w:rsidR="00296677" w:rsidRPr="00FD211F">
        <w:rPr>
          <w:sz w:val="36"/>
          <w:szCs w:val="36"/>
          <w:rtl/>
        </w:rPr>
        <w:t>ان</w:t>
      </w:r>
      <w:r w:rsidR="00E8128F">
        <w:rPr>
          <w:sz w:val="36"/>
          <w:szCs w:val="36"/>
          <w:rtl/>
        </w:rPr>
        <w:t xml:space="preserve"> </w:t>
      </w:r>
      <w:r w:rsidR="00296677" w:rsidRPr="00FD211F">
        <w:rPr>
          <w:sz w:val="36"/>
          <w:szCs w:val="36"/>
          <w:rtl/>
        </w:rPr>
        <w:t>ظاهره</w:t>
      </w:r>
      <w:r w:rsidR="00E8128F">
        <w:rPr>
          <w:sz w:val="36"/>
          <w:szCs w:val="36"/>
          <w:rtl/>
        </w:rPr>
        <w:t xml:space="preserve"> </w:t>
      </w:r>
      <w:r w:rsidR="00296677" w:rsidRPr="00FD211F">
        <w:rPr>
          <w:sz w:val="36"/>
          <w:szCs w:val="36"/>
          <w:rtl/>
        </w:rPr>
        <w:t>احداث</w:t>
      </w:r>
      <w:r w:rsidR="00E8128F">
        <w:rPr>
          <w:sz w:val="36"/>
          <w:szCs w:val="36"/>
          <w:rtl/>
        </w:rPr>
        <w:t xml:space="preserve"> </w:t>
      </w:r>
      <w:r w:rsidR="00296677" w:rsidRPr="00FD211F">
        <w:rPr>
          <w:sz w:val="36"/>
          <w:szCs w:val="36"/>
          <w:rtl/>
        </w:rPr>
        <w:t>القيام</w:t>
      </w:r>
      <w:r w:rsidR="00E8128F">
        <w:rPr>
          <w:sz w:val="36"/>
          <w:szCs w:val="36"/>
          <w:rtl/>
        </w:rPr>
        <w:t xml:space="preserve"> </w:t>
      </w:r>
      <w:r w:rsidR="006960AB" w:rsidRPr="00FD211F">
        <w:rPr>
          <w:sz w:val="36"/>
          <w:szCs w:val="36"/>
          <w:rtl/>
        </w:rPr>
        <w:t>فلايكفي</w:t>
      </w:r>
      <w:r w:rsidR="00E8128F">
        <w:rPr>
          <w:sz w:val="36"/>
          <w:szCs w:val="36"/>
          <w:rtl/>
        </w:rPr>
        <w:t xml:space="preserve"> </w:t>
      </w:r>
      <w:r w:rsidR="006960AB" w:rsidRPr="00FD211F">
        <w:rPr>
          <w:sz w:val="36"/>
          <w:szCs w:val="36"/>
          <w:rtl/>
        </w:rPr>
        <w:t>استمرار</w:t>
      </w:r>
      <w:r w:rsidR="00E8128F">
        <w:rPr>
          <w:sz w:val="36"/>
          <w:szCs w:val="36"/>
          <w:rtl/>
        </w:rPr>
        <w:t xml:space="preserve"> </w:t>
      </w:r>
      <w:r w:rsidR="006960AB" w:rsidRPr="00FD211F">
        <w:rPr>
          <w:sz w:val="36"/>
          <w:szCs w:val="36"/>
          <w:rtl/>
        </w:rPr>
        <w:t>قيامه</w:t>
      </w:r>
      <w:r w:rsidR="00E8128F">
        <w:rPr>
          <w:sz w:val="36"/>
          <w:szCs w:val="36"/>
          <w:rtl/>
        </w:rPr>
        <w:t xml:space="preserve"> </w:t>
      </w:r>
      <w:r w:rsidR="006960AB" w:rsidRPr="00FD211F">
        <w:rPr>
          <w:sz w:val="36"/>
          <w:szCs w:val="36"/>
          <w:rtl/>
        </w:rPr>
        <w:t>من</w:t>
      </w:r>
      <w:r w:rsidR="00E8128F">
        <w:rPr>
          <w:sz w:val="36"/>
          <w:szCs w:val="36"/>
          <w:rtl/>
        </w:rPr>
        <w:t xml:space="preserve"> </w:t>
      </w:r>
      <w:r w:rsidR="006960AB" w:rsidRPr="00FD211F">
        <w:rPr>
          <w:sz w:val="36"/>
          <w:szCs w:val="36"/>
          <w:rtl/>
        </w:rPr>
        <w:t>الزمان</w:t>
      </w:r>
      <w:r w:rsidR="00E8128F">
        <w:rPr>
          <w:sz w:val="36"/>
          <w:szCs w:val="36"/>
          <w:rtl/>
        </w:rPr>
        <w:t xml:space="preserve"> </w:t>
      </w:r>
      <w:r w:rsidR="006960AB" w:rsidRPr="00FD211F">
        <w:rPr>
          <w:sz w:val="36"/>
          <w:szCs w:val="36"/>
          <w:rtl/>
        </w:rPr>
        <w:t>السابق</w:t>
      </w:r>
      <w:r w:rsidR="00603323" w:rsidRPr="00FD211F">
        <w:rPr>
          <w:sz w:val="36"/>
          <w:szCs w:val="36"/>
          <w:rtl/>
        </w:rPr>
        <w:t>،</w:t>
      </w:r>
      <w:r w:rsidR="00E8128F">
        <w:rPr>
          <w:sz w:val="36"/>
          <w:szCs w:val="36"/>
          <w:rtl/>
        </w:rPr>
        <w:t xml:space="preserve"> </w:t>
      </w:r>
      <w:r w:rsidR="00296677" w:rsidRPr="00FD211F">
        <w:rPr>
          <w:sz w:val="36"/>
          <w:szCs w:val="36"/>
          <w:rtl/>
        </w:rPr>
        <w:t>و</w:t>
      </w:r>
      <w:r w:rsidR="006960AB" w:rsidRPr="00FD211F">
        <w:rPr>
          <w:sz w:val="36"/>
          <w:szCs w:val="36"/>
          <w:rtl/>
        </w:rPr>
        <w:t>لأجل</w:t>
      </w:r>
      <w:r w:rsidR="00E8128F">
        <w:rPr>
          <w:sz w:val="36"/>
          <w:szCs w:val="36"/>
          <w:rtl/>
        </w:rPr>
        <w:t xml:space="preserve"> </w:t>
      </w:r>
      <w:r w:rsidR="00577BCA" w:rsidRPr="00FD211F">
        <w:rPr>
          <w:sz w:val="36"/>
          <w:szCs w:val="36"/>
          <w:rtl/>
        </w:rPr>
        <w:t>ذلك</w:t>
      </w:r>
      <w:r w:rsidR="00E8128F">
        <w:rPr>
          <w:sz w:val="36"/>
          <w:szCs w:val="36"/>
          <w:rtl/>
        </w:rPr>
        <w:t xml:space="preserve"> </w:t>
      </w:r>
      <w:r w:rsidR="00296677" w:rsidRPr="00FD211F">
        <w:rPr>
          <w:sz w:val="36"/>
          <w:szCs w:val="36"/>
          <w:rtl/>
        </w:rPr>
        <w:t>ذكرنا</w:t>
      </w:r>
      <w:r w:rsidR="00E8128F">
        <w:rPr>
          <w:sz w:val="36"/>
          <w:szCs w:val="36"/>
          <w:rtl/>
        </w:rPr>
        <w:t xml:space="preserve"> </w:t>
      </w:r>
      <w:r w:rsidR="00296677" w:rsidRPr="00FD211F">
        <w:rPr>
          <w:sz w:val="36"/>
          <w:szCs w:val="36"/>
          <w:rtl/>
        </w:rPr>
        <w:t>في</w:t>
      </w:r>
      <w:r w:rsidR="00E8128F">
        <w:rPr>
          <w:sz w:val="36"/>
          <w:szCs w:val="36"/>
          <w:rtl/>
        </w:rPr>
        <w:t xml:space="preserve"> </w:t>
      </w:r>
      <w:r w:rsidR="00296677" w:rsidRPr="00FD211F">
        <w:rPr>
          <w:sz w:val="36"/>
          <w:szCs w:val="36"/>
          <w:rtl/>
        </w:rPr>
        <w:t>محله</w:t>
      </w:r>
      <w:r w:rsidR="00E8128F">
        <w:rPr>
          <w:sz w:val="36"/>
          <w:szCs w:val="36"/>
          <w:rtl/>
        </w:rPr>
        <w:t xml:space="preserve"> </w:t>
      </w:r>
      <w:r w:rsidR="00296677" w:rsidRPr="00FD211F">
        <w:rPr>
          <w:sz w:val="36"/>
          <w:szCs w:val="36"/>
          <w:rtl/>
        </w:rPr>
        <w:t>انه</w:t>
      </w:r>
      <w:r w:rsidR="00E8128F">
        <w:rPr>
          <w:sz w:val="36"/>
          <w:szCs w:val="36"/>
          <w:rtl/>
        </w:rPr>
        <w:t xml:space="preserve"> </w:t>
      </w:r>
      <w:r w:rsidR="00296677" w:rsidRPr="00FD211F">
        <w:rPr>
          <w:sz w:val="36"/>
          <w:szCs w:val="36"/>
          <w:rtl/>
        </w:rPr>
        <w:t>لو</w:t>
      </w:r>
      <w:r w:rsidR="00E8128F">
        <w:rPr>
          <w:sz w:val="36"/>
          <w:szCs w:val="36"/>
          <w:rtl/>
        </w:rPr>
        <w:t xml:space="preserve"> </w:t>
      </w:r>
      <w:r w:rsidR="00296677" w:rsidRPr="00FD211F">
        <w:rPr>
          <w:sz w:val="36"/>
          <w:szCs w:val="36"/>
          <w:rtl/>
        </w:rPr>
        <w:t>ورد</w:t>
      </w:r>
      <w:r w:rsidR="00E8128F">
        <w:rPr>
          <w:sz w:val="36"/>
          <w:szCs w:val="36"/>
          <w:rtl/>
        </w:rPr>
        <w:t xml:space="preserve"> </w:t>
      </w:r>
      <w:r w:rsidR="00296677" w:rsidRPr="00FD211F">
        <w:rPr>
          <w:sz w:val="36"/>
          <w:szCs w:val="36"/>
          <w:rtl/>
        </w:rPr>
        <w:t>في</w:t>
      </w:r>
      <w:r w:rsidR="00E8128F">
        <w:rPr>
          <w:sz w:val="36"/>
          <w:szCs w:val="36"/>
          <w:rtl/>
        </w:rPr>
        <w:t xml:space="preserve"> </w:t>
      </w:r>
      <w:r w:rsidR="00296677" w:rsidRPr="00FD211F">
        <w:rPr>
          <w:sz w:val="36"/>
          <w:szCs w:val="36"/>
          <w:rtl/>
        </w:rPr>
        <w:t>الخطاب</w:t>
      </w:r>
      <w:r w:rsidR="00E8128F">
        <w:rPr>
          <w:sz w:val="36"/>
          <w:szCs w:val="36"/>
          <w:rtl/>
        </w:rPr>
        <w:t xml:space="preserve"> </w:t>
      </w:r>
      <w:r w:rsidR="006960AB" w:rsidRPr="00FD211F">
        <w:rPr>
          <w:sz w:val="36"/>
          <w:szCs w:val="36"/>
          <w:rtl/>
        </w:rPr>
        <w:t>"</w:t>
      </w:r>
      <w:r w:rsidR="00E26C6D" w:rsidRPr="00FD211F">
        <w:rPr>
          <w:sz w:val="36"/>
          <w:szCs w:val="36"/>
          <w:rtl/>
        </w:rPr>
        <w:t>اذا</w:t>
      </w:r>
      <w:r w:rsidR="00E8128F">
        <w:rPr>
          <w:sz w:val="36"/>
          <w:szCs w:val="36"/>
          <w:rtl/>
        </w:rPr>
        <w:t xml:space="preserve"> </w:t>
      </w:r>
      <w:r w:rsidR="00296677" w:rsidRPr="00FD211F">
        <w:rPr>
          <w:sz w:val="36"/>
          <w:szCs w:val="36"/>
          <w:rtl/>
        </w:rPr>
        <w:t>قرئت</w:t>
      </w:r>
      <w:r w:rsidR="00E8128F">
        <w:rPr>
          <w:sz w:val="36"/>
          <w:szCs w:val="36"/>
          <w:rtl/>
        </w:rPr>
        <w:t xml:space="preserve"> </w:t>
      </w:r>
      <w:r w:rsidR="00296677" w:rsidRPr="00FD211F">
        <w:rPr>
          <w:sz w:val="36"/>
          <w:szCs w:val="36"/>
          <w:rtl/>
        </w:rPr>
        <w:t>عليك</w:t>
      </w:r>
      <w:r w:rsidR="00E8128F">
        <w:rPr>
          <w:sz w:val="36"/>
          <w:szCs w:val="36"/>
          <w:rtl/>
        </w:rPr>
        <w:t xml:space="preserve"> </w:t>
      </w:r>
      <w:r w:rsidR="00296677" w:rsidRPr="00FD211F">
        <w:rPr>
          <w:sz w:val="36"/>
          <w:szCs w:val="36"/>
          <w:rtl/>
        </w:rPr>
        <w:t>آي</w:t>
      </w:r>
      <w:r w:rsidR="00EC7EDF" w:rsidRPr="00FD211F">
        <w:rPr>
          <w:sz w:val="36"/>
          <w:szCs w:val="36"/>
          <w:rtl/>
        </w:rPr>
        <w:t>ة</w:t>
      </w:r>
      <w:r w:rsidR="00E8128F">
        <w:rPr>
          <w:sz w:val="36"/>
          <w:szCs w:val="36"/>
          <w:rtl/>
        </w:rPr>
        <w:t xml:space="preserve"> </w:t>
      </w:r>
      <w:r w:rsidR="00296677" w:rsidRPr="00FD211F">
        <w:rPr>
          <w:sz w:val="36"/>
          <w:szCs w:val="36"/>
          <w:rtl/>
        </w:rPr>
        <w:t>العزيم</w:t>
      </w:r>
      <w:r w:rsidR="00EC7EDF" w:rsidRPr="00FD211F">
        <w:rPr>
          <w:sz w:val="36"/>
          <w:szCs w:val="36"/>
          <w:rtl/>
        </w:rPr>
        <w:t>ة</w:t>
      </w:r>
      <w:r w:rsidR="00E8128F">
        <w:rPr>
          <w:sz w:val="36"/>
          <w:szCs w:val="36"/>
          <w:rtl/>
        </w:rPr>
        <w:t xml:space="preserve"> </w:t>
      </w:r>
      <w:r w:rsidR="00296677" w:rsidRPr="00FD211F">
        <w:rPr>
          <w:sz w:val="36"/>
          <w:szCs w:val="36"/>
          <w:rtl/>
        </w:rPr>
        <w:t>فاسجد</w:t>
      </w:r>
      <w:r w:rsidR="006960AB" w:rsidRPr="00FD211F">
        <w:rPr>
          <w:sz w:val="36"/>
          <w:szCs w:val="36"/>
          <w:rtl/>
        </w:rPr>
        <w:t>"</w:t>
      </w:r>
      <w:r w:rsidR="00E8128F">
        <w:rPr>
          <w:sz w:val="36"/>
          <w:szCs w:val="36"/>
          <w:rtl/>
        </w:rPr>
        <w:t xml:space="preserve"> </w:t>
      </w:r>
      <w:r w:rsidR="00AC2EB4" w:rsidRPr="00FD211F">
        <w:rPr>
          <w:sz w:val="36"/>
          <w:szCs w:val="36"/>
          <w:rtl/>
        </w:rPr>
        <w:t>ف</w:t>
      </w:r>
      <w:r w:rsidR="00296677" w:rsidRPr="00FD211F">
        <w:rPr>
          <w:sz w:val="36"/>
          <w:szCs w:val="36"/>
          <w:rtl/>
        </w:rPr>
        <w:t>يكون</w:t>
      </w:r>
      <w:r w:rsidR="00E8128F">
        <w:rPr>
          <w:sz w:val="36"/>
          <w:szCs w:val="36"/>
          <w:rtl/>
        </w:rPr>
        <w:t xml:space="preserve"> </w:t>
      </w:r>
      <w:r w:rsidR="00296677" w:rsidRPr="00FD211F">
        <w:rPr>
          <w:sz w:val="36"/>
          <w:szCs w:val="36"/>
          <w:rtl/>
        </w:rPr>
        <w:t>ذلك</w:t>
      </w:r>
      <w:r w:rsidR="00E8128F">
        <w:rPr>
          <w:sz w:val="36"/>
          <w:szCs w:val="36"/>
          <w:rtl/>
        </w:rPr>
        <w:t xml:space="preserve"> </w:t>
      </w:r>
      <w:r w:rsidR="00296677" w:rsidRPr="00FD211F">
        <w:rPr>
          <w:sz w:val="36"/>
          <w:szCs w:val="36"/>
          <w:rtl/>
        </w:rPr>
        <w:t>ظاهرا</w:t>
      </w:r>
      <w:r w:rsidR="00E8128F">
        <w:rPr>
          <w:sz w:val="36"/>
          <w:szCs w:val="36"/>
          <w:rtl/>
        </w:rPr>
        <w:t xml:space="preserve"> </w:t>
      </w:r>
      <w:r w:rsidR="00296677" w:rsidRPr="00FD211F">
        <w:rPr>
          <w:sz w:val="36"/>
          <w:szCs w:val="36"/>
          <w:rtl/>
        </w:rPr>
        <w:t>في</w:t>
      </w:r>
      <w:r w:rsidR="00E8128F">
        <w:rPr>
          <w:sz w:val="36"/>
          <w:szCs w:val="36"/>
          <w:rtl/>
        </w:rPr>
        <w:t xml:space="preserve"> </w:t>
      </w:r>
      <w:r w:rsidR="00AC2EB4" w:rsidRPr="00FD211F">
        <w:rPr>
          <w:sz w:val="36"/>
          <w:szCs w:val="36"/>
          <w:rtl/>
        </w:rPr>
        <w:t>وجوب</w:t>
      </w:r>
      <w:r w:rsidR="00E8128F">
        <w:rPr>
          <w:sz w:val="36"/>
          <w:szCs w:val="36"/>
          <w:rtl/>
        </w:rPr>
        <w:t xml:space="preserve"> </w:t>
      </w:r>
      <w:r w:rsidR="00296677" w:rsidRPr="00FD211F">
        <w:rPr>
          <w:sz w:val="36"/>
          <w:szCs w:val="36"/>
          <w:rtl/>
        </w:rPr>
        <w:t>إحداث</w:t>
      </w:r>
      <w:r w:rsidR="00E8128F">
        <w:rPr>
          <w:sz w:val="36"/>
          <w:szCs w:val="36"/>
          <w:rtl/>
        </w:rPr>
        <w:t xml:space="preserve"> </w:t>
      </w:r>
      <w:r w:rsidR="00296677" w:rsidRPr="00FD211F">
        <w:rPr>
          <w:sz w:val="36"/>
          <w:szCs w:val="36"/>
          <w:rtl/>
        </w:rPr>
        <w:t>السجود</w:t>
      </w:r>
      <w:r w:rsidR="00E8128F">
        <w:rPr>
          <w:sz w:val="36"/>
          <w:szCs w:val="36"/>
          <w:rtl/>
        </w:rPr>
        <w:t xml:space="preserve"> </w:t>
      </w:r>
      <w:r w:rsidR="00296677" w:rsidRPr="00FD211F">
        <w:rPr>
          <w:sz w:val="36"/>
          <w:szCs w:val="36"/>
          <w:rtl/>
        </w:rPr>
        <w:t>عقيب</w:t>
      </w:r>
      <w:r w:rsidR="00E8128F">
        <w:rPr>
          <w:sz w:val="36"/>
          <w:szCs w:val="36"/>
          <w:rtl/>
        </w:rPr>
        <w:t xml:space="preserve"> </w:t>
      </w:r>
      <w:r w:rsidR="00296677" w:rsidRPr="00FD211F">
        <w:rPr>
          <w:sz w:val="36"/>
          <w:szCs w:val="36"/>
          <w:rtl/>
        </w:rPr>
        <w:t>استماع</w:t>
      </w:r>
      <w:r w:rsidR="00E8128F">
        <w:rPr>
          <w:sz w:val="36"/>
          <w:szCs w:val="36"/>
          <w:rtl/>
        </w:rPr>
        <w:t xml:space="preserve"> </w:t>
      </w:r>
      <w:r w:rsidR="00296677" w:rsidRPr="00FD211F">
        <w:rPr>
          <w:sz w:val="36"/>
          <w:szCs w:val="36"/>
          <w:rtl/>
        </w:rPr>
        <w:t>آي</w:t>
      </w:r>
      <w:r w:rsidR="00EC7EDF" w:rsidRPr="00FD211F">
        <w:rPr>
          <w:sz w:val="36"/>
          <w:szCs w:val="36"/>
          <w:rtl/>
        </w:rPr>
        <w:t>ة</w:t>
      </w:r>
      <w:r w:rsidR="00E8128F">
        <w:rPr>
          <w:sz w:val="36"/>
          <w:szCs w:val="36"/>
          <w:rtl/>
        </w:rPr>
        <w:t xml:space="preserve"> </w:t>
      </w:r>
      <w:r w:rsidR="00296677" w:rsidRPr="00FD211F">
        <w:rPr>
          <w:sz w:val="36"/>
          <w:szCs w:val="36"/>
          <w:rtl/>
        </w:rPr>
        <w:t>العزيم</w:t>
      </w:r>
      <w:r w:rsidR="00EC7EDF" w:rsidRPr="00FD211F">
        <w:rPr>
          <w:sz w:val="36"/>
          <w:szCs w:val="36"/>
          <w:rtl/>
        </w:rPr>
        <w:t>ة</w:t>
      </w:r>
      <w:r w:rsidR="00603323" w:rsidRPr="00FD211F">
        <w:rPr>
          <w:sz w:val="36"/>
          <w:szCs w:val="36"/>
          <w:rtl/>
        </w:rPr>
        <w:t>،</w:t>
      </w:r>
      <w:r w:rsidR="00E8128F">
        <w:rPr>
          <w:sz w:val="36"/>
          <w:szCs w:val="36"/>
          <w:rtl/>
        </w:rPr>
        <w:t xml:space="preserve"> </w:t>
      </w:r>
      <w:r w:rsidR="00296677" w:rsidRPr="00FD211F">
        <w:rPr>
          <w:sz w:val="36"/>
          <w:szCs w:val="36"/>
          <w:rtl/>
        </w:rPr>
        <w:t>فلو</w:t>
      </w:r>
      <w:r w:rsidR="00E8128F">
        <w:rPr>
          <w:sz w:val="36"/>
          <w:szCs w:val="36"/>
          <w:rtl/>
        </w:rPr>
        <w:t xml:space="preserve"> </w:t>
      </w:r>
      <w:r w:rsidR="00E26C6D" w:rsidRPr="00FD211F">
        <w:rPr>
          <w:sz w:val="36"/>
          <w:szCs w:val="36"/>
          <w:rtl/>
        </w:rPr>
        <w:t>استمعها</w:t>
      </w:r>
      <w:r w:rsidR="00E8128F">
        <w:rPr>
          <w:sz w:val="36"/>
          <w:szCs w:val="36"/>
          <w:rtl/>
        </w:rPr>
        <w:t xml:space="preserve"> </w:t>
      </w:r>
      <w:r w:rsidR="00E26C6D" w:rsidRPr="00FD211F">
        <w:rPr>
          <w:sz w:val="36"/>
          <w:szCs w:val="36"/>
          <w:rtl/>
        </w:rPr>
        <w:t>في</w:t>
      </w:r>
      <w:r w:rsidR="00E8128F">
        <w:rPr>
          <w:sz w:val="36"/>
          <w:szCs w:val="36"/>
          <w:rtl/>
        </w:rPr>
        <w:t xml:space="preserve"> </w:t>
      </w:r>
      <w:r w:rsidR="00E26C6D" w:rsidRPr="00FD211F">
        <w:rPr>
          <w:sz w:val="36"/>
          <w:szCs w:val="36"/>
          <w:rtl/>
        </w:rPr>
        <w:t>حال</w:t>
      </w:r>
      <w:r w:rsidR="00E8128F">
        <w:rPr>
          <w:sz w:val="36"/>
          <w:szCs w:val="36"/>
          <w:rtl/>
        </w:rPr>
        <w:t xml:space="preserve"> </w:t>
      </w:r>
      <w:r w:rsidR="00E26C6D" w:rsidRPr="00FD211F">
        <w:rPr>
          <w:sz w:val="36"/>
          <w:szCs w:val="36"/>
          <w:rtl/>
        </w:rPr>
        <w:t>سجوده</w:t>
      </w:r>
      <w:r w:rsidR="00E8128F">
        <w:rPr>
          <w:sz w:val="36"/>
          <w:szCs w:val="36"/>
          <w:rtl/>
        </w:rPr>
        <w:t xml:space="preserve"> </w:t>
      </w:r>
      <w:r w:rsidR="00E26C6D" w:rsidRPr="00FD211F">
        <w:rPr>
          <w:sz w:val="36"/>
          <w:szCs w:val="36"/>
          <w:rtl/>
        </w:rPr>
        <w:t>لزمه</w:t>
      </w:r>
      <w:r w:rsidR="00E8128F">
        <w:rPr>
          <w:sz w:val="36"/>
          <w:szCs w:val="36"/>
          <w:rtl/>
        </w:rPr>
        <w:t xml:space="preserve"> </w:t>
      </w:r>
      <w:r w:rsidR="00E26C6D" w:rsidRPr="00FD211F">
        <w:rPr>
          <w:sz w:val="36"/>
          <w:szCs w:val="36"/>
          <w:rtl/>
        </w:rPr>
        <w:t>رفع</w:t>
      </w:r>
      <w:r w:rsidR="00E8128F">
        <w:rPr>
          <w:sz w:val="36"/>
          <w:szCs w:val="36"/>
          <w:rtl/>
        </w:rPr>
        <w:t xml:space="preserve"> </w:t>
      </w:r>
      <w:r w:rsidR="00E26C6D" w:rsidRPr="00FD211F">
        <w:rPr>
          <w:sz w:val="36"/>
          <w:szCs w:val="36"/>
          <w:rtl/>
        </w:rPr>
        <w:t>رأسه</w:t>
      </w:r>
      <w:r w:rsidR="00E8128F">
        <w:rPr>
          <w:sz w:val="36"/>
          <w:szCs w:val="36"/>
          <w:rtl/>
        </w:rPr>
        <w:t xml:space="preserve"> </w:t>
      </w:r>
      <w:r w:rsidR="00296677" w:rsidRPr="00FD211F">
        <w:rPr>
          <w:sz w:val="36"/>
          <w:szCs w:val="36"/>
          <w:rtl/>
        </w:rPr>
        <w:t>ثم</w:t>
      </w:r>
      <w:r w:rsidR="00E8128F">
        <w:rPr>
          <w:sz w:val="36"/>
          <w:szCs w:val="36"/>
          <w:rtl/>
        </w:rPr>
        <w:t xml:space="preserve"> </w:t>
      </w:r>
      <w:r w:rsidR="00296677" w:rsidRPr="00FD211F">
        <w:rPr>
          <w:sz w:val="36"/>
          <w:szCs w:val="36"/>
          <w:rtl/>
        </w:rPr>
        <w:t>احداث</w:t>
      </w:r>
      <w:r w:rsidR="00E8128F">
        <w:rPr>
          <w:sz w:val="36"/>
          <w:szCs w:val="36"/>
          <w:rtl/>
        </w:rPr>
        <w:t xml:space="preserve"> </w:t>
      </w:r>
      <w:r w:rsidR="00296677" w:rsidRPr="00FD211F">
        <w:rPr>
          <w:sz w:val="36"/>
          <w:szCs w:val="36"/>
          <w:rtl/>
        </w:rPr>
        <w:t>السجود</w:t>
      </w:r>
      <w:r w:rsidR="00E8128F">
        <w:rPr>
          <w:sz w:val="36"/>
          <w:szCs w:val="36"/>
          <w:rtl/>
        </w:rPr>
        <w:t xml:space="preserve"> </w:t>
      </w:r>
      <w:r w:rsidR="00296677" w:rsidRPr="00FD211F">
        <w:rPr>
          <w:sz w:val="36"/>
          <w:szCs w:val="36"/>
          <w:rtl/>
        </w:rPr>
        <w:t>مر</w:t>
      </w:r>
      <w:r w:rsidR="00EC7EDF" w:rsidRPr="00FD211F">
        <w:rPr>
          <w:sz w:val="36"/>
          <w:szCs w:val="36"/>
          <w:rtl/>
        </w:rPr>
        <w:t>ة</w:t>
      </w:r>
      <w:r w:rsidR="00E8128F">
        <w:rPr>
          <w:sz w:val="36"/>
          <w:szCs w:val="36"/>
          <w:rtl/>
        </w:rPr>
        <w:t xml:space="preserve"> </w:t>
      </w:r>
      <w:r w:rsidR="00296677" w:rsidRPr="00FD211F">
        <w:rPr>
          <w:sz w:val="36"/>
          <w:szCs w:val="36"/>
          <w:rtl/>
        </w:rPr>
        <w:t>أخرى</w:t>
      </w:r>
      <w:r w:rsidR="00603323" w:rsidRPr="00FD211F">
        <w:rPr>
          <w:sz w:val="36"/>
          <w:szCs w:val="36"/>
          <w:rtl/>
        </w:rPr>
        <w:t>،</w:t>
      </w:r>
      <w:r w:rsidR="00E8128F">
        <w:rPr>
          <w:sz w:val="36"/>
          <w:szCs w:val="36"/>
          <w:rtl/>
        </w:rPr>
        <w:t xml:space="preserve"> </w:t>
      </w:r>
      <w:r w:rsidR="00296677" w:rsidRPr="00FD211F">
        <w:rPr>
          <w:sz w:val="36"/>
          <w:szCs w:val="36"/>
          <w:rtl/>
        </w:rPr>
        <w:t>بخلاف</w:t>
      </w:r>
      <w:r w:rsidR="00E8128F">
        <w:rPr>
          <w:sz w:val="36"/>
          <w:szCs w:val="36"/>
          <w:rtl/>
        </w:rPr>
        <w:t xml:space="preserve"> </w:t>
      </w:r>
      <w:r w:rsidR="00296677" w:rsidRPr="00FD211F">
        <w:rPr>
          <w:sz w:val="36"/>
          <w:szCs w:val="36"/>
          <w:rtl/>
        </w:rPr>
        <w:t>ما</w:t>
      </w:r>
      <w:r w:rsidR="00E8128F">
        <w:rPr>
          <w:sz w:val="36"/>
          <w:szCs w:val="36"/>
          <w:rtl/>
        </w:rPr>
        <w:t xml:space="preserve"> </w:t>
      </w:r>
      <w:r w:rsidR="00296677" w:rsidRPr="00FD211F">
        <w:rPr>
          <w:sz w:val="36"/>
          <w:szCs w:val="36"/>
          <w:rtl/>
        </w:rPr>
        <w:t>لو</w:t>
      </w:r>
      <w:r w:rsidR="00E8128F">
        <w:rPr>
          <w:sz w:val="36"/>
          <w:szCs w:val="36"/>
          <w:rtl/>
        </w:rPr>
        <w:t xml:space="preserve"> </w:t>
      </w:r>
      <w:r w:rsidR="00296677" w:rsidRPr="00FD211F">
        <w:rPr>
          <w:sz w:val="36"/>
          <w:szCs w:val="36"/>
          <w:rtl/>
        </w:rPr>
        <w:t>ورد</w:t>
      </w:r>
      <w:r w:rsidR="00E8128F">
        <w:rPr>
          <w:sz w:val="36"/>
          <w:szCs w:val="36"/>
          <w:rtl/>
        </w:rPr>
        <w:t xml:space="preserve"> </w:t>
      </w:r>
      <w:r w:rsidR="00296677" w:rsidRPr="00FD211F">
        <w:rPr>
          <w:sz w:val="36"/>
          <w:szCs w:val="36"/>
          <w:rtl/>
        </w:rPr>
        <w:t>في</w:t>
      </w:r>
      <w:r w:rsidR="00E8128F">
        <w:rPr>
          <w:sz w:val="36"/>
          <w:szCs w:val="36"/>
          <w:rtl/>
        </w:rPr>
        <w:t xml:space="preserve"> </w:t>
      </w:r>
      <w:r w:rsidR="00296677" w:rsidRPr="00FD211F">
        <w:rPr>
          <w:sz w:val="36"/>
          <w:szCs w:val="36"/>
          <w:rtl/>
        </w:rPr>
        <w:t>الخطاب</w:t>
      </w:r>
      <w:r w:rsidR="00E8128F">
        <w:rPr>
          <w:sz w:val="36"/>
          <w:szCs w:val="36"/>
          <w:rtl/>
        </w:rPr>
        <w:t xml:space="preserve"> </w:t>
      </w:r>
      <w:r w:rsidR="006960AB" w:rsidRPr="00FD211F">
        <w:rPr>
          <w:sz w:val="36"/>
          <w:szCs w:val="36"/>
          <w:rtl/>
        </w:rPr>
        <w:t>"</w:t>
      </w:r>
      <w:r w:rsidR="00296677" w:rsidRPr="00FD211F">
        <w:rPr>
          <w:sz w:val="36"/>
          <w:szCs w:val="36"/>
          <w:rtl/>
        </w:rPr>
        <w:t>اذا</w:t>
      </w:r>
      <w:r w:rsidR="00E8128F">
        <w:rPr>
          <w:sz w:val="36"/>
          <w:szCs w:val="36"/>
          <w:rtl/>
        </w:rPr>
        <w:t xml:space="preserve"> </w:t>
      </w:r>
      <w:r w:rsidR="00296677" w:rsidRPr="00FD211F">
        <w:rPr>
          <w:sz w:val="36"/>
          <w:szCs w:val="36"/>
          <w:rtl/>
        </w:rPr>
        <w:t>قرئت</w:t>
      </w:r>
      <w:r w:rsidR="00E8128F">
        <w:rPr>
          <w:sz w:val="36"/>
          <w:szCs w:val="36"/>
          <w:rtl/>
        </w:rPr>
        <w:t xml:space="preserve"> </w:t>
      </w:r>
      <w:r w:rsidR="00296677" w:rsidRPr="00FD211F">
        <w:rPr>
          <w:sz w:val="36"/>
          <w:szCs w:val="36"/>
          <w:rtl/>
        </w:rPr>
        <w:t>عليك</w:t>
      </w:r>
      <w:r w:rsidR="00E8128F">
        <w:rPr>
          <w:sz w:val="36"/>
          <w:szCs w:val="36"/>
          <w:rtl/>
        </w:rPr>
        <w:t xml:space="preserve"> </w:t>
      </w:r>
      <w:r w:rsidR="00296677" w:rsidRPr="00FD211F">
        <w:rPr>
          <w:sz w:val="36"/>
          <w:szCs w:val="36"/>
          <w:rtl/>
        </w:rPr>
        <w:t>آي</w:t>
      </w:r>
      <w:r w:rsidR="00EC7EDF" w:rsidRPr="00FD211F">
        <w:rPr>
          <w:sz w:val="36"/>
          <w:szCs w:val="36"/>
          <w:rtl/>
        </w:rPr>
        <w:t>ة</w:t>
      </w:r>
      <w:r w:rsidR="00E8128F">
        <w:rPr>
          <w:sz w:val="36"/>
          <w:szCs w:val="36"/>
          <w:rtl/>
        </w:rPr>
        <w:t xml:space="preserve"> </w:t>
      </w:r>
      <w:r w:rsidR="00296677" w:rsidRPr="00FD211F">
        <w:rPr>
          <w:sz w:val="36"/>
          <w:szCs w:val="36"/>
          <w:rtl/>
        </w:rPr>
        <w:t>العزيم</w:t>
      </w:r>
      <w:r w:rsidR="00EC7EDF" w:rsidRPr="00FD211F">
        <w:rPr>
          <w:sz w:val="36"/>
          <w:szCs w:val="36"/>
          <w:rtl/>
        </w:rPr>
        <w:t>ة</w:t>
      </w:r>
      <w:r w:rsidR="00E8128F">
        <w:rPr>
          <w:sz w:val="36"/>
          <w:szCs w:val="36"/>
          <w:rtl/>
        </w:rPr>
        <w:t xml:space="preserve"> </w:t>
      </w:r>
      <w:r w:rsidR="00296677" w:rsidRPr="00FD211F">
        <w:rPr>
          <w:sz w:val="36"/>
          <w:szCs w:val="36"/>
          <w:rtl/>
        </w:rPr>
        <w:t>فكن</w:t>
      </w:r>
      <w:r w:rsidR="00E8128F">
        <w:rPr>
          <w:sz w:val="36"/>
          <w:szCs w:val="36"/>
          <w:rtl/>
        </w:rPr>
        <w:t xml:space="preserve"> </w:t>
      </w:r>
      <w:r w:rsidR="00296677" w:rsidRPr="00FD211F">
        <w:rPr>
          <w:sz w:val="36"/>
          <w:szCs w:val="36"/>
          <w:rtl/>
        </w:rPr>
        <w:t>ساجدا</w:t>
      </w:r>
      <w:r w:rsidR="006960AB" w:rsidRPr="00FD211F">
        <w:rPr>
          <w:sz w:val="36"/>
          <w:szCs w:val="36"/>
          <w:rtl/>
        </w:rPr>
        <w:t>"</w:t>
      </w:r>
      <w:r w:rsidR="00E8128F">
        <w:rPr>
          <w:sz w:val="36"/>
          <w:szCs w:val="36"/>
          <w:rtl/>
        </w:rPr>
        <w:t xml:space="preserve"> </w:t>
      </w:r>
      <w:r w:rsidR="00296677" w:rsidRPr="00FD211F">
        <w:rPr>
          <w:sz w:val="36"/>
          <w:szCs w:val="36"/>
          <w:rtl/>
        </w:rPr>
        <w:t>حيث</w:t>
      </w:r>
      <w:r w:rsidR="00E8128F">
        <w:rPr>
          <w:sz w:val="36"/>
          <w:szCs w:val="36"/>
          <w:rtl/>
        </w:rPr>
        <w:t xml:space="preserve"> </w:t>
      </w:r>
      <w:r w:rsidR="00296677" w:rsidRPr="00FD211F">
        <w:rPr>
          <w:sz w:val="36"/>
          <w:szCs w:val="36"/>
          <w:rtl/>
        </w:rPr>
        <w:t>يكفيه</w:t>
      </w:r>
      <w:r w:rsidR="00E8128F">
        <w:rPr>
          <w:sz w:val="36"/>
          <w:szCs w:val="36"/>
          <w:rtl/>
        </w:rPr>
        <w:t xml:space="preserve"> </w:t>
      </w:r>
      <w:r w:rsidR="006960AB" w:rsidRPr="00FD211F">
        <w:rPr>
          <w:sz w:val="36"/>
          <w:szCs w:val="36"/>
          <w:rtl/>
        </w:rPr>
        <w:t>ال</w:t>
      </w:r>
      <w:r w:rsidR="00296677" w:rsidRPr="00FD211F">
        <w:rPr>
          <w:sz w:val="36"/>
          <w:szCs w:val="36"/>
          <w:rtl/>
        </w:rPr>
        <w:t>استمرار</w:t>
      </w:r>
      <w:r w:rsidR="00E8128F">
        <w:rPr>
          <w:sz w:val="36"/>
          <w:szCs w:val="36"/>
          <w:rtl/>
        </w:rPr>
        <w:t xml:space="preserve"> </w:t>
      </w:r>
      <w:r w:rsidR="006960AB" w:rsidRPr="00FD211F">
        <w:rPr>
          <w:sz w:val="36"/>
          <w:szCs w:val="36"/>
          <w:rtl/>
        </w:rPr>
        <w:t>في</w:t>
      </w:r>
      <w:r w:rsidR="00E8128F">
        <w:rPr>
          <w:sz w:val="36"/>
          <w:szCs w:val="36"/>
          <w:rtl/>
        </w:rPr>
        <w:t xml:space="preserve"> </w:t>
      </w:r>
      <w:r w:rsidR="006960AB" w:rsidRPr="00FD211F">
        <w:rPr>
          <w:sz w:val="36"/>
          <w:szCs w:val="36"/>
          <w:rtl/>
        </w:rPr>
        <w:t>السجود</w:t>
      </w:r>
      <w:r w:rsidR="004E69FC" w:rsidRPr="00FD211F">
        <w:rPr>
          <w:sz w:val="36"/>
          <w:szCs w:val="36"/>
          <w:rtl/>
        </w:rPr>
        <w:t>.</w:t>
      </w:r>
    </w:p>
    <w:p w14:paraId="738B9214" w14:textId="77777777" w:rsidR="004E69FC" w:rsidRPr="00FD211F" w:rsidRDefault="001C3D33" w:rsidP="00142012">
      <w:pPr>
        <w:ind w:left="0" w:firstLine="227"/>
        <w:jc w:val="both"/>
        <w:rPr>
          <w:sz w:val="36"/>
          <w:szCs w:val="36"/>
          <w:rtl/>
        </w:rPr>
      </w:pPr>
      <w:r w:rsidRPr="00FD211F">
        <w:rPr>
          <w:sz w:val="36"/>
          <w:szCs w:val="36"/>
          <w:rtl/>
        </w:rPr>
        <w:t>ولكن</w:t>
      </w:r>
      <w:r w:rsidR="00E8128F">
        <w:rPr>
          <w:sz w:val="36"/>
          <w:szCs w:val="36"/>
          <w:rtl/>
        </w:rPr>
        <w:t xml:space="preserve"> </w:t>
      </w:r>
      <w:r w:rsidRPr="00FD211F">
        <w:rPr>
          <w:sz w:val="36"/>
          <w:szCs w:val="36"/>
          <w:rtl/>
        </w:rPr>
        <w:t>الظاهر</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السيد</w:t>
      </w:r>
      <w:r w:rsidR="00E8128F">
        <w:rPr>
          <w:sz w:val="36"/>
          <w:szCs w:val="36"/>
          <w:rtl/>
        </w:rPr>
        <w:t xml:space="preserve"> </w:t>
      </w:r>
      <w:r w:rsidR="00142012" w:rsidRPr="00FD211F">
        <w:rPr>
          <w:sz w:val="36"/>
          <w:szCs w:val="36"/>
          <w:rtl/>
        </w:rPr>
        <w:t>الگل‍‍پايگاني</w:t>
      </w:r>
      <w:r w:rsidR="00E8128F">
        <w:rPr>
          <w:sz w:val="36"/>
          <w:szCs w:val="36"/>
          <w:rtl/>
        </w:rPr>
        <w:t xml:space="preserve"> </w:t>
      </w:r>
      <w:r w:rsidR="008F14E7" w:rsidRPr="00FD211F">
        <w:rPr>
          <w:sz w:val="36"/>
          <w:szCs w:val="36"/>
          <w:rtl/>
        </w:rPr>
        <w:t>"قده"</w:t>
      </w:r>
      <w:r w:rsidR="00E8128F">
        <w:rPr>
          <w:sz w:val="36"/>
          <w:szCs w:val="36"/>
          <w:rtl/>
        </w:rPr>
        <w:t xml:space="preserve"> </w:t>
      </w:r>
      <w:r w:rsidR="004E69FC" w:rsidRPr="00FD211F">
        <w:rPr>
          <w:sz w:val="36"/>
          <w:szCs w:val="36"/>
          <w:rtl/>
        </w:rPr>
        <w:t>لم</w:t>
      </w:r>
      <w:r w:rsidR="00E8128F">
        <w:rPr>
          <w:sz w:val="36"/>
          <w:szCs w:val="36"/>
          <w:rtl/>
        </w:rPr>
        <w:t xml:space="preserve"> </w:t>
      </w:r>
      <w:r w:rsidR="004E69FC" w:rsidRPr="00FD211F">
        <w:rPr>
          <w:sz w:val="36"/>
          <w:szCs w:val="36"/>
          <w:rtl/>
        </w:rPr>
        <w:t>يرد</w:t>
      </w:r>
      <w:r w:rsidR="00E8128F">
        <w:rPr>
          <w:sz w:val="36"/>
          <w:szCs w:val="36"/>
          <w:rtl/>
        </w:rPr>
        <w:t xml:space="preserve"> </w:t>
      </w:r>
      <w:r w:rsidR="00AB57C8" w:rsidRPr="00FD211F">
        <w:rPr>
          <w:sz w:val="36"/>
          <w:szCs w:val="36"/>
          <w:rtl/>
        </w:rPr>
        <w:t>هذا</w:t>
      </w:r>
      <w:r w:rsidR="00E8128F">
        <w:rPr>
          <w:sz w:val="36"/>
          <w:szCs w:val="36"/>
          <w:rtl/>
        </w:rPr>
        <w:t xml:space="preserve"> </w:t>
      </w:r>
      <w:r w:rsidR="00AB57C8" w:rsidRPr="00FD211F">
        <w:rPr>
          <w:sz w:val="36"/>
          <w:szCs w:val="36"/>
          <w:rtl/>
        </w:rPr>
        <w:t>المعنى</w:t>
      </w:r>
      <w:r w:rsidR="00E8128F">
        <w:rPr>
          <w:sz w:val="36"/>
          <w:szCs w:val="36"/>
          <w:rtl/>
        </w:rPr>
        <w:t xml:space="preserve"> </w:t>
      </w:r>
      <w:r w:rsidR="004E69FC" w:rsidRPr="00FD211F">
        <w:rPr>
          <w:sz w:val="36"/>
          <w:szCs w:val="36"/>
          <w:rtl/>
        </w:rPr>
        <w:t>من</w:t>
      </w:r>
      <w:r w:rsidR="00E8128F">
        <w:rPr>
          <w:sz w:val="36"/>
          <w:szCs w:val="36"/>
          <w:rtl/>
        </w:rPr>
        <w:t xml:space="preserve"> </w:t>
      </w:r>
      <w:r w:rsidR="004E69FC" w:rsidRPr="00FD211F">
        <w:rPr>
          <w:sz w:val="36"/>
          <w:szCs w:val="36"/>
          <w:rtl/>
        </w:rPr>
        <w:t>ظهور</w:t>
      </w:r>
      <w:r w:rsidR="00E8128F">
        <w:rPr>
          <w:sz w:val="36"/>
          <w:szCs w:val="36"/>
          <w:rtl/>
        </w:rPr>
        <w:t xml:space="preserve"> </w:t>
      </w:r>
      <w:r w:rsidR="004E69FC" w:rsidRPr="00FD211F">
        <w:rPr>
          <w:sz w:val="36"/>
          <w:szCs w:val="36"/>
          <w:rtl/>
        </w:rPr>
        <w:t>ف</w:t>
      </w:r>
      <w:r w:rsidR="00AB57C8" w:rsidRPr="00FD211F">
        <w:rPr>
          <w:sz w:val="36"/>
          <w:szCs w:val="36"/>
          <w:rtl/>
        </w:rPr>
        <w:t>عل</w:t>
      </w:r>
      <w:r w:rsidR="00E8128F">
        <w:rPr>
          <w:sz w:val="36"/>
          <w:szCs w:val="36"/>
          <w:rtl/>
        </w:rPr>
        <w:t xml:space="preserve"> </w:t>
      </w:r>
      <w:r w:rsidR="00AB57C8" w:rsidRPr="00FD211F">
        <w:rPr>
          <w:sz w:val="36"/>
          <w:szCs w:val="36"/>
          <w:rtl/>
        </w:rPr>
        <w:t>المضارع</w:t>
      </w:r>
      <w:r w:rsidR="00E8128F">
        <w:rPr>
          <w:sz w:val="36"/>
          <w:szCs w:val="36"/>
          <w:rtl/>
        </w:rPr>
        <w:t xml:space="preserve"> </w:t>
      </w:r>
      <w:r w:rsidR="00AB57C8" w:rsidRPr="00FD211F">
        <w:rPr>
          <w:sz w:val="36"/>
          <w:szCs w:val="36"/>
          <w:rtl/>
        </w:rPr>
        <w:t>في</w:t>
      </w:r>
      <w:r w:rsidR="00E8128F">
        <w:rPr>
          <w:sz w:val="36"/>
          <w:szCs w:val="36"/>
          <w:rtl/>
        </w:rPr>
        <w:t xml:space="preserve"> </w:t>
      </w:r>
      <w:r w:rsidR="00AB57C8" w:rsidRPr="00FD211F">
        <w:rPr>
          <w:sz w:val="36"/>
          <w:szCs w:val="36"/>
          <w:rtl/>
        </w:rPr>
        <w:t>الإحداث</w:t>
      </w:r>
      <w:r w:rsidR="00603323" w:rsidRPr="00FD211F">
        <w:rPr>
          <w:sz w:val="36"/>
          <w:szCs w:val="36"/>
          <w:rtl/>
        </w:rPr>
        <w:t>،</w:t>
      </w:r>
      <w:r w:rsidR="00E8128F">
        <w:rPr>
          <w:sz w:val="36"/>
          <w:szCs w:val="36"/>
          <w:rtl/>
        </w:rPr>
        <w:t xml:space="preserve"> </w:t>
      </w:r>
      <w:r w:rsidR="004E69FC" w:rsidRPr="00FD211F">
        <w:rPr>
          <w:sz w:val="36"/>
          <w:szCs w:val="36"/>
          <w:rtl/>
        </w:rPr>
        <w:t>بل</w:t>
      </w:r>
      <w:r w:rsidR="00E8128F">
        <w:rPr>
          <w:sz w:val="36"/>
          <w:szCs w:val="36"/>
          <w:rtl/>
        </w:rPr>
        <w:t xml:space="preserve"> </w:t>
      </w:r>
      <w:r w:rsidR="004E69FC" w:rsidRPr="00FD211F">
        <w:rPr>
          <w:sz w:val="36"/>
          <w:szCs w:val="36"/>
          <w:rtl/>
        </w:rPr>
        <w:t>اراد</w:t>
      </w:r>
      <w:r w:rsidR="00E8128F">
        <w:rPr>
          <w:sz w:val="36"/>
          <w:szCs w:val="36"/>
          <w:rtl/>
        </w:rPr>
        <w:t xml:space="preserve"> </w:t>
      </w:r>
      <w:r w:rsidR="004E69FC" w:rsidRPr="00FD211F">
        <w:rPr>
          <w:sz w:val="36"/>
          <w:szCs w:val="36"/>
          <w:rtl/>
        </w:rPr>
        <w:t>به</w:t>
      </w:r>
      <w:r w:rsidR="00E8128F">
        <w:rPr>
          <w:sz w:val="36"/>
          <w:szCs w:val="36"/>
          <w:rtl/>
        </w:rPr>
        <w:t xml:space="preserve"> </w:t>
      </w:r>
      <w:r w:rsidR="004E69FC" w:rsidRPr="00FD211F">
        <w:rPr>
          <w:sz w:val="36"/>
          <w:szCs w:val="36"/>
          <w:rtl/>
        </w:rPr>
        <w:t>الايجاد</w:t>
      </w:r>
      <w:r w:rsidR="00603323" w:rsidRPr="00FD211F">
        <w:rPr>
          <w:sz w:val="36"/>
          <w:szCs w:val="36"/>
          <w:rtl/>
        </w:rPr>
        <w:t>،</w:t>
      </w:r>
      <w:r w:rsidR="00E8128F">
        <w:rPr>
          <w:sz w:val="36"/>
          <w:szCs w:val="36"/>
          <w:rtl/>
        </w:rPr>
        <w:t xml:space="preserve"> </w:t>
      </w:r>
      <w:r w:rsidR="004E69FC" w:rsidRPr="00FD211F">
        <w:rPr>
          <w:sz w:val="36"/>
          <w:szCs w:val="36"/>
          <w:rtl/>
        </w:rPr>
        <w:t>ولو</w:t>
      </w:r>
      <w:r w:rsidR="00E8128F">
        <w:rPr>
          <w:sz w:val="36"/>
          <w:szCs w:val="36"/>
          <w:rtl/>
        </w:rPr>
        <w:t xml:space="preserve"> </w:t>
      </w:r>
      <w:r w:rsidR="004E69FC" w:rsidRPr="00FD211F">
        <w:rPr>
          <w:sz w:val="36"/>
          <w:szCs w:val="36"/>
          <w:rtl/>
        </w:rPr>
        <w:t>كان</w:t>
      </w:r>
      <w:r w:rsidR="00E8128F">
        <w:rPr>
          <w:sz w:val="36"/>
          <w:szCs w:val="36"/>
          <w:rtl/>
        </w:rPr>
        <w:t xml:space="preserve"> </w:t>
      </w:r>
      <w:r w:rsidR="004E69FC" w:rsidRPr="00FD211F">
        <w:rPr>
          <w:sz w:val="36"/>
          <w:szCs w:val="36"/>
          <w:rtl/>
        </w:rPr>
        <w:t>استمرارا</w:t>
      </w:r>
      <w:r w:rsidR="00E8128F">
        <w:rPr>
          <w:sz w:val="36"/>
          <w:szCs w:val="36"/>
          <w:rtl/>
        </w:rPr>
        <w:t xml:space="preserve"> </w:t>
      </w:r>
      <w:r w:rsidR="004E69FC" w:rsidRPr="00FD211F">
        <w:rPr>
          <w:sz w:val="36"/>
          <w:szCs w:val="36"/>
          <w:rtl/>
        </w:rPr>
        <w:t>للإيجاد</w:t>
      </w:r>
      <w:r w:rsidR="00E8128F">
        <w:rPr>
          <w:sz w:val="36"/>
          <w:szCs w:val="36"/>
          <w:rtl/>
        </w:rPr>
        <w:t xml:space="preserve"> </w:t>
      </w:r>
      <w:r w:rsidR="004E69FC" w:rsidRPr="00FD211F">
        <w:rPr>
          <w:sz w:val="36"/>
          <w:szCs w:val="36"/>
          <w:rtl/>
        </w:rPr>
        <w:t>السابق</w:t>
      </w:r>
      <w:r w:rsidR="00603323" w:rsidRPr="00FD211F">
        <w:rPr>
          <w:sz w:val="36"/>
          <w:szCs w:val="36"/>
          <w:rtl/>
        </w:rPr>
        <w:t>،</w:t>
      </w:r>
      <w:r w:rsidR="00E8128F">
        <w:rPr>
          <w:sz w:val="36"/>
          <w:szCs w:val="36"/>
          <w:rtl/>
        </w:rPr>
        <w:t xml:space="preserve"> </w:t>
      </w:r>
      <w:r w:rsidR="004E69FC" w:rsidRPr="00FD211F">
        <w:rPr>
          <w:sz w:val="36"/>
          <w:szCs w:val="36"/>
          <w:rtl/>
        </w:rPr>
        <w:t>فيصدق</w:t>
      </w:r>
      <w:r w:rsidR="00E8128F">
        <w:rPr>
          <w:sz w:val="36"/>
          <w:szCs w:val="36"/>
          <w:rtl/>
        </w:rPr>
        <w:t xml:space="preserve"> </w:t>
      </w:r>
      <w:r w:rsidR="004E69FC" w:rsidRPr="00FD211F">
        <w:rPr>
          <w:sz w:val="36"/>
          <w:szCs w:val="36"/>
          <w:rtl/>
        </w:rPr>
        <w:t>على</w:t>
      </w:r>
      <w:r w:rsidR="00E8128F">
        <w:rPr>
          <w:sz w:val="36"/>
          <w:szCs w:val="36"/>
          <w:rtl/>
        </w:rPr>
        <w:t xml:space="preserve"> </w:t>
      </w:r>
      <w:r w:rsidR="004E69FC" w:rsidRPr="00FD211F">
        <w:rPr>
          <w:sz w:val="36"/>
          <w:szCs w:val="36"/>
          <w:rtl/>
        </w:rPr>
        <w:t>من</w:t>
      </w:r>
      <w:r w:rsidR="00E8128F">
        <w:rPr>
          <w:sz w:val="36"/>
          <w:szCs w:val="36"/>
          <w:rtl/>
        </w:rPr>
        <w:t xml:space="preserve"> </w:t>
      </w:r>
      <w:r w:rsidR="004E69FC" w:rsidRPr="00FD211F">
        <w:rPr>
          <w:sz w:val="36"/>
          <w:szCs w:val="36"/>
          <w:rtl/>
        </w:rPr>
        <w:t>هو</w:t>
      </w:r>
      <w:r w:rsidR="00E8128F">
        <w:rPr>
          <w:sz w:val="36"/>
          <w:szCs w:val="36"/>
          <w:rtl/>
        </w:rPr>
        <w:t xml:space="preserve"> </w:t>
      </w:r>
      <w:r w:rsidR="004E69FC" w:rsidRPr="00FD211F">
        <w:rPr>
          <w:sz w:val="36"/>
          <w:szCs w:val="36"/>
          <w:rtl/>
        </w:rPr>
        <w:t>في</w:t>
      </w:r>
      <w:r w:rsidR="00E8128F">
        <w:rPr>
          <w:sz w:val="36"/>
          <w:szCs w:val="36"/>
          <w:rtl/>
        </w:rPr>
        <w:t xml:space="preserve"> </w:t>
      </w:r>
      <w:r w:rsidR="004E69FC" w:rsidRPr="00FD211F">
        <w:rPr>
          <w:sz w:val="36"/>
          <w:szCs w:val="36"/>
          <w:rtl/>
        </w:rPr>
        <w:t>حال</w:t>
      </w:r>
      <w:r w:rsidR="00E8128F">
        <w:rPr>
          <w:sz w:val="36"/>
          <w:szCs w:val="36"/>
          <w:rtl/>
        </w:rPr>
        <w:t xml:space="preserve"> </w:t>
      </w:r>
      <w:r w:rsidR="004E69FC" w:rsidRPr="00FD211F">
        <w:rPr>
          <w:sz w:val="36"/>
          <w:szCs w:val="36"/>
          <w:rtl/>
        </w:rPr>
        <w:t>السجود</w:t>
      </w:r>
      <w:r w:rsidR="00E8128F">
        <w:rPr>
          <w:sz w:val="36"/>
          <w:szCs w:val="36"/>
          <w:rtl/>
        </w:rPr>
        <w:t xml:space="preserve"> </w:t>
      </w:r>
      <w:r w:rsidR="004E69FC" w:rsidRPr="00FD211F">
        <w:rPr>
          <w:sz w:val="36"/>
          <w:szCs w:val="36"/>
          <w:rtl/>
        </w:rPr>
        <w:t>انه</w:t>
      </w:r>
      <w:r w:rsidR="00E8128F">
        <w:rPr>
          <w:sz w:val="36"/>
          <w:szCs w:val="36"/>
          <w:rtl/>
        </w:rPr>
        <w:t xml:space="preserve"> </w:t>
      </w:r>
      <w:r w:rsidR="004E69FC" w:rsidRPr="00FD211F">
        <w:rPr>
          <w:sz w:val="36"/>
          <w:szCs w:val="36"/>
          <w:rtl/>
        </w:rPr>
        <w:t>يسجد</w:t>
      </w:r>
      <w:r w:rsidR="00603323" w:rsidRPr="00FD211F">
        <w:rPr>
          <w:sz w:val="36"/>
          <w:szCs w:val="36"/>
          <w:rtl/>
        </w:rPr>
        <w:t>،</w:t>
      </w:r>
      <w:r w:rsidR="00E8128F">
        <w:rPr>
          <w:sz w:val="36"/>
          <w:szCs w:val="36"/>
          <w:rtl/>
        </w:rPr>
        <w:t xml:space="preserve"> </w:t>
      </w:r>
      <w:r w:rsidR="004E69FC" w:rsidRPr="00FD211F">
        <w:rPr>
          <w:sz w:val="36"/>
          <w:szCs w:val="36"/>
          <w:rtl/>
        </w:rPr>
        <w:t>حيث</w:t>
      </w:r>
      <w:r w:rsidR="00E8128F">
        <w:rPr>
          <w:sz w:val="36"/>
          <w:szCs w:val="36"/>
          <w:rtl/>
        </w:rPr>
        <w:t xml:space="preserve"> </w:t>
      </w:r>
      <w:r w:rsidR="004E69FC" w:rsidRPr="00FD211F">
        <w:rPr>
          <w:sz w:val="36"/>
          <w:szCs w:val="36"/>
          <w:rtl/>
        </w:rPr>
        <w:t>ان</w:t>
      </w:r>
      <w:r w:rsidR="00E8128F">
        <w:rPr>
          <w:sz w:val="36"/>
          <w:szCs w:val="36"/>
          <w:rtl/>
        </w:rPr>
        <w:t xml:space="preserve"> </w:t>
      </w:r>
      <w:r w:rsidR="004E69FC" w:rsidRPr="00FD211F">
        <w:rPr>
          <w:sz w:val="36"/>
          <w:szCs w:val="36"/>
          <w:rtl/>
        </w:rPr>
        <w:t>السجود</w:t>
      </w:r>
      <w:r w:rsidR="00E8128F">
        <w:rPr>
          <w:sz w:val="36"/>
          <w:szCs w:val="36"/>
          <w:rtl/>
        </w:rPr>
        <w:t xml:space="preserve"> </w:t>
      </w:r>
      <w:r w:rsidR="004E69FC" w:rsidRPr="00FD211F">
        <w:rPr>
          <w:sz w:val="36"/>
          <w:szCs w:val="36"/>
          <w:rtl/>
        </w:rPr>
        <w:t>عرفا</w:t>
      </w:r>
      <w:r w:rsidR="00E8128F">
        <w:rPr>
          <w:sz w:val="36"/>
          <w:szCs w:val="36"/>
          <w:rtl/>
        </w:rPr>
        <w:t xml:space="preserve"> </w:t>
      </w:r>
      <w:r w:rsidR="004E69FC" w:rsidRPr="00FD211F">
        <w:rPr>
          <w:sz w:val="36"/>
          <w:szCs w:val="36"/>
          <w:rtl/>
        </w:rPr>
        <w:t>مما</w:t>
      </w:r>
      <w:r w:rsidR="00E8128F">
        <w:rPr>
          <w:sz w:val="36"/>
          <w:szCs w:val="36"/>
          <w:rtl/>
        </w:rPr>
        <w:t xml:space="preserve"> </w:t>
      </w:r>
      <w:r w:rsidR="004E69FC" w:rsidRPr="00FD211F">
        <w:rPr>
          <w:sz w:val="36"/>
          <w:szCs w:val="36"/>
          <w:rtl/>
        </w:rPr>
        <w:t>يحتاج</w:t>
      </w:r>
      <w:r w:rsidR="00E8128F">
        <w:rPr>
          <w:sz w:val="36"/>
          <w:szCs w:val="36"/>
          <w:rtl/>
        </w:rPr>
        <w:t xml:space="preserve"> </w:t>
      </w:r>
      <w:r w:rsidR="004E69FC" w:rsidRPr="00FD211F">
        <w:rPr>
          <w:sz w:val="36"/>
          <w:szCs w:val="36"/>
          <w:rtl/>
        </w:rPr>
        <w:t>الى</w:t>
      </w:r>
      <w:r w:rsidR="00E8128F">
        <w:rPr>
          <w:sz w:val="36"/>
          <w:szCs w:val="36"/>
          <w:rtl/>
        </w:rPr>
        <w:t xml:space="preserve"> </w:t>
      </w:r>
      <w:r w:rsidR="004E69FC" w:rsidRPr="00FD211F">
        <w:rPr>
          <w:sz w:val="36"/>
          <w:szCs w:val="36"/>
          <w:rtl/>
        </w:rPr>
        <w:t>الإيجاد</w:t>
      </w:r>
      <w:r w:rsidR="00E8128F">
        <w:rPr>
          <w:sz w:val="36"/>
          <w:szCs w:val="36"/>
          <w:rtl/>
        </w:rPr>
        <w:t xml:space="preserve"> </w:t>
      </w:r>
      <w:r w:rsidR="004E69FC" w:rsidRPr="00FD211F">
        <w:rPr>
          <w:sz w:val="36"/>
          <w:szCs w:val="36"/>
          <w:rtl/>
        </w:rPr>
        <w:t>آنا</w:t>
      </w:r>
      <w:r w:rsidR="00E8128F">
        <w:rPr>
          <w:sz w:val="36"/>
          <w:szCs w:val="36"/>
          <w:rtl/>
        </w:rPr>
        <w:t xml:space="preserve"> </w:t>
      </w:r>
      <w:r w:rsidR="004E69FC" w:rsidRPr="00FD211F">
        <w:rPr>
          <w:sz w:val="36"/>
          <w:szCs w:val="36"/>
          <w:rtl/>
        </w:rPr>
        <w:t>فآنا</w:t>
      </w:r>
      <w:r w:rsidR="00E8128F">
        <w:rPr>
          <w:sz w:val="36"/>
          <w:szCs w:val="36"/>
          <w:rtl/>
        </w:rPr>
        <w:t xml:space="preserve"> </w:t>
      </w:r>
      <w:r w:rsidR="004E69FC" w:rsidRPr="00FD211F">
        <w:rPr>
          <w:sz w:val="36"/>
          <w:szCs w:val="36"/>
          <w:rtl/>
        </w:rPr>
        <w:t>بخلاف</w:t>
      </w:r>
      <w:r w:rsidR="00E8128F">
        <w:rPr>
          <w:sz w:val="36"/>
          <w:szCs w:val="36"/>
          <w:rtl/>
        </w:rPr>
        <w:t xml:space="preserve"> </w:t>
      </w:r>
      <w:r w:rsidR="004E69FC" w:rsidRPr="00FD211F">
        <w:rPr>
          <w:sz w:val="36"/>
          <w:szCs w:val="36"/>
          <w:rtl/>
        </w:rPr>
        <w:t>القيام</w:t>
      </w:r>
      <w:r w:rsidR="00603323" w:rsidRPr="00FD211F">
        <w:rPr>
          <w:sz w:val="36"/>
          <w:szCs w:val="36"/>
          <w:rtl/>
        </w:rPr>
        <w:t>،</w:t>
      </w:r>
      <w:r w:rsidR="00E8128F">
        <w:rPr>
          <w:sz w:val="36"/>
          <w:szCs w:val="36"/>
          <w:rtl/>
        </w:rPr>
        <w:t xml:space="preserve"> </w:t>
      </w:r>
      <w:r w:rsidR="004E69FC" w:rsidRPr="00FD211F">
        <w:rPr>
          <w:sz w:val="36"/>
          <w:szCs w:val="36"/>
          <w:rtl/>
        </w:rPr>
        <w:t>نعم</w:t>
      </w:r>
      <w:r w:rsidR="00E8128F">
        <w:rPr>
          <w:sz w:val="36"/>
          <w:szCs w:val="36"/>
          <w:rtl/>
        </w:rPr>
        <w:t xml:space="preserve"> </w:t>
      </w:r>
      <w:r w:rsidR="004E69FC" w:rsidRPr="00FD211F">
        <w:rPr>
          <w:sz w:val="36"/>
          <w:szCs w:val="36"/>
          <w:rtl/>
        </w:rPr>
        <w:t>ظاهر</w:t>
      </w:r>
      <w:r w:rsidR="00E8128F">
        <w:rPr>
          <w:sz w:val="36"/>
          <w:szCs w:val="36"/>
          <w:rtl/>
        </w:rPr>
        <w:t xml:space="preserve"> </w:t>
      </w:r>
      <w:r w:rsidR="004E69FC" w:rsidRPr="00FD211F">
        <w:rPr>
          <w:sz w:val="36"/>
          <w:szCs w:val="36"/>
          <w:rtl/>
        </w:rPr>
        <w:t>الأمر</w:t>
      </w:r>
      <w:r w:rsidR="00E8128F">
        <w:rPr>
          <w:sz w:val="36"/>
          <w:szCs w:val="36"/>
          <w:rtl/>
        </w:rPr>
        <w:t xml:space="preserve"> </w:t>
      </w:r>
      <w:r w:rsidR="004E69FC" w:rsidRPr="00FD211F">
        <w:rPr>
          <w:sz w:val="36"/>
          <w:szCs w:val="36"/>
          <w:rtl/>
        </w:rPr>
        <w:t>بالسجود</w:t>
      </w:r>
      <w:r w:rsidR="00E8128F">
        <w:rPr>
          <w:sz w:val="36"/>
          <w:szCs w:val="36"/>
          <w:rtl/>
        </w:rPr>
        <w:t xml:space="preserve"> </w:t>
      </w:r>
      <w:r w:rsidR="004E69FC" w:rsidRPr="00FD211F">
        <w:rPr>
          <w:sz w:val="36"/>
          <w:szCs w:val="36"/>
          <w:rtl/>
        </w:rPr>
        <w:t>هو</w:t>
      </w:r>
      <w:r w:rsidR="00E8128F">
        <w:rPr>
          <w:sz w:val="36"/>
          <w:szCs w:val="36"/>
          <w:rtl/>
        </w:rPr>
        <w:t xml:space="preserve"> </w:t>
      </w:r>
      <w:r w:rsidR="004E69FC" w:rsidRPr="00FD211F">
        <w:rPr>
          <w:sz w:val="36"/>
          <w:szCs w:val="36"/>
          <w:rtl/>
        </w:rPr>
        <w:t>إحداثه</w:t>
      </w:r>
      <w:r w:rsidR="00E8128F">
        <w:rPr>
          <w:sz w:val="36"/>
          <w:szCs w:val="36"/>
          <w:rtl/>
        </w:rPr>
        <w:t xml:space="preserve"> </w:t>
      </w:r>
      <w:r w:rsidR="004E69FC" w:rsidRPr="00FD211F">
        <w:rPr>
          <w:sz w:val="36"/>
          <w:szCs w:val="36"/>
          <w:rtl/>
        </w:rPr>
        <w:t>بعد</w:t>
      </w:r>
      <w:r w:rsidR="00E8128F">
        <w:rPr>
          <w:sz w:val="36"/>
          <w:szCs w:val="36"/>
          <w:rtl/>
        </w:rPr>
        <w:t xml:space="preserve"> </w:t>
      </w:r>
      <w:r w:rsidR="004E69FC" w:rsidRPr="00FD211F">
        <w:rPr>
          <w:sz w:val="36"/>
          <w:szCs w:val="36"/>
          <w:rtl/>
        </w:rPr>
        <w:t>انعدامه.</w:t>
      </w:r>
    </w:p>
    <w:p w14:paraId="4C701049" w14:textId="77777777" w:rsidR="00B53A9C" w:rsidRPr="00FD211F" w:rsidRDefault="006960AB" w:rsidP="009C58C8">
      <w:pPr>
        <w:ind w:left="0" w:firstLine="227"/>
        <w:jc w:val="both"/>
        <w:rPr>
          <w:sz w:val="36"/>
          <w:szCs w:val="36"/>
          <w:rtl/>
        </w:rPr>
      </w:pPr>
      <w:r w:rsidRPr="00FD211F">
        <w:rPr>
          <w:sz w:val="36"/>
          <w:szCs w:val="36"/>
          <w:rtl/>
        </w:rPr>
        <w:t>وما</w:t>
      </w:r>
      <w:r w:rsidR="00E8128F">
        <w:rPr>
          <w:sz w:val="36"/>
          <w:szCs w:val="36"/>
          <w:rtl/>
        </w:rPr>
        <w:t xml:space="preserve"> </w:t>
      </w:r>
      <w:r w:rsidRPr="00FD211F">
        <w:rPr>
          <w:sz w:val="36"/>
          <w:szCs w:val="36"/>
          <w:rtl/>
        </w:rPr>
        <w:t>ذكرناه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ظهور</w:t>
      </w:r>
      <w:r w:rsidR="00E8128F">
        <w:rPr>
          <w:sz w:val="36"/>
          <w:szCs w:val="36"/>
          <w:rtl/>
        </w:rPr>
        <w:t xml:space="preserve"> </w:t>
      </w:r>
      <w:r w:rsidRPr="00FD211F">
        <w:rPr>
          <w:sz w:val="36"/>
          <w:szCs w:val="36"/>
          <w:rtl/>
        </w:rPr>
        <w:t>قوله</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يقوم"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استمرار</w:t>
      </w:r>
      <w:r w:rsidR="00E8128F">
        <w:rPr>
          <w:sz w:val="36"/>
          <w:szCs w:val="36"/>
          <w:rtl/>
        </w:rPr>
        <w:t xml:space="preserve"> </w:t>
      </w:r>
      <w:r w:rsidRPr="00FD211F">
        <w:rPr>
          <w:sz w:val="36"/>
          <w:szCs w:val="36"/>
          <w:rtl/>
        </w:rPr>
        <w:t>القيام</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الزمان</w:t>
      </w:r>
      <w:r w:rsidR="00E8128F">
        <w:rPr>
          <w:sz w:val="36"/>
          <w:szCs w:val="36"/>
          <w:rtl/>
        </w:rPr>
        <w:t xml:space="preserve"> </w:t>
      </w:r>
      <w:r w:rsidRPr="00FD211F">
        <w:rPr>
          <w:sz w:val="36"/>
          <w:szCs w:val="36"/>
          <w:rtl/>
        </w:rPr>
        <w:t>السابق</w:t>
      </w:r>
      <w:r w:rsidR="00E8128F">
        <w:rPr>
          <w:sz w:val="36"/>
          <w:szCs w:val="36"/>
          <w:rtl/>
        </w:rPr>
        <w:t xml:space="preserve"> </w:t>
      </w:r>
      <w:r w:rsidRPr="00FD211F">
        <w:rPr>
          <w:sz w:val="36"/>
          <w:szCs w:val="36"/>
          <w:rtl/>
        </w:rPr>
        <w:t>لاينافي</w:t>
      </w:r>
      <w:r w:rsidR="00E8128F">
        <w:rPr>
          <w:sz w:val="36"/>
          <w:szCs w:val="36"/>
          <w:rtl/>
        </w:rPr>
        <w:t xml:space="preserve"> </w:t>
      </w:r>
      <w:r w:rsidRPr="00FD211F">
        <w:rPr>
          <w:sz w:val="36"/>
          <w:szCs w:val="36"/>
          <w:rtl/>
        </w:rPr>
        <w:t>صح</w:t>
      </w:r>
      <w:r w:rsidR="00EC7EDF" w:rsidRPr="00FD211F">
        <w:rPr>
          <w:sz w:val="36"/>
          <w:szCs w:val="36"/>
          <w:rtl/>
        </w:rPr>
        <w:t>ة</w:t>
      </w:r>
      <w:r w:rsidR="00E8128F">
        <w:rPr>
          <w:sz w:val="36"/>
          <w:szCs w:val="36"/>
          <w:rtl/>
        </w:rPr>
        <w:t xml:space="preserve"> </w:t>
      </w:r>
      <w:r w:rsidRPr="00FD211F">
        <w:rPr>
          <w:sz w:val="36"/>
          <w:szCs w:val="36"/>
          <w:rtl/>
        </w:rPr>
        <w:t>استعماله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استمرار</w:t>
      </w:r>
      <w:r w:rsidR="00E8128F">
        <w:rPr>
          <w:sz w:val="36"/>
          <w:szCs w:val="36"/>
          <w:rtl/>
        </w:rPr>
        <w:t xml:space="preserve"> </w:t>
      </w:r>
      <w:r w:rsidRPr="00FD211F">
        <w:rPr>
          <w:sz w:val="36"/>
          <w:szCs w:val="36"/>
          <w:rtl/>
        </w:rPr>
        <w:t>القيام</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القرين</w:t>
      </w:r>
      <w:r w:rsidR="00EC7EDF" w:rsidRPr="00FD211F">
        <w:rPr>
          <w:sz w:val="36"/>
          <w:szCs w:val="36"/>
          <w:rtl/>
        </w:rPr>
        <w:t>ة</w:t>
      </w:r>
      <w:r w:rsidR="00E8128F">
        <w:rPr>
          <w:sz w:val="36"/>
          <w:szCs w:val="36"/>
          <w:rtl/>
        </w:rPr>
        <w:t xml:space="preserve"> </w:t>
      </w:r>
      <w:r w:rsidR="003827D9" w:rsidRPr="00FD211F">
        <w:rPr>
          <w:sz w:val="36"/>
          <w:szCs w:val="36"/>
          <w:rtl/>
        </w:rPr>
        <w:t>كما</w:t>
      </w:r>
      <w:r w:rsidR="00E8128F">
        <w:rPr>
          <w:sz w:val="36"/>
          <w:szCs w:val="36"/>
          <w:rtl/>
        </w:rPr>
        <w:t xml:space="preserve"> </w:t>
      </w:r>
      <w:r w:rsidR="003827D9" w:rsidRPr="00FD211F">
        <w:rPr>
          <w:sz w:val="36"/>
          <w:szCs w:val="36"/>
          <w:rtl/>
        </w:rPr>
        <w:t>يقال</w:t>
      </w:r>
      <w:r w:rsidR="00E8128F">
        <w:rPr>
          <w:sz w:val="36"/>
          <w:szCs w:val="36"/>
          <w:rtl/>
        </w:rPr>
        <w:t xml:space="preserve"> </w:t>
      </w:r>
      <w:r w:rsidR="003827D9" w:rsidRPr="00FD211F">
        <w:rPr>
          <w:sz w:val="36"/>
          <w:szCs w:val="36"/>
          <w:rtl/>
        </w:rPr>
        <w:t>لشخص</w:t>
      </w:r>
      <w:r w:rsidR="00E8128F">
        <w:rPr>
          <w:sz w:val="36"/>
          <w:szCs w:val="36"/>
          <w:rtl/>
        </w:rPr>
        <w:t xml:space="preserve"> </w:t>
      </w:r>
      <w:r w:rsidRPr="00FD211F">
        <w:rPr>
          <w:sz w:val="36"/>
          <w:szCs w:val="36"/>
          <w:rtl/>
        </w:rPr>
        <w:t>قائم</w:t>
      </w:r>
      <w:r w:rsidR="00E8128F">
        <w:rPr>
          <w:sz w:val="36"/>
          <w:szCs w:val="36"/>
          <w:rtl/>
        </w:rPr>
        <w:t xml:space="preserve"> </w:t>
      </w:r>
      <w:r w:rsidR="003827D9" w:rsidRPr="00FD211F">
        <w:rPr>
          <w:sz w:val="36"/>
          <w:szCs w:val="36"/>
          <w:rtl/>
        </w:rPr>
        <w:t>"</w:t>
      </w:r>
      <w:r w:rsidRPr="00FD211F">
        <w:rPr>
          <w:sz w:val="36"/>
          <w:szCs w:val="36"/>
          <w:rtl/>
        </w:rPr>
        <w:t>هل</w:t>
      </w:r>
      <w:r w:rsidR="00E8128F">
        <w:rPr>
          <w:sz w:val="36"/>
          <w:szCs w:val="36"/>
          <w:rtl/>
        </w:rPr>
        <w:t xml:space="preserve"> </w:t>
      </w:r>
      <w:r w:rsidRPr="00FD211F">
        <w:rPr>
          <w:sz w:val="36"/>
          <w:szCs w:val="36"/>
          <w:rtl/>
        </w:rPr>
        <w:t>تجلس</w:t>
      </w:r>
      <w:r w:rsidR="003827D9" w:rsidRPr="00FD211F">
        <w:rPr>
          <w:sz w:val="36"/>
          <w:szCs w:val="36"/>
          <w:rtl/>
        </w:rPr>
        <w:t>"</w:t>
      </w:r>
      <w:r w:rsidR="00E8128F">
        <w:rPr>
          <w:sz w:val="36"/>
          <w:szCs w:val="36"/>
          <w:rtl/>
        </w:rPr>
        <w:t xml:space="preserve"> </w:t>
      </w:r>
      <w:r w:rsidRPr="00FD211F">
        <w:rPr>
          <w:sz w:val="36"/>
          <w:szCs w:val="36"/>
          <w:rtl/>
        </w:rPr>
        <w:t>فيجيب</w:t>
      </w:r>
      <w:r w:rsidR="00E8128F">
        <w:rPr>
          <w:sz w:val="36"/>
          <w:szCs w:val="36"/>
          <w:rtl/>
        </w:rPr>
        <w:t xml:space="preserve"> </w:t>
      </w:r>
      <w:r w:rsidR="003827D9" w:rsidRPr="00FD211F">
        <w:rPr>
          <w:sz w:val="36"/>
          <w:szCs w:val="36"/>
          <w:rtl/>
        </w:rPr>
        <w:t>"لا</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اقوم"</w:t>
      </w:r>
      <w:r w:rsidR="00603323" w:rsidRPr="00FD211F">
        <w:rPr>
          <w:sz w:val="36"/>
          <w:szCs w:val="36"/>
          <w:rtl/>
        </w:rPr>
        <w:t>،</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يصح</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له</w:t>
      </w:r>
      <w:r w:rsidR="00CB71D5" w:rsidRPr="00FD211F">
        <w:rPr>
          <w:sz w:val="36"/>
          <w:szCs w:val="36"/>
          <w:rtl/>
        </w:rPr>
        <w:t>:</w:t>
      </w:r>
      <w:r w:rsidR="00E8128F">
        <w:rPr>
          <w:sz w:val="36"/>
          <w:szCs w:val="36"/>
          <w:rtl/>
        </w:rPr>
        <w:t xml:space="preserve"> </w:t>
      </w:r>
      <w:r w:rsidR="00CB71D5" w:rsidRPr="00FD211F">
        <w:rPr>
          <w:sz w:val="36"/>
          <w:szCs w:val="36"/>
          <w:rtl/>
        </w:rPr>
        <w:t>"</w:t>
      </w:r>
      <w:r w:rsidRPr="00FD211F">
        <w:rPr>
          <w:sz w:val="36"/>
          <w:szCs w:val="36"/>
          <w:rtl/>
        </w:rPr>
        <w:t>الى</w:t>
      </w:r>
      <w:r w:rsidR="00E8128F">
        <w:rPr>
          <w:sz w:val="36"/>
          <w:szCs w:val="36"/>
          <w:rtl/>
        </w:rPr>
        <w:t xml:space="preserve"> </w:t>
      </w:r>
      <w:r w:rsidRPr="00FD211F">
        <w:rPr>
          <w:sz w:val="36"/>
          <w:szCs w:val="36"/>
          <w:rtl/>
        </w:rPr>
        <w:t>متى</w:t>
      </w:r>
      <w:r w:rsidR="00E8128F">
        <w:rPr>
          <w:sz w:val="36"/>
          <w:szCs w:val="36"/>
          <w:rtl/>
        </w:rPr>
        <w:t xml:space="preserve"> </w:t>
      </w:r>
      <w:r w:rsidRPr="00FD211F">
        <w:rPr>
          <w:sz w:val="36"/>
          <w:szCs w:val="36"/>
          <w:rtl/>
        </w:rPr>
        <w:t>تقوم</w:t>
      </w:r>
      <w:r w:rsidR="00CB71D5" w:rsidRPr="00FD211F">
        <w:rPr>
          <w:sz w:val="36"/>
          <w:szCs w:val="36"/>
          <w:rtl/>
        </w:rPr>
        <w:t>؟"</w:t>
      </w:r>
      <w:r w:rsidR="00E8128F">
        <w:rPr>
          <w:sz w:val="36"/>
          <w:szCs w:val="36"/>
          <w:rtl/>
        </w:rPr>
        <w:t xml:space="preserve"> </w:t>
      </w:r>
      <w:r w:rsidRPr="00FD211F">
        <w:rPr>
          <w:sz w:val="36"/>
          <w:szCs w:val="36"/>
          <w:rtl/>
        </w:rPr>
        <w:t>فيجيب</w:t>
      </w:r>
      <w:r w:rsidR="00CB71D5" w:rsidRPr="00FD211F">
        <w:rPr>
          <w:sz w:val="36"/>
          <w:szCs w:val="36"/>
          <w:rtl/>
        </w:rPr>
        <w:t>:</w:t>
      </w:r>
      <w:r w:rsidR="00E8128F">
        <w:rPr>
          <w:sz w:val="36"/>
          <w:szCs w:val="36"/>
          <w:rtl/>
        </w:rPr>
        <w:t xml:space="preserve"> </w:t>
      </w:r>
      <w:r w:rsidR="00CB71D5" w:rsidRPr="00FD211F">
        <w:rPr>
          <w:sz w:val="36"/>
          <w:szCs w:val="36"/>
          <w:rtl/>
        </w:rPr>
        <w:t>"اقوم</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ساع</w:t>
      </w:r>
      <w:r w:rsidR="00EC7EDF" w:rsidRPr="00FD211F">
        <w:rPr>
          <w:sz w:val="36"/>
          <w:szCs w:val="36"/>
          <w:rtl/>
        </w:rPr>
        <w:t>ة</w:t>
      </w:r>
      <w:r w:rsidR="00E8128F">
        <w:rPr>
          <w:sz w:val="36"/>
          <w:szCs w:val="36"/>
          <w:rtl/>
        </w:rPr>
        <w:t xml:space="preserve"> </w:t>
      </w:r>
      <w:r w:rsidRPr="00FD211F">
        <w:rPr>
          <w:sz w:val="36"/>
          <w:szCs w:val="36"/>
          <w:rtl/>
        </w:rPr>
        <w:t>كذا</w:t>
      </w:r>
      <w:r w:rsidR="00CB71D5" w:rsidRPr="00FD211F">
        <w:rPr>
          <w:sz w:val="36"/>
          <w:szCs w:val="36"/>
          <w:rtl/>
        </w:rPr>
        <w:t>"</w:t>
      </w:r>
      <w:r w:rsidR="00603323" w:rsidRPr="00FD211F">
        <w:rPr>
          <w:sz w:val="36"/>
          <w:szCs w:val="36"/>
          <w:rtl/>
        </w:rPr>
        <w:t>،</w:t>
      </w:r>
      <w:r w:rsidR="00E8128F">
        <w:rPr>
          <w:sz w:val="36"/>
          <w:szCs w:val="36"/>
          <w:rtl/>
        </w:rPr>
        <w:t xml:space="preserve"> </w:t>
      </w: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فهذا</w:t>
      </w:r>
      <w:r w:rsidR="00E8128F">
        <w:rPr>
          <w:sz w:val="36"/>
          <w:szCs w:val="36"/>
          <w:rtl/>
        </w:rPr>
        <w:t xml:space="preserve"> </w:t>
      </w:r>
      <w:r w:rsidRPr="00FD211F">
        <w:rPr>
          <w:sz w:val="36"/>
          <w:szCs w:val="36"/>
          <w:rtl/>
        </w:rPr>
        <w:t>المقدار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الاختلاف</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امثل</w:t>
      </w:r>
      <w:r w:rsidR="00EC7EDF" w:rsidRPr="00FD211F">
        <w:rPr>
          <w:sz w:val="36"/>
          <w:szCs w:val="36"/>
          <w:rtl/>
        </w:rPr>
        <w:t>ة</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المضارع</w:t>
      </w:r>
      <w:r w:rsidR="00E8128F">
        <w:rPr>
          <w:sz w:val="36"/>
          <w:szCs w:val="36"/>
          <w:rtl/>
        </w:rPr>
        <w:t xml:space="preserve"> </w:t>
      </w:r>
      <w:r w:rsidRPr="00FD211F">
        <w:rPr>
          <w:sz w:val="36"/>
          <w:szCs w:val="36"/>
          <w:rtl/>
        </w:rPr>
        <w:t>لايوجب</w:t>
      </w:r>
      <w:r w:rsidR="00E8128F">
        <w:rPr>
          <w:sz w:val="36"/>
          <w:szCs w:val="36"/>
          <w:rtl/>
        </w:rPr>
        <w:t xml:space="preserve"> </w:t>
      </w:r>
      <w:r w:rsidRPr="00FD211F">
        <w:rPr>
          <w:sz w:val="36"/>
          <w:szCs w:val="36"/>
          <w:rtl/>
        </w:rPr>
        <w:t>انكار</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المضارع</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الحال</w:t>
      </w:r>
      <w:r w:rsidR="00E8128F">
        <w:rPr>
          <w:sz w:val="36"/>
          <w:szCs w:val="36"/>
          <w:rtl/>
        </w:rPr>
        <w:t xml:space="preserve"> </w:t>
      </w:r>
      <w:r w:rsidRPr="00FD211F">
        <w:rPr>
          <w:sz w:val="36"/>
          <w:szCs w:val="36"/>
          <w:rtl/>
        </w:rPr>
        <w:t>والاستقبال</w:t>
      </w:r>
      <w:r w:rsidR="00603323" w:rsidRPr="00FD211F">
        <w:rPr>
          <w:sz w:val="36"/>
          <w:szCs w:val="36"/>
          <w:rtl/>
        </w:rPr>
        <w:t>،</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مر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مثال</w:t>
      </w:r>
      <w:r w:rsidR="00E8128F">
        <w:rPr>
          <w:sz w:val="36"/>
          <w:szCs w:val="36"/>
          <w:rtl/>
        </w:rPr>
        <w:t xml:space="preserve"> </w:t>
      </w:r>
      <w:r w:rsidRPr="00FD211F">
        <w:rPr>
          <w:sz w:val="36"/>
          <w:szCs w:val="36"/>
          <w:rtl/>
        </w:rPr>
        <w:t>"يرى</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يصدق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ينعدم</w:t>
      </w:r>
      <w:r w:rsidR="00E8128F">
        <w:rPr>
          <w:sz w:val="36"/>
          <w:szCs w:val="36"/>
          <w:rtl/>
        </w:rPr>
        <w:t xml:space="preserve"> </w:t>
      </w:r>
      <w:r w:rsidRPr="00FD211F">
        <w:rPr>
          <w:sz w:val="36"/>
          <w:szCs w:val="36"/>
          <w:rtl/>
        </w:rPr>
        <w:t>رؤيته</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الآن</w:t>
      </w:r>
      <w:r w:rsidR="00E8128F">
        <w:rPr>
          <w:sz w:val="36"/>
          <w:szCs w:val="36"/>
          <w:rtl/>
        </w:rPr>
        <w:t xml:space="preserve"> </w:t>
      </w:r>
      <w:r w:rsidRPr="00FD211F">
        <w:rPr>
          <w:sz w:val="36"/>
          <w:szCs w:val="36"/>
          <w:rtl/>
        </w:rPr>
        <w:t>واشباهه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سائر</w:t>
      </w:r>
      <w:r w:rsidR="00E8128F">
        <w:rPr>
          <w:sz w:val="36"/>
          <w:szCs w:val="36"/>
          <w:rtl/>
        </w:rPr>
        <w:t xml:space="preserve"> </w:t>
      </w:r>
      <w:r w:rsidRPr="00FD211F">
        <w:rPr>
          <w:sz w:val="36"/>
          <w:szCs w:val="36"/>
          <w:rtl/>
        </w:rPr>
        <w:t>أمثل</w:t>
      </w:r>
      <w:r w:rsidR="00EC7EDF" w:rsidRPr="00FD211F">
        <w:rPr>
          <w:sz w:val="36"/>
          <w:szCs w:val="36"/>
          <w:rtl/>
        </w:rPr>
        <w:t>ة</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المضارع</w:t>
      </w:r>
      <w:r w:rsidR="00E8128F">
        <w:rPr>
          <w:sz w:val="36"/>
          <w:szCs w:val="36"/>
          <w:rtl/>
        </w:rPr>
        <w:t xml:space="preserve"> </w:t>
      </w:r>
      <w:r w:rsidRPr="00FD211F">
        <w:rPr>
          <w:sz w:val="36"/>
          <w:szCs w:val="36"/>
          <w:rtl/>
        </w:rPr>
        <w:t>كثير</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يظهر</w:t>
      </w:r>
      <w:r w:rsidR="00E8128F">
        <w:rPr>
          <w:sz w:val="36"/>
          <w:szCs w:val="36"/>
          <w:rtl/>
        </w:rPr>
        <w:t xml:space="preserve"> </w:t>
      </w:r>
      <w:r w:rsidRPr="00FD211F">
        <w:rPr>
          <w:sz w:val="36"/>
          <w:szCs w:val="36"/>
          <w:rtl/>
        </w:rPr>
        <w:t>بالتأمل</w:t>
      </w:r>
      <w:r w:rsidR="00670C1B" w:rsidRPr="00FD211F">
        <w:rPr>
          <w:sz w:val="36"/>
          <w:szCs w:val="36"/>
          <w:rtl/>
        </w:rPr>
        <w:t>.</w:t>
      </w:r>
    </w:p>
    <w:p w14:paraId="022DA6A7" w14:textId="77777777" w:rsidR="0040555A" w:rsidRPr="00FD211F" w:rsidRDefault="00CC3973" w:rsidP="009C58C8">
      <w:pPr>
        <w:pStyle w:val="3"/>
        <w:ind w:firstLine="227"/>
        <w:jc w:val="both"/>
        <w:rPr>
          <w:rtl/>
        </w:rPr>
      </w:pPr>
      <w:bookmarkStart w:id="451" w:name="_Toc192092949"/>
      <w:bookmarkStart w:id="452" w:name="_Toc223890429"/>
      <w:r w:rsidRPr="00FD211F">
        <w:rPr>
          <w:rtl/>
        </w:rPr>
        <w:t>تصوير</w:t>
      </w:r>
      <w:r w:rsidR="00E8128F">
        <w:rPr>
          <w:rtl/>
        </w:rPr>
        <w:t xml:space="preserve"> </w:t>
      </w:r>
      <w:r w:rsidRPr="00FD211F">
        <w:rPr>
          <w:rtl/>
        </w:rPr>
        <w:t>الجامع</w:t>
      </w:r>
      <w:r w:rsidR="00E8128F">
        <w:rPr>
          <w:rtl/>
        </w:rPr>
        <w:t xml:space="preserve"> </w:t>
      </w:r>
      <w:r w:rsidR="00C66567" w:rsidRPr="00FD211F">
        <w:rPr>
          <w:rtl/>
        </w:rPr>
        <w:t>ل</w:t>
      </w:r>
      <w:r w:rsidR="00C36E2A" w:rsidRPr="00FD211F">
        <w:rPr>
          <w:rtl/>
        </w:rPr>
        <w:t>خصوص</w:t>
      </w:r>
      <w:r w:rsidR="00E8128F">
        <w:rPr>
          <w:rtl/>
        </w:rPr>
        <w:t xml:space="preserve"> </w:t>
      </w:r>
      <w:r w:rsidR="00C36E2A" w:rsidRPr="00FD211F">
        <w:rPr>
          <w:rtl/>
        </w:rPr>
        <w:t>ال</w:t>
      </w:r>
      <w:r w:rsidR="00C66567" w:rsidRPr="00FD211F">
        <w:rPr>
          <w:rtl/>
        </w:rPr>
        <w:t>متلبس</w:t>
      </w:r>
      <w:r w:rsidR="00E8128F">
        <w:rPr>
          <w:rtl/>
        </w:rPr>
        <w:t xml:space="preserve"> </w:t>
      </w:r>
      <w:r w:rsidR="00C66567" w:rsidRPr="00FD211F">
        <w:rPr>
          <w:rtl/>
        </w:rPr>
        <w:t>بال</w:t>
      </w:r>
      <w:r w:rsidR="0079493B" w:rsidRPr="00FD211F">
        <w:rPr>
          <w:rtl/>
        </w:rPr>
        <w:t>مبدأ</w:t>
      </w:r>
      <w:r w:rsidR="00E8128F">
        <w:rPr>
          <w:rtl/>
        </w:rPr>
        <w:t xml:space="preserve"> </w:t>
      </w:r>
      <w:r w:rsidR="00C66567" w:rsidRPr="00FD211F">
        <w:rPr>
          <w:rtl/>
        </w:rPr>
        <w:t>والأعم</w:t>
      </w:r>
      <w:bookmarkEnd w:id="451"/>
      <w:bookmarkEnd w:id="452"/>
    </w:p>
    <w:p w14:paraId="2C5EF7E3" w14:textId="77777777" w:rsidR="00C36E2A" w:rsidRPr="00FD211F" w:rsidRDefault="00C36E2A" w:rsidP="009C58C8">
      <w:pPr>
        <w:ind w:left="0" w:firstLine="227"/>
        <w:jc w:val="both"/>
        <w:rPr>
          <w:sz w:val="36"/>
          <w:szCs w:val="36"/>
          <w:rtl/>
        </w:rPr>
      </w:pPr>
      <w:r w:rsidRPr="00FD211F">
        <w:rPr>
          <w:b/>
          <w:bCs/>
          <w:sz w:val="36"/>
          <w:szCs w:val="36"/>
          <w:rtl/>
        </w:rPr>
        <w:t>الجه</w:t>
      </w:r>
      <w:r w:rsidR="00EC7EDF" w:rsidRPr="00FD211F">
        <w:rPr>
          <w:b/>
          <w:bCs/>
          <w:sz w:val="36"/>
          <w:szCs w:val="36"/>
          <w:rtl/>
        </w:rPr>
        <w:t>ة</w:t>
      </w:r>
      <w:r w:rsidR="00E8128F">
        <w:rPr>
          <w:b/>
          <w:bCs/>
          <w:sz w:val="36"/>
          <w:szCs w:val="36"/>
          <w:rtl/>
        </w:rPr>
        <w:t xml:space="preserve"> </w:t>
      </w:r>
      <w:r w:rsidRPr="00FD211F">
        <w:rPr>
          <w:b/>
          <w:bCs/>
          <w:sz w:val="36"/>
          <w:szCs w:val="36"/>
          <w:rtl/>
        </w:rPr>
        <w:t>الرابع</w:t>
      </w:r>
      <w:r w:rsidR="00EC7EDF" w:rsidRPr="00FD211F">
        <w:rPr>
          <w:b/>
          <w:bCs/>
          <w:sz w:val="36"/>
          <w:szCs w:val="36"/>
          <w:rtl/>
        </w:rPr>
        <w:t>ة</w:t>
      </w:r>
      <w:r w:rsidR="00057D31" w:rsidRPr="00FD211F">
        <w:rPr>
          <w:sz w:val="36"/>
          <w:szCs w:val="36"/>
          <w:rtl/>
        </w:rPr>
        <w:t>:</w:t>
      </w:r>
      <w:r w:rsidR="00E8128F">
        <w:rPr>
          <w:sz w:val="36"/>
          <w:szCs w:val="36"/>
          <w:rtl/>
        </w:rPr>
        <w:t xml:space="preserve"> </w:t>
      </w:r>
      <w:r w:rsidR="00CC3973" w:rsidRPr="00FD211F">
        <w:rPr>
          <w:sz w:val="36"/>
          <w:szCs w:val="36"/>
          <w:rtl/>
        </w:rPr>
        <w:t>لااشكال</w:t>
      </w:r>
      <w:r w:rsidR="00E8128F">
        <w:rPr>
          <w:sz w:val="36"/>
          <w:szCs w:val="36"/>
          <w:rtl/>
        </w:rPr>
        <w:t xml:space="preserve"> </w:t>
      </w:r>
      <w:r w:rsidR="00CC3973" w:rsidRPr="00FD211F">
        <w:rPr>
          <w:sz w:val="36"/>
          <w:szCs w:val="36"/>
          <w:rtl/>
        </w:rPr>
        <w:t>في</w:t>
      </w:r>
      <w:r w:rsidR="00E8128F">
        <w:rPr>
          <w:sz w:val="36"/>
          <w:szCs w:val="36"/>
          <w:rtl/>
        </w:rPr>
        <w:t xml:space="preserve"> </w:t>
      </w:r>
      <w:r w:rsidR="00C66567" w:rsidRPr="00FD211F">
        <w:rPr>
          <w:sz w:val="36"/>
          <w:szCs w:val="36"/>
          <w:rtl/>
        </w:rPr>
        <w:t>ان</w:t>
      </w:r>
      <w:r w:rsidR="00E8128F">
        <w:rPr>
          <w:sz w:val="36"/>
          <w:szCs w:val="36"/>
          <w:rtl/>
        </w:rPr>
        <w:t xml:space="preserve"> </w:t>
      </w:r>
      <w:r w:rsidR="00C66567" w:rsidRPr="00FD211F">
        <w:rPr>
          <w:sz w:val="36"/>
          <w:szCs w:val="36"/>
          <w:rtl/>
        </w:rPr>
        <w:t>كل</w:t>
      </w:r>
      <w:r w:rsidR="00E8128F">
        <w:rPr>
          <w:sz w:val="36"/>
          <w:szCs w:val="36"/>
          <w:rtl/>
        </w:rPr>
        <w:t xml:space="preserve"> </w:t>
      </w:r>
      <w:r w:rsidR="00C66567" w:rsidRPr="00FD211F">
        <w:rPr>
          <w:sz w:val="36"/>
          <w:szCs w:val="36"/>
          <w:rtl/>
        </w:rPr>
        <w:t>مشتق</w:t>
      </w:r>
      <w:r w:rsidR="00E8128F">
        <w:rPr>
          <w:sz w:val="36"/>
          <w:szCs w:val="36"/>
          <w:rtl/>
        </w:rPr>
        <w:t xml:space="preserve"> </w:t>
      </w:r>
      <w:r w:rsidRPr="00FD211F">
        <w:rPr>
          <w:sz w:val="36"/>
          <w:szCs w:val="36"/>
          <w:rtl/>
        </w:rPr>
        <w:t>-كلفظ</w:t>
      </w:r>
      <w:r w:rsidR="00E8128F">
        <w:rPr>
          <w:sz w:val="36"/>
          <w:szCs w:val="36"/>
          <w:rtl/>
        </w:rPr>
        <w:t xml:space="preserve"> </w:t>
      </w:r>
      <w:r w:rsidR="00C66567" w:rsidRPr="00FD211F">
        <w:rPr>
          <w:sz w:val="36"/>
          <w:szCs w:val="36"/>
          <w:rtl/>
        </w:rPr>
        <w:t>العالم</w:t>
      </w:r>
      <w:r w:rsidRPr="00FD211F">
        <w:rPr>
          <w:sz w:val="36"/>
          <w:szCs w:val="36"/>
          <w:rtl/>
        </w:rPr>
        <w:t>-</w:t>
      </w:r>
      <w:r w:rsidR="00E8128F">
        <w:rPr>
          <w:sz w:val="36"/>
          <w:szCs w:val="36"/>
          <w:rtl/>
        </w:rPr>
        <w:t xml:space="preserve"> </w:t>
      </w:r>
      <w:r w:rsidR="00CC3973" w:rsidRPr="00FD211F">
        <w:rPr>
          <w:sz w:val="36"/>
          <w:szCs w:val="36"/>
          <w:rtl/>
        </w:rPr>
        <w:t>مفهوم</w:t>
      </w:r>
      <w:r w:rsidR="00E8128F">
        <w:rPr>
          <w:sz w:val="36"/>
          <w:szCs w:val="36"/>
          <w:rtl/>
        </w:rPr>
        <w:t xml:space="preserve"> </w:t>
      </w:r>
      <w:r w:rsidR="00CC3973" w:rsidRPr="00FD211F">
        <w:rPr>
          <w:sz w:val="36"/>
          <w:szCs w:val="36"/>
          <w:rtl/>
        </w:rPr>
        <w:t>واحد</w:t>
      </w:r>
      <w:r w:rsidR="00E8128F">
        <w:rPr>
          <w:sz w:val="36"/>
          <w:szCs w:val="36"/>
          <w:rtl/>
        </w:rPr>
        <w:t xml:space="preserve"> </w:t>
      </w:r>
      <w:r w:rsidR="00CC3973" w:rsidRPr="00FD211F">
        <w:rPr>
          <w:sz w:val="36"/>
          <w:szCs w:val="36"/>
          <w:rtl/>
        </w:rPr>
        <w:t>عرفا</w:t>
      </w:r>
      <w:r w:rsidR="00E8128F">
        <w:rPr>
          <w:sz w:val="36"/>
          <w:szCs w:val="36"/>
          <w:rtl/>
        </w:rPr>
        <w:t xml:space="preserve"> </w:t>
      </w:r>
      <w:r w:rsidR="00C66567" w:rsidRPr="00FD211F">
        <w:rPr>
          <w:sz w:val="36"/>
          <w:szCs w:val="36"/>
          <w:rtl/>
        </w:rPr>
        <w:t>حيث</w:t>
      </w:r>
      <w:r w:rsidR="00E8128F">
        <w:rPr>
          <w:sz w:val="36"/>
          <w:szCs w:val="36"/>
          <w:rtl/>
        </w:rPr>
        <w:t xml:space="preserve"> </w:t>
      </w:r>
      <w:r w:rsidR="00C66567" w:rsidRPr="00FD211F">
        <w:rPr>
          <w:sz w:val="36"/>
          <w:szCs w:val="36"/>
          <w:rtl/>
        </w:rPr>
        <w:t>انه</w:t>
      </w:r>
      <w:r w:rsidR="00E8128F">
        <w:rPr>
          <w:sz w:val="36"/>
          <w:szCs w:val="36"/>
          <w:rtl/>
        </w:rPr>
        <w:t xml:space="preserve"> </w:t>
      </w:r>
      <w:r w:rsidR="00C66567" w:rsidRPr="00FD211F">
        <w:rPr>
          <w:sz w:val="36"/>
          <w:szCs w:val="36"/>
          <w:rtl/>
        </w:rPr>
        <w:t>ليس</w:t>
      </w:r>
      <w:r w:rsidR="00E8128F">
        <w:rPr>
          <w:sz w:val="36"/>
          <w:szCs w:val="36"/>
          <w:rtl/>
        </w:rPr>
        <w:t xml:space="preserve"> </w:t>
      </w:r>
      <w:r w:rsidR="00C66567" w:rsidRPr="00FD211F">
        <w:rPr>
          <w:sz w:val="36"/>
          <w:szCs w:val="36"/>
          <w:rtl/>
        </w:rPr>
        <w:t>مشتركا</w:t>
      </w:r>
      <w:r w:rsidR="00E8128F">
        <w:rPr>
          <w:sz w:val="36"/>
          <w:szCs w:val="36"/>
          <w:rtl/>
        </w:rPr>
        <w:t xml:space="preserve"> </w:t>
      </w:r>
      <w:r w:rsidR="00C66567" w:rsidRPr="00FD211F">
        <w:rPr>
          <w:sz w:val="36"/>
          <w:szCs w:val="36"/>
          <w:rtl/>
        </w:rPr>
        <w:t>لفظيا</w:t>
      </w:r>
      <w:r w:rsidR="00603323" w:rsidRPr="00FD211F">
        <w:rPr>
          <w:sz w:val="36"/>
          <w:szCs w:val="36"/>
          <w:rtl/>
        </w:rPr>
        <w:t>،</w:t>
      </w:r>
      <w:r w:rsidR="00E8128F">
        <w:rPr>
          <w:sz w:val="36"/>
          <w:szCs w:val="36"/>
          <w:rtl/>
        </w:rPr>
        <w:t xml:space="preserve"> </w:t>
      </w:r>
      <w:r w:rsidR="00C66567" w:rsidRPr="00FD211F">
        <w:rPr>
          <w:sz w:val="36"/>
          <w:szCs w:val="36"/>
          <w:rtl/>
        </w:rPr>
        <w:t>ف</w:t>
      </w:r>
      <w:r w:rsidR="00CC3973" w:rsidRPr="00FD211F">
        <w:rPr>
          <w:sz w:val="36"/>
          <w:szCs w:val="36"/>
          <w:rtl/>
        </w:rPr>
        <w:t>لابد</w:t>
      </w:r>
      <w:r w:rsidR="00E8128F">
        <w:rPr>
          <w:sz w:val="36"/>
          <w:szCs w:val="36"/>
          <w:rtl/>
        </w:rPr>
        <w:t xml:space="preserve"> </w:t>
      </w:r>
      <w:r w:rsidR="00CC3973" w:rsidRPr="00FD211F">
        <w:rPr>
          <w:sz w:val="36"/>
          <w:szCs w:val="36"/>
          <w:rtl/>
        </w:rPr>
        <w:t>من</w:t>
      </w:r>
      <w:r w:rsidR="00E8128F">
        <w:rPr>
          <w:sz w:val="36"/>
          <w:szCs w:val="36"/>
          <w:rtl/>
        </w:rPr>
        <w:t xml:space="preserve"> </w:t>
      </w:r>
      <w:r w:rsidR="00CC3973" w:rsidRPr="00FD211F">
        <w:rPr>
          <w:sz w:val="36"/>
          <w:szCs w:val="36"/>
          <w:rtl/>
        </w:rPr>
        <w:t>تصوير</w:t>
      </w:r>
      <w:r w:rsidR="00E8128F">
        <w:rPr>
          <w:sz w:val="36"/>
          <w:szCs w:val="36"/>
          <w:rtl/>
        </w:rPr>
        <w:t xml:space="preserve"> </w:t>
      </w:r>
      <w:r w:rsidRPr="00FD211F">
        <w:rPr>
          <w:sz w:val="36"/>
          <w:szCs w:val="36"/>
          <w:rtl/>
        </w:rPr>
        <w:t>معنى</w:t>
      </w:r>
      <w:r w:rsidR="00E8128F">
        <w:rPr>
          <w:sz w:val="36"/>
          <w:szCs w:val="36"/>
          <w:rtl/>
        </w:rPr>
        <w:t xml:space="preserve"> </w:t>
      </w:r>
      <w:r w:rsidR="00CC3973" w:rsidRPr="00FD211F">
        <w:rPr>
          <w:sz w:val="36"/>
          <w:szCs w:val="36"/>
          <w:rtl/>
        </w:rPr>
        <w:t>جامع</w:t>
      </w:r>
      <w:r w:rsidR="00E8128F">
        <w:rPr>
          <w:sz w:val="36"/>
          <w:szCs w:val="36"/>
          <w:rtl/>
        </w:rPr>
        <w:t xml:space="preserve"> </w:t>
      </w:r>
      <w:r w:rsidR="00CC3973" w:rsidRPr="00FD211F">
        <w:rPr>
          <w:sz w:val="36"/>
          <w:szCs w:val="36"/>
          <w:rtl/>
        </w:rPr>
        <w:t>ل</w:t>
      </w:r>
      <w:r w:rsidRPr="00FD211F">
        <w:rPr>
          <w:sz w:val="36"/>
          <w:szCs w:val="36"/>
          <w:rtl/>
        </w:rPr>
        <w:t>ه</w:t>
      </w:r>
      <w:r w:rsidR="00E8128F">
        <w:rPr>
          <w:sz w:val="36"/>
          <w:szCs w:val="36"/>
          <w:rtl/>
        </w:rPr>
        <w:t xml:space="preserve"> </w:t>
      </w:r>
      <w:r w:rsidRPr="00FD211F">
        <w:rPr>
          <w:sz w:val="36"/>
          <w:szCs w:val="36"/>
          <w:rtl/>
        </w:rPr>
        <w:t>بلافرق</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بين</w:t>
      </w:r>
      <w:r w:rsidR="00E8128F">
        <w:rPr>
          <w:sz w:val="36"/>
          <w:szCs w:val="36"/>
          <w:rtl/>
        </w:rPr>
        <w:t xml:space="preserve"> </w:t>
      </w:r>
      <w:r w:rsidR="00C66567" w:rsidRPr="00FD211F">
        <w:rPr>
          <w:sz w:val="36"/>
          <w:szCs w:val="36"/>
          <w:rtl/>
        </w:rPr>
        <w:t>القول</w:t>
      </w:r>
      <w:r w:rsidR="00E8128F">
        <w:rPr>
          <w:sz w:val="36"/>
          <w:szCs w:val="36"/>
          <w:rtl/>
        </w:rPr>
        <w:t xml:space="preserve"> </w:t>
      </w:r>
      <w:r w:rsidR="00C66567" w:rsidRPr="00FD211F">
        <w:rPr>
          <w:sz w:val="36"/>
          <w:szCs w:val="36"/>
          <w:rtl/>
        </w:rPr>
        <w:t>بوضعه</w:t>
      </w:r>
      <w:r w:rsidR="00E8128F">
        <w:rPr>
          <w:sz w:val="36"/>
          <w:szCs w:val="36"/>
          <w:rtl/>
        </w:rPr>
        <w:t xml:space="preserve"> </w:t>
      </w:r>
      <w:r w:rsidR="00C66567" w:rsidRPr="00FD211F">
        <w:rPr>
          <w:sz w:val="36"/>
          <w:szCs w:val="36"/>
          <w:rtl/>
        </w:rPr>
        <w:t>للمتلبس</w:t>
      </w:r>
      <w:r w:rsidR="00E8128F">
        <w:rPr>
          <w:sz w:val="36"/>
          <w:szCs w:val="36"/>
          <w:rtl/>
        </w:rPr>
        <w:t xml:space="preserve"> </w:t>
      </w:r>
      <w:r w:rsidR="00C66567" w:rsidRPr="00FD211F">
        <w:rPr>
          <w:sz w:val="36"/>
          <w:szCs w:val="36"/>
          <w:rtl/>
        </w:rPr>
        <w:t>بال</w:t>
      </w:r>
      <w:r w:rsidR="0079493B" w:rsidRPr="00FD211F">
        <w:rPr>
          <w:sz w:val="36"/>
          <w:szCs w:val="36"/>
          <w:rtl/>
        </w:rPr>
        <w:t>مبدأ</w:t>
      </w:r>
      <w:r w:rsidR="00E8128F">
        <w:rPr>
          <w:sz w:val="36"/>
          <w:szCs w:val="36"/>
          <w:rtl/>
        </w:rPr>
        <w:t xml:space="preserve"> </w:t>
      </w:r>
      <w:r w:rsidR="00C66567" w:rsidRPr="00FD211F">
        <w:rPr>
          <w:sz w:val="36"/>
          <w:szCs w:val="36"/>
          <w:rtl/>
        </w:rPr>
        <w:t>او</w:t>
      </w:r>
      <w:r w:rsidR="00E8128F">
        <w:rPr>
          <w:sz w:val="36"/>
          <w:szCs w:val="36"/>
          <w:rtl/>
        </w:rPr>
        <w:t xml:space="preserve"> </w:t>
      </w:r>
      <w:r w:rsidR="00C66567" w:rsidRPr="00FD211F">
        <w:rPr>
          <w:sz w:val="36"/>
          <w:szCs w:val="36"/>
          <w:rtl/>
        </w:rPr>
        <w:t>وضعه</w:t>
      </w:r>
      <w:r w:rsidR="00E8128F">
        <w:rPr>
          <w:sz w:val="36"/>
          <w:szCs w:val="36"/>
          <w:rtl/>
        </w:rPr>
        <w:t xml:space="preserve"> </w:t>
      </w:r>
      <w:r w:rsidR="00C66567" w:rsidRPr="00FD211F">
        <w:rPr>
          <w:sz w:val="36"/>
          <w:szCs w:val="36"/>
          <w:rtl/>
        </w:rPr>
        <w:t>للأعم</w:t>
      </w:r>
      <w:r w:rsidRPr="00FD211F">
        <w:rPr>
          <w:sz w:val="36"/>
          <w:szCs w:val="36"/>
          <w:rtl/>
        </w:rPr>
        <w:t>.</w:t>
      </w:r>
    </w:p>
    <w:p w14:paraId="5258812E" w14:textId="77777777" w:rsidR="00CC3973" w:rsidRPr="00FD211F" w:rsidRDefault="00C66567" w:rsidP="009C58C8">
      <w:pPr>
        <w:ind w:left="0" w:firstLine="227"/>
        <w:jc w:val="both"/>
        <w:rPr>
          <w:sz w:val="36"/>
          <w:szCs w:val="36"/>
          <w:rtl/>
        </w:rPr>
      </w:pPr>
      <w:r w:rsidRPr="00FD211F">
        <w:rPr>
          <w:sz w:val="36"/>
          <w:szCs w:val="36"/>
          <w:rtl/>
        </w:rPr>
        <w:t>اما</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وضعه</w:t>
      </w:r>
      <w:r w:rsidR="00E8128F">
        <w:rPr>
          <w:sz w:val="36"/>
          <w:szCs w:val="36"/>
          <w:rtl/>
        </w:rPr>
        <w:t xml:space="preserve"> </w:t>
      </w:r>
      <w:r w:rsidRPr="00FD211F">
        <w:rPr>
          <w:sz w:val="36"/>
          <w:szCs w:val="36"/>
          <w:rtl/>
        </w:rPr>
        <w:t>لخصوص</w:t>
      </w:r>
      <w:r w:rsidR="00E8128F">
        <w:rPr>
          <w:sz w:val="36"/>
          <w:szCs w:val="36"/>
          <w:rtl/>
        </w:rPr>
        <w:t xml:space="preserve"> </w:t>
      </w:r>
      <w:r w:rsidRPr="00FD211F">
        <w:rPr>
          <w:sz w:val="36"/>
          <w:szCs w:val="36"/>
          <w:rtl/>
        </w:rPr>
        <w:t>المتلبس</w:t>
      </w:r>
      <w:r w:rsidR="00E8128F">
        <w:rPr>
          <w:sz w:val="36"/>
          <w:szCs w:val="36"/>
          <w:rtl/>
        </w:rPr>
        <w:t xml:space="preserve"> </w:t>
      </w:r>
      <w:r w:rsidRPr="00FD211F">
        <w:rPr>
          <w:sz w:val="36"/>
          <w:szCs w:val="36"/>
          <w:rtl/>
        </w:rPr>
        <w:t>فلااشكال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الجامع</w:t>
      </w:r>
      <w:r w:rsidR="00603323" w:rsidRPr="00FD211F">
        <w:rPr>
          <w:sz w:val="36"/>
          <w:szCs w:val="36"/>
          <w:rtl/>
        </w:rPr>
        <w:t>،</w:t>
      </w:r>
      <w:r w:rsidR="00E8128F">
        <w:rPr>
          <w:sz w:val="36"/>
          <w:szCs w:val="36"/>
          <w:rtl/>
        </w:rPr>
        <w:t xml:space="preserve"> </w:t>
      </w:r>
      <w:r w:rsidRPr="00FD211F">
        <w:rPr>
          <w:sz w:val="36"/>
          <w:szCs w:val="36"/>
          <w:rtl/>
        </w:rPr>
        <w:t>وهذا</w:t>
      </w:r>
      <w:r w:rsidR="00E8128F">
        <w:rPr>
          <w:sz w:val="36"/>
          <w:szCs w:val="36"/>
          <w:rtl/>
        </w:rPr>
        <w:t xml:space="preserve"> </w:t>
      </w:r>
      <w:r w:rsidRPr="00FD211F">
        <w:rPr>
          <w:sz w:val="36"/>
          <w:szCs w:val="36"/>
          <w:rtl/>
        </w:rPr>
        <w:t>واضح</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القول</w:t>
      </w:r>
      <w:r w:rsidR="00E8128F">
        <w:rPr>
          <w:sz w:val="36"/>
          <w:szCs w:val="36"/>
          <w:rtl/>
        </w:rPr>
        <w:t xml:space="preserve"> </w:t>
      </w:r>
      <w:r w:rsidRPr="00FD211F">
        <w:rPr>
          <w:sz w:val="36"/>
          <w:szCs w:val="36"/>
          <w:rtl/>
        </w:rPr>
        <w:t>ببساط</w:t>
      </w:r>
      <w:r w:rsidR="00EC7EDF" w:rsidRPr="00FD211F">
        <w:rPr>
          <w:sz w:val="36"/>
          <w:szCs w:val="36"/>
          <w:rtl/>
        </w:rPr>
        <w:t>ة</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لحاظه</w:t>
      </w:r>
      <w:r w:rsidR="00E8128F">
        <w:rPr>
          <w:sz w:val="36"/>
          <w:szCs w:val="36"/>
          <w:rtl/>
        </w:rPr>
        <w:t xml:space="preserve"> </w:t>
      </w:r>
      <w:r w:rsidRPr="00FD211F">
        <w:rPr>
          <w:sz w:val="36"/>
          <w:szCs w:val="36"/>
          <w:rtl/>
        </w:rPr>
        <w:t>لابشرط</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حمله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الذات</w:t>
      </w:r>
      <w:r w:rsidR="00603323" w:rsidRPr="00FD211F">
        <w:rPr>
          <w:sz w:val="36"/>
          <w:szCs w:val="36"/>
          <w:rtl/>
        </w:rPr>
        <w:t>،</w:t>
      </w:r>
      <w:r w:rsidR="00E8128F">
        <w:rPr>
          <w:sz w:val="36"/>
          <w:szCs w:val="36"/>
          <w:rtl/>
        </w:rPr>
        <w:t xml:space="preserve"> </w:t>
      </w:r>
      <w:r w:rsidRPr="00FD211F">
        <w:rPr>
          <w:sz w:val="36"/>
          <w:szCs w:val="36"/>
          <w:rtl/>
        </w:rPr>
        <w:t>واما</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القول</w:t>
      </w:r>
      <w:r w:rsidR="00E8128F">
        <w:rPr>
          <w:sz w:val="36"/>
          <w:szCs w:val="36"/>
          <w:rtl/>
        </w:rPr>
        <w:t xml:space="preserve"> </w:t>
      </w:r>
      <w:r w:rsidRPr="00FD211F">
        <w:rPr>
          <w:sz w:val="36"/>
          <w:szCs w:val="36"/>
          <w:rtl/>
        </w:rPr>
        <w:t>بتركب</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فقد</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"ذات</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فيشتمل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والعلم</w:t>
      </w:r>
      <w:r w:rsidR="00E8128F">
        <w:rPr>
          <w:sz w:val="36"/>
          <w:szCs w:val="36"/>
          <w:rtl/>
        </w:rPr>
        <w:t xml:space="preserve"> </w:t>
      </w:r>
      <w:r w:rsidRPr="00FD211F">
        <w:rPr>
          <w:sz w:val="36"/>
          <w:szCs w:val="36"/>
          <w:rtl/>
        </w:rPr>
        <w:t>وقد</w:t>
      </w:r>
      <w:r w:rsidR="00E8128F">
        <w:rPr>
          <w:sz w:val="36"/>
          <w:szCs w:val="36"/>
          <w:rtl/>
        </w:rPr>
        <w:t xml:space="preserve"> </w:t>
      </w:r>
      <w:r w:rsidRPr="00FD211F">
        <w:rPr>
          <w:sz w:val="36"/>
          <w:szCs w:val="36"/>
          <w:rtl/>
        </w:rPr>
        <w:t>مر</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لايوجد</w:t>
      </w:r>
      <w:r w:rsidR="00E8128F">
        <w:rPr>
          <w:sz w:val="36"/>
          <w:szCs w:val="36"/>
          <w:rtl/>
        </w:rPr>
        <w:t xml:space="preserve"> </w:t>
      </w:r>
      <w:r w:rsidRPr="00FD211F">
        <w:rPr>
          <w:sz w:val="36"/>
          <w:szCs w:val="36"/>
          <w:rtl/>
        </w:rPr>
        <w:t>جامع</w:t>
      </w:r>
      <w:r w:rsidR="00E8128F">
        <w:rPr>
          <w:sz w:val="36"/>
          <w:szCs w:val="36"/>
          <w:rtl/>
        </w:rPr>
        <w:t xml:space="preserve"> </w:t>
      </w:r>
      <w:r w:rsidRPr="00FD211F">
        <w:rPr>
          <w:sz w:val="36"/>
          <w:szCs w:val="36"/>
          <w:rtl/>
        </w:rPr>
        <w:t>ذاتي</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افراد</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نظير</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حرف</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للنسب</w:t>
      </w:r>
      <w:r w:rsidR="00EC7EDF" w:rsidRPr="00FD211F">
        <w:rPr>
          <w:sz w:val="36"/>
          <w:szCs w:val="36"/>
          <w:rtl/>
        </w:rPr>
        <w:t>ة</w:t>
      </w:r>
      <w:r w:rsidR="00E8128F">
        <w:rPr>
          <w:sz w:val="36"/>
          <w:szCs w:val="36"/>
          <w:rtl/>
        </w:rPr>
        <w:t xml:space="preserve"> </w:t>
      </w:r>
      <w:r w:rsidRPr="00FD211F">
        <w:rPr>
          <w:sz w:val="36"/>
          <w:szCs w:val="36"/>
          <w:rtl/>
        </w:rPr>
        <w:t>الظرفي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ذكروا</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لايوجد</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جامع</w:t>
      </w:r>
      <w:r w:rsidR="00E8128F">
        <w:rPr>
          <w:sz w:val="36"/>
          <w:szCs w:val="36"/>
          <w:rtl/>
        </w:rPr>
        <w:t xml:space="preserve"> </w:t>
      </w:r>
      <w:r w:rsidRPr="00FD211F">
        <w:rPr>
          <w:sz w:val="36"/>
          <w:szCs w:val="36"/>
          <w:rtl/>
        </w:rPr>
        <w:t>لها</w:t>
      </w:r>
      <w:r w:rsidR="00E8128F">
        <w:rPr>
          <w:sz w:val="36"/>
          <w:szCs w:val="36"/>
          <w:rtl/>
        </w:rPr>
        <w:t xml:space="preserve"> </w:t>
      </w:r>
      <w:r w:rsidRPr="00FD211F">
        <w:rPr>
          <w:sz w:val="36"/>
          <w:szCs w:val="36"/>
          <w:rtl/>
        </w:rPr>
        <w:t>حتى</w:t>
      </w:r>
      <w:r w:rsidR="00E8128F">
        <w:rPr>
          <w:sz w:val="36"/>
          <w:szCs w:val="36"/>
          <w:rtl/>
        </w:rPr>
        <w:t xml:space="preserve"> </w:t>
      </w:r>
      <w:r w:rsidRPr="00FD211F">
        <w:rPr>
          <w:sz w:val="36"/>
          <w:szCs w:val="36"/>
          <w:rtl/>
        </w:rPr>
        <w:t>يوضع</w:t>
      </w:r>
      <w:r w:rsidR="00E8128F">
        <w:rPr>
          <w:sz w:val="36"/>
          <w:szCs w:val="36"/>
          <w:rtl/>
        </w:rPr>
        <w:t xml:space="preserve"> </w:t>
      </w:r>
      <w:r w:rsidRPr="00FD211F">
        <w:rPr>
          <w:sz w:val="36"/>
          <w:szCs w:val="36"/>
          <w:rtl/>
        </w:rPr>
        <w:t>بإزاءه</w:t>
      </w:r>
      <w:r w:rsidR="00E8128F">
        <w:rPr>
          <w:sz w:val="36"/>
          <w:szCs w:val="36"/>
          <w:rtl/>
        </w:rPr>
        <w:t xml:space="preserve"> </w:t>
      </w:r>
      <w:r w:rsidRPr="00FD211F">
        <w:rPr>
          <w:sz w:val="36"/>
          <w:szCs w:val="36"/>
          <w:rtl/>
        </w:rPr>
        <w:t>الحرف</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لابد</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يوضع</w:t>
      </w:r>
      <w:r w:rsidR="00E8128F">
        <w:rPr>
          <w:sz w:val="36"/>
          <w:szCs w:val="36"/>
          <w:rtl/>
        </w:rPr>
        <w:t xml:space="preserve"> </w:t>
      </w:r>
      <w:r w:rsidRPr="00FD211F">
        <w:rPr>
          <w:sz w:val="36"/>
          <w:szCs w:val="36"/>
          <w:rtl/>
        </w:rPr>
        <w:t>بإزاء</w:t>
      </w:r>
      <w:r w:rsidR="00E8128F">
        <w:rPr>
          <w:sz w:val="36"/>
          <w:szCs w:val="36"/>
          <w:rtl/>
        </w:rPr>
        <w:t xml:space="preserve"> </w:t>
      </w:r>
      <w:r w:rsidRPr="00FD211F">
        <w:rPr>
          <w:sz w:val="36"/>
          <w:szCs w:val="36"/>
          <w:rtl/>
        </w:rPr>
        <w:t>أفراد</w:t>
      </w:r>
      <w:r w:rsidR="00E8128F">
        <w:rPr>
          <w:sz w:val="36"/>
          <w:szCs w:val="36"/>
          <w:rtl/>
        </w:rPr>
        <w:t xml:space="preserve"> </w:t>
      </w:r>
      <w:r w:rsidR="00C36E2A"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الظرفي</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نحو</w:t>
      </w:r>
      <w:r w:rsidR="00E8128F">
        <w:rPr>
          <w:sz w:val="36"/>
          <w:szCs w:val="36"/>
          <w:rtl/>
        </w:rPr>
        <w:t xml:space="preserve"> </w:t>
      </w:r>
      <w:r w:rsidRPr="00FD211F">
        <w:rPr>
          <w:sz w:val="36"/>
          <w:szCs w:val="36"/>
          <w:rtl/>
        </w:rPr>
        <w:t>الوضع</w:t>
      </w:r>
      <w:r w:rsidR="00E8128F">
        <w:rPr>
          <w:sz w:val="36"/>
          <w:szCs w:val="36"/>
          <w:rtl/>
        </w:rPr>
        <w:t xml:space="preserve"> </w:t>
      </w:r>
      <w:r w:rsidRPr="00FD211F">
        <w:rPr>
          <w:sz w:val="36"/>
          <w:szCs w:val="36"/>
          <w:rtl/>
        </w:rPr>
        <w:t>العام</w:t>
      </w:r>
      <w:r w:rsidR="00E8128F">
        <w:rPr>
          <w:sz w:val="36"/>
          <w:szCs w:val="36"/>
          <w:rtl/>
        </w:rPr>
        <w:t xml:space="preserve"> </w:t>
      </w:r>
      <w:r w:rsidRPr="00FD211F">
        <w:rPr>
          <w:sz w:val="36"/>
          <w:szCs w:val="36"/>
          <w:rtl/>
        </w:rPr>
        <w:t>والموضوع</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الخاص</w:t>
      </w:r>
      <w:r w:rsidR="00603323" w:rsidRPr="00FD211F">
        <w:rPr>
          <w:sz w:val="36"/>
          <w:szCs w:val="36"/>
          <w:rtl/>
        </w:rPr>
        <w:t>،</w:t>
      </w:r>
      <w:r w:rsidR="00E8128F">
        <w:rPr>
          <w:sz w:val="36"/>
          <w:szCs w:val="36"/>
          <w:rtl/>
        </w:rPr>
        <w:t xml:space="preserve"> </w:t>
      </w:r>
      <w:r w:rsidRPr="00FD211F">
        <w:rPr>
          <w:sz w:val="36"/>
          <w:szCs w:val="36"/>
          <w:rtl/>
        </w:rPr>
        <w:t>ولكنه</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صحيح</w:t>
      </w:r>
      <w:r w:rsidR="00E8128F">
        <w:rPr>
          <w:sz w:val="36"/>
          <w:szCs w:val="36"/>
          <w:rtl/>
        </w:rPr>
        <w:t xml:space="preserve"> </w:t>
      </w:r>
      <w:r w:rsidRPr="00FD211F">
        <w:rPr>
          <w:sz w:val="36"/>
          <w:szCs w:val="36"/>
          <w:rtl/>
        </w:rPr>
        <w:t>لان</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المشتق</w:t>
      </w:r>
      <w:r w:rsidR="00E8128F">
        <w:rPr>
          <w:sz w:val="36"/>
          <w:szCs w:val="36"/>
          <w:rtl/>
        </w:rPr>
        <w:t xml:space="preserve"> </w:t>
      </w:r>
      <w:r w:rsidR="0055185B" w:rsidRPr="00FD211F">
        <w:rPr>
          <w:sz w:val="36"/>
          <w:szCs w:val="36"/>
          <w:rtl/>
        </w:rPr>
        <w:t>–كما</w:t>
      </w:r>
      <w:r w:rsidR="00E8128F">
        <w:rPr>
          <w:sz w:val="36"/>
          <w:szCs w:val="36"/>
          <w:rtl/>
        </w:rPr>
        <w:t xml:space="preserve"> </w:t>
      </w:r>
      <w:r w:rsidR="0055185B" w:rsidRPr="00FD211F">
        <w:rPr>
          <w:sz w:val="36"/>
          <w:szCs w:val="36"/>
          <w:rtl/>
        </w:rPr>
        <w:t>سيأتي-</w:t>
      </w:r>
      <w:r w:rsidR="00E8128F">
        <w:rPr>
          <w:sz w:val="36"/>
          <w:szCs w:val="36"/>
          <w:rtl/>
        </w:rPr>
        <w:t xml:space="preserve"> </w:t>
      </w:r>
      <w:r w:rsidR="0055185B" w:rsidRPr="00FD211F">
        <w:rPr>
          <w:sz w:val="36"/>
          <w:szCs w:val="36"/>
          <w:rtl/>
        </w:rPr>
        <w:t>وان</w:t>
      </w:r>
      <w:r w:rsidR="00E8128F">
        <w:rPr>
          <w:sz w:val="36"/>
          <w:szCs w:val="36"/>
          <w:rtl/>
        </w:rPr>
        <w:t xml:space="preserve"> </w:t>
      </w:r>
      <w:r w:rsidR="0055185B" w:rsidRPr="00FD211F">
        <w:rPr>
          <w:sz w:val="36"/>
          <w:szCs w:val="36"/>
          <w:rtl/>
        </w:rPr>
        <w:t>كان</w:t>
      </w:r>
      <w:r w:rsidR="00E8128F">
        <w:rPr>
          <w:sz w:val="36"/>
          <w:szCs w:val="36"/>
          <w:rtl/>
        </w:rPr>
        <w:t xml:space="preserve"> </w:t>
      </w:r>
      <w:r w:rsidR="0055185B" w:rsidRPr="00FD211F">
        <w:rPr>
          <w:sz w:val="36"/>
          <w:szCs w:val="36"/>
          <w:rtl/>
        </w:rPr>
        <w:t>مركبا</w:t>
      </w:r>
      <w:r w:rsidR="00E8128F">
        <w:rPr>
          <w:sz w:val="36"/>
          <w:szCs w:val="36"/>
          <w:rtl/>
        </w:rPr>
        <w:t xml:space="preserve"> </w:t>
      </w:r>
      <w:r w:rsidR="0055185B" w:rsidRPr="00FD211F">
        <w:rPr>
          <w:sz w:val="36"/>
          <w:szCs w:val="36"/>
          <w:rtl/>
        </w:rPr>
        <w:t>لكنه</w:t>
      </w:r>
      <w:r w:rsidR="00E8128F">
        <w:rPr>
          <w:sz w:val="36"/>
          <w:szCs w:val="36"/>
          <w:rtl/>
        </w:rPr>
        <w:t xml:space="preserve"> </w:t>
      </w:r>
      <w:r w:rsidR="0055185B" w:rsidRPr="00FD211F">
        <w:rPr>
          <w:sz w:val="36"/>
          <w:szCs w:val="36"/>
          <w:rtl/>
        </w:rPr>
        <w:t>مركب</w:t>
      </w:r>
      <w:r w:rsidR="00E8128F">
        <w:rPr>
          <w:sz w:val="36"/>
          <w:szCs w:val="36"/>
          <w:rtl/>
        </w:rPr>
        <w:t xml:space="preserve"> </w:t>
      </w:r>
      <w:r w:rsidR="0055185B" w:rsidRPr="00FD211F">
        <w:rPr>
          <w:sz w:val="36"/>
          <w:szCs w:val="36"/>
          <w:rtl/>
        </w:rPr>
        <w:t>تحليلي</w:t>
      </w:r>
      <w:r w:rsidR="00603323" w:rsidRPr="00FD211F">
        <w:rPr>
          <w:sz w:val="36"/>
          <w:szCs w:val="36"/>
          <w:rtl/>
        </w:rPr>
        <w:t>،</w:t>
      </w:r>
      <w:r w:rsidR="00E8128F">
        <w:rPr>
          <w:sz w:val="36"/>
          <w:szCs w:val="36"/>
          <w:rtl/>
        </w:rPr>
        <w:t xml:space="preserve"> </w:t>
      </w:r>
      <w:r w:rsidR="0055185B" w:rsidRPr="00FD211F">
        <w:rPr>
          <w:sz w:val="36"/>
          <w:szCs w:val="36"/>
          <w:rtl/>
        </w:rPr>
        <w:t>فمفهومه</w:t>
      </w:r>
      <w:r w:rsidR="00E8128F">
        <w:rPr>
          <w:sz w:val="36"/>
          <w:szCs w:val="36"/>
          <w:rtl/>
        </w:rPr>
        <w:t xml:space="preserve"> </w:t>
      </w:r>
      <w:r w:rsidR="0055185B" w:rsidRPr="00FD211F">
        <w:rPr>
          <w:sz w:val="36"/>
          <w:szCs w:val="36"/>
          <w:rtl/>
        </w:rPr>
        <w:t>التصوري</w:t>
      </w:r>
      <w:r w:rsidR="00E8128F">
        <w:rPr>
          <w:sz w:val="36"/>
          <w:szCs w:val="36"/>
          <w:rtl/>
        </w:rPr>
        <w:t xml:space="preserve"> </w:t>
      </w:r>
      <w:r w:rsidR="0055185B" w:rsidRPr="00FD211F">
        <w:rPr>
          <w:sz w:val="36"/>
          <w:szCs w:val="36"/>
          <w:rtl/>
        </w:rPr>
        <w:t>يكون</w:t>
      </w:r>
      <w:r w:rsidR="00E8128F">
        <w:rPr>
          <w:sz w:val="36"/>
          <w:szCs w:val="36"/>
          <w:rtl/>
        </w:rPr>
        <w:t xml:space="preserve"> </w:t>
      </w:r>
      <w:r w:rsidR="0055185B" w:rsidRPr="00FD211F">
        <w:rPr>
          <w:sz w:val="36"/>
          <w:szCs w:val="36"/>
          <w:rtl/>
        </w:rPr>
        <w:t>بسيطا</w:t>
      </w:r>
      <w:r w:rsidR="00E8128F">
        <w:rPr>
          <w:sz w:val="36"/>
          <w:szCs w:val="36"/>
          <w:rtl/>
        </w:rPr>
        <w:t xml:space="preserve"> </w:t>
      </w:r>
      <w:r w:rsidR="0055185B" w:rsidRPr="00FD211F">
        <w:rPr>
          <w:sz w:val="36"/>
          <w:szCs w:val="36"/>
          <w:rtl/>
        </w:rPr>
        <w:t>حقيق</w:t>
      </w:r>
      <w:r w:rsidR="00EC7EDF" w:rsidRPr="00FD211F">
        <w:rPr>
          <w:sz w:val="36"/>
          <w:szCs w:val="36"/>
          <w:rtl/>
        </w:rPr>
        <w:t>ة</w:t>
      </w:r>
      <w:r w:rsidR="00E8128F">
        <w:rPr>
          <w:sz w:val="36"/>
          <w:szCs w:val="36"/>
          <w:rtl/>
        </w:rPr>
        <w:t xml:space="preserve"> </w:t>
      </w:r>
      <w:r w:rsidR="0055185B" w:rsidRPr="00FD211F">
        <w:rPr>
          <w:sz w:val="36"/>
          <w:szCs w:val="36"/>
          <w:rtl/>
        </w:rPr>
        <w:t>ولايكون</w:t>
      </w:r>
      <w:r w:rsidR="00E8128F">
        <w:rPr>
          <w:sz w:val="36"/>
          <w:szCs w:val="36"/>
          <w:rtl/>
        </w:rPr>
        <w:t xml:space="preserve"> </w:t>
      </w:r>
      <w:r w:rsidR="0055185B" w:rsidRPr="00FD211F">
        <w:rPr>
          <w:sz w:val="36"/>
          <w:szCs w:val="36"/>
          <w:rtl/>
        </w:rPr>
        <w:t>مشتملا</w:t>
      </w:r>
      <w:r w:rsidR="00E8128F">
        <w:rPr>
          <w:sz w:val="36"/>
          <w:szCs w:val="36"/>
          <w:rtl/>
        </w:rPr>
        <w:t xml:space="preserve"> </w:t>
      </w:r>
      <w:r w:rsidR="0055185B" w:rsidRPr="00FD211F">
        <w:rPr>
          <w:sz w:val="36"/>
          <w:szCs w:val="36"/>
          <w:rtl/>
        </w:rPr>
        <w:t>على</w:t>
      </w:r>
      <w:r w:rsidR="00E8128F">
        <w:rPr>
          <w:sz w:val="36"/>
          <w:szCs w:val="36"/>
          <w:rtl/>
        </w:rPr>
        <w:t xml:space="preserve"> </w:t>
      </w:r>
      <w:r w:rsidR="0055185B" w:rsidRPr="00FD211F">
        <w:rPr>
          <w:sz w:val="36"/>
          <w:szCs w:val="36"/>
          <w:rtl/>
        </w:rPr>
        <w:t>واقع</w:t>
      </w:r>
      <w:r w:rsidR="00E8128F">
        <w:rPr>
          <w:sz w:val="36"/>
          <w:szCs w:val="36"/>
          <w:rtl/>
        </w:rPr>
        <w:t xml:space="preserve"> </w:t>
      </w:r>
      <w:r w:rsidR="0055185B" w:rsidRPr="00FD211F">
        <w:rPr>
          <w:sz w:val="36"/>
          <w:szCs w:val="36"/>
          <w:rtl/>
        </w:rPr>
        <w:t>نسب</w:t>
      </w:r>
      <w:r w:rsidR="00EC7EDF" w:rsidRPr="00FD211F">
        <w:rPr>
          <w:sz w:val="36"/>
          <w:szCs w:val="36"/>
          <w:rtl/>
        </w:rPr>
        <w:t>ة</w:t>
      </w:r>
      <w:r w:rsidR="00603323" w:rsidRPr="00FD211F">
        <w:rPr>
          <w:sz w:val="36"/>
          <w:szCs w:val="36"/>
          <w:rtl/>
        </w:rPr>
        <w:t>،</w:t>
      </w:r>
      <w:r w:rsidR="00E8128F">
        <w:rPr>
          <w:sz w:val="36"/>
          <w:szCs w:val="36"/>
          <w:rtl/>
        </w:rPr>
        <w:t xml:space="preserve"> </w:t>
      </w:r>
      <w:r w:rsidR="0055185B" w:rsidRPr="00FD211F">
        <w:rPr>
          <w:sz w:val="36"/>
          <w:szCs w:val="36"/>
          <w:rtl/>
        </w:rPr>
        <w:t>بل</w:t>
      </w:r>
      <w:r w:rsidR="00E8128F">
        <w:rPr>
          <w:sz w:val="36"/>
          <w:szCs w:val="36"/>
          <w:rtl/>
        </w:rPr>
        <w:t xml:space="preserve"> </w:t>
      </w:r>
      <w:r w:rsidR="0055185B" w:rsidRPr="00FD211F">
        <w:rPr>
          <w:sz w:val="36"/>
          <w:szCs w:val="36"/>
          <w:rtl/>
        </w:rPr>
        <w:t>لو</w:t>
      </w:r>
      <w:r w:rsidR="00E8128F">
        <w:rPr>
          <w:sz w:val="36"/>
          <w:szCs w:val="36"/>
          <w:rtl/>
        </w:rPr>
        <w:t xml:space="preserve"> </w:t>
      </w:r>
      <w:r w:rsidR="0055185B" w:rsidRPr="00FD211F">
        <w:rPr>
          <w:sz w:val="36"/>
          <w:szCs w:val="36"/>
          <w:rtl/>
        </w:rPr>
        <w:t>فرض</w:t>
      </w:r>
      <w:r w:rsidR="00E8128F">
        <w:rPr>
          <w:sz w:val="36"/>
          <w:szCs w:val="36"/>
          <w:rtl/>
        </w:rPr>
        <w:t xml:space="preserve"> </w:t>
      </w:r>
      <w:r w:rsidR="0055185B" w:rsidRPr="00FD211F">
        <w:rPr>
          <w:sz w:val="36"/>
          <w:szCs w:val="36"/>
          <w:rtl/>
        </w:rPr>
        <w:t>كونه</w:t>
      </w:r>
      <w:r w:rsidR="00E8128F">
        <w:rPr>
          <w:sz w:val="36"/>
          <w:szCs w:val="36"/>
          <w:rtl/>
        </w:rPr>
        <w:t xml:space="preserve"> </w:t>
      </w:r>
      <w:r w:rsidR="0055185B" w:rsidRPr="00FD211F">
        <w:rPr>
          <w:sz w:val="36"/>
          <w:szCs w:val="36"/>
          <w:rtl/>
        </w:rPr>
        <w:t>مركبا</w:t>
      </w:r>
      <w:r w:rsidR="00E8128F">
        <w:rPr>
          <w:sz w:val="36"/>
          <w:szCs w:val="36"/>
          <w:rtl/>
        </w:rPr>
        <w:t xml:space="preserve"> </w:t>
      </w:r>
      <w:r w:rsidR="00F22D44" w:rsidRPr="00FD211F">
        <w:rPr>
          <w:sz w:val="36"/>
          <w:szCs w:val="36"/>
          <w:rtl/>
        </w:rPr>
        <w:t>تصورا</w:t>
      </w:r>
      <w:r w:rsidR="00E8128F">
        <w:rPr>
          <w:sz w:val="36"/>
          <w:szCs w:val="36"/>
          <w:rtl/>
        </w:rPr>
        <w:t xml:space="preserve"> </w:t>
      </w:r>
      <w:r w:rsidR="00F22D44" w:rsidRPr="00FD211F">
        <w:rPr>
          <w:sz w:val="36"/>
          <w:szCs w:val="36"/>
          <w:rtl/>
        </w:rPr>
        <w:t>ويكون</w:t>
      </w:r>
      <w:r w:rsidR="00E8128F">
        <w:rPr>
          <w:sz w:val="36"/>
          <w:szCs w:val="36"/>
          <w:rtl/>
        </w:rPr>
        <w:t xml:space="preserve"> </w:t>
      </w:r>
      <w:r w:rsidR="00F22D44" w:rsidRPr="00FD211F">
        <w:rPr>
          <w:sz w:val="36"/>
          <w:szCs w:val="36"/>
          <w:rtl/>
        </w:rPr>
        <w:t>العالم</w:t>
      </w:r>
      <w:r w:rsidR="00E8128F">
        <w:rPr>
          <w:sz w:val="36"/>
          <w:szCs w:val="36"/>
          <w:rtl/>
        </w:rPr>
        <w:t xml:space="preserve"> </w:t>
      </w:r>
      <w:r w:rsidR="00F22D44" w:rsidRPr="00FD211F">
        <w:rPr>
          <w:sz w:val="36"/>
          <w:szCs w:val="36"/>
          <w:rtl/>
        </w:rPr>
        <w:t>مرادفا</w:t>
      </w:r>
      <w:r w:rsidR="00E8128F">
        <w:rPr>
          <w:sz w:val="36"/>
          <w:szCs w:val="36"/>
          <w:rtl/>
        </w:rPr>
        <w:t xml:space="preserve"> </w:t>
      </w:r>
      <w:r w:rsidR="00F22D44" w:rsidRPr="00FD211F">
        <w:rPr>
          <w:sz w:val="36"/>
          <w:szCs w:val="36"/>
          <w:rtl/>
        </w:rPr>
        <w:t>لقولنا</w:t>
      </w:r>
      <w:r w:rsidR="00243F4A" w:rsidRPr="00FD211F">
        <w:rPr>
          <w:sz w:val="36"/>
          <w:szCs w:val="36"/>
          <w:rtl/>
        </w:rPr>
        <w:t>"</w:t>
      </w:r>
      <w:r w:rsidR="00F22D44" w:rsidRPr="00FD211F">
        <w:rPr>
          <w:sz w:val="36"/>
          <w:szCs w:val="36"/>
          <w:rtl/>
        </w:rPr>
        <w:t>ذات</w:t>
      </w:r>
      <w:r w:rsidR="00E8128F">
        <w:rPr>
          <w:sz w:val="36"/>
          <w:szCs w:val="36"/>
          <w:rtl/>
        </w:rPr>
        <w:t xml:space="preserve"> </w:t>
      </w:r>
      <w:r w:rsidR="00F22D44" w:rsidRPr="00FD211F">
        <w:rPr>
          <w:sz w:val="36"/>
          <w:szCs w:val="36"/>
          <w:rtl/>
        </w:rPr>
        <w:t>له</w:t>
      </w:r>
      <w:r w:rsidR="00E8128F">
        <w:rPr>
          <w:sz w:val="36"/>
          <w:szCs w:val="36"/>
          <w:rtl/>
        </w:rPr>
        <w:t xml:space="preserve"> </w:t>
      </w:r>
      <w:r w:rsidR="00F22D44" w:rsidRPr="00FD211F">
        <w:rPr>
          <w:sz w:val="36"/>
          <w:szCs w:val="36"/>
          <w:rtl/>
        </w:rPr>
        <w:t>العلم</w:t>
      </w:r>
      <w:r w:rsidR="00243F4A" w:rsidRPr="00FD211F">
        <w:rPr>
          <w:sz w:val="36"/>
          <w:szCs w:val="36"/>
          <w:rtl/>
        </w:rPr>
        <w:t>"</w:t>
      </w:r>
      <w:r w:rsidR="00E8128F">
        <w:rPr>
          <w:sz w:val="36"/>
          <w:szCs w:val="36"/>
          <w:rtl/>
        </w:rPr>
        <w:t xml:space="preserve"> </w:t>
      </w:r>
      <w:r w:rsidR="00F22D44" w:rsidRPr="00FD211F">
        <w:rPr>
          <w:sz w:val="36"/>
          <w:szCs w:val="36"/>
          <w:rtl/>
        </w:rPr>
        <w:t>والتزمنا</w:t>
      </w:r>
      <w:r w:rsidR="00E8128F">
        <w:rPr>
          <w:sz w:val="36"/>
          <w:szCs w:val="36"/>
          <w:rtl/>
        </w:rPr>
        <w:t xml:space="preserve"> </w:t>
      </w:r>
      <w:r w:rsidR="00F22D44" w:rsidRPr="00FD211F">
        <w:rPr>
          <w:sz w:val="36"/>
          <w:szCs w:val="36"/>
          <w:rtl/>
        </w:rPr>
        <w:t>باشتمال</w:t>
      </w:r>
      <w:r w:rsidR="00E8128F">
        <w:rPr>
          <w:sz w:val="36"/>
          <w:szCs w:val="36"/>
          <w:rtl/>
        </w:rPr>
        <w:t xml:space="preserve"> </w:t>
      </w:r>
      <w:r w:rsidR="00F22D44" w:rsidRPr="00FD211F">
        <w:rPr>
          <w:sz w:val="36"/>
          <w:szCs w:val="36"/>
          <w:rtl/>
        </w:rPr>
        <w:t>هذه</w:t>
      </w:r>
      <w:r w:rsidR="00E8128F">
        <w:rPr>
          <w:sz w:val="36"/>
          <w:szCs w:val="36"/>
          <w:rtl/>
        </w:rPr>
        <w:t xml:space="preserve"> </w:t>
      </w:r>
      <w:r w:rsidR="00F22D44" w:rsidRPr="00FD211F">
        <w:rPr>
          <w:sz w:val="36"/>
          <w:szCs w:val="36"/>
          <w:rtl/>
        </w:rPr>
        <w:t>الجمل</w:t>
      </w:r>
      <w:r w:rsidR="00EC7EDF" w:rsidRPr="00FD211F">
        <w:rPr>
          <w:sz w:val="36"/>
          <w:szCs w:val="36"/>
          <w:rtl/>
        </w:rPr>
        <w:t>ة</w:t>
      </w:r>
      <w:r w:rsidR="00E8128F">
        <w:rPr>
          <w:sz w:val="36"/>
          <w:szCs w:val="36"/>
          <w:rtl/>
        </w:rPr>
        <w:t xml:space="preserve"> </w:t>
      </w:r>
      <w:r w:rsidR="00F22D44" w:rsidRPr="00FD211F">
        <w:rPr>
          <w:sz w:val="36"/>
          <w:szCs w:val="36"/>
          <w:rtl/>
        </w:rPr>
        <w:t>على</w:t>
      </w:r>
      <w:r w:rsidR="00E8128F">
        <w:rPr>
          <w:sz w:val="36"/>
          <w:szCs w:val="36"/>
          <w:rtl/>
        </w:rPr>
        <w:t xml:space="preserve"> </w:t>
      </w:r>
      <w:r w:rsidR="00F22D44" w:rsidRPr="00FD211F">
        <w:rPr>
          <w:sz w:val="36"/>
          <w:szCs w:val="36"/>
          <w:rtl/>
        </w:rPr>
        <w:t>واقع</w:t>
      </w:r>
      <w:r w:rsidR="00E8128F">
        <w:rPr>
          <w:sz w:val="36"/>
          <w:szCs w:val="36"/>
          <w:rtl/>
        </w:rPr>
        <w:t xml:space="preserve"> </w:t>
      </w:r>
      <w:r w:rsidR="00F22D44" w:rsidRPr="00FD211F">
        <w:rPr>
          <w:sz w:val="36"/>
          <w:szCs w:val="36"/>
          <w:rtl/>
        </w:rPr>
        <w:t>نسب</w:t>
      </w:r>
      <w:r w:rsidR="00EC7EDF" w:rsidRPr="00FD211F">
        <w:rPr>
          <w:sz w:val="36"/>
          <w:szCs w:val="36"/>
          <w:rtl/>
        </w:rPr>
        <w:t>ة</w:t>
      </w:r>
      <w:r w:rsidR="00E8128F">
        <w:rPr>
          <w:sz w:val="36"/>
          <w:szCs w:val="36"/>
          <w:rtl/>
        </w:rPr>
        <w:t xml:space="preserve"> </w:t>
      </w:r>
      <w:r w:rsidR="00F22D44" w:rsidRPr="00FD211F">
        <w:rPr>
          <w:sz w:val="36"/>
          <w:szCs w:val="36"/>
          <w:rtl/>
        </w:rPr>
        <w:t>ناقص</w:t>
      </w:r>
      <w:r w:rsidR="00EC7EDF" w:rsidRPr="00FD211F">
        <w:rPr>
          <w:sz w:val="36"/>
          <w:szCs w:val="36"/>
          <w:rtl/>
        </w:rPr>
        <w:t>ة</w:t>
      </w:r>
      <w:r w:rsidR="00603323" w:rsidRPr="00FD211F">
        <w:rPr>
          <w:sz w:val="36"/>
          <w:szCs w:val="36"/>
          <w:rtl/>
        </w:rPr>
        <w:t>،</w:t>
      </w:r>
      <w:r w:rsidR="00E8128F">
        <w:rPr>
          <w:sz w:val="36"/>
          <w:szCs w:val="36"/>
          <w:rtl/>
        </w:rPr>
        <w:t xml:space="preserve"> </w:t>
      </w:r>
      <w:r w:rsidR="00F22D44" w:rsidRPr="00FD211F">
        <w:rPr>
          <w:sz w:val="36"/>
          <w:szCs w:val="36"/>
          <w:rtl/>
        </w:rPr>
        <w:t>فبعد</w:t>
      </w:r>
      <w:r w:rsidR="00E8128F">
        <w:rPr>
          <w:sz w:val="36"/>
          <w:szCs w:val="36"/>
          <w:rtl/>
        </w:rPr>
        <w:t xml:space="preserve"> </w:t>
      </w:r>
      <w:r w:rsidR="00F22D44" w:rsidRPr="00FD211F">
        <w:rPr>
          <w:sz w:val="36"/>
          <w:szCs w:val="36"/>
          <w:rtl/>
        </w:rPr>
        <w:t>ما</w:t>
      </w:r>
      <w:r w:rsidR="00E8128F">
        <w:rPr>
          <w:sz w:val="36"/>
          <w:szCs w:val="36"/>
          <w:rtl/>
        </w:rPr>
        <w:t xml:space="preserve"> </w:t>
      </w:r>
      <w:r w:rsidR="00F22D44" w:rsidRPr="00FD211F">
        <w:rPr>
          <w:sz w:val="36"/>
          <w:szCs w:val="36"/>
          <w:rtl/>
        </w:rPr>
        <w:t>مر</w:t>
      </w:r>
      <w:r w:rsidR="00E8128F">
        <w:rPr>
          <w:sz w:val="36"/>
          <w:szCs w:val="36"/>
          <w:rtl/>
        </w:rPr>
        <w:t xml:space="preserve"> </w:t>
      </w:r>
      <w:r w:rsidR="00F22D44" w:rsidRPr="00FD211F">
        <w:rPr>
          <w:sz w:val="36"/>
          <w:szCs w:val="36"/>
          <w:rtl/>
        </w:rPr>
        <w:t>من</w:t>
      </w:r>
      <w:r w:rsidR="00E8128F">
        <w:rPr>
          <w:sz w:val="36"/>
          <w:szCs w:val="36"/>
          <w:rtl/>
        </w:rPr>
        <w:t xml:space="preserve"> </w:t>
      </w:r>
      <w:r w:rsidR="00F22D44" w:rsidRPr="00FD211F">
        <w:rPr>
          <w:sz w:val="36"/>
          <w:szCs w:val="36"/>
          <w:rtl/>
        </w:rPr>
        <w:t>ان</w:t>
      </w:r>
      <w:r w:rsidR="00E8128F">
        <w:rPr>
          <w:sz w:val="36"/>
          <w:szCs w:val="36"/>
          <w:rtl/>
        </w:rPr>
        <w:t xml:space="preserve"> </w:t>
      </w:r>
      <w:r w:rsidR="00F22D44" w:rsidRPr="00FD211F">
        <w:rPr>
          <w:sz w:val="36"/>
          <w:szCs w:val="36"/>
          <w:rtl/>
        </w:rPr>
        <w:t>جزئي</w:t>
      </w:r>
      <w:r w:rsidR="00EC7EDF" w:rsidRPr="00FD211F">
        <w:rPr>
          <w:sz w:val="36"/>
          <w:szCs w:val="36"/>
          <w:rtl/>
        </w:rPr>
        <w:t>ة</w:t>
      </w:r>
      <w:r w:rsidR="00E8128F">
        <w:rPr>
          <w:sz w:val="36"/>
          <w:szCs w:val="36"/>
          <w:rtl/>
        </w:rPr>
        <w:t xml:space="preserve"> </w:t>
      </w:r>
      <w:r w:rsidR="00C36E2A" w:rsidRPr="00FD211F">
        <w:rPr>
          <w:sz w:val="36"/>
          <w:szCs w:val="36"/>
          <w:rtl/>
        </w:rPr>
        <w:t>النسب</w:t>
      </w:r>
      <w:r w:rsidR="00EC7EDF" w:rsidRPr="00FD211F">
        <w:rPr>
          <w:sz w:val="36"/>
          <w:szCs w:val="36"/>
          <w:rtl/>
        </w:rPr>
        <w:t>ة</w:t>
      </w:r>
      <w:r w:rsidR="00E8128F">
        <w:rPr>
          <w:sz w:val="36"/>
          <w:szCs w:val="36"/>
          <w:rtl/>
        </w:rPr>
        <w:t xml:space="preserve"> </w:t>
      </w:r>
      <w:r w:rsidR="00C36E2A" w:rsidRPr="00FD211F">
        <w:rPr>
          <w:sz w:val="36"/>
          <w:szCs w:val="36"/>
          <w:rtl/>
        </w:rPr>
        <w:t>و</w:t>
      </w:r>
      <w:r w:rsidR="00F22D44" w:rsidRPr="00FD211F">
        <w:rPr>
          <w:sz w:val="36"/>
          <w:szCs w:val="36"/>
          <w:rtl/>
        </w:rPr>
        <w:t>المعنى</w:t>
      </w:r>
      <w:r w:rsidR="00E8128F">
        <w:rPr>
          <w:sz w:val="36"/>
          <w:szCs w:val="36"/>
          <w:rtl/>
        </w:rPr>
        <w:t xml:space="preserve"> </w:t>
      </w:r>
      <w:r w:rsidR="00F22D44" w:rsidRPr="00FD211F">
        <w:rPr>
          <w:sz w:val="36"/>
          <w:szCs w:val="36"/>
          <w:rtl/>
        </w:rPr>
        <w:t>الحرفي</w:t>
      </w:r>
      <w:r w:rsidR="00E8128F">
        <w:rPr>
          <w:sz w:val="36"/>
          <w:szCs w:val="36"/>
          <w:rtl/>
        </w:rPr>
        <w:t xml:space="preserve"> </w:t>
      </w:r>
      <w:r w:rsidR="00243F4A" w:rsidRPr="00FD211F">
        <w:rPr>
          <w:sz w:val="36"/>
          <w:szCs w:val="36"/>
          <w:rtl/>
        </w:rPr>
        <w:t>ليست</w:t>
      </w:r>
      <w:r w:rsidR="00E8128F">
        <w:rPr>
          <w:sz w:val="36"/>
          <w:szCs w:val="36"/>
          <w:rtl/>
        </w:rPr>
        <w:t xml:space="preserve"> </w:t>
      </w:r>
      <w:r w:rsidR="00F22D44" w:rsidRPr="00FD211F">
        <w:rPr>
          <w:sz w:val="36"/>
          <w:szCs w:val="36"/>
          <w:rtl/>
        </w:rPr>
        <w:t>جزئي</w:t>
      </w:r>
      <w:r w:rsidR="00243F4A" w:rsidRPr="00FD211F">
        <w:rPr>
          <w:sz w:val="36"/>
          <w:szCs w:val="36"/>
          <w:rtl/>
        </w:rPr>
        <w:t>ة</w:t>
      </w:r>
      <w:r w:rsidR="00E8128F">
        <w:rPr>
          <w:sz w:val="36"/>
          <w:szCs w:val="36"/>
          <w:rtl/>
        </w:rPr>
        <w:t xml:space="preserve"> </w:t>
      </w:r>
      <w:r w:rsidR="00C36E2A" w:rsidRPr="00FD211F">
        <w:rPr>
          <w:sz w:val="36"/>
          <w:szCs w:val="36"/>
          <w:rtl/>
        </w:rPr>
        <w:t>حقيقي</w:t>
      </w:r>
      <w:r w:rsidR="00EC7EDF" w:rsidRPr="00FD211F">
        <w:rPr>
          <w:sz w:val="36"/>
          <w:szCs w:val="36"/>
          <w:rtl/>
        </w:rPr>
        <w:t>ة</w:t>
      </w:r>
      <w:r w:rsidR="00E8128F">
        <w:rPr>
          <w:sz w:val="36"/>
          <w:szCs w:val="36"/>
          <w:rtl/>
        </w:rPr>
        <w:t xml:space="preserve"> </w:t>
      </w:r>
      <w:r w:rsidR="00243F4A" w:rsidRPr="00FD211F">
        <w:rPr>
          <w:sz w:val="36"/>
          <w:szCs w:val="36"/>
          <w:rtl/>
        </w:rPr>
        <w:t>بل</w:t>
      </w:r>
      <w:r w:rsidR="00E8128F">
        <w:rPr>
          <w:sz w:val="36"/>
          <w:szCs w:val="36"/>
          <w:rtl/>
        </w:rPr>
        <w:t xml:space="preserve"> </w:t>
      </w:r>
      <w:r w:rsidR="00243F4A" w:rsidRPr="00FD211F">
        <w:rPr>
          <w:sz w:val="36"/>
          <w:szCs w:val="36"/>
          <w:rtl/>
        </w:rPr>
        <w:t>جزئية</w:t>
      </w:r>
      <w:r w:rsidR="00E8128F">
        <w:rPr>
          <w:sz w:val="36"/>
          <w:szCs w:val="36"/>
          <w:rtl/>
        </w:rPr>
        <w:t xml:space="preserve"> </w:t>
      </w:r>
      <w:r w:rsidR="00243F4A" w:rsidRPr="00FD211F">
        <w:rPr>
          <w:sz w:val="36"/>
          <w:szCs w:val="36"/>
          <w:rtl/>
        </w:rPr>
        <w:t>طرفية</w:t>
      </w:r>
      <w:r w:rsidR="00E8128F">
        <w:rPr>
          <w:sz w:val="36"/>
          <w:szCs w:val="36"/>
          <w:rtl/>
        </w:rPr>
        <w:t xml:space="preserve"> </w:t>
      </w:r>
      <w:r w:rsidR="00243F4A" w:rsidRPr="00FD211F">
        <w:rPr>
          <w:sz w:val="36"/>
          <w:szCs w:val="36"/>
          <w:rtl/>
        </w:rPr>
        <w:t>اي</w:t>
      </w:r>
      <w:r w:rsidR="00E8128F">
        <w:rPr>
          <w:sz w:val="36"/>
          <w:szCs w:val="36"/>
          <w:rtl/>
        </w:rPr>
        <w:t xml:space="preserve"> </w:t>
      </w:r>
      <w:r w:rsidR="00243F4A" w:rsidRPr="00FD211F">
        <w:rPr>
          <w:sz w:val="36"/>
          <w:szCs w:val="36"/>
          <w:rtl/>
        </w:rPr>
        <w:t>تتقوم</w:t>
      </w:r>
      <w:r w:rsidR="00E8128F">
        <w:rPr>
          <w:sz w:val="36"/>
          <w:szCs w:val="36"/>
          <w:rtl/>
        </w:rPr>
        <w:t xml:space="preserve"> </w:t>
      </w:r>
      <w:r w:rsidR="00243F4A" w:rsidRPr="00FD211F">
        <w:rPr>
          <w:sz w:val="36"/>
          <w:szCs w:val="36"/>
          <w:rtl/>
        </w:rPr>
        <w:t>ذاتها</w:t>
      </w:r>
      <w:r w:rsidR="00E8128F">
        <w:rPr>
          <w:sz w:val="36"/>
          <w:szCs w:val="36"/>
          <w:rtl/>
        </w:rPr>
        <w:t xml:space="preserve"> </w:t>
      </w:r>
      <w:r w:rsidR="00243F4A" w:rsidRPr="00FD211F">
        <w:rPr>
          <w:sz w:val="36"/>
          <w:szCs w:val="36"/>
          <w:rtl/>
        </w:rPr>
        <w:t>ووجودها</w:t>
      </w:r>
      <w:r w:rsidR="00E8128F">
        <w:rPr>
          <w:sz w:val="36"/>
          <w:szCs w:val="36"/>
          <w:rtl/>
        </w:rPr>
        <w:t xml:space="preserve"> </w:t>
      </w:r>
      <w:r w:rsidR="00243F4A" w:rsidRPr="00FD211F">
        <w:rPr>
          <w:sz w:val="36"/>
          <w:szCs w:val="36"/>
          <w:rtl/>
        </w:rPr>
        <w:t>بطرفيها</w:t>
      </w:r>
      <w:r w:rsidR="00E8128F">
        <w:rPr>
          <w:sz w:val="36"/>
          <w:szCs w:val="36"/>
          <w:rtl/>
        </w:rPr>
        <w:t xml:space="preserve"> </w:t>
      </w:r>
      <w:r w:rsidR="00243F4A" w:rsidRPr="00FD211F">
        <w:rPr>
          <w:sz w:val="36"/>
          <w:szCs w:val="36"/>
          <w:rtl/>
        </w:rPr>
        <w:t>بحيث</w:t>
      </w:r>
      <w:r w:rsidR="00E8128F">
        <w:rPr>
          <w:sz w:val="36"/>
          <w:szCs w:val="36"/>
          <w:rtl/>
        </w:rPr>
        <w:t xml:space="preserve"> </w:t>
      </w:r>
      <w:r w:rsidR="00243F4A" w:rsidRPr="00FD211F">
        <w:rPr>
          <w:sz w:val="36"/>
          <w:szCs w:val="36"/>
          <w:rtl/>
        </w:rPr>
        <w:t>لو</w:t>
      </w:r>
      <w:r w:rsidR="00E8128F">
        <w:rPr>
          <w:sz w:val="36"/>
          <w:szCs w:val="36"/>
          <w:rtl/>
        </w:rPr>
        <w:t xml:space="preserve"> </w:t>
      </w:r>
      <w:r w:rsidR="00243F4A" w:rsidRPr="00FD211F">
        <w:rPr>
          <w:sz w:val="36"/>
          <w:szCs w:val="36"/>
          <w:rtl/>
        </w:rPr>
        <w:t>جردت</w:t>
      </w:r>
      <w:r w:rsidR="00E8128F">
        <w:rPr>
          <w:sz w:val="36"/>
          <w:szCs w:val="36"/>
          <w:rtl/>
        </w:rPr>
        <w:t xml:space="preserve"> </w:t>
      </w:r>
      <w:r w:rsidR="00243F4A" w:rsidRPr="00FD211F">
        <w:rPr>
          <w:sz w:val="36"/>
          <w:szCs w:val="36"/>
          <w:rtl/>
        </w:rPr>
        <w:t>عن</w:t>
      </w:r>
      <w:r w:rsidR="00E8128F">
        <w:rPr>
          <w:sz w:val="36"/>
          <w:szCs w:val="36"/>
          <w:rtl/>
        </w:rPr>
        <w:t xml:space="preserve"> </w:t>
      </w:r>
      <w:r w:rsidR="00243F4A" w:rsidRPr="00FD211F">
        <w:rPr>
          <w:sz w:val="36"/>
          <w:szCs w:val="36"/>
          <w:rtl/>
        </w:rPr>
        <w:t>طرفيها</w:t>
      </w:r>
      <w:r w:rsidR="00E8128F">
        <w:rPr>
          <w:sz w:val="36"/>
          <w:szCs w:val="36"/>
          <w:rtl/>
        </w:rPr>
        <w:t xml:space="preserve"> </w:t>
      </w:r>
      <w:r w:rsidR="00243F4A" w:rsidRPr="00FD211F">
        <w:rPr>
          <w:sz w:val="36"/>
          <w:szCs w:val="36"/>
          <w:rtl/>
        </w:rPr>
        <w:t>انعدم</w:t>
      </w:r>
      <w:r w:rsidR="00E8128F">
        <w:rPr>
          <w:sz w:val="36"/>
          <w:szCs w:val="36"/>
          <w:rtl/>
        </w:rPr>
        <w:t xml:space="preserve"> </w:t>
      </w:r>
      <w:r w:rsidR="00243F4A" w:rsidRPr="00FD211F">
        <w:rPr>
          <w:sz w:val="36"/>
          <w:szCs w:val="36"/>
          <w:rtl/>
        </w:rPr>
        <w:t>ذاتها</w:t>
      </w:r>
      <w:r w:rsidR="00603323" w:rsidRPr="00FD211F">
        <w:rPr>
          <w:sz w:val="36"/>
          <w:szCs w:val="36"/>
          <w:rtl/>
        </w:rPr>
        <w:t>،</w:t>
      </w:r>
      <w:r w:rsidR="00E8128F">
        <w:rPr>
          <w:sz w:val="36"/>
          <w:szCs w:val="36"/>
          <w:rtl/>
        </w:rPr>
        <w:t xml:space="preserve"> </w:t>
      </w:r>
      <w:r w:rsidR="00243F4A" w:rsidRPr="00FD211F">
        <w:rPr>
          <w:sz w:val="36"/>
          <w:szCs w:val="36"/>
          <w:rtl/>
        </w:rPr>
        <w:t>وعليه</w:t>
      </w:r>
      <w:r w:rsidR="00E8128F">
        <w:rPr>
          <w:sz w:val="36"/>
          <w:szCs w:val="36"/>
          <w:rtl/>
        </w:rPr>
        <w:t xml:space="preserve"> </w:t>
      </w:r>
      <w:r w:rsidR="00F22D44" w:rsidRPr="00FD211F">
        <w:rPr>
          <w:sz w:val="36"/>
          <w:szCs w:val="36"/>
          <w:rtl/>
        </w:rPr>
        <w:t>فمع</w:t>
      </w:r>
      <w:r w:rsidR="00E8128F">
        <w:rPr>
          <w:sz w:val="36"/>
          <w:szCs w:val="36"/>
          <w:rtl/>
        </w:rPr>
        <w:t xml:space="preserve"> </w:t>
      </w:r>
      <w:r w:rsidR="00CC3973" w:rsidRPr="00FD211F">
        <w:rPr>
          <w:sz w:val="36"/>
          <w:szCs w:val="36"/>
          <w:rtl/>
        </w:rPr>
        <w:t>التحفظ</w:t>
      </w:r>
      <w:r w:rsidR="00E8128F">
        <w:rPr>
          <w:sz w:val="36"/>
          <w:szCs w:val="36"/>
          <w:rtl/>
        </w:rPr>
        <w:t xml:space="preserve"> </w:t>
      </w:r>
      <w:r w:rsidR="00CC3973" w:rsidRPr="00FD211F">
        <w:rPr>
          <w:sz w:val="36"/>
          <w:szCs w:val="36"/>
          <w:rtl/>
        </w:rPr>
        <w:t>على</w:t>
      </w:r>
      <w:r w:rsidR="00E8128F">
        <w:rPr>
          <w:sz w:val="36"/>
          <w:szCs w:val="36"/>
          <w:rtl/>
        </w:rPr>
        <w:t xml:space="preserve"> </w:t>
      </w:r>
      <w:r w:rsidR="00F22D44" w:rsidRPr="00FD211F">
        <w:rPr>
          <w:sz w:val="36"/>
          <w:szCs w:val="36"/>
          <w:rtl/>
        </w:rPr>
        <w:t>طرفي</w:t>
      </w:r>
      <w:r w:rsidR="00E8128F">
        <w:rPr>
          <w:sz w:val="36"/>
          <w:szCs w:val="36"/>
          <w:rtl/>
        </w:rPr>
        <w:t xml:space="preserve"> </w:t>
      </w:r>
      <w:r w:rsidR="00CC3973" w:rsidRPr="00FD211F">
        <w:rPr>
          <w:sz w:val="36"/>
          <w:szCs w:val="36"/>
          <w:rtl/>
        </w:rPr>
        <w:t>النسب</w:t>
      </w:r>
      <w:r w:rsidR="00EC7EDF" w:rsidRPr="00FD211F">
        <w:rPr>
          <w:sz w:val="36"/>
          <w:szCs w:val="36"/>
          <w:rtl/>
        </w:rPr>
        <w:t>ة</w:t>
      </w:r>
      <w:r w:rsidR="00E8128F">
        <w:rPr>
          <w:sz w:val="36"/>
          <w:szCs w:val="36"/>
          <w:rtl/>
        </w:rPr>
        <w:t xml:space="preserve"> </w:t>
      </w:r>
      <w:r w:rsidR="00C36E2A" w:rsidRPr="00FD211F">
        <w:rPr>
          <w:sz w:val="36"/>
          <w:szCs w:val="36"/>
          <w:rtl/>
        </w:rPr>
        <w:t>وعدم</w:t>
      </w:r>
      <w:r w:rsidR="00E8128F">
        <w:rPr>
          <w:sz w:val="36"/>
          <w:szCs w:val="36"/>
          <w:rtl/>
        </w:rPr>
        <w:t xml:space="preserve"> </w:t>
      </w:r>
      <w:r w:rsidR="00C36E2A" w:rsidRPr="00FD211F">
        <w:rPr>
          <w:sz w:val="36"/>
          <w:szCs w:val="36"/>
          <w:rtl/>
        </w:rPr>
        <w:t>تبدلهما</w:t>
      </w:r>
      <w:r w:rsidR="00E8128F">
        <w:rPr>
          <w:sz w:val="36"/>
          <w:szCs w:val="36"/>
          <w:rtl/>
        </w:rPr>
        <w:t xml:space="preserve"> </w:t>
      </w:r>
      <w:r w:rsidR="00F22D44" w:rsidRPr="00FD211F">
        <w:rPr>
          <w:sz w:val="36"/>
          <w:szCs w:val="36"/>
          <w:rtl/>
        </w:rPr>
        <w:t>كما</w:t>
      </w:r>
      <w:r w:rsidR="00E8128F">
        <w:rPr>
          <w:sz w:val="36"/>
          <w:szCs w:val="36"/>
          <w:rtl/>
        </w:rPr>
        <w:t xml:space="preserve"> </w:t>
      </w:r>
      <w:r w:rsidR="00F22D44" w:rsidRPr="00FD211F">
        <w:rPr>
          <w:sz w:val="36"/>
          <w:szCs w:val="36"/>
          <w:rtl/>
        </w:rPr>
        <w:t>هو</w:t>
      </w:r>
      <w:r w:rsidR="00E8128F">
        <w:rPr>
          <w:sz w:val="36"/>
          <w:szCs w:val="36"/>
          <w:rtl/>
        </w:rPr>
        <w:t xml:space="preserve"> </w:t>
      </w:r>
      <w:r w:rsidR="00F22D44" w:rsidRPr="00FD211F">
        <w:rPr>
          <w:sz w:val="36"/>
          <w:szCs w:val="36"/>
          <w:rtl/>
        </w:rPr>
        <w:t>المفروض</w:t>
      </w:r>
      <w:r w:rsidR="00E8128F">
        <w:rPr>
          <w:sz w:val="36"/>
          <w:szCs w:val="36"/>
          <w:rtl/>
        </w:rPr>
        <w:t xml:space="preserve"> </w:t>
      </w:r>
      <w:r w:rsidR="00F22D44" w:rsidRPr="00FD211F">
        <w:rPr>
          <w:sz w:val="36"/>
          <w:szCs w:val="36"/>
          <w:rtl/>
        </w:rPr>
        <w:t>في</w:t>
      </w:r>
      <w:r w:rsidR="00E8128F">
        <w:rPr>
          <w:sz w:val="36"/>
          <w:szCs w:val="36"/>
          <w:rtl/>
        </w:rPr>
        <w:t xml:space="preserve"> </w:t>
      </w:r>
      <w:r w:rsidR="00F22D44" w:rsidRPr="00FD211F">
        <w:rPr>
          <w:sz w:val="36"/>
          <w:szCs w:val="36"/>
          <w:rtl/>
        </w:rPr>
        <w:t>اي</w:t>
      </w:r>
      <w:r w:rsidR="00E8128F">
        <w:rPr>
          <w:sz w:val="36"/>
          <w:szCs w:val="36"/>
          <w:rtl/>
        </w:rPr>
        <w:t xml:space="preserve"> </w:t>
      </w:r>
      <w:r w:rsidR="00F22D44" w:rsidRPr="00FD211F">
        <w:rPr>
          <w:sz w:val="36"/>
          <w:szCs w:val="36"/>
          <w:rtl/>
        </w:rPr>
        <w:t>مشتق</w:t>
      </w:r>
      <w:r w:rsidR="00E8128F">
        <w:rPr>
          <w:sz w:val="36"/>
          <w:szCs w:val="36"/>
          <w:rtl/>
        </w:rPr>
        <w:t xml:space="preserve"> </w:t>
      </w:r>
      <w:r w:rsidR="00CC3973" w:rsidRPr="00FD211F">
        <w:rPr>
          <w:sz w:val="36"/>
          <w:szCs w:val="36"/>
          <w:rtl/>
        </w:rPr>
        <w:t>فذات</w:t>
      </w:r>
      <w:r w:rsidR="00E8128F">
        <w:rPr>
          <w:sz w:val="36"/>
          <w:szCs w:val="36"/>
          <w:rtl/>
        </w:rPr>
        <w:t xml:space="preserve"> </w:t>
      </w:r>
      <w:r w:rsidR="00CC3973" w:rsidRPr="00FD211F">
        <w:rPr>
          <w:sz w:val="36"/>
          <w:szCs w:val="36"/>
          <w:rtl/>
        </w:rPr>
        <w:t>النسب</w:t>
      </w:r>
      <w:r w:rsidR="00EC7EDF" w:rsidRPr="00FD211F">
        <w:rPr>
          <w:sz w:val="36"/>
          <w:szCs w:val="36"/>
          <w:rtl/>
        </w:rPr>
        <w:t>ة</w:t>
      </w:r>
      <w:r w:rsidR="00E8128F">
        <w:rPr>
          <w:sz w:val="36"/>
          <w:szCs w:val="36"/>
          <w:rtl/>
        </w:rPr>
        <w:t xml:space="preserve"> </w:t>
      </w:r>
      <w:r w:rsidR="00CC3973" w:rsidRPr="00FD211F">
        <w:rPr>
          <w:sz w:val="36"/>
          <w:szCs w:val="36"/>
          <w:rtl/>
        </w:rPr>
        <w:t>المتقوم</w:t>
      </w:r>
      <w:r w:rsidR="00EC7EDF" w:rsidRPr="00FD211F">
        <w:rPr>
          <w:sz w:val="36"/>
          <w:szCs w:val="36"/>
          <w:rtl/>
        </w:rPr>
        <w:t>ة</w:t>
      </w:r>
      <w:r w:rsidR="00E8128F">
        <w:rPr>
          <w:sz w:val="36"/>
          <w:szCs w:val="36"/>
          <w:rtl/>
        </w:rPr>
        <w:t xml:space="preserve"> </w:t>
      </w:r>
      <w:r w:rsidR="00CC3973" w:rsidRPr="00FD211F">
        <w:rPr>
          <w:sz w:val="36"/>
          <w:szCs w:val="36"/>
          <w:rtl/>
        </w:rPr>
        <w:t>به</w:t>
      </w:r>
      <w:r w:rsidR="00F22D44" w:rsidRPr="00FD211F">
        <w:rPr>
          <w:sz w:val="36"/>
          <w:szCs w:val="36"/>
          <w:rtl/>
        </w:rPr>
        <w:t>م</w:t>
      </w:r>
      <w:r w:rsidR="00CC3973" w:rsidRPr="00FD211F">
        <w:rPr>
          <w:sz w:val="36"/>
          <w:szCs w:val="36"/>
          <w:rtl/>
        </w:rPr>
        <w:t>ا</w:t>
      </w:r>
      <w:r w:rsidR="00E8128F">
        <w:rPr>
          <w:sz w:val="36"/>
          <w:szCs w:val="36"/>
          <w:rtl/>
        </w:rPr>
        <w:t xml:space="preserve"> </w:t>
      </w:r>
      <w:r w:rsidR="00F22D44" w:rsidRPr="00FD211F">
        <w:rPr>
          <w:sz w:val="36"/>
          <w:szCs w:val="36"/>
          <w:rtl/>
        </w:rPr>
        <w:t>ت</w:t>
      </w:r>
      <w:r w:rsidR="00C36E2A" w:rsidRPr="00FD211F">
        <w:rPr>
          <w:sz w:val="36"/>
          <w:szCs w:val="36"/>
          <w:rtl/>
        </w:rPr>
        <w:t>كون</w:t>
      </w:r>
      <w:r w:rsidR="00E8128F">
        <w:rPr>
          <w:sz w:val="36"/>
          <w:szCs w:val="36"/>
          <w:rtl/>
        </w:rPr>
        <w:t xml:space="preserve"> </w:t>
      </w:r>
      <w:r w:rsidR="00C36E2A" w:rsidRPr="00FD211F">
        <w:rPr>
          <w:sz w:val="36"/>
          <w:szCs w:val="36"/>
          <w:rtl/>
        </w:rPr>
        <w:t>محفوظ</w:t>
      </w:r>
      <w:r w:rsidR="00EC7EDF" w:rsidRPr="00FD211F">
        <w:rPr>
          <w:sz w:val="36"/>
          <w:szCs w:val="36"/>
          <w:rtl/>
        </w:rPr>
        <w:t>ة</w:t>
      </w:r>
      <w:r w:rsidR="00603323" w:rsidRPr="00FD211F">
        <w:rPr>
          <w:sz w:val="36"/>
          <w:szCs w:val="36"/>
          <w:rtl/>
        </w:rPr>
        <w:t>،</w:t>
      </w:r>
      <w:r w:rsidR="00E8128F">
        <w:rPr>
          <w:sz w:val="36"/>
          <w:szCs w:val="36"/>
          <w:rtl/>
        </w:rPr>
        <w:t xml:space="preserve"> </w:t>
      </w:r>
      <w:r w:rsidR="00F22D44" w:rsidRPr="00FD211F">
        <w:rPr>
          <w:sz w:val="36"/>
          <w:szCs w:val="36"/>
          <w:rtl/>
        </w:rPr>
        <w:t>فلايمنع</w:t>
      </w:r>
      <w:r w:rsidR="00E8128F">
        <w:rPr>
          <w:sz w:val="36"/>
          <w:szCs w:val="36"/>
          <w:rtl/>
        </w:rPr>
        <w:t xml:space="preserve"> </w:t>
      </w:r>
      <w:r w:rsidR="00F22D44" w:rsidRPr="00FD211F">
        <w:rPr>
          <w:sz w:val="36"/>
          <w:szCs w:val="36"/>
          <w:rtl/>
        </w:rPr>
        <w:t>ذلك</w:t>
      </w:r>
      <w:r w:rsidR="00E8128F">
        <w:rPr>
          <w:sz w:val="36"/>
          <w:szCs w:val="36"/>
          <w:rtl/>
        </w:rPr>
        <w:t xml:space="preserve"> </w:t>
      </w:r>
      <w:r w:rsidR="00F22D44" w:rsidRPr="00FD211F">
        <w:rPr>
          <w:sz w:val="36"/>
          <w:szCs w:val="36"/>
          <w:rtl/>
        </w:rPr>
        <w:t>من</w:t>
      </w:r>
      <w:r w:rsidR="00E8128F">
        <w:rPr>
          <w:sz w:val="36"/>
          <w:szCs w:val="36"/>
          <w:rtl/>
        </w:rPr>
        <w:t xml:space="preserve"> </w:t>
      </w:r>
      <w:r w:rsidR="00F22D44" w:rsidRPr="00FD211F">
        <w:rPr>
          <w:sz w:val="36"/>
          <w:szCs w:val="36"/>
          <w:rtl/>
        </w:rPr>
        <w:t>وجود</w:t>
      </w:r>
      <w:r w:rsidR="00E8128F">
        <w:rPr>
          <w:sz w:val="36"/>
          <w:szCs w:val="36"/>
          <w:rtl/>
        </w:rPr>
        <w:t xml:space="preserve"> </w:t>
      </w:r>
      <w:r w:rsidR="00F22D44" w:rsidRPr="00FD211F">
        <w:rPr>
          <w:sz w:val="36"/>
          <w:szCs w:val="36"/>
          <w:rtl/>
        </w:rPr>
        <w:t>جامع</w:t>
      </w:r>
      <w:r w:rsidR="00E8128F">
        <w:rPr>
          <w:sz w:val="36"/>
          <w:szCs w:val="36"/>
          <w:rtl/>
        </w:rPr>
        <w:t xml:space="preserve"> </w:t>
      </w:r>
      <w:r w:rsidR="00F22D44" w:rsidRPr="00FD211F">
        <w:rPr>
          <w:sz w:val="36"/>
          <w:szCs w:val="36"/>
          <w:rtl/>
        </w:rPr>
        <w:t>يوضع</w:t>
      </w:r>
      <w:r w:rsidR="00E8128F">
        <w:rPr>
          <w:sz w:val="36"/>
          <w:szCs w:val="36"/>
          <w:rtl/>
        </w:rPr>
        <w:t xml:space="preserve"> </w:t>
      </w:r>
      <w:r w:rsidR="00F22D44" w:rsidRPr="00FD211F">
        <w:rPr>
          <w:sz w:val="36"/>
          <w:szCs w:val="36"/>
          <w:rtl/>
        </w:rPr>
        <w:t>له</w:t>
      </w:r>
      <w:r w:rsidR="00E8128F">
        <w:rPr>
          <w:sz w:val="36"/>
          <w:szCs w:val="36"/>
          <w:rtl/>
        </w:rPr>
        <w:t xml:space="preserve"> </w:t>
      </w:r>
      <w:r w:rsidR="00F22D44" w:rsidRPr="00FD211F">
        <w:rPr>
          <w:sz w:val="36"/>
          <w:szCs w:val="36"/>
          <w:rtl/>
        </w:rPr>
        <w:t>لفظ</w:t>
      </w:r>
      <w:r w:rsidR="00E8128F">
        <w:rPr>
          <w:sz w:val="36"/>
          <w:szCs w:val="36"/>
          <w:rtl/>
        </w:rPr>
        <w:t xml:space="preserve"> </w:t>
      </w:r>
      <w:r w:rsidR="00F22D44" w:rsidRPr="00FD211F">
        <w:rPr>
          <w:sz w:val="36"/>
          <w:szCs w:val="36"/>
          <w:rtl/>
        </w:rPr>
        <w:t>المشتق</w:t>
      </w:r>
      <w:r w:rsidR="00E8128F">
        <w:rPr>
          <w:sz w:val="36"/>
          <w:szCs w:val="36"/>
          <w:rtl/>
        </w:rPr>
        <w:t xml:space="preserve"> </w:t>
      </w:r>
      <w:r w:rsidR="00F22D44" w:rsidRPr="00FD211F">
        <w:rPr>
          <w:sz w:val="36"/>
          <w:szCs w:val="36"/>
          <w:rtl/>
        </w:rPr>
        <w:t>كالعالم</w:t>
      </w:r>
      <w:r w:rsidR="00E8128F">
        <w:rPr>
          <w:sz w:val="36"/>
          <w:szCs w:val="36"/>
          <w:rtl/>
        </w:rPr>
        <w:t xml:space="preserve"> </w:t>
      </w:r>
      <w:r w:rsidR="00F22D44" w:rsidRPr="00FD211F">
        <w:rPr>
          <w:sz w:val="36"/>
          <w:szCs w:val="36"/>
          <w:rtl/>
        </w:rPr>
        <w:t>مثلا</w:t>
      </w:r>
      <w:r w:rsidR="00CC3973" w:rsidRPr="00FD211F">
        <w:rPr>
          <w:sz w:val="36"/>
          <w:szCs w:val="36"/>
          <w:rtl/>
        </w:rPr>
        <w:t>.</w:t>
      </w:r>
    </w:p>
    <w:p w14:paraId="286097A8" w14:textId="77777777" w:rsidR="00F22D44" w:rsidRPr="00FD211F" w:rsidRDefault="00CC3973" w:rsidP="009C58C8">
      <w:pPr>
        <w:ind w:left="0" w:firstLine="227"/>
        <w:jc w:val="both"/>
        <w:rPr>
          <w:sz w:val="36"/>
          <w:szCs w:val="36"/>
          <w:rtl/>
        </w:rPr>
      </w:pPr>
      <w:r w:rsidRPr="00FD211F">
        <w:rPr>
          <w:sz w:val="36"/>
          <w:szCs w:val="36"/>
          <w:rtl/>
        </w:rPr>
        <w:t>اما</w:t>
      </w:r>
      <w:r w:rsidR="00E8128F">
        <w:rPr>
          <w:sz w:val="36"/>
          <w:szCs w:val="36"/>
          <w:rtl/>
        </w:rPr>
        <w:t xml:space="preserve"> </w:t>
      </w:r>
      <w:r w:rsidRPr="00FD211F">
        <w:rPr>
          <w:sz w:val="36"/>
          <w:szCs w:val="36"/>
          <w:rtl/>
        </w:rPr>
        <w:t>تصوير</w:t>
      </w:r>
      <w:r w:rsidR="00E8128F">
        <w:rPr>
          <w:sz w:val="36"/>
          <w:szCs w:val="36"/>
          <w:rtl/>
        </w:rPr>
        <w:t xml:space="preserve"> </w:t>
      </w:r>
      <w:r w:rsidRPr="00FD211F">
        <w:rPr>
          <w:sz w:val="36"/>
          <w:szCs w:val="36"/>
          <w:rtl/>
        </w:rPr>
        <w:t>الجامع</w:t>
      </w:r>
      <w:r w:rsidR="00E8128F">
        <w:rPr>
          <w:sz w:val="36"/>
          <w:szCs w:val="36"/>
          <w:rtl/>
        </w:rPr>
        <w:t xml:space="preserve"> </w:t>
      </w:r>
      <w:r w:rsidRPr="00FD211F">
        <w:rPr>
          <w:sz w:val="36"/>
          <w:szCs w:val="36"/>
          <w:rtl/>
        </w:rPr>
        <w:t>للأعم</w:t>
      </w:r>
      <w:r w:rsidR="00E8128F">
        <w:rPr>
          <w:sz w:val="36"/>
          <w:szCs w:val="36"/>
          <w:rtl/>
        </w:rPr>
        <w:t xml:space="preserve"> </w:t>
      </w:r>
      <w:r w:rsidR="00F22D44" w:rsidRPr="00FD211F">
        <w:rPr>
          <w:sz w:val="36"/>
          <w:szCs w:val="36"/>
          <w:rtl/>
        </w:rPr>
        <w:t>من</w:t>
      </w:r>
      <w:r w:rsidR="00E8128F">
        <w:rPr>
          <w:sz w:val="36"/>
          <w:szCs w:val="36"/>
          <w:rtl/>
        </w:rPr>
        <w:t xml:space="preserve"> </w:t>
      </w:r>
      <w:r w:rsidR="00F22D44" w:rsidRPr="00FD211F">
        <w:rPr>
          <w:sz w:val="36"/>
          <w:szCs w:val="36"/>
          <w:rtl/>
        </w:rPr>
        <w:t>المتلبس</w:t>
      </w:r>
      <w:r w:rsidR="00E8128F">
        <w:rPr>
          <w:sz w:val="36"/>
          <w:szCs w:val="36"/>
          <w:rtl/>
        </w:rPr>
        <w:t xml:space="preserve"> </w:t>
      </w:r>
      <w:r w:rsidR="00F22D44" w:rsidRPr="00FD211F">
        <w:rPr>
          <w:sz w:val="36"/>
          <w:szCs w:val="36"/>
          <w:rtl/>
        </w:rPr>
        <w:t>بال</w:t>
      </w:r>
      <w:r w:rsidR="0079493B" w:rsidRPr="00FD211F">
        <w:rPr>
          <w:sz w:val="36"/>
          <w:szCs w:val="36"/>
          <w:rtl/>
        </w:rPr>
        <w:t>مبدأ</w:t>
      </w:r>
      <w:r w:rsidR="00E8128F">
        <w:rPr>
          <w:sz w:val="36"/>
          <w:szCs w:val="36"/>
          <w:rtl/>
        </w:rPr>
        <w:t xml:space="preserve"> </w:t>
      </w:r>
      <w:r w:rsidR="00F22D44" w:rsidRPr="00FD211F">
        <w:rPr>
          <w:sz w:val="36"/>
          <w:szCs w:val="36"/>
          <w:rtl/>
        </w:rPr>
        <w:t>ومن</w:t>
      </w:r>
      <w:r w:rsidR="00E8128F">
        <w:rPr>
          <w:sz w:val="36"/>
          <w:szCs w:val="36"/>
          <w:rtl/>
        </w:rPr>
        <w:t xml:space="preserve"> </w:t>
      </w:r>
      <w:r w:rsidR="00F22D44" w:rsidRPr="00FD211F">
        <w:rPr>
          <w:sz w:val="36"/>
          <w:szCs w:val="36"/>
          <w:rtl/>
        </w:rPr>
        <w:t>انقضى</w:t>
      </w:r>
      <w:r w:rsidR="00E8128F">
        <w:rPr>
          <w:sz w:val="36"/>
          <w:szCs w:val="36"/>
          <w:rtl/>
        </w:rPr>
        <w:t xml:space="preserve"> </w:t>
      </w:r>
      <w:r w:rsidR="00F22D44" w:rsidRPr="00FD211F">
        <w:rPr>
          <w:sz w:val="36"/>
          <w:szCs w:val="36"/>
          <w:rtl/>
        </w:rPr>
        <w:t>عنه</w:t>
      </w:r>
      <w:r w:rsidR="00E8128F">
        <w:rPr>
          <w:sz w:val="36"/>
          <w:szCs w:val="36"/>
          <w:rtl/>
        </w:rPr>
        <w:t xml:space="preserve"> </w:t>
      </w:r>
      <w:r w:rsidR="00F22D44"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فقد</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النائيني</w:t>
      </w:r>
      <w:r w:rsidR="00E8128F">
        <w:rPr>
          <w:sz w:val="36"/>
          <w:szCs w:val="36"/>
          <w:rtl/>
        </w:rPr>
        <w:t xml:space="preserve"> </w:t>
      </w:r>
      <w:r w:rsidR="00886377" w:rsidRPr="00FD211F">
        <w:rPr>
          <w:sz w:val="36"/>
          <w:szCs w:val="36"/>
          <w:rtl/>
        </w:rPr>
        <w:t>"</w:t>
      </w:r>
      <w:r w:rsidRPr="00FD211F">
        <w:rPr>
          <w:sz w:val="36"/>
          <w:szCs w:val="36"/>
          <w:rtl/>
        </w:rPr>
        <w:t>قده</w:t>
      </w:r>
      <w:r w:rsidR="00886377" w:rsidRPr="00FD211F">
        <w:rPr>
          <w:sz w:val="36"/>
          <w:szCs w:val="36"/>
          <w:rtl/>
        </w:rPr>
        <w:t>"</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000808B9" w:rsidRPr="00FD211F">
        <w:rPr>
          <w:sz w:val="36"/>
          <w:szCs w:val="36"/>
          <w:rtl/>
        </w:rPr>
        <w:t>ماهو</w:t>
      </w:r>
      <w:r w:rsidR="00E8128F">
        <w:rPr>
          <w:sz w:val="36"/>
          <w:szCs w:val="36"/>
          <w:rtl/>
        </w:rPr>
        <w:t xml:space="preserve"> </w:t>
      </w:r>
      <w:r w:rsidR="000808B9" w:rsidRPr="00FD211F">
        <w:rPr>
          <w:sz w:val="36"/>
          <w:szCs w:val="36"/>
          <w:rtl/>
        </w:rPr>
        <w:t>الصحيح</w:t>
      </w:r>
      <w:r w:rsidR="00E8128F">
        <w:rPr>
          <w:sz w:val="36"/>
          <w:szCs w:val="36"/>
          <w:rtl/>
        </w:rPr>
        <w:t xml:space="preserve"> </w:t>
      </w:r>
      <w:r w:rsidR="000808B9" w:rsidRPr="00FD211F">
        <w:rPr>
          <w:sz w:val="36"/>
          <w:szCs w:val="36"/>
          <w:rtl/>
        </w:rPr>
        <w:t>من</w:t>
      </w:r>
      <w:r w:rsidR="00E8128F">
        <w:rPr>
          <w:sz w:val="36"/>
          <w:szCs w:val="36"/>
          <w:rtl/>
        </w:rPr>
        <w:t xml:space="preserve"> </w:t>
      </w:r>
      <w:r w:rsidRPr="00FD211F">
        <w:rPr>
          <w:sz w:val="36"/>
          <w:szCs w:val="36"/>
          <w:rtl/>
        </w:rPr>
        <w:t>بساط</w:t>
      </w:r>
      <w:r w:rsidR="00EC7EDF" w:rsidRPr="00FD211F">
        <w:rPr>
          <w:sz w:val="36"/>
          <w:szCs w:val="36"/>
          <w:rtl/>
        </w:rPr>
        <w:t>ة</w:t>
      </w:r>
      <w:r w:rsidR="00E8128F">
        <w:rPr>
          <w:sz w:val="36"/>
          <w:szCs w:val="36"/>
          <w:rtl/>
        </w:rPr>
        <w:t xml:space="preserve"> </w:t>
      </w:r>
      <w:r w:rsidRPr="00FD211F">
        <w:rPr>
          <w:sz w:val="36"/>
          <w:szCs w:val="36"/>
          <w:rtl/>
        </w:rPr>
        <w:t>المشتق</w:t>
      </w:r>
      <w:r w:rsidR="00E8128F">
        <w:rPr>
          <w:sz w:val="36"/>
          <w:szCs w:val="36"/>
          <w:rtl/>
        </w:rPr>
        <w:t xml:space="preserve"> </w:t>
      </w:r>
      <w:r w:rsidR="000808B9" w:rsidRPr="00FD211F">
        <w:rPr>
          <w:sz w:val="36"/>
          <w:szCs w:val="36"/>
          <w:rtl/>
        </w:rPr>
        <w:t>ف</w:t>
      </w:r>
      <w:r w:rsidR="00F22D44" w:rsidRPr="00FD211F">
        <w:rPr>
          <w:sz w:val="36"/>
          <w:szCs w:val="36"/>
          <w:rtl/>
        </w:rPr>
        <w:t>لايتصور</w:t>
      </w:r>
      <w:r w:rsidR="00E8128F">
        <w:rPr>
          <w:sz w:val="36"/>
          <w:szCs w:val="36"/>
          <w:rtl/>
        </w:rPr>
        <w:t xml:space="preserve"> </w:t>
      </w:r>
      <w:r w:rsidRPr="00FD211F">
        <w:rPr>
          <w:sz w:val="36"/>
          <w:szCs w:val="36"/>
          <w:rtl/>
        </w:rPr>
        <w:t>الجامع</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w:t>
      </w:r>
      <w:r w:rsidR="00C36E2A" w:rsidRPr="00FD211F">
        <w:rPr>
          <w:sz w:val="36"/>
          <w:szCs w:val="36"/>
          <w:rtl/>
        </w:rPr>
        <w:t>ى</w:t>
      </w:r>
      <w:r w:rsidR="00E8128F">
        <w:rPr>
          <w:sz w:val="36"/>
          <w:szCs w:val="36"/>
          <w:rtl/>
        </w:rPr>
        <w:t xml:space="preserve"> </w:t>
      </w:r>
      <w:r w:rsidR="00C36E2A" w:rsidRPr="00FD211F">
        <w:rPr>
          <w:sz w:val="36"/>
          <w:szCs w:val="36"/>
          <w:rtl/>
        </w:rPr>
        <w:t>بساطته</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الملحوظ</w:t>
      </w:r>
      <w:r w:rsidR="00E8128F">
        <w:rPr>
          <w:sz w:val="36"/>
          <w:szCs w:val="36"/>
          <w:rtl/>
        </w:rPr>
        <w:t xml:space="preserve"> </w:t>
      </w:r>
      <w:r w:rsidRPr="00FD211F">
        <w:rPr>
          <w:sz w:val="36"/>
          <w:szCs w:val="36"/>
          <w:rtl/>
        </w:rPr>
        <w:t>لابشرط</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الحمل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الذات</w:t>
      </w:r>
      <w:r w:rsidR="00603323" w:rsidRPr="00FD211F">
        <w:rPr>
          <w:sz w:val="36"/>
          <w:szCs w:val="36"/>
          <w:rtl/>
        </w:rPr>
        <w:t>،</w:t>
      </w:r>
      <w:r w:rsidR="00E8128F">
        <w:rPr>
          <w:sz w:val="36"/>
          <w:szCs w:val="36"/>
          <w:rtl/>
        </w:rPr>
        <w:t xml:space="preserve"> </w:t>
      </w:r>
      <w:r w:rsidR="00C36E2A" w:rsidRPr="00FD211F">
        <w:rPr>
          <w:sz w:val="36"/>
          <w:szCs w:val="36"/>
          <w:rtl/>
        </w:rPr>
        <w:t>فالمشتق</w:t>
      </w:r>
      <w:r w:rsidR="00E8128F">
        <w:rPr>
          <w:sz w:val="36"/>
          <w:szCs w:val="36"/>
          <w:rtl/>
        </w:rPr>
        <w:t xml:space="preserve"> </w:t>
      </w:r>
      <w:r w:rsidR="00C36E2A" w:rsidRPr="00FD211F">
        <w:rPr>
          <w:sz w:val="36"/>
          <w:szCs w:val="36"/>
          <w:rtl/>
        </w:rPr>
        <w:t>ملازم</w:t>
      </w:r>
      <w:r w:rsidR="00E8128F">
        <w:rPr>
          <w:sz w:val="36"/>
          <w:szCs w:val="36"/>
          <w:rtl/>
        </w:rPr>
        <w:t xml:space="preserve"> </w:t>
      </w:r>
      <w:r w:rsidR="00C36E2A" w:rsidRPr="00FD211F">
        <w:rPr>
          <w:sz w:val="36"/>
          <w:szCs w:val="36"/>
          <w:rtl/>
        </w:rPr>
        <w:t>لصدق</w:t>
      </w:r>
      <w:r w:rsidR="00E8128F">
        <w:rPr>
          <w:sz w:val="36"/>
          <w:szCs w:val="36"/>
          <w:rtl/>
        </w:rPr>
        <w:t xml:space="preserve"> </w:t>
      </w:r>
      <w:r w:rsidR="00C36E2A" w:rsidRPr="00FD211F">
        <w:rPr>
          <w:sz w:val="36"/>
          <w:szCs w:val="36"/>
          <w:rtl/>
        </w:rPr>
        <w:t>نفس</w:t>
      </w:r>
      <w:r w:rsidR="00E8128F">
        <w:rPr>
          <w:sz w:val="36"/>
          <w:szCs w:val="36"/>
          <w:rtl/>
        </w:rPr>
        <w:t xml:space="preserve"> </w:t>
      </w:r>
      <w:r w:rsidR="00C36E2A" w:rsidRPr="00FD211F">
        <w:rPr>
          <w:sz w:val="36"/>
          <w:szCs w:val="36"/>
          <w:rtl/>
        </w:rPr>
        <w:t>ال</w:t>
      </w:r>
      <w:r w:rsidR="0079493B" w:rsidRPr="00FD211F">
        <w:rPr>
          <w:sz w:val="36"/>
          <w:szCs w:val="36"/>
          <w:rtl/>
        </w:rPr>
        <w:t>مبدأ</w:t>
      </w:r>
      <w:r w:rsidR="00E8128F">
        <w:rPr>
          <w:sz w:val="36"/>
          <w:szCs w:val="36"/>
          <w:rtl/>
        </w:rPr>
        <w:t xml:space="preserve"> </w:t>
      </w:r>
      <w:r w:rsidR="00C36E2A" w:rsidRPr="00FD211F">
        <w:rPr>
          <w:sz w:val="36"/>
          <w:szCs w:val="36"/>
          <w:rtl/>
        </w:rPr>
        <w:t>ومع</w:t>
      </w:r>
      <w:r w:rsidR="00E8128F">
        <w:rPr>
          <w:sz w:val="36"/>
          <w:szCs w:val="36"/>
          <w:rtl/>
        </w:rPr>
        <w:t xml:space="preserve"> </w:t>
      </w:r>
      <w:r w:rsidR="00C36E2A" w:rsidRPr="00FD211F">
        <w:rPr>
          <w:sz w:val="36"/>
          <w:szCs w:val="36"/>
          <w:rtl/>
        </w:rPr>
        <w:t>انتفاء</w:t>
      </w:r>
      <w:r w:rsidR="00E8128F">
        <w:rPr>
          <w:sz w:val="36"/>
          <w:szCs w:val="36"/>
          <w:rtl/>
        </w:rPr>
        <w:t xml:space="preserve"> </w:t>
      </w:r>
      <w:r w:rsidR="00C36E2A" w:rsidRPr="00FD211F">
        <w:rPr>
          <w:sz w:val="36"/>
          <w:szCs w:val="36"/>
          <w:rtl/>
        </w:rPr>
        <w:t>ال</w:t>
      </w:r>
      <w:r w:rsidR="0079493B" w:rsidRPr="00FD211F">
        <w:rPr>
          <w:sz w:val="36"/>
          <w:szCs w:val="36"/>
          <w:rtl/>
        </w:rPr>
        <w:t>مبدأ</w:t>
      </w:r>
      <w:r w:rsidR="00E8128F">
        <w:rPr>
          <w:sz w:val="36"/>
          <w:szCs w:val="36"/>
          <w:rtl/>
        </w:rPr>
        <w:t xml:space="preserve"> </w:t>
      </w:r>
      <w:r w:rsidR="00C36E2A" w:rsidRPr="00FD211F">
        <w:rPr>
          <w:sz w:val="36"/>
          <w:szCs w:val="36"/>
          <w:rtl/>
        </w:rPr>
        <w:t>ينتفي</w:t>
      </w:r>
      <w:r w:rsidR="00E8128F">
        <w:rPr>
          <w:sz w:val="36"/>
          <w:szCs w:val="36"/>
          <w:rtl/>
        </w:rPr>
        <w:t xml:space="preserve"> </w:t>
      </w:r>
      <w:r w:rsidR="00C36E2A" w:rsidRPr="00FD211F">
        <w:rPr>
          <w:sz w:val="36"/>
          <w:szCs w:val="36"/>
          <w:rtl/>
        </w:rPr>
        <w:t>المشتق</w:t>
      </w:r>
      <w:r w:rsidR="00E8128F">
        <w:rPr>
          <w:sz w:val="36"/>
          <w:szCs w:val="36"/>
          <w:rtl/>
        </w:rPr>
        <w:t xml:space="preserve"> </w:t>
      </w:r>
      <w:r w:rsidR="00C36E2A" w:rsidRPr="00FD211F">
        <w:rPr>
          <w:sz w:val="36"/>
          <w:szCs w:val="36"/>
          <w:rtl/>
        </w:rPr>
        <w:t>ويكون</w:t>
      </w:r>
      <w:r w:rsidR="00E8128F">
        <w:rPr>
          <w:sz w:val="36"/>
          <w:szCs w:val="36"/>
          <w:rtl/>
        </w:rPr>
        <w:t xml:space="preserve"> </w:t>
      </w:r>
      <w:r w:rsidR="00C36E2A" w:rsidRPr="00FD211F">
        <w:rPr>
          <w:sz w:val="36"/>
          <w:szCs w:val="36"/>
          <w:rtl/>
        </w:rPr>
        <w:t>حاله</w:t>
      </w:r>
      <w:r w:rsidR="00E8128F">
        <w:rPr>
          <w:sz w:val="36"/>
          <w:szCs w:val="36"/>
          <w:rtl/>
        </w:rPr>
        <w:t xml:space="preserve"> </w:t>
      </w:r>
      <w:r w:rsidR="00C36E2A" w:rsidRPr="00FD211F">
        <w:rPr>
          <w:sz w:val="36"/>
          <w:szCs w:val="36"/>
          <w:rtl/>
        </w:rPr>
        <w:t>حال</w:t>
      </w:r>
      <w:r w:rsidR="00E8128F">
        <w:rPr>
          <w:sz w:val="36"/>
          <w:szCs w:val="36"/>
          <w:rtl/>
        </w:rPr>
        <w:t xml:space="preserve"> </w:t>
      </w:r>
      <w:r w:rsidR="00C36E2A" w:rsidRPr="00FD211F">
        <w:rPr>
          <w:sz w:val="36"/>
          <w:szCs w:val="36"/>
          <w:rtl/>
        </w:rPr>
        <w:t>الإسم</w:t>
      </w:r>
      <w:r w:rsidR="00E8128F">
        <w:rPr>
          <w:sz w:val="36"/>
          <w:szCs w:val="36"/>
          <w:rtl/>
        </w:rPr>
        <w:t xml:space="preserve"> </w:t>
      </w:r>
      <w:r w:rsidR="00C36E2A" w:rsidRPr="00FD211F">
        <w:rPr>
          <w:sz w:val="36"/>
          <w:szCs w:val="36"/>
          <w:rtl/>
        </w:rPr>
        <w:t>الجامد</w:t>
      </w:r>
      <w:r w:rsidR="00E8128F">
        <w:rPr>
          <w:sz w:val="36"/>
          <w:szCs w:val="36"/>
          <w:rtl/>
        </w:rPr>
        <w:t xml:space="preserve"> </w:t>
      </w:r>
      <w:r w:rsidR="00C36E2A" w:rsidRPr="00FD211F">
        <w:rPr>
          <w:sz w:val="36"/>
          <w:szCs w:val="36"/>
          <w:rtl/>
        </w:rPr>
        <w:t>في</w:t>
      </w:r>
      <w:r w:rsidR="00E8128F">
        <w:rPr>
          <w:sz w:val="36"/>
          <w:szCs w:val="36"/>
          <w:rtl/>
        </w:rPr>
        <w:t xml:space="preserve"> </w:t>
      </w:r>
      <w:r w:rsidR="00C36E2A" w:rsidRPr="00FD211F">
        <w:rPr>
          <w:sz w:val="36"/>
          <w:szCs w:val="36"/>
          <w:rtl/>
        </w:rPr>
        <w:t>ان</w:t>
      </w:r>
      <w:r w:rsidR="00E8128F">
        <w:rPr>
          <w:sz w:val="36"/>
          <w:szCs w:val="36"/>
          <w:rtl/>
        </w:rPr>
        <w:t xml:space="preserve"> </w:t>
      </w:r>
      <w:r w:rsidR="00C36E2A" w:rsidRPr="00FD211F">
        <w:rPr>
          <w:sz w:val="36"/>
          <w:szCs w:val="36"/>
          <w:rtl/>
        </w:rPr>
        <w:t>المدار</w:t>
      </w:r>
      <w:r w:rsidR="00E8128F">
        <w:rPr>
          <w:sz w:val="36"/>
          <w:szCs w:val="36"/>
          <w:rtl/>
        </w:rPr>
        <w:t xml:space="preserve"> </w:t>
      </w:r>
      <w:r w:rsidR="00C36E2A" w:rsidRPr="00FD211F">
        <w:rPr>
          <w:sz w:val="36"/>
          <w:szCs w:val="36"/>
          <w:rtl/>
        </w:rPr>
        <w:t>في</w:t>
      </w:r>
      <w:r w:rsidR="00E8128F">
        <w:rPr>
          <w:sz w:val="36"/>
          <w:szCs w:val="36"/>
          <w:rtl/>
        </w:rPr>
        <w:t xml:space="preserve"> </w:t>
      </w:r>
      <w:r w:rsidR="00C36E2A" w:rsidRPr="00FD211F">
        <w:rPr>
          <w:sz w:val="36"/>
          <w:szCs w:val="36"/>
          <w:rtl/>
        </w:rPr>
        <w:t>صدق</w:t>
      </w:r>
      <w:r w:rsidR="00E8128F">
        <w:rPr>
          <w:sz w:val="36"/>
          <w:szCs w:val="36"/>
          <w:rtl/>
        </w:rPr>
        <w:t xml:space="preserve"> </w:t>
      </w:r>
      <w:r w:rsidR="00C36E2A" w:rsidRPr="00FD211F">
        <w:rPr>
          <w:sz w:val="36"/>
          <w:szCs w:val="36"/>
          <w:rtl/>
        </w:rPr>
        <w:t>العنوان</w:t>
      </w:r>
      <w:r w:rsidR="00E8128F">
        <w:rPr>
          <w:sz w:val="36"/>
          <w:szCs w:val="36"/>
          <w:rtl/>
        </w:rPr>
        <w:t xml:space="preserve"> </w:t>
      </w:r>
      <w:r w:rsidR="00C36E2A" w:rsidRPr="00FD211F">
        <w:rPr>
          <w:sz w:val="36"/>
          <w:szCs w:val="36"/>
          <w:rtl/>
        </w:rPr>
        <w:t>فعلي</w:t>
      </w:r>
      <w:r w:rsidR="00EC7EDF" w:rsidRPr="00FD211F">
        <w:rPr>
          <w:sz w:val="36"/>
          <w:szCs w:val="36"/>
          <w:rtl/>
        </w:rPr>
        <w:t>ة</w:t>
      </w:r>
      <w:r w:rsidR="00E8128F">
        <w:rPr>
          <w:sz w:val="36"/>
          <w:szCs w:val="36"/>
          <w:rtl/>
        </w:rPr>
        <w:t xml:space="preserve"> </w:t>
      </w:r>
      <w:r w:rsidR="00C36E2A" w:rsidRPr="00FD211F">
        <w:rPr>
          <w:sz w:val="36"/>
          <w:szCs w:val="36"/>
          <w:rtl/>
        </w:rPr>
        <w:t>ال</w:t>
      </w:r>
      <w:r w:rsidR="0079493B" w:rsidRPr="00FD211F">
        <w:rPr>
          <w:sz w:val="36"/>
          <w:szCs w:val="36"/>
          <w:rtl/>
        </w:rPr>
        <w:t>مبدأ</w:t>
      </w:r>
      <w:r w:rsidR="00603323" w:rsidRPr="00FD211F">
        <w:rPr>
          <w:sz w:val="36"/>
          <w:szCs w:val="36"/>
          <w:rtl/>
        </w:rPr>
        <w:t>،</w:t>
      </w:r>
      <w:r w:rsidR="00E8128F">
        <w:rPr>
          <w:sz w:val="36"/>
          <w:szCs w:val="36"/>
          <w:rtl/>
        </w:rPr>
        <w:t xml:space="preserve"> </w:t>
      </w:r>
      <w:r w:rsidR="00C36E2A" w:rsidRPr="00FD211F">
        <w:rPr>
          <w:sz w:val="36"/>
          <w:szCs w:val="36"/>
          <w:rtl/>
        </w:rPr>
        <w:t>وان</w:t>
      </w:r>
      <w:r w:rsidR="00E8128F">
        <w:rPr>
          <w:sz w:val="36"/>
          <w:szCs w:val="36"/>
          <w:rtl/>
        </w:rPr>
        <w:t xml:space="preserve"> </w:t>
      </w:r>
      <w:r w:rsidR="00C36E2A" w:rsidRPr="00FD211F">
        <w:rPr>
          <w:sz w:val="36"/>
          <w:szCs w:val="36"/>
          <w:rtl/>
        </w:rPr>
        <w:t>كان</w:t>
      </w:r>
      <w:r w:rsidR="00E8128F">
        <w:rPr>
          <w:sz w:val="36"/>
          <w:szCs w:val="36"/>
          <w:rtl/>
        </w:rPr>
        <w:t xml:space="preserve"> </w:t>
      </w:r>
      <w:r w:rsidR="00C36E2A" w:rsidRPr="00FD211F">
        <w:rPr>
          <w:sz w:val="36"/>
          <w:szCs w:val="36"/>
          <w:rtl/>
        </w:rPr>
        <w:t>بينهما</w:t>
      </w:r>
      <w:r w:rsidR="00E8128F">
        <w:rPr>
          <w:sz w:val="36"/>
          <w:szCs w:val="36"/>
          <w:rtl/>
        </w:rPr>
        <w:t xml:space="preserve"> </w:t>
      </w:r>
      <w:r w:rsidR="00C36E2A" w:rsidRPr="00FD211F">
        <w:rPr>
          <w:sz w:val="36"/>
          <w:szCs w:val="36"/>
          <w:rtl/>
        </w:rPr>
        <w:t>فرق</w:t>
      </w:r>
      <w:r w:rsidR="00E8128F">
        <w:rPr>
          <w:sz w:val="36"/>
          <w:szCs w:val="36"/>
          <w:rtl/>
        </w:rPr>
        <w:t xml:space="preserve"> </w:t>
      </w:r>
      <w:r w:rsidR="00C36E2A" w:rsidRPr="00FD211F">
        <w:rPr>
          <w:sz w:val="36"/>
          <w:szCs w:val="36"/>
          <w:rtl/>
        </w:rPr>
        <w:t>من</w:t>
      </w:r>
      <w:r w:rsidR="00E8128F">
        <w:rPr>
          <w:sz w:val="36"/>
          <w:szCs w:val="36"/>
          <w:rtl/>
        </w:rPr>
        <w:t xml:space="preserve"> </w:t>
      </w:r>
      <w:r w:rsidR="00C36E2A" w:rsidRPr="00FD211F">
        <w:rPr>
          <w:sz w:val="36"/>
          <w:szCs w:val="36"/>
          <w:rtl/>
        </w:rPr>
        <w:t>جه</w:t>
      </w:r>
      <w:r w:rsidR="00EC7EDF" w:rsidRPr="00FD211F">
        <w:rPr>
          <w:sz w:val="36"/>
          <w:szCs w:val="36"/>
          <w:rtl/>
        </w:rPr>
        <w:t>ة</w:t>
      </w:r>
      <w:r w:rsidR="00E8128F">
        <w:rPr>
          <w:sz w:val="36"/>
          <w:szCs w:val="36"/>
          <w:rtl/>
        </w:rPr>
        <w:t xml:space="preserve"> </w:t>
      </w:r>
      <w:r w:rsidR="00C36E2A" w:rsidRPr="00FD211F">
        <w:rPr>
          <w:sz w:val="36"/>
          <w:szCs w:val="36"/>
          <w:rtl/>
        </w:rPr>
        <w:t>أخرى</w:t>
      </w:r>
      <w:r w:rsidR="00E8128F">
        <w:rPr>
          <w:sz w:val="36"/>
          <w:szCs w:val="36"/>
          <w:rtl/>
        </w:rPr>
        <w:t xml:space="preserve"> </w:t>
      </w:r>
      <w:r w:rsidR="00C36E2A" w:rsidRPr="00FD211F">
        <w:rPr>
          <w:sz w:val="36"/>
          <w:szCs w:val="36"/>
          <w:rtl/>
        </w:rPr>
        <w:t>وه</w:t>
      </w:r>
      <w:r w:rsidR="004E69FC" w:rsidRPr="00FD211F">
        <w:rPr>
          <w:sz w:val="36"/>
          <w:szCs w:val="36"/>
          <w:rtl/>
        </w:rPr>
        <w:t>و</w:t>
      </w:r>
      <w:r w:rsidR="00E8128F">
        <w:rPr>
          <w:sz w:val="36"/>
          <w:szCs w:val="36"/>
          <w:rtl/>
        </w:rPr>
        <w:t xml:space="preserve"> </w:t>
      </w:r>
      <w:r w:rsidR="00C36E2A" w:rsidRPr="00FD211F">
        <w:rPr>
          <w:sz w:val="36"/>
          <w:szCs w:val="36"/>
          <w:rtl/>
        </w:rPr>
        <w:t>انه</w:t>
      </w:r>
      <w:r w:rsidR="00E8128F">
        <w:rPr>
          <w:sz w:val="36"/>
          <w:szCs w:val="36"/>
          <w:rtl/>
        </w:rPr>
        <w:t xml:space="preserve"> </w:t>
      </w:r>
      <w:r w:rsidR="00C36E2A" w:rsidRPr="00FD211F">
        <w:rPr>
          <w:sz w:val="36"/>
          <w:szCs w:val="36"/>
          <w:rtl/>
        </w:rPr>
        <w:t>لايصح</w:t>
      </w:r>
      <w:r w:rsidR="00E8128F">
        <w:rPr>
          <w:sz w:val="36"/>
          <w:szCs w:val="36"/>
          <w:rtl/>
        </w:rPr>
        <w:t xml:space="preserve"> </w:t>
      </w:r>
      <w:r w:rsidR="00C36E2A" w:rsidRPr="00FD211F">
        <w:rPr>
          <w:sz w:val="36"/>
          <w:szCs w:val="36"/>
          <w:rtl/>
        </w:rPr>
        <w:t>استعمال</w:t>
      </w:r>
      <w:r w:rsidR="00E8128F">
        <w:rPr>
          <w:sz w:val="36"/>
          <w:szCs w:val="36"/>
          <w:rtl/>
        </w:rPr>
        <w:t xml:space="preserve"> </w:t>
      </w:r>
      <w:r w:rsidR="00577BCA" w:rsidRPr="00FD211F">
        <w:rPr>
          <w:sz w:val="36"/>
          <w:szCs w:val="36"/>
          <w:rtl/>
        </w:rPr>
        <w:t>اللفظ</w:t>
      </w:r>
      <w:r w:rsidR="00E8128F">
        <w:rPr>
          <w:sz w:val="36"/>
          <w:szCs w:val="36"/>
          <w:rtl/>
        </w:rPr>
        <w:t xml:space="preserve"> </w:t>
      </w:r>
      <w:r w:rsidR="00577BCA" w:rsidRPr="00FD211F">
        <w:rPr>
          <w:sz w:val="36"/>
          <w:szCs w:val="36"/>
          <w:rtl/>
        </w:rPr>
        <w:t>الجامد</w:t>
      </w:r>
      <w:r w:rsidR="00E8128F">
        <w:rPr>
          <w:sz w:val="36"/>
          <w:szCs w:val="36"/>
          <w:rtl/>
        </w:rPr>
        <w:t xml:space="preserve"> </w:t>
      </w:r>
      <w:r w:rsidR="00C36E2A" w:rsidRPr="00FD211F">
        <w:rPr>
          <w:sz w:val="36"/>
          <w:szCs w:val="36"/>
          <w:rtl/>
        </w:rPr>
        <w:t>(</w:t>
      </w:r>
      <w:r w:rsidR="008F6D2B" w:rsidRPr="00FD211F">
        <w:rPr>
          <w:sz w:val="36"/>
          <w:szCs w:val="36"/>
          <w:rtl/>
        </w:rPr>
        <w:t>فيمالوكان</w:t>
      </w:r>
      <w:r w:rsidR="00E8128F">
        <w:rPr>
          <w:sz w:val="36"/>
          <w:szCs w:val="36"/>
          <w:rtl/>
        </w:rPr>
        <w:t xml:space="preserve"> </w:t>
      </w:r>
      <w:r w:rsidR="00C36E2A" w:rsidRPr="00FD211F">
        <w:rPr>
          <w:sz w:val="36"/>
          <w:szCs w:val="36"/>
          <w:rtl/>
        </w:rPr>
        <w:t>عنوان</w:t>
      </w:r>
      <w:r w:rsidR="008F6D2B" w:rsidRPr="00FD211F">
        <w:rPr>
          <w:sz w:val="36"/>
          <w:szCs w:val="36"/>
          <w:rtl/>
        </w:rPr>
        <w:t>ا</w:t>
      </w:r>
      <w:r w:rsidR="00E8128F">
        <w:rPr>
          <w:sz w:val="36"/>
          <w:szCs w:val="36"/>
          <w:rtl/>
        </w:rPr>
        <w:t xml:space="preserve"> </w:t>
      </w:r>
      <w:r w:rsidR="00C36E2A" w:rsidRPr="00FD211F">
        <w:rPr>
          <w:sz w:val="36"/>
          <w:szCs w:val="36"/>
          <w:rtl/>
        </w:rPr>
        <w:t>ذاتي</w:t>
      </w:r>
      <w:r w:rsidR="008F6D2B" w:rsidRPr="00FD211F">
        <w:rPr>
          <w:sz w:val="36"/>
          <w:szCs w:val="36"/>
          <w:rtl/>
        </w:rPr>
        <w:t>اكالشجر</w:t>
      </w:r>
      <w:r w:rsidR="00C36E2A" w:rsidRPr="00FD211F">
        <w:rPr>
          <w:sz w:val="36"/>
          <w:szCs w:val="36"/>
          <w:rtl/>
        </w:rPr>
        <w:t>)</w:t>
      </w:r>
      <w:r w:rsidR="00E8128F">
        <w:rPr>
          <w:sz w:val="36"/>
          <w:szCs w:val="36"/>
          <w:rtl/>
        </w:rPr>
        <w:t xml:space="preserve"> </w:t>
      </w:r>
      <w:r w:rsidR="00C36E2A" w:rsidRPr="00FD211F">
        <w:rPr>
          <w:sz w:val="36"/>
          <w:szCs w:val="36"/>
          <w:rtl/>
        </w:rPr>
        <w:t>ولو</w:t>
      </w:r>
      <w:r w:rsidR="00E8128F">
        <w:rPr>
          <w:sz w:val="36"/>
          <w:szCs w:val="36"/>
          <w:rtl/>
        </w:rPr>
        <w:t xml:space="preserve"> </w:t>
      </w:r>
      <w:r w:rsidR="00C36E2A" w:rsidRPr="00FD211F">
        <w:rPr>
          <w:sz w:val="36"/>
          <w:szCs w:val="36"/>
          <w:rtl/>
        </w:rPr>
        <w:t>مجازا</w:t>
      </w:r>
      <w:r w:rsidR="00E8128F">
        <w:rPr>
          <w:sz w:val="36"/>
          <w:szCs w:val="36"/>
          <w:rtl/>
        </w:rPr>
        <w:t xml:space="preserve"> </w:t>
      </w:r>
      <w:r w:rsidR="00C36E2A" w:rsidRPr="00FD211F">
        <w:rPr>
          <w:sz w:val="36"/>
          <w:szCs w:val="36"/>
          <w:rtl/>
        </w:rPr>
        <w:t>في</w:t>
      </w:r>
      <w:r w:rsidR="00E8128F">
        <w:rPr>
          <w:sz w:val="36"/>
          <w:szCs w:val="36"/>
          <w:rtl/>
        </w:rPr>
        <w:t xml:space="preserve"> </w:t>
      </w:r>
      <w:r w:rsidR="00C36E2A" w:rsidRPr="00FD211F">
        <w:rPr>
          <w:sz w:val="36"/>
          <w:szCs w:val="36"/>
          <w:rtl/>
        </w:rPr>
        <w:t>المنقضي</w:t>
      </w:r>
      <w:r w:rsidR="00E8128F">
        <w:rPr>
          <w:sz w:val="36"/>
          <w:szCs w:val="36"/>
          <w:rtl/>
        </w:rPr>
        <w:t xml:space="preserve"> </w:t>
      </w:r>
      <w:r w:rsidR="00C36E2A" w:rsidRPr="00FD211F">
        <w:rPr>
          <w:sz w:val="36"/>
          <w:szCs w:val="36"/>
          <w:rtl/>
        </w:rPr>
        <w:t>عنه</w:t>
      </w:r>
      <w:r w:rsidR="00E8128F">
        <w:rPr>
          <w:sz w:val="36"/>
          <w:szCs w:val="36"/>
          <w:rtl/>
        </w:rPr>
        <w:t xml:space="preserve"> </w:t>
      </w:r>
      <w:r w:rsidR="00C36E2A" w:rsidRPr="00FD211F">
        <w:rPr>
          <w:sz w:val="36"/>
          <w:szCs w:val="36"/>
          <w:rtl/>
        </w:rPr>
        <w:t>ال</w:t>
      </w:r>
      <w:r w:rsidR="0079493B" w:rsidRPr="00FD211F">
        <w:rPr>
          <w:sz w:val="36"/>
          <w:szCs w:val="36"/>
          <w:rtl/>
        </w:rPr>
        <w:t>مبدأ</w:t>
      </w:r>
      <w:r w:rsidR="00E8128F">
        <w:rPr>
          <w:sz w:val="36"/>
          <w:szCs w:val="36"/>
          <w:rtl/>
        </w:rPr>
        <w:t xml:space="preserve"> </w:t>
      </w:r>
      <w:r w:rsidR="00C36E2A" w:rsidRPr="00FD211F">
        <w:rPr>
          <w:sz w:val="36"/>
          <w:szCs w:val="36"/>
          <w:rtl/>
        </w:rPr>
        <w:t>او</w:t>
      </w:r>
      <w:r w:rsidR="00E8128F">
        <w:rPr>
          <w:sz w:val="36"/>
          <w:szCs w:val="36"/>
          <w:rtl/>
        </w:rPr>
        <w:t xml:space="preserve"> </w:t>
      </w:r>
      <w:r w:rsidR="00C36E2A" w:rsidRPr="00FD211F">
        <w:rPr>
          <w:sz w:val="36"/>
          <w:szCs w:val="36"/>
          <w:rtl/>
        </w:rPr>
        <w:t>من</w:t>
      </w:r>
      <w:r w:rsidR="00E8128F">
        <w:rPr>
          <w:sz w:val="36"/>
          <w:szCs w:val="36"/>
          <w:rtl/>
        </w:rPr>
        <w:t xml:space="preserve"> </w:t>
      </w:r>
      <w:r w:rsidR="00C36E2A" w:rsidRPr="00FD211F">
        <w:rPr>
          <w:sz w:val="36"/>
          <w:szCs w:val="36"/>
          <w:rtl/>
        </w:rPr>
        <w:t>سيتلبس</w:t>
      </w:r>
      <w:r w:rsidR="00E8128F">
        <w:rPr>
          <w:sz w:val="36"/>
          <w:szCs w:val="36"/>
          <w:rtl/>
        </w:rPr>
        <w:t xml:space="preserve"> </w:t>
      </w:r>
      <w:r w:rsidR="00C36E2A" w:rsidRPr="00FD211F">
        <w:rPr>
          <w:sz w:val="36"/>
          <w:szCs w:val="36"/>
          <w:rtl/>
        </w:rPr>
        <w:t>بال</w:t>
      </w:r>
      <w:r w:rsidR="0079493B" w:rsidRPr="00FD211F">
        <w:rPr>
          <w:sz w:val="36"/>
          <w:szCs w:val="36"/>
          <w:rtl/>
        </w:rPr>
        <w:t>مبدأ</w:t>
      </w:r>
      <w:r w:rsidR="00603323" w:rsidRPr="00FD211F">
        <w:rPr>
          <w:sz w:val="36"/>
          <w:szCs w:val="36"/>
          <w:rtl/>
        </w:rPr>
        <w:t>،</w:t>
      </w:r>
      <w:r w:rsidR="00E8128F">
        <w:rPr>
          <w:sz w:val="36"/>
          <w:szCs w:val="36"/>
          <w:rtl/>
        </w:rPr>
        <w:t xml:space="preserve"> </w:t>
      </w:r>
      <w:r w:rsidR="00C36E2A" w:rsidRPr="00FD211F">
        <w:rPr>
          <w:sz w:val="36"/>
          <w:szCs w:val="36"/>
          <w:rtl/>
        </w:rPr>
        <w:t>ولكن</w:t>
      </w:r>
      <w:r w:rsidR="00E8128F">
        <w:rPr>
          <w:sz w:val="36"/>
          <w:szCs w:val="36"/>
          <w:rtl/>
        </w:rPr>
        <w:t xml:space="preserve"> </w:t>
      </w:r>
      <w:r w:rsidR="00C36E2A" w:rsidRPr="00FD211F">
        <w:rPr>
          <w:sz w:val="36"/>
          <w:szCs w:val="36"/>
          <w:rtl/>
        </w:rPr>
        <w:t>يصح</w:t>
      </w:r>
      <w:r w:rsidR="00E8128F">
        <w:rPr>
          <w:sz w:val="36"/>
          <w:szCs w:val="36"/>
          <w:rtl/>
        </w:rPr>
        <w:t xml:space="preserve"> </w:t>
      </w:r>
      <w:r w:rsidR="00C36E2A" w:rsidRPr="00FD211F">
        <w:rPr>
          <w:sz w:val="36"/>
          <w:szCs w:val="36"/>
          <w:rtl/>
        </w:rPr>
        <w:t>ذلك</w:t>
      </w:r>
      <w:r w:rsidR="00E8128F">
        <w:rPr>
          <w:sz w:val="36"/>
          <w:szCs w:val="36"/>
          <w:rtl/>
        </w:rPr>
        <w:t xml:space="preserve"> </w:t>
      </w:r>
      <w:r w:rsidR="00C36E2A" w:rsidRPr="00FD211F">
        <w:rPr>
          <w:sz w:val="36"/>
          <w:szCs w:val="36"/>
          <w:rtl/>
        </w:rPr>
        <w:t>في</w:t>
      </w:r>
      <w:r w:rsidR="00E8128F">
        <w:rPr>
          <w:sz w:val="36"/>
          <w:szCs w:val="36"/>
          <w:rtl/>
        </w:rPr>
        <w:t xml:space="preserve"> </w:t>
      </w:r>
      <w:r w:rsidR="00C36E2A" w:rsidRPr="00FD211F">
        <w:rPr>
          <w:sz w:val="36"/>
          <w:szCs w:val="36"/>
          <w:rtl/>
        </w:rPr>
        <w:t>المشتق</w:t>
      </w:r>
      <w:r w:rsidR="00E8128F">
        <w:rPr>
          <w:sz w:val="36"/>
          <w:szCs w:val="36"/>
          <w:rtl/>
        </w:rPr>
        <w:t xml:space="preserve"> </w:t>
      </w:r>
      <w:r w:rsidR="00C36E2A" w:rsidRPr="00FD211F">
        <w:rPr>
          <w:sz w:val="36"/>
          <w:szCs w:val="36"/>
          <w:rtl/>
        </w:rPr>
        <w:t>لان</w:t>
      </w:r>
      <w:r w:rsidR="00E8128F">
        <w:rPr>
          <w:sz w:val="36"/>
          <w:szCs w:val="36"/>
          <w:rtl/>
        </w:rPr>
        <w:t xml:space="preserve"> </w:t>
      </w:r>
      <w:r w:rsidR="00C36E2A" w:rsidRPr="00FD211F">
        <w:rPr>
          <w:sz w:val="36"/>
          <w:szCs w:val="36"/>
          <w:rtl/>
        </w:rPr>
        <w:t>المتصف</w:t>
      </w:r>
      <w:r w:rsidR="00E8128F">
        <w:rPr>
          <w:sz w:val="36"/>
          <w:szCs w:val="36"/>
          <w:rtl/>
        </w:rPr>
        <w:t xml:space="preserve"> </w:t>
      </w:r>
      <w:r w:rsidR="00C36E2A" w:rsidRPr="00FD211F">
        <w:rPr>
          <w:sz w:val="36"/>
          <w:szCs w:val="36"/>
          <w:rtl/>
        </w:rPr>
        <w:t>بالمشتق</w:t>
      </w:r>
      <w:r w:rsidR="00E8128F">
        <w:rPr>
          <w:sz w:val="36"/>
          <w:szCs w:val="36"/>
          <w:rtl/>
        </w:rPr>
        <w:t xml:space="preserve"> </w:t>
      </w:r>
      <w:r w:rsidR="00C36E2A" w:rsidRPr="00FD211F">
        <w:rPr>
          <w:sz w:val="36"/>
          <w:szCs w:val="36"/>
          <w:rtl/>
        </w:rPr>
        <w:t>الذات</w:t>
      </w:r>
      <w:r w:rsidR="00E8128F">
        <w:rPr>
          <w:sz w:val="36"/>
          <w:szCs w:val="36"/>
          <w:rtl/>
        </w:rPr>
        <w:t xml:space="preserve"> </w:t>
      </w:r>
      <w:r w:rsidR="00C36E2A" w:rsidRPr="00FD211F">
        <w:rPr>
          <w:sz w:val="36"/>
          <w:szCs w:val="36"/>
          <w:rtl/>
        </w:rPr>
        <w:t>وهي</w:t>
      </w:r>
      <w:r w:rsidR="00E8128F">
        <w:rPr>
          <w:sz w:val="36"/>
          <w:szCs w:val="36"/>
          <w:rtl/>
        </w:rPr>
        <w:t xml:space="preserve"> </w:t>
      </w:r>
      <w:r w:rsidR="00C36E2A" w:rsidRPr="00FD211F">
        <w:rPr>
          <w:sz w:val="36"/>
          <w:szCs w:val="36"/>
          <w:rtl/>
        </w:rPr>
        <w:t>تبقى</w:t>
      </w:r>
      <w:r w:rsidR="00E8128F">
        <w:rPr>
          <w:sz w:val="36"/>
          <w:szCs w:val="36"/>
          <w:rtl/>
        </w:rPr>
        <w:t xml:space="preserve"> </w:t>
      </w:r>
      <w:r w:rsidR="00C36E2A" w:rsidRPr="00FD211F">
        <w:rPr>
          <w:sz w:val="36"/>
          <w:szCs w:val="36"/>
          <w:rtl/>
        </w:rPr>
        <w:t>بعد</w:t>
      </w:r>
      <w:r w:rsidR="00E8128F">
        <w:rPr>
          <w:sz w:val="36"/>
          <w:szCs w:val="36"/>
          <w:rtl/>
        </w:rPr>
        <w:t xml:space="preserve"> </w:t>
      </w:r>
      <w:r w:rsidR="00C36E2A" w:rsidRPr="00FD211F">
        <w:rPr>
          <w:sz w:val="36"/>
          <w:szCs w:val="36"/>
          <w:rtl/>
        </w:rPr>
        <w:t>زوال</w:t>
      </w:r>
      <w:r w:rsidR="00E8128F">
        <w:rPr>
          <w:sz w:val="36"/>
          <w:szCs w:val="36"/>
          <w:rtl/>
        </w:rPr>
        <w:t xml:space="preserve"> </w:t>
      </w:r>
      <w:r w:rsidR="00C36E2A" w:rsidRPr="00FD211F">
        <w:rPr>
          <w:sz w:val="36"/>
          <w:szCs w:val="36"/>
          <w:rtl/>
        </w:rPr>
        <w:t>التلبس</w:t>
      </w:r>
      <w:r w:rsidR="00E8128F">
        <w:rPr>
          <w:sz w:val="36"/>
          <w:szCs w:val="36"/>
          <w:rtl/>
        </w:rPr>
        <w:t xml:space="preserve"> </w:t>
      </w:r>
      <w:r w:rsidR="00C36E2A" w:rsidRPr="00FD211F">
        <w:rPr>
          <w:sz w:val="36"/>
          <w:szCs w:val="36"/>
          <w:rtl/>
        </w:rPr>
        <w:t>بال</w:t>
      </w:r>
      <w:r w:rsidR="0079493B" w:rsidRPr="00FD211F">
        <w:rPr>
          <w:sz w:val="36"/>
          <w:szCs w:val="36"/>
          <w:rtl/>
        </w:rPr>
        <w:t>مبدأ</w:t>
      </w:r>
      <w:r w:rsidR="009C58C8" w:rsidRPr="00FD211F">
        <w:rPr>
          <w:rStyle w:val="a6"/>
          <w:sz w:val="36"/>
          <w:szCs w:val="36"/>
          <w:rtl/>
        </w:rPr>
        <w:t>(</w:t>
      </w:r>
      <w:r w:rsidR="009C58C8" w:rsidRPr="00FD211F">
        <w:rPr>
          <w:rStyle w:val="a6"/>
          <w:sz w:val="36"/>
          <w:szCs w:val="36"/>
          <w:rtl/>
        </w:rPr>
        <w:footnoteReference w:id="543"/>
      </w:r>
      <w:r w:rsidR="009C58C8" w:rsidRPr="00FD211F">
        <w:rPr>
          <w:rStyle w:val="a6"/>
          <w:sz w:val="36"/>
          <w:szCs w:val="36"/>
          <w:rtl/>
        </w:rPr>
        <w:t>)</w:t>
      </w:r>
      <w:r w:rsidR="00C36E2A" w:rsidRPr="00FD211F">
        <w:rPr>
          <w:sz w:val="36"/>
          <w:szCs w:val="36"/>
          <w:rtl/>
        </w:rPr>
        <w:t>.</w:t>
      </w:r>
    </w:p>
    <w:p w14:paraId="1CA6C89F" w14:textId="77777777" w:rsidR="00387008" w:rsidRPr="00FD211F" w:rsidRDefault="00C36E2A" w:rsidP="009C58C8">
      <w:pPr>
        <w:ind w:left="0" w:firstLine="227"/>
        <w:jc w:val="both"/>
        <w:rPr>
          <w:sz w:val="36"/>
          <w:szCs w:val="36"/>
          <w:rtl/>
        </w:rPr>
      </w:pPr>
      <w:r w:rsidRPr="00FD211F">
        <w:rPr>
          <w:sz w:val="36"/>
          <w:szCs w:val="36"/>
          <w:rtl/>
        </w:rPr>
        <w:t>ويلاحظ</w:t>
      </w:r>
      <w:r w:rsidR="00E8128F">
        <w:rPr>
          <w:sz w:val="36"/>
          <w:szCs w:val="36"/>
          <w:rtl/>
        </w:rPr>
        <w:t xml:space="preserve"> </w:t>
      </w:r>
      <w:r w:rsidRPr="00FD211F">
        <w:rPr>
          <w:sz w:val="36"/>
          <w:szCs w:val="36"/>
          <w:rtl/>
        </w:rPr>
        <w:t>عليه</w:t>
      </w:r>
      <w:r w:rsidR="00E8128F">
        <w:rPr>
          <w:sz w:val="36"/>
          <w:szCs w:val="36"/>
          <w:rtl/>
        </w:rPr>
        <w:t xml:space="preserve"> </w:t>
      </w:r>
      <w:r w:rsidR="00C24237" w:rsidRPr="00FD211F">
        <w:rPr>
          <w:sz w:val="36"/>
          <w:szCs w:val="36"/>
          <w:rtl/>
        </w:rPr>
        <w:t>-</w:t>
      </w:r>
      <w:r w:rsidRPr="00FD211F">
        <w:rPr>
          <w:sz w:val="36"/>
          <w:szCs w:val="36"/>
          <w:rtl/>
        </w:rPr>
        <w:t>مع</w:t>
      </w:r>
      <w:r w:rsidR="00E8128F">
        <w:rPr>
          <w:sz w:val="36"/>
          <w:szCs w:val="36"/>
          <w:rtl/>
        </w:rPr>
        <w:t xml:space="preserve"> </w:t>
      </w:r>
      <w:r w:rsidRPr="00FD211F">
        <w:rPr>
          <w:sz w:val="36"/>
          <w:szCs w:val="36"/>
          <w:rtl/>
        </w:rPr>
        <w:t>غمض</w:t>
      </w:r>
      <w:r w:rsidR="00E8128F">
        <w:rPr>
          <w:sz w:val="36"/>
          <w:szCs w:val="36"/>
          <w:rtl/>
        </w:rPr>
        <w:t xml:space="preserve"> </w:t>
      </w:r>
      <w:r w:rsidRPr="00FD211F">
        <w:rPr>
          <w:sz w:val="36"/>
          <w:szCs w:val="36"/>
          <w:rtl/>
        </w:rPr>
        <w:t>العين</w:t>
      </w:r>
      <w:r w:rsidR="00E8128F">
        <w:rPr>
          <w:sz w:val="36"/>
          <w:szCs w:val="36"/>
          <w:rtl/>
        </w:rPr>
        <w:t xml:space="preserve"> </w:t>
      </w:r>
      <w:r w:rsidRPr="00FD211F">
        <w:rPr>
          <w:sz w:val="36"/>
          <w:szCs w:val="36"/>
          <w:rtl/>
        </w:rPr>
        <w:t>عما</w:t>
      </w:r>
      <w:r w:rsidR="00E8128F">
        <w:rPr>
          <w:sz w:val="36"/>
          <w:szCs w:val="36"/>
          <w:rtl/>
        </w:rPr>
        <w:t xml:space="preserve"> </w:t>
      </w:r>
      <w:r w:rsidR="00F22D44" w:rsidRPr="00FD211F">
        <w:rPr>
          <w:sz w:val="36"/>
          <w:szCs w:val="36"/>
          <w:rtl/>
        </w:rPr>
        <w:t>سيأتي</w:t>
      </w:r>
      <w:r w:rsidR="00E8128F">
        <w:rPr>
          <w:sz w:val="36"/>
          <w:szCs w:val="36"/>
          <w:rtl/>
        </w:rPr>
        <w:t xml:space="preserve"> </w:t>
      </w:r>
      <w:r w:rsidRPr="00FD211F">
        <w:rPr>
          <w:sz w:val="36"/>
          <w:szCs w:val="36"/>
          <w:rtl/>
        </w:rPr>
        <w:t>من</w:t>
      </w:r>
      <w:r w:rsidR="00E8128F">
        <w:rPr>
          <w:sz w:val="36"/>
          <w:szCs w:val="36"/>
          <w:rtl/>
        </w:rPr>
        <w:t xml:space="preserve"> </w:t>
      </w:r>
      <w:r w:rsidR="00F22D44" w:rsidRPr="00FD211F">
        <w:rPr>
          <w:sz w:val="36"/>
          <w:szCs w:val="36"/>
          <w:rtl/>
        </w:rPr>
        <w:t>عدم</w:t>
      </w:r>
      <w:r w:rsidR="00E8128F">
        <w:rPr>
          <w:sz w:val="36"/>
          <w:szCs w:val="36"/>
          <w:rtl/>
        </w:rPr>
        <w:t xml:space="preserve"> </w:t>
      </w:r>
      <w:r w:rsidR="00F22D44" w:rsidRPr="00FD211F">
        <w:rPr>
          <w:sz w:val="36"/>
          <w:szCs w:val="36"/>
          <w:rtl/>
        </w:rPr>
        <w:t>تمامي</w:t>
      </w:r>
      <w:r w:rsidR="00EC7EDF" w:rsidRPr="00FD211F">
        <w:rPr>
          <w:sz w:val="36"/>
          <w:szCs w:val="36"/>
          <w:rtl/>
        </w:rPr>
        <w:t>ة</w:t>
      </w:r>
      <w:r w:rsidR="00E8128F">
        <w:rPr>
          <w:sz w:val="36"/>
          <w:szCs w:val="36"/>
          <w:rtl/>
        </w:rPr>
        <w:t xml:space="preserve"> </w:t>
      </w:r>
      <w:r w:rsidR="00CC3973" w:rsidRPr="00FD211F">
        <w:rPr>
          <w:sz w:val="36"/>
          <w:szCs w:val="36"/>
          <w:rtl/>
        </w:rPr>
        <w:t>مبنى</w:t>
      </w:r>
      <w:r w:rsidR="00E8128F">
        <w:rPr>
          <w:sz w:val="36"/>
          <w:szCs w:val="36"/>
          <w:rtl/>
        </w:rPr>
        <w:t xml:space="preserve"> </w:t>
      </w:r>
      <w:r w:rsidR="00CC3973" w:rsidRPr="00FD211F">
        <w:rPr>
          <w:sz w:val="36"/>
          <w:szCs w:val="36"/>
          <w:rtl/>
        </w:rPr>
        <w:t>بساط</w:t>
      </w:r>
      <w:r w:rsidR="00EC7EDF" w:rsidRPr="00FD211F">
        <w:rPr>
          <w:sz w:val="36"/>
          <w:szCs w:val="36"/>
          <w:rtl/>
        </w:rPr>
        <w:t>ة</w:t>
      </w:r>
      <w:r w:rsidR="00E8128F">
        <w:rPr>
          <w:sz w:val="36"/>
          <w:szCs w:val="36"/>
          <w:rtl/>
        </w:rPr>
        <w:t xml:space="preserve"> </w:t>
      </w:r>
      <w:r w:rsidR="00CC3973" w:rsidRPr="00FD211F">
        <w:rPr>
          <w:sz w:val="36"/>
          <w:szCs w:val="36"/>
          <w:rtl/>
        </w:rPr>
        <w:t>المشتق</w:t>
      </w:r>
      <w:r w:rsidR="00E8128F">
        <w:rPr>
          <w:sz w:val="36"/>
          <w:szCs w:val="36"/>
          <w:rtl/>
        </w:rPr>
        <w:t xml:space="preserve"> </w:t>
      </w:r>
      <w:r w:rsidR="00C24237" w:rsidRPr="00FD211F">
        <w:rPr>
          <w:sz w:val="36"/>
          <w:szCs w:val="36"/>
          <w:rtl/>
        </w:rPr>
        <w:t>-</w:t>
      </w:r>
      <w:r w:rsidRPr="00FD211F">
        <w:rPr>
          <w:sz w:val="36"/>
          <w:szCs w:val="36"/>
          <w:rtl/>
        </w:rPr>
        <w:t>أنه</w:t>
      </w:r>
      <w:r w:rsidR="00E8128F">
        <w:rPr>
          <w:sz w:val="36"/>
          <w:szCs w:val="36"/>
          <w:rtl/>
        </w:rPr>
        <w:t xml:space="preserve"> </w:t>
      </w:r>
      <w:r w:rsidRPr="00FD211F">
        <w:rPr>
          <w:sz w:val="36"/>
          <w:szCs w:val="36"/>
          <w:rtl/>
        </w:rPr>
        <w:t>يمكن</w:t>
      </w:r>
      <w:r w:rsidR="00E8128F">
        <w:rPr>
          <w:sz w:val="36"/>
          <w:szCs w:val="36"/>
          <w:rtl/>
        </w:rPr>
        <w:t xml:space="preserve"> </w:t>
      </w:r>
      <w:r w:rsidRPr="00FD211F">
        <w:rPr>
          <w:sz w:val="36"/>
          <w:szCs w:val="36"/>
          <w:rtl/>
        </w:rPr>
        <w:t>للقائل</w:t>
      </w:r>
      <w:r w:rsidR="00E8128F">
        <w:rPr>
          <w:sz w:val="36"/>
          <w:szCs w:val="36"/>
          <w:rtl/>
        </w:rPr>
        <w:t xml:space="preserve"> </w:t>
      </w:r>
      <w:r w:rsidRPr="00FD211F">
        <w:rPr>
          <w:sz w:val="36"/>
          <w:szCs w:val="36"/>
          <w:rtl/>
        </w:rPr>
        <w:t>بوضع</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للاعم</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يدعي</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لل</w:t>
      </w:r>
      <w:r w:rsidR="0079493B" w:rsidRPr="00FD211F">
        <w:rPr>
          <w:sz w:val="36"/>
          <w:szCs w:val="36"/>
          <w:rtl/>
        </w:rPr>
        <w:t>مبدأ</w:t>
      </w:r>
      <w:r w:rsidR="00E8128F">
        <w:rPr>
          <w:sz w:val="36"/>
          <w:szCs w:val="36"/>
          <w:rtl/>
        </w:rPr>
        <w:t xml:space="preserve"> </w:t>
      </w:r>
      <w:r w:rsidRPr="00FD211F">
        <w:rPr>
          <w:sz w:val="36"/>
          <w:szCs w:val="36"/>
          <w:rtl/>
        </w:rPr>
        <w:t>الملحوظ</w:t>
      </w:r>
      <w:r w:rsidR="00E8128F">
        <w:rPr>
          <w:sz w:val="36"/>
          <w:szCs w:val="36"/>
          <w:rtl/>
        </w:rPr>
        <w:t xml:space="preserve"> </w:t>
      </w:r>
      <w:r w:rsidRPr="00FD211F">
        <w:rPr>
          <w:sz w:val="36"/>
          <w:szCs w:val="36"/>
          <w:rtl/>
        </w:rPr>
        <w:t>كونه</w:t>
      </w:r>
      <w:r w:rsidR="00E8128F">
        <w:rPr>
          <w:sz w:val="36"/>
          <w:szCs w:val="36"/>
          <w:rtl/>
        </w:rPr>
        <w:t xml:space="preserve"> </w:t>
      </w:r>
      <w:r w:rsidRPr="00FD211F">
        <w:rPr>
          <w:sz w:val="36"/>
          <w:szCs w:val="36"/>
          <w:rtl/>
        </w:rPr>
        <w:t>لابشرط</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حمله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حدث</w:t>
      </w:r>
      <w:r w:rsidR="00E8128F">
        <w:rPr>
          <w:sz w:val="36"/>
          <w:szCs w:val="36"/>
          <w:rtl/>
        </w:rPr>
        <w:t xml:space="preserve"> </w:t>
      </w:r>
      <w:r w:rsidRPr="00FD211F">
        <w:rPr>
          <w:sz w:val="36"/>
          <w:szCs w:val="36"/>
          <w:rtl/>
        </w:rPr>
        <w:t>فيها</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00243F4A" w:rsidRPr="00FD211F">
        <w:rPr>
          <w:sz w:val="36"/>
          <w:szCs w:val="36"/>
          <w:rtl/>
        </w:rPr>
        <w:t>سواء</w:t>
      </w:r>
      <w:r w:rsidR="00E8128F">
        <w:rPr>
          <w:sz w:val="36"/>
          <w:szCs w:val="36"/>
          <w:rtl/>
        </w:rPr>
        <w:t xml:space="preserve"> </w:t>
      </w:r>
      <w:r w:rsidRPr="00FD211F">
        <w:rPr>
          <w:sz w:val="36"/>
          <w:szCs w:val="36"/>
          <w:rtl/>
        </w:rPr>
        <w:t>فرض</w:t>
      </w:r>
      <w:r w:rsidR="00E8128F">
        <w:rPr>
          <w:sz w:val="36"/>
          <w:szCs w:val="36"/>
          <w:rtl/>
        </w:rPr>
        <w:t xml:space="preserve"> </w:t>
      </w:r>
      <w:r w:rsidRPr="00FD211F">
        <w:rPr>
          <w:sz w:val="36"/>
          <w:szCs w:val="36"/>
          <w:rtl/>
        </w:rPr>
        <w:t>انقضاءه</w:t>
      </w:r>
      <w:r w:rsidR="00E8128F">
        <w:rPr>
          <w:sz w:val="36"/>
          <w:szCs w:val="36"/>
          <w:rtl/>
        </w:rPr>
        <w:t xml:space="preserve"> </w:t>
      </w:r>
      <w:r w:rsidR="00243F4A" w:rsidRPr="00FD211F">
        <w:rPr>
          <w:sz w:val="36"/>
          <w:szCs w:val="36"/>
          <w:rtl/>
        </w:rPr>
        <w:t>ام</w:t>
      </w:r>
      <w:r w:rsidR="00E8128F">
        <w:rPr>
          <w:sz w:val="36"/>
          <w:szCs w:val="36"/>
          <w:rtl/>
        </w:rPr>
        <w:t xml:space="preserve"> </w:t>
      </w:r>
      <w:r w:rsidR="00243F4A" w:rsidRPr="00FD211F">
        <w:rPr>
          <w:sz w:val="36"/>
          <w:szCs w:val="36"/>
          <w:rtl/>
        </w:rPr>
        <w:t>لا</w:t>
      </w:r>
      <w:r w:rsidRPr="00FD211F">
        <w:rPr>
          <w:sz w:val="36"/>
          <w:szCs w:val="36"/>
          <w:rtl/>
        </w:rPr>
        <w:t>.</w:t>
      </w:r>
    </w:p>
    <w:p w14:paraId="456B4544" w14:textId="77777777" w:rsidR="00F22D44" w:rsidRPr="00FD211F" w:rsidRDefault="008F6D2B" w:rsidP="009C58C8">
      <w:pPr>
        <w:ind w:left="0" w:firstLine="227"/>
        <w:jc w:val="both"/>
        <w:rPr>
          <w:sz w:val="36"/>
          <w:szCs w:val="36"/>
          <w:rtl/>
        </w:rPr>
      </w:pPr>
      <w:r w:rsidRPr="00FD211F">
        <w:rPr>
          <w:sz w:val="36"/>
          <w:szCs w:val="36"/>
          <w:rtl/>
        </w:rPr>
        <w:t>هذاواما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صح</w:t>
      </w:r>
      <w:r w:rsidR="00EC7EDF" w:rsidRPr="00FD211F">
        <w:rPr>
          <w:sz w:val="36"/>
          <w:szCs w:val="36"/>
          <w:rtl/>
        </w:rPr>
        <w:t>ة</w:t>
      </w:r>
      <w:r w:rsidR="00E8128F">
        <w:rPr>
          <w:sz w:val="36"/>
          <w:szCs w:val="36"/>
          <w:rtl/>
        </w:rPr>
        <w:t xml:space="preserve"> </w:t>
      </w:r>
      <w:r w:rsidR="00387008" w:rsidRPr="00FD211F">
        <w:rPr>
          <w:sz w:val="36"/>
          <w:szCs w:val="36"/>
          <w:rtl/>
        </w:rPr>
        <w:t>استعمال</w:t>
      </w:r>
      <w:r w:rsidR="00E8128F">
        <w:rPr>
          <w:sz w:val="36"/>
          <w:szCs w:val="36"/>
          <w:rtl/>
        </w:rPr>
        <w:t xml:space="preserve"> </w:t>
      </w:r>
      <w:r w:rsidR="00387008" w:rsidRPr="00FD211F">
        <w:rPr>
          <w:sz w:val="36"/>
          <w:szCs w:val="36"/>
          <w:rtl/>
        </w:rPr>
        <w:t>الاسم</w:t>
      </w:r>
      <w:r w:rsidR="00E8128F">
        <w:rPr>
          <w:sz w:val="36"/>
          <w:szCs w:val="36"/>
          <w:rtl/>
        </w:rPr>
        <w:t xml:space="preserve"> </w:t>
      </w:r>
      <w:r w:rsidR="00387008" w:rsidRPr="00FD211F">
        <w:rPr>
          <w:sz w:val="36"/>
          <w:szCs w:val="36"/>
          <w:rtl/>
        </w:rPr>
        <w:t>الجامد</w:t>
      </w:r>
      <w:r w:rsidR="00E8128F">
        <w:rPr>
          <w:sz w:val="36"/>
          <w:szCs w:val="36"/>
          <w:rtl/>
        </w:rPr>
        <w:t xml:space="preserve"> </w:t>
      </w:r>
      <w:r w:rsidR="00387008" w:rsidRPr="00FD211F">
        <w:rPr>
          <w:sz w:val="36"/>
          <w:szCs w:val="36"/>
          <w:rtl/>
        </w:rPr>
        <w:t>ولومجازا</w:t>
      </w:r>
      <w:r w:rsidR="00E8128F">
        <w:rPr>
          <w:sz w:val="36"/>
          <w:szCs w:val="36"/>
          <w:rtl/>
        </w:rPr>
        <w:t xml:space="preserve"> </w:t>
      </w:r>
      <w:r w:rsidR="00387008" w:rsidRPr="00FD211F">
        <w:rPr>
          <w:sz w:val="36"/>
          <w:szCs w:val="36"/>
          <w:rtl/>
        </w:rPr>
        <w:t>فيما</w:t>
      </w:r>
      <w:r w:rsidR="00E8128F">
        <w:rPr>
          <w:sz w:val="36"/>
          <w:szCs w:val="36"/>
          <w:rtl/>
        </w:rPr>
        <w:t xml:space="preserve"> </w:t>
      </w:r>
      <w:r w:rsidR="00387008" w:rsidRPr="00FD211F">
        <w:rPr>
          <w:sz w:val="36"/>
          <w:szCs w:val="36"/>
          <w:rtl/>
        </w:rPr>
        <w:t>انقضى</w:t>
      </w:r>
      <w:r w:rsidR="00E8128F">
        <w:rPr>
          <w:sz w:val="36"/>
          <w:szCs w:val="36"/>
          <w:rtl/>
        </w:rPr>
        <w:t xml:space="preserve"> </w:t>
      </w:r>
      <w:r w:rsidR="00387008" w:rsidRPr="00FD211F">
        <w:rPr>
          <w:sz w:val="36"/>
          <w:szCs w:val="36"/>
          <w:rtl/>
        </w:rPr>
        <w:t>عنه</w:t>
      </w:r>
      <w:r w:rsidR="00E8128F">
        <w:rPr>
          <w:sz w:val="36"/>
          <w:szCs w:val="36"/>
          <w:rtl/>
        </w:rPr>
        <w:t xml:space="preserve"> </w:t>
      </w:r>
      <w:r w:rsidR="00387008" w:rsidRPr="00FD211F">
        <w:rPr>
          <w:sz w:val="36"/>
          <w:szCs w:val="36"/>
          <w:rtl/>
        </w:rPr>
        <w:t>المبدأ</w:t>
      </w:r>
      <w:r w:rsidR="00E8128F">
        <w:rPr>
          <w:sz w:val="36"/>
          <w:szCs w:val="36"/>
          <w:rtl/>
        </w:rPr>
        <w:t xml:space="preserve"> </w:t>
      </w:r>
      <w:r w:rsidR="00387008" w:rsidRPr="00FD211F">
        <w:rPr>
          <w:sz w:val="36"/>
          <w:szCs w:val="36"/>
          <w:rtl/>
        </w:rPr>
        <w:t>فغير</w:t>
      </w:r>
      <w:r w:rsidR="00E8128F">
        <w:rPr>
          <w:sz w:val="36"/>
          <w:szCs w:val="36"/>
          <w:rtl/>
        </w:rPr>
        <w:t xml:space="preserve"> </w:t>
      </w:r>
      <w:r w:rsidR="00387008" w:rsidRPr="00FD211F">
        <w:rPr>
          <w:sz w:val="36"/>
          <w:szCs w:val="36"/>
          <w:rtl/>
        </w:rPr>
        <w:t>متجه</w:t>
      </w:r>
      <w:r w:rsidR="00603323" w:rsidRPr="00FD211F">
        <w:rPr>
          <w:sz w:val="36"/>
          <w:szCs w:val="36"/>
          <w:rtl/>
        </w:rPr>
        <w:t>،</w:t>
      </w:r>
      <w:r w:rsidR="00E8128F">
        <w:rPr>
          <w:sz w:val="36"/>
          <w:szCs w:val="36"/>
          <w:rtl/>
        </w:rPr>
        <w:t xml:space="preserve"> </w:t>
      </w:r>
      <w:r w:rsidR="00387008" w:rsidRPr="00FD211F">
        <w:rPr>
          <w:sz w:val="36"/>
          <w:szCs w:val="36"/>
          <w:rtl/>
        </w:rPr>
        <w:t>فانه</w:t>
      </w:r>
      <w:r w:rsidR="00E8128F">
        <w:rPr>
          <w:sz w:val="36"/>
          <w:szCs w:val="36"/>
          <w:rtl/>
        </w:rPr>
        <w:t xml:space="preserve"> </w:t>
      </w:r>
      <w:r w:rsidR="00387008" w:rsidRPr="00FD211F">
        <w:rPr>
          <w:sz w:val="36"/>
          <w:szCs w:val="36"/>
          <w:rtl/>
        </w:rPr>
        <w:t>يصح</w:t>
      </w:r>
      <w:r w:rsidR="00E8128F">
        <w:rPr>
          <w:sz w:val="36"/>
          <w:szCs w:val="36"/>
          <w:rtl/>
        </w:rPr>
        <w:t xml:space="preserve"> </w:t>
      </w:r>
      <w:r w:rsidR="00387008" w:rsidRPr="00FD211F">
        <w:rPr>
          <w:sz w:val="36"/>
          <w:szCs w:val="36"/>
          <w:rtl/>
        </w:rPr>
        <w:t>اطلاق</w:t>
      </w:r>
      <w:r w:rsidR="00E8128F">
        <w:rPr>
          <w:sz w:val="36"/>
          <w:szCs w:val="36"/>
          <w:rtl/>
        </w:rPr>
        <w:t xml:space="preserve"> </w:t>
      </w:r>
      <w:r w:rsidR="00387008" w:rsidRPr="00FD211F">
        <w:rPr>
          <w:sz w:val="36"/>
          <w:szCs w:val="36"/>
          <w:rtl/>
        </w:rPr>
        <w:t>الشجرولومجازا</w:t>
      </w:r>
      <w:r w:rsidR="00E8128F">
        <w:rPr>
          <w:sz w:val="36"/>
          <w:szCs w:val="36"/>
          <w:rtl/>
        </w:rPr>
        <w:t xml:space="preserve"> </w:t>
      </w:r>
      <w:r w:rsidR="00387008" w:rsidRPr="00FD211F">
        <w:rPr>
          <w:sz w:val="36"/>
          <w:szCs w:val="36"/>
          <w:rtl/>
        </w:rPr>
        <w:t>على</w:t>
      </w:r>
      <w:r w:rsidR="00E8128F">
        <w:rPr>
          <w:sz w:val="36"/>
          <w:szCs w:val="36"/>
          <w:rtl/>
        </w:rPr>
        <w:t xml:space="preserve"> </w:t>
      </w:r>
      <w:r w:rsidR="00387008" w:rsidRPr="00FD211F">
        <w:rPr>
          <w:sz w:val="36"/>
          <w:szCs w:val="36"/>
          <w:rtl/>
        </w:rPr>
        <w:t>مالوقطع</w:t>
      </w:r>
      <w:r w:rsidR="00E8128F">
        <w:rPr>
          <w:sz w:val="36"/>
          <w:szCs w:val="36"/>
          <w:rtl/>
        </w:rPr>
        <w:t xml:space="preserve"> </w:t>
      </w:r>
      <w:r w:rsidR="00387008" w:rsidRPr="00FD211F">
        <w:rPr>
          <w:sz w:val="36"/>
          <w:szCs w:val="36"/>
          <w:rtl/>
        </w:rPr>
        <w:t>وصاريابسا</w:t>
      </w:r>
      <w:r w:rsidR="00EC7EDF" w:rsidRPr="00FD211F">
        <w:rPr>
          <w:sz w:val="36"/>
          <w:szCs w:val="36"/>
          <w:rtl/>
        </w:rPr>
        <w:t>.</w:t>
      </w:r>
      <w:r w:rsidR="00E8128F">
        <w:rPr>
          <w:sz w:val="36"/>
          <w:szCs w:val="36"/>
          <w:rtl/>
        </w:rPr>
        <w:t xml:space="preserve"> </w:t>
      </w:r>
    </w:p>
    <w:p w14:paraId="3F4D22D0" w14:textId="77777777" w:rsidR="00773F40" w:rsidRPr="00FD211F" w:rsidRDefault="00793654" w:rsidP="009C58C8">
      <w:pPr>
        <w:ind w:left="0" w:firstLine="227"/>
        <w:jc w:val="both"/>
        <w:rPr>
          <w:sz w:val="36"/>
          <w:szCs w:val="36"/>
          <w:rtl/>
        </w:rPr>
      </w:pPr>
      <w:r w:rsidRPr="00FD211F">
        <w:rPr>
          <w:sz w:val="36"/>
          <w:szCs w:val="36"/>
          <w:rtl/>
        </w:rPr>
        <w:t>اما</w:t>
      </w:r>
      <w:r w:rsidR="00E8128F">
        <w:rPr>
          <w:sz w:val="36"/>
          <w:szCs w:val="36"/>
          <w:rtl/>
        </w:rPr>
        <w:t xml:space="preserve"> </w:t>
      </w:r>
      <w:r w:rsidRPr="00FD211F">
        <w:rPr>
          <w:sz w:val="36"/>
          <w:szCs w:val="36"/>
          <w:rtl/>
        </w:rPr>
        <w:t>تصوير</w:t>
      </w:r>
      <w:r w:rsidR="00E8128F">
        <w:rPr>
          <w:sz w:val="36"/>
          <w:szCs w:val="36"/>
          <w:rtl/>
        </w:rPr>
        <w:t xml:space="preserve"> </w:t>
      </w:r>
      <w:r w:rsidRPr="00FD211F">
        <w:rPr>
          <w:sz w:val="36"/>
          <w:szCs w:val="36"/>
          <w:rtl/>
        </w:rPr>
        <w:t>الجامع</w:t>
      </w:r>
      <w:r w:rsidR="00E8128F">
        <w:rPr>
          <w:sz w:val="36"/>
          <w:szCs w:val="36"/>
          <w:rtl/>
        </w:rPr>
        <w:t xml:space="preserve"> </w:t>
      </w:r>
      <w:r w:rsidR="00F22D44" w:rsidRPr="00FD211F">
        <w:rPr>
          <w:sz w:val="36"/>
          <w:szCs w:val="36"/>
          <w:rtl/>
        </w:rPr>
        <w:t>للأعم</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تركيب</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فقد</w:t>
      </w:r>
      <w:r w:rsidR="00E8128F">
        <w:rPr>
          <w:sz w:val="36"/>
          <w:szCs w:val="36"/>
          <w:rtl/>
        </w:rPr>
        <w:t xml:space="preserve"> </w:t>
      </w:r>
      <w:r w:rsidRPr="00FD211F">
        <w:rPr>
          <w:sz w:val="36"/>
          <w:szCs w:val="36"/>
          <w:rtl/>
        </w:rPr>
        <w:t>انكره</w:t>
      </w:r>
      <w:r w:rsidR="00E8128F">
        <w:rPr>
          <w:sz w:val="36"/>
          <w:szCs w:val="36"/>
          <w:rtl/>
        </w:rPr>
        <w:t xml:space="preserve"> </w:t>
      </w:r>
      <w:r w:rsidRPr="00FD211F">
        <w:rPr>
          <w:sz w:val="36"/>
          <w:szCs w:val="36"/>
          <w:rtl/>
        </w:rPr>
        <w:t>جمع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الاعلام</w:t>
      </w:r>
      <w:r w:rsidR="00603323" w:rsidRPr="00FD211F">
        <w:rPr>
          <w:sz w:val="36"/>
          <w:szCs w:val="36"/>
          <w:rtl/>
        </w:rPr>
        <w:t>،</w:t>
      </w:r>
      <w:r w:rsidR="00E8128F">
        <w:rPr>
          <w:sz w:val="36"/>
          <w:szCs w:val="36"/>
          <w:rtl/>
        </w:rPr>
        <w:t xml:space="preserve"> </w:t>
      </w:r>
      <w:r w:rsidR="00243F4A" w:rsidRPr="00FD211F">
        <w:rPr>
          <w:sz w:val="36"/>
          <w:szCs w:val="36"/>
          <w:rtl/>
        </w:rPr>
        <w:t>ف</w:t>
      </w:r>
      <w:r w:rsidRPr="00FD211F">
        <w:rPr>
          <w:sz w:val="36"/>
          <w:szCs w:val="36"/>
          <w:rtl/>
        </w:rPr>
        <w:t>المحقق</w:t>
      </w:r>
      <w:r w:rsidR="00E8128F">
        <w:rPr>
          <w:sz w:val="36"/>
          <w:szCs w:val="36"/>
          <w:rtl/>
        </w:rPr>
        <w:t xml:space="preserve"> </w:t>
      </w:r>
      <w:r w:rsidRPr="00FD211F">
        <w:rPr>
          <w:sz w:val="36"/>
          <w:szCs w:val="36"/>
          <w:rtl/>
        </w:rPr>
        <w:t>النائيني</w:t>
      </w:r>
      <w:r w:rsidR="00E8128F">
        <w:rPr>
          <w:sz w:val="36"/>
          <w:szCs w:val="36"/>
          <w:rtl/>
        </w:rPr>
        <w:t xml:space="preserve"> </w:t>
      </w:r>
      <w:r w:rsidR="00886377" w:rsidRPr="00FD211F">
        <w:rPr>
          <w:sz w:val="36"/>
          <w:szCs w:val="36"/>
          <w:rtl/>
        </w:rPr>
        <w:t>"</w:t>
      </w:r>
      <w:r w:rsidRPr="00FD211F">
        <w:rPr>
          <w:sz w:val="36"/>
          <w:szCs w:val="36"/>
          <w:rtl/>
        </w:rPr>
        <w:t>قده</w:t>
      </w:r>
      <w:r w:rsidR="00886377" w:rsidRPr="00FD211F">
        <w:rPr>
          <w:sz w:val="36"/>
          <w:szCs w:val="36"/>
          <w:rtl/>
        </w:rPr>
        <w:t>"</w:t>
      </w:r>
      <w:r w:rsidR="00E8128F">
        <w:rPr>
          <w:sz w:val="36"/>
          <w:szCs w:val="36"/>
          <w:rtl/>
        </w:rPr>
        <w:t xml:space="preserve"> </w:t>
      </w:r>
      <w:r w:rsidR="00773F40" w:rsidRPr="00FD211F">
        <w:rPr>
          <w:sz w:val="36"/>
          <w:szCs w:val="36"/>
          <w:rtl/>
        </w:rPr>
        <w:t>بعد</w:t>
      </w:r>
      <w:r w:rsidR="00E8128F">
        <w:rPr>
          <w:sz w:val="36"/>
          <w:szCs w:val="36"/>
          <w:rtl/>
        </w:rPr>
        <w:t xml:space="preserve"> </w:t>
      </w:r>
      <w:r w:rsidR="00773F40" w:rsidRPr="00FD211F">
        <w:rPr>
          <w:sz w:val="36"/>
          <w:szCs w:val="36"/>
          <w:rtl/>
        </w:rPr>
        <w:t>ما</w:t>
      </w:r>
      <w:r w:rsidR="00E8128F">
        <w:rPr>
          <w:sz w:val="36"/>
          <w:szCs w:val="36"/>
          <w:rtl/>
        </w:rPr>
        <w:t xml:space="preserve"> </w:t>
      </w:r>
      <w:r w:rsidR="00773F40" w:rsidRPr="00FD211F">
        <w:rPr>
          <w:sz w:val="36"/>
          <w:szCs w:val="36"/>
          <w:rtl/>
        </w:rPr>
        <w:t>اختار</w:t>
      </w:r>
      <w:r w:rsidR="00E8128F">
        <w:rPr>
          <w:sz w:val="36"/>
          <w:szCs w:val="36"/>
          <w:rtl/>
        </w:rPr>
        <w:t xml:space="preserve"> </w:t>
      </w:r>
      <w:r w:rsidR="00773F40" w:rsidRPr="00FD211F">
        <w:rPr>
          <w:sz w:val="36"/>
          <w:szCs w:val="36"/>
          <w:rtl/>
        </w:rPr>
        <w:t>اولا</w:t>
      </w:r>
      <w:r w:rsidR="00243F4A" w:rsidRPr="00FD211F">
        <w:rPr>
          <w:sz w:val="36"/>
          <w:szCs w:val="36"/>
          <w:rtl/>
        </w:rPr>
        <w:t>ً</w:t>
      </w:r>
      <w:r w:rsidR="00E8128F">
        <w:rPr>
          <w:sz w:val="36"/>
          <w:szCs w:val="36"/>
          <w:rtl/>
        </w:rPr>
        <w:t xml:space="preserve"> </w:t>
      </w:r>
      <w:r w:rsidR="00773F40" w:rsidRPr="00FD211F">
        <w:rPr>
          <w:sz w:val="36"/>
          <w:szCs w:val="36"/>
          <w:rtl/>
        </w:rPr>
        <w:t>انه</w:t>
      </w:r>
      <w:r w:rsidR="00E8128F">
        <w:rPr>
          <w:sz w:val="36"/>
          <w:szCs w:val="36"/>
          <w:rtl/>
        </w:rPr>
        <w:t xml:space="preserve"> </w:t>
      </w:r>
      <w:r w:rsidR="00773F40" w:rsidRPr="00FD211F">
        <w:rPr>
          <w:sz w:val="36"/>
          <w:szCs w:val="36"/>
          <w:rtl/>
        </w:rPr>
        <w:t>على</w:t>
      </w:r>
      <w:r w:rsidR="00E8128F">
        <w:rPr>
          <w:sz w:val="36"/>
          <w:szCs w:val="36"/>
          <w:rtl/>
        </w:rPr>
        <w:t xml:space="preserve"> </w:t>
      </w:r>
      <w:r w:rsidR="00773F40" w:rsidRPr="00FD211F">
        <w:rPr>
          <w:sz w:val="36"/>
          <w:szCs w:val="36"/>
          <w:rtl/>
        </w:rPr>
        <w:t>القول</w:t>
      </w:r>
      <w:r w:rsidR="00E8128F">
        <w:rPr>
          <w:sz w:val="36"/>
          <w:szCs w:val="36"/>
          <w:rtl/>
        </w:rPr>
        <w:t xml:space="preserve"> </w:t>
      </w:r>
      <w:r w:rsidR="00773F40" w:rsidRPr="00FD211F">
        <w:rPr>
          <w:sz w:val="36"/>
          <w:szCs w:val="36"/>
          <w:rtl/>
        </w:rPr>
        <w:t>بالتركب</w:t>
      </w:r>
      <w:r w:rsidR="00E8128F">
        <w:rPr>
          <w:sz w:val="36"/>
          <w:szCs w:val="36"/>
          <w:rtl/>
        </w:rPr>
        <w:t xml:space="preserve"> </w:t>
      </w:r>
      <w:r w:rsidR="00773F40" w:rsidRPr="00FD211F">
        <w:rPr>
          <w:sz w:val="36"/>
          <w:szCs w:val="36"/>
          <w:rtl/>
        </w:rPr>
        <w:t>حيث</w:t>
      </w:r>
      <w:r w:rsidR="00E8128F">
        <w:rPr>
          <w:sz w:val="36"/>
          <w:szCs w:val="36"/>
          <w:rtl/>
        </w:rPr>
        <w:t xml:space="preserve"> </w:t>
      </w:r>
      <w:r w:rsidR="00773F40" w:rsidRPr="00FD211F">
        <w:rPr>
          <w:sz w:val="36"/>
          <w:szCs w:val="36"/>
          <w:rtl/>
        </w:rPr>
        <w:t>اخذ</w:t>
      </w:r>
      <w:r w:rsidR="00E8128F">
        <w:rPr>
          <w:sz w:val="36"/>
          <w:szCs w:val="36"/>
          <w:rtl/>
        </w:rPr>
        <w:t xml:space="preserve"> </w:t>
      </w:r>
      <w:r w:rsidR="00773F40" w:rsidRPr="00FD211F">
        <w:rPr>
          <w:sz w:val="36"/>
          <w:szCs w:val="36"/>
          <w:rtl/>
        </w:rPr>
        <w:t>في</w:t>
      </w:r>
      <w:r w:rsidR="00E8128F">
        <w:rPr>
          <w:sz w:val="36"/>
          <w:szCs w:val="36"/>
          <w:rtl/>
        </w:rPr>
        <w:t xml:space="preserve"> </w:t>
      </w:r>
      <w:r w:rsidR="00773F40" w:rsidRPr="00FD211F">
        <w:rPr>
          <w:sz w:val="36"/>
          <w:szCs w:val="36"/>
          <w:rtl/>
        </w:rPr>
        <w:t>المشتق</w:t>
      </w:r>
      <w:r w:rsidR="00E8128F">
        <w:rPr>
          <w:sz w:val="36"/>
          <w:szCs w:val="36"/>
          <w:rtl/>
        </w:rPr>
        <w:t xml:space="preserve"> </w:t>
      </w:r>
      <w:r w:rsidR="00773F40" w:rsidRPr="00FD211F">
        <w:rPr>
          <w:sz w:val="36"/>
          <w:szCs w:val="36"/>
          <w:rtl/>
        </w:rPr>
        <w:t>اتصاف</w:t>
      </w:r>
      <w:r w:rsidR="00E8128F">
        <w:rPr>
          <w:sz w:val="36"/>
          <w:szCs w:val="36"/>
          <w:rtl/>
        </w:rPr>
        <w:t xml:space="preserve"> </w:t>
      </w:r>
      <w:r w:rsidR="00773F40" w:rsidRPr="00FD211F">
        <w:rPr>
          <w:sz w:val="36"/>
          <w:szCs w:val="36"/>
          <w:rtl/>
        </w:rPr>
        <w:t>ال</w:t>
      </w:r>
      <w:r w:rsidR="0079493B" w:rsidRPr="00FD211F">
        <w:rPr>
          <w:sz w:val="36"/>
          <w:szCs w:val="36"/>
          <w:rtl/>
        </w:rPr>
        <w:t>مبدأ</w:t>
      </w:r>
      <w:r w:rsidR="00E8128F">
        <w:rPr>
          <w:sz w:val="36"/>
          <w:szCs w:val="36"/>
          <w:rtl/>
        </w:rPr>
        <w:t xml:space="preserve"> </w:t>
      </w:r>
      <w:r w:rsidR="00773F40" w:rsidRPr="00FD211F">
        <w:rPr>
          <w:sz w:val="36"/>
          <w:szCs w:val="36"/>
          <w:rtl/>
        </w:rPr>
        <w:t>بالذات</w:t>
      </w:r>
      <w:r w:rsidR="00E8128F">
        <w:rPr>
          <w:sz w:val="36"/>
          <w:szCs w:val="36"/>
          <w:rtl/>
        </w:rPr>
        <w:t xml:space="preserve"> </w:t>
      </w:r>
      <w:r w:rsidR="00773F40" w:rsidRPr="00FD211F">
        <w:rPr>
          <w:sz w:val="36"/>
          <w:szCs w:val="36"/>
          <w:rtl/>
        </w:rPr>
        <w:t>فيكفي</w:t>
      </w:r>
      <w:r w:rsidR="00E8128F">
        <w:rPr>
          <w:sz w:val="36"/>
          <w:szCs w:val="36"/>
          <w:rtl/>
        </w:rPr>
        <w:t xml:space="preserve"> </w:t>
      </w:r>
      <w:r w:rsidR="00773F40" w:rsidRPr="00FD211F">
        <w:rPr>
          <w:sz w:val="36"/>
          <w:szCs w:val="36"/>
          <w:rtl/>
        </w:rPr>
        <w:t>في</w:t>
      </w:r>
      <w:r w:rsidR="00E8128F">
        <w:rPr>
          <w:sz w:val="36"/>
          <w:szCs w:val="36"/>
          <w:rtl/>
        </w:rPr>
        <w:t xml:space="preserve"> </w:t>
      </w:r>
      <w:r w:rsidR="00773F40" w:rsidRPr="00FD211F">
        <w:rPr>
          <w:sz w:val="36"/>
          <w:szCs w:val="36"/>
          <w:rtl/>
        </w:rPr>
        <w:t>صدق</w:t>
      </w:r>
      <w:r w:rsidR="00E8128F">
        <w:rPr>
          <w:sz w:val="36"/>
          <w:szCs w:val="36"/>
          <w:rtl/>
        </w:rPr>
        <w:t xml:space="preserve"> </w:t>
      </w:r>
      <w:r w:rsidR="00773F40" w:rsidRPr="00FD211F">
        <w:rPr>
          <w:sz w:val="36"/>
          <w:szCs w:val="36"/>
          <w:rtl/>
        </w:rPr>
        <w:t>الانتساب</w:t>
      </w:r>
      <w:r w:rsidR="00E8128F">
        <w:rPr>
          <w:sz w:val="36"/>
          <w:szCs w:val="36"/>
          <w:rtl/>
        </w:rPr>
        <w:t xml:space="preserve"> </w:t>
      </w:r>
      <w:r w:rsidR="00773F40" w:rsidRPr="00FD211F">
        <w:rPr>
          <w:sz w:val="36"/>
          <w:szCs w:val="36"/>
          <w:rtl/>
        </w:rPr>
        <w:t>التلبس</w:t>
      </w:r>
      <w:r w:rsidR="00E8128F">
        <w:rPr>
          <w:sz w:val="36"/>
          <w:szCs w:val="36"/>
          <w:rtl/>
        </w:rPr>
        <w:t xml:space="preserve"> </w:t>
      </w:r>
      <w:r w:rsidR="00773F40" w:rsidRPr="00FD211F">
        <w:rPr>
          <w:sz w:val="36"/>
          <w:szCs w:val="36"/>
          <w:rtl/>
        </w:rPr>
        <w:t>في</w:t>
      </w:r>
      <w:r w:rsidR="00E8128F">
        <w:rPr>
          <w:sz w:val="36"/>
          <w:szCs w:val="36"/>
          <w:rtl/>
        </w:rPr>
        <w:t xml:space="preserve"> </w:t>
      </w:r>
      <w:r w:rsidR="00773F40" w:rsidRPr="00FD211F">
        <w:rPr>
          <w:sz w:val="36"/>
          <w:szCs w:val="36"/>
          <w:rtl/>
        </w:rPr>
        <w:t>الجمل</w:t>
      </w:r>
      <w:r w:rsidR="00EC7EDF" w:rsidRPr="00FD211F">
        <w:rPr>
          <w:sz w:val="36"/>
          <w:szCs w:val="36"/>
          <w:rtl/>
        </w:rPr>
        <w:t>ة</w:t>
      </w:r>
      <w:r w:rsidR="00603323" w:rsidRPr="00FD211F">
        <w:rPr>
          <w:sz w:val="36"/>
          <w:szCs w:val="36"/>
          <w:rtl/>
        </w:rPr>
        <w:t>،</w:t>
      </w:r>
      <w:r w:rsidR="00E8128F">
        <w:rPr>
          <w:sz w:val="36"/>
          <w:szCs w:val="36"/>
          <w:rtl/>
        </w:rPr>
        <w:t xml:space="preserve"> </w:t>
      </w:r>
      <w:r w:rsidR="00773F40" w:rsidRPr="00FD211F">
        <w:rPr>
          <w:sz w:val="36"/>
          <w:szCs w:val="36"/>
          <w:rtl/>
        </w:rPr>
        <w:t>فلامحال</w:t>
      </w:r>
      <w:r w:rsidR="00EC7EDF" w:rsidRPr="00FD211F">
        <w:rPr>
          <w:sz w:val="36"/>
          <w:szCs w:val="36"/>
          <w:rtl/>
        </w:rPr>
        <w:t>ة</w:t>
      </w:r>
      <w:r w:rsidR="00E8128F">
        <w:rPr>
          <w:sz w:val="36"/>
          <w:szCs w:val="36"/>
          <w:rtl/>
        </w:rPr>
        <w:t xml:space="preserve"> </w:t>
      </w:r>
      <w:r w:rsidR="00773F40" w:rsidRPr="00FD211F">
        <w:rPr>
          <w:sz w:val="36"/>
          <w:szCs w:val="36"/>
          <w:rtl/>
        </w:rPr>
        <w:t>يكون</w:t>
      </w:r>
      <w:r w:rsidR="00E8128F">
        <w:rPr>
          <w:sz w:val="36"/>
          <w:szCs w:val="36"/>
          <w:rtl/>
        </w:rPr>
        <w:t xml:space="preserve"> </w:t>
      </w:r>
      <w:r w:rsidR="00773F40" w:rsidRPr="00FD211F">
        <w:rPr>
          <w:sz w:val="36"/>
          <w:szCs w:val="36"/>
          <w:rtl/>
        </w:rPr>
        <w:t>المشتق</w:t>
      </w:r>
      <w:r w:rsidR="00E8128F">
        <w:rPr>
          <w:sz w:val="36"/>
          <w:szCs w:val="36"/>
          <w:rtl/>
        </w:rPr>
        <w:t xml:space="preserve"> </w:t>
      </w:r>
      <w:r w:rsidR="00773F40" w:rsidRPr="00FD211F">
        <w:rPr>
          <w:sz w:val="36"/>
          <w:szCs w:val="36"/>
          <w:rtl/>
        </w:rPr>
        <w:t>موضوعا</w:t>
      </w:r>
      <w:r w:rsidR="00E8128F">
        <w:rPr>
          <w:sz w:val="36"/>
          <w:szCs w:val="36"/>
          <w:rtl/>
        </w:rPr>
        <w:t xml:space="preserve"> </w:t>
      </w:r>
      <w:r w:rsidR="00773F40" w:rsidRPr="00FD211F">
        <w:rPr>
          <w:sz w:val="36"/>
          <w:szCs w:val="36"/>
          <w:rtl/>
        </w:rPr>
        <w:t>للأعم</w:t>
      </w:r>
      <w:r w:rsidR="00603323" w:rsidRPr="00FD211F">
        <w:rPr>
          <w:sz w:val="36"/>
          <w:szCs w:val="36"/>
          <w:rtl/>
        </w:rPr>
        <w:t>،</w:t>
      </w:r>
      <w:r w:rsidR="00E8128F">
        <w:rPr>
          <w:sz w:val="36"/>
          <w:szCs w:val="36"/>
          <w:rtl/>
        </w:rPr>
        <w:t xml:space="preserve"> </w:t>
      </w:r>
      <w:r w:rsidR="00773F40" w:rsidRPr="00FD211F">
        <w:rPr>
          <w:sz w:val="36"/>
          <w:szCs w:val="36"/>
          <w:rtl/>
        </w:rPr>
        <w:t>عدل</w:t>
      </w:r>
      <w:r w:rsidR="00E8128F">
        <w:rPr>
          <w:sz w:val="36"/>
          <w:szCs w:val="36"/>
          <w:rtl/>
        </w:rPr>
        <w:t xml:space="preserve"> </w:t>
      </w:r>
      <w:r w:rsidR="00773F40" w:rsidRPr="00FD211F">
        <w:rPr>
          <w:sz w:val="36"/>
          <w:szCs w:val="36"/>
          <w:rtl/>
        </w:rPr>
        <w:t>عن</w:t>
      </w:r>
      <w:r w:rsidR="00E8128F">
        <w:rPr>
          <w:sz w:val="36"/>
          <w:szCs w:val="36"/>
          <w:rtl/>
        </w:rPr>
        <w:t xml:space="preserve"> </w:t>
      </w:r>
      <w:r w:rsidR="00773F40" w:rsidRPr="00FD211F">
        <w:rPr>
          <w:sz w:val="36"/>
          <w:szCs w:val="36"/>
          <w:rtl/>
        </w:rPr>
        <w:t>ذلك</w:t>
      </w:r>
      <w:r w:rsidR="00603323" w:rsidRPr="00FD211F">
        <w:rPr>
          <w:sz w:val="36"/>
          <w:szCs w:val="36"/>
          <w:rtl/>
        </w:rPr>
        <w:t>،</w:t>
      </w:r>
      <w:r w:rsidR="00E8128F">
        <w:rPr>
          <w:sz w:val="36"/>
          <w:szCs w:val="36"/>
          <w:rtl/>
        </w:rPr>
        <w:t xml:space="preserve"> </w:t>
      </w:r>
      <w:r w:rsidR="00773F40" w:rsidRPr="00FD211F">
        <w:rPr>
          <w:sz w:val="36"/>
          <w:szCs w:val="36"/>
          <w:rtl/>
        </w:rPr>
        <w:t>فقال</w:t>
      </w:r>
      <w:r w:rsidR="00E8128F">
        <w:rPr>
          <w:sz w:val="36"/>
          <w:szCs w:val="36"/>
          <w:rtl/>
        </w:rPr>
        <w:t xml:space="preserve"> </w:t>
      </w:r>
      <w:r w:rsidR="00773F40" w:rsidRPr="00FD211F">
        <w:rPr>
          <w:sz w:val="36"/>
          <w:szCs w:val="36"/>
          <w:rtl/>
        </w:rPr>
        <w:t>انه</w:t>
      </w:r>
      <w:r w:rsidR="00E8128F">
        <w:rPr>
          <w:sz w:val="36"/>
          <w:szCs w:val="36"/>
          <w:rtl/>
        </w:rPr>
        <w:t xml:space="preserve"> </w:t>
      </w:r>
      <w:r w:rsidR="00773F40" w:rsidRPr="00FD211F">
        <w:rPr>
          <w:sz w:val="36"/>
          <w:szCs w:val="36"/>
          <w:rtl/>
        </w:rPr>
        <w:t>على</w:t>
      </w:r>
      <w:r w:rsidR="00E8128F">
        <w:rPr>
          <w:sz w:val="36"/>
          <w:szCs w:val="36"/>
          <w:rtl/>
        </w:rPr>
        <w:t xml:space="preserve"> </w:t>
      </w:r>
      <w:r w:rsidR="00773F40" w:rsidRPr="00FD211F">
        <w:rPr>
          <w:sz w:val="36"/>
          <w:szCs w:val="36"/>
          <w:rtl/>
        </w:rPr>
        <w:t>القول</w:t>
      </w:r>
      <w:r w:rsidR="00E8128F">
        <w:rPr>
          <w:sz w:val="36"/>
          <w:szCs w:val="36"/>
          <w:rtl/>
        </w:rPr>
        <w:t xml:space="preserve"> </w:t>
      </w:r>
      <w:r w:rsidR="00773F40" w:rsidRPr="00FD211F">
        <w:rPr>
          <w:sz w:val="36"/>
          <w:szCs w:val="36"/>
          <w:rtl/>
        </w:rPr>
        <w:t>بتركب</w:t>
      </w:r>
      <w:r w:rsidR="00E8128F">
        <w:rPr>
          <w:sz w:val="36"/>
          <w:szCs w:val="36"/>
          <w:rtl/>
        </w:rPr>
        <w:t xml:space="preserve"> </w:t>
      </w:r>
      <w:r w:rsidR="00773F40" w:rsidRPr="00FD211F">
        <w:rPr>
          <w:sz w:val="36"/>
          <w:szCs w:val="36"/>
          <w:rtl/>
        </w:rPr>
        <w:t>المشتق</w:t>
      </w:r>
      <w:r w:rsidR="00E8128F">
        <w:rPr>
          <w:sz w:val="36"/>
          <w:szCs w:val="36"/>
          <w:rtl/>
        </w:rPr>
        <w:t xml:space="preserve"> </w:t>
      </w:r>
      <w:r w:rsidR="00773F40" w:rsidRPr="00FD211F">
        <w:rPr>
          <w:sz w:val="36"/>
          <w:szCs w:val="36"/>
          <w:rtl/>
        </w:rPr>
        <w:t>ايضا</w:t>
      </w:r>
      <w:r w:rsidR="00E8128F">
        <w:rPr>
          <w:sz w:val="36"/>
          <w:szCs w:val="36"/>
          <w:rtl/>
        </w:rPr>
        <w:t xml:space="preserve"> </w:t>
      </w:r>
      <w:r w:rsidR="00773F40" w:rsidRPr="00FD211F">
        <w:rPr>
          <w:sz w:val="36"/>
          <w:szCs w:val="36"/>
          <w:rtl/>
        </w:rPr>
        <w:t>لايعقل</w:t>
      </w:r>
      <w:r w:rsidR="00E8128F">
        <w:rPr>
          <w:sz w:val="36"/>
          <w:szCs w:val="36"/>
          <w:rtl/>
        </w:rPr>
        <w:t xml:space="preserve"> </w:t>
      </w:r>
      <w:r w:rsidR="00773F40" w:rsidRPr="00FD211F">
        <w:rPr>
          <w:sz w:val="36"/>
          <w:szCs w:val="36"/>
          <w:rtl/>
        </w:rPr>
        <w:t>وضع</w:t>
      </w:r>
      <w:r w:rsidR="00E8128F">
        <w:rPr>
          <w:sz w:val="36"/>
          <w:szCs w:val="36"/>
          <w:rtl/>
        </w:rPr>
        <w:t xml:space="preserve"> </w:t>
      </w:r>
      <w:r w:rsidR="00773F40" w:rsidRPr="00FD211F">
        <w:rPr>
          <w:sz w:val="36"/>
          <w:szCs w:val="36"/>
          <w:rtl/>
        </w:rPr>
        <w:t>المشتق</w:t>
      </w:r>
      <w:r w:rsidR="00E8128F">
        <w:rPr>
          <w:sz w:val="36"/>
          <w:szCs w:val="36"/>
          <w:rtl/>
        </w:rPr>
        <w:t xml:space="preserve"> </w:t>
      </w:r>
      <w:r w:rsidR="00773F40" w:rsidRPr="00FD211F">
        <w:rPr>
          <w:sz w:val="36"/>
          <w:szCs w:val="36"/>
          <w:rtl/>
        </w:rPr>
        <w:t>للأعم</w:t>
      </w:r>
      <w:r w:rsidR="00603323" w:rsidRPr="00FD211F">
        <w:rPr>
          <w:sz w:val="36"/>
          <w:szCs w:val="36"/>
          <w:rtl/>
        </w:rPr>
        <w:t>،</w:t>
      </w:r>
      <w:r w:rsidR="00E8128F">
        <w:rPr>
          <w:sz w:val="36"/>
          <w:szCs w:val="36"/>
          <w:rtl/>
        </w:rPr>
        <w:t xml:space="preserve"> </w:t>
      </w:r>
      <w:r w:rsidR="00773F40" w:rsidRPr="00FD211F">
        <w:rPr>
          <w:sz w:val="36"/>
          <w:szCs w:val="36"/>
          <w:rtl/>
        </w:rPr>
        <w:t>اذ</w:t>
      </w:r>
      <w:r w:rsidR="00E8128F">
        <w:rPr>
          <w:sz w:val="36"/>
          <w:szCs w:val="36"/>
          <w:rtl/>
        </w:rPr>
        <w:t xml:space="preserve"> </w:t>
      </w:r>
      <w:r w:rsidR="00773F40" w:rsidRPr="00FD211F">
        <w:rPr>
          <w:sz w:val="36"/>
          <w:szCs w:val="36"/>
          <w:rtl/>
        </w:rPr>
        <w:t>لايوجد</w:t>
      </w:r>
      <w:r w:rsidR="00E8128F">
        <w:rPr>
          <w:sz w:val="36"/>
          <w:szCs w:val="36"/>
          <w:rtl/>
        </w:rPr>
        <w:t xml:space="preserve"> </w:t>
      </w:r>
      <w:r w:rsidR="00773F40" w:rsidRPr="00FD211F">
        <w:rPr>
          <w:sz w:val="36"/>
          <w:szCs w:val="36"/>
          <w:rtl/>
        </w:rPr>
        <w:t>جامع</w:t>
      </w:r>
      <w:r w:rsidR="00E8128F">
        <w:rPr>
          <w:sz w:val="36"/>
          <w:szCs w:val="36"/>
          <w:rtl/>
        </w:rPr>
        <w:t xml:space="preserve"> </w:t>
      </w:r>
      <w:r w:rsidR="00773F40" w:rsidRPr="00FD211F">
        <w:rPr>
          <w:sz w:val="36"/>
          <w:szCs w:val="36"/>
          <w:rtl/>
        </w:rPr>
        <w:t>بين</w:t>
      </w:r>
      <w:r w:rsidR="00E8128F">
        <w:rPr>
          <w:sz w:val="36"/>
          <w:szCs w:val="36"/>
          <w:rtl/>
        </w:rPr>
        <w:t xml:space="preserve"> </w:t>
      </w:r>
      <w:r w:rsidR="00773F40" w:rsidRPr="00FD211F">
        <w:rPr>
          <w:sz w:val="36"/>
          <w:szCs w:val="36"/>
          <w:rtl/>
        </w:rPr>
        <w:t>الذات</w:t>
      </w:r>
      <w:r w:rsidR="00E8128F">
        <w:rPr>
          <w:sz w:val="36"/>
          <w:szCs w:val="36"/>
          <w:rtl/>
        </w:rPr>
        <w:t xml:space="preserve"> </w:t>
      </w:r>
      <w:r w:rsidR="00773F40" w:rsidRPr="00FD211F">
        <w:rPr>
          <w:sz w:val="36"/>
          <w:szCs w:val="36"/>
          <w:rtl/>
        </w:rPr>
        <w:t>الواجد</w:t>
      </w:r>
      <w:r w:rsidR="00EC7EDF" w:rsidRPr="00FD211F">
        <w:rPr>
          <w:sz w:val="36"/>
          <w:szCs w:val="36"/>
          <w:rtl/>
        </w:rPr>
        <w:t>ة</w:t>
      </w:r>
      <w:r w:rsidR="00E8128F">
        <w:rPr>
          <w:sz w:val="36"/>
          <w:szCs w:val="36"/>
          <w:rtl/>
        </w:rPr>
        <w:t xml:space="preserve"> </w:t>
      </w:r>
      <w:r w:rsidR="00773F40" w:rsidRPr="00FD211F">
        <w:rPr>
          <w:sz w:val="36"/>
          <w:szCs w:val="36"/>
          <w:rtl/>
        </w:rPr>
        <w:t>لل</w:t>
      </w:r>
      <w:r w:rsidR="0079493B" w:rsidRPr="00FD211F">
        <w:rPr>
          <w:sz w:val="36"/>
          <w:szCs w:val="36"/>
          <w:rtl/>
        </w:rPr>
        <w:t>مبدأ</w:t>
      </w:r>
      <w:r w:rsidR="00E8128F">
        <w:rPr>
          <w:sz w:val="36"/>
          <w:szCs w:val="36"/>
          <w:rtl/>
        </w:rPr>
        <w:t xml:space="preserve"> </w:t>
      </w:r>
      <w:r w:rsidR="00773F40" w:rsidRPr="00FD211F">
        <w:rPr>
          <w:sz w:val="36"/>
          <w:szCs w:val="36"/>
          <w:rtl/>
        </w:rPr>
        <w:t>والذات</w:t>
      </w:r>
      <w:r w:rsidR="00E8128F">
        <w:rPr>
          <w:sz w:val="36"/>
          <w:szCs w:val="36"/>
          <w:rtl/>
        </w:rPr>
        <w:t xml:space="preserve"> </w:t>
      </w:r>
      <w:r w:rsidR="00773F40" w:rsidRPr="00FD211F">
        <w:rPr>
          <w:sz w:val="36"/>
          <w:szCs w:val="36"/>
          <w:rtl/>
        </w:rPr>
        <w:t>الفاقد</w:t>
      </w:r>
      <w:r w:rsidR="00EC7EDF" w:rsidRPr="00FD211F">
        <w:rPr>
          <w:sz w:val="36"/>
          <w:szCs w:val="36"/>
          <w:rtl/>
        </w:rPr>
        <w:t>ة</w:t>
      </w:r>
      <w:r w:rsidR="00E8128F">
        <w:rPr>
          <w:sz w:val="36"/>
          <w:szCs w:val="36"/>
          <w:rtl/>
        </w:rPr>
        <w:t xml:space="preserve"> </w:t>
      </w:r>
      <w:r w:rsidR="00773F40" w:rsidRPr="00FD211F">
        <w:rPr>
          <w:sz w:val="36"/>
          <w:szCs w:val="36"/>
          <w:rtl/>
        </w:rPr>
        <w:t>له</w:t>
      </w:r>
      <w:r w:rsidR="00603323" w:rsidRPr="00FD211F">
        <w:rPr>
          <w:sz w:val="36"/>
          <w:szCs w:val="36"/>
          <w:rtl/>
        </w:rPr>
        <w:t>،</w:t>
      </w:r>
      <w:r w:rsidR="00E8128F">
        <w:rPr>
          <w:sz w:val="36"/>
          <w:szCs w:val="36"/>
          <w:rtl/>
        </w:rPr>
        <w:t xml:space="preserve"> </w:t>
      </w:r>
      <w:r w:rsidR="00773F40" w:rsidRPr="00FD211F">
        <w:rPr>
          <w:sz w:val="36"/>
          <w:szCs w:val="36"/>
          <w:rtl/>
        </w:rPr>
        <w:t>نعم</w:t>
      </w:r>
      <w:r w:rsidR="00E8128F">
        <w:rPr>
          <w:sz w:val="36"/>
          <w:szCs w:val="36"/>
          <w:rtl/>
        </w:rPr>
        <w:t xml:space="preserve"> </w:t>
      </w:r>
      <w:r w:rsidR="00773F40" w:rsidRPr="00FD211F">
        <w:rPr>
          <w:sz w:val="36"/>
          <w:szCs w:val="36"/>
          <w:rtl/>
        </w:rPr>
        <w:t>لو</w:t>
      </w:r>
      <w:r w:rsidR="00E8128F">
        <w:rPr>
          <w:sz w:val="36"/>
          <w:szCs w:val="36"/>
          <w:rtl/>
        </w:rPr>
        <w:t xml:space="preserve"> </w:t>
      </w:r>
      <w:r w:rsidR="00773F40" w:rsidRPr="00FD211F">
        <w:rPr>
          <w:sz w:val="36"/>
          <w:szCs w:val="36"/>
          <w:rtl/>
        </w:rPr>
        <w:t>كان</w:t>
      </w:r>
      <w:r w:rsidR="00E8128F">
        <w:rPr>
          <w:sz w:val="36"/>
          <w:szCs w:val="36"/>
          <w:rtl/>
        </w:rPr>
        <w:t xml:space="preserve"> </w:t>
      </w:r>
      <w:r w:rsidR="00773F40" w:rsidRPr="00FD211F">
        <w:rPr>
          <w:sz w:val="36"/>
          <w:szCs w:val="36"/>
          <w:rtl/>
        </w:rPr>
        <w:t>الزمان</w:t>
      </w:r>
      <w:r w:rsidR="00E8128F">
        <w:rPr>
          <w:sz w:val="36"/>
          <w:szCs w:val="36"/>
          <w:rtl/>
        </w:rPr>
        <w:t xml:space="preserve"> </w:t>
      </w:r>
      <w:r w:rsidR="00773F40" w:rsidRPr="00FD211F">
        <w:rPr>
          <w:sz w:val="36"/>
          <w:szCs w:val="36"/>
          <w:rtl/>
        </w:rPr>
        <w:t>مأخوذا</w:t>
      </w:r>
      <w:r w:rsidR="00E8128F">
        <w:rPr>
          <w:sz w:val="36"/>
          <w:szCs w:val="36"/>
          <w:rtl/>
        </w:rPr>
        <w:t xml:space="preserve"> </w:t>
      </w:r>
      <w:r w:rsidR="00773F40" w:rsidRPr="00FD211F">
        <w:rPr>
          <w:sz w:val="36"/>
          <w:szCs w:val="36"/>
          <w:rtl/>
        </w:rPr>
        <w:t>في</w:t>
      </w:r>
      <w:r w:rsidR="00E8128F">
        <w:rPr>
          <w:sz w:val="36"/>
          <w:szCs w:val="36"/>
          <w:rtl/>
        </w:rPr>
        <w:t xml:space="preserve"> </w:t>
      </w:r>
      <w:r w:rsidR="00773F40" w:rsidRPr="00FD211F">
        <w:rPr>
          <w:sz w:val="36"/>
          <w:szCs w:val="36"/>
          <w:rtl/>
        </w:rPr>
        <w:t>مدلول</w:t>
      </w:r>
      <w:r w:rsidR="00E8128F">
        <w:rPr>
          <w:sz w:val="36"/>
          <w:szCs w:val="36"/>
          <w:rtl/>
        </w:rPr>
        <w:t xml:space="preserve"> </w:t>
      </w:r>
      <w:r w:rsidR="00773F40" w:rsidRPr="00FD211F">
        <w:rPr>
          <w:sz w:val="36"/>
          <w:szCs w:val="36"/>
          <w:rtl/>
        </w:rPr>
        <w:t>المشتق</w:t>
      </w:r>
      <w:r w:rsidR="00E8128F">
        <w:rPr>
          <w:sz w:val="36"/>
          <w:szCs w:val="36"/>
          <w:rtl/>
        </w:rPr>
        <w:t xml:space="preserve"> </w:t>
      </w:r>
      <w:r w:rsidR="00773F40" w:rsidRPr="00FD211F">
        <w:rPr>
          <w:sz w:val="36"/>
          <w:szCs w:val="36"/>
          <w:rtl/>
        </w:rPr>
        <w:t>صح</w:t>
      </w:r>
      <w:r w:rsidR="00E8128F">
        <w:rPr>
          <w:sz w:val="36"/>
          <w:szCs w:val="36"/>
          <w:rtl/>
        </w:rPr>
        <w:t xml:space="preserve"> </w:t>
      </w:r>
      <w:r w:rsidR="00773F40" w:rsidRPr="00FD211F">
        <w:rPr>
          <w:sz w:val="36"/>
          <w:szCs w:val="36"/>
          <w:rtl/>
        </w:rPr>
        <w:t>ان</w:t>
      </w:r>
      <w:r w:rsidR="00E8128F">
        <w:rPr>
          <w:sz w:val="36"/>
          <w:szCs w:val="36"/>
          <w:rtl/>
        </w:rPr>
        <w:t xml:space="preserve"> </w:t>
      </w:r>
      <w:r w:rsidR="00773F40" w:rsidRPr="00FD211F">
        <w:rPr>
          <w:sz w:val="36"/>
          <w:szCs w:val="36"/>
          <w:rtl/>
        </w:rPr>
        <w:t>يقال</w:t>
      </w:r>
      <w:r w:rsidR="00E8128F">
        <w:rPr>
          <w:sz w:val="36"/>
          <w:szCs w:val="36"/>
          <w:rtl/>
        </w:rPr>
        <w:t xml:space="preserve"> </w:t>
      </w:r>
      <w:r w:rsidR="00773F40" w:rsidRPr="00FD211F">
        <w:rPr>
          <w:sz w:val="36"/>
          <w:szCs w:val="36"/>
          <w:rtl/>
        </w:rPr>
        <w:t>بوضع</w:t>
      </w:r>
      <w:r w:rsidR="00E8128F">
        <w:rPr>
          <w:sz w:val="36"/>
          <w:szCs w:val="36"/>
          <w:rtl/>
        </w:rPr>
        <w:t xml:space="preserve"> </w:t>
      </w:r>
      <w:r w:rsidR="00773F40" w:rsidRPr="00FD211F">
        <w:rPr>
          <w:sz w:val="36"/>
          <w:szCs w:val="36"/>
          <w:rtl/>
        </w:rPr>
        <w:t>المشتق</w:t>
      </w:r>
      <w:r w:rsidR="00E8128F">
        <w:rPr>
          <w:sz w:val="36"/>
          <w:szCs w:val="36"/>
          <w:rtl/>
        </w:rPr>
        <w:t xml:space="preserve"> </w:t>
      </w:r>
      <w:r w:rsidR="00773F40" w:rsidRPr="00FD211F">
        <w:rPr>
          <w:sz w:val="36"/>
          <w:szCs w:val="36"/>
          <w:rtl/>
        </w:rPr>
        <w:t>للذات</w:t>
      </w:r>
      <w:r w:rsidR="00E8128F">
        <w:rPr>
          <w:sz w:val="36"/>
          <w:szCs w:val="36"/>
          <w:rtl/>
        </w:rPr>
        <w:t xml:space="preserve"> </w:t>
      </w:r>
      <w:r w:rsidR="00773F40" w:rsidRPr="00FD211F">
        <w:rPr>
          <w:sz w:val="36"/>
          <w:szCs w:val="36"/>
          <w:rtl/>
        </w:rPr>
        <w:t>المتلبس</w:t>
      </w:r>
      <w:r w:rsidR="00E8128F">
        <w:rPr>
          <w:sz w:val="36"/>
          <w:szCs w:val="36"/>
          <w:rtl/>
        </w:rPr>
        <w:t xml:space="preserve"> </w:t>
      </w:r>
      <w:r w:rsidR="00773F40" w:rsidRPr="00FD211F">
        <w:rPr>
          <w:sz w:val="36"/>
          <w:szCs w:val="36"/>
          <w:rtl/>
        </w:rPr>
        <w:t>بال</w:t>
      </w:r>
      <w:r w:rsidR="0079493B" w:rsidRPr="00FD211F">
        <w:rPr>
          <w:sz w:val="36"/>
          <w:szCs w:val="36"/>
          <w:rtl/>
        </w:rPr>
        <w:t>مبدأ</w:t>
      </w:r>
      <w:r w:rsidR="00E8128F">
        <w:rPr>
          <w:sz w:val="36"/>
          <w:szCs w:val="36"/>
          <w:rtl/>
        </w:rPr>
        <w:t xml:space="preserve"> </w:t>
      </w:r>
      <w:r w:rsidR="00773F40" w:rsidRPr="00FD211F">
        <w:rPr>
          <w:sz w:val="36"/>
          <w:szCs w:val="36"/>
          <w:rtl/>
        </w:rPr>
        <w:t>في</w:t>
      </w:r>
      <w:r w:rsidR="00E8128F">
        <w:rPr>
          <w:sz w:val="36"/>
          <w:szCs w:val="36"/>
          <w:rtl/>
        </w:rPr>
        <w:t xml:space="preserve"> </w:t>
      </w:r>
      <w:r w:rsidR="00773F40" w:rsidRPr="00FD211F">
        <w:rPr>
          <w:sz w:val="36"/>
          <w:szCs w:val="36"/>
          <w:rtl/>
        </w:rPr>
        <w:t>الزمان</w:t>
      </w:r>
      <w:r w:rsidR="00E8128F">
        <w:rPr>
          <w:sz w:val="36"/>
          <w:szCs w:val="36"/>
          <w:rtl/>
        </w:rPr>
        <w:t xml:space="preserve"> </w:t>
      </w:r>
      <w:r w:rsidR="00773F40" w:rsidRPr="00FD211F">
        <w:rPr>
          <w:sz w:val="36"/>
          <w:szCs w:val="36"/>
          <w:rtl/>
        </w:rPr>
        <w:t>الماضي</w:t>
      </w:r>
      <w:r w:rsidR="00E8128F">
        <w:rPr>
          <w:sz w:val="36"/>
          <w:szCs w:val="36"/>
          <w:rtl/>
        </w:rPr>
        <w:t xml:space="preserve"> </w:t>
      </w:r>
      <w:r w:rsidR="00773F40" w:rsidRPr="00FD211F">
        <w:rPr>
          <w:sz w:val="36"/>
          <w:szCs w:val="36"/>
          <w:rtl/>
        </w:rPr>
        <w:t>او</w:t>
      </w:r>
      <w:r w:rsidR="00E8128F">
        <w:rPr>
          <w:sz w:val="36"/>
          <w:szCs w:val="36"/>
          <w:rtl/>
        </w:rPr>
        <w:t xml:space="preserve"> </w:t>
      </w:r>
      <w:r w:rsidR="00773F40" w:rsidRPr="00FD211F">
        <w:rPr>
          <w:sz w:val="36"/>
          <w:szCs w:val="36"/>
          <w:rtl/>
        </w:rPr>
        <w:t>الحال</w:t>
      </w:r>
      <w:r w:rsidR="00603323" w:rsidRPr="00FD211F">
        <w:rPr>
          <w:sz w:val="36"/>
          <w:szCs w:val="36"/>
          <w:rtl/>
        </w:rPr>
        <w:t>،</w:t>
      </w:r>
      <w:r w:rsidR="00E8128F">
        <w:rPr>
          <w:sz w:val="36"/>
          <w:szCs w:val="36"/>
          <w:rtl/>
        </w:rPr>
        <w:t xml:space="preserve"> </w:t>
      </w:r>
      <w:r w:rsidRPr="00FD211F">
        <w:rPr>
          <w:sz w:val="36"/>
          <w:szCs w:val="36"/>
          <w:rtl/>
        </w:rPr>
        <w:t>لكنه</w:t>
      </w:r>
      <w:r w:rsidR="00E8128F">
        <w:rPr>
          <w:sz w:val="36"/>
          <w:szCs w:val="36"/>
          <w:rtl/>
        </w:rPr>
        <w:t xml:space="preserve"> </w:t>
      </w:r>
      <w:r w:rsidRPr="00FD211F">
        <w:rPr>
          <w:sz w:val="36"/>
          <w:szCs w:val="36"/>
          <w:rtl/>
        </w:rPr>
        <w:t>لايحتمل</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الزمان</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المشتق</w:t>
      </w:r>
      <w:r w:rsidR="009C58C8" w:rsidRPr="00FD211F">
        <w:rPr>
          <w:rStyle w:val="a6"/>
          <w:sz w:val="36"/>
          <w:szCs w:val="36"/>
          <w:rtl/>
        </w:rPr>
        <w:t>(</w:t>
      </w:r>
      <w:r w:rsidR="009C58C8" w:rsidRPr="00FD211F">
        <w:rPr>
          <w:rStyle w:val="a6"/>
          <w:sz w:val="36"/>
          <w:szCs w:val="36"/>
          <w:rtl/>
        </w:rPr>
        <w:footnoteReference w:id="544"/>
      </w:r>
      <w:r w:rsidR="009C58C8" w:rsidRPr="00FD211F">
        <w:rPr>
          <w:rStyle w:val="a6"/>
          <w:sz w:val="36"/>
          <w:szCs w:val="36"/>
          <w:rtl/>
        </w:rPr>
        <w:t>)</w:t>
      </w:r>
      <w:r w:rsidR="00773F40" w:rsidRPr="00FD211F">
        <w:rPr>
          <w:sz w:val="36"/>
          <w:szCs w:val="36"/>
          <w:rtl/>
        </w:rPr>
        <w:t>.</w:t>
      </w:r>
    </w:p>
    <w:p w14:paraId="0D3D48A0" w14:textId="77777777" w:rsidR="00773F40" w:rsidRPr="00FD211F" w:rsidRDefault="00793654" w:rsidP="009C58C8">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تصدى</w:t>
      </w:r>
      <w:r w:rsidR="00E8128F">
        <w:rPr>
          <w:sz w:val="36"/>
          <w:szCs w:val="36"/>
          <w:rtl/>
        </w:rPr>
        <w:t xml:space="preserve"> </w:t>
      </w:r>
      <w:r w:rsidRPr="00FD211F">
        <w:rPr>
          <w:sz w:val="36"/>
          <w:szCs w:val="36"/>
          <w:rtl/>
        </w:rPr>
        <w:t>جمع</w:t>
      </w:r>
      <w:r w:rsidR="00E8128F">
        <w:rPr>
          <w:sz w:val="36"/>
          <w:szCs w:val="36"/>
          <w:rtl/>
        </w:rPr>
        <w:t xml:space="preserve"> </w:t>
      </w:r>
      <w:r w:rsidRPr="00FD211F">
        <w:rPr>
          <w:sz w:val="36"/>
          <w:szCs w:val="36"/>
          <w:rtl/>
        </w:rPr>
        <w:t>آخر</w:t>
      </w:r>
      <w:r w:rsidR="00773F40" w:rsidRPr="00FD211F">
        <w:rPr>
          <w:sz w:val="36"/>
          <w:szCs w:val="36"/>
          <w:rtl/>
        </w:rPr>
        <w:t>ون</w:t>
      </w:r>
      <w:r w:rsidR="00E8128F">
        <w:rPr>
          <w:sz w:val="36"/>
          <w:szCs w:val="36"/>
          <w:rtl/>
        </w:rPr>
        <w:t xml:space="preserve"> </w:t>
      </w:r>
      <w:r w:rsidRPr="00FD211F">
        <w:rPr>
          <w:sz w:val="36"/>
          <w:szCs w:val="36"/>
          <w:rtl/>
        </w:rPr>
        <w:t>لتصوير</w:t>
      </w:r>
      <w:r w:rsidR="00E8128F">
        <w:rPr>
          <w:sz w:val="36"/>
          <w:szCs w:val="36"/>
          <w:rtl/>
        </w:rPr>
        <w:t xml:space="preserve"> </w:t>
      </w:r>
      <w:r w:rsidR="00773F40" w:rsidRPr="00FD211F">
        <w:rPr>
          <w:sz w:val="36"/>
          <w:szCs w:val="36"/>
          <w:rtl/>
        </w:rPr>
        <w:t>ال</w:t>
      </w:r>
      <w:r w:rsidRPr="00FD211F">
        <w:rPr>
          <w:sz w:val="36"/>
          <w:szCs w:val="36"/>
          <w:rtl/>
        </w:rPr>
        <w:t>جامع</w:t>
      </w:r>
      <w:r w:rsidR="00E8128F">
        <w:rPr>
          <w:sz w:val="36"/>
          <w:szCs w:val="36"/>
          <w:rtl/>
        </w:rPr>
        <w:t xml:space="preserve"> </w:t>
      </w:r>
      <w:r w:rsidR="00773F40" w:rsidRPr="00FD211F">
        <w:rPr>
          <w:sz w:val="36"/>
          <w:szCs w:val="36"/>
          <w:rtl/>
        </w:rPr>
        <w:t>للأعم</w:t>
      </w:r>
      <w:r w:rsidR="00E8128F">
        <w:rPr>
          <w:sz w:val="36"/>
          <w:szCs w:val="36"/>
          <w:rtl/>
        </w:rPr>
        <w:t xml:space="preserve"> </w:t>
      </w:r>
      <w:r w:rsidR="00773F40" w:rsidRPr="00FD211F">
        <w:rPr>
          <w:sz w:val="36"/>
          <w:szCs w:val="36"/>
          <w:rtl/>
        </w:rPr>
        <w:t>بعد</w:t>
      </w:r>
      <w:r w:rsidR="00EC7EDF" w:rsidRPr="00FD211F">
        <w:rPr>
          <w:sz w:val="36"/>
          <w:szCs w:val="36"/>
          <w:rtl/>
        </w:rPr>
        <w:t>ة</w:t>
      </w:r>
      <w:r w:rsidR="00E8128F">
        <w:rPr>
          <w:sz w:val="36"/>
          <w:szCs w:val="36"/>
          <w:rtl/>
        </w:rPr>
        <w:t xml:space="preserve"> </w:t>
      </w:r>
      <w:r w:rsidR="00773F40" w:rsidRPr="00FD211F">
        <w:rPr>
          <w:sz w:val="36"/>
          <w:szCs w:val="36"/>
          <w:rtl/>
        </w:rPr>
        <w:t>وجوه:</w:t>
      </w:r>
    </w:p>
    <w:p w14:paraId="0317EB69" w14:textId="77777777" w:rsidR="00F47EA4" w:rsidRPr="00FD211F" w:rsidRDefault="00243F4A" w:rsidP="009C58C8">
      <w:pPr>
        <w:ind w:left="0" w:firstLine="227"/>
        <w:jc w:val="both"/>
        <w:rPr>
          <w:sz w:val="36"/>
          <w:szCs w:val="36"/>
          <w:rtl/>
        </w:rPr>
      </w:pPr>
      <w:r w:rsidRPr="00FD211F">
        <w:rPr>
          <w:b/>
          <w:bCs/>
          <w:sz w:val="36"/>
          <w:szCs w:val="36"/>
          <w:rtl/>
        </w:rPr>
        <w:t>الوجه</w:t>
      </w:r>
      <w:r w:rsidR="00E8128F">
        <w:rPr>
          <w:b/>
          <w:bCs/>
          <w:sz w:val="36"/>
          <w:szCs w:val="36"/>
          <w:rtl/>
        </w:rPr>
        <w:t xml:space="preserve"> </w:t>
      </w:r>
      <w:r w:rsidRPr="00FD211F">
        <w:rPr>
          <w:b/>
          <w:bCs/>
          <w:sz w:val="36"/>
          <w:szCs w:val="36"/>
          <w:rtl/>
        </w:rPr>
        <w:t>الاول</w:t>
      </w:r>
      <w:r w:rsidR="00856647" w:rsidRPr="00FD211F">
        <w:rPr>
          <w:b/>
          <w:bCs/>
          <w:sz w:val="36"/>
          <w:szCs w:val="36"/>
          <w:rtl/>
        </w:rPr>
        <w:t>:</w:t>
      </w:r>
      <w:r w:rsidR="00E8128F">
        <w:rPr>
          <w:sz w:val="36"/>
          <w:szCs w:val="36"/>
          <w:rtl/>
        </w:rPr>
        <w:t xml:space="preserve"> </w:t>
      </w:r>
      <w:r w:rsidR="00886377" w:rsidRPr="00FD211F">
        <w:rPr>
          <w:sz w:val="36"/>
          <w:szCs w:val="36"/>
          <w:rtl/>
        </w:rPr>
        <w:t>ان</w:t>
      </w:r>
      <w:r w:rsidR="00E8128F">
        <w:rPr>
          <w:sz w:val="36"/>
          <w:szCs w:val="36"/>
          <w:rtl/>
        </w:rPr>
        <w:t xml:space="preserve"> </w:t>
      </w:r>
      <w:r w:rsidR="00886377" w:rsidRPr="00FD211F">
        <w:rPr>
          <w:sz w:val="36"/>
          <w:szCs w:val="36"/>
          <w:rtl/>
        </w:rPr>
        <w:t>الجامع</w:t>
      </w:r>
      <w:r w:rsidR="00E8128F">
        <w:rPr>
          <w:sz w:val="36"/>
          <w:szCs w:val="36"/>
          <w:rtl/>
        </w:rPr>
        <w:t xml:space="preserve"> </w:t>
      </w:r>
      <w:r w:rsidR="00886377" w:rsidRPr="00FD211F">
        <w:rPr>
          <w:sz w:val="36"/>
          <w:szCs w:val="36"/>
          <w:rtl/>
        </w:rPr>
        <w:t>هو</w:t>
      </w:r>
      <w:r w:rsidR="00E8128F">
        <w:rPr>
          <w:sz w:val="36"/>
          <w:szCs w:val="36"/>
          <w:rtl/>
        </w:rPr>
        <w:t xml:space="preserve"> </w:t>
      </w:r>
      <w:r w:rsidR="00886377" w:rsidRPr="00FD211F">
        <w:rPr>
          <w:sz w:val="36"/>
          <w:szCs w:val="36"/>
          <w:rtl/>
        </w:rPr>
        <w:t>الذات</w:t>
      </w:r>
      <w:r w:rsidR="00E8128F">
        <w:rPr>
          <w:sz w:val="36"/>
          <w:szCs w:val="36"/>
          <w:rtl/>
        </w:rPr>
        <w:t xml:space="preserve"> </w:t>
      </w:r>
      <w:r w:rsidR="00886377" w:rsidRPr="00FD211F">
        <w:rPr>
          <w:sz w:val="36"/>
          <w:szCs w:val="36"/>
          <w:rtl/>
        </w:rPr>
        <w:t>الت</w:t>
      </w:r>
      <w:r w:rsidR="00793654" w:rsidRPr="00FD211F">
        <w:rPr>
          <w:sz w:val="36"/>
          <w:szCs w:val="36"/>
          <w:rtl/>
        </w:rPr>
        <w:t>ي</w:t>
      </w:r>
      <w:r w:rsidR="00E8128F">
        <w:rPr>
          <w:sz w:val="36"/>
          <w:szCs w:val="36"/>
          <w:rtl/>
        </w:rPr>
        <w:t xml:space="preserve"> </w:t>
      </w:r>
      <w:r w:rsidR="00793654" w:rsidRPr="00FD211F">
        <w:rPr>
          <w:sz w:val="36"/>
          <w:szCs w:val="36"/>
          <w:rtl/>
        </w:rPr>
        <w:t>اخذ</w:t>
      </w:r>
      <w:r w:rsidR="00E8128F">
        <w:rPr>
          <w:sz w:val="36"/>
          <w:szCs w:val="36"/>
          <w:rtl/>
        </w:rPr>
        <w:t xml:space="preserve"> </w:t>
      </w:r>
      <w:r w:rsidR="00793654" w:rsidRPr="00FD211F">
        <w:rPr>
          <w:sz w:val="36"/>
          <w:szCs w:val="36"/>
          <w:rtl/>
        </w:rPr>
        <w:t>الفعل</w:t>
      </w:r>
      <w:r w:rsidR="00E8128F">
        <w:rPr>
          <w:sz w:val="36"/>
          <w:szCs w:val="36"/>
          <w:rtl/>
        </w:rPr>
        <w:t xml:space="preserve"> </w:t>
      </w:r>
      <w:r w:rsidR="00793654" w:rsidRPr="00FD211F">
        <w:rPr>
          <w:sz w:val="36"/>
          <w:szCs w:val="36"/>
          <w:rtl/>
        </w:rPr>
        <w:t>الماضي</w:t>
      </w:r>
      <w:r w:rsidR="00E8128F">
        <w:rPr>
          <w:sz w:val="36"/>
          <w:szCs w:val="36"/>
          <w:rtl/>
        </w:rPr>
        <w:t xml:space="preserve"> </w:t>
      </w:r>
      <w:r w:rsidR="00793654" w:rsidRPr="00FD211F">
        <w:rPr>
          <w:sz w:val="36"/>
          <w:szCs w:val="36"/>
          <w:rtl/>
        </w:rPr>
        <w:t>وصفا</w:t>
      </w:r>
      <w:r w:rsidR="00E8128F">
        <w:rPr>
          <w:sz w:val="36"/>
          <w:szCs w:val="36"/>
          <w:rtl/>
        </w:rPr>
        <w:t xml:space="preserve"> </w:t>
      </w:r>
      <w:r w:rsidR="00793654" w:rsidRPr="00FD211F">
        <w:rPr>
          <w:sz w:val="36"/>
          <w:szCs w:val="36"/>
          <w:rtl/>
        </w:rPr>
        <w:t>له</w:t>
      </w:r>
      <w:r w:rsidR="00886377" w:rsidRPr="00FD211F">
        <w:rPr>
          <w:sz w:val="36"/>
          <w:szCs w:val="36"/>
          <w:rtl/>
        </w:rPr>
        <w:t>ا</w:t>
      </w:r>
      <w:r w:rsidR="00603323" w:rsidRPr="00FD211F">
        <w:rPr>
          <w:sz w:val="36"/>
          <w:szCs w:val="36"/>
          <w:rtl/>
        </w:rPr>
        <w:t>،</w:t>
      </w:r>
      <w:r w:rsidR="00E8128F">
        <w:rPr>
          <w:sz w:val="36"/>
          <w:szCs w:val="36"/>
          <w:rtl/>
        </w:rPr>
        <w:t xml:space="preserve"> </w:t>
      </w:r>
      <w:r w:rsidR="00793654" w:rsidRPr="00FD211F">
        <w:rPr>
          <w:sz w:val="36"/>
          <w:szCs w:val="36"/>
          <w:rtl/>
        </w:rPr>
        <w:t>فالعالم</w:t>
      </w:r>
      <w:r w:rsidR="00E8128F">
        <w:rPr>
          <w:sz w:val="36"/>
          <w:szCs w:val="36"/>
          <w:rtl/>
        </w:rPr>
        <w:t xml:space="preserve"> </w:t>
      </w:r>
      <w:r w:rsidR="00773F40" w:rsidRPr="00FD211F">
        <w:rPr>
          <w:sz w:val="36"/>
          <w:szCs w:val="36"/>
          <w:rtl/>
        </w:rPr>
        <w:t>هو</w:t>
      </w:r>
      <w:r w:rsidR="00E8128F">
        <w:rPr>
          <w:sz w:val="36"/>
          <w:szCs w:val="36"/>
          <w:rtl/>
        </w:rPr>
        <w:t xml:space="preserve"> </w:t>
      </w:r>
      <w:r w:rsidR="00793654" w:rsidRPr="00FD211F">
        <w:rPr>
          <w:sz w:val="36"/>
          <w:szCs w:val="36"/>
          <w:rtl/>
        </w:rPr>
        <w:t>من</w:t>
      </w:r>
      <w:r w:rsidR="00E8128F">
        <w:rPr>
          <w:sz w:val="36"/>
          <w:szCs w:val="36"/>
          <w:rtl/>
        </w:rPr>
        <w:t xml:space="preserve"> </w:t>
      </w:r>
      <w:r w:rsidR="00793654" w:rsidRPr="00FD211F">
        <w:rPr>
          <w:sz w:val="36"/>
          <w:szCs w:val="36"/>
          <w:rtl/>
        </w:rPr>
        <w:t>علم</w:t>
      </w:r>
      <w:r w:rsidR="00E8128F">
        <w:rPr>
          <w:sz w:val="36"/>
          <w:szCs w:val="36"/>
          <w:rtl/>
        </w:rPr>
        <w:t xml:space="preserve"> </w:t>
      </w:r>
      <w:r w:rsidR="00793654" w:rsidRPr="00FD211F">
        <w:rPr>
          <w:sz w:val="36"/>
          <w:szCs w:val="36"/>
          <w:rtl/>
        </w:rPr>
        <w:t>والقائم</w:t>
      </w:r>
      <w:r w:rsidR="00E8128F">
        <w:rPr>
          <w:sz w:val="36"/>
          <w:szCs w:val="36"/>
          <w:rtl/>
        </w:rPr>
        <w:t xml:space="preserve"> </w:t>
      </w:r>
      <w:r w:rsidR="00793654" w:rsidRPr="00FD211F">
        <w:rPr>
          <w:sz w:val="36"/>
          <w:szCs w:val="36"/>
          <w:rtl/>
        </w:rPr>
        <w:t>من</w:t>
      </w:r>
      <w:r w:rsidR="00E8128F">
        <w:rPr>
          <w:sz w:val="36"/>
          <w:szCs w:val="36"/>
          <w:rtl/>
        </w:rPr>
        <w:t xml:space="preserve"> </w:t>
      </w:r>
      <w:r w:rsidR="00793654" w:rsidRPr="00FD211F">
        <w:rPr>
          <w:sz w:val="36"/>
          <w:szCs w:val="36"/>
          <w:rtl/>
        </w:rPr>
        <w:t>قام</w:t>
      </w:r>
      <w:r w:rsidR="00E8128F">
        <w:rPr>
          <w:sz w:val="36"/>
          <w:szCs w:val="36"/>
          <w:rtl/>
        </w:rPr>
        <w:t xml:space="preserve"> </w:t>
      </w:r>
      <w:r w:rsidR="00793654" w:rsidRPr="00FD211F">
        <w:rPr>
          <w:sz w:val="36"/>
          <w:szCs w:val="36"/>
          <w:rtl/>
        </w:rPr>
        <w:t>فيصدق</w:t>
      </w:r>
      <w:r w:rsidR="00E8128F">
        <w:rPr>
          <w:sz w:val="36"/>
          <w:szCs w:val="36"/>
          <w:rtl/>
        </w:rPr>
        <w:t xml:space="preserve"> </w:t>
      </w:r>
      <w:r w:rsidR="00793654" w:rsidRPr="00FD211F">
        <w:rPr>
          <w:sz w:val="36"/>
          <w:szCs w:val="36"/>
          <w:rtl/>
        </w:rPr>
        <w:t>على</w:t>
      </w:r>
      <w:r w:rsidR="00E8128F">
        <w:rPr>
          <w:sz w:val="36"/>
          <w:szCs w:val="36"/>
          <w:rtl/>
        </w:rPr>
        <w:t xml:space="preserve"> </w:t>
      </w:r>
      <w:r w:rsidR="00793654" w:rsidRPr="00FD211F">
        <w:rPr>
          <w:sz w:val="36"/>
          <w:szCs w:val="36"/>
          <w:rtl/>
        </w:rPr>
        <w:t>المتلبس</w:t>
      </w:r>
      <w:r w:rsidR="00E8128F">
        <w:rPr>
          <w:sz w:val="36"/>
          <w:szCs w:val="36"/>
          <w:rtl/>
        </w:rPr>
        <w:t xml:space="preserve"> </w:t>
      </w:r>
      <w:r w:rsidR="00793654" w:rsidRPr="00FD211F">
        <w:rPr>
          <w:sz w:val="36"/>
          <w:szCs w:val="36"/>
          <w:rtl/>
        </w:rPr>
        <w:t>و</w:t>
      </w:r>
      <w:r w:rsidR="00773F40" w:rsidRPr="00FD211F">
        <w:rPr>
          <w:sz w:val="36"/>
          <w:szCs w:val="36"/>
          <w:rtl/>
        </w:rPr>
        <w:t>من</w:t>
      </w:r>
      <w:r w:rsidR="00E8128F">
        <w:rPr>
          <w:sz w:val="36"/>
          <w:szCs w:val="36"/>
          <w:rtl/>
        </w:rPr>
        <w:t xml:space="preserve"> </w:t>
      </w:r>
      <w:r w:rsidR="00773F40" w:rsidRPr="00FD211F">
        <w:rPr>
          <w:sz w:val="36"/>
          <w:szCs w:val="36"/>
          <w:rtl/>
        </w:rPr>
        <w:t>انقضى</w:t>
      </w:r>
      <w:r w:rsidR="00E8128F">
        <w:rPr>
          <w:sz w:val="36"/>
          <w:szCs w:val="36"/>
          <w:rtl/>
        </w:rPr>
        <w:t xml:space="preserve"> </w:t>
      </w:r>
      <w:r w:rsidR="00773F40" w:rsidRPr="00FD211F">
        <w:rPr>
          <w:sz w:val="36"/>
          <w:szCs w:val="36"/>
          <w:rtl/>
        </w:rPr>
        <w:t>عنه</w:t>
      </w:r>
      <w:r w:rsidR="00E8128F">
        <w:rPr>
          <w:sz w:val="36"/>
          <w:szCs w:val="36"/>
          <w:rtl/>
        </w:rPr>
        <w:t xml:space="preserve"> </w:t>
      </w:r>
      <w:r w:rsidR="00773F40" w:rsidRPr="00FD211F">
        <w:rPr>
          <w:sz w:val="36"/>
          <w:szCs w:val="36"/>
          <w:rtl/>
        </w:rPr>
        <w:t>التلبس</w:t>
      </w:r>
      <w:r w:rsidR="00E8128F">
        <w:rPr>
          <w:sz w:val="36"/>
          <w:szCs w:val="36"/>
          <w:rtl/>
        </w:rPr>
        <w:t xml:space="preserve"> </w:t>
      </w:r>
      <w:r w:rsidR="00793654" w:rsidRPr="00FD211F">
        <w:rPr>
          <w:sz w:val="36"/>
          <w:szCs w:val="36"/>
          <w:rtl/>
        </w:rPr>
        <w:t>معا</w:t>
      </w:r>
      <w:r w:rsidR="00F47EA4" w:rsidRPr="00FD211F">
        <w:rPr>
          <w:sz w:val="36"/>
          <w:szCs w:val="36"/>
          <w:rtl/>
        </w:rPr>
        <w:t>.</w:t>
      </w:r>
    </w:p>
    <w:p w14:paraId="47AEC0FC" w14:textId="77777777" w:rsidR="00793654" w:rsidRPr="00FD211F" w:rsidRDefault="00F47EA4" w:rsidP="009C58C8">
      <w:pPr>
        <w:ind w:left="0" w:firstLine="227"/>
        <w:jc w:val="both"/>
        <w:rPr>
          <w:sz w:val="36"/>
          <w:szCs w:val="36"/>
          <w:rtl/>
        </w:rPr>
      </w:pPr>
      <w:r w:rsidRPr="00FD211F">
        <w:rPr>
          <w:sz w:val="36"/>
          <w:szCs w:val="36"/>
          <w:rtl/>
        </w:rPr>
        <w:t>ولكن</w:t>
      </w:r>
      <w:r w:rsidR="00E8128F">
        <w:rPr>
          <w:sz w:val="36"/>
          <w:szCs w:val="36"/>
          <w:rtl/>
        </w:rPr>
        <w:t xml:space="preserve"> </w:t>
      </w:r>
      <w:r w:rsidRPr="00FD211F">
        <w:rPr>
          <w:sz w:val="36"/>
          <w:szCs w:val="36"/>
          <w:rtl/>
        </w:rPr>
        <w:t>يورد</w:t>
      </w:r>
      <w:r w:rsidR="00E8128F">
        <w:rPr>
          <w:sz w:val="36"/>
          <w:szCs w:val="36"/>
          <w:rtl/>
        </w:rPr>
        <w:t xml:space="preserve"> </w:t>
      </w:r>
      <w:r w:rsidRPr="00FD211F">
        <w:rPr>
          <w:sz w:val="36"/>
          <w:szCs w:val="36"/>
          <w:rtl/>
        </w:rPr>
        <w:t>عليه</w:t>
      </w:r>
      <w:r w:rsidR="00E8128F">
        <w:rPr>
          <w:sz w:val="36"/>
          <w:szCs w:val="36"/>
          <w:rtl/>
        </w:rPr>
        <w:t xml:space="preserve"> </w:t>
      </w:r>
      <w:r w:rsidRPr="00FD211F">
        <w:rPr>
          <w:b/>
          <w:bCs/>
          <w:sz w:val="36"/>
          <w:szCs w:val="36"/>
          <w:rtl/>
        </w:rPr>
        <w:t>اولا</w:t>
      </w:r>
      <w:r w:rsidRPr="00FD211F">
        <w:rPr>
          <w:sz w:val="36"/>
          <w:szCs w:val="36"/>
          <w:rtl/>
        </w:rPr>
        <w:t>:</w:t>
      </w:r>
      <w:r w:rsidR="00E8128F">
        <w:rPr>
          <w:sz w:val="36"/>
          <w:szCs w:val="36"/>
          <w:rtl/>
        </w:rPr>
        <w:t xml:space="preserve"> </w:t>
      </w:r>
      <w:r w:rsidR="00793654" w:rsidRPr="00FD211F">
        <w:rPr>
          <w:sz w:val="36"/>
          <w:szCs w:val="36"/>
          <w:rtl/>
        </w:rPr>
        <w:t>ان</w:t>
      </w:r>
      <w:r w:rsidR="00E8128F">
        <w:rPr>
          <w:sz w:val="36"/>
          <w:szCs w:val="36"/>
          <w:rtl/>
        </w:rPr>
        <w:t xml:space="preserve"> </w:t>
      </w:r>
      <w:r w:rsidR="00793654" w:rsidRPr="00FD211F">
        <w:rPr>
          <w:sz w:val="36"/>
          <w:szCs w:val="36"/>
          <w:rtl/>
        </w:rPr>
        <w:t>لازمه</w:t>
      </w:r>
      <w:r w:rsidR="00E8128F">
        <w:rPr>
          <w:sz w:val="36"/>
          <w:szCs w:val="36"/>
          <w:rtl/>
        </w:rPr>
        <w:t xml:space="preserve"> </w:t>
      </w:r>
      <w:r w:rsidR="00793654" w:rsidRPr="00FD211F">
        <w:rPr>
          <w:sz w:val="36"/>
          <w:szCs w:val="36"/>
          <w:rtl/>
        </w:rPr>
        <w:t>عدم</w:t>
      </w:r>
      <w:r w:rsidR="00E8128F">
        <w:rPr>
          <w:sz w:val="36"/>
          <w:szCs w:val="36"/>
          <w:rtl/>
        </w:rPr>
        <w:t xml:space="preserve"> </w:t>
      </w:r>
      <w:r w:rsidR="00793654" w:rsidRPr="00FD211F">
        <w:rPr>
          <w:sz w:val="36"/>
          <w:szCs w:val="36"/>
          <w:rtl/>
        </w:rPr>
        <w:t>صدق</w:t>
      </w:r>
      <w:r w:rsidR="00E8128F">
        <w:rPr>
          <w:sz w:val="36"/>
          <w:szCs w:val="36"/>
          <w:rtl/>
        </w:rPr>
        <w:t xml:space="preserve"> </w:t>
      </w:r>
      <w:r w:rsidR="00793654" w:rsidRPr="00FD211F">
        <w:rPr>
          <w:sz w:val="36"/>
          <w:szCs w:val="36"/>
          <w:rtl/>
        </w:rPr>
        <w:t>المشتق</w:t>
      </w:r>
      <w:r w:rsidR="00E8128F">
        <w:rPr>
          <w:sz w:val="36"/>
          <w:szCs w:val="36"/>
          <w:rtl/>
        </w:rPr>
        <w:t xml:space="preserve"> </w:t>
      </w:r>
      <w:r w:rsidR="00793654" w:rsidRPr="00FD211F">
        <w:rPr>
          <w:sz w:val="36"/>
          <w:szCs w:val="36"/>
          <w:rtl/>
        </w:rPr>
        <w:t>حقيق</w:t>
      </w:r>
      <w:r w:rsidR="00EC7EDF" w:rsidRPr="00FD211F">
        <w:rPr>
          <w:sz w:val="36"/>
          <w:szCs w:val="36"/>
          <w:rtl/>
        </w:rPr>
        <w:t>ة</w:t>
      </w:r>
      <w:r w:rsidR="00E8128F">
        <w:rPr>
          <w:sz w:val="36"/>
          <w:szCs w:val="36"/>
          <w:rtl/>
        </w:rPr>
        <w:t xml:space="preserve"> </w:t>
      </w:r>
      <w:r w:rsidR="00793654" w:rsidRPr="00FD211F">
        <w:rPr>
          <w:sz w:val="36"/>
          <w:szCs w:val="36"/>
          <w:rtl/>
        </w:rPr>
        <w:t>على</w:t>
      </w:r>
      <w:r w:rsidR="00E8128F">
        <w:rPr>
          <w:sz w:val="36"/>
          <w:szCs w:val="36"/>
          <w:rtl/>
        </w:rPr>
        <w:t xml:space="preserve"> </w:t>
      </w:r>
      <w:r w:rsidR="00793654" w:rsidRPr="00FD211F">
        <w:rPr>
          <w:sz w:val="36"/>
          <w:szCs w:val="36"/>
          <w:rtl/>
        </w:rPr>
        <w:t>الذات</w:t>
      </w:r>
      <w:r w:rsidR="00E8128F">
        <w:rPr>
          <w:sz w:val="36"/>
          <w:szCs w:val="36"/>
          <w:rtl/>
        </w:rPr>
        <w:t xml:space="preserve"> </w:t>
      </w:r>
      <w:r w:rsidR="00793654" w:rsidRPr="00FD211F">
        <w:rPr>
          <w:sz w:val="36"/>
          <w:szCs w:val="36"/>
          <w:rtl/>
        </w:rPr>
        <w:t>في</w:t>
      </w:r>
      <w:r w:rsidR="00E8128F">
        <w:rPr>
          <w:sz w:val="36"/>
          <w:szCs w:val="36"/>
          <w:rtl/>
        </w:rPr>
        <w:t xml:space="preserve"> </w:t>
      </w:r>
      <w:r w:rsidR="00793654" w:rsidRPr="00FD211F">
        <w:rPr>
          <w:sz w:val="36"/>
          <w:szCs w:val="36"/>
          <w:rtl/>
        </w:rPr>
        <w:t>آن</w:t>
      </w:r>
      <w:r w:rsidR="00E8128F">
        <w:rPr>
          <w:sz w:val="36"/>
          <w:szCs w:val="36"/>
          <w:rtl/>
        </w:rPr>
        <w:t xml:space="preserve"> </w:t>
      </w:r>
      <w:r w:rsidR="00793654" w:rsidRPr="00FD211F">
        <w:rPr>
          <w:sz w:val="36"/>
          <w:szCs w:val="36"/>
          <w:rtl/>
        </w:rPr>
        <w:t>حدوث</w:t>
      </w:r>
      <w:r w:rsidR="00E8128F">
        <w:rPr>
          <w:sz w:val="36"/>
          <w:szCs w:val="36"/>
          <w:rtl/>
        </w:rPr>
        <w:t xml:space="preserve"> </w:t>
      </w:r>
      <w:r w:rsidR="00793654" w:rsidRPr="00FD211F">
        <w:rPr>
          <w:sz w:val="36"/>
          <w:szCs w:val="36"/>
          <w:rtl/>
        </w:rPr>
        <w:t>تلبسه</w:t>
      </w:r>
      <w:r w:rsidR="00E8128F">
        <w:rPr>
          <w:sz w:val="36"/>
          <w:szCs w:val="36"/>
          <w:rtl/>
        </w:rPr>
        <w:t xml:space="preserve"> </w:t>
      </w:r>
      <w:r w:rsidR="00793654" w:rsidRPr="00FD211F">
        <w:rPr>
          <w:sz w:val="36"/>
          <w:szCs w:val="36"/>
          <w:rtl/>
        </w:rPr>
        <w:t>بال</w:t>
      </w:r>
      <w:r w:rsidR="0079493B" w:rsidRPr="00FD211F">
        <w:rPr>
          <w:sz w:val="36"/>
          <w:szCs w:val="36"/>
          <w:rtl/>
        </w:rPr>
        <w:t>مبدأ</w:t>
      </w:r>
      <w:r w:rsidR="00E8128F">
        <w:rPr>
          <w:sz w:val="36"/>
          <w:szCs w:val="36"/>
          <w:rtl/>
        </w:rPr>
        <w:t xml:space="preserve"> </w:t>
      </w:r>
      <w:r w:rsidR="00793654" w:rsidRPr="00FD211F">
        <w:rPr>
          <w:sz w:val="36"/>
          <w:szCs w:val="36"/>
          <w:rtl/>
        </w:rPr>
        <w:t>حيث</w:t>
      </w:r>
      <w:r w:rsidR="00E8128F">
        <w:rPr>
          <w:sz w:val="36"/>
          <w:szCs w:val="36"/>
          <w:rtl/>
        </w:rPr>
        <w:t xml:space="preserve"> </w:t>
      </w:r>
      <w:r w:rsidR="00793654" w:rsidRPr="00FD211F">
        <w:rPr>
          <w:sz w:val="36"/>
          <w:szCs w:val="36"/>
          <w:rtl/>
        </w:rPr>
        <w:t>انه</w:t>
      </w:r>
      <w:r w:rsidR="00E8128F">
        <w:rPr>
          <w:sz w:val="36"/>
          <w:szCs w:val="36"/>
          <w:rtl/>
        </w:rPr>
        <w:t xml:space="preserve"> </w:t>
      </w:r>
      <w:r w:rsidR="00793654" w:rsidRPr="00FD211F">
        <w:rPr>
          <w:sz w:val="36"/>
          <w:szCs w:val="36"/>
          <w:rtl/>
        </w:rPr>
        <w:t>في</w:t>
      </w:r>
      <w:r w:rsidR="00E8128F">
        <w:rPr>
          <w:sz w:val="36"/>
          <w:szCs w:val="36"/>
          <w:rtl/>
        </w:rPr>
        <w:t xml:space="preserve"> </w:t>
      </w:r>
      <w:r w:rsidR="00793654" w:rsidRPr="00FD211F">
        <w:rPr>
          <w:sz w:val="36"/>
          <w:szCs w:val="36"/>
          <w:rtl/>
        </w:rPr>
        <w:t>آن</w:t>
      </w:r>
      <w:r w:rsidR="00E8128F">
        <w:rPr>
          <w:sz w:val="36"/>
          <w:szCs w:val="36"/>
          <w:rtl/>
        </w:rPr>
        <w:t xml:space="preserve"> </w:t>
      </w:r>
      <w:r w:rsidRPr="00FD211F">
        <w:rPr>
          <w:sz w:val="36"/>
          <w:szCs w:val="36"/>
          <w:rtl/>
        </w:rPr>
        <w:t>حدوث</w:t>
      </w:r>
      <w:r w:rsidR="00E8128F">
        <w:rPr>
          <w:sz w:val="36"/>
          <w:szCs w:val="36"/>
          <w:rtl/>
        </w:rPr>
        <w:t xml:space="preserve"> </w:t>
      </w:r>
      <w:r w:rsidR="00793654" w:rsidRPr="00FD211F">
        <w:rPr>
          <w:sz w:val="36"/>
          <w:szCs w:val="36"/>
          <w:rtl/>
        </w:rPr>
        <w:t>القيام</w:t>
      </w:r>
      <w:r w:rsidR="00E8128F">
        <w:rPr>
          <w:sz w:val="36"/>
          <w:szCs w:val="36"/>
          <w:rtl/>
        </w:rPr>
        <w:t xml:space="preserve"> </w:t>
      </w:r>
      <w:r w:rsidR="00793654" w:rsidRPr="00FD211F">
        <w:rPr>
          <w:sz w:val="36"/>
          <w:szCs w:val="36"/>
          <w:rtl/>
        </w:rPr>
        <w:t>له</w:t>
      </w:r>
      <w:r w:rsidR="00E8128F">
        <w:rPr>
          <w:sz w:val="36"/>
          <w:szCs w:val="36"/>
          <w:rtl/>
        </w:rPr>
        <w:t xml:space="preserve"> </w:t>
      </w:r>
      <w:r w:rsidR="00793654" w:rsidRPr="00FD211F">
        <w:rPr>
          <w:sz w:val="36"/>
          <w:szCs w:val="36"/>
          <w:rtl/>
        </w:rPr>
        <w:t>لايصدق</w:t>
      </w:r>
      <w:r w:rsidR="00E8128F">
        <w:rPr>
          <w:sz w:val="36"/>
          <w:szCs w:val="36"/>
          <w:rtl/>
        </w:rPr>
        <w:t xml:space="preserve"> </w:t>
      </w:r>
      <w:r w:rsidR="00793654" w:rsidRPr="00FD211F">
        <w:rPr>
          <w:sz w:val="36"/>
          <w:szCs w:val="36"/>
          <w:rtl/>
        </w:rPr>
        <w:t>انه</w:t>
      </w:r>
      <w:r w:rsidR="00E8128F">
        <w:rPr>
          <w:sz w:val="36"/>
          <w:szCs w:val="36"/>
          <w:rtl/>
        </w:rPr>
        <w:t xml:space="preserve"> </w:t>
      </w:r>
      <w:r w:rsidR="00793654" w:rsidRPr="00FD211F">
        <w:rPr>
          <w:sz w:val="36"/>
          <w:szCs w:val="36"/>
          <w:rtl/>
        </w:rPr>
        <w:t>من</w:t>
      </w:r>
      <w:r w:rsidR="00E8128F">
        <w:rPr>
          <w:sz w:val="36"/>
          <w:szCs w:val="36"/>
          <w:rtl/>
        </w:rPr>
        <w:t xml:space="preserve"> </w:t>
      </w:r>
      <w:r w:rsidR="00793654" w:rsidRPr="00FD211F">
        <w:rPr>
          <w:sz w:val="36"/>
          <w:szCs w:val="36"/>
          <w:rtl/>
        </w:rPr>
        <w:t>قام</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وضوح</w:t>
      </w:r>
      <w:r w:rsidR="00E8128F">
        <w:rPr>
          <w:sz w:val="36"/>
          <w:szCs w:val="36"/>
          <w:rtl/>
        </w:rPr>
        <w:t xml:space="preserve"> </w:t>
      </w:r>
      <w:r w:rsidRPr="00FD211F">
        <w:rPr>
          <w:sz w:val="36"/>
          <w:szCs w:val="36"/>
          <w:rtl/>
        </w:rPr>
        <w:t>صدق</w:t>
      </w:r>
      <w:r w:rsidR="00E8128F">
        <w:rPr>
          <w:sz w:val="36"/>
          <w:szCs w:val="36"/>
          <w:rtl/>
        </w:rPr>
        <w:t xml:space="preserve"> </w:t>
      </w:r>
      <w:r w:rsidRPr="00FD211F">
        <w:rPr>
          <w:sz w:val="36"/>
          <w:szCs w:val="36"/>
          <w:rtl/>
        </w:rPr>
        <w:t>القائم</w:t>
      </w:r>
      <w:r w:rsidR="00E8128F">
        <w:rPr>
          <w:sz w:val="36"/>
          <w:szCs w:val="36"/>
          <w:rtl/>
        </w:rPr>
        <w:t xml:space="preserve"> </w:t>
      </w:r>
      <w:r w:rsidRPr="00FD211F">
        <w:rPr>
          <w:sz w:val="36"/>
          <w:szCs w:val="36"/>
          <w:rtl/>
        </w:rPr>
        <w:t>عليه</w:t>
      </w:r>
      <w:r w:rsidR="00603323" w:rsidRPr="00FD211F">
        <w:rPr>
          <w:sz w:val="36"/>
          <w:szCs w:val="36"/>
          <w:rtl/>
        </w:rPr>
        <w:t>،</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لايصدق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متلبس</w:t>
      </w:r>
      <w:r w:rsidR="00E8128F">
        <w:rPr>
          <w:sz w:val="36"/>
          <w:szCs w:val="36"/>
          <w:rtl/>
        </w:rPr>
        <w:t xml:space="preserve"> </w:t>
      </w:r>
      <w:r w:rsidRPr="00FD211F">
        <w:rPr>
          <w:sz w:val="36"/>
          <w:szCs w:val="36"/>
          <w:rtl/>
        </w:rPr>
        <w:t>بالأكل</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أكَل</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وضوح</w:t>
      </w:r>
      <w:r w:rsidR="00E8128F">
        <w:rPr>
          <w:sz w:val="36"/>
          <w:szCs w:val="36"/>
          <w:rtl/>
        </w:rPr>
        <w:t xml:space="preserve"> </w:t>
      </w:r>
      <w:r w:rsidRPr="00FD211F">
        <w:rPr>
          <w:sz w:val="36"/>
          <w:szCs w:val="36"/>
          <w:rtl/>
        </w:rPr>
        <w:t>صدق</w:t>
      </w:r>
      <w:r w:rsidR="00E8128F">
        <w:rPr>
          <w:sz w:val="36"/>
          <w:szCs w:val="36"/>
          <w:rtl/>
        </w:rPr>
        <w:t xml:space="preserve"> </w:t>
      </w:r>
      <w:r w:rsidRPr="00FD211F">
        <w:rPr>
          <w:sz w:val="36"/>
          <w:szCs w:val="36"/>
          <w:rtl/>
        </w:rPr>
        <w:t>الآكل</w:t>
      </w:r>
      <w:r w:rsidR="00E8128F">
        <w:rPr>
          <w:sz w:val="36"/>
          <w:szCs w:val="36"/>
          <w:rtl/>
        </w:rPr>
        <w:t xml:space="preserve"> </w:t>
      </w:r>
      <w:r w:rsidRPr="00FD211F">
        <w:rPr>
          <w:sz w:val="36"/>
          <w:szCs w:val="36"/>
          <w:rtl/>
        </w:rPr>
        <w:t>عليه</w:t>
      </w:r>
      <w:r w:rsidR="00603323" w:rsidRPr="00FD211F">
        <w:rPr>
          <w:sz w:val="36"/>
          <w:szCs w:val="36"/>
          <w:rtl/>
        </w:rPr>
        <w:t>،</w:t>
      </w:r>
      <w:r w:rsidR="00E8128F">
        <w:rPr>
          <w:sz w:val="36"/>
          <w:szCs w:val="36"/>
          <w:rtl/>
        </w:rPr>
        <w:t xml:space="preserve"> </w:t>
      </w:r>
      <w:r w:rsidR="0084476D" w:rsidRPr="00FD211F">
        <w:rPr>
          <w:sz w:val="36"/>
          <w:szCs w:val="36"/>
          <w:rtl/>
        </w:rPr>
        <w:t>وكذا</w:t>
      </w:r>
      <w:r w:rsidR="00E8128F">
        <w:rPr>
          <w:sz w:val="36"/>
          <w:szCs w:val="36"/>
          <w:rtl/>
        </w:rPr>
        <w:t xml:space="preserve"> </w:t>
      </w:r>
      <w:r w:rsidR="0084476D" w:rsidRPr="00FD211F">
        <w:rPr>
          <w:sz w:val="36"/>
          <w:szCs w:val="36"/>
          <w:rtl/>
        </w:rPr>
        <w:t>من</w:t>
      </w:r>
      <w:r w:rsidR="00E8128F">
        <w:rPr>
          <w:sz w:val="36"/>
          <w:szCs w:val="36"/>
          <w:rtl/>
        </w:rPr>
        <w:t xml:space="preserve"> </w:t>
      </w:r>
      <w:r w:rsidR="0084476D" w:rsidRPr="00FD211F">
        <w:rPr>
          <w:sz w:val="36"/>
          <w:szCs w:val="36"/>
          <w:rtl/>
        </w:rPr>
        <w:t>بدأ</w:t>
      </w:r>
      <w:r w:rsidR="00E8128F">
        <w:rPr>
          <w:sz w:val="36"/>
          <w:szCs w:val="36"/>
          <w:rtl/>
        </w:rPr>
        <w:t xml:space="preserve"> </w:t>
      </w:r>
      <w:r w:rsidR="0084476D" w:rsidRPr="00FD211F">
        <w:rPr>
          <w:sz w:val="36"/>
          <w:szCs w:val="36"/>
          <w:rtl/>
        </w:rPr>
        <w:t>بالصلا</w:t>
      </w:r>
      <w:r w:rsidR="00EC7EDF" w:rsidRPr="00FD211F">
        <w:rPr>
          <w:sz w:val="36"/>
          <w:szCs w:val="36"/>
          <w:rtl/>
        </w:rPr>
        <w:t>ة</w:t>
      </w:r>
      <w:r w:rsidR="00E8128F">
        <w:rPr>
          <w:sz w:val="36"/>
          <w:szCs w:val="36"/>
          <w:rtl/>
        </w:rPr>
        <w:t xml:space="preserve"> </w:t>
      </w:r>
      <w:r w:rsidR="0084476D" w:rsidRPr="00FD211F">
        <w:rPr>
          <w:sz w:val="36"/>
          <w:szCs w:val="36"/>
          <w:rtl/>
        </w:rPr>
        <w:t>لايصدق</w:t>
      </w:r>
      <w:r w:rsidR="00E8128F">
        <w:rPr>
          <w:sz w:val="36"/>
          <w:szCs w:val="36"/>
          <w:rtl/>
        </w:rPr>
        <w:t xml:space="preserve"> </w:t>
      </w:r>
      <w:r w:rsidR="0084476D" w:rsidRPr="00FD211F">
        <w:rPr>
          <w:sz w:val="36"/>
          <w:szCs w:val="36"/>
          <w:rtl/>
        </w:rPr>
        <w:t>عليه</w:t>
      </w:r>
      <w:r w:rsidR="00E8128F">
        <w:rPr>
          <w:sz w:val="36"/>
          <w:szCs w:val="36"/>
          <w:rtl/>
        </w:rPr>
        <w:t xml:space="preserve"> </w:t>
      </w:r>
      <w:r w:rsidR="0084476D" w:rsidRPr="00FD211F">
        <w:rPr>
          <w:sz w:val="36"/>
          <w:szCs w:val="36"/>
          <w:rtl/>
        </w:rPr>
        <w:t>"انه</w:t>
      </w:r>
      <w:r w:rsidR="00E8128F">
        <w:rPr>
          <w:sz w:val="36"/>
          <w:szCs w:val="36"/>
          <w:rtl/>
        </w:rPr>
        <w:t xml:space="preserve"> </w:t>
      </w:r>
      <w:r w:rsidR="0084476D" w:rsidRPr="00FD211F">
        <w:rPr>
          <w:sz w:val="36"/>
          <w:szCs w:val="36"/>
          <w:rtl/>
        </w:rPr>
        <w:t>من</w:t>
      </w:r>
      <w:r w:rsidR="00E8128F">
        <w:rPr>
          <w:sz w:val="36"/>
          <w:szCs w:val="36"/>
          <w:rtl/>
        </w:rPr>
        <w:t xml:space="preserve"> </w:t>
      </w:r>
      <w:r w:rsidR="0084476D" w:rsidRPr="00FD211F">
        <w:rPr>
          <w:sz w:val="36"/>
          <w:szCs w:val="36"/>
          <w:rtl/>
        </w:rPr>
        <w:t>صلى"</w:t>
      </w:r>
      <w:r w:rsidR="00E8128F">
        <w:rPr>
          <w:sz w:val="36"/>
          <w:szCs w:val="36"/>
          <w:rtl/>
        </w:rPr>
        <w:t xml:space="preserve"> </w:t>
      </w:r>
      <w:r w:rsidR="0084476D" w:rsidRPr="00FD211F">
        <w:rPr>
          <w:sz w:val="36"/>
          <w:szCs w:val="36"/>
          <w:rtl/>
        </w:rPr>
        <w:t>ما</w:t>
      </w:r>
      <w:r w:rsidR="00E8128F">
        <w:rPr>
          <w:sz w:val="36"/>
          <w:szCs w:val="36"/>
          <w:rtl/>
        </w:rPr>
        <w:t xml:space="preserve"> </w:t>
      </w:r>
      <w:r w:rsidR="008D7B3D" w:rsidRPr="00FD211F">
        <w:rPr>
          <w:sz w:val="36"/>
          <w:szCs w:val="36"/>
          <w:rtl/>
        </w:rPr>
        <w:t>لم‌</w:t>
      </w:r>
      <w:r w:rsidR="0084476D" w:rsidRPr="00FD211F">
        <w:rPr>
          <w:sz w:val="36"/>
          <w:szCs w:val="36"/>
          <w:rtl/>
        </w:rPr>
        <w:t>يفرغ</w:t>
      </w:r>
      <w:r w:rsidR="00E8128F">
        <w:rPr>
          <w:sz w:val="36"/>
          <w:szCs w:val="36"/>
          <w:rtl/>
        </w:rPr>
        <w:t xml:space="preserve"> </w:t>
      </w:r>
      <w:r w:rsidR="0084476D" w:rsidRPr="00FD211F">
        <w:rPr>
          <w:sz w:val="36"/>
          <w:szCs w:val="36"/>
          <w:rtl/>
        </w:rPr>
        <w:t>من</w:t>
      </w:r>
      <w:r w:rsidR="00E8128F">
        <w:rPr>
          <w:sz w:val="36"/>
          <w:szCs w:val="36"/>
          <w:rtl/>
        </w:rPr>
        <w:t xml:space="preserve"> </w:t>
      </w:r>
      <w:r w:rsidR="0084476D" w:rsidRPr="00FD211F">
        <w:rPr>
          <w:sz w:val="36"/>
          <w:szCs w:val="36"/>
          <w:rtl/>
        </w:rPr>
        <w:t>صلاته</w:t>
      </w:r>
      <w:r w:rsidR="00E8128F">
        <w:rPr>
          <w:sz w:val="36"/>
          <w:szCs w:val="36"/>
          <w:rtl/>
        </w:rPr>
        <w:t xml:space="preserve"> </w:t>
      </w:r>
      <w:r w:rsidR="0084476D" w:rsidRPr="00FD211F">
        <w:rPr>
          <w:sz w:val="36"/>
          <w:szCs w:val="36"/>
          <w:rtl/>
        </w:rPr>
        <w:t>مع</w:t>
      </w:r>
      <w:r w:rsidR="00E8128F">
        <w:rPr>
          <w:sz w:val="36"/>
          <w:szCs w:val="36"/>
          <w:rtl/>
        </w:rPr>
        <w:t xml:space="preserve"> </w:t>
      </w:r>
      <w:r w:rsidR="0084476D" w:rsidRPr="00FD211F">
        <w:rPr>
          <w:sz w:val="36"/>
          <w:szCs w:val="36"/>
          <w:rtl/>
        </w:rPr>
        <w:t>انه</w:t>
      </w:r>
      <w:r w:rsidR="00E8128F">
        <w:rPr>
          <w:sz w:val="36"/>
          <w:szCs w:val="36"/>
          <w:rtl/>
        </w:rPr>
        <w:t xml:space="preserve"> </w:t>
      </w:r>
      <w:r w:rsidR="0084476D" w:rsidRPr="00FD211F">
        <w:rPr>
          <w:sz w:val="36"/>
          <w:szCs w:val="36"/>
          <w:rtl/>
        </w:rPr>
        <w:t>يصدق</w:t>
      </w:r>
      <w:r w:rsidR="00E8128F">
        <w:rPr>
          <w:sz w:val="36"/>
          <w:szCs w:val="36"/>
          <w:rtl/>
        </w:rPr>
        <w:t xml:space="preserve"> </w:t>
      </w:r>
      <w:r w:rsidR="0084476D" w:rsidRPr="00FD211F">
        <w:rPr>
          <w:sz w:val="36"/>
          <w:szCs w:val="36"/>
          <w:rtl/>
        </w:rPr>
        <w:t>عليه</w:t>
      </w:r>
      <w:r w:rsidR="00E8128F">
        <w:rPr>
          <w:sz w:val="36"/>
          <w:szCs w:val="36"/>
          <w:rtl/>
        </w:rPr>
        <w:t xml:space="preserve"> </w:t>
      </w:r>
      <w:r w:rsidR="0084476D" w:rsidRPr="00FD211F">
        <w:rPr>
          <w:sz w:val="36"/>
          <w:szCs w:val="36"/>
          <w:rtl/>
        </w:rPr>
        <w:t>المصلي</w:t>
      </w:r>
      <w:r w:rsidR="00603323" w:rsidRPr="00FD211F">
        <w:rPr>
          <w:sz w:val="36"/>
          <w:szCs w:val="36"/>
          <w:rtl/>
        </w:rPr>
        <w:t>،</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لازم</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يكون</w:t>
      </w:r>
      <w:r w:rsidR="00E8128F">
        <w:rPr>
          <w:sz w:val="36"/>
          <w:szCs w:val="36"/>
          <w:rtl/>
        </w:rPr>
        <w:t xml:space="preserve"> </w:t>
      </w:r>
      <w:r w:rsidR="0079493B" w:rsidRPr="00FD211F">
        <w:rPr>
          <w:sz w:val="36"/>
          <w:szCs w:val="36"/>
          <w:rtl/>
        </w:rPr>
        <w:t>مبدأ</w:t>
      </w:r>
      <w:r w:rsidRPr="00FD211F">
        <w:rPr>
          <w:sz w:val="36"/>
          <w:szCs w:val="36"/>
          <w:rtl/>
        </w:rPr>
        <w:t>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الوجودات</w:t>
      </w:r>
      <w:r w:rsidR="00E8128F">
        <w:rPr>
          <w:sz w:val="36"/>
          <w:szCs w:val="36"/>
          <w:rtl/>
        </w:rPr>
        <w:t xml:space="preserve"> </w:t>
      </w:r>
      <w:r w:rsidRPr="00FD211F">
        <w:rPr>
          <w:sz w:val="36"/>
          <w:szCs w:val="36"/>
          <w:rtl/>
        </w:rPr>
        <w:t>الآني</w:t>
      </w:r>
      <w:r w:rsidR="00EC7EDF" w:rsidRPr="00FD211F">
        <w:rPr>
          <w:sz w:val="36"/>
          <w:szCs w:val="36"/>
          <w:rtl/>
        </w:rPr>
        <w:t>ة</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توجد</w:t>
      </w:r>
      <w:r w:rsidR="00E8128F">
        <w:rPr>
          <w:sz w:val="36"/>
          <w:szCs w:val="36"/>
          <w:rtl/>
        </w:rPr>
        <w:t xml:space="preserve"> </w:t>
      </w:r>
      <w:r w:rsidRPr="00FD211F">
        <w:rPr>
          <w:sz w:val="36"/>
          <w:szCs w:val="36"/>
          <w:rtl/>
        </w:rPr>
        <w:t>آنامّا</w:t>
      </w:r>
      <w:r w:rsidR="00E8128F">
        <w:rPr>
          <w:sz w:val="36"/>
          <w:szCs w:val="36"/>
          <w:rtl/>
        </w:rPr>
        <w:t xml:space="preserve"> </w:t>
      </w:r>
      <w:r w:rsidRPr="00FD211F">
        <w:rPr>
          <w:sz w:val="36"/>
          <w:szCs w:val="36"/>
          <w:rtl/>
        </w:rPr>
        <w:t>ثم</w:t>
      </w:r>
      <w:r w:rsidR="00E8128F">
        <w:rPr>
          <w:sz w:val="36"/>
          <w:szCs w:val="36"/>
          <w:rtl/>
        </w:rPr>
        <w:t xml:space="preserve"> </w:t>
      </w:r>
      <w:r w:rsidRPr="00FD211F">
        <w:rPr>
          <w:sz w:val="36"/>
          <w:szCs w:val="36"/>
          <w:rtl/>
        </w:rPr>
        <w:t>تنعدم-</w:t>
      </w:r>
      <w:r w:rsidR="00E8128F">
        <w:rPr>
          <w:sz w:val="36"/>
          <w:szCs w:val="36"/>
          <w:rtl/>
        </w:rPr>
        <w:t xml:space="preserve"> </w:t>
      </w:r>
      <w:r w:rsidR="000B7E9E" w:rsidRPr="00FD211F">
        <w:rPr>
          <w:sz w:val="36"/>
          <w:szCs w:val="36"/>
          <w:rtl/>
        </w:rPr>
        <w:t>لايكون</w:t>
      </w:r>
      <w:r w:rsidR="00E8128F">
        <w:rPr>
          <w:sz w:val="36"/>
          <w:szCs w:val="36"/>
          <w:rtl/>
        </w:rPr>
        <w:t xml:space="preserve"> </w:t>
      </w:r>
      <w:r w:rsidRPr="00FD211F">
        <w:rPr>
          <w:sz w:val="36"/>
          <w:szCs w:val="36"/>
          <w:rtl/>
        </w:rPr>
        <w:t>حقيق</w:t>
      </w:r>
      <w:r w:rsidR="00EC7EDF" w:rsidRPr="00FD211F">
        <w:rPr>
          <w:sz w:val="36"/>
          <w:szCs w:val="36"/>
          <w:rtl/>
        </w:rPr>
        <w:t>ة</w:t>
      </w:r>
      <w:r w:rsidR="00E8128F">
        <w:rPr>
          <w:sz w:val="36"/>
          <w:szCs w:val="36"/>
          <w:rtl/>
        </w:rPr>
        <w:t xml:space="preserve"> </w:t>
      </w:r>
      <w:r w:rsidRPr="00FD211F">
        <w:rPr>
          <w:sz w:val="36"/>
          <w:szCs w:val="36"/>
          <w:rtl/>
        </w:rPr>
        <w:t>الا</w:t>
      </w:r>
      <w:r w:rsidR="00E8128F">
        <w:rPr>
          <w:sz w:val="36"/>
          <w:szCs w:val="36"/>
          <w:rtl/>
        </w:rPr>
        <w:t xml:space="preserve"> </w:t>
      </w:r>
      <w:r w:rsidR="00793654" w:rsidRPr="00FD211F">
        <w:rPr>
          <w:sz w:val="36"/>
          <w:szCs w:val="36"/>
          <w:rtl/>
        </w:rPr>
        <w:t>في</w:t>
      </w:r>
      <w:r w:rsidR="00E8128F">
        <w:rPr>
          <w:sz w:val="36"/>
          <w:szCs w:val="36"/>
          <w:rtl/>
        </w:rPr>
        <w:t xml:space="preserve"> </w:t>
      </w:r>
      <w:r w:rsidR="00793654" w:rsidRPr="00FD211F">
        <w:rPr>
          <w:sz w:val="36"/>
          <w:szCs w:val="36"/>
          <w:rtl/>
        </w:rPr>
        <w:t>خصوص</w:t>
      </w:r>
      <w:r w:rsidR="00E8128F">
        <w:rPr>
          <w:sz w:val="36"/>
          <w:szCs w:val="36"/>
          <w:rtl/>
        </w:rPr>
        <w:t xml:space="preserve"> </w:t>
      </w:r>
      <w:r w:rsidR="00793654" w:rsidRPr="00FD211F">
        <w:rPr>
          <w:sz w:val="36"/>
          <w:szCs w:val="36"/>
          <w:rtl/>
        </w:rPr>
        <w:t>ما</w:t>
      </w:r>
      <w:r w:rsidR="00E8128F">
        <w:rPr>
          <w:sz w:val="36"/>
          <w:szCs w:val="36"/>
          <w:rtl/>
        </w:rPr>
        <w:t xml:space="preserve"> </w:t>
      </w:r>
      <w:r w:rsidR="00793654" w:rsidRPr="00FD211F">
        <w:rPr>
          <w:sz w:val="36"/>
          <w:szCs w:val="36"/>
          <w:rtl/>
        </w:rPr>
        <w:t>انقضى</w:t>
      </w:r>
      <w:r w:rsidR="00E8128F">
        <w:rPr>
          <w:sz w:val="36"/>
          <w:szCs w:val="36"/>
          <w:rtl/>
        </w:rPr>
        <w:t xml:space="preserve"> </w:t>
      </w:r>
      <w:r w:rsidR="00793654" w:rsidRPr="00FD211F">
        <w:rPr>
          <w:sz w:val="36"/>
          <w:szCs w:val="36"/>
          <w:rtl/>
        </w:rPr>
        <w:t>عنه</w:t>
      </w:r>
      <w:r w:rsidR="00E8128F">
        <w:rPr>
          <w:sz w:val="36"/>
          <w:szCs w:val="36"/>
          <w:rtl/>
        </w:rPr>
        <w:t xml:space="preserve"> </w:t>
      </w:r>
      <w:r w:rsidR="00793654" w:rsidRPr="00FD211F">
        <w:rPr>
          <w:sz w:val="36"/>
          <w:szCs w:val="36"/>
          <w:rtl/>
        </w:rPr>
        <w:t>ال</w:t>
      </w:r>
      <w:r w:rsidR="0079493B" w:rsidRPr="00FD211F">
        <w:rPr>
          <w:sz w:val="36"/>
          <w:szCs w:val="36"/>
          <w:rtl/>
        </w:rPr>
        <w:t>مبدأ</w:t>
      </w:r>
      <w:r w:rsidR="00603323" w:rsidRPr="00FD211F">
        <w:rPr>
          <w:sz w:val="36"/>
          <w:szCs w:val="36"/>
          <w:rtl/>
        </w:rPr>
        <w:t>،</w:t>
      </w:r>
      <w:r w:rsidR="00E8128F">
        <w:rPr>
          <w:sz w:val="36"/>
          <w:szCs w:val="36"/>
          <w:rtl/>
        </w:rPr>
        <w:t xml:space="preserve"> </w:t>
      </w:r>
      <w:r w:rsidR="000B7E9E" w:rsidRPr="00FD211F">
        <w:rPr>
          <w:sz w:val="36"/>
          <w:szCs w:val="36"/>
          <w:rtl/>
        </w:rPr>
        <w:t>وهذا</w:t>
      </w:r>
      <w:r w:rsidR="00E8128F">
        <w:rPr>
          <w:sz w:val="36"/>
          <w:szCs w:val="36"/>
          <w:rtl/>
        </w:rPr>
        <w:t xml:space="preserve"> </w:t>
      </w:r>
      <w:r w:rsidR="000B7E9E" w:rsidRPr="00FD211F">
        <w:rPr>
          <w:sz w:val="36"/>
          <w:szCs w:val="36"/>
          <w:rtl/>
        </w:rPr>
        <w:t>خلاف</w:t>
      </w:r>
      <w:r w:rsidR="00E8128F">
        <w:rPr>
          <w:sz w:val="36"/>
          <w:szCs w:val="36"/>
          <w:rtl/>
        </w:rPr>
        <w:t xml:space="preserve"> </w:t>
      </w:r>
      <w:r w:rsidR="000B7E9E" w:rsidRPr="00FD211F">
        <w:rPr>
          <w:sz w:val="36"/>
          <w:szCs w:val="36"/>
          <w:rtl/>
        </w:rPr>
        <w:t>الوجدان</w:t>
      </w:r>
      <w:r w:rsidR="00E8128F">
        <w:rPr>
          <w:sz w:val="36"/>
          <w:szCs w:val="36"/>
          <w:rtl/>
        </w:rPr>
        <w:t xml:space="preserve"> </w:t>
      </w:r>
      <w:r w:rsidR="000B7E9E" w:rsidRPr="00FD211F">
        <w:rPr>
          <w:sz w:val="36"/>
          <w:szCs w:val="36"/>
          <w:rtl/>
        </w:rPr>
        <w:t>لوضوح</w:t>
      </w:r>
      <w:r w:rsidR="00E8128F">
        <w:rPr>
          <w:sz w:val="36"/>
          <w:szCs w:val="36"/>
          <w:rtl/>
        </w:rPr>
        <w:t xml:space="preserve"> </w:t>
      </w:r>
      <w:r w:rsidR="000B7E9E" w:rsidRPr="00FD211F">
        <w:rPr>
          <w:sz w:val="36"/>
          <w:szCs w:val="36"/>
          <w:rtl/>
        </w:rPr>
        <w:t>صدقه</w:t>
      </w:r>
      <w:r w:rsidR="00E8128F">
        <w:rPr>
          <w:sz w:val="36"/>
          <w:szCs w:val="36"/>
          <w:rtl/>
        </w:rPr>
        <w:t xml:space="preserve"> </w:t>
      </w:r>
      <w:r w:rsidR="000B7E9E" w:rsidRPr="00FD211F">
        <w:rPr>
          <w:sz w:val="36"/>
          <w:szCs w:val="36"/>
          <w:rtl/>
        </w:rPr>
        <w:t>حقيق</w:t>
      </w:r>
      <w:r w:rsidR="00EC7EDF" w:rsidRPr="00FD211F">
        <w:rPr>
          <w:sz w:val="36"/>
          <w:szCs w:val="36"/>
          <w:rtl/>
        </w:rPr>
        <w:t>ة</w:t>
      </w:r>
      <w:r w:rsidR="00E8128F">
        <w:rPr>
          <w:sz w:val="36"/>
          <w:szCs w:val="36"/>
          <w:rtl/>
        </w:rPr>
        <w:t xml:space="preserve"> </w:t>
      </w:r>
      <w:r w:rsidR="000B7E9E" w:rsidRPr="00FD211F">
        <w:rPr>
          <w:sz w:val="36"/>
          <w:szCs w:val="36"/>
          <w:rtl/>
        </w:rPr>
        <w:t>على</w:t>
      </w:r>
      <w:r w:rsidR="00E8128F">
        <w:rPr>
          <w:sz w:val="36"/>
          <w:szCs w:val="36"/>
          <w:rtl/>
        </w:rPr>
        <w:t xml:space="preserve"> </w:t>
      </w:r>
      <w:r w:rsidR="000B7E9E" w:rsidRPr="00FD211F">
        <w:rPr>
          <w:sz w:val="36"/>
          <w:szCs w:val="36"/>
          <w:rtl/>
        </w:rPr>
        <w:t>الذات</w:t>
      </w:r>
      <w:r w:rsidR="00E8128F">
        <w:rPr>
          <w:sz w:val="36"/>
          <w:szCs w:val="36"/>
          <w:rtl/>
        </w:rPr>
        <w:t xml:space="preserve"> </w:t>
      </w:r>
      <w:r w:rsidR="000B7E9E" w:rsidRPr="00FD211F">
        <w:rPr>
          <w:sz w:val="36"/>
          <w:szCs w:val="36"/>
          <w:rtl/>
        </w:rPr>
        <w:t>في</w:t>
      </w:r>
      <w:r w:rsidR="00E8128F">
        <w:rPr>
          <w:sz w:val="36"/>
          <w:szCs w:val="36"/>
          <w:rtl/>
        </w:rPr>
        <w:t xml:space="preserve"> </w:t>
      </w:r>
      <w:r w:rsidR="000B7E9E" w:rsidRPr="00FD211F">
        <w:rPr>
          <w:sz w:val="36"/>
          <w:szCs w:val="36"/>
          <w:rtl/>
        </w:rPr>
        <w:t>آن</w:t>
      </w:r>
      <w:r w:rsidR="00E8128F">
        <w:rPr>
          <w:sz w:val="36"/>
          <w:szCs w:val="36"/>
          <w:rtl/>
        </w:rPr>
        <w:t xml:space="preserve"> </w:t>
      </w:r>
      <w:r w:rsidR="000B7E9E" w:rsidRPr="00FD211F">
        <w:rPr>
          <w:sz w:val="36"/>
          <w:szCs w:val="36"/>
          <w:rtl/>
        </w:rPr>
        <w:t>الحدوث</w:t>
      </w:r>
      <w:r w:rsidR="00793654" w:rsidRPr="00FD211F">
        <w:rPr>
          <w:sz w:val="36"/>
          <w:szCs w:val="36"/>
          <w:rtl/>
        </w:rPr>
        <w:t>.</w:t>
      </w:r>
    </w:p>
    <w:p w14:paraId="162E52FA" w14:textId="77777777" w:rsidR="00793654" w:rsidRPr="00FD211F" w:rsidRDefault="00F47EA4" w:rsidP="009C58C8">
      <w:pPr>
        <w:ind w:left="0" w:firstLine="227"/>
        <w:jc w:val="both"/>
        <w:rPr>
          <w:sz w:val="36"/>
          <w:szCs w:val="36"/>
          <w:rtl/>
        </w:rPr>
      </w:pPr>
      <w:r w:rsidRPr="00FD211F">
        <w:rPr>
          <w:b/>
          <w:bCs/>
          <w:sz w:val="36"/>
          <w:szCs w:val="36"/>
          <w:rtl/>
        </w:rPr>
        <w:t>وثانيا</w:t>
      </w:r>
      <w:r w:rsidRPr="00FD211F">
        <w:rPr>
          <w:sz w:val="36"/>
          <w:szCs w:val="36"/>
          <w:rtl/>
        </w:rPr>
        <w:t>:</w:t>
      </w:r>
      <w:r w:rsidR="00E8128F">
        <w:rPr>
          <w:sz w:val="36"/>
          <w:szCs w:val="36"/>
          <w:rtl/>
        </w:rPr>
        <w:t xml:space="preserve"> </w:t>
      </w:r>
      <w:r w:rsidR="00793654" w:rsidRPr="00FD211F">
        <w:rPr>
          <w:sz w:val="36"/>
          <w:szCs w:val="36"/>
          <w:rtl/>
        </w:rPr>
        <w:t>انه</w:t>
      </w:r>
      <w:r w:rsidR="00E8128F">
        <w:rPr>
          <w:sz w:val="36"/>
          <w:szCs w:val="36"/>
          <w:rtl/>
        </w:rPr>
        <w:t xml:space="preserve"> </w:t>
      </w:r>
      <w:r w:rsidR="00793654" w:rsidRPr="00FD211F">
        <w:rPr>
          <w:sz w:val="36"/>
          <w:szCs w:val="36"/>
          <w:rtl/>
        </w:rPr>
        <w:t>لايصح</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w:t>
      </w:r>
      <w:r w:rsidR="00793654" w:rsidRPr="00FD211F">
        <w:rPr>
          <w:sz w:val="36"/>
          <w:szCs w:val="36"/>
          <w:rtl/>
        </w:rPr>
        <w:t>زيد</w:t>
      </w:r>
      <w:r w:rsidR="00E8128F">
        <w:rPr>
          <w:sz w:val="36"/>
          <w:szCs w:val="36"/>
          <w:rtl/>
        </w:rPr>
        <w:t xml:space="preserve"> </w:t>
      </w:r>
      <w:r w:rsidR="00793654" w:rsidRPr="00FD211F">
        <w:rPr>
          <w:sz w:val="36"/>
          <w:szCs w:val="36"/>
          <w:rtl/>
        </w:rPr>
        <w:t>من</w:t>
      </w:r>
      <w:r w:rsidR="00E8128F">
        <w:rPr>
          <w:sz w:val="36"/>
          <w:szCs w:val="36"/>
          <w:rtl/>
        </w:rPr>
        <w:t xml:space="preserve"> </w:t>
      </w:r>
      <w:r w:rsidR="00793654" w:rsidRPr="00FD211F">
        <w:rPr>
          <w:sz w:val="36"/>
          <w:szCs w:val="36"/>
          <w:rtl/>
        </w:rPr>
        <w:t>قام</w:t>
      </w:r>
      <w:r w:rsidR="00E8128F">
        <w:rPr>
          <w:sz w:val="36"/>
          <w:szCs w:val="36"/>
          <w:rtl/>
        </w:rPr>
        <w:t xml:space="preserve"> </w:t>
      </w:r>
      <w:r w:rsidR="00793654" w:rsidRPr="00FD211F">
        <w:rPr>
          <w:sz w:val="36"/>
          <w:szCs w:val="36"/>
          <w:rtl/>
        </w:rPr>
        <w:t>غدا</w:t>
      </w:r>
      <w:r w:rsidRPr="00FD211F">
        <w:rPr>
          <w:sz w:val="36"/>
          <w:szCs w:val="36"/>
          <w:rtl/>
        </w:rPr>
        <w:t>"</w:t>
      </w:r>
      <w:r w:rsidR="00E8128F">
        <w:rPr>
          <w:sz w:val="36"/>
          <w:szCs w:val="36"/>
          <w:rtl/>
        </w:rPr>
        <w:t xml:space="preserve"> </w:t>
      </w:r>
      <w:r w:rsidR="00793654" w:rsidRPr="00FD211F">
        <w:rPr>
          <w:sz w:val="36"/>
          <w:szCs w:val="36"/>
          <w:rtl/>
        </w:rPr>
        <w:t>ولو</w:t>
      </w:r>
      <w:r w:rsidR="00E8128F">
        <w:rPr>
          <w:sz w:val="36"/>
          <w:szCs w:val="36"/>
          <w:rtl/>
        </w:rPr>
        <w:t xml:space="preserve"> </w:t>
      </w:r>
      <w:r w:rsidR="00793654" w:rsidRPr="00FD211F">
        <w:rPr>
          <w:sz w:val="36"/>
          <w:szCs w:val="36"/>
          <w:rtl/>
        </w:rPr>
        <w:t>كان</w:t>
      </w:r>
      <w:r w:rsidR="00E8128F">
        <w:rPr>
          <w:sz w:val="36"/>
          <w:szCs w:val="36"/>
          <w:rtl/>
        </w:rPr>
        <w:t xml:space="preserve"> </w:t>
      </w:r>
      <w:r w:rsidR="00D460C6" w:rsidRPr="00FD211F">
        <w:rPr>
          <w:sz w:val="36"/>
          <w:szCs w:val="36"/>
          <w:rtl/>
        </w:rPr>
        <w:t>الغد</w:t>
      </w:r>
      <w:r w:rsidR="00E8128F">
        <w:rPr>
          <w:sz w:val="36"/>
          <w:szCs w:val="36"/>
          <w:rtl/>
        </w:rPr>
        <w:t xml:space="preserve"> </w:t>
      </w:r>
      <w:r w:rsidR="00D460C6" w:rsidRPr="00FD211F">
        <w:rPr>
          <w:sz w:val="36"/>
          <w:szCs w:val="36"/>
          <w:rtl/>
        </w:rPr>
        <w:t>قيدا</w:t>
      </w:r>
      <w:r w:rsidR="00E8128F">
        <w:rPr>
          <w:sz w:val="36"/>
          <w:szCs w:val="36"/>
          <w:rtl/>
        </w:rPr>
        <w:t xml:space="preserve"> </w:t>
      </w:r>
      <w:r w:rsidR="00D460C6" w:rsidRPr="00FD211F">
        <w:rPr>
          <w:sz w:val="36"/>
          <w:szCs w:val="36"/>
          <w:rtl/>
        </w:rPr>
        <w:t>للنسب</w:t>
      </w:r>
      <w:r w:rsidR="00EC7EDF" w:rsidRPr="00FD211F">
        <w:rPr>
          <w:sz w:val="36"/>
          <w:szCs w:val="36"/>
          <w:rtl/>
        </w:rPr>
        <w:t>ة</w:t>
      </w:r>
      <w:r w:rsidR="00E8128F">
        <w:rPr>
          <w:sz w:val="36"/>
          <w:szCs w:val="36"/>
          <w:rtl/>
        </w:rPr>
        <w:t xml:space="preserve"> </w:t>
      </w:r>
      <w:r w:rsidR="00D460C6" w:rsidRPr="00FD211F">
        <w:rPr>
          <w:sz w:val="36"/>
          <w:szCs w:val="36"/>
          <w:rtl/>
        </w:rPr>
        <w:t>التام</w:t>
      </w:r>
      <w:r w:rsidR="00EC7EDF" w:rsidRPr="00FD211F">
        <w:rPr>
          <w:sz w:val="36"/>
          <w:szCs w:val="36"/>
          <w:rtl/>
        </w:rPr>
        <w:t>ة</w:t>
      </w:r>
      <w:r w:rsidR="00E8128F">
        <w:rPr>
          <w:sz w:val="36"/>
          <w:szCs w:val="36"/>
          <w:rtl/>
        </w:rPr>
        <w:t xml:space="preserve"> </w:t>
      </w:r>
      <w:r w:rsidR="00D460C6" w:rsidRPr="00FD211F">
        <w:rPr>
          <w:sz w:val="36"/>
          <w:szCs w:val="36"/>
          <w:rtl/>
        </w:rPr>
        <w:t>بان</w:t>
      </w:r>
      <w:r w:rsidR="00E8128F">
        <w:rPr>
          <w:sz w:val="36"/>
          <w:szCs w:val="36"/>
          <w:rtl/>
        </w:rPr>
        <w:t xml:space="preserve"> </w:t>
      </w:r>
      <w:r w:rsidR="00D460C6" w:rsidRPr="00FD211F">
        <w:rPr>
          <w:sz w:val="36"/>
          <w:szCs w:val="36"/>
          <w:rtl/>
        </w:rPr>
        <w:t>يكون</w:t>
      </w:r>
      <w:r w:rsidR="00E8128F">
        <w:rPr>
          <w:sz w:val="36"/>
          <w:szCs w:val="36"/>
          <w:rtl/>
        </w:rPr>
        <w:t xml:space="preserve"> </w:t>
      </w:r>
      <w:r w:rsidR="00D460C6" w:rsidRPr="00FD211F">
        <w:rPr>
          <w:sz w:val="36"/>
          <w:szCs w:val="36"/>
          <w:rtl/>
        </w:rPr>
        <w:t>معناه</w:t>
      </w:r>
      <w:r w:rsidR="00E8128F">
        <w:rPr>
          <w:sz w:val="36"/>
          <w:szCs w:val="36"/>
          <w:rtl/>
        </w:rPr>
        <w:t xml:space="preserve"> </w:t>
      </w:r>
      <w:r w:rsidR="00D460C6" w:rsidRPr="00FD211F">
        <w:rPr>
          <w:sz w:val="36"/>
          <w:szCs w:val="36"/>
          <w:rtl/>
        </w:rPr>
        <w:t>"</w:t>
      </w:r>
      <w:r w:rsidR="00E8128F">
        <w:rPr>
          <w:sz w:val="36"/>
          <w:szCs w:val="36"/>
          <w:rtl/>
        </w:rPr>
        <w:t xml:space="preserve"> </w:t>
      </w:r>
      <w:r w:rsidR="00793654" w:rsidRPr="00FD211F">
        <w:rPr>
          <w:sz w:val="36"/>
          <w:szCs w:val="36"/>
          <w:rtl/>
        </w:rPr>
        <w:t>زيد</w:t>
      </w:r>
      <w:r w:rsidR="00E8128F">
        <w:rPr>
          <w:sz w:val="36"/>
          <w:szCs w:val="36"/>
          <w:rtl/>
        </w:rPr>
        <w:t xml:space="preserve"> </w:t>
      </w:r>
      <w:r w:rsidR="00793654" w:rsidRPr="00FD211F">
        <w:rPr>
          <w:sz w:val="36"/>
          <w:szCs w:val="36"/>
          <w:rtl/>
        </w:rPr>
        <w:t>غدا</w:t>
      </w:r>
      <w:r w:rsidR="00E8128F">
        <w:rPr>
          <w:sz w:val="36"/>
          <w:szCs w:val="36"/>
          <w:rtl/>
        </w:rPr>
        <w:t xml:space="preserve"> </w:t>
      </w:r>
      <w:r w:rsidR="00793654" w:rsidRPr="00FD211F">
        <w:rPr>
          <w:sz w:val="36"/>
          <w:szCs w:val="36"/>
          <w:rtl/>
        </w:rPr>
        <w:t>من</w:t>
      </w:r>
      <w:r w:rsidR="00E8128F">
        <w:rPr>
          <w:sz w:val="36"/>
          <w:szCs w:val="36"/>
          <w:rtl/>
        </w:rPr>
        <w:t xml:space="preserve"> </w:t>
      </w:r>
      <w:r w:rsidR="00793654" w:rsidRPr="00FD211F">
        <w:rPr>
          <w:sz w:val="36"/>
          <w:szCs w:val="36"/>
          <w:rtl/>
        </w:rPr>
        <w:t>قام</w:t>
      </w:r>
      <w:r w:rsidR="00D460C6" w:rsidRPr="00FD211F">
        <w:rPr>
          <w:sz w:val="36"/>
          <w:szCs w:val="36"/>
          <w:rtl/>
        </w:rPr>
        <w:t>"</w:t>
      </w:r>
      <w:r w:rsidR="00E8128F">
        <w:rPr>
          <w:sz w:val="36"/>
          <w:szCs w:val="36"/>
          <w:rtl/>
        </w:rPr>
        <w:t xml:space="preserve"> </w:t>
      </w:r>
      <w:r w:rsidR="00D460C6" w:rsidRPr="00FD211F">
        <w:rPr>
          <w:sz w:val="36"/>
          <w:szCs w:val="36"/>
          <w:rtl/>
        </w:rPr>
        <w:t>فانه</w:t>
      </w:r>
      <w:r w:rsidR="00E8128F">
        <w:rPr>
          <w:sz w:val="36"/>
          <w:szCs w:val="36"/>
          <w:rtl/>
        </w:rPr>
        <w:t xml:space="preserve"> </w:t>
      </w:r>
      <w:r w:rsidR="00D460C6" w:rsidRPr="00FD211F">
        <w:rPr>
          <w:sz w:val="36"/>
          <w:szCs w:val="36"/>
          <w:rtl/>
        </w:rPr>
        <w:t>يساوق</w:t>
      </w:r>
      <w:r w:rsidR="00E8128F">
        <w:rPr>
          <w:sz w:val="36"/>
          <w:szCs w:val="36"/>
          <w:rtl/>
        </w:rPr>
        <w:t xml:space="preserve"> </w:t>
      </w:r>
      <w:r w:rsidR="00D460C6" w:rsidRPr="00FD211F">
        <w:rPr>
          <w:sz w:val="36"/>
          <w:szCs w:val="36"/>
          <w:rtl/>
        </w:rPr>
        <w:t>ان</w:t>
      </w:r>
      <w:r w:rsidR="00E8128F">
        <w:rPr>
          <w:sz w:val="36"/>
          <w:szCs w:val="36"/>
          <w:rtl/>
        </w:rPr>
        <w:t xml:space="preserve"> </w:t>
      </w:r>
      <w:r w:rsidR="00D460C6" w:rsidRPr="00FD211F">
        <w:rPr>
          <w:sz w:val="36"/>
          <w:szCs w:val="36"/>
          <w:rtl/>
        </w:rPr>
        <w:t>يقال</w:t>
      </w:r>
      <w:r w:rsidR="00E8128F">
        <w:rPr>
          <w:sz w:val="36"/>
          <w:szCs w:val="36"/>
          <w:rtl/>
        </w:rPr>
        <w:t xml:space="preserve"> </w:t>
      </w:r>
      <w:r w:rsidR="00D460C6" w:rsidRPr="00FD211F">
        <w:rPr>
          <w:sz w:val="36"/>
          <w:szCs w:val="36"/>
          <w:rtl/>
        </w:rPr>
        <w:t>بالفارسي</w:t>
      </w:r>
      <w:r w:rsidR="00EC7EDF" w:rsidRPr="00FD211F">
        <w:rPr>
          <w:sz w:val="36"/>
          <w:szCs w:val="36"/>
          <w:rtl/>
        </w:rPr>
        <w:t>ة</w:t>
      </w:r>
      <w:r w:rsidR="00E8128F">
        <w:rPr>
          <w:sz w:val="36"/>
          <w:szCs w:val="36"/>
          <w:rtl/>
        </w:rPr>
        <w:t xml:space="preserve"> </w:t>
      </w:r>
      <w:r w:rsidR="00D460C6" w:rsidRPr="00FD211F">
        <w:rPr>
          <w:sz w:val="36"/>
          <w:szCs w:val="36"/>
          <w:rtl/>
        </w:rPr>
        <w:t>"</w:t>
      </w:r>
      <w:r w:rsidR="00E8128F">
        <w:rPr>
          <w:sz w:val="36"/>
          <w:szCs w:val="36"/>
          <w:rtl/>
        </w:rPr>
        <w:t xml:space="preserve"> </w:t>
      </w:r>
      <w:r w:rsidR="000B7E9E" w:rsidRPr="00FD211F">
        <w:rPr>
          <w:sz w:val="36"/>
          <w:szCs w:val="36"/>
          <w:rtl/>
        </w:rPr>
        <w:t>زيد</w:t>
      </w:r>
      <w:r w:rsidR="00E8128F">
        <w:rPr>
          <w:sz w:val="36"/>
          <w:szCs w:val="36"/>
          <w:rtl/>
        </w:rPr>
        <w:t xml:space="preserve"> </w:t>
      </w:r>
      <w:r w:rsidR="000B7E9E" w:rsidRPr="00FD211F">
        <w:rPr>
          <w:sz w:val="36"/>
          <w:szCs w:val="36"/>
          <w:rtl/>
        </w:rPr>
        <w:t>فردا</w:t>
      </w:r>
      <w:r w:rsidR="00E8128F">
        <w:rPr>
          <w:sz w:val="36"/>
          <w:szCs w:val="36"/>
          <w:rtl/>
        </w:rPr>
        <w:t xml:space="preserve"> </w:t>
      </w:r>
      <w:r w:rsidR="000B7E9E" w:rsidRPr="00FD211F">
        <w:rPr>
          <w:sz w:val="36"/>
          <w:szCs w:val="36"/>
          <w:rtl/>
        </w:rPr>
        <w:t>كسى</w:t>
      </w:r>
      <w:r w:rsidR="00E8128F">
        <w:rPr>
          <w:sz w:val="36"/>
          <w:szCs w:val="36"/>
          <w:rtl/>
        </w:rPr>
        <w:t xml:space="preserve"> </w:t>
      </w:r>
      <w:r w:rsidR="000B7E9E" w:rsidRPr="00FD211F">
        <w:rPr>
          <w:sz w:val="36"/>
          <w:szCs w:val="36"/>
          <w:rtl/>
        </w:rPr>
        <w:t>است</w:t>
      </w:r>
      <w:r w:rsidR="00E8128F">
        <w:rPr>
          <w:sz w:val="36"/>
          <w:szCs w:val="36"/>
          <w:rtl/>
        </w:rPr>
        <w:t xml:space="preserve"> </w:t>
      </w:r>
      <w:r w:rsidR="000B7E9E" w:rsidRPr="00FD211F">
        <w:rPr>
          <w:sz w:val="36"/>
          <w:szCs w:val="36"/>
          <w:rtl/>
        </w:rPr>
        <w:t>كه</w:t>
      </w:r>
      <w:r w:rsidR="00E8128F">
        <w:rPr>
          <w:sz w:val="36"/>
          <w:szCs w:val="36"/>
          <w:rtl/>
        </w:rPr>
        <w:t xml:space="preserve"> </w:t>
      </w:r>
      <w:r w:rsidR="000B7E9E" w:rsidRPr="00FD211F">
        <w:rPr>
          <w:sz w:val="36"/>
          <w:szCs w:val="36"/>
          <w:rtl/>
        </w:rPr>
        <w:t>ايستاد</w:t>
      </w:r>
      <w:r w:rsidR="00D460C6" w:rsidRPr="00FD211F">
        <w:rPr>
          <w:sz w:val="36"/>
          <w:szCs w:val="36"/>
          <w:rtl/>
        </w:rPr>
        <w:t>"</w:t>
      </w:r>
      <w:r w:rsidR="00E8128F">
        <w:rPr>
          <w:sz w:val="36"/>
          <w:szCs w:val="36"/>
          <w:rtl/>
        </w:rPr>
        <w:t xml:space="preserve"> </w:t>
      </w:r>
      <w:r w:rsidR="00D460C6" w:rsidRPr="00FD211F">
        <w:rPr>
          <w:sz w:val="36"/>
          <w:szCs w:val="36"/>
          <w:rtl/>
        </w:rPr>
        <w:t>بينماأ</w:t>
      </w:r>
      <w:r w:rsidR="00793654" w:rsidRPr="00FD211F">
        <w:rPr>
          <w:sz w:val="36"/>
          <w:szCs w:val="36"/>
          <w:rtl/>
        </w:rPr>
        <w:t>نه</w:t>
      </w:r>
      <w:r w:rsidR="00E8128F">
        <w:rPr>
          <w:sz w:val="36"/>
          <w:szCs w:val="36"/>
          <w:rtl/>
        </w:rPr>
        <w:t xml:space="preserve"> </w:t>
      </w:r>
      <w:r w:rsidR="00793654" w:rsidRPr="00FD211F">
        <w:rPr>
          <w:sz w:val="36"/>
          <w:szCs w:val="36"/>
          <w:rtl/>
        </w:rPr>
        <w:t>يصح</w:t>
      </w:r>
      <w:r w:rsidR="00E8128F">
        <w:rPr>
          <w:sz w:val="36"/>
          <w:szCs w:val="36"/>
          <w:rtl/>
        </w:rPr>
        <w:t xml:space="preserve"> </w:t>
      </w:r>
      <w:r w:rsidR="00D460C6" w:rsidRPr="00FD211F">
        <w:rPr>
          <w:sz w:val="36"/>
          <w:szCs w:val="36"/>
          <w:rtl/>
        </w:rPr>
        <w:t>ان</w:t>
      </w:r>
      <w:r w:rsidR="00E8128F">
        <w:rPr>
          <w:sz w:val="36"/>
          <w:szCs w:val="36"/>
          <w:rtl/>
        </w:rPr>
        <w:t xml:space="preserve"> </w:t>
      </w:r>
      <w:r w:rsidR="00793654" w:rsidRPr="00FD211F">
        <w:rPr>
          <w:sz w:val="36"/>
          <w:szCs w:val="36"/>
          <w:rtl/>
        </w:rPr>
        <w:t>يقال</w:t>
      </w:r>
      <w:r w:rsidR="00E8128F">
        <w:rPr>
          <w:sz w:val="36"/>
          <w:szCs w:val="36"/>
          <w:rtl/>
        </w:rPr>
        <w:t xml:space="preserve"> </w:t>
      </w:r>
      <w:r w:rsidR="00D460C6" w:rsidRPr="00FD211F">
        <w:rPr>
          <w:sz w:val="36"/>
          <w:szCs w:val="36"/>
          <w:rtl/>
        </w:rPr>
        <w:t>"</w:t>
      </w:r>
      <w:r w:rsidR="00793654" w:rsidRPr="00FD211F">
        <w:rPr>
          <w:sz w:val="36"/>
          <w:szCs w:val="36"/>
          <w:rtl/>
        </w:rPr>
        <w:t>زيد</w:t>
      </w:r>
      <w:r w:rsidR="00E8128F">
        <w:rPr>
          <w:sz w:val="36"/>
          <w:szCs w:val="36"/>
          <w:rtl/>
        </w:rPr>
        <w:t xml:space="preserve"> </w:t>
      </w:r>
      <w:r w:rsidR="00793654" w:rsidRPr="00FD211F">
        <w:rPr>
          <w:sz w:val="36"/>
          <w:szCs w:val="36"/>
          <w:rtl/>
        </w:rPr>
        <w:t>قائم</w:t>
      </w:r>
      <w:r w:rsidR="00E8128F">
        <w:rPr>
          <w:sz w:val="36"/>
          <w:szCs w:val="36"/>
          <w:rtl/>
        </w:rPr>
        <w:t xml:space="preserve"> </w:t>
      </w:r>
      <w:r w:rsidR="00793654" w:rsidRPr="00FD211F">
        <w:rPr>
          <w:sz w:val="36"/>
          <w:szCs w:val="36"/>
          <w:rtl/>
        </w:rPr>
        <w:t>غدا</w:t>
      </w:r>
      <w:r w:rsidR="00D460C6" w:rsidRPr="00FD211F">
        <w:rPr>
          <w:sz w:val="36"/>
          <w:szCs w:val="36"/>
          <w:rtl/>
        </w:rPr>
        <w:t>"</w:t>
      </w:r>
      <w:r w:rsidR="00603323" w:rsidRPr="00FD211F">
        <w:rPr>
          <w:sz w:val="36"/>
          <w:szCs w:val="36"/>
          <w:rtl/>
        </w:rPr>
        <w:t>،</w:t>
      </w:r>
      <w:r w:rsidR="00E8128F">
        <w:rPr>
          <w:sz w:val="36"/>
          <w:szCs w:val="36"/>
          <w:rtl/>
        </w:rPr>
        <w:t xml:space="preserve"> </w:t>
      </w:r>
      <w:r w:rsidR="000B7E9E" w:rsidRPr="00FD211F">
        <w:rPr>
          <w:sz w:val="36"/>
          <w:szCs w:val="36"/>
          <w:rtl/>
        </w:rPr>
        <w:t>وهذا</w:t>
      </w:r>
      <w:r w:rsidR="00E8128F">
        <w:rPr>
          <w:sz w:val="36"/>
          <w:szCs w:val="36"/>
          <w:rtl/>
        </w:rPr>
        <w:t xml:space="preserve"> </w:t>
      </w:r>
      <w:r w:rsidR="000B7E9E" w:rsidRPr="00FD211F">
        <w:rPr>
          <w:sz w:val="36"/>
          <w:szCs w:val="36"/>
          <w:rtl/>
        </w:rPr>
        <w:t>علام</w:t>
      </w:r>
      <w:r w:rsidR="00EC7EDF" w:rsidRPr="00FD211F">
        <w:rPr>
          <w:sz w:val="36"/>
          <w:szCs w:val="36"/>
          <w:rtl/>
        </w:rPr>
        <w:t>ة</w:t>
      </w:r>
      <w:r w:rsidR="00E8128F">
        <w:rPr>
          <w:sz w:val="36"/>
          <w:szCs w:val="36"/>
          <w:rtl/>
        </w:rPr>
        <w:t xml:space="preserve"> </w:t>
      </w:r>
      <w:r w:rsidR="00793654" w:rsidRPr="00FD211F">
        <w:rPr>
          <w:sz w:val="36"/>
          <w:szCs w:val="36"/>
          <w:rtl/>
        </w:rPr>
        <w:t>ظاهر</w:t>
      </w:r>
      <w:r w:rsidR="00EC7EDF" w:rsidRPr="00FD211F">
        <w:rPr>
          <w:sz w:val="36"/>
          <w:szCs w:val="36"/>
          <w:rtl/>
        </w:rPr>
        <w:t>ة</w:t>
      </w:r>
      <w:r w:rsidR="00E8128F">
        <w:rPr>
          <w:sz w:val="36"/>
          <w:szCs w:val="36"/>
          <w:rtl/>
        </w:rPr>
        <w:t xml:space="preserve"> </w:t>
      </w:r>
      <w:r w:rsidR="00793654" w:rsidRPr="00FD211F">
        <w:rPr>
          <w:sz w:val="36"/>
          <w:szCs w:val="36"/>
          <w:rtl/>
        </w:rPr>
        <w:t>على</w:t>
      </w:r>
      <w:r w:rsidR="00E8128F">
        <w:rPr>
          <w:sz w:val="36"/>
          <w:szCs w:val="36"/>
          <w:rtl/>
        </w:rPr>
        <w:t xml:space="preserve"> </w:t>
      </w:r>
      <w:r w:rsidR="00793654" w:rsidRPr="00FD211F">
        <w:rPr>
          <w:sz w:val="36"/>
          <w:szCs w:val="36"/>
          <w:rtl/>
        </w:rPr>
        <w:t>اختلافهما</w:t>
      </w:r>
      <w:r w:rsidR="00E8128F">
        <w:rPr>
          <w:sz w:val="36"/>
          <w:szCs w:val="36"/>
          <w:rtl/>
        </w:rPr>
        <w:t xml:space="preserve"> </w:t>
      </w:r>
      <w:r w:rsidR="00793654" w:rsidRPr="00FD211F">
        <w:rPr>
          <w:sz w:val="36"/>
          <w:szCs w:val="36"/>
          <w:rtl/>
        </w:rPr>
        <w:t>مفهوما</w:t>
      </w:r>
      <w:r w:rsidR="00EC7EDF" w:rsidRPr="00FD211F">
        <w:rPr>
          <w:sz w:val="36"/>
          <w:szCs w:val="36"/>
          <w:rtl/>
        </w:rPr>
        <w:t>.</w:t>
      </w:r>
    </w:p>
    <w:p w14:paraId="0A31F99F" w14:textId="77777777" w:rsidR="00956DEA" w:rsidRPr="00FD211F" w:rsidRDefault="00C36E2A" w:rsidP="009C58C8">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وقد</w:t>
      </w:r>
      <w:r w:rsidR="00F72879" w:rsidRPr="00FD211F">
        <w:rPr>
          <w:sz w:val="36"/>
          <w:szCs w:val="36"/>
          <w:rtl/>
        </w:rPr>
        <w:t>حكى</w:t>
      </w:r>
      <w:r w:rsidR="00E8128F">
        <w:rPr>
          <w:sz w:val="36"/>
          <w:szCs w:val="36"/>
          <w:rtl/>
        </w:rPr>
        <w:t xml:space="preserve"> </w:t>
      </w:r>
      <w:r w:rsidR="00F72879" w:rsidRPr="00FD211F">
        <w:rPr>
          <w:sz w:val="36"/>
          <w:szCs w:val="36"/>
          <w:rtl/>
        </w:rPr>
        <w:t>في</w:t>
      </w:r>
      <w:r w:rsidR="00E8128F">
        <w:rPr>
          <w:sz w:val="36"/>
          <w:szCs w:val="36"/>
          <w:rtl/>
        </w:rPr>
        <w:t xml:space="preserve"> </w:t>
      </w:r>
      <w:r w:rsidR="00F72879" w:rsidRPr="00FD211F">
        <w:rPr>
          <w:sz w:val="36"/>
          <w:szCs w:val="36"/>
          <w:rtl/>
        </w:rPr>
        <w:t>مباحث</w:t>
      </w:r>
      <w:r w:rsidR="00E8128F">
        <w:rPr>
          <w:sz w:val="36"/>
          <w:szCs w:val="36"/>
          <w:rtl/>
        </w:rPr>
        <w:t xml:space="preserve"> </w:t>
      </w:r>
      <w:r w:rsidR="00F72879" w:rsidRPr="00FD211F">
        <w:rPr>
          <w:sz w:val="36"/>
          <w:szCs w:val="36"/>
          <w:rtl/>
        </w:rPr>
        <w:t>الاصول</w:t>
      </w:r>
      <w:r w:rsidR="00E8128F">
        <w:rPr>
          <w:sz w:val="36"/>
          <w:szCs w:val="36"/>
          <w:rtl/>
        </w:rPr>
        <w:t xml:space="preserve"> </w:t>
      </w:r>
      <w:r w:rsidR="00F72879" w:rsidRPr="00FD211F">
        <w:rPr>
          <w:sz w:val="36"/>
          <w:szCs w:val="36"/>
          <w:rtl/>
        </w:rPr>
        <w:t>عن</w:t>
      </w:r>
      <w:r w:rsidR="00E8128F">
        <w:rPr>
          <w:sz w:val="36"/>
          <w:szCs w:val="36"/>
          <w:rtl/>
        </w:rPr>
        <w:t xml:space="preserve"> </w:t>
      </w:r>
      <w:r w:rsidR="00F72879" w:rsidRPr="00FD211F">
        <w:rPr>
          <w:sz w:val="36"/>
          <w:szCs w:val="36"/>
          <w:rtl/>
        </w:rPr>
        <w:t>السيدالصدر"قده"</w:t>
      </w:r>
      <w:r w:rsidR="00E8128F">
        <w:rPr>
          <w:sz w:val="36"/>
          <w:szCs w:val="36"/>
          <w:rtl/>
        </w:rPr>
        <w:t xml:space="preserve"> </w:t>
      </w:r>
      <w:r w:rsidRPr="00FD211F">
        <w:rPr>
          <w:sz w:val="36"/>
          <w:szCs w:val="36"/>
          <w:rtl/>
        </w:rPr>
        <w:t>ا</w:t>
      </w:r>
      <w:r w:rsidR="00F72879" w:rsidRPr="00FD211F">
        <w:rPr>
          <w:sz w:val="36"/>
          <w:szCs w:val="36"/>
          <w:rtl/>
        </w:rPr>
        <w:t>نه</w:t>
      </w:r>
      <w:r w:rsidR="00E8128F">
        <w:rPr>
          <w:sz w:val="36"/>
          <w:szCs w:val="36"/>
          <w:rtl/>
        </w:rPr>
        <w:t xml:space="preserve"> </w:t>
      </w:r>
      <w:r w:rsidR="00F72879" w:rsidRPr="00FD211F">
        <w:rPr>
          <w:sz w:val="36"/>
          <w:szCs w:val="36"/>
          <w:rtl/>
        </w:rPr>
        <w:t>قبل</w:t>
      </w:r>
      <w:r w:rsidR="00E8128F">
        <w:rPr>
          <w:sz w:val="36"/>
          <w:szCs w:val="36"/>
          <w:rtl/>
        </w:rPr>
        <w:t xml:space="preserve"> </w:t>
      </w:r>
      <w:r w:rsidR="00F72879" w:rsidRPr="00FD211F">
        <w:rPr>
          <w:sz w:val="36"/>
          <w:szCs w:val="36"/>
          <w:rtl/>
        </w:rPr>
        <w:t>هذاالجامع</w:t>
      </w:r>
      <w:r w:rsidR="00E8128F">
        <w:rPr>
          <w:sz w:val="36"/>
          <w:szCs w:val="36"/>
          <w:rtl/>
        </w:rPr>
        <w:t xml:space="preserve"> </w:t>
      </w:r>
      <w:r w:rsidR="00F72879" w:rsidRPr="00FD211F">
        <w:rPr>
          <w:sz w:val="36"/>
          <w:szCs w:val="36"/>
          <w:rtl/>
        </w:rPr>
        <w:t>كجامع</w:t>
      </w:r>
      <w:r w:rsidR="00E8128F">
        <w:rPr>
          <w:sz w:val="36"/>
          <w:szCs w:val="36"/>
          <w:rtl/>
        </w:rPr>
        <w:t xml:space="preserve"> </w:t>
      </w:r>
      <w:r w:rsidR="00F72879" w:rsidRPr="00FD211F">
        <w:rPr>
          <w:sz w:val="36"/>
          <w:szCs w:val="36"/>
          <w:rtl/>
        </w:rPr>
        <w:t>عرفي</w:t>
      </w:r>
      <w:r w:rsidR="009C58C8" w:rsidRPr="00FD211F">
        <w:rPr>
          <w:rStyle w:val="a6"/>
          <w:sz w:val="36"/>
          <w:szCs w:val="36"/>
          <w:rtl/>
        </w:rPr>
        <w:t>(</w:t>
      </w:r>
      <w:r w:rsidR="009C58C8" w:rsidRPr="00FD211F">
        <w:rPr>
          <w:rStyle w:val="a6"/>
          <w:sz w:val="36"/>
          <w:szCs w:val="36"/>
          <w:rtl/>
        </w:rPr>
        <w:footnoteReference w:id="545"/>
      </w:r>
      <w:r w:rsidR="009C58C8" w:rsidRPr="00FD211F">
        <w:rPr>
          <w:rStyle w:val="a6"/>
          <w:sz w:val="36"/>
          <w:szCs w:val="36"/>
          <w:rtl/>
        </w:rPr>
        <w:t>)</w:t>
      </w:r>
      <w:r w:rsidR="00E8128F">
        <w:rPr>
          <w:sz w:val="36"/>
          <w:szCs w:val="36"/>
          <w:rtl/>
        </w:rPr>
        <w:t xml:space="preserve"> </w:t>
      </w:r>
      <w:r w:rsidR="00F72879" w:rsidRPr="00FD211F">
        <w:rPr>
          <w:sz w:val="36"/>
          <w:szCs w:val="36"/>
          <w:rtl/>
        </w:rPr>
        <w:t>الاأنه</w:t>
      </w:r>
      <w:r w:rsidR="00E8128F">
        <w:rPr>
          <w:sz w:val="36"/>
          <w:szCs w:val="36"/>
          <w:rtl/>
        </w:rPr>
        <w:t xml:space="preserve"> </w:t>
      </w:r>
      <w:r w:rsidR="00F72879" w:rsidRPr="00FD211F">
        <w:rPr>
          <w:sz w:val="36"/>
          <w:szCs w:val="36"/>
          <w:rtl/>
        </w:rPr>
        <w:t>نقل</w:t>
      </w:r>
      <w:r w:rsidR="00E8128F">
        <w:rPr>
          <w:sz w:val="36"/>
          <w:szCs w:val="36"/>
          <w:rtl/>
        </w:rPr>
        <w:t xml:space="preserve"> </w:t>
      </w:r>
      <w:r w:rsidR="00956DEA" w:rsidRPr="00FD211F">
        <w:rPr>
          <w:sz w:val="36"/>
          <w:szCs w:val="36"/>
          <w:rtl/>
        </w:rPr>
        <w:t>في</w:t>
      </w:r>
      <w:r w:rsidR="00E8128F">
        <w:rPr>
          <w:sz w:val="36"/>
          <w:szCs w:val="36"/>
          <w:rtl/>
        </w:rPr>
        <w:t xml:space="preserve"> </w:t>
      </w:r>
      <w:r w:rsidR="00956DEA" w:rsidRPr="00FD211F">
        <w:rPr>
          <w:sz w:val="36"/>
          <w:szCs w:val="36"/>
          <w:rtl/>
        </w:rPr>
        <w:t>البحوث</w:t>
      </w:r>
      <w:r w:rsidR="00E8128F">
        <w:rPr>
          <w:sz w:val="36"/>
          <w:szCs w:val="36"/>
          <w:rtl/>
        </w:rPr>
        <w:t xml:space="preserve"> </w:t>
      </w:r>
      <w:r w:rsidR="00F72879" w:rsidRPr="00FD211F">
        <w:rPr>
          <w:sz w:val="36"/>
          <w:szCs w:val="36"/>
          <w:rtl/>
        </w:rPr>
        <w:t>أنه</w:t>
      </w:r>
      <w:r w:rsidR="00E8128F">
        <w:rPr>
          <w:sz w:val="36"/>
          <w:szCs w:val="36"/>
          <w:rtl/>
        </w:rPr>
        <w:t xml:space="preserve"> </w:t>
      </w:r>
      <w:r w:rsidR="00F72879" w:rsidRPr="00FD211F">
        <w:rPr>
          <w:sz w:val="36"/>
          <w:szCs w:val="36"/>
          <w:rtl/>
        </w:rPr>
        <w:t>أورد</w:t>
      </w:r>
      <w:r w:rsidR="00956DEA" w:rsidRPr="00FD211F">
        <w:rPr>
          <w:sz w:val="36"/>
          <w:szCs w:val="36"/>
          <w:rtl/>
        </w:rPr>
        <w:t>على</w:t>
      </w:r>
      <w:r w:rsidR="00E8128F">
        <w:rPr>
          <w:sz w:val="36"/>
          <w:szCs w:val="36"/>
          <w:rtl/>
        </w:rPr>
        <w:t xml:space="preserve"> </w:t>
      </w:r>
      <w:r w:rsidR="00956DEA" w:rsidRPr="00FD211F">
        <w:rPr>
          <w:sz w:val="36"/>
          <w:szCs w:val="36"/>
          <w:rtl/>
        </w:rPr>
        <w:t>هذا</w:t>
      </w:r>
      <w:r w:rsidR="00E8128F">
        <w:rPr>
          <w:sz w:val="36"/>
          <w:szCs w:val="36"/>
          <w:rtl/>
        </w:rPr>
        <w:t xml:space="preserve"> </w:t>
      </w:r>
      <w:r w:rsidR="00956DEA" w:rsidRPr="00FD211F">
        <w:rPr>
          <w:sz w:val="36"/>
          <w:szCs w:val="36"/>
          <w:rtl/>
        </w:rPr>
        <w:t>الوجه</w:t>
      </w:r>
      <w:r w:rsidR="00E8128F">
        <w:rPr>
          <w:sz w:val="36"/>
          <w:szCs w:val="36"/>
          <w:rtl/>
        </w:rPr>
        <w:t xml:space="preserve"> </w:t>
      </w:r>
      <w:r w:rsidR="00243F4A" w:rsidRPr="00FD211F">
        <w:rPr>
          <w:sz w:val="36"/>
          <w:szCs w:val="36"/>
          <w:rtl/>
        </w:rPr>
        <w:t>ب</w:t>
      </w:r>
      <w:r w:rsidR="008C5FBC" w:rsidRPr="00FD211F">
        <w:rPr>
          <w:sz w:val="36"/>
          <w:szCs w:val="36"/>
          <w:rtl/>
        </w:rPr>
        <w:t>ايرادين</w:t>
      </w:r>
      <w:r w:rsidR="00E8128F">
        <w:rPr>
          <w:sz w:val="36"/>
          <w:szCs w:val="36"/>
          <w:rtl/>
        </w:rPr>
        <w:t xml:space="preserve"> </w:t>
      </w:r>
      <w:r w:rsidR="008C5FBC" w:rsidRPr="00FD211F">
        <w:rPr>
          <w:sz w:val="36"/>
          <w:szCs w:val="36"/>
          <w:rtl/>
        </w:rPr>
        <w:t>آخرين:</w:t>
      </w:r>
      <w:r w:rsidR="00E8128F">
        <w:rPr>
          <w:sz w:val="36"/>
          <w:szCs w:val="36"/>
          <w:rtl/>
        </w:rPr>
        <w:t xml:space="preserve"> </w:t>
      </w:r>
    </w:p>
    <w:p w14:paraId="3A41F01A" w14:textId="77777777" w:rsidR="00956DEA" w:rsidRPr="00FD211F" w:rsidRDefault="008C5FBC" w:rsidP="009C58C8">
      <w:pPr>
        <w:ind w:left="0" w:firstLine="227"/>
        <w:jc w:val="both"/>
        <w:rPr>
          <w:sz w:val="36"/>
          <w:szCs w:val="36"/>
          <w:rtl/>
        </w:rPr>
      </w:pPr>
      <w:r w:rsidRPr="00FD211F">
        <w:rPr>
          <w:b/>
          <w:bCs/>
          <w:sz w:val="36"/>
          <w:szCs w:val="36"/>
          <w:rtl/>
        </w:rPr>
        <w:t>اولهما</w:t>
      </w:r>
      <w:r w:rsidR="00D460C6"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00793654" w:rsidRPr="00FD211F">
        <w:rPr>
          <w:sz w:val="36"/>
          <w:szCs w:val="36"/>
          <w:rtl/>
        </w:rPr>
        <w:t>اخذ</w:t>
      </w:r>
      <w:r w:rsidR="00E8128F">
        <w:rPr>
          <w:sz w:val="36"/>
          <w:szCs w:val="36"/>
          <w:rtl/>
        </w:rPr>
        <w:t xml:space="preserve"> </w:t>
      </w:r>
      <w:r w:rsidR="00793654" w:rsidRPr="00FD211F">
        <w:rPr>
          <w:sz w:val="36"/>
          <w:szCs w:val="36"/>
          <w:rtl/>
        </w:rPr>
        <w:t>مفاد</w:t>
      </w:r>
      <w:r w:rsidR="00E8128F">
        <w:rPr>
          <w:sz w:val="36"/>
          <w:szCs w:val="36"/>
          <w:rtl/>
        </w:rPr>
        <w:t xml:space="preserve"> </w:t>
      </w:r>
      <w:r w:rsidR="00793654" w:rsidRPr="00FD211F">
        <w:rPr>
          <w:sz w:val="36"/>
          <w:szCs w:val="36"/>
          <w:rtl/>
        </w:rPr>
        <w:t>الفعل</w:t>
      </w:r>
      <w:r w:rsidR="00E8128F">
        <w:rPr>
          <w:sz w:val="36"/>
          <w:szCs w:val="36"/>
          <w:rtl/>
        </w:rPr>
        <w:t xml:space="preserve"> </w:t>
      </w:r>
      <w:r w:rsidR="00793654" w:rsidRPr="00FD211F">
        <w:rPr>
          <w:sz w:val="36"/>
          <w:szCs w:val="36"/>
          <w:rtl/>
        </w:rPr>
        <w:t>الماضي</w:t>
      </w:r>
      <w:r w:rsidR="00E8128F">
        <w:rPr>
          <w:sz w:val="36"/>
          <w:szCs w:val="36"/>
          <w:rtl/>
        </w:rPr>
        <w:t xml:space="preserve"> </w:t>
      </w:r>
      <w:r w:rsidR="00793654" w:rsidRPr="00FD211F">
        <w:rPr>
          <w:sz w:val="36"/>
          <w:szCs w:val="36"/>
          <w:rtl/>
        </w:rPr>
        <w:t>لايصح</w:t>
      </w:r>
      <w:r w:rsidR="00E8128F">
        <w:rPr>
          <w:sz w:val="36"/>
          <w:szCs w:val="36"/>
          <w:rtl/>
        </w:rPr>
        <w:t xml:space="preserve"> </w:t>
      </w:r>
      <w:r w:rsidR="00793654" w:rsidRPr="00FD211F">
        <w:rPr>
          <w:sz w:val="36"/>
          <w:szCs w:val="36"/>
          <w:rtl/>
        </w:rPr>
        <w:t>في</w:t>
      </w:r>
      <w:r w:rsidR="00E8128F">
        <w:rPr>
          <w:sz w:val="36"/>
          <w:szCs w:val="36"/>
          <w:rtl/>
        </w:rPr>
        <w:t xml:space="preserve"> </w:t>
      </w:r>
      <w:r w:rsidR="00793654" w:rsidRPr="00FD211F">
        <w:rPr>
          <w:sz w:val="36"/>
          <w:szCs w:val="36"/>
          <w:rtl/>
        </w:rPr>
        <w:t>مثل</w:t>
      </w:r>
      <w:r w:rsidR="00E8128F">
        <w:rPr>
          <w:sz w:val="36"/>
          <w:szCs w:val="36"/>
          <w:rtl/>
        </w:rPr>
        <w:t xml:space="preserve"> </w:t>
      </w:r>
      <w:r w:rsidR="00793654" w:rsidRPr="00FD211F">
        <w:rPr>
          <w:sz w:val="36"/>
          <w:szCs w:val="36"/>
          <w:rtl/>
        </w:rPr>
        <w:t>اسم</w:t>
      </w:r>
      <w:r w:rsidR="00E8128F">
        <w:rPr>
          <w:sz w:val="36"/>
          <w:szCs w:val="36"/>
          <w:rtl/>
        </w:rPr>
        <w:t xml:space="preserve"> </w:t>
      </w:r>
      <w:r w:rsidR="00793654" w:rsidRPr="00FD211F">
        <w:rPr>
          <w:sz w:val="36"/>
          <w:szCs w:val="36"/>
          <w:rtl/>
        </w:rPr>
        <w:t>الآل</w:t>
      </w:r>
      <w:r w:rsidR="00EC7EDF" w:rsidRPr="00FD211F">
        <w:rPr>
          <w:sz w:val="36"/>
          <w:szCs w:val="36"/>
          <w:rtl/>
        </w:rPr>
        <w:t>ة</w:t>
      </w:r>
      <w:r w:rsidR="00E8128F">
        <w:rPr>
          <w:sz w:val="36"/>
          <w:szCs w:val="36"/>
          <w:rtl/>
        </w:rPr>
        <w:t xml:space="preserve"> </w:t>
      </w:r>
      <w:r w:rsidR="00793654" w:rsidRPr="00FD211F">
        <w:rPr>
          <w:sz w:val="36"/>
          <w:szCs w:val="36"/>
          <w:rtl/>
        </w:rPr>
        <w:t>او</w:t>
      </w:r>
      <w:r w:rsidR="00E8128F">
        <w:rPr>
          <w:sz w:val="36"/>
          <w:szCs w:val="36"/>
          <w:rtl/>
        </w:rPr>
        <w:t xml:space="preserve"> </w:t>
      </w:r>
      <w:r w:rsidR="00793654" w:rsidRPr="00FD211F">
        <w:rPr>
          <w:sz w:val="36"/>
          <w:szCs w:val="36"/>
          <w:rtl/>
        </w:rPr>
        <w:t>المكان</w:t>
      </w:r>
      <w:r w:rsidR="00E8128F">
        <w:rPr>
          <w:sz w:val="36"/>
          <w:szCs w:val="36"/>
          <w:rtl/>
        </w:rPr>
        <w:t xml:space="preserve"> </w:t>
      </w:r>
      <w:r w:rsidR="00EC7EDF" w:rsidRPr="00FD211F">
        <w:rPr>
          <w:sz w:val="36"/>
          <w:szCs w:val="36"/>
          <w:rtl/>
        </w:rPr>
        <w:t>و</w:t>
      </w:r>
      <w:r w:rsidR="00793654" w:rsidRPr="00FD211F">
        <w:rPr>
          <w:sz w:val="36"/>
          <w:szCs w:val="36"/>
          <w:rtl/>
        </w:rPr>
        <w:t>الزمان</w:t>
      </w:r>
      <w:r w:rsidR="00E8128F">
        <w:rPr>
          <w:sz w:val="36"/>
          <w:szCs w:val="36"/>
          <w:rtl/>
        </w:rPr>
        <w:t xml:space="preserve"> </w:t>
      </w:r>
      <w:r w:rsidR="00793654" w:rsidRPr="00FD211F">
        <w:rPr>
          <w:sz w:val="36"/>
          <w:szCs w:val="36"/>
          <w:rtl/>
        </w:rPr>
        <w:t>ونحوها</w:t>
      </w:r>
      <w:r w:rsidR="00E8128F">
        <w:rPr>
          <w:sz w:val="36"/>
          <w:szCs w:val="36"/>
          <w:rtl/>
        </w:rPr>
        <w:t xml:space="preserve"> </w:t>
      </w:r>
      <w:r w:rsidR="00793654" w:rsidRPr="00FD211F">
        <w:rPr>
          <w:sz w:val="36"/>
          <w:szCs w:val="36"/>
          <w:rtl/>
        </w:rPr>
        <w:t>من</w:t>
      </w:r>
      <w:r w:rsidR="00E8128F">
        <w:rPr>
          <w:sz w:val="36"/>
          <w:szCs w:val="36"/>
          <w:rtl/>
        </w:rPr>
        <w:t xml:space="preserve"> </w:t>
      </w:r>
      <w:r w:rsidR="00793654" w:rsidRPr="00FD211F">
        <w:rPr>
          <w:sz w:val="36"/>
          <w:szCs w:val="36"/>
          <w:rtl/>
        </w:rPr>
        <w:t>المشتقات</w:t>
      </w:r>
      <w:r w:rsidR="00956DEA" w:rsidRPr="00FD211F">
        <w:rPr>
          <w:sz w:val="36"/>
          <w:szCs w:val="36"/>
          <w:rtl/>
        </w:rPr>
        <w:t>.</w:t>
      </w:r>
      <w:r w:rsidR="00E8128F">
        <w:rPr>
          <w:sz w:val="36"/>
          <w:szCs w:val="36"/>
          <w:rtl/>
        </w:rPr>
        <w:t xml:space="preserve"> </w:t>
      </w:r>
    </w:p>
    <w:p w14:paraId="0EA4D6C9" w14:textId="77777777" w:rsidR="0075755A" w:rsidRPr="00FD211F" w:rsidRDefault="0075755A" w:rsidP="009C58C8">
      <w:pPr>
        <w:ind w:left="0" w:firstLine="227"/>
        <w:jc w:val="both"/>
        <w:rPr>
          <w:sz w:val="36"/>
          <w:szCs w:val="36"/>
          <w:rtl/>
        </w:rPr>
      </w:pPr>
      <w:r w:rsidRPr="00FD211F">
        <w:rPr>
          <w:b/>
          <w:bCs/>
          <w:sz w:val="36"/>
          <w:szCs w:val="36"/>
          <w:rtl/>
        </w:rPr>
        <w:t>ثانيهما</w:t>
      </w:r>
      <w:r w:rsidR="00D460C6" w:rsidRPr="00FD211F">
        <w:rPr>
          <w:b/>
          <w:bCs/>
          <w:sz w:val="36"/>
          <w:szCs w:val="36"/>
          <w:rtl/>
        </w:rPr>
        <w:t>:</w:t>
      </w:r>
      <w:r w:rsidR="00E8128F">
        <w:rPr>
          <w:sz w:val="36"/>
          <w:szCs w:val="36"/>
          <w:rtl/>
        </w:rPr>
        <w:t xml:space="preserve"> </w:t>
      </w:r>
      <w:r w:rsidR="00793654" w:rsidRPr="00FD211F">
        <w:rPr>
          <w:sz w:val="36"/>
          <w:szCs w:val="36"/>
          <w:rtl/>
        </w:rPr>
        <w:t>ان</w:t>
      </w:r>
      <w:r w:rsidR="00E8128F">
        <w:rPr>
          <w:sz w:val="36"/>
          <w:szCs w:val="36"/>
          <w:rtl/>
        </w:rPr>
        <w:t xml:space="preserve"> </w:t>
      </w:r>
      <w:r w:rsidR="00793654" w:rsidRPr="00FD211F">
        <w:rPr>
          <w:sz w:val="36"/>
          <w:szCs w:val="36"/>
          <w:rtl/>
        </w:rPr>
        <w:t>الفعل</w:t>
      </w:r>
      <w:r w:rsidR="00E8128F">
        <w:rPr>
          <w:sz w:val="36"/>
          <w:szCs w:val="36"/>
          <w:rtl/>
        </w:rPr>
        <w:t xml:space="preserve"> </w:t>
      </w:r>
      <w:r w:rsidR="00793654" w:rsidRPr="00FD211F">
        <w:rPr>
          <w:sz w:val="36"/>
          <w:szCs w:val="36"/>
          <w:rtl/>
        </w:rPr>
        <w:t>الماضي</w:t>
      </w:r>
      <w:r w:rsidR="00E8128F">
        <w:rPr>
          <w:sz w:val="36"/>
          <w:szCs w:val="36"/>
          <w:rtl/>
        </w:rPr>
        <w:t xml:space="preserve"> </w:t>
      </w:r>
      <w:r w:rsidR="00793654" w:rsidRPr="00FD211F">
        <w:rPr>
          <w:sz w:val="36"/>
          <w:szCs w:val="36"/>
          <w:rtl/>
        </w:rPr>
        <w:t>يدل</w:t>
      </w:r>
      <w:r w:rsidR="00D460C6" w:rsidRPr="00FD211F">
        <w:rPr>
          <w:sz w:val="36"/>
          <w:szCs w:val="36"/>
          <w:rtl/>
        </w:rPr>
        <w:t>ُّ</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بالدلال</w:t>
      </w:r>
      <w:r w:rsidR="00EC7EDF" w:rsidRPr="00FD211F">
        <w:rPr>
          <w:sz w:val="36"/>
          <w:szCs w:val="36"/>
          <w:rtl/>
        </w:rPr>
        <w:t>ة</w:t>
      </w:r>
      <w:r w:rsidR="00E8128F">
        <w:rPr>
          <w:sz w:val="36"/>
          <w:szCs w:val="36"/>
          <w:rtl/>
        </w:rPr>
        <w:t xml:space="preserve"> </w:t>
      </w:r>
      <w:r w:rsidRPr="00FD211F">
        <w:rPr>
          <w:sz w:val="36"/>
          <w:szCs w:val="36"/>
          <w:rtl/>
        </w:rPr>
        <w:t>التصوري</w:t>
      </w:r>
      <w:r w:rsidR="00EC7EDF" w:rsidRPr="00FD211F">
        <w:rPr>
          <w:sz w:val="36"/>
          <w:szCs w:val="36"/>
          <w:rtl/>
        </w:rPr>
        <w:t>ة</w:t>
      </w:r>
      <w:r w:rsidR="00E8128F">
        <w:rPr>
          <w:sz w:val="36"/>
          <w:szCs w:val="36"/>
          <w:rtl/>
        </w:rPr>
        <w:t xml:space="preserve"> </w:t>
      </w:r>
      <w:r w:rsidR="00793654" w:rsidRPr="00FD211F">
        <w:rPr>
          <w:sz w:val="36"/>
          <w:szCs w:val="36"/>
          <w:rtl/>
        </w:rPr>
        <w:t>على</w:t>
      </w:r>
      <w:r w:rsidR="00E8128F">
        <w:rPr>
          <w:sz w:val="36"/>
          <w:szCs w:val="36"/>
          <w:rtl/>
        </w:rPr>
        <w:t xml:space="preserve"> </w:t>
      </w:r>
      <w:r w:rsidR="00793654" w:rsidRPr="00FD211F">
        <w:rPr>
          <w:sz w:val="36"/>
          <w:szCs w:val="36"/>
          <w:rtl/>
        </w:rPr>
        <w:t>حرك</w:t>
      </w:r>
      <w:r w:rsidR="00EC7EDF" w:rsidRPr="00FD211F">
        <w:rPr>
          <w:sz w:val="36"/>
          <w:szCs w:val="36"/>
          <w:rtl/>
        </w:rPr>
        <w:t>ة</w:t>
      </w:r>
      <w:r w:rsidR="00E8128F">
        <w:rPr>
          <w:sz w:val="36"/>
          <w:szCs w:val="36"/>
          <w:rtl/>
        </w:rPr>
        <w:t xml:space="preserve"> </w:t>
      </w:r>
      <w:r w:rsidR="00793654" w:rsidRPr="00FD211F">
        <w:rPr>
          <w:sz w:val="36"/>
          <w:szCs w:val="36"/>
          <w:rtl/>
        </w:rPr>
        <w:t>ال</w:t>
      </w:r>
      <w:r w:rsidR="0079493B" w:rsidRPr="00FD211F">
        <w:rPr>
          <w:sz w:val="36"/>
          <w:szCs w:val="36"/>
          <w:rtl/>
        </w:rPr>
        <w:t>مبدأ</w:t>
      </w:r>
      <w:r w:rsidR="00E8128F">
        <w:rPr>
          <w:sz w:val="36"/>
          <w:szCs w:val="36"/>
          <w:rtl/>
        </w:rPr>
        <w:t xml:space="preserve"> </w:t>
      </w:r>
      <w:r w:rsidR="00793654" w:rsidRPr="00FD211F">
        <w:rPr>
          <w:sz w:val="36"/>
          <w:szCs w:val="36"/>
          <w:rtl/>
        </w:rPr>
        <w:t>من</w:t>
      </w:r>
      <w:r w:rsidR="00E8128F">
        <w:rPr>
          <w:sz w:val="36"/>
          <w:szCs w:val="36"/>
          <w:rtl/>
        </w:rPr>
        <w:t xml:space="preserve"> </w:t>
      </w:r>
      <w:r w:rsidR="00793654" w:rsidRPr="00FD211F">
        <w:rPr>
          <w:sz w:val="36"/>
          <w:szCs w:val="36"/>
          <w:rtl/>
        </w:rPr>
        <w:t>العدم</w:t>
      </w:r>
      <w:r w:rsidR="00E8128F">
        <w:rPr>
          <w:sz w:val="36"/>
          <w:szCs w:val="36"/>
          <w:rtl/>
        </w:rPr>
        <w:t xml:space="preserve"> </w:t>
      </w:r>
      <w:r w:rsidR="00793654" w:rsidRPr="00FD211F">
        <w:rPr>
          <w:sz w:val="36"/>
          <w:szCs w:val="36"/>
          <w:rtl/>
        </w:rPr>
        <w:t>الى</w:t>
      </w:r>
      <w:r w:rsidR="00E8128F">
        <w:rPr>
          <w:sz w:val="36"/>
          <w:szCs w:val="36"/>
          <w:rtl/>
        </w:rPr>
        <w:t xml:space="preserve"> </w:t>
      </w:r>
      <w:r w:rsidR="00793654" w:rsidRPr="00FD211F">
        <w:rPr>
          <w:sz w:val="36"/>
          <w:szCs w:val="36"/>
          <w:rtl/>
        </w:rPr>
        <w:t>الوجود</w:t>
      </w:r>
      <w:r w:rsidR="00E8128F">
        <w:rPr>
          <w:sz w:val="36"/>
          <w:szCs w:val="36"/>
          <w:rtl/>
        </w:rPr>
        <w:t xml:space="preserve"> </w:t>
      </w:r>
      <w:r w:rsidR="00793654" w:rsidRPr="00FD211F">
        <w:rPr>
          <w:sz w:val="36"/>
          <w:szCs w:val="36"/>
          <w:rtl/>
        </w:rPr>
        <w:t>وصدوره</w:t>
      </w:r>
      <w:r w:rsidR="00E8128F">
        <w:rPr>
          <w:sz w:val="36"/>
          <w:szCs w:val="36"/>
          <w:rtl/>
        </w:rPr>
        <w:t xml:space="preserve"> </w:t>
      </w:r>
      <w:r w:rsidR="00793654" w:rsidRPr="00FD211F">
        <w:rPr>
          <w:sz w:val="36"/>
          <w:szCs w:val="36"/>
          <w:rtl/>
        </w:rPr>
        <w:t>من</w:t>
      </w:r>
      <w:r w:rsidR="00E8128F">
        <w:rPr>
          <w:sz w:val="36"/>
          <w:szCs w:val="36"/>
          <w:rtl/>
        </w:rPr>
        <w:t xml:space="preserve"> </w:t>
      </w:r>
      <w:r w:rsidR="00793654" w:rsidRPr="00FD211F">
        <w:rPr>
          <w:sz w:val="36"/>
          <w:szCs w:val="36"/>
          <w:rtl/>
        </w:rPr>
        <w:t>ذات</w:t>
      </w:r>
      <w:r w:rsidR="00E8128F">
        <w:rPr>
          <w:sz w:val="36"/>
          <w:szCs w:val="36"/>
          <w:rtl/>
        </w:rPr>
        <w:t xml:space="preserve"> </w:t>
      </w:r>
      <w:r w:rsidR="00793654" w:rsidRPr="00FD211F">
        <w:rPr>
          <w:sz w:val="36"/>
          <w:szCs w:val="36"/>
          <w:rtl/>
        </w:rPr>
        <w:t>لكن</w:t>
      </w:r>
      <w:r w:rsidR="00E8128F">
        <w:rPr>
          <w:sz w:val="36"/>
          <w:szCs w:val="36"/>
          <w:rtl/>
        </w:rPr>
        <w:t xml:space="preserve"> </w:t>
      </w:r>
      <w:r w:rsidR="00793654" w:rsidRPr="00FD211F">
        <w:rPr>
          <w:sz w:val="36"/>
          <w:szCs w:val="36"/>
          <w:rtl/>
        </w:rPr>
        <w:t>المشتق</w:t>
      </w:r>
      <w:r w:rsidR="00E8128F">
        <w:rPr>
          <w:sz w:val="36"/>
          <w:szCs w:val="36"/>
          <w:rtl/>
        </w:rPr>
        <w:t xml:space="preserve"> </w:t>
      </w:r>
      <w:r w:rsidR="00793654" w:rsidRPr="00FD211F">
        <w:rPr>
          <w:sz w:val="36"/>
          <w:szCs w:val="36"/>
          <w:rtl/>
        </w:rPr>
        <w:t>يحكي</w:t>
      </w:r>
      <w:r w:rsidR="00E8128F">
        <w:rPr>
          <w:sz w:val="36"/>
          <w:szCs w:val="36"/>
          <w:rtl/>
        </w:rPr>
        <w:t xml:space="preserve"> </w:t>
      </w:r>
      <w:r w:rsidR="00793654" w:rsidRPr="00FD211F">
        <w:rPr>
          <w:sz w:val="36"/>
          <w:szCs w:val="36"/>
          <w:rtl/>
        </w:rPr>
        <w:t>عن</w:t>
      </w:r>
      <w:r w:rsidR="00E8128F">
        <w:rPr>
          <w:sz w:val="36"/>
          <w:szCs w:val="36"/>
          <w:rtl/>
        </w:rPr>
        <w:t xml:space="preserve"> </w:t>
      </w:r>
      <w:r w:rsidR="00793654" w:rsidRPr="00FD211F">
        <w:rPr>
          <w:sz w:val="36"/>
          <w:szCs w:val="36"/>
          <w:rtl/>
        </w:rPr>
        <w:t>الذات</w:t>
      </w:r>
      <w:r w:rsidR="00E8128F">
        <w:rPr>
          <w:sz w:val="36"/>
          <w:szCs w:val="36"/>
          <w:rtl/>
        </w:rPr>
        <w:t xml:space="preserve"> </w:t>
      </w:r>
      <w:r w:rsidR="00793654" w:rsidRPr="00FD211F">
        <w:rPr>
          <w:sz w:val="36"/>
          <w:szCs w:val="36"/>
          <w:rtl/>
        </w:rPr>
        <w:t>المتصف</w:t>
      </w:r>
      <w:r w:rsidR="00EC7EDF" w:rsidRPr="00FD211F">
        <w:rPr>
          <w:sz w:val="36"/>
          <w:szCs w:val="36"/>
          <w:rtl/>
        </w:rPr>
        <w:t>ة</w:t>
      </w:r>
      <w:r w:rsidR="00E8128F">
        <w:rPr>
          <w:sz w:val="36"/>
          <w:szCs w:val="36"/>
          <w:rtl/>
        </w:rPr>
        <w:t xml:space="preserve"> </w:t>
      </w:r>
      <w:r w:rsidR="00793654" w:rsidRPr="00FD211F">
        <w:rPr>
          <w:sz w:val="36"/>
          <w:szCs w:val="36"/>
          <w:rtl/>
        </w:rPr>
        <w:t>بال</w:t>
      </w:r>
      <w:r w:rsidR="0079493B" w:rsidRPr="00FD211F">
        <w:rPr>
          <w:sz w:val="36"/>
          <w:szCs w:val="36"/>
          <w:rtl/>
        </w:rPr>
        <w:t>مبدأ</w:t>
      </w:r>
      <w:r w:rsidR="00E8128F">
        <w:rPr>
          <w:sz w:val="36"/>
          <w:szCs w:val="36"/>
          <w:rtl/>
        </w:rPr>
        <w:t xml:space="preserve"> </w:t>
      </w:r>
      <w:r w:rsidR="00793654" w:rsidRPr="00FD211F">
        <w:rPr>
          <w:sz w:val="36"/>
          <w:szCs w:val="36"/>
          <w:rtl/>
        </w:rPr>
        <w:t>ولايحكي</w:t>
      </w:r>
      <w:r w:rsidR="00E8128F">
        <w:rPr>
          <w:sz w:val="36"/>
          <w:szCs w:val="36"/>
          <w:rtl/>
        </w:rPr>
        <w:t xml:space="preserve"> </w:t>
      </w:r>
      <w:r w:rsidR="00793654" w:rsidRPr="00FD211F">
        <w:rPr>
          <w:sz w:val="36"/>
          <w:szCs w:val="36"/>
          <w:rtl/>
        </w:rPr>
        <w:t>عن</w:t>
      </w:r>
      <w:r w:rsidR="00E8128F">
        <w:rPr>
          <w:sz w:val="36"/>
          <w:szCs w:val="36"/>
          <w:rtl/>
        </w:rPr>
        <w:t xml:space="preserve"> </w:t>
      </w:r>
      <w:r w:rsidR="00793654" w:rsidRPr="00FD211F">
        <w:rPr>
          <w:sz w:val="36"/>
          <w:szCs w:val="36"/>
          <w:rtl/>
        </w:rPr>
        <w:t>وجودها</w:t>
      </w:r>
      <w:r w:rsidR="00E8128F">
        <w:rPr>
          <w:sz w:val="36"/>
          <w:szCs w:val="36"/>
          <w:rtl/>
        </w:rPr>
        <w:t xml:space="preserve"> </w:t>
      </w:r>
      <w:r w:rsidR="00793654" w:rsidRPr="00FD211F">
        <w:rPr>
          <w:sz w:val="36"/>
          <w:szCs w:val="36"/>
          <w:rtl/>
        </w:rPr>
        <w:t>او</w:t>
      </w:r>
      <w:r w:rsidR="00E8128F">
        <w:rPr>
          <w:sz w:val="36"/>
          <w:szCs w:val="36"/>
          <w:rtl/>
        </w:rPr>
        <w:t xml:space="preserve"> </w:t>
      </w:r>
      <w:r w:rsidR="00793654" w:rsidRPr="00FD211F">
        <w:rPr>
          <w:sz w:val="36"/>
          <w:szCs w:val="36"/>
          <w:rtl/>
        </w:rPr>
        <w:t>تحقق</w:t>
      </w:r>
      <w:r w:rsidR="00E8128F">
        <w:rPr>
          <w:sz w:val="36"/>
          <w:szCs w:val="36"/>
          <w:rtl/>
        </w:rPr>
        <w:t xml:space="preserve"> </w:t>
      </w:r>
      <w:r w:rsidR="00793654" w:rsidRPr="00FD211F">
        <w:rPr>
          <w:sz w:val="36"/>
          <w:szCs w:val="36"/>
          <w:rtl/>
        </w:rPr>
        <w:t>ال</w:t>
      </w:r>
      <w:r w:rsidR="0079493B" w:rsidRPr="00FD211F">
        <w:rPr>
          <w:sz w:val="36"/>
          <w:szCs w:val="36"/>
          <w:rtl/>
        </w:rPr>
        <w:t>مبدأ</w:t>
      </w:r>
      <w:r w:rsidR="00E8128F">
        <w:rPr>
          <w:sz w:val="36"/>
          <w:szCs w:val="36"/>
          <w:rtl/>
        </w:rPr>
        <w:t xml:space="preserve"> </w:t>
      </w:r>
      <w:r w:rsidR="00793654" w:rsidRPr="00FD211F">
        <w:rPr>
          <w:sz w:val="36"/>
          <w:szCs w:val="36"/>
          <w:rtl/>
        </w:rPr>
        <w:t>لها</w:t>
      </w:r>
      <w:r w:rsidR="009C58C8" w:rsidRPr="00FD211F">
        <w:rPr>
          <w:rStyle w:val="a6"/>
          <w:sz w:val="36"/>
          <w:szCs w:val="36"/>
          <w:rtl/>
        </w:rPr>
        <w:t>(</w:t>
      </w:r>
      <w:r w:rsidR="009C58C8" w:rsidRPr="00FD211F">
        <w:rPr>
          <w:rStyle w:val="a6"/>
          <w:sz w:val="36"/>
          <w:szCs w:val="36"/>
          <w:rtl/>
        </w:rPr>
        <w:footnoteReference w:id="546"/>
      </w:r>
      <w:r w:rsidR="009C58C8" w:rsidRPr="00FD211F">
        <w:rPr>
          <w:rStyle w:val="a6"/>
          <w:sz w:val="36"/>
          <w:szCs w:val="36"/>
          <w:rtl/>
        </w:rPr>
        <w:t>)</w:t>
      </w:r>
      <w:r w:rsidRPr="00FD211F">
        <w:rPr>
          <w:sz w:val="36"/>
          <w:szCs w:val="36"/>
          <w:rtl/>
        </w:rPr>
        <w:t>.</w:t>
      </w:r>
    </w:p>
    <w:p w14:paraId="64D09F7B" w14:textId="77777777" w:rsidR="002A755A" w:rsidRPr="00FD211F" w:rsidRDefault="0075755A" w:rsidP="009C58C8">
      <w:pPr>
        <w:ind w:left="0" w:firstLine="227"/>
        <w:jc w:val="both"/>
        <w:rPr>
          <w:sz w:val="36"/>
          <w:szCs w:val="36"/>
          <w:rtl/>
        </w:rPr>
      </w:pPr>
      <w:r w:rsidRPr="00FD211F">
        <w:rPr>
          <w:sz w:val="36"/>
          <w:szCs w:val="36"/>
          <w:rtl/>
        </w:rPr>
        <w:t>و</w:t>
      </w:r>
      <w:r w:rsidR="00956DEA" w:rsidRPr="00FD211F">
        <w:rPr>
          <w:sz w:val="36"/>
          <w:szCs w:val="36"/>
          <w:rtl/>
        </w:rPr>
        <w:t>لكن</w:t>
      </w:r>
      <w:r w:rsidR="00E8128F">
        <w:rPr>
          <w:sz w:val="36"/>
          <w:szCs w:val="36"/>
          <w:rtl/>
        </w:rPr>
        <w:t xml:space="preserve"> </w:t>
      </w:r>
      <w:r w:rsidRPr="00FD211F">
        <w:rPr>
          <w:sz w:val="36"/>
          <w:szCs w:val="36"/>
          <w:rtl/>
        </w:rPr>
        <w:t>يلاحظ</w:t>
      </w:r>
      <w:r w:rsidR="00E8128F">
        <w:rPr>
          <w:sz w:val="36"/>
          <w:szCs w:val="36"/>
          <w:rtl/>
        </w:rPr>
        <w:t xml:space="preserve"> </w:t>
      </w:r>
      <w:r w:rsidRPr="00FD211F">
        <w:rPr>
          <w:sz w:val="36"/>
          <w:szCs w:val="36"/>
          <w:rtl/>
        </w:rPr>
        <w:t>ع</w:t>
      </w:r>
      <w:r w:rsidR="00956DEA" w:rsidRPr="00FD211F">
        <w:rPr>
          <w:sz w:val="36"/>
          <w:szCs w:val="36"/>
          <w:rtl/>
        </w:rPr>
        <w:t>لى</w:t>
      </w:r>
      <w:r w:rsidR="00E8128F">
        <w:rPr>
          <w:sz w:val="36"/>
          <w:szCs w:val="36"/>
          <w:rtl/>
        </w:rPr>
        <w:t xml:space="preserve"> </w:t>
      </w:r>
      <w:r w:rsidR="00956DEA" w:rsidRPr="00FD211F">
        <w:rPr>
          <w:sz w:val="36"/>
          <w:szCs w:val="36"/>
          <w:rtl/>
        </w:rPr>
        <w:t>ا</w:t>
      </w:r>
      <w:r w:rsidRPr="00FD211F">
        <w:rPr>
          <w:sz w:val="36"/>
          <w:szCs w:val="36"/>
          <w:rtl/>
        </w:rPr>
        <w:t>يراد</w:t>
      </w:r>
      <w:r w:rsidR="00956DEA" w:rsidRPr="00FD211F">
        <w:rPr>
          <w:sz w:val="36"/>
          <w:szCs w:val="36"/>
          <w:rtl/>
        </w:rPr>
        <w:t>ه</w:t>
      </w:r>
      <w:r w:rsidR="00E8128F">
        <w:rPr>
          <w:sz w:val="36"/>
          <w:szCs w:val="36"/>
          <w:rtl/>
        </w:rPr>
        <w:t xml:space="preserve"> </w:t>
      </w:r>
      <w:r w:rsidRPr="00FD211F">
        <w:rPr>
          <w:sz w:val="36"/>
          <w:szCs w:val="36"/>
          <w:rtl/>
        </w:rPr>
        <w:t>الأول</w:t>
      </w:r>
      <w:r w:rsidR="00E8128F">
        <w:rPr>
          <w:sz w:val="36"/>
          <w:szCs w:val="36"/>
          <w:rtl/>
        </w:rPr>
        <w:t xml:space="preserve"> </w:t>
      </w:r>
      <w:r w:rsidRPr="00FD211F">
        <w:rPr>
          <w:sz w:val="36"/>
          <w:szCs w:val="36"/>
          <w:rtl/>
        </w:rPr>
        <w:t>ان</w:t>
      </w:r>
      <w:r w:rsidR="00E8128F">
        <w:rPr>
          <w:sz w:val="36"/>
          <w:szCs w:val="36"/>
          <w:rtl/>
        </w:rPr>
        <w:t xml:space="preserve"> </w:t>
      </w:r>
      <w:r w:rsidR="00C36E2A" w:rsidRPr="00FD211F">
        <w:rPr>
          <w:sz w:val="36"/>
          <w:szCs w:val="36"/>
          <w:rtl/>
        </w:rPr>
        <w:t>المراد</w:t>
      </w:r>
      <w:r w:rsidR="00E8128F">
        <w:rPr>
          <w:sz w:val="36"/>
          <w:szCs w:val="36"/>
          <w:rtl/>
        </w:rPr>
        <w:t xml:space="preserve"> </w:t>
      </w:r>
      <w:r w:rsidR="00C36E2A" w:rsidRPr="00FD211F">
        <w:rPr>
          <w:sz w:val="36"/>
          <w:szCs w:val="36"/>
          <w:rtl/>
        </w:rPr>
        <w:t>هو</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الماضي</w:t>
      </w:r>
      <w:r w:rsidR="00E8128F">
        <w:rPr>
          <w:sz w:val="36"/>
          <w:szCs w:val="36"/>
          <w:rtl/>
        </w:rPr>
        <w:t xml:space="preserve"> </w:t>
      </w:r>
      <w:r w:rsidR="00FD7760" w:rsidRPr="00FD211F">
        <w:rPr>
          <w:sz w:val="36"/>
          <w:szCs w:val="36"/>
          <w:rtl/>
        </w:rPr>
        <w:t>بنحو</w:t>
      </w:r>
      <w:r w:rsidR="00E8128F">
        <w:rPr>
          <w:sz w:val="36"/>
          <w:szCs w:val="36"/>
          <w:rtl/>
        </w:rPr>
        <w:t xml:space="preserve"> </w:t>
      </w:r>
      <w:r w:rsidR="00FD7760" w:rsidRPr="00FD211F">
        <w:rPr>
          <w:sz w:val="36"/>
          <w:szCs w:val="36"/>
          <w:rtl/>
        </w:rPr>
        <w:t>مناسب</w:t>
      </w:r>
      <w:r w:rsidR="00E8128F">
        <w:rPr>
          <w:sz w:val="36"/>
          <w:szCs w:val="36"/>
          <w:rtl/>
        </w:rPr>
        <w:t xml:space="preserve"> </w:t>
      </w:r>
      <w:r w:rsidR="00FD7760" w:rsidRPr="00FD211F">
        <w:rPr>
          <w:sz w:val="36"/>
          <w:szCs w:val="36"/>
          <w:rtl/>
        </w:rPr>
        <w:t>لسنخ</w:t>
      </w:r>
      <w:r w:rsidR="00E8128F">
        <w:rPr>
          <w:sz w:val="36"/>
          <w:szCs w:val="36"/>
          <w:rtl/>
        </w:rPr>
        <w:t xml:space="preserve"> </w:t>
      </w:r>
      <w:r w:rsidR="00FD7760" w:rsidRPr="00FD211F">
        <w:rPr>
          <w:sz w:val="36"/>
          <w:szCs w:val="36"/>
          <w:rtl/>
        </w:rPr>
        <w:t>تلبس</w:t>
      </w:r>
      <w:r w:rsidR="00E8128F">
        <w:rPr>
          <w:sz w:val="36"/>
          <w:szCs w:val="36"/>
          <w:rtl/>
        </w:rPr>
        <w:t xml:space="preserve"> </w:t>
      </w:r>
      <w:r w:rsidR="00FD7760" w:rsidRPr="00FD211F">
        <w:rPr>
          <w:sz w:val="36"/>
          <w:szCs w:val="36"/>
          <w:rtl/>
        </w:rPr>
        <w:t>الذات</w:t>
      </w:r>
      <w:r w:rsidR="00E8128F">
        <w:rPr>
          <w:sz w:val="36"/>
          <w:szCs w:val="36"/>
          <w:rtl/>
        </w:rPr>
        <w:t xml:space="preserve"> </w:t>
      </w:r>
      <w:r w:rsidR="00FD7760" w:rsidRPr="00FD211F">
        <w:rPr>
          <w:sz w:val="36"/>
          <w:szCs w:val="36"/>
          <w:rtl/>
        </w:rPr>
        <w:t>بال</w:t>
      </w:r>
      <w:r w:rsidR="0079493B" w:rsidRPr="00FD211F">
        <w:rPr>
          <w:sz w:val="36"/>
          <w:szCs w:val="36"/>
          <w:rtl/>
        </w:rPr>
        <w:t>مبدأ</w:t>
      </w:r>
      <w:r w:rsidR="00E8128F">
        <w:rPr>
          <w:sz w:val="36"/>
          <w:szCs w:val="36"/>
          <w:rtl/>
        </w:rPr>
        <w:t xml:space="preserve"> </w:t>
      </w:r>
      <w:r w:rsidRPr="00FD211F">
        <w:rPr>
          <w:sz w:val="36"/>
          <w:szCs w:val="36"/>
          <w:rtl/>
        </w:rPr>
        <w:t>فالمفتاح</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اعدّ</w:t>
      </w:r>
      <w:r w:rsidR="00E8128F">
        <w:rPr>
          <w:sz w:val="36"/>
          <w:szCs w:val="36"/>
          <w:rtl/>
        </w:rPr>
        <w:t xml:space="preserve"> </w:t>
      </w:r>
      <w:r w:rsidRPr="00FD211F">
        <w:rPr>
          <w:sz w:val="36"/>
          <w:szCs w:val="36"/>
          <w:rtl/>
        </w:rPr>
        <w:t>للفتح</w:t>
      </w:r>
      <w:r w:rsidR="00E8128F">
        <w:rPr>
          <w:sz w:val="36"/>
          <w:szCs w:val="36"/>
          <w:rtl/>
        </w:rPr>
        <w:t xml:space="preserve"> </w:t>
      </w:r>
      <w:r w:rsidRPr="00FD211F">
        <w:rPr>
          <w:sz w:val="36"/>
          <w:szCs w:val="36"/>
          <w:rtl/>
        </w:rPr>
        <w:t>والمقتل</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وقع</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القتل</w:t>
      </w:r>
      <w:r w:rsidR="00E8128F">
        <w:rPr>
          <w:sz w:val="36"/>
          <w:szCs w:val="36"/>
          <w:rtl/>
        </w:rPr>
        <w:t xml:space="preserve"> </w:t>
      </w:r>
      <w:r w:rsidRPr="00FD211F">
        <w:rPr>
          <w:sz w:val="36"/>
          <w:szCs w:val="36"/>
          <w:rtl/>
        </w:rPr>
        <w:t>والصائغ</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احترف</w:t>
      </w:r>
      <w:r w:rsidR="00E8128F">
        <w:rPr>
          <w:sz w:val="36"/>
          <w:szCs w:val="36"/>
          <w:rtl/>
        </w:rPr>
        <w:t xml:space="preserve"> </w:t>
      </w:r>
      <w:r w:rsidRPr="00FD211F">
        <w:rPr>
          <w:sz w:val="36"/>
          <w:szCs w:val="36"/>
          <w:rtl/>
        </w:rPr>
        <w:t>الصياغ</w:t>
      </w:r>
      <w:r w:rsidR="00EC7EDF" w:rsidRPr="00FD211F">
        <w:rPr>
          <w:sz w:val="36"/>
          <w:szCs w:val="36"/>
          <w:rtl/>
        </w:rPr>
        <w:t>ة</w:t>
      </w:r>
      <w:r w:rsidR="00E8128F">
        <w:rPr>
          <w:sz w:val="36"/>
          <w:szCs w:val="36"/>
          <w:rtl/>
        </w:rPr>
        <w:t xml:space="preserve"> </w:t>
      </w:r>
      <w:r w:rsidRPr="00FD211F">
        <w:rPr>
          <w:sz w:val="36"/>
          <w:szCs w:val="36"/>
          <w:rtl/>
        </w:rPr>
        <w:t>وهكذا</w:t>
      </w:r>
      <w:r w:rsidR="002A755A" w:rsidRPr="00FD211F">
        <w:rPr>
          <w:sz w:val="36"/>
          <w:szCs w:val="36"/>
          <w:rtl/>
        </w:rPr>
        <w:t>.</w:t>
      </w:r>
    </w:p>
    <w:p w14:paraId="32830FF2" w14:textId="77777777" w:rsidR="00793654" w:rsidRPr="00FD211F" w:rsidRDefault="0075755A" w:rsidP="009C58C8">
      <w:pPr>
        <w:ind w:left="0" w:firstLine="227"/>
        <w:jc w:val="both"/>
        <w:rPr>
          <w:sz w:val="36"/>
          <w:szCs w:val="36"/>
          <w:rtl/>
        </w:rPr>
      </w:pPr>
      <w:r w:rsidRPr="00FD211F">
        <w:rPr>
          <w:sz w:val="36"/>
          <w:szCs w:val="36"/>
          <w:rtl/>
        </w:rPr>
        <w:t>و</w:t>
      </w:r>
      <w:r w:rsidR="00793654" w:rsidRPr="00FD211F">
        <w:rPr>
          <w:sz w:val="36"/>
          <w:szCs w:val="36"/>
          <w:rtl/>
        </w:rPr>
        <w:t>يلاحظ</w:t>
      </w:r>
      <w:r w:rsidR="00E8128F">
        <w:rPr>
          <w:sz w:val="36"/>
          <w:szCs w:val="36"/>
          <w:rtl/>
        </w:rPr>
        <w:t xml:space="preserve"> </w:t>
      </w:r>
      <w:r w:rsidR="00793654" w:rsidRPr="00FD211F">
        <w:rPr>
          <w:sz w:val="36"/>
          <w:szCs w:val="36"/>
          <w:rtl/>
        </w:rPr>
        <w:t>عل</w:t>
      </w:r>
      <w:r w:rsidRPr="00FD211F">
        <w:rPr>
          <w:sz w:val="36"/>
          <w:szCs w:val="36"/>
          <w:rtl/>
        </w:rPr>
        <w:t>ى</w:t>
      </w:r>
      <w:r w:rsidR="00E8128F">
        <w:rPr>
          <w:sz w:val="36"/>
          <w:szCs w:val="36"/>
          <w:rtl/>
        </w:rPr>
        <w:t xml:space="preserve"> </w:t>
      </w:r>
      <w:r w:rsidRPr="00FD211F">
        <w:rPr>
          <w:sz w:val="36"/>
          <w:szCs w:val="36"/>
          <w:rtl/>
        </w:rPr>
        <w:t>إيراده</w:t>
      </w:r>
      <w:r w:rsidR="00E8128F">
        <w:rPr>
          <w:sz w:val="36"/>
          <w:szCs w:val="36"/>
          <w:rtl/>
        </w:rPr>
        <w:t xml:space="preserve"> </w:t>
      </w:r>
      <w:r w:rsidRPr="00FD211F">
        <w:rPr>
          <w:sz w:val="36"/>
          <w:szCs w:val="36"/>
          <w:rtl/>
        </w:rPr>
        <w:t>الثاني</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المقصود</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جمل</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قام"</w:t>
      </w:r>
      <w:r w:rsidR="00E8128F">
        <w:rPr>
          <w:sz w:val="36"/>
          <w:szCs w:val="36"/>
          <w:rtl/>
        </w:rPr>
        <w:t xml:space="preserve"> </w:t>
      </w:r>
      <w:r w:rsidRPr="00FD211F">
        <w:rPr>
          <w:sz w:val="36"/>
          <w:szCs w:val="36"/>
          <w:rtl/>
        </w:rPr>
        <w:t>حاكي</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تحقق</w:t>
      </w:r>
      <w:r w:rsidR="00E8128F">
        <w:rPr>
          <w:sz w:val="36"/>
          <w:szCs w:val="36"/>
          <w:rtl/>
        </w:rPr>
        <w:t xml:space="preserve"> </w:t>
      </w:r>
      <w:r w:rsidRPr="00FD211F">
        <w:rPr>
          <w:sz w:val="36"/>
          <w:szCs w:val="36"/>
          <w:rtl/>
        </w:rPr>
        <w:t>القيام</w:t>
      </w:r>
      <w:r w:rsidR="00E8128F">
        <w:rPr>
          <w:sz w:val="36"/>
          <w:szCs w:val="36"/>
          <w:rtl/>
        </w:rPr>
        <w:t xml:space="preserve"> </w:t>
      </w:r>
      <w:r w:rsidRPr="00FD211F">
        <w:rPr>
          <w:sz w:val="36"/>
          <w:szCs w:val="36"/>
          <w:rtl/>
        </w:rPr>
        <w:t>خارجا</w:t>
      </w:r>
      <w:r w:rsidR="00E8128F">
        <w:rPr>
          <w:sz w:val="36"/>
          <w:szCs w:val="36"/>
          <w:rtl/>
        </w:rPr>
        <w:t xml:space="preserve"> </w:t>
      </w:r>
      <w:r w:rsidRPr="00FD211F">
        <w:rPr>
          <w:sz w:val="36"/>
          <w:szCs w:val="36"/>
          <w:rtl/>
        </w:rPr>
        <w:t>بخلاف</w:t>
      </w:r>
      <w:r w:rsidR="00E8128F">
        <w:rPr>
          <w:sz w:val="36"/>
          <w:szCs w:val="36"/>
          <w:rtl/>
        </w:rPr>
        <w:t xml:space="preserve"> </w:t>
      </w:r>
      <w:r w:rsidRPr="00FD211F">
        <w:rPr>
          <w:sz w:val="36"/>
          <w:szCs w:val="36"/>
          <w:rtl/>
        </w:rPr>
        <w:t>كلم</w:t>
      </w:r>
      <w:r w:rsidR="00EC7EDF" w:rsidRPr="00FD211F">
        <w:rPr>
          <w:sz w:val="36"/>
          <w:szCs w:val="36"/>
          <w:rtl/>
        </w:rPr>
        <w:t>ة</w:t>
      </w:r>
      <w:r w:rsidR="00E8128F">
        <w:rPr>
          <w:sz w:val="36"/>
          <w:szCs w:val="36"/>
          <w:rtl/>
        </w:rPr>
        <w:t xml:space="preserve"> </w:t>
      </w:r>
      <w:r w:rsidRPr="00FD211F">
        <w:rPr>
          <w:sz w:val="36"/>
          <w:szCs w:val="36"/>
          <w:rtl/>
        </w:rPr>
        <w:t>القائم</w:t>
      </w:r>
      <w:r w:rsidR="00E8128F">
        <w:rPr>
          <w:sz w:val="36"/>
          <w:szCs w:val="36"/>
          <w:rtl/>
        </w:rPr>
        <w:t xml:space="preserve"> </w:t>
      </w:r>
      <w:r w:rsidRPr="00FD211F">
        <w:rPr>
          <w:sz w:val="36"/>
          <w:szCs w:val="36"/>
          <w:rtl/>
        </w:rPr>
        <w:t>فهو</w:t>
      </w:r>
      <w:r w:rsidR="00E8128F">
        <w:rPr>
          <w:sz w:val="36"/>
          <w:szCs w:val="36"/>
          <w:rtl/>
        </w:rPr>
        <w:t xml:space="preserve"> </w:t>
      </w:r>
      <w:r w:rsidR="00FD7760" w:rsidRPr="00FD211F">
        <w:rPr>
          <w:sz w:val="36"/>
          <w:szCs w:val="36"/>
          <w:rtl/>
        </w:rPr>
        <w:t>–مضافا</w:t>
      </w:r>
      <w:r w:rsidR="00E8128F">
        <w:rPr>
          <w:sz w:val="36"/>
          <w:szCs w:val="36"/>
          <w:rtl/>
        </w:rPr>
        <w:t xml:space="preserve"> </w:t>
      </w:r>
      <w:r w:rsidR="00FD7760" w:rsidRPr="00FD211F">
        <w:rPr>
          <w:sz w:val="36"/>
          <w:szCs w:val="36"/>
          <w:rtl/>
        </w:rPr>
        <w:t>الى</w:t>
      </w:r>
      <w:r w:rsidR="00E8128F">
        <w:rPr>
          <w:sz w:val="36"/>
          <w:szCs w:val="36"/>
          <w:rtl/>
        </w:rPr>
        <w:t xml:space="preserve"> </w:t>
      </w:r>
      <w:r w:rsidR="00FD7760" w:rsidRPr="00FD211F">
        <w:rPr>
          <w:sz w:val="36"/>
          <w:szCs w:val="36"/>
          <w:rtl/>
        </w:rPr>
        <w:t>كونه</w:t>
      </w:r>
      <w:r w:rsidR="00E8128F">
        <w:rPr>
          <w:sz w:val="36"/>
          <w:szCs w:val="36"/>
          <w:rtl/>
        </w:rPr>
        <w:t xml:space="preserve"> </w:t>
      </w:r>
      <w:r w:rsidR="00FD7760" w:rsidRPr="00FD211F">
        <w:rPr>
          <w:sz w:val="36"/>
          <w:szCs w:val="36"/>
          <w:rtl/>
        </w:rPr>
        <w:t>مخالف</w:t>
      </w:r>
      <w:r w:rsidR="00E8128F">
        <w:rPr>
          <w:sz w:val="36"/>
          <w:szCs w:val="36"/>
          <w:rtl/>
        </w:rPr>
        <w:t xml:space="preserve"> </w:t>
      </w:r>
      <w:r w:rsidR="00FD7760" w:rsidRPr="00FD211F">
        <w:rPr>
          <w:sz w:val="36"/>
          <w:szCs w:val="36"/>
          <w:rtl/>
        </w:rPr>
        <w:t>ل</w:t>
      </w:r>
      <w:r w:rsidRPr="00FD211F">
        <w:rPr>
          <w:sz w:val="36"/>
          <w:szCs w:val="36"/>
          <w:rtl/>
        </w:rPr>
        <w:t>م</w:t>
      </w:r>
      <w:r w:rsidR="00FD7760" w:rsidRPr="00FD211F">
        <w:rPr>
          <w:sz w:val="36"/>
          <w:szCs w:val="36"/>
          <w:rtl/>
        </w:rPr>
        <w:t>ا</w:t>
      </w:r>
      <w:r w:rsidR="00E8128F">
        <w:rPr>
          <w:sz w:val="36"/>
          <w:szCs w:val="36"/>
          <w:rtl/>
        </w:rPr>
        <w:t xml:space="preserve"> </w:t>
      </w:r>
      <w:r w:rsidR="00FD7760" w:rsidRPr="00FD211F">
        <w:rPr>
          <w:sz w:val="36"/>
          <w:szCs w:val="36"/>
          <w:rtl/>
        </w:rPr>
        <w:t>يظهر</w:t>
      </w:r>
      <w:r w:rsidR="00E8128F">
        <w:rPr>
          <w:sz w:val="36"/>
          <w:szCs w:val="36"/>
          <w:rtl/>
        </w:rPr>
        <w:t xml:space="preserve"> </w:t>
      </w:r>
      <w:r w:rsidR="00FD7760" w:rsidRPr="00FD211F">
        <w:rPr>
          <w:sz w:val="36"/>
          <w:szCs w:val="36"/>
          <w:rtl/>
        </w:rPr>
        <w:t>من</w:t>
      </w:r>
      <w:r w:rsidR="00E8128F">
        <w:rPr>
          <w:sz w:val="36"/>
          <w:szCs w:val="36"/>
          <w:rtl/>
        </w:rPr>
        <w:t xml:space="preserve"> </w:t>
      </w:r>
      <w:r w:rsidR="00FD7760" w:rsidRPr="00FD211F">
        <w:rPr>
          <w:sz w:val="36"/>
          <w:szCs w:val="36"/>
          <w:rtl/>
        </w:rPr>
        <w:t>م</w:t>
      </w:r>
      <w:r w:rsidRPr="00FD211F">
        <w:rPr>
          <w:sz w:val="36"/>
          <w:szCs w:val="36"/>
          <w:rtl/>
        </w:rPr>
        <w:t>بناه</w:t>
      </w:r>
      <w:r w:rsidR="009C58C8" w:rsidRPr="00FD211F">
        <w:rPr>
          <w:rStyle w:val="a6"/>
          <w:sz w:val="36"/>
          <w:szCs w:val="36"/>
          <w:rtl/>
        </w:rPr>
        <w:t>(</w:t>
      </w:r>
      <w:r w:rsidR="009C58C8" w:rsidRPr="00FD211F">
        <w:rPr>
          <w:rStyle w:val="a6"/>
          <w:sz w:val="36"/>
          <w:szCs w:val="36"/>
          <w:rtl/>
        </w:rPr>
        <w:footnoteReference w:id="547"/>
      </w:r>
      <w:r w:rsidR="009C58C8" w:rsidRPr="00FD211F">
        <w:rPr>
          <w:rStyle w:val="a6"/>
          <w:sz w:val="36"/>
          <w:szCs w:val="36"/>
          <w:rtl/>
        </w:rPr>
        <w:t>)</w:t>
      </w:r>
      <w:r w:rsidR="00FD7760" w:rsidRPr="00FD211F">
        <w:rPr>
          <w:sz w:val="36"/>
          <w:szCs w:val="36"/>
          <w:rtl/>
        </w:rPr>
        <w:t>-</w:t>
      </w:r>
      <w:r w:rsidR="00E8128F">
        <w:rPr>
          <w:sz w:val="36"/>
          <w:szCs w:val="36"/>
          <w:rtl/>
        </w:rPr>
        <w:t xml:space="preserve"> </w:t>
      </w:r>
      <w:r w:rsidRPr="00FD211F">
        <w:rPr>
          <w:sz w:val="36"/>
          <w:szCs w:val="36"/>
          <w:rtl/>
        </w:rPr>
        <w:t>خلاف</w:t>
      </w:r>
      <w:r w:rsidR="00E8128F">
        <w:rPr>
          <w:sz w:val="36"/>
          <w:szCs w:val="36"/>
          <w:rtl/>
        </w:rPr>
        <w:t xml:space="preserve"> </w:t>
      </w:r>
      <w:r w:rsidRPr="00FD211F">
        <w:rPr>
          <w:sz w:val="36"/>
          <w:szCs w:val="36"/>
          <w:rtl/>
        </w:rPr>
        <w:t>الوجدان</w:t>
      </w:r>
      <w:r w:rsidR="00603323" w:rsidRPr="00FD211F">
        <w:rPr>
          <w:sz w:val="36"/>
          <w:szCs w:val="36"/>
          <w:rtl/>
        </w:rPr>
        <w:t>،</w:t>
      </w:r>
      <w:r w:rsidR="00E8128F">
        <w:rPr>
          <w:sz w:val="36"/>
          <w:szCs w:val="36"/>
          <w:rtl/>
        </w:rPr>
        <w:t xml:space="preserve"> </w:t>
      </w:r>
      <w:r w:rsidRPr="00FD211F">
        <w:rPr>
          <w:sz w:val="36"/>
          <w:szCs w:val="36"/>
          <w:rtl/>
        </w:rPr>
        <w:t>اذ</w:t>
      </w:r>
      <w:r w:rsidR="00E8128F">
        <w:rPr>
          <w:sz w:val="36"/>
          <w:szCs w:val="36"/>
          <w:rtl/>
        </w:rPr>
        <w:t xml:space="preserve"> </w:t>
      </w:r>
      <w:r w:rsidRPr="00FD211F">
        <w:rPr>
          <w:sz w:val="36"/>
          <w:szCs w:val="36"/>
          <w:rtl/>
        </w:rPr>
        <w:t>اي</w:t>
      </w:r>
      <w:r w:rsidR="00E8128F">
        <w:rPr>
          <w:sz w:val="36"/>
          <w:szCs w:val="36"/>
          <w:rtl/>
        </w:rPr>
        <w:t xml:space="preserve"> </w:t>
      </w:r>
      <w:r w:rsidRPr="00FD211F">
        <w:rPr>
          <w:sz w:val="36"/>
          <w:szCs w:val="36"/>
          <w:rtl/>
        </w:rPr>
        <w:t>فرق</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جمل</w:t>
      </w:r>
      <w:r w:rsidR="00EC7EDF" w:rsidRPr="00FD211F">
        <w:rPr>
          <w:sz w:val="36"/>
          <w:szCs w:val="36"/>
          <w:rtl/>
        </w:rPr>
        <w:t>ة</w:t>
      </w:r>
      <w:r w:rsidR="00E8128F">
        <w:rPr>
          <w:sz w:val="36"/>
          <w:szCs w:val="36"/>
          <w:rtl/>
        </w:rPr>
        <w:t xml:space="preserve"> </w:t>
      </w:r>
      <w:r w:rsidRPr="00FD211F">
        <w:rPr>
          <w:sz w:val="36"/>
          <w:szCs w:val="36"/>
          <w:rtl/>
        </w:rPr>
        <w:t>"الرجل</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قام"</w:t>
      </w:r>
      <w:r w:rsidR="00E8128F">
        <w:rPr>
          <w:sz w:val="36"/>
          <w:szCs w:val="36"/>
          <w:rtl/>
        </w:rPr>
        <w:t xml:space="preserve"> </w:t>
      </w:r>
      <w:r w:rsidRPr="00FD211F">
        <w:rPr>
          <w:sz w:val="36"/>
          <w:szCs w:val="36"/>
          <w:rtl/>
        </w:rPr>
        <w:t>وبين</w:t>
      </w:r>
      <w:r w:rsidR="00E8128F">
        <w:rPr>
          <w:sz w:val="36"/>
          <w:szCs w:val="36"/>
          <w:rtl/>
        </w:rPr>
        <w:t xml:space="preserve"> </w:t>
      </w:r>
      <w:r w:rsidRPr="00FD211F">
        <w:rPr>
          <w:sz w:val="36"/>
          <w:szCs w:val="36"/>
          <w:rtl/>
        </w:rPr>
        <w:t>جمل</w:t>
      </w:r>
      <w:r w:rsidR="00EC7EDF" w:rsidRPr="00FD211F">
        <w:rPr>
          <w:sz w:val="36"/>
          <w:szCs w:val="36"/>
          <w:rtl/>
        </w:rPr>
        <w:t>ة</w:t>
      </w:r>
      <w:r w:rsidR="00E8128F">
        <w:rPr>
          <w:sz w:val="36"/>
          <w:szCs w:val="36"/>
          <w:rtl/>
        </w:rPr>
        <w:t xml:space="preserve"> </w:t>
      </w:r>
      <w:r w:rsidRPr="00FD211F">
        <w:rPr>
          <w:sz w:val="36"/>
          <w:szCs w:val="36"/>
          <w:rtl/>
        </w:rPr>
        <w:t>"الرجل</w:t>
      </w:r>
      <w:r w:rsidR="00E8128F">
        <w:rPr>
          <w:sz w:val="36"/>
          <w:szCs w:val="36"/>
          <w:rtl/>
        </w:rPr>
        <w:t xml:space="preserve"> </w:t>
      </w:r>
      <w:r w:rsidRPr="00FD211F">
        <w:rPr>
          <w:sz w:val="36"/>
          <w:szCs w:val="36"/>
          <w:rtl/>
        </w:rPr>
        <w:t>القائم"</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كلتيهما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الجمل</w:t>
      </w:r>
      <w:r w:rsidR="00EC7EDF" w:rsidRPr="00FD211F">
        <w:rPr>
          <w:sz w:val="36"/>
          <w:szCs w:val="36"/>
          <w:rtl/>
        </w:rPr>
        <w:t>ة</w:t>
      </w:r>
      <w:r w:rsidR="00E8128F">
        <w:rPr>
          <w:sz w:val="36"/>
          <w:szCs w:val="36"/>
          <w:rtl/>
        </w:rPr>
        <w:t xml:space="preserve"> </w:t>
      </w:r>
      <w:r w:rsidRPr="00FD211F">
        <w:rPr>
          <w:sz w:val="36"/>
          <w:szCs w:val="36"/>
          <w:rtl/>
        </w:rPr>
        <w:t>الناقص</w:t>
      </w:r>
      <w:r w:rsidR="00EC7EDF" w:rsidRPr="00FD211F">
        <w:rPr>
          <w:sz w:val="36"/>
          <w:szCs w:val="36"/>
          <w:rtl/>
        </w:rPr>
        <w:t>ة</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لاتحكي</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المفهوم</w:t>
      </w:r>
      <w:r w:rsidR="00603323" w:rsidRPr="00FD211F">
        <w:rPr>
          <w:sz w:val="36"/>
          <w:szCs w:val="36"/>
          <w:rtl/>
        </w:rPr>
        <w:t>،</w:t>
      </w:r>
      <w:r w:rsidR="00E8128F">
        <w:rPr>
          <w:sz w:val="36"/>
          <w:szCs w:val="36"/>
          <w:rtl/>
        </w:rPr>
        <w:t xml:space="preserve"> </w:t>
      </w:r>
      <w:r w:rsidR="002A755A" w:rsidRPr="00FD211F">
        <w:rPr>
          <w:sz w:val="36"/>
          <w:szCs w:val="36"/>
          <w:rtl/>
        </w:rPr>
        <w:t>فان</w:t>
      </w:r>
      <w:r w:rsidR="00E8128F">
        <w:rPr>
          <w:sz w:val="36"/>
          <w:szCs w:val="36"/>
          <w:rtl/>
        </w:rPr>
        <w:t xml:space="preserve"> </w:t>
      </w:r>
      <w:r w:rsidR="002A755A" w:rsidRPr="00FD211F">
        <w:rPr>
          <w:sz w:val="36"/>
          <w:szCs w:val="36"/>
          <w:rtl/>
        </w:rPr>
        <w:t>الجمل</w:t>
      </w:r>
      <w:r w:rsidR="00EC7EDF" w:rsidRPr="00FD211F">
        <w:rPr>
          <w:sz w:val="36"/>
          <w:szCs w:val="36"/>
          <w:rtl/>
        </w:rPr>
        <w:t>ة</w:t>
      </w:r>
      <w:r w:rsidR="00E8128F">
        <w:rPr>
          <w:sz w:val="36"/>
          <w:szCs w:val="36"/>
          <w:rtl/>
        </w:rPr>
        <w:t xml:space="preserve"> </w:t>
      </w:r>
      <w:r w:rsidR="002A755A" w:rsidRPr="00FD211F">
        <w:rPr>
          <w:sz w:val="36"/>
          <w:szCs w:val="36"/>
          <w:rtl/>
        </w:rPr>
        <w:t>الوصفي</w:t>
      </w:r>
      <w:r w:rsidR="00EC7EDF" w:rsidRPr="00FD211F">
        <w:rPr>
          <w:sz w:val="36"/>
          <w:szCs w:val="36"/>
          <w:rtl/>
        </w:rPr>
        <w:t>ة</w:t>
      </w:r>
      <w:r w:rsidR="00E8128F">
        <w:rPr>
          <w:sz w:val="36"/>
          <w:szCs w:val="36"/>
          <w:rtl/>
        </w:rPr>
        <w:t xml:space="preserve"> </w:t>
      </w:r>
      <w:r w:rsidR="002A755A" w:rsidRPr="00FD211F">
        <w:rPr>
          <w:sz w:val="36"/>
          <w:szCs w:val="36"/>
          <w:rtl/>
        </w:rPr>
        <w:t>المشتمل</w:t>
      </w:r>
      <w:r w:rsidR="00EC7EDF" w:rsidRPr="00FD211F">
        <w:rPr>
          <w:sz w:val="36"/>
          <w:szCs w:val="36"/>
          <w:rtl/>
        </w:rPr>
        <w:t>ة</w:t>
      </w:r>
      <w:r w:rsidR="00E8128F">
        <w:rPr>
          <w:sz w:val="36"/>
          <w:szCs w:val="36"/>
          <w:rtl/>
        </w:rPr>
        <w:t xml:space="preserve"> </w:t>
      </w:r>
      <w:r w:rsidR="002A755A" w:rsidRPr="00FD211F">
        <w:rPr>
          <w:sz w:val="36"/>
          <w:szCs w:val="36"/>
          <w:rtl/>
        </w:rPr>
        <w:t>على</w:t>
      </w:r>
      <w:r w:rsidR="00E8128F">
        <w:rPr>
          <w:sz w:val="36"/>
          <w:szCs w:val="36"/>
          <w:rtl/>
        </w:rPr>
        <w:t xml:space="preserve"> </w:t>
      </w:r>
      <w:r w:rsidR="002A755A" w:rsidRPr="00FD211F">
        <w:rPr>
          <w:sz w:val="36"/>
          <w:szCs w:val="36"/>
          <w:rtl/>
        </w:rPr>
        <w:t>ذات</w:t>
      </w:r>
      <w:r w:rsidR="00E8128F">
        <w:rPr>
          <w:sz w:val="36"/>
          <w:szCs w:val="36"/>
          <w:rtl/>
        </w:rPr>
        <w:t xml:space="preserve"> </w:t>
      </w:r>
      <w:r w:rsidR="002A755A" w:rsidRPr="00FD211F">
        <w:rPr>
          <w:sz w:val="36"/>
          <w:szCs w:val="36"/>
          <w:rtl/>
        </w:rPr>
        <w:t>وقع</w:t>
      </w:r>
      <w:r w:rsidR="00E8128F">
        <w:rPr>
          <w:sz w:val="36"/>
          <w:szCs w:val="36"/>
          <w:rtl/>
        </w:rPr>
        <w:t xml:space="preserve"> </w:t>
      </w:r>
      <w:r w:rsidR="002A755A" w:rsidRPr="00FD211F">
        <w:rPr>
          <w:sz w:val="36"/>
          <w:szCs w:val="36"/>
          <w:rtl/>
        </w:rPr>
        <w:t>الفعل</w:t>
      </w:r>
      <w:r w:rsidR="00E8128F">
        <w:rPr>
          <w:sz w:val="36"/>
          <w:szCs w:val="36"/>
          <w:rtl/>
        </w:rPr>
        <w:t xml:space="preserve"> </w:t>
      </w:r>
      <w:r w:rsidR="002A755A" w:rsidRPr="00FD211F">
        <w:rPr>
          <w:sz w:val="36"/>
          <w:szCs w:val="36"/>
          <w:rtl/>
        </w:rPr>
        <w:t>الماضي</w:t>
      </w:r>
      <w:r w:rsidR="00E8128F">
        <w:rPr>
          <w:sz w:val="36"/>
          <w:szCs w:val="36"/>
          <w:rtl/>
        </w:rPr>
        <w:t xml:space="preserve"> </w:t>
      </w:r>
      <w:r w:rsidR="002A755A" w:rsidRPr="00FD211F">
        <w:rPr>
          <w:sz w:val="36"/>
          <w:szCs w:val="36"/>
          <w:rtl/>
        </w:rPr>
        <w:t>طرفا</w:t>
      </w:r>
      <w:r w:rsidR="00E8128F">
        <w:rPr>
          <w:sz w:val="36"/>
          <w:szCs w:val="36"/>
          <w:rtl/>
        </w:rPr>
        <w:t xml:space="preserve"> </w:t>
      </w:r>
      <w:r w:rsidR="002A755A" w:rsidRPr="00FD211F">
        <w:rPr>
          <w:sz w:val="36"/>
          <w:szCs w:val="36"/>
          <w:rtl/>
        </w:rPr>
        <w:t>لنسب</w:t>
      </w:r>
      <w:r w:rsidR="00EC7EDF" w:rsidRPr="00FD211F">
        <w:rPr>
          <w:sz w:val="36"/>
          <w:szCs w:val="36"/>
          <w:rtl/>
        </w:rPr>
        <w:t>ة</w:t>
      </w:r>
      <w:r w:rsidR="00E8128F">
        <w:rPr>
          <w:sz w:val="36"/>
          <w:szCs w:val="36"/>
          <w:rtl/>
        </w:rPr>
        <w:t xml:space="preserve"> </w:t>
      </w:r>
      <w:r w:rsidR="002A755A" w:rsidRPr="00FD211F">
        <w:rPr>
          <w:sz w:val="36"/>
          <w:szCs w:val="36"/>
          <w:rtl/>
        </w:rPr>
        <w:t>ناقص</w:t>
      </w:r>
      <w:r w:rsidR="00EC7EDF" w:rsidRPr="00FD211F">
        <w:rPr>
          <w:sz w:val="36"/>
          <w:szCs w:val="36"/>
          <w:rtl/>
        </w:rPr>
        <w:t>ة</w:t>
      </w:r>
      <w:r w:rsidR="00E8128F">
        <w:rPr>
          <w:sz w:val="36"/>
          <w:szCs w:val="36"/>
          <w:rtl/>
        </w:rPr>
        <w:t xml:space="preserve"> </w:t>
      </w:r>
      <w:r w:rsidR="002A755A" w:rsidRPr="00FD211F">
        <w:rPr>
          <w:sz w:val="36"/>
          <w:szCs w:val="36"/>
          <w:rtl/>
        </w:rPr>
        <w:t>وصفي</w:t>
      </w:r>
      <w:r w:rsidR="00EC7EDF" w:rsidRPr="00FD211F">
        <w:rPr>
          <w:sz w:val="36"/>
          <w:szCs w:val="36"/>
          <w:rtl/>
        </w:rPr>
        <w:t>ة</w:t>
      </w:r>
      <w:r w:rsidR="00E8128F">
        <w:rPr>
          <w:sz w:val="36"/>
          <w:szCs w:val="36"/>
          <w:rtl/>
        </w:rPr>
        <w:t xml:space="preserve"> </w:t>
      </w:r>
      <w:r w:rsidR="002A755A" w:rsidRPr="00FD211F">
        <w:rPr>
          <w:sz w:val="36"/>
          <w:szCs w:val="36"/>
          <w:rtl/>
        </w:rPr>
        <w:t>لها</w:t>
      </w:r>
      <w:r w:rsidR="00E8128F">
        <w:rPr>
          <w:sz w:val="36"/>
          <w:szCs w:val="36"/>
          <w:rtl/>
        </w:rPr>
        <w:t xml:space="preserve"> </w:t>
      </w:r>
      <w:r w:rsidR="002A755A" w:rsidRPr="00FD211F">
        <w:rPr>
          <w:sz w:val="36"/>
          <w:szCs w:val="36"/>
          <w:rtl/>
        </w:rPr>
        <w:t>حيث</w:t>
      </w:r>
      <w:r w:rsidR="00E8128F">
        <w:rPr>
          <w:sz w:val="36"/>
          <w:szCs w:val="36"/>
          <w:rtl/>
        </w:rPr>
        <w:t xml:space="preserve"> </w:t>
      </w:r>
      <w:r w:rsidR="002A755A" w:rsidRPr="00FD211F">
        <w:rPr>
          <w:sz w:val="36"/>
          <w:szCs w:val="36"/>
          <w:rtl/>
        </w:rPr>
        <w:t>لاتحكي</w:t>
      </w:r>
      <w:r w:rsidR="00E8128F">
        <w:rPr>
          <w:sz w:val="36"/>
          <w:szCs w:val="36"/>
          <w:rtl/>
        </w:rPr>
        <w:t xml:space="preserve"> </w:t>
      </w:r>
      <w:r w:rsidR="002A755A" w:rsidRPr="00FD211F">
        <w:rPr>
          <w:sz w:val="36"/>
          <w:szCs w:val="36"/>
          <w:rtl/>
        </w:rPr>
        <w:t>عن</w:t>
      </w:r>
      <w:r w:rsidR="00E8128F">
        <w:rPr>
          <w:sz w:val="36"/>
          <w:szCs w:val="36"/>
          <w:rtl/>
        </w:rPr>
        <w:t xml:space="preserve"> </w:t>
      </w:r>
      <w:r w:rsidR="002A755A" w:rsidRPr="00FD211F">
        <w:rPr>
          <w:sz w:val="36"/>
          <w:szCs w:val="36"/>
          <w:rtl/>
        </w:rPr>
        <w:t>وجود</w:t>
      </w:r>
      <w:r w:rsidR="00E8128F">
        <w:rPr>
          <w:sz w:val="36"/>
          <w:szCs w:val="36"/>
          <w:rtl/>
        </w:rPr>
        <w:t xml:space="preserve"> </w:t>
      </w:r>
      <w:r w:rsidR="002A755A" w:rsidRPr="00FD211F">
        <w:rPr>
          <w:sz w:val="36"/>
          <w:szCs w:val="36"/>
          <w:rtl/>
        </w:rPr>
        <w:t>الذات</w:t>
      </w:r>
      <w:r w:rsidR="00E8128F">
        <w:rPr>
          <w:sz w:val="36"/>
          <w:szCs w:val="36"/>
          <w:rtl/>
        </w:rPr>
        <w:t xml:space="preserve"> </w:t>
      </w:r>
      <w:r w:rsidR="002A755A" w:rsidRPr="00FD211F">
        <w:rPr>
          <w:sz w:val="36"/>
          <w:szCs w:val="36"/>
          <w:rtl/>
        </w:rPr>
        <w:t>بل</w:t>
      </w:r>
      <w:r w:rsidR="00E8128F">
        <w:rPr>
          <w:sz w:val="36"/>
          <w:szCs w:val="36"/>
          <w:rtl/>
        </w:rPr>
        <w:t xml:space="preserve"> </w:t>
      </w:r>
      <w:r w:rsidR="002A755A" w:rsidRPr="00FD211F">
        <w:rPr>
          <w:sz w:val="36"/>
          <w:szCs w:val="36"/>
          <w:rtl/>
        </w:rPr>
        <w:t>تحكي</w:t>
      </w:r>
      <w:r w:rsidR="00E8128F">
        <w:rPr>
          <w:sz w:val="36"/>
          <w:szCs w:val="36"/>
          <w:rtl/>
        </w:rPr>
        <w:t xml:space="preserve"> </w:t>
      </w:r>
      <w:r w:rsidR="002A755A" w:rsidRPr="00FD211F">
        <w:rPr>
          <w:sz w:val="36"/>
          <w:szCs w:val="36"/>
          <w:rtl/>
        </w:rPr>
        <w:t>تصورا</w:t>
      </w:r>
      <w:r w:rsidR="00E8128F">
        <w:rPr>
          <w:sz w:val="36"/>
          <w:szCs w:val="36"/>
          <w:rtl/>
        </w:rPr>
        <w:t xml:space="preserve"> </w:t>
      </w:r>
      <w:r w:rsidR="002A755A" w:rsidRPr="00FD211F">
        <w:rPr>
          <w:sz w:val="36"/>
          <w:szCs w:val="36"/>
          <w:rtl/>
        </w:rPr>
        <w:t>عن</w:t>
      </w:r>
      <w:r w:rsidR="00E8128F">
        <w:rPr>
          <w:sz w:val="36"/>
          <w:szCs w:val="36"/>
          <w:rtl/>
        </w:rPr>
        <w:t xml:space="preserve"> </w:t>
      </w:r>
      <w:r w:rsidR="002A755A" w:rsidRPr="00FD211F">
        <w:rPr>
          <w:sz w:val="36"/>
          <w:szCs w:val="36"/>
          <w:rtl/>
        </w:rPr>
        <w:t>ذات</w:t>
      </w:r>
      <w:r w:rsidR="00E8128F">
        <w:rPr>
          <w:sz w:val="36"/>
          <w:szCs w:val="36"/>
          <w:rtl/>
        </w:rPr>
        <w:t xml:space="preserve"> </w:t>
      </w:r>
      <w:r w:rsidR="002A755A" w:rsidRPr="00FD211F">
        <w:rPr>
          <w:sz w:val="36"/>
          <w:szCs w:val="36"/>
          <w:rtl/>
        </w:rPr>
        <w:t>متصف</w:t>
      </w:r>
      <w:r w:rsidR="00EC7EDF" w:rsidRPr="00FD211F">
        <w:rPr>
          <w:sz w:val="36"/>
          <w:szCs w:val="36"/>
          <w:rtl/>
        </w:rPr>
        <w:t>ة</w:t>
      </w:r>
      <w:r w:rsidR="00E8128F">
        <w:rPr>
          <w:sz w:val="36"/>
          <w:szCs w:val="36"/>
          <w:rtl/>
        </w:rPr>
        <w:t xml:space="preserve"> </w:t>
      </w:r>
      <w:r w:rsidR="002A755A" w:rsidRPr="00FD211F">
        <w:rPr>
          <w:sz w:val="36"/>
          <w:szCs w:val="36"/>
          <w:rtl/>
        </w:rPr>
        <w:t>بتحقق</w:t>
      </w:r>
      <w:r w:rsidR="00E8128F">
        <w:rPr>
          <w:sz w:val="36"/>
          <w:szCs w:val="36"/>
          <w:rtl/>
        </w:rPr>
        <w:t xml:space="preserve"> </w:t>
      </w:r>
      <w:r w:rsidR="002A755A" w:rsidRPr="00FD211F">
        <w:rPr>
          <w:sz w:val="36"/>
          <w:szCs w:val="36"/>
          <w:rtl/>
        </w:rPr>
        <w:t>ال</w:t>
      </w:r>
      <w:r w:rsidR="0079493B" w:rsidRPr="00FD211F">
        <w:rPr>
          <w:sz w:val="36"/>
          <w:szCs w:val="36"/>
          <w:rtl/>
        </w:rPr>
        <w:t>مبدأ</w:t>
      </w:r>
      <w:r w:rsidR="00E8128F">
        <w:rPr>
          <w:sz w:val="36"/>
          <w:szCs w:val="36"/>
          <w:rtl/>
        </w:rPr>
        <w:t xml:space="preserve"> </w:t>
      </w:r>
      <w:r w:rsidR="002A755A" w:rsidRPr="00FD211F">
        <w:rPr>
          <w:sz w:val="36"/>
          <w:szCs w:val="36"/>
          <w:rtl/>
        </w:rPr>
        <w:t>لها</w:t>
      </w:r>
      <w:r w:rsidR="00E8128F">
        <w:rPr>
          <w:sz w:val="36"/>
          <w:szCs w:val="36"/>
          <w:rtl/>
        </w:rPr>
        <w:t xml:space="preserve"> </w:t>
      </w:r>
      <w:r w:rsidR="002A755A" w:rsidRPr="00FD211F">
        <w:rPr>
          <w:sz w:val="36"/>
          <w:szCs w:val="36"/>
          <w:rtl/>
        </w:rPr>
        <w:t>وان</w:t>
      </w:r>
      <w:r w:rsidR="00E8128F">
        <w:rPr>
          <w:sz w:val="36"/>
          <w:szCs w:val="36"/>
          <w:rtl/>
        </w:rPr>
        <w:t xml:space="preserve"> </w:t>
      </w:r>
      <w:r w:rsidR="008D7B3D" w:rsidRPr="00FD211F">
        <w:rPr>
          <w:sz w:val="36"/>
          <w:szCs w:val="36"/>
          <w:rtl/>
        </w:rPr>
        <w:t>لم‌</w:t>
      </w:r>
      <w:r w:rsidR="002A755A" w:rsidRPr="00FD211F">
        <w:rPr>
          <w:sz w:val="36"/>
          <w:szCs w:val="36"/>
          <w:rtl/>
        </w:rPr>
        <w:t>توجد</w:t>
      </w:r>
      <w:r w:rsidR="00E8128F">
        <w:rPr>
          <w:sz w:val="36"/>
          <w:szCs w:val="36"/>
          <w:rtl/>
        </w:rPr>
        <w:t xml:space="preserve"> </w:t>
      </w:r>
      <w:r w:rsidR="002A755A" w:rsidRPr="00FD211F">
        <w:rPr>
          <w:sz w:val="36"/>
          <w:szCs w:val="36"/>
          <w:rtl/>
        </w:rPr>
        <w:t>الذات</w:t>
      </w:r>
      <w:r w:rsidR="00E8128F">
        <w:rPr>
          <w:sz w:val="36"/>
          <w:szCs w:val="36"/>
          <w:rtl/>
        </w:rPr>
        <w:t xml:space="preserve"> </w:t>
      </w:r>
      <w:r w:rsidR="002A755A" w:rsidRPr="00FD211F">
        <w:rPr>
          <w:sz w:val="36"/>
          <w:szCs w:val="36"/>
          <w:rtl/>
        </w:rPr>
        <w:t>ابدا</w:t>
      </w:r>
      <w:r w:rsidR="00E8128F">
        <w:rPr>
          <w:sz w:val="36"/>
          <w:szCs w:val="36"/>
          <w:rtl/>
        </w:rPr>
        <w:t xml:space="preserve"> </w:t>
      </w:r>
      <w:r w:rsidR="002A755A" w:rsidRPr="00FD211F">
        <w:rPr>
          <w:sz w:val="36"/>
          <w:szCs w:val="36"/>
          <w:rtl/>
        </w:rPr>
        <w:t>فيمكن</w:t>
      </w:r>
      <w:r w:rsidR="00E8128F">
        <w:rPr>
          <w:sz w:val="36"/>
          <w:szCs w:val="36"/>
          <w:rtl/>
        </w:rPr>
        <w:t xml:space="preserve"> </w:t>
      </w:r>
      <w:r w:rsidR="002A755A" w:rsidRPr="00FD211F">
        <w:rPr>
          <w:sz w:val="36"/>
          <w:szCs w:val="36"/>
          <w:rtl/>
        </w:rPr>
        <w:t>الالتزام</w:t>
      </w:r>
      <w:r w:rsidR="00E8128F">
        <w:rPr>
          <w:sz w:val="36"/>
          <w:szCs w:val="36"/>
          <w:rtl/>
        </w:rPr>
        <w:t xml:space="preserve"> </w:t>
      </w:r>
      <w:r w:rsidR="002A755A" w:rsidRPr="00FD211F">
        <w:rPr>
          <w:sz w:val="36"/>
          <w:szCs w:val="36"/>
          <w:rtl/>
        </w:rPr>
        <w:t>بان</w:t>
      </w:r>
      <w:r w:rsidR="00E8128F">
        <w:rPr>
          <w:sz w:val="36"/>
          <w:szCs w:val="36"/>
          <w:rtl/>
        </w:rPr>
        <w:t xml:space="preserve"> </w:t>
      </w:r>
      <w:r w:rsidR="002A755A" w:rsidRPr="00FD211F">
        <w:rPr>
          <w:sz w:val="36"/>
          <w:szCs w:val="36"/>
          <w:rtl/>
        </w:rPr>
        <w:t>مدلول</w:t>
      </w:r>
      <w:r w:rsidR="00E8128F">
        <w:rPr>
          <w:sz w:val="36"/>
          <w:szCs w:val="36"/>
          <w:rtl/>
        </w:rPr>
        <w:t xml:space="preserve"> </w:t>
      </w:r>
      <w:r w:rsidR="002A755A" w:rsidRPr="00FD211F">
        <w:rPr>
          <w:sz w:val="36"/>
          <w:szCs w:val="36"/>
          <w:rtl/>
        </w:rPr>
        <w:t>المشتق</w:t>
      </w:r>
      <w:r w:rsidR="00E8128F">
        <w:rPr>
          <w:sz w:val="36"/>
          <w:szCs w:val="36"/>
          <w:rtl/>
        </w:rPr>
        <w:t xml:space="preserve"> </w:t>
      </w:r>
      <w:r w:rsidR="002A755A" w:rsidRPr="00FD211F">
        <w:rPr>
          <w:sz w:val="36"/>
          <w:szCs w:val="36"/>
          <w:rtl/>
        </w:rPr>
        <w:t>راجع</w:t>
      </w:r>
      <w:r w:rsidR="00E8128F">
        <w:rPr>
          <w:sz w:val="36"/>
          <w:szCs w:val="36"/>
          <w:rtl/>
        </w:rPr>
        <w:t xml:space="preserve"> </w:t>
      </w:r>
      <w:r w:rsidR="002A755A" w:rsidRPr="00FD211F">
        <w:rPr>
          <w:sz w:val="36"/>
          <w:szCs w:val="36"/>
          <w:rtl/>
        </w:rPr>
        <w:t>اليه</w:t>
      </w:r>
      <w:r w:rsidR="00E8128F">
        <w:rPr>
          <w:sz w:val="36"/>
          <w:szCs w:val="36"/>
          <w:rtl/>
        </w:rPr>
        <w:t xml:space="preserve"> </w:t>
      </w:r>
      <w:r w:rsidR="002A755A" w:rsidRPr="00FD211F">
        <w:rPr>
          <w:sz w:val="36"/>
          <w:szCs w:val="36"/>
          <w:rtl/>
        </w:rPr>
        <w:t>بالتحليل</w:t>
      </w:r>
      <w:r w:rsidR="00E8128F">
        <w:rPr>
          <w:sz w:val="36"/>
          <w:szCs w:val="36"/>
          <w:rtl/>
        </w:rPr>
        <w:t xml:space="preserve"> </w:t>
      </w:r>
      <w:r w:rsidR="002A755A" w:rsidRPr="00FD211F">
        <w:rPr>
          <w:sz w:val="36"/>
          <w:szCs w:val="36"/>
          <w:rtl/>
        </w:rPr>
        <w:t>فكما</w:t>
      </w:r>
      <w:r w:rsidR="00E8128F">
        <w:rPr>
          <w:sz w:val="36"/>
          <w:szCs w:val="36"/>
          <w:rtl/>
        </w:rPr>
        <w:t xml:space="preserve"> </w:t>
      </w:r>
      <w:r w:rsidR="002A755A" w:rsidRPr="00FD211F">
        <w:rPr>
          <w:sz w:val="36"/>
          <w:szCs w:val="36"/>
          <w:rtl/>
        </w:rPr>
        <w:t>ان</w:t>
      </w:r>
      <w:r w:rsidR="00E8128F">
        <w:rPr>
          <w:sz w:val="36"/>
          <w:szCs w:val="36"/>
          <w:rtl/>
        </w:rPr>
        <w:t xml:space="preserve"> </w:t>
      </w:r>
      <w:r w:rsidR="002A755A" w:rsidRPr="00FD211F">
        <w:rPr>
          <w:sz w:val="36"/>
          <w:szCs w:val="36"/>
          <w:rtl/>
        </w:rPr>
        <w:t>من</w:t>
      </w:r>
      <w:r w:rsidR="00E8128F">
        <w:rPr>
          <w:sz w:val="36"/>
          <w:szCs w:val="36"/>
          <w:rtl/>
        </w:rPr>
        <w:t xml:space="preserve"> </w:t>
      </w:r>
      <w:r w:rsidR="002A755A" w:rsidRPr="00FD211F">
        <w:rPr>
          <w:sz w:val="36"/>
          <w:szCs w:val="36"/>
          <w:rtl/>
        </w:rPr>
        <w:t>ضُرب</w:t>
      </w:r>
      <w:r w:rsidR="00E8128F">
        <w:rPr>
          <w:sz w:val="36"/>
          <w:szCs w:val="36"/>
          <w:rtl/>
        </w:rPr>
        <w:t xml:space="preserve"> </w:t>
      </w:r>
      <w:r w:rsidR="002A755A" w:rsidRPr="00FD211F">
        <w:rPr>
          <w:sz w:val="36"/>
          <w:szCs w:val="36"/>
          <w:rtl/>
        </w:rPr>
        <w:t>تحكي</w:t>
      </w:r>
      <w:r w:rsidR="00E8128F">
        <w:rPr>
          <w:sz w:val="36"/>
          <w:szCs w:val="36"/>
          <w:rtl/>
        </w:rPr>
        <w:t xml:space="preserve"> </w:t>
      </w:r>
      <w:r w:rsidR="002A755A" w:rsidRPr="00FD211F">
        <w:rPr>
          <w:sz w:val="36"/>
          <w:szCs w:val="36"/>
          <w:rtl/>
        </w:rPr>
        <w:t>عن</w:t>
      </w:r>
      <w:r w:rsidR="00E8128F">
        <w:rPr>
          <w:sz w:val="36"/>
          <w:szCs w:val="36"/>
          <w:rtl/>
        </w:rPr>
        <w:t xml:space="preserve"> </w:t>
      </w:r>
      <w:r w:rsidR="002A755A" w:rsidRPr="00FD211F">
        <w:rPr>
          <w:sz w:val="36"/>
          <w:szCs w:val="36"/>
          <w:rtl/>
        </w:rPr>
        <w:t>حص</w:t>
      </w:r>
      <w:r w:rsidR="00EC7EDF" w:rsidRPr="00FD211F">
        <w:rPr>
          <w:sz w:val="36"/>
          <w:szCs w:val="36"/>
          <w:rtl/>
        </w:rPr>
        <w:t>ة</w:t>
      </w:r>
      <w:r w:rsidR="00E8128F">
        <w:rPr>
          <w:sz w:val="36"/>
          <w:szCs w:val="36"/>
          <w:rtl/>
        </w:rPr>
        <w:t xml:space="preserve"> </w:t>
      </w:r>
      <w:r w:rsidR="002A755A" w:rsidRPr="00FD211F">
        <w:rPr>
          <w:sz w:val="36"/>
          <w:szCs w:val="36"/>
          <w:rtl/>
        </w:rPr>
        <w:t>خاص</w:t>
      </w:r>
      <w:r w:rsidR="00EC7EDF" w:rsidRPr="00FD211F">
        <w:rPr>
          <w:sz w:val="36"/>
          <w:szCs w:val="36"/>
          <w:rtl/>
        </w:rPr>
        <w:t>ة</w:t>
      </w:r>
      <w:r w:rsidR="00E8128F">
        <w:rPr>
          <w:sz w:val="36"/>
          <w:szCs w:val="36"/>
          <w:rtl/>
        </w:rPr>
        <w:t xml:space="preserve"> </w:t>
      </w:r>
      <w:r w:rsidR="002A755A" w:rsidRPr="00FD211F">
        <w:rPr>
          <w:sz w:val="36"/>
          <w:szCs w:val="36"/>
          <w:rtl/>
        </w:rPr>
        <w:t>من</w:t>
      </w:r>
      <w:r w:rsidR="00E8128F">
        <w:rPr>
          <w:sz w:val="36"/>
          <w:szCs w:val="36"/>
          <w:rtl/>
        </w:rPr>
        <w:t xml:space="preserve"> </w:t>
      </w:r>
      <w:r w:rsidR="002A755A" w:rsidRPr="00FD211F">
        <w:rPr>
          <w:sz w:val="36"/>
          <w:szCs w:val="36"/>
          <w:rtl/>
        </w:rPr>
        <w:t>الذات</w:t>
      </w:r>
      <w:r w:rsidR="00E8128F">
        <w:rPr>
          <w:sz w:val="36"/>
          <w:szCs w:val="36"/>
          <w:rtl/>
        </w:rPr>
        <w:t xml:space="preserve"> </w:t>
      </w:r>
      <w:r w:rsidR="002A755A" w:rsidRPr="00FD211F">
        <w:rPr>
          <w:sz w:val="36"/>
          <w:szCs w:val="36"/>
          <w:rtl/>
        </w:rPr>
        <w:t>وهي</w:t>
      </w:r>
      <w:r w:rsidR="00E8128F">
        <w:rPr>
          <w:sz w:val="36"/>
          <w:szCs w:val="36"/>
          <w:rtl/>
        </w:rPr>
        <w:t xml:space="preserve"> </w:t>
      </w:r>
      <w:r w:rsidR="002A755A" w:rsidRPr="00FD211F">
        <w:rPr>
          <w:sz w:val="36"/>
          <w:szCs w:val="36"/>
          <w:rtl/>
        </w:rPr>
        <w:t>التي</w:t>
      </w:r>
      <w:r w:rsidR="00E8128F">
        <w:rPr>
          <w:sz w:val="36"/>
          <w:szCs w:val="36"/>
          <w:rtl/>
        </w:rPr>
        <w:t xml:space="preserve"> </w:t>
      </w:r>
      <w:r w:rsidR="002A755A" w:rsidRPr="00FD211F">
        <w:rPr>
          <w:sz w:val="36"/>
          <w:szCs w:val="36"/>
          <w:rtl/>
        </w:rPr>
        <w:t>وقع</w:t>
      </w:r>
      <w:r w:rsidR="00E8128F">
        <w:rPr>
          <w:sz w:val="36"/>
          <w:szCs w:val="36"/>
          <w:rtl/>
        </w:rPr>
        <w:t xml:space="preserve"> </w:t>
      </w:r>
      <w:r w:rsidR="002A755A" w:rsidRPr="00FD211F">
        <w:rPr>
          <w:sz w:val="36"/>
          <w:szCs w:val="36"/>
          <w:rtl/>
        </w:rPr>
        <w:t>الضرب</w:t>
      </w:r>
      <w:r w:rsidR="00E8128F">
        <w:rPr>
          <w:sz w:val="36"/>
          <w:szCs w:val="36"/>
          <w:rtl/>
        </w:rPr>
        <w:t xml:space="preserve"> </w:t>
      </w:r>
      <w:r w:rsidR="002A755A" w:rsidRPr="00FD211F">
        <w:rPr>
          <w:sz w:val="36"/>
          <w:szCs w:val="36"/>
          <w:rtl/>
        </w:rPr>
        <w:t>عليها</w:t>
      </w:r>
      <w:r w:rsidR="00E8128F">
        <w:rPr>
          <w:sz w:val="36"/>
          <w:szCs w:val="36"/>
          <w:rtl/>
        </w:rPr>
        <w:t xml:space="preserve"> </w:t>
      </w:r>
      <w:r w:rsidR="002A755A" w:rsidRPr="00FD211F">
        <w:rPr>
          <w:sz w:val="36"/>
          <w:szCs w:val="36"/>
          <w:rtl/>
        </w:rPr>
        <w:t>فكذا</w:t>
      </w:r>
      <w:r w:rsidR="00E8128F">
        <w:rPr>
          <w:sz w:val="36"/>
          <w:szCs w:val="36"/>
          <w:rtl/>
        </w:rPr>
        <w:t xml:space="preserve"> </w:t>
      </w:r>
      <w:r w:rsidR="002A755A" w:rsidRPr="00FD211F">
        <w:rPr>
          <w:sz w:val="36"/>
          <w:szCs w:val="36"/>
          <w:rtl/>
        </w:rPr>
        <w:t>المضروب</w:t>
      </w:r>
      <w:r w:rsidR="00E8128F">
        <w:rPr>
          <w:sz w:val="36"/>
          <w:szCs w:val="36"/>
          <w:rtl/>
        </w:rPr>
        <w:t xml:space="preserve"> </w:t>
      </w:r>
      <w:r w:rsidR="002A755A" w:rsidRPr="00FD211F">
        <w:rPr>
          <w:sz w:val="36"/>
          <w:szCs w:val="36"/>
          <w:rtl/>
        </w:rPr>
        <w:t>يدل</w:t>
      </w:r>
      <w:r w:rsidR="00E8128F">
        <w:rPr>
          <w:sz w:val="36"/>
          <w:szCs w:val="36"/>
          <w:rtl/>
        </w:rPr>
        <w:t xml:space="preserve"> </w:t>
      </w:r>
      <w:r w:rsidR="002A755A" w:rsidRPr="00FD211F">
        <w:rPr>
          <w:sz w:val="36"/>
          <w:szCs w:val="36"/>
          <w:rtl/>
        </w:rPr>
        <w:t>على</w:t>
      </w:r>
      <w:r w:rsidR="00E8128F">
        <w:rPr>
          <w:sz w:val="36"/>
          <w:szCs w:val="36"/>
          <w:rtl/>
        </w:rPr>
        <w:t xml:space="preserve"> </w:t>
      </w:r>
      <w:r w:rsidR="002A755A" w:rsidRPr="00FD211F">
        <w:rPr>
          <w:sz w:val="36"/>
          <w:szCs w:val="36"/>
          <w:rtl/>
        </w:rPr>
        <w:t>تلك</w:t>
      </w:r>
      <w:r w:rsidR="00E8128F">
        <w:rPr>
          <w:sz w:val="36"/>
          <w:szCs w:val="36"/>
          <w:rtl/>
        </w:rPr>
        <w:t xml:space="preserve"> </w:t>
      </w:r>
      <w:r w:rsidR="002A755A" w:rsidRPr="00FD211F">
        <w:rPr>
          <w:sz w:val="36"/>
          <w:szCs w:val="36"/>
          <w:rtl/>
        </w:rPr>
        <w:t>الذات</w:t>
      </w:r>
      <w:r w:rsidR="00E8128F">
        <w:rPr>
          <w:sz w:val="36"/>
          <w:szCs w:val="36"/>
          <w:rtl/>
        </w:rPr>
        <w:t xml:space="preserve"> </w:t>
      </w:r>
      <w:r w:rsidR="002A755A" w:rsidRPr="00FD211F">
        <w:rPr>
          <w:sz w:val="36"/>
          <w:szCs w:val="36"/>
          <w:rtl/>
        </w:rPr>
        <w:t>ولامانع</w:t>
      </w:r>
      <w:r w:rsidR="00E8128F">
        <w:rPr>
          <w:sz w:val="36"/>
          <w:szCs w:val="36"/>
          <w:rtl/>
        </w:rPr>
        <w:t xml:space="preserve"> </w:t>
      </w:r>
      <w:r w:rsidR="002A755A" w:rsidRPr="00FD211F">
        <w:rPr>
          <w:sz w:val="36"/>
          <w:szCs w:val="36"/>
          <w:rtl/>
        </w:rPr>
        <w:t>من</w:t>
      </w:r>
      <w:r w:rsidR="00E8128F">
        <w:rPr>
          <w:sz w:val="36"/>
          <w:szCs w:val="36"/>
          <w:rtl/>
        </w:rPr>
        <w:t xml:space="preserve"> </w:t>
      </w:r>
      <w:r w:rsidR="002A755A" w:rsidRPr="00FD211F">
        <w:rPr>
          <w:sz w:val="36"/>
          <w:szCs w:val="36"/>
          <w:rtl/>
        </w:rPr>
        <w:t>الالتزام</w:t>
      </w:r>
      <w:r w:rsidR="00E8128F">
        <w:rPr>
          <w:sz w:val="36"/>
          <w:szCs w:val="36"/>
          <w:rtl/>
        </w:rPr>
        <w:t xml:space="preserve"> </w:t>
      </w:r>
      <w:r w:rsidR="002A755A" w:rsidRPr="00FD211F">
        <w:rPr>
          <w:sz w:val="36"/>
          <w:szCs w:val="36"/>
          <w:rtl/>
        </w:rPr>
        <w:t>به</w:t>
      </w:r>
      <w:r w:rsidR="00E8128F">
        <w:rPr>
          <w:sz w:val="36"/>
          <w:szCs w:val="36"/>
          <w:rtl/>
        </w:rPr>
        <w:t xml:space="preserve"> </w:t>
      </w:r>
      <w:r w:rsidR="002A755A" w:rsidRPr="00FD211F">
        <w:rPr>
          <w:sz w:val="36"/>
          <w:szCs w:val="36"/>
          <w:rtl/>
        </w:rPr>
        <w:t>ابدا</w:t>
      </w:r>
      <w:r w:rsidR="00603323" w:rsidRPr="00FD211F">
        <w:rPr>
          <w:sz w:val="36"/>
          <w:szCs w:val="36"/>
          <w:rtl/>
        </w:rPr>
        <w:t>،</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المقصود</w:t>
      </w:r>
      <w:r w:rsidR="00E8128F">
        <w:rPr>
          <w:sz w:val="36"/>
          <w:szCs w:val="36"/>
          <w:rtl/>
        </w:rPr>
        <w:t xml:space="preserve"> </w:t>
      </w:r>
      <w:r w:rsidRPr="00FD211F">
        <w:rPr>
          <w:sz w:val="36"/>
          <w:szCs w:val="36"/>
          <w:rtl/>
        </w:rPr>
        <w:t>دلال</w:t>
      </w:r>
      <w:r w:rsidR="00EC7EDF" w:rsidRPr="00FD211F">
        <w:rPr>
          <w:sz w:val="36"/>
          <w:szCs w:val="36"/>
          <w:rtl/>
        </w:rPr>
        <w:t>ة</w:t>
      </w:r>
      <w:r w:rsidR="00E8128F">
        <w:rPr>
          <w:sz w:val="36"/>
          <w:szCs w:val="36"/>
          <w:rtl/>
        </w:rPr>
        <w:t xml:space="preserve"> </w:t>
      </w:r>
      <w:r w:rsidRPr="00FD211F">
        <w:rPr>
          <w:sz w:val="36"/>
          <w:szCs w:val="36"/>
          <w:rtl/>
        </w:rPr>
        <w:t>جمل</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قام"</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حدوث</w:t>
      </w:r>
      <w:r w:rsidR="00E8128F">
        <w:rPr>
          <w:sz w:val="36"/>
          <w:szCs w:val="36"/>
          <w:rtl/>
        </w:rPr>
        <w:t xml:space="preserve"> </w:t>
      </w:r>
      <w:r w:rsidRPr="00FD211F">
        <w:rPr>
          <w:sz w:val="36"/>
          <w:szCs w:val="36"/>
          <w:rtl/>
        </w:rPr>
        <w:t>القيام</w:t>
      </w:r>
      <w:r w:rsidR="00E8128F">
        <w:rPr>
          <w:sz w:val="36"/>
          <w:szCs w:val="36"/>
          <w:rtl/>
        </w:rPr>
        <w:t xml:space="preserve"> </w:t>
      </w:r>
      <w:r w:rsidRPr="00FD211F">
        <w:rPr>
          <w:sz w:val="36"/>
          <w:szCs w:val="36"/>
          <w:rtl/>
        </w:rPr>
        <w:t>بخلاف</w:t>
      </w:r>
      <w:r w:rsidR="00E8128F">
        <w:rPr>
          <w:sz w:val="36"/>
          <w:szCs w:val="36"/>
          <w:rtl/>
        </w:rPr>
        <w:t xml:space="preserve"> </w:t>
      </w:r>
      <w:r w:rsidRPr="00FD211F">
        <w:rPr>
          <w:sz w:val="36"/>
          <w:szCs w:val="36"/>
          <w:rtl/>
        </w:rPr>
        <w:t>القائم</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يصدق</w:t>
      </w:r>
      <w:r w:rsidR="00E8128F">
        <w:rPr>
          <w:sz w:val="36"/>
          <w:szCs w:val="36"/>
          <w:rtl/>
        </w:rPr>
        <w:t xml:space="preserve"> </w:t>
      </w:r>
      <w:r w:rsidRPr="00FD211F">
        <w:rPr>
          <w:sz w:val="36"/>
          <w:szCs w:val="36"/>
          <w:rtl/>
        </w:rPr>
        <w:t>على</w:t>
      </w:r>
      <w:r w:rsidR="00E8128F">
        <w:rPr>
          <w:sz w:val="36"/>
          <w:szCs w:val="36"/>
          <w:rtl/>
        </w:rPr>
        <w:t xml:space="preserve"> </w:t>
      </w:r>
      <w:r w:rsidR="002A755A" w:rsidRPr="00FD211F">
        <w:rPr>
          <w:sz w:val="36"/>
          <w:szCs w:val="36"/>
          <w:rtl/>
        </w:rPr>
        <w:t>ما</w:t>
      </w:r>
      <w:r w:rsidR="00E8128F">
        <w:rPr>
          <w:sz w:val="36"/>
          <w:szCs w:val="36"/>
          <w:rtl/>
        </w:rPr>
        <w:t xml:space="preserve"> </w:t>
      </w:r>
      <w:r w:rsidR="002A755A" w:rsidRPr="00FD211F">
        <w:rPr>
          <w:sz w:val="36"/>
          <w:szCs w:val="36"/>
          <w:rtl/>
        </w:rPr>
        <w:t>لو</w:t>
      </w:r>
      <w:r w:rsidR="00E8128F">
        <w:rPr>
          <w:sz w:val="36"/>
          <w:szCs w:val="36"/>
          <w:rtl/>
        </w:rPr>
        <w:t xml:space="preserve"> </w:t>
      </w:r>
      <w:r w:rsidR="002A755A" w:rsidRPr="00FD211F">
        <w:rPr>
          <w:sz w:val="36"/>
          <w:szCs w:val="36"/>
          <w:rtl/>
        </w:rPr>
        <w:t>فرض</w:t>
      </w:r>
      <w:r w:rsidR="00E8128F">
        <w:rPr>
          <w:sz w:val="36"/>
          <w:szCs w:val="36"/>
          <w:rtl/>
        </w:rPr>
        <w:t xml:space="preserve"> </w:t>
      </w:r>
      <w:r w:rsidR="002A755A" w:rsidRPr="00FD211F">
        <w:rPr>
          <w:sz w:val="36"/>
          <w:szCs w:val="36"/>
          <w:rtl/>
        </w:rPr>
        <w:t>تلبس</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بالقيام</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بدء</w:t>
      </w:r>
      <w:r w:rsidR="00E8128F">
        <w:rPr>
          <w:sz w:val="36"/>
          <w:szCs w:val="36"/>
          <w:rtl/>
        </w:rPr>
        <w:t xml:space="preserve"> </w:t>
      </w:r>
      <w:r w:rsidRPr="00FD211F">
        <w:rPr>
          <w:sz w:val="36"/>
          <w:szCs w:val="36"/>
          <w:rtl/>
        </w:rPr>
        <w:t>وجودها</w:t>
      </w:r>
      <w:r w:rsidR="00603323" w:rsidRPr="00FD211F">
        <w:rPr>
          <w:sz w:val="36"/>
          <w:szCs w:val="36"/>
          <w:rtl/>
        </w:rPr>
        <w:t>،</w:t>
      </w:r>
      <w:r w:rsidR="00E8128F">
        <w:rPr>
          <w:sz w:val="36"/>
          <w:szCs w:val="36"/>
          <w:rtl/>
        </w:rPr>
        <w:t xml:space="preserve"> </w:t>
      </w:r>
      <w:r w:rsidRPr="00FD211F">
        <w:rPr>
          <w:sz w:val="36"/>
          <w:szCs w:val="36"/>
          <w:rtl/>
        </w:rPr>
        <w:t>فلو</w:t>
      </w:r>
      <w:r w:rsidR="00E8128F">
        <w:rPr>
          <w:sz w:val="36"/>
          <w:szCs w:val="36"/>
          <w:rtl/>
        </w:rPr>
        <w:t xml:space="preserve"> </w:t>
      </w:r>
      <w:r w:rsidRPr="00FD211F">
        <w:rPr>
          <w:sz w:val="36"/>
          <w:szCs w:val="36"/>
          <w:rtl/>
        </w:rPr>
        <w:t>سلم</w:t>
      </w:r>
      <w:r w:rsidR="00E8128F">
        <w:rPr>
          <w:sz w:val="36"/>
          <w:szCs w:val="36"/>
          <w:rtl/>
        </w:rPr>
        <w:t xml:space="preserve"> </w:t>
      </w:r>
      <w:r w:rsidRPr="00FD211F">
        <w:rPr>
          <w:sz w:val="36"/>
          <w:szCs w:val="36"/>
          <w:rtl/>
        </w:rPr>
        <w:t>فلايتم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جمل</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ثبت</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القيام</w:t>
      </w:r>
      <w:r w:rsidR="00603323" w:rsidRPr="00FD211F">
        <w:rPr>
          <w:sz w:val="36"/>
          <w:szCs w:val="36"/>
          <w:rtl/>
        </w:rPr>
        <w:t>،</w:t>
      </w:r>
      <w:r w:rsidR="00C774D9" w:rsidRPr="00FD211F">
        <w:rPr>
          <w:sz w:val="36"/>
          <w:szCs w:val="36"/>
          <w:rtl/>
        </w:rPr>
        <w:t>.</w:t>
      </w:r>
    </w:p>
    <w:p w14:paraId="69077DB8" w14:textId="77777777" w:rsidR="0069182D" w:rsidRPr="00FD211F" w:rsidRDefault="00014111" w:rsidP="009C58C8">
      <w:pPr>
        <w:ind w:left="0" w:firstLine="227"/>
        <w:jc w:val="both"/>
        <w:rPr>
          <w:sz w:val="36"/>
          <w:szCs w:val="36"/>
          <w:rtl/>
        </w:rPr>
      </w:pPr>
      <w:r w:rsidRPr="00FD211F">
        <w:rPr>
          <w:b/>
          <w:bCs/>
          <w:sz w:val="36"/>
          <w:szCs w:val="36"/>
          <w:rtl/>
        </w:rPr>
        <w:t>الوجه</w:t>
      </w:r>
      <w:r w:rsidR="00E8128F">
        <w:rPr>
          <w:b/>
          <w:bCs/>
          <w:sz w:val="36"/>
          <w:szCs w:val="36"/>
          <w:rtl/>
        </w:rPr>
        <w:t xml:space="preserve"> </w:t>
      </w:r>
      <w:r w:rsidRPr="00FD211F">
        <w:rPr>
          <w:b/>
          <w:bCs/>
          <w:sz w:val="36"/>
          <w:szCs w:val="36"/>
          <w:rtl/>
        </w:rPr>
        <w:t>الثاني</w:t>
      </w:r>
      <w:r w:rsidR="00856647" w:rsidRPr="00FD211F">
        <w:rPr>
          <w:b/>
          <w:bCs/>
          <w:sz w:val="36"/>
          <w:szCs w:val="36"/>
          <w:rtl/>
        </w:rPr>
        <w:t>:</w:t>
      </w:r>
      <w:r w:rsidR="00E8128F">
        <w:rPr>
          <w:sz w:val="36"/>
          <w:szCs w:val="36"/>
          <w:rtl/>
        </w:rPr>
        <w:t xml:space="preserve"> </w:t>
      </w:r>
      <w:r w:rsidR="00793654" w:rsidRPr="00FD211F">
        <w:rPr>
          <w:sz w:val="36"/>
          <w:szCs w:val="36"/>
          <w:rtl/>
        </w:rPr>
        <w:t>ما</w:t>
      </w:r>
      <w:r w:rsidR="00E8128F">
        <w:rPr>
          <w:sz w:val="36"/>
          <w:szCs w:val="36"/>
          <w:rtl/>
        </w:rPr>
        <w:t xml:space="preserve"> </w:t>
      </w:r>
      <w:r w:rsidR="0075755A" w:rsidRPr="00FD211F">
        <w:rPr>
          <w:sz w:val="36"/>
          <w:szCs w:val="36"/>
          <w:rtl/>
        </w:rPr>
        <w:t>حكي</w:t>
      </w:r>
      <w:r w:rsidR="00E8128F">
        <w:rPr>
          <w:sz w:val="36"/>
          <w:szCs w:val="36"/>
          <w:rtl/>
        </w:rPr>
        <w:t xml:space="preserve"> </w:t>
      </w:r>
      <w:r w:rsidR="0075755A" w:rsidRPr="00FD211F">
        <w:rPr>
          <w:sz w:val="36"/>
          <w:szCs w:val="36"/>
          <w:rtl/>
        </w:rPr>
        <w:t>عن</w:t>
      </w:r>
      <w:r w:rsidR="00E8128F">
        <w:rPr>
          <w:sz w:val="36"/>
          <w:szCs w:val="36"/>
          <w:rtl/>
        </w:rPr>
        <w:t xml:space="preserve"> </w:t>
      </w:r>
      <w:r w:rsidR="002A755A" w:rsidRPr="00FD211F">
        <w:rPr>
          <w:sz w:val="36"/>
          <w:szCs w:val="36"/>
          <w:rtl/>
        </w:rPr>
        <w:t>السيد</w:t>
      </w:r>
      <w:r w:rsidR="00E8128F">
        <w:rPr>
          <w:sz w:val="36"/>
          <w:szCs w:val="36"/>
          <w:rtl/>
        </w:rPr>
        <w:t xml:space="preserve"> </w:t>
      </w:r>
      <w:r w:rsidR="002A755A" w:rsidRPr="00FD211F">
        <w:rPr>
          <w:sz w:val="36"/>
          <w:szCs w:val="36"/>
          <w:rtl/>
        </w:rPr>
        <w:t>الخوئي</w:t>
      </w:r>
      <w:r w:rsidR="00E8128F">
        <w:rPr>
          <w:sz w:val="36"/>
          <w:szCs w:val="36"/>
          <w:rtl/>
        </w:rPr>
        <w:t xml:space="preserve"> </w:t>
      </w:r>
      <w:r w:rsidR="008341E4" w:rsidRPr="00FD211F">
        <w:rPr>
          <w:sz w:val="36"/>
          <w:szCs w:val="36"/>
          <w:rtl/>
        </w:rPr>
        <w:t>"</w:t>
      </w:r>
      <w:r w:rsidR="002A755A" w:rsidRPr="00FD211F">
        <w:rPr>
          <w:sz w:val="36"/>
          <w:szCs w:val="36"/>
          <w:rtl/>
        </w:rPr>
        <w:t>قده</w:t>
      </w:r>
      <w:r w:rsidR="008341E4" w:rsidRPr="00FD211F">
        <w:rPr>
          <w:sz w:val="36"/>
          <w:szCs w:val="36"/>
          <w:rtl/>
        </w:rPr>
        <w:t>"</w:t>
      </w:r>
      <w:r w:rsidR="00E8128F">
        <w:rPr>
          <w:sz w:val="36"/>
          <w:szCs w:val="36"/>
          <w:rtl/>
        </w:rPr>
        <w:t xml:space="preserve"> </w:t>
      </w:r>
      <w:r w:rsidR="00793654" w:rsidRPr="00FD211F">
        <w:rPr>
          <w:sz w:val="36"/>
          <w:szCs w:val="36"/>
          <w:rtl/>
        </w:rPr>
        <w:t>من</w:t>
      </w:r>
      <w:r w:rsidR="00E8128F">
        <w:rPr>
          <w:sz w:val="36"/>
          <w:szCs w:val="36"/>
          <w:rtl/>
        </w:rPr>
        <w:t xml:space="preserve"> </w:t>
      </w:r>
      <w:r w:rsidR="00793654" w:rsidRPr="00FD211F">
        <w:rPr>
          <w:sz w:val="36"/>
          <w:szCs w:val="36"/>
          <w:rtl/>
        </w:rPr>
        <w:t>انا</w:t>
      </w:r>
      <w:r w:rsidR="00E8128F">
        <w:rPr>
          <w:sz w:val="36"/>
          <w:szCs w:val="36"/>
          <w:rtl/>
        </w:rPr>
        <w:t xml:space="preserve"> </w:t>
      </w:r>
      <w:r w:rsidR="00793654" w:rsidRPr="00FD211F">
        <w:rPr>
          <w:sz w:val="36"/>
          <w:szCs w:val="36"/>
          <w:rtl/>
        </w:rPr>
        <w:t>لو</w:t>
      </w:r>
      <w:r w:rsidR="00E8128F">
        <w:rPr>
          <w:sz w:val="36"/>
          <w:szCs w:val="36"/>
          <w:rtl/>
        </w:rPr>
        <w:t xml:space="preserve"> </w:t>
      </w:r>
      <w:r w:rsidR="00793654" w:rsidRPr="00FD211F">
        <w:rPr>
          <w:sz w:val="36"/>
          <w:szCs w:val="36"/>
          <w:rtl/>
        </w:rPr>
        <w:t>سلمنا</w:t>
      </w:r>
      <w:r w:rsidR="00E8128F">
        <w:rPr>
          <w:sz w:val="36"/>
          <w:szCs w:val="36"/>
          <w:rtl/>
        </w:rPr>
        <w:t xml:space="preserve"> </w:t>
      </w:r>
      <w:r w:rsidR="00793654" w:rsidRPr="00FD211F">
        <w:rPr>
          <w:sz w:val="36"/>
          <w:szCs w:val="36"/>
          <w:rtl/>
        </w:rPr>
        <w:t>عدم</w:t>
      </w:r>
      <w:r w:rsidR="00E8128F">
        <w:rPr>
          <w:sz w:val="36"/>
          <w:szCs w:val="36"/>
          <w:rtl/>
        </w:rPr>
        <w:t xml:space="preserve"> </w:t>
      </w:r>
      <w:r w:rsidR="00793654" w:rsidRPr="00FD211F">
        <w:rPr>
          <w:sz w:val="36"/>
          <w:szCs w:val="36"/>
          <w:rtl/>
        </w:rPr>
        <w:t>تصوير</w:t>
      </w:r>
      <w:r w:rsidR="00E8128F">
        <w:rPr>
          <w:sz w:val="36"/>
          <w:szCs w:val="36"/>
          <w:rtl/>
        </w:rPr>
        <w:t xml:space="preserve"> </w:t>
      </w:r>
      <w:r w:rsidR="00793654" w:rsidRPr="00FD211F">
        <w:rPr>
          <w:sz w:val="36"/>
          <w:szCs w:val="36"/>
          <w:rtl/>
        </w:rPr>
        <w:t>جامع</w:t>
      </w:r>
      <w:r w:rsidR="00E8128F">
        <w:rPr>
          <w:sz w:val="36"/>
          <w:szCs w:val="36"/>
          <w:rtl/>
        </w:rPr>
        <w:t xml:space="preserve"> </w:t>
      </w:r>
      <w:r w:rsidR="00793654" w:rsidRPr="00FD211F">
        <w:rPr>
          <w:sz w:val="36"/>
          <w:szCs w:val="36"/>
          <w:rtl/>
        </w:rPr>
        <w:t>حقيقي</w:t>
      </w:r>
      <w:r w:rsidR="00E8128F">
        <w:rPr>
          <w:sz w:val="36"/>
          <w:szCs w:val="36"/>
          <w:rtl/>
        </w:rPr>
        <w:t xml:space="preserve"> </w:t>
      </w:r>
      <w:r w:rsidR="00793654" w:rsidRPr="00FD211F">
        <w:rPr>
          <w:sz w:val="36"/>
          <w:szCs w:val="36"/>
          <w:rtl/>
        </w:rPr>
        <w:t>بين</w:t>
      </w:r>
      <w:r w:rsidR="00E8128F">
        <w:rPr>
          <w:sz w:val="36"/>
          <w:szCs w:val="36"/>
          <w:rtl/>
        </w:rPr>
        <w:t xml:space="preserve"> </w:t>
      </w:r>
      <w:r w:rsidR="00793654" w:rsidRPr="00FD211F">
        <w:rPr>
          <w:sz w:val="36"/>
          <w:szCs w:val="36"/>
          <w:rtl/>
        </w:rPr>
        <w:t>المتلبس</w:t>
      </w:r>
      <w:r w:rsidR="00E8128F">
        <w:rPr>
          <w:sz w:val="36"/>
          <w:szCs w:val="36"/>
          <w:rtl/>
        </w:rPr>
        <w:t xml:space="preserve"> </w:t>
      </w:r>
      <w:r w:rsidR="00793654" w:rsidRPr="00FD211F">
        <w:rPr>
          <w:sz w:val="36"/>
          <w:szCs w:val="36"/>
          <w:rtl/>
        </w:rPr>
        <w:t>بال</w:t>
      </w:r>
      <w:r w:rsidR="0079493B" w:rsidRPr="00FD211F">
        <w:rPr>
          <w:sz w:val="36"/>
          <w:szCs w:val="36"/>
          <w:rtl/>
        </w:rPr>
        <w:t>مبدأ</w:t>
      </w:r>
      <w:r w:rsidR="00E8128F">
        <w:rPr>
          <w:sz w:val="36"/>
          <w:szCs w:val="36"/>
          <w:rtl/>
        </w:rPr>
        <w:t xml:space="preserve"> </w:t>
      </w:r>
      <w:r w:rsidR="00793654" w:rsidRPr="00FD211F">
        <w:rPr>
          <w:sz w:val="36"/>
          <w:szCs w:val="36"/>
          <w:rtl/>
        </w:rPr>
        <w:t>وما</w:t>
      </w:r>
      <w:r w:rsidR="00E8128F">
        <w:rPr>
          <w:sz w:val="36"/>
          <w:szCs w:val="36"/>
          <w:rtl/>
        </w:rPr>
        <w:t xml:space="preserve"> </w:t>
      </w:r>
      <w:r w:rsidR="00793654" w:rsidRPr="00FD211F">
        <w:rPr>
          <w:sz w:val="36"/>
          <w:szCs w:val="36"/>
          <w:rtl/>
        </w:rPr>
        <w:t>انقضى</w:t>
      </w:r>
      <w:r w:rsidR="00E8128F">
        <w:rPr>
          <w:sz w:val="36"/>
          <w:szCs w:val="36"/>
          <w:rtl/>
        </w:rPr>
        <w:t xml:space="preserve"> </w:t>
      </w:r>
      <w:r w:rsidR="00793654" w:rsidRPr="00FD211F">
        <w:rPr>
          <w:sz w:val="36"/>
          <w:szCs w:val="36"/>
          <w:rtl/>
        </w:rPr>
        <w:t>عنه</w:t>
      </w:r>
      <w:r w:rsidR="00E8128F">
        <w:rPr>
          <w:sz w:val="36"/>
          <w:szCs w:val="36"/>
          <w:rtl/>
        </w:rPr>
        <w:t xml:space="preserve"> </w:t>
      </w:r>
      <w:r w:rsidR="00793654" w:rsidRPr="00FD211F">
        <w:rPr>
          <w:sz w:val="36"/>
          <w:szCs w:val="36"/>
          <w:rtl/>
        </w:rPr>
        <w:t>ال</w:t>
      </w:r>
      <w:r w:rsidR="0079493B" w:rsidRPr="00FD211F">
        <w:rPr>
          <w:sz w:val="36"/>
          <w:szCs w:val="36"/>
          <w:rtl/>
        </w:rPr>
        <w:t>مبدأ</w:t>
      </w:r>
      <w:r w:rsidR="00E8128F">
        <w:rPr>
          <w:sz w:val="36"/>
          <w:szCs w:val="36"/>
          <w:rtl/>
        </w:rPr>
        <w:t xml:space="preserve"> </w:t>
      </w:r>
      <w:r w:rsidR="00793654" w:rsidRPr="00FD211F">
        <w:rPr>
          <w:sz w:val="36"/>
          <w:szCs w:val="36"/>
          <w:rtl/>
        </w:rPr>
        <w:t>فالجامع</w:t>
      </w:r>
      <w:r w:rsidR="00E8128F">
        <w:rPr>
          <w:sz w:val="36"/>
          <w:szCs w:val="36"/>
          <w:rtl/>
        </w:rPr>
        <w:t xml:space="preserve"> </w:t>
      </w:r>
      <w:r w:rsidR="00793654" w:rsidRPr="00FD211F">
        <w:rPr>
          <w:sz w:val="36"/>
          <w:szCs w:val="36"/>
          <w:rtl/>
        </w:rPr>
        <w:t>الانتزاعي</w:t>
      </w:r>
      <w:r w:rsidR="00E8128F">
        <w:rPr>
          <w:sz w:val="36"/>
          <w:szCs w:val="36"/>
          <w:rtl/>
        </w:rPr>
        <w:t xml:space="preserve"> </w:t>
      </w:r>
      <w:r w:rsidR="00793654" w:rsidRPr="00FD211F">
        <w:rPr>
          <w:sz w:val="36"/>
          <w:szCs w:val="36"/>
          <w:rtl/>
        </w:rPr>
        <w:t>ممكن</w:t>
      </w:r>
      <w:r w:rsidR="00E8128F">
        <w:rPr>
          <w:sz w:val="36"/>
          <w:szCs w:val="36"/>
          <w:rtl/>
        </w:rPr>
        <w:t xml:space="preserve"> </w:t>
      </w:r>
      <w:r w:rsidR="00793654" w:rsidRPr="00FD211F">
        <w:rPr>
          <w:sz w:val="36"/>
          <w:szCs w:val="36"/>
          <w:rtl/>
        </w:rPr>
        <w:t>وه</w:t>
      </w:r>
      <w:r w:rsidR="00A635E9" w:rsidRPr="00FD211F">
        <w:rPr>
          <w:sz w:val="36"/>
          <w:szCs w:val="36"/>
          <w:rtl/>
        </w:rPr>
        <w:t>و</w:t>
      </w:r>
      <w:r w:rsidR="00E8128F">
        <w:rPr>
          <w:sz w:val="36"/>
          <w:szCs w:val="36"/>
          <w:rtl/>
        </w:rPr>
        <w:t xml:space="preserve"> </w:t>
      </w:r>
      <w:r w:rsidR="00A635E9" w:rsidRPr="00FD211F">
        <w:rPr>
          <w:sz w:val="36"/>
          <w:szCs w:val="36"/>
          <w:rtl/>
        </w:rPr>
        <w:t>عنوان</w:t>
      </w:r>
      <w:r w:rsidR="00E8128F">
        <w:rPr>
          <w:sz w:val="36"/>
          <w:szCs w:val="36"/>
          <w:rtl/>
        </w:rPr>
        <w:t xml:space="preserve"> </w:t>
      </w:r>
      <w:r w:rsidR="00A635E9" w:rsidRPr="00FD211F">
        <w:rPr>
          <w:sz w:val="36"/>
          <w:szCs w:val="36"/>
          <w:rtl/>
        </w:rPr>
        <w:t>احدهما</w:t>
      </w:r>
      <w:r w:rsidR="00603323" w:rsidRPr="00FD211F">
        <w:rPr>
          <w:sz w:val="36"/>
          <w:szCs w:val="36"/>
          <w:rtl/>
        </w:rPr>
        <w:t>،</w:t>
      </w:r>
      <w:r w:rsidR="00E8128F">
        <w:rPr>
          <w:sz w:val="36"/>
          <w:szCs w:val="36"/>
          <w:rtl/>
        </w:rPr>
        <w:t xml:space="preserve"> </w:t>
      </w:r>
      <w:r w:rsidR="00A635E9" w:rsidRPr="00FD211F">
        <w:rPr>
          <w:sz w:val="36"/>
          <w:szCs w:val="36"/>
          <w:rtl/>
        </w:rPr>
        <w:t>فللواضع</w:t>
      </w:r>
      <w:r w:rsidR="00E8128F">
        <w:rPr>
          <w:sz w:val="36"/>
          <w:szCs w:val="36"/>
          <w:rtl/>
        </w:rPr>
        <w:t xml:space="preserve"> </w:t>
      </w:r>
      <w:r w:rsidR="00A635E9" w:rsidRPr="00FD211F">
        <w:rPr>
          <w:sz w:val="36"/>
          <w:szCs w:val="36"/>
          <w:rtl/>
        </w:rPr>
        <w:t>ان</w:t>
      </w:r>
      <w:r w:rsidR="00E8128F">
        <w:rPr>
          <w:sz w:val="36"/>
          <w:szCs w:val="36"/>
          <w:rtl/>
        </w:rPr>
        <w:t xml:space="preserve"> </w:t>
      </w:r>
      <w:r w:rsidR="00A635E9" w:rsidRPr="00FD211F">
        <w:rPr>
          <w:sz w:val="36"/>
          <w:szCs w:val="36"/>
          <w:rtl/>
        </w:rPr>
        <w:t>يتصور</w:t>
      </w:r>
      <w:r w:rsidR="00E8128F">
        <w:rPr>
          <w:sz w:val="36"/>
          <w:szCs w:val="36"/>
          <w:rtl/>
        </w:rPr>
        <w:t xml:space="preserve"> </w:t>
      </w:r>
      <w:r w:rsidR="00AA2962" w:rsidRPr="00FD211F">
        <w:rPr>
          <w:sz w:val="36"/>
          <w:szCs w:val="36"/>
          <w:rtl/>
        </w:rPr>
        <w:t>الذات</w:t>
      </w:r>
      <w:r w:rsidR="00E8128F">
        <w:rPr>
          <w:sz w:val="36"/>
          <w:szCs w:val="36"/>
          <w:rtl/>
        </w:rPr>
        <w:t xml:space="preserve"> </w:t>
      </w:r>
      <w:r w:rsidR="00AA2962" w:rsidRPr="00FD211F">
        <w:rPr>
          <w:sz w:val="36"/>
          <w:szCs w:val="36"/>
          <w:rtl/>
        </w:rPr>
        <w:t>المتلبس</w:t>
      </w:r>
      <w:r w:rsidR="00EC7EDF" w:rsidRPr="00FD211F">
        <w:rPr>
          <w:sz w:val="36"/>
          <w:szCs w:val="36"/>
          <w:rtl/>
        </w:rPr>
        <w:t>ة</w:t>
      </w:r>
      <w:r w:rsidR="00E8128F">
        <w:rPr>
          <w:sz w:val="36"/>
          <w:szCs w:val="36"/>
          <w:rtl/>
        </w:rPr>
        <w:t xml:space="preserve"> </w:t>
      </w:r>
      <w:r w:rsidR="00AA2962" w:rsidRPr="00FD211F">
        <w:rPr>
          <w:sz w:val="36"/>
          <w:szCs w:val="36"/>
          <w:rtl/>
        </w:rPr>
        <w:t>بالقيام</w:t>
      </w:r>
      <w:r w:rsidR="00E8128F">
        <w:rPr>
          <w:sz w:val="36"/>
          <w:szCs w:val="36"/>
          <w:rtl/>
        </w:rPr>
        <w:t xml:space="preserve"> </w:t>
      </w:r>
      <w:r w:rsidR="00AA2962" w:rsidRPr="00FD211F">
        <w:rPr>
          <w:sz w:val="36"/>
          <w:szCs w:val="36"/>
          <w:rtl/>
        </w:rPr>
        <w:t>والذات</w:t>
      </w:r>
      <w:r w:rsidR="00E8128F">
        <w:rPr>
          <w:sz w:val="36"/>
          <w:szCs w:val="36"/>
          <w:rtl/>
        </w:rPr>
        <w:t xml:space="preserve"> </w:t>
      </w:r>
      <w:r w:rsidR="00AA2962" w:rsidRPr="00FD211F">
        <w:rPr>
          <w:sz w:val="36"/>
          <w:szCs w:val="36"/>
          <w:rtl/>
        </w:rPr>
        <w:t>التي</w:t>
      </w:r>
      <w:r w:rsidR="00E8128F">
        <w:rPr>
          <w:sz w:val="36"/>
          <w:szCs w:val="36"/>
          <w:rtl/>
        </w:rPr>
        <w:t xml:space="preserve"> </w:t>
      </w:r>
      <w:r w:rsidR="00AA2962" w:rsidRPr="00FD211F">
        <w:rPr>
          <w:sz w:val="36"/>
          <w:szCs w:val="36"/>
          <w:rtl/>
        </w:rPr>
        <w:t>انقضى</w:t>
      </w:r>
      <w:r w:rsidR="00E8128F">
        <w:rPr>
          <w:sz w:val="36"/>
          <w:szCs w:val="36"/>
          <w:rtl/>
        </w:rPr>
        <w:t xml:space="preserve"> </w:t>
      </w:r>
      <w:r w:rsidR="00AA2962" w:rsidRPr="00FD211F">
        <w:rPr>
          <w:sz w:val="36"/>
          <w:szCs w:val="36"/>
          <w:rtl/>
        </w:rPr>
        <w:t>عنها</w:t>
      </w:r>
      <w:r w:rsidR="00E8128F">
        <w:rPr>
          <w:sz w:val="36"/>
          <w:szCs w:val="36"/>
          <w:rtl/>
        </w:rPr>
        <w:t xml:space="preserve"> </w:t>
      </w:r>
      <w:r w:rsidR="00AA2962" w:rsidRPr="00FD211F">
        <w:rPr>
          <w:sz w:val="36"/>
          <w:szCs w:val="36"/>
          <w:rtl/>
        </w:rPr>
        <w:t>التلبس</w:t>
      </w:r>
      <w:r w:rsidR="00E8128F">
        <w:rPr>
          <w:sz w:val="36"/>
          <w:szCs w:val="36"/>
          <w:rtl/>
        </w:rPr>
        <w:t xml:space="preserve"> </w:t>
      </w:r>
      <w:r w:rsidR="00AA2962" w:rsidRPr="00FD211F">
        <w:rPr>
          <w:sz w:val="36"/>
          <w:szCs w:val="36"/>
          <w:rtl/>
        </w:rPr>
        <w:t>بالقيام</w:t>
      </w:r>
      <w:r w:rsidR="00E8128F">
        <w:rPr>
          <w:sz w:val="36"/>
          <w:szCs w:val="36"/>
          <w:rtl/>
        </w:rPr>
        <w:t xml:space="preserve"> </w:t>
      </w:r>
      <w:r w:rsidR="00A635E9" w:rsidRPr="00FD211F">
        <w:rPr>
          <w:sz w:val="36"/>
          <w:szCs w:val="36"/>
          <w:rtl/>
        </w:rPr>
        <w:t>ثم</w:t>
      </w:r>
      <w:r w:rsidR="00E8128F">
        <w:rPr>
          <w:sz w:val="36"/>
          <w:szCs w:val="36"/>
          <w:rtl/>
        </w:rPr>
        <w:t xml:space="preserve"> </w:t>
      </w:r>
      <w:r w:rsidR="00A635E9" w:rsidRPr="00FD211F">
        <w:rPr>
          <w:sz w:val="36"/>
          <w:szCs w:val="36"/>
          <w:rtl/>
        </w:rPr>
        <w:t>يتعهد</w:t>
      </w:r>
      <w:r w:rsidR="00E8128F">
        <w:rPr>
          <w:sz w:val="36"/>
          <w:szCs w:val="36"/>
          <w:rtl/>
        </w:rPr>
        <w:t xml:space="preserve"> </w:t>
      </w:r>
      <w:r w:rsidR="00A635E9" w:rsidRPr="00FD211F">
        <w:rPr>
          <w:sz w:val="36"/>
          <w:szCs w:val="36"/>
          <w:rtl/>
        </w:rPr>
        <w:t>بانه</w:t>
      </w:r>
      <w:r w:rsidR="00E8128F">
        <w:rPr>
          <w:sz w:val="36"/>
          <w:szCs w:val="36"/>
          <w:rtl/>
        </w:rPr>
        <w:t xml:space="preserve"> </w:t>
      </w:r>
      <w:r w:rsidR="00A635E9" w:rsidRPr="00FD211F">
        <w:rPr>
          <w:sz w:val="36"/>
          <w:szCs w:val="36"/>
          <w:rtl/>
        </w:rPr>
        <w:t>متى</w:t>
      </w:r>
      <w:r w:rsidR="00E8128F">
        <w:rPr>
          <w:sz w:val="36"/>
          <w:szCs w:val="36"/>
          <w:rtl/>
        </w:rPr>
        <w:t xml:space="preserve"> </w:t>
      </w:r>
      <w:r w:rsidR="00A635E9" w:rsidRPr="00FD211F">
        <w:rPr>
          <w:sz w:val="36"/>
          <w:szCs w:val="36"/>
          <w:rtl/>
        </w:rPr>
        <w:t>قصد</w:t>
      </w:r>
      <w:r w:rsidR="00E8128F">
        <w:rPr>
          <w:sz w:val="36"/>
          <w:szCs w:val="36"/>
          <w:rtl/>
        </w:rPr>
        <w:t xml:space="preserve"> </w:t>
      </w:r>
      <w:r w:rsidR="00A635E9" w:rsidRPr="00FD211F">
        <w:rPr>
          <w:sz w:val="36"/>
          <w:szCs w:val="36"/>
          <w:rtl/>
        </w:rPr>
        <w:t>تفهيم</w:t>
      </w:r>
      <w:r w:rsidR="00E8128F">
        <w:rPr>
          <w:sz w:val="36"/>
          <w:szCs w:val="36"/>
          <w:rtl/>
        </w:rPr>
        <w:t xml:space="preserve"> </w:t>
      </w:r>
      <w:r w:rsidR="00A635E9" w:rsidRPr="00FD211F">
        <w:rPr>
          <w:sz w:val="36"/>
          <w:szCs w:val="36"/>
          <w:rtl/>
        </w:rPr>
        <w:t>احد</w:t>
      </w:r>
      <w:r w:rsidR="00AA2962" w:rsidRPr="00FD211F">
        <w:rPr>
          <w:sz w:val="36"/>
          <w:szCs w:val="36"/>
          <w:rtl/>
        </w:rPr>
        <w:t>ي</w:t>
      </w:r>
      <w:r w:rsidR="00A635E9" w:rsidRPr="00FD211F">
        <w:rPr>
          <w:sz w:val="36"/>
          <w:szCs w:val="36"/>
          <w:rtl/>
        </w:rPr>
        <w:t>هما</w:t>
      </w:r>
      <w:r w:rsidR="00E8128F">
        <w:rPr>
          <w:sz w:val="36"/>
          <w:szCs w:val="36"/>
          <w:rtl/>
        </w:rPr>
        <w:t xml:space="preserve"> </w:t>
      </w:r>
      <w:r w:rsidR="0069182D" w:rsidRPr="00FD211F">
        <w:rPr>
          <w:sz w:val="36"/>
          <w:szCs w:val="36"/>
          <w:rtl/>
        </w:rPr>
        <w:t>يتلفظ</w:t>
      </w:r>
      <w:r w:rsidR="00E8128F">
        <w:rPr>
          <w:sz w:val="36"/>
          <w:szCs w:val="36"/>
          <w:rtl/>
        </w:rPr>
        <w:t xml:space="preserve"> </w:t>
      </w:r>
      <w:r w:rsidR="0069182D" w:rsidRPr="00FD211F">
        <w:rPr>
          <w:sz w:val="36"/>
          <w:szCs w:val="36"/>
          <w:rtl/>
        </w:rPr>
        <w:t>بكلم</w:t>
      </w:r>
      <w:r w:rsidR="00EC7EDF" w:rsidRPr="00FD211F">
        <w:rPr>
          <w:sz w:val="36"/>
          <w:szCs w:val="36"/>
          <w:rtl/>
        </w:rPr>
        <w:t>ة</w:t>
      </w:r>
      <w:r w:rsidR="00E8128F">
        <w:rPr>
          <w:sz w:val="36"/>
          <w:szCs w:val="36"/>
          <w:rtl/>
        </w:rPr>
        <w:t xml:space="preserve"> </w:t>
      </w:r>
      <w:r w:rsidR="0069182D" w:rsidRPr="00FD211F">
        <w:rPr>
          <w:sz w:val="36"/>
          <w:szCs w:val="36"/>
          <w:rtl/>
        </w:rPr>
        <w:t>القائم</w:t>
      </w:r>
      <w:r w:rsidR="009C58C8" w:rsidRPr="00FD211F">
        <w:rPr>
          <w:rStyle w:val="a6"/>
          <w:sz w:val="36"/>
          <w:szCs w:val="36"/>
          <w:rtl/>
        </w:rPr>
        <w:t>(</w:t>
      </w:r>
      <w:r w:rsidR="009C58C8" w:rsidRPr="00FD211F">
        <w:rPr>
          <w:rStyle w:val="a6"/>
          <w:sz w:val="36"/>
          <w:szCs w:val="36"/>
          <w:rtl/>
        </w:rPr>
        <w:footnoteReference w:id="548"/>
      </w:r>
      <w:r w:rsidR="009C58C8" w:rsidRPr="00FD211F">
        <w:rPr>
          <w:rStyle w:val="a6"/>
          <w:sz w:val="36"/>
          <w:szCs w:val="36"/>
          <w:rtl/>
        </w:rPr>
        <w:t>)</w:t>
      </w:r>
      <w:r w:rsidR="0069182D" w:rsidRPr="00FD211F">
        <w:rPr>
          <w:sz w:val="36"/>
          <w:szCs w:val="36"/>
          <w:rtl/>
        </w:rPr>
        <w:t>.</w:t>
      </w:r>
    </w:p>
    <w:p w14:paraId="5F6EEEA2" w14:textId="77777777" w:rsidR="00270A6B" w:rsidRPr="00FD211F" w:rsidRDefault="00A635E9" w:rsidP="009C58C8">
      <w:pPr>
        <w:ind w:left="0" w:firstLine="227"/>
        <w:jc w:val="both"/>
        <w:rPr>
          <w:sz w:val="36"/>
          <w:szCs w:val="36"/>
          <w:rtl/>
        </w:rPr>
      </w:pPr>
      <w:r w:rsidRPr="00FD211F">
        <w:rPr>
          <w:sz w:val="36"/>
          <w:szCs w:val="36"/>
          <w:rtl/>
        </w:rPr>
        <w:t>اقول</w:t>
      </w:r>
      <w:r w:rsidR="0069182D" w:rsidRPr="00FD211F">
        <w:rPr>
          <w:sz w:val="36"/>
          <w:szCs w:val="36"/>
          <w:rtl/>
        </w:rPr>
        <w:t>:</w:t>
      </w:r>
      <w:r w:rsidR="00E8128F">
        <w:rPr>
          <w:sz w:val="36"/>
          <w:szCs w:val="36"/>
          <w:rtl/>
        </w:rPr>
        <w:t xml:space="preserve"> </w:t>
      </w:r>
      <w:r w:rsidR="0069182D" w:rsidRPr="00FD211F">
        <w:rPr>
          <w:sz w:val="36"/>
          <w:szCs w:val="36"/>
          <w:rtl/>
        </w:rPr>
        <w:t>ان</w:t>
      </w:r>
      <w:r w:rsidR="00E8128F">
        <w:rPr>
          <w:sz w:val="36"/>
          <w:szCs w:val="36"/>
          <w:rtl/>
        </w:rPr>
        <w:t xml:space="preserve"> </w:t>
      </w:r>
      <w:r w:rsidR="0069182D" w:rsidRPr="00FD211F">
        <w:rPr>
          <w:sz w:val="36"/>
          <w:szCs w:val="36"/>
          <w:rtl/>
        </w:rPr>
        <w:t>كان</w:t>
      </w:r>
      <w:r w:rsidR="00E8128F">
        <w:rPr>
          <w:sz w:val="36"/>
          <w:szCs w:val="36"/>
          <w:rtl/>
        </w:rPr>
        <w:t xml:space="preserve"> </w:t>
      </w:r>
      <w:r w:rsidR="0069182D" w:rsidRPr="00FD211F">
        <w:rPr>
          <w:sz w:val="36"/>
          <w:szCs w:val="36"/>
          <w:rtl/>
        </w:rPr>
        <w:t>مقصوده</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لعله</w:t>
      </w:r>
      <w:r w:rsidR="00E8128F">
        <w:rPr>
          <w:sz w:val="36"/>
          <w:szCs w:val="36"/>
          <w:rtl/>
        </w:rPr>
        <w:t xml:space="preserve"> </w:t>
      </w:r>
      <w:r w:rsidRPr="00FD211F">
        <w:rPr>
          <w:sz w:val="36"/>
          <w:szCs w:val="36"/>
          <w:rtl/>
        </w:rPr>
        <w:t>يظهر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ذيل</w:t>
      </w:r>
      <w:r w:rsidR="00E8128F">
        <w:rPr>
          <w:sz w:val="36"/>
          <w:szCs w:val="36"/>
          <w:rtl/>
        </w:rPr>
        <w:t xml:space="preserve"> </w:t>
      </w:r>
      <w:r w:rsidRPr="00FD211F">
        <w:rPr>
          <w:sz w:val="36"/>
          <w:szCs w:val="36"/>
          <w:rtl/>
        </w:rPr>
        <w:t>كلامه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0069182D" w:rsidRPr="00FD211F">
        <w:rPr>
          <w:sz w:val="36"/>
          <w:szCs w:val="36"/>
          <w:rtl/>
        </w:rPr>
        <w:t>الواضع</w:t>
      </w:r>
      <w:r w:rsidR="00E8128F">
        <w:rPr>
          <w:sz w:val="36"/>
          <w:szCs w:val="36"/>
          <w:rtl/>
        </w:rPr>
        <w:t xml:space="preserve"> </w:t>
      </w:r>
      <w:r w:rsidRPr="00FD211F">
        <w:rPr>
          <w:sz w:val="36"/>
          <w:szCs w:val="36"/>
          <w:rtl/>
        </w:rPr>
        <w:t>يتعهد</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متى</w:t>
      </w:r>
      <w:r w:rsidR="00E8128F">
        <w:rPr>
          <w:sz w:val="36"/>
          <w:szCs w:val="36"/>
          <w:rtl/>
        </w:rPr>
        <w:t xml:space="preserve"> </w:t>
      </w:r>
      <w:r w:rsidRPr="00FD211F">
        <w:rPr>
          <w:sz w:val="36"/>
          <w:szCs w:val="36"/>
          <w:rtl/>
        </w:rPr>
        <w:t>اراد</w:t>
      </w:r>
      <w:r w:rsidR="00E8128F">
        <w:rPr>
          <w:sz w:val="36"/>
          <w:szCs w:val="36"/>
          <w:rtl/>
        </w:rPr>
        <w:t xml:space="preserve"> </w:t>
      </w:r>
      <w:r w:rsidRPr="00FD211F">
        <w:rPr>
          <w:sz w:val="36"/>
          <w:szCs w:val="36"/>
          <w:rtl/>
        </w:rPr>
        <w:t>تفهيم</w:t>
      </w:r>
      <w:r w:rsidR="00E8128F">
        <w:rPr>
          <w:sz w:val="36"/>
          <w:szCs w:val="36"/>
          <w:rtl/>
        </w:rPr>
        <w:t xml:space="preserve"> </w:t>
      </w:r>
      <w:r w:rsidRPr="00FD211F">
        <w:rPr>
          <w:sz w:val="36"/>
          <w:szCs w:val="36"/>
          <w:rtl/>
        </w:rPr>
        <w:t>واقع</w:t>
      </w:r>
      <w:r w:rsidR="00E8128F">
        <w:rPr>
          <w:sz w:val="36"/>
          <w:szCs w:val="36"/>
          <w:rtl/>
        </w:rPr>
        <w:t xml:space="preserve"> </w:t>
      </w:r>
      <w:r w:rsidRPr="00FD211F">
        <w:rPr>
          <w:sz w:val="36"/>
          <w:szCs w:val="36"/>
          <w:rtl/>
        </w:rPr>
        <w:t>احدهما</w:t>
      </w:r>
      <w:r w:rsidR="00E8128F">
        <w:rPr>
          <w:sz w:val="36"/>
          <w:szCs w:val="36"/>
          <w:rtl/>
        </w:rPr>
        <w:t xml:space="preserve"> </w:t>
      </w:r>
      <w:r w:rsidR="000E10E9" w:rsidRPr="00FD211F">
        <w:rPr>
          <w:sz w:val="36"/>
          <w:szCs w:val="36"/>
          <w:rtl/>
        </w:rPr>
        <w:t>–اي</w:t>
      </w:r>
      <w:r w:rsidR="00E8128F">
        <w:rPr>
          <w:sz w:val="36"/>
          <w:szCs w:val="36"/>
          <w:rtl/>
        </w:rPr>
        <w:t xml:space="preserve"> </w:t>
      </w:r>
      <w:r w:rsidR="000E10E9" w:rsidRPr="00FD211F">
        <w:rPr>
          <w:sz w:val="36"/>
          <w:szCs w:val="36"/>
          <w:rtl/>
        </w:rPr>
        <w:t>الذات</w:t>
      </w:r>
      <w:r w:rsidR="00E8128F">
        <w:rPr>
          <w:sz w:val="36"/>
          <w:szCs w:val="36"/>
          <w:rtl/>
        </w:rPr>
        <w:t xml:space="preserve"> </w:t>
      </w:r>
      <w:r w:rsidR="000E10E9" w:rsidRPr="00FD211F">
        <w:rPr>
          <w:sz w:val="36"/>
          <w:szCs w:val="36"/>
          <w:rtl/>
        </w:rPr>
        <w:t>المتلبس</w:t>
      </w:r>
      <w:r w:rsidR="00EC7EDF" w:rsidRPr="00FD211F">
        <w:rPr>
          <w:sz w:val="36"/>
          <w:szCs w:val="36"/>
          <w:rtl/>
        </w:rPr>
        <w:t>ة</w:t>
      </w:r>
      <w:r w:rsidR="00E8128F">
        <w:rPr>
          <w:sz w:val="36"/>
          <w:szCs w:val="36"/>
          <w:rtl/>
        </w:rPr>
        <w:t xml:space="preserve"> </w:t>
      </w:r>
      <w:r w:rsidR="000E10E9" w:rsidRPr="00FD211F">
        <w:rPr>
          <w:sz w:val="36"/>
          <w:szCs w:val="36"/>
          <w:rtl/>
        </w:rPr>
        <w:t>بال</w:t>
      </w:r>
      <w:r w:rsidR="0079493B" w:rsidRPr="00FD211F">
        <w:rPr>
          <w:sz w:val="36"/>
          <w:szCs w:val="36"/>
          <w:rtl/>
        </w:rPr>
        <w:t>مبدأ</w:t>
      </w:r>
      <w:r w:rsidR="00E8128F">
        <w:rPr>
          <w:sz w:val="36"/>
          <w:szCs w:val="36"/>
          <w:rtl/>
        </w:rPr>
        <w:t xml:space="preserve"> </w:t>
      </w:r>
      <w:r w:rsidR="000E10E9" w:rsidRPr="00FD211F">
        <w:rPr>
          <w:sz w:val="36"/>
          <w:szCs w:val="36"/>
          <w:rtl/>
        </w:rPr>
        <w:t>او</w:t>
      </w:r>
      <w:r w:rsidR="00E8128F">
        <w:rPr>
          <w:sz w:val="36"/>
          <w:szCs w:val="36"/>
          <w:rtl/>
        </w:rPr>
        <w:t xml:space="preserve"> </w:t>
      </w:r>
      <w:r w:rsidR="000E10E9" w:rsidRPr="00FD211F">
        <w:rPr>
          <w:sz w:val="36"/>
          <w:szCs w:val="36"/>
          <w:rtl/>
        </w:rPr>
        <w:t>الذات</w:t>
      </w:r>
      <w:r w:rsidR="00E8128F">
        <w:rPr>
          <w:sz w:val="36"/>
          <w:szCs w:val="36"/>
          <w:rtl/>
        </w:rPr>
        <w:t xml:space="preserve"> </w:t>
      </w:r>
      <w:r w:rsidR="000E10E9" w:rsidRPr="00FD211F">
        <w:rPr>
          <w:sz w:val="36"/>
          <w:szCs w:val="36"/>
          <w:rtl/>
        </w:rPr>
        <w:t>التي</w:t>
      </w:r>
      <w:r w:rsidR="00E8128F">
        <w:rPr>
          <w:sz w:val="36"/>
          <w:szCs w:val="36"/>
          <w:rtl/>
        </w:rPr>
        <w:t xml:space="preserve"> </w:t>
      </w:r>
      <w:r w:rsidR="000E10E9" w:rsidRPr="00FD211F">
        <w:rPr>
          <w:sz w:val="36"/>
          <w:szCs w:val="36"/>
          <w:rtl/>
        </w:rPr>
        <w:t>انقضى</w:t>
      </w:r>
      <w:r w:rsidR="00E8128F">
        <w:rPr>
          <w:sz w:val="36"/>
          <w:szCs w:val="36"/>
          <w:rtl/>
        </w:rPr>
        <w:t xml:space="preserve"> </w:t>
      </w:r>
      <w:r w:rsidR="000E10E9" w:rsidRPr="00FD211F">
        <w:rPr>
          <w:sz w:val="36"/>
          <w:szCs w:val="36"/>
          <w:rtl/>
        </w:rPr>
        <w:t>عنها</w:t>
      </w:r>
      <w:r w:rsidR="00E8128F">
        <w:rPr>
          <w:sz w:val="36"/>
          <w:szCs w:val="36"/>
          <w:rtl/>
        </w:rPr>
        <w:t xml:space="preserve"> </w:t>
      </w:r>
      <w:r w:rsidR="000E10E9" w:rsidRPr="00FD211F">
        <w:rPr>
          <w:sz w:val="36"/>
          <w:szCs w:val="36"/>
          <w:rtl/>
        </w:rPr>
        <w:t>التلبس-</w:t>
      </w:r>
      <w:r w:rsidR="00E8128F">
        <w:rPr>
          <w:sz w:val="36"/>
          <w:szCs w:val="36"/>
          <w:rtl/>
        </w:rPr>
        <w:t xml:space="preserve"> </w:t>
      </w:r>
      <w:r w:rsidR="002A755A" w:rsidRPr="00FD211F">
        <w:rPr>
          <w:sz w:val="36"/>
          <w:szCs w:val="36"/>
          <w:rtl/>
        </w:rPr>
        <w:t>(</w:t>
      </w:r>
      <w:r w:rsidRPr="00FD211F">
        <w:rPr>
          <w:sz w:val="36"/>
          <w:szCs w:val="36"/>
          <w:rtl/>
        </w:rPr>
        <w:t>لامفهوم</w:t>
      </w:r>
      <w:r w:rsidR="00E8128F">
        <w:rPr>
          <w:sz w:val="36"/>
          <w:szCs w:val="36"/>
          <w:rtl/>
        </w:rPr>
        <w:t xml:space="preserve"> </w:t>
      </w:r>
      <w:r w:rsidRPr="00FD211F">
        <w:rPr>
          <w:sz w:val="36"/>
          <w:szCs w:val="36"/>
          <w:rtl/>
        </w:rPr>
        <w:t>احدهما</w:t>
      </w:r>
      <w:r w:rsidR="002A755A" w:rsidRPr="00FD211F">
        <w:rPr>
          <w:sz w:val="36"/>
          <w:szCs w:val="36"/>
          <w:rtl/>
        </w:rPr>
        <w:t>)</w:t>
      </w:r>
      <w:r w:rsidR="00E8128F">
        <w:rPr>
          <w:sz w:val="36"/>
          <w:szCs w:val="36"/>
          <w:rtl/>
        </w:rPr>
        <w:t xml:space="preserve"> </w:t>
      </w:r>
      <w:r w:rsidRPr="00FD211F">
        <w:rPr>
          <w:sz w:val="36"/>
          <w:szCs w:val="36"/>
          <w:rtl/>
        </w:rPr>
        <w:t>يبرزه</w:t>
      </w:r>
      <w:r w:rsidR="00E8128F">
        <w:rPr>
          <w:sz w:val="36"/>
          <w:szCs w:val="36"/>
          <w:rtl/>
        </w:rPr>
        <w:t xml:space="preserve"> </w:t>
      </w:r>
      <w:r w:rsidR="000E10E9" w:rsidRPr="00FD211F">
        <w:rPr>
          <w:sz w:val="36"/>
          <w:szCs w:val="36"/>
          <w:rtl/>
        </w:rPr>
        <w:t>بلفظ</w:t>
      </w:r>
      <w:r w:rsidR="00E8128F">
        <w:rPr>
          <w:sz w:val="36"/>
          <w:szCs w:val="36"/>
          <w:rtl/>
        </w:rPr>
        <w:t xml:space="preserve"> </w:t>
      </w:r>
      <w:r w:rsidRPr="00FD211F">
        <w:rPr>
          <w:sz w:val="36"/>
          <w:szCs w:val="36"/>
          <w:rtl/>
        </w:rPr>
        <w:t>المشتق</w:t>
      </w:r>
      <w:r w:rsidR="00603323" w:rsidRPr="00FD211F">
        <w:rPr>
          <w:sz w:val="36"/>
          <w:szCs w:val="36"/>
          <w:rtl/>
        </w:rPr>
        <w:t>،</w:t>
      </w:r>
      <w:r w:rsidR="00E8128F">
        <w:rPr>
          <w:sz w:val="36"/>
          <w:szCs w:val="36"/>
          <w:rtl/>
        </w:rPr>
        <w:t xml:space="preserve"> </w:t>
      </w:r>
      <w:r w:rsidR="000E10E9" w:rsidRPr="00FD211F">
        <w:rPr>
          <w:sz w:val="36"/>
          <w:szCs w:val="36"/>
          <w:rtl/>
        </w:rPr>
        <w:t>فهو</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محتمل</w:t>
      </w:r>
      <w:r w:rsidR="00E8128F">
        <w:rPr>
          <w:sz w:val="36"/>
          <w:szCs w:val="36"/>
          <w:rtl/>
        </w:rPr>
        <w:t xml:space="preserve"> </w:t>
      </w:r>
      <w:r w:rsidRPr="00FD211F">
        <w:rPr>
          <w:sz w:val="36"/>
          <w:szCs w:val="36"/>
          <w:rtl/>
        </w:rPr>
        <w:t>عرفا</w:t>
      </w:r>
      <w:r w:rsidR="00E8128F">
        <w:rPr>
          <w:sz w:val="36"/>
          <w:szCs w:val="36"/>
          <w:rtl/>
        </w:rPr>
        <w:t xml:space="preserve"> </w:t>
      </w:r>
      <w:r w:rsidRPr="00FD211F">
        <w:rPr>
          <w:sz w:val="36"/>
          <w:szCs w:val="36"/>
          <w:rtl/>
        </w:rPr>
        <w:t>لأدائه</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الاشتراك</w:t>
      </w:r>
      <w:r w:rsidR="00E8128F">
        <w:rPr>
          <w:sz w:val="36"/>
          <w:szCs w:val="36"/>
          <w:rtl/>
        </w:rPr>
        <w:t xml:space="preserve"> </w:t>
      </w:r>
      <w:r w:rsidRPr="00FD211F">
        <w:rPr>
          <w:sz w:val="36"/>
          <w:szCs w:val="36"/>
          <w:rtl/>
        </w:rPr>
        <w:t>اللفظي</w:t>
      </w:r>
      <w:r w:rsidR="00E8128F">
        <w:rPr>
          <w:sz w:val="36"/>
          <w:szCs w:val="36"/>
          <w:rtl/>
        </w:rPr>
        <w:t xml:space="preserve"> </w:t>
      </w:r>
      <w:r w:rsidRPr="00FD211F">
        <w:rPr>
          <w:sz w:val="36"/>
          <w:szCs w:val="36"/>
          <w:rtl/>
        </w:rPr>
        <w:t>و</w:t>
      </w:r>
      <w:r w:rsidR="00270A6B" w:rsidRPr="00FD211F">
        <w:rPr>
          <w:sz w:val="36"/>
          <w:szCs w:val="36"/>
          <w:rtl/>
        </w:rPr>
        <w:t>يلزم</w:t>
      </w:r>
      <w:r w:rsidR="00E8128F">
        <w:rPr>
          <w:sz w:val="36"/>
          <w:szCs w:val="36"/>
          <w:rtl/>
        </w:rPr>
        <w:t xml:space="preserve"> </w:t>
      </w:r>
      <w:r w:rsidR="00270A6B" w:rsidRPr="00FD211F">
        <w:rPr>
          <w:sz w:val="36"/>
          <w:szCs w:val="36"/>
          <w:rtl/>
        </w:rPr>
        <w:t>منه</w:t>
      </w:r>
      <w:r w:rsidR="00E8128F">
        <w:rPr>
          <w:sz w:val="36"/>
          <w:szCs w:val="36"/>
          <w:rtl/>
        </w:rPr>
        <w:t xml:space="preserve"> </w:t>
      </w:r>
      <w:r w:rsidR="00270A6B" w:rsidRPr="00FD211F">
        <w:rPr>
          <w:sz w:val="36"/>
          <w:szCs w:val="36"/>
          <w:rtl/>
        </w:rPr>
        <w:t>ان</w:t>
      </w:r>
      <w:r w:rsidR="00E8128F">
        <w:rPr>
          <w:sz w:val="36"/>
          <w:szCs w:val="36"/>
          <w:rtl/>
        </w:rPr>
        <w:t xml:space="preserve"> </w:t>
      </w:r>
      <w:r w:rsidR="00270A6B" w:rsidRPr="00FD211F">
        <w:rPr>
          <w:sz w:val="36"/>
          <w:szCs w:val="36"/>
          <w:rtl/>
        </w:rPr>
        <w:t>ي</w:t>
      </w:r>
      <w:r w:rsidRPr="00FD211F">
        <w:rPr>
          <w:sz w:val="36"/>
          <w:szCs w:val="36"/>
          <w:rtl/>
        </w:rPr>
        <w:t>كون</w:t>
      </w:r>
      <w:r w:rsidR="00E8128F">
        <w:rPr>
          <w:sz w:val="36"/>
          <w:szCs w:val="36"/>
          <w:rtl/>
        </w:rPr>
        <w:t xml:space="preserve"> </w:t>
      </w:r>
      <w:r w:rsidRPr="00FD211F">
        <w:rPr>
          <w:sz w:val="36"/>
          <w:szCs w:val="36"/>
          <w:rtl/>
        </w:rPr>
        <w:t>اراد</w:t>
      </w:r>
      <w:r w:rsidR="00EC7EDF" w:rsidRPr="00FD211F">
        <w:rPr>
          <w:sz w:val="36"/>
          <w:szCs w:val="36"/>
          <w:rtl/>
        </w:rPr>
        <w:t>ة</w:t>
      </w:r>
      <w:r w:rsidR="00E8128F">
        <w:rPr>
          <w:sz w:val="36"/>
          <w:szCs w:val="36"/>
          <w:rtl/>
        </w:rPr>
        <w:t xml:space="preserve"> </w:t>
      </w:r>
      <w:r w:rsidRPr="00FD211F">
        <w:rPr>
          <w:sz w:val="36"/>
          <w:szCs w:val="36"/>
          <w:rtl/>
        </w:rPr>
        <w:t>كلا</w:t>
      </w:r>
      <w:r w:rsidR="00E8128F">
        <w:rPr>
          <w:sz w:val="36"/>
          <w:szCs w:val="36"/>
          <w:rtl/>
        </w:rPr>
        <w:t xml:space="preserve"> </w:t>
      </w:r>
      <w:r w:rsidRPr="00FD211F">
        <w:rPr>
          <w:sz w:val="36"/>
          <w:szCs w:val="36"/>
          <w:rtl/>
        </w:rPr>
        <w:t>المعنيين</w:t>
      </w:r>
      <w:r w:rsidR="00E8128F">
        <w:rPr>
          <w:sz w:val="36"/>
          <w:szCs w:val="36"/>
          <w:rtl/>
        </w:rPr>
        <w:t xml:space="preserve"> </w:t>
      </w:r>
      <w:r w:rsidR="00270A6B" w:rsidRPr="00FD211F">
        <w:rPr>
          <w:sz w:val="36"/>
          <w:szCs w:val="36"/>
          <w:rtl/>
        </w:rPr>
        <w:t>ممتنعا</w:t>
      </w:r>
      <w:r w:rsidR="00E8128F">
        <w:rPr>
          <w:sz w:val="36"/>
          <w:szCs w:val="36"/>
          <w:rtl/>
        </w:rPr>
        <w:t xml:space="preserve"> </w:t>
      </w:r>
      <w:r w:rsidR="00270A6B" w:rsidRPr="00FD211F">
        <w:rPr>
          <w:sz w:val="36"/>
          <w:szCs w:val="36"/>
          <w:rtl/>
        </w:rPr>
        <w:t>او</w:t>
      </w:r>
      <w:r w:rsidR="00E8128F">
        <w:rPr>
          <w:sz w:val="36"/>
          <w:szCs w:val="36"/>
          <w:rtl/>
        </w:rPr>
        <w:t xml:space="preserve"> </w:t>
      </w:r>
      <w:r w:rsidRPr="00FD211F">
        <w:rPr>
          <w:sz w:val="36"/>
          <w:szCs w:val="36"/>
          <w:rtl/>
        </w:rPr>
        <w:t>مجازا</w:t>
      </w:r>
      <w:r w:rsidR="00E8128F">
        <w:rPr>
          <w:sz w:val="36"/>
          <w:szCs w:val="36"/>
          <w:rtl/>
        </w:rPr>
        <w:t xml:space="preserve"> </w:t>
      </w:r>
      <w:r w:rsidR="00270A6B" w:rsidRPr="00FD211F">
        <w:rPr>
          <w:sz w:val="36"/>
          <w:szCs w:val="36"/>
          <w:rtl/>
        </w:rPr>
        <w:t>نظير</w:t>
      </w:r>
      <w:r w:rsidR="00E8128F">
        <w:rPr>
          <w:sz w:val="36"/>
          <w:szCs w:val="36"/>
          <w:rtl/>
        </w:rPr>
        <w:t xml:space="preserve"> </w:t>
      </w:r>
      <w:r w:rsidR="00270A6B" w:rsidRPr="00FD211F">
        <w:rPr>
          <w:sz w:val="36"/>
          <w:szCs w:val="36"/>
          <w:rtl/>
        </w:rPr>
        <w:t>استعمال</w:t>
      </w:r>
      <w:r w:rsidR="00E8128F">
        <w:rPr>
          <w:sz w:val="36"/>
          <w:szCs w:val="36"/>
          <w:rtl/>
        </w:rPr>
        <w:t xml:space="preserve"> </w:t>
      </w:r>
      <w:r w:rsidR="00270A6B" w:rsidRPr="00FD211F">
        <w:rPr>
          <w:sz w:val="36"/>
          <w:szCs w:val="36"/>
          <w:rtl/>
        </w:rPr>
        <w:t>اللفظ</w:t>
      </w:r>
      <w:r w:rsidR="00E8128F">
        <w:rPr>
          <w:sz w:val="36"/>
          <w:szCs w:val="36"/>
          <w:rtl/>
        </w:rPr>
        <w:t xml:space="preserve"> </w:t>
      </w:r>
      <w:r w:rsidR="00270A6B" w:rsidRPr="00FD211F">
        <w:rPr>
          <w:sz w:val="36"/>
          <w:szCs w:val="36"/>
          <w:rtl/>
        </w:rPr>
        <w:t>المشترك</w:t>
      </w:r>
      <w:r w:rsidR="00E8128F">
        <w:rPr>
          <w:sz w:val="36"/>
          <w:szCs w:val="36"/>
          <w:rtl/>
        </w:rPr>
        <w:t xml:space="preserve"> </w:t>
      </w:r>
      <w:r w:rsidR="00270A6B" w:rsidRPr="00FD211F">
        <w:rPr>
          <w:sz w:val="36"/>
          <w:szCs w:val="36"/>
          <w:rtl/>
        </w:rPr>
        <w:t>في</w:t>
      </w:r>
      <w:r w:rsidR="00E8128F">
        <w:rPr>
          <w:sz w:val="36"/>
          <w:szCs w:val="36"/>
          <w:rtl/>
        </w:rPr>
        <w:t xml:space="preserve"> </w:t>
      </w:r>
      <w:r w:rsidR="00270A6B" w:rsidRPr="00FD211F">
        <w:rPr>
          <w:sz w:val="36"/>
          <w:szCs w:val="36"/>
          <w:rtl/>
        </w:rPr>
        <w:t>معنيين.</w:t>
      </w:r>
    </w:p>
    <w:p w14:paraId="3DC5A12E" w14:textId="77777777" w:rsidR="00424F57" w:rsidRPr="00FD211F" w:rsidRDefault="00270A6B" w:rsidP="009C58C8">
      <w:pPr>
        <w:ind w:left="0" w:firstLine="227"/>
        <w:jc w:val="both"/>
        <w:rPr>
          <w:sz w:val="36"/>
          <w:szCs w:val="36"/>
          <w:rtl/>
        </w:rPr>
      </w:pP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مقصوده</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يظهر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صدر</w:t>
      </w:r>
      <w:r w:rsidR="00E8128F">
        <w:rPr>
          <w:sz w:val="36"/>
          <w:szCs w:val="36"/>
          <w:rtl/>
        </w:rPr>
        <w:t xml:space="preserve"> </w:t>
      </w:r>
      <w:r w:rsidRPr="00FD211F">
        <w:rPr>
          <w:sz w:val="36"/>
          <w:szCs w:val="36"/>
          <w:rtl/>
        </w:rPr>
        <w:t>كلامه</w:t>
      </w:r>
      <w:r w:rsidR="00E8128F">
        <w:rPr>
          <w:sz w:val="36"/>
          <w:szCs w:val="36"/>
          <w:rtl/>
        </w:rPr>
        <w:t xml:space="preserve"> </w:t>
      </w:r>
      <w:r w:rsidRPr="00FD211F">
        <w:rPr>
          <w:sz w:val="36"/>
          <w:szCs w:val="36"/>
          <w:rtl/>
        </w:rPr>
        <w:t>من</w:t>
      </w:r>
      <w:r w:rsidR="00E8128F">
        <w:rPr>
          <w:sz w:val="36"/>
          <w:szCs w:val="36"/>
          <w:rtl/>
        </w:rPr>
        <w:t xml:space="preserve"> </w:t>
      </w:r>
      <w:r w:rsidR="00A635E9" w:rsidRPr="00FD211F">
        <w:rPr>
          <w:sz w:val="36"/>
          <w:szCs w:val="36"/>
          <w:rtl/>
        </w:rPr>
        <w:t>وضع</w:t>
      </w:r>
      <w:r w:rsidR="00E8128F">
        <w:rPr>
          <w:sz w:val="36"/>
          <w:szCs w:val="36"/>
          <w:rtl/>
        </w:rPr>
        <w:t xml:space="preserve"> </w:t>
      </w:r>
      <w:r w:rsidR="00A635E9" w:rsidRPr="00FD211F">
        <w:rPr>
          <w:sz w:val="36"/>
          <w:szCs w:val="36"/>
          <w:rtl/>
        </w:rPr>
        <w:t>لفظ</w:t>
      </w:r>
      <w:r w:rsidR="00E8128F">
        <w:rPr>
          <w:sz w:val="36"/>
          <w:szCs w:val="36"/>
          <w:rtl/>
        </w:rPr>
        <w:t xml:space="preserve"> </w:t>
      </w:r>
      <w:r w:rsidR="00A635E9" w:rsidRPr="00FD211F">
        <w:rPr>
          <w:sz w:val="36"/>
          <w:szCs w:val="36"/>
          <w:rtl/>
        </w:rPr>
        <w:t>المشتق</w:t>
      </w:r>
      <w:r w:rsidR="00E8128F">
        <w:rPr>
          <w:sz w:val="36"/>
          <w:szCs w:val="36"/>
          <w:rtl/>
        </w:rPr>
        <w:t xml:space="preserve"> </w:t>
      </w:r>
      <w:r w:rsidR="00A635E9" w:rsidRPr="00FD211F">
        <w:rPr>
          <w:sz w:val="36"/>
          <w:szCs w:val="36"/>
          <w:rtl/>
        </w:rPr>
        <w:t>لمفهوم</w:t>
      </w:r>
      <w:r w:rsidR="00E8128F">
        <w:rPr>
          <w:sz w:val="36"/>
          <w:szCs w:val="36"/>
          <w:rtl/>
        </w:rPr>
        <w:t xml:space="preserve"> </w:t>
      </w:r>
      <w:r w:rsidR="00A635E9" w:rsidRPr="00FD211F">
        <w:rPr>
          <w:sz w:val="36"/>
          <w:szCs w:val="36"/>
          <w:rtl/>
        </w:rPr>
        <w:t>احد</w:t>
      </w:r>
      <w:r w:rsidR="00E8128F">
        <w:rPr>
          <w:sz w:val="36"/>
          <w:szCs w:val="36"/>
          <w:rtl/>
        </w:rPr>
        <w:t xml:space="preserve"> </w:t>
      </w:r>
      <w:r w:rsidR="00A635E9" w:rsidRPr="00FD211F">
        <w:rPr>
          <w:sz w:val="36"/>
          <w:szCs w:val="36"/>
          <w:rtl/>
        </w:rPr>
        <w:t>الذاتين</w:t>
      </w:r>
      <w:r w:rsidR="00E8128F">
        <w:rPr>
          <w:sz w:val="36"/>
          <w:szCs w:val="36"/>
          <w:rtl/>
        </w:rPr>
        <w:t xml:space="preserve"> </w:t>
      </w:r>
      <w:r w:rsidRPr="00FD211F">
        <w:rPr>
          <w:sz w:val="36"/>
          <w:szCs w:val="36"/>
          <w:rtl/>
        </w:rPr>
        <w:t>–اي</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المتلبس</w:t>
      </w:r>
      <w:r w:rsidR="00EC7EDF" w:rsidRPr="00FD211F">
        <w:rPr>
          <w:sz w:val="36"/>
          <w:szCs w:val="36"/>
          <w:rtl/>
        </w:rPr>
        <w:t>ة</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انقضى</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بال</w:t>
      </w:r>
      <w:r w:rsidR="0079493B" w:rsidRPr="00FD211F">
        <w:rPr>
          <w:sz w:val="36"/>
          <w:szCs w:val="36"/>
          <w:rtl/>
        </w:rPr>
        <w:t>مبدأ</w:t>
      </w:r>
      <w:r w:rsidRPr="00FD211F">
        <w:rPr>
          <w:sz w:val="36"/>
          <w:szCs w:val="36"/>
          <w:rtl/>
        </w:rPr>
        <w:t>-</w:t>
      </w:r>
      <w:r w:rsidR="00E8128F">
        <w:rPr>
          <w:sz w:val="36"/>
          <w:szCs w:val="36"/>
          <w:rtl/>
        </w:rPr>
        <w:t xml:space="preserve"> </w:t>
      </w:r>
      <w:r w:rsidRPr="00FD211F">
        <w:rPr>
          <w:sz w:val="36"/>
          <w:szCs w:val="36"/>
          <w:rtl/>
        </w:rPr>
        <w:t>فهو</w:t>
      </w:r>
      <w:r w:rsidR="00E8128F">
        <w:rPr>
          <w:sz w:val="36"/>
          <w:szCs w:val="36"/>
          <w:rtl/>
        </w:rPr>
        <w:t xml:space="preserve"> </w:t>
      </w:r>
      <w:r w:rsidRPr="00FD211F">
        <w:rPr>
          <w:sz w:val="36"/>
          <w:szCs w:val="36"/>
          <w:rtl/>
        </w:rPr>
        <w:t>ايضا</w:t>
      </w:r>
      <w:r w:rsidR="00E8128F">
        <w:rPr>
          <w:sz w:val="36"/>
          <w:szCs w:val="36"/>
          <w:rtl/>
        </w:rPr>
        <w:t xml:space="preserve"> </w:t>
      </w:r>
      <w:r w:rsidR="00A635E9" w:rsidRPr="00FD211F">
        <w:rPr>
          <w:sz w:val="36"/>
          <w:szCs w:val="36"/>
          <w:rtl/>
        </w:rPr>
        <w:t>غير</w:t>
      </w:r>
      <w:r w:rsidR="00E8128F">
        <w:rPr>
          <w:sz w:val="36"/>
          <w:szCs w:val="36"/>
          <w:rtl/>
        </w:rPr>
        <w:t xml:space="preserve"> </w:t>
      </w:r>
      <w:r w:rsidR="00A635E9" w:rsidRPr="00FD211F">
        <w:rPr>
          <w:sz w:val="36"/>
          <w:szCs w:val="36"/>
          <w:rtl/>
        </w:rPr>
        <w:t>محتمل</w:t>
      </w:r>
      <w:r w:rsidR="00E8128F">
        <w:rPr>
          <w:sz w:val="36"/>
          <w:szCs w:val="36"/>
          <w:rtl/>
        </w:rPr>
        <w:t xml:space="preserve"> </w:t>
      </w:r>
      <w:r w:rsidR="00A635E9" w:rsidRPr="00FD211F">
        <w:rPr>
          <w:sz w:val="36"/>
          <w:szCs w:val="36"/>
          <w:rtl/>
        </w:rPr>
        <w:t>عرفا</w:t>
      </w:r>
      <w:r w:rsidR="00E8128F">
        <w:rPr>
          <w:sz w:val="36"/>
          <w:szCs w:val="36"/>
          <w:rtl/>
        </w:rPr>
        <w:t xml:space="preserve"> </w:t>
      </w:r>
      <w:r w:rsidR="00424F57" w:rsidRPr="00FD211F">
        <w:rPr>
          <w:sz w:val="36"/>
          <w:szCs w:val="36"/>
          <w:rtl/>
        </w:rPr>
        <w:t>لعدم</w:t>
      </w:r>
      <w:r w:rsidR="00E8128F">
        <w:rPr>
          <w:sz w:val="36"/>
          <w:szCs w:val="36"/>
          <w:rtl/>
        </w:rPr>
        <w:t xml:space="preserve"> </w:t>
      </w:r>
      <w:r w:rsidR="00424F57" w:rsidRPr="00FD211F">
        <w:rPr>
          <w:sz w:val="36"/>
          <w:szCs w:val="36"/>
          <w:rtl/>
        </w:rPr>
        <w:t>تبادره</w:t>
      </w:r>
      <w:r w:rsidR="00E8128F">
        <w:rPr>
          <w:sz w:val="36"/>
          <w:szCs w:val="36"/>
          <w:rtl/>
        </w:rPr>
        <w:t xml:space="preserve"> </w:t>
      </w:r>
      <w:r w:rsidR="00424F57" w:rsidRPr="00FD211F">
        <w:rPr>
          <w:sz w:val="36"/>
          <w:szCs w:val="36"/>
          <w:rtl/>
        </w:rPr>
        <w:t>من</w:t>
      </w:r>
      <w:r w:rsidR="00E8128F">
        <w:rPr>
          <w:sz w:val="36"/>
          <w:szCs w:val="36"/>
          <w:rtl/>
        </w:rPr>
        <w:t xml:space="preserve"> </w:t>
      </w:r>
      <w:r w:rsidR="00424F57" w:rsidRPr="00FD211F">
        <w:rPr>
          <w:sz w:val="36"/>
          <w:szCs w:val="36"/>
          <w:rtl/>
        </w:rPr>
        <w:t>لفظ</w:t>
      </w:r>
      <w:r w:rsidR="00E8128F">
        <w:rPr>
          <w:sz w:val="36"/>
          <w:szCs w:val="36"/>
          <w:rtl/>
        </w:rPr>
        <w:t xml:space="preserve"> </w:t>
      </w:r>
      <w:r w:rsidR="00424F57" w:rsidRPr="00FD211F">
        <w:rPr>
          <w:sz w:val="36"/>
          <w:szCs w:val="36"/>
          <w:rtl/>
        </w:rPr>
        <w:t>المشتق</w:t>
      </w:r>
      <w:r w:rsidR="00E8128F">
        <w:rPr>
          <w:sz w:val="36"/>
          <w:szCs w:val="36"/>
          <w:rtl/>
        </w:rPr>
        <w:t xml:space="preserve"> </w:t>
      </w:r>
      <w:r w:rsidR="00A635E9" w:rsidRPr="00FD211F">
        <w:rPr>
          <w:sz w:val="36"/>
          <w:szCs w:val="36"/>
          <w:rtl/>
        </w:rPr>
        <w:t>مضافا</w:t>
      </w:r>
      <w:r w:rsidR="00E8128F">
        <w:rPr>
          <w:sz w:val="36"/>
          <w:szCs w:val="36"/>
          <w:rtl/>
        </w:rPr>
        <w:t xml:space="preserve"> </w:t>
      </w:r>
      <w:r w:rsidR="00A635E9" w:rsidRPr="00FD211F">
        <w:rPr>
          <w:sz w:val="36"/>
          <w:szCs w:val="36"/>
          <w:rtl/>
        </w:rPr>
        <w:t>الى</w:t>
      </w:r>
      <w:r w:rsidR="00E8128F">
        <w:rPr>
          <w:sz w:val="36"/>
          <w:szCs w:val="36"/>
          <w:rtl/>
        </w:rPr>
        <w:t xml:space="preserve"> </w:t>
      </w:r>
      <w:r w:rsidR="00A635E9" w:rsidRPr="00FD211F">
        <w:rPr>
          <w:sz w:val="36"/>
          <w:szCs w:val="36"/>
          <w:rtl/>
        </w:rPr>
        <w:t>استلزامه</w:t>
      </w:r>
      <w:r w:rsidR="00E8128F">
        <w:rPr>
          <w:sz w:val="36"/>
          <w:szCs w:val="36"/>
          <w:rtl/>
        </w:rPr>
        <w:t xml:space="preserve"> </w:t>
      </w:r>
      <w:r w:rsidR="00A635E9" w:rsidRPr="00FD211F">
        <w:rPr>
          <w:sz w:val="36"/>
          <w:szCs w:val="36"/>
          <w:rtl/>
        </w:rPr>
        <w:t>عدم</w:t>
      </w:r>
      <w:r w:rsidR="00E8128F">
        <w:rPr>
          <w:sz w:val="36"/>
          <w:szCs w:val="36"/>
          <w:rtl/>
        </w:rPr>
        <w:t xml:space="preserve"> </w:t>
      </w:r>
      <w:r w:rsidR="00A635E9" w:rsidRPr="00FD211F">
        <w:rPr>
          <w:sz w:val="36"/>
          <w:szCs w:val="36"/>
          <w:rtl/>
        </w:rPr>
        <w:t>امكان</w:t>
      </w:r>
      <w:r w:rsidR="00E8128F">
        <w:rPr>
          <w:sz w:val="36"/>
          <w:szCs w:val="36"/>
          <w:rtl/>
        </w:rPr>
        <w:t xml:space="preserve"> </w:t>
      </w:r>
      <w:r w:rsidR="00A635E9" w:rsidRPr="00FD211F">
        <w:rPr>
          <w:sz w:val="36"/>
          <w:szCs w:val="36"/>
          <w:rtl/>
        </w:rPr>
        <w:t>الاطلاق</w:t>
      </w:r>
      <w:r w:rsidR="00E8128F">
        <w:rPr>
          <w:sz w:val="36"/>
          <w:szCs w:val="36"/>
          <w:rtl/>
        </w:rPr>
        <w:t xml:space="preserve"> </w:t>
      </w:r>
      <w:r w:rsidR="00A635E9" w:rsidRPr="00FD211F">
        <w:rPr>
          <w:sz w:val="36"/>
          <w:szCs w:val="36"/>
          <w:rtl/>
        </w:rPr>
        <w:t>الشمولي</w:t>
      </w:r>
      <w:r w:rsidR="00E8128F">
        <w:rPr>
          <w:sz w:val="36"/>
          <w:szCs w:val="36"/>
          <w:rtl/>
        </w:rPr>
        <w:t xml:space="preserve"> </w:t>
      </w:r>
      <w:r w:rsidR="00A635E9" w:rsidRPr="00FD211F">
        <w:rPr>
          <w:sz w:val="36"/>
          <w:szCs w:val="36"/>
          <w:rtl/>
        </w:rPr>
        <w:t>فيه</w:t>
      </w:r>
      <w:r w:rsidR="00603323" w:rsidRPr="00FD211F">
        <w:rPr>
          <w:sz w:val="36"/>
          <w:szCs w:val="36"/>
          <w:rtl/>
        </w:rPr>
        <w:t>،</w:t>
      </w:r>
      <w:r w:rsidR="00E8128F">
        <w:rPr>
          <w:sz w:val="36"/>
          <w:szCs w:val="36"/>
          <w:rtl/>
        </w:rPr>
        <w:t xml:space="preserve"> </w:t>
      </w:r>
      <w:r w:rsidR="00A635E9" w:rsidRPr="00FD211F">
        <w:rPr>
          <w:sz w:val="36"/>
          <w:szCs w:val="36"/>
          <w:rtl/>
        </w:rPr>
        <w:t>اذ</w:t>
      </w:r>
      <w:r w:rsidR="00E8128F">
        <w:rPr>
          <w:sz w:val="36"/>
          <w:szCs w:val="36"/>
          <w:rtl/>
        </w:rPr>
        <w:t xml:space="preserve"> </w:t>
      </w:r>
      <w:r w:rsidR="00A635E9" w:rsidRPr="00FD211F">
        <w:rPr>
          <w:sz w:val="36"/>
          <w:szCs w:val="36"/>
          <w:rtl/>
        </w:rPr>
        <w:t>يكون</w:t>
      </w:r>
      <w:r w:rsidR="00E8128F">
        <w:rPr>
          <w:sz w:val="36"/>
          <w:szCs w:val="36"/>
          <w:rtl/>
        </w:rPr>
        <w:t xml:space="preserve"> </w:t>
      </w:r>
      <w:r w:rsidR="00A635E9" w:rsidRPr="00FD211F">
        <w:rPr>
          <w:sz w:val="36"/>
          <w:szCs w:val="36"/>
          <w:rtl/>
        </w:rPr>
        <w:t>معنى</w:t>
      </w:r>
      <w:r w:rsidR="00E8128F">
        <w:rPr>
          <w:sz w:val="36"/>
          <w:szCs w:val="36"/>
          <w:rtl/>
        </w:rPr>
        <w:t xml:space="preserve"> </w:t>
      </w:r>
      <w:r w:rsidR="00A635E9" w:rsidRPr="00FD211F">
        <w:rPr>
          <w:sz w:val="36"/>
          <w:szCs w:val="36"/>
          <w:rtl/>
        </w:rPr>
        <w:t>اكرم</w:t>
      </w:r>
      <w:r w:rsidR="00E8128F">
        <w:rPr>
          <w:sz w:val="36"/>
          <w:szCs w:val="36"/>
          <w:rtl/>
        </w:rPr>
        <w:t xml:space="preserve"> </w:t>
      </w:r>
      <w:r w:rsidR="00A635E9" w:rsidRPr="00FD211F">
        <w:rPr>
          <w:sz w:val="36"/>
          <w:szCs w:val="36"/>
          <w:rtl/>
        </w:rPr>
        <w:t>العالم</w:t>
      </w:r>
      <w:r w:rsidR="00E8128F">
        <w:rPr>
          <w:sz w:val="36"/>
          <w:szCs w:val="36"/>
          <w:rtl/>
        </w:rPr>
        <w:t xml:space="preserve"> </w:t>
      </w:r>
      <w:r w:rsidR="00A635E9" w:rsidRPr="00FD211F">
        <w:rPr>
          <w:sz w:val="36"/>
          <w:szCs w:val="36"/>
          <w:rtl/>
        </w:rPr>
        <w:t>اكرم</w:t>
      </w:r>
      <w:r w:rsidR="00E8128F">
        <w:rPr>
          <w:sz w:val="36"/>
          <w:szCs w:val="36"/>
          <w:rtl/>
        </w:rPr>
        <w:t xml:space="preserve"> </w:t>
      </w:r>
      <w:r w:rsidR="00A635E9" w:rsidRPr="00FD211F">
        <w:rPr>
          <w:sz w:val="36"/>
          <w:szCs w:val="36"/>
          <w:rtl/>
        </w:rPr>
        <w:t>احد</w:t>
      </w:r>
      <w:r w:rsidR="00E8128F">
        <w:rPr>
          <w:sz w:val="36"/>
          <w:szCs w:val="36"/>
          <w:rtl/>
        </w:rPr>
        <w:t xml:space="preserve"> </w:t>
      </w:r>
      <w:r w:rsidR="00424F57" w:rsidRPr="00FD211F">
        <w:rPr>
          <w:sz w:val="36"/>
          <w:szCs w:val="36"/>
          <w:rtl/>
        </w:rPr>
        <w:t>الذاتين</w:t>
      </w:r>
      <w:r w:rsidR="00603323" w:rsidRPr="00FD211F">
        <w:rPr>
          <w:sz w:val="36"/>
          <w:szCs w:val="36"/>
          <w:rtl/>
        </w:rPr>
        <w:t>،</w:t>
      </w:r>
      <w:r w:rsidR="00E8128F">
        <w:rPr>
          <w:sz w:val="36"/>
          <w:szCs w:val="36"/>
          <w:rtl/>
        </w:rPr>
        <w:t xml:space="preserve"> </w:t>
      </w:r>
      <w:r w:rsidR="00424F57" w:rsidRPr="00FD211F">
        <w:rPr>
          <w:sz w:val="36"/>
          <w:szCs w:val="36"/>
          <w:rtl/>
        </w:rPr>
        <w:t>فيكفيه</w:t>
      </w:r>
      <w:r w:rsidR="00E8128F">
        <w:rPr>
          <w:sz w:val="36"/>
          <w:szCs w:val="36"/>
          <w:rtl/>
        </w:rPr>
        <w:t xml:space="preserve"> </w:t>
      </w:r>
      <w:r w:rsidR="00424F57" w:rsidRPr="00FD211F">
        <w:rPr>
          <w:sz w:val="36"/>
          <w:szCs w:val="36"/>
          <w:rtl/>
        </w:rPr>
        <w:t>ان</w:t>
      </w:r>
      <w:r w:rsidR="00E8128F">
        <w:rPr>
          <w:sz w:val="36"/>
          <w:szCs w:val="36"/>
          <w:rtl/>
        </w:rPr>
        <w:t xml:space="preserve"> </w:t>
      </w:r>
      <w:r w:rsidR="00424F57" w:rsidRPr="00FD211F">
        <w:rPr>
          <w:sz w:val="36"/>
          <w:szCs w:val="36"/>
          <w:rtl/>
        </w:rPr>
        <w:t>يكرم</w:t>
      </w:r>
      <w:r w:rsidR="00E8128F">
        <w:rPr>
          <w:sz w:val="36"/>
          <w:szCs w:val="36"/>
          <w:rtl/>
        </w:rPr>
        <w:t xml:space="preserve"> </w:t>
      </w:r>
      <w:r w:rsidR="00424F57" w:rsidRPr="00FD211F">
        <w:rPr>
          <w:sz w:val="36"/>
          <w:szCs w:val="36"/>
          <w:rtl/>
        </w:rPr>
        <w:t>إما</w:t>
      </w:r>
      <w:r w:rsidR="00E8128F">
        <w:rPr>
          <w:sz w:val="36"/>
          <w:szCs w:val="36"/>
          <w:rtl/>
        </w:rPr>
        <w:t xml:space="preserve"> </w:t>
      </w:r>
      <w:r w:rsidR="00424F57" w:rsidRPr="00FD211F">
        <w:rPr>
          <w:sz w:val="36"/>
          <w:szCs w:val="36"/>
          <w:rtl/>
        </w:rPr>
        <w:t>المتلبس</w:t>
      </w:r>
      <w:r w:rsidR="00E8128F">
        <w:rPr>
          <w:sz w:val="36"/>
          <w:szCs w:val="36"/>
          <w:rtl/>
        </w:rPr>
        <w:t xml:space="preserve"> </w:t>
      </w:r>
      <w:r w:rsidR="00424F57" w:rsidRPr="00FD211F">
        <w:rPr>
          <w:sz w:val="36"/>
          <w:szCs w:val="36"/>
          <w:rtl/>
        </w:rPr>
        <w:t>الفعلي</w:t>
      </w:r>
      <w:r w:rsidR="00E8128F">
        <w:rPr>
          <w:sz w:val="36"/>
          <w:szCs w:val="36"/>
          <w:rtl/>
        </w:rPr>
        <w:t xml:space="preserve"> </w:t>
      </w:r>
      <w:r w:rsidR="00424F57" w:rsidRPr="00FD211F">
        <w:rPr>
          <w:sz w:val="36"/>
          <w:szCs w:val="36"/>
          <w:rtl/>
        </w:rPr>
        <w:t>بالعلم</w:t>
      </w:r>
      <w:r w:rsidR="00E8128F">
        <w:rPr>
          <w:sz w:val="36"/>
          <w:szCs w:val="36"/>
          <w:rtl/>
        </w:rPr>
        <w:t xml:space="preserve"> </w:t>
      </w:r>
      <w:r w:rsidR="00424F57" w:rsidRPr="00FD211F">
        <w:rPr>
          <w:sz w:val="36"/>
          <w:szCs w:val="36"/>
          <w:rtl/>
        </w:rPr>
        <w:t>او</w:t>
      </w:r>
      <w:r w:rsidR="00E8128F">
        <w:rPr>
          <w:sz w:val="36"/>
          <w:szCs w:val="36"/>
          <w:rtl/>
        </w:rPr>
        <w:t xml:space="preserve"> </w:t>
      </w:r>
      <w:r w:rsidR="00424F57" w:rsidRPr="00FD211F">
        <w:rPr>
          <w:sz w:val="36"/>
          <w:szCs w:val="36"/>
          <w:rtl/>
        </w:rPr>
        <w:t>من</w:t>
      </w:r>
      <w:r w:rsidR="00E8128F">
        <w:rPr>
          <w:sz w:val="36"/>
          <w:szCs w:val="36"/>
          <w:rtl/>
        </w:rPr>
        <w:t xml:space="preserve"> </w:t>
      </w:r>
      <w:r w:rsidR="00424F57" w:rsidRPr="00FD211F">
        <w:rPr>
          <w:sz w:val="36"/>
          <w:szCs w:val="36"/>
          <w:rtl/>
        </w:rPr>
        <w:t>انقضى</w:t>
      </w:r>
      <w:r w:rsidR="00E8128F">
        <w:rPr>
          <w:sz w:val="36"/>
          <w:szCs w:val="36"/>
          <w:rtl/>
        </w:rPr>
        <w:t xml:space="preserve"> </w:t>
      </w:r>
      <w:r w:rsidR="00424F57" w:rsidRPr="00FD211F">
        <w:rPr>
          <w:sz w:val="36"/>
          <w:szCs w:val="36"/>
          <w:rtl/>
        </w:rPr>
        <w:t>عنه</w:t>
      </w:r>
      <w:r w:rsidR="00E8128F">
        <w:rPr>
          <w:sz w:val="36"/>
          <w:szCs w:val="36"/>
          <w:rtl/>
        </w:rPr>
        <w:t xml:space="preserve"> </w:t>
      </w:r>
      <w:r w:rsidR="00424F57" w:rsidRPr="00FD211F">
        <w:rPr>
          <w:sz w:val="36"/>
          <w:szCs w:val="36"/>
          <w:rtl/>
        </w:rPr>
        <w:t>التلبس</w:t>
      </w:r>
      <w:r w:rsidR="00E8128F">
        <w:rPr>
          <w:sz w:val="36"/>
          <w:szCs w:val="36"/>
          <w:rtl/>
        </w:rPr>
        <w:t xml:space="preserve"> </w:t>
      </w:r>
      <w:r w:rsidR="00424F57" w:rsidRPr="00FD211F">
        <w:rPr>
          <w:sz w:val="36"/>
          <w:szCs w:val="36"/>
          <w:rtl/>
        </w:rPr>
        <w:t>به</w:t>
      </w:r>
      <w:r w:rsidR="00603323" w:rsidRPr="00FD211F">
        <w:rPr>
          <w:sz w:val="36"/>
          <w:szCs w:val="36"/>
          <w:rtl/>
        </w:rPr>
        <w:t>،</w:t>
      </w:r>
      <w:r w:rsidR="00E8128F">
        <w:rPr>
          <w:sz w:val="36"/>
          <w:szCs w:val="36"/>
          <w:rtl/>
        </w:rPr>
        <w:t xml:space="preserve"> </w:t>
      </w:r>
      <w:r w:rsidR="00424F57" w:rsidRPr="00FD211F">
        <w:rPr>
          <w:sz w:val="36"/>
          <w:szCs w:val="36"/>
          <w:rtl/>
        </w:rPr>
        <w:t>وهذا</w:t>
      </w:r>
      <w:r w:rsidR="00E8128F">
        <w:rPr>
          <w:sz w:val="36"/>
          <w:szCs w:val="36"/>
          <w:rtl/>
        </w:rPr>
        <w:t xml:space="preserve"> </w:t>
      </w:r>
      <w:r w:rsidR="00424F57" w:rsidRPr="00FD211F">
        <w:rPr>
          <w:sz w:val="36"/>
          <w:szCs w:val="36"/>
          <w:rtl/>
        </w:rPr>
        <w:t>خلف</w:t>
      </w:r>
      <w:r w:rsidR="00E8128F">
        <w:rPr>
          <w:sz w:val="36"/>
          <w:szCs w:val="36"/>
          <w:rtl/>
        </w:rPr>
        <w:t xml:space="preserve"> </w:t>
      </w:r>
      <w:r w:rsidR="00424F57" w:rsidRPr="00FD211F">
        <w:rPr>
          <w:sz w:val="36"/>
          <w:szCs w:val="36"/>
          <w:rtl/>
        </w:rPr>
        <w:t>كون</w:t>
      </w:r>
      <w:r w:rsidR="00E8128F">
        <w:rPr>
          <w:sz w:val="36"/>
          <w:szCs w:val="36"/>
          <w:rtl/>
        </w:rPr>
        <w:t xml:space="preserve"> </w:t>
      </w:r>
      <w:r w:rsidR="00424F57" w:rsidRPr="00FD211F">
        <w:rPr>
          <w:sz w:val="36"/>
          <w:szCs w:val="36"/>
          <w:rtl/>
        </w:rPr>
        <w:t>الخطاب</w:t>
      </w:r>
      <w:r w:rsidR="00E8128F">
        <w:rPr>
          <w:sz w:val="36"/>
          <w:szCs w:val="36"/>
          <w:rtl/>
        </w:rPr>
        <w:t xml:space="preserve"> </w:t>
      </w:r>
      <w:r w:rsidR="00424F57" w:rsidRPr="00FD211F">
        <w:rPr>
          <w:sz w:val="36"/>
          <w:szCs w:val="36"/>
          <w:rtl/>
        </w:rPr>
        <w:t>شموليا</w:t>
      </w:r>
      <w:r w:rsidR="00E8128F">
        <w:rPr>
          <w:sz w:val="36"/>
          <w:szCs w:val="36"/>
          <w:rtl/>
        </w:rPr>
        <w:t xml:space="preserve"> </w:t>
      </w:r>
      <w:r w:rsidR="00424F57" w:rsidRPr="00FD211F">
        <w:rPr>
          <w:sz w:val="36"/>
          <w:szCs w:val="36"/>
          <w:rtl/>
        </w:rPr>
        <w:t>حيث</w:t>
      </w:r>
      <w:r w:rsidR="00E8128F">
        <w:rPr>
          <w:sz w:val="36"/>
          <w:szCs w:val="36"/>
          <w:rtl/>
        </w:rPr>
        <w:t xml:space="preserve"> </w:t>
      </w:r>
      <w:r w:rsidR="00424F57" w:rsidRPr="00FD211F">
        <w:rPr>
          <w:sz w:val="36"/>
          <w:szCs w:val="36"/>
          <w:rtl/>
        </w:rPr>
        <w:t>ان</w:t>
      </w:r>
      <w:r w:rsidR="00E8128F">
        <w:rPr>
          <w:sz w:val="36"/>
          <w:szCs w:val="36"/>
          <w:rtl/>
        </w:rPr>
        <w:t xml:space="preserve"> </w:t>
      </w:r>
      <w:r w:rsidR="00424F57" w:rsidRPr="00FD211F">
        <w:rPr>
          <w:sz w:val="36"/>
          <w:szCs w:val="36"/>
          <w:rtl/>
        </w:rPr>
        <w:t>مقتضى</w:t>
      </w:r>
      <w:r w:rsidR="00E8128F">
        <w:rPr>
          <w:sz w:val="36"/>
          <w:szCs w:val="36"/>
          <w:rtl/>
        </w:rPr>
        <w:t xml:space="preserve"> </w:t>
      </w:r>
      <w:r w:rsidR="00424F57" w:rsidRPr="00FD211F">
        <w:rPr>
          <w:sz w:val="36"/>
          <w:szCs w:val="36"/>
          <w:rtl/>
        </w:rPr>
        <w:t>الشمولي</w:t>
      </w:r>
      <w:r w:rsidR="00EC7EDF" w:rsidRPr="00FD211F">
        <w:rPr>
          <w:sz w:val="36"/>
          <w:szCs w:val="36"/>
          <w:rtl/>
        </w:rPr>
        <w:t>ة</w:t>
      </w:r>
      <w:r w:rsidR="00E8128F">
        <w:rPr>
          <w:sz w:val="36"/>
          <w:szCs w:val="36"/>
          <w:rtl/>
        </w:rPr>
        <w:t xml:space="preserve"> </w:t>
      </w:r>
      <w:r w:rsidR="00424F57" w:rsidRPr="00FD211F">
        <w:rPr>
          <w:sz w:val="36"/>
          <w:szCs w:val="36"/>
          <w:rtl/>
        </w:rPr>
        <w:t>وجوب</w:t>
      </w:r>
      <w:r w:rsidR="00E8128F">
        <w:rPr>
          <w:sz w:val="36"/>
          <w:szCs w:val="36"/>
          <w:rtl/>
        </w:rPr>
        <w:t xml:space="preserve"> </w:t>
      </w:r>
      <w:r w:rsidR="00424F57" w:rsidRPr="00FD211F">
        <w:rPr>
          <w:sz w:val="36"/>
          <w:szCs w:val="36"/>
          <w:rtl/>
        </w:rPr>
        <w:t>اكرامهما</w:t>
      </w:r>
      <w:r w:rsidR="00E8128F">
        <w:rPr>
          <w:sz w:val="36"/>
          <w:szCs w:val="36"/>
          <w:rtl/>
        </w:rPr>
        <w:t xml:space="preserve"> </w:t>
      </w:r>
      <w:r w:rsidR="00424F57" w:rsidRPr="00FD211F">
        <w:rPr>
          <w:sz w:val="36"/>
          <w:szCs w:val="36"/>
          <w:rtl/>
        </w:rPr>
        <w:t>معا.</w:t>
      </w:r>
    </w:p>
    <w:p w14:paraId="61C543DE" w14:textId="77777777" w:rsidR="00793654" w:rsidRPr="00FD211F" w:rsidRDefault="00424F57" w:rsidP="009C58C8">
      <w:pPr>
        <w:ind w:left="0" w:firstLine="227"/>
        <w:jc w:val="both"/>
        <w:rPr>
          <w:sz w:val="36"/>
          <w:szCs w:val="36"/>
          <w:rtl/>
        </w:rPr>
      </w:pP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مقصوده</w:t>
      </w:r>
      <w:r w:rsidR="00E8128F">
        <w:rPr>
          <w:sz w:val="36"/>
          <w:szCs w:val="36"/>
          <w:rtl/>
        </w:rPr>
        <w:t xml:space="preserve"> </w:t>
      </w:r>
      <w:r w:rsidRPr="00FD211F">
        <w:rPr>
          <w:sz w:val="36"/>
          <w:szCs w:val="36"/>
          <w:rtl/>
        </w:rPr>
        <w:t>وضعه</w:t>
      </w:r>
      <w:r w:rsidR="00E8128F">
        <w:rPr>
          <w:sz w:val="36"/>
          <w:szCs w:val="36"/>
          <w:rtl/>
        </w:rPr>
        <w:t xml:space="preserve"> </w:t>
      </w:r>
      <w:r w:rsidRPr="00FD211F">
        <w:rPr>
          <w:sz w:val="36"/>
          <w:szCs w:val="36"/>
          <w:rtl/>
        </w:rPr>
        <w:t>للذات</w:t>
      </w:r>
      <w:r w:rsidR="00E8128F">
        <w:rPr>
          <w:sz w:val="36"/>
          <w:szCs w:val="36"/>
          <w:rtl/>
        </w:rPr>
        <w:t xml:space="preserve"> </w:t>
      </w:r>
      <w:r w:rsidR="00A635E9" w:rsidRPr="00FD211F">
        <w:rPr>
          <w:sz w:val="36"/>
          <w:szCs w:val="36"/>
          <w:rtl/>
        </w:rPr>
        <w:t>المقترن</w:t>
      </w:r>
      <w:r w:rsidR="00EC7EDF" w:rsidRPr="00FD211F">
        <w:rPr>
          <w:sz w:val="36"/>
          <w:szCs w:val="36"/>
          <w:rtl/>
        </w:rPr>
        <w:t>ة</w:t>
      </w:r>
      <w:r w:rsidR="00E8128F">
        <w:rPr>
          <w:sz w:val="36"/>
          <w:szCs w:val="36"/>
          <w:rtl/>
        </w:rPr>
        <w:t xml:space="preserve"> </w:t>
      </w:r>
      <w:r w:rsidR="00A635E9" w:rsidRPr="00FD211F">
        <w:rPr>
          <w:sz w:val="36"/>
          <w:szCs w:val="36"/>
          <w:rtl/>
        </w:rPr>
        <w:t>باحد</w:t>
      </w:r>
      <w:r w:rsidR="00E8128F">
        <w:rPr>
          <w:sz w:val="36"/>
          <w:szCs w:val="36"/>
          <w:rtl/>
        </w:rPr>
        <w:t xml:space="preserve"> </w:t>
      </w:r>
      <w:r w:rsidR="001B3112" w:rsidRPr="00FD211F">
        <w:rPr>
          <w:sz w:val="36"/>
          <w:szCs w:val="36"/>
          <w:rtl/>
        </w:rPr>
        <w:t>الأمر</w:t>
      </w:r>
      <w:r w:rsidR="00A635E9" w:rsidRPr="00FD211F">
        <w:rPr>
          <w:sz w:val="36"/>
          <w:szCs w:val="36"/>
          <w:rtl/>
        </w:rPr>
        <w:t>ين</w:t>
      </w:r>
      <w:r w:rsidR="00E8128F">
        <w:rPr>
          <w:sz w:val="36"/>
          <w:szCs w:val="36"/>
          <w:rtl/>
        </w:rPr>
        <w:t xml:space="preserve"> </w:t>
      </w:r>
      <w:r w:rsidRPr="00FD211F">
        <w:rPr>
          <w:sz w:val="36"/>
          <w:szCs w:val="36"/>
          <w:rtl/>
        </w:rPr>
        <w:t>إ</w:t>
      </w:r>
      <w:r w:rsidR="00A635E9" w:rsidRPr="00FD211F">
        <w:rPr>
          <w:sz w:val="36"/>
          <w:szCs w:val="36"/>
          <w:rtl/>
        </w:rPr>
        <w:t>ما</w:t>
      </w:r>
      <w:r w:rsidR="00E8128F">
        <w:rPr>
          <w:sz w:val="36"/>
          <w:szCs w:val="36"/>
          <w:rtl/>
        </w:rPr>
        <w:t xml:space="preserve"> </w:t>
      </w:r>
      <w:r w:rsidR="00A635E9" w:rsidRPr="00FD211F">
        <w:rPr>
          <w:sz w:val="36"/>
          <w:szCs w:val="36"/>
          <w:rtl/>
        </w:rPr>
        <w:t>التلبس</w:t>
      </w:r>
      <w:r w:rsidR="00E8128F">
        <w:rPr>
          <w:sz w:val="36"/>
          <w:szCs w:val="36"/>
          <w:rtl/>
        </w:rPr>
        <w:t xml:space="preserve"> </w:t>
      </w:r>
      <w:r w:rsidR="00A635E9" w:rsidRPr="00FD211F">
        <w:rPr>
          <w:sz w:val="36"/>
          <w:szCs w:val="36"/>
          <w:rtl/>
        </w:rPr>
        <w:t>الفعلي</w:t>
      </w:r>
      <w:r w:rsidR="00E8128F">
        <w:rPr>
          <w:sz w:val="36"/>
          <w:szCs w:val="36"/>
          <w:rtl/>
        </w:rPr>
        <w:t xml:space="preserve"> </w:t>
      </w:r>
      <w:r w:rsidR="00A635E9" w:rsidRPr="00FD211F">
        <w:rPr>
          <w:sz w:val="36"/>
          <w:szCs w:val="36"/>
          <w:rtl/>
        </w:rPr>
        <w:t>بال</w:t>
      </w:r>
      <w:r w:rsidR="0079493B" w:rsidRPr="00FD211F">
        <w:rPr>
          <w:sz w:val="36"/>
          <w:szCs w:val="36"/>
          <w:rtl/>
        </w:rPr>
        <w:t>مبدأ</w:t>
      </w:r>
      <w:r w:rsidR="00E8128F">
        <w:rPr>
          <w:sz w:val="36"/>
          <w:szCs w:val="36"/>
          <w:rtl/>
        </w:rPr>
        <w:t xml:space="preserve"> </w:t>
      </w:r>
      <w:r w:rsidR="00A635E9" w:rsidRPr="00FD211F">
        <w:rPr>
          <w:sz w:val="36"/>
          <w:szCs w:val="36"/>
          <w:rtl/>
        </w:rPr>
        <w:t>او</w:t>
      </w:r>
      <w:r w:rsidR="00E8128F">
        <w:rPr>
          <w:sz w:val="36"/>
          <w:szCs w:val="36"/>
          <w:rtl/>
        </w:rPr>
        <w:t xml:space="preserve"> </w:t>
      </w:r>
      <w:r w:rsidR="00A635E9" w:rsidRPr="00FD211F">
        <w:rPr>
          <w:sz w:val="36"/>
          <w:szCs w:val="36"/>
          <w:rtl/>
        </w:rPr>
        <w:t>انقضاء</w:t>
      </w:r>
      <w:r w:rsidR="00E8128F">
        <w:rPr>
          <w:sz w:val="36"/>
          <w:szCs w:val="36"/>
          <w:rtl/>
        </w:rPr>
        <w:t xml:space="preserve"> </w:t>
      </w:r>
      <w:r w:rsidR="00A635E9" w:rsidRPr="00FD211F">
        <w:rPr>
          <w:sz w:val="36"/>
          <w:szCs w:val="36"/>
          <w:rtl/>
        </w:rPr>
        <w:t>ال</w:t>
      </w:r>
      <w:r w:rsidR="0079493B" w:rsidRPr="00FD211F">
        <w:rPr>
          <w:sz w:val="36"/>
          <w:szCs w:val="36"/>
          <w:rtl/>
        </w:rPr>
        <w:t>مبدأ</w:t>
      </w:r>
      <w:r w:rsidR="00E8128F">
        <w:rPr>
          <w:sz w:val="36"/>
          <w:szCs w:val="36"/>
          <w:rtl/>
        </w:rPr>
        <w:t xml:space="preserve"> </w:t>
      </w:r>
      <w:r w:rsidR="00A635E9" w:rsidRPr="00FD211F">
        <w:rPr>
          <w:sz w:val="36"/>
          <w:szCs w:val="36"/>
          <w:rtl/>
        </w:rPr>
        <w:t>عنه</w:t>
      </w:r>
      <w:r w:rsidRPr="00FD211F">
        <w:rPr>
          <w:sz w:val="36"/>
          <w:szCs w:val="36"/>
          <w:rtl/>
        </w:rPr>
        <w:t>ا</w:t>
      </w:r>
      <w:r w:rsidR="00603323" w:rsidRPr="00FD211F">
        <w:rPr>
          <w:sz w:val="36"/>
          <w:szCs w:val="36"/>
          <w:rtl/>
        </w:rPr>
        <w:t>،</w:t>
      </w:r>
      <w:r w:rsidR="00E8128F">
        <w:rPr>
          <w:sz w:val="36"/>
          <w:szCs w:val="36"/>
          <w:rtl/>
        </w:rPr>
        <w:t xml:space="preserve"> </w:t>
      </w:r>
      <w:r w:rsidRPr="00FD211F">
        <w:rPr>
          <w:sz w:val="36"/>
          <w:szCs w:val="36"/>
          <w:rtl/>
        </w:rPr>
        <w:t>وهو</w:t>
      </w:r>
      <w:r w:rsidR="00E8128F">
        <w:rPr>
          <w:sz w:val="36"/>
          <w:szCs w:val="36"/>
          <w:rtl/>
        </w:rPr>
        <w:t xml:space="preserve"> </w:t>
      </w:r>
      <w:r w:rsidRPr="00FD211F">
        <w:rPr>
          <w:sz w:val="36"/>
          <w:szCs w:val="36"/>
          <w:rtl/>
        </w:rPr>
        <w:t>وان</w:t>
      </w:r>
      <w:r w:rsidR="00E8128F">
        <w:rPr>
          <w:sz w:val="36"/>
          <w:szCs w:val="36"/>
          <w:rtl/>
        </w:rPr>
        <w:t xml:space="preserve"> </w:t>
      </w:r>
      <w:r w:rsidR="008D7B3D" w:rsidRPr="00FD211F">
        <w:rPr>
          <w:sz w:val="36"/>
          <w:szCs w:val="36"/>
          <w:rtl/>
        </w:rPr>
        <w:t>لم‌</w:t>
      </w:r>
      <w:r w:rsidR="00A635E9" w:rsidRPr="00FD211F">
        <w:rPr>
          <w:sz w:val="36"/>
          <w:szCs w:val="36"/>
          <w:rtl/>
        </w:rPr>
        <w:t>يرد</w:t>
      </w:r>
      <w:r w:rsidR="00E8128F">
        <w:rPr>
          <w:sz w:val="36"/>
          <w:szCs w:val="36"/>
          <w:rtl/>
        </w:rPr>
        <w:t xml:space="preserve"> </w:t>
      </w:r>
      <w:r w:rsidR="00A635E9" w:rsidRPr="00FD211F">
        <w:rPr>
          <w:sz w:val="36"/>
          <w:szCs w:val="36"/>
          <w:rtl/>
        </w:rPr>
        <w:t>عليه</w:t>
      </w:r>
      <w:r w:rsidR="00E8128F">
        <w:rPr>
          <w:sz w:val="36"/>
          <w:szCs w:val="36"/>
          <w:rtl/>
        </w:rPr>
        <w:t xml:space="preserve"> </w:t>
      </w:r>
      <w:r w:rsidRPr="00FD211F">
        <w:rPr>
          <w:sz w:val="36"/>
          <w:szCs w:val="36"/>
          <w:rtl/>
        </w:rPr>
        <w:t>اشكال</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امكان</w:t>
      </w:r>
      <w:r w:rsidR="00E8128F">
        <w:rPr>
          <w:sz w:val="36"/>
          <w:szCs w:val="36"/>
          <w:rtl/>
        </w:rPr>
        <w:t xml:space="preserve"> </w:t>
      </w:r>
      <w:r w:rsidRPr="00FD211F">
        <w:rPr>
          <w:sz w:val="36"/>
          <w:szCs w:val="36"/>
          <w:rtl/>
        </w:rPr>
        <w:t>الاطلاق</w:t>
      </w:r>
      <w:r w:rsidR="00E8128F">
        <w:rPr>
          <w:sz w:val="36"/>
          <w:szCs w:val="36"/>
          <w:rtl/>
        </w:rPr>
        <w:t xml:space="preserve"> </w:t>
      </w:r>
      <w:r w:rsidRPr="00FD211F">
        <w:rPr>
          <w:sz w:val="36"/>
          <w:szCs w:val="36"/>
          <w:rtl/>
        </w:rPr>
        <w:t>الشمولي</w:t>
      </w:r>
      <w:r w:rsidR="00603323" w:rsidRPr="00FD211F">
        <w:rPr>
          <w:sz w:val="36"/>
          <w:szCs w:val="36"/>
          <w:rtl/>
        </w:rPr>
        <w:t>،</w:t>
      </w:r>
      <w:r w:rsidR="00E8128F">
        <w:rPr>
          <w:sz w:val="36"/>
          <w:szCs w:val="36"/>
          <w:rtl/>
        </w:rPr>
        <w:t xml:space="preserve"> </w:t>
      </w:r>
      <w:r w:rsidRPr="00FD211F">
        <w:rPr>
          <w:sz w:val="36"/>
          <w:szCs w:val="36"/>
          <w:rtl/>
        </w:rPr>
        <w:t>لكنه</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محتمل</w:t>
      </w:r>
      <w:r w:rsidR="00E8128F">
        <w:rPr>
          <w:sz w:val="36"/>
          <w:szCs w:val="36"/>
          <w:rtl/>
        </w:rPr>
        <w:t xml:space="preserve"> </w:t>
      </w:r>
      <w:r w:rsidRPr="00FD211F">
        <w:rPr>
          <w:sz w:val="36"/>
          <w:szCs w:val="36"/>
          <w:rtl/>
        </w:rPr>
        <w:t>عرفا</w:t>
      </w:r>
      <w:r w:rsidR="00603323" w:rsidRPr="00FD211F">
        <w:rPr>
          <w:sz w:val="36"/>
          <w:szCs w:val="36"/>
          <w:rtl/>
        </w:rPr>
        <w:t>،</w:t>
      </w:r>
      <w:r w:rsidR="00E8128F">
        <w:rPr>
          <w:sz w:val="36"/>
          <w:szCs w:val="36"/>
          <w:rtl/>
        </w:rPr>
        <w:t xml:space="preserve"> </w:t>
      </w:r>
      <w:r w:rsidRPr="00FD211F">
        <w:rPr>
          <w:sz w:val="36"/>
          <w:szCs w:val="36"/>
          <w:rtl/>
        </w:rPr>
        <w:t>لعدم</w:t>
      </w:r>
      <w:r w:rsidR="00E8128F">
        <w:rPr>
          <w:sz w:val="36"/>
          <w:szCs w:val="36"/>
          <w:rtl/>
        </w:rPr>
        <w:t xml:space="preserve"> </w:t>
      </w:r>
      <w:r w:rsidRPr="00FD211F">
        <w:rPr>
          <w:sz w:val="36"/>
          <w:szCs w:val="36"/>
          <w:rtl/>
        </w:rPr>
        <w:t>تبادره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لفظ</w:t>
      </w:r>
      <w:r w:rsidR="00E8128F">
        <w:rPr>
          <w:sz w:val="36"/>
          <w:szCs w:val="36"/>
          <w:rtl/>
        </w:rPr>
        <w:t xml:space="preserve"> </w:t>
      </w:r>
      <w:r w:rsidRPr="00FD211F">
        <w:rPr>
          <w:sz w:val="36"/>
          <w:szCs w:val="36"/>
          <w:rtl/>
        </w:rPr>
        <w:t>المشتق.</w:t>
      </w:r>
    </w:p>
    <w:p w14:paraId="67C9738A" w14:textId="77777777" w:rsidR="00424F57" w:rsidRPr="00FD211F" w:rsidRDefault="00A635E9" w:rsidP="009C58C8">
      <w:pPr>
        <w:ind w:left="0" w:firstLine="227"/>
        <w:jc w:val="both"/>
        <w:rPr>
          <w:sz w:val="36"/>
          <w:szCs w:val="36"/>
          <w:rtl/>
        </w:rPr>
      </w:pPr>
      <w:r w:rsidRPr="00FD211F">
        <w:rPr>
          <w:b/>
          <w:bCs/>
          <w:sz w:val="36"/>
          <w:szCs w:val="36"/>
          <w:rtl/>
        </w:rPr>
        <w:t>ا</w:t>
      </w:r>
      <w:r w:rsidR="00014111" w:rsidRPr="00FD211F">
        <w:rPr>
          <w:b/>
          <w:bCs/>
          <w:sz w:val="36"/>
          <w:szCs w:val="36"/>
          <w:rtl/>
        </w:rPr>
        <w:t>لوجه</w:t>
      </w:r>
      <w:r w:rsidR="00E8128F">
        <w:rPr>
          <w:b/>
          <w:bCs/>
          <w:sz w:val="36"/>
          <w:szCs w:val="36"/>
          <w:rtl/>
        </w:rPr>
        <w:t xml:space="preserve"> </w:t>
      </w:r>
      <w:r w:rsidR="00014111" w:rsidRPr="00FD211F">
        <w:rPr>
          <w:b/>
          <w:bCs/>
          <w:sz w:val="36"/>
          <w:szCs w:val="36"/>
          <w:rtl/>
        </w:rPr>
        <w:t>الثالث</w:t>
      </w:r>
      <w:r w:rsidR="00856647" w:rsidRPr="00FD211F">
        <w:rPr>
          <w:sz w:val="36"/>
          <w:szCs w:val="36"/>
          <w:rtl/>
        </w:rPr>
        <w:t>:</w:t>
      </w:r>
      <w:r w:rsidR="00E8128F">
        <w:rPr>
          <w:sz w:val="36"/>
          <w:szCs w:val="36"/>
          <w:rtl/>
        </w:rPr>
        <w:t xml:space="preserve"> </w:t>
      </w:r>
      <w:r w:rsidRPr="00FD211F">
        <w:rPr>
          <w:sz w:val="36"/>
          <w:szCs w:val="36"/>
          <w:rtl/>
        </w:rPr>
        <w:t>ما</w:t>
      </w:r>
      <w:r w:rsidR="00E8128F">
        <w:rPr>
          <w:sz w:val="36"/>
          <w:szCs w:val="36"/>
          <w:rtl/>
        </w:rPr>
        <w:t xml:space="preserve"> </w:t>
      </w:r>
      <w:r w:rsidR="002A755A" w:rsidRPr="00FD211F">
        <w:rPr>
          <w:sz w:val="36"/>
          <w:szCs w:val="36"/>
          <w:rtl/>
        </w:rPr>
        <w:t>حكي</w:t>
      </w:r>
      <w:r w:rsidR="00E8128F">
        <w:rPr>
          <w:sz w:val="36"/>
          <w:szCs w:val="36"/>
          <w:rtl/>
        </w:rPr>
        <w:t xml:space="preserve"> </w:t>
      </w:r>
      <w:r w:rsidR="002A755A" w:rsidRPr="00FD211F">
        <w:rPr>
          <w:sz w:val="36"/>
          <w:szCs w:val="36"/>
          <w:rtl/>
        </w:rPr>
        <w:t>عن</w:t>
      </w:r>
      <w:r w:rsidR="00E8128F">
        <w:rPr>
          <w:sz w:val="36"/>
          <w:szCs w:val="36"/>
          <w:rtl/>
        </w:rPr>
        <w:t xml:space="preserve"> </w:t>
      </w:r>
      <w:r w:rsidR="00424F57" w:rsidRPr="00FD211F">
        <w:rPr>
          <w:sz w:val="36"/>
          <w:szCs w:val="36"/>
          <w:rtl/>
        </w:rPr>
        <w:t>السيد</w:t>
      </w:r>
      <w:r w:rsidR="00E8128F">
        <w:rPr>
          <w:sz w:val="36"/>
          <w:szCs w:val="36"/>
          <w:rtl/>
        </w:rPr>
        <w:t xml:space="preserve"> </w:t>
      </w:r>
      <w:r w:rsidR="00424F57" w:rsidRPr="00FD211F">
        <w:rPr>
          <w:sz w:val="36"/>
          <w:szCs w:val="36"/>
          <w:rtl/>
        </w:rPr>
        <w:t>الخوئي</w:t>
      </w:r>
      <w:r w:rsidR="00E8128F">
        <w:rPr>
          <w:sz w:val="36"/>
          <w:szCs w:val="36"/>
          <w:rtl/>
        </w:rPr>
        <w:t xml:space="preserve"> </w:t>
      </w:r>
      <w:r w:rsidR="00540EE5" w:rsidRPr="00FD211F">
        <w:rPr>
          <w:sz w:val="36"/>
          <w:szCs w:val="36"/>
          <w:rtl/>
        </w:rPr>
        <w:t>"</w:t>
      </w:r>
      <w:r w:rsidR="00424F57" w:rsidRPr="00FD211F">
        <w:rPr>
          <w:sz w:val="36"/>
          <w:szCs w:val="36"/>
          <w:rtl/>
        </w:rPr>
        <w:t>قده</w:t>
      </w:r>
      <w:r w:rsidR="00540EE5" w:rsidRPr="00FD211F">
        <w:rPr>
          <w:sz w:val="36"/>
          <w:szCs w:val="36"/>
          <w:rtl/>
        </w:rPr>
        <w:t>"</w:t>
      </w:r>
      <w:r w:rsidR="00E8128F">
        <w:rPr>
          <w:sz w:val="36"/>
          <w:szCs w:val="36"/>
          <w:rtl/>
        </w:rPr>
        <w:t xml:space="preserve"> </w:t>
      </w:r>
      <w:r w:rsidR="00424F57" w:rsidRPr="00FD211F">
        <w:rPr>
          <w:sz w:val="36"/>
          <w:szCs w:val="36"/>
          <w:rtl/>
        </w:rPr>
        <w:t>ايضا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الجامع</w:t>
      </w:r>
      <w:r w:rsidR="00E8128F">
        <w:rPr>
          <w:sz w:val="36"/>
          <w:szCs w:val="36"/>
          <w:rtl/>
        </w:rPr>
        <w:t xml:space="preserve"> </w:t>
      </w:r>
      <w:r w:rsidRPr="00FD211F">
        <w:rPr>
          <w:sz w:val="36"/>
          <w:szCs w:val="36"/>
          <w:rtl/>
        </w:rPr>
        <w:t>الحقيقي</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المنتقض</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فيه</w:t>
      </w:r>
      <w:r w:rsidR="00424F57" w:rsidRPr="00FD211F">
        <w:rPr>
          <w:sz w:val="36"/>
          <w:szCs w:val="36"/>
          <w:rtl/>
        </w:rPr>
        <w:t>ا</w:t>
      </w:r>
      <w:r w:rsidR="00E8128F">
        <w:rPr>
          <w:sz w:val="36"/>
          <w:szCs w:val="36"/>
          <w:rtl/>
        </w:rPr>
        <w:t xml:space="preserve"> </w:t>
      </w:r>
      <w:r w:rsidRPr="00FD211F">
        <w:rPr>
          <w:sz w:val="36"/>
          <w:szCs w:val="36"/>
          <w:rtl/>
        </w:rPr>
        <w:t>بالوجود</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فقل</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w:t>
      </w:r>
      <w:r w:rsidR="00424F57" w:rsidRPr="00FD211F">
        <w:rPr>
          <w:sz w:val="36"/>
          <w:szCs w:val="36"/>
          <w:rtl/>
        </w:rPr>
        <w:t>ت</w:t>
      </w:r>
      <w:r w:rsidRPr="00FD211F">
        <w:rPr>
          <w:sz w:val="36"/>
          <w:szCs w:val="36"/>
          <w:rtl/>
        </w:rPr>
        <w:t>ي</w:t>
      </w:r>
      <w:r w:rsidR="00E8128F">
        <w:rPr>
          <w:sz w:val="36"/>
          <w:szCs w:val="36"/>
          <w:rtl/>
        </w:rPr>
        <w:t xml:space="preserve"> </w:t>
      </w:r>
      <w:r w:rsidRPr="00FD211F">
        <w:rPr>
          <w:sz w:val="36"/>
          <w:szCs w:val="36"/>
          <w:rtl/>
        </w:rPr>
        <w:t>خرج</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فيه</w:t>
      </w:r>
      <w:r w:rsidR="00424F57" w:rsidRPr="00FD211F">
        <w:rPr>
          <w:sz w:val="36"/>
          <w:szCs w:val="36"/>
          <w:rtl/>
        </w:rPr>
        <w:t>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العدم</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الوجود</w:t>
      </w:r>
      <w:r w:rsidR="00E8128F">
        <w:rPr>
          <w:sz w:val="36"/>
          <w:szCs w:val="36"/>
          <w:rtl/>
        </w:rPr>
        <w:t xml:space="preserve"> </w:t>
      </w:r>
      <w:r w:rsidRPr="00FD211F">
        <w:rPr>
          <w:sz w:val="36"/>
          <w:szCs w:val="36"/>
          <w:rtl/>
        </w:rPr>
        <w:t>لابشرط</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بقاءه</w:t>
      </w:r>
      <w:r w:rsidR="00E8128F">
        <w:rPr>
          <w:sz w:val="36"/>
          <w:szCs w:val="36"/>
          <w:rtl/>
        </w:rPr>
        <w:t xml:space="preserve"> </w:t>
      </w:r>
      <w:r w:rsidRPr="00FD211F">
        <w:rPr>
          <w:sz w:val="36"/>
          <w:szCs w:val="36"/>
          <w:rtl/>
        </w:rPr>
        <w:t>وزواله</w:t>
      </w:r>
      <w:r w:rsidR="009C58C8" w:rsidRPr="00FD211F">
        <w:rPr>
          <w:rStyle w:val="a6"/>
          <w:sz w:val="36"/>
          <w:szCs w:val="36"/>
          <w:rtl/>
        </w:rPr>
        <w:t>(</w:t>
      </w:r>
      <w:r w:rsidR="009C58C8" w:rsidRPr="00FD211F">
        <w:rPr>
          <w:rStyle w:val="a6"/>
          <w:sz w:val="36"/>
          <w:szCs w:val="36"/>
          <w:rtl/>
        </w:rPr>
        <w:footnoteReference w:id="549"/>
      </w:r>
      <w:r w:rsidR="009C58C8" w:rsidRPr="00FD211F">
        <w:rPr>
          <w:rStyle w:val="a6"/>
          <w:sz w:val="36"/>
          <w:szCs w:val="36"/>
          <w:rtl/>
        </w:rPr>
        <w:t>)</w:t>
      </w:r>
      <w:r w:rsidR="00424F57" w:rsidRPr="00FD211F">
        <w:rPr>
          <w:sz w:val="36"/>
          <w:szCs w:val="36"/>
          <w:rtl/>
        </w:rPr>
        <w:t>.</w:t>
      </w:r>
    </w:p>
    <w:p w14:paraId="36625172" w14:textId="77777777" w:rsidR="000C5BBA" w:rsidRPr="00FD211F" w:rsidRDefault="00A635E9" w:rsidP="009C58C8">
      <w:pPr>
        <w:ind w:left="0" w:firstLine="227"/>
        <w:jc w:val="both"/>
        <w:rPr>
          <w:sz w:val="36"/>
          <w:szCs w:val="36"/>
          <w:rtl/>
        </w:rPr>
      </w:pPr>
      <w:r w:rsidRPr="00FD211F">
        <w:rPr>
          <w:sz w:val="36"/>
          <w:szCs w:val="36"/>
          <w:rtl/>
        </w:rPr>
        <w:t>واورد</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00424F57" w:rsidRPr="00FD211F">
        <w:rPr>
          <w:sz w:val="36"/>
          <w:szCs w:val="36"/>
          <w:rtl/>
        </w:rPr>
        <w:t>ما</w:t>
      </w:r>
      <w:r w:rsidR="00E8128F">
        <w:rPr>
          <w:sz w:val="36"/>
          <w:szCs w:val="36"/>
          <w:rtl/>
        </w:rPr>
        <w:t xml:space="preserve"> </w:t>
      </w:r>
      <w:r w:rsidR="00424F57" w:rsidRPr="00FD211F">
        <w:rPr>
          <w:sz w:val="36"/>
          <w:szCs w:val="36"/>
          <w:rtl/>
        </w:rPr>
        <w:t>محصله:</w:t>
      </w:r>
      <w:r w:rsidR="00E8128F">
        <w:rPr>
          <w:sz w:val="36"/>
          <w:szCs w:val="36"/>
          <w:rtl/>
        </w:rPr>
        <w:t xml:space="preserve"> </w:t>
      </w:r>
      <w:r w:rsidRPr="00FD211F">
        <w:rPr>
          <w:sz w:val="36"/>
          <w:szCs w:val="36"/>
          <w:rtl/>
        </w:rPr>
        <w:t>اولا</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لايحتمل</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المفاهيم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لايفهم</w:t>
      </w:r>
      <w:r w:rsidR="00E8128F">
        <w:rPr>
          <w:sz w:val="36"/>
          <w:szCs w:val="36"/>
          <w:rtl/>
        </w:rPr>
        <w:t xml:space="preserve"> </w:t>
      </w:r>
      <w:r w:rsidRPr="00FD211F">
        <w:rPr>
          <w:sz w:val="36"/>
          <w:szCs w:val="36"/>
          <w:rtl/>
        </w:rPr>
        <w:t>تلبس</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00540EE5" w:rsidRPr="00FD211F">
        <w:rPr>
          <w:sz w:val="36"/>
          <w:szCs w:val="36"/>
          <w:rtl/>
        </w:rPr>
        <w:t>فيه</w:t>
      </w:r>
      <w:r w:rsidR="00E8128F">
        <w:rPr>
          <w:sz w:val="36"/>
          <w:szCs w:val="36"/>
          <w:rtl/>
        </w:rPr>
        <w:t xml:space="preserve"> </w:t>
      </w:r>
      <w:r w:rsidR="00540EE5" w:rsidRPr="00FD211F">
        <w:rPr>
          <w:sz w:val="36"/>
          <w:szCs w:val="36"/>
          <w:rtl/>
        </w:rPr>
        <w:t>بواسط</w:t>
      </w:r>
      <w:r w:rsidR="00EC7EDF" w:rsidRPr="00FD211F">
        <w:rPr>
          <w:sz w:val="36"/>
          <w:szCs w:val="36"/>
          <w:rtl/>
        </w:rPr>
        <w:t>ة</w:t>
      </w:r>
      <w:r w:rsidR="00E8128F">
        <w:rPr>
          <w:sz w:val="36"/>
          <w:szCs w:val="36"/>
          <w:rtl/>
        </w:rPr>
        <w:t xml:space="preserve"> </w:t>
      </w:r>
      <w:r w:rsidR="00540EE5" w:rsidRPr="00FD211F">
        <w:rPr>
          <w:sz w:val="36"/>
          <w:szCs w:val="36"/>
          <w:rtl/>
        </w:rPr>
        <w:t>تصور</w:t>
      </w:r>
      <w:r w:rsidR="00E8128F">
        <w:rPr>
          <w:sz w:val="36"/>
          <w:szCs w:val="36"/>
          <w:rtl/>
        </w:rPr>
        <w:t xml:space="preserve"> </w:t>
      </w:r>
      <w:r w:rsidR="00540EE5" w:rsidRPr="00FD211F">
        <w:rPr>
          <w:sz w:val="36"/>
          <w:szCs w:val="36"/>
          <w:rtl/>
        </w:rPr>
        <w:t>خروج</w:t>
      </w:r>
      <w:r w:rsidR="00E8128F">
        <w:rPr>
          <w:sz w:val="36"/>
          <w:szCs w:val="36"/>
          <w:rtl/>
        </w:rPr>
        <w:t xml:space="preserve"> </w:t>
      </w:r>
      <w:r w:rsidR="00540EE5" w:rsidRPr="00FD211F">
        <w:rPr>
          <w:sz w:val="36"/>
          <w:szCs w:val="36"/>
          <w:rtl/>
        </w:rPr>
        <w:t>المبدأ</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العدم</w:t>
      </w:r>
      <w:r w:rsidR="00E8128F">
        <w:rPr>
          <w:sz w:val="36"/>
          <w:szCs w:val="36"/>
          <w:rtl/>
        </w:rPr>
        <w:t xml:space="preserve"> </w:t>
      </w:r>
      <w:r w:rsidR="00540EE5" w:rsidRPr="00FD211F">
        <w:rPr>
          <w:sz w:val="36"/>
          <w:szCs w:val="36"/>
          <w:rtl/>
        </w:rPr>
        <w:t>الى</w:t>
      </w:r>
      <w:r w:rsidR="00E8128F">
        <w:rPr>
          <w:sz w:val="36"/>
          <w:szCs w:val="36"/>
          <w:rtl/>
        </w:rPr>
        <w:t xml:space="preserve"> </w:t>
      </w:r>
      <w:r w:rsidR="00540EE5" w:rsidRPr="00FD211F">
        <w:rPr>
          <w:sz w:val="36"/>
          <w:szCs w:val="36"/>
          <w:rtl/>
        </w:rPr>
        <w:t>الوجود</w:t>
      </w:r>
      <w:r w:rsidR="00E8128F">
        <w:rPr>
          <w:sz w:val="36"/>
          <w:szCs w:val="36"/>
          <w:rtl/>
        </w:rPr>
        <w:t xml:space="preserve"> </w:t>
      </w:r>
      <w:r w:rsidRPr="00FD211F">
        <w:rPr>
          <w:sz w:val="36"/>
          <w:szCs w:val="36"/>
          <w:rtl/>
        </w:rPr>
        <w:t>او</w:t>
      </w:r>
      <w:r w:rsidR="00E8128F">
        <w:rPr>
          <w:sz w:val="36"/>
          <w:szCs w:val="36"/>
          <w:rtl/>
        </w:rPr>
        <w:t xml:space="preserve"> </w:t>
      </w:r>
      <w:r w:rsidR="00424F57" w:rsidRPr="00FD211F">
        <w:rPr>
          <w:sz w:val="36"/>
          <w:szCs w:val="36"/>
          <w:rtl/>
        </w:rPr>
        <w:t>تصور</w:t>
      </w:r>
      <w:r w:rsidR="00E8128F">
        <w:rPr>
          <w:sz w:val="36"/>
          <w:szCs w:val="36"/>
          <w:rtl/>
        </w:rPr>
        <w:t xml:space="preserve"> </w:t>
      </w:r>
      <w:r w:rsidRPr="00FD211F">
        <w:rPr>
          <w:sz w:val="36"/>
          <w:szCs w:val="36"/>
          <w:rtl/>
        </w:rPr>
        <w:t>انتقاض</w:t>
      </w:r>
      <w:r w:rsidR="00E8128F">
        <w:rPr>
          <w:sz w:val="36"/>
          <w:szCs w:val="36"/>
          <w:rtl/>
        </w:rPr>
        <w:t xml:space="preserve"> </w:t>
      </w:r>
      <w:r w:rsidRPr="00FD211F">
        <w:rPr>
          <w:sz w:val="36"/>
          <w:szCs w:val="36"/>
          <w:rtl/>
        </w:rPr>
        <w:t>العدم</w:t>
      </w:r>
      <w:r w:rsidR="00E8128F">
        <w:rPr>
          <w:sz w:val="36"/>
          <w:szCs w:val="36"/>
          <w:rtl/>
        </w:rPr>
        <w:t xml:space="preserve"> </w:t>
      </w:r>
      <w:r w:rsidRPr="00FD211F">
        <w:rPr>
          <w:sz w:val="36"/>
          <w:szCs w:val="36"/>
          <w:rtl/>
        </w:rPr>
        <w:t>فيه</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يفهم</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نفس</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مباشر</w:t>
      </w:r>
      <w:r w:rsidR="00EC7EDF" w:rsidRPr="00FD211F">
        <w:rPr>
          <w:sz w:val="36"/>
          <w:szCs w:val="36"/>
          <w:rtl/>
        </w:rPr>
        <w:t>ة</w:t>
      </w:r>
      <w:r w:rsidR="00A61BAE" w:rsidRPr="00FD211F">
        <w:rPr>
          <w:sz w:val="36"/>
          <w:szCs w:val="36"/>
          <w:rtl/>
        </w:rPr>
        <w:t>.</w:t>
      </w:r>
    </w:p>
    <w:p w14:paraId="74DB53DC" w14:textId="77777777" w:rsidR="00537BFE" w:rsidRPr="00FD211F" w:rsidRDefault="00A635E9" w:rsidP="009C58C8">
      <w:pPr>
        <w:ind w:left="0" w:firstLine="227"/>
        <w:jc w:val="both"/>
        <w:rPr>
          <w:sz w:val="36"/>
          <w:szCs w:val="36"/>
          <w:rtl/>
        </w:rPr>
      </w:pPr>
      <w:r w:rsidRPr="00FD211F">
        <w:rPr>
          <w:sz w:val="36"/>
          <w:szCs w:val="36"/>
          <w:rtl/>
        </w:rPr>
        <w:t>و</w:t>
      </w:r>
      <w:r w:rsidR="00BE725A" w:rsidRPr="00FD211F">
        <w:rPr>
          <w:sz w:val="36"/>
          <w:szCs w:val="36"/>
          <w:rtl/>
        </w:rPr>
        <w:t>ثانيا</w:t>
      </w:r>
      <w:r w:rsidR="00E8128F">
        <w:rPr>
          <w:sz w:val="36"/>
          <w:szCs w:val="36"/>
          <w:rtl/>
        </w:rPr>
        <w:t xml:space="preserve"> </w:t>
      </w:r>
      <w:r w:rsidR="00BE725A" w:rsidRPr="00FD211F">
        <w:rPr>
          <w:sz w:val="36"/>
          <w:szCs w:val="36"/>
          <w:rtl/>
        </w:rPr>
        <w:t>ان</w:t>
      </w:r>
      <w:r w:rsidR="00E8128F">
        <w:rPr>
          <w:sz w:val="36"/>
          <w:szCs w:val="36"/>
          <w:rtl/>
        </w:rPr>
        <w:t xml:space="preserve"> </w:t>
      </w:r>
      <w:r w:rsidR="00BE725A" w:rsidRPr="00FD211F">
        <w:rPr>
          <w:sz w:val="36"/>
          <w:szCs w:val="36"/>
          <w:rtl/>
        </w:rPr>
        <w:t>مفهوم</w:t>
      </w:r>
      <w:r w:rsidR="00E8128F">
        <w:rPr>
          <w:sz w:val="36"/>
          <w:szCs w:val="36"/>
          <w:rtl/>
        </w:rPr>
        <w:t xml:space="preserve"> </w:t>
      </w:r>
      <w:r w:rsidR="00BE725A" w:rsidRPr="00FD211F">
        <w:rPr>
          <w:sz w:val="36"/>
          <w:szCs w:val="36"/>
          <w:rtl/>
        </w:rPr>
        <w:t>المنتقض</w:t>
      </w:r>
      <w:r w:rsidR="00E8128F">
        <w:rPr>
          <w:sz w:val="36"/>
          <w:szCs w:val="36"/>
          <w:rtl/>
        </w:rPr>
        <w:t xml:space="preserve"> </w:t>
      </w:r>
      <w:r w:rsidR="00BE725A" w:rsidRPr="00FD211F">
        <w:rPr>
          <w:sz w:val="36"/>
          <w:szCs w:val="36"/>
          <w:rtl/>
        </w:rPr>
        <w:t>مشتق</w:t>
      </w:r>
      <w:r w:rsidR="00E8128F">
        <w:rPr>
          <w:sz w:val="36"/>
          <w:szCs w:val="36"/>
          <w:rtl/>
        </w:rPr>
        <w:t xml:space="preserve"> </w:t>
      </w:r>
      <w:r w:rsidRPr="00FD211F">
        <w:rPr>
          <w:sz w:val="36"/>
          <w:szCs w:val="36"/>
          <w:rtl/>
        </w:rPr>
        <w:t>ايضا</w:t>
      </w:r>
      <w:r w:rsidR="00540EE5" w:rsidRPr="00FD211F">
        <w:rPr>
          <w:sz w:val="36"/>
          <w:szCs w:val="36"/>
          <w:rtl/>
        </w:rPr>
        <w:t>فأخذه</w:t>
      </w:r>
      <w:r w:rsidR="00E8128F">
        <w:rPr>
          <w:sz w:val="36"/>
          <w:szCs w:val="36"/>
          <w:rtl/>
        </w:rPr>
        <w:t xml:space="preserve"> </w:t>
      </w:r>
      <w:r w:rsidR="00540EE5" w:rsidRPr="00FD211F">
        <w:rPr>
          <w:sz w:val="36"/>
          <w:szCs w:val="36"/>
          <w:rtl/>
        </w:rPr>
        <w:t>في</w:t>
      </w:r>
      <w:r w:rsidR="00E8128F">
        <w:rPr>
          <w:sz w:val="36"/>
          <w:szCs w:val="36"/>
          <w:rtl/>
        </w:rPr>
        <w:t xml:space="preserve"> </w:t>
      </w:r>
      <w:r w:rsidR="00540EE5" w:rsidRPr="00FD211F">
        <w:rPr>
          <w:sz w:val="36"/>
          <w:szCs w:val="36"/>
          <w:rtl/>
        </w:rPr>
        <w:t>مفهوم</w:t>
      </w:r>
      <w:r w:rsidR="00E8128F">
        <w:rPr>
          <w:sz w:val="36"/>
          <w:szCs w:val="36"/>
          <w:rtl/>
        </w:rPr>
        <w:t xml:space="preserve"> </w:t>
      </w:r>
      <w:r w:rsidR="00BE725A" w:rsidRPr="00FD211F">
        <w:rPr>
          <w:sz w:val="36"/>
          <w:szCs w:val="36"/>
          <w:rtl/>
        </w:rPr>
        <w:t>سائر</w:t>
      </w:r>
      <w:r w:rsidR="00E8128F">
        <w:rPr>
          <w:sz w:val="36"/>
          <w:szCs w:val="36"/>
          <w:rtl/>
        </w:rPr>
        <w:t xml:space="preserve"> </w:t>
      </w:r>
      <w:r w:rsidR="00540EE5" w:rsidRPr="00FD211F">
        <w:rPr>
          <w:sz w:val="36"/>
          <w:szCs w:val="36"/>
          <w:rtl/>
        </w:rPr>
        <w:t>المشتق</w:t>
      </w:r>
      <w:r w:rsidR="00BE725A" w:rsidRPr="00FD211F">
        <w:rPr>
          <w:sz w:val="36"/>
          <w:szCs w:val="36"/>
          <w:rtl/>
        </w:rPr>
        <w:t>ات</w:t>
      </w:r>
      <w:r w:rsidR="00E8128F">
        <w:rPr>
          <w:sz w:val="36"/>
          <w:szCs w:val="36"/>
          <w:rtl/>
        </w:rPr>
        <w:t xml:space="preserve"> </w:t>
      </w:r>
      <w:r w:rsidR="00540EE5" w:rsidRPr="00FD211F">
        <w:rPr>
          <w:sz w:val="36"/>
          <w:szCs w:val="36"/>
          <w:rtl/>
        </w:rPr>
        <w:t>لايحل</w:t>
      </w:r>
      <w:r w:rsidR="00E8128F">
        <w:rPr>
          <w:sz w:val="36"/>
          <w:szCs w:val="36"/>
          <w:rtl/>
        </w:rPr>
        <w:t xml:space="preserve"> </w:t>
      </w:r>
      <w:r w:rsidR="00540EE5" w:rsidRPr="00FD211F">
        <w:rPr>
          <w:sz w:val="36"/>
          <w:szCs w:val="36"/>
          <w:rtl/>
        </w:rPr>
        <w:t>المشكل</w:t>
      </w:r>
      <w:r w:rsidR="00EC7EDF" w:rsidRPr="00FD211F">
        <w:rPr>
          <w:sz w:val="36"/>
          <w:szCs w:val="36"/>
          <w:rtl/>
        </w:rPr>
        <w:t>ة</w:t>
      </w:r>
      <w:r w:rsidR="00603323" w:rsidRPr="00FD211F">
        <w:rPr>
          <w:sz w:val="36"/>
          <w:szCs w:val="36"/>
          <w:rtl/>
        </w:rPr>
        <w:t>،</w:t>
      </w:r>
      <w:r w:rsidR="00E8128F">
        <w:rPr>
          <w:sz w:val="36"/>
          <w:szCs w:val="36"/>
          <w:rtl/>
        </w:rPr>
        <w:t xml:space="preserve"> </w:t>
      </w:r>
      <w:r w:rsidR="00537BFE" w:rsidRPr="00FD211F">
        <w:rPr>
          <w:sz w:val="36"/>
          <w:szCs w:val="36"/>
          <w:rtl/>
        </w:rPr>
        <w:t>فلو</w:t>
      </w:r>
      <w:r w:rsidR="00E8128F">
        <w:rPr>
          <w:sz w:val="36"/>
          <w:szCs w:val="36"/>
          <w:rtl/>
        </w:rPr>
        <w:t xml:space="preserve"> </w:t>
      </w:r>
      <w:r w:rsidR="00537BFE" w:rsidRPr="00FD211F">
        <w:rPr>
          <w:sz w:val="36"/>
          <w:szCs w:val="36"/>
          <w:rtl/>
        </w:rPr>
        <w:t>كان</w:t>
      </w:r>
      <w:r w:rsidR="00E8128F">
        <w:rPr>
          <w:sz w:val="36"/>
          <w:szCs w:val="36"/>
          <w:rtl/>
        </w:rPr>
        <w:t xml:space="preserve"> </w:t>
      </w:r>
      <w:r w:rsidR="00BE725A" w:rsidRPr="00FD211F">
        <w:rPr>
          <w:sz w:val="36"/>
          <w:szCs w:val="36"/>
          <w:rtl/>
        </w:rPr>
        <w:t>المرادمن</w:t>
      </w:r>
      <w:r w:rsidR="00E8128F">
        <w:rPr>
          <w:sz w:val="36"/>
          <w:szCs w:val="36"/>
          <w:rtl/>
        </w:rPr>
        <w:t xml:space="preserve"> </w:t>
      </w:r>
      <w:r w:rsidR="00BE725A" w:rsidRPr="00FD211F">
        <w:rPr>
          <w:sz w:val="36"/>
          <w:szCs w:val="36"/>
          <w:rtl/>
        </w:rPr>
        <w:t>المنتقض</w:t>
      </w:r>
      <w:r w:rsidR="00E8128F">
        <w:rPr>
          <w:sz w:val="36"/>
          <w:szCs w:val="36"/>
          <w:rtl/>
        </w:rPr>
        <w:t xml:space="preserve"> </w:t>
      </w:r>
      <w:r w:rsidR="00BE725A" w:rsidRPr="00FD211F">
        <w:rPr>
          <w:sz w:val="36"/>
          <w:szCs w:val="36"/>
          <w:rtl/>
        </w:rPr>
        <w:t>هو</w:t>
      </w:r>
      <w:r w:rsidRPr="00FD211F">
        <w:rPr>
          <w:sz w:val="36"/>
          <w:szCs w:val="36"/>
          <w:rtl/>
        </w:rPr>
        <w:t>ال</w:t>
      </w:r>
      <w:r w:rsidR="002A755A" w:rsidRPr="00FD211F">
        <w:rPr>
          <w:sz w:val="36"/>
          <w:szCs w:val="36"/>
          <w:rtl/>
        </w:rPr>
        <w:t>م</w:t>
      </w:r>
      <w:r w:rsidRPr="00FD211F">
        <w:rPr>
          <w:sz w:val="36"/>
          <w:szCs w:val="36"/>
          <w:rtl/>
        </w:rPr>
        <w:t>تلبس</w:t>
      </w:r>
      <w:r w:rsidR="00E8128F">
        <w:rPr>
          <w:sz w:val="36"/>
          <w:szCs w:val="36"/>
          <w:rtl/>
        </w:rPr>
        <w:t xml:space="preserve"> </w:t>
      </w:r>
      <w:r w:rsidRPr="00FD211F">
        <w:rPr>
          <w:sz w:val="36"/>
          <w:szCs w:val="36"/>
          <w:rtl/>
        </w:rPr>
        <w:t>با</w:t>
      </w:r>
      <w:r w:rsidR="00BE725A" w:rsidRPr="00FD211F">
        <w:rPr>
          <w:sz w:val="36"/>
          <w:szCs w:val="36"/>
          <w:rtl/>
        </w:rPr>
        <w:t>لانتقاض</w:t>
      </w:r>
      <w:r w:rsidR="00E8128F">
        <w:rPr>
          <w:sz w:val="36"/>
          <w:szCs w:val="36"/>
          <w:rtl/>
        </w:rPr>
        <w:t xml:space="preserve"> </w:t>
      </w:r>
      <w:r w:rsidR="00537BFE" w:rsidRPr="00FD211F">
        <w:rPr>
          <w:sz w:val="36"/>
          <w:szCs w:val="36"/>
          <w:rtl/>
        </w:rPr>
        <w:t>فعلا</w:t>
      </w:r>
      <w:r w:rsidR="00E8128F">
        <w:rPr>
          <w:sz w:val="36"/>
          <w:szCs w:val="36"/>
          <w:rtl/>
        </w:rPr>
        <w:t xml:space="preserve"> </w:t>
      </w:r>
      <w:r w:rsidR="00537BFE" w:rsidRPr="00FD211F">
        <w:rPr>
          <w:sz w:val="36"/>
          <w:szCs w:val="36"/>
          <w:rtl/>
        </w:rPr>
        <w:t>فلايكون</w:t>
      </w:r>
      <w:r w:rsidR="00E8128F">
        <w:rPr>
          <w:sz w:val="36"/>
          <w:szCs w:val="36"/>
          <w:rtl/>
        </w:rPr>
        <w:t xml:space="preserve"> </w:t>
      </w:r>
      <w:r w:rsidR="00537BFE" w:rsidRPr="00FD211F">
        <w:rPr>
          <w:sz w:val="36"/>
          <w:szCs w:val="36"/>
          <w:rtl/>
        </w:rPr>
        <w:t>المبدأ</w:t>
      </w:r>
      <w:r w:rsidR="00E8128F">
        <w:rPr>
          <w:sz w:val="36"/>
          <w:szCs w:val="36"/>
          <w:rtl/>
        </w:rPr>
        <w:t xml:space="preserve"> </w:t>
      </w:r>
      <w:r w:rsidR="00537BFE" w:rsidRPr="00FD211F">
        <w:rPr>
          <w:sz w:val="36"/>
          <w:szCs w:val="36"/>
          <w:rtl/>
        </w:rPr>
        <w:t>بالنسب</w:t>
      </w:r>
      <w:r w:rsidR="00EC7EDF" w:rsidRPr="00FD211F">
        <w:rPr>
          <w:sz w:val="36"/>
          <w:szCs w:val="36"/>
          <w:rtl/>
        </w:rPr>
        <w:t>ة</w:t>
      </w:r>
      <w:r w:rsidR="00E8128F">
        <w:rPr>
          <w:sz w:val="36"/>
          <w:szCs w:val="36"/>
          <w:rtl/>
        </w:rPr>
        <w:t xml:space="preserve"> </w:t>
      </w:r>
      <w:r w:rsidR="00537BFE" w:rsidRPr="00FD211F">
        <w:rPr>
          <w:sz w:val="36"/>
          <w:szCs w:val="36"/>
          <w:rtl/>
        </w:rPr>
        <w:t>الى</w:t>
      </w:r>
      <w:r w:rsidR="00E8128F">
        <w:rPr>
          <w:sz w:val="36"/>
          <w:szCs w:val="36"/>
          <w:rtl/>
        </w:rPr>
        <w:t xml:space="preserve"> </w:t>
      </w:r>
      <w:r w:rsidR="00537BFE" w:rsidRPr="00FD211F">
        <w:rPr>
          <w:sz w:val="36"/>
          <w:szCs w:val="36"/>
          <w:rtl/>
        </w:rPr>
        <w:t>الذات</w:t>
      </w:r>
      <w:r w:rsidR="00E8128F">
        <w:rPr>
          <w:sz w:val="36"/>
          <w:szCs w:val="36"/>
          <w:rtl/>
        </w:rPr>
        <w:t xml:space="preserve"> </w:t>
      </w:r>
      <w:r w:rsidR="00537BFE" w:rsidRPr="00FD211F">
        <w:rPr>
          <w:sz w:val="36"/>
          <w:szCs w:val="36"/>
          <w:rtl/>
        </w:rPr>
        <w:t>التى</w:t>
      </w:r>
      <w:r w:rsidR="00E8128F">
        <w:rPr>
          <w:sz w:val="36"/>
          <w:szCs w:val="36"/>
          <w:rtl/>
        </w:rPr>
        <w:t xml:space="preserve"> </w:t>
      </w:r>
      <w:r w:rsidR="00537BFE" w:rsidRPr="00FD211F">
        <w:rPr>
          <w:sz w:val="36"/>
          <w:szCs w:val="36"/>
          <w:rtl/>
        </w:rPr>
        <w:t>ا</w:t>
      </w:r>
      <w:r w:rsidRPr="00FD211F">
        <w:rPr>
          <w:sz w:val="36"/>
          <w:szCs w:val="36"/>
          <w:rtl/>
        </w:rPr>
        <w:t>نقضى</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00537BFE" w:rsidRPr="00FD211F">
        <w:rPr>
          <w:sz w:val="36"/>
          <w:szCs w:val="36"/>
          <w:rtl/>
        </w:rPr>
        <w:t>–كالعلم</w:t>
      </w:r>
      <w:r w:rsidR="00E8128F">
        <w:rPr>
          <w:sz w:val="36"/>
          <w:szCs w:val="36"/>
          <w:rtl/>
        </w:rPr>
        <w:t xml:space="preserve"> </w:t>
      </w:r>
      <w:r w:rsidR="00537BFE" w:rsidRPr="00FD211F">
        <w:rPr>
          <w:sz w:val="36"/>
          <w:szCs w:val="36"/>
          <w:rtl/>
        </w:rPr>
        <w:t>بالنسب</w:t>
      </w:r>
      <w:r w:rsidR="00EC7EDF" w:rsidRPr="00FD211F">
        <w:rPr>
          <w:sz w:val="36"/>
          <w:szCs w:val="36"/>
          <w:rtl/>
        </w:rPr>
        <w:t>ة</w:t>
      </w:r>
      <w:r w:rsidR="00E8128F">
        <w:rPr>
          <w:sz w:val="36"/>
          <w:szCs w:val="36"/>
          <w:rtl/>
        </w:rPr>
        <w:t xml:space="preserve"> </w:t>
      </w:r>
      <w:r w:rsidR="00537BFE" w:rsidRPr="00FD211F">
        <w:rPr>
          <w:sz w:val="36"/>
          <w:szCs w:val="36"/>
          <w:rtl/>
        </w:rPr>
        <w:t>الى</w:t>
      </w:r>
      <w:r w:rsidR="00E8128F">
        <w:rPr>
          <w:sz w:val="36"/>
          <w:szCs w:val="36"/>
          <w:rtl/>
        </w:rPr>
        <w:t xml:space="preserve"> </w:t>
      </w:r>
      <w:r w:rsidR="00537BFE" w:rsidRPr="00FD211F">
        <w:rPr>
          <w:sz w:val="36"/>
          <w:szCs w:val="36"/>
          <w:rtl/>
        </w:rPr>
        <w:t>من</w:t>
      </w:r>
      <w:r w:rsidR="00E8128F">
        <w:rPr>
          <w:sz w:val="36"/>
          <w:szCs w:val="36"/>
          <w:rtl/>
        </w:rPr>
        <w:t xml:space="preserve"> </w:t>
      </w:r>
      <w:r w:rsidR="00537BFE" w:rsidRPr="00FD211F">
        <w:rPr>
          <w:sz w:val="36"/>
          <w:szCs w:val="36"/>
          <w:rtl/>
        </w:rPr>
        <w:t>انقضى</w:t>
      </w:r>
      <w:r w:rsidR="00E8128F">
        <w:rPr>
          <w:sz w:val="36"/>
          <w:szCs w:val="36"/>
          <w:rtl/>
        </w:rPr>
        <w:t xml:space="preserve"> </w:t>
      </w:r>
      <w:r w:rsidR="00537BFE" w:rsidRPr="00FD211F">
        <w:rPr>
          <w:sz w:val="36"/>
          <w:szCs w:val="36"/>
          <w:rtl/>
        </w:rPr>
        <w:t>عنه</w:t>
      </w:r>
      <w:r w:rsidR="00E8128F">
        <w:rPr>
          <w:sz w:val="36"/>
          <w:szCs w:val="36"/>
          <w:rtl/>
        </w:rPr>
        <w:t xml:space="preserve"> </w:t>
      </w:r>
      <w:r w:rsidR="00537BFE" w:rsidRPr="00FD211F">
        <w:rPr>
          <w:sz w:val="36"/>
          <w:szCs w:val="36"/>
          <w:rtl/>
        </w:rPr>
        <w:t>التلبس</w:t>
      </w:r>
      <w:r w:rsidR="00E8128F">
        <w:rPr>
          <w:sz w:val="36"/>
          <w:szCs w:val="36"/>
          <w:rtl/>
        </w:rPr>
        <w:t xml:space="preserve"> </w:t>
      </w:r>
      <w:r w:rsidR="00537BFE" w:rsidRPr="00FD211F">
        <w:rPr>
          <w:sz w:val="36"/>
          <w:szCs w:val="36"/>
          <w:rtl/>
        </w:rPr>
        <w:t>به</w:t>
      </w:r>
      <w:r w:rsidR="00E8128F">
        <w:rPr>
          <w:sz w:val="36"/>
          <w:szCs w:val="36"/>
          <w:rtl/>
        </w:rPr>
        <w:t xml:space="preserve"> </w:t>
      </w:r>
      <w:r w:rsidR="00537BFE" w:rsidRPr="00FD211F">
        <w:rPr>
          <w:sz w:val="36"/>
          <w:szCs w:val="36"/>
          <w:rtl/>
        </w:rPr>
        <w:t>-</w:t>
      </w:r>
      <w:r w:rsidR="00E8128F">
        <w:rPr>
          <w:sz w:val="36"/>
          <w:szCs w:val="36"/>
          <w:rtl/>
        </w:rPr>
        <w:t xml:space="preserve"> </w:t>
      </w:r>
      <w:r w:rsidRPr="00FD211F">
        <w:rPr>
          <w:sz w:val="36"/>
          <w:szCs w:val="36"/>
          <w:rtl/>
        </w:rPr>
        <w:t>متلبسا</w:t>
      </w:r>
      <w:r w:rsidR="00E8128F">
        <w:rPr>
          <w:sz w:val="36"/>
          <w:szCs w:val="36"/>
          <w:rtl/>
        </w:rPr>
        <w:t xml:space="preserve"> </w:t>
      </w:r>
      <w:r w:rsidRPr="00FD211F">
        <w:rPr>
          <w:sz w:val="36"/>
          <w:szCs w:val="36"/>
          <w:rtl/>
        </w:rPr>
        <w:t>بانتقاض</w:t>
      </w:r>
      <w:r w:rsidR="00E8128F">
        <w:rPr>
          <w:sz w:val="36"/>
          <w:szCs w:val="36"/>
          <w:rtl/>
        </w:rPr>
        <w:t xml:space="preserve"> </w:t>
      </w:r>
      <w:r w:rsidRPr="00FD211F">
        <w:rPr>
          <w:sz w:val="36"/>
          <w:szCs w:val="36"/>
          <w:rtl/>
        </w:rPr>
        <w:t>العدم</w:t>
      </w:r>
      <w:r w:rsidR="00E8128F">
        <w:rPr>
          <w:sz w:val="36"/>
          <w:szCs w:val="36"/>
          <w:rtl/>
        </w:rPr>
        <w:t xml:space="preserve"> </w:t>
      </w:r>
      <w:r w:rsidRPr="00FD211F">
        <w:rPr>
          <w:sz w:val="36"/>
          <w:szCs w:val="36"/>
          <w:rtl/>
        </w:rPr>
        <w:t>فعلا</w:t>
      </w:r>
      <w:r w:rsidR="00603323" w:rsidRPr="00FD211F">
        <w:rPr>
          <w:sz w:val="36"/>
          <w:szCs w:val="36"/>
          <w:rtl/>
        </w:rPr>
        <w:t>،</w:t>
      </w:r>
      <w:r w:rsidR="00E8128F">
        <w:rPr>
          <w:sz w:val="36"/>
          <w:szCs w:val="36"/>
          <w:rtl/>
        </w:rPr>
        <w:t xml:space="preserve"> </w:t>
      </w:r>
      <w:r w:rsidR="00537BFE" w:rsidRPr="00FD211F">
        <w:rPr>
          <w:sz w:val="36"/>
          <w:szCs w:val="36"/>
          <w:rtl/>
        </w:rPr>
        <w:t>فان</w:t>
      </w:r>
      <w:r w:rsidR="00E8128F">
        <w:rPr>
          <w:sz w:val="36"/>
          <w:szCs w:val="36"/>
          <w:rtl/>
        </w:rPr>
        <w:t xml:space="preserve"> </w:t>
      </w:r>
      <w:r w:rsidR="00537BFE" w:rsidRPr="00FD211F">
        <w:rPr>
          <w:sz w:val="36"/>
          <w:szCs w:val="36"/>
          <w:rtl/>
        </w:rPr>
        <w:t>ادعي</w:t>
      </w:r>
      <w:r w:rsidR="00E8128F">
        <w:rPr>
          <w:sz w:val="36"/>
          <w:szCs w:val="36"/>
          <w:rtl/>
        </w:rPr>
        <w:t xml:space="preserve"> </w:t>
      </w:r>
      <w:r w:rsidR="00537BFE" w:rsidRPr="00FD211F">
        <w:rPr>
          <w:sz w:val="36"/>
          <w:szCs w:val="36"/>
          <w:rtl/>
        </w:rPr>
        <w:t>أ</w:t>
      </w:r>
      <w:r w:rsidRPr="00FD211F">
        <w:rPr>
          <w:sz w:val="36"/>
          <w:szCs w:val="36"/>
          <w:rtl/>
        </w:rPr>
        <w:t>ن</w:t>
      </w:r>
      <w:r w:rsidR="00E8128F">
        <w:rPr>
          <w:sz w:val="36"/>
          <w:szCs w:val="36"/>
          <w:rtl/>
        </w:rPr>
        <w:t xml:space="preserve"> </w:t>
      </w:r>
      <w:r w:rsidRPr="00FD211F">
        <w:rPr>
          <w:sz w:val="36"/>
          <w:szCs w:val="36"/>
          <w:rtl/>
        </w:rPr>
        <w:t>المنتقض</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انتقض</w:t>
      </w:r>
      <w:r w:rsidR="00E8128F">
        <w:rPr>
          <w:sz w:val="36"/>
          <w:szCs w:val="36"/>
          <w:rtl/>
        </w:rPr>
        <w:t xml:space="preserve"> </w:t>
      </w:r>
      <w:r w:rsidRPr="00FD211F">
        <w:rPr>
          <w:sz w:val="36"/>
          <w:szCs w:val="36"/>
          <w:rtl/>
        </w:rPr>
        <w:t>فمرجعه</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التصوير</w:t>
      </w:r>
      <w:r w:rsidR="00E8128F">
        <w:rPr>
          <w:sz w:val="36"/>
          <w:szCs w:val="36"/>
          <w:rtl/>
        </w:rPr>
        <w:t xml:space="preserve"> </w:t>
      </w:r>
      <w:r w:rsidR="00D86960" w:rsidRPr="00FD211F">
        <w:rPr>
          <w:sz w:val="36"/>
          <w:szCs w:val="36"/>
          <w:rtl/>
        </w:rPr>
        <w:t>الاول</w:t>
      </w:r>
      <w:r w:rsidR="00E8128F">
        <w:rPr>
          <w:sz w:val="36"/>
          <w:szCs w:val="36"/>
          <w:rtl/>
        </w:rPr>
        <w:t xml:space="preserve"> </w:t>
      </w:r>
      <w:r w:rsidR="00D86960" w:rsidRPr="00FD211F">
        <w:rPr>
          <w:sz w:val="36"/>
          <w:szCs w:val="36"/>
          <w:rtl/>
        </w:rPr>
        <w:t>الذي</w:t>
      </w:r>
      <w:r w:rsidR="00E8128F">
        <w:rPr>
          <w:sz w:val="36"/>
          <w:szCs w:val="36"/>
          <w:rtl/>
        </w:rPr>
        <w:t xml:space="preserve"> </w:t>
      </w:r>
      <w:r w:rsidR="00D86960" w:rsidRPr="00FD211F">
        <w:rPr>
          <w:sz w:val="36"/>
          <w:szCs w:val="36"/>
          <w:rtl/>
        </w:rPr>
        <w:t>ذكر</w:t>
      </w:r>
      <w:r w:rsidR="00E8128F">
        <w:rPr>
          <w:sz w:val="36"/>
          <w:szCs w:val="36"/>
          <w:rtl/>
        </w:rPr>
        <w:t xml:space="preserve"> </w:t>
      </w:r>
      <w:r w:rsidR="00D86960" w:rsidRPr="00FD211F">
        <w:rPr>
          <w:sz w:val="36"/>
          <w:szCs w:val="36"/>
          <w:rtl/>
        </w:rPr>
        <w:t>للجامع</w:t>
      </w:r>
      <w:r w:rsidR="00E8128F">
        <w:rPr>
          <w:sz w:val="36"/>
          <w:szCs w:val="36"/>
          <w:rtl/>
        </w:rPr>
        <w:t xml:space="preserve"> </w:t>
      </w:r>
      <w:r w:rsidR="00D86960" w:rsidRPr="00FD211F">
        <w:rPr>
          <w:sz w:val="36"/>
          <w:szCs w:val="36"/>
          <w:rtl/>
        </w:rPr>
        <w:t>للأعم</w:t>
      </w:r>
      <w:r w:rsidR="00EC7EDF" w:rsidRPr="00FD211F">
        <w:rPr>
          <w:sz w:val="36"/>
          <w:szCs w:val="36"/>
          <w:rtl/>
        </w:rPr>
        <w:t>.</w:t>
      </w:r>
    </w:p>
    <w:p w14:paraId="1D2D09C6" w14:textId="77777777" w:rsidR="000C5BBA" w:rsidRPr="00FD211F" w:rsidRDefault="00537BFE" w:rsidP="009C58C8">
      <w:pPr>
        <w:ind w:left="0" w:firstLine="227"/>
        <w:jc w:val="both"/>
        <w:rPr>
          <w:sz w:val="36"/>
          <w:szCs w:val="36"/>
          <w:rtl/>
        </w:rPr>
      </w:pPr>
      <w:r w:rsidRPr="00FD211F">
        <w:rPr>
          <w:sz w:val="36"/>
          <w:szCs w:val="36"/>
          <w:rtl/>
        </w:rPr>
        <w:t>ان</w:t>
      </w:r>
      <w:r w:rsidR="00E8128F">
        <w:rPr>
          <w:sz w:val="36"/>
          <w:szCs w:val="36"/>
          <w:rtl/>
        </w:rPr>
        <w:t xml:space="preserve"> </w:t>
      </w:r>
      <w:r w:rsidRPr="00FD211F">
        <w:rPr>
          <w:sz w:val="36"/>
          <w:szCs w:val="36"/>
          <w:rtl/>
        </w:rPr>
        <w:t>قلت</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الجامع</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التي</w:t>
      </w:r>
      <w:r w:rsidR="00E8128F">
        <w:rPr>
          <w:sz w:val="36"/>
          <w:szCs w:val="36"/>
          <w:rtl/>
        </w:rPr>
        <w:t xml:space="preserve"> </w:t>
      </w:r>
      <w:r w:rsidR="00A635E9" w:rsidRPr="00FD211F">
        <w:rPr>
          <w:sz w:val="36"/>
          <w:szCs w:val="36"/>
          <w:rtl/>
        </w:rPr>
        <w:t>يكون</w:t>
      </w:r>
      <w:r w:rsidR="00E8128F">
        <w:rPr>
          <w:sz w:val="36"/>
          <w:szCs w:val="36"/>
          <w:rtl/>
        </w:rPr>
        <w:t xml:space="preserve"> </w:t>
      </w:r>
      <w:r w:rsidR="00A635E9" w:rsidRPr="00FD211F">
        <w:rPr>
          <w:sz w:val="36"/>
          <w:szCs w:val="36"/>
          <w:rtl/>
        </w:rPr>
        <w:t>العدم</w:t>
      </w:r>
      <w:r w:rsidR="00E8128F">
        <w:rPr>
          <w:sz w:val="36"/>
          <w:szCs w:val="36"/>
          <w:rtl/>
        </w:rPr>
        <w:t xml:space="preserve"> </w:t>
      </w:r>
      <w:r w:rsidR="00A635E9" w:rsidRPr="00FD211F">
        <w:rPr>
          <w:sz w:val="36"/>
          <w:szCs w:val="36"/>
          <w:rtl/>
        </w:rPr>
        <w:t>الازلي</w:t>
      </w:r>
      <w:r w:rsidR="00E8128F">
        <w:rPr>
          <w:sz w:val="36"/>
          <w:szCs w:val="36"/>
          <w:rtl/>
        </w:rPr>
        <w:t xml:space="preserve"> </w:t>
      </w:r>
      <w:r w:rsidR="00A635E9" w:rsidRPr="00FD211F">
        <w:rPr>
          <w:sz w:val="36"/>
          <w:szCs w:val="36"/>
          <w:rtl/>
        </w:rPr>
        <w:t>ل</w:t>
      </w:r>
      <w:r w:rsidR="008341E4" w:rsidRPr="00FD211F">
        <w:rPr>
          <w:sz w:val="36"/>
          <w:szCs w:val="36"/>
          <w:rtl/>
        </w:rPr>
        <w:t>ل</w:t>
      </w:r>
      <w:r w:rsidR="0079493B" w:rsidRPr="00FD211F">
        <w:rPr>
          <w:sz w:val="36"/>
          <w:szCs w:val="36"/>
          <w:rtl/>
        </w:rPr>
        <w:t>مبدأ</w:t>
      </w:r>
      <w:r w:rsidR="00E8128F">
        <w:rPr>
          <w:sz w:val="36"/>
          <w:szCs w:val="36"/>
          <w:rtl/>
        </w:rPr>
        <w:t xml:space="preserve"> </w:t>
      </w:r>
      <w:r w:rsidR="00A635E9" w:rsidRPr="00FD211F">
        <w:rPr>
          <w:sz w:val="36"/>
          <w:szCs w:val="36"/>
          <w:rtl/>
        </w:rPr>
        <w:t>فيه</w:t>
      </w:r>
      <w:r w:rsidR="008341E4" w:rsidRPr="00FD211F">
        <w:rPr>
          <w:sz w:val="36"/>
          <w:szCs w:val="36"/>
          <w:rtl/>
        </w:rPr>
        <w:t>ا</w:t>
      </w:r>
      <w:r w:rsidR="00E8128F">
        <w:rPr>
          <w:sz w:val="36"/>
          <w:szCs w:val="36"/>
          <w:rtl/>
        </w:rPr>
        <w:t xml:space="preserve"> </w:t>
      </w:r>
      <w:r w:rsidR="00A635E9" w:rsidRPr="00FD211F">
        <w:rPr>
          <w:sz w:val="36"/>
          <w:szCs w:val="36"/>
          <w:rtl/>
        </w:rPr>
        <w:t>منتقضا</w:t>
      </w:r>
      <w:r w:rsidR="00603323" w:rsidRPr="00FD211F">
        <w:rPr>
          <w:sz w:val="36"/>
          <w:szCs w:val="36"/>
          <w:rtl/>
        </w:rPr>
        <w:t>،</w:t>
      </w:r>
      <w:r w:rsidR="00E8128F">
        <w:rPr>
          <w:sz w:val="36"/>
          <w:szCs w:val="36"/>
          <w:rtl/>
        </w:rPr>
        <w:t xml:space="preserve"> </w:t>
      </w:r>
      <w:r w:rsidR="008341E4" w:rsidRPr="00FD211F">
        <w:rPr>
          <w:sz w:val="36"/>
          <w:szCs w:val="36"/>
          <w:rtl/>
        </w:rPr>
        <w:t>فيشمل</w:t>
      </w:r>
      <w:r w:rsidR="00E8128F">
        <w:rPr>
          <w:sz w:val="36"/>
          <w:szCs w:val="36"/>
          <w:rtl/>
        </w:rPr>
        <w:t xml:space="preserve"> </w:t>
      </w:r>
      <w:r w:rsidR="008341E4" w:rsidRPr="00FD211F">
        <w:rPr>
          <w:sz w:val="36"/>
          <w:szCs w:val="36"/>
          <w:rtl/>
        </w:rPr>
        <w:t>فرض</w:t>
      </w:r>
      <w:r w:rsidR="00E8128F">
        <w:rPr>
          <w:sz w:val="36"/>
          <w:szCs w:val="36"/>
          <w:rtl/>
        </w:rPr>
        <w:t xml:space="preserve"> </w:t>
      </w:r>
      <w:r w:rsidR="008341E4" w:rsidRPr="00FD211F">
        <w:rPr>
          <w:sz w:val="36"/>
          <w:szCs w:val="36"/>
          <w:rtl/>
        </w:rPr>
        <w:t>انقضاء</w:t>
      </w:r>
      <w:r w:rsidR="00E8128F">
        <w:rPr>
          <w:sz w:val="36"/>
          <w:szCs w:val="36"/>
          <w:rtl/>
        </w:rPr>
        <w:t xml:space="preserve"> </w:t>
      </w:r>
      <w:r w:rsidR="008341E4" w:rsidRPr="00FD211F">
        <w:rPr>
          <w:sz w:val="36"/>
          <w:szCs w:val="36"/>
          <w:rtl/>
        </w:rPr>
        <w:t>تلبس</w:t>
      </w:r>
      <w:r w:rsidR="00E8128F">
        <w:rPr>
          <w:sz w:val="36"/>
          <w:szCs w:val="36"/>
          <w:rtl/>
        </w:rPr>
        <w:t xml:space="preserve"> </w:t>
      </w:r>
      <w:r w:rsidR="008341E4" w:rsidRPr="00FD211F">
        <w:rPr>
          <w:sz w:val="36"/>
          <w:szCs w:val="36"/>
          <w:rtl/>
        </w:rPr>
        <w:t>الذات</w:t>
      </w:r>
      <w:r w:rsidR="00E8128F">
        <w:rPr>
          <w:sz w:val="36"/>
          <w:szCs w:val="36"/>
          <w:rtl/>
        </w:rPr>
        <w:t xml:space="preserve"> </w:t>
      </w:r>
      <w:r w:rsidR="008341E4" w:rsidRPr="00FD211F">
        <w:rPr>
          <w:sz w:val="36"/>
          <w:szCs w:val="36"/>
          <w:rtl/>
        </w:rPr>
        <w:t>بالمبدأ.</w:t>
      </w:r>
    </w:p>
    <w:p w14:paraId="63DCA54D" w14:textId="77777777" w:rsidR="00A635E9" w:rsidRPr="00FD211F" w:rsidRDefault="00A635E9" w:rsidP="009C58C8">
      <w:pPr>
        <w:ind w:left="0" w:firstLine="227"/>
        <w:jc w:val="both"/>
        <w:rPr>
          <w:sz w:val="36"/>
          <w:szCs w:val="36"/>
          <w:rtl/>
        </w:rPr>
      </w:pPr>
      <w:r w:rsidRPr="00FD211F">
        <w:rPr>
          <w:sz w:val="36"/>
          <w:szCs w:val="36"/>
          <w:rtl/>
        </w:rPr>
        <w:t>قلت</w:t>
      </w:r>
      <w:r w:rsidR="00E8128F">
        <w:rPr>
          <w:sz w:val="36"/>
          <w:szCs w:val="36"/>
          <w:rtl/>
        </w:rPr>
        <w:t xml:space="preserve"> </w:t>
      </w:r>
      <w:r w:rsidRPr="00FD211F">
        <w:rPr>
          <w:sz w:val="36"/>
          <w:szCs w:val="36"/>
          <w:rtl/>
        </w:rPr>
        <w:t>نعم</w:t>
      </w:r>
      <w:r w:rsidR="00E8128F">
        <w:rPr>
          <w:sz w:val="36"/>
          <w:szCs w:val="36"/>
          <w:rtl/>
        </w:rPr>
        <w:t xml:space="preserve"> </w:t>
      </w:r>
      <w:r w:rsidRPr="00FD211F">
        <w:rPr>
          <w:sz w:val="36"/>
          <w:szCs w:val="36"/>
          <w:rtl/>
        </w:rPr>
        <w:t>ولكن</w:t>
      </w:r>
      <w:r w:rsidR="00E8128F">
        <w:rPr>
          <w:sz w:val="36"/>
          <w:szCs w:val="36"/>
          <w:rtl/>
        </w:rPr>
        <w:t xml:space="preserve"> </w:t>
      </w:r>
      <w:r w:rsidRPr="00FD211F">
        <w:rPr>
          <w:sz w:val="36"/>
          <w:szCs w:val="36"/>
          <w:rtl/>
        </w:rPr>
        <w:t>يرد</w:t>
      </w:r>
      <w:r w:rsidR="00E8128F">
        <w:rPr>
          <w:sz w:val="36"/>
          <w:szCs w:val="36"/>
          <w:rtl/>
        </w:rPr>
        <w:t xml:space="preserve"> </w:t>
      </w:r>
      <w:r w:rsidRPr="00FD211F">
        <w:rPr>
          <w:sz w:val="36"/>
          <w:szCs w:val="36"/>
          <w:rtl/>
        </w:rPr>
        <w:t>عليه</w:t>
      </w:r>
      <w:r w:rsidR="00E8128F">
        <w:rPr>
          <w:sz w:val="36"/>
          <w:szCs w:val="36"/>
          <w:rtl/>
        </w:rPr>
        <w:t xml:space="preserve"> </w:t>
      </w:r>
      <w:r w:rsidR="00D86960" w:rsidRPr="00FD211F">
        <w:rPr>
          <w:sz w:val="36"/>
          <w:szCs w:val="36"/>
          <w:rtl/>
        </w:rPr>
        <w:t>اشكال</w:t>
      </w:r>
      <w:r w:rsidR="00E8128F">
        <w:rPr>
          <w:sz w:val="36"/>
          <w:szCs w:val="36"/>
          <w:rtl/>
        </w:rPr>
        <w:t xml:space="preserve"> </w:t>
      </w:r>
      <w:r w:rsidR="00D86960" w:rsidRPr="00FD211F">
        <w:rPr>
          <w:sz w:val="36"/>
          <w:szCs w:val="36"/>
          <w:rtl/>
        </w:rPr>
        <w:t>عدم</w:t>
      </w:r>
      <w:r w:rsidR="00E8128F">
        <w:rPr>
          <w:sz w:val="36"/>
          <w:szCs w:val="36"/>
          <w:rtl/>
        </w:rPr>
        <w:t xml:space="preserve"> </w:t>
      </w:r>
      <w:r w:rsidR="00D86960" w:rsidRPr="00FD211F">
        <w:rPr>
          <w:sz w:val="36"/>
          <w:szCs w:val="36"/>
          <w:rtl/>
        </w:rPr>
        <w:t>احتمال</w:t>
      </w:r>
      <w:r w:rsidR="00E8128F">
        <w:rPr>
          <w:sz w:val="36"/>
          <w:szCs w:val="36"/>
          <w:rtl/>
        </w:rPr>
        <w:t xml:space="preserve"> </w:t>
      </w:r>
      <w:r w:rsidR="00D86960" w:rsidRPr="00FD211F">
        <w:rPr>
          <w:sz w:val="36"/>
          <w:szCs w:val="36"/>
          <w:rtl/>
        </w:rPr>
        <w:t>اخذ</w:t>
      </w:r>
      <w:r w:rsidR="00E8128F">
        <w:rPr>
          <w:sz w:val="36"/>
          <w:szCs w:val="36"/>
          <w:rtl/>
        </w:rPr>
        <w:t xml:space="preserve"> </w:t>
      </w:r>
      <w:r w:rsidR="00D86960" w:rsidRPr="00FD211F">
        <w:rPr>
          <w:sz w:val="36"/>
          <w:szCs w:val="36"/>
          <w:rtl/>
        </w:rPr>
        <w:t>هذه</w:t>
      </w:r>
      <w:r w:rsidR="00E8128F">
        <w:rPr>
          <w:sz w:val="36"/>
          <w:szCs w:val="36"/>
          <w:rtl/>
        </w:rPr>
        <w:t xml:space="preserve"> </w:t>
      </w:r>
      <w:r w:rsidR="00D86960" w:rsidRPr="00FD211F">
        <w:rPr>
          <w:sz w:val="36"/>
          <w:szCs w:val="36"/>
          <w:rtl/>
        </w:rPr>
        <w:t>المفاهيم</w:t>
      </w:r>
      <w:r w:rsidR="00E8128F">
        <w:rPr>
          <w:sz w:val="36"/>
          <w:szCs w:val="36"/>
          <w:rtl/>
        </w:rPr>
        <w:t xml:space="preserve"> </w:t>
      </w:r>
      <w:r w:rsidR="00D86960" w:rsidRPr="00FD211F">
        <w:rPr>
          <w:sz w:val="36"/>
          <w:szCs w:val="36"/>
          <w:rtl/>
        </w:rPr>
        <w:t>في</w:t>
      </w:r>
      <w:r w:rsidR="00E8128F">
        <w:rPr>
          <w:sz w:val="36"/>
          <w:szCs w:val="36"/>
          <w:rtl/>
        </w:rPr>
        <w:t xml:space="preserve"> </w:t>
      </w:r>
      <w:r w:rsidR="00D86960" w:rsidRPr="00FD211F">
        <w:rPr>
          <w:sz w:val="36"/>
          <w:szCs w:val="36"/>
          <w:rtl/>
        </w:rPr>
        <w:t>المشتق</w:t>
      </w:r>
      <w:r w:rsidR="009C58C8" w:rsidRPr="00FD211F">
        <w:rPr>
          <w:rStyle w:val="a6"/>
          <w:sz w:val="36"/>
          <w:szCs w:val="36"/>
          <w:rtl/>
        </w:rPr>
        <w:t>(</w:t>
      </w:r>
      <w:r w:rsidR="009C58C8" w:rsidRPr="00FD211F">
        <w:rPr>
          <w:rStyle w:val="a6"/>
          <w:sz w:val="36"/>
          <w:szCs w:val="36"/>
          <w:rtl/>
        </w:rPr>
        <w:footnoteReference w:id="550"/>
      </w:r>
      <w:r w:rsidR="009C58C8" w:rsidRPr="00FD211F">
        <w:rPr>
          <w:rStyle w:val="a6"/>
          <w:sz w:val="36"/>
          <w:szCs w:val="36"/>
          <w:rtl/>
        </w:rPr>
        <w:t>)</w:t>
      </w:r>
      <w:r w:rsidRPr="00FD211F">
        <w:rPr>
          <w:sz w:val="36"/>
          <w:szCs w:val="36"/>
          <w:rtl/>
        </w:rPr>
        <w:t>.</w:t>
      </w:r>
    </w:p>
    <w:p w14:paraId="22BE79E7" w14:textId="77777777" w:rsidR="00424F57" w:rsidRPr="00FD211F" w:rsidRDefault="002A728E" w:rsidP="009C58C8">
      <w:pPr>
        <w:ind w:left="0" w:firstLine="227"/>
        <w:jc w:val="both"/>
        <w:rPr>
          <w:sz w:val="36"/>
          <w:szCs w:val="36"/>
          <w:rtl/>
        </w:rPr>
      </w:pPr>
      <w:r w:rsidRPr="00FD211F">
        <w:rPr>
          <w:sz w:val="36"/>
          <w:szCs w:val="36"/>
          <w:rtl/>
        </w:rPr>
        <w:t>اقول:</w:t>
      </w:r>
      <w:r w:rsidR="00E8128F">
        <w:rPr>
          <w:sz w:val="36"/>
          <w:szCs w:val="36"/>
          <w:rtl/>
        </w:rPr>
        <w:t xml:space="preserve"> </w:t>
      </w:r>
      <w:r w:rsidRPr="00FD211F">
        <w:rPr>
          <w:sz w:val="36"/>
          <w:szCs w:val="36"/>
          <w:rtl/>
        </w:rPr>
        <w:t>الظاهر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انتقاض</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انتقاض</w:t>
      </w:r>
      <w:r w:rsidR="00E8128F">
        <w:rPr>
          <w:sz w:val="36"/>
          <w:szCs w:val="36"/>
          <w:rtl/>
        </w:rPr>
        <w:t xml:space="preserve"> </w:t>
      </w:r>
      <w:r w:rsidRPr="00FD211F">
        <w:rPr>
          <w:sz w:val="36"/>
          <w:szCs w:val="36"/>
          <w:rtl/>
        </w:rPr>
        <w:t>طبيعي</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w:t>
      </w:r>
      <w:r w:rsidR="0079493B" w:rsidRPr="00FD211F">
        <w:rPr>
          <w:sz w:val="36"/>
          <w:szCs w:val="36"/>
          <w:rtl/>
        </w:rPr>
        <w:t>مبدأ</w:t>
      </w:r>
      <w:r w:rsidR="00603323" w:rsidRPr="00FD211F">
        <w:rPr>
          <w:sz w:val="36"/>
          <w:szCs w:val="36"/>
          <w:rtl/>
        </w:rPr>
        <w:t>،</w:t>
      </w:r>
      <w:r w:rsidR="00E8128F">
        <w:rPr>
          <w:sz w:val="36"/>
          <w:szCs w:val="36"/>
          <w:rtl/>
        </w:rPr>
        <w:t xml:space="preserve"> </w:t>
      </w:r>
      <w:r w:rsidRPr="00FD211F">
        <w:rPr>
          <w:sz w:val="36"/>
          <w:szCs w:val="36"/>
          <w:rtl/>
        </w:rPr>
        <w:t>وهذا</w:t>
      </w:r>
      <w:r w:rsidR="00E8128F">
        <w:rPr>
          <w:sz w:val="36"/>
          <w:szCs w:val="36"/>
          <w:rtl/>
        </w:rPr>
        <w:t xml:space="preserve"> </w:t>
      </w:r>
      <w:r w:rsidRPr="00FD211F">
        <w:rPr>
          <w:sz w:val="36"/>
          <w:szCs w:val="36"/>
          <w:rtl/>
        </w:rPr>
        <w:t>يحصل</w:t>
      </w:r>
      <w:r w:rsidR="00E8128F">
        <w:rPr>
          <w:sz w:val="36"/>
          <w:szCs w:val="36"/>
          <w:rtl/>
        </w:rPr>
        <w:t xml:space="preserve"> </w:t>
      </w:r>
      <w:r w:rsidRPr="00FD211F">
        <w:rPr>
          <w:sz w:val="36"/>
          <w:szCs w:val="36"/>
          <w:rtl/>
        </w:rPr>
        <w:t>باول</w:t>
      </w:r>
      <w:r w:rsidR="00E8128F">
        <w:rPr>
          <w:sz w:val="36"/>
          <w:szCs w:val="36"/>
          <w:rtl/>
        </w:rPr>
        <w:t xml:space="preserve"> </w:t>
      </w:r>
      <w:r w:rsidRPr="00FD211F">
        <w:rPr>
          <w:sz w:val="36"/>
          <w:szCs w:val="36"/>
          <w:rtl/>
        </w:rPr>
        <w:t>وجوده</w:t>
      </w:r>
      <w:r w:rsidR="00603323" w:rsidRPr="00FD211F">
        <w:rPr>
          <w:sz w:val="36"/>
          <w:szCs w:val="36"/>
          <w:rtl/>
        </w:rPr>
        <w:t>،</w:t>
      </w:r>
      <w:r w:rsidR="00E8128F">
        <w:rPr>
          <w:sz w:val="36"/>
          <w:szCs w:val="36"/>
          <w:rtl/>
        </w:rPr>
        <w:t xml:space="preserve"> </w:t>
      </w:r>
      <w:r w:rsidRPr="00FD211F">
        <w:rPr>
          <w:sz w:val="36"/>
          <w:szCs w:val="36"/>
          <w:rtl/>
        </w:rPr>
        <w:t>فلاحاج</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انتقاض</w:t>
      </w:r>
      <w:r w:rsidR="00E8128F">
        <w:rPr>
          <w:sz w:val="36"/>
          <w:szCs w:val="36"/>
          <w:rtl/>
        </w:rPr>
        <w:t xml:space="preserve"> </w:t>
      </w:r>
      <w:r w:rsidRPr="00FD211F">
        <w:rPr>
          <w:sz w:val="36"/>
          <w:szCs w:val="36"/>
          <w:rtl/>
        </w:rPr>
        <w:t>العدم</w:t>
      </w:r>
      <w:r w:rsidR="00E8128F">
        <w:rPr>
          <w:sz w:val="36"/>
          <w:szCs w:val="36"/>
          <w:rtl/>
        </w:rPr>
        <w:t xml:space="preserve"> </w:t>
      </w:r>
      <w:r w:rsidRPr="00FD211F">
        <w:rPr>
          <w:sz w:val="36"/>
          <w:szCs w:val="36"/>
          <w:rtl/>
        </w:rPr>
        <w:t>الازلي</w:t>
      </w:r>
      <w:r w:rsidR="00603323" w:rsidRPr="00FD211F">
        <w:rPr>
          <w:sz w:val="36"/>
          <w:szCs w:val="36"/>
          <w:rtl/>
        </w:rPr>
        <w:t>،</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افاد</w:t>
      </w:r>
      <w:r w:rsidR="00E8128F">
        <w:rPr>
          <w:sz w:val="36"/>
          <w:szCs w:val="36"/>
          <w:rtl/>
        </w:rPr>
        <w:t xml:space="preserve"> </w:t>
      </w:r>
      <w:r w:rsidR="00BD5671" w:rsidRPr="00FD211F">
        <w:rPr>
          <w:sz w:val="36"/>
          <w:szCs w:val="36"/>
          <w:rtl/>
        </w:rPr>
        <w:t>"قده"</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المنساق</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انتقاض</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المفهوم</w:t>
      </w:r>
      <w:r w:rsidR="00E8128F">
        <w:rPr>
          <w:sz w:val="36"/>
          <w:szCs w:val="36"/>
          <w:rtl/>
        </w:rPr>
        <w:t xml:space="preserve"> </w:t>
      </w:r>
      <w:r w:rsidRPr="00FD211F">
        <w:rPr>
          <w:sz w:val="36"/>
          <w:szCs w:val="36"/>
          <w:rtl/>
        </w:rPr>
        <w:t>الاجمالي</w:t>
      </w:r>
      <w:r w:rsidR="00E8128F">
        <w:rPr>
          <w:sz w:val="36"/>
          <w:szCs w:val="36"/>
          <w:rtl/>
        </w:rPr>
        <w:t xml:space="preserve"> </w:t>
      </w:r>
      <w:r w:rsidRPr="00FD211F">
        <w:rPr>
          <w:sz w:val="36"/>
          <w:szCs w:val="36"/>
          <w:rtl/>
        </w:rPr>
        <w:t>الاندماجي</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المنساق</w:t>
      </w:r>
      <w:r w:rsidR="00E8128F">
        <w:rPr>
          <w:sz w:val="36"/>
          <w:szCs w:val="36"/>
          <w:rtl/>
        </w:rPr>
        <w:t xml:space="preserve"> </w:t>
      </w:r>
      <w:r w:rsidRPr="00FD211F">
        <w:rPr>
          <w:sz w:val="36"/>
          <w:szCs w:val="36"/>
          <w:rtl/>
        </w:rPr>
        <w:t>منه</w:t>
      </w:r>
      <w:r w:rsidR="00E8128F">
        <w:rPr>
          <w:sz w:val="36"/>
          <w:szCs w:val="36"/>
          <w:rtl/>
        </w:rPr>
        <w:t xml:space="preserve"> </w:t>
      </w:r>
      <w:r w:rsidRPr="00FD211F">
        <w:rPr>
          <w:sz w:val="36"/>
          <w:szCs w:val="36"/>
          <w:rtl/>
        </w:rPr>
        <w:t>نفس</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مباشر</w:t>
      </w:r>
      <w:r w:rsidR="00EC7EDF" w:rsidRPr="00FD211F">
        <w:rPr>
          <w:sz w:val="36"/>
          <w:szCs w:val="36"/>
          <w:rtl/>
        </w:rPr>
        <w:t>ة</w:t>
      </w:r>
      <w:r w:rsidR="00E8128F">
        <w:rPr>
          <w:sz w:val="36"/>
          <w:szCs w:val="36"/>
          <w:rtl/>
        </w:rPr>
        <w:t xml:space="preserve"> </w:t>
      </w:r>
    </w:p>
    <w:p w14:paraId="00576139" w14:textId="77777777" w:rsidR="000C5BBA" w:rsidRPr="00FD211F" w:rsidRDefault="00142012" w:rsidP="009C58C8">
      <w:pPr>
        <w:ind w:left="0" w:firstLine="227"/>
        <w:jc w:val="both"/>
        <w:rPr>
          <w:sz w:val="36"/>
          <w:szCs w:val="36"/>
          <w:rtl/>
        </w:rPr>
      </w:pPr>
      <w:r w:rsidRPr="00FD211F">
        <w:rPr>
          <w:b/>
          <w:bCs/>
          <w:sz w:val="36"/>
          <w:szCs w:val="36"/>
          <w:rtl/>
        </w:rPr>
        <w:t>الوج</w:t>
      </w:r>
      <w:r w:rsidR="00014111" w:rsidRPr="00FD211F">
        <w:rPr>
          <w:b/>
          <w:bCs/>
          <w:sz w:val="36"/>
          <w:szCs w:val="36"/>
          <w:rtl/>
        </w:rPr>
        <w:t>ه</w:t>
      </w:r>
      <w:r w:rsidR="00E8128F">
        <w:rPr>
          <w:b/>
          <w:bCs/>
          <w:sz w:val="36"/>
          <w:szCs w:val="36"/>
          <w:rtl/>
        </w:rPr>
        <w:t xml:space="preserve"> </w:t>
      </w:r>
      <w:r w:rsidR="00014111" w:rsidRPr="00FD211F">
        <w:rPr>
          <w:b/>
          <w:bCs/>
          <w:sz w:val="36"/>
          <w:szCs w:val="36"/>
          <w:rtl/>
        </w:rPr>
        <w:t>الرابع</w:t>
      </w:r>
      <w:r w:rsidR="00856647" w:rsidRPr="00FD211F">
        <w:rPr>
          <w:sz w:val="36"/>
          <w:szCs w:val="36"/>
          <w:rtl/>
        </w:rPr>
        <w:t>:</w:t>
      </w:r>
      <w:r w:rsidR="00E8128F">
        <w:rPr>
          <w:sz w:val="36"/>
          <w:szCs w:val="36"/>
          <w:rtl/>
        </w:rPr>
        <w:t xml:space="preserve"> </w:t>
      </w:r>
      <w:r w:rsidR="00424F57" w:rsidRPr="00FD211F">
        <w:rPr>
          <w:sz w:val="36"/>
          <w:szCs w:val="36"/>
          <w:rtl/>
        </w:rPr>
        <w:t>ما</w:t>
      </w:r>
      <w:r w:rsidR="00E8128F">
        <w:rPr>
          <w:sz w:val="36"/>
          <w:szCs w:val="36"/>
          <w:rtl/>
        </w:rPr>
        <w:t xml:space="preserve"> </w:t>
      </w:r>
      <w:r w:rsidR="00424F57" w:rsidRPr="00FD211F">
        <w:rPr>
          <w:sz w:val="36"/>
          <w:szCs w:val="36"/>
          <w:rtl/>
        </w:rPr>
        <w:t>يخطر</w:t>
      </w:r>
      <w:r w:rsidR="00E8128F">
        <w:rPr>
          <w:sz w:val="36"/>
          <w:szCs w:val="36"/>
          <w:rtl/>
        </w:rPr>
        <w:t xml:space="preserve"> </w:t>
      </w:r>
      <w:r w:rsidR="002A728E" w:rsidRPr="00FD211F">
        <w:rPr>
          <w:sz w:val="36"/>
          <w:szCs w:val="36"/>
          <w:rtl/>
        </w:rPr>
        <w:t>بالبال</w:t>
      </w:r>
      <w:r w:rsidR="00E8128F">
        <w:rPr>
          <w:sz w:val="36"/>
          <w:szCs w:val="36"/>
          <w:rtl/>
        </w:rPr>
        <w:t xml:space="preserve"> </w:t>
      </w:r>
      <w:r w:rsidR="00424F57" w:rsidRPr="00FD211F">
        <w:rPr>
          <w:sz w:val="36"/>
          <w:szCs w:val="36"/>
          <w:rtl/>
        </w:rPr>
        <w:t>من</w:t>
      </w:r>
      <w:r w:rsidR="00E8128F">
        <w:rPr>
          <w:sz w:val="36"/>
          <w:szCs w:val="36"/>
          <w:rtl/>
        </w:rPr>
        <w:t xml:space="preserve"> </w:t>
      </w:r>
      <w:r w:rsidR="00424F57" w:rsidRPr="00FD211F">
        <w:rPr>
          <w:sz w:val="36"/>
          <w:szCs w:val="36"/>
          <w:rtl/>
        </w:rPr>
        <w:t>امكان</w:t>
      </w:r>
      <w:r w:rsidR="00E8128F">
        <w:rPr>
          <w:sz w:val="36"/>
          <w:szCs w:val="36"/>
          <w:rtl/>
        </w:rPr>
        <w:t xml:space="preserve"> </w:t>
      </w:r>
      <w:r w:rsidR="00424F57" w:rsidRPr="00FD211F">
        <w:rPr>
          <w:sz w:val="36"/>
          <w:szCs w:val="36"/>
          <w:rtl/>
        </w:rPr>
        <w:t>تصوير</w:t>
      </w:r>
      <w:r w:rsidR="00E8128F">
        <w:rPr>
          <w:sz w:val="36"/>
          <w:szCs w:val="36"/>
          <w:rtl/>
        </w:rPr>
        <w:t xml:space="preserve"> </w:t>
      </w:r>
      <w:r w:rsidR="00A635E9" w:rsidRPr="00FD211F">
        <w:rPr>
          <w:sz w:val="36"/>
          <w:szCs w:val="36"/>
          <w:rtl/>
        </w:rPr>
        <w:t>جامع</w:t>
      </w:r>
      <w:r w:rsidR="00E8128F">
        <w:rPr>
          <w:sz w:val="36"/>
          <w:szCs w:val="36"/>
          <w:rtl/>
        </w:rPr>
        <w:t xml:space="preserve"> </w:t>
      </w:r>
      <w:r w:rsidR="00A635E9" w:rsidRPr="00FD211F">
        <w:rPr>
          <w:sz w:val="36"/>
          <w:szCs w:val="36"/>
          <w:rtl/>
        </w:rPr>
        <w:t>اعمي</w:t>
      </w:r>
      <w:r w:rsidR="00E8128F">
        <w:rPr>
          <w:sz w:val="36"/>
          <w:szCs w:val="36"/>
          <w:rtl/>
        </w:rPr>
        <w:t xml:space="preserve"> </w:t>
      </w:r>
      <w:r w:rsidR="00A635E9" w:rsidRPr="00FD211F">
        <w:rPr>
          <w:sz w:val="36"/>
          <w:szCs w:val="36"/>
          <w:rtl/>
        </w:rPr>
        <w:t>عرفي</w:t>
      </w:r>
      <w:r w:rsidR="00E8128F">
        <w:rPr>
          <w:sz w:val="36"/>
          <w:szCs w:val="36"/>
          <w:rtl/>
        </w:rPr>
        <w:t xml:space="preserve"> </w:t>
      </w:r>
      <w:r w:rsidR="00A635E9" w:rsidRPr="00FD211F">
        <w:rPr>
          <w:sz w:val="36"/>
          <w:szCs w:val="36"/>
          <w:rtl/>
        </w:rPr>
        <w:t>وهو</w:t>
      </w:r>
      <w:r w:rsidR="00E8128F">
        <w:rPr>
          <w:sz w:val="36"/>
          <w:szCs w:val="36"/>
          <w:rtl/>
        </w:rPr>
        <w:t xml:space="preserve"> </w:t>
      </w:r>
      <w:r w:rsidR="00A635E9" w:rsidRPr="00FD211F">
        <w:rPr>
          <w:sz w:val="36"/>
          <w:szCs w:val="36"/>
          <w:rtl/>
        </w:rPr>
        <w:t>الذات</w:t>
      </w:r>
      <w:r w:rsidR="00E8128F">
        <w:rPr>
          <w:sz w:val="36"/>
          <w:szCs w:val="36"/>
          <w:rtl/>
        </w:rPr>
        <w:t xml:space="preserve"> </w:t>
      </w:r>
      <w:r w:rsidR="00A635E9" w:rsidRPr="00FD211F">
        <w:rPr>
          <w:sz w:val="36"/>
          <w:szCs w:val="36"/>
          <w:rtl/>
        </w:rPr>
        <w:t>المنسوب</w:t>
      </w:r>
      <w:r w:rsidR="00E8128F">
        <w:rPr>
          <w:sz w:val="36"/>
          <w:szCs w:val="36"/>
          <w:rtl/>
        </w:rPr>
        <w:t xml:space="preserve"> </w:t>
      </w:r>
      <w:r w:rsidR="00A635E9" w:rsidRPr="00FD211F">
        <w:rPr>
          <w:sz w:val="36"/>
          <w:szCs w:val="36"/>
          <w:rtl/>
        </w:rPr>
        <w:t>اليه</w:t>
      </w:r>
      <w:r w:rsidR="00424F57" w:rsidRPr="00FD211F">
        <w:rPr>
          <w:sz w:val="36"/>
          <w:szCs w:val="36"/>
          <w:rtl/>
        </w:rPr>
        <w:t>ا</w:t>
      </w:r>
      <w:r w:rsidR="00E8128F">
        <w:rPr>
          <w:sz w:val="36"/>
          <w:szCs w:val="36"/>
          <w:rtl/>
        </w:rPr>
        <w:t xml:space="preserve"> </w:t>
      </w:r>
      <w:r w:rsidR="00A635E9" w:rsidRPr="00FD211F">
        <w:rPr>
          <w:sz w:val="36"/>
          <w:szCs w:val="36"/>
          <w:rtl/>
        </w:rPr>
        <w:t>ال</w:t>
      </w:r>
      <w:r w:rsidR="0079493B" w:rsidRPr="00FD211F">
        <w:rPr>
          <w:sz w:val="36"/>
          <w:szCs w:val="36"/>
          <w:rtl/>
        </w:rPr>
        <w:t>مبدأ</w:t>
      </w:r>
      <w:r w:rsidR="00E8128F">
        <w:rPr>
          <w:sz w:val="36"/>
          <w:szCs w:val="36"/>
          <w:rtl/>
        </w:rPr>
        <w:t xml:space="preserve"> </w:t>
      </w:r>
      <w:r w:rsidR="00540EE5" w:rsidRPr="00FD211F">
        <w:rPr>
          <w:sz w:val="36"/>
          <w:szCs w:val="36"/>
          <w:rtl/>
        </w:rPr>
        <w:t>بالنسب</w:t>
      </w:r>
      <w:r w:rsidR="00EC7EDF" w:rsidRPr="00FD211F">
        <w:rPr>
          <w:sz w:val="36"/>
          <w:szCs w:val="36"/>
          <w:rtl/>
        </w:rPr>
        <w:t>ة</w:t>
      </w:r>
      <w:r w:rsidR="00E8128F">
        <w:rPr>
          <w:sz w:val="36"/>
          <w:szCs w:val="36"/>
          <w:rtl/>
        </w:rPr>
        <w:t xml:space="preserve"> </w:t>
      </w:r>
      <w:r w:rsidR="00540EE5" w:rsidRPr="00FD211F">
        <w:rPr>
          <w:sz w:val="36"/>
          <w:szCs w:val="36"/>
          <w:rtl/>
        </w:rPr>
        <w:t>التحققي</w:t>
      </w:r>
      <w:r w:rsidR="00EC7EDF" w:rsidRPr="00FD211F">
        <w:rPr>
          <w:sz w:val="36"/>
          <w:szCs w:val="36"/>
          <w:rtl/>
        </w:rPr>
        <w:t>ة</w:t>
      </w:r>
      <w:r w:rsidR="00E8128F">
        <w:rPr>
          <w:sz w:val="36"/>
          <w:szCs w:val="36"/>
          <w:rtl/>
        </w:rPr>
        <w:t xml:space="preserve"> </w:t>
      </w:r>
      <w:r w:rsidR="00540EE5" w:rsidRPr="00FD211F">
        <w:rPr>
          <w:sz w:val="36"/>
          <w:szCs w:val="36"/>
          <w:rtl/>
        </w:rPr>
        <w:t>سواء</w:t>
      </w:r>
      <w:r w:rsidR="00E8128F">
        <w:rPr>
          <w:sz w:val="36"/>
          <w:szCs w:val="36"/>
          <w:rtl/>
        </w:rPr>
        <w:t xml:space="preserve"> </w:t>
      </w:r>
      <w:r w:rsidR="00540EE5" w:rsidRPr="00FD211F">
        <w:rPr>
          <w:sz w:val="36"/>
          <w:szCs w:val="36"/>
          <w:rtl/>
        </w:rPr>
        <w:t>كان</w:t>
      </w:r>
      <w:r w:rsidR="00E8128F">
        <w:rPr>
          <w:sz w:val="36"/>
          <w:szCs w:val="36"/>
          <w:rtl/>
        </w:rPr>
        <w:t xml:space="preserve"> </w:t>
      </w:r>
      <w:r w:rsidR="00540EE5" w:rsidRPr="00FD211F">
        <w:rPr>
          <w:sz w:val="36"/>
          <w:szCs w:val="36"/>
          <w:rtl/>
        </w:rPr>
        <w:t>المبدأ</w:t>
      </w:r>
      <w:r w:rsidR="00E8128F">
        <w:rPr>
          <w:sz w:val="36"/>
          <w:szCs w:val="36"/>
          <w:rtl/>
        </w:rPr>
        <w:t xml:space="preserve"> </w:t>
      </w:r>
      <w:r w:rsidR="00A635E9" w:rsidRPr="00FD211F">
        <w:rPr>
          <w:sz w:val="36"/>
          <w:szCs w:val="36"/>
          <w:rtl/>
        </w:rPr>
        <w:t>باقيا</w:t>
      </w:r>
      <w:r w:rsidR="00E8128F">
        <w:rPr>
          <w:sz w:val="36"/>
          <w:szCs w:val="36"/>
          <w:rtl/>
        </w:rPr>
        <w:t xml:space="preserve"> </w:t>
      </w:r>
      <w:r w:rsidR="00A635E9" w:rsidRPr="00FD211F">
        <w:rPr>
          <w:sz w:val="36"/>
          <w:szCs w:val="36"/>
          <w:rtl/>
        </w:rPr>
        <w:t>او</w:t>
      </w:r>
      <w:r w:rsidR="00E8128F">
        <w:rPr>
          <w:sz w:val="36"/>
          <w:szCs w:val="36"/>
          <w:rtl/>
        </w:rPr>
        <w:t xml:space="preserve"> </w:t>
      </w:r>
      <w:r w:rsidR="00A635E9" w:rsidRPr="00FD211F">
        <w:rPr>
          <w:sz w:val="36"/>
          <w:szCs w:val="36"/>
          <w:rtl/>
        </w:rPr>
        <w:t>زائلا</w:t>
      </w:r>
      <w:r w:rsidR="00603323" w:rsidRPr="00FD211F">
        <w:rPr>
          <w:sz w:val="36"/>
          <w:szCs w:val="36"/>
          <w:rtl/>
        </w:rPr>
        <w:t>،</w:t>
      </w:r>
      <w:r w:rsidR="00E8128F">
        <w:rPr>
          <w:sz w:val="36"/>
          <w:szCs w:val="36"/>
          <w:rtl/>
        </w:rPr>
        <w:t xml:space="preserve"> </w:t>
      </w:r>
      <w:r w:rsidR="00A635E9" w:rsidRPr="00FD211F">
        <w:rPr>
          <w:sz w:val="36"/>
          <w:szCs w:val="36"/>
          <w:rtl/>
        </w:rPr>
        <w:t>فان</w:t>
      </w:r>
      <w:r w:rsidR="00E8128F">
        <w:rPr>
          <w:sz w:val="36"/>
          <w:szCs w:val="36"/>
          <w:rtl/>
        </w:rPr>
        <w:t xml:space="preserve"> </w:t>
      </w:r>
      <w:r w:rsidR="00A635E9" w:rsidRPr="00FD211F">
        <w:rPr>
          <w:sz w:val="36"/>
          <w:szCs w:val="36"/>
          <w:rtl/>
        </w:rPr>
        <w:t>الوجدان</w:t>
      </w:r>
      <w:r w:rsidR="00E8128F">
        <w:rPr>
          <w:sz w:val="36"/>
          <w:szCs w:val="36"/>
          <w:rtl/>
        </w:rPr>
        <w:t xml:space="preserve"> </w:t>
      </w:r>
      <w:r w:rsidR="00A635E9" w:rsidRPr="00FD211F">
        <w:rPr>
          <w:sz w:val="36"/>
          <w:szCs w:val="36"/>
          <w:rtl/>
        </w:rPr>
        <w:t>اصدق</w:t>
      </w:r>
      <w:r w:rsidR="00E8128F">
        <w:rPr>
          <w:sz w:val="36"/>
          <w:szCs w:val="36"/>
          <w:rtl/>
        </w:rPr>
        <w:t xml:space="preserve"> </w:t>
      </w:r>
      <w:r w:rsidR="00A635E9" w:rsidRPr="00FD211F">
        <w:rPr>
          <w:sz w:val="36"/>
          <w:szCs w:val="36"/>
          <w:rtl/>
        </w:rPr>
        <w:t>شاهد</w:t>
      </w:r>
      <w:r w:rsidR="00E8128F">
        <w:rPr>
          <w:sz w:val="36"/>
          <w:szCs w:val="36"/>
          <w:rtl/>
        </w:rPr>
        <w:t xml:space="preserve"> </w:t>
      </w:r>
      <w:r w:rsidR="00A635E9" w:rsidRPr="00FD211F">
        <w:rPr>
          <w:sz w:val="36"/>
          <w:szCs w:val="36"/>
          <w:rtl/>
        </w:rPr>
        <w:t>على</w:t>
      </w:r>
      <w:r w:rsidR="00E8128F">
        <w:rPr>
          <w:sz w:val="36"/>
          <w:szCs w:val="36"/>
          <w:rtl/>
        </w:rPr>
        <w:t xml:space="preserve"> </w:t>
      </w:r>
      <w:r w:rsidR="00A635E9" w:rsidRPr="00FD211F">
        <w:rPr>
          <w:sz w:val="36"/>
          <w:szCs w:val="36"/>
          <w:rtl/>
        </w:rPr>
        <w:t>انه</w:t>
      </w:r>
      <w:r w:rsidR="00E8128F">
        <w:rPr>
          <w:sz w:val="36"/>
          <w:szCs w:val="36"/>
          <w:rtl/>
        </w:rPr>
        <w:t xml:space="preserve"> </w:t>
      </w:r>
      <w:r w:rsidR="00A635E9" w:rsidRPr="00FD211F">
        <w:rPr>
          <w:sz w:val="36"/>
          <w:szCs w:val="36"/>
          <w:rtl/>
        </w:rPr>
        <w:t>اذا</w:t>
      </w:r>
      <w:r w:rsidR="00E8128F">
        <w:rPr>
          <w:sz w:val="36"/>
          <w:szCs w:val="36"/>
          <w:rtl/>
        </w:rPr>
        <w:t xml:space="preserve"> </w:t>
      </w:r>
      <w:r w:rsidR="00A635E9" w:rsidRPr="00FD211F">
        <w:rPr>
          <w:sz w:val="36"/>
          <w:szCs w:val="36"/>
          <w:rtl/>
        </w:rPr>
        <w:t>قيل</w:t>
      </w:r>
      <w:r w:rsidR="00E8128F">
        <w:rPr>
          <w:sz w:val="36"/>
          <w:szCs w:val="36"/>
          <w:rtl/>
        </w:rPr>
        <w:t xml:space="preserve"> </w:t>
      </w:r>
      <w:r w:rsidR="00424F57" w:rsidRPr="00FD211F">
        <w:rPr>
          <w:sz w:val="36"/>
          <w:szCs w:val="36"/>
          <w:rtl/>
        </w:rPr>
        <w:t>"</w:t>
      </w:r>
      <w:r w:rsidR="00A635E9" w:rsidRPr="00FD211F">
        <w:rPr>
          <w:sz w:val="36"/>
          <w:szCs w:val="36"/>
          <w:rtl/>
        </w:rPr>
        <w:t>ان</w:t>
      </w:r>
      <w:r w:rsidR="00E8128F">
        <w:rPr>
          <w:sz w:val="36"/>
          <w:szCs w:val="36"/>
          <w:rtl/>
        </w:rPr>
        <w:t xml:space="preserve"> </w:t>
      </w:r>
      <w:r w:rsidR="00A635E9" w:rsidRPr="00FD211F">
        <w:rPr>
          <w:sz w:val="36"/>
          <w:szCs w:val="36"/>
          <w:rtl/>
        </w:rPr>
        <w:t>زيدا</w:t>
      </w:r>
      <w:r w:rsidR="00E8128F">
        <w:rPr>
          <w:sz w:val="36"/>
          <w:szCs w:val="36"/>
          <w:rtl/>
        </w:rPr>
        <w:t xml:space="preserve"> </w:t>
      </w:r>
      <w:r w:rsidR="00A635E9" w:rsidRPr="00FD211F">
        <w:rPr>
          <w:sz w:val="36"/>
          <w:szCs w:val="36"/>
          <w:rtl/>
        </w:rPr>
        <w:t>وعمروا</w:t>
      </w:r>
      <w:r w:rsidR="00E8128F">
        <w:rPr>
          <w:sz w:val="36"/>
          <w:szCs w:val="36"/>
          <w:rtl/>
        </w:rPr>
        <w:t xml:space="preserve"> </w:t>
      </w:r>
      <w:r w:rsidR="00A635E9" w:rsidRPr="00FD211F">
        <w:rPr>
          <w:sz w:val="36"/>
          <w:szCs w:val="36"/>
          <w:rtl/>
        </w:rPr>
        <w:t>مضروبا</w:t>
      </w:r>
      <w:r w:rsidR="00E8128F">
        <w:rPr>
          <w:sz w:val="36"/>
          <w:szCs w:val="36"/>
          <w:rtl/>
        </w:rPr>
        <w:t xml:space="preserve"> </w:t>
      </w:r>
      <w:r w:rsidR="00A635E9" w:rsidRPr="00FD211F">
        <w:rPr>
          <w:sz w:val="36"/>
          <w:szCs w:val="36"/>
          <w:rtl/>
        </w:rPr>
        <w:t>بكر</w:t>
      </w:r>
      <w:r w:rsidR="00424F57" w:rsidRPr="00FD211F">
        <w:rPr>
          <w:sz w:val="36"/>
          <w:szCs w:val="36"/>
          <w:rtl/>
        </w:rPr>
        <w:t>"</w:t>
      </w:r>
      <w:r w:rsidR="00E8128F">
        <w:rPr>
          <w:sz w:val="36"/>
          <w:szCs w:val="36"/>
          <w:rtl/>
        </w:rPr>
        <w:t xml:space="preserve"> </w:t>
      </w:r>
      <w:r w:rsidR="00A635E9" w:rsidRPr="00FD211F">
        <w:rPr>
          <w:sz w:val="36"/>
          <w:szCs w:val="36"/>
          <w:rtl/>
        </w:rPr>
        <w:t>وقد</w:t>
      </w:r>
      <w:r w:rsidR="00E8128F">
        <w:rPr>
          <w:sz w:val="36"/>
          <w:szCs w:val="36"/>
          <w:rtl/>
        </w:rPr>
        <w:t xml:space="preserve"> </w:t>
      </w:r>
      <w:r w:rsidR="00A635E9" w:rsidRPr="00FD211F">
        <w:rPr>
          <w:sz w:val="36"/>
          <w:szCs w:val="36"/>
          <w:rtl/>
        </w:rPr>
        <w:t>كان</w:t>
      </w:r>
      <w:r w:rsidR="00E8128F">
        <w:rPr>
          <w:sz w:val="36"/>
          <w:szCs w:val="36"/>
          <w:rtl/>
        </w:rPr>
        <w:t xml:space="preserve"> </w:t>
      </w:r>
      <w:r w:rsidR="00A635E9" w:rsidRPr="00FD211F">
        <w:rPr>
          <w:sz w:val="36"/>
          <w:szCs w:val="36"/>
          <w:rtl/>
        </w:rPr>
        <w:t>زيد</w:t>
      </w:r>
      <w:r w:rsidR="00E8128F">
        <w:rPr>
          <w:sz w:val="36"/>
          <w:szCs w:val="36"/>
          <w:rtl/>
        </w:rPr>
        <w:t xml:space="preserve"> </w:t>
      </w:r>
      <w:r w:rsidR="00A635E9" w:rsidRPr="00FD211F">
        <w:rPr>
          <w:sz w:val="36"/>
          <w:szCs w:val="36"/>
          <w:rtl/>
        </w:rPr>
        <w:t>قد</w:t>
      </w:r>
      <w:r w:rsidR="00E8128F">
        <w:rPr>
          <w:sz w:val="36"/>
          <w:szCs w:val="36"/>
          <w:rtl/>
        </w:rPr>
        <w:t xml:space="preserve"> </w:t>
      </w:r>
      <w:r w:rsidR="00A635E9" w:rsidRPr="00FD211F">
        <w:rPr>
          <w:sz w:val="36"/>
          <w:szCs w:val="36"/>
          <w:rtl/>
        </w:rPr>
        <w:t>ض</w:t>
      </w:r>
      <w:r w:rsidR="00424F57" w:rsidRPr="00FD211F">
        <w:rPr>
          <w:sz w:val="36"/>
          <w:szCs w:val="36"/>
          <w:rtl/>
        </w:rPr>
        <w:t>ُ</w:t>
      </w:r>
      <w:r w:rsidR="00956DEA" w:rsidRPr="00FD211F">
        <w:rPr>
          <w:sz w:val="36"/>
          <w:szCs w:val="36"/>
          <w:rtl/>
        </w:rPr>
        <w:t>رب</w:t>
      </w:r>
      <w:r w:rsidR="00E8128F">
        <w:rPr>
          <w:sz w:val="36"/>
          <w:szCs w:val="36"/>
          <w:rtl/>
        </w:rPr>
        <w:t xml:space="preserve"> </w:t>
      </w:r>
      <w:r w:rsidR="00956DEA" w:rsidRPr="00FD211F">
        <w:rPr>
          <w:sz w:val="36"/>
          <w:szCs w:val="36"/>
          <w:rtl/>
        </w:rPr>
        <w:t>سابقا</w:t>
      </w:r>
      <w:r w:rsidR="00E8128F">
        <w:rPr>
          <w:sz w:val="36"/>
          <w:szCs w:val="36"/>
          <w:rtl/>
        </w:rPr>
        <w:t xml:space="preserve"> </w:t>
      </w:r>
      <w:r w:rsidR="00641739" w:rsidRPr="00FD211F">
        <w:rPr>
          <w:sz w:val="36"/>
          <w:szCs w:val="36"/>
          <w:rtl/>
        </w:rPr>
        <w:t>ولكن</w:t>
      </w:r>
      <w:r w:rsidR="00E8128F">
        <w:rPr>
          <w:sz w:val="36"/>
          <w:szCs w:val="36"/>
          <w:rtl/>
        </w:rPr>
        <w:t xml:space="preserve"> </w:t>
      </w:r>
      <w:r w:rsidR="002A728E" w:rsidRPr="00FD211F">
        <w:rPr>
          <w:sz w:val="36"/>
          <w:szCs w:val="36"/>
          <w:rtl/>
        </w:rPr>
        <w:t>عمرو</w:t>
      </w:r>
      <w:r w:rsidR="00E8128F">
        <w:rPr>
          <w:sz w:val="36"/>
          <w:szCs w:val="36"/>
          <w:rtl/>
        </w:rPr>
        <w:t xml:space="preserve"> </w:t>
      </w:r>
      <w:r w:rsidR="00A635E9" w:rsidRPr="00FD211F">
        <w:rPr>
          <w:sz w:val="36"/>
          <w:szCs w:val="36"/>
          <w:rtl/>
        </w:rPr>
        <w:t>كان</w:t>
      </w:r>
      <w:r w:rsidR="00E8128F">
        <w:rPr>
          <w:sz w:val="36"/>
          <w:szCs w:val="36"/>
          <w:rtl/>
        </w:rPr>
        <w:t xml:space="preserve"> </w:t>
      </w:r>
      <w:r w:rsidR="00A635E9" w:rsidRPr="00FD211F">
        <w:rPr>
          <w:sz w:val="36"/>
          <w:szCs w:val="36"/>
          <w:rtl/>
        </w:rPr>
        <w:t>يقع</w:t>
      </w:r>
      <w:r w:rsidR="00E8128F">
        <w:rPr>
          <w:sz w:val="36"/>
          <w:szCs w:val="36"/>
          <w:rtl/>
        </w:rPr>
        <w:t xml:space="preserve"> </w:t>
      </w:r>
      <w:r w:rsidR="00A635E9" w:rsidRPr="00FD211F">
        <w:rPr>
          <w:sz w:val="36"/>
          <w:szCs w:val="36"/>
          <w:rtl/>
        </w:rPr>
        <w:t>عليه</w:t>
      </w:r>
      <w:r w:rsidR="00E8128F">
        <w:rPr>
          <w:sz w:val="36"/>
          <w:szCs w:val="36"/>
          <w:rtl/>
        </w:rPr>
        <w:t xml:space="preserve"> </w:t>
      </w:r>
      <w:r w:rsidR="00A635E9" w:rsidRPr="00FD211F">
        <w:rPr>
          <w:sz w:val="36"/>
          <w:szCs w:val="36"/>
          <w:rtl/>
        </w:rPr>
        <w:t>الضرب</w:t>
      </w:r>
      <w:r w:rsidR="00E8128F">
        <w:rPr>
          <w:sz w:val="36"/>
          <w:szCs w:val="36"/>
          <w:rtl/>
        </w:rPr>
        <w:t xml:space="preserve"> </w:t>
      </w:r>
      <w:r w:rsidR="00A635E9" w:rsidRPr="00FD211F">
        <w:rPr>
          <w:sz w:val="36"/>
          <w:szCs w:val="36"/>
          <w:rtl/>
        </w:rPr>
        <w:t>حال</w:t>
      </w:r>
      <w:r w:rsidR="00E8128F">
        <w:rPr>
          <w:sz w:val="36"/>
          <w:szCs w:val="36"/>
          <w:rtl/>
        </w:rPr>
        <w:t xml:space="preserve"> </w:t>
      </w:r>
      <w:r w:rsidR="00A635E9" w:rsidRPr="00FD211F">
        <w:rPr>
          <w:sz w:val="36"/>
          <w:szCs w:val="36"/>
          <w:rtl/>
        </w:rPr>
        <w:t>النطق</w:t>
      </w:r>
      <w:r w:rsidR="00E8128F">
        <w:rPr>
          <w:sz w:val="36"/>
          <w:szCs w:val="36"/>
          <w:rtl/>
        </w:rPr>
        <w:t xml:space="preserve"> </w:t>
      </w:r>
      <w:r w:rsidR="00A635E9" w:rsidRPr="00FD211F">
        <w:rPr>
          <w:sz w:val="36"/>
          <w:szCs w:val="36"/>
          <w:rtl/>
        </w:rPr>
        <w:t>فقد</w:t>
      </w:r>
      <w:r w:rsidR="00E8128F">
        <w:rPr>
          <w:sz w:val="36"/>
          <w:szCs w:val="36"/>
          <w:rtl/>
        </w:rPr>
        <w:t xml:space="preserve"> </w:t>
      </w:r>
      <w:r w:rsidR="00A635E9" w:rsidRPr="00FD211F">
        <w:rPr>
          <w:sz w:val="36"/>
          <w:szCs w:val="36"/>
          <w:rtl/>
        </w:rPr>
        <w:t>لوحظ</w:t>
      </w:r>
      <w:r w:rsidR="00E8128F">
        <w:rPr>
          <w:sz w:val="36"/>
          <w:szCs w:val="36"/>
          <w:rtl/>
        </w:rPr>
        <w:t xml:space="preserve"> </w:t>
      </w:r>
      <w:r w:rsidR="00641739" w:rsidRPr="00FD211F">
        <w:rPr>
          <w:sz w:val="36"/>
          <w:szCs w:val="36"/>
          <w:rtl/>
        </w:rPr>
        <w:t>في</w:t>
      </w:r>
      <w:r w:rsidR="00E8128F">
        <w:rPr>
          <w:sz w:val="36"/>
          <w:szCs w:val="36"/>
          <w:rtl/>
        </w:rPr>
        <w:t xml:space="preserve"> </w:t>
      </w:r>
      <w:r w:rsidR="00641739" w:rsidRPr="00FD211F">
        <w:rPr>
          <w:sz w:val="36"/>
          <w:szCs w:val="36"/>
          <w:rtl/>
        </w:rPr>
        <w:t>المشتق</w:t>
      </w:r>
      <w:r w:rsidR="00E8128F">
        <w:rPr>
          <w:sz w:val="36"/>
          <w:szCs w:val="36"/>
          <w:rtl/>
        </w:rPr>
        <w:t xml:space="preserve"> </w:t>
      </w:r>
      <w:r w:rsidR="00014111" w:rsidRPr="00FD211F">
        <w:rPr>
          <w:sz w:val="36"/>
          <w:szCs w:val="36"/>
          <w:rtl/>
        </w:rPr>
        <w:t>معنى</w:t>
      </w:r>
      <w:r w:rsidR="00E8128F">
        <w:rPr>
          <w:sz w:val="36"/>
          <w:szCs w:val="36"/>
          <w:rtl/>
        </w:rPr>
        <w:t xml:space="preserve"> </w:t>
      </w:r>
      <w:r w:rsidR="00014111" w:rsidRPr="00FD211F">
        <w:rPr>
          <w:sz w:val="36"/>
          <w:szCs w:val="36"/>
          <w:rtl/>
        </w:rPr>
        <w:t>جامع</w:t>
      </w:r>
      <w:r w:rsidR="00603323" w:rsidRPr="00FD211F">
        <w:rPr>
          <w:sz w:val="36"/>
          <w:szCs w:val="36"/>
          <w:rtl/>
        </w:rPr>
        <w:t>،</w:t>
      </w:r>
      <w:r w:rsidR="00E8128F">
        <w:rPr>
          <w:sz w:val="36"/>
          <w:szCs w:val="36"/>
          <w:rtl/>
        </w:rPr>
        <w:t xml:space="preserve"> </w:t>
      </w:r>
      <w:r w:rsidR="00014111" w:rsidRPr="00FD211F">
        <w:rPr>
          <w:sz w:val="36"/>
          <w:szCs w:val="36"/>
          <w:rtl/>
        </w:rPr>
        <w:t>ولاموجب</w:t>
      </w:r>
      <w:r w:rsidR="00E8128F">
        <w:rPr>
          <w:sz w:val="36"/>
          <w:szCs w:val="36"/>
          <w:rtl/>
        </w:rPr>
        <w:t xml:space="preserve"> </w:t>
      </w:r>
      <w:r w:rsidR="00014111" w:rsidRPr="00FD211F">
        <w:rPr>
          <w:sz w:val="36"/>
          <w:szCs w:val="36"/>
          <w:rtl/>
        </w:rPr>
        <w:t>لأ</w:t>
      </w:r>
      <w:r w:rsidR="002A728E" w:rsidRPr="00FD211F">
        <w:rPr>
          <w:sz w:val="36"/>
          <w:szCs w:val="36"/>
          <w:rtl/>
        </w:rPr>
        <w:t>ن</w:t>
      </w:r>
      <w:r w:rsidR="00E8128F">
        <w:rPr>
          <w:sz w:val="36"/>
          <w:szCs w:val="36"/>
          <w:rtl/>
        </w:rPr>
        <w:t xml:space="preserve"> </w:t>
      </w:r>
      <w:r w:rsidR="002A728E" w:rsidRPr="00FD211F">
        <w:rPr>
          <w:sz w:val="36"/>
          <w:szCs w:val="36"/>
          <w:rtl/>
        </w:rPr>
        <w:t>يقال</w:t>
      </w:r>
      <w:r w:rsidR="00E8128F">
        <w:rPr>
          <w:sz w:val="36"/>
          <w:szCs w:val="36"/>
          <w:rtl/>
        </w:rPr>
        <w:t xml:space="preserve"> </w:t>
      </w:r>
      <w:r w:rsidR="002A728E" w:rsidRPr="00FD211F">
        <w:rPr>
          <w:sz w:val="36"/>
          <w:szCs w:val="36"/>
          <w:rtl/>
        </w:rPr>
        <w:t>بان</w:t>
      </w:r>
      <w:r w:rsidR="00E8128F">
        <w:rPr>
          <w:sz w:val="36"/>
          <w:szCs w:val="36"/>
          <w:rtl/>
        </w:rPr>
        <w:t xml:space="preserve"> </w:t>
      </w:r>
      <w:r w:rsidR="00A635E9" w:rsidRPr="00FD211F">
        <w:rPr>
          <w:sz w:val="36"/>
          <w:szCs w:val="36"/>
          <w:rtl/>
        </w:rPr>
        <w:t>اطلاقه</w:t>
      </w:r>
      <w:r w:rsidR="00E8128F">
        <w:rPr>
          <w:sz w:val="36"/>
          <w:szCs w:val="36"/>
          <w:rtl/>
        </w:rPr>
        <w:t xml:space="preserve"> </w:t>
      </w:r>
      <w:r w:rsidR="00A635E9" w:rsidRPr="00FD211F">
        <w:rPr>
          <w:sz w:val="36"/>
          <w:szCs w:val="36"/>
          <w:rtl/>
        </w:rPr>
        <w:t>على</w:t>
      </w:r>
      <w:r w:rsidR="00E8128F">
        <w:rPr>
          <w:sz w:val="36"/>
          <w:szCs w:val="36"/>
          <w:rtl/>
        </w:rPr>
        <w:t xml:space="preserve"> </w:t>
      </w:r>
      <w:r w:rsidR="002A728E" w:rsidRPr="00FD211F">
        <w:rPr>
          <w:sz w:val="36"/>
          <w:szCs w:val="36"/>
          <w:rtl/>
        </w:rPr>
        <w:t>زيد</w:t>
      </w:r>
      <w:r w:rsidR="00E8128F">
        <w:rPr>
          <w:sz w:val="36"/>
          <w:szCs w:val="36"/>
          <w:rtl/>
        </w:rPr>
        <w:t xml:space="preserve"> </w:t>
      </w:r>
      <w:r w:rsidR="00641739" w:rsidRPr="00FD211F">
        <w:rPr>
          <w:sz w:val="36"/>
          <w:szCs w:val="36"/>
          <w:rtl/>
        </w:rPr>
        <w:t>بلحاظ</w:t>
      </w:r>
      <w:r w:rsidR="00E8128F">
        <w:rPr>
          <w:sz w:val="36"/>
          <w:szCs w:val="36"/>
          <w:rtl/>
        </w:rPr>
        <w:t xml:space="preserve"> </w:t>
      </w:r>
      <w:r w:rsidR="00641739" w:rsidRPr="00FD211F">
        <w:rPr>
          <w:sz w:val="36"/>
          <w:szCs w:val="36"/>
          <w:rtl/>
        </w:rPr>
        <w:t>حال</w:t>
      </w:r>
      <w:r w:rsidR="00E8128F">
        <w:rPr>
          <w:sz w:val="36"/>
          <w:szCs w:val="36"/>
          <w:rtl/>
        </w:rPr>
        <w:t xml:space="preserve"> </w:t>
      </w:r>
      <w:r w:rsidR="00641739" w:rsidRPr="00FD211F">
        <w:rPr>
          <w:sz w:val="36"/>
          <w:szCs w:val="36"/>
          <w:rtl/>
        </w:rPr>
        <w:t>التلبس</w:t>
      </w:r>
      <w:r w:rsidR="00E8128F">
        <w:rPr>
          <w:sz w:val="36"/>
          <w:szCs w:val="36"/>
          <w:rtl/>
        </w:rPr>
        <w:t xml:space="preserve"> </w:t>
      </w:r>
      <w:r w:rsidR="002A728E" w:rsidRPr="00FD211F">
        <w:rPr>
          <w:sz w:val="36"/>
          <w:szCs w:val="36"/>
          <w:rtl/>
        </w:rPr>
        <w:t>فيراد</w:t>
      </w:r>
      <w:r w:rsidR="00E8128F">
        <w:rPr>
          <w:sz w:val="36"/>
          <w:szCs w:val="36"/>
          <w:rtl/>
        </w:rPr>
        <w:t xml:space="preserve"> </w:t>
      </w:r>
      <w:r w:rsidR="002A728E" w:rsidRPr="00FD211F">
        <w:rPr>
          <w:sz w:val="36"/>
          <w:szCs w:val="36"/>
          <w:rtl/>
        </w:rPr>
        <w:t>منه</w:t>
      </w:r>
      <w:r w:rsidR="00E8128F">
        <w:rPr>
          <w:sz w:val="36"/>
          <w:szCs w:val="36"/>
          <w:rtl/>
        </w:rPr>
        <w:t xml:space="preserve"> </w:t>
      </w:r>
      <w:r w:rsidR="002A728E" w:rsidRPr="00FD211F">
        <w:rPr>
          <w:sz w:val="36"/>
          <w:szCs w:val="36"/>
          <w:rtl/>
        </w:rPr>
        <w:t>انه</w:t>
      </w:r>
      <w:r w:rsidR="00E8128F">
        <w:rPr>
          <w:sz w:val="36"/>
          <w:szCs w:val="36"/>
          <w:rtl/>
        </w:rPr>
        <w:t xml:space="preserve"> </w:t>
      </w:r>
      <w:r w:rsidR="002A728E" w:rsidRPr="00FD211F">
        <w:rPr>
          <w:sz w:val="36"/>
          <w:szCs w:val="36"/>
          <w:rtl/>
        </w:rPr>
        <w:t>كان</w:t>
      </w:r>
      <w:r w:rsidR="00E8128F">
        <w:rPr>
          <w:sz w:val="36"/>
          <w:szCs w:val="36"/>
          <w:rtl/>
        </w:rPr>
        <w:t xml:space="preserve"> </w:t>
      </w:r>
      <w:r w:rsidR="00641739" w:rsidRPr="00FD211F">
        <w:rPr>
          <w:sz w:val="36"/>
          <w:szCs w:val="36"/>
          <w:rtl/>
        </w:rPr>
        <w:t>مضروبا</w:t>
      </w:r>
      <w:r w:rsidR="00E8128F">
        <w:rPr>
          <w:sz w:val="36"/>
          <w:szCs w:val="36"/>
          <w:rtl/>
        </w:rPr>
        <w:t xml:space="preserve"> </w:t>
      </w:r>
      <w:r w:rsidR="002A728E" w:rsidRPr="00FD211F">
        <w:rPr>
          <w:sz w:val="36"/>
          <w:szCs w:val="36"/>
          <w:rtl/>
        </w:rPr>
        <w:t>سابقا</w:t>
      </w:r>
      <w:r w:rsidR="00014111" w:rsidRPr="00FD211F">
        <w:rPr>
          <w:sz w:val="36"/>
          <w:szCs w:val="36"/>
          <w:rtl/>
        </w:rPr>
        <w:t>.</w:t>
      </w:r>
    </w:p>
    <w:p w14:paraId="33397411" w14:textId="77777777" w:rsidR="00A635E9" w:rsidRPr="00FD211F" w:rsidRDefault="00A635E9" w:rsidP="009C58C8">
      <w:pPr>
        <w:ind w:left="0" w:firstLine="227"/>
        <w:jc w:val="both"/>
        <w:rPr>
          <w:sz w:val="36"/>
          <w:szCs w:val="36"/>
          <w:rtl/>
        </w:rPr>
      </w:pPr>
      <w:r w:rsidRPr="00FD211F">
        <w:rPr>
          <w:sz w:val="36"/>
          <w:szCs w:val="36"/>
          <w:rtl/>
        </w:rPr>
        <w:t>وان</w:t>
      </w:r>
      <w:r w:rsidR="00E8128F">
        <w:rPr>
          <w:sz w:val="36"/>
          <w:szCs w:val="36"/>
          <w:rtl/>
        </w:rPr>
        <w:t xml:space="preserve"> </w:t>
      </w:r>
      <w:r w:rsidRPr="00FD211F">
        <w:rPr>
          <w:sz w:val="36"/>
          <w:szCs w:val="36"/>
          <w:rtl/>
        </w:rPr>
        <w:t>شئت</w:t>
      </w:r>
      <w:r w:rsidR="00E8128F">
        <w:rPr>
          <w:sz w:val="36"/>
          <w:szCs w:val="36"/>
          <w:rtl/>
        </w:rPr>
        <w:t xml:space="preserve"> </w:t>
      </w:r>
      <w:r w:rsidRPr="00FD211F">
        <w:rPr>
          <w:sz w:val="36"/>
          <w:szCs w:val="36"/>
          <w:rtl/>
        </w:rPr>
        <w:t>قلت</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الواضع</w:t>
      </w:r>
      <w:r w:rsidR="00E8128F">
        <w:rPr>
          <w:sz w:val="36"/>
          <w:szCs w:val="36"/>
          <w:rtl/>
        </w:rPr>
        <w:t xml:space="preserve"> </w:t>
      </w:r>
      <w:r w:rsidRPr="00FD211F">
        <w:rPr>
          <w:sz w:val="36"/>
          <w:szCs w:val="36"/>
          <w:rtl/>
        </w:rPr>
        <w:t>يلحظ</w:t>
      </w:r>
      <w:r w:rsidR="00E8128F">
        <w:rPr>
          <w:sz w:val="36"/>
          <w:szCs w:val="36"/>
          <w:rtl/>
        </w:rPr>
        <w:t xml:space="preserve"> </w:t>
      </w:r>
      <w:r w:rsidR="00641739" w:rsidRPr="00FD211F">
        <w:rPr>
          <w:sz w:val="36"/>
          <w:szCs w:val="36"/>
          <w:rtl/>
        </w:rPr>
        <w:t>بنحو</w:t>
      </w:r>
      <w:r w:rsidR="00E8128F">
        <w:rPr>
          <w:sz w:val="36"/>
          <w:szCs w:val="36"/>
          <w:rtl/>
        </w:rPr>
        <w:t xml:space="preserve"> </w:t>
      </w:r>
      <w:r w:rsidR="00641739" w:rsidRPr="00FD211F">
        <w:rPr>
          <w:sz w:val="36"/>
          <w:szCs w:val="36"/>
          <w:rtl/>
        </w:rPr>
        <w:t>الاجمال</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w:t>
      </w:r>
      <w:r w:rsidR="00641739" w:rsidRPr="00FD211F">
        <w:rPr>
          <w:sz w:val="36"/>
          <w:szCs w:val="36"/>
          <w:rtl/>
        </w:rPr>
        <w:t>ت</w:t>
      </w:r>
      <w:r w:rsidRPr="00FD211F">
        <w:rPr>
          <w:sz w:val="36"/>
          <w:szCs w:val="36"/>
          <w:rtl/>
        </w:rPr>
        <w:t>ي</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وقع</w:t>
      </w:r>
      <w:r w:rsidR="00E8128F">
        <w:rPr>
          <w:sz w:val="36"/>
          <w:szCs w:val="36"/>
          <w:rtl/>
        </w:rPr>
        <w:t xml:space="preserve"> </w:t>
      </w:r>
      <w:r w:rsidRPr="00FD211F">
        <w:rPr>
          <w:sz w:val="36"/>
          <w:szCs w:val="36"/>
          <w:rtl/>
        </w:rPr>
        <w:t>عليه</w:t>
      </w:r>
      <w:r w:rsidR="00641739" w:rsidRPr="00FD211F">
        <w:rPr>
          <w:sz w:val="36"/>
          <w:szCs w:val="36"/>
          <w:rtl/>
        </w:rPr>
        <w:t>ا</w:t>
      </w:r>
      <w:r w:rsidR="00E8128F">
        <w:rPr>
          <w:sz w:val="36"/>
          <w:szCs w:val="36"/>
          <w:rtl/>
        </w:rPr>
        <w:t xml:space="preserve"> </w:t>
      </w:r>
      <w:r w:rsidRPr="00FD211F">
        <w:rPr>
          <w:sz w:val="36"/>
          <w:szCs w:val="36"/>
          <w:rtl/>
        </w:rPr>
        <w:t>الضرب</w:t>
      </w:r>
      <w:r w:rsidR="00E8128F">
        <w:rPr>
          <w:sz w:val="36"/>
          <w:szCs w:val="36"/>
          <w:rtl/>
        </w:rPr>
        <w:t xml:space="preserve"> </w:t>
      </w:r>
      <w:r w:rsidRPr="00FD211F">
        <w:rPr>
          <w:sz w:val="36"/>
          <w:szCs w:val="36"/>
          <w:rtl/>
        </w:rPr>
        <w:t>لابشرط</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كون</w:t>
      </w:r>
      <w:r w:rsidR="00E8128F">
        <w:rPr>
          <w:sz w:val="36"/>
          <w:szCs w:val="36"/>
          <w:rtl/>
        </w:rPr>
        <w:t xml:space="preserve"> </w:t>
      </w:r>
      <w:r w:rsidR="00641739" w:rsidRPr="00FD211F">
        <w:rPr>
          <w:sz w:val="36"/>
          <w:szCs w:val="36"/>
          <w:rtl/>
        </w:rPr>
        <w:t>الضرب</w:t>
      </w:r>
      <w:r w:rsidR="00E8128F">
        <w:rPr>
          <w:sz w:val="36"/>
          <w:szCs w:val="36"/>
          <w:rtl/>
        </w:rPr>
        <w:t xml:space="preserve"> </w:t>
      </w:r>
      <w:r w:rsidRPr="00FD211F">
        <w:rPr>
          <w:sz w:val="36"/>
          <w:szCs w:val="36"/>
          <w:rtl/>
        </w:rPr>
        <w:t>باقيا</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منقض</w:t>
      </w:r>
      <w:r w:rsidR="00641739" w:rsidRPr="00FD211F">
        <w:rPr>
          <w:sz w:val="36"/>
          <w:szCs w:val="36"/>
          <w:rtl/>
        </w:rPr>
        <w:t>ي</w:t>
      </w:r>
      <w:r w:rsidRPr="00FD211F">
        <w:rPr>
          <w:sz w:val="36"/>
          <w:szCs w:val="36"/>
          <w:rtl/>
        </w:rPr>
        <w:t>ا</w:t>
      </w:r>
      <w:r w:rsidR="00E8128F">
        <w:rPr>
          <w:sz w:val="36"/>
          <w:szCs w:val="36"/>
          <w:rtl/>
        </w:rPr>
        <w:t xml:space="preserve"> </w:t>
      </w:r>
      <w:r w:rsidRPr="00FD211F">
        <w:rPr>
          <w:sz w:val="36"/>
          <w:szCs w:val="36"/>
          <w:rtl/>
        </w:rPr>
        <w:t>فيضع</w:t>
      </w:r>
      <w:r w:rsidR="00E8128F">
        <w:rPr>
          <w:sz w:val="36"/>
          <w:szCs w:val="36"/>
          <w:rtl/>
        </w:rPr>
        <w:t xml:space="preserve"> </w:t>
      </w:r>
      <w:r w:rsidRPr="00FD211F">
        <w:rPr>
          <w:sz w:val="36"/>
          <w:szCs w:val="36"/>
          <w:rtl/>
        </w:rPr>
        <w:t>اللفظ</w:t>
      </w:r>
      <w:r w:rsidR="00E8128F">
        <w:rPr>
          <w:sz w:val="36"/>
          <w:szCs w:val="36"/>
          <w:rtl/>
        </w:rPr>
        <w:t xml:space="preserve"> </w:t>
      </w:r>
      <w:r w:rsidRPr="00FD211F">
        <w:rPr>
          <w:sz w:val="36"/>
          <w:szCs w:val="36"/>
          <w:rtl/>
        </w:rPr>
        <w:t>بازاء</w:t>
      </w:r>
      <w:r w:rsidR="00E8128F">
        <w:rPr>
          <w:sz w:val="36"/>
          <w:szCs w:val="36"/>
          <w:rtl/>
        </w:rPr>
        <w:t xml:space="preserve"> </w:t>
      </w:r>
      <w:r w:rsidRPr="00FD211F">
        <w:rPr>
          <w:sz w:val="36"/>
          <w:szCs w:val="36"/>
          <w:rtl/>
        </w:rPr>
        <w:t>الصور</w:t>
      </w:r>
      <w:r w:rsidR="00EC7EDF" w:rsidRPr="00FD211F">
        <w:rPr>
          <w:sz w:val="36"/>
          <w:szCs w:val="36"/>
          <w:rtl/>
        </w:rPr>
        <w:t>ة</w:t>
      </w:r>
      <w:r w:rsidR="00E8128F">
        <w:rPr>
          <w:sz w:val="36"/>
          <w:szCs w:val="36"/>
          <w:rtl/>
        </w:rPr>
        <w:t xml:space="preserve"> </w:t>
      </w:r>
      <w:r w:rsidRPr="00FD211F">
        <w:rPr>
          <w:sz w:val="36"/>
          <w:szCs w:val="36"/>
          <w:rtl/>
        </w:rPr>
        <w:t>الاجمالي</w:t>
      </w:r>
      <w:r w:rsidR="00EC7EDF" w:rsidRPr="00FD211F">
        <w:rPr>
          <w:sz w:val="36"/>
          <w:szCs w:val="36"/>
          <w:rtl/>
        </w:rPr>
        <w:t>ة</w:t>
      </w:r>
      <w:r w:rsidR="00E8128F">
        <w:rPr>
          <w:sz w:val="36"/>
          <w:szCs w:val="36"/>
          <w:rtl/>
        </w:rPr>
        <w:t xml:space="preserve"> </w:t>
      </w:r>
      <w:r w:rsidRPr="00FD211F">
        <w:rPr>
          <w:sz w:val="36"/>
          <w:szCs w:val="36"/>
          <w:rtl/>
        </w:rPr>
        <w:t>ولايخفى</w:t>
      </w:r>
      <w:r w:rsidR="00E8128F">
        <w:rPr>
          <w:sz w:val="36"/>
          <w:szCs w:val="36"/>
          <w:rtl/>
        </w:rPr>
        <w:t xml:space="preserve"> </w:t>
      </w:r>
      <w:r w:rsidRPr="00FD211F">
        <w:rPr>
          <w:sz w:val="36"/>
          <w:szCs w:val="36"/>
          <w:rtl/>
        </w:rPr>
        <w:t>ان</w:t>
      </w:r>
      <w:r w:rsidR="00792FC3" w:rsidRPr="00FD211F">
        <w:rPr>
          <w:sz w:val="36"/>
          <w:szCs w:val="36"/>
          <w:rtl/>
        </w:rPr>
        <w:t>ا</w:t>
      </w:r>
      <w:r w:rsidR="00E8128F">
        <w:rPr>
          <w:sz w:val="36"/>
          <w:szCs w:val="36"/>
          <w:rtl/>
        </w:rPr>
        <w:t xml:space="preserve"> </w:t>
      </w:r>
      <w:r w:rsidR="00792FC3" w:rsidRPr="00FD211F">
        <w:rPr>
          <w:sz w:val="36"/>
          <w:szCs w:val="36"/>
          <w:rtl/>
        </w:rPr>
        <w:t>لاندعي</w:t>
      </w:r>
      <w:r w:rsidR="00E8128F">
        <w:rPr>
          <w:sz w:val="36"/>
          <w:szCs w:val="36"/>
          <w:rtl/>
        </w:rPr>
        <w:t xml:space="preserve"> </w:t>
      </w:r>
      <w:r w:rsidR="00792FC3" w:rsidRPr="00FD211F">
        <w:rPr>
          <w:sz w:val="36"/>
          <w:szCs w:val="36"/>
          <w:rtl/>
        </w:rPr>
        <w:t>اخذ</w:t>
      </w:r>
      <w:r w:rsidR="00E8128F">
        <w:rPr>
          <w:sz w:val="36"/>
          <w:szCs w:val="36"/>
          <w:rtl/>
        </w:rPr>
        <w:t xml:space="preserve"> </w:t>
      </w:r>
      <w:r w:rsidR="00792FC3" w:rsidRPr="00FD211F">
        <w:rPr>
          <w:sz w:val="36"/>
          <w:szCs w:val="36"/>
          <w:rtl/>
        </w:rPr>
        <w:t>مفهوم</w:t>
      </w:r>
      <w:r w:rsidR="00E8128F">
        <w:rPr>
          <w:sz w:val="36"/>
          <w:szCs w:val="36"/>
          <w:rtl/>
        </w:rPr>
        <w:t xml:space="preserve"> </w:t>
      </w:r>
      <w:r w:rsidR="00072D5C" w:rsidRPr="00FD211F">
        <w:rPr>
          <w:sz w:val="36"/>
          <w:szCs w:val="36"/>
          <w:rtl/>
        </w:rPr>
        <w:t>الفعل</w:t>
      </w:r>
      <w:r w:rsidR="00E8128F">
        <w:rPr>
          <w:sz w:val="36"/>
          <w:szCs w:val="36"/>
          <w:rtl/>
        </w:rPr>
        <w:t xml:space="preserve"> </w:t>
      </w:r>
      <w:r w:rsidR="00072D5C" w:rsidRPr="00FD211F">
        <w:rPr>
          <w:sz w:val="36"/>
          <w:szCs w:val="36"/>
          <w:rtl/>
        </w:rPr>
        <w:t>الماضي</w:t>
      </w:r>
      <w:r w:rsidR="00E8128F">
        <w:rPr>
          <w:sz w:val="36"/>
          <w:szCs w:val="36"/>
          <w:rtl/>
        </w:rPr>
        <w:t xml:space="preserve"> </w:t>
      </w:r>
      <w:r w:rsidR="00792FC3" w:rsidRPr="00FD211F">
        <w:rPr>
          <w:sz w:val="36"/>
          <w:szCs w:val="36"/>
          <w:rtl/>
        </w:rPr>
        <w:t>بمعناه</w:t>
      </w:r>
      <w:r w:rsidR="00E8128F">
        <w:rPr>
          <w:sz w:val="36"/>
          <w:szCs w:val="36"/>
          <w:rtl/>
        </w:rPr>
        <w:t xml:space="preserve"> </w:t>
      </w:r>
      <w:r w:rsidR="00792FC3" w:rsidRPr="00FD211F">
        <w:rPr>
          <w:sz w:val="36"/>
          <w:szCs w:val="36"/>
          <w:rtl/>
        </w:rPr>
        <w:t>الحقيقي</w:t>
      </w:r>
      <w:r w:rsidR="00E8128F">
        <w:rPr>
          <w:sz w:val="36"/>
          <w:szCs w:val="36"/>
          <w:rtl/>
        </w:rPr>
        <w:t xml:space="preserve"> </w:t>
      </w:r>
      <w:r w:rsidR="00792FC3" w:rsidRPr="00FD211F">
        <w:rPr>
          <w:sz w:val="36"/>
          <w:szCs w:val="36"/>
          <w:rtl/>
        </w:rPr>
        <w:t>في</w:t>
      </w:r>
      <w:r w:rsidR="00E8128F">
        <w:rPr>
          <w:sz w:val="36"/>
          <w:szCs w:val="36"/>
          <w:rtl/>
        </w:rPr>
        <w:t xml:space="preserve"> </w:t>
      </w:r>
      <w:r w:rsidR="00792FC3" w:rsidRPr="00FD211F">
        <w:rPr>
          <w:sz w:val="36"/>
          <w:szCs w:val="36"/>
          <w:rtl/>
        </w:rPr>
        <w:t>المشتق</w:t>
      </w:r>
      <w:r w:rsidR="00E8128F">
        <w:rPr>
          <w:sz w:val="36"/>
          <w:szCs w:val="36"/>
          <w:rtl/>
        </w:rPr>
        <w:t xml:space="preserve"> </w:t>
      </w:r>
      <w:r w:rsidR="00792FC3" w:rsidRPr="00FD211F">
        <w:rPr>
          <w:sz w:val="36"/>
          <w:szCs w:val="36"/>
          <w:rtl/>
        </w:rPr>
        <w:t>حتى</w:t>
      </w:r>
      <w:r w:rsidR="00E8128F">
        <w:rPr>
          <w:sz w:val="36"/>
          <w:szCs w:val="36"/>
          <w:rtl/>
        </w:rPr>
        <w:t xml:space="preserve"> </w:t>
      </w:r>
      <w:r w:rsidR="00792FC3" w:rsidRPr="00FD211F">
        <w:rPr>
          <w:sz w:val="36"/>
          <w:szCs w:val="36"/>
          <w:rtl/>
        </w:rPr>
        <w:t>يرد</w:t>
      </w:r>
      <w:r w:rsidR="00E8128F">
        <w:rPr>
          <w:sz w:val="36"/>
          <w:szCs w:val="36"/>
          <w:rtl/>
        </w:rPr>
        <w:t xml:space="preserve"> </w:t>
      </w:r>
      <w:r w:rsidR="00792FC3" w:rsidRPr="00FD211F">
        <w:rPr>
          <w:sz w:val="36"/>
          <w:szCs w:val="36"/>
          <w:rtl/>
        </w:rPr>
        <w:t>عليه</w:t>
      </w:r>
      <w:r w:rsidR="00E8128F">
        <w:rPr>
          <w:sz w:val="36"/>
          <w:szCs w:val="36"/>
          <w:rtl/>
        </w:rPr>
        <w:t xml:space="preserve"> </w:t>
      </w:r>
      <w:r w:rsidR="00792FC3" w:rsidRPr="00FD211F">
        <w:rPr>
          <w:sz w:val="36"/>
          <w:szCs w:val="36"/>
          <w:rtl/>
        </w:rPr>
        <w:t>ما</w:t>
      </w:r>
      <w:r w:rsidR="00E8128F">
        <w:rPr>
          <w:sz w:val="36"/>
          <w:szCs w:val="36"/>
          <w:rtl/>
        </w:rPr>
        <w:t xml:space="preserve"> </w:t>
      </w:r>
      <w:r w:rsidR="00792FC3" w:rsidRPr="00FD211F">
        <w:rPr>
          <w:sz w:val="36"/>
          <w:szCs w:val="36"/>
          <w:rtl/>
        </w:rPr>
        <w:t>اورد</w:t>
      </w:r>
      <w:r w:rsidR="00E8128F">
        <w:rPr>
          <w:sz w:val="36"/>
          <w:szCs w:val="36"/>
          <w:rtl/>
        </w:rPr>
        <w:t xml:space="preserve"> </w:t>
      </w:r>
      <w:r w:rsidR="00641739" w:rsidRPr="00FD211F">
        <w:rPr>
          <w:sz w:val="36"/>
          <w:szCs w:val="36"/>
          <w:rtl/>
        </w:rPr>
        <w:t>على</w:t>
      </w:r>
      <w:r w:rsidR="00E8128F">
        <w:rPr>
          <w:sz w:val="36"/>
          <w:szCs w:val="36"/>
          <w:rtl/>
        </w:rPr>
        <w:t xml:space="preserve"> </w:t>
      </w:r>
      <w:r w:rsidR="00641739" w:rsidRPr="00FD211F">
        <w:rPr>
          <w:sz w:val="36"/>
          <w:szCs w:val="36"/>
          <w:rtl/>
        </w:rPr>
        <w:t>الوجه</w:t>
      </w:r>
      <w:r w:rsidR="00E8128F">
        <w:rPr>
          <w:sz w:val="36"/>
          <w:szCs w:val="36"/>
          <w:rtl/>
        </w:rPr>
        <w:t xml:space="preserve"> </w:t>
      </w:r>
      <w:r w:rsidR="00641739" w:rsidRPr="00FD211F">
        <w:rPr>
          <w:sz w:val="36"/>
          <w:szCs w:val="36"/>
          <w:rtl/>
        </w:rPr>
        <w:t>الاول</w:t>
      </w:r>
      <w:r w:rsidR="00E8128F">
        <w:rPr>
          <w:sz w:val="36"/>
          <w:szCs w:val="36"/>
          <w:rtl/>
        </w:rPr>
        <w:t xml:space="preserve"> </w:t>
      </w:r>
      <w:r w:rsidR="00641739" w:rsidRPr="00FD211F">
        <w:rPr>
          <w:sz w:val="36"/>
          <w:szCs w:val="36"/>
          <w:rtl/>
        </w:rPr>
        <w:t>بل</w:t>
      </w:r>
      <w:r w:rsidR="00E8128F">
        <w:rPr>
          <w:sz w:val="36"/>
          <w:szCs w:val="36"/>
          <w:rtl/>
        </w:rPr>
        <w:t xml:space="preserve"> </w:t>
      </w:r>
      <w:r w:rsidR="00641739" w:rsidRPr="00FD211F">
        <w:rPr>
          <w:sz w:val="36"/>
          <w:szCs w:val="36"/>
          <w:rtl/>
        </w:rPr>
        <w:t>ندعي</w:t>
      </w:r>
      <w:r w:rsidR="00E8128F">
        <w:rPr>
          <w:sz w:val="36"/>
          <w:szCs w:val="36"/>
          <w:rtl/>
        </w:rPr>
        <w:t xml:space="preserve"> </w:t>
      </w:r>
      <w:r w:rsidR="00792FC3" w:rsidRPr="00FD211F">
        <w:rPr>
          <w:sz w:val="36"/>
          <w:szCs w:val="36"/>
          <w:rtl/>
        </w:rPr>
        <w:t>اخذ</w:t>
      </w:r>
      <w:r w:rsidR="00E8128F">
        <w:rPr>
          <w:sz w:val="36"/>
          <w:szCs w:val="36"/>
          <w:rtl/>
        </w:rPr>
        <w:t xml:space="preserve"> </w:t>
      </w:r>
      <w:r w:rsidR="00792FC3" w:rsidRPr="00FD211F">
        <w:rPr>
          <w:sz w:val="36"/>
          <w:szCs w:val="36"/>
          <w:rtl/>
        </w:rPr>
        <w:t>النسب</w:t>
      </w:r>
      <w:r w:rsidR="00EC7EDF" w:rsidRPr="00FD211F">
        <w:rPr>
          <w:sz w:val="36"/>
          <w:szCs w:val="36"/>
          <w:rtl/>
        </w:rPr>
        <w:t>ة</w:t>
      </w:r>
      <w:r w:rsidR="00E8128F">
        <w:rPr>
          <w:sz w:val="36"/>
          <w:szCs w:val="36"/>
          <w:rtl/>
        </w:rPr>
        <w:t xml:space="preserve"> </w:t>
      </w:r>
      <w:r w:rsidR="00792FC3" w:rsidRPr="00FD211F">
        <w:rPr>
          <w:sz w:val="36"/>
          <w:szCs w:val="36"/>
          <w:rtl/>
        </w:rPr>
        <w:t>التحققي</w:t>
      </w:r>
      <w:r w:rsidR="00EC7EDF" w:rsidRPr="00FD211F">
        <w:rPr>
          <w:sz w:val="36"/>
          <w:szCs w:val="36"/>
          <w:rtl/>
        </w:rPr>
        <w:t>ة</w:t>
      </w:r>
      <w:r w:rsidR="00E8128F">
        <w:rPr>
          <w:sz w:val="36"/>
          <w:szCs w:val="36"/>
          <w:rtl/>
        </w:rPr>
        <w:t xml:space="preserve"> </w:t>
      </w:r>
      <w:r w:rsidR="00792FC3" w:rsidRPr="00FD211F">
        <w:rPr>
          <w:sz w:val="36"/>
          <w:szCs w:val="36"/>
          <w:rtl/>
        </w:rPr>
        <w:t>المقابل</w:t>
      </w:r>
      <w:r w:rsidR="00EC7EDF" w:rsidRPr="00FD211F">
        <w:rPr>
          <w:sz w:val="36"/>
          <w:szCs w:val="36"/>
          <w:rtl/>
        </w:rPr>
        <w:t>ة</w:t>
      </w:r>
      <w:r w:rsidR="00E8128F">
        <w:rPr>
          <w:sz w:val="36"/>
          <w:szCs w:val="36"/>
          <w:rtl/>
        </w:rPr>
        <w:t xml:space="preserve"> </w:t>
      </w:r>
      <w:r w:rsidR="00792FC3" w:rsidRPr="00FD211F">
        <w:rPr>
          <w:sz w:val="36"/>
          <w:szCs w:val="36"/>
          <w:rtl/>
        </w:rPr>
        <w:t>للنسب</w:t>
      </w:r>
      <w:r w:rsidR="00EC7EDF" w:rsidRPr="00FD211F">
        <w:rPr>
          <w:sz w:val="36"/>
          <w:szCs w:val="36"/>
          <w:rtl/>
        </w:rPr>
        <w:t>ة</w:t>
      </w:r>
      <w:r w:rsidR="00E8128F">
        <w:rPr>
          <w:sz w:val="36"/>
          <w:szCs w:val="36"/>
          <w:rtl/>
        </w:rPr>
        <w:t xml:space="preserve"> </w:t>
      </w:r>
      <w:r w:rsidR="00792FC3" w:rsidRPr="00FD211F">
        <w:rPr>
          <w:sz w:val="36"/>
          <w:szCs w:val="36"/>
          <w:rtl/>
        </w:rPr>
        <w:t>الترقبي</w:t>
      </w:r>
      <w:r w:rsidR="00EC7EDF" w:rsidRPr="00FD211F">
        <w:rPr>
          <w:sz w:val="36"/>
          <w:szCs w:val="36"/>
          <w:rtl/>
        </w:rPr>
        <w:t>ة</w:t>
      </w:r>
      <w:r w:rsidR="00E8128F">
        <w:rPr>
          <w:sz w:val="36"/>
          <w:szCs w:val="36"/>
          <w:rtl/>
        </w:rPr>
        <w:t xml:space="preserve"> </w:t>
      </w:r>
      <w:r w:rsidR="00792FC3" w:rsidRPr="00FD211F">
        <w:rPr>
          <w:sz w:val="36"/>
          <w:szCs w:val="36"/>
          <w:rtl/>
        </w:rPr>
        <w:t>التي</w:t>
      </w:r>
      <w:r w:rsidR="00E8128F">
        <w:rPr>
          <w:sz w:val="36"/>
          <w:szCs w:val="36"/>
          <w:rtl/>
        </w:rPr>
        <w:t xml:space="preserve"> </w:t>
      </w:r>
      <w:r w:rsidR="00792FC3" w:rsidRPr="00FD211F">
        <w:rPr>
          <w:sz w:val="36"/>
          <w:szCs w:val="36"/>
          <w:rtl/>
        </w:rPr>
        <w:t>هي</w:t>
      </w:r>
      <w:r w:rsidR="00E8128F">
        <w:rPr>
          <w:sz w:val="36"/>
          <w:szCs w:val="36"/>
          <w:rtl/>
        </w:rPr>
        <w:t xml:space="preserve"> </w:t>
      </w:r>
      <w:r w:rsidR="00792FC3" w:rsidRPr="00FD211F">
        <w:rPr>
          <w:sz w:val="36"/>
          <w:szCs w:val="36"/>
          <w:rtl/>
        </w:rPr>
        <w:t>في</w:t>
      </w:r>
      <w:r w:rsidR="00E8128F">
        <w:rPr>
          <w:sz w:val="36"/>
          <w:szCs w:val="36"/>
          <w:rtl/>
        </w:rPr>
        <w:t xml:space="preserve"> </w:t>
      </w:r>
      <w:r w:rsidR="00792FC3" w:rsidRPr="00FD211F">
        <w:rPr>
          <w:sz w:val="36"/>
          <w:szCs w:val="36"/>
          <w:rtl/>
        </w:rPr>
        <w:t>المستقبل</w:t>
      </w:r>
      <w:r w:rsidR="00E8128F">
        <w:rPr>
          <w:sz w:val="36"/>
          <w:szCs w:val="36"/>
          <w:rtl/>
        </w:rPr>
        <w:t xml:space="preserve"> </w:t>
      </w:r>
      <w:r w:rsidR="00792FC3" w:rsidRPr="00FD211F">
        <w:rPr>
          <w:sz w:val="36"/>
          <w:szCs w:val="36"/>
          <w:rtl/>
        </w:rPr>
        <w:t>فقط</w:t>
      </w:r>
      <w:r w:rsidR="00641739" w:rsidRPr="00FD211F">
        <w:rPr>
          <w:sz w:val="36"/>
          <w:szCs w:val="36"/>
          <w:rtl/>
        </w:rPr>
        <w:t>.</w:t>
      </w:r>
    </w:p>
    <w:p w14:paraId="3E267809" w14:textId="77777777" w:rsidR="00014111" w:rsidRPr="00FD211F" w:rsidRDefault="00A94E56" w:rsidP="009C58C8">
      <w:pPr>
        <w:ind w:left="0" w:firstLine="227"/>
        <w:jc w:val="both"/>
        <w:rPr>
          <w:sz w:val="36"/>
          <w:szCs w:val="36"/>
          <w:rtl/>
        </w:rPr>
      </w:pPr>
      <w:r w:rsidRPr="00FD211F">
        <w:rPr>
          <w:sz w:val="36"/>
          <w:szCs w:val="36"/>
          <w:rtl/>
        </w:rPr>
        <w:t>واما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قليلا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التدبر</w:t>
      </w:r>
      <w:r w:rsidR="00E8128F">
        <w:rPr>
          <w:sz w:val="36"/>
          <w:szCs w:val="36"/>
          <w:rtl/>
        </w:rPr>
        <w:t xml:space="preserve"> </w:t>
      </w:r>
      <w:r w:rsidR="00792FC3" w:rsidRPr="00FD211F">
        <w:rPr>
          <w:sz w:val="36"/>
          <w:szCs w:val="36"/>
          <w:rtl/>
        </w:rPr>
        <w:t>يوجب</w:t>
      </w:r>
      <w:r w:rsidR="00E8128F">
        <w:rPr>
          <w:sz w:val="36"/>
          <w:szCs w:val="36"/>
          <w:rtl/>
        </w:rPr>
        <w:t xml:space="preserve"> </w:t>
      </w:r>
      <w:r w:rsidR="00792FC3" w:rsidRPr="00FD211F">
        <w:rPr>
          <w:sz w:val="36"/>
          <w:szCs w:val="36"/>
          <w:rtl/>
        </w:rPr>
        <w:t>الجزم</w:t>
      </w:r>
      <w:r w:rsidR="00E8128F">
        <w:rPr>
          <w:sz w:val="36"/>
          <w:szCs w:val="36"/>
          <w:rtl/>
        </w:rPr>
        <w:t xml:space="preserve"> </w:t>
      </w:r>
      <w:r w:rsidR="00792FC3" w:rsidRPr="00FD211F">
        <w:rPr>
          <w:sz w:val="36"/>
          <w:szCs w:val="36"/>
          <w:rtl/>
        </w:rPr>
        <w:t>بوضع</w:t>
      </w:r>
      <w:r w:rsidR="00E8128F">
        <w:rPr>
          <w:sz w:val="36"/>
          <w:szCs w:val="36"/>
          <w:rtl/>
        </w:rPr>
        <w:t xml:space="preserve"> </w:t>
      </w:r>
      <w:r w:rsidR="00792FC3" w:rsidRPr="00FD211F">
        <w:rPr>
          <w:sz w:val="36"/>
          <w:szCs w:val="36"/>
          <w:rtl/>
        </w:rPr>
        <w:t>المشتق</w:t>
      </w:r>
      <w:r w:rsidR="00E8128F">
        <w:rPr>
          <w:sz w:val="36"/>
          <w:szCs w:val="36"/>
          <w:rtl/>
        </w:rPr>
        <w:t xml:space="preserve"> </w:t>
      </w:r>
      <w:r w:rsidR="002A728E" w:rsidRPr="00FD211F">
        <w:rPr>
          <w:sz w:val="36"/>
          <w:szCs w:val="36"/>
          <w:rtl/>
        </w:rPr>
        <w:t>لخصوص</w:t>
      </w:r>
      <w:r w:rsidR="00E8128F">
        <w:rPr>
          <w:sz w:val="36"/>
          <w:szCs w:val="36"/>
          <w:rtl/>
        </w:rPr>
        <w:t xml:space="preserve"> </w:t>
      </w:r>
      <w:r w:rsidR="002A728E" w:rsidRPr="00FD211F">
        <w:rPr>
          <w:sz w:val="36"/>
          <w:szCs w:val="36"/>
          <w:rtl/>
        </w:rPr>
        <w:t>المتلبس</w:t>
      </w:r>
      <w:r w:rsidR="00E8128F">
        <w:rPr>
          <w:sz w:val="36"/>
          <w:szCs w:val="36"/>
          <w:rtl/>
        </w:rPr>
        <w:t xml:space="preserve"> </w:t>
      </w:r>
      <w:r w:rsidR="002A728E" w:rsidRPr="00FD211F">
        <w:rPr>
          <w:sz w:val="36"/>
          <w:szCs w:val="36"/>
          <w:rtl/>
        </w:rPr>
        <w:t>بال</w:t>
      </w:r>
      <w:r w:rsidR="0079493B" w:rsidRPr="00FD211F">
        <w:rPr>
          <w:sz w:val="36"/>
          <w:szCs w:val="36"/>
          <w:rtl/>
        </w:rPr>
        <w:t>مبدأ</w:t>
      </w:r>
      <w:r w:rsidR="00603323" w:rsidRPr="00FD211F">
        <w:rPr>
          <w:sz w:val="36"/>
          <w:szCs w:val="36"/>
          <w:rtl/>
        </w:rPr>
        <w:t>،</w:t>
      </w:r>
      <w:r w:rsidR="00E8128F">
        <w:rPr>
          <w:sz w:val="36"/>
          <w:szCs w:val="36"/>
          <w:rtl/>
        </w:rPr>
        <w:t xml:space="preserve"> </w:t>
      </w:r>
      <w:r w:rsidR="00792FC3" w:rsidRPr="00FD211F">
        <w:rPr>
          <w:sz w:val="36"/>
          <w:szCs w:val="36"/>
          <w:rtl/>
        </w:rPr>
        <w:t>اذ</w:t>
      </w:r>
      <w:r w:rsidR="00E8128F">
        <w:rPr>
          <w:sz w:val="36"/>
          <w:szCs w:val="36"/>
          <w:rtl/>
        </w:rPr>
        <w:t xml:space="preserve"> </w:t>
      </w:r>
      <w:r w:rsidR="00792FC3" w:rsidRPr="00FD211F">
        <w:rPr>
          <w:sz w:val="36"/>
          <w:szCs w:val="36"/>
          <w:rtl/>
        </w:rPr>
        <w:t>مادته</w:t>
      </w:r>
      <w:r w:rsidR="00E8128F">
        <w:rPr>
          <w:sz w:val="36"/>
          <w:szCs w:val="36"/>
          <w:rtl/>
        </w:rPr>
        <w:t xml:space="preserve"> </w:t>
      </w:r>
      <w:r w:rsidR="00792FC3" w:rsidRPr="00FD211F">
        <w:rPr>
          <w:sz w:val="36"/>
          <w:szCs w:val="36"/>
          <w:rtl/>
        </w:rPr>
        <w:t>دال</w:t>
      </w:r>
      <w:r w:rsidR="00EC7EDF" w:rsidRPr="00FD211F">
        <w:rPr>
          <w:sz w:val="36"/>
          <w:szCs w:val="36"/>
          <w:rtl/>
        </w:rPr>
        <w:t>ة</w:t>
      </w:r>
      <w:r w:rsidR="00E8128F">
        <w:rPr>
          <w:sz w:val="36"/>
          <w:szCs w:val="36"/>
          <w:rtl/>
        </w:rPr>
        <w:t xml:space="preserve"> </w:t>
      </w:r>
      <w:r w:rsidR="00792FC3" w:rsidRPr="00FD211F">
        <w:rPr>
          <w:sz w:val="36"/>
          <w:szCs w:val="36"/>
          <w:rtl/>
        </w:rPr>
        <w:t>على</w:t>
      </w:r>
      <w:r w:rsidR="00E8128F">
        <w:rPr>
          <w:sz w:val="36"/>
          <w:szCs w:val="36"/>
          <w:rtl/>
        </w:rPr>
        <w:t xml:space="preserve"> </w:t>
      </w:r>
      <w:r w:rsidR="00792FC3" w:rsidRPr="00FD211F">
        <w:rPr>
          <w:sz w:val="36"/>
          <w:szCs w:val="36"/>
          <w:rtl/>
        </w:rPr>
        <w:t>الحدث</w:t>
      </w:r>
      <w:r w:rsidR="00E8128F">
        <w:rPr>
          <w:sz w:val="36"/>
          <w:szCs w:val="36"/>
          <w:rtl/>
        </w:rPr>
        <w:t xml:space="preserve"> </w:t>
      </w:r>
      <w:r w:rsidR="00792FC3" w:rsidRPr="00FD211F">
        <w:rPr>
          <w:sz w:val="36"/>
          <w:szCs w:val="36"/>
          <w:rtl/>
        </w:rPr>
        <w:t>وهيئته</w:t>
      </w:r>
      <w:r w:rsidR="00E8128F">
        <w:rPr>
          <w:sz w:val="36"/>
          <w:szCs w:val="36"/>
          <w:rtl/>
        </w:rPr>
        <w:t xml:space="preserve"> </w:t>
      </w:r>
      <w:r w:rsidRPr="00FD211F">
        <w:rPr>
          <w:sz w:val="36"/>
          <w:szCs w:val="36"/>
          <w:rtl/>
        </w:rPr>
        <w:t>دال</w:t>
      </w:r>
      <w:r w:rsidR="00EC7EDF" w:rsidRPr="00FD211F">
        <w:rPr>
          <w:sz w:val="36"/>
          <w:szCs w:val="36"/>
          <w:rtl/>
        </w:rPr>
        <w:t>ة</w:t>
      </w:r>
      <w:r w:rsidR="00E8128F">
        <w:rPr>
          <w:sz w:val="36"/>
          <w:szCs w:val="36"/>
          <w:rtl/>
        </w:rPr>
        <w:t xml:space="preserve"> </w:t>
      </w:r>
      <w:r w:rsidR="00792FC3" w:rsidRPr="00FD211F">
        <w:rPr>
          <w:sz w:val="36"/>
          <w:szCs w:val="36"/>
          <w:rtl/>
        </w:rPr>
        <w:t>على</w:t>
      </w:r>
      <w:r w:rsidR="00E8128F">
        <w:rPr>
          <w:sz w:val="36"/>
          <w:szCs w:val="36"/>
          <w:rtl/>
        </w:rPr>
        <w:t xml:space="preserve"> </w:t>
      </w:r>
      <w:r w:rsidR="00792FC3" w:rsidRPr="00FD211F">
        <w:rPr>
          <w:sz w:val="36"/>
          <w:szCs w:val="36"/>
          <w:rtl/>
        </w:rPr>
        <w:t>تلبس</w:t>
      </w:r>
      <w:r w:rsidR="00E8128F">
        <w:rPr>
          <w:sz w:val="36"/>
          <w:szCs w:val="36"/>
          <w:rtl/>
        </w:rPr>
        <w:t xml:space="preserve"> </w:t>
      </w:r>
      <w:r w:rsidR="00792FC3" w:rsidRPr="00FD211F">
        <w:rPr>
          <w:sz w:val="36"/>
          <w:szCs w:val="36"/>
          <w:rtl/>
        </w:rPr>
        <w:t>الذات</w:t>
      </w:r>
      <w:r w:rsidR="00E8128F">
        <w:rPr>
          <w:sz w:val="36"/>
          <w:szCs w:val="36"/>
          <w:rtl/>
        </w:rPr>
        <w:t xml:space="preserve"> </w:t>
      </w:r>
      <w:r w:rsidR="00792FC3" w:rsidRPr="00FD211F">
        <w:rPr>
          <w:sz w:val="36"/>
          <w:szCs w:val="36"/>
          <w:rtl/>
        </w:rPr>
        <w:t>به</w:t>
      </w:r>
      <w:r w:rsidR="00E8128F">
        <w:rPr>
          <w:sz w:val="36"/>
          <w:szCs w:val="36"/>
          <w:rtl/>
        </w:rPr>
        <w:t xml:space="preserve"> </w:t>
      </w:r>
      <w:r w:rsidR="00792FC3" w:rsidRPr="00FD211F">
        <w:rPr>
          <w:sz w:val="36"/>
          <w:szCs w:val="36"/>
          <w:rtl/>
        </w:rPr>
        <w:t>باحد</w:t>
      </w:r>
      <w:r w:rsidR="00E8128F">
        <w:rPr>
          <w:sz w:val="36"/>
          <w:szCs w:val="36"/>
          <w:rtl/>
        </w:rPr>
        <w:t xml:space="preserve"> </w:t>
      </w:r>
      <w:r w:rsidR="00792FC3" w:rsidRPr="00FD211F">
        <w:rPr>
          <w:sz w:val="36"/>
          <w:szCs w:val="36"/>
          <w:rtl/>
        </w:rPr>
        <w:t>انحاء</w:t>
      </w:r>
      <w:r w:rsidR="00E8128F">
        <w:rPr>
          <w:sz w:val="36"/>
          <w:szCs w:val="36"/>
          <w:rtl/>
        </w:rPr>
        <w:t xml:space="preserve"> </w:t>
      </w:r>
      <w:r w:rsidR="00792FC3" w:rsidRPr="00FD211F">
        <w:rPr>
          <w:sz w:val="36"/>
          <w:szCs w:val="36"/>
          <w:rtl/>
        </w:rPr>
        <w:t>التلبس</w:t>
      </w:r>
      <w:r w:rsidR="00E8128F">
        <w:rPr>
          <w:sz w:val="36"/>
          <w:szCs w:val="36"/>
          <w:rtl/>
        </w:rPr>
        <w:t xml:space="preserve"> </w:t>
      </w:r>
      <w:r w:rsidR="00792FC3" w:rsidRPr="00FD211F">
        <w:rPr>
          <w:sz w:val="36"/>
          <w:szCs w:val="36"/>
          <w:rtl/>
        </w:rPr>
        <w:t>و</w:t>
      </w:r>
      <w:r w:rsidRPr="00FD211F">
        <w:rPr>
          <w:sz w:val="36"/>
          <w:szCs w:val="36"/>
          <w:rtl/>
        </w:rPr>
        <w:t>تلبس</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بالحدث</w:t>
      </w:r>
      <w:r w:rsidR="00E8128F">
        <w:rPr>
          <w:sz w:val="36"/>
          <w:szCs w:val="36"/>
          <w:rtl/>
        </w:rPr>
        <w:t xml:space="preserve"> </w:t>
      </w:r>
      <w:r w:rsidRPr="00FD211F">
        <w:rPr>
          <w:sz w:val="36"/>
          <w:szCs w:val="36"/>
          <w:rtl/>
        </w:rPr>
        <w:t>فرع</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الحدث</w:t>
      </w:r>
      <w:r w:rsidR="00603323" w:rsidRPr="00FD211F">
        <w:rPr>
          <w:sz w:val="36"/>
          <w:szCs w:val="36"/>
          <w:rtl/>
        </w:rPr>
        <w:t>،</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مضافا</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تصوير</w:t>
      </w:r>
      <w:r w:rsidR="00E8128F">
        <w:rPr>
          <w:sz w:val="36"/>
          <w:szCs w:val="36"/>
          <w:rtl/>
        </w:rPr>
        <w:t xml:space="preserve"> </w:t>
      </w:r>
      <w:r w:rsidRPr="00FD211F">
        <w:rPr>
          <w:sz w:val="36"/>
          <w:szCs w:val="36"/>
          <w:rtl/>
        </w:rPr>
        <w:t>جامع</w:t>
      </w:r>
      <w:r w:rsidR="00E8128F">
        <w:rPr>
          <w:sz w:val="36"/>
          <w:szCs w:val="36"/>
          <w:rtl/>
        </w:rPr>
        <w:t xml:space="preserve"> </w:t>
      </w:r>
      <w:r w:rsidRPr="00FD211F">
        <w:rPr>
          <w:sz w:val="36"/>
          <w:szCs w:val="36"/>
          <w:rtl/>
        </w:rPr>
        <w:t>اعمي</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يحتمل</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عرفا</w:t>
      </w:r>
      <w:r w:rsidR="009C58C8" w:rsidRPr="00FD211F">
        <w:rPr>
          <w:rStyle w:val="a6"/>
          <w:sz w:val="36"/>
          <w:szCs w:val="36"/>
          <w:rtl/>
        </w:rPr>
        <w:t>(</w:t>
      </w:r>
      <w:r w:rsidR="009C58C8" w:rsidRPr="00FD211F">
        <w:rPr>
          <w:rStyle w:val="a6"/>
          <w:sz w:val="36"/>
          <w:szCs w:val="36"/>
          <w:rtl/>
        </w:rPr>
        <w:footnoteReference w:id="551"/>
      </w:r>
      <w:r w:rsidR="009C58C8" w:rsidRPr="00FD211F">
        <w:rPr>
          <w:rStyle w:val="a6"/>
          <w:sz w:val="36"/>
          <w:szCs w:val="36"/>
          <w:rtl/>
        </w:rPr>
        <w:t>)</w:t>
      </w:r>
      <w:r w:rsidR="00014111" w:rsidRPr="00FD211F">
        <w:rPr>
          <w:sz w:val="36"/>
          <w:szCs w:val="36"/>
          <w:rtl/>
        </w:rPr>
        <w:t>.</w:t>
      </w:r>
    </w:p>
    <w:p w14:paraId="64D7BA8C" w14:textId="77777777" w:rsidR="00792FC3" w:rsidRPr="00FD211F" w:rsidRDefault="00A94E56" w:rsidP="009C58C8">
      <w:pPr>
        <w:ind w:left="0" w:firstLine="227"/>
        <w:jc w:val="both"/>
        <w:rPr>
          <w:sz w:val="36"/>
          <w:szCs w:val="36"/>
          <w:rtl/>
        </w:rPr>
      </w:pPr>
      <w:r w:rsidRPr="00FD211F">
        <w:rPr>
          <w:sz w:val="36"/>
          <w:szCs w:val="36"/>
          <w:rtl/>
        </w:rPr>
        <w:t>ففيه</w:t>
      </w:r>
      <w:r w:rsidR="00E8128F">
        <w:rPr>
          <w:sz w:val="36"/>
          <w:szCs w:val="36"/>
          <w:rtl/>
        </w:rPr>
        <w:t xml:space="preserve"> </w:t>
      </w:r>
      <w:r w:rsidRPr="00FD211F">
        <w:rPr>
          <w:sz w:val="36"/>
          <w:szCs w:val="36"/>
          <w:rtl/>
        </w:rPr>
        <w:t>انه</w:t>
      </w:r>
      <w:r w:rsidR="00E8128F">
        <w:rPr>
          <w:sz w:val="36"/>
          <w:szCs w:val="36"/>
          <w:rtl/>
        </w:rPr>
        <w:t xml:space="preserve"> </w:t>
      </w:r>
      <w:r w:rsidR="00792FC3" w:rsidRPr="00FD211F">
        <w:rPr>
          <w:sz w:val="36"/>
          <w:szCs w:val="36"/>
          <w:rtl/>
        </w:rPr>
        <w:t>لاريب</w:t>
      </w:r>
      <w:r w:rsidR="00E8128F">
        <w:rPr>
          <w:sz w:val="36"/>
          <w:szCs w:val="36"/>
          <w:rtl/>
        </w:rPr>
        <w:t xml:space="preserve"> </w:t>
      </w:r>
      <w:r w:rsidR="00792FC3" w:rsidRPr="00FD211F">
        <w:rPr>
          <w:sz w:val="36"/>
          <w:szCs w:val="36"/>
          <w:rtl/>
        </w:rPr>
        <w:t>في</w:t>
      </w:r>
      <w:r w:rsidR="00E8128F">
        <w:rPr>
          <w:sz w:val="36"/>
          <w:szCs w:val="36"/>
          <w:rtl/>
        </w:rPr>
        <w:t xml:space="preserve"> </w:t>
      </w:r>
      <w:r w:rsidR="00792FC3" w:rsidRPr="00FD211F">
        <w:rPr>
          <w:sz w:val="36"/>
          <w:szCs w:val="36"/>
          <w:rtl/>
        </w:rPr>
        <w:t>ان</w:t>
      </w:r>
      <w:r w:rsidR="00E8128F">
        <w:rPr>
          <w:sz w:val="36"/>
          <w:szCs w:val="36"/>
          <w:rtl/>
        </w:rPr>
        <w:t xml:space="preserve"> </w:t>
      </w:r>
      <w:r w:rsidR="00792FC3" w:rsidRPr="00FD211F">
        <w:rPr>
          <w:sz w:val="36"/>
          <w:szCs w:val="36"/>
          <w:rtl/>
        </w:rPr>
        <w:t>النسب</w:t>
      </w:r>
      <w:r w:rsidR="00EC7EDF" w:rsidRPr="00FD211F">
        <w:rPr>
          <w:sz w:val="36"/>
          <w:szCs w:val="36"/>
          <w:rtl/>
        </w:rPr>
        <w:t>ة</w:t>
      </w:r>
      <w:r w:rsidR="00E8128F">
        <w:rPr>
          <w:sz w:val="36"/>
          <w:szCs w:val="36"/>
          <w:rtl/>
        </w:rPr>
        <w:t xml:space="preserve"> </w:t>
      </w:r>
      <w:r w:rsidR="00792FC3" w:rsidRPr="00FD211F">
        <w:rPr>
          <w:sz w:val="36"/>
          <w:szCs w:val="36"/>
          <w:rtl/>
        </w:rPr>
        <w:t>المدلول</w:t>
      </w:r>
      <w:r w:rsidR="00EC7EDF" w:rsidRPr="00FD211F">
        <w:rPr>
          <w:sz w:val="36"/>
          <w:szCs w:val="36"/>
          <w:rtl/>
        </w:rPr>
        <w:t>ة</w:t>
      </w:r>
      <w:r w:rsidR="00E8128F">
        <w:rPr>
          <w:sz w:val="36"/>
          <w:szCs w:val="36"/>
          <w:rtl/>
        </w:rPr>
        <w:t xml:space="preserve"> </w:t>
      </w:r>
      <w:r w:rsidR="00792FC3" w:rsidRPr="00FD211F">
        <w:rPr>
          <w:sz w:val="36"/>
          <w:szCs w:val="36"/>
          <w:rtl/>
        </w:rPr>
        <w:t>لهيئ</w:t>
      </w:r>
      <w:r w:rsidR="00EC7EDF" w:rsidRPr="00FD211F">
        <w:rPr>
          <w:sz w:val="36"/>
          <w:szCs w:val="36"/>
          <w:rtl/>
        </w:rPr>
        <w:t>ة</w:t>
      </w:r>
      <w:r w:rsidR="00E8128F">
        <w:rPr>
          <w:sz w:val="36"/>
          <w:szCs w:val="36"/>
          <w:rtl/>
        </w:rPr>
        <w:t xml:space="preserve"> </w:t>
      </w:r>
      <w:r w:rsidR="00792FC3" w:rsidRPr="00FD211F">
        <w:rPr>
          <w:sz w:val="36"/>
          <w:szCs w:val="36"/>
          <w:rtl/>
        </w:rPr>
        <w:t>المشتق</w:t>
      </w:r>
      <w:r w:rsidR="00E8128F">
        <w:rPr>
          <w:sz w:val="36"/>
          <w:szCs w:val="36"/>
          <w:rtl/>
        </w:rPr>
        <w:t xml:space="preserve"> </w:t>
      </w:r>
      <w:r w:rsidR="00792FC3" w:rsidRPr="00FD211F">
        <w:rPr>
          <w:sz w:val="36"/>
          <w:szCs w:val="36"/>
          <w:rtl/>
        </w:rPr>
        <w:t>لابد</w:t>
      </w:r>
      <w:r w:rsidR="00E8128F">
        <w:rPr>
          <w:sz w:val="36"/>
          <w:szCs w:val="36"/>
          <w:rtl/>
        </w:rPr>
        <w:t xml:space="preserve"> </w:t>
      </w:r>
      <w:r w:rsidR="00792FC3" w:rsidRPr="00FD211F">
        <w:rPr>
          <w:sz w:val="36"/>
          <w:szCs w:val="36"/>
          <w:rtl/>
        </w:rPr>
        <w:t>ان</w:t>
      </w:r>
      <w:r w:rsidR="00E8128F">
        <w:rPr>
          <w:sz w:val="36"/>
          <w:szCs w:val="36"/>
          <w:rtl/>
        </w:rPr>
        <w:t xml:space="preserve"> </w:t>
      </w:r>
      <w:r w:rsidR="00792FC3" w:rsidRPr="00FD211F">
        <w:rPr>
          <w:sz w:val="36"/>
          <w:szCs w:val="36"/>
          <w:rtl/>
        </w:rPr>
        <w:t>تكون</w:t>
      </w:r>
      <w:r w:rsidR="00E8128F">
        <w:rPr>
          <w:sz w:val="36"/>
          <w:szCs w:val="36"/>
          <w:rtl/>
        </w:rPr>
        <w:t xml:space="preserve"> </w:t>
      </w:r>
      <w:r w:rsidR="00792FC3" w:rsidRPr="00FD211F">
        <w:rPr>
          <w:sz w:val="36"/>
          <w:szCs w:val="36"/>
          <w:rtl/>
        </w:rPr>
        <w:t>موجود</w:t>
      </w:r>
      <w:r w:rsidR="00EC7EDF" w:rsidRPr="00FD211F">
        <w:rPr>
          <w:sz w:val="36"/>
          <w:szCs w:val="36"/>
          <w:rtl/>
        </w:rPr>
        <w:t>ة</w:t>
      </w:r>
      <w:r w:rsidR="00E8128F">
        <w:rPr>
          <w:sz w:val="36"/>
          <w:szCs w:val="36"/>
          <w:rtl/>
        </w:rPr>
        <w:t xml:space="preserve"> </w:t>
      </w:r>
      <w:r w:rsidR="00792FC3" w:rsidRPr="00FD211F">
        <w:rPr>
          <w:sz w:val="36"/>
          <w:szCs w:val="36"/>
          <w:rtl/>
        </w:rPr>
        <w:t>حال</w:t>
      </w:r>
      <w:r w:rsidR="00E8128F">
        <w:rPr>
          <w:sz w:val="36"/>
          <w:szCs w:val="36"/>
          <w:rtl/>
        </w:rPr>
        <w:t xml:space="preserve"> </w:t>
      </w:r>
      <w:r w:rsidR="00792FC3" w:rsidRPr="00FD211F">
        <w:rPr>
          <w:sz w:val="36"/>
          <w:szCs w:val="36"/>
          <w:rtl/>
        </w:rPr>
        <w:t>الاسناد</w:t>
      </w:r>
      <w:r w:rsidR="00603323" w:rsidRPr="00FD211F">
        <w:rPr>
          <w:sz w:val="36"/>
          <w:szCs w:val="36"/>
          <w:rtl/>
        </w:rPr>
        <w:t>،</w:t>
      </w:r>
      <w:r w:rsidR="00E8128F">
        <w:rPr>
          <w:sz w:val="36"/>
          <w:szCs w:val="36"/>
          <w:rtl/>
        </w:rPr>
        <w:t xml:space="preserve"> </w:t>
      </w:r>
      <w:r w:rsidR="00792FC3" w:rsidRPr="00FD211F">
        <w:rPr>
          <w:sz w:val="36"/>
          <w:szCs w:val="36"/>
          <w:rtl/>
        </w:rPr>
        <w:t>ولكن</w:t>
      </w:r>
      <w:r w:rsidR="00E8128F">
        <w:rPr>
          <w:sz w:val="36"/>
          <w:szCs w:val="36"/>
          <w:rtl/>
        </w:rPr>
        <w:t xml:space="preserve"> </w:t>
      </w:r>
      <w:r w:rsidR="00792FC3" w:rsidRPr="00FD211F">
        <w:rPr>
          <w:sz w:val="36"/>
          <w:szCs w:val="36"/>
          <w:rtl/>
        </w:rPr>
        <w:t>لايعني</w:t>
      </w:r>
      <w:r w:rsidR="00E8128F">
        <w:rPr>
          <w:sz w:val="36"/>
          <w:szCs w:val="36"/>
          <w:rtl/>
        </w:rPr>
        <w:t xml:space="preserve"> </w:t>
      </w:r>
      <w:r w:rsidR="00792FC3" w:rsidRPr="00FD211F">
        <w:rPr>
          <w:sz w:val="36"/>
          <w:szCs w:val="36"/>
          <w:rtl/>
        </w:rPr>
        <w:t>هذا</w:t>
      </w:r>
      <w:r w:rsidR="00E8128F">
        <w:rPr>
          <w:sz w:val="36"/>
          <w:szCs w:val="36"/>
          <w:rtl/>
        </w:rPr>
        <w:t xml:space="preserve"> </w:t>
      </w:r>
      <w:r w:rsidR="00792FC3" w:rsidRPr="00FD211F">
        <w:rPr>
          <w:sz w:val="36"/>
          <w:szCs w:val="36"/>
          <w:rtl/>
        </w:rPr>
        <w:t>لزوم</w:t>
      </w:r>
      <w:r w:rsidR="00E8128F">
        <w:rPr>
          <w:sz w:val="36"/>
          <w:szCs w:val="36"/>
          <w:rtl/>
        </w:rPr>
        <w:t xml:space="preserve"> </w:t>
      </w:r>
      <w:r w:rsidR="00792FC3" w:rsidRPr="00FD211F">
        <w:rPr>
          <w:sz w:val="36"/>
          <w:szCs w:val="36"/>
          <w:rtl/>
        </w:rPr>
        <w:t>وجود</w:t>
      </w:r>
      <w:r w:rsidR="00E8128F">
        <w:rPr>
          <w:sz w:val="36"/>
          <w:szCs w:val="36"/>
          <w:rtl/>
        </w:rPr>
        <w:t xml:space="preserve"> </w:t>
      </w:r>
      <w:r w:rsidR="00792FC3" w:rsidRPr="00FD211F">
        <w:rPr>
          <w:sz w:val="36"/>
          <w:szCs w:val="36"/>
          <w:rtl/>
        </w:rPr>
        <w:t>ال</w:t>
      </w:r>
      <w:r w:rsidR="0079493B" w:rsidRPr="00FD211F">
        <w:rPr>
          <w:sz w:val="36"/>
          <w:szCs w:val="36"/>
          <w:rtl/>
        </w:rPr>
        <w:t>مبدأ</w:t>
      </w:r>
      <w:r w:rsidR="00E8128F">
        <w:rPr>
          <w:sz w:val="36"/>
          <w:szCs w:val="36"/>
          <w:rtl/>
        </w:rPr>
        <w:t xml:space="preserve"> </w:t>
      </w:r>
      <w:r w:rsidR="00792FC3" w:rsidRPr="00FD211F">
        <w:rPr>
          <w:sz w:val="36"/>
          <w:szCs w:val="36"/>
          <w:rtl/>
        </w:rPr>
        <w:t>وتلبس</w:t>
      </w:r>
      <w:r w:rsidR="00E8128F">
        <w:rPr>
          <w:sz w:val="36"/>
          <w:szCs w:val="36"/>
          <w:rtl/>
        </w:rPr>
        <w:t xml:space="preserve"> </w:t>
      </w:r>
      <w:r w:rsidR="00792FC3" w:rsidRPr="00FD211F">
        <w:rPr>
          <w:sz w:val="36"/>
          <w:szCs w:val="36"/>
          <w:rtl/>
        </w:rPr>
        <w:t>الذات</w:t>
      </w:r>
      <w:r w:rsidR="00E8128F">
        <w:rPr>
          <w:sz w:val="36"/>
          <w:szCs w:val="36"/>
          <w:rtl/>
        </w:rPr>
        <w:t xml:space="preserve"> </w:t>
      </w:r>
      <w:r w:rsidR="00792FC3" w:rsidRPr="00FD211F">
        <w:rPr>
          <w:sz w:val="36"/>
          <w:szCs w:val="36"/>
          <w:rtl/>
        </w:rPr>
        <w:t>به</w:t>
      </w:r>
      <w:r w:rsidR="00E8128F">
        <w:rPr>
          <w:sz w:val="36"/>
          <w:szCs w:val="36"/>
          <w:rtl/>
        </w:rPr>
        <w:t xml:space="preserve"> </w:t>
      </w:r>
      <w:r w:rsidR="00792FC3" w:rsidRPr="00FD211F">
        <w:rPr>
          <w:sz w:val="36"/>
          <w:szCs w:val="36"/>
          <w:rtl/>
        </w:rPr>
        <w:t>فعلا</w:t>
      </w:r>
      <w:r w:rsidR="00603323" w:rsidRPr="00FD211F">
        <w:rPr>
          <w:sz w:val="36"/>
          <w:szCs w:val="36"/>
          <w:rtl/>
        </w:rPr>
        <w:t>،</w:t>
      </w:r>
      <w:r w:rsidR="00E8128F">
        <w:rPr>
          <w:sz w:val="36"/>
          <w:szCs w:val="36"/>
          <w:rtl/>
        </w:rPr>
        <w:t xml:space="preserve"> </w:t>
      </w:r>
      <w:r w:rsidR="00792FC3" w:rsidRPr="00FD211F">
        <w:rPr>
          <w:sz w:val="36"/>
          <w:szCs w:val="36"/>
          <w:rtl/>
        </w:rPr>
        <w:t>بل</w:t>
      </w:r>
      <w:r w:rsidR="00E8128F">
        <w:rPr>
          <w:sz w:val="36"/>
          <w:szCs w:val="36"/>
          <w:rtl/>
        </w:rPr>
        <w:t xml:space="preserve"> </w:t>
      </w:r>
      <w:r w:rsidRPr="00FD211F">
        <w:rPr>
          <w:sz w:val="36"/>
          <w:szCs w:val="36"/>
          <w:rtl/>
        </w:rPr>
        <w:t>يكفي</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تكون</w:t>
      </w:r>
      <w:r w:rsidR="00E8128F">
        <w:rPr>
          <w:sz w:val="36"/>
          <w:szCs w:val="36"/>
          <w:rtl/>
        </w:rPr>
        <w:t xml:space="preserve"> </w:t>
      </w:r>
      <w:r w:rsidR="00792FC3" w:rsidRPr="00FD211F">
        <w:rPr>
          <w:sz w:val="36"/>
          <w:szCs w:val="36"/>
          <w:rtl/>
        </w:rPr>
        <w:t>بين</w:t>
      </w:r>
      <w:r w:rsidR="00E8128F">
        <w:rPr>
          <w:sz w:val="36"/>
          <w:szCs w:val="36"/>
          <w:rtl/>
        </w:rPr>
        <w:t xml:space="preserve"> </w:t>
      </w:r>
      <w:r w:rsidR="00792FC3" w:rsidRPr="00FD211F">
        <w:rPr>
          <w:sz w:val="36"/>
          <w:szCs w:val="36"/>
          <w:rtl/>
        </w:rPr>
        <w:t>الذات</w:t>
      </w:r>
      <w:r w:rsidR="00E8128F">
        <w:rPr>
          <w:sz w:val="36"/>
          <w:szCs w:val="36"/>
          <w:rtl/>
        </w:rPr>
        <w:t xml:space="preserve"> </w:t>
      </w:r>
      <w:r w:rsidR="00792FC3" w:rsidRPr="00FD211F">
        <w:rPr>
          <w:sz w:val="36"/>
          <w:szCs w:val="36"/>
          <w:rtl/>
        </w:rPr>
        <w:t>وال</w:t>
      </w:r>
      <w:r w:rsidR="0079493B" w:rsidRPr="00FD211F">
        <w:rPr>
          <w:sz w:val="36"/>
          <w:szCs w:val="36"/>
          <w:rtl/>
        </w:rPr>
        <w:t>مبدأ</w:t>
      </w:r>
      <w:r w:rsidR="00E8128F">
        <w:rPr>
          <w:sz w:val="36"/>
          <w:szCs w:val="36"/>
          <w:rtl/>
        </w:rPr>
        <w:t xml:space="preserve"> </w:t>
      </w:r>
      <w:r w:rsidR="00792FC3" w:rsidRPr="00FD211F">
        <w:rPr>
          <w:sz w:val="36"/>
          <w:szCs w:val="36"/>
          <w:rtl/>
        </w:rPr>
        <w:t>المنقضي</w:t>
      </w:r>
      <w:r w:rsidR="00E8128F">
        <w:rPr>
          <w:sz w:val="36"/>
          <w:szCs w:val="36"/>
          <w:rtl/>
        </w:rPr>
        <w:t xml:space="preserve"> </w:t>
      </w:r>
      <w:r w:rsidR="00792FC3" w:rsidRPr="00FD211F">
        <w:rPr>
          <w:sz w:val="36"/>
          <w:szCs w:val="36"/>
          <w:rtl/>
        </w:rPr>
        <w:t>نسب</w:t>
      </w:r>
      <w:r w:rsidR="00EC7EDF" w:rsidRPr="00FD211F">
        <w:rPr>
          <w:sz w:val="36"/>
          <w:szCs w:val="36"/>
          <w:rtl/>
        </w:rPr>
        <w:t>ة</w:t>
      </w:r>
      <w:r w:rsidR="00E8128F">
        <w:rPr>
          <w:sz w:val="36"/>
          <w:szCs w:val="36"/>
          <w:rtl/>
        </w:rPr>
        <w:t xml:space="preserve"> </w:t>
      </w:r>
      <w:r w:rsidR="00792FC3" w:rsidRPr="00FD211F">
        <w:rPr>
          <w:sz w:val="36"/>
          <w:szCs w:val="36"/>
          <w:rtl/>
        </w:rPr>
        <w:t>عرفي</w:t>
      </w:r>
      <w:r w:rsidR="00EC7EDF" w:rsidRPr="00FD211F">
        <w:rPr>
          <w:sz w:val="36"/>
          <w:szCs w:val="36"/>
          <w:rtl/>
        </w:rPr>
        <w:t>ة</w:t>
      </w:r>
      <w:r w:rsidR="00E8128F">
        <w:rPr>
          <w:sz w:val="36"/>
          <w:szCs w:val="36"/>
          <w:rtl/>
        </w:rPr>
        <w:t xml:space="preserve"> </w:t>
      </w:r>
      <w:r w:rsidR="00792FC3" w:rsidRPr="00FD211F">
        <w:rPr>
          <w:sz w:val="36"/>
          <w:szCs w:val="36"/>
          <w:rtl/>
        </w:rPr>
        <w:t>باقي</w:t>
      </w:r>
      <w:r w:rsidR="00EC7EDF" w:rsidRPr="00FD211F">
        <w:rPr>
          <w:sz w:val="36"/>
          <w:szCs w:val="36"/>
          <w:rtl/>
        </w:rPr>
        <w:t>ة</w:t>
      </w:r>
      <w:r w:rsidR="00603323" w:rsidRPr="00FD211F">
        <w:rPr>
          <w:sz w:val="36"/>
          <w:szCs w:val="36"/>
          <w:rtl/>
        </w:rPr>
        <w:t>،</w:t>
      </w:r>
      <w:r w:rsidR="00E8128F">
        <w:rPr>
          <w:sz w:val="36"/>
          <w:szCs w:val="36"/>
          <w:rtl/>
        </w:rPr>
        <w:t xml:space="preserve"> </w:t>
      </w:r>
      <w:r w:rsidR="00792FC3" w:rsidRPr="00FD211F">
        <w:rPr>
          <w:sz w:val="36"/>
          <w:szCs w:val="36"/>
          <w:rtl/>
        </w:rPr>
        <w:t>كما</w:t>
      </w:r>
      <w:r w:rsidR="00E8128F">
        <w:rPr>
          <w:sz w:val="36"/>
          <w:szCs w:val="36"/>
          <w:rtl/>
        </w:rPr>
        <w:t xml:space="preserve"> </w:t>
      </w:r>
      <w:r w:rsidR="00792FC3" w:rsidRPr="00FD211F">
        <w:rPr>
          <w:sz w:val="36"/>
          <w:szCs w:val="36"/>
          <w:rtl/>
        </w:rPr>
        <w:t>في</w:t>
      </w:r>
      <w:r w:rsidR="00E8128F">
        <w:rPr>
          <w:sz w:val="36"/>
          <w:szCs w:val="36"/>
          <w:rtl/>
        </w:rPr>
        <w:t xml:space="preserve"> </w:t>
      </w:r>
      <w:r w:rsidR="00792FC3" w:rsidRPr="00FD211F">
        <w:rPr>
          <w:sz w:val="36"/>
          <w:szCs w:val="36"/>
          <w:rtl/>
        </w:rPr>
        <w:t>قولنا</w:t>
      </w:r>
      <w:r w:rsidR="00E8128F">
        <w:rPr>
          <w:sz w:val="36"/>
          <w:szCs w:val="36"/>
          <w:rtl/>
        </w:rPr>
        <w:t xml:space="preserve"> </w:t>
      </w:r>
      <w:r w:rsidR="00014111" w:rsidRPr="00FD211F">
        <w:rPr>
          <w:sz w:val="36"/>
          <w:szCs w:val="36"/>
          <w:rtl/>
        </w:rPr>
        <w:t>"</w:t>
      </w:r>
      <w:r w:rsidR="00792FC3" w:rsidRPr="00FD211F">
        <w:rPr>
          <w:sz w:val="36"/>
          <w:szCs w:val="36"/>
          <w:rtl/>
        </w:rPr>
        <w:t>من</w:t>
      </w:r>
      <w:r w:rsidR="00E8128F">
        <w:rPr>
          <w:sz w:val="36"/>
          <w:szCs w:val="36"/>
          <w:rtl/>
        </w:rPr>
        <w:t xml:space="preserve"> </w:t>
      </w:r>
      <w:r w:rsidR="00792FC3" w:rsidRPr="00FD211F">
        <w:rPr>
          <w:sz w:val="36"/>
          <w:szCs w:val="36"/>
          <w:rtl/>
        </w:rPr>
        <w:t>وقع</w:t>
      </w:r>
      <w:r w:rsidR="00E8128F">
        <w:rPr>
          <w:sz w:val="36"/>
          <w:szCs w:val="36"/>
          <w:rtl/>
        </w:rPr>
        <w:t xml:space="preserve"> </w:t>
      </w:r>
      <w:r w:rsidR="00792FC3" w:rsidRPr="00FD211F">
        <w:rPr>
          <w:sz w:val="36"/>
          <w:szCs w:val="36"/>
          <w:rtl/>
        </w:rPr>
        <w:t>عليه</w:t>
      </w:r>
      <w:r w:rsidR="00E8128F">
        <w:rPr>
          <w:sz w:val="36"/>
          <w:szCs w:val="36"/>
          <w:rtl/>
        </w:rPr>
        <w:t xml:space="preserve"> </w:t>
      </w:r>
      <w:r w:rsidR="00792FC3" w:rsidRPr="00FD211F">
        <w:rPr>
          <w:sz w:val="36"/>
          <w:szCs w:val="36"/>
          <w:rtl/>
        </w:rPr>
        <w:t>الضرب</w:t>
      </w:r>
      <w:r w:rsidR="00014111" w:rsidRPr="00FD211F">
        <w:rPr>
          <w:sz w:val="36"/>
          <w:szCs w:val="36"/>
          <w:rtl/>
        </w:rPr>
        <w:t>"</w:t>
      </w:r>
      <w:r w:rsidR="00603323" w:rsidRPr="00FD211F">
        <w:rPr>
          <w:sz w:val="36"/>
          <w:szCs w:val="36"/>
          <w:rtl/>
        </w:rPr>
        <w:t>،</w:t>
      </w:r>
      <w:r w:rsidR="00E8128F">
        <w:rPr>
          <w:sz w:val="36"/>
          <w:szCs w:val="36"/>
          <w:rtl/>
        </w:rPr>
        <w:t xml:space="preserve"> </w:t>
      </w:r>
      <w:r w:rsidRPr="00FD211F">
        <w:rPr>
          <w:sz w:val="36"/>
          <w:szCs w:val="36"/>
          <w:rtl/>
        </w:rPr>
        <w:t>فالصحيح</w:t>
      </w:r>
      <w:r w:rsidR="00E8128F">
        <w:rPr>
          <w:sz w:val="36"/>
          <w:szCs w:val="36"/>
          <w:rtl/>
        </w:rPr>
        <w:t xml:space="preserve"> </w:t>
      </w:r>
      <w:r w:rsidRPr="00FD211F">
        <w:rPr>
          <w:sz w:val="36"/>
          <w:szCs w:val="36"/>
          <w:rtl/>
        </w:rPr>
        <w:t>تصوير</w:t>
      </w:r>
      <w:r w:rsidR="00E8128F">
        <w:rPr>
          <w:sz w:val="36"/>
          <w:szCs w:val="36"/>
          <w:rtl/>
        </w:rPr>
        <w:t xml:space="preserve"> </w:t>
      </w:r>
      <w:r w:rsidRPr="00FD211F">
        <w:rPr>
          <w:sz w:val="36"/>
          <w:szCs w:val="36"/>
          <w:rtl/>
        </w:rPr>
        <w:t>جامع</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أيضا</w:t>
      </w:r>
      <w:r w:rsidR="00792FC3" w:rsidRPr="00FD211F">
        <w:rPr>
          <w:sz w:val="36"/>
          <w:szCs w:val="36"/>
          <w:rtl/>
        </w:rPr>
        <w:t>.</w:t>
      </w:r>
    </w:p>
    <w:p w14:paraId="431C7F6D" w14:textId="77777777" w:rsidR="00A94E56" w:rsidRPr="00FD211F" w:rsidRDefault="00A94E56" w:rsidP="009C58C8">
      <w:pPr>
        <w:pStyle w:val="3"/>
        <w:ind w:firstLine="227"/>
        <w:jc w:val="both"/>
        <w:rPr>
          <w:rtl/>
        </w:rPr>
      </w:pPr>
      <w:bookmarkStart w:id="453" w:name="_Toc192092950"/>
      <w:bookmarkStart w:id="454" w:name="_Toc223890430"/>
      <w:r w:rsidRPr="00FD211F">
        <w:rPr>
          <w:rtl/>
        </w:rPr>
        <w:t>ادل</w:t>
      </w:r>
      <w:r w:rsidR="00EC7EDF" w:rsidRPr="00FD211F">
        <w:rPr>
          <w:rtl/>
        </w:rPr>
        <w:t>ة</w:t>
      </w:r>
      <w:r w:rsidR="00E8128F">
        <w:rPr>
          <w:rtl/>
        </w:rPr>
        <w:t xml:space="preserve"> </w:t>
      </w:r>
      <w:r w:rsidRPr="00FD211F">
        <w:rPr>
          <w:rtl/>
        </w:rPr>
        <w:t>الوضع</w:t>
      </w:r>
      <w:r w:rsidR="00E8128F">
        <w:rPr>
          <w:rtl/>
        </w:rPr>
        <w:t xml:space="preserve"> </w:t>
      </w:r>
      <w:r w:rsidRPr="00FD211F">
        <w:rPr>
          <w:rtl/>
        </w:rPr>
        <w:t>للمتلبس</w:t>
      </w:r>
      <w:r w:rsidR="00E8128F">
        <w:rPr>
          <w:rtl/>
        </w:rPr>
        <w:t xml:space="preserve"> </w:t>
      </w:r>
      <w:r w:rsidRPr="00FD211F">
        <w:rPr>
          <w:rtl/>
        </w:rPr>
        <w:t>والأعم</w:t>
      </w:r>
      <w:bookmarkEnd w:id="453"/>
      <w:bookmarkEnd w:id="454"/>
    </w:p>
    <w:p w14:paraId="37514806" w14:textId="77777777" w:rsidR="00A94E56" w:rsidRPr="00FD211F" w:rsidRDefault="00A94E56" w:rsidP="009C58C8">
      <w:pPr>
        <w:ind w:left="0" w:firstLine="227"/>
        <w:jc w:val="both"/>
        <w:rPr>
          <w:sz w:val="36"/>
          <w:szCs w:val="36"/>
          <w:rtl/>
        </w:rPr>
      </w:pPr>
      <w:r w:rsidRPr="00FD211F">
        <w:rPr>
          <w:b/>
          <w:bCs/>
          <w:sz w:val="36"/>
          <w:szCs w:val="36"/>
          <w:rtl/>
        </w:rPr>
        <w:t>الجه</w:t>
      </w:r>
      <w:r w:rsidR="00EC7EDF" w:rsidRPr="00FD211F">
        <w:rPr>
          <w:b/>
          <w:bCs/>
          <w:sz w:val="36"/>
          <w:szCs w:val="36"/>
          <w:rtl/>
        </w:rPr>
        <w:t>ة</w:t>
      </w:r>
      <w:r w:rsidR="00E8128F">
        <w:rPr>
          <w:b/>
          <w:bCs/>
          <w:sz w:val="36"/>
          <w:szCs w:val="36"/>
          <w:rtl/>
        </w:rPr>
        <w:t xml:space="preserve"> </w:t>
      </w:r>
      <w:r w:rsidRPr="00FD211F">
        <w:rPr>
          <w:b/>
          <w:bCs/>
          <w:sz w:val="36"/>
          <w:szCs w:val="36"/>
          <w:rtl/>
        </w:rPr>
        <w:t>الخامس</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استدل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المشتق</w:t>
      </w:r>
      <w:r w:rsidR="00E8128F">
        <w:rPr>
          <w:sz w:val="36"/>
          <w:szCs w:val="36"/>
          <w:rtl/>
        </w:rPr>
        <w:t xml:space="preserve"> </w:t>
      </w:r>
      <w:r w:rsidR="00792FC3" w:rsidRPr="00FD211F">
        <w:rPr>
          <w:sz w:val="36"/>
          <w:szCs w:val="36"/>
          <w:rtl/>
        </w:rPr>
        <w:t>لخصوص</w:t>
      </w:r>
      <w:r w:rsidR="00E8128F">
        <w:rPr>
          <w:sz w:val="36"/>
          <w:szCs w:val="36"/>
          <w:rtl/>
        </w:rPr>
        <w:t xml:space="preserve"> </w:t>
      </w:r>
      <w:r w:rsidR="00792FC3" w:rsidRPr="00FD211F">
        <w:rPr>
          <w:sz w:val="36"/>
          <w:szCs w:val="36"/>
          <w:rtl/>
        </w:rPr>
        <w:t>المتلبس</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Pr="00FD211F">
        <w:rPr>
          <w:sz w:val="36"/>
          <w:szCs w:val="36"/>
          <w:rtl/>
        </w:rPr>
        <w:t>بعد</w:t>
      </w:r>
      <w:r w:rsidR="00EC7EDF" w:rsidRPr="00FD211F">
        <w:rPr>
          <w:sz w:val="36"/>
          <w:szCs w:val="36"/>
          <w:rtl/>
        </w:rPr>
        <w:t>ة</w:t>
      </w:r>
      <w:r w:rsidR="00E8128F">
        <w:rPr>
          <w:sz w:val="36"/>
          <w:szCs w:val="36"/>
          <w:rtl/>
        </w:rPr>
        <w:t xml:space="preserve"> </w:t>
      </w:r>
      <w:r w:rsidRPr="00FD211F">
        <w:rPr>
          <w:sz w:val="36"/>
          <w:szCs w:val="36"/>
          <w:rtl/>
        </w:rPr>
        <w:t>وجوه</w:t>
      </w:r>
      <w:r w:rsidR="00E8128F">
        <w:rPr>
          <w:sz w:val="36"/>
          <w:szCs w:val="36"/>
          <w:rtl/>
        </w:rPr>
        <w:t xml:space="preserve"> </w:t>
      </w:r>
      <w:r w:rsidRPr="00FD211F">
        <w:rPr>
          <w:sz w:val="36"/>
          <w:szCs w:val="36"/>
          <w:rtl/>
        </w:rPr>
        <w:t>عمدتها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يلي:</w:t>
      </w:r>
    </w:p>
    <w:p w14:paraId="4444D656" w14:textId="77777777" w:rsidR="000C5BBA" w:rsidRPr="00FD211F" w:rsidRDefault="00A94E56" w:rsidP="009C58C8">
      <w:pPr>
        <w:ind w:left="0" w:firstLine="227"/>
        <w:jc w:val="both"/>
        <w:rPr>
          <w:sz w:val="36"/>
          <w:szCs w:val="36"/>
          <w:rtl/>
        </w:rPr>
      </w:pPr>
      <w:r w:rsidRPr="00FD211F">
        <w:rPr>
          <w:b/>
          <w:bCs/>
          <w:sz w:val="36"/>
          <w:szCs w:val="36"/>
          <w:rtl/>
        </w:rPr>
        <w:t>الاول</w:t>
      </w:r>
      <w:r w:rsidRPr="00FD211F">
        <w:rPr>
          <w:sz w:val="36"/>
          <w:szCs w:val="36"/>
          <w:rtl/>
        </w:rPr>
        <w:t>:</w:t>
      </w:r>
      <w:r w:rsidR="00E8128F">
        <w:rPr>
          <w:sz w:val="36"/>
          <w:szCs w:val="36"/>
          <w:rtl/>
        </w:rPr>
        <w:t xml:space="preserve"> </w:t>
      </w:r>
      <w:r w:rsidR="00792FC3" w:rsidRPr="00FD211F">
        <w:rPr>
          <w:sz w:val="36"/>
          <w:szCs w:val="36"/>
          <w:rtl/>
        </w:rPr>
        <w:t>التبادر</w:t>
      </w:r>
      <w:r w:rsidR="00603323" w:rsidRPr="00FD211F">
        <w:rPr>
          <w:sz w:val="36"/>
          <w:szCs w:val="36"/>
          <w:rtl/>
        </w:rPr>
        <w:t>،</w:t>
      </w:r>
      <w:r w:rsidR="00E8128F">
        <w:rPr>
          <w:sz w:val="36"/>
          <w:szCs w:val="36"/>
          <w:rtl/>
        </w:rPr>
        <w:t xml:space="preserve"> </w:t>
      </w:r>
      <w:r w:rsidR="00792FC3" w:rsidRPr="00FD211F">
        <w:rPr>
          <w:sz w:val="36"/>
          <w:szCs w:val="36"/>
          <w:rtl/>
        </w:rPr>
        <w:t>و</w:t>
      </w:r>
      <w:r w:rsidR="00014111" w:rsidRPr="00FD211F">
        <w:rPr>
          <w:sz w:val="36"/>
          <w:szCs w:val="36"/>
          <w:rtl/>
        </w:rPr>
        <w:t>قال</w:t>
      </w:r>
      <w:r w:rsidR="00E8128F">
        <w:rPr>
          <w:sz w:val="36"/>
          <w:szCs w:val="36"/>
          <w:rtl/>
        </w:rPr>
        <w:t xml:space="preserve"> </w:t>
      </w:r>
      <w:r w:rsidRPr="00FD211F">
        <w:rPr>
          <w:sz w:val="36"/>
          <w:szCs w:val="36"/>
          <w:rtl/>
        </w:rPr>
        <w:t>صاحب</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00792FC3" w:rsidRPr="00FD211F">
        <w:rPr>
          <w:sz w:val="36"/>
          <w:szCs w:val="36"/>
          <w:rtl/>
        </w:rPr>
        <w:t>انه</w:t>
      </w:r>
      <w:r w:rsidR="00E8128F">
        <w:rPr>
          <w:sz w:val="36"/>
          <w:szCs w:val="36"/>
          <w:rtl/>
        </w:rPr>
        <w:t xml:space="preserve"> </w:t>
      </w:r>
      <w:r w:rsidR="00792FC3" w:rsidRPr="00FD211F">
        <w:rPr>
          <w:sz w:val="36"/>
          <w:szCs w:val="36"/>
          <w:rtl/>
        </w:rPr>
        <w:t>قد</w:t>
      </w:r>
      <w:r w:rsidR="00E8128F">
        <w:rPr>
          <w:sz w:val="36"/>
          <w:szCs w:val="36"/>
          <w:rtl/>
        </w:rPr>
        <w:t xml:space="preserve"> </w:t>
      </w:r>
      <w:r w:rsidR="00792FC3" w:rsidRPr="00FD211F">
        <w:rPr>
          <w:sz w:val="36"/>
          <w:szCs w:val="36"/>
          <w:rtl/>
        </w:rPr>
        <w:t>يورد</w:t>
      </w:r>
      <w:r w:rsidR="00E8128F">
        <w:rPr>
          <w:sz w:val="36"/>
          <w:szCs w:val="36"/>
          <w:rtl/>
        </w:rPr>
        <w:t xml:space="preserve"> </w:t>
      </w:r>
      <w:r w:rsidR="00792FC3" w:rsidRPr="00FD211F">
        <w:rPr>
          <w:sz w:val="36"/>
          <w:szCs w:val="36"/>
          <w:rtl/>
        </w:rPr>
        <w:t>عليه</w:t>
      </w:r>
      <w:r w:rsidR="00E8128F">
        <w:rPr>
          <w:sz w:val="36"/>
          <w:szCs w:val="36"/>
          <w:rtl/>
        </w:rPr>
        <w:t xml:space="preserve"> </w:t>
      </w:r>
      <w:r w:rsidR="00792FC3" w:rsidRPr="00FD211F">
        <w:rPr>
          <w:sz w:val="36"/>
          <w:szCs w:val="36"/>
          <w:rtl/>
        </w:rPr>
        <w:t>انه</w:t>
      </w:r>
      <w:r w:rsidR="00E8128F">
        <w:rPr>
          <w:sz w:val="36"/>
          <w:szCs w:val="36"/>
          <w:rtl/>
        </w:rPr>
        <w:t xml:space="preserve"> </w:t>
      </w:r>
      <w:r w:rsidR="00792FC3" w:rsidRPr="00FD211F">
        <w:rPr>
          <w:sz w:val="36"/>
          <w:szCs w:val="36"/>
          <w:rtl/>
        </w:rPr>
        <w:t>لايكشف</w:t>
      </w:r>
      <w:r w:rsidR="00E8128F">
        <w:rPr>
          <w:sz w:val="36"/>
          <w:szCs w:val="36"/>
          <w:rtl/>
        </w:rPr>
        <w:t xml:space="preserve"> </w:t>
      </w:r>
      <w:r w:rsidR="00792FC3" w:rsidRPr="00FD211F">
        <w:rPr>
          <w:sz w:val="36"/>
          <w:szCs w:val="36"/>
          <w:rtl/>
        </w:rPr>
        <w:t>عن</w:t>
      </w:r>
      <w:r w:rsidR="00E8128F">
        <w:rPr>
          <w:sz w:val="36"/>
          <w:szCs w:val="36"/>
          <w:rtl/>
        </w:rPr>
        <w:t xml:space="preserve"> </w:t>
      </w:r>
      <w:r w:rsidR="00792FC3" w:rsidRPr="00FD211F">
        <w:rPr>
          <w:sz w:val="36"/>
          <w:szCs w:val="36"/>
          <w:rtl/>
        </w:rPr>
        <w:t>وضعه</w:t>
      </w:r>
      <w:r w:rsidR="00E8128F">
        <w:rPr>
          <w:sz w:val="36"/>
          <w:szCs w:val="36"/>
          <w:rtl/>
        </w:rPr>
        <w:t xml:space="preserve"> </w:t>
      </w:r>
      <w:r w:rsidR="00792FC3" w:rsidRPr="00FD211F">
        <w:rPr>
          <w:sz w:val="36"/>
          <w:szCs w:val="36"/>
          <w:rtl/>
        </w:rPr>
        <w:t>له</w:t>
      </w:r>
      <w:r w:rsidR="00E8128F">
        <w:rPr>
          <w:sz w:val="36"/>
          <w:szCs w:val="36"/>
          <w:rtl/>
        </w:rPr>
        <w:t xml:space="preserve"> </w:t>
      </w:r>
      <w:r w:rsidR="00792FC3" w:rsidRPr="00FD211F">
        <w:rPr>
          <w:sz w:val="36"/>
          <w:szCs w:val="36"/>
          <w:rtl/>
        </w:rPr>
        <w:t>بل</w:t>
      </w:r>
      <w:r w:rsidR="00E8128F">
        <w:rPr>
          <w:sz w:val="36"/>
          <w:szCs w:val="36"/>
          <w:rtl/>
        </w:rPr>
        <w:t xml:space="preserve"> </w:t>
      </w:r>
      <w:r w:rsidR="00792FC3" w:rsidRPr="00FD211F">
        <w:rPr>
          <w:sz w:val="36"/>
          <w:szCs w:val="36"/>
          <w:rtl/>
        </w:rPr>
        <w:t>لعله</w:t>
      </w:r>
      <w:r w:rsidR="00E8128F">
        <w:rPr>
          <w:sz w:val="36"/>
          <w:szCs w:val="36"/>
          <w:rtl/>
        </w:rPr>
        <w:t xml:space="preserve"> </w:t>
      </w:r>
      <w:r w:rsidR="00792FC3" w:rsidRPr="00FD211F">
        <w:rPr>
          <w:sz w:val="36"/>
          <w:szCs w:val="36"/>
          <w:rtl/>
        </w:rPr>
        <w:t>لأجل</w:t>
      </w:r>
      <w:r w:rsidR="00E8128F">
        <w:rPr>
          <w:sz w:val="36"/>
          <w:szCs w:val="36"/>
          <w:rtl/>
        </w:rPr>
        <w:t xml:space="preserve"> </w:t>
      </w:r>
      <w:r w:rsidR="00792FC3" w:rsidRPr="00FD211F">
        <w:rPr>
          <w:sz w:val="36"/>
          <w:szCs w:val="36"/>
          <w:rtl/>
        </w:rPr>
        <w:t>الانصراف</w:t>
      </w:r>
      <w:r w:rsidR="00E8128F">
        <w:rPr>
          <w:sz w:val="36"/>
          <w:szCs w:val="36"/>
          <w:rtl/>
        </w:rPr>
        <w:t xml:space="preserve"> </w:t>
      </w:r>
      <w:r w:rsidR="00792FC3" w:rsidRPr="00FD211F">
        <w:rPr>
          <w:sz w:val="36"/>
          <w:szCs w:val="36"/>
          <w:rtl/>
        </w:rPr>
        <w:t>النا</w:t>
      </w:r>
      <w:r w:rsidR="00251CB6" w:rsidRPr="00FD211F">
        <w:rPr>
          <w:sz w:val="36"/>
          <w:szCs w:val="36"/>
          <w:rtl/>
        </w:rPr>
        <w:t>شيء</w:t>
      </w:r>
      <w:r w:rsidR="00E8128F">
        <w:rPr>
          <w:sz w:val="36"/>
          <w:szCs w:val="36"/>
          <w:rtl/>
        </w:rPr>
        <w:t xml:space="preserve"> </w:t>
      </w:r>
      <w:r w:rsidR="00792FC3" w:rsidRPr="00FD211F">
        <w:rPr>
          <w:sz w:val="36"/>
          <w:szCs w:val="36"/>
          <w:rtl/>
        </w:rPr>
        <w:t>عن</w:t>
      </w:r>
      <w:r w:rsidR="00E8128F">
        <w:rPr>
          <w:sz w:val="36"/>
          <w:szCs w:val="36"/>
          <w:rtl/>
        </w:rPr>
        <w:t xml:space="preserve"> </w:t>
      </w:r>
      <w:r w:rsidR="00792FC3" w:rsidRPr="00FD211F">
        <w:rPr>
          <w:sz w:val="36"/>
          <w:szCs w:val="36"/>
          <w:rtl/>
        </w:rPr>
        <w:t>كثر</w:t>
      </w:r>
      <w:r w:rsidR="00EC7EDF" w:rsidRPr="00FD211F">
        <w:rPr>
          <w:sz w:val="36"/>
          <w:szCs w:val="36"/>
          <w:rtl/>
        </w:rPr>
        <w:t>ة</w:t>
      </w:r>
      <w:r w:rsidR="00E8128F">
        <w:rPr>
          <w:sz w:val="36"/>
          <w:szCs w:val="36"/>
          <w:rtl/>
        </w:rPr>
        <w:t xml:space="preserve"> </w:t>
      </w:r>
      <w:r w:rsidR="00792FC3" w:rsidRPr="00FD211F">
        <w:rPr>
          <w:sz w:val="36"/>
          <w:szCs w:val="36"/>
          <w:rtl/>
        </w:rPr>
        <w:t>الاستعمال</w:t>
      </w:r>
      <w:r w:rsidR="00603323" w:rsidRPr="00FD211F">
        <w:rPr>
          <w:sz w:val="36"/>
          <w:szCs w:val="36"/>
          <w:rtl/>
        </w:rPr>
        <w:t>،</w:t>
      </w:r>
      <w:r w:rsidR="00E8128F">
        <w:rPr>
          <w:sz w:val="36"/>
          <w:szCs w:val="36"/>
          <w:rtl/>
        </w:rPr>
        <w:t xml:space="preserve"> </w:t>
      </w:r>
      <w:r w:rsidR="00014111" w:rsidRPr="00FD211F">
        <w:rPr>
          <w:sz w:val="36"/>
          <w:szCs w:val="36"/>
          <w:rtl/>
        </w:rPr>
        <w:t>ولكن</w:t>
      </w:r>
      <w:r w:rsidR="00E8128F">
        <w:rPr>
          <w:sz w:val="36"/>
          <w:szCs w:val="36"/>
          <w:rtl/>
        </w:rPr>
        <w:t xml:space="preserve"> </w:t>
      </w:r>
      <w:r w:rsidR="00014111" w:rsidRPr="00FD211F">
        <w:rPr>
          <w:sz w:val="36"/>
          <w:szCs w:val="36"/>
          <w:rtl/>
        </w:rPr>
        <w:t>الجواب</w:t>
      </w:r>
      <w:r w:rsidR="00E8128F">
        <w:rPr>
          <w:sz w:val="36"/>
          <w:szCs w:val="36"/>
          <w:rtl/>
        </w:rPr>
        <w:t xml:space="preserve"> </w:t>
      </w:r>
      <w:r w:rsidR="00014111" w:rsidRPr="00FD211F">
        <w:rPr>
          <w:sz w:val="36"/>
          <w:szCs w:val="36"/>
          <w:rtl/>
        </w:rPr>
        <w:t>عنه</w:t>
      </w:r>
      <w:r w:rsidR="00E8128F">
        <w:rPr>
          <w:sz w:val="36"/>
          <w:szCs w:val="36"/>
          <w:rtl/>
        </w:rPr>
        <w:t xml:space="preserve"> </w:t>
      </w:r>
      <w:r w:rsidR="00792FC3" w:rsidRPr="00FD211F">
        <w:rPr>
          <w:sz w:val="36"/>
          <w:szCs w:val="36"/>
          <w:rtl/>
        </w:rPr>
        <w:t>بان</w:t>
      </w:r>
      <w:r w:rsidR="00E8128F">
        <w:rPr>
          <w:sz w:val="36"/>
          <w:szCs w:val="36"/>
          <w:rtl/>
        </w:rPr>
        <w:t xml:space="preserve"> </w:t>
      </w:r>
      <w:r w:rsidR="00792FC3" w:rsidRPr="00FD211F">
        <w:rPr>
          <w:sz w:val="36"/>
          <w:szCs w:val="36"/>
          <w:rtl/>
        </w:rPr>
        <w:t>استعماله</w:t>
      </w:r>
      <w:r w:rsidR="00E8128F">
        <w:rPr>
          <w:sz w:val="36"/>
          <w:szCs w:val="36"/>
          <w:rtl/>
        </w:rPr>
        <w:t xml:space="preserve"> </w:t>
      </w:r>
      <w:r w:rsidR="00792FC3" w:rsidRPr="00FD211F">
        <w:rPr>
          <w:sz w:val="36"/>
          <w:szCs w:val="36"/>
          <w:rtl/>
        </w:rPr>
        <w:t>في</w:t>
      </w:r>
      <w:r w:rsidR="00E8128F">
        <w:rPr>
          <w:sz w:val="36"/>
          <w:szCs w:val="36"/>
          <w:rtl/>
        </w:rPr>
        <w:t xml:space="preserve"> </w:t>
      </w:r>
      <w:r w:rsidR="00792FC3" w:rsidRPr="00FD211F">
        <w:rPr>
          <w:sz w:val="36"/>
          <w:szCs w:val="36"/>
          <w:rtl/>
        </w:rPr>
        <w:t>المنقضي</w:t>
      </w:r>
      <w:r w:rsidR="00E8128F">
        <w:rPr>
          <w:sz w:val="36"/>
          <w:szCs w:val="36"/>
          <w:rtl/>
        </w:rPr>
        <w:t xml:space="preserve"> </w:t>
      </w:r>
      <w:r w:rsidR="00792FC3" w:rsidRPr="00FD211F">
        <w:rPr>
          <w:sz w:val="36"/>
          <w:szCs w:val="36"/>
          <w:rtl/>
        </w:rPr>
        <w:t>عنه</w:t>
      </w:r>
      <w:r w:rsidR="00E8128F">
        <w:rPr>
          <w:sz w:val="36"/>
          <w:szCs w:val="36"/>
          <w:rtl/>
        </w:rPr>
        <w:t xml:space="preserve"> </w:t>
      </w:r>
      <w:r w:rsidR="00792FC3" w:rsidRPr="00FD211F">
        <w:rPr>
          <w:sz w:val="36"/>
          <w:szCs w:val="36"/>
          <w:rtl/>
        </w:rPr>
        <w:t>ال</w:t>
      </w:r>
      <w:r w:rsidR="0079493B" w:rsidRPr="00FD211F">
        <w:rPr>
          <w:sz w:val="36"/>
          <w:szCs w:val="36"/>
          <w:rtl/>
        </w:rPr>
        <w:t>مبدأ</w:t>
      </w:r>
      <w:r w:rsidR="00E8128F">
        <w:rPr>
          <w:sz w:val="36"/>
          <w:szCs w:val="36"/>
          <w:rtl/>
        </w:rPr>
        <w:t xml:space="preserve"> </w:t>
      </w:r>
      <w:r w:rsidR="00792FC3" w:rsidRPr="00FD211F">
        <w:rPr>
          <w:sz w:val="36"/>
          <w:szCs w:val="36"/>
          <w:rtl/>
        </w:rPr>
        <w:t>ايضا</w:t>
      </w:r>
      <w:r w:rsidR="00E8128F">
        <w:rPr>
          <w:sz w:val="36"/>
          <w:szCs w:val="36"/>
          <w:rtl/>
        </w:rPr>
        <w:t xml:space="preserve"> </w:t>
      </w:r>
      <w:r w:rsidR="00792FC3" w:rsidRPr="00FD211F">
        <w:rPr>
          <w:sz w:val="36"/>
          <w:szCs w:val="36"/>
          <w:rtl/>
        </w:rPr>
        <w:t>كثير</w:t>
      </w:r>
      <w:r w:rsidR="00E8128F">
        <w:rPr>
          <w:sz w:val="36"/>
          <w:szCs w:val="36"/>
          <w:rtl/>
        </w:rPr>
        <w:t xml:space="preserve"> </w:t>
      </w:r>
      <w:r w:rsidR="00792FC3" w:rsidRPr="00FD211F">
        <w:rPr>
          <w:sz w:val="36"/>
          <w:szCs w:val="36"/>
          <w:rtl/>
        </w:rPr>
        <w:t>لو</w:t>
      </w:r>
      <w:r w:rsidR="00E8128F">
        <w:rPr>
          <w:sz w:val="36"/>
          <w:szCs w:val="36"/>
          <w:rtl/>
        </w:rPr>
        <w:t xml:space="preserve"> </w:t>
      </w:r>
      <w:r w:rsidR="008D7B3D" w:rsidRPr="00FD211F">
        <w:rPr>
          <w:sz w:val="36"/>
          <w:szCs w:val="36"/>
          <w:rtl/>
        </w:rPr>
        <w:t>لم‌</w:t>
      </w:r>
      <w:r w:rsidR="00792FC3" w:rsidRPr="00FD211F">
        <w:rPr>
          <w:sz w:val="36"/>
          <w:szCs w:val="36"/>
          <w:rtl/>
        </w:rPr>
        <w:t>يكن</w:t>
      </w:r>
      <w:r w:rsidR="00E8128F">
        <w:rPr>
          <w:sz w:val="36"/>
          <w:szCs w:val="36"/>
          <w:rtl/>
        </w:rPr>
        <w:t xml:space="preserve"> </w:t>
      </w:r>
      <w:r w:rsidR="00792FC3" w:rsidRPr="00FD211F">
        <w:rPr>
          <w:sz w:val="36"/>
          <w:szCs w:val="36"/>
          <w:rtl/>
        </w:rPr>
        <w:t>اكثر</w:t>
      </w:r>
      <w:r w:rsidR="00014111" w:rsidRPr="00FD211F">
        <w:rPr>
          <w:sz w:val="36"/>
          <w:szCs w:val="36"/>
          <w:rtl/>
        </w:rPr>
        <w:t>.</w:t>
      </w:r>
    </w:p>
    <w:p w14:paraId="1FDF7803" w14:textId="77777777" w:rsidR="000C5BBA" w:rsidRPr="00FD211F" w:rsidRDefault="00792FC3" w:rsidP="009C58C8">
      <w:pPr>
        <w:ind w:left="0" w:firstLine="227"/>
        <w:jc w:val="both"/>
        <w:rPr>
          <w:sz w:val="36"/>
          <w:szCs w:val="36"/>
          <w:rtl/>
        </w:rPr>
      </w:pPr>
      <w:r w:rsidRPr="00FD211F">
        <w:rPr>
          <w:sz w:val="36"/>
          <w:szCs w:val="36"/>
          <w:rtl/>
        </w:rPr>
        <w:t>فان</w:t>
      </w:r>
      <w:r w:rsidR="00E8128F">
        <w:rPr>
          <w:sz w:val="36"/>
          <w:szCs w:val="36"/>
          <w:rtl/>
        </w:rPr>
        <w:t xml:space="preserve"> </w:t>
      </w:r>
      <w:r w:rsidRPr="00FD211F">
        <w:rPr>
          <w:sz w:val="36"/>
          <w:szCs w:val="36"/>
          <w:rtl/>
        </w:rPr>
        <w:t>قيل</w:t>
      </w:r>
      <w:r w:rsidR="00014111"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مناف</w:t>
      </w:r>
      <w:r w:rsidR="00E8128F">
        <w:rPr>
          <w:sz w:val="36"/>
          <w:szCs w:val="36"/>
          <w:rtl/>
        </w:rPr>
        <w:t xml:space="preserve"> </w:t>
      </w:r>
      <w:r w:rsidRPr="00FD211F">
        <w:rPr>
          <w:sz w:val="36"/>
          <w:szCs w:val="36"/>
          <w:rtl/>
        </w:rPr>
        <w:t>لحكم</w:t>
      </w:r>
      <w:r w:rsidR="00EC7EDF" w:rsidRPr="00FD211F">
        <w:rPr>
          <w:sz w:val="36"/>
          <w:szCs w:val="36"/>
          <w:rtl/>
        </w:rPr>
        <w:t>ة</w:t>
      </w:r>
      <w:r w:rsidR="00E8128F">
        <w:rPr>
          <w:sz w:val="36"/>
          <w:szCs w:val="36"/>
          <w:rtl/>
        </w:rPr>
        <w:t xml:space="preserve"> </w:t>
      </w:r>
      <w:r w:rsidRPr="00FD211F">
        <w:rPr>
          <w:sz w:val="36"/>
          <w:szCs w:val="36"/>
          <w:rtl/>
        </w:rPr>
        <w:t>الوضع</w:t>
      </w:r>
      <w:r w:rsidR="00603323" w:rsidRPr="00FD211F">
        <w:rPr>
          <w:sz w:val="36"/>
          <w:szCs w:val="36"/>
          <w:rtl/>
        </w:rPr>
        <w:t>،</w:t>
      </w:r>
      <w:r w:rsidR="00E8128F">
        <w:rPr>
          <w:sz w:val="36"/>
          <w:szCs w:val="36"/>
          <w:rtl/>
        </w:rPr>
        <w:t xml:space="preserve"> </w:t>
      </w:r>
      <w:r w:rsidRPr="00FD211F">
        <w:rPr>
          <w:sz w:val="36"/>
          <w:szCs w:val="36"/>
          <w:rtl/>
        </w:rPr>
        <w:t>فيجاب</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فرض</w:t>
      </w:r>
      <w:r w:rsidR="00E8128F">
        <w:rPr>
          <w:sz w:val="36"/>
          <w:szCs w:val="36"/>
          <w:rtl/>
        </w:rPr>
        <w:t xml:space="preserve"> </w:t>
      </w:r>
      <w:r w:rsidR="00BE0BB7" w:rsidRPr="00FD211F">
        <w:rPr>
          <w:sz w:val="36"/>
          <w:szCs w:val="36"/>
          <w:rtl/>
        </w:rPr>
        <w:t>قبول</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كثر</w:t>
      </w:r>
      <w:r w:rsidR="00EC7EDF" w:rsidRPr="00FD211F">
        <w:rPr>
          <w:sz w:val="36"/>
          <w:szCs w:val="36"/>
          <w:rtl/>
        </w:rPr>
        <w:t>ة</w:t>
      </w:r>
      <w:r w:rsidR="00E8128F">
        <w:rPr>
          <w:sz w:val="36"/>
          <w:szCs w:val="36"/>
          <w:rtl/>
        </w:rPr>
        <w:t xml:space="preserve"> </w:t>
      </w:r>
      <w:r w:rsidRPr="00FD211F">
        <w:rPr>
          <w:sz w:val="36"/>
          <w:szCs w:val="36"/>
          <w:rtl/>
        </w:rPr>
        <w:t>استعمال</w:t>
      </w:r>
      <w:r w:rsidR="00E8128F">
        <w:rPr>
          <w:sz w:val="36"/>
          <w:szCs w:val="36"/>
          <w:rtl/>
        </w:rPr>
        <w:t xml:space="preserve"> </w:t>
      </w:r>
      <w:r w:rsidRPr="00FD211F">
        <w:rPr>
          <w:sz w:val="36"/>
          <w:szCs w:val="36"/>
          <w:rtl/>
        </w:rPr>
        <w:t>اللفظ</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المعنى</w:t>
      </w:r>
      <w:r w:rsidR="00E8128F">
        <w:rPr>
          <w:sz w:val="36"/>
          <w:szCs w:val="36"/>
          <w:rtl/>
        </w:rPr>
        <w:t xml:space="preserve"> </w:t>
      </w:r>
      <w:r w:rsidRPr="00FD211F">
        <w:rPr>
          <w:sz w:val="36"/>
          <w:szCs w:val="36"/>
          <w:rtl/>
        </w:rPr>
        <w:t>المجازي</w:t>
      </w:r>
      <w:r w:rsidR="00E8128F">
        <w:rPr>
          <w:sz w:val="36"/>
          <w:szCs w:val="36"/>
          <w:rtl/>
        </w:rPr>
        <w:t xml:space="preserve"> </w:t>
      </w:r>
      <w:r w:rsidRPr="00FD211F">
        <w:rPr>
          <w:sz w:val="36"/>
          <w:szCs w:val="36"/>
          <w:rtl/>
        </w:rPr>
        <w:t>مخلا</w:t>
      </w:r>
      <w:r w:rsidR="00E8128F">
        <w:rPr>
          <w:sz w:val="36"/>
          <w:szCs w:val="36"/>
          <w:rtl/>
        </w:rPr>
        <w:t xml:space="preserve"> </w:t>
      </w:r>
      <w:r w:rsidRPr="00FD211F">
        <w:rPr>
          <w:sz w:val="36"/>
          <w:szCs w:val="36"/>
          <w:rtl/>
        </w:rPr>
        <w:t>بحكم</w:t>
      </w:r>
      <w:r w:rsidR="00EC7EDF" w:rsidRPr="00FD211F">
        <w:rPr>
          <w:sz w:val="36"/>
          <w:szCs w:val="36"/>
          <w:rtl/>
        </w:rPr>
        <w:t>ة</w:t>
      </w:r>
      <w:r w:rsidR="00E8128F">
        <w:rPr>
          <w:sz w:val="36"/>
          <w:szCs w:val="36"/>
          <w:rtl/>
        </w:rPr>
        <w:t xml:space="preserve"> </w:t>
      </w:r>
      <w:r w:rsidRPr="00FD211F">
        <w:rPr>
          <w:sz w:val="36"/>
          <w:szCs w:val="36"/>
          <w:rtl/>
        </w:rPr>
        <w:t>الوضع</w:t>
      </w:r>
      <w:r w:rsidR="00603323" w:rsidRPr="00FD211F">
        <w:rPr>
          <w:sz w:val="36"/>
          <w:szCs w:val="36"/>
          <w:rtl/>
        </w:rPr>
        <w:t>،</w:t>
      </w:r>
      <w:r w:rsidR="00E8128F">
        <w:rPr>
          <w:sz w:val="36"/>
          <w:szCs w:val="36"/>
          <w:rtl/>
        </w:rPr>
        <w:t xml:space="preserve"> </w:t>
      </w:r>
      <w:r w:rsidR="00014111" w:rsidRPr="00FD211F">
        <w:rPr>
          <w:sz w:val="36"/>
          <w:szCs w:val="36"/>
          <w:rtl/>
        </w:rPr>
        <w:t>ف</w:t>
      </w:r>
      <w:r w:rsidRPr="00FD211F">
        <w:rPr>
          <w:sz w:val="36"/>
          <w:szCs w:val="36"/>
          <w:rtl/>
        </w:rPr>
        <w:t>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المسل</w:t>
      </w:r>
      <w:r w:rsidR="00014111" w:rsidRPr="00FD211F">
        <w:rPr>
          <w:sz w:val="36"/>
          <w:szCs w:val="36"/>
          <w:rtl/>
        </w:rPr>
        <w:t>َّ</w:t>
      </w:r>
      <w:r w:rsidRPr="00FD211F">
        <w:rPr>
          <w:sz w:val="36"/>
          <w:szCs w:val="36"/>
          <w:rtl/>
        </w:rPr>
        <w:t>م</w:t>
      </w:r>
      <w:r w:rsidR="00E8128F">
        <w:rPr>
          <w:sz w:val="36"/>
          <w:szCs w:val="36"/>
          <w:rtl/>
        </w:rPr>
        <w:t xml:space="preserve"> </w:t>
      </w:r>
      <w:r w:rsidRPr="00FD211F">
        <w:rPr>
          <w:sz w:val="36"/>
          <w:szCs w:val="36"/>
          <w:rtl/>
        </w:rPr>
        <w:t>كثر</w:t>
      </w:r>
      <w:r w:rsidR="00EC7EDF" w:rsidRPr="00FD211F">
        <w:rPr>
          <w:sz w:val="36"/>
          <w:szCs w:val="36"/>
          <w:rtl/>
        </w:rPr>
        <w:t>ة</w:t>
      </w:r>
      <w:r w:rsidR="00E8128F">
        <w:rPr>
          <w:sz w:val="36"/>
          <w:szCs w:val="36"/>
          <w:rtl/>
        </w:rPr>
        <w:t xml:space="preserve"> </w:t>
      </w:r>
      <w:r w:rsidRPr="00FD211F">
        <w:rPr>
          <w:sz w:val="36"/>
          <w:szCs w:val="36"/>
          <w:rtl/>
        </w:rPr>
        <w:t>اطلاق</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انقضى</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w:t>
      </w:r>
      <w:r w:rsidR="0079493B" w:rsidRPr="00FD211F">
        <w:rPr>
          <w:sz w:val="36"/>
          <w:szCs w:val="36"/>
          <w:rtl/>
        </w:rPr>
        <w:t>مبدأ</w:t>
      </w:r>
      <w:r w:rsidR="00603323" w:rsidRPr="00FD211F">
        <w:rPr>
          <w:sz w:val="36"/>
          <w:szCs w:val="36"/>
          <w:rtl/>
        </w:rPr>
        <w:t>،</w:t>
      </w:r>
      <w:r w:rsidR="00E8128F">
        <w:rPr>
          <w:sz w:val="36"/>
          <w:szCs w:val="36"/>
          <w:rtl/>
        </w:rPr>
        <w:t xml:space="preserve"> </w:t>
      </w:r>
      <w:r w:rsidR="00AF0EE1" w:rsidRPr="00FD211F">
        <w:rPr>
          <w:sz w:val="36"/>
          <w:szCs w:val="36"/>
          <w:rtl/>
        </w:rPr>
        <w:t>وحينئذ</w:t>
      </w:r>
      <w:r w:rsidR="00E8128F">
        <w:rPr>
          <w:sz w:val="36"/>
          <w:szCs w:val="36"/>
          <w:rtl/>
        </w:rPr>
        <w:t xml:space="preserve"> </w:t>
      </w:r>
      <w:r w:rsidR="00AF0EE1" w:rsidRPr="00FD211F">
        <w:rPr>
          <w:sz w:val="36"/>
          <w:szCs w:val="36"/>
          <w:rtl/>
        </w:rPr>
        <w:t>ف</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القول</w:t>
      </w:r>
      <w:r w:rsidR="00E8128F">
        <w:rPr>
          <w:sz w:val="36"/>
          <w:szCs w:val="36"/>
          <w:rtl/>
        </w:rPr>
        <w:t xml:space="preserve"> </w:t>
      </w:r>
      <w:r w:rsidRPr="00FD211F">
        <w:rPr>
          <w:sz w:val="36"/>
          <w:szCs w:val="36"/>
          <w:rtl/>
        </w:rPr>
        <w:t>بالوضع</w:t>
      </w:r>
      <w:r w:rsidR="00E8128F">
        <w:rPr>
          <w:sz w:val="36"/>
          <w:szCs w:val="36"/>
          <w:rtl/>
        </w:rPr>
        <w:t xml:space="preserve"> </w:t>
      </w:r>
      <w:r w:rsidRPr="00FD211F">
        <w:rPr>
          <w:sz w:val="36"/>
          <w:szCs w:val="36"/>
          <w:rtl/>
        </w:rPr>
        <w:t>للمتلبس</w:t>
      </w:r>
      <w:r w:rsidR="00E8128F">
        <w:rPr>
          <w:sz w:val="36"/>
          <w:szCs w:val="36"/>
          <w:rtl/>
        </w:rPr>
        <w:t xml:space="preserve"> </w:t>
      </w:r>
      <w:r w:rsidRPr="00FD211F">
        <w:rPr>
          <w:sz w:val="36"/>
          <w:szCs w:val="36"/>
          <w:rtl/>
        </w:rPr>
        <w:t>يمكن</w:t>
      </w:r>
      <w:r w:rsidR="00E8128F">
        <w:rPr>
          <w:sz w:val="36"/>
          <w:szCs w:val="36"/>
          <w:rtl/>
        </w:rPr>
        <w:t xml:space="preserve"> </w:t>
      </w:r>
      <w:r w:rsidRPr="00FD211F">
        <w:rPr>
          <w:sz w:val="36"/>
          <w:szCs w:val="36"/>
          <w:rtl/>
        </w:rPr>
        <w:t>حمله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كونه</w:t>
      </w:r>
      <w:r w:rsidR="00E8128F">
        <w:rPr>
          <w:sz w:val="36"/>
          <w:szCs w:val="36"/>
          <w:rtl/>
        </w:rPr>
        <w:t xml:space="preserve"> </w:t>
      </w:r>
      <w:r w:rsidRPr="00FD211F">
        <w:rPr>
          <w:sz w:val="36"/>
          <w:szCs w:val="36"/>
          <w:rtl/>
        </w:rPr>
        <w:t>بلحاظ</w:t>
      </w:r>
      <w:r w:rsidR="00E8128F">
        <w:rPr>
          <w:sz w:val="36"/>
          <w:szCs w:val="36"/>
          <w:rtl/>
        </w:rPr>
        <w:t xml:space="preserve"> </w:t>
      </w:r>
      <w:r w:rsidRPr="00FD211F">
        <w:rPr>
          <w:sz w:val="36"/>
          <w:szCs w:val="36"/>
          <w:rtl/>
        </w:rPr>
        <w:t>حال</w:t>
      </w:r>
      <w:r w:rsidR="00E8128F">
        <w:rPr>
          <w:sz w:val="36"/>
          <w:szCs w:val="36"/>
          <w:rtl/>
        </w:rPr>
        <w:t xml:space="preserve"> </w:t>
      </w:r>
      <w:r w:rsidRPr="00FD211F">
        <w:rPr>
          <w:sz w:val="36"/>
          <w:szCs w:val="36"/>
          <w:rtl/>
        </w:rPr>
        <w:t>التلبس</w:t>
      </w:r>
      <w:r w:rsidR="00603323" w:rsidRPr="00FD211F">
        <w:rPr>
          <w:sz w:val="36"/>
          <w:szCs w:val="36"/>
          <w:rtl/>
        </w:rPr>
        <w:t>،</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قولنا</w:t>
      </w:r>
      <w:r w:rsidR="00AF0EE1" w:rsidRPr="00FD211F">
        <w:rPr>
          <w:sz w:val="36"/>
          <w:szCs w:val="36"/>
          <w:rtl/>
        </w:rPr>
        <w:t>"</w:t>
      </w:r>
      <w:r w:rsidRPr="00FD211F">
        <w:rPr>
          <w:sz w:val="36"/>
          <w:szCs w:val="36"/>
          <w:rtl/>
        </w:rPr>
        <w:t>زيد</w:t>
      </w:r>
      <w:r w:rsidR="00E8128F">
        <w:rPr>
          <w:sz w:val="36"/>
          <w:szCs w:val="36"/>
          <w:rtl/>
        </w:rPr>
        <w:t xml:space="preserve"> </w:t>
      </w:r>
      <w:r w:rsidRPr="00FD211F">
        <w:rPr>
          <w:sz w:val="36"/>
          <w:szCs w:val="36"/>
          <w:rtl/>
        </w:rPr>
        <w:t>سارق</w:t>
      </w:r>
      <w:r w:rsidR="00E8128F">
        <w:rPr>
          <w:sz w:val="36"/>
          <w:szCs w:val="36"/>
          <w:rtl/>
        </w:rPr>
        <w:t xml:space="preserve"> </w:t>
      </w:r>
      <w:r w:rsidRPr="00FD211F">
        <w:rPr>
          <w:sz w:val="36"/>
          <w:szCs w:val="36"/>
          <w:rtl/>
        </w:rPr>
        <w:t>دار</w:t>
      </w:r>
      <w:r w:rsidR="00E8128F">
        <w:rPr>
          <w:sz w:val="36"/>
          <w:szCs w:val="36"/>
          <w:rtl/>
        </w:rPr>
        <w:t xml:space="preserve"> </w:t>
      </w:r>
      <w:r w:rsidRPr="00FD211F">
        <w:rPr>
          <w:sz w:val="36"/>
          <w:szCs w:val="36"/>
          <w:rtl/>
        </w:rPr>
        <w:t>عمر</w:t>
      </w:r>
      <w:r w:rsidR="00AF0EE1" w:rsidRPr="00FD211F">
        <w:rPr>
          <w:sz w:val="36"/>
          <w:szCs w:val="36"/>
          <w:rtl/>
        </w:rPr>
        <w:t>"</w:t>
      </w:r>
      <w:r w:rsidRPr="00FD211F">
        <w:rPr>
          <w:sz w:val="36"/>
          <w:szCs w:val="36"/>
          <w:rtl/>
        </w:rPr>
        <w:t>انه</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سارقا</w:t>
      </w:r>
      <w:r w:rsidR="00603323" w:rsidRPr="00FD211F">
        <w:rPr>
          <w:sz w:val="36"/>
          <w:szCs w:val="36"/>
          <w:rtl/>
        </w:rPr>
        <w:t>،</w:t>
      </w:r>
      <w:r w:rsidR="00E8128F">
        <w:rPr>
          <w:sz w:val="36"/>
          <w:szCs w:val="36"/>
          <w:rtl/>
        </w:rPr>
        <w:t xml:space="preserve"> </w:t>
      </w:r>
      <w:r w:rsidRPr="00FD211F">
        <w:rPr>
          <w:sz w:val="36"/>
          <w:szCs w:val="36"/>
          <w:rtl/>
        </w:rPr>
        <w:t>فل</w:t>
      </w:r>
      <w:r w:rsidR="00AF0EE1" w:rsidRPr="00FD211F">
        <w:rPr>
          <w:sz w:val="36"/>
          <w:szCs w:val="36"/>
          <w:rtl/>
        </w:rPr>
        <w:t>م</w:t>
      </w:r>
      <w:r w:rsidR="00E8128F">
        <w:rPr>
          <w:sz w:val="36"/>
          <w:szCs w:val="36"/>
          <w:rtl/>
        </w:rPr>
        <w:t xml:space="preserve"> </w:t>
      </w:r>
      <w:r w:rsidR="00AF0EE1" w:rsidRPr="00FD211F">
        <w:rPr>
          <w:sz w:val="36"/>
          <w:szCs w:val="36"/>
          <w:rtl/>
        </w:rPr>
        <w:t>يستعمل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الاعم</w:t>
      </w:r>
      <w:r w:rsidR="00603323" w:rsidRPr="00FD211F">
        <w:rPr>
          <w:sz w:val="36"/>
          <w:szCs w:val="36"/>
          <w:rtl/>
        </w:rPr>
        <w:t>،</w:t>
      </w:r>
      <w:r w:rsidR="00E8128F">
        <w:rPr>
          <w:sz w:val="36"/>
          <w:szCs w:val="36"/>
          <w:rtl/>
        </w:rPr>
        <w:t xml:space="preserve"> </w:t>
      </w:r>
      <w:r w:rsidRPr="00FD211F">
        <w:rPr>
          <w:sz w:val="36"/>
          <w:szCs w:val="36"/>
          <w:rtl/>
        </w:rPr>
        <w:t>و</w:t>
      </w:r>
      <w:r w:rsidR="00AF0EE1" w:rsidRPr="00FD211F">
        <w:rPr>
          <w:sz w:val="36"/>
          <w:szCs w:val="36"/>
          <w:rtl/>
        </w:rPr>
        <w:t>لكن</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الوضع</w:t>
      </w:r>
      <w:r w:rsidR="00E8128F">
        <w:rPr>
          <w:sz w:val="36"/>
          <w:szCs w:val="36"/>
          <w:rtl/>
        </w:rPr>
        <w:t xml:space="preserve"> </w:t>
      </w:r>
      <w:r w:rsidRPr="00FD211F">
        <w:rPr>
          <w:sz w:val="36"/>
          <w:szCs w:val="36"/>
          <w:rtl/>
        </w:rPr>
        <w:t>للأعم</w:t>
      </w:r>
      <w:r w:rsidR="00E8128F">
        <w:rPr>
          <w:sz w:val="36"/>
          <w:szCs w:val="36"/>
          <w:rtl/>
        </w:rPr>
        <w:t xml:space="preserve"> </w:t>
      </w:r>
      <w:r w:rsidR="008D7B3D" w:rsidRPr="00FD211F">
        <w:rPr>
          <w:sz w:val="36"/>
          <w:szCs w:val="36"/>
          <w:rtl/>
        </w:rPr>
        <w:t>لم‌</w:t>
      </w:r>
      <w:r w:rsidR="00A94E56" w:rsidRPr="00FD211F">
        <w:rPr>
          <w:sz w:val="36"/>
          <w:szCs w:val="36"/>
          <w:rtl/>
        </w:rPr>
        <w:t>يلزم</w:t>
      </w:r>
      <w:r w:rsidR="00E8128F">
        <w:rPr>
          <w:sz w:val="36"/>
          <w:szCs w:val="36"/>
          <w:rtl/>
        </w:rPr>
        <w:t xml:space="preserve"> </w:t>
      </w:r>
      <w:r w:rsidRPr="00FD211F">
        <w:rPr>
          <w:sz w:val="36"/>
          <w:szCs w:val="36"/>
          <w:rtl/>
        </w:rPr>
        <w:t>حمله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اراد</w:t>
      </w:r>
      <w:r w:rsidR="00EC7EDF" w:rsidRPr="00FD211F">
        <w:rPr>
          <w:sz w:val="36"/>
          <w:szCs w:val="36"/>
          <w:rtl/>
        </w:rPr>
        <w:t>ة</w:t>
      </w:r>
      <w:r w:rsidR="00E8128F">
        <w:rPr>
          <w:sz w:val="36"/>
          <w:szCs w:val="36"/>
          <w:rtl/>
        </w:rPr>
        <w:t xml:space="preserve"> </w:t>
      </w:r>
      <w:r w:rsidRPr="00FD211F">
        <w:rPr>
          <w:sz w:val="36"/>
          <w:szCs w:val="36"/>
          <w:rtl/>
        </w:rPr>
        <w:t>حال</w:t>
      </w:r>
      <w:r w:rsidR="00E8128F">
        <w:rPr>
          <w:sz w:val="36"/>
          <w:szCs w:val="36"/>
          <w:rtl/>
        </w:rPr>
        <w:t xml:space="preserve"> </w:t>
      </w:r>
      <w:r w:rsidRPr="00FD211F">
        <w:rPr>
          <w:sz w:val="36"/>
          <w:szCs w:val="36"/>
          <w:rtl/>
        </w:rPr>
        <w:t>التلبس</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المراد</w:t>
      </w:r>
      <w:r w:rsidR="00E8128F">
        <w:rPr>
          <w:sz w:val="36"/>
          <w:szCs w:val="36"/>
          <w:rtl/>
        </w:rPr>
        <w:t xml:space="preserve"> </w:t>
      </w:r>
      <w:r w:rsidR="00AF0EE1" w:rsidRPr="00FD211F">
        <w:rPr>
          <w:sz w:val="36"/>
          <w:szCs w:val="36"/>
          <w:rtl/>
        </w:rPr>
        <w:t>من</w:t>
      </w:r>
      <w:r w:rsidR="00E8128F">
        <w:rPr>
          <w:sz w:val="36"/>
          <w:szCs w:val="36"/>
          <w:rtl/>
        </w:rPr>
        <w:t xml:space="preserve"> </w:t>
      </w:r>
      <w:r w:rsidR="00AF0EE1" w:rsidRPr="00FD211F">
        <w:rPr>
          <w:sz w:val="36"/>
          <w:szCs w:val="36"/>
          <w:rtl/>
        </w:rPr>
        <w:t>قولنا</w:t>
      </w:r>
      <w:r w:rsidR="00E8128F">
        <w:rPr>
          <w:sz w:val="36"/>
          <w:szCs w:val="36"/>
          <w:rtl/>
        </w:rPr>
        <w:t xml:space="preserve"> </w:t>
      </w:r>
      <w:r w:rsidR="00AF0EE1" w:rsidRPr="00FD211F">
        <w:rPr>
          <w:sz w:val="36"/>
          <w:szCs w:val="36"/>
          <w:rtl/>
        </w:rPr>
        <w:t>"زيد</w:t>
      </w:r>
      <w:r w:rsidR="00E8128F">
        <w:rPr>
          <w:sz w:val="36"/>
          <w:szCs w:val="36"/>
          <w:rtl/>
        </w:rPr>
        <w:t xml:space="preserve"> </w:t>
      </w:r>
      <w:r w:rsidR="00AF0EE1" w:rsidRPr="00FD211F">
        <w:rPr>
          <w:sz w:val="36"/>
          <w:szCs w:val="36"/>
          <w:rtl/>
        </w:rPr>
        <w:t>سارق</w:t>
      </w:r>
      <w:r w:rsidR="00E8128F">
        <w:rPr>
          <w:sz w:val="36"/>
          <w:szCs w:val="36"/>
          <w:rtl/>
        </w:rPr>
        <w:t xml:space="preserve"> </w:t>
      </w:r>
      <w:r w:rsidR="00AF0EE1" w:rsidRPr="00FD211F">
        <w:rPr>
          <w:sz w:val="36"/>
          <w:szCs w:val="36"/>
          <w:rtl/>
        </w:rPr>
        <w:t>دار</w:t>
      </w:r>
      <w:r w:rsidR="00E8128F">
        <w:rPr>
          <w:sz w:val="36"/>
          <w:szCs w:val="36"/>
          <w:rtl/>
        </w:rPr>
        <w:t xml:space="preserve"> </w:t>
      </w:r>
      <w:r w:rsidR="00AF0EE1" w:rsidRPr="00FD211F">
        <w:rPr>
          <w:sz w:val="36"/>
          <w:szCs w:val="36"/>
          <w:rtl/>
        </w:rPr>
        <w:t>عمرو</w:t>
      </w:r>
      <w:r w:rsidR="00E8128F">
        <w:rPr>
          <w:sz w:val="36"/>
          <w:szCs w:val="36"/>
          <w:rtl/>
        </w:rPr>
        <w:t xml:space="preserve"> </w:t>
      </w:r>
      <w:r w:rsidR="00AF0EE1" w:rsidRPr="00FD211F">
        <w:rPr>
          <w:sz w:val="36"/>
          <w:szCs w:val="36"/>
          <w:rtl/>
        </w:rPr>
        <w:t>"</w:t>
      </w:r>
      <w:r w:rsidRPr="00FD211F">
        <w:rPr>
          <w:sz w:val="36"/>
          <w:szCs w:val="36"/>
          <w:rtl/>
        </w:rPr>
        <w:t>كونه</w:t>
      </w:r>
      <w:r w:rsidR="00E8128F">
        <w:rPr>
          <w:sz w:val="36"/>
          <w:szCs w:val="36"/>
          <w:rtl/>
        </w:rPr>
        <w:t xml:space="preserve"> </w:t>
      </w:r>
      <w:r w:rsidRPr="00FD211F">
        <w:rPr>
          <w:sz w:val="36"/>
          <w:szCs w:val="36"/>
          <w:rtl/>
        </w:rPr>
        <w:t>فعلا</w:t>
      </w:r>
      <w:r w:rsidR="00AF0EE1" w:rsidRPr="00FD211F">
        <w:rPr>
          <w:sz w:val="36"/>
          <w:szCs w:val="36"/>
          <w:rtl/>
        </w:rPr>
        <w:t>ً</w:t>
      </w:r>
      <w:r w:rsidR="00E8128F">
        <w:rPr>
          <w:sz w:val="36"/>
          <w:szCs w:val="36"/>
          <w:rtl/>
        </w:rPr>
        <w:t xml:space="preserve"> </w:t>
      </w:r>
      <w:r w:rsidRPr="00FD211F">
        <w:rPr>
          <w:sz w:val="36"/>
          <w:szCs w:val="36"/>
          <w:rtl/>
        </w:rPr>
        <w:t>مصداقا</w:t>
      </w:r>
      <w:r w:rsidR="00E8128F">
        <w:rPr>
          <w:sz w:val="36"/>
          <w:szCs w:val="36"/>
          <w:rtl/>
        </w:rPr>
        <w:t xml:space="preserve"> </w:t>
      </w:r>
      <w:r w:rsidRPr="00FD211F">
        <w:rPr>
          <w:sz w:val="36"/>
          <w:szCs w:val="36"/>
          <w:rtl/>
        </w:rPr>
        <w:t>للسارق</w:t>
      </w:r>
      <w:r w:rsidR="00E8128F">
        <w:rPr>
          <w:sz w:val="36"/>
          <w:szCs w:val="36"/>
          <w:rtl/>
        </w:rPr>
        <w:t xml:space="preserve"> </w:t>
      </w:r>
      <w:r w:rsidRPr="00FD211F">
        <w:rPr>
          <w:sz w:val="36"/>
          <w:szCs w:val="36"/>
          <w:rtl/>
        </w:rPr>
        <w:t>بلحاظ</w:t>
      </w:r>
      <w:r w:rsidR="00E8128F">
        <w:rPr>
          <w:sz w:val="36"/>
          <w:szCs w:val="36"/>
          <w:rtl/>
        </w:rPr>
        <w:t xml:space="preserve"> </w:t>
      </w:r>
      <w:r w:rsidRPr="00FD211F">
        <w:rPr>
          <w:sz w:val="36"/>
          <w:szCs w:val="36"/>
          <w:rtl/>
        </w:rPr>
        <w:t>تلبسه</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Pr="00FD211F">
        <w:rPr>
          <w:sz w:val="36"/>
          <w:szCs w:val="36"/>
          <w:rtl/>
        </w:rPr>
        <w:t>سابقا</w:t>
      </w:r>
      <w:r w:rsidR="00AF0EE1" w:rsidRPr="00FD211F">
        <w:rPr>
          <w:sz w:val="36"/>
          <w:szCs w:val="36"/>
          <w:rtl/>
        </w:rPr>
        <w:t>.</w:t>
      </w:r>
    </w:p>
    <w:p w14:paraId="5B0BCB9A" w14:textId="77777777" w:rsidR="00A94E56" w:rsidRPr="00FD211F" w:rsidRDefault="00792FC3" w:rsidP="009C58C8">
      <w:pPr>
        <w:ind w:left="0" w:firstLine="227"/>
        <w:jc w:val="both"/>
        <w:rPr>
          <w:sz w:val="36"/>
          <w:szCs w:val="36"/>
          <w:rtl/>
        </w:rPr>
      </w:pPr>
      <w:r w:rsidRPr="00FD211F">
        <w:rPr>
          <w:sz w:val="36"/>
          <w:szCs w:val="36"/>
          <w:rtl/>
        </w:rPr>
        <w:t>فمن</w:t>
      </w:r>
      <w:r w:rsidR="00E8128F">
        <w:rPr>
          <w:sz w:val="36"/>
          <w:szCs w:val="36"/>
          <w:rtl/>
        </w:rPr>
        <w:t xml:space="preserve"> </w:t>
      </w:r>
      <w:r w:rsidRPr="00FD211F">
        <w:rPr>
          <w:sz w:val="36"/>
          <w:szCs w:val="36"/>
          <w:rtl/>
        </w:rPr>
        <w:t>هنا</w:t>
      </w:r>
      <w:r w:rsidR="00E8128F">
        <w:rPr>
          <w:sz w:val="36"/>
          <w:szCs w:val="36"/>
          <w:rtl/>
        </w:rPr>
        <w:t xml:space="preserve"> </w:t>
      </w:r>
      <w:r w:rsidRPr="00FD211F">
        <w:rPr>
          <w:sz w:val="36"/>
          <w:szCs w:val="36"/>
          <w:rtl/>
        </w:rPr>
        <w:t>نعلم</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تبادر</w:t>
      </w:r>
      <w:r w:rsidR="00E8128F">
        <w:rPr>
          <w:sz w:val="36"/>
          <w:szCs w:val="36"/>
          <w:rtl/>
        </w:rPr>
        <w:t xml:space="preserve"> </w:t>
      </w:r>
      <w:r w:rsidRPr="00FD211F">
        <w:rPr>
          <w:sz w:val="36"/>
          <w:szCs w:val="36"/>
          <w:rtl/>
        </w:rPr>
        <w:t>خصوص</w:t>
      </w:r>
      <w:r w:rsidR="00E8128F">
        <w:rPr>
          <w:sz w:val="36"/>
          <w:szCs w:val="36"/>
          <w:rtl/>
        </w:rPr>
        <w:t xml:space="preserve"> </w:t>
      </w:r>
      <w:r w:rsidRPr="00FD211F">
        <w:rPr>
          <w:sz w:val="36"/>
          <w:szCs w:val="36"/>
          <w:rtl/>
        </w:rPr>
        <w:t>المتلبس</w:t>
      </w:r>
      <w:r w:rsidR="00E8128F">
        <w:rPr>
          <w:sz w:val="36"/>
          <w:szCs w:val="36"/>
          <w:rtl/>
        </w:rPr>
        <w:t xml:space="preserve"> </w:t>
      </w:r>
      <w:r w:rsidR="00A94E56" w:rsidRPr="00FD211F">
        <w:rPr>
          <w:sz w:val="36"/>
          <w:szCs w:val="36"/>
          <w:rtl/>
        </w:rPr>
        <w:t>بال</w:t>
      </w:r>
      <w:r w:rsidR="0079493B" w:rsidRPr="00FD211F">
        <w:rPr>
          <w:sz w:val="36"/>
          <w:szCs w:val="36"/>
          <w:rtl/>
        </w:rPr>
        <w:t>مبدأ</w:t>
      </w:r>
      <w:r w:rsidR="00E8128F">
        <w:rPr>
          <w:sz w:val="36"/>
          <w:szCs w:val="36"/>
          <w:rtl/>
        </w:rPr>
        <w:t xml:space="preserve"> </w:t>
      </w:r>
      <w:r w:rsidR="00A94E56" w:rsidRPr="00FD211F">
        <w:rPr>
          <w:sz w:val="36"/>
          <w:szCs w:val="36"/>
          <w:rtl/>
        </w:rPr>
        <w:t>فعلا</w:t>
      </w:r>
      <w:r w:rsidR="00E8128F">
        <w:rPr>
          <w:sz w:val="36"/>
          <w:szCs w:val="36"/>
          <w:rtl/>
        </w:rPr>
        <w:t xml:space="preserve"> </w:t>
      </w:r>
      <w:r w:rsidRPr="00FD211F">
        <w:rPr>
          <w:sz w:val="36"/>
          <w:szCs w:val="36"/>
          <w:rtl/>
        </w:rPr>
        <w:t>لايكون</w:t>
      </w:r>
      <w:r w:rsidR="00E8128F">
        <w:rPr>
          <w:sz w:val="36"/>
          <w:szCs w:val="36"/>
          <w:rtl/>
        </w:rPr>
        <w:t xml:space="preserve"> </w:t>
      </w:r>
      <w:r w:rsidRPr="00FD211F">
        <w:rPr>
          <w:sz w:val="36"/>
          <w:szCs w:val="36"/>
          <w:rtl/>
        </w:rPr>
        <w:t>ناشئا</w:t>
      </w:r>
      <w:r w:rsidR="00E8128F">
        <w:rPr>
          <w:sz w:val="36"/>
          <w:szCs w:val="36"/>
          <w:rtl/>
        </w:rPr>
        <w:t xml:space="preserve"> </w:t>
      </w:r>
      <w:r w:rsidRPr="00FD211F">
        <w:rPr>
          <w:sz w:val="36"/>
          <w:szCs w:val="36"/>
          <w:rtl/>
        </w:rPr>
        <w:t>عن</w:t>
      </w:r>
      <w:r w:rsidR="00E8128F">
        <w:rPr>
          <w:sz w:val="36"/>
          <w:szCs w:val="36"/>
          <w:rtl/>
        </w:rPr>
        <w:t xml:space="preserve"> </w:t>
      </w:r>
      <w:r w:rsidR="00A94E56" w:rsidRPr="00FD211F">
        <w:rPr>
          <w:sz w:val="36"/>
          <w:szCs w:val="36"/>
          <w:rtl/>
        </w:rPr>
        <w:t>تعين</w:t>
      </w:r>
      <w:r w:rsidR="00E8128F">
        <w:rPr>
          <w:sz w:val="36"/>
          <w:szCs w:val="36"/>
          <w:rtl/>
        </w:rPr>
        <w:t xml:space="preserve"> </w:t>
      </w:r>
      <w:r w:rsidRPr="00FD211F">
        <w:rPr>
          <w:sz w:val="36"/>
          <w:szCs w:val="36"/>
          <w:rtl/>
        </w:rPr>
        <w:t>كثر</w:t>
      </w:r>
      <w:r w:rsidR="00EC7EDF" w:rsidRPr="00FD211F">
        <w:rPr>
          <w:sz w:val="36"/>
          <w:szCs w:val="36"/>
          <w:rtl/>
        </w:rPr>
        <w:t>ة</w:t>
      </w:r>
      <w:r w:rsidR="00E8128F">
        <w:rPr>
          <w:sz w:val="36"/>
          <w:szCs w:val="36"/>
          <w:rtl/>
        </w:rPr>
        <w:t xml:space="preserve"> </w:t>
      </w:r>
      <w:r w:rsidRPr="00FD211F">
        <w:rPr>
          <w:sz w:val="36"/>
          <w:szCs w:val="36"/>
          <w:rtl/>
        </w:rPr>
        <w:t>استعماله</w:t>
      </w:r>
      <w:r w:rsidR="00E8128F">
        <w:rPr>
          <w:sz w:val="36"/>
          <w:szCs w:val="36"/>
          <w:rtl/>
        </w:rPr>
        <w:t xml:space="preserve"> </w:t>
      </w:r>
      <w:r w:rsidRPr="00FD211F">
        <w:rPr>
          <w:sz w:val="36"/>
          <w:szCs w:val="36"/>
          <w:rtl/>
        </w:rPr>
        <w:t>فلابد</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يستند</w:t>
      </w:r>
      <w:r w:rsidR="00E8128F">
        <w:rPr>
          <w:sz w:val="36"/>
          <w:szCs w:val="36"/>
          <w:rtl/>
        </w:rPr>
        <w:t xml:space="preserve"> </w:t>
      </w:r>
      <w:r w:rsidR="00A94E56" w:rsidRPr="00FD211F">
        <w:rPr>
          <w:sz w:val="36"/>
          <w:szCs w:val="36"/>
          <w:rtl/>
        </w:rPr>
        <w:t>التبادر</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الوضع</w:t>
      </w:r>
      <w:r w:rsidR="00603323" w:rsidRPr="00FD211F">
        <w:rPr>
          <w:sz w:val="36"/>
          <w:szCs w:val="36"/>
          <w:rtl/>
        </w:rPr>
        <w:t>،</w:t>
      </w:r>
      <w:r w:rsidR="00E8128F">
        <w:rPr>
          <w:sz w:val="36"/>
          <w:szCs w:val="36"/>
          <w:rtl/>
        </w:rPr>
        <w:t xml:space="preserve"> </w:t>
      </w:r>
      <w:r w:rsidRPr="00FD211F">
        <w:rPr>
          <w:sz w:val="36"/>
          <w:szCs w:val="36"/>
          <w:rtl/>
        </w:rPr>
        <w:t>وحينئذ</w:t>
      </w:r>
      <w:r w:rsidR="00E8128F">
        <w:rPr>
          <w:sz w:val="36"/>
          <w:szCs w:val="36"/>
          <w:rtl/>
        </w:rPr>
        <w:t xml:space="preserve"> </w:t>
      </w:r>
      <w:r w:rsidRPr="00FD211F">
        <w:rPr>
          <w:sz w:val="36"/>
          <w:szCs w:val="36"/>
          <w:rtl/>
        </w:rPr>
        <w:t>يحكم</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المراد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غالب</w:t>
      </w:r>
      <w:r w:rsidR="00E8128F">
        <w:rPr>
          <w:sz w:val="36"/>
          <w:szCs w:val="36"/>
          <w:rtl/>
        </w:rPr>
        <w:t xml:space="preserve"> </w:t>
      </w:r>
      <w:r w:rsidRPr="00FD211F">
        <w:rPr>
          <w:sz w:val="36"/>
          <w:szCs w:val="36"/>
          <w:rtl/>
        </w:rPr>
        <w:t>تلك</w:t>
      </w:r>
      <w:r w:rsidR="00E8128F">
        <w:rPr>
          <w:sz w:val="36"/>
          <w:szCs w:val="36"/>
          <w:rtl/>
        </w:rPr>
        <w:t xml:space="preserve"> </w:t>
      </w:r>
      <w:r w:rsidRPr="00FD211F">
        <w:rPr>
          <w:sz w:val="36"/>
          <w:szCs w:val="36"/>
          <w:rtl/>
        </w:rPr>
        <w:t>الاستعمالات</w:t>
      </w:r>
      <w:r w:rsidR="00E8128F">
        <w:rPr>
          <w:sz w:val="36"/>
          <w:szCs w:val="36"/>
          <w:rtl/>
        </w:rPr>
        <w:t xml:space="preserve"> </w:t>
      </w:r>
      <w:r w:rsidRPr="00FD211F">
        <w:rPr>
          <w:sz w:val="36"/>
          <w:szCs w:val="36"/>
          <w:rtl/>
        </w:rPr>
        <w:t>فيمن</w:t>
      </w:r>
      <w:r w:rsidR="00E8128F">
        <w:rPr>
          <w:sz w:val="36"/>
          <w:szCs w:val="36"/>
          <w:rtl/>
        </w:rPr>
        <w:t xml:space="preserve"> </w:t>
      </w:r>
      <w:r w:rsidRPr="00FD211F">
        <w:rPr>
          <w:sz w:val="36"/>
          <w:szCs w:val="36"/>
          <w:rtl/>
        </w:rPr>
        <w:t>انقضى</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الاسناد</w:t>
      </w:r>
      <w:r w:rsidR="00E8128F">
        <w:rPr>
          <w:sz w:val="36"/>
          <w:szCs w:val="36"/>
          <w:rtl/>
        </w:rPr>
        <w:t xml:space="preserve"> </w:t>
      </w:r>
      <w:r w:rsidRPr="00FD211F">
        <w:rPr>
          <w:sz w:val="36"/>
          <w:szCs w:val="36"/>
          <w:rtl/>
        </w:rPr>
        <w:t>بلحاظ</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تحفظا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حكم</w:t>
      </w:r>
      <w:r w:rsidR="00EC7EDF" w:rsidRPr="00FD211F">
        <w:rPr>
          <w:sz w:val="36"/>
          <w:szCs w:val="36"/>
          <w:rtl/>
        </w:rPr>
        <w:t>ة</w:t>
      </w:r>
      <w:r w:rsidR="00E8128F">
        <w:rPr>
          <w:sz w:val="36"/>
          <w:szCs w:val="36"/>
          <w:rtl/>
        </w:rPr>
        <w:t xml:space="preserve"> </w:t>
      </w:r>
      <w:r w:rsidRPr="00FD211F">
        <w:rPr>
          <w:sz w:val="36"/>
          <w:szCs w:val="36"/>
          <w:rtl/>
        </w:rPr>
        <w:t>الوضع</w:t>
      </w:r>
      <w:r w:rsidR="009C58C8" w:rsidRPr="00FD211F">
        <w:rPr>
          <w:rStyle w:val="a6"/>
          <w:sz w:val="36"/>
          <w:szCs w:val="36"/>
          <w:rtl/>
        </w:rPr>
        <w:t>(</w:t>
      </w:r>
      <w:r w:rsidR="009C58C8" w:rsidRPr="00FD211F">
        <w:rPr>
          <w:rStyle w:val="a6"/>
          <w:sz w:val="36"/>
          <w:szCs w:val="36"/>
          <w:rtl/>
        </w:rPr>
        <w:footnoteReference w:id="552"/>
      </w:r>
      <w:r w:rsidR="009C58C8" w:rsidRPr="00FD211F">
        <w:rPr>
          <w:rStyle w:val="a6"/>
          <w:sz w:val="36"/>
          <w:szCs w:val="36"/>
          <w:rtl/>
        </w:rPr>
        <w:t>)</w:t>
      </w:r>
      <w:r w:rsidR="00A94E56" w:rsidRPr="00FD211F">
        <w:rPr>
          <w:sz w:val="36"/>
          <w:szCs w:val="36"/>
          <w:rtl/>
        </w:rPr>
        <w:t>.</w:t>
      </w:r>
    </w:p>
    <w:p w14:paraId="6E8EBBD8" w14:textId="77777777" w:rsidR="00A4094C" w:rsidRPr="00FD211F" w:rsidRDefault="00792FC3" w:rsidP="009C58C8">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اساس</w:t>
      </w:r>
      <w:r w:rsidR="00E8128F">
        <w:rPr>
          <w:sz w:val="36"/>
          <w:szCs w:val="36"/>
          <w:rtl/>
        </w:rPr>
        <w:t xml:space="preserve"> </w:t>
      </w:r>
      <w:r w:rsidRPr="00FD211F">
        <w:rPr>
          <w:sz w:val="36"/>
          <w:szCs w:val="36"/>
          <w:rtl/>
        </w:rPr>
        <w:t>الاشكال</w:t>
      </w:r>
      <w:r w:rsidR="00E8128F">
        <w:rPr>
          <w:sz w:val="36"/>
          <w:szCs w:val="36"/>
          <w:rtl/>
        </w:rPr>
        <w:t xml:space="preserve"> </w:t>
      </w:r>
      <w:r w:rsidR="002A728E" w:rsidRPr="00FD211F">
        <w:rPr>
          <w:sz w:val="36"/>
          <w:szCs w:val="36"/>
          <w:rtl/>
        </w:rPr>
        <w:t>–اي</w:t>
      </w:r>
      <w:r w:rsidR="00E8128F">
        <w:rPr>
          <w:sz w:val="36"/>
          <w:szCs w:val="36"/>
          <w:rtl/>
        </w:rPr>
        <w:t xml:space="preserve"> </w:t>
      </w:r>
      <w:r w:rsidR="002A728E" w:rsidRPr="00FD211F">
        <w:rPr>
          <w:sz w:val="36"/>
          <w:szCs w:val="36"/>
          <w:rtl/>
        </w:rPr>
        <w:t>دعوى</w:t>
      </w:r>
      <w:r w:rsidR="00E8128F">
        <w:rPr>
          <w:sz w:val="36"/>
          <w:szCs w:val="36"/>
          <w:rtl/>
        </w:rPr>
        <w:t xml:space="preserve"> </w:t>
      </w:r>
      <w:r w:rsidR="00D03374" w:rsidRPr="00FD211F">
        <w:rPr>
          <w:sz w:val="36"/>
          <w:szCs w:val="36"/>
          <w:rtl/>
        </w:rPr>
        <w:t>احتمال</w:t>
      </w:r>
      <w:r w:rsidR="00E8128F">
        <w:rPr>
          <w:sz w:val="36"/>
          <w:szCs w:val="36"/>
          <w:rtl/>
        </w:rPr>
        <w:t xml:space="preserve"> </w:t>
      </w:r>
      <w:r w:rsidR="00D03374" w:rsidRPr="00FD211F">
        <w:rPr>
          <w:sz w:val="36"/>
          <w:szCs w:val="36"/>
          <w:rtl/>
        </w:rPr>
        <w:t>كون</w:t>
      </w:r>
      <w:r w:rsidR="00E8128F">
        <w:rPr>
          <w:sz w:val="36"/>
          <w:szCs w:val="36"/>
          <w:rtl/>
        </w:rPr>
        <w:t xml:space="preserve"> </w:t>
      </w:r>
      <w:r w:rsidRPr="00FD211F">
        <w:rPr>
          <w:sz w:val="36"/>
          <w:szCs w:val="36"/>
          <w:rtl/>
        </w:rPr>
        <w:t>التبادر</w:t>
      </w:r>
      <w:r w:rsidR="00E8128F">
        <w:rPr>
          <w:sz w:val="36"/>
          <w:szCs w:val="36"/>
          <w:rtl/>
        </w:rPr>
        <w:t xml:space="preserve"> </w:t>
      </w:r>
      <w:r w:rsidR="00D03374" w:rsidRPr="00FD211F">
        <w:rPr>
          <w:sz w:val="36"/>
          <w:szCs w:val="36"/>
          <w:rtl/>
        </w:rPr>
        <w:t>مستندا</w:t>
      </w:r>
      <w:r w:rsidR="00E8128F">
        <w:rPr>
          <w:sz w:val="36"/>
          <w:szCs w:val="36"/>
          <w:rtl/>
        </w:rPr>
        <w:t xml:space="preserve"> </w:t>
      </w:r>
      <w:r w:rsidR="00D03374" w:rsidRPr="00FD211F">
        <w:rPr>
          <w:sz w:val="36"/>
          <w:szCs w:val="36"/>
          <w:rtl/>
        </w:rPr>
        <w:t>الى</w:t>
      </w:r>
      <w:r w:rsidR="00E8128F">
        <w:rPr>
          <w:sz w:val="36"/>
          <w:szCs w:val="36"/>
          <w:rtl/>
        </w:rPr>
        <w:t xml:space="preserve"> </w:t>
      </w:r>
      <w:r w:rsidRPr="00FD211F">
        <w:rPr>
          <w:sz w:val="36"/>
          <w:szCs w:val="36"/>
          <w:rtl/>
        </w:rPr>
        <w:t>الانصراف</w:t>
      </w:r>
      <w:r w:rsidR="00E8128F">
        <w:rPr>
          <w:sz w:val="36"/>
          <w:szCs w:val="36"/>
          <w:rtl/>
        </w:rPr>
        <w:t xml:space="preserve"> </w:t>
      </w:r>
      <w:r w:rsidRPr="00FD211F">
        <w:rPr>
          <w:sz w:val="36"/>
          <w:szCs w:val="36"/>
          <w:rtl/>
        </w:rPr>
        <w:t>النا</w:t>
      </w:r>
      <w:r w:rsidR="00251CB6" w:rsidRPr="00FD211F">
        <w:rPr>
          <w:sz w:val="36"/>
          <w:szCs w:val="36"/>
          <w:rtl/>
        </w:rPr>
        <w:t>شيء</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كثر</w:t>
      </w:r>
      <w:r w:rsidR="00EC7EDF" w:rsidRPr="00FD211F">
        <w:rPr>
          <w:sz w:val="36"/>
          <w:szCs w:val="36"/>
          <w:rtl/>
        </w:rPr>
        <w:t>ة</w:t>
      </w:r>
      <w:r w:rsidR="00E8128F">
        <w:rPr>
          <w:sz w:val="36"/>
          <w:szCs w:val="36"/>
          <w:rtl/>
        </w:rPr>
        <w:t xml:space="preserve"> </w:t>
      </w:r>
      <w:r w:rsidRPr="00FD211F">
        <w:rPr>
          <w:sz w:val="36"/>
          <w:szCs w:val="36"/>
          <w:rtl/>
        </w:rPr>
        <w:t>الاستعمال</w:t>
      </w:r>
      <w:r w:rsidR="00E8128F">
        <w:rPr>
          <w:sz w:val="36"/>
          <w:szCs w:val="36"/>
          <w:rtl/>
        </w:rPr>
        <w:t xml:space="preserve"> </w:t>
      </w:r>
      <w:r w:rsidRPr="00FD211F">
        <w:rPr>
          <w:sz w:val="36"/>
          <w:szCs w:val="36"/>
          <w:rtl/>
        </w:rPr>
        <w:t>فلايكشف</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الوضع</w:t>
      </w:r>
      <w:r w:rsidR="002A728E" w:rsidRPr="00FD211F">
        <w:rPr>
          <w:sz w:val="36"/>
          <w:szCs w:val="36"/>
          <w:rtl/>
        </w:rPr>
        <w:t>-</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متجه</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00A4094C" w:rsidRPr="00FD211F">
        <w:rPr>
          <w:sz w:val="36"/>
          <w:szCs w:val="36"/>
          <w:rtl/>
        </w:rPr>
        <w:t>التبادر</w:t>
      </w:r>
      <w:r w:rsidR="00E8128F">
        <w:rPr>
          <w:sz w:val="36"/>
          <w:szCs w:val="36"/>
          <w:rtl/>
        </w:rPr>
        <w:t xml:space="preserve"> </w:t>
      </w:r>
      <w:r w:rsidR="00A4094C" w:rsidRPr="00FD211F">
        <w:rPr>
          <w:sz w:val="36"/>
          <w:szCs w:val="36"/>
          <w:rtl/>
        </w:rPr>
        <w:t>ولو</w:t>
      </w:r>
      <w:r w:rsidR="00E8128F">
        <w:rPr>
          <w:sz w:val="36"/>
          <w:szCs w:val="36"/>
          <w:rtl/>
        </w:rPr>
        <w:t xml:space="preserve"> </w:t>
      </w:r>
      <w:r w:rsidR="00A4094C" w:rsidRPr="00FD211F">
        <w:rPr>
          <w:sz w:val="36"/>
          <w:szCs w:val="36"/>
          <w:rtl/>
        </w:rPr>
        <w:t>كان</w:t>
      </w:r>
      <w:r w:rsidR="00E8128F">
        <w:rPr>
          <w:sz w:val="36"/>
          <w:szCs w:val="36"/>
          <w:rtl/>
        </w:rPr>
        <w:t xml:space="preserve"> </w:t>
      </w:r>
      <w:r w:rsidR="00A4094C" w:rsidRPr="00FD211F">
        <w:rPr>
          <w:sz w:val="36"/>
          <w:szCs w:val="36"/>
          <w:rtl/>
        </w:rPr>
        <w:t>مستندا</w:t>
      </w:r>
      <w:r w:rsidR="00E8128F">
        <w:rPr>
          <w:sz w:val="36"/>
          <w:szCs w:val="36"/>
          <w:rtl/>
        </w:rPr>
        <w:t xml:space="preserve"> </w:t>
      </w:r>
      <w:r w:rsidR="00A4094C" w:rsidRPr="00FD211F">
        <w:rPr>
          <w:sz w:val="36"/>
          <w:szCs w:val="36"/>
          <w:rtl/>
        </w:rPr>
        <w:t>الى</w:t>
      </w:r>
      <w:r w:rsidR="00E8128F">
        <w:rPr>
          <w:sz w:val="36"/>
          <w:szCs w:val="36"/>
          <w:rtl/>
        </w:rPr>
        <w:t xml:space="preserve"> </w:t>
      </w:r>
      <w:r w:rsidR="00A4094C" w:rsidRPr="00FD211F">
        <w:rPr>
          <w:sz w:val="36"/>
          <w:szCs w:val="36"/>
          <w:rtl/>
        </w:rPr>
        <w:t>الانصراف</w:t>
      </w:r>
      <w:r w:rsidR="00E8128F">
        <w:rPr>
          <w:sz w:val="36"/>
          <w:szCs w:val="36"/>
          <w:rtl/>
        </w:rPr>
        <w:t xml:space="preserve"> </w:t>
      </w:r>
      <w:r w:rsidR="00A4094C" w:rsidRPr="00FD211F">
        <w:rPr>
          <w:sz w:val="36"/>
          <w:szCs w:val="36"/>
          <w:rtl/>
        </w:rPr>
        <w:t>النا</w:t>
      </w:r>
      <w:r w:rsidR="00251CB6" w:rsidRPr="00FD211F">
        <w:rPr>
          <w:sz w:val="36"/>
          <w:szCs w:val="36"/>
          <w:rtl/>
        </w:rPr>
        <w:t>شيء</w:t>
      </w:r>
      <w:r w:rsidR="00E8128F">
        <w:rPr>
          <w:sz w:val="36"/>
          <w:szCs w:val="36"/>
          <w:rtl/>
        </w:rPr>
        <w:t xml:space="preserve"> </w:t>
      </w:r>
      <w:r w:rsidR="00A4094C" w:rsidRPr="00FD211F">
        <w:rPr>
          <w:sz w:val="36"/>
          <w:szCs w:val="36"/>
          <w:rtl/>
        </w:rPr>
        <w:t>عن</w:t>
      </w:r>
      <w:r w:rsidR="00E8128F">
        <w:rPr>
          <w:sz w:val="36"/>
          <w:szCs w:val="36"/>
          <w:rtl/>
        </w:rPr>
        <w:t xml:space="preserve"> </w:t>
      </w:r>
      <w:r w:rsidR="00A4094C" w:rsidRPr="00FD211F">
        <w:rPr>
          <w:sz w:val="36"/>
          <w:szCs w:val="36"/>
          <w:rtl/>
        </w:rPr>
        <w:t>كثر</w:t>
      </w:r>
      <w:r w:rsidR="00EC7EDF" w:rsidRPr="00FD211F">
        <w:rPr>
          <w:sz w:val="36"/>
          <w:szCs w:val="36"/>
          <w:rtl/>
        </w:rPr>
        <w:t>ة</w:t>
      </w:r>
      <w:r w:rsidR="00E8128F">
        <w:rPr>
          <w:sz w:val="36"/>
          <w:szCs w:val="36"/>
          <w:rtl/>
        </w:rPr>
        <w:t xml:space="preserve"> </w:t>
      </w:r>
      <w:r w:rsidR="00A4094C" w:rsidRPr="00FD211F">
        <w:rPr>
          <w:sz w:val="36"/>
          <w:szCs w:val="36"/>
          <w:rtl/>
        </w:rPr>
        <w:t>الاستعمال</w:t>
      </w:r>
      <w:r w:rsidR="00E8128F">
        <w:rPr>
          <w:sz w:val="36"/>
          <w:szCs w:val="36"/>
          <w:rtl/>
        </w:rPr>
        <w:t xml:space="preserve"> </w:t>
      </w:r>
      <w:r w:rsidRPr="00FD211F">
        <w:rPr>
          <w:sz w:val="36"/>
          <w:szCs w:val="36"/>
          <w:rtl/>
        </w:rPr>
        <w:t>يكشف</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الوضع</w:t>
      </w:r>
      <w:r w:rsidR="00E8128F">
        <w:rPr>
          <w:sz w:val="36"/>
          <w:szCs w:val="36"/>
          <w:rtl/>
        </w:rPr>
        <w:t xml:space="preserve"> </w:t>
      </w:r>
      <w:r w:rsidRPr="00FD211F">
        <w:rPr>
          <w:sz w:val="36"/>
          <w:szCs w:val="36"/>
          <w:rtl/>
        </w:rPr>
        <w:t>التعييني</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الاقل</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يفرض</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صار</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بحيث</w:t>
      </w:r>
      <w:r w:rsidR="00E8128F">
        <w:rPr>
          <w:sz w:val="36"/>
          <w:szCs w:val="36"/>
          <w:rtl/>
        </w:rPr>
        <w:t xml:space="preserve"> </w:t>
      </w:r>
      <w:r w:rsidRPr="00FD211F">
        <w:rPr>
          <w:sz w:val="36"/>
          <w:szCs w:val="36"/>
          <w:rtl/>
        </w:rPr>
        <w:t>اذا</w:t>
      </w:r>
      <w:r w:rsidR="00E8128F">
        <w:rPr>
          <w:sz w:val="36"/>
          <w:szCs w:val="36"/>
          <w:rtl/>
        </w:rPr>
        <w:t xml:space="preserve"> </w:t>
      </w:r>
      <w:r w:rsidRPr="00FD211F">
        <w:rPr>
          <w:sz w:val="36"/>
          <w:szCs w:val="36"/>
          <w:rtl/>
        </w:rPr>
        <w:t>اطلق</w:t>
      </w:r>
      <w:r w:rsidR="00E8128F">
        <w:rPr>
          <w:sz w:val="36"/>
          <w:szCs w:val="36"/>
          <w:rtl/>
        </w:rPr>
        <w:t xml:space="preserve"> </w:t>
      </w:r>
      <w:r w:rsidRPr="00FD211F">
        <w:rPr>
          <w:sz w:val="36"/>
          <w:szCs w:val="36"/>
          <w:rtl/>
        </w:rPr>
        <w:t>بلاقرين</w:t>
      </w:r>
      <w:r w:rsidR="00EC7EDF" w:rsidRPr="00FD211F">
        <w:rPr>
          <w:sz w:val="36"/>
          <w:szCs w:val="36"/>
          <w:rtl/>
        </w:rPr>
        <w:t>ة</w:t>
      </w:r>
      <w:r w:rsidR="00E8128F">
        <w:rPr>
          <w:sz w:val="36"/>
          <w:szCs w:val="36"/>
          <w:rtl/>
        </w:rPr>
        <w:t xml:space="preserve"> </w:t>
      </w:r>
      <w:r w:rsidRPr="00FD211F">
        <w:rPr>
          <w:sz w:val="36"/>
          <w:szCs w:val="36"/>
          <w:rtl/>
        </w:rPr>
        <w:t>انسبق</w:t>
      </w:r>
      <w:r w:rsidR="00E8128F">
        <w:rPr>
          <w:sz w:val="36"/>
          <w:szCs w:val="36"/>
          <w:rtl/>
        </w:rPr>
        <w:t xml:space="preserve"> </w:t>
      </w:r>
      <w:r w:rsidR="00A4094C" w:rsidRPr="00FD211F">
        <w:rPr>
          <w:sz w:val="36"/>
          <w:szCs w:val="36"/>
          <w:rtl/>
        </w:rPr>
        <w:t>منه</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المتلبس</w:t>
      </w:r>
      <w:r w:rsidR="00E8128F">
        <w:rPr>
          <w:sz w:val="36"/>
          <w:szCs w:val="36"/>
          <w:rtl/>
        </w:rPr>
        <w:t xml:space="preserve"> </w:t>
      </w:r>
      <w:r w:rsidR="00A4094C" w:rsidRPr="00FD211F">
        <w:rPr>
          <w:sz w:val="36"/>
          <w:szCs w:val="36"/>
          <w:rtl/>
        </w:rPr>
        <w:t>بال</w:t>
      </w:r>
      <w:r w:rsidR="0079493B" w:rsidRPr="00FD211F">
        <w:rPr>
          <w:sz w:val="36"/>
          <w:szCs w:val="36"/>
          <w:rtl/>
        </w:rPr>
        <w:t>مبدأ</w:t>
      </w:r>
      <w:r w:rsidR="009C58C8" w:rsidRPr="00FD211F">
        <w:rPr>
          <w:rStyle w:val="a6"/>
          <w:sz w:val="36"/>
          <w:szCs w:val="36"/>
          <w:rtl/>
        </w:rPr>
        <w:t>(</w:t>
      </w:r>
      <w:r w:rsidR="009C58C8" w:rsidRPr="00FD211F">
        <w:rPr>
          <w:rStyle w:val="a6"/>
          <w:sz w:val="36"/>
          <w:szCs w:val="36"/>
          <w:rtl/>
        </w:rPr>
        <w:footnoteReference w:id="553"/>
      </w:r>
      <w:r w:rsidR="009C58C8" w:rsidRPr="00FD211F">
        <w:rPr>
          <w:rStyle w:val="a6"/>
          <w:sz w:val="36"/>
          <w:szCs w:val="36"/>
          <w:rtl/>
        </w:rPr>
        <w:t>)</w:t>
      </w:r>
      <w:r w:rsidR="00A4094C" w:rsidRPr="00FD211F">
        <w:rPr>
          <w:sz w:val="36"/>
          <w:szCs w:val="36"/>
          <w:rtl/>
        </w:rPr>
        <w:t>.</w:t>
      </w:r>
    </w:p>
    <w:p w14:paraId="74C932B2" w14:textId="77777777" w:rsidR="00792FC3" w:rsidRPr="00FD211F" w:rsidRDefault="00792FC3" w:rsidP="009C58C8">
      <w:pPr>
        <w:ind w:left="0" w:firstLine="227"/>
        <w:jc w:val="both"/>
        <w:rPr>
          <w:sz w:val="36"/>
          <w:szCs w:val="36"/>
          <w:rtl/>
        </w:rPr>
      </w:pPr>
      <w:r w:rsidRPr="00FD211F">
        <w:rPr>
          <w:sz w:val="36"/>
          <w:szCs w:val="36"/>
          <w:rtl/>
        </w:rPr>
        <w:t>اقول</w:t>
      </w:r>
      <w:r w:rsidR="00A4094C"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فرض</w:t>
      </w:r>
      <w:r w:rsidR="00E8128F">
        <w:rPr>
          <w:sz w:val="36"/>
          <w:szCs w:val="36"/>
          <w:rtl/>
        </w:rPr>
        <w:t xml:space="preserve"> </w:t>
      </w:r>
      <w:r w:rsidRPr="00FD211F">
        <w:rPr>
          <w:sz w:val="36"/>
          <w:szCs w:val="36"/>
          <w:rtl/>
        </w:rPr>
        <w:t>انه</w:t>
      </w:r>
      <w:r w:rsidR="00E8128F">
        <w:rPr>
          <w:sz w:val="36"/>
          <w:szCs w:val="36"/>
          <w:rtl/>
        </w:rPr>
        <w:t xml:space="preserve"> </w:t>
      </w:r>
      <w:r w:rsidR="008D7B3D" w:rsidRPr="00FD211F">
        <w:rPr>
          <w:sz w:val="36"/>
          <w:szCs w:val="36"/>
          <w:rtl/>
        </w:rPr>
        <w:t>لم‌</w:t>
      </w:r>
      <w:r w:rsidRPr="00FD211F">
        <w:rPr>
          <w:sz w:val="36"/>
          <w:szCs w:val="36"/>
          <w:rtl/>
        </w:rPr>
        <w:t>يكشف</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تحقق</w:t>
      </w:r>
      <w:r w:rsidR="00E8128F">
        <w:rPr>
          <w:sz w:val="36"/>
          <w:szCs w:val="36"/>
          <w:rtl/>
        </w:rPr>
        <w:t xml:space="preserve"> </w:t>
      </w:r>
      <w:r w:rsidRPr="00FD211F">
        <w:rPr>
          <w:sz w:val="36"/>
          <w:szCs w:val="36"/>
          <w:rtl/>
        </w:rPr>
        <w:t>الوضع</w:t>
      </w:r>
      <w:r w:rsidR="00E8128F">
        <w:rPr>
          <w:sz w:val="36"/>
          <w:szCs w:val="36"/>
          <w:rtl/>
        </w:rPr>
        <w:t xml:space="preserve"> </w:t>
      </w:r>
      <w:r w:rsidRPr="00FD211F">
        <w:rPr>
          <w:sz w:val="36"/>
          <w:szCs w:val="36"/>
          <w:rtl/>
        </w:rPr>
        <w:t>فكشفه</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مجرد</w:t>
      </w:r>
      <w:r w:rsidR="00E8128F">
        <w:rPr>
          <w:sz w:val="36"/>
          <w:szCs w:val="36"/>
          <w:rtl/>
        </w:rPr>
        <w:t xml:space="preserve"> </w:t>
      </w:r>
      <w:r w:rsidRPr="00FD211F">
        <w:rPr>
          <w:sz w:val="36"/>
          <w:szCs w:val="36"/>
          <w:rtl/>
        </w:rPr>
        <w:t>ظهور</w:t>
      </w:r>
      <w:r w:rsidR="00E8128F">
        <w:rPr>
          <w:sz w:val="36"/>
          <w:szCs w:val="36"/>
          <w:rtl/>
        </w:rPr>
        <w:t xml:space="preserve"> </w:t>
      </w:r>
      <w:r w:rsidR="002A728E" w:rsidRPr="00FD211F">
        <w:rPr>
          <w:sz w:val="36"/>
          <w:szCs w:val="36"/>
          <w:rtl/>
        </w:rPr>
        <w:t>ال</w:t>
      </w:r>
      <w:r w:rsidRPr="00FD211F">
        <w:rPr>
          <w:sz w:val="36"/>
          <w:szCs w:val="36"/>
          <w:rtl/>
        </w:rPr>
        <w:t>لفظ</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المعنى</w:t>
      </w:r>
      <w:r w:rsidR="00E8128F">
        <w:rPr>
          <w:sz w:val="36"/>
          <w:szCs w:val="36"/>
          <w:rtl/>
        </w:rPr>
        <w:t xml:space="preserve"> </w:t>
      </w:r>
      <w:r w:rsidRPr="00FD211F">
        <w:rPr>
          <w:sz w:val="36"/>
          <w:szCs w:val="36"/>
          <w:rtl/>
        </w:rPr>
        <w:t>اذا</w:t>
      </w:r>
      <w:r w:rsidR="00E8128F">
        <w:rPr>
          <w:sz w:val="36"/>
          <w:szCs w:val="36"/>
          <w:rtl/>
        </w:rPr>
        <w:t xml:space="preserve"> </w:t>
      </w:r>
      <w:r w:rsidRPr="00FD211F">
        <w:rPr>
          <w:sz w:val="36"/>
          <w:szCs w:val="36"/>
          <w:rtl/>
        </w:rPr>
        <w:t>استعمل</w:t>
      </w:r>
      <w:r w:rsidR="00E8128F">
        <w:rPr>
          <w:sz w:val="36"/>
          <w:szCs w:val="36"/>
          <w:rtl/>
        </w:rPr>
        <w:t xml:space="preserve"> </w:t>
      </w:r>
      <w:r w:rsidRPr="00FD211F">
        <w:rPr>
          <w:sz w:val="36"/>
          <w:szCs w:val="36"/>
          <w:rtl/>
        </w:rPr>
        <w:t>بلاقرين</w:t>
      </w:r>
      <w:r w:rsidR="00EC7EDF" w:rsidRPr="00FD211F">
        <w:rPr>
          <w:sz w:val="36"/>
          <w:szCs w:val="36"/>
          <w:rtl/>
        </w:rPr>
        <w:t>ة</w:t>
      </w:r>
      <w:r w:rsidR="00E8128F">
        <w:rPr>
          <w:sz w:val="36"/>
          <w:szCs w:val="36"/>
          <w:rtl/>
        </w:rPr>
        <w:t xml:space="preserve"> </w:t>
      </w:r>
      <w:r w:rsidR="002A728E" w:rsidRPr="00FD211F">
        <w:rPr>
          <w:sz w:val="36"/>
          <w:szCs w:val="36"/>
          <w:rtl/>
        </w:rPr>
        <w:t>خاص</w:t>
      </w:r>
      <w:r w:rsidR="00EC7EDF" w:rsidRPr="00FD211F">
        <w:rPr>
          <w:sz w:val="36"/>
          <w:szCs w:val="36"/>
          <w:rtl/>
        </w:rPr>
        <w:t>ة</w:t>
      </w:r>
      <w:r w:rsidR="00E8128F">
        <w:rPr>
          <w:sz w:val="36"/>
          <w:szCs w:val="36"/>
          <w:rtl/>
        </w:rPr>
        <w:t xml:space="preserve"> </w:t>
      </w:r>
      <w:r w:rsidRPr="00FD211F">
        <w:rPr>
          <w:sz w:val="36"/>
          <w:szCs w:val="36"/>
          <w:rtl/>
        </w:rPr>
        <w:t>كاف</w:t>
      </w:r>
      <w:r w:rsidR="00E8128F">
        <w:rPr>
          <w:sz w:val="36"/>
          <w:szCs w:val="36"/>
          <w:rtl/>
        </w:rPr>
        <w:t xml:space="preserve"> </w:t>
      </w:r>
      <w:r w:rsidRPr="00FD211F">
        <w:rPr>
          <w:sz w:val="36"/>
          <w:szCs w:val="36"/>
          <w:rtl/>
        </w:rPr>
        <w:t>للفقيه</w:t>
      </w:r>
      <w:r w:rsidR="00E8128F">
        <w:rPr>
          <w:sz w:val="36"/>
          <w:szCs w:val="36"/>
          <w:rtl/>
        </w:rPr>
        <w:t xml:space="preserve"> </w:t>
      </w:r>
      <w:r w:rsidR="002A728E" w:rsidRPr="00FD211F">
        <w:rPr>
          <w:sz w:val="36"/>
          <w:szCs w:val="36"/>
          <w:rtl/>
        </w:rPr>
        <w:t>ولو</w:t>
      </w:r>
      <w:r w:rsidR="00E8128F">
        <w:rPr>
          <w:sz w:val="36"/>
          <w:szCs w:val="36"/>
          <w:rtl/>
        </w:rPr>
        <w:t xml:space="preserve"> </w:t>
      </w:r>
      <w:r w:rsidR="002A728E" w:rsidRPr="00FD211F">
        <w:rPr>
          <w:sz w:val="36"/>
          <w:szCs w:val="36"/>
          <w:rtl/>
        </w:rPr>
        <w:t>كان</w:t>
      </w:r>
      <w:r w:rsidR="00E8128F">
        <w:rPr>
          <w:sz w:val="36"/>
          <w:szCs w:val="36"/>
          <w:rtl/>
        </w:rPr>
        <w:t xml:space="preserve"> </w:t>
      </w:r>
      <w:r w:rsidR="002A728E" w:rsidRPr="00FD211F">
        <w:rPr>
          <w:sz w:val="36"/>
          <w:szCs w:val="36"/>
          <w:rtl/>
        </w:rPr>
        <w:t>ظهوره</w:t>
      </w:r>
      <w:r w:rsidR="00E8128F">
        <w:rPr>
          <w:sz w:val="36"/>
          <w:szCs w:val="36"/>
          <w:rtl/>
        </w:rPr>
        <w:t xml:space="preserve"> </w:t>
      </w:r>
      <w:r w:rsidR="002A728E" w:rsidRPr="00FD211F">
        <w:rPr>
          <w:sz w:val="36"/>
          <w:szCs w:val="36"/>
          <w:rtl/>
        </w:rPr>
        <w:t>ناشئا</w:t>
      </w:r>
      <w:r w:rsidR="00E8128F">
        <w:rPr>
          <w:sz w:val="36"/>
          <w:szCs w:val="36"/>
          <w:rtl/>
        </w:rPr>
        <w:t xml:space="preserve"> </w:t>
      </w:r>
      <w:r w:rsidR="002A728E" w:rsidRPr="00FD211F">
        <w:rPr>
          <w:sz w:val="36"/>
          <w:szCs w:val="36"/>
          <w:rtl/>
        </w:rPr>
        <w:t>عن</w:t>
      </w:r>
      <w:r w:rsidR="00E8128F">
        <w:rPr>
          <w:sz w:val="36"/>
          <w:szCs w:val="36"/>
          <w:rtl/>
        </w:rPr>
        <w:t xml:space="preserve"> </w:t>
      </w:r>
      <w:r w:rsidR="002A728E" w:rsidRPr="00FD211F">
        <w:rPr>
          <w:sz w:val="36"/>
          <w:szCs w:val="36"/>
          <w:rtl/>
        </w:rPr>
        <w:t>قرين</w:t>
      </w:r>
      <w:r w:rsidR="00EC7EDF" w:rsidRPr="00FD211F">
        <w:rPr>
          <w:sz w:val="36"/>
          <w:szCs w:val="36"/>
          <w:rtl/>
        </w:rPr>
        <w:t>ة</w:t>
      </w:r>
      <w:r w:rsidR="00E8128F">
        <w:rPr>
          <w:sz w:val="36"/>
          <w:szCs w:val="36"/>
          <w:rtl/>
        </w:rPr>
        <w:t xml:space="preserve"> </w:t>
      </w:r>
      <w:r w:rsidR="002A728E" w:rsidRPr="00FD211F">
        <w:rPr>
          <w:sz w:val="36"/>
          <w:szCs w:val="36"/>
          <w:rtl/>
        </w:rPr>
        <w:t>نوعي</w:t>
      </w:r>
      <w:r w:rsidR="00EC7EDF" w:rsidRPr="00FD211F">
        <w:rPr>
          <w:sz w:val="36"/>
          <w:szCs w:val="36"/>
          <w:rtl/>
        </w:rPr>
        <w:t>ة</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ظهور</w:t>
      </w:r>
      <w:r w:rsidR="00E8128F">
        <w:rPr>
          <w:sz w:val="36"/>
          <w:szCs w:val="36"/>
          <w:rtl/>
        </w:rPr>
        <w:t xml:space="preserve"> </w:t>
      </w:r>
      <w:r w:rsidRPr="00FD211F">
        <w:rPr>
          <w:sz w:val="36"/>
          <w:szCs w:val="36"/>
          <w:rtl/>
        </w:rPr>
        <w:t>مالايؤكل</w:t>
      </w:r>
      <w:r w:rsidR="00E8128F">
        <w:rPr>
          <w:sz w:val="36"/>
          <w:szCs w:val="36"/>
          <w:rtl/>
        </w:rPr>
        <w:t xml:space="preserve"> </w:t>
      </w:r>
      <w:r w:rsidRPr="00FD211F">
        <w:rPr>
          <w:sz w:val="36"/>
          <w:szCs w:val="36"/>
          <w:rtl/>
        </w:rPr>
        <w:t>لحمه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الحيوان</w:t>
      </w:r>
      <w:r w:rsidR="00E8128F">
        <w:rPr>
          <w:sz w:val="36"/>
          <w:szCs w:val="36"/>
          <w:rtl/>
        </w:rPr>
        <w:t xml:space="preserve"> </w:t>
      </w:r>
      <w:r w:rsidR="002A728E" w:rsidRPr="00FD211F">
        <w:rPr>
          <w:sz w:val="36"/>
          <w:szCs w:val="36"/>
          <w:rtl/>
        </w:rPr>
        <w:t>او</w:t>
      </w:r>
      <w:r w:rsidR="00E8128F">
        <w:rPr>
          <w:sz w:val="36"/>
          <w:szCs w:val="36"/>
          <w:rtl/>
        </w:rPr>
        <w:t xml:space="preserve"> </w:t>
      </w:r>
      <w:r w:rsidR="002A728E" w:rsidRPr="00FD211F">
        <w:rPr>
          <w:sz w:val="36"/>
          <w:szCs w:val="36"/>
          <w:rtl/>
        </w:rPr>
        <w:t>ظهور</w:t>
      </w:r>
      <w:r w:rsidR="00E8128F">
        <w:rPr>
          <w:sz w:val="36"/>
          <w:szCs w:val="36"/>
          <w:rtl/>
        </w:rPr>
        <w:t xml:space="preserve"> </w:t>
      </w:r>
      <w:r w:rsidR="002A728E" w:rsidRPr="00FD211F">
        <w:rPr>
          <w:sz w:val="36"/>
          <w:szCs w:val="36"/>
          <w:rtl/>
        </w:rPr>
        <w:t>كلم</w:t>
      </w:r>
      <w:r w:rsidR="00EC7EDF" w:rsidRPr="00FD211F">
        <w:rPr>
          <w:sz w:val="36"/>
          <w:szCs w:val="36"/>
          <w:rtl/>
        </w:rPr>
        <w:t>ة</w:t>
      </w:r>
      <w:r w:rsidR="00E8128F">
        <w:rPr>
          <w:sz w:val="36"/>
          <w:szCs w:val="36"/>
          <w:rtl/>
        </w:rPr>
        <w:t xml:space="preserve"> </w:t>
      </w:r>
      <w:r w:rsidR="002A728E" w:rsidRPr="00FD211F">
        <w:rPr>
          <w:sz w:val="36"/>
          <w:szCs w:val="36"/>
          <w:rtl/>
        </w:rPr>
        <w:t>الحيوان</w:t>
      </w:r>
      <w:r w:rsidR="00E8128F">
        <w:rPr>
          <w:sz w:val="36"/>
          <w:szCs w:val="36"/>
          <w:rtl/>
        </w:rPr>
        <w:t xml:space="preserve"> </w:t>
      </w:r>
      <w:r w:rsidR="002A728E" w:rsidRPr="00FD211F">
        <w:rPr>
          <w:sz w:val="36"/>
          <w:szCs w:val="36"/>
          <w:rtl/>
        </w:rPr>
        <w:t>في</w:t>
      </w:r>
      <w:r w:rsidR="00E8128F">
        <w:rPr>
          <w:sz w:val="36"/>
          <w:szCs w:val="36"/>
          <w:rtl/>
        </w:rPr>
        <w:t xml:space="preserve"> </w:t>
      </w:r>
      <w:r w:rsidR="002A728E" w:rsidRPr="00FD211F">
        <w:rPr>
          <w:sz w:val="36"/>
          <w:szCs w:val="36"/>
          <w:rtl/>
        </w:rPr>
        <w:t>غير</w:t>
      </w:r>
      <w:r w:rsidR="00E8128F">
        <w:rPr>
          <w:sz w:val="36"/>
          <w:szCs w:val="36"/>
          <w:rtl/>
        </w:rPr>
        <w:t xml:space="preserve"> </w:t>
      </w:r>
      <w:r w:rsidR="002A728E" w:rsidRPr="00FD211F">
        <w:rPr>
          <w:sz w:val="36"/>
          <w:szCs w:val="36"/>
          <w:rtl/>
        </w:rPr>
        <w:t>الانسان</w:t>
      </w:r>
      <w:r w:rsidR="00603323" w:rsidRPr="00FD211F">
        <w:rPr>
          <w:sz w:val="36"/>
          <w:szCs w:val="36"/>
          <w:rtl/>
        </w:rPr>
        <w:t>،</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افتراض</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التبادر</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بدويا</w:t>
      </w:r>
      <w:r w:rsidR="00E8128F">
        <w:rPr>
          <w:sz w:val="36"/>
          <w:szCs w:val="36"/>
          <w:rtl/>
        </w:rPr>
        <w:t xml:space="preserve"> </w:t>
      </w:r>
      <w:r w:rsidRPr="00FD211F">
        <w:rPr>
          <w:sz w:val="36"/>
          <w:szCs w:val="36"/>
          <w:rtl/>
        </w:rPr>
        <w:t>لاجل</w:t>
      </w:r>
      <w:r w:rsidR="00E8128F">
        <w:rPr>
          <w:sz w:val="36"/>
          <w:szCs w:val="36"/>
          <w:rtl/>
        </w:rPr>
        <w:t xml:space="preserve"> </w:t>
      </w:r>
      <w:r w:rsidRPr="00FD211F">
        <w:rPr>
          <w:sz w:val="36"/>
          <w:szCs w:val="36"/>
          <w:rtl/>
        </w:rPr>
        <w:t>انس</w:t>
      </w:r>
      <w:r w:rsidR="00E8128F">
        <w:rPr>
          <w:sz w:val="36"/>
          <w:szCs w:val="36"/>
          <w:rtl/>
        </w:rPr>
        <w:t xml:space="preserve"> </w:t>
      </w:r>
      <w:r w:rsidRPr="00FD211F">
        <w:rPr>
          <w:sz w:val="36"/>
          <w:szCs w:val="36"/>
          <w:rtl/>
        </w:rPr>
        <w:t>الذهن</w:t>
      </w:r>
      <w:r w:rsidR="00E8128F">
        <w:rPr>
          <w:sz w:val="36"/>
          <w:szCs w:val="36"/>
          <w:rtl/>
        </w:rPr>
        <w:t xml:space="preserve"> </w:t>
      </w:r>
      <w:r w:rsidRPr="00FD211F">
        <w:rPr>
          <w:sz w:val="36"/>
          <w:szCs w:val="36"/>
          <w:rtl/>
        </w:rPr>
        <w:t>بالفرد</w:t>
      </w:r>
      <w:r w:rsidR="00E8128F">
        <w:rPr>
          <w:sz w:val="36"/>
          <w:szCs w:val="36"/>
          <w:rtl/>
        </w:rPr>
        <w:t xml:space="preserve"> </w:t>
      </w:r>
      <w:r w:rsidRPr="00FD211F">
        <w:rPr>
          <w:sz w:val="36"/>
          <w:szCs w:val="36"/>
          <w:rtl/>
        </w:rPr>
        <w:t>الاعلى</w:t>
      </w:r>
      <w:r w:rsidR="00E8128F">
        <w:rPr>
          <w:sz w:val="36"/>
          <w:szCs w:val="36"/>
          <w:rtl/>
        </w:rPr>
        <w:t xml:space="preserve"> </w:t>
      </w:r>
      <w:r w:rsidRPr="00FD211F">
        <w:rPr>
          <w:sz w:val="36"/>
          <w:szCs w:val="36"/>
          <w:rtl/>
        </w:rPr>
        <w:t>منه.</w:t>
      </w:r>
    </w:p>
    <w:p w14:paraId="65AABFC9" w14:textId="77777777" w:rsidR="000C5BBA" w:rsidRPr="00FD211F" w:rsidRDefault="00A4094C" w:rsidP="005946E3">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ذكر</w:t>
      </w:r>
      <w:r w:rsidR="00E8128F">
        <w:rPr>
          <w:sz w:val="36"/>
          <w:szCs w:val="36"/>
          <w:rtl/>
        </w:rPr>
        <w:t xml:space="preserve"> </w:t>
      </w:r>
      <w:r w:rsidR="005428C4" w:rsidRPr="00FD211F">
        <w:rPr>
          <w:sz w:val="36"/>
          <w:szCs w:val="36"/>
          <w:rtl/>
        </w:rPr>
        <w:t>في</w:t>
      </w:r>
      <w:r w:rsidR="00E8128F">
        <w:rPr>
          <w:sz w:val="36"/>
          <w:szCs w:val="36"/>
          <w:rtl/>
        </w:rPr>
        <w:t xml:space="preserve"> </w:t>
      </w:r>
      <w:r w:rsidR="005428C4" w:rsidRPr="00FD211F">
        <w:rPr>
          <w:sz w:val="36"/>
          <w:szCs w:val="36"/>
          <w:rtl/>
        </w:rPr>
        <w:t>البحوث</w:t>
      </w:r>
      <w:r w:rsidR="00E8128F">
        <w:rPr>
          <w:sz w:val="36"/>
          <w:szCs w:val="36"/>
          <w:rtl/>
        </w:rPr>
        <w:t xml:space="preserve"> </w:t>
      </w:r>
      <w:r w:rsidR="005428C4" w:rsidRPr="00FD211F">
        <w:rPr>
          <w:sz w:val="36"/>
          <w:szCs w:val="36"/>
          <w:rtl/>
        </w:rPr>
        <w:t>ان</w:t>
      </w:r>
      <w:r w:rsidR="00E8128F">
        <w:rPr>
          <w:sz w:val="36"/>
          <w:szCs w:val="36"/>
          <w:rtl/>
        </w:rPr>
        <w:t xml:space="preserve"> </w:t>
      </w:r>
      <w:r w:rsidR="005428C4" w:rsidRPr="00FD211F">
        <w:rPr>
          <w:sz w:val="36"/>
          <w:szCs w:val="36"/>
          <w:rtl/>
        </w:rPr>
        <w:t>ماذكره</w:t>
      </w:r>
      <w:r w:rsidR="00E8128F">
        <w:rPr>
          <w:sz w:val="36"/>
          <w:szCs w:val="36"/>
          <w:rtl/>
        </w:rPr>
        <w:t xml:space="preserve"> </w:t>
      </w:r>
      <w:r w:rsidR="005428C4" w:rsidRPr="00FD211F">
        <w:rPr>
          <w:sz w:val="36"/>
          <w:szCs w:val="36"/>
          <w:rtl/>
        </w:rPr>
        <w:t>صاحب</w:t>
      </w:r>
      <w:r w:rsidR="00E8128F">
        <w:rPr>
          <w:sz w:val="36"/>
          <w:szCs w:val="36"/>
          <w:rtl/>
        </w:rPr>
        <w:t xml:space="preserve"> </w:t>
      </w:r>
      <w:r w:rsidR="005428C4" w:rsidRPr="00FD211F">
        <w:rPr>
          <w:sz w:val="36"/>
          <w:szCs w:val="36"/>
          <w:rtl/>
        </w:rPr>
        <w:t>الكفاي</w:t>
      </w:r>
      <w:r w:rsidR="00EC7EDF" w:rsidRPr="00FD211F">
        <w:rPr>
          <w:sz w:val="36"/>
          <w:szCs w:val="36"/>
          <w:rtl/>
        </w:rPr>
        <w:t>ة</w:t>
      </w:r>
      <w:r w:rsidR="00E8128F">
        <w:rPr>
          <w:sz w:val="36"/>
          <w:szCs w:val="36"/>
          <w:rtl/>
        </w:rPr>
        <w:t xml:space="preserve"> </w:t>
      </w:r>
      <w:r w:rsidR="005946E3" w:rsidRPr="00FD211F">
        <w:rPr>
          <w:sz w:val="36"/>
          <w:szCs w:val="36"/>
          <w:rtl/>
        </w:rPr>
        <w:t>"قده"</w:t>
      </w:r>
      <w:r w:rsidR="005428C4" w:rsidRPr="00FD211F">
        <w:rPr>
          <w:sz w:val="36"/>
          <w:szCs w:val="36"/>
          <w:rtl/>
        </w:rPr>
        <w:t>(من</w:t>
      </w:r>
      <w:r w:rsidR="00E8128F">
        <w:rPr>
          <w:sz w:val="36"/>
          <w:szCs w:val="36"/>
          <w:rtl/>
        </w:rPr>
        <w:t xml:space="preserve"> </w:t>
      </w:r>
      <w:r w:rsidR="00792FC3" w:rsidRPr="00FD211F">
        <w:rPr>
          <w:sz w:val="36"/>
          <w:szCs w:val="36"/>
          <w:rtl/>
        </w:rPr>
        <w:t>كثر</w:t>
      </w:r>
      <w:r w:rsidR="00EC7EDF" w:rsidRPr="00FD211F">
        <w:rPr>
          <w:sz w:val="36"/>
          <w:szCs w:val="36"/>
          <w:rtl/>
        </w:rPr>
        <w:t>ة</w:t>
      </w:r>
      <w:r w:rsidR="00E8128F">
        <w:rPr>
          <w:sz w:val="36"/>
          <w:szCs w:val="36"/>
          <w:rtl/>
        </w:rPr>
        <w:t xml:space="preserve"> </w:t>
      </w:r>
      <w:r w:rsidR="00792FC3" w:rsidRPr="00FD211F">
        <w:rPr>
          <w:sz w:val="36"/>
          <w:szCs w:val="36"/>
          <w:rtl/>
        </w:rPr>
        <w:t>استعمال</w:t>
      </w:r>
      <w:r w:rsidR="00E8128F">
        <w:rPr>
          <w:sz w:val="36"/>
          <w:szCs w:val="36"/>
          <w:rtl/>
        </w:rPr>
        <w:t xml:space="preserve"> </w:t>
      </w:r>
      <w:r w:rsidR="00792FC3" w:rsidRPr="00FD211F">
        <w:rPr>
          <w:sz w:val="36"/>
          <w:szCs w:val="36"/>
          <w:rtl/>
        </w:rPr>
        <w:t>المشتق</w:t>
      </w:r>
      <w:r w:rsidR="00E8128F">
        <w:rPr>
          <w:sz w:val="36"/>
          <w:szCs w:val="36"/>
          <w:rtl/>
        </w:rPr>
        <w:t xml:space="preserve"> </w:t>
      </w:r>
      <w:r w:rsidR="00792FC3" w:rsidRPr="00FD211F">
        <w:rPr>
          <w:sz w:val="36"/>
          <w:szCs w:val="36"/>
          <w:rtl/>
        </w:rPr>
        <w:t>فيما</w:t>
      </w:r>
      <w:r w:rsidR="00E8128F">
        <w:rPr>
          <w:sz w:val="36"/>
          <w:szCs w:val="36"/>
          <w:rtl/>
        </w:rPr>
        <w:t xml:space="preserve"> </w:t>
      </w:r>
      <w:r w:rsidR="00792FC3" w:rsidRPr="00FD211F">
        <w:rPr>
          <w:sz w:val="36"/>
          <w:szCs w:val="36"/>
          <w:rtl/>
        </w:rPr>
        <w:t>انقضى</w:t>
      </w:r>
      <w:r w:rsidR="00E8128F">
        <w:rPr>
          <w:sz w:val="36"/>
          <w:szCs w:val="36"/>
          <w:rtl/>
        </w:rPr>
        <w:t xml:space="preserve"> </w:t>
      </w:r>
      <w:r w:rsidR="00792FC3" w:rsidRPr="00FD211F">
        <w:rPr>
          <w:sz w:val="36"/>
          <w:szCs w:val="36"/>
          <w:rtl/>
        </w:rPr>
        <w:t>عنه</w:t>
      </w:r>
      <w:r w:rsidR="00E8128F">
        <w:rPr>
          <w:sz w:val="36"/>
          <w:szCs w:val="36"/>
          <w:rtl/>
        </w:rPr>
        <w:t xml:space="preserve"> </w:t>
      </w:r>
      <w:r w:rsidR="00792FC3" w:rsidRPr="00FD211F">
        <w:rPr>
          <w:sz w:val="36"/>
          <w:szCs w:val="36"/>
          <w:rtl/>
        </w:rPr>
        <w:t>ال</w:t>
      </w:r>
      <w:r w:rsidR="0079493B" w:rsidRPr="00FD211F">
        <w:rPr>
          <w:sz w:val="36"/>
          <w:szCs w:val="36"/>
          <w:rtl/>
        </w:rPr>
        <w:t>مبدأ</w:t>
      </w:r>
      <w:r w:rsidR="005428C4" w:rsidRPr="00FD211F">
        <w:rPr>
          <w:sz w:val="36"/>
          <w:szCs w:val="36"/>
          <w:rtl/>
        </w:rPr>
        <w:t>)</w:t>
      </w:r>
      <w:r w:rsidR="00E8128F">
        <w:rPr>
          <w:sz w:val="36"/>
          <w:szCs w:val="36"/>
          <w:rtl/>
        </w:rPr>
        <w:t xml:space="preserve"> </w:t>
      </w:r>
      <w:r w:rsidR="00792FC3" w:rsidRPr="00FD211F">
        <w:rPr>
          <w:sz w:val="36"/>
          <w:szCs w:val="36"/>
          <w:rtl/>
        </w:rPr>
        <w:t>غير</w:t>
      </w:r>
      <w:r w:rsidR="00E8128F">
        <w:rPr>
          <w:sz w:val="36"/>
          <w:szCs w:val="36"/>
          <w:rtl/>
        </w:rPr>
        <w:t xml:space="preserve"> </w:t>
      </w:r>
      <w:r w:rsidR="00792FC3" w:rsidRPr="00FD211F">
        <w:rPr>
          <w:sz w:val="36"/>
          <w:szCs w:val="36"/>
          <w:rtl/>
        </w:rPr>
        <w:t>متجه</w:t>
      </w:r>
      <w:r w:rsidR="0085755D" w:rsidRPr="00FD211F">
        <w:rPr>
          <w:sz w:val="36"/>
          <w:szCs w:val="36"/>
          <w:rtl/>
        </w:rPr>
        <w:t>.</w:t>
      </w:r>
    </w:p>
    <w:p w14:paraId="628C7C3A" w14:textId="77777777" w:rsidR="003334CB" w:rsidRPr="00FD211F" w:rsidRDefault="00792FC3" w:rsidP="009C58C8">
      <w:pPr>
        <w:ind w:left="0" w:firstLine="227"/>
        <w:jc w:val="both"/>
        <w:rPr>
          <w:sz w:val="36"/>
          <w:szCs w:val="36"/>
          <w:rtl/>
        </w:rPr>
      </w:pPr>
      <w:r w:rsidRPr="00FD211F">
        <w:rPr>
          <w:sz w:val="36"/>
          <w:szCs w:val="36"/>
          <w:rtl/>
        </w:rPr>
        <w:t>لانه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القضايا</w:t>
      </w:r>
      <w:r w:rsidR="00E8128F">
        <w:rPr>
          <w:sz w:val="36"/>
          <w:szCs w:val="36"/>
          <w:rtl/>
        </w:rPr>
        <w:t xml:space="preserve"> </w:t>
      </w:r>
      <w:r w:rsidR="00994AB1" w:rsidRPr="00FD211F">
        <w:rPr>
          <w:sz w:val="36"/>
          <w:szCs w:val="36"/>
          <w:rtl/>
        </w:rPr>
        <w:t>التي</w:t>
      </w:r>
      <w:r w:rsidR="00E8128F">
        <w:rPr>
          <w:sz w:val="36"/>
          <w:szCs w:val="36"/>
          <w:rtl/>
        </w:rPr>
        <w:t xml:space="preserve"> </w:t>
      </w:r>
      <w:r w:rsidR="00994AB1" w:rsidRPr="00FD211F">
        <w:rPr>
          <w:sz w:val="36"/>
          <w:szCs w:val="36"/>
          <w:rtl/>
        </w:rPr>
        <w:t>يقع</w:t>
      </w:r>
      <w:r w:rsidR="00E8128F">
        <w:rPr>
          <w:sz w:val="36"/>
          <w:szCs w:val="36"/>
          <w:rtl/>
        </w:rPr>
        <w:t xml:space="preserve"> </w:t>
      </w:r>
      <w:r w:rsidR="00994AB1" w:rsidRPr="00FD211F">
        <w:rPr>
          <w:sz w:val="36"/>
          <w:szCs w:val="36"/>
          <w:rtl/>
        </w:rPr>
        <w:t>المشتق</w:t>
      </w:r>
      <w:r w:rsidR="00E8128F">
        <w:rPr>
          <w:sz w:val="36"/>
          <w:szCs w:val="36"/>
          <w:rtl/>
        </w:rPr>
        <w:t xml:space="preserve"> </w:t>
      </w:r>
      <w:r w:rsidR="00994AB1" w:rsidRPr="00FD211F">
        <w:rPr>
          <w:sz w:val="36"/>
          <w:szCs w:val="36"/>
          <w:rtl/>
        </w:rPr>
        <w:t>موضوعا</w:t>
      </w:r>
      <w:r w:rsidR="00E8128F">
        <w:rPr>
          <w:sz w:val="36"/>
          <w:szCs w:val="36"/>
          <w:rtl/>
        </w:rPr>
        <w:t xml:space="preserve"> </w:t>
      </w:r>
      <w:r w:rsidR="00994AB1" w:rsidRPr="00FD211F">
        <w:rPr>
          <w:sz w:val="36"/>
          <w:szCs w:val="36"/>
          <w:rtl/>
        </w:rPr>
        <w:t>فيها</w:t>
      </w:r>
      <w:r w:rsidR="00EE3776" w:rsidRPr="00FD211F">
        <w:rPr>
          <w:sz w:val="36"/>
          <w:szCs w:val="36"/>
          <w:rtl/>
        </w:rPr>
        <w:t>للحكم</w:t>
      </w:r>
      <w:r w:rsidR="00E8128F">
        <w:rPr>
          <w:sz w:val="36"/>
          <w:szCs w:val="36"/>
          <w:rtl/>
        </w:rPr>
        <w:t xml:space="preserve"> </w:t>
      </w:r>
      <w:r w:rsidR="00994AB1" w:rsidRPr="00FD211F">
        <w:rPr>
          <w:sz w:val="36"/>
          <w:szCs w:val="36"/>
          <w:rtl/>
        </w:rPr>
        <w:t>مثل</w:t>
      </w:r>
      <w:r w:rsidR="00E8128F">
        <w:rPr>
          <w:sz w:val="36"/>
          <w:szCs w:val="36"/>
          <w:rtl/>
        </w:rPr>
        <w:t xml:space="preserve"> </w:t>
      </w:r>
      <w:r w:rsidR="00994AB1" w:rsidRPr="00FD211F">
        <w:rPr>
          <w:sz w:val="36"/>
          <w:szCs w:val="36"/>
          <w:rtl/>
        </w:rPr>
        <w:t>"</w:t>
      </w:r>
      <w:r w:rsidR="0085755D" w:rsidRPr="00FD211F">
        <w:rPr>
          <w:sz w:val="36"/>
          <w:szCs w:val="36"/>
          <w:rtl/>
        </w:rPr>
        <w:t>أ</w:t>
      </w:r>
      <w:r w:rsidRPr="00FD211F">
        <w:rPr>
          <w:sz w:val="36"/>
          <w:szCs w:val="36"/>
          <w:rtl/>
        </w:rPr>
        <w:t>كرم</w:t>
      </w:r>
      <w:r w:rsidR="00E8128F">
        <w:rPr>
          <w:sz w:val="36"/>
          <w:szCs w:val="36"/>
          <w:rtl/>
        </w:rPr>
        <w:t xml:space="preserve"> </w:t>
      </w:r>
      <w:r w:rsidRPr="00FD211F">
        <w:rPr>
          <w:sz w:val="36"/>
          <w:szCs w:val="36"/>
          <w:rtl/>
        </w:rPr>
        <w:t>العالم</w:t>
      </w:r>
      <w:r w:rsidR="00994AB1" w:rsidRPr="00FD211F">
        <w:rPr>
          <w:sz w:val="36"/>
          <w:szCs w:val="36"/>
          <w:rtl/>
        </w:rPr>
        <w:t>"</w:t>
      </w:r>
      <w:r w:rsidR="00E8128F">
        <w:rPr>
          <w:sz w:val="36"/>
          <w:szCs w:val="36"/>
          <w:rtl/>
        </w:rPr>
        <w:t xml:space="preserve"> </w:t>
      </w:r>
      <w:r w:rsidR="00994AB1" w:rsidRPr="00FD211F">
        <w:rPr>
          <w:sz w:val="36"/>
          <w:szCs w:val="36"/>
          <w:rtl/>
        </w:rPr>
        <w:t>لايوجد</w:t>
      </w:r>
      <w:r w:rsidR="00E8128F">
        <w:rPr>
          <w:sz w:val="36"/>
          <w:szCs w:val="36"/>
          <w:rtl/>
        </w:rPr>
        <w:t xml:space="preserve"> </w:t>
      </w:r>
      <w:r w:rsidR="00994AB1" w:rsidRPr="00FD211F">
        <w:rPr>
          <w:sz w:val="36"/>
          <w:szCs w:val="36"/>
          <w:rtl/>
        </w:rPr>
        <w:t>فيه</w:t>
      </w:r>
      <w:r w:rsidR="00E8128F">
        <w:rPr>
          <w:sz w:val="36"/>
          <w:szCs w:val="36"/>
          <w:rtl/>
        </w:rPr>
        <w:t xml:space="preserve"> </w:t>
      </w:r>
      <w:r w:rsidR="00994AB1" w:rsidRPr="00FD211F">
        <w:rPr>
          <w:sz w:val="36"/>
          <w:szCs w:val="36"/>
          <w:rtl/>
        </w:rPr>
        <w:t>اي</w:t>
      </w:r>
      <w:r w:rsidR="00E8128F">
        <w:rPr>
          <w:sz w:val="36"/>
          <w:szCs w:val="36"/>
          <w:rtl/>
        </w:rPr>
        <w:t xml:space="preserve"> </w:t>
      </w:r>
      <w:r w:rsidR="00994AB1" w:rsidRPr="00FD211F">
        <w:rPr>
          <w:sz w:val="36"/>
          <w:szCs w:val="36"/>
          <w:rtl/>
        </w:rPr>
        <w:t>تطبيق</w:t>
      </w:r>
      <w:r w:rsidR="003334CB" w:rsidRPr="00FD211F">
        <w:rPr>
          <w:sz w:val="36"/>
          <w:szCs w:val="36"/>
          <w:rtl/>
        </w:rPr>
        <w:t>ه</w:t>
      </w:r>
      <w:r w:rsidR="00E8128F">
        <w:rPr>
          <w:sz w:val="36"/>
          <w:szCs w:val="36"/>
          <w:rtl/>
        </w:rPr>
        <w:t xml:space="preserve"> </w:t>
      </w:r>
      <w:r w:rsidR="003334CB" w:rsidRPr="00FD211F">
        <w:rPr>
          <w:sz w:val="36"/>
          <w:szCs w:val="36"/>
          <w:rtl/>
        </w:rPr>
        <w:t>على</w:t>
      </w:r>
      <w:r w:rsidR="00E8128F">
        <w:rPr>
          <w:sz w:val="36"/>
          <w:szCs w:val="36"/>
          <w:rtl/>
        </w:rPr>
        <w:t xml:space="preserve"> </w:t>
      </w:r>
      <w:r w:rsidR="003334CB" w:rsidRPr="00FD211F">
        <w:rPr>
          <w:sz w:val="36"/>
          <w:szCs w:val="36"/>
          <w:rtl/>
        </w:rPr>
        <w:t>فرد</w:t>
      </w:r>
      <w:r w:rsidR="00E8128F">
        <w:rPr>
          <w:sz w:val="36"/>
          <w:szCs w:val="36"/>
          <w:rtl/>
        </w:rPr>
        <w:t xml:space="preserve"> </w:t>
      </w:r>
      <w:r w:rsidRPr="00FD211F">
        <w:rPr>
          <w:sz w:val="36"/>
          <w:szCs w:val="36"/>
          <w:rtl/>
        </w:rPr>
        <w:t>حتى</w:t>
      </w:r>
      <w:r w:rsidR="00E8128F">
        <w:rPr>
          <w:sz w:val="36"/>
          <w:szCs w:val="36"/>
          <w:rtl/>
        </w:rPr>
        <w:t xml:space="preserve"> </w:t>
      </w:r>
      <w:r w:rsidRPr="00FD211F">
        <w:rPr>
          <w:sz w:val="36"/>
          <w:szCs w:val="36"/>
          <w:rtl/>
        </w:rPr>
        <w:t>يلحظ</w:t>
      </w:r>
      <w:r w:rsidR="00E8128F">
        <w:rPr>
          <w:sz w:val="36"/>
          <w:szCs w:val="36"/>
          <w:rtl/>
        </w:rPr>
        <w:t xml:space="preserve"> </w:t>
      </w:r>
      <w:r w:rsidRPr="00FD211F">
        <w:rPr>
          <w:sz w:val="36"/>
          <w:szCs w:val="36"/>
          <w:rtl/>
        </w:rPr>
        <w:t>كونه</w:t>
      </w:r>
      <w:r w:rsidR="00E8128F">
        <w:rPr>
          <w:sz w:val="36"/>
          <w:szCs w:val="36"/>
          <w:rtl/>
        </w:rPr>
        <w:t xml:space="preserve"> </w:t>
      </w:r>
      <w:r w:rsidRPr="00FD211F">
        <w:rPr>
          <w:sz w:val="36"/>
          <w:szCs w:val="36"/>
          <w:rtl/>
        </w:rPr>
        <w:t>مستعملا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الاعم</w:t>
      </w:r>
      <w:r w:rsidR="00E8128F">
        <w:rPr>
          <w:sz w:val="36"/>
          <w:szCs w:val="36"/>
          <w:rtl/>
        </w:rPr>
        <w:t xml:space="preserve"> </w:t>
      </w:r>
      <w:r w:rsidR="00994AB1" w:rsidRPr="00FD211F">
        <w:rPr>
          <w:sz w:val="36"/>
          <w:szCs w:val="36"/>
          <w:rtl/>
        </w:rPr>
        <w:t>ممن</w:t>
      </w:r>
      <w:r w:rsidR="00E8128F">
        <w:rPr>
          <w:sz w:val="36"/>
          <w:szCs w:val="36"/>
          <w:rtl/>
        </w:rPr>
        <w:t xml:space="preserve"> </w:t>
      </w:r>
      <w:r w:rsidR="00994AB1" w:rsidRPr="00FD211F">
        <w:rPr>
          <w:sz w:val="36"/>
          <w:szCs w:val="36"/>
          <w:rtl/>
        </w:rPr>
        <w:t>انقضى</w:t>
      </w:r>
      <w:r w:rsidR="00E8128F">
        <w:rPr>
          <w:sz w:val="36"/>
          <w:szCs w:val="36"/>
          <w:rtl/>
        </w:rPr>
        <w:t xml:space="preserve"> </w:t>
      </w:r>
      <w:r w:rsidR="00994AB1" w:rsidRPr="00FD211F">
        <w:rPr>
          <w:sz w:val="36"/>
          <w:szCs w:val="36"/>
          <w:rtl/>
        </w:rPr>
        <w:t>عنه</w:t>
      </w:r>
      <w:r w:rsidR="00E8128F">
        <w:rPr>
          <w:sz w:val="36"/>
          <w:szCs w:val="36"/>
          <w:rtl/>
        </w:rPr>
        <w:t xml:space="preserve"> </w:t>
      </w:r>
      <w:r w:rsidR="00994AB1" w:rsidRPr="00FD211F">
        <w:rPr>
          <w:sz w:val="36"/>
          <w:szCs w:val="36"/>
          <w:rtl/>
        </w:rPr>
        <w:t>ال</w:t>
      </w:r>
      <w:r w:rsidR="0079493B" w:rsidRPr="00FD211F">
        <w:rPr>
          <w:sz w:val="36"/>
          <w:szCs w:val="36"/>
          <w:rtl/>
        </w:rPr>
        <w:t>مبدأ</w:t>
      </w:r>
      <w:r w:rsidR="00E8128F">
        <w:rPr>
          <w:sz w:val="36"/>
          <w:szCs w:val="36"/>
          <w:rtl/>
        </w:rPr>
        <w:t xml:space="preserve"> </w:t>
      </w:r>
      <w:r w:rsidR="003334CB" w:rsidRPr="00FD211F">
        <w:rPr>
          <w:sz w:val="36"/>
          <w:szCs w:val="36"/>
          <w:rtl/>
        </w:rPr>
        <w:t>ام</w:t>
      </w:r>
      <w:r w:rsidR="00E8128F">
        <w:rPr>
          <w:sz w:val="36"/>
          <w:szCs w:val="36"/>
          <w:rtl/>
        </w:rPr>
        <w:t xml:space="preserve"> </w:t>
      </w:r>
      <w:r w:rsidR="003334CB" w:rsidRPr="00FD211F">
        <w:rPr>
          <w:sz w:val="36"/>
          <w:szCs w:val="36"/>
          <w:rtl/>
        </w:rPr>
        <w:t>لا.</w:t>
      </w:r>
      <w:r w:rsidR="00E8128F">
        <w:rPr>
          <w:sz w:val="36"/>
          <w:szCs w:val="36"/>
          <w:rtl/>
        </w:rPr>
        <w:t xml:space="preserve"> </w:t>
      </w:r>
    </w:p>
    <w:p w14:paraId="4286A0BA" w14:textId="77777777" w:rsidR="000C5BBA" w:rsidRPr="00FD211F" w:rsidRDefault="003334CB" w:rsidP="00400BB3">
      <w:pPr>
        <w:ind w:left="0" w:firstLine="227"/>
        <w:jc w:val="both"/>
        <w:rPr>
          <w:sz w:val="36"/>
          <w:szCs w:val="36"/>
          <w:rtl/>
        </w:rPr>
      </w:pPr>
      <w:r w:rsidRPr="00FD211F">
        <w:rPr>
          <w:sz w:val="36"/>
          <w:szCs w:val="36"/>
          <w:rtl/>
        </w:rPr>
        <w:t>و</w:t>
      </w:r>
      <w:r w:rsidR="0085755D" w:rsidRPr="00FD211F">
        <w:rPr>
          <w:sz w:val="36"/>
          <w:szCs w:val="36"/>
          <w:rtl/>
        </w:rPr>
        <w:t>اما</w:t>
      </w:r>
      <w:r w:rsidR="00E8128F">
        <w:rPr>
          <w:sz w:val="36"/>
          <w:szCs w:val="36"/>
          <w:rtl/>
        </w:rPr>
        <w:t xml:space="preserve"> </w:t>
      </w:r>
      <w:r w:rsidRPr="00FD211F">
        <w:rPr>
          <w:sz w:val="36"/>
          <w:szCs w:val="36"/>
          <w:rtl/>
        </w:rPr>
        <w:t>القضايا</w:t>
      </w:r>
      <w:r w:rsidR="00E8128F">
        <w:rPr>
          <w:sz w:val="36"/>
          <w:szCs w:val="36"/>
          <w:rtl/>
        </w:rPr>
        <w:t xml:space="preserve"> </w:t>
      </w:r>
      <w:r w:rsidR="00792FC3" w:rsidRPr="00FD211F">
        <w:rPr>
          <w:sz w:val="36"/>
          <w:szCs w:val="36"/>
          <w:rtl/>
        </w:rPr>
        <w:t>الاسنادي</w:t>
      </w:r>
      <w:r w:rsidR="00EC7EDF" w:rsidRPr="00FD211F">
        <w:rPr>
          <w:sz w:val="36"/>
          <w:szCs w:val="36"/>
          <w:rtl/>
        </w:rPr>
        <w:t>ة</w:t>
      </w:r>
      <w:r w:rsidR="00E8128F">
        <w:rPr>
          <w:sz w:val="36"/>
          <w:szCs w:val="36"/>
          <w:rtl/>
        </w:rPr>
        <w:t xml:space="preserve"> </w:t>
      </w:r>
      <w:r w:rsidRPr="00FD211F">
        <w:rPr>
          <w:sz w:val="36"/>
          <w:szCs w:val="36"/>
          <w:rtl/>
        </w:rPr>
        <w:t>ا</w:t>
      </w:r>
      <w:r w:rsidR="0085755D" w:rsidRPr="00FD211F">
        <w:rPr>
          <w:sz w:val="36"/>
          <w:szCs w:val="36"/>
          <w:rtl/>
        </w:rPr>
        <w:t>لتى</w:t>
      </w:r>
      <w:r w:rsidR="00E8128F">
        <w:rPr>
          <w:sz w:val="36"/>
          <w:szCs w:val="36"/>
          <w:rtl/>
        </w:rPr>
        <w:t xml:space="preserve"> </w:t>
      </w:r>
      <w:r w:rsidR="0085755D" w:rsidRPr="00FD211F">
        <w:rPr>
          <w:sz w:val="36"/>
          <w:szCs w:val="36"/>
          <w:rtl/>
        </w:rPr>
        <w:t>تدل</w:t>
      </w:r>
      <w:r w:rsidR="00E8128F">
        <w:rPr>
          <w:sz w:val="36"/>
          <w:szCs w:val="36"/>
          <w:rtl/>
        </w:rPr>
        <w:t xml:space="preserve"> </w:t>
      </w:r>
      <w:r w:rsidR="0085755D" w:rsidRPr="00FD211F">
        <w:rPr>
          <w:sz w:val="36"/>
          <w:szCs w:val="36"/>
          <w:rtl/>
        </w:rPr>
        <w:t>على</w:t>
      </w:r>
      <w:r w:rsidR="00E8128F">
        <w:rPr>
          <w:sz w:val="36"/>
          <w:szCs w:val="36"/>
          <w:rtl/>
        </w:rPr>
        <w:t xml:space="preserve"> </w:t>
      </w:r>
      <w:r w:rsidR="0085755D" w:rsidRPr="00FD211F">
        <w:rPr>
          <w:sz w:val="36"/>
          <w:szCs w:val="36"/>
          <w:rtl/>
        </w:rPr>
        <w:t>صدور</w:t>
      </w:r>
      <w:r w:rsidR="00E8128F">
        <w:rPr>
          <w:sz w:val="36"/>
          <w:szCs w:val="36"/>
          <w:rtl/>
        </w:rPr>
        <w:t xml:space="preserve"> </w:t>
      </w:r>
      <w:r w:rsidR="0085755D" w:rsidRPr="00FD211F">
        <w:rPr>
          <w:sz w:val="36"/>
          <w:szCs w:val="36"/>
          <w:rtl/>
        </w:rPr>
        <w:t>الفعل</w:t>
      </w:r>
      <w:r w:rsidR="00E8128F">
        <w:rPr>
          <w:sz w:val="36"/>
          <w:szCs w:val="36"/>
          <w:rtl/>
        </w:rPr>
        <w:t xml:space="preserve"> </w:t>
      </w:r>
      <w:r w:rsidR="0085755D" w:rsidRPr="00FD211F">
        <w:rPr>
          <w:sz w:val="36"/>
          <w:szCs w:val="36"/>
          <w:rtl/>
        </w:rPr>
        <w:t>من</w:t>
      </w:r>
      <w:r w:rsidR="00E8128F">
        <w:rPr>
          <w:sz w:val="36"/>
          <w:szCs w:val="36"/>
          <w:rtl/>
        </w:rPr>
        <w:t xml:space="preserve"> </w:t>
      </w:r>
      <w:r w:rsidR="0085755D" w:rsidRPr="00FD211F">
        <w:rPr>
          <w:sz w:val="36"/>
          <w:szCs w:val="36"/>
          <w:rtl/>
        </w:rPr>
        <w:t>مشتق</w:t>
      </w:r>
      <w:r w:rsidR="00E8128F">
        <w:rPr>
          <w:sz w:val="36"/>
          <w:szCs w:val="36"/>
          <w:rtl/>
        </w:rPr>
        <w:t xml:space="preserve"> </w:t>
      </w:r>
      <w:r w:rsidR="0085755D" w:rsidRPr="00FD211F">
        <w:rPr>
          <w:sz w:val="36"/>
          <w:szCs w:val="36"/>
          <w:rtl/>
        </w:rPr>
        <w:t>كقولنا"ضربَ</w:t>
      </w:r>
      <w:r w:rsidR="00E8128F">
        <w:rPr>
          <w:sz w:val="36"/>
          <w:szCs w:val="36"/>
          <w:rtl/>
        </w:rPr>
        <w:t xml:space="preserve"> </w:t>
      </w:r>
      <w:r w:rsidR="0085755D" w:rsidRPr="00FD211F">
        <w:rPr>
          <w:sz w:val="36"/>
          <w:szCs w:val="36"/>
          <w:rtl/>
        </w:rPr>
        <w:t>العالم</w:t>
      </w:r>
      <w:r w:rsidR="00E8128F">
        <w:rPr>
          <w:sz w:val="36"/>
          <w:szCs w:val="36"/>
          <w:rtl/>
        </w:rPr>
        <w:t xml:space="preserve"> </w:t>
      </w:r>
      <w:r w:rsidR="0085755D" w:rsidRPr="00FD211F">
        <w:rPr>
          <w:sz w:val="36"/>
          <w:szCs w:val="36"/>
          <w:rtl/>
        </w:rPr>
        <w:t>"</w:t>
      </w:r>
      <w:r w:rsidR="00E8128F">
        <w:rPr>
          <w:sz w:val="36"/>
          <w:szCs w:val="36"/>
          <w:rtl/>
        </w:rPr>
        <w:t xml:space="preserve"> </w:t>
      </w:r>
      <w:r w:rsidR="0085755D" w:rsidRPr="00FD211F">
        <w:rPr>
          <w:sz w:val="36"/>
          <w:szCs w:val="36"/>
          <w:rtl/>
        </w:rPr>
        <w:t>ف</w:t>
      </w:r>
      <w:r w:rsidR="00792FC3" w:rsidRPr="00FD211F">
        <w:rPr>
          <w:sz w:val="36"/>
          <w:szCs w:val="36"/>
          <w:rtl/>
        </w:rPr>
        <w:t>يكون</w:t>
      </w:r>
      <w:r w:rsidR="00E8128F">
        <w:rPr>
          <w:sz w:val="36"/>
          <w:szCs w:val="36"/>
          <w:rtl/>
        </w:rPr>
        <w:t xml:space="preserve"> </w:t>
      </w:r>
      <w:r w:rsidR="00792FC3" w:rsidRPr="00FD211F">
        <w:rPr>
          <w:sz w:val="36"/>
          <w:szCs w:val="36"/>
          <w:rtl/>
        </w:rPr>
        <w:t>الملاك</w:t>
      </w:r>
      <w:r w:rsidR="00E8128F">
        <w:rPr>
          <w:sz w:val="36"/>
          <w:szCs w:val="36"/>
          <w:rtl/>
        </w:rPr>
        <w:t xml:space="preserve"> </w:t>
      </w:r>
      <w:r w:rsidR="00792FC3" w:rsidRPr="00FD211F">
        <w:rPr>
          <w:sz w:val="36"/>
          <w:szCs w:val="36"/>
          <w:rtl/>
        </w:rPr>
        <w:t>التلبس</w:t>
      </w:r>
      <w:r w:rsidR="00E8128F">
        <w:rPr>
          <w:sz w:val="36"/>
          <w:szCs w:val="36"/>
          <w:rtl/>
        </w:rPr>
        <w:t xml:space="preserve"> </w:t>
      </w:r>
      <w:r w:rsidR="00792FC3" w:rsidRPr="00FD211F">
        <w:rPr>
          <w:sz w:val="36"/>
          <w:szCs w:val="36"/>
          <w:rtl/>
        </w:rPr>
        <w:t>بال</w:t>
      </w:r>
      <w:r w:rsidR="0079493B" w:rsidRPr="00FD211F">
        <w:rPr>
          <w:sz w:val="36"/>
          <w:szCs w:val="36"/>
          <w:rtl/>
        </w:rPr>
        <w:t>مبدأ</w:t>
      </w:r>
      <w:r w:rsidR="00E8128F">
        <w:rPr>
          <w:sz w:val="36"/>
          <w:szCs w:val="36"/>
          <w:rtl/>
        </w:rPr>
        <w:t xml:space="preserve"> </w:t>
      </w:r>
      <w:r w:rsidR="00792FC3" w:rsidRPr="00FD211F">
        <w:rPr>
          <w:sz w:val="36"/>
          <w:szCs w:val="36"/>
          <w:rtl/>
        </w:rPr>
        <w:t>ف</w:t>
      </w:r>
      <w:r w:rsidR="0085755D" w:rsidRPr="00FD211F">
        <w:rPr>
          <w:sz w:val="36"/>
          <w:szCs w:val="36"/>
          <w:rtl/>
        </w:rPr>
        <w:t>ي</w:t>
      </w:r>
      <w:r w:rsidR="00E8128F">
        <w:rPr>
          <w:sz w:val="36"/>
          <w:szCs w:val="36"/>
          <w:rtl/>
        </w:rPr>
        <w:t xml:space="preserve"> </w:t>
      </w:r>
      <w:r w:rsidR="0085755D" w:rsidRPr="00FD211F">
        <w:rPr>
          <w:sz w:val="36"/>
          <w:szCs w:val="36"/>
          <w:rtl/>
        </w:rPr>
        <w:t>زمان</w:t>
      </w:r>
      <w:r w:rsidR="00E8128F">
        <w:rPr>
          <w:sz w:val="36"/>
          <w:szCs w:val="36"/>
          <w:rtl/>
        </w:rPr>
        <w:t xml:space="preserve"> </w:t>
      </w:r>
      <w:r w:rsidR="0085755D" w:rsidRPr="00FD211F">
        <w:rPr>
          <w:sz w:val="36"/>
          <w:szCs w:val="36"/>
          <w:rtl/>
        </w:rPr>
        <w:t>الاسناد</w:t>
      </w:r>
      <w:r w:rsidR="00603323" w:rsidRPr="00FD211F">
        <w:rPr>
          <w:sz w:val="36"/>
          <w:szCs w:val="36"/>
          <w:rtl/>
        </w:rPr>
        <w:t>،</w:t>
      </w:r>
      <w:r w:rsidR="00E8128F">
        <w:rPr>
          <w:sz w:val="36"/>
          <w:szCs w:val="36"/>
          <w:rtl/>
        </w:rPr>
        <w:t xml:space="preserve"> </w:t>
      </w:r>
      <w:r w:rsidR="00994AB1" w:rsidRPr="00FD211F">
        <w:rPr>
          <w:sz w:val="36"/>
          <w:szCs w:val="36"/>
          <w:rtl/>
        </w:rPr>
        <w:t>والموارد</w:t>
      </w:r>
      <w:r w:rsidR="00E8128F">
        <w:rPr>
          <w:sz w:val="36"/>
          <w:szCs w:val="36"/>
          <w:rtl/>
        </w:rPr>
        <w:t xml:space="preserve"> </w:t>
      </w:r>
      <w:r w:rsidR="00994AB1" w:rsidRPr="00FD211F">
        <w:rPr>
          <w:sz w:val="36"/>
          <w:szCs w:val="36"/>
          <w:rtl/>
        </w:rPr>
        <w:t>التي</w:t>
      </w:r>
      <w:r w:rsidR="00E8128F">
        <w:rPr>
          <w:sz w:val="36"/>
          <w:szCs w:val="36"/>
          <w:rtl/>
        </w:rPr>
        <w:t xml:space="preserve"> </w:t>
      </w:r>
      <w:r w:rsidR="00994AB1" w:rsidRPr="00FD211F">
        <w:rPr>
          <w:sz w:val="36"/>
          <w:szCs w:val="36"/>
          <w:rtl/>
        </w:rPr>
        <w:t>يكون</w:t>
      </w:r>
      <w:r w:rsidR="00E8128F">
        <w:rPr>
          <w:sz w:val="36"/>
          <w:szCs w:val="36"/>
          <w:rtl/>
        </w:rPr>
        <w:t xml:space="preserve"> </w:t>
      </w:r>
      <w:r w:rsidR="00994AB1" w:rsidRPr="00FD211F">
        <w:rPr>
          <w:sz w:val="36"/>
          <w:szCs w:val="36"/>
          <w:rtl/>
        </w:rPr>
        <w:t>الاسناد</w:t>
      </w:r>
      <w:r w:rsidR="00E8128F">
        <w:rPr>
          <w:sz w:val="36"/>
          <w:szCs w:val="36"/>
          <w:rtl/>
        </w:rPr>
        <w:t xml:space="preserve"> </w:t>
      </w:r>
      <w:r w:rsidR="00994AB1" w:rsidRPr="00FD211F">
        <w:rPr>
          <w:sz w:val="36"/>
          <w:szCs w:val="36"/>
          <w:rtl/>
        </w:rPr>
        <w:t>فيها</w:t>
      </w:r>
      <w:r w:rsidR="00E8128F">
        <w:rPr>
          <w:sz w:val="36"/>
          <w:szCs w:val="36"/>
          <w:rtl/>
        </w:rPr>
        <w:t xml:space="preserve"> </w:t>
      </w:r>
      <w:r w:rsidR="00994AB1" w:rsidRPr="00FD211F">
        <w:rPr>
          <w:sz w:val="36"/>
          <w:szCs w:val="36"/>
          <w:rtl/>
        </w:rPr>
        <w:t>بلحاظ</w:t>
      </w:r>
      <w:r w:rsidR="00E8128F">
        <w:rPr>
          <w:sz w:val="36"/>
          <w:szCs w:val="36"/>
          <w:rtl/>
        </w:rPr>
        <w:t xml:space="preserve"> </w:t>
      </w:r>
      <w:r w:rsidR="00994AB1" w:rsidRPr="00FD211F">
        <w:rPr>
          <w:sz w:val="36"/>
          <w:szCs w:val="36"/>
          <w:rtl/>
        </w:rPr>
        <w:t>من</w:t>
      </w:r>
      <w:r w:rsidR="00E8128F">
        <w:rPr>
          <w:sz w:val="36"/>
          <w:szCs w:val="36"/>
          <w:rtl/>
        </w:rPr>
        <w:t xml:space="preserve"> </w:t>
      </w:r>
      <w:r w:rsidR="00994AB1" w:rsidRPr="00FD211F">
        <w:rPr>
          <w:sz w:val="36"/>
          <w:szCs w:val="36"/>
          <w:rtl/>
        </w:rPr>
        <w:t>انقضى</w:t>
      </w:r>
      <w:r w:rsidR="00E8128F">
        <w:rPr>
          <w:sz w:val="36"/>
          <w:szCs w:val="36"/>
          <w:rtl/>
        </w:rPr>
        <w:t xml:space="preserve"> </w:t>
      </w:r>
      <w:r w:rsidR="00994AB1" w:rsidRPr="00FD211F">
        <w:rPr>
          <w:sz w:val="36"/>
          <w:szCs w:val="36"/>
          <w:rtl/>
        </w:rPr>
        <w:t>عنه</w:t>
      </w:r>
      <w:r w:rsidR="00E8128F">
        <w:rPr>
          <w:sz w:val="36"/>
          <w:szCs w:val="36"/>
          <w:rtl/>
        </w:rPr>
        <w:t xml:space="preserve"> </w:t>
      </w:r>
      <w:r w:rsidR="00994AB1" w:rsidRPr="00FD211F">
        <w:rPr>
          <w:sz w:val="36"/>
          <w:szCs w:val="36"/>
          <w:rtl/>
        </w:rPr>
        <w:t>ال</w:t>
      </w:r>
      <w:r w:rsidR="0079493B" w:rsidRPr="00FD211F">
        <w:rPr>
          <w:sz w:val="36"/>
          <w:szCs w:val="36"/>
          <w:rtl/>
        </w:rPr>
        <w:t>مبدأ</w:t>
      </w:r>
      <w:r w:rsidR="00E8128F">
        <w:rPr>
          <w:sz w:val="36"/>
          <w:szCs w:val="36"/>
          <w:rtl/>
        </w:rPr>
        <w:t xml:space="preserve"> </w:t>
      </w:r>
      <w:r w:rsidR="005428C4" w:rsidRPr="00FD211F">
        <w:rPr>
          <w:sz w:val="36"/>
          <w:szCs w:val="36"/>
          <w:rtl/>
        </w:rPr>
        <w:t>مثل</w:t>
      </w:r>
      <w:r w:rsidR="00E8128F">
        <w:rPr>
          <w:sz w:val="36"/>
          <w:szCs w:val="36"/>
          <w:rtl/>
        </w:rPr>
        <w:t xml:space="preserve"> </w:t>
      </w:r>
      <w:r w:rsidR="005428C4" w:rsidRPr="00FD211F">
        <w:rPr>
          <w:sz w:val="36"/>
          <w:szCs w:val="36"/>
          <w:rtl/>
        </w:rPr>
        <w:t>قوله</w:t>
      </w:r>
      <w:r w:rsidR="00E8128F">
        <w:rPr>
          <w:sz w:val="36"/>
          <w:szCs w:val="36"/>
          <w:rtl/>
        </w:rPr>
        <w:t xml:space="preserve"> </w:t>
      </w:r>
      <w:r w:rsidR="005428C4" w:rsidRPr="00FD211F">
        <w:rPr>
          <w:sz w:val="36"/>
          <w:szCs w:val="36"/>
          <w:rtl/>
        </w:rPr>
        <w:t>تعالى</w:t>
      </w:r>
      <w:r w:rsidR="00E8128F">
        <w:rPr>
          <w:sz w:val="36"/>
          <w:szCs w:val="36"/>
          <w:rtl/>
        </w:rPr>
        <w:t xml:space="preserve"> </w:t>
      </w:r>
      <w:r w:rsidR="005428C4" w:rsidRPr="00FD211F">
        <w:rPr>
          <w:sz w:val="36"/>
          <w:szCs w:val="36"/>
          <w:rtl/>
        </w:rPr>
        <w:t>"</w:t>
      </w:r>
      <w:r w:rsidR="00792FC3" w:rsidRPr="00FD211F">
        <w:rPr>
          <w:sz w:val="36"/>
          <w:szCs w:val="36"/>
          <w:rtl/>
        </w:rPr>
        <w:t>الزاني</w:t>
      </w:r>
      <w:r w:rsidR="00EC7EDF" w:rsidRPr="00FD211F">
        <w:rPr>
          <w:sz w:val="36"/>
          <w:szCs w:val="36"/>
          <w:rtl/>
        </w:rPr>
        <w:t>ة</w:t>
      </w:r>
      <w:r w:rsidR="00E8128F">
        <w:rPr>
          <w:sz w:val="36"/>
          <w:szCs w:val="36"/>
          <w:rtl/>
        </w:rPr>
        <w:t xml:space="preserve"> </w:t>
      </w:r>
      <w:r w:rsidR="00792FC3" w:rsidRPr="00FD211F">
        <w:rPr>
          <w:sz w:val="36"/>
          <w:szCs w:val="36"/>
          <w:rtl/>
        </w:rPr>
        <w:t>والزاني</w:t>
      </w:r>
      <w:r w:rsidR="00E8128F">
        <w:rPr>
          <w:sz w:val="36"/>
          <w:szCs w:val="36"/>
          <w:rtl/>
        </w:rPr>
        <w:t xml:space="preserve"> </w:t>
      </w:r>
      <w:r w:rsidR="00792FC3" w:rsidRPr="00FD211F">
        <w:rPr>
          <w:sz w:val="36"/>
          <w:szCs w:val="36"/>
          <w:rtl/>
        </w:rPr>
        <w:t>فاجلدوا</w:t>
      </w:r>
      <w:r w:rsidR="00E8128F">
        <w:rPr>
          <w:sz w:val="36"/>
          <w:szCs w:val="36"/>
          <w:rtl/>
        </w:rPr>
        <w:t xml:space="preserve"> </w:t>
      </w:r>
      <w:r w:rsidR="00994AB1" w:rsidRPr="00FD211F">
        <w:rPr>
          <w:sz w:val="36"/>
          <w:szCs w:val="36"/>
          <w:rtl/>
        </w:rPr>
        <w:t>كل</w:t>
      </w:r>
      <w:r w:rsidR="00E8128F">
        <w:rPr>
          <w:sz w:val="36"/>
          <w:szCs w:val="36"/>
          <w:rtl/>
        </w:rPr>
        <w:t xml:space="preserve"> </w:t>
      </w:r>
      <w:r w:rsidR="00994AB1" w:rsidRPr="00FD211F">
        <w:rPr>
          <w:sz w:val="36"/>
          <w:szCs w:val="36"/>
          <w:rtl/>
        </w:rPr>
        <w:t>واحد</w:t>
      </w:r>
      <w:r w:rsidR="00E8128F">
        <w:rPr>
          <w:sz w:val="36"/>
          <w:szCs w:val="36"/>
          <w:rtl/>
        </w:rPr>
        <w:t xml:space="preserve"> </w:t>
      </w:r>
      <w:r w:rsidR="00994AB1" w:rsidRPr="00FD211F">
        <w:rPr>
          <w:sz w:val="36"/>
          <w:szCs w:val="36"/>
          <w:rtl/>
        </w:rPr>
        <w:t>منهما</w:t>
      </w:r>
      <w:r w:rsidR="00E8128F">
        <w:rPr>
          <w:sz w:val="36"/>
          <w:szCs w:val="36"/>
          <w:rtl/>
        </w:rPr>
        <w:t xml:space="preserve"> </w:t>
      </w:r>
      <w:r w:rsidR="00994AB1" w:rsidRPr="00FD211F">
        <w:rPr>
          <w:sz w:val="36"/>
          <w:szCs w:val="36"/>
          <w:rtl/>
        </w:rPr>
        <w:t>مأ</w:t>
      </w:r>
      <w:r w:rsidR="00EC7EDF" w:rsidRPr="00FD211F">
        <w:rPr>
          <w:sz w:val="36"/>
          <w:szCs w:val="36"/>
          <w:rtl/>
        </w:rPr>
        <w:t>ة</w:t>
      </w:r>
      <w:r w:rsidR="00E8128F">
        <w:rPr>
          <w:sz w:val="36"/>
          <w:szCs w:val="36"/>
          <w:rtl/>
        </w:rPr>
        <w:t xml:space="preserve"> </w:t>
      </w:r>
      <w:r w:rsidR="00994AB1" w:rsidRPr="00FD211F">
        <w:rPr>
          <w:sz w:val="36"/>
          <w:szCs w:val="36"/>
          <w:rtl/>
        </w:rPr>
        <w:t>جلد</w:t>
      </w:r>
      <w:r w:rsidR="00EC7EDF" w:rsidRPr="00FD211F">
        <w:rPr>
          <w:sz w:val="36"/>
          <w:szCs w:val="36"/>
          <w:rtl/>
        </w:rPr>
        <w:t>ة</w:t>
      </w:r>
      <w:r w:rsidR="005428C4" w:rsidRPr="00FD211F">
        <w:rPr>
          <w:sz w:val="36"/>
          <w:szCs w:val="36"/>
          <w:rtl/>
        </w:rPr>
        <w:t>"</w:t>
      </w:r>
      <w:r w:rsidR="00E8128F">
        <w:rPr>
          <w:sz w:val="36"/>
          <w:szCs w:val="36"/>
          <w:rtl/>
        </w:rPr>
        <w:t xml:space="preserve"> </w:t>
      </w:r>
      <w:r w:rsidR="005428C4" w:rsidRPr="00FD211F">
        <w:rPr>
          <w:sz w:val="36"/>
          <w:szCs w:val="36"/>
          <w:rtl/>
        </w:rPr>
        <w:t>وكذا</w:t>
      </w:r>
      <w:r w:rsidR="00E8128F">
        <w:rPr>
          <w:sz w:val="36"/>
          <w:szCs w:val="36"/>
          <w:rtl/>
        </w:rPr>
        <w:t xml:space="preserve"> </w:t>
      </w:r>
      <w:r w:rsidR="005428C4" w:rsidRPr="00FD211F">
        <w:rPr>
          <w:sz w:val="36"/>
          <w:szCs w:val="36"/>
          <w:rtl/>
        </w:rPr>
        <w:t>قوله</w:t>
      </w:r>
      <w:r w:rsidR="00E8128F">
        <w:rPr>
          <w:sz w:val="36"/>
          <w:szCs w:val="36"/>
          <w:rtl/>
        </w:rPr>
        <w:t xml:space="preserve"> </w:t>
      </w:r>
      <w:r w:rsidR="005428C4" w:rsidRPr="00FD211F">
        <w:rPr>
          <w:sz w:val="36"/>
          <w:szCs w:val="36"/>
          <w:rtl/>
        </w:rPr>
        <w:t>تعالى"</w:t>
      </w:r>
      <w:r w:rsidR="00487ECF" w:rsidRPr="00FD211F">
        <w:rPr>
          <w:sz w:val="36"/>
          <w:szCs w:val="36"/>
          <w:rtl/>
        </w:rPr>
        <w:t>والسارق</w:t>
      </w:r>
      <w:r w:rsidR="00E8128F">
        <w:rPr>
          <w:sz w:val="36"/>
          <w:szCs w:val="36"/>
          <w:rtl/>
        </w:rPr>
        <w:t xml:space="preserve"> </w:t>
      </w:r>
      <w:r w:rsidR="00487ECF" w:rsidRPr="00FD211F">
        <w:rPr>
          <w:sz w:val="36"/>
          <w:szCs w:val="36"/>
          <w:rtl/>
        </w:rPr>
        <w:t>والسارق</w:t>
      </w:r>
      <w:r w:rsidR="00EC7EDF" w:rsidRPr="00FD211F">
        <w:rPr>
          <w:sz w:val="36"/>
          <w:szCs w:val="36"/>
          <w:rtl/>
        </w:rPr>
        <w:t>ة</w:t>
      </w:r>
      <w:r w:rsidR="00E8128F">
        <w:rPr>
          <w:sz w:val="36"/>
          <w:szCs w:val="36"/>
          <w:rtl/>
        </w:rPr>
        <w:t xml:space="preserve"> </w:t>
      </w:r>
      <w:r w:rsidR="00487ECF" w:rsidRPr="00FD211F">
        <w:rPr>
          <w:sz w:val="36"/>
          <w:szCs w:val="36"/>
          <w:rtl/>
        </w:rPr>
        <w:t>فاقطعوا</w:t>
      </w:r>
      <w:r w:rsidR="00E8128F">
        <w:rPr>
          <w:sz w:val="36"/>
          <w:szCs w:val="36"/>
          <w:rtl/>
        </w:rPr>
        <w:t xml:space="preserve"> </w:t>
      </w:r>
      <w:r w:rsidR="00994AB1" w:rsidRPr="00FD211F">
        <w:rPr>
          <w:sz w:val="36"/>
          <w:szCs w:val="36"/>
          <w:rtl/>
        </w:rPr>
        <w:t>ايديهما</w:t>
      </w:r>
      <w:r w:rsidR="005428C4" w:rsidRPr="00FD211F">
        <w:rPr>
          <w:sz w:val="36"/>
          <w:szCs w:val="36"/>
          <w:rtl/>
        </w:rPr>
        <w:t>"</w:t>
      </w:r>
      <w:r w:rsidR="00E8128F">
        <w:rPr>
          <w:sz w:val="36"/>
          <w:szCs w:val="36"/>
          <w:rtl/>
        </w:rPr>
        <w:t xml:space="preserve"> </w:t>
      </w:r>
      <w:r w:rsidR="005428C4" w:rsidRPr="00FD211F">
        <w:rPr>
          <w:sz w:val="36"/>
          <w:szCs w:val="36"/>
          <w:rtl/>
        </w:rPr>
        <w:t>-</w:t>
      </w:r>
      <w:r w:rsidR="00DB3F86" w:rsidRPr="00FD211F">
        <w:rPr>
          <w:sz w:val="36"/>
          <w:szCs w:val="36"/>
          <w:rtl/>
        </w:rPr>
        <w:t>حيث</w:t>
      </w:r>
      <w:r w:rsidR="00E8128F">
        <w:rPr>
          <w:sz w:val="36"/>
          <w:szCs w:val="36"/>
          <w:rtl/>
        </w:rPr>
        <w:t xml:space="preserve"> </w:t>
      </w:r>
      <w:r w:rsidR="00DB3F86" w:rsidRPr="00FD211F">
        <w:rPr>
          <w:sz w:val="36"/>
          <w:szCs w:val="36"/>
          <w:rtl/>
        </w:rPr>
        <w:t>ان</w:t>
      </w:r>
      <w:r w:rsidR="00E8128F">
        <w:rPr>
          <w:sz w:val="36"/>
          <w:szCs w:val="36"/>
          <w:rtl/>
        </w:rPr>
        <w:t xml:space="preserve"> </w:t>
      </w:r>
      <w:r w:rsidR="00DB3F86" w:rsidRPr="00FD211F">
        <w:rPr>
          <w:sz w:val="36"/>
          <w:szCs w:val="36"/>
          <w:rtl/>
        </w:rPr>
        <w:t>الجلد</w:t>
      </w:r>
      <w:r w:rsidR="00E8128F">
        <w:rPr>
          <w:sz w:val="36"/>
          <w:szCs w:val="36"/>
          <w:rtl/>
        </w:rPr>
        <w:t xml:space="preserve"> </w:t>
      </w:r>
      <w:r w:rsidR="00DB3F86" w:rsidRPr="00FD211F">
        <w:rPr>
          <w:sz w:val="36"/>
          <w:szCs w:val="36"/>
          <w:rtl/>
        </w:rPr>
        <w:t>او</w:t>
      </w:r>
      <w:r w:rsidR="00E8128F">
        <w:rPr>
          <w:sz w:val="36"/>
          <w:szCs w:val="36"/>
          <w:rtl/>
        </w:rPr>
        <w:t xml:space="preserve"> </w:t>
      </w:r>
      <w:r w:rsidR="00DB3F86" w:rsidRPr="00FD211F">
        <w:rPr>
          <w:sz w:val="36"/>
          <w:szCs w:val="36"/>
          <w:rtl/>
        </w:rPr>
        <w:t>القطع</w:t>
      </w:r>
      <w:r w:rsidR="00E8128F">
        <w:rPr>
          <w:sz w:val="36"/>
          <w:szCs w:val="36"/>
          <w:rtl/>
        </w:rPr>
        <w:t xml:space="preserve"> </w:t>
      </w:r>
      <w:r w:rsidR="00DB3F86" w:rsidRPr="00FD211F">
        <w:rPr>
          <w:sz w:val="36"/>
          <w:szCs w:val="36"/>
          <w:rtl/>
        </w:rPr>
        <w:t>قد</w:t>
      </w:r>
      <w:r w:rsidR="00E8128F">
        <w:rPr>
          <w:sz w:val="36"/>
          <w:szCs w:val="36"/>
          <w:rtl/>
        </w:rPr>
        <w:t xml:space="preserve"> </w:t>
      </w:r>
      <w:r w:rsidR="00DB3F86" w:rsidRPr="00FD211F">
        <w:rPr>
          <w:sz w:val="36"/>
          <w:szCs w:val="36"/>
          <w:rtl/>
        </w:rPr>
        <w:t>أسند</w:t>
      </w:r>
      <w:r w:rsidR="00E8128F">
        <w:rPr>
          <w:sz w:val="36"/>
          <w:szCs w:val="36"/>
          <w:rtl/>
        </w:rPr>
        <w:t xml:space="preserve"> </w:t>
      </w:r>
      <w:r w:rsidR="00DB3F86" w:rsidRPr="00FD211F">
        <w:rPr>
          <w:sz w:val="36"/>
          <w:szCs w:val="36"/>
          <w:rtl/>
        </w:rPr>
        <w:t>الى</w:t>
      </w:r>
      <w:r w:rsidR="00E8128F">
        <w:rPr>
          <w:sz w:val="36"/>
          <w:szCs w:val="36"/>
          <w:rtl/>
        </w:rPr>
        <w:t xml:space="preserve"> </w:t>
      </w:r>
      <w:r w:rsidR="00DB3F86" w:rsidRPr="00FD211F">
        <w:rPr>
          <w:sz w:val="36"/>
          <w:szCs w:val="36"/>
          <w:rtl/>
        </w:rPr>
        <w:t>من</w:t>
      </w:r>
      <w:r w:rsidR="00E8128F">
        <w:rPr>
          <w:sz w:val="36"/>
          <w:szCs w:val="36"/>
          <w:rtl/>
        </w:rPr>
        <w:t xml:space="preserve"> </w:t>
      </w:r>
      <w:r w:rsidR="00DB3F86" w:rsidRPr="00FD211F">
        <w:rPr>
          <w:sz w:val="36"/>
          <w:szCs w:val="36"/>
          <w:rtl/>
        </w:rPr>
        <w:t>انقضى</w:t>
      </w:r>
      <w:r w:rsidR="00E8128F">
        <w:rPr>
          <w:sz w:val="36"/>
          <w:szCs w:val="36"/>
          <w:rtl/>
        </w:rPr>
        <w:t xml:space="preserve"> </w:t>
      </w:r>
      <w:r w:rsidR="00DB3F86" w:rsidRPr="00FD211F">
        <w:rPr>
          <w:sz w:val="36"/>
          <w:szCs w:val="36"/>
          <w:rtl/>
        </w:rPr>
        <w:t>عنه</w:t>
      </w:r>
      <w:r w:rsidR="00E8128F">
        <w:rPr>
          <w:sz w:val="36"/>
          <w:szCs w:val="36"/>
          <w:rtl/>
        </w:rPr>
        <w:t xml:space="preserve"> </w:t>
      </w:r>
      <w:r w:rsidR="00DB3F86" w:rsidRPr="00FD211F">
        <w:rPr>
          <w:sz w:val="36"/>
          <w:szCs w:val="36"/>
          <w:rtl/>
        </w:rPr>
        <w:t>التلبس</w:t>
      </w:r>
      <w:r w:rsidR="00E8128F">
        <w:rPr>
          <w:sz w:val="36"/>
          <w:szCs w:val="36"/>
          <w:rtl/>
        </w:rPr>
        <w:t xml:space="preserve"> </w:t>
      </w:r>
      <w:r w:rsidR="00DB3F86" w:rsidRPr="00FD211F">
        <w:rPr>
          <w:sz w:val="36"/>
          <w:szCs w:val="36"/>
          <w:rtl/>
        </w:rPr>
        <w:t>بالزنا</w:t>
      </w:r>
      <w:r w:rsidR="00E8128F">
        <w:rPr>
          <w:sz w:val="36"/>
          <w:szCs w:val="36"/>
          <w:rtl/>
        </w:rPr>
        <w:t xml:space="preserve"> </w:t>
      </w:r>
      <w:r w:rsidR="00DB3F86" w:rsidRPr="00FD211F">
        <w:rPr>
          <w:sz w:val="36"/>
          <w:szCs w:val="36"/>
          <w:rtl/>
        </w:rPr>
        <w:t>او</w:t>
      </w:r>
      <w:r w:rsidR="00E8128F">
        <w:rPr>
          <w:sz w:val="36"/>
          <w:szCs w:val="36"/>
          <w:rtl/>
        </w:rPr>
        <w:t xml:space="preserve"> </w:t>
      </w:r>
      <w:r w:rsidR="00DB3F86" w:rsidRPr="00FD211F">
        <w:rPr>
          <w:sz w:val="36"/>
          <w:szCs w:val="36"/>
          <w:rtl/>
        </w:rPr>
        <w:t>السرق</w:t>
      </w:r>
      <w:r w:rsidR="00EC7EDF" w:rsidRPr="00FD211F">
        <w:rPr>
          <w:sz w:val="36"/>
          <w:szCs w:val="36"/>
          <w:rtl/>
        </w:rPr>
        <w:t>ة</w:t>
      </w:r>
      <w:r w:rsidR="005428C4" w:rsidRPr="00FD211F">
        <w:rPr>
          <w:sz w:val="36"/>
          <w:szCs w:val="36"/>
          <w:rtl/>
        </w:rPr>
        <w:t>-</w:t>
      </w:r>
      <w:r w:rsidR="00E8128F">
        <w:rPr>
          <w:sz w:val="36"/>
          <w:szCs w:val="36"/>
          <w:rtl/>
        </w:rPr>
        <w:t xml:space="preserve"> </w:t>
      </w:r>
      <w:r w:rsidRPr="00FD211F">
        <w:rPr>
          <w:sz w:val="36"/>
          <w:szCs w:val="36"/>
          <w:rtl/>
        </w:rPr>
        <w:t>ليست</w:t>
      </w:r>
      <w:r w:rsidR="00E8128F">
        <w:rPr>
          <w:sz w:val="36"/>
          <w:szCs w:val="36"/>
          <w:rtl/>
        </w:rPr>
        <w:t xml:space="preserve"> </w:t>
      </w:r>
      <w:r w:rsidRPr="00FD211F">
        <w:rPr>
          <w:sz w:val="36"/>
          <w:szCs w:val="36"/>
          <w:rtl/>
        </w:rPr>
        <w:t>كثير</w:t>
      </w:r>
      <w:r w:rsidR="00EC7EDF" w:rsidRPr="00FD211F">
        <w:rPr>
          <w:sz w:val="36"/>
          <w:szCs w:val="36"/>
          <w:rtl/>
        </w:rPr>
        <w:t>ة</w:t>
      </w:r>
      <w:r w:rsidR="00A61BAE" w:rsidRPr="00FD211F">
        <w:rPr>
          <w:sz w:val="36"/>
          <w:szCs w:val="36"/>
          <w:rtl/>
        </w:rPr>
        <w:t>.</w:t>
      </w:r>
    </w:p>
    <w:p w14:paraId="41D0C960" w14:textId="77777777" w:rsidR="00792FC3" w:rsidRPr="00FD211F" w:rsidRDefault="00994AB1" w:rsidP="009C58C8">
      <w:pPr>
        <w:ind w:left="0" w:firstLine="227"/>
        <w:jc w:val="both"/>
        <w:rPr>
          <w:sz w:val="36"/>
          <w:szCs w:val="36"/>
          <w:rtl/>
        </w:rPr>
      </w:pPr>
      <w:r w:rsidRPr="00FD211F">
        <w:rPr>
          <w:sz w:val="36"/>
          <w:szCs w:val="36"/>
          <w:rtl/>
        </w:rPr>
        <w:t>واما</w:t>
      </w:r>
      <w:r w:rsidR="00E8128F">
        <w:rPr>
          <w:sz w:val="36"/>
          <w:szCs w:val="36"/>
          <w:rtl/>
        </w:rPr>
        <w:t xml:space="preserve"> </w:t>
      </w:r>
      <w:r w:rsidR="003334CB" w:rsidRPr="00FD211F">
        <w:rPr>
          <w:sz w:val="36"/>
          <w:szCs w:val="36"/>
          <w:rtl/>
        </w:rPr>
        <w:t>في</w:t>
      </w:r>
      <w:r w:rsidR="00E8128F">
        <w:rPr>
          <w:sz w:val="36"/>
          <w:szCs w:val="36"/>
          <w:rtl/>
        </w:rPr>
        <w:t xml:space="preserve"> </w:t>
      </w:r>
      <w:r w:rsidR="003334CB" w:rsidRPr="00FD211F">
        <w:rPr>
          <w:sz w:val="36"/>
          <w:szCs w:val="36"/>
          <w:rtl/>
        </w:rPr>
        <w:t>القضايا</w:t>
      </w:r>
      <w:r w:rsidR="00E8128F">
        <w:rPr>
          <w:sz w:val="36"/>
          <w:szCs w:val="36"/>
          <w:rtl/>
        </w:rPr>
        <w:t xml:space="preserve"> </w:t>
      </w:r>
      <w:r w:rsidR="00487ECF" w:rsidRPr="00FD211F">
        <w:rPr>
          <w:sz w:val="36"/>
          <w:szCs w:val="36"/>
          <w:rtl/>
        </w:rPr>
        <w:t>الحملي</w:t>
      </w:r>
      <w:r w:rsidR="00EC7EDF" w:rsidRPr="00FD211F">
        <w:rPr>
          <w:sz w:val="36"/>
          <w:szCs w:val="36"/>
          <w:rtl/>
        </w:rPr>
        <w:t>ة</w:t>
      </w:r>
      <w:r w:rsidR="00E8128F">
        <w:rPr>
          <w:sz w:val="36"/>
          <w:szCs w:val="36"/>
          <w:rtl/>
        </w:rPr>
        <w:t xml:space="preserve"> </w:t>
      </w:r>
      <w:r w:rsidR="00487ECF" w:rsidRPr="00FD211F">
        <w:rPr>
          <w:sz w:val="36"/>
          <w:szCs w:val="36"/>
          <w:rtl/>
        </w:rPr>
        <w:t>التي</w:t>
      </w:r>
      <w:r w:rsidR="00E8128F">
        <w:rPr>
          <w:sz w:val="36"/>
          <w:szCs w:val="36"/>
          <w:rtl/>
        </w:rPr>
        <w:t xml:space="preserve"> </w:t>
      </w:r>
      <w:r w:rsidR="00487ECF" w:rsidRPr="00FD211F">
        <w:rPr>
          <w:sz w:val="36"/>
          <w:szCs w:val="36"/>
          <w:rtl/>
        </w:rPr>
        <w:t>انعدم</w:t>
      </w:r>
      <w:r w:rsidR="00E8128F">
        <w:rPr>
          <w:sz w:val="36"/>
          <w:szCs w:val="36"/>
          <w:rtl/>
        </w:rPr>
        <w:t xml:space="preserve"> </w:t>
      </w:r>
      <w:r w:rsidR="005428C4" w:rsidRPr="00FD211F">
        <w:rPr>
          <w:sz w:val="36"/>
          <w:szCs w:val="36"/>
          <w:rtl/>
        </w:rPr>
        <w:t>الموضوع</w:t>
      </w:r>
      <w:r w:rsidR="00E8128F">
        <w:rPr>
          <w:sz w:val="36"/>
          <w:szCs w:val="36"/>
          <w:rtl/>
        </w:rPr>
        <w:t xml:space="preserve"> </w:t>
      </w:r>
      <w:r w:rsidR="005428C4" w:rsidRPr="00FD211F">
        <w:rPr>
          <w:sz w:val="36"/>
          <w:szCs w:val="36"/>
          <w:rtl/>
        </w:rPr>
        <w:t>فيها</w:t>
      </w:r>
      <w:r w:rsidR="00E8128F">
        <w:rPr>
          <w:sz w:val="36"/>
          <w:szCs w:val="36"/>
          <w:rtl/>
        </w:rPr>
        <w:t xml:space="preserve"> </w:t>
      </w:r>
      <w:r w:rsidR="005428C4" w:rsidRPr="00FD211F">
        <w:rPr>
          <w:sz w:val="36"/>
          <w:szCs w:val="36"/>
          <w:rtl/>
        </w:rPr>
        <w:t>فعلا</w:t>
      </w:r>
      <w:r w:rsidR="00E8128F">
        <w:rPr>
          <w:sz w:val="36"/>
          <w:szCs w:val="36"/>
          <w:rtl/>
        </w:rPr>
        <w:t xml:space="preserve"> </w:t>
      </w:r>
      <w:r w:rsidR="005428C4" w:rsidRPr="00FD211F">
        <w:rPr>
          <w:sz w:val="36"/>
          <w:szCs w:val="36"/>
          <w:rtl/>
        </w:rPr>
        <w:t>فالملاك</w:t>
      </w:r>
      <w:r w:rsidR="00E8128F">
        <w:rPr>
          <w:sz w:val="36"/>
          <w:szCs w:val="36"/>
          <w:rtl/>
        </w:rPr>
        <w:t xml:space="preserve"> </w:t>
      </w:r>
      <w:r w:rsidR="005428C4" w:rsidRPr="00FD211F">
        <w:rPr>
          <w:sz w:val="36"/>
          <w:szCs w:val="36"/>
          <w:rtl/>
        </w:rPr>
        <w:t>تلبس</w:t>
      </w:r>
      <w:r w:rsidR="00E8128F">
        <w:rPr>
          <w:sz w:val="36"/>
          <w:szCs w:val="36"/>
          <w:rtl/>
        </w:rPr>
        <w:t xml:space="preserve"> </w:t>
      </w:r>
      <w:r w:rsidR="005428C4" w:rsidRPr="00FD211F">
        <w:rPr>
          <w:sz w:val="36"/>
          <w:szCs w:val="36"/>
          <w:rtl/>
        </w:rPr>
        <w:t>الموضوع</w:t>
      </w:r>
      <w:r w:rsidR="00E8128F">
        <w:rPr>
          <w:sz w:val="36"/>
          <w:szCs w:val="36"/>
          <w:rtl/>
        </w:rPr>
        <w:t xml:space="preserve"> </w:t>
      </w:r>
      <w:r w:rsidR="003334CB" w:rsidRPr="00FD211F">
        <w:rPr>
          <w:sz w:val="36"/>
          <w:szCs w:val="36"/>
          <w:rtl/>
        </w:rPr>
        <w:t>حال</w:t>
      </w:r>
      <w:r w:rsidR="00E8128F">
        <w:rPr>
          <w:sz w:val="36"/>
          <w:szCs w:val="36"/>
          <w:rtl/>
        </w:rPr>
        <w:t xml:space="preserve"> </w:t>
      </w:r>
      <w:r w:rsidR="003334CB" w:rsidRPr="00FD211F">
        <w:rPr>
          <w:sz w:val="36"/>
          <w:szCs w:val="36"/>
          <w:rtl/>
        </w:rPr>
        <w:t>وجوده</w:t>
      </w:r>
      <w:r w:rsidR="00E8128F">
        <w:rPr>
          <w:sz w:val="36"/>
          <w:szCs w:val="36"/>
          <w:rtl/>
        </w:rPr>
        <w:t xml:space="preserve"> </w:t>
      </w:r>
      <w:r w:rsidR="00487ECF" w:rsidRPr="00FD211F">
        <w:rPr>
          <w:sz w:val="36"/>
          <w:szCs w:val="36"/>
          <w:rtl/>
        </w:rPr>
        <w:t>بال</w:t>
      </w:r>
      <w:r w:rsidR="0079493B" w:rsidRPr="00FD211F">
        <w:rPr>
          <w:sz w:val="36"/>
          <w:szCs w:val="36"/>
          <w:rtl/>
        </w:rPr>
        <w:t>مبدأ</w:t>
      </w:r>
      <w:r w:rsidR="00E8128F">
        <w:rPr>
          <w:sz w:val="36"/>
          <w:szCs w:val="36"/>
          <w:rtl/>
        </w:rPr>
        <w:t xml:space="preserve"> </w:t>
      </w:r>
      <w:r w:rsidR="00487ECF" w:rsidRPr="00FD211F">
        <w:rPr>
          <w:sz w:val="36"/>
          <w:szCs w:val="36"/>
          <w:rtl/>
        </w:rPr>
        <w:t>كقولنا</w:t>
      </w:r>
      <w:r w:rsidR="003334CB" w:rsidRPr="00FD211F">
        <w:rPr>
          <w:sz w:val="36"/>
          <w:szCs w:val="36"/>
          <w:rtl/>
        </w:rPr>
        <w:t>"</w:t>
      </w:r>
      <w:r w:rsidR="00E8128F">
        <w:rPr>
          <w:sz w:val="36"/>
          <w:szCs w:val="36"/>
          <w:rtl/>
        </w:rPr>
        <w:t xml:space="preserve"> </w:t>
      </w:r>
      <w:r w:rsidRPr="00FD211F">
        <w:rPr>
          <w:sz w:val="36"/>
          <w:szCs w:val="36"/>
          <w:rtl/>
        </w:rPr>
        <w:t>ال</w:t>
      </w:r>
      <w:r w:rsidR="00487ECF" w:rsidRPr="00FD211F">
        <w:rPr>
          <w:sz w:val="36"/>
          <w:szCs w:val="36"/>
          <w:rtl/>
        </w:rPr>
        <w:t>شيخ</w:t>
      </w:r>
      <w:r w:rsidR="00E8128F">
        <w:rPr>
          <w:sz w:val="36"/>
          <w:szCs w:val="36"/>
          <w:rtl/>
        </w:rPr>
        <w:t xml:space="preserve"> </w:t>
      </w:r>
      <w:r w:rsidR="00487ECF" w:rsidRPr="00FD211F">
        <w:rPr>
          <w:sz w:val="36"/>
          <w:szCs w:val="36"/>
          <w:rtl/>
        </w:rPr>
        <w:t>المفيد</w:t>
      </w:r>
      <w:r w:rsidR="00E8128F">
        <w:rPr>
          <w:sz w:val="36"/>
          <w:szCs w:val="36"/>
          <w:rtl/>
        </w:rPr>
        <w:t xml:space="preserve"> </w:t>
      </w:r>
      <w:r w:rsidR="00487ECF" w:rsidRPr="00FD211F">
        <w:rPr>
          <w:sz w:val="36"/>
          <w:szCs w:val="36"/>
          <w:rtl/>
        </w:rPr>
        <w:t>عالم</w:t>
      </w:r>
      <w:r w:rsidR="003334CB" w:rsidRPr="00FD211F">
        <w:rPr>
          <w:sz w:val="36"/>
          <w:szCs w:val="36"/>
          <w:rtl/>
        </w:rPr>
        <w:t>"</w:t>
      </w:r>
      <w:r w:rsidR="00603323" w:rsidRPr="00FD211F">
        <w:rPr>
          <w:sz w:val="36"/>
          <w:szCs w:val="36"/>
          <w:rtl/>
        </w:rPr>
        <w:t>،</w:t>
      </w:r>
      <w:r w:rsidR="00E8128F">
        <w:rPr>
          <w:sz w:val="36"/>
          <w:szCs w:val="36"/>
          <w:rtl/>
        </w:rPr>
        <w:t xml:space="preserve"> </w:t>
      </w:r>
      <w:r w:rsidR="00EC7EDF" w:rsidRPr="00FD211F">
        <w:rPr>
          <w:sz w:val="36"/>
          <w:szCs w:val="36"/>
          <w:rtl/>
        </w:rPr>
        <w:t>و</w:t>
      </w:r>
      <w:r w:rsidR="00487ECF" w:rsidRPr="00FD211F">
        <w:rPr>
          <w:sz w:val="36"/>
          <w:szCs w:val="36"/>
          <w:rtl/>
        </w:rPr>
        <w:t>القضايا</w:t>
      </w:r>
      <w:r w:rsidR="00E8128F">
        <w:rPr>
          <w:sz w:val="36"/>
          <w:szCs w:val="36"/>
          <w:rtl/>
        </w:rPr>
        <w:t xml:space="preserve"> </w:t>
      </w:r>
      <w:r w:rsidR="00487ECF" w:rsidRPr="00FD211F">
        <w:rPr>
          <w:sz w:val="36"/>
          <w:szCs w:val="36"/>
          <w:rtl/>
        </w:rPr>
        <w:t>الحملي</w:t>
      </w:r>
      <w:r w:rsidR="00EC7EDF" w:rsidRPr="00FD211F">
        <w:rPr>
          <w:sz w:val="36"/>
          <w:szCs w:val="36"/>
          <w:rtl/>
        </w:rPr>
        <w:t>ة</w:t>
      </w:r>
      <w:r w:rsidR="00E8128F">
        <w:rPr>
          <w:sz w:val="36"/>
          <w:szCs w:val="36"/>
          <w:rtl/>
        </w:rPr>
        <w:t xml:space="preserve"> </w:t>
      </w:r>
      <w:r w:rsidR="00487ECF" w:rsidRPr="00FD211F">
        <w:rPr>
          <w:sz w:val="36"/>
          <w:szCs w:val="36"/>
          <w:rtl/>
        </w:rPr>
        <w:t>التي</w:t>
      </w:r>
      <w:r w:rsidR="00E8128F">
        <w:rPr>
          <w:sz w:val="36"/>
          <w:szCs w:val="36"/>
          <w:rtl/>
        </w:rPr>
        <w:t xml:space="preserve"> </w:t>
      </w:r>
      <w:r w:rsidR="00487ECF" w:rsidRPr="00FD211F">
        <w:rPr>
          <w:sz w:val="36"/>
          <w:szCs w:val="36"/>
          <w:rtl/>
        </w:rPr>
        <w:t>فرض</w:t>
      </w:r>
      <w:r w:rsidR="00E8128F">
        <w:rPr>
          <w:sz w:val="36"/>
          <w:szCs w:val="36"/>
          <w:rtl/>
        </w:rPr>
        <w:t xml:space="preserve"> </w:t>
      </w:r>
      <w:r w:rsidR="00487ECF" w:rsidRPr="00FD211F">
        <w:rPr>
          <w:sz w:val="36"/>
          <w:szCs w:val="36"/>
          <w:rtl/>
        </w:rPr>
        <w:t>بقاء</w:t>
      </w:r>
      <w:r w:rsidR="00E8128F">
        <w:rPr>
          <w:sz w:val="36"/>
          <w:szCs w:val="36"/>
          <w:rtl/>
        </w:rPr>
        <w:t xml:space="preserve"> </w:t>
      </w:r>
      <w:r w:rsidR="00487ECF" w:rsidRPr="00FD211F">
        <w:rPr>
          <w:sz w:val="36"/>
          <w:szCs w:val="36"/>
          <w:rtl/>
        </w:rPr>
        <w:t>الموضوع</w:t>
      </w:r>
      <w:r w:rsidR="00E8128F">
        <w:rPr>
          <w:sz w:val="36"/>
          <w:szCs w:val="36"/>
          <w:rtl/>
        </w:rPr>
        <w:t xml:space="preserve"> </w:t>
      </w:r>
      <w:r w:rsidR="00487ECF" w:rsidRPr="00FD211F">
        <w:rPr>
          <w:sz w:val="36"/>
          <w:szCs w:val="36"/>
          <w:rtl/>
        </w:rPr>
        <w:t>فيها</w:t>
      </w:r>
      <w:r w:rsidR="00E8128F">
        <w:rPr>
          <w:sz w:val="36"/>
          <w:szCs w:val="36"/>
          <w:rtl/>
        </w:rPr>
        <w:t xml:space="preserve"> </w:t>
      </w:r>
      <w:r w:rsidR="00487ECF" w:rsidRPr="00FD211F">
        <w:rPr>
          <w:sz w:val="36"/>
          <w:szCs w:val="36"/>
          <w:rtl/>
        </w:rPr>
        <w:t>فعلا</w:t>
      </w:r>
      <w:r w:rsidR="00E8128F">
        <w:rPr>
          <w:sz w:val="36"/>
          <w:szCs w:val="36"/>
          <w:rtl/>
        </w:rPr>
        <w:t xml:space="preserve"> </w:t>
      </w:r>
      <w:r w:rsidR="00487ECF" w:rsidRPr="00FD211F">
        <w:rPr>
          <w:sz w:val="36"/>
          <w:szCs w:val="36"/>
          <w:rtl/>
        </w:rPr>
        <w:t>فليست</w:t>
      </w:r>
      <w:r w:rsidR="00E8128F">
        <w:rPr>
          <w:sz w:val="36"/>
          <w:szCs w:val="36"/>
          <w:rtl/>
        </w:rPr>
        <w:t xml:space="preserve"> </w:t>
      </w:r>
      <w:r w:rsidR="00487ECF" w:rsidRPr="00FD211F">
        <w:rPr>
          <w:sz w:val="36"/>
          <w:szCs w:val="36"/>
          <w:rtl/>
        </w:rPr>
        <w:t>بتلك</w:t>
      </w:r>
      <w:r w:rsidR="00E8128F">
        <w:rPr>
          <w:sz w:val="36"/>
          <w:szCs w:val="36"/>
          <w:rtl/>
        </w:rPr>
        <w:t xml:space="preserve"> </w:t>
      </w:r>
      <w:r w:rsidR="00487ECF" w:rsidRPr="00FD211F">
        <w:rPr>
          <w:sz w:val="36"/>
          <w:szCs w:val="36"/>
          <w:rtl/>
        </w:rPr>
        <w:t>الكثر</w:t>
      </w:r>
      <w:r w:rsidR="00EC7EDF" w:rsidRPr="00FD211F">
        <w:rPr>
          <w:sz w:val="36"/>
          <w:szCs w:val="36"/>
          <w:rtl/>
        </w:rPr>
        <w:t>ة</w:t>
      </w:r>
      <w:r w:rsidR="00E8128F">
        <w:rPr>
          <w:sz w:val="36"/>
          <w:szCs w:val="36"/>
          <w:rtl/>
        </w:rPr>
        <w:t xml:space="preserve"> </w:t>
      </w:r>
      <w:r w:rsidR="00487ECF" w:rsidRPr="00FD211F">
        <w:rPr>
          <w:sz w:val="36"/>
          <w:szCs w:val="36"/>
          <w:rtl/>
        </w:rPr>
        <w:t>فضلا</w:t>
      </w:r>
      <w:r w:rsidR="00E8128F">
        <w:rPr>
          <w:sz w:val="36"/>
          <w:szCs w:val="36"/>
          <w:rtl/>
        </w:rPr>
        <w:t xml:space="preserve"> </w:t>
      </w:r>
      <w:r w:rsidR="00487ECF" w:rsidRPr="00FD211F">
        <w:rPr>
          <w:sz w:val="36"/>
          <w:szCs w:val="36"/>
          <w:rtl/>
        </w:rPr>
        <w:t>عن</w:t>
      </w:r>
      <w:r w:rsidR="00E8128F">
        <w:rPr>
          <w:sz w:val="36"/>
          <w:szCs w:val="36"/>
          <w:rtl/>
        </w:rPr>
        <w:t xml:space="preserve"> </w:t>
      </w:r>
      <w:r w:rsidR="00487ECF" w:rsidRPr="00FD211F">
        <w:rPr>
          <w:sz w:val="36"/>
          <w:szCs w:val="36"/>
          <w:rtl/>
        </w:rPr>
        <w:t>كثر</w:t>
      </w:r>
      <w:r w:rsidR="00EC7EDF" w:rsidRPr="00FD211F">
        <w:rPr>
          <w:sz w:val="36"/>
          <w:szCs w:val="36"/>
          <w:rtl/>
        </w:rPr>
        <w:t>ة</w:t>
      </w:r>
      <w:r w:rsidR="00E8128F">
        <w:rPr>
          <w:sz w:val="36"/>
          <w:szCs w:val="36"/>
          <w:rtl/>
        </w:rPr>
        <w:t xml:space="preserve"> </w:t>
      </w:r>
      <w:r w:rsidR="00487ECF" w:rsidRPr="00FD211F">
        <w:rPr>
          <w:sz w:val="36"/>
          <w:szCs w:val="36"/>
          <w:rtl/>
        </w:rPr>
        <w:t>الاستعمال</w:t>
      </w:r>
      <w:r w:rsidR="00E8128F">
        <w:rPr>
          <w:sz w:val="36"/>
          <w:szCs w:val="36"/>
          <w:rtl/>
        </w:rPr>
        <w:t xml:space="preserve"> </w:t>
      </w:r>
      <w:r w:rsidR="00487ECF" w:rsidRPr="00FD211F">
        <w:rPr>
          <w:sz w:val="36"/>
          <w:szCs w:val="36"/>
          <w:rtl/>
        </w:rPr>
        <w:t>فيها</w:t>
      </w:r>
      <w:r w:rsidR="00E8128F">
        <w:rPr>
          <w:sz w:val="36"/>
          <w:szCs w:val="36"/>
          <w:rtl/>
        </w:rPr>
        <w:t xml:space="preserve"> </w:t>
      </w:r>
      <w:r w:rsidR="00487ECF" w:rsidRPr="00FD211F">
        <w:rPr>
          <w:sz w:val="36"/>
          <w:szCs w:val="36"/>
          <w:rtl/>
        </w:rPr>
        <w:t>للاعم</w:t>
      </w:r>
      <w:r w:rsidR="009C58C8" w:rsidRPr="00FD211F">
        <w:rPr>
          <w:rStyle w:val="a6"/>
          <w:sz w:val="36"/>
          <w:szCs w:val="36"/>
          <w:rtl/>
        </w:rPr>
        <w:t>(</w:t>
      </w:r>
      <w:r w:rsidR="009C58C8" w:rsidRPr="00FD211F">
        <w:rPr>
          <w:rStyle w:val="a6"/>
          <w:sz w:val="36"/>
          <w:szCs w:val="36"/>
          <w:rtl/>
        </w:rPr>
        <w:footnoteReference w:id="554"/>
      </w:r>
      <w:r w:rsidR="009C58C8" w:rsidRPr="00FD211F">
        <w:rPr>
          <w:rStyle w:val="a6"/>
          <w:sz w:val="36"/>
          <w:szCs w:val="36"/>
          <w:rtl/>
        </w:rPr>
        <w:t>)</w:t>
      </w:r>
      <w:r w:rsidR="00487ECF" w:rsidRPr="00FD211F">
        <w:rPr>
          <w:sz w:val="36"/>
          <w:szCs w:val="36"/>
          <w:rtl/>
        </w:rPr>
        <w:t>.</w:t>
      </w:r>
    </w:p>
    <w:p w14:paraId="01CA3E7F" w14:textId="77777777" w:rsidR="00B710EC" w:rsidRPr="00FD211F" w:rsidRDefault="00B710EC" w:rsidP="009C58C8">
      <w:pPr>
        <w:ind w:left="0" w:firstLine="227"/>
        <w:jc w:val="both"/>
        <w:rPr>
          <w:sz w:val="36"/>
          <w:szCs w:val="36"/>
          <w:rtl/>
        </w:rPr>
      </w:pPr>
      <w:r w:rsidRPr="00FD211F">
        <w:rPr>
          <w:sz w:val="36"/>
          <w:szCs w:val="36"/>
          <w:rtl/>
        </w:rPr>
        <w:t>اقول</w:t>
      </w:r>
      <w:r w:rsidR="00113DD4" w:rsidRPr="00FD211F">
        <w:rPr>
          <w:sz w:val="36"/>
          <w:szCs w:val="36"/>
          <w:rtl/>
        </w:rPr>
        <w:t>:</w:t>
      </w:r>
      <w:r w:rsidR="00E8128F">
        <w:rPr>
          <w:sz w:val="36"/>
          <w:szCs w:val="36"/>
          <w:rtl/>
        </w:rPr>
        <w:t xml:space="preserve"> </w:t>
      </w:r>
      <w:r w:rsidR="00113DD4" w:rsidRPr="00FD211F">
        <w:rPr>
          <w:sz w:val="36"/>
          <w:szCs w:val="36"/>
          <w:rtl/>
        </w:rPr>
        <w:t>من</w:t>
      </w:r>
      <w:r w:rsidR="00E8128F">
        <w:rPr>
          <w:sz w:val="36"/>
          <w:szCs w:val="36"/>
          <w:rtl/>
        </w:rPr>
        <w:t xml:space="preserve"> </w:t>
      </w:r>
      <w:r w:rsidR="00113DD4" w:rsidRPr="00FD211F">
        <w:rPr>
          <w:sz w:val="36"/>
          <w:szCs w:val="36"/>
          <w:rtl/>
        </w:rPr>
        <w:t>المحتمل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صاحب</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Pr="00FD211F">
        <w:rPr>
          <w:sz w:val="36"/>
          <w:szCs w:val="36"/>
          <w:rtl/>
        </w:rPr>
        <w:t>لاحظ</w:t>
      </w:r>
      <w:r w:rsidR="00E8128F">
        <w:rPr>
          <w:sz w:val="36"/>
          <w:szCs w:val="36"/>
          <w:rtl/>
        </w:rPr>
        <w:t xml:space="preserve"> </w:t>
      </w:r>
      <w:r w:rsidRPr="00FD211F">
        <w:rPr>
          <w:sz w:val="36"/>
          <w:szCs w:val="36"/>
          <w:rtl/>
        </w:rPr>
        <w:t>موارد</w:t>
      </w:r>
      <w:r w:rsidR="00E8128F">
        <w:rPr>
          <w:sz w:val="36"/>
          <w:szCs w:val="36"/>
          <w:rtl/>
        </w:rPr>
        <w:t xml:space="preserve"> </w:t>
      </w:r>
      <w:r w:rsidRPr="00FD211F">
        <w:rPr>
          <w:sz w:val="36"/>
          <w:szCs w:val="36"/>
          <w:rtl/>
        </w:rPr>
        <w:t>حمل</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الفاعل</w:t>
      </w:r>
      <w:r w:rsidR="00E8128F">
        <w:rPr>
          <w:sz w:val="36"/>
          <w:szCs w:val="36"/>
          <w:rtl/>
        </w:rPr>
        <w:t xml:space="preserve"> </w:t>
      </w:r>
      <w:r w:rsidRPr="00FD211F">
        <w:rPr>
          <w:sz w:val="36"/>
          <w:szCs w:val="36"/>
          <w:rtl/>
        </w:rPr>
        <w:t>والمفعول</w:t>
      </w:r>
      <w:r w:rsidR="00E8128F">
        <w:rPr>
          <w:sz w:val="36"/>
          <w:szCs w:val="36"/>
          <w:rtl/>
        </w:rPr>
        <w:t xml:space="preserve"> </w:t>
      </w:r>
      <w:r w:rsidRPr="00FD211F">
        <w:rPr>
          <w:sz w:val="36"/>
          <w:szCs w:val="36"/>
          <w:rtl/>
        </w:rPr>
        <w:t>فيما</w:t>
      </w:r>
      <w:r w:rsidR="00E8128F">
        <w:rPr>
          <w:sz w:val="36"/>
          <w:szCs w:val="36"/>
          <w:rtl/>
        </w:rPr>
        <w:t xml:space="preserve"> </w:t>
      </w:r>
      <w:r w:rsidRPr="00FD211F">
        <w:rPr>
          <w:sz w:val="36"/>
          <w:szCs w:val="36"/>
          <w:rtl/>
        </w:rPr>
        <w:t>اذا</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آنيا</w:t>
      </w:r>
      <w:r w:rsidR="00E8128F">
        <w:rPr>
          <w:sz w:val="36"/>
          <w:szCs w:val="36"/>
          <w:rtl/>
        </w:rPr>
        <w:t xml:space="preserve"> </w:t>
      </w:r>
      <w:r w:rsidRPr="00FD211F">
        <w:rPr>
          <w:sz w:val="36"/>
          <w:szCs w:val="36"/>
          <w:rtl/>
        </w:rPr>
        <w:t>لابقاء</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ضارب</w:t>
      </w:r>
      <w:r w:rsidR="00E8128F">
        <w:rPr>
          <w:sz w:val="36"/>
          <w:szCs w:val="36"/>
          <w:rtl/>
        </w:rPr>
        <w:t xml:space="preserve"> </w:t>
      </w:r>
      <w:r w:rsidRPr="00FD211F">
        <w:rPr>
          <w:sz w:val="36"/>
          <w:szCs w:val="36"/>
          <w:rtl/>
        </w:rPr>
        <w:t>عمرو"</w:t>
      </w:r>
      <w:r w:rsidR="00E8128F">
        <w:rPr>
          <w:sz w:val="36"/>
          <w:szCs w:val="36"/>
          <w:rtl/>
        </w:rPr>
        <w:t xml:space="preserve"> </w:t>
      </w:r>
      <w:r w:rsidRPr="00FD211F">
        <w:rPr>
          <w:sz w:val="36"/>
          <w:szCs w:val="36"/>
          <w:rtl/>
        </w:rPr>
        <w:t>و"عمرو</w:t>
      </w:r>
      <w:r w:rsidR="00E8128F">
        <w:rPr>
          <w:sz w:val="36"/>
          <w:szCs w:val="36"/>
          <w:rtl/>
        </w:rPr>
        <w:t xml:space="preserve"> </w:t>
      </w:r>
      <w:r w:rsidRPr="00FD211F">
        <w:rPr>
          <w:sz w:val="36"/>
          <w:szCs w:val="36"/>
          <w:rtl/>
        </w:rPr>
        <w:t>مضروب</w:t>
      </w:r>
      <w:r w:rsidR="00E8128F">
        <w:rPr>
          <w:sz w:val="36"/>
          <w:szCs w:val="36"/>
          <w:rtl/>
        </w:rPr>
        <w:t xml:space="preserve"> </w:t>
      </w:r>
      <w:r w:rsidRPr="00FD211F">
        <w:rPr>
          <w:sz w:val="36"/>
          <w:szCs w:val="36"/>
          <w:rtl/>
        </w:rPr>
        <w:t>زيد"</w:t>
      </w:r>
      <w:r w:rsidR="00603323" w:rsidRPr="00FD211F">
        <w:rPr>
          <w:sz w:val="36"/>
          <w:szCs w:val="36"/>
          <w:rtl/>
        </w:rPr>
        <w:t>،</w:t>
      </w:r>
      <w:r w:rsidR="00E8128F">
        <w:rPr>
          <w:sz w:val="36"/>
          <w:szCs w:val="36"/>
          <w:rtl/>
        </w:rPr>
        <w:t xml:space="preserve"> </w:t>
      </w:r>
      <w:r w:rsidRPr="00FD211F">
        <w:rPr>
          <w:sz w:val="36"/>
          <w:szCs w:val="36"/>
          <w:rtl/>
        </w:rPr>
        <w:t>ولكن</w:t>
      </w:r>
      <w:r w:rsidR="00E8128F">
        <w:rPr>
          <w:sz w:val="36"/>
          <w:szCs w:val="36"/>
          <w:rtl/>
        </w:rPr>
        <w:t xml:space="preserve"> </w:t>
      </w:r>
      <w:r w:rsidRPr="00FD211F">
        <w:rPr>
          <w:sz w:val="36"/>
          <w:szCs w:val="36"/>
          <w:rtl/>
        </w:rPr>
        <w:t>المهم</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الاستعمالات</w:t>
      </w:r>
      <w:r w:rsidR="00E8128F">
        <w:rPr>
          <w:sz w:val="36"/>
          <w:szCs w:val="36"/>
          <w:rtl/>
        </w:rPr>
        <w:t xml:space="preserve"> </w:t>
      </w:r>
      <w:r w:rsidRPr="00FD211F">
        <w:rPr>
          <w:sz w:val="36"/>
          <w:szCs w:val="36"/>
          <w:rtl/>
        </w:rPr>
        <w:t>ليست</w:t>
      </w:r>
      <w:r w:rsidR="00E8128F">
        <w:rPr>
          <w:sz w:val="36"/>
          <w:szCs w:val="36"/>
          <w:rtl/>
        </w:rPr>
        <w:t xml:space="preserve"> </w:t>
      </w:r>
      <w:r w:rsidRPr="00FD211F">
        <w:rPr>
          <w:sz w:val="36"/>
          <w:szCs w:val="36"/>
          <w:rtl/>
        </w:rPr>
        <w:t>بتلك</w:t>
      </w:r>
      <w:r w:rsidR="00E8128F">
        <w:rPr>
          <w:sz w:val="36"/>
          <w:szCs w:val="36"/>
          <w:rtl/>
        </w:rPr>
        <w:t xml:space="preserve"> </w:t>
      </w:r>
      <w:r w:rsidRPr="00FD211F">
        <w:rPr>
          <w:sz w:val="36"/>
          <w:szCs w:val="36"/>
          <w:rtl/>
        </w:rPr>
        <w:t>المثاب</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الكثر</w:t>
      </w:r>
      <w:r w:rsidR="00EC7EDF" w:rsidRPr="00FD211F">
        <w:rPr>
          <w:sz w:val="36"/>
          <w:szCs w:val="36"/>
          <w:rtl/>
        </w:rPr>
        <w:t>ة</w:t>
      </w:r>
      <w:r w:rsidR="00A61BAE" w:rsidRPr="00FD211F">
        <w:rPr>
          <w:sz w:val="36"/>
          <w:szCs w:val="36"/>
          <w:rtl/>
        </w:rPr>
        <w:t>.</w:t>
      </w:r>
    </w:p>
    <w:p w14:paraId="46CC40B7" w14:textId="77777777" w:rsidR="00487ECF" w:rsidRPr="00FD211F" w:rsidRDefault="00B710EC" w:rsidP="009C58C8">
      <w:pPr>
        <w:ind w:left="0" w:firstLine="227"/>
        <w:jc w:val="both"/>
        <w:rPr>
          <w:sz w:val="36"/>
          <w:szCs w:val="36"/>
          <w:rtl/>
        </w:rPr>
      </w:pPr>
      <w:r w:rsidRPr="00FD211F">
        <w:rPr>
          <w:b/>
          <w:bCs/>
          <w:sz w:val="36"/>
          <w:szCs w:val="36"/>
          <w:rtl/>
        </w:rPr>
        <w:t>الثاني</w:t>
      </w:r>
      <w:r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00487ECF" w:rsidRPr="00FD211F">
        <w:rPr>
          <w:sz w:val="36"/>
          <w:szCs w:val="36"/>
          <w:rtl/>
        </w:rPr>
        <w:t>ارتكازي</w:t>
      </w:r>
      <w:r w:rsidR="00EC7EDF" w:rsidRPr="00FD211F">
        <w:rPr>
          <w:sz w:val="36"/>
          <w:szCs w:val="36"/>
          <w:rtl/>
        </w:rPr>
        <w:t>ة</w:t>
      </w:r>
      <w:r w:rsidR="00E8128F">
        <w:rPr>
          <w:sz w:val="36"/>
          <w:szCs w:val="36"/>
          <w:rtl/>
        </w:rPr>
        <w:t xml:space="preserve"> </w:t>
      </w:r>
      <w:r w:rsidR="00487ECF" w:rsidRPr="00FD211F">
        <w:rPr>
          <w:sz w:val="36"/>
          <w:szCs w:val="36"/>
          <w:rtl/>
        </w:rPr>
        <w:t>تضاد</w:t>
      </w:r>
      <w:r w:rsidR="00E8128F">
        <w:rPr>
          <w:sz w:val="36"/>
          <w:szCs w:val="36"/>
          <w:rtl/>
        </w:rPr>
        <w:t xml:space="preserve"> </w:t>
      </w:r>
      <w:r w:rsidR="00487ECF" w:rsidRPr="00FD211F">
        <w:rPr>
          <w:sz w:val="36"/>
          <w:szCs w:val="36"/>
          <w:rtl/>
        </w:rPr>
        <w:t>المشتقات</w:t>
      </w:r>
      <w:r w:rsidR="00E8128F">
        <w:rPr>
          <w:sz w:val="36"/>
          <w:szCs w:val="36"/>
          <w:rtl/>
        </w:rPr>
        <w:t xml:space="preserve"> </w:t>
      </w:r>
      <w:r w:rsidRPr="00FD211F">
        <w:rPr>
          <w:sz w:val="36"/>
          <w:szCs w:val="36"/>
          <w:rtl/>
        </w:rPr>
        <w:t>تكشف</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وضعها</w:t>
      </w:r>
      <w:r w:rsidR="00E8128F">
        <w:rPr>
          <w:sz w:val="36"/>
          <w:szCs w:val="36"/>
          <w:rtl/>
        </w:rPr>
        <w:t xml:space="preserve"> </w:t>
      </w:r>
      <w:r w:rsidRPr="00FD211F">
        <w:rPr>
          <w:sz w:val="36"/>
          <w:szCs w:val="36"/>
          <w:rtl/>
        </w:rPr>
        <w:t>لخصوص</w:t>
      </w:r>
      <w:r w:rsidR="00E8128F">
        <w:rPr>
          <w:sz w:val="36"/>
          <w:szCs w:val="36"/>
          <w:rtl/>
        </w:rPr>
        <w:t xml:space="preserve"> </w:t>
      </w:r>
      <w:r w:rsidRPr="00FD211F">
        <w:rPr>
          <w:sz w:val="36"/>
          <w:szCs w:val="36"/>
          <w:rtl/>
        </w:rPr>
        <w:t>المتلبس</w:t>
      </w:r>
      <w:r w:rsidR="00E8128F">
        <w:rPr>
          <w:sz w:val="36"/>
          <w:szCs w:val="36"/>
          <w:rtl/>
        </w:rPr>
        <w:t xml:space="preserve"> </w:t>
      </w:r>
      <w:r w:rsidRPr="00FD211F">
        <w:rPr>
          <w:sz w:val="36"/>
          <w:szCs w:val="36"/>
          <w:rtl/>
        </w:rPr>
        <w:t>بال</w:t>
      </w:r>
      <w:r w:rsidR="0079493B" w:rsidRPr="00FD211F">
        <w:rPr>
          <w:sz w:val="36"/>
          <w:szCs w:val="36"/>
          <w:rtl/>
        </w:rPr>
        <w:t>مبدأ</w:t>
      </w:r>
      <w:r w:rsidR="00603323" w:rsidRPr="00FD211F">
        <w:rPr>
          <w:sz w:val="36"/>
          <w:szCs w:val="36"/>
          <w:rtl/>
        </w:rPr>
        <w:t>،</w:t>
      </w:r>
      <w:r w:rsidR="00E8128F">
        <w:rPr>
          <w:sz w:val="36"/>
          <w:szCs w:val="36"/>
          <w:rtl/>
        </w:rPr>
        <w:t xml:space="preserve"> </w:t>
      </w:r>
      <w:r w:rsidR="00487ECF" w:rsidRPr="00FD211F">
        <w:rPr>
          <w:sz w:val="36"/>
          <w:szCs w:val="36"/>
          <w:rtl/>
        </w:rPr>
        <w:t>فاذا</w:t>
      </w:r>
      <w:r w:rsidR="00E8128F">
        <w:rPr>
          <w:sz w:val="36"/>
          <w:szCs w:val="36"/>
          <w:rtl/>
        </w:rPr>
        <w:t xml:space="preserve"> </w:t>
      </w:r>
      <w:r w:rsidR="00487ECF" w:rsidRPr="00FD211F">
        <w:rPr>
          <w:sz w:val="36"/>
          <w:szCs w:val="36"/>
          <w:rtl/>
        </w:rPr>
        <w:t>قيل</w:t>
      </w:r>
      <w:r w:rsidR="00E8128F">
        <w:rPr>
          <w:sz w:val="36"/>
          <w:szCs w:val="36"/>
          <w:rtl/>
        </w:rPr>
        <w:t xml:space="preserve"> </w:t>
      </w:r>
      <w:r w:rsidR="00487ECF" w:rsidRPr="00FD211F">
        <w:rPr>
          <w:sz w:val="36"/>
          <w:szCs w:val="36"/>
          <w:rtl/>
        </w:rPr>
        <w:t>زيد</w:t>
      </w:r>
      <w:r w:rsidR="00E8128F">
        <w:rPr>
          <w:sz w:val="36"/>
          <w:szCs w:val="36"/>
          <w:rtl/>
        </w:rPr>
        <w:t xml:space="preserve"> </w:t>
      </w:r>
      <w:r w:rsidR="00487ECF" w:rsidRPr="00FD211F">
        <w:rPr>
          <w:sz w:val="36"/>
          <w:szCs w:val="36"/>
          <w:rtl/>
        </w:rPr>
        <w:t>عالم</w:t>
      </w:r>
      <w:r w:rsidR="00E8128F">
        <w:rPr>
          <w:sz w:val="36"/>
          <w:szCs w:val="36"/>
          <w:rtl/>
        </w:rPr>
        <w:t xml:space="preserve"> </w:t>
      </w:r>
      <w:r w:rsidR="00487ECF" w:rsidRPr="00FD211F">
        <w:rPr>
          <w:sz w:val="36"/>
          <w:szCs w:val="36"/>
          <w:rtl/>
        </w:rPr>
        <w:t>وجاهل</w:t>
      </w:r>
      <w:r w:rsidR="00E8128F">
        <w:rPr>
          <w:sz w:val="36"/>
          <w:szCs w:val="36"/>
          <w:rtl/>
        </w:rPr>
        <w:t xml:space="preserve"> </w:t>
      </w:r>
      <w:r w:rsidR="00487ECF" w:rsidRPr="00FD211F">
        <w:rPr>
          <w:sz w:val="36"/>
          <w:szCs w:val="36"/>
          <w:rtl/>
        </w:rPr>
        <w:t>في</w:t>
      </w:r>
      <w:r w:rsidR="00E8128F">
        <w:rPr>
          <w:sz w:val="36"/>
          <w:szCs w:val="36"/>
          <w:rtl/>
        </w:rPr>
        <w:t xml:space="preserve"> </w:t>
      </w:r>
      <w:r w:rsidR="00487ECF" w:rsidRPr="00FD211F">
        <w:rPr>
          <w:sz w:val="36"/>
          <w:szCs w:val="36"/>
          <w:rtl/>
        </w:rPr>
        <w:t>آن</w:t>
      </w:r>
      <w:r w:rsidR="00E8128F">
        <w:rPr>
          <w:sz w:val="36"/>
          <w:szCs w:val="36"/>
          <w:rtl/>
        </w:rPr>
        <w:t xml:space="preserve"> </w:t>
      </w:r>
      <w:r w:rsidR="00487ECF" w:rsidRPr="00FD211F">
        <w:rPr>
          <w:sz w:val="36"/>
          <w:szCs w:val="36"/>
          <w:rtl/>
        </w:rPr>
        <w:t>واحد</w:t>
      </w:r>
      <w:r w:rsidR="00E8128F">
        <w:rPr>
          <w:sz w:val="36"/>
          <w:szCs w:val="36"/>
          <w:rtl/>
        </w:rPr>
        <w:t xml:space="preserve"> </w:t>
      </w:r>
      <w:r w:rsidR="00487ECF" w:rsidRPr="00FD211F">
        <w:rPr>
          <w:sz w:val="36"/>
          <w:szCs w:val="36"/>
          <w:rtl/>
        </w:rPr>
        <w:t>كان</w:t>
      </w:r>
      <w:r w:rsidR="00E8128F">
        <w:rPr>
          <w:sz w:val="36"/>
          <w:szCs w:val="36"/>
          <w:rtl/>
        </w:rPr>
        <w:t xml:space="preserve"> </w:t>
      </w:r>
      <w:r w:rsidR="00487ECF" w:rsidRPr="00FD211F">
        <w:rPr>
          <w:sz w:val="36"/>
          <w:szCs w:val="36"/>
          <w:rtl/>
        </w:rPr>
        <w:t>متضادا</w:t>
      </w:r>
      <w:r w:rsidR="00E8128F">
        <w:rPr>
          <w:sz w:val="36"/>
          <w:szCs w:val="36"/>
          <w:rtl/>
        </w:rPr>
        <w:t xml:space="preserve"> </w:t>
      </w:r>
      <w:r w:rsidR="00487ECF" w:rsidRPr="00FD211F">
        <w:rPr>
          <w:sz w:val="36"/>
          <w:szCs w:val="36"/>
          <w:rtl/>
        </w:rPr>
        <w:t>عرفا</w:t>
      </w:r>
      <w:r w:rsidR="00603323" w:rsidRPr="00FD211F">
        <w:rPr>
          <w:sz w:val="36"/>
          <w:szCs w:val="36"/>
          <w:rtl/>
        </w:rPr>
        <w:t>،</w:t>
      </w:r>
      <w:r w:rsidR="00E8128F">
        <w:rPr>
          <w:sz w:val="36"/>
          <w:szCs w:val="36"/>
          <w:rtl/>
        </w:rPr>
        <w:t xml:space="preserve"> </w:t>
      </w:r>
      <w:r w:rsidR="00487ECF" w:rsidRPr="00FD211F">
        <w:rPr>
          <w:sz w:val="36"/>
          <w:szCs w:val="36"/>
          <w:rtl/>
        </w:rPr>
        <w:t>وما</w:t>
      </w:r>
      <w:r w:rsidR="00E8128F">
        <w:rPr>
          <w:sz w:val="36"/>
          <w:szCs w:val="36"/>
          <w:rtl/>
        </w:rPr>
        <w:t xml:space="preserve"> </w:t>
      </w:r>
      <w:r w:rsidR="00487ECF" w:rsidRPr="00FD211F">
        <w:rPr>
          <w:sz w:val="36"/>
          <w:szCs w:val="36"/>
          <w:rtl/>
        </w:rPr>
        <w:t>يقال</w:t>
      </w:r>
      <w:r w:rsidR="00E8128F">
        <w:rPr>
          <w:sz w:val="36"/>
          <w:szCs w:val="36"/>
          <w:rtl/>
        </w:rPr>
        <w:t xml:space="preserve"> </w:t>
      </w:r>
      <w:r w:rsidR="00487ECF" w:rsidRPr="00FD211F">
        <w:rPr>
          <w:sz w:val="36"/>
          <w:szCs w:val="36"/>
          <w:rtl/>
        </w:rPr>
        <w:t>من</w:t>
      </w:r>
      <w:r w:rsidR="00E8128F">
        <w:rPr>
          <w:sz w:val="36"/>
          <w:szCs w:val="36"/>
          <w:rtl/>
        </w:rPr>
        <w:t xml:space="preserve"> </w:t>
      </w:r>
      <w:r w:rsidR="00487ECF" w:rsidRPr="00FD211F">
        <w:rPr>
          <w:sz w:val="36"/>
          <w:szCs w:val="36"/>
          <w:rtl/>
        </w:rPr>
        <w:t>ان</w:t>
      </w:r>
      <w:r w:rsidR="00E8128F">
        <w:rPr>
          <w:sz w:val="36"/>
          <w:szCs w:val="36"/>
          <w:rtl/>
        </w:rPr>
        <w:t xml:space="preserve"> </w:t>
      </w:r>
      <w:r w:rsidR="00487ECF" w:rsidRPr="00FD211F">
        <w:rPr>
          <w:sz w:val="36"/>
          <w:szCs w:val="36"/>
          <w:rtl/>
        </w:rPr>
        <w:t>الاعمي</w:t>
      </w:r>
      <w:r w:rsidR="00E8128F">
        <w:rPr>
          <w:sz w:val="36"/>
          <w:szCs w:val="36"/>
          <w:rtl/>
        </w:rPr>
        <w:t xml:space="preserve"> </w:t>
      </w:r>
      <w:r w:rsidR="00487ECF" w:rsidRPr="00FD211F">
        <w:rPr>
          <w:sz w:val="36"/>
          <w:szCs w:val="36"/>
          <w:rtl/>
        </w:rPr>
        <w:t>ينكر</w:t>
      </w:r>
      <w:r w:rsidR="00E8128F">
        <w:rPr>
          <w:sz w:val="36"/>
          <w:szCs w:val="36"/>
          <w:rtl/>
        </w:rPr>
        <w:t xml:space="preserve"> </w:t>
      </w:r>
      <w:r w:rsidR="00487ECF" w:rsidRPr="00FD211F">
        <w:rPr>
          <w:sz w:val="36"/>
          <w:szCs w:val="36"/>
          <w:rtl/>
        </w:rPr>
        <w:t>تضادهما</w:t>
      </w:r>
      <w:r w:rsidR="00E8128F">
        <w:rPr>
          <w:sz w:val="36"/>
          <w:szCs w:val="36"/>
          <w:rtl/>
        </w:rPr>
        <w:t xml:space="preserve"> </w:t>
      </w:r>
      <w:r w:rsidR="00487ECF" w:rsidRPr="00FD211F">
        <w:rPr>
          <w:sz w:val="36"/>
          <w:szCs w:val="36"/>
          <w:rtl/>
        </w:rPr>
        <w:t>لانه</w:t>
      </w:r>
      <w:r w:rsidR="00E8128F">
        <w:rPr>
          <w:sz w:val="36"/>
          <w:szCs w:val="36"/>
          <w:rtl/>
        </w:rPr>
        <w:t xml:space="preserve"> </w:t>
      </w:r>
      <w:r w:rsidR="00487ECF" w:rsidRPr="00FD211F">
        <w:rPr>
          <w:sz w:val="36"/>
          <w:szCs w:val="36"/>
          <w:rtl/>
        </w:rPr>
        <w:t>لاتضاد</w:t>
      </w:r>
      <w:r w:rsidR="00E8128F">
        <w:rPr>
          <w:sz w:val="36"/>
          <w:szCs w:val="36"/>
          <w:rtl/>
        </w:rPr>
        <w:t xml:space="preserve"> </w:t>
      </w:r>
      <w:r w:rsidR="00487ECF" w:rsidRPr="00FD211F">
        <w:rPr>
          <w:sz w:val="36"/>
          <w:szCs w:val="36"/>
          <w:rtl/>
        </w:rPr>
        <w:t>بين</w:t>
      </w:r>
      <w:r w:rsidR="00E8128F">
        <w:rPr>
          <w:sz w:val="36"/>
          <w:szCs w:val="36"/>
          <w:rtl/>
        </w:rPr>
        <w:t xml:space="preserve"> </w:t>
      </w:r>
      <w:r w:rsidR="00487ECF" w:rsidRPr="00FD211F">
        <w:rPr>
          <w:sz w:val="36"/>
          <w:szCs w:val="36"/>
          <w:rtl/>
        </w:rPr>
        <w:t>التلبس</w:t>
      </w:r>
      <w:r w:rsidR="00E8128F">
        <w:rPr>
          <w:sz w:val="36"/>
          <w:szCs w:val="36"/>
          <w:rtl/>
        </w:rPr>
        <w:t xml:space="preserve"> </w:t>
      </w:r>
      <w:r w:rsidR="00487ECF" w:rsidRPr="00FD211F">
        <w:rPr>
          <w:sz w:val="36"/>
          <w:szCs w:val="36"/>
          <w:rtl/>
        </w:rPr>
        <w:t>السابق</w:t>
      </w:r>
      <w:r w:rsidR="00E8128F">
        <w:rPr>
          <w:sz w:val="36"/>
          <w:szCs w:val="36"/>
          <w:rtl/>
        </w:rPr>
        <w:t xml:space="preserve"> </w:t>
      </w:r>
      <w:r w:rsidR="00487ECF" w:rsidRPr="00FD211F">
        <w:rPr>
          <w:sz w:val="36"/>
          <w:szCs w:val="36"/>
          <w:rtl/>
        </w:rPr>
        <w:t>بالعلم</w:t>
      </w:r>
      <w:r w:rsidR="00E8128F">
        <w:rPr>
          <w:sz w:val="36"/>
          <w:szCs w:val="36"/>
          <w:rtl/>
        </w:rPr>
        <w:t xml:space="preserve"> </w:t>
      </w:r>
      <w:r w:rsidR="00487ECF" w:rsidRPr="00FD211F">
        <w:rPr>
          <w:sz w:val="36"/>
          <w:szCs w:val="36"/>
          <w:rtl/>
        </w:rPr>
        <w:t>و</w:t>
      </w:r>
      <w:r w:rsidRPr="00FD211F">
        <w:rPr>
          <w:sz w:val="36"/>
          <w:szCs w:val="36"/>
          <w:rtl/>
        </w:rPr>
        <w:t>التلبس</w:t>
      </w:r>
      <w:r w:rsidR="00E8128F">
        <w:rPr>
          <w:sz w:val="36"/>
          <w:szCs w:val="36"/>
          <w:rtl/>
        </w:rPr>
        <w:t xml:space="preserve"> </w:t>
      </w:r>
      <w:r w:rsidRPr="00FD211F">
        <w:rPr>
          <w:sz w:val="36"/>
          <w:szCs w:val="36"/>
          <w:rtl/>
        </w:rPr>
        <w:t>الفعلي</w:t>
      </w:r>
      <w:r w:rsidR="00E8128F">
        <w:rPr>
          <w:sz w:val="36"/>
          <w:szCs w:val="36"/>
          <w:rtl/>
        </w:rPr>
        <w:t xml:space="preserve"> </w:t>
      </w:r>
      <w:r w:rsidRPr="00FD211F">
        <w:rPr>
          <w:sz w:val="36"/>
          <w:szCs w:val="36"/>
          <w:rtl/>
        </w:rPr>
        <w:t>ب</w:t>
      </w:r>
      <w:r w:rsidR="00487ECF" w:rsidRPr="00FD211F">
        <w:rPr>
          <w:sz w:val="36"/>
          <w:szCs w:val="36"/>
          <w:rtl/>
        </w:rPr>
        <w:t>الجهل</w:t>
      </w:r>
      <w:r w:rsidR="00E8128F">
        <w:rPr>
          <w:sz w:val="36"/>
          <w:szCs w:val="36"/>
          <w:rtl/>
        </w:rPr>
        <w:t xml:space="preserve"> </w:t>
      </w:r>
      <w:r w:rsidR="00487ECF" w:rsidRPr="00FD211F">
        <w:rPr>
          <w:sz w:val="36"/>
          <w:szCs w:val="36"/>
          <w:rtl/>
        </w:rPr>
        <w:t>فغير</w:t>
      </w:r>
      <w:r w:rsidR="00E8128F">
        <w:rPr>
          <w:sz w:val="36"/>
          <w:szCs w:val="36"/>
          <w:rtl/>
        </w:rPr>
        <w:t xml:space="preserve"> </w:t>
      </w:r>
      <w:r w:rsidR="00487ECF" w:rsidRPr="00FD211F">
        <w:rPr>
          <w:sz w:val="36"/>
          <w:szCs w:val="36"/>
          <w:rtl/>
        </w:rPr>
        <w:t>متجه</w:t>
      </w:r>
      <w:r w:rsidR="00603323" w:rsidRPr="00FD211F">
        <w:rPr>
          <w:sz w:val="36"/>
          <w:szCs w:val="36"/>
          <w:rtl/>
        </w:rPr>
        <w:t>،</w:t>
      </w:r>
      <w:r w:rsidR="00E8128F">
        <w:rPr>
          <w:sz w:val="36"/>
          <w:szCs w:val="36"/>
          <w:rtl/>
        </w:rPr>
        <w:t xml:space="preserve"> </w:t>
      </w:r>
      <w:r w:rsidR="00487ECF" w:rsidRPr="00FD211F">
        <w:rPr>
          <w:sz w:val="36"/>
          <w:szCs w:val="36"/>
          <w:rtl/>
        </w:rPr>
        <w:t>لان</w:t>
      </w:r>
      <w:r w:rsidR="00E8128F">
        <w:rPr>
          <w:sz w:val="36"/>
          <w:szCs w:val="36"/>
          <w:rtl/>
        </w:rPr>
        <w:t xml:space="preserve"> </w:t>
      </w:r>
      <w:r w:rsidR="00487ECF" w:rsidRPr="00FD211F">
        <w:rPr>
          <w:sz w:val="36"/>
          <w:szCs w:val="36"/>
          <w:rtl/>
        </w:rPr>
        <w:t>المراد</w:t>
      </w:r>
      <w:r w:rsidR="00E8128F">
        <w:rPr>
          <w:sz w:val="36"/>
          <w:szCs w:val="36"/>
          <w:rtl/>
        </w:rPr>
        <w:t xml:space="preserve"> </w:t>
      </w:r>
      <w:r w:rsidR="00487ECF" w:rsidRPr="00FD211F">
        <w:rPr>
          <w:sz w:val="36"/>
          <w:szCs w:val="36"/>
          <w:rtl/>
        </w:rPr>
        <w:t>ارتكازي</w:t>
      </w:r>
      <w:r w:rsidR="00EC7EDF" w:rsidRPr="00FD211F">
        <w:rPr>
          <w:sz w:val="36"/>
          <w:szCs w:val="36"/>
          <w:rtl/>
        </w:rPr>
        <w:t>ة</w:t>
      </w:r>
      <w:r w:rsidR="00E8128F">
        <w:rPr>
          <w:sz w:val="36"/>
          <w:szCs w:val="36"/>
          <w:rtl/>
        </w:rPr>
        <w:t xml:space="preserve"> </w:t>
      </w:r>
      <w:r w:rsidR="00487ECF" w:rsidRPr="00FD211F">
        <w:rPr>
          <w:sz w:val="36"/>
          <w:szCs w:val="36"/>
          <w:rtl/>
        </w:rPr>
        <w:t>تضاد</w:t>
      </w:r>
      <w:r w:rsidR="00E8128F">
        <w:rPr>
          <w:sz w:val="36"/>
          <w:szCs w:val="36"/>
          <w:rtl/>
        </w:rPr>
        <w:t xml:space="preserve"> </w:t>
      </w:r>
      <w:r w:rsidR="00487ECF" w:rsidRPr="00FD211F">
        <w:rPr>
          <w:sz w:val="36"/>
          <w:szCs w:val="36"/>
          <w:rtl/>
        </w:rPr>
        <w:t>العالم</w:t>
      </w:r>
      <w:r w:rsidR="00E8128F">
        <w:rPr>
          <w:sz w:val="36"/>
          <w:szCs w:val="36"/>
          <w:rtl/>
        </w:rPr>
        <w:t xml:space="preserve"> </w:t>
      </w:r>
      <w:r w:rsidR="00487ECF" w:rsidRPr="00FD211F">
        <w:rPr>
          <w:sz w:val="36"/>
          <w:szCs w:val="36"/>
          <w:rtl/>
        </w:rPr>
        <w:t>والجاهل</w:t>
      </w:r>
      <w:r w:rsidR="00E8128F">
        <w:rPr>
          <w:sz w:val="36"/>
          <w:szCs w:val="36"/>
          <w:rtl/>
        </w:rPr>
        <w:t xml:space="preserve"> </w:t>
      </w:r>
      <w:r w:rsidR="00487ECF" w:rsidRPr="00FD211F">
        <w:rPr>
          <w:sz w:val="36"/>
          <w:szCs w:val="36"/>
          <w:rtl/>
        </w:rPr>
        <w:t>بما</w:t>
      </w:r>
      <w:r w:rsidR="00E8128F">
        <w:rPr>
          <w:sz w:val="36"/>
          <w:szCs w:val="36"/>
          <w:rtl/>
        </w:rPr>
        <w:t xml:space="preserve"> </w:t>
      </w:r>
      <w:r w:rsidR="00487ECF" w:rsidRPr="00FD211F">
        <w:rPr>
          <w:sz w:val="36"/>
          <w:szCs w:val="36"/>
          <w:rtl/>
        </w:rPr>
        <w:t>لهما</w:t>
      </w:r>
      <w:r w:rsidR="00E8128F">
        <w:rPr>
          <w:sz w:val="36"/>
          <w:szCs w:val="36"/>
          <w:rtl/>
        </w:rPr>
        <w:t xml:space="preserve"> </w:t>
      </w:r>
      <w:r w:rsidR="00487ECF" w:rsidRPr="00FD211F">
        <w:rPr>
          <w:sz w:val="36"/>
          <w:szCs w:val="36"/>
          <w:rtl/>
        </w:rPr>
        <w:t>من</w:t>
      </w:r>
      <w:r w:rsidR="00E8128F">
        <w:rPr>
          <w:sz w:val="36"/>
          <w:szCs w:val="36"/>
          <w:rtl/>
        </w:rPr>
        <w:t xml:space="preserve"> </w:t>
      </w:r>
      <w:r w:rsidR="00487ECF" w:rsidRPr="00FD211F">
        <w:rPr>
          <w:sz w:val="36"/>
          <w:szCs w:val="36"/>
          <w:rtl/>
        </w:rPr>
        <w:t>المعنى</w:t>
      </w:r>
      <w:r w:rsidR="00E8128F">
        <w:rPr>
          <w:sz w:val="36"/>
          <w:szCs w:val="36"/>
          <w:rtl/>
        </w:rPr>
        <w:t xml:space="preserve"> </w:t>
      </w:r>
      <w:r w:rsidRPr="00FD211F">
        <w:rPr>
          <w:sz w:val="36"/>
          <w:szCs w:val="36"/>
          <w:rtl/>
        </w:rPr>
        <w:t>المركوز</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الأذهان</w:t>
      </w:r>
      <w:r w:rsidR="00603323" w:rsidRPr="00FD211F">
        <w:rPr>
          <w:sz w:val="36"/>
          <w:szCs w:val="36"/>
          <w:rtl/>
        </w:rPr>
        <w:t>،</w:t>
      </w:r>
      <w:r w:rsidR="00E8128F">
        <w:rPr>
          <w:sz w:val="36"/>
          <w:szCs w:val="36"/>
          <w:rtl/>
        </w:rPr>
        <w:t xml:space="preserve"> </w:t>
      </w:r>
      <w:r w:rsidR="00487ECF" w:rsidRPr="00FD211F">
        <w:rPr>
          <w:sz w:val="36"/>
          <w:szCs w:val="36"/>
          <w:rtl/>
        </w:rPr>
        <w:t>فان</w:t>
      </w:r>
      <w:r w:rsidR="00E8128F">
        <w:rPr>
          <w:sz w:val="36"/>
          <w:szCs w:val="36"/>
          <w:rtl/>
        </w:rPr>
        <w:t xml:space="preserve"> </w:t>
      </w:r>
      <w:r w:rsidR="00487ECF" w:rsidRPr="00FD211F">
        <w:rPr>
          <w:sz w:val="36"/>
          <w:szCs w:val="36"/>
          <w:rtl/>
        </w:rPr>
        <w:t>الملازم</w:t>
      </w:r>
      <w:r w:rsidR="00EC7EDF" w:rsidRPr="00FD211F">
        <w:rPr>
          <w:sz w:val="36"/>
          <w:szCs w:val="36"/>
          <w:rtl/>
        </w:rPr>
        <w:t>ة</w:t>
      </w:r>
      <w:r w:rsidR="00E8128F">
        <w:rPr>
          <w:sz w:val="36"/>
          <w:szCs w:val="36"/>
          <w:rtl/>
        </w:rPr>
        <w:t xml:space="preserve"> </w:t>
      </w:r>
      <w:r w:rsidR="00487ECF" w:rsidRPr="00FD211F">
        <w:rPr>
          <w:sz w:val="36"/>
          <w:szCs w:val="36"/>
          <w:rtl/>
        </w:rPr>
        <w:t>الذهني</w:t>
      </w:r>
      <w:r w:rsidR="00EC7EDF" w:rsidRPr="00FD211F">
        <w:rPr>
          <w:sz w:val="36"/>
          <w:szCs w:val="36"/>
          <w:rtl/>
        </w:rPr>
        <w:t>ة</w:t>
      </w:r>
      <w:r w:rsidR="00E8128F">
        <w:rPr>
          <w:sz w:val="36"/>
          <w:szCs w:val="36"/>
          <w:rtl/>
        </w:rPr>
        <w:t xml:space="preserve"> </w:t>
      </w:r>
      <w:r w:rsidR="00487ECF" w:rsidRPr="00FD211F">
        <w:rPr>
          <w:sz w:val="36"/>
          <w:szCs w:val="36"/>
          <w:rtl/>
        </w:rPr>
        <w:t>بين</w:t>
      </w:r>
      <w:r w:rsidR="00E8128F">
        <w:rPr>
          <w:sz w:val="36"/>
          <w:szCs w:val="36"/>
          <w:rtl/>
        </w:rPr>
        <w:t xml:space="preserve"> </w:t>
      </w:r>
      <w:r w:rsidR="00487ECF" w:rsidRPr="00FD211F">
        <w:rPr>
          <w:sz w:val="36"/>
          <w:szCs w:val="36"/>
          <w:rtl/>
        </w:rPr>
        <w:t>المشتق</w:t>
      </w:r>
      <w:r w:rsidR="00E8128F">
        <w:rPr>
          <w:sz w:val="36"/>
          <w:szCs w:val="36"/>
          <w:rtl/>
        </w:rPr>
        <w:t xml:space="preserve"> </w:t>
      </w:r>
      <w:r w:rsidR="00487ECF" w:rsidRPr="00FD211F">
        <w:rPr>
          <w:sz w:val="36"/>
          <w:szCs w:val="36"/>
          <w:rtl/>
        </w:rPr>
        <w:t>ومعناه</w:t>
      </w:r>
      <w:r w:rsidR="00E8128F">
        <w:rPr>
          <w:sz w:val="36"/>
          <w:szCs w:val="36"/>
          <w:rtl/>
        </w:rPr>
        <w:t xml:space="preserve"> </w:t>
      </w:r>
      <w:r w:rsidR="00487ECF" w:rsidRPr="00FD211F">
        <w:rPr>
          <w:sz w:val="36"/>
          <w:szCs w:val="36"/>
          <w:rtl/>
        </w:rPr>
        <w:t>قد</w:t>
      </w:r>
      <w:r w:rsidR="00E8128F">
        <w:rPr>
          <w:sz w:val="36"/>
          <w:szCs w:val="36"/>
          <w:rtl/>
        </w:rPr>
        <w:t xml:space="preserve"> </w:t>
      </w:r>
      <w:r w:rsidR="00487ECF" w:rsidRPr="00FD211F">
        <w:rPr>
          <w:sz w:val="36"/>
          <w:szCs w:val="36"/>
          <w:rtl/>
        </w:rPr>
        <w:t>تكون</w:t>
      </w:r>
      <w:r w:rsidR="00E8128F">
        <w:rPr>
          <w:sz w:val="36"/>
          <w:szCs w:val="36"/>
          <w:rtl/>
        </w:rPr>
        <w:t xml:space="preserve"> </w:t>
      </w:r>
      <w:r w:rsidR="00487ECF" w:rsidRPr="00FD211F">
        <w:rPr>
          <w:sz w:val="36"/>
          <w:szCs w:val="36"/>
          <w:rtl/>
        </w:rPr>
        <w:t>فيها</w:t>
      </w:r>
      <w:r w:rsidR="00E8128F">
        <w:rPr>
          <w:sz w:val="36"/>
          <w:szCs w:val="36"/>
          <w:rtl/>
        </w:rPr>
        <w:t xml:space="preserve"> </w:t>
      </w:r>
      <w:r w:rsidR="00487ECF" w:rsidRPr="00FD211F">
        <w:rPr>
          <w:sz w:val="36"/>
          <w:szCs w:val="36"/>
          <w:rtl/>
        </w:rPr>
        <w:t>نحو</w:t>
      </w:r>
      <w:r w:rsidR="00E8128F">
        <w:rPr>
          <w:sz w:val="36"/>
          <w:szCs w:val="36"/>
          <w:rtl/>
        </w:rPr>
        <w:t xml:space="preserve"> </w:t>
      </w:r>
      <w:r w:rsidR="00487ECF" w:rsidRPr="00FD211F">
        <w:rPr>
          <w:sz w:val="36"/>
          <w:szCs w:val="36"/>
          <w:rtl/>
        </w:rPr>
        <w:t>خفاء</w:t>
      </w:r>
      <w:r w:rsidR="00E8128F">
        <w:rPr>
          <w:sz w:val="36"/>
          <w:szCs w:val="36"/>
          <w:rtl/>
        </w:rPr>
        <w:t xml:space="preserve"> </w:t>
      </w:r>
      <w:r w:rsidR="00487ECF" w:rsidRPr="00FD211F">
        <w:rPr>
          <w:sz w:val="36"/>
          <w:szCs w:val="36"/>
          <w:rtl/>
        </w:rPr>
        <w:t>لايتبادر</w:t>
      </w:r>
      <w:r w:rsidR="00E8128F">
        <w:rPr>
          <w:sz w:val="36"/>
          <w:szCs w:val="36"/>
          <w:rtl/>
        </w:rPr>
        <w:t xml:space="preserve"> </w:t>
      </w:r>
      <w:r w:rsidR="00487ECF" w:rsidRPr="00FD211F">
        <w:rPr>
          <w:sz w:val="36"/>
          <w:szCs w:val="36"/>
          <w:rtl/>
        </w:rPr>
        <w:t>معناه</w:t>
      </w:r>
      <w:r w:rsidR="00E8128F">
        <w:rPr>
          <w:sz w:val="36"/>
          <w:szCs w:val="36"/>
          <w:rtl/>
        </w:rPr>
        <w:t xml:space="preserve"> </w:t>
      </w:r>
      <w:r w:rsidR="00487ECF" w:rsidRPr="00FD211F">
        <w:rPr>
          <w:sz w:val="36"/>
          <w:szCs w:val="36"/>
          <w:rtl/>
        </w:rPr>
        <w:t>بحد</w:t>
      </w:r>
      <w:r w:rsidR="00E8128F">
        <w:rPr>
          <w:sz w:val="36"/>
          <w:szCs w:val="36"/>
          <w:rtl/>
        </w:rPr>
        <w:t xml:space="preserve"> </w:t>
      </w:r>
      <w:r w:rsidR="00487ECF" w:rsidRPr="00FD211F">
        <w:rPr>
          <w:sz w:val="36"/>
          <w:szCs w:val="36"/>
          <w:rtl/>
        </w:rPr>
        <w:t>نفسه</w:t>
      </w:r>
      <w:r w:rsidR="00E8128F">
        <w:rPr>
          <w:sz w:val="36"/>
          <w:szCs w:val="36"/>
          <w:rtl/>
        </w:rPr>
        <w:t xml:space="preserve"> </w:t>
      </w:r>
      <w:r w:rsidR="00487ECF" w:rsidRPr="00FD211F">
        <w:rPr>
          <w:sz w:val="36"/>
          <w:szCs w:val="36"/>
          <w:rtl/>
        </w:rPr>
        <w:t>فيتوصل</w:t>
      </w:r>
      <w:r w:rsidR="00E8128F">
        <w:rPr>
          <w:sz w:val="36"/>
          <w:szCs w:val="36"/>
          <w:rtl/>
        </w:rPr>
        <w:t xml:space="preserve"> </w:t>
      </w:r>
      <w:r w:rsidR="00487ECF" w:rsidRPr="00FD211F">
        <w:rPr>
          <w:sz w:val="36"/>
          <w:szCs w:val="36"/>
          <w:rtl/>
        </w:rPr>
        <w:t>الى</w:t>
      </w:r>
      <w:r w:rsidR="00E8128F">
        <w:rPr>
          <w:sz w:val="36"/>
          <w:szCs w:val="36"/>
          <w:rtl/>
        </w:rPr>
        <w:t xml:space="preserve"> </w:t>
      </w:r>
      <w:r w:rsidR="00487ECF" w:rsidRPr="00FD211F">
        <w:rPr>
          <w:sz w:val="36"/>
          <w:szCs w:val="36"/>
          <w:rtl/>
        </w:rPr>
        <w:t>مثل</w:t>
      </w:r>
      <w:r w:rsidR="00E8128F">
        <w:rPr>
          <w:sz w:val="36"/>
          <w:szCs w:val="36"/>
          <w:rtl/>
        </w:rPr>
        <w:t xml:space="preserve"> </w:t>
      </w:r>
      <w:r w:rsidR="00487ECF" w:rsidRPr="00FD211F">
        <w:rPr>
          <w:sz w:val="36"/>
          <w:szCs w:val="36"/>
          <w:rtl/>
        </w:rPr>
        <w:t>هذه</w:t>
      </w:r>
      <w:r w:rsidR="00E8128F">
        <w:rPr>
          <w:sz w:val="36"/>
          <w:szCs w:val="36"/>
          <w:rtl/>
        </w:rPr>
        <w:t xml:space="preserve"> </w:t>
      </w:r>
      <w:r w:rsidR="00487ECF" w:rsidRPr="00FD211F">
        <w:rPr>
          <w:sz w:val="36"/>
          <w:szCs w:val="36"/>
          <w:rtl/>
        </w:rPr>
        <w:t>الطريق</w:t>
      </w:r>
      <w:r w:rsidR="00EC7EDF" w:rsidRPr="00FD211F">
        <w:rPr>
          <w:sz w:val="36"/>
          <w:szCs w:val="36"/>
          <w:rtl/>
        </w:rPr>
        <w:t>ة</w:t>
      </w:r>
      <w:r w:rsidR="00A61BAE" w:rsidRPr="00FD211F">
        <w:rPr>
          <w:sz w:val="36"/>
          <w:szCs w:val="36"/>
          <w:rtl/>
        </w:rPr>
        <w:t>.</w:t>
      </w:r>
    </w:p>
    <w:p w14:paraId="24DB7743" w14:textId="77777777" w:rsidR="000C5BBA" w:rsidRPr="00FD211F" w:rsidRDefault="00CC20B8" w:rsidP="009C58C8">
      <w:pPr>
        <w:ind w:left="0" w:firstLine="227"/>
        <w:jc w:val="both"/>
        <w:rPr>
          <w:sz w:val="36"/>
          <w:szCs w:val="36"/>
          <w:rtl/>
        </w:rPr>
      </w:pPr>
      <w:r w:rsidRPr="00FD211F">
        <w:rPr>
          <w:b/>
          <w:bCs/>
          <w:sz w:val="36"/>
          <w:szCs w:val="36"/>
          <w:rtl/>
        </w:rPr>
        <w:t>الثالث</w:t>
      </w:r>
      <w:r w:rsidRPr="00FD211F">
        <w:rPr>
          <w:sz w:val="36"/>
          <w:szCs w:val="36"/>
          <w:rtl/>
        </w:rPr>
        <w:t>:</w:t>
      </w:r>
      <w:r w:rsidR="00E8128F">
        <w:rPr>
          <w:sz w:val="36"/>
          <w:szCs w:val="36"/>
          <w:rtl/>
        </w:rPr>
        <w:t xml:space="preserve"> </w:t>
      </w:r>
      <w:r w:rsidR="00487ECF" w:rsidRPr="00FD211F">
        <w:rPr>
          <w:sz w:val="36"/>
          <w:szCs w:val="36"/>
          <w:rtl/>
        </w:rPr>
        <w:t>صح</w:t>
      </w:r>
      <w:r w:rsidR="00EC7EDF" w:rsidRPr="00FD211F">
        <w:rPr>
          <w:sz w:val="36"/>
          <w:szCs w:val="36"/>
          <w:rtl/>
        </w:rPr>
        <w:t>ة</w:t>
      </w:r>
      <w:r w:rsidR="00E8128F">
        <w:rPr>
          <w:sz w:val="36"/>
          <w:szCs w:val="36"/>
          <w:rtl/>
        </w:rPr>
        <w:t xml:space="preserve"> </w:t>
      </w:r>
      <w:r w:rsidR="00487ECF" w:rsidRPr="00FD211F">
        <w:rPr>
          <w:sz w:val="36"/>
          <w:szCs w:val="36"/>
          <w:rtl/>
        </w:rPr>
        <w:t>سلب</w:t>
      </w:r>
      <w:r w:rsidR="00E8128F">
        <w:rPr>
          <w:sz w:val="36"/>
          <w:szCs w:val="36"/>
          <w:rtl/>
        </w:rPr>
        <w:t xml:space="preserve"> </w:t>
      </w:r>
      <w:r w:rsidR="00487ECF" w:rsidRPr="00FD211F">
        <w:rPr>
          <w:sz w:val="36"/>
          <w:szCs w:val="36"/>
          <w:rtl/>
        </w:rPr>
        <w:t>المشتق</w:t>
      </w:r>
      <w:r w:rsidR="00E8128F">
        <w:rPr>
          <w:sz w:val="36"/>
          <w:szCs w:val="36"/>
          <w:rtl/>
        </w:rPr>
        <w:t xml:space="preserve"> </w:t>
      </w:r>
      <w:r w:rsidR="00487ECF" w:rsidRPr="00FD211F">
        <w:rPr>
          <w:sz w:val="36"/>
          <w:szCs w:val="36"/>
          <w:rtl/>
        </w:rPr>
        <w:t>فعلا</w:t>
      </w:r>
      <w:r w:rsidR="00E8128F">
        <w:rPr>
          <w:sz w:val="36"/>
          <w:szCs w:val="36"/>
          <w:rtl/>
        </w:rPr>
        <w:t xml:space="preserve"> </w:t>
      </w:r>
      <w:r w:rsidR="00DB3F86" w:rsidRPr="00FD211F">
        <w:rPr>
          <w:sz w:val="36"/>
          <w:szCs w:val="36"/>
          <w:rtl/>
        </w:rPr>
        <w:t>بما</w:t>
      </w:r>
      <w:r w:rsidR="00E8128F">
        <w:rPr>
          <w:sz w:val="36"/>
          <w:szCs w:val="36"/>
          <w:rtl/>
        </w:rPr>
        <w:t xml:space="preserve"> </w:t>
      </w:r>
      <w:r w:rsidR="00DB3F86" w:rsidRPr="00FD211F">
        <w:rPr>
          <w:sz w:val="36"/>
          <w:szCs w:val="36"/>
          <w:rtl/>
        </w:rPr>
        <w:t>له</w:t>
      </w:r>
      <w:r w:rsidR="00E8128F">
        <w:rPr>
          <w:sz w:val="36"/>
          <w:szCs w:val="36"/>
          <w:rtl/>
        </w:rPr>
        <w:t xml:space="preserve"> </w:t>
      </w:r>
      <w:r w:rsidR="00DB3F86" w:rsidRPr="00FD211F">
        <w:rPr>
          <w:sz w:val="36"/>
          <w:szCs w:val="36"/>
          <w:rtl/>
        </w:rPr>
        <w:t>من</w:t>
      </w:r>
      <w:r w:rsidR="00E8128F">
        <w:rPr>
          <w:sz w:val="36"/>
          <w:szCs w:val="36"/>
          <w:rtl/>
        </w:rPr>
        <w:t xml:space="preserve"> </w:t>
      </w:r>
      <w:r w:rsidR="00DB3F86" w:rsidRPr="00FD211F">
        <w:rPr>
          <w:sz w:val="36"/>
          <w:szCs w:val="36"/>
          <w:rtl/>
        </w:rPr>
        <w:t>المعنى</w:t>
      </w:r>
      <w:r w:rsidR="00E8128F">
        <w:rPr>
          <w:sz w:val="36"/>
          <w:szCs w:val="36"/>
          <w:rtl/>
        </w:rPr>
        <w:t xml:space="preserve"> </w:t>
      </w:r>
      <w:r w:rsidR="00DB3F86" w:rsidRPr="00FD211F">
        <w:rPr>
          <w:sz w:val="36"/>
          <w:szCs w:val="36"/>
          <w:rtl/>
        </w:rPr>
        <w:t>المركوز</w:t>
      </w:r>
      <w:r w:rsidR="00E8128F">
        <w:rPr>
          <w:sz w:val="36"/>
          <w:szCs w:val="36"/>
          <w:rtl/>
        </w:rPr>
        <w:t xml:space="preserve"> </w:t>
      </w:r>
      <w:r w:rsidR="00487ECF" w:rsidRPr="00FD211F">
        <w:rPr>
          <w:sz w:val="36"/>
          <w:szCs w:val="36"/>
          <w:rtl/>
        </w:rPr>
        <w:t>عم</w:t>
      </w:r>
      <w:r w:rsidR="00DB3F86" w:rsidRPr="00FD211F">
        <w:rPr>
          <w:sz w:val="36"/>
          <w:szCs w:val="36"/>
          <w:rtl/>
        </w:rPr>
        <w:t>ا</w:t>
      </w:r>
      <w:r w:rsidR="00E8128F">
        <w:rPr>
          <w:sz w:val="36"/>
          <w:szCs w:val="36"/>
          <w:rtl/>
        </w:rPr>
        <w:t xml:space="preserve"> </w:t>
      </w:r>
      <w:r w:rsidR="00487ECF" w:rsidRPr="00FD211F">
        <w:rPr>
          <w:sz w:val="36"/>
          <w:szCs w:val="36"/>
          <w:rtl/>
        </w:rPr>
        <w:t>انقضى</w:t>
      </w:r>
      <w:r w:rsidR="00E8128F">
        <w:rPr>
          <w:sz w:val="36"/>
          <w:szCs w:val="36"/>
          <w:rtl/>
        </w:rPr>
        <w:t xml:space="preserve"> </w:t>
      </w:r>
      <w:r w:rsidR="00487ECF" w:rsidRPr="00FD211F">
        <w:rPr>
          <w:sz w:val="36"/>
          <w:szCs w:val="36"/>
          <w:rtl/>
        </w:rPr>
        <w:t>عنه</w:t>
      </w:r>
      <w:r w:rsidR="00E8128F">
        <w:rPr>
          <w:sz w:val="36"/>
          <w:szCs w:val="36"/>
          <w:rtl/>
        </w:rPr>
        <w:t xml:space="preserve"> </w:t>
      </w:r>
      <w:r w:rsidR="00487ECF" w:rsidRPr="00FD211F">
        <w:rPr>
          <w:sz w:val="36"/>
          <w:szCs w:val="36"/>
          <w:rtl/>
        </w:rPr>
        <w:t>ال</w:t>
      </w:r>
      <w:r w:rsidR="0079493B" w:rsidRPr="00FD211F">
        <w:rPr>
          <w:sz w:val="36"/>
          <w:szCs w:val="36"/>
          <w:rtl/>
        </w:rPr>
        <w:t>مبدأ</w:t>
      </w:r>
      <w:r w:rsidR="00E8128F">
        <w:rPr>
          <w:sz w:val="36"/>
          <w:szCs w:val="36"/>
          <w:rtl/>
        </w:rPr>
        <w:t xml:space="preserve"> </w:t>
      </w:r>
      <w:r w:rsidR="00487ECF" w:rsidRPr="00FD211F">
        <w:rPr>
          <w:sz w:val="36"/>
          <w:szCs w:val="36"/>
          <w:rtl/>
        </w:rPr>
        <w:t>عرفا</w:t>
      </w:r>
      <w:r w:rsidR="00E8128F">
        <w:rPr>
          <w:sz w:val="36"/>
          <w:szCs w:val="36"/>
          <w:rtl/>
        </w:rPr>
        <w:t xml:space="preserve"> </w:t>
      </w:r>
      <w:r w:rsidR="00487ECF" w:rsidRPr="00FD211F">
        <w:rPr>
          <w:sz w:val="36"/>
          <w:szCs w:val="36"/>
          <w:rtl/>
        </w:rPr>
        <w:t>وقد</w:t>
      </w:r>
      <w:r w:rsidR="00E8128F">
        <w:rPr>
          <w:sz w:val="36"/>
          <w:szCs w:val="36"/>
          <w:rtl/>
        </w:rPr>
        <w:t xml:space="preserve"> </w:t>
      </w:r>
      <w:r w:rsidR="00487ECF" w:rsidRPr="00FD211F">
        <w:rPr>
          <w:sz w:val="36"/>
          <w:szCs w:val="36"/>
          <w:rtl/>
        </w:rPr>
        <w:t>مر</w:t>
      </w:r>
      <w:r w:rsidR="00E8128F">
        <w:rPr>
          <w:sz w:val="36"/>
          <w:szCs w:val="36"/>
          <w:rtl/>
        </w:rPr>
        <w:t xml:space="preserve"> </w:t>
      </w:r>
      <w:r w:rsidR="00487ECF" w:rsidRPr="00FD211F">
        <w:rPr>
          <w:sz w:val="36"/>
          <w:szCs w:val="36"/>
          <w:rtl/>
        </w:rPr>
        <w:t>صح</w:t>
      </w:r>
      <w:r w:rsidR="00EC7EDF" w:rsidRPr="00FD211F">
        <w:rPr>
          <w:sz w:val="36"/>
          <w:szCs w:val="36"/>
          <w:rtl/>
        </w:rPr>
        <w:t>ة</w:t>
      </w:r>
      <w:r w:rsidR="00E8128F">
        <w:rPr>
          <w:sz w:val="36"/>
          <w:szCs w:val="36"/>
          <w:rtl/>
        </w:rPr>
        <w:t xml:space="preserve"> </w:t>
      </w:r>
      <w:r w:rsidR="00487ECF" w:rsidRPr="00FD211F">
        <w:rPr>
          <w:sz w:val="36"/>
          <w:szCs w:val="36"/>
          <w:rtl/>
        </w:rPr>
        <w:t>جعله</w:t>
      </w:r>
      <w:r w:rsidR="00E8128F">
        <w:rPr>
          <w:sz w:val="36"/>
          <w:szCs w:val="36"/>
          <w:rtl/>
        </w:rPr>
        <w:t xml:space="preserve"> </w:t>
      </w:r>
      <w:r w:rsidR="00487ECF" w:rsidRPr="00FD211F">
        <w:rPr>
          <w:sz w:val="36"/>
          <w:szCs w:val="36"/>
          <w:rtl/>
        </w:rPr>
        <w:t>علام</w:t>
      </w:r>
      <w:r w:rsidR="00EC7EDF" w:rsidRPr="00FD211F">
        <w:rPr>
          <w:sz w:val="36"/>
          <w:szCs w:val="36"/>
          <w:rtl/>
        </w:rPr>
        <w:t>ة</w:t>
      </w:r>
      <w:r w:rsidR="00E8128F">
        <w:rPr>
          <w:sz w:val="36"/>
          <w:szCs w:val="36"/>
          <w:rtl/>
        </w:rPr>
        <w:t xml:space="preserve"> </w:t>
      </w:r>
      <w:r w:rsidR="00487ECF" w:rsidRPr="00FD211F">
        <w:rPr>
          <w:sz w:val="36"/>
          <w:szCs w:val="36"/>
          <w:rtl/>
        </w:rPr>
        <w:t>لكشف</w:t>
      </w:r>
      <w:r w:rsidR="00E8128F">
        <w:rPr>
          <w:sz w:val="36"/>
          <w:szCs w:val="36"/>
          <w:rtl/>
        </w:rPr>
        <w:t xml:space="preserve"> </w:t>
      </w:r>
      <w:r w:rsidR="00487ECF" w:rsidRPr="00FD211F">
        <w:rPr>
          <w:sz w:val="36"/>
          <w:szCs w:val="36"/>
          <w:rtl/>
        </w:rPr>
        <w:t>الحقيق</w:t>
      </w:r>
      <w:r w:rsidR="00EC7EDF" w:rsidRPr="00FD211F">
        <w:rPr>
          <w:sz w:val="36"/>
          <w:szCs w:val="36"/>
          <w:rtl/>
        </w:rPr>
        <w:t>ة</w:t>
      </w:r>
      <w:r w:rsidR="00A61BAE" w:rsidRPr="00FD211F">
        <w:rPr>
          <w:sz w:val="36"/>
          <w:szCs w:val="36"/>
          <w:rtl/>
        </w:rPr>
        <w:t>.</w:t>
      </w:r>
    </w:p>
    <w:p w14:paraId="127B1A76" w14:textId="77777777" w:rsidR="00113DD4" w:rsidRPr="00FD211F" w:rsidRDefault="00487ECF" w:rsidP="009C58C8">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اورد</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هنا</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اريد</w:t>
      </w:r>
      <w:r w:rsidR="00E8128F">
        <w:rPr>
          <w:sz w:val="36"/>
          <w:szCs w:val="36"/>
          <w:rtl/>
        </w:rPr>
        <w:t xml:space="preserve"> </w:t>
      </w:r>
      <w:r w:rsidR="00116A02" w:rsidRPr="00FD211F">
        <w:rPr>
          <w:sz w:val="36"/>
          <w:szCs w:val="36"/>
          <w:rtl/>
        </w:rPr>
        <w:t>من</w:t>
      </w:r>
      <w:r w:rsidR="00E8128F">
        <w:rPr>
          <w:sz w:val="36"/>
          <w:szCs w:val="36"/>
          <w:rtl/>
        </w:rPr>
        <w:t xml:space="preserve"> </w:t>
      </w:r>
      <w:r w:rsidR="00116A02" w:rsidRPr="00FD211F">
        <w:rPr>
          <w:sz w:val="36"/>
          <w:szCs w:val="36"/>
          <w:rtl/>
        </w:rPr>
        <w:t>قولنا</w:t>
      </w:r>
      <w:r w:rsidR="00E8128F">
        <w:rPr>
          <w:sz w:val="36"/>
          <w:szCs w:val="36"/>
          <w:rtl/>
        </w:rPr>
        <w:t xml:space="preserve"> </w:t>
      </w:r>
      <w:r w:rsidR="00DB3F86" w:rsidRPr="00FD211F">
        <w:rPr>
          <w:sz w:val="36"/>
          <w:szCs w:val="36"/>
          <w:rtl/>
        </w:rPr>
        <w:t>"</w:t>
      </w:r>
      <w:r w:rsidR="00116A02" w:rsidRPr="00FD211F">
        <w:rPr>
          <w:sz w:val="36"/>
          <w:szCs w:val="36"/>
          <w:rtl/>
        </w:rPr>
        <w:t>زيد</w:t>
      </w:r>
      <w:r w:rsidR="00E8128F">
        <w:rPr>
          <w:sz w:val="36"/>
          <w:szCs w:val="36"/>
          <w:rtl/>
        </w:rPr>
        <w:t xml:space="preserve"> </w:t>
      </w:r>
      <w:r w:rsidR="00116A02" w:rsidRPr="00FD211F">
        <w:rPr>
          <w:sz w:val="36"/>
          <w:szCs w:val="36"/>
          <w:rtl/>
        </w:rPr>
        <w:t>ليس</w:t>
      </w:r>
      <w:r w:rsidR="00E8128F">
        <w:rPr>
          <w:sz w:val="36"/>
          <w:szCs w:val="36"/>
          <w:rtl/>
        </w:rPr>
        <w:t xml:space="preserve"> </w:t>
      </w:r>
      <w:r w:rsidR="00116A02" w:rsidRPr="00FD211F">
        <w:rPr>
          <w:sz w:val="36"/>
          <w:szCs w:val="36"/>
          <w:rtl/>
        </w:rPr>
        <w:t>بعالم</w:t>
      </w:r>
      <w:r w:rsidR="00DB3F86" w:rsidRPr="00FD211F">
        <w:rPr>
          <w:sz w:val="36"/>
          <w:szCs w:val="36"/>
          <w:rtl/>
        </w:rPr>
        <w:t>"</w:t>
      </w:r>
      <w:r w:rsidR="00E8128F">
        <w:rPr>
          <w:sz w:val="36"/>
          <w:szCs w:val="36"/>
          <w:rtl/>
        </w:rPr>
        <w:t xml:space="preserve"> </w:t>
      </w:r>
      <w:r w:rsidR="00DB3F86" w:rsidRPr="00FD211F">
        <w:rPr>
          <w:sz w:val="36"/>
          <w:szCs w:val="36"/>
          <w:rtl/>
        </w:rPr>
        <w:t>-فيما</w:t>
      </w:r>
      <w:r w:rsidR="00E8128F">
        <w:rPr>
          <w:sz w:val="36"/>
          <w:szCs w:val="36"/>
          <w:rtl/>
        </w:rPr>
        <w:t xml:space="preserve"> </w:t>
      </w:r>
      <w:r w:rsidR="00DB3F86" w:rsidRPr="00FD211F">
        <w:rPr>
          <w:sz w:val="36"/>
          <w:szCs w:val="36"/>
          <w:rtl/>
        </w:rPr>
        <w:t>اذا</w:t>
      </w:r>
      <w:r w:rsidR="00E8128F">
        <w:rPr>
          <w:sz w:val="36"/>
          <w:szCs w:val="36"/>
          <w:rtl/>
        </w:rPr>
        <w:t xml:space="preserve"> </w:t>
      </w:r>
      <w:r w:rsidR="00DB3F86" w:rsidRPr="00FD211F">
        <w:rPr>
          <w:sz w:val="36"/>
          <w:szCs w:val="36"/>
          <w:rtl/>
        </w:rPr>
        <w:t>انقضى</w:t>
      </w:r>
      <w:r w:rsidR="00E8128F">
        <w:rPr>
          <w:sz w:val="36"/>
          <w:szCs w:val="36"/>
          <w:rtl/>
        </w:rPr>
        <w:t xml:space="preserve"> </w:t>
      </w:r>
      <w:r w:rsidR="00DB3F86" w:rsidRPr="00FD211F">
        <w:rPr>
          <w:sz w:val="36"/>
          <w:szCs w:val="36"/>
          <w:rtl/>
        </w:rPr>
        <w:t>عنه</w:t>
      </w:r>
      <w:r w:rsidR="00E8128F">
        <w:rPr>
          <w:sz w:val="36"/>
          <w:szCs w:val="36"/>
          <w:rtl/>
        </w:rPr>
        <w:t xml:space="preserve"> </w:t>
      </w:r>
      <w:r w:rsidR="00DB3F86" w:rsidRPr="00FD211F">
        <w:rPr>
          <w:sz w:val="36"/>
          <w:szCs w:val="36"/>
          <w:rtl/>
        </w:rPr>
        <w:t>ال</w:t>
      </w:r>
      <w:r w:rsidR="00113DD4" w:rsidRPr="00FD211F">
        <w:rPr>
          <w:sz w:val="36"/>
          <w:szCs w:val="36"/>
          <w:rtl/>
        </w:rPr>
        <w:t>تلبس</w:t>
      </w:r>
      <w:r w:rsidR="00E8128F">
        <w:rPr>
          <w:sz w:val="36"/>
          <w:szCs w:val="36"/>
          <w:rtl/>
        </w:rPr>
        <w:t xml:space="preserve"> </w:t>
      </w:r>
      <w:r w:rsidR="00113DD4" w:rsidRPr="00FD211F">
        <w:rPr>
          <w:sz w:val="36"/>
          <w:szCs w:val="36"/>
          <w:rtl/>
        </w:rPr>
        <w:t>بالعلم-</w:t>
      </w:r>
      <w:r w:rsidR="00E8128F">
        <w:rPr>
          <w:sz w:val="36"/>
          <w:szCs w:val="36"/>
          <w:rtl/>
        </w:rPr>
        <w:t xml:space="preserve"> </w:t>
      </w:r>
      <w:r w:rsidR="00113DD4" w:rsidRPr="00FD211F">
        <w:rPr>
          <w:sz w:val="36"/>
          <w:szCs w:val="36"/>
          <w:rtl/>
        </w:rPr>
        <w:t>انه</w:t>
      </w:r>
      <w:r w:rsidR="00E8128F">
        <w:rPr>
          <w:sz w:val="36"/>
          <w:szCs w:val="36"/>
          <w:rtl/>
        </w:rPr>
        <w:t xml:space="preserve"> </w:t>
      </w:r>
      <w:r w:rsidR="00113DD4" w:rsidRPr="00FD211F">
        <w:rPr>
          <w:sz w:val="36"/>
          <w:szCs w:val="36"/>
          <w:rtl/>
        </w:rPr>
        <w:t>ليس</w:t>
      </w:r>
      <w:r w:rsidR="00E8128F">
        <w:rPr>
          <w:sz w:val="36"/>
          <w:szCs w:val="36"/>
          <w:rtl/>
        </w:rPr>
        <w:t xml:space="preserve"> </w:t>
      </w:r>
      <w:r w:rsidR="00113DD4" w:rsidRPr="00FD211F">
        <w:rPr>
          <w:sz w:val="36"/>
          <w:szCs w:val="36"/>
          <w:rtl/>
        </w:rPr>
        <w:t>بعالم</w:t>
      </w:r>
      <w:r w:rsidR="00E8128F">
        <w:rPr>
          <w:sz w:val="36"/>
          <w:szCs w:val="36"/>
          <w:rtl/>
        </w:rPr>
        <w:t xml:space="preserve"> </w:t>
      </w:r>
      <w:r w:rsidR="00113DD4" w:rsidRPr="00FD211F">
        <w:rPr>
          <w:sz w:val="36"/>
          <w:szCs w:val="36"/>
          <w:rtl/>
        </w:rPr>
        <w:t>فعلي</w:t>
      </w:r>
      <w:r w:rsidR="00E8128F">
        <w:rPr>
          <w:sz w:val="36"/>
          <w:szCs w:val="36"/>
          <w:rtl/>
        </w:rPr>
        <w:t xml:space="preserve"> </w:t>
      </w:r>
      <w:r w:rsidR="00113DD4" w:rsidRPr="00FD211F">
        <w:rPr>
          <w:sz w:val="36"/>
          <w:szCs w:val="36"/>
          <w:rtl/>
        </w:rPr>
        <w:t>اي</w:t>
      </w:r>
      <w:r w:rsidR="00E8128F">
        <w:rPr>
          <w:sz w:val="36"/>
          <w:szCs w:val="36"/>
          <w:rtl/>
        </w:rPr>
        <w:t xml:space="preserve"> </w:t>
      </w:r>
      <w:r w:rsidR="00113DD4" w:rsidRPr="00FD211F">
        <w:rPr>
          <w:sz w:val="36"/>
          <w:szCs w:val="36"/>
          <w:rtl/>
        </w:rPr>
        <w:t>ليس</w:t>
      </w:r>
      <w:r w:rsidR="00E8128F">
        <w:rPr>
          <w:sz w:val="36"/>
          <w:szCs w:val="36"/>
          <w:rtl/>
        </w:rPr>
        <w:t xml:space="preserve"> </w:t>
      </w:r>
      <w:r w:rsidR="00113DD4" w:rsidRPr="00FD211F">
        <w:rPr>
          <w:sz w:val="36"/>
          <w:szCs w:val="36"/>
          <w:rtl/>
        </w:rPr>
        <w:t>متلبسا</w:t>
      </w:r>
      <w:r w:rsidR="00E8128F">
        <w:rPr>
          <w:sz w:val="36"/>
          <w:szCs w:val="36"/>
          <w:rtl/>
        </w:rPr>
        <w:t xml:space="preserve"> </w:t>
      </w:r>
      <w:r w:rsidR="00113DD4" w:rsidRPr="00FD211F">
        <w:rPr>
          <w:sz w:val="36"/>
          <w:szCs w:val="36"/>
          <w:rtl/>
        </w:rPr>
        <w:t>فعلا</w:t>
      </w:r>
      <w:r w:rsidR="00E8128F">
        <w:rPr>
          <w:sz w:val="36"/>
          <w:szCs w:val="36"/>
          <w:rtl/>
        </w:rPr>
        <w:t xml:space="preserve"> </w:t>
      </w:r>
      <w:r w:rsidR="00113DD4" w:rsidRPr="00FD211F">
        <w:rPr>
          <w:sz w:val="36"/>
          <w:szCs w:val="36"/>
          <w:rtl/>
        </w:rPr>
        <w:t>بالعلم</w:t>
      </w:r>
      <w:r w:rsidR="00603323" w:rsidRPr="00FD211F">
        <w:rPr>
          <w:sz w:val="36"/>
          <w:szCs w:val="36"/>
          <w:rtl/>
        </w:rPr>
        <w:t>،</w:t>
      </w:r>
      <w:r w:rsidR="00E8128F">
        <w:rPr>
          <w:sz w:val="36"/>
          <w:szCs w:val="36"/>
          <w:rtl/>
        </w:rPr>
        <w:t xml:space="preserve"> </w:t>
      </w:r>
      <w:r w:rsidR="00116A02" w:rsidRPr="00FD211F">
        <w:rPr>
          <w:sz w:val="36"/>
          <w:szCs w:val="36"/>
          <w:rtl/>
        </w:rPr>
        <w:t>فنفي</w:t>
      </w:r>
      <w:r w:rsidR="00E8128F">
        <w:rPr>
          <w:sz w:val="36"/>
          <w:szCs w:val="36"/>
          <w:rtl/>
        </w:rPr>
        <w:t xml:space="preserve"> </w:t>
      </w:r>
      <w:r w:rsidR="00116A02" w:rsidRPr="00FD211F">
        <w:rPr>
          <w:sz w:val="36"/>
          <w:szCs w:val="36"/>
          <w:rtl/>
        </w:rPr>
        <w:t>المقيد</w:t>
      </w:r>
      <w:r w:rsidR="00E8128F">
        <w:rPr>
          <w:sz w:val="36"/>
          <w:szCs w:val="36"/>
          <w:rtl/>
        </w:rPr>
        <w:t xml:space="preserve"> </w:t>
      </w:r>
      <w:r w:rsidR="00116A02" w:rsidRPr="00FD211F">
        <w:rPr>
          <w:sz w:val="36"/>
          <w:szCs w:val="36"/>
          <w:rtl/>
        </w:rPr>
        <w:t>لايعني</w:t>
      </w:r>
      <w:r w:rsidR="00E8128F">
        <w:rPr>
          <w:sz w:val="36"/>
          <w:szCs w:val="36"/>
          <w:rtl/>
        </w:rPr>
        <w:t xml:space="preserve"> </w:t>
      </w:r>
      <w:r w:rsidR="00116A02" w:rsidRPr="00FD211F">
        <w:rPr>
          <w:sz w:val="36"/>
          <w:szCs w:val="36"/>
          <w:rtl/>
        </w:rPr>
        <w:t>نفي</w:t>
      </w:r>
      <w:r w:rsidR="00E8128F">
        <w:rPr>
          <w:sz w:val="36"/>
          <w:szCs w:val="36"/>
          <w:rtl/>
        </w:rPr>
        <w:t xml:space="preserve"> </w:t>
      </w:r>
      <w:r w:rsidR="00116A02" w:rsidRPr="00FD211F">
        <w:rPr>
          <w:sz w:val="36"/>
          <w:szCs w:val="36"/>
          <w:rtl/>
        </w:rPr>
        <w:t>مطلق</w:t>
      </w:r>
      <w:r w:rsidR="00E8128F">
        <w:rPr>
          <w:sz w:val="36"/>
          <w:szCs w:val="36"/>
          <w:rtl/>
        </w:rPr>
        <w:t xml:space="preserve"> </w:t>
      </w:r>
      <w:r w:rsidR="00116A02" w:rsidRPr="00FD211F">
        <w:rPr>
          <w:sz w:val="36"/>
          <w:szCs w:val="36"/>
          <w:rtl/>
        </w:rPr>
        <w:t>العالم</w:t>
      </w:r>
      <w:r w:rsidR="00E8128F">
        <w:rPr>
          <w:sz w:val="36"/>
          <w:szCs w:val="36"/>
          <w:rtl/>
        </w:rPr>
        <w:t xml:space="preserve"> </w:t>
      </w:r>
      <w:r w:rsidR="00116A02" w:rsidRPr="00FD211F">
        <w:rPr>
          <w:sz w:val="36"/>
          <w:szCs w:val="36"/>
          <w:rtl/>
        </w:rPr>
        <w:t>عنه</w:t>
      </w:r>
      <w:r w:rsidR="00603323" w:rsidRPr="00FD211F">
        <w:rPr>
          <w:sz w:val="36"/>
          <w:szCs w:val="36"/>
          <w:rtl/>
        </w:rPr>
        <w:t>،</w:t>
      </w:r>
      <w:r w:rsidR="00E8128F">
        <w:rPr>
          <w:sz w:val="36"/>
          <w:szCs w:val="36"/>
          <w:rtl/>
        </w:rPr>
        <w:t xml:space="preserve"> </w:t>
      </w:r>
      <w:r w:rsidR="00116A02" w:rsidRPr="00FD211F">
        <w:rPr>
          <w:sz w:val="36"/>
          <w:szCs w:val="36"/>
          <w:rtl/>
        </w:rPr>
        <w:t>وان</w:t>
      </w:r>
      <w:r w:rsidR="00E8128F">
        <w:rPr>
          <w:sz w:val="36"/>
          <w:szCs w:val="36"/>
          <w:rtl/>
        </w:rPr>
        <w:t xml:space="preserve"> </w:t>
      </w:r>
      <w:r w:rsidR="00116A02" w:rsidRPr="00FD211F">
        <w:rPr>
          <w:sz w:val="36"/>
          <w:szCs w:val="36"/>
          <w:rtl/>
        </w:rPr>
        <w:t>اريد</w:t>
      </w:r>
      <w:r w:rsidR="00E8128F">
        <w:rPr>
          <w:sz w:val="36"/>
          <w:szCs w:val="36"/>
          <w:rtl/>
        </w:rPr>
        <w:t xml:space="preserve"> </w:t>
      </w:r>
      <w:r w:rsidR="00116A02" w:rsidRPr="00FD211F">
        <w:rPr>
          <w:sz w:val="36"/>
          <w:szCs w:val="36"/>
          <w:rtl/>
        </w:rPr>
        <w:t>نفي</w:t>
      </w:r>
      <w:r w:rsidR="00E8128F">
        <w:rPr>
          <w:sz w:val="36"/>
          <w:szCs w:val="36"/>
          <w:rtl/>
        </w:rPr>
        <w:t xml:space="preserve"> </w:t>
      </w:r>
      <w:r w:rsidR="00DB3F86" w:rsidRPr="00FD211F">
        <w:rPr>
          <w:sz w:val="36"/>
          <w:szCs w:val="36"/>
          <w:rtl/>
        </w:rPr>
        <w:t>كونه</w:t>
      </w:r>
      <w:r w:rsidR="00E8128F">
        <w:rPr>
          <w:sz w:val="36"/>
          <w:szCs w:val="36"/>
          <w:rtl/>
        </w:rPr>
        <w:t xml:space="preserve"> </w:t>
      </w:r>
      <w:r w:rsidR="00DB3F86" w:rsidRPr="00FD211F">
        <w:rPr>
          <w:sz w:val="36"/>
          <w:szCs w:val="36"/>
          <w:rtl/>
        </w:rPr>
        <w:t>عالما</w:t>
      </w:r>
      <w:r w:rsidR="00E8128F">
        <w:rPr>
          <w:sz w:val="36"/>
          <w:szCs w:val="36"/>
          <w:rtl/>
        </w:rPr>
        <w:t xml:space="preserve"> </w:t>
      </w:r>
      <w:r w:rsidR="00116A02" w:rsidRPr="00FD211F">
        <w:rPr>
          <w:sz w:val="36"/>
          <w:szCs w:val="36"/>
          <w:rtl/>
        </w:rPr>
        <w:t>في</w:t>
      </w:r>
      <w:r w:rsidR="00E8128F">
        <w:rPr>
          <w:sz w:val="36"/>
          <w:szCs w:val="36"/>
          <w:rtl/>
        </w:rPr>
        <w:t xml:space="preserve"> </w:t>
      </w:r>
      <w:r w:rsidR="00116A02" w:rsidRPr="00FD211F">
        <w:rPr>
          <w:sz w:val="36"/>
          <w:szCs w:val="36"/>
          <w:rtl/>
        </w:rPr>
        <w:t>جميع</w:t>
      </w:r>
      <w:r w:rsidR="00E8128F">
        <w:rPr>
          <w:sz w:val="36"/>
          <w:szCs w:val="36"/>
          <w:rtl/>
        </w:rPr>
        <w:t xml:space="preserve"> </w:t>
      </w:r>
      <w:r w:rsidR="00116A02" w:rsidRPr="00FD211F">
        <w:rPr>
          <w:sz w:val="36"/>
          <w:szCs w:val="36"/>
          <w:rtl/>
        </w:rPr>
        <w:t>الأزمن</w:t>
      </w:r>
      <w:r w:rsidR="00EC7EDF" w:rsidRPr="00FD211F">
        <w:rPr>
          <w:sz w:val="36"/>
          <w:szCs w:val="36"/>
          <w:rtl/>
        </w:rPr>
        <w:t>ة</w:t>
      </w:r>
      <w:r w:rsidR="00E8128F">
        <w:rPr>
          <w:sz w:val="36"/>
          <w:szCs w:val="36"/>
          <w:rtl/>
        </w:rPr>
        <w:t xml:space="preserve"> </w:t>
      </w:r>
      <w:r w:rsidR="00116A02" w:rsidRPr="00FD211F">
        <w:rPr>
          <w:sz w:val="36"/>
          <w:szCs w:val="36"/>
          <w:rtl/>
        </w:rPr>
        <w:t>عنه</w:t>
      </w:r>
      <w:r w:rsidR="00E8128F">
        <w:rPr>
          <w:sz w:val="36"/>
          <w:szCs w:val="36"/>
          <w:rtl/>
        </w:rPr>
        <w:t xml:space="preserve"> </w:t>
      </w:r>
      <w:r w:rsidR="00116A02" w:rsidRPr="00FD211F">
        <w:rPr>
          <w:sz w:val="36"/>
          <w:szCs w:val="36"/>
          <w:rtl/>
        </w:rPr>
        <w:t>فهو</w:t>
      </w:r>
      <w:r w:rsidR="00E8128F">
        <w:rPr>
          <w:sz w:val="36"/>
          <w:szCs w:val="36"/>
          <w:rtl/>
        </w:rPr>
        <w:t xml:space="preserve"> </w:t>
      </w:r>
      <w:r w:rsidR="00116A02" w:rsidRPr="00FD211F">
        <w:rPr>
          <w:sz w:val="36"/>
          <w:szCs w:val="36"/>
          <w:rtl/>
        </w:rPr>
        <w:t>كذب</w:t>
      </w:r>
      <w:r w:rsidR="00113DD4" w:rsidRPr="00FD211F">
        <w:rPr>
          <w:sz w:val="36"/>
          <w:szCs w:val="36"/>
          <w:rtl/>
        </w:rPr>
        <w:t>.</w:t>
      </w:r>
    </w:p>
    <w:p w14:paraId="17B2E188" w14:textId="77777777" w:rsidR="000C5BBA" w:rsidRPr="00FD211F" w:rsidRDefault="00DB3F86" w:rsidP="009C58C8">
      <w:pPr>
        <w:ind w:left="0" w:firstLine="227"/>
        <w:jc w:val="both"/>
        <w:rPr>
          <w:sz w:val="36"/>
          <w:szCs w:val="36"/>
          <w:rtl/>
        </w:rPr>
      </w:pPr>
      <w:r w:rsidRPr="00FD211F">
        <w:rPr>
          <w:sz w:val="36"/>
          <w:szCs w:val="36"/>
          <w:rtl/>
        </w:rPr>
        <w:t>واجاب</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Pr="00FD211F">
        <w:rPr>
          <w:sz w:val="36"/>
          <w:szCs w:val="36"/>
          <w:rtl/>
        </w:rPr>
        <w:t>ب</w:t>
      </w:r>
      <w:r w:rsidR="00116A02" w:rsidRPr="00FD211F">
        <w:rPr>
          <w:sz w:val="36"/>
          <w:szCs w:val="36"/>
          <w:rtl/>
        </w:rPr>
        <w:t>ان</w:t>
      </w:r>
      <w:r w:rsidR="00E8128F">
        <w:rPr>
          <w:sz w:val="36"/>
          <w:szCs w:val="36"/>
          <w:rtl/>
        </w:rPr>
        <w:t xml:space="preserve"> </w:t>
      </w:r>
      <w:r w:rsidR="00116A02" w:rsidRPr="00FD211F">
        <w:rPr>
          <w:sz w:val="36"/>
          <w:szCs w:val="36"/>
          <w:rtl/>
        </w:rPr>
        <w:t>الفعلي</w:t>
      </w:r>
      <w:r w:rsidR="00EC7EDF" w:rsidRPr="00FD211F">
        <w:rPr>
          <w:sz w:val="36"/>
          <w:szCs w:val="36"/>
          <w:rtl/>
        </w:rPr>
        <w:t>ة</w:t>
      </w:r>
      <w:r w:rsidR="00E8128F">
        <w:rPr>
          <w:sz w:val="36"/>
          <w:szCs w:val="36"/>
          <w:rtl/>
        </w:rPr>
        <w:t xml:space="preserve"> </w:t>
      </w:r>
      <w:r w:rsidR="00116A02" w:rsidRPr="00FD211F">
        <w:rPr>
          <w:sz w:val="36"/>
          <w:szCs w:val="36"/>
          <w:rtl/>
        </w:rPr>
        <w:t>ليست</w:t>
      </w:r>
      <w:r w:rsidR="00E8128F">
        <w:rPr>
          <w:sz w:val="36"/>
          <w:szCs w:val="36"/>
          <w:rtl/>
        </w:rPr>
        <w:t xml:space="preserve"> </w:t>
      </w:r>
      <w:r w:rsidR="00116A02" w:rsidRPr="00FD211F">
        <w:rPr>
          <w:sz w:val="36"/>
          <w:szCs w:val="36"/>
          <w:rtl/>
        </w:rPr>
        <w:t>قيدا</w:t>
      </w:r>
      <w:r w:rsidR="00E8128F">
        <w:rPr>
          <w:sz w:val="36"/>
          <w:szCs w:val="36"/>
          <w:rtl/>
        </w:rPr>
        <w:t xml:space="preserve"> </w:t>
      </w:r>
      <w:r w:rsidR="00116A02" w:rsidRPr="00FD211F">
        <w:rPr>
          <w:sz w:val="36"/>
          <w:szCs w:val="36"/>
          <w:rtl/>
        </w:rPr>
        <w:t>للمسلوب</w:t>
      </w:r>
      <w:r w:rsidR="00E8128F">
        <w:rPr>
          <w:sz w:val="36"/>
          <w:szCs w:val="36"/>
          <w:rtl/>
        </w:rPr>
        <w:t xml:space="preserve"> </w:t>
      </w:r>
      <w:r w:rsidR="00113DD4" w:rsidRPr="00FD211F">
        <w:rPr>
          <w:sz w:val="36"/>
          <w:szCs w:val="36"/>
          <w:rtl/>
        </w:rPr>
        <w:t>وانما</w:t>
      </w:r>
      <w:r w:rsidR="00E8128F">
        <w:rPr>
          <w:sz w:val="36"/>
          <w:szCs w:val="36"/>
          <w:rtl/>
        </w:rPr>
        <w:t xml:space="preserve"> </w:t>
      </w:r>
      <w:r w:rsidR="00113DD4" w:rsidRPr="00FD211F">
        <w:rPr>
          <w:sz w:val="36"/>
          <w:szCs w:val="36"/>
          <w:rtl/>
        </w:rPr>
        <w:t>هي</w:t>
      </w:r>
      <w:r w:rsidR="00E8128F">
        <w:rPr>
          <w:sz w:val="36"/>
          <w:szCs w:val="36"/>
          <w:rtl/>
        </w:rPr>
        <w:t xml:space="preserve"> </w:t>
      </w:r>
      <w:r w:rsidR="00113DD4" w:rsidRPr="00FD211F">
        <w:rPr>
          <w:sz w:val="36"/>
          <w:szCs w:val="36"/>
          <w:rtl/>
        </w:rPr>
        <w:t>قيد</w:t>
      </w:r>
      <w:r w:rsidR="00E8128F">
        <w:rPr>
          <w:sz w:val="36"/>
          <w:szCs w:val="36"/>
          <w:rtl/>
        </w:rPr>
        <w:t xml:space="preserve"> </w:t>
      </w:r>
      <w:r w:rsidR="00116A02" w:rsidRPr="00FD211F">
        <w:rPr>
          <w:sz w:val="36"/>
          <w:szCs w:val="36"/>
          <w:rtl/>
        </w:rPr>
        <w:t>للسلب</w:t>
      </w:r>
      <w:r w:rsidR="00603323" w:rsidRPr="00FD211F">
        <w:rPr>
          <w:sz w:val="36"/>
          <w:szCs w:val="36"/>
          <w:rtl/>
        </w:rPr>
        <w:t>،</w:t>
      </w:r>
      <w:r w:rsidR="00E8128F">
        <w:rPr>
          <w:sz w:val="36"/>
          <w:szCs w:val="36"/>
          <w:rtl/>
        </w:rPr>
        <w:t xml:space="preserve"> </w:t>
      </w:r>
      <w:r w:rsidR="00116A02" w:rsidRPr="00FD211F">
        <w:rPr>
          <w:sz w:val="36"/>
          <w:szCs w:val="36"/>
          <w:rtl/>
        </w:rPr>
        <w:t>اي</w:t>
      </w:r>
      <w:r w:rsidR="00E8128F">
        <w:rPr>
          <w:sz w:val="36"/>
          <w:szCs w:val="36"/>
          <w:rtl/>
        </w:rPr>
        <w:t xml:space="preserve"> </w:t>
      </w:r>
      <w:r w:rsidR="00116A02" w:rsidRPr="00FD211F">
        <w:rPr>
          <w:sz w:val="36"/>
          <w:szCs w:val="36"/>
          <w:rtl/>
        </w:rPr>
        <w:t>انه</w:t>
      </w:r>
      <w:r w:rsidR="00E8128F">
        <w:rPr>
          <w:sz w:val="36"/>
          <w:szCs w:val="36"/>
          <w:rtl/>
        </w:rPr>
        <w:t xml:space="preserve"> </w:t>
      </w:r>
      <w:r w:rsidR="00116A02" w:rsidRPr="00FD211F">
        <w:rPr>
          <w:sz w:val="36"/>
          <w:szCs w:val="36"/>
          <w:rtl/>
        </w:rPr>
        <w:t>فعلا</w:t>
      </w:r>
      <w:r w:rsidR="00E8128F">
        <w:rPr>
          <w:sz w:val="36"/>
          <w:szCs w:val="36"/>
          <w:rtl/>
        </w:rPr>
        <w:t xml:space="preserve"> </w:t>
      </w:r>
      <w:r w:rsidR="00116A02" w:rsidRPr="00FD211F">
        <w:rPr>
          <w:sz w:val="36"/>
          <w:szCs w:val="36"/>
          <w:rtl/>
        </w:rPr>
        <w:t>ليس</w:t>
      </w:r>
      <w:r w:rsidR="00E8128F">
        <w:rPr>
          <w:sz w:val="36"/>
          <w:szCs w:val="36"/>
          <w:rtl/>
        </w:rPr>
        <w:t xml:space="preserve"> </w:t>
      </w:r>
      <w:r w:rsidR="0084476D" w:rsidRPr="00FD211F">
        <w:rPr>
          <w:sz w:val="36"/>
          <w:szCs w:val="36"/>
          <w:rtl/>
        </w:rPr>
        <w:t>بعالم</w:t>
      </w:r>
      <w:r w:rsidR="00E8128F">
        <w:rPr>
          <w:sz w:val="36"/>
          <w:szCs w:val="36"/>
          <w:rtl/>
        </w:rPr>
        <w:t xml:space="preserve"> </w:t>
      </w:r>
      <w:r w:rsidR="0084476D" w:rsidRPr="00FD211F">
        <w:rPr>
          <w:sz w:val="36"/>
          <w:szCs w:val="36"/>
          <w:rtl/>
        </w:rPr>
        <w:t>بقول</w:t>
      </w:r>
      <w:r w:rsidR="00E8128F">
        <w:rPr>
          <w:sz w:val="36"/>
          <w:szCs w:val="36"/>
          <w:rtl/>
        </w:rPr>
        <w:t xml:space="preserve"> </w:t>
      </w:r>
      <w:r w:rsidR="0084476D" w:rsidRPr="00FD211F">
        <w:rPr>
          <w:sz w:val="36"/>
          <w:szCs w:val="36"/>
          <w:rtl/>
        </w:rPr>
        <w:t>مطلق</w:t>
      </w:r>
      <w:r w:rsidR="009C58C8" w:rsidRPr="00FD211F">
        <w:rPr>
          <w:rStyle w:val="a6"/>
          <w:sz w:val="36"/>
          <w:szCs w:val="36"/>
          <w:rtl/>
        </w:rPr>
        <w:t>(</w:t>
      </w:r>
      <w:r w:rsidR="009C58C8" w:rsidRPr="00FD211F">
        <w:rPr>
          <w:rStyle w:val="a6"/>
          <w:sz w:val="36"/>
          <w:szCs w:val="36"/>
          <w:rtl/>
        </w:rPr>
        <w:footnoteReference w:id="555"/>
      </w:r>
      <w:r w:rsidR="009C58C8" w:rsidRPr="00FD211F">
        <w:rPr>
          <w:rStyle w:val="a6"/>
          <w:sz w:val="36"/>
          <w:szCs w:val="36"/>
          <w:rtl/>
        </w:rPr>
        <w:t>)</w:t>
      </w:r>
      <w:r w:rsidR="005428C4" w:rsidRPr="00FD211F">
        <w:rPr>
          <w:sz w:val="36"/>
          <w:szCs w:val="36"/>
          <w:rtl/>
        </w:rPr>
        <w:t>.</w:t>
      </w:r>
    </w:p>
    <w:p w14:paraId="4482EEE1" w14:textId="77777777" w:rsidR="00DB3F86" w:rsidRPr="00FD211F" w:rsidRDefault="0084476D" w:rsidP="009C58C8">
      <w:pPr>
        <w:ind w:left="0" w:firstLine="227"/>
        <w:jc w:val="both"/>
        <w:rPr>
          <w:sz w:val="36"/>
          <w:szCs w:val="36"/>
          <w:rtl/>
        </w:rPr>
      </w:pPr>
      <w:r w:rsidRPr="00FD211F">
        <w:rPr>
          <w:sz w:val="36"/>
          <w:szCs w:val="36"/>
          <w:rtl/>
        </w:rPr>
        <w:t>ولابأس</w:t>
      </w:r>
      <w:r w:rsidR="00E8128F">
        <w:rPr>
          <w:sz w:val="36"/>
          <w:szCs w:val="36"/>
          <w:rtl/>
        </w:rPr>
        <w:t xml:space="preserve"> </w:t>
      </w:r>
      <w:r w:rsidRPr="00FD211F">
        <w:rPr>
          <w:sz w:val="36"/>
          <w:szCs w:val="36"/>
          <w:rtl/>
        </w:rPr>
        <w:t>بما</w:t>
      </w:r>
      <w:r w:rsidR="00E8128F">
        <w:rPr>
          <w:sz w:val="36"/>
          <w:szCs w:val="36"/>
          <w:rtl/>
        </w:rPr>
        <w:t xml:space="preserve"> </w:t>
      </w:r>
      <w:r w:rsidRPr="00FD211F">
        <w:rPr>
          <w:sz w:val="36"/>
          <w:szCs w:val="36"/>
          <w:rtl/>
        </w:rPr>
        <w:t>افاده</w:t>
      </w:r>
      <w:r w:rsidR="00603323" w:rsidRPr="00FD211F">
        <w:rPr>
          <w:sz w:val="36"/>
          <w:szCs w:val="36"/>
          <w:rtl/>
        </w:rPr>
        <w:t>،</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الأولى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حتى</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كانت</w:t>
      </w:r>
      <w:r w:rsidR="00E8128F">
        <w:rPr>
          <w:sz w:val="36"/>
          <w:szCs w:val="36"/>
          <w:rtl/>
        </w:rPr>
        <w:t xml:space="preserve"> </w:t>
      </w:r>
      <w:r w:rsidRPr="00FD211F">
        <w:rPr>
          <w:sz w:val="36"/>
          <w:szCs w:val="36"/>
          <w:rtl/>
        </w:rPr>
        <w:t>الفعلي</w:t>
      </w:r>
      <w:r w:rsidR="00EC7EDF" w:rsidRPr="00FD211F">
        <w:rPr>
          <w:sz w:val="36"/>
          <w:szCs w:val="36"/>
          <w:rtl/>
        </w:rPr>
        <w:t>ة</w:t>
      </w:r>
      <w:r w:rsidR="00E8128F">
        <w:rPr>
          <w:sz w:val="36"/>
          <w:szCs w:val="36"/>
          <w:rtl/>
        </w:rPr>
        <w:t xml:space="preserve"> </w:t>
      </w:r>
      <w:r w:rsidRPr="00FD211F">
        <w:rPr>
          <w:sz w:val="36"/>
          <w:szCs w:val="36"/>
          <w:rtl/>
        </w:rPr>
        <w:t>قيدا</w:t>
      </w:r>
      <w:r w:rsidR="00E8128F">
        <w:rPr>
          <w:sz w:val="36"/>
          <w:szCs w:val="36"/>
          <w:rtl/>
        </w:rPr>
        <w:t xml:space="preserve"> </w:t>
      </w:r>
      <w:r w:rsidRPr="00FD211F">
        <w:rPr>
          <w:sz w:val="36"/>
          <w:szCs w:val="36"/>
          <w:rtl/>
        </w:rPr>
        <w:t>للعالم</w:t>
      </w:r>
      <w:r w:rsidR="00E8128F">
        <w:rPr>
          <w:sz w:val="36"/>
          <w:szCs w:val="36"/>
          <w:rtl/>
        </w:rPr>
        <w:t xml:space="preserve"> </w:t>
      </w:r>
      <w:r w:rsidRPr="00FD211F">
        <w:rPr>
          <w:sz w:val="36"/>
          <w:szCs w:val="36"/>
          <w:rtl/>
        </w:rPr>
        <w:t>فيصح</w:t>
      </w:r>
      <w:r w:rsidR="00E8128F">
        <w:rPr>
          <w:sz w:val="36"/>
          <w:szCs w:val="36"/>
          <w:rtl/>
        </w:rPr>
        <w:t xml:space="preserve"> </w:t>
      </w:r>
      <w:r w:rsidRPr="00FD211F">
        <w:rPr>
          <w:sz w:val="36"/>
          <w:szCs w:val="36"/>
          <w:rtl/>
        </w:rPr>
        <w:t>سلب</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الفعلي</w:t>
      </w:r>
      <w:r w:rsidR="00E8128F">
        <w:rPr>
          <w:sz w:val="36"/>
          <w:szCs w:val="36"/>
          <w:rtl/>
        </w:rPr>
        <w:t xml:space="preserve"> </w:t>
      </w:r>
      <w:r w:rsidRPr="00FD211F">
        <w:rPr>
          <w:sz w:val="36"/>
          <w:szCs w:val="36"/>
          <w:rtl/>
        </w:rPr>
        <w:t>عمن</w:t>
      </w:r>
      <w:r w:rsidR="00E8128F">
        <w:rPr>
          <w:sz w:val="36"/>
          <w:szCs w:val="36"/>
          <w:rtl/>
        </w:rPr>
        <w:t xml:space="preserve"> </w:t>
      </w:r>
      <w:r w:rsidRPr="00FD211F">
        <w:rPr>
          <w:sz w:val="36"/>
          <w:szCs w:val="36"/>
          <w:rtl/>
        </w:rPr>
        <w:t>انقضى</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يطابق</w:t>
      </w:r>
      <w:r w:rsidR="00E8128F">
        <w:rPr>
          <w:sz w:val="36"/>
          <w:szCs w:val="36"/>
          <w:rtl/>
        </w:rPr>
        <w:t xml:space="preserve"> </w:t>
      </w:r>
      <w:r w:rsidRPr="00FD211F">
        <w:rPr>
          <w:sz w:val="36"/>
          <w:szCs w:val="36"/>
          <w:rtl/>
        </w:rPr>
        <w:t>نفي</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بقول</w:t>
      </w:r>
      <w:r w:rsidR="00E8128F">
        <w:rPr>
          <w:sz w:val="36"/>
          <w:szCs w:val="36"/>
          <w:rtl/>
        </w:rPr>
        <w:t xml:space="preserve"> </w:t>
      </w:r>
      <w:r w:rsidRPr="00FD211F">
        <w:rPr>
          <w:sz w:val="36"/>
          <w:szCs w:val="36"/>
          <w:rtl/>
        </w:rPr>
        <w:t>مطلق</w:t>
      </w:r>
      <w:r w:rsidR="00603323" w:rsidRPr="00FD211F">
        <w:rPr>
          <w:sz w:val="36"/>
          <w:szCs w:val="36"/>
          <w:rtl/>
        </w:rPr>
        <w:t>،</w:t>
      </w:r>
      <w:r w:rsidR="00E8128F">
        <w:rPr>
          <w:sz w:val="36"/>
          <w:szCs w:val="36"/>
          <w:rtl/>
        </w:rPr>
        <w:t xml:space="preserve"> </w:t>
      </w:r>
      <w:r w:rsidRPr="00FD211F">
        <w:rPr>
          <w:sz w:val="36"/>
          <w:szCs w:val="36"/>
          <w:rtl/>
        </w:rPr>
        <w:t>نعم</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كانت</w:t>
      </w:r>
      <w:r w:rsidR="00E8128F">
        <w:rPr>
          <w:sz w:val="36"/>
          <w:szCs w:val="36"/>
          <w:rtl/>
        </w:rPr>
        <w:t xml:space="preserve"> </w:t>
      </w:r>
      <w:r w:rsidRPr="00FD211F">
        <w:rPr>
          <w:sz w:val="36"/>
          <w:szCs w:val="36"/>
          <w:rtl/>
        </w:rPr>
        <w:t>الفعلي</w:t>
      </w:r>
      <w:r w:rsidR="00EC7EDF" w:rsidRPr="00FD211F">
        <w:rPr>
          <w:sz w:val="36"/>
          <w:szCs w:val="36"/>
          <w:rtl/>
        </w:rPr>
        <w:t>ة</w:t>
      </w:r>
      <w:r w:rsidR="00E8128F">
        <w:rPr>
          <w:sz w:val="36"/>
          <w:szCs w:val="36"/>
          <w:rtl/>
        </w:rPr>
        <w:t xml:space="preserve"> </w:t>
      </w:r>
      <w:r w:rsidRPr="00FD211F">
        <w:rPr>
          <w:sz w:val="36"/>
          <w:szCs w:val="36"/>
          <w:rtl/>
        </w:rPr>
        <w:t>قيدا</w:t>
      </w:r>
      <w:r w:rsidR="00E8128F">
        <w:rPr>
          <w:sz w:val="36"/>
          <w:szCs w:val="36"/>
          <w:rtl/>
        </w:rPr>
        <w:t xml:space="preserve"> </w:t>
      </w:r>
      <w:r w:rsidRPr="00FD211F">
        <w:rPr>
          <w:sz w:val="36"/>
          <w:szCs w:val="36"/>
          <w:rtl/>
        </w:rPr>
        <w:t>للتلبس</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يراد</w:t>
      </w:r>
      <w:r w:rsidR="00E8128F">
        <w:rPr>
          <w:sz w:val="36"/>
          <w:szCs w:val="36"/>
          <w:rtl/>
        </w:rPr>
        <w:t xml:space="preserve"> </w:t>
      </w:r>
      <w:r w:rsidRPr="00FD211F">
        <w:rPr>
          <w:sz w:val="36"/>
          <w:szCs w:val="36"/>
          <w:rtl/>
        </w:rPr>
        <w:t>سلب</w:t>
      </w:r>
      <w:r w:rsidR="00E8128F">
        <w:rPr>
          <w:sz w:val="36"/>
          <w:szCs w:val="36"/>
          <w:rtl/>
        </w:rPr>
        <w:t xml:space="preserve"> </w:t>
      </w:r>
      <w:r w:rsidRPr="00FD211F">
        <w:rPr>
          <w:sz w:val="36"/>
          <w:szCs w:val="36"/>
          <w:rtl/>
        </w:rPr>
        <w:t>المتلبس</w:t>
      </w:r>
      <w:r w:rsidR="00E8128F">
        <w:rPr>
          <w:sz w:val="36"/>
          <w:szCs w:val="36"/>
          <w:rtl/>
        </w:rPr>
        <w:t xml:space="preserve"> </w:t>
      </w:r>
      <w:r w:rsidRPr="00FD211F">
        <w:rPr>
          <w:sz w:val="36"/>
          <w:szCs w:val="36"/>
          <w:rtl/>
        </w:rPr>
        <w:t>الفعلي</w:t>
      </w:r>
      <w:r w:rsidR="00E8128F">
        <w:rPr>
          <w:sz w:val="36"/>
          <w:szCs w:val="36"/>
          <w:rtl/>
        </w:rPr>
        <w:t xml:space="preserve"> </w:t>
      </w:r>
      <w:r w:rsidRPr="00FD211F">
        <w:rPr>
          <w:sz w:val="36"/>
          <w:szCs w:val="36"/>
          <w:rtl/>
        </w:rPr>
        <w:t>بالعلم</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قيدا</w:t>
      </w:r>
      <w:r w:rsidR="00E8128F">
        <w:rPr>
          <w:sz w:val="36"/>
          <w:szCs w:val="36"/>
          <w:rtl/>
        </w:rPr>
        <w:t xml:space="preserve"> </w:t>
      </w:r>
      <w:r w:rsidRPr="00FD211F">
        <w:rPr>
          <w:sz w:val="36"/>
          <w:szCs w:val="36"/>
          <w:rtl/>
        </w:rPr>
        <w:t>للمبدأ</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يراد</w:t>
      </w:r>
      <w:r w:rsidR="00E8128F">
        <w:rPr>
          <w:sz w:val="36"/>
          <w:szCs w:val="36"/>
          <w:rtl/>
        </w:rPr>
        <w:t xml:space="preserve"> </w:t>
      </w:r>
      <w:r w:rsidRPr="00FD211F">
        <w:rPr>
          <w:sz w:val="36"/>
          <w:szCs w:val="36"/>
          <w:rtl/>
        </w:rPr>
        <w:t>سلب</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للعلم</w:t>
      </w:r>
      <w:r w:rsidR="00E8128F">
        <w:rPr>
          <w:sz w:val="36"/>
          <w:szCs w:val="36"/>
          <w:rtl/>
        </w:rPr>
        <w:t xml:space="preserve"> </w:t>
      </w:r>
      <w:r w:rsidRPr="00FD211F">
        <w:rPr>
          <w:sz w:val="36"/>
          <w:szCs w:val="36"/>
          <w:rtl/>
        </w:rPr>
        <w:t>الفعلي</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فلايستلزم</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سلب</w:t>
      </w:r>
      <w:r w:rsidR="00E8128F">
        <w:rPr>
          <w:sz w:val="36"/>
          <w:szCs w:val="36"/>
          <w:rtl/>
        </w:rPr>
        <w:t xml:space="preserve"> </w:t>
      </w:r>
      <w:r w:rsidRPr="00FD211F">
        <w:rPr>
          <w:sz w:val="36"/>
          <w:szCs w:val="36"/>
          <w:rtl/>
        </w:rPr>
        <w:t>مطلق</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عنه.</w:t>
      </w:r>
    </w:p>
    <w:p w14:paraId="6E130AB9" w14:textId="77777777" w:rsidR="000C797D" w:rsidRPr="00FD211F" w:rsidRDefault="00116A02" w:rsidP="009C58C8">
      <w:pPr>
        <w:ind w:left="0" w:firstLine="227"/>
        <w:jc w:val="both"/>
        <w:rPr>
          <w:sz w:val="36"/>
          <w:szCs w:val="36"/>
          <w:rtl/>
        </w:rPr>
      </w:pPr>
      <w:bookmarkStart w:id="455" w:name="درس114"/>
      <w:bookmarkEnd w:id="455"/>
      <w:r w:rsidRPr="00FD211F">
        <w:rPr>
          <w:sz w:val="36"/>
          <w:szCs w:val="36"/>
          <w:rtl/>
        </w:rPr>
        <w:t>وقد</w:t>
      </w:r>
      <w:r w:rsidR="00E8128F">
        <w:rPr>
          <w:sz w:val="36"/>
          <w:szCs w:val="36"/>
          <w:rtl/>
        </w:rPr>
        <w:t xml:space="preserve"> </w:t>
      </w:r>
      <w:r w:rsidRPr="00FD211F">
        <w:rPr>
          <w:sz w:val="36"/>
          <w:szCs w:val="36"/>
          <w:rtl/>
        </w:rPr>
        <w:t>استدل</w:t>
      </w:r>
      <w:r w:rsidR="00E8128F">
        <w:rPr>
          <w:sz w:val="36"/>
          <w:szCs w:val="36"/>
          <w:rtl/>
        </w:rPr>
        <w:t xml:space="preserve"> </w:t>
      </w:r>
      <w:r w:rsidRPr="00FD211F">
        <w:rPr>
          <w:sz w:val="36"/>
          <w:szCs w:val="36"/>
          <w:rtl/>
        </w:rPr>
        <w:t>ل</w:t>
      </w:r>
      <w:r w:rsidR="000C797D" w:rsidRPr="00FD211F">
        <w:rPr>
          <w:sz w:val="36"/>
          <w:szCs w:val="36"/>
          <w:rtl/>
        </w:rPr>
        <w:t>وضع</w:t>
      </w:r>
      <w:r w:rsidR="00E8128F">
        <w:rPr>
          <w:sz w:val="36"/>
          <w:szCs w:val="36"/>
          <w:rtl/>
        </w:rPr>
        <w:t xml:space="preserve"> </w:t>
      </w:r>
      <w:r w:rsidR="000C797D" w:rsidRPr="00FD211F">
        <w:rPr>
          <w:sz w:val="36"/>
          <w:szCs w:val="36"/>
          <w:rtl/>
        </w:rPr>
        <w:t>المشتق</w:t>
      </w:r>
      <w:r w:rsidR="00E8128F">
        <w:rPr>
          <w:sz w:val="36"/>
          <w:szCs w:val="36"/>
          <w:rtl/>
        </w:rPr>
        <w:t xml:space="preserve"> </w:t>
      </w:r>
      <w:r w:rsidR="000C797D" w:rsidRPr="00FD211F">
        <w:rPr>
          <w:sz w:val="36"/>
          <w:szCs w:val="36"/>
          <w:rtl/>
        </w:rPr>
        <w:t>ل</w:t>
      </w:r>
      <w:r w:rsidRPr="00FD211F">
        <w:rPr>
          <w:sz w:val="36"/>
          <w:szCs w:val="36"/>
          <w:rtl/>
        </w:rPr>
        <w:t>لاعم</w:t>
      </w:r>
      <w:r w:rsidR="00E8128F">
        <w:rPr>
          <w:sz w:val="36"/>
          <w:szCs w:val="36"/>
          <w:rtl/>
        </w:rPr>
        <w:t xml:space="preserve"> </w:t>
      </w:r>
      <w:r w:rsidRPr="00FD211F">
        <w:rPr>
          <w:sz w:val="36"/>
          <w:szCs w:val="36"/>
          <w:rtl/>
        </w:rPr>
        <w:t>ب</w:t>
      </w:r>
      <w:r w:rsidR="000C797D" w:rsidRPr="00FD211F">
        <w:rPr>
          <w:sz w:val="36"/>
          <w:szCs w:val="36"/>
          <w:rtl/>
        </w:rPr>
        <w:t>عد</w:t>
      </w:r>
      <w:r w:rsidR="00EC7EDF" w:rsidRPr="00FD211F">
        <w:rPr>
          <w:sz w:val="36"/>
          <w:szCs w:val="36"/>
          <w:rtl/>
        </w:rPr>
        <w:t>ة</w:t>
      </w:r>
      <w:r w:rsidR="00E8128F">
        <w:rPr>
          <w:sz w:val="36"/>
          <w:szCs w:val="36"/>
          <w:rtl/>
        </w:rPr>
        <w:t xml:space="preserve"> </w:t>
      </w:r>
      <w:r w:rsidRPr="00FD211F">
        <w:rPr>
          <w:sz w:val="36"/>
          <w:szCs w:val="36"/>
          <w:rtl/>
        </w:rPr>
        <w:t>وجوه</w:t>
      </w:r>
      <w:r w:rsidR="00E8128F">
        <w:rPr>
          <w:sz w:val="36"/>
          <w:szCs w:val="36"/>
          <w:rtl/>
        </w:rPr>
        <w:t xml:space="preserve"> </w:t>
      </w:r>
      <w:r w:rsidR="000C797D" w:rsidRPr="00FD211F">
        <w:rPr>
          <w:sz w:val="36"/>
          <w:szCs w:val="36"/>
          <w:rtl/>
        </w:rPr>
        <w:t>أخرى:</w:t>
      </w:r>
    </w:p>
    <w:p w14:paraId="6B8F4501" w14:textId="77777777" w:rsidR="00051CCE" w:rsidRPr="00FD211F" w:rsidRDefault="000C797D" w:rsidP="009C58C8">
      <w:pPr>
        <w:ind w:left="0" w:firstLine="227"/>
        <w:jc w:val="both"/>
        <w:rPr>
          <w:sz w:val="36"/>
          <w:szCs w:val="36"/>
          <w:rtl/>
        </w:rPr>
      </w:pPr>
      <w:r w:rsidRPr="00FD211F">
        <w:rPr>
          <w:b/>
          <w:bCs/>
          <w:sz w:val="36"/>
          <w:szCs w:val="36"/>
          <w:rtl/>
        </w:rPr>
        <w:t>الاول</w:t>
      </w:r>
      <w:r w:rsidRPr="00FD211F">
        <w:rPr>
          <w:sz w:val="36"/>
          <w:szCs w:val="36"/>
          <w:rtl/>
        </w:rPr>
        <w:t>:</w:t>
      </w:r>
      <w:r w:rsidR="00E8128F">
        <w:rPr>
          <w:sz w:val="36"/>
          <w:szCs w:val="36"/>
          <w:rtl/>
        </w:rPr>
        <w:t xml:space="preserve"> </w:t>
      </w:r>
      <w:r w:rsidR="00116A02" w:rsidRPr="00FD211F">
        <w:rPr>
          <w:sz w:val="36"/>
          <w:szCs w:val="36"/>
          <w:rtl/>
        </w:rPr>
        <w:t>التبادر</w:t>
      </w:r>
      <w:r w:rsidR="00E8128F">
        <w:rPr>
          <w:sz w:val="36"/>
          <w:szCs w:val="36"/>
          <w:rtl/>
        </w:rPr>
        <w:t xml:space="preserve"> </w:t>
      </w:r>
      <w:r w:rsidR="00116A02" w:rsidRPr="00FD211F">
        <w:rPr>
          <w:sz w:val="36"/>
          <w:szCs w:val="36"/>
          <w:rtl/>
        </w:rPr>
        <w:t>وصح</w:t>
      </w:r>
      <w:r w:rsidR="00EC7EDF" w:rsidRPr="00FD211F">
        <w:rPr>
          <w:sz w:val="36"/>
          <w:szCs w:val="36"/>
          <w:rtl/>
        </w:rPr>
        <w:t>ة</w:t>
      </w:r>
      <w:r w:rsidR="00E8128F">
        <w:rPr>
          <w:sz w:val="36"/>
          <w:szCs w:val="36"/>
          <w:rtl/>
        </w:rPr>
        <w:t xml:space="preserve"> </w:t>
      </w:r>
      <w:r w:rsidR="00116A02" w:rsidRPr="00FD211F">
        <w:rPr>
          <w:sz w:val="36"/>
          <w:szCs w:val="36"/>
          <w:rtl/>
        </w:rPr>
        <w:t>الحمل</w:t>
      </w:r>
      <w:r w:rsidR="00603323" w:rsidRPr="00FD211F">
        <w:rPr>
          <w:sz w:val="36"/>
          <w:szCs w:val="36"/>
          <w:rtl/>
        </w:rPr>
        <w:t>،</w:t>
      </w:r>
      <w:r w:rsidR="00E8128F">
        <w:rPr>
          <w:sz w:val="36"/>
          <w:szCs w:val="36"/>
          <w:rtl/>
        </w:rPr>
        <w:t xml:space="preserve"> </w:t>
      </w:r>
      <w:r w:rsidR="00116A02" w:rsidRPr="00FD211F">
        <w:rPr>
          <w:sz w:val="36"/>
          <w:szCs w:val="36"/>
          <w:rtl/>
        </w:rPr>
        <w:t>فانه</w:t>
      </w:r>
      <w:r w:rsidR="00E8128F">
        <w:rPr>
          <w:sz w:val="36"/>
          <w:szCs w:val="36"/>
          <w:rtl/>
        </w:rPr>
        <w:t xml:space="preserve"> </w:t>
      </w:r>
      <w:r w:rsidR="00116A02" w:rsidRPr="00FD211F">
        <w:rPr>
          <w:sz w:val="36"/>
          <w:szCs w:val="36"/>
          <w:rtl/>
        </w:rPr>
        <w:t>يقال</w:t>
      </w:r>
      <w:r w:rsidR="00E8128F">
        <w:rPr>
          <w:sz w:val="36"/>
          <w:szCs w:val="36"/>
          <w:rtl/>
        </w:rPr>
        <w:t xml:space="preserve"> </w:t>
      </w:r>
      <w:r w:rsidR="00AF0EE1" w:rsidRPr="00FD211F">
        <w:rPr>
          <w:sz w:val="36"/>
          <w:szCs w:val="36"/>
          <w:rtl/>
        </w:rPr>
        <w:t>"</w:t>
      </w:r>
      <w:r w:rsidR="00116A02" w:rsidRPr="00FD211F">
        <w:rPr>
          <w:sz w:val="36"/>
          <w:szCs w:val="36"/>
          <w:rtl/>
        </w:rPr>
        <w:t>زيد</w:t>
      </w:r>
      <w:r w:rsidR="00E8128F">
        <w:rPr>
          <w:sz w:val="36"/>
          <w:szCs w:val="36"/>
          <w:rtl/>
        </w:rPr>
        <w:t xml:space="preserve"> </w:t>
      </w:r>
      <w:r w:rsidR="00116A02" w:rsidRPr="00FD211F">
        <w:rPr>
          <w:sz w:val="36"/>
          <w:szCs w:val="36"/>
          <w:rtl/>
        </w:rPr>
        <w:t>مضروب</w:t>
      </w:r>
      <w:r w:rsidR="00E8128F">
        <w:rPr>
          <w:sz w:val="36"/>
          <w:szCs w:val="36"/>
          <w:rtl/>
        </w:rPr>
        <w:t xml:space="preserve"> </w:t>
      </w:r>
      <w:r w:rsidR="00AF0EE1" w:rsidRPr="00FD211F">
        <w:rPr>
          <w:sz w:val="36"/>
          <w:szCs w:val="36"/>
          <w:rtl/>
        </w:rPr>
        <w:t>"</w:t>
      </w:r>
      <w:r w:rsidR="00116A02" w:rsidRPr="00FD211F">
        <w:rPr>
          <w:sz w:val="36"/>
          <w:szCs w:val="36"/>
          <w:rtl/>
        </w:rPr>
        <w:t>بلحاظ</w:t>
      </w:r>
      <w:r w:rsidR="00E8128F">
        <w:rPr>
          <w:sz w:val="36"/>
          <w:szCs w:val="36"/>
          <w:rtl/>
        </w:rPr>
        <w:t xml:space="preserve"> </w:t>
      </w:r>
      <w:r w:rsidR="00116A02" w:rsidRPr="00FD211F">
        <w:rPr>
          <w:sz w:val="36"/>
          <w:szCs w:val="36"/>
          <w:rtl/>
        </w:rPr>
        <w:t>وقوع</w:t>
      </w:r>
      <w:r w:rsidR="00E8128F">
        <w:rPr>
          <w:sz w:val="36"/>
          <w:szCs w:val="36"/>
          <w:rtl/>
        </w:rPr>
        <w:t xml:space="preserve"> </w:t>
      </w:r>
      <w:r w:rsidR="00116A02" w:rsidRPr="00FD211F">
        <w:rPr>
          <w:sz w:val="36"/>
          <w:szCs w:val="36"/>
          <w:rtl/>
        </w:rPr>
        <w:t>الضرب</w:t>
      </w:r>
      <w:r w:rsidR="00E8128F">
        <w:rPr>
          <w:sz w:val="36"/>
          <w:szCs w:val="36"/>
          <w:rtl/>
        </w:rPr>
        <w:t xml:space="preserve"> </w:t>
      </w:r>
      <w:r w:rsidR="00116A02" w:rsidRPr="00FD211F">
        <w:rPr>
          <w:sz w:val="36"/>
          <w:szCs w:val="36"/>
          <w:rtl/>
        </w:rPr>
        <w:t>عليه</w:t>
      </w:r>
      <w:r w:rsidR="00E8128F">
        <w:rPr>
          <w:sz w:val="36"/>
          <w:szCs w:val="36"/>
          <w:rtl/>
        </w:rPr>
        <w:t xml:space="preserve"> </w:t>
      </w:r>
      <w:r w:rsidR="00116A02" w:rsidRPr="00FD211F">
        <w:rPr>
          <w:sz w:val="36"/>
          <w:szCs w:val="36"/>
          <w:rtl/>
        </w:rPr>
        <w:t>سابقا</w:t>
      </w:r>
      <w:r w:rsidR="00603323" w:rsidRPr="00FD211F">
        <w:rPr>
          <w:sz w:val="36"/>
          <w:szCs w:val="36"/>
          <w:rtl/>
        </w:rPr>
        <w:t>،</w:t>
      </w:r>
      <w:r w:rsidR="00E8128F">
        <w:rPr>
          <w:sz w:val="36"/>
          <w:szCs w:val="36"/>
          <w:rtl/>
        </w:rPr>
        <w:t xml:space="preserve"> </w:t>
      </w:r>
      <w:r w:rsidR="00116A02" w:rsidRPr="00FD211F">
        <w:rPr>
          <w:sz w:val="36"/>
          <w:szCs w:val="36"/>
          <w:rtl/>
        </w:rPr>
        <w:t>ويقال</w:t>
      </w:r>
      <w:r w:rsidR="00AF0EE1" w:rsidRPr="00FD211F">
        <w:rPr>
          <w:sz w:val="36"/>
          <w:szCs w:val="36"/>
          <w:rtl/>
        </w:rPr>
        <w:t>"</w:t>
      </w:r>
      <w:r w:rsidR="00E8128F">
        <w:rPr>
          <w:sz w:val="36"/>
          <w:szCs w:val="36"/>
          <w:rtl/>
        </w:rPr>
        <w:t xml:space="preserve"> </w:t>
      </w:r>
      <w:r w:rsidR="00116A02" w:rsidRPr="00FD211F">
        <w:rPr>
          <w:sz w:val="36"/>
          <w:szCs w:val="36"/>
          <w:rtl/>
        </w:rPr>
        <w:t>عمرو</w:t>
      </w:r>
      <w:r w:rsidR="00E8128F">
        <w:rPr>
          <w:sz w:val="36"/>
          <w:szCs w:val="36"/>
          <w:rtl/>
        </w:rPr>
        <w:t xml:space="preserve"> </w:t>
      </w:r>
      <w:r w:rsidR="00116A02" w:rsidRPr="00FD211F">
        <w:rPr>
          <w:sz w:val="36"/>
          <w:szCs w:val="36"/>
          <w:rtl/>
        </w:rPr>
        <w:t>ضارب</w:t>
      </w:r>
      <w:r w:rsidR="00E8128F">
        <w:rPr>
          <w:sz w:val="36"/>
          <w:szCs w:val="36"/>
          <w:rtl/>
        </w:rPr>
        <w:t xml:space="preserve"> </w:t>
      </w:r>
      <w:r w:rsidR="00AF0EE1" w:rsidRPr="00FD211F">
        <w:rPr>
          <w:sz w:val="36"/>
          <w:szCs w:val="36"/>
          <w:rtl/>
        </w:rPr>
        <w:t>"</w:t>
      </w:r>
      <w:r w:rsidR="00116A02" w:rsidRPr="00FD211F">
        <w:rPr>
          <w:sz w:val="36"/>
          <w:szCs w:val="36"/>
          <w:rtl/>
        </w:rPr>
        <w:t>كذلك</w:t>
      </w:r>
      <w:r w:rsidR="00051CCE" w:rsidRPr="00FD211F">
        <w:rPr>
          <w:sz w:val="36"/>
          <w:szCs w:val="36"/>
          <w:rtl/>
        </w:rPr>
        <w:t>.</w:t>
      </w:r>
    </w:p>
    <w:p w14:paraId="7257237B" w14:textId="77777777" w:rsidR="000C797D" w:rsidRPr="00FD211F" w:rsidRDefault="00051CCE" w:rsidP="009C58C8">
      <w:pPr>
        <w:ind w:left="0" w:firstLine="227"/>
        <w:jc w:val="both"/>
        <w:rPr>
          <w:sz w:val="36"/>
          <w:szCs w:val="36"/>
          <w:rtl/>
        </w:rPr>
      </w:pPr>
      <w:r w:rsidRPr="00FD211F">
        <w:rPr>
          <w:sz w:val="36"/>
          <w:szCs w:val="36"/>
          <w:rtl/>
        </w:rPr>
        <w:t>وفيه</w:t>
      </w:r>
      <w:r w:rsidR="00E8128F">
        <w:rPr>
          <w:sz w:val="36"/>
          <w:szCs w:val="36"/>
          <w:rtl/>
        </w:rPr>
        <w:t xml:space="preserve"> </w:t>
      </w:r>
      <w:r w:rsidRPr="00FD211F">
        <w:rPr>
          <w:b/>
          <w:bCs/>
          <w:sz w:val="36"/>
          <w:szCs w:val="36"/>
          <w:rtl/>
        </w:rPr>
        <w:t>اولا</w:t>
      </w:r>
      <w:r w:rsidRPr="00FD211F">
        <w:rPr>
          <w:sz w:val="36"/>
          <w:szCs w:val="36"/>
          <w:rtl/>
        </w:rPr>
        <w:t>:</w:t>
      </w:r>
      <w:r w:rsidR="00E8128F">
        <w:rPr>
          <w:sz w:val="36"/>
          <w:szCs w:val="36"/>
          <w:rtl/>
        </w:rPr>
        <w:t xml:space="preserve"> </w:t>
      </w:r>
      <w:r w:rsidR="0078573E" w:rsidRPr="00FD211F">
        <w:rPr>
          <w:sz w:val="36"/>
          <w:szCs w:val="36"/>
          <w:rtl/>
        </w:rPr>
        <w:t>انه</w:t>
      </w:r>
      <w:r w:rsidR="00E8128F">
        <w:rPr>
          <w:sz w:val="36"/>
          <w:szCs w:val="36"/>
          <w:rtl/>
        </w:rPr>
        <w:t xml:space="preserve"> </w:t>
      </w:r>
      <w:r w:rsidR="0078573E" w:rsidRPr="00FD211F">
        <w:rPr>
          <w:sz w:val="36"/>
          <w:szCs w:val="36"/>
          <w:rtl/>
        </w:rPr>
        <w:t>لو</w:t>
      </w:r>
      <w:r w:rsidR="00E8128F">
        <w:rPr>
          <w:sz w:val="36"/>
          <w:szCs w:val="36"/>
          <w:rtl/>
        </w:rPr>
        <w:t xml:space="preserve"> </w:t>
      </w:r>
      <w:r w:rsidR="0078573E" w:rsidRPr="00FD211F">
        <w:rPr>
          <w:sz w:val="36"/>
          <w:szCs w:val="36"/>
          <w:rtl/>
        </w:rPr>
        <w:t>تم</w:t>
      </w:r>
      <w:r w:rsidR="00E8128F">
        <w:rPr>
          <w:sz w:val="36"/>
          <w:szCs w:val="36"/>
          <w:rtl/>
        </w:rPr>
        <w:t xml:space="preserve"> </w:t>
      </w:r>
      <w:r w:rsidR="0078573E" w:rsidRPr="00FD211F">
        <w:rPr>
          <w:sz w:val="36"/>
          <w:szCs w:val="36"/>
          <w:rtl/>
        </w:rPr>
        <w:t>ذلك</w:t>
      </w:r>
      <w:r w:rsidR="00E8128F">
        <w:rPr>
          <w:sz w:val="36"/>
          <w:szCs w:val="36"/>
          <w:rtl/>
        </w:rPr>
        <w:t xml:space="preserve"> </w:t>
      </w:r>
      <w:r w:rsidR="0078573E" w:rsidRPr="00FD211F">
        <w:rPr>
          <w:sz w:val="36"/>
          <w:szCs w:val="36"/>
          <w:rtl/>
        </w:rPr>
        <w:t>فغايته</w:t>
      </w:r>
      <w:r w:rsidR="00E8128F">
        <w:rPr>
          <w:sz w:val="36"/>
          <w:szCs w:val="36"/>
          <w:rtl/>
        </w:rPr>
        <w:t xml:space="preserve"> </w:t>
      </w:r>
      <w:r w:rsidR="0078573E" w:rsidRPr="00FD211F">
        <w:rPr>
          <w:sz w:val="36"/>
          <w:szCs w:val="36"/>
          <w:rtl/>
        </w:rPr>
        <w:t>الالتزام</w:t>
      </w:r>
      <w:r w:rsidR="00E8128F">
        <w:rPr>
          <w:sz w:val="36"/>
          <w:szCs w:val="36"/>
          <w:rtl/>
        </w:rPr>
        <w:t xml:space="preserve"> </w:t>
      </w:r>
      <w:r w:rsidR="0078573E" w:rsidRPr="00FD211F">
        <w:rPr>
          <w:sz w:val="36"/>
          <w:szCs w:val="36"/>
          <w:rtl/>
        </w:rPr>
        <w:t>بكون</w:t>
      </w:r>
      <w:r w:rsidR="00E8128F">
        <w:rPr>
          <w:sz w:val="36"/>
          <w:szCs w:val="36"/>
          <w:rtl/>
        </w:rPr>
        <w:t xml:space="preserve"> </w:t>
      </w:r>
      <w:r w:rsidR="0078573E" w:rsidRPr="00FD211F">
        <w:rPr>
          <w:sz w:val="36"/>
          <w:szCs w:val="36"/>
          <w:rtl/>
        </w:rPr>
        <w:t>المشتق</w:t>
      </w:r>
      <w:r w:rsidR="00E8128F">
        <w:rPr>
          <w:sz w:val="36"/>
          <w:szCs w:val="36"/>
          <w:rtl/>
        </w:rPr>
        <w:t xml:space="preserve"> </w:t>
      </w:r>
      <w:r w:rsidR="0078573E" w:rsidRPr="00FD211F">
        <w:rPr>
          <w:sz w:val="36"/>
          <w:szCs w:val="36"/>
          <w:rtl/>
        </w:rPr>
        <w:t>حقيق</w:t>
      </w:r>
      <w:r w:rsidR="00EC7EDF" w:rsidRPr="00FD211F">
        <w:rPr>
          <w:sz w:val="36"/>
          <w:szCs w:val="36"/>
          <w:rtl/>
        </w:rPr>
        <w:t>ة</w:t>
      </w:r>
      <w:r w:rsidR="00E8128F">
        <w:rPr>
          <w:sz w:val="36"/>
          <w:szCs w:val="36"/>
          <w:rtl/>
        </w:rPr>
        <w:t xml:space="preserve"> </w:t>
      </w:r>
      <w:r w:rsidR="0078573E" w:rsidRPr="00FD211F">
        <w:rPr>
          <w:sz w:val="36"/>
          <w:szCs w:val="36"/>
          <w:rtl/>
        </w:rPr>
        <w:t>في</w:t>
      </w:r>
      <w:r w:rsidR="00E8128F">
        <w:rPr>
          <w:sz w:val="36"/>
          <w:szCs w:val="36"/>
          <w:rtl/>
        </w:rPr>
        <w:t xml:space="preserve"> </w:t>
      </w:r>
      <w:r w:rsidR="0078573E" w:rsidRPr="00FD211F">
        <w:rPr>
          <w:sz w:val="36"/>
          <w:szCs w:val="36"/>
          <w:rtl/>
        </w:rPr>
        <w:t>الاعم</w:t>
      </w:r>
      <w:r w:rsidR="00E8128F">
        <w:rPr>
          <w:sz w:val="36"/>
          <w:szCs w:val="36"/>
          <w:rtl/>
        </w:rPr>
        <w:t xml:space="preserve"> </w:t>
      </w:r>
      <w:r w:rsidR="000C797D" w:rsidRPr="00FD211F">
        <w:rPr>
          <w:sz w:val="36"/>
          <w:szCs w:val="36"/>
          <w:rtl/>
        </w:rPr>
        <w:t>فيما</w:t>
      </w:r>
      <w:r w:rsidR="00E8128F">
        <w:rPr>
          <w:sz w:val="36"/>
          <w:szCs w:val="36"/>
          <w:rtl/>
        </w:rPr>
        <w:t xml:space="preserve"> </w:t>
      </w:r>
      <w:r w:rsidR="000C797D" w:rsidRPr="00FD211F">
        <w:rPr>
          <w:sz w:val="36"/>
          <w:szCs w:val="36"/>
          <w:rtl/>
        </w:rPr>
        <w:t>اذا</w:t>
      </w:r>
      <w:r w:rsidR="00E8128F">
        <w:rPr>
          <w:sz w:val="36"/>
          <w:szCs w:val="36"/>
          <w:rtl/>
        </w:rPr>
        <w:t xml:space="preserve"> </w:t>
      </w:r>
      <w:r w:rsidR="000C797D" w:rsidRPr="00FD211F">
        <w:rPr>
          <w:sz w:val="36"/>
          <w:szCs w:val="36"/>
          <w:rtl/>
        </w:rPr>
        <w:t>كان</w:t>
      </w:r>
      <w:r w:rsidR="00E8128F">
        <w:rPr>
          <w:sz w:val="36"/>
          <w:szCs w:val="36"/>
          <w:rtl/>
        </w:rPr>
        <w:t xml:space="preserve"> </w:t>
      </w:r>
      <w:r w:rsidR="000C797D" w:rsidRPr="00FD211F">
        <w:rPr>
          <w:sz w:val="36"/>
          <w:szCs w:val="36"/>
          <w:rtl/>
        </w:rPr>
        <w:t>ال</w:t>
      </w:r>
      <w:r w:rsidR="0079493B" w:rsidRPr="00FD211F">
        <w:rPr>
          <w:sz w:val="36"/>
          <w:szCs w:val="36"/>
          <w:rtl/>
        </w:rPr>
        <w:t>مبدأ</w:t>
      </w:r>
      <w:r w:rsidR="00E8128F">
        <w:rPr>
          <w:sz w:val="36"/>
          <w:szCs w:val="36"/>
          <w:rtl/>
        </w:rPr>
        <w:t xml:space="preserve"> </w:t>
      </w:r>
      <w:r w:rsidR="000C797D" w:rsidRPr="00FD211F">
        <w:rPr>
          <w:sz w:val="36"/>
          <w:szCs w:val="36"/>
          <w:rtl/>
        </w:rPr>
        <w:t>آني</w:t>
      </w:r>
      <w:r w:rsidR="00E8128F">
        <w:rPr>
          <w:sz w:val="36"/>
          <w:szCs w:val="36"/>
          <w:rtl/>
        </w:rPr>
        <w:t xml:space="preserve"> </w:t>
      </w:r>
      <w:r w:rsidR="000C797D" w:rsidRPr="00FD211F">
        <w:rPr>
          <w:sz w:val="36"/>
          <w:szCs w:val="36"/>
          <w:rtl/>
        </w:rPr>
        <w:t>الوجود</w:t>
      </w:r>
      <w:r w:rsidR="00603323" w:rsidRPr="00FD211F">
        <w:rPr>
          <w:sz w:val="36"/>
          <w:szCs w:val="36"/>
          <w:rtl/>
        </w:rPr>
        <w:t>،</w:t>
      </w:r>
      <w:r w:rsidR="00E8128F">
        <w:rPr>
          <w:sz w:val="36"/>
          <w:szCs w:val="36"/>
          <w:rtl/>
        </w:rPr>
        <w:t xml:space="preserve"> </w:t>
      </w:r>
      <w:r w:rsidR="00AF0EE1" w:rsidRPr="00FD211F">
        <w:rPr>
          <w:sz w:val="36"/>
          <w:szCs w:val="36"/>
          <w:rtl/>
        </w:rPr>
        <w:t>لااستمراري</w:t>
      </w:r>
      <w:r w:rsidR="00E8128F">
        <w:rPr>
          <w:sz w:val="36"/>
          <w:szCs w:val="36"/>
          <w:rtl/>
        </w:rPr>
        <w:t xml:space="preserve"> </w:t>
      </w:r>
      <w:r w:rsidR="00AF0EE1" w:rsidRPr="00FD211F">
        <w:rPr>
          <w:sz w:val="36"/>
          <w:szCs w:val="36"/>
          <w:rtl/>
        </w:rPr>
        <w:t>ال</w:t>
      </w:r>
      <w:r w:rsidR="0078573E" w:rsidRPr="00FD211F">
        <w:rPr>
          <w:sz w:val="36"/>
          <w:szCs w:val="36"/>
          <w:rtl/>
        </w:rPr>
        <w:t>وجود</w:t>
      </w:r>
      <w:r w:rsidR="00E8128F">
        <w:rPr>
          <w:sz w:val="36"/>
          <w:szCs w:val="36"/>
          <w:rtl/>
        </w:rPr>
        <w:t xml:space="preserve"> </w:t>
      </w:r>
      <w:r w:rsidR="00AF0EE1" w:rsidRPr="00FD211F">
        <w:rPr>
          <w:sz w:val="36"/>
          <w:szCs w:val="36"/>
          <w:rtl/>
        </w:rPr>
        <w:t>كما</w:t>
      </w:r>
      <w:r w:rsidR="00E8128F">
        <w:rPr>
          <w:sz w:val="36"/>
          <w:szCs w:val="36"/>
          <w:rtl/>
        </w:rPr>
        <w:t xml:space="preserve"> </w:t>
      </w:r>
      <w:r w:rsidR="00AF0EE1" w:rsidRPr="00FD211F">
        <w:rPr>
          <w:sz w:val="36"/>
          <w:szCs w:val="36"/>
          <w:rtl/>
        </w:rPr>
        <w:t>في</w:t>
      </w:r>
      <w:r w:rsidR="00E8128F">
        <w:rPr>
          <w:sz w:val="36"/>
          <w:szCs w:val="36"/>
          <w:rtl/>
        </w:rPr>
        <w:t xml:space="preserve"> </w:t>
      </w:r>
      <w:r w:rsidR="0078573E" w:rsidRPr="00FD211F">
        <w:rPr>
          <w:sz w:val="36"/>
          <w:szCs w:val="36"/>
          <w:rtl/>
        </w:rPr>
        <w:t>المعبود</w:t>
      </w:r>
      <w:r w:rsidR="00E8128F">
        <w:rPr>
          <w:sz w:val="36"/>
          <w:szCs w:val="36"/>
          <w:rtl/>
        </w:rPr>
        <w:t xml:space="preserve"> </w:t>
      </w:r>
      <w:r w:rsidR="0078573E" w:rsidRPr="00FD211F">
        <w:rPr>
          <w:sz w:val="36"/>
          <w:szCs w:val="36"/>
          <w:rtl/>
        </w:rPr>
        <w:t>والمحبوب</w:t>
      </w:r>
      <w:r w:rsidR="00E8128F">
        <w:rPr>
          <w:sz w:val="36"/>
          <w:szCs w:val="36"/>
          <w:rtl/>
        </w:rPr>
        <w:t xml:space="preserve"> </w:t>
      </w:r>
      <w:r w:rsidR="0078573E" w:rsidRPr="00FD211F">
        <w:rPr>
          <w:sz w:val="36"/>
          <w:szCs w:val="36"/>
          <w:rtl/>
        </w:rPr>
        <w:t>ونحو</w:t>
      </w:r>
      <w:r w:rsidR="00E8128F">
        <w:rPr>
          <w:sz w:val="36"/>
          <w:szCs w:val="36"/>
          <w:rtl/>
        </w:rPr>
        <w:t xml:space="preserve"> </w:t>
      </w:r>
      <w:r w:rsidR="0078573E" w:rsidRPr="00FD211F">
        <w:rPr>
          <w:sz w:val="36"/>
          <w:szCs w:val="36"/>
          <w:rtl/>
        </w:rPr>
        <w:t>ذلك</w:t>
      </w:r>
      <w:r w:rsidR="00603323" w:rsidRPr="00FD211F">
        <w:rPr>
          <w:sz w:val="36"/>
          <w:szCs w:val="36"/>
          <w:rtl/>
        </w:rPr>
        <w:t>،</w:t>
      </w:r>
      <w:r w:rsidR="00E8128F">
        <w:rPr>
          <w:sz w:val="36"/>
          <w:szCs w:val="36"/>
          <w:rtl/>
        </w:rPr>
        <w:t xml:space="preserve"> </w:t>
      </w:r>
      <w:r w:rsidR="000C797D" w:rsidRPr="00FD211F">
        <w:rPr>
          <w:sz w:val="36"/>
          <w:szCs w:val="36"/>
          <w:rtl/>
        </w:rPr>
        <w:t>وعن</w:t>
      </w:r>
      <w:r w:rsidR="00E8128F">
        <w:rPr>
          <w:sz w:val="36"/>
          <w:szCs w:val="36"/>
          <w:rtl/>
        </w:rPr>
        <w:t xml:space="preserve"> </w:t>
      </w:r>
      <w:r w:rsidR="000C797D" w:rsidRPr="00FD211F">
        <w:rPr>
          <w:sz w:val="36"/>
          <w:szCs w:val="36"/>
          <w:rtl/>
        </w:rPr>
        <w:t>السيد</w:t>
      </w:r>
      <w:r w:rsidR="00E8128F">
        <w:rPr>
          <w:sz w:val="36"/>
          <w:szCs w:val="36"/>
          <w:rtl/>
        </w:rPr>
        <w:t xml:space="preserve"> </w:t>
      </w:r>
      <w:r w:rsidR="000C797D" w:rsidRPr="00FD211F">
        <w:rPr>
          <w:sz w:val="36"/>
          <w:szCs w:val="36"/>
          <w:rtl/>
        </w:rPr>
        <w:t>البروجردي</w:t>
      </w:r>
      <w:r w:rsidR="00E8128F">
        <w:rPr>
          <w:sz w:val="36"/>
          <w:szCs w:val="36"/>
          <w:rtl/>
        </w:rPr>
        <w:t xml:space="preserve"> </w:t>
      </w:r>
      <w:r w:rsidR="00B1734E" w:rsidRPr="00FD211F">
        <w:rPr>
          <w:sz w:val="36"/>
          <w:szCs w:val="36"/>
          <w:rtl/>
        </w:rPr>
        <w:t>"قده"</w:t>
      </w:r>
      <w:r w:rsidR="00E8128F">
        <w:rPr>
          <w:sz w:val="36"/>
          <w:szCs w:val="36"/>
          <w:rtl/>
        </w:rPr>
        <w:t xml:space="preserve"> </w:t>
      </w:r>
      <w:r w:rsidR="000C797D" w:rsidRPr="00FD211F">
        <w:rPr>
          <w:sz w:val="36"/>
          <w:szCs w:val="36"/>
          <w:rtl/>
        </w:rPr>
        <w:t>انه</w:t>
      </w:r>
      <w:r w:rsidR="00E8128F">
        <w:rPr>
          <w:sz w:val="36"/>
          <w:szCs w:val="36"/>
          <w:rtl/>
        </w:rPr>
        <w:t xml:space="preserve"> </w:t>
      </w:r>
      <w:r w:rsidR="000C797D" w:rsidRPr="00FD211F">
        <w:rPr>
          <w:sz w:val="36"/>
          <w:szCs w:val="36"/>
          <w:rtl/>
        </w:rPr>
        <w:t>كان</w:t>
      </w:r>
      <w:r w:rsidR="00E8128F">
        <w:rPr>
          <w:sz w:val="36"/>
          <w:szCs w:val="36"/>
          <w:rtl/>
        </w:rPr>
        <w:t xml:space="preserve"> </w:t>
      </w:r>
      <w:r w:rsidR="000C797D" w:rsidRPr="00FD211F">
        <w:rPr>
          <w:sz w:val="36"/>
          <w:szCs w:val="36"/>
          <w:rtl/>
        </w:rPr>
        <w:t>يقول</w:t>
      </w:r>
      <w:r w:rsidR="00E8128F">
        <w:rPr>
          <w:sz w:val="36"/>
          <w:szCs w:val="36"/>
          <w:rtl/>
        </w:rPr>
        <w:t xml:space="preserve"> </w:t>
      </w:r>
      <w:r w:rsidR="000C797D" w:rsidRPr="00FD211F">
        <w:rPr>
          <w:sz w:val="36"/>
          <w:szCs w:val="36"/>
          <w:rtl/>
        </w:rPr>
        <w:t>به</w:t>
      </w:r>
      <w:r w:rsidR="00E8128F">
        <w:rPr>
          <w:sz w:val="36"/>
          <w:szCs w:val="36"/>
          <w:rtl/>
        </w:rPr>
        <w:t xml:space="preserve"> </w:t>
      </w:r>
      <w:r w:rsidR="000C797D" w:rsidRPr="00FD211F">
        <w:rPr>
          <w:sz w:val="36"/>
          <w:szCs w:val="36"/>
          <w:rtl/>
        </w:rPr>
        <w:t>سابقا.</w:t>
      </w:r>
    </w:p>
    <w:p w14:paraId="13F92A16" w14:textId="77777777" w:rsidR="00487ECF" w:rsidRPr="00FD211F" w:rsidRDefault="0078573E" w:rsidP="009C58C8">
      <w:pPr>
        <w:ind w:left="0" w:firstLine="227"/>
        <w:jc w:val="both"/>
        <w:rPr>
          <w:sz w:val="36"/>
          <w:szCs w:val="36"/>
          <w:rtl/>
        </w:rPr>
      </w:pPr>
      <w:r w:rsidRPr="00FD211F">
        <w:rPr>
          <w:b/>
          <w:bCs/>
          <w:sz w:val="36"/>
          <w:szCs w:val="36"/>
          <w:rtl/>
        </w:rPr>
        <w:t>وثانيا</w:t>
      </w:r>
      <w:r w:rsidR="00AF0EE1" w:rsidRPr="00FD211F">
        <w:rPr>
          <w:sz w:val="36"/>
          <w:szCs w:val="36"/>
          <w:rtl/>
        </w:rPr>
        <w:t>:</w:t>
      </w:r>
      <w:r w:rsidR="00E8128F">
        <w:rPr>
          <w:sz w:val="36"/>
          <w:szCs w:val="36"/>
          <w:rtl/>
        </w:rPr>
        <w:t xml:space="preserve"> </w:t>
      </w:r>
      <w:r w:rsidR="00AF0EE1" w:rsidRPr="00FD211F">
        <w:rPr>
          <w:sz w:val="36"/>
          <w:szCs w:val="36"/>
          <w:rtl/>
        </w:rPr>
        <w:t>ان</w:t>
      </w:r>
      <w:r w:rsidR="00E8128F">
        <w:rPr>
          <w:sz w:val="36"/>
          <w:szCs w:val="36"/>
          <w:rtl/>
        </w:rPr>
        <w:t xml:space="preserve"> </w:t>
      </w:r>
      <w:r w:rsidR="00AF0EE1" w:rsidRPr="00FD211F">
        <w:rPr>
          <w:sz w:val="36"/>
          <w:szCs w:val="36"/>
          <w:rtl/>
        </w:rPr>
        <w:t>هذا</w:t>
      </w:r>
      <w:r w:rsidR="00E8128F">
        <w:rPr>
          <w:sz w:val="36"/>
          <w:szCs w:val="36"/>
          <w:rtl/>
        </w:rPr>
        <w:t xml:space="preserve"> </w:t>
      </w:r>
      <w:r w:rsidR="00AF0EE1" w:rsidRPr="00FD211F">
        <w:rPr>
          <w:sz w:val="36"/>
          <w:szCs w:val="36"/>
          <w:rtl/>
        </w:rPr>
        <w:t>التبادر</w:t>
      </w:r>
      <w:r w:rsidR="00E8128F">
        <w:rPr>
          <w:sz w:val="36"/>
          <w:szCs w:val="36"/>
          <w:rtl/>
        </w:rPr>
        <w:t xml:space="preserve"> </w:t>
      </w:r>
      <w:r w:rsidRPr="00FD211F">
        <w:rPr>
          <w:sz w:val="36"/>
          <w:szCs w:val="36"/>
          <w:rtl/>
        </w:rPr>
        <w:t>ممنوع</w:t>
      </w:r>
      <w:r w:rsidR="00603323" w:rsidRPr="00FD211F">
        <w:rPr>
          <w:sz w:val="36"/>
          <w:szCs w:val="36"/>
          <w:rtl/>
        </w:rPr>
        <w:t>،</w:t>
      </w:r>
      <w:r w:rsidR="00E8128F">
        <w:rPr>
          <w:sz w:val="36"/>
          <w:szCs w:val="36"/>
          <w:rtl/>
        </w:rPr>
        <w:t xml:space="preserve"> </w:t>
      </w:r>
      <w:r w:rsidR="00A90EDA" w:rsidRPr="00FD211F">
        <w:rPr>
          <w:sz w:val="36"/>
          <w:szCs w:val="36"/>
          <w:rtl/>
        </w:rPr>
        <w:t>ولأجل</w:t>
      </w:r>
      <w:r w:rsidR="00E8128F">
        <w:rPr>
          <w:sz w:val="36"/>
          <w:szCs w:val="36"/>
          <w:rtl/>
        </w:rPr>
        <w:t xml:space="preserve"> </w:t>
      </w:r>
      <w:r w:rsidR="00A90EDA" w:rsidRPr="00FD211F">
        <w:rPr>
          <w:sz w:val="36"/>
          <w:szCs w:val="36"/>
          <w:rtl/>
        </w:rPr>
        <w:t>ذلك</w:t>
      </w:r>
      <w:r w:rsidR="00E8128F">
        <w:rPr>
          <w:sz w:val="36"/>
          <w:szCs w:val="36"/>
          <w:rtl/>
        </w:rPr>
        <w:t xml:space="preserve"> </w:t>
      </w:r>
      <w:r w:rsidR="00116A02" w:rsidRPr="00FD211F">
        <w:rPr>
          <w:sz w:val="36"/>
          <w:szCs w:val="36"/>
          <w:rtl/>
        </w:rPr>
        <w:t>يصح</w:t>
      </w:r>
      <w:r w:rsidR="00E8128F">
        <w:rPr>
          <w:sz w:val="36"/>
          <w:szCs w:val="36"/>
          <w:rtl/>
        </w:rPr>
        <w:t xml:space="preserve"> </w:t>
      </w:r>
      <w:r w:rsidR="00116A02" w:rsidRPr="00FD211F">
        <w:rPr>
          <w:sz w:val="36"/>
          <w:szCs w:val="36"/>
          <w:rtl/>
        </w:rPr>
        <w:t>ان</w:t>
      </w:r>
      <w:r w:rsidR="00E8128F">
        <w:rPr>
          <w:sz w:val="36"/>
          <w:szCs w:val="36"/>
          <w:rtl/>
        </w:rPr>
        <w:t xml:space="preserve"> </w:t>
      </w:r>
      <w:r w:rsidRPr="00FD211F">
        <w:rPr>
          <w:sz w:val="36"/>
          <w:szCs w:val="36"/>
          <w:rtl/>
        </w:rPr>
        <w:t>يقال</w:t>
      </w:r>
      <w:r w:rsidR="00AF0EE1" w:rsidRPr="00FD211F">
        <w:rPr>
          <w:sz w:val="36"/>
          <w:szCs w:val="36"/>
          <w:rtl/>
        </w:rPr>
        <w:t>"</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فعلا</w:t>
      </w:r>
      <w:r w:rsidR="00E8128F">
        <w:rPr>
          <w:sz w:val="36"/>
          <w:szCs w:val="36"/>
          <w:rtl/>
        </w:rPr>
        <w:t xml:space="preserve"> </w:t>
      </w:r>
      <w:r w:rsidR="00A90EDA" w:rsidRPr="00FD211F">
        <w:rPr>
          <w:sz w:val="36"/>
          <w:szCs w:val="36"/>
          <w:rtl/>
        </w:rPr>
        <w:t>ليس</w:t>
      </w:r>
      <w:r w:rsidR="00E8128F">
        <w:rPr>
          <w:sz w:val="36"/>
          <w:szCs w:val="36"/>
          <w:rtl/>
        </w:rPr>
        <w:t xml:space="preserve"> </w:t>
      </w:r>
      <w:r w:rsidR="00116A02" w:rsidRPr="00FD211F">
        <w:rPr>
          <w:sz w:val="36"/>
          <w:szCs w:val="36"/>
          <w:rtl/>
        </w:rPr>
        <w:t>بمضروب</w:t>
      </w:r>
      <w:r w:rsidR="00E8128F">
        <w:rPr>
          <w:sz w:val="36"/>
          <w:szCs w:val="36"/>
          <w:rtl/>
        </w:rPr>
        <w:t xml:space="preserve"> </w:t>
      </w:r>
      <w:r w:rsidR="00116A02" w:rsidRPr="00FD211F">
        <w:rPr>
          <w:sz w:val="36"/>
          <w:szCs w:val="36"/>
          <w:rtl/>
        </w:rPr>
        <w:t>ولاضارب</w:t>
      </w:r>
      <w:r w:rsidR="00A90EDA" w:rsidRPr="00FD211F">
        <w:rPr>
          <w:sz w:val="36"/>
          <w:szCs w:val="36"/>
          <w:rtl/>
        </w:rPr>
        <w:t>"</w:t>
      </w:r>
      <w:r w:rsidR="00603323" w:rsidRPr="00FD211F">
        <w:rPr>
          <w:sz w:val="36"/>
          <w:szCs w:val="36"/>
          <w:rtl/>
        </w:rPr>
        <w:t>،</w:t>
      </w:r>
      <w:r w:rsidR="00E8128F">
        <w:rPr>
          <w:sz w:val="36"/>
          <w:szCs w:val="36"/>
          <w:rtl/>
        </w:rPr>
        <w:t xml:space="preserve"> </w:t>
      </w:r>
      <w:r w:rsidR="00116A02" w:rsidRPr="00FD211F">
        <w:rPr>
          <w:sz w:val="36"/>
          <w:szCs w:val="36"/>
          <w:rtl/>
        </w:rPr>
        <w:t>ففي</w:t>
      </w:r>
      <w:r w:rsidR="00E8128F">
        <w:rPr>
          <w:sz w:val="36"/>
          <w:szCs w:val="36"/>
          <w:rtl/>
        </w:rPr>
        <w:t xml:space="preserve"> </w:t>
      </w:r>
      <w:r w:rsidRPr="00FD211F">
        <w:rPr>
          <w:sz w:val="36"/>
          <w:szCs w:val="36"/>
          <w:rtl/>
        </w:rPr>
        <w:t>مثال</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مضروب"</w:t>
      </w:r>
      <w:r w:rsidR="00E8128F">
        <w:rPr>
          <w:sz w:val="36"/>
          <w:szCs w:val="36"/>
          <w:rtl/>
        </w:rPr>
        <w:t xml:space="preserve"> </w:t>
      </w:r>
      <w:r w:rsidRPr="00FD211F">
        <w:rPr>
          <w:sz w:val="36"/>
          <w:szCs w:val="36"/>
          <w:rtl/>
        </w:rPr>
        <w:t>اذا</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الاستعمال</w:t>
      </w:r>
      <w:r w:rsidR="00E8128F">
        <w:rPr>
          <w:sz w:val="36"/>
          <w:szCs w:val="36"/>
          <w:rtl/>
        </w:rPr>
        <w:t xml:space="preserve"> </w:t>
      </w:r>
      <w:r w:rsidRPr="00FD211F">
        <w:rPr>
          <w:sz w:val="36"/>
          <w:szCs w:val="36"/>
          <w:rtl/>
        </w:rPr>
        <w:t>بلحاظ</w:t>
      </w:r>
      <w:r w:rsidR="00E8128F">
        <w:rPr>
          <w:sz w:val="36"/>
          <w:szCs w:val="36"/>
          <w:rtl/>
        </w:rPr>
        <w:t xml:space="preserve"> </w:t>
      </w:r>
      <w:r w:rsidRPr="00FD211F">
        <w:rPr>
          <w:sz w:val="36"/>
          <w:szCs w:val="36"/>
          <w:rtl/>
        </w:rPr>
        <w:t>وقوع</w:t>
      </w:r>
      <w:r w:rsidR="00E8128F">
        <w:rPr>
          <w:sz w:val="36"/>
          <w:szCs w:val="36"/>
          <w:rtl/>
        </w:rPr>
        <w:t xml:space="preserve"> </w:t>
      </w:r>
      <w:r w:rsidRPr="00FD211F">
        <w:rPr>
          <w:sz w:val="36"/>
          <w:szCs w:val="36"/>
          <w:rtl/>
        </w:rPr>
        <w:t>الضرب</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سابقا</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الاسناد</w:t>
      </w:r>
      <w:r w:rsidR="00E8128F">
        <w:rPr>
          <w:sz w:val="36"/>
          <w:szCs w:val="36"/>
          <w:rtl/>
        </w:rPr>
        <w:t xml:space="preserve"> </w:t>
      </w:r>
      <w:r w:rsidR="00116A02" w:rsidRPr="00FD211F">
        <w:rPr>
          <w:sz w:val="36"/>
          <w:szCs w:val="36"/>
          <w:rtl/>
        </w:rPr>
        <w:t>ب</w:t>
      </w:r>
      <w:r w:rsidRPr="00FD211F">
        <w:rPr>
          <w:sz w:val="36"/>
          <w:szCs w:val="36"/>
          <w:rtl/>
        </w:rPr>
        <w:t>لحاظ</w:t>
      </w:r>
      <w:r w:rsidR="00E8128F">
        <w:rPr>
          <w:sz w:val="36"/>
          <w:szCs w:val="36"/>
          <w:rtl/>
        </w:rPr>
        <w:t xml:space="preserve"> </w:t>
      </w:r>
      <w:r w:rsidR="00116A02" w:rsidRPr="00FD211F">
        <w:rPr>
          <w:sz w:val="36"/>
          <w:szCs w:val="36"/>
          <w:rtl/>
        </w:rPr>
        <w:t>حال</w:t>
      </w:r>
      <w:r w:rsidR="00E8128F">
        <w:rPr>
          <w:sz w:val="36"/>
          <w:szCs w:val="36"/>
          <w:rtl/>
        </w:rPr>
        <w:t xml:space="preserve"> </w:t>
      </w:r>
      <w:r w:rsidR="00116A02" w:rsidRPr="00FD211F">
        <w:rPr>
          <w:sz w:val="36"/>
          <w:szCs w:val="36"/>
          <w:rtl/>
        </w:rPr>
        <w:t>التلبس</w:t>
      </w:r>
      <w:r w:rsidR="00E8128F">
        <w:rPr>
          <w:sz w:val="36"/>
          <w:szCs w:val="36"/>
          <w:rtl/>
        </w:rPr>
        <w:t xml:space="preserve"> </w:t>
      </w:r>
      <w:r w:rsidR="00116A02" w:rsidRPr="00FD211F">
        <w:rPr>
          <w:sz w:val="36"/>
          <w:szCs w:val="36"/>
          <w:rtl/>
        </w:rPr>
        <w:t>اي</w:t>
      </w:r>
      <w:r w:rsidR="00E8128F">
        <w:rPr>
          <w:sz w:val="36"/>
          <w:szCs w:val="36"/>
          <w:rtl/>
        </w:rPr>
        <w:t xml:space="preserve"> </w:t>
      </w:r>
      <w:r w:rsidR="00116A02" w:rsidRPr="00FD211F">
        <w:rPr>
          <w:sz w:val="36"/>
          <w:szCs w:val="36"/>
          <w:rtl/>
        </w:rPr>
        <w:t>كان</w:t>
      </w:r>
      <w:r w:rsidR="00E8128F">
        <w:rPr>
          <w:sz w:val="36"/>
          <w:szCs w:val="36"/>
          <w:rtl/>
        </w:rPr>
        <w:t xml:space="preserve"> </w:t>
      </w:r>
      <w:r w:rsidR="00116A02" w:rsidRPr="00FD211F">
        <w:rPr>
          <w:sz w:val="36"/>
          <w:szCs w:val="36"/>
          <w:rtl/>
        </w:rPr>
        <w:t>مضروبا.</w:t>
      </w:r>
    </w:p>
    <w:p w14:paraId="58D03FF8" w14:textId="77777777" w:rsidR="0078573E" w:rsidRPr="00FD211F" w:rsidRDefault="0078573E" w:rsidP="009C58C8">
      <w:pPr>
        <w:ind w:left="0" w:firstLine="227"/>
        <w:jc w:val="both"/>
        <w:rPr>
          <w:sz w:val="36"/>
          <w:szCs w:val="36"/>
          <w:rtl/>
        </w:rPr>
      </w:pPr>
      <w:r w:rsidRPr="00FD211F">
        <w:rPr>
          <w:sz w:val="36"/>
          <w:szCs w:val="36"/>
          <w:rtl/>
        </w:rPr>
        <w:t>نعم</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المتعارف</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انقضاء</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بالمبدأ</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المشتقات</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مبدأها</w:t>
      </w:r>
      <w:r w:rsidR="00E8128F">
        <w:rPr>
          <w:sz w:val="36"/>
          <w:szCs w:val="36"/>
          <w:rtl/>
        </w:rPr>
        <w:t xml:space="preserve"> </w:t>
      </w:r>
      <w:r w:rsidRPr="00FD211F">
        <w:rPr>
          <w:sz w:val="36"/>
          <w:szCs w:val="36"/>
          <w:rtl/>
        </w:rPr>
        <w:t>آني</w:t>
      </w:r>
      <w:r w:rsidR="00E8128F">
        <w:rPr>
          <w:sz w:val="36"/>
          <w:szCs w:val="36"/>
          <w:rtl/>
        </w:rPr>
        <w:t xml:space="preserve"> </w:t>
      </w:r>
      <w:r w:rsidRPr="00FD211F">
        <w:rPr>
          <w:sz w:val="36"/>
          <w:szCs w:val="36"/>
          <w:rtl/>
        </w:rPr>
        <w:t>الوجود</w:t>
      </w:r>
      <w:r w:rsidR="00E8128F">
        <w:rPr>
          <w:sz w:val="36"/>
          <w:szCs w:val="36"/>
          <w:rtl/>
        </w:rPr>
        <w:t xml:space="preserve"> </w:t>
      </w:r>
      <w:r w:rsidRPr="00FD211F">
        <w:rPr>
          <w:sz w:val="36"/>
          <w:szCs w:val="36"/>
          <w:rtl/>
        </w:rPr>
        <w:t>فلاينعقد</w:t>
      </w:r>
      <w:r w:rsidR="00E8128F">
        <w:rPr>
          <w:sz w:val="36"/>
          <w:szCs w:val="36"/>
          <w:rtl/>
        </w:rPr>
        <w:t xml:space="preserve"> </w:t>
      </w:r>
      <w:r w:rsidRPr="00FD211F">
        <w:rPr>
          <w:sz w:val="36"/>
          <w:szCs w:val="36"/>
          <w:rtl/>
        </w:rPr>
        <w:t>ظهور</w:t>
      </w:r>
      <w:r w:rsidR="00E8128F">
        <w:rPr>
          <w:sz w:val="36"/>
          <w:szCs w:val="36"/>
          <w:rtl/>
        </w:rPr>
        <w:t xml:space="preserve"> </w:t>
      </w:r>
      <w:r w:rsidRPr="00FD211F">
        <w:rPr>
          <w:sz w:val="36"/>
          <w:szCs w:val="36"/>
          <w:rtl/>
        </w:rPr>
        <w:t>انصرافي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اتحاد</w:t>
      </w:r>
      <w:r w:rsidR="00E8128F">
        <w:rPr>
          <w:sz w:val="36"/>
          <w:szCs w:val="36"/>
          <w:rtl/>
        </w:rPr>
        <w:t xml:space="preserve"> </w:t>
      </w:r>
      <w:r w:rsidRPr="00FD211F">
        <w:rPr>
          <w:sz w:val="36"/>
          <w:szCs w:val="36"/>
          <w:rtl/>
        </w:rPr>
        <w:t>زمان</w:t>
      </w:r>
      <w:r w:rsidR="00E8128F">
        <w:rPr>
          <w:sz w:val="36"/>
          <w:szCs w:val="36"/>
          <w:rtl/>
        </w:rPr>
        <w:t xml:space="preserve"> </w:t>
      </w:r>
      <w:r w:rsidRPr="00FD211F">
        <w:rPr>
          <w:sz w:val="36"/>
          <w:szCs w:val="36"/>
          <w:rtl/>
        </w:rPr>
        <w:t>الاسناد</w:t>
      </w:r>
      <w:r w:rsidR="00E8128F">
        <w:rPr>
          <w:sz w:val="36"/>
          <w:szCs w:val="36"/>
          <w:rtl/>
        </w:rPr>
        <w:t xml:space="preserve"> </w:t>
      </w:r>
      <w:r w:rsidRPr="00FD211F">
        <w:rPr>
          <w:sz w:val="36"/>
          <w:szCs w:val="36"/>
          <w:rtl/>
        </w:rPr>
        <w:t>والنطق</w:t>
      </w:r>
      <w:r w:rsidR="003B4715" w:rsidRPr="00FD211F">
        <w:rPr>
          <w:sz w:val="36"/>
          <w:szCs w:val="36"/>
          <w:rtl/>
        </w:rPr>
        <w:t>.</w:t>
      </w:r>
    </w:p>
    <w:p w14:paraId="4832ECDA" w14:textId="77777777" w:rsidR="00003B72" w:rsidRPr="00FD211F" w:rsidRDefault="000C797D" w:rsidP="009C58C8">
      <w:pPr>
        <w:ind w:left="0" w:firstLine="227"/>
        <w:jc w:val="both"/>
        <w:rPr>
          <w:sz w:val="36"/>
          <w:szCs w:val="36"/>
          <w:rtl/>
        </w:rPr>
      </w:pPr>
      <w:r w:rsidRPr="00FD211F">
        <w:rPr>
          <w:b/>
          <w:bCs/>
          <w:sz w:val="36"/>
          <w:szCs w:val="36"/>
          <w:rtl/>
        </w:rPr>
        <w:t>الثاني</w:t>
      </w:r>
      <w:r w:rsidRPr="00FD211F">
        <w:rPr>
          <w:sz w:val="36"/>
          <w:szCs w:val="36"/>
          <w:rtl/>
        </w:rPr>
        <w:t>:</w:t>
      </w:r>
      <w:r w:rsidR="00E8128F">
        <w:rPr>
          <w:sz w:val="36"/>
          <w:szCs w:val="36"/>
          <w:rtl/>
        </w:rPr>
        <w:t xml:space="preserve"> </w:t>
      </w:r>
      <w:r w:rsidR="00116A02" w:rsidRPr="00FD211F">
        <w:rPr>
          <w:sz w:val="36"/>
          <w:szCs w:val="36"/>
          <w:rtl/>
        </w:rPr>
        <w:t>قوله</w:t>
      </w:r>
      <w:r w:rsidR="00E8128F">
        <w:rPr>
          <w:sz w:val="36"/>
          <w:szCs w:val="36"/>
          <w:rtl/>
        </w:rPr>
        <w:t xml:space="preserve"> </w:t>
      </w:r>
      <w:r w:rsidR="00116A02" w:rsidRPr="00FD211F">
        <w:rPr>
          <w:sz w:val="36"/>
          <w:szCs w:val="36"/>
          <w:rtl/>
        </w:rPr>
        <w:t>تعالى</w:t>
      </w:r>
      <w:r w:rsidR="005428C4" w:rsidRPr="00FD211F">
        <w:rPr>
          <w:sz w:val="36"/>
          <w:szCs w:val="36"/>
          <w:rtl/>
        </w:rPr>
        <w:t>"</w:t>
      </w:r>
      <w:r w:rsidR="00E8128F">
        <w:rPr>
          <w:sz w:val="36"/>
          <w:szCs w:val="36"/>
          <w:rtl/>
        </w:rPr>
        <w:t xml:space="preserve"> </w:t>
      </w:r>
      <w:r w:rsidR="00116A02" w:rsidRPr="00FD211F">
        <w:rPr>
          <w:sz w:val="36"/>
          <w:szCs w:val="36"/>
          <w:rtl/>
        </w:rPr>
        <w:t>الزاني</w:t>
      </w:r>
      <w:r w:rsidR="00EC7EDF" w:rsidRPr="00FD211F">
        <w:rPr>
          <w:sz w:val="36"/>
          <w:szCs w:val="36"/>
          <w:rtl/>
        </w:rPr>
        <w:t>ة</w:t>
      </w:r>
      <w:r w:rsidR="00E8128F">
        <w:rPr>
          <w:sz w:val="36"/>
          <w:szCs w:val="36"/>
          <w:rtl/>
        </w:rPr>
        <w:t xml:space="preserve"> </w:t>
      </w:r>
      <w:r w:rsidR="00116A02" w:rsidRPr="00FD211F">
        <w:rPr>
          <w:sz w:val="36"/>
          <w:szCs w:val="36"/>
          <w:rtl/>
        </w:rPr>
        <w:t>والزاني</w:t>
      </w:r>
      <w:r w:rsidR="00E8128F">
        <w:rPr>
          <w:sz w:val="36"/>
          <w:szCs w:val="36"/>
          <w:rtl/>
        </w:rPr>
        <w:t xml:space="preserve"> </w:t>
      </w:r>
      <w:r w:rsidR="00116A02" w:rsidRPr="00FD211F">
        <w:rPr>
          <w:sz w:val="36"/>
          <w:szCs w:val="36"/>
          <w:rtl/>
        </w:rPr>
        <w:t>فاجلدوا</w:t>
      </w:r>
      <w:r w:rsidR="00E8128F">
        <w:rPr>
          <w:sz w:val="36"/>
          <w:szCs w:val="36"/>
          <w:rtl/>
        </w:rPr>
        <w:t xml:space="preserve"> </w:t>
      </w:r>
      <w:r w:rsidR="00116A02" w:rsidRPr="00FD211F">
        <w:rPr>
          <w:sz w:val="36"/>
          <w:szCs w:val="36"/>
          <w:rtl/>
        </w:rPr>
        <w:t>كل</w:t>
      </w:r>
      <w:r w:rsidR="00E8128F">
        <w:rPr>
          <w:sz w:val="36"/>
          <w:szCs w:val="36"/>
          <w:rtl/>
        </w:rPr>
        <w:t xml:space="preserve"> </w:t>
      </w:r>
      <w:r w:rsidR="00116A02" w:rsidRPr="00FD211F">
        <w:rPr>
          <w:sz w:val="36"/>
          <w:szCs w:val="36"/>
          <w:rtl/>
        </w:rPr>
        <w:t>واحد</w:t>
      </w:r>
      <w:r w:rsidR="00E8128F">
        <w:rPr>
          <w:sz w:val="36"/>
          <w:szCs w:val="36"/>
          <w:rtl/>
        </w:rPr>
        <w:t xml:space="preserve"> </w:t>
      </w:r>
      <w:r w:rsidR="00116A02" w:rsidRPr="00FD211F">
        <w:rPr>
          <w:sz w:val="36"/>
          <w:szCs w:val="36"/>
          <w:rtl/>
        </w:rPr>
        <w:t>منهما</w:t>
      </w:r>
      <w:r w:rsidR="00E8128F">
        <w:rPr>
          <w:sz w:val="36"/>
          <w:szCs w:val="36"/>
          <w:rtl/>
        </w:rPr>
        <w:t xml:space="preserve"> </w:t>
      </w:r>
      <w:r w:rsidR="00116A02" w:rsidRPr="00FD211F">
        <w:rPr>
          <w:sz w:val="36"/>
          <w:szCs w:val="36"/>
          <w:rtl/>
        </w:rPr>
        <w:t>مأ</w:t>
      </w:r>
      <w:r w:rsidR="00EC7EDF" w:rsidRPr="00FD211F">
        <w:rPr>
          <w:sz w:val="36"/>
          <w:szCs w:val="36"/>
          <w:rtl/>
        </w:rPr>
        <w:t>ة</w:t>
      </w:r>
      <w:r w:rsidR="00E8128F">
        <w:rPr>
          <w:sz w:val="36"/>
          <w:szCs w:val="36"/>
          <w:rtl/>
        </w:rPr>
        <w:t xml:space="preserve"> </w:t>
      </w:r>
      <w:r w:rsidR="00116A02" w:rsidRPr="00FD211F">
        <w:rPr>
          <w:sz w:val="36"/>
          <w:szCs w:val="36"/>
          <w:rtl/>
        </w:rPr>
        <w:t>جلد</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556"/>
      </w:r>
      <w:r w:rsidR="009C58C8" w:rsidRPr="00FD211F">
        <w:rPr>
          <w:rStyle w:val="a6"/>
          <w:sz w:val="36"/>
          <w:szCs w:val="36"/>
          <w:rtl/>
        </w:rPr>
        <w:t>)</w:t>
      </w:r>
      <w:r w:rsidR="00E8128F">
        <w:rPr>
          <w:sz w:val="36"/>
          <w:szCs w:val="36"/>
          <w:rtl/>
        </w:rPr>
        <w:t xml:space="preserve"> </w:t>
      </w:r>
      <w:r w:rsidR="005428C4" w:rsidRPr="00FD211F">
        <w:rPr>
          <w:sz w:val="36"/>
          <w:szCs w:val="36"/>
          <w:rtl/>
        </w:rPr>
        <w:t>"</w:t>
      </w:r>
      <w:r w:rsidR="00E8128F">
        <w:rPr>
          <w:sz w:val="36"/>
          <w:szCs w:val="36"/>
          <w:rtl/>
        </w:rPr>
        <w:t xml:space="preserve"> </w:t>
      </w:r>
      <w:r w:rsidR="00116A02" w:rsidRPr="00FD211F">
        <w:rPr>
          <w:sz w:val="36"/>
          <w:szCs w:val="36"/>
          <w:rtl/>
        </w:rPr>
        <w:t>و</w:t>
      </w:r>
      <w:r w:rsidR="00F42BEE" w:rsidRPr="00FD211F">
        <w:rPr>
          <w:sz w:val="36"/>
          <w:szCs w:val="36"/>
          <w:rtl/>
        </w:rPr>
        <w:t>كذا</w:t>
      </w:r>
      <w:r w:rsidR="00E8128F">
        <w:rPr>
          <w:sz w:val="36"/>
          <w:szCs w:val="36"/>
          <w:rtl/>
        </w:rPr>
        <w:t xml:space="preserve"> </w:t>
      </w:r>
      <w:r w:rsidR="00F42BEE" w:rsidRPr="00FD211F">
        <w:rPr>
          <w:sz w:val="36"/>
          <w:szCs w:val="36"/>
          <w:rtl/>
        </w:rPr>
        <w:t>قوله</w:t>
      </w:r>
      <w:r w:rsidR="00E8128F">
        <w:rPr>
          <w:sz w:val="36"/>
          <w:szCs w:val="36"/>
          <w:rtl/>
        </w:rPr>
        <w:t xml:space="preserve"> </w:t>
      </w:r>
      <w:r w:rsidR="00F42BEE" w:rsidRPr="00FD211F">
        <w:rPr>
          <w:sz w:val="36"/>
          <w:szCs w:val="36"/>
          <w:rtl/>
        </w:rPr>
        <w:t>تعالى</w:t>
      </w:r>
      <w:r w:rsidR="005428C4" w:rsidRPr="00FD211F">
        <w:rPr>
          <w:sz w:val="36"/>
          <w:szCs w:val="36"/>
          <w:rtl/>
        </w:rPr>
        <w:t>"</w:t>
      </w:r>
      <w:r w:rsidR="00E8128F">
        <w:rPr>
          <w:sz w:val="36"/>
          <w:szCs w:val="36"/>
          <w:rtl/>
        </w:rPr>
        <w:t xml:space="preserve"> </w:t>
      </w:r>
      <w:r w:rsidR="00116A02" w:rsidRPr="00FD211F">
        <w:rPr>
          <w:sz w:val="36"/>
          <w:szCs w:val="36"/>
          <w:rtl/>
        </w:rPr>
        <w:t>السارق</w:t>
      </w:r>
      <w:r w:rsidR="00E8128F">
        <w:rPr>
          <w:sz w:val="36"/>
          <w:szCs w:val="36"/>
          <w:rtl/>
        </w:rPr>
        <w:t xml:space="preserve"> </w:t>
      </w:r>
      <w:r w:rsidR="00116A02" w:rsidRPr="00FD211F">
        <w:rPr>
          <w:sz w:val="36"/>
          <w:szCs w:val="36"/>
          <w:rtl/>
        </w:rPr>
        <w:t>والسارق</w:t>
      </w:r>
      <w:r w:rsidR="00EC7EDF" w:rsidRPr="00FD211F">
        <w:rPr>
          <w:sz w:val="36"/>
          <w:szCs w:val="36"/>
          <w:rtl/>
        </w:rPr>
        <w:t>ة</w:t>
      </w:r>
      <w:r w:rsidR="00E8128F">
        <w:rPr>
          <w:sz w:val="36"/>
          <w:szCs w:val="36"/>
          <w:rtl/>
        </w:rPr>
        <w:t xml:space="preserve"> </w:t>
      </w:r>
      <w:r w:rsidR="00116A02" w:rsidRPr="00FD211F">
        <w:rPr>
          <w:sz w:val="36"/>
          <w:szCs w:val="36"/>
          <w:rtl/>
        </w:rPr>
        <w:t>فاقطعوا</w:t>
      </w:r>
      <w:r w:rsidR="00E8128F">
        <w:rPr>
          <w:sz w:val="36"/>
          <w:szCs w:val="36"/>
          <w:rtl/>
        </w:rPr>
        <w:t xml:space="preserve"> </w:t>
      </w:r>
      <w:r w:rsidR="00116A02" w:rsidRPr="00FD211F">
        <w:rPr>
          <w:sz w:val="36"/>
          <w:szCs w:val="36"/>
          <w:rtl/>
        </w:rPr>
        <w:t>ايديهما</w:t>
      </w:r>
      <w:r w:rsidR="00C17D0B" w:rsidRPr="00FD211F">
        <w:rPr>
          <w:rStyle w:val="a6"/>
          <w:sz w:val="36"/>
          <w:szCs w:val="36"/>
          <w:rtl/>
        </w:rPr>
        <w:t>(</w:t>
      </w:r>
      <w:r w:rsidR="00C17D0B" w:rsidRPr="00FD211F">
        <w:rPr>
          <w:rStyle w:val="a6"/>
          <w:sz w:val="36"/>
          <w:szCs w:val="36"/>
          <w:rtl/>
        </w:rPr>
        <w:footnoteReference w:id="557"/>
      </w:r>
      <w:r w:rsidR="00C17D0B" w:rsidRPr="00FD211F">
        <w:rPr>
          <w:rStyle w:val="a6"/>
          <w:sz w:val="36"/>
          <w:szCs w:val="36"/>
          <w:rtl/>
        </w:rPr>
        <w:t>)</w:t>
      </w:r>
      <w:r w:rsidR="005428C4" w:rsidRPr="00FD211F">
        <w:rPr>
          <w:sz w:val="36"/>
          <w:szCs w:val="36"/>
          <w:rtl/>
        </w:rPr>
        <w:t>"</w:t>
      </w:r>
      <w:r w:rsidR="00603323" w:rsidRPr="00FD211F">
        <w:rPr>
          <w:sz w:val="36"/>
          <w:szCs w:val="36"/>
          <w:rtl/>
        </w:rPr>
        <w:t>،</w:t>
      </w:r>
      <w:r w:rsidR="00E8128F">
        <w:rPr>
          <w:sz w:val="36"/>
          <w:szCs w:val="36"/>
          <w:rtl/>
        </w:rPr>
        <w:t xml:space="preserve"> </w:t>
      </w:r>
      <w:r w:rsidR="00116A02" w:rsidRPr="00FD211F">
        <w:rPr>
          <w:sz w:val="36"/>
          <w:szCs w:val="36"/>
          <w:rtl/>
        </w:rPr>
        <w:t>و</w:t>
      </w:r>
      <w:r w:rsidRPr="00FD211F">
        <w:rPr>
          <w:sz w:val="36"/>
          <w:szCs w:val="36"/>
          <w:rtl/>
        </w:rPr>
        <w:t>من</w:t>
      </w:r>
      <w:r w:rsidR="00E8128F">
        <w:rPr>
          <w:sz w:val="36"/>
          <w:szCs w:val="36"/>
          <w:rtl/>
        </w:rPr>
        <w:t xml:space="preserve"> </w:t>
      </w:r>
      <w:r w:rsidRPr="00FD211F">
        <w:rPr>
          <w:sz w:val="36"/>
          <w:szCs w:val="36"/>
          <w:rtl/>
        </w:rPr>
        <w:t>الواضح</w:t>
      </w:r>
      <w:r w:rsidR="00E8128F">
        <w:rPr>
          <w:sz w:val="36"/>
          <w:szCs w:val="36"/>
          <w:rtl/>
        </w:rPr>
        <w:t xml:space="preserve"> </w:t>
      </w:r>
      <w:r w:rsidRPr="00FD211F">
        <w:rPr>
          <w:sz w:val="36"/>
          <w:szCs w:val="36"/>
          <w:rtl/>
        </w:rPr>
        <w:t>ان</w:t>
      </w:r>
      <w:r w:rsidR="00E8128F">
        <w:rPr>
          <w:sz w:val="36"/>
          <w:szCs w:val="36"/>
          <w:rtl/>
        </w:rPr>
        <w:t xml:space="preserve"> </w:t>
      </w:r>
      <w:r w:rsidR="00003B72" w:rsidRPr="00FD211F">
        <w:rPr>
          <w:sz w:val="36"/>
          <w:szCs w:val="36"/>
          <w:rtl/>
        </w:rPr>
        <w:t>من</w:t>
      </w:r>
      <w:r w:rsidR="00E8128F">
        <w:rPr>
          <w:sz w:val="36"/>
          <w:szCs w:val="36"/>
          <w:rtl/>
        </w:rPr>
        <w:t xml:space="preserve"> </w:t>
      </w:r>
      <w:r w:rsidR="00003B72" w:rsidRPr="00FD211F">
        <w:rPr>
          <w:sz w:val="36"/>
          <w:szCs w:val="36"/>
          <w:rtl/>
        </w:rPr>
        <w:t>يجب</w:t>
      </w:r>
      <w:r w:rsidR="00E8128F">
        <w:rPr>
          <w:sz w:val="36"/>
          <w:szCs w:val="36"/>
          <w:rtl/>
        </w:rPr>
        <w:t xml:space="preserve"> </w:t>
      </w:r>
      <w:r w:rsidR="00212E26" w:rsidRPr="00FD211F">
        <w:rPr>
          <w:sz w:val="36"/>
          <w:szCs w:val="36"/>
          <w:rtl/>
        </w:rPr>
        <w:t>جلده</w:t>
      </w:r>
      <w:r w:rsidR="00E8128F">
        <w:rPr>
          <w:sz w:val="36"/>
          <w:szCs w:val="36"/>
          <w:rtl/>
        </w:rPr>
        <w:t xml:space="preserve"> </w:t>
      </w:r>
      <w:r w:rsidR="00003B72" w:rsidRPr="00FD211F">
        <w:rPr>
          <w:sz w:val="36"/>
          <w:szCs w:val="36"/>
          <w:rtl/>
        </w:rPr>
        <w:t>او</w:t>
      </w:r>
      <w:r w:rsidR="00E8128F">
        <w:rPr>
          <w:sz w:val="36"/>
          <w:szCs w:val="36"/>
          <w:rtl/>
        </w:rPr>
        <w:t xml:space="preserve"> </w:t>
      </w:r>
      <w:r w:rsidR="00003B72" w:rsidRPr="00FD211F">
        <w:rPr>
          <w:sz w:val="36"/>
          <w:szCs w:val="36"/>
          <w:rtl/>
        </w:rPr>
        <w:t>قطع</w:t>
      </w:r>
      <w:r w:rsidR="00E8128F">
        <w:rPr>
          <w:sz w:val="36"/>
          <w:szCs w:val="36"/>
          <w:rtl/>
        </w:rPr>
        <w:t xml:space="preserve"> </w:t>
      </w:r>
      <w:r w:rsidR="00003B72" w:rsidRPr="00FD211F">
        <w:rPr>
          <w:sz w:val="36"/>
          <w:szCs w:val="36"/>
          <w:rtl/>
        </w:rPr>
        <w:t>يده</w:t>
      </w:r>
      <w:r w:rsidR="00E8128F">
        <w:rPr>
          <w:sz w:val="36"/>
          <w:szCs w:val="36"/>
          <w:rtl/>
        </w:rPr>
        <w:t xml:space="preserve"> </w:t>
      </w:r>
      <w:r w:rsidR="00003B72" w:rsidRPr="00FD211F">
        <w:rPr>
          <w:sz w:val="36"/>
          <w:szCs w:val="36"/>
          <w:rtl/>
        </w:rPr>
        <w:t>قد</w:t>
      </w:r>
      <w:r w:rsidR="00E8128F">
        <w:rPr>
          <w:sz w:val="36"/>
          <w:szCs w:val="36"/>
          <w:rtl/>
        </w:rPr>
        <w:t xml:space="preserve"> </w:t>
      </w:r>
      <w:r w:rsidR="00003B72" w:rsidRPr="00FD211F">
        <w:rPr>
          <w:sz w:val="36"/>
          <w:szCs w:val="36"/>
          <w:rtl/>
        </w:rPr>
        <w:t>انقضى</w:t>
      </w:r>
      <w:r w:rsidR="00E8128F">
        <w:rPr>
          <w:sz w:val="36"/>
          <w:szCs w:val="36"/>
          <w:rtl/>
        </w:rPr>
        <w:t xml:space="preserve"> </w:t>
      </w:r>
      <w:r w:rsidR="00003B72" w:rsidRPr="00FD211F">
        <w:rPr>
          <w:sz w:val="36"/>
          <w:szCs w:val="36"/>
          <w:rtl/>
        </w:rPr>
        <w:t>عنه</w:t>
      </w:r>
      <w:r w:rsidR="00E8128F">
        <w:rPr>
          <w:sz w:val="36"/>
          <w:szCs w:val="36"/>
          <w:rtl/>
        </w:rPr>
        <w:t xml:space="preserve"> </w:t>
      </w:r>
      <w:r w:rsidR="0079493B" w:rsidRPr="00FD211F">
        <w:rPr>
          <w:sz w:val="36"/>
          <w:szCs w:val="36"/>
          <w:rtl/>
        </w:rPr>
        <w:t>مبدأ</w:t>
      </w:r>
      <w:r w:rsidR="00E8128F">
        <w:rPr>
          <w:sz w:val="36"/>
          <w:szCs w:val="36"/>
          <w:rtl/>
        </w:rPr>
        <w:t xml:space="preserve"> </w:t>
      </w:r>
      <w:r w:rsidR="00003B72" w:rsidRPr="00FD211F">
        <w:rPr>
          <w:sz w:val="36"/>
          <w:szCs w:val="36"/>
          <w:rtl/>
        </w:rPr>
        <w:t>الزنا</w:t>
      </w:r>
      <w:r w:rsidR="00E8128F">
        <w:rPr>
          <w:sz w:val="36"/>
          <w:szCs w:val="36"/>
          <w:rtl/>
        </w:rPr>
        <w:t xml:space="preserve"> </w:t>
      </w:r>
      <w:r w:rsidR="00003B72" w:rsidRPr="00FD211F">
        <w:rPr>
          <w:sz w:val="36"/>
          <w:szCs w:val="36"/>
          <w:rtl/>
        </w:rPr>
        <w:t>والسرق</w:t>
      </w:r>
      <w:r w:rsidR="00EC7EDF" w:rsidRPr="00FD211F">
        <w:rPr>
          <w:sz w:val="36"/>
          <w:szCs w:val="36"/>
          <w:rtl/>
        </w:rPr>
        <w:t>ة</w:t>
      </w:r>
      <w:r w:rsidR="00A61BAE" w:rsidRPr="00FD211F">
        <w:rPr>
          <w:sz w:val="36"/>
          <w:szCs w:val="36"/>
          <w:rtl/>
        </w:rPr>
        <w:t>.</w:t>
      </w:r>
    </w:p>
    <w:p w14:paraId="64B54647" w14:textId="77777777" w:rsidR="0045155E" w:rsidRPr="00FD211F" w:rsidRDefault="00116A02" w:rsidP="009C58C8">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اجاب</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005428C4" w:rsidRPr="00FD211F">
        <w:rPr>
          <w:sz w:val="36"/>
          <w:szCs w:val="36"/>
          <w:rtl/>
        </w:rPr>
        <w:t>"</w:t>
      </w:r>
      <w:r w:rsidRPr="00FD211F">
        <w:rPr>
          <w:sz w:val="36"/>
          <w:szCs w:val="36"/>
          <w:rtl/>
        </w:rPr>
        <w:t>قده</w:t>
      </w:r>
      <w:r w:rsidR="005428C4" w:rsidRPr="00FD211F">
        <w:rPr>
          <w:sz w:val="36"/>
          <w:szCs w:val="36"/>
          <w:rtl/>
        </w:rPr>
        <w:t>"</w:t>
      </w:r>
      <w:r w:rsidR="00E8128F">
        <w:rPr>
          <w:sz w:val="36"/>
          <w:szCs w:val="36"/>
          <w:rtl/>
        </w:rPr>
        <w:t xml:space="preserve"> </w:t>
      </w:r>
      <w:r w:rsidR="0045155E" w:rsidRPr="00FD211F">
        <w:rPr>
          <w:sz w:val="36"/>
          <w:szCs w:val="36"/>
          <w:rtl/>
        </w:rPr>
        <w:t>ب</w:t>
      </w:r>
      <w:r w:rsidRPr="00FD211F">
        <w:rPr>
          <w:sz w:val="36"/>
          <w:szCs w:val="36"/>
          <w:rtl/>
        </w:rPr>
        <w:t>ان</w:t>
      </w:r>
      <w:r w:rsidR="00E8128F">
        <w:rPr>
          <w:sz w:val="36"/>
          <w:szCs w:val="36"/>
          <w:rtl/>
        </w:rPr>
        <w:t xml:space="preserve"> </w:t>
      </w:r>
      <w:r w:rsidRPr="00FD211F">
        <w:rPr>
          <w:sz w:val="36"/>
          <w:szCs w:val="36"/>
          <w:rtl/>
        </w:rPr>
        <w:t>النزاع</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انما</w:t>
      </w:r>
      <w:r w:rsidR="00E8128F">
        <w:rPr>
          <w:sz w:val="36"/>
          <w:szCs w:val="36"/>
          <w:rtl/>
        </w:rPr>
        <w:t xml:space="preserve"> </w:t>
      </w:r>
      <w:r w:rsidRPr="00FD211F">
        <w:rPr>
          <w:sz w:val="36"/>
          <w:szCs w:val="36"/>
          <w:rtl/>
        </w:rPr>
        <w:t>يأتي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القضي</w:t>
      </w:r>
      <w:r w:rsidR="00EC7EDF" w:rsidRPr="00FD211F">
        <w:rPr>
          <w:sz w:val="36"/>
          <w:szCs w:val="36"/>
          <w:rtl/>
        </w:rPr>
        <w:t>ة</w:t>
      </w:r>
      <w:r w:rsidR="00E8128F">
        <w:rPr>
          <w:sz w:val="36"/>
          <w:szCs w:val="36"/>
          <w:rtl/>
        </w:rPr>
        <w:t xml:space="preserve"> </w:t>
      </w:r>
      <w:r w:rsidRPr="00FD211F">
        <w:rPr>
          <w:sz w:val="36"/>
          <w:szCs w:val="36"/>
          <w:rtl/>
        </w:rPr>
        <w:t>الخارجي</w:t>
      </w:r>
      <w:r w:rsidR="00EC7EDF" w:rsidRPr="00FD211F">
        <w:rPr>
          <w:sz w:val="36"/>
          <w:szCs w:val="36"/>
          <w:rtl/>
        </w:rPr>
        <w:t>ة</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يفرض</w:t>
      </w:r>
      <w:r w:rsidR="00E8128F">
        <w:rPr>
          <w:sz w:val="36"/>
          <w:szCs w:val="36"/>
          <w:rtl/>
        </w:rPr>
        <w:t xml:space="preserve"> </w:t>
      </w:r>
      <w:r w:rsidRPr="00FD211F">
        <w:rPr>
          <w:sz w:val="36"/>
          <w:szCs w:val="36"/>
          <w:rtl/>
        </w:rPr>
        <w:t>تحقق</w:t>
      </w:r>
      <w:r w:rsidR="00E8128F">
        <w:rPr>
          <w:sz w:val="36"/>
          <w:szCs w:val="36"/>
          <w:rtl/>
        </w:rPr>
        <w:t xml:space="preserve"> </w:t>
      </w:r>
      <w:r w:rsidRPr="00FD211F">
        <w:rPr>
          <w:sz w:val="36"/>
          <w:szCs w:val="36"/>
          <w:rtl/>
        </w:rPr>
        <w:t>تلبس</w:t>
      </w:r>
      <w:r w:rsidR="00E8128F">
        <w:rPr>
          <w:sz w:val="36"/>
          <w:szCs w:val="36"/>
          <w:rtl/>
        </w:rPr>
        <w:t xml:space="preserve"> </w:t>
      </w:r>
      <w:r w:rsidRPr="00FD211F">
        <w:rPr>
          <w:sz w:val="36"/>
          <w:szCs w:val="36"/>
          <w:rtl/>
        </w:rPr>
        <w:t>ذات</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Pr="00FD211F">
        <w:rPr>
          <w:sz w:val="36"/>
          <w:szCs w:val="36"/>
          <w:rtl/>
        </w:rPr>
        <w:t>خارجا</w:t>
      </w:r>
      <w:r w:rsidR="00E8128F">
        <w:rPr>
          <w:sz w:val="36"/>
          <w:szCs w:val="36"/>
          <w:rtl/>
        </w:rPr>
        <w:t xml:space="preserve"> </w:t>
      </w:r>
      <w:r w:rsidRPr="00FD211F">
        <w:rPr>
          <w:sz w:val="36"/>
          <w:szCs w:val="36"/>
          <w:rtl/>
        </w:rPr>
        <w:t>ثم</w:t>
      </w:r>
      <w:r w:rsidR="00E8128F">
        <w:rPr>
          <w:sz w:val="36"/>
          <w:szCs w:val="36"/>
          <w:rtl/>
        </w:rPr>
        <w:t xml:space="preserve"> </w:t>
      </w:r>
      <w:r w:rsidRPr="00FD211F">
        <w:rPr>
          <w:sz w:val="36"/>
          <w:szCs w:val="36"/>
          <w:rtl/>
        </w:rPr>
        <w:t>انقضائه</w:t>
      </w:r>
      <w:r w:rsidR="00E8128F">
        <w:rPr>
          <w:sz w:val="36"/>
          <w:szCs w:val="36"/>
          <w:rtl/>
        </w:rPr>
        <w:t xml:space="preserve"> </w:t>
      </w:r>
      <w:r w:rsidRPr="00FD211F">
        <w:rPr>
          <w:sz w:val="36"/>
          <w:szCs w:val="36"/>
          <w:rtl/>
        </w:rPr>
        <w:t>فيقال</w:t>
      </w:r>
      <w:r w:rsidR="00E8128F">
        <w:rPr>
          <w:sz w:val="36"/>
          <w:szCs w:val="36"/>
          <w:rtl/>
        </w:rPr>
        <w:t xml:space="preserve"> </w:t>
      </w:r>
      <w:r w:rsidRPr="00FD211F">
        <w:rPr>
          <w:sz w:val="36"/>
          <w:szCs w:val="36"/>
          <w:rtl/>
        </w:rPr>
        <w:t>هل</w:t>
      </w:r>
      <w:r w:rsidR="00E8128F">
        <w:rPr>
          <w:sz w:val="36"/>
          <w:szCs w:val="36"/>
          <w:rtl/>
        </w:rPr>
        <w:t xml:space="preserve"> </w:t>
      </w:r>
      <w:r w:rsidRPr="00FD211F">
        <w:rPr>
          <w:sz w:val="36"/>
          <w:szCs w:val="36"/>
          <w:rtl/>
        </w:rPr>
        <w:t>يصح</w:t>
      </w:r>
      <w:r w:rsidR="00E8128F">
        <w:rPr>
          <w:sz w:val="36"/>
          <w:szCs w:val="36"/>
          <w:rtl/>
        </w:rPr>
        <w:t xml:space="preserve"> </w:t>
      </w:r>
      <w:r w:rsidRPr="00FD211F">
        <w:rPr>
          <w:sz w:val="36"/>
          <w:szCs w:val="36"/>
          <w:rtl/>
        </w:rPr>
        <w:t>حمل</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حينئذ</w:t>
      </w:r>
      <w:r w:rsidR="00E8128F">
        <w:rPr>
          <w:sz w:val="36"/>
          <w:szCs w:val="36"/>
          <w:rtl/>
        </w:rPr>
        <w:t xml:space="preserve"> </w:t>
      </w:r>
      <w:r w:rsidRPr="00FD211F">
        <w:rPr>
          <w:sz w:val="36"/>
          <w:szCs w:val="36"/>
          <w:rtl/>
        </w:rPr>
        <w:t>ام</w:t>
      </w:r>
      <w:r w:rsidR="00E8128F">
        <w:rPr>
          <w:sz w:val="36"/>
          <w:szCs w:val="36"/>
          <w:rtl/>
        </w:rPr>
        <w:t xml:space="preserve"> </w:t>
      </w:r>
      <w:r w:rsidRPr="00FD211F">
        <w:rPr>
          <w:sz w:val="36"/>
          <w:szCs w:val="36"/>
          <w:rtl/>
        </w:rPr>
        <w:t>لا</w:t>
      </w:r>
      <w:r w:rsidR="00603323" w:rsidRPr="00FD211F">
        <w:rPr>
          <w:sz w:val="36"/>
          <w:szCs w:val="36"/>
          <w:rtl/>
        </w:rPr>
        <w:t>،</w:t>
      </w:r>
      <w:r w:rsidR="00E8128F">
        <w:rPr>
          <w:sz w:val="36"/>
          <w:szCs w:val="36"/>
          <w:rtl/>
        </w:rPr>
        <w:t xml:space="preserve"> </w:t>
      </w:r>
      <w:r w:rsidRPr="00FD211F">
        <w:rPr>
          <w:sz w:val="36"/>
          <w:szCs w:val="36"/>
          <w:rtl/>
        </w:rPr>
        <w:t>واما</w:t>
      </w:r>
      <w:r w:rsidR="00E8128F">
        <w:rPr>
          <w:sz w:val="36"/>
          <w:szCs w:val="36"/>
          <w:rtl/>
        </w:rPr>
        <w:t xml:space="preserve"> </w:t>
      </w:r>
      <w:r w:rsidRPr="00FD211F">
        <w:rPr>
          <w:sz w:val="36"/>
          <w:szCs w:val="36"/>
          <w:rtl/>
        </w:rPr>
        <w:t>القضي</w:t>
      </w:r>
      <w:r w:rsidR="00EC7EDF" w:rsidRPr="00FD211F">
        <w:rPr>
          <w:sz w:val="36"/>
          <w:szCs w:val="36"/>
          <w:rtl/>
        </w:rPr>
        <w:t>ة</w:t>
      </w:r>
      <w:r w:rsidR="00E8128F">
        <w:rPr>
          <w:sz w:val="36"/>
          <w:szCs w:val="36"/>
          <w:rtl/>
        </w:rPr>
        <w:t xml:space="preserve"> </w:t>
      </w:r>
      <w:r w:rsidRPr="00FD211F">
        <w:rPr>
          <w:sz w:val="36"/>
          <w:szCs w:val="36"/>
          <w:rtl/>
        </w:rPr>
        <w:t>الحقيقي</w:t>
      </w:r>
      <w:r w:rsidR="00EC7EDF" w:rsidRPr="00FD211F">
        <w:rPr>
          <w:sz w:val="36"/>
          <w:szCs w:val="36"/>
          <w:rtl/>
        </w:rPr>
        <w:t>ة</w:t>
      </w:r>
      <w:r w:rsidR="00E8128F">
        <w:rPr>
          <w:sz w:val="36"/>
          <w:szCs w:val="36"/>
          <w:rtl/>
        </w:rPr>
        <w:t xml:space="preserve"> </w:t>
      </w:r>
      <w:r w:rsidRPr="00FD211F">
        <w:rPr>
          <w:sz w:val="36"/>
          <w:szCs w:val="36"/>
          <w:rtl/>
        </w:rPr>
        <w:t>فهي</w:t>
      </w:r>
      <w:r w:rsidR="00E8128F">
        <w:rPr>
          <w:sz w:val="36"/>
          <w:szCs w:val="36"/>
          <w:rtl/>
        </w:rPr>
        <w:t xml:space="preserve"> </w:t>
      </w:r>
      <w:r w:rsidRPr="00FD211F">
        <w:rPr>
          <w:sz w:val="36"/>
          <w:szCs w:val="36"/>
          <w:rtl/>
        </w:rPr>
        <w:t>قضي</w:t>
      </w:r>
      <w:r w:rsidR="00EC7EDF" w:rsidRPr="00FD211F">
        <w:rPr>
          <w:sz w:val="36"/>
          <w:szCs w:val="36"/>
          <w:rtl/>
        </w:rPr>
        <w:t>ة</w:t>
      </w:r>
      <w:r w:rsidR="00E8128F">
        <w:rPr>
          <w:sz w:val="36"/>
          <w:szCs w:val="36"/>
          <w:rtl/>
        </w:rPr>
        <w:t xml:space="preserve"> </w:t>
      </w:r>
      <w:r w:rsidRPr="00FD211F">
        <w:rPr>
          <w:sz w:val="36"/>
          <w:szCs w:val="36"/>
          <w:rtl/>
        </w:rPr>
        <w:t>فرضي</w:t>
      </w:r>
      <w:r w:rsidR="00EC7EDF" w:rsidRPr="00FD211F">
        <w:rPr>
          <w:sz w:val="36"/>
          <w:szCs w:val="36"/>
          <w:rtl/>
        </w:rPr>
        <w:t>ة</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لايكون</w:t>
      </w:r>
      <w:r w:rsidR="00E8128F">
        <w:rPr>
          <w:sz w:val="36"/>
          <w:szCs w:val="36"/>
          <w:rtl/>
        </w:rPr>
        <w:t xml:space="preserve"> </w:t>
      </w:r>
      <w:r w:rsidRPr="00FD211F">
        <w:rPr>
          <w:sz w:val="36"/>
          <w:szCs w:val="36"/>
          <w:rtl/>
        </w:rPr>
        <w:t>تلبس</w:t>
      </w:r>
      <w:r w:rsidR="00E8128F">
        <w:rPr>
          <w:sz w:val="36"/>
          <w:szCs w:val="36"/>
          <w:rtl/>
        </w:rPr>
        <w:t xml:space="preserve"> </w:t>
      </w:r>
      <w:r w:rsidRPr="00FD211F">
        <w:rPr>
          <w:sz w:val="36"/>
          <w:szCs w:val="36"/>
          <w:rtl/>
        </w:rPr>
        <w:t>خارجي</w:t>
      </w:r>
      <w:r w:rsidR="00E8128F">
        <w:rPr>
          <w:sz w:val="36"/>
          <w:szCs w:val="36"/>
          <w:rtl/>
        </w:rPr>
        <w:t xml:space="preserve"> </w:t>
      </w:r>
      <w:r w:rsidRPr="00FD211F">
        <w:rPr>
          <w:sz w:val="36"/>
          <w:szCs w:val="36"/>
          <w:rtl/>
        </w:rPr>
        <w:t>فيها</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Pr="00FD211F">
        <w:rPr>
          <w:sz w:val="36"/>
          <w:szCs w:val="36"/>
          <w:rtl/>
        </w:rPr>
        <w:t>ابدا</w:t>
      </w:r>
      <w:r w:rsidR="00E8128F">
        <w:rPr>
          <w:sz w:val="36"/>
          <w:szCs w:val="36"/>
          <w:rtl/>
        </w:rPr>
        <w:t xml:space="preserve"> </w:t>
      </w:r>
      <w:r w:rsidRPr="00FD211F">
        <w:rPr>
          <w:sz w:val="36"/>
          <w:szCs w:val="36"/>
          <w:rtl/>
        </w:rPr>
        <w:t>وعليه</w:t>
      </w:r>
      <w:r w:rsidR="00E8128F">
        <w:rPr>
          <w:sz w:val="36"/>
          <w:szCs w:val="36"/>
          <w:rtl/>
        </w:rPr>
        <w:t xml:space="preserve"> </w:t>
      </w:r>
      <w:r w:rsidRPr="00FD211F">
        <w:rPr>
          <w:sz w:val="36"/>
          <w:szCs w:val="36"/>
          <w:rtl/>
        </w:rPr>
        <w:t>فالآي</w:t>
      </w:r>
      <w:r w:rsidR="00EC7EDF" w:rsidRPr="00FD211F">
        <w:rPr>
          <w:sz w:val="36"/>
          <w:szCs w:val="36"/>
          <w:rtl/>
        </w:rPr>
        <w:t>ة</w:t>
      </w:r>
      <w:r w:rsidR="00E8128F">
        <w:rPr>
          <w:sz w:val="36"/>
          <w:szCs w:val="36"/>
          <w:rtl/>
        </w:rPr>
        <w:t xml:space="preserve"> </w:t>
      </w:r>
      <w:r w:rsidRPr="00FD211F">
        <w:rPr>
          <w:sz w:val="36"/>
          <w:szCs w:val="36"/>
          <w:rtl/>
        </w:rPr>
        <w:t>لاترتبط</w:t>
      </w:r>
      <w:r w:rsidR="00E8128F">
        <w:rPr>
          <w:sz w:val="36"/>
          <w:szCs w:val="36"/>
          <w:rtl/>
        </w:rPr>
        <w:t xml:space="preserve"> </w:t>
      </w:r>
      <w:r w:rsidRPr="00FD211F">
        <w:rPr>
          <w:sz w:val="36"/>
          <w:szCs w:val="36"/>
          <w:rtl/>
        </w:rPr>
        <w:t>بمورد</w:t>
      </w:r>
      <w:r w:rsidR="00E8128F">
        <w:rPr>
          <w:sz w:val="36"/>
          <w:szCs w:val="36"/>
          <w:rtl/>
        </w:rPr>
        <w:t xml:space="preserve"> </w:t>
      </w:r>
      <w:r w:rsidRPr="00FD211F">
        <w:rPr>
          <w:sz w:val="36"/>
          <w:szCs w:val="36"/>
          <w:rtl/>
        </w:rPr>
        <w:t>النزاع</w:t>
      </w:r>
      <w:r w:rsidR="009C58C8" w:rsidRPr="00FD211F">
        <w:rPr>
          <w:rStyle w:val="a6"/>
          <w:sz w:val="36"/>
          <w:szCs w:val="36"/>
          <w:rtl/>
        </w:rPr>
        <w:t>(</w:t>
      </w:r>
      <w:r w:rsidR="009C58C8" w:rsidRPr="00FD211F">
        <w:rPr>
          <w:rStyle w:val="a6"/>
          <w:sz w:val="36"/>
          <w:szCs w:val="36"/>
          <w:rtl/>
        </w:rPr>
        <w:footnoteReference w:id="558"/>
      </w:r>
      <w:r w:rsidR="009C58C8" w:rsidRPr="00FD211F">
        <w:rPr>
          <w:rStyle w:val="a6"/>
          <w:sz w:val="36"/>
          <w:szCs w:val="36"/>
          <w:rtl/>
        </w:rPr>
        <w:t>)</w:t>
      </w:r>
      <w:r w:rsidR="0045155E" w:rsidRPr="00FD211F">
        <w:rPr>
          <w:sz w:val="36"/>
          <w:szCs w:val="36"/>
          <w:rtl/>
        </w:rPr>
        <w:t>.</w:t>
      </w:r>
    </w:p>
    <w:p w14:paraId="1955FEE4" w14:textId="77777777" w:rsidR="0045155E" w:rsidRPr="00FD211F" w:rsidRDefault="00116A02" w:rsidP="009C58C8">
      <w:pPr>
        <w:ind w:left="0" w:firstLine="227"/>
        <w:jc w:val="both"/>
        <w:rPr>
          <w:sz w:val="36"/>
          <w:szCs w:val="36"/>
          <w:rtl/>
        </w:rPr>
      </w:pPr>
      <w:r w:rsidRPr="00FD211F">
        <w:rPr>
          <w:sz w:val="36"/>
          <w:szCs w:val="36"/>
          <w:rtl/>
        </w:rPr>
        <w:t>وهذا</w:t>
      </w:r>
      <w:r w:rsidR="00E8128F">
        <w:rPr>
          <w:sz w:val="36"/>
          <w:szCs w:val="36"/>
          <w:rtl/>
        </w:rPr>
        <w:t xml:space="preserve"> </w:t>
      </w:r>
      <w:r w:rsidRPr="00FD211F">
        <w:rPr>
          <w:sz w:val="36"/>
          <w:szCs w:val="36"/>
          <w:rtl/>
        </w:rPr>
        <w:t>غريب</w:t>
      </w:r>
      <w:r w:rsidR="00E8128F">
        <w:rPr>
          <w:sz w:val="36"/>
          <w:szCs w:val="36"/>
          <w:rtl/>
        </w:rPr>
        <w:t xml:space="preserve"> </w:t>
      </w:r>
      <w:r w:rsidRPr="00FD211F">
        <w:rPr>
          <w:sz w:val="36"/>
          <w:szCs w:val="36"/>
          <w:rtl/>
        </w:rPr>
        <w:t>جدا</w:t>
      </w:r>
      <w:r w:rsidR="00E8128F">
        <w:rPr>
          <w:sz w:val="36"/>
          <w:szCs w:val="36"/>
          <w:rtl/>
        </w:rPr>
        <w:t xml:space="preserve"> </w:t>
      </w:r>
      <w:r w:rsidRPr="00FD211F">
        <w:rPr>
          <w:sz w:val="36"/>
          <w:szCs w:val="36"/>
          <w:rtl/>
        </w:rPr>
        <w:t>اذ</w:t>
      </w:r>
      <w:r w:rsidR="00E8128F">
        <w:rPr>
          <w:sz w:val="36"/>
          <w:szCs w:val="36"/>
          <w:rtl/>
        </w:rPr>
        <w:t xml:space="preserve"> </w:t>
      </w:r>
      <w:r w:rsidRPr="00FD211F">
        <w:rPr>
          <w:sz w:val="36"/>
          <w:szCs w:val="36"/>
          <w:rtl/>
        </w:rPr>
        <w:t>الاعمي</w:t>
      </w:r>
      <w:r w:rsidR="00E8128F">
        <w:rPr>
          <w:sz w:val="36"/>
          <w:szCs w:val="36"/>
          <w:rtl/>
        </w:rPr>
        <w:t xml:space="preserve"> </w:t>
      </w:r>
      <w:r w:rsidRPr="00FD211F">
        <w:rPr>
          <w:sz w:val="36"/>
          <w:szCs w:val="36"/>
          <w:rtl/>
        </w:rPr>
        <w:t>يقول</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مصداق</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المأخوذ</w:t>
      </w:r>
      <w:r w:rsidR="00E8128F">
        <w:rPr>
          <w:sz w:val="36"/>
          <w:szCs w:val="36"/>
          <w:rtl/>
        </w:rPr>
        <w:t xml:space="preserve"> </w:t>
      </w:r>
      <w:r w:rsidRPr="00FD211F">
        <w:rPr>
          <w:sz w:val="36"/>
          <w:szCs w:val="36"/>
          <w:rtl/>
        </w:rPr>
        <w:t>موضوعا</w:t>
      </w:r>
      <w:r w:rsidR="00E8128F">
        <w:rPr>
          <w:sz w:val="36"/>
          <w:szCs w:val="36"/>
          <w:rtl/>
        </w:rPr>
        <w:t xml:space="preserve"> </w:t>
      </w:r>
      <w:r w:rsidRPr="00FD211F">
        <w:rPr>
          <w:sz w:val="36"/>
          <w:szCs w:val="36"/>
          <w:rtl/>
        </w:rPr>
        <w:t>للحكم</w:t>
      </w:r>
      <w:r w:rsidR="00E8128F">
        <w:rPr>
          <w:sz w:val="36"/>
          <w:szCs w:val="36"/>
          <w:rtl/>
        </w:rPr>
        <w:t xml:space="preserve"> </w:t>
      </w:r>
      <w:r w:rsidR="0045155E" w:rsidRPr="00FD211F">
        <w:rPr>
          <w:sz w:val="36"/>
          <w:szCs w:val="36"/>
          <w:rtl/>
        </w:rPr>
        <w:t>في</w:t>
      </w:r>
      <w:r w:rsidR="00E8128F">
        <w:rPr>
          <w:sz w:val="36"/>
          <w:szCs w:val="36"/>
          <w:rtl/>
        </w:rPr>
        <w:t xml:space="preserve"> </w:t>
      </w:r>
      <w:r w:rsidR="0045155E" w:rsidRPr="00FD211F">
        <w:rPr>
          <w:sz w:val="36"/>
          <w:szCs w:val="36"/>
          <w:rtl/>
        </w:rPr>
        <w:t>القضي</w:t>
      </w:r>
      <w:r w:rsidR="00EC7EDF" w:rsidRPr="00FD211F">
        <w:rPr>
          <w:sz w:val="36"/>
          <w:szCs w:val="36"/>
          <w:rtl/>
        </w:rPr>
        <w:t>ة</w:t>
      </w:r>
      <w:r w:rsidR="00E8128F">
        <w:rPr>
          <w:sz w:val="36"/>
          <w:szCs w:val="36"/>
          <w:rtl/>
        </w:rPr>
        <w:t xml:space="preserve"> </w:t>
      </w:r>
      <w:r w:rsidR="0045155E" w:rsidRPr="00FD211F">
        <w:rPr>
          <w:sz w:val="36"/>
          <w:szCs w:val="36"/>
          <w:rtl/>
        </w:rPr>
        <w:t>الخارجي</w:t>
      </w:r>
      <w:r w:rsidR="00EC7EDF" w:rsidRPr="00FD211F">
        <w:rPr>
          <w:sz w:val="36"/>
          <w:szCs w:val="36"/>
          <w:rtl/>
        </w:rPr>
        <w:t>ة</w:t>
      </w:r>
      <w:r w:rsidR="00E8128F">
        <w:rPr>
          <w:sz w:val="36"/>
          <w:szCs w:val="36"/>
          <w:rtl/>
        </w:rPr>
        <w:t xml:space="preserve"> </w:t>
      </w:r>
      <w:r w:rsidR="0045155E" w:rsidRPr="00FD211F">
        <w:rPr>
          <w:sz w:val="36"/>
          <w:szCs w:val="36"/>
          <w:rtl/>
        </w:rPr>
        <w:t>او</w:t>
      </w:r>
      <w:r w:rsidR="00E8128F">
        <w:rPr>
          <w:sz w:val="36"/>
          <w:szCs w:val="36"/>
          <w:rtl/>
        </w:rPr>
        <w:t xml:space="preserve"> </w:t>
      </w:r>
      <w:r w:rsidR="0045155E" w:rsidRPr="00FD211F">
        <w:rPr>
          <w:sz w:val="36"/>
          <w:szCs w:val="36"/>
          <w:rtl/>
        </w:rPr>
        <w:t>الحقيقي</w:t>
      </w:r>
      <w:r w:rsidR="00EC7EDF" w:rsidRPr="00FD211F">
        <w:rPr>
          <w:sz w:val="36"/>
          <w:szCs w:val="36"/>
          <w:rtl/>
        </w:rPr>
        <w:t>ة</w:t>
      </w:r>
      <w:r w:rsidR="00E8128F">
        <w:rPr>
          <w:sz w:val="36"/>
          <w:szCs w:val="36"/>
          <w:rtl/>
        </w:rPr>
        <w:t xml:space="preserve"> </w:t>
      </w:r>
      <w:r w:rsidRPr="00FD211F">
        <w:rPr>
          <w:sz w:val="36"/>
          <w:szCs w:val="36"/>
          <w:rtl/>
        </w:rPr>
        <w:t>اعم</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المنقضي</w:t>
      </w:r>
      <w:r w:rsidR="00E8128F">
        <w:rPr>
          <w:sz w:val="36"/>
          <w:szCs w:val="36"/>
          <w:rtl/>
        </w:rPr>
        <w:t xml:space="preserve"> </w:t>
      </w:r>
      <w:r w:rsidRPr="00FD211F">
        <w:rPr>
          <w:sz w:val="36"/>
          <w:szCs w:val="36"/>
          <w:rtl/>
        </w:rPr>
        <w:t>عنه</w:t>
      </w:r>
      <w:r w:rsidR="0045155E" w:rsidRPr="00FD211F">
        <w:rPr>
          <w:sz w:val="36"/>
          <w:szCs w:val="36"/>
          <w:rtl/>
        </w:rPr>
        <w:t>ا</w:t>
      </w:r>
      <w:r w:rsidR="00E8128F">
        <w:rPr>
          <w:sz w:val="36"/>
          <w:szCs w:val="36"/>
          <w:rtl/>
        </w:rPr>
        <w:t xml:space="preserve"> </w:t>
      </w:r>
      <w:r w:rsidR="0045155E" w:rsidRPr="00FD211F">
        <w:rPr>
          <w:sz w:val="36"/>
          <w:szCs w:val="36"/>
          <w:rtl/>
        </w:rPr>
        <w:t>التلبس</w:t>
      </w:r>
      <w:r w:rsidR="00E8128F">
        <w:rPr>
          <w:sz w:val="36"/>
          <w:szCs w:val="36"/>
          <w:rtl/>
        </w:rPr>
        <w:t xml:space="preserve"> </w:t>
      </w:r>
      <w:r w:rsidR="0045155E" w:rsidRPr="00FD211F">
        <w:rPr>
          <w:sz w:val="36"/>
          <w:szCs w:val="36"/>
          <w:rtl/>
        </w:rPr>
        <w:t>ب</w:t>
      </w:r>
      <w:r w:rsidRPr="00FD211F">
        <w:rPr>
          <w:sz w:val="36"/>
          <w:szCs w:val="36"/>
          <w:rtl/>
        </w:rPr>
        <w:t>ال</w:t>
      </w:r>
      <w:r w:rsidR="0079493B" w:rsidRPr="00FD211F">
        <w:rPr>
          <w:sz w:val="36"/>
          <w:szCs w:val="36"/>
          <w:rtl/>
        </w:rPr>
        <w:t>مبدأ</w:t>
      </w:r>
      <w:r w:rsidR="00603323" w:rsidRPr="00FD211F">
        <w:rPr>
          <w:sz w:val="36"/>
          <w:szCs w:val="36"/>
          <w:rtl/>
        </w:rPr>
        <w:t>،</w:t>
      </w:r>
      <w:r w:rsidR="00E8128F">
        <w:rPr>
          <w:sz w:val="36"/>
          <w:szCs w:val="36"/>
          <w:rtl/>
        </w:rPr>
        <w:t xml:space="preserve"> </w:t>
      </w:r>
      <w:r w:rsidRPr="00FD211F">
        <w:rPr>
          <w:sz w:val="36"/>
          <w:szCs w:val="36"/>
          <w:rtl/>
        </w:rPr>
        <w:t>فاكرم</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يشمل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متلبسا</w:t>
      </w:r>
      <w:r w:rsidR="00E8128F">
        <w:rPr>
          <w:sz w:val="36"/>
          <w:szCs w:val="36"/>
          <w:rtl/>
        </w:rPr>
        <w:t xml:space="preserve"> </w:t>
      </w:r>
      <w:r w:rsidRPr="00FD211F">
        <w:rPr>
          <w:sz w:val="36"/>
          <w:szCs w:val="36"/>
          <w:rtl/>
        </w:rPr>
        <w:t>بالعلم</w:t>
      </w:r>
      <w:r w:rsidR="00E8128F">
        <w:rPr>
          <w:sz w:val="36"/>
          <w:szCs w:val="36"/>
          <w:rtl/>
        </w:rPr>
        <w:t xml:space="preserve"> </w:t>
      </w:r>
      <w:r w:rsidRPr="00FD211F">
        <w:rPr>
          <w:sz w:val="36"/>
          <w:szCs w:val="36"/>
          <w:rtl/>
        </w:rPr>
        <w:t>سابقا</w:t>
      </w:r>
      <w:r w:rsidR="0045155E" w:rsidRPr="00FD211F">
        <w:rPr>
          <w:sz w:val="36"/>
          <w:szCs w:val="36"/>
          <w:rtl/>
        </w:rPr>
        <w:t>.</w:t>
      </w:r>
    </w:p>
    <w:p w14:paraId="1320364A" w14:textId="77777777" w:rsidR="00116A02" w:rsidRPr="00FD211F" w:rsidRDefault="0045155E"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فقد</w:t>
      </w:r>
      <w:r w:rsidR="00E8128F">
        <w:rPr>
          <w:sz w:val="36"/>
          <w:szCs w:val="36"/>
          <w:rtl/>
        </w:rPr>
        <w:t xml:space="preserve"> </w:t>
      </w:r>
      <w:r w:rsidR="00116A02" w:rsidRPr="00FD211F">
        <w:rPr>
          <w:sz w:val="36"/>
          <w:szCs w:val="36"/>
          <w:rtl/>
        </w:rPr>
        <w:t>اجيب</w:t>
      </w:r>
      <w:r w:rsidR="00E8128F">
        <w:rPr>
          <w:sz w:val="36"/>
          <w:szCs w:val="36"/>
          <w:rtl/>
        </w:rPr>
        <w:t xml:space="preserve"> </w:t>
      </w:r>
      <w:r w:rsidR="00116A02" w:rsidRPr="00FD211F">
        <w:rPr>
          <w:sz w:val="36"/>
          <w:szCs w:val="36"/>
          <w:rtl/>
        </w:rPr>
        <w:t>عن</w:t>
      </w:r>
      <w:r w:rsidR="00E8128F">
        <w:rPr>
          <w:sz w:val="36"/>
          <w:szCs w:val="36"/>
          <w:rtl/>
        </w:rPr>
        <w:t xml:space="preserve"> </w:t>
      </w:r>
      <w:r w:rsidRPr="00FD211F">
        <w:rPr>
          <w:sz w:val="36"/>
          <w:szCs w:val="36"/>
          <w:rtl/>
        </w:rPr>
        <w:t>الاستدلال</w:t>
      </w:r>
      <w:r w:rsidR="00E8128F">
        <w:rPr>
          <w:sz w:val="36"/>
          <w:szCs w:val="36"/>
          <w:rtl/>
        </w:rPr>
        <w:t xml:space="preserve"> </w:t>
      </w:r>
      <w:r w:rsidRPr="00FD211F">
        <w:rPr>
          <w:sz w:val="36"/>
          <w:szCs w:val="36"/>
          <w:rtl/>
        </w:rPr>
        <w:t>بهاتين</w:t>
      </w:r>
      <w:r w:rsidR="00E8128F">
        <w:rPr>
          <w:sz w:val="36"/>
          <w:szCs w:val="36"/>
          <w:rtl/>
        </w:rPr>
        <w:t xml:space="preserve"> </w:t>
      </w:r>
      <w:r w:rsidR="00116A02" w:rsidRPr="00FD211F">
        <w:rPr>
          <w:sz w:val="36"/>
          <w:szCs w:val="36"/>
          <w:rtl/>
        </w:rPr>
        <w:t>الآي</w:t>
      </w:r>
      <w:r w:rsidRPr="00FD211F">
        <w:rPr>
          <w:sz w:val="36"/>
          <w:szCs w:val="36"/>
          <w:rtl/>
        </w:rPr>
        <w:t>تين</w:t>
      </w:r>
      <w:r w:rsidR="00E8128F">
        <w:rPr>
          <w:sz w:val="36"/>
          <w:szCs w:val="36"/>
          <w:rtl/>
        </w:rPr>
        <w:t xml:space="preserve"> </w:t>
      </w:r>
      <w:r w:rsidR="00116A02" w:rsidRPr="00FD211F">
        <w:rPr>
          <w:sz w:val="36"/>
          <w:szCs w:val="36"/>
          <w:rtl/>
        </w:rPr>
        <w:t>بان</w:t>
      </w:r>
      <w:r w:rsidR="00E8128F">
        <w:rPr>
          <w:sz w:val="36"/>
          <w:szCs w:val="36"/>
          <w:rtl/>
        </w:rPr>
        <w:t xml:space="preserve"> </w:t>
      </w:r>
      <w:r w:rsidR="00113DD4" w:rsidRPr="00FD211F">
        <w:rPr>
          <w:sz w:val="36"/>
          <w:szCs w:val="36"/>
          <w:rtl/>
        </w:rPr>
        <w:t>العنوان</w:t>
      </w:r>
      <w:r w:rsidR="00E8128F">
        <w:rPr>
          <w:sz w:val="36"/>
          <w:szCs w:val="36"/>
          <w:rtl/>
        </w:rPr>
        <w:t xml:space="preserve"> </w:t>
      </w:r>
      <w:r w:rsidR="00116A02" w:rsidRPr="00FD211F">
        <w:rPr>
          <w:sz w:val="36"/>
          <w:szCs w:val="36"/>
          <w:rtl/>
        </w:rPr>
        <w:t>المأخوذ</w:t>
      </w:r>
      <w:r w:rsidR="00E8128F">
        <w:rPr>
          <w:sz w:val="36"/>
          <w:szCs w:val="36"/>
          <w:rtl/>
        </w:rPr>
        <w:t xml:space="preserve"> </w:t>
      </w:r>
      <w:r w:rsidR="00116A02" w:rsidRPr="00FD211F">
        <w:rPr>
          <w:sz w:val="36"/>
          <w:szCs w:val="36"/>
          <w:rtl/>
        </w:rPr>
        <w:t>في</w:t>
      </w:r>
      <w:r w:rsidR="00E8128F">
        <w:rPr>
          <w:sz w:val="36"/>
          <w:szCs w:val="36"/>
          <w:rtl/>
        </w:rPr>
        <w:t xml:space="preserve"> </w:t>
      </w:r>
      <w:r w:rsidR="00116A02" w:rsidRPr="00FD211F">
        <w:rPr>
          <w:sz w:val="36"/>
          <w:szCs w:val="36"/>
          <w:rtl/>
        </w:rPr>
        <w:t>الخطاب</w:t>
      </w:r>
      <w:r w:rsidR="00E8128F">
        <w:rPr>
          <w:sz w:val="36"/>
          <w:szCs w:val="36"/>
          <w:rtl/>
        </w:rPr>
        <w:t xml:space="preserve"> </w:t>
      </w:r>
      <w:r w:rsidR="00116A02" w:rsidRPr="00FD211F">
        <w:rPr>
          <w:sz w:val="36"/>
          <w:szCs w:val="36"/>
          <w:rtl/>
        </w:rPr>
        <w:t>اما</w:t>
      </w:r>
      <w:r w:rsidR="00E8128F">
        <w:rPr>
          <w:sz w:val="36"/>
          <w:szCs w:val="36"/>
          <w:rtl/>
        </w:rPr>
        <w:t xml:space="preserve"> </w:t>
      </w:r>
      <w:r w:rsidR="00116A02" w:rsidRPr="00FD211F">
        <w:rPr>
          <w:sz w:val="36"/>
          <w:szCs w:val="36"/>
          <w:rtl/>
        </w:rPr>
        <w:t>ان</w:t>
      </w:r>
      <w:r w:rsidR="00E8128F">
        <w:rPr>
          <w:sz w:val="36"/>
          <w:szCs w:val="36"/>
          <w:rtl/>
        </w:rPr>
        <w:t xml:space="preserve"> </w:t>
      </w:r>
      <w:r w:rsidR="00116A02" w:rsidRPr="00FD211F">
        <w:rPr>
          <w:sz w:val="36"/>
          <w:szCs w:val="36"/>
          <w:rtl/>
        </w:rPr>
        <w:t>يكون</w:t>
      </w:r>
      <w:r w:rsidR="00E8128F">
        <w:rPr>
          <w:sz w:val="36"/>
          <w:szCs w:val="36"/>
          <w:rtl/>
        </w:rPr>
        <w:t xml:space="preserve"> </w:t>
      </w:r>
      <w:r w:rsidR="00116A02" w:rsidRPr="00FD211F">
        <w:rPr>
          <w:sz w:val="36"/>
          <w:szCs w:val="36"/>
          <w:rtl/>
        </w:rPr>
        <w:t>معرفا</w:t>
      </w:r>
      <w:r w:rsidR="00E8128F">
        <w:rPr>
          <w:sz w:val="36"/>
          <w:szCs w:val="36"/>
          <w:rtl/>
        </w:rPr>
        <w:t xml:space="preserve"> </w:t>
      </w:r>
      <w:r w:rsidR="00116A02" w:rsidRPr="00FD211F">
        <w:rPr>
          <w:sz w:val="36"/>
          <w:szCs w:val="36"/>
          <w:rtl/>
        </w:rPr>
        <w:t>محضا</w:t>
      </w:r>
      <w:r w:rsidR="00E8128F">
        <w:rPr>
          <w:sz w:val="36"/>
          <w:szCs w:val="36"/>
          <w:rtl/>
        </w:rPr>
        <w:t xml:space="preserve"> </w:t>
      </w:r>
      <w:r w:rsidR="00116A02" w:rsidRPr="00FD211F">
        <w:rPr>
          <w:sz w:val="36"/>
          <w:szCs w:val="36"/>
          <w:rtl/>
        </w:rPr>
        <w:t>بلادخل</w:t>
      </w:r>
      <w:r w:rsidR="00E8128F">
        <w:rPr>
          <w:sz w:val="36"/>
          <w:szCs w:val="36"/>
          <w:rtl/>
        </w:rPr>
        <w:t xml:space="preserve"> </w:t>
      </w:r>
      <w:r w:rsidR="00116A02" w:rsidRPr="00FD211F">
        <w:rPr>
          <w:sz w:val="36"/>
          <w:szCs w:val="36"/>
          <w:rtl/>
        </w:rPr>
        <w:t>له</w:t>
      </w:r>
      <w:r w:rsidR="00E8128F">
        <w:rPr>
          <w:sz w:val="36"/>
          <w:szCs w:val="36"/>
          <w:rtl/>
        </w:rPr>
        <w:t xml:space="preserve"> </w:t>
      </w:r>
      <w:r w:rsidR="00116A02" w:rsidRPr="00FD211F">
        <w:rPr>
          <w:sz w:val="36"/>
          <w:szCs w:val="36"/>
          <w:rtl/>
        </w:rPr>
        <w:t>في</w:t>
      </w:r>
      <w:r w:rsidR="00E8128F">
        <w:rPr>
          <w:sz w:val="36"/>
          <w:szCs w:val="36"/>
          <w:rtl/>
        </w:rPr>
        <w:t xml:space="preserve"> </w:t>
      </w:r>
      <w:r w:rsidR="00116A02" w:rsidRPr="00FD211F">
        <w:rPr>
          <w:sz w:val="36"/>
          <w:szCs w:val="36"/>
          <w:rtl/>
        </w:rPr>
        <w:t>حدوث</w:t>
      </w:r>
      <w:r w:rsidR="00E8128F">
        <w:rPr>
          <w:sz w:val="36"/>
          <w:szCs w:val="36"/>
          <w:rtl/>
        </w:rPr>
        <w:t xml:space="preserve"> </w:t>
      </w:r>
      <w:r w:rsidR="00116A02" w:rsidRPr="00FD211F">
        <w:rPr>
          <w:sz w:val="36"/>
          <w:szCs w:val="36"/>
          <w:rtl/>
        </w:rPr>
        <w:t>الحكم</w:t>
      </w:r>
      <w:r w:rsidR="00E8128F">
        <w:rPr>
          <w:sz w:val="36"/>
          <w:szCs w:val="36"/>
          <w:rtl/>
        </w:rPr>
        <w:t xml:space="preserve"> </w:t>
      </w:r>
      <w:r w:rsidR="00116A02" w:rsidRPr="00FD211F">
        <w:rPr>
          <w:sz w:val="36"/>
          <w:szCs w:val="36"/>
          <w:rtl/>
        </w:rPr>
        <w:t>وبقاءه</w:t>
      </w:r>
      <w:r w:rsidR="00E8128F">
        <w:rPr>
          <w:sz w:val="36"/>
          <w:szCs w:val="36"/>
          <w:rtl/>
        </w:rPr>
        <w:t xml:space="preserve"> </w:t>
      </w:r>
      <w:r w:rsidR="00697F1E" w:rsidRPr="00FD211F">
        <w:rPr>
          <w:sz w:val="36"/>
          <w:szCs w:val="36"/>
          <w:rtl/>
        </w:rPr>
        <w:t>كعنوان</w:t>
      </w:r>
      <w:r w:rsidR="00E8128F">
        <w:rPr>
          <w:sz w:val="36"/>
          <w:szCs w:val="36"/>
          <w:rtl/>
        </w:rPr>
        <w:t xml:space="preserve"> </w:t>
      </w:r>
      <w:r w:rsidR="00697F1E" w:rsidRPr="00FD211F">
        <w:rPr>
          <w:sz w:val="36"/>
          <w:szCs w:val="36"/>
          <w:rtl/>
        </w:rPr>
        <w:t>الجالس</w:t>
      </w:r>
      <w:r w:rsidR="00E8128F">
        <w:rPr>
          <w:sz w:val="36"/>
          <w:szCs w:val="36"/>
          <w:rtl/>
        </w:rPr>
        <w:t xml:space="preserve"> </w:t>
      </w:r>
      <w:r w:rsidR="00697F1E" w:rsidRPr="00FD211F">
        <w:rPr>
          <w:sz w:val="36"/>
          <w:szCs w:val="36"/>
          <w:rtl/>
        </w:rPr>
        <w:t>في</w:t>
      </w:r>
      <w:r w:rsidR="00E8128F">
        <w:rPr>
          <w:sz w:val="36"/>
          <w:szCs w:val="36"/>
          <w:rtl/>
        </w:rPr>
        <w:t xml:space="preserve"> </w:t>
      </w:r>
      <w:r w:rsidR="00697F1E" w:rsidRPr="00FD211F">
        <w:rPr>
          <w:sz w:val="36"/>
          <w:szCs w:val="36"/>
          <w:rtl/>
        </w:rPr>
        <w:t>قوله</w:t>
      </w:r>
      <w:r w:rsidR="00E8128F">
        <w:rPr>
          <w:sz w:val="36"/>
          <w:szCs w:val="36"/>
          <w:rtl/>
        </w:rPr>
        <w:t xml:space="preserve"> </w:t>
      </w:r>
      <w:r w:rsidR="00697F1E" w:rsidRPr="00FD211F">
        <w:rPr>
          <w:sz w:val="36"/>
          <w:szCs w:val="36"/>
          <w:rtl/>
        </w:rPr>
        <w:t>عليك</w:t>
      </w:r>
      <w:r w:rsidR="00E8128F">
        <w:rPr>
          <w:sz w:val="36"/>
          <w:szCs w:val="36"/>
          <w:rtl/>
        </w:rPr>
        <w:t xml:space="preserve"> </w:t>
      </w:r>
      <w:r w:rsidR="00F42BEE" w:rsidRPr="00FD211F">
        <w:rPr>
          <w:sz w:val="36"/>
          <w:szCs w:val="36"/>
          <w:rtl/>
        </w:rPr>
        <w:t>بهذا</w:t>
      </w:r>
      <w:r w:rsidR="00E8128F">
        <w:rPr>
          <w:sz w:val="36"/>
          <w:szCs w:val="36"/>
          <w:rtl/>
        </w:rPr>
        <w:t xml:space="preserve"> </w:t>
      </w:r>
      <w:r w:rsidR="00F42BEE" w:rsidRPr="00FD211F">
        <w:rPr>
          <w:sz w:val="36"/>
          <w:szCs w:val="36"/>
          <w:rtl/>
        </w:rPr>
        <w:t>الجالس</w:t>
      </w:r>
      <w:r w:rsidR="00603323" w:rsidRPr="00FD211F">
        <w:rPr>
          <w:sz w:val="36"/>
          <w:szCs w:val="36"/>
          <w:rtl/>
        </w:rPr>
        <w:t>،</w:t>
      </w:r>
      <w:r w:rsidR="00E8128F">
        <w:rPr>
          <w:sz w:val="36"/>
          <w:szCs w:val="36"/>
          <w:rtl/>
        </w:rPr>
        <w:t xml:space="preserve"> </w:t>
      </w:r>
      <w:r w:rsidR="004C0C52" w:rsidRPr="00FD211F">
        <w:rPr>
          <w:sz w:val="36"/>
          <w:szCs w:val="36"/>
          <w:rtl/>
        </w:rPr>
        <w:t>وقد</w:t>
      </w:r>
      <w:r w:rsidR="00E8128F">
        <w:rPr>
          <w:sz w:val="36"/>
          <w:szCs w:val="36"/>
          <w:rtl/>
        </w:rPr>
        <w:t xml:space="preserve"> </w:t>
      </w:r>
      <w:r w:rsidR="004C0C52" w:rsidRPr="00FD211F">
        <w:rPr>
          <w:sz w:val="36"/>
          <w:szCs w:val="36"/>
          <w:rtl/>
        </w:rPr>
        <w:t>يكون</w:t>
      </w:r>
      <w:r w:rsidR="00E8128F">
        <w:rPr>
          <w:sz w:val="36"/>
          <w:szCs w:val="36"/>
          <w:rtl/>
        </w:rPr>
        <w:t xml:space="preserve"> </w:t>
      </w:r>
      <w:r w:rsidR="004C0C52" w:rsidRPr="00FD211F">
        <w:rPr>
          <w:sz w:val="36"/>
          <w:szCs w:val="36"/>
          <w:rtl/>
        </w:rPr>
        <w:t>دخيلا</w:t>
      </w:r>
      <w:r w:rsidR="00E8128F">
        <w:rPr>
          <w:sz w:val="36"/>
          <w:szCs w:val="36"/>
          <w:rtl/>
        </w:rPr>
        <w:t xml:space="preserve"> </w:t>
      </w:r>
      <w:r w:rsidR="004C0C52" w:rsidRPr="00FD211F">
        <w:rPr>
          <w:sz w:val="36"/>
          <w:szCs w:val="36"/>
          <w:rtl/>
        </w:rPr>
        <w:t>في</w:t>
      </w:r>
      <w:r w:rsidR="00E8128F">
        <w:rPr>
          <w:sz w:val="36"/>
          <w:szCs w:val="36"/>
          <w:rtl/>
        </w:rPr>
        <w:t xml:space="preserve"> </w:t>
      </w:r>
      <w:r w:rsidR="004C0C52" w:rsidRPr="00FD211F">
        <w:rPr>
          <w:sz w:val="36"/>
          <w:szCs w:val="36"/>
          <w:rtl/>
        </w:rPr>
        <w:t>حدوث</w:t>
      </w:r>
      <w:r w:rsidR="00E8128F">
        <w:rPr>
          <w:sz w:val="36"/>
          <w:szCs w:val="36"/>
          <w:rtl/>
        </w:rPr>
        <w:t xml:space="preserve"> </w:t>
      </w:r>
      <w:r w:rsidR="004C0C52" w:rsidRPr="00FD211F">
        <w:rPr>
          <w:sz w:val="36"/>
          <w:szCs w:val="36"/>
          <w:rtl/>
        </w:rPr>
        <w:t>الح</w:t>
      </w:r>
      <w:r w:rsidR="00D86960" w:rsidRPr="00FD211F">
        <w:rPr>
          <w:sz w:val="36"/>
          <w:szCs w:val="36"/>
          <w:rtl/>
        </w:rPr>
        <w:t>كم</w:t>
      </w:r>
      <w:r w:rsidR="00E8128F">
        <w:rPr>
          <w:sz w:val="36"/>
          <w:szCs w:val="36"/>
          <w:rtl/>
        </w:rPr>
        <w:t xml:space="preserve"> </w:t>
      </w:r>
      <w:r w:rsidR="00D86960" w:rsidRPr="00FD211F">
        <w:rPr>
          <w:sz w:val="36"/>
          <w:szCs w:val="36"/>
          <w:rtl/>
        </w:rPr>
        <w:t>وبقاءه</w:t>
      </w:r>
      <w:r w:rsidR="00E8128F">
        <w:rPr>
          <w:sz w:val="36"/>
          <w:szCs w:val="36"/>
          <w:rtl/>
        </w:rPr>
        <w:t xml:space="preserve"> </w:t>
      </w:r>
      <w:r w:rsidR="00D86960" w:rsidRPr="00FD211F">
        <w:rPr>
          <w:sz w:val="36"/>
          <w:szCs w:val="36"/>
          <w:rtl/>
        </w:rPr>
        <w:t>كما</w:t>
      </w:r>
      <w:r w:rsidR="00E8128F">
        <w:rPr>
          <w:sz w:val="36"/>
          <w:szCs w:val="36"/>
          <w:rtl/>
        </w:rPr>
        <w:t xml:space="preserve"> </w:t>
      </w:r>
      <w:r w:rsidR="00D86960" w:rsidRPr="00FD211F">
        <w:rPr>
          <w:sz w:val="36"/>
          <w:szCs w:val="36"/>
          <w:rtl/>
        </w:rPr>
        <w:t>هو</w:t>
      </w:r>
      <w:r w:rsidR="00E8128F">
        <w:rPr>
          <w:sz w:val="36"/>
          <w:szCs w:val="36"/>
          <w:rtl/>
        </w:rPr>
        <w:t xml:space="preserve"> </w:t>
      </w:r>
      <w:r w:rsidR="00D86960" w:rsidRPr="00FD211F">
        <w:rPr>
          <w:sz w:val="36"/>
          <w:szCs w:val="36"/>
          <w:rtl/>
        </w:rPr>
        <w:t>الظاهر</w:t>
      </w:r>
      <w:r w:rsidR="00E8128F">
        <w:rPr>
          <w:sz w:val="36"/>
          <w:szCs w:val="36"/>
          <w:rtl/>
        </w:rPr>
        <w:t xml:space="preserve"> </w:t>
      </w:r>
      <w:r w:rsidR="00D86960" w:rsidRPr="00FD211F">
        <w:rPr>
          <w:sz w:val="36"/>
          <w:szCs w:val="36"/>
          <w:rtl/>
        </w:rPr>
        <w:t>الأولى</w:t>
      </w:r>
      <w:r w:rsidR="00E8128F">
        <w:rPr>
          <w:sz w:val="36"/>
          <w:szCs w:val="36"/>
          <w:rtl/>
        </w:rPr>
        <w:t xml:space="preserve"> </w:t>
      </w:r>
      <w:r w:rsidR="00F42BEE" w:rsidRPr="00FD211F">
        <w:rPr>
          <w:sz w:val="36"/>
          <w:szCs w:val="36"/>
          <w:rtl/>
        </w:rPr>
        <w:t>للخطاب</w:t>
      </w:r>
      <w:r w:rsidR="00E8128F">
        <w:rPr>
          <w:sz w:val="36"/>
          <w:szCs w:val="36"/>
          <w:rtl/>
        </w:rPr>
        <w:t xml:space="preserve"> </w:t>
      </w:r>
      <w:r w:rsidR="00F42BEE" w:rsidRPr="00FD211F">
        <w:rPr>
          <w:sz w:val="36"/>
          <w:szCs w:val="36"/>
          <w:rtl/>
        </w:rPr>
        <w:t>مثل</w:t>
      </w:r>
      <w:r w:rsidR="00E8128F">
        <w:rPr>
          <w:sz w:val="36"/>
          <w:szCs w:val="36"/>
          <w:rtl/>
        </w:rPr>
        <w:t xml:space="preserve"> </w:t>
      </w:r>
      <w:r w:rsidR="004C0C52" w:rsidRPr="00FD211F">
        <w:rPr>
          <w:sz w:val="36"/>
          <w:szCs w:val="36"/>
          <w:rtl/>
        </w:rPr>
        <w:t>اكرم</w:t>
      </w:r>
      <w:r w:rsidR="00E8128F">
        <w:rPr>
          <w:sz w:val="36"/>
          <w:szCs w:val="36"/>
          <w:rtl/>
        </w:rPr>
        <w:t xml:space="preserve"> </w:t>
      </w:r>
      <w:r w:rsidR="004C0C52" w:rsidRPr="00FD211F">
        <w:rPr>
          <w:sz w:val="36"/>
          <w:szCs w:val="36"/>
          <w:rtl/>
        </w:rPr>
        <w:t>العالم</w:t>
      </w:r>
      <w:r w:rsidR="00E8128F">
        <w:rPr>
          <w:sz w:val="36"/>
          <w:szCs w:val="36"/>
          <w:rtl/>
        </w:rPr>
        <w:t xml:space="preserve"> </w:t>
      </w:r>
      <w:r w:rsidR="004C0C52" w:rsidRPr="00FD211F">
        <w:rPr>
          <w:sz w:val="36"/>
          <w:szCs w:val="36"/>
          <w:rtl/>
        </w:rPr>
        <w:t>وقلد</w:t>
      </w:r>
      <w:r w:rsidR="00E8128F">
        <w:rPr>
          <w:sz w:val="36"/>
          <w:szCs w:val="36"/>
          <w:rtl/>
        </w:rPr>
        <w:t xml:space="preserve"> </w:t>
      </w:r>
      <w:r w:rsidR="004C0C52" w:rsidRPr="00FD211F">
        <w:rPr>
          <w:sz w:val="36"/>
          <w:szCs w:val="36"/>
          <w:rtl/>
        </w:rPr>
        <w:t>المجتهد</w:t>
      </w:r>
      <w:r w:rsidR="00E8128F">
        <w:rPr>
          <w:sz w:val="36"/>
          <w:szCs w:val="36"/>
          <w:rtl/>
        </w:rPr>
        <w:t xml:space="preserve"> </w:t>
      </w:r>
      <w:r w:rsidR="004C0C52" w:rsidRPr="00FD211F">
        <w:rPr>
          <w:sz w:val="36"/>
          <w:szCs w:val="36"/>
          <w:rtl/>
        </w:rPr>
        <w:t>العادل</w:t>
      </w:r>
      <w:r w:rsidR="00603323" w:rsidRPr="00FD211F">
        <w:rPr>
          <w:sz w:val="36"/>
          <w:szCs w:val="36"/>
          <w:rtl/>
        </w:rPr>
        <w:t>،</w:t>
      </w:r>
      <w:r w:rsidR="00E8128F">
        <w:rPr>
          <w:sz w:val="36"/>
          <w:szCs w:val="36"/>
          <w:rtl/>
        </w:rPr>
        <w:t xml:space="preserve"> </w:t>
      </w:r>
      <w:r w:rsidR="004C0C52" w:rsidRPr="00FD211F">
        <w:rPr>
          <w:sz w:val="36"/>
          <w:szCs w:val="36"/>
          <w:rtl/>
        </w:rPr>
        <w:t>وقد</w:t>
      </w:r>
      <w:r w:rsidR="00E8128F">
        <w:rPr>
          <w:sz w:val="36"/>
          <w:szCs w:val="36"/>
          <w:rtl/>
        </w:rPr>
        <w:t xml:space="preserve"> </w:t>
      </w:r>
      <w:r w:rsidR="004C0C52" w:rsidRPr="00FD211F">
        <w:rPr>
          <w:sz w:val="36"/>
          <w:szCs w:val="36"/>
          <w:rtl/>
        </w:rPr>
        <w:t>يكون</w:t>
      </w:r>
      <w:r w:rsidR="00E8128F">
        <w:rPr>
          <w:sz w:val="36"/>
          <w:szCs w:val="36"/>
          <w:rtl/>
        </w:rPr>
        <w:t xml:space="preserve"> </w:t>
      </w:r>
      <w:r w:rsidR="004C0C52" w:rsidRPr="00FD211F">
        <w:rPr>
          <w:sz w:val="36"/>
          <w:szCs w:val="36"/>
          <w:rtl/>
        </w:rPr>
        <w:t>حدوثه</w:t>
      </w:r>
      <w:r w:rsidR="00E8128F">
        <w:rPr>
          <w:sz w:val="36"/>
          <w:szCs w:val="36"/>
          <w:rtl/>
        </w:rPr>
        <w:t xml:space="preserve"> </w:t>
      </w:r>
      <w:r w:rsidR="004C0C52" w:rsidRPr="00FD211F">
        <w:rPr>
          <w:sz w:val="36"/>
          <w:szCs w:val="36"/>
          <w:rtl/>
        </w:rPr>
        <w:t>دخيلا</w:t>
      </w:r>
      <w:r w:rsidR="00E8128F">
        <w:rPr>
          <w:sz w:val="36"/>
          <w:szCs w:val="36"/>
          <w:rtl/>
        </w:rPr>
        <w:t xml:space="preserve"> </w:t>
      </w:r>
      <w:r w:rsidR="004C0C52" w:rsidRPr="00FD211F">
        <w:rPr>
          <w:sz w:val="36"/>
          <w:szCs w:val="36"/>
          <w:rtl/>
        </w:rPr>
        <w:t>في</w:t>
      </w:r>
      <w:r w:rsidR="00E8128F">
        <w:rPr>
          <w:sz w:val="36"/>
          <w:szCs w:val="36"/>
          <w:rtl/>
        </w:rPr>
        <w:t xml:space="preserve"> </w:t>
      </w:r>
      <w:r w:rsidR="004C0C52" w:rsidRPr="00FD211F">
        <w:rPr>
          <w:sz w:val="36"/>
          <w:szCs w:val="36"/>
          <w:rtl/>
        </w:rPr>
        <w:t>حدوث</w:t>
      </w:r>
      <w:r w:rsidR="00E8128F">
        <w:rPr>
          <w:sz w:val="36"/>
          <w:szCs w:val="36"/>
          <w:rtl/>
        </w:rPr>
        <w:t xml:space="preserve"> </w:t>
      </w:r>
      <w:r w:rsidR="004C0C52" w:rsidRPr="00FD211F">
        <w:rPr>
          <w:sz w:val="36"/>
          <w:szCs w:val="36"/>
          <w:rtl/>
        </w:rPr>
        <w:t>الحكم</w:t>
      </w:r>
      <w:r w:rsidR="00E8128F">
        <w:rPr>
          <w:sz w:val="36"/>
          <w:szCs w:val="36"/>
          <w:rtl/>
        </w:rPr>
        <w:t xml:space="preserve"> </w:t>
      </w:r>
      <w:r w:rsidR="00D86960" w:rsidRPr="00FD211F">
        <w:rPr>
          <w:sz w:val="36"/>
          <w:szCs w:val="36"/>
          <w:rtl/>
        </w:rPr>
        <w:t>من</w:t>
      </w:r>
      <w:r w:rsidR="00E8128F">
        <w:rPr>
          <w:sz w:val="36"/>
          <w:szCs w:val="36"/>
          <w:rtl/>
        </w:rPr>
        <w:t xml:space="preserve"> </w:t>
      </w:r>
      <w:r w:rsidR="00D86960" w:rsidRPr="00FD211F">
        <w:rPr>
          <w:sz w:val="36"/>
          <w:szCs w:val="36"/>
          <w:rtl/>
        </w:rPr>
        <w:t>دون</w:t>
      </w:r>
      <w:r w:rsidR="00E8128F">
        <w:rPr>
          <w:sz w:val="36"/>
          <w:szCs w:val="36"/>
          <w:rtl/>
        </w:rPr>
        <w:t xml:space="preserve"> </w:t>
      </w:r>
      <w:r w:rsidR="00D86960" w:rsidRPr="00FD211F">
        <w:rPr>
          <w:sz w:val="36"/>
          <w:szCs w:val="36"/>
          <w:rtl/>
        </w:rPr>
        <w:t>يناط</w:t>
      </w:r>
      <w:r w:rsidR="00E8128F">
        <w:rPr>
          <w:sz w:val="36"/>
          <w:szCs w:val="36"/>
          <w:rtl/>
        </w:rPr>
        <w:t xml:space="preserve"> </w:t>
      </w:r>
      <w:r w:rsidR="00D86960" w:rsidRPr="00FD211F">
        <w:rPr>
          <w:sz w:val="36"/>
          <w:szCs w:val="36"/>
          <w:rtl/>
        </w:rPr>
        <w:t>بقاء</w:t>
      </w:r>
      <w:r w:rsidR="00E8128F">
        <w:rPr>
          <w:sz w:val="36"/>
          <w:szCs w:val="36"/>
          <w:rtl/>
        </w:rPr>
        <w:t xml:space="preserve"> </w:t>
      </w:r>
      <w:r w:rsidR="00D86960" w:rsidRPr="00FD211F">
        <w:rPr>
          <w:sz w:val="36"/>
          <w:szCs w:val="36"/>
          <w:rtl/>
        </w:rPr>
        <w:t>الحكم</w:t>
      </w:r>
      <w:r w:rsidR="00E8128F">
        <w:rPr>
          <w:sz w:val="36"/>
          <w:szCs w:val="36"/>
          <w:rtl/>
        </w:rPr>
        <w:t xml:space="preserve"> </w:t>
      </w:r>
      <w:r w:rsidR="00D86960" w:rsidRPr="00FD211F">
        <w:rPr>
          <w:sz w:val="36"/>
          <w:szCs w:val="36"/>
          <w:rtl/>
        </w:rPr>
        <w:t>ببقاءه</w:t>
      </w:r>
      <w:r w:rsidR="00E8128F">
        <w:rPr>
          <w:sz w:val="36"/>
          <w:szCs w:val="36"/>
          <w:rtl/>
        </w:rPr>
        <w:t xml:space="preserve"> </w:t>
      </w:r>
      <w:r w:rsidR="004C0C52" w:rsidRPr="00FD211F">
        <w:rPr>
          <w:sz w:val="36"/>
          <w:szCs w:val="36"/>
          <w:rtl/>
        </w:rPr>
        <w:t>كما</w:t>
      </w:r>
      <w:r w:rsidR="00E8128F">
        <w:rPr>
          <w:sz w:val="36"/>
          <w:szCs w:val="36"/>
          <w:rtl/>
        </w:rPr>
        <w:t xml:space="preserve"> </w:t>
      </w:r>
      <w:r w:rsidR="004C0C52" w:rsidRPr="00FD211F">
        <w:rPr>
          <w:sz w:val="36"/>
          <w:szCs w:val="36"/>
          <w:rtl/>
        </w:rPr>
        <w:t>هو</w:t>
      </w:r>
      <w:r w:rsidR="00E8128F">
        <w:rPr>
          <w:sz w:val="36"/>
          <w:szCs w:val="36"/>
          <w:rtl/>
        </w:rPr>
        <w:t xml:space="preserve"> </w:t>
      </w:r>
      <w:r w:rsidR="004C0C52" w:rsidRPr="00FD211F">
        <w:rPr>
          <w:sz w:val="36"/>
          <w:szCs w:val="36"/>
          <w:rtl/>
        </w:rPr>
        <w:t>الحال</w:t>
      </w:r>
      <w:r w:rsidR="00E8128F">
        <w:rPr>
          <w:sz w:val="36"/>
          <w:szCs w:val="36"/>
          <w:rtl/>
        </w:rPr>
        <w:t xml:space="preserve"> </w:t>
      </w:r>
      <w:r w:rsidR="004C0C52" w:rsidRPr="00FD211F">
        <w:rPr>
          <w:sz w:val="36"/>
          <w:szCs w:val="36"/>
          <w:rtl/>
        </w:rPr>
        <w:t>في</w:t>
      </w:r>
      <w:r w:rsidR="00E8128F">
        <w:rPr>
          <w:sz w:val="36"/>
          <w:szCs w:val="36"/>
          <w:rtl/>
        </w:rPr>
        <w:t xml:space="preserve"> </w:t>
      </w:r>
      <w:r w:rsidR="00F42BEE" w:rsidRPr="00FD211F">
        <w:rPr>
          <w:sz w:val="36"/>
          <w:szCs w:val="36"/>
          <w:rtl/>
        </w:rPr>
        <w:t>هاتين</w:t>
      </w:r>
      <w:r w:rsidR="00E8128F">
        <w:rPr>
          <w:sz w:val="36"/>
          <w:szCs w:val="36"/>
          <w:rtl/>
        </w:rPr>
        <w:t xml:space="preserve"> </w:t>
      </w:r>
      <w:r w:rsidR="00F42BEE" w:rsidRPr="00FD211F">
        <w:rPr>
          <w:sz w:val="36"/>
          <w:szCs w:val="36"/>
          <w:rtl/>
        </w:rPr>
        <w:t>الآيتين</w:t>
      </w:r>
      <w:r w:rsidR="00603323" w:rsidRPr="00FD211F">
        <w:rPr>
          <w:sz w:val="36"/>
          <w:szCs w:val="36"/>
          <w:rtl/>
        </w:rPr>
        <w:t>،</w:t>
      </w:r>
      <w:r w:rsidR="00E8128F">
        <w:rPr>
          <w:sz w:val="36"/>
          <w:szCs w:val="36"/>
          <w:rtl/>
        </w:rPr>
        <w:t xml:space="preserve"> </w:t>
      </w:r>
      <w:r w:rsidR="00F42BEE" w:rsidRPr="00FD211F">
        <w:rPr>
          <w:sz w:val="36"/>
          <w:szCs w:val="36"/>
          <w:rtl/>
        </w:rPr>
        <w:t>فانه</w:t>
      </w:r>
      <w:r w:rsidR="00E8128F">
        <w:rPr>
          <w:sz w:val="36"/>
          <w:szCs w:val="36"/>
          <w:rtl/>
        </w:rPr>
        <w:t xml:space="preserve"> </w:t>
      </w:r>
      <w:r w:rsidR="00F42BEE" w:rsidRPr="00FD211F">
        <w:rPr>
          <w:sz w:val="36"/>
          <w:szCs w:val="36"/>
          <w:rtl/>
        </w:rPr>
        <w:t>-مضافا</w:t>
      </w:r>
      <w:r w:rsidR="00E8128F">
        <w:rPr>
          <w:sz w:val="36"/>
          <w:szCs w:val="36"/>
          <w:rtl/>
        </w:rPr>
        <w:t xml:space="preserve"> </w:t>
      </w:r>
      <w:r w:rsidR="00F42BEE" w:rsidRPr="00FD211F">
        <w:rPr>
          <w:sz w:val="36"/>
          <w:szCs w:val="36"/>
          <w:rtl/>
        </w:rPr>
        <w:t>الى</w:t>
      </w:r>
      <w:r w:rsidR="00E8128F">
        <w:rPr>
          <w:sz w:val="36"/>
          <w:szCs w:val="36"/>
          <w:rtl/>
        </w:rPr>
        <w:t xml:space="preserve"> </w:t>
      </w:r>
      <w:r w:rsidR="00F42BEE" w:rsidRPr="00FD211F">
        <w:rPr>
          <w:sz w:val="36"/>
          <w:szCs w:val="36"/>
          <w:rtl/>
        </w:rPr>
        <w:t>مناسبات</w:t>
      </w:r>
      <w:r w:rsidR="00E8128F">
        <w:rPr>
          <w:sz w:val="36"/>
          <w:szCs w:val="36"/>
          <w:rtl/>
        </w:rPr>
        <w:t xml:space="preserve"> </w:t>
      </w:r>
      <w:r w:rsidR="00F42BEE" w:rsidRPr="00FD211F">
        <w:rPr>
          <w:sz w:val="36"/>
          <w:szCs w:val="36"/>
          <w:rtl/>
        </w:rPr>
        <w:t>الحكم</w:t>
      </w:r>
      <w:r w:rsidR="00E8128F">
        <w:rPr>
          <w:sz w:val="36"/>
          <w:szCs w:val="36"/>
          <w:rtl/>
        </w:rPr>
        <w:t xml:space="preserve"> </w:t>
      </w:r>
      <w:r w:rsidR="00F42BEE" w:rsidRPr="00FD211F">
        <w:rPr>
          <w:sz w:val="36"/>
          <w:szCs w:val="36"/>
          <w:rtl/>
        </w:rPr>
        <w:t>والموضوع-</w:t>
      </w:r>
      <w:r w:rsidR="00E8128F">
        <w:rPr>
          <w:sz w:val="36"/>
          <w:szCs w:val="36"/>
          <w:rtl/>
        </w:rPr>
        <w:t xml:space="preserve"> </w:t>
      </w:r>
      <w:r w:rsidR="00F42BEE" w:rsidRPr="00FD211F">
        <w:rPr>
          <w:sz w:val="36"/>
          <w:szCs w:val="36"/>
          <w:rtl/>
        </w:rPr>
        <w:t>لاينفَّذ</w:t>
      </w:r>
      <w:r w:rsidR="00E8128F">
        <w:rPr>
          <w:sz w:val="36"/>
          <w:szCs w:val="36"/>
          <w:rtl/>
        </w:rPr>
        <w:t xml:space="preserve"> </w:t>
      </w:r>
      <w:r w:rsidR="00F42BEE" w:rsidRPr="00FD211F">
        <w:rPr>
          <w:sz w:val="36"/>
          <w:szCs w:val="36"/>
          <w:rtl/>
        </w:rPr>
        <w:t>الحد</w:t>
      </w:r>
      <w:r w:rsidR="00E8128F">
        <w:rPr>
          <w:sz w:val="36"/>
          <w:szCs w:val="36"/>
          <w:rtl/>
        </w:rPr>
        <w:t xml:space="preserve"> </w:t>
      </w:r>
      <w:r w:rsidR="004C0C52" w:rsidRPr="00FD211F">
        <w:rPr>
          <w:sz w:val="36"/>
          <w:szCs w:val="36"/>
          <w:rtl/>
        </w:rPr>
        <w:t>حين</w:t>
      </w:r>
      <w:r w:rsidR="00E8128F">
        <w:rPr>
          <w:sz w:val="36"/>
          <w:szCs w:val="36"/>
          <w:rtl/>
        </w:rPr>
        <w:t xml:space="preserve"> </w:t>
      </w:r>
      <w:r w:rsidR="004C0C52" w:rsidRPr="00FD211F">
        <w:rPr>
          <w:sz w:val="36"/>
          <w:szCs w:val="36"/>
          <w:rtl/>
        </w:rPr>
        <w:t>السرق</w:t>
      </w:r>
      <w:r w:rsidR="00EC7EDF" w:rsidRPr="00FD211F">
        <w:rPr>
          <w:sz w:val="36"/>
          <w:szCs w:val="36"/>
          <w:rtl/>
        </w:rPr>
        <w:t>ة</w:t>
      </w:r>
      <w:r w:rsidR="00E8128F">
        <w:rPr>
          <w:sz w:val="36"/>
          <w:szCs w:val="36"/>
          <w:rtl/>
        </w:rPr>
        <w:t xml:space="preserve"> </w:t>
      </w:r>
      <w:r w:rsidR="004C0C52" w:rsidRPr="00FD211F">
        <w:rPr>
          <w:sz w:val="36"/>
          <w:szCs w:val="36"/>
          <w:rtl/>
        </w:rPr>
        <w:t>والزنا</w:t>
      </w:r>
      <w:r w:rsidR="00603323" w:rsidRPr="00FD211F">
        <w:rPr>
          <w:sz w:val="36"/>
          <w:szCs w:val="36"/>
          <w:rtl/>
        </w:rPr>
        <w:t>،</w:t>
      </w:r>
      <w:r w:rsidR="00E8128F">
        <w:rPr>
          <w:sz w:val="36"/>
          <w:szCs w:val="36"/>
          <w:rtl/>
        </w:rPr>
        <w:t xml:space="preserve"> </w:t>
      </w:r>
      <w:r w:rsidR="004C0C52" w:rsidRPr="00FD211F">
        <w:rPr>
          <w:sz w:val="36"/>
          <w:szCs w:val="36"/>
          <w:rtl/>
        </w:rPr>
        <w:t>فيكون</w:t>
      </w:r>
      <w:r w:rsidR="00E8128F">
        <w:rPr>
          <w:sz w:val="36"/>
          <w:szCs w:val="36"/>
          <w:rtl/>
        </w:rPr>
        <w:t xml:space="preserve"> </w:t>
      </w:r>
      <w:r w:rsidR="004C0C52" w:rsidRPr="00FD211F">
        <w:rPr>
          <w:sz w:val="36"/>
          <w:szCs w:val="36"/>
          <w:rtl/>
        </w:rPr>
        <w:t>معنى</w:t>
      </w:r>
      <w:r w:rsidR="00E8128F">
        <w:rPr>
          <w:sz w:val="36"/>
          <w:szCs w:val="36"/>
          <w:rtl/>
        </w:rPr>
        <w:t xml:space="preserve"> </w:t>
      </w:r>
      <w:r w:rsidR="004C0C52" w:rsidRPr="00FD211F">
        <w:rPr>
          <w:sz w:val="36"/>
          <w:szCs w:val="36"/>
          <w:rtl/>
        </w:rPr>
        <w:t>الآي</w:t>
      </w:r>
      <w:r w:rsidR="00EC7EDF" w:rsidRPr="00FD211F">
        <w:rPr>
          <w:sz w:val="36"/>
          <w:szCs w:val="36"/>
          <w:rtl/>
        </w:rPr>
        <w:t>ة</w:t>
      </w:r>
      <w:r w:rsidR="00E8128F">
        <w:rPr>
          <w:sz w:val="36"/>
          <w:szCs w:val="36"/>
          <w:rtl/>
        </w:rPr>
        <w:t xml:space="preserve"> </w:t>
      </w:r>
      <w:r w:rsidR="00F42BEE" w:rsidRPr="00FD211F">
        <w:rPr>
          <w:sz w:val="36"/>
          <w:szCs w:val="36"/>
          <w:rtl/>
        </w:rPr>
        <w:t>إما</w:t>
      </w:r>
      <w:r w:rsidR="00E8128F">
        <w:rPr>
          <w:sz w:val="36"/>
          <w:szCs w:val="36"/>
          <w:rtl/>
        </w:rPr>
        <w:t xml:space="preserve"> </w:t>
      </w:r>
      <w:r w:rsidR="00F42BEE" w:rsidRPr="00FD211F">
        <w:rPr>
          <w:sz w:val="36"/>
          <w:szCs w:val="36"/>
          <w:rtl/>
        </w:rPr>
        <w:t>ان</w:t>
      </w:r>
      <w:r w:rsidR="00E8128F">
        <w:rPr>
          <w:sz w:val="36"/>
          <w:szCs w:val="36"/>
          <w:rtl/>
        </w:rPr>
        <w:t xml:space="preserve"> </w:t>
      </w:r>
      <w:r w:rsidR="00F42BEE" w:rsidRPr="00FD211F">
        <w:rPr>
          <w:sz w:val="36"/>
          <w:szCs w:val="36"/>
          <w:rtl/>
        </w:rPr>
        <w:t>من</w:t>
      </w:r>
      <w:r w:rsidR="00E8128F">
        <w:rPr>
          <w:sz w:val="36"/>
          <w:szCs w:val="36"/>
          <w:rtl/>
        </w:rPr>
        <w:t xml:space="preserve"> </w:t>
      </w:r>
      <w:r w:rsidR="00F42BEE" w:rsidRPr="00FD211F">
        <w:rPr>
          <w:sz w:val="36"/>
          <w:szCs w:val="36"/>
          <w:rtl/>
        </w:rPr>
        <w:t>كان</w:t>
      </w:r>
      <w:r w:rsidR="00E8128F">
        <w:rPr>
          <w:sz w:val="36"/>
          <w:szCs w:val="36"/>
          <w:rtl/>
        </w:rPr>
        <w:t xml:space="preserve"> </w:t>
      </w:r>
      <w:r w:rsidR="00F42BEE" w:rsidRPr="00FD211F">
        <w:rPr>
          <w:sz w:val="36"/>
          <w:szCs w:val="36"/>
          <w:rtl/>
        </w:rPr>
        <w:t>زانيا</w:t>
      </w:r>
      <w:r w:rsidR="00E8128F">
        <w:rPr>
          <w:sz w:val="36"/>
          <w:szCs w:val="36"/>
          <w:rtl/>
        </w:rPr>
        <w:t xml:space="preserve"> </w:t>
      </w:r>
      <w:r w:rsidR="00F42BEE" w:rsidRPr="00FD211F">
        <w:rPr>
          <w:sz w:val="36"/>
          <w:szCs w:val="36"/>
          <w:rtl/>
        </w:rPr>
        <w:t>يجلد</w:t>
      </w:r>
      <w:r w:rsidR="00E8128F">
        <w:rPr>
          <w:sz w:val="36"/>
          <w:szCs w:val="36"/>
          <w:rtl/>
        </w:rPr>
        <w:t xml:space="preserve"> </w:t>
      </w:r>
      <w:r w:rsidR="00F42BEE" w:rsidRPr="00FD211F">
        <w:rPr>
          <w:sz w:val="36"/>
          <w:szCs w:val="36"/>
          <w:rtl/>
        </w:rPr>
        <w:t>و</w:t>
      </w:r>
      <w:r w:rsidR="004C0C52" w:rsidRPr="00FD211F">
        <w:rPr>
          <w:sz w:val="36"/>
          <w:szCs w:val="36"/>
          <w:rtl/>
        </w:rPr>
        <w:t>من</w:t>
      </w:r>
      <w:r w:rsidR="00E8128F">
        <w:rPr>
          <w:sz w:val="36"/>
          <w:szCs w:val="36"/>
          <w:rtl/>
        </w:rPr>
        <w:t xml:space="preserve"> </w:t>
      </w:r>
      <w:r w:rsidR="004C0C52" w:rsidRPr="00FD211F">
        <w:rPr>
          <w:sz w:val="36"/>
          <w:szCs w:val="36"/>
          <w:rtl/>
        </w:rPr>
        <w:t>كان</w:t>
      </w:r>
      <w:r w:rsidR="00E8128F">
        <w:rPr>
          <w:sz w:val="36"/>
          <w:szCs w:val="36"/>
          <w:rtl/>
        </w:rPr>
        <w:t xml:space="preserve"> </w:t>
      </w:r>
      <w:r w:rsidR="004C0C52" w:rsidRPr="00FD211F">
        <w:rPr>
          <w:sz w:val="36"/>
          <w:szCs w:val="36"/>
          <w:rtl/>
        </w:rPr>
        <w:t>سارقا</w:t>
      </w:r>
      <w:r w:rsidR="00E8128F">
        <w:rPr>
          <w:sz w:val="36"/>
          <w:szCs w:val="36"/>
          <w:rtl/>
        </w:rPr>
        <w:t xml:space="preserve"> </w:t>
      </w:r>
      <w:r w:rsidR="00F42BEE" w:rsidRPr="00FD211F">
        <w:rPr>
          <w:sz w:val="36"/>
          <w:szCs w:val="36"/>
          <w:rtl/>
        </w:rPr>
        <w:t>يقطع</w:t>
      </w:r>
      <w:r w:rsidR="00E8128F">
        <w:rPr>
          <w:sz w:val="36"/>
          <w:szCs w:val="36"/>
          <w:rtl/>
        </w:rPr>
        <w:t xml:space="preserve"> </w:t>
      </w:r>
      <w:r w:rsidR="00F42BEE" w:rsidRPr="00FD211F">
        <w:rPr>
          <w:sz w:val="36"/>
          <w:szCs w:val="36"/>
          <w:rtl/>
        </w:rPr>
        <w:t>يده</w:t>
      </w:r>
      <w:r w:rsidR="00603323" w:rsidRPr="00FD211F">
        <w:rPr>
          <w:sz w:val="36"/>
          <w:szCs w:val="36"/>
          <w:rtl/>
        </w:rPr>
        <w:t>،</w:t>
      </w:r>
      <w:r w:rsidR="00E8128F">
        <w:rPr>
          <w:sz w:val="36"/>
          <w:szCs w:val="36"/>
          <w:rtl/>
        </w:rPr>
        <w:t xml:space="preserve"> </w:t>
      </w:r>
      <w:r w:rsidR="004C0C52" w:rsidRPr="00FD211F">
        <w:rPr>
          <w:sz w:val="36"/>
          <w:szCs w:val="36"/>
          <w:rtl/>
        </w:rPr>
        <w:t>او</w:t>
      </w:r>
      <w:r w:rsidR="00E8128F">
        <w:rPr>
          <w:sz w:val="36"/>
          <w:szCs w:val="36"/>
          <w:rtl/>
        </w:rPr>
        <w:t xml:space="preserve"> </w:t>
      </w:r>
      <w:r w:rsidR="004C0C52" w:rsidRPr="00FD211F">
        <w:rPr>
          <w:sz w:val="36"/>
          <w:szCs w:val="36"/>
          <w:rtl/>
        </w:rPr>
        <w:t>يكون</w:t>
      </w:r>
      <w:r w:rsidR="00E8128F">
        <w:rPr>
          <w:sz w:val="36"/>
          <w:szCs w:val="36"/>
          <w:rtl/>
        </w:rPr>
        <w:t xml:space="preserve"> </w:t>
      </w:r>
      <w:r w:rsidR="004C0C52" w:rsidRPr="00FD211F">
        <w:rPr>
          <w:sz w:val="36"/>
          <w:szCs w:val="36"/>
          <w:rtl/>
        </w:rPr>
        <w:t>تطبيق</w:t>
      </w:r>
      <w:r w:rsidR="00E8128F">
        <w:rPr>
          <w:sz w:val="36"/>
          <w:szCs w:val="36"/>
          <w:rtl/>
        </w:rPr>
        <w:t xml:space="preserve"> </w:t>
      </w:r>
      <w:r w:rsidR="00F42BEE" w:rsidRPr="00FD211F">
        <w:rPr>
          <w:sz w:val="36"/>
          <w:szCs w:val="36"/>
          <w:rtl/>
        </w:rPr>
        <w:t>عنوان</w:t>
      </w:r>
      <w:r w:rsidR="00E8128F">
        <w:rPr>
          <w:sz w:val="36"/>
          <w:szCs w:val="36"/>
          <w:rtl/>
        </w:rPr>
        <w:t xml:space="preserve"> </w:t>
      </w:r>
      <w:r w:rsidR="00F42BEE" w:rsidRPr="00FD211F">
        <w:rPr>
          <w:sz w:val="36"/>
          <w:szCs w:val="36"/>
          <w:rtl/>
        </w:rPr>
        <w:t>الزاني</w:t>
      </w:r>
      <w:r w:rsidR="00E8128F">
        <w:rPr>
          <w:sz w:val="36"/>
          <w:szCs w:val="36"/>
          <w:rtl/>
        </w:rPr>
        <w:t xml:space="preserve"> </w:t>
      </w:r>
      <w:r w:rsidR="00F42BEE" w:rsidRPr="00FD211F">
        <w:rPr>
          <w:sz w:val="36"/>
          <w:szCs w:val="36"/>
          <w:rtl/>
        </w:rPr>
        <w:t>والسارق</w:t>
      </w:r>
      <w:r w:rsidR="00E8128F">
        <w:rPr>
          <w:sz w:val="36"/>
          <w:szCs w:val="36"/>
          <w:rtl/>
        </w:rPr>
        <w:t xml:space="preserve"> </w:t>
      </w:r>
      <w:r w:rsidR="004C0C52" w:rsidRPr="00FD211F">
        <w:rPr>
          <w:sz w:val="36"/>
          <w:szCs w:val="36"/>
          <w:rtl/>
        </w:rPr>
        <w:t>على</w:t>
      </w:r>
      <w:r w:rsidR="00E8128F">
        <w:rPr>
          <w:sz w:val="36"/>
          <w:szCs w:val="36"/>
          <w:rtl/>
        </w:rPr>
        <w:t xml:space="preserve"> </w:t>
      </w:r>
      <w:r w:rsidR="004C0C52" w:rsidRPr="00FD211F">
        <w:rPr>
          <w:sz w:val="36"/>
          <w:szCs w:val="36"/>
          <w:rtl/>
        </w:rPr>
        <w:t>المنقضي</w:t>
      </w:r>
      <w:r w:rsidR="00E8128F">
        <w:rPr>
          <w:sz w:val="36"/>
          <w:szCs w:val="36"/>
          <w:rtl/>
        </w:rPr>
        <w:t xml:space="preserve"> </w:t>
      </w:r>
      <w:r w:rsidR="004C0C52" w:rsidRPr="00FD211F">
        <w:rPr>
          <w:sz w:val="36"/>
          <w:szCs w:val="36"/>
          <w:rtl/>
        </w:rPr>
        <w:t>عنه</w:t>
      </w:r>
      <w:r w:rsidR="00E8128F">
        <w:rPr>
          <w:sz w:val="36"/>
          <w:szCs w:val="36"/>
          <w:rtl/>
        </w:rPr>
        <w:t xml:space="preserve"> </w:t>
      </w:r>
      <w:r w:rsidR="00F42BEE" w:rsidRPr="00FD211F">
        <w:rPr>
          <w:sz w:val="36"/>
          <w:szCs w:val="36"/>
          <w:rtl/>
        </w:rPr>
        <w:t>ال</w:t>
      </w:r>
      <w:r w:rsidR="0079493B" w:rsidRPr="00FD211F">
        <w:rPr>
          <w:sz w:val="36"/>
          <w:szCs w:val="36"/>
          <w:rtl/>
        </w:rPr>
        <w:t>مبدأ</w:t>
      </w:r>
      <w:r w:rsidR="00E8128F">
        <w:rPr>
          <w:sz w:val="36"/>
          <w:szCs w:val="36"/>
          <w:rtl/>
        </w:rPr>
        <w:t xml:space="preserve"> </w:t>
      </w:r>
      <w:r w:rsidR="00F42BEE" w:rsidRPr="00FD211F">
        <w:rPr>
          <w:sz w:val="36"/>
          <w:szCs w:val="36"/>
          <w:rtl/>
        </w:rPr>
        <w:t>بنحو</w:t>
      </w:r>
      <w:r w:rsidR="00E8128F">
        <w:rPr>
          <w:sz w:val="36"/>
          <w:szCs w:val="36"/>
          <w:rtl/>
        </w:rPr>
        <w:t xml:space="preserve"> </w:t>
      </w:r>
      <w:r w:rsidR="00F42BEE" w:rsidRPr="00FD211F">
        <w:rPr>
          <w:sz w:val="36"/>
          <w:szCs w:val="36"/>
          <w:rtl/>
        </w:rPr>
        <w:t>المجاز</w:t>
      </w:r>
      <w:r w:rsidR="00E8128F">
        <w:rPr>
          <w:sz w:val="36"/>
          <w:szCs w:val="36"/>
          <w:rtl/>
        </w:rPr>
        <w:t xml:space="preserve"> </w:t>
      </w:r>
      <w:r w:rsidR="00F42BEE" w:rsidRPr="00FD211F">
        <w:rPr>
          <w:sz w:val="36"/>
          <w:szCs w:val="36"/>
          <w:rtl/>
        </w:rPr>
        <w:t>الإدعائي</w:t>
      </w:r>
      <w:r w:rsidR="00603323" w:rsidRPr="00FD211F">
        <w:rPr>
          <w:sz w:val="36"/>
          <w:szCs w:val="36"/>
          <w:rtl/>
        </w:rPr>
        <w:t>،</w:t>
      </w:r>
      <w:r w:rsidR="00E8128F">
        <w:rPr>
          <w:sz w:val="36"/>
          <w:szCs w:val="36"/>
          <w:rtl/>
        </w:rPr>
        <w:t xml:space="preserve"> </w:t>
      </w:r>
      <w:r w:rsidR="00F42BEE" w:rsidRPr="00FD211F">
        <w:rPr>
          <w:sz w:val="36"/>
          <w:szCs w:val="36"/>
          <w:rtl/>
        </w:rPr>
        <w:t>والا</w:t>
      </w:r>
      <w:r w:rsidR="00E8128F">
        <w:rPr>
          <w:sz w:val="36"/>
          <w:szCs w:val="36"/>
          <w:rtl/>
        </w:rPr>
        <w:t xml:space="preserve"> </w:t>
      </w:r>
      <w:r w:rsidR="004C0C52" w:rsidRPr="00FD211F">
        <w:rPr>
          <w:sz w:val="36"/>
          <w:szCs w:val="36"/>
          <w:rtl/>
        </w:rPr>
        <w:t>فانه</w:t>
      </w:r>
      <w:r w:rsidR="00E8128F">
        <w:rPr>
          <w:sz w:val="36"/>
          <w:szCs w:val="36"/>
          <w:rtl/>
        </w:rPr>
        <w:t xml:space="preserve"> </w:t>
      </w:r>
      <w:r w:rsidR="004C0C52" w:rsidRPr="00FD211F">
        <w:rPr>
          <w:sz w:val="36"/>
          <w:szCs w:val="36"/>
          <w:rtl/>
        </w:rPr>
        <w:t>يصح</w:t>
      </w:r>
      <w:r w:rsidR="00E8128F">
        <w:rPr>
          <w:sz w:val="36"/>
          <w:szCs w:val="36"/>
          <w:rtl/>
        </w:rPr>
        <w:t xml:space="preserve"> </w:t>
      </w:r>
      <w:r w:rsidR="00F42BEE" w:rsidRPr="00FD211F">
        <w:rPr>
          <w:sz w:val="36"/>
          <w:szCs w:val="36"/>
          <w:rtl/>
        </w:rPr>
        <w:t>سلب</w:t>
      </w:r>
      <w:r w:rsidR="00E8128F">
        <w:rPr>
          <w:sz w:val="36"/>
          <w:szCs w:val="36"/>
          <w:rtl/>
        </w:rPr>
        <w:t xml:space="preserve"> </w:t>
      </w:r>
      <w:r w:rsidR="00F42BEE" w:rsidRPr="00FD211F">
        <w:rPr>
          <w:sz w:val="36"/>
          <w:szCs w:val="36"/>
          <w:rtl/>
        </w:rPr>
        <w:t>عنوان</w:t>
      </w:r>
      <w:r w:rsidR="00E8128F">
        <w:rPr>
          <w:sz w:val="36"/>
          <w:szCs w:val="36"/>
          <w:rtl/>
        </w:rPr>
        <w:t xml:space="preserve"> </w:t>
      </w:r>
      <w:r w:rsidR="00F42BEE" w:rsidRPr="00FD211F">
        <w:rPr>
          <w:sz w:val="36"/>
          <w:szCs w:val="36"/>
          <w:rtl/>
        </w:rPr>
        <w:t>السارق</w:t>
      </w:r>
      <w:r w:rsidR="00E8128F">
        <w:rPr>
          <w:sz w:val="36"/>
          <w:szCs w:val="36"/>
          <w:rtl/>
        </w:rPr>
        <w:t xml:space="preserve"> </w:t>
      </w:r>
      <w:r w:rsidR="00F42BEE" w:rsidRPr="00FD211F">
        <w:rPr>
          <w:sz w:val="36"/>
          <w:szCs w:val="36"/>
          <w:rtl/>
        </w:rPr>
        <w:t>عمن</w:t>
      </w:r>
      <w:r w:rsidR="00E8128F">
        <w:rPr>
          <w:sz w:val="36"/>
          <w:szCs w:val="36"/>
          <w:rtl/>
        </w:rPr>
        <w:t xml:space="preserve"> </w:t>
      </w:r>
      <w:r w:rsidR="00F42BEE" w:rsidRPr="00FD211F">
        <w:rPr>
          <w:sz w:val="36"/>
          <w:szCs w:val="36"/>
          <w:rtl/>
        </w:rPr>
        <w:t>سرق</w:t>
      </w:r>
      <w:r w:rsidR="00E8128F">
        <w:rPr>
          <w:sz w:val="36"/>
          <w:szCs w:val="36"/>
          <w:rtl/>
        </w:rPr>
        <w:t xml:space="preserve"> </w:t>
      </w:r>
      <w:r w:rsidR="00F42BEE" w:rsidRPr="00FD211F">
        <w:rPr>
          <w:sz w:val="36"/>
          <w:szCs w:val="36"/>
          <w:rtl/>
        </w:rPr>
        <w:t>قبل</w:t>
      </w:r>
      <w:r w:rsidR="00E8128F">
        <w:rPr>
          <w:sz w:val="36"/>
          <w:szCs w:val="36"/>
          <w:rtl/>
        </w:rPr>
        <w:t xml:space="preserve"> </w:t>
      </w:r>
      <w:r w:rsidR="00F42BEE" w:rsidRPr="00FD211F">
        <w:rPr>
          <w:sz w:val="36"/>
          <w:szCs w:val="36"/>
          <w:rtl/>
        </w:rPr>
        <w:t>شهر</w:t>
      </w:r>
      <w:r w:rsidR="00E8128F">
        <w:rPr>
          <w:sz w:val="36"/>
          <w:szCs w:val="36"/>
          <w:rtl/>
        </w:rPr>
        <w:t xml:space="preserve"> </w:t>
      </w:r>
      <w:r w:rsidR="009977FE" w:rsidRPr="00FD211F">
        <w:rPr>
          <w:sz w:val="36"/>
          <w:szCs w:val="36"/>
          <w:rtl/>
        </w:rPr>
        <w:t>و</w:t>
      </w:r>
      <w:r w:rsidR="00E8128F">
        <w:rPr>
          <w:sz w:val="36"/>
          <w:szCs w:val="36"/>
          <w:rtl/>
        </w:rPr>
        <w:t xml:space="preserve"> </w:t>
      </w:r>
      <w:r w:rsidR="008D7B3D" w:rsidRPr="00FD211F">
        <w:rPr>
          <w:sz w:val="36"/>
          <w:szCs w:val="36"/>
          <w:rtl/>
        </w:rPr>
        <w:t>لم‌</w:t>
      </w:r>
      <w:r w:rsidR="00F42BEE" w:rsidRPr="00FD211F">
        <w:rPr>
          <w:sz w:val="36"/>
          <w:szCs w:val="36"/>
          <w:rtl/>
        </w:rPr>
        <w:t>يكن</w:t>
      </w:r>
      <w:r w:rsidR="00E8128F">
        <w:rPr>
          <w:sz w:val="36"/>
          <w:szCs w:val="36"/>
          <w:rtl/>
        </w:rPr>
        <w:t xml:space="preserve"> </w:t>
      </w:r>
      <w:r w:rsidR="00F42BEE" w:rsidRPr="00FD211F">
        <w:rPr>
          <w:sz w:val="36"/>
          <w:szCs w:val="36"/>
          <w:rtl/>
        </w:rPr>
        <w:t>حرفته</w:t>
      </w:r>
      <w:r w:rsidR="00E8128F">
        <w:rPr>
          <w:sz w:val="36"/>
          <w:szCs w:val="36"/>
          <w:rtl/>
        </w:rPr>
        <w:t xml:space="preserve"> </w:t>
      </w:r>
      <w:r w:rsidR="004C0C52" w:rsidRPr="00FD211F">
        <w:rPr>
          <w:sz w:val="36"/>
          <w:szCs w:val="36"/>
          <w:rtl/>
        </w:rPr>
        <w:t>ذلك</w:t>
      </w:r>
      <w:r w:rsidR="00E8128F">
        <w:rPr>
          <w:sz w:val="36"/>
          <w:szCs w:val="36"/>
          <w:rtl/>
        </w:rPr>
        <w:t xml:space="preserve"> </w:t>
      </w:r>
      <w:r w:rsidR="00F42BEE" w:rsidRPr="00FD211F">
        <w:rPr>
          <w:sz w:val="36"/>
          <w:szCs w:val="36"/>
          <w:rtl/>
        </w:rPr>
        <w:t>فيقال</w:t>
      </w:r>
      <w:r w:rsidR="00E8128F">
        <w:rPr>
          <w:sz w:val="36"/>
          <w:szCs w:val="36"/>
          <w:rtl/>
        </w:rPr>
        <w:t xml:space="preserve"> </w:t>
      </w:r>
      <w:r w:rsidR="004C0C52" w:rsidRPr="00FD211F">
        <w:rPr>
          <w:sz w:val="36"/>
          <w:szCs w:val="36"/>
          <w:rtl/>
        </w:rPr>
        <w:t>انه</w:t>
      </w:r>
      <w:r w:rsidR="00E8128F">
        <w:rPr>
          <w:sz w:val="36"/>
          <w:szCs w:val="36"/>
          <w:rtl/>
        </w:rPr>
        <w:t xml:space="preserve"> </w:t>
      </w:r>
      <w:r w:rsidR="004C0C52" w:rsidRPr="00FD211F">
        <w:rPr>
          <w:sz w:val="36"/>
          <w:szCs w:val="36"/>
          <w:rtl/>
        </w:rPr>
        <w:t>ليس</w:t>
      </w:r>
      <w:r w:rsidR="00E8128F">
        <w:rPr>
          <w:sz w:val="36"/>
          <w:szCs w:val="36"/>
          <w:rtl/>
        </w:rPr>
        <w:t xml:space="preserve"> </w:t>
      </w:r>
      <w:r w:rsidR="004C0C52" w:rsidRPr="00FD211F">
        <w:rPr>
          <w:sz w:val="36"/>
          <w:szCs w:val="36"/>
          <w:rtl/>
        </w:rPr>
        <w:t>فعلا</w:t>
      </w:r>
      <w:r w:rsidR="00E8128F">
        <w:rPr>
          <w:sz w:val="36"/>
          <w:szCs w:val="36"/>
          <w:rtl/>
        </w:rPr>
        <w:t xml:space="preserve"> </w:t>
      </w:r>
      <w:r w:rsidR="004C0C52" w:rsidRPr="00FD211F">
        <w:rPr>
          <w:sz w:val="36"/>
          <w:szCs w:val="36"/>
          <w:rtl/>
        </w:rPr>
        <w:t>سارق.</w:t>
      </w:r>
    </w:p>
    <w:p w14:paraId="55CF76F8" w14:textId="77777777" w:rsidR="0092495E" w:rsidRPr="00FD211F" w:rsidRDefault="00F42BEE" w:rsidP="00320DC3">
      <w:pPr>
        <w:ind w:left="0" w:firstLine="227"/>
        <w:jc w:val="both"/>
        <w:rPr>
          <w:sz w:val="36"/>
          <w:szCs w:val="36"/>
          <w:rtl/>
        </w:rPr>
      </w:pPr>
      <w:r w:rsidRPr="00FD211F">
        <w:rPr>
          <w:b/>
          <w:bCs/>
          <w:sz w:val="36"/>
          <w:szCs w:val="36"/>
          <w:rtl/>
        </w:rPr>
        <w:t>الثالث</w:t>
      </w:r>
      <w:r w:rsidRPr="00FD211F">
        <w:rPr>
          <w:sz w:val="36"/>
          <w:szCs w:val="36"/>
          <w:rtl/>
        </w:rPr>
        <w:t>:</w:t>
      </w:r>
      <w:r w:rsidR="00E8128F">
        <w:rPr>
          <w:sz w:val="36"/>
          <w:szCs w:val="36"/>
          <w:rtl/>
        </w:rPr>
        <w:t xml:space="preserve"> </w:t>
      </w:r>
      <w:r w:rsidRPr="00FD211F">
        <w:rPr>
          <w:sz w:val="36"/>
          <w:szCs w:val="36"/>
          <w:rtl/>
        </w:rPr>
        <w:t>استدلال</w:t>
      </w:r>
      <w:r w:rsidR="00E8128F">
        <w:rPr>
          <w:sz w:val="36"/>
          <w:szCs w:val="36"/>
          <w:rtl/>
        </w:rPr>
        <w:t xml:space="preserve"> </w:t>
      </w:r>
      <w:r w:rsidRPr="00FD211F">
        <w:rPr>
          <w:sz w:val="36"/>
          <w:szCs w:val="36"/>
          <w:rtl/>
        </w:rPr>
        <w:t>الامام</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الروايات</w:t>
      </w:r>
      <w:r w:rsidR="00E8128F">
        <w:rPr>
          <w:sz w:val="36"/>
          <w:szCs w:val="36"/>
          <w:rtl/>
        </w:rPr>
        <w:t xml:space="preserve"> </w:t>
      </w:r>
      <w:r w:rsidRPr="00FD211F">
        <w:rPr>
          <w:sz w:val="36"/>
          <w:szCs w:val="36"/>
          <w:rtl/>
        </w:rPr>
        <w:t>بقوله</w:t>
      </w:r>
      <w:r w:rsidR="00E8128F">
        <w:rPr>
          <w:sz w:val="36"/>
          <w:szCs w:val="36"/>
          <w:rtl/>
        </w:rPr>
        <w:t xml:space="preserve"> </w:t>
      </w:r>
      <w:r w:rsidRPr="00FD211F">
        <w:rPr>
          <w:sz w:val="36"/>
          <w:szCs w:val="36"/>
          <w:rtl/>
        </w:rPr>
        <w:t>تعالى</w:t>
      </w:r>
      <w:r w:rsidR="00E8128F">
        <w:rPr>
          <w:sz w:val="36"/>
          <w:szCs w:val="36"/>
          <w:rtl/>
        </w:rPr>
        <w:t xml:space="preserve"> </w:t>
      </w:r>
      <w:r w:rsidR="00D04201" w:rsidRPr="00FD211F">
        <w:rPr>
          <w:sz w:val="36"/>
          <w:szCs w:val="36"/>
          <w:rtl/>
        </w:rPr>
        <w:t>"</w:t>
      </w:r>
      <w:r w:rsidR="00113DD4" w:rsidRPr="00FD211F">
        <w:rPr>
          <w:sz w:val="36"/>
          <w:szCs w:val="36"/>
          <w:rtl/>
        </w:rPr>
        <w:t>واذ</w:t>
      </w:r>
      <w:r w:rsidR="00E8128F">
        <w:rPr>
          <w:sz w:val="36"/>
          <w:szCs w:val="36"/>
          <w:rtl/>
        </w:rPr>
        <w:t xml:space="preserve"> </w:t>
      </w:r>
      <w:r w:rsidR="00113DD4" w:rsidRPr="00FD211F">
        <w:rPr>
          <w:sz w:val="36"/>
          <w:szCs w:val="36"/>
          <w:rtl/>
        </w:rPr>
        <w:t>ابتلى</w:t>
      </w:r>
      <w:r w:rsidR="00E8128F">
        <w:rPr>
          <w:sz w:val="36"/>
          <w:szCs w:val="36"/>
          <w:rtl/>
        </w:rPr>
        <w:t xml:space="preserve"> </w:t>
      </w:r>
      <w:r w:rsidR="00113DD4" w:rsidRPr="00FD211F">
        <w:rPr>
          <w:sz w:val="36"/>
          <w:szCs w:val="36"/>
          <w:rtl/>
        </w:rPr>
        <w:t>ابراهيم</w:t>
      </w:r>
      <w:r w:rsidR="00E8128F">
        <w:rPr>
          <w:sz w:val="36"/>
          <w:szCs w:val="36"/>
          <w:rtl/>
        </w:rPr>
        <w:t xml:space="preserve"> </w:t>
      </w:r>
      <w:r w:rsidR="00113DD4" w:rsidRPr="00FD211F">
        <w:rPr>
          <w:sz w:val="36"/>
          <w:szCs w:val="36"/>
          <w:rtl/>
        </w:rPr>
        <w:t>ربه</w:t>
      </w:r>
      <w:r w:rsidR="00E8128F">
        <w:rPr>
          <w:sz w:val="36"/>
          <w:szCs w:val="36"/>
          <w:rtl/>
        </w:rPr>
        <w:t xml:space="preserve"> </w:t>
      </w:r>
      <w:r w:rsidR="00113DD4" w:rsidRPr="00FD211F">
        <w:rPr>
          <w:sz w:val="36"/>
          <w:szCs w:val="36"/>
          <w:rtl/>
        </w:rPr>
        <w:t>بكلمات</w:t>
      </w:r>
      <w:r w:rsidR="00E8128F">
        <w:rPr>
          <w:sz w:val="36"/>
          <w:szCs w:val="36"/>
          <w:rtl/>
        </w:rPr>
        <w:t xml:space="preserve"> </w:t>
      </w:r>
      <w:r w:rsidR="00113DD4" w:rsidRPr="00FD211F">
        <w:rPr>
          <w:sz w:val="36"/>
          <w:szCs w:val="36"/>
          <w:rtl/>
        </w:rPr>
        <w:t>فاتمهن</w:t>
      </w:r>
      <w:r w:rsidR="00E8128F">
        <w:rPr>
          <w:sz w:val="36"/>
          <w:szCs w:val="36"/>
          <w:rtl/>
        </w:rPr>
        <w:t xml:space="preserve"> </w:t>
      </w:r>
      <w:r w:rsidR="00113DD4" w:rsidRPr="00FD211F">
        <w:rPr>
          <w:sz w:val="36"/>
          <w:szCs w:val="36"/>
          <w:rtl/>
        </w:rPr>
        <w:t>قال</w:t>
      </w:r>
      <w:r w:rsidR="00E8128F">
        <w:rPr>
          <w:sz w:val="36"/>
          <w:szCs w:val="36"/>
          <w:rtl/>
        </w:rPr>
        <w:t xml:space="preserve"> </w:t>
      </w:r>
      <w:r w:rsidR="00113DD4" w:rsidRPr="00FD211F">
        <w:rPr>
          <w:sz w:val="36"/>
          <w:szCs w:val="36"/>
          <w:rtl/>
        </w:rPr>
        <w:t>اني</w:t>
      </w:r>
      <w:r w:rsidR="00E8128F">
        <w:rPr>
          <w:sz w:val="36"/>
          <w:szCs w:val="36"/>
          <w:rtl/>
        </w:rPr>
        <w:t xml:space="preserve"> </w:t>
      </w:r>
      <w:r w:rsidR="00113DD4" w:rsidRPr="00FD211F">
        <w:rPr>
          <w:sz w:val="36"/>
          <w:szCs w:val="36"/>
          <w:rtl/>
        </w:rPr>
        <w:t>جاعلك</w:t>
      </w:r>
      <w:r w:rsidR="00E8128F">
        <w:rPr>
          <w:sz w:val="36"/>
          <w:szCs w:val="36"/>
          <w:rtl/>
        </w:rPr>
        <w:t xml:space="preserve"> </w:t>
      </w:r>
      <w:r w:rsidR="00113DD4" w:rsidRPr="00FD211F">
        <w:rPr>
          <w:sz w:val="36"/>
          <w:szCs w:val="36"/>
          <w:rtl/>
        </w:rPr>
        <w:t>للناس</w:t>
      </w:r>
      <w:r w:rsidR="00E8128F">
        <w:rPr>
          <w:sz w:val="36"/>
          <w:szCs w:val="36"/>
          <w:rtl/>
        </w:rPr>
        <w:t xml:space="preserve"> </w:t>
      </w:r>
      <w:r w:rsidR="00113DD4" w:rsidRPr="00FD211F">
        <w:rPr>
          <w:sz w:val="36"/>
          <w:szCs w:val="36"/>
          <w:rtl/>
        </w:rPr>
        <w:t>اماما</w:t>
      </w:r>
      <w:r w:rsidR="00E8128F">
        <w:rPr>
          <w:sz w:val="36"/>
          <w:szCs w:val="36"/>
          <w:rtl/>
        </w:rPr>
        <w:t xml:space="preserve"> </w:t>
      </w:r>
      <w:r w:rsidR="00113DD4" w:rsidRPr="00FD211F">
        <w:rPr>
          <w:sz w:val="36"/>
          <w:szCs w:val="36"/>
          <w:rtl/>
        </w:rPr>
        <w:t>قال</w:t>
      </w:r>
      <w:r w:rsidR="00E8128F">
        <w:rPr>
          <w:sz w:val="36"/>
          <w:szCs w:val="36"/>
          <w:rtl/>
        </w:rPr>
        <w:t xml:space="preserve"> </w:t>
      </w:r>
      <w:r w:rsidR="00113DD4" w:rsidRPr="00FD211F">
        <w:rPr>
          <w:sz w:val="36"/>
          <w:szCs w:val="36"/>
          <w:rtl/>
        </w:rPr>
        <w:t>ومن</w:t>
      </w:r>
      <w:r w:rsidR="00E8128F">
        <w:rPr>
          <w:sz w:val="36"/>
          <w:szCs w:val="36"/>
          <w:rtl/>
        </w:rPr>
        <w:t xml:space="preserve"> </w:t>
      </w:r>
      <w:r w:rsidR="00113DD4" w:rsidRPr="00FD211F">
        <w:rPr>
          <w:sz w:val="36"/>
          <w:szCs w:val="36"/>
          <w:rtl/>
        </w:rPr>
        <w:t>ذريتي</w:t>
      </w:r>
      <w:r w:rsidR="00E8128F">
        <w:rPr>
          <w:sz w:val="36"/>
          <w:szCs w:val="36"/>
          <w:rtl/>
        </w:rPr>
        <w:t xml:space="preserve"> </w:t>
      </w:r>
      <w:r w:rsidR="00113DD4" w:rsidRPr="00FD211F">
        <w:rPr>
          <w:sz w:val="36"/>
          <w:szCs w:val="36"/>
          <w:rtl/>
        </w:rPr>
        <w:t>قال</w:t>
      </w:r>
      <w:r w:rsidR="00E8128F">
        <w:rPr>
          <w:sz w:val="36"/>
          <w:szCs w:val="36"/>
          <w:rtl/>
        </w:rPr>
        <w:t xml:space="preserve"> </w:t>
      </w:r>
      <w:r w:rsidRPr="00FD211F">
        <w:rPr>
          <w:sz w:val="36"/>
          <w:szCs w:val="36"/>
          <w:rtl/>
        </w:rPr>
        <w:t>لاينال</w:t>
      </w:r>
      <w:r w:rsidR="00E8128F">
        <w:rPr>
          <w:sz w:val="36"/>
          <w:szCs w:val="36"/>
          <w:rtl/>
        </w:rPr>
        <w:t xml:space="preserve"> </w:t>
      </w:r>
      <w:r w:rsidRPr="00FD211F">
        <w:rPr>
          <w:sz w:val="36"/>
          <w:szCs w:val="36"/>
          <w:rtl/>
        </w:rPr>
        <w:t>عهدي</w:t>
      </w:r>
      <w:r w:rsidR="00E8128F">
        <w:rPr>
          <w:sz w:val="36"/>
          <w:szCs w:val="36"/>
          <w:rtl/>
        </w:rPr>
        <w:t xml:space="preserve"> </w:t>
      </w:r>
      <w:r w:rsidRPr="00FD211F">
        <w:rPr>
          <w:sz w:val="36"/>
          <w:szCs w:val="36"/>
          <w:rtl/>
        </w:rPr>
        <w:t>الظالمين</w:t>
      </w:r>
      <w:r w:rsidR="00D04201" w:rsidRPr="00FD211F">
        <w:rPr>
          <w:sz w:val="36"/>
          <w:szCs w:val="36"/>
          <w:rtl/>
        </w:rPr>
        <w:t>"</w:t>
      </w:r>
      <w:r w:rsidR="00E8128F">
        <w:rPr>
          <w:sz w:val="36"/>
          <w:szCs w:val="36"/>
          <w:rtl/>
        </w:rPr>
        <w:t xml:space="preserve"> </w:t>
      </w:r>
      <w:r w:rsidRPr="00FD211F">
        <w:rPr>
          <w:sz w:val="36"/>
          <w:szCs w:val="36"/>
          <w:rtl/>
        </w:rPr>
        <w:t>على</w:t>
      </w:r>
      <w:r w:rsidR="00E8128F">
        <w:rPr>
          <w:sz w:val="36"/>
          <w:szCs w:val="36"/>
          <w:rtl/>
        </w:rPr>
        <w:t xml:space="preserve"> </w:t>
      </w:r>
      <w:r w:rsidR="004C0C52" w:rsidRPr="00FD211F">
        <w:rPr>
          <w:sz w:val="36"/>
          <w:szCs w:val="36"/>
          <w:rtl/>
        </w:rPr>
        <w:t>ان</w:t>
      </w:r>
      <w:r w:rsidR="00D04201" w:rsidRPr="00FD211F">
        <w:rPr>
          <w:sz w:val="36"/>
          <w:szCs w:val="36"/>
          <w:rtl/>
        </w:rPr>
        <w:t>ّ</w:t>
      </w:r>
      <w:r w:rsidR="00E8128F">
        <w:rPr>
          <w:sz w:val="36"/>
          <w:szCs w:val="36"/>
          <w:rtl/>
        </w:rPr>
        <w:t xml:space="preserve"> </w:t>
      </w:r>
      <w:r w:rsidR="004C0C52" w:rsidRPr="00FD211F">
        <w:rPr>
          <w:sz w:val="36"/>
          <w:szCs w:val="36"/>
          <w:rtl/>
        </w:rPr>
        <w:t>من</w:t>
      </w:r>
      <w:r w:rsidR="00E8128F">
        <w:rPr>
          <w:sz w:val="36"/>
          <w:szCs w:val="36"/>
          <w:rtl/>
        </w:rPr>
        <w:t xml:space="preserve"> </w:t>
      </w:r>
      <w:r w:rsidR="004C0C52" w:rsidRPr="00FD211F">
        <w:rPr>
          <w:sz w:val="36"/>
          <w:szCs w:val="36"/>
          <w:rtl/>
        </w:rPr>
        <w:t>عبد</w:t>
      </w:r>
      <w:r w:rsidR="00E8128F">
        <w:rPr>
          <w:sz w:val="36"/>
          <w:szCs w:val="36"/>
          <w:rtl/>
        </w:rPr>
        <w:t xml:space="preserve"> </w:t>
      </w:r>
      <w:r w:rsidRPr="00FD211F">
        <w:rPr>
          <w:sz w:val="36"/>
          <w:szCs w:val="36"/>
          <w:rtl/>
        </w:rPr>
        <w:t>الأصنام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زمان</w:t>
      </w:r>
      <w:r w:rsidR="00B1734E" w:rsidRPr="00FD211F">
        <w:rPr>
          <w:sz w:val="36"/>
          <w:szCs w:val="36"/>
          <w:rtl/>
        </w:rPr>
        <w:t>ٍ‌</w:t>
      </w:r>
      <w:r w:rsidR="00D04201" w:rsidRPr="00FD211F">
        <w:rPr>
          <w:sz w:val="36"/>
          <w:szCs w:val="36"/>
          <w:rtl/>
        </w:rPr>
        <w:t>ما</w:t>
      </w:r>
      <w:r w:rsidR="00603323" w:rsidRPr="00FD211F">
        <w:rPr>
          <w:sz w:val="36"/>
          <w:szCs w:val="36"/>
          <w:rtl/>
        </w:rPr>
        <w:t>،</w:t>
      </w:r>
      <w:r w:rsidR="00E8128F">
        <w:rPr>
          <w:sz w:val="36"/>
          <w:szCs w:val="36"/>
          <w:rtl/>
        </w:rPr>
        <w:t xml:space="preserve"> </w:t>
      </w:r>
      <w:r w:rsidR="004C0C52" w:rsidRPr="00FD211F">
        <w:rPr>
          <w:sz w:val="36"/>
          <w:szCs w:val="36"/>
          <w:rtl/>
        </w:rPr>
        <w:t>لايصلح</w:t>
      </w:r>
      <w:r w:rsidR="00E8128F">
        <w:rPr>
          <w:sz w:val="36"/>
          <w:szCs w:val="36"/>
          <w:rtl/>
        </w:rPr>
        <w:t xml:space="preserve"> </w:t>
      </w:r>
      <w:r w:rsidR="004C0C52" w:rsidRPr="00FD211F">
        <w:rPr>
          <w:sz w:val="36"/>
          <w:szCs w:val="36"/>
          <w:rtl/>
        </w:rPr>
        <w:t>للإمام</w:t>
      </w:r>
      <w:r w:rsidR="00EC7EDF" w:rsidRPr="00FD211F">
        <w:rPr>
          <w:sz w:val="36"/>
          <w:szCs w:val="36"/>
          <w:rtl/>
        </w:rPr>
        <w:t>ة</w:t>
      </w:r>
      <w:r w:rsidR="00E8128F">
        <w:rPr>
          <w:sz w:val="36"/>
          <w:szCs w:val="36"/>
          <w:rtl/>
        </w:rPr>
        <w:t xml:space="preserve"> </w:t>
      </w:r>
      <w:r w:rsidR="004C0C52" w:rsidRPr="00FD211F">
        <w:rPr>
          <w:sz w:val="36"/>
          <w:szCs w:val="36"/>
          <w:rtl/>
        </w:rPr>
        <w:t>الى</w:t>
      </w:r>
      <w:r w:rsidR="00E8128F">
        <w:rPr>
          <w:sz w:val="36"/>
          <w:szCs w:val="36"/>
          <w:rtl/>
        </w:rPr>
        <w:t xml:space="preserve"> </w:t>
      </w:r>
      <w:r w:rsidR="004C0C52" w:rsidRPr="00FD211F">
        <w:rPr>
          <w:sz w:val="36"/>
          <w:szCs w:val="36"/>
          <w:rtl/>
        </w:rPr>
        <w:t>الأبد</w:t>
      </w:r>
      <w:r w:rsidR="009C58C8" w:rsidRPr="00FD211F">
        <w:rPr>
          <w:rStyle w:val="a6"/>
          <w:sz w:val="36"/>
          <w:szCs w:val="36"/>
          <w:rtl/>
        </w:rPr>
        <w:t>(</w:t>
      </w:r>
      <w:r w:rsidR="009C58C8" w:rsidRPr="00FD211F">
        <w:rPr>
          <w:rStyle w:val="a6"/>
          <w:sz w:val="36"/>
          <w:szCs w:val="36"/>
          <w:rtl/>
        </w:rPr>
        <w:footnoteReference w:id="559"/>
      </w:r>
      <w:r w:rsidR="009C58C8" w:rsidRPr="00FD211F">
        <w:rPr>
          <w:rStyle w:val="a6"/>
          <w:sz w:val="36"/>
          <w:szCs w:val="36"/>
          <w:rtl/>
        </w:rPr>
        <w:t>)</w:t>
      </w:r>
      <w:r w:rsidR="00603323" w:rsidRPr="00FD211F">
        <w:rPr>
          <w:sz w:val="36"/>
          <w:szCs w:val="36"/>
          <w:rtl/>
        </w:rPr>
        <w:t>،</w:t>
      </w:r>
      <w:r w:rsidR="00E8128F">
        <w:rPr>
          <w:sz w:val="36"/>
          <w:szCs w:val="36"/>
          <w:rtl/>
        </w:rPr>
        <w:t xml:space="preserve"> </w:t>
      </w:r>
      <w:r w:rsidR="0092495E" w:rsidRPr="00FD211F">
        <w:rPr>
          <w:sz w:val="36"/>
          <w:szCs w:val="36"/>
          <w:rtl/>
        </w:rPr>
        <w:t>ولو</w:t>
      </w:r>
      <w:r w:rsidR="00E8128F">
        <w:rPr>
          <w:sz w:val="36"/>
          <w:szCs w:val="36"/>
          <w:rtl/>
        </w:rPr>
        <w:t xml:space="preserve"> </w:t>
      </w:r>
      <w:r w:rsidR="0092495E" w:rsidRPr="00FD211F">
        <w:rPr>
          <w:sz w:val="36"/>
          <w:szCs w:val="36"/>
          <w:rtl/>
        </w:rPr>
        <w:t>كان</w:t>
      </w:r>
      <w:r w:rsidR="00E8128F">
        <w:rPr>
          <w:sz w:val="36"/>
          <w:szCs w:val="36"/>
          <w:rtl/>
        </w:rPr>
        <w:t xml:space="preserve"> </w:t>
      </w:r>
      <w:r w:rsidR="0092495E" w:rsidRPr="00FD211F">
        <w:rPr>
          <w:sz w:val="36"/>
          <w:szCs w:val="36"/>
          <w:rtl/>
        </w:rPr>
        <w:t>المشتق</w:t>
      </w:r>
      <w:r w:rsidR="00E8128F">
        <w:rPr>
          <w:sz w:val="36"/>
          <w:szCs w:val="36"/>
          <w:rtl/>
        </w:rPr>
        <w:t xml:space="preserve"> </w:t>
      </w:r>
      <w:r w:rsidR="0092495E" w:rsidRPr="00FD211F">
        <w:rPr>
          <w:sz w:val="36"/>
          <w:szCs w:val="36"/>
          <w:rtl/>
        </w:rPr>
        <w:t>موضوعا</w:t>
      </w:r>
      <w:r w:rsidR="00E8128F">
        <w:rPr>
          <w:sz w:val="36"/>
          <w:szCs w:val="36"/>
          <w:rtl/>
        </w:rPr>
        <w:t xml:space="preserve"> </w:t>
      </w:r>
      <w:r w:rsidR="0092495E" w:rsidRPr="00FD211F">
        <w:rPr>
          <w:sz w:val="36"/>
          <w:szCs w:val="36"/>
          <w:rtl/>
        </w:rPr>
        <w:t>لخصوص</w:t>
      </w:r>
      <w:r w:rsidR="00E8128F">
        <w:rPr>
          <w:sz w:val="36"/>
          <w:szCs w:val="36"/>
          <w:rtl/>
        </w:rPr>
        <w:t xml:space="preserve"> </w:t>
      </w:r>
      <w:r w:rsidR="0092495E" w:rsidRPr="00FD211F">
        <w:rPr>
          <w:sz w:val="36"/>
          <w:szCs w:val="36"/>
          <w:rtl/>
        </w:rPr>
        <w:t>المتلبس</w:t>
      </w:r>
      <w:r w:rsidR="00E8128F">
        <w:rPr>
          <w:sz w:val="36"/>
          <w:szCs w:val="36"/>
          <w:rtl/>
        </w:rPr>
        <w:t xml:space="preserve"> </w:t>
      </w:r>
      <w:r w:rsidR="0092495E" w:rsidRPr="00FD211F">
        <w:rPr>
          <w:sz w:val="36"/>
          <w:szCs w:val="36"/>
          <w:rtl/>
        </w:rPr>
        <w:t>بال</w:t>
      </w:r>
      <w:r w:rsidR="0079493B" w:rsidRPr="00FD211F">
        <w:rPr>
          <w:sz w:val="36"/>
          <w:szCs w:val="36"/>
          <w:rtl/>
        </w:rPr>
        <w:t>مبدأ</w:t>
      </w:r>
      <w:r w:rsidR="00E8128F">
        <w:rPr>
          <w:sz w:val="36"/>
          <w:szCs w:val="36"/>
          <w:rtl/>
        </w:rPr>
        <w:t xml:space="preserve"> </w:t>
      </w:r>
      <w:r w:rsidR="008D7B3D" w:rsidRPr="00FD211F">
        <w:rPr>
          <w:sz w:val="36"/>
          <w:szCs w:val="36"/>
          <w:rtl/>
        </w:rPr>
        <w:t>لم‌</w:t>
      </w:r>
      <w:r w:rsidR="0092495E" w:rsidRPr="00FD211F">
        <w:rPr>
          <w:sz w:val="36"/>
          <w:szCs w:val="36"/>
          <w:rtl/>
        </w:rPr>
        <w:t>يتم</w:t>
      </w:r>
      <w:r w:rsidR="00E8128F">
        <w:rPr>
          <w:sz w:val="36"/>
          <w:szCs w:val="36"/>
          <w:rtl/>
        </w:rPr>
        <w:t xml:space="preserve"> </w:t>
      </w:r>
      <w:r w:rsidR="0092495E" w:rsidRPr="00FD211F">
        <w:rPr>
          <w:sz w:val="36"/>
          <w:szCs w:val="36"/>
          <w:rtl/>
        </w:rPr>
        <w:t>استدلال</w:t>
      </w:r>
      <w:r w:rsidR="00E8128F">
        <w:rPr>
          <w:sz w:val="36"/>
          <w:szCs w:val="36"/>
          <w:rtl/>
        </w:rPr>
        <w:t xml:space="preserve"> </w:t>
      </w:r>
      <w:r w:rsidR="0092495E" w:rsidRPr="00FD211F">
        <w:rPr>
          <w:sz w:val="36"/>
          <w:szCs w:val="36"/>
          <w:rtl/>
        </w:rPr>
        <w:t>الإمام</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92495E" w:rsidRPr="00FD211F">
        <w:rPr>
          <w:sz w:val="36"/>
          <w:szCs w:val="36"/>
          <w:rtl/>
        </w:rPr>
        <w:t>بالآي</w:t>
      </w:r>
      <w:r w:rsidR="00EC7EDF" w:rsidRPr="00FD211F">
        <w:rPr>
          <w:sz w:val="36"/>
          <w:szCs w:val="36"/>
          <w:rtl/>
        </w:rPr>
        <w:t>ة</w:t>
      </w:r>
      <w:r w:rsidR="00603323" w:rsidRPr="00FD211F">
        <w:rPr>
          <w:sz w:val="36"/>
          <w:szCs w:val="36"/>
          <w:rtl/>
        </w:rPr>
        <w:t>،</w:t>
      </w:r>
      <w:r w:rsidR="00E8128F">
        <w:rPr>
          <w:sz w:val="36"/>
          <w:szCs w:val="36"/>
          <w:rtl/>
        </w:rPr>
        <w:t xml:space="preserve"> </w:t>
      </w:r>
      <w:r w:rsidR="004C0C52" w:rsidRPr="00FD211F">
        <w:rPr>
          <w:sz w:val="36"/>
          <w:szCs w:val="36"/>
          <w:rtl/>
        </w:rPr>
        <w:t>وقد</w:t>
      </w:r>
      <w:r w:rsidR="00E8128F">
        <w:rPr>
          <w:sz w:val="36"/>
          <w:szCs w:val="36"/>
          <w:rtl/>
        </w:rPr>
        <w:t xml:space="preserve"> </w:t>
      </w:r>
      <w:r w:rsidR="004C0C52" w:rsidRPr="00FD211F">
        <w:rPr>
          <w:sz w:val="36"/>
          <w:szCs w:val="36"/>
          <w:rtl/>
        </w:rPr>
        <w:t>ذكر</w:t>
      </w:r>
      <w:r w:rsidR="00E8128F">
        <w:rPr>
          <w:sz w:val="36"/>
          <w:szCs w:val="36"/>
          <w:rtl/>
        </w:rPr>
        <w:t xml:space="preserve"> </w:t>
      </w:r>
      <w:r w:rsidR="004C0C52" w:rsidRPr="00FD211F">
        <w:rPr>
          <w:sz w:val="36"/>
          <w:szCs w:val="36"/>
          <w:rtl/>
        </w:rPr>
        <w:t>الفخر</w:t>
      </w:r>
      <w:r w:rsidR="00E8128F">
        <w:rPr>
          <w:sz w:val="36"/>
          <w:szCs w:val="36"/>
          <w:rtl/>
        </w:rPr>
        <w:t xml:space="preserve"> </w:t>
      </w:r>
      <w:r w:rsidR="004C0C52" w:rsidRPr="00FD211F">
        <w:rPr>
          <w:sz w:val="36"/>
          <w:szCs w:val="36"/>
          <w:rtl/>
        </w:rPr>
        <w:t>الرازي</w:t>
      </w:r>
      <w:r w:rsidR="00E8128F">
        <w:rPr>
          <w:sz w:val="36"/>
          <w:szCs w:val="36"/>
          <w:rtl/>
        </w:rPr>
        <w:t xml:space="preserve"> </w:t>
      </w:r>
      <w:r w:rsidR="004C0C52" w:rsidRPr="00FD211F">
        <w:rPr>
          <w:sz w:val="36"/>
          <w:szCs w:val="36"/>
          <w:rtl/>
        </w:rPr>
        <w:t>ان</w:t>
      </w:r>
      <w:r w:rsidR="00E8128F">
        <w:rPr>
          <w:sz w:val="36"/>
          <w:szCs w:val="36"/>
          <w:rtl/>
        </w:rPr>
        <w:t xml:space="preserve"> </w:t>
      </w:r>
      <w:r w:rsidR="004C0C52" w:rsidRPr="00FD211F">
        <w:rPr>
          <w:sz w:val="36"/>
          <w:szCs w:val="36"/>
          <w:rtl/>
        </w:rPr>
        <w:t>الرافض</w:t>
      </w:r>
      <w:r w:rsidR="00EC7EDF" w:rsidRPr="00FD211F">
        <w:rPr>
          <w:sz w:val="36"/>
          <w:szCs w:val="36"/>
          <w:rtl/>
        </w:rPr>
        <w:t>ة</w:t>
      </w:r>
      <w:r w:rsidR="00E8128F">
        <w:rPr>
          <w:sz w:val="36"/>
          <w:szCs w:val="36"/>
          <w:rtl/>
        </w:rPr>
        <w:t xml:space="preserve"> </w:t>
      </w:r>
      <w:r w:rsidR="004C0C52" w:rsidRPr="00FD211F">
        <w:rPr>
          <w:sz w:val="36"/>
          <w:szCs w:val="36"/>
          <w:rtl/>
        </w:rPr>
        <w:t>استدلوا</w:t>
      </w:r>
      <w:r w:rsidR="00E8128F">
        <w:rPr>
          <w:sz w:val="36"/>
          <w:szCs w:val="36"/>
          <w:rtl/>
        </w:rPr>
        <w:t xml:space="preserve"> </w:t>
      </w:r>
      <w:r w:rsidR="004C0C52" w:rsidRPr="00FD211F">
        <w:rPr>
          <w:sz w:val="36"/>
          <w:szCs w:val="36"/>
          <w:rtl/>
        </w:rPr>
        <w:t>بذلك</w:t>
      </w:r>
      <w:r w:rsidR="00E8128F">
        <w:rPr>
          <w:sz w:val="36"/>
          <w:szCs w:val="36"/>
          <w:rtl/>
        </w:rPr>
        <w:t xml:space="preserve"> </w:t>
      </w:r>
      <w:r w:rsidR="004C0C52" w:rsidRPr="00FD211F">
        <w:rPr>
          <w:sz w:val="36"/>
          <w:szCs w:val="36"/>
          <w:rtl/>
        </w:rPr>
        <w:t>على</w:t>
      </w:r>
      <w:r w:rsidR="00E8128F">
        <w:rPr>
          <w:sz w:val="36"/>
          <w:szCs w:val="36"/>
          <w:rtl/>
        </w:rPr>
        <w:t xml:space="preserve"> </w:t>
      </w:r>
      <w:r w:rsidR="004C0C52" w:rsidRPr="00FD211F">
        <w:rPr>
          <w:sz w:val="36"/>
          <w:szCs w:val="36"/>
          <w:rtl/>
        </w:rPr>
        <w:t>عدم</w:t>
      </w:r>
      <w:r w:rsidR="00E8128F">
        <w:rPr>
          <w:sz w:val="36"/>
          <w:szCs w:val="36"/>
          <w:rtl/>
        </w:rPr>
        <w:t xml:space="preserve"> </w:t>
      </w:r>
      <w:r w:rsidR="004C0C52" w:rsidRPr="00FD211F">
        <w:rPr>
          <w:sz w:val="36"/>
          <w:szCs w:val="36"/>
          <w:rtl/>
        </w:rPr>
        <w:t>لياق</w:t>
      </w:r>
      <w:r w:rsidR="00EC7EDF" w:rsidRPr="00FD211F">
        <w:rPr>
          <w:sz w:val="36"/>
          <w:szCs w:val="36"/>
          <w:rtl/>
        </w:rPr>
        <w:t>ة</w:t>
      </w:r>
      <w:r w:rsidR="00E8128F">
        <w:rPr>
          <w:sz w:val="36"/>
          <w:szCs w:val="36"/>
          <w:rtl/>
        </w:rPr>
        <w:t xml:space="preserve"> </w:t>
      </w:r>
      <w:r w:rsidR="004C0C52" w:rsidRPr="00FD211F">
        <w:rPr>
          <w:sz w:val="36"/>
          <w:szCs w:val="36"/>
          <w:rtl/>
        </w:rPr>
        <w:t>الخلفاء</w:t>
      </w:r>
      <w:r w:rsidR="00E8128F">
        <w:rPr>
          <w:sz w:val="36"/>
          <w:szCs w:val="36"/>
          <w:rtl/>
        </w:rPr>
        <w:t xml:space="preserve"> </w:t>
      </w:r>
      <w:r w:rsidR="004C0C52" w:rsidRPr="00FD211F">
        <w:rPr>
          <w:sz w:val="36"/>
          <w:szCs w:val="36"/>
          <w:rtl/>
        </w:rPr>
        <w:t>للإمام</w:t>
      </w:r>
      <w:r w:rsidR="00EC7EDF" w:rsidRPr="00FD211F">
        <w:rPr>
          <w:sz w:val="36"/>
          <w:szCs w:val="36"/>
          <w:rtl/>
        </w:rPr>
        <w:t>ة</w:t>
      </w:r>
      <w:r w:rsidR="00E8128F">
        <w:rPr>
          <w:sz w:val="36"/>
          <w:szCs w:val="36"/>
          <w:rtl/>
        </w:rPr>
        <w:t xml:space="preserve"> </w:t>
      </w:r>
      <w:r w:rsidR="004C0C52" w:rsidRPr="00FD211F">
        <w:rPr>
          <w:sz w:val="36"/>
          <w:szCs w:val="36"/>
          <w:rtl/>
        </w:rPr>
        <w:t>ولكنه</w:t>
      </w:r>
      <w:r w:rsidR="00E8128F">
        <w:rPr>
          <w:sz w:val="36"/>
          <w:szCs w:val="36"/>
          <w:rtl/>
        </w:rPr>
        <w:t xml:space="preserve"> </w:t>
      </w:r>
      <w:r w:rsidR="004C0C52" w:rsidRPr="00FD211F">
        <w:rPr>
          <w:sz w:val="36"/>
          <w:szCs w:val="36"/>
          <w:rtl/>
        </w:rPr>
        <w:t>مبنى</w:t>
      </w:r>
      <w:r w:rsidR="00E8128F">
        <w:rPr>
          <w:sz w:val="36"/>
          <w:szCs w:val="36"/>
          <w:rtl/>
        </w:rPr>
        <w:t xml:space="preserve"> </w:t>
      </w:r>
      <w:r w:rsidR="004C0C52" w:rsidRPr="00FD211F">
        <w:rPr>
          <w:sz w:val="36"/>
          <w:szCs w:val="36"/>
          <w:rtl/>
        </w:rPr>
        <w:t>على</w:t>
      </w:r>
      <w:r w:rsidR="00E8128F">
        <w:rPr>
          <w:sz w:val="36"/>
          <w:szCs w:val="36"/>
          <w:rtl/>
        </w:rPr>
        <w:t xml:space="preserve"> </w:t>
      </w:r>
      <w:r w:rsidR="004C0C52" w:rsidRPr="00FD211F">
        <w:rPr>
          <w:sz w:val="36"/>
          <w:szCs w:val="36"/>
          <w:rtl/>
        </w:rPr>
        <w:t>كون</w:t>
      </w:r>
      <w:r w:rsidR="00E8128F">
        <w:rPr>
          <w:sz w:val="36"/>
          <w:szCs w:val="36"/>
          <w:rtl/>
        </w:rPr>
        <w:t xml:space="preserve"> </w:t>
      </w:r>
      <w:r w:rsidR="004C0C52" w:rsidRPr="00FD211F">
        <w:rPr>
          <w:sz w:val="36"/>
          <w:szCs w:val="36"/>
          <w:rtl/>
        </w:rPr>
        <w:t>المشتق</w:t>
      </w:r>
      <w:r w:rsidR="00E8128F">
        <w:rPr>
          <w:sz w:val="36"/>
          <w:szCs w:val="36"/>
          <w:rtl/>
        </w:rPr>
        <w:t xml:space="preserve"> </w:t>
      </w:r>
      <w:r w:rsidR="004C0C52" w:rsidRPr="00FD211F">
        <w:rPr>
          <w:sz w:val="36"/>
          <w:szCs w:val="36"/>
          <w:rtl/>
        </w:rPr>
        <w:t>حقيق</w:t>
      </w:r>
      <w:r w:rsidR="00EC7EDF" w:rsidRPr="00FD211F">
        <w:rPr>
          <w:sz w:val="36"/>
          <w:szCs w:val="36"/>
          <w:rtl/>
        </w:rPr>
        <w:t>ة</w:t>
      </w:r>
      <w:r w:rsidR="00E8128F">
        <w:rPr>
          <w:sz w:val="36"/>
          <w:szCs w:val="36"/>
          <w:rtl/>
        </w:rPr>
        <w:t xml:space="preserve"> </w:t>
      </w:r>
      <w:r w:rsidR="004C0C52" w:rsidRPr="00FD211F">
        <w:rPr>
          <w:sz w:val="36"/>
          <w:szCs w:val="36"/>
          <w:rtl/>
        </w:rPr>
        <w:t>في</w:t>
      </w:r>
      <w:r w:rsidR="00E8128F">
        <w:rPr>
          <w:sz w:val="36"/>
          <w:szCs w:val="36"/>
          <w:rtl/>
        </w:rPr>
        <w:t xml:space="preserve"> </w:t>
      </w:r>
      <w:r w:rsidR="004C0C52" w:rsidRPr="00FD211F">
        <w:rPr>
          <w:sz w:val="36"/>
          <w:szCs w:val="36"/>
          <w:rtl/>
        </w:rPr>
        <w:t>الأعم</w:t>
      </w:r>
      <w:r w:rsidR="00E8128F">
        <w:rPr>
          <w:sz w:val="36"/>
          <w:szCs w:val="36"/>
          <w:rtl/>
        </w:rPr>
        <w:t xml:space="preserve"> </w:t>
      </w:r>
      <w:r w:rsidR="004C0C52" w:rsidRPr="00FD211F">
        <w:rPr>
          <w:sz w:val="36"/>
          <w:szCs w:val="36"/>
          <w:rtl/>
        </w:rPr>
        <w:t>وهو</w:t>
      </w:r>
      <w:r w:rsidR="00E8128F">
        <w:rPr>
          <w:sz w:val="36"/>
          <w:szCs w:val="36"/>
          <w:rtl/>
        </w:rPr>
        <w:t xml:space="preserve"> </w:t>
      </w:r>
      <w:r w:rsidR="004C0C52" w:rsidRPr="00FD211F">
        <w:rPr>
          <w:sz w:val="36"/>
          <w:szCs w:val="36"/>
          <w:rtl/>
        </w:rPr>
        <w:t>ممنوع</w:t>
      </w:r>
      <w:r w:rsidR="00603323" w:rsidRPr="00FD211F">
        <w:rPr>
          <w:sz w:val="36"/>
          <w:szCs w:val="36"/>
          <w:rtl/>
        </w:rPr>
        <w:t>،</w:t>
      </w:r>
      <w:r w:rsidR="00E8128F">
        <w:rPr>
          <w:sz w:val="36"/>
          <w:szCs w:val="36"/>
          <w:rtl/>
        </w:rPr>
        <w:t xml:space="preserve"> </w:t>
      </w:r>
      <w:r w:rsidR="0092495E" w:rsidRPr="00FD211F">
        <w:rPr>
          <w:sz w:val="36"/>
          <w:szCs w:val="36"/>
          <w:rtl/>
        </w:rPr>
        <w:t>فان</w:t>
      </w:r>
      <w:r w:rsidR="00E8128F">
        <w:rPr>
          <w:sz w:val="36"/>
          <w:szCs w:val="36"/>
          <w:rtl/>
        </w:rPr>
        <w:t xml:space="preserve"> </w:t>
      </w:r>
      <w:r w:rsidR="0092495E" w:rsidRPr="00FD211F">
        <w:rPr>
          <w:sz w:val="36"/>
          <w:szCs w:val="36"/>
          <w:rtl/>
        </w:rPr>
        <w:t>من</w:t>
      </w:r>
      <w:r w:rsidR="00E8128F">
        <w:rPr>
          <w:sz w:val="36"/>
          <w:szCs w:val="36"/>
          <w:rtl/>
        </w:rPr>
        <w:t xml:space="preserve"> </w:t>
      </w:r>
      <w:r w:rsidR="0092495E" w:rsidRPr="00FD211F">
        <w:rPr>
          <w:sz w:val="36"/>
          <w:szCs w:val="36"/>
          <w:rtl/>
        </w:rPr>
        <w:t>حلف</w:t>
      </w:r>
      <w:r w:rsidR="00E8128F">
        <w:rPr>
          <w:sz w:val="36"/>
          <w:szCs w:val="36"/>
          <w:rtl/>
        </w:rPr>
        <w:t xml:space="preserve"> </w:t>
      </w:r>
      <w:r w:rsidR="0092495E" w:rsidRPr="00FD211F">
        <w:rPr>
          <w:sz w:val="36"/>
          <w:szCs w:val="36"/>
          <w:rtl/>
        </w:rPr>
        <w:t>ان</w:t>
      </w:r>
      <w:r w:rsidR="00E8128F">
        <w:rPr>
          <w:sz w:val="36"/>
          <w:szCs w:val="36"/>
          <w:rtl/>
        </w:rPr>
        <w:t xml:space="preserve"> </w:t>
      </w:r>
      <w:r w:rsidR="0092495E" w:rsidRPr="00FD211F">
        <w:rPr>
          <w:sz w:val="36"/>
          <w:szCs w:val="36"/>
          <w:rtl/>
        </w:rPr>
        <w:t>لايسلِّم</w:t>
      </w:r>
      <w:r w:rsidR="00E8128F">
        <w:rPr>
          <w:sz w:val="36"/>
          <w:szCs w:val="36"/>
          <w:rtl/>
        </w:rPr>
        <w:t xml:space="preserve"> </w:t>
      </w:r>
      <w:r w:rsidR="0092495E" w:rsidRPr="00FD211F">
        <w:rPr>
          <w:sz w:val="36"/>
          <w:szCs w:val="36"/>
          <w:rtl/>
        </w:rPr>
        <w:t>على</w:t>
      </w:r>
      <w:r w:rsidR="00E8128F">
        <w:rPr>
          <w:sz w:val="36"/>
          <w:szCs w:val="36"/>
          <w:rtl/>
        </w:rPr>
        <w:t xml:space="preserve"> </w:t>
      </w:r>
      <w:r w:rsidR="0092495E" w:rsidRPr="00FD211F">
        <w:rPr>
          <w:sz w:val="36"/>
          <w:szCs w:val="36"/>
          <w:rtl/>
        </w:rPr>
        <w:t>كافر</w:t>
      </w:r>
      <w:r w:rsidR="00E8128F">
        <w:rPr>
          <w:sz w:val="36"/>
          <w:szCs w:val="36"/>
          <w:rtl/>
        </w:rPr>
        <w:t xml:space="preserve"> </w:t>
      </w:r>
      <w:r w:rsidR="0092495E" w:rsidRPr="00FD211F">
        <w:rPr>
          <w:sz w:val="36"/>
          <w:szCs w:val="36"/>
          <w:rtl/>
        </w:rPr>
        <w:t>فسلَّم</w:t>
      </w:r>
      <w:r w:rsidR="00E8128F">
        <w:rPr>
          <w:sz w:val="36"/>
          <w:szCs w:val="36"/>
          <w:rtl/>
        </w:rPr>
        <w:t xml:space="preserve"> </w:t>
      </w:r>
      <w:r w:rsidR="0092495E" w:rsidRPr="00FD211F">
        <w:rPr>
          <w:sz w:val="36"/>
          <w:szCs w:val="36"/>
          <w:rtl/>
        </w:rPr>
        <w:t>على</w:t>
      </w:r>
      <w:r w:rsidR="00E8128F">
        <w:rPr>
          <w:sz w:val="36"/>
          <w:szCs w:val="36"/>
          <w:rtl/>
        </w:rPr>
        <w:t xml:space="preserve"> </w:t>
      </w:r>
      <w:r w:rsidR="0092495E" w:rsidRPr="00FD211F">
        <w:rPr>
          <w:sz w:val="36"/>
          <w:szCs w:val="36"/>
          <w:rtl/>
        </w:rPr>
        <w:t>من</w:t>
      </w:r>
      <w:r w:rsidR="00E8128F">
        <w:rPr>
          <w:sz w:val="36"/>
          <w:szCs w:val="36"/>
          <w:rtl/>
        </w:rPr>
        <w:t xml:space="preserve"> </w:t>
      </w:r>
      <w:r w:rsidR="0092495E" w:rsidRPr="00FD211F">
        <w:rPr>
          <w:sz w:val="36"/>
          <w:szCs w:val="36"/>
          <w:rtl/>
        </w:rPr>
        <w:t>كان</w:t>
      </w:r>
      <w:r w:rsidR="00E8128F">
        <w:rPr>
          <w:sz w:val="36"/>
          <w:szCs w:val="36"/>
          <w:rtl/>
        </w:rPr>
        <w:t xml:space="preserve"> </w:t>
      </w:r>
      <w:r w:rsidR="0092495E" w:rsidRPr="00FD211F">
        <w:rPr>
          <w:sz w:val="36"/>
          <w:szCs w:val="36"/>
          <w:rtl/>
        </w:rPr>
        <w:t>كافرا</w:t>
      </w:r>
      <w:r w:rsidR="00E8128F">
        <w:rPr>
          <w:sz w:val="36"/>
          <w:szCs w:val="36"/>
          <w:rtl/>
        </w:rPr>
        <w:t xml:space="preserve"> </w:t>
      </w:r>
      <w:r w:rsidR="0092495E" w:rsidRPr="00FD211F">
        <w:rPr>
          <w:sz w:val="36"/>
          <w:szCs w:val="36"/>
          <w:rtl/>
        </w:rPr>
        <w:t>سابقا</w:t>
      </w:r>
      <w:r w:rsidR="00E8128F">
        <w:rPr>
          <w:sz w:val="36"/>
          <w:szCs w:val="36"/>
          <w:rtl/>
        </w:rPr>
        <w:t xml:space="preserve"> </w:t>
      </w:r>
      <w:r w:rsidR="0092495E" w:rsidRPr="00FD211F">
        <w:rPr>
          <w:sz w:val="36"/>
          <w:szCs w:val="36"/>
          <w:rtl/>
        </w:rPr>
        <w:t>لكنه</w:t>
      </w:r>
      <w:r w:rsidR="00E8128F">
        <w:rPr>
          <w:sz w:val="36"/>
          <w:szCs w:val="36"/>
          <w:rtl/>
        </w:rPr>
        <w:t xml:space="preserve"> </w:t>
      </w:r>
      <w:r w:rsidR="0092495E" w:rsidRPr="00FD211F">
        <w:rPr>
          <w:sz w:val="36"/>
          <w:szCs w:val="36"/>
          <w:rtl/>
        </w:rPr>
        <w:t>صار</w:t>
      </w:r>
      <w:r w:rsidR="00E8128F">
        <w:rPr>
          <w:sz w:val="36"/>
          <w:szCs w:val="36"/>
          <w:rtl/>
        </w:rPr>
        <w:t xml:space="preserve"> </w:t>
      </w:r>
      <w:r w:rsidR="0092495E" w:rsidRPr="00FD211F">
        <w:rPr>
          <w:sz w:val="36"/>
          <w:szCs w:val="36"/>
          <w:rtl/>
        </w:rPr>
        <w:t>مؤمنا</w:t>
      </w:r>
      <w:r w:rsidR="00E8128F">
        <w:rPr>
          <w:sz w:val="36"/>
          <w:szCs w:val="36"/>
          <w:rtl/>
        </w:rPr>
        <w:t xml:space="preserve"> </w:t>
      </w:r>
      <w:r w:rsidR="0092495E" w:rsidRPr="00FD211F">
        <w:rPr>
          <w:sz w:val="36"/>
          <w:szCs w:val="36"/>
          <w:rtl/>
        </w:rPr>
        <w:t>فانه</w:t>
      </w:r>
      <w:r w:rsidR="00E8128F">
        <w:rPr>
          <w:sz w:val="36"/>
          <w:szCs w:val="36"/>
          <w:rtl/>
        </w:rPr>
        <w:t xml:space="preserve"> </w:t>
      </w:r>
      <w:r w:rsidR="0092495E" w:rsidRPr="00FD211F">
        <w:rPr>
          <w:sz w:val="36"/>
          <w:szCs w:val="36"/>
          <w:rtl/>
        </w:rPr>
        <w:t>لايحنث</w:t>
      </w:r>
      <w:r w:rsidR="00E8128F">
        <w:rPr>
          <w:sz w:val="36"/>
          <w:szCs w:val="36"/>
          <w:rtl/>
        </w:rPr>
        <w:t xml:space="preserve"> </w:t>
      </w:r>
      <w:r w:rsidR="0092495E" w:rsidRPr="00FD211F">
        <w:rPr>
          <w:sz w:val="36"/>
          <w:szCs w:val="36"/>
          <w:rtl/>
        </w:rPr>
        <w:t>بذلك</w:t>
      </w:r>
      <w:r w:rsidR="009C58C8" w:rsidRPr="00FD211F">
        <w:rPr>
          <w:rStyle w:val="a6"/>
          <w:sz w:val="36"/>
          <w:szCs w:val="36"/>
          <w:rtl/>
        </w:rPr>
        <w:t>(</w:t>
      </w:r>
      <w:r w:rsidR="009C58C8" w:rsidRPr="00FD211F">
        <w:rPr>
          <w:rStyle w:val="a6"/>
          <w:sz w:val="36"/>
          <w:szCs w:val="36"/>
          <w:rtl/>
        </w:rPr>
        <w:footnoteReference w:id="560"/>
      </w:r>
      <w:r w:rsidR="009C58C8" w:rsidRPr="00FD211F">
        <w:rPr>
          <w:rStyle w:val="a6"/>
          <w:sz w:val="36"/>
          <w:szCs w:val="36"/>
          <w:rtl/>
        </w:rPr>
        <w:t>)</w:t>
      </w:r>
      <w:r w:rsidR="0092495E" w:rsidRPr="00FD211F">
        <w:rPr>
          <w:sz w:val="36"/>
          <w:szCs w:val="36"/>
          <w:rtl/>
        </w:rPr>
        <w:t>.</w:t>
      </w:r>
    </w:p>
    <w:p w14:paraId="1313E9E1" w14:textId="77777777" w:rsidR="0092495E" w:rsidRPr="00FD211F" w:rsidRDefault="004C0C52" w:rsidP="009C58C8">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يقال</w:t>
      </w:r>
      <w:r w:rsidR="00E8128F">
        <w:rPr>
          <w:sz w:val="36"/>
          <w:szCs w:val="36"/>
          <w:rtl/>
        </w:rPr>
        <w:t xml:space="preserve"> </w:t>
      </w:r>
      <w:r w:rsidR="0092495E" w:rsidRPr="00FD211F">
        <w:rPr>
          <w:sz w:val="36"/>
          <w:szCs w:val="36"/>
          <w:rtl/>
        </w:rPr>
        <w:t>–كما</w:t>
      </w:r>
      <w:r w:rsidR="00E8128F">
        <w:rPr>
          <w:sz w:val="36"/>
          <w:szCs w:val="36"/>
          <w:rtl/>
        </w:rPr>
        <w:t xml:space="preserve"> </w:t>
      </w:r>
      <w:r w:rsidR="0092495E" w:rsidRPr="00FD211F">
        <w:rPr>
          <w:sz w:val="36"/>
          <w:szCs w:val="36"/>
          <w:rtl/>
        </w:rPr>
        <w:t>في</w:t>
      </w:r>
      <w:r w:rsidR="00E8128F">
        <w:rPr>
          <w:sz w:val="36"/>
          <w:szCs w:val="36"/>
          <w:rtl/>
        </w:rPr>
        <w:t xml:space="preserve"> </w:t>
      </w:r>
      <w:r w:rsidR="0092495E" w:rsidRPr="00FD211F">
        <w:rPr>
          <w:sz w:val="36"/>
          <w:szCs w:val="36"/>
          <w:rtl/>
        </w:rPr>
        <w:t>المحاضرات-</w:t>
      </w:r>
      <w:r w:rsidR="00E8128F">
        <w:rPr>
          <w:sz w:val="36"/>
          <w:szCs w:val="36"/>
          <w:rtl/>
        </w:rPr>
        <w:t xml:space="preserve"> </w:t>
      </w:r>
      <w:r w:rsidR="0092495E" w:rsidRPr="00FD211F">
        <w:rPr>
          <w:sz w:val="36"/>
          <w:szCs w:val="36"/>
          <w:rtl/>
        </w:rPr>
        <w:t>ان</w:t>
      </w:r>
      <w:r w:rsidR="00E8128F">
        <w:rPr>
          <w:sz w:val="36"/>
          <w:szCs w:val="36"/>
          <w:rtl/>
        </w:rPr>
        <w:t xml:space="preserve"> </w:t>
      </w:r>
      <w:r w:rsidR="0092495E" w:rsidRPr="00FD211F">
        <w:rPr>
          <w:sz w:val="36"/>
          <w:szCs w:val="36"/>
          <w:rtl/>
        </w:rPr>
        <w:t>الاستدلال</w:t>
      </w:r>
      <w:r w:rsidR="00E8128F">
        <w:rPr>
          <w:sz w:val="36"/>
          <w:szCs w:val="36"/>
          <w:rtl/>
        </w:rPr>
        <w:t xml:space="preserve"> </w:t>
      </w:r>
      <w:r w:rsidR="0092495E" w:rsidRPr="00FD211F">
        <w:rPr>
          <w:sz w:val="36"/>
          <w:szCs w:val="36"/>
          <w:rtl/>
        </w:rPr>
        <w:t>بالآي</w:t>
      </w:r>
      <w:r w:rsidR="00EC7EDF" w:rsidRPr="00FD211F">
        <w:rPr>
          <w:sz w:val="36"/>
          <w:szCs w:val="36"/>
          <w:rtl/>
        </w:rPr>
        <w:t>ة</w:t>
      </w:r>
      <w:r w:rsidR="00E8128F">
        <w:rPr>
          <w:sz w:val="36"/>
          <w:szCs w:val="36"/>
          <w:rtl/>
        </w:rPr>
        <w:t xml:space="preserve"> </w:t>
      </w:r>
      <w:r w:rsidR="0092495E" w:rsidRPr="00FD211F">
        <w:rPr>
          <w:sz w:val="36"/>
          <w:szCs w:val="36"/>
          <w:rtl/>
        </w:rPr>
        <w:t>لايتوقف</w:t>
      </w:r>
      <w:r w:rsidR="00E8128F">
        <w:rPr>
          <w:sz w:val="36"/>
          <w:szCs w:val="36"/>
          <w:rtl/>
        </w:rPr>
        <w:t xml:space="preserve"> </w:t>
      </w:r>
      <w:r w:rsidR="0092495E" w:rsidRPr="00FD211F">
        <w:rPr>
          <w:sz w:val="36"/>
          <w:szCs w:val="36"/>
          <w:rtl/>
        </w:rPr>
        <w:t>على</w:t>
      </w:r>
      <w:r w:rsidR="00E8128F">
        <w:rPr>
          <w:sz w:val="36"/>
          <w:szCs w:val="36"/>
          <w:rtl/>
        </w:rPr>
        <w:t xml:space="preserve"> </w:t>
      </w:r>
      <w:r w:rsidR="0092495E" w:rsidRPr="00FD211F">
        <w:rPr>
          <w:sz w:val="36"/>
          <w:szCs w:val="36"/>
          <w:rtl/>
        </w:rPr>
        <w:t>وضع</w:t>
      </w:r>
      <w:r w:rsidR="00E8128F">
        <w:rPr>
          <w:sz w:val="36"/>
          <w:szCs w:val="36"/>
          <w:rtl/>
        </w:rPr>
        <w:t xml:space="preserve"> </w:t>
      </w:r>
      <w:r w:rsidR="0092495E" w:rsidRPr="00FD211F">
        <w:rPr>
          <w:sz w:val="36"/>
          <w:szCs w:val="36"/>
          <w:rtl/>
        </w:rPr>
        <w:t>المشتق</w:t>
      </w:r>
      <w:r w:rsidR="00E8128F">
        <w:rPr>
          <w:sz w:val="36"/>
          <w:szCs w:val="36"/>
          <w:rtl/>
        </w:rPr>
        <w:t xml:space="preserve"> </w:t>
      </w:r>
      <w:r w:rsidR="0092495E" w:rsidRPr="00FD211F">
        <w:rPr>
          <w:sz w:val="36"/>
          <w:szCs w:val="36"/>
          <w:rtl/>
        </w:rPr>
        <w:t>للأعم</w:t>
      </w:r>
      <w:r w:rsidR="00603323" w:rsidRPr="00FD211F">
        <w:rPr>
          <w:sz w:val="36"/>
          <w:szCs w:val="36"/>
          <w:rtl/>
        </w:rPr>
        <w:t>،</w:t>
      </w:r>
      <w:r w:rsidR="00E8128F">
        <w:rPr>
          <w:sz w:val="36"/>
          <w:szCs w:val="36"/>
          <w:rtl/>
        </w:rPr>
        <w:t xml:space="preserve"> </w:t>
      </w:r>
      <w:r w:rsidR="0092495E" w:rsidRPr="00FD211F">
        <w:rPr>
          <w:sz w:val="36"/>
          <w:szCs w:val="36"/>
          <w:rtl/>
        </w:rPr>
        <w:t>فان</w:t>
      </w:r>
      <w:r w:rsidR="00E8128F">
        <w:rPr>
          <w:sz w:val="36"/>
          <w:szCs w:val="36"/>
          <w:rtl/>
        </w:rPr>
        <w:t xml:space="preserve"> </w:t>
      </w:r>
      <w:r w:rsidRPr="00FD211F">
        <w:rPr>
          <w:sz w:val="36"/>
          <w:szCs w:val="36"/>
          <w:rtl/>
        </w:rPr>
        <w:t>المناسبات</w:t>
      </w:r>
      <w:r w:rsidR="00E8128F">
        <w:rPr>
          <w:sz w:val="36"/>
          <w:szCs w:val="36"/>
          <w:rtl/>
        </w:rPr>
        <w:t xml:space="preserve"> </w:t>
      </w:r>
      <w:r w:rsidRPr="00FD211F">
        <w:rPr>
          <w:sz w:val="36"/>
          <w:szCs w:val="36"/>
          <w:rtl/>
        </w:rPr>
        <w:t>العرفي</w:t>
      </w:r>
      <w:r w:rsidR="00EC7EDF" w:rsidRPr="00FD211F">
        <w:rPr>
          <w:sz w:val="36"/>
          <w:szCs w:val="36"/>
          <w:rtl/>
        </w:rPr>
        <w:t>ة</w:t>
      </w:r>
      <w:r w:rsidR="00E8128F">
        <w:rPr>
          <w:sz w:val="36"/>
          <w:szCs w:val="36"/>
          <w:rtl/>
        </w:rPr>
        <w:t xml:space="preserve"> </w:t>
      </w:r>
      <w:r w:rsidRPr="00FD211F">
        <w:rPr>
          <w:sz w:val="36"/>
          <w:szCs w:val="36"/>
          <w:rtl/>
        </w:rPr>
        <w:t>تقتضي</w:t>
      </w:r>
      <w:r w:rsidR="00E8128F">
        <w:rPr>
          <w:sz w:val="36"/>
          <w:szCs w:val="36"/>
          <w:rtl/>
        </w:rPr>
        <w:t xml:space="preserve"> </w:t>
      </w:r>
      <w:r w:rsidRPr="00FD211F">
        <w:rPr>
          <w:sz w:val="36"/>
          <w:szCs w:val="36"/>
          <w:rtl/>
        </w:rPr>
        <w:t>كفاي</w:t>
      </w:r>
      <w:r w:rsidR="00EC7EDF" w:rsidRPr="00FD211F">
        <w:rPr>
          <w:sz w:val="36"/>
          <w:szCs w:val="36"/>
          <w:rtl/>
        </w:rPr>
        <w:t>ة</w:t>
      </w:r>
      <w:r w:rsidR="00E8128F">
        <w:rPr>
          <w:sz w:val="36"/>
          <w:szCs w:val="36"/>
          <w:rtl/>
        </w:rPr>
        <w:t xml:space="preserve"> </w:t>
      </w:r>
      <w:r w:rsidRPr="00FD211F">
        <w:rPr>
          <w:sz w:val="36"/>
          <w:szCs w:val="36"/>
          <w:rtl/>
        </w:rPr>
        <w:t>حدوث</w:t>
      </w:r>
      <w:r w:rsidR="00E8128F">
        <w:rPr>
          <w:sz w:val="36"/>
          <w:szCs w:val="36"/>
          <w:rtl/>
        </w:rPr>
        <w:t xml:space="preserve"> </w:t>
      </w:r>
      <w:r w:rsidRPr="00FD211F">
        <w:rPr>
          <w:sz w:val="36"/>
          <w:szCs w:val="36"/>
          <w:rtl/>
        </w:rPr>
        <w:t>عنوان</w:t>
      </w:r>
      <w:r w:rsidR="00E8128F">
        <w:rPr>
          <w:sz w:val="36"/>
          <w:szCs w:val="36"/>
          <w:rtl/>
        </w:rPr>
        <w:t xml:space="preserve"> </w:t>
      </w:r>
      <w:r w:rsidRPr="00FD211F">
        <w:rPr>
          <w:sz w:val="36"/>
          <w:szCs w:val="36"/>
          <w:rtl/>
        </w:rPr>
        <w:t>الظالم</w:t>
      </w:r>
      <w:r w:rsidR="00E8128F">
        <w:rPr>
          <w:sz w:val="36"/>
          <w:szCs w:val="36"/>
          <w:rtl/>
        </w:rPr>
        <w:t xml:space="preserve"> </w:t>
      </w:r>
      <w:r w:rsidRPr="00FD211F">
        <w:rPr>
          <w:sz w:val="36"/>
          <w:szCs w:val="36"/>
          <w:rtl/>
        </w:rPr>
        <w:t>لعدم</w:t>
      </w:r>
      <w:r w:rsidR="00E8128F">
        <w:rPr>
          <w:sz w:val="36"/>
          <w:szCs w:val="36"/>
          <w:rtl/>
        </w:rPr>
        <w:t xml:space="preserve"> </w:t>
      </w:r>
      <w:r w:rsidRPr="00FD211F">
        <w:rPr>
          <w:sz w:val="36"/>
          <w:szCs w:val="36"/>
          <w:rtl/>
        </w:rPr>
        <w:t>لياق</w:t>
      </w:r>
      <w:r w:rsidR="00EC7EDF" w:rsidRPr="00FD211F">
        <w:rPr>
          <w:sz w:val="36"/>
          <w:szCs w:val="36"/>
          <w:rtl/>
        </w:rPr>
        <w:t>ة</w:t>
      </w:r>
      <w:r w:rsidR="00E8128F">
        <w:rPr>
          <w:sz w:val="36"/>
          <w:szCs w:val="36"/>
          <w:rtl/>
        </w:rPr>
        <w:t xml:space="preserve"> </w:t>
      </w:r>
      <w:r w:rsidRPr="00FD211F">
        <w:rPr>
          <w:sz w:val="36"/>
          <w:szCs w:val="36"/>
          <w:rtl/>
        </w:rPr>
        <w:t>الإمام</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الأبد</w:t>
      </w:r>
      <w:r w:rsidR="00603323" w:rsidRPr="00FD211F">
        <w:rPr>
          <w:sz w:val="36"/>
          <w:szCs w:val="36"/>
          <w:rtl/>
        </w:rPr>
        <w:t>،</w:t>
      </w:r>
      <w:r w:rsidR="00E8128F">
        <w:rPr>
          <w:sz w:val="36"/>
          <w:szCs w:val="36"/>
          <w:rtl/>
        </w:rPr>
        <w:t xml:space="preserve"> </w:t>
      </w:r>
      <w:r w:rsidRPr="00FD211F">
        <w:rPr>
          <w:sz w:val="36"/>
          <w:szCs w:val="36"/>
          <w:rtl/>
        </w:rPr>
        <w:t>وقد</w:t>
      </w:r>
      <w:r w:rsidR="00E8128F">
        <w:rPr>
          <w:sz w:val="36"/>
          <w:szCs w:val="36"/>
          <w:rtl/>
        </w:rPr>
        <w:t xml:space="preserve"> </w:t>
      </w:r>
      <w:r w:rsidRPr="00FD211F">
        <w:rPr>
          <w:sz w:val="36"/>
          <w:szCs w:val="36"/>
          <w:rtl/>
        </w:rPr>
        <w:t>ورد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صحيح</w:t>
      </w:r>
      <w:r w:rsidR="00EC7EDF" w:rsidRPr="00FD211F">
        <w:rPr>
          <w:sz w:val="36"/>
          <w:szCs w:val="36"/>
          <w:rtl/>
        </w:rPr>
        <w:t>ة</w:t>
      </w:r>
      <w:r w:rsidR="00E8128F">
        <w:rPr>
          <w:sz w:val="36"/>
          <w:szCs w:val="36"/>
          <w:rtl/>
        </w:rPr>
        <w:t xml:space="preserve"> </w:t>
      </w:r>
      <w:r w:rsidRPr="00FD211F">
        <w:rPr>
          <w:sz w:val="36"/>
          <w:szCs w:val="36"/>
          <w:rtl/>
        </w:rPr>
        <w:t>زرار</w:t>
      </w:r>
      <w:r w:rsidR="00EC7EDF" w:rsidRPr="00FD211F">
        <w:rPr>
          <w:sz w:val="36"/>
          <w:szCs w:val="36"/>
          <w:rtl/>
        </w:rPr>
        <w:t>ة</w:t>
      </w:r>
      <w:r w:rsidR="00E8128F">
        <w:rPr>
          <w:sz w:val="36"/>
          <w:szCs w:val="36"/>
          <w:rtl/>
        </w:rPr>
        <w:t xml:space="preserve"> </w:t>
      </w:r>
      <w:r w:rsidR="0092495E" w:rsidRPr="00FD211F">
        <w:rPr>
          <w:sz w:val="36"/>
          <w:szCs w:val="36"/>
          <w:rtl/>
        </w:rPr>
        <w:t>"</w:t>
      </w:r>
      <w:r w:rsidRPr="00FD211F">
        <w:rPr>
          <w:sz w:val="36"/>
          <w:szCs w:val="36"/>
          <w:rtl/>
        </w:rPr>
        <w:t>لايصلين</w:t>
      </w:r>
      <w:r w:rsidR="00E8128F">
        <w:rPr>
          <w:sz w:val="36"/>
          <w:szCs w:val="36"/>
          <w:rtl/>
        </w:rPr>
        <w:t xml:space="preserve"> </w:t>
      </w:r>
      <w:r w:rsidRPr="00FD211F">
        <w:rPr>
          <w:sz w:val="36"/>
          <w:szCs w:val="36"/>
          <w:rtl/>
        </w:rPr>
        <w:t>احدكم</w:t>
      </w:r>
      <w:r w:rsidR="00E8128F">
        <w:rPr>
          <w:sz w:val="36"/>
          <w:szCs w:val="36"/>
          <w:rtl/>
        </w:rPr>
        <w:t xml:space="preserve"> </w:t>
      </w:r>
      <w:r w:rsidRPr="00FD211F">
        <w:rPr>
          <w:sz w:val="36"/>
          <w:szCs w:val="36"/>
          <w:rtl/>
        </w:rPr>
        <w:t>خلف</w:t>
      </w:r>
      <w:r w:rsidR="00E8128F">
        <w:rPr>
          <w:sz w:val="36"/>
          <w:szCs w:val="36"/>
          <w:rtl/>
        </w:rPr>
        <w:t xml:space="preserve"> </w:t>
      </w:r>
      <w:r w:rsidRPr="00FD211F">
        <w:rPr>
          <w:sz w:val="36"/>
          <w:szCs w:val="36"/>
          <w:rtl/>
        </w:rPr>
        <w:t>المجذوم</w:t>
      </w:r>
      <w:r w:rsidR="00E8128F">
        <w:rPr>
          <w:sz w:val="36"/>
          <w:szCs w:val="36"/>
          <w:rtl/>
        </w:rPr>
        <w:t xml:space="preserve"> </w:t>
      </w:r>
      <w:r w:rsidRPr="00FD211F">
        <w:rPr>
          <w:sz w:val="36"/>
          <w:szCs w:val="36"/>
          <w:rtl/>
        </w:rPr>
        <w:t>والأبرص</w:t>
      </w:r>
      <w:r w:rsidR="00E8128F">
        <w:rPr>
          <w:sz w:val="36"/>
          <w:szCs w:val="36"/>
          <w:rtl/>
        </w:rPr>
        <w:t xml:space="preserve"> </w:t>
      </w:r>
      <w:r w:rsidRPr="00FD211F">
        <w:rPr>
          <w:sz w:val="36"/>
          <w:szCs w:val="36"/>
          <w:rtl/>
        </w:rPr>
        <w:t>والمحدود</w:t>
      </w:r>
      <w:r w:rsidR="00E8128F">
        <w:rPr>
          <w:sz w:val="36"/>
          <w:szCs w:val="36"/>
          <w:rtl/>
        </w:rPr>
        <w:t xml:space="preserve"> </w:t>
      </w:r>
      <w:r w:rsidRPr="00FD211F">
        <w:rPr>
          <w:sz w:val="36"/>
          <w:szCs w:val="36"/>
          <w:rtl/>
        </w:rPr>
        <w:t>وولد</w:t>
      </w:r>
      <w:r w:rsidR="00E8128F">
        <w:rPr>
          <w:sz w:val="36"/>
          <w:szCs w:val="36"/>
          <w:rtl/>
        </w:rPr>
        <w:t xml:space="preserve"> </w:t>
      </w:r>
      <w:r w:rsidRPr="00FD211F">
        <w:rPr>
          <w:sz w:val="36"/>
          <w:szCs w:val="36"/>
          <w:rtl/>
        </w:rPr>
        <w:t>الزنا</w:t>
      </w:r>
      <w:r w:rsidR="009C58C8" w:rsidRPr="00FD211F">
        <w:rPr>
          <w:rStyle w:val="a6"/>
          <w:sz w:val="36"/>
          <w:szCs w:val="36"/>
          <w:rtl/>
        </w:rPr>
        <w:t>(</w:t>
      </w:r>
      <w:r w:rsidR="009C58C8" w:rsidRPr="00FD211F">
        <w:rPr>
          <w:rStyle w:val="a6"/>
          <w:sz w:val="36"/>
          <w:szCs w:val="36"/>
          <w:rtl/>
        </w:rPr>
        <w:footnoteReference w:id="561"/>
      </w:r>
      <w:r w:rsidR="009C58C8" w:rsidRPr="00FD211F">
        <w:rPr>
          <w:rStyle w:val="a6"/>
          <w:sz w:val="36"/>
          <w:szCs w:val="36"/>
          <w:rtl/>
        </w:rPr>
        <w:t>)</w:t>
      </w:r>
      <w:r w:rsidR="0092495E" w:rsidRPr="00FD211F">
        <w:rPr>
          <w:sz w:val="36"/>
          <w:szCs w:val="36"/>
          <w:rtl/>
        </w:rPr>
        <w:t>"</w:t>
      </w:r>
      <w:r w:rsidR="00E8128F">
        <w:rPr>
          <w:sz w:val="36"/>
          <w:szCs w:val="36"/>
          <w:rtl/>
        </w:rPr>
        <w:t xml:space="preserve"> </w:t>
      </w:r>
      <w:r w:rsidR="0092495E" w:rsidRPr="00FD211F">
        <w:rPr>
          <w:sz w:val="36"/>
          <w:szCs w:val="36"/>
          <w:rtl/>
        </w:rPr>
        <w:t>فاذا</w:t>
      </w:r>
      <w:r w:rsidR="00E8128F">
        <w:rPr>
          <w:sz w:val="36"/>
          <w:szCs w:val="36"/>
          <w:rtl/>
        </w:rPr>
        <w:t xml:space="preserve"> </w:t>
      </w:r>
      <w:r w:rsidR="0092495E" w:rsidRPr="00FD211F">
        <w:rPr>
          <w:sz w:val="36"/>
          <w:szCs w:val="36"/>
          <w:rtl/>
        </w:rPr>
        <w:t>كانت</w:t>
      </w:r>
      <w:r w:rsidR="00E8128F">
        <w:rPr>
          <w:sz w:val="36"/>
          <w:szCs w:val="36"/>
          <w:rtl/>
        </w:rPr>
        <w:t xml:space="preserve"> </w:t>
      </w:r>
      <w:r w:rsidR="0092495E" w:rsidRPr="00FD211F">
        <w:rPr>
          <w:sz w:val="36"/>
          <w:szCs w:val="36"/>
          <w:rtl/>
        </w:rPr>
        <w:t>امام</w:t>
      </w:r>
      <w:r w:rsidR="00EC7EDF" w:rsidRPr="00FD211F">
        <w:rPr>
          <w:sz w:val="36"/>
          <w:szCs w:val="36"/>
          <w:rtl/>
        </w:rPr>
        <w:t>ة</w:t>
      </w:r>
      <w:r w:rsidR="00E8128F">
        <w:rPr>
          <w:sz w:val="36"/>
          <w:szCs w:val="36"/>
          <w:rtl/>
        </w:rPr>
        <w:t xml:space="preserve"> </w:t>
      </w:r>
      <w:r w:rsidR="0092495E" w:rsidRPr="00FD211F">
        <w:rPr>
          <w:sz w:val="36"/>
          <w:szCs w:val="36"/>
          <w:rtl/>
        </w:rPr>
        <w:t>الجماع</w:t>
      </w:r>
      <w:r w:rsidR="00EC7EDF" w:rsidRPr="00FD211F">
        <w:rPr>
          <w:sz w:val="36"/>
          <w:szCs w:val="36"/>
          <w:rtl/>
        </w:rPr>
        <w:t>ة</w:t>
      </w:r>
      <w:r w:rsidR="00E8128F">
        <w:rPr>
          <w:sz w:val="36"/>
          <w:szCs w:val="36"/>
          <w:rtl/>
        </w:rPr>
        <w:t xml:space="preserve"> </w:t>
      </w:r>
      <w:r w:rsidR="0092495E" w:rsidRPr="00FD211F">
        <w:rPr>
          <w:sz w:val="36"/>
          <w:szCs w:val="36"/>
          <w:rtl/>
        </w:rPr>
        <w:t>لاتصل</w:t>
      </w:r>
      <w:r w:rsidR="00E8128F">
        <w:rPr>
          <w:sz w:val="36"/>
          <w:szCs w:val="36"/>
          <w:rtl/>
        </w:rPr>
        <w:t xml:space="preserve"> </w:t>
      </w:r>
      <w:r w:rsidR="0092495E" w:rsidRPr="00FD211F">
        <w:rPr>
          <w:sz w:val="36"/>
          <w:szCs w:val="36"/>
          <w:rtl/>
        </w:rPr>
        <w:t>الى</w:t>
      </w:r>
      <w:r w:rsidR="00E8128F">
        <w:rPr>
          <w:sz w:val="36"/>
          <w:szCs w:val="36"/>
          <w:rtl/>
        </w:rPr>
        <w:t xml:space="preserve"> </w:t>
      </w:r>
      <w:r w:rsidR="0092495E" w:rsidRPr="00FD211F">
        <w:rPr>
          <w:sz w:val="36"/>
          <w:szCs w:val="36"/>
          <w:rtl/>
        </w:rPr>
        <w:t>مثل</w:t>
      </w:r>
      <w:r w:rsidR="00E8128F">
        <w:rPr>
          <w:sz w:val="36"/>
          <w:szCs w:val="36"/>
          <w:rtl/>
        </w:rPr>
        <w:t xml:space="preserve"> </w:t>
      </w:r>
      <w:r w:rsidR="0092495E" w:rsidRPr="00FD211F">
        <w:rPr>
          <w:sz w:val="36"/>
          <w:szCs w:val="36"/>
          <w:rtl/>
        </w:rPr>
        <w:t>هؤلاء</w:t>
      </w:r>
      <w:r w:rsidR="00E8128F">
        <w:rPr>
          <w:sz w:val="36"/>
          <w:szCs w:val="36"/>
          <w:rtl/>
        </w:rPr>
        <w:t xml:space="preserve"> </w:t>
      </w:r>
      <w:r w:rsidR="0092495E" w:rsidRPr="00FD211F">
        <w:rPr>
          <w:sz w:val="36"/>
          <w:szCs w:val="36"/>
          <w:rtl/>
        </w:rPr>
        <w:t>فكيف</w:t>
      </w:r>
      <w:r w:rsidR="00E8128F">
        <w:rPr>
          <w:sz w:val="36"/>
          <w:szCs w:val="36"/>
          <w:rtl/>
        </w:rPr>
        <w:t xml:space="preserve"> </w:t>
      </w:r>
      <w:r w:rsidR="0092495E" w:rsidRPr="00FD211F">
        <w:rPr>
          <w:sz w:val="36"/>
          <w:szCs w:val="36"/>
          <w:rtl/>
        </w:rPr>
        <w:t>ظنك</w:t>
      </w:r>
      <w:r w:rsidR="00E8128F">
        <w:rPr>
          <w:sz w:val="36"/>
          <w:szCs w:val="36"/>
          <w:rtl/>
        </w:rPr>
        <w:t xml:space="preserve"> </w:t>
      </w:r>
      <w:r w:rsidR="0092495E" w:rsidRPr="00FD211F">
        <w:rPr>
          <w:sz w:val="36"/>
          <w:szCs w:val="36"/>
          <w:rtl/>
        </w:rPr>
        <w:t>بوصول</w:t>
      </w:r>
      <w:r w:rsidR="00E8128F">
        <w:rPr>
          <w:sz w:val="36"/>
          <w:szCs w:val="36"/>
          <w:rtl/>
        </w:rPr>
        <w:t xml:space="preserve"> </w:t>
      </w:r>
      <w:r w:rsidR="0092495E" w:rsidRPr="00FD211F">
        <w:rPr>
          <w:sz w:val="36"/>
          <w:szCs w:val="36"/>
          <w:rtl/>
        </w:rPr>
        <w:t>منصب</w:t>
      </w:r>
      <w:r w:rsidR="00E8128F">
        <w:rPr>
          <w:sz w:val="36"/>
          <w:szCs w:val="36"/>
          <w:rtl/>
        </w:rPr>
        <w:t xml:space="preserve"> </w:t>
      </w:r>
      <w:r w:rsidR="0092495E" w:rsidRPr="00FD211F">
        <w:rPr>
          <w:sz w:val="36"/>
          <w:szCs w:val="36"/>
          <w:rtl/>
        </w:rPr>
        <w:t>الإمام</w:t>
      </w:r>
      <w:r w:rsidR="00EC7EDF" w:rsidRPr="00FD211F">
        <w:rPr>
          <w:sz w:val="36"/>
          <w:szCs w:val="36"/>
          <w:rtl/>
        </w:rPr>
        <w:t>ة</w:t>
      </w:r>
      <w:r w:rsidR="00E8128F">
        <w:rPr>
          <w:sz w:val="36"/>
          <w:szCs w:val="36"/>
          <w:rtl/>
        </w:rPr>
        <w:t xml:space="preserve"> </w:t>
      </w:r>
      <w:r w:rsidR="0092495E" w:rsidRPr="00FD211F">
        <w:rPr>
          <w:sz w:val="36"/>
          <w:szCs w:val="36"/>
          <w:rtl/>
        </w:rPr>
        <w:t>لمن</w:t>
      </w:r>
      <w:r w:rsidR="00E8128F">
        <w:rPr>
          <w:sz w:val="36"/>
          <w:szCs w:val="36"/>
          <w:rtl/>
        </w:rPr>
        <w:t xml:space="preserve"> </w:t>
      </w:r>
      <w:r w:rsidR="0092495E" w:rsidRPr="00FD211F">
        <w:rPr>
          <w:sz w:val="36"/>
          <w:szCs w:val="36"/>
          <w:rtl/>
        </w:rPr>
        <w:t>كان</w:t>
      </w:r>
      <w:r w:rsidR="00E8128F">
        <w:rPr>
          <w:sz w:val="36"/>
          <w:szCs w:val="36"/>
          <w:rtl/>
        </w:rPr>
        <w:t xml:space="preserve"> </w:t>
      </w:r>
      <w:r w:rsidR="0092495E" w:rsidRPr="00FD211F">
        <w:rPr>
          <w:sz w:val="36"/>
          <w:szCs w:val="36"/>
          <w:rtl/>
        </w:rPr>
        <w:t>مشركا</w:t>
      </w:r>
      <w:r w:rsidR="00E8128F">
        <w:rPr>
          <w:sz w:val="36"/>
          <w:szCs w:val="36"/>
          <w:rtl/>
        </w:rPr>
        <w:t xml:space="preserve"> </w:t>
      </w:r>
      <w:r w:rsidR="0092495E" w:rsidRPr="00FD211F">
        <w:rPr>
          <w:sz w:val="36"/>
          <w:szCs w:val="36"/>
          <w:rtl/>
        </w:rPr>
        <w:t>ولو</w:t>
      </w:r>
      <w:r w:rsidR="00E8128F">
        <w:rPr>
          <w:sz w:val="36"/>
          <w:szCs w:val="36"/>
          <w:rtl/>
        </w:rPr>
        <w:t xml:space="preserve"> </w:t>
      </w:r>
      <w:r w:rsidR="0092495E" w:rsidRPr="00FD211F">
        <w:rPr>
          <w:sz w:val="36"/>
          <w:szCs w:val="36"/>
          <w:rtl/>
        </w:rPr>
        <w:t>في</w:t>
      </w:r>
      <w:r w:rsidR="00E8128F">
        <w:rPr>
          <w:sz w:val="36"/>
          <w:szCs w:val="36"/>
          <w:rtl/>
        </w:rPr>
        <w:t xml:space="preserve"> </w:t>
      </w:r>
      <w:r w:rsidR="0092495E" w:rsidRPr="00FD211F">
        <w:rPr>
          <w:sz w:val="36"/>
          <w:szCs w:val="36"/>
          <w:rtl/>
        </w:rPr>
        <w:t>زمان</w:t>
      </w:r>
      <w:r w:rsidR="00E8128F">
        <w:rPr>
          <w:sz w:val="36"/>
          <w:szCs w:val="36"/>
          <w:rtl/>
        </w:rPr>
        <w:t xml:space="preserve"> </w:t>
      </w:r>
      <w:r w:rsidR="0092495E" w:rsidRPr="00FD211F">
        <w:rPr>
          <w:sz w:val="36"/>
          <w:szCs w:val="36"/>
          <w:rtl/>
        </w:rPr>
        <w:t>سابق</w:t>
      </w:r>
      <w:r w:rsidR="009C58C8" w:rsidRPr="00FD211F">
        <w:rPr>
          <w:rStyle w:val="a6"/>
          <w:sz w:val="36"/>
          <w:szCs w:val="36"/>
          <w:rtl/>
        </w:rPr>
        <w:t>(</w:t>
      </w:r>
      <w:r w:rsidR="009C58C8" w:rsidRPr="00FD211F">
        <w:rPr>
          <w:rStyle w:val="a6"/>
          <w:sz w:val="36"/>
          <w:szCs w:val="36"/>
          <w:rtl/>
        </w:rPr>
        <w:footnoteReference w:id="562"/>
      </w:r>
      <w:r w:rsidR="009C58C8" w:rsidRPr="00FD211F">
        <w:rPr>
          <w:rStyle w:val="a6"/>
          <w:sz w:val="36"/>
          <w:szCs w:val="36"/>
          <w:rtl/>
        </w:rPr>
        <w:t>)</w:t>
      </w:r>
      <w:r w:rsidR="0092495E" w:rsidRPr="00FD211F">
        <w:rPr>
          <w:sz w:val="36"/>
          <w:szCs w:val="36"/>
          <w:rtl/>
        </w:rPr>
        <w:t>.</w:t>
      </w:r>
    </w:p>
    <w:p w14:paraId="7E0011C9" w14:textId="77777777" w:rsidR="00543484" w:rsidRPr="00FD211F" w:rsidRDefault="004C0C52" w:rsidP="009C58C8">
      <w:pPr>
        <w:ind w:left="0" w:firstLine="227"/>
        <w:jc w:val="both"/>
        <w:rPr>
          <w:sz w:val="36"/>
          <w:szCs w:val="36"/>
          <w:rtl/>
        </w:rPr>
      </w:pPr>
      <w:r w:rsidRPr="00FD211F">
        <w:rPr>
          <w:sz w:val="36"/>
          <w:szCs w:val="36"/>
          <w:rtl/>
        </w:rPr>
        <w:t>وفيه</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تم</w:t>
      </w:r>
      <w:r w:rsidR="00E8128F">
        <w:rPr>
          <w:sz w:val="36"/>
          <w:szCs w:val="36"/>
          <w:rtl/>
        </w:rPr>
        <w:t xml:space="preserve"> </w:t>
      </w:r>
      <w:r w:rsidR="0092495E" w:rsidRPr="00FD211F">
        <w:rPr>
          <w:sz w:val="36"/>
          <w:szCs w:val="36"/>
          <w:rtl/>
        </w:rPr>
        <w:t>ذلك</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تفسير</w:t>
      </w:r>
      <w:r w:rsidR="00E8128F">
        <w:rPr>
          <w:sz w:val="36"/>
          <w:szCs w:val="36"/>
          <w:rtl/>
        </w:rPr>
        <w:t xml:space="preserve"> </w:t>
      </w:r>
      <w:r w:rsidRPr="00FD211F">
        <w:rPr>
          <w:sz w:val="36"/>
          <w:szCs w:val="36"/>
          <w:rtl/>
        </w:rPr>
        <w:t>الشيع</w:t>
      </w:r>
      <w:r w:rsidR="00EC7EDF" w:rsidRPr="00FD211F">
        <w:rPr>
          <w:sz w:val="36"/>
          <w:szCs w:val="36"/>
          <w:rtl/>
        </w:rPr>
        <w:t>ة</w:t>
      </w:r>
      <w:r w:rsidR="00E8128F">
        <w:rPr>
          <w:sz w:val="36"/>
          <w:szCs w:val="36"/>
          <w:rtl/>
        </w:rPr>
        <w:t xml:space="preserve"> </w:t>
      </w:r>
      <w:r w:rsidRPr="00FD211F">
        <w:rPr>
          <w:sz w:val="36"/>
          <w:szCs w:val="36"/>
          <w:rtl/>
        </w:rPr>
        <w:t>للإمام</w:t>
      </w:r>
      <w:r w:rsidR="00EC7EDF" w:rsidRPr="00FD211F">
        <w:rPr>
          <w:sz w:val="36"/>
          <w:szCs w:val="36"/>
          <w:rtl/>
        </w:rPr>
        <w:t>ة</w:t>
      </w:r>
      <w:r w:rsidR="00E8128F">
        <w:rPr>
          <w:sz w:val="36"/>
          <w:szCs w:val="36"/>
          <w:rtl/>
        </w:rPr>
        <w:t xml:space="preserve"> </w:t>
      </w:r>
      <w:r w:rsidRPr="00FD211F">
        <w:rPr>
          <w:sz w:val="36"/>
          <w:szCs w:val="36"/>
          <w:rtl/>
        </w:rPr>
        <w:t>فلايتم</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مسلك</w:t>
      </w:r>
      <w:r w:rsidR="00E8128F">
        <w:rPr>
          <w:sz w:val="36"/>
          <w:szCs w:val="36"/>
          <w:rtl/>
        </w:rPr>
        <w:t xml:space="preserve"> </w:t>
      </w:r>
      <w:r w:rsidRPr="00FD211F">
        <w:rPr>
          <w:sz w:val="36"/>
          <w:szCs w:val="36"/>
          <w:rtl/>
        </w:rPr>
        <w:t>العام</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فان</w:t>
      </w:r>
      <w:r w:rsidR="00D04201" w:rsidRPr="00FD211F">
        <w:rPr>
          <w:sz w:val="36"/>
          <w:szCs w:val="36"/>
          <w:rtl/>
        </w:rPr>
        <w:t>هم</w:t>
      </w:r>
      <w:r w:rsidR="00E8128F">
        <w:rPr>
          <w:sz w:val="36"/>
          <w:szCs w:val="36"/>
          <w:rtl/>
        </w:rPr>
        <w:t xml:space="preserve"> </w:t>
      </w:r>
      <w:r w:rsidR="00D04201" w:rsidRPr="00FD211F">
        <w:rPr>
          <w:sz w:val="36"/>
          <w:szCs w:val="36"/>
          <w:rtl/>
        </w:rPr>
        <w:t>لايرون</w:t>
      </w:r>
      <w:r w:rsidR="00E8128F">
        <w:rPr>
          <w:sz w:val="36"/>
          <w:szCs w:val="36"/>
          <w:rtl/>
        </w:rPr>
        <w:t xml:space="preserve"> </w:t>
      </w:r>
      <w:r w:rsidR="00D04201" w:rsidRPr="00FD211F">
        <w:rPr>
          <w:sz w:val="36"/>
          <w:szCs w:val="36"/>
          <w:rtl/>
        </w:rPr>
        <w:t>الامام</w:t>
      </w:r>
      <w:r w:rsidR="00EC7EDF" w:rsidRPr="00FD211F">
        <w:rPr>
          <w:sz w:val="36"/>
          <w:szCs w:val="36"/>
          <w:rtl/>
        </w:rPr>
        <w:t>ة</w:t>
      </w:r>
      <w:r w:rsidR="00E8128F">
        <w:rPr>
          <w:sz w:val="36"/>
          <w:szCs w:val="36"/>
          <w:rtl/>
        </w:rPr>
        <w:t xml:space="preserve"> </w:t>
      </w:r>
      <w:r w:rsidR="00D04201" w:rsidRPr="00FD211F">
        <w:rPr>
          <w:sz w:val="36"/>
          <w:szCs w:val="36"/>
          <w:rtl/>
        </w:rPr>
        <w:t>الا</w:t>
      </w:r>
      <w:r w:rsidR="00E8128F">
        <w:rPr>
          <w:sz w:val="36"/>
          <w:szCs w:val="36"/>
          <w:rtl/>
        </w:rPr>
        <w:t xml:space="preserve"> </w:t>
      </w:r>
      <w:r w:rsidR="00D04201" w:rsidRPr="00FD211F">
        <w:rPr>
          <w:sz w:val="36"/>
          <w:szCs w:val="36"/>
          <w:rtl/>
        </w:rPr>
        <w:t>تصدي</w:t>
      </w:r>
      <w:r w:rsidR="00E8128F">
        <w:rPr>
          <w:sz w:val="36"/>
          <w:szCs w:val="36"/>
          <w:rtl/>
        </w:rPr>
        <w:t xml:space="preserve"> </w:t>
      </w:r>
      <w:r w:rsidR="00D04201" w:rsidRPr="00FD211F">
        <w:rPr>
          <w:sz w:val="36"/>
          <w:szCs w:val="36"/>
          <w:rtl/>
        </w:rPr>
        <w:t>ا</w:t>
      </w:r>
      <w:r w:rsidRPr="00FD211F">
        <w:rPr>
          <w:sz w:val="36"/>
          <w:szCs w:val="36"/>
          <w:rtl/>
        </w:rPr>
        <w:t>لشؤون</w:t>
      </w:r>
      <w:r w:rsidR="00E8128F">
        <w:rPr>
          <w:sz w:val="36"/>
          <w:szCs w:val="36"/>
          <w:rtl/>
        </w:rPr>
        <w:t xml:space="preserve"> </w:t>
      </w:r>
      <w:r w:rsidRPr="00FD211F">
        <w:rPr>
          <w:sz w:val="36"/>
          <w:szCs w:val="36"/>
          <w:rtl/>
        </w:rPr>
        <w:t>الاجتماعي</w:t>
      </w:r>
      <w:r w:rsidR="00EC7EDF" w:rsidRPr="00FD211F">
        <w:rPr>
          <w:sz w:val="36"/>
          <w:szCs w:val="36"/>
          <w:rtl/>
        </w:rPr>
        <w:t>ة</w:t>
      </w:r>
      <w:r w:rsidR="00E8128F">
        <w:rPr>
          <w:sz w:val="36"/>
          <w:szCs w:val="36"/>
          <w:rtl/>
        </w:rPr>
        <w:t xml:space="preserve"> </w:t>
      </w:r>
      <w:r w:rsidRPr="00FD211F">
        <w:rPr>
          <w:sz w:val="36"/>
          <w:szCs w:val="36"/>
          <w:rtl/>
        </w:rPr>
        <w:t>فحسب</w:t>
      </w:r>
      <w:r w:rsidR="00603323" w:rsidRPr="00FD211F">
        <w:rPr>
          <w:sz w:val="36"/>
          <w:szCs w:val="36"/>
          <w:rtl/>
        </w:rPr>
        <w:t>،</w:t>
      </w:r>
      <w:r w:rsidR="00E8128F">
        <w:rPr>
          <w:sz w:val="36"/>
          <w:szCs w:val="36"/>
          <w:rtl/>
        </w:rPr>
        <w:t xml:space="preserve"> </w:t>
      </w:r>
      <w:r w:rsidRPr="00FD211F">
        <w:rPr>
          <w:sz w:val="36"/>
          <w:szCs w:val="36"/>
          <w:rtl/>
        </w:rPr>
        <w:t>و</w:t>
      </w:r>
      <w:r w:rsidR="00A90EDA" w:rsidRPr="00FD211F">
        <w:rPr>
          <w:sz w:val="36"/>
          <w:szCs w:val="36"/>
          <w:rtl/>
        </w:rPr>
        <w:t>الظاهر</w:t>
      </w:r>
      <w:r w:rsidR="00E8128F">
        <w:rPr>
          <w:sz w:val="36"/>
          <w:szCs w:val="36"/>
          <w:rtl/>
        </w:rPr>
        <w:t xml:space="preserve"> </w:t>
      </w:r>
      <w:r w:rsidR="00A90EDA" w:rsidRPr="00FD211F">
        <w:rPr>
          <w:sz w:val="36"/>
          <w:szCs w:val="36"/>
          <w:rtl/>
        </w:rPr>
        <w:t>من</w:t>
      </w:r>
      <w:r w:rsidR="00E8128F">
        <w:rPr>
          <w:sz w:val="36"/>
          <w:szCs w:val="36"/>
          <w:rtl/>
        </w:rPr>
        <w:t xml:space="preserve"> </w:t>
      </w:r>
      <w:r w:rsidRPr="00FD211F">
        <w:rPr>
          <w:sz w:val="36"/>
          <w:szCs w:val="36"/>
          <w:rtl/>
        </w:rPr>
        <w:t>الرواي</w:t>
      </w:r>
      <w:r w:rsidR="00EC7EDF" w:rsidRPr="00FD211F">
        <w:rPr>
          <w:sz w:val="36"/>
          <w:szCs w:val="36"/>
          <w:rtl/>
        </w:rPr>
        <w:t>ة</w:t>
      </w:r>
      <w:r w:rsidR="00E8128F">
        <w:rPr>
          <w:sz w:val="36"/>
          <w:szCs w:val="36"/>
          <w:rtl/>
        </w:rPr>
        <w:t xml:space="preserve"> </w:t>
      </w:r>
      <w:r w:rsidR="00A90EDA" w:rsidRPr="00FD211F">
        <w:rPr>
          <w:sz w:val="36"/>
          <w:szCs w:val="36"/>
          <w:rtl/>
        </w:rPr>
        <w:t>أن</w:t>
      </w:r>
      <w:r w:rsidR="00E8128F">
        <w:rPr>
          <w:sz w:val="36"/>
          <w:szCs w:val="36"/>
          <w:rtl/>
        </w:rPr>
        <w:t xml:space="preserve"> </w:t>
      </w:r>
      <w:r w:rsidR="00A90EDA" w:rsidRPr="00FD211F">
        <w:rPr>
          <w:sz w:val="36"/>
          <w:szCs w:val="36"/>
          <w:rtl/>
        </w:rPr>
        <w:t>الامام</w:t>
      </w:r>
      <w:r w:rsidR="00E8128F">
        <w:rPr>
          <w:sz w:val="36"/>
          <w:szCs w:val="36"/>
          <w:rtl/>
        </w:rPr>
        <w:t xml:space="preserve"> </w:t>
      </w:r>
      <w:r w:rsidR="00A90EDA" w:rsidRPr="00FD211F">
        <w:rPr>
          <w:sz w:val="36"/>
          <w:szCs w:val="36"/>
          <w:rtl/>
        </w:rPr>
        <w:t>(عليه</w:t>
      </w:r>
      <w:r w:rsidR="00E8128F">
        <w:rPr>
          <w:sz w:val="36"/>
          <w:szCs w:val="36"/>
          <w:rtl/>
        </w:rPr>
        <w:t xml:space="preserve"> </w:t>
      </w:r>
      <w:r w:rsidR="00A90EDA" w:rsidRPr="00FD211F">
        <w:rPr>
          <w:sz w:val="36"/>
          <w:szCs w:val="36"/>
          <w:rtl/>
        </w:rPr>
        <w:t>السلام)</w:t>
      </w:r>
      <w:r w:rsidRPr="00FD211F">
        <w:rPr>
          <w:sz w:val="36"/>
          <w:szCs w:val="36"/>
          <w:rtl/>
        </w:rPr>
        <w:t>بصدد</w:t>
      </w:r>
      <w:r w:rsidR="00E8128F">
        <w:rPr>
          <w:sz w:val="36"/>
          <w:szCs w:val="36"/>
          <w:rtl/>
        </w:rPr>
        <w:t xml:space="preserve"> </w:t>
      </w:r>
      <w:r w:rsidRPr="00FD211F">
        <w:rPr>
          <w:sz w:val="36"/>
          <w:szCs w:val="36"/>
          <w:rtl/>
        </w:rPr>
        <w:t>الاحتجاج</w:t>
      </w:r>
      <w:r w:rsidR="00E8128F">
        <w:rPr>
          <w:sz w:val="36"/>
          <w:szCs w:val="36"/>
          <w:rtl/>
        </w:rPr>
        <w:t xml:space="preserve"> </w:t>
      </w:r>
      <w:r w:rsidRPr="00FD211F">
        <w:rPr>
          <w:sz w:val="36"/>
          <w:szCs w:val="36"/>
          <w:rtl/>
        </w:rPr>
        <w:t>معهم</w:t>
      </w:r>
      <w:r w:rsidR="00603323" w:rsidRPr="00FD211F">
        <w:rPr>
          <w:sz w:val="36"/>
          <w:szCs w:val="36"/>
          <w:rtl/>
        </w:rPr>
        <w:t>،</w:t>
      </w:r>
      <w:r w:rsidR="00E8128F">
        <w:rPr>
          <w:sz w:val="36"/>
          <w:szCs w:val="36"/>
          <w:rtl/>
        </w:rPr>
        <w:t xml:space="preserve"> </w:t>
      </w:r>
      <w:r w:rsidR="00A90EDA" w:rsidRPr="00FD211F">
        <w:rPr>
          <w:sz w:val="36"/>
          <w:szCs w:val="36"/>
          <w:rtl/>
        </w:rPr>
        <w:t>لا</w:t>
      </w:r>
      <w:r w:rsidR="00E8128F">
        <w:rPr>
          <w:sz w:val="36"/>
          <w:szCs w:val="36"/>
          <w:rtl/>
        </w:rPr>
        <w:t xml:space="preserve"> </w:t>
      </w:r>
      <w:r w:rsidR="00A90EDA" w:rsidRPr="00FD211F">
        <w:rPr>
          <w:sz w:val="36"/>
          <w:szCs w:val="36"/>
          <w:rtl/>
        </w:rPr>
        <w:t>النقاش</w:t>
      </w:r>
      <w:r w:rsidR="00E8128F">
        <w:rPr>
          <w:sz w:val="36"/>
          <w:szCs w:val="36"/>
          <w:rtl/>
        </w:rPr>
        <w:t xml:space="preserve"> </w:t>
      </w:r>
      <w:r w:rsidR="00A90EDA" w:rsidRPr="00FD211F">
        <w:rPr>
          <w:sz w:val="36"/>
          <w:szCs w:val="36"/>
          <w:rtl/>
        </w:rPr>
        <w:t>معهم</w:t>
      </w:r>
      <w:r w:rsidR="00E8128F">
        <w:rPr>
          <w:sz w:val="36"/>
          <w:szCs w:val="36"/>
          <w:rtl/>
        </w:rPr>
        <w:t xml:space="preserve"> </w:t>
      </w:r>
      <w:r w:rsidR="00A90EDA" w:rsidRPr="00FD211F">
        <w:rPr>
          <w:sz w:val="36"/>
          <w:szCs w:val="36"/>
          <w:rtl/>
        </w:rPr>
        <w:t>في</w:t>
      </w:r>
      <w:r w:rsidR="00E8128F">
        <w:rPr>
          <w:sz w:val="36"/>
          <w:szCs w:val="36"/>
          <w:rtl/>
        </w:rPr>
        <w:t xml:space="preserve"> </w:t>
      </w:r>
      <w:r w:rsidR="00A90EDA" w:rsidRPr="00FD211F">
        <w:rPr>
          <w:sz w:val="36"/>
          <w:szCs w:val="36"/>
          <w:rtl/>
        </w:rPr>
        <w:t>مبناهم</w:t>
      </w:r>
      <w:r w:rsidR="00E8128F">
        <w:rPr>
          <w:sz w:val="36"/>
          <w:szCs w:val="36"/>
          <w:rtl/>
        </w:rPr>
        <w:t xml:space="preserve"> </w:t>
      </w:r>
      <w:r w:rsidR="00A90EDA" w:rsidRPr="00FD211F">
        <w:rPr>
          <w:sz w:val="36"/>
          <w:szCs w:val="36"/>
          <w:rtl/>
        </w:rPr>
        <w:t>في</w:t>
      </w:r>
      <w:r w:rsidR="00E8128F">
        <w:rPr>
          <w:sz w:val="36"/>
          <w:szCs w:val="36"/>
          <w:rtl/>
        </w:rPr>
        <w:t xml:space="preserve"> </w:t>
      </w:r>
      <w:r w:rsidR="00A90EDA" w:rsidRPr="00FD211F">
        <w:rPr>
          <w:sz w:val="36"/>
          <w:szCs w:val="36"/>
          <w:rtl/>
        </w:rPr>
        <w:t>تفسير</w:t>
      </w:r>
      <w:r w:rsidR="00E8128F">
        <w:rPr>
          <w:sz w:val="36"/>
          <w:szCs w:val="36"/>
          <w:rtl/>
        </w:rPr>
        <w:t xml:space="preserve"> </w:t>
      </w:r>
      <w:r w:rsidR="00A90EDA" w:rsidRPr="00FD211F">
        <w:rPr>
          <w:sz w:val="36"/>
          <w:szCs w:val="36"/>
          <w:rtl/>
        </w:rPr>
        <w:t>حقيقة</w:t>
      </w:r>
      <w:r w:rsidR="00E8128F">
        <w:rPr>
          <w:sz w:val="36"/>
          <w:szCs w:val="36"/>
          <w:rtl/>
        </w:rPr>
        <w:t xml:space="preserve"> </w:t>
      </w:r>
      <w:r w:rsidR="00A90EDA" w:rsidRPr="00FD211F">
        <w:rPr>
          <w:sz w:val="36"/>
          <w:szCs w:val="36"/>
          <w:rtl/>
        </w:rPr>
        <w:t>الامامة</w:t>
      </w:r>
      <w:r w:rsidR="00603323" w:rsidRPr="00FD211F">
        <w:rPr>
          <w:sz w:val="36"/>
          <w:szCs w:val="36"/>
          <w:rtl/>
        </w:rPr>
        <w:t>،</w:t>
      </w:r>
      <w:r w:rsidR="00E8128F">
        <w:rPr>
          <w:sz w:val="36"/>
          <w:szCs w:val="36"/>
          <w:rtl/>
        </w:rPr>
        <w:t xml:space="preserve"> </w:t>
      </w:r>
      <w:r w:rsidR="00A90EDA" w:rsidRPr="00FD211F">
        <w:rPr>
          <w:sz w:val="36"/>
          <w:szCs w:val="36"/>
          <w:rtl/>
        </w:rPr>
        <w:t>فبناء</w:t>
      </w:r>
      <w:r w:rsidR="00E8128F">
        <w:rPr>
          <w:sz w:val="36"/>
          <w:szCs w:val="36"/>
          <w:rtl/>
        </w:rPr>
        <w:t xml:space="preserve"> </w:t>
      </w:r>
      <w:r w:rsidR="00A90EDA" w:rsidRPr="00FD211F">
        <w:rPr>
          <w:sz w:val="36"/>
          <w:szCs w:val="36"/>
          <w:rtl/>
        </w:rPr>
        <w:t>عليه</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موجبا</w:t>
      </w:r>
      <w:r w:rsidR="00E8128F">
        <w:rPr>
          <w:sz w:val="36"/>
          <w:szCs w:val="36"/>
          <w:rtl/>
        </w:rPr>
        <w:t xml:space="preserve"> </w:t>
      </w:r>
      <w:r w:rsidRPr="00FD211F">
        <w:rPr>
          <w:sz w:val="36"/>
          <w:szCs w:val="36"/>
          <w:rtl/>
        </w:rPr>
        <w:t>لوهن</w:t>
      </w:r>
      <w:r w:rsidR="00E8128F">
        <w:rPr>
          <w:sz w:val="36"/>
          <w:szCs w:val="36"/>
          <w:rtl/>
        </w:rPr>
        <w:t xml:space="preserve"> </w:t>
      </w:r>
      <w:r w:rsidRPr="00FD211F">
        <w:rPr>
          <w:sz w:val="36"/>
          <w:szCs w:val="36"/>
          <w:rtl/>
        </w:rPr>
        <w:t>الم</w:t>
      </w:r>
      <w:r w:rsidR="00113DD4" w:rsidRPr="00FD211F">
        <w:rPr>
          <w:sz w:val="36"/>
          <w:szCs w:val="36"/>
          <w:rtl/>
        </w:rPr>
        <w:t>ذهب</w:t>
      </w:r>
      <w:r w:rsidR="00E8128F">
        <w:rPr>
          <w:sz w:val="36"/>
          <w:szCs w:val="36"/>
          <w:rtl/>
        </w:rPr>
        <w:t xml:space="preserve"> </w:t>
      </w:r>
      <w:r w:rsidRPr="00FD211F">
        <w:rPr>
          <w:sz w:val="36"/>
          <w:szCs w:val="36"/>
          <w:rtl/>
        </w:rPr>
        <w:t>كابتلائه</w:t>
      </w:r>
      <w:r w:rsidR="00E8128F">
        <w:rPr>
          <w:sz w:val="36"/>
          <w:szCs w:val="36"/>
          <w:rtl/>
        </w:rPr>
        <w:t xml:space="preserve"> </w:t>
      </w:r>
      <w:r w:rsidRPr="00FD211F">
        <w:rPr>
          <w:sz w:val="36"/>
          <w:szCs w:val="36"/>
          <w:rtl/>
        </w:rPr>
        <w:t>سابقا</w:t>
      </w:r>
      <w:r w:rsidR="00E8128F">
        <w:rPr>
          <w:sz w:val="36"/>
          <w:szCs w:val="36"/>
          <w:rtl/>
        </w:rPr>
        <w:t xml:space="preserve"> </w:t>
      </w:r>
      <w:r w:rsidRPr="00FD211F">
        <w:rPr>
          <w:sz w:val="36"/>
          <w:szCs w:val="36"/>
          <w:rtl/>
        </w:rPr>
        <w:t>باعمال</w:t>
      </w:r>
      <w:r w:rsidR="00E8128F">
        <w:rPr>
          <w:sz w:val="36"/>
          <w:szCs w:val="36"/>
          <w:rtl/>
        </w:rPr>
        <w:t xml:space="preserve"> </w:t>
      </w:r>
      <w:r w:rsidRPr="00FD211F">
        <w:rPr>
          <w:sz w:val="36"/>
          <w:szCs w:val="36"/>
          <w:rtl/>
        </w:rPr>
        <w:t>شنيع</w:t>
      </w:r>
      <w:r w:rsidR="00EC7EDF" w:rsidRPr="00FD211F">
        <w:rPr>
          <w:sz w:val="36"/>
          <w:szCs w:val="36"/>
          <w:rtl/>
        </w:rPr>
        <w:t>ة</w:t>
      </w:r>
      <w:r w:rsidR="00E8128F">
        <w:rPr>
          <w:sz w:val="36"/>
          <w:szCs w:val="36"/>
          <w:rtl/>
        </w:rPr>
        <w:t xml:space="preserve"> </w:t>
      </w:r>
      <w:r w:rsidRPr="00FD211F">
        <w:rPr>
          <w:sz w:val="36"/>
          <w:szCs w:val="36"/>
          <w:rtl/>
        </w:rPr>
        <w:t>فلااشكال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منعه</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صلاحي</w:t>
      </w:r>
      <w:r w:rsidR="00EC7EDF" w:rsidRPr="00FD211F">
        <w:rPr>
          <w:sz w:val="36"/>
          <w:szCs w:val="36"/>
          <w:rtl/>
        </w:rPr>
        <w:t>ة</w:t>
      </w:r>
      <w:r w:rsidR="00E8128F">
        <w:rPr>
          <w:sz w:val="36"/>
          <w:szCs w:val="36"/>
          <w:rtl/>
        </w:rPr>
        <w:t xml:space="preserve"> </w:t>
      </w:r>
      <w:r w:rsidRPr="00FD211F">
        <w:rPr>
          <w:sz w:val="36"/>
          <w:szCs w:val="36"/>
          <w:rtl/>
        </w:rPr>
        <w:t>التصدي</w:t>
      </w:r>
      <w:r w:rsidR="00E8128F">
        <w:rPr>
          <w:sz w:val="36"/>
          <w:szCs w:val="36"/>
          <w:rtl/>
        </w:rPr>
        <w:t xml:space="preserve"> </w:t>
      </w:r>
      <w:r w:rsidRPr="00FD211F">
        <w:rPr>
          <w:sz w:val="36"/>
          <w:szCs w:val="36"/>
          <w:rtl/>
        </w:rPr>
        <w:t>للمنصب</w:t>
      </w:r>
      <w:r w:rsidR="00603323" w:rsidRPr="00FD211F">
        <w:rPr>
          <w:sz w:val="36"/>
          <w:szCs w:val="36"/>
          <w:rtl/>
        </w:rPr>
        <w:t>،</w:t>
      </w:r>
      <w:r w:rsidR="00E8128F">
        <w:rPr>
          <w:sz w:val="36"/>
          <w:szCs w:val="36"/>
          <w:rtl/>
        </w:rPr>
        <w:t xml:space="preserve"> </w:t>
      </w:r>
      <w:r w:rsidRPr="00FD211F">
        <w:rPr>
          <w:sz w:val="36"/>
          <w:szCs w:val="36"/>
          <w:rtl/>
        </w:rPr>
        <w:t>اما</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الشرك</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بعض</w:t>
      </w:r>
      <w:r w:rsidR="00E8128F">
        <w:rPr>
          <w:sz w:val="36"/>
          <w:szCs w:val="36"/>
          <w:rtl/>
        </w:rPr>
        <w:t xml:space="preserve"> </w:t>
      </w:r>
      <w:r w:rsidRPr="00FD211F">
        <w:rPr>
          <w:sz w:val="36"/>
          <w:szCs w:val="36"/>
          <w:rtl/>
        </w:rPr>
        <w:t>المعاصي</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الشنيع</w:t>
      </w:r>
      <w:r w:rsidR="00EC7EDF" w:rsidRPr="00FD211F">
        <w:rPr>
          <w:sz w:val="36"/>
          <w:szCs w:val="36"/>
          <w:rtl/>
        </w:rPr>
        <w:t>ة</w:t>
      </w:r>
      <w:r w:rsidR="00E8128F">
        <w:rPr>
          <w:sz w:val="36"/>
          <w:szCs w:val="36"/>
          <w:rtl/>
        </w:rPr>
        <w:t xml:space="preserve"> </w:t>
      </w:r>
      <w:r w:rsidRPr="00FD211F">
        <w:rPr>
          <w:sz w:val="36"/>
          <w:szCs w:val="36"/>
          <w:rtl/>
        </w:rPr>
        <w:t>عرفا</w:t>
      </w:r>
      <w:r w:rsidR="00E8128F">
        <w:rPr>
          <w:sz w:val="36"/>
          <w:szCs w:val="36"/>
          <w:rtl/>
        </w:rPr>
        <w:t xml:space="preserve"> </w:t>
      </w:r>
      <w:r w:rsidRPr="00FD211F">
        <w:rPr>
          <w:sz w:val="36"/>
          <w:szCs w:val="36"/>
          <w:rtl/>
        </w:rPr>
        <w:t>فلادليل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منعه</w:t>
      </w:r>
      <w:r w:rsidR="00E8128F">
        <w:rPr>
          <w:sz w:val="36"/>
          <w:szCs w:val="36"/>
          <w:rtl/>
        </w:rPr>
        <w:t xml:space="preserve"> </w:t>
      </w:r>
      <w:r w:rsidRPr="00FD211F">
        <w:rPr>
          <w:sz w:val="36"/>
          <w:szCs w:val="36"/>
          <w:rtl/>
        </w:rPr>
        <w:t>عنها</w:t>
      </w:r>
      <w:r w:rsidR="00603323" w:rsidRPr="00FD211F">
        <w:rPr>
          <w:sz w:val="36"/>
          <w:szCs w:val="36"/>
          <w:rtl/>
        </w:rPr>
        <w:t>،</w:t>
      </w:r>
      <w:r w:rsidR="00E8128F">
        <w:rPr>
          <w:sz w:val="36"/>
          <w:szCs w:val="36"/>
          <w:rtl/>
        </w:rPr>
        <w:t xml:space="preserve"> </w:t>
      </w:r>
      <w:r w:rsidRPr="00FD211F">
        <w:rPr>
          <w:sz w:val="36"/>
          <w:szCs w:val="36"/>
          <w:rtl/>
        </w:rPr>
        <w:t>ولذا</w:t>
      </w:r>
      <w:r w:rsidR="00E8128F">
        <w:rPr>
          <w:sz w:val="36"/>
          <w:szCs w:val="36"/>
          <w:rtl/>
        </w:rPr>
        <w:t xml:space="preserve"> </w:t>
      </w:r>
      <w:r w:rsidRPr="00FD211F">
        <w:rPr>
          <w:sz w:val="36"/>
          <w:szCs w:val="36"/>
          <w:rtl/>
        </w:rPr>
        <w:t>يجوز</w:t>
      </w:r>
      <w:r w:rsidR="00E8128F">
        <w:rPr>
          <w:sz w:val="36"/>
          <w:szCs w:val="36"/>
          <w:rtl/>
        </w:rPr>
        <w:t xml:space="preserve"> </w:t>
      </w:r>
      <w:r w:rsidRPr="00FD211F">
        <w:rPr>
          <w:sz w:val="36"/>
          <w:szCs w:val="36"/>
          <w:rtl/>
        </w:rPr>
        <w:t>الصلا</w:t>
      </w:r>
      <w:r w:rsidR="00EC7EDF" w:rsidRPr="00FD211F">
        <w:rPr>
          <w:sz w:val="36"/>
          <w:szCs w:val="36"/>
          <w:rtl/>
        </w:rPr>
        <w:t>ة</w:t>
      </w:r>
      <w:r w:rsidR="00E8128F">
        <w:rPr>
          <w:sz w:val="36"/>
          <w:szCs w:val="36"/>
          <w:rtl/>
        </w:rPr>
        <w:t xml:space="preserve"> </w:t>
      </w:r>
      <w:r w:rsidRPr="00FD211F">
        <w:rPr>
          <w:sz w:val="36"/>
          <w:szCs w:val="36"/>
          <w:rtl/>
        </w:rPr>
        <w:t>خلف</w:t>
      </w:r>
      <w:r w:rsidR="00E8128F">
        <w:rPr>
          <w:sz w:val="36"/>
          <w:szCs w:val="36"/>
          <w:rtl/>
        </w:rPr>
        <w:t xml:space="preserve"> </w:t>
      </w:r>
      <w:r w:rsidRPr="00FD211F">
        <w:rPr>
          <w:sz w:val="36"/>
          <w:szCs w:val="36"/>
          <w:rtl/>
        </w:rPr>
        <w:t>حديث</w:t>
      </w:r>
      <w:r w:rsidR="00E8128F">
        <w:rPr>
          <w:sz w:val="36"/>
          <w:szCs w:val="36"/>
          <w:rtl/>
        </w:rPr>
        <w:t xml:space="preserve"> </w:t>
      </w:r>
      <w:r w:rsidRPr="00FD211F">
        <w:rPr>
          <w:sz w:val="36"/>
          <w:szCs w:val="36"/>
          <w:rtl/>
        </w:rPr>
        <w:t>الاسلام</w:t>
      </w:r>
      <w:r w:rsidR="00E8128F">
        <w:rPr>
          <w:sz w:val="36"/>
          <w:szCs w:val="36"/>
          <w:rtl/>
        </w:rPr>
        <w:t xml:space="preserve"> </w:t>
      </w:r>
      <w:r w:rsidR="00113DD4" w:rsidRPr="00FD211F">
        <w:rPr>
          <w:sz w:val="36"/>
          <w:szCs w:val="36"/>
          <w:rtl/>
        </w:rPr>
        <w:t>ولو</w:t>
      </w:r>
      <w:r w:rsidR="00E8128F">
        <w:rPr>
          <w:sz w:val="36"/>
          <w:szCs w:val="36"/>
          <w:rtl/>
        </w:rPr>
        <w:t xml:space="preserve"> </w:t>
      </w:r>
      <w:r w:rsidR="00113DD4" w:rsidRPr="00FD211F">
        <w:rPr>
          <w:sz w:val="36"/>
          <w:szCs w:val="36"/>
          <w:rtl/>
        </w:rPr>
        <w:t>كان</w:t>
      </w:r>
      <w:r w:rsidR="00E8128F">
        <w:rPr>
          <w:sz w:val="36"/>
          <w:szCs w:val="36"/>
          <w:rtl/>
        </w:rPr>
        <w:t xml:space="preserve"> </w:t>
      </w:r>
      <w:r w:rsidRPr="00FD211F">
        <w:rPr>
          <w:sz w:val="36"/>
          <w:szCs w:val="36"/>
          <w:rtl/>
        </w:rPr>
        <w:t>مشرك</w:t>
      </w:r>
      <w:r w:rsidR="00113DD4" w:rsidRPr="00FD211F">
        <w:rPr>
          <w:sz w:val="36"/>
          <w:szCs w:val="36"/>
          <w:rtl/>
        </w:rPr>
        <w:t>ا</w:t>
      </w:r>
      <w:r w:rsidR="00E8128F">
        <w:rPr>
          <w:sz w:val="36"/>
          <w:szCs w:val="36"/>
          <w:rtl/>
        </w:rPr>
        <w:t xml:space="preserve"> </w:t>
      </w:r>
      <w:r w:rsidRPr="00FD211F">
        <w:rPr>
          <w:sz w:val="36"/>
          <w:szCs w:val="36"/>
          <w:rtl/>
        </w:rPr>
        <w:t>سابقا</w:t>
      </w:r>
      <w:r w:rsidR="00603323" w:rsidRPr="00FD211F">
        <w:rPr>
          <w:sz w:val="36"/>
          <w:szCs w:val="36"/>
          <w:rtl/>
        </w:rPr>
        <w:t>،</w:t>
      </w:r>
      <w:r w:rsidR="00E8128F">
        <w:rPr>
          <w:sz w:val="36"/>
          <w:szCs w:val="36"/>
          <w:rtl/>
        </w:rPr>
        <w:t xml:space="preserve"> </w:t>
      </w:r>
      <w:r w:rsidRPr="00FD211F">
        <w:rPr>
          <w:sz w:val="36"/>
          <w:szCs w:val="36"/>
          <w:rtl/>
        </w:rPr>
        <w:t>فهل</w:t>
      </w:r>
      <w:r w:rsidR="00E8128F">
        <w:rPr>
          <w:sz w:val="36"/>
          <w:szCs w:val="36"/>
          <w:rtl/>
        </w:rPr>
        <w:t xml:space="preserve"> </w:t>
      </w:r>
      <w:r w:rsidRPr="00FD211F">
        <w:rPr>
          <w:sz w:val="36"/>
          <w:szCs w:val="36"/>
          <w:rtl/>
        </w:rPr>
        <w:t>ترى</w:t>
      </w:r>
      <w:r w:rsidR="00E8128F">
        <w:rPr>
          <w:sz w:val="36"/>
          <w:szCs w:val="36"/>
          <w:rtl/>
        </w:rPr>
        <w:t xml:space="preserve"> </w:t>
      </w:r>
      <w:r w:rsidRPr="00FD211F">
        <w:rPr>
          <w:sz w:val="36"/>
          <w:szCs w:val="36"/>
          <w:rtl/>
        </w:rPr>
        <w:t>منقص</w:t>
      </w:r>
      <w:r w:rsidR="00EC7EDF" w:rsidRPr="00FD211F">
        <w:rPr>
          <w:sz w:val="36"/>
          <w:szCs w:val="36"/>
          <w:rtl/>
        </w:rPr>
        <w:t>ة</w:t>
      </w:r>
      <w:r w:rsidR="00E8128F">
        <w:rPr>
          <w:sz w:val="36"/>
          <w:szCs w:val="36"/>
          <w:rtl/>
        </w:rPr>
        <w:t xml:space="preserve"> </w:t>
      </w:r>
      <w:r w:rsidRPr="00FD211F">
        <w:rPr>
          <w:sz w:val="36"/>
          <w:szCs w:val="36"/>
          <w:rtl/>
        </w:rPr>
        <w:t>عرفي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تصدي</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ابي</w:t>
      </w:r>
      <w:r w:rsidR="00E8128F">
        <w:rPr>
          <w:sz w:val="36"/>
          <w:szCs w:val="36"/>
          <w:rtl/>
        </w:rPr>
        <w:t xml:space="preserve"> </w:t>
      </w:r>
      <w:r w:rsidR="0092495E" w:rsidRPr="00FD211F">
        <w:rPr>
          <w:sz w:val="36"/>
          <w:szCs w:val="36"/>
          <w:rtl/>
        </w:rPr>
        <w:t>ذر</w:t>
      </w:r>
      <w:r w:rsidR="00E8128F">
        <w:rPr>
          <w:sz w:val="36"/>
          <w:szCs w:val="36"/>
          <w:rtl/>
        </w:rPr>
        <w:t xml:space="preserve"> </w:t>
      </w:r>
      <w:r w:rsidRPr="00FD211F">
        <w:rPr>
          <w:sz w:val="36"/>
          <w:szCs w:val="36"/>
          <w:rtl/>
        </w:rPr>
        <w:t>ومقداد</w:t>
      </w:r>
      <w:r w:rsidR="00E8128F">
        <w:rPr>
          <w:sz w:val="36"/>
          <w:szCs w:val="36"/>
          <w:rtl/>
        </w:rPr>
        <w:t xml:space="preserve"> </w:t>
      </w:r>
      <w:r w:rsidRPr="00FD211F">
        <w:rPr>
          <w:sz w:val="36"/>
          <w:szCs w:val="36"/>
          <w:rtl/>
        </w:rPr>
        <w:t>وعمار</w:t>
      </w:r>
      <w:r w:rsidR="00E8128F">
        <w:rPr>
          <w:sz w:val="36"/>
          <w:szCs w:val="36"/>
          <w:rtl/>
        </w:rPr>
        <w:t xml:space="preserve"> </w:t>
      </w:r>
      <w:r w:rsidRPr="00FD211F">
        <w:rPr>
          <w:sz w:val="36"/>
          <w:szCs w:val="36"/>
          <w:rtl/>
        </w:rPr>
        <w:t>وبلال</w:t>
      </w:r>
      <w:r w:rsidR="00E8128F">
        <w:rPr>
          <w:sz w:val="36"/>
          <w:szCs w:val="36"/>
          <w:rtl/>
        </w:rPr>
        <w:t xml:space="preserve"> </w:t>
      </w:r>
      <w:r w:rsidRPr="00FD211F">
        <w:rPr>
          <w:sz w:val="36"/>
          <w:szCs w:val="36"/>
          <w:rtl/>
        </w:rPr>
        <w:t>ومصعب</w:t>
      </w:r>
      <w:r w:rsidR="00E8128F">
        <w:rPr>
          <w:sz w:val="36"/>
          <w:szCs w:val="36"/>
          <w:rtl/>
        </w:rPr>
        <w:t xml:space="preserve"> </w:t>
      </w:r>
      <w:r w:rsidR="0092495E" w:rsidRPr="00FD211F">
        <w:rPr>
          <w:sz w:val="36"/>
          <w:szCs w:val="36"/>
          <w:rtl/>
        </w:rPr>
        <w:t>بن</w:t>
      </w:r>
      <w:r w:rsidR="00E8128F">
        <w:rPr>
          <w:sz w:val="36"/>
          <w:szCs w:val="36"/>
          <w:rtl/>
        </w:rPr>
        <w:t xml:space="preserve"> </w:t>
      </w:r>
      <w:r w:rsidR="0092495E" w:rsidRPr="00FD211F">
        <w:rPr>
          <w:sz w:val="36"/>
          <w:szCs w:val="36"/>
          <w:rtl/>
        </w:rPr>
        <w:t>عم</w:t>
      </w:r>
      <w:r w:rsidR="00D04201" w:rsidRPr="00FD211F">
        <w:rPr>
          <w:sz w:val="36"/>
          <w:szCs w:val="36"/>
          <w:rtl/>
        </w:rPr>
        <w:t>ير</w:t>
      </w:r>
      <w:r w:rsidR="00E8128F">
        <w:rPr>
          <w:sz w:val="36"/>
          <w:szCs w:val="36"/>
          <w:rtl/>
        </w:rPr>
        <w:t xml:space="preserve"> </w:t>
      </w:r>
      <w:r w:rsidR="00D04201" w:rsidRPr="00FD211F">
        <w:rPr>
          <w:sz w:val="36"/>
          <w:szCs w:val="36"/>
          <w:rtl/>
        </w:rPr>
        <w:t>لمنصب</w:t>
      </w:r>
      <w:r w:rsidR="00E8128F">
        <w:rPr>
          <w:sz w:val="36"/>
          <w:szCs w:val="36"/>
          <w:rtl/>
        </w:rPr>
        <w:t xml:space="preserve"> </w:t>
      </w:r>
      <w:r w:rsidR="00D04201" w:rsidRPr="00FD211F">
        <w:rPr>
          <w:sz w:val="36"/>
          <w:szCs w:val="36"/>
          <w:rtl/>
        </w:rPr>
        <w:t>الخلاف</w:t>
      </w:r>
      <w:r w:rsidR="00EC7EDF" w:rsidRPr="00FD211F">
        <w:rPr>
          <w:sz w:val="36"/>
          <w:szCs w:val="36"/>
          <w:rtl/>
        </w:rPr>
        <w:t>ة</w:t>
      </w:r>
      <w:r w:rsidR="00E8128F">
        <w:rPr>
          <w:sz w:val="36"/>
          <w:szCs w:val="36"/>
          <w:rtl/>
        </w:rPr>
        <w:t xml:space="preserve"> </w:t>
      </w:r>
      <w:r w:rsidR="00D04201" w:rsidRPr="00FD211F">
        <w:rPr>
          <w:sz w:val="36"/>
          <w:szCs w:val="36"/>
          <w:rtl/>
        </w:rPr>
        <w:t>و</w:t>
      </w:r>
      <w:r w:rsidRPr="00FD211F">
        <w:rPr>
          <w:sz w:val="36"/>
          <w:szCs w:val="36"/>
          <w:rtl/>
        </w:rPr>
        <w:t>الاما</w:t>
      </w:r>
      <w:r w:rsidR="0074588C" w:rsidRPr="00FD211F">
        <w:rPr>
          <w:sz w:val="36"/>
          <w:szCs w:val="36"/>
          <w:rtl/>
        </w:rPr>
        <w:t>م</w:t>
      </w:r>
      <w:r w:rsidR="00EC7EDF" w:rsidRPr="00FD211F">
        <w:rPr>
          <w:sz w:val="36"/>
          <w:szCs w:val="36"/>
          <w:rtl/>
        </w:rPr>
        <w:t>ة</w:t>
      </w:r>
      <w:r w:rsidR="00E8128F">
        <w:rPr>
          <w:sz w:val="36"/>
          <w:szCs w:val="36"/>
          <w:rtl/>
        </w:rPr>
        <w:t xml:space="preserve"> </w:t>
      </w:r>
      <w:r w:rsidRPr="00FD211F">
        <w:rPr>
          <w:sz w:val="36"/>
          <w:szCs w:val="36"/>
          <w:rtl/>
        </w:rPr>
        <w:t>بمجرد</w:t>
      </w:r>
      <w:r w:rsidR="00E8128F">
        <w:rPr>
          <w:sz w:val="36"/>
          <w:szCs w:val="36"/>
          <w:rtl/>
        </w:rPr>
        <w:t xml:space="preserve"> </w:t>
      </w:r>
      <w:r w:rsidRPr="00FD211F">
        <w:rPr>
          <w:sz w:val="36"/>
          <w:szCs w:val="36"/>
          <w:rtl/>
        </w:rPr>
        <w:t>سبق</w:t>
      </w:r>
      <w:r w:rsidR="00E8128F">
        <w:rPr>
          <w:sz w:val="36"/>
          <w:szCs w:val="36"/>
          <w:rtl/>
        </w:rPr>
        <w:t xml:space="preserve"> </w:t>
      </w:r>
      <w:r w:rsidRPr="00FD211F">
        <w:rPr>
          <w:sz w:val="36"/>
          <w:szCs w:val="36"/>
          <w:rtl/>
        </w:rPr>
        <w:t>الشرك</w:t>
      </w:r>
      <w:r w:rsidR="00E8128F">
        <w:rPr>
          <w:sz w:val="36"/>
          <w:szCs w:val="36"/>
          <w:rtl/>
        </w:rPr>
        <w:t xml:space="preserve"> </w:t>
      </w:r>
      <w:r w:rsidR="0074588C" w:rsidRPr="00FD211F">
        <w:rPr>
          <w:sz w:val="36"/>
          <w:szCs w:val="36"/>
          <w:rtl/>
        </w:rPr>
        <w:t>-</w:t>
      </w:r>
      <w:r w:rsidR="0092495E" w:rsidRPr="00FD211F">
        <w:rPr>
          <w:sz w:val="36"/>
          <w:szCs w:val="36"/>
          <w:rtl/>
        </w:rPr>
        <w:t>الذي</w:t>
      </w:r>
      <w:r w:rsidR="00E8128F">
        <w:rPr>
          <w:sz w:val="36"/>
          <w:szCs w:val="36"/>
          <w:rtl/>
        </w:rPr>
        <w:t xml:space="preserve"> </w:t>
      </w:r>
      <w:r w:rsidR="0092495E" w:rsidRPr="00FD211F">
        <w:rPr>
          <w:sz w:val="36"/>
          <w:szCs w:val="36"/>
          <w:rtl/>
        </w:rPr>
        <w:t>هو</w:t>
      </w:r>
      <w:r w:rsidR="00E8128F">
        <w:rPr>
          <w:sz w:val="36"/>
          <w:szCs w:val="36"/>
          <w:rtl/>
        </w:rPr>
        <w:t xml:space="preserve"> </w:t>
      </w:r>
      <w:r w:rsidR="0092495E" w:rsidRPr="00FD211F">
        <w:rPr>
          <w:sz w:val="36"/>
          <w:szCs w:val="36"/>
          <w:rtl/>
        </w:rPr>
        <w:t>ظلم</w:t>
      </w:r>
      <w:r w:rsidR="00E8128F">
        <w:rPr>
          <w:sz w:val="36"/>
          <w:szCs w:val="36"/>
          <w:rtl/>
        </w:rPr>
        <w:t xml:space="preserve"> </w:t>
      </w:r>
      <w:r w:rsidR="0092495E" w:rsidRPr="00FD211F">
        <w:rPr>
          <w:sz w:val="36"/>
          <w:szCs w:val="36"/>
          <w:rtl/>
        </w:rPr>
        <w:t>عظيم</w:t>
      </w:r>
      <w:r w:rsidR="00E8128F">
        <w:rPr>
          <w:sz w:val="36"/>
          <w:szCs w:val="36"/>
          <w:rtl/>
        </w:rPr>
        <w:t xml:space="preserve"> </w:t>
      </w:r>
      <w:r w:rsidR="0074588C" w:rsidRPr="00FD211F">
        <w:rPr>
          <w:sz w:val="36"/>
          <w:szCs w:val="36"/>
          <w:rtl/>
        </w:rPr>
        <w:t>-</w:t>
      </w:r>
      <w:r w:rsidRPr="00FD211F">
        <w:rPr>
          <w:sz w:val="36"/>
          <w:szCs w:val="36"/>
          <w:rtl/>
        </w:rPr>
        <w:t>من</w:t>
      </w:r>
      <w:r w:rsidR="00E8128F">
        <w:rPr>
          <w:sz w:val="36"/>
          <w:szCs w:val="36"/>
          <w:rtl/>
        </w:rPr>
        <w:t xml:space="preserve"> </w:t>
      </w:r>
      <w:r w:rsidRPr="00FD211F">
        <w:rPr>
          <w:sz w:val="36"/>
          <w:szCs w:val="36"/>
          <w:rtl/>
        </w:rPr>
        <w:t>بعضهم</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كلهم</w:t>
      </w:r>
      <w:r w:rsidR="00603323" w:rsidRPr="00FD211F">
        <w:rPr>
          <w:sz w:val="36"/>
          <w:szCs w:val="36"/>
          <w:rtl/>
        </w:rPr>
        <w:t>،</w:t>
      </w:r>
      <w:r w:rsidR="00E8128F">
        <w:rPr>
          <w:sz w:val="36"/>
          <w:szCs w:val="36"/>
          <w:rtl/>
        </w:rPr>
        <w:t xml:space="preserve"> </w:t>
      </w:r>
      <w:r w:rsidRPr="00FD211F">
        <w:rPr>
          <w:sz w:val="36"/>
          <w:szCs w:val="36"/>
          <w:rtl/>
        </w:rPr>
        <w:t>خاص</w:t>
      </w:r>
      <w:r w:rsidR="00EC7EDF" w:rsidRPr="00FD211F">
        <w:rPr>
          <w:sz w:val="36"/>
          <w:szCs w:val="36"/>
          <w:rtl/>
        </w:rPr>
        <w:t>ة</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ابتلاء</w:t>
      </w:r>
      <w:r w:rsidR="00E8128F">
        <w:rPr>
          <w:sz w:val="36"/>
          <w:szCs w:val="36"/>
          <w:rtl/>
        </w:rPr>
        <w:t xml:space="preserve"> </w:t>
      </w:r>
      <w:r w:rsidRPr="00FD211F">
        <w:rPr>
          <w:sz w:val="36"/>
          <w:szCs w:val="36"/>
          <w:rtl/>
        </w:rPr>
        <w:t>عام</w:t>
      </w:r>
      <w:r w:rsidR="00EC7EDF" w:rsidRPr="00FD211F">
        <w:rPr>
          <w:sz w:val="36"/>
          <w:szCs w:val="36"/>
          <w:rtl/>
        </w:rPr>
        <w:t>ة</w:t>
      </w:r>
      <w:r w:rsidR="00E8128F">
        <w:rPr>
          <w:sz w:val="36"/>
          <w:szCs w:val="36"/>
          <w:rtl/>
        </w:rPr>
        <w:t xml:space="preserve"> </w:t>
      </w:r>
      <w:r w:rsidRPr="00FD211F">
        <w:rPr>
          <w:sz w:val="36"/>
          <w:szCs w:val="36"/>
          <w:rtl/>
        </w:rPr>
        <w:t>الناس</w:t>
      </w:r>
      <w:r w:rsidR="00E8128F">
        <w:rPr>
          <w:sz w:val="36"/>
          <w:szCs w:val="36"/>
          <w:rtl/>
        </w:rPr>
        <w:t xml:space="preserve"> </w:t>
      </w:r>
      <w:r w:rsidRPr="00FD211F">
        <w:rPr>
          <w:sz w:val="36"/>
          <w:szCs w:val="36"/>
          <w:rtl/>
        </w:rPr>
        <w:t>به</w:t>
      </w:r>
      <w:r w:rsidR="00603323" w:rsidRPr="00FD211F">
        <w:rPr>
          <w:sz w:val="36"/>
          <w:szCs w:val="36"/>
          <w:rtl/>
        </w:rPr>
        <w:t>،</w:t>
      </w:r>
      <w:r w:rsidR="00E8128F">
        <w:rPr>
          <w:sz w:val="36"/>
          <w:szCs w:val="36"/>
          <w:rtl/>
        </w:rPr>
        <w:t xml:space="preserve"> </w:t>
      </w:r>
      <w:r w:rsidRPr="00FD211F">
        <w:rPr>
          <w:sz w:val="36"/>
          <w:szCs w:val="36"/>
          <w:rtl/>
        </w:rPr>
        <w:t>فالانصاف</w:t>
      </w:r>
      <w:r w:rsidR="00E8128F">
        <w:rPr>
          <w:sz w:val="36"/>
          <w:szCs w:val="36"/>
          <w:rtl/>
        </w:rPr>
        <w:t xml:space="preserve"> </w:t>
      </w:r>
      <w:r w:rsidR="0074588C" w:rsidRPr="00FD211F">
        <w:rPr>
          <w:sz w:val="36"/>
          <w:szCs w:val="36"/>
          <w:rtl/>
        </w:rPr>
        <w:t>–كماذكره</w:t>
      </w:r>
      <w:r w:rsidR="00E8128F">
        <w:rPr>
          <w:sz w:val="36"/>
          <w:szCs w:val="36"/>
          <w:rtl/>
        </w:rPr>
        <w:t xml:space="preserve"> </w:t>
      </w:r>
      <w:r w:rsidR="0074588C" w:rsidRPr="00FD211F">
        <w:rPr>
          <w:sz w:val="36"/>
          <w:szCs w:val="36"/>
          <w:rtl/>
        </w:rPr>
        <w:t>ا</w:t>
      </w:r>
      <w:r w:rsidR="00AF56DE" w:rsidRPr="00FD211F">
        <w:rPr>
          <w:sz w:val="36"/>
          <w:szCs w:val="36"/>
          <w:rtl/>
        </w:rPr>
        <w:t>لسيد</w:t>
      </w:r>
      <w:r w:rsidR="00E8128F">
        <w:rPr>
          <w:sz w:val="36"/>
          <w:szCs w:val="36"/>
          <w:rtl/>
        </w:rPr>
        <w:t xml:space="preserve"> </w:t>
      </w:r>
      <w:r w:rsidR="00AF56DE" w:rsidRPr="00FD211F">
        <w:rPr>
          <w:sz w:val="36"/>
          <w:szCs w:val="36"/>
          <w:rtl/>
        </w:rPr>
        <w:t>ال</w:t>
      </w:r>
      <w:r w:rsidR="00D477BF" w:rsidRPr="00FD211F">
        <w:rPr>
          <w:sz w:val="36"/>
          <w:szCs w:val="36"/>
          <w:rtl/>
        </w:rPr>
        <w:t>گ</w:t>
      </w:r>
      <w:r w:rsidR="00B1734E" w:rsidRPr="00FD211F">
        <w:rPr>
          <w:sz w:val="36"/>
          <w:szCs w:val="36"/>
          <w:rtl/>
        </w:rPr>
        <w:t>ل</w:t>
      </w:r>
      <w:r w:rsidR="00D477BF" w:rsidRPr="00FD211F">
        <w:rPr>
          <w:sz w:val="36"/>
          <w:szCs w:val="36"/>
          <w:rtl/>
        </w:rPr>
        <w:t>پ</w:t>
      </w:r>
      <w:r w:rsidR="00B1734E" w:rsidRPr="00FD211F">
        <w:rPr>
          <w:sz w:val="36"/>
          <w:szCs w:val="36"/>
          <w:rtl/>
        </w:rPr>
        <w:t>اي</w:t>
      </w:r>
      <w:r w:rsidR="00D477BF" w:rsidRPr="00FD211F">
        <w:rPr>
          <w:sz w:val="36"/>
          <w:szCs w:val="36"/>
          <w:rtl/>
        </w:rPr>
        <w:t>گ</w:t>
      </w:r>
      <w:r w:rsidR="00543484" w:rsidRPr="00FD211F">
        <w:rPr>
          <w:sz w:val="36"/>
          <w:szCs w:val="36"/>
          <w:rtl/>
        </w:rPr>
        <w:t>اني</w:t>
      </w:r>
      <w:r w:rsidR="00E8128F">
        <w:rPr>
          <w:sz w:val="36"/>
          <w:szCs w:val="36"/>
          <w:rtl/>
        </w:rPr>
        <w:t xml:space="preserve"> </w:t>
      </w:r>
      <w:r w:rsidR="00AB1B12" w:rsidRPr="00FD211F">
        <w:rPr>
          <w:sz w:val="36"/>
          <w:szCs w:val="36"/>
          <w:rtl/>
        </w:rPr>
        <w:t>"</w:t>
      </w:r>
      <w:r w:rsidR="00543484" w:rsidRPr="00FD211F">
        <w:rPr>
          <w:sz w:val="36"/>
          <w:szCs w:val="36"/>
          <w:rtl/>
        </w:rPr>
        <w:t>قده</w:t>
      </w:r>
      <w:r w:rsidR="00AB1B12" w:rsidRPr="00FD211F">
        <w:rPr>
          <w:sz w:val="36"/>
          <w:szCs w:val="36"/>
          <w:rtl/>
        </w:rPr>
        <w:t>"</w:t>
      </w:r>
      <w:r w:rsidR="009C58C8" w:rsidRPr="00FD211F">
        <w:rPr>
          <w:rStyle w:val="a6"/>
          <w:sz w:val="36"/>
          <w:szCs w:val="36"/>
          <w:rtl/>
        </w:rPr>
        <w:t>(</w:t>
      </w:r>
      <w:r w:rsidR="009C58C8" w:rsidRPr="00FD211F">
        <w:rPr>
          <w:rStyle w:val="a6"/>
          <w:sz w:val="36"/>
          <w:szCs w:val="36"/>
          <w:rtl/>
        </w:rPr>
        <w:footnoteReference w:id="563"/>
      </w:r>
      <w:r w:rsidR="009C58C8" w:rsidRPr="00FD211F">
        <w:rPr>
          <w:rStyle w:val="a6"/>
          <w:sz w:val="36"/>
          <w:szCs w:val="36"/>
          <w:rtl/>
        </w:rPr>
        <w:t>)</w:t>
      </w:r>
      <w:r w:rsidR="00543484"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الاستدلال</w:t>
      </w:r>
      <w:r w:rsidR="00E8128F">
        <w:rPr>
          <w:sz w:val="36"/>
          <w:szCs w:val="36"/>
          <w:rtl/>
        </w:rPr>
        <w:t xml:space="preserve"> </w:t>
      </w:r>
      <w:r w:rsidR="00794D30" w:rsidRPr="00FD211F">
        <w:rPr>
          <w:sz w:val="36"/>
          <w:szCs w:val="36"/>
          <w:rtl/>
        </w:rPr>
        <w:t>في</w:t>
      </w:r>
      <w:r w:rsidR="00E8128F">
        <w:rPr>
          <w:sz w:val="36"/>
          <w:szCs w:val="36"/>
          <w:rtl/>
        </w:rPr>
        <w:t xml:space="preserve"> </w:t>
      </w:r>
      <w:r w:rsidR="00794D30" w:rsidRPr="00FD211F">
        <w:rPr>
          <w:sz w:val="36"/>
          <w:szCs w:val="36"/>
          <w:rtl/>
        </w:rPr>
        <w:t>هذه</w:t>
      </w:r>
      <w:r w:rsidR="00E8128F">
        <w:rPr>
          <w:sz w:val="36"/>
          <w:szCs w:val="36"/>
          <w:rtl/>
        </w:rPr>
        <w:t xml:space="preserve"> </w:t>
      </w:r>
      <w:r w:rsidR="00794D30" w:rsidRPr="00FD211F">
        <w:rPr>
          <w:sz w:val="36"/>
          <w:szCs w:val="36"/>
          <w:rtl/>
        </w:rPr>
        <w:t>الروايات</w:t>
      </w:r>
      <w:r w:rsidR="00E8128F">
        <w:rPr>
          <w:sz w:val="36"/>
          <w:szCs w:val="36"/>
          <w:rtl/>
        </w:rPr>
        <w:t xml:space="preserve"> </w:t>
      </w:r>
      <w:r w:rsidR="008D7B3D" w:rsidRPr="00FD211F">
        <w:rPr>
          <w:sz w:val="36"/>
          <w:szCs w:val="36"/>
          <w:rtl/>
        </w:rPr>
        <w:t>لم‌</w:t>
      </w:r>
      <w:r w:rsidR="00543484" w:rsidRPr="00FD211F">
        <w:rPr>
          <w:sz w:val="36"/>
          <w:szCs w:val="36"/>
          <w:rtl/>
        </w:rPr>
        <w:t>يكن</w:t>
      </w:r>
      <w:r w:rsidR="00E8128F">
        <w:rPr>
          <w:sz w:val="36"/>
          <w:szCs w:val="36"/>
          <w:rtl/>
        </w:rPr>
        <w:t xml:space="preserve"> </w:t>
      </w:r>
      <w:r w:rsidR="00543484" w:rsidRPr="00FD211F">
        <w:rPr>
          <w:sz w:val="36"/>
          <w:szCs w:val="36"/>
          <w:rtl/>
        </w:rPr>
        <w:t>بظهور</w:t>
      </w:r>
      <w:r w:rsidR="00E8128F">
        <w:rPr>
          <w:sz w:val="36"/>
          <w:szCs w:val="36"/>
          <w:rtl/>
        </w:rPr>
        <w:t xml:space="preserve"> </w:t>
      </w:r>
      <w:r w:rsidR="00543484" w:rsidRPr="00FD211F">
        <w:rPr>
          <w:sz w:val="36"/>
          <w:szCs w:val="36"/>
          <w:rtl/>
        </w:rPr>
        <w:t>الآي</w:t>
      </w:r>
      <w:r w:rsidR="00EC7EDF" w:rsidRPr="00FD211F">
        <w:rPr>
          <w:sz w:val="36"/>
          <w:szCs w:val="36"/>
          <w:rtl/>
        </w:rPr>
        <w:t>ة</w:t>
      </w:r>
      <w:r w:rsidR="00E8128F">
        <w:rPr>
          <w:sz w:val="36"/>
          <w:szCs w:val="36"/>
          <w:rtl/>
        </w:rPr>
        <w:t xml:space="preserve"> </w:t>
      </w:r>
      <w:r w:rsidR="00543484" w:rsidRPr="00FD211F">
        <w:rPr>
          <w:sz w:val="36"/>
          <w:szCs w:val="36"/>
          <w:rtl/>
        </w:rPr>
        <w:t>وانما</w:t>
      </w:r>
      <w:r w:rsidR="00E8128F">
        <w:rPr>
          <w:sz w:val="36"/>
          <w:szCs w:val="36"/>
          <w:rtl/>
        </w:rPr>
        <w:t xml:space="preserve"> </w:t>
      </w:r>
      <w:r w:rsidR="00543484" w:rsidRPr="00FD211F">
        <w:rPr>
          <w:sz w:val="36"/>
          <w:szCs w:val="36"/>
          <w:rtl/>
        </w:rPr>
        <w:t>كان</w:t>
      </w:r>
      <w:r w:rsidR="00E8128F">
        <w:rPr>
          <w:sz w:val="36"/>
          <w:szCs w:val="36"/>
          <w:rtl/>
        </w:rPr>
        <w:t xml:space="preserve"> </w:t>
      </w:r>
      <w:r w:rsidRPr="00FD211F">
        <w:rPr>
          <w:sz w:val="36"/>
          <w:szCs w:val="36"/>
          <w:rtl/>
        </w:rPr>
        <w:t>بتأويل</w:t>
      </w:r>
      <w:r w:rsidR="00543484" w:rsidRPr="00FD211F">
        <w:rPr>
          <w:sz w:val="36"/>
          <w:szCs w:val="36"/>
          <w:rtl/>
        </w:rPr>
        <w:t>ها</w:t>
      </w:r>
      <w:r w:rsidR="00E8128F">
        <w:rPr>
          <w:sz w:val="36"/>
          <w:szCs w:val="36"/>
          <w:rtl/>
        </w:rPr>
        <w:t xml:space="preserve"> </w:t>
      </w:r>
      <w:r w:rsidR="00543484" w:rsidRPr="00FD211F">
        <w:rPr>
          <w:sz w:val="36"/>
          <w:szCs w:val="36"/>
          <w:rtl/>
        </w:rPr>
        <w:t>بغرض</w:t>
      </w:r>
      <w:r w:rsidR="00E8128F">
        <w:rPr>
          <w:sz w:val="36"/>
          <w:szCs w:val="36"/>
          <w:rtl/>
        </w:rPr>
        <w:t xml:space="preserve"> </w:t>
      </w:r>
      <w:r w:rsidRPr="00FD211F">
        <w:rPr>
          <w:sz w:val="36"/>
          <w:szCs w:val="36"/>
          <w:rtl/>
        </w:rPr>
        <w:t>اقناع</w:t>
      </w:r>
      <w:r w:rsidR="00E8128F">
        <w:rPr>
          <w:sz w:val="36"/>
          <w:szCs w:val="36"/>
          <w:rtl/>
        </w:rPr>
        <w:t xml:space="preserve"> </w:t>
      </w:r>
      <w:r w:rsidRPr="00FD211F">
        <w:rPr>
          <w:sz w:val="36"/>
          <w:szCs w:val="36"/>
          <w:rtl/>
        </w:rPr>
        <w:t>الخصم</w:t>
      </w:r>
      <w:r w:rsidR="00E8128F">
        <w:rPr>
          <w:sz w:val="36"/>
          <w:szCs w:val="36"/>
          <w:rtl/>
        </w:rPr>
        <w:t xml:space="preserve"> </w:t>
      </w:r>
      <w:r w:rsidR="00113DD4" w:rsidRPr="00FD211F">
        <w:rPr>
          <w:sz w:val="36"/>
          <w:szCs w:val="36"/>
          <w:rtl/>
        </w:rPr>
        <w:t>و</w:t>
      </w:r>
      <w:r w:rsidRPr="00FD211F">
        <w:rPr>
          <w:sz w:val="36"/>
          <w:szCs w:val="36"/>
          <w:rtl/>
        </w:rPr>
        <w:t>هدايته</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الحق</w:t>
      </w:r>
      <w:r w:rsidR="00603323" w:rsidRPr="00FD211F">
        <w:rPr>
          <w:sz w:val="36"/>
          <w:szCs w:val="36"/>
          <w:rtl/>
        </w:rPr>
        <w:t>،</w:t>
      </w:r>
      <w:r w:rsidR="00E8128F">
        <w:rPr>
          <w:sz w:val="36"/>
          <w:szCs w:val="36"/>
          <w:rtl/>
        </w:rPr>
        <w:t xml:space="preserve"> </w:t>
      </w:r>
      <w:r w:rsidRPr="00FD211F">
        <w:rPr>
          <w:sz w:val="36"/>
          <w:szCs w:val="36"/>
          <w:rtl/>
        </w:rPr>
        <w:t>والاستدلال</w:t>
      </w:r>
      <w:r w:rsidR="00E8128F">
        <w:rPr>
          <w:sz w:val="36"/>
          <w:szCs w:val="36"/>
          <w:rtl/>
        </w:rPr>
        <w:t xml:space="preserve"> </w:t>
      </w:r>
      <w:r w:rsidRPr="00FD211F">
        <w:rPr>
          <w:sz w:val="36"/>
          <w:szCs w:val="36"/>
          <w:rtl/>
        </w:rPr>
        <w:t>بتأويل</w:t>
      </w:r>
      <w:r w:rsidR="00E8128F">
        <w:rPr>
          <w:sz w:val="36"/>
          <w:szCs w:val="36"/>
          <w:rtl/>
        </w:rPr>
        <w:t xml:space="preserve"> </w:t>
      </w:r>
      <w:r w:rsidRPr="00FD211F">
        <w:rPr>
          <w:sz w:val="36"/>
          <w:szCs w:val="36"/>
          <w:rtl/>
        </w:rPr>
        <w:t>الآي</w:t>
      </w:r>
      <w:r w:rsidR="00EC7EDF" w:rsidRPr="00FD211F">
        <w:rPr>
          <w:sz w:val="36"/>
          <w:szCs w:val="36"/>
          <w:rtl/>
        </w:rPr>
        <w:t>ة</w:t>
      </w:r>
      <w:r w:rsidR="00E8128F">
        <w:rPr>
          <w:sz w:val="36"/>
          <w:szCs w:val="36"/>
          <w:rtl/>
        </w:rPr>
        <w:t xml:space="preserve"> </w:t>
      </w:r>
      <w:r w:rsidRPr="00FD211F">
        <w:rPr>
          <w:sz w:val="36"/>
          <w:szCs w:val="36"/>
          <w:rtl/>
        </w:rPr>
        <w:t>كثير</w:t>
      </w:r>
      <w:r w:rsidR="00E8128F">
        <w:rPr>
          <w:sz w:val="36"/>
          <w:szCs w:val="36"/>
          <w:rtl/>
        </w:rPr>
        <w:t xml:space="preserve"> </w:t>
      </w:r>
      <w:r w:rsidRPr="00FD211F">
        <w:rPr>
          <w:sz w:val="36"/>
          <w:szCs w:val="36"/>
          <w:rtl/>
        </w:rPr>
        <w:t>يظهر</w:t>
      </w:r>
      <w:r w:rsidR="00E8128F">
        <w:rPr>
          <w:sz w:val="36"/>
          <w:szCs w:val="36"/>
          <w:rtl/>
        </w:rPr>
        <w:t xml:space="preserve"> </w:t>
      </w:r>
      <w:r w:rsidRPr="00FD211F">
        <w:rPr>
          <w:sz w:val="36"/>
          <w:szCs w:val="36"/>
          <w:rtl/>
        </w:rPr>
        <w:t>بالتتبع</w:t>
      </w:r>
      <w:r w:rsidR="00E8128F">
        <w:rPr>
          <w:sz w:val="36"/>
          <w:szCs w:val="36"/>
          <w:rtl/>
        </w:rPr>
        <w:t xml:space="preserve"> </w:t>
      </w:r>
      <w:r w:rsidRPr="00FD211F">
        <w:rPr>
          <w:sz w:val="36"/>
          <w:szCs w:val="36"/>
          <w:rtl/>
        </w:rPr>
        <w:t>في</w:t>
      </w:r>
      <w:r w:rsidR="00E8128F">
        <w:rPr>
          <w:sz w:val="36"/>
          <w:szCs w:val="36"/>
          <w:rtl/>
        </w:rPr>
        <w:t xml:space="preserve"> </w:t>
      </w:r>
      <w:r w:rsidR="00543484" w:rsidRPr="00FD211F">
        <w:rPr>
          <w:sz w:val="36"/>
          <w:szCs w:val="36"/>
          <w:rtl/>
        </w:rPr>
        <w:t>ال</w:t>
      </w:r>
      <w:r w:rsidRPr="00FD211F">
        <w:rPr>
          <w:sz w:val="36"/>
          <w:szCs w:val="36"/>
          <w:rtl/>
        </w:rPr>
        <w:t>روايات.</w:t>
      </w:r>
    </w:p>
    <w:p w14:paraId="63B73CEF" w14:textId="77777777" w:rsidR="00543484" w:rsidRPr="00FD211F" w:rsidRDefault="00543484" w:rsidP="009C58C8">
      <w:pPr>
        <w:ind w:left="0" w:firstLine="227"/>
        <w:jc w:val="both"/>
        <w:rPr>
          <w:sz w:val="36"/>
          <w:szCs w:val="36"/>
          <w:rtl/>
        </w:rPr>
      </w:pPr>
      <w:r w:rsidRPr="00FD211F">
        <w:rPr>
          <w:sz w:val="36"/>
          <w:szCs w:val="36"/>
          <w:rtl/>
        </w:rPr>
        <w:t>واما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حكى</w:t>
      </w:r>
      <w:r w:rsidR="00E8128F">
        <w:rPr>
          <w:sz w:val="36"/>
          <w:szCs w:val="36"/>
          <w:rtl/>
        </w:rPr>
        <w:t xml:space="preserve"> </w:t>
      </w:r>
      <w:r w:rsidR="00993DD7" w:rsidRPr="00FD211F">
        <w:rPr>
          <w:sz w:val="36"/>
          <w:szCs w:val="36"/>
          <w:rtl/>
        </w:rPr>
        <w:t>السيد</w:t>
      </w:r>
      <w:r w:rsidR="00E8128F">
        <w:rPr>
          <w:sz w:val="36"/>
          <w:szCs w:val="36"/>
          <w:rtl/>
        </w:rPr>
        <w:t xml:space="preserve"> </w:t>
      </w:r>
      <w:r w:rsidRPr="00FD211F">
        <w:rPr>
          <w:sz w:val="36"/>
          <w:szCs w:val="36"/>
          <w:rtl/>
        </w:rPr>
        <w:t>الطباطبائي</w:t>
      </w:r>
      <w:r w:rsidR="00E8128F">
        <w:rPr>
          <w:sz w:val="36"/>
          <w:szCs w:val="36"/>
          <w:rtl/>
        </w:rPr>
        <w:t xml:space="preserve"> </w:t>
      </w:r>
      <w:r w:rsidR="00B1734E" w:rsidRPr="00FD211F">
        <w:rPr>
          <w:sz w:val="36"/>
          <w:szCs w:val="36"/>
          <w:rtl/>
        </w:rPr>
        <w:t>"قده"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الميزان</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بعض</w:t>
      </w:r>
      <w:r w:rsidR="00E8128F">
        <w:rPr>
          <w:sz w:val="36"/>
          <w:szCs w:val="36"/>
          <w:rtl/>
        </w:rPr>
        <w:t xml:space="preserve"> </w:t>
      </w:r>
      <w:r w:rsidRPr="00FD211F">
        <w:rPr>
          <w:sz w:val="36"/>
          <w:szCs w:val="36"/>
          <w:rtl/>
        </w:rPr>
        <w:t>اساتذته</w:t>
      </w:r>
      <w:r w:rsidR="00E8128F">
        <w:rPr>
          <w:sz w:val="36"/>
          <w:szCs w:val="36"/>
          <w:rtl/>
        </w:rPr>
        <w:t xml:space="preserve"> </w:t>
      </w:r>
      <w:r w:rsidR="00113DD4" w:rsidRPr="00FD211F">
        <w:rPr>
          <w:sz w:val="36"/>
          <w:szCs w:val="36"/>
          <w:rtl/>
        </w:rPr>
        <w:t>ان</w:t>
      </w:r>
      <w:r w:rsidR="00E8128F">
        <w:rPr>
          <w:sz w:val="36"/>
          <w:szCs w:val="36"/>
          <w:rtl/>
        </w:rPr>
        <w:t xml:space="preserve"> </w:t>
      </w:r>
      <w:r w:rsidRPr="00FD211F">
        <w:rPr>
          <w:sz w:val="36"/>
          <w:szCs w:val="36"/>
          <w:rtl/>
        </w:rPr>
        <w:t>شأن</w:t>
      </w:r>
      <w:r w:rsidR="00E8128F">
        <w:rPr>
          <w:sz w:val="36"/>
          <w:szCs w:val="36"/>
          <w:rtl/>
        </w:rPr>
        <w:t xml:space="preserve"> </w:t>
      </w:r>
      <w:r w:rsidRPr="00FD211F">
        <w:rPr>
          <w:sz w:val="36"/>
          <w:szCs w:val="36"/>
          <w:rtl/>
        </w:rPr>
        <w:t>ابراهيم</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Pr="00FD211F">
        <w:rPr>
          <w:sz w:val="36"/>
          <w:szCs w:val="36"/>
          <w:rtl/>
        </w:rPr>
        <w:t>اجل</w:t>
      </w:r>
      <w:r w:rsidR="00113DD4"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يسأل</w:t>
      </w:r>
      <w:r w:rsidR="00E8128F">
        <w:rPr>
          <w:sz w:val="36"/>
          <w:szCs w:val="36"/>
          <w:rtl/>
        </w:rPr>
        <w:t xml:space="preserve"> </w:t>
      </w:r>
      <w:r w:rsidRPr="00FD211F">
        <w:rPr>
          <w:sz w:val="36"/>
          <w:szCs w:val="36"/>
          <w:rtl/>
        </w:rPr>
        <w:t>الإمام</w:t>
      </w:r>
      <w:r w:rsidR="00EC7EDF" w:rsidRPr="00FD211F">
        <w:rPr>
          <w:sz w:val="36"/>
          <w:szCs w:val="36"/>
          <w:rtl/>
        </w:rPr>
        <w:t>ة</w:t>
      </w:r>
      <w:r w:rsidR="00E8128F">
        <w:rPr>
          <w:sz w:val="36"/>
          <w:szCs w:val="36"/>
          <w:rtl/>
        </w:rPr>
        <w:t xml:space="preserve"> </w:t>
      </w:r>
      <w:r w:rsidRPr="00FD211F">
        <w:rPr>
          <w:sz w:val="36"/>
          <w:szCs w:val="36"/>
          <w:rtl/>
        </w:rPr>
        <w:t>للظالم</w:t>
      </w:r>
      <w:r w:rsidR="00E8128F">
        <w:rPr>
          <w:sz w:val="36"/>
          <w:szCs w:val="36"/>
          <w:rtl/>
        </w:rPr>
        <w:t xml:space="preserve"> </w:t>
      </w:r>
      <w:r w:rsidRPr="00FD211F">
        <w:rPr>
          <w:sz w:val="36"/>
          <w:szCs w:val="36"/>
          <w:rtl/>
        </w:rPr>
        <w:t>الفعلي</w:t>
      </w:r>
      <w:r w:rsidR="00603323" w:rsidRPr="00FD211F">
        <w:rPr>
          <w:sz w:val="36"/>
          <w:szCs w:val="36"/>
          <w:rtl/>
        </w:rPr>
        <w:t>،</w:t>
      </w:r>
      <w:r w:rsidR="00E8128F">
        <w:rPr>
          <w:sz w:val="36"/>
          <w:szCs w:val="36"/>
          <w:rtl/>
        </w:rPr>
        <w:t xml:space="preserve"> </w:t>
      </w:r>
      <w:r w:rsidRPr="00FD211F">
        <w:rPr>
          <w:sz w:val="36"/>
          <w:szCs w:val="36"/>
          <w:rtl/>
        </w:rPr>
        <w:t>وحيث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ظاهر</w:t>
      </w:r>
      <w:r w:rsidR="00E8128F">
        <w:rPr>
          <w:sz w:val="36"/>
          <w:szCs w:val="36"/>
          <w:rtl/>
        </w:rPr>
        <w:t xml:space="preserve"> </w:t>
      </w:r>
      <w:r w:rsidRPr="00FD211F">
        <w:rPr>
          <w:sz w:val="36"/>
          <w:szCs w:val="36"/>
          <w:rtl/>
        </w:rPr>
        <w:t>الآي</w:t>
      </w:r>
      <w:r w:rsidR="00EC7EDF" w:rsidRPr="00FD211F">
        <w:rPr>
          <w:sz w:val="36"/>
          <w:szCs w:val="36"/>
          <w:rtl/>
        </w:rPr>
        <w:t>ة</w:t>
      </w:r>
      <w:r w:rsidR="00E8128F">
        <w:rPr>
          <w:sz w:val="36"/>
          <w:szCs w:val="36"/>
          <w:rtl/>
        </w:rPr>
        <w:t xml:space="preserve"> </w:t>
      </w:r>
      <w:r w:rsidRPr="00FD211F">
        <w:rPr>
          <w:sz w:val="36"/>
          <w:szCs w:val="36"/>
          <w:rtl/>
        </w:rPr>
        <w:t>رد</w:t>
      </w:r>
      <w:r w:rsidR="00E8128F">
        <w:rPr>
          <w:sz w:val="36"/>
          <w:szCs w:val="36"/>
          <w:rtl/>
        </w:rPr>
        <w:t xml:space="preserve"> </w:t>
      </w:r>
      <w:r w:rsidRPr="00FD211F">
        <w:rPr>
          <w:sz w:val="36"/>
          <w:szCs w:val="36"/>
          <w:rtl/>
        </w:rPr>
        <w:t>دعائه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الجمل</w:t>
      </w:r>
      <w:r w:rsidR="00EC7EDF" w:rsidRPr="00FD211F">
        <w:rPr>
          <w:sz w:val="36"/>
          <w:szCs w:val="36"/>
          <w:rtl/>
        </w:rPr>
        <w:t>ة</w:t>
      </w:r>
      <w:r w:rsidR="00E8128F">
        <w:rPr>
          <w:sz w:val="36"/>
          <w:szCs w:val="36"/>
          <w:rtl/>
        </w:rPr>
        <w:t xml:space="preserve"> </w:t>
      </w:r>
      <w:r w:rsidRPr="00FD211F">
        <w:rPr>
          <w:sz w:val="36"/>
          <w:szCs w:val="36"/>
          <w:rtl/>
        </w:rPr>
        <w:t>فلابد</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دعائه</w:t>
      </w:r>
      <w:r w:rsidR="00E8128F">
        <w:rPr>
          <w:sz w:val="36"/>
          <w:szCs w:val="36"/>
          <w:rtl/>
        </w:rPr>
        <w:t xml:space="preserve"> </w:t>
      </w:r>
      <w:r w:rsidRPr="00FD211F">
        <w:rPr>
          <w:sz w:val="36"/>
          <w:szCs w:val="36"/>
          <w:rtl/>
        </w:rPr>
        <w:t>الامام</w:t>
      </w:r>
      <w:r w:rsidR="00EC7EDF" w:rsidRPr="00FD211F">
        <w:rPr>
          <w:sz w:val="36"/>
          <w:szCs w:val="36"/>
          <w:rtl/>
        </w:rPr>
        <w:t>ة</w:t>
      </w:r>
      <w:r w:rsidR="00E8128F">
        <w:rPr>
          <w:sz w:val="36"/>
          <w:szCs w:val="36"/>
          <w:rtl/>
        </w:rPr>
        <w:t xml:space="preserve"> </w:t>
      </w:r>
      <w:r w:rsidRPr="00FD211F">
        <w:rPr>
          <w:sz w:val="36"/>
          <w:szCs w:val="36"/>
          <w:rtl/>
        </w:rPr>
        <w:t>للظالم</w:t>
      </w:r>
      <w:r w:rsidR="00E8128F">
        <w:rPr>
          <w:sz w:val="36"/>
          <w:szCs w:val="36"/>
          <w:rtl/>
        </w:rPr>
        <w:t xml:space="preserve"> </w:t>
      </w:r>
      <w:r w:rsidRPr="00FD211F">
        <w:rPr>
          <w:sz w:val="36"/>
          <w:szCs w:val="36"/>
          <w:rtl/>
        </w:rPr>
        <w:t>السابق</w:t>
      </w:r>
      <w:r w:rsidR="00E8128F">
        <w:rPr>
          <w:sz w:val="36"/>
          <w:szCs w:val="36"/>
          <w:rtl/>
        </w:rPr>
        <w:t xml:space="preserve"> </w:t>
      </w:r>
      <w:r w:rsidRPr="00FD211F">
        <w:rPr>
          <w:sz w:val="36"/>
          <w:szCs w:val="36"/>
          <w:rtl/>
        </w:rPr>
        <w:t>ايضا</w:t>
      </w:r>
      <w:r w:rsidR="009C58C8" w:rsidRPr="00FD211F">
        <w:rPr>
          <w:rStyle w:val="a6"/>
          <w:sz w:val="36"/>
          <w:szCs w:val="36"/>
          <w:rtl/>
        </w:rPr>
        <w:t>(</w:t>
      </w:r>
      <w:r w:rsidR="009C58C8" w:rsidRPr="00FD211F">
        <w:rPr>
          <w:rStyle w:val="a6"/>
          <w:sz w:val="36"/>
          <w:szCs w:val="36"/>
          <w:rtl/>
        </w:rPr>
        <w:footnoteReference w:id="564"/>
      </w:r>
      <w:r w:rsidR="009C58C8" w:rsidRPr="00FD211F">
        <w:rPr>
          <w:rStyle w:val="a6"/>
          <w:sz w:val="36"/>
          <w:szCs w:val="36"/>
          <w:rtl/>
        </w:rPr>
        <w:t>)</w:t>
      </w:r>
      <w:r w:rsidR="00603323" w:rsidRPr="00FD211F">
        <w:rPr>
          <w:sz w:val="36"/>
          <w:szCs w:val="36"/>
          <w:rtl/>
        </w:rPr>
        <w:t>،</w:t>
      </w:r>
      <w:r w:rsidR="00E8128F">
        <w:rPr>
          <w:sz w:val="36"/>
          <w:szCs w:val="36"/>
          <w:rtl/>
        </w:rPr>
        <w:t xml:space="preserve"> </w:t>
      </w:r>
      <w:r w:rsidR="00651C91" w:rsidRPr="00FD211F">
        <w:rPr>
          <w:sz w:val="36"/>
          <w:szCs w:val="36"/>
          <w:rtl/>
        </w:rPr>
        <w:t>ففيه</w:t>
      </w:r>
      <w:r w:rsidR="00E8128F">
        <w:rPr>
          <w:sz w:val="36"/>
          <w:szCs w:val="36"/>
          <w:rtl/>
        </w:rPr>
        <w:t xml:space="preserve"> </w:t>
      </w:r>
      <w:r w:rsidR="00651C91" w:rsidRPr="00FD211F">
        <w:rPr>
          <w:sz w:val="36"/>
          <w:szCs w:val="36"/>
          <w:rtl/>
        </w:rPr>
        <w:t>انه</w:t>
      </w:r>
      <w:r w:rsidR="00E8128F">
        <w:rPr>
          <w:sz w:val="36"/>
          <w:szCs w:val="36"/>
          <w:rtl/>
        </w:rPr>
        <w:t xml:space="preserve"> </w:t>
      </w:r>
      <w:r w:rsidR="008D7B3D" w:rsidRPr="00FD211F">
        <w:rPr>
          <w:sz w:val="36"/>
          <w:szCs w:val="36"/>
          <w:rtl/>
        </w:rPr>
        <w:t>لم‌</w:t>
      </w:r>
      <w:r w:rsidR="00651C91" w:rsidRPr="00FD211F">
        <w:rPr>
          <w:sz w:val="36"/>
          <w:szCs w:val="36"/>
          <w:rtl/>
        </w:rPr>
        <w:t>يظهر</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الذيل</w:t>
      </w:r>
      <w:r w:rsidR="00E8128F">
        <w:rPr>
          <w:sz w:val="36"/>
          <w:szCs w:val="36"/>
          <w:rtl/>
        </w:rPr>
        <w:t xml:space="preserve"> </w:t>
      </w:r>
      <w:r w:rsidR="00651C91" w:rsidRPr="00FD211F">
        <w:rPr>
          <w:sz w:val="36"/>
          <w:szCs w:val="36"/>
          <w:rtl/>
        </w:rPr>
        <w:t>في</w:t>
      </w:r>
      <w:r w:rsidR="00E8128F">
        <w:rPr>
          <w:sz w:val="36"/>
          <w:szCs w:val="36"/>
          <w:rtl/>
        </w:rPr>
        <w:t xml:space="preserve"> </w:t>
      </w:r>
      <w:r w:rsidR="00651C91" w:rsidRPr="00FD211F">
        <w:rPr>
          <w:sz w:val="36"/>
          <w:szCs w:val="36"/>
          <w:rtl/>
        </w:rPr>
        <w:t>الآي</w:t>
      </w:r>
      <w:r w:rsidR="00EC7EDF" w:rsidRPr="00FD211F">
        <w:rPr>
          <w:sz w:val="36"/>
          <w:szCs w:val="36"/>
          <w:rtl/>
        </w:rPr>
        <w:t>ة</w:t>
      </w:r>
      <w:r w:rsidR="00E8128F">
        <w:rPr>
          <w:sz w:val="36"/>
          <w:szCs w:val="36"/>
          <w:rtl/>
        </w:rPr>
        <w:t xml:space="preserve"> </w:t>
      </w:r>
      <w:r w:rsidR="00651C91" w:rsidRPr="00FD211F">
        <w:rPr>
          <w:sz w:val="36"/>
          <w:szCs w:val="36"/>
          <w:rtl/>
        </w:rPr>
        <w:t>في</w:t>
      </w:r>
      <w:r w:rsidR="00E8128F">
        <w:rPr>
          <w:sz w:val="36"/>
          <w:szCs w:val="36"/>
          <w:rtl/>
        </w:rPr>
        <w:t xml:space="preserve"> </w:t>
      </w:r>
      <w:r w:rsidR="00651C91" w:rsidRPr="00FD211F">
        <w:rPr>
          <w:sz w:val="36"/>
          <w:szCs w:val="36"/>
          <w:rtl/>
        </w:rPr>
        <w:t>مقام</w:t>
      </w:r>
      <w:r w:rsidR="00E8128F">
        <w:rPr>
          <w:sz w:val="36"/>
          <w:szCs w:val="36"/>
          <w:rtl/>
        </w:rPr>
        <w:t xml:space="preserve"> </w:t>
      </w:r>
      <w:r w:rsidR="00651C91" w:rsidRPr="00FD211F">
        <w:rPr>
          <w:sz w:val="36"/>
          <w:szCs w:val="36"/>
          <w:rtl/>
        </w:rPr>
        <w:t>رد</w:t>
      </w:r>
      <w:r w:rsidR="00E8128F">
        <w:rPr>
          <w:sz w:val="36"/>
          <w:szCs w:val="36"/>
          <w:rtl/>
        </w:rPr>
        <w:t xml:space="preserve"> </w:t>
      </w:r>
      <w:r w:rsidRPr="00FD211F">
        <w:rPr>
          <w:sz w:val="36"/>
          <w:szCs w:val="36"/>
          <w:rtl/>
        </w:rPr>
        <w:t>دعائه</w:t>
      </w:r>
      <w:r w:rsidR="00603323" w:rsidRPr="00FD211F">
        <w:rPr>
          <w:sz w:val="36"/>
          <w:szCs w:val="36"/>
          <w:rtl/>
        </w:rPr>
        <w:t>،</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الاطلاق</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الالتفات</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الخصوصيات</w:t>
      </w:r>
      <w:r w:rsidR="00E8128F">
        <w:rPr>
          <w:sz w:val="36"/>
          <w:szCs w:val="36"/>
          <w:rtl/>
        </w:rPr>
        <w:t xml:space="preserve"> </w:t>
      </w:r>
      <w:r w:rsidRPr="00FD211F">
        <w:rPr>
          <w:sz w:val="36"/>
          <w:szCs w:val="36"/>
          <w:rtl/>
        </w:rPr>
        <w:t>فلعله</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8D7B3D" w:rsidRPr="00FD211F">
        <w:rPr>
          <w:sz w:val="36"/>
          <w:szCs w:val="36"/>
          <w:rtl/>
        </w:rPr>
        <w:t>لم‌</w:t>
      </w:r>
      <w:r w:rsidRPr="00FD211F">
        <w:rPr>
          <w:sz w:val="36"/>
          <w:szCs w:val="36"/>
          <w:rtl/>
        </w:rPr>
        <w:t>يلتفت</w:t>
      </w:r>
      <w:r w:rsidR="00E8128F">
        <w:rPr>
          <w:sz w:val="36"/>
          <w:szCs w:val="36"/>
          <w:rtl/>
        </w:rPr>
        <w:t xml:space="preserve"> </w:t>
      </w:r>
      <w:r w:rsidRPr="00FD211F">
        <w:rPr>
          <w:sz w:val="36"/>
          <w:szCs w:val="36"/>
          <w:rtl/>
        </w:rPr>
        <w:t>عاد</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00113DD4" w:rsidRPr="00FD211F">
        <w:rPr>
          <w:sz w:val="36"/>
          <w:szCs w:val="36"/>
          <w:rtl/>
        </w:rPr>
        <w:t>وجود</w:t>
      </w:r>
      <w:r w:rsidR="00E8128F">
        <w:rPr>
          <w:sz w:val="36"/>
          <w:szCs w:val="36"/>
          <w:rtl/>
        </w:rPr>
        <w:t xml:space="preserve"> </w:t>
      </w:r>
      <w:r w:rsidR="00113DD4" w:rsidRPr="00FD211F">
        <w:rPr>
          <w:sz w:val="36"/>
          <w:szCs w:val="36"/>
          <w:rtl/>
        </w:rPr>
        <w:t>ظالم</w:t>
      </w:r>
      <w:r w:rsidR="00E8128F">
        <w:rPr>
          <w:sz w:val="36"/>
          <w:szCs w:val="36"/>
          <w:rtl/>
        </w:rPr>
        <w:t xml:space="preserve"> </w:t>
      </w:r>
      <w:r w:rsidR="00113DD4" w:rsidRPr="00FD211F">
        <w:rPr>
          <w:sz w:val="36"/>
          <w:szCs w:val="36"/>
          <w:rtl/>
        </w:rPr>
        <w:t>في</w:t>
      </w:r>
      <w:r w:rsidR="00E8128F">
        <w:rPr>
          <w:sz w:val="36"/>
          <w:szCs w:val="36"/>
          <w:rtl/>
        </w:rPr>
        <w:t xml:space="preserve"> </w:t>
      </w:r>
      <w:r w:rsidRPr="00FD211F">
        <w:rPr>
          <w:sz w:val="36"/>
          <w:szCs w:val="36"/>
          <w:rtl/>
        </w:rPr>
        <w:t>ذريته</w:t>
      </w:r>
      <w:r w:rsidR="00603323" w:rsidRPr="00FD211F">
        <w:rPr>
          <w:sz w:val="36"/>
          <w:szCs w:val="36"/>
          <w:rtl/>
        </w:rPr>
        <w:t>،</w:t>
      </w:r>
      <w:r w:rsidR="00E8128F">
        <w:rPr>
          <w:sz w:val="36"/>
          <w:szCs w:val="36"/>
          <w:rtl/>
        </w:rPr>
        <w:t xml:space="preserve"> </w:t>
      </w:r>
      <w:r w:rsidRPr="00FD211F">
        <w:rPr>
          <w:sz w:val="36"/>
          <w:szCs w:val="36"/>
          <w:rtl/>
        </w:rPr>
        <w:t>خاص</w:t>
      </w:r>
      <w:r w:rsidR="00EC7EDF" w:rsidRPr="00FD211F">
        <w:rPr>
          <w:sz w:val="36"/>
          <w:szCs w:val="36"/>
          <w:rtl/>
        </w:rPr>
        <w:t>ة</w:t>
      </w:r>
      <w:r w:rsidR="00E8128F">
        <w:rPr>
          <w:sz w:val="36"/>
          <w:szCs w:val="36"/>
          <w:rtl/>
        </w:rPr>
        <w:t xml:space="preserve"> </w:t>
      </w:r>
      <w:r w:rsidRPr="00FD211F">
        <w:rPr>
          <w:sz w:val="36"/>
          <w:szCs w:val="36"/>
          <w:rtl/>
        </w:rPr>
        <w:t>وان</w:t>
      </w:r>
      <w:r w:rsidR="00E8128F">
        <w:rPr>
          <w:sz w:val="36"/>
          <w:szCs w:val="36"/>
          <w:rtl/>
        </w:rPr>
        <w:t xml:space="preserve"> </w:t>
      </w:r>
      <w:r w:rsidR="00587058" w:rsidRPr="00FD211F">
        <w:rPr>
          <w:sz w:val="36"/>
          <w:szCs w:val="36"/>
          <w:rtl/>
        </w:rPr>
        <w:t>دعائه</w:t>
      </w:r>
      <w:r w:rsidR="00E8128F">
        <w:rPr>
          <w:sz w:val="36"/>
          <w:szCs w:val="36"/>
          <w:rtl/>
        </w:rPr>
        <w:t xml:space="preserve"> </w:t>
      </w:r>
      <w:r w:rsidR="008D7B3D" w:rsidRPr="00FD211F">
        <w:rPr>
          <w:sz w:val="36"/>
          <w:szCs w:val="36"/>
          <w:rtl/>
        </w:rPr>
        <w:t>لم‌</w:t>
      </w:r>
      <w:r w:rsidR="00587058" w:rsidRPr="00FD211F">
        <w:rPr>
          <w:sz w:val="36"/>
          <w:szCs w:val="36"/>
          <w:rtl/>
        </w:rPr>
        <w:t>يكن</w:t>
      </w:r>
      <w:r w:rsidR="00E8128F">
        <w:rPr>
          <w:sz w:val="36"/>
          <w:szCs w:val="36"/>
          <w:rtl/>
        </w:rPr>
        <w:t xml:space="preserve"> </w:t>
      </w:r>
      <w:r w:rsidR="00587058" w:rsidRPr="00FD211F">
        <w:rPr>
          <w:sz w:val="36"/>
          <w:szCs w:val="36"/>
          <w:rtl/>
        </w:rPr>
        <w:t>اعطاء</w:t>
      </w:r>
      <w:r w:rsidR="00E8128F">
        <w:rPr>
          <w:sz w:val="36"/>
          <w:szCs w:val="36"/>
          <w:rtl/>
        </w:rPr>
        <w:t xml:space="preserve"> </w:t>
      </w:r>
      <w:r w:rsidR="00587058" w:rsidRPr="00FD211F">
        <w:rPr>
          <w:sz w:val="36"/>
          <w:szCs w:val="36"/>
          <w:rtl/>
        </w:rPr>
        <w:t>الإمام</w:t>
      </w:r>
      <w:r w:rsidR="00EC7EDF" w:rsidRPr="00FD211F">
        <w:rPr>
          <w:sz w:val="36"/>
          <w:szCs w:val="36"/>
          <w:rtl/>
        </w:rPr>
        <w:t>ة</w:t>
      </w:r>
      <w:r w:rsidR="00E8128F">
        <w:rPr>
          <w:sz w:val="36"/>
          <w:szCs w:val="36"/>
          <w:rtl/>
        </w:rPr>
        <w:t xml:space="preserve"> </w:t>
      </w:r>
      <w:r w:rsidR="00587058" w:rsidRPr="00FD211F">
        <w:rPr>
          <w:sz w:val="36"/>
          <w:szCs w:val="36"/>
          <w:rtl/>
        </w:rPr>
        <w:t>لجميع</w:t>
      </w:r>
      <w:r w:rsidR="00E8128F">
        <w:rPr>
          <w:sz w:val="36"/>
          <w:szCs w:val="36"/>
          <w:rtl/>
        </w:rPr>
        <w:t xml:space="preserve"> </w:t>
      </w:r>
      <w:r w:rsidR="00587058" w:rsidRPr="00FD211F">
        <w:rPr>
          <w:sz w:val="36"/>
          <w:szCs w:val="36"/>
          <w:rtl/>
        </w:rPr>
        <w:t>ذريته</w:t>
      </w:r>
      <w:r w:rsidR="00EC7EDF" w:rsidRPr="00FD211F">
        <w:rPr>
          <w:sz w:val="36"/>
          <w:szCs w:val="36"/>
          <w:rtl/>
        </w:rPr>
        <w:t>.</w:t>
      </w:r>
    </w:p>
    <w:p w14:paraId="07A992D7" w14:textId="77777777" w:rsidR="00781DEB" w:rsidRPr="00FD211F" w:rsidRDefault="00781DEB" w:rsidP="009C58C8">
      <w:pPr>
        <w:pStyle w:val="3"/>
        <w:ind w:firstLine="227"/>
        <w:jc w:val="both"/>
        <w:rPr>
          <w:rtl/>
        </w:rPr>
      </w:pPr>
      <w:bookmarkStart w:id="456" w:name="درس115"/>
      <w:bookmarkStart w:id="457" w:name="_Toc192092951"/>
      <w:bookmarkStart w:id="458" w:name="_Toc223890431"/>
      <w:bookmarkEnd w:id="456"/>
      <w:r w:rsidRPr="00FD211F">
        <w:rPr>
          <w:rtl/>
        </w:rPr>
        <w:t>التفصيل</w:t>
      </w:r>
      <w:r w:rsidR="00E8128F">
        <w:rPr>
          <w:rtl/>
        </w:rPr>
        <w:t xml:space="preserve"> </w:t>
      </w:r>
      <w:r w:rsidRPr="00FD211F">
        <w:rPr>
          <w:rtl/>
        </w:rPr>
        <w:t>بين</w:t>
      </w:r>
      <w:r w:rsidR="00E8128F">
        <w:rPr>
          <w:rtl/>
        </w:rPr>
        <w:t xml:space="preserve"> </w:t>
      </w:r>
      <w:r w:rsidRPr="00FD211F">
        <w:rPr>
          <w:rtl/>
        </w:rPr>
        <w:t>بعض</w:t>
      </w:r>
      <w:r w:rsidR="00E8128F">
        <w:rPr>
          <w:rtl/>
        </w:rPr>
        <w:t xml:space="preserve"> </w:t>
      </w:r>
      <w:r w:rsidRPr="00FD211F">
        <w:rPr>
          <w:rtl/>
        </w:rPr>
        <w:t>المشتقات</w:t>
      </w:r>
      <w:r w:rsidR="00E8128F">
        <w:rPr>
          <w:rtl/>
        </w:rPr>
        <w:t xml:space="preserve"> </w:t>
      </w:r>
      <w:r w:rsidRPr="00FD211F">
        <w:rPr>
          <w:rtl/>
        </w:rPr>
        <w:t>وبعض</w:t>
      </w:r>
      <w:bookmarkEnd w:id="457"/>
      <w:bookmarkEnd w:id="458"/>
    </w:p>
    <w:p w14:paraId="0F72F8CE" w14:textId="77777777" w:rsidR="00113DD4" w:rsidRPr="00FD211F" w:rsidRDefault="00781DEB" w:rsidP="009C58C8">
      <w:pPr>
        <w:ind w:left="0" w:firstLine="227"/>
        <w:jc w:val="both"/>
        <w:rPr>
          <w:sz w:val="36"/>
          <w:szCs w:val="36"/>
          <w:rtl/>
        </w:rPr>
      </w:pPr>
      <w:r w:rsidRPr="00FD211F">
        <w:rPr>
          <w:sz w:val="36"/>
          <w:szCs w:val="36"/>
          <w:rtl/>
        </w:rPr>
        <w:t>قد</w:t>
      </w:r>
      <w:r w:rsidR="00E8128F">
        <w:rPr>
          <w:sz w:val="36"/>
          <w:szCs w:val="36"/>
          <w:rtl/>
        </w:rPr>
        <w:t xml:space="preserve"> </w:t>
      </w:r>
      <w:r w:rsidRPr="00FD211F">
        <w:rPr>
          <w:sz w:val="36"/>
          <w:szCs w:val="36"/>
          <w:rtl/>
        </w:rPr>
        <w:t>ي</w:t>
      </w:r>
      <w:r w:rsidR="00113DD4" w:rsidRPr="00FD211F">
        <w:rPr>
          <w:sz w:val="36"/>
          <w:szCs w:val="36"/>
          <w:rtl/>
        </w:rPr>
        <w:t>قال</w:t>
      </w:r>
      <w:r w:rsidR="00E8128F">
        <w:rPr>
          <w:sz w:val="36"/>
          <w:szCs w:val="36"/>
          <w:rtl/>
        </w:rPr>
        <w:t xml:space="preserve"> </w:t>
      </w:r>
      <w:r w:rsidR="00113DD4" w:rsidRPr="00FD211F">
        <w:rPr>
          <w:sz w:val="36"/>
          <w:szCs w:val="36"/>
          <w:rtl/>
        </w:rPr>
        <w:t>بوضع</w:t>
      </w:r>
      <w:r w:rsidR="00E8128F">
        <w:rPr>
          <w:sz w:val="36"/>
          <w:szCs w:val="36"/>
          <w:rtl/>
        </w:rPr>
        <w:t xml:space="preserve"> </w:t>
      </w:r>
      <w:r w:rsidR="00113DD4" w:rsidRPr="00FD211F">
        <w:rPr>
          <w:sz w:val="36"/>
          <w:szCs w:val="36"/>
          <w:rtl/>
        </w:rPr>
        <w:t>المشتق</w:t>
      </w:r>
      <w:r w:rsidR="00E8128F">
        <w:rPr>
          <w:sz w:val="36"/>
          <w:szCs w:val="36"/>
          <w:rtl/>
        </w:rPr>
        <w:t xml:space="preserve"> </w:t>
      </w:r>
      <w:r w:rsidR="00113DD4" w:rsidRPr="00FD211F">
        <w:rPr>
          <w:sz w:val="36"/>
          <w:szCs w:val="36"/>
          <w:rtl/>
        </w:rPr>
        <w:t>للأعم</w:t>
      </w:r>
      <w:r w:rsidR="00E8128F">
        <w:rPr>
          <w:sz w:val="36"/>
          <w:szCs w:val="36"/>
          <w:rtl/>
        </w:rPr>
        <w:t xml:space="preserve"> </w:t>
      </w:r>
      <w:r w:rsidR="00113DD4" w:rsidRPr="00FD211F">
        <w:rPr>
          <w:sz w:val="36"/>
          <w:szCs w:val="36"/>
          <w:rtl/>
        </w:rPr>
        <w:t>في</w:t>
      </w:r>
      <w:r w:rsidR="00E8128F">
        <w:rPr>
          <w:sz w:val="36"/>
          <w:szCs w:val="36"/>
          <w:rtl/>
        </w:rPr>
        <w:t xml:space="preserve"> </w:t>
      </w:r>
      <w:r w:rsidR="00113DD4" w:rsidRPr="00FD211F">
        <w:rPr>
          <w:sz w:val="36"/>
          <w:szCs w:val="36"/>
          <w:rtl/>
        </w:rPr>
        <w:t>خصوص</w:t>
      </w:r>
      <w:r w:rsidR="00E8128F">
        <w:rPr>
          <w:sz w:val="36"/>
          <w:szCs w:val="36"/>
          <w:rtl/>
        </w:rPr>
        <w:t xml:space="preserve"> </w:t>
      </w:r>
      <w:r w:rsidR="004C0C52" w:rsidRPr="00FD211F">
        <w:rPr>
          <w:sz w:val="36"/>
          <w:szCs w:val="36"/>
          <w:rtl/>
        </w:rPr>
        <w:t>اسماء</w:t>
      </w:r>
      <w:r w:rsidR="00E8128F">
        <w:rPr>
          <w:sz w:val="36"/>
          <w:szCs w:val="36"/>
          <w:rtl/>
        </w:rPr>
        <w:t xml:space="preserve"> </w:t>
      </w:r>
      <w:r w:rsidR="00543484" w:rsidRPr="00FD211F">
        <w:rPr>
          <w:sz w:val="36"/>
          <w:szCs w:val="36"/>
          <w:rtl/>
        </w:rPr>
        <w:t>الح</w:t>
      </w:r>
      <w:r w:rsidR="009E66D9" w:rsidRPr="00FD211F">
        <w:rPr>
          <w:sz w:val="36"/>
          <w:szCs w:val="36"/>
          <w:rtl/>
        </w:rPr>
        <w:t>ِ</w:t>
      </w:r>
      <w:r w:rsidR="00543484" w:rsidRPr="00FD211F">
        <w:rPr>
          <w:sz w:val="36"/>
          <w:szCs w:val="36"/>
          <w:rtl/>
        </w:rPr>
        <w:t>رف</w:t>
      </w:r>
      <w:r w:rsidR="00E8128F">
        <w:rPr>
          <w:sz w:val="36"/>
          <w:szCs w:val="36"/>
          <w:rtl/>
        </w:rPr>
        <w:t xml:space="preserve"> </w:t>
      </w:r>
      <w:r w:rsidR="00543484" w:rsidRPr="00FD211F">
        <w:rPr>
          <w:sz w:val="36"/>
          <w:szCs w:val="36"/>
          <w:rtl/>
        </w:rPr>
        <w:t>والصناعات</w:t>
      </w:r>
      <w:r w:rsidR="009C58C8" w:rsidRPr="00FD211F">
        <w:rPr>
          <w:rStyle w:val="a6"/>
          <w:sz w:val="36"/>
          <w:szCs w:val="36"/>
          <w:rtl/>
        </w:rPr>
        <w:t>(</w:t>
      </w:r>
      <w:r w:rsidR="009C58C8" w:rsidRPr="00FD211F">
        <w:rPr>
          <w:rStyle w:val="a6"/>
          <w:sz w:val="36"/>
          <w:szCs w:val="36"/>
          <w:rtl/>
        </w:rPr>
        <w:footnoteReference w:id="565"/>
      </w:r>
      <w:r w:rsidR="009C58C8" w:rsidRPr="00FD211F">
        <w:rPr>
          <w:rStyle w:val="a6"/>
          <w:sz w:val="36"/>
          <w:szCs w:val="36"/>
          <w:rtl/>
        </w:rPr>
        <w:t>)</w:t>
      </w:r>
      <w:r w:rsidR="00E8128F">
        <w:rPr>
          <w:sz w:val="36"/>
          <w:szCs w:val="36"/>
          <w:rtl/>
        </w:rPr>
        <w:t xml:space="preserve"> </w:t>
      </w:r>
      <w:r w:rsidR="004C0C52" w:rsidRPr="00FD211F">
        <w:rPr>
          <w:sz w:val="36"/>
          <w:szCs w:val="36"/>
          <w:rtl/>
        </w:rPr>
        <w:t>و</w:t>
      </w:r>
      <w:r w:rsidR="009E66D9" w:rsidRPr="00FD211F">
        <w:rPr>
          <w:sz w:val="36"/>
          <w:szCs w:val="36"/>
          <w:rtl/>
        </w:rPr>
        <w:t>أسماء</w:t>
      </w:r>
      <w:r w:rsidR="00E8128F">
        <w:rPr>
          <w:sz w:val="36"/>
          <w:szCs w:val="36"/>
          <w:rtl/>
        </w:rPr>
        <w:t xml:space="preserve"> </w:t>
      </w:r>
      <w:r w:rsidR="004C0C52" w:rsidRPr="00FD211F">
        <w:rPr>
          <w:sz w:val="36"/>
          <w:szCs w:val="36"/>
          <w:rtl/>
        </w:rPr>
        <w:t>الملكات</w:t>
      </w:r>
      <w:r w:rsidR="00E8128F">
        <w:rPr>
          <w:sz w:val="36"/>
          <w:szCs w:val="36"/>
          <w:rtl/>
        </w:rPr>
        <w:t xml:space="preserve"> </w:t>
      </w:r>
      <w:r w:rsidR="004C0C52" w:rsidRPr="00FD211F">
        <w:rPr>
          <w:sz w:val="36"/>
          <w:szCs w:val="36"/>
          <w:rtl/>
        </w:rPr>
        <w:t>كالمجتهد</w:t>
      </w:r>
      <w:r w:rsidR="00E8128F">
        <w:rPr>
          <w:sz w:val="36"/>
          <w:szCs w:val="36"/>
          <w:rtl/>
        </w:rPr>
        <w:t xml:space="preserve"> </w:t>
      </w:r>
      <w:r w:rsidR="004C0C52" w:rsidRPr="00FD211F">
        <w:rPr>
          <w:sz w:val="36"/>
          <w:szCs w:val="36"/>
          <w:rtl/>
        </w:rPr>
        <w:t>والمهندس</w:t>
      </w:r>
      <w:r w:rsidR="00E8128F">
        <w:rPr>
          <w:sz w:val="36"/>
          <w:szCs w:val="36"/>
          <w:rtl/>
        </w:rPr>
        <w:t xml:space="preserve"> </w:t>
      </w:r>
      <w:r w:rsidR="004C0C52" w:rsidRPr="00FD211F">
        <w:rPr>
          <w:sz w:val="36"/>
          <w:szCs w:val="36"/>
          <w:rtl/>
        </w:rPr>
        <w:t>و</w:t>
      </w:r>
      <w:r w:rsidR="009E66D9" w:rsidRPr="00FD211F">
        <w:rPr>
          <w:sz w:val="36"/>
          <w:szCs w:val="36"/>
          <w:rtl/>
        </w:rPr>
        <w:t>أسماء</w:t>
      </w:r>
      <w:r w:rsidR="00E8128F">
        <w:rPr>
          <w:sz w:val="36"/>
          <w:szCs w:val="36"/>
          <w:rtl/>
        </w:rPr>
        <w:t xml:space="preserve"> </w:t>
      </w:r>
      <w:r w:rsidR="004C0C52" w:rsidRPr="00FD211F">
        <w:rPr>
          <w:sz w:val="36"/>
          <w:szCs w:val="36"/>
          <w:rtl/>
        </w:rPr>
        <w:t>الآلات</w:t>
      </w:r>
      <w:r w:rsidR="00E8128F">
        <w:rPr>
          <w:sz w:val="36"/>
          <w:szCs w:val="36"/>
          <w:rtl/>
        </w:rPr>
        <w:t xml:space="preserve"> </w:t>
      </w:r>
      <w:r w:rsidR="004C0C52" w:rsidRPr="00FD211F">
        <w:rPr>
          <w:sz w:val="36"/>
          <w:szCs w:val="36"/>
          <w:rtl/>
        </w:rPr>
        <w:t>كالمفتاح</w:t>
      </w:r>
      <w:r w:rsidR="00E8128F">
        <w:rPr>
          <w:sz w:val="36"/>
          <w:szCs w:val="36"/>
          <w:rtl/>
        </w:rPr>
        <w:t xml:space="preserve"> </w:t>
      </w:r>
      <w:r w:rsidRPr="00FD211F">
        <w:rPr>
          <w:sz w:val="36"/>
          <w:szCs w:val="36"/>
          <w:rtl/>
        </w:rPr>
        <w:t>وبين</w:t>
      </w:r>
      <w:r w:rsidR="00E8128F">
        <w:rPr>
          <w:sz w:val="36"/>
          <w:szCs w:val="36"/>
          <w:rtl/>
        </w:rPr>
        <w:t xml:space="preserve"> </w:t>
      </w:r>
      <w:r w:rsidRPr="00FD211F">
        <w:rPr>
          <w:sz w:val="36"/>
          <w:szCs w:val="36"/>
          <w:rtl/>
        </w:rPr>
        <w:t>سائر</w:t>
      </w:r>
      <w:r w:rsidR="00E8128F">
        <w:rPr>
          <w:sz w:val="36"/>
          <w:szCs w:val="36"/>
          <w:rtl/>
        </w:rPr>
        <w:t xml:space="preserve"> </w:t>
      </w:r>
      <w:r w:rsidRPr="00FD211F">
        <w:rPr>
          <w:sz w:val="36"/>
          <w:szCs w:val="36"/>
          <w:rtl/>
        </w:rPr>
        <w:t>المشتقات</w:t>
      </w:r>
      <w:r w:rsidR="00603323" w:rsidRPr="00FD211F">
        <w:rPr>
          <w:sz w:val="36"/>
          <w:szCs w:val="36"/>
          <w:rtl/>
        </w:rPr>
        <w:t>،</w:t>
      </w:r>
      <w:r w:rsidR="00E8128F">
        <w:rPr>
          <w:sz w:val="36"/>
          <w:szCs w:val="36"/>
          <w:rtl/>
        </w:rPr>
        <w:t xml:space="preserve"> </w:t>
      </w:r>
      <w:r w:rsidRPr="00FD211F">
        <w:rPr>
          <w:sz w:val="36"/>
          <w:szCs w:val="36"/>
          <w:rtl/>
        </w:rPr>
        <w:t>فيلتزم</w:t>
      </w:r>
      <w:r w:rsidR="00E8128F">
        <w:rPr>
          <w:sz w:val="36"/>
          <w:szCs w:val="36"/>
          <w:rtl/>
        </w:rPr>
        <w:t xml:space="preserve"> </w:t>
      </w:r>
      <w:r w:rsidR="00113DD4" w:rsidRPr="00FD211F">
        <w:rPr>
          <w:sz w:val="36"/>
          <w:szCs w:val="36"/>
          <w:rtl/>
        </w:rPr>
        <w:t>بصدقها</w:t>
      </w:r>
      <w:r w:rsidR="00E8128F">
        <w:rPr>
          <w:sz w:val="36"/>
          <w:szCs w:val="36"/>
          <w:rtl/>
        </w:rPr>
        <w:t xml:space="preserve"> </w:t>
      </w:r>
      <w:r w:rsidR="00113DD4" w:rsidRPr="00FD211F">
        <w:rPr>
          <w:sz w:val="36"/>
          <w:szCs w:val="36"/>
          <w:rtl/>
        </w:rPr>
        <w:t>على</w:t>
      </w:r>
      <w:r w:rsidR="00E8128F">
        <w:rPr>
          <w:sz w:val="36"/>
          <w:szCs w:val="36"/>
          <w:rtl/>
        </w:rPr>
        <w:t xml:space="preserve"> </w:t>
      </w:r>
      <w:r w:rsidR="00113DD4" w:rsidRPr="00FD211F">
        <w:rPr>
          <w:sz w:val="36"/>
          <w:szCs w:val="36"/>
          <w:rtl/>
        </w:rPr>
        <w:t>الذوات</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تلبس</w:t>
      </w:r>
      <w:r w:rsidR="00113DD4" w:rsidRPr="00FD211F">
        <w:rPr>
          <w:sz w:val="36"/>
          <w:szCs w:val="36"/>
          <w:rtl/>
        </w:rPr>
        <w:t>ها</w:t>
      </w:r>
      <w:r w:rsidR="00E8128F">
        <w:rPr>
          <w:sz w:val="36"/>
          <w:szCs w:val="36"/>
          <w:rtl/>
        </w:rPr>
        <w:t xml:space="preserve"> </w:t>
      </w:r>
      <w:r w:rsidRPr="00FD211F">
        <w:rPr>
          <w:sz w:val="36"/>
          <w:szCs w:val="36"/>
          <w:rtl/>
        </w:rPr>
        <w:t>الفعلي</w:t>
      </w:r>
      <w:r w:rsidR="00E8128F">
        <w:rPr>
          <w:sz w:val="36"/>
          <w:szCs w:val="36"/>
          <w:rtl/>
        </w:rPr>
        <w:t xml:space="preserve"> </w:t>
      </w:r>
      <w:r w:rsidR="00113DD4" w:rsidRPr="00FD211F">
        <w:rPr>
          <w:sz w:val="36"/>
          <w:szCs w:val="36"/>
          <w:rtl/>
        </w:rPr>
        <w:t>بمبادئها</w:t>
      </w:r>
      <w:r w:rsidR="00603323" w:rsidRPr="00FD211F">
        <w:rPr>
          <w:sz w:val="36"/>
          <w:szCs w:val="36"/>
          <w:rtl/>
        </w:rPr>
        <w:t>،</w:t>
      </w:r>
      <w:r w:rsidR="00E8128F">
        <w:rPr>
          <w:sz w:val="36"/>
          <w:szCs w:val="36"/>
          <w:rtl/>
        </w:rPr>
        <w:t xml:space="preserve"> </w:t>
      </w:r>
      <w:r w:rsidR="004C0C52" w:rsidRPr="00FD211F">
        <w:rPr>
          <w:sz w:val="36"/>
          <w:szCs w:val="36"/>
          <w:rtl/>
        </w:rPr>
        <w:t>فيقال</w:t>
      </w:r>
      <w:r w:rsidR="00E8128F">
        <w:rPr>
          <w:sz w:val="36"/>
          <w:szCs w:val="36"/>
          <w:rtl/>
        </w:rPr>
        <w:t xml:space="preserve"> </w:t>
      </w:r>
      <w:r w:rsidR="004C0C52" w:rsidRPr="00FD211F">
        <w:rPr>
          <w:sz w:val="36"/>
          <w:szCs w:val="36"/>
          <w:rtl/>
        </w:rPr>
        <w:t>لزيد</w:t>
      </w:r>
      <w:r w:rsidR="00E8128F">
        <w:rPr>
          <w:sz w:val="36"/>
          <w:szCs w:val="36"/>
          <w:rtl/>
        </w:rPr>
        <w:t xml:space="preserve"> </w:t>
      </w:r>
      <w:r w:rsidR="004C0C52" w:rsidRPr="00FD211F">
        <w:rPr>
          <w:sz w:val="36"/>
          <w:szCs w:val="36"/>
          <w:rtl/>
        </w:rPr>
        <w:t>ولو</w:t>
      </w:r>
      <w:r w:rsidR="00E8128F">
        <w:rPr>
          <w:sz w:val="36"/>
          <w:szCs w:val="36"/>
          <w:rtl/>
        </w:rPr>
        <w:t xml:space="preserve"> </w:t>
      </w:r>
      <w:r w:rsidR="004C0C52" w:rsidRPr="00FD211F">
        <w:rPr>
          <w:sz w:val="36"/>
          <w:szCs w:val="36"/>
          <w:rtl/>
        </w:rPr>
        <w:t>حين</w:t>
      </w:r>
      <w:r w:rsidR="00E8128F">
        <w:rPr>
          <w:sz w:val="36"/>
          <w:szCs w:val="36"/>
          <w:rtl/>
        </w:rPr>
        <w:t xml:space="preserve"> </w:t>
      </w:r>
      <w:r w:rsidR="004C0C52" w:rsidRPr="00FD211F">
        <w:rPr>
          <w:sz w:val="36"/>
          <w:szCs w:val="36"/>
          <w:rtl/>
        </w:rPr>
        <w:t>فوته</w:t>
      </w:r>
      <w:r w:rsidR="00E8128F">
        <w:rPr>
          <w:sz w:val="36"/>
          <w:szCs w:val="36"/>
          <w:rtl/>
        </w:rPr>
        <w:t xml:space="preserve"> </w:t>
      </w:r>
      <w:r w:rsidR="004C0C52" w:rsidRPr="00FD211F">
        <w:rPr>
          <w:sz w:val="36"/>
          <w:szCs w:val="36"/>
          <w:rtl/>
        </w:rPr>
        <w:t>انه</w:t>
      </w:r>
      <w:r w:rsidR="00E8128F">
        <w:rPr>
          <w:sz w:val="36"/>
          <w:szCs w:val="36"/>
          <w:rtl/>
        </w:rPr>
        <w:t xml:space="preserve"> </w:t>
      </w:r>
      <w:r w:rsidR="004C0C52" w:rsidRPr="00FD211F">
        <w:rPr>
          <w:sz w:val="36"/>
          <w:szCs w:val="36"/>
          <w:rtl/>
        </w:rPr>
        <w:t>صائغ</w:t>
      </w:r>
      <w:r w:rsidR="00113DD4" w:rsidRPr="00FD211F">
        <w:rPr>
          <w:sz w:val="36"/>
          <w:szCs w:val="36"/>
          <w:rtl/>
        </w:rPr>
        <w:t>.</w:t>
      </w:r>
    </w:p>
    <w:p w14:paraId="48BFC13D" w14:textId="77777777" w:rsidR="00794D30" w:rsidRPr="00FD211F" w:rsidRDefault="00781DEB" w:rsidP="009C58C8">
      <w:pPr>
        <w:ind w:left="0" w:firstLine="227"/>
        <w:jc w:val="both"/>
        <w:rPr>
          <w:sz w:val="36"/>
          <w:szCs w:val="36"/>
          <w:rtl/>
        </w:rPr>
      </w:pPr>
      <w:r w:rsidRPr="00FD211F">
        <w:rPr>
          <w:sz w:val="36"/>
          <w:szCs w:val="36"/>
          <w:rtl/>
        </w:rPr>
        <w:t>و</w:t>
      </w:r>
      <w:r w:rsidR="004C0C52" w:rsidRPr="00FD211F">
        <w:rPr>
          <w:sz w:val="36"/>
          <w:szCs w:val="36"/>
          <w:rtl/>
        </w:rPr>
        <w:t>ذكر</w:t>
      </w:r>
      <w:r w:rsidR="00E8128F">
        <w:rPr>
          <w:sz w:val="36"/>
          <w:szCs w:val="36"/>
          <w:rtl/>
        </w:rPr>
        <w:t xml:space="preserve"> </w:t>
      </w:r>
      <w:r w:rsidR="004C0C52" w:rsidRPr="00FD211F">
        <w:rPr>
          <w:sz w:val="36"/>
          <w:szCs w:val="36"/>
          <w:rtl/>
        </w:rPr>
        <w:t>في</w:t>
      </w:r>
      <w:r w:rsidR="00E8128F">
        <w:rPr>
          <w:sz w:val="36"/>
          <w:szCs w:val="36"/>
          <w:rtl/>
        </w:rPr>
        <w:t xml:space="preserve"> </w:t>
      </w:r>
      <w:r w:rsidR="004C0C52" w:rsidRPr="00FD211F">
        <w:rPr>
          <w:sz w:val="36"/>
          <w:szCs w:val="36"/>
          <w:rtl/>
        </w:rPr>
        <w:t>البحوث</w:t>
      </w:r>
      <w:r w:rsidR="00E8128F">
        <w:rPr>
          <w:sz w:val="36"/>
          <w:szCs w:val="36"/>
          <w:rtl/>
        </w:rPr>
        <w:t xml:space="preserve"> </w:t>
      </w:r>
      <w:r w:rsidR="004C0C52" w:rsidRPr="00FD211F">
        <w:rPr>
          <w:sz w:val="36"/>
          <w:szCs w:val="36"/>
          <w:rtl/>
        </w:rPr>
        <w:t>ان</w:t>
      </w:r>
      <w:r w:rsidR="00E8128F">
        <w:rPr>
          <w:sz w:val="36"/>
          <w:szCs w:val="36"/>
          <w:rtl/>
        </w:rPr>
        <w:t xml:space="preserve"> </w:t>
      </w:r>
      <w:r w:rsidR="004C0C52" w:rsidRPr="00FD211F">
        <w:rPr>
          <w:sz w:val="36"/>
          <w:szCs w:val="36"/>
          <w:rtl/>
        </w:rPr>
        <w:t>تقريب</w:t>
      </w:r>
      <w:r w:rsidR="00E8128F">
        <w:rPr>
          <w:sz w:val="36"/>
          <w:szCs w:val="36"/>
          <w:rtl/>
        </w:rPr>
        <w:t xml:space="preserve"> </w:t>
      </w:r>
      <w:r w:rsidR="004C0C52" w:rsidRPr="00FD211F">
        <w:rPr>
          <w:sz w:val="36"/>
          <w:szCs w:val="36"/>
          <w:rtl/>
        </w:rPr>
        <w:t>الاستدلال</w:t>
      </w:r>
      <w:r w:rsidR="00E8128F">
        <w:rPr>
          <w:sz w:val="36"/>
          <w:szCs w:val="36"/>
          <w:rtl/>
        </w:rPr>
        <w:t xml:space="preserve"> </w:t>
      </w:r>
      <w:r w:rsidR="009E66D9" w:rsidRPr="00FD211F">
        <w:rPr>
          <w:sz w:val="36"/>
          <w:szCs w:val="36"/>
          <w:rtl/>
        </w:rPr>
        <w:t>هو</w:t>
      </w:r>
      <w:r w:rsidR="00E8128F">
        <w:rPr>
          <w:sz w:val="36"/>
          <w:szCs w:val="36"/>
          <w:rtl/>
        </w:rPr>
        <w:t xml:space="preserve"> </w:t>
      </w:r>
      <w:r w:rsidR="004C0C52" w:rsidRPr="00FD211F">
        <w:rPr>
          <w:sz w:val="36"/>
          <w:szCs w:val="36"/>
          <w:rtl/>
        </w:rPr>
        <w:t>انه</w:t>
      </w:r>
      <w:r w:rsidR="00E8128F">
        <w:rPr>
          <w:sz w:val="36"/>
          <w:szCs w:val="36"/>
          <w:rtl/>
        </w:rPr>
        <w:t xml:space="preserve"> </w:t>
      </w:r>
      <w:r w:rsidR="009E66D9" w:rsidRPr="00FD211F">
        <w:rPr>
          <w:sz w:val="36"/>
          <w:szCs w:val="36"/>
          <w:rtl/>
        </w:rPr>
        <w:t>ل</w:t>
      </w:r>
      <w:r w:rsidR="009977FE" w:rsidRPr="00FD211F">
        <w:rPr>
          <w:sz w:val="36"/>
          <w:szCs w:val="36"/>
          <w:rtl/>
        </w:rPr>
        <w:t>و</w:t>
      </w:r>
      <w:r w:rsidR="00E8128F">
        <w:rPr>
          <w:sz w:val="36"/>
          <w:szCs w:val="36"/>
          <w:rtl/>
        </w:rPr>
        <w:t xml:space="preserve"> </w:t>
      </w:r>
      <w:r w:rsidR="008D7B3D" w:rsidRPr="00FD211F">
        <w:rPr>
          <w:sz w:val="36"/>
          <w:szCs w:val="36"/>
          <w:rtl/>
        </w:rPr>
        <w:t>لم‌</w:t>
      </w:r>
      <w:r w:rsidR="009E66D9" w:rsidRPr="00FD211F">
        <w:rPr>
          <w:sz w:val="36"/>
          <w:szCs w:val="36"/>
          <w:rtl/>
        </w:rPr>
        <w:t>نقل</w:t>
      </w:r>
      <w:r w:rsidR="00E8128F">
        <w:rPr>
          <w:sz w:val="36"/>
          <w:szCs w:val="36"/>
          <w:rtl/>
        </w:rPr>
        <w:t xml:space="preserve"> </w:t>
      </w:r>
      <w:r w:rsidR="004C0C52" w:rsidRPr="00FD211F">
        <w:rPr>
          <w:sz w:val="36"/>
          <w:szCs w:val="36"/>
          <w:rtl/>
        </w:rPr>
        <w:t>فيها</w:t>
      </w:r>
      <w:r w:rsidR="00E8128F">
        <w:rPr>
          <w:sz w:val="36"/>
          <w:szCs w:val="36"/>
          <w:rtl/>
        </w:rPr>
        <w:t xml:space="preserve"> </w:t>
      </w:r>
      <w:r w:rsidR="004C0C52" w:rsidRPr="00FD211F">
        <w:rPr>
          <w:sz w:val="36"/>
          <w:szCs w:val="36"/>
          <w:rtl/>
        </w:rPr>
        <w:t>بالوضع</w:t>
      </w:r>
      <w:r w:rsidR="00E8128F">
        <w:rPr>
          <w:sz w:val="36"/>
          <w:szCs w:val="36"/>
          <w:rtl/>
        </w:rPr>
        <w:t xml:space="preserve"> </w:t>
      </w:r>
      <w:r w:rsidR="004C0C52" w:rsidRPr="00FD211F">
        <w:rPr>
          <w:sz w:val="36"/>
          <w:szCs w:val="36"/>
          <w:rtl/>
        </w:rPr>
        <w:t>للأعم</w:t>
      </w:r>
      <w:r w:rsidR="00E8128F">
        <w:rPr>
          <w:sz w:val="36"/>
          <w:szCs w:val="36"/>
          <w:rtl/>
        </w:rPr>
        <w:t xml:space="preserve"> </w:t>
      </w:r>
      <w:r w:rsidR="004C0C52" w:rsidRPr="00FD211F">
        <w:rPr>
          <w:sz w:val="36"/>
          <w:szCs w:val="36"/>
          <w:rtl/>
        </w:rPr>
        <w:t>لزم</w:t>
      </w:r>
      <w:r w:rsidR="00E8128F">
        <w:rPr>
          <w:sz w:val="36"/>
          <w:szCs w:val="36"/>
          <w:rtl/>
        </w:rPr>
        <w:t xml:space="preserve"> </w:t>
      </w:r>
      <w:r w:rsidR="004C0C52" w:rsidRPr="00FD211F">
        <w:rPr>
          <w:sz w:val="36"/>
          <w:szCs w:val="36"/>
          <w:rtl/>
        </w:rPr>
        <w:t>اختيار</w:t>
      </w:r>
      <w:r w:rsidR="00E8128F">
        <w:rPr>
          <w:sz w:val="36"/>
          <w:szCs w:val="36"/>
          <w:rtl/>
        </w:rPr>
        <w:t xml:space="preserve"> </w:t>
      </w:r>
      <w:r w:rsidR="004C0C52" w:rsidRPr="00FD211F">
        <w:rPr>
          <w:sz w:val="36"/>
          <w:szCs w:val="36"/>
          <w:rtl/>
        </w:rPr>
        <w:t>احد</w:t>
      </w:r>
      <w:r w:rsidR="00E8128F">
        <w:rPr>
          <w:sz w:val="36"/>
          <w:szCs w:val="36"/>
          <w:rtl/>
        </w:rPr>
        <w:t xml:space="preserve"> </w:t>
      </w:r>
      <w:r w:rsidR="004C0C52" w:rsidRPr="00FD211F">
        <w:rPr>
          <w:sz w:val="36"/>
          <w:szCs w:val="36"/>
          <w:rtl/>
        </w:rPr>
        <w:t>الوجوه</w:t>
      </w:r>
      <w:r w:rsidR="00E8128F">
        <w:rPr>
          <w:sz w:val="36"/>
          <w:szCs w:val="36"/>
          <w:rtl/>
        </w:rPr>
        <w:t xml:space="preserve"> </w:t>
      </w:r>
      <w:r w:rsidR="004C0C52" w:rsidRPr="00FD211F">
        <w:rPr>
          <w:sz w:val="36"/>
          <w:szCs w:val="36"/>
          <w:rtl/>
        </w:rPr>
        <w:t>الاربع</w:t>
      </w:r>
      <w:r w:rsidR="00EC7EDF" w:rsidRPr="00FD211F">
        <w:rPr>
          <w:sz w:val="36"/>
          <w:szCs w:val="36"/>
          <w:rtl/>
        </w:rPr>
        <w:t>ة</w:t>
      </w:r>
      <w:r w:rsidR="00057D31" w:rsidRPr="00FD211F">
        <w:rPr>
          <w:sz w:val="36"/>
          <w:szCs w:val="36"/>
          <w:rtl/>
        </w:rPr>
        <w:t>:</w:t>
      </w:r>
    </w:p>
    <w:p w14:paraId="7F652928" w14:textId="77777777" w:rsidR="00794D30" w:rsidRPr="00FD211F" w:rsidRDefault="004C0C52" w:rsidP="009C58C8">
      <w:pPr>
        <w:ind w:left="0" w:firstLine="227"/>
        <w:jc w:val="both"/>
        <w:rPr>
          <w:sz w:val="36"/>
          <w:szCs w:val="36"/>
          <w:rtl/>
        </w:rPr>
      </w:pPr>
      <w:r w:rsidRPr="00FD211F">
        <w:rPr>
          <w:sz w:val="36"/>
          <w:szCs w:val="36"/>
          <w:rtl/>
        </w:rPr>
        <w:t>1-</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يراد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ماد</w:t>
      </w:r>
      <w:r w:rsidR="00EC7EDF" w:rsidRPr="00FD211F">
        <w:rPr>
          <w:sz w:val="36"/>
          <w:szCs w:val="36"/>
          <w:rtl/>
        </w:rPr>
        <w:t>ة</w:t>
      </w:r>
      <w:r w:rsidR="00E8128F">
        <w:rPr>
          <w:sz w:val="36"/>
          <w:szCs w:val="36"/>
          <w:rtl/>
        </w:rPr>
        <w:t xml:space="preserve"> </w:t>
      </w:r>
      <w:r w:rsidRPr="00FD211F">
        <w:rPr>
          <w:sz w:val="36"/>
          <w:szCs w:val="36"/>
          <w:rtl/>
        </w:rPr>
        <w:t>الصائغ</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حرف</w:t>
      </w:r>
      <w:r w:rsidR="00EC7EDF" w:rsidRPr="00FD211F">
        <w:rPr>
          <w:sz w:val="36"/>
          <w:szCs w:val="36"/>
          <w:rtl/>
        </w:rPr>
        <w:t>ة</w:t>
      </w:r>
      <w:r w:rsidR="00E8128F">
        <w:rPr>
          <w:sz w:val="36"/>
          <w:szCs w:val="36"/>
          <w:rtl/>
        </w:rPr>
        <w:t xml:space="preserve"> </w:t>
      </w:r>
      <w:r w:rsidRPr="00FD211F">
        <w:rPr>
          <w:sz w:val="36"/>
          <w:szCs w:val="36"/>
          <w:rtl/>
        </w:rPr>
        <w:t>الص</w:t>
      </w:r>
      <w:r w:rsidR="00794D30" w:rsidRPr="00FD211F">
        <w:rPr>
          <w:sz w:val="36"/>
          <w:szCs w:val="36"/>
          <w:rtl/>
        </w:rPr>
        <w:t>ياغ</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ولكنه</w:t>
      </w:r>
      <w:r w:rsidR="00E8128F">
        <w:rPr>
          <w:sz w:val="36"/>
          <w:szCs w:val="36"/>
          <w:rtl/>
        </w:rPr>
        <w:t xml:space="preserve"> </w:t>
      </w:r>
      <w:r w:rsidRPr="00FD211F">
        <w:rPr>
          <w:sz w:val="36"/>
          <w:szCs w:val="36"/>
          <w:rtl/>
        </w:rPr>
        <w:t>مناف</w:t>
      </w:r>
      <w:r w:rsidR="00E8128F">
        <w:rPr>
          <w:sz w:val="36"/>
          <w:szCs w:val="36"/>
          <w:rtl/>
        </w:rPr>
        <w:t xml:space="preserve"> </w:t>
      </w:r>
      <w:r w:rsidRPr="00FD211F">
        <w:rPr>
          <w:sz w:val="36"/>
          <w:szCs w:val="36"/>
          <w:rtl/>
        </w:rPr>
        <w:t>لما</w:t>
      </w:r>
      <w:r w:rsidR="00E8128F">
        <w:rPr>
          <w:sz w:val="36"/>
          <w:szCs w:val="36"/>
          <w:rtl/>
        </w:rPr>
        <w:t xml:space="preserve"> </w:t>
      </w:r>
      <w:r w:rsidRPr="00FD211F">
        <w:rPr>
          <w:sz w:val="36"/>
          <w:szCs w:val="36"/>
          <w:rtl/>
        </w:rPr>
        <w:t>ثبت</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ماد</w:t>
      </w:r>
      <w:r w:rsidR="00EC7EDF" w:rsidRPr="00FD211F">
        <w:rPr>
          <w:sz w:val="36"/>
          <w:szCs w:val="36"/>
          <w:rtl/>
        </w:rPr>
        <w:t>ة</w:t>
      </w:r>
      <w:r w:rsidR="00E8128F">
        <w:rPr>
          <w:sz w:val="36"/>
          <w:szCs w:val="36"/>
          <w:rtl/>
        </w:rPr>
        <w:t xml:space="preserve"> </w:t>
      </w:r>
      <w:r w:rsidR="002A634C" w:rsidRPr="00FD211F">
        <w:rPr>
          <w:sz w:val="36"/>
          <w:szCs w:val="36"/>
          <w:rtl/>
        </w:rPr>
        <w:t>المشتقات</w:t>
      </w:r>
      <w:r w:rsidR="00E8128F">
        <w:rPr>
          <w:sz w:val="36"/>
          <w:szCs w:val="36"/>
          <w:rtl/>
        </w:rPr>
        <w:t xml:space="preserve"> </w:t>
      </w:r>
      <w:r w:rsidR="002A634C" w:rsidRPr="00FD211F">
        <w:rPr>
          <w:sz w:val="36"/>
          <w:szCs w:val="36"/>
          <w:rtl/>
        </w:rPr>
        <w:t>موضوع</w:t>
      </w:r>
      <w:r w:rsidR="00EC7EDF" w:rsidRPr="00FD211F">
        <w:rPr>
          <w:sz w:val="36"/>
          <w:szCs w:val="36"/>
          <w:rtl/>
        </w:rPr>
        <w:t>ة</w:t>
      </w:r>
      <w:r w:rsidR="00E8128F">
        <w:rPr>
          <w:sz w:val="36"/>
          <w:szCs w:val="36"/>
          <w:rtl/>
        </w:rPr>
        <w:t xml:space="preserve"> </w:t>
      </w:r>
      <w:r w:rsidR="002A634C" w:rsidRPr="00FD211F">
        <w:rPr>
          <w:sz w:val="36"/>
          <w:szCs w:val="36"/>
          <w:rtl/>
        </w:rPr>
        <w:t>بوضع</w:t>
      </w:r>
      <w:r w:rsidR="00E8128F">
        <w:rPr>
          <w:sz w:val="36"/>
          <w:szCs w:val="36"/>
          <w:rtl/>
        </w:rPr>
        <w:t xml:space="preserve"> </w:t>
      </w:r>
      <w:r w:rsidR="002A634C" w:rsidRPr="00FD211F">
        <w:rPr>
          <w:sz w:val="36"/>
          <w:szCs w:val="36"/>
          <w:rtl/>
        </w:rPr>
        <w:t>نوعي</w:t>
      </w:r>
      <w:r w:rsidR="00E8128F">
        <w:rPr>
          <w:sz w:val="36"/>
          <w:szCs w:val="36"/>
          <w:rtl/>
        </w:rPr>
        <w:t xml:space="preserve"> </w:t>
      </w:r>
      <w:r w:rsidR="002A634C" w:rsidRPr="00FD211F">
        <w:rPr>
          <w:sz w:val="36"/>
          <w:szCs w:val="36"/>
          <w:rtl/>
        </w:rPr>
        <w:t>واحد</w:t>
      </w:r>
      <w:r w:rsidR="00603323" w:rsidRPr="00FD211F">
        <w:rPr>
          <w:sz w:val="36"/>
          <w:szCs w:val="36"/>
          <w:rtl/>
        </w:rPr>
        <w:t>،</w:t>
      </w:r>
      <w:r w:rsidR="00E8128F">
        <w:rPr>
          <w:sz w:val="36"/>
          <w:szCs w:val="36"/>
          <w:rtl/>
        </w:rPr>
        <w:t xml:space="preserve"> </w:t>
      </w:r>
      <w:r w:rsidR="00794D30" w:rsidRPr="00FD211F">
        <w:rPr>
          <w:sz w:val="36"/>
          <w:szCs w:val="36"/>
          <w:rtl/>
        </w:rPr>
        <w:t>والمفروض</w:t>
      </w:r>
      <w:r w:rsidR="00E8128F">
        <w:rPr>
          <w:sz w:val="36"/>
          <w:szCs w:val="36"/>
          <w:rtl/>
        </w:rPr>
        <w:t xml:space="preserve"> </w:t>
      </w:r>
      <w:r w:rsidR="00794D30" w:rsidRPr="00FD211F">
        <w:rPr>
          <w:sz w:val="36"/>
          <w:szCs w:val="36"/>
          <w:rtl/>
        </w:rPr>
        <w:t>ان</w:t>
      </w:r>
      <w:r w:rsidR="00E8128F">
        <w:rPr>
          <w:sz w:val="36"/>
          <w:szCs w:val="36"/>
          <w:rtl/>
        </w:rPr>
        <w:t xml:space="preserve"> </w:t>
      </w:r>
      <w:r w:rsidR="00794D30" w:rsidRPr="00FD211F">
        <w:rPr>
          <w:sz w:val="36"/>
          <w:szCs w:val="36"/>
          <w:rtl/>
        </w:rPr>
        <w:t>سائر</w:t>
      </w:r>
      <w:r w:rsidR="00E8128F">
        <w:rPr>
          <w:sz w:val="36"/>
          <w:szCs w:val="36"/>
          <w:rtl/>
        </w:rPr>
        <w:t xml:space="preserve"> </w:t>
      </w:r>
      <w:r w:rsidR="00794D30" w:rsidRPr="00FD211F">
        <w:rPr>
          <w:sz w:val="36"/>
          <w:szCs w:val="36"/>
          <w:rtl/>
        </w:rPr>
        <w:t>المشتقات</w:t>
      </w:r>
      <w:r w:rsidR="00E8128F">
        <w:rPr>
          <w:sz w:val="36"/>
          <w:szCs w:val="36"/>
          <w:rtl/>
        </w:rPr>
        <w:t xml:space="preserve"> </w:t>
      </w:r>
      <w:r w:rsidR="00794D30" w:rsidRPr="00FD211F">
        <w:rPr>
          <w:sz w:val="36"/>
          <w:szCs w:val="36"/>
          <w:rtl/>
        </w:rPr>
        <w:t>مثل</w:t>
      </w:r>
      <w:r w:rsidR="00E8128F">
        <w:rPr>
          <w:sz w:val="36"/>
          <w:szCs w:val="36"/>
          <w:rtl/>
        </w:rPr>
        <w:t xml:space="preserve"> </w:t>
      </w:r>
      <w:r w:rsidR="00794D30" w:rsidRPr="00FD211F">
        <w:rPr>
          <w:sz w:val="36"/>
          <w:szCs w:val="36"/>
          <w:rtl/>
        </w:rPr>
        <w:t>"الصياغ</w:t>
      </w:r>
      <w:r w:rsidR="00EC7EDF" w:rsidRPr="00FD211F">
        <w:rPr>
          <w:sz w:val="36"/>
          <w:szCs w:val="36"/>
          <w:rtl/>
        </w:rPr>
        <w:t>ة</w:t>
      </w:r>
      <w:r w:rsidR="00E8128F">
        <w:rPr>
          <w:sz w:val="36"/>
          <w:szCs w:val="36"/>
          <w:rtl/>
        </w:rPr>
        <w:t xml:space="preserve"> </w:t>
      </w:r>
      <w:r w:rsidR="00794D30" w:rsidRPr="00FD211F">
        <w:rPr>
          <w:sz w:val="36"/>
          <w:szCs w:val="36"/>
          <w:rtl/>
        </w:rPr>
        <w:t>"</w:t>
      </w:r>
      <w:r w:rsidR="00E8128F">
        <w:rPr>
          <w:sz w:val="36"/>
          <w:szCs w:val="36"/>
          <w:rtl/>
        </w:rPr>
        <w:t xml:space="preserve"> </w:t>
      </w:r>
      <w:r w:rsidR="00794D30" w:rsidRPr="00FD211F">
        <w:rPr>
          <w:sz w:val="36"/>
          <w:szCs w:val="36"/>
          <w:rtl/>
        </w:rPr>
        <w:t>او</w:t>
      </w:r>
      <w:r w:rsidR="00E8128F">
        <w:rPr>
          <w:sz w:val="36"/>
          <w:szCs w:val="36"/>
          <w:rtl/>
        </w:rPr>
        <w:t xml:space="preserve"> </w:t>
      </w:r>
      <w:r w:rsidR="00794D30" w:rsidRPr="00FD211F">
        <w:rPr>
          <w:sz w:val="36"/>
          <w:szCs w:val="36"/>
          <w:rtl/>
        </w:rPr>
        <w:t>"صاغ"</w:t>
      </w:r>
      <w:r w:rsidR="00E8128F">
        <w:rPr>
          <w:sz w:val="36"/>
          <w:szCs w:val="36"/>
          <w:rtl/>
        </w:rPr>
        <w:t xml:space="preserve"> </w:t>
      </w:r>
      <w:r w:rsidR="00794D30" w:rsidRPr="00FD211F">
        <w:rPr>
          <w:sz w:val="36"/>
          <w:szCs w:val="36"/>
          <w:rtl/>
        </w:rPr>
        <w:t>لاتدل</w:t>
      </w:r>
      <w:r w:rsidR="00E8128F">
        <w:rPr>
          <w:sz w:val="36"/>
          <w:szCs w:val="36"/>
          <w:rtl/>
        </w:rPr>
        <w:t xml:space="preserve"> </w:t>
      </w:r>
      <w:r w:rsidR="00794D30" w:rsidRPr="00FD211F">
        <w:rPr>
          <w:sz w:val="36"/>
          <w:szCs w:val="36"/>
          <w:rtl/>
        </w:rPr>
        <w:t>على</w:t>
      </w:r>
      <w:r w:rsidR="00E8128F">
        <w:rPr>
          <w:sz w:val="36"/>
          <w:szCs w:val="36"/>
          <w:rtl/>
        </w:rPr>
        <w:t xml:space="preserve"> </w:t>
      </w:r>
      <w:r w:rsidR="00794D30" w:rsidRPr="00FD211F">
        <w:rPr>
          <w:sz w:val="36"/>
          <w:szCs w:val="36"/>
          <w:rtl/>
        </w:rPr>
        <w:t>الحرف</w:t>
      </w:r>
      <w:r w:rsidR="00EC7EDF" w:rsidRPr="00FD211F">
        <w:rPr>
          <w:sz w:val="36"/>
          <w:szCs w:val="36"/>
          <w:rtl/>
        </w:rPr>
        <w:t>ة</w:t>
      </w:r>
      <w:r w:rsidR="00A61BAE" w:rsidRPr="00FD211F">
        <w:rPr>
          <w:sz w:val="36"/>
          <w:szCs w:val="36"/>
          <w:rtl/>
        </w:rPr>
        <w:t>.</w:t>
      </w:r>
    </w:p>
    <w:p w14:paraId="66E8E83A" w14:textId="77777777" w:rsidR="00794D30" w:rsidRPr="00FD211F" w:rsidRDefault="00794D30" w:rsidP="009C58C8">
      <w:pPr>
        <w:ind w:left="0" w:firstLine="227"/>
        <w:jc w:val="both"/>
        <w:rPr>
          <w:sz w:val="36"/>
          <w:szCs w:val="36"/>
          <w:rtl/>
        </w:rPr>
      </w:pPr>
      <w:r w:rsidRPr="00FD211F">
        <w:rPr>
          <w:sz w:val="36"/>
          <w:szCs w:val="36"/>
          <w:rtl/>
        </w:rPr>
        <w:t>2</w:t>
      </w:r>
      <w:r w:rsidR="002A634C" w:rsidRPr="00FD211F">
        <w:rPr>
          <w:sz w:val="36"/>
          <w:szCs w:val="36"/>
          <w:rtl/>
        </w:rPr>
        <w:t>-</w:t>
      </w:r>
      <w:r w:rsidR="00E8128F">
        <w:rPr>
          <w:sz w:val="36"/>
          <w:szCs w:val="36"/>
          <w:rtl/>
        </w:rPr>
        <w:t xml:space="preserve"> </w:t>
      </w:r>
      <w:r w:rsidR="002A634C" w:rsidRPr="00FD211F">
        <w:rPr>
          <w:sz w:val="36"/>
          <w:szCs w:val="36"/>
          <w:rtl/>
        </w:rPr>
        <w:t>ان</w:t>
      </w:r>
      <w:r w:rsidR="00E8128F">
        <w:rPr>
          <w:sz w:val="36"/>
          <w:szCs w:val="36"/>
          <w:rtl/>
        </w:rPr>
        <w:t xml:space="preserve"> </w:t>
      </w:r>
      <w:r w:rsidR="002A634C" w:rsidRPr="00FD211F">
        <w:rPr>
          <w:sz w:val="36"/>
          <w:szCs w:val="36"/>
          <w:rtl/>
        </w:rPr>
        <w:t>تدل</w:t>
      </w:r>
      <w:r w:rsidR="00E8128F">
        <w:rPr>
          <w:sz w:val="36"/>
          <w:szCs w:val="36"/>
          <w:rtl/>
        </w:rPr>
        <w:t xml:space="preserve"> </w:t>
      </w:r>
      <w:r w:rsidR="002A634C"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w:t>
      </w:r>
      <w:r w:rsidR="002A634C" w:rsidRPr="00FD211F">
        <w:rPr>
          <w:sz w:val="36"/>
          <w:szCs w:val="36"/>
          <w:rtl/>
        </w:rPr>
        <w:t>صائغ</w:t>
      </w:r>
      <w:r w:rsidR="00E8128F">
        <w:rPr>
          <w:sz w:val="36"/>
          <w:szCs w:val="36"/>
          <w:rtl/>
        </w:rPr>
        <w:t xml:space="preserve"> </w:t>
      </w:r>
      <w:r w:rsidR="002A634C" w:rsidRPr="00FD211F">
        <w:rPr>
          <w:sz w:val="36"/>
          <w:szCs w:val="36"/>
          <w:rtl/>
        </w:rPr>
        <w:t>على</w:t>
      </w:r>
      <w:r w:rsidR="00E8128F">
        <w:rPr>
          <w:sz w:val="36"/>
          <w:szCs w:val="36"/>
          <w:rtl/>
        </w:rPr>
        <w:t xml:space="preserve"> </w:t>
      </w:r>
      <w:r w:rsidR="002A634C" w:rsidRPr="00FD211F">
        <w:rPr>
          <w:sz w:val="36"/>
          <w:szCs w:val="36"/>
          <w:rtl/>
        </w:rPr>
        <w:t>التلبس</w:t>
      </w:r>
      <w:r w:rsidR="00E8128F">
        <w:rPr>
          <w:sz w:val="36"/>
          <w:szCs w:val="36"/>
          <w:rtl/>
        </w:rPr>
        <w:t xml:space="preserve"> </w:t>
      </w:r>
      <w:r w:rsidRPr="00FD211F">
        <w:rPr>
          <w:sz w:val="36"/>
          <w:szCs w:val="36"/>
          <w:rtl/>
        </w:rPr>
        <w:t>الاحترافي</w:t>
      </w:r>
      <w:r w:rsidR="00E8128F">
        <w:rPr>
          <w:sz w:val="36"/>
          <w:szCs w:val="36"/>
          <w:rtl/>
        </w:rPr>
        <w:t xml:space="preserve"> </w:t>
      </w:r>
      <w:r w:rsidRPr="00FD211F">
        <w:rPr>
          <w:sz w:val="36"/>
          <w:szCs w:val="36"/>
          <w:rtl/>
        </w:rPr>
        <w:t>والشأني</w:t>
      </w:r>
      <w:r w:rsidR="00603323" w:rsidRPr="00FD211F">
        <w:rPr>
          <w:sz w:val="36"/>
          <w:szCs w:val="36"/>
          <w:rtl/>
        </w:rPr>
        <w:t>،</w:t>
      </w:r>
      <w:r w:rsidR="00E8128F">
        <w:rPr>
          <w:sz w:val="36"/>
          <w:szCs w:val="36"/>
          <w:rtl/>
        </w:rPr>
        <w:t xml:space="preserve"> </w:t>
      </w:r>
      <w:r w:rsidR="002A634C" w:rsidRPr="00FD211F">
        <w:rPr>
          <w:sz w:val="36"/>
          <w:szCs w:val="36"/>
          <w:rtl/>
        </w:rPr>
        <w:t>وفيه</w:t>
      </w:r>
      <w:r w:rsidR="00E8128F">
        <w:rPr>
          <w:sz w:val="36"/>
          <w:szCs w:val="36"/>
          <w:rtl/>
        </w:rPr>
        <w:t xml:space="preserve"> </w:t>
      </w:r>
      <w:r w:rsidR="002A634C" w:rsidRPr="00FD211F">
        <w:rPr>
          <w:sz w:val="36"/>
          <w:szCs w:val="36"/>
          <w:rtl/>
        </w:rPr>
        <w:t>ان</w:t>
      </w:r>
      <w:r w:rsidR="00E8128F">
        <w:rPr>
          <w:sz w:val="36"/>
          <w:szCs w:val="36"/>
          <w:rtl/>
        </w:rPr>
        <w:t xml:space="preserve"> </w:t>
      </w:r>
      <w:r w:rsidR="002A634C" w:rsidRPr="00FD211F">
        <w:rPr>
          <w:sz w:val="36"/>
          <w:szCs w:val="36"/>
          <w:rtl/>
        </w:rPr>
        <w:t>هيئ</w:t>
      </w:r>
      <w:r w:rsidR="00EC7EDF" w:rsidRPr="00FD211F">
        <w:rPr>
          <w:sz w:val="36"/>
          <w:szCs w:val="36"/>
          <w:rtl/>
        </w:rPr>
        <w:t>ة</w:t>
      </w:r>
      <w:r w:rsidR="00E8128F">
        <w:rPr>
          <w:sz w:val="36"/>
          <w:szCs w:val="36"/>
          <w:rtl/>
        </w:rPr>
        <w:t xml:space="preserve"> </w:t>
      </w:r>
      <w:r w:rsidR="002A634C" w:rsidRPr="00FD211F">
        <w:rPr>
          <w:sz w:val="36"/>
          <w:szCs w:val="36"/>
          <w:rtl/>
        </w:rPr>
        <w:t>فاعل</w:t>
      </w:r>
      <w:r w:rsidR="00E8128F">
        <w:rPr>
          <w:sz w:val="36"/>
          <w:szCs w:val="36"/>
          <w:rtl/>
        </w:rPr>
        <w:t xml:space="preserve"> </w:t>
      </w:r>
      <w:r w:rsidR="002A634C" w:rsidRPr="00FD211F">
        <w:rPr>
          <w:sz w:val="36"/>
          <w:szCs w:val="36"/>
          <w:rtl/>
        </w:rPr>
        <w:t>موضوع</w:t>
      </w:r>
      <w:r w:rsidR="00EC7EDF" w:rsidRPr="00FD211F">
        <w:rPr>
          <w:sz w:val="36"/>
          <w:szCs w:val="36"/>
          <w:rtl/>
        </w:rPr>
        <w:t>ة</w:t>
      </w:r>
      <w:r w:rsidR="00E8128F">
        <w:rPr>
          <w:sz w:val="36"/>
          <w:szCs w:val="36"/>
          <w:rtl/>
        </w:rPr>
        <w:t xml:space="preserve"> </w:t>
      </w:r>
      <w:r w:rsidR="002A634C" w:rsidRPr="00FD211F">
        <w:rPr>
          <w:sz w:val="36"/>
          <w:szCs w:val="36"/>
          <w:rtl/>
        </w:rPr>
        <w:t>بالوضع</w:t>
      </w:r>
      <w:r w:rsidR="00E8128F">
        <w:rPr>
          <w:sz w:val="36"/>
          <w:szCs w:val="36"/>
          <w:rtl/>
        </w:rPr>
        <w:t xml:space="preserve"> </w:t>
      </w:r>
      <w:r w:rsidR="002A634C" w:rsidRPr="00FD211F">
        <w:rPr>
          <w:sz w:val="36"/>
          <w:szCs w:val="36"/>
          <w:rtl/>
        </w:rPr>
        <w:t>النوعي</w:t>
      </w:r>
      <w:r w:rsidR="00E8128F">
        <w:rPr>
          <w:sz w:val="36"/>
          <w:szCs w:val="36"/>
          <w:rtl/>
        </w:rPr>
        <w:t xml:space="preserve"> </w:t>
      </w:r>
      <w:r w:rsidR="002A634C" w:rsidRPr="00FD211F">
        <w:rPr>
          <w:sz w:val="36"/>
          <w:szCs w:val="36"/>
          <w:rtl/>
        </w:rPr>
        <w:t>على</w:t>
      </w:r>
      <w:r w:rsidR="00E8128F">
        <w:rPr>
          <w:sz w:val="36"/>
          <w:szCs w:val="36"/>
          <w:rtl/>
        </w:rPr>
        <w:t xml:space="preserve"> </w:t>
      </w:r>
      <w:r w:rsidR="002A634C" w:rsidRPr="00FD211F">
        <w:rPr>
          <w:sz w:val="36"/>
          <w:szCs w:val="36"/>
          <w:rtl/>
        </w:rPr>
        <w:t>معناها</w:t>
      </w:r>
      <w:r w:rsidR="00E8128F">
        <w:rPr>
          <w:sz w:val="36"/>
          <w:szCs w:val="36"/>
          <w:rtl/>
        </w:rPr>
        <w:t xml:space="preserve"> </w:t>
      </w:r>
      <w:r w:rsidR="002A634C" w:rsidRPr="00FD211F">
        <w:rPr>
          <w:sz w:val="36"/>
          <w:szCs w:val="36"/>
          <w:rtl/>
        </w:rPr>
        <w:t>والمفروض</w:t>
      </w:r>
      <w:r w:rsidR="00E8128F">
        <w:rPr>
          <w:sz w:val="36"/>
          <w:szCs w:val="36"/>
          <w:rtl/>
        </w:rPr>
        <w:t xml:space="preserve"> </w:t>
      </w:r>
      <w:r w:rsidR="002A634C" w:rsidRPr="00FD211F">
        <w:rPr>
          <w:sz w:val="36"/>
          <w:szCs w:val="36"/>
          <w:rtl/>
        </w:rPr>
        <w:t>ان</w:t>
      </w:r>
      <w:r w:rsidR="00E8128F">
        <w:rPr>
          <w:sz w:val="36"/>
          <w:szCs w:val="36"/>
          <w:rtl/>
        </w:rPr>
        <w:t xml:space="preserve"> </w:t>
      </w:r>
      <w:r w:rsidR="002A634C" w:rsidRPr="00FD211F">
        <w:rPr>
          <w:sz w:val="36"/>
          <w:szCs w:val="36"/>
          <w:rtl/>
        </w:rPr>
        <w:t>قائم</w:t>
      </w:r>
      <w:r w:rsidR="00E8128F">
        <w:rPr>
          <w:sz w:val="36"/>
          <w:szCs w:val="36"/>
          <w:rtl/>
        </w:rPr>
        <w:t xml:space="preserve"> </w:t>
      </w:r>
      <w:r w:rsidR="002A634C" w:rsidRPr="00FD211F">
        <w:rPr>
          <w:sz w:val="36"/>
          <w:szCs w:val="36"/>
          <w:rtl/>
        </w:rPr>
        <w:t>وقاعد</w:t>
      </w:r>
      <w:r w:rsidR="00E8128F">
        <w:rPr>
          <w:sz w:val="36"/>
          <w:szCs w:val="36"/>
          <w:rtl/>
        </w:rPr>
        <w:t xml:space="preserve"> </w:t>
      </w:r>
      <w:r w:rsidR="002A634C" w:rsidRPr="00FD211F">
        <w:rPr>
          <w:sz w:val="36"/>
          <w:szCs w:val="36"/>
          <w:rtl/>
        </w:rPr>
        <w:t>ونحوهما</w:t>
      </w:r>
      <w:r w:rsidR="00E8128F">
        <w:rPr>
          <w:sz w:val="36"/>
          <w:szCs w:val="36"/>
          <w:rtl/>
        </w:rPr>
        <w:t xml:space="preserve"> </w:t>
      </w:r>
      <w:r w:rsidR="002A634C" w:rsidRPr="00FD211F">
        <w:rPr>
          <w:sz w:val="36"/>
          <w:szCs w:val="36"/>
          <w:rtl/>
        </w:rPr>
        <w:t>لاتدل</w:t>
      </w:r>
      <w:r w:rsidR="00E8128F">
        <w:rPr>
          <w:sz w:val="36"/>
          <w:szCs w:val="36"/>
          <w:rtl/>
        </w:rPr>
        <w:t xml:space="preserve"> </w:t>
      </w:r>
      <w:r w:rsidR="002A634C" w:rsidRPr="00FD211F">
        <w:rPr>
          <w:sz w:val="36"/>
          <w:szCs w:val="36"/>
          <w:rtl/>
        </w:rPr>
        <w:t>على</w:t>
      </w:r>
      <w:r w:rsidR="00E8128F">
        <w:rPr>
          <w:sz w:val="36"/>
          <w:szCs w:val="36"/>
          <w:rtl/>
        </w:rPr>
        <w:t xml:space="preserve"> </w:t>
      </w:r>
      <w:r w:rsidR="002A634C" w:rsidRPr="00FD211F">
        <w:rPr>
          <w:sz w:val="36"/>
          <w:szCs w:val="36"/>
          <w:rtl/>
        </w:rPr>
        <w:t>هذه</w:t>
      </w:r>
      <w:r w:rsidR="00E8128F">
        <w:rPr>
          <w:sz w:val="36"/>
          <w:szCs w:val="36"/>
          <w:rtl/>
        </w:rPr>
        <w:t xml:space="preserve"> </w:t>
      </w:r>
      <w:r w:rsidR="002A634C" w:rsidRPr="00FD211F">
        <w:rPr>
          <w:sz w:val="36"/>
          <w:szCs w:val="36"/>
          <w:rtl/>
        </w:rPr>
        <w:t>النسب</w:t>
      </w:r>
      <w:r w:rsidR="00EC7EDF" w:rsidRPr="00FD211F">
        <w:rPr>
          <w:sz w:val="36"/>
          <w:szCs w:val="36"/>
          <w:rtl/>
        </w:rPr>
        <w:t>ة</w:t>
      </w:r>
      <w:r w:rsidR="00A61BAE" w:rsidRPr="00FD211F">
        <w:rPr>
          <w:sz w:val="36"/>
          <w:szCs w:val="36"/>
          <w:rtl/>
        </w:rPr>
        <w:t>.</w:t>
      </w:r>
    </w:p>
    <w:p w14:paraId="1021ED4A" w14:textId="77777777" w:rsidR="00794D30" w:rsidRPr="00FD211F" w:rsidRDefault="002A634C" w:rsidP="009C58C8">
      <w:pPr>
        <w:ind w:left="0" w:firstLine="227"/>
        <w:jc w:val="both"/>
        <w:rPr>
          <w:sz w:val="36"/>
          <w:szCs w:val="36"/>
          <w:rtl/>
        </w:rPr>
      </w:pPr>
      <w:r w:rsidRPr="00FD211F">
        <w:rPr>
          <w:sz w:val="36"/>
          <w:szCs w:val="36"/>
          <w:rtl/>
        </w:rPr>
        <w:t>3-</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يتصرف</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الجمل</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قولنا</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صائغ</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لأجل</w:t>
      </w:r>
      <w:r w:rsidR="00E8128F">
        <w:rPr>
          <w:sz w:val="36"/>
          <w:szCs w:val="36"/>
          <w:rtl/>
        </w:rPr>
        <w:t xml:space="preserve"> </w:t>
      </w:r>
      <w:r w:rsidRPr="00FD211F">
        <w:rPr>
          <w:sz w:val="36"/>
          <w:szCs w:val="36"/>
          <w:rtl/>
        </w:rPr>
        <w:t>معهودي</w:t>
      </w:r>
      <w:r w:rsidR="00EC7EDF" w:rsidRPr="00FD211F">
        <w:rPr>
          <w:sz w:val="36"/>
          <w:szCs w:val="36"/>
          <w:rtl/>
        </w:rPr>
        <w:t>ة</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الصياغ</w:t>
      </w:r>
      <w:r w:rsidR="00EC7EDF" w:rsidRPr="00FD211F">
        <w:rPr>
          <w:sz w:val="36"/>
          <w:szCs w:val="36"/>
          <w:rtl/>
        </w:rPr>
        <w:t>ة</w:t>
      </w:r>
      <w:r w:rsidR="00E8128F">
        <w:rPr>
          <w:sz w:val="36"/>
          <w:szCs w:val="36"/>
          <w:rtl/>
        </w:rPr>
        <w:t xml:space="preserve"> </w:t>
      </w:r>
      <w:r w:rsidRPr="00FD211F">
        <w:rPr>
          <w:sz w:val="36"/>
          <w:szCs w:val="36"/>
          <w:rtl/>
        </w:rPr>
        <w:t>حرف</w:t>
      </w:r>
      <w:r w:rsidR="00EC7EDF" w:rsidRPr="00FD211F">
        <w:rPr>
          <w:sz w:val="36"/>
          <w:szCs w:val="36"/>
          <w:rtl/>
        </w:rPr>
        <w:t>ة</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قرين</w:t>
      </w:r>
      <w:r w:rsidR="00EC7EDF" w:rsidRPr="00FD211F">
        <w:rPr>
          <w:sz w:val="36"/>
          <w:szCs w:val="36"/>
          <w:rtl/>
        </w:rPr>
        <w:t>ة</w:t>
      </w:r>
      <w:r w:rsidR="00E8128F">
        <w:rPr>
          <w:sz w:val="36"/>
          <w:szCs w:val="36"/>
          <w:rtl/>
        </w:rPr>
        <w:t xml:space="preserve"> </w:t>
      </w:r>
      <w:r w:rsidRPr="00FD211F">
        <w:rPr>
          <w:sz w:val="36"/>
          <w:szCs w:val="36"/>
          <w:rtl/>
        </w:rPr>
        <w:t>عرفا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استفاد</w:t>
      </w:r>
      <w:r w:rsidR="00EC7EDF" w:rsidRPr="00FD211F">
        <w:rPr>
          <w:sz w:val="36"/>
          <w:szCs w:val="36"/>
          <w:rtl/>
        </w:rPr>
        <w:t>ة</w:t>
      </w:r>
      <w:r w:rsidR="00E8128F">
        <w:rPr>
          <w:sz w:val="36"/>
          <w:szCs w:val="36"/>
          <w:rtl/>
        </w:rPr>
        <w:t xml:space="preserve"> </w:t>
      </w:r>
      <w:r w:rsidRPr="00FD211F">
        <w:rPr>
          <w:sz w:val="36"/>
          <w:szCs w:val="36"/>
          <w:rtl/>
        </w:rPr>
        <w:t>شأني</w:t>
      </w:r>
      <w:r w:rsidR="00EC7EDF" w:rsidRPr="00FD211F">
        <w:rPr>
          <w:sz w:val="36"/>
          <w:szCs w:val="36"/>
          <w:rtl/>
        </w:rPr>
        <w:t>ة</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بالصياغ</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وفيه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مفاد</w:t>
      </w:r>
      <w:r w:rsidR="00E8128F">
        <w:rPr>
          <w:sz w:val="36"/>
          <w:szCs w:val="36"/>
          <w:rtl/>
        </w:rPr>
        <w:t xml:space="preserve"> </w:t>
      </w:r>
      <w:r w:rsidR="00794D30" w:rsidRPr="00FD211F">
        <w:rPr>
          <w:sz w:val="36"/>
          <w:szCs w:val="36"/>
          <w:rtl/>
        </w:rPr>
        <w:t>"</w:t>
      </w:r>
      <w:r w:rsidRPr="00FD211F">
        <w:rPr>
          <w:sz w:val="36"/>
          <w:szCs w:val="36"/>
          <w:rtl/>
        </w:rPr>
        <w:t>صائغ</w:t>
      </w:r>
      <w:r w:rsidR="00794D30" w:rsidRPr="00FD211F">
        <w:rPr>
          <w:sz w:val="36"/>
          <w:szCs w:val="36"/>
          <w:rtl/>
        </w:rPr>
        <w:t>"</w:t>
      </w:r>
      <w:r w:rsidR="00E8128F">
        <w:rPr>
          <w:sz w:val="36"/>
          <w:szCs w:val="36"/>
          <w:rtl/>
        </w:rPr>
        <w:t xml:space="preserve"> </w:t>
      </w:r>
      <w:r w:rsidRPr="00FD211F">
        <w:rPr>
          <w:sz w:val="36"/>
          <w:szCs w:val="36"/>
          <w:rtl/>
        </w:rPr>
        <w:t>بنفسه</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ذلك</w:t>
      </w:r>
      <w:r w:rsidR="00E8128F">
        <w:rPr>
          <w:sz w:val="36"/>
          <w:szCs w:val="36"/>
          <w:rtl/>
        </w:rPr>
        <w:t xml:space="preserve"> </w:t>
      </w:r>
      <w:r w:rsidR="00794D30" w:rsidRPr="00FD211F">
        <w:rPr>
          <w:sz w:val="36"/>
          <w:szCs w:val="36"/>
          <w:rtl/>
        </w:rPr>
        <w:t>ولو</w:t>
      </w:r>
      <w:r w:rsidR="00E8128F">
        <w:rPr>
          <w:sz w:val="36"/>
          <w:szCs w:val="36"/>
          <w:rtl/>
        </w:rPr>
        <w:t xml:space="preserve"> </w:t>
      </w:r>
      <w:r w:rsidR="00794D30" w:rsidRPr="00FD211F">
        <w:rPr>
          <w:sz w:val="36"/>
          <w:szCs w:val="36"/>
          <w:rtl/>
        </w:rPr>
        <w:t>فرض</w:t>
      </w:r>
      <w:r w:rsidR="00E8128F">
        <w:rPr>
          <w:sz w:val="36"/>
          <w:szCs w:val="36"/>
          <w:rtl/>
        </w:rPr>
        <w:t xml:space="preserve"> </w:t>
      </w:r>
      <w:r w:rsidR="00794D30" w:rsidRPr="00FD211F">
        <w:rPr>
          <w:sz w:val="36"/>
          <w:szCs w:val="36"/>
          <w:rtl/>
        </w:rPr>
        <w:t>عدم</w:t>
      </w:r>
      <w:r w:rsidR="00E8128F">
        <w:rPr>
          <w:sz w:val="36"/>
          <w:szCs w:val="36"/>
          <w:rtl/>
        </w:rPr>
        <w:t xml:space="preserve"> </w:t>
      </w:r>
      <w:r w:rsidR="00794D30" w:rsidRPr="00FD211F">
        <w:rPr>
          <w:sz w:val="36"/>
          <w:szCs w:val="36"/>
          <w:rtl/>
        </w:rPr>
        <w:t>كونه</w:t>
      </w:r>
      <w:r w:rsidR="00E8128F">
        <w:rPr>
          <w:sz w:val="36"/>
          <w:szCs w:val="36"/>
          <w:rtl/>
        </w:rPr>
        <w:t xml:space="preserve"> </w:t>
      </w:r>
      <w:r w:rsidR="00794D30" w:rsidRPr="00FD211F">
        <w:rPr>
          <w:sz w:val="36"/>
          <w:szCs w:val="36"/>
          <w:rtl/>
        </w:rPr>
        <w:t>في</w:t>
      </w:r>
      <w:r w:rsidR="00E8128F">
        <w:rPr>
          <w:sz w:val="36"/>
          <w:szCs w:val="36"/>
          <w:rtl/>
        </w:rPr>
        <w:t xml:space="preserve"> </w:t>
      </w:r>
      <w:r w:rsidR="00794D30" w:rsidRPr="00FD211F">
        <w:rPr>
          <w:sz w:val="36"/>
          <w:szCs w:val="36"/>
          <w:rtl/>
        </w:rPr>
        <w:t>ضمن</w:t>
      </w:r>
      <w:r w:rsidR="00E8128F">
        <w:rPr>
          <w:sz w:val="36"/>
          <w:szCs w:val="36"/>
          <w:rtl/>
        </w:rPr>
        <w:t xml:space="preserve"> </w:t>
      </w:r>
      <w:r w:rsidR="00794D30" w:rsidRPr="00FD211F">
        <w:rPr>
          <w:sz w:val="36"/>
          <w:szCs w:val="36"/>
          <w:rtl/>
        </w:rPr>
        <w:t>الجمل</w:t>
      </w:r>
      <w:r w:rsidR="00EC7EDF" w:rsidRPr="00FD211F">
        <w:rPr>
          <w:sz w:val="36"/>
          <w:szCs w:val="36"/>
          <w:rtl/>
        </w:rPr>
        <w:t>ة</w:t>
      </w:r>
      <w:r w:rsidR="00A61BAE" w:rsidRPr="00FD211F">
        <w:rPr>
          <w:sz w:val="36"/>
          <w:szCs w:val="36"/>
          <w:rtl/>
        </w:rPr>
        <w:t>.</w:t>
      </w:r>
    </w:p>
    <w:p w14:paraId="0098D8CC" w14:textId="77777777" w:rsidR="00781DEB" w:rsidRPr="00FD211F" w:rsidRDefault="002A634C" w:rsidP="009C58C8">
      <w:pPr>
        <w:ind w:left="0" w:firstLine="227"/>
        <w:jc w:val="both"/>
        <w:rPr>
          <w:sz w:val="36"/>
          <w:szCs w:val="36"/>
          <w:rtl/>
        </w:rPr>
      </w:pPr>
      <w:r w:rsidRPr="00FD211F">
        <w:rPr>
          <w:sz w:val="36"/>
          <w:szCs w:val="36"/>
          <w:rtl/>
        </w:rPr>
        <w:t>4-</w:t>
      </w:r>
      <w:r w:rsidR="00E8128F">
        <w:rPr>
          <w:sz w:val="36"/>
          <w:szCs w:val="36"/>
          <w:rtl/>
        </w:rPr>
        <w:t xml:space="preserve"> </w:t>
      </w:r>
      <w:r w:rsidRPr="00FD211F">
        <w:rPr>
          <w:sz w:val="36"/>
          <w:szCs w:val="36"/>
          <w:rtl/>
        </w:rPr>
        <w:t>دعوى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تكرر</w:t>
      </w:r>
      <w:r w:rsidR="00E8128F">
        <w:rPr>
          <w:sz w:val="36"/>
          <w:szCs w:val="36"/>
          <w:rtl/>
        </w:rPr>
        <w:t xml:space="preserve"> </w:t>
      </w:r>
      <w:r w:rsidR="00794D30" w:rsidRPr="00FD211F">
        <w:rPr>
          <w:sz w:val="36"/>
          <w:szCs w:val="36"/>
          <w:rtl/>
        </w:rPr>
        <w:t>عمل</w:t>
      </w:r>
      <w:r w:rsidR="00E8128F">
        <w:rPr>
          <w:sz w:val="36"/>
          <w:szCs w:val="36"/>
          <w:rtl/>
        </w:rPr>
        <w:t xml:space="preserve"> </w:t>
      </w:r>
      <w:r w:rsidRPr="00FD211F">
        <w:rPr>
          <w:sz w:val="36"/>
          <w:szCs w:val="36"/>
          <w:rtl/>
        </w:rPr>
        <w:t>الص</w:t>
      </w:r>
      <w:r w:rsidR="00794D30" w:rsidRPr="00FD211F">
        <w:rPr>
          <w:sz w:val="36"/>
          <w:szCs w:val="36"/>
          <w:rtl/>
        </w:rPr>
        <w:t>ي</w:t>
      </w:r>
      <w:r w:rsidRPr="00FD211F">
        <w:rPr>
          <w:sz w:val="36"/>
          <w:szCs w:val="36"/>
          <w:rtl/>
        </w:rPr>
        <w:t>اغ</w:t>
      </w:r>
      <w:r w:rsidR="00EC7EDF" w:rsidRPr="00FD211F">
        <w:rPr>
          <w:sz w:val="36"/>
          <w:szCs w:val="36"/>
          <w:rtl/>
        </w:rPr>
        <w:t>ة</w:t>
      </w:r>
      <w:r w:rsidR="00E8128F">
        <w:rPr>
          <w:sz w:val="36"/>
          <w:szCs w:val="36"/>
          <w:rtl/>
        </w:rPr>
        <w:t xml:space="preserve"> </w:t>
      </w:r>
      <w:r w:rsidRPr="00FD211F">
        <w:rPr>
          <w:sz w:val="36"/>
          <w:szCs w:val="36"/>
          <w:rtl/>
        </w:rPr>
        <w:t>يوجب</w:t>
      </w:r>
      <w:r w:rsidR="00E8128F">
        <w:rPr>
          <w:sz w:val="36"/>
          <w:szCs w:val="36"/>
          <w:rtl/>
        </w:rPr>
        <w:t xml:space="preserve"> </w:t>
      </w:r>
      <w:r w:rsidRPr="00FD211F">
        <w:rPr>
          <w:sz w:val="36"/>
          <w:szCs w:val="36"/>
          <w:rtl/>
        </w:rPr>
        <w:t>الغاء</w:t>
      </w:r>
      <w:r w:rsidR="00E8128F">
        <w:rPr>
          <w:sz w:val="36"/>
          <w:szCs w:val="36"/>
          <w:rtl/>
        </w:rPr>
        <w:t xml:space="preserve"> </w:t>
      </w:r>
      <w:r w:rsidRPr="00FD211F">
        <w:rPr>
          <w:sz w:val="36"/>
          <w:szCs w:val="36"/>
          <w:rtl/>
        </w:rPr>
        <w:t>الفواصل</w:t>
      </w:r>
      <w:r w:rsidR="00E8128F">
        <w:rPr>
          <w:sz w:val="36"/>
          <w:szCs w:val="36"/>
          <w:rtl/>
        </w:rPr>
        <w:t xml:space="preserve"> </w:t>
      </w:r>
      <w:r w:rsidRPr="00FD211F">
        <w:rPr>
          <w:sz w:val="36"/>
          <w:szCs w:val="36"/>
          <w:rtl/>
        </w:rPr>
        <w:t>الزمني</w:t>
      </w:r>
      <w:r w:rsidR="00EC7EDF" w:rsidRPr="00FD211F">
        <w:rPr>
          <w:sz w:val="36"/>
          <w:szCs w:val="36"/>
          <w:rtl/>
        </w:rPr>
        <w:t>ة</w:t>
      </w:r>
      <w:r w:rsidR="00E8128F">
        <w:rPr>
          <w:sz w:val="36"/>
          <w:szCs w:val="36"/>
          <w:rtl/>
        </w:rPr>
        <w:t xml:space="preserve"> </w:t>
      </w:r>
      <w:r w:rsidRPr="00FD211F">
        <w:rPr>
          <w:sz w:val="36"/>
          <w:szCs w:val="36"/>
          <w:rtl/>
        </w:rPr>
        <w:t>عرفا</w:t>
      </w:r>
      <w:r w:rsidR="00E8128F">
        <w:rPr>
          <w:sz w:val="36"/>
          <w:szCs w:val="36"/>
          <w:rtl/>
        </w:rPr>
        <w:t xml:space="preserve"> </w:t>
      </w:r>
      <w:r w:rsidRPr="00FD211F">
        <w:rPr>
          <w:sz w:val="36"/>
          <w:szCs w:val="36"/>
          <w:rtl/>
        </w:rPr>
        <w:t>ادعاء</w:t>
      </w:r>
      <w:r w:rsidR="00E8128F">
        <w:rPr>
          <w:sz w:val="36"/>
          <w:szCs w:val="36"/>
          <w:rtl/>
        </w:rPr>
        <w:t xml:space="preserve"> </w:t>
      </w:r>
      <w:r w:rsidRPr="00FD211F">
        <w:rPr>
          <w:sz w:val="36"/>
          <w:szCs w:val="36"/>
          <w:rtl/>
        </w:rPr>
        <w:t>فكأن</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متلبس</w:t>
      </w:r>
      <w:r w:rsidR="00EC7EDF" w:rsidRPr="00FD211F">
        <w:rPr>
          <w:sz w:val="36"/>
          <w:szCs w:val="36"/>
          <w:rtl/>
        </w:rPr>
        <w:t>ة</w:t>
      </w:r>
      <w:r w:rsidR="00E8128F">
        <w:rPr>
          <w:sz w:val="36"/>
          <w:szCs w:val="36"/>
          <w:rtl/>
        </w:rPr>
        <w:t xml:space="preserve"> </w:t>
      </w:r>
      <w:r w:rsidRPr="00FD211F">
        <w:rPr>
          <w:sz w:val="36"/>
          <w:szCs w:val="36"/>
          <w:rtl/>
        </w:rPr>
        <w:t>بها</w:t>
      </w:r>
      <w:r w:rsidR="00E8128F">
        <w:rPr>
          <w:sz w:val="36"/>
          <w:szCs w:val="36"/>
          <w:rtl/>
        </w:rPr>
        <w:t xml:space="preserve"> </w:t>
      </w:r>
      <w:r w:rsidRPr="00FD211F">
        <w:rPr>
          <w:sz w:val="36"/>
          <w:szCs w:val="36"/>
          <w:rtl/>
        </w:rPr>
        <w:t>دائما</w:t>
      </w:r>
      <w:r w:rsidR="00603323" w:rsidRPr="00FD211F">
        <w:rPr>
          <w:sz w:val="36"/>
          <w:szCs w:val="36"/>
          <w:rtl/>
        </w:rPr>
        <w:t>،</w:t>
      </w:r>
      <w:r w:rsidR="00E8128F">
        <w:rPr>
          <w:sz w:val="36"/>
          <w:szCs w:val="36"/>
          <w:rtl/>
        </w:rPr>
        <w:t xml:space="preserve"> </w:t>
      </w:r>
      <w:r w:rsidR="00794D30" w:rsidRPr="00FD211F">
        <w:rPr>
          <w:sz w:val="36"/>
          <w:szCs w:val="36"/>
          <w:rtl/>
        </w:rPr>
        <w:t>وهذا</w:t>
      </w:r>
      <w:r w:rsidR="00E8128F">
        <w:rPr>
          <w:sz w:val="36"/>
          <w:szCs w:val="36"/>
          <w:rtl/>
        </w:rPr>
        <w:t xml:space="preserve"> </w:t>
      </w:r>
      <w:r w:rsidR="00794D30" w:rsidRPr="00FD211F">
        <w:rPr>
          <w:sz w:val="36"/>
          <w:szCs w:val="36"/>
          <w:rtl/>
        </w:rPr>
        <w:t>ما</w:t>
      </w:r>
      <w:r w:rsidR="00E8128F">
        <w:rPr>
          <w:sz w:val="36"/>
          <w:szCs w:val="36"/>
          <w:rtl/>
        </w:rPr>
        <w:t xml:space="preserve"> </w:t>
      </w:r>
      <w:r w:rsidR="00794D30" w:rsidRPr="00FD211F">
        <w:rPr>
          <w:sz w:val="36"/>
          <w:szCs w:val="36"/>
          <w:rtl/>
        </w:rPr>
        <w:t>ذكره</w:t>
      </w:r>
      <w:r w:rsidR="00E8128F">
        <w:rPr>
          <w:sz w:val="36"/>
          <w:szCs w:val="36"/>
          <w:rtl/>
        </w:rPr>
        <w:t xml:space="preserve"> </w:t>
      </w:r>
      <w:r w:rsidR="00794D30" w:rsidRPr="00FD211F">
        <w:rPr>
          <w:sz w:val="36"/>
          <w:szCs w:val="36"/>
          <w:rtl/>
        </w:rPr>
        <w:t>المحقق</w:t>
      </w:r>
      <w:r w:rsidR="00E8128F">
        <w:rPr>
          <w:sz w:val="36"/>
          <w:szCs w:val="36"/>
          <w:rtl/>
        </w:rPr>
        <w:t xml:space="preserve"> </w:t>
      </w:r>
      <w:r w:rsidR="00794D30" w:rsidRPr="00FD211F">
        <w:rPr>
          <w:sz w:val="36"/>
          <w:szCs w:val="36"/>
          <w:rtl/>
        </w:rPr>
        <w:t>العراقي</w:t>
      </w:r>
      <w:r w:rsidR="00E8128F">
        <w:rPr>
          <w:sz w:val="36"/>
          <w:szCs w:val="36"/>
          <w:rtl/>
        </w:rPr>
        <w:t xml:space="preserve"> </w:t>
      </w:r>
      <w:r w:rsidR="008F14E7" w:rsidRPr="00FD211F">
        <w:rPr>
          <w:sz w:val="36"/>
          <w:szCs w:val="36"/>
          <w:rtl/>
        </w:rPr>
        <w:t>"قده"</w:t>
      </w:r>
      <w:r w:rsidR="00603323" w:rsidRPr="00FD211F">
        <w:rPr>
          <w:sz w:val="36"/>
          <w:szCs w:val="36"/>
          <w:rtl/>
        </w:rPr>
        <w:t>،</w:t>
      </w:r>
      <w:r w:rsidR="00E8128F">
        <w:rPr>
          <w:sz w:val="36"/>
          <w:szCs w:val="36"/>
          <w:rtl/>
        </w:rPr>
        <w:t xml:space="preserve"> </w:t>
      </w:r>
      <w:r w:rsidR="00794D30" w:rsidRPr="00FD211F">
        <w:rPr>
          <w:sz w:val="36"/>
          <w:szCs w:val="36"/>
          <w:rtl/>
        </w:rPr>
        <w:t>وفيه</w:t>
      </w:r>
      <w:r w:rsidR="00E8128F">
        <w:rPr>
          <w:sz w:val="36"/>
          <w:szCs w:val="36"/>
          <w:rtl/>
        </w:rPr>
        <w:t xml:space="preserve"> </w:t>
      </w:r>
      <w:r w:rsidR="00794D30" w:rsidRPr="00FD211F">
        <w:rPr>
          <w:sz w:val="36"/>
          <w:szCs w:val="36"/>
          <w:rtl/>
        </w:rPr>
        <w:t>انه</w:t>
      </w:r>
      <w:r w:rsidR="00E8128F">
        <w:rPr>
          <w:sz w:val="36"/>
          <w:szCs w:val="36"/>
          <w:rtl/>
        </w:rPr>
        <w:t xml:space="preserve"> </w:t>
      </w:r>
      <w:r w:rsidR="00794D30" w:rsidRPr="00FD211F">
        <w:rPr>
          <w:sz w:val="36"/>
          <w:szCs w:val="36"/>
          <w:rtl/>
        </w:rPr>
        <w:t>لو</w:t>
      </w:r>
      <w:r w:rsidR="00E8128F">
        <w:rPr>
          <w:sz w:val="36"/>
          <w:szCs w:val="36"/>
          <w:rtl/>
        </w:rPr>
        <w:t xml:space="preserve"> </w:t>
      </w:r>
      <w:r w:rsidR="00794D30" w:rsidRPr="00FD211F">
        <w:rPr>
          <w:sz w:val="36"/>
          <w:szCs w:val="36"/>
          <w:rtl/>
        </w:rPr>
        <w:t>كان</w:t>
      </w:r>
      <w:r w:rsidR="00E8128F">
        <w:rPr>
          <w:sz w:val="36"/>
          <w:szCs w:val="36"/>
          <w:rtl/>
        </w:rPr>
        <w:t xml:space="preserve"> </w:t>
      </w:r>
      <w:r w:rsidR="00794D30" w:rsidRPr="00FD211F">
        <w:rPr>
          <w:sz w:val="36"/>
          <w:szCs w:val="36"/>
          <w:rtl/>
        </w:rPr>
        <w:t>كذلك</w:t>
      </w:r>
      <w:r w:rsidR="00E8128F">
        <w:rPr>
          <w:sz w:val="36"/>
          <w:szCs w:val="36"/>
          <w:rtl/>
        </w:rPr>
        <w:t xml:space="preserve"> </w:t>
      </w:r>
      <w:r w:rsidR="00794D30" w:rsidRPr="00FD211F">
        <w:rPr>
          <w:sz w:val="36"/>
          <w:szCs w:val="36"/>
          <w:rtl/>
        </w:rPr>
        <w:t>لصح</w:t>
      </w:r>
      <w:r w:rsidR="00E8128F">
        <w:rPr>
          <w:sz w:val="36"/>
          <w:szCs w:val="36"/>
          <w:rtl/>
        </w:rPr>
        <w:t xml:space="preserve"> </w:t>
      </w:r>
      <w:r w:rsidR="00794D30" w:rsidRPr="00FD211F">
        <w:rPr>
          <w:sz w:val="36"/>
          <w:szCs w:val="36"/>
          <w:rtl/>
        </w:rPr>
        <w:t>عرفا</w:t>
      </w:r>
      <w:r w:rsidR="00E8128F">
        <w:rPr>
          <w:sz w:val="36"/>
          <w:szCs w:val="36"/>
          <w:rtl/>
        </w:rPr>
        <w:t xml:space="preserve"> </w:t>
      </w:r>
      <w:r w:rsidR="00794D30" w:rsidRPr="00FD211F">
        <w:rPr>
          <w:sz w:val="36"/>
          <w:szCs w:val="36"/>
          <w:rtl/>
        </w:rPr>
        <w:t>ان</w:t>
      </w:r>
      <w:r w:rsidR="00E8128F">
        <w:rPr>
          <w:sz w:val="36"/>
          <w:szCs w:val="36"/>
          <w:rtl/>
        </w:rPr>
        <w:t xml:space="preserve"> </w:t>
      </w:r>
      <w:r w:rsidR="00794D30" w:rsidRPr="00FD211F">
        <w:rPr>
          <w:sz w:val="36"/>
          <w:szCs w:val="36"/>
          <w:rtl/>
        </w:rPr>
        <w:t>يقال</w:t>
      </w:r>
      <w:r w:rsidR="00E8128F">
        <w:rPr>
          <w:sz w:val="36"/>
          <w:szCs w:val="36"/>
          <w:rtl/>
        </w:rPr>
        <w:t xml:space="preserve"> </w:t>
      </w:r>
      <w:r w:rsidR="00794D30" w:rsidRPr="00FD211F">
        <w:rPr>
          <w:sz w:val="36"/>
          <w:szCs w:val="36"/>
          <w:rtl/>
        </w:rPr>
        <w:t>عن</w:t>
      </w:r>
      <w:r w:rsidR="00E8128F">
        <w:rPr>
          <w:sz w:val="36"/>
          <w:szCs w:val="36"/>
          <w:rtl/>
        </w:rPr>
        <w:t xml:space="preserve"> </w:t>
      </w:r>
      <w:r w:rsidR="00794D30" w:rsidRPr="00FD211F">
        <w:rPr>
          <w:sz w:val="36"/>
          <w:szCs w:val="36"/>
          <w:rtl/>
        </w:rPr>
        <w:t>زيد</w:t>
      </w:r>
      <w:r w:rsidR="00E8128F">
        <w:rPr>
          <w:sz w:val="36"/>
          <w:szCs w:val="36"/>
          <w:rtl/>
        </w:rPr>
        <w:t xml:space="preserve"> </w:t>
      </w:r>
      <w:r w:rsidR="00794D30" w:rsidRPr="00FD211F">
        <w:rPr>
          <w:sz w:val="36"/>
          <w:szCs w:val="36"/>
          <w:rtl/>
        </w:rPr>
        <w:t>في</w:t>
      </w:r>
      <w:r w:rsidR="00E8128F">
        <w:rPr>
          <w:sz w:val="36"/>
          <w:szCs w:val="36"/>
          <w:rtl/>
        </w:rPr>
        <w:t xml:space="preserve"> </w:t>
      </w:r>
      <w:r w:rsidR="00794D30" w:rsidRPr="00FD211F">
        <w:rPr>
          <w:sz w:val="36"/>
          <w:szCs w:val="36"/>
          <w:rtl/>
        </w:rPr>
        <w:t>حال</w:t>
      </w:r>
      <w:r w:rsidR="00E8128F">
        <w:rPr>
          <w:sz w:val="36"/>
          <w:szCs w:val="36"/>
          <w:rtl/>
        </w:rPr>
        <w:t xml:space="preserve"> </w:t>
      </w:r>
      <w:r w:rsidR="00794D30" w:rsidRPr="00FD211F">
        <w:rPr>
          <w:sz w:val="36"/>
          <w:szCs w:val="36"/>
          <w:rtl/>
        </w:rPr>
        <w:t>نومه</w:t>
      </w:r>
      <w:r w:rsidR="00E8128F">
        <w:rPr>
          <w:sz w:val="36"/>
          <w:szCs w:val="36"/>
          <w:rtl/>
        </w:rPr>
        <w:t xml:space="preserve"> </w:t>
      </w:r>
      <w:r w:rsidR="00794D30" w:rsidRPr="00FD211F">
        <w:rPr>
          <w:sz w:val="36"/>
          <w:szCs w:val="36"/>
          <w:rtl/>
        </w:rPr>
        <w:t>انه</w:t>
      </w:r>
      <w:r w:rsidR="00E8128F">
        <w:rPr>
          <w:sz w:val="36"/>
          <w:szCs w:val="36"/>
          <w:rtl/>
        </w:rPr>
        <w:t xml:space="preserve"> </w:t>
      </w:r>
      <w:r w:rsidR="00794D30" w:rsidRPr="00FD211F">
        <w:rPr>
          <w:sz w:val="36"/>
          <w:szCs w:val="36"/>
          <w:rtl/>
        </w:rPr>
        <w:t>متلبس</w:t>
      </w:r>
      <w:r w:rsidR="00E8128F">
        <w:rPr>
          <w:sz w:val="36"/>
          <w:szCs w:val="36"/>
          <w:rtl/>
        </w:rPr>
        <w:t xml:space="preserve"> </w:t>
      </w:r>
      <w:r w:rsidR="00794D30" w:rsidRPr="00FD211F">
        <w:rPr>
          <w:sz w:val="36"/>
          <w:szCs w:val="36"/>
          <w:rtl/>
        </w:rPr>
        <w:t>بعمل</w:t>
      </w:r>
      <w:r w:rsidR="00E8128F">
        <w:rPr>
          <w:sz w:val="36"/>
          <w:szCs w:val="36"/>
          <w:rtl/>
        </w:rPr>
        <w:t xml:space="preserve"> </w:t>
      </w:r>
      <w:r w:rsidR="00794D30" w:rsidRPr="00FD211F">
        <w:rPr>
          <w:sz w:val="36"/>
          <w:szCs w:val="36"/>
          <w:rtl/>
        </w:rPr>
        <w:t>الصياغ</w:t>
      </w:r>
      <w:r w:rsidR="00EC7EDF" w:rsidRPr="00FD211F">
        <w:rPr>
          <w:sz w:val="36"/>
          <w:szCs w:val="36"/>
          <w:rtl/>
        </w:rPr>
        <w:t>ة</w:t>
      </w:r>
      <w:r w:rsidR="00E8128F">
        <w:rPr>
          <w:sz w:val="36"/>
          <w:szCs w:val="36"/>
          <w:rtl/>
        </w:rPr>
        <w:t xml:space="preserve"> </w:t>
      </w:r>
      <w:r w:rsidR="00794D30" w:rsidRPr="00FD211F">
        <w:rPr>
          <w:sz w:val="36"/>
          <w:szCs w:val="36"/>
          <w:rtl/>
        </w:rPr>
        <w:t>مع</w:t>
      </w:r>
      <w:r w:rsidR="00E8128F">
        <w:rPr>
          <w:sz w:val="36"/>
          <w:szCs w:val="36"/>
          <w:rtl/>
        </w:rPr>
        <w:t xml:space="preserve"> </w:t>
      </w:r>
      <w:r w:rsidR="00794D30" w:rsidRPr="00FD211F">
        <w:rPr>
          <w:sz w:val="36"/>
          <w:szCs w:val="36"/>
          <w:rtl/>
        </w:rPr>
        <w:t>انه</w:t>
      </w:r>
      <w:r w:rsidR="00E8128F">
        <w:rPr>
          <w:sz w:val="36"/>
          <w:szCs w:val="36"/>
          <w:rtl/>
        </w:rPr>
        <w:t xml:space="preserve"> </w:t>
      </w:r>
      <w:r w:rsidR="00794D30" w:rsidRPr="00FD211F">
        <w:rPr>
          <w:sz w:val="36"/>
          <w:szCs w:val="36"/>
          <w:rtl/>
        </w:rPr>
        <w:t>خلاف</w:t>
      </w:r>
      <w:r w:rsidR="00E8128F">
        <w:rPr>
          <w:sz w:val="36"/>
          <w:szCs w:val="36"/>
          <w:rtl/>
        </w:rPr>
        <w:t xml:space="preserve"> </w:t>
      </w:r>
      <w:r w:rsidR="00794D30" w:rsidRPr="00FD211F">
        <w:rPr>
          <w:sz w:val="36"/>
          <w:szCs w:val="36"/>
          <w:rtl/>
        </w:rPr>
        <w:t>الوجدان</w:t>
      </w:r>
      <w:r w:rsidR="00781DEB" w:rsidRPr="00FD211F">
        <w:rPr>
          <w:sz w:val="36"/>
          <w:szCs w:val="36"/>
          <w:rtl/>
        </w:rPr>
        <w:t>.</w:t>
      </w:r>
    </w:p>
    <w:p w14:paraId="02C1C455" w14:textId="77777777" w:rsidR="00781DEB" w:rsidRPr="00FD211F" w:rsidRDefault="00781DEB" w:rsidP="009C58C8">
      <w:pPr>
        <w:ind w:left="0" w:firstLine="227"/>
        <w:jc w:val="both"/>
        <w:rPr>
          <w:sz w:val="36"/>
          <w:szCs w:val="36"/>
          <w:rtl/>
        </w:rPr>
      </w:pPr>
      <w:r w:rsidRPr="00FD211F">
        <w:rPr>
          <w:sz w:val="36"/>
          <w:szCs w:val="36"/>
          <w:rtl/>
        </w:rPr>
        <w:t>فاذا</w:t>
      </w:r>
      <w:r w:rsidR="00E8128F">
        <w:rPr>
          <w:sz w:val="36"/>
          <w:szCs w:val="36"/>
          <w:rtl/>
        </w:rPr>
        <w:t xml:space="preserve"> </w:t>
      </w:r>
      <w:r w:rsidRPr="00FD211F">
        <w:rPr>
          <w:sz w:val="36"/>
          <w:szCs w:val="36"/>
          <w:rtl/>
        </w:rPr>
        <w:t>بطل</w:t>
      </w:r>
      <w:r w:rsidR="00113DD4" w:rsidRPr="00FD211F">
        <w:rPr>
          <w:sz w:val="36"/>
          <w:szCs w:val="36"/>
          <w:rtl/>
        </w:rPr>
        <w:t>ت</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الوجوه</w:t>
      </w:r>
      <w:r w:rsidR="00E8128F">
        <w:rPr>
          <w:sz w:val="36"/>
          <w:szCs w:val="36"/>
          <w:rtl/>
        </w:rPr>
        <w:t xml:space="preserve"> </w:t>
      </w:r>
      <w:r w:rsidRPr="00FD211F">
        <w:rPr>
          <w:sz w:val="36"/>
          <w:szCs w:val="36"/>
          <w:rtl/>
        </w:rPr>
        <w:t>تعين</w:t>
      </w:r>
      <w:r w:rsidR="00E8128F">
        <w:rPr>
          <w:sz w:val="36"/>
          <w:szCs w:val="36"/>
          <w:rtl/>
        </w:rPr>
        <w:t xml:space="preserve"> </w:t>
      </w:r>
      <w:r w:rsidRPr="00FD211F">
        <w:rPr>
          <w:sz w:val="36"/>
          <w:szCs w:val="36"/>
          <w:rtl/>
        </w:rPr>
        <w:t>وضعها</w:t>
      </w:r>
      <w:r w:rsidR="00E8128F">
        <w:rPr>
          <w:sz w:val="36"/>
          <w:szCs w:val="36"/>
          <w:rtl/>
        </w:rPr>
        <w:t xml:space="preserve"> </w:t>
      </w:r>
      <w:r w:rsidRPr="00FD211F">
        <w:rPr>
          <w:sz w:val="36"/>
          <w:szCs w:val="36"/>
          <w:rtl/>
        </w:rPr>
        <w:t>للأعم.</w:t>
      </w:r>
    </w:p>
    <w:p w14:paraId="5E95A986" w14:textId="77777777" w:rsidR="004C0C52" w:rsidRPr="00FD211F" w:rsidRDefault="00781DEB" w:rsidP="009C58C8">
      <w:pPr>
        <w:ind w:left="0" w:firstLine="227"/>
        <w:jc w:val="both"/>
        <w:rPr>
          <w:sz w:val="36"/>
          <w:szCs w:val="36"/>
          <w:rtl/>
        </w:rPr>
      </w:pPr>
      <w:r w:rsidRPr="00FD211F">
        <w:rPr>
          <w:sz w:val="36"/>
          <w:szCs w:val="36"/>
          <w:rtl/>
        </w:rPr>
        <w:t>واورد</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تعقل</w:t>
      </w:r>
      <w:r w:rsidR="00E8128F">
        <w:rPr>
          <w:sz w:val="36"/>
          <w:szCs w:val="36"/>
          <w:rtl/>
        </w:rPr>
        <w:t xml:space="preserve"> </w:t>
      </w:r>
      <w:r w:rsidRPr="00FD211F">
        <w:rPr>
          <w:sz w:val="36"/>
          <w:szCs w:val="36"/>
          <w:rtl/>
        </w:rPr>
        <w:t>الجامع</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وبعد</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نرى</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حمل</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المشتقات</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انقضاء</w:t>
      </w:r>
      <w:r w:rsidR="00E8128F">
        <w:rPr>
          <w:sz w:val="36"/>
          <w:szCs w:val="36"/>
          <w:rtl/>
        </w:rPr>
        <w:t xml:space="preserve"> </w:t>
      </w:r>
      <w:r w:rsidRPr="00FD211F">
        <w:rPr>
          <w:sz w:val="36"/>
          <w:szCs w:val="36"/>
          <w:rtl/>
        </w:rPr>
        <w:t>تلبسها</w:t>
      </w:r>
      <w:r w:rsidR="00E8128F">
        <w:rPr>
          <w:sz w:val="36"/>
          <w:szCs w:val="36"/>
          <w:rtl/>
        </w:rPr>
        <w:t xml:space="preserve"> </w:t>
      </w:r>
      <w:r w:rsidRPr="00FD211F">
        <w:rPr>
          <w:sz w:val="36"/>
          <w:szCs w:val="36"/>
          <w:rtl/>
        </w:rPr>
        <w:t>بمبادئها</w:t>
      </w:r>
      <w:r w:rsidR="00E8128F">
        <w:rPr>
          <w:sz w:val="36"/>
          <w:szCs w:val="36"/>
          <w:rtl/>
        </w:rPr>
        <w:t xml:space="preserve"> </w:t>
      </w:r>
      <w:r w:rsidRPr="00FD211F">
        <w:rPr>
          <w:sz w:val="36"/>
          <w:szCs w:val="36"/>
          <w:rtl/>
        </w:rPr>
        <w:t>بالكيفي</w:t>
      </w:r>
      <w:r w:rsidR="00EC7EDF" w:rsidRPr="00FD211F">
        <w:rPr>
          <w:sz w:val="36"/>
          <w:szCs w:val="36"/>
          <w:rtl/>
        </w:rPr>
        <w:t>ة</w:t>
      </w:r>
      <w:r w:rsidR="00E8128F">
        <w:rPr>
          <w:sz w:val="36"/>
          <w:szCs w:val="36"/>
          <w:rtl/>
        </w:rPr>
        <w:t xml:space="preserve"> </w:t>
      </w:r>
      <w:r w:rsidRPr="00FD211F">
        <w:rPr>
          <w:sz w:val="36"/>
          <w:szCs w:val="36"/>
          <w:rtl/>
        </w:rPr>
        <w:t>المعهود</w:t>
      </w:r>
      <w:r w:rsidR="00EC7EDF" w:rsidRPr="00FD211F">
        <w:rPr>
          <w:sz w:val="36"/>
          <w:szCs w:val="36"/>
          <w:rtl/>
        </w:rPr>
        <w:t>ة</w:t>
      </w:r>
      <w:r w:rsidR="00E8128F">
        <w:rPr>
          <w:sz w:val="36"/>
          <w:szCs w:val="36"/>
          <w:rtl/>
        </w:rPr>
        <w:t xml:space="preserve"> </w:t>
      </w:r>
      <w:r w:rsidRPr="00FD211F">
        <w:rPr>
          <w:sz w:val="36"/>
          <w:szCs w:val="36"/>
          <w:rtl/>
        </w:rPr>
        <w:t>فيها</w:t>
      </w:r>
      <w:r w:rsidR="00E8128F">
        <w:rPr>
          <w:sz w:val="36"/>
          <w:szCs w:val="36"/>
          <w:rtl/>
        </w:rPr>
        <w:t xml:space="preserve"> </w:t>
      </w:r>
      <w:r w:rsidRPr="00FD211F">
        <w:rPr>
          <w:sz w:val="36"/>
          <w:szCs w:val="36"/>
          <w:rtl/>
        </w:rPr>
        <w:t>حقيقيا</w:t>
      </w:r>
      <w:r w:rsidR="00603323" w:rsidRPr="00FD211F">
        <w:rPr>
          <w:sz w:val="36"/>
          <w:szCs w:val="36"/>
          <w:rtl/>
        </w:rPr>
        <w:t>،</w:t>
      </w:r>
      <w:r w:rsidR="00E8128F">
        <w:rPr>
          <w:sz w:val="36"/>
          <w:szCs w:val="36"/>
          <w:rtl/>
        </w:rPr>
        <w:t xml:space="preserve"> </w:t>
      </w:r>
      <w:r w:rsidRPr="00FD211F">
        <w:rPr>
          <w:sz w:val="36"/>
          <w:szCs w:val="36"/>
          <w:rtl/>
        </w:rPr>
        <w:t>فلايصدق</w:t>
      </w:r>
      <w:r w:rsidR="00E8128F">
        <w:rPr>
          <w:sz w:val="36"/>
          <w:szCs w:val="36"/>
          <w:rtl/>
        </w:rPr>
        <w:t xml:space="preserve"> </w:t>
      </w:r>
      <w:r w:rsidRPr="00FD211F">
        <w:rPr>
          <w:sz w:val="36"/>
          <w:szCs w:val="36"/>
          <w:rtl/>
        </w:rPr>
        <w:t>الصائغ</w:t>
      </w:r>
      <w:r w:rsidR="00E8128F">
        <w:rPr>
          <w:sz w:val="36"/>
          <w:szCs w:val="36"/>
          <w:rtl/>
        </w:rPr>
        <w:t xml:space="preserve"> </w:t>
      </w:r>
      <w:r w:rsidRPr="00FD211F">
        <w:rPr>
          <w:sz w:val="36"/>
          <w:szCs w:val="36"/>
          <w:rtl/>
        </w:rPr>
        <w:t>حقيق</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كانت</w:t>
      </w:r>
      <w:r w:rsidR="00E8128F">
        <w:rPr>
          <w:sz w:val="36"/>
          <w:szCs w:val="36"/>
          <w:rtl/>
        </w:rPr>
        <w:t xml:space="preserve"> </w:t>
      </w:r>
      <w:r w:rsidRPr="00FD211F">
        <w:rPr>
          <w:sz w:val="36"/>
          <w:szCs w:val="36"/>
          <w:rtl/>
        </w:rPr>
        <w:t>حرفته</w:t>
      </w:r>
      <w:r w:rsidR="00E8128F">
        <w:rPr>
          <w:sz w:val="36"/>
          <w:szCs w:val="36"/>
          <w:rtl/>
        </w:rPr>
        <w:t xml:space="preserve"> </w:t>
      </w:r>
      <w:r w:rsidRPr="00FD211F">
        <w:rPr>
          <w:sz w:val="36"/>
          <w:szCs w:val="36"/>
          <w:rtl/>
        </w:rPr>
        <w:t>الصياغ</w:t>
      </w:r>
      <w:r w:rsidR="00EC7EDF" w:rsidRPr="00FD211F">
        <w:rPr>
          <w:sz w:val="36"/>
          <w:szCs w:val="36"/>
          <w:rtl/>
        </w:rPr>
        <w:t>ة</w:t>
      </w:r>
      <w:r w:rsidR="00E8128F">
        <w:rPr>
          <w:sz w:val="36"/>
          <w:szCs w:val="36"/>
          <w:rtl/>
        </w:rPr>
        <w:t xml:space="preserve"> </w:t>
      </w:r>
      <w:r w:rsidRPr="00FD211F">
        <w:rPr>
          <w:sz w:val="36"/>
          <w:szCs w:val="36"/>
          <w:rtl/>
        </w:rPr>
        <w:t>سابقا</w:t>
      </w:r>
      <w:r w:rsidR="00603323" w:rsidRPr="00FD211F">
        <w:rPr>
          <w:sz w:val="36"/>
          <w:szCs w:val="36"/>
          <w:rtl/>
        </w:rPr>
        <w:t>،</w:t>
      </w:r>
      <w:r w:rsidR="00E8128F">
        <w:rPr>
          <w:sz w:val="36"/>
          <w:szCs w:val="36"/>
          <w:rtl/>
        </w:rPr>
        <w:t xml:space="preserve"> </w:t>
      </w:r>
      <w:r w:rsidRPr="00FD211F">
        <w:rPr>
          <w:sz w:val="36"/>
          <w:szCs w:val="36"/>
          <w:rtl/>
        </w:rPr>
        <w:t>فالصحيح</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نختار</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المشتقات</w:t>
      </w:r>
      <w:r w:rsidR="00E8128F">
        <w:rPr>
          <w:sz w:val="36"/>
          <w:szCs w:val="36"/>
          <w:rtl/>
        </w:rPr>
        <w:t xml:space="preserve"> </w:t>
      </w:r>
      <w:r w:rsidRPr="00FD211F">
        <w:rPr>
          <w:sz w:val="36"/>
          <w:szCs w:val="36"/>
          <w:rtl/>
        </w:rPr>
        <w:t>موضوع</w:t>
      </w:r>
      <w:r w:rsidR="00EC7EDF" w:rsidRPr="00FD211F">
        <w:rPr>
          <w:sz w:val="36"/>
          <w:szCs w:val="36"/>
          <w:rtl/>
        </w:rPr>
        <w:t>ة</w:t>
      </w:r>
      <w:r w:rsidR="00E8128F">
        <w:rPr>
          <w:sz w:val="36"/>
          <w:szCs w:val="36"/>
          <w:rtl/>
        </w:rPr>
        <w:t xml:space="preserve"> </w:t>
      </w:r>
      <w:r w:rsidRPr="00FD211F">
        <w:rPr>
          <w:sz w:val="36"/>
          <w:szCs w:val="36"/>
          <w:rtl/>
        </w:rPr>
        <w:t>للمتلبس</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المدلول</w:t>
      </w:r>
      <w:r w:rsidR="00EC7EDF" w:rsidRPr="00FD211F">
        <w:rPr>
          <w:sz w:val="36"/>
          <w:szCs w:val="36"/>
          <w:rtl/>
        </w:rPr>
        <w:t>ة</w:t>
      </w:r>
      <w:r w:rsidR="00E8128F">
        <w:rPr>
          <w:sz w:val="36"/>
          <w:szCs w:val="36"/>
          <w:rtl/>
        </w:rPr>
        <w:t xml:space="preserve"> </w:t>
      </w:r>
      <w:r w:rsidRPr="00FD211F">
        <w:rPr>
          <w:sz w:val="36"/>
          <w:szCs w:val="36"/>
          <w:rtl/>
        </w:rPr>
        <w:t>لهيئاتها</w:t>
      </w:r>
      <w:r w:rsidR="00E8128F">
        <w:rPr>
          <w:sz w:val="36"/>
          <w:szCs w:val="36"/>
          <w:rtl/>
        </w:rPr>
        <w:t xml:space="preserve"> </w:t>
      </w:r>
      <w:r w:rsidRPr="00FD211F">
        <w:rPr>
          <w:sz w:val="36"/>
          <w:szCs w:val="36"/>
          <w:rtl/>
        </w:rPr>
        <w:t>هي</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التلبسي</w:t>
      </w:r>
      <w:r w:rsidR="00EC7EDF" w:rsidRPr="00FD211F">
        <w:rPr>
          <w:sz w:val="36"/>
          <w:szCs w:val="36"/>
          <w:rtl/>
        </w:rPr>
        <w:t>ة</w:t>
      </w:r>
      <w:r w:rsidR="00E8128F">
        <w:rPr>
          <w:sz w:val="36"/>
          <w:szCs w:val="36"/>
          <w:rtl/>
        </w:rPr>
        <w:t xml:space="preserve"> </w:t>
      </w:r>
      <w:r w:rsidRPr="00FD211F">
        <w:rPr>
          <w:sz w:val="36"/>
          <w:szCs w:val="36"/>
          <w:rtl/>
        </w:rPr>
        <w:t>الشأني</w:t>
      </w:r>
      <w:r w:rsidR="00EC7EDF" w:rsidRPr="00FD211F">
        <w:rPr>
          <w:sz w:val="36"/>
          <w:szCs w:val="36"/>
          <w:rtl/>
        </w:rPr>
        <w:t>ة</w:t>
      </w:r>
      <w:r w:rsidR="00E8128F">
        <w:rPr>
          <w:sz w:val="36"/>
          <w:szCs w:val="36"/>
          <w:rtl/>
        </w:rPr>
        <w:t xml:space="preserve"> </w:t>
      </w:r>
      <w:r w:rsidRPr="00FD211F">
        <w:rPr>
          <w:sz w:val="36"/>
          <w:szCs w:val="36"/>
          <w:rtl/>
        </w:rPr>
        <w:t>كالنسب</w:t>
      </w:r>
      <w:r w:rsidR="00EC7EDF" w:rsidRPr="00FD211F">
        <w:rPr>
          <w:sz w:val="36"/>
          <w:szCs w:val="36"/>
          <w:rtl/>
        </w:rPr>
        <w:t>ة</w:t>
      </w:r>
      <w:r w:rsidR="00E8128F">
        <w:rPr>
          <w:sz w:val="36"/>
          <w:szCs w:val="36"/>
          <w:rtl/>
        </w:rPr>
        <w:t xml:space="preserve"> </w:t>
      </w:r>
      <w:r w:rsidRPr="00FD211F">
        <w:rPr>
          <w:sz w:val="36"/>
          <w:szCs w:val="36"/>
          <w:rtl/>
        </w:rPr>
        <w:t>الاحترافي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الصائغ</w:t>
      </w:r>
      <w:r w:rsidR="00603323" w:rsidRPr="00FD211F">
        <w:rPr>
          <w:sz w:val="36"/>
          <w:szCs w:val="36"/>
          <w:rtl/>
        </w:rPr>
        <w:t>،</w:t>
      </w:r>
      <w:r w:rsidR="00E8128F">
        <w:rPr>
          <w:sz w:val="36"/>
          <w:szCs w:val="36"/>
          <w:rtl/>
        </w:rPr>
        <w:t xml:space="preserve"> </w:t>
      </w:r>
      <w:r w:rsidRPr="00FD211F">
        <w:rPr>
          <w:sz w:val="36"/>
          <w:szCs w:val="36"/>
          <w:rtl/>
        </w:rPr>
        <w:t>ودعوى</w:t>
      </w:r>
      <w:r w:rsidR="00E8128F">
        <w:rPr>
          <w:sz w:val="36"/>
          <w:szCs w:val="36"/>
          <w:rtl/>
        </w:rPr>
        <w:t xml:space="preserve"> </w:t>
      </w:r>
      <w:r w:rsidRPr="00FD211F">
        <w:rPr>
          <w:sz w:val="36"/>
          <w:szCs w:val="36"/>
          <w:rtl/>
        </w:rPr>
        <w:t>منافا</w:t>
      </w:r>
      <w:r w:rsidR="00EC7EDF" w:rsidRPr="00FD211F">
        <w:rPr>
          <w:sz w:val="36"/>
          <w:szCs w:val="36"/>
          <w:rtl/>
        </w:rPr>
        <w:t>ة</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لكون</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الهيئات</w:t>
      </w:r>
      <w:r w:rsidR="00E8128F">
        <w:rPr>
          <w:sz w:val="36"/>
          <w:szCs w:val="36"/>
          <w:rtl/>
        </w:rPr>
        <w:t xml:space="preserve"> </w:t>
      </w:r>
      <w:r w:rsidRPr="00FD211F">
        <w:rPr>
          <w:sz w:val="36"/>
          <w:szCs w:val="36"/>
          <w:rtl/>
        </w:rPr>
        <w:t>نوعيا</w:t>
      </w:r>
      <w:r w:rsidR="00E8128F">
        <w:rPr>
          <w:sz w:val="36"/>
          <w:szCs w:val="36"/>
          <w:rtl/>
        </w:rPr>
        <w:t xml:space="preserve"> </w:t>
      </w:r>
      <w:r w:rsidRPr="00FD211F">
        <w:rPr>
          <w:sz w:val="36"/>
          <w:szCs w:val="36"/>
          <w:rtl/>
        </w:rPr>
        <w:t>فلا</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لاختلاف</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واحد</w:t>
      </w:r>
      <w:r w:rsidR="00EC7EDF" w:rsidRPr="00FD211F">
        <w:rPr>
          <w:sz w:val="36"/>
          <w:szCs w:val="36"/>
          <w:rtl/>
        </w:rPr>
        <w:t>ة</w:t>
      </w:r>
      <w:r w:rsidR="00E8128F">
        <w:rPr>
          <w:sz w:val="36"/>
          <w:szCs w:val="36"/>
          <w:rtl/>
        </w:rPr>
        <w:t xml:space="preserve"> </w:t>
      </w:r>
      <w:r w:rsidRPr="00FD211F">
        <w:rPr>
          <w:sz w:val="36"/>
          <w:szCs w:val="36"/>
          <w:rtl/>
        </w:rPr>
        <w:t>كهيئ</w:t>
      </w:r>
      <w:r w:rsidR="00EC7EDF" w:rsidRPr="00FD211F">
        <w:rPr>
          <w:sz w:val="36"/>
          <w:szCs w:val="36"/>
          <w:rtl/>
        </w:rPr>
        <w:t>ة</w:t>
      </w:r>
      <w:r w:rsidR="00E8128F">
        <w:rPr>
          <w:sz w:val="36"/>
          <w:szCs w:val="36"/>
          <w:rtl/>
        </w:rPr>
        <w:t xml:space="preserve"> </w:t>
      </w:r>
      <w:r w:rsidRPr="00FD211F">
        <w:rPr>
          <w:sz w:val="36"/>
          <w:szCs w:val="36"/>
          <w:rtl/>
        </w:rPr>
        <w:t>الفاعل</w:t>
      </w:r>
      <w:r w:rsidR="00E8128F">
        <w:rPr>
          <w:sz w:val="36"/>
          <w:szCs w:val="36"/>
          <w:rtl/>
        </w:rPr>
        <w:t xml:space="preserve"> </w:t>
      </w:r>
      <w:r w:rsidRPr="00FD211F">
        <w:rPr>
          <w:sz w:val="36"/>
          <w:szCs w:val="36"/>
          <w:rtl/>
        </w:rPr>
        <w:t>باختلاف</w:t>
      </w:r>
      <w:r w:rsidR="00E8128F">
        <w:rPr>
          <w:sz w:val="36"/>
          <w:szCs w:val="36"/>
          <w:rtl/>
        </w:rPr>
        <w:t xml:space="preserve"> </w:t>
      </w:r>
      <w:r w:rsidRPr="00FD211F">
        <w:rPr>
          <w:sz w:val="36"/>
          <w:szCs w:val="36"/>
          <w:rtl/>
        </w:rPr>
        <w:t>موادّها</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متجه</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لان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يفص</w:t>
      </w:r>
      <w:r w:rsidR="00E4212B" w:rsidRPr="00FD211F">
        <w:rPr>
          <w:sz w:val="36"/>
          <w:szCs w:val="36"/>
          <w:rtl/>
        </w:rPr>
        <w:t>ِّ</w:t>
      </w:r>
      <w:r w:rsidRPr="00FD211F">
        <w:rPr>
          <w:sz w:val="36"/>
          <w:szCs w:val="36"/>
          <w:rtl/>
        </w:rPr>
        <w:t>ل</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الصائغ</w:t>
      </w:r>
      <w:r w:rsidR="00E8128F">
        <w:rPr>
          <w:sz w:val="36"/>
          <w:szCs w:val="36"/>
          <w:rtl/>
        </w:rPr>
        <w:t xml:space="preserve"> </w:t>
      </w:r>
      <w:r w:rsidRPr="00FD211F">
        <w:rPr>
          <w:sz w:val="36"/>
          <w:szCs w:val="36"/>
          <w:rtl/>
        </w:rPr>
        <w:t>والضارب</w:t>
      </w:r>
      <w:r w:rsidR="00E8128F">
        <w:rPr>
          <w:sz w:val="36"/>
          <w:szCs w:val="36"/>
          <w:rtl/>
        </w:rPr>
        <w:t xml:space="preserve"> </w:t>
      </w:r>
      <w:r w:rsidRPr="00FD211F">
        <w:rPr>
          <w:sz w:val="36"/>
          <w:szCs w:val="36"/>
          <w:rtl/>
        </w:rPr>
        <w:t>يقول</w:t>
      </w:r>
      <w:r w:rsidR="00E8128F">
        <w:rPr>
          <w:sz w:val="36"/>
          <w:szCs w:val="36"/>
          <w:rtl/>
        </w:rPr>
        <w:t xml:space="preserve"> </w:t>
      </w:r>
      <w:r w:rsidRPr="00FD211F">
        <w:rPr>
          <w:sz w:val="36"/>
          <w:szCs w:val="36"/>
          <w:rtl/>
        </w:rPr>
        <w:t>بوضع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الصائغ</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ووضع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الضارب</w:t>
      </w:r>
      <w:r w:rsidR="00E8128F">
        <w:rPr>
          <w:sz w:val="36"/>
          <w:szCs w:val="36"/>
          <w:rtl/>
        </w:rPr>
        <w:t xml:space="preserve"> </w:t>
      </w:r>
      <w:r w:rsidRPr="00FD211F">
        <w:rPr>
          <w:sz w:val="36"/>
          <w:szCs w:val="36"/>
          <w:rtl/>
        </w:rPr>
        <w:t>لخصوص</w:t>
      </w:r>
      <w:r w:rsidR="00E8128F">
        <w:rPr>
          <w:sz w:val="36"/>
          <w:szCs w:val="36"/>
          <w:rtl/>
        </w:rPr>
        <w:t xml:space="preserve"> </w:t>
      </w:r>
      <w:r w:rsidRPr="00FD211F">
        <w:rPr>
          <w:sz w:val="36"/>
          <w:szCs w:val="36"/>
          <w:rtl/>
        </w:rPr>
        <w:t>المتلبس</w:t>
      </w:r>
      <w:r w:rsidR="00603323" w:rsidRPr="00FD211F">
        <w:rPr>
          <w:sz w:val="36"/>
          <w:szCs w:val="36"/>
          <w:rtl/>
        </w:rPr>
        <w:t>،</w:t>
      </w:r>
      <w:r w:rsidR="00E8128F">
        <w:rPr>
          <w:sz w:val="36"/>
          <w:szCs w:val="36"/>
          <w:rtl/>
        </w:rPr>
        <w:t xml:space="preserve"> </w:t>
      </w:r>
      <w:r w:rsidRPr="00FD211F">
        <w:rPr>
          <w:sz w:val="36"/>
          <w:szCs w:val="36"/>
          <w:rtl/>
        </w:rPr>
        <w:t>فنحن</w:t>
      </w:r>
      <w:r w:rsidR="00E8128F">
        <w:rPr>
          <w:sz w:val="36"/>
          <w:szCs w:val="36"/>
          <w:rtl/>
        </w:rPr>
        <w:t xml:space="preserve"> </w:t>
      </w:r>
      <w:r w:rsidRPr="00FD211F">
        <w:rPr>
          <w:sz w:val="36"/>
          <w:szCs w:val="36"/>
          <w:rtl/>
        </w:rPr>
        <w:t>نقول</w:t>
      </w:r>
      <w:r w:rsidR="00E8128F">
        <w:rPr>
          <w:sz w:val="36"/>
          <w:szCs w:val="36"/>
          <w:rtl/>
        </w:rPr>
        <w:t xml:space="preserve"> </w:t>
      </w:r>
      <w:r w:rsidRPr="00FD211F">
        <w:rPr>
          <w:sz w:val="36"/>
          <w:szCs w:val="36"/>
          <w:rtl/>
        </w:rPr>
        <w:t>بوضع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الصائغ</w:t>
      </w:r>
      <w:r w:rsidR="00E8128F">
        <w:rPr>
          <w:sz w:val="36"/>
          <w:szCs w:val="36"/>
          <w:rtl/>
        </w:rPr>
        <w:t xml:space="preserve"> </w:t>
      </w:r>
      <w:r w:rsidRPr="00FD211F">
        <w:rPr>
          <w:sz w:val="36"/>
          <w:szCs w:val="36"/>
          <w:rtl/>
        </w:rPr>
        <w:t>للنسب</w:t>
      </w:r>
      <w:r w:rsidR="00EC7EDF" w:rsidRPr="00FD211F">
        <w:rPr>
          <w:sz w:val="36"/>
          <w:szCs w:val="36"/>
          <w:rtl/>
        </w:rPr>
        <w:t>ة</w:t>
      </w:r>
      <w:r w:rsidR="00E8128F">
        <w:rPr>
          <w:sz w:val="36"/>
          <w:szCs w:val="36"/>
          <w:rtl/>
        </w:rPr>
        <w:t xml:space="preserve"> </w:t>
      </w:r>
      <w:r w:rsidRPr="00FD211F">
        <w:rPr>
          <w:sz w:val="36"/>
          <w:szCs w:val="36"/>
          <w:rtl/>
        </w:rPr>
        <w:t>الاحترافي</w:t>
      </w:r>
      <w:r w:rsidR="00EC7EDF" w:rsidRPr="00FD211F">
        <w:rPr>
          <w:sz w:val="36"/>
          <w:szCs w:val="36"/>
          <w:rtl/>
        </w:rPr>
        <w:t>ة</w:t>
      </w:r>
      <w:r w:rsidR="00E8128F">
        <w:rPr>
          <w:sz w:val="36"/>
          <w:szCs w:val="36"/>
          <w:rtl/>
        </w:rPr>
        <w:t xml:space="preserve"> </w:t>
      </w:r>
      <w:r w:rsidRPr="00FD211F">
        <w:rPr>
          <w:sz w:val="36"/>
          <w:szCs w:val="36"/>
          <w:rtl/>
        </w:rPr>
        <w:t>ووضع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الضارب</w:t>
      </w:r>
      <w:r w:rsidR="00E8128F">
        <w:rPr>
          <w:sz w:val="36"/>
          <w:szCs w:val="36"/>
          <w:rtl/>
        </w:rPr>
        <w:t xml:space="preserve"> </w:t>
      </w:r>
      <w:r w:rsidRPr="00FD211F">
        <w:rPr>
          <w:sz w:val="36"/>
          <w:szCs w:val="36"/>
          <w:rtl/>
        </w:rPr>
        <w:t>للنسب</w:t>
      </w:r>
      <w:r w:rsidR="00EC7EDF" w:rsidRPr="00FD211F">
        <w:rPr>
          <w:sz w:val="36"/>
          <w:szCs w:val="36"/>
          <w:rtl/>
        </w:rPr>
        <w:t>ة</w:t>
      </w:r>
      <w:r w:rsidR="00E8128F">
        <w:rPr>
          <w:sz w:val="36"/>
          <w:szCs w:val="36"/>
          <w:rtl/>
        </w:rPr>
        <w:t xml:space="preserve"> </w:t>
      </w:r>
      <w:r w:rsidRPr="00FD211F">
        <w:rPr>
          <w:sz w:val="36"/>
          <w:szCs w:val="36"/>
          <w:rtl/>
        </w:rPr>
        <w:t>الصدوري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لامانع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نلتزم</w:t>
      </w:r>
      <w:r w:rsidR="00E8128F">
        <w:rPr>
          <w:sz w:val="36"/>
          <w:szCs w:val="36"/>
          <w:rtl/>
        </w:rPr>
        <w:t xml:space="preserve"> </w:t>
      </w:r>
      <w:r w:rsidRPr="00FD211F">
        <w:rPr>
          <w:sz w:val="36"/>
          <w:szCs w:val="36"/>
          <w:rtl/>
        </w:rPr>
        <w:t>بوضع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الفاعل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المعنى</w:t>
      </w:r>
      <w:r w:rsidR="00E8128F">
        <w:rPr>
          <w:sz w:val="36"/>
          <w:szCs w:val="36"/>
          <w:rtl/>
        </w:rPr>
        <w:t xml:space="preserve"> </w:t>
      </w:r>
      <w:r w:rsidRPr="00FD211F">
        <w:rPr>
          <w:sz w:val="36"/>
          <w:szCs w:val="36"/>
          <w:rtl/>
        </w:rPr>
        <w:t>الموسع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وهو</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الشأني</w:t>
      </w:r>
      <w:r w:rsidR="00E8128F">
        <w:rPr>
          <w:sz w:val="36"/>
          <w:szCs w:val="36"/>
          <w:rtl/>
        </w:rPr>
        <w:t xml:space="preserve"> </w:t>
      </w:r>
      <w:r w:rsidR="00E4212B" w:rsidRPr="00FD211F">
        <w:rPr>
          <w:sz w:val="36"/>
          <w:szCs w:val="36"/>
          <w:rtl/>
        </w:rPr>
        <w:t>ول</w:t>
      </w:r>
      <w:r w:rsidR="009977FE" w:rsidRPr="00FD211F">
        <w:rPr>
          <w:sz w:val="36"/>
          <w:szCs w:val="36"/>
          <w:rtl/>
        </w:rPr>
        <w:t>و</w:t>
      </w:r>
      <w:r w:rsidR="00E8128F">
        <w:rPr>
          <w:sz w:val="36"/>
          <w:szCs w:val="36"/>
          <w:rtl/>
        </w:rPr>
        <w:t xml:space="preserve"> </w:t>
      </w:r>
      <w:r w:rsidR="008D7B3D" w:rsidRPr="00FD211F">
        <w:rPr>
          <w:sz w:val="36"/>
          <w:szCs w:val="36"/>
          <w:rtl/>
        </w:rPr>
        <w:t>لم‌</w:t>
      </w:r>
      <w:r w:rsidR="00E4212B" w:rsidRPr="00FD211F">
        <w:rPr>
          <w:sz w:val="36"/>
          <w:szCs w:val="36"/>
          <w:rtl/>
        </w:rPr>
        <w:t>يكن</w:t>
      </w:r>
      <w:r w:rsidR="00E8128F">
        <w:rPr>
          <w:sz w:val="36"/>
          <w:szCs w:val="36"/>
          <w:rtl/>
        </w:rPr>
        <w:t xml:space="preserve"> </w:t>
      </w:r>
      <w:r w:rsidR="00E4212B" w:rsidRPr="00FD211F">
        <w:rPr>
          <w:sz w:val="36"/>
          <w:szCs w:val="36"/>
          <w:rtl/>
        </w:rPr>
        <w:t>فعليا</w:t>
      </w:r>
      <w:r w:rsidR="00603323" w:rsidRPr="00FD211F">
        <w:rPr>
          <w:sz w:val="36"/>
          <w:szCs w:val="36"/>
          <w:rtl/>
        </w:rPr>
        <w:t>،</w:t>
      </w:r>
      <w:r w:rsidR="00E8128F">
        <w:rPr>
          <w:sz w:val="36"/>
          <w:szCs w:val="36"/>
          <w:rtl/>
        </w:rPr>
        <w:t xml:space="preserve"> </w:t>
      </w:r>
      <w:r w:rsidRPr="00FD211F">
        <w:rPr>
          <w:sz w:val="36"/>
          <w:szCs w:val="36"/>
          <w:rtl/>
        </w:rPr>
        <w:t>غايته</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لايوجد</w:t>
      </w:r>
      <w:r w:rsidR="00E8128F">
        <w:rPr>
          <w:sz w:val="36"/>
          <w:szCs w:val="36"/>
          <w:rtl/>
        </w:rPr>
        <w:t xml:space="preserve"> </w:t>
      </w:r>
      <w:r w:rsidRPr="00FD211F">
        <w:rPr>
          <w:sz w:val="36"/>
          <w:szCs w:val="36"/>
          <w:rtl/>
        </w:rPr>
        <w:t>مصداق</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ضارب</w:t>
      </w:r>
      <w:r w:rsidR="00E8128F">
        <w:rPr>
          <w:sz w:val="36"/>
          <w:szCs w:val="36"/>
          <w:rtl/>
        </w:rPr>
        <w:t xml:space="preserve"> </w:t>
      </w:r>
      <w:r w:rsidRPr="00FD211F">
        <w:rPr>
          <w:sz w:val="36"/>
          <w:szCs w:val="36"/>
          <w:rtl/>
        </w:rPr>
        <w:t>وقائم</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الفعلي</w:t>
      </w:r>
      <w:r w:rsidR="00603323" w:rsidRPr="00FD211F">
        <w:rPr>
          <w:sz w:val="36"/>
          <w:szCs w:val="36"/>
          <w:rtl/>
        </w:rPr>
        <w:t>،</w:t>
      </w:r>
      <w:r w:rsidR="00E8128F">
        <w:rPr>
          <w:sz w:val="36"/>
          <w:szCs w:val="36"/>
          <w:rtl/>
        </w:rPr>
        <w:t xml:space="preserve"> </w:t>
      </w:r>
      <w:r w:rsidRPr="00FD211F">
        <w:rPr>
          <w:sz w:val="36"/>
          <w:szCs w:val="36"/>
          <w:rtl/>
        </w:rPr>
        <w:t>لعدم</w:t>
      </w:r>
      <w:r w:rsidR="00E8128F">
        <w:rPr>
          <w:sz w:val="36"/>
          <w:szCs w:val="36"/>
          <w:rtl/>
        </w:rPr>
        <w:t xml:space="preserve"> </w:t>
      </w:r>
      <w:r w:rsidRPr="00FD211F">
        <w:rPr>
          <w:sz w:val="36"/>
          <w:szCs w:val="36"/>
          <w:rtl/>
        </w:rPr>
        <w:t>تصور</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النحو</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مورد</w:t>
      </w:r>
      <w:r w:rsidR="00E8128F">
        <w:rPr>
          <w:sz w:val="36"/>
          <w:szCs w:val="36"/>
          <w:rtl/>
        </w:rPr>
        <w:t xml:space="preserve"> </w:t>
      </w:r>
      <w:r w:rsidRPr="00FD211F">
        <w:rPr>
          <w:sz w:val="36"/>
          <w:szCs w:val="36"/>
          <w:rtl/>
        </w:rPr>
        <w:t>الضرب</w:t>
      </w:r>
      <w:r w:rsidR="00E8128F">
        <w:rPr>
          <w:sz w:val="36"/>
          <w:szCs w:val="36"/>
          <w:rtl/>
        </w:rPr>
        <w:t xml:space="preserve"> </w:t>
      </w:r>
      <w:r w:rsidRPr="00FD211F">
        <w:rPr>
          <w:sz w:val="36"/>
          <w:szCs w:val="36"/>
          <w:rtl/>
        </w:rPr>
        <w:t>والقيام</w:t>
      </w:r>
      <w:r w:rsidR="009C58C8" w:rsidRPr="00FD211F">
        <w:rPr>
          <w:rStyle w:val="a6"/>
          <w:sz w:val="36"/>
          <w:szCs w:val="36"/>
          <w:rtl/>
        </w:rPr>
        <w:t>(</w:t>
      </w:r>
      <w:r w:rsidR="009C58C8" w:rsidRPr="00FD211F">
        <w:rPr>
          <w:rStyle w:val="a6"/>
          <w:sz w:val="36"/>
          <w:szCs w:val="36"/>
          <w:rtl/>
        </w:rPr>
        <w:footnoteReference w:id="566"/>
      </w:r>
      <w:r w:rsidR="009C58C8" w:rsidRPr="00FD211F">
        <w:rPr>
          <w:rStyle w:val="a6"/>
          <w:sz w:val="36"/>
          <w:szCs w:val="36"/>
          <w:rtl/>
        </w:rPr>
        <w:t>)</w:t>
      </w:r>
      <w:r w:rsidRPr="00FD211F">
        <w:rPr>
          <w:sz w:val="36"/>
          <w:szCs w:val="36"/>
          <w:rtl/>
        </w:rPr>
        <w:t>.</w:t>
      </w:r>
    </w:p>
    <w:p w14:paraId="2E956B4F" w14:textId="77777777" w:rsidR="00781DEB" w:rsidRPr="00FD211F" w:rsidRDefault="00781DEB" w:rsidP="005946E3">
      <w:pPr>
        <w:ind w:left="0" w:firstLine="227"/>
        <w:jc w:val="both"/>
        <w:rPr>
          <w:sz w:val="36"/>
          <w:szCs w:val="36"/>
          <w:rtl/>
        </w:rPr>
      </w:pPr>
      <w:r w:rsidRPr="00FD211F">
        <w:rPr>
          <w:sz w:val="36"/>
          <w:szCs w:val="36"/>
          <w:rtl/>
        </w:rPr>
        <w:t>اقول:</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البيان</w:t>
      </w:r>
      <w:r w:rsidR="00E8128F">
        <w:rPr>
          <w:sz w:val="36"/>
          <w:szCs w:val="36"/>
          <w:rtl/>
        </w:rPr>
        <w:t xml:space="preserve"> </w:t>
      </w:r>
      <w:r w:rsidRPr="00FD211F">
        <w:rPr>
          <w:sz w:val="36"/>
          <w:szCs w:val="36"/>
          <w:rtl/>
        </w:rPr>
        <w:t>الأخير</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ذكره</w:t>
      </w:r>
      <w:r w:rsidR="00E8128F">
        <w:rPr>
          <w:sz w:val="36"/>
          <w:szCs w:val="36"/>
          <w:rtl/>
        </w:rPr>
        <w:t xml:space="preserve"> </w:t>
      </w:r>
      <w:r w:rsidR="005946E3" w:rsidRPr="00FD211F">
        <w:rPr>
          <w:sz w:val="36"/>
          <w:szCs w:val="36"/>
          <w:rtl/>
        </w:rPr>
        <w:t>"قده"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الالتزام</w:t>
      </w:r>
      <w:r w:rsidR="00E8128F">
        <w:rPr>
          <w:sz w:val="36"/>
          <w:szCs w:val="36"/>
          <w:rtl/>
        </w:rPr>
        <w:t xml:space="preserve"> </w:t>
      </w:r>
      <w:r w:rsidRPr="00FD211F">
        <w:rPr>
          <w:sz w:val="36"/>
          <w:szCs w:val="36"/>
          <w:rtl/>
        </w:rPr>
        <w:t>بوضع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00BF0104" w:rsidRPr="00FD211F">
        <w:rPr>
          <w:sz w:val="36"/>
          <w:szCs w:val="36"/>
          <w:rtl/>
        </w:rPr>
        <w:t>الفاعل</w:t>
      </w:r>
      <w:r w:rsidR="00E8128F">
        <w:rPr>
          <w:sz w:val="36"/>
          <w:szCs w:val="36"/>
          <w:rtl/>
        </w:rPr>
        <w:t xml:space="preserve"> </w:t>
      </w:r>
      <w:r w:rsidR="00BF0104" w:rsidRPr="00FD211F">
        <w:rPr>
          <w:sz w:val="36"/>
          <w:szCs w:val="36"/>
          <w:rtl/>
        </w:rPr>
        <w:t>مطلقا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الشأني</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عرفي</w:t>
      </w:r>
      <w:r w:rsidR="00603323" w:rsidRPr="00FD211F">
        <w:rPr>
          <w:sz w:val="36"/>
          <w:szCs w:val="36"/>
          <w:rtl/>
        </w:rPr>
        <w:t>،</w:t>
      </w:r>
      <w:r w:rsidR="00E8128F">
        <w:rPr>
          <w:sz w:val="36"/>
          <w:szCs w:val="36"/>
          <w:rtl/>
        </w:rPr>
        <w:t xml:space="preserve"> </w:t>
      </w:r>
      <w:r w:rsidRPr="00FD211F">
        <w:rPr>
          <w:sz w:val="36"/>
          <w:szCs w:val="36"/>
          <w:rtl/>
        </w:rPr>
        <w:t>والمهم</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البيان</w:t>
      </w:r>
      <w:r w:rsidR="00E8128F">
        <w:rPr>
          <w:sz w:val="36"/>
          <w:szCs w:val="36"/>
          <w:rtl/>
        </w:rPr>
        <w:t xml:space="preserve"> </w:t>
      </w:r>
      <w:r w:rsidRPr="00FD211F">
        <w:rPr>
          <w:sz w:val="36"/>
          <w:szCs w:val="36"/>
          <w:rtl/>
        </w:rPr>
        <w:t>الأول</w:t>
      </w:r>
      <w:r w:rsidR="00603323" w:rsidRPr="00FD211F">
        <w:rPr>
          <w:sz w:val="36"/>
          <w:szCs w:val="36"/>
          <w:rtl/>
        </w:rPr>
        <w:t>،</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لادليل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الفاعل</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وضعا</w:t>
      </w:r>
      <w:r w:rsidR="00E8128F">
        <w:rPr>
          <w:sz w:val="36"/>
          <w:szCs w:val="36"/>
          <w:rtl/>
        </w:rPr>
        <w:t xml:space="preserve"> </w:t>
      </w:r>
      <w:r w:rsidRPr="00FD211F">
        <w:rPr>
          <w:sz w:val="36"/>
          <w:szCs w:val="36"/>
          <w:rtl/>
        </w:rPr>
        <w:t>واحدا</w:t>
      </w:r>
      <w:r w:rsidR="00E8128F">
        <w:rPr>
          <w:sz w:val="36"/>
          <w:szCs w:val="36"/>
          <w:rtl/>
        </w:rPr>
        <w:t xml:space="preserve"> </w:t>
      </w:r>
      <w:r w:rsidRPr="00FD211F">
        <w:rPr>
          <w:sz w:val="36"/>
          <w:szCs w:val="36"/>
          <w:rtl/>
        </w:rPr>
        <w:t>نوعيا</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مقتضى</w:t>
      </w:r>
      <w:r w:rsidR="00E8128F">
        <w:rPr>
          <w:sz w:val="36"/>
          <w:szCs w:val="36"/>
          <w:rtl/>
        </w:rPr>
        <w:t xml:space="preserve"> </w:t>
      </w:r>
      <w:r w:rsidRPr="00FD211F">
        <w:rPr>
          <w:sz w:val="36"/>
          <w:szCs w:val="36"/>
          <w:rtl/>
        </w:rPr>
        <w:t>تدريجي</w:t>
      </w:r>
      <w:r w:rsidR="00EC7EDF" w:rsidRPr="00FD211F">
        <w:rPr>
          <w:sz w:val="36"/>
          <w:szCs w:val="36"/>
          <w:rtl/>
        </w:rPr>
        <w:t>ة</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اللغات</w:t>
      </w:r>
      <w:r w:rsidR="00E8128F">
        <w:rPr>
          <w:sz w:val="36"/>
          <w:szCs w:val="36"/>
          <w:rtl/>
        </w:rPr>
        <w:t xml:space="preserve"> </w:t>
      </w:r>
      <w:r w:rsidRPr="00FD211F">
        <w:rPr>
          <w:sz w:val="36"/>
          <w:szCs w:val="36"/>
          <w:rtl/>
        </w:rPr>
        <w:t>وكون</w:t>
      </w:r>
      <w:r w:rsidR="00E8128F">
        <w:rPr>
          <w:sz w:val="36"/>
          <w:szCs w:val="36"/>
          <w:rtl/>
        </w:rPr>
        <w:t xml:space="preserve"> </w:t>
      </w:r>
      <w:r w:rsidRPr="00FD211F">
        <w:rPr>
          <w:sz w:val="36"/>
          <w:szCs w:val="36"/>
          <w:rtl/>
        </w:rPr>
        <w:t>وضعها</w:t>
      </w:r>
      <w:r w:rsidR="00E8128F">
        <w:rPr>
          <w:sz w:val="36"/>
          <w:szCs w:val="36"/>
          <w:rtl/>
        </w:rPr>
        <w:t xml:space="preserve"> </w:t>
      </w:r>
      <w:r w:rsidRPr="00FD211F">
        <w:rPr>
          <w:sz w:val="36"/>
          <w:szCs w:val="36"/>
          <w:rtl/>
        </w:rPr>
        <w:t>تعيّنيا</w:t>
      </w:r>
      <w:r w:rsidR="00E8128F">
        <w:rPr>
          <w:sz w:val="36"/>
          <w:szCs w:val="36"/>
          <w:rtl/>
        </w:rPr>
        <w:t xml:space="preserve"> </w:t>
      </w:r>
      <w:r w:rsidRPr="00FD211F">
        <w:rPr>
          <w:sz w:val="36"/>
          <w:szCs w:val="36"/>
          <w:rtl/>
        </w:rPr>
        <w:t>غالبا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اختلاف</w:t>
      </w:r>
      <w:r w:rsidR="00E8128F">
        <w:rPr>
          <w:sz w:val="36"/>
          <w:szCs w:val="36"/>
          <w:rtl/>
        </w:rPr>
        <w:t xml:space="preserve"> </w:t>
      </w:r>
      <w:r w:rsidRPr="00FD211F">
        <w:rPr>
          <w:sz w:val="36"/>
          <w:szCs w:val="36"/>
          <w:rtl/>
        </w:rPr>
        <w:t>وضع</w:t>
      </w:r>
      <w:r w:rsidR="00E8128F">
        <w:rPr>
          <w:sz w:val="36"/>
          <w:szCs w:val="36"/>
          <w:rtl/>
        </w:rPr>
        <w:t xml:space="preserve"> </w:t>
      </w:r>
      <w:r w:rsidR="00396CB1" w:rsidRPr="00FD211F">
        <w:rPr>
          <w:sz w:val="36"/>
          <w:szCs w:val="36"/>
          <w:rtl/>
        </w:rPr>
        <w:t>هيئ</w:t>
      </w:r>
      <w:r w:rsidR="00EC7EDF" w:rsidRPr="00FD211F">
        <w:rPr>
          <w:sz w:val="36"/>
          <w:szCs w:val="36"/>
          <w:rtl/>
        </w:rPr>
        <w:t>ة</w:t>
      </w:r>
      <w:r w:rsidR="00E8128F">
        <w:rPr>
          <w:sz w:val="36"/>
          <w:szCs w:val="36"/>
          <w:rtl/>
        </w:rPr>
        <w:t xml:space="preserve"> </w:t>
      </w:r>
      <w:r w:rsidR="00396CB1" w:rsidRPr="00FD211F">
        <w:rPr>
          <w:sz w:val="36"/>
          <w:szCs w:val="36"/>
          <w:rtl/>
        </w:rPr>
        <w:t>المشتق</w:t>
      </w:r>
      <w:r w:rsidR="00E8128F">
        <w:rPr>
          <w:sz w:val="36"/>
          <w:szCs w:val="36"/>
          <w:rtl/>
        </w:rPr>
        <w:t xml:space="preserve"> </w:t>
      </w:r>
      <w:r w:rsidR="00396CB1" w:rsidRPr="00FD211F">
        <w:rPr>
          <w:sz w:val="36"/>
          <w:szCs w:val="36"/>
          <w:rtl/>
        </w:rPr>
        <w:t>بلحاظ</w:t>
      </w:r>
      <w:r w:rsidR="00E8128F">
        <w:rPr>
          <w:sz w:val="36"/>
          <w:szCs w:val="36"/>
          <w:rtl/>
        </w:rPr>
        <w:t xml:space="preserve"> </w:t>
      </w:r>
      <w:r w:rsidR="00396CB1" w:rsidRPr="00FD211F">
        <w:rPr>
          <w:sz w:val="36"/>
          <w:szCs w:val="36"/>
          <w:rtl/>
        </w:rPr>
        <w:t>اختلاف</w:t>
      </w:r>
      <w:r w:rsidR="00E8128F">
        <w:rPr>
          <w:sz w:val="36"/>
          <w:szCs w:val="36"/>
          <w:rtl/>
        </w:rPr>
        <w:t xml:space="preserve"> </w:t>
      </w:r>
      <w:r w:rsidR="00396CB1" w:rsidRPr="00FD211F">
        <w:rPr>
          <w:sz w:val="36"/>
          <w:szCs w:val="36"/>
          <w:rtl/>
        </w:rPr>
        <w:t>موادّها</w:t>
      </w:r>
      <w:r w:rsidR="00603323" w:rsidRPr="00FD211F">
        <w:rPr>
          <w:sz w:val="36"/>
          <w:szCs w:val="36"/>
          <w:rtl/>
        </w:rPr>
        <w:t>،</w:t>
      </w:r>
      <w:r w:rsidR="00E8128F">
        <w:rPr>
          <w:sz w:val="36"/>
          <w:szCs w:val="36"/>
          <w:rtl/>
        </w:rPr>
        <w:t xml:space="preserve"> </w:t>
      </w:r>
      <w:r w:rsidR="00396CB1" w:rsidRPr="00FD211F">
        <w:rPr>
          <w:sz w:val="36"/>
          <w:szCs w:val="36"/>
          <w:rtl/>
        </w:rPr>
        <w:t>بل</w:t>
      </w:r>
      <w:r w:rsidR="00E8128F">
        <w:rPr>
          <w:sz w:val="36"/>
          <w:szCs w:val="36"/>
          <w:rtl/>
        </w:rPr>
        <w:t xml:space="preserve"> </w:t>
      </w:r>
      <w:r w:rsidR="00396CB1" w:rsidRPr="00FD211F">
        <w:rPr>
          <w:sz w:val="36"/>
          <w:szCs w:val="36"/>
          <w:rtl/>
        </w:rPr>
        <w:t>لعل</w:t>
      </w:r>
      <w:r w:rsidR="00E8128F">
        <w:rPr>
          <w:sz w:val="36"/>
          <w:szCs w:val="36"/>
          <w:rtl/>
        </w:rPr>
        <w:t xml:space="preserve"> </w:t>
      </w:r>
      <w:r w:rsidR="00396CB1" w:rsidRPr="00FD211F">
        <w:rPr>
          <w:sz w:val="36"/>
          <w:szCs w:val="36"/>
          <w:rtl/>
        </w:rPr>
        <w:t>كلم</w:t>
      </w:r>
      <w:r w:rsidR="00EC7EDF" w:rsidRPr="00FD211F">
        <w:rPr>
          <w:sz w:val="36"/>
          <w:szCs w:val="36"/>
          <w:rtl/>
        </w:rPr>
        <w:t>ة</w:t>
      </w:r>
      <w:r w:rsidR="00E8128F">
        <w:rPr>
          <w:sz w:val="36"/>
          <w:szCs w:val="36"/>
          <w:rtl/>
        </w:rPr>
        <w:t xml:space="preserve"> </w:t>
      </w:r>
      <w:r w:rsidR="00396CB1" w:rsidRPr="00FD211F">
        <w:rPr>
          <w:sz w:val="36"/>
          <w:szCs w:val="36"/>
          <w:rtl/>
        </w:rPr>
        <w:t>الصائغ</w:t>
      </w:r>
      <w:r w:rsidR="00E8128F">
        <w:rPr>
          <w:sz w:val="36"/>
          <w:szCs w:val="36"/>
          <w:rtl/>
        </w:rPr>
        <w:t xml:space="preserve"> </w:t>
      </w:r>
      <w:r w:rsidR="00396CB1" w:rsidRPr="00FD211F">
        <w:rPr>
          <w:sz w:val="36"/>
          <w:szCs w:val="36"/>
          <w:rtl/>
        </w:rPr>
        <w:t>كان</w:t>
      </w:r>
      <w:r w:rsidR="00AC2448" w:rsidRPr="00FD211F">
        <w:rPr>
          <w:sz w:val="36"/>
          <w:szCs w:val="36"/>
          <w:rtl/>
        </w:rPr>
        <w:t>ت</w:t>
      </w:r>
      <w:r w:rsidR="00E8128F">
        <w:rPr>
          <w:sz w:val="36"/>
          <w:szCs w:val="36"/>
          <w:rtl/>
        </w:rPr>
        <w:t xml:space="preserve"> </w:t>
      </w:r>
      <w:r w:rsidR="00396CB1" w:rsidRPr="00FD211F">
        <w:rPr>
          <w:sz w:val="36"/>
          <w:szCs w:val="36"/>
          <w:rtl/>
        </w:rPr>
        <w:t>مثل</w:t>
      </w:r>
      <w:r w:rsidR="00E8128F">
        <w:rPr>
          <w:sz w:val="36"/>
          <w:szCs w:val="36"/>
          <w:rtl/>
        </w:rPr>
        <w:t xml:space="preserve"> </w:t>
      </w:r>
      <w:r w:rsidR="00396CB1" w:rsidRPr="00FD211F">
        <w:rPr>
          <w:sz w:val="36"/>
          <w:szCs w:val="36"/>
          <w:rtl/>
        </w:rPr>
        <w:t>كلم</w:t>
      </w:r>
      <w:r w:rsidR="00EC7EDF" w:rsidRPr="00FD211F">
        <w:rPr>
          <w:sz w:val="36"/>
          <w:szCs w:val="36"/>
          <w:rtl/>
        </w:rPr>
        <w:t>ة</w:t>
      </w:r>
      <w:r w:rsidR="00E8128F">
        <w:rPr>
          <w:sz w:val="36"/>
          <w:szCs w:val="36"/>
          <w:rtl/>
        </w:rPr>
        <w:t xml:space="preserve"> </w:t>
      </w:r>
      <w:r w:rsidR="00396CB1" w:rsidRPr="00FD211F">
        <w:rPr>
          <w:sz w:val="36"/>
          <w:szCs w:val="36"/>
          <w:rtl/>
        </w:rPr>
        <w:t>الضارب</w:t>
      </w:r>
      <w:r w:rsidR="00E8128F">
        <w:rPr>
          <w:sz w:val="36"/>
          <w:szCs w:val="36"/>
          <w:rtl/>
        </w:rPr>
        <w:t xml:space="preserve"> </w:t>
      </w:r>
      <w:r w:rsidR="00AC2448" w:rsidRPr="00FD211F">
        <w:rPr>
          <w:sz w:val="36"/>
          <w:szCs w:val="36"/>
          <w:rtl/>
        </w:rPr>
        <w:t>دال</w:t>
      </w:r>
      <w:r w:rsidR="00EC7EDF" w:rsidRPr="00FD211F">
        <w:rPr>
          <w:sz w:val="36"/>
          <w:szCs w:val="36"/>
          <w:rtl/>
        </w:rPr>
        <w:t>ة</w:t>
      </w:r>
      <w:r w:rsidR="00E8128F">
        <w:rPr>
          <w:sz w:val="36"/>
          <w:szCs w:val="36"/>
          <w:rtl/>
        </w:rPr>
        <w:t xml:space="preserve"> </w:t>
      </w:r>
      <w:r w:rsidR="00AC2448" w:rsidRPr="00FD211F">
        <w:rPr>
          <w:sz w:val="36"/>
          <w:szCs w:val="36"/>
          <w:rtl/>
        </w:rPr>
        <w:t>على</w:t>
      </w:r>
      <w:r w:rsidR="00E8128F">
        <w:rPr>
          <w:sz w:val="36"/>
          <w:szCs w:val="36"/>
          <w:rtl/>
        </w:rPr>
        <w:t xml:space="preserve"> </w:t>
      </w:r>
      <w:r w:rsidR="00AC2448" w:rsidRPr="00FD211F">
        <w:rPr>
          <w:sz w:val="36"/>
          <w:szCs w:val="36"/>
          <w:rtl/>
        </w:rPr>
        <w:t>التلبس</w:t>
      </w:r>
      <w:r w:rsidR="00E8128F">
        <w:rPr>
          <w:sz w:val="36"/>
          <w:szCs w:val="36"/>
          <w:rtl/>
        </w:rPr>
        <w:t xml:space="preserve"> </w:t>
      </w:r>
      <w:r w:rsidR="00AC2448" w:rsidRPr="00FD211F">
        <w:rPr>
          <w:sz w:val="36"/>
          <w:szCs w:val="36"/>
          <w:rtl/>
        </w:rPr>
        <w:t>بعمل</w:t>
      </w:r>
      <w:r w:rsidR="00E8128F">
        <w:rPr>
          <w:sz w:val="36"/>
          <w:szCs w:val="36"/>
          <w:rtl/>
        </w:rPr>
        <w:t xml:space="preserve"> </w:t>
      </w:r>
      <w:r w:rsidR="00AC2448" w:rsidRPr="00FD211F">
        <w:rPr>
          <w:sz w:val="36"/>
          <w:szCs w:val="36"/>
          <w:rtl/>
        </w:rPr>
        <w:t>الصياغ</w:t>
      </w:r>
      <w:r w:rsidR="00EC7EDF" w:rsidRPr="00FD211F">
        <w:rPr>
          <w:sz w:val="36"/>
          <w:szCs w:val="36"/>
          <w:rtl/>
        </w:rPr>
        <w:t>ة</w:t>
      </w:r>
      <w:r w:rsidR="00E8128F">
        <w:rPr>
          <w:sz w:val="36"/>
          <w:szCs w:val="36"/>
          <w:rtl/>
        </w:rPr>
        <w:t xml:space="preserve"> </w:t>
      </w:r>
      <w:r w:rsidR="00396CB1" w:rsidRPr="00FD211F">
        <w:rPr>
          <w:sz w:val="36"/>
          <w:szCs w:val="36"/>
          <w:rtl/>
        </w:rPr>
        <w:t>اولا</w:t>
      </w:r>
      <w:r w:rsidR="00AC2448" w:rsidRPr="00FD211F">
        <w:rPr>
          <w:sz w:val="36"/>
          <w:szCs w:val="36"/>
          <w:rtl/>
        </w:rPr>
        <w:t>ً</w:t>
      </w:r>
      <w:r w:rsidR="00E8128F">
        <w:rPr>
          <w:sz w:val="36"/>
          <w:szCs w:val="36"/>
          <w:rtl/>
        </w:rPr>
        <w:t xml:space="preserve"> </w:t>
      </w:r>
      <w:r w:rsidR="00396CB1" w:rsidRPr="00FD211F">
        <w:rPr>
          <w:sz w:val="36"/>
          <w:szCs w:val="36"/>
          <w:rtl/>
        </w:rPr>
        <w:t>ثم</w:t>
      </w:r>
      <w:r w:rsidR="00E8128F">
        <w:rPr>
          <w:sz w:val="36"/>
          <w:szCs w:val="36"/>
          <w:rtl/>
        </w:rPr>
        <w:t xml:space="preserve"> </w:t>
      </w:r>
      <w:r w:rsidR="00396CB1" w:rsidRPr="00FD211F">
        <w:rPr>
          <w:sz w:val="36"/>
          <w:szCs w:val="36"/>
          <w:rtl/>
        </w:rPr>
        <w:t>استعملت</w:t>
      </w:r>
      <w:r w:rsidR="00E8128F">
        <w:rPr>
          <w:sz w:val="36"/>
          <w:szCs w:val="36"/>
          <w:rtl/>
        </w:rPr>
        <w:t xml:space="preserve"> </w:t>
      </w:r>
      <w:r w:rsidR="00396CB1" w:rsidRPr="00FD211F">
        <w:rPr>
          <w:sz w:val="36"/>
          <w:szCs w:val="36"/>
          <w:rtl/>
        </w:rPr>
        <w:t>فيمن</w:t>
      </w:r>
      <w:r w:rsidR="00E8128F">
        <w:rPr>
          <w:sz w:val="36"/>
          <w:szCs w:val="36"/>
          <w:rtl/>
        </w:rPr>
        <w:t xml:space="preserve"> </w:t>
      </w:r>
      <w:r w:rsidR="00396CB1" w:rsidRPr="00FD211F">
        <w:rPr>
          <w:sz w:val="36"/>
          <w:szCs w:val="36"/>
          <w:rtl/>
        </w:rPr>
        <w:t>حرفته</w:t>
      </w:r>
      <w:r w:rsidR="00E8128F">
        <w:rPr>
          <w:sz w:val="36"/>
          <w:szCs w:val="36"/>
          <w:rtl/>
        </w:rPr>
        <w:t xml:space="preserve"> </w:t>
      </w:r>
      <w:r w:rsidR="00396CB1" w:rsidRPr="00FD211F">
        <w:rPr>
          <w:sz w:val="36"/>
          <w:szCs w:val="36"/>
          <w:rtl/>
        </w:rPr>
        <w:t>الصياغ</w:t>
      </w:r>
      <w:r w:rsidR="00EC7EDF" w:rsidRPr="00FD211F">
        <w:rPr>
          <w:sz w:val="36"/>
          <w:szCs w:val="36"/>
          <w:rtl/>
        </w:rPr>
        <w:t>ة</w:t>
      </w:r>
      <w:r w:rsidR="00E8128F">
        <w:rPr>
          <w:sz w:val="36"/>
          <w:szCs w:val="36"/>
          <w:rtl/>
        </w:rPr>
        <w:t xml:space="preserve"> </w:t>
      </w:r>
      <w:r w:rsidR="00396CB1" w:rsidRPr="00FD211F">
        <w:rPr>
          <w:sz w:val="36"/>
          <w:szCs w:val="36"/>
          <w:rtl/>
        </w:rPr>
        <w:t>الى</w:t>
      </w:r>
      <w:r w:rsidR="00E8128F">
        <w:rPr>
          <w:sz w:val="36"/>
          <w:szCs w:val="36"/>
          <w:rtl/>
        </w:rPr>
        <w:t xml:space="preserve"> </w:t>
      </w:r>
      <w:r w:rsidR="00396CB1" w:rsidRPr="00FD211F">
        <w:rPr>
          <w:sz w:val="36"/>
          <w:szCs w:val="36"/>
          <w:rtl/>
        </w:rPr>
        <w:t>ان</w:t>
      </w:r>
      <w:r w:rsidR="00E8128F">
        <w:rPr>
          <w:sz w:val="36"/>
          <w:szCs w:val="36"/>
          <w:rtl/>
        </w:rPr>
        <w:t xml:space="preserve"> </w:t>
      </w:r>
      <w:r w:rsidR="00396CB1" w:rsidRPr="00FD211F">
        <w:rPr>
          <w:sz w:val="36"/>
          <w:szCs w:val="36"/>
          <w:rtl/>
        </w:rPr>
        <w:t>صارت</w:t>
      </w:r>
      <w:r w:rsidR="00E8128F">
        <w:rPr>
          <w:sz w:val="36"/>
          <w:szCs w:val="36"/>
          <w:rtl/>
        </w:rPr>
        <w:t xml:space="preserve"> </w:t>
      </w:r>
      <w:r w:rsidR="00396CB1" w:rsidRPr="00FD211F">
        <w:rPr>
          <w:sz w:val="36"/>
          <w:szCs w:val="36"/>
          <w:rtl/>
        </w:rPr>
        <w:t>حقيق</w:t>
      </w:r>
      <w:r w:rsidR="00EC7EDF" w:rsidRPr="00FD211F">
        <w:rPr>
          <w:sz w:val="36"/>
          <w:szCs w:val="36"/>
          <w:rtl/>
        </w:rPr>
        <w:t>ة</w:t>
      </w:r>
      <w:r w:rsidR="00E8128F">
        <w:rPr>
          <w:sz w:val="36"/>
          <w:szCs w:val="36"/>
          <w:rtl/>
        </w:rPr>
        <w:t xml:space="preserve"> </w:t>
      </w:r>
      <w:r w:rsidR="00396CB1" w:rsidRPr="00FD211F">
        <w:rPr>
          <w:sz w:val="36"/>
          <w:szCs w:val="36"/>
          <w:rtl/>
        </w:rPr>
        <w:t>فيه</w:t>
      </w:r>
      <w:r w:rsidR="00E8128F">
        <w:rPr>
          <w:sz w:val="36"/>
          <w:szCs w:val="36"/>
          <w:rtl/>
        </w:rPr>
        <w:t xml:space="preserve"> </w:t>
      </w:r>
      <w:r w:rsidR="00396CB1" w:rsidRPr="00FD211F">
        <w:rPr>
          <w:sz w:val="36"/>
          <w:szCs w:val="36"/>
          <w:rtl/>
        </w:rPr>
        <w:t>فاختلفت</w:t>
      </w:r>
      <w:r w:rsidR="00E8128F">
        <w:rPr>
          <w:sz w:val="36"/>
          <w:szCs w:val="36"/>
          <w:rtl/>
        </w:rPr>
        <w:t xml:space="preserve"> </w:t>
      </w:r>
      <w:r w:rsidR="00396CB1" w:rsidRPr="00FD211F">
        <w:rPr>
          <w:sz w:val="36"/>
          <w:szCs w:val="36"/>
          <w:rtl/>
        </w:rPr>
        <w:t>عن</w:t>
      </w:r>
      <w:r w:rsidR="00E8128F">
        <w:rPr>
          <w:sz w:val="36"/>
          <w:szCs w:val="36"/>
          <w:rtl/>
        </w:rPr>
        <w:t xml:space="preserve"> </w:t>
      </w:r>
      <w:r w:rsidR="00396CB1" w:rsidRPr="00FD211F">
        <w:rPr>
          <w:sz w:val="36"/>
          <w:szCs w:val="36"/>
          <w:rtl/>
        </w:rPr>
        <w:t>غيرها</w:t>
      </w:r>
      <w:r w:rsidR="00603323" w:rsidRPr="00FD211F">
        <w:rPr>
          <w:sz w:val="36"/>
          <w:szCs w:val="36"/>
          <w:rtl/>
        </w:rPr>
        <w:t>،</w:t>
      </w:r>
      <w:r w:rsidR="00E8128F">
        <w:rPr>
          <w:sz w:val="36"/>
          <w:szCs w:val="36"/>
          <w:rtl/>
        </w:rPr>
        <w:t xml:space="preserve"> </w:t>
      </w:r>
      <w:r w:rsidR="0084476D" w:rsidRPr="00FD211F">
        <w:rPr>
          <w:sz w:val="36"/>
          <w:szCs w:val="36"/>
          <w:rtl/>
        </w:rPr>
        <w:t>وهكذا</w:t>
      </w:r>
      <w:r w:rsidR="00E8128F">
        <w:rPr>
          <w:sz w:val="36"/>
          <w:szCs w:val="36"/>
          <w:rtl/>
        </w:rPr>
        <w:t xml:space="preserve"> </w:t>
      </w:r>
      <w:r w:rsidR="0084476D" w:rsidRPr="00FD211F">
        <w:rPr>
          <w:sz w:val="36"/>
          <w:szCs w:val="36"/>
          <w:rtl/>
        </w:rPr>
        <w:t>الأمر</w:t>
      </w:r>
      <w:r w:rsidR="00E8128F">
        <w:rPr>
          <w:sz w:val="36"/>
          <w:szCs w:val="36"/>
          <w:rtl/>
        </w:rPr>
        <w:t xml:space="preserve"> </w:t>
      </w:r>
      <w:r w:rsidR="0084476D" w:rsidRPr="00FD211F">
        <w:rPr>
          <w:sz w:val="36"/>
          <w:szCs w:val="36"/>
          <w:rtl/>
        </w:rPr>
        <w:t>في</w:t>
      </w:r>
      <w:r w:rsidR="00E8128F">
        <w:rPr>
          <w:sz w:val="36"/>
          <w:szCs w:val="36"/>
          <w:rtl/>
        </w:rPr>
        <w:t xml:space="preserve"> </w:t>
      </w:r>
      <w:r w:rsidR="0084476D" w:rsidRPr="00FD211F">
        <w:rPr>
          <w:sz w:val="36"/>
          <w:szCs w:val="36"/>
          <w:rtl/>
        </w:rPr>
        <w:t>مثل</w:t>
      </w:r>
      <w:r w:rsidR="00E8128F">
        <w:rPr>
          <w:sz w:val="36"/>
          <w:szCs w:val="36"/>
          <w:rtl/>
        </w:rPr>
        <w:t xml:space="preserve"> </w:t>
      </w:r>
      <w:r w:rsidR="0084476D" w:rsidRPr="00FD211F">
        <w:rPr>
          <w:sz w:val="36"/>
          <w:szCs w:val="36"/>
          <w:rtl/>
        </w:rPr>
        <w:t>كلم</w:t>
      </w:r>
      <w:r w:rsidR="00EC7EDF" w:rsidRPr="00FD211F">
        <w:rPr>
          <w:sz w:val="36"/>
          <w:szCs w:val="36"/>
          <w:rtl/>
        </w:rPr>
        <w:t>ة</w:t>
      </w:r>
      <w:r w:rsidR="00E8128F">
        <w:rPr>
          <w:sz w:val="36"/>
          <w:szCs w:val="36"/>
          <w:rtl/>
        </w:rPr>
        <w:t xml:space="preserve"> </w:t>
      </w:r>
      <w:r w:rsidR="0084476D" w:rsidRPr="00FD211F">
        <w:rPr>
          <w:sz w:val="36"/>
          <w:szCs w:val="36"/>
          <w:rtl/>
        </w:rPr>
        <w:t>اللابن</w:t>
      </w:r>
      <w:r w:rsidR="00E8128F">
        <w:rPr>
          <w:sz w:val="36"/>
          <w:szCs w:val="36"/>
          <w:rtl/>
        </w:rPr>
        <w:t xml:space="preserve"> </w:t>
      </w:r>
      <w:r w:rsidR="0084476D" w:rsidRPr="00FD211F">
        <w:rPr>
          <w:sz w:val="36"/>
          <w:szCs w:val="36"/>
          <w:rtl/>
        </w:rPr>
        <w:t>والتامر</w:t>
      </w:r>
      <w:r w:rsidR="00E8128F">
        <w:rPr>
          <w:sz w:val="36"/>
          <w:szCs w:val="36"/>
          <w:rtl/>
        </w:rPr>
        <w:t xml:space="preserve"> </w:t>
      </w:r>
      <w:r w:rsidR="0084476D" w:rsidRPr="00FD211F">
        <w:rPr>
          <w:sz w:val="36"/>
          <w:szCs w:val="36"/>
          <w:rtl/>
        </w:rPr>
        <w:t>اي</w:t>
      </w:r>
      <w:r w:rsidR="00E8128F">
        <w:rPr>
          <w:sz w:val="36"/>
          <w:szCs w:val="36"/>
          <w:rtl/>
        </w:rPr>
        <w:t xml:space="preserve"> </w:t>
      </w:r>
      <w:r w:rsidR="0084476D" w:rsidRPr="00FD211F">
        <w:rPr>
          <w:sz w:val="36"/>
          <w:szCs w:val="36"/>
          <w:rtl/>
        </w:rPr>
        <w:t>بائع</w:t>
      </w:r>
      <w:r w:rsidR="00E8128F">
        <w:rPr>
          <w:sz w:val="36"/>
          <w:szCs w:val="36"/>
          <w:rtl/>
        </w:rPr>
        <w:t xml:space="preserve"> </w:t>
      </w:r>
      <w:r w:rsidR="0084476D" w:rsidRPr="00FD211F">
        <w:rPr>
          <w:sz w:val="36"/>
          <w:szCs w:val="36"/>
          <w:rtl/>
        </w:rPr>
        <w:t>اللبن</w:t>
      </w:r>
      <w:r w:rsidR="00E8128F">
        <w:rPr>
          <w:sz w:val="36"/>
          <w:szCs w:val="36"/>
          <w:rtl/>
        </w:rPr>
        <w:t xml:space="preserve"> </w:t>
      </w:r>
      <w:r w:rsidR="0084476D" w:rsidRPr="00FD211F">
        <w:rPr>
          <w:sz w:val="36"/>
          <w:szCs w:val="36"/>
          <w:rtl/>
        </w:rPr>
        <w:t>والتمر</w:t>
      </w:r>
      <w:r w:rsidR="00603323" w:rsidRPr="00FD211F">
        <w:rPr>
          <w:sz w:val="36"/>
          <w:szCs w:val="36"/>
          <w:rtl/>
        </w:rPr>
        <w:t>،</w:t>
      </w:r>
      <w:r w:rsidR="00E8128F">
        <w:rPr>
          <w:sz w:val="36"/>
          <w:szCs w:val="36"/>
          <w:rtl/>
        </w:rPr>
        <w:t xml:space="preserve"> </w:t>
      </w:r>
      <w:r w:rsidR="0084476D" w:rsidRPr="00FD211F">
        <w:rPr>
          <w:sz w:val="36"/>
          <w:szCs w:val="36"/>
          <w:rtl/>
        </w:rPr>
        <w:t>فان</w:t>
      </w:r>
      <w:r w:rsidR="00E8128F">
        <w:rPr>
          <w:sz w:val="36"/>
          <w:szCs w:val="36"/>
          <w:rtl/>
        </w:rPr>
        <w:t xml:space="preserve"> </w:t>
      </w:r>
      <w:r w:rsidR="0084476D" w:rsidRPr="00FD211F">
        <w:rPr>
          <w:sz w:val="36"/>
          <w:szCs w:val="36"/>
          <w:rtl/>
        </w:rPr>
        <w:t>الالتزام</w:t>
      </w:r>
      <w:r w:rsidR="00E8128F">
        <w:rPr>
          <w:sz w:val="36"/>
          <w:szCs w:val="36"/>
          <w:rtl/>
        </w:rPr>
        <w:t xml:space="preserve"> </w:t>
      </w:r>
      <w:r w:rsidR="0084476D" w:rsidRPr="00FD211F">
        <w:rPr>
          <w:sz w:val="36"/>
          <w:szCs w:val="36"/>
          <w:rtl/>
        </w:rPr>
        <w:t>بكون</w:t>
      </w:r>
      <w:r w:rsidR="00E8128F">
        <w:rPr>
          <w:sz w:val="36"/>
          <w:szCs w:val="36"/>
          <w:rtl/>
        </w:rPr>
        <w:t xml:space="preserve"> </w:t>
      </w:r>
      <w:r w:rsidR="0084476D" w:rsidRPr="00FD211F">
        <w:rPr>
          <w:sz w:val="36"/>
          <w:szCs w:val="36"/>
          <w:rtl/>
        </w:rPr>
        <w:t>مدلول</w:t>
      </w:r>
      <w:r w:rsidR="00E8128F">
        <w:rPr>
          <w:sz w:val="36"/>
          <w:szCs w:val="36"/>
          <w:rtl/>
        </w:rPr>
        <w:t xml:space="preserve"> </w:t>
      </w:r>
      <w:r w:rsidR="0084476D" w:rsidRPr="00FD211F">
        <w:rPr>
          <w:sz w:val="36"/>
          <w:szCs w:val="36"/>
          <w:rtl/>
        </w:rPr>
        <w:t>الماد</w:t>
      </w:r>
      <w:r w:rsidR="00EC7EDF" w:rsidRPr="00FD211F">
        <w:rPr>
          <w:sz w:val="36"/>
          <w:szCs w:val="36"/>
          <w:rtl/>
        </w:rPr>
        <w:t>ة</w:t>
      </w:r>
      <w:r w:rsidR="00E8128F">
        <w:rPr>
          <w:sz w:val="36"/>
          <w:szCs w:val="36"/>
          <w:rtl/>
        </w:rPr>
        <w:t xml:space="preserve"> </w:t>
      </w:r>
      <w:r w:rsidR="0084476D" w:rsidRPr="00FD211F">
        <w:rPr>
          <w:sz w:val="36"/>
          <w:szCs w:val="36"/>
          <w:rtl/>
        </w:rPr>
        <w:t>فيهما</w:t>
      </w:r>
      <w:r w:rsidR="00E8128F">
        <w:rPr>
          <w:sz w:val="36"/>
          <w:szCs w:val="36"/>
          <w:rtl/>
        </w:rPr>
        <w:t xml:space="preserve"> </w:t>
      </w:r>
      <w:r w:rsidR="0084476D" w:rsidRPr="00FD211F">
        <w:rPr>
          <w:sz w:val="36"/>
          <w:szCs w:val="36"/>
          <w:rtl/>
        </w:rPr>
        <w:t>هو</w:t>
      </w:r>
      <w:r w:rsidR="00E8128F">
        <w:rPr>
          <w:sz w:val="36"/>
          <w:szCs w:val="36"/>
          <w:rtl/>
        </w:rPr>
        <w:t xml:space="preserve"> </w:t>
      </w:r>
      <w:r w:rsidR="0084476D" w:rsidRPr="00FD211F">
        <w:rPr>
          <w:sz w:val="36"/>
          <w:szCs w:val="36"/>
          <w:rtl/>
        </w:rPr>
        <w:t>بيع</w:t>
      </w:r>
      <w:r w:rsidR="00E8128F">
        <w:rPr>
          <w:sz w:val="36"/>
          <w:szCs w:val="36"/>
          <w:rtl/>
        </w:rPr>
        <w:t xml:space="preserve"> </w:t>
      </w:r>
      <w:r w:rsidR="0084476D" w:rsidRPr="00FD211F">
        <w:rPr>
          <w:sz w:val="36"/>
          <w:szCs w:val="36"/>
          <w:rtl/>
        </w:rPr>
        <w:t>اللبن</w:t>
      </w:r>
      <w:r w:rsidR="00E8128F">
        <w:rPr>
          <w:sz w:val="36"/>
          <w:szCs w:val="36"/>
          <w:rtl/>
        </w:rPr>
        <w:t xml:space="preserve"> </w:t>
      </w:r>
      <w:r w:rsidR="0084476D" w:rsidRPr="00FD211F">
        <w:rPr>
          <w:sz w:val="36"/>
          <w:szCs w:val="36"/>
          <w:rtl/>
        </w:rPr>
        <w:t>والتمر</w:t>
      </w:r>
      <w:r w:rsidR="00E8128F">
        <w:rPr>
          <w:sz w:val="36"/>
          <w:szCs w:val="36"/>
          <w:rtl/>
        </w:rPr>
        <w:t xml:space="preserve"> </w:t>
      </w:r>
      <w:r w:rsidR="0084476D" w:rsidRPr="00FD211F">
        <w:rPr>
          <w:sz w:val="36"/>
          <w:szCs w:val="36"/>
          <w:rtl/>
        </w:rPr>
        <w:t>فيسمى</w:t>
      </w:r>
      <w:r w:rsidR="00E8128F">
        <w:rPr>
          <w:sz w:val="36"/>
          <w:szCs w:val="36"/>
          <w:rtl/>
        </w:rPr>
        <w:t xml:space="preserve"> </w:t>
      </w:r>
      <w:r w:rsidR="0084476D" w:rsidRPr="00FD211F">
        <w:rPr>
          <w:sz w:val="36"/>
          <w:szCs w:val="36"/>
          <w:rtl/>
        </w:rPr>
        <w:t>ذلك</w:t>
      </w:r>
      <w:r w:rsidR="00E8128F">
        <w:rPr>
          <w:sz w:val="36"/>
          <w:szCs w:val="36"/>
          <w:rtl/>
        </w:rPr>
        <w:t xml:space="preserve"> </w:t>
      </w:r>
      <w:r w:rsidR="0084476D" w:rsidRPr="00FD211F">
        <w:rPr>
          <w:sz w:val="36"/>
          <w:szCs w:val="36"/>
          <w:rtl/>
        </w:rPr>
        <w:t>بالمبدأ</w:t>
      </w:r>
      <w:r w:rsidR="00E8128F">
        <w:rPr>
          <w:sz w:val="36"/>
          <w:szCs w:val="36"/>
          <w:rtl/>
        </w:rPr>
        <w:t xml:space="preserve"> </w:t>
      </w:r>
      <w:r w:rsidR="0084476D" w:rsidRPr="00FD211F">
        <w:rPr>
          <w:sz w:val="36"/>
          <w:szCs w:val="36"/>
          <w:rtl/>
        </w:rPr>
        <w:t>الخفي</w:t>
      </w:r>
      <w:r w:rsidR="00E8128F">
        <w:rPr>
          <w:sz w:val="36"/>
          <w:szCs w:val="36"/>
          <w:rtl/>
        </w:rPr>
        <w:t xml:space="preserve"> </w:t>
      </w:r>
      <w:r w:rsidR="0084476D" w:rsidRPr="00FD211F">
        <w:rPr>
          <w:sz w:val="36"/>
          <w:szCs w:val="36"/>
          <w:rtl/>
        </w:rPr>
        <w:t>خلاف</w:t>
      </w:r>
      <w:r w:rsidR="00E8128F">
        <w:rPr>
          <w:sz w:val="36"/>
          <w:szCs w:val="36"/>
          <w:rtl/>
        </w:rPr>
        <w:t xml:space="preserve"> </w:t>
      </w:r>
      <w:r w:rsidR="0084476D" w:rsidRPr="00FD211F">
        <w:rPr>
          <w:sz w:val="36"/>
          <w:szCs w:val="36"/>
          <w:rtl/>
        </w:rPr>
        <w:t>الظاهر</w:t>
      </w:r>
      <w:r w:rsidR="00603323" w:rsidRPr="00FD211F">
        <w:rPr>
          <w:sz w:val="36"/>
          <w:szCs w:val="36"/>
          <w:rtl/>
        </w:rPr>
        <w:t>،</w:t>
      </w:r>
      <w:r w:rsidR="00E8128F">
        <w:rPr>
          <w:sz w:val="36"/>
          <w:szCs w:val="36"/>
          <w:rtl/>
        </w:rPr>
        <w:t xml:space="preserve"> </w:t>
      </w:r>
      <w:r w:rsidR="0084476D" w:rsidRPr="00FD211F">
        <w:rPr>
          <w:sz w:val="36"/>
          <w:szCs w:val="36"/>
          <w:rtl/>
        </w:rPr>
        <w:t>ولايوجد</w:t>
      </w:r>
      <w:r w:rsidR="00E8128F">
        <w:rPr>
          <w:sz w:val="36"/>
          <w:szCs w:val="36"/>
          <w:rtl/>
        </w:rPr>
        <w:t xml:space="preserve"> </w:t>
      </w:r>
      <w:r w:rsidR="0084476D" w:rsidRPr="00FD211F">
        <w:rPr>
          <w:sz w:val="36"/>
          <w:szCs w:val="36"/>
          <w:rtl/>
        </w:rPr>
        <w:t>اي</w:t>
      </w:r>
      <w:r w:rsidR="00E8128F">
        <w:rPr>
          <w:sz w:val="36"/>
          <w:szCs w:val="36"/>
          <w:rtl/>
        </w:rPr>
        <w:t xml:space="preserve"> </w:t>
      </w:r>
      <w:r w:rsidR="0084476D" w:rsidRPr="00FD211F">
        <w:rPr>
          <w:sz w:val="36"/>
          <w:szCs w:val="36"/>
          <w:rtl/>
        </w:rPr>
        <w:t>محذور</w:t>
      </w:r>
      <w:r w:rsidR="00E8128F">
        <w:rPr>
          <w:sz w:val="36"/>
          <w:szCs w:val="36"/>
          <w:rtl/>
        </w:rPr>
        <w:t xml:space="preserve"> </w:t>
      </w:r>
      <w:r w:rsidR="0084476D" w:rsidRPr="00FD211F">
        <w:rPr>
          <w:sz w:val="36"/>
          <w:szCs w:val="36"/>
          <w:rtl/>
        </w:rPr>
        <w:t>في</w:t>
      </w:r>
      <w:r w:rsidR="00E8128F">
        <w:rPr>
          <w:sz w:val="36"/>
          <w:szCs w:val="36"/>
          <w:rtl/>
        </w:rPr>
        <w:t xml:space="preserve"> </w:t>
      </w:r>
      <w:r w:rsidR="0084476D" w:rsidRPr="00FD211F">
        <w:rPr>
          <w:sz w:val="36"/>
          <w:szCs w:val="36"/>
          <w:rtl/>
        </w:rPr>
        <w:t>الالتزام</w:t>
      </w:r>
      <w:r w:rsidR="00E8128F">
        <w:rPr>
          <w:sz w:val="36"/>
          <w:szCs w:val="36"/>
          <w:rtl/>
        </w:rPr>
        <w:t xml:space="preserve"> </w:t>
      </w:r>
      <w:r w:rsidR="0084476D" w:rsidRPr="00FD211F">
        <w:rPr>
          <w:sz w:val="36"/>
          <w:szCs w:val="36"/>
          <w:rtl/>
        </w:rPr>
        <w:t>بدلال</w:t>
      </w:r>
      <w:r w:rsidR="00EC7EDF" w:rsidRPr="00FD211F">
        <w:rPr>
          <w:sz w:val="36"/>
          <w:szCs w:val="36"/>
          <w:rtl/>
        </w:rPr>
        <w:t>ة</w:t>
      </w:r>
      <w:r w:rsidR="00E8128F">
        <w:rPr>
          <w:sz w:val="36"/>
          <w:szCs w:val="36"/>
          <w:rtl/>
        </w:rPr>
        <w:t xml:space="preserve"> </w:t>
      </w:r>
      <w:r w:rsidR="0084476D" w:rsidRPr="00FD211F">
        <w:rPr>
          <w:sz w:val="36"/>
          <w:szCs w:val="36"/>
          <w:rtl/>
        </w:rPr>
        <w:t>هيئتهما</w:t>
      </w:r>
      <w:r w:rsidR="00E8128F">
        <w:rPr>
          <w:sz w:val="36"/>
          <w:szCs w:val="36"/>
          <w:rtl/>
        </w:rPr>
        <w:t xml:space="preserve"> </w:t>
      </w:r>
      <w:r w:rsidR="0084476D" w:rsidRPr="00FD211F">
        <w:rPr>
          <w:sz w:val="36"/>
          <w:szCs w:val="36"/>
          <w:rtl/>
        </w:rPr>
        <w:t>على</w:t>
      </w:r>
      <w:r w:rsidR="00E8128F">
        <w:rPr>
          <w:sz w:val="36"/>
          <w:szCs w:val="36"/>
          <w:rtl/>
        </w:rPr>
        <w:t xml:space="preserve"> </w:t>
      </w:r>
      <w:r w:rsidR="0084476D" w:rsidRPr="00FD211F">
        <w:rPr>
          <w:sz w:val="36"/>
          <w:szCs w:val="36"/>
          <w:rtl/>
        </w:rPr>
        <w:t>ذلك</w:t>
      </w:r>
      <w:r w:rsidR="00603323" w:rsidRPr="00FD211F">
        <w:rPr>
          <w:sz w:val="36"/>
          <w:szCs w:val="36"/>
          <w:rtl/>
        </w:rPr>
        <w:t>،</w:t>
      </w:r>
      <w:r w:rsidR="00E8128F">
        <w:rPr>
          <w:sz w:val="36"/>
          <w:szCs w:val="36"/>
          <w:rtl/>
        </w:rPr>
        <w:t xml:space="preserve"> </w:t>
      </w:r>
      <w:r w:rsidR="0084476D" w:rsidRPr="00FD211F">
        <w:rPr>
          <w:sz w:val="36"/>
          <w:szCs w:val="36"/>
          <w:rtl/>
        </w:rPr>
        <w:t>ولاينافيه</w:t>
      </w:r>
      <w:r w:rsidR="00E8128F">
        <w:rPr>
          <w:sz w:val="36"/>
          <w:szCs w:val="36"/>
          <w:rtl/>
        </w:rPr>
        <w:t xml:space="preserve"> </w:t>
      </w:r>
      <w:r w:rsidR="0084476D" w:rsidRPr="00FD211F">
        <w:rPr>
          <w:sz w:val="36"/>
          <w:szCs w:val="36"/>
          <w:rtl/>
        </w:rPr>
        <w:t>كون</w:t>
      </w:r>
      <w:r w:rsidR="00E8128F">
        <w:rPr>
          <w:sz w:val="36"/>
          <w:szCs w:val="36"/>
          <w:rtl/>
        </w:rPr>
        <w:t xml:space="preserve"> </w:t>
      </w:r>
      <w:r w:rsidR="0084476D" w:rsidRPr="00FD211F">
        <w:rPr>
          <w:sz w:val="36"/>
          <w:szCs w:val="36"/>
          <w:rtl/>
        </w:rPr>
        <w:t>مدلول</w:t>
      </w:r>
      <w:r w:rsidR="00E8128F">
        <w:rPr>
          <w:sz w:val="36"/>
          <w:szCs w:val="36"/>
          <w:rtl/>
        </w:rPr>
        <w:t xml:space="preserve"> </w:t>
      </w:r>
      <w:r w:rsidR="0084476D" w:rsidRPr="00FD211F">
        <w:rPr>
          <w:sz w:val="36"/>
          <w:szCs w:val="36"/>
          <w:rtl/>
        </w:rPr>
        <w:t>الهيئ</w:t>
      </w:r>
      <w:r w:rsidR="00EC7EDF" w:rsidRPr="00FD211F">
        <w:rPr>
          <w:sz w:val="36"/>
          <w:szCs w:val="36"/>
          <w:rtl/>
        </w:rPr>
        <w:t>ة</w:t>
      </w:r>
      <w:r w:rsidR="00E8128F">
        <w:rPr>
          <w:sz w:val="36"/>
          <w:szCs w:val="36"/>
          <w:rtl/>
        </w:rPr>
        <w:t xml:space="preserve"> </w:t>
      </w:r>
      <w:r w:rsidR="0084476D" w:rsidRPr="00FD211F">
        <w:rPr>
          <w:sz w:val="36"/>
          <w:szCs w:val="36"/>
          <w:rtl/>
        </w:rPr>
        <w:t>من</w:t>
      </w:r>
      <w:r w:rsidR="00E8128F">
        <w:rPr>
          <w:sz w:val="36"/>
          <w:szCs w:val="36"/>
          <w:rtl/>
        </w:rPr>
        <w:t xml:space="preserve"> </w:t>
      </w:r>
      <w:r w:rsidR="0084476D" w:rsidRPr="00FD211F">
        <w:rPr>
          <w:sz w:val="36"/>
          <w:szCs w:val="36"/>
          <w:rtl/>
        </w:rPr>
        <w:t>المعاني</w:t>
      </w:r>
      <w:r w:rsidR="00E8128F">
        <w:rPr>
          <w:sz w:val="36"/>
          <w:szCs w:val="36"/>
          <w:rtl/>
        </w:rPr>
        <w:t xml:space="preserve"> </w:t>
      </w:r>
      <w:r w:rsidR="0084476D" w:rsidRPr="00FD211F">
        <w:rPr>
          <w:sz w:val="36"/>
          <w:szCs w:val="36"/>
          <w:rtl/>
        </w:rPr>
        <w:t>الحرفي</w:t>
      </w:r>
      <w:r w:rsidR="00EC7EDF" w:rsidRPr="00FD211F">
        <w:rPr>
          <w:sz w:val="36"/>
          <w:szCs w:val="36"/>
          <w:rtl/>
        </w:rPr>
        <w:t>ة</w:t>
      </w:r>
      <w:r w:rsidR="00603323" w:rsidRPr="00FD211F">
        <w:rPr>
          <w:sz w:val="36"/>
          <w:szCs w:val="36"/>
          <w:rtl/>
        </w:rPr>
        <w:t>،</w:t>
      </w:r>
      <w:r w:rsidR="00E8128F">
        <w:rPr>
          <w:sz w:val="36"/>
          <w:szCs w:val="36"/>
          <w:rtl/>
        </w:rPr>
        <w:t xml:space="preserve"> </w:t>
      </w:r>
      <w:r w:rsidR="00396CB1" w:rsidRPr="00FD211F">
        <w:rPr>
          <w:sz w:val="36"/>
          <w:szCs w:val="36"/>
          <w:rtl/>
        </w:rPr>
        <w:t>واما</w:t>
      </w:r>
      <w:r w:rsidR="00E8128F">
        <w:rPr>
          <w:sz w:val="36"/>
          <w:szCs w:val="36"/>
          <w:rtl/>
        </w:rPr>
        <w:t xml:space="preserve"> </w:t>
      </w:r>
      <w:r w:rsidR="00396CB1" w:rsidRPr="00FD211F">
        <w:rPr>
          <w:sz w:val="36"/>
          <w:szCs w:val="36"/>
          <w:rtl/>
        </w:rPr>
        <w:t>في</w:t>
      </w:r>
      <w:r w:rsidR="00E8128F">
        <w:rPr>
          <w:sz w:val="36"/>
          <w:szCs w:val="36"/>
          <w:rtl/>
        </w:rPr>
        <w:t xml:space="preserve"> </w:t>
      </w:r>
      <w:r w:rsidR="00396CB1" w:rsidRPr="00FD211F">
        <w:rPr>
          <w:sz w:val="36"/>
          <w:szCs w:val="36"/>
          <w:rtl/>
        </w:rPr>
        <w:t>مثل</w:t>
      </w:r>
      <w:r w:rsidR="00E8128F">
        <w:rPr>
          <w:sz w:val="36"/>
          <w:szCs w:val="36"/>
          <w:rtl/>
        </w:rPr>
        <w:t xml:space="preserve"> </w:t>
      </w:r>
      <w:r w:rsidR="00396CB1" w:rsidRPr="00FD211F">
        <w:rPr>
          <w:sz w:val="36"/>
          <w:szCs w:val="36"/>
          <w:rtl/>
        </w:rPr>
        <w:t>اسم</w:t>
      </w:r>
      <w:r w:rsidR="00E8128F">
        <w:rPr>
          <w:sz w:val="36"/>
          <w:szCs w:val="36"/>
          <w:rtl/>
        </w:rPr>
        <w:t xml:space="preserve"> </w:t>
      </w:r>
      <w:r w:rsidR="00396CB1" w:rsidRPr="00FD211F">
        <w:rPr>
          <w:sz w:val="36"/>
          <w:szCs w:val="36"/>
          <w:rtl/>
        </w:rPr>
        <w:t>الآل</w:t>
      </w:r>
      <w:r w:rsidR="00EC7EDF" w:rsidRPr="00FD211F">
        <w:rPr>
          <w:sz w:val="36"/>
          <w:szCs w:val="36"/>
          <w:rtl/>
        </w:rPr>
        <w:t>ة</w:t>
      </w:r>
      <w:r w:rsidR="00E8128F">
        <w:rPr>
          <w:sz w:val="36"/>
          <w:szCs w:val="36"/>
          <w:rtl/>
        </w:rPr>
        <w:t xml:space="preserve"> </w:t>
      </w:r>
      <w:r w:rsidR="00396CB1" w:rsidRPr="00FD211F">
        <w:rPr>
          <w:sz w:val="36"/>
          <w:szCs w:val="36"/>
          <w:rtl/>
        </w:rPr>
        <w:t>كالمفتاح</w:t>
      </w:r>
      <w:r w:rsidR="00E8128F">
        <w:rPr>
          <w:sz w:val="36"/>
          <w:szCs w:val="36"/>
          <w:rtl/>
        </w:rPr>
        <w:t xml:space="preserve"> </w:t>
      </w:r>
      <w:r w:rsidR="00396CB1" w:rsidRPr="00FD211F">
        <w:rPr>
          <w:sz w:val="36"/>
          <w:szCs w:val="36"/>
          <w:rtl/>
        </w:rPr>
        <w:t>فلامحذور</w:t>
      </w:r>
      <w:r w:rsidR="00E8128F">
        <w:rPr>
          <w:sz w:val="36"/>
          <w:szCs w:val="36"/>
          <w:rtl/>
        </w:rPr>
        <w:t xml:space="preserve"> </w:t>
      </w:r>
      <w:r w:rsidR="00396CB1" w:rsidRPr="00FD211F">
        <w:rPr>
          <w:sz w:val="36"/>
          <w:szCs w:val="36"/>
          <w:rtl/>
        </w:rPr>
        <w:t>في</w:t>
      </w:r>
      <w:r w:rsidR="00E8128F">
        <w:rPr>
          <w:sz w:val="36"/>
          <w:szCs w:val="36"/>
          <w:rtl/>
        </w:rPr>
        <w:t xml:space="preserve"> </w:t>
      </w:r>
      <w:r w:rsidR="00396CB1" w:rsidRPr="00FD211F">
        <w:rPr>
          <w:sz w:val="36"/>
          <w:szCs w:val="36"/>
          <w:rtl/>
        </w:rPr>
        <w:t>الالتزام</w:t>
      </w:r>
      <w:r w:rsidR="00E8128F">
        <w:rPr>
          <w:sz w:val="36"/>
          <w:szCs w:val="36"/>
          <w:rtl/>
        </w:rPr>
        <w:t xml:space="preserve"> </w:t>
      </w:r>
      <w:r w:rsidR="00396CB1" w:rsidRPr="00FD211F">
        <w:rPr>
          <w:sz w:val="36"/>
          <w:szCs w:val="36"/>
          <w:rtl/>
        </w:rPr>
        <w:t>بوضع</w:t>
      </w:r>
      <w:r w:rsidR="00E8128F">
        <w:rPr>
          <w:sz w:val="36"/>
          <w:szCs w:val="36"/>
          <w:rtl/>
        </w:rPr>
        <w:t xml:space="preserve"> </w:t>
      </w:r>
      <w:r w:rsidR="00396CB1" w:rsidRPr="00FD211F">
        <w:rPr>
          <w:sz w:val="36"/>
          <w:szCs w:val="36"/>
          <w:rtl/>
        </w:rPr>
        <w:t>هيئته</w:t>
      </w:r>
      <w:r w:rsidR="00E8128F">
        <w:rPr>
          <w:sz w:val="36"/>
          <w:szCs w:val="36"/>
          <w:rtl/>
        </w:rPr>
        <w:t xml:space="preserve"> </w:t>
      </w:r>
      <w:r w:rsidR="00396CB1" w:rsidRPr="00FD211F">
        <w:rPr>
          <w:sz w:val="36"/>
          <w:szCs w:val="36"/>
          <w:rtl/>
        </w:rPr>
        <w:t>نوعيا</w:t>
      </w:r>
      <w:r w:rsidR="00E8128F">
        <w:rPr>
          <w:sz w:val="36"/>
          <w:szCs w:val="36"/>
          <w:rtl/>
        </w:rPr>
        <w:t xml:space="preserve"> </w:t>
      </w:r>
      <w:r w:rsidR="00396CB1" w:rsidRPr="00FD211F">
        <w:rPr>
          <w:sz w:val="36"/>
          <w:szCs w:val="36"/>
          <w:rtl/>
        </w:rPr>
        <w:t>للنسب</w:t>
      </w:r>
      <w:r w:rsidR="00EC7EDF" w:rsidRPr="00FD211F">
        <w:rPr>
          <w:sz w:val="36"/>
          <w:szCs w:val="36"/>
          <w:rtl/>
        </w:rPr>
        <w:t>ة</w:t>
      </w:r>
      <w:r w:rsidR="00E8128F">
        <w:rPr>
          <w:sz w:val="36"/>
          <w:szCs w:val="36"/>
          <w:rtl/>
        </w:rPr>
        <w:t xml:space="preserve"> </w:t>
      </w:r>
      <w:r w:rsidR="00396CB1" w:rsidRPr="00FD211F">
        <w:rPr>
          <w:sz w:val="36"/>
          <w:szCs w:val="36"/>
          <w:rtl/>
        </w:rPr>
        <w:t>الإعدادي</w:t>
      </w:r>
      <w:r w:rsidR="00EC7EDF" w:rsidRPr="00FD211F">
        <w:rPr>
          <w:sz w:val="36"/>
          <w:szCs w:val="36"/>
          <w:rtl/>
        </w:rPr>
        <w:t>ة</w:t>
      </w:r>
      <w:r w:rsidR="00E8128F">
        <w:rPr>
          <w:sz w:val="36"/>
          <w:szCs w:val="36"/>
          <w:rtl/>
        </w:rPr>
        <w:t xml:space="preserve"> </w:t>
      </w:r>
      <w:r w:rsidR="00396CB1" w:rsidRPr="00FD211F">
        <w:rPr>
          <w:sz w:val="36"/>
          <w:szCs w:val="36"/>
          <w:rtl/>
        </w:rPr>
        <w:t>ل</w:t>
      </w:r>
      <w:r w:rsidR="003202D7" w:rsidRPr="00FD211F">
        <w:rPr>
          <w:sz w:val="36"/>
          <w:szCs w:val="36"/>
          <w:rtl/>
        </w:rPr>
        <w:t>ان</w:t>
      </w:r>
      <w:r w:rsidR="00E8128F">
        <w:rPr>
          <w:sz w:val="36"/>
          <w:szCs w:val="36"/>
          <w:rtl/>
        </w:rPr>
        <w:t xml:space="preserve"> </w:t>
      </w:r>
      <w:r w:rsidR="003202D7" w:rsidRPr="00FD211F">
        <w:rPr>
          <w:sz w:val="36"/>
          <w:szCs w:val="36"/>
          <w:rtl/>
        </w:rPr>
        <w:t>هذه</w:t>
      </w:r>
      <w:r w:rsidR="00E8128F">
        <w:rPr>
          <w:sz w:val="36"/>
          <w:szCs w:val="36"/>
          <w:rtl/>
        </w:rPr>
        <w:t xml:space="preserve"> </w:t>
      </w:r>
      <w:r w:rsidR="003202D7" w:rsidRPr="00FD211F">
        <w:rPr>
          <w:sz w:val="36"/>
          <w:szCs w:val="36"/>
          <w:rtl/>
        </w:rPr>
        <w:t>الهيئ</w:t>
      </w:r>
      <w:r w:rsidR="00EC7EDF" w:rsidRPr="00FD211F">
        <w:rPr>
          <w:sz w:val="36"/>
          <w:szCs w:val="36"/>
          <w:rtl/>
        </w:rPr>
        <w:t>ة</w:t>
      </w:r>
      <w:r w:rsidR="00E8128F">
        <w:rPr>
          <w:sz w:val="36"/>
          <w:szCs w:val="36"/>
          <w:rtl/>
        </w:rPr>
        <w:t xml:space="preserve"> </w:t>
      </w:r>
      <w:r w:rsidR="003202D7" w:rsidRPr="00FD211F">
        <w:rPr>
          <w:sz w:val="36"/>
          <w:szCs w:val="36"/>
          <w:rtl/>
        </w:rPr>
        <w:t>تدل</w:t>
      </w:r>
      <w:r w:rsidR="00E8128F">
        <w:rPr>
          <w:sz w:val="36"/>
          <w:szCs w:val="36"/>
          <w:rtl/>
        </w:rPr>
        <w:t xml:space="preserve"> </w:t>
      </w:r>
      <w:r w:rsidR="003202D7" w:rsidRPr="00FD211F">
        <w:rPr>
          <w:sz w:val="36"/>
          <w:szCs w:val="36"/>
          <w:rtl/>
        </w:rPr>
        <w:t>على</w:t>
      </w:r>
      <w:r w:rsidR="00E8128F">
        <w:rPr>
          <w:sz w:val="36"/>
          <w:szCs w:val="36"/>
          <w:rtl/>
        </w:rPr>
        <w:t xml:space="preserve"> </w:t>
      </w:r>
      <w:r w:rsidR="003202D7" w:rsidRPr="00FD211F">
        <w:rPr>
          <w:sz w:val="36"/>
          <w:szCs w:val="36"/>
          <w:rtl/>
        </w:rPr>
        <w:t>اسم</w:t>
      </w:r>
      <w:r w:rsidR="00E8128F">
        <w:rPr>
          <w:sz w:val="36"/>
          <w:szCs w:val="36"/>
          <w:rtl/>
        </w:rPr>
        <w:t xml:space="preserve"> </w:t>
      </w:r>
      <w:r w:rsidR="003202D7" w:rsidRPr="00FD211F">
        <w:rPr>
          <w:sz w:val="36"/>
          <w:szCs w:val="36"/>
          <w:rtl/>
        </w:rPr>
        <w:t>الآل</w:t>
      </w:r>
      <w:r w:rsidR="00EC7EDF" w:rsidRPr="00FD211F">
        <w:rPr>
          <w:sz w:val="36"/>
          <w:szCs w:val="36"/>
          <w:rtl/>
        </w:rPr>
        <w:t>ة</w:t>
      </w:r>
      <w:r w:rsidR="00E8128F">
        <w:rPr>
          <w:sz w:val="36"/>
          <w:szCs w:val="36"/>
          <w:rtl/>
        </w:rPr>
        <w:t xml:space="preserve"> </w:t>
      </w:r>
      <w:r w:rsidR="003202D7" w:rsidRPr="00FD211F">
        <w:rPr>
          <w:sz w:val="36"/>
          <w:szCs w:val="36"/>
          <w:rtl/>
        </w:rPr>
        <w:t>دائما</w:t>
      </w:r>
      <w:r w:rsidR="00E8128F">
        <w:rPr>
          <w:sz w:val="36"/>
          <w:szCs w:val="36"/>
          <w:rtl/>
        </w:rPr>
        <w:t xml:space="preserve"> </w:t>
      </w:r>
      <w:r w:rsidR="00396CB1" w:rsidRPr="00FD211F">
        <w:rPr>
          <w:sz w:val="36"/>
          <w:szCs w:val="36"/>
          <w:rtl/>
        </w:rPr>
        <w:t>سيلانها</w:t>
      </w:r>
      <w:r w:rsidR="00E8128F">
        <w:rPr>
          <w:sz w:val="36"/>
          <w:szCs w:val="36"/>
          <w:rtl/>
        </w:rPr>
        <w:t xml:space="preserve"> </w:t>
      </w:r>
      <w:r w:rsidR="00396CB1" w:rsidRPr="00FD211F">
        <w:rPr>
          <w:sz w:val="36"/>
          <w:szCs w:val="36"/>
          <w:rtl/>
        </w:rPr>
        <w:t>في</w:t>
      </w:r>
      <w:r w:rsidR="00E8128F">
        <w:rPr>
          <w:sz w:val="36"/>
          <w:szCs w:val="36"/>
          <w:rtl/>
        </w:rPr>
        <w:t xml:space="preserve"> </w:t>
      </w:r>
      <w:r w:rsidR="00396CB1" w:rsidRPr="00FD211F">
        <w:rPr>
          <w:sz w:val="36"/>
          <w:szCs w:val="36"/>
          <w:rtl/>
        </w:rPr>
        <w:t>جميع</w:t>
      </w:r>
      <w:r w:rsidR="00E8128F">
        <w:rPr>
          <w:sz w:val="36"/>
          <w:szCs w:val="36"/>
          <w:rtl/>
        </w:rPr>
        <w:t xml:space="preserve"> </w:t>
      </w:r>
      <w:r w:rsidR="00396CB1" w:rsidRPr="00FD211F">
        <w:rPr>
          <w:sz w:val="36"/>
          <w:szCs w:val="36"/>
          <w:rtl/>
        </w:rPr>
        <w:t>المواد.</w:t>
      </w:r>
    </w:p>
    <w:p w14:paraId="354276F6" w14:textId="77777777" w:rsidR="003202D7" w:rsidRPr="00FD211F" w:rsidRDefault="00396CB1"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لايخفى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الأسماء</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لايعتبر</w:t>
      </w:r>
      <w:r w:rsidR="00E8128F">
        <w:rPr>
          <w:sz w:val="36"/>
          <w:szCs w:val="36"/>
          <w:rtl/>
        </w:rPr>
        <w:t xml:space="preserve"> </w:t>
      </w:r>
      <w:r w:rsidRPr="00FD211F">
        <w:rPr>
          <w:sz w:val="36"/>
          <w:szCs w:val="36"/>
          <w:rtl/>
        </w:rPr>
        <w:t>فيها</w:t>
      </w:r>
      <w:r w:rsidR="00E8128F">
        <w:rPr>
          <w:sz w:val="36"/>
          <w:szCs w:val="36"/>
          <w:rtl/>
        </w:rPr>
        <w:t xml:space="preserve"> </w:t>
      </w:r>
      <w:r w:rsidRPr="00FD211F">
        <w:rPr>
          <w:sz w:val="36"/>
          <w:szCs w:val="36"/>
          <w:rtl/>
        </w:rPr>
        <w:t>حتى</w:t>
      </w:r>
      <w:r w:rsidR="00E8128F">
        <w:rPr>
          <w:sz w:val="36"/>
          <w:szCs w:val="36"/>
          <w:rtl/>
        </w:rPr>
        <w:t xml:space="preserve"> </w:t>
      </w:r>
      <w:r w:rsidRPr="00FD211F">
        <w:rPr>
          <w:sz w:val="36"/>
          <w:szCs w:val="36"/>
          <w:rtl/>
        </w:rPr>
        <w:t>سبق</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الفعلي</w:t>
      </w:r>
      <w:r w:rsidR="00E8128F">
        <w:rPr>
          <w:sz w:val="36"/>
          <w:szCs w:val="36"/>
          <w:rtl/>
        </w:rPr>
        <w:t xml:space="preserve"> </w:t>
      </w:r>
      <w:r w:rsidRPr="00FD211F">
        <w:rPr>
          <w:sz w:val="36"/>
          <w:szCs w:val="36"/>
          <w:rtl/>
        </w:rPr>
        <w:t>بال</w:t>
      </w:r>
      <w:r w:rsidR="0079493B" w:rsidRPr="00FD211F">
        <w:rPr>
          <w:sz w:val="36"/>
          <w:szCs w:val="36"/>
          <w:rtl/>
        </w:rPr>
        <w:t>مبدأ</w:t>
      </w:r>
      <w:r w:rsidR="00603323" w:rsidRPr="00FD211F">
        <w:rPr>
          <w:sz w:val="36"/>
          <w:szCs w:val="36"/>
          <w:rtl/>
        </w:rPr>
        <w:t>،</w:t>
      </w:r>
      <w:r w:rsidR="00E8128F">
        <w:rPr>
          <w:sz w:val="36"/>
          <w:szCs w:val="36"/>
          <w:rtl/>
        </w:rPr>
        <w:t xml:space="preserve"> </w:t>
      </w:r>
      <w:r w:rsidRPr="00FD211F">
        <w:rPr>
          <w:sz w:val="36"/>
          <w:szCs w:val="36"/>
          <w:rtl/>
        </w:rPr>
        <w:t>فالمفتاح</w:t>
      </w:r>
      <w:r w:rsidR="00E8128F">
        <w:rPr>
          <w:sz w:val="36"/>
          <w:szCs w:val="36"/>
          <w:rtl/>
        </w:rPr>
        <w:t xml:space="preserve"> </w:t>
      </w:r>
      <w:r w:rsidR="00700945" w:rsidRPr="00FD211F">
        <w:rPr>
          <w:sz w:val="36"/>
          <w:szCs w:val="36"/>
          <w:rtl/>
        </w:rPr>
        <w:t>هو</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أعدّ</w:t>
      </w:r>
      <w:r w:rsidR="00E8128F">
        <w:rPr>
          <w:sz w:val="36"/>
          <w:szCs w:val="36"/>
          <w:rtl/>
        </w:rPr>
        <w:t xml:space="preserve"> </w:t>
      </w:r>
      <w:r w:rsidRPr="00FD211F">
        <w:rPr>
          <w:sz w:val="36"/>
          <w:szCs w:val="36"/>
          <w:rtl/>
        </w:rPr>
        <w:t>للفتح</w:t>
      </w:r>
      <w:r w:rsidR="00E8128F">
        <w:rPr>
          <w:sz w:val="36"/>
          <w:szCs w:val="36"/>
          <w:rtl/>
        </w:rPr>
        <w:t xml:space="preserve"> </w:t>
      </w:r>
      <w:r w:rsidRPr="00FD211F">
        <w:rPr>
          <w:sz w:val="36"/>
          <w:szCs w:val="36"/>
          <w:rtl/>
        </w:rPr>
        <w:t>ول</w:t>
      </w:r>
      <w:r w:rsidR="009977FE" w:rsidRPr="00FD211F">
        <w:rPr>
          <w:sz w:val="36"/>
          <w:szCs w:val="36"/>
          <w:rtl/>
        </w:rPr>
        <w:t>و</w:t>
      </w:r>
      <w:r w:rsidR="00E8128F">
        <w:rPr>
          <w:sz w:val="36"/>
          <w:szCs w:val="36"/>
          <w:rtl/>
        </w:rPr>
        <w:t xml:space="preserve"> </w:t>
      </w:r>
      <w:r w:rsidR="008D7B3D" w:rsidRPr="00FD211F">
        <w:rPr>
          <w:sz w:val="36"/>
          <w:szCs w:val="36"/>
          <w:rtl/>
        </w:rPr>
        <w:t>لم‌</w:t>
      </w:r>
      <w:r w:rsidRPr="00FD211F">
        <w:rPr>
          <w:sz w:val="36"/>
          <w:szCs w:val="36"/>
          <w:rtl/>
        </w:rPr>
        <w:t>يفتح</w:t>
      </w:r>
      <w:r w:rsidR="00E8128F">
        <w:rPr>
          <w:sz w:val="36"/>
          <w:szCs w:val="36"/>
          <w:rtl/>
        </w:rPr>
        <w:t xml:space="preserve"> </w:t>
      </w:r>
      <w:r w:rsidRPr="00FD211F">
        <w:rPr>
          <w:sz w:val="36"/>
          <w:szCs w:val="36"/>
          <w:rtl/>
        </w:rPr>
        <w:t>به</w:t>
      </w:r>
      <w:r w:rsidR="00E8128F">
        <w:rPr>
          <w:sz w:val="36"/>
          <w:szCs w:val="36"/>
          <w:rtl/>
        </w:rPr>
        <w:t xml:space="preserve"> </w:t>
      </w:r>
      <w:r w:rsidRPr="00FD211F">
        <w:rPr>
          <w:sz w:val="36"/>
          <w:szCs w:val="36"/>
          <w:rtl/>
        </w:rPr>
        <w:t>باب</w:t>
      </w:r>
      <w:r w:rsidR="00E8128F">
        <w:rPr>
          <w:sz w:val="36"/>
          <w:szCs w:val="36"/>
          <w:rtl/>
        </w:rPr>
        <w:t xml:space="preserve"> </w:t>
      </w:r>
      <w:r w:rsidRPr="00FD211F">
        <w:rPr>
          <w:sz w:val="36"/>
          <w:szCs w:val="36"/>
          <w:rtl/>
        </w:rPr>
        <w:t>أبدا</w:t>
      </w:r>
      <w:r w:rsidR="00603323" w:rsidRPr="00FD211F">
        <w:rPr>
          <w:sz w:val="36"/>
          <w:szCs w:val="36"/>
          <w:rtl/>
        </w:rPr>
        <w:t>،</w:t>
      </w:r>
      <w:r w:rsidR="00E8128F">
        <w:rPr>
          <w:sz w:val="36"/>
          <w:szCs w:val="36"/>
          <w:rtl/>
        </w:rPr>
        <w:t xml:space="preserve"> </w:t>
      </w:r>
      <w:r w:rsidRPr="00FD211F">
        <w:rPr>
          <w:sz w:val="36"/>
          <w:szCs w:val="36"/>
          <w:rtl/>
        </w:rPr>
        <w:t>فتوهم</w:t>
      </w:r>
      <w:r w:rsidR="00E8128F">
        <w:rPr>
          <w:sz w:val="36"/>
          <w:szCs w:val="36"/>
          <w:rtl/>
        </w:rPr>
        <w:t xml:space="preserve"> </w:t>
      </w:r>
      <w:r w:rsidRPr="00FD211F">
        <w:rPr>
          <w:sz w:val="36"/>
          <w:szCs w:val="36"/>
          <w:rtl/>
        </w:rPr>
        <w:t>الوضع</w:t>
      </w:r>
      <w:r w:rsidR="00E8128F">
        <w:rPr>
          <w:sz w:val="36"/>
          <w:szCs w:val="36"/>
          <w:rtl/>
        </w:rPr>
        <w:t xml:space="preserve"> </w:t>
      </w:r>
      <w:r w:rsidRPr="00FD211F">
        <w:rPr>
          <w:sz w:val="36"/>
          <w:szCs w:val="36"/>
          <w:rtl/>
        </w:rPr>
        <w:t>فيها</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بعيد</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الصواب</w:t>
      </w:r>
      <w:r w:rsidR="00E8128F">
        <w:rPr>
          <w:sz w:val="36"/>
          <w:szCs w:val="36"/>
          <w:rtl/>
        </w:rPr>
        <w:t xml:space="preserve"> </w:t>
      </w:r>
      <w:r w:rsidRPr="00FD211F">
        <w:rPr>
          <w:sz w:val="36"/>
          <w:szCs w:val="36"/>
          <w:rtl/>
        </w:rPr>
        <w:t>جدّا</w:t>
      </w:r>
      <w:r w:rsidR="003202D7" w:rsidRPr="00FD211F">
        <w:rPr>
          <w:sz w:val="36"/>
          <w:szCs w:val="36"/>
          <w:rtl/>
        </w:rPr>
        <w:t>.</w:t>
      </w:r>
    </w:p>
    <w:p w14:paraId="51DA9D39" w14:textId="77777777" w:rsidR="000C5BBA" w:rsidRPr="00FD211F" w:rsidRDefault="00396CB1"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الايرواني</w:t>
      </w:r>
      <w:r w:rsidR="00E8128F">
        <w:rPr>
          <w:sz w:val="36"/>
          <w:szCs w:val="36"/>
          <w:rtl/>
        </w:rPr>
        <w:t xml:space="preserve"> </w:t>
      </w:r>
      <w:r w:rsidR="00B1734E" w:rsidRPr="00FD211F">
        <w:rPr>
          <w:sz w:val="36"/>
          <w:szCs w:val="36"/>
          <w:rtl/>
        </w:rPr>
        <w:t>"قده"</w:t>
      </w:r>
      <w:r w:rsidR="00E8128F">
        <w:rPr>
          <w:sz w:val="36"/>
          <w:szCs w:val="36"/>
          <w:rtl/>
        </w:rPr>
        <w:t xml:space="preserve"> </w:t>
      </w:r>
      <w:r w:rsidRPr="00FD211F">
        <w:rPr>
          <w:sz w:val="36"/>
          <w:szCs w:val="36"/>
          <w:rtl/>
        </w:rPr>
        <w:t>التزم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الفاعل</w:t>
      </w:r>
      <w:r w:rsidR="00E8128F">
        <w:rPr>
          <w:sz w:val="36"/>
          <w:szCs w:val="36"/>
          <w:rtl/>
        </w:rPr>
        <w:t xml:space="preserve"> </w:t>
      </w:r>
      <w:r w:rsidRPr="00FD211F">
        <w:rPr>
          <w:sz w:val="36"/>
          <w:szCs w:val="36"/>
          <w:rtl/>
        </w:rPr>
        <w:t>وما</w:t>
      </w:r>
      <w:r w:rsidR="00E8128F">
        <w:rPr>
          <w:sz w:val="36"/>
          <w:szCs w:val="36"/>
          <w:rtl/>
        </w:rPr>
        <w:t xml:space="preserve"> </w:t>
      </w:r>
      <w:r w:rsidRPr="00FD211F">
        <w:rPr>
          <w:sz w:val="36"/>
          <w:szCs w:val="36"/>
          <w:rtl/>
        </w:rPr>
        <w:t>بحكمه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صيغ</w:t>
      </w:r>
      <w:r w:rsidR="00EC7EDF" w:rsidRPr="00FD211F">
        <w:rPr>
          <w:sz w:val="36"/>
          <w:szCs w:val="36"/>
          <w:rtl/>
        </w:rPr>
        <w:t>ة</w:t>
      </w:r>
      <w:r w:rsidR="00E8128F">
        <w:rPr>
          <w:sz w:val="36"/>
          <w:szCs w:val="36"/>
          <w:rtl/>
        </w:rPr>
        <w:t xml:space="preserve"> </w:t>
      </w:r>
      <w:r w:rsidRPr="00FD211F">
        <w:rPr>
          <w:sz w:val="36"/>
          <w:szCs w:val="36"/>
          <w:rtl/>
        </w:rPr>
        <w:t>المبالغ</w:t>
      </w:r>
      <w:r w:rsidR="00EC7EDF" w:rsidRPr="00FD211F">
        <w:rPr>
          <w:sz w:val="36"/>
          <w:szCs w:val="36"/>
          <w:rtl/>
        </w:rPr>
        <w:t>ة</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يستند</w:t>
      </w:r>
      <w:r w:rsidR="00E8128F">
        <w:rPr>
          <w:sz w:val="36"/>
          <w:szCs w:val="36"/>
          <w:rtl/>
        </w:rPr>
        <w:t xml:space="preserve"> </w:t>
      </w:r>
      <w:r w:rsidRPr="00FD211F">
        <w:rPr>
          <w:sz w:val="36"/>
          <w:szCs w:val="36"/>
          <w:rtl/>
        </w:rPr>
        <w:t>اليه</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بنسب</w:t>
      </w:r>
      <w:r w:rsidR="00EC7EDF" w:rsidRPr="00FD211F">
        <w:rPr>
          <w:sz w:val="36"/>
          <w:szCs w:val="36"/>
          <w:rtl/>
        </w:rPr>
        <w:t>ة</w:t>
      </w:r>
      <w:r w:rsidR="00E8128F">
        <w:rPr>
          <w:sz w:val="36"/>
          <w:szCs w:val="36"/>
          <w:rtl/>
        </w:rPr>
        <w:t xml:space="preserve"> </w:t>
      </w:r>
      <w:r w:rsidRPr="00FD211F">
        <w:rPr>
          <w:sz w:val="36"/>
          <w:szCs w:val="36"/>
          <w:rtl/>
        </w:rPr>
        <w:t>صدوري</w:t>
      </w:r>
      <w:r w:rsidR="00EC7EDF" w:rsidRPr="00FD211F">
        <w:rPr>
          <w:sz w:val="36"/>
          <w:szCs w:val="36"/>
          <w:rtl/>
        </w:rPr>
        <w:t>ة</w:t>
      </w:r>
      <w:r w:rsidR="00E8128F">
        <w:rPr>
          <w:sz w:val="36"/>
          <w:szCs w:val="36"/>
          <w:rtl/>
        </w:rPr>
        <w:t xml:space="preserve"> </w:t>
      </w:r>
      <w:r w:rsidR="00E4212B" w:rsidRPr="00FD211F">
        <w:rPr>
          <w:sz w:val="36"/>
          <w:szCs w:val="36"/>
          <w:rtl/>
        </w:rPr>
        <w:t>-</w:t>
      </w:r>
      <w:r w:rsidRPr="00FD211F">
        <w:rPr>
          <w:sz w:val="36"/>
          <w:szCs w:val="36"/>
          <w:rtl/>
        </w:rPr>
        <w:t>كالضارب</w:t>
      </w:r>
      <w:r w:rsidR="00E8128F">
        <w:rPr>
          <w:sz w:val="36"/>
          <w:szCs w:val="36"/>
          <w:rtl/>
        </w:rPr>
        <w:t xml:space="preserve"> </w:t>
      </w:r>
      <w:r w:rsidRPr="00FD211F">
        <w:rPr>
          <w:sz w:val="36"/>
          <w:szCs w:val="36"/>
          <w:rtl/>
        </w:rPr>
        <w:t>والقاتل</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العال</w:t>
      </w:r>
      <w:r w:rsidR="00E4212B" w:rsidRPr="00FD211F">
        <w:rPr>
          <w:sz w:val="36"/>
          <w:szCs w:val="36"/>
          <w:rtl/>
        </w:rPr>
        <w:t>ِ</w:t>
      </w:r>
      <w:r w:rsidRPr="00FD211F">
        <w:rPr>
          <w:sz w:val="36"/>
          <w:szCs w:val="36"/>
          <w:rtl/>
        </w:rPr>
        <w:t>م</w:t>
      </w:r>
      <w:r w:rsidR="00E8128F">
        <w:rPr>
          <w:sz w:val="36"/>
          <w:szCs w:val="36"/>
          <w:rtl/>
        </w:rPr>
        <w:t xml:space="preserve"> </w:t>
      </w:r>
      <w:r w:rsidR="00E4212B" w:rsidRPr="00FD211F">
        <w:rPr>
          <w:sz w:val="36"/>
          <w:szCs w:val="36"/>
          <w:rtl/>
        </w:rPr>
        <w:t>-</w:t>
      </w:r>
      <w:r w:rsidRPr="00FD211F">
        <w:rPr>
          <w:sz w:val="36"/>
          <w:szCs w:val="36"/>
          <w:rtl/>
        </w:rPr>
        <w:t>بوضعه</w:t>
      </w:r>
      <w:r w:rsidR="00E8128F">
        <w:rPr>
          <w:sz w:val="36"/>
          <w:szCs w:val="36"/>
          <w:rtl/>
        </w:rPr>
        <w:t xml:space="preserve"> </w:t>
      </w:r>
      <w:r w:rsidRPr="00FD211F">
        <w:rPr>
          <w:sz w:val="36"/>
          <w:szCs w:val="36"/>
          <w:rtl/>
        </w:rPr>
        <w:t>لاقتضاء</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بال</w:t>
      </w:r>
      <w:r w:rsidR="0079493B" w:rsidRPr="00FD211F">
        <w:rPr>
          <w:sz w:val="36"/>
          <w:szCs w:val="36"/>
          <w:rtl/>
        </w:rPr>
        <w:t>مبدأ</w:t>
      </w:r>
      <w:r w:rsidR="00603323" w:rsidRPr="00FD211F">
        <w:rPr>
          <w:sz w:val="36"/>
          <w:szCs w:val="36"/>
          <w:rtl/>
        </w:rPr>
        <w:t>،</w:t>
      </w:r>
      <w:r w:rsidR="00E8128F">
        <w:rPr>
          <w:sz w:val="36"/>
          <w:szCs w:val="36"/>
          <w:rtl/>
        </w:rPr>
        <w:t xml:space="preserve"> </w:t>
      </w:r>
      <w:r w:rsidRPr="00FD211F">
        <w:rPr>
          <w:sz w:val="36"/>
          <w:szCs w:val="36"/>
          <w:rtl/>
        </w:rPr>
        <w:t>فلايضر</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فعلي</w:t>
      </w:r>
      <w:r w:rsidR="00EC7EDF" w:rsidRPr="00FD211F">
        <w:rPr>
          <w:sz w:val="36"/>
          <w:szCs w:val="36"/>
          <w:rtl/>
        </w:rPr>
        <w:t>ة</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لفقد</w:t>
      </w:r>
      <w:r w:rsidR="00E8128F">
        <w:rPr>
          <w:sz w:val="36"/>
          <w:szCs w:val="36"/>
          <w:rtl/>
        </w:rPr>
        <w:t xml:space="preserve"> </w:t>
      </w:r>
      <w:r w:rsidRPr="00FD211F">
        <w:rPr>
          <w:sz w:val="36"/>
          <w:szCs w:val="36"/>
          <w:rtl/>
        </w:rPr>
        <w:t>شرط</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مانع</w:t>
      </w:r>
      <w:r w:rsidR="00E8128F">
        <w:rPr>
          <w:sz w:val="36"/>
          <w:szCs w:val="36"/>
          <w:rtl/>
        </w:rPr>
        <w:t xml:space="preserve"> </w:t>
      </w:r>
      <w:r w:rsidRPr="00FD211F">
        <w:rPr>
          <w:sz w:val="36"/>
          <w:szCs w:val="36"/>
          <w:rtl/>
        </w:rPr>
        <w:t>فيقال</w:t>
      </w:r>
      <w:r w:rsidR="00E4212B" w:rsidRPr="00FD211F">
        <w:rPr>
          <w:sz w:val="36"/>
          <w:szCs w:val="36"/>
          <w:rtl/>
        </w:rPr>
        <w:t>"</w:t>
      </w:r>
      <w:r w:rsidR="00E8128F">
        <w:rPr>
          <w:sz w:val="36"/>
          <w:szCs w:val="36"/>
          <w:rtl/>
        </w:rPr>
        <w:t xml:space="preserve"> </w:t>
      </w:r>
      <w:r w:rsidRPr="00FD211F">
        <w:rPr>
          <w:sz w:val="36"/>
          <w:szCs w:val="36"/>
          <w:rtl/>
        </w:rPr>
        <w:t>سمّ</w:t>
      </w:r>
      <w:r w:rsidR="00E8128F">
        <w:rPr>
          <w:sz w:val="36"/>
          <w:szCs w:val="36"/>
          <w:rtl/>
        </w:rPr>
        <w:t xml:space="preserve"> </w:t>
      </w:r>
      <w:r w:rsidR="00E4212B" w:rsidRPr="00FD211F">
        <w:rPr>
          <w:sz w:val="36"/>
          <w:szCs w:val="36"/>
          <w:rtl/>
        </w:rPr>
        <w:t>قاتل"</w:t>
      </w:r>
      <w:r w:rsidR="00603323" w:rsidRPr="00FD211F">
        <w:rPr>
          <w:sz w:val="36"/>
          <w:szCs w:val="36"/>
          <w:rtl/>
        </w:rPr>
        <w:t>،</w:t>
      </w:r>
      <w:r w:rsidR="00E8128F">
        <w:rPr>
          <w:sz w:val="36"/>
          <w:szCs w:val="36"/>
          <w:rtl/>
        </w:rPr>
        <w:t xml:space="preserve"> </w:t>
      </w:r>
      <w:r w:rsidR="00E4212B" w:rsidRPr="00FD211F">
        <w:rPr>
          <w:sz w:val="36"/>
          <w:szCs w:val="36"/>
          <w:rtl/>
        </w:rPr>
        <w:t>نعم</w:t>
      </w:r>
      <w:r w:rsidR="00E8128F">
        <w:rPr>
          <w:sz w:val="36"/>
          <w:szCs w:val="36"/>
          <w:rtl/>
        </w:rPr>
        <w:t xml:space="preserve"> </w:t>
      </w:r>
      <w:r w:rsidR="00E4212B" w:rsidRPr="00FD211F">
        <w:rPr>
          <w:sz w:val="36"/>
          <w:szCs w:val="36"/>
          <w:rtl/>
        </w:rPr>
        <w:t>لو</w:t>
      </w:r>
      <w:r w:rsidR="00E8128F">
        <w:rPr>
          <w:sz w:val="36"/>
          <w:szCs w:val="36"/>
          <w:rtl/>
        </w:rPr>
        <w:t xml:space="preserve"> </w:t>
      </w:r>
      <w:r w:rsidR="00E4212B" w:rsidRPr="00FD211F">
        <w:rPr>
          <w:sz w:val="36"/>
          <w:szCs w:val="36"/>
          <w:rtl/>
        </w:rPr>
        <w:t>خص</w:t>
      </w:r>
      <w:r w:rsidR="00E8128F">
        <w:rPr>
          <w:sz w:val="36"/>
          <w:szCs w:val="36"/>
          <w:rtl/>
        </w:rPr>
        <w:t xml:space="preserve"> </w:t>
      </w:r>
      <w:r w:rsidR="00E4212B" w:rsidRPr="00FD211F">
        <w:rPr>
          <w:sz w:val="36"/>
          <w:szCs w:val="36"/>
          <w:rtl/>
        </w:rPr>
        <w:t>بشخص</w:t>
      </w:r>
      <w:r w:rsidR="00E8128F">
        <w:rPr>
          <w:sz w:val="36"/>
          <w:szCs w:val="36"/>
          <w:rtl/>
        </w:rPr>
        <w:t xml:space="preserve"> </w:t>
      </w:r>
      <w:r w:rsidR="00E4212B" w:rsidRPr="00FD211F">
        <w:rPr>
          <w:sz w:val="36"/>
          <w:szCs w:val="36"/>
          <w:rtl/>
        </w:rPr>
        <w:t>دون</w:t>
      </w:r>
      <w:r w:rsidR="00E8128F">
        <w:rPr>
          <w:sz w:val="36"/>
          <w:szCs w:val="36"/>
          <w:rtl/>
        </w:rPr>
        <w:t xml:space="preserve"> </w:t>
      </w:r>
      <w:r w:rsidR="00E4212B" w:rsidRPr="00FD211F">
        <w:rPr>
          <w:sz w:val="36"/>
          <w:szCs w:val="36"/>
          <w:rtl/>
        </w:rPr>
        <w:t>شخص</w:t>
      </w:r>
      <w:r w:rsidR="00E8128F">
        <w:rPr>
          <w:sz w:val="36"/>
          <w:szCs w:val="36"/>
          <w:rtl/>
        </w:rPr>
        <w:t xml:space="preserve"> </w:t>
      </w:r>
      <w:r w:rsidR="00E4212B" w:rsidRPr="00FD211F">
        <w:rPr>
          <w:sz w:val="36"/>
          <w:szCs w:val="36"/>
          <w:rtl/>
        </w:rPr>
        <w:t>كأ</w:t>
      </w:r>
      <w:r w:rsidRPr="00FD211F">
        <w:rPr>
          <w:sz w:val="36"/>
          <w:szCs w:val="36"/>
          <w:rtl/>
        </w:rPr>
        <w:t>ن</w:t>
      </w:r>
      <w:r w:rsidR="00E8128F">
        <w:rPr>
          <w:sz w:val="36"/>
          <w:szCs w:val="36"/>
          <w:rtl/>
        </w:rPr>
        <w:t xml:space="preserve"> </w:t>
      </w:r>
      <w:r w:rsidRPr="00FD211F">
        <w:rPr>
          <w:sz w:val="36"/>
          <w:szCs w:val="36"/>
          <w:rtl/>
        </w:rPr>
        <w:t>قيل</w:t>
      </w:r>
      <w:r w:rsidR="00E4212B" w:rsidRPr="00FD211F">
        <w:rPr>
          <w:sz w:val="36"/>
          <w:szCs w:val="36"/>
          <w:rtl/>
        </w:rPr>
        <w:t>"</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السم</w:t>
      </w:r>
      <w:r w:rsidR="00E8128F">
        <w:rPr>
          <w:sz w:val="36"/>
          <w:szCs w:val="36"/>
          <w:rtl/>
        </w:rPr>
        <w:t xml:space="preserve"> </w:t>
      </w:r>
      <w:r w:rsidRPr="00FD211F">
        <w:rPr>
          <w:sz w:val="36"/>
          <w:szCs w:val="36"/>
          <w:rtl/>
        </w:rPr>
        <w:t>قاتل</w:t>
      </w:r>
      <w:r w:rsidR="00E8128F">
        <w:rPr>
          <w:sz w:val="36"/>
          <w:szCs w:val="36"/>
          <w:rtl/>
        </w:rPr>
        <w:t xml:space="preserve"> </w:t>
      </w:r>
      <w:r w:rsidRPr="00FD211F">
        <w:rPr>
          <w:sz w:val="36"/>
          <w:szCs w:val="36"/>
          <w:rtl/>
        </w:rPr>
        <w:t>زيد</w:t>
      </w:r>
      <w:r w:rsidR="00E4212B" w:rsidRPr="00FD211F">
        <w:rPr>
          <w:sz w:val="36"/>
          <w:szCs w:val="36"/>
          <w:rtl/>
        </w:rPr>
        <w:t>"</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قيل</w:t>
      </w:r>
      <w:r w:rsidR="00E8128F">
        <w:rPr>
          <w:sz w:val="36"/>
          <w:szCs w:val="36"/>
          <w:rtl/>
        </w:rPr>
        <w:t xml:space="preserve"> </w:t>
      </w:r>
      <w:r w:rsidR="00E4212B" w:rsidRPr="00FD211F">
        <w:rPr>
          <w:sz w:val="36"/>
          <w:szCs w:val="36"/>
          <w:rtl/>
        </w:rPr>
        <w:t>"</w:t>
      </w:r>
      <w:r w:rsidRPr="00FD211F">
        <w:rPr>
          <w:sz w:val="36"/>
          <w:szCs w:val="36"/>
          <w:rtl/>
        </w:rPr>
        <w:t>زيد</w:t>
      </w:r>
      <w:r w:rsidR="00E8128F">
        <w:rPr>
          <w:sz w:val="36"/>
          <w:szCs w:val="36"/>
          <w:rtl/>
        </w:rPr>
        <w:t xml:space="preserve"> </w:t>
      </w:r>
      <w:r w:rsidRPr="00FD211F">
        <w:rPr>
          <w:sz w:val="36"/>
          <w:szCs w:val="36"/>
          <w:rtl/>
        </w:rPr>
        <w:t>ضارب</w:t>
      </w:r>
      <w:r w:rsidR="00E8128F">
        <w:rPr>
          <w:sz w:val="36"/>
          <w:szCs w:val="36"/>
          <w:rtl/>
        </w:rPr>
        <w:t xml:space="preserve"> </w:t>
      </w:r>
      <w:r w:rsidRPr="00FD211F">
        <w:rPr>
          <w:sz w:val="36"/>
          <w:szCs w:val="36"/>
          <w:rtl/>
        </w:rPr>
        <w:t>عمرو</w:t>
      </w:r>
      <w:r w:rsidR="00E4212B" w:rsidRPr="00FD211F">
        <w:rPr>
          <w:sz w:val="36"/>
          <w:szCs w:val="36"/>
          <w:rtl/>
        </w:rPr>
        <w:t>"</w:t>
      </w:r>
      <w:r w:rsidR="00E8128F">
        <w:rPr>
          <w:sz w:val="36"/>
          <w:szCs w:val="36"/>
          <w:rtl/>
        </w:rPr>
        <w:t xml:space="preserve"> </w:t>
      </w:r>
      <w:r w:rsidR="00D04201" w:rsidRPr="00FD211F">
        <w:rPr>
          <w:sz w:val="36"/>
          <w:szCs w:val="36"/>
          <w:rtl/>
        </w:rPr>
        <w:t>فيستفاد</w:t>
      </w:r>
      <w:r w:rsidR="00E8128F">
        <w:rPr>
          <w:sz w:val="36"/>
          <w:szCs w:val="36"/>
          <w:rtl/>
        </w:rPr>
        <w:t xml:space="preserve"> </w:t>
      </w:r>
      <w:r w:rsidR="00D04201" w:rsidRPr="00FD211F">
        <w:rPr>
          <w:sz w:val="36"/>
          <w:szCs w:val="36"/>
          <w:rtl/>
        </w:rPr>
        <w:t>التلبس</w:t>
      </w:r>
      <w:r w:rsidR="00E8128F">
        <w:rPr>
          <w:sz w:val="36"/>
          <w:szCs w:val="36"/>
          <w:rtl/>
        </w:rPr>
        <w:t xml:space="preserve"> </w:t>
      </w:r>
      <w:r w:rsidR="00D04201" w:rsidRPr="00FD211F">
        <w:rPr>
          <w:sz w:val="36"/>
          <w:szCs w:val="36"/>
          <w:rtl/>
        </w:rPr>
        <w:t>الفعلي</w:t>
      </w:r>
      <w:r w:rsidR="00E8128F">
        <w:rPr>
          <w:sz w:val="36"/>
          <w:szCs w:val="36"/>
          <w:rtl/>
        </w:rPr>
        <w:t xml:space="preserve"> </w:t>
      </w:r>
      <w:r w:rsidR="00D04201" w:rsidRPr="00FD211F">
        <w:rPr>
          <w:sz w:val="36"/>
          <w:szCs w:val="36"/>
          <w:rtl/>
        </w:rPr>
        <w:t>بالقرين</w:t>
      </w:r>
      <w:r w:rsidR="00EC7EDF" w:rsidRPr="00FD211F">
        <w:rPr>
          <w:sz w:val="36"/>
          <w:szCs w:val="36"/>
          <w:rtl/>
        </w:rPr>
        <w:t>ة</w:t>
      </w:r>
      <w:r w:rsidR="00A61BAE" w:rsidRPr="00FD211F">
        <w:rPr>
          <w:sz w:val="36"/>
          <w:szCs w:val="36"/>
          <w:rtl/>
        </w:rPr>
        <w:t>.</w:t>
      </w:r>
    </w:p>
    <w:p w14:paraId="4ACE7616" w14:textId="77777777" w:rsidR="000C5BBA" w:rsidRPr="00FD211F" w:rsidRDefault="00BF0104" w:rsidP="009C58C8">
      <w:pPr>
        <w:ind w:left="0" w:firstLine="227"/>
        <w:jc w:val="both"/>
        <w:rPr>
          <w:sz w:val="36"/>
          <w:szCs w:val="36"/>
          <w:rtl/>
        </w:rPr>
      </w:pPr>
      <w:r w:rsidRPr="00FD211F">
        <w:rPr>
          <w:sz w:val="36"/>
          <w:szCs w:val="36"/>
          <w:rtl/>
        </w:rPr>
        <w:t>و</w:t>
      </w:r>
      <w:r w:rsidR="00396CB1" w:rsidRPr="00FD211F">
        <w:rPr>
          <w:sz w:val="36"/>
          <w:szCs w:val="36"/>
          <w:rtl/>
        </w:rPr>
        <w:t>التزم</w:t>
      </w:r>
      <w:r w:rsidR="00E8128F">
        <w:rPr>
          <w:sz w:val="36"/>
          <w:szCs w:val="36"/>
          <w:rtl/>
        </w:rPr>
        <w:t xml:space="preserve"> </w:t>
      </w:r>
      <w:r w:rsidR="00396CB1" w:rsidRPr="00FD211F">
        <w:rPr>
          <w:sz w:val="36"/>
          <w:szCs w:val="36"/>
          <w:rtl/>
        </w:rPr>
        <w:t>في</w:t>
      </w:r>
      <w:r w:rsidR="00E8128F">
        <w:rPr>
          <w:sz w:val="36"/>
          <w:szCs w:val="36"/>
          <w:rtl/>
        </w:rPr>
        <w:t xml:space="preserve"> </w:t>
      </w:r>
      <w:r w:rsidR="00396CB1" w:rsidRPr="00FD211F">
        <w:rPr>
          <w:sz w:val="36"/>
          <w:szCs w:val="36"/>
          <w:rtl/>
        </w:rPr>
        <w:t>اسم</w:t>
      </w:r>
      <w:r w:rsidR="00E8128F">
        <w:rPr>
          <w:sz w:val="36"/>
          <w:szCs w:val="36"/>
          <w:rtl/>
        </w:rPr>
        <w:t xml:space="preserve"> </w:t>
      </w:r>
      <w:r w:rsidR="00396CB1" w:rsidRPr="00FD211F">
        <w:rPr>
          <w:sz w:val="36"/>
          <w:szCs w:val="36"/>
          <w:rtl/>
        </w:rPr>
        <w:t>المفعول</w:t>
      </w:r>
      <w:r w:rsidR="00E8128F">
        <w:rPr>
          <w:sz w:val="36"/>
          <w:szCs w:val="36"/>
          <w:rtl/>
        </w:rPr>
        <w:t xml:space="preserve"> </w:t>
      </w:r>
      <w:r w:rsidR="00396CB1" w:rsidRPr="00FD211F">
        <w:rPr>
          <w:sz w:val="36"/>
          <w:szCs w:val="36"/>
          <w:rtl/>
        </w:rPr>
        <w:t>كالمضروب</w:t>
      </w:r>
      <w:r w:rsidR="00E8128F">
        <w:rPr>
          <w:sz w:val="36"/>
          <w:szCs w:val="36"/>
          <w:rtl/>
        </w:rPr>
        <w:t xml:space="preserve"> </w:t>
      </w:r>
      <w:r w:rsidR="00396CB1" w:rsidRPr="00FD211F">
        <w:rPr>
          <w:sz w:val="36"/>
          <w:szCs w:val="36"/>
          <w:rtl/>
        </w:rPr>
        <w:t>وما</w:t>
      </w:r>
      <w:r w:rsidR="00E8128F">
        <w:rPr>
          <w:sz w:val="36"/>
          <w:szCs w:val="36"/>
          <w:rtl/>
        </w:rPr>
        <w:t xml:space="preserve"> </w:t>
      </w:r>
      <w:r w:rsidR="00396CB1" w:rsidRPr="00FD211F">
        <w:rPr>
          <w:sz w:val="36"/>
          <w:szCs w:val="36"/>
          <w:rtl/>
        </w:rPr>
        <w:t>بحك</w:t>
      </w:r>
      <w:r w:rsidR="00D04201" w:rsidRPr="00FD211F">
        <w:rPr>
          <w:sz w:val="36"/>
          <w:szCs w:val="36"/>
          <w:rtl/>
        </w:rPr>
        <w:t>مه</w:t>
      </w:r>
      <w:r w:rsidR="00E8128F">
        <w:rPr>
          <w:sz w:val="36"/>
          <w:szCs w:val="36"/>
          <w:rtl/>
        </w:rPr>
        <w:t xml:space="preserve"> </w:t>
      </w:r>
      <w:r w:rsidR="00D04201" w:rsidRPr="00FD211F">
        <w:rPr>
          <w:sz w:val="36"/>
          <w:szCs w:val="36"/>
          <w:rtl/>
        </w:rPr>
        <w:t>من</w:t>
      </w:r>
      <w:r w:rsidR="00E8128F">
        <w:rPr>
          <w:sz w:val="36"/>
          <w:szCs w:val="36"/>
          <w:rtl/>
        </w:rPr>
        <w:t xml:space="preserve"> </w:t>
      </w:r>
      <w:r w:rsidR="00D04201" w:rsidRPr="00FD211F">
        <w:rPr>
          <w:sz w:val="36"/>
          <w:szCs w:val="36"/>
          <w:rtl/>
        </w:rPr>
        <w:t>صيغ</w:t>
      </w:r>
      <w:r w:rsidR="00EC7EDF" w:rsidRPr="00FD211F">
        <w:rPr>
          <w:sz w:val="36"/>
          <w:szCs w:val="36"/>
          <w:rtl/>
        </w:rPr>
        <w:t>ة</w:t>
      </w:r>
      <w:r w:rsidR="00E8128F">
        <w:rPr>
          <w:sz w:val="36"/>
          <w:szCs w:val="36"/>
          <w:rtl/>
        </w:rPr>
        <w:t xml:space="preserve"> </w:t>
      </w:r>
      <w:r w:rsidR="00D04201" w:rsidRPr="00FD211F">
        <w:rPr>
          <w:sz w:val="36"/>
          <w:szCs w:val="36"/>
          <w:rtl/>
        </w:rPr>
        <w:t>المبالغ</w:t>
      </w:r>
      <w:r w:rsidR="00EC7EDF" w:rsidRPr="00FD211F">
        <w:rPr>
          <w:sz w:val="36"/>
          <w:szCs w:val="36"/>
          <w:rtl/>
        </w:rPr>
        <w:t>ة</w:t>
      </w:r>
      <w:r w:rsidR="00E8128F">
        <w:rPr>
          <w:sz w:val="36"/>
          <w:szCs w:val="36"/>
          <w:rtl/>
        </w:rPr>
        <w:t xml:space="preserve"> </w:t>
      </w:r>
      <w:r w:rsidR="00D04201" w:rsidRPr="00FD211F">
        <w:rPr>
          <w:sz w:val="36"/>
          <w:szCs w:val="36"/>
          <w:rtl/>
        </w:rPr>
        <w:t>بوضعه</w:t>
      </w:r>
      <w:r w:rsidR="00E8128F">
        <w:rPr>
          <w:sz w:val="36"/>
          <w:szCs w:val="36"/>
          <w:rtl/>
        </w:rPr>
        <w:t xml:space="preserve"> </w:t>
      </w:r>
      <w:r w:rsidR="00D04201" w:rsidRPr="00FD211F">
        <w:rPr>
          <w:sz w:val="36"/>
          <w:szCs w:val="36"/>
          <w:rtl/>
        </w:rPr>
        <w:t>للأعم.</w:t>
      </w:r>
    </w:p>
    <w:p w14:paraId="6D9516C9" w14:textId="77777777" w:rsidR="00396CB1" w:rsidRPr="00FD211F" w:rsidRDefault="00D04201" w:rsidP="009C58C8">
      <w:pPr>
        <w:ind w:left="0" w:firstLine="227"/>
        <w:jc w:val="both"/>
        <w:rPr>
          <w:sz w:val="36"/>
          <w:szCs w:val="36"/>
          <w:rtl/>
        </w:rPr>
      </w:pPr>
      <w:r w:rsidRPr="00FD211F">
        <w:rPr>
          <w:sz w:val="36"/>
          <w:szCs w:val="36"/>
          <w:rtl/>
        </w:rPr>
        <w:t>والتزم</w:t>
      </w:r>
      <w:r w:rsidR="00E8128F">
        <w:rPr>
          <w:sz w:val="36"/>
          <w:szCs w:val="36"/>
          <w:rtl/>
        </w:rPr>
        <w:t xml:space="preserve"> </w:t>
      </w:r>
      <w:r w:rsidRPr="00FD211F">
        <w:rPr>
          <w:sz w:val="36"/>
          <w:szCs w:val="36"/>
          <w:rtl/>
        </w:rPr>
        <w:t>في</w:t>
      </w:r>
      <w:r w:rsidR="00E8128F">
        <w:rPr>
          <w:sz w:val="36"/>
          <w:szCs w:val="36"/>
          <w:rtl/>
        </w:rPr>
        <w:t xml:space="preserve"> </w:t>
      </w:r>
      <w:r w:rsidR="00396CB1" w:rsidRPr="00FD211F">
        <w:rPr>
          <w:sz w:val="36"/>
          <w:szCs w:val="36"/>
          <w:rtl/>
        </w:rPr>
        <w:t>الصف</w:t>
      </w:r>
      <w:r w:rsidR="00EC7EDF" w:rsidRPr="00FD211F">
        <w:rPr>
          <w:sz w:val="36"/>
          <w:szCs w:val="36"/>
          <w:rtl/>
        </w:rPr>
        <w:t>ة</w:t>
      </w:r>
      <w:r w:rsidR="00E8128F">
        <w:rPr>
          <w:sz w:val="36"/>
          <w:szCs w:val="36"/>
          <w:rtl/>
        </w:rPr>
        <w:t xml:space="preserve"> </w:t>
      </w:r>
      <w:r w:rsidR="00396CB1" w:rsidRPr="00FD211F">
        <w:rPr>
          <w:sz w:val="36"/>
          <w:szCs w:val="36"/>
          <w:rtl/>
        </w:rPr>
        <w:t>المشبه</w:t>
      </w:r>
      <w:r w:rsidR="00EC7EDF" w:rsidRPr="00FD211F">
        <w:rPr>
          <w:sz w:val="36"/>
          <w:szCs w:val="36"/>
          <w:rtl/>
        </w:rPr>
        <w:t>ة</w:t>
      </w:r>
      <w:r w:rsidR="00E8128F">
        <w:rPr>
          <w:sz w:val="36"/>
          <w:szCs w:val="36"/>
          <w:rtl/>
        </w:rPr>
        <w:t xml:space="preserve"> </w:t>
      </w:r>
      <w:r w:rsidR="00BF0104" w:rsidRPr="00FD211F">
        <w:rPr>
          <w:sz w:val="36"/>
          <w:szCs w:val="36"/>
          <w:rtl/>
        </w:rPr>
        <w:t>ونحوها</w:t>
      </w:r>
      <w:r w:rsidR="00E4212B" w:rsidRPr="00FD211F">
        <w:rPr>
          <w:sz w:val="36"/>
          <w:szCs w:val="36"/>
          <w:rtl/>
        </w:rPr>
        <w:t>-</w:t>
      </w:r>
      <w:r w:rsidR="00E8128F">
        <w:rPr>
          <w:sz w:val="36"/>
          <w:szCs w:val="36"/>
          <w:rtl/>
        </w:rPr>
        <w:t xml:space="preserve"> </w:t>
      </w:r>
      <w:r w:rsidR="00396CB1" w:rsidRPr="00FD211F">
        <w:rPr>
          <w:sz w:val="36"/>
          <w:szCs w:val="36"/>
          <w:rtl/>
        </w:rPr>
        <w:t>كالعالم</w:t>
      </w:r>
      <w:r w:rsidR="00E8128F">
        <w:rPr>
          <w:sz w:val="36"/>
          <w:szCs w:val="36"/>
          <w:rtl/>
        </w:rPr>
        <w:t xml:space="preserve"> </w:t>
      </w:r>
      <w:r w:rsidR="00396CB1" w:rsidRPr="00FD211F">
        <w:rPr>
          <w:sz w:val="36"/>
          <w:szCs w:val="36"/>
          <w:rtl/>
        </w:rPr>
        <w:t>والقائم</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لايكون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الفاعل</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ينتسب</w:t>
      </w:r>
      <w:r w:rsidR="00E8128F">
        <w:rPr>
          <w:sz w:val="36"/>
          <w:szCs w:val="36"/>
          <w:rtl/>
        </w:rPr>
        <w:t xml:space="preserve"> </w:t>
      </w:r>
      <w:r w:rsidRPr="00FD211F">
        <w:rPr>
          <w:sz w:val="36"/>
          <w:szCs w:val="36"/>
          <w:rtl/>
        </w:rPr>
        <w:t>الفعل</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بنسب</w:t>
      </w:r>
      <w:r w:rsidR="00EC7EDF" w:rsidRPr="00FD211F">
        <w:rPr>
          <w:sz w:val="36"/>
          <w:szCs w:val="36"/>
          <w:rtl/>
        </w:rPr>
        <w:t>ة</w:t>
      </w:r>
      <w:r w:rsidR="00E8128F">
        <w:rPr>
          <w:sz w:val="36"/>
          <w:szCs w:val="36"/>
          <w:rtl/>
        </w:rPr>
        <w:t xml:space="preserve"> </w:t>
      </w:r>
      <w:r w:rsidRPr="00FD211F">
        <w:rPr>
          <w:sz w:val="36"/>
          <w:szCs w:val="36"/>
          <w:rtl/>
        </w:rPr>
        <w:t>صدوري</w:t>
      </w:r>
      <w:r w:rsidR="00EC7EDF" w:rsidRPr="00FD211F">
        <w:rPr>
          <w:sz w:val="36"/>
          <w:szCs w:val="36"/>
          <w:rtl/>
        </w:rPr>
        <w:t>ة</w:t>
      </w:r>
      <w:r w:rsidR="00E8128F">
        <w:rPr>
          <w:sz w:val="36"/>
          <w:szCs w:val="36"/>
          <w:rtl/>
        </w:rPr>
        <w:t xml:space="preserve"> </w:t>
      </w:r>
      <w:r w:rsidRPr="00FD211F">
        <w:rPr>
          <w:sz w:val="36"/>
          <w:szCs w:val="36"/>
          <w:rtl/>
        </w:rPr>
        <w:t>وكذاليس</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اسم</w:t>
      </w:r>
      <w:r w:rsidR="00E8128F">
        <w:rPr>
          <w:sz w:val="36"/>
          <w:szCs w:val="36"/>
          <w:rtl/>
        </w:rPr>
        <w:t xml:space="preserve"> </w:t>
      </w:r>
      <w:r w:rsidRPr="00FD211F">
        <w:rPr>
          <w:sz w:val="36"/>
          <w:szCs w:val="36"/>
          <w:rtl/>
        </w:rPr>
        <w:t>المفعول</w:t>
      </w:r>
      <w:r w:rsidR="00E8128F">
        <w:rPr>
          <w:sz w:val="36"/>
          <w:szCs w:val="36"/>
          <w:rtl/>
        </w:rPr>
        <w:t xml:space="preserve"> </w:t>
      </w:r>
      <w:r w:rsidR="00E4212B" w:rsidRPr="00FD211F">
        <w:rPr>
          <w:sz w:val="36"/>
          <w:szCs w:val="36"/>
          <w:rtl/>
        </w:rPr>
        <w:t>-</w:t>
      </w:r>
      <w:r w:rsidR="00E8128F">
        <w:rPr>
          <w:sz w:val="36"/>
          <w:szCs w:val="36"/>
          <w:rtl/>
        </w:rPr>
        <w:t xml:space="preserve"> </w:t>
      </w:r>
      <w:r w:rsidR="00396CB1" w:rsidRPr="00FD211F">
        <w:rPr>
          <w:sz w:val="36"/>
          <w:szCs w:val="36"/>
          <w:rtl/>
        </w:rPr>
        <w:t>بوضعه</w:t>
      </w:r>
      <w:r w:rsidRPr="00FD211F">
        <w:rPr>
          <w:sz w:val="36"/>
          <w:szCs w:val="36"/>
          <w:rtl/>
        </w:rPr>
        <w:t>ا</w:t>
      </w:r>
      <w:r w:rsidR="00E8128F">
        <w:rPr>
          <w:sz w:val="36"/>
          <w:szCs w:val="36"/>
          <w:rtl/>
        </w:rPr>
        <w:t xml:space="preserve"> </w:t>
      </w:r>
      <w:r w:rsidR="00396CB1" w:rsidRPr="00FD211F">
        <w:rPr>
          <w:sz w:val="36"/>
          <w:szCs w:val="36"/>
          <w:rtl/>
        </w:rPr>
        <w:t>لخصوص</w:t>
      </w:r>
      <w:r w:rsidR="00E8128F">
        <w:rPr>
          <w:sz w:val="36"/>
          <w:szCs w:val="36"/>
          <w:rtl/>
        </w:rPr>
        <w:t xml:space="preserve"> </w:t>
      </w:r>
      <w:r w:rsidR="00396CB1" w:rsidRPr="00FD211F">
        <w:rPr>
          <w:sz w:val="36"/>
          <w:szCs w:val="36"/>
          <w:rtl/>
        </w:rPr>
        <w:t>المتلبس</w:t>
      </w:r>
      <w:r w:rsidR="00E8128F">
        <w:rPr>
          <w:sz w:val="36"/>
          <w:szCs w:val="36"/>
          <w:rtl/>
        </w:rPr>
        <w:t xml:space="preserve"> </w:t>
      </w:r>
      <w:r w:rsidR="00396CB1" w:rsidRPr="00FD211F">
        <w:rPr>
          <w:sz w:val="36"/>
          <w:szCs w:val="36"/>
          <w:rtl/>
        </w:rPr>
        <w:t>بال</w:t>
      </w:r>
      <w:r w:rsidR="0079493B" w:rsidRPr="00FD211F">
        <w:rPr>
          <w:sz w:val="36"/>
          <w:szCs w:val="36"/>
          <w:rtl/>
        </w:rPr>
        <w:t>مبدأ</w:t>
      </w:r>
      <w:r w:rsidR="009C58C8" w:rsidRPr="00FD211F">
        <w:rPr>
          <w:rStyle w:val="a6"/>
          <w:sz w:val="36"/>
          <w:szCs w:val="36"/>
          <w:rtl/>
        </w:rPr>
        <w:t>(</w:t>
      </w:r>
      <w:r w:rsidR="009C58C8" w:rsidRPr="00FD211F">
        <w:rPr>
          <w:rStyle w:val="a6"/>
          <w:sz w:val="36"/>
          <w:szCs w:val="36"/>
          <w:rtl/>
        </w:rPr>
        <w:footnoteReference w:id="567"/>
      </w:r>
      <w:r w:rsidR="009C58C8" w:rsidRPr="00FD211F">
        <w:rPr>
          <w:rStyle w:val="a6"/>
          <w:sz w:val="36"/>
          <w:szCs w:val="36"/>
          <w:rtl/>
        </w:rPr>
        <w:t>)</w:t>
      </w:r>
      <w:r w:rsidR="00396CB1" w:rsidRPr="00FD211F">
        <w:rPr>
          <w:sz w:val="36"/>
          <w:szCs w:val="36"/>
          <w:rtl/>
        </w:rPr>
        <w:t>.</w:t>
      </w:r>
    </w:p>
    <w:p w14:paraId="0B981356" w14:textId="77777777" w:rsidR="0040555A" w:rsidRPr="00FD211F" w:rsidRDefault="00396CB1" w:rsidP="009C58C8">
      <w:pPr>
        <w:ind w:left="0" w:firstLine="227"/>
        <w:jc w:val="both"/>
        <w:rPr>
          <w:sz w:val="36"/>
          <w:szCs w:val="36"/>
          <w:rtl/>
        </w:rPr>
      </w:pPr>
      <w:r w:rsidRPr="00FD211F">
        <w:rPr>
          <w:sz w:val="36"/>
          <w:szCs w:val="36"/>
          <w:rtl/>
        </w:rPr>
        <w:t>وفيه</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لايخفى</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حمل</w:t>
      </w:r>
      <w:r w:rsidR="00E8128F">
        <w:rPr>
          <w:sz w:val="36"/>
          <w:szCs w:val="36"/>
          <w:rtl/>
        </w:rPr>
        <w:t xml:space="preserve"> </w:t>
      </w:r>
      <w:r w:rsidRPr="00FD211F">
        <w:rPr>
          <w:sz w:val="36"/>
          <w:szCs w:val="36"/>
          <w:rtl/>
        </w:rPr>
        <w:t>الضارب</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القاتل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تحقق</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مقتضي</w:t>
      </w:r>
      <w:r w:rsidR="00E8128F">
        <w:rPr>
          <w:sz w:val="36"/>
          <w:szCs w:val="36"/>
          <w:rtl/>
        </w:rPr>
        <w:t xml:space="preserve"> </w:t>
      </w:r>
      <w:r w:rsidRPr="00FD211F">
        <w:rPr>
          <w:sz w:val="36"/>
          <w:szCs w:val="36"/>
          <w:rtl/>
        </w:rPr>
        <w:t>الضرب</w:t>
      </w:r>
      <w:r w:rsidR="00E8128F">
        <w:rPr>
          <w:sz w:val="36"/>
          <w:szCs w:val="36"/>
          <w:rtl/>
        </w:rPr>
        <w:t xml:space="preserve"> </w:t>
      </w:r>
      <w:r w:rsidRPr="00FD211F">
        <w:rPr>
          <w:sz w:val="36"/>
          <w:szCs w:val="36"/>
          <w:rtl/>
        </w:rPr>
        <w:t>والقتل</w:t>
      </w:r>
      <w:r w:rsidR="00E8128F">
        <w:rPr>
          <w:sz w:val="36"/>
          <w:szCs w:val="36"/>
          <w:rtl/>
        </w:rPr>
        <w:t xml:space="preserve"> </w:t>
      </w:r>
      <w:r w:rsidRPr="00FD211F">
        <w:rPr>
          <w:sz w:val="36"/>
          <w:szCs w:val="36"/>
          <w:rtl/>
        </w:rPr>
        <w:t>ممنوع</w:t>
      </w:r>
      <w:r w:rsidR="00E8128F">
        <w:rPr>
          <w:sz w:val="36"/>
          <w:szCs w:val="36"/>
          <w:rtl/>
        </w:rPr>
        <w:t xml:space="preserve"> </w:t>
      </w:r>
      <w:r w:rsidRPr="00FD211F">
        <w:rPr>
          <w:sz w:val="36"/>
          <w:szCs w:val="36"/>
          <w:rtl/>
        </w:rPr>
        <w:t>جدّا</w:t>
      </w:r>
      <w:r w:rsidR="00603323" w:rsidRPr="00FD211F">
        <w:rPr>
          <w:sz w:val="36"/>
          <w:szCs w:val="36"/>
          <w:rtl/>
        </w:rPr>
        <w:t>،</w:t>
      </w:r>
      <w:r w:rsidR="00E8128F">
        <w:rPr>
          <w:sz w:val="36"/>
          <w:szCs w:val="36"/>
          <w:rtl/>
        </w:rPr>
        <w:t xml:space="preserve"> </w:t>
      </w:r>
      <w:r w:rsidRPr="00FD211F">
        <w:rPr>
          <w:sz w:val="36"/>
          <w:szCs w:val="36"/>
          <w:rtl/>
        </w:rPr>
        <w:t>والتعبير</w:t>
      </w:r>
      <w:r w:rsidR="00E8128F">
        <w:rPr>
          <w:sz w:val="36"/>
          <w:szCs w:val="36"/>
          <w:rtl/>
        </w:rPr>
        <w:t xml:space="preserve"> </w:t>
      </w:r>
      <w:r w:rsidRPr="00FD211F">
        <w:rPr>
          <w:sz w:val="36"/>
          <w:szCs w:val="36"/>
          <w:rtl/>
        </w:rPr>
        <w:t>بالسمّ</w:t>
      </w:r>
      <w:r w:rsidR="00E8128F">
        <w:rPr>
          <w:sz w:val="36"/>
          <w:szCs w:val="36"/>
          <w:rtl/>
        </w:rPr>
        <w:t xml:space="preserve"> </w:t>
      </w:r>
      <w:r w:rsidRPr="00FD211F">
        <w:rPr>
          <w:sz w:val="36"/>
          <w:szCs w:val="36"/>
          <w:rtl/>
        </w:rPr>
        <w:t>القاتل</w:t>
      </w:r>
      <w:r w:rsidR="00E8128F">
        <w:rPr>
          <w:sz w:val="36"/>
          <w:szCs w:val="36"/>
          <w:rtl/>
        </w:rPr>
        <w:t xml:space="preserve"> </w:t>
      </w:r>
      <w:r w:rsidRPr="00FD211F">
        <w:rPr>
          <w:sz w:val="36"/>
          <w:szCs w:val="36"/>
          <w:rtl/>
        </w:rPr>
        <w:t>انما</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بعناي</w:t>
      </w:r>
      <w:r w:rsidR="00EC7EDF" w:rsidRPr="00FD211F">
        <w:rPr>
          <w:sz w:val="36"/>
          <w:szCs w:val="36"/>
          <w:rtl/>
        </w:rPr>
        <w:t>ة</w:t>
      </w:r>
      <w:r w:rsidR="00E8128F">
        <w:rPr>
          <w:sz w:val="36"/>
          <w:szCs w:val="36"/>
          <w:rtl/>
        </w:rPr>
        <w:t xml:space="preserve"> </w:t>
      </w:r>
      <w:r w:rsidRPr="00FD211F">
        <w:rPr>
          <w:sz w:val="36"/>
          <w:szCs w:val="36"/>
          <w:rtl/>
        </w:rPr>
        <w:t>سببيته</w:t>
      </w:r>
      <w:r w:rsidR="00E8128F">
        <w:rPr>
          <w:sz w:val="36"/>
          <w:szCs w:val="36"/>
          <w:rtl/>
        </w:rPr>
        <w:t xml:space="preserve"> </w:t>
      </w:r>
      <w:r w:rsidRPr="00FD211F">
        <w:rPr>
          <w:sz w:val="36"/>
          <w:szCs w:val="36"/>
          <w:rtl/>
        </w:rPr>
        <w:t>للقتل</w:t>
      </w:r>
      <w:r w:rsidR="00603323" w:rsidRPr="00FD211F">
        <w:rPr>
          <w:sz w:val="36"/>
          <w:szCs w:val="36"/>
          <w:rtl/>
        </w:rPr>
        <w:t>،</w:t>
      </w:r>
      <w:r w:rsidR="00E8128F">
        <w:rPr>
          <w:sz w:val="36"/>
          <w:szCs w:val="36"/>
          <w:rtl/>
        </w:rPr>
        <w:t xml:space="preserve"> </w:t>
      </w:r>
      <w:r w:rsidR="003F60CA" w:rsidRPr="00FD211F">
        <w:rPr>
          <w:sz w:val="36"/>
          <w:szCs w:val="36"/>
          <w:rtl/>
        </w:rPr>
        <w:t>ولايعبَّر</w:t>
      </w:r>
      <w:r w:rsidR="00E8128F">
        <w:rPr>
          <w:sz w:val="36"/>
          <w:szCs w:val="36"/>
          <w:rtl/>
        </w:rPr>
        <w:t xml:space="preserve"> </w:t>
      </w:r>
      <w:r w:rsidR="003F60CA" w:rsidRPr="00FD211F">
        <w:rPr>
          <w:sz w:val="36"/>
          <w:szCs w:val="36"/>
          <w:rtl/>
        </w:rPr>
        <w:t>في</w:t>
      </w:r>
      <w:r w:rsidR="00E8128F">
        <w:rPr>
          <w:sz w:val="36"/>
          <w:szCs w:val="36"/>
          <w:rtl/>
        </w:rPr>
        <w:t xml:space="preserve"> </w:t>
      </w:r>
      <w:r w:rsidR="003F60CA" w:rsidRPr="00FD211F">
        <w:rPr>
          <w:sz w:val="36"/>
          <w:szCs w:val="36"/>
          <w:rtl/>
        </w:rPr>
        <w:t>غيره</w:t>
      </w:r>
      <w:r w:rsidR="00E8128F">
        <w:rPr>
          <w:sz w:val="36"/>
          <w:szCs w:val="36"/>
          <w:rtl/>
        </w:rPr>
        <w:t xml:space="preserve"> </w:t>
      </w:r>
      <w:r w:rsidR="003F60CA" w:rsidRPr="00FD211F">
        <w:rPr>
          <w:sz w:val="36"/>
          <w:szCs w:val="36"/>
          <w:rtl/>
        </w:rPr>
        <w:t>بمثل</w:t>
      </w:r>
      <w:r w:rsidR="00E8128F">
        <w:rPr>
          <w:sz w:val="36"/>
          <w:szCs w:val="36"/>
          <w:rtl/>
        </w:rPr>
        <w:t xml:space="preserve"> </w:t>
      </w:r>
      <w:r w:rsidR="003F60CA" w:rsidRPr="00FD211F">
        <w:rPr>
          <w:sz w:val="36"/>
          <w:szCs w:val="36"/>
          <w:rtl/>
        </w:rPr>
        <w:t>هذا</w:t>
      </w:r>
      <w:r w:rsidR="00E8128F">
        <w:rPr>
          <w:sz w:val="36"/>
          <w:szCs w:val="36"/>
          <w:rtl/>
        </w:rPr>
        <w:t xml:space="preserve"> </w:t>
      </w:r>
      <w:r w:rsidR="003F60CA" w:rsidRPr="00FD211F">
        <w:rPr>
          <w:sz w:val="36"/>
          <w:szCs w:val="36"/>
          <w:rtl/>
        </w:rPr>
        <w:t>التعبير</w:t>
      </w:r>
      <w:r w:rsidR="00E8128F">
        <w:rPr>
          <w:sz w:val="36"/>
          <w:szCs w:val="36"/>
          <w:rtl/>
        </w:rPr>
        <w:t xml:space="preserve"> </w:t>
      </w:r>
      <w:r w:rsidR="003F60CA" w:rsidRPr="00FD211F">
        <w:rPr>
          <w:sz w:val="36"/>
          <w:szCs w:val="36"/>
          <w:rtl/>
        </w:rPr>
        <w:t>فلايقال</w:t>
      </w:r>
      <w:r w:rsidR="00E8128F">
        <w:rPr>
          <w:sz w:val="36"/>
          <w:szCs w:val="36"/>
          <w:rtl/>
        </w:rPr>
        <w:t xml:space="preserve"> </w:t>
      </w:r>
      <w:r w:rsidR="003F60CA" w:rsidRPr="00FD211F">
        <w:rPr>
          <w:sz w:val="36"/>
          <w:szCs w:val="36"/>
          <w:rtl/>
        </w:rPr>
        <w:t>لزيد</w:t>
      </w:r>
      <w:r w:rsidR="00E8128F">
        <w:rPr>
          <w:sz w:val="36"/>
          <w:szCs w:val="36"/>
          <w:rtl/>
        </w:rPr>
        <w:t xml:space="preserve"> </w:t>
      </w:r>
      <w:r w:rsidR="00BF0104" w:rsidRPr="00FD211F">
        <w:rPr>
          <w:sz w:val="36"/>
          <w:szCs w:val="36"/>
          <w:rtl/>
        </w:rPr>
        <w:t>انه</w:t>
      </w:r>
      <w:r w:rsidR="00E8128F">
        <w:rPr>
          <w:sz w:val="36"/>
          <w:szCs w:val="36"/>
          <w:rtl/>
        </w:rPr>
        <w:t xml:space="preserve"> </w:t>
      </w:r>
      <w:r w:rsidR="00BF0104" w:rsidRPr="00FD211F">
        <w:rPr>
          <w:sz w:val="36"/>
          <w:szCs w:val="36"/>
          <w:rtl/>
        </w:rPr>
        <w:t>قاتل</w:t>
      </w:r>
      <w:r w:rsidR="00E8128F">
        <w:rPr>
          <w:sz w:val="36"/>
          <w:szCs w:val="36"/>
          <w:rtl/>
        </w:rPr>
        <w:t xml:space="preserve"> </w:t>
      </w:r>
      <w:r w:rsidR="00BF0104" w:rsidRPr="00FD211F">
        <w:rPr>
          <w:sz w:val="36"/>
          <w:szCs w:val="36"/>
          <w:rtl/>
        </w:rPr>
        <w:t>عمرو</w:t>
      </w:r>
      <w:r w:rsidR="00E8128F">
        <w:rPr>
          <w:sz w:val="36"/>
          <w:szCs w:val="36"/>
          <w:rtl/>
        </w:rPr>
        <w:t xml:space="preserve"> </w:t>
      </w:r>
      <w:r w:rsidR="00BF0104" w:rsidRPr="00FD211F">
        <w:rPr>
          <w:sz w:val="36"/>
          <w:szCs w:val="36"/>
          <w:rtl/>
        </w:rPr>
        <w:t>بمجرد</w:t>
      </w:r>
      <w:r w:rsidR="00E8128F">
        <w:rPr>
          <w:sz w:val="36"/>
          <w:szCs w:val="36"/>
          <w:rtl/>
        </w:rPr>
        <w:t xml:space="preserve"> </w:t>
      </w:r>
      <w:r w:rsidR="00BF0104" w:rsidRPr="00FD211F">
        <w:rPr>
          <w:sz w:val="36"/>
          <w:szCs w:val="36"/>
          <w:rtl/>
        </w:rPr>
        <w:t>انه</w:t>
      </w:r>
      <w:r w:rsidR="00E8128F">
        <w:rPr>
          <w:sz w:val="36"/>
          <w:szCs w:val="36"/>
          <w:rtl/>
        </w:rPr>
        <w:t xml:space="preserve"> </w:t>
      </w:r>
      <w:r w:rsidR="003F60CA" w:rsidRPr="00FD211F">
        <w:rPr>
          <w:sz w:val="36"/>
          <w:szCs w:val="36"/>
          <w:rtl/>
        </w:rPr>
        <w:t>اراد</w:t>
      </w:r>
      <w:r w:rsidR="00E8128F">
        <w:rPr>
          <w:sz w:val="36"/>
          <w:szCs w:val="36"/>
          <w:rtl/>
        </w:rPr>
        <w:t xml:space="preserve"> </w:t>
      </w:r>
      <w:r w:rsidR="003F60CA" w:rsidRPr="00FD211F">
        <w:rPr>
          <w:sz w:val="36"/>
          <w:szCs w:val="36"/>
          <w:rtl/>
        </w:rPr>
        <w:t>قتل</w:t>
      </w:r>
      <w:r w:rsidR="00E8128F">
        <w:rPr>
          <w:sz w:val="36"/>
          <w:szCs w:val="36"/>
          <w:rtl/>
        </w:rPr>
        <w:t xml:space="preserve"> </w:t>
      </w:r>
      <w:r w:rsidR="003F60CA" w:rsidRPr="00FD211F">
        <w:rPr>
          <w:sz w:val="36"/>
          <w:szCs w:val="36"/>
          <w:rtl/>
        </w:rPr>
        <w:t>عمرو</w:t>
      </w:r>
      <w:r w:rsidR="00E8128F">
        <w:rPr>
          <w:sz w:val="36"/>
          <w:szCs w:val="36"/>
          <w:rtl/>
        </w:rPr>
        <w:t xml:space="preserve"> </w:t>
      </w:r>
      <w:r w:rsidR="003F60CA" w:rsidRPr="00FD211F">
        <w:rPr>
          <w:sz w:val="36"/>
          <w:szCs w:val="36"/>
          <w:rtl/>
        </w:rPr>
        <w:t>و</w:t>
      </w:r>
      <w:r w:rsidR="00BF0104" w:rsidRPr="00FD211F">
        <w:rPr>
          <w:sz w:val="36"/>
          <w:szCs w:val="36"/>
          <w:rtl/>
        </w:rPr>
        <w:t>تحرّك</w:t>
      </w:r>
      <w:r w:rsidR="00E8128F">
        <w:rPr>
          <w:sz w:val="36"/>
          <w:szCs w:val="36"/>
          <w:rtl/>
        </w:rPr>
        <w:t xml:space="preserve"> </w:t>
      </w:r>
      <w:r w:rsidR="00BF0104" w:rsidRPr="00FD211F">
        <w:rPr>
          <w:sz w:val="36"/>
          <w:szCs w:val="36"/>
          <w:rtl/>
        </w:rPr>
        <w:t>نحوه</w:t>
      </w:r>
      <w:r w:rsidR="00E8128F">
        <w:rPr>
          <w:sz w:val="36"/>
          <w:szCs w:val="36"/>
          <w:rtl/>
        </w:rPr>
        <w:t xml:space="preserve"> </w:t>
      </w:r>
      <w:r w:rsidR="00BF0104" w:rsidRPr="00FD211F">
        <w:rPr>
          <w:sz w:val="36"/>
          <w:szCs w:val="36"/>
          <w:rtl/>
        </w:rPr>
        <w:t>ولكن</w:t>
      </w:r>
      <w:r w:rsidR="00E8128F">
        <w:rPr>
          <w:sz w:val="36"/>
          <w:szCs w:val="36"/>
          <w:rtl/>
        </w:rPr>
        <w:t xml:space="preserve"> </w:t>
      </w:r>
      <w:r w:rsidR="003F60CA" w:rsidRPr="00FD211F">
        <w:rPr>
          <w:sz w:val="36"/>
          <w:szCs w:val="36"/>
          <w:rtl/>
        </w:rPr>
        <w:t>منعه</w:t>
      </w:r>
      <w:r w:rsidR="00E8128F">
        <w:rPr>
          <w:sz w:val="36"/>
          <w:szCs w:val="36"/>
          <w:rtl/>
        </w:rPr>
        <w:t xml:space="preserve"> </w:t>
      </w:r>
      <w:r w:rsidR="003F60CA" w:rsidRPr="00FD211F">
        <w:rPr>
          <w:sz w:val="36"/>
          <w:szCs w:val="36"/>
          <w:rtl/>
        </w:rPr>
        <w:t>عنه</w:t>
      </w:r>
      <w:r w:rsidR="00E8128F">
        <w:rPr>
          <w:sz w:val="36"/>
          <w:szCs w:val="36"/>
          <w:rtl/>
        </w:rPr>
        <w:t xml:space="preserve"> </w:t>
      </w:r>
      <w:r w:rsidR="003F60CA" w:rsidRPr="00FD211F">
        <w:rPr>
          <w:sz w:val="36"/>
          <w:szCs w:val="36"/>
          <w:rtl/>
        </w:rPr>
        <w:t>مانع.</w:t>
      </w:r>
    </w:p>
    <w:p w14:paraId="642A7686" w14:textId="77777777" w:rsidR="003202D7" w:rsidRPr="00FD211F" w:rsidRDefault="003202D7"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فقد</w:t>
      </w:r>
      <w:r w:rsidR="00E8128F">
        <w:rPr>
          <w:sz w:val="36"/>
          <w:szCs w:val="36"/>
          <w:rtl/>
        </w:rPr>
        <w:t xml:space="preserve"> </w:t>
      </w:r>
      <w:r w:rsidRPr="00FD211F">
        <w:rPr>
          <w:sz w:val="36"/>
          <w:szCs w:val="36"/>
          <w:rtl/>
        </w:rPr>
        <w:t>تحصل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ذكرناه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الحق</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للمتلبس</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004C1D0B" w:rsidRPr="00FD211F">
        <w:rPr>
          <w:sz w:val="36"/>
          <w:szCs w:val="36"/>
          <w:rtl/>
        </w:rPr>
        <w:t>بلاتفصيل</w:t>
      </w:r>
      <w:r w:rsidR="00E8128F">
        <w:rPr>
          <w:sz w:val="36"/>
          <w:szCs w:val="36"/>
          <w:rtl/>
        </w:rPr>
        <w:t xml:space="preserve"> </w:t>
      </w:r>
      <w:r w:rsidR="004C1D0B" w:rsidRPr="00FD211F">
        <w:rPr>
          <w:sz w:val="36"/>
          <w:szCs w:val="36"/>
          <w:rtl/>
        </w:rPr>
        <w:t>بين</w:t>
      </w:r>
      <w:r w:rsidR="00E8128F">
        <w:rPr>
          <w:sz w:val="36"/>
          <w:szCs w:val="36"/>
          <w:rtl/>
        </w:rPr>
        <w:t xml:space="preserve"> </w:t>
      </w:r>
      <w:r w:rsidR="004C1D0B" w:rsidRPr="00FD211F">
        <w:rPr>
          <w:sz w:val="36"/>
          <w:szCs w:val="36"/>
          <w:rtl/>
        </w:rPr>
        <w:t>المشتقات</w:t>
      </w:r>
      <w:r w:rsidR="00603323" w:rsidRPr="00FD211F">
        <w:rPr>
          <w:sz w:val="36"/>
          <w:szCs w:val="36"/>
          <w:rtl/>
        </w:rPr>
        <w:t>،</w:t>
      </w:r>
      <w:r w:rsidR="00E8128F">
        <w:rPr>
          <w:sz w:val="36"/>
          <w:szCs w:val="36"/>
          <w:rtl/>
        </w:rPr>
        <w:t xml:space="preserve"> </w:t>
      </w:r>
      <w:r w:rsidRPr="00FD211F">
        <w:rPr>
          <w:sz w:val="36"/>
          <w:szCs w:val="36"/>
          <w:rtl/>
        </w:rPr>
        <w:t>ومما</w:t>
      </w:r>
      <w:r w:rsidR="00E8128F">
        <w:rPr>
          <w:sz w:val="36"/>
          <w:szCs w:val="36"/>
          <w:rtl/>
        </w:rPr>
        <w:t xml:space="preserve"> </w:t>
      </w:r>
      <w:r w:rsidRPr="00FD211F">
        <w:rPr>
          <w:sz w:val="36"/>
          <w:szCs w:val="36"/>
          <w:rtl/>
        </w:rPr>
        <w:t>يشهد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التزام</w:t>
      </w:r>
      <w:r w:rsidR="00E8128F">
        <w:rPr>
          <w:sz w:val="36"/>
          <w:szCs w:val="36"/>
          <w:rtl/>
        </w:rPr>
        <w:t xml:space="preserve"> </w:t>
      </w:r>
      <w:r w:rsidRPr="00FD211F">
        <w:rPr>
          <w:sz w:val="36"/>
          <w:szCs w:val="36"/>
          <w:rtl/>
        </w:rPr>
        <w:t>المشهور</w:t>
      </w:r>
      <w:r w:rsidR="00E8128F">
        <w:rPr>
          <w:sz w:val="36"/>
          <w:szCs w:val="36"/>
          <w:rtl/>
        </w:rPr>
        <w:t xml:space="preserve"> </w:t>
      </w:r>
      <w:r w:rsidRPr="00FD211F">
        <w:rPr>
          <w:sz w:val="36"/>
          <w:szCs w:val="36"/>
          <w:rtl/>
        </w:rPr>
        <w:t>بترتيب</w:t>
      </w:r>
      <w:r w:rsidR="00E8128F">
        <w:rPr>
          <w:sz w:val="36"/>
          <w:szCs w:val="36"/>
          <w:rtl/>
        </w:rPr>
        <w:t xml:space="preserve"> </w:t>
      </w:r>
      <w:r w:rsidRPr="00FD211F">
        <w:rPr>
          <w:sz w:val="36"/>
          <w:szCs w:val="36"/>
          <w:rtl/>
        </w:rPr>
        <w:t>احكام</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موارد</w:t>
      </w:r>
      <w:r w:rsidR="00E8128F">
        <w:rPr>
          <w:sz w:val="36"/>
          <w:szCs w:val="36"/>
          <w:rtl/>
        </w:rPr>
        <w:t xml:space="preserve"> </w:t>
      </w:r>
      <w:r w:rsidRPr="00FD211F">
        <w:rPr>
          <w:sz w:val="36"/>
          <w:szCs w:val="36"/>
          <w:rtl/>
        </w:rPr>
        <w:t>انقضاء</w:t>
      </w:r>
      <w:r w:rsidR="00E8128F">
        <w:rPr>
          <w:sz w:val="36"/>
          <w:szCs w:val="36"/>
          <w:rtl/>
        </w:rPr>
        <w:t xml:space="preserve"> </w:t>
      </w:r>
      <w:r w:rsidRPr="00FD211F">
        <w:rPr>
          <w:sz w:val="36"/>
          <w:szCs w:val="36"/>
          <w:rtl/>
        </w:rPr>
        <w:t>تلبسه</w:t>
      </w:r>
      <w:r w:rsidR="00E8128F">
        <w:rPr>
          <w:sz w:val="36"/>
          <w:szCs w:val="36"/>
          <w:rtl/>
        </w:rPr>
        <w:t xml:space="preserve"> </w:t>
      </w:r>
      <w:r w:rsidRPr="00FD211F">
        <w:rPr>
          <w:sz w:val="36"/>
          <w:szCs w:val="36"/>
          <w:rtl/>
        </w:rPr>
        <w:t>بال</w:t>
      </w:r>
      <w:r w:rsidR="0079493B" w:rsidRPr="00FD211F">
        <w:rPr>
          <w:sz w:val="36"/>
          <w:szCs w:val="36"/>
          <w:rtl/>
        </w:rPr>
        <w:t>مبدأ</w:t>
      </w:r>
      <w:r w:rsidR="00603323" w:rsidRPr="00FD211F">
        <w:rPr>
          <w:sz w:val="36"/>
          <w:szCs w:val="36"/>
          <w:rtl/>
        </w:rPr>
        <w:t>،</w:t>
      </w:r>
      <w:r w:rsidR="00E8128F">
        <w:rPr>
          <w:sz w:val="36"/>
          <w:szCs w:val="36"/>
          <w:rtl/>
        </w:rPr>
        <w:t xml:space="preserve"> </w:t>
      </w:r>
      <w:r w:rsidRPr="00FD211F">
        <w:rPr>
          <w:sz w:val="36"/>
          <w:szCs w:val="36"/>
          <w:rtl/>
        </w:rPr>
        <w:t>فلم</w:t>
      </w:r>
      <w:r w:rsidR="00E8128F">
        <w:rPr>
          <w:sz w:val="36"/>
          <w:szCs w:val="36"/>
          <w:rtl/>
        </w:rPr>
        <w:t xml:space="preserve"> </w:t>
      </w:r>
      <w:r w:rsidRPr="00FD211F">
        <w:rPr>
          <w:sz w:val="36"/>
          <w:szCs w:val="36"/>
          <w:rtl/>
        </w:rPr>
        <w:t>يحكموا</w:t>
      </w:r>
      <w:r w:rsidR="00E8128F">
        <w:rPr>
          <w:sz w:val="36"/>
          <w:szCs w:val="36"/>
          <w:rtl/>
        </w:rPr>
        <w:t xml:space="preserve"> </w:t>
      </w:r>
      <w:r w:rsidRPr="00FD211F">
        <w:rPr>
          <w:sz w:val="36"/>
          <w:szCs w:val="36"/>
          <w:rtl/>
        </w:rPr>
        <w:t>بوجوب</w:t>
      </w:r>
      <w:r w:rsidR="00E8128F">
        <w:rPr>
          <w:sz w:val="36"/>
          <w:szCs w:val="36"/>
          <w:rtl/>
        </w:rPr>
        <w:t xml:space="preserve"> </w:t>
      </w:r>
      <w:r w:rsidRPr="00FD211F">
        <w:rPr>
          <w:sz w:val="36"/>
          <w:szCs w:val="36"/>
          <w:rtl/>
        </w:rPr>
        <w:t>الانفاق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الزوج</w:t>
      </w:r>
      <w:r w:rsidR="00EC7EDF" w:rsidRPr="00FD211F">
        <w:rPr>
          <w:sz w:val="36"/>
          <w:szCs w:val="36"/>
          <w:rtl/>
        </w:rPr>
        <w:t>ة</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انقضاء</w:t>
      </w:r>
      <w:r w:rsidR="00E8128F">
        <w:rPr>
          <w:sz w:val="36"/>
          <w:szCs w:val="36"/>
          <w:rtl/>
        </w:rPr>
        <w:t xml:space="preserve"> </w:t>
      </w:r>
      <w:r w:rsidRPr="00FD211F">
        <w:rPr>
          <w:sz w:val="36"/>
          <w:szCs w:val="36"/>
          <w:rtl/>
        </w:rPr>
        <w:t>الزوجي</w:t>
      </w:r>
      <w:r w:rsidR="00EC7EDF" w:rsidRPr="00FD211F">
        <w:rPr>
          <w:sz w:val="36"/>
          <w:szCs w:val="36"/>
          <w:rtl/>
        </w:rPr>
        <w:t>ة</w:t>
      </w:r>
      <w:r w:rsidR="00E8128F">
        <w:rPr>
          <w:sz w:val="36"/>
          <w:szCs w:val="36"/>
          <w:rtl/>
        </w:rPr>
        <w:t xml:space="preserve"> </w:t>
      </w:r>
      <w:r w:rsidRPr="00FD211F">
        <w:rPr>
          <w:sz w:val="36"/>
          <w:szCs w:val="36"/>
          <w:rtl/>
        </w:rPr>
        <w:t>عنها</w:t>
      </w:r>
      <w:r w:rsidR="00E8128F">
        <w:rPr>
          <w:sz w:val="36"/>
          <w:szCs w:val="36"/>
          <w:rtl/>
        </w:rPr>
        <w:t xml:space="preserve"> </w:t>
      </w:r>
      <w:r w:rsidRPr="00FD211F">
        <w:rPr>
          <w:sz w:val="36"/>
          <w:szCs w:val="36"/>
          <w:rtl/>
        </w:rPr>
        <w:t>بطلاق</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نحوه</w:t>
      </w:r>
      <w:r w:rsidR="00603323" w:rsidRPr="00FD211F">
        <w:rPr>
          <w:sz w:val="36"/>
          <w:szCs w:val="36"/>
          <w:rtl/>
        </w:rPr>
        <w:t>،</w:t>
      </w:r>
      <w:r w:rsidR="00E8128F">
        <w:rPr>
          <w:sz w:val="36"/>
          <w:szCs w:val="36"/>
          <w:rtl/>
        </w:rPr>
        <w:t xml:space="preserve"> </w:t>
      </w:r>
      <w:r w:rsidRPr="00FD211F">
        <w:rPr>
          <w:sz w:val="36"/>
          <w:szCs w:val="36"/>
          <w:rtl/>
        </w:rPr>
        <w:t>وكذا</w:t>
      </w:r>
      <w:r w:rsidR="00E8128F">
        <w:rPr>
          <w:sz w:val="36"/>
          <w:szCs w:val="36"/>
          <w:rtl/>
        </w:rPr>
        <w:t xml:space="preserve"> </w:t>
      </w:r>
      <w:r w:rsidRPr="00FD211F">
        <w:rPr>
          <w:sz w:val="36"/>
          <w:szCs w:val="36"/>
          <w:rtl/>
        </w:rPr>
        <w:t>بجواز</w:t>
      </w:r>
      <w:r w:rsidR="00E8128F">
        <w:rPr>
          <w:sz w:val="36"/>
          <w:szCs w:val="36"/>
          <w:rtl/>
        </w:rPr>
        <w:t xml:space="preserve"> </w:t>
      </w:r>
      <w:r w:rsidRPr="00FD211F">
        <w:rPr>
          <w:sz w:val="36"/>
          <w:szCs w:val="36"/>
          <w:rtl/>
        </w:rPr>
        <w:t>النظر</w:t>
      </w:r>
      <w:r w:rsidR="00E8128F">
        <w:rPr>
          <w:sz w:val="36"/>
          <w:szCs w:val="36"/>
          <w:rtl/>
        </w:rPr>
        <w:t xml:space="preserve"> </w:t>
      </w:r>
      <w:r w:rsidRPr="00FD211F">
        <w:rPr>
          <w:sz w:val="36"/>
          <w:szCs w:val="36"/>
          <w:rtl/>
        </w:rPr>
        <w:t>اليها</w:t>
      </w:r>
      <w:r w:rsidR="00603323" w:rsidRPr="00FD211F">
        <w:rPr>
          <w:sz w:val="36"/>
          <w:szCs w:val="36"/>
          <w:rtl/>
        </w:rPr>
        <w:t>،</w:t>
      </w:r>
      <w:r w:rsidR="00E8128F">
        <w:rPr>
          <w:sz w:val="36"/>
          <w:szCs w:val="36"/>
          <w:rtl/>
        </w:rPr>
        <w:t xml:space="preserve"> </w:t>
      </w:r>
      <w:r w:rsidR="004C1D0B" w:rsidRPr="00FD211F">
        <w:rPr>
          <w:sz w:val="36"/>
          <w:szCs w:val="36"/>
          <w:rtl/>
        </w:rPr>
        <w:t>بل</w:t>
      </w:r>
      <w:r w:rsidR="00E8128F">
        <w:rPr>
          <w:sz w:val="36"/>
          <w:szCs w:val="36"/>
          <w:rtl/>
        </w:rPr>
        <w:t xml:space="preserve"> </w:t>
      </w:r>
      <w:r w:rsidR="004C1D0B" w:rsidRPr="00FD211F">
        <w:rPr>
          <w:sz w:val="36"/>
          <w:szCs w:val="36"/>
          <w:rtl/>
        </w:rPr>
        <w:t>قد</w:t>
      </w:r>
      <w:r w:rsidR="00E8128F">
        <w:rPr>
          <w:sz w:val="36"/>
          <w:szCs w:val="36"/>
          <w:rtl/>
        </w:rPr>
        <w:t xml:space="preserve"> </w:t>
      </w:r>
      <w:r w:rsidR="004C1D0B" w:rsidRPr="00FD211F">
        <w:rPr>
          <w:sz w:val="36"/>
          <w:szCs w:val="36"/>
          <w:rtl/>
        </w:rPr>
        <w:t>مر</w:t>
      </w:r>
      <w:r w:rsidR="00E8128F">
        <w:rPr>
          <w:sz w:val="36"/>
          <w:szCs w:val="36"/>
          <w:rtl/>
        </w:rPr>
        <w:t xml:space="preserve"> </w:t>
      </w:r>
      <w:r w:rsidR="004C1D0B" w:rsidRPr="00FD211F">
        <w:rPr>
          <w:sz w:val="36"/>
          <w:szCs w:val="36"/>
          <w:rtl/>
        </w:rPr>
        <w:t>ان</w:t>
      </w:r>
      <w:r w:rsidR="00E8128F">
        <w:rPr>
          <w:sz w:val="36"/>
          <w:szCs w:val="36"/>
          <w:rtl/>
        </w:rPr>
        <w:t xml:space="preserve"> </w:t>
      </w:r>
      <w:r w:rsidR="004C1D0B" w:rsidRPr="00FD211F">
        <w:rPr>
          <w:sz w:val="36"/>
          <w:szCs w:val="36"/>
          <w:rtl/>
        </w:rPr>
        <w:t>حمل</w:t>
      </w:r>
      <w:r w:rsidR="00E8128F">
        <w:rPr>
          <w:sz w:val="36"/>
          <w:szCs w:val="36"/>
          <w:rtl/>
        </w:rPr>
        <w:t xml:space="preserve"> </w:t>
      </w:r>
      <w:r w:rsidR="004C1D0B" w:rsidRPr="00FD211F">
        <w:rPr>
          <w:sz w:val="36"/>
          <w:szCs w:val="36"/>
          <w:rtl/>
        </w:rPr>
        <w:t>المشتق</w:t>
      </w:r>
      <w:r w:rsidR="00E8128F">
        <w:rPr>
          <w:sz w:val="36"/>
          <w:szCs w:val="36"/>
          <w:rtl/>
        </w:rPr>
        <w:t xml:space="preserve"> </w:t>
      </w:r>
      <w:r w:rsidR="004C1D0B" w:rsidRPr="00FD211F">
        <w:rPr>
          <w:sz w:val="36"/>
          <w:szCs w:val="36"/>
          <w:rtl/>
        </w:rPr>
        <w:t>على</w:t>
      </w:r>
      <w:r w:rsidR="00E8128F">
        <w:rPr>
          <w:sz w:val="36"/>
          <w:szCs w:val="36"/>
          <w:rtl/>
        </w:rPr>
        <w:t xml:space="preserve"> </w:t>
      </w:r>
      <w:r w:rsidR="004C1D0B" w:rsidRPr="00FD211F">
        <w:rPr>
          <w:sz w:val="36"/>
          <w:szCs w:val="36"/>
          <w:rtl/>
        </w:rPr>
        <w:t>من</w:t>
      </w:r>
      <w:r w:rsidR="00E8128F">
        <w:rPr>
          <w:sz w:val="36"/>
          <w:szCs w:val="36"/>
          <w:rtl/>
        </w:rPr>
        <w:t xml:space="preserve"> </w:t>
      </w:r>
      <w:r w:rsidR="004C1D0B" w:rsidRPr="00FD211F">
        <w:rPr>
          <w:sz w:val="36"/>
          <w:szCs w:val="36"/>
          <w:rtl/>
        </w:rPr>
        <w:t>انقضى</w:t>
      </w:r>
      <w:r w:rsidR="00E8128F">
        <w:rPr>
          <w:sz w:val="36"/>
          <w:szCs w:val="36"/>
          <w:rtl/>
        </w:rPr>
        <w:t xml:space="preserve"> </w:t>
      </w:r>
      <w:r w:rsidR="004C1D0B" w:rsidRPr="00FD211F">
        <w:rPr>
          <w:sz w:val="36"/>
          <w:szCs w:val="36"/>
          <w:rtl/>
        </w:rPr>
        <w:t>عنه</w:t>
      </w:r>
      <w:r w:rsidR="00E8128F">
        <w:rPr>
          <w:sz w:val="36"/>
          <w:szCs w:val="36"/>
          <w:rtl/>
        </w:rPr>
        <w:t xml:space="preserve"> </w:t>
      </w:r>
      <w:r w:rsidR="004C1D0B" w:rsidRPr="00FD211F">
        <w:rPr>
          <w:sz w:val="36"/>
          <w:szCs w:val="36"/>
          <w:rtl/>
        </w:rPr>
        <w:t>ال</w:t>
      </w:r>
      <w:r w:rsidR="0079493B" w:rsidRPr="00FD211F">
        <w:rPr>
          <w:sz w:val="36"/>
          <w:szCs w:val="36"/>
          <w:rtl/>
        </w:rPr>
        <w:t>مبدأ</w:t>
      </w:r>
      <w:r w:rsidR="00E8128F">
        <w:rPr>
          <w:sz w:val="36"/>
          <w:szCs w:val="36"/>
          <w:rtl/>
        </w:rPr>
        <w:t xml:space="preserve"> </w:t>
      </w:r>
      <w:r w:rsidR="004C1D0B" w:rsidRPr="00FD211F">
        <w:rPr>
          <w:sz w:val="36"/>
          <w:szCs w:val="36"/>
          <w:rtl/>
        </w:rPr>
        <w:t>او</w:t>
      </w:r>
      <w:r w:rsidR="00E8128F">
        <w:rPr>
          <w:sz w:val="36"/>
          <w:szCs w:val="36"/>
          <w:rtl/>
        </w:rPr>
        <w:t xml:space="preserve"> </w:t>
      </w:r>
      <w:r w:rsidR="004C1D0B" w:rsidRPr="00FD211F">
        <w:rPr>
          <w:sz w:val="36"/>
          <w:szCs w:val="36"/>
          <w:rtl/>
        </w:rPr>
        <w:t>من</w:t>
      </w:r>
      <w:r w:rsidR="00E8128F">
        <w:rPr>
          <w:sz w:val="36"/>
          <w:szCs w:val="36"/>
          <w:rtl/>
        </w:rPr>
        <w:t xml:space="preserve"> </w:t>
      </w:r>
      <w:r w:rsidR="004C1D0B" w:rsidRPr="00FD211F">
        <w:rPr>
          <w:sz w:val="36"/>
          <w:szCs w:val="36"/>
          <w:rtl/>
        </w:rPr>
        <w:t>سيتلبس</w:t>
      </w:r>
      <w:r w:rsidR="00E8128F">
        <w:rPr>
          <w:sz w:val="36"/>
          <w:szCs w:val="36"/>
          <w:rtl/>
        </w:rPr>
        <w:t xml:space="preserve"> </w:t>
      </w:r>
      <w:r w:rsidR="004C1D0B" w:rsidRPr="00FD211F">
        <w:rPr>
          <w:sz w:val="36"/>
          <w:szCs w:val="36"/>
          <w:rtl/>
        </w:rPr>
        <w:t>بال</w:t>
      </w:r>
      <w:r w:rsidR="0079493B" w:rsidRPr="00FD211F">
        <w:rPr>
          <w:sz w:val="36"/>
          <w:szCs w:val="36"/>
          <w:rtl/>
        </w:rPr>
        <w:t>مبدأ</w:t>
      </w:r>
      <w:r w:rsidR="00E8128F">
        <w:rPr>
          <w:sz w:val="36"/>
          <w:szCs w:val="36"/>
          <w:rtl/>
        </w:rPr>
        <w:t xml:space="preserve"> </w:t>
      </w:r>
      <w:r w:rsidR="004C1D0B" w:rsidRPr="00FD211F">
        <w:rPr>
          <w:sz w:val="36"/>
          <w:szCs w:val="36"/>
          <w:rtl/>
        </w:rPr>
        <w:t>لايصح</w:t>
      </w:r>
      <w:r w:rsidR="00E8128F">
        <w:rPr>
          <w:sz w:val="36"/>
          <w:szCs w:val="36"/>
          <w:rtl/>
        </w:rPr>
        <w:t xml:space="preserve"> </w:t>
      </w:r>
      <w:r w:rsidR="004C1D0B" w:rsidRPr="00FD211F">
        <w:rPr>
          <w:sz w:val="36"/>
          <w:szCs w:val="36"/>
          <w:rtl/>
        </w:rPr>
        <w:t>دائما</w:t>
      </w:r>
      <w:r w:rsidR="00603323" w:rsidRPr="00FD211F">
        <w:rPr>
          <w:sz w:val="36"/>
          <w:szCs w:val="36"/>
          <w:rtl/>
        </w:rPr>
        <w:t>،</w:t>
      </w:r>
      <w:r w:rsidR="00E8128F">
        <w:rPr>
          <w:sz w:val="36"/>
          <w:szCs w:val="36"/>
          <w:rtl/>
        </w:rPr>
        <w:t xml:space="preserve"> </w:t>
      </w:r>
      <w:r w:rsidR="004C1D0B" w:rsidRPr="00FD211F">
        <w:rPr>
          <w:sz w:val="36"/>
          <w:szCs w:val="36"/>
          <w:rtl/>
        </w:rPr>
        <w:t>وانما</w:t>
      </w:r>
      <w:r w:rsidR="00E8128F">
        <w:rPr>
          <w:sz w:val="36"/>
          <w:szCs w:val="36"/>
          <w:rtl/>
        </w:rPr>
        <w:t xml:space="preserve"> </w:t>
      </w:r>
      <w:r w:rsidR="004C1D0B" w:rsidRPr="00FD211F">
        <w:rPr>
          <w:sz w:val="36"/>
          <w:szCs w:val="36"/>
          <w:rtl/>
        </w:rPr>
        <w:t>يتبع</w:t>
      </w:r>
      <w:r w:rsidR="00E8128F">
        <w:rPr>
          <w:sz w:val="36"/>
          <w:szCs w:val="36"/>
          <w:rtl/>
        </w:rPr>
        <w:t xml:space="preserve"> </w:t>
      </w:r>
      <w:r w:rsidR="004C1D0B" w:rsidRPr="00FD211F">
        <w:rPr>
          <w:sz w:val="36"/>
          <w:szCs w:val="36"/>
          <w:rtl/>
        </w:rPr>
        <w:t>استحسان</w:t>
      </w:r>
      <w:r w:rsidR="00E8128F">
        <w:rPr>
          <w:sz w:val="36"/>
          <w:szCs w:val="36"/>
          <w:rtl/>
        </w:rPr>
        <w:t xml:space="preserve"> </w:t>
      </w:r>
      <w:r w:rsidR="004C1D0B" w:rsidRPr="00FD211F">
        <w:rPr>
          <w:sz w:val="36"/>
          <w:szCs w:val="36"/>
          <w:rtl/>
        </w:rPr>
        <w:t>الطبع</w:t>
      </w:r>
      <w:r w:rsidR="00E8128F">
        <w:rPr>
          <w:sz w:val="36"/>
          <w:szCs w:val="36"/>
          <w:rtl/>
        </w:rPr>
        <w:t xml:space="preserve"> </w:t>
      </w:r>
      <w:r w:rsidR="004C1D0B" w:rsidRPr="00FD211F">
        <w:rPr>
          <w:sz w:val="36"/>
          <w:szCs w:val="36"/>
          <w:rtl/>
        </w:rPr>
        <w:t>المصحح</w:t>
      </w:r>
      <w:r w:rsidR="00E8128F">
        <w:rPr>
          <w:sz w:val="36"/>
          <w:szCs w:val="36"/>
          <w:rtl/>
        </w:rPr>
        <w:t xml:space="preserve"> </w:t>
      </w:r>
      <w:r w:rsidR="004C1D0B" w:rsidRPr="00FD211F">
        <w:rPr>
          <w:sz w:val="36"/>
          <w:szCs w:val="36"/>
          <w:rtl/>
        </w:rPr>
        <w:t>لحمله</w:t>
      </w:r>
      <w:r w:rsidR="00E8128F">
        <w:rPr>
          <w:sz w:val="36"/>
          <w:szCs w:val="36"/>
          <w:rtl/>
        </w:rPr>
        <w:t xml:space="preserve"> </w:t>
      </w:r>
      <w:r w:rsidR="004C1D0B" w:rsidRPr="00FD211F">
        <w:rPr>
          <w:sz w:val="36"/>
          <w:szCs w:val="36"/>
          <w:rtl/>
        </w:rPr>
        <w:t>على</w:t>
      </w:r>
      <w:r w:rsidR="00E8128F">
        <w:rPr>
          <w:sz w:val="36"/>
          <w:szCs w:val="36"/>
          <w:rtl/>
        </w:rPr>
        <w:t xml:space="preserve"> </w:t>
      </w:r>
      <w:r w:rsidR="004C1D0B" w:rsidRPr="00FD211F">
        <w:rPr>
          <w:sz w:val="36"/>
          <w:szCs w:val="36"/>
          <w:rtl/>
        </w:rPr>
        <w:t>من</w:t>
      </w:r>
      <w:r w:rsidR="00E8128F">
        <w:rPr>
          <w:sz w:val="36"/>
          <w:szCs w:val="36"/>
          <w:rtl/>
        </w:rPr>
        <w:t xml:space="preserve"> </w:t>
      </w:r>
      <w:r w:rsidR="004C1D0B" w:rsidRPr="00FD211F">
        <w:rPr>
          <w:sz w:val="36"/>
          <w:szCs w:val="36"/>
          <w:rtl/>
        </w:rPr>
        <w:t>انقضى</w:t>
      </w:r>
      <w:r w:rsidR="00E8128F">
        <w:rPr>
          <w:sz w:val="36"/>
          <w:szCs w:val="36"/>
          <w:rtl/>
        </w:rPr>
        <w:t xml:space="preserve"> </w:t>
      </w:r>
      <w:r w:rsidR="004C1D0B" w:rsidRPr="00FD211F">
        <w:rPr>
          <w:sz w:val="36"/>
          <w:szCs w:val="36"/>
          <w:rtl/>
        </w:rPr>
        <w:t>عنه</w:t>
      </w:r>
      <w:r w:rsidR="00E8128F">
        <w:rPr>
          <w:sz w:val="36"/>
          <w:szCs w:val="36"/>
          <w:rtl/>
        </w:rPr>
        <w:t xml:space="preserve"> </w:t>
      </w:r>
      <w:r w:rsidR="004C1D0B" w:rsidRPr="00FD211F">
        <w:rPr>
          <w:sz w:val="36"/>
          <w:szCs w:val="36"/>
          <w:rtl/>
        </w:rPr>
        <w:t>ال</w:t>
      </w:r>
      <w:r w:rsidR="0079493B" w:rsidRPr="00FD211F">
        <w:rPr>
          <w:sz w:val="36"/>
          <w:szCs w:val="36"/>
          <w:rtl/>
        </w:rPr>
        <w:t>مبدأ</w:t>
      </w:r>
      <w:r w:rsidR="00E8128F">
        <w:rPr>
          <w:sz w:val="36"/>
          <w:szCs w:val="36"/>
          <w:rtl/>
        </w:rPr>
        <w:t xml:space="preserve"> </w:t>
      </w:r>
      <w:r w:rsidR="004C1D0B" w:rsidRPr="00FD211F">
        <w:rPr>
          <w:sz w:val="36"/>
          <w:szCs w:val="36"/>
          <w:rtl/>
        </w:rPr>
        <w:t>بعلاق</w:t>
      </w:r>
      <w:r w:rsidR="00EC7EDF" w:rsidRPr="00FD211F">
        <w:rPr>
          <w:sz w:val="36"/>
          <w:szCs w:val="36"/>
          <w:rtl/>
        </w:rPr>
        <w:t>ة</w:t>
      </w:r>
      <w:r w:rsidR="00E8128F">
        <w:rPr>
          <w:sz w:val="36"/>
          <w:szCs w:val="36"/>
          <w:rtl/>
        </w:rPr>
        <w:t xml:space="preserve"> </w:t>
      </w:r>
      <w:r w:rsidR="004C1D0B" w:rsidRPr="00FD211F">
        <w:rPr>
          <w:sz w:val="36"/>
          <w:szCs w:val="36"/>
          <w:rtl/>
        </w:rPr>
        <w:t>ما</w:t>
      </w:r>
      <w:r w:rsidR="00E8128F">
        <w:rPr>
          <w:sz w:val="36"/>
          <w:szCs w:val="36"/>
          <w:rtl/>
        </w:rPr>
        <w:t xml:space="preserve"> </w:t>
      </w:r>
      <w:r w:rsidR="004C1D0B" w:rsidRPr="00FD211F">
        <w:rPr>
          <w:sz w:val="36"/>
          <w:szCs w:val="36"/>
          <w:rtl/>
        </w:rPr>
        <w:t>كان</w:t>
      </w:r>
      <w:r w:rsidR="00E8128F">
        <w:rPr>
          <w:sz w:val="36"/>
          <w:szCs w:val="36"/>
          <w:rtl/>
        </w:rPr>
        <w:t xml:space="preserve"> </w:t>
      </w:r>
      <w:r w:rsidR="004C1D0B" w:rsidRPr="00FD211F">
        <w:rPr>
          <w:sz w:val="36"/>
          <w:szCs w:val="36"/>
          <w:rtl/>
        </w:rPr>
        <w:t>او</w:t>
      </w:r>
      <w:r w:rsidR="00E8128F">
        <w:rPr>
          <w:sz w:val="36"/>
          <w:szCs w:val="36"/>
          <w:rtl/>
        </w:rPr>
        <w:t xml:space="preserve"> </w:t>
      </w:r>
      <w:r w:rsidR="004C1D0B" w:rsidRPr="00FD211F">
        <w:rPr>
          <w:sz w:val="36"/>
          <w:szCs w:val="36"/>
          <w:rtl/>
        </w:rPr>
        <w:t>حمله</w:t>
      </w:r>
      <w:r w:rsidR="00E8128F">
        <w:rPr>
          <w:sz w:val="36"/>
          <w:szCs w:val="36"/>
          <w:rtl/>
        </w:rPr>
        <w:t xml:space="preserve"> </w:t>
      </w:r>
      <w:r w:rsidR="004C1D0B" w:rsidRPr="00FD211F">
        <w:rPr>
          <w:sz w:val="36"/>
          <w:szCs w:val="36"/>
          <w:rtl/>
        </w:rPr>
        <w:t>على</w:t>
      </w:r>
      <w:r w:rsidR="00E8128F">
        <w:rPr>
          <w:sz w:val="36"/>
          <w:szCs w:val="36"/>
          <w:rtl/>
        </w:rPr>
        <w:t xml:space="preserve"> </w:t>
      </w:r>
      <w:r w:rsidR="004C1D0B" w:rsidRPr="00FD211F">
        <w:rPr>
          <w:sz w:val="36"/>
          <w:szCs w:val="36"/>
          <w:rtl/>
        </w:rPr>
        <w:t>من</w:t>
      </w:r>
      <w:r w:rsidR="00E8128F">
        <w:rPr>
          <w:sz w:val="36"/>
          <w:szCs w:val="36"/>
          <w:rtl/>
        </w:rPr>
        <w:t xml:space="preserve"> </w:t>
      </w:r>
      <w:r w:rsidR="004C1D0B" w:rsidRPr="00FD211F">
        <w:rPr>
          <w:sz w:val="36"/>
          <w:szCs w:val="36"/>
          <w:rtl/>
        </w:rPr>
        <w:t>سيتلبس</w:t>
      </w:r>
      <w:r w:rsidR="00E8128F">
        <w:rPr>
          <w:sz w:val="36"/>
          <w:szCs w:val="36"/>
          <w:rtl/>
        </w:rPr>
        <w:t xml:space="preserve"> </w:t>
      </w:r>
      <w:r w:rsidR="004C1D0B" w:rsidRPr="00FD211F">
        <w:rPr>
          <w:sz w:val="36"/>
          <w:szCs w:val="36"/>
          <w:rtl/>
        </w:rPr>
        <w:t>بال</w:t>
      </w:r>
      <w:r w:rsidR="0079493B" w:rsidRPr="00FD211F">
        <w:rPr>
          <w:sz w:val="36"/>
          <w:szCs w:val="36"/>
          <w:rtl/>
        </w:rPr>
        <w:t>مبدأ</w:t>
      </w:r>
      <w:r w:rsidR="00E8128F">
        <w:rPr>
          <w:sz w:val="36"/>
          <w:szCs w:val="36"/>
          <w:rtl/>
        </w:rPr>
        <w:t xml:space="preserve"> </w:t>
      </w:r>
      <w:r w:rsidR="004C1D0B" w:rsidRPr="00FD211F">
        <w:rPr>
          <w:sz w:val="36"/>
          <w:szCs w:val="36"/>
          <w:rtl/>
        </w:rPr>
        <w:t>بعلاق</w:t>
      </w:r>
      <w:r w:rsidR="00EC7EDF" w:rsidRPr="00FD211F">
        <w:rPr>
          <w:sz w:val="36"/>
          <w:szCs w:val="36"/>
          <w:rtl/>
        </w:rPr>
        <w:t>ة</w:t>
      </w:r>
      <w:r w:rsidR="00E8128F">
        <w:rPr>
          <w:sz w:val="36"/>
          <w:szCs w:val="36"/>
          <w:rtl/>
        </w:rPr>
        <w:t xml:space="preserve"> </w:t>
      </w:r>
      <w:r w:rsidR="004C1D0B" w:rsidRPr="00FD211F">
        <w:rPr>
          <w:sz w:val="36"/>
          <w:szCs w:val="36"/>
          <w:rtl/>
        </w:rPr>
        <w:t>الأول</w:t>
      </w:r>
      <w:r w:rsidR="00E8128F">
        <w:rPr>
          <w:sz w:val="36"/>
          <w:szCs w:val="36"/>
          <w:rtl/>
        </w:rPr>
        <w:t xml:space="preserve"> </w:t>
      </w:r>
      <w:r w:rsidR="004C1D0B" w:rsidRPr="00FD211F">
        <w:rPr>
          <w:sz w:val="36"/>
          <w:szCs w:val="36"/>
          <w:rtl/>
        </w:rPr>
        <w:t>والمشارف</w:t>
      </w:r>
      <w:r w:rsidR="00EC7EDF" w:rsidRPr="00FD211F">
        <w:rPr>
          <w:sz w:val="36"/>
          <w:szCs w:val="36"/>
          <w:rtl/>
        </w:rPr>
        <w:t>ة</w:t>
      </w:r>
      <w:r w:rsidR="00603323" w:rsidRPr="00FD211F">
        <w:rPr>
          <w:sz w:val="36"/>
          <w:szCs w:val="36"/>
          <w:rtl/>
        </w:rPr>
        <w:t>،</w:t>
      </w:r>
      <w:r w:rsidR="00E8128F">
        <w:rPr>
          <w:sz w:val="36"/>
          <w:szCs w:val="36"/>
          <w:rtl/>
        </w:rPr>
        <w:t xml:space="preserve"> </w:t>
      </w:r>
      <w:r w:rsidR="004C1D0B" w:rsidRPr="00FD211F">
        <w:rPr>
          <w:sz w:val="36"/>
          <w:szCs w:val="36"/>
          <w:rtl/>
        </w:rPr>
        <w:t>ولايوجد</w:t>
      </w:r>
      <w:r w:rsidR="00E8128F">
        <w:rPr>
          <w:sz w:val="36"/>
          <w:szCs w:val="36"/>
          <w:rtl/>
        </w:rPr>
        <w:t xml:space="preserve"> </w:t>
      </w:r>
      <w:r w:rsidR="004C1D0B" w:rsidRPr="00FD211F">
        <w:rPr>
          <w:sz w:val="36"/>
          <w:szCs w:val="36"/>
          <w:rtl/>
        </w:rPr>
        <w:t>استحسان</w:t>
      </w:r>
      <w:r w:rsidR="00E8128F">
        <w:rPr>
          <w:sz w:val="36"/>
          <w:szCs w:val="36"/>
          <w:rtl/>
        </w:rPr>
        <w:t xml:space="preserve"> </w:t>
      </w:r>
      <w:r w:rsidR="004C1D0B" w:rsidRPr="00FD211F">
        <w:rPr>
          <w:sz w:val="36"/>
          <w:szCs w:val="36"/>
          <w:rtl/>
        </w:rPr>
        <w:t>الطبع</w:t>
      </w:r>
      <w:r w:rsidR="00E8128F">
        <w:rPr>
          <w:sz w:val="36"/>
          <w:szCs w:val="36"/>
          <w:rtl/>
        </w:rPr>
        <w:t xml:space="preserve"> </w:t>
      </w:r>
      <w:r w:rsidR="004C1D0B" w:rsidRPr="00FD211F">
        <w:rPr>
          <w:sz w:val="36"/>
          <w:szCs w:val="36"/>
          <w:rtl/>
        </w:rPr>
        <w:t>المصحح</w:t>
      </w:r>
      <w:r w:rsidR="00E8128F">
        <w:rPr>
          <w:sz w:val="36"/>
          <w:szCs w:val="36"/>
          <w:rtl/>
        </w:rPr>
        <w:t xml:space="preserve"> </w:t>
      </w:r>
      <w:r w:rsidR="004C1D0B" w:rsidRPr="00FD211F">
        <w:rPr>
          <w:sz w:val="36"/>
          <w:szCs w:val="36"/>
          <w:rtl/>
        </w:rPr>
        <w:t>لهذا</w:t>
      </w:r>
      <w:r w:rsidR="00E8128F">
        <w:rPr>
          <w:sz w:val="36"/>
          <w:szCs w:val="36"/>
          <w:rtl/>
        </w:rPr>
        <w:t xml:space="preserve"> </w:t>
      </w:r>
      <w:r w:rsidR="004C1D0B" w:rsidRPr="00FD211F">
        <w:rPr>
          <w:sz w:val="36"/>
          <w:szCs w:val="36"/>
          <w:rtl/>
        </w:rPr>
        <w:t>الحمل</w:t>
      </w:r>
      <w:r w:rsidR="00E8128F">
        <w:rPr>
          <w:sz w:val="36"/>
          <w:szCs w:val="36"/>
          <w:rtl/>
        </w:rPr>
        <w:t xml:space="preserve"> </w:t>
      </w:r>
      <w:r w:rsidR="004C1D0B" w:rsidRPr="00FD211F">
        <w:rPr>
          <w:sz w:val="36"/>
          <w:szCs w:val="36"/>
          <w:rtl/>
        </w:rPr>
        <w:t>دائما</w:t>
      </w:r>
      <w:r w:rsidR="00603323" w:rsidRPr="00FD211F">
        <w:rPr>
          <w:sz w:val="36"/>
          <w:szCs w:val="36"/>
          <w:rtl/>
        </w:rPr>
        <w:t>،</w:t>
      </w:r>
      <w:r w:rsidR="00E8128F">
        <w:rPr>
          <w:sz w:val="36"/>
          <w:szCs w:val="36"/>
          <w:rtl/>
        </w:rPr>
        <w:t xml:space="preserve"> </w:t>
      </w:r>
      <w:r w:rsidR="004C1D0B" w:rsidRPr="00FD211F">
        <w:rPr>
          <w:sz w:val="36"/>
          <w:szCs w:val="36"/>
          <w:rtl/>
        </w:rPr>
        <w:t>فكيف</w:t>
      </w:r>
      <w:r w:rsidR="00E8128F">
        <w:rPr>
          <w:sz w:val="36"/>
          <w:szCs w:val="36"/>
          <w:rtl/>
        </w:rPr>
        <w:t xml:space="preserve"> </w:t>
      </w:r>
      <w:r w:rsidR="004C1D0B" w:rsidRPr="00FD211F">
        <w:rPr>
          <w:sz w:val="36"/>
          <w:szCs w:val="36"/>
          <w:rtl/>
        </w:rPr>
        <w:t>يقال</w:t>
      </w:r>
      <w:r w:rsidR="00E8128F">
        <w:rPr>
          <w:sz w:val="36"/>
          <w:szCs w:val="36"/>
          <w:rtl/>
        </w:rPr>
        <w:t xml:space="preserve"> </w:t>
      </w:r>
      <w:r w:rsidR="004C1D0B" w:rsidRPr="00FD211F">
        <w:rPr>
          <w:sz w:val="36"/>
          <w:szCs w:val="36"/>
          <w:rtl/>
        </w:rPr>
        <w:t>عن</w:t>
      </w:r>
      <w:r w:rsidR="00E8128F">
        <w:rPr>
          <w:sz w:val="36"/>
          <w:szCs w:val="36"/>
          <w:rtl/>
        </w:rPr>
        <w:t xml:space="preserve"> </w:t>
      </w:r>
      <w:r w:rsidR="004C1D0B" w:rsidRPr="00FD211F">
        <w:rPr>
          <w:sz w:val="36"/>
          <w:szCs w:val="36"/>
          <w:rtl/>
        </w:rPr>
        <w:t>عالم</w:t>
      </w:r>
      <w:r w:rsidR="00E8128F">
        <w:rPr>
          <w:sz w:val="36"/>
          <w:szCs w:val="36"/>
          <w:rtl/>
        </w:rPr>
        <w:t xml:space="preserve"> </w:t>
      </w:r>
      <w:r w:rsidR="004C1D0B" w:rsidRPr="00FD211F">
        <w:rPr>
          <w:sz w:val="36"/>
          <w:szCs w:val="36"/>
          <w:rtl/>
        </w:rPr>
        <w:t>كبير</w:t>
      </w:r>
      <w:r w:rsidR="00E8128F">
        <w:rPr>
          <w:sz w:val="36"/>
          <w:szCs w:val="36"/>
          <w:rtl/>
        </w:rPr>
        <w:t xml:space="preserve"> </w:t>
      </w:r>
      <w:r w:rsidR="004C1D0B" w:rsidRPr="00FD211F">
        <w:rPr>
          <w:sz w:val="36"/>
          <w:szCs w:val="36"/>
          <w:rtl/>
        </w:rPr>
        <w:t>انه</w:t>
      </w:r>
      <w:r w:rsidR="00E8128F">
        <w:rPr>
          <w:sz w:val="36"/>
          <w:szCs w:val="36"/>
          <w:rtl/>
        </w:rPr>
        <w:t xml:space="preserve"> </w:t>
      </w:r>
      <w:r w:rsidR="004C1D0B" w:rsidRPr="00FD211F">
        <w:rPr>
          <w:sz w:val="36"/>
          <w:szCs w:val="36"/>
          <w:rtl/>
        </w:rPr>
        <w:t>جاهل</w:t>
      </w:r>
      <w:r w:rsidR="00E8128F">
        <w:rPr>
          <w:sz w:val="36"/>
          <w:szCs w:val="36"/>
          <w:rtl/>
        </w:rPr>
        <w:t xml:space="preserve"> </w:t>
      </w:r>
      <w:r w:rsidR="004C1D0B" w:rsidRPr="00FD211F">
        <w:rPr>
          <w:sz w:val="36"/>
          <w:szCs w:val="36"/>
          <w:rtl/>
        </w:rPr>
        <w:t>بعلاق</w:t>
      </w:r>
      <w:r w:rsidR="00EC7EDF" w:rsidRPr="00FD211F">
        <w:rPr>
          <w:sz w:val="36"/>
          <w:szCs w:val="36"/>
          <w:rtl/>
        </w:rPr>
        <w:t>ة</w:t>
      </w:r>
      <w:r w:rsidR="00E8128F">
        <w:rPr>
          <w:sz w:val="36"/>
          <w:szCs w:val="36"/>
          <w:rtl/>
        </w:rPr>
        <w:t xml:space="preserve"> </w:t>
      </w:r>
      <w:r w:rsidR="004C1D0B" w:rsidRPr="00FD211F">
        <w:rPr>
          <w:sz w:val="36"/>
          <w:szCs w:val="36"/>
          <w:rtl/>
        </w:rPr>
        <w:t>ما</w:t>
      </w:r>
      <w:r w:rsidR="00E8128F">
        <w:rPr>
          <w:sz w:val="36"/>
          <w:szCs w:val="36"/>
          <w:rtl/>
        </w:rPr>
        <w:t xml:space="preserve"> </w:t>
      </w:r>
      <w:r w:rsidR="004C1D0B" w:rsidRPr="00FD211F">
        <w:rPr>
          <w:sz w:val="36"/>
          <w:szCs w:val="36"/>
          <w:rtl/>
        </w:rPr>
        <w:t>كان</w:t>
      </w:r>
      <w:r w:rsidR="00E8128F">
        <w:rPr>
          <w:sz w:val="36"/>
          <w:szCs w:val="36"/>
          <w:rtl/>
        </w:rPr>
        <w:t xml:space="preserve"> </w:t>
      </w:r>
      <w:r w:rsidR="004C1D0B" w:rsidRPr="00FD211F">
        <w:rPr>
          <w:sz w:val="36"/>
          <w:szCs w:val="36"/>
          <w:rtl/>
        </w:rPr>
        <w:t>او</w:t>
      </w:r>
      <w:r w:rsidR="00E8128F">
        <w:rPr>
          <w:sz w:val="36"/>
          <w:szCs w:val="36"/>
          <w:rtl/>
        </w:rPr>
        <w:t xml:space="preserve"> </w:t>
      </w:r>
      <w:r w:rsidR="004C1D0B" w:rsidRPr="00FD211F">
        <w:rPr>
          <w:sz w:val="36"/>
          <w:szCs w:val="36"/>
          <w:rtl/>
        </w:rPr>
        <w:t>عن</w:t>
      </w:r>
      <w:r w:rsidR="00E8128F">
        <w:rPr>
          <w:sz w:val="36"/>
          <w:szCs w:val="36"/>
          <w:rtl/>
        </w:rPr>
        <w:t xml:space="preserve"> </w:t>
      </w:r>
      <w:r w:rsidR="004C1D0B" w:rsidRPr="00FD211F">
        <w:rPr>
          <w:sz w:val="36"/>
          <w:szCs w:val="36"/>
          <w:rtl/>
        </w:rPr>
        <w:t>انسان</w:t>
      </w:r>
      <w:r w:rsidR="00E8128F">
        <w:rPr>
          <w:sz w:val="36"/>
          <w:szCs w:val="36"/>
          <w:rtl/>
        </w:rPr>
        <w:t xml:space="preserve"> </w:t>
      </w:r>
      <w:r w:rsidR="004C1D0B" w:rsidRPr="00FD211F">
        <w:rPr>
          <w:sz w:val="36"/>
          <w:szCs w:val="36"/>
          <w:rtl/>
        </w:rPr>
        <w:t>قاعد</w:t>
      </w:r>
      <w:r w:rsidR="00E8128F">
        <w:rPr>
          <w:sz w:val="36"/>
          <w:szCs w:val="36"/>
          <w:rtl/>
        </w:rPr>
        <w:t xml:space="preserve"> </w:t>
      </w:r>
      <w:r w:rsidR="004C1D0B" w:rsidRPr="00FD211F">
        <w:rPr>
          <w:sz w:val="36"/>
          <w:szCs w:val="36"/>
          <w:rtl/>
        </w:rPr>
        <w:t>انه</w:t>
      </w:r>
      <w:r w:rsidR="00E8128F">
        <w:rPr>
          <w:sz w:val="36"/>
          <w:szCs w:val="36"/>
          <w:rtl/>
        </w:rPr>
        <w:t xml:space="preserve"> </w:t>
      </w:r>
      <w:r w:rsidR="004C1D0B" w:rsidRPr="00FD211F">
        <w:rPr>
          <w:sz w:val="36"/>
          <w:szCs w:val="36"/>
          <w:rtl/>
        </w:rPr>
        <w:t>قائم</w:t>
      </w:r>
      <w:r w:rsidRPr="00FD211F">
        <w:rPr>
          <w:sz w:val="36"/>
          <w:szCs w:val="36"/>
          <w:rtl/>
        </w:rPr>
        <w:t>.</w:t>
      </w:r>
    </w:p>
    <w:p w14:paraId="4C11D9EE" w14:textId="77777777" w:rsidR="00AA6835" w:rsidRPr="00FD211F" w:rsidRDefault="00AA6835" w:rsidP="009C58C8">
      <w:pPr>
        <w:pStyle w:val="3"/>
        <w:ind w:firstLine="227"/>
        <w:jc w:val="both"/>
        <w:rPr>
          <w:rtl/>
        </w:rPr>
      </w:pPr>
      <w:bookmarkStart w:id="459" w:name="درس115دقيقه15"/>
      <w:bookmarkStart w:id="460" w:name="_Toc192092952"/>
      <w:bookmarkStart w:id="461" w:name="_Toc223890432"/>
      <w:bookmarkEnd w:id="459"/>
      <w:r w:rsidRPr="00FD211F">
        <w:rPr>
          <w:rtl/>
        </w:rPr>
        <w:t>مقتضى</w:t>
      </w:r>
      <w:r w:rsidR="00E8128F">
        <w:rPr>
          <w:rtl/>
        </w:rPr>
        <w:t xml:space="preserve"> </w:t>
      </w:r>
      <w:r w:rsidRPr="00FD211F">
        <w:rPr>
          <w:rtl/>
        </w:rPr>
        <w:t>الاصل</w:t>
      </w:r>
      <w:r w:rsidR="00E8128F">
        <w:rPr>
          <w:rtl/>
        </w:rPr>
        <w:t xml:space="preserve"> </w:t>
      </w:r>
      <w:r w:rsidRPr="00FD211F">
        <w:rPr>
          <w:rtl/>
        </w:rPr>
        <w:t>العملي</w:t>
      </w:r>
      <w:bookmarkEnd w:id="460"/>
      <w:bookmarkEnd w:id="461"/>
    </w:p>
    <w:p w14:paraId="63E264D6" w14:textId="77777777" w:rsidR="00FA49A6" w:rsidRPr="00FD211F" w:rsidRDefault="00D06AA3" w:rsidP="009C58C8">
      <w:pPr>
        <w:ind w:left="0" w:firstLine="227"/>
        <w:jc w:val="both"/>
        <w:rPr>
          <w:sz w:val="36"/>
          <w:szCs w:val="36"/>
          <w:rtl/>
        </w:rPr>
      </w:pPr>
      <w:r w:rsidRPr="00FD211F">
        <w:rPr>
          <w:b/>
          <w:bCs/>
          <w:sz w:val="36"/>
          <w:szCs w:val="36"/>
          <w:rtl/>
        </w:rPr>
        <w:t>الجه</w:t>
      </w:r>
      <w:r w:rsidR="00EC7EDF" w:rsidRPr="00FD211F">
        <w:rPr>
          <w:b/>
          <w:bCs/>
          <w:sz w:val="36"/>
          <w:szCs w:val="36"/>
          <w:rtl/>
        </w:rPr>
        <w:t>ة</w:t>
      </w:r>
      <w:r w:rsidR="00E8128F">
        <w:rPr>
          <w:b/>
          <w:bCs/>
          <w:sz w:val="36"/>
          <w:szCs w:val="36"/>
          <w:rtl/>
        </w:rPr>
        <w:t xml:space="preserve"> </w:t>
      </w:r>
      <w:r w:rsidRPr="00FD211F">
        <w:rPr>
          <w:b/>
          <w:bCs/>
          <w:sz w:val="36"/>
          <w:szCs w:val="36"/>
          <w:rtl/>
        </w:rPr>
        <w:t>السادس</w:t>
      </w:r>
      <w:r w:rsidR="00EC7EDF" w:rsidRPr="00FD211F">
        <w:rPr>
          <w:b/>
          <w:bCs/>
          <w:sz w:val="36"/>
          <w:szCs w:val="36"/>
          <w:rtl/>
        </w:rPr>
        <w:t>ة</w:t>
      </w:r>
      <w:r w:rsidR="00057D31" w:rsidRPr="00FD211F">
        <w:rPr>
          <w:b/>
          <w:bCs/>
          <w:sz w:val="36"/>
          <w:szCs w:val="36"/>
          <w:rtl/>
        </w:rPr>
        <w:t>:</w:t>
      </w:r>
      <w:r w:rsidR="00E8128F">
        <w:rPr>
          <w:b/>
          <w:bCs/>
          <w:sz w:val="36"/>
          <w:szCs w:val="36"/>
          <w:rtl/>
        </w:rPr>
        <w:t xml:space="preserve"> </w:t>
      </w:r>
      <w:r w:rsidR="00AA6835" w:rsidRPr="00FD211F">
        <w:rPr>
          <w:sz w:val="36"/>
          <w:szCs w:val="36"/>
          <w:rtl/>
        </w:rPr>
        <w:t>انه</w:t>
      </w:r>
      <w:r w:rsidR="00E8128F">
        <w:rPr>
          <w:sz w:val="36"/>
          <w:szCs w:val="36"/>
          <w:rtl/>
        </w:rPr>
        <w:t xml:space="preserve"> </w:t>
      </w:r>
      <w:r w:rsidR="00AA6835" w:rsidRPr="00FD211F">
        <w:rPr>
          <w:sz w:val="36"/>
          <w:szCs w:val="36"/>
          <w:rtl/>
        </w:rPr>
        <w:t>في</w:t>
      </w:r>
      <w:r w:rsidR="00E8128F">
        <w:rPr>
          <w:sz w:val="36"/>
          <w:szCs w:val="36"/>
          <w:rtl/>
        </w:rPr>
        <w:t xml:space="preserve"> </w:t>
      </w:r>
      <w:r w:rsidR="00AA6835" w:rsidRPr="00FD211F">
        <w:rPr>
          <w:sz w:val="36"/>
          <w:szCs w:val="36"/>
          <w:rtl/>
        </w:rPr>
        <w:t>فرض</w:t>
      </w:r>
      <w:r w:rsidR="00E8128F">
        <w:rPr>
          <w:sz w:val="36"/>
          <w:szCs w:val="36"/>
          <w:rtl/>
        </w:rPr>
        <w:t xml:space="preserve"> </w:t>
      </w:r>
      <w:r w:rsidR="00AA6835" w:rsidRPr="00FD211F">
        <w:rPr>
          <w:sz w:val="36"/>
          <w:szCs w:val="36"/>
          <w:rtl/>
        </w:rPr>
        <w:t>الشك</w:t>
      </w:r>
      <w:r w:rsidR="00E8128F">
        <w:rPr>
          <w:sz w:val="36"/>
          <w:szCs w:val="36"/>
          <w:rtl/>
        </w:rPr>
        <w:t xml:space="preserve"> </w:t>
      </w:r>
      <w:r w:rsidR="00AA6835" w:rsidRPr="00FD211F">
        <w:rPr>
          <w:sz w:val="36"/>
          <w:szCs w:val="36"/>
          <w:rtl/>
        </w:rPr>
        <w:t>في</w:t>
      </w:r>
      <w:r w:rsidR="00E8128F">
        <w:rPr>
          <w:sz w:val="36"/>
          <w:szCs w:val="36"/>
          <w:rtl/>
        </w:rPr>
        <w:t xml:space="preserve"> </w:t>
      </w:r>
      <w:r w:rsidR="00AA6835" w:rsidRPr="00FD211F">
        <w:rPr>
          <w:sz w:val="36"/>
          <w:szCs w:val="36"/>
          <w:rtl/>
        </w:rPr>
        <w:t>وضع</w:t>
      </w:r>
      <w:r w:rsidR="00E8128F">
        <w:rPr>
          <w:sz w:val="36"/>
          <w:szCs w:val="36"/>
          <w:rtl/>
        </w:rPr>
        <w:t xml:space="preserve"> </w:t>
      </w:r>
      <w:r w:rsidR="00AA6835" w:rsidRPr="00FD211F">
        <w:rPr>
          <w:sz w:val="36"/>
          <w:szCs w:val="36"/>
          <w:rtl/>
        </w:rPr>
        <w:t>المشتق</w:t>
      </w:r>
      <w:r w:rsidR="00E8128F">
        <w:rPr>
          <w:sz w:val="36"/>
          <w:szCs w:val="36"/>
          <w:rtl/>
        </w:rPr>
        <w:t xml:space="preserve"> </w:t>
      </w:r>
      <w:r w:rsidR="00F828C6" w:rsidRPr="00FD211F">
        <w:rPr>
          <w:sz w:val="36"/>
          <w:szCs w:val="36"/>
          <w:rtl/>
        </w:rPr>
        <w:t>لخصوص</w:t>
      </w:r>
      <w:r w:rsidR="00E8128F">
        <w:rPr>
          <w:sz w:val="36"/>
          <w:szCs w:val="36"/>
          <w:rtl/>
        </w:rPr>
        <w:t xml:space="preserve"> </w:t>
      </w:r>
      <w:r w:rsidR="00F828C6" w:rsidRPr="00FD211F">
        <w:rPr>
          <w:sz w:val="36"/>
          <w:szCs w:val="36"/>
          <w:rtl/>
        </w:rPr>
        <w:t>المتلبس</w:t>
      </w:r>
      <w:r w:rsidR="00E8128F">
        <w:rPr>
          <w:sz w:val="36"/>
          <w:szCs w:val="36"/>
          <w:rtl/>
        </w:rPr>
        <w:t xml:space="preserve"> </w:t>
      </w:r>
      <w:r w:rsidR="00F828C6" w:rsidRPr="00FD211F">
        <w:rPr>
          <w:sz w:val="36"/>
          <w:szCs w:val="36"/>
          <w:rtl/>
        </w:rPr>
        <w:t>بال</w:t>
      </w:r>
      <w:r w:rsidR="0079493B" w:rsidRPr="00FD211F">
        <w:rPr>
          <w:sz w:val="36"/>
          <w:szCs w:val="36"/>
          <w:rtl/>
        </w:rPr>
        <w:t>مبدأ</w:t>
      </w:r>
      <w:r w:rsidR="00E8128F">
        <w:rPr>
          <w:sz w:val="36"/>
          <w:szCs w:val="36"/>
          <w:rtl/>
        </w:rPr>
        <w:t xml:space="preserve"> </w:t>
      </w:r>
      <w:r w:rsidR="00C40134" w:rsidRPr="00FD211F">
        <w:rPr>
          <w:sz w:val="36"/>
          <w:szCs w:val="36"/>
          <w:rtl/>
        </w:rPr>
        <w:t>او</w:t>
      </w:r>
      <w:r w:rsidR="00E8128F">
        <w:rPr>
          <w:sz w:val="36"/>
          <w:szCs w:val="36"/>
          <w:rtl/>
        </w:rPr>
        <w:t xml:space="preserve"> </w:t>
      </w:r>
      <w:r w:rsidR="00F828C6" w:rsidRPr="00FD211F">
        <w:rPr>
          <w:sz w:val="36"/>
          <w:szCs w:val="36"/>
          <w:rtl/>
        </w:rPr>
        <w:t>ل</w:t>
      </w:r>
      <w:r w:rsidR="00C40134" w:rsidRPr="00FD211F">
        <w:rPr>
          <w:sz w:val="36"/>
          <w:szCs w:val="36"/>
          <w:rtl/>
        </w:rPr>
        <w:t>ل</w:t>
      </w:r>
      <w:r w:rsidR="00F828C6" w:rsidRPr="00FD211F">
        <w:rPr>
          <w:sz w:val="36"/>
          <w:szCs w:val="36"/>
          <w:rtl/>
        </w:rPr>
        <w:t>أعم</w:t>
      </w:r>
      <w:r w:rsidR="00E8128F">
        <w:rPr>
          <w:sz w:val="36"/>
          <w:szCs w:val="36"/>
          <w:rtl/>
        </w:rPr>
        <w:t xml:space="preserve"> </w:t>
      </w:r>
      <w:r w:rsidR="00F828C6" w:rsidRPr="00FD211F">
        <w:rPr>
          <w:sz w:val="36"/>
          <w:szCs w:val="36"/>
          <w:rtl/>
        </w:rPr>
        <w:t>منه</w:t>
      </w:r>
      <w:r w:rsidR="00E8128F">
        <w:rPr>
          <w:sz w:val="36"/>
          <w:szCs w:val="36"/>
          <w:rtl/>
        </w:rPr>
        <w:t xml:space="preserve"> </w:t>
      </w:r>
      <w:r w:rsidR="00F828C6" w:rsidRPr="00FD211F">
        <w:rPr>
          <w:sz w:val="36"/>
          <w:szCs w:val="36"/>
          <w:rtl/>
        </w:rPr>
        <w:t>وممن</w:t>
      </w:r>
      <w:r w:rsidR="00E8128F">
        <w:rPr>
          <w:sz w:val="36"/>
          <w:szCs w:val="36"/>
          <w:rtl/>
        </w:rPr>
        <w:t xml:space="preserve"> </w:t>
      </w:r>
      <w:r w:rsidR="00F828C6" w:rsidRPr="00FD211F">
        <w:rPr>
          <w:sz w:val="36"/>
          <w:szCs w:val="36"/>
          <w:rtl/>
        </w:rPr>
        <w:t>انقضى</w:t>
      </w:r>
      <w:r w:rsidR="00E8128F">
        <w:rPr>
          <w:sz w:val="36"/>
          <w:szCs w:val="36"/>
          <w:rtl/>
        </w:rPr>
        <w:t xml:space="preserve"> </w:t>
      </w:r>
      <w:r w:rsidR="00F828C6" w:rsidRPr="00FD211F">
        <w:rPr>
          <w:sz w:val="36"/>
          <w:szCs w:val="36"/>
          <w:rtl/>
        </w:rPr>
        <w:t>عنه</w:t>
      </w:r>
      <w:r w:rsidR="00E8128F">
        <w:rPr>
          <w:sz w:val="36"/>
          <w:szCs w:val="36"/>
          <w:rtl/>
        </w:rPr>
        <w:t xml:space="preserve"> </w:t>
      </w:r>
      <w:r w:rsidR="00F828C6" w:rsidRPr="00FD211F">
        <w:rPr>
          <w:sz w:val="36"/>
          <w:szCs w:val="36"/>
          <w:rtl/>
        </w:rPr>
        <w:t>ال</w:t>
      </w:r>
      <w:r w:rsidR="0079493B" w:rsidRPr="00FD211F">
        <w:rPr>
          <w:sz w:val="36"/>
          <w:szCs w:val="36"/>
          <w:rtl/>
        </w:rPr>
        <w:t>مبدأ</w:t>
      </w:r>
      <w:r w:rsidR="00603323" w:rsidRPr="00FD211F">
        <w:rPr>
          <w:sz w:val="36"/>
          <w:szCs w:val="36"/>
          <w:rtl/>
        </w:rPr>
        <w:t>،</w:t>
      </w:r>
      <w:r w:rsidR="00E8128F">
        <w:rPr>
          <w:sz w:val="36"/>
          <w:szCs w:val="36"/>
          <w:rtl/>
        </w:rPr>
        <w:t xml:space="preserve"> </w:t>
      </w:r>
      <w:r w:rsidR="00F828C6" w:rsidRPr="00FD211F">
        <w:rPr>
          <w:sz w:val="36"/>
          <w:szCs w:val="36"/>
          <w:rtl/>
        </w:rPr>
        <w:t>فتار</w:t>
      </w:r>
      <w:r w:rsidR="00EC7EDF" w:rsidRPr="00FD211F">
        <w:rPr>
          <w:sz w:val="36"/>
          <w:szCs w:val="36"/>
          <w:rtl/>
        </w:rPr>
        <w:t>ة</w:t>
      </w:r>
      <w:r w:rsidR="00E8128F">
        <w:rPr>
          <w:sz w:val="36"/>
          <w:szCs w:val="36"/>
          <w:rtl/>
        </w:rPr>
        <w:t xml:space="preserve"> </w:t>
      </w:r>
      <w:r w:rsidR="00AA6835" w:rsidRPr="00FD211F">
        <w:rPr>
          <w:sz w:val="36"/>
          <w:szCs w:val="36"/>
          <w:rtl/>
        </w:rPr>
        <w:t>يبحث</w:t>
      </w:r>
      <w:r w:rsidR="00E8128F">
        <w:rPr>
          <w:sz w:val="36"/>
          <w:szCs w:val="36"/>
          <w:rtl/>
        </w:rPr>
        <w:t xml:space="preserve"> </w:t>
      </w:r>
      <w:r w:rsidR="00AA6835" w:rsidRPr="00FD211F">
        <w:rPr>
          <w:sz w:val="36"/>
          <w:szCs w:val="36"/>
          <w:rtl/>
        </w:rPr>
        <w:t>عن</w:t>
      </w:r>
      <w:r w:rsidR="00E8128F">
        <w:rPr>
          <w:sz w:val="36"/>
          <w:szCs w:val="36"/>
          <w:rtl/>
        </w:rPr>
        <w:t xml:space="preserve"> </w:t>
      </w:r>
      <w:r w:rsidR="00AA6835" w:rsidRPr="00FD211F">
        <w:rPr>
          <w:sz w:val="36"/>
          <w:szCs w:val="36"/>
          <w:rtl/>
        </w:rPr>
        <w:t>مقتضى</w:t>
      </w:r>
      <w:r w:rsidR="00E8128F">
        <w:rPr>
          <w:sz w:val="36"/>
          <w:szCs w:val="36"/>
          <w:rtl/>
        </w:rPr>
        <w:t xml:space="preserve"> </w:t>
      </w:r>
      <w:r w:rsidR="00AA6835" w:rsidRPr="00FD211F">
        <w:rPr>
          <w:sz w:val="36"/>
          <w:szCs w:val="36"/>
          <w:rtl/>
        </w:rPr>
        <w:t>الاصل</w:t>
      </w:r>
      <w:r w:rsidR="00E8128F">
        <w:rPr>
          <w:sz w:val="36"/>
          <w:szCs w:val="36"/>
          <w:rtl/>
        </w:rPr>
        <w:t xml:space="preserve"> </w:t>
      </w:r>
      <w:r w:rsidR="00AA6835" w:rsidRPr="00FD211F">
        <w:rPr>
          <w:sz w:val="36"/>
          <w:szCs w:val="36"/>
          <w:rtl/>
        </w:rPr>
        <w:t>العملي</w:t>
      </w:r>
      <w:r w:rsidR="00E8128F">
        <w:rPr>
          <w:sz w:val="36"/>
          <w:szCs w:val="36"/>
          <w:rtl/>
        </w:rPr>
        <w:t xml:space="preserve"> </w:t>
      </w:r>
      <w:r w:rsidR="00AA6835" w:rsidRPr="00FD211F">
        <w:rPr>
          <w:sz w:val="36"/>
          <w:szCs w:val="36"/>
          <w:rtl/>
        </w:rPr>
        <w:t>الجاري</w:t>
      </w:r>
      <w:r w:rsidR="00E8128F">
        <w:rPr>
          <w:sz w:val="36"/>
          <w:szCs w:val="36"/>
          <w:rtl/>
        </w:rPr>
        <w:t xml:space="preserve"> </w:t>
      </w:r>
      <w:r w:rsidR="00590DDE" w:rsidRPr="00FD211F">
        <w:rPr>
          <w:sz w:val="36"/>
          <w:szCs w:val="36"/>
          <w:rtl/>
        </w:rPr>
        <w:t>في</w:t>
      </w:r>
      <w:r w:rsidR="00E8128F">
        <w:rPr>
          <w:sz w:val="36"/>
          <w:szCs w:val="36"/>
          <w:rtl/>
        </w:rPr>
        <w:t xml:space="preserve"> </w:t>
      </w:r>
      <w:r w:rsidR="00590DDE" w:rsidRPr="00FD211F">
        <w:rPr>
          <w:sz w:val="36"/>
          <w:szCs w:val="36"/>
          <w:rtl/>
        </w:rPr>
        <w:t>المسأل</w:t>
      </w:r>
      <w:r w:rsidR="00EC7EDF" w:rsidRPr="00FD211F">
        <w:rPr>
          <w:sz w:val="36"/>
          <w:szCs w:val="36"/>
          <w:rtl/>
        </w:rPr>
        <w:t>ة</w:t>
      </w:r>
      <w:r w:rsidR="00E8128F">
        <w:rPr>
          <w:sz w:val="36"/>
          <w:szCs w:val="36"/>
          <w:rtl/>
        </w:rPr>
        <w:t xml:space="preserve"> </w:t>
      </w:r>
      <w:r w:rsidR="00590DDE" w:rsidRPr="00FD211F">
        <w:rPr>
          <w:sz w:val="36"/>
          <w:szCs w:val="36"/>
          <w:rtl/>
        </w:rPr>
        <w:t>الاصولي</w:t>
      </w:r>
      <w:r w:rsidR="00EC7EDF" w:rsidRPr="00FD211F">
        <w:rPr>
          <w:sz w:val="36"/>
          <w:szCs w:val="36"/>
          <w:rtl/>
        </w:rPr>
        <w:t>ة</w:t>
      </w:r>
      <w:r w:rsidR="00E8128F">
        <w:rPr>
          <w:sz w:val="36"/>
          <w:szCs w:val="36"/>
          <w:rtl/>
        </w:rPr>
        <w:t xml:space="preserve"> </w:t>
      </w:r>
      <w:r w:rsidR="00AA6835" w:rsidRPr="00FD211F">
        <w:rPr>
          <w:sz w:val="36"/>
          <w:szCs w:val="36"/>
          <w:rtl/>
        </w:rPr>
        <w:t>لتنقيح</w:t>
      </w:r>
      <w:r w:rsidR="00E8128F">
        <w:rPr>
          <w:sz w:val="36"/>
          <w:szCs w:val="36"/>
          <w:rtl/>
        </w:rPr>
        <w:t xml:space="preserve"> </w:t>
      </w:r>
      <w:r w:rsidR="00AA6835" w:rsidRPr="00FD211F">
        <w:rPr>
          <w:sz w:val="36"/>
          <w:szCs w:val="36"/>
          <w:rtl/>
        </w:rPr>
        <w:t>حال</w:t>
      </w:r>
      <w:r w:rsidR="00E8128F">
        <w:rPr>
          <w:sz w:val="36"/>
          <w:szCs w:val="36"/>
          <w:rtl/>
        </w:rPr>
        <w:t xml:space="preserve"> </w:t>
      </w:r>
      <w:r w:rsidR="00AA6835" w:rsidRPr="00FD211F">
        <w:rPr>
          <w:sz w:val="36"/>
          <w:szCs w:val="36"/>
          <w:rtl/>
        </w:rPr>
        <w:t>وضع</w:t>
      </w:r>
      <w:r w:rsidR="00E8128F">
        <w:rPr>
          <w:sz w:val="36"/>
          <w:szCs w:val="36"/>
          <w:rtl/>
        </w:rPr>
        <w:t xml:space="preserve"> </w:t>
      </w:r>
      <w:r w:rsidR="00AA6835" w:rsidRPr="00FD211F">
        <w:rPr>
          <w:sz w:val="36"/>
          <w:szCs w:val="36"/>
          <w:rtl/>
        </w:rPr>
        <w:t>المشتق</w:t>
      </w:r>
      <w:r w:rsidR="00603323" w:rsidRPr="00FD211F">
        <w:rPr>
          <w:sz w:val="36"/>
          <w:szCs w:val="36"/>
          <w:rtl/>
        </w:rPr>
        <w:t>،</w:t>
      </w:r>
      <w:r w:rsidR="00E8128F">
        <w:rPr>
          <w:sz w:val="36"/>
          <w:szCs w:val="36"/>
          <w:rtl/>
        </w:rPr>
        <w:t xml:space="preserve"> </w:t>
      </w:r>
      <w:r w:rsidR="00AA6835" w:rsidRPr="00FD211F">
        <w:rPr>
          <w:sz w:val="36"/>
          <w:szCs w:val="36"/>
          <w:rtl/>
        </w:rPr>
        <w:t>واخرى</w:t>
      </w:r>
      <w:r w:rsidR="00E8128F">
        <w:rPr>
          <w:sz w:val="36"/>
          <w:szCs w:val="36"/>
          <w:rtl/>
        </w:rPr>
        <w:t xml:space="preserve"> </w:t>
      </w:r>
      <w:r w:rsidR="00590DDE" w:rsidRPr="00FD211F">
        <w:rPr>
          <w:sz w:val="36"/>
          <w:szCs w:val="36"/>
          <w:rtl/>
        </w:rPr>
        <w:t>يبحث</w:t>
      </w:r>
      <w:r w:rsidR="00E8128F">
        <w:rPr>
          <w:sz w:val="36"/>
          <w:szCs w:val="36"/>
          <w:rtl/>
        </w:rPr>
        <w:t xml:space="preserve"> </w:t>
      </w:r>
      <w:r w:rsidR="00AA6835" w:rsidRPr="00FD211F">
        <w:rPr>
          <w:sz w:val="36"/>
          <w:szCs w:val="36"/>
          <w:rtl/>
        </w:rPr>
        <w:t>عن</w:t>
      </w:r>
      <w:r w:rsidR="00E8128F">
        <w:rPr>
          <w:sz w:val="36"/>
          <w:szCs w:val="36"/>
          <w:rtl/>
        </w:rPr>
        <w:t xml:space="preserve"> </w:t>
      </w:r>
      <w:r w:rsidR="00AA6835" w:rsidRPr="00FD211F">
        <w:rPr>
          <w:sz w:val="36"/>
          <w:szCs w:val="36"/>
          <w:rtl/>
        </w:rPr>
        <w:t>مقتض</w:t>
      </w:r>
      <w:r w:rsidR="00590DDE" w:rsidRPr="00FD211F">
        <w:rPr>
          <w:sz w:val="36"/>
          <w:szCs w:val="36"/>
          <w:rtl/>
        </w:rPr>
        <w:t>ى</w:t>
      </w:r>
      <w:r w:rsidR="00E8128F">
        <w:rPr>
          <w:sz w:val="36"/>
          <w:szCs w:val="36"/>
          <w:rtl/>
        </w:rPr>
        <w:t xml:space="preserve"> </w:t>
      </w:r>
      <w:r w:rsidR="00590DDE" w:rsidRPr="00FD211F">
        <w:rPr>
          <w:sz w:val="36"/>
          <w:szCs w:val="36"/>
          <w:rtl/>
        </w:rPr>
        <w:t>الاصل</w:t>
      </w:r>
      <w:r w:rsidR="00E8128F">
        <w:rPr>
          <w:sz w:val="36"/>
          <w:szCs w:val="36"/>
          <w:rtl/>
        </w:rPr>
        <w:t xml:space="preserve"> </w:t>
      </w:r>
      <w:r w:rsidR="00590DDE" w:rsidRPr="00FD211F">
        <w:rPr>
          <w:sz w:val="36"/>
          <w:szCs w:val="36"/>
          <w:rtl/>
        </w:rPr>
        <w:t>العملي</w:t>
      </w:r>
      <w:r w:rsidR="00E8128F">
        <w:rPr>
          <w:sz w:val="36"/>
          <w:szCs w:val="36"/>
          <w:rtl/>
        </w:rPr>
        <w:t xml:space="preserve"> </w:t>
      </w:r>
      <w:r w:rsidR="00590DDE" w:rsidRPr="00FD211F">
        <w:rPr>
          <w:sz w:val="36"/>
          <w:szCs w:val="36"/>
          <w:rtl/>
        </w:rPr>
        <w:t>في</w:t>
      </w:r>
      <w:r w:rsidR="00E8128F">
        <w:rPr>
          <w:sz w:val="36"/>
          <w:szCs w:val="36"/>
          <w:rtl/>
        </w:rPr>
        <w:t xml:space="preserve"> </w:t>
      </w:r>
      <w:r w:rsidR="00590DDE" w:rsidRPr="00FD211F">
        <w:rPr>
          <w:sz w:val="36"/>
          <w:szCs w:val="36"/>
          <w:rtl/>
        </w:rPr>
        <w:t>المسأل</w:t>
      </w:r>
      <w:r w:rsidR="00EC7EDF" w:rsidRPr="00FD211F">
        <w:rPr>
          <w:sz w:val="36"/>
          <w:szCs w:val="36"/>
          <w:rtl/>
        </w:rPr>
        <w:t>ة</w:t>
      </w:r>
      <w:r w:rsidR="00E8128F">
        <w:rPr>
          <w:sz w:val="36"/>
          <w:szCs w:val="36"/>
          <w:rtl/>
        </w:rPr>
        <w:t xml:space="preserve"> </w:t>
      </w:r>
      <w:r w:rsidR="00590DDE" w:rsidRPr="00FD211F">
        <w:rPr>
          <w:sz w:val="36"/>
          <w:szCs w:val="36"/>
          <w:rtl/>
        </w:rPr>
        <w:t>الفقهي</w:t>
      </w:r>
      <w:r w:rsidR="00EC7EDF" w:rsidRPr="00FD211F">
        <w:rPr>
          <w:sz w:val="36"/>
          <w:szCs w:val="36"/>
          <w:rtl/>
        </w:rPr>
        <w:t>ة</w:t>
      </w:r>
      <w:r w:rsidR="00603323" w:rsidRPr="00FD211F">
        <w:rPr>
          <w:sz w:val="36"/>
          <w:szCs w:val="36"/>
          <w:rtl/>
        </w:rPr>
        <w:t>،</w:t>
      </w:r>
      <w:r w:rsidR="00E8128F">
        <w:rPr>
          <w:sz w:val="36"/>
          <w:szCs w:val="36"/>
          <w:rtl/>
        </w:rPr>
        <w:t xml:space="preserve"> </w:t>
      </w:r>
      <w:r w:rsidR="00590DDE" w:rsidRPr="00FD211F">
        <w:rPr>
          <w:sz w:val="36"/>
          <w:szCs w:val="36"/>
          <w:rtl/>
        </w:rPr>
        <w:t>اي</w:t>
      </w:r>
      <w:r w:rsidR="00E8128F">
        <w:rPr>
          <w:sz w:val="36"/>
          <w:szCs w:val="36"/>
          <w:rtl/>
        </w:rPr>
        <w:t xml:space="preserve"> </w:t>
      </w:r>
      <w:r w:rsidR="00590DDE" w:rsidRPr="00FD211F">
        <w:rPr>
          <w:sz w:val="36"/>
          <w:szCs w:val="36"/>
          <w:rtl/>
        </w:rPr>
        <w:t>الاصل</w:t>
      </w:r>
      <w:r w:rsidR="00E8128F">
        <w:rPr>
          <w:sz w:val="36"/>
          <w:szCs w:val="36"/>
          <w:rtl/>
        </w:rPr>
        <w:t xml:space="preserve"> </w:t>
      </w:r>
      <w:r w:rsidR="00590DDE" w:rsidRPr="00FD211F">
        <w:rPr>
          <w:sz w:val="36"/>
          <w:szCs w:val="36"/>
          <w:rtl/>
        </w:rPr>
        <w:t>الجاري</w:t>
      </w:r>
      <w:r w:rsidR="00E8128F">
        <w:rPr>
          <w:sz w:val="36"/>
          <w:szCs w:val="36"/>
          <w:rtl/>
        </w:rPr>
        <w:t xml:space="preserve"> </w:t>
      </w:r>
      <w:r w:rsidR="00590DDE" w:rsidRPr="00FD211F">
        <w:rPr>
          <w:sz w:val="36"/>
          <w:szCs w:val="36"/>
          <w:rtl/>
        </w:rPr>
        <w:t>لتنقيح</w:t>
      </w:r>
      <w:r w:rsidR="00E8128F">
        <w:rPr>
          <w:sz w:val="36"/>
          <w:szCs w:val="36"/>
          <w:rtl/>
        </w:rPr>
        <w:t xml:space="preserve"> </w:t>
      </w:r>
      <w:r w:rsidR="00590DDE" w:rsidRPr="00FD211F">
        <w:rPr>
          <w:sz w:val="36"/>
          <w:szCs w:val="36"/>
          <w:rtl/>
        </w:rPr>
        <w:t>حال</w:t>
      </w:r>
      <w:r w:rsidR="00E8128F">
        <w:rPr>
          <w:sz w:val="36"/>
          <w:szCs w:val="36"/>
          <w:rtl/>
        </w:rPr>
        <w:t xml:space="preserve"> </w:t>
      </w:r>
      <w:r w:rsidR="00AA6835" w:rsidRPr="00FD211F">
        <w:rPr>
          <w:sz w:val="36"/>
          <w:szCs w:val="36"/>
          <w:rtl/>
        </w:rPr>
        <w:t>الحكم</w:t>
      </w:r>
      <w:r w:rsidR="00E8128F">
        <w:rPr>
          <w:sz w:val="36"/>
          <w:szCs w:val="36"/>
          <w:rtl/>
        </w:rPr>
        <w:t xml:space="preserve"> </w:t>
      </w:r>
      <w:r w:rsidR="00AA6835" w:rsidRPr="00FD211F">
        <w:rPr>
          <w:sz w:val="36"/>
          <w:szCs w:val="36"/>
          <w:rtl/>
        </w:rPr>
        <w:t>الشرعي</w:t>
      </w:r>
      <w:r w:rsidR="00E8128F">
        <w:rPr>
          <w:sz w:val="36"/>
          <w:szCs w:val="36"/>
          <w:rtl/>
        </w:rPr>
        <w:t xml:space="preserve"> </w:t>
      </w:r>
      <w:r w:rsidR="00AA6835" w:rsidRPr="00FD211F">
        <w:rPr>
          <w:sz w:val="36"/>
          <w:szCs w:val="36"/>
          <w:rtl/>
        </w:rPr>
        <w:t>الفرعي</w:t>
      </w:r>
      <w:r w:rsidR="00E8128F">
        <w:rPr>
          <w:sz w:val="36"/>
          <w:szCs w:val="36"/>
          <w:rtl/>
        </w:rPr>
        <w:t xml:space="preserve"> </w:t>
      </w:r>
      <w:r w:rsidR="00590DDE" w:rsidRPr="00FD211F">
        <w:rPr>
          <w:sz w:val="36"/>
          <w:szCs w:val="36"/>
          <w:rtl/>
        </w:rPr>
        <w:t>الذي</w:t>
      </w:r>
      <w:r w:rsidR="00E8128F">
        <w:rPr>
          <w:sz w:val="36"/>
          <w:szCs w:val="36"/>
          <w:rtl/>
        </w:rPr>
        <w:t xml:space="preserve"> </w:t>
      </w:r>
      <w:r w:rsidR="00590DDE" w:rsidRPr="00FD211F">
        <w:rPr>
          <w:sz w:val="36"/>
          <w:szCs w:val="36"/>
          <w:rtl/>
        </w:rPr>
        <w:t>يكون</w:t>
      </w:r>
      <w:r w:rsidR="00E8128F">
        <w:rPr>
          <w:sz w:val="36"/>
          <w:szCs w:val="36"/>
          <w:rtl/>
        </w:rPr>
        <w:t xml:space="preserve"> </w:t>
      </w:r>
      <w:r w:rsidR="00590DDE" w:rsidRPr="00FD211F">
        <w:rPr>
          <w:sz w:val="36"/>
          <w:szCs w:val="36"/>
          <w:rtl/>
        </w:rPr>
        <w:t>متعلقا</w:t>
      </w:r>
      <w:r w:rsidR="00E8128F">
        <w:rPr>
          <w:sz w:val="36"/>
          <w:szCs w:val="36"/>
          <w:rtl/>
        </w:rPr>
        <w:t xml:space="preserve"> </w:t>
      </w:r>
      <w:r w:rsidR="00590DDE" w:rsidRPr="00FD211F">
        <w:rPr>
          <w:sz w:val="36"/>
          <w:szCs w:val="36"/>
          <w:rtl/>
        </w:rPr>
        <w:t>بالمشتقات</w:t>
      </w:r>
      <w:r w:rsidR="00AA6835" w:rsidRPr="00FD211F">
        <w:rPr>
          <w:sz w:val="36"/>
          <w:szCs w:val="36"/>
          <w:rtl/>
        </w:rPr>
        <w:t>.</w:t>
      </w:r>
    </w:p>
    <w:p w14:paraId="7F435CBA" w14:textId="77777777" w:rsidR="00FA49A6" w:rsidRPr="00FD211F" w:rsidRDefault="002249E2" w:rsidP="009C58C8">
      <w:pPr>
        <w:pStyle w:val="3"/>
        <w:ind w:firstLine="227"/>
        <w:jc w:val="both"/>
        <w:rPr>
          <w:rtl/>
        </w:rPr>
      </w:pPr>
      <w:bookmarkStart w:id="462" w:name="_Toc223890433"/>
      <w:r w:rsidRPr="00FD211F">
        <w:rPr>
          <w:rtl/>
        </w:rPr>
        <w:t>مقتضى</w:t>
      </w:r>
      <w:r w:rsidR="00E8128F">
        <w:rPr>
          <w:rtl/>
        </w:rPr>
        <w:t xml:space="preserve"> </w:t>
      </w:r>
      <w:r w:rsidRPr="00FD211F">
        <w:rPr>
          <w:rtl/>
        </w:rPr>
        <w:t>الأصل</w:t>
      </w:r>
      <w:r w:rsidR="00E8128F">
        <w:rPr>
          <w:rtl/>
        </w:rPr>
        <w:t xml:space="preserve"> </w:t>
      </w:r>
      <w:r w:rsidRPr="00FD211F">
        <w:rPr>
          <w:rtl/>
        </w:rPr>
        <w:t>العملي</w:t>
      </w:r>
      <w:r w:rsidR="00E8128F">
        <w:rPr>
          <w:rtl/>
        </w:rPr>
        <w:t xml:space="preserve"> </w:t>
      </w:r>
      <w:r w:rsidRPr="00FD211F">
        <w:rPr>
          <w:rtl/>
        </w:rPr>
        <w:t>في</w:t>
      </w:r>
      <w:r w:rsidR="00E8128F">
        <w:rPr>
          <w:rtl/>
        </w:rPr>
        <w:t xml:space="preserve"> </w:t>
      </w:r>
      <w:r w:rsidRPr="00FD211F">
        <w:rPr>
          <w:rtl/>
        </w:rPr>
        <w:t>المسأل</w:t>
      </w:r>
      <w:r w:rsidR="00EC7EDF" w:rsidRPr="00FD211F">
        <w:rPr>
          <w:rtl/>
        </w:rPr>
        <w:t>ة</w:t>
      </w:r>
      <w:r w:rsidR="00E8128F">
        <w:rPr>
          <w:rtl/>
        </w:rPr>
        <w:t xml:space="preserve"> </w:t>
      </w:r>
      <w:r w:rsidRPr="00FD211F">
        <w:rPr>
          <w:rtl/>
        </w:rPr>
        <w:t>الأصولي</w:t>
      </w:r>
      <w:r w:rsidR="00EC7EDF" w:rsidRPr="00FD211F">
        <w:rPr>
          <w:rtl/>
        </w:rPr>
        <w:t>ة</w:t>
      </w:r>
      <w:bookmarkEnd w:id="462"/>
      <w:r w:rsidR="00E8128F">
        <w:rPr>
          <w:rtl/>
        </w:rPr>
        <w:t xml:space="preserve"> </w:t>
      </w:r>
    </w:p>
    <w:p w14:paraId="5649367E" w14:textId="77777777" w:rsidR="00F828C6" w:rsidRPr="00FD211F" w:rsidRDefault="002249E2" w:rsidP="009C58C8">
      <w:pPr>
        <w:ind w:left="0" w:firstLine="227"/>
        <w:jc w:val="both"/>
        <w:rPr>
          <w:sz w:val="36"/>
          <w:szCs w:val="36"/>
          <w:rtl/>
        </w:rPr>
      </w:pPr>
      <w:r w:rsidRPr="00FD211F">
        <w:rPr>
          <w:sz w:val="36"/>
          <w:szCs w:val="36"/>
          <w:rtl/>
        </w:rPr>
        <w:t>اما</w:t>
      </w:r>
      <w:r w:rsidR="00E8128F">
        <w:rPr>
          <w:sz w:val="36"/>
          <w:szCs w:val="36"/>
          <w:rtl/>
        </w:rPr>
        <w:t xml:space="preserve"> </w:t>
      </w:r>
      <w:r w:rsidRPr="00FD211F">
        <w:rPr>
          <w:sz w:val="36"/>
          <w:szCs w:val="36"/>
          <w:rtl/>
        </w:rPr>
        <w:t>الاصل</w:t>
      </w:r>
      <w:r w:rsidR="00E8128F">
        <w:rPr>
          <w:sz w:val="36"/>
          <w:szCs w:val="36"/>
          <w:rtl/>
        </w:rPr>
        <w:t xml:space="preserve"> </w:t>
      </w:r>
      <w:r w:rsidRPr="00FD211F">
        <w:rPr>
          <w:sz w:val="36"/>
          <w:szCs w:val="36"/>
          <w:rtl/>
        </w:rPr>
        <w:t>الجاري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المسأل</w:t>
      </w:r>
      <w:r w:rsidR="00EC7EDF" w:rsidRPr="00FD211F">
        <w:rPr>
          <w:sz w:val="36"/>
          <w:szCs w:val="36"/>
          <w:rtl/>
        </w:rPr>
        <w:t>ة</w:t>
      </w:r>
      <w:r w:rsidR="00E8128F">
        <w:rPr>
          <w:sz w:val="36"/>
          <w:szCs w:val="36"/>
          <w:rtl/>
        </w:rPr>
        <w:t xml:space="preserve"> </w:t>
      </w:r>
      <w:r w:rsidRPr="00FD211F">
        <w:rPr>
          <w:sz w:val="36"/>
          <w:szCs w:val="36"/>
          <w:rtl/>
        </w:rPr>
        <w:t>الاصولي</w:t>
      </w:r>
      <w:r w:rsidR="00EC7EDF" w:rsidRPr="00FD211F">
        <w:rPr>
          <w:sz w:val="36"/>
          <w:szCs w:val="36"/>
          <w:rtl/>
        </w:rPr>
        <w:t>ة</w:t>
      </w:r>
      <w:r w:rsidR="00603323" w:rsidRPr="00FD211F">
        <w:rPr>
          <w:sz w:val="36"/>
          <w:szCs w:val="36"/>
          <w:rtl/>
        </w:rPr>
        <w:t>،</w:t>
      </w:r>
      <w:r w:rsidR="00E8128F">
        <w:rPr>
          <w:sz w:val="36"/>
          <w:szCs w:val="36"/>
          <w:rtl/>
        </w:rPr>
        <w:t xml:space="preserve"> </w:t>
      </w:r>
      <w:r w:rsidR="00AA6835" w:rsidRPr="00FD211F">
        <w:rPr>
          <w:sz w:val="36"/>
          <w:szCs w:val="36"/>
          <w:rtl/>
        </w:rPr>
        <w:t>فقد</w:t>
      </w:r>
      <w:r w:rsidR="00E8128F">
        <w:rPr>
          <w:sz w:val="36"/>
          <w:szCs w:val="36"/>
          <w:rtl/>
        </w:rPr>
        <w:t xml:space="preserve"> </w:t>
      </w:r>
      <w:r w:rsidR="00AA6835" w:rsidRPr="00FD211F">
        <w:rPr>
          <w:sz w:val="36"/>
          <w:szCs w:val="36"/>
          <w:rtl/>
        </w:rPr>
        <w:t>ذكر</w:t>
      </w:r>
      <w:r w:rsidR="00E8128F">
        <w:rPr>
          <w:sz w:val="36"/>
          <w:szCs w:val="36"/>
          <w:rtl/>
        </w:rPr>
        <w:t xml:space="preserve"> </w:t>
      </w:r>
      <w:r w:rsidR="00AA6835" w:rsidRPr="00FD211F">
        <w:rPr>
          <w:sz w:val="36"/>
          <w:szCs w:val="36"/>
          <w:rtl/>
        </w:rPr>
        <w:t>في</w:t>
      </w:r>
      <w:r w:rsidR="00E8128F">
        <w:rPr>
          <w:sz w:val="36"/>
          <w:szCs w:val="36"/>
          <w:rtl/>
        </w:rPr>
        <w:t xml:space="preserve"> </w:t>
      </w:r>
      <w:r w:rsidR="00AA6835" w:rsidRPr="00FD211F">
        <w:rPr>
          <w:sz w:val="36"/>
          <w:szCs w:val="36"/>
          <w:rtl/>
        </w:rPr>
        <w:t>الكفاي</w:t>
      </w:r>
      <w:r w:rsidR="00EC7EDF" w:rsidRPr="00FD211F">
        <w:rPr>
          <w:sz w:val="36"/>
          <w:szCs w:val="36"/>
          <w:rtl/>
        </w:rPr>
        <w:t>ة</w:t>
      </w:r>
      <w:r w:rsidR="00057D31" w:rsidRPr="00FD211F">
        <w:rPr>
          <w:sz w:val="36"/>
          <w:szCs w:val="36"/>
          <w:rtl/>
        </w:rPr>
        <w:t>:</w:t>
      </w:r>
      <w:r w:rsidR="00E8128F">
        <w:rPr>
          <w:sz w:val="36"/>
          <w:szCs w:val="36"/>
          <w:rtl/>
        </w:rPr>
        <w:t xml:space="preserve"> </w:t>
      </w:r>
      <w:r w:rsidR="00AA6835" w:rsidRPr="00FD211F">
        <w:rPr>
          <w:sz w:val="36"/>
          <w:szCs w:val="36"/>
          <w:rtl/>
        </w:rPr>
        <w:t>ان</w:t>
      </w:r>
      <w:r w:rsidR="00E8128F">
        <w:rPr>
          <w:sz w:val="36"/>
          <w:szCs w:val="36"/>
          <w:rtl/>
        </w:rPr>
        <w:t xml:space="preserve"> </w:t>
      </w:r>
      <w:r w:rsidR="00AA6835" w:rsidRPr="00FD211F">
        <w:rPr>
          <w:sz w:val="36"/>
          <w:szCs w:val="36"/>
          <w:rtl/>
        </w:rPr>
        <w:t>استصحاب</w:t>
      </w:r>
      <w:r w:rsidR="00E8128F">
        <w:rPr>
          <w:sz w:val="36"/>
          <w:szCs w:val="36"/>
          <w:rtl/>
        </w:rPr>
        <w:t xml:space="preserve"> </w:t>
      </w:r>
      <w:r w:rsidR="00AA6835" w:rsidRPr="00FD211F">
        <w:rPr>
          <w:sz w:val="36"/>
          <w:szCs w:val="36"/>
          <w:rtl/>
        </w:rPr>
        <w:t>عدم</w:t>
      </w:r>
      <w:r w:rsidR="00E8128F">
        <w:rPr>
          <w:sz w:val="36"/>
          <w:szCs w:val="36"/>
          <w:rtl/>
        </w:rPr>
        <w:t xml:space="preserve"> </w:t>
      </w:r>
      <w:r w:rsidR="00AA6835" w:rsidRPr="00FD211F">
        <w:rPr>
          <w:sz w:val="36"/>
          <w:szCs w:val="36"/>
          <w:rtl/>
        </w:rPr>
        <w:t>لحاظ</w:t>
      </w:r>
      <w:r w:rsidR="00E8128F">
        <w:rPr>
          <w:sz w:val="36"/>
          <w:szCs w:val="36"/>
          <w:rtl/>
        </w:rPr>
        <w:t xml:space="preserve"> </w:t>
      </w:r>
      <w:r w:rsidR="00AA6835" w:rsidRPr="00FD211F">
        <w:rPr>
          <w:sz w:val="36"/>
          <w:szCs w:val="36"/>
          <w:rtl/>
        </w:rPr>
        <w:t>الواضع</w:t>
      </w:r>
      <w:r w:rsidR="00E8128F">
        <w:rPr>
          <w:sz w:val="36"/>
          <w:szCs w:val="36"/>
          <w:rtl/>
        </w:rPr>
        <w:t xml:space="preserve"> </w:t>
      </w:r>
      <w:r w:rsidR="00AA6835" w:rsidRPr="00FD211F">
        <w:rPr>
          <w:sz w:val="36"/>
          <w:szCs w:val="36"/>
          <w:rtl/>
        </w:rPr>
        <w:t>خصوصي</w:t>
      </w:r>
      <w:r w:rsidR="00EC7EDF" w:rsidRPr="00FD211F">
        <w:rPr>
          <w:sz w:val="36"/>
          <w:szCs w:val="36"/>
          <w:rtl/>
        </w:rPr>
        <w:t>ة</w:t>
      </w:r>
      <w:r w:rsidR="00E8128F">
        <w:rPr>
          <w:sz w:val="36"/>
          <w:szCs w:val="36"/>
          <w:rtl/>
        </w:rPr>
        <w:t xml:space="preserve"> </w:t>
      </w:r>
      <w:r w:rsidR="00AA6835" w:rsidRPr="00FD211F">
        <w:rPr>
          <w:sz w:val="36"/>
          <w:szCs w:val="36"/>
          <w:rtl/>
        </w:rPr>
        <w:t>التلبس</w:t>
      </w:r>
      <w:r w:rsidR="00E8128F">
        <w:rPr>
          <w:sz w:val="36"/>
          <w:szCs w:val="36"/>
          <w:rtl/>
        </w:rPr>
        <w:t xml:space="preserve"> </w:t>
      </w:r>
      <w:r w:rsidR="00AA6835" w:rsidRPr="00FD211F">
        <w:rPr>
          <w:sz w:val="36"/>
          <w:szCs w:val="36"/>
          <w:rtl/>
        </w:rPr>
        <w:t>الفعلي</w:t>
      </w:r>
      <w:r w:rsidR="00E8128F">
        <w:rPr>
          <w:sz w:val="36"/>
          <w:szCs w:val="36"/>
          <w:rtl/>
        </w:rPr>
        <w:t xml:space="preserve"> </w:t>
      </w:r>
      <w:r w:rsidR="00AA6835" w:rsidRPr="00FD211F">
        <w:rPr>
          <w:sz w:val="36"/>
          <w:szCs w:val="36"/>
          <w:rtl/>
        </w:rPr>
        <w:t>بال</w:t>
      </w:r>
      <w:r w:rsidR="0079493B" w:rsidRPr="00FD211F">
        <w:rPr>
          <w:sz w:val="36"/>
          <w:szCs w:val="36"/>
          <w:rtl/>
        </w:rPr>
        <w:t>مبدأ</w:t>
      </w:r>
      <w:r w:rsidR="00E8128F">
        <w:rPr>
          <w:sz w:val="36"/>
          <w:szCs w:val="36"/>
          <w:rtl/>
        </w:rPr>
        <w:t xml:space="preserve"> </w:t>
      </w:r>
      <w:r w:rsidR="00C40134" w:rsidRPr="00FD211F">
        <w:rPr>
          <w:sz w:val="36"/>
          <w:szCs w:val="36"/>
          <w:rtl/>
        </w:rPr>
        <w:t>في</w:t>
      </w:r>
      <w:r w:rsidR="00E8128F">
        <w:rPr>
          <w:sz w:val="36"/>
          <w:szCs w:val="36"/>
          <w:rtl/>
        </w:rPr>
        <w:t xml:space="preserve"> </w:t>
      </w:r>
      <w:r w:rsidR="00C40134" w:rsidRPr="00FD211F">
        <w:rPr>
          <w:sz w:val="36"/>
          <w:szCs w:val="36"/>
          <w:rtl/>
        </w:rPr>
        <w:t>معنى</w:t>
      </w:r>
      <w:r w:rsidR="00E8128F">
        <w:rPr>
          <w:sz w:val="36"/>
          <w:szCs w:val="36"/>
          <w:rtl/>
        </w:rPr>
        <w:t xml:space="preserve"> </w:t>
      </w:r>
      <w:r w:rsidR="00C40134" w:rsidRPr="00FD211F">
        <w:rPr>
          <w:sz w:val="36"/>
          <w:szCs w:val="36"/>
          <w:rtl/>
        </w:rPr>
        <w:t>المشتق</w:t>
      </w:r>
      <w:r w:rsidR="00E8128F">
        <w:rPr>
          <w:sz w:val="36"/>
          <w:szCs w:val="36"/>
          <w:rtl/>
        </w:rPr>
        <w:t xml:space="preserve"> </w:t>
      </w:r>
      <w:r w:rsidR="00C40134" w:rsidRPr="00FD211F">
        <w:rPr>
          <w:sz w:val="36"/>
          <w:szCs w:val="36"/>
          <w:rtl/>
        </w:rPr>
        <w:t>لايثبت</w:t>
      </w:r>
      <w:r w:rsidR="00E8128F">
        <w:rPr>
          <w:sz w:val="36"/>
          <w:szCs w:val="36"/>
          <w:rtl/>
        </w:rPr>
        <w:t xml:space="preserve"> </w:t>
      </w:r>
      <w:r w:rsidR="00AA6835" w:rsidRPr="00FD211F">
        <w:rPr>
          <w:sz w:val="36"/>
          <w:szCs w:val="36"/>
          <w:rtl/>
        </w:rPr>
        <w:t>وضع</w:t>
      </w:r>
      <w:r w:rsidR="00E8128F">
        <w:rPr>
          <w:sz w:val="36"/>
          <w:szCs w:val="36"/>
          <w:rtl/>
        </w:rPr>
        <w:t xml:space="preserve"> </w:t>
      </w:r>
      <w:r w:rsidR="00C40134" w:rsidRPr="00FD211F">
        <w:rPr>
          <w:sz w:val="36"/>
          <w:szCs w:val="36"/>
          <w:rtl/>
        </w:rPr>
        <w:t>المشتق</w:t>
      </w:r>
      <w:r w:rsidR="00E8128F">
        <w:rPr>
          <w:sz w:val="36"/>
          <w:szCs w:val="36"/>
          <w:rtl/>
        </w:rPr>
        <w:t xml:space="preserve"> </w:t>
      </w:r>
      <w:r w:rsidR="00AA6835" w:rsidRPr="00FD211F">
        <w:rPr>
          <w:sz w:val="36"/>
          <w:szCs w:val="36"/>
          <w:rtl/>
        </w:rPr>
        <w:t>للأعم</w:t>
      </w:r>
      <w:r w:rsidR="00E8128F">
        <w:rPr>
          <w:sz w:val="36"/>
          <w:szCs w:val="36"/>
          <w:rtl/>
        </w:rPr>
        <w:t xml:space="preserve"> </w:t>
      </w:r>
      <w:r w:rsidR="00AA6835" w:rsidRPr="00FD211F">
        <w:rPr>
          <w:sz w:val="36"/>
          <w:szCs w:val="36"/>
          <w:rtl/>
        </w:rPr>
        <w:t>الا</w:t>
      </w:r>
      <w:r w:rsidR="00E8128F">
        <w:rPr>
          <w:sz w:val="36"/>
          <w:szCs w:val="36"/>
          <w:rtl/>
        </w:rPr>
        <w:t xml:space="preserve"> </w:t>
      </w:r>
      <w:r w:rsidR="00AA6835" w:rsidRPr="00FD211F">
        <w:rPr>
          <w:sz w:val="36"/>
          <w:szCs w:val="36"/>
          <w:rtl/>
        </w:rPr>
        <w:t>بنحو</w:t>
      </w:r>
      <w:r w:rsidR="00E8128F">
        <w:rPr>
          <w:sz w:val="36"/>
          <w:szCs w:val="36"/>
          <w:rtl/>
        </w:rPr>
        <w:t xml:space="preserve"> </w:t>
      </w:r>
      <w:r w:rsidR="00AA6835" w:rsidRPr="00FD211F">
        <w:rPr>
          <w:sz w:val="36"/>
          <w:szCs w:val="36"/>
          <w:rtl/>
        </w:rPr>
        <w:t>الاصل</w:t>
      </w:r>
      <w:r w:rsidR="00E8128F">
        <w:rPr>
          <w:sz w:val="36"/>
          <w:szCs w:val="36"/>
          <w:rtl/>
        </w:rPr>
        <w:t xml:space="preserve"> </w:t>
      </w:r>
      <w:r w:rsidR="00AA6835" w:rsidRPr="00FD211F">
        <w:rPr>
          <w:sz w:val="36"/>
          <w:szCs w:val="36"/>
          <w:rtl/>
        </w:rPr>
        <w:t>المثبت</w:t>
      </w:r>
      <w:r w:rsidR="00603323" w:rsidRPr="00FD211F">
        <w:rPr>
          <w:sz w:val="36"/>
          <w:szCs w:val="36"/>
          <w:rtl/>
        </w:rPr>
        <w:t>،</w:t>
      </w:r>
      <w:r w:rsidR="00E8128F">
        <w:rPr>
          <w:sz w:val="36"/>
          <w:szCs w:val="36"/>
          <w:rtl/>
        </w:rPr>
        <w:t xml:space="preserve"> </w:t>
      </w:r>
      <w:r w:rsidR="00AA6835" w:rsidRPr="00FD211F">
        <w:rPr>
          <w:sz w:val="36"/>
          <w:szCs w:val="36"/>
          <w:rtl/>
        </w:rPr>
        <w:t>على</w:t>
      </w:r>
      <w:r w:rsidR="00E8128F">
        <w:rPr>
          <w:sz w:val="36"/>
          <w:szCs w:val="36"/>
          <w:rtl/>
        </w:rPr>
        <w:t xml:space="preserve"> </w:t>
      </w:r>
      <w:r w:rsidR="00AA6835" w:rsidRPr="00FD211F">
        <w:rPr>
          <w:sz w:val="36"/>
          <w:szCs w:val="36"/>
          <w:rtl/>
        </w:rPr>
        <w:t>انه</w:t>
      </w:r>
      <w:r w:rsidR="00E8128F">
        <w:rPr>
          <w:sz w:val="36"/>
          <w:szCs w:val="36"/>
          <w:rtl/>
        </w:rPr>
        <w:t xml:space="preserve"> </w:t>
      </w:r>
      <w:r w:rsidR="00AA6835" w:rsidRPr="00FD211F">
        <w:rPr>
          <w:sz w:val="36"/>
          <w:szCs w:val="36"/>
          <w:rtl/>
        </w:rPr>
        <w:t>يكون</w:t>
      </w:r>
      <w:r w:rsidR="00E8128F">
        <w:rPr>
          <w:sz w:val="36"/>
          <w:szCs w:val="36"/>
          <w:rtl/>
        </w:rPr>
        <w:t xml:space="preserve"> </w:t>
      </w:r>
      <w:r w:rsidR="00AA6835" w:rsidRPr="00FD211F">
        <w:rPr>
          <w:sz w:val="36"/>
          <w:szCs w:val="36"/>
          <w:rtl/>
        </w:rPr>
        <w:t>معارضا</w:t>
      </w:r>
      <w:r w:rsidR="00E8128F">
        <w:rPr>
          <w:sz w:val="36"/>
          <w:szCs w:val="36"/>
          <w:rtl/>
        </w:rPr>
        <w:t xml:space="preserve"> </w:t>
      </w:r>
      <w:r w:rsidR="00AA6835" w:rsidRPr="00FD211F">
        <w:rPr>
          <w:sz w:val="36"/>
          <w:szCs w:val="36"/>
          <w:rtl/>
        </w:rPr>
        <w:t>مع</w:t>
      </w:r>
      <w:r w:rsidR="00E8128F">
        <w:rPr>
          <w:sz w:val="36"/>
          <w:szCs w:val="36"/>
          <w:rtl/>
        </w:rPr>
        <w:t xml:space="preserve"> </w:t>
      </w:r>
      <w:r w:rsidR="00AA6835" w:rsidRPr="00FD211F">
        <w:rPr>
          <w:sz w:val="36"/>
          <w:szCs w:val="36"/>
          <w:rtl/>
        </w:rPr>
        <w:t>استصحاب</w:t>
      </w:r>
      <w:r w:rsidR="00E8128F">
        <w:rPr>
          <w:sz w:val="36"/>
          <w:szCs w:val="36"/>
          <w:rtl/>
        </w:rPr>
        <w:t xml:space="preserve"> </w:t>
      </w:r>
      <w:r w:rsidR="00AA6835" w:rsidRPr="00FD211F">
        <w:rPr>
          <w:sz w:val="36"/>
          <w:szCs w:val="36"/>
          <w:rtl/>
        </w:rPr>
        <w:t>عدم</w:t>
      </w:r>
      <w:r w:rsidR="00E8128F">
        <w:rPr>
          <w:sz w:val="36"/>
          <w:szCs w:val="36"/>
          <w:rtl/>
        </w:rPr>
        <w:t xml:space="preserve"> </w:t>
      </w:r>
      <w:r w:rsidR="00AA6835" w:rsidRPr="00FD211F">
        <w:rPr>
          <w:sz w:val="36"/>
          <w:szCs w:val="36"/>
          <w:rtl/>
        </w:rPr>
        <w:t>لحاظ</w:t>
      </w:r>
      <w:r w:rsidR="00E8128F">
        <w:rPr>
          <w:sz w:val="36"/>
          <w:szCs w:val="36"/>
          <w:rtl/>
        </w:rPr>
        <w:t xml:space="preserve"> </w:t>
      </w:r>
      <w:r w:rsidR="00AA6835" w:rsidRPr="00FD211F">
        <w:rPr>
          <w:sz w:val="36"/>
          <w:szCs w:val="36"/>
          <w:rtl/>
        </w:rPr>
        <w:t>الاعم</w:t>
      </w:r>
      <w:r w:rsidR="009C58C8" w:rsidRPr="00FD211F">
        <w:rPr>
          <w:rStyle w:val="a6"/>
          <w:sz w:val="36"/>
          <w:szCs w:val="36"/>
          <w:rtl/>
        </w:rPr>
        <w:t>(</w:t>
      </w:r>
      <w:r w:rsidR="009C58C8" w:rsidRPr="00FD211F">
        <w:rPr>
          <w:rStyle w:val="a6"/>
          <w:sz w:val="36"/>
          <w:szCs w:val="36"/>
          <w:rtl/>
        </w:rPr>
        <w:footnoteReference w:id="568"/>
      </w:r>
      <w:r w:rsidR="009C58C8" w:rsidRPr="00FD211F">
        <w:rPr>
          <w:rStyle w:val="a6"/>
          <w:sz w:val="36"/>
          <w:szCs w:val="36"/>
          <w:rtl/>
        </w:rPr>
        <w:t>)</w:t>
      </w:r>
      <w:r w:rsidR="00F828C6" w:rsidRPr="00FD211F">
        <w:rPr>
          <w:sz w:val="36"/>
          <w:szCs w:val="36"/>
          <w:rtl/>
        </w:rPr>
        <w:t>.</w:t>
      </w:r>
    </w:p>
    <w:p w14:paraId="51BC6167" w14:textId="77777777" w:rsidR="00F828C6" w:rsidRPr="00FD211F" w:rsidRDefault="00AA6835" w:rsidP="009C58C8">
      <w:pPr>
        <w:ind w:left="0" w:firstLine="227"/>
        <w:jc w:val="both"/>
        <w:rPr>
          <w:sz w:val="36"/>
          <w:szCs w:val="36"/>
          <w:rtl/>
        </w:rPr>
      </w:pPr>
      <w:r w:rsidRPr="00FD211F">
        <w:rPr>
          <w:sz w:val="36"/>
          <w:szCs w:val="36"/>
          <w:rtl/>
        </w:rPr>
        <w:t>اقول: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خصوصي</w:t>
      </w:r>
      <w:r w:rsidR="00EC7EDF" w:rsidRPr="00FD211F">
        <w:rPr>
          <w:sz w:val="36"/>
          <w:szCs w:val="36"/>
          <w:rtl/>
        </w:rPr>
        <w:t>ة</w:t>
      </w:r>
      <w:r w:rsidR="00E8128F">
        <w:rPr>
          <w:sz w:val="36"/>
          <w:szCs w:val="36"/>
          <w:rtl/>
        </w:rPr>
        <w:t xml:space="preserve"> </w:t>
      </w:r>
      <w:r w:rsidR="00F828C6" w:rsidRPr="00FD211F">
        <w:rPr>
          <w:sz w:val="36"/>
          <w:szCs w:val="36"/>
          <w:rtl/>
        </w:rPr>
        <w:t>التلبس</w:t>
      </w:r>
      <w:r w:rsidR="00E8128F">
        <w:rPr>
          <w:sz w:val="36"/>
          <w:szCs w:val="36"/>
          <w:rtl/>
        </w:rPr>
        <w:t xml:space="preserve"> </w:t>
      </w:r>
      <w:r w:rsidR="00F828C6" w:rsidRPr="00FD211F">
        <w:rPr>
          <w:sz w:val="36"/>
          <w:szCs w:val="36"/>
          <w:rtl/>
        </w:rPr>
        <w:t>الفعلي</w:t>
      </w:r>
      <w:r w:rsidR="00E8128F">
        <w:rPr>
          <w:sz w:val="36"/>
          <w:szCs w:val="36"/>
          <w:rtl/>
        </w:rPr>
        <w:t xml:space="preserve"> </w:t>
      </w:r>
      <w:r w:rsidR="00F828C6" w:rsidRPr="00FD211F">
        <w:rPr>
          <w:sz w:val="36"/>
          <w:szCs w:val="36"/>
          <w:rtl/>
        </w:rPr>
        <w:t>بال</w:t>
      </w:r>
      <w:r w:rsidR="0079493B" w:rsidRPr="00FD211F">
        <w:rPr>
          <w:sz w:val="36"/>
          <w:szCs w:val="36"/>
          <w:rtl/>
        </w:rPr>
        <w:t>مبدأ</w:t>
      </w:r>
      <w:r w:rsidR="00E8128F">
        <w:rPr>
          <w:sz w:val="36"/>
          <w:szCs w:val="36"/>
          <w:rtl/>
        </w:rPr>
        <w:t xml:space="preserve"> </w:t>
      </w:r>
      <w:r w:rsidR="00F828C6" w:rsidRPr="00FD211F">
        <w:rPr>
          <w:sz w:val="36"/>
          <w:szCs w:val="36"/>
          <w:rtl/>
        </w:rPr>
        <w:t>في</w:t>
      </w:r>
      <w:r w:rsidR="00E8128F">
        <w:rPr>
          <w:sz w:val="36"/>
          <w:szCs w:val="36"/>
          <w:rtl/>
        </w:rPr>
        <w:t xml:space="preserve"> </w:t>
      </w:r>
      <w:r w:rsidR="00F828C6" w:rsidRPr="00FD211F">
        <w:rPr>
          <w:sz w:val="36"/>
          <w:szCs w:val="36"/>
          <w:rtl/>
        </w:rPr>
        <w:t>ال</w:t>
      </w:r>
      <w:r w:rsidRPr="00FD211F">
        <w:rPr>
          <w:sz w:val="36"/>
          <w:szCs w:val="36"/>
          <w:rtl/>
        </w:rPr>
        <w:t>معنى</w:t>
      </w:r>
      <w:r w:rsidR="00E8128F">
        <w:rPr>
          <w:sz w:val="36"/>
          <w:szCs w:val="36"/>
          <w:rtl/>
        </w:rPr>
        <w:t xml:space="preserve"> </w:t>
      </w:r>
      <w:r w:rsidRPr="00FD211F">
        <w:rPr>
          <w:sz w:val="36"/>
          <w:szCs w:val="36"/>
          <w:rtl/>
        </w:rPr>
        <w:t>الموضوع</w:t>
      </w:r>
      <w:r w:rsidR="00E8128F">
        <w:rPr>
          <w:sz w:val="36"/>
          <w:szCs w:val="36"/>
          <w:rtl/>
        </w:rPr>
        <w:t xml:space="preserve"> </w:t>
      </w:r>
      <w:r w:rsidRPr="00FD211F">
        <w:rPr>
          <w:sz w:val="36"/>
          <w:szCs w:val="36"/>
          <w:rtl/>
        </w:rPr>
        <w:t>له</w:t>
      </w:r>
      <w:r w:rsidR="00E8128F">
        <w:rPr>
          <w:sz w:val="36"/>
          <w:szCs w:val="36"/>
          <w:rtl/>
        </w:rPr>
        <w:t xml:space="preserve"> </w:t>
      </w:r>
      <w:r w:rsidR="00F828C6" w:rsidRPr="00FD211F">
        <w:rPr>
          <w:sz w:val="36"/>
          <w:szCs w:val="36"/>
          <w:rtl/>
        </w:rPr>
        <w:t>يواجه</w:t>
      </w:r>
      <w:r w:rsidR="00E8128F">
        <w:rPr>
          <w:sz w:val="36"/>
          <w:szCs w:val="36"/>
          <w:rtl/>
        </w:rPr>
        <w:t xml:space="preserve"> </w:t>
      </w:r>
      <w:r w:rsidR="00190839" w:rsidRPr="00FD211F">
        <w:rPr>
          <w:sz w:val="36"/>
          <w:szCs w:val="36"/>
          <w:rtl/>
        </w:rPr>
        <w:t>أربع</w:t>
      </w:r>
      <w:r w:rsidR="00EC7EDF" w:rsidRPr="00FD211F">
        <w:rPr>
          <w:sz w:val="36"/>
          <w:szCs w:val="36"/>
          <w:rtl/>
        </w:rPr>
        <w:t>ة</w:t>
      </w:r>
      <w:r w:rsidR="00E8128F">
        <w:rPr>
          <w:sz w:val="36"/>
          <w:szCs w:val="36"/>
          <w:rtl/>
        </w:rPr>
        <w:t xml:space="preserve"> </w:t>
      </w:r>
      <w:r w:rsidR="00F828C6" w:rsidRPr="00FD211F">
        <w:rPr>
          <w:sz w:val="36"/>
          <w:szCs w:val="36"/>
          <w:rtl/>
        </w:rPr>
        <w:t>اشكالات:</w:t>
      </w:r>
    </w:p>
    <w:p w14:paraId="42F1A042" w14:textId="77777777" w:rsidR="00C55A67" w:rsidRPr="00FD211F" w:rsidRDefault="00F828C6" w:rsidP="009C58C8">
      <w:pPr>
        <w:ind w:left="0" w:firstLine="227"/>
        <w:jc w:val="both"/>
        <w:rPr>
          <w:sz w:val="36"/>
          <w:szCs w:val="36"/>
          <w:rtl/>
        </w:rPr>
      </w:pPr>
      <w:r w:rsidRPr="00FD211F">
        <w:rPr>
          <w:sz w:val="36"/>
          <w:szCs w:val="36"/>
          <w:rtl/>
        </w:rPr>
        <w:t>1-</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اذا</w:t>
      </w:r>
      <w:r w:rsidR="00E8128F">
        <w:rPr>
          <w:sz w:val="36"/>
          <w:szCs w:val="36"/>
          <w:rtl/>
        </w:rPr>
        <w:t xml:space="preserve"> </w:t>
      </w:r>
      <w:r w:rsidRPr="00FD211F">
        <w:rPr>
          <w:sz w:val="36"/>
          <w:szCs w:val="36"/>
          <w:rtl/>
        </w:rPr>
        <w:t>دار</w:t>
      </w:r>
      <w:r w:rsidR="00E8128F">
        <w:rPr>
          <w:sz w:val="36"/>
          <w:szCs w:val="36"/>
          <w:rtl/>
        </w:rPr>
        <w:t xml:space="preserve"> </w:t>
      </w:r>
      <w:r w:rsidRPr="00FD211F">
        <w:rPr>
          <w:sz w:val="36"/>
          <w:szCs w:val="36"/>
          <w:rtl/>
        </w:rPr>
        <w:t>امر</w:t>
      </w:r>
      <w:r w:rsidR="00E8128F">
        <w:rPr>
          <w:sz w:val="36"/>
          <w:szCs w:val="36"/>
          <w:rtl/>
        </w:rPr>
        <w:t xml:space="preserve"> </w:t>
      </w:r>
      <w:r w:rsidRPr="00FD211F">
        <w:rPr>
          <w:sz w:val="36"/>
          <w:szCs w:val="36"/>
          <w:rtl/>
        </w:rPr>
        <w:t>المعنى</w:t>
      </w:r>
      <w:r w:rsidR="00E8128F">
        <w:rPr>
          <w:sz w:val="36"/>
          <w:szCs w:val="36"/>
          <w:rtl/>
        </w:rPr>
        <w:t xml:space="preserve"> </w:t>
      </w:r>
      <w:r w:rsidRPr="00FD211F">
        <w:rPr>
          <w:sz w:val="36"/>
          <w:szCs w:val="36"/>
          <w:rtl/>
        </w:rPr>
        <w:t>الموضوع</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معنيين</w:t>
      </w:r>
      <w:r w:rsidR="00E8128F">
        <w:rPr>
          <w:sz w:val="36"/>
          <w:szCs w:val="36"/>
          <w:rtl/>
        </w:rPr>
        <w:t xml:space="preserve"> </w:t>
      </w:r>
      <w:r w:rsidR="005F4BBB" w:rsidRPr="00FD211F">
        <w:rPr>
          <w:sz w:val="36"/>
          <w:szCs w:val="36"/>
          <w:rtl/>
        </w:rPr>
        <w:t>وكان</w:t>
      </w:r>
      <w:r w:rsidR="00E8128F">
        <w:rPr>
          <w:sz w:val="36"/>
          <w:szCs w:val="36"/>
          <w:rtl/>
        </w:rPr>
        <w:t xml:space="preserve"> </w:t>
      </w:r>
      <w:r w:rsidR="00590DDE" w:rsidRPr="00FD211F">
        <w:rPr>
          <w:sz w:val="36"/>
          <w:szCs w:val="36"/>
          <w:rtl/>
        </w:rPr>
        <w:t>ا</w:t>
      </w:r>
      <w:r w:rsidR="005E77C4" w:rsidRPr="00FD211F">
        <w:rPr>
          <w:sz w:val="36"/>
          <w:szCs w:val="36"/>
          <w:rtl/>
        </w:rPr>
        <w:t>حدهما</w:t>
      </w:r>
      <w:r w:rsidR="00E8128F">
        <w:rPr>
          <w:sz w:val="36"/>
          <w:szCs w:val="36"/>
          <w:rtl/>
        </w:rPr>
        <w:t xml:space="preserve"> </w:t>
      </w:r>
      <w:r w:rsidR="005E77C4" w:rsidRPr="00FD211F">
        <w:rPr>
          <w:sz w:val="36"/>
          <w:szCs w:val="36"/>
          <w:rtl/>
        </w:rPr>
        <w:t>اخص</w:t>
      </w:r>
      <w:r w:rsidR="00E8128F">
        <w:rPr>
          <w:sz w:val="36"/>
          <w:szCs w:val="36"/>
          <w:rtl/>
        </w:rPr>
        <w:t xml:space="preserve"> </w:t>
      </w:r>
      <w:r w:rsidR="005E77C4" w:rsidRPr="00FD211F">
        <w:rPr>
          <w:sz w:val="36"/>
          <w:szCs w:val="36"/>
          <w:rtl/>
        </w:rPr>
        <w:t>من</w:t>
      </w:r>
      <w:r w:rsidR="00E8128F">
        <w:rPr>
          <w:sz w:val="36"/>
          <w:szCs w:val="36"/>
          <w:rtl/>
        </w:rPr>
        <w:t xml:space="preserve"> </w:t>
      </w:r>
      <w:r w:rsidR="005E77C4" w:rsidRPr="00FD211F">
        <w:rPr>
          <w:sz w:val="36"/>
          <w:szCs w:val="36"/>
          <w:rtl/>
        </w:rPr>
        <w:t>الآخر</w:t>
      </w:r>
      <w:r w:rsidR="00E8128F">
        <w:rPr>
          <w:sz w:val="36"/>
          <w:szCs w:val="36"/>
          <w:rtl/>
        </w:rPr>
        <w:t xml:space="preserve"> </w:t>
      </w:r>
      <w:r w:rsidR="005E77C4" w:rsidRPr="00FD211F">
        <w:rPr>
          <w:sz w:val="36"/>
          <w:szCs w:val="36"/>
          <w:rtl/>
        </w:rPr>
        <w:t>مصداقا</w:t>
      </w:r>
      <w:r w:rsidR="00603323" w:rsidRPr="00FD211F">
        <w:rPr>
          <w:sz w:val="36"/>
          <w:szCs w:val="36"/>
          <w:rtl/>
        </w:rPr>
        <w:t>،</w:t>
      </w:r>
      <w:r w:rsidR="00E8128F">
        <w:rPr>
          <w:sz w:val="36"/>
          <w:szCs w:val="36"/>
          <w:rtl/>
        </w:rPr>
        <w:t xml:space="preserve"> </w:t>
      </w:r>
      <w:r w:rsidRPr="00FD211F">
        <w:rPr>
          <w:sz w:val="36"/>
          <w:szCs w:val="36"/>
          <w:rtl/>
        </w:rPr>
        <w:t>فقد</w:t>
      </w:r>
      <w:r w:rsidR="00E8128F">
        <w:rPr>
          <w:sz w:val="36"/>
          <w:szCs w:val="36"/>
          <w:rtl/>
        </w:rPr>
        <w:t xml:space="preserve"> </w:t>
      </w:r>
      <w:r w:rsidR="00A50B22" w:rsidRPr="00FD211F">
        <w:rPr>
          <w:sz w:val="36"/>
          <w:szCs w:val="36"/>
          <w:rtl/>
        </w:rPr>
        <w:t>تكون</w:t>
      </w:r>
      <w:r w:rsidR="00E8128F">
        <w:rPr>
          <w:sz w:val="36"/>
          <w:szCs w:val="36"/>
          <w:rtl/>
        </w:rPr>
        <w:t xml:space="preserve"> </w:t>
      </w:r>
      <w:r w:rsidR="00A50B22" w:rsidRPr="00FD211F">
        <w:rPr>
          <w:sz w:val="36"/>
          <w:szCs w:val="36"/>
          <w:rtl/>
        </w:rPr>
        <w:t>النسب</w:t>
      </w:r>
      <w:r w:rsidR="00EC7EDF" w:rsidRPr="00FD211F">
        <w:rPr>
          <w:sz w:val="36"/>
          <w:szCs w:val="36"/>
          <w:rtl/>
        </w:rPr>
        <w:t>ة</w:t>
      </w:r>
      <w:r w:rsidR="00E8128F">
        <w:rPr>
          <w:sz w:val="36"/>
          <w:szCs w:val="36"/>
          <w:rtl/>
        </w:rPr>
        <w:t xml:space="preserve"> </w:t>
      </w:r>
      <w:r w:rsidR="00A42D33" w:rsidRPr="00FD211F">
        <w:rPr>
          <w:sz w:val="36"/>
          <w:szCs w:val="36"/>
          <w:rtl/>
        </w:rPr>
        <w:t>بينهما</w:t>
      </w:r>
      <w:r w:rsidR="00E8128F">
        <w:rPr>
          <w:sz w:val="36"/>
          <w:szCs w:val="36"/>
          <w:rtl/>
        </w:rPr>
        <w:t xml:space="preserve"> </w:t>
      </w:r>
      <w:r w:rsidR="00A42D33" w:rsidRPr="00FD211F">
        <w:rPr>
          <w:sz w:val="36"/>
          <w:szCs w:val="36"/>
          <w:rtl/>
        </w:rPr>
        <w:t>مفهوما</w:t>
      </w:r>
      <w:r w:rsidR="00851268" w:rsidRPr="00FD211F">
        <w:rPr>
          <w:sz w:val="36"/>
          <w:szCs w:val="36"/>
          <w:rtl/>
        </w:rPr>
        <w:t>ً</w:t>
      </w:r>
      <w:r w:rsidR="00E8128F">
        <w:rPr>
          <w:sz w:val="36"/>
          <w:szCs w:val="36"/>
          <w:rtl/>
        </w:rPr>
        <w:t xml:space="preserve"> </w:t>
      </w:r>
      <w:r w:rsidR="00A42D33" w:rsidRPr="00FD211F">
        <w:rPr>
          <w:sz w:val="36"/>
          <w:szCs w:val="36"/>
          <w:rtl/>
        </w:rPr>
        <w:t>نسب</w:t>
      </w:r>
      <w:r w:rsidR="00EC7EDF" w:rsidRPr="00FD211F">
        <w:rPr>
          <w:sz w:val="36"/>
          <w:szCs w:val="36"/>
          <w:rtl/>
        </w:rPr>
        <w:t>ة</w:t>
      </w:r>
      <w:r w:rsidR="00E8128F">
        <w:rPr>
          <w:sz w:val="36"/>
          <w:szCs w:val="36"/>
          <w:rtl/>
        </w:rPr>
        <w:t xml:space="preserve"> </w:t>
      </w:r>
      <w:r w:rsidR="00A42D33" w:rsidRPr="00FD211F">
        <w:rPr>
          <w:sz w:val="36"/>
          <w:szCs w:val="36"/>
          <w:rtl/>
        </w:rPr>
        <w:t>الأقل</w:t>
      </w:r>
      <w:r w:rsidR="00E8128F">
        <w:rPr>
          <w:sz w:val="36"/>
          <w:szCs w:val="36"/>
          <w:rtl/>
        </w:rPr>
        <w:t xml:space="preserve"> </w:t>
      </w:r>
      <w:r w:rsidR="00A42D33" w:rsidRPr="00FD211F">
        <w:rPr>
          <w:sz w:val="36"/>
          <w:szCs w:val="36"/>
          <w:rtl/>
        </w:rPr>
        <w:t>والأكثر</w:t>
      </w:r>
      <w:r w:rsidR="00603323" w:rsidRPr="00FD211F">
        <w:rPr>
          <w:sz w:val="36"/>
          <w:szCs w:val="36"/>
          <w:rtl/>
        </w:rPr>
        <w:t>،</w:t>
      </w:r>
      <w:r w:rsidR="00E8128F">
        <w:rPr>
          <w:sz w:val="36"/>
          <w:szCs w:val="36"/>
          <w:rtl/>
        </w:rPr>
        <w:t xml:space="preserve"> </w:t>
      </w:r>
      <w:r w:rsidR="00A50B22" w:rsidRPr="00FD211F">
        <w:rPr>
          <w:sz w:val="36"/>
          <w:szCs w:val="36"/>
          <w:rtl/>
        </w:rPr>
        <w:t>كما</w:t>
      </w:r>
      <w:r w:rsidR="00E8128F">
        <w:rPr>
          <w:sz w:val="36"/>
          <w:szCs w:val="36"/>
          <w:rtl/>
        </w:rPr>
        <w:t xml:space="preserve"> </w:t>
      </w:r>
      <w:r w:rsidR="00A50B22" w:rsidRPr="00FD211F">
        <w:rPr>
          <w:sz w:val="36"/>
          <w:szCs w:val="36"/>
          <w:rtl/>
        </w:rPr>
        <w:t>لو</w:t>
      </w:r>
      <w:r w:rsidR="00E8128F">
        <w:rPr>
          <w:sz w:val="36"/>
          <w:szCs w:val="36"/>
          <w:rtl/>
        </w:rPr>
        <w:t xml:space="preserve"> </w:t>
      </w:r>
      <w:r w:rsidR="008D7B3D" w:rsidRPr="00FD211F">
        <w:rPr>
          <w:sz w:val="36"/>
          <w:szCs w:val="36"/>
          <w:rtl/>
        </w:rPr>
        <w:t>لم‌</w:t>
      </w:r>
      <w:r w:rsidR="00A50B22" w:rsidRPr="00FD211F">
        <w:rPr>
          <w:sz w:val="36"/>
          <w:szCs w:val="36"/>
          <w:rtl/>
        </w:rPr>
        <w:t>ندرِ</w:t>
      </w:r>
      <w:r w:rsidR="00E8128F">
        <w:rPr>
          <w:sz w:val="36"/>
          <w:szCs w:val="36"/>
          <w:rtl/>
        </w:rPr>
        <w:t xml:space="preserve"> </w:t>
      </w:r>
      <w:r w:rsidR="00A50B22" w:rsidRPr="00FD211F">
        <w:rPr>
          <w:sz w:val="36"/>
          <w:szCs w:val="36"/>
          <w:rtl/>
        </w:rPr>
        <w:t>ان</w:t>
      </w:r>
      <w:r w:rsidR="00E8128F">
        <w:rPr>
          <w:sz w:val="36"/>
          <w:szCs w:val="36"/>
          <w:rtl/>
        </w:rPr>
        <w:t xml:space="preserve"> </w:t>
      </w:r>
      <w:r w:rsidR="00A50B22" w:rsidRPr="00FD211F">
        <w:rPr>
          <w:sz w:val="36"/>
          <w:szCs w:val="36"/>
          <w:rtl/>
        </w:rPr>
        <w:t>لفظ</w:t>
      </w:r>
      <w:r w:rsidR="00E8128F">
        <w:rPr>
          <w:sz w:val="36"/>
          <w:szCs w:val="36"/>
          <w:rtl/>
        </w:rPr>
        <w:t xml:space="preserve"> </w:t>
      </w:r>
      <w:r w:rsidR="00A50B22" w:rsidRPr="00FD211F">
        <w:rPr>
          <w:sz w:val="36"/>
          <w:szCs w:val="36"/>
          <w:rtl/>
        </w:rPr>
        <w:t>الصارم</w:t>
      </w:r>
      <w:r w:rsidR="00E8128F">
        <w:rPr>
          <w:sz w:val="36"/>
          <w:szCs w:val="36"/>
          <w:rtl/>
        </w:rPr>
        <w:t xml:space="preserve"> </w:t>
      </w:r>
      <w:r w:rsidR="00A50B22" w:rsidRPr="00FD211F">
        <w:rPr>
          <w:sz w:val="36"/>
          <w:szCs w:val="36"/>
          <w:rtl/>
        </w:rPr>
        <w:t>مثلا</w:t>
      </w:r>
      <w:r w:rsidR="00E8128F">
        <w:rPr>
          <w:sz w:val="36"/>
          <w:szCs w:val="36"/>
          <w:rtl/>
        </w:rPr>
        <w:t xml:space="preserve"> </w:t>
      </w:r>
      <w:r w:rsidR="00A50B22" w:rsidRPr="00FD211F">
        <w:rPr>
          <w:sz w:val="36"/>
          <w:szCs w:val="36"/>
          <w:rtl/>
        </w:rPr>
        <w:t>قد</w:t>
      </w:r>
      <w:r w:rsidR="00E8128F">
        <w:rPr>
          <w:sz w:val="36"/>
          <w:szCs w:val="36"/>
          <w:rtl/>
        </w:rPr>
        <w:t xml:space="preserve"> </w:t>
      </w:r>
      <w:r w:rsidR="00A50B22" w:rsidRPr="00FD211F">
        <w:rPr>
          <w:sz w:val="36"/>
          <w:szCs w:val="36"/>
          <w:rtl/>
        </w:rPr>
        <w:t>وضع</w:t>
      </w:r>
      <w:r w:rsidR="00E8128F">
        <w:rPr>
          <w:sz w:val="36"/>
          <w:szCs w:val="36"/>
          <w:rtl/>
        </w:rPr>
        <w:t xml:space="preserve"> </w:t>
      </w:r>
      <w:r w:rsidR="00A50B22" w:rsidRPr="00FD211F">
        <w:rPr>
          <w:sz w:val="36"/>
          <w:szCs w:val="36"/>
          <w:rtl/>
        </w:rPr>
        <w:t>بإزاء</w:t>
      </w:r>
      <w:r w:rsidR="00E8128F">
        <w:rPr>
          <w:sz w:val="36"/>
          <w:szCs w:val="36"/>
          <w:rtl/>
        </w:rPr>
        <w:t xml:space="preserve"> </w:t>
      </w:r>
      <w:r w:rsidR="00A50B22" w:rsidRPr="00FD211F">
        <w:rPr>
          <w:sz w:val="36"/>
          <w:szCs w:val="36"/>
          <w:rtl/>
        </w:rPr>
        <w:t>السيف</w:t>
      </w:r>
      <w:r w:rsidR="00E8128F">
        <w:rPr>
          <w:sz w:val="36"/>
          <w:szCs w:val="36"/>
          <w:rtl/>
        </w:rPr>
        <w:t xml:space="preserve"> </w:t>
      </w:r>
      <w:r w:rsidR="00A50B22" w:rsidRPr="00FD211F">
        <w:rPr>
          <w:sz w:val="36"/>
          <w:szCs w:val="36"/>
          <w:rtl/>
        </w:rPr>
        <w:t>او</w:t>
      </w:r>
      <w:r w:rsidR="00E8128F">
        <w:rPr>
          <w:sz w:val="36"/>
          <w:szCs w:val="36"/>
          <w:rtl/>
        </w:rPr>
        <w:t xml:space="preserve"> </w:t>
      </w:r>
      <w:r w:rsidR="00A50B22" w:rsidRPr="00FD211F">
        <w:rPr>
          <w:sz w:val="36"/>
          <w:szCs w:val="36"/>
          <w:rtl/>
        </w:rPr>
        <w:t>وضع</w:t>
      </w:r>
      <w:r w:rsidR="00E8128F">
        <w:rPr>
          <w:sz w:val="36"/>
          <w:szCs w:val="36"/>
          <w:rtl/>
        </w:rPr>
        <w:t xml:space="preserve"> </w:t>
      </w:r>
      <w:r w:rsidR="00A50B22" w:rsidRPr="00FD211F">
        <w:rPr>
          <w:sz w:val="36"/>
          <w:szCs w:val="36"/>
          <w:rtl/>
        </w:rPr>
        <w:t>بإزاء</w:t>
      </w:r>
      <w:r w:rsidR="00E8128F">
        <w:rPr>
          <w:sz w:val="36"/>
          <w:szCs w:val="36"/>
          <w:rtl/>
        </w:rPr>
        <w:t xml:space="preserve"> </w:t>
      </w:r>
      <w:r w:rsidR="00A50B22" w:rsidRPr="00FD211F">
        <w:rPr>
          <w:sz w:val="36"/>
          <w:szCs w:val="36"/>
          <w:rtl/>
        </w:rPr>
        <w:t>السيف</w:t>
      </w:r>
      <w:r w:rsidR="00E8128F">
        <w:rPr>
          <w:sz w:val="36"/>
          <w:szCs w:val="36"/>
          <w:rtl/>
        </w:rPr>
        <w:t xml:space="preserve"> </w:t>
      </w:r>
      <w:r w:rsidR="00A50B22" w:rsidRPr="00FD211F">
        <w:rPr>
          <w:sz w:val="36"/>
          <w:szCs w:val="36"/>
          <w:rtl/>
        </w:rPr>
        <w:t>القاطع</w:t>
      </w:r>
      <w:r w:rsidR="00603323" w:rsidRPr="00FD211F">
        <w:rPr>
          <w:sz w:val="36"/>
          <w:szCs w:val="36"/>
          <w:rtl/>
        </w:rPr>
        <w:t>،</w:t>
      </w:r>
      <w:r w:rsidR="00E8128F">
        <w:rPr>
          <w:sz w:val="36"/>
          <w:szCs w:val="36"/>
          <w:rtl/>
        </w:rPr>
        <w:t xml:space="preserve"> </w:t>
      </w:r>
      <w:r w:rsidR="005F4BBB" w:rsidRPr="00FD211F">
        <w:rPr>
          <w:sz w:val="36"/>
          <w:szCs w:val="36"/>
          <w:rtl/>
        </w:rPr>
        <w:t>فيوجدهنا</w:t>
      </w:r>
      <w:r w:rsidR="00E8128F">
        <w:rPr>
          <w:sz w:val="36"/>
          <w:szCs w:val="36"/>
          <w:rtl/>
        </w:rPr>
        <w:t xml:space="preserve"> </w:t>
      </w:r>
      <w:r w:rsidR="005F4BBB" w:rsidRPr="00FD211F">
        <w:rPr>
          <w:sz w:val="36"/>
          <w:szCs w:val="36"/>
          <w:rtl/>
        </w:rPr>
        <w:t>مجال</w:t>
      </w:r>
      <w:r w:rsidR="00E8128F">
        <w:rPr>
          <w:sz w:val="36"/>
          <w:szCs w:val="36"/>
          <w:rtl/>
        </w:rPr>
        <w:t xml:space="preserve"> </w:t>
      </w:r>
      <w:r w:rsidR="005F4BBB" w:rsidRPr="00FD211F">
        <w:rPr>
          <w:sz w:val="36"/>
          <w:szCs w:val="36"/>
          <w:rtl/>
        </w:rPr>
        <w:t>لتوهم</w:t>
      </w:r>
      <w:r w:rsidR="00E8128F">
        <w:rPr>
          <w:sz w:val="36"/>
          <w:szCs w:val="36"/>
          <w:rtl/>
        </w:rPr>
        <w:t xml:space="preserve"> </w:t>
      </w:r>
      <w:r w:rsidR="005F4BBB" w:rsidRPr="00FD211F">
        <w:rPr>
          <w:sz w:val="36"/>
          <w:szCs w:val="36"/>
          <w:rtl/>
        </w:rPr>
        <w:t>جريان</w:t>
      </w:r>
      <w:r w:rsidR="00E8128F">
        <w:rPr>
          <w:sz w:val="36"/>
          <w:szCs w:val="36"/>
          <w:rtl/>
        </w:rPr>
        <w:t xml:space="preserve"> </w:t>
      </w:r>
      <w:r w:rsidR="005F4BBB" w:rsidRPr="00FD211F">
        <w:rPr>
          <w:sz w:val="36"/>
          <w:szCs w:val="36"/>
          <w:rtl/>
        </w:rPr>
        <w:t>استصحاب</w:t>
      </w:r>
      <w:r w:rsidR="00E8128F">
        <w:rPr>
          <w:sz w:val="36"/>
          <w:szCs w:val="36"/>
          <w:rtl/>
        </w:rPr>
        <w:t xml:space="preserve"> </w:t>
      </w:r>
      <w:r w:rsidR="005F4BBB" w:rsidRPr="00FD211F">
        <w:rPr>
          <w:sz w:val="36"/>
          <w:szCs w:val="36"/>
          <w:rtl/>
        </w:rPr>
        <w:t>عدم</w:t>
      </w:r>
      <w:r w:rsidR="00E8128F">
        <w:rPr>
          <w:sz w:val="36"/>
          <w:szCs w:val="36"/>
          <w:rtl/>
        </w:rPr>
        <w:t xml:space="preserve"> </w:t>
      </w:r>
      <w:r w:rsidR="005F4BBB" w:rsidRPr="00FD211F">
        <w:rPr>
          <w:sz w:val="36"/>
          <w:szCs w:val="36"/>
          <w:rtl/>
        </w:rPr>
        <w:t>اخذ</w:t>
      </w:r>
      <w:r w:rsidR="00E8128F">
        <w:rPr>
          <w:sz w:val="36"/>
          <w:szCs w:val="36"/>
          <w:rtl/>
        </w:rPr>
        <w:t xml:space="preserve"> </w:t>
      </w:r>
      <w:r w:rsidR="005F4BBB" w:rsidRPr="00FD211F">
        <w:rPr>
          <w:sz w:val="36"/>
          <w:szCs w:val="36"/>
          <w:rtl/>
        </w:rPr>
        <w:t>الخصوصي</w:t>
      </w:r>
      <w:r w:rsidR="00EC7EDF" w:rsidRPr="00FD211F">
        <w:rPr>
          <w:sz w:val="36"/>
          <w:szCs w:val="36"/>
          <w:rtl/>
        </w:rPr>
        <w:t>ة</w:t>
      </w:r>
      <w:r w:rsidR="00E8128F">
        <w:rPr>
          <w:sz w:val="36"/>
          <w:szCs w:val="36"/>
          <w:rtl/>
        </w:rPr>
        <w:t xml:space="preserve"> </w:t>
      </w:r>
      <w:r w:rsidR="005F4BBB" w:rsidRPr="00FD211F">
        <w:rPr>
          <w:sz w:val="36"/>
          <w:szCs w:val="36"/>
          <w:rtl/>
        </w:rPr>
        <w:t>الزائد</w:t>
      </w:r>
      <w:r w:rsidR="00EC7EDF" w:rsidRPr="00FD211F">
        <w:rPr>
          <w:sz w:val="36"/>
          <w:szCs w:val="36"/>
          <w:rtl/>
        </w:rPr>
        <w:t>ة</w:t>
      </w:r>
      <w:r w:rsidR="00E8128F">
        <w:rPr>
          <w:sz w:val="36"/>
          <w:szCs w:val="36"/>
          <w:rtl/>
        </w:rPr>
        <w:t xml:space="preserve"> </w:t>
      </w:r>
      <w:r w:rsidR="005F4BBB" w:rsidRPr="00FD211F">
        <w:rPr>
          <w:sz w:val="36"/>
          <w:szCs w:val="36"/>
          <w:rtl/>
        </w:rPr>
        <w:t>–كخصوصي</w:t>
      </w:r>
      <w:r w:rsidR="00EC7EDF" w:rsidRPr="00FD211F">
        <w:rPr>
          <w:sz w:val="36"/>
          <w:szCs w:val="36"/>
          <w:rtl/>
        </w:rPr>
        <w:t>ة</w:t>
      </w:r>
      <w:r w:rsidR="00E8128F">
        <w:rPr>
          <w:sz w:val="36"/>
          <w:szCs w:val="36"/>
          <w:rtl/>
        </w:rPr>
        <w:t xml:space="preserve"> </w:t>
      </w:r>
      <w:r w:rsidR="005F4BBB" w:rsidRPr="00FD211F">
        <w:rPr>
          <w:sz w:val="36"/>
          <w:szCs w:val="36"/>
          <w:rtl/>
        </w:rPr>
        <w:t>كون</w:t>
      </w:r>
      <w:r w:rsidR="00E8128F">
        <w:rPr>
          <w:sz w:val="36"/>
          <w:szCs w:val="36"/>
          <w:rtl/>
        </w:rPr>
        <w:t xml:space="preserve"> </w:t>
      </w:r>
      <w:r w:rsidR="005F4BBB" w:rsidRPr="00FD211F">
        <w:rPr>
          <w:sz w:val="36"/>
          <w:szCs w:val="36"/>
          <w:rtl/>
        </w:rPr>
        <w:t>السيف</w:t>
      </w:r>
      <w:r w:rsidR="00E8128F">
        <w:rPr>
          <w:sz w:val="36"/>
          <w:szCs w:val="36"/>
          <w:rtl/>
        </w:rPr>
        <w:t xml:space="preserve"> </w:t>
      </w:r>
      <w:r w:rsidR="005F4BBB" w:rsidRPr="00FD211F">
        <w:rPr>
          <w:sz w:val="36"/>
          <w:szCs w:val="36"/>
          <w:rtl/>
        </w:rPr>
        <w:t>قاطعا</w:t>
      </w:r>
      <w:r w:rsidR="00E8128F">
        <w:rPr>
          <w:sz w:val="36"/>
          <w:szCs w:val="36"/>
          <w:rtl/>
        </w:rPr>
        <w:t xml:space="preserve"> </w:t>
      </w:r>
      <w:r w:rsidR="00A42D33" w:rsidRPr="00FD211F">
        <w:rPr>
          <w:sz w:val="36"/>
          <w:szCs w:val="36"/>
          <w:rtl/>
        </w:rPr>
        <w:t>في</w:t>
      </w:r>
      <w:r w:rsidR="00E8128F">
        <w:rPr>
          <w:sz w:val="36"/>
          <w:szCs w:val="36"/>
          <w:rtl/>
        </w:rPr>
        <w:t xml:space="preserve"> </w:t>
      </w:r>
      <w:r w:rsidR="00A42D33" w:rsidRPr="00FD211F">
        <w:rPr>
          <w:sz w:val="36"/>
          <w:szCs w:val="36"/>
          <w:rtl/>
        </w:rPr>
        <w:t>المثال</w:t>
      </w:r>
      <w:r w:rsidR="00E8128F">
        <w:rPr>
          <w:sz w:val="36"/>
          <w:szCs w:val="36"/>
          <w:rtl/>
        </w:rPr>
        <w:t xml:space="preserve"> </w:t>
      </w:r>
      <w:r w:rsidR="00A42D33" w:rsidRPr="00FD211F">
        <w:rPr>
          <w:sz w:val="36"/>
          <w:szCs w:val="36"/>
          <w:rtl/>
        </w:rPr>
        <w:t>المذكور</w:t>
      </w:r>
      <w:r w:rsidR="005F4BBB" w:rsidRPr="00FD211F">
        <w:rPr>
          <w:sz w:val="36"/>
          <w:szCs w:val="36"/>
          <w:rtl/>
        </w:rPr>
        <w:t>-في</w:t>
      </w:r>
      <w:r w:rsidR="00E8128F">
        <w:rPr>
          <w:sz w:val="36"/>
          <w:szCs w:val="36"/>
          <w:rtl/>
        </w:rPr>
        <w:t xml:space="preserve"> </w:t>
      </w:r>
      <w:r w:rsidR="005F4BBB" w:rsidRPr="00FD211F">
        <w:rPr>
          <w:sz w:val="36"/>
          <w:szCs w:val="36"/>
          <w:rtl/>
        </w:rPr>
        <w:t>المعنى</w:t>
      </w:r>
      <w:r w:rsidR="00E8128F">
        <w:rPr>
          <w:sz w:val="36"/>
          <w:szCs w:val="36"/>
          <w:rtl/>
        </w:rPr>
        <w:t xml:space="preserve"> </w:t>
      </w:r>
      <w:r w:rsidR="005F4BBB" w:rsidRPr="00FD211F">
        <w:rPr>
          <w:sz w:val="36"/>
          <w:szCs w:val="36"/>
          <w:rtl/>
        </w:rPr>
        <w:t>الموضوع</w:t>
      </w:r>
      <w:r w:rsidR="00E8128F">
        <w:rPr>
          <w:sz w:val="36"/>
          <w:szCs w:val="36"/>
          <w:rtl/>
        </w:rPr>
        <w:t xml:space="preserve"> </w:t>
      </w:r>
      <w:r w:rsidR="005F4BBB" w:rsidRPr="00FD211F">
        <w:rPr>
          <w:sz w:val="36"/>
          <w:szCs w:val="36"/>
          <w:rtl/>
        </w:rPr>
        <w:t>له</w:t>
      </w:r>
      <w:r w:rsidR="00603323" w:rsidRPr="00FD211F">
        <w:rPr>
          <w:sz w:val="36"/>
          <w:szCs w:val="36"/>
          <w:rtl/>
        </w:rPr>
        <w:t>،</w:t>
      </w:r>
      <w:r w:rsidR="00E8128F">
        <w:rPr>
          <w:sz w:val="36"/>
          <w:szCs w:val="36"/>
          <w:rtl/>
        </w:rPr>
        <w:t xml:space="preserve"> </w:t>
      </w:r>
      <w:r w:rsidR="005F4BBB" w:rsidRPr="00FD211F">
        <w:rPr>
          <w:sz w:val="36"/>
          <w:szCs w:val="36"/>
          <w:rtl/>
        </w:rPr>
        <w:t>و</w:t>
      </w:r>
      <w:r w:rsidR="00A42D33" w:rsidRPr="00FD211F">
        <w:rPr>
          <w:sz w:val="36"/>
          <w:szCs w:val="36"/>
          <w:rtl/>
        </w:rPr>
        <w:t>لكن</w:t>
      </w:r>
      <w:r w:rsidR="00E8128F">
        <w:rPr>
          <w:sz w:val="36"/>
          <w:szCs w:val="36"/>
          <w:rtl/>
        </w:rPr>
        <w:t xml:space="preserve"> </w:t>
      </w:r>
      <w:r w:rsidR="00A42D33" w:rsidRPr="00FD211F">
        <w:rPr>
          <w:sz w:val="36"/>
          <w:szCs w:val="36"/>
          <w:rtl/>
        </w:rPr>
        <w:t>اذاكان</w:t>
      </w:r>
      <w:r w:rsidR="00E8128F">
        <w:rPr>
          <w:sz w:val="36"/>
          <w:szCs w:val="36"/>
          <w:rtl/>
        </w:rPr>
        <w:t xml:space="preserve"> </w:t>
      </w:r>
      <w:r w:rsidRPr="00FD211F">
        <w:rPr>
          <w:sz w:val="36"/>
          <w:szCs w:val="36"/>
          <w:rtl/>
        </w:rPr>
        <w:t>بينهما</w:t>
      </w:r>
      <w:r w:rsidR="00E8128F">
        <w:rPr>
          <w:sz w:val="36"/>
          <w:szCs w:val="36"/>
          <w:rtl/>
        </w:rPr>
        <w:t xml:space="preserve"> </w:t>
      </w:r>
      <w:r w:rsidRPr="00FD211F">
        <w:rPr>
          <w:sz w:val="36"/>
          <w:szCs w:val="36"/>
          <w:rtl/>
        </w:rPr>
        <w:t>تباين</w:t>
      </w:r>
      <w:r w:rsidR="00E8128F">
        <w:rPr>
          <w:sz w:val="36"/>
          <w:szCs w:val="36"/>
          <w:rtl/>
        </w:rPr>
        <w:t xml:space="preserve"> </w:t>
      </w:r>
      <w:r w:rsidRPr="00FD211F">
        <w:rPr>
          <w:sz w:val="36"/>
          <w:szCs w:val="36"/>
          <w:rtl/>
        </w:rPr>
        <w:t>مفهومي</w:t>
      </w:r>
      <w:r w:rsidR="00E8128F">
        <w:rPr>
          <w:sz w:val="36"/>
          <w:szCs w:val="36"/>
          <w:rtl/>
        </w:rPr>
        <w:t xml:space="preserve"> </w:t>
      </w:r>
      <w:r w:rsidRPr="00FD211F">
        <w:rPr>
          <w:sz w:val="36"/>
          <w:szCs w:val="36"/>
          <w:rtl/>
        </w:rPr>
        <w:t>كالإكرام</w:t>
      </w:r>
      <w:r w:rsidR="00E8128F">
        <w:rPr>
          <w:sz w:val="36"/>
          <w:szCs w:val="36"/>
          <w:rtl/>
        </w:rPr>
        <w:t xml:space="preserve"> </w:t>
      </w:r>
      <w:r w:rsidRPr="00FD211F">
        <w:rPr>
          <w:sz w:val="36"/>
          <w:szCs w:val="36"/>
          <w:rtl/>
        </w:rPr>
        <w:t>والإطعام</w:t>
      </w:r>
      <w:r w:rsidR="00A42D33" w:rsidRPr="00FD211F">
        <w:rPr>
          <w:sz w:val="36"/>
          <w:szCs w:val="36"/>
          <w:rtl/>
        </w:rPr>
        <w:t>-</w:t>
      </w:r>
      <w:r w:rsidR="00E8128F">
        <w:rPr>
          <w:sz w:val="36"/>
          <w:szCs w:val="36"/>
          <w:rtl/>
        </w:rPr>
        <w:t xml:space="preserve"> </w:t>
      </w:r>
      <w:r w:rsidR="005E77C4" w:rsidRPr="00FD211F">
        <w:rPr>
          <w:sz w:val="36"/>
          <w:szCs w:val="36"/>
          <w:rtl/>
        </w:rPr>
        <w:t>حيث</w:t>
      </w:r>
      <w:r w:rsidR="00E8128F">
        <w:rPr>
          <w:sz w:val="36"/>
          <w:szCs w:val="36"/>
          <w:rtl/>
        </w:rPr>
        <w:t xml:space="preserve"> </w:t>
      </w:r>
      <w:r w:rsidR="005E77C4" w:rsidRPr="00FD211F">
        <w:rPr>
          <w:sz w:val="36"/>
          <w:szCs w:val="36"/>
          <w:rtl/>
        </w:rPr>
        <w:t>ان</w:t>
      </w:r>
      <w:r w:rsidR="00E8128F">
        <w:rPr>
          <w:sz w:val="36"/>
          <w:szCs w:val="36"/>
          <w:rtl/>
        </w:rPr>
        <w:t xml:space="preserve"> </w:t>
      </w:r>
      <w:r w:rsidR="005E77C4" w:rsidRPr="00FD211F">
        <w:rPr>
          <w:sz w:val="36"/>
          <w:szCs w:val="36"/>
          <w:rtl/>
        </w:rPr>
        <w:t>الإطعام</w:t>
      </w:r>
      <w:r w:rsidR="00E8128F">
        <w:rPr>
          <w:sz w:val="36"/>
          <w:szCs w:val="36"/>
          <w:rtl/>
        </w:rPr>
        <w:t xml:space="preserve"> </w:t>
      </w:r>
      <w:r w:rsidR="005E77C4" w:rsidRPr="00FD211F">
        <w:rPr>
          <w:sz w:val="36"/>
          <w:szCs w:val="36"/>
          <w:rtl/>
        </w:rPr>
        <w:t>وان</w:t>
      </w:r>
      <w:r w:rsidR="00E8128F">
        <w:rPr>
          <w:sz w:val="36"/>
          <w:szCs w:val="36"/>
          <w:rtl/>
        </w:rPr>
        <w:t xml:space="preserve"> </w:t>
      </w:r>
      <w:r w:rsidR="005E77C4" w:rsidRPr="00FD211F">
        <w:rPr>
          <w:sz w:val="36"/>
          <w:szCs w:val="36"/>
          <w:rtl/>
        </w:rPr>
        <w:t>كان</w:t>
      </w:r>
      <w:r w:rsidR="00E8128F">
        <w:rPr>
          <w:sz w:val="36"/>
          <w:szCs w:val="36"/>
          <w:rtl/>
        </w:rPr>
        <w:t xml:space="preserve"> </w:t>
      </w:r>
      <w:r w:rsidR="005E77C4" w:rsidRPr="00FD211F">
        <w:rPr>
          <w:sz w:val="36"/>
          <w:szCs w:val="36"/>
          <w:rtl/>
        </w:rPr>
        <w:t>اخص</w:t>
      </w:r>
      <w:r w:rsidR="00E8128F">
        <w:rPr>
          <w:sz w:val="36"/>
          <w:szCs w:val="36"/>
          <w:rtl/>
        </w:rPr>
        <w:t xml:space="preserve"> </w:t>
      </w:r>
      <w:r w:rsidR="005E77C4" w:rsidRPr="00FD211F">
        <w:rPr>
          <w:sz w:val="36"/>
          <w:szCs w:val="36"/>
          <w:rtl/>
        </w:rPr>
        <w:t>مصداقا</w:t>
      </w:r>
      <w:r w:rsidR="00E8128F">
        <w:rPr>
          <w:sz w:val="36"/>
          <w:szCs w:val="36"/>
          <w:rtl/>
        </w:rPr>
        <w:t xml:space="preserve"> </w:t>
      </w:r>
      <w:r w:rsidR="00AD2C5E" w:rsidRPr="00FD211F">
        <w:rPr>
          <w:sz w:val="36"/>
          <w:szCs w:val="36"/>
          <w:rtl/>
        </w:rPr>
        <w:t>من</w:t>
      </w:r>
      <w:r w:rsidR="00E8128F">
        <w:rPr>
          <w:sz w:val="36"/>
          <w:szCs w:val="36"/>
          <w:rtl/>
        </w:rPr>
        <w:t xml:space="preserve"> </w:t>
      </w:r>
      <w:r w:rsidR="00AD2C5E" w:rsidRPr="00FD211F">
        <w:rPr>
          <w:sz w:val="36"/>
          <w:szCs w:val="36"/>
          <w:rtl/>
        </w:rPr>
        <w:t>الإكرام</w:t>
      </w:r>
      <w:r w:rsidR="00603323" w:rsidRPr="00FD211F">
        <w:rPr>
          <w:sz w:val="36"/>
          <w:szCs w:val="36"/>
          <w:rtl/>
        </w:rPr>
        <w:t>،</w:t>
      </w:r>
      <w:r w:rsidR="00E8128F">
        <w:rPr>
          <w:sz w:val="36"/>
          <w:szCs w:val="36"/>
          <w:rtl/>
        </w:rPr>
        <w:t xml:space="preserve"> </w:t>
      </w:r>
      <w:r w:rsidR="00AD2C5E" w:rsidRPr="00FD211F">
        <w:rPr>
          <w:sz w:val="36"/>
          <w:szCs w:val="36"/>
          <w:rtl/>
        </w:rPr>
        <w:t>لكن</w:t>
      </w:r>
      <w:r w:rsidR="00E8128F">
        <w:rPr>
          <w:sz w:val="36"/>
          <w:szCs w:val="36"/>
          <w:rtl/>
        </w:rPr>
        <w:t xml:space="preserve"> </w:t>
      </w:r>
      <w:r w:rsidR="00AD2C5E" w:rsidRPr="00FD211F">
        <w:rPr>
          <w:sz w:val="36"/>
          <w:szCs w:val="36"/>
          <w:rtl/>
        </w:rPr>
        <w:t>يوجد</w:t>
      </w:r>
      <w:r w:rsidR="00E8128F">
        <w:rPr>
          <w:sz w:val="36"/>
          <w:szCs w:val="36"/>
          <w:rtl/>
        </w:rPr>
        <w:t xml:space="preserve"> </w:t>
      </w:r>
      <w:r w:rsidR="00AD2C5E" w:rsidRPr="00FD211F">
        <w:rPr>
          <w:sz w:val="36"/>
          <w:szCs w:val="36"/>
          <w:rtl/>
        </w:rPr>
        <w:t>بينهما</w:t>
      </w:r>
      <w:r w:rsidR="00E8128F">
        <w:rPr>
          <w:sz w:val="36"/>
          <w:szCs w:val="36"/>
          <w:rtl/>
        </w:rPr>
        <w:t xml:space="preserve"> </w:t>
      </w:r>
      <w:r w:rsidR="00AD2C5E" w:rsidRPr="00FD211F">
        <w:rPr>
          <w:sz w:val="36"/>
          <w:szCs w:val="36"/>
          <w:rtl/>
        </w:rPr>
        <w:t>تباين</w:t>
      </w:r>
      <w:r w:rsidR="00E8128F">
        <w:rPr>
          <w:sz w:val="36"/>
          <w:szCs w:val="36"/>
          <w:rtl/>
        </w:rPr>
        <w:t xml:space="preserve"> </w:t>
      </w:r>
      <w:r w:rsidR="00AD2C5E" w:rsidRPr="00FD211F">
        <w:rPr>
          <w:sz w:val="36"/>
          <w:szCs w:val="36"/>
          <w:rtl/>
        </w:rPr>
        <w:t>مفهومي</w:t>
      </w:r>
      <w:r w:rsidR="00603323" w:rsidRPr="00FD211F">
        <w:rPr>
          <w:sz w:val="36"/>
          <w:szCs w:val="36"/>
          <w:rtl/>
        </w:rPr>
        <w:t>،</w:t>
      </w:r>
      <w:r w:rsidR="00E8128F">
        <w:rPr>
          <w:sz w:val="36"/>
          <w:szCs w:val="36"/>
          <w:rtl/>
        </w:rPr>
        <w:t xml:space="preserve"> </w:t>
      </w:r>
      <w:r w:rsidR="00AD2C5E" w:rsidRPr="00FD211F">
        <w:rPr>
          <w:sz w:val="36"/>
          <w:szCs w:val="36"/>
          <w:rtl/>
        </w:rPr>
        <w:t>اذ</w:t>
      </w:r>
      <w:r w:rsidR="00E8128F">
        <w:rPr>
          <w:sz w:val="36"/>
          <w:szCs w:val="36"/>
          <w:rtl/>
        </w:rPr>
        <w:t xml:space="preserve"> </w:t>
      </w:r>
      <w:r w:rsidR="008D7B3D" w:rsidRPr="00FD211F">
        <w:rPr>
          <w:sz w:val="36"/>
          <w:szCs w:val="36"/>
          <w:rtl/>
        </w:rPr>
        <w:t>لم‌</w:t>
      </w:r>
      <w:r w:rsidR="00AD2C5E" w:rsidRPr="00FD211F">
        <w:rPr>
          <w:sz w:val="36"/>
          <w:szCs w:val="36"/>
          <w:rtl/>
        </w:rPr>
        <w:t>يؤخذ</w:t>
      </w:r>
      <w:r w:rsidR="00E8128F">
        <w:rPr>
          <w:sz w:val="36"/>
          <w:szCs w:val="36"/>
          <w:rtl/>
        </w:rPr>
        <w:t xml:space="preserve"> </w:t>
      </w:r>
      <w:r w:rsidR="00AD2C5E" w:rsidRPr="00FD211F">
        <w:rPr>
          <w:sz w:val="36"/>
          <w:szCs w:val="36"/>
          <w:rtl/>
        </w:rPr>
        <w:t>الإكرام</w:t>
      </w:r>
      <w:r w:rsidR="00E8128F">
        <w:rPr>
          <w:sz w:val="36"/>
          <w:szCs w:val="36"/>
          <w:rtl/>
        </w:rPr>
        <w:t xml:space="preserve"> </w:t>
      </w:r>
      <w:r w:rsidR="00AD2C5E" w:rsidRPr="00FD211F">
        <w:rPr>
          <w:sz w:val="36"/>
          <w:szCs w:val="36"/>
          <w:rtl/>
        </w:rPr>
        <w:t>في</w:t>
      </w:r>
      <w:r w:rsidR="00E8128F">
        <w:rPr>
          <w:sz w:val="36"/>
          <w:szCs w:val="36"/>
          <w:rtl/>
        </w:rPr>
        <w:t xml:space="preserve"> </w:t>
      </w:r>
      <w:r w:rsidR="00AD2C5E" w:rsidRPr="00FD211F">
        <w:rPr>
          <w:sz w:val="36"/>
          <w:szCs w:val="36"/>
          <w:rtl/>
        </w:rPr>
        <w:t>مفهوم</w:t>
      </w:r>
      <w:r w:rsidR="00E8128F">
        <w:rPr>
          <w:sz w:val="36"/>
          <w:szCs w:val="36"/>
          <w:rtl/>
        </w:rPr>
        <w:t xml:space="preserve"> </w:t>
      </w:r>
      <w:r w:rsidR="00AD2C5E" w:rsidRPr="00FD211F">
        <w:rPr>
          <w:sz w:val="36"/>
          <w:szCs w:val="36"/>
          <w:rtl/>
        </w:rPr>
        <w:t>الإ</w:t>
      </w:r>
      <w:r w:rsidR="00A42D33" w:rsidRPr="00FD211F">
        <w:rPr>
          <w:sz w:val="36"/>
          <w:szCs w:val="36"/>
          <w:rtl/>
        </w:rPr>
        <w:t>طعام-</w:t>
      </w:r>
      <w:r w:rsidR="00E8128F">
        <w:rPr>
          <w:sz w:val="36"/>
          <w:szCs w:val="36"/>
          <w:rtl/>
        </w:rPr>
        <w:t xml:space="preserve"> </w:t>
      </w:r>
      <w:r w:rsidR="00AD2C5E" w:rsidRPr="00FD211F">
        <w:rPr>
          <w:sz w:val="36"/>
          <w:szCs w:val="36"/>
          <w:rtl/>
        </w:rPr>
        <w:t>ففي</w:t>
      </w:r>
      <w:r w:rsidR="00E8128F">
        <w:rPr>
          <w:sz w:val="36"/>
          <w:szCs w:val="36"/>
          <w:rtl/>
        </w:rPr>
        <w:t xml:space="preserve"> </w:t>
      </w:r>
      <w:r w:rsidR="005F4BBB" w:rsidRPr="00FD211F">
        <w:rPr>
          <w:sz w:val="36"/>
          <w:szCs w:val="36"/>
          <w:rtl/>
        </w:rPr>
        <w:t>هذا</w:t>
      </w:r>
      <w:r w:rsidR="00E8128F">
        <w:rPr>
          <w:sz w:val="36"/>
          <w:szCs w:val="36"/>
          <w:rtl/>
        </w:rPr>
        <w:t xml:space="preserve"> </w:t>
      </w:r>
      <w:r w:rsidR="005F4BBB" w:rsidRPr="00FD211F">
        <w:rPr>
          <w:sz w:val="36"/>
          <w:szCs w:val="36"/>
          <w:rtl/>
        </w:rPr>
        <w:t>الفرض</w:t>
      </w:r>
      <w:r w:rsidR="00E8128F">
        <w:rPr>
          <w:sz w:val="36"/>
          <w:szCs w:val="36"/>
          <w:rtl/>
        </w:rPr>
        <w:t xml:space="preserve"> </w:t>
      </w:r>
      <w:r w:rsidR="00AD2C5E" w:rsidRPr="00FD211F">
        <w:rPr>
          <w:sz w:val="36"/>
          <w:szCs w:val="36"/>
          <w:rtl/>
        </w:rPr>
        <w:t>لايجدي</w:t>
      </w:r>
      <w:r w:rsidR="00E8128F">
        <w:rPr>
          <w:sz w:val="36"/>
          <w:szCs w:val="36"/>
          <w:rtl/>
        </w:rPr>
        <w:t xml:space="preserve"> </w:t>
      </w:r>
      <w:r w:rsidR="00AD2C5E" w:rsidRPr="00FD211F">
        <w:rPr>
          <w:sz w:val="36"/>
          <w:szCs w:val="36"/>
          <w:rtl/>
        </w:rPr>
        <w:t>استصحاب</w:t>
      </w:r>
      <w:r w:rsidR="00E8128F">
        <w:rPr>
          <w:sz w:val="36"/>
          <w:szCs w:val="36"/>
          <w:rtl/>
        </w:rPr>
        <w:t xml:space="preserve"> </w:t>
      </w:r>
      <w:r w:rsidR="00AD2C5E" w:rsidRPr="00FD211F">
        <w:rPr>
          <w:sz w:val="36"/>
          <w:szCs w:val="36"/>
          <w:rtl/>
        </w:rPr>
        <w:t>عدم</w:t>
      </w:r>
      <w:r w:rsidR="00E8128F">
        <w:rPr>
          <w:sz w:val="36"/>
          <w:szCs w:val="36"/>
          <w:rtl/>
        </w:rPr>
        <w:t xml:space="preserve"> </w:t>
      </w:r>
      <w:r w:rsidR="00AD2C5E" w:rsidRPr="00FD211F">
        <w:rPr>
          <w:sz w:val="36"/>
          <w:szCs w:val="36"/>
          <w:rtl/>
        </w:rPr>
        <w:t>وضع</w:t>
      </w:r>
      <w:r w:rsidR="00E8128F">
        <w:rPr>
          <w:sz w:val="36"/>
          <w:szCs w:val="36"/>
          <w:rtl/>
        </w:rPr>
        <w:t xml:space="preserve"> </w:t>
      </w:r>
      <w:r w:rsidR="00AD2C5E" w:rsidRPr="00FD211F">
        <w:rPr>
          <w:sz w:val="36"/>
          <w:szCs w:val="36"/>
          <w:rtl/>
        </w:rPr>
        <w:t>اللفظ</w:t>
      </w:r>
      <w:r w:rsidR="00E8128F">
        <w:rPr>
          <w:sz w:val="36"/>
          <w:szCs w:val="36"/>
          <w:rtl/>
        </w:rPr>
        <w:t xml:space="preserve"> </w:t>
      </w:r>
      <w:r w:rsidR="00AD2C5E" w:rsidRPr="00FD211F">
        <w:rPr>
          <w:sz w:val="36"/>
          <w:szCs w:val="36"/>
          <w:rtl/>
        </w:rPr>
        <w:t>للمفهوم</w:t>
      </w:r>
      <w:r w:rsidR="00E8128F">
        <w:rPr>
          <w:sz w:val="36"/>
          <w:szCs w:val="36"/>
          <w:rtl/>
        </w:rPr>
        <w:t xml:space="preserve"> </w:t>
      </w:r>
      <w:r w:rsidR="00AD2C5E" w:rsidRPr="00FD211F">
        <w:rPr>
          <w:sz w:val="36"/>
          <w:szCs w:val="36"/>
          <w:rtl/>
        </w:rPr>
        <w:t>الأخص</w:t>
      </w:r>
      <w:r w:rsidR="00E8128F">
        <w:rPr>
          <w:sz w:val="36"/>
          <w:szCs w:val="36"/>
          <w:rtl/>
        </w:rPr>
        <w:t xml:space="preserve"> </w:t>
      </w:r>
      <w:r w:rsidR="00A42D33" w:rsidRPr="00FD211F">
        <w:rPr>
          <w:sz w:val="36"/>
          <w:szCs w:val="36"/>
          <w:rtl/>
        </w:rPr>
        <w:t>جزما</w:t>
      </w:r>
      <w:r w:rsidR="00603323" w:rsidRPr="00FD211F">
        <w:rPr>
          <w:sz w:val="36"/>
          <w:szCs w:val="36"/>
          <w:rtl/>
        </w:rPr>
        <w:t>،</w:t>
      </w:r>
      <w:r w:rsidR="00E8128F">
        <w:rPr>
          <w:sz w:val="36"/>
          <w:szCs w:val="36"/>
          <w:rtl/>
        </w:rPr>
        <w:t xml:space="preserve"> </w:t>
      </w:r>
      <w:r w:rsidR="00AD2C5E" w:rsidRPr="00FD211F">
        <w:rPr>
          <w:sz w:val="36"/>
          <w:szCs w:val="36"/>
          <w:rtl/>
        </w:rPr>
        <w:t>لانه</w:t>
      </w:r>
      <w:r w:rsidR="00E8128F">
        <w:rPr>
          <w:sz w:val="36"/>
          <w:szCs w:val="36"/>
          <w:rtl/>
        </w:rPr>
        <w:t xml:space="preserve"> </w:t>
      </w:r>
      <w:r w:rsidR="00AD2C5E" w:rsidRPr="00FD211F">
        <w:rPr>
          <w:sz w:val="36"/>
          <w:szCs w:val="36"/>
          <w:rtl/>
        </w:rPr>
        <w:t>لايثبت</w:t>
      </w:r>
      <w:r w:rsidR="00E8128F">
        <w:rPr>
          <w:sz w:val="36"/>
          <w:szCs w:val="36"/>
          <w:rtl/>
        </w:rPr>
        <w:t xml:space="preserve"> </w:t>
      </w:r>
      <w:r w:rsidR="00AD2C5E" w:rsidRPr="00FD211F">
        <w:rPr>
          <w:sz w:val="36"/>
          <w:szCs w:val="36"/>
          <w:rtl/>
        </w:rPr>
        <w:t>كونه</w:t>
      </w:r>
      <w:r w:rsidR="00E8128F">
        <w:rPr>
          <w:sz w:val="36"/>
          <w:szCs w:val="36"/>
          <w:rtl/>
        </w:rPr>
        <w:t xml:space="preserve"> </w:t>
      </w:r>
      <w:r w:rsidR="00AD2C5E" w:rsidRPr="00FD211F">
        <w:rPr>
          <w:sz w:val="36"/>
          <w:szCs w:val="36"/>
          <w:rtl/>
        </w:rPr>
        <w:t>موضوعا</w:t>
      </w:r>
      <w:r w:rsidR="00E8128F">
        <w:rPr>
          <w:sz w:val="36"/>
          <w:szCs w:val="36"/>
          <w:rtl/>
        </w:rPr>
        <w:t xml:space="preserve"> </w:t>
      </w:r>
      <w:r w:rsidR="00AD2C5E" w:rsidRPr="00FD211F">
        <w:rPr>
          <w:sz w:val="36"/>
          <w:szCs w:val="36"/>
          <w:rtl/>
        </w:rPr>
        <w:t>للمفهوم</w:t>
      </w:r>
      <w:r w:rsidR="00E8128F">
        <w:rPr>
          <w:sz w:val="36"/>
          <w:szCs w:val="36"/>
          <w:rtl/>
        </w:rPr>
        <w:t xml:space="preserve"> </w:t>
      </w:r>
      <w:r w:rsidR="00AD2C5E" w:rsidRPr="00FD211F">
        <w:rPr>
          <w:sz w:val="36"/>
          <w:szCs w:val="36"/>
          <w:rtl/>
        </w:rPr>
        <w:t>الأعم</w:t>
      </w:r>
      <w:r w:rsidR="00E8128F">
        <w:rPr>
          <w:sz w:val="36"/>
          <w:szCs w:val="36"/>
          <w:rtl/>
        </w:rPr>
        <w:t xml:space="preserve"> </w:t>
      </w:r>
      <w:r w:rsidR="00590DDE" w:rsidRPr="00FD211F">
        <w:rPr>
          <w:sz w:val="36"/>
          <w:szCs w:val="36"/>
          <w:rtl/>
        </w:rPr>
        <w:t>الا</w:t>
      </w:r>
      <w:r w:rsidR="00E8128F">
        <w:rPr>
          <w:sz w:val="36"/>
          <w:szCs w:val="36"/>
          <w:rtl/>
        </w:rPr>
        <w:t xml:space="preserve"> </w:t>
      </w:r>
      <w:r w:rsidR="00590DDE" w:rsidRPr="00FD211F">
        <w:rPr>
          <w:sz w:val="36"/>
          <w:szCs w:val="36"/>
          <w:rtl/>
        </w:rPr>
        <w:t>بنحو</w:t>
      </w:r>
      <w:r w:rsidR="00E8128F">
        <w:rPr>
          <w:sz w:val="36"/>
          <w:szCs w:val="36"/>
          <w:rtl/>
        </w:rPr>
        <w:t xml:space="preserve"> </w:t>
      </w:r>
      <w:r w:rsidR="00590DDE" w:rsidRPr="00FD211F">
        <w:rPr>
          <w:sz w:val="36"/>
          <w:szCs w:val="36"/>
          <w:rtl/>
        </w:rPr>
        <w:t>الاصل</w:t>
      </w:r>
      <w:r w:rsidR="00E8128F">
        <w:rPr>
          <w:sz w:val="36"/>
          <w:szCs w:val="36"/>
          <w:rtl/>
        </w:rPr>
        <w:t xml:space="preserve"> </w:t>
      </w:r>
      <w:r w:rsidR="00590DDE" w:rsidRPr="00FD211F">
        <w:rPr>
          <w:sz w:val="36"/>
          <w:szCs w:val="36"/>
          <w:rtl/>
        </w:rPr>
        <w:t>المثبت</w:t>
      </w:r>
      <w:r w:rsidR="00603323" w:rsidRPr="00FD211F">
        <w:rPr>
          <w:sz w:val="36"/>
          <w:szCs w:val="36"/>
          <w:rtl/>
        </w:rPr>
        <w:t>،</w:t>
      </w:r>
      <w:r w:rsidR="00E8128F">
        <w:rPr>
          <w:sz w:val="36"/>
          <w:szCs w:val="36"/>
          <w:rtl/>
        </w:rPr>
        <w:t xml:space="preserve"> </w:t>
      </w:r>
      <w:r w:rsidR="00A42D33" w:rsidRPr="00FD211F">
        <w:rPr>
          <w:sz w:val="36"/>
          <w:szCs w:val="36"/>
          <w:rtl/>
        </w:rPr>
        <w:t>وحتى</w:t>
      </w:r>
      <w:r w:rsidR="00E8128F">
        <w:rPr>
          <w:sz w:val="36"/>
          <w:szCs w:val="36"/>
          <w:rtl/>
        </w:rPr>
        <w:t xml:space="preserve"> </w:t>
      </w:r>
      <w:r w:rsidR="00A42D33" w:rsidRPr="00FD211F">
        <w:rPr>
          <w:sz w:val="36"/>
          <w:szCs w:val="36"/>
          <w:rtl/>
        </w:rPr>
        <w:t>مع</w:t>
      </w:r>
      <w:r w:rsidR="00E8128F">
        <w:rPr>
          <w:sz w:val="36"/>
          <w:szCs w:val="36"/>
          <w:rtl/>
        </w:rPr>
        <w:t xml:space="preserve"> </w:t>
      </w:r>
      <w:r w:rsidR="00590DDE" w:rsidRPr="00FD211F">
        <w:rPr>
          <w:sz w:val="36"/>
          <w:szCs w:val="36"/>
          <w:rtl/>
        </w:rPr>
        <w:t>غمض</w:t>
      </w:r>
      <w:r w:rsidR="00E8128F">
        <w:rPr>
          <w:sz w:val="36"/>
          <w:szCs w:val="36"/>
          <w:rtl/>
        </w:rPr>
        <w:t xml:space="preserve"> </w:t>
      </w:r>
      <w:r w:rsidR="00590DDE" w:rsidRPr="00FD211F">
        <w:rPr>
          <w:sz w:val="36"/>
          <w:szCs w:val="36"/>
          <w:rtl/>
        </w:rPr>
        <w:t>العين</w:t>
      </w:r>
      <w:r w:rsidR="00E8128F">
        <w:rPr>
          <w:sz w:val="36"/>
          <w:szCs w:val="36"/>
          <w:rtl/>
        </w:rPr>
        <w:t xml:space="preserve"> </w:t>
      </w:r>
      <w:r w:rsidR="00590DDE" w:rsidRPr="00FD211F">
        <w:rPr>
          <w:sz w:val="36"/>
          <w:szCs w:val="36"/>
          <w:rtl/>
        </w:rPr>
        <w:t>عن</w:t>
      </w:r>
      <w:r w:rsidR="00E8128F">
        <w:rPr>
          <w:sz w:val="36"/>
          <w:szCs w:val="36"/>
          <w:rtl/>
        </w:rPr>
        <w:t xml:space="preserve"> </w:t>
      </w:r>
      <w:r w:rsidR="00A42D33" w:rsidRPr="00FD211F">
        <w:rPr>
          <w:sz w:val="36"/>
          <w:szCs w:val="36"/>
          <w:rtl/>
        </w:rPr>
        <w:t>اشكال</w:t>
      </w:r>
      <w:r w:rsidR="00E8128F">
        <w:rPr>
          <w:sz w:val="36"/>
          <w:szCs w:val="36"/>
          <w:rtl/>
        </w:rPr>
        <w:t xml:space="preserve"> </w:t>
      </w:r>
      <w:r w:rsidR="00A42D33" w:rsidRPr="00FD211F">
        <w:rPr>
          <w:sz w:val="36"/>
          <w:szCs w:val="36"/>
          <w:rtl/>
        </w:rPr>
        <w:t>كون</w:t>
      </w:r>
      <w:r w:rsidR="00590DDE" w:rsidRPr="00FD211F">
        <w:rPr>
          <w:sz w:val="36"/>
          <w:szCs w:val="36"/>
          <w:rtl/>
        </w:rPr>
        <w:t>ه</w:t>
      </w:r>
      <w:r w:rsidR="00E8128F">
        <w:rPr>
          <w:sz w:val="36"/>
          <w:szCs w:val="36"/>
          <w:rtl/>
        </w:rPr>
        <w:t xml:space="preserve"> </w:t>
      </w:r>
      <w:r w:rsidR="00A42D33" w:rsidRPr="00FD211F">
        <w:rPr>
          <w:sz w:val="36"/>
          <w:szCs w:val="36"/>
          <w:rtl/>
        </w:rPr>
        <w:t>مثبتا</w:t>
      </w:r>
      <w:r w:rsidR="00E8128F">
        <w:rPr>
          <w:sz w:val="36"/>
          <w:szCs w:val="36"/>
          <w:rtl/>
        </w:rPr>
        <w:t xml:space="preserve"> </w:t>
      </w:r>
      <w:r w:rsidR="00590DDE" w:rsidRPr="00FD211F">
        <w:rPr>
          <w:sz w:val="36"/>
          <w:szCs w:val="36"/>
          <w:rtl/>
        </w:rPr>
        <w:t>ف</w:t>
      </w:r>
      <w:r w:rsidR="00A42D33" w:rsidRPr="00FD211F">
        <w:rPr>
          <w:sz w:val="36"/>
          <w:szCs w:val="36"/>
          <w:rtl/>
        </w:rPr>
        <w:t>هومعارض</w:t>
      </w:r>
      <w:r w:rsidR="00E8128F">
        <w:rPr>
          <w:sz w:val="36"/>
          <w:szCs w:val="36"/>
          <w:rtl/>
        </w:rPr>
        <w:t xml:space="preserve"> </w:t>
      </w:r>
      <w:r w:rsidR="00590DDE" w:rsidRPr="00FD211F">
        <w:rPr>
          <w:sz w:val="36"/>
          <w:szCs w:val="36"/>
          <w:rtl/>
        </w:rPr>
        <w:t>ب</w:t>
      </w:r>
      <w:r w:rsidR="001766F2" w:rsidRPr="00FD211F">
        <w:rPr>
          <w:sz w:val="36"/>
          <w:szCs w:val="36"/>
          <w:rtl/>
        </w:rPr>
        <w:t>استصح</w:t>
      </w:r>
      <w:r w:rsidR="00A42D33" w:rsidRPr="00FD211F">
        <w:rPr>
          <w:sz w:val="36"/>
          <w:szCs w:val="36"/>
          <w:rtl/>
        </w:rPr>
        <w:t>اب</w:t>
      </w:r>
      <w:r w:rsidR="00E8128F">
        <w:rPr>
          <w:sz w:val="36"/>
          <w:szCs w:val="36"/>
          <w:rtl/>
        </w:rPr>
        <w:t xml:space="preserve"> </w:t>
      </w:r>
      <w:r w:rsidR="00A42D33" w:rsidRPr="00FD211F">
        <w:rPr>
          <w:sz w:val="36"/>
          <w:szCs w:val="36"/>
          <w:rtl/>
        </w:rPr>
        <w:t>عدم</w:t>
      </w:r>
      <w:r w:rsidR="00E8128F">
        <w:rPr>
          <w:sz w:val="36"/>
          <w:szCs w:val="36"/>
          <w:rtl/>
        </w:rPr>
        <w:t xml:space="preserve"> </w:t>
      </w:r>
      <w:r w:rsidR="00A42D33" w:rsidRPr="00FD211F">
        <w:rPr>
          <w:sz w:val="36"/>
          <w:szCs w:val="36"/>
          <w:rtl/>
        </w:rPr>
        <w:t>وضعه</w:t>
      </w:r>
      <w:r w:rsidR="00E8128F">
        <w:rPr>
          <w:sz w:val="36"/>
          <w:szCs w:val="36"/>
          <w:rtl/>
        </w:rPr>
        <w:t xml:space="preserve"> </w:t>
      </w:r>
      <w:r w:rsidR="00A42D33" w:rsidRPr="00FD211F">
        <w:rPr>
          <w:sz w:val="36"/>
          <w:szCs w:val="36"/>
          <w:rtl/>
        </w:rPr>
        <w:t>للمفهوم</w:t>
      </w:r>
      <w:r w:rsidR="00E8128F">
        <w:rPr>
          <w:sz w:val="36"/>
          <w:szCs w:val="36"/>
          <w:rtl/>
        </w:rPr>
        <w:t xml:space="preserve"> </w:t>
      </w:r>
      <w:r w:rsidR="00A42D33" w:rsidRPr="00FD211F">
        <w:rPr>
          <w:sz w:val="36"/>
          <w:szCs w:val="36"/>
          <w:rtl/>
        </w:rPr>
        <w:t>الأعم</w:t>
      </w:r>
      <w:r w:rsidR="00603323" w:rsidRPr="00FD211F">
        <w:rPr>
          <w:sz w:val="36"/>
          <w:szCs w:val="36"/>
          <w:rtl/>
        </w:rPr>
        <w:t>،</w:t>
      </w:r>
      <w:r w:rsidR="00E8128F">
        <w:rPr>
          <w:sz w:val="36"/>
          <w:szCs w:val="36"/>
          <w:rtl/>
        </w:rPr>
        <w:t xml:space="preserve"> </w:t>
      </w:r>
      <w:r w:rsidR="00A42D33" w:rsidRPr="00FD211F">
        <w:rPr>
          <w:sz w:val="36"/>
          <w:szCs w:val="36"/>
          <w:rtl/>
        </w:rPr>
        <w:t>وحينئذ</w:t>
      </w:r>
      <w:r w:rsidR="00E8128F">
        <w:rPr>
          <w:sz w:val="36"/>
          <w:szCs w:val="36"/>
          <w:rtl/>
        </w:rPr>
        <w:t xml:space="preserve"> </w:t>
      </w:r>
      <w:r w:rsidR="00C55A67" w:rsidRPr="00FD211F">
        <w:rPr>
          <w:sz w:val="36"/>
          <w:szCs w:val="36"/>
          <w:rtl/>
        </w:rPr>
        <w:t>ف</w:t>
      </w:r>
      <w:r w:rsidR="00A42D33" w:rsidRPr="00FD211F">
        <w:rPr>
          <w:sz w:val="36"/>
          <w:szCs w:val="36"/>
          <w:rtl/>
        </w:rPr>
        <w:t>نقول</w:t>
      </w:r>
      <w:r w:rsidR="00E8128F">
        <w:rPr>
          <w:sz w:val="36"/>
          <w:szCs w:val="36"/>
          <w:rtl/>
        </w:rPr>
        <w:t xml:space="preserve"> </w:t>
      </w:r>
      <w:r w:rsidR="00A42D33" w:rsidRPr="00FD211F">
        <w:rPr>
          <w:sz w:val="36"/>
          <w:szCs w:val="36"/>
          <w:rtl/>
        </w:rPr>
        <w:t>في</w:t>
      </w:r>
      <w:r w:rsidR="00E8128F">
        <w:rPr>
          <w:sz w:val="36"/>
          <w:szCs w:val="36"/>
          <w:rtl/>
        </w:rPr>
        <w:t xml:space="preserve"> </w:t>
      </w:r>
      <w:r w:rsidR="00A42D33" w:rsidRPr="00FD211F">
        <w:rPr>
          <w:sz w:val="36"/>
          <w:szCs w:val="36"/>
          <w:rtl/>
        </w:rPr>
        <w:t>المقام</w:t>
      </w:r>
      <w:r w:rsidR="00E8128F">
        <w:rPr>
          <w:sz w:val="36"/>
          <w:szCs w:val="36"/>
          <w:rtl/>
        </w:rPr>
        <w:t xml:space="preserve"> </w:t>
      </w:r>
      <w:r w:rsidR="00C55A67" w:rsidRPr="00FD211F">
        <w:rPr>
          <w:sz w:val="36"/>
          <w:szCs w:val="36"/>
          <w:rtl/>
        </w:rPr>
        <w:t>حيث</w:t>
      </w:r>
      <w:r w:rsidR="00E8128F">
        <w:rPr>
          <w:sz w:val="36"/>
          <w:szCs w:val="36"/>
          <w:rtl/>
        </w:rPr>
        <w:t xml:space="preserve"> </w:t>
      </w:r>
      <w:r w:rsidR="00A42D33" w:rsidRPr="00FD211F">
        <w:rPr>
          <w:sz w:val="36"/>
          <w:szCs w:val="36"/>
          <w:rtl/>
        </w:rPr>
        <w:t>أننا</w:t>
      </w:r>
      <w:r w:rsidR="00E8128F">
        <w:rPr>
          <w:sz w:val="36"/>
          <w:szCs w:val="36"/>
          <w:rtl/>
        </w:rPr>
        <w:t xml:space="preserve"> </w:t>
      </w:r>
      <w:r w:rsidR="00C55A67" w:rsidRPr="00FD211F">
        <w:rPr>
          <w:sz w:val="36"/>
          <w:szCs w:val="36"/>
          <w:rtl/>
        </w:rPr>
        <w:t>لانحرز</w:t>
      </w:r>
      <w:r w:rsidR="00E8128F">
        <w:rPr>
          <w:sz w:val="36"/>
          <w:szCs w:val="36"/>
          <w:rtl/>
        </w:rPr>
        <w:t xml:space="preserve"> </w:t>
      </w:r>
      <w:r w:rsidR="00A42D33" w:rsidRPr="00FD211F">
        <w:rPr>
          <w:sz w:val="36"/>
          <w:szCs w:val="36"/>
          <w:rtl/>
        </w:rPr>
        <w:t>ان</w:t>
      </w:r>
      <w:r w:rsidR="00E8128F">
        <w:rPr>
          <w:sz w:val="36"/>
          <w:szCs w:val="36"/>
          <w:rtl/>
        </w:rPr>
        <w:t xml:space="preserve"> </w:t>
      </w:r>
      <w:r w:rsidR="00A42D33" w:rsidRPr="00FD211F">
        <w:rPr>
          <w:sz w:val="36"/>
          <w:szCs w:val="36"/>
          <w:rtl/>
        </w:rPr>
        <w:t>نسب</w:t>
      </w:r>
      <w:r w:rsidR="00EC7EDF" w:rsidRPr="00FD211F">
        <w:rPr>
          <w:sz w:val="36"/>
          <w:szCs w:val="36"/>
          <w:rtl/>
        </w:rPr>
        <w:t>ة</w:t>
      </w:r>
      <w:r w:rsidR="00E8128F">
        <w:rPr>
          <w:sz w:val="36"/>
          <w:szCs w:val="36"/>
          <w:rtl/>
        </w:rPr>
        <w:t xml:space="preserve"> </w:t>
      </w:r>
      <w:r w:rsidR="00A42D33" w:rsidRPr="00FD211F">
        <w:rPr>
          <w:sz w:val="36"/>
          <w:szCs w:val="36"/>
          <w:rtl/>
        </w:rPr>
        <w:t>المعنى</w:t>
      </w:r>
      <w:r w:rsidR="00E8128F">
        <w:rPr>
          <w:sz w:val="36"/>
          <w:szCs w:val="36"/>
          <w:rtl/>
        </w:rPr>
        <w:t xml:space="preserve"> </w:t>
      </w:r>
      <w:r w:rsidR="00A42D33" w:rsidRPr="00FD211F">
        <w:rPr>
          <w:sz w:val="36"/>
          <w:szCs w:val="36"/>
          <w:rtl/>
        </w:rPr>
        <w:t>الأعم</w:t>
      </w:r>
      <w:r w:rsidR="00E8128F">
        <w:rPr>
          <w:sz w:val="36"/>
          <w:szCs w:val="36"/>
          <w:rtl/>
        </w:rPr>
        <w:t xml:space="preserve"> </w:t>
      </w:r>
      <w:r w:rsidR="00A42D33" w:rsidRPr="00FD211F">
        <w:rPr>
          <w:sz w:val="36"/>
          <w:szCs w:val="36"/>
          <w:rtl/>
        </w:rPr>
        <w:t>في</w:t>
      </w:r>
      <w:r w:rsidR="00E8128F">
        <w:rPr>
          <w:sz w:val="36"/>
          <w:szCs w:val="36"/>
          <w:rtl/>
        </w:rPr>
        <w:t xml:space="preserve"> </w:t>
      </w:r>
      <w:r w:rsidR="00A42D33" w:rsidRPr="00FD211F">
        <w:rPr>
          <w:sz w:val="36"/>
          <w:szCs w:val="36"/>
          <w:rtl/>
        </w:rPr>
        <w:t>المشتق</w:t>
      </w:r>
      <w:r w:rsidR="00E8128F">
        <w:rPr>
          <w:sz w:val="36"/>
          <w:szCs w:val="36"/>
          <w:rtl/>
        </w:rPr>
        <w:t xml:space="preserve"> </w:t>
      </w:r>
      <w:r w:rsidR="00C55A67" w:rsidRPr="00FD211F">
        <w:rPr>
          <w:sz w:val="36"/>
          <w:szCs w:val="36"/>
          <w:rtl/>
        </w:rPr>
        <w:t>الى</w:t>
      </w:r>
      <w:r w:rsidR="00E8128F">
        <w:rPr>
          <w:sz w:val="36"/>
          <w:szCs w:val="36"/>
          <w:rtl/>
        </w:rPr>
        <w:t xml:space="preserve"> </w:t>
      </w:r>
      <w:r w:rsidR="00C55A67" w:rsidRPr="00FD211F">
        <w:rPr>
          <w:sz w:val="36"/>
          <w:szCs w:val="36"/>
          <w:rtl/>
        </w:rPr>
        <w:t>المعنى</w:t>
      </w:r>
      <w:r w:rsidR="00E8128F">
        <w:rPr>
          <w:sz w:val="36"/>
          <w:szCs w:val="36"/>
          <w:rtl/>
        </w:rPr>
        <w:t xml:space="preserve"> </w:t>
      </w:r>
      <w:r w:rsidR="00C55A67" w:rsidRPr="00FD211F">
        <w:rPr>
          <w:sz w:val="36"/>
          <w:szCs w:val="36"/>
          <w:rtl/>
        </w:rPr>
        <w:t>الأخص</w:t>
      </w:r>
      <w:r w:rsidR="00E8128F">
        <w:rPr>
          <w:sz w:val="36"/>
          <w:szCs w:val="36"/>
          <w:rtl/>
        </w:rPr>
        <w:t xml:space="preserve"> </w:t>
      </w:r>
      <w:r w:rsidR="000F72F5" w:rsidRPr="00FD211F">
        <w:rPr>
          <w:sz w:val="36"/>
          <w:szCs w:val="36"/>
          <w:rtl/>
        </w:rPr>
        <w:t>-</w:t>
      </w:r>
      <w:r w:rsidR="00C55A67" w:rsidRPr="00FD211F">
        <w:rPr>
          <w:sz w:val="36"/>
          <w:szCs w:val="36"/>
          <w:rtl/>
        </w:rPr>
        <w:t>اي</w:t>
      </w:r>
      <w:r w:rsidR="00E8128F">
        <w:rPr>
          <w:sz w:val="36"/>
          <w:szCs w:val="36"/>
          <w:rtl/>
        </w:rPr>
        <w:t xml:space="preserve"> </w:t>
      </w:r>
      <w:r w:rsidR="00C55A67" w:rsidRPr="00FD211F">
        <w:rPr>
          <w:sz w:val="36"/>
          <w:szCs w:val="36"/>
          <w:rtl/>
        </w:rPr>
        <w:t>المتلبس</w:t>
      </w:r>
      <w:r w:rsidR="00E8128F">
        <w:rPr>
          <w:sz w:val="36"/>
          <w:szCs w:val="36"/>
          <w:rtl/>
        </w:rPr>
        <w:t xml:space="preserve"> </w:t>
      </w:r>
      <w:r w:rsidR="00C55A67" w:rsidRPr="00FD211F">
        <w:rPr>
          <w:sz w:val="36"/>
          <w:szCs w:val="36"/>
          <w:rtl/>
        </w:rPr>
        <w:t>الفعلي</w:t>
      </w:r>
      <w:r w:rsidR="00E8128F">
        <w:rPr>
          <w:sz w:val="36"/>
          <w:szCs w:val="36"/>
          <w:rtl/>
        </w:rPr>
        <w:t xml:space="preserve"> </w:t>
      </w:r>
      <w:r w:rsidR="00C55A67" w:rsidRPr="00FD211F">
        <w:rPr>
          <w:sz w:val="36"/>
          <w:szCs w:val="36"/>
          <w:rtl/>
        </w:rPr>
        <w:t>بال</w:t>
      </w:r>
      <w:r w:rsidR="0079493B" w:rsidRPr="00FD211F">
        <w:rPr>
          <w:sz w:val="36"/>
          <w:szCs w:val="36"/>
          <w:rtl/>
        </w:rPr>
        <w:t>مبدأ</w:t>
      </w:r>
      <w:r w:rsidR="000F72F5" w:rsidRPr="00FD211F">
        <w:rPr>
          <w:sz w:val="36"/>
          <w:szCs w:val="36"/>
          <w:rtl/>
        </w:rPr>
        <w:t>-</w:t>
      </w:r>
      <w:r w:rsidR="00E8128F">
        <w:rPr>
          <w:sz w:val="36"/>
          <w:szCs w:val="36"/>
          <w:rtl/>
        </w:rPr>
        <w:t xml:space="preserve"> </w:t>
      </w:r>
      <w:r w:rsidR="00C55A67" w:rsidRPr="00FD211F">
        <w:rPr>
          <w:sz w:val="36"/>
          <w:szCs w:val="36"/>
          <w:rtl/>
        </w:rPr>
        <w:t>هل</w:t>
      </w:r>
      <w:r w:rsidR="00E8128F">
        <w:rPr>
          <w:sz w:val="36"/>
          <w:szCs w:val="36"/>
          <w:rtl/>
        </w:rPr>
        <w:t xml:space="preserve"> </w:t>
      </w:r>
      <w:r w:rsidR="00C55A67" w:rsidRPr="00FD211F">
        <w:rPr>
          <w:sz w:val="36"/>
          <w:szCs w:val="36"/>
          <w:rtl/>
        </w:rPr>
        <w:t>هي</w:t>
      </w:r>
      <w:r w:rsidR="00E8128F">
        <w:rPr>
          <w:sz w:val="36"/>
          <w:szCs w:val="36"/>
          <w:rtl/>
        </w:rPr>
        <w:t xml:space="preserve"> </w:t>
      </w:r>
      <w:r w:rsidR="00AA6835" w:rsidRPr="00FD211F">
        <w:rPr>
          <w:sz w:val="36"/>
          <w:szCs w:val="36"/>
          <w:rtl/>
        </w:rPr>
        <w:t>نسب</w:t>
      </w:r>
      <w:r w:rsidR="00EC7EDF" w:rsidRPr="00FD211F">
        <w:rPr>
          <w:sz w:val="36"/>
          <w:szCs w:val="36"/>
          <w:rtl/>
        </w:rPr>
        <w:t>ة</w:t>
      </w:r>
      <w:r w:rsidR="00E8128F">
        <w:rPr>
          <w:sz w:val="36"/>
          <w:szCs w:val="36"/>
          <w:rtl/>
        </w:rPr>
        <w:t xml:space="preserve"> </w:t>
      </w:r>
      <w:r w:rsidR="00AA6835" w:rsidRPr="00FD211F">
        <w:rPr>
          <w:sz w:val="36"/>
          <w:szCs w:val="36"/>
          <w:rtl/>
        </w:rPr>
        <w:t>الاقل</w:t>
      </w:r>
      <w:r w:rsidR="00E8128F">
        <w:rPr>
          <w:sz w:val="36"/>
          <w:szCs w:val="36"/>
          <w:rtl/>
        </w:rPr>
        <w:t xml:space="preserve"> </w:t>
      </w:r>
      <w:r w:rsidR="00AA6835" w:rsidRPr="00FD211F">
        <w:rPr>
          <w:sz w:val="36"/>
          <w:szCs w:val="36"/>
          <w:rtl/>
        </w:rPr>
        <w:t>والاكثر</w:t>
      </w:r>
      <w:r w:rsidR="00E8128F">
        <w:rPr>
          <w:sz w:val="36"/>
          <w:szCs w:val="36"/>
          <w:rtl/>
        </w:rPr>
        <w:t xml:space="preserve"> </w:t>
      </w:r>
      <w:r w:rsidR="00AA6835" w:rsidRPr="00FD211F">
        <w:rPr>
          <w:sz w:val="36"/>
          <w:szCs w:val="36"/>
          <w:rtl/>
        </w:rPr>
        <w:t>مفهوما</w:t>
      </w:r>
      <w:r w:rsidR="00E8128F">
        <w:rPr>
          <w:sz w:val="36"/>
          <w:szCs w:val="36"/>
          <w:rtl/>
        </w:rPr>
        <w:t xml:space="preserve"> </w:t>
      </w:r>
      <w:r w:rsidR="00AA6835" w:rsidRPr="00FD211F">
        <w:rPr>
          <w:sz w:val="36"/>
          <w:szCs w:val="36"/>
          <w:rtl/>
        </w:rPr>
        <w:t>او</w:t>
      </w:r>
      <w:r w:rsidR="00E8128F">
        <w:rPr>
          <w:sz w:val="36"/>
          <w:szCs w:val="36"/>
          <w:rtl/>
        </w:rPr>
        <w:t xml:space="preserve"> </w:t>
      </w:r>
      <w:r w:rsidR="00AA6835" w:rsidRPr="00FD211F">
        <w:rPr>
          <w:sz w:val="36"/>
          <w:szCs w:val="36"/>
          <w:rtl/>
        </w:rPr>
        <w:t>نسب</w:t>
      </w:r>
      <w:r w:rsidR="00EC7EDF" w:rsidRPr="00FD211F">
        <w:rPr>
          <w:sz w:val="36"/>
          <w:szCs w:val="36"/>
          <w:rtl/>
        </w:rPr>
        <w:t>ة</w:t>
      </w:r>
      <w:r w:rsidR="00E8128F">
        <w:rPr>
          <w:sz w:val="36"/>
          <w:szCs w:val="36"/>
          <w:rtl/>
        </w:rPr>
        <w:t xml:space="preserve"> </w:t>
      </w:r>
      <w:r w:rsidR="00AA6835" w:rsidRPr="00FD211F">
        <w:rPr>
          <w:sz w:val="36"/>
          <w:szCs w:val="36"/>
          <w:rtl/>
        </w:rPr>
        <w:t>المتباينين</w:t>
      </w:r>
      <w:r w:rsidR="00E8128F">
        <w:rPr>
          <w:sz w:val="36"/>
          <w:szCs w:val="36"/>
          <w:rtl/>
        </w:rPr>
        <w:t xml:space="preserve"> </w:t>
      </w:r>
      <w:r w:rsidR="008E2748" w:rsidRPr="00FD211F">
        <w:rPr>
          <w:sz w:val="36"/>
          <w:szCs w:val="36"/>
          <w:rtl/>
        </w:rPr>
        <w:t>مفهوما</w:t>
      </w:r>
      <w:r w:rsidR="00E8128F">
        <w:rPr>
          <w:sz w:val="36"/>
          <w:szCs w:val="36"/>
          <w:rtl/>
        </w:rPr>
        <w:t xml:space="preserve"> </w:t>
      </w:r>
      <w:r w:rsidR="00C55A67" w:rsidRPr="00FD211F">
        <w:rPr>
          <w:sz w:val="36"/>
          <w:szCs w:val="36"/>
          <w:rtl/>
        </w:rPr>
        <w:t>فاستصحاب</w:t>
      </w:r>
      <w:r w:rsidR="00E8128F">
        <w:rPr>
          <w:sz w:val="36"/>
          <w:szCs w:val="36"/>
          <w:rtl/>
        </w:rPr>
        <w:t xml:space="preserve"> </w:t>
      </w:r>
      <w:r w:rsidR="00C55A67" w:rsidRPr="00FD211F">
        <w:rPr>
          <w:sz w:val="36"/>
          <w:szCs w:val="36"/>
          <w:rtl/>
        </w:rPr>
        <w:t>عدم</w:t>
      </w:r>
      <w:r w:rsidR="00E8128F">
        <w:rPr>
          <w:sz w:val="36"/>
          <w:szCs w:val="36"/>
          <w:rtl/>
        </w:rPr>
        <w:t xml:space="preserve"> </w:t>
      </w:r>
      <w:r w:rsidR="00C55A67" w:rsidRPr="00FD211F">
        <w:rPr>
          <w:sz w:val="36"/>
          <w:szCs w:val="36"/>
          <w:rtl/>
        </w:rPr>
        <w:t>وضع</w:t>
      </w:r>
      <w:r w:rsidR="00E8128F">
        <w:rPr>
          <w:sz w:val="36"/>
          <w:szCs w:val="36"/>
          <w:rtl/>
        </w:rPr>
        <w:t xml:space="preserve"> </w:t>
      </w:r>
      <w:r w:rsidR="00C55A67" w:rsidRPr="00FD211F">
        <w:rPr>
          <w:sz w:val="36"/>
          <w:szCs w:val="36"/>
          <w:rtl/>
        </w:rPr>
        <w:t>لفظ</w:t>
      </w:r>
      <w:r w:rsidR="00E8128F">
        <w:rPr>
          <w:sz w:val="36"/>
          <w:szCs w:val="36"/>
          <w:rtl/>
        </w:rPr>
        <w:t xml:space="preserve"> </w:t>
      </w:r>
      <w:r w:rsidR="00C55A67" w:rsidRPr="00FD211F">
        <w:rPr>
          <w:sz w:val="36"/>
          <w:szCs w:val="36"/>
          <w:rtl/>
        </w:rPr>
        <w:t>المشتق</w:t>
      </w:r>
      <w:r w:rsidR="00E8128F">
        <w:rPr>
          <w:sz w:val="36"/>
          <w:szCs w:val="36"/>
          <w:rtl/>
        </w:rPr>
        <w:t xml:space="preserve"> </w:t>
      </w:r>
      <w:r w:rsidR="00C55A67" w:rsidRPr="00FD211F">
        <w:rPr>
          <w:sz w:val="36"/>
          <w:szCs w:val="36"/>
          <w:rtl/>
        </w:rPr>
        <w:t>بإزاء</w:t>
      </w:r>
      <w:r w:rsidR="00E8128F">
        <w:rPr>
          <w:sz w:val="36"/>
          <w:szCs w:val="36"/>
          <w:rtl/>
        </w:rPr>
        <w:t xml:space="preserve"> </w:t>
      </w:r>
      <w:r w:rsidR="00C55A67" w:rsidRPr="00FD211F">
        <w:rPr>
          <w:sz w:val="36"/>
          <w:szCs w:val="36"/>
          <w:rtl/>
        </w:rPr>
        <w:t>معنى</w:t>
      </w:r>
      <w:r w:rsidR="00E8128F">
        <w:rPr>
          <w:sz w:val="36"/>
          <w:szCs w:val="36"/>
          <w:rtl/>
        </w:rPr>
        <w:t xml:space="preserve"> </w:t>
      </w:r>
      <w:r w:rsidR="00C55A67" w:rsidRPr="00FD211F">
        <w:rPr>
          <w:sz w:val="36"/>
          <w:szCs w:val="36"/>
          <w:rtl/>
        </w:rPr>
        <w:t>الاخص</w:t>
      </w:r>
      <w:r w:rsidR="00E8128F">
        <w:rPr>
          <w:sz w:val="36"/>
          <w:szCs w:val="36"/>
          <w:rtl/>
        </w:rPr>
        <w:t xml:space="preserve"> </w:t>
      </w:r>
      <w:r w:rsidR="00C55A67" w:rsidRPr="00FD211F">
        <w:rPr>
          <w:sz w:val="36"/>
          <w:szCs w:val="36"/>
          <w:rtl/>
        </w:rPr>
        <w:t>اي</w:t>
      </w:r>
      <w:r w:rsidR="00E8128F">
        <w:rPr>
          <w:sz w:val="36"/>
          <w:szCs w:val="36"/>
          <w:rtl/>
        </w:rPr>
        <w:t xml:space="preserve"> </w:t>
      </w:r>
      <w:r w:rsidR="00C55A67" w:rsidRPr="00FD211F">
        <w:rPr>
          <w:sz w:val="36"/>
          <w:szCs w:val="36"/>
          <w:rtl/>
        </w:rPr>
        <w:t>المتلبس</w:t>
      </w:r>
      <w:r w:rsidR="00E8128F">
        <w:rPr>
          <w:sz w:val="36"/>
          <w:szCs w:val="36"/>
          <w:rtl/>
        </w:rPr>
        <w:t xml:space="preserve"> </w:t>
      </w:r>
      <w:r w:rsidR="00C55A67" w:rsidRPr="00FD211F">
        <w:rPr>
          <w:sz w:val="36"/>
          <w:szCs w:val="36"/>
          <w:rtl/>
        </w:rPr>
        <w:t>الفعلي</w:t>
      </w:r>
      <w:r w:rsidR="00E8128F">
        <w:rPr>
          <w:sz w:val="36"/>
          <w:szCs w:val="36"/>
          <w:rtl/>
        </w:rPr>
        <w:t xml:space="preserve"> </w:t>
      </w:r>
      <w:r w:rsidR="00C55A67" w:rsidRPr="00FD211F">
        <w:rPr>
          <w:sz w:val="36"/>
          <w:szCs w:val="36"/>
          <w:rtl/>
        </w:rPr>
        <w:t>بال</w:t>
      </w:r>
      <w:r w:rsidR="0079493B" w:rsidRPr="00FD211F">
        <w:rPr>
          <w:sz w:val="36"/>
          <w:szCs w:val="36"/>
          <w:rtl/>
        </w:rPr>
        <w:t>مبدأ</w:t>
      </w:r>
      <w:r w:rsidR="00E8128F">
        <w:rPr>
          <w:sz w:val="36"/>
          <w:szCs w:val="36"/>
          <w:rtl/>
        </w:rPr>
        <w:t xml:space="preserve"> </w:t>
      </w:r>
      <w:r w:rsidR="00C55A67" w:rsidRPr="00FD211F">
        <w:rPr>
          <w:sz w:val="36"/>
          <w:szCs w:val="36"/>
          <w:rtl/>
        </w:rPr>
        <w:t>لايثبت</w:t>
      </w:r>
      <w:r w:rsidR="00E8128F">
        <w:rPr>
          <w:sz w:val="36"/>
          <w:szCs w:val="36"/>
          <w:rtl/>
        </w:rPr>
        <w:t xml:space="preserve"> </w:t>
      </w:r>
      <w:r w:rsidR="00C55A67" w:rsidRPr="00FD211F">
        <w:rPr>
          <w:sz w:val="36"/>
          <w:szCs w:val="36"/>
          <w:rtl/>
        </w:rPr>
        <w:t>وضعه</w:t>
      </w:r>
      <w:r w:rsidR="00E8128F">
        <w:rPr>
          <w:sz w:val="36"/>
          <w:szCs w:val="36"/>
          <w:rtl/>
        </w:rPr>
        <w:t xml:space="preserve"> </w:t>
      </w:r>
      <w:r w:rsidR="00C55A67" w:rsidRPr="00FD211F">
        <w:rPr>
          <w:sz w:val="36"/>
          <w:szCs w:val="36"/>
          <w:rtl/>
        </w:rPr>
        <w:t>للأعم.</w:t>
      </w:r>
    </w:p>
    <w:p w14:paraId="4A9DD6C6" w14:textId="77777777" w:rsidR="000C5BBA" w:rsidRPr="00FD211F" w:rsidRDefault="00C55A67" w:rsidP="009C58C8">
      <w:pPr>
        <w:ind w:left="0" w:firstLine="227"/>
        <w:jc w:val="both"/>
        <w:rPr>
          <w:sz w:val="36"/>
          <w:szCs w:val="36"/>
          <w:rtl/>
        </w:rPr>
      </w:pPr>
      <w:r w:rsidRPr="00FD211F">
        <w:rPr>
          <w:sz w:val="36"/>
          <w:szCs w:val="36"/>
          <w:rtl/>
        </w:rPr>
        <w:t>2-</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فرض</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معنيين</w:t>
      </w:r>
      <w:r w:rsidR="00E8128F">
        <w:rPr>
          <w:sz w:val="36"/>
          <w:szCs w:val="36"/>
          <w:rtl/>
        </w:rPr>
        <w:t xml:space="preserve"> </w:t>
      </w:r>
      <w:r w:rsidRPr="00FD211F">
        <w:rPr>
          <w:sz w:val="36"/>
          <w:szCs w:val="36"/>
          <w:rtl/>
        </w:rPr>
        <w:t>نسب</w:t>
      </w:r>
      <w:r w:rsidR="00EC7EDF" w:rsidRPr="00FD211F">
        <w:rPr>
          <w:sz w:val="36"/>
          <w:szCs w:val="36"/>
          <w:rtl/>
        </w:rPr>
        <w:t>ة</w:t>
      </w:r>
      <w:r w:rsidR="00E8128F">
        <w:rPr>
          <w:sz w:val="36"/>
          <w:szCs w:val="36"/>
          <w:rtl/>
        </w:rPr>
        <w:t xml:space="preserve"> </w:t>
      </w:r>
      <w:r w:rsidR="008E2748" w:rsidRPr="00FD211F">
        <w:rPr>
          <w:sz w:val="36"/>
          <w:szCs w:val="36"/>
          <w:rtl/>
        </w:rPr>
        <w:t>الاقل</w:t>
      </w:r>
      <w:r w:rsidR="00E8128F">
        <w:rPr>
          <w:sz w:val="36"/>
          <w:szCs w:val="36"/>
          <w:rtl/>
        </w:rPr>
        <w:t xml:space="preserve"> </w:t>
      </w:r>
      <w:r w:rsidR="008E2748" w:rsidRPr="00FD211F">
        <w:rPr>
          <w:sz w:val="36"/>
          <w:szCs w:val="36"/>
          <w:rtl/>
        </w:rPr>
        <w:t>والاكثر</w:t>
      </w:r>
      <w:r w:rsidR="00E8128F">
        <w:rPr>
          <w:sz w:val="36"/>
          <w:szCs w:val="36"/>
          <w:rtl/>
        </w:rPr>
        <w:t xml:space="preserve"> </w:t>
      </w:r>
      <w:r w:rsidR="008E2748" w:rsidRPr="00FD211F">
        <w:rPr>
          <w:sz w:val="36"/>
          <w:szCs w:val="36"/>
          <w:rtl/>
        </w:rPr>
        <w:t>مفهوما</w:t>
      </w:r>
      <w:r w:rsidR="000F72F5" w:rsidRPr="00FD211F">
        <w:rPr>
          <w:sz w:val="36"/>
          <w:szCs w:val="36"/>
          <w:rtl/>
        </w:rPr>
        <w:t>-</w:t>
      </w:r>
      <w:r w:rsidR="00E8128F">
        <w:rPr>
          <w:sz w:val="36"/>
          <w:szCs w:val="36"/>
          <w:rtl/>
        </w:rPr>
        <w:t xml:space="preserve"> </w:t>
      </w:r>
      <w:r w:rsidR="00590DDE" w:rsidRPr="00FD211F">
        <w:rPr>
          <w:sz w:val="36"/>
          <w:szCs w:val="36"/>
          <w:rtl/>
        </w:rPr>
        <w:t>كما</w:t>
      </w:r>
      <w:r w:rsidR="00E8128F">
        <w:rPr>
          <w:sz w:val="36"/>
          <w:szCs w:val="36"/>
          <w:rtl/>
        </w:rPr>
        <w:t xml:space="preserve"> </w:t>
      </w:r>
      <w:r w:rsidR="00590DDE" w:rsidRPr="00FD211F">
        <w:rPr>
          <w:sz w:val="36"/>
          <w:szCs w:val="36"/>
          <w:rtl/>
        </w:rPr>
        <w:t>في</w:t>
      </w:r>
      <w:r w:rsidR="00E8128F">
        <w:rPr>
          <w:sz w:val="36"/>
          <w:szCs w:val="36"/>
          <w:rtl/>
        </w:rPr>
        <w:t xml:space="preserve"> </w:t>
      </w:r>
      <w:r w:rsidR="00590DDE" w:rsidRPr="00FD211F">
        <w:rPr>
          <w:sz w:val="36"/>
          <w:szCs w:val="36"/>
          <w:rtl/>
        </w:rPr>
        <w:t>مثال</w:t>
      </w:r>
      <w:r w:rsidR="00E8128F">
        <w:rPr>
          <w:sz w:val="36"/>
          <w:szCs w:val="36"/>
          <w:rtl/>
        </w:rPr>
        <w:t xml:space="preserve"> </w:t>
      </w:r>
      <w:r w:rsidR="00590DDE" w:rsidRPr="00FD211F">
        <w:rPr>
          <w:sz w:val="36"/>
          <w:szCs w:val="36"/>
          <w:rtl/>
        </w:rPr>
        <w:t>تردد</w:t>
      </w:r>
      <w:r w:rsidR="00E8128F">
        <w:rPr>
          <w:sz w:val="36"/>
          <w:szCs w:val="36"/>
          <w:rtl/>
        </w:rPr>
        <w:t xml:space="preserve"> </w:t>
      </w:r>
      <w:r w:rsidR="00590DDE" w:rsidRPr="00FD211F">
        <w:rPr>
          <w:sz w:val="36"/>
          <w:szCs w:val="36"/>
          <w:rtl/>
        </w:rPr>
        <w:t>لفظ</w:t>
      </w:r>
      <w:r w:rsidR="00E8128F">
        <w:rPr>
          <w:sz w:val="36"/>
          <w:szCs w:val="36"/>
          <w:rtl/>
        </w:rPr>
        <w:t xml:space="preserve"> </w:t>
      </w:r>
      <w:r w:rsidR="00590DDE" w:rsidRPr="00FD211F">
        <w:rPr>
          <w:sz w:val="36"/>
          <w:szCs w:val="36"/>
          <w:rtl/>
        </w:rPr>
        <w:t>الصارم</w:t>
      </w:r>
      <w:r w:rsidR="00E8128F">
        <w:rPr>
          <w:sz w:val="36"/>
          <w:szCs w:val="36"/>
          <w:rtl/>
        </w:rPr>
        <w:t xml:space="preserve"> </w:t>
      </w:r>
      <w:r w:rsidR="00590DDE" w:rsidRPr="00FD211F">
        <w:rPr>
          <w:sz w:val="36"/>
          <w:szCs w:val="36"/>
          <w:rtl/>
        </w:rPr>
        <w:t>بين</w:t>
      </w:r>
      <w:r w:rsidR="00E8128F">
        <w:rPr>
          <w:sz w:val="36"/>
          <w:szCs w:val="36"/>
          <w:rtl/>
        </w:rPr>
        <w:t xml:space="preserve"> </w:t>
      </w:r>
      <w:r w:rsidR="00590DDE" w:rsidRPr="00FD211F">
        <w:rPr>
          <w:sz w:val="36"/>
          <w:szCs w:val="36"/>
          <w:rtl/>
        </w:rPr>
        <w:t>مفهوم</w:t>
      </w:r>
      <w:r w:rsidR="00E8128F">
        <w:rPr>
          <w:sz w:val="36"/>
          <w:szCs w:val="36"/>
          <w:rtl/>
        </w:rPr>
        <w:t xml:space="preserve"> </w:t>
      </w:r>
      <w:r w:rsidR="00590DDE" w:rsidRPr="00FD211F">
        <w:rPr>
          <w:sz w:val="36"/>
          <w:szCs w:val="36"/>
          <w:rtl/>
        </w:rPr>
        <w:t>السيف</w:t>
      </w:r>
      <w:r w:rsidR="00E8128F">
        <w:rPr>
          <w:sz w:val="36"/>
          <w:szCs w:val="36"/>
          <w:rtl/>
        </w:rPr>
        <w:t xml:space="preserve"> </w:t>
      </w:r>
      <w:r w:rsidR="00590DDE" w:rsidRPr="00FD211F">
        <w:rPr>
          <w:sz w:val="36"/>
          <w:szCs w:val="36"/>
          <w:rtl/>
        </w:rPr>
        <w:t>او</w:t>
      </w:r>
      <w:r w:rsidR="00E8128F">
        <w:rPr>
          <w:sz w:val="36"/>
          <w:szCs w:val="36"/>
          <w:rtl/>
        </w:rPr>
        <w:t xml:space="preserve"> </w:t>
      </w:r>
      <w:r w:rsidR="00590DDE" w:rsidRPr="00FD211F">
        <w:rPr>
          <w:sz w:val="36"/>
          <w:szCs w:val="36"/>
          <w:rtl/>
        </w:rPr>
        <w:t>مفهوم</w:t>
      </w:r>
      <w:r w:rsidR="00E8128F">
        <w:rPr>
          <w:sz w:val="36"/>
          <w:szCs w:val="36"/>
          <w:rtl/>
        </w:rPr>
        <w:t xml:space="preserve"> </w:t>
      </w:r>
      <w:r w:rsidR="00590DDE" w:rsidRPr="00FD211F">
        <w:rPr>
          <w:sz w:val="36"/>
          <w:szCs w:val="36"/>
          <w:rtl/>
        </w:rPr>
        <w:t>السيف</w:t>
      </w:r>
      <w:r w:rsidR="00E8128F">
        <w:rPr>
          <w:sz w:val="36"/>
          <w:szCs w:val="36"/>
          <w:rtl/>
        </w:rPr>
        <w:t xml:space="preserve"> </w:t>
      </w:r>
      <w:r w:rsidR="00590DDE" w:rsidRPr="00FD211F">
        <w:rPr>
          <w:sz w:val="36"/>
          <w:szCs w:val="36"/>
          <w:rtl/>
        </w:rPr>
        <w:t>القاطع</w:t>
      </w:r>
      <w:r w:rsidR="000F72F5" w:rsidRPr="00FD211F">
        <w:rPr>
          <w:sz w:val="36"/>
          <w:szCs w:val="36"/>
          <w:rtl/>
        </w:rPr>
        <w:t>-</w:t>
      </w:r>
      <w:r w:rsidR="00E8128F">
        <w:rPr>
          <w:sz w:val="36"/>
          <w:szCs w:val="36"/>
          <w:rtl/>
        </w:rPr>
        <w:t xml:space="preserve"> </w:t>
      </w:r>
      <w:r w:rsidRPr="00FD211F">
        <w:rPr>
          <w:sz w:val="36"/>
          <w:szCs w:val="36"/>
          <w:rtl/>
        </w:rPr>
        <w:t>ف</w:t>
      </w:r>
      <w:r w:rsidR="005B0637" w:rsidRPr="00FD211F">
        <w:rPr>
          <w:sz w:val="36"/>
          <w:szCs w:val="36"/>
          <w:rtl/>
        </w:rPr>
        <w:t>يقع</w:t>
      </w:r>
      <w:r w:rsidR="00E8128F">
        <w:rPr>
          <w:sz w:val="36"/>
          <w:szCs w:val="36"/>
          <w:rtl/>
        </w:rPr>
        <w:t xml:space="preserve"> </w:t>
      </w:r>
      <w:r w:rsidR="005B0637" w:rsidRPr="00FD211F">
        <w:rPr>
          <w:sz w:val="36"/>
          <w:szCs w:val="36"/>
          <w:rtl/>
        </w:rPr>
        <w:t>الكلام</w:t>
      </w:r>
      <w:r w:rsidR="00E8128F">
        <w:rPr>
          <w:sz w:val="36"/>
          <w:szCs w:val="36"/>
          <w:rtl/>
        </w:rPr>
        <w:t xml:space="preserve"> </w:t>
      </w:r>
      <w:r w:rsidR="005B0637" w:rsidRPr="00FD211F">
        <w:rPr>
          <w:sz w:val="36"/>
          <w:szCs w:val="36"/>
          <w:rtl/>
        </w:rPr>
        <w:t>في</w:t>
      </w:r>
      <w:r w:rsidR="00E8128F">
        <w:rPr>
          <w:sz w:val="36"/>
          <w:szCs w:val="36"/>
          <w:rtl/>
        </w:rPr>
        <w:t xml:space="preserve"> </w:t>
      </w:r>
      <w:r w:rsidR="005B0637" w:rsidRPr="00FD211F">
        <w:rPr>
          <w:sz w:val="36"/>
          <w:szCs w:val="36"/>
          <w:rtl/>
        </w:rPr>
        <w:t>ان</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عدم</w:t>
      </w:r>
      <w:r w:rsidR="00E8128F">
        <w:rPr>
          <w:sz w:val="36"/>
          <w:szCs w:val="36"/>
          <w:rtl/>
        </w:rPr>
        <w:t xml:space="preserve"> </w:t>
      </w:r>
      <w:r w:rsidR="00590DDE" w:rsidRPr="00FD211F">
        <w:rPr>
          <w:sz w:val="36"/>
          <w:szCs w:val="36"/>
          <w:rtl/>
        </w:rPr>
        <w:t>اخذ</w:t>
      </w:r>
      <w:r w:rsidR="00E8128F">
        <w:rPr>
          <w:sz w:val="36"/>
          <w:szCs w:val="36"/>
          <w:rtl/>
        </w:rPr>
        <w:t xml:space="preserve"> </w:t>
      </w:r>
      <w:r w:rsidR="005B0637" w:rsidRPr="00FD211F">
        <w:rPr>
          <w:sz w:val="36"/>
          <w:szCs w:val="36"/>
          <w:rtl/>
        </w:rPr>
        <w:t>الخصوصي</w:t>
      </w:r>
      <w:r w:rsidR="00EC7EDF" w:rsidRPr="00FD211F">
        <w:rPr>
          <w:sz w:val="36"/>
          <w:szCs w:val="36"/>
          <w:rtl/>
        </w:rPr>
        <w:t>ة</w:t>
      </w:r>
      <w:r w:rsidR="00E8128F">
        <w:rPr>
          <w:sz w:val="36"/>
          <w:szCs w:val="36"/>
          <w:rtl/>
        </w:rPr>
        <w:t xml:space="preserve"> </w:t>
      </w:r>
      <w:r w:rsidR="005B0637" w:rsidRPr="00FD211F">
        <w:rPr>
          <w:sz w:val="36"/>
          <w:szCs w:val="36"/>
          <w:rtl/>
        </w:rPr>
        <w:t>الزائد</w:t>
      </w:r>
      <w:r w:rsidR="00EC7EDF" w:rsidRPr="00FD211F">
        <w:rPr>
          <w:sz w:val="36"/>
          <w:szCs w:val="36"/>
          <w:rtl/>
        </w:rPr>
        <w:t>ة</w:t>
      </w:r>
      <w:r w:rsidR="00E8128F">
        <w:rPr>
          <w:sz w:val="36"/>
          <w:szCs w:val="36"/>
          <w:rtl/>
        </w:rPr>
        <w:t xml:space="preserve"> </w:t>
      </w:r>
      <w:r w:rsidR="00590DDE" w:rsidRPr="00FD211F">
        <w:rPr>
          <w:sz w:val="36"/>
          <w:szCs w:val="36"/>
          <w:rtl/>
        </w:rPr>
        <w:t>قيدا</w:t>
      </w:r>
      <w:r w:rsidR="00E8128F">
        <w:rPr>
          <w:sz w:val="36"/>
          <w:szCs w:val="36"/>
          <w:rtl/>
        </w:rPr>
        <w:t xml:space="preserve"> </w:t>
      </w:r>
      <w:r w:rsidR="00590DDE" w:rsidRPr="00FD211F">
        <w:rPr>
          <w:sz w:val="36"/>
          <w:szCs w:val="36"/>
          <w:rtl/>
        </w:rPr>
        <w:t>في</w:t>
      </w:r>
      <w:r w:rsidR="00E8128F">
        <w:rPr>
          <w:sz w:val="36"/>
          <w:szCs w:val="36"/>
          <w:rtl/>
        </w:rPr>
        <w:t xml:space="preserve"> </w:t>
      </w:r>
      <w:r w:rsidR="000F72F5" w:rsidRPr="00FD211F">
        <w:rPr>
          <w:sz w:val="36"/>
          <w:szCs w:val="36"/>
          <w:rtl/>
        </w:rPr>
        <w:t>المعنى</w:t>
      </w:r>
      <w:r w:rsidR="00E8128F">
        <w:rPr>
          <w:sz w:val="36"/>
          <w:szCs w:val="36"/>
          <w:rtl/>
        </w:rPr>
        <w:t xml:space="preserve"> </w:t>
      </w:r>
      <w:r w:rsidR="000F72F5" w:rsidRPr="00FD211F">
        <w:rPr>
          <w:sz w:val="36"/>
          <w:szCs w:val="36"/>
          <w:rtl/>
        </w:rPr>
        <w:t>الموضوع</w:t>
      </w:r>
      <w:r w:rsidR="00E8128F">
        <w:rPr>
          <w:sz w:val="36"/>
          <w:szCs w:val="36"/>
          <w:rtl/>
        </w:rPr>
        <w:t xml:space="preserve"> </w:t>
      </w:r>
      <w:r w:rsidR="000F72F5" w:rsidRPr="00FD211F">
        <w:rPr>
          <w:sz w:val="36"/>
          <w:szCs w:val="36"/>
          <w:rtl/>
        </w:rPr>
        <w:t>له</w:t>
      </w:r>
      <w:r w:rsidR="00E8128F">
        <w:rPr>
          <w:sz w:val="36"/>
          <w:szCs w:val="36"/>
          <w:rtl/>
        </w:rPr>
        <w:t xml:space="preserve"> </w:t>
      </w:r>
      <w:r w:rsidR="005B0637" w:rsidRPr="00FD211F">
        <w:rPr>
          <w:sz w:val="36"/>
          <w:szCs w:val="36"/>
          <w:rtl/>
        </w:rPr>
        <w:t>هل</w:t>
      </w:r>
      <w:r w:rsidR="00E8128F">
        <w:rPr>
          <w:sz w:val="36"/>
          <w:szCs w:val="36"/>
          <w:rtl/>
        </w:rPr>
        <w:t xml:space="preserve"> </w:t>
      </w:r>
      <w:r w:rsidRPr="00FD211F">
        <w:rPr>
          <w:sz w:val="36"/>
          <w:szCs w:val="36"/>
          <w:rtl/>
        </w:rPr>
        <w:t>يثبت</w:t>
      </w:r>
      <w:r w:rsidR="00E8128F">
        <w:rPr>
          <w:sz w:val="36"/>
          <w:szCs w:val="36"/>
          <w:rtl/>
        </w:rPr>
        <w:t xml:space="preserve"> </w:t>
      </w:r>
      <w:r w:rsidR="005B0637" w:rsidRPr="00FD211F">
        <w:rPr>
          <w:sz w:val="36"/>
          <w:szCs w:val="36"/>
          <w:rtl/>
        </w:rPr>
        <w:t>ال</w:t>
      </w:r>
      <w:r w:rsidR="00590DDE" w:rsidRPr="00FD211F">
        <w:rPr>
          <w:sz w:val="36"/>
          <w:szCs w:val="36"/>
          <w:rtl/>
        </w:rPr>
        <w:t>وضع</w:t>
      </w:r>
      <w:r w:rsidR="00E8128F">
        <w:rPr>
          <w:sz w:val="36"/>
          <w:szCs w:val="36"/>
          <w:rtl/>
        </w:rPr>
        <w:t xml:space="preserve"> </w:t>
      </w:r>
      <w:r w:rsidR="005B0637" w:rsidRPr="00FD211F">
        <w:rPr>
          <w:sz w:val="36"/>
          <w:szCs w:val="36"/>
          <w:rtl/>
        </w:rPr>
        <w:t>للاعم</w:t>
      </w:r>
      <w:r w:rsidR="00E8128F">
        <w:rPr>
          <w:sz w:val="36"/>
          <w:szCs w:val="36"/>
          <w:rtl/>
        </w:rPr>
        <w:t xml:space="preserve"> </w:t>
      </w:r>
      <w:r w:rsidR="005B0637" w:rsidRPr="00FD211F">
        <w:rPr>
          <w:sz w:val="36"/>
          <w:szCs w:val="36"/>
          <w:rtl/>
        </w:rPr>
        <w:t>ام</w:t>
      </w:r>
      <w:r w:rsidR="00E8128F">
        <w:rPr>
          <w:sz w:val="36"/>
          <w:szCs w:val="36"/>
          <w:rtl/>
        </w:rPr>
        <w:t xml:space="preserve"> </w:t>
      </w:r>
      <w:r w:rsidR="005B0637" w:rsidRPr="00FD211F">
        <w:rPr>
          <w:sz w:val="36"/>
          <w:szCs w:val="36"/>
          <w:rtl/>
        </w:rPr>
        <w:t>لا</w:t>
      </w:r>
      <w:r w:rsidR="00E8128F">
        <w:rPr>
          <w:sz w:val="36"/>
          <w:szCs w:val="36"/>
          <w:rtl/>
        </w:rPr>
        <w:t xml:space="preserve"> </w:t>
      </w:r>
      <w:r w:rsidR="005B0637" w:rsidRPr="00FD211F">
        <w:rPr>
          <w:sz w:val="36"/>
          <w:szCs w:val="36"/>
          <w:rtl/>
        </w:rPr>
        <w:t>؟</w:t>
      </w:r>
    </w:p>
    <w:p w14:paraId="244538C2" w14:textId="77777777" w:rsidR="00C55A67" w:rsidRPr="00FD211F" w:rsidRDefault="005B0637" w:rsidP="009C58C8">
      <w:pPr>
        <w:ind w:left="0" w:firstLine="227"/>
        <w:jc w:val="both"/>
        <w:rPr>
          <w:sz w:val="36"/>
          <w:szCs w:val="36"/>
          <w:rtl/>
        </w:rPr>
      </w:pPr>
      <w:r w:rsidRPr="00FD211F">
        <w:rPr>
          <w:sz w:val="36"/>
          <w:szCs w:val="36"/>
          <w:rtl/>
        </w:rPr>
        <w:t>فنقول</w:t>
      </w:r>
      <w:r w:rsidR="00EC7EDF" w:rsidRPr="00FD211F">
        <w:rPr>
          <w:sz w:val="36"/>
          <w:szCs w:val="36"/>
          <w:rtl/>
        </w:rPr>
        <w:t>:</w:t>
      </w:r>
      <w:r w:rsidR="00C55A67" w:rsidRPr="00FD211F">
        <w:rPr>
          <w:sz w:val="36"/>
          <w:szCs w:val="36"/>
          <w:rtl/>
        </w:rPr>
        <w:t>بناء</w:t>
      </w:r>
      <w:r w:rsidR="00E8128F">
        <w:rPr>
          <w:sz w:val="36"/>
          <w:szCs w:val="36"/>
          <w:rtl/>
        </w:rPr>
        <w:t xml:space="preserve"> </w:t>
      </w:r>
      <w:r w:rsidR="00C55A67" w:rsidRPr="00FD211F">
        <w:rPr>
          <w:sz w:val="36"/>
          <w:szCs w:val="36"/>
          <w:rtl/>
        </w:rPr>
        <w:t>على</w:t>
      </w:r>
      <w:r w:rsidR="00E8128F">
        <w:rPr>
          <w:sz w:val="36"/>
          <w:szCs w:val="36"/>
          <w:rtl/>
        </w:rPr>
        <w:t xml:space="preserve"> </w:t>
      </w:r>
      <w:r w:rsidR="00EF77D9" w:rsidRPr="00FD211F">
        <w:rPr>
          <w:sz w:val="36"/>
          <w:szCs w:val="36"/>
          <w:rtl/>
        </w:rPr>
        <w:t>مسلك</w:t>
      </w:r>
      <w:r w:rsidR="00E8128F">
        <w:rPr>
          <w:sz w:val="36"/>
          <w:szCs w:val="36"/>
          <w:rtl/>
        </w:rPr>
        <w:t xml:space="preserve"> </w:t>
      </w:r>
      <w:r w:rsidR="00EF77D9" w:rsidRPr="00FD211F">
        <w:rPr>
          <w:sz w:val="36"/>
          <w:szCs w:val="36"/>
          <w:rtl/>
        </w:rPr>
        <w:t>السيد</w:t>
      </w:r>
      <w:r w:rsidR="00E8128F">
        <w:rPr>
          <w:sz w:val="36"/>
          <w:szCs w:val="36"/>
          <w:rtl/>
        </w:rPr>
        <w:t xml:space="preserve"> </w:t>
      </w:r>
      <w:r w:rsidR="00EF77D9" w:rsidRPr="00FD211F">
        <w:rPr>
          <w:sz w:val="36"/>
          <w:szCs w:val="36"/>
          <w:rtl/>
        </w:rPr>
        <w:t>الخوئي</w:t>
      </w:r>
      <w:r w:rsidR="00E8128F">
        <w:rPr>
          <w:sz w:val="36"/>
          <w:szCs w:val="36"/>
          <w:rtl/>
        </w:rPr>
        <w:t xml:space="preserve"> </w:t>
      </w:r>
      <w:r w:rsidR="00EF77D9" w:rsidRPr="00FD211F">
        <w:rPr>
          <w:sz w:val="36"/>
          <w:szCs w:val="36"/>
          <w:rtl/>
        </w:rPr>
        <w:t>"قده"</w:t>
      </w:r>
      <w:r w:rsidR="00E8128F">
        <w:rPr>
          <w:sz w:val="36"/>
          <w:szCs w:val="36"/>
          <w:rtl/>
        </w:rPr>
        <w:t xml:space="preserve"> </w:t>
      </w:r>
      <w:r w:rsidR="00EF77D9" w:rsidRPr="00FD211F">
        <w:rPr>
          <w:sz w:val="36"/>
          <w:szCs w:val="36"/>
          <w:rtl/>
        </w:rPr>
        <w:t>من</w:t>
      </w:r>
      <w:r w:rsidR="00E8128F">
        <w:rPr>
          <w:sz w:val="36"/>
          <w:szCs w:val="36"/>
          <w:rtl/>
        </w:rPr>
        <w:t xml:space="preserve"> </w:t>
      </w:r>
      <w:r w:rsidR="00C55A67" w:rsidRPr="00FD211F">
        <w:rPr>
          <w:sz w:val="36"/>
          <w:szCs w:val="36"/>
          <w:rtl/>
        </w:rPr>
        <w:t>كون</w:t>
      </w:r>
      <w:r w:rsidR="00E8128F">
        <w:rPr>
          <w:sz w:val="36"/>
          <w:szCs w:val="36"/>
          <w:rtl/>
        </w:rPr>
        <w:t xml:space="preserve"> </w:t>
      </w:r>
      <w:r w:rsidR="00C55A67" w:rsidRPr="00FD211F">
        <w:rPr>
          <w:sz w:val="36"/>
          <w:szCs w:val="36"/>
          <w:rtl/>
        </w:rPr>
        <w:t>تقابل</w:t>
      </w:r>
      <w:r w:rsidR="00E8128F">
        <w:rPr>
          <w:sz w:val="36"/>
          <w:szCs w:val="36"/>
          <w:rtl/>
        </w:rPr>
        <w:t xml:space="preserve"> </w:t>
      </w:r>
      <w:r w:rsidR="00C55A67" w:rsidRPr="00FD211F">
        <w:rPr>
          <w:sz w:val="36"/>
          <w:szCs w:val="36"/>
          <w:rtl/>
        </w:rPr>
        <w:t>الاطلاق</w:t>
      </w:r>
      <w:r w:rsidR="00E8128F">
        <w:rPr>
          <w:sz w:val="36"/>
          <w:szCs w:val="36"/>
          <w:rtl/>
        </w:rPr>
        <w:t xml:space="preserve"> </w:t>
      </w:r>
      <w:r w:rsidR="00C55A67" w:rsidRPr="00FD211F">
        <w:rPr>
          <w:sz w:val="36"/>
          <w:szCs w:val="36"/>
          <w:rtl/>
        </w:rPr>
        <w:t>والتقييد</w:t>
      </w:r>
      <w:r w:rsidR="00E8128F">
        <w:rPr>
          <w:sz w:val="36"/>
          <w:szCs w:val="36"/>
          <w:rtl/>
        </w:rPr>
        <w:t xml:space="preserve"> </w:t>
      </w:r>
      <w:r w:rsidR="00C55A67" w:rsidRPr="00FD211F">
        <w:rPr>
          <w:sz w:val="36"/>
          <w:szCs w:val="36"/>
          <w:rtl/>
        </w:rPr>
        <w:t>الثبوتيين</w:t>
      </w:r>
      <w:r w:rsidR="00E8128F">
        <w:rPr>
          <w:sz w:val="36"/>
          <w:szCs w:val="36"/>
          <w:rtl/>
        </w:rPr>
        <w:t xml:space="preserve"> </w:t>
      </w:r>
      <w:r w:rsidR="00C55A67" w:rsidRPr="00FD211F">
        <w:rPr>
          <w:sz w:val="36"/>
          <w:szCs w:val="36"/>
          <w:rtl/>
        </w:rPr>
        <w:t>تقابل</w:t>
      </w:r>
      <w:r w:rsidR="00E8128F">
        <w:rPr>
          <w:sz w:val="36"/>
          <w:szCs w:val="36"/>
          <w:rtl/>
        </w:rPr>
        <w:t xml:space="preserve"> </w:t>
      </w:r>
      <w:r w:rsidR="00C55A67" w:rsidRPr="00FD211F">
        <w:rPr>
          <w:sz w:val="36"/>
          <w:szCs w:val="36"/>
          <w:rtl/>
        </w:rPr>
        <w:t>التضاد</w:t>
      </w:r>
      <w:r w:rsidR="00E8128F">
        <w:rPr>
          <w:sz w:val="36"/>
          <w:szCs w:val="36"/>
          <w:rtl/>
        </w:rPr>
        <w:t xml:space="preserve"> </w:t>
      </w:r>
      <w:r w:rsidRPr="00FD211F">
        <w:rPr>
          <w:sz w:val="36"/>
          <w:szCs w:val="36"/>
          <w:rtl/>
        </w:rPr>
        <w:t>فمن</w:t>
      </w:r>
      <w:r w:rsidR="00E8128F">
        <w:rPr>
          <w:sz w:val="36"/>
          <w:szCs w:val="36"/>
          <w:rtl/>
        </w:rPr>
        <w:t xml:space="preserve"> </w:t>
      </w:r>
      <w:r w:rsidRPr="00FD211F">
        <w:rPr>
          <w:sz w:val="36"/>
          <w:szCs w:val="36"/>
          <w:rtl/>
        </w:rPr>
        <w:t>ال</w:t>
      </w:r>
      <w:r w:rsidR="000F72F5" w:rsidRPr="00FD211F">
        <w:rPr>
          <w:sz w:val="36"/>
          <w:szCs w:val="36"/>
          <w:rtl/>
        </w:rPr>
        <w:t>واضح</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التقييد</w:t>
      </w:r>
      <w:r w:rsidR="00E8128F">
        <w:rPr>
          <w:sz w:val="36"/>
          <w:szCs w:val="36"/>
          <w:rtl/>
        </w:rPr>
        <w:t xml:space="preserve"> </w:t>
      </w:r>
      <w:r w:rsidRPr="00FD211F">
        <w:rPr>
          <w:sz w:val="36"/>
          <w:szCs w:val="36"/>
          <w:rtl/>
        </w:rPr>
        <w:t>لايثبت</w:t>
      </w:r>
      <w:r w:rsidR="00E8128F">
        <w:rPr>
          <w:sz w:val="36"/>
          <w:szCs w:val="36"/>
          <w:rtl/>
        </w:rPr>
        <w:t xml:space="preserve"> </w:t>
      </w:r>
      <w:r w:rsidRPr="00FD211F">
        <w:rPr>
          <w:sz w:val="36"/>
          <w:szCs w:val="36"/>
          <w:rtl/>
        </w:rPr>
        <w:t>الاطلاق</w:t>
      </w:r>
      <w:r w:rsidR="00E8128F">
        <w:rPr>
          <w:sz w:val="36"/>
          <w:szCs w:val="36"/>
          <w:rtl/>
        </w:rPr>
        <w:t xml:space="preserve"> </w:t>
      </w:r>
      <w:r w:rsidR="00C55A67" w:rsidRPr="00FD211F">
        <w:rPr>
          <w:sz w:val="36"/>
          <w:szCs w:val="36"/>
          <w:rtl/>
        </w:rPr>
        <w:t>فان</w:t>
      </w:r>
      <w:r w:rsidR="00E8128F">
        <w:rPr>
          <w:sz w:val="36"/>
          <w:szCs w:val="36"/>
          <w:rtl/>
        </w:rPr>
        <w:t xml:space="preserve"> </w:t>
      </w:r>
      <w:r w:rsidR="00C55A67" w:rsidRPr="00FD211F">
        <w:rPr>
          <w:sz w:val="36"/>
          <w:szCs w:val="36"/>
          <w:rtl/>
        </w:rPr>
        <w:t>الاطلاق</w:t>
      </w:r>
      <w:r w:rsidR="00E8128F">
        <w:rPr>
          <w:sz w:val="36"/>
          <w:szCs w:val="36"/>
          <w:rtl/>
        </w:rPr>
        <w:t xml:space="preserve"> </w:t>
      </w:r>
      <w:r w:rsidR="00C55A67" w:rsidRPr="00FD211F">
        <w:rPr>
          <w:sz w:val="36"/>
          <w:szCs w:val="36"/>
          <w:rtl/>
        </w:rPr>
        <w:t>بناء</w:t>
      </w:r>
      <w:r w:rsidR="00E8128F">
        <w:rPr>
          <w:sz w:val="36"/>
          <w:szCs w:val="36"/>
          <w:rtl/>
        </w:rPr>
        <w:t xml:space="preserve"> </w:t>
      </w:r>
      <w:r w:rsidR="00C55A67" w:rsidRPr="00FD211F">
        <w:rPr>
          <w:sz w:val="36"/>
          <w:szCs w:val="36"/>
          <w:rtl/>
        </w:rPr>
        <w:t>على</w:t>
      </w:r>
      <w:r w:rsidR="00E8128F">
        <w:rPr>
          <w:sz w:val="36"/>
          <w:szCs w:val="36"/>
          <w:rtl/>
        </w:rPr>
        <w:t xml:space="preserve"> </w:t>
      </w:r>
      <w:r w:rsidR="00C55A67" w:rsidRPr="00FD211F">
        <w:rPr>
          <w:sz w:val="36"/>
          <w:szCs w:val="36"/>
          <w:rtl/>
        </w:rPr>
        <w:t>هذا</w:t>
      </w:r>
      <w:r w:rsidR="00E8128F">
        <w:rPr>
          <w:sz w:val="36"/>
          <w:szCs w:val="36"/>
          <w:rtl/>
        </w:rPr>
        <w:t xml:space="preserve"> </w:t>
      </w:r>
      <w:r w:rsidR="00C55A67" w:rsidRPr="00FD211F">
        <w:rPr>
          <w:sz w:val="36"/>
          <w:szCs w:val="36"/>
          <w:rtl/>
        </w:rPr>
        <w:t>المسلك</w:t>
      </w:r>
      <w:r w:rsidR="00E8128F">
        <w:rPr>
          <w:sz w:val="36"/>
          <w:szCs w:val="36"/>
          <w:rtl/>
        </w:rPr>
        <w:t xml:space="preserve"> </w:t>
      </w:r>
      <w:r w:rsidR="00C55A67" w:rsidRPr="00FD211F">
        <w:rPr>
          <w:sz w:val="36"/>
          <w:szCs w:val="36"/>
          <w:rtl/>
        </w:rPr>
        <w:t>يتقوم</w:t>
      </w:r>
      <w:r w:rsidR="00E8128F">
        <w:rPr>
          <w:sz w:val="36"/>
          <w:szCs w:val="36"/>
          <w:rtl/>
        </w:rPr>
        <w:t xml:space="preserve"> </w:t>
      </w:r>
      <w:r w:rsidR="00C55A67" w:rsidRPr="00FD211F">
        <w:rPr>
          <w:sz w:val="36"/>
          <w:szCs w:val="36"/>
          <w:rtl/>
        </w:rPr>
        <w:t>بلحاظ</w:t>
      </w:r>
      <w:r w:rsidR="00E8128F">
        <w:rPr>
          <w:sz w:val="36"/>
          <w:szCs w:val="36"/>
          <w:rtl/>
        </w:rPr>
        <w:t xml:space="preserve"> </w:t>
      </w:r>
      <w:r w:rsidR="008E2748" w:rsidRPr="00FD211F">
        <w:rPr>
          <w:sz w:val="36"/>
          <w:szCs w:val="36"/>
          <w:rtl/>
        </w:rPr>
        <w:t>سريان</w:t>
      </w:r>
      <w:r w:rsidR="00E8128F">
        <w:rPr>
          <w:sz w:val="36"/>
          <w:szCs w:val="36"/>
          <w:rtl/>
        </w:rPr>
        <w:t xml:space="preserve"> </w:t>
      </w:r>
      <w:r w:rsidR="008E2748" w:rsidRPr="00FD211F">
        <w:rPr>
          <w:sz w:val="36"/>
          <w:szCs w:val="36"/>
          <w:rtl/>
        </w:rPr>
        <w:t>الحكم</w:t>
      </w:r>
      <w:r w:rsidR="00E8128F">
        <w:rPr>
          <w:sz w:val="36"/>
          <w:szCs w:val="36"/>
          <w:rtl/>
        </w:rPr>
        <w:t xml:space="preserve"> </w:t>
      </w:r>
      <w:r w:rsidR="008E2748" w:rsidRPr="00FD211F">
        <w:rPr>
          <w:sz w:val="36"/>
          <w:szCs w:val="36"/>
          <w:rtl/>
        </w:rPr>
        <w:t>في</w:t>
      </w:r>
      <w:r w:rsidR="00E8128F">
        <w:rPr>
          <w:sz w:val="36"/>
          <w:szCs w:val="36"/>
          <w:rtl/>
        </w:rPr>
        <w:t xml:space="preserve"> </w:t>
      </w:r>
      <w:r w:rsidR="008E2748" w:rsidRPr="00FD211F">
        <w:rPr>
          <w:sz w:val="36"/>
          <w:szCs w:val="36"/>
          <w:rtl/>
        </w:rPr>
        <w:t>افراد</w:t>
      </w:r>
      <w:r w:rsidR="00E8128F">
        <w:rPr>
          <w:sz w:val="36"/>
          <w:szCs w:val="36"/>
          <w:rtl/>
        </w:rPr>
        <w:t xml:space="preserve"> </w:t>
      </w:r>
      <w:r w:rsidR="008E2748" w:rsidRPr="00FD211F">
        <w:rPr>
          <w:sz w:val="36"/>
          <w:szCs w:val="36"/>
          <w:rtl/>
        </w:rPr>
        <w:t>الطبيع</w:t>
      </w:r>
      <w:r w:rsidR="00EC7EDF" w:rsidRPr="00FD211F">
        <w:rPr>
          <w:sz w:val="36"/>
          <w:szCs w:val="36"/>
          <w:rtl/>
        </w:rPr>
        <w:t>ة</w:t>
      </w:r>
      <w:r w:rsidR="00E8128F">
        <w:rPr>
          <w:sz w:val="36"/>
          <w:szCs w:val="36"/>
          <w:rtl/>
        </w:rPr>
        <w:t xml:space="preserve"> </w:t>
      </w:r>
      <w:r w:rsidR="008E2748" w:rsidRPr="00FD211F">
        <w:rPr>
          <w:sz w:val="36"/>
          <w:szCs w:val="36"/>
          <w:rtl/>
        </w:rPr>
        <w:t>او</w:t>
      </w:r>
      <w:r w:rsidR="00E8128F">
        <w:rPr>
          <w:sz w:val="36"/>
          <w:szCs w:val="36"/>
          <w:rtl/>
        </w:rPr>
        <w:t xml:space="preserve"> </w:t>
      </w:r>
      <w:r w:rsidR="008E2748" w:rsidRPr="00FD211F">
        <w:rPr>
          <w:sz w:val="36"/>
          <w:szCs w:val="36"/>
          <w:rtl/>
        </w:rPr>
        <w:t>فقل</w:t>
      </w:r>
      <w:r w:rsidR="00E8128F">
        <w:rPr>
          <w:sz w:val="36"/>
          <w:szCs w:val="36"/>
          <w:rtl/>
        </w:rPr>
        <w:t xml:space="preserve"> </w:t>
      </w:r>
      <w:r w:rsidR="008E2748" w:rsidRPr="00FD211F">
        <w:rPr>
          <w:sz w:val="36"/>
          <w:szCs w:val="36"/>
          <w:rtl/>
        </w:rPr>
        <w:t>لحاظ</w:t>
      </w:r>
      <w:r w:rsidR="00E8128F">
        <w:rPr>
          <w:sz w:val="36"/>
          <w:szCs w:val="36"/>
          <w:rtl/>
        </w:rPr>
        <w:t xml:space="preserve"> </w:t>
      </w:r>
      <w:r w:rsidR="008E2748" w:rsidRPr="00FD211F">
        <w:rPr>
          <w:sz w:val="36"/>
          <w:szCs w:val="36"/>
          <w:rtl/>
        </w:rPr>
        <w:t>عدم</w:t>
      </w:r>
      <w:r w:rsidR="00E8128F">
        <w:rPr>
          <w:sz w:val="36"/>
          <w:szCs w:val="36"/>
          <w:rtl/>
        </w:rPr>
        <w:t xml:space="preserve"> </w:t>
      </w:r>
      <w:r w:rsidR="008E2748" w:rsidRPr="00FD211F">
        <w:rPr>
          <w:sz w:val="36"/>
          <w:szCs w:val="36"/>
          <w:rtl/>
        </w:rPr>
        <w:t>دخل</w:t>
      </w:r>
      <w:r w:rsidR="00E8128F">
        <w:rPr>
          <w:sz w:val="36"/>
          <w:szCs w:val="36"/>
          <w:rtl/>
        </w:rPr>
        <w:t xml:space="preserve"> </w:t>
      </w:r>
      <w:r w:rsidR="008E2748" w:rsidRPr="00FD211F">
        <w:rPr>
          <w:sz w:val="36"/>
          <w:szCs w:val="36"/>
          <w:rtl/>
        </w:rPr>
        <w:t>القيد</w:t>
      </w:r>
      <w:r w:rsidR="00E8128F">
        <w:rPr>
          <w:sz w:val="36"/>
          <w:szCs w:val="36"/>
          <w:rtl/>
        </w:rPr>
        <w:t xml:space="preserve"> </w:t>
      </w:r>
      <w:r w:rsidR="00C55A67" w:rsidRPr="00FD211F">
        <w:rPr>
          <w:sz w:val="36"/>
          <w:szCs w:val="36"/>
          <w:rtl/>
        </w:rPr>
        <w:t>الزائد</w:t>
      </w:r>
      <w:r w:rsidR="00E8128F">
        <w:rPr>
          <w:sz w:val="36"/>
          <w:szCs w:val="36"/>
          <w:rtl/>
        </w:rPr>
        <w:t xml:space="preserve"> </w:t>
      </w:r>
      <w:r w:rsidR="008E2748" w:rsidRPr="00FD211F">
        <w:rPr>
          <w:sz w:val="36"/>
          <w:szCs w:val="36"/>
          <w:rtl/>
        </w:rPr>
        <w:t>في</w:t>
      </w:r>
      <w:r w:rsidR="00E8128F">
        <w:rPr>
          <w:sz w:val="36"/>
          <w:szCs w:val="36"/>
          <w:rtl/>
        </w:rPr>
        <w:t xml:space="preserve"> </w:t>
      </w:r>
      <w:r w:rsidR="008E2748" w:rsidRPr="00FD211F">
        <w:rPr>
          <w:sz w:val="36"/>
          <w:szCs w:val="36"/>
          <w:rtl/>
        </w:rPr>
        <w:t>الحكم</w:t>
      </w:r>
      <w:r w:rsidR="00603323" w:rsidRPr="00FD211F">
        <w:rPr>
          <w:sz w:val="36"/>
          <w:szCs w:val="36"/>
          <w:rtl/>
        </w:rPr>
        <w:t>،</w:t>
      </w:r>
      <w:r w:rsidR="00E8128F">
        <w:rPr>
          <w:sz w:val="36"/>
          <w:szCs w:val="36"/>
          <w:rtl/>
        </w:rPr>
        <w:t xml:space="preserve"> </w:t>
      </w:r>
      <w:r w:rsidR="008E2748" w:rsidRPr="00FD211F">
        <w:rPr>
          <w:sz w:val="36"/>
          <w:szCs w:val="36"/>
          <w:rtl/>
        </w:rPr>
        <w:t>فاستصحاب</w:t>
      </w:r>
      <w:r w:rsidR="00E8128F">
        <w:rPr>
          <w:sz w:val="36"/>
          <w:szCs w:val="36"/>
          <w:rtl/>
        </w:rPr>
        <w:t xml:space="preserve"> </w:t>
      </w:r>
      <w:r w:rsidR="008E2748" w:rsidRPr="00FD211F">
        <w:rPr>
          <w:sz w:val="36"/>
          <w:szCs w:val="36"/>
          <w:rtl/>
        </w:rPr>
        <w:t>عدم</w:t>
      </w:r>
      <w:r w:rsidR="00E8128F">
        <w:rPr>
          <w:sz w:val="36"/>
          <w:szCs w:val="36"/>
          <w:rtl/>
        </w:rPr>
        <w:t xml:space="preserve"> </w:t>
      </w:r>
      <w:r w:rsidR="008E2748" w:rsidRPr="00FD211F">
        <w:rPr>
          <w:sz w:val="36"/>
          <w:szCs w:val="36"/>
          <w:rtl/>
        </w:rPr>
        <w:t>التقييد</w:t>
      </w:r>
      <w:r w:rsidR="00E8128F">
        <w:rPr>
          <w:sz w:val="36"/>
          <w:szCs w:val="36"/>
          <w:rtl/>
        </w:rPr>
        <w:t xml:space="preserve"> </w:t>
      </w:r>
      <w:r w:rsidR="008E2748" w:rsidRPr="00FD211F">
        <w:rPr>
          <w:sz w:val="36"/>
          <w:szCs w:val="36"/>
          <w:rtl/>
        </w:rPr>
        <w:t>لايثبت</w:t>
      </w:r>
      <w:r w:rsidR="00E8128F">
        <w:rPr>
          <w:sz w:val="36"/>
          <w:szCs w:val="36"/>
          <w:rtl/>
        </w:rPr>
        <w:t xml:space="preserve"> </w:t>
      </w:r>
      <w:r w:rsidR="00EA78A7" w:rsidRPr="00FD211F">
        <w:rPr>
          <w:sz w:val="36"/>
          <w:szCs w:val="36"/>
          <w:rtl/>
        </w:rPr>
        <w:t>ال</w:t>
      </w:r>
      <w:r w:rsidR="00C55A67" w:rsidRPr="00FD211F">
        <w:rPr>
          <w:sz w:val="36"/>
          <w:szCs w:val="36"/>
          <w:rtl/>
        </w:rPr>
        <w:t>اطلاق</w:t>
      </w:r>
      <w:r w:rsidR="00E8128F">
        <w:rPr>
          <w:sz w:val="36"/>
          <w:szCs w:val="36"/>
          <w:rtl/>
        </w:rPr>
        <w:t xml:space="preserve"> </w:t>
      </w:r>
      <w:r w:rsidR="00EA78A7" w:rsidRPr="00FD211F">
        <w:rPr>
          <w:sz w:val="36"/>
          <w:szCs w:val="36"/>
          <w:rtl/>
        </w:rPr>
        <w:t>ا</w:t>
      </w:r>
      <w:r w:rsidR="00C55A67" w:rsidRPr="00FD211F">
        <w:rPr>
          <w:sz w:val="36"/>
          <w:szCs w:val="36"/>
          <w:rtl/>
        </w:rPr>
        <w:t>لا</w:t>
      </w:r>
      <w:r w:rsidR="00E8128F">
        <w:rPr>
          <w:sz w:val="36"/>
          <w:szCs w:val="36"/>
          <w:rtl/>
        </w:rPr>
        <w:t xml:space="preserve"> </w:t>
      </w:r>
      <w:r w:rsidR="00C55A67" w:rsidRPr="00FD211F">
        <w:rPr>
          <w:sz w:val="36"/>
          <w:szCs w:val="36"/>
          <w:rtl/>
        </w:rPr>
        <w:t>بنحو</w:t>
      </w:r>
      <w:r w:rsidR="00E8128F">
        <w:rPr>
          <w:sz w:val="36"/>
          <w:szCs w:val="36"/>
          <w:rtl/>
        </w:rPr>
        <w:t xml:space="preserve"> </w:t>
      </w:r>
      <w:r w:rsidR="00C55A67" w:rsidRPr="00FD211F">
        <w:rPr>
          <w:sz w:val="36"/>
          <w:szCs w:val="36"/>
          <w:rtl/>
        </w:rPr>
        <w:t>الاصل</w:t>
      </w:r>
      <w:r w:rsidR="00E8128F">
        <w:rPr>
          <w:sz w:val="36"/>
          <w:szCs w:val="36"/>
          <w:rtl/>
        </w:rPr>
        <w:t xml:space="preserve"> </w:t>
      </w:r>
      <w:r w:rsidR="00C55A67" w:rsidRPr="00FD211F">
        <w:rPr>
          <w:sz w:val="36"/>
          <w:szCs w:val="36"/>
          <w:rtl/>
        </w:rPr>
        <w:t>المثبت</w:t>
      </w:r>
      <w:r w:rsidR="00E8128F">
        <w:rPr>
          <w:sz w:val="36"/>
          <w:szCs w:val="36"/>
          <w:rtl/>
        </w:rPr>
        <w:t xml:space="preserve"> </w:t>
      </w:r>
      <w:r w:rsidR="000F72F5" w:rsidRPr="00FD211F">
        <w:rPr>
          <w:sz w:val="36"/>
          <w:szCs w:val="36"/>
          <w:rtl/>
        </w:rPr>
        <w:t>حيث</w:t>
      </w:r>
      <w:r w:rsidR="00E8128F">
        <w:rPr>
          <w:sz w:val="36"/>
          <w:szCs w:val="36"/>
          <w:rtl/>
        </w:rPr>
        <w:t xml:space="preserve"> </w:t>
      </w:r>
      <w:r w:rsidR="00EA78A7" w:rsidRPr="00FD211F">
        <w:rPr>
          <w:sz w:val="36"/>
          <w:szCs w:val="36"/>
          <w:rtl/>
        </w:rPr>
        <w:t>يكون</w:t>
      </w:r>
      <w:r w:rsidR="00E8128F">
        <w:rPr>
          <w:sz w:val="36"/>
          <w:szCs w:val="36"/>
          <w:rtl/>
        </w:rPr>
        <w:t xml:space="preserve"> </w:t>
      </w:r>
      <w:r w:rsidR="00C55A67" w:rsidRPr="00FD211F">
        <w:rPr>
          <w:sz w:val="36"/>
          <w:szCs w:val="36"/>
          <w:rtl/>
        </w:rPr>
        <w:t>من</w:t>
      </w:r>
      <w:r w:rsidR="00E8128F">
        <w:rPr>
          <w:sz w:val="36"/>
          <w:szCs w:val="36"/>
          <w:rtl/>
        </w:rPr>
        <w:t xml:space="preserve"> </w:t>
      </w:r>
      <w:r w:rsidR="00C55A67" w:rsidRPr="00FD211F">
        <w:rPr>
          <w:sz w:val="36"/>
          <w:szCs w:val="36"/>
          <w:rtl/>
        </w:rPr>
        <w:t>قبيل</w:t>
      </w:r>
      <w:r w:rsidR="00E8128F">
        <w:rPr>
          <w:sz w:val="36"/>
          <w:szCs w:val="36"/>
          <w:rtl/>
        </w:rPr>
        <w:t xml:space="preserve"> </w:t>
      </w:r>
      <w:r w:rsidR="00C55A67" w:rsidRPr="00FD211F">
        <w:rPr>
          <w:sz w:val="36"/>
          <w:szCs w:val="36"/>
          <w:rtl/>
        </w:rPr>
        <w:t>اثبات</w:t>
      </w:r>
      <w:r w:rsidR="00E8128F">
        <w:rPr>
          <w:sz w:val="36"/>
          <w:szCs w:val="36"/>
          <w:rtl/>
        </w:rPr>
        <w:t xml:space="preserve"> </w:t>
      </w:r>
      <w:r w:rsidR="00EA78A7" w:rsidRPr="00FD211F">
        <w:rPr>
          <w:sz w:val="36"/>
          <w:szCs w:val="36"/>
          <w:rtl/>
        </w:rPr>
        <w:t>وجود</w:t>
      </w:r>
      <w:r w:rsidR="00E8128F">
        <w:rPr>
          <w:sz w:val="36"/>
          <w:szCs w:val="36"/>
          <w:rtl/>
        </w:rPr>
        <w:t xml:space="preserve"> </w:t>
      </w:r>
      <w:r w:rsidR="00EA78A7" w:rsidRPr="00FD211F">
        <w:rPr>
          <w:sz w:val="36"/>
          <w:szCs w:val="36"/>
          <w:rtl/>
        </w:rPr>
        <w:t>ضد</w:t>
      </w:r>
      <w:r w:rsidR="00E8128F">
        <w:rPr>
          <w:sz w:val="36"/>
          <w:szCs w:val="36"/>
          <w:rtl/>
        </w:rPr>
        <w:t xml:space="preserve"> </w:t>
      </w:r>
      <w:r w:rsidR="00C55A67" w:rsidRPr="00FD211F">
        <w:rPr>
          <w:sz w:val="36"/>
          <w:szCs w:val="36"/>
          <w:rtl/>
        </w:rPr>
        <w:t>باستصحاب</w:t>
      </w:r>
      <w:r w:rsidR="00E8128F">
        <w:rPr>
          <w:sz w:val="36"/>
          <w:szCs w:val="36"/>
          <w:rtl/>
        </w:rPr>
        <w:t xml:space="preserve"> </w:t>
      </w:r>
      <w:r w:rsidR="00C55A67" w:rsidRPr="00FD211F">
        <w:rPr>
          <w:sz w:val="36"/>
          <w:szCs w:val="36"/>
          <w:rtl/>
        </w:rPr>
        <w:t>عدم</w:t>
      </w:r>
      <w:r w:rsidR="00E8128F">
        <w:rPr>
          <w:sz w:val="36"/>
          <w:szCs w:val="36"/>
          <w:rtl/>
        </w:rPr>
        <w:t xml:space="preserve"> </w:t>
      </w:r>
      <w:r w:rsidR="00C55A67" w:rsidRPr="00FD211F">
        <w:rPr>
          <w:sz w:val="36"/>
          <w:szCs w:val="36"/>
          <w:rtl/>
        </w:rPr>
        <w:t>ضده</w:t>
      </w:r>
      <w:r w:rsidR="00E8128F">
        <w:rPr>
          <w:sz w:val="36"/>
          <w:szCs w:val="36"/>
          <w:rtl/>
        </w:rPr>
        <w:t xml:space="preserve"> </w:t>
      </w:r>
      <w:r w:rsidR="00C55A67" w:rsidRPr="00FD211F">
        <w:rPr>
          <w:sz w:val="36"/>
          <w:szCs w:val="36"/>
          <w:rtl/>
        </w:rPr>
        <w:t>الآخر</w:t>
      </w:r>
      <w:r w:rsidR="00851268" w:rsidRPr="00FD211F">
        <w:rPr>
          <w:sz w:val="36"/>
          <w:szCs w:val="36"/>
          <w:rtl/>
        </w:rPr>
        <w:t>-</w:t>
      </w:r>
      <w:r w:rsidR="00E8128F">
        <w:rPr>
          <w:sz w:val="36"/>
          <w:szCs w:val="36"/>
          <w:rtl/>
        </w:rPr>
        <w:t xml:space="preserve"> </w:t>
      </w:r>
      <w:r w:rsidR="00851268" w:rsidRPr="00FD211F">
        <w:rPr>
          <w:sz w:val="36"/>
          <w:szCs w:val="36"/>
          <w:rtl/>
        </w:rPr>
        <w:t>ومع</w:t>
      </w:r>
      <w:r w:rsidR="00E8128F">
        <w:rPr>
          <w:sz w:val="36"/>
          <w:szCs w:val="36"/>
          <w:rtl/>
        </w:rPr>
        <w:t xml:space="preserve"> </w:t>
      </w:r>
      <w:r w:rsidR="00851268" w:rsidRPr="00FD211F">
        <w:rPr>
          <w:sz w:val="36"/>
          <w:szCs w:val="36"/>
          <w:rtl/>
        </w:rPr>
        <w:t>غمض</w:t>
      </w:r>
      <w:r w:rsidR="00E8128F">
        <w:rPr>
          <w:sz w:val="36"/>
          <w:szCs w:val="36"/>
          <w:rtl/>
        </w:rPr>
        <w:t xml:space="preserve"> </w:t>
      </w:r>
      <w:r w:rsidR="00851268" w:rsidRPr="00FD211F">
        <w:rPr>
          <w:sz w:val="36"/>
          <w:szCs w:val="36"/>
          <w:rtl/>
        </w:rPr>
        <w:t>العين</w:t>
      </w:r>
      <w:r w:rsidR="00E8128F">
        <w:rPr>
          <w:sz w:val="36"/>
          <w:szCs w:val="36"/>
          <w:rtl/>
        </w:rPr>
        <w:t xml:space="preserve"> </w:t>
      </w:r>
      <w:r w:rsidR="00851268" w:rsidRPr="00FD211F">
        <w:rPr>
          <w:sz w:val="36"/>
          <w:szCs w:val="36"/>
          <w:rtl/>
        </w:rPr>
        <w:t>عنه</w:t>
      </w:r>
      <w:r w:rsidR="00E8128F">
        <w:rPr>
          <w:sz w:val="36"/>
          <w:szCs w:val="36"/>
          <w:rtl/>
        </w:rPr>
        <w:t xml:space="preserve"> </w:t>
      </w:r>
      <w:r w:rsidR="00851268" w:rsidRPr="00FD211F">
        <w:rPr>
          <w:sz w:val="36"/>
          <w:szCs w:val="36"/>
          <w:rtl/>
        </w:rPr>
        <w:t>فيتعارض</w:t>
      </w:r>
      <w:r w:rsidR="00E8128F">
        <w:rPr>
          <w:sz w:val="36"/>
          <w:szCs w:val="36"/>
          <w:rtl/>
        </w:rPr>
        <w:t xml:space="preserve"> </w:t>
      </w:r>
      <w:r w:rsidR="00851268" w:rsidRPr="00FD211F">
        <w:rPr>
          <w:sz w:val="36"/>
          <w:szCs w:val="36"/>
          <w:rtl/>
        </w:rPr>
        <w:t>مع</w:t>
      </w:r>
      <w:r w:rsidR="00E8128F">
        <w:rPr>
          <w:sz w:val="36"/>
          <w:szCs w:val="36"/>
          <w:rtl/>
        </w:rPr>
        <w:t xml:space="preserve"> </w:t>
      </w:r>
      <w:r w:rsidR="00EA78A7" w:rsidRPr="00FD211F">
        <w:rPr>
          <w:sz w:val="36"/>
          <w:szCs w:val="36"/>
          <w:rtl/>
        </w:rPr>
        <w:t>استصحاب</w:t>
      </w:r>
      <w:r w:rsidR="00E8128F">
        <w:rPr>
          <w:sz w:val="36"/>
          <w:szCs w:val="36"/>
          <w:rtl/>
        </w:rPr>
        <w:t xml:space="preserve"> </w:t>
      </w:r>
      <w:r w:rsidR="00EA78A7" w:rsidRPr="00FD211F">
        <w:rPr>
          <w:sz w:val="36"/>
          <w:szCs w:val="36"/>
          <w:rtl/>
        </w:rPr>
        <w:t>عدم</w:t>
      </w:r>
      <w:r w:rsidR="00E8128F">
        <w:rPr>
          <w:sz w:val="36"/>
          <w:szCs w:val="36"/>
          <w:rtl/>
        </w:rPr>
        <w:t xml:space="preserve"> </w:t>
      </w:r>
      <w:r w:rsidR="00EA78A7" w:rsidRPr="00FD211F">
        <w:rPr>
          <w:sz w:val="36"/>
          <w:szCs w:val="36"/>
          <w:rtl/>
        </w:rPr>
        <w:t>الاطلاق</w:t>
      </w:r>
      <w:r w:rsidR="00C55A67" w:rsidRPr="00FD211F">
        <w:rPr>
          <w:sz w:val="36"/>
          <w:szCs w:val="36"/>
          <w:rtl/>
        </w:rPr>
        <w:t>.</w:t>
      </w:r>
    </w:p>
    <w:p w14:paraId="0E9F2141" w14:textId="77777777" w:rsidR="00C55A67" w:rsidRPr="00FD211F" w:rsidRDefault="00C55A67" w:rsidP="009C58C8">
      <w:pPr>
        <w:ind w:left="0" w:firstLine="227"/>
        <w:jc w:val="both"/>
        <w:rPr>
          <w:sz w:val="36"/>
          <w:szCs w:val="36"/>
          <w:rtl/>
        </w:rPr>
      </w:pPr>
      <w:r w:rsidRPr="00FD211F">
        <w:rPr>
          <w:sz w:val="36"/>
          <w:szCs w:val="36"/>
          <w:rtl/>
        </w:rPr>
        <w:t>ان</w:t>
      </w:r>
      <w:r w:rsidR="00E8128F">
        <w:rPr>
          <w:sz w:val="36"/>
          <w:szCs w:val="36"/>
          <w:rtl/>
        </w:rPr>
        <w:t xml:space="preserve"> </w:t>
      </w:r>
      <w:r w:rsidRPr="00FD211F">
        <w:rPr>
          <w:sz w:val="36"/>
          <w:szCs w:val="36"/>
          <w:rtl/>
        </w:rPr>
        <w:t>قلت</w:t>
      </w:r>
      <w:r w:rsidR="00EA78A7" w:rsidRPr="00FD211F">
        <w:rPr>
          <w:sz w:val="36"/>
          <w:szCs w:val="36"/>
          <w:rtl/>
        </w:rPr>
        <w:t>:</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00EA78A7" w:rsidRPr="00FD211F">
        <w:rPr>
          <w:sz w:val="36"/>
          <w:szCs w:val="36"/>
          <w:rtl/>
        </w:rPr>
        <w:t>ما</w:t>
      </w:r>
      <w:r w:rsidR="00E8128F">
        <w:rPr>
          <w:sz w:val="36"/>
          <w:szCs w:val="36"/>
          <w:rtl/>
        </w:rPr>
        <w:t xml:space="preserve"> </w:t>
      </w:r>
      <w:r w:rsidR="00EA78A7" w:rsidRPr="00FD211F">
        <w:rPr>
          <w:sz w:val="36"/>
          <w:szCs w:val="36"/>
          <w:rtl/>
        </w:rPr>
        <w:t>هو</w:t>
      </w:r>
      <w:r w:rsidR="00E8128F">
        <w:rPr>
          <w:sz w:val="36"/>
          <w:szCs w:val="36"/>
          <w:rtl/>
        </w:rPr>
        <w:t xml:space="preserve"> </w:t>
      </w:r>
      <w:r w:rsidR="00EA78A7" w:rsidRPr="00FD211F">
        <w:rPr>
          <w:sz w:val="36"/>
          <w:szCs w:val="36"/>
          <w:rtl/>
        </w:rPr>
        <w:t>المشهور</w:t>
      </w:r>
      <w:r w:rsidR="00E8128F">
        <w:rPr>
          <w:sz w:val="36"/>
          <w:szCs w:val="36"/>
          <w:rtl/>
        </w:rPr>
        <w:t xml:space="preserve"> </w:t>
      </w:r>
      <w:r w:rsidR="00EA78A7" w:rsidRPr="00FD211F">
        <w:rPr>
          <w:sz w:val="36"/>
          <w:szCs w:val="36"/>
          <w:rtl/>
        </w:rPr>
        <w:t>من</w:t>
      </w:r>
      <w:r w:rsidR="00E8128F">
        <w:rPr>
          <w:sz w:val="36"/>
          <w:szCs w:val="36"/>
          <w:rtl/>
        </w:rPr>
        <w:t xml:space="preserve"> </w:t>
      </w:r>
      <w:r w:rsidR="008E2748" w:rsidRPr="00FD211F">
        <w:rPr>
          <w:sz w:val="36"/>
          <w:szCs w:val="36"/>
          <w:rtl/>
        </w:rPr>
        <w:t>وضع</w:t>
      </w:r>
      <w:r w:rsidR="00E8128F">
        <w:rPr>
          <w:sz w:val="36"/>
          <w:szCs w:val="36"/>
          <w:rtl/>
        </w:rPr>
        <w:t xml:space="preserve"> </w:t>
      </w:r>
      <w:r w:rsidR="008E2748" w:rsidRPr="00FD211F">
        <w:rPr>
          <w:sz w:val="36"/>
          <w:szCs w:val="36"/>
          <w:rtl/>
        </w:rPr>
        <w:t>اسماء</w:t>
      </w:r>
      <w:r w:rsidR="00E8128F">
        <w:rPr>
          <w:sz w:val="36"/>
          <w:szCs w:val="36"/>
          <w:rtl/>
        </w:rPr>
        <w:t xml:space="preserve"> </w:t>
      </w:r>
      <w:r w:rsidR="008E2748" w:rsidRPr="00FD211F">
        <w:rPr>
          <w:sz w:val="36"/>
          <w:szCs w:val="36"/>
          <w:rtl/>
        </w:rPr>
        <w:t>الاجناس</w:t>
      </w:r>
      <w:r w:rsidR="00E8128F">
        <w:rPr>
          <w:sz w:val="36"/>
          <w:szCs w:val="36"/>
          <w:rtl/>
        </w:rPr>
        <w:t xml:space="preserve"> </w:t>
      </w:r>
      <w:r w:rsidRPr="00FD211F">
        <w:rPr>
          <w:sz w:val="36"/>
          <w:szCs w:val="36"/>
          <w:rtl/>
        </w:rPr>
        <w:t>ل</w:t>
      </w:r>
      <w:r w:rsidR="008E2748" w:rsidRPr="00FD211F">
        <w:rPr>
          <w:sz w:val="36"/>
          <w:szCs w:val="36"/>
          <w:rtl/>
        </w:rPr>
        <w:t>لماهي</w:t>
      </w:r>
      <w:r w:rsidR="00EC7EDF" w:rsidRPr="00FD211F">
        <w:rPr>
          <w:sz w:val="36"/>
          <w:szCs w:val="36"/>
          <w:rtl/>
        </w:rPr>
        <w:t>ة</w:t>
      </w:r>
      <w:r w:rsidR="00E8128F">
        <w:rPr>
          <w:sz w:val="36"/>
          <w:szCs w:val="36"/>
          <w:rtl/>
        </w:rPr>
        <w:t xml:space="preserve"> </w:t>
      </w:r>
      <w:r w:rsidR="008E2748" w:rsidRPr="00FD211F">
        <w:rPr>
          <w:sz w:val="36"/>
          <w:szCs w:val="36"/>
          <w:rtl/>
        </w:rPr>
        <w:t>المهمل</w:t>
      </w:r>
      <w:r w:rsidR="00EC7EDF" w:rsidRPr="00FD211F">
        <w:rPr>
          <w:sz w:val="36"/>
          <w:szCs w:val="36"/>
          <w:rtl/>
        </w:rPr>
        <w:t>ة</w:t>
      </w:r>
      <w:r w:rsidR="00E8128F">
        <w:rPr>
          <w:sz w:val="36"/>
          <w:szCs w:val="36"/>
          <w:rtl/>
        </w:rPr>
        <w:t xml:space="preserve"> </w:t>
      </w:r>
      <w:r w:rsidR="008E2748" w:rsidRPr="00FD211F">
        <w:rPr>
          <w:sz w:val="36"/>
          <w:szCs w:val="36"/>
          <w:rtl/>
        </w:rPr>
        <w:t>دون</w:t>
      </w:r>
      <w:r w:rsidR="00E8128F">
        <w:rPr>
          <w:sz w:val="36"/>
          <w:szCs w:val="36"/>
          <w:rtl/>
        </w:rPr>
        <w:t xml:space="preserve"> </w:t>
      </w:r>
      <w:r w:rsidR="008E2748" w:rsidRPr="00FD211F">
        <w:rPr>
          <w:sz w:val="36"/>
          <w:szCs w:val="36"/>
          <w:rtl/>
        </w:rPr>
        <w:t>اللابشرط</w:t>
      </w:r>
      <w:r w:rsidR="00E8128F">
        <w:rPr>
          <w:sz w:val="36"/>
          <w:szCs w:val="36"/>
          <w:rtl/>
        </w:rPr>
        <w:t xml:space="preserve"> </w:t>
      </w:r>
      <w:r w:rsidR="008E2748" w:rsidRPr="00FD211F">
        <w:rPr>
          <w:sz w:val="36"/>
          <w:szCs w:val="36"/>
          <w:rtl/>
        </w:rPr>
        <w:t>القسمي</w:t>
      </w:r>
      <w:r w:rsidR="00E8128F">
        <w:rPr>
          <w:sz w:val="36"/>
          <w:szCs w:val="36"/>
          <w:rtl/>
        </w:rPr>
        <w:t xml:space="preserve"> </w:t>
      </w:r>
      <w:r w:rsidRPr="00FD211F">
        <w:rPr>
          <w:sz w:val="36"/>
          <w:szCs w:val="36"/>
          <w:rtl/>
        </w:rPr>
        <w:t>فوضع</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لايعني</w:t>
      </w:r>
      <w:r w:rsidR="00E8128F">
        <w:rPr>
          <w:sz w:val="36"/>
          <w:szCs w:val="36"/>
          <w:rtl/>
        </w:rPr>
        <w:t xml:space="preserve"> </w:t>
      </w:r>
      <w:r w:rsidRPr="00FD211F">
        <w:rPr>
          <w:sz w:val="36"/>
          <w:szCs w:val="36"/>
          <w:rtl/>
        </w:rPr>
        <w:t>اطلاق</w:t>
      </w:r>
      <w:r w:rsidR="00E8128F">
        <w:rPr>
          <w:sz w:val="36"/>
          <w:szCs w:val="36"/>
          <w:rtl/>
        </w:rPr>
        <w:t xml:space="preserve"> </w:t>
      </w:r>
      <w:r w:rsidRPr="00FD211F">
        <w:rPr>
          <w:sz w:val="36"/>
          <w:szCs w:val="36"/>
          <w:rtl/>
        </w:rPr>
        <w:t>الوضع</w:t>
      </w:r>
      <w:r w:rsidR="00E8128F">
        <w:rPr>
          <w:sz w:val="36"/>
          <w:szCs w:val="36"/>
          <w:rtl/>
        </w:rPr>
        <w:t xml:space="preserve"> </w:t>
      </w:r>
      <w:r w:rsidRPr="00FD211F">
        <w:rPr>
          <w:sz w:val="36"/>
          <w:szCs w:val="36"/>
          <w:rtl/>
        </w:rPr>
        <w:t>حتى</w:t>
      </w:r>
      <w:r w:rsidR="00E8128F">
        <w:rPr>
          <w:sz w:val="36"/>
          <w:szCs w:val="36"/>
          <w:rtl/>
        </w:rPr>
        <w:t xml:space="preserve"> </w:t>
      </w:r>
      <w:r w:rsidRPr="00FD211F">
        <w:rPr>
          <w:sz w:val="36"/>
          <w:szCs w:val="36"/>
          <w:rtl/>
        </w:rPr>
        <w:t>يدعى</w:t>
      </w:r>
      <w:r w:rsidR="00E8128F">
        <w:rPr>
          <w:sz w:val="36"/>
          <w:szCs w:val="36"/>
          <w:rtl/>
        </w:rPr>
        <w:t xml:space="preserve"> </w:t>
      </w:r>
      <w:r w:rsidRPr="00FD211F">
        <w:rPr>
          <w:sz w:val="36"/>
          <w:szCs w:val="36"/>
          <w:rtl/>
        </w:rPr>
        <w:t>كونه</w:t>
      </w:r>
      <w:r w:rsidR="00E8128F">
        <w:rPr>
          <w:sz w:val="36"/>
          <w:szCs w:val="36"/>
          <w:rtl/>
        </w:rPr>
        <w:t xml:space="preserve"> </w:t>
      </w:r>
      <w:r w:rsidRPr="00FD211F">
        <w:rPr>
          <w:sz w:val="36"/>
          <w:szCs w:val="36"/>
          <w:rtl/>
        </w:rPr>
        <w:t>امرا</w:t>
      </w:r>
      <w:r w:rsidR="00E8128F">
        <w:rPr>
          <w:sz w:val="36"/>
          <w:szCs w:val="36"/>
          <w:rtl/>
        </w:rPr>
        <w:t xml:space="preserve"> </w:t>
      </w:r>
      <w:r w:rsidRPr="00FD211F">
        <w:rPr>
          <w:sz w:val="36"/>
          <w:szCs w:val="36"/>
          <w:rtl/>
        </w:rPr>
        <w:t>وجوديا</w:t>
      </w:r>
      <w:r w:rsidR="00E8128F">
        <w:rPr>
          <w:sz w:val="36"/>
          <w:szCs w:val="36"/>
          <w:rtl/>
        </w:rPr>
        <w:t xml:space="preserve"> </w:t>
      </w:r>
      <w:r w:rsidRPr="00FD211F">
        <w:rPr>
          <w:sz w:val="36"/>
          <w:szCs w:val="36"/>
          <w:rtl/>
        </w:rPr>
        <w:t>لايثبت</w:t>
      </w:r>
      <w:r w:rsidR="00E8128F">
        <w:rPr>
          <w:sz w:val="36"/>
          <w:szCs w:val="36"/>
          <w:rtl/>
        </w:rPr>
        <w:t xml:space="preserve"> </w:t>
      </w:r>
      <w:r w:rsidRPr="00FD211F">
        <w:rPr>
          <w:sz w:val="36"/>
          <w:szCs w:val="36"/>
          <w:rtl/>
        </w:rPr>
        <w:t>باستصحاب</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التقييد.</w:t>
      </w:r>
    </w:p>
    <w:p w14:paraId="09CB65A0" w14:textId="77777777" w:rsidR="00C55A67" w:rsidRPr="00FD211F" w:rsidRDefault="00C55A67" w:rsidP="009C58C8">
      <w:pPr>
        <w:ind w:left="0" w:firstLine="227"/>
        <w:jc w:val="both"/>
        <w:rPr>
          <w:sz w:val="36"/>
          <w:szCs w:val="36"/>
          <w:rtl/>
        </w:rPr>
      </w:pPr>
      <w:r w:rsidRPr="00FD211F">
        <w:rPr>
          <w:sz w:val="36"/>
          <w:szCs w:val="36"/>
          <w:rtl/>
        </w:rPr>
        <w:t>قلت:</w:t>
      </w:r>
      <w:r w:rsidR="00E8128F">
        <w:rPr>
          <w:sz w:val="36"/>
          <w:szCs w:val="36"/>
          <w:rtl/>
        </w:rPr>
        <w:t xml:space="preserve"> </w:t>
      </w:r>
      <w:r w:rsidR="008E2748" w:rsidRPr="00FD211F">
        <w:rPr>
          <w:sz w:val="36"/>
          <w:szCs w:val="36"/>
          <w:rtl/>
        </w:rPr>
        <w:t>ان</w:t>
      </w:r>
      <w:r w:rsidR="00E8128F">
        <w:rPr>
          <w:sz w:val="36"/>
          <w:szCs w:val="36"/>
          <w:rtl/>
        </w:rPr>
        <w:t xml:space="preserve"> </w:t>
      </w:r>
      <w:r w:rsidR="008E2748" w:rsidRPr="00FD211F">
        <w:rPr>
          <w:sz w:val="36"/>
          <w:szCs w:val="36"/>
          <w:rtl/>
        </w:rPr>
        <w:t>كون</w:t>
      </w:r>
      <w:r w:rsidR="00E8128F">
        <w:rPr>
          <w:sz w:val="36"/>
          <w:szCs w:val="36"/>
          <w:rtl/>
        </w:rPr>
        <w:t xml:space="preserve"> </w:t>
      </w:r>
      <w:r w:rsidR="008E2748" w:rsidRPr="00FD211F">
        <w:rPr>
          <w:sz w:val="36"/>
          <w:szCs w:val="36"/>
          <w:rtl/>
        </w:rPr>
        <w:t>المعنى</w:t>
      </w:r>
      <w:r w:rsidR="00E8128F">
        <w:rPr>
          <w:sz w:val="36"/>
          <w:szCs w:val="36"/>
          <w:rtl/>
        </w:rPr>
        <w:t xml:space="preserve"> </w:t>
      </w:r>
      <w:r w:rsidR="008E2748" w:rsidRPr="00FD211F">
        <w:rPr>
          <w:sz w:val="36"/>
          <w:szCs w:val="36"/>
          <w:rtl/>
        </w:rPr>
        <w:t>الموضوع</w:t>
      </w:r>
      <w:r w:rsidR="00E8128F">
        <w:rPr>
          <w:sz w:val="36"/>
          <w:szCs w:val="36"/>
          <w:rtl/>
        </w:rPr>
        <w:t xml:space="preserve"> </w:t>
      </w:r>
      <w:r w:rsidR="008E2748" w:rsidRPr="00FD211F">
        <w:rPr>
          <w:sz w:val="36"/>
          <w:szCs w:val="36"/>
          <w:rtl/>
        </w:rPr>
        <w:t>له</w:t>
      </w:r>
      <w:r w:rsidR="00E8128F">
        <w:rPr>
          <w:sz w:val="36"/>
          <w:szCs w:val="36"/>
          <w:rtl/>
        </w:rPr>
        <w:t xml:space="preserve"> </w:t>
      </w:r>
      <w:r w:rsidR="008E2748" w:rsidRPr="00FD211F">
        <w:rPr>
          <w:sz w:val="36"/>
          <w:szCs w:val="36"/>
          <w:rtl/>
        </w:rPr>
        <w:t>ماهي</w:t>
      </w:r>
      <w:r w:rsidR="00EC7EDF" w:rsidRPr="00FD211F">
        <w:rPr>
          <w:sz w:val="36"/>
          <w:szCs w:val="36"/>
          <w:rtl/>
        </w:rPr>
        <w:t>ة</w:t>
      </w:r>
      <w:r w:rsidR="00E8128F">
        <w:rPr>
          <w:sz w:val="36"/>
          <w:szCs w:val="36"/>
          <w:rtl/>
        </w:rPr>
        <w:t xml:space="preserve"> </w:t>
      </w:r>
      <w:r w:rsidR="008E2748" w:rsidRPr="00FD211F">
        <w:rPr>
          <w:sz w:val="36"/>
          <w:szCs w:val="36"/>
          <w:rtl/>
        </w:rPr>
        <w:t>مهمل</w:t>
      </w:r>
      <w:r w:rsidR="00EC7EDF" w:rsidRPr="00FD211F">
        <w:rPr>
          <w:sz w:val="36"/>
          <w:szCs w:val="36"/>
          <w:rtl/>
        </w:rPr>
        <w:t>ة</w:t>
      </w:r>
      <w:r w:rsidR="00E8128F">
        <w:rPr>
          <w:sz w:val="36"/>
          <w:szCs w:val="36"/>
          <w:rtl/>
        </w:rPr>
        <w:t xml:space="preserve"> </w:t>
      </w:r>
      <w:r w:rsidR="008E2748" w:rsidRPr="00FD211F">
        <w:rPr>
          <w:sz w:val="36"/>
          <w:szCs w:val="36"/>
          <w:rtl/>
        </w:rPr>
        <w:t>امر</w:t>
      </w:r>
      <w:r w:rsidR="00E8128F">
        <w:rPr>
          <w:sz w:val="36"/>
          <w:szCs w:val="36"/>
          <w:rtl/>
        </w:rPr>
        <w:t xml:space="preserve"> </w:t>
      </w:r>
      <w:r w:rsidR="008E2748" w:rsidRPr="00FD211F">
        <w:rPr>
          <w:sz w:val="36"/>
          <w:szCs w:val="36"/>
          <w:rtl/>
        </w:rPr>
        <w:t>واهمال</w:t>
      </w:r>
      <w:r w:rsidR="00E8128F">
        <w:rPr>
          <w:sz w:val="36"/>
          <w:szCs w:val="36"/>
          <w:rtl/>
        </w:rPr>
        <w:t xml:space="preserve"> </w:t>
      </w:r>
      <w:r w:rsidR="008E2748" w:rsidRPr="00FD211F">
        <w:rPr>
          <w:sz w:val="36"/>
          <w:szCs w:val="36"/>
          <w:rtl/>
        </w:rPr>
        <w:t>الوضع</w:t>
      </w:r>
      <w:r w:rsidR="00E8128F">
        <w:rPr>
          <w:sz w:val="36"/>
          <w:szCs w:val="36"/>
          <w:rtl/>
        </w:rPr>
        <w:t xml:space="preserve"> </w:t>
      </w:r>
      <w:r w:rsidR="008E2748" w:rsidRPr="00FD211F">
        <w:rPr>
          <w:sz w:val="36"/>
          <w:szCs w:val="36"/>
          <w:rtl/>
        </w:rPr>
        <w:t>امر</w:t>
      </w:r>
      <w:r w:rsidR="00E8128F">
        <w:rPr>
          <w:sz w:val="36"/>
          <w:szCs w:val="36"/>
          <w:rtl/>
        </w:rPr>
        <w:t xml:space="preserve"> </w:t>
      </w:r>
      <w:r w:rsidR="008E2748" w:rsidRPr="00FD211F">
        <w:rPr>
          <w:sz w:val="36"/>
          <w:szCs w:val="36"/>
          <w:rtl/>
        </w:rPr>
        <w:t>آخر</w:t>
      </w:r>
      <w:r w:rsidR="00603323" w:rsidRPr="00FD211F">
        <w:rPr>
          <w:sz w:val="36"/>
          <w:szCs w:val="36"/>
          <w:rtl/>
        </w:rPr>
        <w:t>،</w:t>
      </w:r>
      <w:r w:rsidR="00E8128F">
        <w:rPr>
          <w:sz w:val="36"/>
          <w:szCs w:val="36"/>
          <w:rtl/>
        </w:rPr>
        <w:t xml:space="preserve"> </w:t>
      </w:r>
      <w:r w:rsidR="008E2748" w:rsidRPr="00FD211F">
        <w:rPr>
          <w:sz w:val="36"/>
          <w:szCs w:val="36"/>
          <w:rtl/>
        </w:rPr>
        <w:t>ولايقول</w:t>
      </w:r>
      <w:r w:rsidR="00E8128F">
        <w:rPr>
          <w:sz w:val="36"/>
          <w:szCs w:val="36"/>
          <w:rtl/>
        </w:rPr>
        <w:t xml:space="preserve"> </w:t>
      </w:r>
      <w:r w:rsidR="008E2748" w:rsidRPr="00FD211F">
        <w:rPr>
          <w:sz w:val="36"/>
          <w:szCs w:val="36"/>
          <w:rtl/>
        </w:rPr>
        <w:t>بالثاني</w:t>
      </w:r>
      <w:r w:rsidR="00E8128F">
        <w:rPr>
          <w:sz w:val="36"/>
          <w:szCs w:val="36"/>
          <w:rtl/>
        </w:rPr>
        <w:t xml:space="preserve"> </w:t>
      </w:r>
      <w:r w:rsidR="008E2748" w:rsidRPr="00FD211F">
        <w:rPr>
          <w:sz w:val="36"/>
          <w:szCs w:val="36"/>
          <w:rtl/>
        </w:rPr>
        <w:t>احد</w:t>
      </w:r>
      <w:r w:rsidR="00603323" w:rsidRPr="00FD211F">
        <w:rPr>
          <w:sz w:val="36"/>
          <w:szCs w:val="36"/>
          <w:rtl/>
        </w:rPr>
        <w:t>،</w:t>
      </w:r>
      <w:r w:rsidR="00E8128F">
        <w:rPr>
          <w:sz w:val="36"/>
          <w:szCs w:val="36"/>
          <w:rtl/>
        </w:rPr>
        <w:t xml:space="preserve"> </w:t>
      </w:r>
      <w:r w:rsidR="008E2748" w:rsidRPr="00FD211F">
        <w:rPr>
          <w:sz w:val="36"/>
          <w:szCs w:val="36"/>
          <w:rtl/>
        </w:rPr>
        <w:t>بل</w:t>
      </w:r>
      <w:r w:rsidR="00E8128F">
        <w:rPr>
          <w:sz w:val="36"/>
          <w:szCs w:val="36"/>
          <w:rtl/>
        </w:rPr>
        <w:t xml:space="preserve"> </w:t>
      </w:r>
      <w:r w:rsidR="008E2748" w:rsidRPr="00FD211F">
        <w:rPr>
          <w:sz w:val="36"/>
          <w:szCs w:val="36"/>
          <w:rtl/>
        </w:rPr>
        <w:t>الوضع</w:t>
      </w:r>
      <w:r w:rsidR="00E8128F">
        <w:rPr>
          <w:sz w:val="36"/>
          <w:szCs w:val="36"/>
          <w:rtl/>
        </w:rPr>
        <w:t xml:space="preserve"> </w:t>
      </w:r>
      <w:r w:rsidR="008E2748" w:rsidRPr="00FD211F">
        <w:rPr>
          <w:sz w:val="36"/>
          <w:szCs w:val="36"/>
          <w:rtl/>
        </w:rPr>
        <w:t>للماهي</w:t>
      </w:r>
      <w:r w:rsidR="00EC7EDF" w:rsidRPr="00FD211F">
        <w:rPr>
          <w:sz w:val="36"/>
          <w:szCs w:val="36"/>
          <w:rtl/>
        </w:rPr>
        <w:t>ة</w:t>
      </w:r>
      <w:r w:rsidR="00E8128F">
        <w:rPr>
          <w:sz w:val="36"/>
          <w:szCs w:val="36"/>
          <w:rtl/>
        </w:rPr>
        <w:t xml:space="preserve"> </w:t>
      </w:r>
      <w:r w:rsidR="008E2748" w:rsidRPr="00FD211F">
        <w:rPr>
          <w:sz w:val="36"/>
          <w:szCs w:val="36"/>
          <w:rtl/>
        </w:rPr>
        <w:t>المهمل</w:t>
      </w:r>
      <w:r w:rsidR="00EC7EDF" w:rsidRPr="00FD211F">
        <w:rPr>
          <w:sz w:val="36"/>
          <w:szCs w:val="36"/>
          <w:rtl/>
        </w:rPr>
        <w:t>ة</w:t>
      </w:r>
      <w:r w:rsidR="00E8128F">
        <w:rPr>
          <w:sz w:val="36"/>
          <w:szCs w:val="36"/>
          <w:rtl/>
        </w:rPr>
        <w:t xml:space="preserve"> </w:t>
      </w:r>
      <w:r w:rsidR="008E2748" w:rsidRPr="00FD211F">
        <w:rPr>
          <w:sz w:val="36"/>
          <w:szCs w:val="36"/>
          <w:rtl/>
        </w:rPr>
        <w:t>مطلق</w:t>
      </w:r>
      <w:r w:rsidR="00E8128F">
        <w:rPr>
          <w:sz w:val="36"/>
          <w:szCs w:val="36"/>
          <w:rtl/>
        </w:rPr>
        <w:t xml:space="preserve"> </w:t>
      </w:r>
      <w:r w:rsidR="008E2748" w:rsidRPr="00FD211F">
        <w:rPr>
          <w:sz w:val="36"/>
          <w:szCs w:val="36"/>
          <w:rtl/>
        </w:rPr>
        <w:t>اي</w:t>
      </w:r>
      <w:r w:rsidR="00E8128F">
        <w:rPr>
          <w:sz w:val="36"/>
          <w:szCs w:val="36"/>
          <w:rtl/>
        </w:rPr>
        <w:t xml:space="preserve"> </w:t>
      </w:r>
      <w:r w:rsidR="008E2748" w:rsidRPr="00FD211F">
        <w:rPr>
          <w:sz w:val="36"/>
          <w:szCs w:val="36"/>
          <w:rtl/>
        </w:rPr>
        <w:t>لوحظ</w:t>
      </w:r>
      <w:r w:rsidR="00E8128F">
        <w:rPr>
          <w:sz w:val="36"/>
          <w:szCs w:val="36"/>
          <w:rtl/>
        </w:rPr>
        <w:t xml:space="preserve"> </w:t>
      </w:r>
      <w:r w:rsidR="008E2748" w:rsidRPr="00FD211F">
        <w:rPr>
          <w:sz w:val="36"/>
          <w:szCs w:val="36"/>
          <w:rtl/>
        </w:rPr>
        <w:t>وضعه</w:t>
      </w:r>
      <w:r w:rsidR="00E8128F">
        <w:rPr>
          <w:sz w:val="36"/>
          <w:szCs w:val="36"/>
          <w:rtl/>
        </w:rPr>
        <w:t xml:space="preserve"> </w:t>
      </w:r>
      <w:r w:rsidR="008E2748" w:rsidRPr="00FD211F">
        <w:rPr>
          <w:sz w:val="36"/>
          <w:szCs w:val="36"/>
          <w:rtl/>
        </w:rPr>
        <w:t>لها</w:t>
      </w:r>
      <w:r w:rsidR="00E8128F">
        <w:rPr>
          <w:sz w:val="36"/>
          <w:szCs w:val="36"/>
          <w:rtl/>
        </w:rPr>
        <w:t xml:space="preserve"> </w:t>
      </w:r>
      <w:r w:rsidR="008E2748" w:rsidRPr="00FD211F">
        <w:rPr>
          <w:sz w:val="36"/>
          <w:szCs w:val="36"/>
          <w:rtl/>
        </w:rPr>
        <w:t>اينما</w:t>
      </w:r>
      <w:r w:rsidR="00E8128F">
        <w:rPr>
          <w:sz w:val="36"/>
          <w:szCs w:val="36"/>
          <w:rtl/>
        </w:rPr>
        <w:t xml:space="preserve"> </w:t>
      </w:r>
      <w:r w:rsidR="008E2748" w:rsidRPr="00FD211F">
        <w:rPr>
          <w:sz w:val="36"/>
          <w:szCs w:val="36"/>
          <w:rtl/>
        </w:rPr>
        <w:t>تحققت</w:t>
      </w:r>
      <w:r w:rsidR="00E8128F">
        <w:rPr>
          <w:sz w:val="36"/>
          <w:szCs w:val="36"/>
          <w:rtl/>
        </w:rPr>
        <w:t xml:space="preserve"> </w:t>
      </w:r>
      <w:r w:rsidR="008E2748" w:rsidRPr="00FD211F">
        <w:rPr>
          <w:sz w:val="36"/>
          <w:szCs w:val="36"/>
          <w:rtl/>
        </w:rPr>
        <w:t>وفي</w:t>
      </w:r>
      <w:r w:rsidR="00E8128F">
        <w:rPr>
          <w:sz w:val="36"/>
          <w:szCs w:val="36"/>
          <w:rtl/>
        </w:rPr>
        <w:t xml:space="preserve"> </w:t>
      </w:r>
      <w:r w:rsidR="008E2748" w:rsidRPr="00FD211F">
        <w:rPr>
          <w:sz w:val="36"/>
          <w:szCs w:val="36"/>
          <w:rtl/>
        </w:rPr>
        <w:t>ضمن</w:t>
      </w:r>
      <w:r w:rsidR="00E8128F">
        <w:rPr>
          <w:sz w:val="36"/>
          <w:szCs w:val="36"/>
          <w:rtl/>
        </w:rPr>
        <w:t xml:space="preserve"> </w:t>
      </w:r>
      <w:r w:rsidR="008E2748" w:rsidRPr="00FD211F">
        <w:rPr>
          <w:sz w:val="36"/>
          <w:szCs w:val="36"/>
          <w:rtl/>
        </w:rPr>
        <w:t>اي</w:t>
      </w:r>
      <w:r w:rsidR="00EC7EDF" w:rsidRPr="00FD211F">
        <w:rPr>
          <w:sz w:val="36"/>
          <w:szCs w:val="36"/>
          <w:rtl/>
        </w:rPr>
        <w:t>ة</w:t>
      </w:r>
      <w:r w:rsidR="00E8128F">
        <w:rPr>
          <w:sz w:val="36"/>
          <w:szCs w:val="36"/>
          <w:rtl/>
        </w:rPr>
        <w:t xml:space="preserve"> </w:t>
      </w:r>
      <w:r w:rsidR="008E2748" w:rsidRPr="00FD211F">
        <w:rPr>
          <w:sz w:val="36"/>
          <w:szCs w:val="36"/>
          <w:rtl/>
        </w:rPr>
        <w:t>خصوصي</w:t>
      </w:r>
      <w:r w:rsidR="00EC7EDF" w:rsidRPr="00FD211F">
        <w:rPr>
          <w:sz w:val="36"/>
          <w:szCs w:val="36"/>
          <w:rtl/>
        </w:rPr>
        <w:t>ة</w:t>
      </w:r>
      <w:r w:rsidR="00A61BAE" w:rsidRPr="00FD211F">
        <w:rPr>
          <w:sz w:val="36"/>
          <w:szCs w:val="36"/>
          <w:rtl/>
        </w:rPr>
        <w:t>.</w:t>
      </w:r>
    </w:p>
    <w:p w14:paraId="5B0668A4" w14:textId="77777777" w:rsidR="000C5BBA" w:rsidRPr="00FD211F" w:rsidRDefault="000F72F5" w:rsidP="009C58C8">
      <w:pPr>
        <w:pStyle w:val="a4"/>
        <w:ind w:left="0" w:firstLine="227"/>
        <w:jc w:val="both"/>
        <w:rPr>
          <w:sz w:val="36"/>
          <w:szCs w:val="36"/>
          <w:rtl/>
        </w:rPr>
      </w:pPr>
      <w:r w:rsidRPr="00FD211F">
        <w:rPr>
          <w:sz w:val="36"/>
          <w:szCs w:val="36"/>
          <w:rtl/>
        </w:rPr>
        <w:t>واما</w:t>
      </w:r>
      <w:r w:rsidR="00E8128F">
        <w:rPr>
          <w:sz w:val="36"/>
          <w:szCs w:val="36"/>
          <w:rtl/>
        </w:rPr>
        <w:t xml:space="preserve"> </w:t>
      </w:r>
      <w:r w:rsidR="00C55A67" w:rsidRPr="00FD211F">
        <w:rPr>
          <w:sz w:val="36"/>
          <w:szCs w:val="36"/>
          <w:rtl/>
        </w:rPr>
        <w:t>بناء</w:t>
      </w:r>
      <w:r w:rsidR="00E8128F">
        <w:rPr>
          <w:sz w:val="36"/>
          <w:szCs w:val="36"/>
          <w:rtl/>
        </w:rPr>
        <w:t xml:space="preserve"> </w:t>
      </w:r>
      <w:r w:rsidR="00C55A67" w:rsidRPr="00FD211F">
        <w:rPr>
          <w:sz w:val="36"/>
          <w:szCs w:val="36"/>
          <w:rtl/>
        </w:rPr>
        <w:t>على</w:t>
      </w:r>
      <w:r w:rsidR="00E8128F">
        <w:rPr>
          <w:sz w:val="36"/>
          <w:szCs w:val="36"/>
          <w:rtl/>
        </w:rPr>
        <w:t xml:space="preserve"> </w:t>
      </w:r>
      <w:r w:rsidR="00EF77D9" w:rsidRPr="00FD211F">
        <w:rPr>
          <w:sz w:val="36"/>
          <w:szCs w:val="36"/>
          <w:rtl/>
        </w:rPr>
        <w:t>المسلك</w:t>
      </w:r>
      <w:r w:rsidR="00E8128F">
        <w:rPr>
          <w:sz w:val="36"/>
          <w:szCs w:val="36"/>
          <w:rtl/>
        </w:rPr>
        <w:t xml:space="preserve"> </w:t>
      </w:r>
      <w:r w:rsidR="00EF77D9" w:rsidRPr="00FD211F">
        <w:rPr>
          <w:sz w:val="36"/>
          <w:szCs w:val="36"/>
          <w:rtl/>
        </w:rPr>
        <w:t>من</w:t>
      </w:r>
      <w:r w:rsidR="00E8128F">
        <w:rPr>
          <w:sz w:val="36"/>
          <w:szCs w:val="36"/>
          <w:rtl/>
        </w:rPr>
        <w:t xml:space="preserve"> </w:t>
      </w:r>
      <w:r w:rsidR="00EF77D9" w:rsidRPr="00FD211F">
        <w:rPr>
          <w:sz w:val="36"/>
          <w:szCs w:val="36"/>
          <w:rtl/>
        </w:rPr>
        <w:t>يرى</w:t>
      </w:r>
      <w:r w:rsidR="00E8128F">
        <w:rPr>
          <w:sz w:val="36"/>
          <w:szCs w:val="36"/>
          <w:rtl/>
        </w:rPr>
        <w:t xml:space="preserve"> </w:t>
      </w:r>
      <w:r w:rsidR="00C55A67" w:rsidRPr="00FD211F">
        <w:rPr>
          <w:sz w:val="36"/>
          <w:szCs w:val="36"/>
          <w:rtl/>
        </w:rPr>
        <w:t>كون</w:t>
      </w:r>
      <w:r w:rsidR="00E8128F">
        <w:rPr>
          <w:sz w:val="36"/>
          <w:szCs w:val="36"/>
          <w:rtl/>
        </w:rPr>
        <w:t xml:space="preserve"> </w:t>
      </w:r>
      <w:r w:rsidR="00C55A67" w:rsidRPr="00FD211F">
        <w:rPr>
          <w:sz w:val="36"/>
          <w:szCs w:val="36"/>
          <w:rtl/>
        </w:rPr>
        <w:t>تقابل</w:t>
      </w:r>
      <w:r w:rsidR="00E8128F">
        <w:rPr>
          <w:sz w:val="36"/>
          <w:szCs w:val="36"/>
          <w:rtl/>
        </w:rPr>
        <w:t xml:space="preserve"> </w:t>
      </w:r>
      <w:r w:rsidR="00C55A67" w:rsidRPr="00FD211F">
        <w:rPr>
          <w:sz w:val="36"/>
          <w:szCs w:val="36"/>
          <w:rtl/>
        </w:rPr>
        <w:t>الاطلاق</w:t>
      </w:r>
      <w:r w:rsidR="00E8128F">
        <w:rPr>
          <w:sz w:val="36"/>
          <w:szCs w:val="36"/>
          <w:rtl/>
        </w:rPr>
        <w:t xml:space="preserve"> </w:t>
      </w:r>
      <w:r w:rsidR="00EF77D9" w:rsidRPr="00FD211F">
        <w:rPr>
          <w:sz w:val="36"/>
          <w:szCs w:val="36"/>
          <w:rtl/>
        </w:rPr>
        <w:t>والتقييد</w:t>
      </w:r>
      <w:r w:rsidR="00E8128F">
        <w:rPr>
          <w:sz w:val="36"/>
          <w:szCs w:val="36"/>
          <w:rtl/>
        </w:rPr>
        <w:t xml:space="preserve"> </w:t>
      </w:r>
      <w:r w:rsidR="00EF77D9" w:rsidRPr="00FD211F">
        <w:rPr>
          <w:sz w:val="36"/>
          <w:szCs w:val="36"/>
          <w:rtl/>
        </w:rPr>
        <w:t>الثبوتيين</w:t>
      </w:r>
      <w:r w:rsidR="00E8128F">
        <w:rPr>
          <w:sz w:val="36"/>
          <w:szCs w:val="36"/>
          <w:rtl/>
        </w:rPr>
        <w:t xml:space="preserve"> </w:t>
      </w:r>
      <w:r w:rsidR="00EF77D9" w:rsidRPr="00FD211F">
        <w:rPr>
          <w:sz w:val="36"/>
          <w:szCs w:val="36"/>
          <w:rtl/>
        </w:rPr>
        <w:t>تقابل</w:t>
      </w:r>
      <w:r w:rsidR="00E8128F">
        <w:rPr>
          <w:sz w:val="36"/>
          <w:szCs w:val="36"/>
          <w:rtl/>
        </w:rPr>
        <w:t xml:space="preserve"> </w:t>
      </w:r>
      <w:r w:rsidR="00EF77D9" w:rsidRPr="00FD211F">
        <w:rPr>
          <w:sz w:val="36"/>
          <w:szCs w:val="36"/>
          <w:rtl/>
        </w:rPr>
        <w:t>السلب</w:t>
      </w:r>
      <w:r w:rsidR="00E8128F">
        <w:rPr>
          <w:sz w:val="36"/>
          <w:szCs w:val="36"/>
          <w:rtl/>
        </w:rPr>
        <w:t xml:space="preserve"> </w:t>
      </w:r>
      <w:r w:rsidR="00C55A67" w:rsidRPr="00FD211F">
        <w:rPr>
          <w:sz w:val="36"/>
          <w:szCs w:val="36"/>
          <w:rtl/>
        </w:rPr>
        <w:t>والايجاب</w:t>
      </w:r>
      <w:r w:rsidR="00603323" w:rsidRPr="00FD211F">
        <w:rPr>
          <w:sz w:val="36"/>
          <w:szCs w:val="36"/>
          <w:rtl/>
        </w:rPr>
        <w:t>،</w:t>
      </w:r>
      <w:r w:rsidR="00E8128F">
        <w:rPr>
          <w:sz w:val="36"/>
          <w:szCs w:val="36"/>
          <w:rtl/>
        </w:rPr>
        <w:t xml:space="preserve"> </w:t>
      </w:r>
      <w:r w:rsidR="00CE5809" w:rsidRPr="00FD211F">
        <w:rPr>
          <w:sz w:val="36"/>
          <w:szCs w:val="36"/>
          <w:rtl/>
        </w:rPr>
        <w:t>فقد</w:t>
      </w:r>
      <w:r w:rsidR="00E8128F">
        <w:rPr>
          <w:sz w:val="36"/>
          <w:szCs w:val="36"/>
          <w:rtl/>
        </w:rPr>
        <w:t xml:space="preserve"> </w:t>
      </w:r>
      <w:r w:rsidR="00CE5809" w:rsidRPr="00FD211F">
        <w:rPr>
          <w:sz w:val="36"/>
          <w:szCs w:val="36"/>
          <w:rtl/>
        </w:rPr>
        <w:t>يقال</w:t>
      </w:r>
      <w:r w:rsidR="00E8128F">
        <w:rPr>
          <w:sz w:val="36"/>
          <w:szCs w:val="36"/>
          <w:rtl/>
        </w:rPr>
        <w:t xml:space="preserve"> </w:t>
      </w:r>
      <w:r w:rsidR="00CE5809" w:rsidRPr="00FD211F">
        <w:rPr>
          <w:sz w:val="36"/>
          <w:szCs w:val="36"/>
          <w:rtl/>
        </w:rPr>
        <w:t>بانه</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الاطلاق</w:t>
      </w:r>
      <w:r w:rsidR="00E8128F">
        <w:rPr>
          <w:sz w:val="36"/>
          <w:szCs w:val="36"/>
          <w:rtl/>
        </w:rPr>
        <w:t xml:space="preserve"> </w:t>
      </w:r>
      <w:r w:rsidRPr="00FD211F">
        <w:rPr>
          <w:sz w:val="36"/>
          <w:szCs w:val="36"/>
          <w:rtl/>
        </w:rPr>
        <w:t>نفس</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التقييد</w:t>
      </w:r>
      <w:r w:rsidR="00E8128F">
        <w:rPr>
          <w:sz w:val="36"/>
          <w:szCs w:val="36"/>
          <w:rtl/>
        </w:rPr>
        <w:t xml:space="preserve"> </w:t>
      </w:r>
      <w:r w:rsidRPr="00FD211F">
        <w:rPr>
          <w:sz w:val="36"/>
          <w:szCs w:val="36"/>
          <w:rtl/>
        </w:rPr>
        <w:t>ف</w:t>
      </w:r>
      <w:r w:rsidR="00C55A67" w:rsidRPr="00FD211F">
        <w:rPr>
          <w:sz w:val="36"/>
          <w:szCs w:val="36"/>
          <w:rtl/>
        </w:rPr>
        <w:t>يجري</w:t>
      </w:r>
      <w:r w:rsidR="00E8128F">
        <w:rPr>
          <w:sz w:val="36"/>
          <w:szCs w:val="36"/>
          <w:rtl/>
        </w:rPr>
        <w:t xml:space="preserve"> </w:t>
      </w:r>
      <w:r w:rsidR="00C55A67" w:rsidRPr="00FD211F">
        <w:rPr>
          <w:sz w:val="36"/>
          <w:szCs w:val="36"/>
          <w:rtl/>
        </w:rPr>
        <w:t>استصحاب</w:t>
      </w:r>
      <w:r w:rsidR="00E8128F">
        <w:rPr>
          <w:sz w:val="36"/>
          <w:szCs w:val="36"/>
          <w:rtl/>
        </w:rPr>
        <w:t xml:space="preserve"> </w:t>
      </w:r>
      <w:r w:rsidR="00C55A67" w:rsidRPr="00FD211F">
        <w:rPr>
          <w:sz w:val="36"/>
          <w:szCs w:val="36"/>
          <w:rtl/>
        </w:rPr>
        <w:t>عدم</w:t>
      </w:r>
      <w:r w:rsidR="00E8128F">
        <w:rPr>
          <w:sz w:val="36"/>
          <w:szCs w:val="36"/>
          <w:rtl/>
        </w:rPr>
        <w:t xml:space="preserve"> </w:t>
      </w:r>
      <w:r w:rsidR="00C55A67" w:rsidRPr="00FD211F">
        <w:rPr>
          <w:sz w:val="36"/>
          <w:szCs w:val="36"/>
          <w:rtl/>
        </w:rPr>
        <w:t>اخذ</w:t>
      </w:r>
      <w:r w:rsidR="00E8128F">
        <w:rPr>
          <w:sz w:val="36"/>
          <w:szCs w:val="36"/>
          <w:rtl/>
        </w:rPr>
        <w:t xml:space="preserve"> </w:t>
      </w:r>
      <w:r w:rsidR="00CE5809" w:rsidRPr="00FD211F">
        <w:rPr>
          <w:sz w:val="36"/>
          <w:szCs w:val="36"/>
          <w:rtl/>
        </w:rPr>
        <w:t>ال</w:t>
      </w:r>
      <w:r w:rsidR="00C55A67" w:rsidRPr="00FD211F">
        <w:rPr>
          <w:sz w:val="36"/>
          <w:szCs w:val="36"/>
          <w:rtl/>
        </w:rPr>
        <w:t>خصوصي</w:t>
      </w:r>
      <w:r w:rsidR="00EC7EDF" w:rsidRPr="00FD211F">
        <w:rPr>
          <w:sz w:val="36"/>
          <w:szCs w:val="36"/>
          <w:rtl/>
        </w:rPr>
        <w:t>ة</w:t>
      </w:r>
      <w:r w:rsidR="00E8128F">
        <w:rPr>
          <w:sz w:val="36"/>
          <w:szCs w:val="36"/>
          <w:rtl/>
        </w:rPr>
        <w:t xml:space="preserve"> </w:t>
      </w:r>
      <w:r w:rsidR="00CE5809" w:rsidRPr="00FD211F">
        <w:rPr>
          <w:sz w:val="36"/>
          <w:szCs w:val="36"/>
          <w:rtl/>
        </w:rPr>
        <w:t>الزائد</w:t>
      </w:r>
      <w:r w:rsidR="00EC7EDF" w:rsidRPr="00FD211F">
        <w:rPr>
          <w:sz w:val="36"/>
          <w:szCs w:val="36"/>
          <w:rtl/>
        </w:rPr>
        <w:t>ة</w:t>
      </w:r>
      <w:r w:rsidR="00E8128F">
        <w:rPr>
          <w:sz w:val="36"/>
          <w:szCs w:val="36"/>
          <w:rtl/>
        </w:rPr>
        <w:t xml:space="preserve"> </w:t>
      </w:r>
      <w:r w:rsidR="00C55A67" w:rsidRPr="00FD211F">
        <w:rPr>
          <w:sz w:val="36"/>
          <w:szCs w:val="36"/>
          <w:rtl/>
        </w:rPr>
        <w:t>قيدا</w:t>
      </w:r>
      <w:r w:rsidR="00E8128F">
        <w:rPr>
          <w:sz w:val="36"/>
          <w:szCs w:val="36"/>
          <w:rtl/>
        </w:rPr>
        <w:t xml:space="preserve"> </w:t>
      </w:r>
      <w:r w:rsidR="00C55A67" w:rsidRPr="00FD211F">
        <w:rPr>
          <w:sz w:val="36"/>
          <w:szCs w:val="36"/>
          <w:rtl/>
        </w:rPr>
        <w:t>وبضم</w:t>
      </w:r>
      <w:r w:rsidR="00E8128F">
        <w:rPr>
          <w:sz w:val="36"/>
          <w:szCs w:val="36"/>
          <w:rtl/>
        </w:rPr>
        <w:t xml:space="preserve"> </w:t>
      </w:r>
      <w:r w:rsidR="00C55A67" w:rsidRPr="00FD211F">
        <w:rPr>
          <w:sz w:val="36"/>
          <w:szCs w:val="36"/>
          <w:rtl/>
        </w:rPr>
        <w:t>احراز</w:t>
      </w:r>
      <w:r w:rsidR="00E8128F">
        <w:rPr>
          <w:sz w:val="36"/>
          <w:szCs w:val="36"/>
          <w:rtl/>
        </w:rPr>
        <w:t xml:space="preserve"> </w:t>
      </w:r>
      <w:r w:rsidR="00C55A67" w:rsidRPr="00FD211F">
        <w:rPr>
          <w:sz w:val="36"/>
          <w:szCs w:val="36"/>
          <w:rtl/>
        </w:rPr>
        <w:t>اخذ</w:t>
      </w:r>
      <w:r w:rsidR="00E8128F">
        <w:rPr>
          <w:sz w:val="36"/>
          <w:szCs w:val="36"/>
          <w:rtl/>
        </w:rPr>
        <w:t xml:space="preserve"> </w:t>
      </w:r>
      <w:r w:rsidR="00C55A67" w:rsidRPr="00FD211F">
        <w:rPr>
          <w:sz w:val="36"/>
          <w:szCs w:val="36"/>
          <w:rtl/>
        </w:rPr>
        <w:t>الجامع</w:t>
      </w:r>
      <w:r w:rsidR="00E8128F">
        <w:rPr>
          <w:sz w:val="36"/>
          <w:szCs w:val="36"/>
          <w:rtl/>
        </w:rPr>
        <w:t xml:space="preserve"> </w:t>
      </w:r>
      <w:r w:rsidR="00C55A67" w:rsidRPr="00FD211F">
        <w:rPr>
          <w:sz w:val="36"/>
          <w:szCs w:val="36"/>
          <w:rtl/>
        </w:rPr>
        <w:t>في</w:t>
      </w:r>
      <w:r w:rsidR="00E8128F">
        <w:rPr>
          <w:sz w:val="36"/>
          <w:szCs w:val="36"/>
          <w:rtl/>
        </w:rPr>
        <w:t xml:space="preserve"> </w:t>
      </w:r>
      <w:r w:rsidR="00C55A67" w:rsidRPr="00FD211F">
        <w:rPr>
          <w:sz w:val="36"/>
          <w:szCs w:val="36"/>
          <w:rtl/>
        </w:rPr>
        <w:t>المعنى</w:t>
      </w:r>
      <w:r w:rsidR="00E8128F">
        <w:rPr>
          <w:sz w:val="36"/>
          <w:szCs w:val="36"/>
          <w:rtl/>
        </w:rPr>
        <w:t xml:space="preserve"> </w:t>
      </w:r>
      <w:r w:rsidR="00C55A67" w:rsidRPr="00FD211F">
        <w:rPr>
          <w:sz w:val="36"/>
          <w:szCs w:val="36"/>
          <w:rtl/>
        </w:rPr>
        <w:t>يحرز</w:t>
      </w:r>
      <w:r w:rsidR="00E8128F">
        <w:rPr>
          <w:sz w:val="36"/>
          <w:szCs w:val="36"/>
          <w:rtl/>
        </w:rPr>
        <w:t xml:space="preserve"> </w:t>
      </w:r>
      <w:r w:rsidR="00C55A67" w:rsidRPr="00FD211F">
        <w:rPr>
          <w:sz w:val="36"/>
          <w:szCs w:val="36"/>
          <w:rtl/>
        </w:rPr>
        <w:t>الاطلاق</w:t>
      </w:r>
      <w:r w:rsidR="00603323" w:rsidRPr="00FD211F">
        <w:rPr>
          <w:sz w:val="36"/>
          <w:szCs w:val="36"/>
          <w:rtl/>
        </w:rPr>
        <w:t>،</w:t>
      </w:r>
      <w:r w:rsidR="00E8128F">
        <w:rPr>
          <w:sz w:val="36"/>
          <w:szCs w:val="36"/>
          <w:rtl/>
        </w:rPr>
        <w:t xml:space="preserve"> </w:t>
      </w:r>
      <w:r w:rsidR="00C55A67" w:rsidRPr="00FD211F">
        <w:rPr>
          <w:sz w:val="36"/>
          <w:szCs w:val="36"/>
          <w:rtl/>
        </w:rPr>
        <w:t>ولا</w:t>
      </w:r>
      <w:r w:rsidRPr="00FD211F">
        <w:rPr>
          <w:sz w:val="36"/>
          <w:szCs w:val="36"/>
          <w:rtl/>
        </w:rPr>
        <w:t>يعارضه</w:t>
      </w:r>
      <w:r w:rsidR="00E8128F">
        <w:rPr>
          <w:sz w:val="36"/>
          <w:szCs w:val="36"/>
          <w:rtl/>
        </w:rPr>
        <w:t xml:space="preserve"> </w:t>
      </w:r>
      <w:r w:rsidR="00CE5809" w:rsidRPr="00FD211F">
        <w:rPr>
          <w:sz w:val="36"/>
          <w:szCs w:val="36"/>
          <w:rtl/>
        </w:rPr>
        <w:t>استصحاب</w:t>
      </w:r>
      <w:r w:rsidR="00E8128F">
        <w:rPr>
          <w:sz w:val="36"/>
          <w:szCs w:val="36"/>
          <w:rtl/>
        </w:rPr>
        <w:t xml:space="preserve"> </w:t>
      </w:r>
      <w:r w:rsidR="00C55A67" w:rsidRPr="00FD211F">
        <w:rPr>
          <w:sz w:val="36"/>
          <w:szCs w:val="36"/>
          <w:rtl/>
        </w:rPr>
        <w:t>عدم</w:t>
      </w:r>
      <w:r w:rsidR="00E8128F">
        <w:rPr>
          <w:sz w:val="36"/>
          <w:szCs w:val="36"/>
          <w:rtl/>
        </w:rPr>
        <w:t xml:space="preserve"> </w:t>
      </w:r>
      <w:r w:rsidR="00C55A67" w:rsidRPr="00FD211F">
        <w:rPr>
          <w:sz w:val="36"/>
          <w:szCs w:val="36"/>
          <w:rtl/>
        </w:rPr>
        <w:t>الوضع</w:t>
      </w:r>
      <w:r w:rsidR="00E8128F">
        <w:rPr>
          <w:sz w:val="36"/>
          <w:szCs w:val="36"/>
          <w:rtl/>
        </w:rPr>
        <w:t xml:space="preserve"> </w:t>
      </w:r>
      <w:r w:rsidR="00C55A67" w:rsidRPr="00FD211F">
        <w:rPr>
          <w:sz w:val="36"/>
          <w:szCs w:val="36"/>
          <w:rtl/>
        </w:rPr>
        <w:t>للأعم</w:t>
      </w:r>
      <w:r w:rsidR="00603323" w:rsidRPr="00FD211F">
        <w:rPr>
          <w:sz w:val="36"/>
          <w:szCs w:val="36"/>
          <w:rtl/>
        </w:rPr>
        <w:t>،</w:t>
      </w:r>
      <w:r w:rsidR="00E8128F">
        <w:rPr>
          <w:sz w:val="36"/>
          <w:szCs w:val="36"/>
          <w:rtl/>
        </w:rPr>
        <w:t xml:space="preserve"> </w:t>
      </w:r>
      <w:r w:rsidR="00C55A67" w:rsidRPr="00FD211F">
        <w:rPr>
          <w:sz w:val="36"/>
          <w:szCs w:val="36"/>
          <w:rtl/>
        </w:rPr>
        <w:t>لان</w:t>
      </w:r>
      <w:r w:rsidR="00E8128F">
        <w:rPr>
          <w:sz w:val="36"/>
          <w:szCs w:val="36"/>
          <w:rtl/>
        </w:rPr>
        <w:t xml:space="preserve"> </w:t>
      </w:r>
      <w:r w:rsidR="00CE5809" w:rsidRPr="00FD211F">
        <w:rPr>
          <w:sz w:val="36"/>
          <w:szCs w:val="36"/>
          <w:rtl/>
        </w:rPr>
        <w:t>المفروض</w:t>
      </w:r>
      <w:r w:rsidR="00E8128F">
        <w:rPr>
          <w:sz w:val="36"/>
          <w:szCs w:val="36"/>
          <w:rtl/>
        </w:rPr>
        <w:t xml:space="preserve"> </w:t>
      </w:r>
      <w:r w:rsidR="00EF77D9" w:rsidRPr="00FD211F">
        <w:rPr>
          <w:sz w:val="36"/>
          <w:szCs w:val="36"/>
          <w:rtl/>
        </w:rPr>
        <w:t>ان</w:t>
      </w:r>
      <w:r w:rsidR="00E8128F">
        <w:rPr>
          <w:sz w:val="36"/>
          <w:szCs w:val="36"/>
          <w:rtl/>
        </w:rPr>
        <w:t xml:space="preserve"> </w:t>
      </w:r>
      <w:r w:rsidR="00EF77D9" w:rsidRPr="00FD211F">
        <w:rPr>
          <w:sz w:val="36"/>
          <w:szCs w:val="36"/>
          <w:rtl/>
        </w:rPr>
        <w:t>المعنى</w:t>
      </w:r>
      <w:r w:rsidR="00E8128F">
        <w:rPr>
          <w:sz w:val="36"/>
          <w:szCs w:val="36"/>
          <w:rtl/>
        </w:rPr>
        <w:t xml:space="preserve"> </w:t>
      </w:r>
      <w:r w:rsidR="00EF77D9" w:rsidRPr="00FD211F">
        <w:rPr>
          <w:sz w:val="36"/>
          <w:szCs w:val="36"/>
          <w:rtl/>
        </w:rPr>
        <w:t>الأعم</w:t>
      </w:r>
      <w:r w:rsidR="00E8128F">
        <w:rPr>
          <w:sz w:val="36"/>
          <w:szCs w:val="36"/>
          <w:rtl/>
        </w:rPr>
        <w:t xml:space="preserve"> </w:t>
      </w:r>
      <w:r w:rsidR="00EF77D9" w:rsidRPr="00FD211F">
        <w:rPr>
          <w:sz w:val="36"/>
          <w:szCs w:val="36"/>
          <w:rtl/>
        </w:rPr>
        <w:t>داخل</w:t>
      </w:r>
      <w:r w:rsidR="00E8128F">
        <w:rPr>
          <w:sz w:val="36"/>
          <w:szCs w:val="36"/>
          <w:rtl/>
        </w:rPr>
        <w:t xml:space="preserve"> </w:t>
      </w:r>
      <w:r w:rsidR="00EF77D9" w:rsidRPr="00FD211F">
        <w:rPr>
          <w:sz w:val="36"/>
          <w:szCs w:val="36"/>
          <w:rtl/>
        </w:rPr>
        <w:t>في</w:t>
      </w:r>
      <w:r w:rsidR="00E8128F">
        <w:rPr>
          <w:sz w:val="36"/>
          <w:szCs w:val="36"/>
          <w:rtl/>
        </w:rPr>
        <w:t xml:space="preserve"> </w:t>
      </w:r>
      <w:r w:rsidR="00EF77D9" w:rsidRPr="00FD211F">
        <w:rPr>
          <w:sz w:val="36"/>
          <w:szCs w:val="36"/>
          <w:rtl/>
        </w:rPr>
        <w:t>المعنى</w:t>
      </w:r>
      <w:r w:rsidR="00E8128F">
        <w:rPr>
          <w:sz w:val="36"/>
          <w:szCs w:val="36"/>
          <w:rtl/>
        </w:rPr>
        <w:t xml:space="preserve"> </w:t>
      </w:r>
      <w:r w:rsidR="00CE5809" w:rsidRPr="00FD211F">
        <w:rPr>
          <w:sz w:val="36"/>
          <w:szCs w:val="36"/>
          <w:rtl/>
        </w:rPr>
        <w:t>الموضوع</w:t>
      </w:r>
      <w:r w:rsidR="00E8128F">
        <w:rPr>
          <w:sz w:val="36"/>
          <w:szCs w:val="36"/>
          <w:rtl/>
        </w:rPr>
        <w:t xml:space="preserve"> </w:t>
      </w:r>
      <w:r w:rsidR="00CE5809" w:rsidRPr="00FD211F">
        <w:rPr>
          <w:sz w:val="36"/>
          <w:szCs w:val="36"/>
          <w:rtl/>
        </w:rPr>
        <w:t>له</w:t>
      </w:r>
      <w:r w:rsidR="00E8128F">
        <w:rPr>
          <w:sz w:val="36"/>
          <w:szCs w:val="36"/>
          <w:rtl/>
        </w:rPr>
        <w:t xml:space="preserve"> </w:t>
      </w:r>
      <w:r w:rsidR="00CE5809" w:rsidRPr="00FD211F">
        <w:rPr>
          <w:sz w:val="36"/>
          <w:szCs w:val="36"/>
          <w:rtl/>
        </w:rPr>
        <w:t>جزما</w:t>
      </w:r>
      <w:r w:rsidR="00603323" w:rsidRPr="00FD211F">
        <w:rPr>
          <w:sz w:val="36"/>
          <w:szCs w:val="36"/>
          <w:rtl/>
        </w:rPr>
        <w:t>،</w:t>
      </w:r>
      <w:r w:rsidR="00E8128F">
        <w:rPr>
          <w:sz w:val="36"/>
          <w:szCs w:val="36"/>
          <w:rtl/>
        </w:rPr>
        <w:t xml:space="preserve"> </w:t>
      </w:r>
      <w:r w:rsidR="00C55A67" w:rsidRPr="00FD211F">
        <w:rPr>
          <w:sz w:val="36"/>
          <w:szCs w:val="36"/>
          <w:rtl/>
        </w:rPr>
        <w:t>وانما</w:t>
      </w:r>
      <w:r w:rsidR="00E8128F">
        <w:rPr>
          <w:sz w:val="36"/>
          <w:szCs w:val="36"/>
          <w:rtl/>
        </w:rPr>
        <w:t xml:space="preserve"> </w:t>
      </w:r>
      <w:r w:rsidR="00C55A67" w:rsidRPr="00FD211F">
        <w:rPr>
          <w:sz w:val="36"/>
          <w:szCs w:val="36"/>
          <w:rtl/>
        </w:rPr>
        <w:t>الشك</w:t>
      </w:r>
      <w:r w:rsidR="00E8128F">
        <w:rPr>
          <w:sz w:val="36"/>
          <w:szCs w:val="36"/>
          <w:rtl/>
        </w:rPr>
        <w:t xml:space="preserve"> </w:t>
      </w:r>
      <w:r w:rsidR="00C55A67" w:rsidRPr="00FD211F">
        <w:rPr>
          <w:sz w:val="36"/>
          <w:szCs w:val="36"/>
          <w:rtl/>
        </w:rPr>
        <w:t>في</w:t>
      </w:r>
      <w:r w:rsidR="00E8128F">
        <w:rPr>
          <w:sz w:val="36"/>
          <w:szCs w:val="36"/>
          <w:rtl/>
        </w:rPr>
        <w:t xml:space="preserve"> </w:t>
      </w:r>
      <w:r w:rsidR="00C55A67" w:rsidRPr="00FD211F">
        <w:rPr>
          <w:sz w:val="36"/>
          <w:szCs w:val="36"/>
          <w:rtl/>
        </w:rPr>
        <w:t>اخذ</w:t>
      </w:r>
      <w:r w:rsidR="00E8128F">
        <w:rPr>
          <w:sz w:val="36"/>
          <w:szCs w:val="36"/>
          <w:rtl/>
        </w:rPr>
        <w:t xml:space="preserve"> </w:t>
      </w:r>
      <w:r w:rsidR="00C55A67" w:rsidRPr="00FD211F">
        <w:rPr>
          <w:sz w:val="36"/>
          <w:szCs w:val="36"/>
          <w:rtl/>
        </w:rPr>
        <w:t>قيد</w:t>
      </w:r>
      <w:r w:rsidR="00E8128F">
        <w:rPr>
          <w:sz w:val="36"/>
          <w:szCs w:val="36"/>
          <w:rtl/>
        </w:rPr>
        <w:t xml:space="preserve"> </w:t>
      </w:r>
      <w:r w:rsidR="00CE5809" w:rsidRPr="00FD211F">
        <w:rPr>
          <w:sz w:val="36"/>
          <w:szCs w:val="36"/>
          <w:rtl/>
        </w:rPr>
        <w:t>آخر</w:t>
      </w:r>
      <w:r w:rsidR="00E8128F">
        <w:rPr>
          <w:sz w:val="36"/>
          <w:szCs w:val="36"/>
          <w:rtl/>
        </w:rPr>
        <w:t xml:space="preserve"> </w:t>
      </w:r>
      <w:r w:rsidR="00C55A67" w:rsidRPr="00FD211F">
        <w:rPr>
          <w:sz w:val="36"/>
          <w:szCs w:val="36"/>
          <w:rtl/>
        </w:rPr>
        <w:t>معه</w:t>
      </w:r>
      <w:r w:rsidR="00E8128F">
        <w:rPr>
          <w:sz w:val="36"/>
          <w:szCs w:val="36"/>
          <w:rtl/>
        </w:rPr>
        <w:t xml:space="preserve"> </w:t>
      </w:r>
      <w:r w:rsidR="00CE5809" w:rsidRPr="00FD211F">
        <w:rPr>
          <w:sz w:val="36"/>
          <w:szCs w:val="36"/>
          <w:rtl/>
        </w:rPr>
        <w:t>فيجري</w:t>
      </w:r>
      <w:r w:rsidR="00E8128F">
        <w:rPr>
          <w:sz w:val="36"/>
          <w:szCs w:val="36"/>
          <w:rtl/>
        </w:rPr>
        <w:t xml:space="preserve"> </w:t>
      </w:r>
      <w:r w:rsidR="00CE5809" w:rsidRPr="00FD211F">
        <w:rPr>
          <w:sz w:val="36"/>
          <w:szCs w:val="36"/>
          <w:rtl/>
        </w:rPr>
        <w:t>استصحاب</w:t>
      </w:r>
      <w:r w:rsidR="00E8128F">
        <w:rPr>
          <w:sz w:val="36"/>
          <w:szCs w:val="36"/>
          <w:rtl/>
        </w:rPr>
        <w:t xml:space="preserve"> </w:t>
      </w:r>
      <w:r w:rsidR="00CE5809" w:rsidRPr="00FD211F">
        <w:rPr>
          <w:sz w:val="36"/>
          <w:szCs w:val="36"/>
          <w:rtl/>
        </w:rPr>
        <w:t>عدمه.</w:t>
      </w:r>
      <w:r w:rsidR="00E8128F">
        <w:rPr>
          <w:rStyle w:val="a6"/>
          <w:sz w:val="36"/>
          <w:szCs w:val="36"/>
          <w:rtl/>
        </w:rPr>
        <w:t xml:space="preserve"> </w:t>
      </w:r>
    </w:p>
    <w:p w14:paraId="1FE93A4A" w14:textId="77777777" w:rsidR="00EF77D9" w:rsidRPr="00FD211F" w:rsidRDefault="00E70832" w:rsidP="009C58C8">
      <w:pPr>
        <w:pStyle w:val="a4"/>
        <w:ind w:left="0" w:firstLine="227"/>
        <w:jc w:val="both"/>
        <w:rPr>
          <w:sz w:val="36"/>
          <w:szCs w:val="36"/>
          <w:rtl/>
        </w:rPr>
      </w:pPr>
      <w:r w:rsidRPr="00FD211F">
        <w:rPr>
          <w:sz w:val="36"/>
          <w:szCs w:val="36"/>
          <w:rtl/>
        </w:rPr>
        <w:t>وقديبدو</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كلام</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في</w:t>
      </w:r>
      <w:r w:rsidR="00E8128F">
        <w:rPr>
          <w:sz w:val="36"/>
          <w:szCs w:val="36"/>
          <w:rtl/>
        </w:rPr>
        <w:t xml:space="preserve"> </w:t>
      </w:r>
      <w:r w:rsidR="00EF77D9" w:rsidRPr="00FD211F">
        <w:rPr>
          <w:sz w:val="36"/>
          <w:szCs w:val="36"/>
          <w:rtl/>
        </w:rPr>
        <w:t>المقام</w:t>
      </w:r>
      <w:r w:rsidR="00E8128F">
        <w:rPr>
          <w:sz w:val="36"/>
          <w:szCs w:val="36"/>
          <w:rtl/>
        </w:rPr>
        <w:t xml:space="preserve"> </w:t>
      </w:r>
      <w:r w:rsidR="00EF77D9" w:rsidRPr="00FD211F">
        <w:rPr>
          <w:sz w:val="36"/>
          <w:szCs w:val="36"/>
          <w:rtl/>
        </w:rPr>
        <w:t>انه</w:t>
      </w:r>
      <w:r w:rsidR="00E8128F">
        <w:rPr>
          <w:sz w:val="36"/>
          <w:szCs w:val="36"/>
          <w:rtl/>
        </w:rPr>
        <w:t xml:space="preserve"> </w:t>
      </w:r>
      <w:r w:rsidR="00EF77D9" w:rsidRPr="00FD211F">
        <w:rPr>
          <w:sz w:val="36"/>
          <w:szCs w:val="36"/>
          <w:rtl/>
        </w:rPr>
        <w:t>يلت</w:t>
      </w:r>
      <w:r w:rsidRPr="00FD211F">
        <w:rPr>
          <w:sz w:val="36"/>
          <w:szCs w:val="36"/>
          <w:rtl/>
        </w:rPr>
        <w:t>زم</w:t>
      </w:r>
      <w:r w:rsidR="00E8128F">
        <w:rPr>
          <w:sz w:val="36"/>
          <w:szCs w:val="36"/>
          <w:rtl/>
        </w:rPr>
        <w:t xml:space="preserve"> </w:t>
      </w:r>
      <w:r w:rsidRPr="00FD211F">
        <w:rPr>
          <w:sz w:val="36"/>
          <w:szCs w:val="36"/>
          <w:rtl/>
        </w:rPr>
        <w:t>بامكان</w:t>
      </w:r>
      <w:r w:rsidR="00E8128F">
        <w:rPr>
          <w:sz w:val="36"/>
          <w:szCs w:val="36"/>
          <w:rtl/>
        </w:rPr>
        <w:t xml:space="preserve"> </w:t>
      </w:r>
      <w:r w:rsidRPr="00FD211F">
        <w:rPr>
          <w:sz w:val="36"/>
          <w:szCs w:val="36"/>
          <w:rtl/>
        </w:rPr>
        <w:t>اثبات</w:t>
      </w:r>
      <w:r w:rsidR="00E8128F">
        <w:rPr>
          <w:sz w:val="36"/>
          <w:szCs w:val="36"/>
          <w:rtl/>
        </w:rPr>
        <w:t xml:space="preserve"> </w:t>
      </w:r>
      <w:r w:rsidRPr="00FD211F">
        <w:rPr>
          <w:sz w:val="36"/>
          <w:szCs w:val="36"/>
          <w:rtl/>
        </w:rPr>
        <w:t>الاطلاق</w:t>
      </w:r>
      <w:r w:rsidR="00E8128F">
        <w:rPr>
          <w:sz w:val="36"/>
          <w:szCs w:val="36"/>
          <w:rtl/>
        </w:rPr>
        <w:t xml:space="preserve"> </w:t>
      </w:r>
      <w:r w:rsidR="00EF77D9" w:rsidRPr="00FD211F">
        <w:rPr>
          <w:sz w:val="36"/>
          <w:szCs w:val="36"/>
          <w:rtl/>
        </w:rPr>
        <w:t>باستصحاب</w:t>
      </w:r>
      <w:r w:rsidR="00E8128F">
        <w:rPr>
          <w:sz w:val="36"/>
          <w:szCs w:val="36"/>
          <w:rtl/>
        </w:rPr>
        <w:t xml:space="preserve"> </w:t>
      </w:r>
      <w:r w:rsidR="00EF77D9" w:rsidRPr="00FD211F">
        <w:rPr>
          <w:sz w:val="36"/>
          <w:szCs w:val="36"/>
          <w:rtl/>
        </w:rPr>
        <w:t>عدم</w:t>
      </w:r>
      <w:r w:rsidR="00E8128F">
        <w:rPr>
          <w:sz w:val="36"/>
          <w:szCs w:val="36"/>
          <w:rtl/>
        </w:rPr>
        <w:t xml:space="preserve"> </w:t>
      </w:r>
      <w:r w:rsidR="00EF77D9" w:rsidRPr="00FD211F">
        <w:rPr>
          <w:sz w:val="36"/>
          <w:szCs w:val="36"/>
          <w:rtl/>
        </w:rPr>
        <w:t>التقييد</w:t>
      </w:r>
      <w:r w:rsidR="00603323" w:rsidRPr="00FD211F">
        <w:rPr>
          <w:sz w:val="36"/>
          <w:szCs w:val="36"/>
          <w:rtl/>
        </w:rPr>
        <w:t>،</w:t>
      </w:r>
      <w:r w:rsidR="00E8128F">
        <w:rPr>
          <w:sz w:val="36"/>
          <w:szCs w:val="36"/>
          <w:rtl/>
        </w:rPr>
        <w:t xml:space="preserve"> </w:t>
      </w:r>
      <w:r w:rsidR="00EF77D9" w:rsidRPr="00FD211F">
        <w:rPr>
          <w:sz w:val="36"/>
          <w:szCs w:val="36"/>
          <w:rtl/>
        </w:rPr>
        <w:t>بناء</w:t>
      </w:r>
      <w:r w:rsidR="00E8128F">
        <w:rPr>
          <w:sz w:val="36"/>
          <w:szCs w:val="36"/>
          <w:rtl/>
        </w:rPr>
        <w:t xml:space="preserve"> </w:t>
      </w:r>
      <w:r w:rsidR="00EF77D9" w:rsidRPr="00FD211F">
        <w:rPr>
          <w:sz w:val="36"/>
          <w:szCs w:val="36"/>
          <w:rtl/>
        </w:rPr>
        <w:t>على</w:t>
      </w:r>
      <w:r w:rsidR="00E8128F">
        <w:rPr>
          <w:sz w:val="36"/>
          <w:szCs w:val="36"/>
          <w:rtl/>
        </w:rPr>
        <w:t xml:space="preserve"> </w:t>
      </w:r>
      <w:r w:rsidR="00EF77D9" w:rsidRPr="00FD211F">
        <w:rPr>
          <w:sz w:val="36"/>
          <w:szCs w:val="36"/>
          <w:rtl/>
        </w:rPr>
        <w:t>كون</w:t>
      </w:r>
      <w:r w:rsidR="00E8128F">
        <w:rPr>
          <w:sz w:val="36"/>
          <w:szCs w:val="36"/>
          <w:rtl/>
        </w:rPr>
        <w:t xml:space="preserve"> </w:t>
      </w:r>
      <w:r w:rsidR="00EF77D9" w:rsidRPr="00FD211F">
        <w:rPr>
          <w:sz w:val="36"/>
          <w:szCs w:val="36"/>
          <w:rtl/>
        </w:rPr>
        <w:t>التقابل</w:t>
      </w:r>
      <w:r w:rsidR="00E8128F">
        <w:rPr>
          <w:sz w:val="36"/>
          <w:szCs w:val="36"/>
          <w:rtl/>
        </w:rPr>
        <w:t xml:space="preserve"> </w:t>
      </w:r>
      <w:r w:rsidR="00EF77D9" w:rsidRPr="00FD211F">
        <w:rPr>
          <w:sz w:val="36"/>
          <w:szCs w:val="36"/>
          <w:rtl/>
        </w:rPr>
        <w:t>بين</w:t>
      </w:r>
      <w:r w:rsidR="00E8128F">
        <w:rPr>
          <w:sz w:val="36"/>
          <w:szCs w:val="36"/>
          <w:rtl/>
        </w:rPr>
        <w:t xml:space="preserve"> </w:t>
      </w:r>
      <w:r w:rsidR="00EF77D9" w:rsidRPr="00FD211F">
        <w:rPr>
          <w:sz w:val="36"/>
          <w:szCs w:val="36"/>
          <w:rtl/>
        </w:rPr>
        <w:t>الاطلاق</w:t>
      </w:r>
      <w:r w:rsidR="00E8128F">
        <w:rPr>
          <w:sz w:val="36"/>
          <w:szCs w:val="36"/>
          <w:rtl/>
        </w:rPr>
        <w:t xml:space="preserve"> </w:t>
      </w:r>
      <w:r w:rsidR="00EF77D9" w:rsidRPr="00FD211F">
        <w:rPr>
          <w:sz w:val="36"/>
          <w:szCs w:val="36"/>
          <w:rtl/>
        </w:rPr>
        <w:t>والتقييد</w:t>
      </w:r>
      <w:r w:rsidR="00E8128F">
        <w:rPr>
          <w:sz w:val="36"/>
          <w:szCs w:val="36"/>
          <w:rtl/>
        </w:rPr>
        <w:t xml:space="preserve"> </w:t>
      </w:r>
      <w:r w:rsidR="00EF77D9" w:rsidRPr="00FD211F">
        <w:rPr>
          <w:sz w:val="36"/>
          <w:szCs w:val="36"/>
          <w:rtl/>
        </w:rPr>
        <w:t>الثبوتيين</w:t>
      </w:r>
      <w:r w:rsidR="00E8128F">
        <w:rPr>
          <w:sz w:val="36"/>
          <w:szCs w:val="36"/>
          <w:rtl/>
        </w:rPr>
        <w:t xml:space="preserve"> </w:t>
      </w:r>
      <w:r w:rsidR="00EF77D9" w:rsidRPr="00FD211F">
        <w:rPr>
          <w:sz w:val="36"/>
          <w:szCs w:val="36"/>
          <w:rtl/>
        </w:rPr>
        <w:t>تقابل</w:t>
      </w:r>
      <w:r w:rsidR="00E8128F">
        <w:rPr>
          <w:sz w:val="36"/>
          <w:szCs w:val="36"/>
          <w:rtl/>
        </w:rPr>
        <w:t xml:space="preserve"> </w:t>
      </w:r>
      <w:r w:rsidR="00EF77D9" w:rsidRPr="00FD211F">
        <w:rPr>
          <w:sz w:val="36"/>
          <w:szCs w:val="36"/>
          <w:rtl/>
        </w:rPr>
        <w:t>السلب</w:t>
      </w:r>
      <w:r w:rsidR="00E8128F">
        <w:rPr>
          <w:sz w:val="36"/>
          <w:szCs w:val="36"/>
          <w:rtl/>
        </w:rPr>
        <w:t xml:space="preserve"> </w:t>
      </w:r>
      <w:r w:rsidR="00EF77D9" w:rsidRPr="00FD211F">
        <w:rPr>
          <w:sz w:val="36"/>
          <w:szCs w:val="36"/>
          <w:rtl/>
        </w:rPr>
        <w:t>والإيجاب</w:t>
      </w:r>
      <w:r w:rsidR="00E8128F">
        <w:rPr>
          <w:sz w:val="36"/>
          <w:szCs w:val="36"/>
          <w:rtl/>
        </w:rPr>
        <w:t xml:space="preserve"> </w:t>
      </w:r>
      <w:r w:rsidR="00EF77D9" w:rsidRPr="00FD211F">
        <w:rPr>
          <w:sz w:val="36"/>
          <w:szCs w:val="36"/>
          <w:rtl/>
        </w:rPr>
        <w:t>–كما</w:t>
      </w:r>
      <w:r w:rsidR="00E8128F">
        <w:rPr>
          <w:sz w:val="36"/>
          <w:szCs w:val="36"/>
          <w:rtl/>
        </w:rPr>
        <w:t xml:space="preserve"> </w:t>
      </w:r>
      <w:r w:rsidR="00EF77D9" w:rsidRPr="00FD211F">
        <w:rPr>
          <w:sz w:val="36"/>
          <w:szCs w:val="36"/>
          <w:rtl/>
        </w:rPr>
        <w:t>هومسلكه</w:t>
      </w:r>
      <w:r w:rsidR="00E8128F">
        <w:rPr>
          <w:sz w:val="36"/>
          <w:szCs w:val="36"/>
          <w:rtl/>
        </w:rPr>
        <w:t xml:space="preserve"> </w:t>
      </w:r>
      <w:r w:rsidRPr="00FD211F">
        <w:rPr>
          <w:sz w:val="36"/>
          <w:szCs w:val="36"/>
          <w:rtl/>
        </w:rPr>
        <w:t>"</w:t>
      </w:r>
      <w:r w:rsidR="00EF77D9" w:rsidRPr="00FD211F">
        <w:rPr>
          <w:sz w:val="36"/>
          <w:szCs w:val="36"/>
          <w:rtl/>
        </w:rPr>
        <w:t>قده</w:t>
      </w:r>
      <w:r w:rsidRPr="00FD211F">
        <w:rPr>
          <w:sz w:val="36"/>
          <w:szCs w:val="36"/>
          <w:rtl/>
        </w:rPr>
        <w:t>"</w:t>
      </w:r>
      <w:r w:rsidR="00EF77D9" w:rsidRPr="00FD211F">
        <w:rPr>
          <w:sz w:val="36"/>
          <w:szCs w:val="36"/>
          <w:rtl/>
        </w:rPr>
        <w:t>-</w:t>
      </w:r>
      <w:r w:rsidR="00E8128F">
        <w:rPr>
          <w:sz w:val="36"/>
          <w:szCs w:val="36"/>
          <w:rtl/>
        </w:rPr>
        <w:t xml:space="preserve"> </w:t>
      </w:r>
      <w:r w:rsidR="00EF77D9" w:rsidRPr="00FD211F">
        <w:rPr>
          <w:sz w:val="36"/>
          <w:szCs w:val="36"/>
          <w:rtl/>
        </w:rPr>
        <w:t>و</w:t>
      </w:r>
      <w:r w:rsidRPr="00FD211F">
        <w:rPr>
          <w:sz w:val="36"/>
          <w:szCs w:val="36"/>
          <w:rtl/>
        </w:rPr>
        <w:t>هذامما</w:t>
      </w:r>
      <w:r w:rsidR="00EF77D9" w:rsidRPr="00FD211F">
        <w:rPr>
          <w:sz w:val="36"/>
          <w:szCs w:val="36"/>
          <w:rtl/>
        </w:rPr>
        <w:t>يترتب</w:t>
      </w:r>
      <w:r w:rsidR="00E8128F">
        <w:rPr>
          <w:sz w:val="36"/>
          <w:szCs w:val="36"/>
          <w:rtl/>
        </w:rPr>
        <w:t xml:space="preserve"> </w:t>
      </w:r>
      <w:r w:rsidR="00EF77D9" w:rsidRPr="00FD211F">
        <w:rPr>
          <w:sz w:val="36"/>
          <w:szCs w:val="36"/>
          <w:rtl/>
        </w:rPr>
        <w:t>عليه</w:t>
      </w:r>
      <w:r w:rsidR="00E8128F">
        <w:rPr>
          <w:sz w:val="36"/>
          <w:szCs w:val="36"/>
          <w:rtl/>
        </w:rPr>
        <w:t xml:space="preserve"> </w:t>
      </w:r>
      <w:r w:rsidR="00EF77D9" w:rsidRPr="00FD211F">
        <w:rPr>
          <w:sz w:val="36"/>
          <w:szCs w:val="36"/>
          <w:rtl/>
        </w:rPr>
        <w:t>ثمرات</w:t>
      </w:r>
      <w:r w:rsidR="00E8128F">
        <w:rPr>
          <w:sz w:val="36"/>
          <w:szCs w:val="36"/>
          <w:rtl/>
        </w:rPr>
        <w:t xml:space="preserve"> </w:t>
      </w:r>
      <w:r w:rsidR="00EF77D9" w:rsidRPr="00FD211F">
        <w:rPr>
          <w:sz w:val="36"/>
          <w:szCs w:val="36"/>
          <w:rtl/>
        </w:rPr>
        <w:t>مهم</w:t>
      </w:r>
      <w:r w:rsidR="00EC7EDF" w:rsidRPr="00FD211F">
        <w:rPr>
          <w:sz w:val="36"/>
          <w:szCs w:val="36"/>
          <w:rtl/>
        </w:rPr>
        <w:t>ة</w:t>
      </w:r>
      <w:r w:rsidR="00E8128F">
        <w:rPr>
          <w:sz w:val="36"/>
          <w:szCs w:val="36"/>
          <w:rtl/>
        </w:rPr>
        <w:t xml:space="preserve"> </w:t>
      </w:r>
      <w:r w:rsidR="00EF77D9" w:rsidRPr="00FD211F">
        <w:rPr>
          <w:sz w:val="36"/>
          <w:szCs w:val="36"/>
          <w:rtl/>
        </w:rPr>
        <w:t>في</w:t>
      </w:r>
      <w:r w:rsidR="00E8128F">
        <w:rPr>
          <w:sz w:val="36"/>
          <w:szCs w:val="36"/>
          <w:rtl/>
        </w:rPr>
        <w:t xml:space="preserve"> </w:t>
      </w:r>
      <w:r w:rsidR="00EF77D9" w:rsidRPr="00FD211F">
        <w:rPr>
          <w:sz w:val="36"/>
          <w:szCs w:val="36"/>
          <w:rtl/>
        </w:rPr>
        <w:t>الفقه</w:t>
      </w:r>
      <w:r w:rsidR="00603323" w:rsidRPr="00FD211F">
        <w:rPr>
          <w:sz w:val="36"/>
          <w:szCs w:val="36"/>
          <w:rtl/>
        </w:rPr>
        <w:t>،</w:t>
      </w:r>
      <w:r w:rsidR="00E8128F">
        <w:rPr>
          <w:sz w:val="36"/>
          <w:szCs w:val="36"/>
          <w:rtl/>
        </w:rPr>
        <w:t xml:space="preserve"> </w:t>
      </w:r>
      <w:r w:rsidR="00EF77D9" w:rsidRPr="00FD211F">
        <w:rPr>
          <w:sz w:val="36"/>
          <w:szCs w:val="36"/>
          <w:rtl/>
        </w:rPr>
        <w:t>فل</w:t>
      </w:r>
      <w:r w:rsidR="009977FE" w:rsidRPr="00FD211F">
        <w:rPr>
          <w:sz w:val="36"/>
          <w:szCs w:val="36"/>
          <w:rtl/>
        </w:rPr>
        <w:t>و</w:t>
      </w:r>
      <w:r w:rsidR="00E8128F">
        <w:rPr>
          <w:sz w:val="36"/>
          <w:szCs w:val="36"/>
          <w:rtl/>
        </w:rPr>
        <w:t xml:space="preserve"> </w:t>
      </w:r>
      <w:r w:rsidR="008D7B3D" w:rsidRPr="00FD211F">
        <w:rPr>
          <w:sz w:val="36"/>
          <w:szCs w:val="36"/>
          <w:rtl/>
        </w:rPr>
        <w:t>لم‌</w:t>
      </w:r>
      <w:r w:rsidR="00EF77D9" w:rsidRPr="00FD211F">
        <w:rPr>
          <w:sz w:val="36"/>
          <w:szCs w:val="36"/>
          <w:rtl/>
        </w:rPr>
        <w:t>ندر</w:t>
      </w:r>
      <w:r w:rsidR="00E8128F">
        <w:rPr>
          <w:sz w:val="36"/>
          <w:szCs w:val="36"/>
          <w:rtl/>
        </w:rPr>
        <w:t xml:space="preserve"> </w:t>
      </w:r>
      <w:r w:rsidR="00EF77D9" w:rsidRPr="00FD211F">
        <w:rPr>
          <w:sz w:val="36"/>
          <w:szCs w:val="36"/>
          <w:rtl/>
        </w:rPr>
        <w:t>ان</w:t>
      </w:r>
      <w:r w:rsidR="00E8128F">
        <w:rPr>
          <w:sz w:val="36"/>
          <w:szCs w:val="36"/>
          <w:rtl/>
        </w:rPr>
        <w:t xml:space="preserve"> </w:t>
      </w:r>
      <w:r w:rsidR="00EF77D9" w:rsidRPr="00FD211F">
        <w:rPr>
          <w:sz w:val="36"/>
          <w:szCs w:val="36"/>
          <w:rtl/>
        </w:rPr>
        <w:t>العقد</w:t>
      </w:r>
      <w:r w:rsidR="00E8128F">
        <w:rPr>
          <w:sz w:val="36"/>
          <w:szCs w:val="36"/>
          <w:rtl/>
        </w:rPr>
        <w:t xml:space="preserve"> </w:t>
      </w:r>
      <w:r w:rsidR="00EF77D9" w:rsidRPr="00FD211F">
        <w:rPr>
          <w:sz w:val="36"/>
          <w:szCs w:val="36"/>
          <w:rtl/>
        </w:rPr>
        <w:t>العربي</w:t>
      </w:r>
      <w:r w:rsidR="00E8128F">
        <w:rPr>
          <w:sz w:val="36"/>
          <w:szCs w:val="36"/>
          <w:rtl/>
        </w:rPr>
        <w:t xml:space="preserve"> </w:t>
      </w:r>
      <w:r w:rsidR="00EF77D9" w:rsidRPr="00FD211F">
        <w:rPr>
          <w:sz w:val="36"/>
          <w:szCs w:val="36"/>
          <w:rtl/>
        </w:rPr>
        <w:t>صحيح</w:t>
      </w:r>
      <w:r w:rsidR="00E8128F">
        <w:rPr>
          <w:sz w:val="36"/>
          <w:szCs w:val="36"/>
          <w:rtl/>
        </w:rPr>
        <w:t xml:space="preserve"> </w:t>
      </w:r>
      <w:r w:rsidR="00EF77D9" w:rsidRPr="00FD211F">
        <w:rPr>
          <w:sz w:val="36"/>
          <w:szCs w:val="36"/>
          <w:rtl/>
        </w:rPr>
        <w:t>او</w:t>
      </w:r>
      <w:r w:rsidR="00E8128F">
        <w:rPr>
          <w:sz w:val="36"/>
          <w:szCs w:val="36"/>
          <w:rtl/>
        </w:rPr>
        <w:t xml:space="preserve"> </w:t>
      </w:r>
      <w:r w:rsidR="00EF77D9" w:rsidRPr="00FD211F">
        <w:rPr>
          <w:sz w:val="36"/>
          <w:szCs w:val="36"/>
          <w:rtl/>
        </w:rPr>
        <w:t>مطلق</w:t>
      </w:r>
      <w:r w:rsidR="00E8128F">
        <w:rPr>
          <w:sz w:val="36"/>
          <w:szCs w:val="36"/>
          <w:rtl/>
        </w:rPr>
        <w:t xml:space="preserve"> </w:t>
      </w:r>
      <w:r w:rsidR="00EF77D9" w:rsidRPr="00FD211F">
        <w:rPr>
          <w:sz w:val="36"/>
          <w:szCs w:val="36"/>
          <w:rtl/>
        </w:rPr>
        <w:t>العقد</w:t>
      </w:r>
      <w:r w:rsidR="00E8128F">
        <w:rPr>
          <w:sz w:val="36"/>
          <w:szCs w:val="36"/>
          <w:rtl/>
        </w:rPr>
        <w:t xml:space="preserve"> </w:t>
      </w:r>
      <w:r w:rsidR="00EF77D9" w:rsidRPr="00FD211F">
        <w:rPr>
          <w:sz w:val="36"/>
          <w:szCs w:val="36"/>
          <w:rtl/>
        </w:rPr>
        <w:t>او</w:t>
      </w:r>
      <w:r w:rsidR="00E8128F">
        <w:rPr>
          <w:sz w:val="36"/>
          <w:szCs w:val="36"/>
          <w:rtl/>
        </w:rPr>
        <w:t xml:space="preserve"> </w:t>
      </w:r>
      <w:r w:rsidR="008D7B3D" w:rsidRPr="00FD211F">
        <w:rPr>
          <w:sz w:val="36"/>
          <w:szCs w:val="36"/>
          <w:rtl/>
        </w:rPr>
        <w:t>لم‌</w:t>
      </w:r>
      <w:r w:rsidR="00EF77D9" w:rsidRPr="00FD211F">
        <w:rPr>
          <w:sz w:val="36"/>
          <w:szCs w:val="36"/>
          <w:rtl/>
        </w:rPr>
        <w:t>ندر</w:t>
      </w:r>
      <w:r w:rsidR="00E8128F">
        <w:rPr>
          <w:sz w:val="36"/>
          <w:szCs w:val="36"/>
          <w:rtl/>
        </w:rPr>
        <w:t xml:space="preserve"> </w:t>
      </w:r>
      <w:r w:rsidR="00EF77D9" w:rsidRPr="00FD211F">
        <w:rPr>
          <w:sz w:val="36"/>
          <w:szCs w:val="36"/>
          <w:rtl/>
        </w:rPr>
        <w:t>ان</w:t>
      </w:r>
      <w:r w:rsidR="00E8128F">
        <w:rPr>
          <w:sz w:val="36"/>
          <w:szCs w:val="36"/>
          <w:rtl/>
        </w:rPr>
        <w:t xml:space="preserve"> </w:t>
      </w:r>
      <w:r w:rsidR="00EF77D9" w:rsidRPr="00FD211F">
        <w:rPr>
          <w:sz w:val="36"/>
          <w:szCs w:val="36"/>
          <w:rtl/>
        </w:rPr>
        <w:t>العالم</w:t>
      </w:r>
      <w:r w:rsidR="00E8128F">
        <w:rPr>
          <w:sz w:val="36"/>
          <w:szCs w:val="36"/>
          <w:rtl/>
        </w:rPr>
        <w:t xml:space="preserve"> </w:t>
      </w:r>
      <w:r w:rsidR="00EF77D9" w:rsidRPr="00FD211F">
        <w:rPr>
          <w:sz w:val="36"/>
          <w:szCs w:val="36"/>
          <w:rtl/>
        </w:rPr>
        <w:t>العادل</w:t>
      </w:r>
      <w:r w:rsidR="00E8128F">
        <w:rPr>
          <w:sz w:val="36"/>
          <w:szCs w:val="36"/>
          <w:rtl/>
        </w:rPr>
        <w:t xml:space="preserve"> </w:t>
      </w:r>
      <w:r w:rsidR="00EF77D9" w:rsidRPr="00FD211F">
        <w:rPr>
          <w:sz w:val="36"/>
          <w:szCs w:val="36"/>
          <w:rtl/>
        </w:rPr>
        <w:t>واجب</w:t>
      </w:r>
      <w:r w:rsidR="00E8128F">
        <w:rPr>
          <w:sz w:val="36"/>
          <w:szCs w:val="36"/>
          <w:rtl/>
        </w:rPr>
        <w:t xml:space="preserve"> </w:t>
      </w:r>
      <w:r w:rsidR="00EF77D9" w:rsidRPr="00FD211F">
        <w:rPr>
          <w:sz w:val="36"/>
          <w:szCs w:val="36"/>
          <w:rtl/>
        </w:rPr>
        <w:t>الإكرام</w:t>
      </w:r>
      <w:r w:rsidR="00E8128F">
        <w:rPr>
          <w:sz w:val="36"/>
          <w:szCs w:val="36"/>
          <w:rtl/>
        </w:rPr>
        <w:t xml:space="preserve"> </w:t>
      </w:r>
      <w:r w:rsidR="00EF77D9" w:rsidRPr="00FD211F">
        <w:rPr>
          <w:sz w:val="36"/>
          <w:szCs w:val="36"/>
          <w:rtl/>
        </w:rPr>
        <w:t>او</w:t>
      </w:r>
      <w:r w:rsidR="00E8128F">
        <w:rPr>
          <w:sz w:val="36"/>
          <w:szCs w:val="36"/>
          <w:rtl/>
        </w:rPr>
        <w:t xml:space="preserve"> </w:t>
      </w:r>
      <w:r w:rsidR="00EF77D9" w:rsidRPr="00FD211F">
        <w:rPr>
          <w:sz w:val="36"/>
          <w:szCs w:val="36"/>
          <w:rtl/>
        </w:rPr>
        <w:t>مطلق</w:t>
      </w:r>
      <w:r w:rsidR="00E8128F">
        <w:rPr>
          <w:sz w:val="36"/>
          <w:szCs w:val="36"/>
          <w:rtl/>
        </w:rPr>
        <w:t xml:space="preserve"> </w:t>
      </w:r>
      <w:r w:rsidR="00EF77D9" w:rsidRPr="00FD211F">
        <w:rPr>
          <w:sz w:val="36"/>
          <w:szCs w:val="36"/>
          <w:rtl/>
        </w:rPr>
        <w:t>العالم</w:t>
      </w:r>
      <w:r w:rsidR="00E8128F">
        <w:rPr>
          <w:sz w:val="36"/>
          <w:szCs w:val="36"/>
          <w:rtl/>
        </w:rPr>
        <w:t xml:space="preserve"> </w:t>
      </w:r>
      <w:r w:rsidR="00EF77D9" w:rsidRPr="00FD211F">
        <w:rPr>
          <w:sz w:val="36"/>
          <w:szCs w:val="36"/>
          <w:rtl/>
        </w:rPr>
        <w:t>او</w:t>
      </w:r>
      <w:r w:rsidR="00E8128F">
        <w:rPr>
          <w:sz w:val="36"/>
          <w:szCs w:val="36"/>
          <w:rtl/>
        </w:rPr>
        <w:t xml:space="preserve"> </w:t>
      </w:r>
      <w:r w:rsidR="008D7B3D" w:rsidRPr="00FD211F">
        <w:rPr>
          <w:sz w:val="36"/>
          <w:szCs w:val="36"/>
          <w:rtl/>
        </w:rPr>
        <w:t>لم‌</w:t>
      </w:r>
      <w:r w:rsidR="00EF77D9" w:rsidRPr="00FD211F">
        <w:rPr>
          <w:sz w:val="36"/>
          <w:szCs w:val="36"/>
          <w:rtl/>
        </w:rPr>
        <w:t>ندر</w:t>
      </w:r>
      <w:r w:rsidR="00E8128F">
        <w:rPr>
          <w:sz w:val="36"/>
          <w:szCs w:val="36"/>
          <w:rtl/>
        </w:rPr>
        <w:t xml:space="preserve"> </w:t>
      </w:r>
      <w:r w:rsidR="00EF77D9" w:rsidRPr="00FD211F">
        <w:rPr>
          <w:sz w:val="36"/>
          <w:szCs w:val="36"/>
          <w:rtl/>
        </w:rPr>
        <w:t>ان</w:t>
      </w:r>
      <w:r w:rsidR="00E8128F">
        <w:rPr>
          <w:sz w:val="36"/>
          <w:szCs w:val="36"/>
          <w:rtl/>
        </w:rPr>
        <w:t xml:space="preserve"> </w:t>
      </w:r>
      <w:r w:rsidR="00EF77D9" w:rsidRPr="00FD211F">
        <w:rPr>
          <w:sz w:val="36"/>
          <w:szCs w:val="36"/>
          <w:rtl/>
        </w:rPr>
        <w:t>الدم</w:t>
      </w:r>
      <w:r w:rsidR="00E8128F">
        <w:rPr>
          <w:sz w:val="36"/>
          <w:szCs w:val="36"/>
          <w:rtl/>
        </w:rPr>
        <w:t xml:space="preserve"> </w:t>
      </w:r>
      <w:r w:rsidR="00EF77D9" w:rsidRPr="00FD211F">
        <w:rPr>
          <w:sz w:val="36"/>
          <w:szCs w:val="36"/>
          <w:rtl/>
        </w:rPr>
        <w:t>الأحمر</w:t>
      </w:r>
      <w:r w:rsidR="00E8128F">
        <w:rPr>
          <w:sz w:val="36"/>
          <w:szCs w:val="36"/>
          <w:rtl/>
        </w:rPr>
        <w:t xml:space="preserve"> </w:t>
      </w:r>
      <w:r w:rsidR="00EF77D9" w:rsidRPr="00FD211F">
        <w:rPr>
          <w:sz w:val="36"/>
          <w:szCs w:val="36"/>
          <w:rtl/>
        </w:rPr>
        <w:t>نجس</w:t>
      </w:r>
      <w:r w:rsidR="00E8128F">
        <w:rPr>
          <w:sz w:val="36"/>
          <w:szCs w:val="36"/>
          <w:rtl/>
        </w:rPr>
        <w:t xml:space="preserve"> </w:t>
      </w:r>
      <w:r w:rsidR="00EF77D9" w:rsidRPr="00FD211F">
        <w:rPr>
          <w:sz w:val="36"/>
          <w:szCs w:val="36"/>
          <w:rtl/>
        </w:rPr>
        <w:t>او</w:t>
      </w:r>
      <w:r w:rsidR="00E8128F">
        <w:rPr>
          <w:sz w:val="36"/>
          <w:szCs w:val="36"/>
          <w:rtl/>
        </w:rPr>
        <w:t xml:space="preserve"> </w:t>
      </w:r>
      <w:r w:rsidR="00EF77D9" w:rsidRPr="00FD211F">
        <w:rPr>
          <w:sz w:val="36"/>
          <w:szCs w:val="36"/>
          <w:rtl/>
        </w:rPr>
        <w:t>مطلق</w:t>
      </w:r>
      <w:r w:rsidR="00E8128F">
        <w:rPr>
          <w:sz w:val="36"/>
          <w:szCs w:val="36"/>
          <w:rtl/>
        </w:rPr>
        <w:t xml:space="preserve"> </w:t>
      </w:r>
      <w:r w:rsidR="00EF77D9" w:rsidRPr="00FD211F">
        <w:rPr>
          <w:sz w:val="36"/>
          <w:szCs w:val="36"/>
          <w:rtl/>
        </w:rPr>
        <w:t>الدم</w:t>
      </w:r>
      <w:r w:rsidR="00603323" w:rsidRPr="00FD211F">
        <w:rPr>
          <w:sz w:val="36"/>
          <w:szCs w:val="36"/>
          <w:rtl/>
        </w:rPr>
        <w:t>،</w:t>
      </w:r>
      <w:r w:rsidR="00E8128F">
        <w:rPr>
          <w:sz w:val="36"/>
          <w:szCs w:val="36"/>
          <w:rtl/>
        </w:rPr>
        <w:t xml:space="preserve"> </w:t>
      </w:r>
      <w:r w:rsidR="00EF77D9" w:rsidRPr="00FD211F">
        <w:rPr>
          <w:sz w:val="36"/>
          <w:szCs w:val="36"/>
          <w:rtl/>
        </w:rPr>
        <w:t>فاستصحاب</w:t>
      </w:r>
      <w:r w:rsidR="00E8128F">
        <w:rPr>
          <w:sz w:val="36"/>
          <w:szCs w:val="36"/>
          <w:rtl/>
        </w:rPr>
        <w:t xml:space="preserve"> </w:t>
      </w:r>
      <w:r w:rsidR="00EF77D9" w:rsidRPr="00FD211F">
        <w:rPr>
          <w:sz w:val="36"/>
          <w:szCs w:val="36"/>
          <w:rtl/>
        </w:rPr>
        <w:t>عدم</w:t>
      </w:r>
      <w:r w:rsidR="00E8128F">
        <w:rPr>
          <w:sz w:val="36"/>
          <w:szCs w:val="36"/>
          <w:rtl/>
        </w:rPr>
        <w:t xml:space="preserve"> </w:t>
      </w:r>
      <w:r w:rsidR="00EF77D9" w:rsidRPr="00FD211F">
        <w:rPr>
          <w:sz w:val="36"/>
          <w:szCs w:val="36"/>
          <w:rtl/>
        </w:rPr>
        <w:t>التقييد</w:t>
      </w:r>
      <w:r w:rsidR="00E8128F">
        <w:rPr>
          <w:sz w:val="36"/>
          <w:szCs w:val="36"/>
          <w:rtl/>
        </w:rPr>
        <w:t xml:space="preserve"> </w:t>
      </w:r>
      <w:r w:rsidR="00EF77D9" w:rsidRPr="00FD211F">
        <w:rPr>
          <w:sz w:val="36"/>
          <w:szCs w:val="36"/>
          <w:rtl/>
        </w:rPr>
        <w:t>يحرز</w:t>
      </w:r>
      <w:r w:rsidR="00E8128F">
        <w:rPr>
          <w:sz w:val="36"/>
          <w:szCs w:val="36"/>
          <w:rtl/>
        </w:rPr>
        <w:t xml:space="preserve"> </w:t>
      </w:r>
      <w:r w:rsidR="00EF77D9" w:rsidRPr="00FD211F">
        <w:rPr>
          <w:sz w:val="36"/>
          <w:szCs w:val="36"/>
          <w:rtl/>
        </w:rPr>
        <w:t>لنا</w:t>
      </w:r>
      <w:r w:rsidR="00E8128F">
        <w:rPr>
          <w:sz w:val="36"/>
          <w:szCs w:val="36"/>
          <w:rtl/>
        </w:rPr>
        <w:t xml:space="preserve"> </w:t>
      </w:r>
      <w:r w:rsidR="00EF77D9" w:rsidRPr="00FD211F">
        <w:rPr>
          <w:sz w:val="36"/>
          <w:szCs w:val="36"/>
          <w:rtl/>
        </w:rPr>
        <w:t>كون</w:t>
      </w:r>
      <w:r w:rsidR="00E8128F">
        <w:rPr>
          <w:sz w:val="36"/>
          <w:szCs w:val="36"/>
          <w:rtl/>
        </w:rPr>
        <w:t xml:space="preserve"> </w:t>
      </w:r>
      <w:r w:rsidR="00EF77D9" w:rsidRPr="00FD211F">
        <w:rPr>
          <w:sz w:val="36"/>
          <w:szCs w:val="36"/>
          <w:rtl/>
        </w:rPr>
        <w:t>الموضوع</w:t>
      </w:r>
      <w:r w:rsidR="00E8128F">
        <w:rPr>
          <w:sz w:val="36"/>
          <w:szCs w:val="36"/>
          <w:rtl/>
        </w:rPr>
        <w:t xml:space="preserve"> </w:t>
      </w:r>
      <w:r w:rsidR="00EF77D9" w:rsidRPr="00FD211F">
        <w:rPr>
          <w:sz w:val="36"/>
          <w:szCs w:val="36"/>
          <w:rtl/>
        </w:rPr>
        <w:t>للحكم</w:t>
      </w:r>
      <w:r w:rsidR="00E8128F">
        <w:rPr>
          <w:sz w:val="36"/>
          <w:szCs w:val="36"/>
          <w:rtl/>
        </w:rPr>
        <w:t xml:space="preserve"> </w:t>
      </w:r>
      <w:r w:rsidR="00EF77D9" w:rsidRPr="00FD211F">
        <w:rPr>
          <w:sz w:val="36"/>
          <w:szCs w:val="36"/>
          <w:rtl/>
        </w:rPr>
        <w:t>هو</w:t>
      </w:r>
      <w:r w:rsidR="00E8128F">
        <w:rPr>
          <w:sz w:val="36"/>
          <w:szCs w:val="36"/>
          <w:rtl/>
        </w:rPr>
        <w:t xml:space="preserve"> </w:t>
      </w:r>
      <w:r w:rsidR="00EF77D9" w:rsidRPr="00FD211F">
        <w:rPr>
          <w:sz w:val="36"/>
          <w:szCs w:val="36"/>
          <w:rtl/>
        </w:rPr>
        <w:t>المطلق</w:t>
      </w:r>
      <w:r w:rsidR="00E8128F">
        <w:rPr>
          <w:sz w:val="36"/>
          <w:szCs w:val="36"/>
          <w:rtl/>
        </w:rPr>
        <w:t xml:space="preserve"> </w:t>
      </w:r>
      <w:r w:rsidR="00EF77D9" w:rsidRPr="00FD211F">
        <w:rPr>
          <w:sz w:val="36"/>
          <w:szCs w:val="36"/>
          <w:rtl/>
        </w:rPr>
        <w:t>اللابشرط</w:t>
      </w:r>
      <w:r w:rsidR="00E8128F">
        <w:rPr>
          <w:sz w:val="36"/>
          <w:szCs w:val="36"/>
          <w:rtl/>
        </w:rPr>
        <w:t xml:space="preserve"> </w:t>
      </w:r>
      <w:r w:rsidR="00EF77D9" w:rsidRPr="00FD211F">
        <w:rPr>
          <w:sz w:val="36"/>
          <w:szCs w:val="36"/>
          <w:rtl/>
        </w:rPr>
        <w:t>عن</w:t>
      </w:r>
      <w:r w:rsidR="00E8128F">
        <w:rPr>
          <w:sz w:val="36"/>
          <w:szCs w:val="36"/>
          <w:rtl/>
        </w:rPr>
        <w:t xml:space="preserve"> </w:t>
      </w:r>
      <w:r w:rsidR="00EF77D9" w:rsidRPr="00FD211F">
        <w:rPr>
          <w:sz w:val="36"/>
          <w:szCs w:val="36"/>
          <w:rtl/>
        </w:rPr>
        <w:t>الخصوصي</w:t>
      </w:r>
      <w:r w:rsidR="00EC7EDF" w:rsidRPr="00FD211F">
        <w:rPr>
          <w:sz w:val="36"/>
          <w:szCs w:val="36"/>
          <w:rtl/>
        </w:rPr>
        <w:t>ة</w:t>
      </w:r>
      <w:r w:rsidR="00E8128F">
        <w:rPr>
          <w:sz w:val="36"/>
          <w:szCs w:val="36"/>
          <w:rtl/>
        </w:rPr>
        <w:t xml:space="preserve"> </w:t>
      </w:r>
      <w:r w:rsidR="00EF77D9" w:rsidRPr="00FD211F">
        <w:rPr>
          <w:sz w:val="36"/>
          <w:szCs w:val="36"/>
          <w:rtl/>
        </w:rPr>
        <w:t>المشكوك</w:t>
      </w:r>
      <w:r w:rsidR="00EC7EDF" w:rsidRPr="00FD211F">
        <w:rPr>
          <w:sz w:val="36"/>
          <w:szCs w:val="36"/>
          <w:rtl/>
        </w:rPr>
        <w:t>ة</w:t>
      </w:r>
      <w:r w:rsidR="00A61BAE" w:rsidRPr="00FD211F">
        <w:rPr>
          <w:sz w:val="36"/>
          <w:szCs w:val="36"/>
          <w:rtl/>
        </w:rPr>
        <w:t>.</w:t>
      </w:r>
    </w:p>
    <w:p w14:paraId="516DF323" w14:textId="77777777" w:rsidR="00891F2E" w:rsidRPr="00FD211F" w:rsidRDefault="00E70832" w:rsidP="009C58C8">
      <w:pPr>
        <w:ind w:left="0" w:firstLine="227"/>
        <w:jc w:val="both"/>
        <w:rPr>
          <w:sz w:val="36"/>
          <w:szCs w:val="36"/>
          <w:rtl/>
        </w:rPr>
      </w:pPr>
      <w:r w:rsidRPr="00FD211F">
        <w:rPr>
          <w:sz w:val="36"/>
          <w:szCs w:val="36"/>
          <w:rtl/>
        </w:rPr>
        <w:t>وهذا</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يبعد</w:t>
      </w:r>
      <w:r w:rsidR="00E8128F">
        <w:rPr>
          <w:sz w:val="36"/>
          <w:szCs w:val="36"/>
          <w:rtl/>
        </w:rPr>
        <w:t xml:space="preserve"> </w:t>
      </w:r>
      <w:r w:rsidRPr="00FD211F">
        <w:rPr>
          <w:sz w:val="36"/>
          <w:szCs w:val="36"/>
          <w:rtl/>
        </w:rPr>
        <w:t>التزامه</w:t>
      </w:r>
      <w:r w:rsidR="00E8128F">
        <w:rPr>
          <w:sz w:val="36"/>
          <w:szCs w:val="36"/>
          <w:rtl/>
        </w:rPr>
        <w:t xml:space="preserve"> </w:t>
      </w:r>
      <w:r w:rsidRPr="00FD211F">
        <w:rPr>
          <w:sz w:val="36"/>
          <w:szCs w:val="36"/>
          <w:rtl/>
        </w:rPr>
        <w:t>به</w:t>
      </w:r>
      <w:r w:rsidR="00E8128F">
        <w:rPr>
          <w:sz w:val="36"/>
          <w:szCs w:val="36"/>
          <w:rtl/>
        </w:rPr>
        <w:t xml:space="preserve"> </w:t>
      </w:r>
      <w:r w:rsidR="00EF77D9" w:rsidRPr="00FD211F">
        <w:rPr>
          <w:sz w:val="36"/>
          <w:szCs w:val="36"/>
          <w:rtl/>
        </w:rPr>
        <w:t>وقد</w:t>
      </w:r>
      <w:r w:rsidR="00E8128F">
        <w:rPr>
          <w:sz w:val="36"/>
          <w:szCs w:val="36"/>
          <w:rtl/>
        </w:rPr>
        <w:t xml:space="preserve"> </w:t>
      </w:r>
      <w:r w:rsidR="00EF77D9" w:rsidRPr="00FD211F">
        <w:rPr>
          <w:sz w:val="36"/>
          <w:szCs w:val="36"/>
          <w:rtl/>
        </w:rPr>
        <w:t>ذكر</w:t>
      </w:r>
      <w:r w:rsidR="00E8128F">
        <w:rPr>
          <w:sz w:val="36"/>
          <w:szCs w:val="36"/>
          <w:rtl/>
        </w:rPr>
        <w:t xml:space="preserve"> </w:t>
      </w:r>
      <w:r w:rsidR="00EF77D9" w:rsidRPr="00FD211F">
        <w:rPr>
          <w:sz w:val="36"/>
          <w:szCs w:val="36"/>
          <w:rtl/>
        </w:rPr>
        <w:t>في</w:t>
      </w:r>
      <w:r w:rsidR="00E8128F">
        <w:rPr>
          <w:sz w:val="36"/>
          <w:szCs w:val="36"/>
          <w:rtl/>
        </w:rPr>
        <w:t xml:space="preserve"> </w:t>
      </w:r>
      <w:r w:rsidR="0039093E" w:rsidRPr="00FD211F">
        <w:rPr>
          <w:sz w:val="36"/>
          <w:szCs w:val="36"/>
          <w:rtl/>
        </w:rPr>
        <w:t>بحوث</w:t>
      </w:r>
      <w:r w:rsidR="00E8128F">
        <w:rPr>
          <w:sz w:val="36"/>
          <w:szCs w:val="36"/>
          <w:rtl/>
        </w:rPr>
        <w:t xml:space="preserve"> </w:t>
      </w:r>
      <w:r w:rsidRPr="00FD211F">
        <w:rPr>
          <w:sz w:val="36"/>
          <w:szCs w:val="36"/>
          <w:rtl/>
        </w:rPr>
        <w:t>الفقه</w:t>
      </w:r>
      <w:r w:rsidR="00E8128F">
        <w:rPr>
          <w:sz w:val="36"/>
          <w:szCs w:val="36"/>
          <w:rtl/>
        </w:rPr>
        <w:t xml:space="preserve"> </w:t>
      </w:r>
      <w:r w:rsidR="00EF77D9" w:rsidRPr="00FD211F">
        <w:rPr>
          <w:sz w:val="36"/>
          <w:szCs w:val="36"/>
          <w:rtl/>
        </w:rPr>
        <w:t>ان</w:t>
      </w:r>
      <w:r w:rsidR="00E8128F">
        <w:rPr>
          <w:sz w:val="36"/>
          <w:szCs w:val="36"/>
          <w:rtl/>
        </w:rPr>
        <w:t xml:space="preserve"> </w:t>
      </w:r>
      <w:r w:rsidR="00EF77D9" w:rsidRPr="00FD211F">
        <w:rPr>
          <w:sz w:val="36"/>
          <w:szCs w:val="36"/>
          <w:rtl/>
        </w:rPr>
        <w:t>البراء</w:t>
      </w:r>
      <w:r w:rsidR="00EC7EDF" w:rsidRPr="00FD211F">
        <w:rPr>
          <w:sz w:val="36"/>
          <w:szCs w:val="36"/>
          <w:rtl/>
        </w:rPr>
        <w:t>ة</w:t>
      </w:r>
      <w:r w:rsidR="00E8128F">
        <w:rPr>
          <w:sz w:val="36"/>
          <w:szCs w:val="36"/>
          <w:rtl/>
        </w:rPr>
        <w:t xml:space="preserve"> </w:t>
      </w:r>
      <w:r w:rsidR="00EF77D9" w:rsidRPr="00FD211F">
        <w:rPr>
          <w:sz w:val="36"/>
          <w:szCs w:val="36"/>
          <w:rtl/>
        </w:rPr>
        <w:t>عن</w:t>
      </w:r>
      <w:r w:rsidR="00E8128F">
        <w:rPr>
          <w:sz w:val="36"/>
          <w:szCs w:val="36"/>
          <w:rtl/>
        </w:rPr>
        <w:t xml:space="preserve"> </w:t>
      </w:r>
      <w:r w:rsidR="00EF77D9" w:rsidRPr="00FD211F">
        <w:rPr>
          <w:sz w:val="36"/>
          <w:szCs w:val="36"/>
          <w:rtl/>
        </w:rPr>
        <w:t>الأكثر</w:t>
      </w:r>
      <w:r w:rsidR="00E8128F">
        <w:rPr>
          <w:sz w:val="36"/>
          <w:szCs w:val="36"/>
          <w:rtl/>
        </w:rPr>
        <w:t xml:space="preserve"> </w:t>
      </w:r>
      <w:r w:rsidR="00EF77D9" w:rsidRPr="00FD211F">
        <w:rPr>
          <w:sz w:val="36"/>
          <w:szCs w:val="36"/>
          <w:rtl/>
        </w:rPr>
        <w:t>لاتثبت</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الموضوع</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المتعلق</w:t>
      </w:r>
      <w:r w:rsidR="00E8128F">
        <w:rPr>
          <w:sz w:val="36"/>
          <w:szCs w:val="36"/>
          <w:rtl/>
        </w:rPr>
        <w:t xml:space="preserve"> </w:t>
      </w:r>
      <w:r w:rsidRPr="00FD211F">
        <w:rPr>
          <w:sz w:val="36"/>
          <w:szCs w:val="36"/>
          <w:rtl/>
        </w:rPr>
        <w:t>للحكم</w:t>
      </w:r>
      <w:r w:rsidR="00E8128F">
        <w:rPr>
          <w:sz w:val="36"/>
          <w:szCs w:val="36"/>
          <w:rtl/>
        </w:rPr>
        <w:t xml:space="preserve"> </w:t>
      </w:r>
      <w:r w:rsidRPr="00FD211F">
        <w:rPr>
          <w:sz w:val="36"/>
          <w:szCs w:val="36"/>
          <w:rtl/>
        </w:rPr>
        <w:t>هوالاقل</w:t>
      </w:r>
      <w:r w:rsidR="00E8128F">
        <w:rPr>
          <w:sz w:val="36"/>
          <w:szCs w:val="36"/>
          <w:rtl/>
        </w:rPr>
        <w:t xml:space="preserve"> </w:t>
      </w:r>
      <w:r w:rsidRPr="00FD211F">
        <w:rPr>
          <w:sz w:val="36"/>
          <w:szCs w:val="36"/>
          <w:rtl/>
        </w:rPr>
        <w:t>لابشرط</w:t>
      </w:r>
      <w:r w:rsidR="00E8128F">
        <w:rPr>
          <w:sz w:val="36"/>
          <w:szCs w:val="36"/>
          <w:rtl/>
        </w:rPr>
        <w:t xml:space="preserve"> </w:t>
      </w:r>
      <w:r w:rsidR="00E565B6" w:rsidRPr="00FD211F">
        <w:rPr>
          <w:sz w:val="36"/>
          <w:szCs w:val="36"/>
          <w:rtl/>
        </w:rPr>
        <w:t>فلاي</w:t>
      </w:r>
      <w:r w:rsidRPr="00FD211F">
        <w:rPr>
          <w:sz w:val="36"/>
          <w:szCs w:val="36"/>
          <w:rtl/>
        </w:rPr>
        <w:t>ثبت</w:t>
      </w:r>
      <w:r w:rsidR="00E8128F">
        <w:rPr>
          <w:sz w:val="36"/>
          <w:szCs w:val="36"/>
          <w:rtl/>
        </w:rPr>
        <w:t xml:space="preserve"> </w:t>
      </w:r>
      <w:r w:rsidR="00EF77D9" w:rsidRPr="00FD211F">
        <w:rPr>
          <w:sz w:val="36"/>
          <w:szCs w:val="36"/>
          <w:rtl/>
        </w:rPr>
        <w:t>الاطلاق</w:t>
      </w:r>
      <w:r w:rsidR="00E8128F">
        <w:rPr>
          <w:sz w:val="36"/>
          <w:szCs w:val="36"/>
          <w:rtl/>
        </w:rPr>
        <w:t xml:space="preserve"> </w:t>
      </w:r>
      <w:r w:rsidR="00E565B6" w:rsidRPr="00FD211F">
        <w:rPr>
          <w:sz w:val="36"/>
          <w:szCs w:val="36"/>
          <w:rtl/>
        </w:rPr>
        <w:t>بالبراء</w:t>
      </w:r>
      <w:r w:rsidR="00EC7EDF" w:rsidRPr="00FD211F">
        <w:rPr>
          <w:sz w:val="36"/>
          <w:szCs w:val="36"/>
          <w:rtl/>
        </w:rPr>
        <w:t>ة</w:t>
      </w:r>
      <w:r w:rsidR="00603323" w:rsidRPr="00FD211F">
        <w:rPr>
          <w:sz w:val="36"/>
          <w:szCs w:val="36"/>
          <w:rtl/>
        </w:rPr>
        <w:t>،</w:t>
      </w:r>
      <w:r w:rsidR="00E8128F">
        <w:rPr>
          <w:sz w:val="36"/>
          <w:szCs w:val="36"/>
          <w:rtl/>
        </w:rPr>
        <w:t xml:space="preserve"> </w:t>
      </w:r>
      <w:r w:rsidR="00EF77D9" w:rsidRPr="00FD211F">
        <w:rPr>
          <w:sz w:val="36"/>
          <w:szCs w:val="36"/>
          <w:rtl/>
        </w:rPr>
        <w:t>وظاهره</w:t>
      </w:r>
      <w:r w:rsidR="00E8128F">
        <w:rPr>
          <w:sz w:val="36"/>
          <w:szCs w:val="36"/>
          <w:rtl/>
        </w:rPr>
        <w:t xml:space="preserve"> </w:t>
      </w:r>
      <w:r w:rsidR="00EF77D9" w:rsidRPr="00FD211F">
        <w:rPr>
          <w:sz w:val="36"/>
          <w:szCs w:val="36"/>
          <w:rtl/>
        </w:rPr>
        <w:t>ه</w:t>
      </w:r>
      <w:r w:rsidR="000E6F77" w:rsidRPr="00FD211F">
        <w:rPr>
          <w:sz w:val="36"/>
          <w:szCs w:val="36"/>
          <w:rtl/>
        </w:rPr>
        <w:t>ناك</w:t>
      </w:r>
      <w:r w:rsidR="00E8128F">
        <w:rPr>
          <w:sz w:val="36"/>
          <w:szCs w:val="36"/>
          <w:rtl/>
        </w:rPr>
        <w:t xml:space="preserve"> </w:t>
      </w:r>
      <w:r w:rsidR="000E6F77" w:rsidRPr="00FD211F">
        <w:rPr>
          <w:sz w:val="36"/>
          <w:szCs w:val="36"/>
          <w:rtl/>
        </w:rPr>
        <w:t>قبول</w:t>
      </w:r>
      <w:r w:rsidR="00E8128F">
        <w:rPr>
          <w:sz w:val="36"/>
          <w:szCs w:val="36"/>
          <w:rtl/>
        </w:rPr>
        <w:t xml:space="preserve"> </w:t>
      </w:r>
      <w:r w:rsidR="00EF77D9" w:rsidRPr="00FD211F">
        <w:rPr>
          <w:sz w:val="36"/>
          <w:szCs w:val="36"/>
          <w:rtl/>
        </w:rPr>
        <w:t>جريان</w:t>
      </w:r>
      <w:r w:rsidR="00E8128F">
        <w:rPr>
          <w:sz w:val="36"/>
          <w:szCs w:val="36"/>
          <w:rtl/>
        </w:rPr>
        <w:t xml:space="preserve"> </w:t>
      </w:r>
      <w:r w:rsidR="00EF77D9" w:rsidRPr="00FD211F">
        <w:rPr>
          <w:sz w:val="36"/>
          <w:szCs w:val="36"/>
          <w:rtl/>
        </w:rPr>
        <w:t>استصحاب</w:t>
      </w:r>
      <w:r w:rsidR="00E8128F">
        <w:rPr>
          <w:sz w:val="36"/>
          <w:szCs w:val="36"/>
          <w:rtl/>
        </w:rPr>
        <w:t xml:space="preserve"> </w:t>
      </w:r>
      <w:r w:rsidR="00EF77D9" w:rsidRPr="00FD211F">
        <w:rPr>
          <w:sz w:val="36"/>
          <w:szCs w:val="36"/>
          <w:rtl/>
        </w:rPr>
        <w:t>بقاء</w:t>
      </w:r>
      <w:r w:rsidR="00E8128F">
        <w:rPr>
          <w:sz w:val="36"/>
          <w:szCs w:val="36"/>
          <w:rtl/>
        </w:rPr>
        <w:t xml:space="preserve"> </w:t>
      </w:r>
      <w:r w:rsidR="00EF77D9" w:rsidRPr="00FD211F">
        <w:rPr>
          <w:sz w:val="36"/>
          <w:szCs w:val="36"/>
          <w:rtl/>
        </w:rPr>
        <w:t>الجناب</w:t>
      </w:r>
      <w:r w:rsidR="00EC7EDF" w:rsidRPr="00FD211F">
        <w:rPr>
          <w:sz w:val="36"/>
          <w:szCs w:val="36"/>
          <w:rtl/>
        </w:rPr>
        <w:t>ة</w:t>
      </w:r>
      <w:r w:rsidR="00E8128F">
        <w:rPr>
          <w:sz w:val="36"/>
          <w:szCs w:val="36"/>
          <w:rtl/>
        </w:rPr>
        <w:t xml:space="preserve"> </w:t>
      </w:r>
      <w:r w:rsidR="00EF77D9" w:rsidRPr="00FD211F">
        <w:rPr>
          <w:sz w:val="36"/>
          <w:szCs w:val="36"/>
          <w:rtl/>
        </w:rPr>
        <w:t>وحرم</w:t>
      </w:r>
      <w:r w:rsidR="00EC7EDF" w:rsidRPr="00FD211F">
        <w:rPr>
          <w:sz w:val="36"/>
          <w:szCs w:val="36"/>
          <w:rtl/>
        </w:rPr>
        <w:t>ة</w:t>
      </w:r>
      <w:r w:rsidR="00E8128F">
        <w:rPr>
          <w:sz w:val="36"/>
          <w:szCs w:val="36"/>
          <w:rtl/>
        </w:rPr>
        <w:t xml:space="preserve"> </w:t>
      </w:r>
      <w:r w:rsidR="00EF77D9" w:rsidRPr="00FD211F">
        <w:rPr>
          <w:sz w:val="36"/>
          <w:szCs w:val="36"/>
          <w:rtl/>
        </w:rPr>
        <w:t>الدخول</w:t>
      </w:r>
      <w:r w:rsidR="00E8128F">
        <w:rPr>
          <w:sz w:val="36"/>
          <w:szCs w:val="36"/>
          <w:rtl/>
        </w:rPr>
        <w:t xml:space="preserve"> </w:t>
      </w:r>
      <w:r w:rsidR="00EF77D9" w:rsidRPr="00FD211F">
        <w:rPr>
          <w:sz w:val="36"/>
          <w:szCs w:val="36"/>
          <w:rtl/>
        </w:rPr>
        <w:t>في</w:t>
      </w:r>
      <w:r w:rsidR="00E8128F">
        <w:rPr>
          <w:sz w:val="36"/>
          <w:szCs w:val="36"/>
          <w:rtl/>
        </w:rPr>
        <w:t xml:space="preserve"> </w:t>
      </w:r>
      <w:r w:rsidR="00EF77D9" w:rsidRPr="00FD211F">
        <w:rPr>
          <w:sz w:val="36"/>
          <w:szCs w:val="36"/>
          <w:rtl/>
        </w:rPr>
        <w:t>المسجد</w:t>
      </w:r>
      <w:r w:rsidR="00E8128F">
        <w:rPr>
          <w:sz w:val="36"/>
          <w:szCs w:val="36"/>
          <w:rtl/>
        </w:rPr>
        <w:t xml:space="preserve"> </w:t>
      </w:r>
      <w:r w:rsidR="00EF77D9" w:rsidRPr="00FD211F">
        <w:rPr>
          <w:sz w:val="36"/>
          <w:szCs w:val="36"/>
          <w:rtl/>
        </w:rPr>
        <w:t>مثلا</w:t>
      </w:r>
      <w:r w:rsidR="00E8128F">
        <w:rPr>
          <w:sz w:val="36"/>
          <w:szCs w:val="36"/>
          <w:rtl/>
        </w:rPr>
        <w:t xml:space="preserve"> </w:t>
      </w:r>
      <w:r w:rsidR="00EF77D9" w:rsidRPr="00FD211F">
        <w:rPr>
          <w:sz w:val="36"/>
          <w:szCs w:val="36"/>
          <w:rtl/>
        </w:rPr>
        <w:t>في</w:t>
      </w:r>
      <w:r w:rsidR="00E8128F">
        <w:rPr>
          <w:sz w:val="36"/>
          <w:szCs w:val="36"/>
          <w:rtl/>
        </w:rPr>
        <w:t xml:space="preserve"> </w:t>
      </w:r>
      <w:r w:rsidR="00EF77D9" w:rsidRPr="00FD211F">
        <w:rPr>
          <w:sz w:val="36"/>
          <w:szCs w:val="36"/>
          <w:rtl/>
        </w:rPr>
        <w:t>فرض</w:t>
      </w:r>
      <w:r w:rsidR="00E8128F">
        <w:rPr>
          <w:sz w:val="36"/>
          <w:szCs w:val="36"/>
          <w:rtl/>
        </w:rPr>
        <w:t xml:space="preserve"> </w:t>
      </w:r>
      <w:r w:rsidR="000E6F77" w:rsidRPr="00FD211F">
        <w:rPr>
          <w:sz w:val="36"/>
          <w:szCs w:val="36"/>
          <w:rtl/>
        </w:rPr>
        <w:t>ترك</w:t>
      </w:r>
      <w:r w:rsidR="00E8128F">
        <w:rPr>
          <w:sz w:val="36"/>
          <w:szCs w:val="36"/>
          <w:rtl/>
        </w:rPr>
        <w:t xml:space="preserve"> </w:t>
      </w:r>
      <w:r w:rsidR="000E6F77" w:rsidRPr="00FD211F">
        <w:rPr>
          <w:sz w:val="36"/>
          <w:szCs w:val="36"/>
          <w:rtl/>
        </w:rPr>
        <w:t>مايشك</w:t>
      </w:r>
      <w:r w:rsidR="00E8128F">
        <w:rPr>
          <w:sz w:val="36"/>
          <w:szCs w:val="36"/>
          <w:rtl/>
        </w:rPr>
        <w:t xml:space="preserve"> </w:t>
      </w:r>
      <w:r w:rsidR="000E6F77" w:rsidRPr="00FD211F">
        <w:rPr>
          <w:sz w:val="36"/>
          <w:szCs w:val="36"/>
          <w:rtl/>
        </w:rPr>
        <w:t>في</w:t>
      </w:r>
      <w:r w:rsidR="00E8128F">
        <w:rPr>
          <w:sz w:val="36"/>
          <w:szCs w:val="36"/>
          <w:rtl/>
        </w:rPr>
        <w:t xml:space="preserve"> </w:t>
      </w:r>
      <w:r w:rsidR="000E6F77" w:rsidRPr="00FD211F">
        <w:rPr>
          <w:sz w:val="36"/>
          <w:szCs w:val="36"/>
          <w:rtl/>
        </w:rPr>
        <w:t>جزئيته</w:t>
      </w:r>
      <w:r w:rsidR="00E8128F">
        <w:rPr>
          <w:sz w:val="36"/>
          <w:szCs w:val="36"/>
          <w:rtl/>
        </w:rPr>
        <w:t xml:space="preserve"> </w:t>
      </w:r>
      <w:r w:rsidR="000E6F77" w:rsidRPr="00FD211F">
        <w:rPr>
          <w:sz w:val="36"/>
          <w:szCs w:val="36"/>
          <w:rtl/>
        </w:rPr>
        <w:t>او</w:t>
      </w:r>
      <w:r w:rsidR="007A1C7E" w:rsidRPr="00FD211F">
        <w:rPr>
          <w:sz w:val="36"/>
          <w:szCs w:val="36"/>
          <w:rtl/>
        </w:rPr>
        <w:t>شرطيته</w:t>
      </w:r>
      <w:r w:rsidR="00E8128F">
        <w:rPr>
          <w:sz w:val="36"/>
          <w:szCs w:val="36"/>
          <w:rtl/>
        </w:rPr>
        <w:t xml:space="preserve"> </w:t>
      </w:r>
      <w:r w:rsidR="007A1C7E" w:rsidRPr="00FD211F">
        <w:rPr>
          <w:sz w:val="36"/>
          <w:szCs w:val="36"/>
          <w:rtl/>
        </w:rPr>
        <w:t>في</w:t>
      </w:r>
      <w:r w:rsidR="00E8128F">
        <w:rPr>
          <w:sz w:val="36"/>
          <w:szCs w:val="36"/>
          <w:rtl/>
        </w:rPr>
        <w:t xml:space="preserve"> </w:t>
      </w:r>
      <w:r w:rsidR="007A1C7E" w:rsidRPr="00FD211F">
        <w:rPr>
          <w:sz w:val="36"/>
          <w:szCs w:val="36"/>
          <w:rtl/>
        </w:rPr>
        <w:t>غسل</w:t>
      </w:r>
      <w:r w:rsidR="00E8128F">
        <w:rPr>
          <w:sz w:val="36"/>
          <w:szCs w:val="36"/>
          <w:rtl/>
        </w:rPr>
        <w:t xml:space="preserve"> </w:t>
      </w:r>
      <w:r w:rsidR="007A1C7E" w:rsidRPr="00FD211F">
        <w:rPr>
          <w:sz w:val="36"/>
          <w:szCs w:val="36"/>
          <w:rtl/>
        </w:rPr>
        <w:t>الجناب</w:t>
      </w:r>
      <w:r w:rsidR="00EC7EDF" w:rsidRPr="00FD211F">
        <w:rPr>
          <w:sz w:val="36"/>
          <w:szCs w:val="36"/>
          <w:rtl/>
        </w:rPr>
        <w:t>ة</w:t>
      </w:r>
      <w:r w:rsidR="00E8128F">
        <w:rPr>
          <w:sz w:val="36"/>
          <w:szCs w:val="36"/>
          <w:rtl/>
        </w:rPr>
        <w:t xml:space="preserve"> </w:t>
      </w:r>
      <w:r w:rsidR="00EF77D9" w:rsidRPr="00FD211F">
        <w:rPr>
          <w:sz w:val="36"/>
          <w:szCs w:val="36"/>
          <w:rtl/>
        </w:rPr>
        <w:t>كما</w:t>
      </w:r>
      <w:r w:rsidR="00E8128F">
        <w:rPr>
          <w:sz w:val="36"/>
          <w:szCs w:val="36"/>
          <w:rtl/>
        </w:rPr>
        <w:t xml:space="preserve"> </w:t>
      </w:r>
      <w:r w:rsidR="00EF77D9" w:rsidRPr="00FD211F">
        <w:rPr>
          <w:sz w:val="36"/>
          <w:szCs w:val="36"/>
          <w:rtl/>
        </w:rPr>
        <w:t>لو</w:t>
      </w:r>
      <w:r w:rsidR="00E8128F">
        <w:rPr>
          <w:sz w:val="36"/>
          <w:szCs w:val="36"/>
          <w:rtl/>
        </w:rPr>
        <w:t xml:space="preserve"> </w:t>
      </w:r>
      <w:r w:rsidR="00EF77D9" w:rsidRPr="00FD211F">
        <w:rPr>
          <w:sz w:val="36"/>
          <w:szCs w:val="36"/>
          <w:rtl/>
        </w:rPr>
        <w:t>شك</w:t>
      </w:r>
      <w:r w:rsidR="00E8128F">
        <w:rPr>
          <w:sz w:val="36"/>
          <w:szCs w:val="36"/>
          <w:rtl/>
        </w:rPr>
        <w:t xml:space="preserve"> </w:t>
      </w:r>
      <w:r w:rsidR="00EF77D9" w:rsidRPr="00FD211F">
        <w:rPr>
          <w:sz w:val="36"/>
          <w:szCs w:val="36"/>
          <w:rtl/>
        </w:rPr>
        <w:t>في</w:t>
      </w:r>
      <w:r w:rsidR="00E8128F">
        <w:rPr>
          <w:sz w:val="36"/>
          <w:szCs w:val="36"/>
          <w:rtl/>
        </w:rPr>
        <w:t xml:space="preserve"> </w:t>
      </w:r>
      <w:r w:rsidR="00EF77D9" w:rsidRPr="00FD211F">
        <w:rPr>
          <w:sz w:val="36"/>
          <w:szCs w:val="36"/>
          <w:rtl/>
        </w:rPr>
        <w:t>شرطي</w:t>
      </w:r>
      <w:r w:rsidR="00EC7EDF" w:rsidRPr="00FD211F">
        <w:rPr>
          <w:sz w:val="36"/>
          <w:szCs w:val="36"/>
          <w:rtl/>
        </w:rPr>
        <w:t>ة</w:t>
      </w:r>
      <w:r w:rsidR="00E8128F">
        <w:rPr>
          <w:sz w:val="36"/>
          <w:szCs w:val="36"/>
          <w:rtl/>
        </w:rPr>
        <w:t xml:space="preserve"> </w:t>
      </w:r>
      <w:r w:rsidR="00EF77D9" w:rsidRPr="00FD211F">
        <w:rPr>
          <w:sz w:val="36"/>
          <w:szCs w:val="36"/>
          <w:rtl/>
        </w:rPr>
        <w:t>الترتيب</w:t>
      </w:r>
      <w:r w:rsidR="00E8128F">
        <w:rPr>
          <w:sz w:val="36"/>
          <w:szCs w:val="36"/>
          <w:rtl/>
        </w:rPr>
        <w:t xml:space="preserve"> </w:t>
      </w:r>
      <w:r w:rsidR="00EF77D9" w:rsidRPr="00FD211F">
        <w:rPr>
          <w:sz w:val="36"/>
          <w:szCs w:val="36"/>
          <w:rtl/>
        </w:rPr>
        <w:t>بين</w:t>
      </w:r>
      <w:r w:rsidR="00E8128F">
        <w:rPr>
          <w:sz w:val="36"/>
          <w:szCs w:val="36"/>
          <w:rtl/>
        </w:rPr>
        <w:t xml:space="preserve"> </w:t>
      </w:r>
      <w:r w:rsidR="00EF77D9" w:rsidRPr="00FD211F">
        <w:rPr>
          <w:sz w:val="36"/>
          <w:szCs w:val="36"/>
          <w:rtl/>
        </w:rPr>
        <w:t>الجانب</w:t>
      </w:r>
      <w:r w:rsidR="00E8128F">
        <w:rPr>
          <w:sz w:val="36"/>
          <w:szCs w:val="36"/>
          <w:rtl/>
        </w:rPr>
        <w:t xml:space="preserve"> </w:t>
      </w:r>
      <w:r w:rsidR="00EF77D9" w:rsidRPr="00FD211F">
        <w:rPr>
          <w:sz w:val="36"/>
          <w:szCs w:val="36"/>
          <w:rtl/>
        </w:rPr>
        <w:t>الايمن</w:t>
      </w:r>
      <w:r w:rsidR="00E8128F">
        <w:rPr>
          <w:sz w:val="36"/>
          <w:szCs w:val="36"/>
          <w:rtl/>
        </w:rPr>
        <w:t xml:space="preserve"> </w:t>
      </w:r>
      <w:r w:rsidR="00EF77D9" w:rsidRPr="00FD211F">
        <w:rPr>
          <w:sz w:val="36"/>
          <w:szCs w:val="36"/>
          <w:rtl/>
        </w:rPr>
        <w:t>وال</w:t>
      </w:r>
      <w:r w:rsidRPr="00FD211F">
        <w:rPr>
          <w:sz w:val="36"/>
          <w:szCs w:val="36"/>
          <w:rtl/>
        </w:rPr>
        <w:t>ايسر</w:t>
      </w:r>
      <w:r w:rsidR="00E8128F">
        <w:rPr>
          <w:sz w:val="36"/>
          <w:szCs w:val="36"/>
          <w:rtl/>
        </w:rPr>
        <w:t xml:space="preserve"> </w:t>
      </w:r>
      <w:r w:rsidRPr="00FD211F">
        <w:rPr>
          <w:sz w:val="36"/>
          <w:szCs w:val="36"/>
          <w:rtl/>
        </w:rPr>
        <w:t>فيه</w:t>
      </w:r>
      <w:r w:rsidR="00603323" w:rsidRPr="00FD211F">
        <w:rPr>
          <w:sz w:val="36"/>
          <w:szCs w:val="36"/>
          <w:rtl/>
        </w:rPr>
        <w:t>،</w:t>
      </w:r>
      <w:r w:rsidR="00E8128F">
        <w:rPr>
          <w:sz w:val="36"/>
          <w:szCs w:val="36"/>
          <w:rtl/>
        </w:rPr>
        <w:t xml:space="preserve"> </w:t>
      </w:r>
      <w:r w:rsidR="00736892" w:rsidRPr="00FD211F">
        <w:rPr>
          <w:sz w:val="36"/>
          <w:szCs w:val="36"/>
          <w:rtl/>
        </w:rPr>
        <w:t>وانماجاز</w:t>
      </w:r>
      <w:r w:rsidR="00E8128F">
        <w:rPr>
          <w:sz w:val="36"/>
          <w:szCs w:val="36"/>
          <w:rtl/>
        </w:rPr>
        <w:t xml:space="preserve"> </w:t>
      </w:r>
      <w:r w:rsidR="00736892" w:rsidRPr="00FD211F">
        <w:rPr>
          <w:sz w:val="36"/>
          <w:szCs w:val="36"/>
          <w:rtl/>
        </w:rPr>
        <w:t>الاكتفاء</w:t>
      </w:r>
      <w:r w:rsidR="00E8128F">
        <w:rPr>
          <w:sz w:val="36"/>
          <w:szCs w:val="36"/>
          <w:rtl/>
        </w:rPr>
        <w:t xml:space="preserve"> </w:t>
      </w:r>
      <w:r w:rsidR="00736892" w:rsidRPr="00FD211F">
        <w:rPr>
          <w:sz w:val="36"/>
          <w:szCs w:val="36"/>
          <w:rtl/>
        </w:rPr>
        <w:t>بالصلا</w:t>
      </w:r>
      <w:r w:rsidR="00EC7EDF" w:rsidRPr="00FD211F">
        <w:rPr>
          <w:sz w:val="36"/>
          <w:szCs w:val="36"/>
          <w:rtl/>
        </w:rPr>
        <w:t>ة</w:t>
      </w:r>
      <w:r w:rsidR="00E8128F">
        <w:rPr>
          <w:sz w:val="36"/>
          <w:szCs w:val="36"/>
          <w:rtl/>
        </w:rPr>
        <w:t xml:space="preserve"> </w:t>
      </w:r>
      <w:r w:rsidR="00736892" w:rsidRPr="00FD211F">
        <w:rPr>
          <w:sz w:val="36"/>
          <w:szCs w:val="36"/>
          <w:rtl/>
        </w:rPr>
        <w:t>مع</w:t>
      </w:r>
      <w:r w:rsidR="00E8128F">
        <w:rPr>
          <w:sz w:val="36"/>
          <w:szCs w:val="36"/>
          <w:rtl/>
        </w:rPr>
        <w:t xml:space="preserve"> </w:t>
      </w:r>
      <w:r w:rsidR="00736892" w:rsidRPr="00FD211F">
        <w:rPr>
          <w:sz w:val="36"/>
          <w:szCs w:val="36"/>
          <w:rtl/>
        </w:rPr>
        <w:t>هذا</w:t>
      </w:r>
      <w:r w:rsidR="00E8128F">
        <w:rPr>
          <w:sz w:val="36"/>
          <w:szCs w:val="36"/>
          <w:rtl/>
        </w:rPr>
        <w:t xml:space="preserve"> </w:t>
      </w:r>
      <w:r w:rsidR="00736892" w:rsidRPr="00FD211F">
        <w:rPr>
          <w:sz w:val="36"/>
          <w:szCs w:val="36"/>
          <w:rtl/>
        </w:rPr>
        <w:t>الغسل</w:t>
      </w:r>
      <w:r w:rsidR="00E8128F">
        <w:rPr>
          <w:sz w:val="36"/>
          <w:szCs w:val="36"/>
          <w:rtl/>
        </w:rPr>
        <w:t xml:space="preserve"> </w:t>
      </w:r>
      <w:r w:rsidR="00736892" w:rsidRPr="00FD211F">
        <w:rPr>
          <w:sz w:val="36"/>
          <w:szCs w:val="36"/>
          <w:rtl/>
        </w:rPr>
        <w:t>لانه</w:t>
      </w:r>
      <w:r w:rsidR="00E8128F">
        <w:rPr>
          <w:sz w:val="36"/>
          <w:szCs w:val="36"/>
          <w:rtl/>
        </w:rPr>
        <w:t xml:space="preserve"> </w:t>
      </w:r>
      <w:r w:rsidR="008D7B3D" w:rsidRPr="00FD211F">
        <w:rPr>
          <w:sz w:val="36"/>
          <w:szCs w:val="36"/>
          <w:rtl/>
        </w:rPr>
        <w:t>لم‌</w:t>
      </w:r>
      <w:r w:rsidR="00736892" w:rsidRPr="00FD211F">
        <w:rPr>
          <w:sz w:val="36"/>
          <w:szCs w:val="36"/>
          <w:rtl/>
        </w:rPr>
        <w:t>يدل</w:t>
      </w:r>
      <w:r w:rsidR="00E8128F">
        <w:rPr>
          <w:sz w:val="36"/>
          <w:szCs w:val="36"/>
          <w:rtl/>
        </w:rPr>
        <w:t xml:space="preserve"> </w:t>
      </w:r>
      <w:r w:rsidR="00736892" w:rsidRPr="00FD211F">
        <w:rPr>
          <w:sz w:val="36"/>
          <w:szCs w:val="36"/>
          <w:rtl/>
        </w:rPr>
        <w:t>دليل</w:t>
      </w:r>
      <w:r w:rsidR="00E8128F">
        <w:rPr>
          <w:sz w:val="36"/>
          <w:szCs w:val="36"/>
          <w:rtl/>
        </w:rPr>
        <w:t xml:space="preserve"> </w:t>
      </w:r>
      <w:r w:rsidR="00736892" w:rsidRPr="00FD211F">
        <w:rPr>
          <w:sz w:val="36"/>
          <w:szCs w:val="36"/>
          <w:rtl/>
        </w:rPr>
        <w:t>على</w:t>
      </w:r>
      <w:r w:rsidR="00E8128F">
        <w:rPr>
          <w:sz w:val="36"/>
          <w:szCs w:val="36"/>
          <w:rtl/>
        </w:rPr>
        <w:t xml:space="preserve"> </w:t>
      </w:r>
      <w:r w:rsidR="00736892" w:rsidRPr="00FD211F">
        <w:rPr>
          <w:sz w:val="36"/>
          <w:szCs w:val="36"/>
          <w:rtl/>
        </w:rPr>
        <w:t>مانعي</w:t>
      </w:r>
      <w:r w:rsidR="00EC7EDF" w:rsidRPr="00FD211F">
        <w:rPr>
          <w:sz w:val="36"/>
          <w:szCs w:val="36"/>
          <w:rtl/>
        </w:rPr>
        <w:t>ة</w:t>
      </w:r>
      <w:r w:rsidR="00E8128F">
        <w:rPr>
          <w:sz w:val="36"/>
          <w:szCs w:val="36"/>
          <w:rtl/>
        </w:rPr>
        <w:t xml:space="preserve"> </w:t>
      </w:r>
      <w:r w:rsidR="00736892" w:rsidRPr="00FD211F">
        <w:rPr>
          <w:sz w:val="36"/>
          <w:szCs w:val="36"/>
          <w:rtl/>
        </w:rPr>
        <w:t>الحدث</w:t>
      </w:r>
      <w:r w:rsidR="00E8128F">
        <w:rPr>
          <w:sz w:val="36"/>
          <w:szCs w:val="36"/>
          <w:rtl/>
        </w:rPr>
        <w:t xml:space="preserve"> </w:t>
      </w:r>
      <w:r w:rsidR="00736892" w:rsidRPr="00FD211F">
        <w:rPr>
          <w:sz w:val="36"/>
          <w:szCs w:val="36"/>
          <w:rtl/>
        </w:rPr>
        <w:t>بعنوانه</w:t>
      </w:r>
      <w:r w:rsidR="00E8128F">
        <w:rPr>
          <w:sz w:val="36"/>
          <w:szCs w:val="36"/>
          <w:rtl/>
        </w:rPr>
        <w:t xml:space="preserve"> </w:t>
      </w:r>
      <w:r w:rsidR="00736892" w:rsidRPr="00FD211F">
        <w:rPr>
          <w:sz w:val="36"/>
          <w:szCs w:val="36"/>
          <w:rtl/>
        </w:rPr>
        <w:t>في</w:t>
      </w:r>
      <w:r w:rsidR="00E8128F">
        <w:rPr>
          <w:sz w:val="36"/>
          <w:szCs w:val="36"/>
          <w:rtl/>
        </w:rPr>
        <w:t xml:space="preserve"> </w:t>
      </w:r>
      <w:r w:rsidR="00736892" w:rsidRPr="00FD211F">
        <w:rPr>
          <w:sz w:val="36"/>
          <w:szCs w:val="36"/>
          <w:rtl/>
        </w:rPr>
        <w:t>الصلا</w:t>
      </w:r>
      <w:r w:rsidR="00EC7EDF" w:rsidRPr="00FD211F">
        <w:rPr>
          <w:sz w:val="36"/>
          <w:szCs w:val="36"/>
          <w:rtl/>
        </w:rPr>
        <w:t>ة</w:t>
      </w:r>
      <w:r w:rsidR="00E8128F">
        <w:rPr>
          <w:sz w:val="36"/>
          <w:szCs w:val="36"/>
          <w:rtl/>
        </w:rPr>
        <w:t xml:space="preserve"> </w:t>
      </w:r>
      <w:r w:rsidR="00736892" w:rsidRPr="00FD211F">
        <w:rPr>
          <w:sz w:val="36"/>
          <w:szCs w:val="36"/>
          <w:rtl/>
        </w:rPr>
        <w:t>كي</w:t>
      </w:r>
      <w:r w:rsidR="00E8128F">
        <w:rPr>
          <w:sz w:val="36"/>
          <w:szCs w:val="36"/>
          <w:rtl/>
        </w:rPr>
        <w:t xml:space="preserve"> </w:t>
      </w:r>
      <w:r w:rsidR="00736892" w:rsidRPr="00FD211F">
        <w:rPr>
          <w:sz w:val="36"/>
          <w:szCs w:val="36"/>
          <w:rtl/>
        </w:rPr>
        <w:t>يستصحب</w:t>
      </w:r>
      <w:r w:rsidR="00E8128F">
        <w:rPr>
          <w:sz w:val="36"/>
          <w:szCs w:val="36"/>
          <w:rtl/>
        </w:rPr>
        <w:t xml:space="preserve"> </w:t>
      </w:r>
      <w:r w:rsidR="00736892" w:rsidRPr="00FD211F">
        <w:rPr>
          <w:sz w:val="36"/>
          <w:szCs w:val="36"/>
          <w:rtl/>
        </w:rPr>
        <w:t>وانما</w:t>
      </w:r>
      <w:r w:rsidR="00E8128F">
        <w:rPr>
          <w:sz w:val="36"/>
          <w:szCs w:val="36"/>
          <w:rtl/>
        </w:rPr>
        <w:t xml:space="preserve"> </w:t>
      </w:r>
      <w:r w:rsidR="00736892" w:rsidRPr="00FD211F">
        <w:rPr>
          <w:sz w:val="36"/>
          <w:szCs w:val="36"/>
          <w:rtl/>
        </w:rPr>
        <w:t>دل</w:t>
      </w:r>
      <w:r w:rsidR="00E8128F">
        <w:rPr>
          <w:sz w:val="36"/>
          <w:szCs w:val="36"/>
          <w:rtl/>
        </w:rPr>
        <w:t xml:space="preserve"> </w:t>
      </w:r>
      <w:r w:rsidR="00736892" w:rsidRPr="00FD211F">
        <w:rPr>
          <w:sz w:val="36"/>
          <w:szCs w:val="36"/>
          <w:rtl/>
        </w:rPr>
        <w:t>على</w:t>
      </w:r>
      <w:r w:rsidR="00E8128F">
        <w:rPr>
          <w:sz w:val="36"/>
          <w:szCs w:val="36"/>
          <w:rtl/>
        </w:rPr>
        <w:t xml:space="preserve"> </w:t>
      </w:r>
      <w:r w:rsidR="00736892" w:rsidRPr="00FD211F">
        <w:rPr>
          <w:sz w:val="36"/>
          <w:szCs w:val="36"/>
          <w:rtl/>
        </w:rPr>
        <w:t>اشتراط</w:t>
      </w:r>
      <w:r w:rsidR="00E8128F">
        <w:rPr>
          <w:sz w:val="36"/>
          <w:szCs w:val="36"/>
          <w:rtl/>
        </w:rPr>
        <w:t xml:space="preserve"> </w:t>
      </w:r>
      <w:r w:rsidR="00736892" w:rsidRPr="00FD211F">
        <w:rPr>
          <w:sz w:val="36"/>
          <w:szCs w:val="36"/>
          <w:rtl/>
        </w:rPr>
        <w:t>الصلا</w:t>
      </w:r>
      <w:r w:rsidR="00EC7EDF" w:rsidRPr="00FD211F">
        <w:rPr>
          <w:sz w:val="36"/>
          <w:szCs w:val="36"/>
          <w:rtl/>
        </w:rPr>
        <w:t>ة</w:t>
      </w:r>
      <w:r w:rsidR="00E8128F">
        <w:rPr>
          <w:sz w:val="36"/>
          <w:szCs w:val="36"/>
          <w:rtl/>
        </w:rPr>
        <w:t xml:space="preserve"> </w:t>
      </w:r>
      <w:r w:rsidR="00736892" w:rsidRPr="00FD211F">
        <w:rPr>
          <w:sz w:val="36"/>
          <w:szCs w:val="36"/>
          <w:rtl/>
        </w:rPr>
        <w:t>بنفس</w:t>
      </w:r>
      <w:r w:rsidR="00E8128F">
        <w:rPr>
          <w:sz w:val="36"/>
          <w:szCs w:val="36"/>
          <w:rtl/>
        </w:rPr>
        <w:t xml:space="preserve"> </w:t>
      </w:r>
      <w:r w:rsidR="00736892" w:rsidRPr="00FD211F">
        <w:rPr>
          <w:sz w:val="36"/>
          <w:szCs w:val="36"/>
          <w:rtl/>
        </w:rPr>
        <w:t>الغسل</w:t>
      </w:r>
      <w:r w:rsidR="00E8128F">
        <w:rPr>
          <w:sz w:val="36"/>
          <w:szCs w:val="36"/>
          <w:rtl/>
        </w:rPr>
        <w:t xml:space="preserve"> </w:t>
      </w:r>
      <w:r w:rsidR="00736892" w:rsidRPr="00FD211F">
        <w:rPr>
          <w:sz w:val="36"/>
          <w:szCs w:val="36"/>
          <w:rtl/>
        </w:rPr>
        <w:t>في</w:t>
      </w:r>
      <w:r w:rsidR="00E8128F">
        <w:rPr>
          <w:sz w:val="36"/>
          <w:szCs w:val="36"/>
          <w:rtl/>
        </w:rPr>
        <w:t xml:space="preserve"> </w:t>
      </w:r>
      <w:r w:rsidR="00736892" w:rsidRPr="00FD211F">
        <w:rPr>
          <w:sz w:val="36"/>
          <w:szCs w:val="36"/>
          <w:rtl/>
        </w:rPr>
        <w:t>حال</w:t>
      </w:r>
      <w:r w:rsidR="00E8128F">
        <w:rPr>
          <w:sz w:val="36"/>
          <w:szCs w:val="36"/>
          <w:rtl/>
        </w:rPr>
        <w:t xml:space="preserve"> </w:t>
      </w:r>
      <w:r w:rsidR="00736892" w:rsidRPr="00FD211F">
        <w:rPr>
          <w:sz w:val="36"/>
          <w:szCs w:val="36"/>
          <w:rtl/>
        </w:rPr>
        <w:t>الجناب</w:t>
      </w:r>
      <w:r w:rsidR="00EC7EDF" w:rsidRPr="00FD211F">
        <w:rPr>
          <w:sz w:val="36"/>
          <w:szCs w:val="36"/>
          <w:rtl/>
        </w:rPr>
        <w:t>ة</w:t>
      </w:r>
      <w:r w:rsidR="00E8128F">
        <w:rPr>
          <w:sz w:val="36"/>
          <w:szCs w:val="36"/>
          <w:rtl/>
        </w:rPr>
        <w:t xml:space="preserve"> </w:t>
      </w:r>
      <w:r w:rsidR="00736892" w:rsidRPr="00FD211F">
        <w:rPr>
          <w:sz w:val="36"/>
          <w:szCs w:val="36"/>
          <w:rtl/>
        </w:rPr>
        <w:t>مع</w:t>
      </w:r>
      <w:r w:rsidR="00E8128F">
        <w:rPr>
          <w:sz w:val="36"/>
          <w:szCs w:val="36"/>
          <w:rtl/>
        </w:rPr>
        <w:t xml:space="preserve"> </w:t>
      </w:r>
      <w:r w:rsidR="00736892" w:rsidRPr="00FD211F">
        <w:rPr>
          <w:sz w:val="36"/>
          <w:szCs w:val="36"/>
          <w:rtl/>
        </w:rPr>
        <w:t>عدم</w:t>
      </w:r>
      <w:r w:rsidR="00E8128F">
        <w:rPr>
          <w:sz w:val="36"/>
          <w:szCs w:val="36"/>
          <w:rtl/>
        </w:rPr>
        <w:t xml:space="preserve"> </w:t>
      </w:r>
      <w:r w:rsidR="00736892" w:rsidRPr="00FD211F">
        <w:rPr>
          <w:sz w:val="36"/>
          <w:szCs w:val="36"/>
          <w:rtl/>
        </w:rPr>
        <w:t>صدور</w:t>
      </w:r>
      <w:r w:rsidR="00E8128F">
        <w:rPr>
          <w:sz w:val="36"/>
          <w:szCs w:val="36"/>
          <w:rtl/>
        </w:rPr>
        <w:t xml:space="preserve"> </w:t>
      </w:r>
      <w:r w:rsidR="00736892" w:rsidRPr="00FD211F">
        <w:rPr>
          <w:sz w:val="36"/>
          <w:szCs w:val="36"/>
          <w:rtl/>
        </w:rPr>
        <w:t>الناقض</w:t>
      </w:r>
      <w:r w:rsidR="00E8128F">
        <w:rPr>
          <w:sz w:val="36"/>
          <w:szCs w:val="36"/>
          <w:rtl/>
        </w:rPr>
        <w:t xml:space="preserve"> </w:t>
      </w:r>
      <w:r w:rsidR="00736892" w:rsidRPr="00FD211F">
        <w:rPr>
          <w:sz w:val="36"/>
          <w:szCs w:val="36"/>
          <w:rtl/>
        </w:rPr>
        <w:t>بعده</w:t>
      </w:r>
      <w:r w:rsidR="00E8128F">
        <w:rPr>
          <w:sz w:val="36"/>
          <w:szCs w:val="36"/>
          <w:rtl/>
        </w:rPr>
        <w:t xml:space="preserve"> </w:t>
      </w:r>
      <w:r w:rsidR="00736892" w:rsidRPr="00FD211F">
        <w:rPr>
          <w:sz w:val="36"/>
          <w:szCs w:val="36"/>
          <w:rtl/>
        </w:rPr>
        <w:t>الى</w:t>
      </w:r>
      <w:r w:rsidR="00E8128F">
        <w:rPr>
          <w:sz w:val="36"/>
          <w:szCs w:val="36"/>
          <w:rtl/>
        </w:rPr>
        <w:t xml:space="preserve"> </w:t>
      </w:r>
      <w:r w:rsidR="00736892" w:rsidRPr="00FD211F">
        <w:rPr>
          <w:sz w:val="36"/>
          <w:szCs w:val="36"/>
          <w:rtl/>
        </w:rPr>
        <w:t>آخر</w:t>
      </w:r>
      <w:r w:rsidR="00E8128F">
        <w:rPr>
          <w:sz w:val="36"/>
          <w:szCs w:val="36"/>
          <w:rtl/>
        </w:rPr>
        <w:t xml:space="preserve"> </w:t>
      </w:r>
      <w:r w:rsidR="00736892" w:rsidRPr="00FD211F">
        <w:rPr>
          <w:sz w:val="36"/>
          <w:szCs w:val="36"/>
          <w:rtl/>
        </w:rPr>
        <w:t>الصلا</w:t>
      </w:r>
      <w:r w:rsidR="00EC7EDF" w:rsidRPr="00FD211F">
        <w:rPr>
          <w:sz w:val="36"/>
          <w:szCs w:val="36"/>
          <w:rtl/>
        </w:rPr>
        <w:t>ة</w:t>
      </w:r>
      <w:r w:rsidR="00E8128F">
        <w:rPr>
          <w:sz w:val="36"/>
          <w:szCs w:val="36"/>
          <w:rtl/>
        </w:rPr>
        <w:t xml:space="preserve"> </w:t>
      </w:r>
      <w:r w:rsidR="00736892" w:rsidRPr="00FD211F">
        <w:rPr>
          <w:sz w:val="36"/>
          <w:szCs w:val="36"/>
          <w:rtl/>
        </w:rPr>
        <w:t>فتجري</w:t>
      </w:r>
      <w:r w:rsidR="00E8128F">
        <w:rPr>
          <w:sz w:val="36"/>
          <w:szCs w:val="36"/>
          <w:rtl/>
        </w:rPr>
        <w:t xml:space="preserve"> </w:t>
      </w:r>
      <w:r w:rsidR="00736892" w:rsidRPr="00FD211F">
        <w:rPr>
          <w:sz w:val="36"/>
          <w:szCs w:val="36"/>
          <w:rtl/>
        </w:rPr>
        <w:t>البراء</w:t>
      </w:r>
      <w:r w:rsidR="00EC7EDF" w:rsidRPr="00FD211F">
        <w:rPr>
          <w:sz w:val="36"/>
          <w:szCs w:val="36"/>
          <w:rtl/>
        </w:rPr>
        <w:t>ة</w:t>
      </w:r>
      <w:r w:rsidR="00E8128F">
        <w:rPr>
          <w:sz w:val="36"/>
          <w:szCs w:val="36"/>
          <w:rtl/>
        </w:rPr>
        <w:t xml:space="preserve"> </w:t>
      </w:r>
      <w:r w:rsidR="00736892" w:rsidRPr="00FD211F">
        <w:rPr>
          <w:sz w:val="36"/>
          <w:szCs w:val="36"/>
          <w:rtl/>
        </w:rPr>
        <w:t>عن</w:t>
      </w:r>
      <w:r w:rsidR="00E8128F">
        <w:rPr>
          <w:sz w:val="36"/>
          <w:szCs w:val="36"/>
          <w:rtl/>
        </w:rPr>
        <w:t xml:space="preserve"> </w:t>
      </w:r>
      <w:r w:rsidR="00736892" w:rsidRPr="00FD211F">
        <w:rPr>
          <w:sz w:val="36"/>
          <w:szCs w:val="36"/>
          <w:rtl/>
        </w:rPr>
        <w:t>تقيد</w:t>
      </w:r>
      <w:r w:rsidR="00E8128F">
        <w:rPr>
          <w:sz w:val="36"/>
          <w:szCs w:val="36"/>
          <w:rtl/>
        </w:rPr>
        <w:t xml:space="preserve"> </w:t>
      </w:r>
      <w:r w:rsidR="00736892" w:rsidRPr="00FD211F">
        <w:rPr>
          <w:sz w:val="36"/>
          <w:szCs w:val="36"/>
          <w:rtl/>
        </w:rPr>
        <w:t>الصلا</w:t>
      </w:r>
      <w:r w:rsidR="00EC7EDF" w:rsidRPr="00FD211F">
        <w:rPr>
          <w:sz w:val="36"/>
          <w:szCs w:val="36"/>
          <w:rtl/>
        </w:rPr>
        <w:t>ة</w:t>
      </w:r>
      <w:r w:rsidR="00E8128F">
        <w:rPr>
          <w:sz w:val="36"/>
          <w:szCs w:val="36"/>
          <w:rtl/>
        </w:rPr>
        <w:t xml:space="preserve"> </w:t>
      </w:r>
      <w:r w:rsidR="00736892" w:rsidRPr="00FD211F">
        <w:rPr>
          <w:sz w:val="36"/>
          <w:szCs w:val="36"/>
          <w:rtl/>
        </w:rPr>
        <w:t>بالغسل</w:t>
      </w:r>
      <w:r w:rsidR="00E8128F">
        <w:rPr>
          <w:sz w:val="36"/>
          <w:szCs w:val="36"/>
          <w:rtl/>
        </w:rPr>
        <w:t xml:space="preserve"> </w:t>
      </w:r>
      <w:r w:rsidR="00736892" w:rsidRPr="00FD211F">
        <w:rPr>
          <w:sz w:val="36"/>
          <w:szCs w:val="36"/>
          <w:rtl/>
        </w:rPr>
        <w:t>المراعى</w:t>
      </w:r>
      <w:r w:rsidR="00E8128F">
        <w:rPr>
          <w:sz w:val="36"/>
          <w:szCs w:val="36"/>
          <w:rtl/>
        </w:rPr>
        <w:t xml:space="preserve"> </w:t>
      </w:r>
      <w:r w:rsidR="00736892" w:rsidRPr="00FD211F">
        <w:rPr>
          <w:sz w:val="36"/>
          <w:szCs w:val="36"/>
          <w:rtl/>
        </w:rPr>
        <w:t>فيه</w:t>
      </w:r>
      <w:r w:rsidR="00E8128F">
        <w:rPr>
          <w:sz w:val="36"/>
          <w:szCs w:val="36"/>
          <w:rtl/>
        </w:rPr>
        <w:t xml:space="preserve"> </w:t>
      </w:r>
      <w:r w:rsidR="00736892" w:rsidRPr="00FD211F">
        <w:rPr>
          <w:sz w:val="36"/>
          <w:szCs w:val="36"/>
          <w:rtl/>
        </w:rPr>
        <w:t>الترتيب</w:t>
      </w:r>
      <w:r w:rsidR="00E8128F">
        <w:rPr>
          <w:sz w:val="36"/>
          <w:szCs w:val="36"/>
          <w:rtl/>
        </w:rPr>
        <w:t xml:space="preserve"> </w:t>
      </w:r>
      <w:r w:rsidR="00736892" w:rsidRPr="00FD211F">
        <w:rPr>
          <w:sz w:val="36"/>
          <w:szCs w:val="36"/>
          <w:rtl/>
        </w:rPr>
        <w:t>بين</w:t>
      </w:r>
      <w:r w:rsidR="00E8128F">
        <w:rPr>
          <w:sz w:val="36"/>
          <w:szCs w:val="36"/>
          <w:rtl/>
        </w:rPr>
        <w:t xml:space="preserve"> </w:t>
      </w:r>
      <w:r w:rsidR="00736892" w:rsidRPr="00FD211F">
        <w:rPr>
          <w:sz w:val="36"/>
          <w:szCs w:val="36"/>
          <w:rtl/>
        </w:rPr>
        <w:t>الجانب</w:t>
      </w:r>
      <w:r w:rsidR="00E8128F">
        <w:rPr>
          <w:sz w:val="36"/>
          <w:szCs w:val="36"/>
          <w:rtl/>
        </w:rPr>
        <w:t xml:space="preserve"> </w:t>
      </w:r>
      <w:r w:rsidR="004518BE" w:rsidRPr="00FD211F">
        <w:rPr>
          <w:sz w:val="36"/>
          <w:szCs w:val="36"/>
          <w:rtl/>
        </w:rPr>
        <w:t>الايمن</w:t>
      </w:r>
      <w:r w:rsidR="00E8128F">
        <w:rPr>
          <w:sz w:val="36"/>
          <w:szCs w:val="36"/>
          <w:rtl/>
        </w:rPr>
        <w:t xml:space="preserve"> </w:t>
      </w:r>
      <w:r w:rsidR="004518BE" w:rsidRPr="00FD211F">
        <w:rPr>
          <w:sz w:val="36"/>
          <w:szCs w:val="36"/>
          <w:rtl/>
        </w:rPr>
        <w:t>والايسر.</w:t>
      </w:r>
      <w:r w:rsidR="009C58C8" w:rsidRPr="00FD211F">
        <w:rPr>
          <w:rStyle w:val="a6"/>
          <w:sz w:val="36"/>
          <w:szCs w:val="36"/>
          <w:rtl/>
        </w:rPr>
        <w:t>(</w:t>
      </w:r>
      <w:r w:rsidR="009C58C8" w:rsidRPr="00FD211F">
        <w:rPr>
          <w:rStyle w:val="a6"/>
          <w:sz w:val="36"/>
          <w:szCs w:val="36"/>
          <w:rtl/>
        </w:rPr>
        <w:footnoteReference w:id="569"/>
      </w:r>
      <w:r w:rsidR="009C58C8" w:rsidRPr="00FD211F">
        <w:rPr>
          <w:rStyle w:val="a6"/>
          <w:sz w:val="36"/>
          <w:szCs w:val="36"/>
          <w:rtl/>
        </w:rPr>
        <w:t>)</w:t>
      </w:r>
      <w:r w:rsidR="00E8128F">
        <w:rPr>
          <w:sz w:val="36"/>
          <w:szCs w:val="36"/>
          <w:rtl/>
        </w:rPr>
        <w:t xml:space="preserve"> </w:t>
      </w:r>
      <w:r w:rsidR="00E565B6" w:rsidRPr="00FD211F">
        <w:rPr>
          <w:sz w:val="36"/>
          <w:szCs w:val="36"/>
          <w:rtl/>
        </w:rPr>
        <w:t>فلوكان</w:t>
      </w:r>
      <w:r w:rsidR="00E8128F">
        <w:rPr>
          <w:sz w:val="36"/>
          <w:szCs w:val="36"/>
          <w:rtl/>
        </w:rPr>
        <w:t xml:space="preserve"> </w:t>
      </w:r>
      <w:r w:rsidR="00E565B6" w:rsidRPr="00FD211F">
        <w:rPr>
          <w:sz w:val="36"/>
          <w:szCs w:val="36"/>
          <w:rtl/>
        </w:rPr>
        <w:t>يرى</w:t>
      </w:r>
      <w:r w:rsidR="00E8128F">
        <w:rPr>
          <w:sz w:val="36"/>
          <w:szCs w:val="36"/>
          <w:rtl/>
        </w:rPr>
        <w:t xml:space="preserve"> </w:t>
      </w:r>
      <w:r w:rsidR="00E565B6" w:rsidRPr="00FD211F">
        <w:rPr>
          <w:sz w:val="36"/>
          <w:szCs w:val="36"/>
          <w:rtl/>
        </w:rPr>
        <w:t>ان</w:t>
      </w:r>
      <w:r w:rsidR="00E8128F">
        <w:rPr>
          <w:sz w:val="36"/>
          <w:szCs w:val="36"/>
          <w:rtl/>
        </w:rPr>
        <w:t xml:space="preserve"> </w:t>
      </w:r>
      <w:r w:rsidR="00E565B6" w:rsidRPr="00FD211F">
        <w:rPr>
          <w:sz w:val="36"/>
          <w:szCs w:val="36"/>
          <w:rtl/>
        </w:rPr>
        <w:t>استصحاب</w:t>
      </w:r>
      <w:r w:rsidR="00E8128F">
        <w:rPr>
          <w:sz w:val="36"/>
          <w:szCs w:val="36"/>
          <w:rtl/>
        </w:rPr>
        <w:t xml:space="preserve"> </w:t>
      </w:r>
      <w:r w:rsidR="00E565B6" w:rsidRPr="00FD211F">
        <w:rPr>
          <w:sz w:val="36"/>
          <w:szCs w:val="36"/>
          <w:rtl/>
        </w:rPr>
        <w:t>عدم</w:t>
      </w:r>
      <w:r w:rsidR="00E8128F">
        <w:rPr>
          <w:sz w:val="36"/>
          <w:szCs w:val="36"/>
          <w:rtl/>
        </w:rPr>
        <w:t xml:space="preserve"> </w:t>
      </w:r>
      <w:r w:rsidR="00E565B6" w:rsidRPr="00FD211F">
        <w:rPr>
          <w:sz w:val="36"/>
          <w:szCs w:val="36"/>
          <w:rtl/>
        </w:rPr>
        <w:t>التقييد</w:t>
      </w:r>
      <w:r w:rsidR="00E8128F">
        <w:rPr>
          <w:sz w:val="36"/>
          <w:szCs w:val="36"/>
          <w:rtl/>
        </w:rPr>
        <w:t xml:space="preserve"> </w:t>
      </w:r>
      <w:r w:rsidR="00E565B6" w:rsidRPr="00FD211F">
        <w:rPr>
          <w:sz w:val="36"/>
          <w:szCs w:val="36"/>
          <w:rtl/>
        </w:rPr>
        <w:t>يثبت</w:t>
      </w:r>
      <w:r w:rsidR="00E8128F">
        <w:rPr>
          <w:sz w:val="36"/>
          <w:szCs w:val="36"/>
          <w:rtl/>
        </w:rPr>
        <w:t xml:space="preserve"> </w:t>
      </w:r>
      <w:r w:rsidR="00E565B6" w:rsidRPr="00FD211F">
        <w:rPr>
          <w:sz w:val="36"/>
          <w:szCs w:val="36"/>
          <w:rtl/>
        </w:rPr>
        <w:t>ال</w:t>
      </w:r>
      <w:r w:rsidR="00891F2E" w:rsidRPr="00FD211F">
        <w:rPr>
          <w:sz w:val="36"/>
          <w:szCs w:val="36"/>
          <w:rtl/>
        </w:rPr>
        <w:t>اطلاق</w:t>
      </w:r>
      <w:r w:rsidR="00E8128F">
        <w:rPr>
          <w:sz w:val="36"/>
          <w:szCs w:val="36"/>
          <w:rtl/>
        </w:rPr>
        <w:t xml:space="preserve"> </w:t>
      </w:r>
      <w:r w:rsidR="00891F2E" w:rsidRPr="00FD211F">
        <w:rPr>
          <w:sz w:val="36"/>
          <w:szCs w:val="36"/>
          <w:rtl/>
        </w:rPr>
        <w:t>لكان</w:t>
      </w:r>
      <w:r w:rsidR="00E8128F">
        <w:rPr>
          <w:sz w:val="36"/>
          <w:szCs w:val="36"/>
          <w:rtl/>
        </w:rPr>
        <w:t xml:space="preserve"> </w:t>
      </w:r>
      <w:r w:rsidR="00891F2E" w:rsidRPr="00FD211F">
        <w:rPr>
          <w:sz w:val="36"/>
          <w:szCs w:val="36"/>
          <w:rtl/>
        </w:rPr>
        <w:t>ينبغى</w:t>
      </w:r>
      <w:r w:rsidR="00E8128F">
        <w:rPr>
          <w:sz w:val="36"/>
          <w:szCs w:val="36"/>
          <w:rtl/>
        </w:rPr>
        <w:t xml:space="preserve"> </w:t>
      </w:r>
      <w:r w:rsidR="00891F2E" w:rsidRPr="00FD211F">
        <w:rPr>
          <w:sz w:val="36"/>
          <w:szCs w:val="36"/>
          <w:rtl/>
        </w:rPr>
        <w:t>ان</w:t>
      </w:r>
      <w:r w:rsidR="00E8128F">
        <w:rPr>
          <w:sz w:val="36"/>
          <w:szCs w:val="36"/>
          <w:rtl/>
        </w:rPr>
        <w:t xml:space="preserve"> </w:t>
      </w:r>
      <w:r w:rsidR="00891F2E" w:rsidRPr="00FD211F">
        <w:rPr>
          <w:sz w:val="36"/>
          <w:szCs w:val="36"/>
          <w:rtl/>
        </w:rPr>
        <w:t>لايك</w:t>
      </w:r>
      <w:r w:rsidR="004518BE" w:rsidRPr="00FD211F">
        <w:rPr>
          <w:sz w:val="36"/>
          <w:szCs w:val="36"/>
          <w:rtl/>
        </w:rPr>
        <w:t>ت</w:t>
      </w:r>
      <w:r w:rsidR="00891F2E" w:rsidRPr="00FD211F">
        <w:rPr>
          <w:sz w:val="36"/>
          <w:szCs w:val="36"/>
          <w:rtl/>
        </w:rPr>
        <w:t>في</w:t>
      </w:r>
      <w:r w:rsidR="00E8128F">
        <w:rPr>
          <w:sz w:val="36"/>
          <w:szCs w:val="36"/>
          <w:rtl/>
        </w:rPr>
        <w:t xml:space="preserve"> </w:t>
      </w:r>
      <w:r w:rsidR="00891F2E" w:rsidRPr="00FD211F">
        <w:rPr>
          <w:sz w:val="36"/>
          <w:szCs w:val="36"/>
          <w:rtl/>
        </w:rPr>
        <w:t>بدعوى</w:t>
      </w:r>
      <w:r w:rsidR="00E8128F">
        <w:rPr>
          <w:sz w:val="36"/>
          <w:szCs w:val="36"/>
          <w:rtl/>
        </w:rPr>
        <w:t xml:space="preserve"> </w:t>
      </w:r>
      <w:r w:rsidR="00891F2E" w:rsidRPr="00FD211F">
        <w:rPr>
          <w:sz w:val="36"/>
          <w:szCs w:val="36"/>
          <w:rtl/>
        </w:rPr>
        <w:t>ان</w:t>
      </w:r>
      <w:r w:rsidR="00E8128F">
        <w:rPr>
          <w:sz w:val="36"/>
          <w:szCs w:val="36"/>
          <w:rtl/>
        </w:rPr>
        <w:t xml:space="preserve"> </w:t>
      </w:r>
      <w:r w:rsidR="00891F2E" w:rsidRPr="00FD211F">
        <w:rPr>
          <w:sz w:val="36"/>
          <w:szCs w:val="36"/>
          <w:rtl/>
        </w:rPr>
        <w:t>البراء</w:t>
      </w:r>
      <w:r w:rsidR="00EC7EDF" w:rsidRPr="00FD211F">
        <w:rPr>
          <w:sz w:val="36"/>
          <w:szCs w:val="36"/>
          <w:rtl/>
        </w:rPr>
        <w:t>ة</w:t>
      </w:r>
      <w:r w:rsidR="00E8128F">
        <w:rPr>
          <w:sz w:val="36"/>
          <w:szCs w:val="36"/>
          <w:rtl/>
        </w:rPr>
        <w:t xml:space="preserve"> </w:t>
      </w:r>
      <w:r w:rsidR="00891F2E" w:rsidRPr="00FD211F">
        <w:rPr>
          <w:sz w:val="36"/>
          <w:szCs w:val="36"/>
          <w:rtl/>
        </w:rPr>
        <w:t>عن</w:t>
      </w:r>
      <w:r w:rsidR="00E8128F">
        <w:rPr>
          <w:sz w:val="36"/>
          <w:szCs w:val="36"/>
          <w:rtl/>
        </w:rPr>
        <w:t xml:space="preserve"> </w:t>
      </w:r>
      <w:r w:rsidR="00891F2E" w:rsidRPr="00FD211F">
        <w:rPr>
          <w:sz w:val="36"/>
          <w:szCs w:val="36"/>
          <w:rtl/>
        </w:rPr>
        <w:t>التقييدلاتثبت</w:t>
      </w:r>
      <w:r w:rsidR="00E8128F">
        <w:rPr>
          <w:sz w:val="36"/>
          <w:szCs w:val="36"/>
          <w:rtl/>
        </w:rPr>
        <w:t xml:space="preserve"> </w:t>
      </w:r>
      <w:r w:rsidR="00891F2E" w:rsidRPr="00FD211F">
        <w:rPr>
          <w:sz w:val="36"/>
          <w:szCs w:val="36"/>
          <w:rtl/>
        </w:rPr>
        <w:t>الاطلاق</w:t>
      </w:r>
      <w:r w:rsidR="00E8128F">
        <w:rPr>
          <w:sz w:val="36"/>
          <w:szCs w:val="36"/>
          <w:rtl/>
        </w:rPr>
        <w:t xml:space="preserve"> </w:t>
      </w:r>
    </w:p>
    <w:p w14:paraId="02155FC8" w14:textId="77777777" w:rsidR="00DF56B0" w:rsidRPr="00FD211F" w:rsidRDefault="00CE5809" w:rsidP="009C58C8">
      <w:pPr>
        <w:ind w:left="0" w:firstLine="227"/>
        <w:jc w:val="both"/>
        <w:rPr>
          <w:sz w:val="36"/>
          <w:szCs w:val="36"/>
          <w:rtl/>
        </w:rPr>
      </w:pPr>
      <w:r w:rsidRPr="00FD211F">
        <w:rPr>
          <w:sz w:val="36"/>
          <w:szCs w:val="36"/>
          <w:rtl/>
        </w:rPr>
        <w:t>واما</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008E2748" w:rsidRPr="00FD211F">
        <w:rPr>
          <w:sz w:val="36"/>
          <w:szCs w:val="36"/>
          <w:rtl/>
        </w:rPr>
        <w:t>مسلك</w:t>
      </w:r>
      <w:r w:rsidR="00E8128F">
        <w:rPr>
          <w:sz w:val="36"/>
          <w:szCs w:val="36"/>
          <w:rtl/>
        </w:rPr>
        <w:t xml:space="preserve"> </w:t>
      </w:r>
      <w:r w:rsidR="008E2748" w:rsidRPr="00FD211F">
        <w:rPr>
          <w:sz w:val="36"/>
          <w:szCs w:val="36"/>
          <w:rtl/>
        </w:rPr>
        <w:t>المحقق</w:t>
      </w:r>
      <w:r w:rsidR="00E8128F">
        <w:rPr>
          <w:sz w:val="36"/>
          <w:szCs w:val="36"/>
          <w:rtl/>
        </w:rPr>
        <w:t xml:space="preserve"> </w:t>
      </w:r>
      <w:r w:rsidR="008E2748" w:rsidRPr="00FD211F">
        <w:rPr>
          <w:sz w:val="36"/>
          <w:szCs w:val="36"/>
          <w:rtl/>
        </w:rPr>
        <w:t>النائيني</w:t>
      </w:r>
      <w:r w:rsidR="00E8128F">
        <w:rPr>
          <w:sz w:val="36"/>
          <w:szCs w:val="36"/>
          <w:rtl/>
        </w:rPr>
        <w:t xml:space="preserve"> </w:t>
      </w:r>
      <w:r w:rsidR="00B1734E" w:rsidRPr="00FD211F">
        <w:rPr>
          <w:sz w:val="36"/>
          <w:szCs w:val="36"/>
          <w:rtl/>
        </w:rPr>
        <w:t>"قده"</w:t>
      </w:r>
      <w:r w:rsidR="00E8128F">
        <w:rPr>
          <w:sz w:val="36"/>
          <w:szCs w:val="36"/>
          <w:rtl/>
        </w:rPr>
        <w:t xml:space="preserve"> </w:t>
      </w:r>
      <w:r w:rsidR="008E2748" w:rsidRPr="00FD211F">
        <w:rPr>
          <w:sz w:val="36"/>
          <w:szCs w:val="36"/>
          <w:rtl/>
        </w:rPr>
        <w:t>من</w:t>
      </w:r>
      <w:r w:rsidR="00E8128F">
        <w:rPr>
          <w:sz w:val="36"/>
          <w:szCs w:val="36"/>
          <w:rtl/>
        </w:rPr>
        <w:t xml:space="preserve"> </w:t>
      </w:r>
      <w:r w:rsidR="008E2748" w:rsidRPr="00FD211F">
        <w:rPr>
          <w:sz w:val="36"/>
          <w:szCs w:val="36"/>
          <w:rtl/>
        </w:rPr>
        <w:t>كون</w:t>
      </w:r>
      <w:r w:rsidR="00E8128F">
        <w:rPr>
          <w:sz w:val="36"/>
          <w:szCs w:val="36"/>
          <w:rtl/>
        </w:rPr>
        <w:t xml:space="preserve"> </w:t>
      </w:r>
      <w:r w:rsidR="008E2748" w:rsidRPr="00FD211F">
        <w:rPr>
          <w:sz w:val="36"/>
          <w:szCs w:val="36"/>
          <w:rtl/>
        </w:rPr>
        <w:t>تقابل</w:t>
      </w:r>
      <w:r w:rsidR="00E8128F">
        <w:rPr>
          <w:sz w:val="36"/>
          <w:szCs w:val="36"/>
          <w:rtl/>
        </w:rPr>
        <w:t xml:space="preserve"> </w:t>
      </w:r>
      <w:r w:rsidRPr="00FD211F">
        <w:rPr>
          <w:sz w:val="36"/>
          <w:szCs w:val="36"/>
          <w:rtl/>
        </w:rPr>
        <w:t>الاطلاق</w:t>
      </w:r>
      <w:r w:rsidR="00E8128F">
        <w:rPr>
          <w:sz w:val="36"/>
          <w:szCs w:val="36"/>
          <w:rtl/>
        </w:rPr>
        <w:t xml:space="preserve"> </w:t>
      </w:r>
      <w:r w:rsidRPr="00FD211F">
        <w:rPr>
          <w:sz w:val="36"/>
          <w:szCs w:val="36"/>
          <w:rtl/>
        </w:rPr>
        <w:t>والتقييد</w:t>
      </w:r>
      <w:r w:rsidR="00E8128F">
        <w:rPr>
          <w:sz w:val="36"/>
          <w:szCs w:val="36"/>
          <w:rtl/>
        </w:rPr>
        <w:t xml:space="preserve"> </w:t>
      </w:r>
      <w:r w:rsidRPr="00FD211F">
        <w:rPr>
          <w:sz w:val="36"/>
          <w:szCs w:val="36"/>
          <w:rtl/>
        </w:rPr>
        <w:t>الثبوتيين</w:t>
      </w:r>
      <w:r w:rsidR="00E8128F">
        <w:rPr>
          <w:sz w:val="36"/>
          <w:szCs w:val="36"/>
          <w:rtl/>
        </w:rPr>
        <w:t xml:space="preserve"> </w:t>
      </w:r>
      <w:r w:rsidR="008E2748" w:rsidRPr="00FD211F">
        <w:rPr>
          <w:sz w:val="36"/>
          <w:szCs w:val="36"/>
          <w:rtl/>
        </w:rPr>
        <w:t>تقابل</w:t>
      </w:r>
      <w:r w:rsidR="00E8128F">
        <w:rPr>
          <w:sz w:val="36"/>
          <w:szCs w:val="36"/>
          <w:rtl/>
        </w:rPr>
        <w:t xml:space="preserve"> </w:t>
      </w:r>
      <w:r w:rsidR="008E2748" w:rsidRPr="00FD211F">
        <w:rPr>
          <w:sz w:val="36"/>
          <w:szCs w:val="36"/>
          <w:rtl/>
        </w:rPr>
        <w:t>العدم</w:t>
      </w:r>
      <w:r w:rsidR="00E8128F">
        <w:rPr>
          <w:sz w:val="36"/>
          <w:szCs w:val="36"/>
          <w:rtl/>
        </w:rPr>
        <w:t xml:space="preserve"> </w:t>
      </w:r>
      <w:r w:rsidR="008E2748" w:rsidRPr="00FD211F">
        <w:rPr>
          <w:sz w:val="36"/>
          <w:szCs w:val="36"/>
          <w:rtl/>
        </w:rPr>
        <w:t>والملك</w:t>
      </w:r>
      <w:r w:rsidR="00EC7EDF" w:rsidRPr="00FD211F">
        <w:rPr>
          <w:sz w:val="36"/>
          <w:szCs w:val="36"/>
          <w:rtl/>
        </w:rPr>
        <w:t>ة</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الاطلاق</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التقييد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مورد</w:t>
      </w:r>
      <w:r w:rsidR="00E8128F">
        <w:rPr>
          <w:sz w:val="36"/>
          <w:szCs w:val="36"/>
          <w:rtl/>
        </w:rPr>
        <w:t xml:space="preserve"> </w:t>
      </w:r>
      <w:r w:rsidRPr="00FD211F">
        <w:rPr>
          <w:sz w:val="36"/>
          <w:szCs w:val="36"/>
          <w:rtl/>
        </w:rPr>
        <w:t>قابل</w:t>
      </w:r>
      <w:r w:rsidR="00E8128F">
        <w:rPr>
          <w:sz w:val="36"/>
          <w:szCs w:val="36"/>
          <w:rtl/>
        </w:rPr>
        <w:t xml:space="preserve"> </w:t>
      </w:r>
      <w:r w:rsidRPr="00FD211F">
        <w:rPr>
          <w:sz w:val="36"/>
          <w:szCs w:val="36"/>
          <w:rtl/>
        </w:rPr>
        <w:t>للتقييد</w:t>
      </w:r>
      <w:r w:rsidR="00E8128F">
        <w:rPr>
          <w:sz w:val="36"/>
          <w:szCs w:val="36"/>
          <w:rtl/>
        </w:rPr>
        <w:t xml:space="preserve"> </w:t>
      </w:r>
      <w:r w:rsidRPr="00FD211F">
        <w:rPr>
          <w:sz w:val="36"/>
          <w:szCs w:val="36"/>
          <w:rtl/>
        </w:rPr>
        <w:t>فقد</w:t>
      </w:r>
      <w:r w:rsidR="00E8128F">
        <w:rPr>
          <w:sz w:val="36"/>
          <w:szCs w:val="36"/>
          <w:rtl/>
        </w:rPr>
        <w:t xml:space="preserve"> </w:t>
      </w:r>
      <w:r w:rsidR="00EA78A7" w:rsidRPr="00FD211F">
        <w:rPr>
          <w:sz w:val="36"/>
          <w:szCs w:val="36"/>
          <w:rtl/>
        </w:rPr>
        <w:t>يقال</w:t>
      </w:r>
      <w:r w:rsidR="00E8128F">
        <w:rPr>
          <w:sz w:val="36"/>
          <w:szCs w:val="36"/>
          <w:rtl/>
        </w:rPr>
        <w:t xml:space="preserve"> </w:t>
      </w:r>
      <w:r w:rsidR="00EA78A7" w:rsidRPr="00FD211F">
        <w:rPr>
          <w:sz w:val="36"/>
          <w:szCs w:val="36"/>
          <w:rtl/>
        </w:rPr>
        <w:t>–كما</w:t>
      </w:r>
      <w:r w:rsidR="00E8128F">
        <w:rPr>
          <w:sz w:val="36"/>
          <w:szCs w:val="36"/>
          <w:rtl/>
        </w:rPr>
        <w:t xml:space="preserve"> </w:t>
      </w:r>
      <w:r w:rsidR="00EA78A7" w:rsidRPr="00FD211F">
        <w:rPr>
          <w:sz w:val="36"/>
          <w:szCs w:val="36"/>
          <w:rtl/>
        </w:rPr>
        <w:t>ذكره</w:t>
      </w:r>
      <w:r w:rsidR="00E8128F">
        <w:rPr>
          <w:sz w:val="36"/>
          <w:szCs w:val="36"/>
          <w:rtl/>
        </w:rPr>
        <w:t xml:space="preserve"> </w:t>
      </w:r>
      <w:r w:rsidR="00EA78A7" w:rsidRPr="00FD211F">
        <w:rPr>
          <w:sz w:val="36"/>
          <w:szCs w:val="36"/>
          <w:rtl/>
        </w:rPr>
        <w:t>في</w:t>
      </w:r>
      <w:r w:rsidR="00E8128F">
        <w:rPr>
          <w:sz w:val="36"/>
          <w:szCs w:val="36"/>
          <w:rtl/>
        </w:rPr>
        <w:t xml:space="preserve"> </w:t>
      </w:r>
      <w:r w:rsidR="00EA78A7" w:rsidRPr="00FD211F">
        <w:rPr>
          <w:sz w:val="36"/>
          <w:szCs w:val="36"/>
          <w:rtl/>
        </w:rPr>
        <w:t>البحوث</w:t>
      </w:r>
      <w:r w:rsidR="00E8128F">
        <w:rPr>
          <w:sz w:val="36"/>
          <w:szCs w:val="36"/>
          <w:rtl/>
        </w:rPr>
        <w:t xml:space="preserve"> </w:t>
      </w:r>
      <w:r w:rsidR="00EA78A7" w:rsidRPr="00FD211F">
        <w:rPr>
          <w:sz w:val="36"/>
          <w:szCs w:val="36"/>
          <w:rtl/>
        </w:rPr>
        <w:t>وحكي</w:t>
      </w:r>
      <w:r w:rsidR="00E8128F">
        <w:rPr>
          <w:sz w:val="36"/>
          <w:szCs w:val="36"/>
          <w:rtl/>
        </w:rPr>
        <w:t xml:space="preserve"> </w:t>
      </w:r>
      <w:r w:rsidR="00EA78A7" w:rsidRPr="00FD211F">
        <w:rPr>
          <w:sz w:val="36"/>
          <w:szCs w:val="36"/>
          <w:rtl/>
        </w:rPr>
        <w:t>عن</w:t>
      </w:r>
      <w:r w:rsidR="00E8128F">
        <w:rPr>
          <w:sz w:val="36"/>
          <w:szCs w:val="36"/>
          <w:rtl/>
        </w:rPr>
        <w:t xml:space="preserve"> </w:t>
      </w:r>
      <w:r w:rsidR="00EA78A7" w:rsidRPr="00FD211F">
        <w:rPr>
          <w:sz w:val="36"/>
          <w:szCs w:val="36"/>
          <w:rtl/>
        </w:rPr>
        <w:t>بعض</w:t>
      </w:r>
      <w:r w:rsidR="00E8128F">
        <w:rPr>
          <w:sz w:val="36"/>
          <w:szCs w:val="36"/>
          <w:rtl/>
        </w:rPr>
        <w:t xml:space="preserve"> </w:t>
      </w:r>
      <w:r w:rsidR="00EA78A7" w:rsidRPr="00FD211F">
        <w:rPr>
          <w:sz w:val="36"/>
          <w:szCs w:val="36"/>
          <w:rtl/>
        </w:rPr>
        <w:t>الساد</w:t>
      </w:r>
      <w:r w:rsidR="00EC7EDF" w:rsidRPr="00FD211F">
        <w:rPr>
          <w:sz w:val="36"/>
          <w:szCs w:val="36"/>
          <w:rtl/>
        </w:rPr>
        <w:t>ة</w:t>
      </w:r>
      <w:r w:rsidR="00E8128F">
        <w:rPr>
          <w:sz w:val="36"/>
          <w:szCs w:val="36"/>
          <w:rtl/>
        </w:rPr>
        <w:t xml:space="preserve"> </w:t>
      </w:r>
      <w:r w:rsidR="00EA78A7" w:rsidRPr="00FD211F">
        <w:rPr>
          <w:sz w:val="36"/>
          <w:szCs w:val="36"/>
          <w:rtl/>
        </w:rPr>
        <w:t>الأعلام</w:t>
      </w:r>
      <w:r w:rsidR="00E8128F">
        <w:rPr>
          <w:sz w:val="36"/>
          <w:szCs w:val="36"/>
          <w:rtl/>
        </w:rPr>
        <w:t xml:space="preserve"> </w:t>
      </w:r>
      <w:r w:rsidR="00EA78A7" w:rsidRPr="00FD211F">
        <w:rPr>
          <w:sz w:val="36"/>
          <w:szCs w:val="36"/>
          <w:rtl/>
        </w:rPr>
        <w:t>دام</w:t>
      </w:r>
      <w:r w:rsidR="00E8128F">
        <w:rPr>
          <w:sz w:val="36"/>
          <w:szCs w:val="36"/>
          <w:rtl/>
        </w:rPr>
        <w:t xml:space="preserve"> </w:t>
      </w:r>
      <w:r w:rsidR="00EA78A7" w:rsidRPr="00FD211F">
        <w:rPr>
          <w:sz w:val="36"/>
          <w:szCs w:val="36"/>
          <w:rtl/>
        </w:rPr>
        <w:t>ظله-</w:t>
      </w:r>
      <w:r w:rsidR="00E8128F">
        <w:rPr>
          <w:sz w:val="36"/>
          <w:szCs w:val="36"/>
          <w:rtl/>
        </w:rPr>
        <w:t xml:space="preserve"> </w:t>
      </w:r>
      <w:r w:rsidRPr="00FD211F">
        <w:rPr>
          <w:sz w:val="36"/>
          <w:szCs w:val="36"/>
          <w:rtl/>
        </w:rPr>
        <w:t>انه</w:t>
      </w:r>
      <w:r w:rsidR="00E8128F">
        <w:rPr>
          <w:sz w:val="36"/>
          <w:szCs w:val="36"/>
          <w:rtl/>
        </w:rPr>
        <w:t xml:space="preserve"> </w:t>
      </w:r>
      <w:r w:rsidR="008E2748" w:rsidRPr="00FD211F">
        <w:rPr>
          <w:sz w:val="36"/>
          <w:szCs w:val="36"/>
          <w:rtl/>
        </w:rPr>
        <w:t>لايثبت</w:t>
      </w:r>
      <w:r w:rsidR="00E8128F">
        <w:rPr>
          <w:sz w:val="36"/>
          <w:szCs w:val="36"/>
          <w:rtl/>
        </w:rPr>
        <w:t xml:space="preserve"> </w:t>
      </w:r>
      <w:r w:rsidRPr="00FD211F">
        <w:rPr>
          <w:sz w:val="36"/>
          <w:szCs w:val="36"/>
          <w:rtl/>
        </w:rPr>
        <w:t>الاطلاق</w:t>
      </w:r>
      <w:r w:rsidR="00E8128F">
        <w:rPr>
          <w:sz w:val="36"/>
          <w:szCs w:val="36"/>
          <w:rtl/>
        </w:rPr>
        <w:t xml:space="preserve"> </w:t>
      </w:r>
      <w:r w:rsidR="008E2748" w:rsidRPr="00FD211F">
        <w:rPr>
          <w:sz w:val="36"/>
          <w:szCs w:val="36"/>
          <w:rtl/>
        </w:rPr>
        <w:t>باستصحاب</w:t>
      </w:r>
      <w:r w:rsidR="00E8128F">
        <w:rPr>
          <w:sz w:val="36"/>
          <w:szCs w:val="36"/>
          <w:rtl/>
        </w:rPr>
        <w:t xml:space="preserve"> </w:t>
      </w:r>
      <w:r w:rsidR="008E2748" w:rsidRPr="00FD211F">
        <w:rPr>
          <w:sz w:val="36"/>
          <w:szCs w:val="36"/>
          <w:rtl/>
        </w:rPr>
        <w:t>عدم</w:t>
      </w:r>
      <w:r w:rsidR="00E8128F">
        <w:rPr>
          <w:sz w:val="36"/>
          <w:szCs w:val="36"/>
          <w:rtl/>
        </w:rPr>
        <w:t xml:space="preserve"> </w:t>
      </w:r>
      <w:r w:rsidR="008E2748" w:rsidRPr="00FD211F">
        <w:rPr>
          <w:sz w:val="36"/>
          <w:szCs w:val="36"/>
          <w:rtl/>
        </w:rPr>
        <w:t>التقييد</w:t>
      </w:r>
      <w:r w:rsidR="00603323" w:rsidRPr="00FD211F">
        <w:rPr>
          <w:sz w:val="36"/>
          <w:szCs w:val="36"/>
          <w:rtl/>
        </w:rPr>
        <w:t>،</w:t>
      </w:r>
      <w:r w:rsidR="00E8128F">
        <w:rPr>
          <w:sz w:val="36"/>
          <w:szCs w:val="36"/>
          <w:rtl/>
        </w:rPr>
        <w:t xml:space="preserve"> </w:t>
      </w:r>
      <w:r w:rsidR="00EA78A7" w:rsidRPr="00FD211F">
        <w:rPr>
          <w:sz w:val="36"/>
          <w:szCs w:val="36"/>
          <w:rtl/>
        </w:rPr>
        <w:t>فانه</w:t>
      </w:r>
      <w:r w:rsidR="00E8128F">
        <w:rPr>
          <w:sz w:val="36"/>
          <w:szCs w:val="36"/>
          <w:rtl/>
        </w:rPr>
        <w:t xml:space="preserve"> </w:t>
      </w:r>
      <w:r w:rsidR="00EA78A7" w:rsidRPr="00FD211F">
        <w:rPr>
          <w:sz w:val="36"/>
          <w:szCs w:val="36"/>
          <w:rtl/>
        </w:rPr>
        <w:t>نظير</w:t>
      </w:r>
      <w:r w:rsidR="00E8128F">
        <w:rPr>
          <w:sz w:val="36"/>
          <w:szCs w:val="36"/>
          <w:rtl/>
        </w:rPr>
        <w:t xml:space="preserve"> </w:t>
      </w:r>
      <w:r w:rsidR="00EA78A7" w:rsidRPr="00FD211F">
        <w:rPr>
          <w:sz w:val="36"/>
          <w:szCs w:val="36"/>
          <w:rtl/>
        </w:rPr>
        <w:t>استصحاب</w:t>
      </w:r>
      <w:r w:rsidR="00E8128F">
        <w:rPr>
          <w:sz w:val="36"/>
          <w:szCs w:val="36"/>
          <w:rtl/>
        </w:rPr>
        <w:t xml:space="preserve"> </w:t>
      </w:r>
      <w:r w:rsidR="00EA78A7" w:rsidRPr="00FD211F">
        <w:rPr>
          <w:sz w:val="36"/>
          <w:szCs w:val="36"/>
          <w:rtl/>
        </w:rPr>
        <w:t>عدم</w:t>
      </w:r>
      <w:r w:rsidR="00E8128F">
        <w:rPr>
          <w:sz w:val="36"/>
          <w:szCs w:val="36"/>
          <w:rtl/>
        </w:rPr>
        <w:t xml:space="preserve"> </w:t>
      </w:r>
      <w:r w:rsidR="00EA78A7" w:rsidRPr="00FD211F">
        <w:rPr>
          <w:sz w:val="36"/>
          <w:szCs w:val="36"/>
          <w:rtl/>
        </w:rPr>
        <w:t>البصر</w:t>
      </w:r>
      <w:r w:rsidR="00E8128F">
        <w:rPr>
          <w:sz w:val="36"/>
          <w:szCs w:val="36"/>
          <w:rtl/>
        </w:rPr>
        <w:t xml:space="preserve"> </w:t>
      </w:r>
      <w:r w:rsidR="00EA78A7" w:rsidRPr="00FD211F">
        <w:rPr>
          <w:sz w:val="36"/>
          <w:szCs w:val="36"/>
          <w:rtl/>
        </w:rPr>
        <w:t>مع</w:t>
      </w:r>
      <w:r w:rsidR="00E8128F">
        <w:rPr>
          <w:sz w:val="36"/>
          <w:szCs w:val="36"/>
          <w:rtl/>
        </w:rPr>
        <w:t xml:space="preserve"> </w:t>
      </w:r>
      <w:r w:rsidR="00EA78A7" w:rsidRPr="00FD211F">
        <w:rPr>
          <w:sz w:val="36"/>
          <w:szCs w:val="36"/>
          <w:rtl/>
        </w:rPr>
        <w:t>إحراز</w:t>
      </w:r>
      <w:r w:rsidR="00E8128F">
        <w:rPr>
          <w:sz w:val="36"/>
          <w:szCs w:val="36"/>
          <w:rtl/>
        </w:rPr>
        <w:t xml:space="preserve"> </w:t>
      </w:r>
      <w:r w:rsidR="00EA78A7" w:rsidRPr="00FD211F">
        <w:rPr>
          <w:sz w:val="36"/>
          <w:szCs w:val="36"/>
          <w:rtl/>
        </w:rPr>
        <w:t>قابلي</w:t>
      </w:r>
      <w:r w:rsidR="00EC7EDF" w:rsidRPr="00FD211F">
        <w:rPr>
          <w:sz w:val="36"/>
          <w:szCs w:val="36"/>
          <w:rtl/>
        </w:rPr>
        <w:t>ة</w:t>
      </w:r>
      <w:r w:rsidR="00E8128F">
        <w:rPr>
          <w:sz w:val="36"/>
          <w:szCs w:val="36"/>
          <w:rtl/>
        </w:rPr>
        <w:t xml:space="preserve"> </w:t>
      </w:r>
      <w:r w:rsidR="00EA78A7" w:rsidRPr="00FD211F">
        <w:rPr>
          <w:sz w:val="36"/>
          <w:szCs w:val="36"/>
          <w:rtl/>
        </w:rPr>
        <w:t>المحل</w:t>
      </w:r>
      <w:r w:rsidR="00E8128F">
        <w:rPr>
          <w:sz w:val="36"/>
          <w:szCs w:val="36"/>
          <w:rtl/>
        </w:rPr>
        <w:t xml:space="preserve"> </w:t>
      </w:r>
      <w:r w:rsidR="00EA78A7" w:rsidRPr="00FD211F">
        <w:rPr>
          <w:sz w:val="36"/>
          <w:szCs w:val="36"/>
          <w:rtl/>
        </w:rPr>
        <w:t>للبصر</w:t>
      </w:r>
      <w:r w:rsidR="00E8128F">
        <w:rPr>
          <w:sz w:val="36"/>
          <w:szCs w:val="36"/>
          <w:rtl/>
        </w:rPr>
        <w:t xml:space="preserve"> </w:t>
      </w:r>
      <w:r w:rsidR="00EA78A7" w:rsidRPr="00FD211F">
        <w:rPr>
          <w:sz w:val="36"/>
          <w:szCs w:val="36"/>
          <w:rtl/>
        </w:rPr>
        <w:t>فعلا</w:t>
      </w:r>
      <w:r w:rsidR="00E8128F">
        <w:rPr>
          <w:sz w:val="36"/>
          <w:szCs w:val="36"/>
          <w:rtl/>
        </w:rPr>
        <w:t xml:space="preserve"> </w:t>
      </w:r>
      <w:r w:rsidR="00EA78A7" w:rsidRPr="00FD211F">
        <w:rPr>
          <w:sz w:val="36"/>
          <w:szCs w:val="36"/>
          <w:rtl/>
        </w:rPr>
        <w:t>فانه</w:t>
      </w:r>
      <w:r w:rsidR="00E8128F">
        <w:rPr>
          <w:sz w:val="36"/>
          <w:szCs w:val="36"/>
          <w:rtl/>
        </w:rPr>
        <w:t xml:space="preserve"> </w:t>
      </w:r>
      <w:r w:rsidR="00EA78A7" w:rsidRPr="00FD211F">
        <w:rPr>
          <w:sz w:val="36"/>
          <w:szCs w:val="36"/>
          <w:rtl/>
        </w:rPr>
        <w:t>لايجدي</w:t>
      </w:r>
      <w:r w:rsidR="00E8128F">
        <w:rPr>
          <w:sz w:val="36"/>
          <w:szCs w:val="36"/>
          <w:rtl/>
        </w:rPr>
        <w:t xml:space="preserve"> </w:t>
      </w:r>
      <w:r w:rsidR="00EA78A7" w:rsidRPr="00FD211F">
        <w:rPr>
          <w:sz w:val="36"/>
          <w:szCs w:val="36"/>
          <w:rtl/>
        </w:rPr>
        <w:t>في</w:t>
      </w:r>
      <w:r w:rsidR="00E8128F">
        <w:rPr>
          <w:sz w:val="36"/>
          <w:szCs w:val="36"/>
          <w:rtl/>
        </w:rPr>
        <w:t xml:space="preserve"> </w:t>
      </w:r>
      <w:r w:rsidR="00EA78A7" w:rsidRPr="00FD211F">
        <w:rPr>
          <w:sz w:val="36"/>
          <w:szCs w:val="36"/>
          <w:rtl/>
        </w:rPr>
        <w:t>اثبات</w:t>
      </w:r>
      <w:r w:rsidR="00E8128F">
        <w:rPr>
          <w:sz w:val="36"/>
          <w:szCs w:val="36"/>
          <w:rtl/>
        </w:rPr>
        <w:t xml:space="preserve"> </w:t>
      </w:r>
      <w:r w:rsidR="00EA78A7" w:rsidRPr="00FD211F">
        <w:rPr>
          <w:sz w:val="36"/>
          <w:szCs w:val="36"/>
          <w:rtl/>
        </w:rPr>
        <w:t>تحقق</w:t>
      </w:r>
      <w:r w:rsidR="00E8128F">
        <w:rPr>
          <w:sz w:val="36"/>
          <w:szCs w:val="36"/>
          <w:rtl/>
        </w:rPr>
        <w:t xml:space="preserve"> </w:t>
      </w:r>
      <w:r w:rsidR="00EA78A7" w:rsidRPr="00FD211F">
        <w:rPr>
          <w:sz w:val="36"/>
          <w:szCs w:val="36"/>
          <w:rtl/>
        </w:rPr>
        <w:t>عنوان</w:t>
      </w:r>
      <w:r w:rsidR="00E8128F">
        <w:rPr>
          <w:sz w:val="36"/>
          <w:szCs w:val="36"/>
          <w:rtl/>
        </w:rPr>
        <w:t xml:space="preserve"> </w:t>
      </w:r>
      <w:r w:rsidR="00EA78A7" w:rsidRPr="00FD211F">
        <w:rPr>
          <w:sz w:val="36"/>
          <w:szCs w:val="36"/>
          <w:rtl/>
        </w:rPr>
        <w:t>العمى</w:t>
      </w:r>
      <w:r w:rsidR="00E8128F">
        <w:rPr>
          <w:sz w:val="36"/>
          <w:szCs w:val="36"/>
          <w:rtl/>
        </w:rPr>
        <w:t xml:space="preserve"> </w:t>
      </w:r>
      <w:r w:rsidR="00EA78A7" w:rsidRPr="00FD211F">
        <w:rPr>
          <w:sz w:val="36"/>
          <w:szCs w:val="36"/>
          <w:rtl/>
        </w:rPr>
        <w:t>بعد</w:t>
      </w:r>
      <w:r w:rsidR="00E8128F">
        <w:rPr>
          <w:sz w:val="36"/>
          <w:szCs w:val="36"/>
          <w:rtl/>
        </w:rPr>
        <w:t xml:space="preserve"> </w:t>
      </w:r>
      <w:r w:rsidR="00EA78A7" w:rsidRPr="00FD211F">
        <w:rPr>
          <w:sz w:val="36"/>
          <w:szCs w:val="36"/>
          <w:rtl/>
        </w:rPr>
        <w:t>كونه</w:t>
      </w:r>
      <w:r w:rsidR="00E8128F">
        <w:rPr>
          <w:sz w:val="36"/>
          <w:szCs w:val="36"/>
          <w:rtl/>
        </w:rPr>
        <w:t xml:space="preserve"> </w:t>
      </w:r>
      <w:r w:rsidR="00EA78A7" w:rsidRPr="00FD211F">
        <w:rPr>
          <w:sz w:val="36"/>
          <w:szCs w:val="36"/>
          <w:rtl/>
        </w:rPr>
        <w:t>عنوانا</w:t>
      </w:r>
      <w:r w:rsidR="00E8128F">
        <w:rPr>
          <w:sz w:val="36"/>
          <w:szCs w:val="36"/>
          <w:rtl/>
        </w:rPr>
        <w:t xml:space="preserve"> </w:t>
      </w:r>
      <w:r w:rsidR="00EA78A7" w:rsidRPr="00FD211F">
        <w:rPr>
          <w:sz w:val="36"/>
          <w:szCs w:val="36"/>
          <w:rtl/>
        </w:rPr>
        <w:t>بسيطا</w:t>
      </w:r>
      <w:r w:rsidR="00E8128F">
        <w:rPr>
          <w:sz w:val="36"/>
          <w:szCs w:val="36"/>
          <w:rtl/>
        </w:rPr>
        <w:t xml:space="preserve"> </w:t>
      </w:r>
      <w:r w:rsidR="00EA78A7" w:rsidRPr="00FD211F">
        <w:rPr>
          <w:sz w:val="36"/>
          <w:szCs w:val="36"/>
          <w:rtl/>
        </w:rPr>
        <w:t>لامركبا</w:t>
      </w:r>
      <w:r w:rsidR="00603323" w:rsidRPr="00FD211F">
        <w:rPr>
          <w:sz w:val="36"/>
          <w:szCs w:val="36"/>
          <w:rtl/>
        </w:rPr>
        <w:t>،</w:t>
      </w:r>
      <w:r w:rsidR="00E8128F">
        <w:rPr>
          <w:sz w:val="36"/>
          <w:szCs w:val="36"/>
          <w:rtl/>
        </w:rPr>
        <w:t xml:space="preserve"> </w:t>
      </w:r>
      <w:r w:rsidRPr="00FD211F">
        <w:rPr>
          <w:sz w:val="36"/>
          <w:szCs w:val="36"/>
          <w:rtl/>
        </w:rPr>
        <w:t>وفيه</w:t>
      </w:r>
      <w:r w:rsidR="00E8128F">
        <w:rPr>
          <w:sz w:val="36"/>
          <w:szCs w:val="36"/>
          <w:rtl/>
        </w:rPr>
        <w:t xml:space="preserve"> </w:t>
      </w:r>
      <w:r w:rsidRPr="00FD211F">
        <w:rPr>
          <w:sz w:val="36"/>
          <w:szCs w:val="36"/>
          <w:rtl/>
        </w:rPr>
        <w:t>انه</w:t>
      </w:r>
      <w:r w:rsidR="00E8128F">
        <w:rPr>
          <w:sz w:val="36"/>
          <w:szCs w:val="36"/>
          <w:rtl/>
        </w:rPr>
        <w:t xml:space="preserve"> </w:t>
      </w:r>
      <w:r w:rsidR="00EA78A7" w:rsidRPr="00FD211F">
        <w:rPr>
          <w:sz w:val="36"/>
          <w:szCs w:val="36"/>
          <w:rtl/>
        </w:rPr>
        <w:t>وان</w:t>
      </w:r>
      <w:r w:rsidR="00E8128F">
        <w:rPr>
          <w:sz w:val="36"/>
          <w:szCs w:val="36"/>
          <w:rtl/>
        </w:rPr>
        <w:t xml:space="preserve"> </w:t>
      </w:r>
      <w:r w:rsidR="00EA78A7" w:rsidRPr="00FD211F">
        <w:rPr>
          <w:sz w:val="36"/>
          <w:szCs w:val="36"/>
          <w:rtl/>
        </w:rPr>
        <w:t>تم</w:t>
      </w:r>
      <w:r w:rsidR="00E8128F">
        <w:rPr>
          <w:sz w:val="36"/>
          <w:szCs w:val="36"/>
          <w:rtl/>
        </w:rPr>
        <w:t xml:space="preserve"> </w:t>
      </w:r>
      <w:r w:rsidR="00EA78A7" w:rsidRPr="00FD211F">
        <w:rPr>
          <w:sz w:val="36"/>
          <w:szCs w:val="36"/>
          <w:rtl/>
        </w:rPr>
        <w:t>هذا</w:t>
      </w:r>
      <w:r w:rsidR="00E8128F">
        <w:rPr>
          <w:sz w:val="36"/>
          <w:szCs w:val="36"/>
          <w:rtl/>
        </w:rPr>
        <w:t xml:space="preserve"> </w:t>
      </w:r>
      <w:r w:rsidR="00EA78A7" w:rsidRPr="00FD211F">
        <w:rPr>
          <w:sz w:val="36"/>
          <w:szCs w:val="36"/>
          <w:rtl/>
        </w:rPr>
        <w:t>الكلام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الملك</w:t>
      </w:r>
      <w:r w:rsidR="00EC7EDF" w:rsidRPr="00FD211F">
        <w:rPr>
          <w:sz w:val="36"/>
          <w:szCs w:val="36"/>
          <w:rtl/>
        </w:rPr>
        <w:t>ة</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يكون</w:t>
      </w:r>
      <w:r w:rsidR="00E8128F">
        <w:rPr>
          <w:sz w:val="36"/>
          <w:szCs w:val="36"/>
          <w:rtl/>
        </w:rPr>
        <w:t xml:space="preserve"> </w:t>
      </w:r>
      <w:r w:rsidR="00EA78A7" w:rsidRPr="00FD211F">
        <w:rPr>
          <w:sz w:val="36"/>
          <w:szCs w:val="36"/>
          <w:rtl/>
        </w:rPr>
        <w:t>بعنوانه</w:t>
      </w:r>
      <w:r w:rsidR="00E8128F">
        <w:rPr>
          <w:sz w:val="36"/>
          <w:szCs w:val="36"/>
          <w:rtl/>
        </w:rPr>
        <w:t xml:space="preserve"> </w:t>
      </w:r>
      <w:r w:rsidR="00EA78A7" w:rsidRPr="00FD211F">
        <w:rPr>
          <w:sz w:val="36"/>
          <w:szCs w:val="36"/>
          <w:rtl/>
        </w:rPr>
        <w:t>موضوعا</w:t>
      </w:r>
      <w:r w:rsidR="00E8128F">
        <w:rPr>
          <w:sz w:val="36"/>
          <w:szCs w:val="36"/>
          <w:rtl/>
        </w:rPr>
        <w:t xml:space="preserve"> </w:t>
      </w:r>
      <w:r w:rsidR="00EA78A7" w:rsidRPr="00FD211F">
        <w:rPr>
          <w:sz w:val="36"/>
          <w:szCs w:val="36"/>
          <w:rtl/>
        </w:rPr>
        <w:t>للأثر</w:t>
      </w:r>
      <w:r w:rsidR="00E8128F">
        <w:rPr>
          <w:sz w:val="36"/>
          <w:szCs w:val="36"/>
          <w:rtl/>
        </w:rPr>
        <w:t xml:space="preserve"> </w:t>
      </w:r>
      <w:r w:rsidR="00EA78A7" w:rsidRPr="00FD211F">
        <w:rPr>
          <w:sz w:val="36"/>
          <w:szCs w:val="36"/>
          <w:rtl/>
        </w:rPr>
        <w:t>الشرعي</w:t>
      </w:r>
      <w:r w:rsidR="00603323" w:rsidRPr="00FD211F">
        <w:rPr>
          <w:sz w:val="36"/>
          <w:szCs w:val="36"/>
          <w:rtl/>
        </w:rPr>
        <w:t>،</w:t>
      </w:r>
      <w:r w:rsidR="00E8128F">
        <w:rPr>
          <w:sz w:val="36"/>
          <w:szCs w:val="36"/>
          <w:rtl/>
        </w:rPr>
        <w:t xml:space="preserve"> </w:t>
      </w:r>
      <w:r w:rsidRPr="00FD211F">
        <w:rPr>
          <w:sz w:val="36"/>
          <w:szCs w:val="36"/>
          <w:rtl/>
        </w:rPr>
        <w:t>ولكن</w:t>
      </w:r>
      <w:r w:rsidR="00E8128F">
        <w:rPr>
          <w:sz w:val="36"/>
          <w:szCs w:val="36"/>
          <w:rtl/>
        </w:rPr>
        <w:t xml:space="preserve"> </w:t>
      </w:r>
      <w:r w:rsidR="008E2748" w:rsidRPr="00FD211F">
        <w:rPr>
          <w:sz w:val="36"/>
          <w:szCs w:val="36"/>
          <w:rtl/>
        </w:rPr>
        <w:t>كون</w:t>
      </w:r>
      <w:r w:rsidR="00E8128F">
        <w:rPr>
          <w:sz w:val="36"/>
          <w:szCs w:val="36"/>
          <w:rtl/>
        </w:rPr>
        <w:t xml:space="preserve"> </w:t>
      </w:r>
      <w:r w:rsidR="008E2748" w:rsidRPr="00FD211F">
        <w:rPr>
          <w:sz w:val="36"/>
          <w:szCs w:val="36"/>
          <w:rtl/>
        </w:rPr>
        <w:t>الاطلاق</w:t>
      </w:r>
      <w:r w:rsidR="00E8128F">
        <w:rPr>
          <w:sz w:val="36"/>
          <w:szCs w:val="36"/>
          <w:rtl/>
        </w:rPr>
        <w:t xml:space="preserve"> </w:t>
      </w:r>
      <w:r w:rsidR="008E2748" w:rsidRPr="00FD211F">
        <w:rPr>
          <w:sz w:val="36"/>
          <w:szCs w:val="36"/>
          <w:rtl/>
        </w:rPr>
        <w:t>الثبوتي</w:t>
      </w:r>
      <w:r w:rsidR="00E8128F">
        <w:rPr>
          <w:sz w:val="36"/>
          <w:szCs w:val="36"/>
          <w:rtl/>
        </w:rPr>
        <w:t xml:space="preserve"> </w:t>
      </w:r>
      <w:r w:rsidR="008E2748" w:rsidRPr="00FD211F">
        <w:rPr>
          <w:sz w:val="36"/>
          <w:szCs w:val="36"/>
          <w:rtl/>
        </w:rPr>
        <w:t>عدم</w:t>
      </w:r>
      <w:r w:rsidR="00E8128F">
        <w:rPr>
          <w:sz w:val="36"/>
          <w:szCs w:val="36"/>
          <w:rtl/>
        </w:rPr>
        <w:t xml:space="preserve"> </w:t>
      </w:r>
      <w:r w:rsidR="008E2748" w:rsidRPr="00FD211F">
        <w:rPr>
          <w:sz w:val="36"/>
          <w:szCs w:val="36"/>
          <w:rtl/>
        </w:rPr>
        <w:t>ملك</w:t>
      </w:r>
      <w:r w:rsidR="00EC7EDF" w:rsidRPr="00FD211F">
        <w:rPr>
          <w:sz w:val="36"/>
          <w:szCs w:val="36"/>
          <w:rtl/>
        </w:rPr>
        <w:t>ة</w:t>
      </w:r>
      <w:r w:rsidR="00E8128F">
        <w:rPr>
          <w:sz w:val="36"/>
          <w:szCs w:val="36"/>
          <w:rtl/>
        </w:rPr>
        <w:t xml:space="preserve"> </w:t>
      </w:r>
      <w:r w:rsidR="008E2748" w:rsidRPr="00FD211F">
        <w:rPr>
          <w:sz w:val="36"/>
          <w:szCs w:val="36"/>
          <w:rtl/>
        </w:rPr>
        <w:t>لايعني</w:t>
      </w:r>
      <w:r w:rsidR="00E8128F">
        <w:rPr>
          <w:sz w:val="36"/>
          <w:szCs w:val="36"/>
          <w:rtl/>
        </w:rPr>
        <w:t xml:space="preserve"> </w:t>
      </w:r>
      <w:r w:rsidR="008E2748" w:rsidRPr="00FD211F">
        <w:rPr>
          <w:sz w:val="36"/>
          <w:szCs w:val="36"/>
          <w:rtl/>
        </w:rPr>
        <w:t>كون</w:t>
      </w:r>
      <w:r w:rsidR="00EA78A7" w:rsidRPr="00FD211F">
        <w:rPr>
          <w:sz w:val="36"/>
          <w:szCs w:val="36"/>
          <w:rtl/>
        </w:rPr>
        <w:t>ه</w:t>
      </w:r>
      <w:r w:rsidR="00E8128F">
        <w:rPr>
          <w:sz w:val="36"/>
          <w:szCs w:val="36"/>
          <w:rtl/>
        </w:rPr>
        <w:t xml:space="preserve"> </w:t>
      </w:r>
      <w:r w:rsidR="00EA78A7" w:rsidRPr="00FD211F">
        <w:rPr>
          <w:sz w:val="36"/>
          <w:szCs w:val="36"/>
          <w:rtl/>
        </w:rPr>
        <w:t>بهذا</w:t>
      </w:r>
      <w:r w:rsidR="00E8128F">
        <w:rPr>
          <w:sz w:val="36"/>
          <w:szCs w:val="36"/>
          <w:rtl/>
        </w:rPr>
        <w:t xml:space="preserve"> </w:t>
      </w:r>
      <w:r w:rsidR="00EA78A7" w:rsidRPr="00FD211F">
        <w:rPr>
          <w:sz w:val="36"/>
          <w:szCs w:val="36"/>
          <w:rtl/>
        </w:rPr>
        <w:t>العنوان</w:t>
      </w:r>
      <w:r w:rsidR="00E8128F">
        <w:rPr>
          <w:sz w:val="36"/>
          <w:szCs w:val="36"/>
          <w:rtl/>
        </w:rPr>
        <w:t xml:space="preserve"> </w:t>
      </w:r>
      <w:r w:rsidR="00EA78A7" w:rsidRPr="00FD211F">
        <w:rPr>
          <w:sz w:val="36"/>
          <w:szCs w:val="36"/>
          <w:rtl/>
        </w:rPr>
        <w:t>البسيط</w:t>
      </w:r>
      <w:r w:rsidR="00E8128F">
        <w:rPr>
          <w:sz w:val="36"/>
          <w:szCs w:val="36"/>
          <w:rtl/>
        </w:rPr>
        <w:t xml:space="preserve"> </w:t>
      </w:r>
      <w:r w:rsidR="00EA78A7" w:rsidRPr="00FD211F">
        <w:rPr>
          <w:sz w:val="36"/>
          <w:szCs w:val="36"/>
          <w:rtl/>
        </w:rPr>
        <w:t>الانتزاعي</w:t>
      </w:r>
      <w:r w:rsidR="00E8128F">
        <w:rPr>
          <w:sz w:val="36"/>
          <w:szCs w:val="36"/>
          <w:rtl/>
        </w:rPr>
        <w:t xml:space="preserve"> </w:t>
      </w:r>
      <w:r w:rsidR="00EA78A7" w:rsidRPr="00FD211F">
        <w:rPr>
          <w:sz w:val="36"/>
          <w:szCs w:val="36"/>
          <w:rtl/>
        </w:rPr>
        <w:t>موضوعا</w:t>
      </w:r>
      <w:r w:rsidR="00E8128F">
        <w:rPr>
          <w:sz w:val="36"/>
          <w:szCs w:val="36"/>
          <w:rtl/>
        </w:rPr>
        <w:t xml:space="preserve"> </w:t>
      </w:r>
      <w:r w:rsidR="00EA78A7" w:rsidRPr="00FD211F">
        <w:rPr>
          <w:sz w:val="36"/>
          <w:szCs w:val="36"/>
          <w:rtl/>
        </w:rPr>
        <w:t>لأي</w:t>
      </w:r>
      <w:r w:rsidR="00E8128F">
        <w:rPr>
          <w:sz w:val="36"/>
          <w:szCs w:val="36"/>
          <w:rtl/>
        </w:rPr>
        <w:t xml:space="preserve"> </w:t>
      </w:r>
      <w:r w:rsidR="00EA78A7" w:rsidRPr="00FD211F">
        <w:rPr>
          <w:sz w:val="36"/>
          <w:szCs w:val="36"/>
          <w:rtl/>
        </w:rPr>
        <w:t>أثر</w:t>
      </w:r>
      <w:r w:rsidR="00E8128F">
        <w:rPr>
          <w:sz w:val="36"/>
          <w:szCs w:val="36"/>
          <w:rtl/>
        </w:rPr>
        <w:t xml:space="preserve"> </w:t>
      </w:r>
      <w:r w:rsidR="00EA78A7" w:rsidRPr="00FD211F">
        <w:rPr>
          <w:sz w:val="36"/>
          <w:szCs w:val="36"/>
          <w:rtl/>
        </w:rPr>
        <w:t>حتى</w:t>
      </w:r>
      <w:r w:rsidR="00E8128F">
        <w:rPr>
          <w:sz w:val="36"/>
          <w:szCs w:val="36"/>
          <w:rtl/>
        </w:rPr>
        <w:t xml:space="preserve"> </w:t>
      </w:r>
      <w:r w:rsidR="00EA78A7" w:rsidRPr="00FD211F">
        <w:rPr>
          <w:sz w:val="36"/>
          <w:szCs w:val="36"/>
          <w:rtl/>
        </w:rPr>
        <w:t>يقال</w:t>
      </w:r>
      <w:r w:rsidR="00E8128F">
        <w:rPr>
          <w:sz w:val="36"/>
          <w:szCs w:val="36"/>
          <w:rtl/>
        </w:rPr>
        <w:t xml:space="preserve"> </w:t>
      </w:r>
      <w:r w:rsidR="00EA78A7" w:rsidRPr="00FD211F">
        <w:rPr>
          <w:sz w:val="36"/>
          <w:szCs w:val="36"/>
          <w:rtl/>
        </w:rPr>
        <w:t>بانه</w:t>
      </w:r>
      <w:r w:rsidR="00E8128F">
        <w:rPr>
          <w:sz w:val="36"/>
          <w:szCs w:val="36"/>
          <w:rtl/>
        </w:rPr>
        <w:t xml:space="preserve"> </w:t>
      </w:r>
      <w:r w:rsidR="00EA78A7" w:rsidRPr="00FD211F">
        <w:rPr>
          <w:sz w:val="36"/>
          <w:szCs w:val="36"/>
          <w:rtl/>
        </w:rPr>
        <w:t>لايثبت</w:t>
      </w:r>
      <w:r w:rsidR="00E8128F">
        <w:rPr>
          <w:sz w:val="36"/>
          <w:szCs w:val="36"/>
          <w:rtl/>
        </w:rPr>
        <w:t xml:space="preserve"> </w:t>
      </w:r>
      <w:r w:rsidR="008E2748" w:rsidRPr="00FD211F">
        <w:rPr>
          <w:sz w:val="36"/>
          <w:szCs w:val="36"/>
          <w:rtl/>
        </w:rPr>
        <w:t>بضم</w:t>
      </w:r>
      <w:r w:rsidR="00E8128F">
        <w:rPr>
          <w:sz w:val="36"/>
          <w:szCs w:val="36"/>
          <w:rtl/>
        </w:rPr>
        <w:t xml:space="preserve"> </w:t>
      </w:r>
      <w:r w:rsidR="008E2748" w:rsidRPr="00FD211F">
        <w:rPr>
          <w:sz w:val="36"/>
          <w:szCs w:val="36"/>
          <w:rtl/>
        </w:rPr>
        <w:t>الوجدان</w:t>
      </w:r>
      <w:r w:rsidR="00E8128F">
        <w:rPr>
          <w:sz w:val="36"/>
          <w:szCs w:val="36"/>
          <w:rtl/>
        </w:rPr>
        <w:t xml:space="preserve"> </w:t>
      </w:r>
      <w:r w:rsidR="008E2748" w:rsidRPr="00FD211F">
        <w:rPr>
          <w:sz w:val="36"/>
          <w:szCs w:val="36"/>
          <w:rtl/>
        </w:rPr>
        <w:t>الى</w:t>
      </w:r>
      <w:r w:rsidR="00E8128F">
        <w:rPr>
          <w:sz w:val="36"/>
          <w:szCs w:val="36"/>
          <w:rtl/>
        </w:rPr>
        <w:t xml:space="preserve"> </w:t>
      </w:r>
      <w:r w:rsidR="008E2748" w:rsidRPr="00FD211F">
        <w:rPr>
          <w:sz w:val="36"/>
          <w:szCs w:val="36"/>
          <w:rtl/>
        </w:rPr>
        <w:t>الاصل</w:t>
      </w:r>
      <w:r w:rsidR="00603323" w:rsidRPr="00FD211F">
        <w:rPr>
          <w:sz w:val="36"/>
          <w:szCs w:val="36"/>
          <w:rtl/>
        </w:rPr>
        <w:t>،</w:t>
      </w:r>
      <w:r w:rsidR="00E8128F">
        <w:rPr>
          <w:sz w:val="36"/>
          <w:szCs w:val="36"/>
          <w:rtl/>
        </w:rPr>
        <w:t xml:space="preserve"> </w:t>
      </w:r>
      <w:r w:rsidR="008E2748" w:rsidRPr="00FD211F">
        <w:rPr>
          <w:sz w:val="36"/>
          <w:szCs w:val="36"/>
          <w:rtl/>
        </w:rPr>
        <w:t>بل</w:t>
      </w:r>
      <w:r w:rsidR="00E8128F">
        <w:rPr>
          <w:sz w:val="36"/>
          <w:szCs w:val="36"/>
          <w:rtl/>
        </w:rPr>
        <w:t xml:space="preserve"> </w:t>
      </w:r>
      <w:r w:rsidR="00EA78A7" w:rsidRPr="00FD211F">
        <w:rPr>
          <w:sz w:val="36"/>
          <w:szCs w:val="36"/>
          <w:rtl/>
        </w:rPr>
        <w:t>الموضوع</w:t>
      </w:r>
      <w:r w:rsidR="00E8128F">
        <w:rPr>
          <w:sz w:val="36"/>
          <w:szCs w:val="36"/>
          <w:rtl/>
        </w:rPr>
        <w:t xml:space="preserve"> </w:t>
      </w:r>
      <w:r w:rsidR="00EA78A7" w:rsidRPr="00FD211F">
        <w:rPr>
          <w:sz w:val="36"/>
          <w:szCs w:val="36"/>
          <w:rtl/>
        </w:rPr>
        <w:t>للأثر</w:t>
      </w:r>
      <w:r w:rsidR="00E8128F">
        <w:rPr>
          <w:sz w:val="36"/>
          <w:szCs w:val="36"/>
          <w:rtl/>
        </w:rPr>
        <w:t xml:space="preserve"> </w:t>
      </w:r>
      <w:r w:rsidR="00EA78A7" w:rsidRPr="00FD211F">
        <w:rPr>
          <w:sz w:val="36"/>
          <w:szCs w:val="36"/>
          <w:rtl/>
        </w:rPr>
        <w:t>العقلي</w:t>
      </w:r>
      <w:r w:rsidR="00E8128F">
        <w:rPr>
          <w:sz w:val="36"/>
          <w:szCs w:val="36"/>
          <w:rtl/>
        </w:rPr>
        <w:t xml:space="preserve"> </w:t>
      </w:r>
      <w:r w:rsidR="00EA78A7" w:rsidRPr="00FD211F">
        <w:rPr>
          <w:sz w:val="36"/>
          <w:szCs w:val="36"/>
          <w:rtl/>
        </w:rPr>
        <w:t>والعقلائي</w:t>
      </w:r>
      <w:r w:rsidR="00E8128F">
        <w:rPr>
          <w:sz w:val="36"/>
          <w:szCs w:val="36"/>
          <w:rtl/>
        </w:rPr>
        <w:t xml:space="preserve"> </w:t>
      </w:r>
      <w:r w:rsidR="00EA78A7" w:rsidRPr="00FD211F">
        <w:rPr>
          <w:sz w:val="36"/>
          <w:szCs w:val="36"/>
          <w:rtl/>
        </w:rPr>
        <w:t>هو</w:t>
      </w:r>
      <w:r w:rsidR="00E8128F">
        <w:rPr>
          <w:sz w:val="36"/>
          <w:szCs w:val="36"/>
          <w:rtl/>
        </w:rPr>
        <w:t xml:space="preserve"> </w:t>
      </w:r>
      <w:r w:rsidR="00EA78A7" w:rsidRPr="00FD211F">
        <w:rPr>
          <w:sz w:val="36"/>
          <w:szCs w:val="36"/>
          <w:rtl/>
        </w:rPr>
        <w:t>واقع</w:t>
      </w:r>
      <w:r w:rsidR="00E8128F">
        <w:rPr>
          <w:sz w:val="36"/>
          <w:szCs w:val="36"/>
          <w:rtl/>
        </w:rPr>
        <w:t xml:space="preserve"> </w:t>
      </w:r>
      <w:r w:rsidR="00EA78A7" w:rsidRPr="00FD211F">
        <w:rPr>
          <w:sz w:val="36"/>
          <w:szCs w:val="36"/>
          <w:rtl/>
        </w:rPr>
        <w:t>الاطلاق</w:t>
      </w:r>
      <w:r w:rsidR="00603323" w:rsidRPr="00FD211F">
        <w:rPr>
          <w:sz w:val="36"/>
          <w:szCs w:val="36"/>
          <w:rtl/>
        </w:rPr>
        <w:t>،</w:t>
      </w:r>
      <w:r w:rsidR="00E8128F">
        <w:rPr>
          <w:sz w:val="36"/>
          <w:szCs w:val="36"/>
          <w:rtl/>
        </w:rPr>
        <w:t xml:space="preserve"> </w:t>
      </w:r>
      <w:r w:rsidR="008E2748" w:rsidRPr="00FD211F">
        <w:rPr>
          <w:sz w:val="36"/>
          <w:szCs w:val="36"/>
          <w:rtl/>
        </w:rPr>
        <w:t>ولاباس</w:t>
      </w:r>
      <w:r w:rsidR="00E8128F">
        <w:rPr>
          <w:sz w:val="36"/>
          <w:szCs w:val="36"/>
          <w:rtl/>
        </w:rPr>
        <w:t xml:space="preserve"> </w:t>
      </w:r>
      <w:r w:rsidR="008E2748" w:rsidRPr="00FD211F">
        <w:rPr>
          <w:sz w:val="36"/>
          <w:szCs w:val="36"/>
          <w:rtl/>
        </w:rPr>
        <w:t>بضم</w:t>
      </w:r>
      <w:r w:rsidR="00E8128F">
        <w:rPr>
          <w:sz w:val="36"/>
          <w:szCs w:val="36"/>
          <w:rtl/>
        </w:rPr>
        <w:t xml:space="preserve"> </w:t>
      </w:r>
      <w:r w:rsidR="008E2748" w:rsidRPr="00FD211F">
        <w:rPr>
          <w:sz w:val="36"/>
          <w:szCs w:val="36"/>
          <w:rtl/>
        </w:rPr>
        <w:t>الوجدان</w:t>
      </w:r>
      <w:r w:rsidR="00E8128F">
        <w:rPr>
          <w:sz w:val="36"/>
          <w:szCs w:val="36"/>
          <w:rtl/>
        </w:rPr>
        <w:t xml:space="preserve"> </w:t>
      </w:r>
      <w:r w:rsidR="008E2748" w:rsidRPr="00FD211F">
        <w:rPr>
          <w:sz w:val="36"/>
          <w:szCs w:val="36"/>
          <w:rtl/>
        </w:rPr>
        <w:t>الى</w:t>
      </w:r>
      <w:r w:rsidR="00E8128F">
        <w:rPr>
          <w:sz w:val="36"/>
          <w:szCs w:val="36"/>
          <w:rtl/>
        </w:rPr>
        <w:t xml:space="preserve"> </w:t>
      </w:r>
      <w:r w:rsidR="008E2748" w:rsidRPr="00FD211F">
        <w:rPr>
          <w:sz w:val="36"/>
          <w:szCs w:val="36"/>
          <w:rtl/>
        </w:rPr>
        <w:t>الاصل</w:t>
      </w:r>
      <w:r w:rsidR="00E8128F">
        <w:rPr>
          <w:sz w:val="36"/>
          <w:szCs w:val="36"/>
          <w:rtl/>
        </w:rPr>
        <w:t xml:space="preserve"> </w:t>
      </w:r>
      <w:r w:rsidR="008E2748" w:rsidRPr="00FD211F">
        <w:rPr>
          <w:sz w:val="36"/>
          <w:szCs w:val="36"/>
          <w:rtl/>
        </w:rPr>
        <w:t>فيه</w:t>
      </w:r>
      <w:r w:rsidR="00E8128F">
        <w:rPr>
          <w:sz w:val="36"/>
          <w:szCs w:val="36"/>
          <w:rtl/>
        </w:rPr>
        <w:t xml:space="preserve"> </w:t>
      </w:r>
      <w:r w:rsidR="00DF56B0" w:rsidRPr="00FD211F">
        <w:rPr>
          <w:sz w:val="36"/>
          <w:szCs w:val="36"/>
          <w:rtl/>
        </w:rPr>
        <w:t>عدم</w:t>
      </w:r>
      <w:r w:rsidR="00E8128F">
        <w:rPr>
          <w:sz w:val="36"/>
          <w:szCs w:val="36"/>
          <w:rtl/>
        </w:rPr>
        <w:t xml:space="preserve"> </w:t>
      </w:r>
      <w:r w:rsidR="00DF56B0" w:rsidRPr="00FD211F">
        <w:rPr>
          <w:sz w:val="36"/>
          <w:szCs w:val="36"/>
          <w:rtl/>
        </w:rPr>
        <w:t>التقييد</w:t>
      </w:r>
      <w:r w:rsidR="00E8128F">
        <w:rPr>
          <w:sz w:val="36"/>
          <w:szCs w:val="36"/>
          <w:rtl/>
        </w:rPr>
        <w:t xml:space="preserve"> </w:t>
      </w:r>
      <w:r w:rsidR="00DF56B0" w:rsidRPr="00FD211F">
        <w:rPr>
          <w:sz w:val="36"/>
          <w:szCs w:val="36"/>
          <w:rtl/>
        </w:rPr>
        <w:t>يثبت</w:t>
      </w:r>
      <w:r w:rsidR="00E8128F">
        <w:rPr>
          <w:sz w:val="36"/>
          <w:szCs w:val="36"/>
          <w:rtl/>
        </w:rPr>
        <w:t xml:space="preserve"> </w:t>
      </w:r>
      <w:r w:rsidR="00DF56B0" w:rsidRPr="00FD211F">
        <w:rPr>
          <w:sz w:val="36"/>
          <w:szCs w:val="36"/>
          <w:rtl/>
        </w:rPr>
        <w:t>كون</w:t>
      </w:r>
      <w:r w:rsidR="00E8128F">
        <w:rPr>
          <w:sz w:val="36"/>
          <w:szCs w:val="36"/>
          <w:rtl/>
        </w:rPr>
        <w:t xml:space="preserve"> </w:t>
      </w:r>
      <w:r w:rsidR="00DF56B0" w:rsidRPr="00FD211F">
        <w:rPr>
          <w:sz w:val="36"/>
          <w:szCs w:val="36"/>
          <w:rtl/>
        </w:rPr>
        <w:t>المطلق</w:t>
      </w:r>
      <w:r w:rsidR="00E8128F">
        <w:rPr>
          <w:sz w:val="36"/>
          <w:szCs w:val="36"/>
          <w:rtl/>
        </w:rPr>
        <w:t xml:space="preserve"> </w:t>
      </w:r>
      <w:r w:rsidR="00DF56B0" w:rsidRPr="00FD211F">
        <w:rPr>
          <w:sz w:val="36"/>
          <w:szCs w:val="36"/>
          <w:rtl/>
        </w:rPr>
        <w:t>هو</w:t>
      </w:r>
      <w:r w:rsidR="00E8128F">
        <w:rPr>
          <w:sz w:val="36"/>
          <w:szCs w:val="36"/>
          <w:rtl/>
        </w:rPr>
        <w:t xml:space="preserve"> </w:t>
      </w:r>
      <w:r w:rsidR="00DF56B0" w:rsidRPr="00FD211F">
        <w:rPr>
          <w:sz w:val="36"/>
          <w:szCs w:val="36"/>
          <w:rtl/>
        </w:rPr>
        <w:t>الموضوع</w:t>
      </w:r>
      <w:r w:rsidR="00E8128F">
        <w:rPr>
          <w:sz w:val="36"/>
          <w:szCs w:val="36"/>
          <w:rtl/>
        </w:rPr>
        <w:t xml:space="preserve"> </w:t>
      </w:r>
      <w:r w:rsidR="00DF56B0" w:rsidRPr="00FD211F">
        <w:rPr>
          <w:sz w:val="36"/>
          <w:szCs w:val="36"/>
          <w:rtl/>
        </w:rPr>
        <w:t>للحكم</w:t>
      </w:r>
      <w:r w:rsidR="00E8128F">
        <w:rPr>
          <w:sz w:val="36"/>
          <w:szCs w:val="36"/>
          <w:rtl/>
        </w:rPr>
        <w:t xml:space="preserve"> </w:t>
      </w:r>
      <w:r w:rsidR="00DF56B0" w:rsidRPr="00FD211F">
        <w:rPr>
          <w:sz w:val="36"/>
          <w:szCs w:val="36"/>
          <w:rtl/>
        </w:rPr>
        <w:t>فيترتب</w:t>
      </w:r>
      <w:r w:rsidR="00E8128F">
        <w:rPr>
          <w:sz w:val="36"/>
          <w:szCs w:val="36"/>
          <w:rtl/>
        </w:rPr>
        <w:t xml:space="preserve"> </w:t>
      </w:r>
      <w:r w:rsidR="00DF56B0" w:rsidRPr="00FD211F">
        <w:rPr>
          <w:sz w:val="36"/>
          <w:szCs w:val="36"/>
          <w:rtl/>
        </w:rPr>
        <w:t>عليه</w:t>
      </w:r>
      <w:r w:rsidR="00E8128F">
        <w:rPr>
          <w:sz w:val="36"/>
          <w:szCs w:val="36"/>
          <w:rtl/>
        </w:rPr>
        <w:t xml:space="preserve"> </w:t>
      </w:r>
      <w:r w:rsidR="00DF56B0" w:rsidRPr="00FD211F">
        <w:rPr>
          <w:sz w:val="36"/>
          <w:szCs w:val="36"/>
          <w:rtl/>
        </w:rPr>
        <w:t>جميع</w:t>
      </w:r>
      <w:r w:rsidR="00E8128F">
        <w:rPr>
          <w:sz w:val="36"/>
          <w:szCs w:val="36"/>
          <w:rtl/>
        </w:rPr>
        <w:t xml:space="preserve"> </w:t>
      </w:r>
      <w:r w:rsidR="00DF56B0" w:rsidRPr="00FD211F">
        <w:rPr>
          <w:sz w:val="36"/>
          <w:szCs w:val="36"/>
          <w:rtl/>
        </w:rPr>
        <w:t>الآثار.</w:t>
      </w:r>
    </w:p>
    <w:p w14:paraId="09083BE0" w14:textId="77777777" w:rsidR="001116B1" w:rsidRPr="00FD211F" w:rsidRDefault="00DF56B0" w:rsidP="009C58C8">
      <w:pPr>
        <w:ind w:left="0" w:firstLine="227"/>
        <w:jc w:val="both"/>
        <w:rPr>
          <w:sz w:val="36"/>
          <w:szCs w:val="36"/>
          <w:rtl/>
        </w:rPr>
      </w:pPr>
      <w:r w:rsidRPr="00FD211F">
        <w:rPr>
          <w:sz w:val="36"/>
          <w:szCs w:val="36"/>
          <w:rtl/>
        </w:rPr>
        <w:t>ولكن</w:t>
      </w:r>
      <w:r w:rsidR="00E8128F">
        <w:rPr>
          <w:sz w:val="36"/>
          <w:szCs w:val="36"/>
          <w:rtl/>
        </w:rPr>
        <w:t xml:space="preserve"> </w:t>
      </w:r>
      <w:r w:rsidRPr="00FD211F">
        <w:rPr>
          <w:sz w:val="36"/>
          <w:szCs w:val="36"/>
          <w:rtl/>
        </w:rPr>
        <w:t>الظاهرانه</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التقابل</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الاطلاق</w:t>
      </w:r>
      <w:r w:rsidR="00E8128F">
        <w:rPr>
          <w:sz w:val="36"/>
          <w:szCs w:val="36"/>
          <w:rtl/>
        </w:rPr>
        <w:t xml:space="preserve"> </w:t>
      </w:r>
      <w:r w:rsidRPr="00FD211F">
        <w:rPr>
          <w:sz w:val="36"/>
          <w:szCs w:val="36"/>
          <w:rtl/>
        </w:rPr>
        <w:t>والتقييد</w:t>
      </w:r>
      <w:r w:rsidR="00E8128F">
        <w:rPr>
          <w:sz w:val="36"/>
          <w:szCs w:val="36"/>
          <w:rtl/>
        </w:rPr>
        <w:t xml:space="preserve"> </w:t>
      </w:r>
      <w:r w:rsidRPr="00FD211F">
        <w:rPr>
          <w:sz w:val="36"/>
          <w:szCs w:val="36"/>
          <w:rtl/>
        </w:rPr>
        <w:t>تقابل</w:t>
      </w:r>
      <w:r w:rsidR="00E8128F">
        <w:rPr>
          <w:sz w:val="36"/>
          <w:szCs w:val="36"/>
          <w:rtl/>
        </w:rPr>
        <w:t xml:space="preserve"> </w:t>
      </w:r>
      <w:r w:rsidRPr="00FD211F">
        <w:rPr>
          <w:sz w:val="36"/>
          <w:szCs w:val="36"/>
          <w:rtl/>
        </w:rPr>
        <w:t>السلب</w:t>
      </w:r>
      <w:r w:rsidR="00E8128F">
        <w:rPr>
          <w:sz w:val="36"/>
          <w:szCs w:val="36"/>
          <w:rtl/>
        </w:rPr>
        <w:t xml:space="preserve"> </w:t>
      </w:r>
      <w:r w:rsidRPr="00FD211F">
        <w:rPr>
          <w:sz w:val="36"/>
          <w:szCs w:val="36"/>
          <w:rtl/>
        </w:rPr>
        <w:t>والايجاب</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تقابل</w:t>
      </w:r>
      <w:r w:rsidR="00E8128F">
        <w:rPr>
          <w:sz w:val="36"/>
          <w:szCs w:val="36"/>
          <w:rtl/>
        </w:rPr>
        <w:t xml:space="preserve"> </w:t>
      </w:r>
      <w:r w:rsidRPr="00FD211F">
        <w:rPr>
          <w:sz w:val="36"/>
          <w:szCs w:val="36"/>
          <w:rtl/>
        </w:rPr>
        <w:t>العدم</w:t>
      </w:r>
      <w:r w:rsidR="00E8128F">
        <w:rPr>
          <w:sz w:val="36"/>
          <w:szCs w:val="36"/>
          <w:rtl/>
        </w:rPr>
        <w:t xml:space="preserve"> </w:t>
      </w:r>
      <w:r w:rsidRPr="00FD211F">
        <w:rPr>
          <w:sz w:val="36"/>
          <w:szCs w:val="36"/>
          <w:rtl/>
        </w:rPr>
        <w:t>والملك</w:t>
      </w:r>
      <w:r w:rsidR="00EC7EDF" w:rsidRPr="00FD211F">
        <w:rPr>
          <w:sz w:val="36"/>
          <w:szCs w:val="36"/>
          <w:rtl/>
        </w:rPr>
        <w:t>ة</w:t>
      </w:r>
      <w:r w:rsidR="00E8128F">
        <w:rPr>
          <w:sz w:val="36"/>
          <w:szCs w:val="36"/>
          <w:rtl/>
        </w:rPr>
        <w:t xml:space="preserve"> </w:t>
      </w:r>
      <w:r w:rsidR="003A1F9A" w:rsidRPr="00FD211F">
        <w:rPr>
          <w:sz w:val="36"/>
          <w:szCs w:val="36"/>
          <w:rtl/>
        </w:rPr>
        <w:t>ايضا</w:t>
      </w:r>
      <w:r w:rsidR="00E8128F">
        <w:rPr>
          <w:sz w:val="36"/>
          <w:szCs w:val="36"/>
          <w:rtl/>
        </w:rPr>
        <w:t xml:space="preserve"> </w:t>
      </w:r>
      <w:r w:rsidR="003A1F9A" w:rsidRPr="00FD211F">
        <w:rPr>
          <w:sz w:val="36"/>
          <w:szCs w:val="36"/>
          <w:rtl/>
        </w:rPr>
        <w:t>يكون</w:t>
      </w:r>
      <w:r w:rsidR="00E8128F">
        <w:rPr>
          <w:sz w:val="36"/>
          <w:szCs w:val="36"/>
          <w:rtl/>
        </w:rPr>
        <w:t xml:space="preserve"> </w:t>
      </w:r>
      <w:r w:rsidR="003A1F9A" w:rsidRPr="00FD211F">
        <w:rPr>
          <w:sz w:val="36"/>
          <w:szCs w:val="36"/>
          <w:rtl/>
        </w:rPr>
        <w:t>اثبات</w:t>
      </w:r>
      <w:r w:rsidR="00E8128F">
        <w:rPr>
          <w:sz w:val="36"/>
          <w:szCs w:val="36"/>
          <w:rtl/>
        </w:rPr>
        <w:t xml:space="preserve"> </w:t>
      </w:r>
      <w:r w:rsidR="003A1F9A" w:rsidRPr="00FD211F">
        <w:rPr>
          <w:sz w:val="36"/>
          <w:szCs w:val="36"/>
          <w:rtl/>
        </w:rPr>
        <w:t>الاطلاق</w:t>
      </w:r>
      <w:r w:rsidR="00E8128F">
        <w:rPr>
          <w:sz w:val="36"/>
          <w:szCs w:val="36"/>
          <w:rtl/>
        </w:rPr>
        <w:t xml:space="preserve"> </w:t>
      </w:r>
      <w:r w:rsidR="003A1F9A" w:rsidRPr="00FD211F">
        <w:rPr>
          <w:sz w:val="36"/>
          <w:szCs w:val="36"/>
          <w:rtl/>
        </w:rPr>
        <w:t>باستصحاب</w:t>
      </w:r>
      <w:r w:rsidR="00E8128F">
        <w:rPr>
          <w:sz w:val="36"/>
          <w:szCs w:val="36"/>
          <w:rtl/>
        </w:rPr>
        <w:t xml:space="preserve"> </w:t>
      </w:r>
      <w:r w:rsidR="003A1F9A" w:rsidRPr="00FD211F">
        <w:rPr>
          <w:sz w:val="36"/>
          <w:szCs w:val="36"/>
          <w:rtl/>
        </w:rPr>
        <w:t>عدم</w:t>
      </w:r>
      <w:r w:rsidR="00E8128F">
        <w:rPr>
          <w:sz w:val="36"/>
          <w:szCs w:val="36"/>
          <w:rtl/>
        </w:rPr>
        <w:t xml:space="preserve"> </w:t>
      </w:r>
      <w:r w:rsidR="003A1F9A" w:rsidRPr="00FD211F">
        <w:rPr>
          <w:sz w:val="36"/>
          <w:szCs w:val="36"/>
          <w:rtl/>
        </w:rPr>
        <w:t>التقييد</w:t>
      </w:r>
      <w:r w:rsidR="00E8128F">
        <w:rPr>
          <w:sz w:val="36"/>
          <w:szCs w:val="36"/>
          <w:rtl/>
        </w:rPr>
        <w:t xml:space="preserve"> </w:t>
      </w:r>
      <w:r w:rsidR="003A1F9A" w:rsidRPr="00FD211F">
        <w:rPr>
          <w:sz w:val="36"/>
          <w:szCs w:val="36"/>
          <w:rtl/>
        </w:rPr>
        <w:t>من</w:t>
      </w:r>
      <w:r w:rsidR="00E8128F">
        <w:rPr>
          <w:sz w:val="36"/>
          <w:szCs w:val="36"/>
          <w:rtl/>
        </w:rPr>
        <w:t xml:space="preserve"> </w:t>
      </w:r>
      <w:r w:rsidR="003A1F9A" w:rsidRPr="00FD211F">
        <w:rPr>
          <w:sz w:val="36"/>
          <w:szCs w:val="36"/>
          <w:rtl/>
        </w:rPr>
        <w:t>الاصل</w:t>
      </w:r>
      <w:r w:rsidR="00E8128F">
        <w:rPr>
          <w:sz w:val="36"/>
          <w:szCs w:val="36"/>
          <w:rtl/>
        </w:rPr>
        <w:t xml:space="preserve"> </w:t>
      </w:r>
      <w:r w:rsidR="003A1F9A" w:rsidRPr="00FD211F">
        <w:rPr>
          <w:sz w:val="36"/>
          <w:szCs w:val="36"/>
          <w:rtl/>
        </w:rPr>
        <w:t>المثبت</w:t>
      </w:r>
      <w:r w:rsidR="00603323" w:rsidRPr="00FD211F">
        <w:rPr>
          <w:sz w:val="36"/>
          <w:szCs w:val="36"/>
          <w:rtl/>
        </w:rPr>
        <w:t>،</w:t>
      </w:r>
      <w:r w:rsidR="00E8128F">
        <w:rPr>
          <w:sz w:val="36"/>
          <w:szCs w:val="36"/>
          <w:rtl/>
        </w:rPr>
        <w:t xml:space="preserve"> </w:t>
      </w:r>
      <w:r w:rsidR="001116B1" w:rsidRPr="00FD211F">
        <w:rPr>
          <w:sz w:val="36"/>
          <w:szCs w:val="36"/>
          <w:rtl/>
        </w:rPr>
        <w:t>ولولاجل</w:t>
      </w:r>
      <w:r w:rsidR="00E8128F">
        <w:rPr>
          <w:sz w:val="36"/>
          <w:szCs w:val="36"/>
          <w:rtl/>
        </w:rPr>
        <w:t xml:space="preserve"> </w:t>
      </w:r>
      <w:r w:rsidR="001116B1" w:rsidRPr="00FD211F">
        <w:rPr>
          <w:sz w:val="36"/>
          <w:szCs w:val="36"/>
          <w:rtl/>
        </w:rPr>
        <w:t>ان</w:t>
      </w:r>
      <w:r w:rsidR="00E8128F">
        <w:rPr>
          <w:sz w:val="36"/>
          <w:szCs w:val="36"/>
          <w:rtl/>
        </w:rPr>
        <w:t xml:space="preserve"> </w:t>
      </w:r>
      <w:r w:rsidR="001116B1" w:rsidRPr="00FD211F">
        <w:rPr>
          <w:sz w:val="36"/>
          <w:szCs w:val="36"/>
          <w:rtl/>
        </w:rPr>
        <w:t>العرف</w:t>
      </w:r>
      <w:r w:rsidR="00E8128F">
        <w:rPr>
          <w:sz w:val="36"/>
          <w:szCs w:val="36"/>
          <w:rtl/>
        </w:rPr>
        <w:t xml:space="preserve"> </w:t>
      </w:r>
      <w:r w:rsidR="001116B1" w:rsidRPr="00FD211F">
        <w:rPr>
          <w:sz w:val="36"/>
          <w:szCs w:val="36"/>
          <w:rtl/>
        </w:rPr>
        <w:t>يرى</w:t>
      </w:r>
      <w:r w:rsidR="00E8128F">
        <w:rPr>
          <w:sz w:val="36"/>
          <w:szCs w:val="36"/>
          <w:rtl/>
        </w:rPr>
        <w:t xml:space="preserve"> </w:t>
      </w:r>
      <w:r w:rsidR="001116B1" w:rsidRPr="00FD211F">
        <w:rPr>
          <w:sz w:val="36"/>
          <w:szCs w:val="36"/>
          <w:rtl/>
        </w:rPr>
        <w:t>ان</w:t>
      </w:r>
      <w:r w:rsidR="00E8128F">
        <w:rPr>
          <w:sz w:val="36"/>
          <w:szCs w:val="36"/>
          <w:rtl/>
        </w:rPr>
        <w:t xml:space="preserve"> </w:t>
      </w:r>
      <w:r w:rsidR="001116B1" w:rsidRPr="00FD211F">
        <w:rPr>
          <w:sz w:val="36"/>
          <w:szCs w:val="36"/>
          <w:rtl/>
        </w:rPr>
        <w:t>النسب</w:t>
      </w:r>
      <w:r w:rsidR="00EC7EDF" w:rsidRPr="00FD211F">
        <w:rPr>
          <w:sz w:val="36"/>
          <w:szCs w:val="36"/>
          <w:rtl/>
        </w:rPr>
        <w:t>ة</w:t>
      </w:r>
      <w:r w:rsidR="00E8128F">
        <w:rPr>
          <w:sz w:val="36"/>
          <w:szCs w:val="36"/>
          <w:rtl/>
        </w:rPr>
        <w:t xml:space="preserve"> </w:t>
      </w:r>
      <w:r w:rsidR="001116B1" w:rsidRPr="00FD211F">
        <w:rPr>
          <w:sz w:val="36"/>
          <w:szCs w:val="36"/>
          <w:rtl/>
        </w:rPr>
        <w:t>بين</w:t>
      </w:r>
      <w:r w:rsidR="00E8128F">
        <w:rPr>
          <w:sz w:val="36"/>
          <w:szCs w:val="36"/>
          <w:rtl/>
        </w:rPr>
        <w:t xml:space="preserve"> </w:t>
      </w:r>
      <w:r w:rsidR="001116B1" w:rsidRPr="00FD211F">
        <w:rPr>
          <w:sz w:val="36"/>
          <w:szCs w:val="36"/>
          <w:rtl/>
        </w:rPr>
        <w:t>الاطلاق</w:t>
      </w:r>
      <w:r w:rsidR="00E8128F">
        <w:rPr>
          <w:sz w:val="36"/>
          <w:szCs w:val="36"/>
          <w:rtl/>
        </w:rPr>
        <w:t xml:space="preserve"> </w:t>
      </w:r>
      <w:r w:rsidR="001116B1" w:rsidRPr="00FD211F">
        <w:rPr>
          <w:sz w:val="36"/>
          <w:szCs w:val="36"/>
          <w:rtl/>
        </w:rPr>
        <w:t>والتقييد</w:t>
      </w:r>
      <w:r w:rsidR="00E8128F">
        <w:rPr>
          <w:sz w:val="36"/>
          <w:szCs w:val="36"/>
          <w:rtl/>
        </w:rPr>
        <w:t xml:space="preserve"> </w:t>
      </w:r>
      <w:r w:rsidR="001116B1" w:rsidRPr="00FD211F">
        <w:rPr>
          <w:sz w:val="36"/>
          <w:szCs w:val="36"/>
          <w:rtl/>
        </w:rPr>
        <w:t>نسب</w:t>
      </w:r>
      <w:r w:rsidR="00EC7EDF" w:rsidRPr="00FD211F">
        <w:rPr>
          <w:sz w:val="36"/>
          <w:szCs w:val="36"/>
          <w:rtl/>
        </w:rPr>
        <w:t>ة</w:t>
      </w:r>
      <w:r w:rsidR="00E8128F">
        <w:rPr>
          <w:sz w:val="36"/>
          <w:szCs w:val="36"/>
          <w:rtl/>
        </w:rPr>
        <w:t xml:space="preserve"> </w:t>
      </w:r>
      <w:r w:rsidR="001116B1" w:rsidRPr="00FD211F">
        <w:rPr>
          <w:sz w:val="36"/>
          <w:szCs w:val="36"/>
          <w:rtl/>
        </w:rPr>
        <w:t>التباين</w:t>
      </w:r>
      <w:r w:rsidR="00E8128F">
        <w:rPr>
          <w:sz w:val="36"/>
          <w:szCs w:val="36"/>
          <w:rtl/>
        </w:rPr>
        <w:t xml:space="preserve"> </w:t>
      </w:r>
      <w:r w:rsidR="001116B1" w:rsidRPr="00FD211F">
        <w:rPr>
          <w:sz w:val="36"/>
          <w:szCs w:val="36"/>
          <w:rtl/>
        </w:rPr>
        <w:t>لاالاقل</w:t>
      </w:r>
      <w:r w:rsidR="00E8128F">
        <w:rPr>
          <w:sz w:val="36"/>
          <w:szCs w:val="36"/>
          <w:rtl/>
        </w:rPr>
        <w:t xml:space="preserve"> </w:t>
      </w:r>
      <w:r w:rsidR="001116B1" w:rsidRPr="00FD211F">
        <w:rPr>
          <w:sz w:val="36"/>
          <w:szCs w:val="36"/>
          <w:rtl/>
        </w:rPr>
        <w:t>والاكثر</w:t>
      </w:r>
      <w:r w:rsidR="00E8128F">
        <w:rPr>
          <w:sz w:val="36"/>
          <w:szCs w:val="36"/>
          <w:rtl/>
        </w:rPr>
        <w:t xml:space="preserve"> </w:t>
      </w:r>
      <w:r w:rsidR="001116B1" w:rsidRPr="00FD211F">
        <w:rPr>
          <w:sz w:val="36"/>
          <w:szCs w:val="36"/>
          <w:rtl/>
        </w:rPr>
        <w:t>وان</w:t>
      </w:r>
      <w:r w:rsidR="00E8128F">
        <w:rPr>
          <w:sz w:val="36"/>
          <w:szCs w:val="36"/>
          <w:rtl/>
        </w:rPr>
        <w:t xml:space="preserve"> </w:t>
      </w:r>
      <w:r w:rsidR="001116B1" w:rsidRPr="00FD211F">
        <w:rPr>
          <w:sz w:val="36"/>
          <w:szCs w:val="36"/>
          <w:rtl/>
        </w:rPr>
        <w:t>فرض</w:t>
      </w:r>
      <w:r w:rsidR="00E8128F">
        <w:rPr>
          <w:sz w:val="36"/>
          <w:szCs w:val="36"/>
          <w:rtl/>
        </w:rPr>
        <w:t xml:space="preserve"> </w:t>
      </w:r>
      <w:r w:rsidR="001116B1" w:rsidRPr="00FD211F">
        <w:rPr>
          <w:sz w:val="36"/>
          <w:szCs w:val="36"/>
          <w:rtl/>
        </w:rPr>
        <w:t>كون</w:t>
      </w:r>
      <w:r w:rsidR="00E8128F">
        <w:rPr>
          <w:sz w:val="36"/>
          <w:szCs w:val="36"/>
          <w:rtl/>
        </w:rPr>
        <w:t xml:space="preserve"> </w:t>
      </w:r>
      <w:r w:rsidR="001116B1" w:rsidRPr="00FD211F">
        <w:rPr>
          <w:sz w:val="36"/>
          <w:szCs w:val="36"/>
          <w:rtl/>
        </w:rPr>
        <w:t>النسب</w:t>
      </w:r>
      <w:r w:rsidR="00EC7EDF" w:rsidRPr="00FD211F">
        <w:rPr>
          <w:sz w:val="36"/>
          <w:szCs w:val="36"/>
          <w:rtl/>
        </w:rPr>
        <w:t>ة</w:t>
      </w:r>
      <w:r w:rsidR="00E8128F">
        <w:rPr>
          <w:sz w:val="36"/>
          <w:szCs w:val="36"/>
          <w:rtl/>
        </w:rPr>
        <w:t xml:space="preserve"> </w:t>
      </w:r>
      <w:r w:rsidR="001116B1" w:rsidRPr="00FD211F">
        <w:rPr>
          <w:sz w:val="36"/>
          <w:szCs w:val="36"/>
          <w:rtl/>
        </w:rPr>
        <w:t>بينهما</w:t>
      </w:r>
      <w:r w:rsidR="00E8128F">
        <w:rPr>
          <w:sz w:val="36"/>
          <w:szCs w:val="36"/>
          <w:rtl/>
        </w:rPr>
        <w:t xml:space="preserve"> </w:t>
      </w:r>
      <w:r w:rsidR="001116B1" w:rsidRPr="00FD211F">
        <w:rPr>
          <w:sz w:val="36"/>
          <w:szCs w:val="36"/>
          <w:rtl/>
        </w:rPr>
        <w:t>الاقل</w:t>
      </w:r>
      <w:r w:rsidR="00E8128F">
        <w:rPr>
          <w:sz w:val="36"/>
          <w:szCs w:val="36"/>
          <w:rtl/>
        </w:rPr>
        <w:t xml:space="preserve"> </w:t>
      </w:r>
      <w:r w:rsidR="001116B1" w:rsidRPr="00FD211F">
        <w:rPr>
          <w:sz w:val="36"/>
          <w:szCs w:val="36"/>
          <w:rtl/>
        </w:rPr>
        <w:t>والاكثر</w:t>
      </w:r>
      <w:r w:rsidR="00E8128F">
        <w:rPr>
          <w:sz w:val="36"/>
          <w:szCs w:val="36"/>
          <w:rtl/>
        </w:rPr>
        <w:t xml:space="preserve"> </w:t>
      </w:r>
      <w:r w:rsidR="001116B1" w:rsidRPr="00FD211F">
        <w:rPr>
          <w:sz w:val="36"/>
          <w:szCs w:val="36"/>
          <w:rtl/>
        </w:rPr>
        <w:t>بالنظر</w:t>
      </w:r>
      <w:r w:rsidR="00E8128F">
        <w:rPr>
          <w:sz w:val="36"/>
          <w:szCs w:val="36"/>
          <w:rtl/>
        </w:rPr>
        <w:t xml:space="preserve"> </w:t>
      </w:r>
      <w:r w:rsidR="001116B1" w:rsidRPr="00FD211F">
        <w:rPr>
          <w:sz w:val="36"/>
          <w:szCs w:val="36"/>
          <w:rtl/>
        </w:rPr>
        <w:t>العقلى</w:t>
      </w:r>
      <w:r w:rsidR="00EC7EDF" w:rsidRPr="00FD211F">
        <w:rPr>
          <w:sz w:val="36"/>
          <w:szCs w:val="36"/>
          <w:rtl/>
        </w:rPr>
        <w:t>.</w:t>
      </w:r>
    </w:p>
    <w:p w14:paraId="1BEDA70B" w14:textId="77777777" w:rsidR="00DF56B0" w:rsidRPr="00FD211F" w:rsidRDefault="001116B1" w:rsidP="009C58C8">
      <w:pPr>
        <w:ind w:left="0" w:firstLine="227"/>
        <w:jc w:val="both"/>
        <w:rPr>
          <w:sz w:val="36"/>
          <w:szCs w:val="36"/>
          <w:rtl/>
        </w:rPr>
      </w:pPr>
      <w:r w:rsidRPr="00FD211F">
        <w:rPr>
          <w:sz w:val="36"/>
          <w:szCs w:val="36"/>
          <w:rtl/>
        </w:rPr>
        <w:t>توضيح</w:t>
      </w:r>
      <w:r w:rsidR="00E8128F">
        <w:rPr>
          <w:sz w:val="36"/>
          <w:szCs w:val="36"/>
          <w:rtl/>
        </w:rPr>
        <w:t xml:space="preserve"> </w:t>
      </w:r>
      <w:r w:rsidRPr="00FD211F">
        <w:rPr>
          <w:sz w:val="36"/>
          <w:szCs w:val="36"/>
          <w:rtl/>
        </w:rPr>
        <w:t>ذلك</w:t>
      </w:r>
      <w:r w:rsidR="00851268" w:rsidRPr="00FD211F">
        <w:rPr>
          <w:sz w:val="36"/>
          <w:szCs w:val="36"/>
          <w:rtl/>
        </w:rPr>
        <w:t>:</w:t>
      </w:r>
      <w:r w:rsidR="00E8128F">
        <w:rPr>
          <w:sz w:val="36"/>
          <w:szCs w:val="36"/>
          <w:rtl/>
        </w:rPr>
        <w:t xml:space="preserve"> </w:t>
      </w:r>
      <w:r w:rsidR="003A1F9A" w:rsidRPr="00FD211F">
        <w:rPr>
          <w:sz w:val="36"/>
          <w:szCs w:val="36"/>
          <w:rtl/>
        </w:rPr>
        <w:t>انه</w:t>
      </w:r>
      <w:r w:rsidR="00E8128F">
        <w:rPr>
          <w:sz w:val="36"/>
          <w:szCs w:val="36"/>
          <w:rtl/>
        </w:rPr>
        <w:t xml:space="preserve"> </w:t>
      </w:r>
      <w:r w:rsidR="00DF56B0" w:rsidRPr="00FD211F">
        <w:rPr>
          <w:sz w:val="36"/>
          <w:szCs w:val="36"/>
          <w:rtl/>
        </w:rPr>
        <w:t>بناء</w:t>
      </w:r>
      <w:r w:rsidR="00E8128F">
        <w:rPr>
          <w:sz w:val="36"/>
          <w:szCs w:val="36"/>
          <w:rtl/>
        </w:rPr>
        <w:t xml:space="preserve"> </w:t>
      </w:r>
      <w:r w:rsidR="00DF56B0" w:rsidRPr="00FD211F">
        <w:rPr>
          <w:sz w:val="36"/>
          <w:szCs w:val="36"/>
          <w:rtl/>
        </w:rPr>
        <w:t>على</w:t>
      </w:r>
      <w:r w:rsidR="00E8128F">
        <w:rPr>
          <w:sz w:val="36"/>
          <w:szCs w:val="36"/>
          <w:rtl/>
        </w:rPr>
        <w:t xml:space="preserve"> </w:t>
      </w:r>
      <w:r w:rsidR="00DF56B0" w:rsidRPr="00FD211F">
        <w:rPr>
          <w:sz w:val="36"/>
          <w:szCs w:val="36"/>
          <w:rtl/>
        </w:rPr>
        <w:t>المسلك</w:t>
      </w:r>
      <w:r w:rsidR="00E8128F">
        <w:rPr>
          <w:sz w:val="36"/>
          <w:szCs w:val="36"/>
          <w:rtl/>
        </w:rPr>
        <w:t xml:space="preserve"> </w:t>
      </w:r>
      <w:r w:rsidR="00DF56B0" w:rsidRPr="00FD211F">
        <w:rPr>
          <w:sz w:val="36"/>
          <w:szCs w:val="36"/>
          <w:rtl/>
        </w:rPr>
        <w:t>الصحيح</w:t>
      </w:r>
      <w:r w:rsidR="00E8128F">
        <w:rPr>
          <w:sz w:val="36"/>
          <w:szCs w:val="36"/>
          <w:rtl/>
        </w:rPr>
        <w:t xml:space="preserve"> </w:t>
      </w:r>
      <w:r w:rsidR="00DF56B0" w:rsidRPr="00FD211F">
        <w:rPr>
          <w:sz w:val="36"/>
          <w:szCs w:val="36"/>
          <w:rtl/>
        </w:rPr>
        <w:t>من</w:t>
      </w:r>
      <w:r w:rsidR="00E8128F">
        <w:rPr>
          <w:sz w:val="36"/>
          <w:szCs w:val="36"/>
          <w:rtl/>
        </w:rPr>
        <w:t xml:space="preserve"> </w:t>
      </w:r>
      <w:r w:rsidR="00DF56B0" w:rsidRPr="00FD211F">
        <w:rPr>
          <w:sz w:val="36"/>
          <w:szCs w:val="36"/>
          <w:rtl/>
        </w:rPr>
        <w:t>ثبوت</w:t>
      </w:r>
      <w:r w:rsidR="00E8128F">
        <w:rPr>
          <w:sz w:val="36"/>
          <w:szCs w:val="36"/>
          <w:rtl/>
        </w:rPr>
        <w:t xml:space="preserve"> </w:t>
      </w:r>
      <w:r w:rsidR="00DF56B0" w:rsidRPr="00FD211F">
        <w:rPr>
          <w:sz w:val="36"/>
          <w:szCs w:val="36"/>
          <w:rtl/>
        </w:rPr>
        <w:t>الانحلال</w:t>
      </w:r>
      <w:r w:rsidR="00E8128F">
        <w:rPr>
          <w:sz w:val="36"/>
          <w:szCs w:val="36"/>
          <w:rtl/>
        </w:rPr>
        <w:t xml:space="preserve"> </w:t>
      </w:r>
      <w:r w:rsidR="00DF56B0" w:rsidRPr="00FD211F">
        <w:rPr>
          <w:sz w:val="36"/>
          <w:szCs w:val="36"/>
          <w:rtl/>
        </w:rPr>
        <w:t>في</w:t>
      </w:r>
      <w:r w:rsidR="00E8128F">
        <w:rPr>
          <w:sz w:val="36"/>
          <w:szCs w:val="36"/>
          <w:rtl/>
        </w:rPr>
        <w:t xml:space="preserve"> </w:t>
      </w:r>
      <w:r w:rsidR="00DF56B0" w:rsidRPr="00FD211F">
        <w:rPr>
          <w:sz w:val="36"/>
          <w:szCs w:val="36"/>
          <w:rtl/>
        </w:rPr>
        <w:t>الجعل</w:t>
      </w:r>
      <w:r w:rsidR="00E8128F">
        <w:rPr>
          <w:sz w:val="36"/>
          <w:szCs w:val="36"/>
          <w:rtl/>
        </w:rPr>
        <w:t xml:space="preserve"> </w:t>
      </w:r>
      <w:r w:rsidR="00DF56B0" w:rsidRPr="00FD211F">
        <w:rPr>
          <w:sz w:val="36"/>
          <w:szCs w:val="36"/>
          <w:rtl/>
        </w:rPr>
        <w:t>في</w:t>
      </w:r>
      <w:r w:rsidR="00E8128F">
        <w:rPr>
          <w:sz w:val="36"/>
          <w:szCs w:val="36"/>
          <w:rtl/>
        </w:rPr>
        <w:t xml:space="preserve"> </w:t>
      </w:r>
      <w:r w:rsidR="00DF56B0" w:rsidRPr="00FD211F">
        <w:rPr>
          <w:sz w:val="36"/>
          <w:szCs w:val="36"/>
          <w:rtl/>
        </w:rPr>
        <w:t>العام</w:t>
      </w:r>
      <w:r w:rsidR="00E8128F">
        <w:rPr>
          <w:sz w:val="36"/>
          <w:szCs w:val="36"/>
          <w:rtl/>
        </w:rPr>
        <w:t xml:space="preserve"> </w:t>
      </w:r>
      <w:r w:rsidR="00DF56B0" w:rsidRPr="00FD211F">
        <w:rPr>
          <w:sz w:val="36"/>
          <w:szCs w:val="36"/>
          <w:rtl/>
        </w:rPr>
        <w:t>بل</w:t>
      </w:r>
      <w:r w:rsidR="00E8128F">
        <w:rPr>
          <w:sz w:val="36"/>
          <w:szCs w:val="36"/>
          <w:rtl/>
        </w:rPr>
        <w:t xml:space="preserve"> </w:t>
      </w:r>
      <w:r w:rsidR="00DF56B0" w:rsidRPr="00FD211F">
        <w:rPr>
          <w:sz w:val="36"/>
          <w:szCs w:val="36"/>
          <w:rtl/>
        </w:rPr>
        <w:t>في</w:t>
      </w:r>
      <w:r w:rsidR="00E8128F">
        <w:rPr>
          <w:sz w:val="36"/>
          <w:szCs w:val="36"/>
          <w:rtl/>
        </w:rPr>
        <w:t xml:space="preserve"> </w:t>
      </w:r>
      <w:r w:rsidR="00DF56B0" w:rsidRPr="00FD211F">
        <w:rPr>
          <w:sz w:val="36"/>
          <w:szCs w:val="36"/>
          <w:rtl/>
        </w:rPr>
        <w:t>المطلق</w:t>
      </w:r>
      <w:r w:rsidR="00E8128F">
        <w:rPr>
          <w:sz w:val="36"/>
          <w:szCs w:val="36"/>
          <w:rtl/>
        </w:rPr>
        <w:t xml:space="preserve"> </w:t>
      </w:r>
      <w:r w:rsidR="00DF56B0" w:rsidRPr="00FD211F">
        <w:rPr>
          <w:sz w:val="36"/>
          <w:szCs w:val="36"/>
          <w:rtl/>
        </w:rPr>
        <w:t>الشمولي</w:t>
      </w:r>
      <w:r w:rsidR="00E8128F">
        <w:rPr>
          <w:sz w:val="36"/>
          <w:szCs w:val="36"/>
          <w:rtl/>
        </w:rPr>
        <w:t xml:space="preserve"> </w:t>
      </w:r>
      <w:r w:rsidR="00DF56B0" w:rsidRPr="00FD211F">
        <w:rPr>
          <w:sz w:val="36"/>
          <w:szCs w:val="36"/>
          <w:rtl/>
        </w:rPr>
        <w:t>فاستصحاب</w:t>
      </w:r>
      <w:r w:rsidR="00E8128F">
        <w:rPr>
          <w:sz w:val="36"/>
          <w:szCs w:val="36"/>
          <w:rtl/>
        </w:rPr>
        <w:t xml:space="preserve"> </w:t>
      </w:r>
      <w:r w:rsidR="00DF56B0" w:rsidRPr="00FD211F">
        <w:rPr>
          <w:sz w:val="36"/>
          <w:szCs w:val="36"/>
          <w:rtl/>
        </w:rPr>
        <w:t>عدم</w:t>
      </w:r>
      <w:r w:rsidR="00E8128F">
        <w:rPr>
          <w:sz w:val="36"/>
          <w:szCs w:val="36"/>
          <w:rtl/>
        </w:rPr>
        <w:t xml:space="preserve"> </w:t>
      </w:r>
      <w:r w:rsidR="00DF56B0" w:rsidRPr="00FD211F">
        <w:rPr>
          <w:sz w:val="36"/>
          <w:szCs w:val="36"/>
          <w:rtl/>
        </w:rPr>
        <w:t>التقييد</w:t>
      </w:r>
      <w:r w:rsidR="00E8128F">
        <w:rPr>
          <w:sz w:val="36"/>
          <w:szCs w:val="36"/>
          <w:rtl/>
        </w:rPr>
        <w:t xml:space="preserve"> </w:t>
      </w:r>
      <w:r w:rsidR="00DF56B0" w:rsidRPr="00FD211F">
        <w:rPr>
          <w:sz w:val="36"/>
          <w:szCs w:val="36"/>
          <w:rtl/>
        </w:rPr>
        <w:t>لايثبت</w:t>
      </w:r>
      <w:r w:rsidR="00E8128F">
        <w:rPr>
          <w:sz w:val="36"/>
          <w:szCs w:val="36"/>
          <w:rtl/>
        </w:rPr>
        <w:t xml:space="preserve"> </w:t>
      </w:r>
      <w:r w:rsidR="00DF56B0" w:rsidRPr="00FD211F">
        <w:rPr>
          <w:sz w:val="36"/>
          <w:szCs w:val="36"/>
          <w:rtl/>
        </w:rPr>
        <w:t>جعل</w:t>
      </w:r>
      <w:r w:rsidR="00E8128F">
        <w:rPr>
          <w:sz w:val="36"/>
          <w:szCs w:val="36"/>
          <w:rtl/>
        </w:rPr>
        <w:t xml:space="preserve"> </w:t>
      </w:r>
      <w:r w:rsidR="00DF56B0" w:rsidRPr="00FD211F">
        <w:rPr>
          <w:sz w:val="36"/>
          <w:szCs w:val="36"/>
          <w:rtl/>
        </w:rPr>
        <w:t>الحكم</w:t>
      </w:r>
      <w:r w:rsidR="00E8128F">
        <w:rPr>
          <w:sz w:val="36"/>
          <w:szCs w:val="36"/>
          <w:rtl/>
        </w:rPr>
        <w:t xml:space="preserve"> </w:t>
      </w:r>
      <w:r w:rsidR="00DF56B0" w:rsidRPr="00FD211F">
        <w:rPr>
          <w:sz w:val="36"/>
          <w:szCs w:val="36"/>
          <w:rtl/>
        </w:rPr>
        <w:t>لفاقد</w:t>
      </w:r>
      <w:r w:rsidR="00E8128F">
        <w:rPr>
          <w:sz w:val="36"/>
          <w:szCs w:val="36"/>
          <w:rtl/>
        </w:rPr>
        <w:t xml:space="preserve"> </w:t>
      </w:r>
      <w:r w:rsidR="00DF56B0" w:rsidRPr="00FD211F">
        <w:rPr>
          <w:sz w:val="36"/>
          <w:szCs w:val="36"/>
          <w:rtl/>
        </w:rPr>
        <w:t>القيد</w:t>
      </w:r>
      <w:r w:rsidR="00603323" w:rsidRPr="00FD211F">
        <w:rPr>
          <w:sz w:val="36"/>
          <w:szCs w:val="36"/>
          <w:rtl/>
        </w:rPr>
        <w:t>،</w:t>
      </w:r>
      <w:r w:rsidR="00E8128F">
        <w:rPr>
          <w:sz w:val="36"/>
          <w:szCs w:val="36"/>
          <w:rtl/>
        </w:rPr>
        <w:t xml:space="preserve"> </w:t>
      </w:r>
      <w:r w:rsidR="00DF56B0" w:rsidRPr="00FD211F">
        <w:rPr>
          <w:sz w:val="36"/>
          <w:szCs w:val="36"/>
          <w:rtl/>
        </w:rPr>
        <w:t>وقد</w:t>
      </w:r>
      <w:r w:rsidR="00E8128F">
        <w:rPr>
          <w:sz w:val="36"/>
          <w:szCs w:val="36"/>
          <w:rtl/>
        </w:rPr>
        <w:t xml:space="preserve"> </w:t>
      </w:r>
      <w:r w:rsidR="00DF56B0" w:rsidRPr="00FD211F">
        <w:rPr>
          <w:sz w:val="36"/>
          <w:szCs w:val="36"/>
          <w:rtl/>
        </w:rPr>
        <w:t>ذكرنا</w:t>
      </w:r>
      <w:r w:rsidR="00E8128F">
        <w:rPr>
          <w:sz w:val="36"/>
          <w:szCs w:val="36"/>
          <w:rtl/>
        </w:rPr>
        <w:t xml:space="preserve"> </w:t>
      </w:r>
      <w:r w:rsidR="00DF56B0" w:rsidRPr="00FD211F">
        <w:rPr>
          <w:sz w:val="36"/>
          <w:szCs w:val="36"/>
          <w:rtl/>
        </w:rPr>
        <w:t>في</w:t>
      </w:r>
      <w:r w:rsidR="00E8128F">
        <w:rPr>
          <w:sz w:val="36"/>
          <w:szCs w:val="36"/>
          <w:rtl/>
        </w:rPr>
        <w:t xml:space="preserve"> </w:t>
      </w:r>
      <w:r w:rsidR="00DF56B0" w:rsidRPr="00FD211F">
        <w:rPr>
          <w:sz w:val="36"/>
          <w:szCs w:val="36"/>
          <w:rtl/>
        </w:rPr>
        <w:t>محله</w:t>
      </w:r>
      <w:r w:rsidR="00E8128F">
        <w:rPr>
          <w:sz w:val="36"/>
          <w:szCs w:val="36"/>
          <w:rtl/>
        </w:rPr>
        <w:t xml:space="preserve"> </w:t>
      </w:r>
      <w:r w:rsidR="00DF56B0" w:rsidRPr="00FD211F">
        <w:rPr>
          <w:sz w:val="36"/>
          <w:szCs w:val="36"/>
          <w:rtl/>
        </w:rPr>
        <w:t>ان</w:t>
      </w:r>
      <w:r w:rsidR="00E8128F">
        <w:rPr>
          <w:sz w:val="36"/>
          <w:szCs w:val="36"/>
          <w:rtl/>
        </w:rPr>
        <w:t xml:space="preserve"> </w:t>
      </w:r>
      <w:r w:rsidR="00DF56B0" w:rsidRPr="00FD211F">
        <w:rPr>
          <w:sz w:val="36"/>
          <w:szCs w:val="36"/>
          <w:rtl/>
        </w:rPr>
        <w:t>الانحلال</w:t>
      </w:r>
      <w:r w:rsidR="00E8128F">
        <w:rPr>
          <w:sz w:val="36"/>
          <w:szCs w:val="36"/>
          <w:rtl/>
        </w:rPr>
        <w:t xml:space="preserve"> </w:t>
      </w:r>
      <w:r w:rsidR="00DF56B0" w:rsidRPr="00FD211F">
        <w:rPr>
          <w:sz w:val="36"/>
          <w:szCs w:val="36"/>
          <w:rtl/>
        </w:rPr>
        <w:t>في</w:t>
      </w:r>
      <w:r w:rsidR="00E8128F">
        <w:rPr>
          <w:sz w:val="36"/>
          <w:szCs w:val="36"/>
          <w:rtl/>
        </w:rPr>
        <w:t xml:space="preserve"> </w:t>
      </w:r>
      <w:r w:rsidR="00DF56B0" w:rsidRPr="00FD211F">
        <w:rPr>
          <w:sz w:val="36"/>
          <w:szCs w:val="36"/>
          <w:rtl/>
        </w:rPr>
        <w:t>ا</w:t>
      </w:r>
      <w:r w:rsidR="008A3DE8" w:rsidRPr="00FD211F">
        <w:rPr>
          <w:sz w:val="36"/>
          <w:szCs w:val="36"/>
          <w:rtl/>
        </w:rPr>
        <w:t>لجعل</w:t>
      </w:r>
      <w:r w:rsidR="00E8128F">
        <w:rPr>
          <w:sz w:val="36"/>
          <w:szCs w:val="36"/>
          <w:rtl/>
        </w:rPr>
        <w:t xml:space="preserve"> </w:t>
      </w:r>
      <w:r w:rsidR="008A3DE8" w:rsidRPr="00FD211F">
        <w:rPr>
          <w:sz w:val="36"/>
          <w:szCs w:val="36"/>
          <w:rtl/>
        </w:rPr>
        <w:t>هو</w:t>
      </w:r>
      <w:r w:rsidR="00E8128F">
        <w:rPr>
          <w:sz w:val="36"/>
          <w:szCs w:val="36"/>
          <w:rtl/>
        </w:rPr>
        <w:t xml:space="preserve"> </w:t>
      </w:r>
      <w:r w:rsidR="008A3DE8" w:rsidRPr="00FD211F">
        <w:rPr>
          <w:sz w:val="36"/>
          <w:szCs w:val="36"/>
          <w:rtl/>
        </w:rPr>
        <w:t>الظاهر</w:t>
      </w:r>
      <w:r w:rsidR="00E8128F">
        <w:rPr>
          <w:sz w:val="36"/>
          <w:szCs w:val="36"/>
          <w:rtl/>
        </w:rPr>
        <w:t xml:space="preserve"> </w:t>
      </w:r>
      <w:r w:rsidR="008A3DE8" w:rsidRPr="00FD211F">
        <w:rPr>
          <w:sz w:val="36"/>
          <w:szCs w:val="36"/>
          <w:rtl/>
        </w:rPr>
        <w:t>في</w:t>
      </w:r>
      <w:r w:rsidR="00E8128F">
        <w:rPr>
          <w:sz w:val="36"/>
          <w:szCs w:val="36"/>
          <w:rtl/>
        </w:rPr>
        <w:t xml:space="preserve"> </w:t>
      </w:r>
      <w:r w:rsidR="008A3DE8" w:rsidRPr="00FD211F">
        <w:rPr>
          <w:sz w:val="36"/>
          <w:szCs w:val="36"/>
          <w:rtl/>
        </w:rPr>
        <w:t>العام</w:t>
      </w:r>
      <w:r w:rsidR="00E8128F">
        <w:rPr>
          <w:sz w:val="36"/>
          <w:szCs w:val="36"/>
          <w:rtl/>
        </w:rPr>
        <w:t xml:space="preserve"> </w:t>
      </w:r>
      <w:r w:rsidR="008A3DE8" w:rsidRPr="00FD211F">
        <w:rPr>
          <w:sz w:val="36"/>
          <w:szCs w:val="36"/>
          <w:rtl/>
        </w:rPr>
        <w:t>الشمولي</w:t>
      </w:r>
      <w:r w:rsidR="00E8128F">
        <w:rPr>
          <w:sz w:val="36"/>
          <w:szCs w:val="36"/>
          <w:rtl/>
        </w:rPr>
        <w:t xml:space="preserve"> </w:t>
      </w:r>
      <w:r w:rsidR="00DF56B0" w:rsidRPr="00FD211F">
        <w:rPr>
          <w:sz w:val="36"/>
          <w:szCs w:val="36"/>
          <w:rtl/>
        </w:rPr>
        <w:t>كقوله</w:t>
      </w:r>
      <w:r w:rsidR="00E8128F">
        <w:rPr>
          <w:sz w:val="36"/>
          <w:szCs w:val="36"/>
          <w:rtl/>
        </w:rPr>
        <w:t xml:space="preserve"> </w:t>
      </w:r>
      <w:r w:rsidR="00DF56B0" w:rsidRPr="00FD211F">
        <w:rPr>
          <w:sz w:val="36"/>
          <w:szCs w:val="36"/>
          <w:rtl/>
        </w:rPr>
        <w:t>كل</w:t>
      </w:r>
      <w:r w:rsidR="00E8128F">
        <w:rPr>
          <w:sz w:val="36"/>
          <w:szCs w:val="36"/>
          <w:rtl/>
        </w:rPr>
        <w:t xml:space="preserve"> </w:t>
      </w:r>
      <w:r w:rsidR="00DF56B0" w:rsidRPr="00FD211F">
        <w:rPr>
          <w:sz w:val="36"/>
          <w:szCs w:val="36"/>
          <w:rtl/>
        </w:rPr>
        <w:t>دم</w:t>
      </w:r>
      <w:r w:rsidR="00E8128F">
        <w:rPr>
          <w:sz w:val="36"/>
          <w:szCs w:val="36"/>
          <w:rtl/>
        </w:rPr>
        <w:t xml:space="preserve"> </w:t>
      </w:r>
      <w:r w:rsidR="00DF56B0" w:rsidRPr="00FD211F">
        <w:rPr>
          <w:sz w:val="36"/>
          <w:szCs w:val="36"/>
          <w:rtl/>
        </w:rPr>
        <w:t>نجس</w:t>
      </w:r>
      <w:r w:rsidR="00603323" w:rsidRPr="00FD211F">
        <w:rPr>
          <w:sz w:val="36"/>
          <w:szCs w:val="36"/>
          <w:rtl/>
        </w:rPr>
        <w:t>،</w:t>
      </w:r>
      <w:r w:rsidR="00E8128F">
        <w:rPr>
          <w:sz w:val="36"/>
          <w:szCs w:val="36"/>
          <w:rtl/>
        </w:rPr>
        <w:t xml:space="preserve"> </w:t>
      </w:r>
      <w:r w:rsidR="00DF56B0" w:rsidRPr="00FD211F">
        <w:rPr>
          <w:sz w:val="36"/>
          <w:szCs w:val="36"/>
          <w:rtl/>
        </w:rPr>
        <w:t>حيث</w:t>
      </w:r>
      <w:r w:rsidR="00E8128F">
        <w:rPr>
          <w:sz w:val="36"/>
          <w:szCs w:val="36"/>
          <w:rtl/>
        </w:rPr>
        <w:t xml:space="preserve"> </w:t>
      </w:r>
      <w:r w:rsidR="00DF56B0" w:rsidRPr="00FD211F">
        <w:rPr>
          <w:sz w:val="36"/>
          <w:szCs w:val="36"/>
          <w:rtl/>
        </w:rPr>
        <w:t>ينصب</w:t>
      </w:r>
      <w:r w:rsidR="008A3DE8" w:rsidRPr="00FD211F">
        <w:rPr>
          <w:sz w:val="36"/>
          <w:szCs w:val="36"/>
          <w:rtl/>
        </w:rPr>
        <w:t>ّ</w:t>
      </w:r>
      <w:r w:rsidR="00E8128F">
        <w:rPr>
          <w:sz w:val="36"/>
          <w:szCs w:val="36"/>
          <w:rtl/>
        </w:rPr>
        <w:t xml:space="preserve"> </w:t>
      </w:r>
      <w:r w:rsidR="00DF56B0" w:rsidRPr="00FD211F">
        <w:rPr>
          <w:sz w:val="36"/>
          <w:szCs w:val="36"/>
          <w:rtl/>
        </w:rPr>
        <w:t>الجعل</w:t>
      </w:r>
      <w:r w:rsidR="00E8128F">
        <w:rPr>
          <w:sz w:val="36"/>
          <w:szCs w:val="36"/>
          <w:rtl/>
        </w:rPr>
        <w:t xml:space="preserve"> </w:t>
      </w:r>
      <w:r w:rsidR="00DF56B0" w:rsidRPr="00FD211F">
        <w:rPr>
          <w:sz w:val="36"/>
          <w:szCs w:val="36"/>
          <w:rtl/>
        </w:rPr>
        <w:t>فيه</w:t>
      </w:r>
      <w:r w:rsidR="00E8128F">
        <w:rPr>
          <w:sz w:val="36"/>
          <w:szCs w:val="36"/>
          <w:rtl/>
        </w:rPr>
        <w:t xml:space="preserve"> </w:t>
      </w:r>
      <w:r w:rsidR="00DF56B0" w:rsidRPr="00FD211F">
        <w:rPr>
          <w:sz w:val="36"/>
          <w:szCs w:val="36"/>
          <w:rtl/>
        </w:rPr>
        <w:t>على</w:t>
      </w:r>
      <w:r w:rsidR="00E8128F">
        <w:rPr>
          <w:sz w:val="36"/>
          <w:szCs w:val="36"/>
          <w:rtl/>
        </w:rPr>
        <w:t xml:space="preserve"> </w:t>
      </w:r>
      <w:r w:rsidR="00DF56B0" w:rsidRPr="00FD211F">
        <w:rPr>
          <w:sz w:val="36"/>
          <w:szCs w:val="36"/>
          <w:rtl/>
        </w:rPr>
        <w:t>الأفراد</w:t>
      </w:r>
      <w:r w:rsidR="00603323" w:rsidRPr="00FD211F">
        <w:rPr>
          <w:sz w:val="36"/>
          <w:szCs w:val="36"/>
          <w:rtl/>
        </w:rPr>
        <w:t>،</w:t>
      </w:r>
      <w:r w:rsidR="00E8128F">
        <w:rPr>
          <w:sz w:val="36"/>
          <w:szCs w:val="36"/>
          <w:rtl/>
        </w:rPr>
        <w:t xml:space="preserve"> </w:t>
      </w:r>
      <w:r w:rsidR="00DF56B0" w:rsidRPr="00FD211F">
        <w:rPr>
          <w:sz w:val="36"/>
          <w:szCs w:val="36"/>
          <w:rtl/>
        </w:rPr>
        <w:t>فيجعل</w:t>
      </w:r>
      <w:r w:rsidR="00E8128F">
        <w:rPr>
          <w:sz w:val="36"/>
          <w:szCs w:val="36"/>
          <w:rtl/>
        </w:rPr>
        <w:t xml:space="preserve"> </w:t>
      </w:r>
      <w:r w:rsidR="00DF56B0" w:rsidRPr="00FD211F">
        <w:rPr>
          <w:sz w:val="36"/>
          <w:szCs w:val="36"/>
          <w:rtl/>
        </w:rPr>
        <w:t>لكل</w:t>
      </w:r>
      <w:r w:rsidR="00E8128F">
        <w:rPr>
          <w:sz w:val="36"/>
          <w:szCs w:val="36"/>
          <w:rtl/>
        </w:rPr>
        <w:t xml:space="preserve"> </w:t>
      </w:r>
      <w:r w:rsidR="00DF56B0" w:rsidRPr="00FD211F">
        <w:rPr>
          <w:sz w:val="36"/>
          <w:szCs w:val="36"/>
          <w:rtl/>
        </w:rPr>
        <w:t>فرد</w:t>
      </w:r>
      <w:r w:rsidR="00E8128F">
        <w:rPr>
          <w:sz w:val="36"/>
          <w:szCs w:val="36"/>
          <w:rtl/>
        </w:rPr>
        <w:t xml:space="preserve"> </w:t>
      </w:r>
      <w:r w:rsidR="00DF56B0" w:rsidRPr="00FD211F">
        <w:rPr>
          <w:sz w:val="36"/>
          <w:szCs w:val="36"/>
          <w:rtl/>
        </w:rPr>
        <w:t>حكما</w:t>
      </w:r>
      <w:r w:rsidR="00E8128F">
        <w:rPr>
          <w:sz w:val="36"/>
          <w:szCs w:val="36"/>
          <w:rtl/>
        </w:rPr>
        <w:t xml:space="preserve"> </w:t>
      </w:r>
      <w:r w:rsidR="00DF56B0" w:rsidRPr="00FD211F">
        <w:rPr>
          <w:sz w:val="36"/>
          <w:szCs w:val="36"/>
          <w:rtl/>
        </w:rPr>
        <w:t>على</w:t>
      </w:r>
      <w:r w:rsidR="00E8128F">
        <w:rPr>
          <w:sz w:val="36"/>
          <w:szCs w:val="36"/>
          <w:rtl/>
        </w:rPr>
        <w:t xml:space="preserve"> </w:t>
      </w:r>
      <w:r w:rsidR="00DF56B0" w:rsidRPr="00FD211F">
        <w:rPr>
          <w:sz w:val="36"/>
          <w:szCs w:val="36"/>
          <w:rtl/>
        </w:rPr>
        <w:t>نح</w:t>
      </w:r>
      <w:r w:rsidR="00574C78" w:rsidRPr="00FD211F">
        <w:rPr>
          <w:sz w:val="36"/>
          <w:szCs w:val="36"/>
          <w:rtl/>
        </w:rPr>
        <w:t>و</w:t>
      </w:r>
      <w:r w:rsidR="00E8128F">
        <w:rPr>
          <w:sz w:val="36"/>
          <w:szCs w:val="36"/>
          <w:rtl/>
        </w:rPr>
        <w:t xml:space="preserve"> </w:t>
      </w:r>
      <w:r w:rsidR="00574C78" w:rsidRPr="00FD211F">
        <w:rPr>
          <w:sz w:val="36"/>
          <w:szCs w:val="36"/>
          <w:rtl/>
        </w:rPr>
        <w:t>الوضع</w:t>
      </w:r>
      <w:r w:rsidR="00E8128F">
        <w:rPr>
          <w:sz w:val="36"/>
          <w:szCs w:val="36"/>
          <w:rtl/>
        </w:rPr>
        <w:t xml:space="preserve"> </w:t>
      </w:r>
      <w:r w:rsidR="00574C78" w:rsidRPr="00FD211F">
        <w:rPr>
          <w:sz w:val="36"/>
          <w:szCs w:val="36"/>
          <w:rtl/>
        </w:rPr>
        <w:t>العام</w:t>
      </w:r>
      <w:r w:rsidR="00E8128F">
        <w:rPr>
          <w:sz w:val="36"/>
          <w:szCs w:val="36"/>
          <w:rtl/>
        </w:rPr>
        <w:t xml:space="preserve"> </w:t>
      </w:r>
      <w:r w:rsidR="00574C78" w:rsidRPr="00FD211F">
        <w:rPr>
          <w:sz w:val="36"/>
          <w:szCs w:val="36"/>
          <w:rtl/>
        </w:rPr>
        <w:t>والموضوع</w:t>
      </w:r>
      <w:r w:rsidR="00E8128F">
        <w:rPr>
          <w:sz w:val="36"/>
          <w:szCs w:val="36"/>
          <w:rtl/>
        </w:rPr>
        <w:t xml:space="preserve"> </w:t>
      </w:r>
      <w:r w:rsidR="00574C78" w:rsidRPr="00FD211F">
        <w:rPr>
          <w:sz w:val="36"/>
          <w:szCs w:val="36"/>
          <w:rtl/>
        </w:rPr>
        <w:t>له</w:t>
      </w:r>
      <w:r w:rsidR="00E8128F">
        <w:rPr>
          <w:sz w:val="36"/>
          <w:szCs w:val="36"/>
          <w:rtl/>
        </w:rPr>
        <w:t xml:space="preserve"> </w:t>
      </w:r>
      <w:r w:rsidR="00574C78" w:rsidRPr="00FD211F">
        <w:rPr>
          <w:sz w:val="36"/>
          <w:szCs w:val="36"/>
          <w:rtl/>
        </w:rPr>
        <w:t>الخاص-</w:t>
      </w:r>
      <w:r w:rsidR="00E8128F">
        <w:rPr>
          <w:sz w:val="36"/>
          <w:szCs w:val="36"/>
          <w:rtl/>
        </w:rPr>
        <w:t xml:space="preserve"> </w:t>
      </w:r>
      <w:r w:rsidR="00574C78" w:rsidRPr="00FD211F">
        <w:rPr>
          <w:sz w:val="36"/>
          <w:szCs w:val="36"/>
          <w:rtl/>
        </w:rPr>
        <w:t>كما</w:t>
      </w:r>
      <w:r w:rsidR="00E8128F">
        <w:rPr>
          <w:sz w:val="36"/>
          <w:szCs w:val="36"/>
          <w:rtl/>
        </w:rPr>
        <w:t xml:space="preserve"> </w:t>
      </w:r>
      <w:r w:rsidR="00574C78" w:rsidRPr="00FD211F">
        <w:rPr>
          <w:sz w:val="36"/>
          <w:szCs w:val="36"/>
          <w:rtl/>
        </w:rPr>
        <w:t>لوقال</w:t>
      </w:r>
      <w:r w:rsidR="00E8128F">
        <w:rPr>
          <w:sz w:val="36"/>
          <w:szCs w:val="36"/>
          <w:rtl/>
        </w:rPr>
        <w:t xml:space="preserve"> </w:t>
      </w:r>
      <w:r w:rsidR="00574C78" w:rsidRPr="00FD211F">
        <w:rPr>
          <w:sz w:val="36"/>
          <w:szCs w:val="36"/>
          <w:rtl/>
        </w:rPr>
        <w:t>الزعيم</w:t>
      </w:r>
      <w:r w:rsidR="00E8128F">
        <w:rPr>
          <w:sz w:val="36"/>
          <w:szCs w:val="36"/>
          <w:rtl/>
        </w:rPr>
        <w:t xml:space="preserve"> </w:t>
      </w:r>
      <w:r w:rsidR="00574C78" w:rsidRPr="00FD211F">
        <w:rPr>
          <w:sz w:val="36"/>
          <w:szCs w:val="36"/>
          <w:rtl/>
        </w:rPr>
        <w:t>في</w:t>
      </w:r>
      <w:r w:rsidR="00E8128F">
        <w:rPr>
          <w:sz w:val="36"/>
          <w:szCs w:val="36"/>
          <w:rtl/>
        </w:rPr>
        <w:t xml:space="preserve"> </w:t>
      </w:r>
      <w:r w:rsidR="00574C78" w:rsidRPr="00FD211F">
        <w:rPr>
          <w:sz w:val="36"/>
          <w:szCs w:val="36"/>
          <w:rtl/>
        </w:rPr>
        <w:t>يوم</w:t>
      </w:r>
      <w:r w:rsidR="00E8128F">
        <w:rPr>
          <w:sz w:val="36"/>
          <w:szCs w:val="36"/>
          <w:rtl/>
        </w:rPr>
        <w:t xml:space="preserve"> </w:t>
      </w:r>
      <w:r w:rsidR="00574C78" w:rsidRPr="00FD211F">
        <w:rPr>
          <w:sz w:val="36"/>
          <w:szCs w:val="36"/>
          <w:rtl/>
        </w:rPr>
        <w:t>الغدير"</w:t>
      </w:r>
      <w:r w:rsidR="00E8128F">
        <w:rPr>
          <w:sz w:val="36"/>
          <w:szCs w:val="36"/>
          <w:rtl/>
        </w:rPr>
        <w:t xml:space="preserve"> </w:t>
      </w:r>
      <w:r w:rsidR="00574C78" w:rsidRPr="00FD211F">
        <w:rPr>
          <w:sz w:val="36"/>
          <w:szCs w:val="36"/>
          <w:rtl/>
        </w:rPr>
        <w:t>وضعت</w:t>
      </w:r>
      <w:r w:rsidR="00E8128F">
        <w:rPr>
          <w:sz w:val="36"/>
          <w:szCs w:val="36"/>
          <w:rtl/>
        </w:rPr>
        <w:t xml:space="preserve"> </w:t>
      </w:r>
      <w:r w:rsidR="00574C78" w:rsidRPr="00FD211F">
        <w:rPr>
          <w:sz w:val="36"/>
          <w:szCs w:val="36"/>
          <w:rtl/>
        </w:rPr>
        <w:t>اسم</w:t>
      </w:r>
      <w:r w:rsidR="00E8128F">
        <w:rPr>
          <w:sz w:val="36"/>
          <w:szCs w:val="36"/>
          <w:rtl/>
        </w:rPr>
        <w:t xml:space="preserve"> </w:t>
      </w:r>
      <w:r w:rsidR="00574C78" w:rsidRPr="00FD211F">
        <w:rPr>
          <w:sz w:val="36"/>
          <w:szCs w:val="36"/>
          <w:rtl/>
        </w:rPr>
        <w:t>عليّ</w:t>
      </w:r>
      <w:r w:rsidR="00E8128F">
        <w:rPr>
          <w:sz w:val="36"/>
          <w:szCs w:val="36"/>
          <w:rtl/>
        </w:rPr>
        <w:t xml:space="preserve"> </w:t>
      </w:r>
      <w:r w:rsidR="00574C78" w:rsidRPr="00FD211F">
        <w:rPr>
          <w:sz w:val="36"/>
          <w:szCs w:val="36"/>
          <w:rtl/>
        </w:rPr>
        <w:t>لكل</w:t>
      </w:r>
      <w:r w:rsidR="00E8128F">
        <w:rPr>
          <w:sz w:val="36"/>
          <w:szCs w:val="36"/>
          <w:rtl/>
        </w:rPr>
        <w:t xml:space="preserve"> </w:t>
      </w:r>
      <w:r w:rsidR="00574C78" w:rsidRPr="00FD211F">
        <w:rPr>
          <w:sz w:val="36"/>
          <w:szCs w:val="36"/>
          <w:rtl/>
        </w:rPr>
        <w:t>من</w:t>
      </w:r>
      <w:r w:rsidR="00E8128F">
        <w:rPr>
          <w:sz w:val="36"/>
          <w:szCs w:val="36"/>
          <w:rtl/>
        </w:rPr>
        <w:t xml:space="preserve"> </w:t>
      </w:r>
      <w:r w:rsidR="00574C78" w:rsidRPr="00FD211F">
        <w:rPr>
          <w:sz w:val="36"/>
          <w:szCs w:val="36"/>
          <w:rtl/>
        </w:rPr>
        <w:t>وُلد</w:t>
      </w:r>
      <w:r w:rsidR="00E8128F">
        <w:rPr>
          <w:sz w:val="36"/>
          <w:szCs w:val="36"/>
          <w:rtl/>
        </w:rPr>
        <w:t xml:space="preserve"> </w:t>
      </w:r>
      <w:r w:rsidR="00574C78" w:rsidRPr="00FD211F">
        <w:rPr>
          <w:sz w:val="36"/>
          <w:szCs w:val="36"/>
          <w:rtl/>
        </w:rPr>
        <w:t>في</w:t>
      </w:r>
      <w:r w:rsidR="00E8128F">
        <w:rPr>
          <w:sz w:val="36"/>
          <w:szCs w:val="36"/>
          <w:rtl/>
        </w:rPr>
        <w:t xml:space="preserve"> </w:t>
      </w:r>
      <w:r w:rsidR="00574C78" w:rsidRPr="00FD211F">
        <w:rPr>
          <w:sz w:val="36"/>
          <w:szCs w:val="36"/>
          <w:rtl/>
        </w:rPr>
        <w:t>هذا</w:t>
      </w:r>
      <w:r w:rsidR="00E8128F">
        <w:rPr>
          <w:sz w:val="36"/>
          <w:szCs w:val="36"/>
          <w:rtl/>
        </w:rPr>
        <w:t xml:space="preserve"> </w:t>
      </w:r>
      <w:r w:rsidR="00574C78" w:rsidRPr="00FD211F">
        <w:rPr>
          <w:sz w:val="36"/>
          <w:szCs w:val="36"/>
          <w:rtl/>
        </w:rPr>
        <w:t>اليوم-</w:t>
      </w:r>
      <w:r w:rsidR="00DF56B0" w:rsidRPr="00FD211F">
        <w:rPr>
          <w:sz w:val="36"/>
          <w:szCs w:val="36"/>
          <w:rtl/>
        </w:rPr>
        <w:t>بل</w:t>
      </w:r>
      <w:r w:rsidR="00E8128F">
        <w:rPr>
          <w:sz w:val="36"/>
          <w:szCs w:val="36"/>
          <w:rtl/>
        </w:rPr>
        <w:t xml:space="preserve"> </w:t>
      </w:r>
      <w:r w:rsidR="00DF56B0" w:rsidRPr="00FD211F">
        <w:rPr>
          <w:sz w:val="36"/>
          <w:szCs w:val="36"/>
          <w:rtl/>
        </w:rPr>
        <w:t>الظاهر</w:t>
      </w:r>
      <w:r w:rsidR="00E8128F">
        <w:rPr>
          <w:sz w:val="36"/>
          <w:szCs w:val="36"/>
          <w:rtl/>
        </w:rPr>
        <w:t xml:space="preserve"> </w:t>
      </w:r>
      <w:r w:rsidR="00DF56B0" w:rsidRPr="00FD211F">
        <w:rPr>
          <w:sz w:val="36"/>
          <w:szCs w:val="36"/>
          <w:rtl/>
        </w:rPr>
        <w:t>ان</w:t>
      </w:r>
      <w:r w:rsidR="00E8128F">
        <w:rPr>
          <w:sz w:val="36"/>
          <w:szCs w:val="36"/>
          <w:rtl/>
        </w:rPr>
        <w:t xml:space="preserve"> </w:t>
      </w:r>
      <w:r w:rsidR="00DF56B0" w:rsidRPr="00FD211F">
        <w:rPr>
          <w:sz w:val="36"/>
          <w:szCs w:val="36"/>
          <w:rtl/>
        </w:rPr>
        <w:t>الخطاب</w:t>
      </w:r>
      <w:r w:rsidR="00E8128F">
        <w:rPr>
          <w:sz w:val="36"/>
          <w:szCs w:val="36"/>
          <w:rtl/>
        </w:rPr>
        <w:t xml:space="preserve"> </w:t>
      </w:r>
      <w:r w:rsidR="00DF56B0" w:rsidRPr="00FD211F">
        <w:rPr>
          <w:sz w:val="36"/>
          <w:szCs w:val="36"/>
          <w:rtl/>
        </w:rPr>
        <w:t>المطلق</w:t>
      </w:r>
      <w:r w:rsidR="00E8128F">
        <w:rPr>
          <w:sz w:val="36"/>
          <w:szCs w:val="36"/>
          <w:rtl/>
        </w:rPr>
        <w:t xml:space="preserve"> </w:t>
      </w:r>
      <w:r w:rsidR="00DF56B0" w:rsidRPr="00FD211F">
        <w:rPr>
          <w:sz w:val="36"/>
          <w:szCs w:val="36"/>
          <w:rtl/>
        </w:rPr>
        <w:t>الشمولي</w:t>
      </w:r>
      <w:r w:rsidR="00E8128F">
        <w:rPr>
          <w:sz w:val="36"/>
          <w:szCs w:val="36"/>
          <w:rtl/>
        </w:rPr>
        <w:t xml:space="preserve"> </w:t>
      </w:r>
      <w:r w:rsidR="00DF56B0" w:rsidRPr="00FD211F">
        <w:rPr>
          <w:sz w:val="36"/>
          <w:szCs w:val="36"/>
          <w:rtl/>
        </w:rPr>
        <w:t>لايختلف</w:t>
      </w:r>
      <w:r w:rsidR="00E8128F">
        <w:rPr>
          <w:sz w:val="36"/>
          <w:szCs w:val="36"/>
          <w:rtl/>
        </w:rPr>
        <w:t xml:space="preserve"> </w:t>
      </w:r>
      <w:r w:rsidR="00DF56B0" w:rsidRPr="00FD211F">
        <w:rPr>
          <w:sz w:val="36"/>
          <w:szCs w:val="36"/>
          <w:rtl/>
        </w:rPr>
        <w:t>عن</w:t>
      </w:r>
      <w:r w:rsidR="00E8128F">
        <w:rPr>
          <w:sz w:val="36"/>
          <w:szCs w:val="36"/>
          <w:rtl/>
        </w:rPr>
        <w:t xml:space="preserve"> </w:t>
      </w:r>
      <w:r w:rsidR="00DF56B0" w:rsidRPr="00FD211F">
        <w:rPr>
          <w:sz w:val="36"/>
          <w:szCs w:val="36"/>
          <w:rtl/>
        </w:rPr>
        <w:t>الخطاب</w:t>
      </w:r>
      <w:r w:rsidR="00E8128F">
        <w:rPr>
          <w:sz w:val="36"/>
          <w:szCs w:val="36"/>
          <w:rtl/>
        </w:rPr>
        <w:t xml:space="preserve"> </w:t>
      </w:r>
      <w:r w:rsidR="00DF56B0" w:rsidRPr="00FD211F">
        <w:rPr>
          <w:sz w:val="36"/>
          <w:szCs w:val="36"/>
          <w:rtl/>
        </w:rPr>
        <w:t>العام</w:t>
      </w:r>
      <w:r w:rsidR="00E8128F">
        <w:rPr>
          <w:sz w:val="36"/>
          <w:szCs w:val="36"/>
          <w:rtl/>
        </w:rPr>
        <w:t xml:space="preserve"> </w:t>
      </w:r>
      <w:r w:rsidR="00DF56B0" w:rsidRPr="00FD211F">
        <w:rPr>
          <w:sz w:val="36"/>
          <w:szCs w:val="36"/>
          <w:rtl/>
        </w:rPr>
        <w:t>الشمولي</w:t>
      </w:r>
      <w:r w:rsidR="00E8128F">
        <w:rPr>
          <w:sz w:val="36"/>
          <w:szCs w:val="36"/>
          <w:rtl/>
        </w:rPr>
        <w:t xml:space="preserve"> </w:t>
      </w:r>
      <w:r w:rsidR="00DF56B0" w:rsidRPr="00FD211F">
        <w:rPr>
          <w:sz w:val="36"/>
          <w:szCs w:val="36"/>
          <w:rtl/>
        </w:rPr>
        <w:t>ثبوتا</w:t>
      </w:r>
      <w:r w:rsidR="00E8128F">
        <w:rPr>
          <w:sz w:val="36"/>
          <w:szCs w:val="36"/>
          <w:rtl/>
        </w:rPr>
        <w:t xml:space="preserve"> </w:t>
      </w:r>
      <w:r w:rsidR="00DF56B0" w:rsidRPr="00FD211F">
        <w:rPr>
          <w:sz w:val="36"/>
          <w:szCs w:val="36"/>
          <w:rtl/>
        </w:rPr>
        <w:t>وانما</w:t>
      </w:r>
      <w:r w:rsidR="00E8128F">
        <w:rPr>
          <w:sz w:val="36"/>
          <w:szCs w:val="36"/>
          <w:rtl/>
        </w:rPr>
        <w:t xml:space="preserve"> </w:t>
      </w:r>
      <w:r w:rsidR="00DF56B0" w:rsidRPr="00FD211F">
        <w:rPr>
          <w:sz w:val="36"/>
          <w:szCs w:val="36"/>
          <w:rtl/>
        </w:rPr>
        <w:t>الاختلاف</w:t>
      </w:r>
      <w:r w:rsidR="00E8128F">
        <w:rPr>
          <w:sz w:val="36"/>
          <w:szCs w:val="36"/>
          <w:rtl/>
        </w:rPr>
        <w:t xml:space="preserve"> </w:t>
      </w:r>
      <w:r w:rsidR="00DF56B0" w:rsidRPr="00FD211F">
        <w:rPr>
          <w:sz w:val="36"/>
          <w:szCs w:val="36"/>
          <w:rtl/>
        </w:rPr>
        <w:t>بينهما</w:t>
      </w:r>
      <w:r w:rsidR="00E8128F">
        <w:rPr>
          <w:sz w:val="36"/>
          <w:szCs w:val="36"/>
          <w:rtl/>
        </w:rPr>
        <w:t xml:space="preserve"> </w:t>
      </w:r>
      <w:r w:rsidR="00DF56B0" w:rsidRPr="00FD211F">
        <w:rPr>
          <w:sz w:val="36"/>
          <w:szCs w:val="36"/>
          <w:rtl/>
        </w:rPr>
        <w:t>في</w:t>
      </w:r>
      <w:r w:rsidR="00E8128F">
        <w:rPr>
          <w:sz w:val="36"/>
          <w:szCs w:val="36"/>
          <w:rtl/>
        </w:rPr>
        <w:t xml:space="preserve"> </w:t>
      </w:r>
      <w:r w:rsidR="00DF56B0" w:rsidRPr="00FD211F">
        <w:rPr>
          <w:sz w:val="36"/>
          <w:szCs w:val="36"/>
          <w:rtl/>
        </w:rPr>
        <w:t>مقام</w:t>
      </w:r>
      <w:r w:rsidR="00E8128F">
        <w:rPr>
          <w:sz w:val="36"/>
          <w:szCs w:val="36"/>
          <w:rtl/>
        </w:rPr>
        <w:t xml:space="preserve"> </w:t>
      </w:r>
      <w:r w:rsidR="00DF56B0" w:rsidRPr="00FD211F">
        <w:rPr>
          <w:sz w:val="36"/>
          <w:szCs w:val="36"/>
          <w:rtl/>
        </w:rPr>
        <w:t>الاثبات</w:t>
      </w:r>
      <w:r w:rsidR="00603323" w:rsidRPr="00FD211F">
        <w:rPr>
          <w:sz w:val="36"/>
          <w:szCs w:val="36"/>
          <w:rtl/>
        </w:rPr>
        <w:t>،</w:t>
      </w:r>
      <w:r w:rsidR="00E8128F">
        <w:rPr>
          <w:sz w:val="36"/>
          <w:szCs w:val="36"/>
          <w:rtl/>
        </w:rPr>
        <w:t xml:space="preserve"> </w:t>
      </w:r>
      <w:r w:rsidR="00DF56B0" w:rsidRPr="00FD211F">
        <w:rPr>
          <w:sz w:val="36"/>
          <w:szCs w:val="36"/>
          <w:rtl/>
        </w:rPr>
        <w:t>ولولا</w:t>
      </w:r>
      <w:r w:rsidR="00E8128F">
        <w:rPr>
          <w:sz w:val="36"/>
          <w:szCs w:val="36"/>
          <w:rtl/>
        </w:rPr>
        <w:t xml:space="preserve"> </w:t>
      </w:r>
      <w:r w:rsidR="00DF56B0" w:rsidRPr="00FD211F">
        <w:rPr>
          <w:sz w:val="36"/>
          <w:szCs w:val="36"/>
          <w:rtl/>
        </w:rPr>
        <w:t>ذلك</w:t>
      </w:r>
      <w:r w:rsidR="00E8128F">
        <w:rPr>
          <w:sz w:val="36"/>
          <w:szCs w:val="36"/>
          <w:rtl/>
        </w:rPr>
        <w:t xml:space="preserve"> </w:t>
      </w:r>
      <w:r w:rsidR="008D7B3D" w:rsidRPr="00FD211F">
        <w:rPr>
          <w:sz w:val="36"/>
          <w:szCs w:val="36"/>
          <w:rtl/>
        </w:rPr>
        <w:t>لم‌</w:t>
      </w:r>
      <w:r w:rsidR="00DF56B0" w:rsidRPr="00FD211F">
        <w:rPr>
          <w:sz w:val="36"/>
          <w:szCs w:val="36"/>
          <w:rtl/>
        </w:rPr>
        <w:t>يتيسر</w:t>
      </w:r>
      <w:r w:rsidR="00E8128F">
        <w:rPr>
          <w:sz w:val="36"/>
          <w:szCs w:val="36"/>
          <w:rtl/>
        </w:rPr>
        <w:t xml:space="preserve"> </w:t>
      </w:r>
      <w:r w:rsidR="00DF56B0" w:rsidRPr="00FD211F">
        <w:rPr>
          <w:sz w:val="36"/>
          <w:szCs w:val="36"/>
          <w:rtl/>
        </w:rPr>
        <w:t>إبداء</w:t>
      </w:r>
      <w:r w:rsidR="00E8128F">
        <w:rPr>
          <w:sz w:val="36"/>
          <w:szCs w:val="36"/>
          <w:rtl/>
        </w:rPr>
        <w:t xml:space="preserve"> </w:t>
      </w:r>
      <w:r w:rsidR="00DF56B0" w:rsidRPr="00FD211F">
        <w:rPr>
          <w:sz w:val="36"/>
          <w:szCs w:val="36"/>
          <w:rtl/>
        </w:rPr>
        <w:t>الفرق</w:t>
      </w:r>
      <w:r w:rsidR="00E8128F">
        <w:rPr>
          <w:sz w:val="36"/>
          <w:szCs w:val="36"/>
          <w:rtl/>
        </w:rPr>
        <w:t xml:space="preserve"> </w:t>
      </w:r>
      <w:r w:rsidR="00DF56B0" w:rsidRPr="00FD211F">
        <w:rPr>
          <w:sz w:val="36"/>
          <w:szCs w:val="36"/>
          <w:rtl/>
        </w:rPr>
        <w:t>بين</w:t>
      </w:r>
      <w:r w:rsidR="00E8128F">
        <w:rPr>
          <w:sz w:val="36"/>
          <w:szCs w:val="36"/>
          <w:rtl/>
        </w:rPr>
        <w:t xml:space="preserve"> </w:t>
      </w:r>
      <w:r w:rsidR="00DF56B0" w:rsidRPr="00FD211F">
        <w:rPr>
          <w:sz w:val="36"/>
          <w:szCs w:val="36"/>
          <w:rtl/>
        </w:rPr>
        <w:t>خطاب</w:t>
      </w:r>
      <w:r w:rsidR="00E8128F">
        <w:rPr>
          <w:sz w:val="36"/>
          <w:szCs w:val="36"/>
          <w:rtl/>
        </w:rPr>
        <w:t xml:space="preserve"> </w:t>
      </w:r>
      <w:r w:rsidR="00DF56B0" w:rsidRPr="00FD211F">
        <w:rPr>
          <w:sz w:val="36"/>
          <w:szCs w:val="36"/>
          <w:rtl/>
        </w:rPr>
        <w:t>النهي</w:t>
      </w:r>
      <w:r w:rsidR="00E8128F">
        <w:rPr>
          <w:sz w:val="36"/>
          <w:szCs w:val="36"/>
          <w:rtl/>
        </w:rPr>
        <w:t xml:space="preserve"> </w:t>
      </w:r>
      <w:r w:rsidR="00DF56B0" w:rsidRPr="00FD211F">
        <w:rPr>
          <w:sz w:val="36"/>
          <w:szCs w:val="36"/>
          <w:rtl/>
        </w:rPr>
        <w:t>عن</w:t>
      </w:r>
      <w:r w:rsidR="00E8128F">
        <w:rPr>
          <w:sz w:val="36"/>
          <w:szCs w:val="36"/>
          <w:rtl/>
        </w:rPr>
        <w:t xml:space="preserve"> </w:t>
      </w:r>
      <w:r w:rsidR="00DF56B0" w:rsidRPr="00FD211F">
        <w:rPr>
          <w:sz w:val="36"/>
          <w:szCs w:val="36"/>
          <w:rtl/>
        </w:rPr>
        <w:t>صرف</w:t>
      </w:r>
      <w:r w:rsidR="00E8128F">
        <w:rPr>
          <w:sz w:val="36"/>
          <w:szCs w:val="36"/>
          <w:rtl/>
        </w:rPr>
        <w:t xml:space="preserve"> </w:t>
      </w:r>
      <w:r w:rsidR="00DF56B0" w:rsidRPr="00FD211F">
        <w:rPr>
          <w:sz w:val="36"/>
          <w:szCs w:val="36"/>
          <w:rtl/>
        </w:rPr>
        <w:t>الوجود</w:t>
      </w:r>
      <w:r w:rsidR="00E8128F">
        <w:rPr>
          <w:sz w:val="36"/>
          <w:szCs w:val="36"/>
          <w:rtl/>
        </w:rPr>
        <w:t xml:space="preserve"> </w:t>
      </w:r>
      <w:r w:rsidR="00DF56B0" w:rsidRPr="00FD211F">
        <w:rPr>
          <w:sz w:val="36"/>
          <w:szCs w:val="36"/>
          <w:rtl/>
        </w:rPr>
        <w:t>وبين</w:t>
      </w:r>
      <w:r w:rsidR="00E8128F">
        <w:rPr>
          <w:sz w:val="36"/>
          <w:szCs w:val="36"/>
          <w:rtl/>
        </w:rPr>
        <w:t xml:space="preserve"> </w:t>
      </w:r>
      <w:r w:rsidR="00DF56B0" w:rsidRPr="00FD211F">
        <w:rPr>
          <w:sz w:val="36"/>
          <w:szCs w:val="36"/>
          <w:rtl/>
        </w:rPr>
        <w:t>خطاب</w:t>
      </w:r>
      <w:r w:rsidR="00E8128F">
        <w:rPr>
          <w:sz w:val="36"/>
          <w:szCs w:val="36"/>
          <w:rtl/>
        </w:rPr>
        <w:t xml:space="preserve"> </w:t>
      </w:r>
      <w:r w:rsidR="00DF56B0" w:rsidRPr="00FD211F">
        <w:rPr>
          <w:sz w:val="36"/>
          <w:szCs w:val="36"/>
          <w:rtl/>
        </w:rPr>
        <w:t>النهي</w:t>
      </w:r>
      <w:r w:rsidR="00E8128F">
        <w:rPr>
          <w:sz w:val="36"/>
          <w:szCs w:val="36"/>
          <w:rtl/>
        </w:rPr>
        <w:t xml:space="preserve"> </w:t>
      </w:r>
      <w:r w:rsidR="00DF56B0" w:rsidRPr="00FD211F">
        <w:rPr>
          <w:sz w:val="36"/>
          <w:szCs w:val="36"/>
          <w:rtl/>
        </w:rPr>
        <w:t>عن</w:t>
      </w:r>
      <w:r w:rsidR="00E8128F">
        <w:rPr>
          <w:sz w:val="36"/>
          <w:szCs w:val="36"/>
          <w:rtl/>
        </w:rPr>
        <w:t xml:space="preserve"> </w:t>
      </w:r>
      <w:r w:rsidR="00DF56B0" w:rsidRPr="00FD211F">
        <w:rPr>
          <w:sz w:val="36"/>
          <w:szCs w:val="36"/>
          <w:rtl/>
        </w:rPr>
        <w:t>مطلق</w:t>
      </w:r>
      <w:r w:rsidR="00E8128F">
        <w:rPr>
          <w:sz w:val="36"/>
          <w:szCs w:val="36"/>
          <w:rtl/>
        </w:rPr>
        <w:t xml:space="preserve"> </w:t>
      </w:r>
      <w:r w:rsidR="00DF56B0" w:rsidRPr="00FD211F">
        <w:rPr>
          <w:sz w:val="36"/>
          <w:szCs w:val="36"/>
          <w:rtl/>
        </w:rPr>
        <w:t>الوجود</w:t>
      </w:r>
      <w:r w:rsidR="00E8128F">
        <w:rPr>
          <w:sz w:val="36"/>
          <w:szCs w:val="36"/>
          <w:rtl/>
        </w:rPr>
        <w:t xml:space="preserve"> </w:t>
      </w:r>
      <w:r w:rsidR="00DF56B0" w:rsidRPr="00FD211F">
        <w:rPr>
          <w:sz w:val="36"/>
          <w:szCs w:val="36"/>
          <w:rtl/>
        </w:rPr>
        <w:t>فقد</w:t>
      </w:r>
      <w:r w:rsidR="00E8128F">
        <w:rPr>
          <w:sz w:val="36"/>
          <w:szCs w:val="36"/>
          <w:rtl/>
        </w:rPr>
        <w:t xml:space="preserve"> </w:t>
      </w:r>
      <w:r w:rsidR="00DF56B0" w:rsidRPr="00FD211F">
        <w:rPr>
          <w:sz w:val="36"/>
          <w:szCs w:val="36"/>
          <w:rtl/>
        </w:rPr>
        <w:t>ينهى</w:t>
      </w:r>
      <w:r w:rsidR="00E8128F">
        <w:rPr>
          <w:sz w:val="36"/>
          <w:szCs w:val="36"/>
          <w:rtl/>
        </w:rPr>
        <w:t xml:space="preserve"> </w:t>
      </w:r>
      <w:r w:rsidR="00DF56B0" w:rsidRPr="00FD211F">
        <w:rPr>
          <w:sz w:val="36"/>
          <w:szCs w:val="36"/>
          <w:rtl/>
        </w:rPr>
        <w:t>المولى</w:t>
      </w:r>
      <w:r w:rsidR="00E8128F">
        <w:rPr>
          <w:sz w:val="36"/>
          <w:szCs w:val="36"/>
          <w:rtl/>
        </w:rPr>
        <w:t xml:space="preserve"> </w:t>
      </w:r>
      <w:r w:rsidR="00DF56B0" w:rsidRPr="00FD211F">
        <w:rPr>
          <w:sz w:val="36"/>
          <w:szCs w:val="36"/>
          <w:rtl/>
        </w:rPr>
        <w:t>عن</w:t>
      </w:r>
      <w:r w:rsidR="00E8128F">
        <w:rPr>
          <w:sz w:val="36"/>
          <w:szCs w:val="36"/>
          <w:rtl/>
        </w:rPr>
        <w:t xml:space="preserve"> </w:t>
      </w:r>
      <w:r w:rsidR="00DF56B0" w:rsidRPr="00FD211F">
        <w:rPr>
          <w:sz w:val="36"/>
          <w:szCs w:val="36"/>
          <w:rtl/>
        </w:rPr>
        <w:t>التكلم</w:t>
      </w:r>
      <w:r w:rsidR="00E8128F">
        <w:rPr>
          <w:sz w:val="36"/>
          <w:szCs w:val="36"/>
          <w:rtl/>
        </w:rPr>
        <w:t xml:space="preserve"> </w:t>
      </w:r>
      <w:r w:rsidR="00DF56B0" w:rsidRPr="00FD211F">
        <w:rPr>
          <w:sz w:val="36"/>
          <w:szCs w:val="36"/>
          <w:rtl/>
        </w:rPr>
        <w:t>على</w:t>
      </w:r>
      <w:r w:rsidR="00E8128F">
        <w:rPr>
          <w:sz w:val="36"/>
          <w:szCs w:val="36"/>
          <w:rtl/>
        </w:rPr>
        <w:t xml:space="preserve"> </w:t>
      </w:r>
      <w:r w:rsidR="00DF56B0" w:rsidRPr="00FD211F">
        <w:rPr>
          <w:sz w:val="36"/>
          <w:szCs w:val="36"/>
          <w:rtl/>
        </w:rPr>
        <w:t>نحو</w:t>
      </w:r>
      <w:r w:rsidR="00E8128F">
        <w:rPr>
          <w:sz w:val="36"/>
          <w:szCs w:val="36"/>
          <w:rtl/>
        </w:rPr>
        <w:t xml:space="preserve"> </w:t>
      </w:r>
      <w:r w:rsidR="00DF56B0" w:rsidRPr="00FD211F">
        <w:rPr>
          <w:sz w:val="36"/>
          <w:szCs w:val="36"/>
          <w:rtl/>
        </w:rPr>
        <w:t>النهي</w:t>
      </w:r>
      <w:r w:rsidR="00E8128F">
        <w:rPr>
          <w:sz w:val="36"/>
          <w:szCs w:val="36"/>
          <w:rtl/>
        </w:rPr>
        <w:t xml:space="preserve"> </w:t>
      </w:r>
      <w:r w:rsidR="00DF56B0" w:rsidRPr="00FD211F">
        <w:rPr>
          <w:sz w:val="36"/>
          <w:szCs w:val="36"/>
          <w:rtl/>
        </w:rPr>
        <w:t>عن</w:t>
      </w:r>
      <w:r w:rsidR="00E8128F">
        <w:rPr>
          <w:sz w:val="36"/>
          <w:szCs w:val="36"/>
          <w:rtl/>
        </w:rPr>
        <w:t xml:space="preserve"> </w:t>
      </w:r>
      <w:r w:rsidR="00DF56B0" w:rsidRPr="00FD211F">
        <w:rPr>
          <w:sz w:val="36"/>
          <w:szCs w:val="36"/>
          <w:rtl/>
        </w:rPr>
        <w:t>صرف</w:t>
      </w:r>
      <w:r w:rsidR="00E8128F">
        <w:rPr>
          <w:sz w:val="36"/>
          <w:szCs w:val="36"/>
          <w:rtl/>
        </w:rPr>
        <w:t xml:space="preserve"> </w:t>
      </w:r>
      <w:r w:rsidR="00DF56B0" w:rsidRPr="00FD211F">
        <w:rPr>
          <w:sz w:val="36"/>
          <w:szCs w:val="36"/>
          <w:rtl/>
        </w:rPr>
        <w:t>الوجود</w:t>
      </w:r>
      <w:r w:rsidR="00E8128F">
        <w:rPr>
          <w:sz w:val="36"/>
          <w:szCs w:val="36"/>
          <w:rtl/>
        </w:rPr>
        <w:t xml:space="preserve"> </w:t>
      </w:r>
      <w:r w:rsidR="00DF56B0" w:rsidRPr="00FD211F">
        <w:rPr>
          <w:sz w:val="36"/>
          <w:szCs w:val="36"/>
          <w:rtl/>
        </w:rPr>
        <w:t>بحيث</w:t>
      </w:r>
      <w:r w:rsidR="00E8128F">
        <w:rPr>
          <w:sz w:val="36"/>
          <w:szCs w:val="36"/>
          <w:rtl/>
        </w:rPr>
        <w:t xml:space="preserve"> </w:t>
      </w:r>
      <w:r w:rsidR="00DF56B0" w:rsidRPr="00FD211F">
        <w:rPr>
          <w:sz w:val="36"/>
          <w:szCs w:val="36"/>
          <w:rtl/>
        </w:rPr>
        <w:t>لو</w:t>
      </w:r>
      <w:r w:rsidR="00E8128F">
        <w:rPr>
          <w:sz w:val="36"/>
          <w:szCs w:val="36"/>
          <w:rtl/>
        </w:rPr>
        <w:t xml:space="preserve"> </w:t>
      </w:r>
      <w:r w:rsidR="00DF56B0" w:rsidRPr="00FD211F">
        <w:rPr>
          <w:sz w:val="36"/>
          <w:szCs w:val="36"/>
          <w:rtl/>
        </w:rPr>
        <w:t>تكلم</w:t>
      </w:r>
      <w:r w:rsidR="00E8128F">
        <w:rPr>
          <w:sz w:val="36"/>
          <w:szCs w:val="36"/>
          <w:rtl/>
        </w:rPr>
        <w:t xml:space="preserve"> </w:t>
      </w:r>
      <w:r w:rsidR="00DF56B0" w:rsidRPr="00FD211F">
        <w:rPr>
          <w:sz w:val="36"/>
          <w:szCs w:val="36"/>
          <w:rtl/>
        </w:rPr>
        <w:t>العبد</w:t>
      </w:r>
      <w:r w:rsidR="00E8128F">
        <w:rPr>
          <w:sz w:val="36"/>
          <w:szCs w:val="36"/>
          <w:rtl/>
        </w:rPr>
        <w:t xml:space="preserve"> </w:t>
      </w:r>
      <w:r w:rsidR="00DF56B0" w:rsidRPr="00FD211F">
        <w:rPr>
          <w:sz w:val="36"/>
          <w:szCs w:val="36"/>
          <w:rtl/>
        </w:rPr>
        <w:t>مر</w:t>
      </w:r>
      <w:r w:rsidR="00EC7EDF" w:rsidRPr="00FD211F">
        <w:rPr>
          <w:sz w:val="36"/>
          <w:szCs w:val="36"/>
          <w:rtl/>
        </w:rPr>
        <w:t>ة</w:t>
      </w:r>
      <w:r w:rsidR="00E8128F">
        <w:rPr>
          <w:sz w:val="36"/>
          <w:szCs w:val="36"/>
          <w:rtl/>
        </w:rPr>
        <w:t xml:space="preserve"> </w:t>
      </w:r>
      <w:r w:rsidR="00DF56B0" w:rsidRPr="00FD211F">
        <w:rPr>
          <w:sz w:val="36"/>
          <w:szCs w:val="36"/>
          <w:rtl/>
        </w:rPr>
        <w:t>واحد</w:t>
      </w:r>
      <w:r w:rsidR="00EC7EDF" w:rsidRPr="00FD211F">
        <w:rPr>
          <w:sz w:val="36"/>
          <w:szCs w:val="36"/>
          <w:rtl/>
        </w:rPr>
        <w:t>ة</w:t>
      </w:r>
      <w:r w:rsidR="00E8128F">
        <w:rPr>
          <w:sz w:val="36"/>
          <w:szCs w:val="36"/>
          <w:rtl/>
        </w:rPr>
        <w:t xml:space="preserve"> </w:t>
      </w:r>
      <w:r w:rsidR="00DF56B0" w:rsidRPr="00FD211F">
        <w:rPr>
          <w:sz w:val="36"/>
          <w:szCs w:val="36"/>
          <w:rtl/>
        </w:rPr>
        <w:t>لحصل</w:t>
      </w:r>
      <w:r w:rsidR="00E8128F">
        <w:rPr>
          <w:sz w:val="36"/>
          <w:szCs w:val="36"/>
          <w:rtl/>
        </w:rPr>
        <w:t xml:space="preserve"> </w:t>
      </w:r>
      <w:r w:rsidR="00DF56B0" w:rsidRPr="00FD211F">
        <w:rPr>
          <w:sz w:val="36"/>
          <w:szCs w:val="36"/>
          <w:rtl/>
        </w:rPr>
        <w:t>العصيان</w:t>
      </w:r>
      <w:r w:rsidR="00E8128F">
        <w:rPr>
          <w:sz w:val="36"/>
          <w:szCs w:val="36"/>
          <w:rtl/>
        </w:rPr>
        <w:t xml:space="preserve"> </w:t>
      </w:r>
      <w:r w:rsidR="00DF56B0" w:rsidRPr="00FD211F">
        <w:rPr>
          <w:sz w:val="36"/>
          <w:szCs w:val="36"/>
          <w:rtl/>
        </w:rPr>
        <w:t>وسقط</w:t>
      </w:r>
      <w:r w:rsidR="00E8128F">
        <w:rPr>
          <w:sz w:val="36"/>
          <w:szCs w:val="36"/>
          <w:rtl/>
        </w:rPr>
        <w:t xml:space="preserve"> </w:t>
      </w:r>
      <w:r w:rsidR="00DF56B0" w:rsidRPr="00FD211F">
        <w:rPr>
          <w:sz w:val="36"/>
          <w:szCs w:val="36"/>
          <w:rtl/>
        </w:rPr>
        <w:t>خطاب</w:t>
      </w:r>
      <w:r w:rsidR="00E8128F">
        <w:rPr>
          <w:sz w:val="36"/>
          <w:szCs w:val="36"/>
          <w:rtl/>
        </w:rPr>
        <w:t xml:space="preserve"> </w:t>
      </w:r>
      <w:r w:rsidR="00DF56B0" w:rsidRPr="00FD211F">
        <w:rPr>
          <w:sz w:val="36"/>
          <w:szCs w:val="36"/>
          <w:rtl/>
        </w:rPr>
        <w:t>النهي</w:t>
      </w:r>
      <w:r w:rsidR="00E8128F">
        <w:rPr>
          <w:sz w:val="36"/>
          <w:szCs w:val="36"/>
          <w:rtl/>
        </w:rPr>
        <w:t xml:space="preserve"> </w:t>
      </w:r>
      <w:r w:rsidR="00DF56B0" w:rsidRPr="00FD211F">
        <w:rPr>
          <w:sz w:val="36"/>
          <w:szCs w:val="36"/>
          <w:rtl/>
        </w:rPr>
        <w:t>رأسا</w:t>
      </w:r>
      <w:r w:rsidR="00603323" w:rsidRPr="00FD211F">
        <w:rPr>
          <w:sz w:val="36"/>
          <w:szCs w:val="36"/>
          <w:rtl/>
        </w:rPr>
        <w:t>،</w:t>
      </w:r>
      <w:r w:rsidR="00E8128F">
        <w:rPr>
          <w:sz w:val="36"/>
          <w:szCs w:val="36"/>
          <w:rtl/>
        </w:rPr>
        <w:t xml:space="preserve"> </w:t>
      </w:r>
      <w:r w:rsidR="00DF56B0" w:rsidRPr="00FD211F">
        <w:rPr>
          <w:sz w:val="36"/>
          <w:szCs w:val="36"/>
          <w:rtl/>
        </w:rPr>
        <w:t>وقد</w:t>
      </w:r>
      <w:r w:rsidR="00E8128F">
        <w:rPr>
          <w:sz w:val="36"/>
          <w:szCs w:val="36"/>
          <w:rtl/>
        </w:rPr>
        <w:t xml:space="preserve"> </w:t>
      </w:r>
      <w:r w:rsidR="00DF56B0" w:rsidRPr="00FD211F">
        <w:rPr>
          <w:sz w:val="36"/>
          <w:szCs w:val="36"/>
          <w:rtl/>
        </w:rPr>
        <w:t>ينهى</w:t>
      </w:r>
      <w:r w:rsidR="00E8128F">
        <w:rPr>
          <w:sz w:val="36"/>
          <w:szCs w:val="36"/>
          <w:rtl/>
        </w:rPr>
        <w:t xml:space="preserve"> </w:t>
      </w:r>
      <w:r w:rsidR="00DF56B0" w:rsidRPr="00FD211F">
        <w:rPr>
          <w:sz w:val="36"/>
          <w:szCs w:val="36"/>
          <w:rtl/>
        </w:rPr>
        <w:t>عن</w:t>
      </w:r>
      <w:r w:rsidR="00E8128F">
        <w:rPr>
          <w:sz w:val="36"/>
          <w:szCs w:val="36"/>
          <w:rtl/>
        </w:rPr>
        <w:t xml:space="preserve"> </w:t>
      </w:r>
      <w:r w:rsidR="00DF56B0" w:rsidRPr="00FD211F">
        <w:rPr>
          <w:sz w:val="36"/>
          <w:szCs w:val="36"/>
          <w:rtl/>
        </w:rPr>
        <w:t>التكلم</w:t>
      </w:r>
      <w:r w:rsidR="00E8128F">
        <w:rPr>
          <w:sz w:val="36"/>
          <w:szCs w:val="36"/>
          <w:rtl/>
        </w:rPr>
        <w:t xml:space="preserve"> </w:t>
      </w:r>
      <w:r w:rsidR="00DF56B0" w:rsidRPr="00FD211F">
        <w:rPr>
          <w:sz w:val="36"/>
          <w:szCs w:val="36"/>
          <w:rtl/>
        </w:rPr>
        <w:t>على</w:t>
      </w:r>
      <w:r w:rsidR="00E8128F">
        <w:rPr>
          <w:sz w:val="36"/>
          <w:szCs w:val="36"/>
          <w:rtl/>
        </w:rPr>
        <w:t xml:space="preserve"> </w:t>
      </w:r>
      <w:r w:rsidR="00DF56B0" w:rsidRPr="00FD211F">
        <w:rPr>
          <w:sz w:val="36"/>
          <w:szCs w:val="36"/>
          <w:rtl/>
        </w:rPr>
        <w:t>نحو</w:t>
      </w:r>
      <w:r w:rsidR="00E8128F">
        <w:rPr>
          <w:sz w:val="36"/>
          <w:szCs w:val="36"/>
          <w:rtl/>
        </w:rPr>
        <w:t xml:space="preserve"> </w:t>
      </w:r>
      <w:r w:rsidR="00DF56B0" w:rsidRPr="00FD211F">
        <w:rPr>
          <w:sz w:val="36"/>
          <w:szCs w:val="36"/>
          <w:rtl/>
        </w:rPr>
        <w:t>المطلق</w:t>
      </w:r>
      <w:r w:rsidR="00E8128F">
        <w:rPr>
          <w:sz w:val="36"/>
          <w:szCs w:val="36"/>
          <w:rtl/>
        </w:rPr>
        <w:t xml:space="preserve"> </w:t>
      </w:r>
      <w:r w:rsidR="00DF56B0" w:rsidRPr="00FD211F">
        <w:rPr>
          <w:sz w:val="36"/>
          <w:szCs w:val="36"/>
          <w:rtl/>
        </w:rPr>
        <w:t>الشمولى</w:t>
      </w:r>
      <w:r w:rsidR="00E8128F">
        <w:rPr>
          <w:sz w:val="36"/>
          <w:szCs w:val="36"/>
          <w:rtl/>
        </w:rPr>
        <w:t xml:space="preserve"> </w:t>
      </w:r>
      <w:r w:rsidR="00DF56B0" w:rsidRPr="00FD211F">
        <w:rPr>
          <w:sz w:val="36"/>
          <w:szCs w:val="36"/>
          <w:rtl/>
        </w:rPr>
        <w:t>بحيث</w:t>
      </w:r>
      <w:r w:rsidR="00E8128F">
        <w:rPr>
          <w:sz w:val="36"/>
          <w:szCs w:val="36"/>
          <w:rtl/>
        </w:rPr>
        <w:t xml:space="preserve"> </w:t>
      </w:r>
      <w:r w:rsidR="00DF56B0" w:rsidRPr="00FD211F">
        <w:rPr>
          <w:sz w:val="36"/>
          <w:szCs w:val="36"/>
          <w:rtl/>
        </w:rPr>
        <w:t>يكون</w:t>
      </w:r>
      <w:r w:rsidR="00E8128F">
        <w:rPr>
          <w:sz w:val="36"/>
          <w:szCs w:val="36"/>
          <w:rtl/>
        </w:rPr>
        <w:t xml:space="preserve"> </w:t>
      </w:r>
      <w:r w:rsidR="00DF56B0" w:rsidRPr="00FD211F">
        <w:rPr>
          <w:sz w:val="36"/>
          <w:szCs w:val="36"/>
          <w:rtl/>
        </w:rPr>
        <w:t>كل</w:t>
      </w:r>
      <w:r w:rsidR="00E8128F">
        <w:rPr>
          <w:sz w:val="36"/>
          <w:szCs w:val="36"/>
          <w:rtl/>
        </w:rPr>
        <w:t xml:space="preserve"> </w:t>
      </w:r>
      <w:r w:rsidR="00DF56B0" w:rsidRPr="00FD211F">
        <w:rPr>
          <w:sz w:val="36"/>
          <w:szCs w:val="36"/>
          <w:rtl/>
        </w:rPr>
        <w:t>فرد</w:t>
      </w:r>
      <w:r w:rsidR="00E8128F">
        <w:rPr>
          <w:sz w:val="36"/>
          <w:szCs w:val="36"/>
          <w:rtl/>
        </w:rPr>
        <w:t xml:space="preserve"> </w:t>
      </w:r>
      <w:r w:rsidR="00DF56B0" w:rsidRPr="00FD211F">
        <w:rPr>
          <w:sz w:val="36"/>
          <w:szCs w:val="36"/>
          <w:rtl/>
        </w:rPr>
        <w:t>من</w:t>
      </w:r>
      <w:r w:rsidR="00E8128F">
        <w:rPr>
          <w:sz w:val="36"/>
          <w:szCs w:val="36"/>
          <w:rtl/>
        </w:rPr>
        <w:t xml:space="preserve"> </w:t>
      </w:r>
      <w:r w:rsidR="00DF56B0" w:rsidRPr="00FD211F">
        <w:rPr>
          <w:sz w:val="36"/>
          <w:szCs w:val="36"/>
          <w:rtl/>
        </w:rPr>
        <w:t>التكلم</w:t>
      </w:r>
      <w:r w:rsidR="00E8128F">
        <w:rPr>
          <w:sz w:val="36"/>
          <w:szCs w:val="36"/>
          <w:rtl/>
        </w:rPr>
        <w:t xml:space="preserve"> </w:t>
      </w:r>
      <w:r w:rsidR="00DF56B0" w:rsidRPr="00FD211F">
        <w:rPr>
          <w:sz w:val="36"/>
          <w:szCs w:val="36"/>
          <w:rtl/>
        </w:rPr>
        <w:t>عصيانا</w:t>
      </w:r>
      <w:r w:rsidR="00E8128F">
        <w:rPr>
          <w:sz w:val="36"/>
          <w:szCs w:val="36"/>
          <w:rtl/>
        </w:rPr>
        <w:t xml:space="preserve"> </w:t>
      </w:r>
      <w:r w:rsidR="00DF56B0" w:rsidRPr="00FD211F">
        <w:rPr>
          <w:sz w:val="36"/>
          <w:szCs w:val="36"/>
          <w:rtl/>
        </w:rPr>
        <w:t>مستقلا</w:t>
      </w:r>
      <w:r w:rsidR="00E8128F">
        <w:rPr>
          <w:sz w:val="36"/>
          <w:szCs w:val="36"/>
          <w:rtl/>
        </w:rPr>
        <w:t xml:space="preserve"> </w:t>
      </w:r>
      <w:r w:rsidR="00DF56B0" w:rsidRPr="00FD211F">
        <w:rPr>
          <w:sz w:val="36"/>
          <w:szCs w:val="36"/>
          <w:rtl/>
        </w:rPr>
        <w:t>لهذا</w:t>
      </w:r>
      <w:r w:rsidR="00E8128F">
        <w:rPr>
          <w:sz w:val="36"/>
          <w:szCs w:val="36"/>
          <w:rtl/>
        </w:rPr>
        <w:t xml:space="preserve"> </w:t>
      </w:r>
      <w:r w:rsidR="00DF56B0" w:rsidRPr="00FD211F">
        <w:rPr>
          <w:sz w:val="36"/>
          <w:szCs w:val="36"/>
          <w:rtl/>
        </w:rPr>
        <w:t>النهي</w:t>
      </w:r>
      <w:r w:rsidR="00603323" w:rsidRPr="00FD211F">
        <w:rPr>
          <w:sz w:val="36"/>
          <w:szCs w:val="36"/>
          <w:rtl/>
        </w:rPr>
        <w:t>،</w:t>
      </w:r>
      <w:r w:rsidR="00E8128F">
        <w:rPr>
          <w:sz w:val="36"/>
          <w:szCs w:val="36"/>
          <w:rtl/>
        </w:rPr>
        <w:t xml:space="preserve"> </w:t>
      </w:r>
      <w:r w:rsidR="00DF56B0" w:rsidRPr="00FD211F">
        <w:rPr>
          <w:sz w:val="36"/>
          <w:szCs w:val="36"/>
          <w:rtl/>
        </w:rPr>
        <w:t>ولايكون</w:t>
      </w:r>
      <w:r w:rsidR="00E8128F">
        <w:rPr>
          <w:sz w:val="36"/>
          <w:szCs w:val="36"/>
          <w:rtl/>
        </w:rPr>
        <w:t xml:space="preserve"> </w:t>
      </w:r>
      <w:r w:rsidR="00DF56B0" w:rsidRPr="00FD211F">
        <w:rPr>
          <w:sz w:val="36"/>
          <w:szCs w:val="36"/>
          <w:rtl/>
        </w:rPr>
        <w:t>الفرق</w:t>
      </w:r>
      <w:r w:rsidR="00E8128F">
        <w:rPr>
          <w:sz w:val="36"/>
          <w:szCs w:val="36"/>
          <w:rtl/>
        </w:rPr>
        <w:t xml:space="preserve"> </w:t>
      </w:r>
      <w:r w:rsidR="00DF56B0" w:rsidRPr="00FD211F">
        <w:rPr>
          <w:sz w:val="36"/>
          <w:szCs w:val="36"/>
          <w:rtl/>
        </w:rPr>
        <w:t>بينهما</w:t>
      </w:r>
      <w:r w:rsidR="00E8128F">
        <w:rPr>
          <w:sz w:val="36"/>
          <w:szCs w:val="36"/>
          <w:rtl/>
        </w:rPr>
        <w:t xml:space="preserve"> </w:t>
      </w:r>
      <w:r w:rsidR="00DF56B0" w:rsidRPr="00FD211F">
        <w:rPr>
          <w:sz w:val="36"/>
          <w:szCs w:val="36"/>
          <w:rtl/>
        </w:rPr>
        <w:t>عاد</w:t>
      </w:r>
      <w:r w:rsidR="00EC7EDF" w:rsidRPr="00FD211F">
        <w:rPr>
          <w:sz w:val="36"/>
          <w:szCs w:val="36"/>
          <w:rtl/>
        </w:rPr>
        <w:t>ة</w:t>
      </w:r>
      <w:r w:rsidR="00E8128F">
        <w:rPr>
          <w:sz w:val="36"/>
          <w:szCs w:val="36"/>
          <w:rtl/>
        </w:rPr>
        <w:t xml:space="preserve"> </w:t>
      </w:r>
      <w:r w:rsidR="00DF56B0" w:rsidRPr="00FD211F">
        <w:rPr>
          <w:sz w:val="36"/>
          <w:szCs w:val="36"/>
          <w:rtl/>
        </w:rPr>
        <w:t>الا</w:t>
      </w:r>
      <w:r w:rsidR="00E8128F">
        <w:rPr>
          <w:sz w:val="36"/>
          <w:szCs w:val="36"/>
          <w:rtl/>
        </w:rPr>
        <w:t xml:space="preserve"> </w:t>
      </w:r>
      <w:r w:rsidR="00DF56B0" w:rsidRPr="00FD211F">
        <w:rPr>
          <w:sz w:val="36"/>
          <w:szCs w:val="36"/>
          <w:rtl/>
        </w:rPr>
        <w:t>بكون</w:t>
      </w:r>
      <w:r w:rsidR="00E8128F">
        <w:rPr>
          <w:sz w:val="36"/>
          <w:szCs w:val="36"/>
          <w:rtl/>
        </w:rPr>
        <w:t xml:space="preserve"> </w:t>
      </w:r>
      <w:r w:rsidR="00DF56B0" w:rsidRPr="00FD211F">
        <w:rPr>
          <w:sz w:val="36"/>
          <w:szCs w:val="36"/>
          <w:rtl/>
        </w:rPr>
        <w:t>النهي</w:t>
      </w:r>
      <w:r w:rsidR="00E8128F">
        <w:rPr>
          <w:sz w:val="36"/>
          <w:szCs w:val="36"/>
          <w:rtl/>
        </w:rPr>
        <w:t xml:space="preserve"> </w:t>
      </w:r>
      <w:r w:rsidR="00DF56B0" w:rsidRPr="00FD211F">
        <w:rPr>
          <w:sz w:val="36"/>
          <w:szCs w:val="36"/>
          <w:rtl/>
        </w:rPr>
        <w:t>في</w:t>
      </w:r>
      <w:r w:rsidR="00E8128F">
        <w:rPr>
          <w:sz w:val="36"/>
          <w:szCs w:val="36"/>
          <w:rtl/>
        </w:rPr>
        <w:t xml:space="preserve"> </w:t>
      </w:r>
      <w:r w:rsidR="00DF56B0" w:rsidRPr="00FD211F">
        <w:rPr>
          <w:sz w:val="36"/>
          <w:szCs w:val="36"/>
          <w:rtl/>
        </w:rPr>
        <w:t>المطلق</w:t>
      </w:r>
      <w:r w:rsidR="00E8128F">
        <w:rPr>
          <w:sz w:val="36"/>
          <w:szCs w:val="36"/>
          <w:rtl/>
        </w:rPr>
        <w:t xml:space="preserve"> </w:t>
      </w:r>
      <w:r w:rsidR="00DF56B0" w:rsidRPr="00FD211F">
        <w:rPr>
          <w:sz w:val="36"/>
          <w:szCs w:val="36"/>
          <w:rtl/>
        </w:rPr>
        <w:t>الشمولي</w:t>
      </w:r>
      <w:r w:rsidR="00E8128F">
        <w:rPr>
          <w:sz w:val="36"/>
          <w:szCs w:val="36"/>
          <w:rtl/>
        </w:rPr>
        <w:t xml:space="preserve"> </w:t>
      </w:r>
      <w:r w:rsidR="00DF56B0" w:rsidRPr="00FD211F">
        <w:rPr>
          <w:sz w:val="36"/>
          <w:szCs w:val="36"/>
          <w:rtl/>
        </w:rPr>
        <w:t>انحلاليا</w:t>
      </w:r>
      <w:r w:rsidR="00603323" w:rsidRPr="00FD211F">
        <w:rPr>
          <w:sz w:val="36"/>
          <w:szCs w:val="36"/>
          <w:rtl/>
        </w:rPr>
        <w:t>،</w:t>
      </w:r>
      <w:r w:rsidR="00E8128F">
        <w:rPr>
          <w:sz w:val="36"/>
          <w:szCs w:val="36"/>
          <w:rtl/>
        </w:rPr>
        <w:t xml:space="preserve"> </w:t>
      </w:r>
      <w:r w:rsidR="00DF56B0" w:rsidRPr="00FD211F">
        <w:rPr>
          <w:sz w:val="36"/>
          <w:szCs w:val="36"/>
          <w:rtl/>
        </w:rPr>
        <w:t>بخلاف</w:t>
      </w:r>
      <w:r w:rsidR="00E8128F">
        <w:rPr>
          <w:sz w:val="36"/>
          <w:szCs w:val="36"/>
          <w:rtl/>
        </w:rPr>
        <w:t xml:space="preserve"> </w:t>
      </w:r>
      <w:r w:rsidR="00DF56B0" w:rsidRPr="00FD211F">
        <w:rPr>
          <w:sz w:val="36"/>
          <w:szCs w:val="36"/>
          <w:rtl/>
        </w:rPr>
        <w:t>النهي</w:t>
      </w:r>
      <w:r w:rsidR="00E8128F">
        <w:rPr>
          <w:sz w:val="36"/>
          <w:szCs w:val="36"/>
          <w:rtl/>
        </w:rPr>
        <w:t xml:space="preserve"> </w:t>
      </w:r>
      <w:r w:rsidR="00DF56B0" w:rsidRPr="00FD211F">
        <w:rPr>
          <w:sz w:val="36"/>
          <w:szCs w:val="36"/>
          <w:rtl/>
        </w:rPr>
        <w:t>في</w:t>
      </w:r>
      <w:r w:rsidR="00E8128F">
        <w:rPr>
          <w:sz w:val="36"/>
          <w:szCs w:val="36"/>
          <w:rtl/>
        </w:rPr>
        <w:t xml:space="preserve"> </w:t>
      </w:r>
      <w:r w:rsidR="00DF56B0" w:rsidRPr="00FD211F">
        <w:rPr>
          <w:sz w:val="36"/>
          <w:szCs w:val="36"/>
          <w:rtl/>
        </w:rPr>
        <w:t>صرف</w:t>
      </w:r>
      <w:r w:rsidR="00E8128F">
        <w:rPr>
          <w:sz w:val="36"/>
          <w:szCs w:val="36"/>
          <w:rtl/>
        </w:rPr>
        <w:t xml:space="preserve"> </w:t>
      </w:r>
      <w:r w:rsidR="00DF56B0" w:rsidRPr="00FD211F">
        <w:rPr>
          <w:sz w:val="36"/>
          <w:szCs w:val="36"/>
          <w:rtl/>
        </w:rPr>
        <w:t>الوجود</w:t>
      </w:r>
      <w:r w:rsidR="00603323" w:rsidRPr="00FD211F">
        <w:rPr>
          <w:sz w:val="36"/>
          <w:szCs w:val="36"/>
          <w:rtl/>
        </w:rPr>
        <w:t>،</w:t>
      </w:r>
      <w:r w:rsidR="00E8128F">
        <w:rPr>
          <w:sz w:val="36"/>
          <w:szCs w:val="36"/>
          <w:rtl/>
        </w:rPr>
        <w:t xml:space="preserve"> </w:t>
      </w:r>
      <w:r w:rsidR="00DF56B0" w:rsidRPr="00FD211F">
        <w:rPr>
          <w:sz w:val="36"/>
          <w:szCs w:val="36"/>
          <w:rtl/>
        </w:rPr>
        <w:t>ولاريب</w:t>
      </w:r>
      <w:r w:rsidR="00E8128F">
        <w:rPr>
          <w:sz w:val="36"/>
          <w:szCs w:val="36"/>
          <w:rtl/>
        </w:rPr>
        <w:t xml:space="preserve"> </w:t>
      </w:r>
      <w:r w:rsidR="00DF56B0" w:rsidRPr="00FD211F">
        <w:rPr>
          <w:sz w:val="36"/>
          <w:szCs w:val="36"/>
          <w:rtl/>
        </w:rPr>
        <w:t>في</w:t>
      </w:r>
      <w:r w:rsidR="00E8128F">
        <w:rPr>
          <w:sz w:val="36"/>
          <w:szCs w:val="36"/>
          <w:rtl/>
        </w:rPr>
        <w:t xml:space="preserve"> </w:t>
      </w:r>
      <w:r w:rsidR="00DF56B0" w:rsidRPr="00FD211F">
        <w:rPr>
          <w:sz w:val="36"/>
          <w:szCs w:val="36"/>
          <w:rtl/>
        </w:rPr>
        <w:t>ان</w:t>
      </w:r>
      <w:r w:rsidR="00E8128F">
        <w:rPr>
          <w:sz w:val="36"/>
          <w:szCs w:val="36"/>
          <w:rtl/>
        </w:rPr>
        <w:t xml:space="preserve"> </w:t>
      </w:r>
      <w:r w:rsidR="00DF56B0" w:rsidRPr="00FD211F">
        <w:rPr>
          <w:sz w:val="36"/>
          <w:szCs w:val="36"/>
          <w:rtl/>
        </w:rPr>
        <w:t>منشأ</w:t>
      </w:r>
      <w:r w:rsidR="00E8128F">
        <w:rPr>
          <w:sz w:val="36"/>
          <w:szCs w:val="36"/>
          <w:rtl/>
        </w:rPr>
        <w:t xml:space="preserve"> </w:t>
      </w:r>
      <w:r w:rsidR="00DF56B0" w:rsidRPr="00FD211F">
        <w:rPr>
          <w:sz w:val="36"/>
          <w:szCs w:val="36"/>
          <w:rtl/>
        </w:rPr>
        <w:t>الاختلاف</w:t>
      </w:r>
      <w:r w:rsidR="00E8128F">
        <w:rPr>
          <w:sz w:val="36"/>
          <w:szCs w:val="36"/>
          <w:rtl/>
        </w:rPr>
        <w:t xml:space="preserve"> </w:t>
      </w:r>
      <w:r w:rsidR="00DF56B0" w:rsidRPr="00FD211F">
        <w:rPr>
          <w:sz w:val="36"/>
          <w:szCs w:val="36"/>
          <w:rtl/>
        </w:rPr>
        <w:t>بينهما</w:t>
      </w:r>
      <w:r w:rsidR="00E8128F">
        <w:rPr>
          <w:sz w:val="36"/>
          <w:szCs w:val="36"/>
          <w:rtl/>
        </w:rPr>
        <w:t xml:space="preserve"> </w:t>
      </w:r>
      <w:r w:rsidR="00DF56B0" w:rsidRPr="00FD211F">
        <w:rPr>
          <w:sz w:val="36"/>
          <w:szCs w:val="36"/>
          <w:rtl/>
        </w:rPr>
        <w:t>هو</w:t>
      </w:r>
      <w:r w:rsidR="00E8128F">
        <w:rPr>
          <w:sz w:val="36"/>
          <w:szCs w:val="36"/>
          <w:rtl/>
        </w:rPr>
        <w:t xml:space="preserve"> </w:t>
      </w:r>
      <w:r w:rsidR="00DF56B0" w:rsidRPr="00FD211F">
        <w:rPr>
          <w:sz w:val="36"/>
          <w:szCs w:val="36"/>
          <w:rtl/>
        </w:rPr>
        <w:t>الاختلاف</w:t>
      </w:r>
      <w:r w:rsidR="00E8128F">
        <w:rPr>
          <w:sz w:val="36"/>
          <w:szCs w:val="36"/>
          <w:rtl/>
        </w:rPr>
        <w:t xml:space="preserve"> </w:t>
      </w:r>
      <w:r w:rsidR="00DF56B0" w:rsidRPr="00FD211F">
        <w:rPr>
          <w:sz w:val="36"/>
          <w:szCs w:val="36"/>
          <w:rtl/>
        </w:rPr>
        <w:t>في</w:t>
      </w:r>
      <w:r w:rsidR="00E8128F">
        <w:rPr>
          <w:sz w:val="36"/>
          <w:szCs w:val="36"/>
          <w:rtl/>
        </w:rPr>
        <w:t xml:space="preserve"> </w:t>
      </w:r>
      <w:r w:rsidR="00DF56B0" w:rsidRPr="00FD211F">
        <w:rPr>
          <w:sz w:val="36"/>
          <w:szCs w:val="36"/>
          <w:rtl/>
        </w:rPr>
        <w:t>كيفي</w:t>
      </w:r>
      <w:r w:rsidR="00EC7EDF" w:rsidRPr="00FD211F">
        <w:rPr>
          <w:sz w:val="36"/>
          <w:szCs w:val="36"/>
          <w:rtl/>
        </w:rPr>
        <w:t>ة</w:t>
      </w:r>
      <w:r w:rsidR="00E8128F">
        <w:rPr>
          <w:sz w:val="36"/>
          <w:szCs w:val="36"/>
          <w:rtl/>
        </w:rPr>
        <w:t xml:space="preserve"> </w:t>
      </w:r>
      <w:r w:rsidR="00DF56B0" w:rsidRPr="00FD211F">
        <w:rPr>
          <w:sz w:val="36"/>
          <w:szCs w:val="36"/>
          <w:rtl/>
        </w:rPr>
        <w:t>الجعل</w:t>
      </w:r>
      <w:r w:rsidR="00603323" w:rsidRPr="00FD211F">
        <w:rPr>
          <w:sz w:val="36"/>
          <w:szCs w:val="36"/>
          <w:rtl/>
        </w:rPr>
        <w:t>،</w:t>
      </w:r>
      <w:r w:rsidR="00E8128F">
        <w:rPr>
          <w:sz w:val="36"/>
          <w:szCs w:val="36"/>
          <w:rtl/>
        </w:rPr>
        <w:t xml:space="preserve"> </w:t>
      </w:r>
      <w:r w:rsidR="00DF56B0" w:rsidRPr="00FD211F">
        <w:rPr>
          <w:sz w:val="36"/>
          <w:szCs w:val="36"/>
          <w:rtl/>
        </w:rPr>
        <w:t>وما</w:t>
      </w:r>
      <w:r w:rsidR="00E8128F">
        <w:rPr>
          <w:sz w:val="36"/>
          <w:szCs w:val="36"/>
          <w:rtl/>
        </w:rPr>
        <w:t xml:space="preserve"> </w:t>
      </w:r>
      <w:r w:rsidR="00DF56B0" w:rsidRPr="00FD211F">
        <w:rPr>
          <w:sz w:val="36"/>
          <w:szCs w:val="36"/>
          <w:rtl/>
        </w:rPr>
        <w:t>ادعيناه</w:t>
      </w:r>
      <w:r w:rsidR="00E8128F">
        <w:rPr>
          <w:sz w:val="36"/>
          <w:szCs w:val="36"/>
          <w:rtl/>
        </w:rPr>
        <w:t xml:space="preserve"> </w:t>
      </w:r>
      <w:r w:rsidR="00DF56B0" w:rsidRPr="00FD211F">
        <w:rPr>
          <w:sz w:val="36"/>
          <w:szCs w:val="36"/>
          <w:rtl/>
        </w:rPr>
        <w:t>من</w:t>
      </w:r>
      <w:r w:rsidR="00E8128F">
        <w:rPr>
          <w:sz w:val="36"/>
          <w:szCs w:val="36"/>
          <w:rtl/>
        </w:rPr>
        <w:t xml:space="preserve"> </w:t>
      </w:r>
      <w:r w:rsidR="00DF56B0" w:rsidRPr="00FD211F">
        <w:rPr>
          <w:sz w:val="36"/>
          <w:szCs w:val="36"/>
          <w:rtl/>
        </w:rPr>
        <w:t>الانحلال</w:t>
      </w:r>
      <w:r w:rsidR="00E8128F">
        <w:rPr>
          <w:sz w:val="36"/>
          <w:szCs w:val="36"/>
          <w:rtl/>
        </w:rPr>
        <w:t xml:space="preserve"> </w:t>
      </w:r>
      <w:r w:rsidR="00DF56B0" w:rsidRPr="00FD211F">
        <w:rPr>
          <w:sz w:val="36"/>
          <w:szCs w:val="36"/>
          <w:rtl/>
        </w:rPr>
        <w:t>في</w:t>
      </w:r>
      <w:r w:rsidR="00E8128F">
        <w:rPr>
          <w:sz w:val="36"/>
          <w:szCs w:val="36"/>
          <w:rtl/>
        </w:rPr>
        <w:t xml:space="preserve"> </w:t>
      </w:r>
      <w:r w:rsidR="00DF56B0" w:rsidRPr="00FD211F">
        <w:rPr>
          <w:sz w:val="36"/>
          <w:szCs w:val="36"/>
          <w:rtl/>
        </w:rPr>
        <w:t>الجعل</w:t>
      </w:r>
      <w:r w:rsidR="00E8128F">
        <w:rPr>
          <w:sz w:val="36"/>
          <w:szCs w:val="36"/>
          <w:rtl/>
        </w:rPr>
        <w:t xml:space="preserve"> </w:t>
      </w:r>
      <w:r w:rsidR="00DF56B0" w:rsidRPr="00FD211F">
        <w:rPr>
          <w:sz w:val="36"/>
          <w:szCs w:val="36"/>
          <w:rtl/>
        </w:rPr>
        <w:t>لايعني</w:t>
      </w:r>
      <w:r w:rsidR="00E8128F">
        <w:rPr>
          <w:sz w:val="36"/>
          <w:szCs w:val="36"/>
          <w:rtl/>
        </w:rPr>
        <w:t xml:space="preserve"> </w:t>
      </w:r>
      <w:r w:rsidR="00DF56B0" w:rsidRPr="00FD211F">
        <w:rPr>
          <w:sz w:val="36"/>
          <w:szCs w:val="36"/>
          <w:rtl/>
        </w:rPr>
        <w:t>الانحلال</w:t>
      </w:r>
      <w:r w:rsidR="00E8128F">
        <w:rPr>
          <w:sz w:val="36"/>
          <w:szCs w:val="36"/>
          <w:rtl/>
        </w:rPr>
        <w:t xml:space="preserve"> </w:t>
      </w:r>
      <w:r w:rsidR="00DF56B0" w:rsidRPr="00FD211F">
        <w:rPr>
          <w:sz w:val="36"/>
          <w:szCs w:val="36"/>
          <w:rtl/>
        </w:rPr>
        <w:t>في</w:t>
      </w:r>
      <w:r w:rsidR="00E8128F">
        <w:rPr>
          <w:sz w:val="36"/>
          <w:szCs w:val="36"/>
          <w:rtl/>
        </w:rPr>
        <w:t xml:space="preserve"> </w:t>
      </w:r>
      <w:r w:rsidR="00DF56B0" w:rsidRPr="00FD211F">
        <w:rPr>
          <w:sz w:val="36"/>
          <w:szCs w:val="36"/>
          <w:rtl/>
        </w:rPr>
        <w:t>لحاظ</w:t>
      </w:r>
      <w:r w:rsidR="00E8128F">
        <w:rPr>
          <w:sz w:val="36"/>
          <w:szCs w:val="36"/>
          <w:rtl/>
        </w:rPr>
        <w:t xml:space="preserve"> </w:t>
      </w:r>
      <w:r w:rsidR="00DF56B0" w:rsidRPr="00FD211F">
        <w:rPr>
          <w:sz w:val="36"/>
          <w:szCs w:val="36"/>
          <w:rtl/>
        </w:rPr>
        <w:t>المولى</w:t>
      </w:r>
      <w:r w:rsidR="00E8128F">
        <w:rPr>
          <w:sz w:val="36"/>
          <w:szCs w:val="36"/>
          <w:rtl/>
        </w:rPr>
        <w:t xml:space="preserve"> </w:t>
      </w:r>
      <w:r w:rsidR="00DF56B0" w:rsidRPr="00FD211F">
        <w:rPr>
          <w:sz w:val="36"/>
          <w:szCs w:val="36"/>
          <w:rtl/>
        </w:rPr>
        <w:t>او</w:t>
      </w:r>
      <w:r w:rsidR="00E8128F">
        <w:rPr>
          <w:sz w:val="36"/>
          <w:szCs w:val="36"/>
          <w:rtl/>
        </w:rPr>
        <w:t xml:space="preserve"> </w:t>
      </w:r>
      <w:r w:rsidR="00DF56B0" w:rsidRPr="00FD211F">
        <w:rPr>
          <w:sz w:val="36"/>
          <w:szCs w:val="36"/>
          <w:rtl/>
        </w:rPr>
        <w:t>في</w:t>
      </w:r>
      <w:r w:rsidR="00E8128F">
        <w:rPr>
          <w:sz w:val="36"/>
          <w:szCs w:val="36"/>
          <w:rtl/>
        </w:rPr>
        <w:t xml:space="preserve"> </w:t>
      </w:r>
      <w:r w:rsidR="00DF56B0" w:rsidRPr="00FD211F">
        <w:rPr>
          <w:sz w:val="36"/>
          <w:szCs w:val="36"/>
          <w:rtl/>
        </w:rPr>
        <w:t>عملي</w:t>
      </w:r>
      <w:r w:rsidR="00EC7EDF" w:rsidRPr="00FD211F">
        <w:rPr>
          <w:sz w:val="36"/>
          <w:szCs w:val="36"/>
          <w:rtl/>
        </w:rPr>
        <w:t>ة</w:t>
      </w:r>
      <w:r w:rsidR="00E8128F">
        <w:rPr>
          <w:sz w:val="36"/>
          <w:szCs w:val="36"/>
          <w:rtl/>
        </w:rPr>
        <w:t xml:space="preserve"> </w:t>
      </w:r>
      <w:r w:rsidR="00DF56B0" w:rsidRPr="00FD211F">
        <w:rPr>
          <w:sz w:val="36"/>
          <w:szCs w:val="36"/>
          <w:rtl/>
        </w:rPr>
        <w:t>الجعل</w:t>
      </w:r>
      <w:r w:rsidR="00603323" w:rsidRPr="00FD211F">
        <w:rPr>
          <w:sz w:val="36"/>
          <w:szCs w:val="36"/>
          <w:rtl/>
        </w:rPr>
        <w:t>،</w:t>
      </w:r>
      <w:r w:rsidR="00E8128F">
        <w:rPr>
          <w:sz w:val="36"/>
          <w:szCs w:val="36"/>
          <w:rtl/>
        </w:rPr>
        <w:t xml:space="preserve"> </w:t>
      </w:r>
      <w:r w:rsidR="00DF56B0" w:rsidRPr="00FD211F">
        <w:rPr>
          <w:sz w:val="36"/>
          <w:szCs w:val="36"/>
          <w:rtl/>
        </w:rPr>
        <w:t>بل</w:t>
      </w:r>
      <w:r w:rsidR="00E8128F">
        <w:rPr>
          <w:sz w:val="36"/>
          <w:szCs w:val="36"/>
          <w:rtl/>
        </w:rPr>
        <w:t xml:space="preserve"> </w:t>
      </w:r>
      <w:r w:rsidR="00DF56B0" w:rsidRPr="00FD211F">
        <w:rPr>
          <w:sz w:val="36"/>
          <w:szCs w:val="36"/>
          <w:rtl/>
        </w:rPr>
        <w:t>يكون</w:t>
      </w:r>
      <w:r w:rsidR="00E8128F">
        <w:rPr>
          <w:sz w:val="36"/>
          <w:szCs w:val="36"/>
          <w:rtl/>
        </w:rPr>
        <w:t xml:space="preserve"> </w:t>
      </w:r>
      <w:r w:rsidR="00DF56B0" w:rsidRPr="00FD211F">
        <w:rPr>
          <w:sz w:val="36"/>
          <w:szCs w:val="36"/>
          <w:rtl/>
        </w:rPr>
        <w:t>على</w:t>
      </w:r>
      <w:r w:rsidR="00E8128F">
        <w:rPr>
          <w:sz w:val="36"/>
          <w:szCs w:val="36"/>
          <w:rtl/>
        </w:rPr>
        <w:t xml:space="preserve"> </w:t>
      </w:r>
      <w:r w:rsidR="00DF56B0" w:rsidRPr="00FD211F">
        <w:rPr>
          <w:sz w:val="36"/>
          <w:szCs w:val="36"/>
          <w:rtl/>
        </w:rPr>
        <w:t>نح</w:t>
      </w:r>
      <w:r w:rsidR="00574C78" w:rsidRPr="00FD211F">
        <w:rPr>
          <w:sz w:val="36"/>
          <w:szCs w:val="36"/>
          <w:rtl/>
        </w:rPr>
        <w:t>و</w:t>
      </w:r>
      <w:r w:rsidR="00E8128F">
        <w:rPr>
          <w:sz w:val="36"/>
          <w:szCs w:val="36"/>
          <w:rtl/>
        </w:rPr>
        <w:t xml:space="preserve"> </w:t>
      </w:r>
      <w:r w:rsidR="00574C78" w:rsidRPr="00FD211F">
        <w:rPr>
          <w:sz w:val="36"/>
          <w:szCs w:val="36"/>
          <w:rtl/>
        </w:rPr>
        <w:t>الوضع</w:t>
      </w:r>
      <w:r w:rsidR="00E8128F">
        <w:rPr>
          <w:sz w:val="36"/>
          <w:szCs w:val="36"/>
          <w:rtl/>
        </w:rPr>
        <w:t xml:space="preserve"> </w:t>
      </w:r>
      <w:r w:rsidR="00574C78" w:rsidRPr="00FD211F">
        <w:rPr>
          <w:sz w:val="36"/>
          <w:szCs w:val="36"/>
          <w:rtl/>
        </w:rPr>
        <w:t>العام</w:t>
      </w:r>
      <w:r w:rsidR="00E8128F">
        <w:rPr>
          <w:sz w:val="36"/>
          <w:szCs w:val="36"/>
          <w:rtl/>
        </w:rPr>
        <w:t xml:space="preserve"> </w:t>
      </w:r>
      <w:r w:rsidR="00574C78" w:rsidRPr="00FD211F">
        <w:rPr>
          <w:sz w:val="36"/>
          <w:szCs w:val="36"/>
          <w:rtl/>
        </w:rPr>
        <w:t>والموضوع</w:t>
      </w:r>
      <w:r w:rsidR="00E8128F">
        <w:rPr>
          <w:sz w:val="36"/>
          <w:szCs w:val="36"/>
          <w:rtl/>
        </w:rPr>
        <w:t xml:space="preserve"> </w:t>
      </w:r>
      <w:r w:rsidR="00574C78" w:rsidRPr="00FD211F">
        <w:rPr>
          <w:sz w:val="36"/>
          <w:szCs w:val="36"/>
          <w:rtl/>
        </w:rPr>
        <w:t>له</w:t>
      </w:r>
      <w:r w:rsidR="00E8128F">
        <w:rPr>
          <w:sz w:val="36"/>
          <w:szCs w:val="36"/>
          <w:rtl/>
        </w:rPr>
        <w:t xml:space="preserve"> </w:t>
      </w:r>
      <w:r w:rsidR="00574C78" w:rsidRPr="00FD211F">
        <w:rPr>
          <w:sz w:val="36"/>
          <w:szCs w:val="36"/>
          <w:rtl/>
        </w:rPr>
        <w:t>الخاص.</w:t>
      </w:r>
    </w:p>
    <w:p w14:paraId="072E10FB" w14:textId="77777777" w:rsidR="000D7A69" w:rsidRPr="00FD211F" w:rsidRDefault="001116B1" w:rsidP="009C58C8">
      <w:pPr>
        <w:ind w:left="0" w:firstLine="227"/>
        <w:jc w:val="both"/>
        <w:rPr>
          <w:sz w:val="36"/>
          <w:szCs w:val="36"/>
          <w:rtl/>
        </w:rPr>
      </w:pPr>
      <w:r w:rsidRPr="00FD211F">
        <w:rPr>
          <w:sz w:val="36"/>
          <w:szCs w:val="36"/>
          <w:rtl/>
        </w:rPr>
        <w:t>و</w:t>
      </w:r>
      <w:r w:rsidR="00E8128F">
        <w:rPr>
          <w:sz w:val="36"/>
          <w:szCs w:val="36"/>
          <w:rtl/>
        </w:rPr>
        <w:t xml:space="preserve"> </w:t>
      </w:r>
      <w:r w:rsidR="00DF56B0" w:rsidRPr="00FD211F">
        <w:rPr>
          <w:sz w:val="36"/>
          <w:szCs w:val="36"/>
          <w:rtl/>
        </w:rPr>
        <w:t>لو</w:t>
      </w:r>
      <w:r w:rsidR="00E8128F">
        <w:rPr>
          <w:sz w:val="36"/>
          <w:szCs w:val="36"/>
          <w:rtl/>
        </w:rPr>
        <w:t xml:space="preserve"> </w:t>
      </w:r>
      <w:r w:rsidR="00DF56B0" w:rsidRPr="00FD211F">
        <w:rPr>
          <w:sz w:val="36"/>
          <w:szCs w:val="36"/>
          <w:rtl/>
        </w:rPr>
        <w:t>سلمنا</w:t>
      </w:r>
      <w:r w:rsidR="00E8128F">
        <w:rPr>
          <w:sz w:val="36"/>
          <w:szCs w:val="36"/>
          <w:rtl/>
        </w:rPr>
        <w:t xml:space="preserve"> </w:t>
      </w:r>
      <w:r w:rsidR="00DF56B0" w:rsidRPr="00FD211F">
        <w:rPr>
          <w:sz w:val="36"/>
          <w:szCs w:val="36"/>
          <w:rtl/>
        </w:rPr>
        <w:t>عدم</w:t>
      </w:r>
      <w:r w:rsidR="00E8128F">
        <w:rPr>
          <w:sz w:val="36"/>
          <w:szCs w:val="36"/>
          <w:rtl/>
        </w:rPr>
        <w:t xml:space="preserve"> </w:t>
      </w:r>
      <w:r w:rsidR="00DF56B0" w:rsidRPr="00FD211F">
        <w:rPr>
          <w:sz w:val="36"/>
          <w:szCs w:val="36"/>
          <w:rtl/>
        </w:rPr>
        <w:t>الانحل</w:t>
      </w:r>
      <w:r w:rsidRPr="00FD211F">
        <w:rPr>
          <w:sz w:val="36"/>
          <w:szCs w:val="36"/>
          <w:rtl/>
        </w:rPr>
        <w:t>ال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الجعل</w:t>
      </w:r>
      <w:r w:rsidR="00603323" w:rsidRPr="00FD211F">
        <w:rPr>
          <w:sz w:val="36"/>
          <w:szCs w:val="36"/>
          <w:rtl/>
        </w:rPr>
        <w:t>،</w:t>
      </w:r>
      <w:r w:rsidR="00E8128F">
        <w:rPr>
          <w:sz w:val="36"/>
          <w:szCs w:val="36"/>
          <w:rtl/>
        </w:rPr>
        <w:t xml:space="preserve"> </w:t>
      </w:r>
      <w:r w:rsidR="00DF56B0" w:rsidRPr="00FD211F">
        <w:rPr>
          <w:sz w:val="36"/>
          <w:szCs w:val="36"/>
          <w:rtl/>
        </w:rPr>
        <w:t>لكن</w:t>
      </w:r>
      <w:r w:rsidRPr="00FD211F">
        <w:rPr>
          <w:sz w:val="36"/>
          <w:szCs w:val="36"/>
          <w:rtl/>
        </w:rPr>
        <w:t>ه</w:t>
      </w:r>
      <w:r w:rsidR="00E8128F">
        <w:rPr>
          <w:sz w:val="36"/>
          <w:szCs w:val="36"/>
          <w:rtl/>
        </w:rPr>
        <w:t xml:space="preserve"> </w:t>
      </w:r>
      <w:r w:rsidR="00DF56B0" w:rsidRPr="00FD211F">
        <w:rPr>
          <w:sz w:val="36"/>
          <w:szCs w:val="36"/>
          <w:rtl/>
        </w:rPr>
        <w:t>لااشكال</w:t>
      </w:r>
      <w:r w:rsidR="00E8128F">
        <w:rPr>
          <w:sz w:val="36"/>
          <w:szCs w:val="36"/>
          <w:rtl/>
        </w:rPr>
        <w:t xml:space="preserve"> </w:t>
      </w:r>
      <w:r w:rsidR="00DF56B0" w:rsidRPr="00FD211F">
        <w:rPr>
          <w:sz w:val="36"/>
          <w:szCs w:val="36"/>
          <w:rtl/>
        </w:rPr>
        <w:t>في</w:t>
      </w:r>
      <w:r w:rsidR="00E8128F">
        <w:rPr>
          <w:sz w:val="36"/>
          <w:szCs w:val="36"/>
          <w:rtl/>
        </w:rPr>
        <w:t xml:space="preserve"> </w:t>
      </w:r>
      <w:r w:rsidR="000B4AB4" w:rsidRPr="00FD211F">
        <w:rPr>
          <w:sz w:val="36"/>
          <w:szCs w:val="36"/>
          <w:rtl/>
        </w:rPr>
        <w:t>انحلال</w:t>
      </w:r>
      <w:r w:rsidR="00E8128F">
        <w:rPr>
          <w:sz w:val="36"/>
          <w:szCs w:val="36"/>
          <w:rtl/>
        </w:rPr>
        <w:t xml:space="preserve"> </w:t>
      </w:r>
      <w:r w:rsidR="000B4AB4" w:rsidRPr="00FD211F">
        <w:rPr>
          <w:sz w:val="36"/>
          <w:szCs w:val="36"/>
          <w:rtl/>
        </w:rPr>
        <w:t>ال</w:t>
      </w:r>
      <w:r w:rsidR="00F353AB" w:rsidRPr="00FD211F">
        <w:rPr>
          <w:sz w:val="36"/>
          <w:szCs w:val="36"/>
          <w:rtl/>
        </w:rPr>
        <w:t>خطاب</w:t>
      </w:r>
      <w:r w:rsidR="00E8128F">
        <w:rPr>
          <w:sz w:val="36"/>
          <w:szCs w:val="36"/>
          <w:rtl/>
        </w:rPr>
        <w:t xml:space="preserve"> </w:t>
      </w:r>
      <w:r w:rsidR="00F353AB" w:rsidRPr="00FD211F">
        <w:rPr>
          <w:sz w:val="36"/>
          <w:szCs w:val="36"/>
          <w:rtl/>
        </w:rPr>
        <w:t>الشمولي</w:t>
      </w:r>
      <w:r w:rsidR="00E8128F">
        <w:rPr>
          <w:sz w:val="36"/>
          <w:szCs w:val="36"/>
          <w:rtl/>
        </w:rPr>
        <w:t xml:space="preserve"> </w:t>
      </w:r>
      <w:r w:rsidR="000B4AB4" w:rsidRPr="00FD211F">
        <w:rPr>
          <w:sz w:val="36"/>
          <w:szCs w:val="36"/>
          <w:rtl/>
        </w:rPr>
        <w:t>في</w:t>
      </w:r>
      <w:r w:rsidR="00E8128F">
        <w:rPr>
          <w:sz w:val="36"/>
          <w:szCs w:val="36"/>
          <w:rtl/>
        </w:rPr>
        <w:t xml:space="preserve"> </w:t>
      </w:r>
      <w:r w:rsidR="000B4AB4" w:rsidRPr="00FD211F">
        <w:rPr>
          <w:sz w:val="36"/>
          <w:szCs w:val="36"/>
          <w:rtl/>
        </w:rPr>
        <w:t>مقام</w:t>
      </w:r>
      <w:r w:rsidR="00E8128F">
        <w:rPr>
          <w:sz w:val="36"/>
          <w:szCs w:val="36"/>
          <w:rtl/>
        </w:rPr>
        <w:t xml:space="preserve"> </w:t>
      </w:r>
      <w:r w:rsidR="000B4AB4" w:rsidRPr="00FD211F">
        <w:rPr>
          <w:sz w:val="36"/>
          <w:szCs w:val="36"/>
          <w:rtl/>
        </w:rPr>
        <w:t>التطب</w:t>
      </w:r>
      <w:r w:rsidR="00F353AB" w:rsidRPr="00FD211F">
        <w:rPr>
          <w:sz w:val="36"/>
          <w:szCs w:val="36"/>
          <w:rtl/>
        </w:rPr>
        <w:t>يق</w:t>
      </w:r>
      <w:r w:rsidR="00E8128F">
        <w:rPr>
          <w:sz w:val="36"/>
          <w:szCs w:val="36"/>
          <w:rtl/>
        </w:rPr>
        <w:t xml:space="preserve"> </w:t>
      </w:r>
      <w:r w:rsidR="00F353AB" w:rsidRPr="00FD211F">
        <w:rPr>
          <w:sz w:val="36"/>
          <w:szCs w:val="36"/>
          <w:rtl/>
        </w:rPr>
        <w:t>والفعلي</w:t>
      </w:r>
      <w:r w:rsidR="00EC7EDF" w:rsidRPr="00FD211F">
        <w:rPr>
          <w:sz w:val="36"/>
          <w:szCs w:val="36"/>
          <w:rtl/>
        </w:rPr>
        <w:t>ة</w:t>
      </w:r>
      <w:r w:rsidR="00603323" w:rsidRPr="00FD211F">
        <w:rPr>
          <w:sz w:val="36"/>
          <w:szCs w:val="36"/>
          <w:rtl/>
        </w:rPr>
        <w:t>،</w:t>
      </w:r>
      <w:r w:rsidR="00E8128F">
        <w:rPr>
          <w:sz w:val="36"/>
          <w:szCs w:val="36"/>
          <w:rtl/>
        </w:rPr>
        <w:t xml:space="preserve"> </w:t>
      </w:r>
      <w:r w:rsidR="000B4AB4" w:rsidRPr="00FD211F">
        <w:rPr>
          <w:sz w:val="36"/>
          <w:szCs w:val="36"/>
          <w:rtl/>
        </w:rPr>
        <w:t>فحينما</w:t>
      </w:r>
      <w:r w:rsidR="00E8128F">
        <w:rPr>
          <w:sz w:val="36"/>
          <w:szCs w:val="36"/>
          <w:rtl/>
        </w:rPr>
        <w:t xml:space="preserve"> </w:t>
      </w:r>
      <w:r w:rsidR="000B4AB4" w:rsidRPr="00FD211F">
        <w:rPr>
          <w:sz w:val="36"/>
          <w:szCs w:val="36"/>
          <w:rtl/>
        </w:rPr>
        <w:t>يقول</w:t>
      </w:r>
      <w:r w:rsidR="00E8128F">
        <w:rPr>
          <w:sz w:val="36"/>
          <w:szCs w:val="36"/>
          <w:rtl/>
        </w:rPr>
        <w:t xml:space="preserve"> </w:t>
      </w:r>
      <w:r w:rsidR="000B4AB4" w:rsidRPr="00FD211F">
        <w:rPr>
          <w:sz w:val="36"/>
          <w:szCs w:val="36"/>
          <w:rtl/>
        </w:rPr>
        <w:t>الشارع</w:t>
      </w:r>
      <w:r w:rsidR="00E8128F">
        <w:rPr>
          <w:sz w:val="36"/>
          <w:szCs w:val="36"/>
          <w:rtl/>
        </w:rPr>
        <w:t xml:space="preserve"> </w:t>
      </w:r>
      <w:r w:rsidR="000B4AB4" w:rsidRPr="00FD211F">
        <w:rPr>
          <w:sz w:val="36"/>
          <w:szCs w:val="36"/>
          <w:rtl/>
        </w:rPr>
        <w:t>"</w:t>
      </w:r>
      <w:r w:rsidR="009A5CF0" w:rsidRPr="00FD211F">
        <w:rPr>
          <w:sz w:val="36"/>
          <w:szCs w:val="36"/>
          <w:rtl/>
        </w:rPr>
        <w:t>الثوب</w:t>
      </w:r>
      <w:r w:rsidR="00E8128F">
        <w:rPr>
          <w:sz w:val="36"/>
          <w:szCs w:val="36"/>
          <w:rtl/>
        </w:rPr>
        <w:t xml:space="preserve"> </w:t>
      </w:r>
      <w:r w:rsidR="009A5CF0" w:rsidRPr="00FD211F">
        <w:rPr>
          <w:sz w:val="36"/>
          <w:szCs w:val="36"/>
          <w:rtl/>
        </w:rPr>
        <w:t>الملاقي</w:t>
      </w:r>
      <w:r w:rsidR="00E8128F">
        <w:rPr>
          <w:sz w:val="36"/>
          <w:szCs w:val="36"/>
          <w:rtl/>
        </w:rPr>
        <w:t xml:space="preserve"> </w:t>
      </w:r>
      <w:r w:rsidR="009A5CF0" w:rsidRPr="00FD211F">
        <w:rPr>
          <w:sz w:val="36"/>
          <w:szCs w:val="36"/>
          <w:rtl/>
        </w:rPr>
        <w:t>ل</w:t>
      </w:r>
      <w:r w:rsidR="000B4AB4" w:rsidRPr="00FD211F">
        <w:rPr>
          <w:sz w:val="36"/>
          <w:szCs w:val="36"/>
          <w:rtl/>
        </w:rPr>
        <w:t>لدم</w:t>
      </w:r>
      <w:r w:rsidR="00E8128F">
        <w:rPr>
          <w:sz w:val="36"/>
          <w:szCs w:val="36"/>
          <w:rtl/>
        </w:rPr>
        <w:t xml:space="preserve"> </w:t>
      </w:r>
      <w:r w:rsidR="000B4AB4" w:rsidRPr="00FD211F">
        <w:rPr>
          <w:sz w:val="36"/>
          <w:szCs w:val="36"/>
          <w:rtl/>
        </w:rPr>
        <w:t>نجس"</w:t>
      </w:r>
      <w:r w:rsidR="00E8128F">
        <w:rPr>
          <w:sz w:val="36"/>
          <w:szCs w:val="36"/>
          <w:rtl/>
        </w:rPr>
        <w:t xml:space="preserve"> </w:t>
      </w:r>
      <w:r w:rsidR="003847D5" w:rsidRPr="00FD211F">
        <w:rPr>
          <w:sz w:val="36"/>
          <w:szCs w:val="36"/>
          <w:rtl/>
        </w:rPr>
        <w:t>فحتى</w:t>
      </w:r>
      <w:r w:rsidR="00E8128F">
        <w:rPr>
          <w:sz w:val="36"/>
          <w:szCs w:val="36"/>
          <w:rtl/>
        </w:rPr>
        <w:t xml:space="preserve"> </w:t>
      </w:r>
      <w:r w:rsidR="003847D5" w:rsidRPr="00FD211F">
        <w:rPr>
          <w:sz w:val="36"/>
          <w:szCs w:val="36"/>
          <w:rtl/>
        </w:rPr>
        <w:t>لو</w:t>
      </w:r>
      <w:r w:rsidR="00E8128F">
        <w:rPr>
          <w:sz w:val="36"/>
          <w:szCs w:val="36"/>
          <w:rtl/>
        </w:rPr>
        <w:t xml:space="preserve"> </w:t>
      </w:r>
      <w:r w:rsidR="000B4AB4" w:rsidRPr="00FD211F">
        <w:rPr>
          <w:sz w:val="36"/>
          <w:szCs w:val="36"/>
          <w:rtl/>
        </w:rPr>
        <w:t>قلنا</w:t>
      </w:r>
      <w:r w:rsidR="00E8128F">
        <w:rPr>
          <w:sz w:val="36"/>
          <w:szCs w:val="36"/>
          <w:rtl/>
        </w:rPr>
        <w:t xml:space="preserve"> </w:t>
      </w:r>
      <w:r w:rsidR="000B4AB4" w:rsidRPr="00FD211F">
        <w:rPr>
          <w:sz w:val="36"/>
          <w:szCs w:val="36"/>
          <w:rtl/>
        </w:rPr>
        <w:t>بانه</w:t>
      </w:r>
      <w:r w:rsidR="00E8128F">
        <w:rPr>
          <w:sz w:val="36"/>
          <w:szCs w:val="36"/>
          <w:rtl/>
        </w:rPr>
        <w:t xml:space="preserve"> </w:t>
      </w:r>
      <w:r w:rsidR="008D7B3D" w:rsidRPr="00FD211F">
        <w:rPr>
          <w:sz w:val="36"/>
          <w:szCs w:val="36"/>
          <w:rtl/>
        </w:rPr>
        <w:t>لم‌</w:t>
      </w:r>
      <w:r w:rsidR="000B4AB4" w:rsidRPr="00FD211F">
        <w:rPr>
          <w:sz w:val="36"/>
          <w:szCs w:val="36"/>
          <w:rtl/>
        </w:rPr>
        <w:t>يصدر</w:t>
      </w:r>
      <w:r w:rsidR="00E8128F">
        <w:rPr>
          <w:sz w:val="36"/>
          <w:szCs w:val="36"/>
          <w:rtl/>
        </w:rPr>
        <w:t xml:space="preserve"> </w:t>
      </w:r>
      <w:r w:rsidR="000B4AB4" w:rsidRPr="00FD211F">
        <w:rPr>
          <w:sz w:val="36"/>
          <w:szCs w:val="36"/>
          <w:rtl/>
        </w:rPr>
        <w:t>منه</w:t>
      </w:r>
      <w:r w:rsidR="00E8128F">
        <w:rPr>
          <w:sz w:val="36"/>
          <w:szCs w:val="36"/>
          <w:rtl/>
        </w:rPr>
        <w:t xml:space="preserve"> </w:t>
      </w:r>
      <w:r w:rsidR="000B4AB4" w:rsidRPr="00FD211F">
        <w:rPr>
          <w:sz w:val="36"/>
          <w:szCs w:val="36"/>
          <w:rtl/>
        </w:rPr>
        <w:t>الاجعل</w:t>
      </w:r>
      <w:r w:rsidR="00E8128F">
        <w:rPr>
          <w:sz w:val="36"/>
          <w:szCs w:val="36"/>
          <w:rtl/>
        </w:rPr>
        <w:t xml:space="preserve"> </w:t>
      </w:r>
      <w:r w:rsidR="000B4AB4" w:rsidRPr="00FD211F">
        <w:rPr>
          <w:sz w:val="36"/>
          <w:szCs w:val="36"/>
          <w:rtl/>
        </w:rPr>
        <w:t>واحد</w:t>
      </w:r>
      <w:r w:rsidR="00E8128F">
        <w:rPr>
          <w:sz w:val="36"/>
          <w:szCs w:val="36"/>
          <w:rtl/>
        </w:rPr>
        <w:t xml:space="preserve"> </w:t>
      </w:r>
      <w:r w:rsidR="000B4AB4" w:rsidRPr="00FD211F">
        <w:rPr>
          <w:sz w:val="36"/>
          <w:szCs w:val="36"/>
          <w:rtl/>
        </w:rPr>
        <w:t>لنج</w:t>
      </w:r>
      <w:r w:rsidR="00B1676A" w:rsidRPr="00FD211F">
        <w:rPr>
          <w:sz w:val="36"/>
          <w:szCs w:val="36"/>
          <w:rtl/>
        </w:rPr>
        <w:t>اس</w:t>
      </w:r>
      <w:r w:rsidR="00EC7EDF" w:rsidRPr="00FD211F">
        <w:rPr>
          <w:sz w:val="36"/>
          <w:szCs w:val="36"/>
          <w:rtl/>
        </w:rPr>
        <w:t>ة</w:t>
      </w:r>
      <w:r w:rsidR="00E8128F">
        <w:rPr>
          <w:sz w:val="36"/>
          <w:szCs w:val="36"/>
          <w:rtl/>
        </w:rPr>
        <w:t xml:space="preserve"> </w:t>
      </w:r>
      <w:r w:rsidR="00B1676A" w:rsidRPr="00FD211F">
        <w:rPr>
          <w:sz w:val="36"/>
          <w:szCs w:val="36"/>
          <w:rtl/>
        </w:rPr>
        <w:t>طبيع</w:t>
      </w:r>
      <w:r w:rsidR="00EC7EDF" w:rsidRPr="00FD211F">
        <w:rPr>
          <w:sz w:val="36"/>
          <w:szCs w:val="36"/>
          <w:rtl/>
        </w:rPr>
        <w:t>ة</w:t>
      </w:r>
      <w:r w:rsidR="00E8128F">
        <w:rPr>
          <w:sz w:val="36"/>
          <w:szCs w:val="36"/>
          <w:rtl/>
        </w:rPr>
        <w:t xml:space="preserve"> </w:t>
      </w:r>
      <w:r w:rsidR="009A5CF0" w:rsidRPr="00FD211F">
        <w:rPr>
          <w:sz w:val="36"/>
          <w:szCs w:val="36"/>
          <w:rtl/>
        </w:rPr>
        <w:t>الثوب</w:t>
      </w:r>
      <w:r w:rsidR="00E8128F">
        <w:rPr>
          <w:sz w:val="36"/>
          <w:szCs w:val="36"/>
          <w:rtl/>
        </w:rPr>
        <w:t xml:space="preserve"> </w:t>
      </w:r>
      <w:r w:rsidR="009A5CF0" w:rsidRPr="00FD211F">
        <w:rPr>
          <w:sz w:val="36"/>
          <w:szCs w:val="36"/>
          <w:rtl/>
        </w:rPr>
        <w:t>الملاقي</w:t>
      </w:r>
      <w:r w:rsidR="00E8128F">
        <w:rPr>
          <w:sz w:val="36"/>
          <w:szCs w:val="36"/>
          <w:rtl/>
        </w:rPr>
        <w:t xml:space="preserve"> </w:t>
      </w:r>
      <w:r w:rsidR="009A5CF0" w:rsidRPr="00FD211F">
        <w:rPr>
          <w:sz w:val="36"/>
          <w:szCs w:val="36"/>
          <w:rtl/>
        </w:rPr>
        <w:t>ل</w:t>
      </w:r>
      <w:r w:rsidR="003847D5" w:rsidRPr="00FD211F">
        <w:rPr>
          <w:sz w:val="36"/>
          <w:szCs w:val="36"/>
          <w:rtl/>
        </w:rPr>
        <w:t>لدم</w:t>
      </w:r>
      <w:r w:rsidR="00603323" w:rsidRPr="00FD211F">
        <w:rPr>
          <w:sz w:val="36"/>
          <w:szCs w:val="36"/>
          <w:rtl/>
        </w:rPr>
        <w:t>،</w:t>
      </w:r>
      <w:r w:rsidR="00E8128F">
        <w:rPr>
          <w:sz w:val="36"/>
          <w:szCs w:val="36"/>
          <w:rtl/>
        </w:rPr>
        <w:t xml:space="preserve"> </w:t>
      </w:r>
      <w:r w:rsidR="00B1676A" w:rsidRPr="00FD211F">
        <w:rPr>
          <w:sz w:val="36"/>
          <w:szCs w:val="36"/>
          <w:rtl/>
        </w:rPr>
        <w:t>لكنه</w:t>
      </w:r>
      <w:r w:rsidR="00E8128F">
        <w:rPr>
          <w:sz w:val="36"/>
          <w:szCs w:val="36"/>
          <w:rtl/>
        </w:rPr>
        <w:t xml:space="preserve"> </w:t>
      </w:r>
      <w:r w:rsidR="00B1676A" w:rsidRPr="00FD211F">
        <w:rPr>
          <w:sz w:val="36"/>
          <w:szCs w:val="36"/>
          <w:rtl/>
        </w:rPr>
        <w:t>حيث</w:t>
      </w:r>
      <w:r w:rsidR="00E8128F">
        <w:rPr>
          <w:sz w:val="36"/>
          <w:szCs w:val="36"/>
          <w:rtl/>
        </w:rPr>
        <w:t xml:space="preserve"> </w:t>
      </w:r>
      <w:r w:rsidR="00B1676A" w:rsidRPr="00FD211F">
        <w:rPr>
          <w:sz w:val="36"/>
          <w:szCs w:val="36"/>
          <w:rtl/>
        </w:rPr>
        <w:t>ت</w:t>
      </w:r>
      <w:r w:rsidR="000B4AB4" w:rsidRPr="00FD211F">
        <w:rPr>
          <w:sz w:val="36"/>
          <w:szCs w:val="36"/>
          <w:rtl/>
        </w:rPr>
        <w:t>تحد</w:t>
      </w:r>
      <w:r w:rsidR="00E8128F">
        <w:rPr>
          <w:sz w:val="36"/>
          <w:szCs w:val="36"/>
          <w:rtl/>
        </w:rPr>
        <w:t xml:space="preserve"> </w:t>
      </w:r>
      <w:r w:rsidR="00B1676A" w:rsidRPr="00FD211F">
        <w:rPr>
          <w:sz w:val="36"/>
          <w:szCs w:val="36"/>
          <w:rtl/>
        </w:rPr>
        <w:t>الطبيع</w:t>
      </w:r>
      <w:r w:rsidR="00EC7EDF" w:rsidRPr="00FD211F">
        <w:rPr>
          <w:sz w:val="36"/>
          <w:szCs w:val="36"/>
          <w:rtl/>
        </w:rPr>
        <w:t>ة</w:t>
      </w:r>
      <w:r w:rsidR="00E8128F">
        <w:rPr>
          <w:sz w:val="36"/>
          <w:szCs w:val="36"/>
          <w:rtl/>
        </w:rPr>
        <w:t xml:space="preserve"> </w:t>
      </w:r>
      <w:r w:rsidR="00B1676A" w:rsidRPr="00FD211F">
        <w:rPr>
          <w:sz w:val="36"/>
          <w:szCs w:val="36"/>
          <w:rtl/>
        </w:rPr>
        <w:t>مع</w:t>
      </w:r>
      <w:r w:rsidR="00E8128F">
        <w:rPr>
          <w:sz w:val="36"/>
          <w:szCs w:val="36"/>
          <w:rtl/>
        </w:rPr>
        <w:t xml:space="preserve"> </w:t>
      </w:r>
      <w:r w:rsidR="00B1676A" w:rsidRPr="00FD211F">
        <w:rPr>
          <w:sz w:val="36"/>
          <w:szCs w:val="36"/>
          <w:rtl/>
        </w:rPr>
        <w:t>افرادها</w:t>
      </w:r>
      <w:r w:rsidR="00E8128F">
        <w:rPr>
          <w:sz w:val="36"/>
          <w:szCs w:val="36"/>
          <w:rtl/>
        </w:rPr>
        <w:t xml:space="preserve"> </w:t>
      </w:r>
      <w:r w:rsidR="00B1676A" w:rsidRPr="00FD211F">
        <w:rPr>
          <w:sz w:val="36"/>
          <w:szCs w:val="36"/>
          <w:rtl/>
        </w:rPr>
        <w:t>فيث</w:t>
      </w:r>
      <w:r w:rsidR="009A5CF0" w:rsidRPr="00FD211F">
        <w:rPr>
          <w:sz w:val="36"/>
          <w:szCs w:val="36"/>
          <w:rtl/>
        </w:rPr>
        <w:t>بت</w:t>
      </w:r>
      <w:r w:rsidR="00E8128F">
        <w:rPr>
          <w:sz w:val="36"/>
          <w:szCs w:val="36"/>
          <w:rtl/>
        </w:rPr>
        <w:t xml:space="preserve"> </w:t>
      </w:r>
      <w:r w:rsidR="009A5CF0" w:rsidRPr="00FD211F">
        <w:rPr>
          <w:sz w:val="36"/>
          <w:szCs w:val="36"/>
          <w:rtl/>
        </w:rPr>
        <w:t>وصف</w:t>
      </w:r>
      <w:r w:rsidR="00E8128F">
        <w:rPr>
          <w:sz w:val="36"/>
          <w:szCs w:val="36"/>
          <w:rtl/>
        </w:rPr>
        <w:t xml:space="preserve"> </w:t>
      </w:r>
      <w:r w:rsidR="009A5CF0" w:rsidRPr="00FD211F">
        <w:rPr>
          <w:sz w:val="36"/>
          <w:szCs w:val="36"/>
          <w:rtl/>
        </w:rPr>
        <w:t>الطبيع</w:t>
      </w:r>
      <w:r w:rsidR="00EC7EDF" w:rsidRPr="00FD211F">
        <w:rPr>
          <w:sz w:val="36"/>
          <w:szCs w:val="36"/>
          <w:rtl/>
        </w:rPr>
        <w:t>ة</w:t>
      </w:r>
      <w:r w:rsidR="00E8128F">
        <w:rPr>
          <w:sz w:val="36"/>
          <w:szCs w:val="36"/>
          <w:rtl/>
        </w:rPr>
        <w:t xml:space="preserve"> </w:t>
      </w:r>
      <w:r w:rsidR="00F353AB" w:rsidRPr="00FD211F">
        <w:rPr>
          <w:sz w:val="36"/>
          <w:szCs w:val="36"/>
          <w:rtl/>
        </w:rPr>
        <w:t>"</w:t>
      </w:r>
      <w:r w:rsidR="00083AA3" w:rsidRPr="00FD211F">
        <w:rPr>
          <w:sz w:val="36"/>
          <w:szCs w:val="36"/>
          <w:rtl/>
        </w:rPr>
        <w:t>وهو</w:t>
      </w:r>
      <w:r w:rsidR="00E8128F">
        <w:rPr>
          <w:sz w:val="36"/>
          <w:szCs w:val="36"/>
          <w:rtl/>
        </w:rPr>
        <w:t xml:space="preserve"> </w:t>
      </w:r>
      <w:r w:rsidR="00083AA3" w:rsidRPr="00FD211F">
        <w:rPr>
          <w:sz w:val="36"/>
          <w:szCs w:val="36"/>
          <w:rtl/>
        </w:rPr>
        <w:t>الن</w:t>
      </w:r>
      <w:r w:rsidR="00F353AB" w:rsidRPr="00FD211F">
        <w:rPr>
          <w:sz w:val="36"/>
          <w:szCs w:val="36"/>
          <w:rtl/>
        </w:rPr>
        <w:t>جاس</w:t>
      </w:r>
      <w:r w:rsidR="00EC7EDF" w:rsidRPr="00FD211F">
        <w:rPr>
          <w:sz w:val="36"/>
          <w:szCs w:val="36"/>
          <w:rtl/>
        </w:rPr>
        <w:t>ة</w:t>
      </w:r>
      <w:r w:rsidR="00E8128F">
        <w:rPr>
          <w:sz w:val="36"/>
          <w:szCs w:val="36"/>
          <w:rtl/>
        </w:rPr>
        <w:t xml:space="preserve"> </w:t>
      </w:r>
      <w:r w:rsidR="00F353AB" w:rsidRPr="00FD211F">
        <w:rPr>
          <w:sz w:val="36"/>
          <w:szCs w:val="36"/>
          <w:rtl/>
        </w:rPr>
        <w:t>"</w:t>
      </w:r>
      <w:r w:rsidR="00E8128F">
        <w:rPr>
          <w:sz w:val="36"/>
          <w:szCs w:val="36"/>
          <w:rtl/>
        </w:rPr>
        <w:t xml:space="preserve"> </w:t>
      </w:r>
      <w:r w:rsidR="009A5CF0" w:rsidRPr="00FD211F">
        <w:rPr>
          <w:sz w:val="36"/>
          <w:szCs w:val="36"/>
          <w:rtl/>
        </w:rPr>
        <w:t>لكل</w:t>
      </w:r>
      <w:r w:rsidR="00E8128F">
        <w:rPr>
          <w:sz w:val="36"/>
          <w:szCs w:val="36"/>
          <w:rtl/>
        </w:rPr>
        <w:t xml:space="preserve"> </w:t>
      </w:r>
      <w:r w:rsidR="009A5CF0" w:rsidRPr="00FD211F">
        <w:rPr>
          <w:sz w:val="36"/>
          <w:szCs w:val="36"/>
          <w:rtl/>
        </w:rPr>
        <w:t>فردمن</w:t>
      </w:r>
      <w:r w:rsidR="00E8128F">
        <w:rPr>
          <w:sz w:val="36"/>
          <w:szCs w:val="36"/>
          <w:rtl/>
        </w:rPr>
        <w:t xml:space="preserve"> </w:t>
      </w:r>
      <w:r w:rsidR="009A5CF0" w:rsidRPr="00FD211F">
        <w:rPr>
          <w:sz w:val="36"/>
          <w:szCs w:val="36"/>
          <w:rtl/>
        </w:rPr>
        <w:t>افرادالثوب</w:t>
      </w:r>
      <w:r w:rsidR="00E8128F">
        <w:rPr>
          <w:sz w:val="36"/>
          <w:szCs w:val="36"/>
          <w:rtl/>
        </w:rPr>
        <w:t xml:space="preserve"> </w:t>
      </w:r>
      <w:r w:rsidR="009A5CF0" w:rsidRPr="00FD211F">
        <w:rPr>
          <w:sz w:val="36"/>
          <w:szCs w:val="36"/>
          <w:rtl/>
        </w:rPr>
        <w:t>الملاقى</w:t>
      </w:r>
      <w:r w:rsidR="00E8128F">
        <w:rPr>
          <w:sz w:val="36"/>
          <w:szCs w:val="36"/>
          <w:rtl/>
        </w:rPr>
        <w:t xml:space="preserve"> </w:t>
      </w:r>
      <w:r w:rsidR="009A5CF0" w:rsidRPr="00FD211F">
        <w:rPr>
          <w:sz w:val="36"/>
          <w:szCs w:val="36"/>
          <w:rtl/>
        </w:rPr>
        <w:t>للدم</w:t>
      </w:r>
      <w:r w:rsidR="00603323" w:rsidRPr="00FD211F">
        <w:rPr>
          <w:sz w:val="36"/>
          <w:szCs w:val="36"/>
          <w:rtl/>
        </w:rPr>
        <w:t>،</w:t>
      </w:r>
      <w:r w:rsidR="00E8128F">
        <w:rPr>
          <w:sz w:val="36"/>
          <w:szCs w:val="36"/>
          <w:rtl/>
        </w:rPr>
        <w:t xml:space="preserve"> </w:t>
      </w:r>
      <w:r w:rsidR="00B1676A" w:rsidRPr="00FD211F">
        <w:rPr>
          <w:sz w:val="36"/>
          <w:szCs w:val="36"/>
          <w:rtl/>
        </w:rPr>
        <w:t>و</w:t>
      </w:r>
      <w:r w:rsidR="00F353AB" w:rsidRPr="00FD211F">
        <w:rPr>
          <w:sz w:val="36"/>
          <w:szCs w:val="36"/>
          <w:rtl/>
        </w:rPr>
        <w:t>قديعبر</w:t>
      </w:r>
      <w:r w:rsidR="00E8128F">
        <w:rPr>
          <w:sz w:val="36"/>
          <w:szCs w:val="36"/>
          <w:rtl/>
        </w:rPr>
        <w:t xml:space="preserve"> </w:t>
      </w:r>
      <w:r w:rsidR="00F353AB" w:rsidRPr="00FD211F">
        <w:rPr>
          <w:sz w:val="36"/>
          <w:szCs w:val="36"/>
          <w:rtl/>
        </w:rPr>
        <w:t>عن</w:t>
      </w:r>
      <w:r w:rsidR="00E8128F">
        <w:rPr>
          <w:sz w:val="36"/>
          <w:szCs w:val="36"/>
          <w:rtl/>
        </w:rPr>
        <w:t xml:space="preserve"> </w:t>
      </w:r>
      <w:r w:rsidR="00B1676A" w:rsidRPr="00FD211F">
        <w:rPr>
          <w:sz w:val="36"/>
          <w:szCs w:val="36"/>
          <w:rtl/>
        </w:rPr>
        <w:t>ذ</w:t>
      </w:r>
      <w:r w:rsidR="00F353AB" w:rsidRPr="00FD211F">
        <w:rPr>
          <w:sz w:val="36"/>
          <w:szCs w:val="36"/>
          <w:rtl/>
        </w:rPr>
        <w:t>لك</w:t>
      </w:r>
      <w:r w:rsidR="00E8128F">
        <w:rPr>
          <w:sz w:val="36"/>
          <w:szCs w:val="36"/>
          <w:rtl/>
        </w:rPr>
        <w:t xml:space="preserve"> </w:t>
      </w:r>
      <w:r w:rsidR="00B1676A" w:rsidRPr="00FD211F">
        <w:rPr>
          <w:sz w:val="36"/>
          <w:szCs w:val="36"/>
          <w:rtl/>
        </w:rPr>
        <w:t>بانحلال</w:t>
      </w:r>
      <w:r w:rsidR="00E8128F">
        <w:rPr>
          <w:sz w:val="36"/>
          <w:szCs w:val="36"/>
          <w:rtl/>
        </w:rPr>
        <w:t xml:space="preserve"> </w:t>
      </w:r>
      <w:r w:rsidR="00B1676A" w:rsidRPr="00FD211F">
        <w:rPr>
          <w:sz w:val="36"/>
          <w:szCs w:val="36"/>
          <w:rtl/>
        </w:rPr>
        <w:t>المجعول</w:t>
      </w:r>
      <w:r w:rsidR="00E8128F">
        <w:rPr>
          <w:sz w:val="36"/>
          <w:szCs w:val="36"/>
          <w:rtl/>
        </w:rPr>
        <w:t xml:space="preserve"> </w:t>
      </w:r>
      <w:r w:rsidR="00B1676A" w:rsidRPr="00FD211F">
        <w:rPr>
          <w:sz w:val="36"/>
          <w:szCs w:val="36"/>
          <w:rtl/>
        </w:rPr>
        <w:t>بالعرض</w:t>
      </w:r>
      <w:r w:rsidR="00603323" w:rsidRPr="00FD211F">
        <w:rPr>
          <w:sz w:val="36"/>
          <w:szCs w:val="36"/>
          <w:rtl/>
        </w:rPr>
        <w:t>،</w:t>
      </w:r>
      <w:r w:rsidR="00E8128F">
        <w:rPr>
          <w:sz w:val="36"/>
          <w:szCs w:val="36"/>
          <w:rtl/>
        </w:rPr>
        <w:t xml:space="preserve"> </w:t>
      </w:r>
      <w:r w:rsidR="00257C3E" w:rsidRPr="00FD211F">
        <w:rPr>
          <w:sz w:val="36"/>
          <w:szCs w:val="36"/>
          <w:rtl/>
        </w:rPr>
        <w:t>وترتب</w:t>
      </w:r>
      <w:r w:rsidR="00E8128F">
        <w:rPr>
          <w:sz w:val="36"/>
          <w:szCs w:val="36"/>
          <w:rtl/>
        </w:rPr>
        <w:t xml:space="preserve"> </w:t>
      </w:r>
      <w:r w:rsidR="00257C3E" w:rsidRPr="00FD211F">
        <w:rPr>
          <w:sz w:val="36"/>
          <w:szCs w:val="36"/>
          <w:rtl/>
        </w:rPr>
        <w:t>انحلال</w:t>
      </w:r>
      <w:r w:rsidR="00E8128F">
        <w:rPr>
          <w:sz w:val="36"/>
          <w:szCs w:val="36"/>
          <w:rtl/>
        </w:rPr>
        <w:t xml:space="preserve"> </w:t>
      </w:r>
      <w:r w:rsidR="00257C3E" w:rsidRPr="00FD211F">
        <w:rPr>
          <w:sz w:val="36"/>
          <w:szCs w:val="36"/>
          <w:rtl/>
        </w:rPr>
        <w:t>المجعول</w:t>
      </w:r>
      <w:r w:rsidR="00E8128F">
        <w:rPr>
          <w:sz w:val="36"/>
          <w:szCs w:val="36"/>
          <w:rtl/>
        </w:rPr>
        <w:t xml:space="preserve"> </w:t>
      </w:r>
      <w:r w:rsidR="00257C3E" w:rsidRPr="00FD211F">
        <w:rPr>
          <w:sz w:val="36"/>
          <w:szCs w:val="36"/>
          <w:rtl/>
        </w:rPr>
        <w:t>بالعرض</w:t>
      </w:r>
      <w:r w:rsidR="00E8128F">
        <w:rPr>
          <w:sz w:val="36"/>
          <w:szCs w:val="36"/>
          <w:rtl/>
        </w:rPr>
        <w:t xml:space="preserve"> </w:t>
      </w:r>
      <w:r w:rsidR="00257C3E" w:rsidRPr="00FD211F">
        <w:rPr>
          <w:sz w:val="36"/>
          <w:szCs w:val="36"/>
          <w:rtl/>
        </w:rPr>
        <w:t>ع</w:t>
      </w:r>
      <w:r w:rsidR="000D7A69" w:rsidRPr="00FD211F">
        <w:rPr>
          <w:sz w:val="36"/>
          <w:szCs w:val="36"/>
          <w:rtl/>
        </w:rPr>
        <w:t>لى</w:t>
      </w:r>
      <w:r w:rsidR="00E8128F">
        <w:rPr>
          <w:sz w:val="36"/>
          <w:szCs w:val="36"/>
          <w:rtl/>
        </w:rPr>
        <w:t xml:space="preserve"> </w:t>
      </w:r>
      <w:r w:rsidR="000D7A69" w:rsidRPr="00FD211F">
        <w:rPr>
          <w:sz w:val="36"/>
          <w:szCs w:val="36"/>
          <w:rtl/>
        </w:rPr>
        <w:t>اطلاق</w:t>
      </w:r>
      <w:r w:rsidR="00E8128F">
        <w:rPr>
          <w:sz w:val="36"/>
          <w:szCs w:val="36"/>
          <w:rtl/>
        </w:rPr>
        <w:t xml:space="preserve"> </w:t>
      </w:r>
      <w:r w:rsidR="000D7A69" w:rsidRPr="00FD211F">
        <w:rPr>
          <w:sz w:val="36"/>
          <w:szCs w:val="36"/>
          <w:rtl/>
        </w:rPr>
        <w:t>الجعل</w:t>
      </w:r>
      <w:r w:rsidR="00E8128F">
        <w:rPr>
          <w:sz w:val="36"/>
          <w:szCs w:val="36"/>
          <w:rtl/>
        </w:rPr>
        <w:t xml:space="preserve"> </w:t>
      </w:r>
      <w:r w:rsidR="000D7A69" w:rsidRPr="00FD211F">
        <w:rPr>
          <w:sz w:val="36"/>
          <w:szCs w:val="36"/>
          <w:rtl/>
        </w:rPr>
        <w:t>ترتب</w:t>
      </w:r>
      <w:r w:rsidR="00E8128F">
        <w:rPr>
          <w:sz w:val="36"/>
          <w:szCs w:val="36"/>
          <w:rtl/>
        </w:rPr>
        <w:t xml:space="preserve"> </w:t>
      </w:r>
      <w:r w:rsidR="000D7A69" w:rsidRPr="00FD211F">
        <w:rPr>
          <w:sz w:val="36"/>
          <w:szCs w:val="36"/>
          <w:rtl/>
        </w:rPr>
        <w:t>عقلي</w:t>
      </w:r>
      <w:r w:rsidR="00E8128F">
        <w:rPr>
          <w:sz w:val="36"/>
          <w:szCs w:val="36"/>
          <w:rtl/>
        </w:rPr>
        <w:t xml:space="preserve"> </w:t>
      </w:r>
      <w:r w:rsidR="000D7A69" w:rsidRPr="00FD211F">
        <w:rPr>
          <w:sz w:val="36"/>
          <w:szCs w:val="36"/>
          <w:rtl/>
        </w:rPr>
        <w:t>وليس</w:t>
      </w:r>
      <w:r w:rsidR="00E8128F">
        <w:rPr>
          <w:sz w:val="36"/>
          <w:szCs w:val="36"/>
          <w:rtl/>
        </w:rPr>
        <w:t xml:space="preserve"> </w:t>
      </w:r>
      <w:r w:rsidR="000D7A69" w:rsidRPr="00FD211F">
        <w:rPr>
          <w:sz w:val="36"/>
          <w:szCs w:val="36"/>
          <w:rtl/>
        </w:rPr>
        <w:t>ت</w:t>
      </w:r>
      <w:r w:rsidR="00257C3E" w:rsidRPr="00FD211F">
        <w:rPr>
          <w:sz w:val="36"/>
          <w:szCs w:val="36"/>
          <w:rtl/>
        </w:rPr>
        <w:t>ر</w:t>
      </w:r>
      <w:r w:rsidR="000D7A69" w:rsidRPr="00FD211F">
        <w:rPr>
          <w:sz w:val="36"/>
          <w:szCs w:val="36"/>
          <w:rtl/>
        </w:rPr>
        <w:t>تب</w:t>
      </w:r>
      <w:r w:rsidR="00257C3E" w:rsidRPr="00FD211F">
        <w:rPr>
          <w:sz w:val="36"/>
          <w:szCs w:val="36"/>
          <w:rtl/>
        </w:rPr>
        <w:t>ا</w:t>
      </w:r>
      <w:r w:rsidR="00E8128F">
        <w:rPr>
          <w:sz w:val="36"/>
          <w:szCs w:val="36"/>
          <w:rtl/>
        </w:rPr>
        <w:t xml:space="preserve"> </w:t>
      </w:r>
      <w:r w:rsidR="00257C3E" w:rsidRPr="00FD211F">
        <w:rPr>
          <w:sz w:val="36"/>
          <w:szCs w:val="36"/>
          <w:rtl/>
        </w:rPr>
        <w:t>شرعيا</w:t>
      </w:r>
      <w:r w:rsidR="00603323" w:rsidRPr="00FD211F">
        <w:rPr>
          <w:sz w:val="36"/>
          <w:szCs w:val="36"/>
          <w:rtl/>
        </w:rPr>
        <w:t>،</w:t>
      </w:r>
      <w:r w:rsidR="00E8128F">
        <w:rPr>
          <w:sz w:val="36"/>
          <w:szCs w:val="36"/>
          <w:rtl/>
        </w:rPr>
        <w:t xml:space="preserve"> </w:t>
      </w:r>
      <w:r w:rsidR="00257C3E" w:rsidRPr="00FD211F">
        <w:rPr>
          <w:sz w:val="36"/>
          <w:szCs w:val="36"/>
          <w:rtl/>
        </w:rPr>
        <w:t>فيكون</w:t>
      </w:r>
      <w:r w:rsidR="00E8128F">
        <w:rPr>
          <w:sz w:val="36"/>
          <w:szCs w:val="36"/>
          <w:rtl/>
        </w:rPr>
        <w:t xml:space="preserve"> </w:t>
      </w:r>
      <w:r w:rsidR="00257C3E" w:rsidRPr="00FD211F">
        <w:rPr>
          <w:sz w:val="36"/>
          <w:szCs w:val="36"/>
          <w:rtl/>
        </w:rPr>
        <w:t>إثباته</w:t>
      </w:r>
      <w:r w:rsidR="00E8128F">
        <w:rPr>
          <w:sz w:val="36"/>
          <w:szCs w:val="36"/>
          <w:rtl/>
        </w:rPr>
        <w:t xml:space="preserve"> </w:t>
      </w:r>
      <w:r w:rsidR="00257C3E" w:rsidRPr="00FD211F">
        <w:rPr>
          <w:sz w:val="36"/>
          <w:szCs w:val="36"/>
          <w:rtl/>
        </w:rPr>
        <w:t>باستصحاب</w:t>
      </w:r>
      <w:r w:rsidR="00E8128F">
        <w:rPr>
          <w:sz w:val="36"/>
          <w:szCs w:val="36"/>
          <w:rtl/>
        </w:rPr>
        <w:t xml:space="preserve"> </w:t>
      </w:r>
      <w:r w:rsidR="00257C3E" w:rsidRPr="00FD211F">
        <w:rPr>
          <w:sz w:val="36"/>
          <w:szCs w:val="36"/>
          <w:rtl/>
        </w:rPr>
        <w:t>عدم</w:t>
      </w:r>
      <w:r w:rsidR="00E8128F">
        <w:rPr>
          <w:sz w:val="36"/>
          <w:szCs w:val="36"/>
          <w:rtl/>
        </w:rPr>
        <w:t xml:space="preserve"> </w:t>
      </w:r>
      <w:r w:rsidR="00257C3E" w:rsidRPr="00FD211F">
        <w:rPr>
          <w:sz w:val="36"/>
          <w:szCs w:val="36"/>
          <w:rtl/>
        </w:rPr>
        <w:t>التقييد</w:t>
      </w:r>
      <w:r w:rsidR="00E8128F">
        <w:rPr>
          <w:sz w:val="36"/>
          <w:szCs w:val="36"/>
          <w:rtl/>
        </w:rPr>
        <w:t xml:space="preserve"> </w:t>
      </w:r>
      <w:r w:rsidR="00257C3E" w:rsidRPr="00FD211F">
        <w:rPr>
          <w:sz w:val="36"/>
          <w:szCs w:val="36"/>
          <w:rtl/>
        </w:rPr>
        <w:t>من</w:t>
      </w:r>
      <w:r w:rsidR="00E8128F">
        <w:rPr>
          <w:sz w:val="36"/>
          <w:szCs w:val="36"/>
          <w:rtl/>
        </w:rPr>
        <w:t xml:space="preserve"> </w:t>
      </w:r>
      <w:r w:rsidR="00257C3E" w:rsidRPr="00FD211F">
        <w:rPr>
          <w:sz w:val="36"/>
          <w:szCs w:val="36"/>
          <w:rtl/>
        </w:rPr>
        <w:t>الأصل</w:t>
      </w:r>
      <w:r w:rsidR="00E8128F">
        <w:rPr>
          <w:sz w:val="36"/>
          <w:szCs w:val="36"/>
          <w:rtl/>
        </w:rPr>
        <w:t xml:space="preserve"> </w:t>
      </w:r>
      <w:r w:rsidR="00257C3E" w:rsidRPr="00FD211F">
        <w:rPr>
          <w:sz w:val="36"/>
          <w:szCs w:val="36"/>
          <w:rtl/>
        </w:rPr>
        <w:t>المثبت</w:t>
      </w:r>
      <w:r w:rsidR="00603323" w:rsidRPr="00FD211F">
        <w:rPr>
          <w:sz w:val="36"/>
          <w:szCs w:val="36"/>
          <w:rtl/>
        </w:rPr>
        <w:t>،</w:t>
      </w:r>
      <w:r w:rsidR="00E8128F">
        <w:rPr>
          <w:sz w:val="36"/>
          <w:szCs w:val="36"/>
          <w:rtl/>
        </w:rPr>
        <w:t xml:space="preserve"> </w:t>
      </w:r>
      <w:r w:rsidR="00257C3E" w:rsidRPr="00FD211F">
        <w:rPr>
          <w:sz w:val="36"/>
          <w:szCs w:val="36"/>
          <w:rtl/>
        </w:rPr>
        <w:t>ويشهد</w:t>
      </w:r>
      <w:r w:rsidR="00E8128F">
        <w:rPr>
          <w:sz w:val="36"/>
          <w:szCs w:val="36"/>
          <w:rtl/>
        </w:rPr>
        <w:t xml:space="preserve"> </w:t>
      </w:r>
      <w:r w:rsidR="00257C3E" w:rsidRPr="00FD211F">
        <w:rPr>
          <w:sz w:val="36"/>
          <w:szCs w:val="36"/>
          <w:rtl/>
        </w:rPr>
        <w:t>على</w:t>
      </w:r>
      <w:r w:rsidR="00E8128F">
        <w:rPr>
          <w:sz w:val="36"/>
          <w:szCs w:val="36"/>
          <w:rtl/>
        </w:rPr>
        <w:t xml:space="preserve"> </w:t>
      </w:r>
      <w:r w:rsidR="00257C3E" w:rsidRPr="00FD211F">
        <w:rPr>
          <w:sz w:val="36"/>
          <w:szCs w:val="36"/>
          <w:rtl/>
        </w:rPr>
        <w:t>ذلك</w:t>
      </w:r>
      <w:r w:rsidR="00E8128F">
        <w:rPr>
          <w:sz w:val="36"/>
          <w:szCs w:val="36"/>
          <w:rtl/>
        </w:rPr>
        <w:t xml:space="preserve"> </w:t>
      </w:r>
      <w:r w:rsidR="00257C3E" w:rsidRPr="00FD211F">
        <w:rPr>
          <w:sz w:val="36"/>
          <w:szCs w:val="36"/>
          <w:rtl/>
        </w:rPr>
        <w:t>ارتكازي</w:t>
      </w:r>
      <w:r w:rsidR="00EC7EDF" w:rsidRPr="00FD211F">
        <w:rPr>
          <w:sz w:val="36"/>
          <w:szCs w:val="36"/>
          <w:rtl/>
        </w:rPr>
        <w:t>ة</w:t>
      </w:r>
      <w:r w:rsidR="00E8128F">
        <w:rPr>
          <w:sz w:val="36"/>
          <w:szCs w:val="36"/>
          <w:rtl/>
        </w:rPr>
        <w:t xml:space="preserve"> </w:t>
      </w:r>
      <w:r w:rsidR="00257C3E" w:rsidRPr="00FD211F">
        <w:rPr>
          <w:sz w:val="36"/>
          <w:szCs w:val="36"/>
          <w:rtl/>
        </w:rPr>
        <w:t>كون</w:t>
      </w:r>
      <w:r w:rsidR="00E8128F">
        <w:rPr>
          <w:sz w:val="36"/>
          <w:szCs w:val="36"/>
          <w:rtl/>
        </w:rPr>
        <w:t xml:space="preserve"> </w:t>
      </w:r>
      <w:r w:rsidR="00257C3E" w:rsidRPr="00FD211F">
        <w:rPr>
          <w:sz w:val="36"/>
          <w:szCs w:val="36"/>
          <w:rtl/>
        </w:rPr>
        <w:t>اثبات</w:t>
      </w:r>
      <w:r w:rsidR="00E8128F">
        <w:rPr>
          <w:sz w:val="36"/>
          <w:szCs w:val="36"/>
          <w:rtl/>
        </w:rPr>
        <w:t xml:space="preserve"> </w:t>
      </w:r>
      <w:r w:rsidR="00257C3E" w:rsidRPr="00FD211F">
        <w:rPr>
          <w:sz w:val="36"/>
          <w:szCs w:val="36"/>
          <w:rtl/>
        </w:rPr>
        <w:t>نجاس</w:t>
      </w:r>
      <w:r w:rsidR="00EC7EDF" w:rsidRPr="00FD211F">
        <w:rPr>
          <w:sz w:val="36"/>
          <w:szCs w:val="36"/>
          <w:rtl/>
        </w:rPr>
        <w:t>ة</w:t>
      </w:r>
      <w:r w:rsidR="00E8128F">
        <w:rPr>
          <w:sz w:val="36"/>
          <w:szCs w:val="36"/>
          <w:rtl/>
        </w:rPr>
        <w:t xml:space="preserve"> </w:t>
      </w:r>
      <w:r w:rsidR="00257C3E" w:rsidRPr="00FD211F">
        <w:rPr>
          <w:sz w:val="36"/>
          <w:szCs w:val="36"/>
          <w:rtl/>
        </w:rPr>
        <w:t>الدم</w:t>
      </w:r>
      <w:r w:rsidR="00E8128F">
        <w:rPr>
          <w:sz w:val="36"/>
          <w:szCs w:val="36"/>
          <w:rtl/>
        </w:rPr>
        <w:t xml:space="preserve"> </w:t>
      </w:r>
      <w:r w:rsidR="00257C3E" w:rsidRPr="00FD211F">
        <w:rPr>
          <w:sz w:val="36"/>
          <w:szCs w:val="36"/>
          <w:rtl/>
        </w:rPr>
        <w:t>الأصفر</w:t>
      </w:r>
      <w:r w:rsidR="00E8128F">
        <w:rPr>
          <w:sz w:val="36"/>
          <w:szCs w:val="36"/>
          <w:rtl/>
        </w:rPr>
        <w:t xml:space="preserve"> </w:t>
      </w:r>
      <w:r w:rsidR="00257C3E" w:rsidRPr="00FD211F">
        <w:rPr>
          <w:sz w:val="36"/>
          <w:szCs w:val="36"/>
          <w:rtl/>
        </w:rPr>
        <w:t>باستصحاب</w:t>
      </w:r>
      <w:r w:rsidR="00E8128F">
        <w:rPr>
          <w:sz w:val="36"/>
          <w:szCs w:val="36"/>
          <w:rtl/>
        </w:rPr>
        <w:t xml:space="preserve"> </w:t>
      </w:r>
      <w:r w:rsidR="00257C3E" w:rsidRPr="00FD211F">
        <w:rPr>
          <w:sz w:val="36"/>
          <w:szCs w:val="36"/>
          <w:rtl/>
        </w:rPr>
        <w:t>عدم</w:t>
      </w:r>
      <w:r w:rsidR="00E8128F">
        <w:rPr>
          <w:sz w:val="36"/>
          <w:szCs w:val="36"/>
          <w:rtl/>
        </w:rPr>
        <w:t xml:space="preserve"> </w:t>
      </w:r>
      <w:r w:rsidR="00257C3E" w:rsidRPr="00FD211F">
        <w:rPr>
          <w:sz w:val="36"/>
          <w:szCs w:val="36"/>
          <w:rtl/>
        </w:rPr>
        <w:t>تقييد</w:t>
      </w:r>
      <w:r w:rsidR="00E8128F">
        <w:rPr>
          <w:sz w:val="36"/>
          <w:szCs w:val="36"/>
          <w:rtl/>
        </w:rPr>
        <w:t xml:space="preserve"> </w:t>
      </w:r>
      <w:r w:rsidR="00257C3E" w:rsidRPr="00FD211F">
        <w:rPr>
          <w:sz w:val="36"/>
          <w:szCs w:val="36"/>
          <w:rtl/>
        </w:rPr>
        <w:t>الدم</w:t>
      </w:r>
      <w:r w:rsidR="00E8128F">
        <w:rPr>
          <w:sz w:val="36"/>
          <w:szCs w:val="36"/>
          <w:rtl/>
        </w:rPr>
        <w:t xml:space="preserve"> </w:t>
      </w:r>
      <w:r w:rsidR="00257C3E" w:rsidRPr="00FD211F">
        <w:rPr>
          <w:sz w:val="36"/>
          <w:szCs w:val="36"/>
          <w:rtl/>
        </w:rPr>
        <w:t>في</w:t>
      </w:r>
      <w:r w:rsidR="00E8128F">
        <w:rPr>
          <w:sz w:val="36"/>
          <w:szCs w:val="36"/>
          <w:rtl/>
        </w:rPr>
        <w:t xml:space="preserve"> </w:t>
      </w:r>
      <w:r w:rsidR="00257C3E" w:rsidRPr="00FD211F">
        <w:rPr>
          <w:sz w:val="36"/>
          <w:szCs w:val="36"/>
          <w:rtl/>
        </w:rPr>
        <w:t>مقام</w:t>
      </w:r>
      <w:r w:rsidR="00E8128F">
        <w:rPr>
          <w:sz w:val="36"/>
          <w:szCs w:val="36"/>
          <w:rtl/>
        </w:rPr>
        <w:t xml:space="preserve"> </w:t>
      </w:r>
      <w:r w:rsidR="00257C3E" w:rsidRPr="00FD211F">
        <w:rPr>
          <w:sz w:val="36"/>
          <w:szCs w:val="36"/>
          <w:rtl/>
        </w:rPr>
        <w:t>جعل</w:t>
      </w:r>
      <w:r w:rsidR="00E8128F">
        <w:rPr>
          <w:sz w:val="36"/>
          <w:szCs w:val="36"/>
          <w:rtl/>
        </w:rPr>
        <w:t xml:space="preserve"> </w:t>
      </w:r>
      <w:r w:rsidR="00257C3E" w:rsidRPr="00FD211F">
        <w:rPr>
          <w:sz w:val="36"/>
          <w:szCs w:val="36"/>
          <w:rtl/>
        </w:rPr>
        <w:t>النجاس</w:t>
      </w:r>
      <w:r w:rsidR="00EC7EDF" w:rsidRPr="00FD211F">
        <w:rPr>
          <w:sz w:val="36"/>
          <w:szCs w:val="36"/>
          <w:rtl/>
        </w:rPr>
        <w:t>ة</w:t>
      </w:r>
      <w:r w:rsidR="00E8128F">
        <w:rPr>
          <w:sz w:val="36"/>
          <w:szCs w:val="36"/>
          <w:rtl/>
        </w:rPr>
        <w:t xml:space="preserve"> </w:t>
      </w:r>
      <w:r w:rsidR="00257C3E" w:rsidRPr="00FD211F">
        <w:rPr>
          <w:sz w:val="36"/>
          <w:szCs w:val="36"/>
          <w:rtl/>
        </w:rPr>
        <w:t>بكونه</w:t>
      </w:r>
      <w:r w:rsidR="00E8128F">
        <w:rPr>
          <w:sz w:val="36"/>
          <w:szCs w:val="36"/>
          <w:rtl/>
        </w:rPr>
        <w:t xml:space="preserve"> </w:t>
      </w:r>
      <w:r w:rsidR="00257C3E" w:rsidRPr="00FD211F">
        <w:rPr>
          <w:sz w:val="36"/>
          <w:szCs w:val="36"/>
          <w:rtl/>
        </w:rPr>
        <w:t>احمر</w:t>
      </w:r>
      <w:r w:rsidR="00E8128F">
        <w:rPr>
          <w:sz w:val="36"/>
          <w:szCs w:val="36"/>
          <w:rtl/>
        </w:rPr>
        <w:t xml:space="preserve"> </w:t>
      </w:r>
      <w:r w:rsidR="00257C3E" w:rsidRPr="00FD211F">
        <w:rPr>
          <w:sz w:val="36"/>
          <w:szCs w:val="36"/>
          <w:rtl/>
        </w:rPr>
        <w:t>من</w:t>
      </w:r>
      <w:r w:rsidR="00E8128F">
        <w:rPr>
          <w:sz w:val="36"/>
          <w:szCs w:val="36"/>
          <w:rtl/>
        </w:rPr>
        <w:t xml:space="preserve"> </w:t>
      </w:r>
      <w:r w:rsidR="00257C3E" w:rsidRPr="00FD211F">
        <w:rPr>
          <w:sz w:val="36"/>
          <w:szCs w:val="36"/>
          <w:rtl/>
        </w:rPr>
        <w:t>الأصل</w:t>
      </w:r>
      <w:r w:rsidR="00E8128F">
        <w:rPr>
          <w:sz w:val="36"/>
          <w:szCs w:val="36"/>
          <w:rtl/>
        </w:rPr>
        <w:t xml:space="preserve"> </w:t>
      </w:r>
      <w:r w:rsidR="00257C3E" w:rsidRPr="00FD211F">
        <w:rPr>
          <w:sz w:val="36"/>
          <w:szCs w:val="36"/>
          <w:rtl/>
        </w:rPr>
        <w:t>المثبت</w:t>
      </w:r>
      <w:r w:rsidR="00603323" w:rsidRPr="00FD211F">
        <w:rPr>
          <w:sz w:val="36"/>
          <w:szCs w:val="36"/>
          <w:rtl/>
        </w:rPr>
        <w:t>،</w:t>
      </w:r>
      <w:r w:rsidR="00E8128F">
        <w:rPr>
          <w:sz w:val="36"/>
          <w:szCs w:val="36"/>
          <w:rtl/>
        </w:rPr>
        <w:t xml:space="preserve"> </w:t>
      </w:r>
      <w:r w:rsidR="00257C3E" w:rsidRPr="00FD211F">
        <w:rPr>
          <w:sz w:val="36"/>
          <w:szCs w:val="36"/>
          <w:rtl/>
        </w:rPr>
        <w:t>وكذا</w:t>
      </w:r>
      <w:r w:rsidR="00E8128F">
        <w:rPr>
          <w:sz w:val="36"/>
          <w:szCs w:val="36"/>
          <w:rtl/>
        </w:rPr>
        <w:t xml:space="preserve"> </w:t>
      </w:r>
      <w:r w:rsidR="00257C3E" w:rsidRPr="00FD211F">
        <w:rPr>
          <w:sz w:val="36"/>
          <w:szCs w:val="36"/>
          <w:rtl/>
        </w:rPr>
        <w:t>اثبات</w:t>
      </w:r>
      <w:r w:rsidR="00E8128F">
        <w:rPr>
          <w:sz w:val="36"/>
          <w:szCs w:val="36"/>
          <w:rtl/>
        </w:rPr>
        <w:t xml:space="preserve"> </w:t>
      </w:r>
      <w:r w:rsidR="00257C3E" w:rsidRPr="00FD211F">
        <w:rPr>
          <w:sz w:val="36"/>
          <w:szCs w:val="36"/>
          <w:rtl/>
        </w:rPr>
        <w:t>وجوب</w:t>
      </w:r>
      <w:r w:rsidR="00E8128F">
        <w:rPr>
          <w:sz w:val="36"/>
          <w:szCs w:val="36"/>
          <w:rtl/>
        </w:rPr>
        <w:t xml:space="preserve"> </w:t>
      </w:r>
      <w:r w:rsidR="00257C3E" w:rsidRPr="00FD211F">
        <w:rPr>
          <w:sz w:val="36"/>
          <w:szCs w:val="36"/>
          <w:rtl/>
        </w:rPr>
        <w:t>اكرام</w:t>
      </w:r>
      <w:r w:rsidR="00E8128F">
        <w:rPr>
          <w:sz w:val="36"/>
          <w:szCs w:val="36"/>
          <w:rtl/>
        </w:rPr>
        <w:t xml:space="preserve"> </w:t>
      </w:r>
      <w:r w:rsidR="00257C3E" w:rsidRPr="00FD211F">
        <w:rPr>
          <w:sz w:val="36"/>
          <w:szCs w:val="36"/>
          <w:rtl/>
        </w:rPr>
        <w:t>العالم</w:t>
      </w:r>
      <w:r w:rsidR="00E8128F">
        <w:rPr>
          <w:sz w:val="36"/>
          <w:szCs w:val="36"/>
          <w:rtl/>
        </w:rPr>
        <w:t xml:space="preserve"> </w:t>
      </w:r>
      <w:r w:rsidR="00257C3E" w:rsidRPr="00FD211F">
        <w:rPr>
          <w:sz w:val="36"/>
          <w:szCs w:val="36"/>
          <w:rtl/>
        </w:rPr>
        <w:t>الفاسق</w:t>
      </w:r>
      <w:r w:rsidR="00E8128F">
        <w:rPr>
          <w:sz w:val="36"/>
          <w:szCs w:val="36"/>
          <w:rtl/>
        </w:rPr>
        <w:t xml:space="preserve"> </w:t>
      </w:r>
      <w:r w:rsidR="00257C3E" w:rsidRPr="00FD211F">
        <w:rPr>
          <w:sz w:val="36"/>
          <w:szCs w:val="36"/>
          <w:rtl/>
        </w:rPr>
        <w:t>باستصحاب</w:t>
      </w:r>
      <w:r w:rsidR="00E8128F">
        <w:rPr>
          <w:sz w:val="36"/>
          <w:szCs w:val="36"/>
          <w:rtl/>
        </w:rPr>
        <w:t xml:space="preserve"> </w:t>
      </w:r>
      <w:r w:rsidR="00257C3E" w:rsidRPr="00FD211F">
        <w:rPr>
          <w:sz w:val="36"/>
          <w:szCs w:val="36"/>
          <w:rtl/>
        </w:rPr>
        <w:t>عدم</w:t>
      </w:r>
      <w:r w:rsidR="00E8128F">
        <w:rPr>
          <w:sz w:val="36"/>
          <w:szCs w:val="36"/>
          <w:rtl/>
        </w:rPr>
        <w:t xml:space="preserve"> </w:t>
      </w:r>
      <w:r w:rsidR="00257C3E" w:rsidRPr="00FD211F">
        <w:rPr>
          <w:sz w:val="36"/>
          <w:szCs w:val="36"/>
          <w:rtl/>
        </w:rPr>
        <w:t>تقييد</w:t>
      </w:r>
      <w:r w:rsidR="00E8128F">
        <w:rPr>
          <w:sz w:val="36"/>
          <w:szCs w:val="36"/>
          <w:rtl/>
        </w:rPr>
        <w:t xml:space="preserve"> </w:t>
      </w:r>
      <w:r w:rsidR="00257C3E" w:rsidRPr="00FD211F">
        <w:rPr>
          <w:sz w:val="36"/>
          <w:szCs w:val="36"/>
          <w:rtl/>
        </w:rPr>
        <w:t>العالم</w:t>
      </w:r>
      <w:r w:rsidR="00E8128F">
        <w:rPr>
          <w:sz w:val="36"/>
          <w:szCs w:val="36"/>
          <w:rtl/>
        </w:rPr>
        <w:t xml:space="preserve"> </w:t>
      </w:r>
      <w:r w:rsidR="00257C3E" w:rsidRPr="00FD211F">
        <w:rPr>
          <w:sz w:val="36"/>
          <w:szCs w:val="36"/>
          <w:rtl/>
        </w:rPr>
        <w:t>في</w:t>
      </w:r>
      <w:r w:rsidR="00E8128F">
        <w:rPr>
          <w:sz w:val="36"/>
          <w:szCs w:val="36"/>
          <w:rtl/>
        </w:rPr>
        <w:t xml:space="preserve"> </w:t>
      </w:r>
      <w:r w:rsidR="00257C3E" w:rsidRPr="00FD211F">
        <w:rPr>
          <w:sz w:val="36"/>
          <w:szCs w:val="36"/>
          <w:rtl/>
        </w:rPr>
        <w:t>مقام</w:t>
      </w:r>
      <w:r w:rsidR="00E8128F">
        <w:rPr>
          <w:sz w:val="36"/>
          <w:szCs w:val="36"/>
          <w:rtl/>
        </w:rPr>
        <w:t xml:space="preserve"> </w:t>
      </w:r>
      <w:r w:rsidR="00257C3E" w:rsidRPr="00FD211F">
        <w:rPr>
          <w:sz w:val="36"/>
          <w:szCs w:val="36"/>
          <w:rtl/>
        </w:rPr>
        <w:t>جعل</w:t>
      </w:r>
      <w:r w:rsidR="00E8128F">
        <w:rPr>
          <w:sz w:val="36"/>
          <w:szCs w:val="36"/>
          <w:rtl/>
        </w:rPr>
        <w:t xml:space="preserve"> </w:t>
      </w:r>
      <w:r w:rsidR="00257C3E" w:rsidRPr="00FD211F">
        <w:rPr>
          <w:sz w:val="36"/>
          <w:szCs w:val="36"/>
          <w:rtl/>
        </w:rPr>
        <w:t>وجوب</w:t>
      </w:r>
      <w:r w:rsidR="00E8128F">
        <w:rPr>
          <w:sz w:val="36"/>
          <w:szCs w:val="36"/>
          <w:rtl/>
        </w:rPr>
        <w:t xml:space="preserve"> </w:t>
      </w:r>
      <w:r w:rsidR="00257C3E" w:rsidRPr="00FD211F">
        <w:rPr>
          <w:sz w:val="36"/>
          <w:szCs w:val="36"/>
          <w:rtl/>
        </w:rPr>
        <w:t>الاكرام</w:t>
      </w:r>
      <w:r w:rsidR="00E8128F">
        <w:rPr>
          <w:sz w:val="36"/>
          <w:szCs w:val="36"/>
          <w:rtl/>
        </w:rPr>
        <w:t xml:space="preserve"> </w:t>
      </w:r>
      <w:r w:rsidR="00257C3E" w:rsidRPr="00FD211F">
        <w:rPr>
          <w:sz w:val="36"/>
          <w:szCs w:val="36"/>
          <w:rtl/>
        </w:rPr>
        <w:t>له</w:t>
      </w:r>
      <w:r w:rsidR="00E8128F">
        <w:rPr>
          <w:sz w:val="36"/>
          <w:szCs w:val="36"/>
          <w:rtl/>
        </w:rPr>
        <w:t xml:space="preserve"> </w:t>
      </w:r>
      <w:r w:rsidR="00257C3E" w:rsidRPr="00FD211F">
        <w:rPr>
          <w:sz w:val="36"/>
          <w:szCs w:val="36"/>
          <w:rtl/>
        </w:rPr>
        <w:t>بكونه</w:t>
      </w:r>
      <w:r w:rsidR="00E8128F">
        <w:rPr>
          <w:sz w:val="36"/>
          <w:szCs w:val="36"/>
          <w:rtl/>
        </w:rPr>
        <w:t xml:space="preserve"> </w:t>
      </w:r>
      <w:r w:rsidR="00257C3E" w:rsidRPr="00FD211F">
        <w:rPr>
          <w:sz w:val="36"/>
          <w:szCs w:val="36"/>
          <w:rtl/>
        </w:rPr>
        <w:t>عادلا</w:t>
      </w:r>
      <w:r w:rsidR="00603323" w:rsidRPr="00FD211F">
        <w:rPr>
          <w:sz w:val="36"/>
          <w:szCs w:val="36"/>
          <w:rtl/>
        </w:rPr>
        <w:t>،</w:t>
      </w:r>
      <w:r w:rsidR="00E8128F">
        <w:rPr>
          <w:sz w:val="36"/>
          <w:szCs w:val="36"/>
          <w:rtl/>
        </w:rPr>
        <w:t xml:space="preserve"> </w:t>
      </w:r>
      <w:r w:rsidR="00257C3E" w:rsidRPr="00FD211F">
        <w:rPr>
          <w:sz w:val="36"/>
          <w:szCs w:val="36"/>
          <w:rtl/>
        </w:rPr>
        <w:t>فانه</w:t>
      </w:r>
      <w:r w:rsidR="00E8128F">
        <w:rPr>
          <w:sz w:val="36"/>
          <w:szCs w:val="36"/>
          <w:rtl/>
        </w:rPr>
        <w:t xml:space="preserve"> </w:t>
      </w:r>
      <w:r w:rsidR="00257C3E" w:rsidRPr="00FD211F">
        <w:rPr>
          <w:sz w:val="36"/>
          <w:szCs w:val="36"/>
          <w:rtl/>
        </w:rPr>
        <w:t>يكون</w:t>
      </w:r>
      <w:r w:rsidR="00E8128F">
        <w:rPr>
          <w:sz w:val="36"/>
          <w:szCs w:val="36"/>
          <w:rtl/>
        </w:rPr>
        <w:t xml:space="preserve"> </w:t>
      </w:r>
      <w:r w:rsidR="00257C3E" w:rsidRPr="00FD211F">
        <w:rPr>
          <w:sz w:val="36"/>
          <w:szCs w:val="36"/>
          <w:rtl/>
        </w:rPr>
        <w:t>من</w:t>
      </w:r>
      <w:r w:rsidR="00E8128F">
        <w:rPr>
          <w:sz w:val="36"/>
          <w:szCs w:val="36"/>
          <w:rtl/>
        </w:rPr>
        <w:t xml:space="preserve"> </w:t>
      </w:r>
      <w:r w:rsidR="00257C3E" w:rsidRPr="00FD211F">
        <w:rPr>
          <w:sz w:val="36"/>
          <w:szCs w:val="36"/>
          <w:rtl/>
        </w:rPr>
        <w:t>اثبات</w:t>
      </w:r>
      <w:r w:rsidR="00E8128F">
        <w:rPr>
          <w:sz w:val="36"/>
          <w:szCs w:val="36"/>
          <w:rtl/>
        </w:rPr>
        <w:t xml:space="preserve"> </w:t>
      </w:r>
      <w:r w:rsidR="00257C3E" w:rsidRPr="00FD211F">
        <w:rPr>
          <w:sz w:val="36"/>
          <w:szCs w:val="36"/>
          <w:rtl/>
        </w:rPr>
        <w:t>اللازم</w:t>
      </w:r>
      <w:r w:rsidR="00E8128F">
        <w:rPr>
          <w:sz w:val="36"/>
          <w:szCs w:val="36"/>
          <w:rtl/>
        </w:rPr>
        <w:t xml:space="preserve"> </w:t>
      </w:r>
      <w:r w:rsidR="00257C3E" w:rsidRPr="00FD211F">
        <w:rPr>
          <w:sz w:val="36"/>
          <w:szCs w:val="36"/>
          <w:rtl/>
        </w:rPr>
        <w:t>العقلي</w:t>
      </w:r>
      <w:r w:rsidR="00E8128F">
        <w:rPr>
          <w:sz w:val="36"/>
          <w:szCs w:val="36"/>
          <w:rtl/>
        </w:rPr>
        <w:t xml:space="preserve"> </w:t>
      </w:r>
      <w:r w:rsidR="00257C3E" w:rsidRPr="00FD211F">
        <w:rPr>
          <w:sz w:val="36"/>
          <w:szCs w:val="36"/>
          <w:rtl/>
        </w:rPr>
        <w:t>باستصحاب</w:t>
      </w:r>
      <w:r w:rsidR="00E8128F">
        <w:rPr>
          <w:sz w:val="36"/>
          <w:szCs w:val="36"/>
          <w:rtl/>
        </w:rPr>
        <w:t xml:space="preserve"> </w:t>
      </w:r>
      <w:r w:rsidR="00257C3E" w:rsidRPr="00FD211F">
        <w:rPr>
          <w:sz w:val="36"/>
          <w:szCs w:val="36"/>
          <w:rtl/>
        </w:rPr>
        <w:t>ملزومه</w:t>
      </w:r>
      <w:r w:rsidR="000D7A69" w:rsidRPr="00FD211F">
        <w:rPr>
          <w:sz w:val="36"/>
          <w:szCs w:val="36"/>
          <w:rtl/>
        </w:rPr>
        <w:t>.</w:t>
      </w:r>
    </w:p>
    <w:p w14:paraId="0D4E160F" w14:textId="77777777" w:rsidR="00DF56B0" w:rsidRPr="00FD211F" w:rsidRDefault="000D7A69" w:rsidP="009C58C8">
      <w:pPr>
        <w:ind w:left="0" w:firstLine="227"/>
        <w:jc w:val="both"/>
        <w:rPr>
          <w:sz w:val="36"/>
          <w:szCs w:val="36"/>
          <w:rtl/>
        </w:rPr>
      </w:pPr>
      <w:r w:rsidRPr="00FD211F">
        <w:rPr>
          <w:sz w:val="36"/>
          <w:szCs w:val="36"/>
          <w:rtl/>
        </w:rPr>
        <w:t>ان</w:t>
      </w:r>
      <w:r w:rsidR="00E8128F">
        <w:rPr>
          <w:sz w:val="36"/>
          <w:szCs w:val="36"/>
          <w:rtl/>
        </w:rPr>
        <w:t xml:space="preserve"> </w:t>
      </w:r>
      <w:r w:rsidRPr="00FD211F">
        <w:rPr>
          <w:sz w:val="36"/>
          <w:szCs w:val="36"/>
          <w:rtl/>
        </w:rPr>
        <w:t>قلت</w:t>
      </w:r>
      <w:r w:rsidR="00EC7EDF" w:rsidRPr="00FD211F">
        <w:rPr>
          <w:sz w:val="36"/>
          <w:szCs w:val="36"/>
          <w:rtl/>
        </w:rPr>
        <w:t>:</w:t>
      </w:r>
      <w:r w:rsidRPr="00FD211F">
        <w:rPr>
          <w:sz w:val="36"/>
          <w:szCs w:val="36"/>
          <w:rtl/>
        </w:rPr>
        <w:t>انه</w:t>
      </w:r>
      <w:r w:rsidR="00E8128F">
        <w:rPr>
          <w:sz w:val="36"/>
          <w:szCs w:val="36"/>
          <w:rtl/>
        </w:rPr>
        <w:t xml:space="preserve"> </w:t>
      </w:r>
      <w:r w:rsidRPr="00FD211F">
        <w:rPr>
          <w:sz w:val="36"/>
          <w:szCs w:val="36"/>
          <w:rtl/>
        </w:rPr>
        <w:t>يكفي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ترت</w:t>
      </w:r>
      <w:r w:rsidR="00DB64B4" w:rsidRPr="00FD211F">
        <w:rPr>
          <w:sz w:val="36"/>
          <w:szCs w:val="36"/>
          <w:rtl/>
        </w:rPr>
        <w:t>ي</w:t>
      </w:r>
      <w:r w:rsidRPr="00FD211F">
        <w:rPr>
          <w:sz w:val="36"/>
          <w:szCs w:val="36"/>
          <w:rtl/>
        </w:rPr>
        <w:t>ب</w:t>
      </w:r>
      <w:r w:rsidR="00E8128F">
        <w:rPr>
          <w:sz w:val="36"/>
          <w:szCs w:val="36"/>
          <w:rtl/>
        </w:rPr>
        <w:t xml:space="preserve"> </w:t>
      </w:r>
      <w:r w:rsidR="0048054D" w:rsidRPr="00FD211F">
        <w:rPr>
          <w:sz w:val="36"/>
          <w:szCs w:val="36"/>
          <w:rtl/>
        </w:rPr>
        <w:t>الآ</w:t>
      </w:r>
      <w:r w:rsidRPr="00FD211F">
        <w:rPr>
          <w:sz w:val="36"/>
          <w:szCs w:val="36"/>
          <w:rtl/>
        </w:rPr>
        <w:t>ث</w:t>
      </w:r>
      <w:r w:rsidR="0048054D" w:rsidRPr="00FD211F">
        <w:rPr>
          <w:sz w:val="36"/>
          <w:szCs w:val="36"/>
          <w:rtl/>
        </w:rPr>
        <w:t>ا</w:t>
      </w:r>
      <w:r w:rsidRPr="00FD211F">
        <w:rPr>
          <w:sz w:val="36"/>
          <w:szCs w:val="36"/>
          <w:rtl/>
        </w:rPr>
        <w:t>ر</w:t>
      </w:r>
      <w:r w:rsidR="0048054D" w:rsidRPr="00FD211F">
        <w:rPr>
          <w:sz w:val="36"/>
          <w:szCs w:val="36"/>
          <w:rtl/>
        </w:rPr>
        <w:t>الشرعي</w:t>
      </w:r>
      <w:r w:rsidR="00EC7EDF" w:rsidRPr="00FD211F">
        <w:rPr>
          <w:sz w:val="36"/>
          <w:szCs w:val="36"/>
          <w:rtl/>
        </w:rPr>
        <w:t>ة</w:t>
      </w:r>
      <w:r w:rsidR="00E8128F">
        <w:rPr>
          <w:sz w:val="36"/>
          <w:szCs w:val="36"/>
          <w:rtl/>
        </w:rPr>
        <w:t xml:space="preserve"> </w:t>
      </w:r>
      <w:r w:rsidR="0048054D" w:rsidRPr="00FD211F">
        <w:rPr>
          <w:sz w:val="36"/>
          <w:szCs w:val="36"/>
          <w:rtl/>
        </w:rPr>
        <w:t>وكذا</w:t>
      </w:r>
      <w:r w:rsidR="00E8128F">
        <w:rPr>
          <w:sz w:val="36"/>
          <w:szCs w:val="36"/>
          <w:rtl/>
        </w:rPr>
        <w:t xml:space="preserve"> </w:t>
      </w:r>
      <w:r w:rsidR="0048054D" w:rsidRPr="00FD211F">
        <w:rPr>
          <w:sz w:val="36"/>
          <w:szCs w:val="36"/>
          <w:rtl/>
        </w:rPr>
        <w:t>الاثر</w:t>
      </w:r>
      <w:r w:rsidR="00E8128F">
        <w:rPr>
          <w:sz w:val="36"/>
          <w:szCs w:val="36"/>
          <w:rtl/>
        </w:rPr>
        <w:t xml:space="preserve"> </w:t>
      </w:r>
      <w:r w:rsidRPr="00FD211F">
        <w:rPr>
          <w:sz w:val="36"/>
          <w:szCs w:val="36"/>
          <w:rtl/>
        </w:rPr>
        <w:t>العقلي</w:t>
      </w:r>
      <w:r w:rsidR="00E8128F">
        <w:rPr>
          <w:sz w:val="36"/>
          <w:szCs w:val="36"/>
          <w:rtl/>
        </w:rPr>
        <w:t xml:space="preserve"> </w:t>
      </w:r>
      <w:r w:rsidR="0048054D" w:rsidRPr="00FD211F">
        <w:rPr>
          <w:sz w:val="36"/>
          <w:szCs w:val="36"/>
          <w:rtl/>
        </w:rPr>
        <w:t>-وهو</w:t>
      </w:r>
      <w:r w:rsidR="00E8128F">
        <w:rPr>
          <w:sz w:val="36"/>
          <w:szCs w:val="36"/>
          <w:rtl/>
        </w:rPr>
        <w:t xml:space="preserve"> </w:t>
      </w:r>
      <w:r w:rsidR="0048054D" w:rsidRPr="00FD211F">
        <w:rPr>
          <w:sz w:val="36"/>
          <w:szCs w:val="36"/>
          <w:rtl/>
        </w:rPr>
        <w:t>المعذري</w:t>
      </w:r>
      <w:r w:rsidR="00EC7EDF" w:rsidRPr="00FD211F">
        <w:rPr>
          <w:sz w:val="36"/>
          <w:szCs w:val="36"/>
          <w:rtl/>
        </w:rPr>
        <w:t>ة</w:t>
      </w:r>
      <w:r w:rsidR="00E8128F">
        <w:rPr>
          <w:sz w:val="36"/>
          <w:szCs w:val="36"/>
          <w:rtl/>
        </w:rPr>
        <w:t xml:space="preserve"> </w:t>
      </w:r>
      <w:r w:rsidR="0048054D" w:rsidRPr="00FD211F">
        <w:rPr>
          <w:sz w:val="36"/>
          <w:szCs w:val="36"/>
          <w:rtl/>
        </w:rPr>
        <w:t>والمنجزي</w:t>
      </w:r>
      <w:r w:rsidR="00EC7EDF" w:rsidRPr="00FD211F">
        <w:rPr>
          <w:sz w:val="36"/>
          <w:szCs w:val="36"/>
          <w:rtl/>
        </w:rPr>
        <w:t>ة</w:t>
      </w:r>
      <w:r w:rsidR="00E8128F">
        <w:rPr>
          <w:sz w:val="36"/>
          <w:szCs w:val="36"/>
          <w:rtl/>
        </w:rPr>
        <w:t xml:space="preserve"> </w:t>
      </w:r>
      <w:r w:rsidR="0048054D" w:rsidRPr="00FD211F">
        <w:rPr>
          <w:sz w:val="36"/>
          <w:szCs w:val="36"/>
          <w:rtl/>
        </w:rPr>
        <w:t>-</w:t>
      </w:r>
      <w:r w:rsidR="00E8128F">
        <w:rPr>
          <w:sz w:val="36"/>
          <w:szCs w:val="36"/>
          <w:rtl/>
        </w:rPr>
        <w:t xml:space="preserve"> </w:t>
      </w:r>
      <w:r w:rsidRPr="00FD211F">
        <w:rPr>
          <w:sz w:val="36"/>
          <w:szCs w:val="36"/>
          <w:rtl/>
        </w:rPr>
        <w:t>قيام</w:t>
      </w:r>
      <w:r w:rsidR="00E8128F">
        <w:rPr>
          <w:sz w:val="36"/>
          <w:szCs w:val="36"/>
          <w:rtl/>
        </w:rPr>
        <w:t xml:space="preserve"> </w:t>
      </w:r>
      <w:r w:rsidRPr="00FD211F">
        <w:rPr>
          <w:sz w:val="36"/>
          <w:szCs w:val="36"/>
          <w:rtl/>
        </w:rPr>
        <w:t>الحج</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الجعل</w:t>
      </w:r>
      <w:r w:rsidR="00E8128F">
        <w:rPr>
          <w:sz w:val="36"/>
          <w:szCs w:val="36"/>
          <w:rtl/>
        </w:rPr>
        <w:t xml:space="preserve"> </w:t>
      </w:r>
      <w:r w:rsidRPr="00FD211F">
        <w:rPr>
          <w:sz w:val="36"/>
          <w:szCs w:val="36"/>
          <w:rtl/>
        </w:rPr>
        <w:t>وعلى</w:t>
      </w:r>
      <w:r w:rsidR="00E8128F">
        <w:rPr>
          <w:sz w:val="36"/>
          <w:szCs w:val="36"/>
          <w:rtl/>
        </w:rPr>
        <w:t xml:space="preserve"> </w:t>
      </w:r>
      <w:r w:rsidRPr="00FD211F">
        <w:rPr>
          <w:sz w:val="36"/>
          <w:szCs w:val="36"/>
          <w:rtl/>
        </w:rPr>
        <w:t>تحقق</w:t>
      </w:r>
      <w:r w:rsidR="00E8128F">
        <w:rPr>
          <w:sz w:val="36"/>
          <w:szCs w:val="36"/>
          <w:rtl/>
        </w:rPr>
        <w:t xml:space="preserve"> </w:t>
      </w:r>
      <w:r w:rsidRPr="00FD211F">
        <w:rPr>
          <w:sz w:val="36"/>
          <w:szCs w:val="36"/>
          <w:rtl/>
        </w:rPr>
        <w:t>موضوعه</w:t>
      </w:r>
      <w:r w:rsidR="00603323" w:rsidRPr="00FD211F">
        <w:rPr>
          <w:sz w:val="36"/>
          <w:szCs w:val="36"/>
          <w:rtl/>
        </w:rPr>
        <w:t>،</w:t>
      </w:r>
      <w:r w:rsidR="00E8128F">
        <w:rPr>
          <w:sz w:val="36"/>
          <w:szCs w:val="36"/>
          <w:rtl/>
        </w:rPr>
        <w:t xml:space="preserve"> </w:t>
      </w:r>
      <w:r w:rsidR="0048054D" w:rsidRPr="00FD211F">
        <w:rPr>
          <w:sz w:val="36"/>
          <w:szCs w:val="36"/>
          <w:rtl/>
        </w:rPr>
        <w:t>بل</w:t>
      </w:r>
      <w:r w:rsidR="00E8128F">
        <w:rPr>
          <w:sz w:val="36"/>
          <w:szCs w:val="36"/>
          <w:rtl/>
        </w:rPr>
        <w:t xml:space="preserve"> </w:t>
      </w:r>
      <w:r w:rsidR="0048054D" w:rsidRPr="00FD211F">
        <w:rPr>
          <w:sz w:val="36"/>
          <w:szCs w:val="36"/>
          <w:rtl/>
        </w:rPr>
        <w:t>قد</w:t>
      </w:r>
      <w:r w:rsidR="00E8128F">
        <w:rPr>
          <w:sz w:val="36"/>
          <w:szCs w:val="36"/>
          <w:rtl/>
        </w:rPr>
        <w:t xml:space="preserve"> </w:t>
      </w:r>
      <w:r w:rsidR="0048054D" w:rsidRPr="00FD211F">
        <w:rPr>
          <w:sz w:val="36"/>
          <w:szCs w:val="36"/>
          <w:rtl/>
        </w:rPr>
        <w:t>يقال-كمايظهر</w:t>
      </w:r>
      <w:r w:rsidR="00E8128F">
        <w:rPr>
          <w:sz w:val="36"/>
          <w:szCs w:val="36"/>
          <w:rtl/>
        </w:rPr>
        <w:t xml:space="preserve"> </w:t>
      </w:r>
      <w:r w:rsidR="0048054D" w:rsidRPr="00FD211F">
        <w:rPr>
          <w:sz w:val="36"/>
          <w:szCs w:val="36"/>
          <w:rtl/>
        </w:rPr>
        <w:t>من</w:t>
      </w:r>
      <w:r w:rsidR="00E8128F">
        <w:rPr>
          <w:sz w:val="36"/>
          <w:szCs w:val="36"/>
          <w:rtl/>
        </w:rPr>
        <w:t xml:space="preserve"> </w:t>
      </w:r>
      <w:r w:rsidR="0048054D" w:rsidRPr="00FD211F">
        <w:rPr>
          <w:sz w:val="36"/>
          <w:szCs w:val="36"/>
          <w:rtl/>
        </w:rPr>
        <w:t>البحوث</w:t>
      </w:r>
      <w:r w:rsidR="00E8128F">
        <w:rPr>
          <w:sz w:val="36"/>
          <w:szCs w:val="36"/>
          <w:rtl/>
        </w:rPr>
        <w:t xml:space="preserve"> </w:t>
      </w:r>
      <w:r w:rsidR="0048054D" w:rsidRPr="00FD211F">
        <w:rPr>
          <w:sz w:val="36"/>
          <w:szCs w:val="36"/>
          <w:rtl/>
        </w:rPr>
        <w:t>-</w:t>
      </w:r>
      <w:r w:rsidR="00E8128F">
        <w:rPr>
          <w:sz w:val="36"/>
          <w:szCs w:val="36"/>
          <w:rtl/>
        </w:rPr>
        <w:t xml:space="preserve"> </w:t>
      </w:r>
      <w:r w:rsidR="0048054D" w:rsidRPr="00FD211F">
        <w:rPr>
          <w:sz w:val="36"/>
          <w:szCs w:val="36"/>
          <w:rtl/>
        </w:rPr>
        <w:t>بأنه</w:t>
      </w:r>
      <w:r w:rsidR="00E8128F">
        <w:rPr>
          <w:sz w:val="36"/>
          <w:szCs w:val="36"/>
          <w:rtl/>
        </w:rPr>
        <w:t xml:space="preserve"> </w:t>
      </w:r>
      <w:r w:rsidR="0048054D" w:rsidRPr="00FD211F">
        <w:rPr>
          <w:sz w:val="36"/>
          <w:szCs w:val="36"/>
          <w:rtl/>
        </w:rPr>
        <w:t>ليس</w:t>
      </w:r>
      <w:r w:rsidR="00E8128F">
        <w:rPr>
          <w:sz w:val="36"/>
          <w:szCs w:val="36"/>
          <w:rtl/>
        </w:rPr>
        <w:t xml:space="preserve"> </w:t>
      </w:r>
      <w:r w:rsidR="0048054D" w:rsidRPr="00FD211F">
        <w:rPr>
          <w:sz w:val="36"/>
          <w:szCs w:val="36"/>
          <w:rtl/>
        </w:rPr>
        <w:t>الحكم</w:t>
      </w:r>
      <w:r w:rsidR="00E8128F">
        <w:rPr>
          <w:sz w:val="36"/>
          <w:szCs w:val="36"/>
          <w:rtl/>
        </w:rPr>
        <w:t xml:space="preserve"> </w:t>
      </w:r>
      <w:r w:rsidR="0048054D" w:rsidRPr="00FD211F">
        <w:rPr>
          <w:sz w:val="36"/>
          <w:szCs w:val="36"/>
          <w:rtl/>
        </w:rPr>
        <w:t>الفعلي</w:t>
      </w:r>
      <w:r w:rsidR="00E8128F">
        <w:rPr>
          <w:sz w:val="36"/>
          <w:szCs w:val="36"/>
          <w:rtl/>
        </w:rPr>
        <w:t xml:space="preserve"> </w:t>
      </w:r>
      <w:r w:rsidR="0048054D" w:rsidRPr="00FD211F">
        <w:rPr>
          <w:sz w:val="36"/>
          <w:szCs w:val="36"/>
          <w:rtl/>
        </w:rPr>
        <w:t>الا</w:t>
      </w:r>
      <w:r w:rsidR="00E8128F">
        <w:rPr>
          <w:sz w:val="36"/>
          <w:szCs w:val="36"/>
          <w:rtl/>
        </w:rPr>
        <w:t xml:space="preserve"> </w:t>
      </w:r>
      <w:r w:rsidR="0048054D" w:rsidRPr="00FD211F">
        <w:rPr>
          <w:sz w:val="36"/>
          <w:szCs w:val="36"/>
          <w:rtl/>
        </w:rPr>
        <w:t>اجتماع</w:t>
      </w:r>
      <w:r w:rsidR="00E8128F">
        <w:rPr>
          <w:sz w:val="36"/>
          <w:szCs w:val="36"/>
          <w:rtl/>
        </w:rPr>
        <w:t xml:space="preserve"> </w:t>
      </w:r>
      <w:r w:rsidR="0048054D" w:rsidRPr="00FD211F">
        <w:rPr>
          <w:sz w:val="36"/>
          <w:szCs w:val="36"/>
          <w:rtl/>
        </w:rPr>
        <w:t>الجعل</w:t>
      </w:r>
      <w:r w:rsidR="00E8128F">
        <w:rPr>
          <w:sz w:val="36"/>
          <w:szCs w:val="36"/>
          <w:rtl/>
        </w:rPr>
        <w:t xml:space="preserve"> </w:t>
      </w:r>
      <w:r w:rsidR="0048054D" w:rsidRPr="00FD211F">
        <w:rPr>
          <w:sz w:val="36"/>
          <w:szCs w:val="36"/>
          <w:rtl/>
        </w:rPr>
        <w:t>وتحقق</w:t>
      </w:r>
      <w:r w:rsidR="00E8128F">
        <w:rPr>
          <w:sz w:val="36"/>
          <w:szCs w:val="36"/>
          <w:rtl/>
        </w:rPr>
        <w:t xml:space="preserve"> </w:t>
      </w:r>
      <w:r w:rsidR="0048054D" w:rsidRPr="00FD211F">
        <w:rPr>
          <w:sz w:val="36"/>
          <w:szCs w:val="36"/>
          <w:rtl/>
        </w:rPr>
        <w:t>الموضوع</w:t>
      </w:r>
      <w:r w:rsidR="00603323" w:rsidRPr="00FD211F">
        <w:rPr>
          <w:sz w:val="36"/>
          <w:szCs w:val="36"/>
          <w:rtl/>
        </w:rPr>
        <w:t>،</w:t>
      </w:r>
      <w:r w:rsidR="00E8128F">
        <w:rPr>
          <w:sz w:val="36"/>
          <w:szCs w:val="36"/>
          <w:rtl/>
        </w:rPr>
        <w:t xml:space="preserve"> </w:t>
      </w:r>
      <w:r w:rsidRPr="00FD211F">
        <w:rPr>
          <w:sz w:val="36"/>
          <w:szCs w:val="36"/>
          <w:rtl/>
        </w:rPr>
        <w:t>ف</w:t>
      </w:r>
      <w:r w:rsidR="00083AA3" w:rsidRPr="00FD211F">
        <w:rPr>
          <w:sz w:val="36"/>
          <w:szCs w:val="36"/>
          <w:rtl/>
        </w:rPr>
        <w:t>قول</w:t>
      </w:r>
      <w:r w:rsidRPr="00FD211F">
        <w:rPr>
          <w:sz w:val="36"/>
          <w:szCs w:val="36"/>
          <w:rtl/>
        </w:rPr>
        <w:t>ه</w:t>
      </w:r>
      <w:r w:rsidR="00E8128F">
        <w:rPr>
          <w:sz w:val="36"/>
          <w:szCs w:val="36"/>
          <w:rtl/>
        </w:rPr>
        <w:t xml:space="preserve"> </w:t>
      </w:r>
      <w:r w:rsidRPr="00FD211F">
        <w:rPr>
          <w:sz w:val="36"/>
          <w:szCs w:val="36"/>
          <w:rtl/>
        </w:rPr>
        <w:t>"لاتصل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النجس</w:t>
      </w:r>
      <w:r w:rsidR="00E8128F">
        <w:rPr>
          <w:sz w:val="36"/>
          <w:szCs w:val="36"/>
          <w:rtl/>
        </w:rPr>
        <w:t xml:space="preserve"> </w:t>
      </w:r>
      <w:r w:rsidRPr="00FD211F">
        <w:rPr>
          <w:sz w:val="36"/>
          <w:szCs w:val="36"/>
          <w:rtl/>
        </w:rPr>
        <w:t>"ظاهر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ان</w:t>
      </w:r>
      <w:r w:rsidR="00E8128F">
        <w:rPr>
          <w:sz w:val="36"/>
          <w:szCs w:val="36"/>
          <w:rtl/>
        </w:rPr>
        <w:t xml:space="preserve"> </w:t>
      </w:r>
      <w:r w:rsidR="00083AA3" w:rsidRPr="00FD211F">
        <w:rPr>
          <w:sz w:val="36"/>
          <w:szCs w:val="36"/>
          <w:rtl/>
        </w:rPr>
        <w:t>مانعي</w:t>
      </w:r>
      <w:r w:rsidR="00EC7EDF" w:rsidRPr="00FD211F">
        <w:rPr>
          <w:sz w:val="36"/>
          <w:szCs w:val="36"/>
          <w:rtl/>
        </w:rPr>
        <w:t>ة</w:t>
      </w:r>
      <w:r w:rsidR="00E8128F">
        <w:rPr>
          <w:sz w:val="36"/>
          <w:szCs w:val="36"/>
          <w:rtl/>
        </w:rPr>
        <w:t xml:space="preserve"> </w:t>
      </w:r>
      <w:r w:rsidRPr="00FD211F">
        <w:rPr>
          <w:sz w:val="36"/>
          <w:szCs w:val="36"/>
          <w:rtl/>
        </w:rPr>
        <w:t>ثوب</w:t>
      </w:r>
      <w:r w:rsidR="00DB64B4" w:rsidRPr="00FD211F">
        <w:rPr>
          <w:sz w:val="36"/>
          <w:szCs w:val="36"/>
          <w:rtl/>
        </w:rPr>
        <w:t>ٍ</w:t>
      </w:r>
      <w:r w:rsidR="00E8128F">
        <w:rPr>
          <w:sz w:val="36"/>
          <w:szCs w:val="36"/>
          <w:rtl/>
        </w:rPr>
        <w:t xml:space="preserve"> </w:t>
      </w:r>
      <w:r w:rsidR="00083AA3" w:rsidRPr="00FD211F">
        <w:rPr>
          <w:sz w:val="36"/>
          <w:szCs w:val="36"/>
          <w:rtl/>
        </w:rPr>
        <w:t>عن</w:t>
      </w:r>
      <w:r w:rsidR="00E8128F">
        <w:rPr>
          <w:sz w:val="36"/>
          <w:szCs w:val="36"/>
          <w:rtl/>
        </w:rPr>
        <w:t xml:space="preserve"> </w:t>
      </w:r>
      <w:r w:rsidR="00FC76AE" w:rsidRPr="00FD211F">
        <w:rPr>
          <w:sz w:val="36"/>
          <w:szCs w:val="36"/>
          <w:rtl/>
        </w:rPr>
        <w:t>الصلا</w:t>
      </w:r>
      <w:r w:rsidR="00EC7EDF" w:rsidRPr="00FD211F">
        <w:rPr>
          <w:sz w:val="36"/>
          <w:szCs w:val="36"/>
          <w:rtl/>
        </w:rPr>
        <w:t>ة</w:t>
      </w:r>
      <w:r w:rsidR="00E8128F">
        <w:rPr>
          <w:sz w:val="36"/>
          <w:szCs w:val="36"/>
          <w:rtl/>
        </w:rPr>
        <w:t xml:space="preserve"> </w:t>
      </w:r>
      <w:r w:rsidR="00DF56B0" w:rsidRPr="00FD211F">
        <w:rPr>
          <w:sz w:val="36"/>
          <w:szCs w:val="36"/>
          <w:rtl/>
        </w:rPr>
        <w:t>مترتب</w:t>
      </w:r>
      <w:r w:rsidR="00EC7EDF" w:rsidRPr="00FD211F">
        <w:rPr>
          <w:sz w:val="36"/>
          <w:szCs w:val="36"/>
          <w:rtl/>
        </w:rPr>
        <w:t>ة</w:t>
      </w:r>
      <w:r w:rsidR="00E8128F">
        <w:rPr>
          <w:sz w:val="36"/>
          <w:szCs w:val="36"/>
          <w:rtl/>
        </w:rPr>
        <w:t xml:space="preserve"> </w:t>
      </w:r>
      <w:r w:rsidR="008A3DE8" w:rsidRPr="00FD211F">
        <w:rPr>
          <w:sz w:val="36"/>
          <w:szCs w:val="36"/>
          <w:rtl/>
        </w:rPr>
        <w:t>على</w:t>
      </w:r>
      <w:r w:rsidR="00E8128F">
        <w:rPr>
          <w:sz w:val="36"/>
          <w:szCs w:val="36"/>
          <w:rtl/>
        </w:rPr>
        <w:t xml:space="preserve"> </w:t>
      </w:r>
      <w:r w:rsidR="00DB64B4" w:rsidRPr="00FD211F">
        <w:rPr>
          <w:sz w:val="36"/>
          <w:szCs w:val="36"/>
          <w:rtl/>
        </w:rPr>
        <w:t>جعل</w:t>
      </w:r>
      <w:r w:rsidR="00E8128F">
        <w:rPr>
          <w:sz w:val="36"/>
          <w:szCs w:val="36"/>
          <w:rtl/>
        </w:rPr>
        <w:t xml:space="preserve"> </w:t>
      </w:r>
      <w:r w:rsidR="00DB64B4" w:rsidRPr="00FD211F">
        <w:rPr>
          <w:sz w:val="36"/>
          <w:szCs w:val="36"/>
          <w:rtl/>
        </w:rPr>
        <w:t>النجاس</w:t>
      </w:r>
      <w:r w:rsidR="00EC7EDF" w:rsidRPr="00FD211F">
        <w:rPr>
          <w:sz w:val="36"/>
          <w:szCs w:val="36"/>
          <w:rtl/>
        </w:rPr>
        <w:t>ة</w:t>
      </w:r>
      <w:r w:rsidR="00E8128F">
        <w:rPr>
          <w:sz w:val="36"/>
          <w:szCs w:val="36"/>
          <w:rtl/>
        </w:rPr>
        <w:t xml:space="preserve"> </w:t>
      </w:r>
      <w:r w:rsidR="00DB64B4" w:rsidRPr="00FD211F">
        <w:rPr>
          <w:sz w:val="36"/>
          <w:szCs w:val="36"/>
          <w:rtl/>
        </w:rPr>
        <w:t>للثوب</w:t>
      </w:r>
      <w:r w:rsidR="00E8128F">
        <w:rPr>
          <w:sz w:val="36"/>
          <w:szCs w:val="36"/>
          <w:rtl/>
        </w:rPr>
        <w:t xml:space="preserve"> </w:t>
      </w:r>
      <w:r w:rsidR="00DB64B4" w:rsidRPr="00FD211F">
        <w:rPr>
          <w:sz w:val="36"/>
          <w:szCs w:val="36"/>
          <w:rtl/>
        </w:rPr>
        <w:t>الملاقي</w:t>
      </w:r>
      <w:r w:rsidR="00E8128F">
        <w:rPr>
          <w:sz w:val="36"/>
          <w:szCs w:val="36"/>
          <w:rtl/>
        </w:rPr>
        <w:t xml:space="preserve"> </w:t>
      </w:r>
      <w:r w:rsidR="00DB64B4" w:rsidRPr="00FD211F">
        <w:rPr>
          <w:sz w:val="36"/>
          <w:szCs w:val="36"/>
          <w:rtl/>
        </w:rPr>
        <w:t>للدم</w:t>
      </w:r>
      <w:r w:rsidR="00E8128F">
        <w:rPr>
          <w:sz w:val="36"/>
          <w:szCs w:val="36"/>
          <w:rtl/>
        </w:rPr>
        <w:t xml:space="preserve"> </w:t>
      </w:r>
      <w:r w:rsidR="00DB64B4" w:rsidRPr="00FD211F">
        <w:rPr>
          <w:sz w:val="36"/>
          <w:szCs w:val="36"/>
          <w:rtl/>
        </w:rPr>
        <w:t>مثلا</w:t>
      </w:r>
      <w:r w:rsidR="00E8128F">
        <w:rPr>
          <w:sz w:val="36"/>
          <w:szCs w:val="36"/>
          <w:rtl/>
        </w:rPr>
        <w:t xml:space="preserve"> </w:t>
      </w:r>
      <w:r w:rsidR="00DB64B4" w:rsidRPr="00FD211F">
        <w:rPr>
          <w:sz w:val="36"/>
          <w:szCs w:val="36"/>
          <w:rtl/>
        </w:rPr>
        <w:t>وملاقا</w:t>
      </w:r>
      <w:r w:rsidR="00EC7EDF" w:rsidRPr="00FD211F">
        <w:rPr>
          <w:sz w:val="36"/>
          <w:szCs w:val="36"/>
          <w:rtl/>
        </w:rPr>
        <w:t>ة</w:t>
      </w:r>
      <w:r w:rsidR="00E8128F">
        <w:rPr>
          <w:sz w:val="36"/>
          <w:szCs w:val="36"/>
          <w:rtl/>
        </w:rPr>
        <w:t xml:space="preserve"> </w:t>
      </w:r>
      <w:r w:rsidR="00DB64B4" w:rsidRPr="00FD211F">
        <w:rPr>
          <w:sz w:val="36"/>
          <w:szCs w:val="36"/>
          <w:rtl/>
        </w:rPr>
        <w:t>ذلك</w:t>
      </w:r>
      <w:r w:rsidR="00E8128F">
        <w:rPr>
          <w:sz w:val="36"/>
          <w:szCs w:val="36"/>
          <w:rtl/>
        </w:rPr>
        <w:t xml:space="preserve"> </w:t>
      </w:r>
      <w:r w:rsidR="00DB64B4" w:rsidRPr="00FD211F">
        <w:rPr>
          <w:sz w:val="36"/>
          <w:szCs w:val="36"/>
          <w:rtl/>
        </w:rPr>
        <w:t>الثوب</w:t>
      </w:r>
      <w:r w:rsidR="00E8128F">
        <w:rPr>
          <w:sz w:val="36"/>
          <w:szCs w:val="36"/>
          <w:rtl/>
        </w:rPr>
        <w:t xml:space="preserve"> </w:t>
      </w:r>
      <w:r w:rsidR="00DB64B4" w:rsidRPr="00FD211F">
        <w:rPr>
          <w:sz w:val="36"/>
          <w:szCs w:val="36"/>
          <w:rtl/>
        </w:rPr>
        <w:t>للدم</w:t>
      </w:r>
      <w:r w:rsidR="00E8128F">
        <w:rPr>
          <w:sz w:val="36"/>
          <w:szCs w:val="36"/>
          <w:rtl/>
        </w:rPr>
        <w:t xml:space="preserve"> </w:t>
      </w:r>
      <w:r w:rsidR="00DB64B4" w:rsidRPr="00FD211F">
        <w:rPr>
          <w:sz w:val="36"/>
          <w:szCs w:val="36"/>
          <w:rtl/>
        </w:rPr>
        <w:t>فلو</w:t>
      </w:r>
      <w:r w:rsidR="00E8128F">
        <w:rPr>
          <w:sz w:val="36"/>
          <w:szCs w:val="36"/>
          <w:rtl/>
        </w:rPr>
        <w:t xml:space="preserve"> </w:t>
      </w:r>
      <w:r w:rsidR="00DB64B4" w:rsidRPr="00FD211F">
        <w:rPr>
          <w:sz w:val="36"/>
          <w:szCs w:val="36"/>
          <w:rtl/>
        </w:rPr>
        <w:t>شككنا</w:t>
      </w:r>
      <w:r w:rsidR="00E8128F">
        <w:rPr>
          <w:sz w:val="36"/>
          <w:szCs w:val="36"/>
          <w:rtl/>
        </w:rPr>
        <w:t xml:space="preserve"> </w:t>
      </w:r>
      <w:r w:rsidR="00DB64B4" w:rsidRPr="00FD211F">
        <w:rPr>
          <w:sz w:val="36"/>
          <w:szCs w:val="36"/>
          <w:rtl/>
        </w:rPr>
        <w:t>في</w:t>
      </w:r>
      <w:r w:rsidR="00E8128F">
        <w:rPr>
          <w:sz w:val="36"/>
          <w:szCs w:val="36"/>
          <w:rtl/>
        </w:rPr>
        <w:t xml:space="preserve"> </w:t>
      </w:r>
      <w:r w:rsidR="00DB64B4" w:rsidRPr="00FD211F">
        <w:rPr>
          <w:sz w:val="36"/>
          <w:szCs w:val="36"/>
          <w:rtl/>
        </w:rPr>
        <w:t>تقييدموضوع</w:t>
      </w:r>
      <w:r w:rsidR="00E8128F">
        <w:rPr>
          <w:sz w:val="36"/>
          <w:szCs w:val="36"/>
          <w:rtl/>
        </w:rPr>
        <w:t xml:space="preserve"> </w:t>
      </w:r>
      <w:r w:rsidR="00DB64B4" w:rsidRPr="00FD211F">
        <w:rPr>
          <w:sz w:val="36"/>
          <w:szCs w:val="36"/>
          <w:rtl/>
        </w:rPr>
        <w:t>الجعل</w:t>
      </w:r>
      <w:r w:rsidR="00E8128F">
        <w:rPr>
          <w:sz w:val="36"/>
          <w:szCs w:val="36"/>
          <w:rtl/>
        </w:rPr>
        <w:t xml:space="preserve"> </w:t>
      </w:r>
      <w:r w:rsidR="00DB64B4" w:rsidRPr="00FD211F">
        <w:rPr>
          <w:sz w:val="36"/>
          <w:szCs w:val="36"/>
          <w:rtl/>
        </w:rPr>
        <w:t>بكون</w:t>
      </w:r>
      <w:r w:rsidR="00E8128F">
        <w:rPr>
          <w:sz w:val="36"/>
          <w:szCs w:val="36"/>
          <w:rtl/>
        </w:rPr>
        <w:t xml:space="preserve"> </w:t>
      </w:r>
      <w:r w:rsidR="00DB64B4" w:rsidRPr="00FD211F">
        <w:rPr>
          <w:sz w:val="36"/>
          <w:szCs w:val="36"/>
          <w:rtl/>
        </w:rPr>
        <w:t>الدم</w:t>
      </w:r>
      <w:r w:rsidR="00E8128F">
        <w:rPr>
          <w:sz w:val="36"/>
          <w:szCs w:val="36"/>
          <w:rtl/>
        </w:rPr>
        <w:t xml:space="preserve"> </w:t>
      </w:r>
      <w:r w:rsidR="00DB64B4" w:rsidRPr="00FD211F">
        <w:rPr>
          <w:sz w:val="36"/>
          <w:szCs w:val="36"/>
          <w:rtl/>
        </w:rPr>
        <w:t>احمر</w:t>
      </w:r>
      <w:r w:rsidR="00603323" w:rsidRPr="00FD211F">
        <w:rPr>
          <w:sz w:val="36"/>
          <w:szCs w:val="36"/>
          <w:rtl/>
        </w:rPr>
        <w:t>،</w:t>
      </w:r>
      <w:r w:rsidR="00E8128F">
        <w:rPr>
          <w:sz w:val="36"/>
          <w:szCs w:val="36"/>
          <w:rtl/>
        </w:rPr>
        <w:t xml:space="preserve"> </w:t>
      </w:r>
      <w:r w:rsidR="00DB64B4" w:rsidRPr="00FD211F">
        <w:rPr>
          <w:sz w:val="36"/>
          <w:szCs w:val="36"/>
          <w:rtl/>
        </w:rPr>
        <w:t>وقلنا</w:t>
      </w:r>
      <w:r w:rsidR="00E8128F">
        <w:rPr>
          <w:sz w:val="36"/>
          <w:szCs w:val="36"/>
          <w:rtl/>
        </w:rPr>
        <w:t xml:space="preserve"> </w:t>
      </w:r>
      <w:r w:rsidR="00DB64B4" w:rsidRPr="00FD211F">
        <w:rPr>
          <w:sz w:val="36"/>
          <w:szCs w:val="36"/>
          <w:rtl/>
        </w:rPr>
        <w:t>بان</w:t>
      </w:r>
      <w:r w:rsidR="00E8128F">
        <w:rPr>
          <w:sz w:val="36"/>
          <w:szCs w:val="36"/>
          <w:rtl/>
        </w:rPr>
        <w:t xml:space="preserve"> </w:t>
      </w:r>
      <w:r w:rsidR="00DB64B4" w:rsidRPr="00FD211F">
        <w:rPr>
          <w:sz w:val="36"/>
          <w:szCs w:val="36"/>
          <w:rtl/>
        </w:rPr>
        <w:t>الاطلاق</w:t>
      </w:r>
      <w:r w:rsidR="00E8128F">
        <w:rPr>
          <w:sz w:val="36"/>
          <w:szCs w:val="36"/>
          <w:rtl/>
        </w:rPr>
        <w:t xml:space="preserve"> </w:t>
      </w:r>
      <w:r w:rsidR="00DB64B4" w:rsidRPr="00FD211F">
        <w:rPr>
          <w:sz w:val="36"/>
          <w:szCs w:val="36"/>
          <w:rtl/>
        </w:rPr>
        <w:t>هو</w:t>
      </w:r>
      <w:r w:rsidR="00E8128F">
        <w:rPr>
          <w:sz w:val="36"/>
          <w:szCs w:val="36"/>
          <w:rtl/>
        </w:rPr>
        <w:t xml:space="preserve"> </w:t>
      </w:r>
      <w:r w:rsidR="00DB64B4" w:rsidRPr="00FD211F">
        <w:rPr>
          <w:sz w:val="36"/>
          <w:szCs w:val="36"/>
          <w:rtl/>
        </w:rPr>
        <w:t>عدم</w:t>
      </w:r>
      <w:r w:rsidR="00E8128F">
        <w:rPr>
          <w:sz w:val="36"/>
          <w:szCs w:val="36"/>
          <w:rtl/>
        </w:rPr>
        <w:t xml:space="preserve"> </w:t>
      </w:r>
      <w:r w:rsidR="00DB64B4" w:rsidRPr="00FD211F">
        <w:rPr>
          <w:sz w:val="36"/>
          <w:szCs w:val="36"/>
          <w:rtl/>
        </w:rPr>
        <w:t>التقييد</w:t>
      </w:r>
      <w:r w:rsidR="00603323" w:rsidRPr="00FD211F">
        <w:rPr>
          <w:sz w:val="36"/>
          <w:szCs w:val="36"/>
          <w:rtl/>
        </w:rPr>
        <w:t>،</w:t>
      </w:r>
      <w:r w:rsidR="00E8128F">
        <w:rPr>
          <w:sz w:val="36"/>
          <w:szCs w:val="36"/>
          <w:rtl/>
        </w:rPr>
        <w:t xml:space="preserve"> </w:t>
      </w:r>
      <w:r w:rsidR="00682FD2" w:rsidRPr="00FD211F">
        <w:rPr>
          <w:sz w:val="36"/>
          <w:szCs w:val="36"/>
          <w:rtl/>
        </w:rPr>
        <w:t>فباستصجاب</w:t>
      </w:r>
      <w:r w:rsidR="00E8128F">
        <w:rPr>
          <w:sz w:val="36"/>
          <w:szCs w:val="36"/>
          <w:rtl/>
        </w:rPr>
        <w:t xml:space="preserve"> </w:t>
      </w:r>
      <w:r w:rsidR="00682FD2" w:rsidRPr="00FD211F">
        <w:rPr>
          <w:sz w:val="36"/>
          <w:szCs w:val="36"/>
          <w:rtl/>
        </w:rPr>
        <w:t>عدم</w:t>
      </w:r>
      <w:r w:rsidR="00E8128F">
        <w:rPr>
          <w:sz w:val="36"/>
          <w:szCs w:val="36"/>
          <w:rtl/>
        </w:rPr>
        <w:t xml:space="preserve"> </w:t>
      </w:r>
      <w:r w:rsidR="00682FD2" w:rsidRPr="00FD211F">
        <w:rPr>
          <w:sz w:val="36"/>
          <w:szCs w:val="36"/>
          <w:rtl/>
        </w:rPr>
        <w:t>التقييد</w:t>
      </w:r>
      <w:r w:rsidR="00E8128F">
        <w:rPr>
          <w:sz w:val="36"/>
          <w:szCs w:val="36"/>
          <w:rtl/>
        </w:rPr>
        <w:t xml:space="preserve"> </w:t>
      </w:r>
      <w:r w:rsidR="00682FD2" w:rsidRPr="00FD211F">
        <w:rPr>
          <w:sz w:val="36"/>
          <w:szCs w:val="36"/>
          <w:rtl/>
        </w:rPr>
        <w:t>يتم</w:t>
      </w:r>
      <w:r w:rsidR="00E8128F">
        <w:rPr>
          <w:sz w:val="36"/>
          <w:szCs w:val="36"/>
          <w:rtl/>
        </w:rPr>
        <w:t xml:space="preserve"> </w:t>
      </w:r>
      <w:r w:rsidR="00682FD2" w:rsidRPr="00FD211F">
        <w:rPr>
          <w:sz w:val="36"/>
          <w:szCs w:val="36"/>
          <w:rtl/>
        </w:rPr>
        <w:t>قيام</w:t>
      </w:r>
      <w:r w:rsidR="00E8128F">
        <w:rPr>
          <w:sz w:val="36"/>
          <w:szCs w:val="36"/>
          <w:rtl/>
        </w:rPr>
        <w:t xml:space="preserve"> </w:t>
      </w:r>
      <w:r w:rsidR="00682FD2" w:rsidRPr="00FD211F">
        <w:rPr>
          <w:sz w:val="36"/>
          <w:szCs w:val="36"/>
          <w:rtl/>
        </w:rPr>
        <w:t>الحج</w:t>
      </w:r>
      <w:r w:rsidR="00EC7EDF" w:rsidRPr="00FD211F">
        <w:rPr>
          <w:sz w:val="36"/>
          <w:szCs w:val="36"/>
          <w:rtl/>
        </w:rPr>
        <w:t>ة</w:t>
      </w:r>
      <w:r w:rsidR="00E8128F">
        <w:rPr>
          <w:sz w:val="36"/>
          <w:szCs w:val="36"/>
          <w:rtl/>
        </w:rPr>
        <w:t xml:space="preserve"> </w:t>
      </w:r>
      <w:r w:rsidR="00682FD2" w:rsidRPr="00FD211F">
        <w:rPr>
          <w:sz w:val="36"/>
          <w:szCs w:val="36"/>
          <w:rtl/>
        </w:rPr>
        <w:t>على</w:t>
      </w:r>
      <w:r w:rsidR="00E8128F">
        <w:rPr>
          <w:sz w:val="36"/>
          <w:szCs w:val="36"/>
          <w:rtl/>
        </w:rPr>
        <w:t xml:space="preserve"> </w:t>
      </w:r>
      <w:r w:rsidR="00682FD2" w:rsidRPr="00FD211F">
        <w:rPr>
          <w:sz w:val="36"/>
          <w:szCs w:val="36"/>
          <w:rtl/>
        </w:rPr>
        <w:t>اطلاق</w:t>
      </w:r>
      <w:r w:rsidR="00E8128F">
        <w:rPr>
          <w:sz w:val="36"/>
          <w:szCs w:val="36"/>
          <w:rtl/>
        </w:rPr>
        <w:t xml:space="preserve"> </w:t>
      </w:r>
      <w:r w:rsidR="00682FD2" w:rsidRPr="00FD211F">
        <w:rPr>
          <w:sz w:val="36"/>
          <w:szCs w:val="36"/>
          <w:rtl/>
        </w:rPr>
        <w:t>الجعل</w:t>
      </w:r>
      <w:r w:rsidR="00603323" w:rsidRPr="00FD211F">
        <w:rPr>
          <w:sz w:val="36"/>
          <w:szCs w:val="36"/>
          <w:rtl/>
        </w:rPr>
        <w:t>،</w:t>
      </w:r>
      <w:r w:rsidR="00E8128F">
        <w:rPr>
          <w:sz w:val="36"/>
          <w:szCs w:val="36"/>
          <w:rtl/>
        </w:rPr>
        <w:t xml:space="preserve"> </w:t>
      </w:r>
      <w:r w:rsidR="00682FD2" w:rsidRPr="00FD211F">
        <w:rPr>
          <w:sz w:val="36"/>
          <w:szCs w:val="36"/>
          <w:rtl/>
        </w:rPr>
        <w:t>وبضم</w:t>
      </w:r>
      <w:r w:rsidR="00E8128F">
        <w:rPr>
          <w:sz w:val="36"/>
          <w:szCs w:val="36"/>
          <w:rtl/>
        </w:rPr>
        <w:t xml:space="preserve"> </w:t>
      </w:r>
      <w:r w:rsidR="00682FD2" w:rsidRPr="00FD211F">
        <w:rPr>
          <w:sz w:val="36"/>
          <w:szCs w:val="36"/>
          <w:rtl/>
        </w:rPr>
        <w:t>ذلك</w:t>
      </w:r>
      <w:r w:rsidR="00E8128F">
        <w:rPr>
          <w:sz w:val="36"/>
          <w:szCs w:val="36"/>
          <w:rtl/>
        </w:rPr>
        <w:t xml:space="preserve"> </w:t>
      </w:r>
      <w:r w:rsidR="00682FD2" w:rsidRPr="00FD211F">
        <w:rPr>
          <w:sz w:val="36"/>
          <w:szCs w:val="36"/>
          <w:rtl/>
        </w:rPr>
        <w:t>الى</w:t>
      </w:r>
      <w:r w:rsidR="00E8128F">
        <w:rPr>
          <w:sz w:val="36"/>
          <w:szCs w:val="36"/>
          <w:rtl/>
        </w:rPr>
        <w:t xml:space="preserve"> </w:t>
      </w:r>
      <w:r w:rsidR="00682FD2" w:rsidRPr="00FD211F">
        <w:rPr>
          <w:sz w:val="36"/>
          <w:szCs w:val="36"/>
          <w:rtl/>
        </w:rPr>
        <w:t>العلم</w:t>
      </w:r>
      <w:r w:rsidR="00E8128F">
        <w:rPr>
          <w:sz w:val="36"/>
          <w:szCs w:val="36"/>
          <w:rtl/>
        </w:rPr>
        <w:t xml:space="preserve"> </w:t>
      </w:r>
      <w:r w:rsidR="00682FD2" w:rsidRPr="00FD211F">
        <w:rPr>
          <w:sz w:val="36"/>
          <w:szCs w:val="36"/>
          <w:rtl/>
        </w:rPr>
        <w:t>بملاقا</w:t>
      </w:r>
      <w:r w:rsidR="00EC7EDF" w:rsidRPr="00FD211F">
        <w:rPr>
          <w:sz w:val="36"/>
          <w:szCs w:val="36"/>
          <w:rtl/>
        </w:rPr>
        <w:t>ة</w:t>
      </w:r>
      <w:r w:rsidR="00E8128F">
        <w:rPr>
          <w:sz w:val="36"/>
          <w:szCs w:val="36"/>
          <w:rtl/>
        </w:rPr>
        <w:t xml:space="preserve"> </w:t>
      </w:r>
      <w:r w:rsidR="00682FD2" w:rsidRPr="00FD211F">
        <w:rPr>
          <w:sz w:val="36"/>
          <w:szCs w:val="36"/>
          <w:rtl/>
        </w:rPr>
        <w:t>الثوب</w:t>
      </w:r>
      <w:r w:rsidR="00E8128F">
        <w:rPr>
          <w:sz w:val="36"/>
          <w:szCs w:val="36"/>
          <w:rtl/>
        </w:rPr>
        <w:t xml:space="preserve"> </w:t>
      </w:r>
      <w:r w:rsidR="00682FD2" w:rsidRPr="00FD211F">
        <w:rPr>
          <w:sz w:val="36"/>
          <w:szCs w:val="36"/>
          <w:rtl/>
        </w:rPr>
        <w:t>للدم</w:t>
      </w:r>
      <w:r w:rsidR="00E8128F">
        <w:rPr>
          <w:sz w:val="36"/>
          <w:szCs w:val="36"/>
          <w:rtl/>
        </w:rPr>
        <w:t xml:space="preserve"> </w:t>
      </w:r>
      <w:r w:rsidR="00682FD2" w:rsidRPr="00FD211F">
        <w:rPr>
          <w:sz w:val="36"/>
          <w:szCs w:val="36"/>
          <w:rtl/>
        </w:rPr>
        <w:t>فلاتجوز</w:t>
      </w:r>
      <w:r w:rsidR="00E8128F">
        <w:rPr>
          <w:sz w:val="36"/>
          <w:szCs w:val="36"/>
          <w:rtl/>
        </w:rPr>
        <w:t xml:space="preserve"> </w:t>
      </w:r>
      <w:r w:rsidR="00682FD2" w:rsidRPr="00FD211F">
        <w:rPr>
          <w:sz w:val="36"/>
          <w:szCs w:val="36"/>
          <w:rtl/>
        </w:rPr>
        <w:t>الصلا</w:t>
      </w:r>
      <w:r w:rsidR="00EC7EDF" w:rsidRPr="00FD211F">
        <w:rPr>
          <w:sz w:val="36"/>
          <w:szCs w:val="36"/>
          <w:rtl/>
        </w:rPr>
        <w:t>ة</w:t>
      </w:r>
      <w:r w:rsidR="00E8128F">
        <w:rPr>
          <w:sz w:val="36"/>
          <w:szCs w:val="36"/>
          <w:rtl/>
        </w:rPr>
        <w:t xml:space="preserve"> </w:t>
      </w:r>
      <w:r w:rsidR="00682FD2" w:rsidRPr="00FD211F">
        <w:rPr>
          <w:sz w:val="36"/>
          <w:szCs w:val="36"/>
          <w:rtl/>
        </w:rPr>
        <w:t>في</w:t>
      </w:r>
      <w:r w:rsidR="00E8128F">
        <w:rPr>
          <w:sz w:val="36"/>
          <w:szCs w:val="36"/>
          <w:rtl/>
        </w:rPr>
        <w:t xml:space="preserve"> </w:t>
      </w:r>
      <w:r w:rsidR="00682FD2" w:rsidRPr="00FD211F">
        <w:rPr>
          <w:sz w:val="36"/>
          <w:szCs w:val="36"/>
          <w:rtl/>
        </w:rPr>
        <w:t>الثوب</w:t>
      </w:r>
      <w:r w:rsidR="00E8128F">
        <w:rPr>
          <w:sz w:val="36"/>
          <w:szCs w:val="36"/>
          <w:rtl/>
        </w:rPr>
        <w:t xml:space="preserve"> </w:t>
      </w:r>
      <w:r w:rsidR="00682FD2" w:rsidRPr="00FD211F">
        <w:rPr>
          <w:sz w:val="36"/>
          <w:szCs w:val="36"/>
          <w:rtl/>
        </w:rPr>
        <w:t>الملاقي</w:t>
      </w:r>
      <w:r w:rsidR="00E8128F">
        <w:rPr>
          <w:sz w:val="36"/>
          <w:szCs w:val="36"/>
          <w:rtl/>
        </w:rPr>
        <w:t xml:space="preserve"> </w:t>
      </w:r>
      <w:r w:rsidR="00682FD2" w:rsidRPr="00FD211F">
        <w:rPr>
          <w:sz w:val="36"/>
          <w:szCs w:val="36"/>
          <w:rtl/>
        </w:rPr>
        <w:t>للدم</w:t>
      </w:r>
      <w:r w:rsidR="00E8128F">
        <w:rPr>
          <w:sz w:val="36"/>
          <w:szCs w:val="36"/>
          <w:rtl/>
        </w:rPr>
        <w:t xml:space="preserve"> </w:t>
      </w:r>
      <w:r w:rsidR="00682FD2" w:rsidRPr="00FD211F">
        <w:rPr>
          <w:sz w:val="36"/>
          <w:szCs w:val="36"/>
          <w:rtl/>
        </w:rPr>
        <w:t>الاصفر</w:t>
      </w:r>
      <w:r w:rsidR="0048054D" w:rsidRPr="00FD211F">
        <w:rPr>
          <w:sz w:val="36"/>
          <w:szCs w:val="36"/>
          <w:rtl/>
        </w:rPr>
        <w:t>.</w:t>
      </w:r>
      <w:r w:rsidR="00E8128F">
        <w:rPr>
          <w:sz w:val="36"/>
          <w:szCs w:val="36"/>
          <w:rtl/>
        </w:rPr>
        <w:t xml:space="preserve"> </w:t>
      </w:r>
    </w:p>
    <w:p w14:paraId="07B1075F" w14:textId="77777777" w:rsidR="0048054D" w:rsidRPr="00FD211F" w:rsidRDefault="00212207" w:rsidP="009C58C8">
      <w:pPr>
        <w:ind w:left="0" w:firstLine="227"/>
        <w:jc w:val="both"/>
        <w:rPr>
          <w:sz w:val="36"/>
          <w:szCs w:val="36"/>
          <w:rtl/>
          <w:lang w:val="en-GB"/>
        </w:rPr>
      </w:pPr>
      <w:r w:rsidRPr="00FD211F">
        <w:rPr>
          <w:sz w:val="36"/>
          <w:szCs w:val="36"/>
          <w:rtl/>
        </w:rPr>
        <w:t>قلت</w:t>
      </w:r>
      <w:r w:rsidR="00EC7EDF" w:rsidRPr="00FD211F">
        <w:rPr>
          <w:sz w:val="36"/>
          <w:szCs w:val="36"/>
          <w:rtl/>
        </w:rPr>
        <w:t>:</w:t>
      </w:r>
      <w:r w:rsidRPr="00FD211F">
        <w:rPr>
          <w:sz w:val="36"/>
          <w:szCs w:val="36"/>
          <w:rtl/>
        </w:rPr>
        <w:t>هذا</w:t>
      </w:r>
      <w:r w:rsidR="00E8128F">
        <w:rPr>
          <w:sz w:val="36"/>
          <w:szCs w:val="36"/>
          <w:rtl/>
        </w:rPr>
        <w:t xml:space="preserve"> </w:t>
      </w:r>
      <w:r w:rsidRPr="00FD211F">
        <w:rPr>
          <w:sz w:val="36"/>
          <w:szCs w:val="36"/>
          <w:rtl/>
        </w:rPr>
        <w:t>وان</w:t>
      </w:r>
      <w:r w:rsidR="00E8128F">
        <w:rPr>
          <w:sz w:val="36"/>
          <w:szCs w:val="36"/>
          <w:rtl/>
        </w:rPr>
        <w:t xml:space="preserve"> </w:t>
      </w:r>
      <w:r w:rsidR="0048054D" w:rsidRPr="00FD211F">
        <w:rPr>
          <w:sz w:val="36"/>
          <w:szCs w:val="36"/>
          <w:rtl/>
        </w:rPr>
        <w:t>تم</w:t>
      </w:r>
      <w:r w:rsidR="00E8128F">
        <w:rPr>
          <w:sz w:val="36"/>
          <w:szCs w:val="36"/>
          <w:rtl/>
        </w:rPr>
        <w:t xml:space="preserve"> </w:t>
      </w:r>
      <w:r w:rsidR="00FC7AFF" w:rsidRPr="00FD211F">
        <w:rPr>
          <w:sz w:val="36"/>
          <w:szCs w:val="36"/>
          <w:rtl/>
        </w:rPr>
        <w:t>بالنسب</w:t>
      </w:r>
      <w:r w:rsidR="00EC7EDF" w:rsidRPr="00FD211F">
        <w:rPr>
          <w:sz w:val="36"/>
          <w:szCs w:val="36"/>
          <w:rtl/>
        </w:rPr>
        <w:t>ة</w:t>
      </w:r>
      <w:r w:rsidR="00E8128F">
        <w:rPr>
          <w:sz w:val="36"/>
          <w:szCs w:val="36"/>
          <w:rtl/>
        </w:rPr>
        <w:t xml:space="preserve"> </w:t>
      </w:r>
      <w:r w:rsidR="00FC7AFF" w:rsidRPr="00FD211F">
        <w:rPr>
          <w:sz w:val="36"/>
          <w:szCs w:val="36"/>
          <w:rtl/>
        </w:rPr>
        <w:t>الى</w:t>
      </w:r>
      <w:r w:rsidR="00E8128F">
        <w:rPr>
          <w:sz w:val="36"/>
          <w:szCs w:val="36"/>
          <w:rtl/>
        </w:rPr>
        <w:t xml:space="preserve"> </w:t>
      </w:r>
      <w:r w:rsidR="00FC7AFF" w:rsidRPr="00FD211F">
        <w:rPr>
          <w:sz w:val="36"/>
          <w:szCs w:val="36"/>
          <w:rtl/>
        </w:rPr>
        <w:t>الاثرالعقلي</w:t>
      </w:r>
      <w:r w:rsidR="00E8128F">
        <w:rPr>
          <w:sz w:val="36"/>
          <w:szCs w:val="36"/>
          <w:rtl/>
        </w:rPr>
        <w:t xml:space="preserve"> </w:t>
      </w:r>
      <w:r w:rsidR="00FC7AFF" w:rsidRPr="00FD211F">
        <w:rPr>
          <w:sz w:val="36"/>
          <w:szCs w:val="36"/>
          <w:rtl/>
        </w:rPr>
        <w:t>من</w:t>
      </w:r>
      <w:r w:rsidR="00E8128F">
        <w:rPr>
          <w:sz w:val="36"/>
          <w:szCs w:val="36"/>
          <w:rtl/>
        </w:rPr>
        <w:t xml:space="preserve"> </w:t>
      </w:r>
      <w:r w:rsidR="00FC7AFF" w:rsidRPr="00FD211F">
        <w:rPr>
          <w:sz w:val="36"/>
          <w:szCs w:val="36"/>
          <w:rtl/>
        </w:rPr>
        <w:t>المنجزي</w:t>
      </w:r>
      <w:r w:rsidR="00EC7EDF" w:rsidRPr="00FD211F">
        <w:rPr>
          <w:sz w:val="36"/>
          <w:szCs w:val="36"/>
          <w:rtl/>
        </w:rPr>
        <w:t>ة</w:t>
      </w:r>
      <w:r w:rsidR="00E8128F">
        <w:rPr>
          <w:sz w:val="36"/>
          <w:szCs w:val="36"/>
          <w:rtl/>
        </w:rPr>
        <w:t xml:space="preserve"> </w:t>
      </w:r>
      <w:r w:rsidR="00FC7AFF" w:rsidRPr="00FD211F">
        <w:rPr>
          <w:sz w:val="36"/>
          <w:szCs w:val="36"/>
          <w:rtl/>
        </w:rPr>
        <w:t>والمعذري</w:t>
      </w:r>
      <w:r w:rsidR="00EC7EDF" w:rsidRPr="00FD211F">
        <w:rPr>
          <w:sz w:val="36"/>
          <w:szCs w:val="36"/>
          <w:rtl/>
        </w:rPr>
        <w:t>ة</w:t>
      </w:r>
      <w:r w:rsidR="00E8128F">
        <w:rPr>
          <w:sz w:val="36"/>
          <w:szCs w:val="36"/>
          <w:rtl/>
        </w:rPr>
        <w:t xml:space="preserve"> </w:t>
      </w:r>
      <w:r w:rsidR="00466163" w:rsidRPr="00FD211F">
        <w:rPr>
          <w:sz w:val="36"/>
          <w:szCs w:val="36"/>
          <w:rtl/>
        </w:rPr>
        <w:t>في</w:t>
      </w:r>
      <w:r w:rsidR="00E8128F">
        <w:rPr>
          <w:sz w:val="36"/>
          <w:szCs w:val="36"/>
          <w:rtl/>
        </w:rPr>
        <w:t xml:space="preserve"> </w:t>
      </w:r>
      <w:r w:rsidR="00466163" w:rsidRPr="00FD211F">
        <w:rPr>
          <w:sz w:val="36"/>
          <w:szCs w:val="36"/>
          <w:rtl/>
        </w:rPr>
        <w:t>مورد</w:t>
      </w:r>
      <w:r w:rsidR="00E8128F">
        <w:rPr>
          <w:sz w:val="36"/>
          <w:szCs w:val="36"/>
          <w:rtl/>
        </w:rPr>
        <w:t xml:space="preserve"> </w:t>
      </w:r>
      <w:r w:rsidR="00466163" w:rsidRPr="00FD211F">
        <w:rPr>
          <w:sz w:val="36"/>
          <w:szCs w:val="36"/>
          <w:rtl/>
        </w:rPr>
        <w:t>الخطاب</w:t>
      </w:r>
      <w:r w:rsidR="00E8128F">
        <w:rPr>
          <w:sz w:val="36"/>
          <w:szCs w:val="36"/>
          <w:rtl/>
        </w:rPr>
        <w:t xml:space="preserve"> </w:t>
      </w:r>
      <w:r w:rsidR="00466163" w:rsidRPr="00FD211F">
        <w:rPr>
          <w:sz w:val="36"/>
          <w:szCs w:val="36"/>
          <w:rtl/>
        </w:rPr>
        <w:t>التكليفي</w:t>
      </w:r>
      <w:r w:rsidR="00E8128F">
        <w:rPr>
          <w:sz w:val="36"/>
          <w:szCs w:val="36"/>
          <w:rtl/>
        </w:rPr>
        <w:t xml:space="preserve"> </w:t>
      </w:r>
      <w:r w:rsidR="00466163" w:rsidRPr="00FD211F">
        <w:rPr>
          <w:sz w:val="36"/>
          <w:szCs w:val="36"/>
          <w:rtl/>
        </w:rPr>
        <w:t>كوجوب</w:t>
      </w:r>
      <w:r w:rsidR="00E8128F">
        <w:rPr>
          <w:sz w:val="36"/>
          <w:szCs w:val="36"/>
          <w:rtl/>
        </w:rPr>
        <w:t xml:space="preserve"> </w:t>
      </w:r>
      <w:r w:rsidR="00466163" w:rsidRPr="00FD211F">
        <w:rPr>
          <w:sz w:val="36"/>
          <w:szCs w:val="36"/>
          <w:rtl/>
        </w:rPr>
        <w:t>اكرام</w:t>
      </w:r>
      <w:r w:rsidR="00E8128F">
        <w:rPr>
          <w:sz w:val="36"/>
          <w:szCs w:val="36"/>
          <w:rtl/>
        </w:rPr>
        <w:t xml:space="preserve"> </w:t>
      </w:r>
      <w:r w:rsidR="00466163" w:rsidRPr="00FD211F">
        <w:rPr>
          <w:sz w:val="36"/>
          <w:szCs w:val="36"/>
          <w:rtl/>
        </w:rPr>
        <w:t>العالم</w:t>
      </w:r>
      <w:r w:rsidR="00E8128F">
        <w:rPr>
          <w:sz w:val="36"/>
          <w:szCs w:val="36"/>
          <w:rtl/>
        </w:rPr>
        <w:t xml:space="preserve"> </w:t>
      </w:r>
      <w:r w:rsidR="00466163" w:rsidRPr="00FD211F">
        <w:rPr>
          <w:sz w:val="36"/>
          <w:szCs w:val="36"/>
          <w:rtl/>
        </w:rPr>
        <w:t>فيقال</w:t>
      </w:r>
      <w:r w:rsidR="00E8128F">
        <w:rPr>
          <w:sz w:val="36"/>
          <w:szCs w:val="36"/>
          <w:rtl/>
        </w:rPr>
        <w:t xml:space="preserve"> </w:t>
      </w:r>
      <w:r w:rsidR="00466163" w:rsidRPr="00FD211F">
        <w:rPr>
          <w:sz w:val="36"/>
          <w:szCs w:val="36"/>
          <w:rtl/>
        </w:rPr>
        <w:t>بانه</w:t>
      </w:r>
      <w:r w:rsidR="00E8128F">
        <w:rPr>
          <w:sz w:val="36"/>
          <w:szCs w:val="36"/>
          <w:rtl/>
        </w:rPr>
        <w:t xml:space="preserve"> </w:t>
      </w:r>
      <w:r w:rsidR="00466163" w:rsidRPr="00FD211F">
        <w:rPr>
          <w:sz w:val="36"/>
          <w:szCs w:val="36"/>
          <w:rtl/>
        </w:rPr>
        <w:t>يكفي</w:t>
      </w:r>
      <w:r w:rsidR="00E8128F">
        <w:rPr>
          <w:sz w:val="36"/>
          <w:szCs w:val="36"/>
          <w:rtl/>
        </w:rPr>
        <w:t xml:space="preserve"> </w:t>
      </w:r>
      <w:r w:rsidR="00466163" w:rsidRPr="00FD211F">
        <w:rPr>
          <w:sz w:val="36"/>
          <w:szCs w:val="36"/>
          <w:rtl/>
        </w:rPr>
        <w:t>في</w:t>
      </w:r>
      <w:r w:rsidR="00E8128F">
        <w:rPr>
          <w:sz w:val="36"/>
          <w:szCs w:val="36"/>
          <w:rtl/>
        </w:rPr>
        <w:t xml:space="preserve"> </w:t>
      </w:r>
      <w:r w:rsidR="00466163" w:rsidRPr="00FD211F">
        <w:rPr>
          <w:sz w:val="36"/>
          <w:szCs w:val="36"/>
          <w:rtl/>
        </w:rPr>
        <w:t>حكم</w:t>
      </w:r>
      <w:r w:rsidR="00E8128F">
        <w:rPr>
          <w:sz w:val="36"/>
          <w:szCs w:val="36"/>
          <w:rtl/>
        </w:rPr>
        <w:t xml:space="preserve"> </w:t>
      </w:r>
      <w:r w:rsidR="00466163" w:rsidRPr="00FD211F">
        <w:rPr>
          <w:sz w:val="36"/>
          <w:szCs w:val="36"/>
          <w:rtl/>
        </w:rPr>
        <w:t>العقل</w:t>
      </w:r>
      <w:r w:rsidR="00E8128F">
        <w:rPr>
          <w:sz w:val="36"/>
          <w:szCs w:val="36"/>
          <w:rtl/>
        </w:rPr>
        <w:t xml:space="preserve"> </w:t>
      </w:r>
      <w:r w:rsidR="00466163" w:rsidRPr="00FD211F">
        <w:rPr>
          <w:sz w:val="36"/>
          <w:szCs w:val="36"/>
          <w:rtl/>
        </w:rPr>
        <w:t>بالمنجزي</w:t>
      </w:r>
      <w:r w:rsidR="00EC7EDF" w:rsidRPr="00FD211F">
        <w:rPr>
          <w:sz w:val="36"/>
          <w:szCs w:val="36"/>
          <w:rtl/>
        </w:rPr>
        <w:t>ة</w:t>
      </w:r>
      <w:r w:rsidR="00E8128F">
        <w:rPr>
          <w:sz w:val="36"/>
          <w:szCs w:val="36"/>
          <w:rtl/>
        </w:rPr>
        <w:t xml:space="preserve"> </w:t>
      </w:r>
      <w:r w:rsidR="00466163" w:rsidRPr="00FD211F">
        <w:rPr>
          <w:sz w:val="36"/>
          <w:szCs w:val="36"/>
          <w:rtl/>
        </w:rPr>
        <w:t>التعبد</w:t>
      </w:r>
      <w:r w:rsidR="00E8128F">
        <w:rPr>
          <w:sz w:val="36"/>
          <w:szCs w:val="36"/>
          <w:rtl/>
        </w:rPr>
        <w:t xml:space="preserve"> </w:t>
      </w:r>
      <w:r w:rsidR="00466163" w:rsidRPr="00FD211F">
        <w:rPr>
          <w:sz w:val="36"/>
          <w:szCs w:val="36"/>
          <w:rtl/>
        </w:rPr>
        <w:t>بالجعل</w:t>
      </w:r>
      <w:r w:rsidR="00E8128F">
        <w:rPr>
          <w:sz w:val="36"/>
          <w:szCs w:val="36"/>
          <w:rtl/>
        </w:rPr>
        <w:t xml:space="preserve"> </w:t>
      </w:r>
      <w:r w:rsidR="00466163" w:rsidRPr="00FD211F">
        <w:rPr>
          <w:sz w:val="36"/>
          <w:szCs w:val="36"/>
          <w:rtl/>
        </w:rPr>
        <w:t>واحراز</w:t>
      </w:r>
      <w:r w:rsidR="00E8128F">
        <w:rPr>
          <w:sz w:val="36"/>
          <w:szCs w:val="36"/>
          <w:rtl/>
        </w:rPr>
        <w:t xml:space="preserve"> </w:t>
      </w:r>
      <w:r w:rsidR="00466163" w:rsidRPr="00FD211F">
        <w:rPr>
          <w:sz w:val="36"/>
          <w:szCs w:val="36"/>
          <w:rtl/>
        </w:rPr>
        <w:t>موضوعه</w:t>
      </w:r>
      <w:r w:rsidR="00603323" w:rsidRPr="00FD211F">
        <w:rPr>
          <w:sz w:val="36"/>
          <w:szCs w:val="36"/>
          <w:rtl/>
        </w:rPr>
        <w:t>،</w:t>
      </w:r>
      <w:r w:rsidR="00E8128F">
        <w:rPr>
          <w:sz w:val="36"/>
          <w:szCs w:val="36"/>
          <w:rtl/>
        </w:rPr>
        <w:t xml:space="preserve"> </w:t>
      </w:r>
      <w:r w:rsidR="00FC7AFF" w:rsidRPr="00FD211F">
        <w:rPr>
          <w:sz w:val="36"/>
          <w:szCs w:val="36"/>
          <w:rtl/>
        </w:rPr>
        <w:t>ولكنه</w:t>
      </w:r>
      <w:r w:rsidR="00E8128F">
        <w:rPr>
          <w:sz w:val="36"/>
          <w:szCs w:val="36"/>
          <w:rtl/>
        </w:rPr>
        <w:t xml:space="preserve"> </w:t>
      </w:r>
      <w:r w:rsidR="00FC7AFF" w:rsidRPr="00FD211F">
        <w:rPr>
          <w:sz w:val="36"/>
          <w:szCs w:val="36"/>
          <w:rtl/>
        </w:rPr>
        <w:t>خلاف</w:t>
      </w:r>
      <w:r w:rsidR="00E8128F">
        <w:rPr>
          <w:sz w:val="36"/>
          <w:szCs w:val="36"/>
          <w:rtl/>
        </w:rPr>
        <w:t xml:space="preserve"> </w:t>
      </w:r>
      <w:r w:rsidR="00FC7AFF" w:rsidRPr="00FD211F">
        <w:rPr>
          <w:sz w:val="36"/>
          <w:szCs w:val="36"/>
          <w:rtl/>
        </w:rPr>
        <w:t>الظاهر</w:t>
      </w:r>
      <w:r w:rsidR="00E8128F">
        <w:rPr>
          <w:sz w:val="36"/>
          <w:szCs w:val="36"/>
          <w:rtl/>
        </w:rPr>
        <w:t xml:space="preserve"> </w:t>
      </w:r>
      <w:r w:rsidR="00FC7AFF" w:rsidRPr="00FD211F">
        <w:rPr>
          <w:sz w:val="36"/>
          <w:szCs w:val="36"/>
          <w:rtl/>
        </w:rPr>
        <w:t>بالنسب</w:t>
      </w:r>
      <w:r w:rsidR="00EC7EDF" w:rsidRPr="00FD211F">
        <w:rPr>
          <w:sz w:val="36"/>
          <w:szCs w:val="36"/>
          <w:rtl/>
        </w:rPr>
        <w:t>ة</w:t>
      </w:r>
      <w:r w:rsidR="00E8128F">
        <w:rPr>
          <w:sz w:val="36"/>
          <w:szCs w:val="36"/>
          <w:rtl/>
        </w:rPr>
        <w:t xml:space="preserve"> </w:t>
      </w:r>
      <w:r w:rsidR="00FC7AFF" w:rsidRPr="00FD211F">
        <w:rPr>
          <w:sz w:val="36"/>
          <w:szCs w:val="36"/>
          <w:rtl/>
        </w:rPr>
        <w:t>الى</w:t>
      </w:r>
      <w:r w:rsidR="00E8128F">
        <w:rPr>
          <w:sz w:val="36"/>
          <w:szCs w:val="36"/>
          <w:rtl/>
        </w:rPr>
        <w:t xml:space="preserve"> </w:t>
      </w:r>
      <w:r w:rsidR="00FC7AFF" w:rsidRPr="00FD211F">
        <w:rPr>
          <w:sz w:val="36"/>
          <w:szCs w:val="36"/>
          <w:rtl/>
        </w:rPr>
        <w:t>الآثار</w:t>
      </w:r>
      <w:r w:rsidR="00E8128F">
        <w:rPr>
          <w:sz w:val="36"/>
          <w:szCs w:val="36"/>
          <w:rtl/>
        </w:rPr>
        <w:t xml:space="preserve"> </w:t>
      </w:r>
      <w:r w:rsidR="00FC7AFF" w:rsidRPr="00FD211F">
        <w:rPr>
          <w:sz w:val="36"/>
          <w:szCs w:val="36"/>
          <w:rtl/>
        </w:rPr>
        <w:t>الشرعي</w:t>
      </w:r>
      <w:r w:rsidR="00EC7EDF" w:rsidRPr="00FD211F">
        <w:rPr>
          <w:sz w:val="36"/>
          <w:szCs w:val="36"/>
          <w:rtl/>
        </w:rPr>
        <w:t>ة</w:t>
      </w:r>
      <w:r w:rsidR="00E8128F">
        <w:rPr>
          <w:sz w:val="36"/>
          <w:szCs w:val="36"/>
          <w:rtl/>
        </w:rPr>
        <w:t xml:space="preserve"> </w:t>
      </w:r>
      <w:r w:rsidR="00FC7AFF" w:rsidRPr="00FD211F">
        <w:rPr>
          <w:sz w:val="36"/>
          <w:szCs w:val="36"/>
          <w:rtl/>
        </w:rPr>
        <w:t>فظاهر</w:t>
      </w:r>
      <w:r w:rsidR="00E8128F">
        <w:rPr>
          <w:sz w:val="36"/>
          <w:szCs w:val="36"/>
          <w:rtl/>
        </w:rPr>
        <w:t xml:space="preserve"> </w:t>
      </w:r>
      <w:r w:rsidR="00FC7AFF" w:rsidRPr="00FD211F">
        <w:rPr>
          <w:sz w:val="36"/>
          <w:szCs w:val="36"/>
          <w:rtl/>
        </w:rPr>
        <w:t>قوله</w:t>
      </w:r>
      <w:r w:rsidR="00E8128F">
        <w:rPr>
          <w:sz w:val="36"/>
          <w:szCs w:val="36"/>
          <w:rtl/>
        </w:rPr>
        <w:t xml:space="preserve"> </w:t>
      </w:r>
      <w:r w:rsidR="00FC7AFF" w:rsidRPr="00FD211F">
        <w:rPr>
          <w:sz w:val="36"/>
          <w:szCs w:val="36"/>
          <w:rtl/>
        </w:rPr>
        <w:t>"لاتصل</w:t>
      </w:r>
      <w:r w:rsidR="00E8128F">
        <w:rPr>
          <w:sz w:val="36"/>
          <w:szCs w:val="36"/>
          <w:rtl/>
        </w:rPr>
        <w:t xml:space="preserve"> </w:t>
      </w:r>
      <w:r w:rsidR="00FC7AFF" w:rsidRPr="00FD211F">
        <w:rPr>
          <w:sz w:val="36"/>
          <w:szCs w:val="36"/>
          <w:rtl/>
        </w:rPr>
        <w:t>في</w:t>
      </w:r>
      <w:r w:rsidR="00E8128F">
        <w:rPr>
          <w:sz w:val="36"/>
          <w:szCs w:val="36"/>
          <w:rtl/>
        </w:rPr>
        <w:t xml:space="preserve"> </w:t>
      </w:r>
      <w:r w:rsidR="00FC7AFF" w:rsidRPr="00FD211F">
        <w:rPr>
          <w:sz w:val="36"/>
          <w:szCs w:val="36"/>
          <w:rtl/>
        </w:rPr>
        <w:t>النجس</w:t>
      </w:r>
      <w:r w:rsidR="00E8128F">
        <w:rPr>
          <w:sz w:val="36"/>
          <w:szCs w:val="36"/>
          <w:rtl/>
        </w:rPr>
        <w:t xml:space="preserve"> </w:t>
      </w:r>
      <w:r w:rsidR="00FC7AFF" w:rsidRPr="00FD211F">
        <w:rPr>
          <w:sz w:val="36"/>
          <w:szCs w:val="36"/>
          <w:rtl/>
        </w:rPr>
        <w:t>"ان</w:t>
      </w:r>
      <w:r w:rsidR="00E8128F">
        <w:rPr>
          <w:sz w:val="36"/>
          <w:szCs w:val="36"/>
          <w:rtl/>
        </w:rPr>
        <w:t xml:space="preserve"> </w:t>
      </w:r>
      <w:r w:rsidR="00FC7AFF" w:rsidRPr="00FD211F">
        <w:rPr>
          <w:sz w:val="36"/>
          <w:szCs w:val="36"/>
          <w:rtl/>
        </w:rPr>
        <w:t>موضوع</w:t>
      </w:r>
      <w:r w:rsidR="00E8128F">
        <w:rPr>
          <w:sz w:val="36"/>
          <w:szCs w:val="36"/>
          <w:rtl/>
        </w:rPr>
        <w:t xml:space="preserve"> </w:t>
      </w:r>
      <w:r w:rsidR="00FC7AFF" w:rsidRPr="00FD211F">
        <w:rPr>
          <w:sz w:val="36"/>
          <w:szCs w:val="36"/>
          <w:rtl/>
        </w:rPr>
        <w:t>المانعي</w:t>
      </w:r>
      <w:r w:rsidR="00EC7EDF" w:rsidRPr="00FD211F">
        <w:rPr>
          <w:sz w:val="36"/>
          <w:szCs w:val="36"/>
          <w:rtl/>
        </w:rPr>
        <w:t>ة</w:t>
      </w:r>
      <w:r w:rsidR="00E8128F">
        <w:rPr>
          <w:sz w:val="36"/>
          <w:szCs w:val="36"/>
          <w:rtl/>
        </w:rPr>
        <w:t xml:space="preserve"> </w:t>
      </w:r>
      <w:r w:rsidR="00FC7AFF" w:rsidRPr="00FD211F">
        <w:rPr>
          <w:sz w:val="36"/>
          <w:szCs w:val="36"/>
          <w:rtl/>
        </w:rPr>
        <w:t>في</w:t>
      </w:r>
      <w:r w:rsidR="00E8128F">
        <w:rPr>
          <w:sz w:val="36"/>
          <w:szCs w:val="36"/>
          <w:rtl/>
        </w:rPr>
        <w:t xml:space="preserve"> </w:t>
      </w:r>
      <w:r w:rsidR="00FC7AFF" w:rsidRPr="00FD211F">
        <w:rPr>
          <w:sz w:val="36"/>
          <w:szCs w:val="36"/>
          <w:rtl/>
        </w:rPr>
        <w:t>الصلا</w:t>
      </w:r>
      <w:r w:rsidR="00EC7EDF" w:rsidRPr="00FD211F">
        <w:rPr>
          <w:sz w:val="36"/>
          <w:szCs w:val="36"/>
          <w:rtl/>
        </w:rPr>
        <w:t>ة</w:t>
      </w:r>
      <w:r w:rsidR="00E8128F">
        <w:rPr>
          <w:sz w:val="36"/>
          <w:szCs w:val="36"/>
          <w:rtl/>
        </w:rPr>
        <w:t xml:space="preserve"> </w:t>
      </w:r>
      <w:r w:rsidR="00FC7AFF" w:rsidRPr="00FD211F">
        <w:rPr>
          <w:sz w:val="36"/>
          <w:szCs w:val="36"/>
          <w:rtl/>
        </w:rPr>
        <w:t>هو</w:t>
      </w:r>
      <w:r w:rsidR="00E8128F">
        <w:rPr>
          <w:sz w:val="36"/>
          <w:szCs w:val="36"/>
          <w:rtl/>
        </w:rPr>
        <w:t xml:space="preserve"> </w:t>
      </w:r>
      <w:r w:rsidR="00FC7AFF" w:rsidRPr="00FD211F">
        <w:rPr>
          <w:sz w:val="36"/>
          <w:szCs w:val="36"/>
          <w:rtl/>
        </w:rPr>
        <w:t>الحكم</w:t>
      </w:r>
      <w:r w:rsidR="00E8128F">
        <w:rPr>
          <w:sz w:val="36"/>
          <w:szCs w:val="36"/>
          <w:rtl/>
        </w:rPr>
        <w:t xml:space="preserve"> </w:t>
      </w:r>
      <w:r w:rsidR="00FC7AFF" w:rsidRPr="00FD211F">
        <w:rPr>
          <w:sz w:val="36"/>
          <w:szCs w:val="36"/>
          <w:rtl/>
        </w:rPr>
        <w:t>الفعلي</w:t>
      </w:r>
      <w:r w:rsidR="00E8128F">
        <w:rPr>
          <w:sz w:val="36"/>
          <w:szCs w:val="36"/>
          <w:rtl/>
        </w:rPr>
        <w:t xml:space="preserve"> </w:t>
      </w:r>
      <w:r w:rsidR="00FC7AFF" w:rsidRPr="00FD211F">
        <w:rPr>
          <w:sz w:val="36"/>
          <w:szCs w:val="36"/>
          <w:rtl/>
        </w:rPr>
        <w:t>اي</w:t>
      </w:r>
      <w:r w:rsidR="00E8128F">
        <w:rPr>
          <w:sz w:val="36"/>
          <w:szCs w:val="36"/>
          <w:rtl/>
        </w:rPr>
        <w:t xml:space="preserve"> </w:t>
      </w:r>
      <w:r w:rsidR="00FC7AFF" w:rsidRPr="00FD211F">
        <w:rPr>
          <w:sz w:val="36"/>
          <w:szCs w:val="36"/>
          <w:rtl/>
        </w:rPr>
        <w:t>كون</w:t>
      </w:r>
      <w:r w:rsidR="00E8128F">
        <w:rPr>
          <w:sz w:val="36"/>
          <w:szCs w:val="36"/>
          <w:rtl/>
        </w:rPr>
        <w:t xml:space="preserve"> </w:t>
      </w:r>
      <w:r w:rsidR="00FC7AFF" w:rsidRPr="00FD211F">
        <w:rPr>
          <w:sz w:val="36"/>
          <w:szCs w:val="36"/>
          <w:rtl/>
        </w:rPr>
        <w:t>الثوب</w:t>
      </w:r>
      <w:r w:rsidR="00E8128F">
        <w:rPr>
          <w:sz w:val="36"/>
          <w:szCs w:val="36"/>
          <w:rtl/>
        </w:rPr>
        <w:t xml:space="preserve"> </w:t>
      </w:r>
      <w:r w:rsidR="00FC7AFF" w:rsidRPr="00FD211F">
        <w:rPr>
          <w:sz w:val="36"/>
          <w:szCs w:val="36"/>
          <w:rtl/>
        </w:rPr>
        <w:t>نجسا</w:t>
      </w:r>
      <w:r w:rsidR="00603323" w:rsidRPr="00FD211F">
        <w:rPr>
          <w:sz w:val="36"/>
          <w:szCs w:val="36"/>
          <w:rtl/>
        </w:rPr>
        <w:t>،</w:t>
      </w:r>
      <w:r w:rsidR="00E8128F">
        <w:rPr>
          <w:sz w:val="36"/>
          <w:szCs w:val="36"/>
          <w:rtl/>
        </w:rPr>
        <w:t xml:space="preserve"> </w:t>
      </w:r>
      <w:r w:rsidR="00466163" w:rsidRPr="00FD211F">
        <w:rPr>
          <w:sz w:val="36"/>
          <w:szCs w:val="36"/>
          <w:rtl/>
        </w:rPr>
        <w:t>وليس</w:t>
      </w:r>
      <w:r w:rsidR="00E8128F">
        <w:rPr>
          <w:sz w:val="36"/>
          <w:szCs w:val="36"/>
          <w:rtl/>
        </w:rPr>
        <w:t xml:space="preserve"> </w:t>
      </w:r>
      <w:r w:rsidR="00466163" w:rsidRPr="00FD211F">
        <w:rPr>
          <w:sz w:val="36"/>
          <w:szCs w:val="36"/>
          <w:rtl/>
        </w:rPr>
        <w:t>هو</w:t>
      </w:r>
      <w:r w:rsidR="00E8128F">
        <w:rPr>
          <w:sz w:val="36"/>
          <w:szCs w:val="36"/>
          <w:rtl/>
        </w:rPr>
        <w:t xml:space="preserve"> </w:t>
      </w:r>
      <w:r w:rsidR="00466163" w:rsidRPr="00FD211F">
        <w:rPr>
          <w:sz w:val="36"/>
          <w:szCs w:val="36"/>
          <w:rtl/>
        </w:rPr>
        <w:t>متحدا</w:t>
      </w:r>
      <w:r w:rsidR="00E8128F">
        <w:rPr>
          <w:sz w:val="36"/>
          <w:szCs w:val="36"/>
          <w:rtl/>
        </w:rPr>
        <w:t xml:space="preserve"> </w:t>
      </w:r>
      <w:r w:rsidR="00466163" w:rsidRPr="00FD211F">
        <w:rPr>
          <w:sz w:val="36"/>
          <w:szCs w:val="36"/>
          <w:rtl/>
        </w:rPr>
        <w:t>مع</w:t>
      </w:r>
      <w:r w:rsidR="00E8128F">
        <w:rPr>
          <w:sz w:val="36"/>
          <w:szCs w:val="36"/>
          <w:rtl/>
        </w:rPr>
        <w:t xml:space="preserve"> </w:t>
      </w:r>
      <w:r w:rsidR="00466163" w:rsidRPr="00FD211F">
        <w:rPr>
          <w:sz w:val="36"/>
          <w:szCs w:val="36"/>
          <w:rtl/>
        </w:rPr>
        <w:t>الجعل</w:t>
      </w:r>
      <w:r w:rsidR="00E8128F">
        <w:rPr>
          <w:sz w:val="36"/>
          <w:szCs w:val="36"/>
          <w:rtl/>
        </w:rPr>
        <w:t xml:space="preserve"> </w:t>
      </w:r>
      <w:r w:rsidR="00466163" w:rsidRPr="00FD211F">
        <w:rPr>
          <w:sz w:val="36"/>
          <w:szCs w:val="36"/>
          <w:rtl/>
        </w:rPr>
        <w:t>الكلي</w:t>
      </w:r>
      <w:r w:rsidR="00E8128F">
        <w:rPr>
          <w:sz w:val="36"/>
          <w:szCs w:val="36"/>
          <w:rtl/>
        </w:rPr>
        <w:t xml:space="preserve"> </w:t>
      </w:r>
      <w:r w:rsidR="00466163" w:rsidRPr="00FD211F">
        <w:rPr>
          <w:sz w:val="36"/>
          <w:szCs w:val="36"/>
          <w:rtl/>
        </w:rPr>
        <w:t>لنجاس</w:t>
      </w:r>
      <w:r w:rsidR="00EC7EDF" w:rsidRPr="00FD211F">
        <w:rPr>
          <w:sz w:val="36"/>
          <w:szCs w:val="36"/>
          <w:rtl/>
        </w:rPr>
        <w:t>ة</w:t>
      </w:r>
      <w:r w:rsidR="00E8128F">
        <w:rPr>
          <w:sz w:val="36"/>
          <w:szCs w:val="36"/>
          <w:rtl/>
        </w:rPr>
        <w:t xml:space="preserve"> </w:t>
      </w:r>
      <w:r w:rsidR="00466163" w:rsidRPr="00FD211F">
        <w:rPr>
          <w:sz w:val="36"/>
          <w:szCs w:val="36"/>
          <w:rtl/>
        </w:rPr>
        <w:t>الثوب</w:t>
      </w:r>
      <w:r w:rsidR="00E8128F">
        <w:rPr>
          <w:sz w:val="36"/>
          <w:szCs w:val="36"/>
          <w:rtl/>
        </w:rPr>
        <w:t xml:space="preserve"> </w:t>
      </w:r>
      <w:r w:rsidR="00466163" w:rsidRPr="00FD211F">
        <w:rPr>
          <w:sz w:val="36"/>
          <w:szCs w:val="36"/>
          <w:rtl/>
        </w:rPr>
        <w:t>الملاقي</w:t>
      </w:r>
      <w:r w:rsidR="00E8128F">
        <w:rPr>
          <w:sz w:val="36"/>
          <w:szCs w:val="36"/>
          <w:rtl/>
        </w:rPr>
        <w:t xml:space="preserve"> </w:t>
      </w:r>
      <w:r w:rsidR="00466163" w:rsidRPr="00FD211F">
        <w:rPr>
          <w:sz w:val="36"/>
          <w:szCs w:val="36"/>
          <w:rtl/>
        </w:rPr>
        <w:t>للدم</w:t>
      </w:r>
      <w:r w:rsidR="00E8128F">
        <w:rPr>
          <w:sz w:val="36"/>
          <w:szCs w:val="36"/>
          <w:rtl/>
        </w:rPr>
        <w:t xml:space="preserve"> </w:t>
      </w:r>
      <w:r w:rsidR="00466163" w:rsidRPr="00FD211F">
        <w:rPr>
          <w:sz w:val="36"/>
          <w:szCs w:val="36"/>
          <w:rtl/>
        </w:rPr>
        <w:t>مع</w:t>
      </w:r>
      <w:r w:rsidR="00E8128F">
        <w:rPr>
          <w:sz w:val="36"/>
          <w:szCs w:val="36"/>
          <w:rtl/>
        </w:rPr>
        <w:t xml:space="preserve"> </w:t>
      </w:r>
      <w:r w:rsidR="00466163" w:rsidRPr="00FD211F">
        <w:rPr>
          <w:sz w:val="36"/>
          <w:szCs w:val="36"/>
          <w:rtl/>
        </w:rPr>
        <w:t>تحقق</w:t>
      </w:r>
      <w:r w:rsidR="00E8128F">
        <w:rPr>
          <w:sz w:val="36"/>
          <w:szCs w:val="36"/>
          <w:rtl/>
        </w:rPr>
        <w:t xml:space="preserve"> </w:t>
      </w:r>
      <w:r w:rsidR="00466163" w:rsidRPr="00FD211F">
        <w:rPr>
          <w:sz w:val="36"/>
          <w:szCs w:val="36"/>
          <w:rtl/>
        </w:rPr>
        <w:t>موضوعه</w:t>
      </w:r>
      <w:r w:rsidR="00603323" w:rsidRPr="00FD211F">
        <w:rPr>
          <w:sz w:val="36"/>
          <w:szCs w:val="36"/>
          <w:rtl/>
        </w:rPr>
        <w:t>،</w:t>
      </w:r>
      <w:r w:rsidR="00E8128F">
        <w:rPr>
          <w:sz w:val="36"/>
          <w:szCs w:val="36"/>
          <w:rtl/>
        </w:rPr>
        <w:t xml:space="preserve"> </w:t>
      </w:r>
      <w:r w:rsidR="00466163" w:rsidRPr="00FD211F">
        <w:rPr>
          <w:sz w:val="36"/>
          <w:szCs w:val="36"/>
          <w:rtl/>
        </w:rPr>
        <w:t>ولذا</w:t>
      </w:r>
      <w:r w:rsidR="00E8128F">
        <w:rPr>
          <w:sz w:val="36"/>
          <w:szCs w:val="36"/>
          <w:rtl/>
        </w:rPr>
        <w:t xml:space="preserve"> </w:t>
      </w:r>
      <w:r w:rsidR="00466163" w:rsidRPr="00FD211F">
        <w:rPr>
          <w:sz w:val="36"/>
          <w:szCs w:val="36"/>
          <w:rtl/>
        </w:rPr>
        <w:t>يتخلل</w:t>
      </w:r>
      <w:r w:rsidR="00E8128F">
        <w:rPr>
          <w:sz w:val="36"/>
          <w:szCs w:val="36"/>
          <w:rtl/>
        </w:rPr>
        <w:t xml:space="preserve"> </w:t>
      </w:r>
      <w:r w:rsidR="00466163" w:rsidRPr="00FD211F">
        <w:rPr>
          <w:sz w:val="36"/>
          <w:szCs w:val="36"/>
          <w:rtl/>
        </w:rPr>
        <w:t>بينهما</w:t>
      </w:r>
      <w:r w:rsidR="00E8128F">
        <w:rPr>
          <w:sz w:val="36"/>
          <w:szCs w:val="36"/>
          <w:rtl/>
        </w:rPr>
        <w:t xml:space="preserve"> </w:t>
      </w:r>
      <w:r w:rsidR="00466163" w:rsidRPr="00FD211F">
        <w:rPr>
          <w:sz w:val="36"/>
          <w:szCs w:val="36"/>
          <w:rtl/>
        </w:rPr>
        <w:t>فاء</w:t>
      </w:r>
      <w:r w:rsidR="00E8128F">
        <w:rPr>
          <w:sz w:val="36"/>
          <w:szCs w:val="36"/>
          <w:rtl/>
        </w:rPr>
        <w:t xml:space="preserve"> </w:t>
      </w:r>
      <w:r w:rsidR="00466163" w:rsidRPr="00FD211F">
        <w:rPr>
          <w:sz w:val="36"/>
          <w:szCs w:val="36"/>
          <w:rtl/>
        </w:rPr>
        <w:t>التفريع</w:t>
      </w:r>
      <w:r w:rsidR="00E8128F">
        <w:rPr>
          <w:sz w:val="36"/>
          <w:szCs w:val="36"/>
          <w:rtl/>
        </w:rPr>
        <w:t xml:space="preserve"> </w:t>
      </w:r>
      <w:r w:rsidR="00466163" w:rsidRPr="00FD211F">
        <w:rPr>
          <w:sz w:val="36"/>
          <w:szCs w:val="36"/>
          <w:rtl/>
        </w:rPr>
        <w:t>فيقال</w:t>
      </w:r>
      <w:r w:rsidR="00E8128F">
        <w:rPr>
          <w:sz w:val="36"/>
          <w:szCs w:val="36"/>
          <w:rtl/>
        </w:rPr>
        <w:t xml:space="preserve"> </w:t>
      </w:r>
      <w:r w:rsidR="00466163" w:rsidRPr="00FD211F">
        <w:rPr>
          <w:sz w:val="36"/>
          <w:szCs w:val="36"/>
          <w:rtl/>
        </w:rPr>
        <w:t>جعل</w:t>
      </w:r>
      <w:r w:rsidR="00E8128F">
        <w:rPr>
          <w:sz w:val="36"/>
          <w:szCs w:val="36"/>
          <w:rtl/>
        </w:rPr>
        <w:t xml:space="preserve"> </w:t>
      </w:r>
      <w:r w:rsidR="00466163" w:rsidRPr="00FD211F">
        <w:rPr>
          <w:sz w:val="36"/>
          <w:szCs w:val="36"/>
          <w:rtl/>
        </w:rPr>
        <w:t>الشارع</w:t>
      </w:r>
      <w:r w:rsidR="00E8128F">
        <w:rPr>
          <w:sz w:val="36"/>
          <w:szCs w:val="36"/>
          <w:rtl/>
        </w:rPr>
        <w:t xml:space="preserve"> </w:t>
      </w:r>
      <w:r w:rsidR="00466163" w:rsidRPr="00FD211F">
        <w:rPr>
          <w:sz w:val="36"/>
          <w:szCs w:val="36"/>
          <w:rtl/>
        </w:rPr>
        <w:t>النجاس</w:t>
      </w:r>
      <w:r w:rsidR="00EC7EDF" w:rsidRPr="00FD211F">
        <w:rPr>
          <w:sz w:val="36"/>
          <w:szCs w:val="36"/>
          <w:rtl/>
        </w:rPr>
        <w:t>ة</w:t>
      </w:r>
      <w:r w:rsidR="00E8128F">
        <w:rPr>
          <w:sz w:val="36"/>
          <w:szCs w:val="36"/>
          <w:rtl/>
        </w:rPr>
        <w:t xml:space="preserve"> </w:t>
      </w:r>
      <w:r w:rsidR="00466163" w:rsidRPr="00FD211F">
        <w:rPr>
          <w:sz w:val="36"/>
          <w:szCs w:val="36"/>
          <w:rtl/>
        </w:rPr>
        <w:t>للثوب</w:t>
      </w:r>
      <w:r w:rsidR="00E8128F">
        <w:rPr>
          <w:sz w:val="36"/>
          <w:szCs w:val="36"/>
          <w:rtl/>
        </w:rPr>
        <w:t xml:space="preserve"> </w:t>
      </w:r>
      <w:r w:rsidR="00466163" w:rsidRPr="00FD211F">
        <w:rPr>
          <w:sz w:val="36"/>
          <w:szCs w:val="36"/>
          <w:rtl/>
        </w:rPr>
        <w:t>الملاقي</w:t>
      </w:r>
      <w:r w:rsidR="00E8128F">
        <w:rPr>
          <w:sz w:val="36"/>
          <w:szCs w:val="36"/>
          <w:rtl/>
        </w:rPr>
        <w:t xml:space="preserve"> </w:t>
      </w:r>
      <w:r w:rsidR="00466163" w:rsidRPr="00FD211F">
        <w:rPr>
          <w:sz w:val="36"/>
          <w:szCs w:val="36"/>
          <w:rtl/>
        </w:rPr>
        <w:t>للدم</w:t>
      </w:r>
      <w:r w:rsidR="00603323" w:rsidRPr="00FD211F">
        <w:rPr>
          <w:sz w:val="36"/>
          <w:szCs w:val="36"/>
          <w:rtl/>
        </w:rPr>
        <w:t>،</w:t>
      </w:r>
      <w:r w:rsidR="00E8128F">
        <w:rPr>
          <w:sz w:val="36"/>
          <w:szCs w:val="36"/>
          <w:rtl/>
        </w:rPr>
        <w:t xml:space="preserve"> </w:t>
      </w:r>
      <w:r w:rsidR="00466163" w:rsidRPr="00FD211F">
        <w:rPr>
          <w:sz w:val="36"/>
          <w:szCs w:val="36"/>
          <w:rtl/>
        </w:rPr>
        <w:t>وهذا</w:t>
      </w:r>
      <w:r w:rsidR="00E8128F">
        <w:rPr>
          <w:sz w:val="36"/>
          <w:szCs w:val="36"/>
          <w:rtl/>
        </w:rPr>
        <w:t xml:space="preserve"> </w:t>
      </w:r>
      <w:r w:rsidR="00466163" w:rsidRPr="00FD211F">
        <w:rPr>
          <w:sz w:val="36"/>
          <w:szCs w:val="36"/>
          <w:rtl/>
        </w:rPr>
        <w:t>الثوب</w:t>
      </w:r>
      <w:r w:rsidR="00E8128F">
        <w:rPr>
          <w:sz w:val="36"/>
          <w:szCs w:val="36"/>
          <w:rtl/>
        </w:rPr>
        <w:t xml:space="preserve"> </w:t>
      </w:r>
      <w:r w:rsidRPr="00FD211F">
        <w:rPr>
          <w:sz w:val="36"/>
          <w:szCs w:val="36"/>
          <w:rtl/>
        </w:rPr>
        <w:t>ملاقٍ</w:t>
      </w:r>
      <w:r w:rsidR="00E8128F">
        <w:rPr>
          <w:sz w:val="36"/>
          <w:szCs w:val="36"/>
          <w:rtl/>
        </w:rPr>
        <w:t xml:space="preserve"> </w:t>
      </w:r>
      <w:r w:rsidRPr="00FD211F">
        <w:rPr>
          <w:sz w:val="36"/>
          <w:szCs w:val="36"/>
          <w:rtl/>
        </w:rPr>
        <w:t>للدم</w:t>
      </w:r>
      <w:r w:rsidR="00603323" w:rsidRPr="00FD211F">
        <w:rPr>
          <w:sz w:val="36"/>
          <w:szCs w:val="36"/>
          <w:rtl/>
        </w:rPr>
        <w:t>،</w:t>
      </w:r>
      <w:r w:rsidR="00E8128F">
        <w:rPr>
          <w:sz w:val="36"/>
          <w:szCs w:val="36"/>
          <w:rtl/>
        </w:rPr>
        <w:t xml:space="preserve"> </w:t>
      </w:r>
      <w:r w:rsidRPr="00FD211F">
        <w:rPr>
          <w:sz w:val="36"/>
          <w:szCs w:val="36"/>
          <w:rtl/>
        </w:rPr>
        <w:t>فهذاالثوب</w:t>
      </w:r>
      <w:r w:rsidR="00E8128F">
        <w:rPr>
          <w:sz w:val="36"/>
          <w:szCs w:val="36"/>
          <w:rtl/>
        </w:rPr>
        <w:t xml:space="preserve"> </w:t>
      </w:r>
      <w:r w:rsidRPr="00FD211F">
        <w:rPr>
          <w:sz w:val="36"/>
          <w:szCs w:val="36"/>
          <w:rtl/>
        </w:rPr>
        <w:t>نجس</w:t>
      </w:r>
      <w:r w:rsidR="00F651CF" w:rsidRPr="00FD211F">
        <w:rPr>
          <w:sz w:val="36"/>
          <w:szCs w:val="36"/>
          <w:rtl/>
          <w:lang w:val="en-GB"/>
        </w:rPr>
        <w:t>.</w:t>
      </w:r>
    </w:p>
    <w:p w14:paraId="2D746F0A" w14:textId="77777777" w:rsidR="00D70D7F" w:rsidRPr="00FD211F" w:rsidRDefault="00CE5809" w:rsidP="009C58C8">
      <w:pPr>
        <w:ind w:left="0" w:firstLine="227"/>
        <w:jc w:val="both"/>
        <w:rPr>
          <w:sz w:val="36"/>
          <w:szCs w:val="36"/>
          <w:rtl/>
        </w:rPr>
      </w:pPr>
      <w:r w:rsidRPr="00FD211F">
        <w:rPr>
          <w:sz w:val="36"/>
          <w:szCs w:val="36"/>
          <w:rtl/>
        </w:rPr>
        <w:t>3-</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008E1AA6" w:rsidRPr="00FD211F">
        <w:rPr>
          <w:sz w:val="36"/>
          <w:szCs w:val="36"/>
          <w:rtl/>
        </w:rPr>
        <w:t>ومحصله</w:t>
      </w:r>
      <w:r w:rsidR="00E8128F">
        <w:rPr>
          <w:sz w:val="36"/>
          <w:szCs w:val="36"/>
          <w:rtl/>
        </w:rPr>
        <w:t xml:space="preserve"> </w:t>
      </w:r>
      <w:r w:rsidR="008E1AA6" w:rsidRPr="00FD211F">
        <w:rPr>
          <w:sz w:val="36"/>
          <w:szCs w:val="36"/>
          <w:rtl/>
        </w:rPr>
        <w:t>ان</w:t>
      </w:r>
      <w:r w:rsidR="00E8128F">
        <w:rPr>
          <w:sz w:val="36"/>
          <w:szCs w:val="36"/>
          <w:rtl/>
        </w:rPr>
        <w:t xml:space="preserve"> </w:t>
      </w:r>
      <w:r w:rsidRPr="00FD211F">
        <w:rPr>
          <w:sz w:val="36"/>
          <w:szCs w:val="36"/>
          <w:rtl/>
        </w:rPr>
        <w:t>جريان</w:t>
      </w:r>
      <w:r w:rsidR="00E8128F">
        <w:rPr>
          <w:sz w:val="36"/>
          <w:szCs w:val="36"/>
          <w:rtl/>
        </w:rPr>
        <w:t xml:space="preserve"> </w:t>
      </w:r>
      <w:r w:rsidRPr="00FD211F">
        <w:rPr>
          <w:sz w:val="36"/>
          <w:szCs w:val="36"/>
          <w:rtl/>
        </w:rPr>
        <w:t>استصحاب</w:t>
      </w:r>
      <w:r w:rsidR="00E8128F">
        <w:rPr>
          <w:sz w:val="36"/>
          <w:szCs w:val="36"/>
          <w:rtl/>
        </w:rPr>
        <w:t xml:space="preserve"> </w:t>
      </w:r>
      <w:r w:rsidR="008E1AA6" w:rsidRPr="00FD211F">
        <w:rPr>
          <w:sz w:val="36"/>
          <w:szCs w:val="36"/>
          <w:rtl/>
        </w:rPr>
        <w:t>عدم</w:t>
      </w:r>
      <w:r w:rsidR="00E8128F">
        <w:rPr>
          <w:sz w:val="36"/>
          <w:szCs w:val="36"/>
          <w:rtl/>
        </w:rPr>
        <w:t xml:space="preserve"> </w:t>
      </w:r>
      <w:r w:rsidR="008E1AA6" w:rsidRPr="00FD211F">
        <w:rPr>
          <w:sz w:val="36"/>
          <w:szCs w:val="36"/>
          <w:rtl/>
        </w:rPr>
        <w:t>أخذ</w:t>
      </w:r>
      <w:r w:rsidR="00E8128F">
        <w:rPr>
          <w:sz w:val="36"/>
          <w:szCs w:val="36"/>
          <w:rtl/>
        </w:rPr>
        <w:t xml:space="preserve"> </w:t>
      </w:r>
      <w:r w:rsidR="008E1AA6" w:rsidRPr="00FD211F">
        <w:rPr>
          <w:sz w:val="36"/>
          <w:szCs w:val="36"/>
          <w:rtl/>
        </w:rPr>
        <w:t>القيد</w:t>
      </w:r>
      <w:r w:rsidR="00E8128F">
        <w:rPr>
          <w:sz w:val="36"/>
          <w:szCs w:val="36"/>
          <w:rtl/>
        </w:rPr>
        <w:t xml:space="preserve"> </w:t>
      </w:r>
      <w:r w:rsidR="008E1AA6" w:rsidRPr="00FD211F">
        <w:rPr>
          <w:sz w:val="36"/>
          <w:szCs w:val="36"/>
          <w:rtl/>
        </w:rPr>
        <w:t>الزائد</w:t>
      </w:r>
      <w:r w:rsidR="00E8128F">
        <w:rPr>
          <w:sz w:val="36"/>
          <w:szCs w:val="36"/>
          <w:rtl/>
        </w:rPr>
        <w:t xml:space="preserve"> </w:t>
      </w:r>
      <w:r w:rsidR="008E1AA6" w:rsidRPr="00FD211F">
        <w:rPr>
          <w:sz w:val="36"/>
          <w:szCs w:val="36"/>
          <w:rtl/>
        </w:rPr>
        <w:t>في</w:t>
      </w:r>
      <w:r w:rsidR="00E8128F">
        <w:rPr>
          <w:sz w:val="36"/>
          <w:szCs w:val="36"/>
          <w:rtl/>
        </w:rPr>
        <w:t xml:space="preserve"> </w:t>
      </w:r>
      <w:r w:rsidR="008E1AA6" w:rsidRPr="00FD211F">
        <w:rPr>
          <w:sz w:val="36"/>
          <w:szCs w:val="36"/>
          <w:rtl/>
        </w:rPr>
        <w:t>مقام</w:t>
      </w:r>
      <w:r w:rsidR="00E8128F">
        <w:rPr>
          <w:sz w:val="36"/>
          <w:szCs w:val="36"/>
          <w:rtl/>
        </w:rPr>
        <w:t xml:space="preserve"> </w:t>
      </w:r>
      <w:r w:rsidR="008E1AA6" w:rsidRPr="00FD211F">
        <w:rPr>
          <w:sz w:val="36"/>
          <w:szCs w:val="36"/>
          <w:rtl/>
        </w:rPr>
        <w:t>الوضع</w:t>
      </w:r>
      <w:r w:rsidR="00E8128F">
        <w:rPr>
          <w:sz w:val="36"/>
          <w:szCs w:val="36"/>
          <w:rtl/>
        </w:rPr>
        <w:t xml:space="preserve"> </w:t>
      </w:r>
      <w:r w:rsidR="008E1AA6" w:rsidRPr="00FD211F">
        <w:rPr>
          <w:sz w:val="36"/>
          <w:szCs w:val="36"/>
          <w:rtl/>
        </w:rPr>
        <w:t>لأجل</w:t>
      </w:r>
      <w:r w:rsidR="00E8128F">
        <w:rPr>
          <w:sz w:val="36"/>
          <w:szCs w:val="36"/>
          <w:rtl/>
        </w:rPr>
        <w:t xml:space="preserve"> </w:t>
      </w:r>
      <w:r w:rsidRPr="00FD211F">
        <w:rPr>
          <w:sz w:val="36"/>
          <w:szCs w:val="36"/>
          <w:rtl/>
        </w:rPr>
        <w:t>إثبات</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لفظ</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لايثبت</w:t>
      </w:r>
      <w:r w:rsidR="00E8128F">
        <w:rPr>
          <w:sz w:val="36"/>
          <w:szCs w:val="36"/>
          <w:rtl/>
        </w:rPr>
        <w:t xml:space="preserve"> </w:t>
      </w:r>
      <w:r w:rsidRPr="00FD211F">
        <w:rPr>
          <w:sz w:val="36"/>
          <w:szCs w:val="36"/>
          <w:rtl/>
        </w:rPr>
        <w:t>ظهوره</w:t>
      </w:r>
      <w:r w:rsidR="00E8128F">
        <w:rPr>
          <w:sz w:val="36"/>
          <w:szCs w:val="36"/>
          <w:rtl/>
        </w:rPr>
        <w:t xml:space="preserve"> </w:t>
      </w:r>
      <w:r w:rsidRPr="00FD211F">
        <w:rPr>
          <w:sz w:val="36"/>
          <w:szCs w:val="36"/>
          <w:rtl/>
        </w:rPr>
        <w:t>فيه</w:t>
      </w:r>
      <w:r w:rsidR="00E8128F">
        <w:rPr>
          <w:sz w:val="36"/>
          <w:szCs w:val="36"/>
          <w:rtl/>
        </w:rPr>
        <w:t xml:space="preserve"> </w:t>
      </w:r>
      <w:r w:rsidR="008E2748" w:rsidRPr="00FD211F">
        <w:rPr>
          <w:sz w:val="36"/>
          <w:szCs w:val="36"/>
          <w:rtl/>
        </w:rPr>
        <w:t>الا</w:t>
      </w:r>
      <w:r w:rsidR="00E8128F">
        <w:rPr>
          <w:sz w:val="36"/>
          <w:szCs w:val="36"/>
          <w:rtl/>
        </w:rPr>
        <w:t xml:space="preserve"> </w:t>
      </w:r>
      <w:r w:rsidR="008E2748" w:rsidRPr="00FD211F">
        <w:rPr>
          <w:sz w:val="36"/>
          <w:szCs w:val="36"/>
          <w:rtl/>
        </w:rPr>
        <w:t>بنحو</w:t>
      </w:r>
      <w:r w:rsidR="00E8128F">
        <w:rPr>
          <w:sz w:val="36"/>
          <w:szCs w:val="36"/>
          <w:rtl/>
        </w:rPr>
        <w:t xml:space="preserve"> </w:t>
      </w:r>
      <w:r w:rsidR="008E2748" w:rsidRPr="00FD211F">
        <w:rPr>
          <w:sz w:val="36"/>
          <w:szCs w:val="36"/>
          <w:rtl/>
        </w:rPr>
        <w:t>الاصل</w:t>
      </w:r>
      <w:r w:rsidR="00E8128F">
        <w:rPr>
          <w:sz w:val="36"/>
          <w:szCs w:val="36"/>
          <w:rtl/>
        </w:rPr>
        <w:t xml:space="preserve"> </w:t>
      </w:r>
      <w:r w:rsidR="008E2748" w:rsidRPr="00FD211F">
        <w:rPr>
          <w:sz w:val="36"/>
          <w:szCs w:val="36"/>
          <w:rtl/>
        </w:rPr>
        <w:t>المثبت</w:t>
      </w:r>
      <w:r w:rsidR="00603323" w:rsidRPr="00FD211F">
        <w:rPr>
          <w:sz w:val="36"/>
          <w:szCs w:val="36"/>
          <w:rtl/>
        </w:rPr>
        <w:t>،</w:t>
      </w:r>
      <w:r w:rsidR="00E8128F">
        <w:rPr>
          <w:sz w:val="36"/>
          <w:szCs w:val="36"/>
          <w:rtl/>
        </w:rPr>
        <w:t xml:space="preserve"> </w:t>
      </w:r>
      <w:r w:rsidR="00D70D7F" w:rsidRPr="00FD211F">
        <w:rPr>
          <w:sz w:val="36"/>
          <w:szCs w:val="36"/>
          <w:rtl/>
        </w:rPr>
        <w:t>فان</w:t>
      </w:r>
      <w:r w:rsidR="00E8128F">
        <w:rPr>
          <w:sz w:val="36"/>
          <w:szCs w:val="36"/>
          <w:rtl/>
        </w:rPr>
        <w:t xml:space="preserve"> </w:t>
      </w:r>
      <w:r w:rsidR="00D70D7F" w:rsidRPr="00FD211F">
        <w:rPr>
          <w:sz w:val="36"/>
          <w:szCs w:val="36"/>
          <w:rtl/>
        </w:rPr>
        <w:t>الظهور</w:t>
      </w:r>
      <w:r w:rsidR="00E8128F">
        <w:rPr>
          <w:sz w:val="36"/>
          <w:szCs w:val="36"/>
          <w:rtl/>
        </w:rPr>
        <w:t xml:space="preserve"> </w:t>
      </w:r>
      <w:r w:rsidR="00D70D7F" w:rsidRPr="00FD211F">
        <w:rPr>
          <w:sz w:val="36"/>
          <w:szCs w:val="36"/>
          <w:rtl/>
        </w:rPr>
        <w:t>التصوري</w:t>
      </w:r>
      <w:r w:rsidR="00E8128F">
        <w:rPr>
          <w:sz w:val="36"/>
          <w:szCs w:val="36"/>
          <w:rtl/>
        </w:rPr>
        <w:t xml:space="preserve"> </w:t>
      </w:r>
      <w:r w:rsidR="00D70D7F" w:rsidRPr="00FD211F">
        <w:rPr>
          <w:sz w:val="36"/>
          <w:szCs w:val="36"/>
          <w:rtl/>
        </w:rPr>
        <w:t>مسبب</w:t>
      </w:r>
      <w:r w:rsidR="00E8128F">
        <w:rPr>
          <w:sz w:val="36"/>
          <w:szCs w:val="36"/>
          <w:rtl/>
        </w:rPr>
        <w:t xml:space="preserve"> </w:t>
      </w:r>
      <w:r w:rsidR="00D70D7F" w:rsidRPr="00FD211F">
        <w:rPr>
          <w:sz w:val="36"/>
          <w:szCs w:val="36"/>
          <w:rtl/>
        </w:rPr>
        <w:t>تكويني</w:t>
      </w:r>
      <w:r w:rsidR="00E8128F">
        <w:rPr>
          <w:sz w:val="36"/>
          <w:szCs w:val="36"/>
          <w:rtl/>
        </w:rPr>
        <w:t xml:space="preserve"> </w:t>
      </w:r>
      <w:r w:rsidR="00D70D7F" w:rsidRPr="00FD211F">
        <w:rPr>
          <w:sz w:val="36"/>
          <w:szCs w:val="36"/>
          <w:rtl/>
        </w:rPr>
        <w:t>عن</w:t>
      </w:r>
      <w:r w:rsidR="00E8128F">
        <w:rPr>
          <w:sz w:val="36"/>
          <w:szCs w:val="36"/>
          <w:rtl/>
        </w:rPr>
        <w:t xml:space="preserve"> </w:t>
      </w:r>
      <w:r w:rsidR="00D70D7F" w:rsidRPr="00FD211F">
        <w:rPr>
          <w:sz w:val="36"/>
          <w:szCs w:val="36"/>
          <w:rtl/>
        </w:rPr>
        <w:t>عملي</w:t>
      </w:r>
      <w:r w:rsidR="00EC7EDF" w:rsidRPr="00FD211F">
        <w:rPr>
          <w:sz w:val="36"/>
          <w:szCs w:val="36"/>
          <w:rtl/>
        </w:rPr>
        <w:t>ة</w:t>
      </w:r>
      <w:r w:rsidR="00E8128F">
        <w:rPr>
          <w:sz w:val="36"/>
          <w:szCs w:val="36"/>
          <w:rtl/>
        </w:rPr>
        <w:t xml:space="preserve"> </w:t>
      </w:r>
      <w:r w:rsidR="00D70D7F" w:rsidRPr="00FD211F">
        <w:rPr>
          <w:sz w:val="36"/>
          <w:szCs w:val="36"/>
          <w:rtl/>
        </w:rPr>
        <w:t>وضع</w:t>
      </w:r>
      <w:r w:rsidR="00E8128F">
        <w:rPr>
          <w:sz w:val="36"/>
          <w:szCs w:val="36"/>
          <w:rtl/>
        </w:rPr>
        <w:t xml:space="preserve"> </w:t>
      </w:r>
      <w:r w:rsidR="00D70D7F" w:rsidRPr="00FD211F">
        <w:rPr>
          <w:sz w:val="36"/>
          <w:szCs w:val="36"/>
          <w:rtl/>
        </w:rPr>
        <w:t>الواضع</w:t>
      </w:r>
      <w:r w:rsidR="00603323" w:rsidRPr="00FD211F">
        <w:rPr>
          <w:sz w:val="36"/>
          <w:szCs w:val="36"/>
          <w:rtl/>
        </w:rPr>
        <w:t>،</w:t>
      </w:r>
      <w:r w:rsidR="00E8128F">
        <w:rPr>
          <w:sz w:val="36"/>
          <w:szCs w:val="36"/>
          <w:rtl/>
        </w:rPr>
        <w:t xml:space="preserve"> </w:t>
      </w:r>
      <w:r w:rsidR="00D70D7F" w:rsidRPr="00FD211F">
        <w:rPr>
          <w:sz w:val="36"/>
          <w:szCs w:val="36"/>
          <w:rtl/>
        </w:rPr>
        <w:t>فك</w:t>
      </w:r>
      <w:r w:rsidR="00851268" w:rsidRPr="00FD211F">
        <w:rPr>
          <w:sz w:val="36"/>
          <w:szCs w:val="36"/>
          <w:rtl/>
        </w:rPr>
        <w:t>يف</w:t>
      </w:r>
      <w:r w:rsidR="00E8128F">
        <w:rPr>
          <w:sz w:val="36"/>
          <w:szCs w:val="36"/>
          <w:rtl/>
        </w:rPr>
        <w:t xml:space="preserve"> </w:t>
      </w:r>
      <w:r w:rsidR="00851268" w:rsidRPr="00FD211F">
        <w:rPr>
          <w:sz w:val="36"/>
          <w:szCs w:val="36"/>
          <w:rtl/>
        </w:rPr>
        <w:t>بالظهور</w:t>
      </w:r>
      <w:r w:rsidR="00E8128F">
        <w:rPr>
          <w:sz w:val="36"/>
          <w:szCs w:val="36"/>
          <w:rtl/>
        </w:rPr>
        <w:t xml:space="preserve"> </w:t>
      </w:r>
      <w:r w:rsidR="00851268" w:rsidRPr="00FD211F">
        <w:rPr>
          <w:sz w:val="36"/>
          <w:szCs w:val="36"/>
          <w:rtl/>
        </w:rPr>
        <w:t>التصديقي</w:t>
      </w:r>
      <w:r w:rsidR="00E8128F">
        <w:rPr>
          <w:sz w:val="36"/>
          <w:szCs w:val="36"/>
          <w:rtl/>
        </w:rPr>
        <w:t xml:space="preserve"> </w:t>
      </w:r>
      <w:r w:rsidR="00851268" w:rsidRPr="00FD211F">
        <w:rPr>
          <w:sz w:val="36"/>
          <w:szCs w:val="36"/>
          <w:rtl/>
        </w:rPr>
        <w:t>الاستعمالي</w:t>
      </w:r>
      <w:r w:rsidR="00E8128F">
        <w:rPr>
          <w:sz w:val="36"/>
          <w:szCs w:val="36"/>
          <w:rtl/>
        </w:rPr>
        <w:t xml:space="preserve"> </w:t>
      </w:r>
      <w:r w:rsidR="00D70D7F" w:rsidRPr="00FD211F">
        <w:rPr>
          <w:sz w:val="36"/>
          <w:szCs w:val="36"/>
          <w:rtl/>
        </w:rPr>
        <w:t>الذي</w:t>
      </w:r>
      <w:r w:rsidR="00E8128F">
        <w:rPr>
          <w:sz w:val="36"/>
          <w:szCs w:val="36"/>
          <w:rtl/>
        </w:rPr>
        <w:t xml:space="preserve"> </w:t>
      </w:r>
      <w:r w:rsidR="00D70D7F" w:rsidRPr="00FD211F">
        <w:rPr>
          <w:sz w:val="36"/>
          <w:szCs w:val="36"/>
          <w:rtl/>
        </w:rPr>
        <w:t>يكون</w:t>
      </w:r>
      <w:r w:rsidR="00E8128F">
        <w:rPr>
          <w:sz w:val="36"/>
          <w:szCs w:val="36"/>
          <w:rtl/>
        </w:rPr>
        <w:t xml:space="preserve"> </w:t>
      </w:r>
      <w:r w:rsidR="00D70D7F" w:rsidRPr="00FD211F">
        <w:rPr>
          <w:sz w:val="36"/>
          <w:szCs w:val="36"/>
          <w:rtl/>
        </w:rPr>
        <w:t>هو</w:t>
      </w:r>
      <w:r w:rsidR="00E8128F">
        <w:rPr>
          <w:sz w:val="36"/>
          <w:szCs w:val="36"/>
          <w:rtl/>
        </w:rPr>
        <w:t xml:space="preserve"> </w:t>
      </w:r>
      <w:r w:rsidR="00D70D7F" w:rsidRPr="00FD211F">
        <w:rPr>
          <w:sz w:val="36"/>
          <w:szCs w:val="36"/>
          <w:rtl/>
        </w:rPr>
        <w:t>الموضوع</w:t>
      </w:r>
      <w:r w:rsidR="00E8128F">
        <w:rPr>
          <w:sz w:val="36"/>
          <w:szCs w:val="36"/>
          <w:rtl/>
        </w:rPr>
        <w:t xml:space="preserve"> </w:t>
      </w:r>
      <w:r w:rsidR="00D70D7F" w:rsidRPr="00FD211F">
        <w:rPr>
          <w:sz w:val="36"/>
          <w:szCs w:val="36"/>
          <w:rtl/>
        </w:rPr>
        <w:t>لحجي</w:t>
      </w:r>
      <w:r w:rsidR="00EC7EDF" w:rsidRPr="00FD211F">
        <w:rPr>
          <w:sz w:val="36"/>
          <w:szCs w:val="36"/>
          <w:rtl/>
        </w:rPr>
        <w:t>ة</w:t>
      </w:r>
      <w:r w:rsidR="00E8128F">
        <w:rPr>
          <w:sz w:val="36"/>
          <w:szCs w:val="36"/>
          <w:rtl/>
        </w:rPr>
        <w:t xml:space="preserve"> </w:t>
      </w:r>
      <w:r w:rsidR="00D70D7F" w:rsidRPr="00FD211F">
        <w:rPr>
          <w:sz w:val="36"/>
          <w:szCs w:val="36"/>
          <w:rtl/>
        </w:rPr>
        <w:t>الظهور</w:t>
      </w:r>
      <w:r w:rsidR="009C58C8" w:rsidRPr="00FD211F">
        <w:rPr>
          <w:rStyle w:val="a6"/>
          <w:sz w:val="36"/>
          <w:szCs w:val="36"/>
          <w:rtl/>
        </w:rPr>
        <w:t>(</w:t>
      </w:r>
      <w:r w:rsidR="009C58C8" w:rsidRPr="00FD211F">
        <w:rPr>
          <w:rStyle w:val="a6"/>
          <w:sz w:val="36"/>
          <w:szCs w:val="36"/>
          <w:rtl/>
        </w:rPr>
        <w:footnoteReference w:id="570"/>
      </w:r>
      <w:r w:rsidR="009C58C8" w:rsidRPr="00FD211F">
        <w:rPr>
          <w:rStyle w:val="a6"/>
          <w:sz w:val="36"/>
          <w:szCs w:val="36"/>
          <w:rtl/>
        </w:rPr>
        <w:t>)</w:t>
      </w:r>
      <w:r w:rsidR="00D70D7F" w:rsidRPr="00FD211F">
        <w:rPr>
          <w:sz w:val="36"/>
          <w:szCs w:val="36"/>
          <w:rtl/>
        </w:rPr>
        <w:t>.</w:t>
      </w:r>
    </w:p>
    <w:p w14:paraId="66D49235" w14:textId="77777777" w:rsidR="00CC7BAC" w:rsidRPr="00FD211F" w:rsidRDefault="00D70D7F" w:rsidP="009C58C8">
      <w:pPr>
        <w:ind w:left="0" w:firstLine="227"/>
        <w:jc w:val="both"/>
        <w:rPr>
          <w:sz w:val="36"/>
          <w:szCs w:val="36"/>
          <w:rtl/>
        </w:rPr>
      </w:pPr>
      <w:r w:rsidRPr="00FD211F">
        <w:rPr>
          <w:sz w:val="36"/>
          <w:szCs w:val="36"/>
          <w:rtl/>
        </w:rPr>
        <w:t>ويلاحظ</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انه</w:t>
      </w:r>
      <w:r w:rsidR="00E8128F">
        <w:rPr>
          <w:sz w:val="36"/>
          <w:szCs w:val="36"/>
          <w:rtl/>
        </w:rPr>
        <w:t xml:space="preserve"> </w:t>
      </w:r>
      <w:r w:rsidR="00FB57C7" w:rsidRPr="00FD211F">
        <w:rPr>
          <w:sz w:val="36"/>
          <w:szCs w:val="36"/>
          <w:rtl/>
        </w:rPr>
        <w:t>قد</w:t>
      </w:r>
      <w:r w:rsidR="00E8128F">
        <w:rPr>
          <w:sz w:val="36"/>
          <w:szCs w:val="36"/>
          <w:rtl/>
        </w:rPr>
        <w:t xml:space="preserve"> </w:t>
      </w:r>
      <w:r w:rsidR="00FB57C7" w:rsidRPr="00FD211F">
        <w:rPr>
          <w:sz w:val="36"/>
          <w:szCs w:val="36"/>
          <w:rtl/>
        </w:rPr>
        <w:t>يقال</w:t>
      </w:r>
      <w:r w:rsidR="00E8128F">
        <w:rPr>
          <w:sz w:val="36"/>
          <w:szCs w:val="36"/>
          <w:rtl/>
        </w:rPr>
        <w:t xml:space="preserve"> </w:t>
      </w:r>
      <w:r w:rsidR="00FB57C7" w:rsidRPr="00FD211F">
        <w:rPr>
          <w:sz w:val="36"/>
          <w:szCs w:val="36"/>
          <w:rtl/>
        </w:rPr>
        <w:t>بامكان</w:t>
      </w:r>
      <w:r w:rsidR="00E8128F">
        <w:rPr>
          <w:sz w:val="36"/>
          <w:szCs w:val="36"/>
          <w:rtl/>
        </w:rPr>
        <w:t xml:space="preserve"> </w:t>
      </w:r>
      <w:r w:rsidR="00FB57C7" w:rsidRPr="00FD211F">
        <w:rPr>
          <w:sz w:val="36"/>
          <w:szCs w:val="36"/>
          <w:rtl/>
        </w:rPr>
        <w:t>اجراء</w:t>
      </w:r>
      <w:r w:rsidR="00E8128F">
        <w:rPr>
          <w:sz w:val="36"/>
          <w:szCs w:val="36"/>
          <w:rtl/>
        </w:rPr>
        <w:t xml:space="preserve"> </w:t>
      </w:r>
      <w:r w:rsidR="00FB57C7" w:rsidRPr="00FD211F">
        <w:rPr>
          <w:sz w:val="36"/>
          <w:szCs w:val="36"/>
          <w:rtl/>
        </w:rPr>
        <w:t>الاستصحاب</w:t>
      </w:r>
      <w:r w:rsidR="00E8128F">
        <w:rPr>
          <w:sz w:val="36"/>
          <w:szCs w:val="36"/>
          <w:rtl/>
        </w:rPr>
        <w:t xml:space="preserve"> </w:t>
      </w:r>
      <w:r w:rsidR="00FB57C7" w:rsidRPr="00FD211F">
        <w:rPr>
          <w:sz w:val="36"/>
          <w:szCs w:val="36"/>
          <w:rtl/>
        </w:rPr>
        <w:t>في</w:t>
      </w:r>
      <w:r w:rsidR="00E8128F">
        <w:rPr>
          <w:sz w:val="36"/>
          <w:szCs w:val="36"/>
          <w:rtl/>
        </w:rPr>
        <w:t xml:space="preserve"> </w:t>
      </w:r>
      <w:r w:rsidR="00FB57C7" w:rsidRPr="00FD211F">
        <w:rPr>
          <w:sz w:val="36"/>
          <w:szCs w:val="36"/>
          <w:rtl/>
        </w:rPr>
        <w:t>نفس</w:t>
      </w:r>
      <w:r w:rsidR="00E8128F">
        <w:rPr>
          <w:sz w:val="36"/>
          <w:szCs w:val="36"/>
          <w:rtl/>
        </w:rPr>
        <w:t xml:space="preserve"> </w:t>
      </w:r>
      <w:r w:rsidR="00FB57C7" w:rsidRPr="00FD211F">
        <w:rPr>
          <w:sz w:val="36"/>
          <w:szCs w:val="36"/>
          <w:rtl/>
        </w:rPr>
        <w:t>الظهور</w:t>
      </w:r>
      <w:r w:rsidR="00E8128F">
        <w:rPr>
          <w:sz w:val="36"/>
          <w:szCs w:val="36"/>
          <w:rtl/>
        </w:rPr>
        <w:t xml:space="preserve"> </w:t>
      </w:r>
      <w:r w:rsidR="00CC7BAC" w:rsidRPr="00FD211F">
        <w:rPr>
          <w:sz w:val="36"/>
          <w:szCs w:val="36"/>
          <w:rtl/>
        </w:rPr>
        <w:t>ف</w:t>
      </w:r>
      <w:r w:rsidR="00FB57C7" w:rsidRPr="00FD211F">
        <w:rPr>
          <w:sz w:val="36"/>
          <w:szCs w:val="36"/>
          <w:rtl/>
        </w:rPr>
        <w:t>يجري</w:t>
      </w:r>
      <w:r w:rsidR="00E8128F">
        <w:rPr>
          <w:sz w:val="36"/>
          <w:szCs w:val="36"/>
          <w:rtl/>
        </w:rPr>
        <w:t xml:space="preserve"> </w:t>
      </w:r>
      <w:r w:rsidR="00FB57C7" w:rsidRPr="00FD211F">
        <w:rPr>
          <w:sz w:val="36"/>
          <w:szCs w:val="36"/>
          <w:rtl/>
        </w:rPr>
        <w:t>استصحاب</w:t>
      </w:r>
      <w:r w:rsidR="00E8128F">
        <w:rPr>
          <w:sz w:val="36"/>
          <w:szCs w:val="36"/>
          <w:rtl/>
        </w:rPr>
        <w:t xml:space="preserve"> </w:t>
      </w:r>
      <w:r w:rsidR="00FB57C7" w:rsidRPr="00FD211F">
        <w:rPr>
          <w:sz w:val="36"/>
          <w:szCs w:val="36"/>
          <w:rtl/>
        </w:rPr>
        <w:t>عدم</w:t>
      </w:r>
      <w:r w:rsidR="00E8128F">
        <w:rPr>
          <w:sz w:val="36"/>
          <w:szCs w:val="36"/>
          <w:rtl/>
        </w:rPr>
        <w:t xml:space="preserve"> </w:t>
      </w:r>
      <w:r w:rsidR="00FB57C7" w:rsidRPr="00FD211F">
        <w:rPr>
          <w:sz w:val="36"/>
          <w:szCs w:val="36"/>
          <w:rtl/>
        </w:rPr>
        <w:t>تقييد</w:t>
      </w:r>
      <w:r w:rsidR="00E8128F">
        <w:rPr>
          <w:sz w:val="36"/>
          <w:szCs w:val="36"/>
          <w:rtl/>
        </w:rPr>
        <w:t xml:space="preserve"> </w:t>
      </w:r>
      <w:r w:rsidR="00FB57C7" w:rsidRPr="00FD211F">
        <w:rPr>
          <w:sz w:val="36"/>
          <w:szCs w:val="36"/>
          <w:rtl/>
        </w:rPr>
        <w:t>المعنى</w:t>
      </w:r>
      <w:r w:rsidR="00E8128F">
        <w:rPr>
          <w:sz w:val="36"/>
          <w:szCs w:val="36"/>
          <w:rtl/>
        </w:rPr>
        <w:t xml:space="preserve"> </w:t>
      </w:r>
      <w:r w:rsidR="00FB57C7" w:rsidRPr="00FD211F">
        <w:rPr>
          <w:sz w:val="36"/>
          <w:szCs w:val="36"/>
          <w:rtl/>
        </w:rPr>
        <w:t>الظاهر</w:t>
      </w:r>
      <w:r w:rsidR="00E8128F">
        <w:rPr>
          <w:sz w:val="36"/>
          <w:szCs w:val="36"/>
          <w:rtl/>
        </w:rPr>
        <w:t xml:space="preserve"> </w:t>
      </w:r>
      <w:r w:rsidR="00FB57C7" w:rsidRPr="00FD211F">
        <w:rPr>
          <w:sz w:val="36"/>
          <w:szCs w:val="36"/>
          <w:rtl/>
        </w:rPr>
        <w:t>للفظ</w:t>
      </w:r>
      <w:r w:rsidR="00E8128F">
        <w:rPr>
          <w:sz w:val="36"/>
          <w:szCs w:val="36"/>
          <w:rtl/>
        </w:rPr>
        <w:t xml:space="preserve"> </w:t>
      </w:r>
      <w:r w:rsidR="00FB57C7" w:rsidRPr="00FD211F">
        <w:rPr>
          <w:sz w:val="36"/>
          <w:szCs w:val="36"/>
          <w:rtl/>
        </w:rPr>
        <w:t>المشتق</w:t>
      </w:r>
      <w:r w:rsidR="00E8128F">
        <w:rPr>
          <w:sz w:val="36"/>
          <w:szCs w:val="36"/>
          <w:rtl/>
        </w:rPr>
        <w:t xml:space="preserve"> </w:t>
      </w:r>
      <w:r w:rsidR="00FB57C7" w:rsidRPr="00FD211F">
        <w:rPr>
          <w:sz w:val="36"/>
          <w:szCs w:val="36"/>
          <w:rtl/>
        </w:rPr>
        <w:t>للتلبس</w:t>
      </w:r>
      <w:r w:rsidR="00E8128F">
        <w:rPr>
          <w:sz w:val="36"/>
          <w:szCs w:val="36"/>
          <w:rtl/>
        </w:rPr>
        <w:t xml:space="preserve"> </w:t>
      </w:r>
      <w:r w:rsidR="00FB57C7" w:rsidRPr="00FD211F">
        <w:rPr>
          <w:sz w:val="36"/>
          <w:szCs w:val="36"/>
          <w:rtl/>
        </w:rPr>
        <w:t>الفعلي</w:t>
      </w:r>
      <w:r w:rsidR="00E8128F">
        <w:rPr>
          <w:sz w:val="36"/>
          <w:szCs w:val="36"/>
          <w:rtl/>
        </w:rPr>
        <w:t xml:space="preserve"> </w:t>
      </w:r>
      <w:r w:rsidR="00FB57C7" w:rsidRPr="00FD211F">
        <w:rPr>
          <w:sz w:val="36"/>
          <w:szCs w:val="36"/>
          <w:rtl/>
        </w:rPr>
        <w:t>بال</w:t>
      </w:r>
      <w:r w:rsidR="0079493B" w:rsidRPr="00FD211F">
        <w:rPr>
          <w:sz w:val="36"/>
          <w:szCs w:val="36"/>
          <w:rtl/>
        </w:rPr>
        <w:t>مبدأ</w:t>
      </w:r>
      <w:r w:rsidR="00603323" w:rsidRPr="00FD211F">
        <w:rPr>
          <w:sz w:val="36"/>
          <w:szCs w:val="36"/>
          <w:rtl/>
        </w:rPr>
        <w:t>،</w:t>
      </w:r>
      <w:r w:rsidR="00E8128F">
        <w:rPr>
          <w:sz w:val="36"/>
          <w:szCs w:val="36"/>
          <w:rtl/>
        </w:rPr>
        <w:t xml:space="preserve"> </w:t>
      </w:r>
      <w:r w:rsidR="00FB57C7" w:rsidRPr="00FD211F">
        <w:rPr>
          <w:sz w:val="36"/>
          <w:szCs w:val="36"/>
          <w:rtl/>
        </w:rPr>
        <w:t>وبضم</w:t>
      </w:r>
      <w:r w:rsidR="00E8128F">
        <w:rPr>
          <w:sz w:val="36"/>
          <w:szCs w:val="36"/>
          <w:rtl/>
        </w:rPr>
        <w:t xml:space="preserve"> </w:t>
      </w:r>
      <w:r w:rsidR="00FB57C7" w:rsidRPr="00FD211F">
        <w:rPr>
          <w:sz w:val="36"/>
          <w:szCs w:val="36"/>
          <w:rtl/>
        </w:rPr>
        <w:t>احراز</w:t>
      </w:r>
      <w:r w:rsidR="00E8128F">
        <w:rPr>
          <w:sz w:val="36"/>
          <w:szCs w:val="36"/>
          <w:rtl/>
        </w:rPr>
        <w:t xml:space="preserve"> </w:t>
      </w:r>
      <w:r w:rsidR="00FB57C7" w:rsidRPr="00FD211F">
        <w:rPr>
          <w:sz w:val="36"/>
          <w:szCs w:val="36"/>
          <w:rtl/>
        </w:rPr>
        <w:t>ظهوره</w:t>
      </w:r>
      <w:r w:rsidR="00E8128F">
        <w:rPr>
          <w:sz w:val="36"/>
          <w:szCs w:val="36"/>
          <w:rtl/>
        </w:rPr>
        <w:t xml:space="preserve"> </w:t>
      </w:r>
      <w:r w:rsidR="00FB57C7" w:rsidRPr="00FD211F">
        <w:rPr>
          <w:sz w:val="36"/>
          <w:szCs w:val="36"/>
          <w:rtl/>
        </w:rPr>
        <w:t>في</w:t>
      </w:r>
      <w:r w:rsidR="00E8128F">
        <w:rPr>
          <w:sz w:val="36"/>
          <w:szCs w:val="36"/>
          <w:rtl/>
        </w:rPr>
        <w:t xml:space="preserve"> </w:t>
      </w:r>
      <w:r w:rsidR="00FB57C7" w:rsidRPr="00FD211F">
        <w:rPr>
          <w:sz w:val="36"/>
          <w:szCs w:val="36"/>
          <w:rtl/>
        </w:rPr>
        <w:t>الجامع</w:t>
      </w:r>
      <w:r w:rsidR="00E8128F">
        <w:rPr>
          <w:sz w:val="36"/>
          <w:szCs w:val="36"/>
          <w:rtl/>
        </w:rPr>
        <w:t xml:space="preserve"> </w:t>
      </w:r>
      <w:r w:rsidR="00FB57C7" w:rsidRPr="00FD211F">
        <w:rPr>
          <w:sz w:val="36"/>
          <w:szCs w:val="36"/>
          <w:rtl/>
        </w:rPr>
        <w:t>يثبت</w:t>
      </w:r>
      <w:r w:rsidR="00E8128F">
        <w:rPr>
          <w:sz w:val="36"/>
          <w:szCs w:val="36"/>
          <w:rtl/>
        </w:rPr>
        <w:t xml:space="preserve"> </w:t>
      </w:r>
      <w:r w:rsidR="00FB57C7" w:rsidRPr="00FD211F">
        <w:rPr>
          <w:sz w:val="36"/>
          <w:szCs w:val="36"/>
          <w:rtl/>
        </w:rPr>
        <w:t>المطلوب</w:t>
      </w:r>
      <w:r w:rsidR="00CC7BAC" w:rsidRPr="00FD211F">
        <w:rPr>
          <w:sz w:val="36"/>
          <w:szCs w:val="36"/>
          <w:rtl/>
        </w:rPr>
        <w:t>.</w:t>
      </w:r>
    </w:p>
    <w:p w14:paraId="03F9ECF6" w14:textId="77777777" w:rsidR="00577BCA" w:rsidRPr="00FD211F" w:rsidRDefault="00577BCA" w:rsidP="009C58C8">
      <w:pPr>
        <w:ind w:left="0" w:firstLine="227"/>
        <w:jc w:val="both"/>
        <w:rPr>
          <w:sz w:val="36"/>
          <w:szCs w:val="36"/>
          <w:rtl/>
        </w:rPr>
      </w:pPr>
      <w:r w:rsidRPr="00FD211F">
        <w:rPr>
          <w:sz w:val="36"/>
          <w:szCs w:val="36"/>
          <w:rtl/>
        </w:rPr>
        <w:t>4-</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الحجي</w:t>
      </w:r>
      <w:r w:rsidR="00EC7EDF" w:rsidRPr="00FD211F">
        <w:rPr>
          <w:sz w:val="36"/>
          <w:szCs w:val="36"/>
          <w:rtl/>
        </w:rPr>
        <w:t>ة</w:t>
      </w:r>
      <w:r w:rsidR="00E8128F">
        <w:rPr>
          <w:sz w:val="36"/>
          <w:szCs w:val="36"/>
          <w:rtl/>
        </w:rPr>
        <w:t xml:space="preserve"> </w:t>
      </w:r>
      <w:r w:rsidRPr="00FD211F">
        <w:rPr>
          <w:sz w:val="36"/>
          <w:szCs w:val="36"/>
          <w:rtl/>
        </w:rPr>
        <w:t>حكم</w:t>
      </w:r>
      <w:r w:rsidR="00E8128F">
        <w:rPr>
          <w:sz w:val="36"/>
          <w:szCs w:val="36"/>
          <w:rtl/>
        </w:rPr>
        <w:t xml:space="preserve"> </w:t>
      </w:r>
      <w:r w:rsidRPr="00FD211F">
        <w:rPr>
          <w:sz w:val="36"/>
          <w:szCs w:val="36"/>
          <w:rtl/>
        </w:rPr>
        <w:t>عقلائي</w:t>
      </w:r>
      <w:r w:rsidR="00E8128F">
        <w:rPr>
          <w:sz w:val="36"/>
          <w:szCs w:val="36"/>
          <w:rtl/>
        </w:rPr>
        <w:t xml:space="preserve"> </w:t>
      </w:r>
      <w:r w:rsidRPr="00FD211F">
        <w:rPr>
          <w:sz w:val="36"/>
          <w:szCs w:val="36"/>
          <w:rtl/>
        </w:rPr>
        <w:t>و</w:t>
      </w:r>
      <w:r w:rsidR="00D66C52" w:rsidRPr="00FD211F">
        <w:rPr>
          <w:sz w:val="36"/>
          <w:szCs w:val="36"/>
          <w:rtl/>
        </w:rPr>
        <w:t>يحتمل</w:t>
      </w:r>
      <w:r w:rsidR="00E8128F">
        <w:rPr>
          <w:sz w:val="36"/>
          <w:szCs w:val="36"/>
          <w:rtl/>
        </w:rPr>
        <w:t xml:space="preserve"> </w:t>
      </w:r>
      <w:r w:rsidR="00D66C52" w:rsidRPr="00FD211F">
        <w:rPr>
          <w:sz w:val="36"/>
          <w:szCs w:val="36"/>
          <w:rtl/>
        </w:rPr>
        <w:t>ان</w:t>
      </w:r>
      <w:r w:rsidR="00E8128F">
        <w:rPr>
          <w:sz w:val="36"/>
          <w:szCs w:val="36"/>
          <w:rtl/>
        </w:rPr>
        <w:t xml:space="preserve"> </w:t>
      </w:r>
      <w:r w:rsidR="00D66C52" w:rsidRPr="00FD211F">
        <w:rPr>
          <w:sz w:val="36"/>
          <w:szCs w:val="36"/>
          <w:rtl/>
        </w:rPr>
        <w:t>يكون</w:t>
      </w:r>
      <w:r w:rsidR="00E8128F">
        <w:rPr>
          <w:sz w:val="36"/>
          <w:szCs w:val="36"/>
          <w:rtl/>
        </w:rPr>
        <w:t xml:space="preserve"> </w:t>
      </w:r>
      <w:r w:rsidR="00D66C52" w:rsidRPr="00FD211F">
        <w:rPr>
          <w:sz w:val="36"/>
          <w:szCs w:val="36"/>
          <w:rtl/>
        </w:rPr>
        <w:t>موضوعها</w:t>
      </w:r>
      <w:r w:rsidR="00E8128F">
        <w:rPr>
          <w:sz w:val="36"/>
          <w:szCs w:val="36"/>
          <w:rtl/>
        </w:rPr>
        <w:t xml:space="preserve"> </w:t>
      </w:r>
      <w:r w:rsidR="00D66C52" w:rsidRPr="00FD211F">
        <w:rPr>
          <w:sz w:val="36"/>
          <w:szCs w:val="36"/>
          <w:rtl/>
        </w:rPr>
        <w:t>عند</w:t>
      </w:r>
      <w:r w:rsidR="00E8128F">
        <w:rPr>
          <w:sz w:val="36"/>
          <w:szCs w:val="36"/>
          <w:rtl/>
        </w:rPr>
        <w:t xml:space="preserve"> </w:t>
      </w:r>
      <w:r w:rsidR="00D66C52" w:rsidRPr="00FD211F">
        <w:rPr>
          <w:sz w:val="36"/>
          <w:szCs w:val="36"/>
          <w:rtl/>
        </w:rPr>
        <w:t>العقلاء</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الظهور</w:t>
      </w:r>
      <w:r w:rsidR="00E8128F">
        <w:rPr>
          <w:sz w:val="36"/>
          <w:szCs w:val="36"/>
          <w:rtl/>
        </w:rPr>
        <w:t xml:space="preserve"> </w:t>
      </w:r>
      <w:r w:rsidRPr="00FD211F">
        <w:rPr>
          <w:sz w:val="36"/>
          <w:szCs w:val="36"/>
          <w:rtl/>
        </w:rPr>
        <w:t>الواصل</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المكلف</w:t>
      </w:r>
      <w:r w:rsidR="00E8128F">
        <w:rPr>
          <w:sz w:val="36"/>
          <w:szCs w:val="36"/>
          <w:rtl/>
        </w:rPr>
        <w:t xml:space="preserve"> </w:t>
      </w:r>
      <w:r w:rsidRPr="00FD211F">
        <w:rPr>
          <w:sz w:val="36"/>
          <w:szCs w:val="36"/>
          <w:rtl/>
        </w:rPr>
        <w:t>بالوجدان</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بالطريق</w:t>
      </w:r>
      <w:r w:rsidR="00E8128F">
        <w:rPr>
          <w:sz w:val="36"/>
          <w:szCs w:val="36"/>
          <w:rtl/>
        </w:rPr>
        <w:t xml:space="preserve"> </w:t>
      </w:r>
      <w:r w:rsidRPr="00FD211F">
        <w:rPr>
          <w:sz w:val="36"/>
          <w:szCs w:val="36"/>
          <w:rtl/>
        </w:rPr>
        <w:t>العقلائي</w:t>
      </w:r>
      <w:r w:rsidR="00603323" w:rsidRPr="00FD211F">
        <w:rPr>
          <w:sz w:val="36"/>
          <w:szCs w:val="36"/>
          <w:rtl/>
        </w:rPr>
        <w:t>،</w:t>
      </w:r>
      <w:r w:rsidR="00E8128F">
        <w:rPr>
          <w:sz w:val="36"/>
          <w:szCs w:val="36"/>
          <w:rtl/>
        </w:rPr>
        <w:t xml:space="preserve"> </w:t>
      </w:r>
      <w:r w:rsidRPr="00FD211F">
        <w:rPr>
          <w:sz w:val="36"/>
          <w:szCs w:val="36"/>
          <w:rtl/>
        </w:rPr>
        <w:t>فلايمكن</w:t>
      </w:r>
      <w:r w:rsidR="00E8128F">
        <w:rPr>
          <w:sz w:val="36"/>
          <w:szCs w:val="36"/>
          <w:rtl/>
        </w:rPr>
        <w:t xml:space="preserve"> </w:t>
      </w:r>
      <w:r w:rsidRPr="00FD211F">
        <w:rPr>
          <w:sz w:val="36"/>
          <w:szCs w:val="36"/>
          <w:rtl/>
        </w:rPr>
        <w:t>تنقيح</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الموضوع</w:t>
      </w:r>
      <w:r w:rsidR="00E8128F">
        <w:rPr>
          <w:sz w:val="36"/>
          <w:szCs w:val="36"/>
          <w:rtl/>
        </w:rPr>
        <w:t xml:space="preserve"> </w:t>
      </w:r>
      <w:r w:rsidRPr="00FD211F">
        <w:rPr>
          <w:sz w:val="36"/>
          <w:szCs w:val="36"/>
          <w:rtl/>
        </w:rPr>
        <w:t>بالاستصحاب</w:t>
      </w:r>
      <w:r w:rsidR="00603323" w:rsidRPr="00FD211F">
        <w:rPr>
          <w:sz w:val="36"/>
          <w:szCs w:val="36"/>
          <w:rtl/>
        </w:rPr>
        <w:t>،</w:t>
      </w:r>
      <w:r w:rsidR="00E8128F">
        <w:rPr>
          <w:sz w:val="36"/>
          <w:szCs w:val="36"/>
          <w:rtl/>
        </w:rPr>
        <w:t xml:space="preserve"> </w:t>
      </w:r>
      <w:r w:rsidR="00D66C52" w:rsidRPr="00FD211F">
        <w:rPr>
          <w:sz w:val="36"/>
          <w:szCs w:val="36"/>
          <w:rtl/>
        </w:rPr>
        <w:t>نعم</w:t>
      </w:r>
      <w:r w:rsidR="00E8128F">
        <w:rPr>
          <w:sz w:val="36"/>
          <w:szCs w:val="36"/>
          <w:rtl/>
        </w:rPr>
        <w:t xml:space="preserve"> </w:t>
      </w:r>
      <w:r w:rsidR="00D66C52" w:rsidRPr="00FD211F">
        <w:rPr>
          <w:sz w:val="36"/>
          <w:szCs w:val="36"/>
          <w:rtl/>
        </w:rPr>
        <w:t>لوعلم</w:t>
      </w:r>
      <w:r w:rsidR="00E8128F">
        <w:rPr>
          <w:sz w:val="36"/>
          <w:szCs w:val="36"/>
          <w:rtl/>
        </w:rPr>
        <w:t xml:space="preserve"> </w:t>
      </w:r>
      <w:r w:rsidR="00D66C52" w:rsidRPr="00FD211F">
        <w:rPr>
          <w:sz w:val="36"/>
          <w:szCs w:val="36"/>
          <w:rtl/>
        </w:rPr>
        <w:t>بكون</w:t>
      </w:r>
      <w:r w:rsidR="00E8128F">
        <w:rPr>
          <w:sz w:val="36"/>
          <w:szCs w:val="36"/>
          <w:rtl/>
        </w:rPr>
        <w:t xml:space="preserve"> </w:t>
      </w:r>
      <w:r w:rsidRPr="00FD211F">
        <w:rPr>
          <w:sz w:val="36"/>
          <w:szCs w:val="36"/>
          <w:rtl/>
        </w:rPr>
        <w:t>موضوع</w:t>
      </w:r>
      <w:r w:rsidR="00E8128F">
        <w:rPr>
          <w:sz w:val="36"/>
          <w:szCs w:val="36"/>
          <w:rtl/>
        </w:rPr>
        <w:t xml:space="preserve"> </w:t>
      </w:r>
      <w:r w:rsidRPr="00FD211F">
        <w:rPr>
          <w:sz w:val="36"/>
          <w:szCs w:val="36"/>
          <w:rtl/>
        </w:rPr>
        <w:t>الحجي</w:t>
      </w:r>
      <w:r w:rsidR="00EC7EDF" w:rsidRPr="00FD211F">
        <w:rPr>
          <w:sz w:val="36"/>
          <w:szCs w:val="36"/>
          <w:rtl/>
        </w:rPr>
        <w:t>ة</w:t>
      </w:r>
      <w:r w:rsidR="00E8128F">
        <w:rPr>
          <w:sz w:val="36"/>
          <w:szCs w:val="36"/>
          <w:rtl/>
        </w:rPr>
        <w:t xml:space="preserve"> </w:t>
      </w:r>
      <w:r w:rsidRPr="00FD211F">
        <w:rPr>
          <w:sz w:val="36"/>
          <w:szCs w:val="36"/>
          <w:rtl/>
        </w:rPr>
        <w:t>بنظر</w:t>
      </w:r>
      <w:r w:rsidR="00E8128F">
        <w:rPr>
          <w:sz w:val="36"/>
          <w:szCs w:val="36"/>
          <w:rtl/>
        </w:rPr>
        <w:t xml:space="preserve"> </w:t>
      </w:r>
      <w:r w:rsidRPr="00FD211F">
        <w:rPr>
          <w:sz w:val="36"/>
          <w:szCs w:val="36"/>
          <w:rtl/>
        </w:rPr>
        <w:t>العقلاء</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واقع</w:t>
      </w:r>
      <w:r w:rsidR="00E8128F">
        <w:rPr>
          <w:sz w:val="36"/>
          <w:szCs w:val="36"/>
          <w:rtl/>
        </w:rPr>
        <w:t xml:space="preserve"> </w:t>
      </w:r>
      <w:r w:rsidRPr="00FD211F">
        <w:rPr>
          <w:sz w:val="36"/>
          <w:szCs w:val="36"/>
          <w:rtl/>
        </w:rPr>
        <w:t>الظهور</w:t>
      </w:r>
      <w:r w:rsidR="00603323" w:rsidRPr="00FD211F">
        <w:rPr>
          <w:sz w:val="36"/>
          <w:szCs w:val="36"/>
          <w:rtl/>
        </w:rPr>
        <w:t>،</w:t>
      </w:r>
      <w:r w:rsidR="00E8128F">
        <w:rPr>
          <w:sz w:val="36"/>
          <w:szCs w:val="36"/>
          <w:rtl/>
        </w:rPr>
        <w:t xml:space="preserve"> </w:t>
      </w:r>
      <w:r w:rsidR="00A13E0F" w:rsidRPr="00FD211F">
        <w:rPr>
          <w:sz w:val="36"/>
          <w:szCs w:val="36"/>
          <w:rtl/>
        </w:rPr>
        <w:t>وانما</w:t>
      </w:r>
      <w:r w:rsidR="00E8128F">
        <w:rPr>
          <w:sz w:val="36"/>
          <w:szCs w:val="36"/>
          <w:rtl/>
        </w:rPr>
        <w:t xml:space="preserve"> </w:t>
      </w:r>
      <w:r w:rsidR="00A13E0F" w:rsidRPr="00FD211F">
        <w:rPr>
          <w:sz w:val="36"/>
          <w:szCs w:val="36"/>
          <w:rtl/>
        </w:rPr>
        <w:t>يكون</w:t>
      </w:r>
      <w:r w:rsidR="00E8128F">
        <w:rPr>
          <w:sz w:val="36"/>
          <w:szCs w:val="36"/>
          <w:rtl/>
        </w:rPr>
        <w:t xml:space="preserve"> </w:t>
      </w:r>
      <w:r w:rsidR="00A13E0F" w:rsidRPr="00FD211F">
        <w:rPr>
          <w:sz w:val="36"/>
          <w:szCs w:val="36"/>
          <w:rtl/>
        </w:rPr>
        <w:t>العلم</w:t>
      </w:r>
      <w:r w:rsidR="00E8128F">
        <w:rPr>
          <w:sz w:val="36"/>
          <w:szCs w:val="36"/>
          <w:rtl/>
        </w:rPr>
        <w:t xml:space="preserve"> </w:t>
      </w:r>
      <w:r w:rsidR="00A13E0F" w:rsidRPr="00FD211F">
        <w:rPr>
          <w:sz w:val="36"/>
          <w:szCs w:val="36"/>
          <w:rtl/>
        </w:rPr>
        <w:t>او</w:t>
      </w:r>
      <w:r w:rsidR="00E8128F">
        <w:rPr>
          <w:sz w:val="36"/>
          <w:szCs w:val="36"/>
          <w:rtl/>
        </w:rPr>
        <w:t xml:space="preserve"> </w:t>
      </w:r>
      <w:r w:rsidR="00A13E0F" w:rsidRPr="00FD211F">
        <w:rPr>
          <w:sz w:val="36"/>
          <w:szCs w:val="36"/>
          <w:rtl/>
        </w:rPr>
        <w:t>الأم</w:t>
      </w:r>
      <w:r w:rsidR="00D66C52" w:rsidRPr="00FD211F">
        <w:rPr>
          <w:sz w:val="36"/>
          <w:szCs w:val="36"/>
          <w:rtl/>
        </w:rPr>
        <w:t>ار</w:t>
      </w:r>
      <w:r w:rsidR="00EC7EDF" w:rsidRPr="00FD211F">
        <w:rPr>
          <w:sz w:val="36"/>
          <w:szCs w:val="36"/>
          <w:rtl/>
        </w:rPr>
        <w:t>ة</w:t>
      </w:r>
      <w:r w:rsidR="00E8128F">
        <w:rPr>
          <w:sz w:val="36"/>
          <w:szCs w:val="36"/>
          <w:rtl/>
        </w:rPr>
        <w:t xml:space="preserve"> </w:t>
      </w:r>
      <w:r w:rsidR="00D66C52" w:rsidRPr="00FD211F">
        <w:rPr>
          <w:sz w:val="36"/>
          <w:szCs w:val="36"/>
          <w:rtl/>
        </w:rPr>
        <w:t>العقلائي</w:t>
      </w:r>
      <w:r w:rsidR="00EC7EDF" w:rsidRPr="00FD211F">
        <w:rPr>
          <w:sz w:val="36"/>
          <w:szCs w:val="36"/>
          <w:rtl/>
        </w:rPr>
        <w:t>ة</w:t>
      </w:r>
      <w:r w:rsidR="00E8128F">
        <w:rPr>
          <w:sz w:val="36"/>
          <w:szCs w:val="36"/>
          <w:rtl/>
        </w:rPr>
        <w:t xml:space="preserve"> </w:t>
      </w:r>
      <w:r w:rsidR="00D66C52" w:rsidRPr="00FD211F">
        <w:rPr>
          <w:sz w:val="36"/>
          <w:szCs w:val="36"/>
          <w:rtl/>
        </w:rPr>
        <w:t>طريقا</w:t>
      </w:r>
      <w:r w:rsidR="00E8128F">
        <w:rPr>
          <w:sz w:val="36"/>
          <w:szCs w:val="36"/>
          <w:rtl/>
        </w:rPr>
        <w:t xml:space="preserve"> </w:t>
      </w:r>
      <w:r w:rsidR="00D66C52" w:rsidRPr="00FD211F">
        <w:rPr>
          <w:sz w:val="36"/>
          <w:szCs w:val="36"/>
          <w:rtl/>
        </w:rPr>
        <w:t>محضا</w:t>
      </w:r>
      <w:r w:rsidR="00E8128F">
        <w:rPr>
          <w:sz w:val="36"/>
          <w:szCs w:val="36"/>
          <w:rtl/>
        </w:rPr>
        <w:t xml:space="preserve"> </w:t>
      </w:r>
      <w:r w:rsidR="00D66C52" w:rsidRPr="00FD211F">
        <w:rPr>
          <w:sz w:val="36"/>
          <w:szCs w:val="36"/>
          <w:rtl/>
        </w:rPr>
        <w:t>اليه</w:t>
      </w:r>
      <w:r w:rsidR="00603323" w:rsidRPr="00FD211F">
        <w:rPr>
          <w:sz w:val="36"/>
          <w:szCs w:val="36"/>
          <w:rtl/>
        </w:rPr>
        <w:t>،</w:t>
      </w:r>
      <w:r w:rsidR="00E8128F">
        <w:rPr>
          <w:sz w:val="36"/>
          <w:szCs w:val="36"/>
          <w:rtl/>
        </w:rPr>
        <w:t xml:space="preserve"> </w:t>
      </w:r>
      <w:r w:rsidR="001116B1" w:rsidRPr="00FD211F">
        <w:rPr>
          <w:sz w:val="36"/>
          <w:szCs w:val="36"/>
          <w:rtl/>
        </w:rPr>
        <w:t>ا</w:t>
      </w:r>
      <w:r w:rsidR="00A13E0F" w:rsidRPr="00FD211F">
        <w:rPr>
          <w:sz w:val="36"/>
          <w:szCs w:val="36"/>
          <w:rtl/>
        </w:rPr>
        <w:t>مكن</w:t>
      </w:r>
      <w:r w:rsidR="00E8128F">
        <w:rPr>
          <w:sz w:val="36"/>
          <w:szCs w:val="36"/>
          <w:rtl/>
        </w:rPr>
        <w:t xml:space="preserve"> </w:t>
      </w:r>
      <w:r w:rsidR="00A13E0F" w:rsidRPr="00FD211F">
        <w:rPr>
          <w:sz w:val="36"/>
          <w:szCs w:val="36"/>
          <w:rtl/>
        </w:rPr>
        <w:t>تنقيح</w:t>
      </w:r>
      <w:r w:rsidR="00E8128F">
        <w:rPr>
          <w:sz w:val="36"/>
          <w:szCs w:val="36"/>
          <w:rtl/>
        </w:rPr>
        <w:t xml:space="preserve"> </w:t>
      </w:r>
      <w:r w:rsidR="00A13E0F" w:rsidRPr="00FD211F">
        <w:rPr>
          <w:sz w:val="36"/>
          <w:szCs w:val="36"/>
          <w:rtl/>
        </w:rPr>
        <w:t>الموضوع</w:t>
      </w:r>
      <w:r w:rsidR="00E8128F">
        <w:rPr>
          <w:sz w:val="36"/>
          <w:szCs w:val="36"/>
          <w:rtl/>
        </w:rPr>
        <w:t xml:space="preserve"> </w:t>
      </w:r>
      <w:r w:rsidR="00A13E0F" w:rsidRPr="00FD211F">
        <w:rPr>
          <w:sz w:val="36"/>
          <w:szCs w:val="36"/>
          <w:rtl/>
        </w:rPr>
        <w:t>بالاستصحاب.</w:t>
      </w:r>
    </w:p>
    <w:p w14:paraId="2604522A" w14:textId="77777777" w:rsidR="007416AA" w:rsidRPr="00FD211F" w:rsidRDefault="0039587C" w:rsidP="009C58C8">
      <w:pPr>
        <w:pStyle w:val="3"/>
        <w:ind w:firstLine="227"/>
        <w:jc w:val="both"/>
        <w:rPr>
          <w:rtl/>
        </w:rPr>
      </w:pPr>
      <w:bookmarkStart w:id="463" w:name="_Toc223890434"/>
      <w:r w:rsidRPr="00FD211F">
        <w:rPr>
          <w:rtl/>
        </w:rPr>
        <w:t>مقتضى</w:t>
      </w:r>
      <w:r w:rsidR="00E8128F">
        <w:rPr>
          <w:rtl/>
        </w:rPr>
        <w:t xml:space="preserve"> </w:t>
      </w:r>
      <w:r w:rsidRPr="00FD211F">
        <w:rPr>
          <w:rtl/>
        </w:rPr>
        <w:t>الأصل</w:t>
      </w:r>
      <w:r w:rsidR="00E8128F">
        <w:rPr>
          <w:rtl/>
        </w:rPr>
        <w:t xml:space="preserve"> </w:t>
      </w:r>
      <w:r w:rsidRPr="00FD211F">
        <w:rPr>
          <w:rtl/>
        </w:rPr>
        <w:t>العملي</w:t>
      </w:r>
      <w:r w:rsidR="00E8128F">
        <w:rPr>
          <w:rtl/>
        </w:rPr>
        <w:t xml:space="preserve"> </w:t>
      </w:r>
      <w:r w:rsidRPr="00FD211F">
        <w:rPr>
          <w:rtl/>
        </w:rPr>
        <w:t>في</w:t>
      </w:r>
      <w:r w:rsidR="00E8128F">
        <w:rPr>
          <w:rtl/>
        </w:rPr>
        <w:t xml:space="preserve"> </w:t>
      </w:r>
      <w:r w:rsidRPr="00FD211F">
        <w:rPr>
          <w:rtl/>
        </w:rPr>
        <w:t>المسأل</w:t>
      </w:r>
      <w:r w:rsidR="00EC7EDF" w:rsidRPr="00FD211F">
        <w:rPr>
          <w:rtl/>
        </w:rPr>
        <w:t>ة</w:t>
      </w:r>
      <w:r w:rsidR="00E8128F">
        <w:rPr>
          <w:rtl/>
        </w:rPr>
        <w:t xml:space="preserve"> </w:t>
      </w:r>
      <w:r w:rsidRPr="00FD211F">
        <w:rPr>
          <w:rtl/>
        </w:rPr>
        <w:t>الفقهي</w:t>
      </w:r>
      <w:r w:rsidR="00EC7EDF" w:rsidRPr="00FD211F">
        <w:rPr>
          <w:rtl/>
        </w:rPr>
        <w:t>ة</w:t>
      </w:r>
      <w:bookmarkEnd w:id="463"/>
      <w:r w:rsidR="00E8128F">
        <w:rPr>
          <w:rtl/>
        </w:rPr>
        <w:t xml:space="preserve"> </w:t>
      </w:r>
    </w:p>
    <w:p w14:paraId="0ED0E2F6" w14:textId="77777777" w:rsidR="008E2748" w:rsidRPr="00FD211F" w:rsidRDefault="007416AA" w:rsidP="009C58C8">
      <w:pPr>
        <w:ind w:left="0" w:firstLine="227"/>
        <w:jc w:val="both"/>
        <w:rPr>
          <w:sz w:val="36"/>
          <w:szCs w:val="36"/>
          <w:rtl/>
        </w:rPr>
      </w:pPr>
      <w:r w:rsidRPr="00FD211F">
        <w:rPr>
          <w:sz w:val="36"/>
          <w:szCs w:val="36"/>
          <w:rtl/>
        </w:rPr>
        <w:t>اما</w:t>
      </w:r>
      <w:r w:rsidR="008E2748" w:rsidRPr="00FD211F">
        <w:rPr>
          <w:sz w:val="36"/>
          <w:szCs w:val="36"/>
          <w:rtl/>
        </w:rPr>
        <w:t>الاصل</w:t>
      </w:r>
      <w:r w:rsidR="00E8128F">
        <w:rPr>
          <w:sz w:val="36"/>
          <w:szCs w:val="36"/>
          <w:rtl/>
        </w:rPr>
        <w:t xml:space="preserve"> </w:t>
      </w:r>
      <w:r w:rsidR="008E2748" w:rsidRPr="00FD211F">
        <w:rPr>
          <w:sz w:val="36"/>
          <w:szCs w:val="36"/>
          <w:rtl/>
        </w:rPr>
        <w:t>الجاري</w:t>
      </w:r>
      <w:r w:rsidR="00E8128F">
        <w:rPr>
          <w:sz w:val="36"/>
          <w:szCs w:val="36"/>
          <w:rtl/>
        </w:rPr>
        <w:t xml:space="preserve"> </w:t>
      </w:r>
      <w:r w:rsidR="008E2748" w:rsidRPr="00FD211F">
        <w:rPr>
          <w:sz w:val="36"/>
          <w:szCs w:val="36"/>
          <w:rtl/>
        </w:rPr>
        <w:t>في</w:t>
      </w:r>
      <w:r w:rsidR="00E8128F">
        <w:rPr>
          <w:sz w:val="36"/>
          <w:szCs w:val="36"/>
          <w:rtl/>
        </w:rPr>
        <w:t xml:space="preserve"> </w:t>
      </w:r>
      <w:r w:rsidR="008E2748" w:rsidRPr="00FD211F">
        <w:rPr>
          <w:sz w:val="36"/>
          <w:szCs w:val="36"/>
          <w:rtl/>
        </w:rPr>
        <w:t>الحكم</w:t>
      </w:r>
      <w:r w:rsidR="00E8128F">
        <w:rPr>
          <w:sz w:val="36"/>
          <w:szCs w:val="36"/>
          <w:rtl/>
        </w:rPr>
        <w:t xml:space="preserve"> </w:t>
      </w:r>
      <w:r w:rsidR="008E2748" w:rsidRPr="00FD211F">
        <w:rPr>
          <w:sz w:val="36"/>
          <w:szCs w:val="36"/>
          <w:rtl/>
        </w:rPr>
        <w:t>الفرعي</w:t>
      </w:r>
      <w:r w:rsidR="00E8128F">
        <w:rPr>
          <w:sz w:val="36"/>
          <w:szCs w:val="36"/>
          <w:rtl/>
        </w:rPr>
        <w:t xml:space="preserve"> </w:t>
      </w:r>
      <w:r w:rsidR="008E2748" w:rsidRPr="00FD211F">
        <w:rPr>
          <w:sz w:val="36"/>
          <w:szCs w:val="36"/>
          <w:rtl/>
        </w:rPr>
        <w:t>فقد</w:t>
      </w:r>
      <w:r w:rsidR="00E8128F">
        <w:rPr>
          <w:sz w:val="36"/>
          <w:szCs w:val="36"/>
          <w:rtl/>
        </w:rPr>
        <w:t xml:space="preserve"> </w:t>
      </w:r>
      <w:r w:rsidR="008E2748" w:rsidRPr="00FD211F">
        <w:rPr>
          <w:sz w:val="36"/>
          <w:szCs w:val="36"/>
          <w:rtl/>
        </w:rPr>
        <w:t>ذكر</w:t>
      </w:r>
      <w:r w:rsidR="00E8128F">
        <w:rPr>
          <w:sz w:val="36"/>
          <w:szCs w:val="36"/>
          <w:rtl/>
        </w:rPr>
        <w:t xml:space="preserve"> </w:t>
      </w:r>
      <w:r w:rsidR="008E2748" w:rsidRPr="00FD211F">
        <w:rPr>
          <w:sz w:val="36"/>
          <w:szCs w:val="36"/>
          <w:rtl/>
        </w:rPr>
        <w:t>في</w:t>
      </w:r>
      <w:r w:rsidR="00E8128F">
        <w:rPr>
          <w:sz w:val="36"/>
          <w:szCs w:val="36"/>
          <w:rtl/>
        </w:rPr>
        <w:t xml:space="preserve"> </w:t>
      </w:r>
      <w:r w:rsidR="008E2748" w:rsidRPr="00FD211F">
        <w:rPr>
          <w:sz w:val="36"/>
          <w:szCs w:val="36"/>
          <w:rtl/>
        </w:rPr>
        <w:t>الكفاي</w:t>
      </w:r>
      <w:r w:rsidR="00EC7EDF" w:rsidRPr="00FD211F">
        <w:rPr>
          <w:sz w:val="36"/>
          <w:szCs w:val="36"/>
          <w:rtl/>
        </w:rPr>
        <w:t>ة</w:t>
      </w:r>
      <w:r w:rsidR="00E8128F">
        <w:rPr>
          <w:sz w:val="36"/>
          <w:szCs w:val="36"/>
          <w:rtl/>
        </w:rPr>
        <w:t xml:space="preserve"> </w:t>
      </w:r>
      <w:r w:rsidR="008E2748" w:rsidRPr="00FD211F">
        <w:rPr>
          <w:sz w:val="36"/>
          <w:szCs w:val="36"/>
          <w:rtl/>
        </w:rPr>
        <w:t>انه</w:t>
      </w:r>
      <w:r w:rsidR="00E8128F">
        <w:rPr>
          <w:sz w:val="36"/>
          <w:szCs w:val="36"/>
          <w:rtl/>
        </w:rPr>
        <w:t xml:space="preserve"> </w:t>
      </w:r>
      <w:r w:rsidR="008E2748" w:rsidRPr="00FD211F">
        <w:rPr>
          <w:sz w:val="36"/>
          <w:szCs w:val="36"/>
          <w:rtl/>
        </w:rPr>
        <w:t>يختلف</w:t>
      </w:r>
      <w:r w:rsidR="00E8128F">
        <w:rPr>
          <w:sz w:val="36"/>
          <w:szCs w:val="36"/>
          <w:rtl/>
        </w:rPr>
        <w:t xml:space="preserve"> </w:t>
      </w:r>
      <w:r w:rsidR="008E2748" w:rsidRPr="00FD211F">
        <w:rPr>
          <w:sz w:val="36"/>
          <w:szCs w:val="36"/>
          <w:rtl/>
        </w:rPr>
        <w:t>بحسب</w:t>
      </w:r>
      <w:r w:rsidR="00E8128F">
        <w:rPr>
          <w:sz w:val="36"/>
          <w:szCs w:val="36"/>
          <w:rtl/>
        </w:rPr>
        <w:t xml:space="preserve"> </w:t>
      </w:r>
      <w:r w:rsidR="008E2748" w:rsidRPr="00FD211F">
        <w:rPr>
          <w:sz w:val="36"/>
          <w:szCs w:val="36"/>
          <w:rtl/>
        </w:rPr>
        <w:t>اختلاف</w:t>
      </w:r>
      <w:r w:rsidR="00E8128F">
        <w:rPr>
          <w:sz w:val="36"/>
          <w:szCs w:val="36"/>
          <w:rtl/>
        </w:rPr>
        <w:t xml:space="preserve"> </w:t>
      </w:r>
      <w:r w:rsidR="008E2748" w:rsidRPr="00FD211F">
        <w:rPr>
          <w:sz w:val="36"/>
          <w:szCs w:val="36"/>
          <w:rtl/>
        </w:rPr>
        <w:t>الموارد</w:t>
      </w:r>
      <w:r w:rsidR="00E8128F">
        <w:rPr>
          <w:sz w:val="36"/>
          <w:szCs w:val="36"/>
          <w:rtl/>
        </w:rPr>
        <w:t xml:space="preserve"> </w:t>
      </w:r>
      <w:r w:rsidR="008E2748" w:rsidRPr="00FD211F">
        <w:rPr>
          <w:sz w:val="36"/>
          <w:szCs w:val="36"/>
          <w:rtl/>
        </w:rPr>
        <w:t>ففي</w:t>
      </w:r>
      <w:r w:rsidR="00E8128F">
        <w:rPr>
          <w:sz w:val="36"/>
          <w:szCs w:val="36"/>
          <w:rtl/>
        </w:rPr>
        <w:t xml:space="preserve"> </w:t>
      </w:r>
      <w:r w:rsidR="008E2748" w:rsidRPr="00FD211F">
        <w:rPr>
          <w:sz w:val="36"/>
          <w:szCs w:val="36"/>
          <w:rtl/>
        </w:rPr>
        <w:t>مثل</w:t>
      </w:r>
      <w:r w:rsidR="00E8128F">
        <w:rPr>
          <w:sz w:val="36"/>
          <w:szCs w:val="36"/>
          <w:rtl/>
        </w:rPr>
        <w:t xml:space="preserve"> </w:t>
      </w:r>
      <w:r w:rsidR="00D06AA3" w:rsidRPr="00FD211F">
        <w:rPr>
          <w:sz w:val="36"/>
          <w:szCs w:val="36"/>
          <w:rtl/>
        </w:rPr>
        <w:t>"</w:t>
      </w:r>
      <w:r w:rsidR="008E2748" w:rsidRPr="00FD211F">
        <w:rPr>
          <w:sz w:val="36"/>
          <w:szCs w:val="36"/>
          <w:rtl/>
        </w:rPr>
        <w:t>اكرم</w:t>
      </w:r>
      <w:r w:rsidR="00E8128F">
        <w:rPr>
          <w:sz w:val="36"/>
          <w:szCs w:val="36"/>
          <w:rtl/>
        </w:rPr>
        <w:t xml:space="preserve"> </w:t>
      </w:r>
      <w:r w:rsidR="008E2748" w:rsidRPr="00FD211F">
        <w:rPr>
          <w:sz w:val="36"/>
          <w:szCs w:val="36"/>
          <w:rtl/>
        </w:rPr>
        <w:t>كل</w:t>
      </w:r>
      <w:r w:rsidR="00E8128F">
        <w:rPr>
          <w:sz w:val="36"/>
          <w:szCs w:val="36"/>
          <w:rtl/>
        </w:rPr>
        <w:t xml:space="preserve"> </w:t>
      </w:r>
      <w:r w:rsidR="008E2748" w:rsidRPr="00FD211F">
        <w:rPr>
          <w:sz w:val="36"/>
          <w:szCs w:val="36"/>
          <w:rtl/>
        </w:rPr>
        <w:t>عالم</w:t>
      </w:r>
      <w:r w:rsidR="00D06AA3" w:rsidRPr="00FD211F">
        <w:rPr>
          <w:sz w:val="36"/>
          <w:szCs w:val="36"/>
          <w:rtl/>
        </w:rPr>
        <w:t>"</w:t>
      </w:r>
      <w:r w:rsidR="00E8128F">
        <w:rPr>
          <w:sz w:val="36"/>
          <w:szCs w:val="36"/>
          <w:rtl/>
        </w:rPr>
        <w:t xml:space="preserve"> </w:t>
      </w:r>
      <w:r w:rsidR="008E2748" w:rsidRPr="00FD211F">
        <w:rPr>
          <w:sz w:val="36"/>
          <w:szCs w:val="36"/>
          <w:rtl/>
        </w:rPr>
        <w:t>لو</w:t>
      </w:r>
      <w:r w:rsidR="00E8128F">
        <w:rPr>
          <w:sz w:val="36"/>
          <w:szCs w:val="36"/>
          <w:rtl/>
        </w:rPr>
        <w:t xml:space="preserve"> </w:t>
      </w:r>
      <w:r w:rsidR="008E2748" w:rsidRPr="00FD211F">
        <w:rPr>
          <w:sz w:val="36"/>
          <w:szCs w:val="36"/>
          <w:rtl/>
        </w:rPr>
        <w:t>كان</w:t>
      </w:r>
      <w:r w:rsidR="00E8128F">
        <w:rPr>
          <w:sz w:val="36"/>
          <w:szCs w:val="36"/>
          <w:rtl/>
        </w:rPr>
        <w:t xml:space="preserve"> </w:t>
      </w:r>
      <w:r w:rsidR="008E2748" w:rsidRPr="00FD211F">
        <w:rPr>
          <w:sz w:val="36"/>
          <w:szCs w:val="36"/>
          <w:rtl/>
        </w:rPr>
        <w:t>وجوب</w:t>
      </w:r>
      <w:r w:rsidR="00E8128F">
        <w:rPr>
          <w:sz w:val="36"/>
          <w:szCs w:val="36"/>
          <w:rtl/>
        </w:rPr>
        <w:t xml:space="preserve"> </w:t>
      </w:r>
      <w:r w:rsidR="008E2748" w:rsidRPr="00FD211F">
        <w:rPr>
          <w:sz w:val="36"/>
          <w:szCs w:val="36"/>
          <w:rtl/>
        </w:rPr>
        <w:t>الاكرام</w:t>
      </w:r>
      <w:r w:rsidR="00E8128F">
        <w:rPr>
          <w:sz w:val="36"/>
          <w:szCs w:val="36"/>
          <w:rtl/>
        </w:rPr>
        <w:t xml:space="preserve"> </w:t>
      </w:r>
      <w:r w:rsidR="008E2748" w:rsidRPr="00FD211F">
        <w:rPr>
          <w:sz w:val="36"/>
          <w:szCs w:val="36"/>
          <w:rtl/>
        </w:rPr>
        <w:t>ثابتا</w:t>
      </w:r>
      <w:r w:rsidR="00E8128F">
        <w:rPr>
          <w:sz w:val="36"/>
          <w:szCs w:val="36"/>
          <w:rtl/>
        </w:rPr>
        <w:t xml:space="preserve"> </w:t>
      </w:r>
      <w:r w:rsidR="008E2748" w:rsidRPr="00FD211F">
        <w:rPr>
          <w:sz w:val="36"/>
          <w:szCs w:val="36"/>
          <w:rtl/>
        </w:rPr>
        <w:t>قبل</w:t>
      </w:r>
      <w:r w:rsidR="00E8128F">
        <w:rPr>
          <w:sz w:val="36"/>
          <w:szCs w:val="36"/>
          <w:rtl/>
        </w:rPr>
        <w:t xml:space="preserve"> </w:t>
      </w:r>
      <w:r w:rsidR="008E2748" w:rsidRPr="00FD211F">
        <w:rPr>
          <w:sz w:val="36"/>
          <w:szCs w:val="36"/>
          <w:rtl/>
        </w:rPr>
        <w:t>انقضاء</w:t>
      </w:r>
      <w:r w:rsidR="00E8128F">
        <w:rPr>
          <w:sz w:val="36"/>
          <w:szCs w:val="36"/>
          <w:rtl/>
        </w:rPr>
        <w:t xml:space="preserve"> </w:t>
      </w:r>
      <w:r w:rsidR="008E2748" w:rsidRPr="00FD211F">
        <w:rPr>
          <w:sz w:val="36"/>
          <w:szCs w:val="36"/>
          <w:rtl/>
        </w:rPr>
        <w:t>تلبس</w:t>
      </w:r>
      <w:r w:rsidR="00E8128F">
        <w:rPr>
          <w:sz w:val="36"/>
          <w:szCs w:val="36"/>
          <w:rtl/>
        </w:rPr>
        <w:t xml:space="preserve"> </w:t>
      </w:r>
      <w:r w:rsidR="008E2748" w:rsidRPr="00FD211F">
        <w:rPr>
          <w:sz w:val="36"/>
          <w:szCs w:val="36"/>
          <w:rtl/>
        </w:rPr>
        <w:t>زيد</w:t>
      </w:r>
      <w:r w:rsidR="00E8128F">
        <w:rPr>
          <w:sz w:val="36"/>
          <w:szCs w:val="36"/>
          <w:rtl/>
        </w:rPr>
        <w:t xml:space="preserve"> </w:t>
      </w:r>
      <w:r w:rsidR="008E2748" w:rsidRPr="00FD211F">
        <w:rPr>
          <w:sz w:val="36"/>
          <w:szCs w:val="36"/>
          <w:rtl/>
        </w:rPr>
        <w:t>بالعلم</w:t>
      </w:r>
      <w:r w:rsidR="00E8128F">
        <w:rPr>
          <w:sz w:val="36"/>
          <w:szCs w:val="36"/>
          <w:rtl/>
        </w:rPr>
        <w:t xml:space="preserve"> </w:t>
      </w:r>
      <w:r w:rsidR="008E2748" w:rsidRPr="00FD211F">
        <w:rPr>
          <w:sz w:val="36"/>
          <w:szCs w:val="36"/>
          <w:rtl/>
        </w:rPr>
        <w:t>فيجري</w:t>
      </w:r>
      <w:r w:rsidR="00E8128F">
        <w:rPr>
          <w:sz w:val="36"/>
          <w:szCs w:val="36"/>
          <w:rtl/>
        </w:rPr>
        <w:t xml:space="preserve"> </w:t>
      </w:r>
      <w:r w:rsidR="008E2748" w:rsidRPr="00FD211F">
        <w:rPr>
          <w:sz w:val="36"/>
          <w:szCs w:val="36"/>
          <w:rtl/>
        </w:rPr>
        <w:t>استصحاب</w:t>
      </w:r>
      <w:r w:rsidR="00E8128F">
        <w:rPr>
          <w:sz w:val="36"/>
          <w:szCs w:val="36"/>
          <w:rtl/>
        </w:rPr>
        <w:t xml:space="preserve"> </w:t>
      </w:r>
      <w:r w:rsidR="008E2748" w:rsidRPr="00FD211F">
        <w:rPr>
          <w:sz w:val="36"/>
          <w:szCs w:val="36"/>
          <w:rtl/>
        </w:rPr>
        <w:t>بقاء</w:t>
      </w:r>
      <w:r w:rsidR="00E8128F">
        <w:rPr>
          <w:sz w:val="36"/>
          <w:szCs w:val="36"/>
          <w:rtl/>
        </w:rPr>
        <w:t xml:space="preserve"> </w:t>
      </w:r>
      <w:r w:rsidR="008E2748" w:rsidRPr="00FD211F">
        <w:rPr>
          <w:sz w:val="36"/>
          <w:szCs w:val="36"/>
          <w:rtl/>
        </w:rPr>
        <w:t>وجوب</w:t>
      </w:r>
      <w:r w:rsidR="00E8128F">
        <w:rPr>
          <w:sz w:val="36"/>
          <w:szCs w:val="36"/>
          <w:rtl/>
        </w:rPr>
        <w:t xml:space="preserve"> </w:t>
      </w:r>
      <w:r w:rsidR="00D06AA3" w:rsidRPr="00FD211F">
        <w:rPr>
          <w:sz w:val="36"/>
          <w:szCs w:val="36"/>
          <w:rtl/>
        </w:rPr>
        <w:t>اكرامه</w:t>
      </w:r>
      <w:r w:rsidR="00E8128F">
        <w:rPr>
          <w:sz w:val="36"/>
          <w:szCs w:val="36"/>
          <w:rtl/>
        </w:rPr>
        <w:t xml:space="preserve"> </w:t>
      </w:r>
      <w:r w:rsidR="008E2748" w:rsidRPr="00FD211F">
        <w:rPr>
          <w:sz w:val="36"/>
          <w:szCs w:val="36"/>
          <w:rtl/>
        </w:rPr>
        <w:t>والا</w:t>
      </w:r>
      <w:r w:rsidR="00E8128F">
        <w:rPr>
          <w:sz w:val="36"/>
          <w:szCs w:val="36"/>
          <w:rtl/>
        </w:rPr>
        <w:t xml:space="preserve"> </w:t>
      </w:r>
      <w:r w:rsidR="008E2748" w:rsidRPr="00FD211F">
        <w:rPr>
          <w:sz w:val="36"/>
          <w:szCs w:val="36"/>
          <w:rtl/>
        </w:rPr>
        <w:t>ف</w:t>
      </w:r>
      <w:r w:rsidR="00D06AA3" w:rsidRPr="00FD211F">
        <w:rPr>
          <w:sz w:val="36"/>
          <w:szCs w:val="36"/>
          <w:rtl/>
        </w:rPr>
        <w:t>ت</w:t>
      </w:r>
      <w:r w:rsidR="008E2748" w:rsidRPr="00FD211F">
        <w:rPr>
          <w:sz w:val="36"/>
          <w:szCs w:val="36"/>
          <w:rtl/>
        </w:rPr>
        <w:t>جري</w:t>
      </w:r>
      <w:r w:rsidR="00E8128F">
        <w:rPr>
          <w:sz w:val="36"/>
          <w:szCs w:val="36"/>
          <w:rtl/>
        </w:rPr>
        <w:t xml:space="preserve"> </w:t>
      </w:r>
      <w:r w:rsidR="008E2748" w:rsidRPr="00FD211F">
        <w:rPr>
          <w:sz w:val="36"/>
          <w:szCs w:val="36"/>
          <w:rtl/>
        </w:rPr>
        <w:t>البرا</w:t>
      </w:r>
      <w:r w:rsidR="00D06AA3" w:rsidRPr="00FD211F">
        <w:rPr>
          <w:sz w:val="36"/>
          <w:szCs w:val="36"/>
          <w:rtl/>
        </w:rPr>
        <w:t>ء</w:t>
      </w:r>
      <w:r w:rsidR="00EC7EDF" w:rsidRPr="00FD211F">
        <w:rPr>
          <w:sz w:val="36"/>
          <w:szCs w:val="36"/>
          <w:rtl/>
        </w:rPr>
        <w:t>ة</w:t>
      </w:r>
      <w:r w:rsidR="00E8128F">
        <w:rPr>
          <w:sz w:val="36"/>
          <w:szCs w:val="36"/>
          <w:rtl/>
        </w:rPr>
        <w:t xml:space="preserve"> </w:t>
      </w:r>
      <w:r w:rsidR="008E2748" w:rsidRPr="00FD211F">
        <w:rPr>
          <w:sz w:val="36"/>
          <w:szCs w:val="36"/>
          <w:rtl/>
        </w:rPr>
        <w:t>عنه</w:t>
      </w:r>
      <w:r w:rsidR="00E8128F">
        <w:rPr>
          <w:sz w:val="36"/>
          <w:szCs w:val="36"/>
          <w:rtl/>
        </w:rPr>
        <w:t xml:space="preserve"> </w:t>
      </w:r>
      <w:r w:rsidR="008E2748" w:rsidRPr="00FD211F">
        <w:rPr>
          <w:sz w:val="36"/>
          <w:szCs w:val="36"/>
          <w:rtl/>
        </w:rPr>
        <w:t>او</w:t>
      </w:r>
      <w:r w:rsidR="00E8128F">
        <w:rPr>
          <w:sz w:val="36"/>
          <w:szCs w:val="36"/>
          <w:rtl/>
        </w:rPr>
        <w:t xml:space="preserve"> </w:t>
      </w:r>
      <w:r w:rsidR="00D06AA3" w:rsidRPr="00FD211F">
        <w:rPr>
          <w:sz w:val="36"/>
          <w:szCs w:val="36"/>
          <w:rtl/>
        </w:rPr>
        <w:t>يستصحب</w:t>
      </w:r>
      <w:r w:rsidR="00E8128F">
        <w:rPr>
          <w:sz w:val="36"/>
          <w:szCs w:val="36"/>
          <w:rtl/>
        </w:rPr>
        <w:t xml:space="preserve"> </w:t>
      </w:r>
      <w:r w:rsidR="00D06AA3" w:rsidRPr="00FD211F">
        <w:rPr>
          <w:sz w:val="36"/>
          <w:szCs w:val="36"/>
          <w:rtl/>
        </w:rPr>
        <w:t>عدمه</w:t>
      </w:r>
      <w:r w:rsidR="008E2748" w:rsidRPr="00FD211F">
        <w:rPr>
          <w:sz w:val="36"/>
          <w:szCs w:val="36"/>
          <w:rtl/>
        </w:rPr>
        <w:t>.</w:t>
      </w:r>
    </w:p>
    <w:p w14:paraId="7E9FB8B3" w14:textId="77777777" w:rsidR="00D06AA3" w:rsidRPr="00FD211F" w:rsidRDefault="008E2748" w:rsidP="009C58C8">
      <w:pPr>
        <w:ind w:left="0" w:firstLine="227"/>
        <w:jc w:val="both"/>
        <w:rPr>
          <w:sz w:val="36"/>
          <w:szCs w:val="36"/>
          <w:rtl/>
        </w:rPr>
      </w:pPr>
      <w:r w:rsidRPr="00FD211F">
        <w:rPr>
          <w:sz w:val="36"/>
          <w:szCs w:val="36"/>
          <w:rtl/>
        </w:rPr>
        <w:t>اقول</w:t>
      </w:r>
      <w:r w:rsidR="00E8128F">
        <w:rPr>
          <w:sz w:val="36"/>
          <w:szCs w:val="36"/>
          <w:rtl/>
        </w:rPr>
        <w:t xml:space="preserve"> </w:t>
      </w:r>
      <w:r w:rsidR="00D06AA3" w:rsidRPr="00FD211F">
        <w:rPr>
          <w:sz w:val="36"/>
          <w:szCs w:val="36"/>
          <w:rtl/>
        </w:rPr>
        <w:t>هنا</w:t>
      </w:r>
      <w:r w:rsidR="00E8128F">
        <w:rPr>
          <w:sz w:val="36"/>
          <w:szCs w:val="36"/>
          <w:rtl/>
        </w:rPr>
        <w:t xml:space="preserve"> </w:t>
      </w:r>
      <w:r w:rsidR="00D06AA3" w:rsidRPr="00FD211F">
        <w:rPr>
          <w:sz w:val="36"/>
          <w:szCs w:val="36"/>
          <w:rtl/>
        </w:rPr>
        <w:t>عد</w:t>
      </w:r>
      <w:r w:rsidR="00EC7EDF" w:rsidRPr="00FD211F">
        <w:rPr>
          <w:sz w:val="36"/>
          <w:szCs w:val="36"/>
          <w:rtl/>
        </w:rPr>
        <w:t>ة</w:t>
      </w:r>
      <w:r w:rsidR="00E8128F">
        <w:rPr>
          <w:sz w:val="36"/>
          <w:szCs w:val="36"/>
          <w:rtl/>
        </w:rPr>
        <w:t xml:space="preserve"> </w:t>
      </w:r>
      <w:r w:rsidR="00D06AA3" w:rsidRPr="00FD211F">
        <w:rPr>
          <w:sz w:val="36"/>
          <w:szCs w:val="36"/>
          <w:rtl/>
        </w:rPr>
        <w:t>نكات:</w:t>
      </w:r>
    </w:p>
    <w:p w14:paraId="507DBA37" w14:textId="77777777" w:rsidR="000C5BBA" w:rsidRPr="00FD211F" w:rsidRDefault="00B1734E" w:rsidP="00782097">
      <w:pPr>
        <w:ind w:left="0" w:firstLine="227"/>
        <w:jc w:val="both"/>
        <w:rPr>
          <w:sz w:val="36"/>
          <w:szCs w:val="36"/>
          <w:rtl/>
        </w:rPr>
      </w:pPr>
      <w:r w:rsidRPr="00FD211F">
        <w:rPr>
          <w:sz w:val="36"/>
          <w:szCs w:val="36"/>
          <w:rtl/>
        </w:rPr>
        <w:t>1-</w:t>
      </w:r>
      <w:r w:rsidR="00E8128F">
        <w:rPr>
          <w:sz w:val="36"/>
          <w:szCs w:val="36"/>
          <w:rtl/>
        </w:rPr>
        <w:t xml:space="preserve"> </w:t>
      </w:r>
      <w:r w:rsidR="0018617D" w:rsidRPr="00FD211F">
        <w:rPr>
          <w:sz w:val="36"/>
          <w:szCs w:val="36"/>
          <w:rtl/>
        </w:rPr>
        <w:t>بناء</w:t>
      </w:r>
      <w:r w:rsidR="00E8128F">
        <w:rPr>
          <w:sz w:val="36"/>
          <w:szCs w:val="36"/>
          <w:rtl/>
        </w:rPr>
        <w:t xml:space="preserve"> </w:t>
      </w:r>
      <w:r w:rsidR="0018617D" w:rsidRPr="00FD211F">
        <w:rPr>
          <w:sz w:val="36"/>
          <w:szCs w:val="36"/>
          <w:rtl/>
        </w:rPr>
        <w:t>على</w:t>
      </w:r>
      <w:r w:rsidR="00E8128F">
        <w:rPr>
          <w:sz w:val="36"/>
          <w:szCs w:val="36"/>
          <w:rtl/>
        </w:rPr>
        <w:t xml:space="preserve"> </w:t>
      </w:r>
      <w:r w:rsidR="000E1A6D" w:rsidRPr="00FD211F">
        <w:rPr>
          <w:sz w:val="36"/>
          <w:szCs w:val="36"/>
          <w:rtl/>
        </w:rPr>
        <w:t>جريان</w:t>
      </w:r>
      <w:r w:rsidR="00E8128F">
        <w:rPr>
          <w:sz w:val="36"/>
          <w:szCs w:val="36"/>
          <w:rtl/>
        </w:rPr>
        <w:t xml:space="preserve"> </w:t>
      </w:r>
      <w:r w:rsidR="000E1A6D" w:rsidRPr="00FD211F">
        <w:rPr>
          <w:sz w:val="36"/>
          <w:szCs w:val="36"/>
          <w:rtl/>
        </w:rPr>
        <w:t>الاستصحاب</w:t>
      </w:r>
      <w:r w:rsidR="00E8128F">
        <w:rPr>
          <w:sz w:val="36"/>
          <w:szCs w:val="36"/>
          <w:rtl/>
        </w:rPr>
        <w:t xml:space="preserve"> </w:t>
      </w:r>
      <w:r w:rsidR="00BD4F15" w:rsidRPr="00FD211F">
        <w:rPr>
          <w:sz w:val="36"/>
          <w:szCs w:val="36"/>
          <w:rtl/>
        </w:rPr>
        <w:t>التعليقي</w:t>
      </w:r>
      <w:r w:rsidR="00E8128F">
        <w:rPr>
          <w:sz w:val="36"/>
          <w:szCs w:val="36"/>
          <w:rtl/>
        </w:rPr>
        <w:t xml:space="preserve"> </w:t>
      </w:r>
      <w:r w:rsidR="00BD4F15" w:rsidRPr="00FD211F">
        <w:rPr>
          <w:sz w:val="36"/>
          <w:szCs w:val="36"/>
          <w:rtl/>
        </w:rPr>
        <w:t>كما</w:t>
      </w:r>
      <w:r w:rsidR="00E8128F">
        <w:rPr>
          <w:sz w:val="36"/>
          <w:szCs w:val="36"/>
          <w:rtl/>
        </w:rPr>
        <w:t xml:space="preserve"> </w:t>
      </w:r>
      <w:r w:rsidR="00BD4F15" w:rsidRPr="00FD211F">
        <w:rPr>
          <w:sz w:val="36"/>
          <w:szCs w:val="36"/>
          <w:rtl/>
        </w:rPr>
        <w:t>هو</w:t>
      </w:r>
      <w:r w:rsidR="0018617D" w:rsidRPr="00FD211F">
        <w:rPr>
          <w:sz w:val="36"/>
          <w:szCs w:val="36"/>
          <w:rtl/>
        </w:rPr>
        <w:t>مسلك</w:t>
      </w:r>
      <w:r w:rsidR="00E8128F">
        <w:rPr>
          <w:sz w:val="36"/>
          <w:szCs w:val="36"/>
          <w:rtl/>
        </w:rPr>
        <w:t xml:space="preserve"> </w:t>
      </w:r>
      <w:r w:rsidR="008E2748" w:rsidRPr="00FD211F">
        <w:rPr>
          <w:sz w:val="36"/>
          <w:szCs w:val="36"/>
          <w:rtl/>
        </w:rPr>
        <w:t>صاحب</w:t>
      </w:r>
      <w:r w:rsidR="00E8128F">
        <w:rPr>
          <w:sz w:val="36"/>
          <w:szCs w:val="36"/>
          <w:rtl/>
        </w:rPr>
        <w:t xml:space="preserve"> </w:t>
      </w:r>
      <w:r w:rsidR="008E2748" w:rsidRPr="00FD211F">
        <w:rPr>
          <w:sz w:val="36"/>
          <w:szCs w:val="36"/>
          <w:rtl/>
        </w:rPr>
        <w:t>الكفاي</w:t>
      </w:r>
      <w:r w:rsidR="00EC7EDF" w:rsidRPr="00FD211F">
        <w:rPr>
          <w:sz w:val="36"/>
          <w:szCs w:val="36"/>
          <w:rtl/>
        </w:rPr>
        <w:t>ة</w:t>
      </w:r>
      <w:r w:rsidR="00E8128F">
        <w:rPr>
          <w:sz w:val="36"/>
          <w:szCs w:val="36"/>
          <w:rtl/>
        </w:rPr>
        <w:t xml:space="preserve"> </w:t>
      </w:r>
      <w:r w:rsidR="0018617D" w:rsidRPr="00FD211F">
        <w:rPr>
          <w:sz w:val="36"/>
          <w:szCs w:val="36"/>
          <w:rtl/>
        </w:rPr>
        <w:t>"قده"</w:t>
      </w:r>
      <w:r w:rsidR="00E8128F">
        <w:rPr>
          <w:sz w:val="36"/>
          <w:szCs w:val="36"/>
          <w:rtl/>
        </w:rPr>
        <w:t xml:space="preserve"> </w:t>
      </w:r>
      <w:r w:rsidR="00BD4F15" w:rsidRPr="00FD211F">
        <w:rPr>
          <w:sz w:val="36"/>
          <w:szCs w:val="36"/>
          <w:rtl/>
        </w:rPr>
        <w:t>ف</w:t>
      </w:r>
      <w:r w:rsidR="001F19C5" w:rsidRPr="00FD211F">
        <w:rPr>
          <w:sz w:val="36"/>
          <w:szCs w:val="36"/>
          <w:rtl/>
        </w:rPr>
        <w:t>لوثبت</w:t>
      </w:r>
      <w:r w:rsidR="00E8128F">
        <w:rPr>
          <w:sz w:val="36"/>
          <w:szCs w:val="36"/>
          <w:rtl/>
        </w:rPr>
        <w:t xml:space="preserve"> </w:t>
      </w:r>
      <w:r w:rsidR="00D06AA3" w:rsidRPr="00FD211F">
        <w:rPr>
          <w:sz w:val="36"/>
          <w:szCs w:val="36"/>
          <w:rtl/>
        </w:rPr>
        <w:t>الحكم</w:t>
      </w:r>
      <w:r w:rsidR="00E8128F">
        <w:rPr>
          <w:sz w:val="36"/>
          <w:szCs w:val="36"/>
          <w:rtl/>
        </w:rPr>
        <w:t xml:space="preserve"> </w:t>
      </w:r>
      <w:r w:rsidR="008E2748" w:rsidRPr="00FD211F">
        <w:rPr>
          <w:sz w:val="36"/>
          <w:szCs w:val="36"/>
          <w:rtl/>
        </w:rPr>
        <w:t>التعليقي</w:t>
      </w:r>
      <w:r w:rsidR="00E8128F">
        <w:rPr>
          <w:sz w:val="36"/>
          <w:szCs w:val="36"/>
          <w:rtl/>
        </w:rPr>
        <w:t xml:space="preserve"> </w:t>
      </w:r>
      <w:r w:rsidR="008E2748" w:rsidRPr="00FD211F">
        <w:rPr>
          <w:sz w:val="36"/>
          <w:szCs w:val="36"/>
          <w:rtl/>
        </w:rPr>
        <w:t>قبل</w:t>
      </w:r>
      <w:r w:rsidR="00E8128F">
        <w:rPr>
          <w:sz w:val="36"/>
          <w:szCs w:val="36"/>
          <w:rtl/>
        </w:rPr>
        <w:t xml:space="preserve"> </w:t>
      </w:r>
      <w:r w:rsidR="008E2748" w:rsidRPr="00FD211F">
        <w:rPr>
          <w:sz w:val="36"/>
          <w:szCs w:val="36"/>
          <w:rtl/>
        </w:rPr>
        <w:t>انقضاء</w:t>
      </w:r>
      <w:r w:rsidR="00E8128F">
        <w:rPr>
          <w:sz w:val="36"/>
          <w:szCs w:val="36"/>
          <w:rtl/>
        </w:rPr>
        <w:t xml:space="preserve"> </w:t>
      </w:r>
      <w:r w:rsidR="00D06AA3" w:rsidRPr="00FD211F">
        <w:rPr>
          <w:sz w:val="36"/>
          <w:szCs w:val="36"/>
          <w:rtl/>
        </w:rPr>
        <w:t>تلبس</w:t>
      </w:r>
      <w:r w:rsidR="00E8128F">
        <w:rPr>
          <w:sz w:val="36"/>
          <w:szCs w:val="36"/>
          <w:rtl/>
        </w:rPr>
        <w:t xml:space="preserve"> </w:t>
      </w:r>
      <w:r w:rsidR="00D06AA3" w:rsidRPr="00FD211F">
        <w:rPr>
          <w:sz w:val="36"/>
          <w:szCs w:val="36"/>
          <w:rtl/>
        </w:rPr>
        <w:t>الذات</w:t>
      </w:r>
      <w:r w:rsidR="00E8128F">
        <w:rPr>
          <w:sz w:val="36"/>
          <w:szCs w:val="36"/>
          <w:rtl/>
        </w:rPr>
        <w:t xml:space="preserve"> </w:t>
      </w:r>
      <w:r w:rsidR="00D06AA3" w:rsidRPr="00FD211F">
        <w:rPr>
          <w:sz w:val="36"/>
          <w:szCs w:val="36"/>
          <w:rtl/>
        </w:rPr>
        <w:t>بال</w:t>
      </w:r>
      <w:r w:rsidR="0079493B" w:rsidRPr="00FD211F">
        <w:rPr>
          <w:sz w:val="36"/>
          <w:szCs w:val="36"/>
          <w:rtl/>
        </w:rPr>
        <w:t>مبدأ</w:t>
      </w:r>
      <w:r w:rsidR="00E8128F">
        <w:rPr>
          <w:sz w:val="36"/>
          <w:szCs w:val="36"/>
          <w:rtl/>
        </w:rPr>
        <w:t xml:space="preserve"> </w:t>
      </w:r>
      <w:r w:rsidR="001F19C5" w:rsidRPr="00FD211F">
        <w:rPr>
          <w:sz w:val="36"/>
          <w:szCs w:val="36"/>
          <w:rtl/>
        </w:rPr>
        <w:t>فيمكن</w:t>
      </w:r>
      <w:r w:rsidR="00E8128F">
        <w:rPr>
          <w:sz w:val="36"/>
          <w:szCs w:val="36"/>
          <w:rtl/>
        </w:rPr>
        <w:t xml:space="preserve"> </w:t>
      </w:r>
      <w:r w:rsidR="001F19C5" w:rsidRPr="00FD211F">
        <w:rPr>
          <w:sz w:val="36"/>
          <w:szCs w:val="36"/>
          <w:rtl/>
        </w:rPr>
        <w:t>استصحابه</w:t>
      </w:r>
      <w:r w:rsidR="00E8128F">
        <w:rPr>
          <w:sz w:val="36"/>
          <w:szCs w:val="36"/>
          <w:rtl/>
        </w:rPr>
        <w:t xml:space="preserve"> </w:t>
      </w:r>
      <w:r w:rsidR="008E2748" w:rsidRPr="00FD211F">
        <w:rPr>
          <w:sz w:val="36"/>
          <w:szCs w:val="36"/>
          <w:rtl/>
        </w:rPr>
        <w:t>كما</w:t>
      </w:r>
      <w:r w:rsidR="00E8128F">
        <w:rPr>
          <w:sz w:val="36"/>
          <w:szCs w:val="36"/>
          <w:rtl/>
        </w:rPr>
        <w:t xml:space="preserve"> </w:t>
      </w:r>
      <w:r w:rsidR="008E2748" w:rsidRPr="00FD211F">
        <w:rPr>
          <w:sz w:val="36"/>
          <w:szCs w:val="36"/>
          <w:rtl/>
        </w:rPr>
        <w:t>لو</w:t>
      </w:r>
      <w:r w:rsidR="00E8128F">
        <w:rPr>
          <w:sz w:val="36"/>
          <w:szCs w:val="36"/>
          <w:rtl/>
        </w:rPr>
        <w:t xml:space="preserve"> </w:t>
      </w:r>
      <w:r w:rsidR="008E2748" w:rsidRPr="00FD211F">
        <w:rPr>
          <w:sz w:val="36"/>
          <w:szCs w:val="36"/>
          <w:rtl/>
        </w:rPr>
        <w:t>ورد</w:t>
      </w:r>
      <w:r w:rsidR="00E8128F">
        <w:rPr>
          <w:sz w:val="36"/>
          <w:szCs w:val="36"/>
          <w:rtl/>
        </w:rPr>
        <w:t xml:space="preserve"> </w:t>
      </w:r>
      <w:r w:rsidR="00D06AA3" w:rsidRPr="00FD211F">
        <w:rPr>
          <w:sz w:val="36"/>
          <w:szCs w:val="36"/>
          <w:rtl/>
        </w:rPr>
        <w:t>"اذا</w:t>
      </w:r>
      <w:r w:rsidR="00E8128F">
        <w:rPr>
          <w:sz w:val="36"/>
          <w:szCs w:val="36"/>
          <w:rtl/>
        </w:rPr>
        <w:t xml:space="preserve"> </w:t>
      </w:r>
      <w:r w:rsidR="00D06AA3" w:rsidRPr="00FD211F">
        <w:rPr>
          <w:sz w:val="36"/>
          <w:szCs w:val="36"/>
          <w:rtl/>
        </w:rPr>
        <w:t>جاءك</w:t>
      </w:r>
      <w:r w:rsidR="00E8128F">
        <w:rPr>
          <w:sz w:val="36"/>
          <w:szCs w:val="36"/>
          <w:rtl/>
        </w:rPr>
        <w:t xml:space="preserve"> </w:t>
      </w:r>
      <w:r w:rsidR="008E2748" w:rsidRPr="00FD211F">
        <w:rPr>
          <w:sz w:val="36"/>
          <w:szCs w:val="36"/>
          <w:rtl/>
        </w:rPr>
        <w:t>العالم</w:t>
      </w:r>
      <w:r w:rsidR="00E8128F">
        <w:rPr>
          <w:sz w:val="36"/>
          <w:szCs w:val="36"/>
          <w:rtl/>
        </w:rPr>
        <w:t xml:space="preserve"> </w:t>
      </w:r>
      <w:r w:rsidR="00D06AA3" w:rsidRPr="00FD211F">
        <w:rPr>
          <w:sz w:val="36"/>
          <w:szCs w:val="36"/>
          <w:rtl/>
        </w:rPr>
        <w:t>فاكرمه"</w:t>
      </w:r>
      <w:r w:rsidR="00E8128F">
        <w:rPr>
          <w:sz w:val="36"/>
          <w:szCs w:val="36"/>
          <w:rtl/>
        </w:rPr>
        <w:t xml:space="preserve"> </w:t>
      </w:r>
      <w:r w:rsidR="00D06AA3" w:rsidRPr="00FD211F">
        <w:rPr>
          <w:sz w:val="36"/>
          <w:szCs w:val="36"/>
          <w:rtl/>
        </w:rPr>
        <w:t>وكان</w:t>
      </w:r>
      <w:r w:rsidR="00E8128F">
        <w:rPr>
          <w:sz w:val="36"/>
          <w:szCs w:val="36"/>
          <w:rtl/>
        </w:rPr>
        <w:t xml:space="preserve"> </w:t>
      </w:r>
      <w:r w:rsidR="00D06AA3" w:rsidRPr="00FD211F">
        <w:rPr>
          <w:sz w:val="36"/>
          <w:szCs w:val="36"/>
          <w:rtl/>
        </w:rPr>
        <w:t>زيد</w:t>
      </w:r>
      <w:r w:rsidR="00E8128F">
        <w:rPr>
          <w:sz w:val="36"/>
          <w:szCs w:val="36"/>
          <w:rtl/>
        </w:rPr>
        <w:t xml:space="preserve"> </w:t>
      </w:r>
      <w:r w:rsidR="00D06AA3" w:rsidRPr="00FD211F">
        <w:rPr>
          <w:sz w:val="36"/>
          <w:szCs w:val="36"/>
          <w:rtl/>
        </w:rPr>
        <w:t>متلبسا</w:t>
      </w:r>
      <w:r w:rsidR="00E8128F">
        <w:rPr>
          <w:sz w:val="36"/>
          <w:szCs w:val="36"/>
          <w:rtl/>
        </w:rPr>
        <w:t xml:space="preserve"> </w:t>
      </w:r>
      <w:r w:rsidR="00D06AA3" w:rsidRPr="00FD211F">
        <w:rPr>
          <w:sz w:val="36"/>
          <w:szCs w:val="36"/>
          <w:rtl/>
        </w:rPr>
        <w:t>بالعلم</w:t>
      </w:r>
      <w:r w:rsidR="00E8128F">
        <w:rPr>
          <w:sz w:val="36"/>
          <w:szCs w:val="36"/>
          <w:rtl/>
        </w:rPr>
        <w:t xml:space="preserve"> </w:t>
      </w:r>
      <w:r w:rsidR="00D06AA3" w:rsidRPr="00FD211F">
        <w:rPr>
          <w:sz w:val="36"/>
          <w:szCs w:val="36"/>
          <w:rtl/>
        </w:rPr>
        <w:t>حين</w:t>
      </w:r>
      <w:r w:rsidR="00E8128F">
        <w:rPr>
          <w:sz w:val="36"/>
          <w:szCs w:val="36"/>
          <w:rtl/>
        </w:rPr>
        <w:t xml:space="preserve"> </w:t>
      </w:r>
      <w:r w:rsidR="00D06AA3" w:rsidRPr="00FD211F">
        <w:rPr>
          <w:sz w:val="36"/>
          <w:szCs w:val="36"/>
          <w:rtl/>
        </w:rPr>
        <w:t>ورود</w:t>
      </w:r>
      <w:r w:rsidR="00E8128F">
        <w:rPr>
          <w:sz w:val="36"/>
          <w:szCs w:val="36"/>
          <w:rtl/>
        </w:rPr>
        <w:t xml:space="preserve"> </w:t>
      </w:r>
      <w:r w:rsidR="00D06AA3" w:rsidRPr="00FD211F">
        <w:rPr>
          <w:sz w:val="36"/>
          <w:szCs w:val="36"/>
          <w:rtl/>
        </w:rPr>
        <w:t>هذا</w:t>
      </w:r>
      <w:r w:rsidR="00E8128F">
        <w:rPr>
          <w:sz w:val="36"/>
          <w:szCs w:val="36"/>
          <w:rtl/>
        </w:rPr>
        <w:t xml:space="preserve"> </w:t>
      </w:r>
      <w:r w:rsidR="00D06AA3" w:rsidRPr="00FD211F">
        <w:rPr>
          <w:sz w:val="36"/>
          <w:szCs w:val="36"/>
          <w:rtl/>
        </w:rPr>
        <w:t>الخطاب</w:t>
      </w:r>
      <w:r w:rsidR="00E8128F">
        <w:rPr>
          <w:sz w:val="36"/>
          <w:szCs w:val="36"/>
          <w:rtl/>
        </w:rPr>
        <w:t xml:space="preserve"> </w:t>
      </w:r>
      <w:r w:rsidR="00D06AA3" w:rsidRPr="00FD211F">
        <w:rPr>
          <w:sz w:val="36"/>
          <w:szCs w:val="36"/>
          <w:rtl/>
        </w:rPr>
        <w:t>ولكن</w:t>
      </w:r>
      <w:r w:rsidR="00E8128F">
        <w:rPr>
          <w:sz w:val="36"/>
          <w:szCs w:val="36"/>
          <w:rtl/>
        </w:rPr>
        <w:t xml:space="preserve"> </w:t>
      </w:r>
      <w:r w:rsidR="008D7B3D" w:rsidRPr="00FD211F">
        <w:rPr>
          <w:sz w:val="36"/>
          <w:szCs w:val="36"/>
          <w:rtl/>
        </w:rPr>
        <w:t>لم‌</w:t>
      </w:r>
      <w:r w:rsidR="00D06AA3" w:rsidRPr="00FD211F">
        <w:rPr>
          <w:sz w:val="36"/>
          <w:szCs w:val="36"/>
          <w:rtl/>
        </w:rPr>
        <w:t>يتحقق</w:t>
      </w:r>
      <w:r w:rsidR="00E8128F">
        <w:rPr>
          <w:sz w:val="36"/>
          <w:szCs w:val="36"/>
          <w:rtl/>
        </w:rPr>
        <w:t xml:space="preserve"> </w:t>
      </w:r>
      <w:r w:rsidR="00D06AA3" w:rsidRPr="00FD211F">
        <w:rPr>
          <w:sz w:val="36"/>
          <w:szCs w:val="36"/>
          <w:rtl/>
        </w:rPr>
        <w:t>مجيئه</w:t>
      </w:r>
      <w:r w:rsidR="00E8128F">
        <w:rPr>
          <w:sz w:val="36"/>
          <w:szCs w:val="36"/>
          <w:rtl/>
        </w:rPr>
        <w:t xml:space="preserve"> </w:t>
      </w:r>
      <w:r w:rsidR="00D06AA3" w:rsidRPr="00FD211F">
        <w:rPr>
          <w:sz w:val="36"/>
          <w:szCs w:val="36"/>
          <w:rtl/>
        </w:rPr>
        <w:t>الذي</w:t>
      </w:r>
      <w:r w:rsidR="00E8128F">
        <w:rPr>
          <w:sz w:val="36"/>
          <w:szCs w:val="36"/>
          <w:rtl/>
        </w:rPr>
        <w:t xml:space="preserve"> </w:t>
      </w:r>
      <w:r w:rsidR="00D06AA3" w:rsidRPr="00FD211F">
        <w:rPr>
          <w:sz w:val="36"/>
          <w:szCs w:val="36"/>
          <w:rtl/>
        </w:rPr>
        <w:t>هو</w:t>
      </w:r>
      <w:r w:rsidR="00E8128F">
        <w:rPr>
          <w:sz w:val="36"/>
          <w:szCs w:val="36"/>
          <w:rtl/>
        </w:rPr>
        <w:t xml:space="preserve"> </w:t>
      </w:r>
      <w:r w:rsidR="00D06AA3" w:rsidRPr="00FD211F">
        <w:rPr>
          <w:sz w:val="36"/>
          <w:szCs w:val="36"/>
          <w:rtl/>
        </w:rPr>
        <w:t>شرط</w:t>
      </w:r>
      <w:r w:rsidR="00E8128F">
        <w:rPr>
          <w:sz w:val="36"/>
          <w:szCs w:val="36"/>
          <w:rtl/>
        </w:rPr>
        <w:t xml:space="preserve"> </w:t>
      </w:r>
      <w:r w:rsidR="00D06AA3" w:rsidRPr="00FD211F">
        <w:rPr>
          <w:sz w:val="36"/>
          <w:szCs w:val="36"/>
          <w:rtl/>
        </w:rPr>
        <w:t>وجوب</w:t>
      </w:r>
      <w:r w:rsidR="00E8128F">
        <w:rPr>
          <w:sz w:val="36"/>
          <w:szCs w:val="36"/>
          <w:rtl/>
        </w:rPr>
        <w:t xml:space="preserve"> </w:t>
      </w:r>
      <w:r w:rsidR="00D06AA3" w:rsidRPr="00FD211F">
        <w:rPr>
          <w:sz w:val="36"/>
          <w:szCs w:val="36"/>
          <w:rtl/>
        </w:rPr>
        <w:t>اكرامه</w:t>
      </w:r>
      <w:r w:rsidR="00E8128F">
        <w:rPr>
          <w:sz w:val="36"/>
          <w:szCs w:val="36"/>
          <w:rtl/>
        </w:rPr>
        <w:t xml:space="preserve"> </w:t>
      </w:r>
      <w:r w:rsidR="00D70D7F" w:rsidRPr="00FD211F">
        <w:rPr>
          <w:sz w:val="36"/>
          <w:szCs w:val="36"/>
          <w:rtl/>
        </w:rPr>
        <w:t>الا</w:t>
      </w:r>
      <w:r w:rsidR="00E8128F">
        <w:rPr>
          <w:sz w:val="36"/>
          <w:szCs w:val="36"/>
          <w:rtl/>
        </w:rPr>
        <w:t xml:space="preserve"> </w:t>
      </w:r>
      <w:r w:rsidR="0090317C" w:rsidRPr="00FD211F">
        <w:rPr>
          <w:sz w:val="36"/>
          <w:szCs w:val="36"/>
          <w:rtl/>
        </w:rPr>
        <w:t>بعد</w:t>
      </w:r>
      <w:r w:rsidR="00E8128F">
        <w:rPr>
          <w:sz w:val="36"/>
          <w:szCs w:val="36"/>
          <w:rtl/>
        </w:rPr>
        <w:t xml:space="preserve"> </w:t>
      </w:r>
      <w:r w:rsidR="0090317C" w:rsidRPr="00FD211F">
        <w:rPr>
          <w:sz w:val="36"/>
          <w:szCs w:val="36"/>
          <w:rtl/>
        </w:rPr>
        <w:t>ان</w:t>
      </w:r>
      <w:r w:rsidR="00E8128F">
        <w:rPr>
          <w:sz w:val="36"/>
          <w:szCs w:val="36"/>
          <w:rtl/>
        </w:rPr>
        <w:t xml:space="preserve"> </w:t>
      </w:r>
      <w:r w:rsidR="0090317C" w:rsidRPr="00FD211F">
        <w:rPr>
          <w:sz w:val="36"/>
          <w:szCs w:val="36"/>
          <w:rtl/>
        </w:rPr>
        <w:t>زال</w:t>
      </w:r>
      <w:r w:rsidR="00E8128F">
        <w:rPr>
          <w:sz w:val="36"/>
          <w:szCs w:val="36"/>
          <w:rtl/>
        </w:rPr>
        <w:t xml:space="preserve"> </w:t>
      </w:r>
      <w:r w:rsidR="00D70D7F" w:rsidRPr="00FD211F">
        <w:rPr>
          <w:sz w:val="36"/>
          <w:szCs w:val="36"/>
          <w:rtl/>
        </w:rPr>
        <w:t>عنه</w:t>
      </w:r>
      <w:r w:rsidR="00E8128F">
        <w:rPr>
          <w:sz w:val="36"/>
          <w:szCs w:val="36"/>
          <w:rtl/>
        </w:rPr>
        <w:t xml:space="preserve"> </w:t>
      </w:r>
      <w:r w:rsidR="0090317C" w:rsidRPr="00FD211F">
        <w:rPr>
          <w:sz w:val="36"/>
          <w:szCs w:val="36"/>
          <w:rtl/>
        </w:rPr>
        <w:t>التلبس</w:t>
      </w:r>
      <w:r w:rsidR="00E8128F">
        <w:rPr>
          <w:sz w:val="36"/>
          <w:szCs w:val="36"/>
          <w:rtl/>
        </w:rPr>
        <w:t xml:space="preserve"> </w:t>
      </w:r>
      <w:r w:rsidR="0090317C" w:rsidRPr="00FD211F">
        <w:rPr>
          <w:sz w:val="36"/>
          <w:szCs w:val="36"/>
          <w:rtl/>
        </w:rPr>
        <w:t>بالعلم</w:t>
      </w:r>
      <w:r w:rsidR="00E8128F">
        <w:rPr>
          <w:sz w:val="36"/>
          <w:szCs w:val="36"/>
          <w:rtl/>
        </w:rPr>
        <w:t xml:space="preserve"> </w:t>
      </w:r>
      <w:r w:rsidR="0090317C" w:rsidRPr="00FD211F">
        <w:rPr>
          <w:sz w:val="36"/>
          <w:szCs w:val="36"/>
          <w:rtl/>
        </w:rPr>
        <w:t>فيقال</w:t>
      </w:r>
      <w:r w:rsidR="00E8128F">
        <w:rPr>
          <w:sz w:val="36"/>
          <w:szCs w:val="36"/>
          <w:rtl/>
        </w:rPr>
        <w:t xml:space="preserve"> </w:t>
      </w:r>
      <w:r w:rsidR="0090317C" w:rsidRPr="00FD211F">
        <w:rPr>
          <w:sz w:val="36"/>
          <w:szCs w:val="36"/>
          <w:rtl/>
        </w:rPr>
        <w:t>ان</w:t>
      </w:r>
      <w:r w:rsidR="00E8128F">
        <w:rPr>
          <w:sz w:val="36"/>
          <w:szCs w:val="36"/>
          <w:rtl/>
        </w:rPr>
        <w:t xml:space="preserve"> </w:t>
      </w:r>
      <w:r w:rsidR="0090317C" w:rsidRPr="00FD211F">
        <w:rPr>
          <w:sz w:val="36"/>
          <w:szCs w:val="36"/>
          <w:rtl/>
        </w:rPr>
        <w:t>زيدا</w:t>
      </w:r>
      <w:r w:rsidR="00E8128F">
        <w:rPr>
          <w:sz w:val="36"/>
          <w:szCs w:val="36"/>
          <w:rtl/>
        </w:rPr>
        <w:t xml:space="preserve"> </w:t>
      </w:r>
      <w:r w:rsidR="0090317C" w:rsidRPr="00FD211F">
        <w:rPr>
          <w:sz w:val="36"/>
          <w:szCs w:val="36"/>
          <w:rtl/>
        </w:rPr>
        <w:t>كان</w:t>
      </w:r>
      <w:r w:rsidR="00E8128F">
        <w:rPr>
          <w:sz w:val="36"/>
          <w:szCs w:val="36"/>
          <w:rtl/>
        </w:rPr>
        <w:t xml:space="preserve"> </w:t>
      </w:r>
      <w:r w:rsidR="0090317C" w:rsidRPr="00FD211F">
        <w:rPr>
          <w:sz w:val="36"/>
          <w:szCs w:val="36"/>
          <w:rtl/>
        </w:rPr>
        <w:t>يجب</w:t>
      </w:r>
      <w:r w:rsidR="00E8128F">
        <w:rPr>
          <w:sz w:val="36"/>
          <w:szCs w:val="36"/>
          <w:rtl/>
        </w:rPr>
        <w:t xml:space="preserve"> </w:t>
      </w:r>
      <w:r w:rsidR="0090317C" w:rsidRPr="00FD211F">
        <w:rPr>
          <w:sz w:val="36"/>
          <w:szCs w:val="36"/>
          <w:rtl/>
        </w:rPr>
        <w:t>اكرامه</w:t>
      </w:r>
      <w:r w:rsidR="00E8128F">
        <w:rPr>
          <w:sz w:val="36"/>
          <w:szCs w:val="36"/>
          <w:rtl/>
        </w:rPr>
        <w:t xml:space="preserve"> </w:t>
      </w:r>
      <w:r w:rsidR="0090317C" w:rsidRPr="00FD211F">
        <w:rPr>
          <w:sz w:val="36"/>
          <w:szCs w:val="36"/>
          <w:rtl/>
        </w:rPr>
        <w:t>اذا</w:t>
      </w:r>
      <w:r w:rsidR="00E8128F">
        <w:rPr>
          <w:sz w:val="36"/>
          <w:szCs w:val="36"/>
          <w:rtl/>
        </w:rPr>
        <w:t xml:space="preserve"> </w:t>
      </w:r>
      <w:r w:rsidR="0090317C" w:rsidRPr="00FD211F">
        <w:rPr>
          <w:sz w:val="36"/>
          <w:szCs w:val="36"/>
          <w:rtl/>
        </w:rPr>
        <w:t>جاء</w:t>
      </w:r>
      <w:r w:rsidR="00E8128F">
        <w:rPr>
          <w:sz w:val="36"/>
          <w:szCs w:val="36"/>
          <w:rtl/>
        </w:rPr>
        <w:t xml:space="preserve"> </w:t>
      </w:r>
      <w:r w:rsidR="00FD4A65" w:rsidRPr="00FD211F">
        <w:rPr>
          <w:sz w:val="36"/>
          <w:szCs w:val="36"/>
          <w:rtl/>
        </w:rPr>
        <w:t>فيجري</w:t>
      </w:r>
      <w:r w:rsidR="00E8128F">
        <w:rPr>
          <w:sz w:val="36"/>
          <w:szCs w:val="36"/>
          <w:rtl/>
        </w:rPr>
        <w:t xml:space="preserve"> </w:t>
      </w:r>
      <w:r w:rsidR="00FD4A65" w:rsidRPr="00FD211F">
        <w:rPr>
          <w:sz w:val="36"/>
          <w:szCs w:val="36"/>
          <w:rtl/>
        </w:rPr>
        <w:t>استصحابه</w:t>
      </w:r>
      <w:r w:rsidR="00EC7EDF" w:rsidRPr="00FD211F">
        <w:rPr>
          <w:sz w:val="36"/>
          <w:szCs w:val="36"/>
          <w:rtl/>
        </w:rPr>
        <w:t>.</w:t>
      </w:r>
      <w:r w:rsidR="00E8128F">
        <w:rPr>
          <w:sz w:val="36"/>
          <w:szCs w:val="36"/>
          <w:rtl/>
        </w:rPr>
        <w:t xml:space="preserve"> </w:t>
      </w:r>
    </w:p>
    <w:p w14:paraId="025DAE52" w14:textId="77777777" w:rsidR="00D70D7F" w:rsidRPr="00FD211F" w:rsidRDefault="00892993" w:rsidP="009C58C8">
      <w:pPr>
        <w:ind w:left="0" w:firstLine="227"/>
        <w:jc w:val="both"/>
        <w:rPr>
          <w:sz w:val="36"/>
          <w:szCs w:val="36"/>
          <w:rtl/>
        </w:rPr>
      </w:pPr>
      <w:r w:rsidRPr="00FD211F">
        <w:rPr>
          <w:sz w:val="36"/>
          <w:szCs w:val="36"/>
          <w:rtl/>
        </w:rPr>
        <w:t>2-</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لايرى</w:t>
      </w:r>
      <w:r w:rsidR="00E8128F">
        <w:rPr>
          <w:sz w:val="36"/>
          <w:szCs w:val="36"/>
          <w:rtl/>
        </w:rPr>
        <w:t xml:space="preserve"> </w:t>
      </w:r>
      <w:r w:rsidRPr="00FD211F">
        <w:rPr>
          <w:sz w:val="36"/>
          <w:szCs w:val="36"/>
          <w:rtl/>
        </w:rPr>
        <w:t>جريان</w:t>
      </w:r>
      <w:r w:rsidR="00E8128F">
        <w:rPr>
          <w:sz w:val="36"/>
          <w:szCs w:val="36"/>
          <w:rtl/>
        </w:rPr>
        <w:t xml:space="preserve"> </w:t>
      </w:r>
      <w:r w:rsidRPr="00FD211F">
        <w:rPr>
          <w:sz w:val="36"/>
          <w:szCs w:val="36"/>
          <w:rtl/>
        </w:rPr>
        <w:t>الاستصحاب</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الشبه</w:t>
      </w:r>
      <w:r w:rsidR="00EC7EDF" w:rsidRPr="00FD211F">
        <w:rPr>
          <w:sz w:val="36"/>
          <w:szCs w:val="36"/>
          <w:rtl/>
        </w:rPr>
        <w:t>ة</w:t>
      </w:r>
      <w:r w:rsidR="00E8128F">
        <w:rPr>
          <w:sz w:val="36"/>
          <w:szCs w:val="36"/>
          <w:rtl/>
        </w:rPr>
        <w:t xml:space="preserve"> </w:t>
      </w:r>
      <w:r w:rsidRPr="00FD211F">
        <w:rPr>
          <w:sz w:val="36"/>
          <w:szCs w:val="36"/>
          <w:rtl/>
        </w:rPr>
        <w:t>الحكمي</w:t>
      </w:r>
      <w:r w:rsidR="00EC7EDF" w:rsidRPr="00FD211F">
        <w:rPr>
          <w:sz w:val="36"/>
          <w:szCs w:val="36"/>
          <w:rtl/>
        </w:rPr>
        <w:t>ة</w:t>
      </w:r>
      <w:r w:rsidR="00E8128F">
        <w:rPr>
          <w:sz w:val="36"/>
          <w:szCs w:val="36"/>
          <w:rtl/>
        </w:rPr>
        <w:t xml:space="preserve"> </w:t>
      </w:r>
      <w:r w:rsidR="00D70D7F" w:rsidRPr="00FD211F">
        <w:rPr>
          <w:sz w:val="36"/>
          <w:szCs w:val="36"/>
          <w:rtl/>
        </w:rPr>
        <w:t>–إما</w:t>
      </w:r>
      <w:r w:rsidR="00E8128F">
        <w:rPr>
          <w:sz w:val="36"/>
          <w:szCs w:val="36"/>
          <w:rtl/>
        </w:rPr>
        <w:t xml:space="preserve"> </w:t>
      </w:r>
      <w:r w:rsidR="00D70D7F" w:rsidRPr="00FD211F">
        <w:rPr>
          <w:sz w:val="36"/>
          <w:szCs w:val="36"/>
          <w:rtl/>
        </w:rPr>
        <w:t>بدعوى</w:t>
      </w:r>
      <w:r w:rsidR="00E8128F">
        <w:rPr>
          <w:sz w:val="36"/>
          <w:szCs w:val="36"/>
          <w:rtl/>
        </w:rPr>
        <w:t xml:space="preserve"> </w:t>
      </w:r>
      <w:r w:rsidR="00D70D7F" w:rsidRPr="00FD211F">
        <w:rPr>
          <w:sz w:val="36"/>
          <w:szCs w:val="36"/>
          <w:rtl/>
        </w:rPr>
        <w:t>قصور</w:t>
      </w:r>
      <w:r w:rsidR="00E8128F">
        <w:rPr>
          <w:sz w:val="36"/>
          <w:szCs w:val="36"/>
          <w:rtl/>
        </w:rPr>
        <w:t xml:space="preserve"> </w:t>
      </w:r>
      <w:r w:rsidR="00D70D7F" w:rsidRPr="00FD211F">
        <w:rPr>
          <w:sz w:val="36"/>
          <w:szCs w:val="36"/>
          <w:rtl/>
        </w:rPr>
        <w:t>المقتضي</w:t>
      </w:r>
      <w:r w:rsidR="00E8128F">
        <w:rPr>
          <w:sz w:val="36"/>
          <w:szCs w:val="36"/>
          <w:rtl/>
        </w:rPr>
        <w:t xml:space="preserve"> </w:t>
      </w:r>
      <w:r w:rsidRPr="00FD211F">
        <w:rPr>
          <w:sz w:val="36"/>
          <w:szCs w:val="36"/>
          <w:rtl/>
        </w:rPr>
        <w:t>بموجب</w:t>
      </w:r>
      <w:r w:rsidR="00E8128F">
        <w:rPr>
          <w:sz w:val="36"/>
          <w:szCs w:val="36"/>
          <w:rtl/>
        </w:rPr>
        <w:t xml:space="preserve"> </w:t>
      </w:r>
      <w:r w:rsidRPr="00FD211F">
        <w:rPr>
          <w:sz w:val="36"/>
          <w:szCs w:val="36"/>
          <w:rtl/>
        </w:rPr>
        <w:t>انصراف</w:t>
      </w:r>
      <w:r w:rsidR="00E8128F">
        <w:rPr>
          <w:sz w:val="36"/>
          <w:szCs w:val="36"/>
          <w:rtl/>
        </w:rPr>
        <w:t xml:space="preserve"> </w:t>
      </w:r>
      <w:r w:rsidRPr="00FD211F">
        <w:rPr>
          <w:sz w:val="36"/>
          <w:szCs w:val="36"/>
          <w:rtl/>
        </w:rPr>
        <w:t>ادل</w:t>
      </w:r>
      <w:r w:rsidR="00EC7EDF" w:rsidRPr="00FD211F">
        <w:rPr>
          <w:sz w:val="36"/>
          <w:szCs w:val="36"/>
          <w:rtl/>
        </w:rPr>
        <w:t>ة</w:t>
      </w:r>
      <w:r w:rsidR="00E8128F">
        <w:rPr>
          <w:sz w:val="36"/>
          <w:szCs w:val="36"/>
          <w:rtl/>
        </w:rPr>
        <w:t xml:space="preserve"> </w:t>
      </w:r>
      <w:r w:rsidRPr="00FD211F">
        <w:rPr>
          <w:sz w:val="36"/>
          <w:szCs w:val="36"/>
          <w:rtl/>
        </w:rPr>
        <w:t>الاستصحاب</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الشبهات</w:t>
      </w:r>
      <w:r w:rsidR="00E8128F">
        <w:rPr>
          <w:sz w:val="36"/>
          <w:szCs w:val="36"/>
          <w:rtl/>
        </w:rPr>
        <w:t xml:space="preserve"> </w:t>
      </w:r>
      <w:r w:rsidRPr="00FD211F">
        <w:rPr>
          <w:sz w:val="36"/>
          <w:szCs w:val="36"/>
          <w:rtl/>
        </w:rPr>
        <w:t>الموضوعي</w:t>
      </w:r>
      <w:r w:rsidR="00EC7EDF" w:rsidRPr="00FD211F">
        <w:rPr>
          <w:sz w:val="36"/>
          <w:szCs w:val="36"/>
          <w:rtl/>
        </w:rPr>
        <w:t>ة</w:t>
      </w:r>
      <w:r w:rsidR="00E8128F">
        <w:rPr>
          <w:sz w:val="36"/>
          <w:szCs w:val="36"/>
          <w:rtl/>
        </w:rPr>
        <w:t xml:space="preserve"> </w:t>
      </w:r>
      <w:r w:rsidR="00BD4F15" w:rsidRPr="00FD211F">
        <w:rPr>
          <w:sz w:val="36"/>
          <w:szCs w:val="36"/>
          <w:rtl/>
        </w:rPr>
        <w:t>كماهو</w:t>
      </w:r>
      <w:r w:rsidR="00E8128F">
        <w:rPr>
          <w:sz w:val="36"/>
          <w:szCs w:val="36"/>
          <w:rtl/>
        </w:rPr>
        <w:t xml:space="preserve"> </w:t>
      </w:r>
      <w:r w:rsidR="00BD4F15" w:rsidRPr="00FD211F">
        <w:rPr>
          <w:sz w:val="36"/>
          <w:szCs w:val="36"/>
          <w:rtl/>
        </w:rPr>
        <w:t>مختار</w:t>
      </w:r>
      <w:r w:rsidR="00E8128F">
        <w:rPr>
          <w:sz w:val="36"/>
          <w:szCs w:val="36"/>
          <w:rtl/>
        </w:rPr>
        <w:t xml:space="preserve"> </w:t>
      </w:r>
      <w:r w:rsidR="00BD4F15" w:rsidRPr="00FD211F">
        <w:rPr>
          <w:sz w:val="36"/>
          <w:szCs w:val="36"/>
          <w:rtl/>
        </w:rPr>
        <w:t>بعض</w:t>
      </w:r>
      <w:r w:rsidR="00E8128F">
        <w:rPr>
          <w:sz w:val="36"/>
          <w:szCs w:val="36"/>
          <w:rtl/>
        </w:rPr>
        <w:t xml:space="preserve"> </w:t>
      </w:r>
      <w:r w:rsidR="00BD4F15" w:rsidRPr="00FD211F">
        <w:rPr>
          <w:sz w:val="36"/>
          <w:szCs w:val="36"/>
          <w:rtl/>
        </w:rPr>
        <w:t>الساد</w:t>
      </w:r>
      <w:r w:rsidR="00EC7EDF" w:rsidRPr="00FD211F">
        <w:rPr>
          <w:sz w:val="36"/>
          <w:szCs w:val="36"/>
          <w:rtl/>
        </w:rPr>
        <w:t>ة</w:t>
      </w:r>
      <w:r w:rsidR="00E8128F">
        <w:rPr>
          <w:sz w:val="36"/>
          <w:szCs w:val="36"/>
          <w:rtl/>
        </w:rPr>
        <w:t xml:space="preserve"> </w:t>
      </w:r>
      <w:r w:rsidR="00BD4F15" w:rsidRPr="00FD211F">
        <w:rPr>
          <w:sz w:val="36"/>
          <w:szCs w:val="36"/>
          <w:rtl/>
        </w:rPr>
        <w:t>الاجلاء</w:t>
      </w:r>
      <w:r w:rsidR="00E8128F">
        <w:rPr>
          <w:sz w:val="36"/>
          <w:szCs w:val="36"/>
          <w:rtl/>
        </w:rPr>
        <w:t xml:space="preserve"> </w:t>
      </w:r>
      <w:r w:rsidR="00B1734E" w:rsidRPr="00FD211F">
        <w:rPr>
          <w:sz w:val="36"/>
          <w:szCs w:val="36"/>
          <w:rtl/>
        </w:rPr>
        <w:t>"</w:t>
      </w:r>
      <w:r w:rsidR="007A4A0D" w:rsidRPr="00FD211F">
        <w:rPr>
          <w:sz w:val="36"/>
          <w:szCs w:val="36"/>
          <w:rtl/>
        </w:rPr>
        <w:t>دام‌ظله</w:t>
      </w:r>
      <w:r w:rsidR="00B1734E" w:rsidRPr="00FD211F">
        <w:rPr>
          <w:sz w:val="36"/>
          <w:szCs w:val="36"/>
          <w:rtl/>
        </w:rPr>
        <w:t>"</w:t>
      </w:r>
      <w:r w:rsidR="00E8128F">
        <w:rPr>
          <w:sz w:val="36"/>
          <w:szCs w:val="36"/>
          <w:rtl/>
        </w:rPr>
        <w:t xml:space="preserve"> </w:t>
      </w:r>
      <w:r w:rsidR="00BD4F15" w:rsidRPr="00FD211F">
        <w:rPr>
          <w:sz w:val="36"/>
          <w:szCs w:val="36"/>
          <w:rtl/>
        </w:rPr>
        <w:t>ا</w:t>
      </w:r>
      <w:r w:rsidRPr="00FD211F">
        <w:rPr>
          <w:sz w:val="36"/>
          <w:szCs w:val="36"/>
          <w:rtl/>
        </w:rPr>
        <w:t>و</w:t>
      </w:r>
      <w:r w:rsidR="00E8128F">
        <w:rPr>
          <w:sz w:val="36"/>
          <w:szCs w:val="36"/>
          <w:rtl/>
        </w:rPr>
        <w:t xml:space="preserve"> </w:t>
      </w:r>
      <w:r w:rsidRPr="00FD211F">
        <w:rPr>
          <w:sz w:val="36"/>
          <w:szCs w:val="36"/>
          <w:rtl/>
        </w:rPr>
        <w:t>بدعوى</w:t>
      </w:r>
      <w:r w:rsidR="00E8128F">
        <w:rPr>
          <w:sz w:val="36"/>
          <w:szCs w:val="36"/>
          <w:rtl/>
        </w:rPr>
        <w:t xml:space="preserve"> </w:t>
      </w:r>
      <w:r w:rsidRPr="00FD211F">
        <w:rPr>
          <w:sz w:val="36"/>
          <w:szCs w:val="36"/>
          <w:rtl/>
        </w:rPr>
        <w:t>معارض</w:t>
      </w:r>
      <w:r w:rsidR="00EC7EDF" w:rsidRPr="00FD211F">
        <w:rPr>
          <w:sz w:val="36"/>
          <w:szCs w:val="36"/>
          <w:rtl/>
        </w:rPr>
        <w:t>ة</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بقاء</w:t>
      </w:r>
      <w:r w:rsidR="00E8128F">
        <w:rPr>
          <w:sz w:val="36"/>
          <w:szCs w:val="36"/>
          <w:rtl/>
        </w:rPr>
        <w:t xml:space="preserve"> </w:t>
      </w:r>
      <w:r w:rsidRPr="00FD211F">
        <w:rPr>
          <w:sz w:val="36"/>
          <w:szCs w:val="36"/>
          <w:rtl/>
        </w:rPr>
        <w:t>المجعول</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الجعل</w:t>
      </w:r>
      <w:r w:rsidR="00E8128F">
        <w:rPr>
          <w:sz w:val="36"/>
          <w:szCs w:val="36"/>
          <w:rtl/>
        </w:rPr>
        <w:t xml:space="preserve"> </w:t>
      </w:r>
      <w:r w:rsidRPr="00FD211F">
        <w:rPr>
          <w:sz w:val="36"/>
          <w:szCs w:val="36"/>
          <w:rtl/>
        </w:rPr>
        <w:t>الزائد</w:t>
      </w:r>
      <w:r w:rsidR="00E8128F">
        <w:rPr>
          <w:sz w:val="36"/>
          <w:szCs w:val="36"/>
          <w:rtl/>
        </w:rPr>
        <w:t xml:space="preserve"> </w:t>
      </w:r>
      <w:r w:rsidR="00A94B94" w:rsidRPr="00FD211F">
        <w:rPr>
          <w:sz w:val="36"/>
          <w:szCs w:val="36"/>
          <w:rtl/>
        </w:rPr>
        <w:t>كما</w:t>
      </w:r>
      <w:r w:rsidR="00E8128F">
        <w:rPr>
          <w:sz w:val="36"/>
          <w:szCs w:val="36"/>
          <w:rtl/>
        </w:rPr>
        <w:t xml:space="preserve"> </w:t>
      </w:r>
      <w:r w:rsidR="00A94B94" w:rsidRPr="00FD211F">
        <w:rPr>
          <w:sz w:val="36"/>
          <w:szCs w:val="36"/>
          <w:rtl/>
        </w:rPr>
        <w:t>هو</w:t>
      </w:r>
      <w:r w:rsidR="00E8128F">
        <w:rPr>
          <w:sz w:val="36"/>
          <w:szCs w:val="36"/>
          <w:rtl/>
        </w:rPr>
        <w:t xml:space="preserve"> </w:t>
      </w:r>
      <w:r w:rsidR="00A94B94" w:rsidRPr="00FD211F">
        <w:rPr>
          <w:sz w:val="36"/>
          <w:szCs w:val="36"/>
          <w:rtl/>
        </w:rPr>
        <w:t>مختار</w:t>
      </w:r>
      <w:r w:rsidR="00E8128F">
        <w:rPr>
          <w:sz w:val="36"/>
          <w:szCs w:val="36"/>
          <w:rtl/>
        </w:rPr>
        <w:t xml:space="preserve"> </w:t>
      </w:r>
      <w:r w:rsidR="00A94B94" w:rsidRPr="00FD211F">
        <w:rPr>
          <w:sz w:val="36"/>
          <w:szCs w:val="36"/>
          <w:rtl/>
        </w:rPr>
        <w:t>الفاضل</w:t>
      </w:r>
      <w:r w:rsidR="00E8128F">
        <w:rPr>
          <w:sz w:val="36"/>
          <w:szCs w:val="36"/>
          <w:rtl/>
        </w:rPr>
        <w:t xml:space="preserve"> </w:t>
      </w:r>
      <w:r w:rsidR="00A94B94" w:rsidRPr="00FD211F">
        <w:rPr>
          <w:sz w:val="36"/>
          <w:szCs w:val="36"/>
          <w:rtl/>
        </w:rPr>
        <w:t>النراقي</w:t>
      </w:r>
      <w:r w:rsidR="00E8128F">
        <w:rPr>
          <w:sz w:val="36"/>
          <w:szCs w:val="36"/>
          <w:rtl/>
        </w:rPr>
        <w:t xml:space="preserve"> </w:t>
      </w:r>
      <w:r w:rsidR="00A94B94" w:rsidRPr="00FD211F">
        <w:rPr>
          <w:sz w:val="36"/>
          <w:szCs w:val="36"/>
          <w:rtl/>
        </w:rPr>
        <w:t>و</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00BD4F15" w:rsidRPr="00FD211F">
        <w:rPr>
          <w:sz w:val="36"/>
          <w:szCs w:val="36"/>
          <w:rtl/>
        </w:rPr>
        <w:t>"</w:t>
      </w:r>
      <w:r w:rsidRPr="00FD211F">
        <w:rPr>
          <w:sz w:val="36"/>
          <w:szCs w:val="36"/>
          <w:rtl/>
        </w:rPr>
        <w:t>قده</w:t>
      </w:r>
      <w:r w:rsidR="00A94B94" w:rsidRPr="00FD211F">
        <w:rPr>
          <w:sz w:val="36"/>
          <w:szCs w:val="36"/>
          <w:rtl/>
        </w:rPr>
        <w:t>ما</w:t>
      </w:r>
      <w:r w:rsidR="00BD4F15" w:rsidRPr="00FD211F">
        <w:rPr>
          <w:sz w:val="36"/>
          <w:szCs w:val="36"/>
          <w:rtl/>
        </w:rPr>
        <w:t>"</w:t>
      </w:r>
      <w:r w:rsidR="009C58C8" w:rsidRPr="00FD211F">
        <w:rPr>
          <w:rStyle w:val="a6"/>
          <w:sz w:val="36"/>
          <w:szCs w:val="36"/>
          <w:rtl/>
        </w:rPr>
        <w:t>(</w:t>
      </w:r>
      <w:r w:rsidR="009C58C8" w:rsidRPr="00FD211F">
        <w:rPr>
          <w:rStyle w:val="a6"/>
          <w:sz w:val="36"/>
          <w:szCs w:val="36"/>
          <w:rtl/>
        </w:rPr>
        <w:footnoteReference w:id="571"/>
      </w:r>
      <w:r w:rsidR="009C58C8" w:rsidRPr="00FD211F">
        <w:rPr>
          <w:rStyle w:val="a6"/>
          <w:sz w:val="36"/>
          <w:szCs w:val="36"/>
          <w:rtl/>
        </w:rPr>
        <w:t>)</w:t>
      </w:r>
      <w:r w:rsidR="00D70D7F" w:rsidRPr="00FD211F">
        <w:rPr>
          <w:sz w:val="36"/>
          <w:szCs w:val="36"/>
          <w:rtl/>
        </w:rPr>
        <w:t>-</w:t>
      </w:r>
      <w:r w:rsidR="00E8128F">
        <w:rPr>
          <w:sz w:val="36"/>
          <w:szCs w:val="36"/>
          <w:rtl/>
        </w:rPr>
        <w:t xml:space="preserve"> </w:t>
      </w:r>
      <w:r w:rsidRPr="00FD211F">
        <w:rPr>
          <w:sz w:val="36"/>
          <w:szCs w:val="36"/>
          <w:rtl/>
        </w:rPr>
        <w:t>ف</w:t>
      </w:r>
      <w:r w:rsidR="00BD4F15" w:rsidRPr="00FD211F">
        <w:rPr>
          <w:sz w:val="36"/>
          <w:szCs w:val="36"/>
          <w:rtl/>
        </w:rPr>
        <w:t>لايجري</w:t>
      </w:r>
      <w:r w:rsidR="00E8128F">
        <w:rPr>
          <w:sz w:val="36"/>
          <w:szCs w:val="36"/>
          <w:rtl/>
        </w:rPr>
        <w:t xml:space="preserve"> </w:t>
      </w:r>
      <w:r w:rsidR="00E000C4" w:rsidRPr="00FD211F">
        <w:rPr>
          <w:sz w:val="36"/>
          <w:szCs w:val="36"/>
          <w:rtl/>
        </w:rPr>
        <w:t>استصحاب</w:t>
      </w:r>
      <w:r w:rsidR="00E8128F">
        <w:rPr>
          <w:sz w:val="36"/>
          <w:szCs w:val="36"/>
          <w:rtl/>
        </w:rPr>
        <w:t xml:space="preserve"> </w:t>
      </w:r>
      <w:r w:rsidR="00E000C4" w:rsidRPr="00FD211F">
        <w:rPr>
          <w:sz w:val="36"/>
          <w:szCs w:val="36"/>
          <w:rtl/>
        </w:rPr>
        <w:t>بقاء</w:t>
      </w:r>
      <w:r w:rsidR="00E8128F">
        <w:rPr>
          <w:sz w:val="36"/>
          <w:szCs w:val="36"/>
          <w:rtl/>
        </w:rPr>
        <w:t xml:space="preserve"> </w:t>
      </w:r>
      <w:r w:rsidRPr="00FD211F">
        <w:rPr>
          <w:sz w:val="36"/>
          <w:szCs w:val="36"/>
          <w:rtl/>
        </w:rPr>
        <w:t>الحكم</w:t>
      </w:r>
      <w:r w:rsidR="00E8128F">
        <w:rPr>
          <w:sz w:val="36"/>
          <w:szCs w:val="36"/>
          <w:rtl/>
        </w:rPr>
        <w:t xml:space="preserve"> </w:t>
      </w:r>
      <w:r w:rsidR="00E000C4" w:rsidRPr="00FD211F">
        <w:rPr>
          <w:sz w:val="36"/>
          <w:szCs w:val="36"/>
          <w:rtl/>
        </w:rPr>
        <w:t>الثابت</w:t>
      </w:r>
      <w:r w:rsidR="00E8128F">
        <w:rPr>
          <w:sz w:val="36"/>
          <w:szCs w:val="36"/>
          <w:rtl/>
        </w:rPr>
        <w:t xml:space="preserve"> </w:t>
      </w:r>
      <w:r w:rsidRPr="00FD211F">
        <w:rPr>
          <w:sz w:val="36"/>
          <w:szCs w:val="36"/>
          <w:rtl/>
        </w:rPr>
        <w:t>للمشتق</w:t>
      </w:r>
      <w:r w:rsidR="00E8128F">
        <w:rPr>
          <w:sz w:val="36"/>
          <w:szCs w:val="36"/>
          <w:rtl/>
        </w:rPr>
        <w:t xml:space="preserve"> </w:t>
      </w:r>
      <w:r w:rsidR="00E000C4" w:rsidRPr="00FD211F">
        <w:rPr>
          <w:sz w:val="36"/>
          <w:szCs w:val="36"/>
          <w:rtl/>
        </w:rPr>
        <w:t>قبل</w:t>
      </w:r>
      <w:r w:rsidR="00E8128F">
        <w:rPr>
          <w:sz w:val="36"/>
          <w:szCs w:val="36"/>
          <w:rtl/>
        </w:rPr>
        <w:t xml:space="preserve"> </w:t>
      </w:r>
      <w:r w:rsidR="00E000C4" w:rsidRPr="00FD211F">
        <w:rPr>
          <w:sz w:val="36"/>
          <w:szCs w:val="36"/>
          <w:rtl/>
        </w:rPr>
        <w:t>زوال</w:t>
      </w:r>
      <w:r w:rsidR="00E8128F">
        <w:rPr>
          <w:sz w:val="36"/>
          <w:szCs w:val="36"/>
          <w:rtl/>
        </w:rPr>
        <w:t xml:space="preserve"> </w:t>
      </w:r>
      <w:r w:rsidR="00E000C4" w:rsidRPr="00FD211F">
        <w:rPr>
          <w:sz w:val="36"/>
          <w:szCs w:val="36"/>
          <w:rtl/>
        </w:rPr>
        <w:t>تلبسه</w:t>
      </w:r>
      <w:r w:rsidR="00E8128F">
        <w:rPr>
          <w:sz w:val="36"/>
          <w:szCs w:val="36"/>
          <w:rtl/>
        </w:rPr>
        <w:t xml:space="preserve"> </w:t>
      </w:r>
      <w:r w:rsidR="00E000C4" w:rsidRPr="00FD211F">
        <w:rPr>
          <w:sz w:val="36"/>
          <w:szCs w:val="36"/>
          <w:rtl/>
        </w:rPr>
        <w:t>بال</w:t>
      </w:r>
      <w:r w:rsidR="0079493B" w:rsidRPr="00FD211F">
        <w:rPr>
          <w:sz w:val="36"/>
          <w:szCs w:val="36"/>
          <w:rtl/>
        </w:rPr>
        <w:t>مبدأ</w:t>
      </w:r>
      <w:r w:rsidR="00D70D7F" w:rsidRPr="00FD211F">
        <w:rPr>
          <w:sz w:val="36"/>
          <w:szCs w:val="36"/>
          <w:rtl/>
        </w:rPr>
        <w:t>.</w:t>
      </w:r>
    </w:p>
    <w:p w14:paraId="5EF52733" w14:textId="77777777" w:rsidR="00047E9F" w:rsidRPr="00FD211F" w:rsidRDefault="00047E9F" w:rsidP="009C58C8">
      <w:pPr>
        <w:ind w:left="0" w:firstLine="227"/>
        <w:jc w:val="both"/>
        <w:rPr>
          <w:sz w:val="36"/>
          <w:szCs w:val="36"/>
          <w:rtl/>
        </w:rPr>
      </w:pPr>
      <w:r w:rsidRPr="00FD211F">
        <w:rPr>
          <w:sz w:val="36"/>
          <w:szCs w:val="36"/>
          <w:rtl/>
        </w:rPr>
        <w:t>بل</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00FF4EBC" w:rsidRPr="00FD211F">
        <w:rPr>
          <w:sz w:val="36"/>
          <w:szCs w:val="36"/>
          <w:rtl/>
        </w:rPr>
        <w:t>"</w:t>
      </w:r>
      <w:r w:rsidRPr="00FD211F">
        <w:rPr>
          <w:sz w:val="36"/>
          <w:szCs w:val="36"/>
          <w:rtl/>
        </w:rPr>
        <w:t>قده</w:t>
      </w:r>
      <w:r w:rsidR="00FF4EBC" w:rsidRPr="00FD211F">
        <w:rPr>
          <w:sz w:val="36"/>
          <w:szCs w:val="36"/>
          <w:rtl/>
        </w:rPr>
        <w:t>"</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انحلاليا</w:t>
      </w:r>
      <w:r w:rsidR="00E8128F">
        <w:rPr>
          <w:sz w:val="36"/>
          <w:szCs w:val="36"/>
          <w:rtl/>
        </w:rPr>
        <w:t xml:space="preserve"> </w:t>
      </w:r>
      <w:r w:rsidRPr="00FD211F">
        <w:rPr>
          <w:sz w:val="36"/>
          <w:szCs w:val="36"/>
          <w:rtl/>
        </w:rPr>
        <w:t>فلامقتضي</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لجريان</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بقاء</w:t>
      </w:r>
      <w:r w:rsidR="00E8128F">
        <w:rPr>
          <w:sz w:val="36"/>
          <w:szCs w:val="36"/>
          <w:rtl/>
        </w:rPr>
        <w:t xml:space="preserve"> </w:t>
      </w:r>
      <w:r w:rsidRPr="00FD211F">
        <w:rPr>
          <w:sz w:val="36"/>
          <w:szCs w:val="36"/>
          <w:rtl/>
        </w:rPr>
        <w:t>المجعول</w:t>
      </w:r>
      <w:r w:rsidR="00603323" w:rsidRPr="00FD211F">
        <w:rPr>
          <w:sz w:val="36"/>
          <w:szCs w:val="36"/>
          <w:rtl/>
        </w:rPr>
        <w:t>،</w:t>
      </w:r>
      <w:r w:rsidR="00E8128F">
        <w:rPr>
          <w:sz w:val="36"/>
          <w:szCs w:val="36"/>
          <w:rtl/>
        </w:rPr>
        <w:t xml:space="preserve"> </w:t>
      </w:r>
      <w:r w:rsidRPr="00FD211F">
        <w:rPr>
          <w:sz w:val="36"/>
          <w:szCs w:val="36"/>
          <w:rtl/>
        </w:rPr>
        <w:t>ومن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القبيل</w:t>
      </w:r>
      <w:r w:rsidR="00E8128F">
        <w:rPr>
          <w:sz w:val="36"/>
          <w:szCs w:val="36"/>
          <w:rtl/>
        </w:rPr>
        <w:t xml:space="preserve"> </w:t>
      </w:r>
      <w:r w:rsidRPr="00FD211F">
        <w:rPr>
          <w:sz w:val="36"/>
          <w:szCs w:val="36"/>
          <w:rtl/>
        </w:rPr>
        <w:t>خطاب</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اكرام</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اكرام</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انقضى</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بالعلم</w:t>
      </w:r>
      <w:r w:rsidR="00E8128F">
        <w:rPr>
          <w:sz w:val="36"/>
          <w:szCs w:val="36"/>
          <w:rtl/>
        </w:rPr>
        <w:t xml:space="preserve"> </w:t>
      </w:r>
      <w:r w:rsidRPr="00FD211F">
        <w:rPr>
          <w:sz w:val="36"/>
          <w:szCs w:val="36"/>
          <w:rtl/>
        </w:rPr>
        <w:t>فرد</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الوجوب</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اكرامه</w:t>
      </w:r>
      <w:r w:rsidR="00E8128F">
        <w:rPr>
          <w:sz w:val="36"/>
          <w:szCs w:val="36"/>
          <w:rtl/>
        </w:rPr>
        <w:t xml:space="preserve"> </w:t>
      </w:r>
      <w:r w:rsidRPr="00FD211F">
        <w:rPr>
          <w:sz w:val="36"/>
          <w:szCs w:val="36"/>
          <w:rtl/>
        </w:rPr>
        <w:t>الثابت</w:t>
      </w:r>
      <w:r w:rsidR="00E8128F">
        <w:rPr>
          <w:sz w:val="36"/>
          <w:szCs w:val="36"/>
          <w:rtl/>
        </w:rPr>
        <w:t xml:space="preserve"> </w:t>
      </w:r>
      <w:r w:rsidRPr="00FD211F">
        <w:rPr>
          <w:sz w:val="36"/>
          <w:szCs w:val="36"/>
          <w:rtl/>
        </w:rPr>
        <w:t>قبل</w:t>
      </w:r>
      <w:r w:rsidR="00E8128F">
        <w:rPr>
          <w:sz w:val="36"/>
          <w:szCs w:val="36"/>
          <w:rtl/>
        </w:rPr>
        <w:t xml:space="preserve"> </w:t>
      </w:r>
      <w:r w:rsidRPr="00FD211F">
        <w:rPr>
          <w:sz w:val="36"/>
          <w:szCs w:val="36"/>
          <w:rtl/>
        </w:rPr>
        <w:t>انقضاء</w:t>
      </w:r>
      <w:r w:rsidR="00E8128F">
        <w:rPr>
          <w:sz w:val="36"/>
          <w:szCs w:val="36"/>
          <w:rtl/>
        </w:rPr>
        <w:t xml:space="preserve"> </w:t>
      </w:r>
      <w:r w:rsidRPr="00FD211F">
        <w:rPr>
          <w:sz w:val="36"/>
          <w:szCs w:val="36"/>
          <w:rtl/>
        </w:rPr>
        <w:t>تلبسه</w:t>
      </w:r>
      <w:r w:rsidR="00603323" w:rsidRPr="00FD211F">
        <w:rPr>
          <w:sz w:val="36"/>
          <w:szCs w:val="36"/>
          <w:rtl/>
        </w:rPr>
        <w:t>،</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بقاء</w:t>
      </w:r>
      <w:r w:rsidR="00E8128F">
        <w:rPr>
          <w:sz w:val="36"/>
          <w:szCs w:val="36"/>
          <w:rtl/>
        </w:rPr>
        <w:t xml:space="preserve"> </w:t>
      </w:r>
      <w:r w:rsidRPr="00FD211F">
        <w:rPr>
          <w:sz w:val="36"/>
          <w:szCs w:val="36"/>
          <w:rtl/>
        </w:rPr>
        <w:t>الوجوب</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القسم</w:t>
      </w:r>
      <w:r w:rsidR="00E8128F">
        <w:rPr>
          <w:sz w:val="36"/>
          <w:szCs w:val="36"/>
          <w:rtl/>
        </w:rPr>
        <w:t xml:space="preserve"> </w:t>
      </w:r>
      <w:r w:rsidRPr="00FD211F">
        <w:rPr>
          <w:sz w:val="36"/>
          <w:szCs w:val="36"/>
          <w:rtl/>
        </w:rPr>
        <w:t>الثالث</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w:t>
      </w:r>
      <w:r w:rsidR="00D70D7F" w:rsidRPr="00FD211F">
        <w:rPr>
          <w:sz w:val="36"/>
          <w:szCs w:val="36"/>
          <w:rtl/>
        </w:rPr>
        <w:t>ستصحاب</w:t>
      </w:r>
      <w:r w:rsidR="00E8128F">
        <w:rPr>
          <w:sz w:val="36"/>
          <w:szCs w:val="36"/>
          <w:rtl/>
        </w:rPr>
        <w:t xml:space="preserve"> </w:t>
      </w:r>
      <w:r w:rsidR="00D70D7F" w:rsidRPr="00FD211F">
        <w:rPr>
          <w:sz w:val="36"/>
          <w:szCs w:val="36"/>
          <w:rtl/>
        </w:rPr>
        <w:t>الكلي</w:t>
      </w:r>
      <w:r w:rsidR="00E8128F">
        <w:rPr>
          <w:sz w:val="36"/>
          <w:szCs w:val="36"/>
          <w:rtl/>
        </w:rPr>
        <w:t xml:space="preserve"> </w:t>
      </w:r>
      <w:r w:rsidR="00D70D7F" w:rsidRPr="00FD211F">
        <w:rPr>
          <w:sz w:val="36"/>
          <w:szCs w:val="36"/>
          <w:rtl/>
        </w:rPr>
        <w:t>والصحيح</w:t>
      </w:r>
      <w:r w:rsidR="00E8128F">
        <w:rPr>
          <w:sz w:val="36"/>
          <w:szCs w:val="36"/>
          <w:rtl/>
        </w:rPr>
        <w:t xml:space="preserve"> </w:t>
      </w:r>
      <w:r w:rsidR="00D70D7F" w:rsidRPr="00FD211F">
        <w:rPr>
          <w:sz w:val="36"/>
          <w:szCs w:val="36"/>
          <w:rtl/>
        </w:rPr>
        <w:t>عدم</w:t>
      </w:r>
      <w:r w:rsidR="00E8128F">
        <w:rPr>
          <w:sz w:val="36"/>
          <w:szCs w:val="36"/>
          <w:rtl/>
        </w:rPr>
        <w:t xml:space="preserve"> </w:t>
      </w:r>
      <w:r w:rsidR="00D70D7F" w:rsidRPr="00FD211F">
        <w:rPr>
          <w:sz w:val="36"/>
          <w:szCs w:val="36"/>
          <w:rtl/>
        </w:rPr>
        <w:t>جريانه</w:t>
      </w:r>
      <w:r w:rsidR="00603323" w:rsidRPr="00FD211F">
        <w:rPr>
          <w:sz w:val="36"/>
          <w:szCs w:val="36"/>
          <w:rtl/>
        </w:rPr>
        <w:t>،</w:t>
      </w:r>
      <w:r w:rsidR="00E8128F">
        <w:rPr>
          <w:sz w:val="36"/>
          <w:szCs w:val="36"/>
          <w:rtl/>
        </w:rPr>
        <w:t xml:space="preserve"> </w:t>
      </w:r>
      <w:r w:rsidR="00D70D7F" w:rsidRPr="00FD211F">
        <w:rPr>
          <w:sz w:val="36"/>
          <w:szCs w:val="36"/>
          <w:rtl/>
        </w:rPr>
        <w:t>الا</w:t>
      </w:r>
      <w:r w:rsidR="00E8128F">
        <w:rPr>
          <w:sz w:val="36"/>
          <w:szCs w:val="36"/>
          <w:rtl/>
        </w:rPr>
        <w:t xml:space="preserve"> </w:t>
      </w:r>
      <w:r w:rsidR="00D70D7F" w:rsidRPr="00FD211F">
        <w:rPr>
          <w:sz w:val="36"/>
          <w:szCs w:val="36"/>
          <w:rtl/>
        </w:rPr>
        <w:t>أنا</w:t>
      </w:r>
      <w:r w:rsidR="00E8128F">
        <w:rPr>
          <w:sz w:val="36"/>
          <w:szCs w:val="36"/>
          <w:rtl/>
        </w:rPr>
        <w:t xml:space="preserve"> </w:t>
      </w:r>
      <w:r w:rsidR="00D70D7F" w:rsidRPr="00FD211F">
        <w:rPr>
          <w:sz w:val="36"/>
          <w:szCs w:val="36"/>
          <w:rtl/>
        </w:rPr>
        <w:t>قد</w:t>
      </w:r>
      <w:r w:rsidR="00E8128F">
        <w:rPr>
          <w:sz w:val="36"/>
          <w:szCs w:val="36"/>
          <w:rtl/>
        </w:rPr>
        <w:t xml:space="preserve"> </w:t>
      </w:r>
      <w:r w:rsidR="00D70D7F" w:rsidRPr="00FD211F">
        <w:rPr>
          <w:sz w:val="36"/>
          <w:szCs w:val="36"/>
          <w:rtl/>
        </w:rPr>
        <w:t>ذكرنا</w:t>
      </w:r>
      <w:r w:rsidR="00E8128F">
        <w:rPr>
          <w:sz w:val="36"/>
          <w:szCs w:val="36"/>
          <w:rtl/>
        </w:rPr>
        <w:t xml:space="preserve"> </w:t>
      </w:r>
      <w:r w:rsidR="00D70D7F" w:rsidRPr="00FD211F">
        <w:rPr>
          <w:sz w:val="36"/>
          <w:szCs w:val="36"/>
          <w:rtl/>
        </w:rPr>
        <w:t>في</w:t>
      </w:r>
      <w:r w:rsidR="00E8128F">
        <w:rPr>
          <w:sz w:val="36"/>
          <w:szCs w:val="36"/>
          <w:rtl/>
        </w:rPr>
        <w:t xml:space="preserve"> </w:t>
      </w:r>
      <w:r w:rsidR="00D70D7F" w:rsidRPr="00FD211F">
        <w:rPr>
          <w:sz w:val="36"/>
          <w:szCs w:val="36"/>
          <w:rtl/>
        </w:rPr>
        <w:t>بحث</w:t>
      </w:r>
      <w:r w:rsidR="00E8128F">
        <w:rPr>
          <w:sz w:val="36"/>
          <w:szCs w:val="36"/>
          <w:rtl/>
        </w:rPr>
        <w:t xml:space="preserve"> </w:t>
      </w:r>
      <w:r w:rsidR="00D70D7F" w:rsidRPr="00FD211F">
        <w:rPr>
          <w:sz w:val="36"/>
          <w:szCs w:val="36"/>
          <w:rtl/>
        </w:rPr>
        <w:t>الاستصحاب</w:t>
      </w:r>
      <w:r w:rsidR="00E8128F">
        <w:rPr>
          <w:sz w:val="36"/>
          <w:szCs w:val="36"/>
          <w:rtl/>
        </w:rPr>
        <w:t xml:space="preserve"> </w:t>
      </w:r>
      <w:r w:rsidR="00D70D7F" w:rsidRPr="00FD211F">
        <w:rPr>
          <w:sz w:val="36"/>
          <w:szCs w:val="36"/>
          <w:rtl/>
        </w:rPr>
        <w:t>عدم</w:t>
      </w:r>
      <w:r w:rsidR="00E8128F">
        <w:rPr>
          <w:sz w:val="36"/>
          <w:szCs w:val="36"/>
          <w:rtl/>
        </w:rPr>
        <w:t xml:space="preserve"> </w:t>
      </w:r>
      <w:r w:rsidR="00D70D7F" w:rsidRPr="00FD211F">
        <w:rPr>
          <w:sz w:val="36"/>
          <w:szCs w:val="36"/>
          <w:rtl/>
        </w:rPr>
        <w:t>تمامي</w:t>
      </w:r>
      <w:r w:rsidR="00EC7EDF" w:rsidRPr="00FD211F">
        <w:rPr>
          <w:sz w:val="36"/>
          <w:szCs w:val="36"/>
          <w:rtl/>
        </w:rPr>
        <w:t>ة</w:t>
      </w:r>
      <w:r w:rsidR="00E8128F">
        <w:rPr>
          <w:sz w:val="36"/>
          <w:szCs w:val="36"/>
          <w:rtl/>
        </w:rPr>
        <w:t xml:space="preserve"> </w:t>
      </w:r>
      <w:r w:rsidR="00D70D7F" w:rsidRPr="00FD211F">
        <w:rPr>
          <w:sz w:val="36"/>
          <w:szCs w:val="36"/>
          <w:rtl/>
        </w:rPr>
        <w:t>هذا</w:t>
      </w:r>
      <w:r w:rsidR="00E8128F">
        <w:rPr>
          <w:sz w:val="36"/>
          <w:szCs w:val="36"/>
          <w:rtl/>
        </w:rPr>
        <w:t xml:space="preserve"> </w:t>
      </w:r>
      <w:r w:rsidR="00D70D7F" w:rsidRPr="00FD211F">
        <w:rPr>
          <w:sz w:val="36"/>
          <w:szCs w:val="36"/>
          <w:rtl/>
        </w:rPr>
        <w:t>الاشكال</w:t>
      </w:r>
      <w:r w:rsidR="00E8128F">
        <w:rPr>
          <w:sz w:val="36"/>
          <w:szCs w:val="36"/>
          <w:rtl/>
        </w:rPr>
        <w:t xml:space="preserve"> </w:t>
      </w:r>
      <w:r w:rsidR="00D70D7F" w:rsidRPr="00FD211F">
        <w:rPr>
          <w:sz w:val="36"/>
          <w:szCs w:val="36"/>
          <w:rtl/>
        </w:rPr>
        <w:t>لكفاي</w:t>
      </w:r>
      <w:r w:rsidR="00EC7EDF" w:rsidRPr="00FD211F">
        <w:rPr>
          <w:sz w:val="36"/>
          <w:szCs w:val="36"/>
          <w:rtl/>
        </w:rPr>
        <w:t>ة</w:t>
      </w:r>
      <w:r w:rsidR="00E8128F">
        <w:rPr>
          <w:sz w:val="36"/>
          <w:szCs w:val="36"/>
          <w:rtl/>
        </w:rPr>
        <w:t xml:space="preserve"> </w:t>
      </w:r>
      <w:r w:rsidR="00D70D7F" w:rsidRPr="00FD211F">
        <w:rPr>
          <w:sz w:val="36"/>
          <w:szCs w:val="36"/>
          <w:rtl/>
        </w:rPr>
        <w:t>وحد</w:t>
      </w:r>
      <w:r w:rsidR="00EC7EDF" w:rsidRPr="00FD211F">
        <w:rPr>
          <w:sz w:val="36"/>
          <w:szCs w:val="36"/>
          <w:rtl/>
        </w:rPr>
        <w:t>ة</w:t>
      </w:r>
      <w:r w:rsidR="00E8128F">
        <w:rPr>
          <w:sz w:val="36"/>
          <w:szCs w:val="36"/>
          <w:rtl/>
        </w:rPr>
        <w:t xml:space="preserve"> </w:t>
      </w:r>
      <w:r w:rsidR="00D70D7F" w:rsidRPr="00FD211F">
        <w:rPr>
          <w:sz w:val="36"/>
          <w:szCs w:val="36"/>
          <w:rtl/>
        </w:rPr>
        <w:t>الجعل</w:t>
      </w:r>
      <w:r w:rsidR="00E8128F">
        <w:rPr>
          <w:sz w:val="36"/>
          <w:szCs w:val="36"/>
          <w:rtl/>
        </w:rPr>
        <w:t xml:space="preserve"> </w:t>
      </w:r>
      <w:r w:rsidR="00D70D7F" w:rsidRPr="00FD211F">
        <w:rPr>
          <w:sz w:val="36"/>
          <w:szCs w:val="36"/>
          <w:rtl/>
        </w:rPr>
        <w:t>المستفاد</w:t>
      </w:r>
      <w:r w:rsidR="00E8128F">
        <w:rPr>
          <w:sz w:val="36"/>
          <w:szCs w:val="36"/>
          <w:rtl/>
        </w:rPr>
        <w:t xml:space="preserve"> </w:t>
      </w:r>
      <w:r w:rsidR="00D70D7F" w:rsidRPr="00FD211F">
        <w:rPr>
          <w:sz w:val="36"/>
          <w:szCs w:val="36"/>
          <w:rtl/>
        </w:rPr>
        <w:t>من</w:t>
      </w:r>
      <w:r w:rsidR="00E8128F">
        <w:rPr>
          <w:sz w:val="36"/>
          <w:szCs w:val="36"/>
          <w:rtl/>
        </w:rPr>
        <w:t xml:space="preserve"> </w:t>
      </w:r>
      <w:r w:rsidR="00D70D7F" w:rsidRPr="00FD211F">
        <w:rPr>
          <w:sz w:val="36"/>
          <w:szCs w:val="36"/>
          <w:rtl/>
        </w:rPr>
        <w:t>الخطاب.</w:t>
      </w:r>
    </w:p>
    <w:p w14:paraId="7DEDBE32" w14:textId="77777777" w:rsidR="00181275" w:rsidRPr="00FD211F" w:rsidRDefault="00047E9F" w:rsidP="009C58C8">
      <w:pPr>
        <w:ind w:left="0" w:firstLine="227"/>
        <w:jc w:val="both"/>
        <w:rPr>
          <w:sz w:val="36"/>
          <w:szCs w:val="36"/>
          <w:rtl/>
        </w:rPr>
      </w:pPr>
      <w:r w:rsidRPr="00FD211F">
        <w:rPr>
          <w:sz w:val="36"/>
          <w:szCs w:val="36"/>
          <w:rtl/>
        </w:rPr>
        <w:t>3-</w:t>
      </w:r>
      <w:r w:rsidR="00E8128F">
        <w:rPr>
          <w:sz w:val="36"/>
          <w:szCs w:val="36"/>
          <w:rtl/>
        </w:rPr>
        <w:t xml:space="preserve"> </w:t>
      </w:r>
      <w:r w:rsidR="00E000C4" w:rsidRPr="00FD211F">
        <w:rPr>
          <w:sz w:val="36"/>
          <w:szCs w:val="36"/>
          <w:rtl/>
        </w:rPr>
        <w:t>انه</w:t>
      </w:r>
      <w:r w:rsidR="00E8128F">
        <w:rPr>
          <w:sz w:val="36"/>
          <w:szCs w:val="36"/>
          <w:rtl/>
        </w:rPr>
        <w:t xml:space="preserve"> </w:t>
      </w:r>
      <w:r w:rsidR="00E000C4" w:rsidRPr="00FD211F">
        <w:rPr>
          <w:sz w:val="36"/>
          <w:szCs w:val="36"/>
          <w:rtl/>
        </w:rPr>
        <w:t>في</w:t>
      </w:r>
      <w:r w:rsidR="00E8128F">
        <w:rPr>
          <w:sz w:val="36"/>
          <w:szCs w:val="36"/>
          <w:rtl/>
        </w:rPr>
        <w:t xml:space="preserve"> </w:t>
      </w:r>
      <w:r w:rsidR="00E000C4" w:rsidRPr="00FD211F">
        <w:rPr>
          <w:sz w:val="36"/>
          <w:szCs w:val="36"/>
          <w:rtl/>
        </w:rPr>
        <w:t>المقام</w:t>
      </w:r>
      <w:r w:rsidR="00E8128F">
        <w:rPr>
          <w:sz w:val="36"/>
          <w:szCs w:val="36"/>
          <w:rtl/>
        </w:rPr>
        <w:t xml:space="preserve"> </w:t>
      </w:r>
      <w:r w:rsidR="00E000C4" w:rsidRPr="00FD211F">
        <w:rPr>
          <w:sz w:val="36"/>
          <w:szCs w:val="36"/>
          <w:rtl/>
        </w:rPr>
        <w:t>حي</w:t>
      </w:r>
      <w:r w:rsidRPr="00FD211F">
        <w:rPr>
          <w:sz w:val="36"/>
          <w:szCs w:val="36"/>
          <w:rtl/>
        </w:rPr>
        <w:t>ث</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شبه</w:t>
      </w:r>
      <w:r w:rsidR="00EC7EDF" w:rsidRPr="00FD211F">
        <w:rPr>
          <w:sz w:val="36"/>
          <w:szCs w:val="36"/>
          <w:rtl/>
        </w:rPr>
        <w:t>ة</w:t>
      </w:r>
      <w:r w:rsidR="00E8128F">
        <w:rPr>
          <w:sz w:val="36"/>
          <w:szCs w:val="36"/>
          <w:rtl/>
        </w:rPr>
        <w:t xml:space="preserve"> </w:t>
      </w:r>
      <w:r w:rsidRPr="00FD211F">
        <w:rPr>
          <w:sz w:val="36"/>
          <w:szCs w:val="36"/>
          <w:rtl/>
        </w:rPr>
        <w:t>مفهومي</w:t>
      </w:r>
      <w:r w:rsidR="00EC7EDF" w:rsidRPr="00FD211F">
        <w:rPr>
          <w:sz w:val="36"/>
          <w:szCs w:val="36"/>
          <w:rtl/>
        </w:rPr>
        <w:t>ة</w:t>
      </w:r>
      <w:r w:rsidR="00E8128F">
        <w:rPr>
          <w:sz w:val="36"/>
          <w:szCs w:val="36"/>
          <w:rtl/>
        </w:rPr>
        <w:t xml:space="preserve"> </w:t>
      </w:r>
      <w:r w:rsidRPr="00FD211F">
        <w:rPr>
          <w:sz w:val="36"/>
          <w:szCs w:val="36"/>
          <w:rtl/>
        </w:rPr>
        <w:t>فلو</w:t>
      </w:r>
      <w:r w:rsidR="00E8128F">
        <w:rPr>
          <w:sz w:val="36"/>
          <w:szCs w:val="36"/>
          <w:rtl/>
        </w:rPr>
        <w:t xml:space="preserve"> </w:t>
      </w:r>
      <w:r w:rsidR="00022A4C" w:rsidRPr="00FD211F">
        <w:rPr>
          <w:sz w:val="36"/>
          <w:szCs w:val="36"/>
          <w:rtl/>
        </w:rPr>
        <w:t>انقضى</w:t>
      </w:r>
      <w:r w:rsidR="00E8128F">
        <w:rPr>
          <w:sz w:val="36"/>
          <w:szCs w:val="36"/>
          <w:rtl/>
        </w:rPr>
        <w:t xml:space="preserve"> </w:t>
      </w:r>
      <w:r w:rsidR="00022A4C" w:rsidRPr="00FD211F">
        <w:rPr>
          <w:sz w:val="36"/>
          <w:szCs w:val="36"/>
          <w:rtl/>
        </w:rPr>
        <w:t>تلبس</w:t>
      </w:r>
      <w:r w:rsidR="00E8128F">
        <w:rPr>
          <w:sz w:val="36"/>
          <w:szCs w:val="36"/>
          <w:rtl/>
        </w:rPr>
        <w:t xml:space="preserve"> </w:t>
      </w:r>
      <w:r w:rsidR="00D70D7F" w:rsidRPr="00FD211F">
        <w:rPr>
          <w:sz w:val="36"/>
          <w:szCs w:val="36"/>
          <w:rtl/>
        </w:rPr>
        <w:t>زيد</w:t>
      </w:r>
      <w:r w:rsidR="00E8128F">
        <w:rPr>
          <w:sz w:val="36"/>
          <w:szCs w:val="36"/>
          <w:rtl/>
        </w:rPr>
        <w:t xml:space="preserve"> </w:t>
      </w:r>
      <w:r w:rsidR="00022A4C" w:rsidRPr="00FD211F">
        <w:rPr>
          <w:sz w:val="36"/>
          <w:szCs w:val="36"/>
          <w:rtl/>
        </w:rPr>
        <w:t>بالعلم</w:t>
      </w:r>
      <w:r w:rsidR="00E8128F">
        <w:rPr>
          <w:sz w:val="36"/>
          <w:szCs w:val="36"/>
          <w:rtl/>
        </w:rPr>
        <w:t xml:space="preserve"> </w:t>
      </w:r>
      <w:r w:rsidR="00022A4C" w:rsidRPr="00FD211F">
        <w:rPr>
          <w:sz w:val="36"/>
          <w:szCs w:val="36"/>
          <w:rtl/>
        </w:rPr>
        <w:t>فلايجري</w:t>
      </w:r>
      <w:r w:rsidR="00E8128F">
        <w:rPr>
          <w:sz w:val="36"/>
          <w:szCs w:val="36"/>
          <w:rtl/>
        </w:rPr>
        <w:t xml:space="preserve"> </w:t>
      </w:r>
      <w:r w:rsidR="00022A4C" w:rsidRPr="00FD211F">
        <w:rPr>
          <w:sz w:val="36"/>
          <w:szCs w:val="36"/>
          <w:rtl/>
        </w:rPr>
        <w:t>في</w:t>
      </w:r>
      <w:r w:rsidR="00E8128F">
        <w:rPr>
          <w:sz w:val="36"/>
          <w:szCs w:val="36"/>
          <w:rtl/>
        </w:rPr>
        <w:t xml:space="preserve"> </w:t>
      </w:r>
      <w:r w:rsidR="00022A4C" w:rsidRPr="00FD211F">
        <w:rPr>
          <w:sz w:val="36"/>
          <w:szCs w:val="36"/>
          <w:rtl/>
        </w:rPr>
        <w:t>حقه</w:t>
      </w:r>
      <w:r w:rsidR="00E8128F">
        <w:rPr>
          <w:sz w:val="36"/>
          <w:szCs w:val="36"/>
          <w:rtl/>
        </w:rPr>
        <w:t xml:space="preserve"> </w:t>
      </w:r>
      <w:r w:rsidR="00022A4C" w:rsidRPr="00FD211F">
        <w:rPr>
          <w:sz w:val="36"/>
          <w:szCs w:val="36"/>
          <w:rtl/>
        </w:rPr>
        <w:t>استصحاب</w:t>
      </w:r>
      <w:r w:rsidR="00E8128F">
        <w:rPr>
          <w:sz w:val="36"/>
          <w:szCs w:val="36"/>
          <w:rtl/>
        </w:rPr>
        <w:t xml:space="preserve"> </w:t>
      </w:r>
      <w:r w:rsidR="00022A4C" w:rsidRPr="00FD211F">
        <w:rPr>
          <w:sz w:val="36"/>
          <w:szCs w:val="36"/>
          <w:rtl/>
        </w:rPr>
        <w:t>كونه</w:t>
      </w:r>
      <w:r w:rsidR="00E8128F">
        <w:rPr>
          <w:sz w:val="36"/>
          <w:szCs w:val="36"/>
          <w:rtl/>
        </w:rPr>
        <w:t xml:space="preserve"> </w:t>
      </w:r>
      <w:r w:rsidR="00022A4C" w:rsidRPr="00FD211F">
        <w:rPr>
          <w:sz w:val="36"/>
          <w:szCs w:val="36"/>
          <w:rtl/>
        </w:rPr>
        <w:t>عالما</w:t>
      </w:r>
      <w:r w:rsidR="00603323" w:rsidRPr="00FD211F">
        <w:rPr>
          <w:sz w:val="36"/>
          <w:szCs w:val="36"/>
          <w:rtl/>
        </w:rPr>
        <w:t>،</w:t>
      </w:r>
      <w:r w:rsidR="00E8128F">
        <w:rPr>
          <w:sz w:val="36"/>
          <w:szCs w:val="36"/>
          <w:rtl/>
        </w:rPr>
        <w:t xml:space="preserve"> </w:t>
      </w:r>
      <w:r w:rsidR="007D5B5B" w:rsidRPr="00FD211F">
        <w:rPr>
          <w:sz w:val="36"/>
          <w:szCs w:val="36"/>
          <w:rtl/>
        </w:rPr>
        <w:t>لانه</w:t>
      </w:r>
      <w:r w:rsidR="00E8128F">
        <w:rPr>
          <w:sz w:val="36"/>
          <w:szCs w:val="36"/>
          <w:rtl/>
        </w:rPr>
        <w:t xml:space="preserve"> </w:t>
      </w:r>
      <w:r w:rsidR="007D5B5B" w:rsidRPr="00FD211F">
        <w:rPr>
          <w:sz w:val="36"/>
          <w:szCs w:val="36"/>
          <w:rtl/>
        </w:rPr>
        <w:t>يكون</w:t>
      </w:r>
      <w:r w:rsidR="00E8128F">
        <w:rPr>
          <w:sz w:val="36"/>
          <w:szCs w:val="36"/>
          <w:rtl/>
        </w:rPr>
        <w:t xml:space="preserve"> </w:t>
      </w:r>
      <w:r w:rsidR="007D5B5B" w:rsidRPr="00FD211F">
        <w:rPr>
          <w:sz w:val="36"/>
          <w:szCs w:val="36"/>
          <w:rtl/>
        </w:rPr>
        <w:t>من</w:t>
      </w:r>
      <w:r w:rsidR="00E8128F">
        <w:rPr>
          <w:sz w:val="36"/>
          <w:szCs w:val="36"/>
          <w:rtl/>
        </w:rPr>
        <w:t xml:space="preserve"> </w:t>
      </w:r>
      <w:r w:rsidR="007D5B5B" w:rsidRPr="00FD211F">
        <w:rPr>
          <w:sz w:val="36"/>
          <w:szCs w:val="36"/>
          <w:rtl/>
        </w:rPr>
        <w:t>الاستصحاب</w:t>
      </w:r>
      <w:r w:rsidR="00E8128F">
        <w:rPr>
          <w:sz w:val="36"/>
          <w:szCs w:val="36"/>
          <w:rtl/>
        </w:rPr>
        <w:t xml:space="preserve"> </w:t>
      </w:r>
      <w:r w:rsidR="007D5B5B" w:rsidRPr="00FD211F">
        <w:rPr>
          <w:sz w:val="36"/>
          <w:szCs w:val="36"/>
          <w:rtl/>
        </w:rPr>
        <w:t>الموضوعي</w:t>
      </w:r>
      <w:r w:rsidR="00E8128F">
        <w:rPr>
          <w:sz w:val="36"/>
          <w:szCs w:val="36"/>
          <w:rtl/>
        </w:rPr>
        <w:t xml:space="preserve"> </w:t>
      </w:r>
      <w:r w:rsidR="007D5B5B" w:rsidRPr="00FD211F">
        <w:rPr>
          <w:sz w:val="36"/>
          <w:szCs w:val="36"/>
          <w:rtl/>
        </w:rPr>
        <w:t>في</w:t>
      </w:r>
      <w:r w:rsidR="00E8128F">
        <w:rPr>
          <w:sz w:val="36"/>
          <w:szCs w:val="36"/>
          <w:rtl/>
        </w:rPr>
        <w:t xml:space="preserve"> </w:t>
      </w:r>
      <w:r w:rsidR="007D5B5B" w:rsidRPr="00FD211F">
        <w:rPr>
          <w:sz w:val="36"/>
          <w:szCs w:val="36"/>
          <w:rtl/>
        </w:rPr>
        <w:t>الشبه</w:t>
      </w:r>
      <w:r w:rsidR="00EC7EDF" w:rsidRPr="00FD211F">
        <w:rPr>
          <w:sz w:val="36"/>
          <w:szCs w:val="36"/>
          <w:rtl/>
        </w:rPr>
        <w:t>ة</w:t>
      </w:r>
      <w:r w:rsidR="00E8128F">
        <w:rPr>
          <w:sz w:val="36"/>
          <w:szCs w:val="36"/>
          <w:rtl/>
        </w:rPr>
        <w:t xml:space="preserve"> </w:t>
      </w:r>
      <w:r w:rsidR="007D5B5B" w:rsidRPr="00FD211F">
        <w:rPr>
          <w:sz w:val="36"/>
          <w:szCs w:val="36"/>
          <w:rtl/>
        </w:rPr>
        <w:t>المفهومي</w:t>
      </w:r>
      <w:r w:rsidR="00EC7EDF" w:rsidRPr="00FD211F">
        <w:rPr>
          <w:sz w:val="36"/>
          <w:szCs w:val="36"/>
          <w:rtl/>
        </w:rPr>
        <w:t>ة</w:t>
      </w:r>
      <w:r w:rsidR="00603323" w:rsidRPr="00FD211F">
        <w:rPr>
          <w:sz w:val="36"/>
          <w:szCs w:val="36"/>
          <w:rtl/>
        </w:rPr>
        <w:t>،</w:t>
      </w:r>
      <w:r w:rsidR="00E8128F">
        <w:rPr>
          <w:sz w:val="36"/>
          <w:szCs w:val="36"/>
          <w:rtl/>
        </w:rPr>
        <w:t xml:space="preserve"> </w:t>
      </w:r>
      <w:r w:rsidR="00D70D7F" w:rsidRPr="00FD211F">
        <w:rPr>
          <w:sz w:val="36"/>
          <w:szCs w:val="36"/>
          <w:rtl/>
        </w:rPr>
        <w:t>والمشهور</w:t>
      </w:r>
      <w:r w:rsidR="00E8128F">
        <w:rPr>
          <w:sz w:val="36"/>
          <w:szCs w:val="36"/>
          <w:rtl/>
        </w:rPr>
        <w:t xml:space="preserve"> </w:t>
      </w:r>
      <w:r w:rsidR="00D70D7F" w:rsidRPr="00FD211F">
        <w:rPr>
          <w:sz w:val="36"/>
          <w:szCs w:val="36"/>
          <w:rtl/>
        </w:rPr>
        <w:t>عدم</w:t>
      </w:r>
      <w:r w:rsidR="00E8128F">
        <w:rPr>
          <w:sz w:val="36"/>
          <w:szCs w:val="36"/>
          <w:rtl/>
        </w:rPr>
        <w:t xml:space="preserve"> </w:t>
      </w:r>
      <w:r w:rsidR="00D70D7F" w:rsidRPr="00FD211F">
        <w:rPr>
          <w:sz w:val="36"/>
          <w:szCs w:val="36"/>
          <w:rtl/>
        </w:rPr>
        <w:t>جريانه</w:t>
      </w:r>
      <w:r w:rsidR="00181275" w:rsidRPr="00FD211F">
        <w:rPr>
          <w:sz w:val="36"/>
          <w:szCs w:val="36"/>
          <w:rtl/>
        </w:rPr>
        <w:t>.</w:t>
      </w:r>
    </w:p>
    <w:p w14:paraId="24A67FDF" w14:textId="77777777" w:rsidR="00B1734E" w:rsidRPr="00FD211F" w:rsidRDefault="007D5B5B" w:rsidP="009C58C8">
      <w:pPr>
        <w:ind w:left="0" w:firstLine="227"/>
        <w:jc w:val="both"/>
        <w:rPr>
          <w:sz w:val="36"/>
          <w:szCs w:val="36"/>
          <w:rtl/>
        </w:rPr>
      </w:pPr>
      <w:r w:rsidRPr="00FD211F">
        <w:rPr>
          <w:sz w:val="36"/>
          <w:szCs w:val="36"/>
          <w:rtl/>
        </w:rPr>
        <w:t>وقد</w:t>
      </w:r>
      <w:r w:rsidR="00E8128F">
        <w:rPr>
          <w:sz w:val="36"/>
          <w:szCs w:val="36"/>
          <w:rtl/>
        </w:rPr>
        <w:t xml:space="preserve"> </w:t>
      </w:r>
      <w:r w:rsidR="00D70D7F" w:rsidRPr="00FD211F">
        <w:rPr>
          <w:sz w:val="36"/>
          <w:szCs w:val="36"/>
          <w:rtl/>
        </w:rPr>
        <w:t>ذكر</w:t>
      </w:r>
      <w:r w:rsidR="00E8128F">
        <w:rPr>
          <w:sz w:val="36"/>
          <w:szCs w:val="36"/>
          <w:rtl/>
        </w:rPr>
        <w:t xml:space="preserve"> </w:t>
      </w:r>
      <w:r w:rsidR="00022A4C" w:rsidRPr="00FD211F">
        <w:rPr>
          <w:sz w:val="36"/>
          <w:szCs w:val="36"/>
          <w:rtl/>
        </w:rPr>
        <w:t>المحقق</w:t>
      </w:r>
      <w:r w:rsidR="00E8128F">
        <w:rPr>
          <w:sz w:val="36"/>
          <w:szCs w:val="36"/>
          <w:rtl/>
        </w:rPr>
        <w:t xml:space="preserve"> </w:t>
      </w:r>
      <w:r w:rsidR="00022A4C" w:rsidRPr="00FD211F">
        <w:rPr>
          <w:sz w:val="36"/>
          <w:szCs w:val="36"/>
          <w:rtl/>
        </w:rPr>
        <w:t>العراقي</w:t>
      </w:r>
      <w:r w:rsidR="00E8128F">
        <w:rPr>
          <w:sz w:val="36"/>
          <w:szCs w:val="36"/>
          <w:rtl/>
        </w:rPr>
        <w:t xml:space="preserve"> </w:t>
      </w:r>
      <w:r w:rsidR="00FF4EBC" w:rsidRPr="00FD211F">
        <w:rPr>
          <w:sz w:val="36"/>
          <w:szCs w:val="36"/>
          <w:rtl/>
        </w:rPr>
        <w:t>"</w:t>
      </w:r>
      <w:r w:rsidR="00D70D7F" w:rsidRPr="00FD211F">
        <w:rPr>
          <w:sz w:val="36"/>
          <w:szCs w:val="36"/>
          <w:rtl/>
        </w:rPr>
        <w:t>قده</w:t>
      </w:r>
      <w:r w:rsidR="00FF4EBC" w:rsidRPr="00FD211F">
        <w:rPr>
          <w:sz w:val="36"/>
          <w:szCs w:val="36"/>
          <w:rtl/>
        </w:rPr>
        <w:t>"</w:t>
      </w:r>
      <w:r w:rsidR="00E8128F">
        <w:rPr>
          <w:sz w:val="36"/>
          <w:szCs w:val="36"/>
          <w:rtl/>
        </w:rPr>
        <w:t xml:space="preserve"> </w:t>
      </w:r>
      <w:r w:rsidR="00D70D7F" w:rsidRPr="00FD211F">
        <w:rPr>
          <w:sz w:val="36"/>
          <w:szCs w:val="36"/>
          <w:rtl/>
        </w:rPr>
        <w:t>في</w:t>
      </w:r>
      <w:r w:rsidR="00E8128F">
        <w:rPr>
          <w:sz w:val="36"/>
          <w:szCs w:val="36"/>
          <w:rtl/>
        </w:rPr>
        <w:t xml:space="preserve"> </w:t>
      </w:r>
      <w:r w:rsidR="00066A7E" w:rsidRPr="00FD211F">
        <w:rPr>
          <w:sz w:val="36"/>
          <w:szCs w:val="36"/>
          <w:rtl/>
        </w:rPr>
        <w:t>بحث</w:t>
      </w:r>
      <w:r w:rsidR="00E8128F">
        <w:rPr>
          <w:sz w:val="36"/>
          <w:szCs w:val="36"/>
          <w:rtl/>
        </w:rPr>
        <w:t xml:space="preserve"> </w:t>
      </w:r>
      <w:r w:rsidR="00066A7E" w:rsidRPr="00FD211F">
        <w:rPr>
          <w:sz w:val="36"/>
          <w:szCs w:val="36"/>
          <w:rtl/>
        </w:rPr>
        <w:t>الاستصحاب</w:t>
      </w:r>
      <w:r w:rsidR="00E8128F">
        <w:rPr>
          <w:sz w:val="36"/>
          <w:szCs w:val="36"/>
          <w:rtl/>
        </w:rPr>
        <w:t xml:space="preserve"> </w:t>
      </w:r>
      <w:r w:rsidR="00066A7E" w:rsidRPr="00FD211F">
        <w:rPr>
          <w:sz w:val="36"/>
          <w:szCs w:val="36"/>
          <w:rtl/>
        </w:rPr>
        <w:t>في</w:t>
      </w:r>
      <w:r w:rsidR="00E8128F">
        <w:rPr>
          <w:sz w:val="36"/>
          <w:szCs w:val="36"/>
          <w:rtl/>
        </w:rPr>
        <w:t xml:space="preserve"> </w:t>
      </w:r>
      <w:r w:rsidR="00D70D7F" w:rsidRPr="00FD211F">
        <w:rPr>
          <w:sz w:val="36"/>
          <w:szCs w:val="36"/>
          <w:rtl/>
        </w:rPr>
        <w:t>وجه</w:t>
      </w:r>
      <w:r w:rsidR="00E8128F">
        <w:rPr>
          <w:sz w:val="36"/>
          <w:szCs w:val="36"/>
          <w:rtl/>
        </w:rPr>
        <w:t xml:space="preserve"> </w:t>
      </w:r>
      <w:r w:rsidR="00D70D7F" w:rsidRPr="00FD211F">
        <w:rPr>
          <w:sz w:val="36"/>
          <w:szCs w:val="36"/>
          <w:rtl/>
        </w:rPr>
        <w:t>ذلك</w:t>
      </w:r>
      <w:r w:rsidR="00E8128F">
        <w:rPr>
          <w:sz w:val="36"/>
          <w:szCs w:val="36"/>
          <w:rtl/>
        </w:rPr>
        <w:t xml:space="preserve"> </w:t>
      </w:r>
      <w:r w:rsidR="00D70D7F" w:rsidRPr="00FD211F">
        <w:rPr>
          <w:sz w:val="36"/>
          <w:szCs w:val="36"/>
          <w:rtl/>
        </w:rPr>
        <w:t>انه</w:t>
      </w:r>
      <w:r w:rsidR="00E8128F">
        <w:rPr>
          <w:sz w:val="36"/>
          <w:szCs w:val="36"/>
          <w:rtl/>
        </w:rPr>
        <w:t xml:space="preserve"> </w:t>
      </w:r>
      <w:r w:rsidR="00D70D7F" w:rsidRPr="00FD211F">
        <w:rPr>
          <w:sz w:val="36"/>
          <w:szCs w:val="36"/>
          <w:rtl/>
        </w:rPr>
        <w:t>يكون</w:t>
      </w:r>
      <w:r w:rsidR="00E8128F">
        <w:rPr>
          <w:sz w:val="36"/>
          <w:szCs w:val="36"/>
          <w:rtl/>
        </w:rPr>
        <w:t xml:space="preserve"> </w:t>
      </w:r>
      <w:r w:rsidR="00022A4C" w:rsidRPr="00FD211F">
        <w:rPr>
          <w:sz w:val="36"/>
          <w:szCs w:val="36"/>
          <w:rtl/>
        </w:rPr>
        <w:t>من</w:t>
      </w:r>
      <w:r w:rsidR="00E8128F">
        <w:rPr>
          <w:sz w:val="36"/>
          <w:szCs w:val="36"/>
          <w:rtl/>
        </w:rPr>
        <w:t xml:space="preserve"> </w:t>
      </w:r>
      <w:r w:rsidR="00022A4C" w:rsidRPr="00FD211F">
        <w:rPr>
          <w:sz w:val="36"/>
          <w:szCs w:val="36"/>
          <w:rtl/>
        </w:rPr>
        <w:t>قبيل</w:t>
      </w:r>
      <w:r w:rsidR="00E8128F">
        <w:rPr>
          <w:sz w:val="36"/>
          <w:szCs w:val="36"/>
          <w:rtl/>
        </w:rPr>
        <w:t xml:space="preserve"> </w:t>
      </w:r>
      <w:r w:rsidR="00022A4C" w:rsidRPr="00FD211F">
        <w:rPr>
          <w:sz w:val="36"/>
          <w:szCs w:val="36"/>
          <w:rtl/>
        </w:rPr>
        <w:t>استصحاب</w:t>
      </w:r>
      <w:r w:rsidR="00E8128F">
        <w:rPr>
          <w:sz w:val="36"/>
          <w:szCs w:val="36"/>
          <w:rtl/>
        </w:rPr>
        <w:t xml:space="preserve"> </w:t>
      </w:r>
      <w:r w:rsidR="00022A4C" w:rsidRPr="00FD211F">
        <w:rPr>
          <w:sz w:val="36"/>
          <w:szCs w:val="36"/>
          <w:rtl/>
        </w:rPr>
        <w:t>الفرد</w:t>
      </w:r>
      <w:r w:rsidR="00E8128F">
        <w:rPr>
          <w:sz w:val="36"/>
          <w:szCs w:val="36"/>
          <w:rtl/>
        </w:rPr>
        <w:t xml:space="preserve"> </w:t>
      </w:r>
      <w:r w:rsidR="00022A4C" w:rsidRPr="00FD211F">
        <w:rPr>
          <w:sz w:val="36"/>
          <w:szCs w:val="36"/>
          <w:rtl/>
        </w:rPr>
        <w:t>المردد</w:t>
      </w:r>
      <w:r w:rsidR="00603323" w:rsidRPr="00FD211F">
        <w:rPr>
          <w:sz w:val="36"/>
          <w:szCs w:val="36"/>
          <w:rtl/>
        </w:rPr>
        <w:t>،</w:t>
      </w:r>
      <w:r w:rsidR="00E8128F">
        <w:rPr>
          <w:sz w:val="36"/>
          <w:szCs w:val="36"/>
          <w:rtl/>
        </w:rPr>
        <w:t xml:space="preserve"> </w:t>
      </w:r>
      <w:r w:rsidR="00022A4C" w:rsidRPr="00FD211F">
        <w:rPr>
          <w:sz w:val="36"/>
          <w:szCs w:val="36"/>
          <w:rtl/>
        </w:rPr>
        <w:t>حيث</w:t>
      </w:r>
      <w:r w:rsidR="00E8128F">
        <w:rPr>
          <w:sz w:val="36"/>
          <w:szCs w:val="36"/>
          <w:rtl/>
        </w:rPr>
        <w:t xml:space="preserve"> </w:t>
      </w:r>
      <w:r w:rsidR="00022A4C" w:rsidRPr="00FD211F">
        <w:rPr>
          <w:sz w:val="36"/>
          <w:szCs w:val="36"/>
          <w:rtl/>
        </w:rPr>
        <w:t>ان</w:t>
      </w:r>
      <w:r w:rsidR="00E8128F">
        <w:rPr>
          <w:sz w:val="36"/>
          <w:szCs w:val="36"/>
          <w:rtl/>
        </w:rPr>
        <w:t xml:space="preserve"> </w:t>
      </w:r>
      <w:r w:rsidR="00C9333C" w:rsidRPr="00FD211F">
        <w:rPr>
          <w:sz w:val="36"/>
          <w:szCs w:val="36"/>
          <w:rtl/>
        </w:rPr>
        <w:t>معنى</w:t>
      </w:r>
      <w:r w:rsidR="00E8128F">
        <w:rPr>
          <w:sz w:val="36"/>
          <w:szCs w:val="36"/>
          <w:rtl/>
        </w:rPr>
        <w:t xml:space="preserve"> </w:t>
      </w:r>
      <w:r w:rsidR="00C9333C" w:rsidRPr="00FD211F">
        <w:rPr>
          <w:sz w:val="36"/>
          <w:szCs w:val="36"/>
          <w:rtl/>
        </w:rPr>
        <w:t>المشتق</w:t>
      </w:r>
      <w:r w:rsidR="00E8128F">
        <w:rPr>
          <w:sz w:val="36"/>
          <w:szCs w:val="36"/>
          <w:rtl/>
        </w:rPr>
        <w:t xml:space="preserve"> </w:t>
      </w:r>
      <w:r w:rsidR="00C9333C" w:rsidRPr="00FD211F">
        <w:rPr>
          <w:sz w:val="36"/>
          <w:szCs w:val="36"/>
          <w:rtl/>
        </w:rPr>
        <w:t>الذي</w:t>
      </w:r>
      <w:r w:rsidR="00E8128F">
        <w:rPr>
          <w:sz w:val="36"/>
          <w:szCs w:val="36"/>
          <w:rtl/>
        </w:rPr>
        <w:t xml:space="preserve"> </w:t>
      </w:r>
      <w:r w:rsidR="00C9333C" w:rsidRPr="00FD211F">
        <w:rPr>
          <w:sz w:val="36"/>
          <w:szCs w:val="36"/>
          <w:rtl/>
        </w:rPr>
        <w:t>يكون</w:t>
      </w:r>
      <w:r w:rsidR="00E8128F">
        <w:rPr>
          <w:sz w:val="36"/>
          <w:szCs w:val="36"/>
          <w:rtl/>
        </w:rPr>
        <w:t xml:space="preserve"> </w:t>
      </w:r>
      <w:r w:rsidR="00C9333C" w:rsidRPr="00FD211F">
        <w:rPr>
          <w:sz w:val="36"/>
          <w:szCs w:val="36"/>
          <w:rtl/>
        </w:rPr>
        <w:t>موضوعا</w:t>
      </w:r>
      <w:r w:rsidR="00E8128F">
        <w:rPr>
          <w:sz w:val="36"/>
          <w:szCs w:val="36"/>
          <w:rtl/>
        </w:rPr>
        <w:t xml:space="preserve"> </w:t>
      </w:r>
      <w:r w:rsidR="00C9333C" w:rsidRPr="00FD211F">
        <w:rPr>
          <w:sz w:val="36"/>
          <w:szCs w:val="36"/>
          <w:rtl/>
        </w:rPr>
        <w:t>للأثر</w:t>
      </w:r>
      <w:r w:rsidR="00E8128F">
        <w:rPr>
          <w:sz w:val="36"/>
          <w:szCs w:val="36"/>
          <w:rtl/>
        </w:rPr>
        <w:t xml:space="preserve"> </w:t>
      </w:r>
      <w:r w:rsidR="00C9333C" w:rsidRPr="00FD211F">
        <w:rPr>
          <w:sz w:val="36"/>
          <w:szCs w:val="36"/>
          <w:rtl/>
        </w:rPr>
        <w:t>مردد</w:t>
      </w:r>
      <w:r w:rsidR="00E8128F">
        <w:rPr>
          <w:sz w:val="36"/>
          <w:szCs w:val="36"/>
          <w:rtl/>
        </w:rPr>
        <w:t xml:space="preserve"> </w:t>
      </w:r>
      <w:r w:rsidR="00022A4C" w:rsidRPr="00FD211F">
        <w:rPr>
          <w:sz w:val="36"/>
          <w:szCs w:val="36"/>
          <w:rtl/>
        </w:rPr>
        <w:t>بين</w:t>
      </w:r>
      <w:r w:rsidR="00E8128F">
        <w:rPr>
          <w:sz w:val="36"/>
          <w:szCs w:val="36"/>
          <w:rtl/>
        </w:rPr>
        <w:t xml:space="preserve"> </w:t>
      </w:r>
      <w:r w:rsidR="00022A4C" w:rsidRPr="00FD211F">
        <w:rPr>
          <w:sz w:val="36"/>
          <w:szCs w:val="36"/>
          <w:rtl/>
        </w:rPr>
        <w:t>مفهوم</w:t>
      </w:r>
      <w:r w:rsidR="00E8128F">
        <w:rPr>
          <w:sz w:val="36"/>
          <w:szCs w:val="36"/>
          <w:rtl/>
        </w:rPr>
        <w:t xml:space="preserve"> </w:t>
      </w:r>
      <w:r w:rsidR="00C9333C" w:rsidRPr="00FD211F">
        <w:rPr>
          <w:sz w:val="36"/>
          <w:szCs w:val="36"/>
          <w:rtl/>
        </w:rPr>
        <w:t>يعلم</w:t>
      </w:r>
      <w:r w:rsidR="00E8128F">
        <w:rPr>
          <w:sz w:val="36"/>
          <w:szCs w:val="36"/>
          <w:rtl/>
        </w:rPr>
        <w:t xml:space="preserve"> </w:t>
      </w:r>
      <w:r w:rsidR="00C9333C" w:rsidRPr="00FD211F">
        <w:rPr>
          <w:sz w:val="36"/>
          <w:szCs w:val="36"/>
          <w:rtl/>
        </w:rPr>
        <w:t>بارتفاعه</w:t>
      </w:r>
      <w:r w:rsidR="00E8128F">
        <w:rPr>
          <w:sz w:val="36"/>
          <w:szCs w:val="36"/>
          <w:rtl/>
        </w:rPr>
        <w:t xml:space="preserve"> </w:t>
      </w:r>
      <w:r w:rsidR="00C9333C" w:rsidRPr="00FD211F">
        <w:rPr>
          <w:sz w:val="36"/>
          <w:szCs w:val="36"/>
          <w:rtl/>
        </w:rPr>
        <w:t>وهو</w:t>
      </w:r>
      <w:r w:rsidR="00E8128F">
        <w:rPr>
          <w:sz w:val="36"/>
          <w:szCs w:val="36"/>
          <w:rtl/>
        </w:rPr>
        <w:t xml:space="preserve"> </w:t>
      </w:r>
      <w:r w:rsidR="00C9333C" w:rsidRPr="00FD211F">
        <w:rPr>
          <w:sz w:val="36"/>
          <w:szCs w:val="36"/>
          <w:rtl/>
        </w:rPr>
        <w:t>مفهوم</w:t>
      </w:r>
      <w:r w:rsidR="00E8128F">
        <w:rPr>
          <w:sz w:val="36"/>
          <w:szCs w:val="36"/>
          <w:rtl/>
        </w:rPr>
        <w:t xml:space="preserve"> </w:t>
      </w:r>
      <w:r w:rsidR="00C9333C" w:rsidRPr="00FD211F">
        <w:rPr>
          <w:sz w:val="36"/>
          <w:szCs w:val="36"/>
          <w:rtl/>
        </w:rPr>
        <w:t>المتلبس</w:t>
      </w:r>
      <w:r w:rsidR="00E8128F">
        <w:rPr>
          <w:sz w:val="36"/>
          <w:szCs w:val="36"/>
          <w:rtl/>
        </w:rPr>
        <w:t xml:space="preserve"> </w:t>
      </w:r>
      <w:r w:rsidR="00C9333C" w:rsidRPr="00FD211F">
        <w:rPr>
          <w:sz w:val="36"/>
          <w:szCs w:val="36"/>
          <w:rtl/>
        </w:rPr>
        <w:t>الفعلي</w:t>
      </w:r>
      <w:r w:rsidR="00E8128F">
        <w:rPr>
          <w:sz w:val="36"/>
          <w:szCs w:val="36"/>
          <w:rtl/>
        </w:rPr>
        <w:t xml:space="preserve"> </w:t>
      </w:r>
      <w:r w:rsidR="00C9333C" w:rsidRPr="00FD211F">
        <w:rPr>
          <w:sz w:val="36"/>
          <w:szCs w:val="36"/>
          <w:rtl/>
        </w:rPr>
        <w:t>بال</w:t>
      </w:r>
      <w:r w:rsidR="0079493B" w:rsidRPr="00FD211F">
        <w:rPr>
          <w:sz w:val="36"/>
          <w:szCs w:val="36"/>
          <w:rtl/>
        </w:rPr>
        <w:t>مبدأ</w:t>
      </w:r>
      <w:r w:rsidR="00E8128F">
        <w:rPr>
          <w:sz w:val="36"/>
          <w:szCs w:val="36"/>
          <w:rtl/>
        </w:rPr>
        <w:t xml:space="preserve"> </w:t>
      </w:r>
      <w:r w:rsidR="00C9333C" w:rsidRPr="00FD211F">
        <w:rPr>
          <w:sz w:val="36"/>
          <w:szCs w:val="36"/>
          <w:rtl/>
        </w:rPr>
        <w:t>وبين</w:t>
      </w:r>
      <w:r w:rsidR="00E8128F">
        <w:rPr>
          <w:sz w:val="36"/>
          <w:szCs w:val="36"/>
          <w:rtl/>
        </w:rPr>
        <w:t xml:space="preserve"> </w:t>
      </w:r>
      <w:r w:rsidR="00C9333C" w:rsidRPr="00FD211F">
        <w:rPr>
          <w:sz w:val="36"/>
          <w:szCs w:val="36"/>
          <w:rtl/>
        </w:rPr>
        <w:t>مفهوم</w:t>
      </w:r>
      <w:r w:rsidR="00E8128F">
        <w:rPr>
          <w:sz w:val="36"/>
          <w:szCs w:val="36"/>
          <w:rtl/>
        </w:rPr>
        <w:t xml:space="preserve"> </w:t>
      </w:r>
      <w:r w:rsidR="00C9333C" w:rsidRPr="00FD211F">
        <w:rPr>
          <w:sz w:val="36"/>
          <w:szCs w:val="36"/>
          <w:rtl/>
        </w:rPr>
        <w:t>يعلم</w:t>
      </w:r>
      <w:r w:rsidR="00E8128F">
        <w:rPr>
          <w:sz w:val="36"/>
          <w:szCs w:val="36"/>
          <w:rtl/>
        </w:rPr>
        <w:t xml:space="preserve"> </w:t>
      </w:r>
      <w:r w:rsidR="00C9333C" w:rsidRPr="00FD211F">
        <w:rPr>
          <w:sz w:val="36"/>
          <w:szCs w:val="36"/>
          <w:rtl/>
        </w:rPr>
        <w:t>ببقاءه</w:t>
      </w:r>
      <w:r w:rsidR="00E8128F">
        <w:rPr>
          <w:sz w:val="36"/>
          <w:szCs w:val="36"/>
          <w:rtl/>
        </w:rPr>
        <w:t xml:space="preserve"> </w:t>
      </w:r>
      <w:r w:rsidR="00C9333C" w:rsidRPr="00FD211F">
        <w:rPr>
          <w:sz w:val="36"/>
          <w:szCs w:val="36"/>
          <w:rtl/>
        </w:rPr>
        <w:t>وهو</w:t>
      </w:r>
      <w:r w:rsidR="00E8128F">
        <w:rPr>
          <w:sz w:val="36"/>
          <w:szCs w:val="36"/>
          <w:rtl/>
        </w:rPr>
        <w:t xml:space="preserve"> </w:t>
      </w:r>
      <w:r w:rsidR="00C9333C" w:rsidRPr="00FD211F">
        <w:rPr>
          <w:sz w:val="36"/>
          <w:szCs w:val="36"/>
          <w:rtl/>
        </w:rPr>
        <w:t>المفهوم</w:t>
      </w:r>
      <w:r w:rsidR="00E8128F">
        <w:rPr>
          <w:sz w:val="36"/>
          <w:szCs w:val="36"/>
          <w:rtl/>
        </w:rPr>
        <w:t xml:space="preserve"> </w:t>
      </w:r>
      <w:r w:rsidR="00C9333C" w:rsidRPr="00FD211F">
        <w:rPr>
          <w:sz w:val="36"/>
          <w:szCs w:val="36"/>
          <w:rtl/>
        </w:rPr>
        <w:t>الأعم</w:t>
      </w:r>
      <w:r w:rsidR="00E8128F">
        <w:rPr>
          <w:sz w:val="36"/>
          <w:szCs w:val="36"/>
          <w:rtl/>
        </w:rPr>
        <w:t xml:space="preserve"> </w:t>
      </w:r>
      <w:r w:rsidR="00C9333C" w:rsidRPr="00FD211F">
        <w:rPr>
          <w:sz w:val="36"/>
          <w:szCs w:val="36"/>
          <w:rtl/>
        </w:rPr>
        <w:t>فلايتم</w:t>
      </w:r>
      <w:r w:rsidR="00E8128F">
        <w:rPr>
          <w:sz w:val="36"/>
          <w:szCs w:val="36"/>
          <w:rtl/>
        </w:rPr>
        <w:t xml:space="preserve"> </w:t>
      </w:r>
      <w:r w:rsidR="00C9333C" w:rsidRPr="00FD211F">
        <w:rPr>
          <w:sz w:val="36"/>
          <w:szCs w:val="36"/>
          <w:rtl/>
        </w:rPr>
        <w:t>فيه</w:t>
      </w:r>
      <w:r w:rsidR="00E8128F">
        <w:rPr>
          <w:sz w:val="36"/>
          <w:szCs w:val="36"/>
          <w:rtl/>
        </w:rPr>
        <w:t xml:space="preserve"> </w:t>
      </w:r>
      <w:r w:rsidR="00C9333C" w:rsidRPr="00FD211F">
        <w:rPr>
          <w:sz w:val="36"/>
          <w:szCs w:val="36"/>
          <w:rtl/>
        </w:rPr>
        <w:t>اركان</w:t>
      </w:r>
      <w:r w:rsidR="00E8128F">
        <w:rPr>
          <w:sz w:val="36"/>
          <w:szCs w:val="36"/>
          <w:rtl/>
        </w:rPr>
        <w:t xml:space="preserve"> </w:t>
      </w:r>
      <w:r w:rsidR="00C9333C" w:rsidRPr="00FD211F">
        <w:rPr>
          <w:sz w:val="36"/>
          <w:szCs w:val="36"/>
          <w:rtl/>
        </w:rPr>
        <w:t>الاستصحاب</w:t>
      </w:r>
      <w:r w:rsidR="00603323" w:rsidRPr="00FD211F">
        <w:rPr>
          <w:sz w:val="36"/>
          <w:szCs w:val="36"/>
          <w:rtl/>
        </w:rPr>
        <w:t>،</w:t>
      </w:r>
      <w:r w:rsidR="00E8128F">
        <w:rPr>
          <w:sz w:val="36"/>
          <w:szCs w:val="36"/>
          <w:rtl/>
        </w:rPr>
        <w:t xml:space="preserve"> </w:t>
      </w:r>
      <w:r w:rsidR="00C9333C" w:rsidRPr="00FD211F">
        <w:rPr>
          <w:sz w:val="36"/>
          <w:szCs w:val="36"/>
          <w:rtl/>
        </w:rPr>
        <w:t>وأما</w:t>
      </w:r>
      <w:r w:rsidR="00E8128F">
        <w:rPr>
          <w:sz w:val="36"/>
          <w:szCs w:val="36"/>
          <w:rtl/>
        </w:rPr>
        <w:t xml:space="preserve"> </w:t>
      </w:r>
      <w:r w:rsidR="00C9333C" w:rsidRPr="00FD211F">
        <w:rPr>
          <w:sz w:val="36"/>
          <w:szCs w:val="36"/>
          <w:rtl/>
        </w:rPr>
        <w:t>عنوان</w:t>
      </w:r>
      <w:r w:rsidR="00E8128F">
        <w:rPr>
          <w:sz w:val="36"/>
          <w:szCs w:val="36"/>
          <w:rtl/>
        </w:rPr>
        <w:t xml:space="preserve"> </w:t>
      </w:r>
      <w:r w:rsidR="00C9333C" w:rsidRPr="00FD211F">
        <w:rPr>
          <w:sz w:val="36"/>
          <w:szCs w:val="36"/>
          <w:rtl/>
        </w:rPr>
        <w:t>المفهوم</w:t>
      </w:r>
      <w:r w:rsidR="00E8128F">
        <w:rPr>
          <w:sz w:val="36"/>
          <w:szCs w:val="36"/>
          <w:rtl/>
        </w:rPr>
        <w:t xml:space="preserve"> </w:t>
      </w:r>
      <w:r w:rsidR="00C9333C" w:rsidRPr="00FD211F">
        <w:rPr>
          <w:sz w:val="36"/>
          <w:szCs w:val="36"/>
          <w:rtl/>
        </w:rPr>
        <w:t>الذي</w:t>
      </w:r>
      <w:r w:rsidR="00E8128F">
        <w:rPr>
          <w:sz w:val="36"/>
          <w:szCs w:val="36"/>
          <w:rtl/>
        </w:rPr>
        <w:t xml:space="preserve"> </w:t>
      </w:r>
      <w:r w:rsidR="00C9333C" w:rsidRPr="00FD211F">
        <w:rPr>
          <w:sz w:val="36"/>
          <w:szCs w:val="36"/>
          <w:rtl/>
        </w:rPr>
        <w:t>وضع</w:t>
      </w:r>
      <w:r w:rsidR="00E8128F">
        <w:rPr>
          <w:sz w:val="36"/>
          <w:szCs w:val="36"/>
          <w:rtl/>
        </w:rPr>
        <w:t xml:space="preserve"> </w:t>
      </w:r>
      <w:r w:rsidR="00C9333C" w:rsidRPr="00FD211F">
        <w:rPr>
          <w:sz w:val="36"/>
          <w:szCs w:val="36"/>
          <w:rtl/>
        </w:rPr>
        <w:t>بإزاءه</w:t>
      </w:r>
      <w:r w:rsidR="00E8128F">
        <w:rPr>
          <w:sz w:val="36"/>
          <w:szCs w:val="36"/>
          <w:rtl/>
        </w:rPr>
        <w:t xml:space="preserve"> </w:t>
      </w:r>
      <w:r w:rsidR="00C9333C" w:rsidRPr="00FD211F">
        <w:rPr>
          <w:sz w:val="36"/>
          <w:szCs w:val="36"/>
          <w:rtl/>
        </w:rPr>
        <w:t>لفظ</w:t>
      </w:r>
      <w:r w:rsidR="00E8128F">
        <w:rPr>
          <w:sz w:val="36"/>
          <w:szCs w:val="36"/>
          <w:rtl/>
        </w:rPr>
        <w:t xml:space="preserve"> </w:t>
      </w:r>
      <w:r w:rsidR="00C9333C" w:rsidRPr="00FD211F">
        <w:rPr>
          <w:sz w:val="36"/>
          <w:szCs w:val="36"/>
          <w:rtl/>
        </w:rPr>
        <w:t>المشتق</w:t>
      </w:r>
      <w:r w:rsidR="00E8128F">
        <w:rPr>
          <w:sz w:val="36"/>
          <w:szCs w:val="36"/>
          <w:rtl/>
        </w:rPr>
        <w:t xml:space="preserve"> </w:t>
      </w:r>
      <w:r w:rsidR="00C9333C" w:rsidRPr="00FD211F">
        <w:rPr>
          <w:sz w:val="36"/>
          <w:szCs w:val="36"/>
          <w:rtl/>
        </w:rPr>
        <w:t>فليس</w:t>
      </w:r>
      <w:r w:rsidR="00E8128F">
        <w:rPr>
          <w:sz w:val="36"/>
          <w:szCs w:val="36"/>
          <w:rtl/>
        </w:rPr>
        <w:t xml:space="preserve"> </w:t>
      </w:r>
      <w:r w:rsidR="00C9333C" w:rsidRPr="00FD211F">
        <w:rPr>
          <w:sz w:val="36"/>
          <w:szCs w:val="36"/>
          <w:rtl/>
        </w:rPr>
        <w:t>موضوعا</w:t>
      </w:r>
      <w:r w:rsidR="00E8128F">
        <w:rPr>
          <w:sz w:val="36"/>
          <w:szCs w:val="36"/>
          <w:rtl/>
        </w:rPr>
        <w:t xml:space="preserve"> </w:t>
      </w:r>
      <w:r w:rsidR="00C9333C" w:rsidRPr="00FD211F">
        <w:rPr>
          <w:sz w:val="36"/>
          <w:szCs w:val="36"/>
          <w:rtl/>
        </w:rPr>
        <w:t>للأثر</w:t>
      </w:r>
      <w:r w:rsidR="00E8128F">
        <w:rPr>
          <w:sz w:val="36"/>
          <w:szCs w:val="36"/>
          <w:rtl/>
        </w:rPr>
        <w:t xml:space="preserve"> </w:t>
      </w:r>
      <w:r w:rsidR="00C9333C" w:rsidRPr="00FD211F">
        <w:rPr>
          <w:sz w:val="36"/>
          <w:szCs w:val="36"/>
          <w:rtl/>
        </w:rPr>
        <w:t>أبدا</w:t>
      </w:r>
      <w:r w:rsidR="00603323" w:rsidRPr="00FD211F">
        <w:rPr>
          <w:sz w:val="36"/>
          <w:szCs w:val="36"/>
          <w:rtl/>
        </w:rPr>
        <w:t>،</w:t>
      </w:r>
      <w:r w:rsidR="00E8128F">
        <w:rPr>
          <w:sz w:val="36"/>
          <w:szCs w:val="36"/>
          <w:rtl/>
        </w:rPr>
        <w:t xml:space="preserve"> </w:t>
      </w:r>
      <w:r w:rsidR="00C9333C" w:rsidRPr="00FD211F">
        <w:rPr>
          <w:sz w:val="36"/>
          <w:szCs w:val="36"/>
          <w:rtl/>
        </w:rPr>
        <w:t>لان</w:t>
      </w:r>
      <w:r w:rsidR="00E8128F">
        <w:rPr>
          <w:sz w:val="36"/>
          <w:szCs w:val="36"/>
          <w:rtl/>
        </w:rPr>
        <w:t xml:space="preserve"> </w:t>
      </w:r>
      <w:r w:rsidR="00C9333C" w:rsidRPr="00FD211F">
        <w:rPr>
          <w:sz w:val="36"/>
          <w:szCs w:val="36"/>
          <w:rtl/>
        </w:rPr>
        <w:t>الشارع</w:t>
      </w:r>
      <w:r w:rsidR="00E8128F">
        <w:rPr>
          <w:sz w:val="36"/>
          <w:szCs w:val="36"/>
          <w:rtl/>
        </w:rPr>
        <w:t xml:space="preserve"> </w:t>
      </w:r>
      <w:r w:rsidR="00C9333C" w:rsidRPr="00FD211F">
        <w:rPr>
          <w:sz w:val="36"/>
          <w:szCs w:val="36"/>
          <w:rtl/>
        </w:rPr>
        <w:t>حينما</w:t>
      </w:r>
      <w:r w:rsidR="00E8128F">
        <w:rPr>
          <w:sz w:val="36"/>
          <w:szCs w:val="36"/>
          <w:rtl/>
        </w:rPr>
        <w:t xml:space="preserve"> </w:t>
      </w:r>
      <w:r w:rsidR="00336FD9" w:rsidRPr="00FD211F">
        <w:rPr>
          <w:sz w:val="36"/>
          <w:szCs w:val="36"/>
          <w:rtl/>
        </w:rPr>
        <w:t>أنشأ</w:t>
      </w:r>
      <w:r w:rsidR="00E8128F">
        <w:rPr>
          <w:sz w:val="36"/>
          <w:szCs w:val="36"/>
          <w:rtl/>
        </w:rPr>
        <w:t xml:space="preserve"> </w:t>
      </w:r>
      <w:r w:rsidR="00336FD9" w:rsidRPr="00FD211F">
        <w:rPr>
          <w:sz w:val="36"/>
          <w:szCs w:val="36"/>
          <w:rtl/>
        </w:rPr>
        <w:t>وجوب</w:t>
      </w:r>
      <w:r w:rsidR="00E8128F">
        <w:rPr>
          <w:sz w:val="36"/>
          <w:szCs w:val="36"/>
          <w:rtl/>
        </w:rPr>
        <w:t xml:space="preserve"> </w:t>
      </w:r>
      <w:r w:rsidR="00336FD9" w:rsidRPr="00FD211F">
        <w:rPr>
          <w:sz w:val="36"/>
          <w:szCs w:val="36"/>
          <w:rtl/>
        </w:rPr>
        <w:t>اكرام</w:t>
      </w:r>
      <w:r w:rsidR="00E8128F">
        <w:rPr>
          <w:sz w:val="36"/>
          <w:szCs w:val="36"/>
          <w:rtl/>
        </w:rPr>
        <w:t xml:space="preserve"> </w:t>
      </w:r>
      <w:r w:rsidR="00336FD9" w:rsidRPr="00FD211F">
        <w:rPr>
          <w:sz w:val="36"/>
          <w:szCs w:val="36"/>
          <w:rtl/>
        </w:rPr>
        <w:t>العالم</w:t>
      </w:r>
      <w:r w:rsidR="00E8128F">
        <w:rPr>
          <w:sz w:val="36"/>
          <w:szCs w:val="36"/>
          <w:rtl/>
        </w:rPr>
        <w:t xml:space="preserve"> </w:t>
      </w:r>
      <w:r w:rsidR="00336FD9" w:rsidRPr="00FD211F">
        <w:rPr>
          <w:sz w:val="36"/>
          <w:szCs w:val="36"/>
          <w:rtl/>
        </w:rPr>
        <w:t>مثلا</w:t>
      </w:r>
      <w:r w:rsidR="00E8128F">
        <w:rPr>
          <w:sz w:val="36"/>
          <w:szCs w:val="36"/>
          <w:rtl/>
        </w:rPr>
        <w:t xml:space="preserve"> </w:t>
      </w:r>
      <w:r w:rsidR="00336FD9" w:rsidRPr="00FD211F">
        <w:rPr>
          <w:sz w:val="36"/>
          <w:szCs w:val="36"/>
          <w:rtl/>
        </w:rPr>
        <w:t>جعل</w:t>
      </w:r>
      <w:r w:rsidR="00E8128F">
        <w:rPr>
          <w:sz w:val="36"/>
          <w:szCs w:val="36"/>
          <w:rtl/>
        </w:rPr>
        <w:t xml:space="preserve"> </w:t>
      </w:r>
      <w:r w:rsidR="00C9333C" w:rsidRPr="00FD211F">
        <w:rPr>
          <w:sz w:val="36"/>
          <w:szCs w:val="36"/>
          <w:rtl/>
        </w:rPr>
        <w:t>وجوب</w:t>
      </w:r>
      <w:r w:rsidR="00E8128F">
        <w:rPr>
          <w:sz w:val="36"/>
          <w:szCs w:val="36"/>
          <w:rtl/>
        </w:rPr>
        <w:t xml:space="preserve"> </w:t>
      </w:r>
      <w:r w:rsidR="00C9333C" w:rsidRPr="00FD211F">
        <w:rPr>
          <w:sz w:val="36"/>
          <w:szCs w:val="36"/>
          <w:rtl/>
        </w:rPr>
        <w:t>الاكرام</w:t>
      </w:r>
      <w:r w:rsidR="00E8128F">
        <w:rPr>
          <w:sz w:val="36"/>
          <w:szCs w:val="36"/>
          <w:rtl/>
        </w:rPr>
        <w:t xml:space="preserve"> </w:t>
      </w:r>
      <w:r w:rsidR="00C9333C" w:rsidRPr="00FD211F">
        <w:rPr>
          <w:sz w:val="36"/>
          <w:szCs w:val="36"/>
          <w:rtl/>
        </w:rPr>
        <w:t>على</w:t>
      </w:r>
      <w:r w:rsidR="00E8128F">
        <w:rPr>
          <w:sz w:val="36"/>
          <w:szCs w:val="36"/>
          <w:rtl/>
        </w:rPr>
        <w:t xml:space="preserve"> </w:t>
      </w:r>
      <w:r w:rsidR="00C9333C" w:rsidRPr="00FD211F">
        <w:rPr>
          <w:sz w:val="36"/>
          <w:szCs w:val="36"/>
          <w:rtl/>
        </w:rPr>
        <w:t>واقع</w:t>
      </w:r>
      <w:r w:rsidR="00E8128F">
        <w:rPr>
          <w:sz w:val="36"/>
          <w:szCs w:val="36"/>
          <w:rtl/>
        </w:rPr>
        <w:t xml:space="preserve"> </w:t>
      </w:r>
      <w:r w:rsidR="00C9333C" w:rsidRPr="00FD211F">
        <w:rPr>
          <w:sz w:val="36"/>
          <w:szCs w:val="36"/>
          <w:rtl/>
        </w:rPr>
        <w:t>مفهوم</w:t>
      </w:r>
      <w:r w:rsidR="00E8128F">
        <w:rPr>
          <w:sz w:val="36"/>
          <w:szCs w:val="36"/>
          <w:rtl/>
        </w:rPr>
        <w:t xml:space="preserve"> </w:t>
      </w:r>
      <w:r w:rsidR="00C9333C" w:rsidRPr="00FD211F">
        <w:rPr>
          <w:sz w:val="36"/>
          <w:szCs w:val="36"/>
          <w:rtl/>
        </w:rPr>
        <w:t>العالم</w:t>
      </w:r>
      <w:r w:rsidR="00E8128F">
        <w:rPr>
          <w:sz w:val="36"/>
          <w:szCs w:val="36"/>
          <w:rtl/>
        </w:rPr>
        <w:t xml:space="preserve"> </w:t>
      </w:r>
      <w:r w:rsidR="009977FE" w:rsidRPr="00FD211F">
        <w:rPr>
          <w:sz w:val="36"/>
          <w:szCs w:val="36"/>
          <w:rtl/>
        </w:rPr>
        <w:t>و</w:t>
      </w:r>
      <w:r w:rsidR="00E8128F">
        <w:rPr>
          <w:sz w:val="36"/>
          <w:szCs w:val="36"/>
          <w:rtl/>
        </w:rPr>
        <w:t xml:space="preserve"> </w:t>
      </w:r>
      <w:r w:rsidR="008D7B3D" w:rsidRPr="00FD211F">
        <w:rPr>
          <w:sz w:val="36"/>
          <w:szCs w:val="36"/>
          <w:rtl/>
        </w:rPr>
        <w:t>لم‌</w:t>
      </w:r>
      <w:r w:rsidR="00C9333C" w:rsidRPr="00FD211F">
        <w:rPr>
          <w:sz w:val="36"/>
          <w:szCs w:val="36"/>
          <w:rtl/>
        </w:rPr>
        <w:t>يأخذ</w:t>
      </w:r>
      <w:r w:rsidR="00E8128F">
        <w:rPr>
          <w:sz w:val="36"/>
          <w:szCs w:val="36"/>
          <w:rtl/>
        </w:rPr>
        <w:t xml:space="preserve"> </w:t>
      </w:r>
      <w:r w:rsidR="00C9333C" w:rsidRPr="00FD211F">
        <w:rPr>
          <w:sz w:val="36"/>
          <w:szCs w:val="36"/>
          <w:rtl/>
        </w:rPr>
        <w:t>خصوصي</w:t>
      </w:r>
      <w:r w:rsidR="00EC7EDF" w:rsidRPr="00FD211F">
        <w:rPr>
          <w:sz w:val="36"/>
          <w:szCs w:val="36"/>
          <w:rtl/>
        </w:rPr>
        <w:t>ة</w:t>
      </w:r>
      <w:r w:rsidR="00E8128F">
        <w:rPr>
          <w:sz w:val="36"/>
          <w:szCs w:val="36"/>
          <w:rtl/>
        </w:rPr>
        <w:t xml:space="preserve"> </w:t>
      </w:r>
      <w:r w:rsidR="00C9333C" w:rsidRPr="00FD211F">
        <w:rPr>
          <w:sz w:val="36"/>
          <w:szCs w:val="36"/>
          <w:rtl/>
        </w:rPr>
        <w:t>وضع</w:t>
      </w:r>
      <w:r w:rsidR="00E8128F">
        <w:rPr>
          <w:sz w:val="36"/>
          <w:szCs w:val="36"/>
          <w:rtl/>
        </w:rPr>
        <w:t xml:space="preserve"> </w:t>
      </w:r>
      <w:r w:rsidR="00C9333C" w:rsidRPr="00FD211F">
        <w:rPr>
          <w:sz w:val="36"/>
          <w:szCs w:val="36"/>
          <w:rtl/>
        </w:rPr>
        <w:t>لفظ</w:t>
      </w:r>
      <w:r w:rsidR="00E8128F">
        <w:rPr>
          <w:sz w:val="36"/>
          <w:szCs w:val="36"/>
          <w:rtl/>
        </w:rPr>
        <w:t xml:space="preserve"> </w:t>
      </w:r>
      <w:r w:rsidR="00C9333C" w:rsidRPr="00FD211F">
        <w:rPr>
          <w:sz w:val="36"/>
          <w:szCs w:val="36"/>
          <w:rtl/>
        </w:rPr>
        <w:t>العالم</w:t>
      </w:r>
      <w:r w:rsidR="00E8128F">
        <w:rPr>
          <w:sz w:val="36"/>
          <w:szCs w:val="36"/>
          <w:rtl/>
        </w:rPr>
        <w:t xml:space="preserve"> </w:t>
      </w:r>
      <w:r w:rsidR="00C9333C" w:rsidRPr="00FD211F">
        <w:rPr>
          <w:sz w:val="36"/>
          <w:szCs w:val="36"/>
          <w:rtl/>
        </w:rPr>
        <w:t>له</w:t>
      </w:r>
      <w:r w:rsidR="00E8128F">
        <w:rPr>
          <w:sz w:val="36"/>
          <w:szCs w:val="36"/>
          <w:rtl/>
        </w:rPr>
        <w:t xml:space="preserve"> </w:t>
      </w:r>
      <w:r w:rsidR="00C9333C" w:rsidRPr="00FD211F">
        <w:rPr>
          <w:sz w:val="36"/>
          <w:szCs w:val="36"/>
          <w:rtl/>
        </w:rPr>
        <w:t>في</w:t>
      </w:r>
      <w:r w:rsidR="00E8128F">
        <w:rPr>
          <w:sz w:val="36"/>
          <w:szCs w:val="36"/>
          <w:rtl/>
        </w:rPr>
        <w:t xml:space="preserve"> </w:t>
      </w:r>
      <w:r w:rsidR="00C9333C" w:rsidRPr="00FD211F">
        <w:rPr>
          <w:sz w:val="36"/>
          <w:szCs w:val="36"/>
          <w:rtl/>
        </w:rPr>
        <w:t>موضوع</w:t>
      </w:r>
      <w:r w:rsidR="00E8128F">
        <w:rPr>
          <w:sz w:val="36"/>
          <w:szCs w:val="36"/>
          <w:rtl/>
        </w:rPr>
        <w:t xml:space="preserve"> </w:t>
      </w:r>
      <w:r w:rsidR="00C9333C" w:rsidRPr="00FD211F">
        <w:rPr>
          <w:sz w:val="36"/>
          <w:szCs w:val="36"/>
          <w:rtl/>
        </w:rPr>
        <w:t>الحكم</w:t>
      </w:r>
      <w:r w:rsidR="00603323" w:rsidRPr="00FD211F">
        <w:rPr>
          <w:sz w:val="36"/>
          <w:szCs w:val="36"/>
          <w:rtl/>
        </w:rPr>
        <w:t>،</w:t>
      </w:r>
      <w:r w:rsidR="00E8128F">
        <w:rPr>
          <w:sz w:val="36"/>
          <w:szCs w:val="36"/>
          <w:rtl/>
        </w:rPr>
        <w:t xml:space="preserve"> </w:t>
      </w:r>
      <w:r w:rsidRPr="00FD211F">
        <w:rPr>
          <w:sz w:val="36"/>
          <w:szCs w:val="36"/>
          <w:rtl/>
        </w:rPr>
        <w:t>و</w:t>
      </w:r>
      <w:r w:rsidR="00851268" w:rsidRPr="00FD211F">
        <w:rPr>
          <w:sz w:val="36"/>
          <w:szCs w:val="36"/>
          <w:rtl/>
        </w:rPr>
        <w:t>هذا</w:t>
      </w:r>
      <w:r w:rsidR="00E8128F">
        <w:rPr>
          <w:sz w:val="36"/>
          <w:szCs w:val="36"/>
          <w:rtl/>
        </w:rPr>
        <w:t xml:space="preserve"> </w:t>
      </w:r>
      <w:r w:rsidR="00851268" w:rsidRPr="00FD211F">
        <w:rPr>
          <w:sz w:val="36"/>
          <w:szCs w:val="36"/>
          <w:rtl/>
        </w:rPr>
        <w:t>نظير</w:t>
      </w:r>
      <w:r w:rsidR="00E8128F">
        <w:rPr>
          <w:sz w:val="36"/>
          <w:szCs w:val="36"/>
          <w:rtl/>
        </w:rPr>
        <w:t xml:space="preserve"> </w:t>
      </w:r>
      <w:r w:rsidR="00851268" w:rsidRPr="00FD211F">
        <w:rPr>
          <w:sz w:val="36"/>
          <w:szCs w:val="36"/>
          <w:rtl/>
        </w:rPr>
        <w:t>ما</w:t>
      </w:r>
      <w:r w:rsidR="00E8128F">
        <w:rPr>
          <w:sz w:val="36"/>
          <w:szCs w:val="36"/>
          <w:rtl/>
        </w:rPr>
        <w:t xml:space="preserve"> </w:t>
      </w:r>
      <w:r w:rsidR="00851268" w:rsidRPr="00FD211F">
        <w:rPr>
          <w:sz w:val="36"/>
          <w:szCs w:val="36"/>
          <w:rtl/>
        </w:rPr>
        <w:t>لو</w:t>
      </w:r>
      <w:r w:rsidR="00E8128F">
        <w:rPr>
          <w:sz w:val="36"/>
          <w:szCs w:val="36"/>
          <w:rtl/>
        </w:rPr>
        <w:t xml:space="preserve"> </w:t>
      </w:r>
      <w:r w:rsidR="00851268" w:rsidRPr="00FD211F">
        <w:rPr>
          <w:sz w:val="36"/>
          <w:szCs w:val="36"/>
          <w:rtl/>
        </w:rPr>
        <w:t>ورد</w:t>
      </w:r>
      <w:r w:rsidR="00E8128F">
        <w:rPr>
          <w:sz w:val="36"/>
          <w:szCs w:val="36"/>
          <w:rtl/>
        </w:rPr>
        <w:t xml:space="preserve"> </w:t>
      </w:r>
      <w:r w:rsidR="00851268" w:rsidRPr="00FD211F">
        <w:rPr>
          <w:sz w:val="36"/>
          <w:szCs w:val="36"/>
          <w:rtl/>
        </w:rPr>
        <w:t>في</w:t>
      </w:r>
      <w:r w:rsidR="00E8128F">
        <w:rPr>
          <w:sz w:val="36"/>
          <w:szCs w:val="36"/>
          <w:rtl/>
        </w:rPr>
        <w:t xml:space="preserve"> </w:t>
      </w:r>
      <w:r w:rsidR="00851268" w:rsidRPr="00FD211F">
        <w:rPr>
          <w:sz w:val="36"/>
          <w:szCs w:val="36"/>
          <w:rtl/>
        </w:rPr>
        <w:t>الخطاب</w:t>
      </w:r>
      <w:r w:rsidR="00E8128F">
        <w:rPr>
          <w:sz w:val="36"/>
          <w:szCs w:val="36"/>
          <w:rtl/>
        </w:rPr>
        <w:t xml:space="preserve"> </w:t>
      </w:r>
      <w:r w:rsidR="00851268" w:rsidRPr="00FD211F">
        <w:rPr>
          <w:sz w:val="36"/>
          <w:szCs w:val="36"/>
          <w:rtl/>
        </w:rPr>
        <w:t>"</w:t>
      </w:r>
      <w:r w:rsidR="00E8128F">
        <w:rPr>
          <w:sz w:val="36"/>
          <w:szCs w:val="36"/>
          <w:rtl/>
        </w:rPr>
        <w:t xml:space="preserve"> </w:t>
      </w:r>
      <w:r w:rsidRPr="00FD211F">
        <w:rPr>
          <w:sz w:val="36"/>
          <w:szCs w:val="36"/>
          <w:rtl/>
        </w:rPr>
        <w:t>اذا</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الدار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يوم</w:t>
      </w:r>
      <w:r w:rsidR="00E8128F">
        <w:rPr>
          <w:sz w:val="36"/>
          <w:szCs w:val="36"/>
          <w:rtl/>
        </w:rPr>
        <w:t xml:space="preserve"> </w:t>
      </w:r>
      <w:r w:rsidRPr="00FD211F">
        <w:rPr>
          <w:sz w:val="36"/>
          <w:szCs w:val="36"/>
          <w:rtl/>
        </w:rPr>
        <w:t>الجمع</w:t>
      </w:r>
      <w:r w:rsidR="00EC7EDF" w:rsidRPr="00FD211F">
        <w:rPr>
          <w:sz w:val="36"/>
          <w:szCs w:val="36"/>
          <w:rtl/>
        </w:rPr>
        <w:t>ة</w:t>
      </w:r>
      <w:r w:rsidR="00E8128F">
        <w:rPr>
          <w:sz w:val="36"/>
          <w:szCs w:val="36"/>
          <w:rtl/>
        </w:rPr>
        <w:t xml:space="preserve"> </w:t>
      </w:r>
      <w:r w:rsidRPr="00FD211F">
        <w:rPr>
          <w:sz w:val="36"/>
          <w:szCs w:val="36"/>
          <w:rtl/>
        </w:rPr>
        <w:t>فتصدق</w:t>
      </w:r>
      <w:r w:rsidR="00851268" w:rsidRPr="00FD211F">
        <w:rPr>
          <w:sz w:val="36"/>
          <w:szCs w:val="36"/>
          <w:rtl/>
        </w:rPr>
        <w:t>"</w:t>
      </w:r>
      <w:r w:rsidR="00E8128F">
        <w:rPr>
          <w:sz w:val="36"/>
          <w:szCs w:val="36"/>
          <w:rtl/>
        </w:rPr>
        <w:t xml:space="preserve"> </w:t>
      </w:r>
      <w:r w:rsidR="00851268" w:rsidRPr="00FD211F">
        <w:rPr>
          <w:sz w:val="36"/>
          <w:szCs w:val="36"/>
          <w:rtl/>
        </w:rPr>
        <w:t>وورد</w:t>
      </w:r>
      <w:r w:rsidR="00E8128F">
        <w:rPr>
          <w:sz w:val="36"/>
          <w:szCs w:val="36"/>
          <w:rtl/>
        </w:rPr>
        <w:t xml:space="preserve"> </w:t>
      </w:r>
      <w:r w:rsidR="00851268" w:rsidRPr="00FD211F">
        <w:rPr>
          <w:sz w:val="36"/>
          <w:szCs w:val="36"/>
          <w:rtl/>
        </w:rPr>
        <w:t>في</w:t>
      </w:r>
      <w:r w:rsidR="00E8128F">
        <w:rPr>
          <w:sz w:val="36"/>
          <w:szCs w:val="36"/>
          <w:rtl/>
        </w:rPr>
        <w:t xml:space="preserve"> </w:t>
      </w:r>
      <w:r w:rsidR="00851268" w:rsidRPr="00FD211F">
        <w:rPr>
          <w:sz w:val="36"/>
          <w:szCs w:val="36"/>
          <w:rtl/>
        </w:rPr>
        <w:t>خطاب</w:t>
      </w:r>
      <w:r w:rsidR="00E8128F">
        <w:rPr>
          <w:sz w:val="36"/>
          <w:szCs w:val="36"/>
          <w:rtl/>
        </w:rPr>
        <w:t xml:space="preserve"> </w:t>
      </w:r>
      <w:r w:rsidR="00851268" w:rsidRPr="00FD211F">
        <w:rPr>
          <w:sz w:val="36"/>
          <w:szCs w:val="36"/>
          <w:rtl/>
        </w:rPr>
        <w:t>آخر</w:t>
      </w:r>
      <w:r w:rsidR="00E8128F">
        <w:rPr>
          <w:sz w:val="36"/>
          <w:szCs w:val="36"/>
          <w:rtl/>
        </w:rPr>
        <w:t xml:space="preserve"> </w:t>
      </w:r>
      <w:r w:rsidR="00851268" w:rsidRPr="00FD211F">
        <w:rPr>
          <w:sz w:val="36"/>
          <w:szCs w:val="36"/>
          <w:rtl/>
        </w:rPr>
        <w:t>"</w:t>
      </w:r>
      <w:r w:rsidR="00E8128F">
        <w:rPr>
          <w:sz w:val="36"/>
          <w:szCs w:val="36"/>
          <w:rtl/>
        </w:rPr>
        <w:t xml:space="preserve"> </w:t>
      </w:r>
      <w:r w:rsidRPr="00FD211F">
        <w:rPr>
          <w:sz w:val="36"/>
          <w:szCs w:val="36"/>
          <w:rtl/>
        </w:rPr>
        <w:t>اذا</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عمرو</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الدار</w:t>
      </w:r>
      <w:r w:rsidR="00E8128F">
        <w:rPr>
          <w:sz w:val="36"/>
          <w:szCs w:val="36"/>
          <w:rtl/>
        </w:rPr>
        <w:t xml:space="preserve"> </w:t>
      </w:r>
      <w:r w:rsidRPr="00FD211F">
        <w:rPr>
          <w:sz w:val="36"/>
          <w:szCs w:val="36"/>
          <w:rtl/>
        </w:rPr>
        <w:t>يوم</w:t>
      </w:r>
      <w:r w:rsidR="00E8128F">
        <w:rPr>
          <w:sz w:val="36"/>
          <w:szCs w:val="36"/>
          <w:rtl/>
        </w:rPr>
        <w:t xml:space="preserve"> </w:t>
      </w:r>
      <w:r w:rsidRPr="00FD211F">
        <w:rPr>
          <w:sz w:val="36"/>
          <w:szCs w:val="36"/>
          <w:rtl/>
        </w:rPr>
        <w:t>الجمع</w:t>
      </w:r>
      <w:r w:rsidR="00EC7EDF" w:rsidRPr="00FD211F">
        <w:rPr>
          <w:sz w:val="36"/>
          <w:szCs w:val="36"/>
          <w:rtl/>
        </w:rPr>
        <w:t>ة</w:t>
      </w:r>
      <w:r w:rsidR="00E8128F">
        <w:rPr>
          <w:sz w:val="36"/>
          <w:szCs w:val="36"/>
          <w:rtl/>
        </w:rPr>
        <w:t xml:space="preserve"> </w:t>
      </w:r>
      <w:r w:rsidRPr="00FD211F">
        <w:rPr>
          <w:sz w:val="36"/>
          <w:szCs w:val="36"/>
          <w:rtl/>
        </w:rPr>
        <w:t>فتصدق</w:t>
      </w:r>
      <w:r w:rsidR="00851268" w:rsidRPr="00FD211F">
        <w:rPr>
          <w:sz w:val="36"/>
          <w:szCs w:val="36"/>
          <w:rtl/>
        </w:rPr>
        <w:t>"</w:t>
      </w:r>
      <w:r w:rsidR="00E8128F">
        <w:rPr>
          <w:sz w:val="36"/>
          <w:szCs w:val="36"/>
          <w:rtl/>
        </w:rPr>
        <w:t xml:space="preserve"> </w:t>
      </w:r>
      <w:r w:rsidR="00D70D7F" w:rsidRPr="00FD211F">
        <w:rPr>
          <w:sz w:val="36"/>
          <w:szCs w:val="36"/>
          <w:rtl/>
        </w:rPr>
        <w:t>فعلمنا</w:t>
      </w:r>
      <w:r w:rsidR="00E8128F">
        <w:rPr>
          <w:sz w:val="36"/>
          <w:szCs w:val="36"/>
          <w:rtl/>
        </w:rPr>
        <w:t xml:space="preserve"> </w:t>
      </w:r>
      <w:r w:rsidR="00D70D7F" w:rsidRPr="00FD211F">
        <w:rPr>
          <w:sz w:val="36"/>
          <w:szCs w:val="36"/>
          <w:rtl/>
        </w:rPr>
        <w:t>بوجود</w:t>
      </w:r>
      <w:r w:rsidR="00E8128F">
        <w:rPr>
          <w:sz w:val="36"/>
          <w:szCs w:val="36"/>
          <w:rtl/>
        </w:rPr>
        <w:t xml:space="preserve"> </w:t>
      </w:r>
      <w:r w:rsidR="00D70D7F" w:rsidRPr="00FD211F">
        <w:rPr>
          <w:sz w:val="36"/>
          <w:szCs w:val="36"/>
          <w:rtl/>
        </w:rPr>
        <w:t>احدهما</w:t>
      </w:r>
      <w:r w:rsidR="00E8128F">
        <w:rPr>
          <w:sz w:val="36"/>
          <w:szCs w:val="36"/>
          <w:rtl/>
        </w:rPr>
        <w:t xml:space="preserve"> </w:t>
      </w:r>
      <w:r w:rsidR="00D70D7F" w:rsidRPr="00FD211F">
        <w:rPr>
          <w:sz w:val="36"/>
          <w:szCs w:val="36"/>
          <w:rtl/>
        </w:rPr>
        <w:t>في</w:t>
      </w:r>
      <w:r w:rsidR="00E8128F">
        <w:rPr>
          <w:sz w:val="36"/>
          <w:szCs w:val="36"/>
          <w:rtl/>
        </w:rPr>
        <w:t xml:space="preserve"> </w:t>
      </w:r>
      <w:r w:rsidR="00D70D7F" w:rsidRPr="00FD211F">
        <w:rPr>
          <w:sz w:val="36"/>
          <w:szCs w:val="36"/>
          <w:rtl/>
        </w:rPr>
        <w:t>الدار</w:t>
      </w:r>
      <w:r w:rsidR="00E8128F">
        <w:rPr>
          <w:sz w:val="36"/>
          <w:szCs w:val="36"/>
          <w:rtl/>
        </w:rPr>
        <w:t xml:space="preserve"> </w:t>
      </w:r>
      <w:r w:rsidR="00D70D7F" w:rsidRPr="00FD211F">
        <w:rPr>
          <w:sz w:val="36"/>
          <w:szCs w:val="36"/>
          <w:rtl/>
        </w:rPr>
        <w:t>يوم</w:t>
      </w:r>
      <w:r w:rsidR="00E8128F">
        <w:rPr>
          <w:sz w:val="36"/>
          <w:szCs w:val="36"/>
          <w:rtl/>
        </w:rPr>
        <w:t xml:space="preserve"> </w:t>
      </w:r>
      <w:r w:rsidR="00D70D7F" w:rsidRPr="00FD211F">
        <w:rPr>
          <w:sz w:val="36"/>
          <w:szCs w:val="36"/>
          <w:rtl/>
        </w:rPr>
        <w:t>الخميس</w:t>
      </w:r>
      <w:r w:rsidR="00E8128F">
        <w:rPr>
          <w:sz w:val="36"/>
          <w:szCs w:val="36"/>
          <w:rtl/>
        </w:rPr>
        <w:t xml:space="preserve"> </w:t>
      </w:r>
      <w:r w:rsidR="00D70D7F" w:rsidRPr="00FD211F">
        <w:rPr>
          <w:sz w:val="36"/>
          <w:szCs w:val="36"/>
          <w:rtl/>
        </w:rPr>
        <w:t>ثم</w:t>
      </w:r>
      <w:r w:rsidR="00E8128F">
        <w:rPr>
          <w:sz w:val="36"/>
          <w:szCs w:val="36"/>
          <w:rtl/>
        </w:rPr>
        <w:t xml:space="preserve"> </w:t>
      </w:r>
      <w:r w:rsidRPr="00FD211F">
        <w:rPr>
          <w:sz w:val="36"/>
          <w:szCs w:val="36"/>
          <w:rtl/>
        </w:rPr>
        <w:t>علمنا</w:t>
      </w:r>
      <w:r w:rsidR="00E8128F">
        <w:rPr>
          <w:sz w:val="36"/>
          <w:szCs w:val="36"/>
          <w:rtl/>
        </w:rPr>
        <w:t xml:space="preserve"> </w:t>
      </w:r>
      <w:r w:rsidRPr="00FD211F">
        <w:rPr>
          <w:sz w:val="36"/>
          <w:szCs w:val="36"/>
          <w:rtl/>
        </w:rPr>
        <w:t>بعدم</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الدار</w:t>
      </w:r>
      <w:r w:rsidR="00E8128F">
        <w:rPr>
          <w:sz w:val="36"/>
          <w:szCs w:val="36"/>
          <w:rtl/>
        </w:rPr>
        <w:t xml:space="preserve"> </w:t>
      </w:r>
      <w:r w:rsidRPr="00FD211F">
        <w:rPr>
          <w:sz w:val="36"/>
          <w:szCs w:val="36"/>
          <w:rtl/>
        </w:rPr>
        <w:t>يوم</w:t>
      </w:r>
      <w:r w:rsidR="00E8128F">
        <w:rPr>
          <w:sz w:val="36"/>
          <w:szCs w:val="36"/>
          <w:rtl/>
        </w:rPr>
        <w:t xml:space="preserve"> </w:t>
      </w:r>
      <w:r w:rsidRPr="00FD211F">
        <w:rPr>
          <w:sz w:val="36"/>
          <w:szCs w:val="36"/>
          <w:rtl/>
        </w:rPr>
        <w:t>الجمع</w:t>
      </w:r>
      <w:r w:rsidR="00EC7EDF" w:rsidRPr="00FD211F">
        <w:rPr>
          <w:sz w:val="36"/>
          <w:szCs w:val="36"/>
          <w:rtl/>
        </w:rPr>
        <w:t>ة</w:t>
      </w:r>
      <w:r w:rsidR="00E8128F">
        <w:rPr>
          <w:sz w:val="36"/>
          <w:szCs w:val="36"/>
          <w:rtl/>
        </w:rPr>
        <w:t xml:space="preserve"> </w:t>
      </w:r>
      <w:r w:rsidR="00C54BEB" w:rsidRPr="00FD211F">
        <w:rPr>
          <w:sz w:val="36"/>
          <w:szCs w:val="36"/>
          <w:rtl/>
        </w:rPr>
        <w:t>ولكن</w:t>
      </w:r>
      <w:r w:rsidR="00E8128F">
        <w:rPr>
          <w:sz w:val="36"/>
          <w:szCs w:val="36"/>
          <w:rtl/>
        </w:rPr>
        <w:t xml:space="preserve"> </w:t>
      </w:r>
      <w:r w:rsidR="00C54BEB" w:rsidRPr="00FD211F">
        <w:rPr>
          <w:sz w:val="36"/>
          <w:szCs w:val="36"/>
          <w:rtl/>
        </w:rPr>
        <w:t>احتملنا</w:t>
      </w:r>
      <w:r w:rsidR="00E8128F">
        <w:rPr>
          <w:sz w:val="36"/>
          <w:szCs w:val="36"/>
          <w:rtl/>
        </w:rPr>
        <w:t xml:space="preserve"> </w:t>
      </w:r>
      <w:r w:rsidR="00C54BEB" w:rsidRPr="00FD211F">
        <w:rPr>
          <w:sz w:val="36"/>
          <w:szCs w:val="36"/>
          <w:rtl/>
        </w:rPr>
        <w:t>بقاء</w:t>
      </w:r>
      <w:r w:rsidR="00E8128F">
        <w:rPr>
          <w:sz w:val="36"/>
          <w:szCs w:val="36"/>
          <w:rtl/>
        </w:rPr>
        <w:t xml:space="preserve"> </w:t>
      </w:r>
      <w:r w:rsidR="00D70D7F" w:rsidRPr="00FD211F">
        <w:rPr>
          <w:sz w:val="36"/>
          <w:szCs w:val="36"/>
          <w:rtl/>
        </w:rPr>
        <w:t>عمرو</w:t>
      </w:r>
      <w:r w:rsidR="00E8128F">
        <w:rPr>
          <w:sz w:val="36"/>
          <w:szCs w:val="36"/>
          <w:rtl/>
        </w:rPr>
        <w:t xml:space="preserve"> </w:t>
      </w:r>
      <w:r w:rsidR="00C54BEB" w:rsidRPr="00FD211F">
        <w:rPr>
          <w:sz w:val="36"/>
          <w:szCs w:val="36"/>
          <w:rtl/>
        </w:rPr>
        <w:t>في</w:t>
      </w:r>
      <w:r w:rsidR="00E8128F">
        <w:rPr>
          <w:sz w:val="36"/>
          <w:szCs w:val="36"/>
          <w:rtl/>
        </w:rPr>
        <w:t xml:space="preserve"> </w:t>
      </w:r>
      <w:r w:rsidR="00C54BEB" w:rsidRPr="00FD211F">
        <w:rPr>
          <w:sz w:val="36"/>
          <w:szCs w:val="36"/>
          <w:rtl/>
        </w:rPr>
        <w:t>الدار</w:t>
      </w:r>
      <w:r w:rsidR="00E8128F">
        <w:rPr>
          <w:sz w:val="36"/>
          <w:szCs w:val="36"/>
          <w:rtl/>
        </w:rPr>
        <w:t xml:space="preserve"> </w:t>
      </w:r>
      <w:r w:rsidR="00C54BEB" w:rsidRPr="00FD211F">
        <w:rPr>
          <w:sz w:val="36"/>
          <w:szCs w:val="36"/>
          <w:rtl/>
        </w:rPr>
        <w:t>على</w:t>
      </w:r>
      <w:r w:rsidR="00E8128F">
        <w:rPr>
          <w:sz w:val="36"/>
          <w:szCs w:val="36"/>
          <w:rtl/>
        </w:rPr>
        <w:t xml:space="preserve"> </w:t>
      </w:r>
      <w:r w:rsidR="00C54BEB" w:rsidRPr="00FD211F">
        <w:rPr>
          <w:sz w:val="36"/>
          <w:szCs w:val="36"/>
          <w:rtl/>
        </w:rPr>
        <w:t>تقدير</w:t>
      </w:r>
      <w:r w:rsidR="00E8128F">
        <w:rPr>
          <w:sz w:val="36"/>
          <w:szCs w:val="36"/>
          <w:rtl/>
        </w:rPr>
        <w:t xml:space="preserve"> </w:t>
      </w:r>
      <w:r w:rsidR="00C54BEB" w:rsidRPr="00FD211F">
        <w:rPr>
          <w:sz w:val="36"/>
          <w:szCs w:val="36"/>
          <w:rtl/>
        </w:rPr>
        <w:t>حدوثه</w:t>
      </w:r>
      <w:r w:rsidR="00E8128F">
        <w:rPr>
          <w:sz w:val="36"/>
          <w:szCs w:val="36"/>
          <w:rtl/>
        </w:rPr>
        <w:t xml:space="preserve"> </w:t>
      </w:r>
      <w:r w:rsidR="00C54BEB" w:rsidRPr="00FD211F">
        <w:rPr>
          <w:sz w:val="36"/>
          <w:szCs w:val="36"/>
          <w:rtl/>
        </w:rPr>
        <w:t>فلايجري</w:t>
      </w:r>
      <w:r w:rsidR="00E8128F">
        <w:rPr>
          <w:sz w:val="36"/>
          <w:szCs w:val="36"/>
          <w:rtl/>
        </w:rPr>
        <w:t xml:space="preserve"> </w:t>
      </w:r>
      <w:r w:rsidR="00C54BEB" w:rsidRPr="00FD211F">
        <w:rPr>
          <w:sz w:val="36"/>
          <w:szCs w:val="36"/>
          <w:rtl/>
        </w:rPr>
        <w:t>استصحاب</w:t>
      </w:r>
      <w:r w:rsidR="00E8128F">
        <w:rPr>
          <w:sz w:val="36"/>
          <w:szCs w:val="36"/>
          <w:rtl/>
        </w:rPr>
        <w:t xml:space="preserve"> </w:t>
      </w:r>
      <w:r w:rsidR="00C54BEB" w:rsidRPr="00FD211F">
        <w:rPr>
          <w:sz w:val="36"/>
          <w:szCs w:val="36"/>
          <w:rtl/>
        </w:rPr>
        <w:t>بقاء</w:t>
      </w:r>
      <w:r w:rsidR="00E8128F">
        <w:rPr>
          <w:sz w:val="36"/>
          <w:szCs w:val="36"/>
          <w:rtl/>
        </w:rPr>
        <w:t xml:space="preserve"> </w:t>
      </w:r>
      <w:r w:rsidR="00C54BEB" w:rsidRPr="00FD211F">
        <w:rPr>
          <w:sz w:val="36"/>
          <w:szCs w:val="36"/>
          <w:rtl/>
        </w:rPr>
        <w:t>احدهما</w:t>
      </w:r>
      <w:r w:rsidR="00E8128F">
        <w:rPr>
          <w:sz w:val="36"/>
          <w:szCs w:val="36"/>
          <w:rtl/>
        </w:rPr>
        <w:t xml:space="preserve"> </w:t>
      </w:r>
      <w:r w:rsidR="00C54BEB" w:rsidRPr="00FD211F">
        <w:rPr>
          <w:sz w:val="36"/>
          <w:szCs w:val="36"/>
          <w:rtl/>
        </w:rPr>
        <w:t>في</w:t>
      </w:r>
      <w:r w:rsidR="00E8128F">
        <w:rPr>
          <w:sz w:val="36"/>
          <w:szCs w:val="36"/>
          <w:rtl/>
        </w:rPr>
        <w:t xml:space="preserve"> </w:t>
      </w:r>
      <w:r w:rsidR="00C54BEB" w:rsidRPr="00FD211F">
        <w:rPr>
          <w:sz w:val="36"/>
          <w:szCs w:val="36"/>
          <w:rtl/>
        </w:rPr>
        <w:t>الدار</w:t>
      </w:r>
      <w:r w:rsidR="00603323" w:rsidRPr="00FD211F">
        <w:rPr>
          <w:sz w:val="36"/>
          <w:szCs w:val="36"/>
          <w:rtl/>
        </w:rPr>
        <w:t>،</w:t>
      </w:r>
      <w:r w:rsidR="00E8128F">
        <w:rPr>
          <w:sz w:val="36"/>
          <w:szCs w:val="36"/>
          <w:rtl/>
        </w:rPr>
        <w:t xml:space="preserve"> </w:t>
      </w:r>
      <w:r w:rsidR="00C54BEB" w:rsidRPr="00FD211F">
        <w:rPr>
          <w:sz w:val="36"/>
          <w:szCs w:val="36"/>
          <w:rtl/>
        </w:rPr>
        <w:t>لان</w:t>
      </w:r>
      <w:r w:rsidR="00E8128F">
        <w:rPr>
          <w:sz w:val="36"/>
          <w:szCs w:val="36"/>
          <w:rtl/>
        </w:rPr>
        <w:t xml:space="preserve"> </w:t>
      </w:r>
      <w:r w:rsidR="00C54BEB" w:rsidRPr="00FD211F">
        <w:rPr>
          <w:sz w:val="36"/>
          <w:szCs w:val="36"/>
          <w:rtl/>
        </w:rPr>
        <w:t>الأثر</w:t>
      </w:r>
      <w:r w:rsidR="00E8128F">
        <w:rPr>
          <w:sz w:val="36"/>
          <w:szCs w:val="36"/>
          <w:rtl/>
        </w:rPr>
        <w:t xml:space="preserve"> </w:t>
      </w:r>
      <w:r w:rsidR="00C54BEB" w:rsidRPr="00FD211F">
        <w:rPr>
          <w:sz w:val="36"/>
          <w:szCs w:val="36"/>
          <w:rtl/>
        </w:rPr>
        <w:t>الشرعي</w:t>
      </w:r>
      <w:r w:rsidR="00E8128F">
        <w:rPr>
          <w:sz w:val="36"/>
          <w:szCs w:val="36"/>
          <w:rtl/>
        </w:rPr>
        <w:t xml:space="preserve"> </w:t>
      </w:r>
      <w:r w:rsidR="00C54BEB" w:rsidRPr="00FD211F">
        <w:rPr>
          <w:sz w:val="36"/>
          <w:szCs w:val="36"/>
          <w:rtl/>
        </w:rPr>
        <w:t>وهو</w:t>
      </w:r>
      <w:r w:rsidR="00E8128F">
        <w:rPr>
          <w:sz w:val="36"/>
          <w:szCs w:val="36"/>
          <w:rtl/>
        </w:rPr>
        <w:t xml:space="preserve"> </w:t>
      </w:r>
      <w:r w:rsidR="00C54BEB" w:rsidRPr="00FD211F">
        <w:rPr>
          <w:sz w:val="36"/>
          <w:szCs w:val="36"/>
          <w:rtl/>
        </w:rPr>
        <w:t>وجوب</w:t>
      </w:r>
      <w:r w:rsidR="00E8128F">
        <w:rPr>
          <w:sz w:val="36"/>
          <w:szCs w:val="36"/>
          <w:rtl/>
        </w:rPr>
        <w:t xml:space="preserve"> </w:t>
      </w:r>
      <w:r w:rsidR="00C54BEB" w:rsidRPr="00FD211F">
        <w:rPr>
          <w:sz w:val="36"/>
          <w:szCs w:val="36"/>
          <w:rtl/>
        </w:rPr>
        <w:t>التصدق</w:t>
      </w:r>
      <w:r w:rsidR="00E8128F">
        <w:rPr>
          <w:sz w:val="36"/>
          <w:szCs w:val="36"/>
          <w:rtl/>
        </w:rPr>
        <w:t xml:space="preserve"> </w:t>
      </w:r>
      <w:r w:rsidR="00C54BEB" w:rsidRPr="00FD211F">
        <w:rPr>
          <w:sz w:val="36"/>
          <w:szCs w:val="36"/>
          <w:rtl/>
        </w:rPr>
        <w:t>مترتب</w:t>
      </w:r>
      <w:r w:rsidR="00E8128F">
        <w:rPr>
          <w:sz w:val="36"/>
          <w:szCs w:val="36"/>
          <w:rtl/>
        </w:rPr>
        <w:t xml:space="preserve"> </w:t>
      </w:r>
      <w:r w:rsidR="00C54BEB" w:rsidRPr="00FD211F">
        <w:rPr>
          <w:sz w:val="36"/>
          <w:szCs w:val="36"/>
          <w:rtl/>
        </w:rPr>
        <w:t>على</w:t>
      </w:r>
      <w:r w:rsidR="00E8128F">
        <w:rPr>
          <w:sz w:val="36"/>
          <w:szCs w:val="36"/>
          <w:rtl/>
        </w:rPr>
        <w:t xml:space="preserve"> </w:t>
      </w:r>
      <w:r w:rsidR="00C54BEB" w:rsidRPr="00FD211F">
        <w:rPr>
          <w:sz w:val="36"/>
          <w:szCs w:val="36"/>
          <w:rtl/>
        </w:rPr>
        <w:t>الفرد</w:t>
      </w:r>
      <w:r w:rsidR="00E8128F">
        <w:rPr>
          <w:sz w:val="36"/>
          <w:szCs w:val="36"/>
          <w:rtl/>
        </w:rPr>
        <w:t xml:space="preserve"> </w:t>
      </w:r>
      <w:r w:rsidR="00C54BEB" w:rsidRPr="00FD211F">
        <w:rPr>
          <w:sz w:val="36"/>
          <w:szCs w:val="36"/>
          <w:rtl/>
        </w:rPr>
        <w:t>لاالكلي</w:t>
      </w:r>
      <w:r w:rsidR="00E8128F">
        <w:rPr>
          <w:sz w:val="36"/>
          <w:szCs w:val="36"/>
          <w:rtl/>
        </w:rPr>
        <w:t xml:space="preserve"> </w:t>
      </w:r>
      <w:r w:rsidR="00C54BEB" w:rsidRPr="00FD211F">
        <w:rPr>
          <w:sz w:val="36"/>
          <w:szCs w:val="36"/>
          <w:rtl/>
        </w:rPr>
        <w:t>والعنوان</w:t>
      </w:r>
      <w:r w:rsidR="00E8128F">
        <w:rPr>
          <w:sz w:val="36"/>
          <w:szCs w:val="36"/>
          <w:rtl/>
        </w:rPr>
        <w:t xml:space="preserve"> </w:t>
      </w:r>
      <w:r w:rsidR="00C54BEB" w:rsidRPr="00FD211F">
        <w:rPr>
          <w:sz w:val="36"/>
          <w:szCs w:val="36"/>
          <w:rtl/>
        </w:rPr>
        <w:t>الجامع</w:t>
      </w:r>
      <w:r w:rsidR="00603323" w:rsidRPr="00FD211F">
        <w:rPr>
          <w:sz w:val="36"/>
          <w:szCs w:val="36"/>
          <w:rtl/>
        </w:rPr>
        <w:t>،</w:t>
      </w:r>
      <w:r w:rsidR="00E8128F">
        <w:rPr>
          <w:sz w:val="36"/>
          <w:szCs w:val="36"/>
          <w:rtl/>
        </w:rPr>
        <w:t xml:space="preserve"> </w:t>
      </w:r>
      <w:r w:rsidR="00C54BEB" w:rsidRPr="00FD211F">
        <w:rPr>
          <w:sz w:val="36"/>
          <w:szCs w:val="36"/>
          <w:rtl/>
        </w:rPr>
        <w:t>والمفروض</w:t>
      </w:r>
      <w:r w:rsidR="00E8128F">
        <w:rPr>
          <w:sz w:val="36"/>
          <w:szCs w:val="36"/>
          <w:rtl/>
        </w:rPr>
        <w:t xml:space="preserve"> </w:t>
      </w:r>
      <w:r w:rsidR="00C54BEB" w:rsidRPr="00FD211F">
        <w:rPr>
          <w:sz w:val="36"/>
          <w:szCs w:val="36"/>
          <w:rtl/>
        </w:rPr>
        <w:t>عدم</w:t>
      </w:r>
      <w:r w:rsidR="00E8128F">
        <w:rPr>
          <w:sz w:val="36"/>
          <w:szCs w:val="36"/>
          <w:rtl/>
        </w:rPr>
        <w:t xml:space="preserve"> </w:t>
      </w:r>
      <w:r w:rsidR="00C54BEB" w:rsidRPr="00FD211F">
        <w:rPr>
          <w:sz w:val="36"/>
          <w:szCs w:val="36"/>
          <w:rtl/>
        </w:rPr>
        <w:t>تمامي</w:t>
      </w:r>
      <w:r w:rsidR="00EC7EDF" w:rsidRPr="00FD211F">
        <w:rPr>
          <w:sz w:val="36"/>
          <w:szCs w:val="36"/>
          <w:rtl/>
        </w:rPr>
        <w:t>ة</w:t>
      </w:r>
      <w:r w:rsidR="00E8128F">
        <w:rPr>
          <w:sz w:val="36"/>
          <w:szCs w:val="36"/>
          <w:rtl/>
        </w:rPr>
        <w:t xml:space="preserve"> </w:t>
      </w:r>
      <w:r w:rsidR="00C54BEB" w:rsidRPr="00FD211F">
        <w:rPr>
          <w:sz w:val="36"/>
          <w:szCs w:val="36"/>
          <w:rtl/>
        </w:rPr>
        <w:t>اركان</w:t>
      </w:r>
      <w:r w:rsidR="00E8128F">
        <w:rPr>
          <w:sz w:val="36"/>
          <w:szCs w:val="36"/>
          <w:rtl/>
        </w:rPr>
        <w:t xml:space="preserve"> </w:t>
      </w:r>
      <w:r w:rsidR="00C54BEB" w:rsidRPr="00FD211F">
        <w:rPr>
          <w:sz w:val="36"/>
          <w:szCs w:val="36"/>
          <w:rtl/>
        </w:rPr>
        <w:t>الاستصحاب</w:t>
      </w:r>
      <w:r w:rsidR="00E8128F">
        <w:rPr>
          <w:sz w:val="36"/>
          <w:szCs w:val="36"/>
          <w:rtl/>
        </w:rPr>
        <w:t xml:space="preserve"> </w:t>
      </w:r>
      <w:r w:rsidR="00C54BEB" w:rsidRPr="00FD211F">
        <w:rPr>
          <w:sz w:val="36"/>
          <w:szCs w:val="36"/>
          <w:rtl/>
        </w:rPr>
        <w:t>في</w:t>
      </w:r>
      <w:r w:rsidR="00E8128F">
        <w:rPr>
          <w:sz w:val="36"/>
          <w:szCs w:val="36"/>
          <w:rtl/>
        </w:rPr>
        <w:t xml:space="preserve"> </w:t>
      </w:r>
      <w:r w:rsidR="00C54BEB" w:rsidRPr="00FD211F">
        <w:rPr>
          <w:sz w:val="36"/>
          <w:szCs w:val="36"/>
          <w:rtl/>
        </w:rPr>
        <w:t>اي</w:t>
      </w:r>
      <w:r w:rsidR="00E8128F">
        <w:rPr>
          <w:sz w:val="36"/>
          <w:szCs w:val="36"/>
          <w:rtl/>
        </w:rPr>
        <w:t xml:space="preserve"> </w:t>
      </w:r>
      <w:r w:rsidR="00C54BEB" w:rsidRPr="00FD211F">
        <w:rPr>
          <w:sz w:val="36"/>
          <w:szCs w:val="36"/>
          <w:rtl/>
        </w:rPr>
        <w:t>من</w:t>
      </w:r>
      <w:r w:rsidR="00E8128F">
        <w:rPr>
          <w:sz w:val="36"/>
          <w:szCs w:val="36"/>
          <w:rtl/>
        </w:rPr>
        <w:t xml:space="preserve"> </w:t>
      </w:r>
      <w:r w:rsidR="00C54BEB" w:rsidRPr="00FD211F">
        <w:rPr>
          <w:sz w:val="36"/>
          <w:szCs w:val="36"/>
          <w:rtl/>
        </w:rPr>
        <w:t>الفردين</w:t>
      </w:r>
      <w:r w:rsidR="00E8128F">
        <w:rPr>
          <w:sz w:val="36"/>
          <w:szCs w:val="36"/>
          <w:rtl/>
        </w:rPr>
        <w:t xml:space="preserve"> </w:t>
      </w:r>
      <w:r w:rsidR="00C54BEB" w:rsidRPr="00FD211F">
        <w:rPr>
          <w:sz w:val="36"/>
          <w:szCs w:val="36"/>
          <w:rtl/>
        </w:rPr>
        <w:t>للشك</w:t>
      </w:r>
      <w:r w:rsidR="00E8128F">
        <w:rPr>
          <w:sz w:val="36"/>
          <w:szCs w:val="36"/>
          <w:rtl/>
        </w:rPr>
        <w:t xml:space="preserve"> </w:t>
      </w:r>
      <w:r w:rsidR="00C54BEB" w:rsidRPr="00FD211F">
        <w:rPr>
          <w:sz w:val="36"/>
          <w:szCs w:val="36"/>
          <w:rtl/>
        </w:rPr>
        <w:t>في</w:t>
      </w:r>
      <w:r w:rsidR="00E8128F">
        <w:rPr>
          <w:sz w:val="36"/>
          <w:szCs w:val="36"/>
          <w:rtl/>
        </w:rPr>
        <w:t xml:space="preserve"> </w:t>
      </w:r>
      <w:r w:rsidR="00C54BEB" w:rsidRPr="00FD211F">
        <w:rPr>
          <w:sz w:val="36"/>
          <w:szCs w:val="36"/>
          <w:rtl/>
        </w:rPr>
        <w:t>حدوث</w:t>
      </w:r>
      <w:r w:rsidR="00E8128F">
        <w:rPr>
          <w:sz w:val="36"/>
          <w:szCs w:val="36"/>
          <w:rtl/>
        </w:rPr>
        <w:t xml:space="preserve"> </w:t>
      </w:r>
      <w:r w:rsidR="00D70D7F" w:rsidRPr="00FD211F">
        <w:rPr>
          <w:sz w:val="36"/>
          <w:szCs w:val="36"/>
          <w:rtl/>
        </w:rPr>
        <w:t>كون</w:t>
      </w:r>
      <w:r w:rsidR="00E8128F">
        <w:rPr>
          <w:sz w:val="36"/>
          <w:szCs w:val="36"/>
          <w:rtl/>
        </w:rPr>
        <w:t xml:space="preserve"> </w:t>
      </w:r>
      <w:r w:rsidR="00D70D7F" w:rsidRPr="00FD211F">
        <w:rPr>
          <w:sz w:val="36"/>
          <w:szCs w:val="36"/>
          <w:rtl/>
        </w:rPr>
        <w:t>زيد</w:t>
      </w:r>
      <w:r w:rsidR="00E8128F">
        <w:rPr>
          <w:sz w:val="36"/>
          <w:szCs w:val="36"/>
          <w:rtl/>
        </w:rPr>
        <w:t xml:space="preserve"> </w:t>
      </w:r>
      <w:r w:rsidR="00C54BEB" w:rsidRPr="00FD211F">
        <w:rPr>
          <w:sz w:val="36"/>
          <w:szCs w:val="36"/>
          <w:rtl/>
        </w:rPr>
        <w:t>في</w:t>
      </w:r>
      <w:r w:rsidR="00E8128F">
        <w:rPr>
          <w:sz w:val="36"/>
          <w:szCs w:val="36"/>
          <w:rtl/>
        </w:rPr>
        <w:t xml:space="preserve"> </w:t>
      </w:r>
      <w:r w:rsidR="00C54BEB" w:rsidRPr="00FD211F">
        <w:rPr>
          <w:sz w:val="36"/>
          <w:szCs w:val="36"/>
          <w:rtl/>
        </w:rPr>
        <w:t>الدار</w:t>
      </w:r>
      <w:r w:rsidR="00E8128F">
        <w:rPr>
          <w:sz w:val="36"/>
          <w:szCs w:val="36"/>
          <w:rtl/>
        </w:rPr>
        <w:t xml:space="preserve"> </w:t>
      </w:r>
      <w:r w:rsidR="00C54BEB" w:rsidRPr="00FD211F">
        <w:rPr>
          <w:sz w:val="36"/>
          <w:szCs w:val="36"/>
          <w:rtl/>
        </w:rPr>
        <w:t>مضافا</w:t>
      </w:r>
      <w:r w:rsidR="00E8128F">
        <w:rPr>
          <w:sz w:val="36"/>
          <w:szCs w:val="36"/>
          <w:rtl/>
        </w:rPr>
        <w:t xml:space="preserve"> </w:t>
      </w:r>
      <w:r w:rsidR="00C54BEB" w:rsidRPr="00FD211F">
        <w:rPr>
          <w:sz w:val="36"/>
          <w:szCs w:val="36"/>
          <w:rtl/>
        </w:rPr>
        <w:t>الى</w:t>
      </w:r>
      <w:r w:rsidR="00E8128F">
        <w:rPr>
          <w:sz w:val="36"/>
          <w:szCs w:val="36"/>
          <w:rtl/>
        </w:rPr>
        <w:t xml:space="preserve"> </w:t>
      </w:r>
      <w:r w:rsidR="00C54BEB" w:rsidRPr="00FD211F">
        <w:rPr>
          <w:sz w:val="36"/>
          <w:szCs w:val="36"/>
          <w:rtl/>
        </w:rPr>
        <w:t>العلم</w:t>
      </w:r>
      <w:r w:rsidR="00E8128F">
        <w:rPr>
          <w:sz w:val="36"/>
          <w:szCs w:val="36"/>
          <w:rtl/>
        </w:rPr>
        <w:t xml:space="preserve"> </w:t>
      </w:r>
      <w:r w:rsidR="00C54BEB" w:rsidRPr="00FD211F">
        <w:rPr>
          <w:sz w:val="36"/>
          <w:szCs w:val="36"/>
          <w:rtl/>
        </w:rPr>
        <w:t>بارتفاعه</w:t>
      </w:r>
      <w:r w:rsidR="00E8128F">
        <w:rPr>
          <w:sz w:val="36"/>
          <w:szCs w:val="36"/>
          <w:rtl/>
        </w:rPr>
        <w:t xml:space="preserve"> </w:t>
      </w:r>
      <w:r w:rsidR="00C54BEB" w:rsidRPr="00FD211F">
        <w:rPr>
          <w:sz w:val="36"/>
          <w:szCs w:val="36"/>
          <w:rtl/>
        </w:rPr>
        <w:t>على</w:t>
      </w:r>
      <w:r w:rsidR="00E8128F">
        <w:rPr>
          <w:sz w:val="36"/>
          <w:szCs w:val="36"/>
          <w:rtl/>
        </w:rPr>
        <w:t xml:space="preserve"> </w:t>
      </w:r>
      <w:r w:rsidR="00C54BEB" w:rsidRPr="00FD211F">
        <w:rPr>
          <w:sz w:val="36"/>
          <w:szCs w:val="36"/>
          <w:rtl/>
        </w:rPr>
        <w:t>تقدير</w:t>
      </w:r>
      <w:r w:rsidR="00E8128F">
        <w:rPr>
          <w:sz w:val="36"/>
          <w:szCs w:val="36"/>
          <w:rtl/>
        </w:rPr>
        <w:t xml:space="preserve"> </w:t>
      </w:r>
      <w:r w:rsidR="00C54BEB" w:rsidRPr="00FD211F">
        <w:rPr>
          <w:sz w:val="36"/>
          <w:szCs w:val="36"/>
          <w:rtl/>
        </w:rPr>
        <w:t>حدوثه</w:t>
      </w:r>
      <w:r w:rsidR="00E8128F">
        <w:rPr>
          <w:sz w:val="36"/>
          <w:szCs w:val="36"/>
          <w:rtl/>
        </w:rPr>
        <w:t xml:space="preserve"> </w:t>
      </w:r>
      <w:r w:rsidR="00C54BEB" w:rsidRPr="00FD211F">
        <w:rPr>
          <w:sz w:val="36"/>
          <w:szCs w:val="36"/>
          <w:rtl/>
        </w:rPr>
        <w:t>والشك</w:t>
      </w:r>
      <w:r w:rsidR="00E8128F">
        <w:rPr>
          <w:sz w:val="36"/>
          <w:szCs w:val="36"/>
          <w:rtl/>
        </w:rPr>
        <w:t xml:space="preserve"> </w:t>
      </w:r>
      <w:r w:rsidR="00C54BEB" w:rsidRPr="00FD211F">
        <w:rPr>
          <w:sz w:val="36"/>
          <w:szCs w:val="36"/>
          <w:rtl/>
        </w:rPr>
        <w:t>في</w:t>
      </w:r>
      <w:r w:rsidR="00E8128F">
        <w:rPr>
          <w:sz w:val="36"/>
          <w:szCs w:val="36"/>
          <w:rtl/>
        </w:rPr>
        <w:t xml:space="preserve"> </w:t>
      </w:r>
      <w:r w:rsidR="00C54BEB" w:rsidRPr="00FD211F">
        <w:rPr>
          <w:sz w:val="36"/>
          <w:szCs w:val="36"/>
          <w:rtl/>
        </w:rPr>
        <w:t>حدوث</w:t>
      </w:r>
      <w:r w:rsidR="00E8128F">
        <w:rPr>
          <w:sz w:val="36"/>
          <w:szCs w:val="36"/>
          <w:rtl/>
        </w:rPr>
        <w:t xml:space="preserve"> </w:t>
      </w:r>
      <w:r w:rsidRPr="00FD211F">
        <w:rPr>
          <w:sz w:val="36"/>
          <w:szCs w:val="36"/>
          <w:rtl/>
        </w:rPr>
        <w:t>كون</w:t>
      </w:r>
      <w:r w:rsidR="00E8128F">
        <w:rPr>
          <w:sz w:val="36"/>
          <w:szCs w:val="36"/>
          <w:rtl/>
        </w:rPr>
        <w:t xml:space="preserve"> </w:t>
      </w:r>
      <w:r w:rsidR="00D70D7F" w:rsidRPr="00FD211F">
        <w:rPr>
          <w:sz w:val="36"/>
          <w:szCs w:val="36"/>
          <w:rtl/>
        </w:rPr>
        <w:t>عمرو</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الدار</w:t>
      </w:r>
      <w:r w:rsidR="00851268" w:rsidRPr="00FD211F">
        <w:rPr>
          <w:sz w:val="36"/>
          <w:szCs w:val="36"/>
          <w:rtl/>
        </w:rPr>
        <w:t>.</w:t>
      </w:r>
    </w:p>
    <w:p w14:paraId="228463A8" w14:textId="77777777" w:rsidR="00C9333C" w:rsidRPr="00FD211F" w:rsidRDefault="007D5B5B" w:rsidP="009C58C8">
      <w:pPr>
        <w:ind w:left="0" w:firstLine="227"/>
        <w:jc w:val="both"/>
        <w:rPr>
          <w:sz w:val="36"/>
          <w:szCs w:val="36"/>
          <w:rtl/>
        </w:rPr>
      </w:pPr>
      <w:r w:rsidRPr="00FD211F">
        <w:rPr>
          <w:sz w:val="36"/>
          <w:szCs w:val="36"/>
          <w:rtl/>
        </w:rPr>
        <w:t>واما</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بقاء</w:t>
      </w:r>
      <w:r w:rsidR="00E8128F">
        <w:rPr>
          <w:sz w:val="36"/>
          <w:szCs w:val="36"/>
          <w:rtl/>
        </w:rPr>
        <w:t xml:space="preserve"> </w:t>
      </w:r>
      <w:r w:rsidRPr="00FD211F">
        <w:rPr>
          <w:sz w:val="36"/>
          <w:szCs w:val="36"/>
          <w:rtl/>
        </w:rPr>
        <w:t>احدهما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الدار</w:t>
      </w:r>
      <w:r w:rsidR="00E8128F">
        <w:rPr>
          <w:sz w:val="36"/>
          <w:szCs w:val="36"/>
          <w:rtl/>
        </w:rPr>
        <w:t xml:space="preserve"> </w:t>
      </w:r>
      <w:r w:rsidR="00C54BEB" w:rsidRPr="00FD211F">
        <w:rPr>
          <w:sz w:val="36"/>
          <w:szCs w:val="36"/>
          <w:rtl/>
        </w:rPr>
        <w:t>لترتيب</w:t>
      </w:r>
      <w:r w:rsidR="00E8128F">
        <w:rPr>
          <w:sz w:val="36"/>
          <w:szCs w:val="36"/>
          <w:rtl/>
        </w:rPr>
        <w:t xml:space="preserve"> </w:t>
      </w:r>
      <w:r w:rsidR="00C54BEB" w:rsidRPr="00FD211F">
        <w:rPr>
          <w:sz w:val="36"/>
          <w:szCs w:val="36"/>
          <w:rtl/>
        </w:rPr>
        <w:t>آثار</w:t>
      </w:r>
      <w:r w:rsidR="00E8128F">
        <w:rPr>
          <w:sz w:val="36"/>
          <w:szCs w:val="36"/>
          <w:rtl/>
        </w:rPr>
        <w:t xml:space="preserve"> </w:t>
      </w:r>
      <w:r w:rsidR="00C54BEB" w:rsidRPr="00FD211F">
        <w:rPr>
          <w:sz w:val="36"/>
          <w:szCs w:val="36"/>
          <w:rtl/>
        </w:rPr>
        <w:t>الفرد</w:t>
      </w:r>
      <w:r w:rsidR="00E8128F">
        <w:rPr>
          <w:sz w:val="36"/>
          <w:szCs w:val="36"/>
          <w:rtl/>
        </w:rPr>
        <w:t xml:space="preserve"> </w:t>
      </w:r>
      <w:r w:rsidRPr="00FD211F">
        <w:rPr>
          <w:sz w:val="36"/>
          <w:szCs w:val="36"/>
          <w:rtl/>
        </w:rPr>
        <w:t>فهو</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تم</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اركان</w:t>
      </w:r>
      <w:r w:rsidR="00E8128F">
        <w:rPr>
          <w:sz w:val="36"/>
          <w:szCs w:val="36"/>
          <w:rtl/>
        </w:rPr>
        <w:t xml:space="preserve"> </w:t>
      </w:r>
      <w:r w:rsidRPr="00FD211F">
        <w:rPr>
          <w:sz w:val="36"/>
          <w:szCs w:val="36"/>
          <w:rtl/>
        </w:rPr>
        <w:t>الاستصحاب</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اليقين</w:t>
      </w:r>
      <w:r w:rsidR="00E8128F">
        <w:rPr>
          <w:sz w:val="36"/>
          <w:szCs w:val="36"/>
          <w:rtl/>
        </w:rPr>
        <w:t xml:space="preserve"> </w:t>
      </w:r>
      <w:r w:rsidRPr="00FD211F">
        <w:rPr>
          <w:sz w:val="36"/>
          <w:szCs w:val="36"/>
          <w:rtl/>
        </w:rPr>
        <w:t>السابق</w:t>
      </w:r>
      <w:r w:rsidR="00E8128F">
        <w:rPr>
          <w:sz w:val="36"/>
          <w:szCs w:val="36"/>
          <w:rtl/>
        </w:rPr>
        <w:t xml:space="preserve"> </w:t>
      </w:r>
      <w:r w:rsidRPr="00FD211F">
        <w:rPr>
          <w:sz w:val="36"/>
          <w:szCs w:val="36"/>
          <w:rtl/>
        </w:rPr>
        <w:t>والشك</w:t>
      </w:r>
      <w:r w:rsidR="00E8128F">
        <w:rPr>
          <w:sz w:val="36"/>
          <w:szCs w:val="36"/>
          <w:rtl/>
        </w:rPr>
        <w:t xml:space="preserve"> </w:t>
      </w:r>
      <w:r w:rsidRPr="00FD211F">
        <w:rPr>
          <w:sz w:val="36"/>
          <w:szCs w:val="36"/>
          <w:rtl/>
        </w:rPr>
        <w:t>اللاحق</w:t>
      </w:r>
      <w:r w:rsidR="00E8128F">
        <w:rPr>
          <w:sz w:val="36"/>
          <w:szCs w:val="36"/>
          <w:rtl/>
        </w:rPr>
        <w:t xml:space="preserve"> </w:t>
      </w:r>
      <w:r w:rsidRPr="00FD211F">
        <w:rPr>
          <w:sz w:val="36"/>
          <w:szCs w:val="36"/>
          <w:rtl/>
        </w:rPr>
        <w:t>لكن</w:t>
      </w:r>
      <w:r w:rsidR="00E8128F">
        <w:rPr>
          <w:sz w:val="36"/>
          <w:szCs w:val="36"/>
          <w:rtl/>
        </w:rPr>
        <w:t xml:space="preserve"> </w:t>
      </w:r>
      <w:r w:rsidR="00D70D7F" w:rsidRPr="00FD211F">
        <w:rPr>
          <w:sz w:val="36"/>
          <w:szCs w:val="36"/>
          <w:rtl/>
        </w:rPr>
        <w:t>المفروض</w:t>
      </w:r>
      <w:r w:rsidR="00E8128F">
        <w:rPr>
          <w:sz w:val="36"/>
          <w:szCs w:val="36"/>
          <w:rtl/>
        </w:rPr>
        <w:t xml:space="preserve"> </w:t>
      </w:r>
      <w:r w:rsidR="00D70D7F" w:rsidRPr="00FD211F">
        <w:rPr>
          <w:sz w:val="36"/>
          <w:szCs w:val="36"/>
          <w:rtl/>
        </w:rPr>
        <w:t>انه</w:t>
      </w:r>
      <w:r w:rsidR="00E8128F">
        <w:rPr>
          <w:sz w:val="36"/>
          <w:szCs w:val="36"/>
          <w:rtl/>
        </w:rPr>
        <w:t xml:space="preserve"> </w:t>
      </w:r>
      <w:r w:rsidR="00D70D7F" w:rsidRPr="00FD211F">
        <w:rPr>
          <w:sz w:val="36"/>
          <w:szCs w:val="36"/>
          <w:rtl/>
        </w:rPr>
        <w:t>ليس</w:t>
      </w:r>
      <w:r w:rsidR="00E8128F">
        <w:rPr>
          <w:sz w:val="36"/>
          <w:szCs w:val="36"/>
          <w:rtl/>
        </w:rPr>
        <w:t xml:space="preserve"> </w:t>
      </w:r>
      <w:r w:rsidRPr="00FD211F">
        <w:rPr>
          <w:sz w:val="36"/>
          <w:szCs w:val="36"/>
          <w:rtl/>
        </w:rPr>
        <w:t>بهذا</w:t>
      </w:r>
      <w:r w:rsidR="00E8128F">
        <w:rPr>
          <w:sz w:val="36"/>
          <w:szCs w:val="36"/>
          <w:rtl/>
        </w:rPr>
        <w:t xml:space="preserve"> </w:t>
      </w:r>
      <w:r w:rsidRPr="00FD211F">
        <w:rPr>
          <w:sz w:val="36"/>
          <w:szCs w:val="36"/>
          <w:rtl/>
        </w:rPr>
        <w:t>العنوان</w:t>
      </w:r>
      <w:r w:rsidR="00E8128F">
        <w:rPr>
          <w:sz w:val="36"/>
          <w:szCs w:val="36"/>
          <w:rtl/>
        </w:rPr>
        <w:t xml:space="preserve"> </w:t>
      </w:r>
      <w:r w:rsidRPr="00FD211F">
        <w:rPr>
          <w:sz w:val="36"/>
          <w:szCs w:val="36"/>
          <w:rtl/>
        </w:rPr>
        <w:t>موضوعا</w:t>
      </w:r>
      <w:r w:rsidR="00E8128F">
        <w:rPr>
          <w:sz w:val="36"/>
          <w:szCs w:val="36"/>
          <w:rtl/>
        </w:rPr>
        <w:t xml:space="preserve"> </w:t>
      </w:r>
      <w:r w:rsidRPr="00FD211F">
        <w:rPr>
          <w:sz w:val="36"/>
          <w:szCs w:val="36"/>
          <w:rtl/>
        </w:rPr>
        <w:t>للأثر</w:t>
      </w:r>
      <w:r w:rsidR="00603323" w:rsidRPr="00FD211F">
        <w:rPr>
          <w:sz w:val="36"/>
          <w:szCs w:val="36"/>
          <w:rtl/>
        </w:rPr>
        <w:t>،</w:t>
      </w:r>
      <w:r w:rsidR="00E8128F">
        <w:rPr>
          <w:sz w:val="36"/>
          <w:szCs w:val="36"/>
          <w:rtl/>
        </w:rPr>
        <w:t xml:space="preserve"> </w:t>
      </w:r>
      <w:r w:rsidR="00D70D7F" w:rsidRPr="00FD211F">
        <w:rPr>
          <w:sz w:val="36"/>
          <w:szCs w:val="36"/>
          <w:rtl/>
        </w:rPr>
        <w:t>-والا</w:t>
      </w:r>
      <w:r w:rsidR="00E8128F">
        <w:rPr>
          <w:sz w:val="36"/>
          <w:szCs w:val="36"/>
          <w:rtl/>
        </w:rPr>
        <w:t xml:space="preserve"> </w:t>
      </w:r>
      <w:r w:rsidR="00D70D7F" w:rsidRPr="00FD211F">
        <w:rPr>
          <w:sz w:val="36"/>
          <w:szCs w:val="36"/>
          <w:rtl/>
        </w:rPr>
        <w:t>جرى</w:t>
      </w:r>
      <w:r w:rsidR="00E8128F">
        <w:rPr>
          <w:sz w:val="36"/>
          <w:szCs w:val="36"/>
          <w:rtl/>
        </w:rPr>
        <w:t xml:space="preserve"> </w:t>
      </w:r>
      <w:r w:rsidR="00D70D7F" w:rsidRPr="00FD211F">
        <w:rPr>
          <w:sz w:val="36"/>
          <w:szCs w:val="36"/>
          <w:rtl/>
        </w:rPr>
        <w:t>استصحابه</w:t>
      </w:r>
      <w:r w:rsidR="00E8128F">
        <w:rPr>
          <w:sz w:val="36"/>
          <w:szCs w:val="36"/>
          <w:rtl/>
        </w:rPr>
        <w:t xml:space="preserve"> </w:t>
      </w:r>
      <w:r w:rsidR="00D70D7F" w:rsidRPr="00FD211F">
        <w:rPr>
          <w:sz w:val="36"/>
          <w:szCs w:val="36"/>
          <w:rtl/>
        </w:rPr>
        <w:t>من</w:t>
      </w:r>
      <w:r w:rsidR="00E8128F">
        <w:rPr>
          <w:sz w:val="36"/>
          <w:szCs w:val="36"/>
          <w:rtl/>
        </w:rPr>
        <w:t xml:space="preserve"> </w:t>
      </w:r>
      <w:r w:rsidR="00D70D7F" w:rsidRPr="00FD211F">
        <w:rPr>
          <w:sz w:val="36"/>
          <w:szCs w:val="36"/>
          <w:rtl/>
        </w:rPr>
        <w:t>باب</w:t>
      </w:r>
      <w:r w:rsidR="00E8128F">
        <w:rPr>
          <w:sz w:val="36"/>
          <w:szCs w:val="36"/>
          <w:rtl/>
        </w:rPr>
        <w:t xml:space="preserve"> </w:t>
      </w:r>
      <w:r w:rsidR="00D70D7F" w:rsidRPr="00FD211F">
        <w:rPr>
          <w:sz w:val="36"/>
          <w:szCs w:val="36"/>
          <w:rtl/>
        </w:rPr>
        <w:t>استصحاب</w:t>
      </w:r>
      <w:r w:rsidR="00E8128F">
        <w:rPr>
          <w:sz w:val="36"/>
          <w:szCs w:val="36"/>
          <w:rtl/>
        </w:rPr>
        <w:t xml:space="preserve"> </w:t>
      </w:r>
      <w:r w:rsidR="00D70D7F" w:rsidRPr="00FD211F">
        <w:rPr>
          <w:sz w:val="36"/>
          <w:szCs w:val="36"/>
          <w:rtl/>
        </w:rPr>
        <w:t>القسم</w:t>
      </w:r>
      <w:r w:rsidR="00E8128F">
        <w:rPr>
          <w:sz w:val="36"/>
          <w:szCs w:val="36"/>
          <w:rtl/>
        </w:rPr>
        <w:t xml:space="preserve"> </w:t>
      </w:r>
      <w:r w:rsidR="00D70D7F" w:rsidRPr="00FD211F">
        <w:rPr>
          <w:sz w:val="36"/>
          <w:szCs w:val="36"/>
          <w:rtl/>
        </w:rPr>
        <w:t>الثاني</w:t>
      </w:r>
      <w:r w:rsidR="00E8128F">
        <w:rPr>
          <w:sz w:val="36"/>
          <w:szCs w:val="36"/>
          <w:rtl/>
        </w:rPr>
        <w:t xml:space="preserve"> </w:t>
      </w:r>
      <w:r w:rsidR="00D70D7F" w:rsidRPr="00FD211F">
        <w:rPr>
          <w:sz w:val="36"/>
          <w:szCs w:val="36"/>
          <w:rtl/>
        </w:rPr>
        <w:t>من</w:t>
      </w:r>
      <w:r w:rsidR="00E8128F">
        <w:rPr>
          <w:sz w:val="36"/>
          <w:szCs w:val="36"/>
          <w:rtl/>
        </w:rPr>
        <w:t xml:space="preserve"> </w:t>
      </w:r>
      <w:r w:rsidR="00D70D7F" w:rsidRPr="00FD211F">
        <w:rPr>
          <w:sz w:val="36"/>
          <w:szCs w:val="36"/>
          <w:rtl/>
        </w:rPr>
        <w:t>الكلي-</w:t>
      </w:r>
      <w:r w:rsidR="00E8128F">
        <w:rPr>
          <w:sz w:val="36"/>
          <w:szCs w:val="36"/>
          <w:rtl/>
        </w:rPr>
        <w:t xml:space="preserve"> </w:t>
      </w:r>
      <w:r w:rsidRPr="00FD211F">
        <w:rPr>
          <w:sz w:val="36"/>
          <w:szCs w:val="36"/>
          <w:rtl/>
        </w:rPr>
        <w:t>ويلزم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الاستصحاب</w:t>
      </w:r>
      <w:r w:rsidR="00E8128F">
        <w:rPr>
          <w:sz w:val="36"/>
          <w:szCs w:val="36"/>
          <w:rtl/>
        </w:rPr>
        <w:t xml:space="preserve"> </w:t>
      </w:r>
      <w:r w:rsidRPr="00FD211F">
        <w:rPr>
          <w:sz w:val="36"/>
          <w:szCs w:val="36"/>
          <w:rtl/>
        </w:rPr>
        <w:t>الموضوعي</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يجري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عنوان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بنفسه</w:t>
      </w:r>
      <w:r w:rsidR="00E8128F">
        <w:rPr>
          <w:sz w:val="36"/>
          <w:szCs w:val="36"/>
          <w:rtl/>
        </w:rPr>
        <w:t xml:space="preserve"> </w:t>
      </w:r>
      <w:r w:rsidRPr="00FD211F">
        <w:rPr>
          <w:sz w:val="36"/>
          <w:szCs w:val="36"/>
          <w:rtl/>
        </w:rPr>
        <w:t>موضوعا</w:t>
      </w:r>
      <w:r w:rsidR="00E8128F">
        <w:rPr>
          <w:sz w:val="36"/>
          <w:szCs w:val="36"/>
          <w:rtl/>
        </w:rPr>
        <w:t xml:space="preserve"> </w:t>
      </w:r>
      <w:r w:rsidRPr="00FD211F">
        <w:rPr>
          <w:sz w:val="36"/>
          <w:szCs w:val="36"/>
          <w:rtl/>
        </w:rPr>
        <w:t>للأثر</w:t>
      </w:r>
      <w:r w:rsidR="00E8128F">
        <w:rPr>
          <w:sz w:val="36"/>
          <w:szCs w:val="36"/>
          <w:rtl/>
        </w:rPr>
        <w:t xml:space="preserve"> </w:t>
      </w:r>
      <w:r w:rsidRPr="00FD211F">
        <w:rPr>
          <w:sz w:val="36"/>
          <w:szCs w:val="36"/>
          <w:rtl/>
        </w:rPr>
        <w:t>والا</w:t>
      </w:r>
      <w:r w:rsidR="00E8128F">
        <w:rPr>
          <w:sz w:val="36"/>
          <w:szCs w:val="36"/>
          <w:rtl/>
        </w:rPr>
        <w:t xml:space="preserve"> </w:t>
      </w:r>
      <w:r w:rsidRPr="00FD211F">
        <w:rPr>
          <w:sz w:val="36"/>
          <w:szCs w:val="36"/>
          <w:rtl/>
        </w:rPr>
        <w:t>لكان</w:t>
      </w:r>
      <w:r w:rsidR="00E8128F">
        <w:rPr>
          <w:sz w:val="36"/>
          <w:szCs w:val="36"/>
          <w:rtl/>
        </w:rPr>
        <w:t xml:space="preserve"> </w:t>
      </w:r>
      <w:r w:rsidRPr="00FD211F">
        <w:rPr>
          <w:sz w:val="36"/>
          <w:szCs w:val="36"/>
          <w:rtl/>
        </w:rPr>
        <w:t>اصلا</w:t>
      </w:r>
      <w:r w:rsidR="00E8128F">
        <w:rPr>
          <w:sz w:val="36"/>
          <w:szCs w:val="36"/>
          <w:rtl/>
        </w:rPr>
        <w:t xml:space="preserve"> </w:t>
      </w:r>
      <w:r w:rsidRPr="00FD211F">
        <w:rPr>
          <w:sz w:val="36"/>
          <w:szCs w:val="36"/>
          <w:rtl/>
        </w:rPr>
        <w:t>مثبتا</w:t>
      </w:r>
      <w:r w:rsidR="00603323" w:rsidRPr="00FD211F">
        <w:rPr>
          <w:sz w:val="36"/>
          <w:szCs w:val="36"/>
          <w:rtl/>
        </w:rPr>
        <w:t>،</w:t>
      </w:r>
      <w:r w:rsidR="00E8128F">
        <w:rPr>
          <w:sz w:val="36"/>
          <w:szCs w:val="36"/>
          <w:rtl/>
        </w:rPr>
        <w:t xml:space="preserve"> </w:t>
      </w:r>
      <w:r w:rsidR="00D70D7F" w:rsidRPr="00FD211F">
        <w:rPr>
          <w:sz w:val="36"/>
          <w:szCs w:val="36"/>
          <w:rtl/>
        </w:rPr>
        <w:t>وهذا</w:t>
      </w:r>
      <w:r w:rsidR="00E8128F">
        <w:rPr>
          <w:sz w:val="36"/>
          <w:szCs w:val="36"/>
          <w:rtl/>
        </w:rPr>
        <w:t xml:space="preserve"> </w:t>
      </w:r>
      <w:r w:rsidR="00D70D7F" w:rsidRPr="00FD211F">
        <w:rPr>
          <w:sz w:val="36"/>
          <w:szCs w:val="36"/>
          <w:rtl/>
        </w:rPr>
        <w:t>هو</w:t>
      </w:r>
      <w:r w:rsidR="00E8128F">
        <w:rPr>
          <w:sz w:val="36"/>
          <w:szCs w:val="36"/>
          <w:rtl/>
        </w:rPr>
        <w:t xml:space="preserve"> </w:t>
      </w:r>
      <w:r w:rsidR="00D70D7F" w:rsidRPr="00FD211F">
        <w:rPr>
          <w:sz w:val="36"/>
          <w:szCs w:val="36"/>
          <w:rtl/>
        </w:rPr>
        <w:t>الذي</w:t>
      </w:r>
      <w:r w:rsidR="00E8128F">
        <w:rPr>
          <w:sz w:val="36"/>
          <w:szCs w:val="36"/>
          <w:rtl/>
        </w:rPr>
        <w:t xml:space="preserve"> </w:t>
      </w:r>
      <w:r w:rsidR="00D70D7F" w:rsidRPr="00FD211F">
        <w:rPr>
          <w:sz w:val="36"/>
          <w:szCs w:val="36"/>
          <w:rtl/>
        </w:rPr>
        <w:t>يسمى</w:t>
      </w:r>
      <w:r w:rsidR="00E8128F">
        <w:rPr>
          <w:sz w:val="36"/>
          <w:szCs w:val="36"/>
          <w:rtl/>
        </w:rPr>
        <w:t xml:space="preserve"> </w:t>
      </w:r>
      <w:r w:rsidR="00D70D7F" w:rsidRPr="00FD211F">
        <w:rPr>
          <w:sz w:val="36"/>
          <w:szCs w:val="36"/>
          <w:rtl/>
        </w:rPr>
        <w:t>بالاستصحاب</w:t>
      </w:r>
      <w:r w:rsidR="00E8128F">
        <w:rPr>
          <w:sz w:val="36"/>
          <w:szCs w:val="36"/>
          <w:rtl/>
        </w:rPr>
        <w:t xml:space="preserve"> </w:t>
      </w:r>
      <w:r w:rsidR="00D70D7F" w:rsidRPr="00FD211F">
        <w:rPr>
          <w:sz w:val="36"/>
          <w:szCs w:val="36"/>
          <w:rtl/>
        </w:rPr>
        <w:t>في</w:t>
      </w:r>
      <w:r w:rsidR="00E8128F">
        <w:rPr>
          <w:sz w:val="36"/>
          <w:szCs w:val="36"/>
          <w:rtl/>
        </w:rPr>
        <w:t xml:space="preserve"> </w:t>
      </w:r>
      <w:r w:rsidR="00D70D7F" w:rsidRPr="00FD211F">
        <w:rPr>
          <w:sz w:val="36"/>
          <w:szCs w:val="36"/>
          <w:rtl/>
        </w:rPr>
        <w:t>الفرد</w:t>
      </w:r>
      <w:r w:rsidR="00E8128F">
        <w:rPr>
          <w:sz w:val="36"/>
          <w:szCs w:val="36"/>
          <w:rtl/>
        </w:rPr>
        <w:t xml:space="preserve"> </w:t>
      </w:r>
      <w:r w:rsidR="00D70D7F" w:rsidRPr="00FD211F">
        <w:rPr>
          <w:sz w:val="36"/>
          <w:szCs w:val="36"/>
          <w:rtl/>
        </w:rPr>
        <w:t>المردد</w:t>
      </w:r>
      <w:r w:rsidR="00603323" w:rsidRPr="00FD211F">
        <w:rPr>
          <w:sz w:val="36"/>
          <w:szCs w:val="36"/>
          <w:rtl/>
        </w:rPr>
        <w:t>،</w:t>
      </w:r>
      <w:r w:rsidR="00E8128F">
        <w:rPr>
          <w:sz w:val="36"/>
          <w:szCs w:val="36"/>
          <w:rtl/>
        </w:rPr>
        <w:t xml:space="preserve"> </w:t>
      </w:r>
      <w:r w:rsidR="00D70D7F" w:rsidRPr="00FD211F">
        <w:rPr>
          <w:sz w:val="36"/>
          <w:szCs w:val="36"/>
          <w:rtl/>
        </w:rPr>
        <w:t>وقد</w:t>
      </w:r>
      <w:r w:rsidR="00E8128F">
        <w:rPr>
          <w:sz w:val="36"/>
          <w:szCs w:val="36"/>
          <w:rtl/>
        </w:rPr>
        <w:t xml:space="preserve"> </w:t>
      </w:r>
      <w:r w:rsidR="007A3B4C" w:rsidRPr="00FD211F">
        <w:rPr>
          <w:sz w:val="36"/>
          <w:szCs w:val="36"/>
          <w:rtl/>
        </w:rPr>
        <w:t>ذكرفي</w:t>
      </w:r>
      <w:r w:rsidR="00E8128F">
        <w:rPr>
          <w:sz w:val="36"/>
          <w:szCs w:val="36"/>
          <w:rtl/>
        </w:rPr>
        <w:t xml:space="preserve"> </w:t>
      </w:r>
      <w:r w:rsidR="007A3B4C" w:rsidRPr="00FD211F">
        <w:rPr>
          <w:sz w:val="36"/>
          <w:szCs w:val="36"/>
          <w:rtl/>
        </w:rPr>
        <w:t>البحوث</w:t>
      </w:r>
      <w:r w:rsidR="00E8128F">
        <w:rPr>
          <w:sz w:val="36"/>
          <w:szCs w:val="36"/>
          <w:rtl/>
        </w:rPr>
        <w:t xml:space="preserve"> </w:t>
      </w:r>
      <w:r w:rsidR="007A3B4C" w:rsidRPr="00FD211F">
        <w:rPr>
          <w:sz w:val="36"/>
          <w:szCs w:val="36"/>
          <w:rtl/>
        </w:rPr>
        <w:t>نظير</w:t>
      </w:r>
      <w:r w:rsidR="00E8128F">
        <w:rPr>
          <w:sz w:val="36"/>
          <w:szCs w:val="36"/>
          <w:rtl/>
        </w:rPr>
        <w:t xml:space="preserve"> </w:t>
      </w:r>
      <w:r w:rsidR="007A3B4C" w:rsidRPr="00FD211F">
        <w:rPr>
          <w:sz w:val="36"/>
          <w:szCs w:val="36"/>
          <w:rtl/>
        </w:rPr>
        <w:t>هذاالوجه</w:t>
      </w:r>
      <w:r w:rsidR="00EC7EDF" w:rsidRPr="00FD211F">
        <w:rPr>
          <w:sz w:val="36"/>
          <w:szCs w:val="36"/>
          <w:rtl/>
        </w:rPr>
        <w:t>.</w:t>
      </w:r>
    </w:p>
    <w:p w14:paraId="4BEFEF1C" w14:textId="77777777" w:rsidR="00BB4696" w:rsidRPr="00FD211F" w:rsidRDefault="00C54BEB" w:rsidP="009C58C8">
      <w:pPr>
        <w:ind w:left="0" w:firstLine="227"/>
        <w:jc w:val="both"/>
        <w:rPr>
          <w:sz w:val="36"/>
          <w:szCs w:val="36"/>
          <w:rtl/>
        </w:rPr>
      </w:pPr>
      <w:r w:rsidRPr="00FD211F">
        <w:rPr>
          <w:sz w:val="36"/>
          <w:szCs w:val="36"/>
          <w:rtl/>
        </w:rPr>
        <w:t>وفيه</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لامانع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جريان</w:t>
      </w:r>
      <w:r w:rsidR="00E8128F">
        <w:rPr>
          <w:sz w:val="36"/>
          <w:szCs w:val="36"/>
          <w:rtl/>
        </w:rPr>
        <w:t xml:space="preserve"> </w:t>
      </w:r>
      <w:r w:rsidRPr="00FD211F">
        <w:rPr>
          <w:sz w:val="36"/>
          <w:szCs w:val="36"/>
          <w:rtl/>
        </w:rPr>
        <w:t>الاستصحاب</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الفرد</w:t>
      </w:r>
      <w:r w:rsidR="00E8128F">
        <w:rPr>
          <w:sz w:val="36"/>
          <w:szCs w:val="36"/>
          <w:rtl/>
        </w:rPr>
        <w:t xml:space="preserve"> </w:t>
      </w:r>
      <w:r w:rsidRPr="00FD211F">
        <w:rPr>
          <w:sz w:val="36"/>
          <w:szCs w:val="36"/>
          <w:rtl/>
        </w:rPr>
        <w:t>المردد</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الفرد</w:t>
      </w:r>
      <w:r w:rsidR="00E8128F">
        <w:rPr>
          <w:sz w:val="36"/>
          <w:szCs w:val="36"/>
          <w:rtl/>
        </w:rPr>
        <w:t xml:space="preserve"> </w:t>
      </w:r>
      <w:r w:rsidRPr="00FD211F">
        <w:rPr>
          <w:sz w:val="36"/>
          <w:szCs w:val="36"/>
          <w:rtl/>
        </w:rPr>
        <w:t>وان</w:t>
      </w:r>
      <w:r w:rsidR="00E8128F">
        <w:rPr>
          <w:sz w:val="36"/>
          <w:szCs w:val="36"/>
          <w:rtl/>
        </w:rPr>
        <w:t xml:space="preserve"> </w:t>
      </w:r>
      <w:r w:rsidR="008D7B3D" w:rsidRPr="00FD211F">
        <w:rPr>
          <w:sz w:val="36"/>
          <w:szCs w:val="36"/>
          <w:rtl/>
        </w:rPr>
        <w:t>لم‌</w:t>
      </w:r>
      <w:r w:rsidRPr="00FD211F">
        <w:rPr>
          <w:sz w:val="36"/>
          <w:szCs w:val="36"/>
          <w:rtl/>
        </w:rPr>
        <w:t>يتم</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اركان</w:t>
      </w:r>
      <w:r w:rsidR="00E8128F">
        <w:rPr>
          <w:sz w:val="36"/>
          <w:szCs w:val="36"/>
          <w:rtl/>
        </w:rPr>
        <w:t xml:space="preserve"> </w:t>
      </w:r>
      <w:r w:rsidRPr="00FD211F">
        <w:rPr>
          <w:sz w:val="36"/>
          <w:szCs w:val="36"/>
          <w:rtl/>
        </w:rPr>
        <w:t>الاستصحاب</w:t>
      </w:r>
      <w:r w:rsidR="00E8128F">
        <w:rPr>
          <w:sz w:val="36"/>
          <w:szCs w:val="36"/>
          <w:rtl/>
        </w:rPr>
        <w:t xml:space="preserve"> </w:t>
      </w:r>
      <w:r w:rsidRPr="00FD211F">
        <w:rPr>
          <w:sz w:val="36"/>
          <w:szCs w:val="36"/>
          <w:rtl/>
        </w:rPr>
        <w:t>بعنوانه</w:t>
      </w:r>
      <w:r w:rsidR="00E8128F">
        <w:rPr>
          <w:sz w:val="36"/>
          <w:szCs w:val="36"/>
          <w:rtl/>
        </w:rPr>
        <w:t xml:space="preserve"> </w:t>
      </w:r>
      <w:r w:rsidRPr="00FD211F">
        <w:rPr>
          <w:sz w:val="36"/>
          <w:szCs w:val="36"/>
          <w:rtl/>
        </w:rPr>
        <w:t>التفصيلي</w:t>
      </w:r>
      <w:r w:rsidR="00E8128F">
        <w:rPr>
          <w:sz w:val="36"/>
          <w:szCs w:val="36"/>
          <w:rtl/>
        </w:rPr>
        <w:t xml:space="preserve"> </w:t>
      </w:r>
      <w:r w:rsidRPr="00FD211F">
        <w:rPr>
          <w:sz w:val="36"/>
          <w:szCs w:val="36"/>
          <w:rtl/>
        </w:rPr>
        <w:t>لكن</w:t>
      </w:r>
      <w:r w:rsidR="00E8128F">
        <w:rPr>
          <w:sz w:val="36"/>
          <w:szCs w:val="36"/>
          <w:rtl/>
        </w:rPr>
        <w:t xml:space="preserve"> </w:t>
      </w:r>
      <w:r w:rsidRPr="00FD211F">
        <w:rPr>
          <w:sz w:val="36"/>
          <w:szCs w:val="36"/>
          <w:rtl/>
        </w:rPr>
        <w:t>تم</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اركانه</w:t>
      </w:r>
      <w:r w:rsidR="00E8128F">
        <w:rPr>
          <w:sz w:val="36"/>
          <w:szCs w:val="36"/>
          <w:rtl/>
        </w:rPr>
        <w:t xml:space="preserve"> </w:t>
      </w:r>
      <w:r w:rsidR="00995EC3" w:rsidRPr="00FD211F">
        <w:rPr>
          <w:sz w:val="36"/>
          <w:szCs w:val="36"/>
          <w:rtl/>
        </w:rPr>
        <w:t>من</w:t>
      </w:r>
      <w:r w:rsidR="00E8128F">
        <w:rPr>
          <w:sz w:val="36"/>
          <w:szCs w:val="36"/>
          <w:rtl/>
        </w:rPr>
        <w:t xml:space="preserve"> </w:t>
      </w:r>
      <w:r w:rsidR="00995EC3" w:rsidRPr="00FD211F">
        <w:rPr>
          <w:sz w:val="36"/>
          <w:szCs w:val="36"/>
          <w:rtl/>
        </w:rPr>
        <w:t>خلال</w:t>
      </w:r>
      <w:r w:rsidR="00E8128F">
        <w:rPr>
          <w:sz w:val="36"/>
          <w:szCs w:val="36"/>
          <w:rtl/>
        </w:rPr>
        <w:t xml:space="preserve"> </w:t>
      </w:r>
      <w:r w:rsidR="00995EC3" w:rsidRPr="00FD211F">
        <w:rPr>
          <w:sz w:val="36"/>
          <w:szCs w:val="36"/>
          <w:rtl/>
        </w:rPr>
        <w:t>رؤيته</w:t>
      </w:r>
      <w:r w:rsidR="00E8128F">
        <w:rPr>
          <w:sz w:val="36"/>
          <w:szCs w:val="36"/>
          <w:rtl/>
        </w:rPr>
        <w:t xml:space="preserve"> </w:t>
      </w:r>
      <w:r w:rsidR="00995EC3" w:rsidRPr="00FD211F">
        <w:rPr>
          <w:sz w:val="36"/>
          <w:szCs w:val="36"/>
          <w:rtl/>
        </w:rPr>
        <w:t>من</w:t>
      </w:r>
      <w:r w:rsidR="00E8128F">
        <w:rPr>
          <w:sz w:val="36"/>
          <w:szCs w:val="36"/>
          <w:rtl/>
        </w:rPr>
        <w:t xml:space="preserve"> </w:t>
      </w:r>
      <w:r w:rsidR="00995EC3" w:rsidRPr="00FD211F">
        <w:rPr>
          <w:sz w:val="36"/>
          <w:szCs w:val="36"/>
          <w:rtl/>
        </w:rPr>
        <w:t>عنوان</w:t>
      </w:r>
      <w:r w:rsidR="00E8128F">
        <w:rPr>
          <w:sz w:val="36"/>
          <w:szCs w:val="36"/>
          <w:rtl/>
        </w:rPr>
        <w:t xml:space="preserve"> </w:t>
      </w:r>
      <w:r w:rsidR="00995EC3" w:rsidRPr="00FD211F">
        <w:rPr>
          <w:sz w:val="36"/>
          <w:szCs w:val="36"/>
          <w:rtl/>
        </w:rPr>
        <w:t>اجمالي</w:t>
      </w:r>
      <w:r w:rsidR="00E8128F">
        <w:rPr>
          <w:sz w:val="36"/>
          <w:szCs w:val="36"/>
          <w:rtl/>
        </w:rPr>
        <w:t xml:space="preserve"> </w:t>
      </w:r>
      <w:r w:rsidR="00995EC3" w:rsidRPr="00FD211F">
        <w:rPr>
          <w:sz w:val="36"/>
          <w:szCs w:val="36"/>
          <w:rtl/>
        </w:rPr>
        <w:t>وهو</w:t>
      </w:r>
      <w:r w:rsidR="00E8128F">
        <w:rPr>
          <w:sz w:val="36"/>
          <w:szCs w:val="36"/>
          <w:rtl/>
        </w:rPr>
        <w:t xml:space="preserve"> </w:t>
      </w:r>
      <w:r w:rsidR="00995EC3" w:rsidRPr="00FD211F">
        <w:rPr>
          <w:sz w:val="36"/>
          <w:szCs w:val="36"/>
          <w:rtl/>
        </w:rPr>
        <w:t>عنوان</w:t>
      </w:r>
      <w:r w:rsidR="00E8128F">
        <w:rPr>
          <w:sz w:val="36"/>
          <w:szCs w:val="36"/>
          <w:rtl/>
        </w:rPr>
        <w:t xml:space="preserve"> </w:t>
      </w:r>
      <w:r w:rsidR="00995EC3" w:rsidRPr="00FD211F">
        <w:rPr>
          <w:sz w:val="36"/>
          <w:szCs w:val="36"/>
          <w:rtl/>
        </w:rPr>
        <w:t>احدهما</w:t>
      </w:r>
      <w:r w:rsidR="00603323" w:rsidRPr="00FD211F">
        <w:rPr>
          <w:sz w:val="36"/>
          <w:szCs w:val="36"/>
          <w:rtl/>
        </w:rPr>
        <w:t>،</w:t>
      </w:r>
      <w:r w:rsidR="00E8128F">
        <w:rPr>
          <w:sz w:val="36"/>
          <w:szCs w:val="36"/>
          <w:rtl/>
        </w:rPr>
        <w:t xml:space="preserve"> </w:t>
      </w:r>
      <w:r w:rsidR="00995EC3" w:rsidRPr="00FD211F">
        <w:rPr>
          <w:sz w:val="36"/>
          <w:szCs w:val="36"/>
          <w:rtl/>
        </w:rPr>
        <w:t>فيقال</w:t>
      </w:r>
      <w:r w:rsidR="00E8128F">
        <w:rPr>
          <w:sz w:val="36"/>
          <w:szCs w:val="36"/>
          <w:rtl/>
        </w:rPr>
        <w:t xml:space="preserve"> </w:t>
      </w:r>
      <w:r w:rsidR="00995EC3" w:rsidRPr="00FD211F">
        <w:rPr>
          <w:sz w:val="36"/>
          <w:szCs w:val="36"/>
          <w:rtl/>
        </w:rPr>
        <w:t>ذاك</w:t>
      </w:r>
      <w:r w:rsidR="00E8128F">
        <w:rPr>
          <w:sz w:val="36"/>
          <w:szCs w:val="36"/>
          <w:rtl/>
        </w:rPr>
        <w:t xml:space="preserve"> </w:t>
      </w:r>
      <w:r w:rsidR="00995EC3" w:rsidRPr="00FD211F">
        <w:rPr>
          <w:sz w:val="36"/>
          <w:szCs w:val="36"/>
          <w:rtl/>
        </w:rPr>
        <w:t>الذي</w:t>
      </w:r>
      <w:r w:rsidR="00E8128F">
        <w:rPr>
          <w:sz w:val="36"/>
          <w:szCs w:val="36"/>
          <w:rtl/>
        </w:rPr>
        <w:t xml:space="preserve"> </w:t>
      </w:r>
      <w:r w:rsidR="00995EC3" w:rsidRPr="00FD211F">
        <w:rPr>
          <w:sz w:val="36"/>
          <w:szCs w:val="36"/>
          <w:rtl/>
        </w:rPr>
        <w:t>كان</w:t>
      </w:r>
      <w:r w:rsidR="00E8128F">
        <w:rPr>
          <w:sz w:val="36"/>
          <w:szCs w:val="36"/>
          <w:rtl/>
        </w:rPr>
        <w:t xml:space="preserve"> </w:t>
      </w:r>
      <w:r w:rsidR="00995EC3" w:rsidRPr="00FD211F">
        <w:rPr>
          <w:sz w:val="36"/>
          <w:szCs w:val="36"/>
          <w:rtl/>
        </w:rPr>
        <w:t>في</w:t>
      </w:r>
      <w:r w:rsidR="00E8128F">
        <w:rPr>
          <w:sz w:val="36"/>
          <w:szCs w:val="36"/>
          <w:rtl/>
        </w:rPr>
        <w:t xml:space="preserve"> </w:t>
      </w:r>
      <w:r w:rsidR="00995EC3" w:rsidRPr="00FD211F">
        <w:rPr>
          <w:sz w:val="36"/>
          <w:szCs w:val="36"/>
          <w:rtl/>
        </w:rPr>
        <w:t>الدار</w:t>
      </w:r>
      <w:r w:rsidR="00E8128F">
        <w:rPr>
          <w:sz w:val="36"/>
          <w:szCs w:val="36"/>
          <w:rtl/>
        </w:rPr>
        <w:t xml:space="preserve"> </w:t>
      </w:r>
      <w:r w:rsidR="00995EC3" w:rsidRPr="00FD211F">
        <w:rPr>
          <w:sz w:val="36"/>
          <w:szCs w:val="36"/>
          <w:rtl/>
        </w:rPr>
        <w:t>يوم</w:t>
      </w:r>
      <w:r w:rsidR="00E8128F">
        <w:rPr>
          <w:sz w:val="36"/>
          <w:szCs w:val="36"/>
          <w:rtl/>
        </w:rPr>
        <w:t xml:space="preserve"> </w:t>
      </w:r>
      <w:r w:rsidR="00995EC3" w:rsidRPr="00FD211F">
        <w:rPr>
          <w:sz w:val="36"/>
          <w:szCs w:val="36"/>
          <w:rtl/>
        </w:rPr>
        <w:t>الخميس</w:t>
      </w:r>
      <w:r w:rsidR="00E8128F">
        <w:rPr>
          <w:sz w:val="36"/>
          <w:szCs w:val="36"/>
          <w:rtl/>
        </w:rPr>
        <w:t xml:space="preserve"> </w:t>
      </w:r>
      <w:r w:rsidR="00995EC3" w:rsidRPr="00FD211F">
        <w:rPr>
          <w:sz w:val="36"/>
          <w:szCs w:val="36"/>
          <w:rtl/>
        </w:rPr>
        <w:t>مما</w:t>
      </w:r>
      <w:r w:rsidR="00E8128F">
        <w:rPr>
          <w:sz w:val="36"/>
          <w:szCs w:val="36"/>
          <w:rtl/>
        </w:rPr>
        <w:t xml:space="preserve"> </w:t>
      </w:r>
      <w:r w:rsidR="00995EC3" w:rsidRPr="00FD211F">
        <w:rPr>
          <w:sz w:val="36"/>
          <w:szCs w:val="36"/>
          <w:rtl/>
        </w:rPr>
        <w:t>يعلم</w:t>
      </w:r>
      <w:r w:rsidR="00E8128F">
        <w:rPr>
          <w:sz w:val="36"/>
          <w:szCs w:val="36"/>
          <w:rtl/>
        </w:rPr>
        <w:t xml:space="preserve"> </w:t>
      </w:r>
      <w:r w:rsidR="00995EC3" w:rsidRPr="00FD211F">
        <w:rPr>
          <w:sz w:val="36"/>
          <w:szCs w:val="36"/>
          <w:rtl/>
        </w:rPr>
        <w:t>بحدو</w:t>
      </w:r>
      <w:r w:rsidR="00D70D7F" w:rsidRPr="00FD211F">
        <w:rPr>
          <w:sz w:val="36"/>
          <w:szCs w:val="36"/>
          <w:rtl/>
        </w:rPr>
        <w:t>ثه</w:t>
      </w:r>
      <w:r w:rsidR="00E8128F">
        <w:rPr>
          <w:sz w:val="36"/>
          <w:szCs w:val="36"/>
          <w:rtl/>
        </w:rPr>
        <w:t xml:space="preserve"> </w:t>
      </w:r>
      <w:r w:rsidR="00D70D7F" w:rsidRPr="00FD211F">
        <w:rPr>
          <w:sz w:val="36"/>
          <w:szCs w:val="36"/>
          <w:rtl/>
        </w:rPr>
        <w:t>ويشك</w:t>
      </w:r>
      <w:r w:rsidR="00E8128F">
        <w:rPr>
          <w:sz w:val="36"/>
          <w:szCs w:val="36"/>
          <w:rtl/>
        </w:rPr>
        <w:t xml:space="preserve"> </w:t>
      </w:r>
      <w:r w:rsidR="00D70D7F" w:rsidRPr="00FD211F">
        <w:rPr>
          <w:sz w:val="36"/>
          <w:szCs w:val="36"/>
          <w:rtl/>
        </w:rPr>
        <w:t>في</w:t>
      </w:r>
      <w:r w:rsidR="00E8128F">
        <w:rPr>
          <w:sz w:val="36"/>
          <w:szCs w:val="36"/>
          <w:rtl/>
        </w:rPr>
        <w:t xml:space="preserve"> </w:t>
      </w:r>
      <w:r w:rsidR="00D70D7F" w:rsidRPr="00FD211F">
        <w:rPr>
          <w:sz w:val="36"/>
          <w:szCs w:val="36"/>
          <w:rtl/>
        </w:rPr>
        <w:t>بقاءه</w:t>
      </w:r>
      <w:r w:rsidR="00603323" w:rsidRPr="00FD211F">
        <w:rPr>
          <w:sz w:val="36"/>
          <w:szCs w:val="36"/>
          <w:rtl/>
        </w:rPr>
        <w:t>،</w:t>
      </w:r>
      <w:r w:rsidR="00E8128F">
        <w:rPr>
          <w:sz w:val="36"/>
          <w:szCs w:val="36"/>
          <w:rtl/>
        </w:rPr>
        <w:t xml:space="preserve"> </w:t>
      </w:r>
      <w:r w:rsidR="00D70D7F" w:rsidRPr="00FD211F">
        <w:rPr>
          <w:sz w:val="36"/>
          <w:szCs w:val="36"/>
          <w:rtl/>
        </w:rPr>
        <w:t>والمفروض</w:t>
      </w:r>
      <w:r w:rsidR="00E8128F">
        <w:rPr>
          <w:sz w:val="36"/>
          <w:szCs w:val="36"/>
          <w:rtl/>
        </w:rPr>
        <w:t xml:space="preserve"> </w:t>
      </w:r>
      <w:r w:rsidR="00D70D7F" w:rsidRPr="00FD211F">
        <w:rPr>
          <w:sz w:val="36"/>
          <w:szCs w:val="36"/>
          <w:rtl/>
        </w:rPr>
        <w:t>ان</w:t>
      </w:r>
      <w:r w:rsidR="00E8128F">
        <w:rPr>
          <w:sz w:val="36"/>
          <w:szCs w:val="36"/>
          <w:rtl/>
        </w:rPr>
        <w:t xml:space="preserve"> </w:t>
      </w:r>
      <w:r w:rsidR="00995EC3" w:rsidRPr="00FD211F">
        <w:rPr>
          <w:sz w:val="36"/>
          <w:szCs w:val="36"/>
          <w:rtl/>
        </w:rPr>
        <w:t>المشار</w:t>
      </w:r>
      <w:r w:rsidR="00E8128F">
        <w:rPr>
          <w:sz w:val="36"/>
          <w:szCs w:val="36"/>
          <w:rtl/>
        </w:rPr>
        <w:t xml:space="preserve"> </w:t>
      </w:r>
      <w:r w:rsidR="00995EC3" w:rsidRPr="00FD211F">
        <w:rPr>
          <w:sz w:val="36"/>
          <w:szCs w:val="36"/>
          <w:rtl/>
        </w:rPr>
        <w:t>اليه</w:t>
      </w:r>
      <w:r w:rsidR="00E8128F">
        <w:rPr>
          <w:sz w:val="36"/>
          <w:szCs w:val="36"/>
          <w:rtl/>
        </w:rPr>
        <w:t xml:space="preserve"> </w:t>
      </w:r>
      <w:r w:rsidR="00995EC3" w:rsidRPr="00FD211F">
        <w:rPr>
          <w:sz w:val="36"/>
          <w:szCs w:val="36"/>
          <w:rtl/>
        </w:rPr>
        <w:t>موضوع</w:t>
      </w:r>
      <w:r w:rsidR="00E8128F">
        <w:rPr>
          <w:sz w:val="36"/>
          <w:szCs w:val="36"/>
          <w:rtl/>
        </w:rPr>
        <w:t xml:space="preserve"> </w:t>
      </w:r>
      <w:r w:rsidR="00995EC3" w:rsidRPr="00FD211F">
        <w:rPr>
          <w:sz w:val="36"/>
          <w:szCs w:val="36"/>
          <w:rtl/>
        </w:rPr>
        <w:t>للأثر</w:t>
      </w:r>
      <w:r w:rsidR="00E8128F">
        <w:rPr>
          <w:sz w:val="36"/>
          <w:szCs w:val="36"/>
          <w:rtl/>
        </w:rPr>
        <w:t xml:space="preserve"> </w:t>
      </w:r>
      <w:r w:rsidR="00995EC3" w:rsidRPr="00FD211F">
        <w:rPr>
          <w:sz w:val="36"/>
          <w:szCs w:val="36"/>
          <w:rtl/>
        </w:rPr>
        <w:t>الشرعي</w:t>
      </w:r>
      <w:r w:rsidR="00E8128F">
        <w:rPr>
          <w:sz w:val="36"/>
          <w:szCs w:val="36"/>
          <w:rtl/>
        </w:rPr>
        <w:t xml:space="preserve"> </w:t>
      </w:r>
      <w:r w:rsidR="00995EC3" w:rsidRPr="00FD211F">
        <w:rPr>
          <w:sz w:val="36"/>
          <w:szCs w:val="36"/>
          <w:rtl/>
        </w:rPr>
        <w:t>وهو</w:t>
      </w:r>
      <w:r w:rsidR="00E8128F">
        <w:rPr>
          <w:sz w:val="36"/>
          <w:szCs w:val="36"/>
          <w:rtl/>
        </w:rPr>
        <w:t xml:space="preserve"> </w:t>
      </w:r>
      <w:r w:rsidR="00995EC3" w:rsidRPr="00FD211F">
        <w:rPr>
          <w:sz w:val="36"/>
          <w:szCs w:val="36"/>
          <w:rtl/>
        </w:rPr>
        <w:t>وجوب</w:t>
      </w:r>
      <w:r w:rsidR="00E8128F">
        <w:rPr>
          <w:sz w:val="36"/>
          <w:szCs w:val="36"/>
          <w:rtl/>
        </w:rPr>
        <w:t xml:space="preserve"> </w:t>
      </w:r>
      <w:r w:rsidR="00995EC3" w:rsidRPr="00FD211F">
        <w:rPr>
          <w:sz w:val="36"/>
          <w:szCs w:val="36"/>
          <w:rtl/>
        </w:rPr>
        <w:t>التصدق</w:t>
      </w:r>
      <w:r w:rsidR="00603323" w:rsidRPr="00FD211F">
        <w:rPr>
          <w:sz w:val="36"/>
          <w:szCs w:val="36"/>
          <w:rtl/>
        </w:rPr>
        <w:t>،</w:t>
      </w:r>
      <w:r w:rsidR="00E8128F">
        <w:rPr>
          <w:sz w:val="36"/>
          <w:szCs w:val="36"/>
          <w:rtl/>
        </w:rPr>
        <w:t xml:space="preserve"> </w:t>
      </w:r>
      <w:r w:rsidR="00995EC3" w:rsidRPr="00FD211F">
        <w:rPr>
          <w:sz w:val="36"/>
          <w:szCs w:val="36"/>
          <w:rtl/>
        </w:rPr>
        <w:t>ولاموجب</w:t>
      </w:r>
      <w:r w:rsidR="00E8128F">
        <w:rPr>
          <w:sz w:val="36"/>
          <w:szCs w:val="36"/>
          <w:rtl/>
        </w:rPr>
        <w:t xml:space="preserve"> </w:t>
      </w:r>
      <w:r w:rsidR="00995EC3" w:rsidRPr="00FD211F">
        <w:rPr>
          <w:sz w:val="36"/>
          <w:szCs w:val="36"/>
          <w:rtl/>
        </w:rPr>
        <w:t>لرفع</w:t>
      </w:r>
      <w:r w:rsidR="00E8128F">
        <w:rPr>
          <w:sz w:val="36"/>
          <w:szCs w:val="36"/>
          <w:rtl/>
        </w:rPr>
        <w:t xml:space="preserve"> </w:t>
      </w:r>
      <w:r w:rsidR="00995EC3" w:rsidRPr="00FD211F">
        <w:rPr>
          <w:sz w:val="36"/>
          <w:szCs w:val="36"/>
          <w:rtl/>
        </w:rPr>
        <w:t>اليد</w:t>
      </w:r>
      <w:r w:rsidR="00E8128F">
        <w:rPr>
          <w:sz w:val="36"/>
          <w:szCs w:val="36"/>
          <w:rtl/>
        </w:rPr>
        <w:t xml:space="preserve"> </w:t>
      </w:r>
      <w:r w:rsidR="00995EC3" w:rsidRPr="00FD211F">
        <w:rPr>
          <w:sz w:val="36"/>
          <w:szCs w:val="36"/>
          <w:rtl/>
        </w:rPr>
        <w:t>عن</w:t>
      </w:r>
      <w:r w:rsidR="00E8128F">
        <w:rPr>
          <w:sz w:val="36"/>
          <w:szCs w:val="36"/>
          <w:rtl/>
        </w:rPr>
        <w:t xml:space="preserve"> </w:t>
      </w:r>
      <w:r w:rsidR="00995EC3" w:rsidRPr="00FD211F">
        <w:rPr>
          <w:sz w:val="36"/>
          <w:szCs w:val="36"/>
          <w:rtl/>
        </w:rPr>
        <w:t>عموم</w:t>
      </w:r>
      <w:r w:rsidR="00E8128F">
        <w:rPr>
          <w:sz w:val="36"/>
          <w:szCs w:val="36"/>
          <w:rtl/>
        </w:rPr>
        <w:t xml:space="preserve"> </w:t>
      </w:r>
      <w:r w:rsidR="00995EC3" w:rsidRPr="00FD211F">
        <w:rPr>
          <w:sz w:val="36"/>
          <w:szCs w:val="36"/>
          <w:rtl/>
        </w:rPr>
        <w:t>دليل</w:t>
      </w:r>
      <w:r w:rsidR="00E8128F">
        <w:rPr>
          <w:sz w:val="36"/>
          <w:szCs w:val="36"/>
          <w:rtl/>
        </w:rPr>
        <w:t xml:space="preserve"> </w:t>
      </w:r>
      <w:r w:rsidR="00995EC3" w:rsidRPr="00FD211F">
        <w:rPr>
          <w:sz w:val="36"/>
          <w:szCs w:val="36"/>
          <w:rtl/>
        </w:rPr>
        <w:t>الاستصحاب</w:t>
      </w:r>
      <w:r w:rsidR="00E8128F">
        <w:rPr>
          <w:sz w:val="36"/>
          <w:szCs w:val="36"/>
          <w:rtl/>
        </w:rPr>
        <w:t xml:space="preserve"> </w:t>
      </w:r>
      <w:r w:rsidR="00995EC3" w:rsidRPr="00FD211F">
        <w:rPr>
          <w:sz w:val="36"/>
          <w:szCs w:val="36"/>
          <w:rtl/>
        </w:rPr>
        <w:t>في</w:t>
      </w:r>
      <w:r w:rsidR="00E8128F">
        <w:rPr>
          <w:sz w:val="36"/>
          <w:szCs w:val="36"/>
          <w:rtl/>
        </w:rPr>
        <w:t xml:space="preserve"> </w:t>
      </w:r>
      <w:r w:rsidR="00995EC3" w:rsidRPr="00FD211F">
        <w:rPr>
          <w:sz w:val="36"/>
          <w:szCs w:val="36"/>
          <w:rtl/>
        </w:rPr>
        <w:t>مثله</w:t>
      </w:r>
      <w:r w:rsidR="00BB4696" w:rsidRPr="00FD211F">
        <w:rPr>
          <w:sz w:val="36"/>
          <w:szCs w:val="36"/>
          <w:rtl/>
        </w:rPr>
        <w:t>.</w:t>
      </w:r>
    </w:p>
    <w:p w14:paraId="4EB4DF29" w14:textId="77777777" w:rsidR="00BD5E5F" w:rsidRPr="00FD211F" w:rsidRDefault="00D70D7F" w:rsidP="009C58C8">
      <w:pPr>
        <w:ind w:left="0" w:firstLine="227"/>
        <w:jc w:val="both"/>
        <w:rPr>
          <w:sz w:val="36"/>
          <w:szCs w:val="36"/>
          <w:rtl/>
        </w:rPr>
      </w:pPr>
      <w:r w:rsidRPr="00FD211F">
        <w:rPr>
          <w:sz w:val="36"/>
          <w:szCs w:val="36"/>
          <w:rtl/>
        </w:rPr>
        <w:t>ولأجل</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التزمنا</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يعلم</w:t>
      </w:r>
      <w:r w:rsidR="00E8128F">
        <w:rPr>
          <w:sz w:val="36"/>
          <w:szCs w:val="36"/>
          <w:rtl/>
        </w:rPr>
        <w:t xml:space="preserve"> </w:t>
      </w:r>
      <w:r w:rsidR="00E53BD7" w:rsidRPr="00FD211F">
        <w:rPr>
          <w:sz w:val="36"/>
          <w:szCs w:val="36"/>
          <w:rtl/>
        </w:rPr>
        <w:t>بتذكي</w:t>
      </w:r>
      <w:r w:rsidR="00EC7EDF" w:rsidRPr="00FD211F">
        <w:rPr>
          <w:sz w:val="36"/>
          <w:szCs w:val="36"/>
          <w:rtl/>
        </w:rPr>
        <w:t>ة</w:t>
      </w:r>
      <w:r w:rsidR="00E8128F">
        <w:rPr>
          <w:sz w:val="36"/>
          <w:szCs w:val="36"/>
          <w:rtl/>
        </w:rPr>
        <w:t xml:space="preserve"> </w:t>
      </w:r>
      <w:r w:rsidR="00E53BD7" w:rsidRPr="00FD211F">
        <w:rPr>
          <w:sz w:val="36"/>
          <w:szCs w:val="36"/>
          <w:rtl/>
        </w:rPr>
        <w:t>احدى</w:t>
      </w:r>
      <w:r w:rsidR="00E8128F">
        <w:rPr>
          <w:sz w:val="36"/>
          <w:szCs w:val="36"/>
          <w:rtl/>
        </w:rPr>
        <w:t xml:space="preserve"> </w:t>
      </w:r>
      <w:r w:rsidR="00E53BD7" w:rsidRPr="00FD211F">
        <w:rPr>
          <w:sz w:val="36"/>
          <w:szCs w:val="36"/>
          <w:rtl/>
        </w:rPr>
        <w:t>الشاتين</w:t>
      </w:r>
      <w:r w:rsidR="00E8128F">
        <w:rPr>
          <w:sz w:val="36"/>
          <w:szCs w:val="36"/>
          <w:rtl/>
        </w:rPr>
        <w:t xml:space="preserve"> </w:t>
      </w:r>
      <w:r w:rsidR="00E53BD7" w:rsidRPr="00FD211F">
        <w:rPr>
          <w:sz w:val="36"/>
          <w:szCs w:val="36"/>
          <w:rtl/>
        </w:rPr>
        <w:t>بعينها</w:t>
      </w:r>
      <w:r w:rsidR="00E8128F">
        <w:rPr>
          <w:sz w:val="36"/>
          <w:szCs w:val="36"/>
          <w:rtl/>
        </w:rPr>
        <w:t xml:space="preserve"> </w:t>
      </w:r>
      <w:r w:rsidR="00E53BD7" w:rsidRPr="00FD211F">
        <w:rPr>
          <w:sz w:val="36"/>
          <w:szCs w:val="36"/>
          <w:rtl/>
        </w:rPr>
        <w:t>وعدم</w:t>
      </w:r>
      <w:r w:rsidR="00E8128F">
        <w:rPr>
          <w:sz w:val="36"/>
          <w:szCs w:val="36"/>
          <w:rtl/>
        </w:rPr>
        <w:t xml:space="preserve"> </w:t>
      </w:r>
      <w:r w:rsidR="00E53BD7" w:rsidRPr="00FD211F">
        <w:rPr>
          <w:sz w:val="36"/>
          <w:szCs w:val="36"/>
          <w:rtl/>
        </w:rPr>
        <w:t>تذكي</w:t>
      </w:r>
      <w:r w:rsidR="00EC7EDF" w:rsidRPr="00FD211F">
        <w:rPr>
          <w:sz w:val="36"/>
          <w:szCs w:val="36"/>
          <w:rtl/>
        </w:rPr>
        <w:t>ة</w:t>
      </w:r>
      <w:r w:rsidR="00E8128F">
        <w:rPr>
          <w:sz w:val="36"/>
          <w:szCs w:val="36"/>
          <w:rtl/>
        </w:rPr>
        <w:t xml:space="preserve"> </w:t>
      </w:r>
      <w:r w:rsidRPr="00FD211F">
        <w:rPr>
          <w:sz w:val="36"/>
          <w:szCs w:val="36"/>
          <w:rtl/>
        </w:rPr>
        <w:t>الأخرى</w:t>
      </w:r>
      <w:r w:rsidR="00E8128F">
        <w:rPr>
          <w:sz w:val="36"/>
          <w:szCs w:val="36"/>
          <w:rtl/>
        </w:rPr>
        <w:t xml:space="preserve"> </w:t>
      </w:r>
      <w:r w:rsidRPr="00FD211F">
        <w:rPr>
          <w:sz w:val="36"/>
          <w:szCs w:val="36"/>
          <w:rtl/>
        </w:rPr>
        <w:t>كذلك</w:t>
      </w:r>
      <w:r w:rsidR="00E8128F">
        <w:rPr>
          <w:sz w:val="36"/>
          <w:szCs w:val="36"/>
          <w:rtl/>
        </w:rPr>
        <w:t xml:space="preserve"> </w:t>
      </w:r>
      <w:r w:rsidRPr="00FD211F">
        <w:rPr>
          <w:sz w:val="36"/>
          <w:szCs w:val="36"/>
          <w:rtl/>
        </w:rPr>
        <w:t>ثم</w:t>
      </w:r>
      <w:r w:rsidR="00E8128F">
        <w:rPr>
          <w:sz w:val="36"/>
          <w:szCs w:val="36"/>
          <w:rtl/>
        </w:rPr>
        <w:t xml:space="preserve"> </w:t>
      </w:r>
      <w:r w:rsidRPr="00FD211F">
        <w:rPr>
          <w:sz w:val="36"/>
          <w:szCs w:val="36"/>
          <w:rtl/>
        </w:rPr>
        <w:t>رأى</w:t>
      </w:r>
      <w:r w:rsidR="00E8128F">
        <w:rPr>
          <w:sz w:val="36"/>
          <w:szCs w:val="36"/>
          <w:rtl/>
        </w:rPr>
        <w:t xml:space="preserve"> </w:t>
      </w:r>
      <w:r w:rsidRPr="00FD211F">
        <w:rPr>
          <w:sz w:val="36"/>
          <w:szCs w:val="36"/>
          <w:rtl/>
        </w:rPr>
        <w:t>جلد</w:t>
      </w:r>
      <w:r w:rsidR="00E8128F">
        <w:rPr>
          <w:sz w:val="36"/>
          <w:szCs w:val="36"/>
          <w:rtl/>
        </w:rPr>
        <w:t xml:space="preserve"> </w:t>
      </w:r>
      <w:r w:rsidRPr="00FD211F">
        <w:rPr>
          <w:sz w:val="36"/>
          <w:szCs w:val="36"/>
          <w:rtl/>
        </w:rPr>
        <w:t>شا</w:t>
      </w:r>
      <w:r w:rsidR="00EC7EDF" w:rsidRPr="00FD211F">
        <w:rPr>
          <w:sz w:val="36"/>
          <w:szCs w:val="36"/>
          <w:rtl/>
        </w:rPr>
        <w:t>ة</w:t>
      </w:r>
      <w:r w:rsidR="00E8128F">
        <w:rPr>
          <w:sz w:val="36"/>
          <w:szCs w:val="36"/>
          <w:rtl/>
        </w:rPr>
        <w:t xml:space="preserve"> </w:t>
      </w:r>
      <w:r w:rsidRPr="00FD211F">
        <w:rPr>
          <w:sz w:val="36"/>
          <w:szCs w:val="36"/>
          <w:rtl/>
        </w:rPr>
        <w:t>فلم</w:t>
      </w:r>
      <w:r w:rsidR="00E8128F">
        <w:rPr>
          <w:sz w:val="36"/>
          <w:szCs w:val="36"/>
          <w:rtl/>
        </w:rPr>
        <w:t xml:space="preserve"> </w:t>
      </w:r>
      <w:r w:rsidRPr="00FD211F">
        <w:rPr>
          <w:sz w:val="36"/>
          <w:szCs w:val="36"/>
          <w:rtl/>
        </w:rPr>
        <w:t>يدر</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جلد</w:t>
      </w:r>
      <w:r w:rsidR="00E8128F">
        <w:rPr>
          <w:sz w:val="36"/>
          <w:szCs w:val="36"/>
          <w:rtl/>
        </w:rPr>
        <w:t xml:space="preserve"> </w:t>
      </w:r>
      <w:r w:rsidRPr="00FD211F">
        <w:rPr>
          <w:sz w:val="36"/>
          <w:szCs w:val="36"/>
          <w:rtl/>
        </w:rPr>
        <w:t>أي</w:t>
      </w:r>
      <w:r w:rsidR="00E8128F">
        <w:rPr>
          <w:sz w:val="36"/>
          <w:szCs w:val="36"/>
          <w:rtl/>
        </w:rPr>
        <w:t xml:space="preserve"> </w:t>
      </w:r>
      <w:r w:rsidRPr="00FD211F">
        <w:rPr>
          <w:sz w:val="36"/>
          <w:szCs w:val="36"/>
          <w:rtl/>
        </w:rPr>
        <w:t>منهما</w:t>
      </w:r>
      <w:r w:rsidR="00E8128F">
        <w:rPr>
          <w:sz w:val="36"/>
          <w:szCs w:val="36"/>
          <w:rtl/>
        </w:rPr>
        <w:t xml:space="preserve"> </w:t>
      </w:r>
      <w:r w:rsidRPr="00FD211F">
        <w:rPr>
          <w:sz w:val="36"/>
          <w:szCs w:val="36"/>
          <w:rtl/>
        </w:rPr>
        <w:t>فيجري</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تذكي</w:t>
      </w:r>
      <w:r w:rsidR="00EC7EDF" w:rsidRPr="00FD211F">
        <w:rPr>
          <w:sz w:val="36"/>
          <w:szCs w:val="36"/>
          <w:rtl/>
        </w:rPr>
        <w:t>ة</w:t>
      </w:r>
      <w:r w:rsidR="00E8128F">
        <w:rPr>
          <w:sz w:val="36"/>
          <w:szCs w:val="36"/>
          <w:rtl/>
        </w:rPr>
        <w:t xml:space="preserve"> </w:t>
      </w:r>
      <w:r w:rsidRPr="00FD211F">
        <w:rPr>
          <w:sz w:val="36"/>
          <w:szCs w:val="36"/>
          <w:rtl/>
        </w:rPr>
        <w:t>الشا</w:t>
      </w:r>
      <w:r w:rsidR="00EC7EDF" w:rsidRPr="00FD211F">
        <w:rPr>
          <w:sz w:val="36"/>
          <w:szCs w:val="36"/>
          <w:rtl/>
        </w:rPr>
        <w:t>ة</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الجلد</w:t>
      </w:r>
      <w:r w:rsidR="00E8128F">
        <w:rPr>
          <w:sz w:val="36"/>
          <w:szCs w:val="36"/>
          <w:rtl/>
        </w:rPr>
        <w:t xml:space="preserve"> </w:t>
      </w:r>
      <w:r w:rsidRPr="00FD211F">
        <w:rPr>
          <w:sz w:val="36"/>
          <w:szCs w:val="36"/>
          <w:rtl/>
        </w:rPr>
        <w:t>لها</w:t>
      </w:r>
      <w:r w:rsidR="00603323" w:rsidRPr="00FD211F">
        <w:rPr>
          <w:sz w:val="36"/>
          <w:szCs w:val="36"/>
          <w:rtl/>
        </w:rPr>
        <w:t>،</w:t>
      </w:r>
      <w:r w:rsidR="00E8128F">
        <w:rPr>
          <w:sz w:val="36"/>
          <w:szCs w:val="36"/>
          <w:rtl/>
        </w:rPr>
        <w:t xml:space="preserve"> </w:t>
      </w:r>
      <w:r w:rsidR="00246166" w:rsidRPr="00FD211F">
        <w:rPr>
          <w:sz w:val="36"/>
          <w:szCs w:val="36"/>
          <w:rtl/>
        </w:rPr>
        <w:t>وان</w:t>
      </w:r>
      <w:r w:rsidR="00E8128F">
        <w:rPr>
          <w:sz w:val="36"/>
          <w:szCs w:val="36"/>
          <w:rtl/>
        </w:rPr>
        <w:t xml:space="preserve"> </w:t>
      </w:r>
      <w:r w:rsidR="00246166" w:rsidRPr="00FD211F">
        <w:rPr>
          <w:sz w:val="36"/>
          <w:szCs w:val="36"/>
          <w:rtl/>
        </w:rPr>
        <w:t>من</w:t>
      </w:r>
      <w:r w:rsidR="000714FE" w:rsidRPr="00FD211F">
        <w:rPr>
          <w:sz w:val="36"/>
          <w:szCs w:val="36"/>
          <w:rtl/>
        </w:rPr>
        <w:t>ع</w:t>
      </w:r>
      <w:r w:rsidR="00E8128F">
        <w:rPr>
          <w:sz w:val="36"/>
          <w:szCs w:val="36"/>
          <w:rtl/>
        </w:rPr>
        <w:t xml:space="preserve"> </w:t>
      </w:r>
      <w:r w:rsidR="000714FE" w:rsidRPr="00FD211F">
        <w:rPr>
          <w:sz w:val="36"/>
          <w:szCs w:val="36"/>
          <w:rtl/>
        </w:rPr>
        <w:t>عنه</w:t>
      </w:r>
      <w:r w:rsidR="00E8128F">
        <w:rPr>
          <w:sz w:val="36"/>
          <w:szCs w:val="36"/>
          <w:rtl/>
        </w:rPr>
        <w:t xml:space="preserve"> </w:t>
      </w:r>
      <w:r w:rsidR="00246166" w:rsidRPr="00FD211F">
        <w:rPr>
          <w:sz w:val="36"/>
          <w:szCs w:val="36"/>
          <w:rtl/>
        </w:rPr>
        <w:t>السيد</w:t>
      </w:r>
      <w:r w:rsidR="00E8128F">
        <w:rPr>
          <w:sz w:val="36"/>
          <w:szCs w:val="36"/>
          <w:rtl/>
        </w:rPr>
        <w:t xml:space="preserve"> </w:t>
      </w:r>
      <w:r w:rsidR="00246166" w:rsidRPr="00FD211F">
        <w:rPr>
          <w:sz w:val="36"/>
          <w:szCs w:val="36"/>
          <w:rtl/>
        </w:rPr>
        <w:t>الإمام</w:t>
      </w:r>
      <w:r w:rsidR="00E8128F">
        <w:rPr>
          <w:sz w:val="36"/>
          <w:szCs w:val="36"/>
          <w:rtl/>
        </w:rPr>
        <w:t xml:space="preserve"> </w:t>
      </w:r>
      <w:r w:rsidR="00E53BD7" w:rsidRPr="00FD211F">
        <w:rPr>
          <w:sz w:val="36"/>
          <w:szCs w:val="36"/>
          <w:rtl/>
        </w:rPr>
        <w:t>"</w:t>
      </w:r>
      <w:r w:rsidR="00246166" w:rsidRPr="00FD211F">
        <w:rPr>
          <w:sz w:val="36"/>
          <w:szCs w:val="36"/>
          <w:rtl/>
        </w:rPr>
        <w:t>قده</w:t>
      </w:r>
      <w:r w:rsidR="00E53BD7" w:rsidRPr="00FD211F">
        <w:rPr>
          <w:sz w:val="36"/>
          <w:szCs w:val="36"/>
          <w:rtl/>
        </w:rPr>
        <w:t>"</w:t>
      </w:r>
      <w:r w:rsidR="00E8128F">
        <w:rPr>
          <w:sz w:val="36"/>
          <w:szCs w:val="36"/>
          <w:rtl/>
        </w:rPr>
        <w:t xml:space="preserve"> </w:t>
      </w:r>
      <w:r w:rsidR="00246166" w:rsidRPr="00FD211F">
        <w:rPr>
          <w:sz w:val="36"/>
          <w:szCs w:val="36"/>
          <w:rtl/>
        </w:rPr>
        <w:t>بدعوى</w:t>
      </w:r>
      <w:r w:rsidR="00E8128F">
        <w:rPr>
          <w:sz w:val="36"/>
          <w:szCs w:val="36"/>
          <w:rtl/>
        </w:rPr>
        <w:t xml:space="preserve"> </w:t>
      </w:r>
      <w:r w:rsidR="00246166" w:rsidRPr="00FD211F">
        <w:rPr>
          <w:sz w:val="36"/>
          <w:szCs w:val="36"/>
          <w:rtl/>
        </w:rPr>
        <w:t>كونه</w:t>
      </w:r>
      <w:r w:rsidR="00E8128F">
        <w:rPr>
          <w:sz w:val="36"/>
          <w:szCs w:val="36"/>
          <w:rtl/>
        </w:rPr>
        <w:t xml:space="preserve"> </w:t>
      </w:r>
      <w:r w:rsidR="00246166" w:rsidRPr="00FD211F">
        <w:rPr>
          <w:sz w:val="36"/>
          <w:szCs w:val="36"/>
          <w:rtl/>
        </w:rPr>
        <w:t>من</w:t>
      </w:r>
      <w:r w:rsidR="00E8128F">
        <w:rPr>
          <w:sz w:val="36"/>
          <w:szCs w:val="36"/>
          <w:rtl/>
        </w:rPr>
        <w:t xml:space="preserve"> </w:t>
      </w:r>
      <w:r w:rsidR="00246166" w:rsidRPr="00FD211F">
        <w:rPr>
          <w:sz w:val="36"/>
          <w:szCs w:val="36"/>
          <w:rtl/>
        </w:rPr>
        <w:t>الاستصحاب</w:t>
      </w:r>
      <w:r w:rsidR="00E8128F">
        <w:rPr>
          <w:sz w:val="36"/>
          <w:szCs w:val="36"/>
          <w:rtl/>
        </w:rPr>
        <w:t xml:space="preserve"> </w:t>
      </w:r>
      <w:r w:rsidR="00246166" w:rsidRPr="00FD211F">
        <w:rPr>
          <w:sz w:val="36"/>
          <w:szCs w:val="36"/>
          <w:rtl/>
        </w:rPr>
        <w:t>في</w:t>
      </w:r>
      <w:r w:rsidR="00E8128F">
        <w:rPr>
          <w:sz w:val="36"/>
          <w:szCs w:val="36"/>
          <w:rtl/>
        </w:rPr>
        <w:t xml:space="preserve"> </w:t>
      </w:r>
      <w:r w:rsidR="00246166" w:rsidRPr="00FD211F">
        <w:rPr>
          <w:sz w:val="36"/>
          <w:szCs w:val="36"/>
          <w:rtl/>
        </w:rPr>
        <w:t>الفرد</w:t>
      </w:r>
      <w:r w:rsidR="00E8128F">
        <w:rPr>
          <w:sz w:val="36"/>
          <w:szCs w:val="36"/>
          <w:rtl/>
        </w:rPr>
        <w:t xml:space="preserve"> </w:t>
      </w:r>
      <w:r w:rsidR="00246166" w:rsidRPr="00FD211F">
        <w:rPr>
          <w:sz w:val="36"/>
          <w:szCs w:val="36"/>
          <w:rtl/>
        </w:rPr>
        <w:t>المردد</w:t>
      </w:r>
      <w:r w:rsidR="00603323" w:rsidRPr="00FD211F">
        <w:rPr>
          <w:sz w:val="36"/>
          <w:szCs w:val="36"/>
          <w:rtl/>
        </w:rPr>
        <w:t>،</w:t>
      </w:r>
      <w:r w:rsidR="00E8128F">
        <w:rPr>
          <w:sz w:val="36"/>
          <w:szCs w:val="36"/>
          <w:rtl/>
        </w:rPr>
        <w:t xml:space="preserve"> </w:t>
      </w:r>
      <w:r w:rsidR="00246166" w:rsidRPr="00FD211F">
        <w:rPr>
          <w:sz w:val="36"/>
          <w:szCs w:val="36"/>
          <w:rtl/>
        </w:rPr>
        <w:t>وبناء</w:t>
      </w:r>
      <w:r w:rsidR="00E8128F">
        <w:rPr>
          <w:sz w:val="36"/>
          <w:szCs w:val="36"/>
          <w:rtl/>
        </w:rPr>
        <w:t xml:space="preserve"> </w:t>
      </w:r>
      <w:r w:rsidR="00246166" w:rsidRPr="00FD211F">
        <w:rPr>
          <w:sz w:val="36"/>
          <w:szCs w:val="36"/>
          <w:rtl/>
        </w:rPr>
        <w:t>على</w:t>
      </w:r>
      <w:r w:rsidR="00E8128F">
        <w:rPr>
          <w:sz w:val="36"/>
          <w:szCs w:val="36"/>
          <w:rtl/>
        </w:rPr>
        <w:t xml:space="preserve"> </w:t>
      </w:r>
      <w:r w:rsidR="00246166" w:rsidRPr="00FD211F">
        <w:rPr>
          <w:sz w:val="36"/>
          <w:szCs w:val="36"/>
          <w:rtl/>
        </w:rPr>
        <w:t>ما</w:t>
      </w:r>
      <w:r w:rsidR="00E8128F">
        <w:rPr>
          <w:sz w:val="36"/>
          <w:szCs w:val="36"/>
          <w:rtl/>
        </w:rPr>
        <w:t xml:space="preserve"> </w:t>
      </w:r>
      <w:r w:rsidR="00246166" w:rsidRPr="00FD211F">
        <w:rPr>
          <w:sz w:val="36"/>
          <w:szCs w:val="36"/>
          <w:rtl/>
        </w:rPr>
        <w:t>ذكرناه</w:t>
      </w:r>
      <w:r w:rsidR="00E8128F">
        <w:rPr>
          <w:sz w:val="36"/>
          <w:szCs w:val="36"/>
          <w:rtl/>
        </w:rPr>
        <w:t xml:space="preserve"> </w:t>
      </w:r>
      <w:r w:rsidR="00246166" w:rsidRPr="00FD211F">
        <w:rPr>
          <w:sz w:val="36"/>
          <w:szCs w:val="36"/>
          <w:rtl/>
        </w:rPr>
        <w:t>فقد</w:t>
      </w:r>
      <w:r w:rsidR="00E8128F">
        <w:rPr>
          <w:sz w:val="36"/>
          <w:szCs w:val="36"/>
          <w:rtl/>
        </w:rPr>
        <w:t xml:space="preserve"> </w:t>
      </w:r>
      <w:r w:rsidR="00246166" w:rsidRPr="00FD211F">
        <w:rPr>
          <w:sz w:val="36"/>
          <w:szCs w:val="36"/>
          <w:rtl/>
        </w:rPr>
        <w:t>يقال</w:t>
      </w:r>
      <w:r w:rsidR="00E8128F">
        <w:rPr>
          <w:sz w:val="36"/>
          <w:szCs w:val="36"/>
          <w:rtl/>
        </w:rPr>
        <w:t xml:space="preserve"> </w:t>
      </w:r>
      <w:r w:rsidR="00246166" w:rsidRPr="00FD211F">
        <w:rPr>
          <w:sz w:val="36"/>
          <w:szCs w:val="36"/>
          <w:rtl/>
        </w:rPr>
        <w:t>في</w:t>
      </w:r>
      <w:r w:rsidR="00E8128F">
        <w:rPr>
          <w:sz w:val="36"/>
          <w:szCs w:val="36"/>
          <w:rtl/>
        </w:rPr>
        <w:t xml:space="preserve"> </w:t>
      </w:r>
      <w:r w:rsidR="00995EC3" w:rsidRPr="00FD211F">
        <w:rPr>
          <w:sz w:val="36"/>
          <w:szCs w:val="36"/>
          <w:rtl/>
        </w:rPr>
        <w:t>الاستصحاب</w:t>
      </w:r>
      <w:r w:rsidR="00E8128F">
        <w:rPr>
          <w:sz w:val="36"/>
          <w:szCs w:val="36"/>
          <w:rtl/>
        </w:rPr>
        <w:t xml:space="preserve"> </w:t>
      </w:r>
      <w:r w:rsidR="00995EC3" w:rsidRPr="00FD211F">
        <w:rPr>
          <w:sz w:val="36"/>
          <w:szCs w:val="36"/>
          <w:rtl/>
        </w:rPr>
        <w:t>الموضوعي</w:t>
      </w:r>
      <w:r w:rsidR="00E8128F">
        <w:rPr>
          <w:sz w:val="36"/>
          <w:szCs w:val="36"/>
          <w:rtl/>
        </w:rPr>
        <w:t xml:space="preserve"> </w:t>
      </w:r>
      <w:r w:rsidR="00995EC3" w:rsidRPr="00FD211F">
        <w:rPr>
          <w:sz w:val="36"/>
          <w:szCs w:val="36"/>
          <w:rtl/>
        </w:rPr>
        <w:t>في</w:t>
      </w:r>
      <w:r w:rsidR="00E8128F">
        <w:rPr>
          <w:sz w:val="36"/>
          <w:szCs w:val="36"/>
          <w:rtl/>
        </w:rPr>
        <w:t xml:space="preserve"> </w:t>
      </w:r>
      <w:r w:rsidR="00995EC3" w:rsidRPr="00FD211F">
        <w:rPr>
          <w:sz w:val="36"/>
          <w:szCs w:val="36"/>
          <w:rtl/>
        </w:rPr>
        <w:t>الشبه</w:t>
      </w:r>
      <w:r w:rsidR="00EC7EDF" w:rsidRPr="00FD211F">
        <w:rPr>
          <w:sz w:val="36"/>
          <w:szCs w:val="36"/>
          <w:rtl/>
        </w:rPr>
        <w:t>ة</w:t>
      </w:r>
      <w:r w:rsidR="00E8128F">
        <w:rPr>
          <w:sz w:val="36"/>
          <w:szCs w:val="36"/>
          <w:rtl/>
        </w:rPr>
        <w:t xml:space="preserve"> </w:t>
      </w:r>
      <w:r w:rsidR="00995EC3" w:rsidRPr="00FD211F">
        <w:rPr>
          <w:sz w:val="36"/>
          <w:szCs w:val="36"/>
          <w:rtl/>
        </w:rPr>
        <w:t>المفهومي</w:t>
      </w:r>
      <w:r w:rsidR="00EC7EDF" w:rsidRPr="00FD211F">
        <w:rPr>
          <w:sz w:val="36"/>
          <w:szCs w:val="36"/>
          <w:rtl/>
        </w:rPr>
        <w:t>ة</w:t>
      </w:r>
      <w:r w:rsidR="00E8128F">
        <w:rPr>
          <w:sz w:val="36"/>
          <w:szCs w:val="36"/>
          <w:rtl/>
        </w:rPr>
        <w:t xml:space="preserve"> </w:t>
      </w:r>
      <w:r w:rsidR="00995EC3" w:rsidRPr="00FD211F">
        <w:rPr>
          <w:sz w:val="36"/>
          <w:szCs w:val="36"/>
          <w:rtl/>
        </w:rPr>
        <w:t>ان</w:t>
      </w:r>
      <w:r w:rsidR="00E8128F">
        <w:rPr>
          <w:sz w:val="36"/>
          <w:szCs w:val="36"/>
          <w:rtl/>
        </w:rPr>
        <w:t xml:space="preserve"> </w:t>
      </w:r>
      <w:r w:rsidR="00995EC3" w:rsidRPr="00FD211F">
        <w:rPr>
          <w:sz w:val="36"/>
          <w:szCs w:val="36"/>
          <w:rtl/>
        </w:rPr>
        <w:t>زيدا</w:t>
      </w:r>
      <w:r w:rsidR="00E8128F">
        <w:rPr>
          <w:sz w:val="36"/>
          <w:szCs w:val="36"/>
          <w:rtl/>
        </w:rPr>
        <w:t xml:space="preserve"> </w:t>
      </w:r>
      <w:r w:rsidR="00995EC3" w:rsidRPr="00FD211F">
        <w:rPr>
          <w:sz w:val="36"/>
          <w:szCs w:val="36"/>
          <w:rtl/>
        </w:rPr>
        <w:t>كان</w:t>
      </w:r>
      <w:r w:rsidR="00E8128F">
        <w:rPr>
          <w:sz w:val="36"/>
          <w:szCs w:val="36"/>
          <w:rtl/>
        </w:rPr>
        <w:t xml:space="preserve"> </w:t>
      </w:r>
      <w:r w:rsidR="00995EC3" w:rsidRPr="00FD211F">
        <w:rPr>
          <w:sz w:val="36"/>
          <w:szCs w:val="36"/>
          <w:rtl/>
        </w:rPr>
        <w:t>مصداقا</w:t>
      </w:r>
      <w:r w:rsidR="00E8128F">
        <w:rPr>
          <w:sz w:val="36"/>
          <w:szCs w:val="36"/>
          <w:rtl/>
        </w:rPr>
        <w:t xml:space="preserve"> </w:t>
      </w:r>
      <w:r w:rsidR="00995EC3" w:rsidRPr="00FD211F">
        <w:rPr>
          <w:sz w:val="36"/>
          <w:szCs w:val="36"/>
          <w:rtl/>
        </w:rPr>
        <w:t>لذاك</w:t>
      </w:r>
      <w:r w:rsidR="00E8128F">
        <w:rPr>
          <w:sz w:val="36"/>
          <w:szCs w:val="36"/>
          <w:rtl/>
        </w:rPr>
        <w:t xml:space="preserve"> </w:t>
      </w:r>
      <w:r w:rsidR="00BD5E5F" w:rsidRPr="00FD211F">
        <w:rPr>
          <w:sz w:val="36"/>
          <w:szCs w:val="36"/>
          <w:rtl/>
        </w:rPr>
        <w:t>العنوان</w:t>
      </w:r>
      <w:r w:rsidR="00E8128F">
        <w:rPr>
          <w:sz w:val="36"/>
          <w:szCs w:val="36"/>
          <w:rtl/>
        </w:rPr>
        <w:t xml:space="preserve"> </w:t>
      </w:r>
      <w:r w:rsidR="00995EC3" w:rsidRPr="00FD211F">
        <w:rPr>
          <w:sz w:val="36"/>
          <w:szCs w:val="36"/>
          <w:rtl/>
        </w:rPr>
        <w:t>الذي</w:t>
      </w:r>
      <w:r w:rsidR="00E8128F">
        <w:rPr>
          <w:sz w:val="36"/>
          <w:szCs w:val="36"/>
          <w:rtl/>
        </w:rPr>
        <w:t xml:space="preserve"> </w:t>
      </w:r>
      <w:r w:rsidR="00995EC3" w:rsidRPr="00FD211F">
        <w:rPr>
          <w:sz w:val="36"/>
          <w:szCs w:val="36"/>
          <w:rtl/>
        </w:rPr>
        <w:t>وضع</w:t>
      </w:r>
      <w:r w:rsidR="00E8128F">
        <w:rPr>
          <w:sz w:val="36"/>
          <w:szCs w:val="36"/>
          <w:rtl/>
        </w:rPr>
        <w:t xml:space="preserve"> </w:t>
      </w:r>
      <w:r w:rsidR="00995EC3" w:rsidRPr="00FD211F">
        <w:rPr>
          <w:sz w:val="36"/>
          <w:szCs w:val="36"/>
          <w:rtl/>
        </w:rPr>
        <w:t>له</w:t>
      </w:r>
      <w:r w:rsidR="00E8128F">
        <w:rPr>
          <w:sz w:val="36"/>
          <w:szCs w:val="36"/>
          <w:rtl/>
        </w:rPr>
        <w:t xml:space="preserve"> </w:t>
      </w:r>
      <w:r w:rsidR="00995EC3" w:rsidRPr="00FD211F">
        <w:rPr>
          <w:sz w:val="36"/>
          <w:szCs w:val="36"/>
          <w:rtl/>
        </w:rPr>
        <w:t>لفظ</w:t>
      </w:r>
      <w:r w:rsidR="00E8128F">
        <w:rPr>
          <w:sz w:val="36"/>
          <w:szCs w:val="36"/>
          <w:rtl/>
        </w:rPr>
        <w:t xml:space="preserve"> </w:t>
      </w:r>
      <w:r w:rsidR="00995EC3" w:rsidRPr="00FD211F">
        <w:rPr>
          <w:sz w:val="36"/>
          <w:szCs w:val="36"/>
          <w:rtl/>
        </w:rPr>
        <w:t>ال</w:t>
      </w:r>
      <w:r w:rsidR="00BD5E5F" w:rsidRPr="00FD211F">
        <w:rPr>
          <w:sz w:val="36"/>
          <w:szCs w:val="36"/>
          <w:rtl/>
        </w:rPr>
        <w:t>عا</w:t>
      </w:r>
      <w:r w:rsidR="00246166" w:rsidRPr="00FD211F">
        <w:rPr>
          <w:sz w:val="36"/>
          <w:szCs w:val="36"/>
          <w:rtl/>
        </w:rPr>
        <w:t>لم</w:t>
      </w:r>
      <w:r w:rsidR="00E8128F">
        <w:rPr>
          <w:sz w:val="36"/>
          <w:szCs w:val="36"/>
          <w:rtl/>
        </w:rPr>
        <w:t xml:space="preserve"> </w:t>
      </w:r>
      <w:r w:rsidR="00BD5E5F" w:rsidRPr="00FD211F">
        <w:rPr>
          <w:sz w:val="36"/>
          <w:szCs w:val="36"/>
          <w:rtl/>
        </w:rPr>
        <w:t>ونشك</w:t>
      </w:r>
      <w:r w:rsidR="00E8128F">
        <w:rPr>
          <w:sz w:val="36"/>
          <w:szCs w:val="36"/>
          <w:rtl/>
        </w:rPr>
        <w:t xml:space="preserve"> </w:t>
      </w:r>
      <w:r w:rsidR="00BD5E5F" w:rsidRPr="00FD211F">
        <w:rPr>
          <w:sz w:val="36"/>
          <w:szCs w:val="36"/>
          <w:rtl/>
        </w:rPr>
        <w:t>في</w:t>
      </w:r>
      <w:r w:rsidR="00E8128F">
        <w:rPr>
          <w:sz w:val="36"/>
          <w:szCs w:val="36"/>
          <w:rtl/>
        </w:rPr>
        <w:t xml:space="preserve"> </w:t>
      </w:r>
      <w:r w:rsidR="00BD5E5F" w:rsidRPr="00FD211F">
        <w:rPr>
          <w:sz w:val="36"/>
          <w:szCs w:val="36"/>
          <w:rtl/>
        </w:rPr>
        <w:t>بقاء</w:t>
      </w:r>
      <w:r w:rsidR="00E8128F">
        <w:rPr>
          <w:sz w:val="36"/>
          <w:szCs w:val="36"/>
          <w:rtl/>
        </w:rPr>
        <w:t xml:space="preserve"> </w:t>
      </w:r>
      <w:r w:rsidR="00246166" w:rsidRPr="00FD211F">
        <w:rPr>
          <w:sz w:val="36"/>
          <w:szCs w:val="36"/>
          <w:rtl/>
        </w:rPr>
        <w:t>كونه</w:t>
      </w:r>
      <w:r w:rsidR="00E8128F">
        <w:rPr>
          <w:sz w:val="36"/>
          <w:szCs w:val="36"/>
          <w:rtl/>
        </w:rPr>
        <w:t xml:space="preserve"> </w:t>
      </w:r>
      <w:r w:rsidR="00246166" w:rsidRPr="00FD211F">
        <w:rPr>
          <w:sz w:val="36"/>
          <w:szCs w:val="36"/>
          <w:rtl/>
        </w:rPr>
        <w:t>مصداقا</w:t>
      </w:r>
      <w:r w:rsidR="00E8128F">
        <w:rPr>
          <w:sz w:val="36"/>
          <w:szCs w:val="36"/>
          <w:rtl/>
        </w:rPr>
        <w:t xml:space="preserve"> </w:t>
      </w:r>
      <w:r w:rsidR="00246166" w:rsidRPr="00FD211F">
        <w:rPr>
          <w:sz w:val="36"/>
          <w:szCs w:val="36"/>
          <w:rtl/>
        </w:rPr>
        <w:t>لذلك</w:t>
      </w:r>
      <w:r w:rsidR="00E8128F">
        <w:rPr>
          <w:sz w:val="36"/>
          <w:szCs w:val="36"/>
          <w:rtl/>
        </w:rPr>
        <w:t xml:space="preserve"> </w:t>
      </w:r>
      <w:r w:rsidR="00246166" w:rsidRPr="00FD211F">
        <w:rPr>
          <w:sz w:val="36"/>
          <w:szCs w:val="36"/>
          <w:rtl/>
        </w:rPr>
        <w:t>العنوان</w:t>
      </w:r>
      <w:r w:rsidR="00E8128F">
        <w:rPr>
          <w:sz w:val="36"/>
          <w:szCs w:val="36"/>
          <w:rtl/>
        </w:rPr>
        <w:t xml:space="preserve"> </w:t>
      </w:r>
      <w:r w:rsidR="00246166" w:rsidRPr="00FD211F">
        <w:rPr>
          <w:sz w:val="36"/>
          <w:szCs w:val="36"/>
          <w:rtl/>
        </w:rPr>
        <w:t>لتردد</w:t>
      </w:r>
      <w:r w:rsidR="00E8128F">
        <w:rPr>
          <w:sz w:val="36"/>
          <w:szCs w:val="36"/>
          <w:rtl/>
        </w:rPr>
        <w:t xml:space="preserve"> </w:t>
      </w:r>
      <w:r w:rsidR="00246166" w:rsidRPr="00FD211F">
        <w:rPr>
          <w:sz w:val="36"/>
          <w:szCs w:val="36"/>
          <w:rtl/>
        </w:rPr>
        <w:t>ذلك</w:t>
      </w:r>
      <w:r w:rsidR="00E8128F">
        <w:rPr>
          <w:sz w:val="36"/>
          <w:szCs w:val="36"/>
          <w:rtl/>
        </w:rPr>
        <w:t xml:space="preserve"> </w:t>
      </w:r>
      <w:r w:rsidR="00246166" w:rsidRPr="00FD211F">
        <w:rPr>
          <w:sz w:val="36"/>
          <w:szCs w:val="36"/>
          <w:rtl/>
        </w:rPr>
        <w:t>العنوان</w:t>
      </w:r>
      <w:r w:rsidR="00E8128F">
        <w:rPr>
          <w:sz w:val="36"/>
          <w:szCs w:val="36"/>
          <w:rtl/>
        </w:rPr>
        <w:t xml:space="preserve"> </w:t>
      </w:r>
      <w:r w:rsidR="00246166" w:rsidRPr="00FD211F">
        <w:rPr>
          <w:sz w:val="36"/>
          <w:szCs w:val="36"/>
          <w:rtl/>
        </w:rPr>
        <w:t>الذي</w:t>
      </w:r>
      <w:r w:rsidR="00E8128F">
        <w:rPr>
          <w:sz w:val="36"/>
          <w:szCs w:val="36"/>
          <w:rtl/>
        </w:rPr>
        <w:t xml:space="preserve"> </w:t>
      </w:r>
      <w:r w:rsidR="00246166" w:rsidRPr="00FD211F">
        <w:rPr>
          <w:sz w:val="36"/>
          <w:szCs w:val="36"/>
          <w:rtl/>
        </w:rPr>
        <w:t>وضع</w:t>
      </w:r>
      <w:r w:rsidR="00E8128F">
        <w:rPr>
          <w:sz w:val="36"/>
          <w:szCs w:val="36"/>
          <w:rtl/>
        </w:rPr>
        <w:t xml:space="preserve"> </w:t>
      </w:r>
      <w:r w:rsidR="00246166" w:rsidRPr="00FD211F">
        <w:rPr>
          <w:sz w:val="36"/>
          <w:szCs w:val="36"/>
          <w:rtl/>
        </w:rPr>
        <w:t>له</w:t>
      </w:r>
      <w:r w:rsidR="00E8128F">
        <w:rPr>
          <w:sz w:val="36"/>
          <w:szCs w:val="36"/>
          <w:rtl/>
        </w:rPr>
        <w:t xml:space="preserve"> </w:t>
      </w:r>
      <w:r w:rsidR="00246166" w:rsidRPr="00FD211F">
        <w:rPr>
          <w:sz w:val="36"/>
          <w:szCs w:val="36"/>
          <w:rtl/>
        </w:rPr>
        <w:t>لفظ</w:t>
      </w:r>
      <w:r w:rsidR="00E8128F">
        <w:rPr>
          <w:sz w:val="36"/>
          <w:szCs w:val="36"/>
          <w:rtl/>
        </w:rPr>
        <w:t xml:space="preserve"> </w:t>
      </w:r>
      <w:r w:rsidR="00246166" w:rsidRPr="00FD211F">
        <w:rPr>
          <w:sz w:val="36"/>
          <w:szCs w:val="36"/>
          <w:rtl/>
        </w:rPr>
        <w:t>العالم</w:t>
      </w:r>
      <w:r w:rsidR="00E8128F">
        <w:rPr>
          <w:sz w:val="36"/>
          <w:szCs w:val="36"/>
          <w:rtl/>
        </w:rPr>
        <w:t xml:space="preserve"> </w:t>
      </w:r>
      <w:r w:rsidR="00BD5E5F" w:rsidRPr="00FD211F">
        <w:rPr>
          <w:sz w:val="36"/>
          <w:szCs w:val="36"/>
          <w:rtl/>
        </w:rPr>
        <w:t>بين</w:t>
      </w:r>
      <w:r w:rsidR="00E8128F">
        <w:rPr>
          <w:sz w:val="36"/>
          <w:szCs w:val="36"/>
          <w:rtl/>
        </w:rPr>
        <w:t xml:space="preserve"> </w:t>
      </w:r>
      <w:r w:rsidR="00BD5E5F" w:rsidRPr="00FD211F">
        <w:rPr>
          <w:sz w:val="36"/>
          <w:szCs w:val="36"/>
          <w:rtl/>
        </w:rPr>
        <w:t>ان</w:t>
      </w:r>
      <w:r w:rsidR="00E8128F">
        <w:rPr>
          <w:sz w:val="36"/>
          <w:szCs w:val="36"/>
          <w:rtl/>
        </w:rPr>
        <w:t xml:space="preserve"> </w:t>
      </w:r>
      <w:r w:rsidR="00BD5E5F" w:rsidRPr="00FD211F">
        <w:rPr>
          <w:sz w:val="36"/>
          <w:szCs w:val="36"/>
          <w:rtl/>
        </w:rPr>
        <w:t>يكون</w:t>
      </w:r>
      <w:r w:rsidR="00E8128F">
        <w:rPr>
          <w:sz w:val="36"/>
          <w:szCs w:val="36"/>
          <w:rtl/>
        </w:rPr>
        <w:t xml:space="preserve"> </w:t>
      </w:r>
      <w:r w:rsidR="00BD5E5F" w:rsidRPr="00FD211F">
        <w:rPr>
          <w:sz w:val="36"/>
          <w:szCs w:val="36"/>
          <w:rtl/>
        </w:rPr>
        <w:t>هو</w:t>
      </w:r>
      <w:r w:rsidR="00E8128F">
        <w:rPr>
          <w:sz w:val="36"/>
          <w:szCs w:val="36"/>
          <w:rtl/>
        </w:rPr>
        <w:t xml:space="preserve"> </w:t>
      </w:r>
      <w:r w:rsidR="00BD5E5F" w:rsidRPr="00FD211F">
        <w:rPr>
          <w:sz w:val="36"/>
          <w:szCs w:val="36"/>
          <w:rtl/>
        </w:rPr>
        <w:t>العنوان</w:t>
      </w:r>
      <w:r w:rsidR="00E8128F">
        <w:rPr>
          <w:sz w:val="36"/>
          <w:szCs w:val="36"/>
          <w:rtl/>
        </w:rPr>
        <w:t xml:space="preserve"> </w:t>
      </w:r>
      <w:r w:rsidR="00BD5E5F" w:rsidRPr="00FD211F">
        <w:rPr>
          <w:sz w:val="36"/>
          <w:szCs w:val="36"/>
          <w:rtl/>
        </w:rPr>
        <w:t>الأعم</w:t>
      </w:r>
      <w:r w:rsidR="00E8128F">
        <w:rPr>
          <w:sz w:val="36"/>
          <w:szCs w:val="36"/>
          <w:rtl/>
        </w:rPr>
        <w:t xml:space="preserve"> </w:t>
      </w:r>
      <w:r w:rsidR="00BD5E5F" w:rsidRPr="00FD211F">
        <w:rPr>
          <w:sz w:val="36"/>
          <w:szCs w:val="36"/>
          <w:rtl/>
        </w:rPr>
        <w:t>الذي</w:t>
      </w:r>
      <w:r w:rsidR="00E8128F">
        <w:rPr>
          <w:sz w:val="36"/>
          <w:szCs w:val="36"/>
          <w:rtl/>
        </w:rPr>
        <w:t xml:space="preserve"> </w:t>
      </w:r>
      <w:r w:rsidR="00BD5E5F" w:rsidRPr="00FD211F">
        <w:rPr>
          <w:sz w:val="36"/>
          <w:szCs w:val="36"/>
          <w:rtl/>
        </w:rPr>
        <w:t>يعلم</w:t>
      </w:r>
      <w:r w:rsidR="00E8128F">
        <w:rPr>
          <w:sz w:val="36"/>
          <w:szCs w:val="36"/>
          <w:rtl/>
        </w:rPr>
        <w:t xml:space="preserve"> </w:t>
      </w:r>
      <w:r w:rsidR="00BD5E5F" w:rsidRPr="00FD211F">
        <w:rPr>
          <w:sz w:val="36"/>
          <w:szCs w:val="36"/>
          <w:rtl/>
        </w:rPr>
        <w:t>ببقاءه</w:t>
      </w:r>
      <w:r w:rsidR="00E8128F">
        <w:rPr>
          <w:sz w:val="36"/>
          <w:szCs w:val="36"/>
          <w:rtl/>
        </w:rPr>
        <w:t xml:space="preserve"> </w:t>
      </w:r>
      <w:r w:rsidR="00BD5E5F" w:rsidRPr="00FD211F">
        <w:rPr>
          <w:sz w:val="36"/>
          <w:szCs w:val="36"/>
          <w:rtl/>
        </w:rPr>
        <w:t>او</w:t>
      </w:r>
      <w:r w:rsidR="00E8128F">
        <w:rPr>
          <w:sz w:val="36"/>
          <w:szCs w:val="36"/>
          <w:rtl/>
        </w:rPr>
        <w:t xml:space="preserve"> </w:t>
      </w:r>
      <w:r w:rsidR="00BD5E5F" w:rsidRPr="00FD211F">
        <w:rPr>
          <w:sz w:val="36"/>
          <w:szCs w:val="36"/>
          <w:rtl/>
        </w:rPr>
        <w:t>العنوان</w:t>
      </w:r>
      <w:r w:rsidR="00E8128F">
        <w:rPr>
          <w:sz w:val="36"/>
          <w:szCs w:val="36"/>
          <w:rtl/>
        </w:rPr>
        <w:t xml:space="preserve"> </w:t>
      </w:r>
      <w:r w:rsidR="00BD5E5F" w:rsidRPr="00FD211F">
        <w:rPr>
          <w:sz w:val="36"/>
          <w:szCs w:val="36"/>
          <w:rtl/>
        </w:rPr>
        <w:t>الاخص</w:t>
      </w:r>
      <w:r w:rsidR="00E8128F">
        <w:rPr>
          <w:sz w:val="36"/>
          <w:szCs w:val="36"/>
          <w:rtl/>
        </w:rPr>
        <w:t xml:space="preserve"> </w:t>
      </w:r>
      <w:r w:rsidR="00BD5E5F" w:rsidRPr="00FD211F">
        <w:rPr>
          <w:sz w:val="36"/>
          <w:szCs w:val="36"/>
          <w:rtl/>
        </w:rPr>
        <w:t>الذي</w:t>
      </w:r>
      <w:r w:rsidR="00E8128F">
        <w:rPr>
          <w:sz w:val="36"/>
          <w:szCs w:val="36"/>
          <w:rtl/>
        </w:rPr>
        <w:t xml:space="preserve"> </w:t>
      </w:r>
      <w:r w:rsidR="00BD5E5F" w:rsidRPr="00FD211F">
        <w:rPr>
          <w:sz w:val="36"/>
          <w:szCs w:val="36"/>
          <w:rtl/>
        </w:rPr>
        <w:t>يعلم</w:t>
      </w:r>
      <w:r w:rsidR="00E8128F">
        <w:rPr>
          <w:sz w:val="36"/>
          <w:szCs w:val="36"/>
          <w:rtl/>
        </w:rPr>
        <w:t xml:space="preserve"> </w:t>
      </w:r>
      <w:r w:rsidR="00BD5E5F" w:rsidRPr="00FD211F">
        <w:rPr>
          <w:sz w:val="36"/>
          <w:szCs w:val="36"/>
          <w:rtl/>
        </w:rPr>
        <w:t>بارتفاعه</w:t>
      </w:r>
      <w:r w:rsidR="00603323" w:rsidRPr="00FD211F">
        <w:rPr>
          <w:sz w:val="36"/>
          <w:szCs w:val="36"/>
          <w:rtl/>
        </w:rPr>
        <w:t>،</w:t>
      </w:r>
      <w:r w:rsidR="00E8128F">
        <w:rPr>
          <w:sz w:val="36"/>
          <w:szCs w:val="36"/>
          <w:rtl/>
        </w:rPr>
        <w:t xml:space="preserve"> </w:t>
      </w:r>
      <w:r w:rsidR="00BD5E5F" w:rsidRPr="00FD211F">
        <w:rPr>
          <w:sz w:val="36"/>
          <w:szCs w:val="36"/>
          <w:rtl/>
        </w:rPr>
        <w:t>ويكفي</w:t>
      </w:r>
      <w:r w:rsidR="00E8128F">
        <w:rPr>
          <w:sz w:val="36"/>
          <w:szCs w:val="36"/>
          <w:rtl/>
        </w:rPr>
        <w:t xml:space="preserve"> </w:t>
      </w:r>
      <w:r w:rsidR="00BD5E5F" w:rsidRPr="00FD211F">
        <w:rPr>
          <w:sz w:val="36"/>
          <w:szCs w:val="36"/>
          <w:rtl/>
        </w:rPr>
        <w:t>في</w:t>
      </w:r>
      <w:r w:rsidR="00E8128F">
        <w:rPr>
          <w:sz w:val="36"/>
          <w:szCs w:val="36"/>
          <w:rtl/>
        </w:rPr>
        <w:t xml:space="preserve"> </w:t>
      </w:r>
      <w:r w:rsidR="00BD5E5F" w:rsidRPr="00FD211F">
        <w:rPr>
          <w:sz w:val="36"/>
          <w:szCs w:val="36"/>
          <w:rtl/>
        </w:rPr>
        <w:t>جريان</w:t>
      </w:r>
      <w:r w:rsidR="00E8128F">
        <w:rPr>
          <w:sz w:val="36"/>
          <w:szCs w:val="36"/>
          <w:rtl/>
        </w:rPr>
        <w:t xml:space="preserve"> </w:t>
      </w:r>
      <w:r w:rsidR="00BD5E5F" w:rsidRPr="00FD211F">
        <w:rPr>
          <w:sz w:val="36"/>
          <w:szCs w:val="36"/>
          <w:rtl/>
        </w:rPr>
        <w:t>الاستصحاب</w:t>
      </w:r>
      <w:r w:rsidR="00E8128F">
        <w:rPr>
          <w:sz w:val="36"/>
          <w:szCs w:val="36"/>
          <w:rtl/>
        </w:rPr>
        <w:t xml:space="preserve"> </w:t>
      </w:r>
      <w:r w:rsidR="00BD5E5F" w:rsidRPr="00FD211F">
        <w:rPr>
          <w:sz w:val="36"/>
          <w:szCs w:val="36"/>
          <w:rtl/>
        </w:rPr>
        <w:t>تمامي</w:t>
      </w:r>
      <w:r w:rsidR="00EC7EDF" w:rsidRPr="00FD211F">
        <w:rPr>
          <w:sz w:val="36"/>
          <w:szCs w:val="36"/>
          <w:rtl/>
        </w:rPr>
        <w:t>ة</w:t>
      </w:r>
      <w:r w:rsidR="00E8128F">
        <w:rPr>
          <w:sz w:val="36"/>
          <w:szCs w:val="36"/>
          <w:rtl/>
        </w:rPr>
        <w:t xml:space="preserve"> </w:t>
      </w:r>
      <w:r w:rsidR="00BD5E5F" w:rsidRPr="00FD211F">
        <w:rPr>
          <w:sz w:val="36"/>
          <w:szCs w:val="36"/>
          <w:rtl/>
        </w:rPr>
        <w:t>اركانه</w:t>
      </w:r>
      <w:r w:rsidR="00E8128F">
        <w:rPr>
          <w:sz w:val="36"/>
          <w:szCs w:val="36"/>
          <w:rtl/>
        </w:rPr>
        <w:t xml:space="preserve"> </w:t>
      </w:r>
      <w:r w:rsidR="00BD5E5F" w:rsidRPr="00FD211F">
        <w:rPr>
          <w:sz w:val="36"/>
          <w:szCs w:val="36"/>
          <w:rtl/>
        </w:rPr>
        <w:t>من</w:t>
      </w:r>
      <w:r w:rsidR="00E8128F">
        <w:rPr>
          <w:sz w:val="36"/>
          <w:szCs w:val="36"/>
          <w:rtl/>
        </w:rPr>
        <w:t xml:space="preserve"> </w:t>
      </w:r>
      <w:r w:rsidR="00BD5E5F" w:rsidRPr="00FD211F">
        <w:rPr>
          <w:sz w:val="36"/>
          <w:szCs w:val="36"/>
          <w:rtl/>
        </w:rPr>
        <w:t>خلال</w:t>
      </w:r>
      <w:r w:rsidR="00E8128F">
        <w:rPr>
          <w:sz w:val="36"/>
          <w:szCs w:val="36"/>
          <w:rtl/>
        </w:rPr>
        <w:t xml:space="preserve"> </w:t>
      </w:r>
      <w:r w:rsidR="00BD5E5F" w:rsidRPr="00FD211F">
        <w:rPr>
          <w:sz w:val="36"/>
          <w:szCs w:val="36"/>
          <w:rtl/>
        </w:rPr>
        <w:t>الإشار</w:t>
      </w:r>
      <w:r w:rsidR="00EC7EDF" w:rsidRPr="00FD211F">
        <w:rPr>
          <w:sz w:val="36"/>
          <w:szCs w:val="36"/>
          <w:rtl/>
        </w:rPr>
        <w:t>ة</w:t>
      </w:r>
      <w:r w:rsidR="00E8128F">
        <w:rPr>
          <w:sz w:val="36"/>
          <w:szCs w:val="36"/>
          <w:rtl/>
        </w:rPr>
        <w:t xml:space="preserve"> </w:t>
      </w:r>
      <w:r w:rsidR="00BD5E5F" w:rsidRPr="00FD211F">
        <w:rPr>
          <w:sz w:val="36"/>
          <w:szCs w:val="36"/>
          <w:rtl/>
        </w:rPr>
        <w:t>الى</w:t>
      </w:r>
      <w:r w:rsidR="00E8128F">
        <w:rPr>
          <w:sz w:val="36"/>
          <w:szCs w:val="36"/>
          <w:rtl/>
        </w:rPr>
        <w:t xml:space="preserve"> </w:t>
      </w:r>
      <w:r w:rsidR="00BD5E5F" w:rsidRPr="00FD211F">
        <w:rPr>
          <w:sz w:val="36"/>
          <w:szCs w:val="36"/>
          <w:rtl/>
        </w:rPr>
        <w:t>ذلك</w:t>
      </w:r>
      <w:r w:rsidR="00E8128F">
        <w:rPr>
          <w:sz w:val="36"/>
          <w:szCs w:val="36"/>
          <w:rtl/>
        </w:rPr>
        <w:t xml:space="preserve"> </w:t>
      </w:r>
      <w:r w:rsidR="00BD5E5F" w:rsidRPr="00FD211F">
        <w:rPr>
          <w:sz w:val="36"/>
          <w:szCs w:val="36"/>
          <w:rtl/>
        </w:rPr>
        <w:t>العنوان</w:t>
      </w:r>
      <w:r w:rsidR="00E8128F">
        <w:rPr>
          <w:sz w:val="36"/>
          <w:szCs w:val="36"/>
          <w:rtl/>
        </w:rPr>
        <w:t xml:space="preserve"> </w:t>
      </w:r>
      <w:r w:rsidR="00246166" w:rsidRPr="00FD211F">
        <w:rPr>
          <w:sz w:val="36"/>
          <w:szCs w:val="36"/>
          <w:rtl/>
        </w:rPr>
        <w:t>بوجه</w:t>
      </w:r>
      <w:r w:rsidR="00E8128F">
        <w:rPr>
          <w:sz w:val="36"/>
          <w:szCs w:val="36"/>
          <w:rtl/>
        </w:rPr>
        <w:t xml:space="preserve"> </w:t>
      </w:r>
      <w:r w:rsidR="00246166" w:rsidRPr="00FD211F">
        <w:rPr>
          <w:sz w:val="36"/>
          <w:szCs w:val="36"/>
          <w:rtl/>
        </w:rPr>
        <w:t>اجمالي</w:t>
      </w:r>
      <w:r w:rsidR="00E8128F">
        <w:rPr>
          <w:sz w:val="36"/>
          <w:szCs w:val="36"/>
          <w:rtl/>
        </w:rPr>
        <w:t xml:space="preserve"> </w:t>
      </w:r>
      <w:r w:rsidR="00246166" w:rsidRPr="00FD211F">
        <w:rPr>
          <w:sz w:val="36"/>
          <w:szCs w:val="36"/>
          <w:rtl/>
        </w:rPr>
        <w:t>وهو</w:t>
      </w:r>
      <w:r w:rsidR="00E8128F">
        <w:rPr>
          <w:sz w:val="36"/>
          <w:szCs w:val="36"/>
          <w:rtl/>
        </w:rPr>
        <w:t xml:space="preserve"> </w:t>
      </w:r>
      <w:r w:rsidR="00BD5E5F" w:rsidRPr="00FD211F">
        <w:rPr>
          <w:sz w:val="36"/>
          <w:szCs w:val="36"/>
          <w:rtl/>
        </w:rPr>
        <w:t>كونه</w:t>
      </w:r>
      <w:r w:rsidR="00E8128F">
        <w:rPr>
          <w:sz w:val="36"/>
          <w:szCs w:val="36"/>
          <w:rtl/>
        </w:rPr>
        <w:t xml:space="preserve"> </w:t>
      </w:r>
      <w:r w:rsidR="00BD5E5F" w:rsidRPr="00FD211F">
        <w:rPr>
          <w:sz w:val="36"/>
          <w:szCs w:val="36"/>
          <w:rtl/>
        </w:rPr>
        <w:t>ما</w:t>
      </w:r>
      <w:r w:rsidR="00E8128F">
        <w:rPr>
          <w:sz w:val="36"/>
          <w:szCs w:val="36"/>
          <w:rtl/>
        </w:rPr>
        <w:t xml:space="preserve"> </w:t>
      </w:r>
      <w:r w:rsidR="00BD5E5F" w:rsidRPr="00FD211F">
        <w:rPr>
          <w:sz w:val="36"/>
          <w:szCs w:val="36"/>
          <w:rtl/>
        </w:rPr>
        <w:t>وضع</w:t>
      </w:r>
      <w:r w:rsidR="00E8128F">
        <w:rPr>
          <w:sz w:val="36"/>
          <w:szCs w:val="36"/>
          <w:rtl/>
        </w:rPr>
        <w:t xml:space="preserve"> </w:t>
      </w:r>
      <w:r w:rsidR="00BD5E5F" w:rsidRPr="00FD211F">
        <w:rPr>
          <w:sz w:val="36"/>
          <w:szCs w:val="36"/>
          <w:rtl/>
        </w:rPr>
        <w:t>له</w:t>
      </w:r>
      <w:r w:rsidR="00E8128F">
        <w:rPr>
          <w:sz w:val="36"/>
          <w:szCs w:val="36"/>
          <w:rtl/>
        </w:rPr>
        <w:t xml:space="preserve"> </w:t>
      </w:r>
      <w:r w:rsidR="00BD5E5F" w:rsidRPr="00FD211F">
        <w:rPr>
          <w:sz w:val="36"/>
          <w:szCs w:val="36"/>
          <w:rtl/>
        </w:rPr>
        <w:t>لفظ</w:t>
      </w:r>
      <w:r w:rsidR="00E8128F">
        <w:rPr>
          <w:sz w:val="36"/>
          <w:szCs w:val="36"/>
          <w:rtl/>
        </w:rPr>
        <w:t xml:space="preserve"> </w:t>
      </w:r>
      <w:r w:rsidR="00BD5E5F" w:rsidRPr="00FD211F">
        <w:rPr>
          <w:sz w:val="36"/>
          <w:szCs w:val="36"/>
          <w:rtl/>
        </w:rPr>
        <w:t>العا</w:t>
      </w:r>
      <w:r w:rsidR="00246166" w:rsidRPr="00FD211F">
        <w:rPr>
          <w:sz w:val="36"/>
          <w:szCs w:val="36"/>
          <w:rtl/>
        </w:rPr>
        <w:t>لم</w:t>
      </w:r>
      <w:r w:rsidR="00BD5E5F" w:rsidRPr="00FD211F">
        <w:rPr>
          <w:sz w:val="36"/>
          <w:szCs w:val="36"/>
          <w:rtl/>
        </w:rPr>
        <w:t>.</w:t>
      </w:r>
    </w:p>
    <w:p w14:paraId="0BE20782" w14:textId="77777777" w:rsidR="009D5A44" w:rsidRPr="00FD211F" w:rsidRDefault="00E53BD7" w:rsidP="009C58C8">
      <w:pPr>
        <w:ind w:left="0" w:firstLine="227"/>
        <w:jc w:val="both"/>
        <w:rPr>
          <w:sz w:val="36"/>
          <w:szCs w:val="36"/>
          <w:rtl/>
        </w:rPr>
      </w:pPr>
      <w:r w:rsidRPr="00FD211F">
        <w:rPr>
          <w:sz w:val="36"/>
          <w:szCs w:val="36"/>
          <w:rtl/>
        </w:rPr>
        <w:t>نعم</w:t>
      </w:r>
      <w:r w:rsidR="00E8128F">
        <w:rPr>
          <w:sz w:val="36"/>
          <w:szCs w:val="36"/>
          <w:rtl/>
        </w:rPr>
        <w:t xml:space="preserve"> </w:t>
      </w:r>
      <w:r w:rsidRPr="00FD211F">
        <w:rPr>
          <w:sz w:val="36"/>
          <w:szCs w:val="36"/>
          <w:rtl/>
        </w:rPr>
        <w:t>الظاهر</w:t>
      </w:r>
      <w:r w:rsidR="00E8128F">
        <w:rPr>
          <w:sz w:val="36"/>
          <w:szCs w:val="36"/>
          <w:rtl/>
        </w:rPr>
        <w:t xml:space="preserve"> </w:t>
      </w:r>
      <w:r w:rsidR="00BD5E5F" w:rsidRPr="00FD211F">
        <w:rPr>
          <w:sz w:val="36"/>
          <w:szCs w:val="36"/>
          <w:rtl/>
        </w:rPr>
        <w:t>انصراف</w:t>
      </w:r>
      <w:r w:rsidR="00E8128F">
        <w:rPr>
          <w:sz w:val="36"/>
          <w:szCs w:val="36"/>
          <w:rtl/>
        </w:rPr>
        <w:t xml:space="preserve"> </w:t>
      </w:r>
      <w:r w:rsidR="00BD5E5F" w:rsidRPr="00FD211F">
        <w:rPr>
          <w:sz w:val="36"/>
          <w:szCs w:val="36"/>
          <w:rtl/>
        </w:rPr>
        <w:t>دليل</w:t>
      </w:r>
      <w:r w:rsidR="00E8128F">
        <w:rPr>
          <w:sz w:val="36"/>
          <w:szCs w:val="36"/>
          <w:rtl/>
        </w:rPr>
        <w:t xml:space="preserve"> </w:t>
      </w:r>
      <w:r w:rsidR="00BD5E5F" w:rsidRPr="00FD211F">
        <w:rPr>
          <w:sz w:val="36"/>
          <w:szCs w:val="36"/>
          <w:rtl/>
        </w:rPr>
        <w:t>الاستصحاب</w:t>
      </w:r>
      <w:r w:rsidR="00E8128F">
        <w:rPr>
          <w:sz w:val="36"/>
          <w:szCs w:val="36"/>
          <w:rtl/>
        </w:rPr>
        <w:t xml:space="preserve"> </w:t>
      </w:r>
      <w:r w:rsidR="00BD5E5F" w:rsidRPr="00FD211F">
        <w:rPr>
          <w:sz w:val="36"/>
          <w:szCs w:val="36"/>
          <w:rtl/>
        </w:rPr>
        <w:t>عن</w:t>
      </w:r>
      <w:r w:rsidR="00E8128F">
        <w:rPr>
          <w:sz w:val="36"/>
          <w:szCs w:val="36"/>
          <w:rtl/>
        </w:rPr>
        <w:t xml:space="preserve"> </w:t>
      </w:r>
      <w:r w:rsidR="00BD5E5F" w:rsidRPr="00FD211F">
        <w:rPr>
          <w:sz w:val="36"/>
          <w:szCs w:val="36"/>
          <w:rtl/>
        </w:rPr>
        <w:t>الاستصحاب</w:t>
      </w:r>
      <w:r w:rsidR="00E8128F">
        <w:rPr>
          <w:sz w:val="36"/>
          <w:szCs w:val="36"/>
          <w:rtl/>
        </w:rPr>
        <w:t xml:space="preserve"> </w:t>
      </w:r>
      <w:r w:rsidR="00BD5E5F" w:rsidRPr="00FD211F">
        <w:rPr>
          <w:sz w:val="36"/>
          <w:szCs w:val="36"/>
          <w:rtl/>
        </w:rPr>
        <w:t>الموضوعي</w:t>
      </w:r>
      <w:r w:rsidR="00E8128F">
        <w:rPr>
          <w:sz w:val="36"/>
          <w:szCs w:val="36"/>
          <w:rtl/>
        </w:rPr>
        <w:t xml:space="preserve"> </w:t>
      </w:r>
      <w:r w:rsidR="00BD5E5F" w:rsidRPr="00FD211F">
        <w:rPr>
          <w:sz w:val="36"/>
          <w:szCs w:val="36"/>
          <w:rtl/>
        </w:rPr>
        <w:t>في</w:t>
      </w:r>
      <w:r w:rsidR="00E8128F">
        <w:rPr>
          <w:sz w:val="36"/>
          <w:szCs w:val="36"/>
          <w:rtl/>
        </w:rPr>
        <w:t xml:space="preserve"> </w:t>
      </w:r>
      <w:r w:rsidR="00BD5E5F" w:rsidRPr="00FD211F">
        <w:rPr>
          <w:sz w:val="36"/>
          <w:szCs w:val="36"/>
          <w:rtl/>
        </w:rPr>
        <w:t>الشبه</w:t>
      </w:r>
      <w:r w:rsidR="00EC7EDF" w:rsidRPr="00FD211F">
        <w:rPr>
          <w:sz w:val="36"/>
          <w:szCs w:val="36"/>
          <w:rtl/>
        </w:rPr>
        <w:t>ة</w:t>
      </w:r>
      <w:r w:rsidR="00E8128F">
        <w:rPr>
          <w:sz w:val="36"/>
          <w:szCs w:val="36"/>
          <w:rtl/>
        </w:rPr>
        <w:t xml:space="preserve"> </w:t>
      </w:r>
      <w:r w:rsidR="00BD5E5F" w:rsidRPr="00FD211F">
        <w:rPr>
          <w:sz w:val="36"/>
          <w:szCs w:val="36"/>
          <w:rtl/>
        </w:rPr>
        <w:t>المفهومي</w:t>
      </w:r>
      <w:r w:rsidR="00EC7EDF" w:rsidRPr="00FD211F">
        <w:rPr>
          <w:sz w:val="36"/>
          <w:szCs w:val="36"/>
          <w:rtl/>
        </w:rPr>
        <w:t>ة</w:t>
      </w:r>
      <w:r w:rsidR="00603323" w:rsidRPr="00FD211F">
        <w:rPr>
          <w:sz w:val="36"/>
          <w:szCs w:val="36"/>
          <w:rtl/>
        </w:rPr>
        <w:t>،</w:t>
      </w:r>
      <w:r w:rsidR="00E8128F">
        <w:rPr>
          <w:sz w:val="36"/>
          <w:szCs w:val="36"/>
          <w:rtl/>
        </w:rPr>
        <w:t xml:space="preserve"> </w:t>
      </w:r>
      <w:r w:rsidR="00BD5E5F" w:rsidRPr="00FD211F">
        <w:rPr>
          <w:sz w:val="36"/>
          <w:szCs w:val="36"/>
          <w:rtl/>
        </w:rPr>
        <w:t>حيث</w:t>
      </w:r>
      <w:r w:rsidR="00E8128F">
        <w:rPr>
          <w:sz w:val="36"/>
          <w:szCs w:val="36"/>
          <w:rtl/>
        </w:rPr>
        <w:t xml:space="preserve"> </w:t>
      </w:r>
      <w:r w:rsidR="00BD5E5F" w:rsidRPr="00FD211F">
        <w:rPr>
          <w:sz w:val="36"/>
          <w:szCs w:val="36"/>
          <w:rtl/>
        </w:rPr>
        <w:t>ان</w:t>
      </w:r>
      <w:r w:rsidR="00E8128F">
        <w:rPr>
          <w:sz w:val="36"/>
          <w:szCs w:val="36"/>
          <w:rtl/>
        </w:rPr>
        <w:t xml:space="preserve"> </w:t>
      </w:r>
      <w:r w:rsidR="00BD5E5F" w:rsidRPr="00FD211F">
        <w:rPr>
          <w:sz w:val="36"/>
          <w:szCs w:val="36"/>
          <w:rtl/>
        </w:rPr>
        <w:t>ظاهر</w:t>
      </w:r>
      <w:r w:rsidR="00E8128F">
        <w:rPr>
          <w:sz w:val="36"/>
          <w:szCs w:val="36"/>
          <w:rtl/>
        </w:rPr>
        <w:t xml:space="preserve"> </w:t>
      </w:r>
      <w:r w:rsidR="00BD5E5F" w:rsidRPr="00FD211F">
        <w:rPr>
          <w:sz w:val="36"/>
          <w:szCs w:val="36"/>
          <w:rtl/>
        </w:rPr>
        <w:t>دليل</w:t>
      </w:r>
      <w:r w:rsidR="00E8128F">
        <w:rPr>
          <w:sz w:val="36"/>
          <w:szCs w:val="36"/>
          <w:rtl/>
        </w:rPr>
        <w:t xml:space="preserve"> </w:t>
      </w:r>
      <w:r w:rsidR="00BD5E5F" w:rsidRPr="00FD211F">
        <w:rPr>
          <w:sz w:val="36"/>
          <w:szCs w:val="36"/>
          <w:rtl/>
        </w:rPr>
        <w:t>الاستصحاب</w:t>
      </w:r>
      <w:r w:rsidR="00E8128F">
        <w:rPr>
          <w:sz w:val="36"/>
          <w:szCs w:val="36"/>
          <w:rtl/>
        </w:rPr>
        <w:t xml:space="preserve"> </w:t>
      </w:r>
      <w:r w:rsidR="00246166" w:rsidRPr="00FD211F">
        <w:rPr>
          <w:sz w:val="36"/>
          <w:szCs w:val="36"/>
          <w:rtl/>
        </w:rPr>
        <w:t>–</w:t>
      </w:r>
      <w:r w:rsidRPr="00FD211F">
        <w:rPr>
          <w:sz w:val="36"/>
          <w:szCs w:val="36"/>
          <w:rtl/>
        </w:rPr>
        <w:t>كما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Pr="00FD211F">
        <w:rPr>
          <w:sz w:val="36"/>
          <w:szCs w:val="36"/>
          <w:rtl/>
        </w:rPr>
        <w:t>"</w:t>
      </w:r>
      <w:r w:rsidR="00246166" w:rsidRPr="00FD211F">
        <w:rPr>
          <w:sz w:val="36"/>
          <w:szCs w:val="36"/>
          <w:rtl/>
        </w:rPr>
        <w:t>قده</w:t>
      </w:r>
      <w:r w:rsidRPr="00FD211F">
        <w:rPr>
          <w:sz w:val="36"/>
          <w:szCs w:val="36"/>
          <w:rtl/>
        </w:rPr>
        <w:t>"</w:t>
      </w:r>
      <w:r w:rsidR="00246166" w:rsidRPr="00FD211F">
        <w:rPr>
          <w:sz w:val="36"/>
          <w:szCs w:val="36"/>
          <w:rtl/>
        </w:rPr>
        <w:t>-</w:t>
      </w:r>
      <w:r w:rsidR="00E8128F">
        <w:rPr>
          <w:sz w:val="36"/>
          <w:szCs w:val="36"/>
          <w:rtl/>
        </w:rPr>
        <w:t xml:space="preserve"> </w:t>
      </w:r>
      <w:r w:rsidR="00BD5E5F" w:rsidRPr="00FD211F">
        <w:rPr>
          <w:sz w:val="36"/>
          <w:szCs w:val="36"/>
          <w:rtl/>
        </w:rPr>
        <w:t>هو</w:t>
      </w:r>
      <w:r w:rsidR="00E8128F">
        <w:rPr>
          <w:sz w:val="36"/>
          <w:szCs w:val="36"/>
          <w:rtl/>
        </w:rPr>
        <w:t xml:space="preserve"> </w:t>
      </w:r>
      <w:r w:rsidR="00BD5E5F" w:rsidRPr="00FD211F">
        <w:rPr>
          <w:sz w:val="36"/>
          <w:szCs w:val="36"/>
          <w:rtl/>
        </w:rPr>
        <w:t>كون</w:t>
      </w:r>
      <w:r w:rsidR="00E8128F">
        <w:rPr>
          <w:sz w:val="36"/>
          <w:szCs w:val="36"/>
          <w:rtl/>
        </w:rPr>
        <w:t xml:space="preserve"> </w:t>
      </w:r>
      <w:r w:rsidR="00246166" w:rsidRPr="00FD211F">
        <w:rPr>
          <w:sz w:val="36"/>
          <w:szCs w:val="36"/>
          <w:rtl/>
        </w:rPr>
        <w:t>منشأ</w:t>
      </w:r>
      <w:r w:rsidR="00E8128F">
        <w:rPr>
          <w:sz w:val="36"/>
          <w:szCs w:val="36"/>
          <w:rtl/>
        </w:rPr>
        <w:t xml:space="preserve"> </w:t>
      </w:r>
      <w:r w:rsidR="00BD5E5F" w:rsidRPr="00FD211F">
        <w:rPr>
          <w:sz w:val="36"/>
          <w:szCs w:val="36"/>
          <w:rtl/>
        </w:rPr>
        <w:t>الشك</w:t>
      </w:r>
      <w:r w:rsidR="00E8128F">
        <w:rPr>
          <w:sz w:val="36"/>
          <w:szCs w:val="36"/>
          <w:rtl/>
        </w:rPr>
        <w:t xml:space="preserve"> </w:t>
      </w:r>
      <w:r w:rsidR="00BD5E5F" w:rsidRPr="00FD211F">
        <w:rPr>
          <w:sz w:val="36"/>
          <w:szCs w:val="36"/>
          <w:rtl/>
        </w:rPr>
        <w:t>في</w:t>
      </w:r>
      <w:r w:rsidR="00E8128F">
        <w:rPr>
          <w:sz w:val="36"/>
          <w:szCs w:val="36"/>
          <w:rtl/>
        </w:rPr>
        <w:t xml:space="preserve"> </w:t>
      </w:r>
      <w:r w:rsidR="00BD5E5F" w:rsidRPr="00FD211F">
        <w:rPr>
          <w:sz w:val="36"/>
          <w:szCs w:val="36"/>
          <w:rtl/>
        </w:rPr>
        <w:t>البقاء</w:t>
      </w:r>
      <w:r w:rsidR="00E8128F">
        <w:rPr>
          <w:sz w:val="36"/>
          <w:szCs w:val="36"/>
          <w:rtl/>
        </w:rPr>
        <w:t xml:space="preserve"> </w:t>
      </w:r>
      <w:r w:rsidR="00BD5E5F" w:rsidRPr="00FD211F">
        <w:rPr>
          <w:sz w:val="36"/>
          <w:szCs w:val="36"/>
          <w:rtl/>
        </w:rPr>
        <w:t>هو</w:t>
      </w:r>
      <w:r w:rsidR="00E8128F">
        <w:rPr>
          <w:sz w:val="36"/>
          <w:szCs w:val="36"/>
          <w:rtl/>
        </w:rPr>
        <w:t xml:space="preserve"> </w:t>
      </w:r>
      <w:r w:rsidR="00BD5E5F" w:rsidRPr="00FD211F">
        <w:rPr>
          <w:sz w:val="36"/>
          <w:szCs w:val="36"/>
          <w:rtl/>
        </w:rPr>
        <w:t>الخارج</w:t>
      </w:r>
      <w:r w:rsidR="00E8128F">
        <w:rPr>
          <w:sz w:val="36"/>
          <w:szCs w:val="36"/>
          <w:rtl/>
        </w:rPr>
        <w:t xml:space="preserve"> </w:t>
      </w:r>
      <w:r w:rsidR="00BD5E5F" w:rsidRPr="00FD211F">
        <w:rPr>
          <w:sz w:val="36"/>
          <w:szCs w:val="36"/>
          <w:rtl/>
        </w:rPr>
        <w:t>لاالشك</w:t>
      </w:r>
      <w:r w:rsidR="00E8128F">
        <w:rPr>
          <w:sz w:val="36"/>
          <w:szCs w:val="36"/>
          <w:rtl/>
        </w:rPr>
        <w:t xml:space="preserve"> </w:t>
      </w:r>
      <w:r w:rsidR="00BD5E5F" w:rsidRPr="00FD211F">
        <w:rPr>
          <w:sz w:val="36"/>
          <w:szCs w:val="36"/>
          <w:rtl/>
        </w:rPr>
        <w:t>في</w:t>
      </w:r>
      <w:r w:rsidR="00E8128F">
        <w:rPr>
          <w:sz w:val="36"/>
          <w:szCs w:val="36"/>
          <w:rtl/>
        </w:rPr>
        <w:t xml:space="preserve"> </w:t>
      </w:r>
      <w:r w:rsidR="00BD5E5F" w:rsidRPr="00FD211F">
        <w:rPr>
          <w:sz w:val="36"/>
          <w:szCs w:val="36"/>
          <w:rtl/>
        </w:rPr>
        <w:t>سع</w:t>
      </w:r>
      <w:r w:rsidR="00EC7EDF" w:rsidRPr="00FD211F">
        <w:rPr>
          <w:sz w:val="36"/>
          <w:szCs w:val="36"/>
          <w:rtl/>
        </w:rPr>
        <w:t>ة</w:t>
      </w:r>
      <w:r w:rsidR="00E8128F">
        <w:rPr>
          <w:sz w:val="36"/>
          <w:szCs w:val="36"/>
          <w:rtl/>
        </w:rPr>
        <w:t xml:space="preserve"> </w:t>
      </w:r>
      <w:r w:rsidR="00246166" w:rsidRPr="00FD211F">
        <w:rPr>
          <w:sz w:val="36"/>
          <w:szCs w:val="36"/>
          <w:rtl/>
        </w:rPr>
        <w:t>وضع</w:t>
      </w:r>
      <w:r w:rsidR="00E8128F">
        <w:rPr>
          <w:sz w:val="36"/>
          <w:szCs w:val="36"/>
          <w:rtl/>
        </w:rPr>
        <w:t xml:space="preserve"> </w:t>
      </w:r>
      <w:r w:rsidR="00246166" w:rsidRPr="00FD211F">
        <w:rPr>
          <w:sz w:val="36"/>
          <w:szCs w:val="36"/>
          <w:rtl/>
        </w:rPr>
        <w:t>اللفظ</w:t>
      </w:r>
      <w:r w:rsidR="00E8128F">
        <w:rPr>
          <w:sz w:val="36"/>
          <w:szCs w:val="36"/>
          <w:rtl/>
        </w:rPr>
        <w:t xml:space="preserve"> </w:t>
      </w:r>
      <w:r w:rsidR="00246166" w:rsidRPr="00FD211F">
        <w:rPr>
          <w:sz w:val="36"/>
          <w:szCs w:val="36"/>
          <w:rtl/>
        </w:rPr>
        <w:t>او</w:t>
      </w:r>
      <w:r w:rsidR="00E8128F">
        <w:rPr>
          <w:sz w:val="36"/>
          <w:szCs w:val="36"/>
          <w:rtl/>
        </w:rPr>
        <w:t xml:space="preserve"> </w:t>
      </w:r>
      <w:r w:rsidR="00246166" w:rsidRPr="00FD211F">
        <w:rPr>
          <w:sz w:val="36"/>
          <w:szCs w:val="36"/>
          <w:rtl/>
        </w:rPr>
        <w:t>ضيقه</w:t>
      </w:r>
      <w:r w:rsidR="00603323" w:rsidRPr="00FD211F">
        <w:rPr>
          <w:sz w:val="36"/>
          <w:szCs w:val="36"/>
          <w:rtl/>
        </w:rPr>
        <w:t>،</w:t>
      </w:r>
      <w:r w:rsidR="00E8128F">
        <w:rPr>
          <w:sz w:val="36"/>
          <w:szCs w:val="36"/>
          <w:rtl/>
        </w:rPr>
        <w:t xml:space="preserve"> </w:t>
      </w:r>
      <w:r w:rsidR="00246166" w:rsidRPr="00FD211F">
        <w:rPr>
          <w:sz w:val="36"/>
          <w:szCs w:val="36"/>
          <w:rtl/>
        </w:rPr>
        <w:t>فيختلف</w:t>
      </w:r>
      <w:r w:rsidR="00E8128F">
        <w:rPr>
          <w:sz w:val="36"/>
          <w:szCs w:val="36"/>
          <w:rtl/>
        </w:rPr>
        <w:t xml:space="preserve"> </w:t>
      </w:r>
      <w:r w:rsidR="00246166" w:rsidRPr="00FD211F">
        <w:rPr>
          <w:sz w:val="36"/>
          <w:szCs w:val="36"/>
          <w:rtl/>
        </w:rPr>
        <w:t>عن</w:t>
      </w:r>
      <w:r w:rsidR="00E8128F">
        <w:rPr>
          <w:sz w:val="36"/>
          <w:szCs w:val="36"/>
          <w:rtl/>
        </w:rPr>
        <w:t xml:space="preserve"> </w:t>
      </w:r>
      <w:r w:rsidR="00246166" w:rsidRPr="00FD211F">
        <w:rPr>
          <w:sz w:val="36"/>
          <w:szCs w:val="36"/>
          <w:rtl/>
        </w:rPr>
        <w:t>الموارد</w:t>
      </w:r>
      <w:r w:rsidR="00E8128F">
        <w:rPr>
          <w:sz w:val="36"/>
          <w:szCs w:val="36"/>
          <w:rtl/>
        </w:rPr>
        <w:t xml:space="preserve"> </w:t>
      </w:r>
      <w:r w:rsidR="00246166" w:rsidRPr="00FD211F">
        <w:rPr>
          <w:sz w:val="36"/>
          <w:szCs w:val="36"/>
          <w:rtl/>
        </w:rPr>
        <w:t>التي</w:t>
      </w:r>
      <w:r w:rsidR="00E8128F">
        <w:rPr>
          <w:sz w:val="36"/>
          <w:szCs w:val="36"/>
          <w:rtl/>
        </w:rPr>
        <w:t xml:space="preserve"> </w:t>
      </w:r>
      <w:r w:rsidR="00246166" w:rsidRPr="00FD211F">
        <w:rPr>
          <w:sz w:val="36"/>
          <w:szCs w:val="36"/>
          <w:rtl/>
        </w:rPr>
        <w:t>التزمنا</w:t>
      </w:r>
      <w:r w:rsidR="00E8128F">
        <w:rPr>
          <w:sz w:val="36"/>
          <w:szCs w:val="36"/>
          <w:rtl/>
        </w:rPr>
        <w:t xml:space="preserve"> </w:t>
      </w:r>
      <w:r w:rsidR="00246166" w:rsidRPr="00FD211F">
        <w:rPr>
          <w:sz w:val="36"/>
          <w:szCs w:val="36"/>
          <w:rtl/>
        </w:rPr>
        <w:t>بجريان</w:t>
      </w:r>
      <w:r w:rsidR="00E8128F">
        <w:rPr>
          <w:sz w:val="36"/>
          <w:szCs w:val="36"/>
          <w:rtl/>
        </w:rPr>
        <w:t xml:space="preserve"> </w:t>
      </w:r>
      <w:r w:rsidR="00246166" w:rsidRPr="00FD211F">
        <w:rPr>
          <w:sz w:val="36"/>
          <w:szCs w:val="36"/>
          <w:rtl/>
        </w:rPr>
        <w:t>الاستصحاب</w:t>
      </w:r>
      <w:r w:rsidR="00E8128F">
        <w:rPr>
          <w:sz w:val="36"/>
          <w:szCs w:val="36"/>
          <w:rtl/>
        </w:rPr>
        <w:t xml:space="preserve"> </w:t>
      </w:r>
      <w:r w:rsidR="00246166" w:rsidRPr="00FD211F">
        <w:rPr>
          <w:sz w:val="36"/>
          <w:szCs w:val="36"/>
          <w:rtl/>
        </w:rPr>
        <w:t>في</w:t>
      </w:r>
      <w:r w:rsidR="00E8128F">
        <w:rPr>
          <w:sz w:val="36"/>
          <w:szCs w:val="36"/>
          <w:rtl/>
        </w:rPr>
        <w:t xml:space="preserve"> </w:t>
      </w:r>
      <w:r w:rsidR="00246166" w:rsidRPr="00FD211F">
        <w:rPr>
          <w:sz w:val="36"/>
          <w:szCs w:val="36"/>
          <w:rtl/>
        </w:rPr>
        <w:t>الفرد</w:t>
      </w:r>
      <w:r w:rsidR="00E8128F">
        <w:rPr>
          <w:sz w:val="36"/>
          <w:szCs w:val="36"/>
          <w:rtl/>
        </w:rPr>
        <w:t xml:space="preserve"> </w:t>
      </w:r>
      <w:r w:rsidR="00246166" w:rsidRPr="00FD211F">
        <w:rPr>
          <w:sz w:val="36"/>
          <w:szCs w:val="36"/>
          <w:rtl/>
        </w:rPr>
        <w:t>المردد</w:t>
      </w:r>
      <w:r w:rsidR="00E8128F">
        <w:rPr>
          <w:sz w:val="36"/>
          <w:szCs w:val="36"/>
          <w:rtl/>
        </w:rPr>
        <w:t xml:space="preserve"> </w:t>
      </w:r>
      <w:r w:rsidR="00246166" w:rsidRPr="00FD211F">
        <w:rPr>
          <w:sz w:val="36"/>
          <w:szCs w:val="36"/>
          <w:rtl/>
        </w:rPr>
        <w:t>بالنسب</w:t>
      </w:r>
      <w:r w:rsidR="00EC7EDF" w:rsidRPr="00FD211F">
        <w:rPr>
          <w:sz w:val="36"/>
          <w:szCs w:val="36"/>
          <w:rtl/>
        </w:rPr>
        <w:t>ة</w:t>
      </w:r>
      <w:r w:rsidR="00E8128F">
        <w:rPr>
          <w:sz w:val="36"/>
          <w:szCs w:val="36"/>
          <w:rtl/>
        </w:rPr>
        <w:t xml:space="preserve"> </w:t>
      </w:r>
      <w:r w:rsidR="00246166" w:rsidRPr="00FD211F">
        <w:rPr>
          <w:sz w:val="36"/>
          <w:szCs w:val="36"/>
          <w:rtl/>
        </w:rPr>
        <w:t>اليها</w:t>
      </w:r>
      <w:r w:rsidR="00E8128F">
        <w:rPr>
          <w:sz w:val="36"/>
          <w:szCs w:val="36"/>
          <w:rtl/>
        </w:rPr>
        <w:t xml:space="preserve"> </w:t>
      </w:r>
      <w:r w:rsidR="00246166" w:rsidRPr="00FD211F">
        <w:rPr>
          <w:sz w:val="36"/>
          <w:szCs w:val="36"/>
          <w:rtl/>
        </w:rPr>
        <w:t>حيث</w:t>
      </w:r>
      <w:r w:rsidR="00E8128F">
        <w:rPr>
          <w:sz w:val="36"/>
          <w:szCs w:val="36"/>
          <w:rtl/>
        </w:rPr>
        <w:t xml:space="preserve"> </w:t>
      </w:r>
      <w:r w:rsidR="00246166" w:rsidRPr="00FD211F">
        <w:rPr>
          <w:sz w:val="36"/>
          <w:szCs w:val="36"/>
          <w:rtl/>
        </w:rPr>
        <w:t>كان</w:t>
      </w:r>
      <w:r w:rsidR="00E8128F">
        <w:rPr>
          <w:sz w:val="36"/>
          <w:szCs w:val="36"/>
          <w:rtl/>
        </w:rPr>
        <w:t xml:space="preserve"> </w:t>
      </w:r>
      <w:r w:rsidR="00246166" w:rsidRPr="00FD211F">
        <w:rPr>
          <w:sz w:val="36"/>
          <w:szCs w:val="36"/>
          <w:rtl/>
        </w:rPr>
        <w:t>هناك</w:t>
      </w:r>
      <w:r w:rsidR="00E8128F">
        <w:rPr>
          <w:sz w:val="36"/>
          <w:szCs w:val="36"/>
          <w:rtl/>
        </w:rPr>
        <w:t xml:space="preserve"> </w:t>
      </w:r>
      <w:r w:rsidR="00246166" w:rsidRPr="00FD211F">
        <w:rPr>
          <w:sz w:val="36"/>
          <w:szCs w:val="36"/>
          <w:rtl/>
        </w:rPr>
        <w:t>واقع</w:t>
      </w:r>
      <w:r w:rsidR="00E8128F">
        <w:rPr>
          <w:sz w:val="36"/>
          <w:szCs w:val="36"/>
          <w:rtl/>
        </w:rPr>
        <w:t xml:space="preserve"> </w:t>
      </w:r>
      <w:r w:rsidR="00246166" w:rsidRPr="00FD211F">
        <w:rPr>
          <w:sz w:val="36"/>
          <w:szCs w:val="36"/>
          <w:rtl/>
        </w:rPr>
        <w:t>مشكوك</w:t>
      </w:r>
      <w:r w:rsidR="00E8128F">
        <w:rPr>
          <w:sz w:val="36"/>
          <w:szCs w:val="36"/>
          <w:rtl/>
        </w:rPr>
        <w:t xml:space="preserve"> </w:t>
      </w:r>
      <w:r w:rsidR="00246166" w:rsidRPr="00FD211F">
        <w:rPr>
          <w:sz w:val="36"/>
          <w:szCs w:val="36"/>
          <w:rtl/>
        </w:rPr>
        <w:t>عرفا</w:t>
      </w:r>
      <w:r w:rsidR="00E8128F">
        <w:rPr>
          <w:sz w:val="36"/>
          <w:szCs w:val="36"/>
          <w:rtl/>
        </w:rPr>
        <w:t xml:space="preserve"> </w:t>
      </w:r>
      <w:r w:rsidR="00246166" w:rsidRPr="00FD211F">
        <w:rPr>
          <w:sz w:val="36"/>
          <w:szCs w:val="36"/>
          <w:rtl/>
        </w:rPr>
        <w:t>فيجري</w:t>
      </w:r>
      <w:r w:rsidR="00E8128F">
        <w:rPr>
          <w:sz w:val="36"/>
          <w:szCs w:val="36"/>
          <w:rtl/>
        </w:rPr>
        <w:t xml:space="preserve"> </w:t>
      </w:r>
      <w:r w:rsidR="00246166" w:rsidRPr="00FD211F">
        <w:rPr>
          <w:sz w:val="36"/>
          <w:szCs w:val="36"/>
          <w:rtl/>
        </w:rPr>
        <w:t>الاستصحاب</w:t>
      </w:r>
      <w:r w:rsidR="00E8128F">
        <w:rPr>
          <w:sz w:val="36"/>
          <w:szCs w:val="36"/>
          <w:rtl/>
        </w:rPr>
        <w:t xml:space="preserve"> </w:t>
      </w:r>
      <w:r w:rsidR="00246166" w:rsidRPr="00FD211F">
        <w:rPr>
          <w:sz w:val="36"/>
          <w:szCs w:val="36"/>
          <w:rtl/>
        </w:rPr>
        <w:t>بلحاظه</w:t>
      </w:r>
      <w:r w:rsidR="00603323" w:rsidRPr="00FD211F">
        <w:rPr>
          <w:sz w:val="36"/>
          <w:szCs w:val="36"/>
          <w:rtl/>
        </w:rPr>
        <w:t>،</w:t>
      </w:r>
      <w:r w:rsidR="00E8128F">
        <w:rPr>
          <w:sz w:val="36"/>
          <w:szCs w:val="36"/>
          <w:rtl/>
        </w:rPr>
        <w:t xml:space="preserve"> </w:t>
      </w:r>
      <w:r w:rsidR="00246166" w:rsidRPr="00FD211F">
        <w:rPr>
          <w:sz w:val="36"/>
          <w:szCs w:val="36"/>
          <w:rtl/>
        </w:rPr>
        <w:t>والمشكوك</w:t>
      </w:r>
      <w:r w:rsidR="00E8128F">
        <w:rPr>
          <w:sz w:val="36"/>
          <w:szCs w:val="36"/>
          <w:rtl/>
        </w:rPr>
        <w:t xml:space="preserve"> </w:t>
      </w:r>
      <w:r w:rsidR="00246166" w:rsidRPr="00FD211F">
        <w:rPr>
          <w:sz w:val="36"/>
          <w:szCs w:val="36"/>
          <w:rtl/>
        </w:rPr>
        <w:t>في</w:t>
      </w:r>
      <w:r w:rsidR="00E8128F">
        <w:rPr>
          <w:sz w:val="36"/>
          <w:szCs w:val="36"/>
          <w:rtl/>
        </w:rPr>
        <w:t xml:space="preserve"> </w:t>
      </w:r>
      <w:r w:rsidR="00246166" w:rsidRPr="00FD211F">
        <w:rPr>
          <w:sz w:val="36"/>
          <w:szCs w:val="36"/>
          <w:rtl/>
        </w:rPr>
        <w:t>المقام</w:t>
      </w:r>
      <w:r w:rsidR="00E8128F">
        <w:rPr>
          <w:sz w:val="36"/>
          <w:szCs w:val="36"/>
          <w:rtl/>
        </w:rPr>
        <w:t xml:space="preserve"> </w:t>
      </w:r>
      <w:r w:rsidR="00246166" w:rsidRPr="00FD211F">
        <w:rPr>
          <w:sz w:val="36"/>
          <w:szCs w:val="36"/>
          <w:rtl/>
        </w:rPr>
        <w:t>هو</w:t>
      </w:r>
      <w:r w:rsidR="00E8128F">
        <w:rPr>
          <w:sz w:val="36"/>
          <w:szCs w:val="36"/>
          <w:rtl/>
        </w:rPr>
        <w:t xml:space="preserve"> </w:t>
      </w:r>
      <w:r w:rsidR="00246166" w:rsidRPr="00FD211F">
        <w:rPr>
          <w:sz w:val="36"/>
          <w:szCs w:val="36"/>
          <w:rtl/>
        </w:rPr>
        <w:t>سع</w:t>
      </w:r>
      <w:r w:rsidR="00EC7EDF" w:rsidRPr="00FD211F">
        <w:rPr>
          <w:sz w:val="36"/>
          <w:szCs w:val="36"/>
          <w:rtl/>
        </w:rPr>
        <w:t>ة</w:t>
      </w:r>
      <w:r w:rsidR="00E8128F">
        <w:rPr>
          <w:sz w:val="36"/>
          <w:szCs w:val="36"/>
          <w:rtl/>
        </w:rPr>
        <w:t xml:space="preserve"> </w:t>
      </w:r>
      <w:r w:rsidR="00246166" w:rsidRPr="00FD211F">
        <w:rPr>
          <w:sz w:val="36"/>
          <w:szCs w:val="36"/>
          <w:rtl/>
        </w:rPr>
        <w:t>الوضع</w:t>
      </w:r>
      <w:r w:rsidR="00E8128F">
        <w:rPr>
          <w:sz w:val="36"/>
          <w:szCs w:val="36"/>
          <w:rtl/>
        </w:rPr>
        <w:t xml:space="preserve"> </w:t>
      </w:r>
      <w:r w:rsidR="00246166" w:rsidRPr="00FD211F">
        <w:rPr>
          <w:sz w:val="36"/>
          <w:szCs w:val="36"/>
          <w:rtl/>
        </w:rPr>
        <w:t>وضيقه</w:t>
      </w:r>
      <w:r w:rsidR="00603323" w:rsidRPr="00FD211F">
        <w:rPr>
          <w:sz w:val="36"/>
          <w:szCs w:val="36"/>
          <w:rtl/>
        </w:rPr>
        <w:t>،</w:t>
      </w:r>
      <w:r w:rsidR="00E8128F">
        <w:rPr>
          <w:sz w:val="36"/>
          <w:szCs w:val="36"/>
          <w:rtl/>
        </w:rPr>
        <w:t xml:space="preserve"> </w:t>
      </w:r>
      <w:r w:rsidR="00246166" w:rsidRPr="00FD211F">
        <w:rPr>
          <w:sz w:val="36"/>
          <w:szCs w:val="36"/>
          <w:rtl/>
        </w:rPr>
        <w:t>والمفروض</w:t>
      </w:r>
      <w:r w:rsidR="00E8128F">
        <w:rPr>
          <w:sz w:val="36"/>
          <w:szCs w:val="36"/>
          <w:rtl/>
        </w:rPr>
        <w:t xml:space="preserve"> </w:t>
      </w:r>
      <w:r w:rsidR="00246166" w:rsidRPr="00FD211F">
        <w:rPr>
          <w:sz w:val="36"/>
          <w:szCs w:val="36"/>
          <w:rtl/>
        </w:rPr>
        <w:t>عدم</w:t>
      </w:r>
      <w:r w:rsidR="00E8128F">
        <w:rPr>
          <w:sz w:val="36"/>
          <w:szCs w:val="36"/>
          <w:rtl/>
        </w:rPr>
        <w:t xml:space="preserve"> </w:t>
      </w:r>
      <w:r w:rsidR="00246166" w:rsidRPr="00FD211F">
        <w:rPr>
          <w:sz w:val="36"/>
          <w:szCs w:val="36"/>
          <w:rtl/>
        </w:rPr>
        <w:t>جريان</w:t>
      </w:r>
      <w:r w:rsidR="00E8128F">
        <w:rPr>
          <w:sz w:val="36"/>
          <w:szCs w:val="36"/>
          <w:rtl/>
        </w:rPr>
        <w:t xml:space="preserve"> </w:t>
      </w:r>
      <w:r w:rsidR="00246166" w:rsidRPr="00FD211F">
        <w:rPr>
          <w:sz w:val="36"/>
          <w:szCs w:val="36"/>
          <w:rtl/>
        </w:rPr>
        <w:t>الاستصحاب</w:t>
      </w:r>
      <w:r w:rsidR="00E8128F">
        <w:rPr>
          <w:sz w:val="36"/>
          <w:szCs w:val="36"/>
          <w:rtl/>
        </w:rPr>
        <w:t xml:space="preserve"> </w:t>
      </w:r>
      <w:r w:rsidR="00246166" w:rsidRPr="00FD211F">
        <w:rPr>
          <w:sz w:val="36"/>
          <w:szCs w:val="36"/>
          <w:rtl/>
        </w:rPr>
        <w:t>بلحاظه</w:t>
      </w:r>
      <w:r w:rsidR="00603323" w:rsidRPr="00FD211F">
        <w:rPr>
          <w:sz w:val="36"/>
          <w:szCs w:val="36"/>
          <w:rtl/>
        </w:rPr>
        <w:t>،</w:t>
      </w:r>
      <w:r w:rsidR="00E8128F">
        <w:rPr>
          <w:sz w:val="36"/>
          <w:szCs w:val="36"/>
          <w:rtl/>
        </w:rPr>
        <w:t xml:space="preserve"> </w:t>
      </w:r>
      <w:r w:rsidR="00246166" w:rsidRPr="00FD211F">
        <w:rPr>
          <w:sz w:val="36"/>
          <w:szCs w:val="36"/>
          <w:rtl/>
        </w:rPr>
        <w:t>فيكون</w:t>
      </w:r>
      <w:r w:rsidR="00E8128F">
        <w:rPr>
          <w:sz w:val="36"/>
          <w:szCs w:val="36"/>
          <w:rtl/>
        </w:rPr>
        <w:t xml:space="preserve"> </w:t>
      </w:r>
      <w:r w:rsidR="00246166" w:rsidRPr="00FD211F">
        <w:rPr>
          <w:sz w:val="36"/>
          <w:szCs w:val="36"/>
          <w:rtl/>
        </w:rPr>
        <w:t>المقام</w:t>
      </w:r>
      <w:r w:rsidR="00E8128F">
        <w:rPr>
          <w:sz w:val="36"/>
          <w:szCs w:val="36"/>
          <w:rtl/>
        </w:rPr>
        <w:t xml:space="preserve"> </w:t>
      </w:r>
      <w:r w:rsidR="00246166" w:rsidRPr="00FD211F">
        <w:rPr>
          <w:sz w:val="36"/>
          <w:szCs w:val="36"/>
          <w:rtl/>
        </w:rPr>
        <w:t>نظير</w:t>
      </w:r>
      <w:r w:rsidR="00E8128F">
        <w:rPr>
          <w:sz w:val="36"/>
          <w:szCs w:val="36"/>
          <w:rtl/>
        </w:rPr>
        <w:t xml:space="preserve"> </w:t>
      </w:r>
      <w:r w:rsidR="00246166" w:rsidRPr="00FD211F">
        <w:rPr>
          <w:sz w:val="36"/>
          <w:szCs w:val="36"/>
          <w:rtl/>
        </w:rPr>
        <w:t>تكلف</w:t>
      </w:r>
      <w:r w:rsidR="00E8128F">
        <w:rPr>
          <w:sz w:val="36"/>
          <w:szCs w:val="36"/>
          <w:rtl/>
        </w:rPr>
        <w:t xml:space="preserve"> </w:t>
      </w:r>
      <w:r w:rsidR="00246166" w:rsidRPr="00FD211F">
        <w:rPr>
          <w:sz w:val="36"/>
          <w:szCs w:val="36"/>
          <w:rtl/>
        </w:rPr>
        <w:t>الذهن</w:t>
      </w:r>
      <w:r w:rsidR="00E8128F">
        <w:rPr>
          <w:sz w:val="36"/>
          <w:szCs w:val="36"/>
          <w:rtl/>
        </w:rPr>
        <w:t xml:space="preserve"> </w:t>
      </w:r>
      <w:r w:rsidR="00246166" w:rsidRPr="00FD211F">
        <w:rPr>
          <w:sz w:val="36"/>
          <w:szCs w:val="36"/>
          <w:rtl/>
        </w:rPr>
        <w:t>باختراع</w:t>
      </w:r>
      <w:r w:rsidR="00E8128F">
        <w:rPr>
          <w:sz w:val="36"/>
          <w:szCs w:val="36"/>
          <w:rtl/>
        </w:rPr>
        <w:t xml:space="preserve"> </w:t>
      </w:r>
      <w:r w:rsidR="00246166" w:rsidRPr="00FD211F">
        <w:rPr>
          <w:sz w:val="36"/>
          <w:szCs w:val="36"/>
          <w:rtl/>
        </w:rPr>
        <w:t>عنوان</w:t>
      </w:r>
      <w:r w:rsidR="00E8128F">
        <w:rPr>
          <w:sz w:val="36"/>
          <w:szCs w:val="36"/>
          <w:rtl/>
        </w:rPr>
        <w:t xml:space="preserve"> </w:t>
      </w:r>
      <w:r w:rsidR="00246166" w:rsidRPr="00FD211F">
        <w:rPr>
          <w:sz w:val="36"/>
          <w:szCs w:val="36"/>
          <w:rtl/>
        </w:rPr>
        <w:t>اجمالي</w:t>
      </w:r>
      <w:r w:rsidR="00E8128F">
        <w:rPr>
          <w:sz w:val="36"/>
          <w:szCs w:val="36"/>
          <w:rtl/>
        </w:rPr>
        <w:t xml:space="preserve"> </w:t>
      </w:r>
      <w:r w:rsidR="00246166" w:rsidRPr="00FD211F">
        <w:rPr>
          <w:sz w:val="36"/>
          <w:szCs w:val="36"/>
          <w:rtl/>
        </w:rPr>
        <w:t>لتمامي</w:t>
      </w:r>
      <w:r w:rsidR="00EC7EDF" w:rsidRPr="00FD211F">
        <w:rPr>
          <w:sz w:val="36"/>
          <w:szCs w:val="36"/>
          <w:rtl/>
        </w:rPr>
        <w:t>ة</w:t>
      </w:r>
      <w:r w:rsidR="00E8128F">
        <w:rPr>
          <w:sz w:val="36"/>
          <w:szCs w:val="36"/>
          <w:rtl/>
        </w:rPr>
        <w:t xml:space="preserve"> </w:t>
      </w:r>
      <w:r w:rsidR="00246166" w:rsidRPr="00FD211F">
        <w:rPr>
          <w:sz w:val="36"/>
          <w:szCs w:val="36"/>
          <w:rtl/>
        </w:rPr>
        <w:t>اركان</w:t>
      </w:r>
      <w:r w:rsidR="00E8128F">
        <w:rPr>
          <w:sz w:val="36"/>
          <w:szCs w:val="36"/>
          <w:rtl/>
        </w:rPr>
        <w:t xml:space="preserve"> </w:t>
      </w:r>
      <w:r w:rsidR="00246166" w:rsidRPr="00FD211F">
        <w:rPr>
          <w:sz w:val="36"/>
          <w:szCs w:val="36"/>
          <w:rtl/>
        </w:rPr>
        <w:t>الاستصحاب</w:t>
      </w:r>
      <w:r w:rsidR="00E8128F">
        <w:rPr>
          <w:sz w:val="36"/>
          <w:szCs w:val="36"/>
          <w:rtl/>
        </w:rPr>
        <w:t xml:space="preserve"> </w:t>
      </w:r>
      <w:r w:rsidR="00246166" w:rsidRPr="00FD211F">
        <w:rPr>
          <w:sz w:val="36"/>
          <w:szCs w:val="36"/>
          <w:rtl/>
        </w:rPr>
        <w:t>بلحاظه</w:t>
      </w:r>
      <w:r w:rsidR="00603323" w:rsidRPr="00FD211F">
        <w:rPr>
          <w:sz w:val="36"/>
          <w:szCs w:val="36"/>
          <w:rtl/>
        </w:rPr>
        <w:t>،</w:t>
      </w:r>
      <w:r w:rsidR="00E8128F">
        <w:rPr>
          <w:sz w:val="36"/>
          <w:szCs w:val="36"/>
          <w:rtl/>
        </w:rPr>
        <w:t xml:space="preserve"> </w:t>
      </w:r>
      <w:r w:rsidR="00246166" w:rsidRPr="00FD211F">
        <w:rPr>
          <w:sz w:val="36"/>
          <w:szCs w:val="36"/>
          <w:rtl/>
        </w:rPr>
        <w:t>مع</w:t>
      </w:r>
      <w:r w:rsidR="00E8128F">
        <w:rPr>
          <w:sz w:val="36"/>
          <w:szCs w:val="36"/>
          <w:rtl/>
        </w:rPr>
        <w:t xml:space="preserve"> </w:t>
      </w:r>
      <w:r w:rsidR="00246166" w:rsidRPr="00FD211F">
        <w:rPr>
          <w:sz w:val="36"/>
          <w:szCs w:val="36"/>
          <w:rtl/>
        </w:rPr>
        <w:t>ان</w:t>
      </w:r>
      <w:r w:rsidR="00E8128F">
        <w:rPr>
          <w:sz w:val="36"/>
          <w:szCs w:val="36"/>
          <w:rtl/>
        </w:rPr>
        <w:t xml:space="preserve"> </w:t>
      </w:r>
      <w:r w:rsidR="00246166" w:rsidRPr="00FD211F">
        <w:rPr>
          <w:sz w:val="36"/>
          <w:szCs w:val="36"/>
          <w:rtl/>
        </w:rPr>
        <w:t>العرف</w:t>
      </w:r>
      <w:r w:rsidR="00E8128F">
        <w:rPr>
          <w:sz w:val="36"/>
          <w:szCs w:val="36"/>
          <w:rtl/>
        </w:rPr>
        <w:t xml:space="preserve"> </w:t>
      </w:r>
      <w:r w:rsidR="00246166" w:rsidRPr="00FD211F">
        <w:rPr>
          <w:sz w:val="36"/>
          <w:szCs w:val="36"/>
          <w:rtl/>
        </w:rPr>
        <w:t>لايسلم</w:t>
      </w:r>
      <w:r w:rsidR="00E8128F">
        <w:rPr>
          <w:sz w:val="36"/>
          <w:szCs w:val="36"/>
          <w:rtl/>
        </w:rPr>
        <w:t xml:space="preserve"> </w:t>
      </w:r>
      <w:r w:rsidR="00246166" w:rsidRPr="00FD211F">
        <w:rPr>
          <w:sz w:val="36"/>
          <w:szCs w:val="36"/>
          <w:rtl/>
        </w:rPr>
        <w:t>بذلك</w:t>
      </w:r>
      <w:r w:rsidR="00603323" w:rsidRPr="00FD211F">
        <w:rPr>
          <w:sz w:val="36"/>
          <w:szCs w:val="36"/>
          <w:rtl/>
        </w:rPr>
        <w:t>،</w:t>
      </w:r>
      <w:r w:rsidR="00E8128F">
        <w:rPr>
          <w:sz w:val="36"/>
          <w:szCs w:val="36"/>
          <w:rtl/>
        </w:rPr>
        <w:t xml:space="preserve"> </w:t>
      </w:r>
      <w:r w:rsidR="00246166" w:rsidRPr="00FD211F">
        <w:rPr>
          <w:sz w:val="36"/>
          <w:szCs w:val="36"/>
          <w:rtl/>
        </w:rPr>
        <w:t>نظير</w:t>
      </w:r>
      <w:r w:rsidR="00E8128F">
        <w:rPr>
          <w:sz w:val="36"/>
          <w:szCs w:val="36"/>
          <w:rtl/>
        </w:rPr>
        <w:t xml:space="preserve"> </w:t>
      </w:r>
      <w:r w:rsidR="00246166" w:rsidRPr="00FD211F">
        <w:rPr>
          <w:sz w:val="36"/>
          <w:szCs w:val="36"/>
          <w:rtl/>
        </w:rPr>
        <w:t>ما</w:t>
      </w:r>
      <w:r w:rsidR="00E8128F">
        <w:rPr>
          <w:sz w:val="36"/>
          <w:szCs w:val="36"/>
          <w:rtl/>
        </w:rPr>
        <w:t xml:space="preserve"> </w:t>
      </w:r>
      <w:r w:rsidR="00246166" w:rsidRPr="00FD211F">
        <w:rPr>
          <w:sz w:val="36"/>
          <w:szCs w:val="36"/>
          <w:rtl/>
        </w:rPr>
        <w:t>لو</w:t>
      </w:r>
      <w:r w:rsidR="00E8128F">
        <w:rPr>
          <w:sz w:val="36"/>
          <w:szCs w:val="36"/>
          <w:rtl/>
        </w:rPr>
        <w:t xml:space="preserve"> </w:t>
      </w:r>
      <w:r w:rsidR="00246166" w:rsidRPr="00FD211F">
        <w:rPr>
          <w:sz w:val="36"/>
          <w:szCs w:val="36"/>
          <w:rtl/>
        </w:rPr>
        <w:t>توضأ</w:t>
      </w:r>
      <w:r w:rsidR="00E8128F">
        <w:rPr>
          <w:sz w:val="36"/>
          <w:szCs w:val="36"/>
          <w:rtl/>
        </w:rPr>
        <w:t xml:space="preserve"> </w:t>
      </w:r>
      <w:r w:rsidR="00246166" w:rsidRPr="00FD211F">
        <w:rPr>
          <w:sz w:val="36"/>
          <w:szCs w:val="36"/>
          <w:rtl/>
        </w:rPr>
        <w:t>المكلف</w:t>
      </w:r>
      <w:r w:rsidR="00E8128F">
        <w:rPr>
          <w:sz w:val="36"/>
          <w:szCs w:val="36"/>
          <w:rtl/>
        </w:rPr>
        <w:t xml:space="preserve"> </w:t>
      </w:r>
      <w:r w:rsidR="00246166" w:rsidRPr="00FD211F">
        <w:rPr>
          <w:sz w:val="36"/>
          <w:szCs w:val="36"/>
          <w:rtl/>
        </w:rPr>
        <w:t>ثم</w:t>
      </w:r>
      <w:r w:rsidR="00E8128F">
        <w:rPr>
          <w:sz w:val="36"/>
          <w:szCs w:val="36"/>
          <w:rtl/>
        </w:rPr>
        <w:t xml:space="preserve"> </w:t>
      </w:r>
      <w:r w:rsidR="00246166" w:rsidRPr="00FD211F">
        <w:rPr>
          <w:sz w:val="36"/>
          <w:szCs w:val="36"/>
          <w:rtl/>
        </w:rPr>
        <w:t>شك</w:t>
      </w:r>
      <w:r w:rsidR="00E8128F">
        <w:rPr>
          <w:sz w:val="36"/>
          <w:szCs w:val="36"/>
          <w:rtl/>
        </w:rPr>
        <w:t xml:space="preserve"> </w:t>
      </w:r>
      <w:r w:rsidR="00246166" w:rsidRPr="00FD211F">
        <w:rPr>
          <w:sz w:val="36"/>
          <w:szCs w:val="36"/>
          <w:rtl/>
        </w:rPr>
        <w:t>في</w:t>
      </w:r>
      <w:r w:rsidR="00E8128F">
        <w:rPr>
          <w:sz w:val="36"/>
          <w:szCs w:val="36"/>
          <w:rtl/>
        </w:rPr>
        <w:t xml:space="preserve"> </w:t>
      </w:r>
      <w:r w:rsidR="00246166" w:rsidRPr="00FD211F">
        <w:rPr>
          <w:sz w:val="36"/>
          <w:szCs w:val="36"/>
          <w:rtl/>
        </w:rPr>
        <w:t>انه</w:t>
      </w:r>
      <w:r w:rsidR="00E8128F">
        <w:rPr>
          <w:sz w:val="36"/>
          <w:szCs w:val="36"/>
          <w:rtl/>
        </w:rPr>
        <w:t xml:space="preserve"> </w:t>
      </w:r>
      <w:r w:rsidR="00246166" w:rsidRPr="00FD211F">
        <w:rPr>
          <w:sz w:val="36"/>
          <w:szCs w:val="36"/>
          <w:rtl/>
        </w:rPr>
        <w:t>هل</w:t>
      </w:r>
      <w:r w:rsidR="00E8128F">
        <w:rPr>
          <w:sz w:val="36"/>
          <w:szCs w:val="36"/>
          <w:rtl/>
        </w:rPr>
        <w:t xml:space="preserve"> </w:t>
      </w:r>
      <w:r w:rsidR="00246166" w:rsidRPr="00FD211F">
        <w:rPr>
          <w:sz w:val="36"/>
          <w:szCs w:val="36"/>
          <w:rtl/>
        </w:rPr>
        <w:t>نام</w:t>
      </w:r>
      <w:r w:rsidR="00E8128F">
        <w:rPr>
          <w:sz w:val="36"/>
          <w:szCs w:val="36"/>
          <w:rtl/>
        </w:rPr>
        <w:t xml:space="preserve"> </w:t>
      </w:r>
      <w:r w:rsidR="00246166" w:rsidRPr="00FD211F">
        <w:rPr>
          <w:sz w:val="36"/>
          <w:szCs w:val="36"/>
          <w:rtl/>
        </w:rPr>
        <w:t>ام</w:t>
      </w:r>
      <w:r w:rsidR="00E8128F">
        <w:rPr>
          <w:sz w:val="36"/>
          <w:szCs w:val="36"/>
          <w:rtl/>
        </w:rPr>
        <w:t xml:space="preserve"> </w:t>
      </w:r>
      <w:r w:rsidR="00246166" w:rsidRPr="00FD211F">
        <w:rPr>
          <w:sz w:val="36"/>
          <w:szCs w:val="36"/>
          <w:rtl/>
        </w:rPr>
        <w:t>لا</w:t>
      </w:r>
      <w:r w:rsidR="00E8128F">
        <w:rPr>
          <w:sz w:val="36"/>
          <w:szCs w:val="36"/>
          <w:rtl/>
        </w:rPr>
        <w:t xml:space="preserve"> </w:t>
      </w:r>
      <w:r w:rsidR="00246166" w:rsidRPr="00FD211F">
        <w:rPr>
          <w:sz w:val="36"/>
          <w:szCs w:val="36"/>
          <w:rtl/>
        </w:rPr>
        <w:t>فانه</w:t>
      </w:r>
      <w:r w:rsidR="00E8128F">
        <w:rPr>
          <w:sz w:val="36"/>
          <w:szCs w:val="36"/>
          <w:rtl/>
        </w:rPr>
        <w:t xml:space="preserve"> </w:t>
      </w:r>
      <w:r w:rsidR="00246166" w:rsidRPr="00FD211F">
        <w:rPr>
          <w:sz w:val="36"/>
          <w:szCs w:val="36"/>
          <w:rtl/>
        </w:rPr>
        <w:t>يجري</w:t>
      </w:r>
      <w:r w:rsidR="00E8128F">
        <w:rPr>
          <w:sz w:val="36"/>
          <w:szCs w:val="36"/>
          <w:rtl/>
        </w:rPr>
        <w:t xml:space="preserve"> </w:t>
      </w:r>
      <w:r w:rsidR="00246166" w:rsidRPr="00FD211F">
        <w:rPr>
          <w:sz w:val="36"/>
          <w:szCs w:val="36"/>
          <w:rtl/>
        </w:rPr>
        <w:t>استصحاب</w:t>
      </w:r>
      <w:r w:rsidR="00E8128F">
        <w:rPr>
          <w:sz w:val="36"/>
          <w:szCs w:val="36"/>
          <w:rtl/>
        </w:rPr>
        <w:t xml:space="preserve"> </w:t>
      </w:r>
      <w:r w:rsidR="00246166" w:rsidRPr="00FD211F">
        <w:rPr>
          <w:sz w:val="36"/>
          <w:szCs w:val="36"/>
          <w:rtl/>
        </w:rPr>
        <w:t>بقاء</w:t>
      </w:r>
      <w:r w:rsidR="00E8128F">
        <w:rPr>
          <w:sz w:val="36"/>
          <w:szCs w:val="36"/>
          <w:rtl/>
        </w:rPr>
        <w:t xml:space="preserve"> </w:t>
      </w:r>
      <w:r w:rsidR="00246166" w:rsidRPr="00FD211F">
        <w:rPr>
          <w:sz w:val="36"/>
          <w:szCs w:val="36"/>
          <w:rtl/>
        </w:rPr>
        <w:t>وضوءه</w:t>
      </w:r>
      <w:r w:rsidR="00E8128F">
        <w:rPr>
          <w:sz w:val="36"/>
          <w:szCs w:val="36"/>
          <w:rtl/>
        </w:rPr>
        <w:t xml:space="preserve"> </w:t>
      </w:r>
      <w:r w:rsidR="00246166" w:rsidRPr="00FD211F">
        <w:rPr>
          <w:sz w:val="36"/>
          <w:szCs w:val="36"/>
          <w:rtl/>
        </w:rPr>
        <w:t>او</w:t>
      </w:r>
      <w:r w:rsidR="00E8128F">
        <w:rPr>
          <w:sz w:val="36"/>
          <w:szCs w:val="36"/>
          <w:rtl/>
        </w:rPr>
        <w:t xml:space="preserve"> </w:t>
      </w:r>
      <w:r w:rsidR="00246166" w:rsidRPr="00FD211F">
        <w:rPr>
          <w:sz w:val="36"/>
          <w:szCs w:val="36"/>
          <w:rtl/>
        </w:rPr>
        <w:t>فقل</w:t>
      </w:r>
      <w:r w:rsidR="00E8128F">
        <w:rPr>
          <w:sz w:val="36"/>
          <w:szCs w:val="36"/>
          <w:rtl/>
        </w:rPr>
        <w:t xml:space="preserve"> </w:t>
      </w:r>
      <w:r w:rsidR="00246166" w:rsidRPr="00FD211F">
        <w:rPr>
          <w:sz w:val="36"/>
          <w:szCs w:val="36"/>
          <w:rtl/>
        </w:rPr>
        <w:t>استصحاب</w:t>
      </w:r>
      <w:r w:rsidR="00E8128F">
        <w:rPr>
          <w:sz w:val="36"/>
          <w:szCs w:val="36"/>
          <w:rtl/>
        </w:rPr>
        <w:t xml:space="preserve"> </w:t>
      </w:r>
      <w:r w:rsidR="00246166" w:rsidRPr="00FD211F">
        <w:rPr>
          <w:sz w:val="36"/>
          <w:szCs w:val="36"/>
          <w:rtl/>
        </w:rPr>
        <w:t>عدم</w:t>
      </w:r>
      <w:r w:rsidR="00E8128F">
        <w:rPr>
          <w:sz w:val="36"/>
          <w:szCs w:val="36"/>
          <w:rtl/>
        </w:rPr>
        <w:t xml:space="preserve"> </w:t>
      </w:r>
      <w:r w:rsidR="00246166" w:rsidRPr="00FD211F">
        <w:rPr>
          <w:sz w:val="36"/>
          <w:szCs w:val="36"/>
          <w:rtl/>
        </w:rPr>
        <w:t>نومه</w:t>
      </w:r>
      <w:r w:rsidR="00E8128F">
        <w:rPr>
          <w:sz w:val="36"/>
          <w:szCs w:val="36"/>
          <w:rtl/>
        </w:rPr>
        <w:t xml:space="preserve"> </w:t>
      </w:r>
      <w:r w:rsidR="00246166" w:rsidRPr="00FD211F">
        <w:rPr>
          <w:sz w:val="36"/>
          <w:szCs w:val="36"/>
          <w:rtl/>
        </w:rPr>
        <w:t>كما</w:t>
      </w:r>
      <w:r w:rsidR="00E8128F">
        <w:rPr>
          <w:sz w:val="36"/>
          <w:szCs w:val="36"/>
          <w:rtl/>
        </w:rPr>
        <w:t xml:space="preserve"> </w:t>
      </w:r>
      <w:r w:rsidR="00246166" w:rsidRPr="00FD211F">
        <w:rPr>
          <w:sz w:val="36"/>
          <w:szCs w:val="36"/>
          <w:rtl/>
        </w:rPr>
        <w:t>دل</w:t>
      </w:r>
      <w:r w:rsidR="00E8128F">
        <w:rPr>
          <w:sz w:val="36"/>
          <w:szCs w:val="36"/>
          <w:rtl/>
        </w:rPr>
        <w:t xml:space="preserve"> </w:t>
      </w:r>
      <w:r w:rsidR="00246166" w:rsidRPr="00FD211F">
        <w:rPr>
          <w:sz w:val="36"/>
          <w:szCs w:val="36"/>
          <w:rtl/>
        </w:rPr>
        <w:t>عل</w:t>
      </w:r>
      <w:r w:rsidR="0062021E" w:rsidRPr="00FD211F">
        <w:rPr>
          <w:sz w:val="36"/>
          <w:szCs w:val="36"/>
          <w:rtl/>
        </w:rPr>
        <w:t>يه</w:t>
      </w:r>
      <w:r w:rsidR="00E8128F">
        <w:rPr>
          <w:sz w:val="36"/>
          <w:szCs w:val="36"/>
          <w:rtl/>
        </w:rPr>
        <w:t xml:space="preserve"> </w:t>
      </w:r>
      <w:r w:rsidR="0062021E" w:rsidRPr="00FD211F">
        <w:rPr>
          <w:sz w:val="36"/>
          <w:szCs w:val="36"/>
          <w:rtl/>
        </w:rPr>
        <w:t>صحيح</w:t>
      </w:r>
      <w:r w:rsidR="00EC7EDF" w:rsidRPr="00FD211F">
        <w:rPr>
          <w:sz w:val="36"/>
          <w:szCs w:val="36"/>
          <w:rtl/>
        </w:rPr>
        <w:t>ة</w:t>
      </w:r>
      <w:r w:rsidR="00E8128F">
        <w:rPr>
          <w:sz w:val="36"/>
          <w:szCs w:val="36"/>
          <w:rtl/>
        </w:rPr>
        <w:t xml:space="preserve"> </w:t>
      </w:r>
      <w:r w:rsidR="0062021E" w:rsidRPr="00FD211F">
        <w:rPr>
          <w:sz w:val="36"/>
          <w:szCs w:val="36"/>
          <w:rtl/>
        </w:rPr>
        <w:t>زرار</w:t>
      </w:r>
      <w:r w:rsidR="00EC7EDF" w:rsidRPr="00FD211F">
        <w:rPr>
          <w:sz w:val="36"/>
          <w:szCs w:val="36"/>
          <w:rtl/>
        </w:rPr>
        <w:t>ة</w:t>
      </w:r>
      <w:r w:rsidR="00603323" w:rsidRPr="00FD211F">
        <w:rPr>
          <w:sz w:val="36"/>
          <w:szCs w:val="36"/>
          <w:rtl/>
        </w:rPr>
        <w:t>،</w:t>
      </w:r>
      <w:r w:rsidR="00E8128F">
        <w:rPr>
          <w:sz w:val="36"/>
          <w:szCs w:val="36"/>
          <w:rtl/>
        </w:rPr>
        <w:t xml:space="preserve"> </w:t>
      </w:r>
      <w:r w:rsidR="00246166" w:rsidRPr="00FD211F">
        <w:rPr>
          <w:sz w:val="36"/>
          <w:szCs w:val="36"/>
          <w:rtl/>
        </w:rPr>
        <w:t>مع</w:t>
      </w:r>
      <w:r w:rsidR="00E8128F">
        <w:rPr>
          <w:sz w:val="36"/>
          <w:szCs w:val="36"/>
          <w:rtl/>
        </w:rPr>
        <w:t xml:space="preserve"> </w:t>
      </w:r>
      <w:r w:rsidR="00246166" w:rsidRPr="00FD211F">
        <w:rPr>
          <w:sz w:val="36"/>
          <w:szCs w:val="36"/>
          <w:rtl/>
        </w:rPr>
        <w:t>انه</w:t>
      </w:r>
      <w:r w:rsidR="00E8128F">
        <w:rPr>
          <w:sz w:val="36"/>
          <w:szCs w:val="36"/>
          <w:rtl/>
        </w:rPr>
        <w:t xml:space="preserve"> </w:t>
      </w:r>
      <w:r w:rsidR="00246166" w:rsidRPr="00FD211F">
        <w:rPr>
          <w:sz w:val="36"/>
          <w:szCs w:val="36"/>
          <w:rtl/>
        </w:rPr>
        <w:t>يمكن</w:t>
      </w:r>
      <w:r w:rsidR="00E8128F">
        <w:rPr>
          <w:sz w:val="36"/>
          <w:szCs w:val="36"/>
          <w:rtl/>
        </w:rPr>
        <w:t xml:space="preserve"> </w:t>
      </w:r>
      <w:r w:rsidR="00246166" w:rsidRPr="00FD211F">
        <w:rPr>
          <w:sz w:val="36"/>
          <w:szCs w:val="36"/>
          <w:rtl/>
        </w:rPr>
        <w:t>للذهن</w:t>
      </w:r>
      <w:r w:rsidR="00E8128F">
        <w:rPr>
          <w:sz w:val="36"/>
          <w:szCs w:val="36"/>
          <w:rtl/>
        </w:rPr>
        <w:t xml:space="preserve"> </w:t>
      </w:r>
      <w:r w:rsidR="00246166" w:rsidRPr="00FD211F">
        <w:rPr>
          <w:sz w:val="36"/>
          <w:szCs w:val="36"/>
          <w:rtl/>
        </w:rPr>
        <w:t>ان</w:t>
      </w:r>
      <w:r w:rsidR="00E8128F">
        <w:rPr>
          <w:sz w:val="36"/>
          <w:szCs w:val="36"/>
          <w:rtl/>
        </w:rPr>
        <w:t xml:space="preserve"> </w:t>
      </w:r>
      <w:r w:rsidR="00246166" w:rsidRPr="00FD211F">
        <w:rPr>
          <w:sz w:val="36"/>
          <w:szCs w:val="36"/>
          <w:rtl/>
        </w:rPr>
        <w:t>يخترع</w:t>
      </w:r>
      <w:r w:rsidR="00E8128F">
        <w:rPr>
          <w:sz w:val="36"/>
          <w:szCs w:val="36"/>
          <w:rtl/>
        </w:rPr>
        <w:t xml:space="preserve"> </w:t>
      </w:r>
      <w:r w:rsidR="00246166" w:rsidRPr="00FD211F">
        <w:rPr>
          <w:sz w:val="36"/>
          <w:szCs w:val="36"/>
          <w:rtl/>
        </w:rPr>
        <w:t>عنوانا</w:t>
      </w:r>
      <w:r w:rsidR="00E8128F">
        <w:rPr>
          <w:sz w:val="36"/>
          <w:szCs w:val="36"/>
          <w:rtl/>
        </w:rPr>
        <w:t xml:space="preserve"> </w:t>
      </w:r>
      <w:r w:rsidR="009D5A44" w:rsidRPr="00FD211F">
        <w:rPr>
          <w:sz w:val="36"/>
          <w:szCs w:val="36"/>
          <w:rtl/>
        </w:rPr>
        <w:t>مثل</w:t>
      </w:r>
      <w:r w:rsidR="00E8128F">
        <w:rPr>
          <w:sz w:val="36"/>
          <w:szCs w:val="36"/>
          <w:rtl/>
        </w:rPr>
        <w:t xml:space="preserve"> </w:t>
      </w:r>
      <w:r w:rsidR="009D5A44" w:rsidRPr="00FD211F">
        <w:rPr>
          <w:sz w:val="36"/>
          <w:szCs w:val="36"/>
          <w:rtl/>
        </w:rPr>
        <w:t>عنوان</w:t>
      </w:r>
      <w:r w:rsidR="00E8128F">
        <w:rPr>
          <w:sz w:val="36"/>
          <w:szCs w:val="36"/>
          <w:rtl/>
        </w:rPr>
        <w:t xml:space="preserve"> </w:t>
      </w:r>
      <w:r w:rsidR="00BB4696" w:rsidRPr="00FD211F">
        <w:rPr>
          <w:sz w:val="36"/>
          <w:szCs w:val="36"/>
          <w:rtl/>
        </w:rPr>
        <w:t>"</w:t>
      </w:r>
      <w:r w:rsidR="009D5A44" w:rsidRPr="00FD211F">
        <w:rPr>
          <w:sz w:val="36"/>
          <w:szCs w:val="36"/>
          <w:rtl/>
        </w:rPr>
        <w:t>آخر</w:t>
      </w:r>
      <w:r w:rsidR="00E8128F">
        <w:rPr>
          <w:sz w:val="36"/>
          <w:szCs w:val="36"/>
          <w:rtl/>
        </w:rPr>
        <w:t xml:space="preserve"> </w:t>
      </w:r>
      <w:r w:rsidR="009D5A44" w:rsidRPr="00FD211F">
        <w:rPr>
          <w:sz w:val="36"/>
          <w:szCs w:val="36"/>
          <w:rtl/>
        </w:rPr>
        <w:t>نوم</w:t>
      </w:r>
      <w:r w:rsidR="00E8128F">
        <w:rPr>
          <w:sz w:val="36"/>
          <w:szCs w:val="36"/>
          <w:rtl/>
        </w:rPr>
        <w:t xml:space="preserve"> </w:t>
      </w:r>
      <w:r w:rsidR="009D5A44" w:rsidRPr="00FD211F">
        <w:rPr>
          <w:sz w:val="36"/>
          <w:szCs w:val="36"/>
          <w:rtl/>
        </w:rPr>
        <w:t>صدر</w:t>
      </w:r>
      <w:r w:rsidR="00E8128F">
        <w:rPr>
          <w:sz w:val="36"/>
          <w:szCs w:val="36"/>
          <w:rtl/>
        </w:rPr>
        <w:t xml:space="preserve"> </w:t>
      </w:r>
      <w:r w:rsidR="009D5A44" w:rsidRPr="00FD211F">
        <w:rPr>
          <w:sz w:val="36"/>
          <w:szCs w:val="36"/>
          <w:rtl/>
        </w:rPr>
        <w:t>من</w:t>
      </w:r>
      <w:r w:rsidR="00E8128F">
        <w:rPr>
          <w:sz w:val="36"/>
          <w:szCs w:val="36"/>
          <w:rtl/>
        </w:rPr>
        <w:t xml:space="preserve"> </w:t>
      </w:r>
      <w:r w:rsidR="009D5A44" w:rsidRPr="00FD211F">
        <w:rPr>
          <w:sz w:val="36"/>
          <w:szCs w:val="36"/>
          <w:rtl/>
        </w:rPr>
        <w:t>هذا</w:t>
      </w:r>
      <w:r w:rsidR="00E8128F">
        <w:rPr>
          <w:sz w:val="36"/>
          <w:szCs w:val="36"/>
          <w:rtl/>
        </w:rPr>
        <w:t xml:space="preserve"> </w:t>
      </w:r>
      <w:r w:rsidR="009D5A44" w:rsidRPr="00FD211F">
        <w:rPr>
          <w:sz w:val="36"/>
          <w:szCs w:val="36"/>
          <w:rtl/>
        </w:rPr>
        <w:t>المكلف</w:t>
      </w:r>
      <w:r w:rsidR="00BB4696" w:rsidRPr="00FD211F">
        <w:rPr>
          <w:sz w:val="36"/>
          <w:szCs w:val="36"/>
          <w:rtl/>
        </w:rPr>
        <w:t>"</w:t>
      </w:r>
      <w:r w:rsidR="00E8128F">
        <w:rPr>
          <w:sz w:val="36"/>
          <w:szCs w:val="36"/>
          <w:rtl/>
        </w:rPr>
        <w:t xml:space="preserve"> </w:t>
      </w:r>
      <w:r w:rsidR="009D5A44" w:rsidRPr="00FD211F">
        <w:rPr>
          <w:sz w:val="36"/>
          <w:szCs w:val="36"/>
          <w:rtl/>
        </w:rPr>
        <w:t>فيقال</w:t>
      </w:r>
      <w:r w:rsidR="00E8128F">
        <w:rPr>
          <w:sz w:val="36"/>
          <w:szCs w:val="36"/>
          <w:rtl/>
        </w:rPr>
        <w:t xml:space="preserve"> </w:t>
      </w:r>
      <w:r w:rsidR="009D5A44" w:rsidRPr="00FD211F">
        <w:rPr>
          <w:sz w:val="36"/>
          <w:szCs w:val="36"/>
          <w:rtl/>
        </w:rPr>
        <w:t>بانه</w:t>
      </w:r>
      <w:r w:rsidR="00E8128F">
        <w:rPr>
          <w:sz w:val="36"/>
          <w:szCs w:val="36"/>
          <w:rtl/>
        </w:rPr>
        <w:t xml:space="preserve"> </w:t>
      </w:r>
      <w:r w:rsidR="009D5A44" w:rsidRPr="00FD211F">
        <w:rPr>
          <w:sz w:val="36"/>
          <w:szCs w:val="36"/>
          <w:rtl/>
        </w:rPr>
        <w:t>يشك</w:t>
      </w:r>
      <w:r w:rsidR="00E8128F">
        <w:rPr>
          <w:sz w:val="36"/>
          <w:szCs w:val="36"/>
          <w:rtl/>
        </w:rPr>
        <w:t xml:space="preserve"> </w:t>
      </w:r>
      <w:r w:rsidR="009D5A44" w:rsidRPr="00FD211F">
        <w:rPr>
          <w:sz w:val="36"/>
          <w:szCs w:val="36"/>
          <w:rtl/>
        </w:rPr>
        <w:t>في</w:t>
      </w:r>
      <w:r w:rsidR="00E8128F">
        <w:rPr>
          <w:sz w:val="36"/>
          <w:szCs w:val="36"/>
          <w:rtl/>
        </w:rPr>
        <w:t xml:space="preserve"> </w:t>
      </w:r>
      <w:r w:rsidR="009D5A44" w:rsidRPr="00FD211F">
        <w:rPr>
          <w:sz w:val="36"/>
          <w:szCs w:val="36"/>
          <w:rtl/>
        </w:rPr>
        <w:t>انه</w:t>
      </w:r>
      <w:r w:rsidR="00E8128F">
        <w:rPr>
          <w:sz w:val="36"/>
          <w:szCs w:val="36"/>
          <w:rtl/>
        </w:rPr>
        <w:t xml:space="preserve"> </w:t>
      </w:r>
      <w:r w:rsidR="009D5A44" w:rsidRPr="00FD211F">
        <w:rPr>
          <w:sz w:val="36"/>
          <w:szCs w:val="36"/>
          <w:rtl/>
        </w:rPr>
        <w:t>هل</w:t>
      </w:r>
      <w:r w:rsidR="00E8128F">
        <w:rPr>
          <w:sz w:val="36"/>
          <w:szCs w:val="36"/>
          <w:rtl/>
        </w:rPr>
        <w:t xml:space="preserve"> </w:t>
      </w:r>
      <w:r w:rsidR="009D5A44" w:rsidRPr="00FD211F">
        <w:rPr>
          <w:sz w:val="36"/>
          <w:szCs w:val="36"/>
          <w:rtl/>
        </w:rPr>
        <w:t>توضأ</w:t>
      </w:r>
      <w:r w:rsidR="00E8128F">
        <w:rPr>
          <w:sz w:val="36"/>
          <w:szCs w:val="36"/>
          <w:rtl/>
        </w:rPr>
        <w:t xml:space="preserve"> </w:t>
      </w:r>
      <w:r w:rsidR="009D5A44" w:rsidRPr="00FD211F">
        <w:rPr>
          <w:sz w:val="36"/>
          <w:szCs w:val="36"/>
          <w:rtl/>
        </w:rPr>
        <w:t>بعده</w:t>
      </w:r>
      <w:r w:rsidR="00E8128F">
        <w:rPr>
          <w:sz w:val="36"/>
          <w:szCs w:val="36"/>
          <w:rtl/>
        </w:rPr>
        <w:t xml:space="preserve"> </w:t>
      </w:r>
      <w:r w:rsidR="009D5A44" w:rsidRPr="00FD211F">
        <w:rPr>
          <w:sz w:val="36"/>
          <w:szCs w:val="36"/>
          <w:rtl/>
        </w:rPr>
        <w:t>ام</w:t>
      </w:r>
      <w:r w:rsidR="00E8128F">
        <w:rPr>
          <w:sz w:val="36"/>
          <w:szCs w:val="36"/>
          <w:rtl/>
        </w:rPr>
        <w:t xml:space="preserve"> </w:t>
      </w:r>
      <w:r w:rsidR="009D5A44" w:rsidRPr="00FD211F">
        <w:rPr>
          <w:sz w:val="36"/>
          <w:szCs w:val="36"/>
          <w:rtl/>
        </w:rPr>
        <w:t>لا</w:t>
      </w:r>
      <w:r w:rsidR="00603323" w:rsidRPr="00FD211F">
        <w:rPr>
          <w:sz w:val="36"/>
          <w:szCs w:val="36"/>
          <w:rtl/>
        </w:rPr>
        <w:t>،</w:t>
      </w:r>
      <w:r w:rsidR="00E8128F">
        <w:rPr>
          <w:sz w:val="36"/>
          <w:szCs w:val="36"/>
          <w:rtl/>
        </w:rPr>
        <w:t xml:space="preserve"> </w:t>
      </w:r>
      <w:r w:rsidR="009D5A44" w:rsidRPr="00FD211F">
        <w:rPr>
          <w:sz w:val="36"/>
          <w:szCs w:val="36"/>
          <w:rtl/>
        </w:rPr>
        <w:t>فانه</w:t>
      </w:r>
      <w:r w:rsidR="00E8128F">
        <w:rPr>
          <w:sz w:val="36"/>
          <w:szCs w:val="36"/>
          <w:rtl/>
        </w:rPr>
        <w:t xml:space="preserve"> </w:t>
      </w:r>
      <w:r w:rsidR="009D5A44" w:rsidRPr="00FD211F">
        <w:rPr>
          <w:sz w:val="36"/>
          <w:szCs w:val="36"/>
          <w:rtl/>
        </w:rPr>
        <w:t>لو</w:t>
      </w:r>
      <w:r w:rsidR="00E8128F">
        <w:rPr>
          <w:sz w:val="36"/>
          <w:szCs w:val="36"/>
          <w:rtl/>
        </w:rPr>
        <w:t xml:space="preserve"> </w:t>
      </w:r>
      <w:r w:rsidR="009D5A44" w:rsidRPr="00FD211F">
        <w:rPr>
          <w:sz w:val="36"/>
          <w:szCs w:val="36"/>
          <w:rtl/>
        </w:rPr>
        <w:t>كان</w:t>
      </w:r>
      <w:r w:rsidR="00E8128F">
        <w:rPr>
          <w:sz w:val="36"/>
          <w:szCs w:val="36"/>
          <w:rtl/>
        </w:rPr>
        <w:t xml:space="preserve"> </w:t>
      </w:r>
      <w:r w:rsidR="009D5A44" w:rsidRPr="00FD211F">
        <w:rPr>
          <w:sz w:val="36"/>
          <w:szCs w:val="36"/>
          <w:rtl/>
        </w:rPr>
        <w:t>آخر</w:t>
      </w:r>
      <w:r w:rsidR="00E8128F">
        <w:rPr>
          <w:sz w:val="36"/>
          <w:szCs w:val="36"/>
          <w:rtl/>
        </w:rPr>
        <w:t xml:space="preserve"> </w:t>
      </w:r>
      <w:r w:rsidR="009D5A44" w:rsidRPr="00FD211F">
        <w:rPr>
          <w:sz w:val="36"/>
          <w:szCs w:val="36"/>
          <w:rtl/>
        </w:rPr>
        <w:t>نومه</w:t>
      </w:r>
      <w:r w:rsidR="00E8128F">
        <w:rPr>
          <w:sz w:val="36"/>
          <w:szCs w:val="36"/>
          <w:rtl/>
        </w:rPr>
        <w:t xml:space="preserve"> </w:t>
      </w:r>
      <w:r w:rsidR="009D5A44" w:rsidRPr="00FD211F">
        <w:rPr>
          <w:sz w:val="36"/>
          <w:szCs w:val="36"/>
          <w:rtl/>
        </w:rPr>
        <w:t>صادرا</w:t>
      </w:r>
      <w:r w:rsidR="00E8128F">
        <w:rPr>
          <w:sz w:val="36"/>
          <w:szCs w:val="36"/>
          <w:rtl/>
        </w:rPr>
        <w:t xml:space="preserve"> </w:t>
      </w:r>
      <w:r w:rsidR="009D5A44" w:rsidRPr="00FD211F">
        <w:rPr>
          <w:sz w:val="36"/>
          <w:szCs w:val="36"/>
          <w:rtl/>
        </w:rPr>
        <w:t>منه</w:t>
      </w:r>
      <w:r w:rsidR="00E8128F">
        <w:rPr>
          <w:sz w:val="36"/>
          <w:szCs w:val="36"/>
          <w:rtl/>
        </w:rPr>
        <w:t xml:space="preserve"> </w:t>
      </w:r>
      <w:r w:rsidR="009D5A44" w:rsidRPr="00FD211F">
        <w:rPr>
          <w:sz w:val="36"/>
          <w:szCs w:val="36"/>
          <w:rtl/>
        </w:rPr>
        <w:t>بعد</w:t>
      </w:r>
      <w:r w:rsidR="00E8128F">
        <w:rPr>
          <w:sz w:val="36"/>
          <w:szCs w:val="36"/>
          <w:rtl/>
        </w:rPr>
        <w:t xml:space="preserve"> </w:t>
      </w:r>
      <w:r w:rsidR="009D5A44" w:rsidRPr="00FD211F">
        <w:rPr>
          <w:sz w:val="36"/>
          <w:szCs w:val="36"/>
          <w:rtl/>
        </w:rPr>
        <w:t>ذلك</w:t>
      </w:r>
      <w:r w:rsidR="00E8128F">
        <w:rPr>
          <w:sz w:val="36"/>
          <w:szCs w:val="36"/>
          <w:rtl/>
        </w:rPr>
        <w:t xml:space="preserve"> </w:t>
      </w:r>
      <w:r w:rsidR="009D5A44" w:rsidRPr="00FD211F">
        <w:rPr>
          <w:sz w:val="36"/>
          <w:szCs w:val="36"/>
          <w:rtl/>
        </w:rPr>
        <w:t>الوضوء</w:t>
      </w:r>
      <w:r w:rsidR="00E8128F">
        <w:rPr>
          <w:sz w:val="36"/>
          <w:szCs w:val="36"/>
          <w:rtl/>
        </w:rPr>
        <w:t xml:space="preserve"> </w:t>
      </w:r>
      <w:r w:rsidR="009D5A44" w:rsidRPr="00FD211F">
        <w:rPr>
          <w:sz w:val="36"/>
          <w:szCs w:val="36"/>
          <w:rtl/>
        </w:rPr>
        <w:t>فالحدث</w:t>
      </w:r>
      <w:r w:rsidR="00E8128F">
        <w:rPr>
          <w:sz w:val="36"/>
          <w:szCs w:val="36"/>
          <w:rtl/>
        </w:rPr>
        <w:t xml:space="preserve"> </w:t>
      </w:r>
      <w:r w:rsidR="009D5A44" w:rsidRPr="00FD211F">
        <w:rPr>
          <w:sz w:val="36"/>
          <w:szCs w:val="36"/>
          <w:rtl/>
        </w:rPr>
        <w:t>باق</w:t>
      </w:r>
      <w:r w:rsidR="00E8128F">
        <w:rPr>
          <w:sz w:val="36"/>
          <w:szCs w:val="36"/>
          <w:rtl/>
        </w:rPr>
        <w:t xml:space="preserve"> </w:t>
      </w:r>
      <w:r w:rsidR="009D5A44" w:rsidRPr="00FD211F">
        <w:rPr>
          <w:sz w:val="36"/>
          <w:szCs w:val="36"/>
          <w:rtl/>
        </w:rPr>
        <w:t>لانه</w:t>
      </w:r>
      <w:r w:rsidR="00E8128F">
        <w:rPr>
          <w:sz w:val="36"/>
          <w:szCs w:val="36"/>
          <w:rtl/>
        </w:rPr>
        <w:t xml:space="preserve"> </w:t>
      </w:r>
      <w:r w:rsidR="008D7B3D" w:rsidRPr="00FD211F">
        <w:rPr>
          <w:sz w:val="36"/>
          <w:szCs w:val="36"/>
          <w:rtl/>
        </w:rPr>
        <w:t>لم‌</w:t>
      </w:r>
      <w:r w:rsidR="009D5A44" w:rsidRPr="00FD211F">
        <w:rPr>
          <w:sz w:val="36"/>
          <w:szCs w:val="36"/>
          <w:rtl/>
        </w:rPr>
        <w:t>يتوضأ</w:t>
      </w:r>
      <w:r w:rsidR="00E8128F">
        <w:rPr>
          <w:sz w:val="36"/>
          <w:szCs w:val="36"/>
          <w:rtl/>
        </w:rPr>
        <w:t xml:space="preserve"> </w:t>
      </w:r>
      <w:r w:rsidR="009D5A44" w:rsidRPr="00FD211F">
        <w:rPr>
          <w:sz w:val="36"/>
          <w:szCs w:val="36"/>
          <w:rtl/>
        </w:rPr>
        <w:t>بعده</w:t>
      </w:r>
      <w:r w:rsidR="00E8128F">
        <w:rPr>
          <w:sz w:val="36"/>
          <w:szCs w:val="36"/>
          <w:rtl/>
        </w:rPr>
        <w:t xml:space="preserve"> </w:t>
      </w:r>
      <w:r w:rsidR="009D5A44" w:rsidRPr="00FD211F">
        <w:rPr>
          <w:sz w:val="36"/>
          <w:szCs w:val="36"/>
          <w:rtl/>
        </w:rPr>
        <w:t>جزما</w:t>
      </w:r>
      <w:r w:rsidR="00603323" w:rsidRPr="00FD211F">
        <w:rPr>
          <w:sz w:val="36"/>
          <w:szCs w:val="36"/>
          <w:rtl/>
        </w:rPr>
        <w:t>،</w:t>
      </w:r>
      <w:r w:rsidR="00E8128F">
        <w:rPr>
          <w:sz w:val="36"/>
          <w:szCs w:val="36"/>
          <w:rtl/>
        </w:rPr>
        <w:t xml:space="preserve"> </w:t>
      </w:r>
      <w:r w:rsidR="009D5A44" w:rsidRPr="00FD211F">
        <w:rPr>
          <w:sz w:val="36"/>
          <w:szCs w:val="36"/>
          <w:rtl/>
        </w:rPr>
        <w:t>مع</w:t>
      </w:r>
      <w:r w:rsidR="00E8128F">
        <w:rPr>
          <w:sz w:val="36"/>
          <w:szCs w:val="36"/>
          <w:rtl/>
        </w:rPr>
        <w:t xml:space="preserve"> </w:t>
      </w:r>
      <w:r w:rsidR="009D5A44" w:rsidRPr="00FD211F">
        <w:rPr>
          <w:sz w:val="36"/>
          <w:szCs w:val="36"/>
          <w:rtl/>
        </w:rPr>
        <w:t>ان</w:t>
      </w:r>
      <w:r w:rsidR="00E8128F">
        <w:rPr>
          <w:sz w:val="36"/>
          <w:szCs w:val="36"/>
          <w:rtl/>
        </w:rPr>
        <w:t xml:space="preserve"> </w:t>
      </w:r>
      <w:r w:rsidR="009D5A44" w:rsidRPr="00FD211F">
        <w:rPr>
          <w:sz w:val="36"/>
          <w:szCs w:val="36"/>
          <w:rtl/>
        </w:rPr>
        <w:t>ذلك</w:t>
      </w:r>
      <w:r w:rsidR="00E8128F">
        <w:rPr>
          <w:sz w:val="36"/>
          <w:szCs w:val="36"/>
          <w:rtl/>
        </w:rPr>
        <w:t xml:space="preserve"> </w:t>
      </w:r>
      <w:r w:rsidR="009D5A44" w:rsidRPr="00FD211F">
        <w:rPr>
          <w:sz w:val="36"/>
          <w:szCs w:val="36"/>
          <w:rtl/>
        </w:rPr>
        <w:t>خلاف</w:t>
      </w:r>
      <w:r w:rsidR="00E8128F">
        <w:rPr>
          <w:sz w:val="36"/>
          <w:szCs w:val="36"/>
          <w:rtl/>
        </w:rPr>
        <w:t xml:space="preserve"> </w:t>
      </w:r>
      <w:r w:rsidR="009D5A44" w:rsidRPr="00FD211F">
        <w:rPr>
          <w:sz w:val="36"/>
          <w:szCs w:val="36"/>
          <w:rtl/>
        </w:rPr>
        <w:t>المتفاهم</w:t>
      </w:r>
      <w:r w:rsidR="00E8128F">
        <w:rPr>
          <w:sz w:val="36"/>
          <w:szCs w:val="36"/>
          <w:rtl/>
        </w:rPr>
        <w:t xml:space="preserve"> </w:t>
      </w:r>
      <w:r w:rsidR="009D5A44" w:rsidRPr="00FD211F">
        <w:rPr>
          <w:sz w:val="36"/>
          <w:szCs w:val="36"/>
          <w:rtl/>
        </w:rPr>
        <w:t>العرفي.</w:t>
      </w:r>
    </w:p>
    <w:p w14:paraId="7946B102" w14:textId="77777777" w:rsidR="00C54BEB" w:rsidRPr="00FD211F" w:rsidRDefault="009D5A44" w:rsidP="009C58C8">
      <w:pPr>
        <w:ind w:left="0" w:firstLine="227"/>
        <w:jc w:val="both"/>
        <w:rPr>
          <w:sz w:val="36"/>
          <w:szCs w:val="36"/>
          <w:rtl/>
        </w:rPr>
      </w:pPr>
      <w:r w:rsidRPr="00FD211F">
        <w:rPr>
          <w:sz w:val="36"/>
          <w:szCs w:val="36"/>
          <w:rtl/>
        </w:rPr>
        <w:t>ولو</w:t>
      </w:r>
      <w:r w:rsidR="00E8128F">
        <w:rPr>
          <w:sz w:val="36"/>
          <w:szCs w:val="36"/>
          <w:rtl/>
        </w:rPr>
        <w:t xml:space="preserve"> </w:t>
      </w:r>
      <w:r w:rsidRPr="00FD211F">
        <w:rPr>
          <w:sz w:val="36"/>
          <w:szCs w:val="36"/>
          <w:rtl/>
        </w:rPr>
        <w:t>كفى</w:t>
      </w:r>
      <w:r w:rsidR="00E8128F">
        <w:rPr>
          <w:sz w:val="36"/>
          <w:szCs w:val="36"/>
          <w:rtl/>
        </w:rPr>
        <w:t xml:space="preserve"> </w:t>
      </w:r>
      <w:r w:rsidRPr="00FD211F">
        <w:rPr>
          <w:sz w:val="36"/>
          <w:szCs w:val="36"/>
          <w:rtl/>
        </w:rPr>
        <w:t>انتزاع</w:t>
      </w:r>
      <w:r w:rsidR="00E8128F">
        <w:rPr>
          <w:sz w:val="36"/>
          <w:szCs w:val="36"/>
          <w:rtl/>
        </w:rPr>
        <w:t xml:space="preserve"> </w:t>
      </w:r>
      <w:r w:rsidRPr="00FD211F">
        <w:rPr>
          <w:sz w:val="36"/>
          <w:szCs w:val="36"/>
          <w:rtl/>
        </w:rPr>
        <w:t>العنوان</w:t>
      </w:r>
      <w:r w:rsidR="00E8128F">
        <w:rPr>
          <w:sz w:val="36"/>
          <w:szCs w:val="36"/>
          <w:rtl/>
        </w:rPr>
        <w:t xml:space="preserve"> </w:t>
      </w:r>
      <w:r w:rsidRPr="00FD211F">
        <w:rPr>
          <w:sz w:val="36"/>
          <w:szCs w:val="36"/>
          <w:rtl/>
        </w:rPr>
        <w:t>الإجمالي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جريان</w:t>
      </w:r>
      <w:r w:rsidR="00E8128F">
        <w:rPr>
          <w:sz w:val="36"/>
          <w:szCs w:val="36"/>
          <w:rtl/>
        </w:rPr>
        <w:t xml:space="preserve"> </w:t>
      </w:r>
      <w:r w:rsidRPr="00FD211F">
        <w:rPr>
          <w:sz w:val="36"/>
          <w:szCs w:val="36"/>
          <w:rtl/>
        </w:rPr>
        <w:t>الاستصحاب</w:t>
      </w:r>
      <w:r w:rsidR="00E8128F">
        <w:rPr>
          <w:sz w:val="36"/>
          <w:szCs w:val="36"/>
          <w:rtl/>
        </w:rPr>
        <w:t xml:space="preserve"> </w:t>
      </w:r>
      <w:r w:rsidRPr="00FD211F">
        <w:rPr>
          <w:sz w:val="36"/>
          <w:szCs w:val="36"/>
          <w:rtl/>
        </w:rPr>
        <w:t>الموضوعي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الشبه</w:t>
      </w:r>
      <w:r w:rsidR="00EC7EDF" w:rsidRPr="00FD211F">
        <w:rPr>
          <w:sz w:val="36"/>
          <w:szCs w:val="36"/>
          <w:rtl/>
        </w:rPr>
        <w:t>ة</w:t>
      </w:r>
      <w:r w:rsidR="00E8128F">
        <w:rPr>
          <w:sz w:val="36"/>
          <w:szCs w:val="36"/>
          <w:rtl/>
        </w:rPr>
        <w:t xml:space="preserve"> </w:t>
      </w:r>
      <w:r w:rsidRPr="00FD211F">
        <w:rPr>
          <w:sz w:val="36"/>
          <w:szCs w:val="36"/>
          <w:rtl/>
        </w:rPr>
        <w:t>المفهومي</w:t>
      </w:r>
      <w:r w:rsidR="00EC7EDF" w:rsidRPr="00FD211F">
        <w:rPr>
          <w:sz w:val="36"/>
          <w:szCs w:val="36"/>
          <w:rtl/>
        </w:rPr>
        <w:t>ة</w:t>
      </w:r>
      <w:r w:rsidR="00E8128F">
        <w:rPr>
          <w:sz w:val="36"/>
          <w:szCs w:val="36"/>
          <w:rtl/>
        </w:rPr>
        <w:t xml:space="preserve"> </w:t>
      </w:r>
      <w:r w:rsidR="00BD5E5F" w:rsidRPr="00FD211F">
        <w:rPr>
          <w:sz w:val="36"/>
          <w:szCs w:val="36"/>
          <w:rtl/>
        </w:rPr>
        <w:t>لزم</w:t>
      </w:r>
      <w:r w:rsidR="00E8128F">
        <w:rPr>
          <w:sz w:val="36"/>
          <w:szCs w:val="36"/>
          <w:rtl/>
        </w:rPr>
        <w:t xml:space="preserve"> </w:t>
      </w:r>
      <w:r w:rsidR="00BD5E5F" w:rsidRPr="00FD211F">
        <w:rPr>
          <w:sz w:val="36"/>
          <w:szCs w:val="36"/>
          <w:rtl/>
        </w:rPr>
        <w:t>جريان</w:t>
      </w:r>
      <w:r w:rsidR="00E8128F">
        <w:rPr>
          <w:sz w:val="36"/>
          <w:szCs w:val="36"/>
          <w:rtl/>
        </w:rPr>
        <w:t xml:space="preserve"> </w:t>
      </w:r>
      <w:r w:rsidR="00BD5E5F" w:rsidRPr="00FD211F">
        <w:rPr>
          <w:sz w:val="36"/>
          <w:szCs w:val="36"/>
          <w:rtl/>
        </w:rPr>
        <w:t>الاستصحاب</w:t>
      </w:r>
      <w:r w:rsidR="00E8128F">
        <w:rPr>
          <w:sz w:val="36"/>
          <w:szCs w:val="36"/>
          <w:rtl/>
        </w:rPr>
        <w:t xml:space="preserve"> </w:t>
      </w:r>
      <w:r w:rsidR="00BD5E5F" w:rsidRPr="00FD211F">
        <w:rPr>
          <w:sz w:val="36"/>
          <w:szCs w:val="36"/>
          <w:rtl/>
        </w:rPr>
        <w:t>الموضوعي</w:t>
      </w:r>
      <w:r w:rsidR="00E8128F">
        <w:rPr>
          <w:sz w:val="36"/>
          <w:szCs w:val="36"/>
          <w:rtl/>
        </w:rPr>
        <w:t xml:space="preserve"> </w:t>
      </w:r>
      <w:r w:rsidR="00BD5E5F" w:rsidRPr="00FD211F">
        <w:rPr>
          <w:sz w:val="36"/>
          <w:szCs w:val="36"/>
          <w:rtl/>
        </w:rPr>
        <w:t>في</w:t>
      </w:r>
      <w:r w:rsidR="00E8128F">
        <w:rPr>
          <w:sz w:val="36"/>
          <w:szCs w:val="36"/>
          <w:rtl/>
        </w:rPr>
        <w:t xml:space="preserve"> </w:t>
      </w:r>
      <w:r w:rsidR="00BD5E5F" w:rsidRPr="00FD211F">
        <w:rPr>
          <w:sz w:val="36"/>
          <w:szCs w:val="36"/>
          <w:rtl/>
        </w:rPr>
        <w:t>الشبه</w:t>
      </w:r>
      <w:r w:rsidR="00EC7EDF" w:rsidRPr="00FD211F">
        <w:rPr>
          <w:sz w:val="36"/>
          <w:szCs w:val="36"/>
          <w:rtl/>
        </w:rPr>
        <w:t>ة</w:t>
      </w:r>
      <w:r w:rsidR="00E8128F">
        <w:rPr>
          <w:sz w:val="36"/>
          <w:szCs w:val="36"/>
          <w:rtl/>
        </w:rPr>
        <w:t xml:space="preserve"> </w:t>
      </w:r>
      <w:r w:rsidR="00BD5E5F" w:rsidRPr="00FD211F">
        <w:rPr>
          <w:sz w:val="36"/>
          <w:szCs w:val="36"/>
          <w:rtl/>
        </w:rPr>
        <w:t>الحكمي</w:t>
      </w:r>
      <w:r w:rsidR="00EC7EDF" w:rsidRPr="00FD211F">
        <w:rPr>
          <w:sz w:val="36"/>
          <w:szCs w:val="36"/>
          <w:rtl/>
        </w:rPr>
        <w:t>ة</w:t>
      </w:r>
      <w:r w:rsidR="00E8128F">
        <w:rPr>
          <w:sz w:val="36"/>
          <w:szCs w:val="36"/>
          <w:rtl/>
        </w:rPr>
        <w:t xml:space="preserve"> </w:t>
      </w:r>
      <w:r w:rsidR="00BD5E5F" w:rsidRPr="00FD211F">
        <w:rPr>
          <w:sz w:val="36"/>
          <w:szCs w:val="36"/>
          <w:rtl/>
        </w:rPr>
        <w:t>ايضا</w:t>
      </w:r>
      <w:r w:rsidR="00603323" w:rsidRPr="00FD211F">
        <w:rPr>
          <w:sz w:val="36"/>
          <w:szCs w:val="36"/>
          <w:rtl/>
        </w:rPr>
        <w:t>،</w:t>
      </w:r>
      <w:r w:rsidR="00E8128F">
        <w:rPr>
          <w:sz w:val="36"/>
          <w:szCs w:val="36"/>
          <w:rtl/>
        </w:rPr>
        <w:t xml:space="preserve"> </w:t>
      </w:r>
      <w:r w:rsidR="00BD5E5F" w:rsidRPr="00FD211F">
        <w:rPr>
          <w:sz w:val="36"/>
          <w:szCs w:val="36"/>
          <w:rtl/>
        </w:rPr>
        <w:t>حيث</w:t>
      </w:r>
      <w:r w:rsidR="00E8128F">
        <w:rPr>
          <w:sz w:val="36"/>
          <w:szCs w:val="36"/>
          <w:rtl/>
        </w:rPr>
        <w:t xml:space="preserve"> </w:t>
      </w:r>
      <w:r w:rsidR="00BF7022" w:rsidRPr="00FD211F">
        <w:rPr>
          <w:sz w:val="36"/>
          <w:szCs w:val="36"/>
          <w:rtl/>
        </w:rPr>
        <w:t>انه</w:t>
      </w:r>
      <w:r w:rsidR="00E8128F">
        <w:rPr>
          <w:sz w:val="36"/>
          <w:szCs w:val="36"/>
          <w:rtl/>
        </w:rPr>
        <w:t xml:space="preserve"> </w:t>
      </w:r>
      <w:r w:rsidR="00BD5E5F" w:rsidRPr="00FD211F">
        <w:rPr>
          <w:sz w:val="36"/>
          <w:szCs w:val="36"/>
          <w:rtl/>
        </w:rPr>
        <w:t>اذا</w:t>
      </w:r>
      <w:r w:rsidR="00E8128F">
        <w:rPr>
          <w:sz w:val="36"/>
          <w:szCs w:val="36"/>
          <w:rtl/>
        </w:rPr>
        <w:t xml:space="preserve"> </w:t>
      </w:r>
      <w:r w:rsidR="008D7B3D" w:rsidRPr="00FD211F">
        <w:rPr>
          <w:sz w:val="36"/>
          <w:szCs w:val="36"/>
          <w:rtl/>
        </w:rPr>
        <w:t>لم‌</w:t>
      </w:r>
      <w:r w:rsidR="00BD5E5F" w:rsidRPr="00FD211F">
        <w:rPr>
          <w:sz w:val="36"/>
          <w:szCs w:val="36"/>
          <w:rtl/>
        </w:rPr>
        <w:t>يعلم</w:t>
      </w:r>
      <w:r w:rsidR="00E8128F">
        <w:rPr>
          <w:sz w:val="36"/>
          <w:szCs w:val="36"/>
          <w:rtl/>
        </w:rPr>
        <w:t xml:space="preserve"> </w:t>
      </w:r>
      <w:r w:rsidR="00BD5E5F" w:rsidRPr="00FD211F">
        <w:rPr>
          <w:sz w:val="36"/>
          <w:szCs w:val="36"/>
          <w:rtl/>
        </w:rPr>
        <w:t>ان</w:t>
      </w:r>
      <w:r w:rsidR="00E8128F">
        <w:rPr>
          <w:sz w:val="36"/>
          <w:szCs w:val="36"/>
          <w:rtl/>
        </w:rPr>
        <w:t xml:space="preserve"> </w:t>
      </w:r>
      <w:r w:rsidR="00BD5E5F" w:rsidRPr="00FD211F">
        <w:rPr>
          <w:sz w:val="36"/>
          <w:szCs w:val="36"/>
          <w:rtl/>
        </w:rPr>
        <w:t>الشارع</w:t>
      </w:r>
      <w:r w:rsidR="00E8128F">
        <w:rPr>
          <w:sz w:val="36"/>
          <w:szCs w:val="36"/>
          <w:rtl/>
        </w:rPr>
        <w:t xml:space="preserve"> </w:t>
      </w:r>
      <w:r w:rsidR="00336FD9" w:rsidRPr="00FD211F">
        <w:rPr>
          <w:sz w:val="36"/>
          <w:szCs w:val="36"/>
          <w:rtl/>
        </w:rPr>
        <w:t>هل</w:t>
      </w:r>
      <w:r w:rsidR="00E8128F">
        <w:rPr>
          <w:sz w:val="36"/>
          <w:szCs w:val="36"/>
          <w:rtl/>
        </w:rPr>
        <w:t xml:space="preserve"> </w:t>
      </w:r>
      <w:r w:rsidR="00BD5E5F" w:rsidRPr="00FD211F">
        <w:rPr>
          <w:sz w:val="36"/>
          <w:szCs w:val="36"/>
          <w:rtl/>
        </w:rPr>
        <w:t>أمر</w:t>
      </w:r>
      <w:r w:rsidR="00E8128F">
        <w:rPr>
          <w:sz w:val="36"/>
          <w:szCs w:val="36"/>
          <w:rtl/>
        </w:rPr>
        <w:t xml:space="preserve"> </w:t>
      </w:r>
      <w:r w:rsidR="00BD5E5F" w:rsidRPr="00FD211F">
        <w:rPr>
          <w:sz w:val="36"/>
          <w:szCs w:val="36"/>
          <w:rtl/>
        </w:rPr>
        <w:t>باكرام</w:t>
      </w:r>
      <w:r w:rsidR="00E8128F">
        <w:rPr>
          <w:sz w:val="36"/>
          <w:szCs w:val="36"/>
          <w:rtl/>
        </w:rPr>
        <w:t xml:space="preserve"> </w:t>
      </w:r>
      <w:r w:rsidR="00320D47" w:rsidRPr="00FD211F">
        <w:rPr>
          <w:sz w:val="36"/>
          <w:szCs w:val="36"/>
          <w:rtl/>
        </w:rPr>
        <w:t>العالم</w:t>
      </w:r>
      <w:r w:rsidR="00E8128F">
        <w:rPr>
          <w:sz w:val="36"/>
          <w:szCs w:val="36"/>
          <w:rtl/>
        </w:rPr>
        <w:t xml:space="preserve"> </w:t>
      </w:r>
      <w:r w:rsidR="00320D47" w:rsidRPr="00FD211F">
        <w:rPr>
          <w:sz w:val="36"/>
          <w:szCs w:val="36"/>
          <w:rtl/>
        </w:rPr>
        <w:t>او</w:t>
      </w:r>
      <w:r w:rsidR="00336FD9" w:rsidRPr="00FD211F">
        <w:rPr>
          <w:sz w:val="36"/>
          <w:szCs w:val="36"/>
          <w:rtl/>
        </w:rPr>
        <w:t>أنه</w:t>
      </w:r>
      <w:r w:rsidR="00E8128F">
        <w:rPr>
          <w:sz w:val="36"/>
          <w:szCs w:val="36"/>
          <w:rtl/>
        </w:rPr>
        <w:t xml:space="preserve"> </w:t>
      </w:r>
      <w:r w:rsidR="00336FD9" w:rsidRPr="00FD211F">
        <w:rPr>
          <w:sz w:val="36"/>
          <w:szCs w:val="36"/>
          <w:rtl/>
        </w:rPr>
        <w:t>أمر</w:t>
      </w:r>
      <w:r w:rsidR="00E8128F">
        <w:rPr>
          <w:sz w:val="36"/>
          <w:szCs w:val="36"/>
          <w:rtl/>
        </w:rPr>
        <w:t xml:space="preserve"> </w:t>
      </w:r>
      <w:r w:rsidR="00320D47" w:rsidRPr="00FD211F">
        <w:rPr>
          <w:sz w:val="36"/>
          <w:szCs w:val="36"/>
          <w:rtl/>
        </w:rPr>
        <w:t>باكرام</w:t>
      </w:r>
      <w:r w:rsidR="00E8128F">
        <w:rPr>
          <w:sz w:val="36"/>
          <w:szCs w:val="36"/>
          <w:rtl/>
        </w:rPr>
        <w:t xml:space="preserve"> </w:t>
      </w:r>
      <w:r w:rsidR="00320D47" w:rsidRPr="00FD211F">
        <w:rPr>
          <w:sz w:val="36"/>
          <w:szCs w:val="36"/>
          <w:rtl/>
        </w:rPr>
        <w:t>العالم</w:t>
      </w:r>
      <w:r w:rsidR="00E8128F">
        <w:rPr>
          <w:sz w:val="36"/>
          <w:szCs w:val="36"/>
          <w:rtl/>
        </w:rPr>
        <w:t xml:space="preserve"> </w:t>
      </w:r>
      <w:r w:rsidR="00BD5E5F" w:rsidRPr="00FD211F">
        <w:rPr>
          <w:sz w:val="36"/>
          <w:szCs w:val="36"/>
          <w:rtl/>
        </w:rPr>
        <w:t>العادل</w:t>
      </w:r>
      <w:r w:rsidR="00603323" w:rsidRPr="00FD211F">
        <w:rPr>
          <w:sz w:val="36"/>
          <w:szCs w:val="36"/>
          <w:rtl/>
        </w:rPr>
        <w:t>،</w:t>
      </w:r>
      <w:r w:rsidR="00E8128F">
        <w:rPr>
          <w:sz w:val="36"/>
          <w:szCs w:val="36"/>
          <w:rtl/>
        </w:rPr>
        <w:t xml:space="preserve"> </w:t>
      </w:r>
      <w:r w:rsidR="00320D47" w:rsidRPr="00FD211F">
        <w:rPr>
          <w:sz w:val="36"/>
          <w:szCs w:val="36"/>
          <w:rtl/>
        </w:rPr>
        <w:t>وكان</w:t>
      </w:r>
      <w:r w:rsidR="00E8128F">
        <w:rPr>
          <w:sz w:val="36"/>
          <w:szCs w:val="36"/>
          <w:rtl/>
        </w:rPr>
        <w:t xml:space="preserve"> </w:t>
      </w:r>
      <w:r w:rsidR="00320D47" w:rsidRPr="00FD211F">
        <w:rPr>
          <w:sz w:val="36"/>
          <w:szCs w:val="36"/>
          <w:rtl/>
        </w:rPr>
        <w:t>زيد</w:t>
      </w:r>
      <w:r w:rsidR="00E8128F">
        <w:rPr>
          <w:sz w:val="36"/>
          <w:szCs w:val="36"/>
          <w:rtl/>
        </w:rPr>
        <w:t xml:space="preserve"> </w:t>
      </w:r>
      <w:r w:rsidR="00320D47" w:rsidRPr="00FD211F">
        <w:rPr>
          <w:sz w:val="36"/>
          <w:szCs w:val="36"/>
          <w:rtl/>
        </w:rPr>
        <w:t>عالما</w:t>
      </w:r>
      <w:r w:rsidR="00E8128F">
        <w:rPr>
          <w:sz w:val="36"/>
          <w:szCs w:val="36"/>
          <w:rtl/>
        </w:rPr>
        <w:t xml:space="preserve"> </w:t>
      </w:r>
      <w:r w:rsidR="00320D47" w:rsidRPr="00FD211F">
        <w:rPr>
          <w:sz w:val="36"/>
          <w:szCs w:val="36"/>
          <w:rtl/>
        </w:rPr>
        <w:t>عادلا</w:t>
      </w:r>
      <w:r w:rsidR="00E8128F">
        <w:rPr>
          <w:sz w:val="36"/>
          <w:szCs w:val="36"/>
          <w:rtl/>
        </w:rPr>
        <w:t xml:space="preserve"> </w:t>
      </w:r>
      <w:r w:rsidR="00320D47" w:rsidRPr="00FD211F">
        <w:rPr>
          <w:sz w:val="36"/>
          <w:szCs w:val="36"/>
          <w:rtl/>
        </w:rPr>
        <w:t>في</w:t>
      </w:r>
      <w:r w:rsidR="00E8128F">
        <w:rPr>
          <w:sz w:val="36"/>
          <w:szCs w:val="36"/>
          <w:rtl/>
        </w:rPr>
        <w:t xml:space="preserve"> </w:t>
      </w:r>
      <w:r w:rsidR="00320D47" w:rsidRPr="00FD211F">
        <w:rPr>
          <w:sz w:val="36"/>
          <w:szCs w:val="36"/>
          <w:rtl/>
        </w:rPr>
        <w:t>زمان</w:t>
      </w:r>
      <w:r w:rsidR="00E8128F">
        <w:rPr>
          <w:sz w:val="36"/>
          <w:szCs w:val="36"/>
          <w:rtl/>
        </w:rPr>
        <w:t xml:space="preserve"> </w:t>
      </w:r>
      <w:r w:rsidR="00320D47" w:rsidRPr="00FD211F">
        <w:rPr>
          <w:sz w:val="36"/>
          <w:szCs w:val="36"/>
          <w:rtl/>
        </w:rPr>
        <w:t>ثم</w:t>
      </w:r>
      <w:r w:rsidR="00E8128F">
        <w:rPr>
          <w:sz w:val="36"/>
          <w:szCs w:val="36"/>
          <w:rtl/>
        </w:rPr>
        <w:t xml:space="preserve"> </w:t>
      </w:r>
      <w:r w:rsidR="00320D47" w:rsidRPr="00FD211F">
        <w:rPr>
          <w:sz w:val="36"/>
          <w:szCs w:val="36"/>
          <w:rtl/>
        </w:rPr>
        <w:t>زالت</w:t>
      </w:r>
      <w:r w:rsidR="00E8128F">
        <w:rPr>
          <w:sz w:val="36"/>
          <w:szCs w:val="36"/>
          <w:rtl/>
        </w:rPr>
        <w:t xml:space="preserve"> </w:t>
      </w:r>
      <w:r w:rsidR="00320D47" w:rsidRPr="00FD211F">
        <w:rPr>
          <w:sz w:val="36"/>
          <w:szCs w:val="36"/>
          <w:rtl/>
        </w:rPr>
        <w:t>عدالته</w:t>
      </w:r>
      <w:r w:rsidR="00E8128F">
        <w:rPr>
          <w:sz w:val="36"/>
          <w:szCs w:val="36"/>
          <w:rtl/>
        </w:rPr>
        <w:t xml:space="preserve"> </w:t>
      </w:r>
      <w:r w:rsidR="00320D47" w:rsidRPr="00FD211F">
        <w:rPr>
          <w:sz w:val="36"/>
          <w:szCs w:val="36"/>
          <w:rtl/>
        </w:rPr>
        <w:t>فيقال</w:t>
      </w:r>
      <w:r w:rsidR="00E8128F">
        <w:rPr>
          <w:sz w:val="36"/>
          <w:szCs w:val="36"/>
          <w:rtl/>
        </w:rPr>
        <w:t xml:space="preserve"> </w:t>
      </w:r>
      <w:r w:rsidR="00320D47" w:rsidRPr="00FD211F">
        <w:rPr>
          <w:sz w:val="36"/>
          <w:szCs w:val="36"/>
          <w:rtl/>
        </w:rPr>
        <w:t>انه</w:t>
      </w:r>
      <w:r w:rsidR="00E8128F">
        <w:rPr>
          <w:sz w:val="36"/>
          <w:szCs w:val="36"/>
          <w:rtl/>
        </w:rPr>
        <w:t xml:space="preserve"> </w:t>
      </w:r>
      <w:r w:rsidR="00320D47" w:rsidRPr="00FD211F">
        <w:rPr>
          <w:sz w:val="36"/>
          <w:szCs w:val="36"/>
          <w:rtl/>
        </w:rPr>
        <w:t>كان</w:t>
      </w:r>
      <w:r w:rsidR="00E8128F">
        <w:rPr>
          <w:sz w:val="36"/>
          <w:szCs w:val="36"/>
          <w:rtl/>
        </w:rPr>
        <w:t xml:space="preserve"> </w:t>
      </w:r>
      <w:r w:rsidR="00320D47" w:rsidRPr="00FD211F">
        <w:rPr>
          <w:sz w:val="36"/>
          <w:szCs w:val="36"/>
          <w:rtl/>
        </w:rPr>
        <w:t>مصداقا</w:t>
      </w:r>
      <w:r w:rsidR="00E8128F">
        <w:rPr>
          <w:sz w:val="36"/>
          <w:szCs w:val="36"/>
          <w:rtl/>
        </w:rPr>
        <w:t xml:space="preserve"> </w:t>
      </w:r>
      <w:r w:rsidR="00320D47" w:rsidRPr="00FD211F">
        <w:rPr>
          <w:sz w:val="36"/>
          <w:szCs w:val="36"/>
          <w:rtl/>
        </w:rPr>
        <w:t>لذلك</w:t>
      </w:r>
      <w:r w:rsidR="00E8128F">
        <w:rPr>
          <w:sz w:val="36"/>
          <w:szCs w:val="36"/>
          <w:rtl/>
        </w:rPr>
        <w:t xml:space="preserve"> </w:t>
      </w:r>
      <w:r w:rsidR="00320D47" w:rsidRPr="00FD211F">
        <w:rPr>
          <w:sz w:val="36"/>
          <w:szCs w:val="36"/>
          <w:rtl/>
        </w:rPr>
        <w:t>العنوان</w:t>
      </w:r>
      <w:r w:rsidR="00E8128F">
        <w:rPr>
          <w:sz w:val="36"/>
          <w:szCs w:val="36"/>
          <w:rtl/>
        </w:rPr>
        <w:t xml:space="preserve"> </w:t>
      </w:r>
      <w:r w:rsidR="00320D47" w:rsidRPr="00FD211F">
        <w:rPr>
          <w:sz w:val="36"/>
          <w:szCs w:val="36"/>
          <w:rtl/>
        </w:rPr>
        <w:t>الذي</w:t>
      </w:r>
      <w:r w:rsidR="00E8128F">
        <w:rPr>
          <w:sz w:val="36"/>
          <w:szCs w:val="36"/>
          <w:rtl/>
        </w:rPr>
        <w:t xml:space="preserve"> </w:t>
      </w:r>
      <w:r w:rsidR="00320D47" w:rsidRPr="00FD211F">
        <w:rPr>
          <w:sz w:val="36"/>
          <w:szCs w:val="36"/>
          <w:rtl/>
        </w:rPr>
        <w:t>ثبت</w:t>
      </w:r>
      <w:r w:rsidR="00E8128F">
        <w:rPr>
          <w:sz w:val="36"/>
          <w:szCs w:val="36"/>
          <w:rtl/>
        </w:rPr>
        <w:t xml:space="preserve"> </w:t>
      </w:r>
      <w:r w:rsidR="00320D47" w:rsidRPr="00FD211F">
        <w:rPr>
          <w:sz w:val="36"/>
          <w:szCs w:val="36"/>
          <w:rtl/>
        </w:rPr>
        <w:t>له</w:t>
      </w:r>
      <w:r w:rsidR="00E8128F">
        <w:rPr>
          <w:sz w:val="36"/>
          <w:szCs w:val="36"/>
          <w:rtl/>
        </w:rPr>
        <w:t xml:space="preserve"> </w:t>
      </w:r>
      <w:r w:rsidR="00320D47" w:rsidRPr="00FD211F">
        <w:rPr>
          <w:sz w:val="36"/>
          <w:szCs w:val="36"/>
          <w:rtl/>
        </w:rPr>
        <w:t>وجوب</w:t>
      </w:r>
      <w:r w:rsidR="00E8128F">
        <w:rPr>
          <w:sz w:val="36"/>
          <w:szCs w:val="36"/>
          <w:rtl/>
        </w:rPr>
        <w:t xml:space="preserve"> </w:t>
      </w:r>
      <w:r w:rsidR="00320D47" w:rsidRPr="00FD211F">
        <w:rPr>
          <w:sz w:val="36"/>
          <w:szCs w:val="36"/>
          <w:rtl/>
        </w:rPr>
        <w:t>الاكرام</w:t>
      </w:r>
      <w:r w:rsidR="00E8128F">
        <w:rPr>
          <w:sz w:val="36"/>
          <w:szCs w:val="36"/>
          <w:rtl/>
        </w:rPr>
        <w:t xml:space="preserve"> </w:t>
      </w:r>
      <w:r w:rsidR="00320D47" w:rsidRPr="00FD211F">
        <w:rPr>
          <w:sz w:val="36"/>
          <w:szCs w:val="36"/>
          <w:rtl/>
        </w:rPr>
        <w:t>فنستصحب</w:t>
      </w:r>
      <w:r w:rsidR="00E8128F">
        <w:rPr>
          <w:sz w:val="36"/>
          <w:szCs w:val="36"/>
          <w:rtl/>
        </w:rPr>
        <w:t xml:space="preserve"> </w:t>
      </w:r>
      <w:r w:rsidR="00320D47" w:rsidRPr="00FD211F">
        <w:rPr>
          <w:sz w:val="36"/>
          <w:szCs w:val="36"/>
          <w:rtl/>
        </w:rPr>
        <w:t>كونه</w:t>
      </w:r>
      <w:r w:rsidR="00E8128F">
        <w:rPr>
          <w:sz w:val="36"/>
          <w:szCs w:val="36"/>
          <w:rtl/>
        </w:rPr>
        <w:t xml:space="preserve"> </w:t>
      </w:r>
      <w:r w:rsidR="00320D47" w:rsidRPr="00FD211F">
        <w:rPr>
          <w:sz w:val="36"/>
          <w:szCs w:val="36"/>
          <w:rtl/>
        </w:rPr>
        <w:t>مصداقا</w:t>
      </w:r>
      <w:r w:rsidR="00E8128F">
        <w:rPr>
          <w:sz w:val="36"/>
          <w:szCs w:val="36"/>
          <w:rtl/>
        </w:rPr>
        <w:t xml:space="preserve"> </w:t>
      </w:r>
      <w:r w:rsidR="00320D47" w:rsidRPr="00FD211F">
        <w:rPr>
          <w:sz w:val="36"/>
          <w:szCs w:val="36"/>
          <w:rtl/>
        </w:rPr>
        <w:t>له</w:t>
      </w:r>
      <w:r w:rsidR="00E8128F">
        <w:rPr>
          <w:sz w:val="36"/>
          <w:szCs w:val="36"/>
          <w:rtl/>
        </w:rPr>
        <w:t xml:space="preserve"> </w:t>
      </w:r>
      <w:r w:rsidR="00320D47" w:rsidRPr="00FD211F">
        <w:rPr>
          <w:sz w:val="36"/>
          <w:szCs w:val="36"/>
          <w:rtl/>
        </w:rPr>
        <w:t>الى</w:t>
      </w:r>
      <w:r w:rsidR="00E8128F">
        <w:rPr>
          <w:sz w:val="36"/>
          <w:szCs w:val="36"/>
          <w:rtl/>
        </w:rPr>
        <w:t xml:space="preserve"> </w:t>
      </w:r>
      <w:r w:rsidR="00320D47" w:rsidRPr="00FD211F">
        <w:rPr>
          <w:sz w:val="36"/>
          <w:szCs w:val="36"/>
          <w:rtl/>
        </w:rPr>
        <w:t>الآن</w:t>
      </w:r>
      <w:r w:rsidR="00603323" w:rsidRPr="00FD211F">
        <w:rPr>
          <w:sz w:val="36"/>
          <w:szCs w:val="36"/>
          <w:rtl/>
        </w:rPr>
        <w:t>،</w:t>
      </w:r>
      <w:r w:rsidR="00E8128F">
        <w:rPr>
          <w:sz w:val="36"/>
          <w:szCs w:val="36"/>
          <w:rtl/>
        </w:rPr>
        <w:t xml:space="preserve"> </w:t>
      </w:r>
      <w:r w:rsidR="00320D47" w:rsidRPr="00FD211F">
        <w:rPr>
          <w:sz w:val="36"/>
          <w:szCs w:val="36"/>
          <w:rtl/>
        </w:rPr>
        <w:t>وهذا</w:t>
      </w:r>
      <w:r w:rsidR="00E8128F">
        <w:rPr>
          <w:sz w:val="36"/>
          <w:szCs w:val="36"/>
          <w:rtl/>
        </w:rPr>
        <w:t xml:space="preserve"> </w:t>
      </w:r>
      <w:r w:rsidR="00320D47" w:rsidRPr="00FD211F">
        <w:rPr>
          <w:sz w:val="36"/>
          <w:szCs w:val="36"/>
          <w:rtl/>
        </w:rPr>
        <w:t>لايخلو</w:t>
      </w:r>
      <w:r w:rsidR="00E8128F">
        <w:rPr>
          <w:sz w:val="36"/>
          <w:szCs w:val="36"/>
          <w:rtl/>
        </w:rPr>
        <w:t xml:space="preserve"> </w:t>
      </w:r>
      <w:r w:rsidR="00320D47" w:rsidRPr="00FD211F">
        <w:rPr>
          <w:sz w:val="36"/>
          <w:szCs w:val="36"/>
          <w:rtl/>
        </w:rPr>
        <w:t>من</w:t>
      </w:r>
      <w:r w:rsidR="00E8128F">
        <w:rPr>
          <w:sz w:val="36"/>
          <w:szCs w:val="36"/>
          <w:rtl/>
        </w:rPr>
        <w:t xml:space="preserve"> </w:t>
      </w:r>
      <w:r w:rsidR="00320D47" w:rsidRPr="00FD211F">
        <w:rPr>
          <w:sz w:val="36"/>
          <w:szCs w:val="36"/>
          <w:rtl/>
        </w:rPr>
        <w:t>غراب</w:t>
      </w:r>
      <w:r w:rsidR="00EC7EDF" w:rsidRPr="00FD211F">
        <w:rPr>
          <w:sz w:val="36"/>
          <w:szCs w:val="36"/>
          <w:rtl/>
        </w:rPr>
        <w:t>ة</w:t>
      </w:r>
      <w:r w:rsidR="00A61BAE" w:rsidRPr="00FD211F">
        <w:rPr>
          <w:sz w:val="36"/>
          <w:szCs w:val="36"/>
          <w:rtl/>
        </w:rPr>
        <w:t>.</w:t>
      </w:r>
    </w:p>
    <w:p w14:paraId="28018F11" w14:textId="77777777" w:rsidR="00320D47" w:rsidRPr="00FD211F" w:rsidRDefault="00320D47" w:rsidP="009C58C8">
      <w:pPr>
        <w:ind w:left="0" w:firstLine="227"/>
        <w:jc w:val="both"/>
        <w:rPr>
          <w:sz w:val="36"/>
          <w:szCs w:val="36"/>
          <w:rtl/>
        </w:rPr>
      </w:pPr>
      <w:r w:rsidRPr="00FD211F">
        <w:rPr>
          <w:sz w:val="36"/>
          <w:szCs w:val="36"/>
          <w:rtl/>
        </w:rPr>
        <w:t>فالظاهر</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المنع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جريان</w:t>
      </w:r>
      <w:r w:rsidR="00E8128F">
        <w:rPr>
          <w:sz w:val="36"/>
          <w:szCs w:val="36"/>
          <w:rtl/>
        </w:rPr>
        <w:t xml:space="preserve"> </w:t>
      </w:r>
      <w:r w:rsidRPr="00FD211F">
        <w:rPr>
          <w:sz w:val="36"/>
          <w:szCs w:val="36"/>
          <w:rtl/>
        </w:rPr>
        <w:t>الاستصحاب</w:t>
      </w:r>
      <w:r w:rsidR="00E8128F">
        <w:rPr>
          <w:sz w:val="36"/>
          <w:szCs w:val="36"/>
          <w:rtl/>
        </w:rPr>
        <w:t xml:space="preserve"> </w:t>
      </w:r>
      <w:r w:rsidRPr="00FD211F">
        <w:rPr>
          <w:sz w:val="36"/>
          <w:szCs w:val="36"/>
          <w:rtl/>
        </w:rPr>
        <w:t>الموضوعي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الشبه</w:t>
      </w:r>
      <w:r w:rsidR="00EC7EDF" w:rsidRPr="00FD211F">
        <w:rPr>
          <w:sz w:val="36"/>
          <w:szCs w:val="36"/>
          <w:rtl/>
        </w:rPr>
        <w:t>ة</w:t>
      </w:r>
      <w:r w:rsidR="00E8128F">
        <w:rPr>
          <w:sz w:val="36"/>
          <w:szCs w:val="36"/>
          <w:rtl/>
        </w:rPr>
        <w:t xml:space="preserve"> </w:t>
      </w:r>
      <w:r w:rsidRPr="00FD211F">
        <w:rPr>
          <w:sz w:val="36"/>
          <w:szCs w:val="36"/>
          <w:rtl/>
        </w:rPr>
        <w:t>المفهومي</w:t>
      </w:r>
      <w:r w:rsidR="00EC7EDF" w:rsidRPr="00FD211F">
        <w:rPr>
          <w:sz w:val="36"/>
          <w:szCs w:val="36"/>
          <w:rtl/>
        </w:rPr>
        <w:t>ة</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اختار</w:t>
      </w:r>
      <w:r w:rsidR="00E8128F">
        <w:rPr>
          <w:sz w:val="36"/>
          <w:szCs w:val="36"/>
          <w:rtl/>
        </w:rPr>
        <w:t xml:space="preserve"> </w:t>
      </w:r>
      <w:r w:rsidRPr="00FD211F">
        <w:rPr>
          <w:sz w:val="36"/>
          <w:szCs w:val="36"/>
          <w:rtl/>
        </w:rPr>
        <w:t>بعض</w:t>
      </w:r>
      <w:r w:rsidR="00E8128F">
        <w:rPr>
          <w:sz w:val="36"/>
          <w:szCs w:val="36"/>
          <w:rtl/>
        </w:rPr>
        <w:t xml:space="preserve"> </w:t>
      </w:r>
      <w:r w:rsidRPr="00FD211F">
        <w:rPr>
          <w:sz w:val="36"/>
          <w:szCs w:val="36"/>
          <w:rtl/>
        </w:rPr>
        <w:t>الاعلام</w:t>
      </w:r>
      <w:r w:rsidR="00E8128F">
        <w:rPr>
          <w:sz w:val="36"/>
          <w:szCs w:val="36"/>
          <w:rtl/>
        </w:rPr>
        <w:t xml:space="preserve"> </w:t>
      </w:r>
      <w:r w:rsidRPr="00FD211F">
        <w:rPr>
          <w:sz w:val="36"/>
          <w:szCs w:val="36"/>
          <w:rtl/>
        </w:rPr>
        <w:t>ا</w:t>
      </w:r>
      <w:r w:rsidR="00066A7E" w:rsidRPr="00FD211F">
        <w:rPr>
          <w:sz w:val="36"/>
          <w:szCs w:val="36"/>
          <w:rtl/>
        </w:rPr>
        <w:t>لمعاصرين</w:t>
      </w:r>
      <w:r w:rsidR="00E8128F">
        <w:rPr>
          <w:sz w:val="36"/>
          <w:szCs w:val="36"/>
          <w:rtl/>
        </w:rPr>
        <w:t xml:space="preserve"> </w:t>
      </w:r>
      <w:r w:rsidR="00066A7E" w:rsidRPr="00FD211F">
        <w:rPr>
          <w:sz w:val="36"/>
          <w:szCs w:val="36"/>
          <w:rtl/>
        </w:rPr>
        <w:t>في</w:t>
      </w:r>
      <w:r w:rsidR="00E8128F">
        <w:rPr>
          <w:sz w:val="36"/>
          <w:szCs w:val="36"/>
          <w:rtl/>
        </w:rPr>
        <w:t xml:space="preserve"> </w:t>
      </w:r>
      <w:r w:rsidR="00066A7E" w:rsidRPr="00FD211F">
        <w:rPr>
          <w:sz w:val="36"/>
          <w:szCs w:val="36"/>
          <w:rtl/>
        </w:rPr>
        <w:t>مباني</w:t>
      </w:r>
      <w:r w:rsidR="00E8128F">
        <w:rPr>
          <w:sz w:val="36"/>
          <w:szCs w:val="36"/>
          <w:rtl/>
        </w:rPr>
        <w:t xml:space="preserve"> </w:t>
      </w:r>
      <w:r w:rsidR="00066A7E" w:rsidRPr="00FD211F">
        <w:rPr>
          <w:sz w:val="36"/>
          <w:szCs w:val="36"/>
          <w:rtl/>
        </w:rPr>
        <w:t>منهاج</w:t>
      </w:r>
      <w:r w:rsidR="00E8128F">
        <w:rPr>
          <w:sz w:val="36"/>
          <w:szCs w:val="36"/>
          <w:rtl/>
        </w:rPr>
        <w:t xml:space="preserve"> </w:t>
      </w:r>
      <w:r w:rsidR="00066A7E" w:rsidRPr="00FD211F">
        <w:rPr>
          <w:sz w:val="36"/>
          <w:szCs w:val="36"/>
          <w:rtl/>
        </w:rPr>
        <w:t>الصالحين</w:t>
      </w:r>
      <w:r w:rsidR="00E8128F">
        <w:rPr>
          <w:sz w:val="36"/>
          <w:szCs w:val="36"/>
          <w:rtl/>
        </w:rPr>
        <w:t xml:space="preserve"> </w:t>
      </w:r>
      <w:r w:rsidRPr="00FD211F">
        <w:rPr>
          <w:sz w:val="36"/>
          <w:szCs w:val="36"/>
          <w:rtl/>
        </w:rPr>
        <w:t>جريانه.</w:t>
      </w:r>
    </w:p>
    <w:p w14:paraId="5EDA4409" w14:textId="77777777" w:rsidR="00E000C4" w:rsidRPr="00FD211F" w:rsidRDefault="00320D47" w:rsidP="009C58C8">
      <w:pPr>
        <w:ind w:left="0" w:firstLine="227"/>
        <w:jc w:val="both"/>
        <w:rPr>
          <w:sz w:val="36"/>
          <w:szCs w:val="36"/>
          <w:rtl/>
        </w:rPr>
      </w:pPr>
      <w:r w:rsidRPr="00FD211F">
        <w:rPr>
          <w:sz w:val="36"/>
          <w:szCs w:val="36"/>
          <w:rtl/>
        </w:rPr>
        <w:t>واما</w:t>
      </w:r>
      <w:r w:rsidR="00E8128F">
        <w:rPr>
          <w:sz w:val="36"/>
          <w:szCs w:val="36"/>
          <w:rtl/>
        </w:rPr>
        <w:t xml:space="preserve"> </w:t>
      </w:r>
      <w:r w:rsidRPr="00FD211F">
        <w:rPr>
          <w:sz w:val="36"/>
          <w:szCs w:val="36"/>
          <w:rtl/>
        </w:rPr>
        <w:t>جريان</w:t>
      </w:r>
      <w:r w:rsidR="00E8128F">
        <w:rPr>
          <w:sz w:val="36"/>
          <w:szCs w:val="36"/>
          <w:rtl/>
        </w:rPr>
        <w:t xml:space="preserve"> </w:t>
      </w:r>
      <w:r w:rsidRPr="00FD211F">
        <w:rPr>
          <w:sz w:val="36"/>
          <w:szCs w:val="36"/>
          <w:rtl/>
        </w:rPr>
        <w:t>الاستصحاب</w:t>
      </w:r>
      <w:r w:rsidR="00E8128F">
        <w:rPr>
          <w:sz w:val="36"/>
          <w:szCs w:val="36"/>
          <w:rtl/>
        </w:rPr>
        <w:t xml:space="preserve"> </w:t>
      </w:r>
      <w:r w:rsidRPr="00FD211F">
        <w:rPr>
          <w:sz w:val="36"/>
          <w:szCs w:val="36"/>
          <w:rtl/>
        </w:rPr>
        <w:t>الحكمي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الشبه</w:t>
      </w:r>
      <w:r w:rsidR="00EC7EDF" w:rsidRPr="00FD211F">
        <w:rPr>
          <w:sz w:val="36"/>
          <w:szCs w:val="36"/>
          <w:rtl/>
        </w:rPr>
        <w:t>ة</w:t>
      </w:r>
      <w:r w:rsidR="00E8128F">
        <w:rPr>
          <w:sz w:val="36"/>
          <w:szCs w:val="36"/>
          <w:rtl/>
        </w:rPr>
        <w:t xml:space="preserve"> </w:t>
      </w:r>
      <w:r w:rsidRPr="00FD211F">
        <w:rPr>
          <w:sz w:val="36"/>
          <w:szCs w:val="36"/>
          <w:rtl/>
        </w:rPr>
        <w:t>المفهومي</w:t>
      </w:r>
      <w:r w:rsidR="00EC7EDF" w:rsidRPr="00FD211F">
        <w:rPr>
          <w:sz w:val="36"/>
          <w:szCs w:val="36"/>
          <w:rtl/>
        </w:rPr>
        <w:t>ة</w:t>
      </w:r>
      <w:r w:rsidR="00E8128F">
        <w:rPr>
          <w:sz w:val="36"/>
          <w:szCs w:val="36"/>
          <w:rtl/>
        </w:rPr>
        <w:t xml:space="preserve"> </w:t>
      </w:r>
      <w:r w:rsidRPr="00FD211F">
        <w:rPr>
          <w:sz w:val="36"/>
          <w:szCs w:val="36"/>
          <w:rtl/>
        </w:rPr>
        <w:t>فقد</w:t>
      </w:r>
      <w:r w:rsidR="00E8128F">
        <w:rPr>
          <w:sz w:val="36"/>
          <w:szCs w:val="36"/>
          <w:rtl/>
        </w:rPr>
        <w:t xml:space="preserve"> </w:t>
      </w:r>
      <w:r w:rsidRPr="00FD211F">
        <w:rPr>
          <w:sz w:val="36"/>
          <w:szCs w:val="36"/>
          <w:rtl/>
        </w:rPr>
        <w:t>منع</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000714FE" w:rsidRPr="00FD211F">
        <w:rPr>
          <w:sz w:val="36"/>
          <w:szCs w:val="36"/>
          <w:rtl/>
        </w:rPr>
        <w:t>"</w:t>
      </w:r>
      <w:r w:rsidRPr="00FD211F">
        <w:rPr>
          <w:sz w:val="36"/>
          <w:szCs w:val="36"/>
          <w:rtl/>
        </w:rPr>
        <w:t>قده</w:t>
      </w:r>
      <w:r w:rsidR="000714FE" w:rsidRPr="00FD211F">
        <w:rPr>
          <w:sz w:val="36"/>
          <w:szCs w:val="36"/>
          <w:rtl/>
        </w:rPr>
        <w:t>"</w:t>
      </w:r>
      <w:r w:rsidR="00E8128F">
        <w:rPr>
          <w:sz w:val="36"/>
          <w:szCs w:val="36"/>
          <w:rtl/>
        </w:rPr>
        <w:t xml:space="preserve"> </w:t>
      </w:r>
      <w:r w:rsidRPr="00FD211F">
        <w:rPr>
          <w:sz w:val="36"/>
          <w:szCs w:val="36"/>
          <w:rtl/>
        </w:rPr>
        <w:t>حتى</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جريان</w:t>
      </w:r>
      <w:r w:rsidR="00E8128F">
        <w:rPr>
          <w:sz w:val="36"/>
          <w:szCs w:val="36"/>
          <w:rtl/>
        </w:rPr>
        <w:t xml:space="preserve"> </w:t>
      </w:r>
      <w:r w:rsidRPr="00FD211F">
        <w:rPr>
          <w:sz w:val="36"/>
          <w:szCs w:val="36"/>
          <w:rtl/>
        </w:rPr>
        <w:t>الاستصحاب</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الشبه</w:t>
      </w:r>
      <w:r w:rsidR="00EC7EDF" w:rsidRPr="00FD211F">
        <w:rPr>
          <w:sz w:val="36"/>
          <w:szCs w:val="36"/>
          <w:rtl/>
        </w:rPr>
        <w:t>ة</w:t>
      </w:r>
      <w:r w:rsidR="00E8128F">
        <w:rPr>
          <w:sz w:val="36"/>
          <w:szCs w:val="36"/>
          <w:rtl/>
        </w:rPr>
        <w:t xml:space="preserve"> </w:t>
      </w:r>
      <w:r w:rsidRPr="00FD211F">
        <w:rPr>
          <w:sz w:val="36"/>
          <w:szCs w:val="36"/>
          <w:rtl/>
        </w:rPr>
        <w:t>الحكمي</w:t>
      </w:r>
      <w:r w:rsidR="00EC7EDF" w:rsidRPr="00FD211F">
        <w:rPr>
          <w:sz w:val="36"/>
          <w:szCs w:val="36"/>
          <w:rtl/>
        </w:rPr>
        <w:t>ة</w:t>
      </w:r>
      <w:r w:rsidR="00E8128F">
        <w:rPr>
          <w:sz w:val="36"/>
          <w:szCs w:val="36"/>
          <w:rtl/>
        </w:rPr>
        <w:t xml:space="preserve"> </w:t>
      </w:r>
      <w:r w:rsidRPr="00FD211F">
        <w:rPr>
          <w:sz w:val="36"/>
          <w:szCs w:val="36"/>
          <w:rtl/>
        </w:rPr>
        <w:t>بدعوى</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يشك</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بقاء</w:t>
      </w:r>
      <w:r w:rsidR="00E8128F">
        <w:rPr>
          <w:sz w:val="36"/>
          <w:szCs w:val="36"/>
          <w:rtl/>
        </w:rPr>
        <w:t xml:space="preserve"> </w:t>
      </w:r>
      <w:r w:rsidRPr="00FD211F">
        <w:rPr>
          <w:sz w:val="36"/>
          <w:szCs w:val="36"/>
          <w:rtl/>
        </w:rPr>
        <w:t>موضوعه</w:t>
      </w:r>
      <w:r w:rsidR="00E8128F">
        <w:rPr>
          <w:sz w:val="36"/>
          <w:szCs w:val="36"/>
          <w:rtl/>
        </w:rPr>
        <w:t xml:space="preserve"> </w:t>
      </w:r>
      <w:r w:rsidR="00E000C4" w:rsidRPr="00FD211F">
        <w:rPr>
          <w:sz w:val="36"/>
          <w:szCs w:val="36"/>
          <w:rtl/>
        </w:rPr>
        <w:t>وفيه</w:t>
      </w:r>
      <w:r w:rsidR="00E8128F">
        <w:rPr>
          <w:sz w:val="36"/>
          <w:szCs w:val="36"/>
          <w:rtl/>
        </w:rPr>
        <w:t xml:space="preserve"> </w:t>
      </w:r>
      <w:r w:rsidR="00E000C4" w:rsidRPr="00FD211F">
        <w:rPr>
          <w:sz w:val="36"/>
          <w:szCs w:val="36"/>
          <w:rtl/>
        </w:rPr>
        <w:t>ان</w:t>
      </w:r>
      <w:r w:rsidR="00E8128F">
        <w:rPr>
          <w:sz w:val="36"/>
          <w:szCs w:val="36"/>
          <w:rtl/>
        </w:rPr>
        <w:t xml:space="preserve"> </w:t>
      </w:r>
      <w:r w:rsidR="00E000C4" w:rsidRPr="00FD211F">
        <w:rPr>
          <w:sz w:val="36"/>
          <w:szCs w:val="36"/>
          <w:rtl/>
        </w:rPr>
        <w:t>ال</w:t>
      </w:r>
      <w:r w:rsidR="00ED74FD" w:rsidRPr="00FD211F">
        <w:rPr>
          <w:sz w:val="36"/>
          <w:szCs w:val="36"/>
          <w:rtl/>
        </w:rPr>
        <w:t>معتبر</w:t>
      </w:r>
      <w:r w:rsidR="00E8128F">
        <w:rPr>
          <w:sz w:val="36"/>
          <w:szCs w:val="36"/>
          <w:rtl/>
        </w:rPr>
        <w:t xml:space="preserve"> </w:t>
      </w:r>
      <w:r w:rsidR="00ED74FD" w:rsidRPr="00FD211F">
        <w:rPr>
          <w:sz w:val="36"/>
          <w:szCs w:val="36"/>
          <w:rtl/>
        </w:rPr>
        <w:t>في</w:t>
      </w:r>
      <w:r w:rsidR="00E8128F">
        <w:rPr>
          <w:sz w:val="36"/>
          <w:szCs w:val="36"/>
          <w:rtl/>
        </w:rPr>
        <w:t xml:space="preserve"> </w:t>
      </w:r>
      <w:r w:rsidR="00ED74FD" w:rsidRPr="00FD211F">
        <w:rPr>
          <w:sz w:val="36"/>
          <w:szCs w:val="36"/>
          <w:rtl/>
        </w:rPr>
        <w:t>الاستصحاب</w:t>
      </w:r>
      <w:r w:rsidR="00E8128F">
        <w:rPr>
          <w:sz w:val="36"/>
          <w:szCs w:val="36"/>
          <w:rtl/>
        </w:rPr>
        <w:t xml:space="preserve"> </w:t>
      </w:r>
      <w:r w:rsidR="00ED74FD" w:rsidRPr="00FD211F">
        <w:rPr>
          <w:sz w:val="36"/>
          <w:szCs w:val="36"/>
          <w:rtl/>
        </w:rPr>
        <w:t>بقاء</w:t>
      </w:r>
      <w:r w:rsidR="00E8128F">
        <w:rPr>
          <w:sz w:val="36"/>
          <w:szCs w:val="36"/>
          <w:rtl/>
        </w:rPr>
        <w:t xml:space="preserve"> </w:t>
      </w:r>
      <w:r w:rsidR="00E000C4" w:rsidRPr="00FD211F">
        <w:rPr>
          <w:sz w:val="36"/>
          <w:szCs w:val="36"/>
          <w:rtl/>
        </w:rPr>
        <w:t>معروض</w:t>
      </w:r>
      <w:r w:rsidR="00E8128F">
        <w:rPr>
          <w:sz w:val="36"/>
          <w:szCs w:val="36"/>
          <w:rtl/>
        </w:rPr>
        <w:t xml:space="preserve"> </w:t>
      </w:r>
      <w:r w:rsidR="00E000C4" w:rsidRPr="00FD211F">
        <w:rPr>
          <w:sz w:val="36"/>
          <w:szCs w:val="36"/>
          <w:rtl/>
        </w:rPr>
        <w:t>الحكم</w:t>
      </w:r>
      <w:r w:rsidR="00E8128F">
        <w:rPr>
          <w:sz w:val="36"/>
          <w:szCs w:val="36"/>
          <w:rtl/>
        </w:rPr>
        <w:t xml:space="preserve"> </w:t>
      </w:r>
      <w:r w:rsidR="00E000C4" w:rsidRPr="00FD211F">
        <w:rPr>
          <w:sz w:val="36"/>
          <w:szCs w:val="36"/>
          <w:rtl/>
        </w:rPr>
        <w:t>عرفا</w:t>
      </w:r>
      <w:r w:rsidR="00E8128F">
        <w:rPr>
          <w:sz w:val="36"/>
          <w:szCs w:val="36"/>
          <w:rtl/>
        </w:rPr>
        <w:t xml:space="preserve"> </w:t>
      </w:r>
      <w:r w:rsidR="00ED74FD" w:rsidRPr="00FD211F">
        <w:rPr>
          <w:sz w:val="36"/>
          <w:szCs w:val="36"/>
          <w:rtl/>
        </w:rPr>
        <w:t>لابقاء</w:t>
      </w:r>
      <w:r w:rsidR="00E8128F">
        <w:rPr>
          <w:sz w:val="36"/>
          <w:szCs w:val="36"/>
          <w:rtl/>
        </w:rPr>
        <w:t xml:space="preserve"> </w:t>
      </w:r>
      <w:r w:rsidR="00ED74FD" w:rsidRPr="00FD211F">
        <w:rPr>
          <w:sz w:val="36"/>
          <w:szCs w:val="36"/>
          <w:rtl/>
        </w:rPr>
        <w:t>الموضوع</w:t>
      </w:r>
      <w:r w:rsidR="00E8128F">
        <w:rPr>
          <w:sz w:val="36"/>
          <w:szCs w:val="36"/>
          <w:rtl/>
        </w:rPr>
        <w:t xml:space="preserve"> </w:t>
      </w:r>
      <w:r w:rsidR="00ED74FD" w:rsidRPr="00FD211F">
        <w:rPr>
          <w:sz w:val="36"/>
          <w:szCs w:val="36"/>
          <w:rtl/>
        </w:rPr>
        <w:t>المأخوذ</w:t>
      </w:r>
      <w:r w:rsidR="00E8128F">
        <w:rPr>
          <w:sz w:val="36"/>
          <w:szCs w:val="36"/>
          <w:rtl/>
        </w:rPr>
        <w:t xml:space="preserve"> </w:t>
      </w:r>
      <w:r w:rsidR="00ED74FD" w:rsidRPr="00FD211F">
        <w:rPr>
          <w:sz w:val="36"/>
          <w:szCs w:val="36"/>
          <w:rtl/>
        </w:rPr>
        <w:t>في</w:t>
      </w:r>
      <w:r w:rsidR="00E8128F">
        <w:rPr>
          <w:sz w:val="36"/>
          <w:szCs w:val="36"/>
          <w:rtl/>
        </w:rPr>
        <w:t xml:space="preserve"> </w:t>
      </w:r>
      <w:r w:rsidR="00ED74FD" w:rsidRPr="00FD211F">
        <w:rPr>
          <w:sz w:val="36"/>
          <w:szCs w:val="36"/>
          <w:rtl/>
        </w:rPr>
        <w:t>لسان</w:t>
      </w:r>
      <w:r w:rsidR="00E8128F">
        <w:rPr>
          <w:sz w:val="36"/>
          <w:szCs w:val="36"/>
          <w:rtl/>
        </w:rPr>
        <w:t xml:space="preserve"> </w:t>
      </w:r>
      <w:r w:rsidR="00ED74FD" w:rsidRPr="00FD211F">
        <w:rPr>
          <w:sz w:val="36"/>
          <w:szCs w:val="36"/>
          <w:rtl/>
        </w:rPr>
        <w:t>الخطاب</w:t>
      </w:r>
      <w:r w:rsidR="00603323" w:rsidRPr="00FD211F">
        <w:rPr>
          <w:sz w:val="36"/>
          <w:szCs w:val="36"/>
          <w:rtl/>
        </w:rPr>
        <w:t>،</w:t>
      </w:r>
      <w:r w:rsidR="00E8128F">
        <w:rPr>
          <w:sz w:val="36"/>
          <w:szCs w:val="36"/>
          <w:rtl/>
        </w:rPr>
        <w:t xml:space="preserve"> </w:t>
      </w:r>
      <w:r w:rsidR="00ED74FD" w:rsidRPr="00FD211F">
        <w:rPr>
          <w:sz w:val="36"/>
          <w:szCs w:val="36"/>
          <w:rtl/>
        </w:rPr>
        <w:t>وعليه</w:t>
      </w:r>
      <w:r w:rsidR="00E8128F">
        <w:rPr>
          <w:sz w:val="36"/>
          <w:szCs w:val="36"/>
          <w:rtl/>
        </w:rPr>
        <w:t xml:space="preserve"> </w:t>
      </w:r>
      <w:r w:rsidR="00ED74FD" w:rsidRPr="00FD211F">
        <w:rPr>
          <w:sz w:val="36"/>
          <w:szCs w:val="36"/>
          <w:rtl/>
        </w:rPr>
        <w:t>فلابد</w:t>
      </w:r>
      <w:r w:rsidR="00E8128F">
        <w:rPr>
          <w:sz w:val="36"/>
          <w:szCs w:val="36"/>
          <w:rtl/>
        </w:rPr>
        <w:t xml:space="preserve"> </w:t>
      </w:r>
      <w:r w:rsidR="00ED74FD" w:rsidRPr="00FD211F">
        <w:rPr>
          <w:sz w:val="36"/>
          <w:szCs w:val="36"/>
          <w:rtl/>
        </w:rPr>
        <w:t>من</w:t>
      </w:r>
      <w:r w:rsidR="00E8128F">
        <w:rPr>
          <w:sz w:val="36"/>
          <w:szCs w:val="36"/>
          <w:rtl/>
        </w:rPr>
        <w:t xml:space="preserve"> </w:t>
      </w:r>
      <w:r w:rsidR="00ED74FD" w:rsidRPr="00FD211F">
        <w:rPr>
          <w:sz w:val="36"/>
          <w:szCs w:val="36"/>
          <w:rtl/>
        </w:rPr>
        <w:t>التفصيل</w:t>
      </w:r>
      <w:r w:rsidR="00E8128F">
        <w:rPr>
          <w:sz w:val="36"/>
          <w:szCs w:val="36"/>
          <w:rtl/>
        </w:rPr>
        <w:t xml:space="preserve"> </w:t>
      </w:r>
      <w:r w:rsidR="00ED74FD" w:rsidRPr="00FD211F">
        <w:rPr>
          <w:sz w:val="36"/>
          <w:szCs w:val="36"/>
          <w:rtl/>
        </w:rPr>
        <w:t>بين</w:t>
      </w:r>
      <w:r w:rsidR="00E8128F">
        <w:rPr>
          <w:sz w:val="36"/>
          <w:szCs w:val="36"/>
          <w:rtl/>
        </w:rPr>
        <w:t xml:space="preserve"> </w:t>
      </w:r>
      <w:r w:rsidR="00ED74FD" w:rsidRPr="00FD211F">
        <w:rPr>
          <w:sz w:val="36"/>
          <w:szCs w:val="36"/>
          <w:rtl/>
        </w:rPr>
        <w:t>ما</w:t>
      </w:r>
      <w:r w:rsidR="00E8128F">
        <w:rPr>
          <w:sz w:val="36"/>
          <w:szCs w:val="36"/>
          <w:rtl/>
        </w:rPr>
        <w:t xml:space="preserve"> </w:t>
      </w:r>
      <w:r w:rsidR="00ED74FD" w:rsidRPr="00FD211F">
        <w:rPr>
          <w:sz w:val="36"/>
          <w:szCs w:val="36"/>
          <w:rtl/>
        </w:rPr>
        <w:t>لو</w:t>
      </w:r>
      <w:r w:rsidR="00E8128F">
        <w:rPr>
          <w:sz w:val="36"/>
          <w:szCs w:val="36"/>
          <w:rtl/>
        </w:rPr>
        <w:t xml:space="preserve"> </w:t>
      </w:r>
      <w:r w:rsidR="00ED74FD" w:rsidRPr="00FD211F">
        <w:rPr>
          <w:sz w:val="36"/>
          <w:szCs w:val="36"/>
          <w:rtl/>
        </w:rPr>
        <w:t>كان</w:t>
      </w:r>
      <w:r w:rsidR="00E8128F">
        <w:rPr>
          <w:sz w:val="36"/>
          <w:szCs w:val="36"/>
          <w:rtl/>
        </w:rPr>
        <w:t xml:space="preserve"> </w:t>
      </w:r>
      <w:r w:rsidR="00ED74FD" w:rsidRPr="00FD211F">
        <w:rPr>
          <w:sz w:val="36"/>
          <w:szCs w:val="36"/>
          <w:rtl/>
        </w:rPr>
        <w:t>العنوان</w:t>
      </w:r>
      <w:r w:rsidR="00E8128F">
        <w:rPr>
          <w:sz w:val="36"/>
          <w:szCs w:val="36"/>
          <w:rtl/>
        </w:rPr>
        <w:t xml:space="preserve"> </w:t>
      </w:r>
      <w:r w:rsidR="00ED74FD" w:rsidRPr="00FD211F">
        <w:rPr>
          <w:sz w:val="36"/>
          <w:szCs w:val="36"/>
          <w:rtl/>
        </w:rPr>
        <w:t>الدخيل</w:t>
      </w:r>
      <w:r w:rsidR="00E8128F">
        <w:rPr>
          <w:sz w:val="36"/>
          <w:szCs w:val="36"/>
          <w:rtl/>
        </w:rPr>
        <w:t xml:space="preserve"> </w:t>
      </w:r>
      <w:r w:rsidR="00ED74FD" w:rsidRPr="00FD211F">
        <w:rPr>
          <w:sz w:val="36"/>
          <w:szCs w:val="36"/>
          <w:rtl/>
        </w:rPr>
        <w:t>في</w:t>
      </w:r>
      <w:r w:rsidR="00E8128F">
        <w:rPr>
          <w:sz w:val="36"/>
          <w:szCs w:val="36"/>
          <w:rtl/>
        </w:rPr>
        <w:t xml:space="preserve"> </w:t>
      </w:r>
      <w:r w:rsidR="00ED74FD" w:rsidRPr="00FD211F">
        <w:rPr>
          <w:sz w:val="36"/>
          <w:szCs w:val="36"/>
          <w:rtl/>
        </w:rPr>
        <w:t>ثبوت</w:t>
      </w:r>
      <w:r w:rsidR="00E8128F">
        <w:rPr>
          <w:sz w:val="36"/>
          <w:szCs w:val="36"/>
          <w:rtl/>
        </w:rPr>
        <w:t xml:space="preserve"> </w:t>
      </w:r>
      <w:r w:rsidR="00ED74FD" w:rsidRPr="00FD211F">
        <w:rPr>
          <w:sz w:val="36"/>
          <w:szCs w:val="36"/>
          <w:rtl/>
        </w:rPr>
        <w:t>الحكم</w:t>
      </w:r>
      <w:r w:rsidR="00E8128F">
        <w:rPr>
          <w:sz w:val="36"/>
          <w:szCs w:val="36"/>
          <w:rtl/>
        </w:rPr>
        <w:t xml:space="preserve"> </w:t>
      </w:r>
      <w:r w:rsidR="00ED74FD" w:rsidRPr="00FD211F">
        <w:rPr>
          <w:sz w:val="36"/>
          <w:szCs w:val="36"/>
          <w:rtl/>
        </w:rPr>
        <w:t>من</w:t>
      </w:r>
      <w:r w:rsidR="00E8128F">
        <w:rPr>
          <w:sz w:val="36"/>
          <w:szCs w:val="36"/>
          <w:rtl/>
        </w:rPr>
        <w:t xml:space="preserve"> </w:t>
      </w:r>
      <w:r w:rsidR="00ED74FD" w:rsidRPr="00FD211F">
        <w:rPr>
          <w:sz w:val="36"/>
          <w:szCs w:val="36"/>
          <w:rtl/>
        </w:rPr>
        <w:t>الحالات</w:t>
      </w:r>
      <w:r w:rsidR="00E8128F">
        <w:rPr>
          <w:sz w:val="36"/>
          <w:szCs w:val="36"/>
          <w:rtl/>
        </w:rPr>
        <w:t xml:space="preserve"> </w:t>
      </w:r>
      <w:r w:rsidR="00ED74FD" w:rsidRPr="00FD211F">
        <w:rPr>
          <w:sz w:val="36"/>
          <w:szCs w:val="36"/>
          <w:rtl/>
        </w:rPr>
        <w:t>او</w:t>
      </w:r>
      <w:r w:rsidR="00E8128F">
        <w:rPr>
          <w:sz w:val="36"/>
          <w:szCs w:val="36"/>
          <w:rtl/>
        </w:rPr>
        <w:t xml:space="preserve"> </w:t>
      </w:r>
      <w:r w:rsidR="00ED74FD" w:rsidRPr="00FD211F">
        <w:rPr>
          <w:sz w:val="36"/>
          <w:szCs w:val="36"/>
          <w:rtl/>
        </w:rPr>
        <w:t>من</w:t>
      </w:r>
      <w:r w:rsidR="00E8128F">
        <w:rPr>
          <w:sz w:val="36"/>
          <w:szCs w:val="36"/>
          <w:rtl/>
        </w:rPr>
        <w:t xml:space="preserve"> </w:t>
      </w:r>
      <w:r w:rsidR="00ED74FD" w:rsidRPr="00FD211F">
        <w:rPr>
          <w:sz w:val="36"/>
          <w:szCs w:val="36"/>
          <w:rtl/>
        </w:rPr>
        <w:t>العناوين</w:t>
      </w:r>
      <w:r w:rsidR="00E8128F">
        <w:rPr>
          <w:sz w:val="36"/>
          <w:szCs w:val="36"/>
          <w:rtl/>
        </w:rPr>
        <w:t xml:space="preserve"> </w:t>
      </w:r>
      <w:r w:rsidR="00ED74FD" w:rsidRPr="00FD211F">
        <w:rPr>
          <w:sz w:val="36"/>
          <w:szCs w:val="36"/>
          <w:rtl/>
        </w:rPr>
        <w:t>المقوم</w:t>
      </w:r>
      <w:r w:rsidR="00EC7EDF" w:rsidRPr="00FD211F">
        <w:rPr>
          <w:sz w:val="36"/>
          <w:szCs w:val="36"/>
          <w:rtl/>
        </w:rPr>
        <w:t>ة</w:t>
      </w:r>
      <w:r w:rsidR="00603323" w:rsidRPr="00FD211F">
        <w:rPr>
          <w:sz w:val="36"/>
          <w:szCs w:val="36"/>
          <w:rtl/>
        </w:rPr>
        <w:t>،</w:t>
      </w:r>
      <w:r w:rsidR="00E8128F">
        <w:rPr>
          <w:sz w:val="36"/>
          <w:szCs w:val="36"/>
          <w:rtl/>
        </w:rPr>
        <w:t xml:space="preserve"> </w:t>
      </w:r>
      <w:r w:rsidR="00ED74FD" w:rsidRPr="00FD211F">
        <w:rPr>
          <w:sz w:val="36"/>
          <w:szCs w:val="36"/>
          <w:rtl/>
        </w:rPr>
        <w:t>فلو</w:t>
      </w:r>
      <w:r w:rsidR="00E8128F">
        <w:rPr>
          <w:sz w:val="36"/>
          <w:szCs w:val="36"/>
          <w:rtl/>
        </w:rPr>
        <w:t xml:space="preserve"> </w:t>
      </w:r>
      <w:r w:rsidR="00ED74FD" w:rsidRPr="00FD211F">
        <w:rPr>
          <w:sz w:val="36"/>
          <w:szCs w:val="36"/>
          <w:rtl/>
        </w:rPr>
        <w:t>كان</w:t>
      </w:r>
      <w:r w:rsidR="00E8128F">
        <w:rPr>
          <w:sz w:val="36"/>
          <w:szCs w:val="36"/>
          <w:rtl/>
        </w:rPr>
        <w:t xml:space="preserve"> </w:t>
      </w:r>
      <w:r w:rsidR="00ED74FD" w:rsidRPr="00FD211F">
        <w:rPr>
          <w:sz w:val="36"/>
          <w:szCs w:val="36"/>
          <w:rtl/>
        </w:rPr>
        <w:t>من</w:t>
      </w:r>
      <w:r w:rsidR="00E8128F">
        <w:rPr>
          <w:sz w:val="36"/>
          <w:szCs w:val="36"/>
          <w:rtl/>
        </w:rPr>
        <w:t xml:space="preserve"> </w:t>
      </w:r>
      <w:r w:rsidR="00ED74FD" w:rsidRPr="00FD211F">
        <w:rPr>
          <w:sz w:val="36"/>
          <w:szCs w:val="36"/>
          <w:rtl/>
        </w:rPr>
        <w:t>الحالات</w:t>
      </w:r>
      <w:r w:rsidR="00E8128F">
        <w:rPr>
          <w:sz w:val="36"/>
          <w:szCs w:val="36"/>
          <w:rtl/>
        </w:rPr>
        <w:t xml:space="preserve"> </w:t>
      </w:r>
      <w:r w:rsidR="00ED74FD" w:rsidRPr="00FD211F">
        <w:rPr>
          <w:sz w:val="36"/>
          <w:szCs w:val="36"/>
          <w:rtl/>
        </w:rPr>
        <w:t>فيكون</w:t>
      </w:r>
      <w:r w:rsidR="00E8128F">
        <w:rPr>
          <w:sz w:val="36"/>
          <w:szCs w:val="36"/>
          <w:rtl/>
        </w:rPr>
        <w:t xml:space="preserve"> </w:t>
      </w:r>
      <w:r w:rsidR="00ED74FD" w:rsidRPr="00FD211F">
        <w:rPr>
          <w:sz w:val="36"/>
          <w:szCs w:val="36"/>
          <w:rtl/>
        </w:rPr>
        <w:t>المعروض</w:t>
      </w:r>
      <w:r w:rsidR="00E8128F">
        <w:rPr>
          <w:sz w:val="36"/>
          <w:szCs w:val="36"/>
          <w:rtl/>
        </w:rPr>
        <w:t xml:space="preserve"> </w:t>
      </w:r>
      <w:r w:rsidR="00ED74FD" w:rsidRPr="00FD211F">
        <w:rPr>
          <w:sz w:val="36"/>
          <w:szCs w:val="36"/>
          <w:rtl/>
        </w:rPr>
        <w:t>للحكم</w:t>
      </w:r>
      <w:r w:rsidR="00E8128F">
        <w:rPr>
          <w:sz w:val="36"/>
          <w:szCs w:val="36"/>
          <w:rtl/>
        </w:rPr>
        <w:t xml:space="preserve"> </w:t>
      </w:r>
      <w:r w:rsidR="00C451CB" w:rsidRPr="00FD211F">
        <w:rPr>
          <w:sz w:val="36"/>
          <w:szCs w:val="36"/>
          <w:rtl/>
        </w:rPr>
        <w:t>عرفا</w:t>
      </w:r>
      <w:r w:rsidR="00E8128F">
        <w:rPr>
          <w:sz w:val="36"/>
          <w:szCs w:val="36"/>
          <w:rtl/>
        </w:rPr>
        <w:t xml:space="preserve"> </w:t>
      </w:r>
      <w:r w:rsidR="00C451CB" w:rsidRPr="00FD211F">
        <w:rPr>
          <w:sz w:val="36"/>
          <w:szCs w:val="36"/>
          <w:rtl/>
        </w:rPr>
        <w:t>هو</w:t>
      </w:r>
      <w:r w:rsidR="00E8128F">
        <w:rPr>
          <w:sz w:val="36"/>
          <w:szCs w:val="36"/>
          <w:rtl/>
        </w:rPr>
        <w:t xml:space="preserve"> </w:t>
      </w:r>
      <w:r w:rsidR="00C451CB" w:rsidRPr="00FD211F">
        <w:rPr>
          <w:sz w:val="36"/>
          <w:szCs w:val="36"/>
          <w:rtl/>
        </w:rPr>
        <w:t>ذات</w:t>
      </w:r>
      <w:r w:rsidR="00E8128F">
        <w:rPr>
          <w:sz w:val="36"/>
          <w:szCs w:val="36"/>
          <w:rtl/>
        </w:rPr>
        <w:t xml:space="preserve"> </w:t>
      </w:r>
      <w:r w:rsidR="00C451CB" w:rsidRPr="00FD211F">
        <w:rPr>
          <w:sz w:val="36"/>
          <w:szCs w:val="36"/>
          <w:rtl/>
        </w:rPr>
        <w:t>ال</w:t>
      </w:r>
      <w:r w:rsidR="008D7B3D" w:rsidRPr="00FD211F">
        <w:rPr>
          <w:sz w:val="36"/>
          <w:szCs w:val="36"/>
          <w:rtl/>
        </w:rPr>
        <w:t>شيء</w:t>
      </w:r>
      <w:r w:rsidR="00E8128F">
        <w:rPr>
          <w:sz w:val="36"/>
          <w:szCs w:val="36"/>
          <w:rtl/>
        </w:rPr>
        <w:t xml:space="preserve"> </w:t>
      </w:r>
      <w:r w:rsidR="00C451CB" w:rsidRPr="00FD211F">
        <w:rPr>
          <w:sz w:val="36"/>
          <w:szCs w:val="36"/>
          <w:rtl/>
        </w:rPr>
        <w:t>كما</w:t>
      </w:r>
      <w:r w:rsidR="00E8128F">
        <w:rPr>
          <w:sz w:val="36"/>
          <w:szCs w:val="36"/>
          <w:rtl/>
        </w:rPr>
        <w:t xml:space="preserve"> </w:t>
      </w:r>
      <w:r w:rsidR="00C451CB" w:rsidRPr="00FD211F">
        <w:rPr>
          <w:sz w:val="36"/>
          <w:szCs w:val="36"/>
          <w:rtl/>
        </w:rPr>
        <w:t>في</w:t>
      </w:r>
      <w:r w:rsidR="00E8128F">
        <w:rPr>
          <w:sz w:val="36"/>
          <w:szCs w:val="36"/>
          <w:rtl/>
        </w:rPr>
        <w:t xml:space="preserve"> </w:t>
      </w:r>
      <w:r w:rsidR="00C451CB" w:rsidRPr="00FD211F">
        <w:rPr>
          <w:sz w:val="36"/>
          <w:szCs w:val="36"/>
          <w:rtl/>
        </w:rPr>
        <w:t>الماء</w:t>
      </w:r>
      <w:r w:rsidR="00E8128F">
        <w:rPr>
          <w:sz w:val="36"/>
          <w:szCs w:val="36"/>
          <w:rtl/>
        </w:rPr>
        <w:t xml:space="preserve"> </w:t>
      </w:r>
      <w:r w:rsidR="00ED74FD" w:rsidRPr="00FD211F">
        <w:rPr>
          <w:sz w:val="36"/>
          <w:szCs w:val="36"/>
          <w:rtl/>
        </w:rPr>
        <w:t>الذي</w:t>
      </w:r>
      <w:r w:rsidR="00E8128F">
        <w:rPr>
          <w:sz w:val="36"/>
          <w:szCs w:val="36"/>
          <w:rtl/>
        </w:rPr>
        <w:t xml:space="preserve"> </w:t>
      </w:r>
      <w:r w:rsidR="00ED74FD" w:rsidRPr="00FD211F">
        <w:rPr>
          <w:sz w:val="36"/>
          <w:szCs w:val="36"/>
          <w:rtl/>
        </w:rPr>
        <w:t>القي</w:t>
      </w:r>
      <w:r w:rsidR="00E8128F">
        <w:rPr>
          <w:sz w:val="36"/>
          <w:szCs w:val="36"/>
          <w:rtl/>
        </w:rPr>
        <w:t xml:space="preserve"> </w:t>
      </w:r>
      <w:r w:rsidR="00ED74FD" w:rsidRPr="00FD211F">
        <w:rPr>
          <w:sz w:val="36"/>
          <w:szCs w:val="36"/>
          <w:rtl/>
        </w:rPr>
        <w:t>فيه</w:t>
      </w:r>
      <w:r w:rsidR="00E8128F">
        <w:rPr>
          <w:sz w:val="36"/>
          <w:szCs w:val="36"/>
          <w:rtl/>
        </w:rPr>
        <w:t xml:space="preserve"> </w:t>
      </w:r>
      <w:r w:rsidR="00ED74FD" w:rsidRPr="00FD211F">
        <w:rPr>
          <w:sz w:val="36"/>
          <w:szCs w:val="36"/>
          <w:rtl/>
        </w:rPr>
        <w:t>مقدار</w:t>
      </w:r>
      <w:r w:rsidR="00E8128F">
        <w:rPr>
          <w:sz w:val="36"/>
          <w:szCs w:val="36"/>
          <w:rtl/>
        </w:rPr>
        <w:t xml:space="preserve"> </w:t>
      </w:r>
      <w:r w:rsidR="00ED74FD" w:rsidRPr="00FD211F">
        <w:rPr>
          <w:sz w:val="36"/>
          <w:szCs w:val="36"/>
          <w:rtl/>
        </w:rPr>
        <w:t>معين</w:t>
      </w:r>
      <w:r w:rsidR="00E8128F">
        <w:rPr>
          <w:sz w:val="36"/>
          <w:szCs w:val="36"/>
          <w:rtl/>
        </w:rPr>
        <w:t xml:space="preserve"> </w:t>
      </w:r>
      <w:r w:rsidR="00ED74FD" w:rsidRPr="00FD211F">
        <w:rPr>
          <w:sz w:val="36"/>
          <w:szCs w:val="36"/>
          <w:rtl/>
        </w:rPr>
        <w:t>من</w:t>
      </w:r>
      <w:r w:rsidR="00E8128F">
        <w:rPr>
          <w:sz w:val="36"/>
          <w:szCs w:val="36"/>
          <w:rtl/>
        </w:rPr>
        <w:t xml:space="preserve"> </w:t>
      </w:r>
      <w:r w:rsidR="00ED74FD" w:rsidRPr="00FD211F">
        <w:rPr>
          <w:sz w:val="36"/>
          <w:szCs w:val="36"/>
          <w:rtl/>
        </w:rPr>
        <w:t>الملح</w:t>
      </w:r>
      <w:r w:rsidR="00E8128F">
        <w:rPr>
          <w:sz w:val="36"/>
          <w:szCs w:val="36"/>
          <w:rtl/>
        </w:rPr>
        <w:t xml:space="preserve"> </w:t>
      </w:r>
      <w:r w:rsidR="00ED74FD" w:rsidRPr="00FD211F">
        <w:rPr>
          <w:sz w:val="36"/>
          <w:szCs w:val="36"/>
          <w:rtl/>
        </w:rPr>
        <w:t>فصار</w:t>
      </w:r>
      <w:r w:rsidR="00E8128F">
        <w:rPr>
          <w:sz w:val="36"/>
          <w:szCs w:val="36"/>
          <w:rtl/>
        </w:rPr>
        <w:t xml:space="preserve"> </w:t>
      </w:r>
      <w:r w:rsidR="00ED74FD" w:rsidRPr="00FD211F">
        <w:rPr>
          <w:sz w:val="36"/>
          <w:szCs w:val="36"/>
          <w:rtl/>
        </w:rPr>
        <w:t>شبه</w:t>
      </w:r>
      <w:r w:rsidR="00EC7EDF" w:rsidRPr="00FD211F">
        <w:rPr>
          <w:sz w:val="36"/>
          <w:szCs w:val="36"/>
          <w:rtl/>
        </w:rPr>
        <w:t>ة</w:t>
      </w:r>
      <w:r w:rsidR="00E8128F">
        <w:rPr>
          <w:sz w:val="36"/>
          <w:szCs w:val="36"/>
          <w:rtl/>
        </w:rPr>
        <w:t xml:space="preserve"> </w:t>
      </w:r>
      <w:r w:rsidR="00ED74FD" w:rsidRPr="00FD211F">
        <w:rPr>
          <w:sz w:val="36"/>
          <w:szCs w:val="36"/>
          <w:rtl/>
        </w:rPr>
        <w:t>مفهومي</w:t>
      </w:r>
      <w:r w:rsidR="00EC7EDF" w:rsidRPr="00FD211F">
        <w:rPr>
          <w:sz w:val="36"/>
          <w:szCs w:val="36"/>
          <w:rtl/>
        </w:rPr>
        <w:t>ة</w:t>
      </w:r>
      <w:r w:rsidR="00E8128F">
        <w:rPr>
          <w:sz w:val="36"/>
          <w:szCs w:val="36"/>
          <w:rtl/>
        </w:rPr>
        <w:t xml:space="preserve"> </w:t>
      </w:r>
      <w:r w:rsidR="00ED74FD" w:rsidRPr="00FD211F">
        <w:rPr>
          <w:sz w:val="36"/>
          <w:szCs w:val="36"/>
          <w:rtl/>
        </w:rPr>
        <w:t>للماء</w:t>
      </w:r>
      <w:r w:rsidR="00E8128F">
        <w:rPr>
          <w:sz w:val="36"/>
          <w:szCs w:val="36"/>
          <w:rtl/>
        </w:rPr>
        <w:t xml:space="preserve"> </w:t>
      </w:r>
      <w:r w:rsidR="00ED74FD" w:rsidRPr="00FD211F">
        <w:rPr>
          <w:sz w:val="36"/>
          <w:szCs w:val="36"/>
          <w:rtl/>
        </w:rPr>
        <w:t>المطلق</w:t>
      </w:r>
      <w:r w:rsidR="00603323" w:rsidRPr="00FD211F">
        <w:rPr>
          <w:sz w:val="36"/>
          <w:szCs w:val="36"/>
          <w:rtl/>
        </w:rPr>
        <w:t>،</w:t>
      </w:r>
      <w:r w:rsidR="00E8128F">
        <w:rPr>
          <w:sz w:val="36"/>
          <w:szCs w:val="36"/>
          <w:rtl/>
        </w:rPr>
        <w:t xml:space="preserve"> </w:t>
      </w:r>
      <w:r w:rsidR="00ED74FD" w:rsidRPr="00FD211F">
        <w:rPr>
          <w:sz w:val="36"/>
          <w:szCs w:val="36"/>
          <w:rtl/>
        </w:rPr>
        <w:t>فانه</w:t>
      </w:r>
      <w:r w:rsidR="00E8128F">
        <w:rPr>
          <w:sz w:val="36"/>
          <w:szCs w:val="36"/>
          <w:rtl/>
        </w:rPr>
        <w:t xml:space="preserve"> </w:t>
      </w:r>
      <w:r w:rsidR="00ED74FD" w:rsidRPr="00FD211F">
        <w:rPr>
          <w:sz w:val="36"/>
          <w:szCs w:val="36"/>
          <w:rtl/>
        </w:rPr>
        <w:t>يصح</w:t>
      </w:r>
      <w:r w:rsidR="00E8128F">
        <w:rPr>
          <w:sz w:val="36"/>
          <w:szCs w:val="36"/>
          <w:rtl/>
        </w:rPr>
        <w:t xml:space="preserve"> </w:t>
      </w:r>
      <w:r w:rsidR="00ED74FD" w:rsidRPr="00FD211F">
        <w:rPr>
          <w:sz w:val="36"/>
          <w:szCs w:val="36"/>
          <w:rtl/>
        </w:rPr>
        <w:t>ان</w:t>
      </w:r>
      <w:r w:rsidR="00E8128F">
        <w:rPr>
          <w:sz w:val="36"/>
          <w:szCs w:val="36"/>
          <w:rtl/>
        </w:rPr>
        <w:t xml:space="preserve"> </w:t>
      </w:r>
      <w:r w:rsidR="00C451CB" w:rsidRPr="00FD211F">
        <w:rPr>
          <w:sz w:val="36"/>
          <w:szCs w:val="36"/>
          <w:rtl/>
        </w:rPr>
        <w:t>ي</w:t>
      </w:r>
      <w:r w:rsidR="00ED74FD" w:rsidRPr="00FD211F">
        <w:rPr>
          <w:sz w:val="36"/>
          <w:szCs w:val="36"/>
          <w:rtl/>
        </w:rPr>
        <w:t>شار</w:t>
      </w:r>
      <w:r w:rsidR="00E8128F">
        <w:rPr>
          <w:sz w:val="36"/>
          <w:szCs w:val="36"/>
          <w:rtl/>
        </w:rPr>
        <w:t xml:space="preserve"> </w:t>
      </w:r>
      <w:r w:rsidR="00ED74FD" w:rsidRPr="00FD211F">
        <w:rPr>
          <w:sz w:val="36"/>
          <w:szCs w:val="36"/>
          <w:rtl/>
        </w:rPr>
        <w:t>اليه</w:t>
      </w:r>
      <w:r w:rsidR="00E8128F">
        <w:rPr>
          <w:sz w:val="36"/>
          <w:szCs w:val="36"/>
          <w:rtl/>
        </w:rPr>
        <w:t xml:space="preserve"> </w:t>
      </w:r>
      <w:r w:rsidR="00ED74FD" w:rsidRPr="00FD211F">
        <w:rPr>
          <w:sz w:val="36"/>
          <w:szCs w:val="36"/>
          <w:rtl/>
        </w:rPr>
        <w:t>فيقال</w:t>
      </w:r>
      <w:r w:rsidR="00E8128F">
        <w:rPr>
          <w:sz w:val="36"/>
          <w:szCs w:val="36"/>
          <w:rtl/>
        </w:rPr>
        <w:t xml:space="preserve"> </w:t>
      </w:r>
      <w:r w:rsidR="00ED74FD" w:rsidRPr="00FD211F">
        <w:rPr>
          <w:sz w:val="36"/>
          <w:szCs w:val="36"/>
          <w:rtl/>
        </w:rPr>
        <w:t>ان</w:t>
      </w:r>
      <w:r w:rsidR="00E8128F">
        <w:rPr>
          <w:sz w:val="36"/>
          <w:szCs w:val="36"/>
          <w:rtl/>
        </w:rPr>
        <w:t xml:space="preserve"> </w:t>
      </w:r>
      <w:r w:rsidR="00ED74FD" w:rsidRPr="00FD211F">
        <w:rPr>
          <w:sz w:val="36"/>
          <w:szCs w:val="36"/>
          <w:rtl/>
        </w:rPr>
        <w:t>هذا</w:t>
      </w:r>
      <w:r w:rsidR="00E8128F">
        <w:rPr>
          <w:sz w:val="36"/>
          <w:szCs w:val="36"/>
          <w:rtl/>
        </w:rPr>
        <w:t xml:space="preserve"> </w:t>
      </w:r>
      <w:r w:rsidR="00ED74FD" w:rsidRPr="00FD211F">
        <w:rPr>
          <w:sz w:val="36"/>
          <w:szCs w:val="36"/>
          <w:rtl/>
        </w:rPr>
        <w:t>كان</w:t>
      </w:r>
      <w:r w:rsidR="00E8128F">
        <w:rPr>
          <w:sz w:val="36"/>
          <w:szCs w:val="36"/>
          <w:rtl/>
        </w:rPr>
        <w:t xml:space="preserve"> </w:t>
      </w:r>
      <w:r w:rsidR="00ED74FD" w:rsidRPr="00FD211F">
        <w:rPr>
          <w:sz w:val="36"/>
          <w:szCs w:val="36"/>
          <w:rtl/>
        </w:rPr>
        <w:t>طهورا</w:t>
      </w:r>
      <w:r w:rsidR="00E8128F">
        <w:rPr>
          <w:sz w:val="36"/>
          <w:szCs w:val="36"/>
          <w:rtl/>
        </w:rPr>
        <w:t xml:space="preserve"> </w:t>
      </w:r>
      <w:r w:rsidR="00ED74FD" w:rsidRPr="00FD211F">
        <w:rPr>
          <w:sz w:val="36"/>
          <w:szCs w:val="36"/>
          <w:rtl/>
        </w:rPr>
        <w:t>ويشك</w:t>
      </w:r>
      <w:r w:rsidR="00E8128F">
        <w:rPr>
          <w:sz w:val="36"/>
          <w:szCs w:val="36"/>
          <w:rtl/>
        </w:rPr>
        <w:t xml:space="preserve"> </w:t>
      </w:r>
      <w:r w:rsidR="00ED74FD" w:rsidRPr="00FD211F">
        <w:rPr>
          <w:sz w:val="36"/>
          <w:szCs w:val="36"/>
          <w:rtl/>
        </w:rPr>
        <w:t>في</w:t>
      </w:r>
      <w:r w:rsidR="00E8128F">
        <w:rPr>
          <w:sz w:val="36"/>
          <w:szCs w:val="36"/>
          <w:rtl/>
        </w:rPr>
        <w:t xml:space="preserve"> </w:t>
      </w:r>
      <w:r w:rsidR="00ED74FD" w:rsidRPr="00FD211F">
        <w:rPr>
          <w:sz w:val="36"/>
          <w:szCs w:val="36"/>
          <w:rtl/>
        </w:rPr>
        <w:t>بقاء</w:t>
      </w:r>
      <w:r w:rsidR="00E8128F">
        <w:rPr>
          <w:sz w:val="36"/>
          <w:szCs w:val="36"/>
          <w:rtl/>
        </w:rPr>
        <w:t xml:space="preserve"> </w:t>
      </w:r>
      <w:r w:rsidR="00ED74FD" w:rsidRPr="00FD211F">
        <w:rPr>
          <w:sz w:val="36"/>
          <w:szCs w:val="36"/>
          <w:rtl/>
        </w:rPr>
        <w:t>طهوريته</w:t>
      </w:r>
      <w:r w:rsidR="00E8128F">
        <w:rPr>
          <w:sz w:val="36"/>
          <w:szCs w:val="36"/>
          <w:rtl/>
        </w:rPr>
        <w:t xml:space="preserve"> </w:t>
      </w:r>
      <w:r w:rsidR="00ED74FD" w:rsidRPr="00FD211F">
        <w:rPr>
          <w:sz w:val="36"/>
          <w:szCs w:val="36"/>
          <w:rtl/>
        </w:rPr>
        <w:t>فان</w:t>
      </w:r>
      <w:r w:rsidR="00E8128F">
        <w:rPr>
          <w:sz w:val="36"/>
          <w:szCs w:val="36"/>
          <w:rtl/>
        </w:rPr>
        <w:t xml:space="preserve"> </w:t>
      </w:r>
      <w:r w:rsidR="00ED74FD" w:rsidRPr="00FD211F">
        <w:rPr>
          <w:sz w:val="36"/>
          <w:szCs w:val="36"/>
          <w:rtl/>
        </w:rPr>
        <w:t>المائي</w:t>
      </w:r>
      <w:r w:rsidR="00EC7EDF" w:rsidRPr="00FD211F">
        <w:rPr>
          <w:sz w:val="36"/>
          <w:szCs w:val="36"/>
          <w:rtl/>
        </w:rPr>
        <w:t>ة</w:t>
      </w:r>
      <w:r w:rsidR="00E8128F">
        <w:rPr>
          <w:sz w:val="36"/>
          <w:szCs w:val="36"/>
          <w:rtl/>
        </w:rPr>
        <w:t xml:space="preserve"> </w:t>
      </w:r>
      <w:r w:rsidR="00ED74FD" w:rsidRPr="00FD211F">
        <w:rPr>
          <w:sz w:val="36"/>
          <w:szCs w:val="36"/>
          <w:rtl/>
        </w:rPr>
        <w:t>من</w:t>
      </w:r>
      <w:r w:rsidR="00E8128F">
        <w:rPr>
          <w:sz w:val="36"/>
          <w:szCs w:val="36"/>
          <w:rtl/>
        </w:rPr>
        <w:t xml:space="preserve"> </w:t>
      </w:r>
      <w:r w:rsidR="00ED74FD" w:rsidRPr="00FD211F">
        <w:rPr>
          <w:sz w:val="36"/>
          <w:szCs w:val="36"/>
          <w:rtl/>
        </w:rPr>
        <w:t>الحالات</w:t>
      </w:r>
      <w:r w:rsidR="00E8128F">
        <w:rPr>
          <w:sz w:val="36"/>
          <w:szCs w:val="36"/>
          <w:rtl/>
        </w:rPr>
        <w:t xml:space="preserve"> </w:t>
      </w:r>
      <w:r w:rsidR="00ED74FD" w:rsidRPr="00FD211F">
        <w:rPr>
          <w:sz w:val="36"/>
          <w:szCs w:val="36"/>
          <w:rtl/>
        </w:rPr>
        <w:t>وتكون</w:t>
      </w:r>
      <w:r w:rsidR="00E8128F">
        <w:rPr>
          <w:sz w:val="36"/>
          <w:szCs w:val="36"/>
          <w:rtl/>
        </w:rPr>
        <w:t xml:space="preserve"> </w:t>
      </w:r>
      <w:r w:rsidR="00ED74FD" w:rsidRPr="00FD211F">
        <w:rPr>
          <w:sz w:val="36"/>
          <w:szCs w:val="36"/>
          <w:rtl/>
        </w:rPr>
        <w:t>حيثي</w:t>
      </w:r>
      <w:r w:rsidR="00EC7EDF" w:rsidRPr="00FD211F">
        <w:rPr>
          <w:sz w:val="36"/>
          <w:szCs w:val="36"/>
          <w:rtl/>
        </w:rPr>
        <w:t>ة</w:t>
      </w:r>
      <w:r w:rsidR="00E8128F">
        <w:rPr>
          <w:sz w:val="36"/>
          <w:szCs w:val="36"/>
          <w:rtl/>
        </w:rPr>
        <w:t xml:space="preserve"> </w:t>
      </w:r>
      <w:r w:rsidR="00ED74FD" w:rsidRPr="00FD211F">
        <w:rPr>
          <w:sz w:val="36"/>
          <w:szCs w:val="36"/>
          <w:rtl/>
        </w:rPr>
        <w:t>تعليلي</w:t>
      </w:r>
      <w:r w:rsidR="00EC7EDF" w:rsidRPr="00FD211F">
        <w:rPr>
          <w:sz w:val="36"/>
          <w:szCs w:val="36"/>
          <w:rtl/>
        </w:rPr>
        <w:t>ة</w:t>
      </w:r>
      <w:r w:rsidR="00E8128F">
        <w:rPr>
          <w:sz w:val="36"/>
          <w:szCs w:val="36"/>
          <w:rtl/>
        </w:rPr>
        <w:t xml:space="preserve"> </w:t>
      </w:r>
      <w:r w:rsidR="00ED74FD" w:rsidRPr="00FD211F">
        <w:rPr>
          <w:sz w:val="36"/>
          <w:szCs w:val="36"/>
          <w:rtl/>
        </w:rPr>
        <w:t>لثبوت</w:t>
      </w:r>
      <w:r w:rsidR="00E8128F">
        <w:rPr>
          <w:sz w:val="36"/>
          <w:szCs w:val="36"/>
          <w:rtl/>
        </w:rPr>
        <w:t xml:space="preserve"> </w:t>
      </w:r>
      <w:r w:rsidR="00ED74FD" w:rsidRPr="00FD211F">
        <w:rPr>
          <w:sz w:val="36"/>
          <w:szCs w:val="36"/>
          <w:rtl/>
        </w:rPr>
        <w:t>الحكم</w:t>
      </w:r>
      <w:r w:rsidR="00E8128F">
        <w:rPr>
          <w:sz w:val="36"/>
          <w:szCs w:val="36"/>
          <w:rtl/>
        </w:rPr>
        <w:t xml:space="preserve"> </w:t>
      </w:r>
      <w:r w:rsidR="00ED74FD" w:rsidRPr="00FD211F">
        <w:rPr>
          <w:sz w:val="36"/>
          <w:szCs w:val="36"/>
          <w:rtl/>
        </w:rPr>
        <w:t>بالطهوري</w:t>
      </w:r>
      <w:r w:rsidR="00EC7EDF" w:rsidRPr="00FD211F">
        <w:rPr>
          <w:sz w:val="36"/>
          <w:szCs w:val="36"/>
          <w:rtl/>
        </w:rPr>
        <w:t>ة</w:t>
      </w:r>
      <w:r w:rsidR="00E8128F">
        <w:rPr>
          <w:sz w:val="36"/>
          <w:szCs w:val="36"/>
          <w:rtl/>
        </w:rPr>
        <w:t xml:space="preserve"> </w:t>
      </w:r>
      <w:r w:rsidR="00ED74FD" w:rsidRPr="00FD211F">
        <w:rPr>
          <w:sz w:val="36"/>
          <w:szCs w:val="36"/>
          <w:rtl/>
        </w:rPr>
        <w:t>لذات</w:t>
      </w:r>
      <w:r w:rsidR="00E8128F">
        <w:rPr>
          <w:sz w:val="36"/>
          <w:szCs w:val="36"/>
          <w:rtl/>
        </w:rPr>
        <w:t xml:space="preserve"> </w:t>
      </w:r>
      <w:r w:rsidR="00ED74FD" w:rsidRPr="00FD211F">
        <w:rPr>
          <w:sz w:val="36"/>
          <w:szCs w:val="36"/>
          <w:rtl/>
        </w:rPr>
        <w:t>المايع</w:t>
      </w:r>
      <w:r w:rsidR="00603323" w:rsidRPr="00FD211F">
        <w:rPr>
          <w:sz w:val="36"/>
          <w:szCs w:val="36"/>
          <w:rtl/>
        </w:rPr>
        <w:t>،</w:t>
      </w:r>
      <w:r w:rsidR="00E8128F">
        <w:rPr>
          <w:sz w:val="36"/>
          <w:szCs w:val="36"/>
          <w:rtl/>
        </w:rPr>
        <w:t xml:space="preserve"> </w:t>
      </w:r>
      <w:r w:rsidR="00ED74FD" w:rsidRPr="00FD211F">
        <w:rPr>
          <w:sz w:val="36"/>
          <w:szCs w:val="36"/>
          <w:rtl/>
        </w:rPr>
        <w:t>نعم</w:t>
      </w:r>
      <w:r w:rsidR="00E8128F">
        <w:rPr>
          <w:sz w:val="36"/>
          <w:szCs w:val="36"/>
          <w:rtl/>
        </w:rPr>
        <w:t xml:space="preserve"> </w:t>
      </w:r>
      <w:r w:rsidR="00ED74FD" w:rsidRPr="00FD211F">
        <w:rPr>
          <w:sz w:val="36"/>
          <w:szCs w:val="36"/>
          <w:rtl/>
        </w:rPr>
        <w:t>لو</w:t>
      </w:r>
      <w:r w:rsidR="00E8128F">
        <w:rPr>
          <w:sz w:val="36"/>
          <w:szCs w:val="36"/>
          <w:rtl/>
        </w:rPr>
        <w:t xml:space="preserve"> </w:t>
      </w:r>
      <w:r w:rsidR="00ED74FD" w:rsidRPr="00FD211F">
        <w:rPr>
          <w:sz w:val="36"/>
          <w:szCs w:val="36"/>
          <w:rtl/>
        </w:rPr>
        <w:t>كان</w:t>
      </w:r>
      <w:r w:rsidR="00E8128F">
        <w:rPr>
          <w:sz w:val="36"/>
          <w:szCs w:val="36"/>
          <w:rtl/>
        </w:rPr>
        <w:t xml:space="preserve"> </w:t>
      </w:r>
      <w:r w:rsidR="00ED74FD" w:rsidRPr="00FD211F">
        <w:rPr>
          <w:sz w:val="36"/>
          <w:szCs w:val="36"/>
          <w:rtl/>
        </w:rPr>
        <w:t>العنوان</w:t>
      </w:r>
      <w:r w:rsidR="00E8128F">
        <w:rPr>
          <w:sz w:val="36"/>
          <w:szCs w:val="36"/>
          <w:rtl/>
        </w:rPr>
        <w:t xml:space="preserve"> </w:t>
      </w:r>
      <w:r w:rsidR="00ED74FD" w:rsidRPr="00FD211F">
        <w:rPr>
          <w:sz w:val="36"/>
          <w:szCs w:val="36"/>
          <w:rtl/>
        </w:rPr>
        <w:t>من</w:t>
      </w:r>
      <w:r w:rsidR="00E8128F">
        <w:rPr>
          <w:sz w:val="36"/>
          <w:szCs w:val="36"/>
          <w:rtl/>
        </w:rPr>
        <w:t xml:space="preserve"> </w:t>
      </w:r>
      <w:r w:rsidR="00ED74FD" w:rsidRPr="00FD211F">
        <w:rPr>
          <w:sz w:val="36"/>
          <w:szCs w:val="36"/>
          <w:rtl/>
        </w:rPr>
        <w:t>العناوين</w:t>
      </w:r>
      <w:r w:rsidR="00E8128F">
        <w:rPr>
          <w:sz w:val="36"/>
          <w:szCs w:val="36"/>
          <w:rtl/>
        </w:rPr>
        <w:t xml:space="preserve"> </w:t>
      </w:r>
      <w:r w:rsidR="00ED74FD" w:rsidRPr="00FD211F">
        <w:rPr>
          <w:sz w:val="36"/>
          <w:szCs w:val="36"/>
          <w:rtl/>
        </w:rPr>
        <w:t>المقوم</w:t>
      </w:r>
      <w:r w:rsidR="00EC7EDF" w:rsidRPr="00FD211F">
        <w:rPr>
          <w:sz w:val="36"/>
          <w:szCs w:val="36"/>
          <w:rtl/>
        </w:rPr>
        <w:t>ة</w:t>
      </w:r>
      <w:r w:rsidR="00E8128F">
        <w:rPr>
          <w:sz w:val="36"/>
          <w:szCs w:val="36"/>
          <w:rtl/>
        </w:rPr>
        <w:t xml:space="preserve"> </w:t>
      </w:r>
      <w:r w:rsidR="00ED74FD" w:rsidRPr="00FD211F">
        <w:rPr>
          <w:sz w:val="36"/>
          <w:szCs w:val="36"/>
          <w:rtl/>
        </w:rPr>
        <w:t>التي</w:t>
      </w:r>
      <w:r w:rsidR="00E8128F">
        <w:rPr>
          <w:sz w:val="36"/>
          <w:szCs w:val="36"/>
          <w:rtl/>
        </w:rPr>
        <w:t xml:space="preserve"> </w:t>
      </w:r>
      <w:r w:rsidR="00ED74FD" w:rsidRPr="00FD211F">
        <w:rPr>
          <w:sz w:val="36"/>
          <w:szCs w:val="36"/>
          <w:rtl/>
        </w:rPr>
        <w:t>تكون</w:t>
      </w:r>
      <w:r w:rsidR="00E8128F">
        <w:rPr>
          <w:sz w:val="36"/>
          <w:szCs w:val="36"/>
          <w:rtl/>
        </w:rPr>
        <w:t xml:space="preserve"> </w:t>
      </w:r>
      <w:r w:rsidR="00ED74FD" w:rsidRPr="00FD211F">
        <w:rPr>
          <w:sz w:val="36"/>
          <w:szCs w:val="36"/>
          <w:rtl/>
        </w:rPr>
        <w:t>حيثي</w:t>
      </w:r>
      <w:r w:rsidR="00EC7EDF" w:rsidRPr="00FD211F">
        <w:rPr>
          <w:sz w:val="36"/>
          <w:szCs w:val="36"/>
          <w:rtl/>
        </w:rPr>
        <w:t>ة</w:t>
      </w:r>
      <w:r w:rsidR="00E8128F">
        <w:rPr>
          <w:sz w:val="36"/>
          <w:szCs w:val="36"/>
          <w:rtl/>
        </w:rPr>
        <w:t xml:space="preserve"> </w:t>
      </w:r>
      <w:r w:rsidR="00ED74FD" w:rsidRPr="00FD211F">
        <w:rPr>
          <w:sz w:val="36"/>
          <w:szCs w:val="36"/>
          <w:rtl/>
        </w:rPr>
        <w:t>تقييدي</w:t>
      </w:r>
      <w:r w:rsidR="00EC7EDF" w:rsidRPr="00FD211F">
        <w:rPr>
          <w:sz w:val="36"/>
          <w:szCs w:val="36"/>
          <w:rtl/>
        </w:rPr>
        <w:t>ة</w:t>
      </w:r>
      <w:r w:rsidR="00E8128F">
        <w:rPr>
          <w:sz w:val="36"/>
          <w:szCs w:val="36"/>
          <w:rtl/>
        </w:rPr>
        <w:t xml:space="preserve"> </w:t>
      </w:r>
      <w:r w:rsidR="00ED74FD" w:rsidRPr="00FD211F">
        <w:rPr>
          <w:sz w:val="36"/>
          <w:szCs w:val="36"/>
          <w:rtl/>
        </w:rPr>
        <w:t>ومعروض</w:t>
      </w:r>
      <w:r w:rsidR="00EC7EDF" w:rsidRPr="00FD211F">
        <w:rPr>
          <w:sz w:val="36"/>
          <w:szCs w:val="36"/>
          <w:rtl/>
        </w:rPr>
        <w:t>ة</w:t>
      </w:r>
      <w:r w:rsidR="00E8128F">
        <w:rPr>
          <w:sz w:val="36"/>
          <w:szCs w:val="36"/>
          <w:rtl/>
        </w:rPr>
        <w:t xml:space="preserve"> </w:t>
      </w:r>
      <w:r w:rsidR="00ED74FD" w:rsidRPr="00FD211F">
        <w:rPr>
          <w:sz w:val="36"/>
          <w:szCs w:val="36"/>
          <w:rtl/>
        </w:rPr>
        <w:t>للحكم</w:t>
      </w:r>
      <w:r w:rsidR="00E8128F">
        <w:rPr>
          <w:sz w:val="36"/>
          <w:szCs w:val="36"/>
          <w:rtl/>
        </w:rPr>
        <w:t xml:space="preserve"> </w:t>
      </w:r>
      <w:r w:rsidR="00ED74FD" w:rsidRPr="00FD211F">
        <w:rPr>
          <w:sz w:val="36"/>
          <w:szCs w:val="36"/>
          <w:rtl/>
        </w:rPr>
        <w:t>عرفا</w:t>
      </w:r>
      <w:r w:rsidR="00E8128F">
        <w:rPr>
          <w:sz w:val="36"/>
          <w:szCs w:val="36"/>
          <w:rtl/>
        </w:rPr>
        <w:t xml:space="preserve"> </w:t>
      </w:r>
      <w:r w:rsidR="00ED74FD" w:rsidRPr="00FD211F">
        <w:rPr>
          <w:sz w:val="36"/>
          <w:szCs w:val="36"/>
          <w:rtl/>
        </w:rPr>
        <w:t>فلايجري</w:t>
      </w:r>
      <w:r w:rsidR="00E8128F">
        <w:rPr>
          <w:sz w:val="36"/>
          <w:szCs w:val="36"/>
          <w:rtl/>
        </w:rPr>
        <w:t xml:space="preserve"> </w:t>
      </w:r>
      <w:r w:rsidR="00ED74FD" w:rsidRPr="00FD211F">
        <w:rPr>
          <w:sz w:val="36"/>
          <w:szCs w:val="36"/>
          <w:rtl/>
        </w:rPr>
        <w:t>فيها</w:t>
      </w:r>
      <w:r w:rsidR="00E8128F">
        <w:rPr>
          <w:sz w:val="36"/>
          <w:szCs w:val="36"/>
          <w:rtl/>
        </w:rPr>
        <w:t xml:space="preserve"> </w:t>
      </w:r>
      <w:r w:rsidR="00ED74FD" w:rsidRPr="00FD211F">
        <w:rPr>
          <w:sz w:val="36"/>
          <w:szCs w:val="36"/>
          <w:rtl/>
        </w:rPr>
        <w:t>الاستصحاب</w:t>
      </w:r>
      <w:r w:rsidR="00E8128F">
        <w:rPr>
          <w:sz w:val="36"/>
          <w:szCs w:val="36"/>
          <w:rtl/>
        </w:rPr>
        <w:t xml:space="preserve"> </w:t>
      </w:r>
      <w:r w:rsidR="00ED74FD" w:rsidRPr="00FD211F">
        <w:rPr>
          <w:sz w:val="36"/>
          <w:szCs w:val="36"/>
          <w:rtl/>
        </w:rPr>
        <w:t>الحكمي</w:t>
      </w:r>
      <w:r w:rsidR="00603323" w:rsidRPr="00FD211F">
        <w:rPr>
          <w:sz w:val="36"/>
          <w:szCs w:val="36"/>
          <w:rtl/>
        </w:rPr>
        <w:t>،</w:t>
      </w:r>
      <w:r w:rsidR="00E8128F">
        <w:rPr>
          <w:sz w:val="36"/>
          <w:szCs w:val="36"/>
          <w:rtl/>
        </w:rPr>
        <w:t xml:space="preserve"> </w:t>
      </w:r>
      <w:r w:rsidR="00ED74FD" w:rsidRPr="00FD211F">
        <w:rPr>
          <w:sz w:val="36"/>
          <w:szCs w:val="36"/>
          <w:rtl/>
        </w:rPr>
        <w:t>ومن</w:t>
      </w:r>
      <w:r w:rsidR="00E8128F">
        <w:rPr>
          <w:sz w:val="36"/>
          <w:szCs w:val="36"/>
          <w:rtl/>
        </w:rPr>
        <w:t xml:space="preserve"> </w:t>
      </w:r>
      <w:r w:rsidR="00ED74FD" w:rsidRPr="00FD211F">
        <w:rPr>
          <w:sz w:val="36"/>
          <w:szCs w:val="36"/>
          <w:rtl/>
        </w:rPr>
        <w:t>الغريب</w:t>
      </w:r>
      <w:r w:rsidR="00E8128F">
        <w:rPr>
          <w:sz w:val="36"/>
          <w:szCs w:val="36"/>
          <w:rtl/>
        </w:rPr>
        <w:t xml:space="preserve"> </w:t>
      </w:r>
      <w:r w:rsidR="00ED74FD" w:rsidRPr="00FD211F">
        <w:rPr>
          <w:sz w:val="36"/>
          <w:szCs w:val="36"/>
          <w:rtl/>
        </w:rPr>
        <w:t>ان</w:t>
      </w:r>
      <w:r w:rsidR="00E8128F">
        <w:rPr>
          <w:sz w:val="36"/>
          <w:szCs w:val="36"/>
          <w:rtl/>
        </w:rPr>
        <w:t xml:space="preserve"> </w:t>
      </w:r>
      <w:r w:rsidR="00ED74FD" w:rsidRPr="00FD211F">
        <w:rPr>
          <w:sz w:val="36"/>
          <w:szCs w:val="36"/>
          <w:rtl/>
        </w:rPr>
        <w:t>السيد</w:t>
      </w:r>
      <w:r w:rsidR="00E8128F">
        <w:rPr>
          <w:sz w:val="36"/>
          <w:szCs w:val="36"/>
          <w:rtl/>
        </w:rPr>
        <w:t xml:space="preserve"> </w:t>
      </w:r>
      <w:r w:rsidR="00ED74FD" w:rsidRPr="00FD211F">
        <w:rPr>
          <w:sz w:val="36"/>
          <w:szCs w:val="36"/>
          <w:rtl/>
        </w:rPr>
        <w:t>الخوئي</w:t>
      </w:r>
      <w:r w:rsidR="00E8128F">
        <w:rPr>
          <w:sz w:val="36"/>
          <w:szCs w:val="36"/>
          <w:rtl/>
        </w:rPr>
        <w:t xml:space="preserve"> </w:t>
      </w:r>
      <w:r w:rsidR="00C55F9F" w:rsidRPr="00FD211F">
        <w:rPr>
          <w:sz w:val="36"/>
          <w:szCs w:val="36"/>
          <w:rtl/>
        </w:rPr>
        <w:t>"</w:t>
      </w:r>
      <w:r w:rsidR="00ED74FD" w:rsidRPr="00FD211F">
        <w:rPr>
          <w:sz w:val="36"/>
          <w:szCs w:val="36"/>
          <w:rtl/>
        </w:rPr>
        <w:t>قده</w:t>
      </w:r>
      <w:r w:rsidR="00C55F9F" w:rsidRPr="00FD211F">
        <w:rPr>
          <w:sz w:val="36"/>
          <w:szCs w:val="36"/>
          <w:rtl/>
        </w:rPr>
        <w:t>"</w:t>
      </w:r>
      <w:r w:rsidR="00E8128F">
        <w:rPr>
          <w:sz w:val="36"/>
          <w:szCs w:val="36"/>
          <w:rtl/>
        </w:rPr>
        <w:t xml:space="preserve"> </w:t>
      </w:r>
      <w:r w:rsidR="00ED74FD" w:rsidRPr="00FD211F">
        <w:rPr>
          <w:sz w:val="36"/>
          <w:szCs w:val="36"/>
          <w:rtl/>
        </w:rPr>
        <w:t>يلتزم</w:t>
      </w:r>
      <w:r w:rsidR="00E8128F">
        <w:rPr>
          <w:sz w:val="36"/>
          <w:szCs w:val="36"/>
          <w:rtl/>
        </w:rPr>
        <w:t xml:space="preserve"> </w:t>
      </w:r>
      <w:r w:rsidR="00ED74FD" w:rsidRPr="00FD211F">
        <w:rPr>
          <w:sz w:val="36"/>
          <w:szCs w:val="36"/>
          <w:rtl/>
        </w:rPr>
        <w:t>في</w:t>
      </w:r>
      <w:r w:rsidR="00E8128F">
        <w:rPr>
          <w:sz w:val="36"/>
          <w:szCs w:val="36"/>
          <w:rtl/>
        </w:rPr>
        <w:t xml:space="preserve"> </w:t>
      </w:r>
      <w:r w:rsidR="00ED74FD" w:rsidRPr="00FD211F">
        <w:rPr>
          <w:sz w:val="36"/>
          <w:szCs w:val="36"/>
          <w:rtl/>
        </w:rPr>
        <w:t>الماء</w:t>
      </w:r>
      <w:r w:rsidR="00E8128F">
        <w:rPr>
          <w:sz w:val="36"/>
          <w:szCs w:val="36"/>
          <w:rtl/>
        </w:rPr>
        <w:t xml:space="preserve"> </w:t>
      </w:r>
      <w:r w:rsidR="00ED74FD" w:rsidRPr="00FD211F">
        <w:rPr>
          <w:sz w:val="36"/>
          <w:szCs w:val="36"/>
          <w:rtl/>
        </w:rPr>
        <w:t>الذي</w:t>
      </w:r>
      <w:r w:rsidR="00E8128F">
        <w:rPr>
          <w:sz w:val="36"/>
          <w:szCs w:val="36"/>
          <w:rtl/>
        </w:rPr>
        <w:t xml:space="preserve"> </w:t>
      </w:r>
      <w:r w:rsidR="00ED74FD" w:rsidRPr="00FD211F">
        <w:rPr>
          <w:sz w:val="36"/>
          <w:szCs w:val="36"/>
          <w:rtl/>
        </w:rPr>
        <w:t>زال</w:t>
      </w:r>
      <w:r w:rsidR="00E8128F">
        <w:rPr>
          <w:sz w:val="36"/>
          <w:szCs w:val="36"/>
          <w:rtl/>
        </w:rPr>
        <w:t xml:space="preserve"> </w:t>
      </w:r>
      <w:r w:rsidR="00ED74FD" w:rsidRPr="00FD211F">
        <w:rPr>
          <w:sz w:val="36"/>
          <w:szCs w:val="36"/>
          <w:rtl/>
        </w:rPr>
        <w:t>تغيره</w:t>
      </w:r>
      <w:r w:rsidR="00E8128F">
        <w:rPr>
          <w:sz w:val="36"/>
          <w:szCs w:val="36"/>
          <w:rtl/>
        </w:rPr>
        <w:t xml:space="preserve"> </w:t>
      </w:r>
      <w:r w:rsidR="00ED74FD" w:rsidRPr="00FD211F">
        <w:rPr>
          <w:sz w:val="36"/>
          <w:szCs w:val="36"/>
          <w:rtl/>
        </w:rPr>
        <w:t>جزما</w:t>
      </w:r>
      <w:r w:rsidR="00E8128F">
        <w:rPr>
          <w:sz w:val="36"/>
          <w:szCs w:val="36"/>
          <w:rtl/>
        </w:rPr>
        <w:t xml:space="preserve"> </w:t>
      </w:r>
      <w:r w:rsidR="00ED74FD" w:rsidRPr="00FD211F">
        <w:rPr>
          <w:sz w:val="36"/>
          <w:szCs w:val="36"/>
          <w:rtl/>
        </w:rPr>
        <w:t>بجريان</w:t>
      </w:r>
      <w:r w:rsidR="00E8128F">
        <w:rPr>
          <w:sz w:val="36"/>
          <w:szCs w:val="36"/>
          <w:rtl/>
        </w:rPr>
        <w:t xml:space="preserve"> </w:t>
      </w:r>
      <w:r w:rsidR="00ED74FD" w:rsidRPr="00FD211F">
        <w:rPr>
          <w:sz w:val="36"/>
          <w:szCs w:val="36"/>
          <w:rtl/>
        </w:rPr>
        <w:t>استصحاب</w:t>
      </w:r>
      <w:r w:rsidR="00E8128F">
        <w:rPr>
          <w:sz w:val="36"/>
          <w:szCs w:val="36"/>
          <w:rtl/>
        </w:rPr>
        <w:t xml:space="preserve"> </w:t>
      </w:r>
      <w:r w:rsidR="00ED74FD" w:rsidRPr="00FD211F">
        <w:rPr>
          <w:sz w:val="36"/>
          <w:szCs w:val="36"/>
          <w:rtl/>
        </w:rPr>
        <w:t>بقاء</w:t>
      </w:r>
      <w:r w:rsidR="00E8128F">
        <w:rPr>
          <w:sz w:val="36"/>
          <w:szCs w:val="36"/>
          <w:rtl/>
        </w:rPr>
        <w:t xml:space="preserve"> </w:t>
      </w:r>
      <w:r w:rsidR="00ED74FD" w:rsidRPr="00FD211F">
        <w:rPr>
          <w:sz w:val="36"/>
          <w:szCs w:val="36"/>
          <w:rtl/>
        </w:rPr>
        <w:t>نجاسته</w:t>
      </w:r>
      <w:r w:rsidR="00E8128F">
        <w:rPr>
          <w:sz w:val="36"/>
          <w:szCs w:val="36"/>
          <w:rtl/>
        </w:rPr>
        <w:t xml:space="preserve"> </w:t>
      </w:r>
      <w:r w:rsidR="00ED74FD" w:rsidRPr="00FD211F">
        <w:rPr>
          <w:sz w:val="36"/>
          <w:szCs w:val="36"/>
          <w:rtl/>
        </w:rPr>
        <w:t>-بدعوى</w:t>
      </w:r>
      <w:r w:rsidR="00E8128F">
        <w:rPr>
          <w:sz w:val="36"/>
          <w:szCs w:val="36"/>
          <w:rtl/>
        </w:rPr>
        <w:t xml:space="preserve"> </w:t>
      </w:r>
      <w:r w:rsidR="00ED74FD" w:rsidRPr="00FD211F">
        <w:rPr>
          <w:sz w:val="36"/>
          <w:szCs w:val="36"/>
          <w:rtl/>
        </w:rPr>
        <w:t>ان</w:t>
      </w:r>
      <w:r w:rsidR="00E8128F">
        <w:rPr>
          <w:sz w:val="36"/>
          <w:szCs w:val="36"/>
          <w:rtl/>
        </w:rPr>
        <w:t xml:space="preserve"> </w:t>
      </w:r>
      <w:r w:rsidR="00ED74FD" w:rsidRPr="00FD211F">
        <w:rPr>
          <w:sz w:val="36"/>
          <w:szCs w:val="36"/>
          <w:rtl/>
        </w:rPr>
        <w:t>التغير</w:t>
      </w:r>
      <w:r w:rsidR="00E8128F">
        <w:rPr>
          <w:sz w:val="36"/>
          <w:szCs w:val="36"/>
          <w:rtl/>
        </w:rPr>
        <w:t xml:space="preserve"> </w:t>
      </w:r>
      <w:r w:rsidR="00ED74FD" w:rsidRPr="00FD211F">
        <w:rPr>
          <w:sz w:val="36"/>
          <w:szCs w:val="36"/>
          <w:rtl/>
        </w:rPr>
        <w:t>حيثي</w:t>
      </w:r>
      <w:r w:rsidR="00EC7EDF" w:rsidRPr="00FD211F">
        <w:rPr>
          <w:sz w:val="36"/>
          <w:szCs w:val="36"/>
          <w:rtl/>
        </w:rPr>
        <w:t>ة</w:t>
      </w:r>
      <w:r w:rsidR="00E8128F">
        <w:rPr>
          <w:sz w:val="36"/>
          <w:szCs w:val="36"/>
          <w:rtl/>
        </w:rPr>
        <w:t xml:space="preserve"> </w:t>
      </w:r>
      <w:r w:rsidR="00ED74FD" w:rsidRPr="00FD211F">
        <w:rPr>
          <w:sz w:val="36"/>
          <w:szCs w:val="36"/>
          <w:rtl/>
        </w:rPr>
        <w:t>تعليلي</w:t>
      </w:r>
      <w:r w:rsidR="00EC7EDF" w:rsidRPr="00FD211F">
        <w:rPr>
          <w:sz w:val="36"/>
          <w:szCs w:val="36"/>
          <w:rtl/>
        </w:rPr>
        <w:t>ة</w:t>
      </w:r>
      <w:r w:rsidR="00E8128F">
        <w:rPr>
          <w:sz w:val="36"/>
          <w:szCs w:val="36"/>
          <w:rtl/>
        </w:rPr>
        <w:t xml:space="preserve"> </w:t>
      </w:r>
      <w:r w:rsidR="00ED74FD" w:rsidRPr="00FD211F">
        <w:rPr>
          <w:sz w:val="36"/>
          <w:szCs w:val="36"/>
          <w:rtl/>
        </w:rPr>
        <w:t>فيكون</w:t>
      </w:r>
      <w:r w:rsidR="00E8128F">
        <w:rPr>
          <w:sz w:val="36"/>
          <w:szCs w:val="36"/>
          <w:rtl/>
        </w:rPr>
        <w:t xml:space="preserve"> </w:t>
      </w:r>
      <w:r w:rsidR="00ED74FD" w:rsidRPr="00FD211F">
        <w:rPr>
          <w:sz w:val="36"/>
          <w:szCs w:val="36"/>
          <w:rtl/>
        </w:rPr>
        <w:t>المعروض</w:t>
      </w:r>
      <w:r w:rsidR="00E8128F">
        <w:rPr>
          <w:sz w:val="36"/>
          <w:szCs w:val="36"/>
          <w:rtl/>
        </w:rPr>
        <w:t xml:space="preserve"> </w:t>
      </w:r>
      <w:r w:rsidR="00ED74FD" w:rsidRPr="00FD211F">
        <w:rPr>
          <w:sz w:val="36"/>
          <w:szCs w:val="36"/>
          <w:rtl/>
        </w:rPr>
        <w:t>للنجاس</w:t>
      </w:r>
      <w:r w:rsidR="00EC7EDF" w:rsidRPr="00FD211F">
        <w:rPr>
          <w:sz w:val="36"/>
          <w:szCs w:val="36"/>
          <w:rtl/>
        </w:rPr>
        <w:t>ة</w:t>
      </w:r>
      <w:r w:rsidR="00E8128F">
        <w:rPr>
          <w:sz w:val="36"/>
          <w:szCs w:val="36"/>
          <w:rtl/>
        </w:rPr>
        <w:t xml:space="preserve"> </w:t>
      </w:r>
      <w:r w:rsidR="00ED74FD" w:rsidRPr="00FD211F">
        <w:rPr>
          <w:sz w:val="36"/>
          <w:szCs w:val="36"/>
          <w:rtl/>
        </w:rPr>
        <w:t>هو</w:t>
      </w:r>
      <w:r w:rsidR="00E8128F">
        <w:rPr>
          <w:sz w:val="36"/>
          <w:szCs w:val="36"/>
          <w:rtl/>
        </w:rPr>
        <w:t xml:space="preserve"> </w:t>
      </w:r>
      <w:r w:rsidR="00ED74FD" w:rsidRPr="00FD211F">
        <w:rPr>
          <w:sz w:val="36"/>
          <w:szCs w:val="36"/>
          <w:rtl/>
        </w:rPr>
        <w:t>ذات</w:t>
      </w:r>
      <w:r w:rsidR="00E8128F">
        <w:rPr>
          <w:sz w:val="36"/>
          <w:szCs w:val="36"/>
          <w:rtl/>
        </w:rPr>
        <w:t xml:space="preserve"> </w:t>
      </w:r>
      <w:r w:rsidR="00ED74FD" w:rsidRPr="00FD211F">
        <w:rPr>
          <w:sz w:val="36"/>
          <w:szCs w:val="36"/>
          <w:rtl/>
        </w:rPr>
        <w:t>الماء-</w:t>
      </w:r>
      <w:r w:rsidR="00E8128F">
        <w:rPr>
          <w:sz w:val="36"/>
          <w:szCs w:val="36"/>
          <w:rtl/>
        </w:rPr>
        <w:t xml:space="preserve"> </w:t>
      </w:r>
      <w:r w:rsidR="00ED74FD" w:rsidRPr="00FD211F">
        <w:rPr>
          <w:sz w:val="36"/>
          <w:szCs w:val="36"/>
          <w:rtl/>
        </w:rPr>
        <w:t>وان</w:t>
      </w:r>
      <w:r w:rsidR="00E8128F">
        <w:rPr>
          <w:sz w:val="36"/>
          <w:szCs w:val="36"/>
          <w:rtl/>
        </w:rPr>
        <w:t xml:space="preserve"> </w:t>
      </w:r>
      <w:r w:rsidR="00ED74FD" w:rsidRPr="00FD211F">
        <w:rPr>
          <w:sz w:val="36"/>
          <w:szCs w:val="36"/>
          <w:rtl/>
        </w:rPr>
        <w:t>كان</w:t>
      </w:r>
      <w:r w:rsidR="00E8128F">
        <w:rPr>
          <w:sz w:val="36"/>
          <w:szCs w:val="36"/>
          <w:rtl/>
        </w:rPr>
        <w:t xml:space="preserve"> </w:t>
      </w:r>
      <w:r w:rsidR="00ED74FD" w:rsidRPr="00FD211F">
        <w:rPr>
          <w:sz w:val="36"/>
          <w:szCs w:val="36"/>
          <w:rtl/>
        </w:rPr>
        <w:t>يراه</w:t>
      </w:r>
      <w:r w:rsidR="00E8128F">
        <w:rPr>
          <w:sz w:val="36"/>
          <w:szCs w:val="36"/>
          <w:rtl/>
        </w:rPr>
        <w:t xml:space="preserve"> </w:t>
      </w:r>
      <w:r w:rsidR="00ED74FD" w:rsidRPr="00FD211F">
        <w:rPr>
          <w:sz w:val="36"/>
          <w:szCs w:val="36"/>
          <w:rtl/>
        </w:rPr>
        <w:t>معارضا</w:t>
      </w:r>
      <w:r w:rsidR="00E8128F">
        <w:rPr>
          <w:sz w:val="36"/>
          <w:szCs w:val="36"/>
          <w:rtl/>
        </w:rPr>
        <w:t xml:space="preserve"> </w:t>
      </w:r>
      <w:r w:rsidR="00ED74FD" w:rsidRPr="00FD211F">
        <w:rPr>
          <w:sz w:val="36"/>
          <w:szCs w:val="36"/>
          <w:rtl/>
        </w:rPr>
        <w:t>لاستصحاب</w:t>
      </w:r>
      <w:r w:rsidR="00E8128F">
        <w:rPr>
          <w:sz w:val="36"/>
          <w:szCs w:val="36"/>
          <w:rtl/>
        </w:rPr>
        <w:t xml:space="preserve"> </w:t>
      </w:r>
      <w:r w:rsidR="00ED74FD" w:rsidRPr="00FD211F">
        <w:rPr>
          <w:sz w:val="36"/>
          <w:szCs w:val="36"/>
          <w:rtl/>
        </w:rPr>
        <w:t>عدم</w:t>
      </w:r>
      <w:r w:rsidR="00E8128F">
        <w:rPr>
          <w:sz w:val="36"/>
          <w:szCs w:val="36"/>
          <w:rtl/>
        </w:rPr>
        <w:t xml:space="preserve"> </w:t>
      </w:r>
      <w:r w:rsidR="00ED74FD" w:rsidRPr="00FD211F">
        <w:rPr>
          <w:sz w:val="36"/>
          <w:szCs w:val="36"/>
          <w:rtl/>
        </w:rPr>
        <w:t>الجعل</w:t>
      </w:r>
      <w:r w:rsidR="00E8128F">
        <w:rPr>
          <w:sz w:val="36"/>
          <w:szCs w:val="36"/>
          <w:rtl/>
        </w:rPr>
        <w:t xml:space="preserve"> </w:t>
      </w:r>
      <w:r w:rsidR="00ED74FD" w:rsidRPr="00FD211F">
        <w:rPr>
          <w:sz w:val="36"/>
          <w:szCs w:val="36"/>
          <w:rtl/>
        </w:rPr>
        <w:t>الزائد</w:t>
      </w:r>
      <w:r w:rsidR="00E8128F">
        <w:rPr>
          <w:sz w:val="36"/>
          <w:szCs w:val="36"/>
          <w:rtl/>
        </w:rPr>
        <w:t xml:space="preserve"> </w:t>
      </w:r>
      <w:r w:rsidR="00ED74FD" w:rsidRPr="00FD211F">
        <w:rPr>
          <w:sz w:val="36"/>
          <w:szCs w:val="36"/>
          <w:rtl/>
        </w:rPr>
        <w:t>لكنه</w:t>
      </w:r>
      <w:r w:rsidR="00E8128F">
        <w:rPr>
          <w:sz w:val="36"/>
          <w:szCs w:val="36"/>
          <w:rtl/>
        </w:rPr>
        <w:t xml:space="preserve"> </w:t>
      </w:r>
      <w:r w:rsidR="00ED74FD" w:rsidRPr="00FD211F">
        <w:rPr>
          <w:sz w:val="36"/>
          <w:szCs w:val="36"/>
          <w:rtl/>
        </w:rPr>
        <w:t>فيما</w:t>
      </w:r>
      <w:r w:rsidR="00E8128F">
        <w:rPr>
          <w:sz w:val="36"/>
          <w:szCs w:val="36"/>
          <w:rtl/>
        </w:rPr>
        <w:t xml:space="preserve"> </w:t>
      </w:r>
      <w:r w:rsidR="00ED74FD" w:rsidRPr="00FD211F">
        <w:rPr>
          <w:sz w:val="36"/>
          <w:szCs w:val="36"/>
          <w:rtl/>
        </w:rPr>
        <w:t>شك</w:t>
      </w:r>
      <w:r w:rsidR="00E8128F">
        <w:rPr>
          <w:sz w:val="36"/>
          <w:szCs w:val="36"/>
          <w:rtl/>
        </w:rPr>
        <w:t xml:space="preserve"> </w:t>
      </w:r>
      <w:r w:rsidR="00ED74FD" w:rsidRPr="00FD211F">
        <w:rPr>
          <w:sz w:val="36"/>
          <w:szCs w:val="36"/>
          <w:rtl/>
        </w:rPr>
        <w:t>في</w:t>
      </w:r>
      <w:r w:rsidR="00E8128F">
        <w:rPr>
          <w:sz w:val="36"/>
          <w:szCs w:val="36"/>
          <w:rtl/>
        </w:rPr>
        <w:t xml:space="preserve"> </w:t>
      </w:r>
      <w:r w:rsidR="00ED74FD" w:rsidRPr="00FD211F">
        <w:rPr>
          <w:sz w:val="36"/>
          <w:szCs w:val="36"/>
          <w:rtl/>
        </w:rPr>
        <w:t>زوال</w:t>
      </w:r>
      <w:r w:rsidR="00E8128F">
        <w:rPr>
          <w:sz w:val="36"/>
          <w:szCs w:val="36"/>
          <w:rtl/>
        </w:rPr>
        <w:t xml:space="preserve"> </w:t>
      </w:r>
      <w:r w:rsidR="00ED74FD" w:rsidRPr="00FD211F">
        <w:rPr>
          <w:sz w:val="36"/>
          <w:szCs w:val="36"/>
          <w:rtl/>
        </w:rPr>
        <w:t>تغيره</w:t>
      </w:r>
      <w:r w:rsidR="00E8128F">
        <w:rPr>
          <w:sz w:val="36"/>
          <w:szCs w:val="36"/>
          <w:rtl/>
        </w:rPr>
        <w:t xml:space="preserve"> </w:t>
      </w:r>
      <w:r w:rsidR="00ED74FD" w:rsidRPr="00FD211F">
        <w:rPr>
          <w:sz w:val="36"/>
          <w:szCs w:val="36"/>
          <w:rtl/>
        </w:rPr>
        <w:t>لشبه</w:t>
      </w:r>
      <w:r w:rsidR="00EC7EDF" w:rsidRPr="00FD211F">
        <w:rPr>
          <w:sz w:val="36"/>
          <w:szCs w:val="36"/>
          <w:rtl/>
        </w:rPr>
        <w:t>ة</w:t>
      </w:r>
      <w:r w:rsidR="00E8128F">
        <w:rPr>
          <w:sz w:val="36"/>
          <w:szCs w:val="36"/>
          <w:rtl/>
        </w:rPr>
        <w:t xml:space="preserve"> </w:t>
      </w:r>
      <w:r w:rsidR="00ED74FD" w:rsidRPr="00FD211F">
        <w:rPr>
          <w:sz w:val="36"/>
          <w:szCs w:val="36"/>
          <w:rtl/>
        </w:rPr>
        <w:t>مفهومي</w:t>
      </w:r>
      <w:r w:rsidR="00EC7EDF" w:rsidRPr="00FD211F">
        <w:rPr>
          <w:sz w:val="36"/>
          <w:szCs w:val="36"/>
          <w:rtl/>
        </w:rPr>
        <w:t>ة</w:t>
      </w:r>
      <w:r w:rsidR="00E8128F">
        <w:rPr>
          <w:sz w:val="36"/>
          <w:szCs w:val="36"/>
          <w:rtl/>
        </w:rPr>
        <w:t xml:space="preserve"> </w:t>
      </w:r>
      <w:r w:rsidR="00BF7022" w:rsidRPr="00FD211F">
        <w:rPr>
          <w:sz w:val="36"/>
          <w:szCs w:val="36"/>
          <w:rtl/>
        </w:rPr>
        <w:t>في</w:t>
      </w:r>
      <w:r w:rsidR="00E8128F">
        <w:rPr>
          <w:sz w:val="36"/>
          <w:szCs w:val="36"/>
          <w:rtl/>
        </w:rPr>
        <w:t xml:space="preserve"> </w:t>
      </w:r>
      <w:r w:rsidR="00BF7022" w:rsidRPr="00FD211F">
        <w:rPr>
          <w:sz w:val="36"/>
          <w:szCs w:val="36"/>
          <w:rtl/>
        </w:rPr>
        <w:t>التغير</w:t>
      </w:r>
      <w:r w:rsidR="00E8128F">
        <w:rPr>
          <w:sz w:val="36"/>
          <w:szCs w:val="36"/>
          <w:rtl/>
        </w:rPr>
        <w:t xml:space="preserve"> </w:t>
      </w:r>
      <w:r w:rsidR="00ED74FD" w:rsidRPr="00FD211F">
        <w:rPr>
          <w:sz w:val="36"/>
          <w:szCs w:val="36"/>
          <w:rtl/>
        </w:rPr>
        <w:t>فيمنع</w:t>
      </w:r>
      <w:r w:rsidR="00E8128F">
        <w:rPr>
          <w:sz w:val="36"/>
          <w:szCs w:val="36"/>
          <w:rtl/>
        </w:rPr>
        <w:t xml:space="preserve"> </w:t>
      </w:r>
      <w:r w:rsidR="00ED74FD" w:rsidRPr="00FD211F">
        <w:rPr>
          <w:sz w:val="36"/>
          <w:szCs w:val="36"/>
          <w:rtl/>
        </w:rPr>
        <w:t>عن</w:t>
      </w:r>
      <w:r w:rsidR="00E8128F">
        <w:rPr>
          <w:sz w:val="36"/>
          <w:szCs w:val="36"/>
          <w:rtl/>
        </w:rPr>
        <w:t xml:space="preserve"> </w:t>
      </w:r>
      <w:r w:rsidR="00ED74FD" w:rsidRPr="00FD211F">
        <w:rPr>
          <w:sz w:val="36"/>
          <w:szCs w:val="36"/>
          <w:rtl/>
        </w:rPr>
        <w:t>جريان</w:t>
      </w:r>
      <w:r w:rsidR="00E8128F">
        <w:rPr>
          <w:sz w:val="36"/>
          <w:szCs w:val="36"/>
          <w:rtl/>
        </w:rPr>
        <w:t xml:space="preserve"> </w:t>
      </w:r>
      <w:r w:rsidR="00ED74FD" w:rsidRPr="00FD211F">
        <w:rPr>
          <w:sz w:val="36"/>
          <w:szCs w:val="36"/>
          <w:rtl/>
        </w:rPr>
        <w:t>هذا</w:t>
      </w:r>
      <w:r w:rsidR="00E8128F">
        <w:rPr>
          <w:sz w:val="36"/>
          <w:szCs w:val="36"/>
          <w:rtl/>
        </w:rPr>
        <w:t xml:space="preserve"> </w:t>
      </w:r>
      <w:r w:rsidR="00ED74FD" w:rsidRPr="00FD211F">
        <w:rPr>
          <w:sz w:val="36"/>
          <w:szCs w:val="36"/>
          <w:rtl/>
        </w:rPr>
        <w:t>الاستصحاب</w:t>
      </w:r>
      <w:r w:rsidR="00C451CB" w:rsidRPr="00FD211F">
        <w:rPr>
          <w:sz w:val="36"/>
          <w:szCs w:val="36"/>
          <w:rtl/>
        </w:rPr>
        <w:t>.</w:t>
      </w:r>
    </w:p>
    <w:p w14:paraId="7670E455" w14:textId="77777777" w:rsidR="00190839" w:rsidRPr="00FD211F" w:rsidRDefault="00190839" w:rsidP="009C58C8">
      <w:pPr>
        <w:ind w:left="0" w:firstLine="227"/>
        <w:jc w:val="both"/>
        <w:rPr>
          <w:sz w:val="36"/>
          <w:szCs w:val="36"/>
          <w:rtl/>
        </w:rPr>
      </w:pPr>
      <w:r w:rsidRPr="00FD211F">
        <w:rPr>
          <w:sz w:val="36"/>
          <w:szCs w:val="36"/>
          <w:rtl/>
        </w:rPr>
        <w:t>4-</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امكان</w:t>
      </w:r>
      <w:r w:rsidR="00E8128F">
        <w:rPr>
          <w:sz w:val="36"/>
          <w:szCs w:val="36"/>
          <w:rtl/>
        </w:rPr>
        <w:t xml:space="preserve"> </w:t>
      </w:r>
      <w:r w:rsidRPr="00FD211F">
        <w:rPr>
          <w:sz w:val="36"/>
          <w:szCs w:val="36"/>
          <w:rtl/>
        </w:rPr>
        <w:t>اثبات</w:t>
      </w:r>
      <w:r w:rsidR="00E8128F">
        <w:rPr>
          <w:sz w:val="36"/>
          <w:szCs w:val="36"/>
          <w:rtl/>
        </w:rPr>
        <w:t xml:space="preserve"> </w:t>
      </w:r>
      <w:r w:rsidRPr="00FD211F">
        <w:rPr>
          <w:sz w:val="36"/>
          <w:szCs w:val="36"/>
          <w:rtl/>
        </w:rPr>
        <w:t>الاطلاق</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موضوع</w:t>
      </w:r>
      <w:r w:rsidR="00E8128F">
        <w:rPr>
          <w:sz w:val="36"/>
          <w:szCs w:val="36"/>
          <w:rtl/>
        </w:rPr>
        <w:t xml:space="preserve"> </w:t>
      </w:r>
      <w:r w:rsidRPr="00FD211F">
        <w:rPr>
          <w:sz w:val="36"/>
          <w:szCs w:val="36"/>
          <w:rtl/>
        </w:rPr>
        <w:t>الحكم</w:t>
      </w:r>
      <w:r w:rsidR="00E8128F">
        <w:rPr>
          <w:sz w:val="36"/>
          <w:szCs w:val="36"/>
          <w:rtl/>
        </w:rPr>
        <w:t xml:space="preserve"> </w:t>
      </w:r>
      <w:r w:rsidRPr="00FD211F">
        <w:rPr>
          <w:sz w:val="36"/>
          <w:szCs w:val="36"/>
          <w:rtl/>
        </w:rPr>
        <w:t>باستصحاب</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تقييده</w:t>
      </w:r>
      <w:r w:rsidR="00E8128F">
        <w:rPr>
          <w:sz w:val="36"/>
          <w:szCs w:val="36"/>
          <w:rtl/>
        </w:rPr>
        <w:t xml:space="preserve"> </w:t>
      </w:r>
      <w:r w:rsidRPr="00FD211F">
        <w:rPr>
          <w:sz w:val="36"/>
          <w:szCs w:val="36"/>
          <w:rtl/>
        </w:rPr>
        <w:t>فبناء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الجامع</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وبين</w:t>
      </w:r>
      <w:r w:rsidR="00E8128F">
        <w:rPr>
          <w:sz w:val="36"/>
          <w:szCs w:val="36"/>
          <w:rtl/>
        </w:rPr>
        <w:t xml:space="preserve"> </w:t>
      </w:r>
      <w:r w:rsidRPr="00FD211F">
        <w:rPr>
          <w:sz w:val="36"/>
          <w:szCs w:val="36"/>
          <w:rtl/>
        </w:rPr>
        <w:t>المتلبس</w:t>
      </w:r>
      <w:r w:rsidR="00E8128F">
        <w:rPr>
          <w:sz w:val="36"/>
          <w:szCs w:val="36"/>
          <w:rtl/>
        </w:rPr>
        <w:t xml:space="preserve"> </w:t>
      </w:r>
      <w:r w:rsidRPr="00FD211F">
        <w:rPr>
          <w:sz w:val="36"/>
          <w:szCs w:val="36"/>
          <w:rtl/>
        </w:rPr>
        <w:t>الفعلي</w:t>
      </w:r>
      <w:r w:rsidR="00E8128F">
        <w:rPr>
          <w:sz w:val="36"/>
          <w:szCs w:val="36"/>
          <w:rtl/>
        </w:rPr>
        <w:t xml:space="preserve"> </w:t>
      </w:r>
      <w:r w:rsidRPr="00FD211F">
        <w:rPr>
          <w:sz w:val="36"/>
          <w:szCs w:val="36"/>
          <w:rtl/>
        </w:rPr>
        <w:t>بالمبدأ</w:t>
      </w:r>
      <w:r w:rsidR="00E8128F">
        <w:rPr>
          <w:sz w:val="36"/>
          <w:szCs w:val="36"/>
          <w:rtl/>
        </w:rPr>
        <w:t xml:space="preserve"> </w:t>
      </w:r>
      <w:r w:rsidRPr="00FD211F">
        <w:rPr>
          <w:sz w:val="36"/>
          <w:szCs w:val="36"/>
          <w:rtl/>
        </w:rPr>
        <w:t>نسب</w:t>
      </w:r>
      <w:r w:rsidR="00EC7EDF" w:rsidRPr="00FD211F">
        <w:rPr>
          <w:sz w:val="36"/>
          <w:szCs w:val="36"/>
          <w:rtl/>
        </w:rPr>
        <w:t>ة</w:t>
      </w:r>
      <w:r w:rsidR="00E8128F">
        <w:rPr>
          <w:sz w:val="36"/>
          <w:szCs w:val="36"/>
          <w:rtl/>
        </w:rPr>
        <w:t xml:space="preserve"> </w:t>
      </w:r>
      <w:r w:rsidRPr="00FD211F">
        <w:rPr>
          <w:sz w:val="36"/>
          <w:szCs w:val="36"/>
          <w:rtl/>
        </w:rPr>
        <w:t>الأقل</w:t>
      </w:r>
      <w:r w:rsidR="00E8128F">
        <w:rPr>
          <w:sz w:val="36"/>
          <w:szCs w:val="36"/>
          <w:rtl/>
        </w:rPr>
        <w:t xml:space="preserve"> </w:t>
      </w:r>
      <w:r w:rsidRPr="00FD211F">
        <w:rPr>
          <w:sz w:val="36"/>
          <w:szCs w:val="36"/>
          <w:rtl/>
        </w:rPr>
        <w:t>والأكثر</w:t>
      </w:r>
      <w:r w:rsidR="00E8128F">
        <w:rPr>
          <w:sz w:val="36"/>
          <w:szCs w:val="36"/>
          <w:rtl/>
        </w:rPr>
        <w:t xml:space="preserve"> </w:t>
      </w:r>
      <w:r w:rsidRPr="00FD211F">
        <w:rPr>
          <w:sz w:val="36"/>
          <w:szCs w:val="36"/>
          <w:rtl/>
        </w:rPr>
        <w:t>المفهومي</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الجامع</w:t>
      </w:r>
      <w:r w:rsidR="00E8128F">
        <w:rPr>
          <w:sz w:val="36"/>
          <w:szCs w:val="36"/>
          <w:rtl/>
        </w:rPr>
        <w:t xml:space="preserve"> </w:t>
      </w:r>
      <w:r w:rsidRPr="00FD211F">
        <w:rPr>
          <w:sz w:val="36"/>
          <w:szCs w:val="36"/>
          <w:rtl/>
        </w:rPr>
        <w:t>للأعم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كلم</w:t>
      </w:r>
      <w:r w:rsidR="00EC7EDF" w:rsidRPr="00FD211F">
        <w:rPr>
          <w:sz w:val="36"/>
          <w:szCs w:val="36"/>
          <w:rtl/>
        </w:rPr>
        <w:t>ة</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مطلق</w:t>
      </w:r>
      <w:r w:rsidR="00E8128F">
        <w:rPr>
          <w:sz w:val="36"/>
          <w:szCs w:val="36"/>
          <w:rtl/>
        </w:rPr>
        <w:t xml:space="preserve"> </w:t>
      </w:r>
      <w:r w:rsidRPr="00FD211F">
        <w:rPr>
          <w:sz w:val="36"/>
          <w:szCs w:val="36"/>
          <w:rtl/>
        </w:rPr>
        <w:t>المنتسب</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العلم</w:t>
      </w:r>
      <w:r w:rsidR="00603323" w:rsidRPr="00FD211F">
        <w:rPr>
          <w:sz w:val="36"/>
          <w:szCs w:val="36"/>
          <w:rtl/>
        </w:rPr>
        <w:t>،</w:t>
      </w:r>
      <w:r w:rsidR="00E8128F">
        <w:rPr>
          <w:sz w:val="36"/>
          <w:szCs w:val="36"/>
          <w:rtl/>
        </w:rPr>
        <w:t xml:space="preserve"> </w:t>
      </w:r>
      <w:r w:rsidRPr="00FD211F">
        <w:rPr>
          <w:sz w:val="36"/>
          <w:szCs w:val="36"/>
          <w:rtl/>
        </w:rPr>
        <w:t>فيدور</w:t>
      </w:r>
      <w:r w:rsidR="00E8128F">
        <w:rPr>
          <w:sz w:val="36"/>
          <w:szCs w:val="36"/>
          <w:rtl/>
        </w:rPr>
        <w:t xml:space="preserve"> </w:t>
      </w:r>
      <w:r w:rsidRPr="00FD211F">
        <w:rPr>
          <w:sz w:val="36"/>
          <w:szCs w:val="36"/>
          <w:rtl/>
        </w:rPr>
        <w:t>امر</w:t>
      </w:r>
      <w:r w:rsidR="00E8128F">
        <w:rPr>
          <w:sz w:val="36"/>
          <w:szCs w:val="36"/>
          <w:rtl/>
        </w:rPr>
        <w:t xml:space="preserve"> </w:t>
      </w:r>
      <w:r w:rsidRPr="00FD211F">
        <w:rPr>
          <w:sz w:val="36"/>
          <w:szCs w:val="36"/>
          <w:rtl/>
        </w:rPr>
        <w:t>كلم</w:t>
      </w:r>
      <w:r w:rsidR="00EC7EDF" w:rsidRPr="00FD211F">
        <w:rPr>
          <w:sz w:val="36"/>
          <w:szCs w:val="36"/>
          <w:rtl/>
        </w:rPr>
        <w:t>ة</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كونه</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المنتسب</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المنتسب</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الفعلي</w:t>
      </w:r>
      <w:r w:rsidR="00E8128F">
        <w:rPr>
          <w:sz w:val="36"/>
          <w:szCs w:val="36"/>
          <w:rtl/>
        </w:rPr>
        <w:t xml:space="preserve"> </w:t>
      </w:r>
      <w:r w:rsidRPr="00FD211F">
        <w:rPr>
          <w:sz w:val="36"/>
          <w:szCs w:val="36"/>
          <w:rtl/>
        </w:rPr>
        <w:t>فمقتضى</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تقييد</w:t>
      </w:r>
      <w:r w:rsidR="00E8128F">
        <w:rPr>
          <w:sz w:val="36"/>
          <w:szCs w:val="36"/>
          <w:rtl/>
        </w:rPr>
        <w:t xml:space="preserve"> </w:t>
      </w:r>
      <w:r w:rsidRPr="00FD211F">
        <w:rPr>
          <w:sz w:val="36"/>
          <w:szCs w:val="36"/>
          <w:rtl/>
        </w:rPr>
        <w:t>موضوع</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الإكرام</w:t>
      </w:r>
      <w:r w:rsidR="00E8128F">
        <w:rPr>
          <w:sz w:val="36"/>
          <w:szCs w:val="36"/>
          <w:rtl/>
        </w:rPr>
        <w:t xml:space="preserve"> </w:t>
      </w:r>
      <w:r w:rsidRPr="00FD211F">
        <w:rPr>
          <w:sz w:val="36"/>
          <w:szCs w:val="36"/>
          <w:rtl/>
        </w:rPr>
        <w:t>بكونه</w:t>
      </w:r>
      <w:r w:rsidR="00E8128F">
        <w:rPr>
          <w:sz w:val="36"/>
          <w:szCs w:val="36"/>
          <w:rtl/>
        </w:rPr>
        <w:t xml:space="preserve"> </w:t>
      </w:r>
      <w:r w:rsidRPr="00FD211F">
        <w:rPr>
          <w:sz w:val="36"/>
          <w:szCs w:val="36"/>
          <w:rtl/>
        </w:rPr>
        <w:t>منتسبا</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الفعلي</w:t>
      </w:r>
      <w:r w:rsidR="00E8128F">
        <w:rPr>
          <w:sz w:val="36"/>
          <w:szCs w:val="36"/>
          <w:rtl/>
        </w:rPr>
        <w:t xml:space="preserve"> </w:t>
      </w:r>
      <w:r w:rsidRPr="00FD211F">
        <w:rPr>
          <w:sz w:val="36"/>
          <w:szCs w:val="36"/>
          <w:rtl/>
        </w:rPr>
        <w:t>بضمِّ</w:t>
      </w:r>
      <w:r w:rsidR="00E8128F">
        <w:rPr>
          <w:sz w:val="36"/>
          <w:szCs w:val="36"/>
          <w:rtl/>
        </w:rPr>
        <w:t xml:space="preserve"> </w:t>
      </w:r>
      <w:r w:rsidRPr="00FD211F">
        <w:rPr>
          <w:sz w:val="36"/>
          <w:szCs w:val="36"/>
          <w:rtl/>
        </w:rPr>
        <w:t>احراز</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جامع</w:t>
      </w:r>
      <w:r w:rsidR="00E8128F">
        <w:rPr>
          <w:sz w:val="36"/>
          <w:szCs w:val="36"/>
          <w:rtl/>
        </w:rPr>
        <w:t xml:space="preserve"> </w:t>
      </w:r>
      <w:r w:rsidRPr="00FD211F">
        <w:rPr>
          <w:sz w:val="36"/>
          <w:szCs w:val="36"/>
          <w:rtl/>
        </w:rPr>
        <w:t>المنتسب</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الموضوع</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اكرام</w:t>
      </w:r>
      <w:r w:rsidR="00E8128F">
        <w:rPr>
          <w:sz w:val="36"/>
          <w:szCs w:val="36"/>
          <w:rtl/>
        </w:rPr>
        <w:t xml:space="preserve"> </w:t>
      </w:r>
      <w:r w:rsidRPr="00FD211F">
        <w:rPr>
          <w:sz w:val="36"/>
          <w:szCs w:val="36"/>
          <w:rtl/>
        </w:rPr>
        <w:t>مطلق</w:t>
      </w:r>
      <w:r w:rsidR="00E8128F">
        <w:rPr>
          <w:sz w:val="36"/>
          <w:szCs w:val="36"/>
          <w:rtl/>
        </w:rPr>
        <w:t xml:space="preserve"> </w:t>
      </w:r>
      <w:r w:rsidRPr="00FD211F">
        <w:rPr>
          <w:sz w:val="36"/>
          <w:szCs w:val="36"/>
          <w:rtl/>
        </w:rPr>
        <w:t>المنتسب</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انقضى</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التلبس</w:t>
      </w:r>
      <w:r w:rsidR="00E8128F">
        <w:rPr>
          <w:sz w:val="36"/>
          <w:szCs w:val="36"/>
          <w:rtl/>
        </w:rPr>
        <w:t xml:space="preserve"> </w:t>
      </w:r>
      <w:r w:rsidRPr="00FD211F">
        <w:rPr>
          <w:sz w:val="36"/>
          <w:szCs w:val="36"/>
          <w:rtl/>
        </w:rPr>
        <w:t>به</w:t>
      </w:r>
      <w:r w:rsidR="00E8128F">
        <w:rPr>
          <w:sz w:val="36"/>
          <w:szCs w:val="36"/>
          <w:rtl/>
        </w:rPr>
        <w:t xml:space="preserve"> </w:t>
      </w:r>
      <w:r w:rsidRPr="00FD211F">
        <w:rPr>
          <w:sz w:val="36"/>
          <w:szCs w:val="36"/>
          <w:rtl/>
        </w:rPr>
        <w:t>فعلا.</w:t>
      </w:r>
    </w:p>
    <w:p w14:paraId="63F493A0" w14:textId="77777777" w:rsidR="005563A2" w:rsidRPr="00FD211F" w:rsidRDefault="00ED74FD" w:rsidP="009C58C8">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كله</w:t>
      </w:r>
      <w:r w:rsidR="00E8128F">
        <w:rPr>
          <w:sz w:val="36"/>
          <w:szCs w:val="36"/>
          <w:rtl/>
        </w:rPr>
        <w:t xml:space="preserve"> </w:t>
      </w:r>
      <w:r w:rsidRPr="00FD211F">
        <w:rPr>
          <w:sz w:val="36"/>
          <w:szCs w:val="36"/>
          <w:rtl/>
        </w:rPr>
        <w:t>فيما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خطاب</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متضمنا</w:t>
      </w:r>
      <w:r w:rsidR="00E8128F">
        <w:rPr>
          <w:sz w:val="36"/>
          <w:szCs w:val="36"/>
          <w:rtl/>
        </w:rPr>
        <w:t xml:space="preserve"> </w:t>
      </w:r>
      <w:r w:rsidRPr="00FD211F">
        <w:rPr>
          <w:sz w:val="36"/>
          <w:szCs w:val="36"/>
          <w:rtl/>
        </w:rPr>
        <w:t>لحكم</w:t>
      </w:r>
      <w:r w:rsidR="00E8128F">
        <w:rPr>
          <w:sz w:val="36"/>
          <w:szCs w:val="36"/>
          <w:rtl/>
        </w:rPr>
        <w:t xml:space="preserve"> </w:t>
      </w:r>
      <w:r w:rsidRPr="00FD211F">
        <w:rPr>
          <w:sz w:val="36"/>
          <w:szCs w:val="36"/>
          <w:rtl/>
        </w:rPr>
        <w:t>شمولي</w:t>
      </w:r>
      <w:r w:rsidR="00603323" w:rsidRPr="00FD211F">
        <w:rPr>
          <w:sz w:val="36"/>
          <w:szCs w:val="36"/>
          <w:rtl/>
        </w:rPr>
        <w:t>،</w:t>
      </w:r>
      <w:r w:rsidR="00E8128F">
        <w:rPr>
          <w:sz w:val="36"/>
          <w:szCs w:val="36"/>
          <w:rtl/>
        </w:rPr>
        <w:t xml:space="preserve"> </w:t>
      </w:r>
      <w:r w:rsidRPr="00FD211F">
        <w:rPr>
          <w:sz w:val="36"/>
          <w:szCs w:val="36"/>
          <w:rtl/>
        </w:rPr>
        <w:t>واما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متضمنا</w:t>
      </w:r>
      <w:r w:rsidR="00E8128F">
        <w:rPr>
          <w:sz w:val="36"/>
          <w:szCs w:val="36"/>
          <w:rtl/>
        </w:rPr>
        <w:t xml:space="preserve"> </w:t>
      </w:r>
      <w:r w:rsidRPr="00FD211F">
        <w:rPr>
          <w:sz w:val="36"/>
          <w:szCs w:val="36"/>
          <w:rtl/>
        </w:rPr>
        <w:t>لحكم</w:t>
      </w:r>
      <w:r w:rsidR="00E8128F">
        <w:rPr>
          <w:sz w:val="36"/>
          <w:szCs w:val="36"/>
          <w:rtl/>
        </w:rPr>
        <w:t xml:space="preserve"> </w:t>
      </w:r>
      <w:r w:rsidRPr="00FD211F">
        <w:rPr>
          <w:sz w:val="36"/>
          <w:szCs w:val="36"/>
          <w:rtl/>
        </w:rPr>
        <w:t>بدلي</w:t>
      </w:r>
      <w:r w:rsidR="00E8128F">
        <w:rPr>
          <w:sz w:val="36"/>
          <w:szCs w:val="36"/>
          <w:rtl/>
        </w:rPr>
        <w:t xml:space="preserve"> </w:t>
      </w:r>
      <w:r w:rsidR="00C451CB" w:rsidRPr="00FD211F">
        <w:rPr>
          <w:sz w:val="36"/>
          <w:szCs w:val="36"/>
          <w:rtl/>
        </w:rPr>
        <w:t>كقوله</w:t>
      </w:r>
      <w:r w:rsidR="00E8128F">
        <w:rPr>
          <w:sz w:val="36"/>
          <w:szCs w:val="36"/>
          <w:rtl/>
        </w:rPr>
        <w:t xml:space="preserve"> </w:t>
      </w:r>
      <w:r w:rsidR="00C451CB" w:rsidRPr="00FD211F">
        <w:rPr>
          <w:sz w:val="36"/>
          <w:szCs w:val="36"/>
          <w:rtl/>
        </w:rPr>
        <w:t>اكر</w:t>
      </w:r>
      <w:r w:rsidR="00B0280F" w:rsidRPr="00FD211F">
        <w:rPr>
          <w:sz w:val="36"/>
          <w:szCs w:val="36"/>
          <w:rtl/>
        </w:rPr>
        <w:t>م</w:t>
      </w:r>
      <w:r w:rsidR="00E8128F">
        <w:rPr>
          <w:sz w:val="36"/>
          <w:szCs w:val="36"/>
          <w:rtl/>
        </w:rPr>
        <w:t xml:space="preserve"> </w:t>
      </w:r>
      <w:r w:rsidR="00B0280F" w:rsidRPr="00FD211F">
        <w:rPr>
          <w:sz w:val="36"/>
          <w:szCs w:val="36"/>
          <w:rtl/>
        </w:rPr>
        <w:t>عالما</w:t>
      </w:r>
      <w:r w:rsidR="00E8128F">
        <w:rPr>
          <w:sz w:val="36"/>
          <w:szCs w:val="36"/>
          <w:rtl/>
        </w:rPr>
        <w:t xml:space="preserve"> </w:t>
      </w:r>
      <w:r w:rsidR="00FC0B2D" w:rsidRPr="00FD211F">
        <w:rPr>
          <w:sz w:val="36"/>
          <w:szCs w:val="36"/>
          <w:rtl/>
        </w:rPr>
        <w:t>فحيث</w:t>
      </w:r>
      <w:r w:rsidR="00E8128F">
        <w:rPr>
          <w:sz w:val="36"/>
          <w:szCs w:val="36"/>
          <w:rtl/>
        </w:rPr>
        <w:t xml:space="preserve"> </w:t>
      </w:r>
      <w:r w:rsidR="00FC0B2D" w:rsidRPr="00FD211F">
        <w:rPr>
          <w:sz w:val="36"/>
          <w:szCs w:val="36"/>
          <w:rtl/>
        </w:rPr>
        <w:t>لايجري</w:t>
      </w:r>
      <w:r w:rsidR="00E8128F">
        <w:rPr>
          <w:sz w:val="36"/>
          <w:szCs w:val="36"/>
          <w:rtl/>
        </w:rPr>
        <w:t xml:space="preserve"> </w:t>
      </w:r>
      <w:r w:rsidR="00FC0B2D" w:rsidRPr="00FD211F">
        <w:rPr>
          <w:sz w:val="36"/>
          <w:szCs w:val="36"/>
          <w:rtl/>
        </w:rPr>
        <w:t>الاستصحاب</w:t>
      </w:r>
      <w:r w:rsidR="00E8128F">
        <w:rPr>
          <w:sz w:val="36"/>
          <w:szCs w:val="36"/>
          <w:rtl/>
        </w:rPr>
        <w:t xml:space="preserve"> </w:t>
      </w:r>
      <w:r w:rsidR="00FC0B2D" w:rsidRPr="00FD211F">
        <w:rPr>
          <w:sz w:val="36"/>
          <w:szCs w:val="36"/>
          <w:rtl/>
        </w:rPr>
        <w:t>الموضوعي</w:t>
      </w:r>
      <w:r w:rsidR="00E8128F">
        <w:rPr>
          <w:sz w:val="36"/>
          <w:szCs w:val="36"/>
          <w:rtl/>
        </w:rPr>
        <w:t xml:space="preserve"> </w:t>
      </w:r>
      <w:r w:rsidR="00FC0B2D" w:rsidRPr="00FD211F">
        <w:rPr>
          <w:sz w:val="36"/>
          <w:szCs w:val="36"/>
          <w:rtl/>
        </w:rPr>
        <w:t>في</w:t>
      </w:r>
      <w:r w:rsidR="00E8128F">
        <w:rPr>
          <w:sz w:val="36"/>
          <w:szCs w:val="36"/>
          <w:rtl/>
        </w:rPr>
        <w:t xml:space="preserve"> </w:t>
      </w:r>
      <w:r w:rsidR="00FC0B2D" w:rsidRPr="00FD211F">
        <w:rPr>
          <w:sz w:val="36"/>
          <w:szCs w:val="36"/>
          <w:rtl/>
        </w:rPr>
        <w:t>الشبه</w:t>
      </w:r>
      <w:r w:rsidR="00EC7EDF" w:rsidRPr="00FD211F">
        <w:rPr>
          <w:sz w:val="36"/>
          <w:szCs w:val="36"/>
          <w:rtl/>
        </w:rPr>
        <w:t>ة</w:t>
      </w:r>
      <w:r w:rsidR="00E8128F">
        <w:rPr>
          <w:sz w:val="36"/>
          <w:szCs w:val="36"/>
          <w:rtl/>
        </w:rPr>
        <w:t xml:space="preserve"> </w:t>
      </w:r>
      <w:r w:rsidR="00FC0B2D" w:rsidRPr="00FD211F">
        <w:rPr>
          <w:sz w:val="36"/>
          <w:szCs w:val="36"/>
          <w:rtl/>
        </w:rPr>
        <w:t>المفهومي</w:t>
      </w:r>
      <w:r w:rsidR="00EC7EDF" w:rsidRPr="00FD211F">
        <w:rPr>
          <w:sz w:val="36"/>
          <w:szCs w:val="36"/>
          <w:rtl/>
        </w:rPr>
        <w:t>ة</w:t>
      </w:r>
      <w:r w:rsidR="00E8128F">
        <w:rPr>
          <w:sz w:val="36"/>
          <w:szCs w:val="36"/>
          <w:rtl/>
        </w:rPr>
        <w:t xml:space="preserve"> </w:t>
      </w:r>
      <w:r w:rsidR="00FC0B2D" w:rsidRPr="00FD211F">
        <w:rPr>
          <w:sz w:val="36"/>
          <w:szCs w:val="36"/>
          <w:rtl/>
        </w:rPr>
        <w:t>فتصل</w:t>
      </w:r>
      <w:r w:rsidR="00E8128F">
        <w:rPr>
          <w:sz w:val="36"/>
          <w:szCs w:val="36"/>
          <w:rtl/>
        </w:rPr>
        <w:t xml:space="preserve"> </w:t>
      </w:r>
      <w:r w:rsidR="00FC0B2D" w:rsidRPr="00FD211F">
        <w:rPr>
          <w:sz w:val="36"/>
          <w:szCs w:val="36"/>
          <w:rtl/>
        </w:rPr>
        <w:t>النوب</w:t>
      </w:r>
      <w:r w:rsidR="00EC7EDF" w:rsidRPr="00FD211F">
        <w:rPr>
          <w:sz w:val="36"/>
          <w:szCs w:val="36"/>
          <w:rtl/>
        </w:rPr>
        <w:t>ة</w:t>
      </w:r>
      <w:r w:rsidR="00E8128F">
        <w:rPr>
          <w:sz w:val="36"/>
          <w:szCs w:val="36"/>
          <w:rtl/>
        </w:rPr>
        <w:t xml:space="preserve"> </w:t>
      </w:r>
      <w:r w:rsidR="00FC0B2D" w:rsidRPr="00FD211F">
        <w:rPr>
          <w:sz w:val="36"/>
          <w:szCs w:val="36"/>
          <w:rtl/>
        </w:rPr>
        <w:t>الى</w:t>
      </w:r>
      <w:r w:rsidR="00E8128F">
        <w:rPr>
          <w:sz w:val="36"/>
          <w:szCs w:val="36"/>
          <w:rtl/>
        </w:rPr>
        <w:t xml:space="preserve"> </w:t>
      </w:r>
      <w:r w:rsidR="00FC0B2D" w:rsidRPr="00FD211F">
        <w:rPr>
          <w:sz w:val="36"/>
          <w:szCs w:val="36"/>
          <w:rtl/>
        </w:rPr>
        <w:t>الاصل</w:t>
      </w:r>
      <w:r w:rsidR="00E8128F">
        <w:rPr>
          <w:sz w:val="36"/>
          <w:szCs w:val="36"/>
          <w:rtl/>
        </w:rPr>
        <w:t xml:space="preserve"> </w:t>
      </w:r>
      <w:r w:rsidR="00FC0B2D" w:rsidRPr="00FD211F">
        <w:rPr>
          <w:sz w:val="36"/>
          <w:szCs w:val="36"/>
          <w:rtl/>
        </w:rPr>
        <w:t>الحكمي</w:t>
      </w:r>
      <w:r w:rsidR="00603323" w:rsidRPr="00FD211F">
        <w:rPr>
          <w:sz w:val="36"/>
          <w:szCs w:val="36"/>
          <w:rtl/>
        </w:rPr>
        <w:t>،</w:t>
      </w:r>
      <w:r w:rsidR="00E8128F">
        <w:rPr>
          <w:sz w:val="36"/>
          <w:szCs w:val="36"/>
          <w:rtl/>
        </w:rPr>
        <w:t xml:space="preserve"> </w:t>
      </w:r>
      <w:r w:rsidR="00FC0B2D" w:rsidRPr="00FD211F">
        <w:rPr>
          <w:sz w:val="36"/>
          <w:szCs w:val="36"/>
          <w:rtl/>
        </w:rPr>
        <w:t>وله</w:t>
      </w:r>
      <w:r w:rsidR="00E8128F">
        <w:rPr>
          <w:sz w:val="36"/>
          <w:szCs w:val="36"/>
          <w:rtl/>
        </w:rPr>
        <w:t xml:space="preserve"> </w:t>
      </w:r>
      <w:r w:rsidR="005563A2" w:rsidRPr="00FD211F">
        <w:rPr>
          <w:sz w:val="36"/>
          <w:szCs w:val="36"/>
          <w:rtl/>
        </w:rPr>
        <w:t>صورتان:</w:t>
      </w:r>
    </w:p>
    <w:p w14:paraId="38D05FFB" w14:textId="77777777" w:rsidR="00FC0B2D" w:rsidRPr="00FD211F" w:rsidRDefault="005563A2" w:rsidP="005946E3">
      <w:pPr>
        <w:ind w:left="0" w:firstLine="227"/>
        <w:jc w:val="both"/>
        <w:rPr>
          <w:sz w:val="36"/>
          <w:szCs w:val="36"/>
          <w:rtl/>
        </w:rPr>
      </w:pPr>
      <w:r w:rsidRPr="00FD211F">
        <w:rPr>
          <w:b/>
          <w:bCs/>
          <w:sz w:val="36"/>
          <w:szCs w:val="36"/>
          <w:rtl/>
        </w:rPr>
        <w:t>الصور</w:t>
      </w:r>
      <w:r w:rsidR="00EC7EDF" w:rsidRPr="00FD211F">
        <w:rPr>
          <w:b/>
          <w:bCs/>
          <w:sz w:val="36"/>
          <w:szCs w:val="36"/>
          <w:rtl/>
        </w:rPr>
        <w:t>ة</w:t>
      </w:r>
      <w:r w:rsidR="00E8128F">
        <w:rPr>
          <w:b/>
          <w:bCs/>
          <w:sz w:val="36"/>
          <w:szCs w:val="36"/>
          <w:rtl/>
        </w:rPr>
        <w:t xml:space="preserve"> </w:t>
      </w:r>
      <w:r w:rsidRPr="00FD211F">
        <w:rPr>
          <w:b/>
          <w:bCs/>
          <w:sz w:val="36"/>
          <w:szCs w:val="36"/>
          <w:rtl/>
        </w:rPr>
        <w:t>الاولى</w:t>
      </w:r>
      <w:r w:rsidR="00A90EEB" w:rsidRPr="00FD211F">
        <w:rPr>
          <w:sz w:val="36"/>
          <w:szCs w:val="36"/>
          <w:rtl/>
        </w:rPr>
        <w:t>:</w:t>
      </w:r>
      <w:r w:rsidR="00E8128F">
        <w:rPr>
          <w:sz w:val="36"/>
          <w:szCs w:val="36"/>
          <w:rtl/>
        </w:rPr>
        <w:t xml:space="preserve"> </w:t>
      </w:r>
      <w:r w:rsidRPr="00FD211F">
        <w:rPr>
          <w:sz w:val="36"/>
          <w:szCs w:val="36"/>
          <w:rtl/>
        </w:rPr>
        <w:t>فرض</w:t>
      </w:r>
      <w:r w:rsidR="00E8128F">
        <w:rPr>
          <w:sz w:val="36"/>
          <w:szCs w:val="36"/>
          <w:rtl/>
        </w:rPr>
        <w:t xml:space="preserve"> </w:t>
      </w:r>
      <w:r w:rsidR="00B0280F" w:rsidRPr="00FD211F">
        <w:rPr>
          <w:sz w:val="36"/>
          <w:szCs w:val="36"/>
          <w:rtl/>
        </w:rPr>
        <w:t>عدم</w:t>
      </w:r>
      <w:r w:rsidR="00E8128F">
        <w:rPr>
          <w:sz w:val="36"/>
          <w:szCs w:val="36"/>
          <w:rtl/>
        </w:rPr>
        <w:t xml:space="preserve"> </w:t>
      </w:r>
      <w:r w:rsidR="00B0280F" w:rsidRPr="00FD211F">
        <w:rPr>
          <w:sz w:val="36"/>
          <w:szCs w:val="36"/>
          <w:rtl/>
        </w:rPr>
        <w:t>انحصار</w:t>
      </w:r>
      <w:r w:rsidR="00E8128F">
        <w:rPr>
          <w:sz w:val="36"/>
          <w:szCs w:val="36"/>
          <w:rtl/>
        </w:rPr>
        <w:t xml:space="preserve"> </w:t>
      </w:r>
      <w:r w:rsidR="00B0280F" w:rsidRPr="00FD211F">
        <w:rPr>
          <w:sz w:val="36"/>
          <w:szCs w:val="36"/>
          <w:rtl/>
        </w:rPr>
        <w:t>العالم</w:t>
      </w:r>
      <w:r w:rsidR="00E8128F">
        <w:rPr>
          <w:sz w:val="36"/>
          <w:szCs w:val="36"/>
          <w:rtl/>
        </w:rPr>
        <w:t xml:space="preserve"> </w:t>
      </w:r>
      <w:r w:rsidR="00B0280F" w:rsidRPr="00FD211F">
        <w:rPr>
          <w:sz w:val="36"/>
          <w:szCs w:val="36"/>
          <w:rtl/>
        </w:rPr>
        <w:t>بمن</w:t>
      </w:r>
      <w:r w:rsidR="00E8128F">
        <w:rPr>
          <w:sz w:val="36"/>
          <w:szCs w:val="36"/>
          <w:rtl/>
        </w:rPr>
        <w:t xml:space="preserve"> </w:t>
      </w:r>
      <w:r w:rsidR="00B0280F" w:rsidRPr="00FD211F">
        <w:rPr>
          <w:sz w:val="36"/>
          <w:szCs w:val="36"/>
          <w:rtl/>
        </w:rPr>
        <w:t>انقضى</w:t>
      </w:r>
      <w:r w:rsidR="00E8128F">
        <w:rPr>
          <w:sz w:val="36"/>
          <w:szCs w:val="36"/>
          <w:rtl/>
        </w:rPr>
        <w:t xml:space="preserve"> </w:t>
      </w:r>
      <w:r w:rsidR="00B0280F" w:rsidRPr="00FD211F">
        <w:rPr>
          <w:sz w:val="36"/>
          <w:szCs w:val="36"/>
          <w:rtl/>
        </w:rPr>
        <w:t>عنه</w:t>
      </w:r>
      <w:r w:rsidR="00E8128F">
        <w:rPr>
          <w:sz w:val="36"/>
          <w:szCs w:val="36"/>
          <w:rtl/>
        </w:rPr>
        <w:t xml:space="preserve"> </w:t>
      </w:r>
      <w:r w:rsidR="00B0280F" w:rsidRPr="00FD211F">
        <w:rPr>
          <w:sz w:val="36"/>
          <w:szCs w:val="36"/>
          <w:rtl/>
        </w:rPr>
        <w:t>العلم</w:t>
      </w:r>
      <w:r w:rsidR="00E8128F">
        <w:rPr>
          <w:sz w:val="36"/>
          <w:szCs w:val="36"/>
          <w:rtl/>
        </w:rPr>
        <w:t xml:space="preserve"> </w:t>
      </w:r>
      <w:r w:rsidR="00B0280F" w:rsidRPr="00FD211F">
        <w:rPr>
          <w:sz w:val="36"/>
          <w:szCs w:val="36"/>
          <w:rtl/>
        </w:rPr>
        <w:t>بان</w:t>
      </w:r>
      <w:r w:rsidR="00E8128F">
        <w:rPr>
          <w:sz w:val="36"/>
          <w:szCs w:val="36"/>
          <w:rtl/>
        </w:rPr>
        <w:t xml:space="preserve"> </w:t>
      </w:r>
      <w:r w:rsidR="00B0280F" w:rsidRPr="00FD211F">
        <w:rPr>
          <w:sz w:val="36"/>
          <w:szCs w:val="36"/>
          <w:rtl/>
        </w:rPr>
        <w:t>كان</w:t>
      </w:r>
      <w:r w:rsidR="00E8128F">
        <w:rPr>
          <w:sz w:val="36"/>
          <w:szCs w:val="36"/>
          <w:rtl/>
        </w:rPr>
        <w:t xml:space="preserve"> </w:t>
      </w:r>
      <w:r w:rsidR="00B0280F" w:rsidRPr="00FD211F">
        <w:rPr>
          <w:sz w:val="36"/>
          <w:szCs w:val="36"/>
          <w:rtl/>
        </w:rPr>
        <w:t>يوجد</w:t>
      </w:r>
      <w:r w:rsidR="00E8128F">
        <w:rPr>
          <w:sz w:val="36"/>
          <w:szCs w:val="36"/>
          <w:rtl/>
        </w:rPr>
        <w:t xml:space="preserve"> </w:t>
      </w:r>
      <w:r w:rsidR="00FC0B2D" w:rsidRPr="00FD211F">
        <w:rPr>
          <w:sz w:val="36"/>
          <w:szCs w:val="36"/>
          <w:rtl/>
        </w:rPr>
        <w:t>متلبس</w:t>
      </w:r>
      <w:r w:rsidR="00E8128F">
        <w:rPr>
          <w:sz w:val="36"/>
          <w:szCs w:val="36"/>
          <w:rtl/>
        </w:rPr>
        <w:t xml:space="preserve"> </w:t>
      </w:r>
      <w:r w:rsidR="00FC0B2D" w:rsidRPr="00FD211F">
        <w:rPr>
          <w:sz w:val="36"/>
          <w:szCs w:val="36"/>
          <w:rtl/>
        </w:rPr>
        <w:t>فعلي</w:t>
      </w:r>
      <w:r w:rsidR="00E8128F">
        <w:rPr>
          <w:sz w:val="36"/>
          <w:szCs w:val="36"/>
          <w:rtl/>
        </w:rPr>
        <w:t xml:space="preserve"> </w:t>
      </w:r>
      <w:r w:rsidR="00FC0B2D" w:rsidRPr="00FD211F">
        <w:rPr>
          <w:sz w:val="36"/>
          <w:szCs w:val="36"/>
          <w:rtl/>
        </w:rPr>
        <w:t>بالعلم</w:t>
      </w:r>
      <w:r w:rsidR="00E8128F">
        <w:rPr>
          <w:sz w:val="36"/>
          <w:szCs w:val="36"/>
          <w:rtl/>
        </w:rPr>
        <w:t xml:space="preserve"> </w:t>
      </w:r>
      <w:r w:rsidR="00B0280F" w:rsidRPr="00FD211F">
        <w:rPr>
          <w:sz w:val="36"/>
          <w:szCs w:val="36"/>
          <w:rtl/>
        </w:rPr>
        <w:t>أيضا</w:t>
      </w:r>
      <w:r w:rsidR="00E8128F">
        <w:rPr>
          <w:sz w:val="36"/>
          <w:szCs w:val="36"/>
          <w:rtl/>
        </w:rPr>
        <w:t xml:space="preserve"> </w:t>
      </w:r>
      <w:r w:rsidR="00B0280F" w:rsidRPr="00FD211F">
        <w:rPr>
          <w:sz w:val="36"/>
          <w:szCs w:val="36"/>
          <w:rtl/>
        </w:rPr>
        <w:t>فيعلم</w:t>
      </w:r>
      <w:r w:rsidR="00E8128F">
        <w:rPr>
          <w:sz w:val="36"/>
          <w:szCs w:val="36"/>
          <w:rtl/>
        </w:rPr>
        <w:t xml:space="preserve"> </w:t>
      </w:r>
      <w:r w:rsidR="00B0280F" w:rsidRPr="00FD211F">
        <w:rPr>
          <w:sz w:val="36"/>
          <w:szCs w:val="36"/>
          <w:rtl/>
        </w:rPr>
        <w:t>بفعلي</w:t>
      </w:r>
      <w:r w:rsidR="00EC7EDF" w:rsidRPr="00FD211F">
        <w:rPr>
          <w:sz w:val="36"/>
          <w:szCs w:val="36"/>
          <w:rtl/>
        </w:rPr>
        <w:t>ة</w:t>
      </w:r>
      <w:r w:rsidR="00E8128F">
        <w:rPr>
          <w:sz w:val="36"/>
          <w:szCs w:val="36"/>
          <w:rtl/>
        </w:rPr>
        <w:t xml:space="preserve"> </w:t>
      </w:r>
      <w:r w:rsidR="00B0280F" w:rsidRPr="00FD211F">
        <w:rPr>
          <w:sz w:val="36"/>
          <w:szCs w:val="36"/>
          <w:rtl/>
        </w:rPr>
        <w:t>التكليف</w:t>
      </w:r>
      <w:r w:rsidR="00E8128F">
        <w:rPr>
          <w:sz w:val="36"/>
          <w:szCs w:val="36"/>
          <w:rtl/>
        </w:rPr>
        <w:t xml:space="preserve"> </w:t>
      </w:r>
      <w:r w:rsidR="00B0280F" w:rsidRPr="00FD211F">
        <w:rPr>
          <w:sz w:val="36"/>
          <w:szCs w:val="36"/>
          <w:rtl/>
        </w:rPr>
        <w:t>ولكن</w:t>
      </w:r>
      <w:r w:rsidR="00E8128F">
        <w:rPr>
          <w:sz w:val="36"/>
          <w:szCs w:val="36"/>
          <w:rtl/>
        </w:rPr>
        <w:t xml:space="preserve"> </w:t>
      </w:r>
      <w:r w:rsidR="00B0280F" w:rsidRPr="00FD211F">
        <w:rPr>
          <w:sz w:val="36"/>
          <w:szCs w:val="36"/>
          <w:rtl/>
        </w:rPr>
        <w:t>يكون</w:t>
      </w:r>
      <w:r w:rsidR="00E8128F">
        <w:rPr>
          <w:sz w:val="36"/>
          <w:szCs w:val="36"/>
          <w:rtl/>
        </w:rPr>
        <w:t xml:space="preserve"> </w:t>
      </w:r>
      <w:r w:rsidR="00B0280F" w:rsidRPr="00FD211F">
        <w:rPr>
          <w:sz w:val="36"/>
          <w:szCs w:val="36"/>
          <w:rtl/>
        </w:rPr>
        <w:t>متعلق</w:t>
      </w:r>
      <w:r w:rsidR="00E8128F">
        <w:rPr>
          <w:sz w:val="36"/>
          <w:szCs w:val="36"/>
          <w:rtl/>
        </w:rPr>
        <w:t xml:space="preserve"> </w:t>
      </w:r>
      <w:r w:rsidR="00B0280F" w:rsidRPr="00FD211F">
        <w:rPr>
          <w:sz w:val="36"/>
          <w:szCs w:val="36"/>
          <w:rtl/>
        </w:rPr>
        <w:t>التكليف</w:t>
      </w:r>
      <w:r w:rsidR="00E8128F">
        <w:rPr>
          <w:sz w:val="36"/>
          <w:szCs w:val="36"/>
          <w:rtl/>
        </w:rPr>
        <w:t xml:space="preserve"> </w:t>
      </w:r>
      <w:r w:rsidR="00B0280F" w:rsidRPr="00FD211F">
        <w:rPr>
          <w:sz w:val="36"/>
          <w:szCs w:val="36"/>
          <w:rtl/>
        </w:rPr>
        <w:t>مرددا</w:t>
      </w:r>
      <w:r w:rsidR="00E8128F">
        <w:rPr>
          <w:sz w:val="36"/>
          <w:szCs w:val="36"/>
          <w:rtl/>
        </w:rPr>
        <w:t xml:space="preserve"> </w:t>
      </w:r>
      <w:r w:rsidR="00B0280F" w:rsidRPr="00FD211F">
        <w:rPr>
          <w:sz w:val="36"/>
          <w:szCs w:val="36"/>
          <w:rtl/>
        </w:rPr>
        <w:t>بين</w:t>
      </w:r>
      <w:r w:rsidR="00E8128F">
        <w:rPr>
          <w:sz w:val="36"/>
          <w:szCs w:val="36"/>
          <w:rtl/>
        </w:rPr>
        <w:t xml:space="preserve"> </w:t>
      </w:r>
      <w:r w:rsidR="00B0280F" w:rsidRPr="00FD211F">
        <w:rPr>
          <w:sz w:val="36"/>
          <w:szCs w:val="36"/>
          <w:rtl/>
        </w:rPr>
        <w:t>التعيين</w:t>
      </w:r>
      <w:r w:rsidR="00E8128F">
        <w:rPr>
          <w:sz w:val="36"/>
          <w:szCs w:val="36"/>
          <w:rtl/>
        </w:rPr>
        <w:t xml:space="preserve"> </w:t>
      </w:r>
      <w:r w:rsidR="00B0280F" w:rsidRPr="00FD211F">
        <w:rPr>
          <w:sz w:val="36"/>
          <w:szCs w:val="36"/>
          <w:rtl/>
        </w:rPr>
        <w:t>والتخيير</w:t>
      </w:r>
      <w:r w:rsidR="00E8128F">
        <w:rPr>
          <w:sz w:val="36"/>
          <w:szCs w:val="36"/>
          <w:rtl/>
        </w:rPr>
        <w:t xml:space="preserve"> </w:t>
      </w:r>
      <w:r w:rsidR="00B0280F" w:rsidRPr="00FD211F">
        <w:rPr>
          <w:sz w:val="36"/>
          <w:szCs w:val="36"/>
          <w:rtl/>
        </w:rPr>
        <w:t>حيث</w:t>
      </w:r>
      <w:r w:rsidR="00E8128F">
        <w:rPr>
          <w:sz w:val="36"/>
          <w:szCs w:val="36"/>
          <w:rtl/>
        </w:rPr>
        <w:t xml:space="preserve"> </w:t>
      </w:r>
      <w:r w:rsidR="00B0280F" w:rsidRPr="00FD211F">
        <w:rPr>
          <w:sz w:val="36"/>
          <w:szCs w:val="36"/>
          <w:rtl/>
        </w:rPr>
        <w:t>يدور</w:t>
      </w:r>
      <w:r w:rsidR="00E8128F">
        <w:rPr>
          <w:sz w:val="36"/>
          <w:szCs w:val="36"/>
          <w:rtl/>
        </w:rPr>
        <w:t xml:space="preserve"> </w:t>
      </w:r>
      <w:r w:rsidR="00B0280F" w:rsidRPr="00FD211F">
        <w:rPr>
          <w:sz w:val="36"/>
          <w:szCs w:val="36"/>
          <w:rtl/>
        </w:rPr>
        <w:t>امر</w:t>
      </w:r>
      <w:r w:rsidR="00E8128F">
        <w:rPr>
          <w:sz w:val="36"/>
          <w:szCs w:val="36"/>
          <w:rtl/>
        </w:rPr>
        <w:t xml:space="preserve"> </w:t>
      </w:r>
      <w:r w:rsidR="00B0280F" w:rsidRPr="00FD211F">
        <w:rPr>
          <w:sz w:val="36"/>
          <w:szCs w:val="36"/>
          <w:rtl/>
        </w:rPr>
        <w:t>الواجب</w:t>
      </w:r>
      <w:r w:rsidR="00E8128F">
        <w:rPr>
          <w:sz w:val="36"/>
          <w:szCs w:val="36"/>
          <w:rtl/>
        </w:rPr>
        <w:t xml:space="preserve"> </w:t>
      </w:r>
      <w:r w:rsidR="00B0280F" w:rsidRPr="00FD211F">
        <w:rPr>
          <w:sz w:val="36"/>
          <w:szCs w:val="36"/>
          <w:rtl/>
        </w:rPr>
        <w:t>بين</w:t>
      </w:r>
      <w:r w:rsidR="00E8128F">
        <w:rPr>
          <w:sz w:val="36"/>
          <w:szCs w:val="36"/>
          <w:rtl/>
        </w:rPr>
        <w:t xml:space="preserve"> </w:t>
      </w:r>
      <w:r w:rsidR="00B0280F" w:rsidRPr="00FD211F">
        <w:rPr>
          <w:sz w:val="36"/>
          <w:szCs w:val="36"/>
          <w:rtl/>
        </w:rPr>
        <w:t>كونه</w:t>
      </w:r>
      <w:r w:rsidR="00E8128F">
        <w:rPr>
          <w:sz w:val="36"/>
          <w:szCs w:val="36"/>
          <w:rtl/>
        </w:rPr>
        <w:t xml:space="preserve"> </w:t>
      </w:r>
      <w:r w:rsidR="00B0280F" w:rsidRPr="00FD211F">
        <w:rPr>
          <w:sz w:val="36"/>
          <w:szCs w:val="36"/>
          <w:rtl/>
        </w:rPr>
        <w:t>اكرام</w:t>
      </w:r>
      <w:r w:rsidR="00E8128F">
        <w:rPr>
          <w:sz w:val="36"/>
          <w:szCs w:val="36"/>
          <w:rtl/>
        </w:rPr>
        <w:t xml:space="preserve"> </w:t>
      </w:r>
      <w:r w:rsidR="00B0280F" w:rsidRPr="00FD211F">
        <w:rPr>
          <w:sz w:val="36"/>
          <w:szCs w:val="36"/>
          <w:rtl/>
        </w:rPr>
        <w:t>عالم</w:t>
      </w:r>
      <w:r w:rsidR="00E8128F">
        <w:rPr>
          <w:sz w:val="36"/>
          <w:szCs w:val="36"/>
          <w:rtl/>
        </w:rPr>
        <w:t xml:space="preserve"> </w:t>
      </w:r>
      <w:r w:rsidR="00B0280F" w:rsidRPr="00FD211F">
        <w:rPr>
          <w:sz w:val="36"/>
          <w:szCs w:val="36"/>
          <w:rtl/>
        </w:rPr>
        <w:t>فعلي</w:t>
      </w:r>
      <w:r w:rsidR="00E8128F">
        <w:rPr>
          <w:sz w:val="36"/>
          <w:szCs w:val="36"/>
          <w:rtl/>
        </w:rPr>
        <w:t xml:space="preserve"> </w:t>
      </w:r>
      <w:r w:rsidR="00B0280F" w:rsidRPr="00FD211F">
        <w:rPr>
          <w:sz w:val="36"/>
          <w:szCs w:val="36"/>
          <w:rtl/>
        </w:rPr>
        <w:t>او</w:t>
      </w:r>
      <w:r w:rsidR="00E8128F">
        <w:rPr>
          <w:sz w:val="36"/>
          <w:szCs w:val="36"/>
          <w:rtl/>
        </w:rPr>
        <w:t xml:space="preserve"> </w:t>
      </w:r>
      <w:r w:rsidR="00B0280F" w:rsidRPr="00FD211F">
        <w:rPr>
          <w:sz w:val="36"/>
          <w:szCs w:val="36"/>
          <w:rtl/>
        </w:rPr>
        <w:t>اكرام</w:t>
      </w:r>
      <w:r w:rsidR="00E8128F">
        <w:rPr>
          <w:sz w:val="36"/>
          <w:szCs w:val="36"/>
          <w:rtl/>
        </w:rPr>
        <w:t xml:space="preserve"> </w:t>
      </w:r>
      <w:r w:rsidR="00B0280F" w:rsidRPr="00FD211F">
        <w:rPr>
          <w:sz w:val="36"/>
          <w:szCs w:val="36"/>
          <w:rtl/>
        </w:rPr>
        <w:t>الاعم</w:t>
      </w:r>
      <w:r w:rsidR="00E8128F">
        <w:rPr>
          <w:sz w:val="36"/>
          <w:szCs w:val="36"/>
          <w:rtl/>
        </w:rPr>
        <w:t xml:space="preserve"> </w:t>
      </w:r>
      <w:r w:rsidR="00B0280F" w:rsidRPr="00FD211F">
        <w:rPr>
          <w:sz w:val="36"/>
          <w:szCs w:val="36"/>
          <w:rtl/>
        </w:rPr>
        <w:t>منه</w:t>
      </w:r>
      <w:r w:rsidR="00E8128F">
        <w:rPr>
          <w:sz w:val="36"/>
          <w:szCs w:val="36"/>
          <w:rtl/>
        </w:rPr>
        <w:t xml:space="preserve"> </w:t>
      </w:r>
      <w:r w:rsidR="00B0280F" w:rsidRPr="00FD211F">
        <w:rPr>
          <w:sz w:val="36"/>
          <w:szCs w:val="36"/>
          <w:rtl/>
        </w:rPr>
        <w:t>ومن</w:t>
      </w:r>
      <w:r w:rsidR="00E8128F">
        <w:rPr>
          <w:sz w:val="36"/>
          <w:szCs w:val="36"/>
          <w:rtl/>
        </w:rPr>
        <w:t xml:space="preserve"> </w:t>
      </w:r>
      <w:r w:rsidR="00B0280F" w:rsidRPr="00FD211F">
        <w:rPr>
          <w:sz w:val="36"/>
          <w:szCs w:val="36"/>
          <w:rtl/>
        </w:rPr>
        <w:t>العالم</w:t>
      </w:r>
      <w:r w:rsidR="00E8128F">
        <w:rPr>
          <w:sz w:val="36"/>
          <w:szCs w:val="36"/>
          <w:rtl/>
        </w:rPr>
        <w:t xml:space="preserve"> </w:t>
      </w:r>
      <w:r w:rsidR="00B0280F" w:rsidRPr="00FD211F">
        <w:rPr>
          <w:sz w:val="36"/>
          <w:szCs w:val="36"/>
          <w:rtl/>
        </w:rPr>
        <w:t>السابق</w:t>
      </w:r>
      <w:r w:rsidR="00603323" w:rsidRPr="00FD211F">
        <w:rPr>
          <w:sz w:val="36"/>
          <w:szCs w:val="36"/>
          <w:rtl/>
        </w:rPr>
        <w:t>،</w:t>
      </w:r>
      <w:r w:rsidR="00E8128F">
        <w:rPr>
          <w:sz w:val="36"/>
          <w:szCs w:val="36"/>
          <w:rtl/>
        </w:rPr>
        <w:t xml:space="preserve"> </w:t>
      </w:r>
      <w:r w:rsidR="00B0280F" w:rsidRPr="00FD211F">
        <w:rPr>
          <w:sz w:val="36"/>
          <w:szCs w:val="36"/>
          <w:rtl/>
        </w:rPr>
        <w:t>والمنسوب</w:t>
      </w:r>
      <w:r w:rsidR="00E8128F">
        <w:rPr>
          <w:sz w:val="36"/>
          <w:szCs w:val="36"/>
          <w:rtl/>
        </w:rPr>
        <w:t xml:space="preserve"> </w:t>
      </w:r>
      <w:r w:rsidR="00B0280F" w:rsidRPr="00FD211F">
        <w:rPr>
          <w:sz w:val="36"/>
          <w:szCs w:val="36"/>
          <w:rtl/>
        </w:rPr>
        <w:t>الى</w:t>
      </w:r>
      <w:r w:rsidR="00E8128F">
        <w:rPr>
          <w:sz w:val="36"/>
          <w:szCs w:val="36"/>
          <w:rtl/>
        </w:rPr>
        <w:t xml:space="preserve"> </w:t>
      </w:r>
      <w:r w:rsidR="00B0280F" w:rsidRPr="00FD211F">
        <w:rPr>
          <w:sz w:val="36"/>
          <w:szCs w:val="36"/>
          <w:rtl/>
        </w:rPr>
        <w:t>المشهور</w:t>
      </w:r>
      <w:r w:rsidR="00E8128F">
        <w:rPr>
          <w:sz w:val="36"/>
          <w:szCs w:val="36"/>
          <w:rtl/>
        </w:rPr>
        <w:t xml:space="preserve"> </w:t>
      </w:r>
      <w:r w:rsidR="00B0280F" w:rsidRPr="00FD211F">
        <w:rPr>
          <w:sz w:val="36"/>
          <w:szCs w:val="36"/>
          <w:rtl/>
        </w:rPr>
        <w:t>في</w:t>
      </w:r>
      <w:r w:rsidR="00E8128F">
        <w:rPr>
          <w:sz w:val="36"/>
          <w:szCs w:val="36"/>
          <w:rtl/>
        </w:rPr>
        <w:t xml:space="preserve"> </w:t>
      </w:r>
      <w:r w:rsidR="00B0280F" w:rsidRPr="00FD211F">
        <w:rPr>
          <w:sz w:val="36"/>
          <w:szCs w:val="36"/>
          <w:rtl/>
        </w:rPr>
        <w:t>موارد</w:t>
      </w:r>
      <w:r w:rsidR="00E8128F">
        <w:rPr>
          <w:sz w:val="36"/>
          <w:szCs w:val="36"/>
          <w:rtl/>
        </w:rPr>
        <w:t xml:space="preserve"> </w:t>
      </w:r>
      <w:r w:rsidR="00B0280F" w:rsidRPr="00FD211F">
        <w:rPr>
          <w:sz w:val="36"/>
          <w:szCs w:val="36"/>
          <w:rtl/>
        </w:rPr>
        <w:t>دوران</w:t>
      </w:r>
      <w:r w:rsidR="00E8128F">
        <w:rPr>
          <w:sz w:val="36"/>
          <w:szCs w:val="36"/>
          <w:rtl/>
        </w:rPr>
        <w:t xml:space="preserve"> </w:t>
      </w:r>
      <w:r w:rsidR="001B3112" w:rsidRPr="00FD211F">
        <w:rPr>
          <w:sz w:val="36"/>
          <w:szCs w:val="36"/>
          <w:rtl/>
        </w:rPr>
        <w:t>الأمر</w:t>
      </w:r>
      <w:r w:rsidR="00E8128F">
        <w:rPr>
          <w:sz w:val="36"/>
          <w:szCs w:val="36"/>
          <w:rtl/>
        </w:rPr>
        <w:t xml:space="preserve"> </w:t>
      </w:r>
      <w:r w:rsidR="00B0280F" w:rsidRPr="00FD211F">
        <w:rPr>
          <w:sz w:val="36"/>
          <w:szCs w:val="36"/>
          <w:rtl/>
        </w:rPr>
        <w:t>بين</w:t>
      </w:r>
      <w:r w:rsidR="00E8128F">
        <w:rPr>
          <w:sz w:val="36"/>
          <w:szCs w:val="36"/>
          <w:rtl/>
        </w:rPr>
        <w:t xml:space="preserve"> </w:t>
      </w:r>
      <w:r w:rsidR="00B0280F" w:rsidRPr="00FD211F">
        <w:rPr>
          <w:sz w:val="36"/>
          <w:szCs w:val="36"/>
          <w:rtl/>
        </w:rPr>
        <w:t>التعيين</w:t>
      </w:r>
      <w:r w:rsidR="00E8128F">
        <w:rPr>
          <w:sz w:val="36"/>
          <w:szCs w:val="36"/>
          <w:rtl/>
        </w:rPr>
        <w:t xml:space="preserve"> </w:t>
      </w:r>
      <w:r w:rsidR="00B0280F" w:rsidRPr="00FD211F">
        <w:rPr>
          <w:sz w:val="36"/>
          <w:szCs w:val="36"/>
          <w:rtl/>
        </w:rPr>
        <w:t>والتخيير</w:t>
      </w:r>
      <w:r w:rsidR="00E8128F">
        <w:rPr>
          <w:sz w:val="36"/>
          <w:szCs w:val="36"/>
          <w:rtl/>
        </w:rPr>
        <w:t xml:space="preserve"> </w:t>
      </w:r>
      <w:r w:rsidR="00B0280F" w:rsidRPr="00FD211F">
        <w:rPr>
          <w:sz w:val="36"/>
          <w:szCs w:val="36"/>
          <w:rtl/>
        </w:rPr>
        <w:t>هو</w:t>
      </w:r>
      <w:r w:rsidR="00E8128F">
        <w:rPr>
          <w:sz w:val="36"/>
          <w:szCs w:val="36"/>
          <w:rtl/>
        </w:rPr>
        <w:t xml:space="preserve"> </w:t>
      </w:r>
      <w:r w:rsidR="00B0280F" w:rsidRPr="00FD211F">
        <w:rPr>
          <w:sz w:val="36"/>
          <w:szCs w:val="36"/>
          <w:rtl/>
        </w:rPr>
        <w:t>الاحتياط</w:t>
      </w:r>
      <w:r w:rsidR="00E8128F">
        <w:rPr>
          <w:sz w:val="36"/>
          <w:szCs w:val="36"/>
          <w:rtl/>
        </w:rPr>
        <w:t xml:space="preserve"> </w:t>
      </w:r>
      <w:r w:rsidR="00B0280F" w:rsidRPr="00FD211F">
        <w:rPr>
          <w:sz w:val="36"/>
          <w:szCs w:val="36"/>
          <w:rtl/>
        </w:rPr>
        <w:t>باتيان</w:t>
      </w:r>
      <w:r w:rsidR="00E8128F">
        <w:rPr>
          <w:sz w:val="36"/>
          <w:szCs w:val="36"/>
          <w:rtl/>
        </w:rPr>
        <w:t xml:space="preserve"> </w:t>
      </w:r>
      <w:r w:rsidR="00B0280F" w:rsidRPr="00FD211F">
        <w:rPr>
          <w:sz w:val="36"/>
          <w:szCs w:val="36"/>
          <w:rtl/>
        </w:rPr>
        <w:t>محتمل</w:t>
      </w:r>
      <w:r w:rsidR="00E8128F">
        <w:rPr>
          <w:sz w:val="36"/>
          <w:szCs w:val="36"/>
          <w:rtl/>
        </w:rPr>
        <w:t xml:space="preserve"> </w:t>
      </w:r>
      <w:r w:rsidR="00B0280F" w:rsidRPr="00FD211F">
        <w:rPr>
          <w:sz w:val="36"/>
          <w:szCs w:val="36"/>
          <w:rtl/>
        </w:rPr>
        <w:t>التعين</w:t>
      </w:r>
      <w:r w:rsidR="00E8128F">
        <w:rPr>
          <w:sz w:val="36"/>
          <w:szCs w:val="36"/>
          <w:rtl/>
        </w:rPr>
        <w:t xml:space="preserve"> </w:t>
      </w:r>
      <w:r w:rsidR="00B0280F" w:rsidRPr="00FD211F">
        <w:rPr>
          <w:sz w:val="36"/>
          <w:szCs w:val="36"/>
          <w:rtl/>
        </w:rPr>
        <w:t>وهذا</w:t>
      </w:r>
      <w:r w:rsidR="00E8128F">
        <w:rPr>
          <w:sz w:val="36"/>
          <w:szCs w:val="36"/>
          <w:rtl/>
        </w:rPr>
        <w:t xml:space="preserve"> </w:t>
      </w:r>
      <w:r w:rsidR="00B0280F" w:rsidRPr="00FD211F">
        <w:rPr>
          <w:sz w:val="36"/>
          <w:szCs w:val="36"/>
          <w:rtl/>
        </w:rPr>
        <w:t>هو</w:t>
      </w:r>
      <w:r w:rsidR="00E8128F">
        <w:rPr>
          <w:sz w:val="36"/>
          <w:szCs w:val="36"/>
          <w:rtl/>
        </w:rPr>
        <w:t xml:space="preserve"> </w:t>
      </w:r>
      <w:r w:rsidR="00B0280F" w:rsidRPr="00FD211F">
        <w:rPr>
          <w:sz w:val="36"/>
          <w:szCs w:val="36"/>
          <w:rtl/>
        </w:rPr>
        <w:t>الذي</w:t>
      </w:r>
      <w:r w:rsidR="00E8128F">
        <w:rPr>
          <w:sz w:val="36"/>
          <w:szCs w:val="36"/>
          <w:rtl/>
        </w:rPr>
        <w:t xml:space="preserve"> </w:t>
      </w:r>
      <w:r w:rsidR="00B0280F" w:rsidRPr="00FD211F">
        <w:rPr>
          <w:sz w:val="36"/>
          <w:szCs w:val="36"/>
          <w:rtl/>
        </w:rPr>
        <w:t>أكَّد</w:t>
      </w:r>
      <w:r w:rsidR="00E8128F">
        <w:rPr>
          <w:sz w:val="36"/>
          <w:szCs w:val="36"/>
          <w:rtl/>
        </w:rPr>
        <w:t xml:space="preserve"> </w:t>
      </w:r>
      <w:r w:rsidR="00B0280F" w:rsidRPr="00FD211F">
        <w:rPr>
          <w:sz w:val="36"/>
          <w:szCs w:val="36"/>
          <w:rtl/>
        </w:rPr>
        <w:t>عليه</w:t>
      </w:r>
      <w:r w:rsidR="00E8128F">
        <w:rPr>
          <w:sz w:val="36"/>
          <w:szCs w:val="36"/>
          <w:rtl/>
        </w:rPr>
        <w:t xml:space="preserve"> </w:t>
      </w:r>
      <w:r w:rsidR="00B0280F" w:rsidRPr="00FD211F">
        <w:rPr>
          <w:sz w:val="36"/>
          <w:szCs w:val="36"/>
          <w:rtl/>
        </w:rPr>
        <w:t>المحقق</w:t>
      </w:r>
      <w:r w:rsidR="00E8128F">
        <w:rPr>
          <w:sz w:val="36"/>
          <w:szCs w:val="36"/>
          <w:rtl/>
        </w:rPr>
        <w:t xml:space="preserve"> </w:t>
      </w:r>
      <w:r w:rsidR="00B0280F" w:rsidRPr="00FD211F">
        <w:rPr>
          <w:sz w:val="36"/>
          <w:szCs w:val="36"/>
          <w:rtl/>
        </w:rPr>
        <w:t>العراقي</w:t>
      </w:r>
      <w:r w:rsidR="00E8128F">
        <w:rPr>
          <w:sz w:val="36"/>
          <w:szCs w:val="36"/>
          <w:rtl/>
        </w:rPr>
        <w:t xml:space="preserve"> </w:t>
      </w:r>
      <w:r w:rsidR="005946E3" w:rsidRPr="00FD211F">
        <w:rPr>
          <w:sz w:val="36"/>
          <w:szCs w:val="36"/>
          <w:rtl/>
        </w:rPr>
        <w:t>"قده"</w:t>
      </w:r>
      <w:r w:rsidR="00E8128F">
        <w:rPr>
          <w:sz w:val="36"/>
          <w:szCs w:val="36"/>
          <w:rtl/>
        </w:rPr>
        <w:t xml:space="preserve"> </w:t>
      </w:r>
      <w:r w:rsidR="00B0280F" w:rsidRPr="00FD211F">
        <w:rPr>
          <w:sz w:val="36"/>
          <w:szCs w:val="36"/>
          <w:rtl/>
        </w:rPr>
        <w:t>في</w:t>
      </w:r>
      <w:r w:rsidR="00E8128F">
        <w:rPr>
          <w:sz w:val="36"/>
          <w:szCs w:val="36"/>
          <w:rtl/>
        </w:rPr>
        <w:t xml:space="preserve"> </w:t>
      </w:r>
      <w:r w:rsidR="00B0280F" w:rsidRPr="00FD211F">
        <w:rPr>
          <w:sz w:val="36"/>
          <w:szCs w:val="36"/>
          <w:rtl/>
        </w:rPr>
        <w:t>المقام</w:t>
      </w:r>
      <w:r w:rsidR="00FC0B2D" w:rsidRPr="00FD211F">
        <w:rPr>
          <w:sz w:val="36"/>
          <w:szCs w:val="36"/>
          <w:rtl/>
        </w:rPr>
        <w:t>.</w:t>
      </w:r>
    </w:p>
    <w:p w14:paraId="2CFEE784" w14:textId="77777777" w:rsidR="00F16108" w:rsidRPr="00FD211F" w:rsidRDefault="00FC0B2D" w:rsidP="009C58C8">
      <w:pPr>
        <w:ind w:left="0" w:firstLine="227"/>
        <w:jc w:val="both"/>
        <w:rPr>
          <w:sz w:val="36"/>
          <w:szCs w:val="36"/>
          <w:rtl/>
        </w:rPr>
      </w:pPr>
      <w:r w:rsidRPr="00FD211F">
        <w:rPr>
          <w:sz w:val="36"/>
          <w:szCs w:val="36"/>
          <w:rtl/>
        </w:rPr>
        <w:t>ولتوضيح</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نذكر</w:t>
      </w:r>
      <w:r w:rsidR="00E8128F">
        <w:rPr>
          <w:sz w:val="36"/>
          <w:szCs w:val="36"/>
          <w:rtl/>
        </w:rPr>
        <w:t xml:space="preserve"> </w:t>
      </w:r>
      <w:r w:rsidRPr="00FD211F">
        <w:rPr>
          <w:sz w:val="36"/>
          <w:szCs w:val="36"/>
          <w:rtl/>
        </w:rPr>
        <w:t>مثالا</w:t>
      </w:r>
      <w:r w:rsidR="00E8128F">
        <w:rPr>
          <w:sz w:val="36"/>
          <w:szCs w:val="36"/>
          <w:rtl/>
        </w:rPr>
        <w:t xml:space="preserve"> </w:t>
      </w:r>
      <w:r w:rsidRPr="00FD211F">
        <w:rPr>
          <w:sz w:val="36"/>
          <w:szCs w:val="36"/>
          <w:rtl/>
        </w:rPr>
        <w:t>وهو</w:t>
      </w:r>
      <w:r w:rsidR="00E8128F">
        <w:rPr>
          <w:sz w:val="36"/>
          <w:szCs w:val="36"/>
          <w:rtl/>
        </w:rPr>
        <w:t xml:space="preserve"> </w:t>
      </w:r>
      <w:r w:rsidRPr="00FD211F">
        <w:rPr>
          <w:sz w:val="36"/>
          <w:szCs w:val="36"/>
          <w:rtl/>
        </w:rPr>
        <w:t>انه</w:t>
      </w:r>
      <w:r w:rsidR="00E8128F">
        <w:rPr>
          <w:sz w:val="36"/>
          <w:szCs w:val="36"/>
          <w:rtl/>
        </w:rPr>
        <w:t xml:space="preserve"> </w:t>
      </w:r>
      <w:r w:rsidR="00B0280F" w:rsidRPr="00FD211F">
        <w:rPr>
          <w:sz w:val="36"/>
          <w:szCs w:val="36"/>
          <w:rtl/>
        </w:rPr>
        <w:t>اذا</w:t>
      </w:r>
      <w:r w:rsidR="00E8128F">
        <w:rPr>
          <w:sz w:val="36"/>
          <w:szCs w:val="36"/>
          <w:rtl/>
        </w:rPr>
        <w:t xml:space="preserve"> </w:t>
      </w:r>
      <w:r w:rsidR="00B0280F" w:rsidRPr="00FD211F">
        <w:rPr>
          <w:sz w:val="36"/>
          <w:szCs w:val="36"/>
          <w:rtl/>
        </w:rPr>
        <w:t>دار</w:t>
      </w:r>
      <w:r w:rsidR="00E8128F">
        <w:rPr>
          <w:sz w:val="36"/>
          <w:szCs w:val="36"/>
          <w:rtl/>
        </w:rPr>
        <w:t xml:space="preserve"> </w:t>
      </w:r>
      <w:r w:rsidR="00B0280F" w:rsidRPr="00FD211F">
        <w:rPr>
          <w:sz w:val="36"/>
          <w:szCs w:val="36"/>
          <w:rtl/>
        </w:rPr>
        <w:t>الأمر</w:t>
      </w:r>
      <w:r w:rsidR="00E8128F">
        <w:rPr>
          <w:sz w:val="36"/>
          <w:szCs w:val="36"/>
          <w:rtl/>
        </w:rPr>
        <w:t xml:space="preserve"> </w:t>
      </w:r>
      <w:r w:rsidR="00B0280F" w:rsidRPr="00FD211F">
        <w:rPr>
          <w:sz w:val="36"/>
          <w:szCs w:val="36"/>
          <w:rtl/>
        </w:rPr>
        <w:t>بين</w:t>
      </w:r>
      <w:r w:rsidR="00E8128F">
        <w:rPr>
          <w:sz w:val="36"/>
          <w:szCs w:val="36"/>
          <w:rtl/>
        </w:rPr>
        <w:t xml:space="preserve"> </w:t>
      </w:r>
      <w:r w:rsidR="00B0280F" w:rsidRPr="00FD211F">
        <w:rPr>
          <w:sz w:val="36"/>
          <w:szCs w:val="36"/>
          <w:rtl/>
        </w:rPr>
        <w:t>وجوب</w:t>
      </w:r>
      <w:r w:rsidR="00E8128F">
        <w:rPr>
          <w:sz w:val="36"/>
          <w:szCs w:val="36"/>
          <w:rtl/>
        </w:rPr>
        <w:t xml:space="preserve"> </w:t>
      </w:r>
      <w:r w:rsidR="00B0280F" w:rsidRPr="00FD211F">
        <w:rPr>
          <w:sz w:val="36"/>
          <w:szCs w:val="36"/>
          <w:rtl/>
        </w:rPr>
        <w:t>اكرام</w:t>
      </w:r>
      <w:r w:rsidR="00E8128F">
        <w:rPr>
          <w:sz w:val="36"/>
          <w:szCs w:val="36"/>
          <w:rtl/>
        </w:rPr>
        <w:t xml:space="preserve"> </w:t>
      </w:r>
      <w:r w:rsidR="00B0280F" w:rsidRPr="00FD211F">
        <w:rPr>
          <w:sz w:val="36"/>
          <w:szCs w:val="36"/>
          <w:rtl/>
        </w:rPr>
        <w:t>زيد</w:t>
      </w:r>
      <w:r w:rsidR="00E8128F">
        <w:rPr>
          <w:sz w:val="36"/>
          <w:szCs w:val="36"/>
          <w:rtl/>
        </w:rPr>
        <w:t xml:space="preserve"> </w:t>
      </w:r>
      <w:r w:rsidR="00B0280F" w:rsidRPr="00FD211F">
        <w:rPr>
          <w:sz w:val="36"/>
          <w:szCs w:val="36"/>
          <w:rtl/>
        </w:rPr>
        <w:t>او</w:t>
      </w:r>
      <w:r w:rsidR="00E8128F">
        <w:rPr>
          <w:sz w:val="36"/>
          <w:szCs w:val="36"/>
          <w:rtl/>
        </w:rPr>
        <w:t xml:space="preserve"> </w:t>
      </w:r>
      <w:r w:rsidR="00B0280F" w:rsidRPr="00FD211F">
        <w:rPr>
          <w:sz w:val="36"/>
          <w:szCs w:val="36"/>
          <w:rtl/>
        </w:rPr>
        <w:t>وجوب</w:t>
      </w:r>
      <w:r w:rsidR="00E8128F">
        <w:rPr>
          <w:sz w:val="36"/>
          <w:szCs w:val="36"/>
          <w:rtl/>
        </w:rPr>
        <w:t xml:space="preserve"> </w:t>
      </w:r>
      <w:r w:rsidR="00B0280F" w:rsidRPr="00FD211F">
        <w:rPr>
          <w:sz w:val="36"/>
          <w:szCs w:val="36"/>
          <w:rtl/>
        </w:rPr>
        <w:t>اطعامه</w:t>
      </w:r>
      <w:r w:rsidR="00603323" w:rsidRPr="00FD211F">
        <w:rPr>
          <w:sz w:val="36"/>
          <w:szCs w:val="36"/>
          <w:rtl/>
        </w:rPr>
        <w:t>،</w:t>
      </w:r>
      <w:r w:rsidR="00E8128F">
        <w:rPr>
          <w:sz w:val="36"/>
          <w:szCs w:val="36"/>
          <w:rtl/>
        </w:rPr>
        <w:t xml:space="preserve"> </w:t>
      </w:r>
      <w:r w:rsidR="00B0280F" w:rsidRPr="00FD211F">
        <w:rPr>
          <w:sz w:val="36"/>
          <w:szCs w:val="36"/>
          <w:rtl/>
        </w:rPr>
        <w:t>فالعلم</w:t>
      </w:r>
      <w:r w:rsidR="00E8128F">
        <w:rPr>
          <w:sz w:val="36"/>
          <w:szCs w:val="36"/>
          <w:rtl/>
        </w:rPr>
        <w:t xml:space="preserve"> </w:t>
      </w:r>
      <w:r w:rsidR="00B0280F" w:rsidRPr="00FD211F">
        <w:rPr>
          <w:sz w:val="36"/>
          <w:szCs w:val="36"/>
          <w:rtl/>
        </w:rPr>
        <w:t>الإجمالي</w:t>
      </w:r>
      <w:r w:rsidR="00E8128F">
        <w:rPr>
          <w:sz w:val="36"/>
          <w:szCs w:val="36"/>
          <w:rtl/>
        </w:rPr>
        <w:t xml:space="preserve"> </w:t>
      </w:r>
      <w:r w:rsidR="00B0280F" w:rsidRPr="00FD211F">
        <w:rPr>
          <w:sz w:val="36"/>
          <w:szCs w:val="36"/>
          <w:rtl/>
        </w:rPr>
        <w:t>بوجوب</w:t>
      </w:r>
      <w:r w:rsidR="00E8128F">
        <w:rPr>
          <w:sz w:val="36"/>
          <w:szCs w:val="36"/>
          <w:rtl/>
        </w:rPr>
        <w:t xml:space="preserve"> </w:t>
      </w:r>
      <w:r w:rsidR="00B0280F" w:rsidRPr="00FD211F">
        <w:rPr>
          <w:sz w:val="36"/>
          <w:szCs w:val="36"/>
          <w:rtl/>
        </w:rPr>
        <w:t>اكرام</w:t>
      </w:r>
      <w:r w:rsidR="00E8128F">
        <w:rPr>
          <w:sz w:val="36"/>
          <w:szCs w:val="36"/>
          <w:rtl/>
        </w:rPr>
        <w:t xml:space="preserve"> </w:t>
      </w:r>
      <w:r w:rsidR="00B0280F" w:rsidRPr="00FD211F">
        <w:rPr>
          <w:sz w:val="36"/>
          <w:szCs w:val="36"/>
          <w:rtl/>
        </w:rPr>
        <w:t>زيد</w:t>
      </w:r>
      <w:r w:rsidR="00E8128F">
        <w:rPr>
          <w:sz w:val="36"/>
          <w:szCs w:val="36"/>
          <w:rtl/>
        </w:rPr>
        <w:t xml:space="preserve"> </w:t>
      </w:r>
      <w:r w:rsidR="00B0280F" w:rsidRPr="00FD211F">
        <w:rPr>
          <w:sz w:val="36"/>
          <w:szCs w:val="36"/>
          <w:rtl/>
        </w:rPr>
        <w:t>او</w:t>
      </w:r>
      <w:r w:rsidR="00E8128F">
        <w:rPr>
          <w:sz w:val="36"/>
          <w:szCs w:val="36"/>
          <w:rtl/>
        </w:rPr>
        <w:t xml:space="preserve"> </w:t>
      </w:r>
      <w:r w:rsidR="00B0280F" w:rsidRPr="00FD211F">
        <w:rPr>
          <w:sz w:val="36"/>
          <w:szCs w:val="36"/>
          <w:rtl/>
        </w:rPr>
        <w:t>اطعامه</w:t>
      </w:r>
      <w:r w:rsidR="00E8128F">
        <w:rPr>
          <w:sz w:val="36"/>
          <w:szCs w:val="36"/>
          <w:rtl/>
        </w:rPr>
        <w:t xml:space="preserve"> </w:t>
      </w:r>
      <w:r w:rsidR="00B0280F" w:rsidRPr="00FD211F">
        <w:rPr>
          <w:sz w:val="36"/>
          <w:szCs w:val="36"/>
          <w:rtl/>
        </w:rPr>
        <w:t>يكون</w:t>
      </w:r>
      <w:r w:rsidR="00E8128F">
        <w:rPr>
          <w:sz w:val="36"/>
          <w:szCs w:val="36"/>
          <w:rtl/>
        </w:rPr>
        <w:t xml:space="preserve"> </w:t>
      </w:r>
      <w:r w:rsidR="00B0280F" w:rsidRPr="00FD211F">
        <w:rPr>
          <w:sz w:val="36"/>
          <w:szCs w:val="36"/>
          <w:rtl/>
        </w:rPr>
        <w:t>منحلا</w:t>
      </w:r>
      <w:r w:rsidR="00E8128F">
        <w:rPr>
          <w:sz w:val="36"/>
          <w:szCs w:val="36"/>
          <w:rtl/>
        </w:rPr>
        <w:t xml:space="preserve"> </w:t>
      </w:r>
      <w:r w:rsidR="00B0280F" w:rsidRPr="00FD211F">
        <w:rPr>
          <w:sz w:val="36"/>
          <w:szCs w:val="36"/>
          <w:rtl/>
        </w:rPr>
        <w:t>حكما</w:t>
      </w:r>
      <w:r w:rsidR="00603323" w:rsidRPr="00FD211F">
        <w:rPr>
          <w:sz w:val="36"/>
          <w:szCs w:val="36"/>
          <w:rtl/>
        </w:rPr>
        <w:t>،</w:t>
      </w:r>
      <w:r w:rsidR="00E8128F">
        <w:rPr>
          <w:sz w:val="36"/>
          <w:szCs w:val="36"/>
          <w:rtl/>
        </w:rPr>
        <w:t xml:space="preserve"> </w:t>
      </w:r>
      <w:r w:rsidR="00B0280F" w:rsidRPr="00FD211F">
        <w:rPr>
          <w:sz w:val="36"/>
          <w:szCs w:val="36"/>
          <w:rtl/>
        </w:rPr>
        <w:t>حيث</w:t>
      </w:r>
      <w:r w:rsidR="00E8128F">
        <w:rPr>
          <w:sz w:val="36"/>
          <w:szCs w:val="36"/>
          <w:rtl/>
        </w:rPr>
        <w:t xml:space="preserve"> </w:t>
      </w:r>
      <w:r w:rsidR="00B0280F" w:rsidRPr="00FD211F">
        <w:rPr>
          <w:sz w:val="36"/>
          <w:szCs w:val="36"/>
          <w:rtl/>
        </w:rPr>
        <w:t>ان</w:t>
      </w:r>
      <w:r w:rsidR="00E8128F">
        <w:rPr>
          <w:sz w:val="36"/>
          <w:szCs w:val="36"/>
          <w:rtl/>
        </w:rPr>
        <w:t xml:space="preserve"> </w:t>
      </w:r>
      <w:r w:rsidR="00B0280F" w:rsidRPr="00FD211F">
        <w:rPr>
          <w:sz w:val="36"/>
          <w:szCs w:val="36"/>
          <w:rtl/>
        </w:rPr>
        <w:t>البراء</w:t>
      </w:r>
      <w:r w:rsidR="00EC7EDF" w:rsidRPr="00FD211F">
        <w:rPr>
          <w:sz w:val="36"/>
          <w:szCs w:val="36"/>
          <w:rtl/>
        </w:rPr>
        <w:t>ة</w:t>
      </w:r>
      <w:r w:rsidR="00E8128F">
        <w:rPr>
          <w:sz w:val="36"/>
          <w:szCs w:val="36"/>
          <w:rtl/>
        </w:rPr>
        <w:t xml:space="preserve"> </w:t>
      </w:r>
      <w:r w:rsidR="00B0280F" w:rsidRPr="00FD211F">
        <w:rPr>
          <w:sz w:val="36"/>
          <w:szCs w:val="36"/>
          <w:rtl/>
        </w:rPr>
        <w:t>عن</w:t>
      </w:r>
      <w:r w:rsidR="00E8128F">
        <w:rPr>
          <w:sz w:val="36"/>
          <w:szCs w:val="36"/>
          <w:rtl/>
        </w:rPr>
        <w:t xml:space="preserve"> </w:t>
      </w:r>
      <w:r w:rsidR="00B0280F" w:rsidRPr="00FD211F">
        <w:rPr>
          <w:sz w:val="36"/>
          <w:szCs w:val="36"/>
          <w:rtl/>
        </w:rPr>
        <w:t>وجوب</w:t>
      </w:r>
      <w:r w:rsidR="00E8128F">
        <w:rPr>
          <w:sz w:val="36"/>
          <w:szCs w:val="36"/>
          <w:rtl/>
        </w:rPr>
        <w:t xml:space="preserve"> </w:t>
      </w:r>
      <w:r w:rsidR="00B0280F" w:rsidRPr="00FD211F">
        <w:rPr>
          <w:sz w:val="36"/>
          <w:szCs w:val="36"/>
          <w:rtl/>
        </w:rPr>
        <w:t>اطعام</w:t>
      </w:r>
      <w:r w:rsidR="00E8128F">
        <w:rPr>
          <w:sz w:val="36"/>
          <w:szCs w:val="36"/>
          <w:rtl/>
        </w:rPr>
        <w:t xml:space="preserve"> </w:t>
      </w:r>
      <w:r w:rsidR="00B0280F" w:rsidRPr="00FD211F">
        <w:rPr>
          <w:sz w:val="36"/>
          <w:szCs w:val="36"/>
          <w:rtl/>
        </w:rPr>
        <w:t>زيد</w:t>
      </w:r>
      <w:r w:rsidR="00E8128F">
        <w:rPr>
          <w:sz w:val="36"/>
          <w:szCs w:val="36"/>
          <w:rtl/>
        </w:rPr>
        <w:t xml:space="preserve"> </w:t>
      </w:r>
      <w:r w:rsidR="00216F34" w:rsidRPr="00FD211F">
        <w:rPr>
          <w:sz w:val="36"/>
          <w:szCs w:val="36"/>
          <w:rtl/>
        </w:rPr>
        <w:t>تجري</w:t>
      </w:r>
      <w:r w:rsidR="00E8128F">
        <w:rPr>
          <w:sz w:val="36"/>
          <w:szCs w:val="36"/>
          <w:rtl/>
        </w:rPr>
        <w:t xml:space="preserve"> </w:t>
      </w:r>
      <w:r w:rsidR="00216F34" w:rsidRPr="00FD211F">
        <w:rPr>
          <w:sz w:val="36"/>
          <w:szCs w:val="36"/>
          <w:rtl/>
        </w:rPr>
        <w:t>بلامعارض</w:t>
      </w:r>
      <w:r w:rsidR="00603323" w:rsidRPr="00FD211F">
        <w:rPr>
          <w:sz w:val="36"/>
          <w:szCs w:val="36"/>
          <w:rtl/>
        </w:rPr>
        <w:t>،</w:t>
      </w:r>
      <w:r w:rsidR="00E8128F">
        <w:rPr>
          <w:sz w:val="36"/>
          <w:szCs w:val="36"/>
          <w:rtl/>
        </w:rPr>
        <w:t xml:space="preserve"> </w:t>
      </w:r>
      <w:r w:rsidR="00F16108" w:rsidRPr="00FD211F">
        <w:rPr>
          <w:sz w:val="36"/>
          <w:szCs w:val="36"/>
          <w:rtl/>
        </w:rPr>
        <w:t>فان</w:t>
      </w:r>
      <w:r w:rsidR="00E8128F">
        <w:rPr>
          <w:sz w:val="36"/>
          <w:szCs w:val="36"/>
          <w:rtl/>
        </w:rPr>
        <w:t xml:space="preserve"> </w:t>
      </w:r>
      <w:r w:rsidR="00F16108" w:rsidRPr="00FD211F">
        <w:rPr>
          <w:sz w:val="36"/>
          <w:szCs w:val="36"/>
          <w:rtl/>
        </w:rPr>
        <w:t>البراء</w:t>
      </w:r>
      <w:r w:rsidR="00EC7EDF" w:rsidRPr="00FD211F">
        <w:rPr>
          <w:sz w:val="36"/>
          <w:szCs w:val="36"/>
          <w:rtl/>
        </w:rPr>
        <w:t>ة</w:t>
      </w:r>
      <w:r w:rsidR="00E8128F">
        <w:rPr>
          <w:sz w:val="36"/>
          <w:szCs w:val="36"/>
          <w:rtl/>
        </w:rPr>
        <w:t xml:space="preserve"> </w:t>
      </w:r>
      <w:r w:rsidR="00F16108" w:rsidRPr="00FD211F">
        <w:rPr>
          <w:sz w:val="36"/>
          <w:szCs w:val="36"/>
          <w:rtl/>
        </w:rPr>
        <w:t>عن</w:t>
      </w:r>
      <w:r w:rsidR="00E8128F">
        <w:rPr>
          <w:sz w:val="36"/>
          <w:szCs w:val="36"/>
          <w:rtl/>
        </w:rPr>
        <w:t xml:space="preserve"> </w:t>
      </w:r>
      <w:r w:rsidR="00F16108" w:rsidRPr="00FD211F">
        <w:rPr>
          <w:sz w:val="36"/>
          <w:szCs w:val="36"/>
          <w:rtl/>
        </w:rPr>
        <w:t>وجوب</w:t>
      </w:r>
      <w:r w:rsidR="00E8128F">
        <w:rPr>
          <w:sz w:val="36"/>
          <w:szCs w:val="36"/>
          <w:rtl/>
        </w:rPr>
        <w:t xml:space="preserve"> </w:t>
      </w:r>
      <w:r w:rsidR="00F16108" w:rsidRPr="00FD211F">
        <w:rPr>
          <w:sz w:val="36"/>
          <w:szCs w:val="36"/>
          <w:rtl/>
        </w:rPr>
        <w:t>اكرام</w:t>
      </w:r>
      <w:r w:rsidR="00E8128F">
        <w:rPr>
          <w:sz w:val="36"/>
          <w:szCs w:val="36"/>
          <w:rtl/>
        </w:rPr>
        <w:t xml:space="preserve"> </w:t>
      </w:r>
      <w:r w:rsidR="00F16108" w:rsidRPr="00FD211F">
        <w:rPr>
          <w:sz w:val="36"/>
          <w:szCs w:val="36"/>
          <w:rtl/>
        </w:rPr>
        <w:t>زيد</w:t>
      </w:r>
      <w:r w:rsidR="00E8128F">
        <w:rPr>
          <w:sz w:val="36"/>
          <w:szCs w:val="36"/>
          <w:rtl/>
        </w:rPr>
        <w:t xml:space="preserve"> </w:t>
      </w:r>
      <w:r w:rsidR="00F16108" w:rsidRPr="00FD211F">
        <w:rPr>
          <w:sz w:val="36"/>
          <w:szCs w:val="36"/>
          <w:rtl/>
        </w:rPr>
        <w:t>ان</w:t>
      </w:r>
      <w:r w:rsidR="00E8128F">
        <w:rPr>
          <w:sz w:val="36"/>
          <w:szCs w:val="36"/>
          <w:rtl/>
        </w:rPr>
        <w:t xml:space="preserve"> </w:t>
      </w:r>
      <w:r w:rsidR="00F16108" w:rsidRPr="00FD211F">
        <w:rPr>
          <w:sz w:val="36"/>
          <w:szCs w:val="36"/>
          <w:rtl/>
        </w:rPr>
        <w:t>كانت</w:t>
      </w:r>
      <w:r w:rsidR="00E8128F">
        <w:rPr>
          <w:sz w:val="36"/>
          <w:szCs w:val="36"/>
          <w:rtl/>
        </w:rPr>
        <w:t xml:space="preserve"> </w:t>
      </w:r>
      <w:r w:rsidR="00F16108" w:rsidRPr="00FD211F">
        <w:rPr>
          <w:sz w:val="36"/>
          <w:szCs w:val="36"/>
          <w:rtl/>
        </w:rPr>
        <w:t>تجري</w:t>
      </w:r>
      <w:r w:rsidR="00E8128F">
        <w:rPr>
          <w:sz w:val="36"/>
          <w:szCs w:val="36"/>
          <w:rtl/>
        </w:rPr>
        <w:t xml:space="preserve"> </w:t>
      </w:r>
      <w:r w:rsidR="00F16108" w:rsidRPr="00FD211F">
        <w:rPr>
          <w:sz w:val="36"/>
          <w:szCs w:val="36"/>
          <w:rtl/>
        </w:rPr>
        <w:t>بغرض</w:t>
      </w:r>
      <w:r w:rsidR="00E8128F">
        <w:rPr>
          <w:sz w:val="36"/>
          <w:szCs w:val="36"/>
          <w:rtl/>
        </w:rPr>
        <w:t xml:space="preserve"> </w:t>
      </w:r>
      <w:r w:rsidR="00F16108" w:rsidRPr="00FD211F">
        <w:rPr>
          <w:sz w:val="36"/>
          <w:szCs w:val="36"/>
          <w:rtl/>
        </w:rPr>
        <w:t>إثبات</w:t>
      </w:r>
      <w:r w:rsidR="00E8128F">
        <w:rPr>
          <w:sz w:val="36"/>
          <w:szCs w:val="36"/>
          <w:rtl/>
        </w:rPr>
        <w:t xml:space="preserve"> </w:t>
      </w:r>
      <w:r w:rsidR="00F16108" w:rsidRPr="00FD211F">
        <w:rPr>
          <w:sz w:val="36"/>
          <w:szCs w:val="36"/>
          <w:rtl/>
        </w:rPr>
        <w:t>وجوب</w:t>
      </w:r>
      <w:r w:rsidR="00E8128F">
        <w:rPr>
          <w:sz w:val="36"/>
          <w:szCs w:val="36"/>
          <w:rtl/>
        </w:rPr>
        <w:t xml:space="preserve"> </w:t>
      </w:r>
      <w:r w:rsidR="00F16108" w:rsidRPr="00FD211F">
        <w:rPr>
          <w:sz w:val="36"/>
          <w:szCs w:val="36"/>
          <w:rtl/>
        </w:rPr>
        <w:t>اطعامه</w:t>
      </w:r>
      <w:r w:rsidR="00E8128F">
        <w:rPr>
          <w:sz w:val="36"/>
          <w:szCs w:val="36"/>
          <w:rtl/>
        </w:rPr>
        <w:t xml:space="preserve"> </w:t>
      </w:r>
      <w:r w:rsidR="00F16108" w:rsidRPr="00FD211F">
        <w:rPr>
          <w:sz w:val="36"/>
          <w:szCs w:val="36"/>
          <w:rtl/>
        </w:rPr>
        <w:t>ف</w:t>
      </w:r>
      <w:r w:rsidRPr="00FD211F">
        <w:rPr>
          <w:sz w:val="36"/>
          <w:szCs w:val="36"/>
          <w:rtl/>
        </w:rPr>
        <w:t>ت</w:t>
      </w:r>
      <w:r w:rsidR="00F16108" w:rsidRPr="00FD211F">
        <w:rPr>
          <w:sz w:val="36"/>
          <w:szCs w:val="36"/>
          <w:rtl/>
        </w:rPr>
        <w:t>كون</w:t>
      </w:r>
      <w:r w:rsidR="00E8128F">
        <w:rPr>
          <w:sz w:val="36"/>
          <w:szCs w:val="36"/>
          <w:rtl/>
        </w:rPr>
        <w:t xml:space="preserve"> </w:t>
      </w:r>
      <w:r w:rsidR="00F16108" w:rsidRPr="00FD211F">
        <w:rPr>
          <w:sz w:val="36"/>
          <w:szCs w:val="36"/>
          <w:rtl/>
        </w:rPr>
        <w:t>من</w:t>
      </w:r>
      <w:r w:rsidR="00E8128F">
        <w:rPr>
          <w:sz w:val="36"/>
          <w:szCs w:val="36"/>
          <w:rtl/>
        </w:rPr>
        <w:t xml:space="preserve"> </w:t>
      </w:r>
      <w:r w:rsidR="00F16108" w:rsidRPr="00FD211F">
        <w:rPr>
          <w:sz w:val="36"/>
          <w:szCs w:val="36"/>
          <w:rtl/>
        </w:rPr>
        <w:t>الأصل</w:t>
      </w:r>
      <w:r w:rsidR="00E8128F">
        <w:rPr>
          <w:sz w:val="36"/>
          <w:szCs w:val="36"/>
          <w:rtl/>
        </w:rPr>
        <w:t xml:space="preserve"> </w:t>
      </w:r>
      <w:r w:rsidR="00F16108" w:rsidRPr="00FD211F">
        <w:rPr>
          <w:sz w:val="36"/>
          <w:szCs w:val="36"/>
          <w:rtl/>
        </w:rPr>
        <w:t>المثبت</w:t>
      </w:r>
      <w:r w:rsidR="00E8128F">
        <w:rPr>
          <w:sz w:val="36"/>
          <w:szCs w:val="36"/>
          <w:rtl/>
        </w:rPr>
        <w:t xml:space="preserve"> </w:t>
      </w:r>
      <w:r w:rsidR="00F16108" w:rsidRPr="00FD211F">
        <w:rPr>
          <w:sz w:val="36"/>
          <w:szCs w:val="36"/>
          <w:rtl/>
        </w:rPr>
        <w:t>وان</w:t>
      </w:r>
      <w:r w:rsidR="00E8128F">
        <w:rPr>
          <w:sz w:val="36"/>
          <w:szCs w:val="36"/>
          <w:rtl/>
        </w:rPr>
        <w:t xml:space="preserve"> </w:t>
      </w:r>
      <w:r w:rsidR="00F16108" w:rsidRPr="00FD211F">
        <w:rPr>
          <w:sz w:val="36"/>
          <w:szCs w:val="36"/>
          <w:rtl/>
        </w:rPr>
        <w:t>كانت</w:t>
      </w:r>
      <w:r w:rsidR="00E8128F">
        <w:rPr>
          <w:sz w:val="36"/>
          <w:szCs w:val="36"/>
          <w:rtl/>
        </w:rPr>
        <w:t xml:space="preserve"> </w:t>
      </w:r>
      <w:r w:rsidR="00F16108" w:rsidRPr="00FD211F">
        <w:rPr>
          <w:sz w:val="36"/>
          <w:szCs w:val="36"/>
          <w:rtl/>
        </w:rPr>
        <w:t>تجري</w:t>
      </w:r>
      <w:r w:rsidR="00E8128F">
        <w:rPr>
          <w:sz w:val="36"/>
          <w:szCs w:val="36"/>
          <w:rtl/>
        </w:rPr>
        <w:t xml:space="preserve"> </w:t>
      </w:r>
      <w:r w:rsidR="00F16108" w:rsidRPr="00FD211F">
        <w:rPr>
          <w:sz w:val="36"/>
          <w:szCs w:val="36"/>
          <w:rtl/>
        </w:rPr>
        <w:t>بغرض</w:t>
      </w:r>
      <w:r w:rsidR="00E8128F">
        <w:rPr>
          <w:sz w:val="36"/>
          <w:szCs w:val="36"/>
          <w:rtl/>
        </w:rPr>
        <w:t xml:space="preserve"> </w:t>
      </w:r>
      <w:r w:rsidRPr="00FD211F">
        <w:rPr>
          <w:sz w:val="36"/>
          <w:szCs w:val="36"/>
          <w:rtl/>
        </w:rPr>
        <w:t>الترخيص</w:t>
      </w:r>
      <w:r w:rsidR="00E8128F">
        <w:rPr>
          <w:sz w:val="36"/>
          <w:szCs w:val="36"/>
          <w:rtl/>
        </w:rPr>
        <w:t xml:space="preserve"> </w:t>
      </w:r>
      <w:r w:rsidRPr="00FD211F">
        <w:rPr>
          <w:sz w:val="36"/>
          <w:szCs w:val="36"/>
          <w:rtl/>
        </w:rPr>
        <w:t>في</w:t>
      </w:r>
      <w:r w:rsidR="00E8128F">
        <w:rPr>
          <w:sz w:val="36"/>
          <w:szCs w:val="36"/>
          <w:rtl/>
        </w:rPr>
        <w:t xml:space="preserve"> </w:t>
      </w:r>
      <w:r w:rsidR="00F16108" w:rsidRPr="00FD211F">
        <w:rPr>
          <w:sz w:val="36"/>
          <w:szCs w:val="36"/>
          <w:rtl/>
        </w:rPr>
        <w:t>ترك</w:t>
      </w:r>
      <w:r w:rsidR="00E8128F">
        <w:rPr>
          <w:sz w:val="36"/>
          <w:szCs w:val="36"/>
          <w:rtl/>
        </w:rPr>
        <w:t xml:space="preserve"> </w:t>
      </w:r>
      <w:r w:rsidR="00F16108" w:rsidRPr="00FD211F">
        <w:rPr>
          <w:sz w:val="36"/>
          <w:szCs w:val="36"/>
          <w:rtl/>
        </w:rPr>
        <w:t>اكرامه</w:t>
      </w:r>
      <w:r w:rsidR="00E8128F">
        <w:rPr>
          <w:sz w:val="36"/>
          <w:szCs w:val="36"/>
          <w:rtl/>
        </w:rPr>
        <w:t xml:space="preserve"> </w:t>
      </w:r>
      <w:r w:rsidR="00F16108" w:rsidRPr="00FD211F">
        <w:rPr>
          <w:sz w:val="36"/>
          <w:szCs w:val="36"/>
          <w:rtl/>
        </w:rPr>
        <w:t>فهو</w:t>
      </w:r>
      <w:r w:rsidR="00E8128F">
        <w:rPr>
          <w:sz w:val="36"/>
          <w:szCs w:val="36"/>
          <w:rtl/>
        </w:rPr>
        <w:t xml:space="preserve"> </w:t>
      </w:r>
      <w:r w:rsidR="00F16108" w:rsidRPr="00FD211F">
        <w:rPr>
          <w:sz w:val="36"/>
          <w:szCs w:val="36"/>
          <w:rtl/>
        </w:rPr>
        <w:t>غير</w:t>
      </w:r>
      <w:r w:rsidR="00E8128F">
        <w:rPr>
          <w:sz w:val="36"/>
          <w:szCs w:val="36"/>
          <w:rtl/>
        </w:rPr>
        <w:t xml:space="preserve"> </w:t>
      </w:r>
      <w:r w:rsidR="00F16108" w:rsidRPr="00FD211F">
        <w:rPr>
          <w:sz w:val="36"/>
          <w:szCs w:val="36"/>
          <w:rtl/>
        </w:rPr>
        <w:t>معقول</w:t>
      </w:r>
      <w:r w:rsidR="00603323" w:rsidRPr="00FD211F">
        <w:rPr>
          <w:sz w:val="36"/>
          <w:szCs w:val="36"/>
          <w:rtl/>
        </w:rPr>
        <w:t>،</w:t>
      </w:r>
      <w:r w:rsidR="00E8128F">
        <w:rPr>
          <w:sz w:val="36"/>
          <w:szCs w:val="36"/>
          <w:rtl/>
        </w:rPr>
        <w:t xml:space="preserve"> </w:t>
      </w:r>
      <w:r w:rsidR="00F16108" w:rsidRPr="00FD211F">
        <w:rPr>
          <w:sz w:val="36"/>
          <w:szCs w:val="36"/>
          <w:rtl/>
        </w:rPr>
        <w:t>لان</w:t>
      </w:r>
      <w:r w:rsidR="00E8128F">
        <w:rPr>
          <w:sz w:val="36"/>
          <w:szCs w:val="36"/>
          <w:rtl/>
        </w:rPr>
        <w:t xml:space="preserve"> </w:t>
      </w:r>
      <w:r w:rsidR="00F16108" w:rsidRPr="00FD211F">
        <w:rPr>
          <w:sz w:val="36"/>
          <w:szCs w:val="36"/>
          <w:rtl/>
        </w:rPr>
        <w:t>المخالف</w:t>
      </w:r>
      <w:r w:rsidR="00EC7EDF" w:rsidRPr="00FD211F">
        <w:rPr>
          <w:sz w:val="36"/>
          <w:szCs w:val="36"/>
          <w:rtl/>
        </w:rPr>
        <w:t>ة</w:t>
      </w:r>
      <w:r w:rsidR="00E8128F">
        <w:rPr>
          <w:sz w:val="36"/>
          <w:szCs w:val="36"/>
          <w:rtl/>
        </w:rPr>
        <w:t xml:space="preserve"> </w:t>
      </w:r>
      <w:r w:rsidR="00F16108" w:rsidRPr="00FD211F">
        <w:rPr>
          <w:sz w:val="36"/>
          <w:szCs w:val="36"/>
          <w:rtl/>
        </w:rPr>
        <w:t>القطعي</w:t>
      </w:r>
      <w:r w:rsidR="00EC7EDF" w:rsidRPr="00FD211F">
        <w:rPr>
          <w:sz w:val="36"/>
          <w:szCs w:val="36"/>
          <w:rtl/>
        </w:rPr>
        <w:t>ة</w:t>
      </w:r>
      <w:r w:rsidR="00E8128F">
        <w:rPr>
          <w:sz w:val="36"/>
          <w:szCs w:val="36"/>
          <w:rtl/>
        </w:rPr>
        <w:t xml:space="preserve"> </w:t>
      </w:r>
      <w:r w:rsidR="00F16108" w:rsidRPr="00FD211F">
        <w:rPr>
          <w:sz w:val="36"/>
          <w:szCs w:val="36"/>
          <w:rtl/>
        </w:rPr>
        <w:t>ثابت</w:t>
      </w:r>
      <w:r w:rsidR="00EC7EDF" w:rsidRPr="00FD211F">
        <w:rPr>
          <w:sz w:val="36"/>
          <w:szCs w:val="36"/>
          <w:rtl/>
        </w:rPr>
        <w:t>ة</w:t>
      </w:r>
      <w:r w:rsidR="00E8128F">
        <w:rPr>
          <w:sz w:val="36"/>
          <w:szCs w:val="36"/>
          <w:rtl/>
        </w:rPr>
        <w:t xml:space="preserve"> </w:t>
      </w:r>
      <w:r w:rsidR="00F16108" w:rsidRPr="00FD211F">
        <w:rPr>
          <w:sz w:val="36"/>
          <w:szCs w:val="36"/>
          <w:rtl/>
        </w:rPr>
        <w:t>في</w:t>
      </w:r>
      <w:r w:rsidR="00E8128F">
        <w:rPr>
          <w:sz w:val="36"/>
          <w:szCs w:val="36"/>
          <w:rtl/>
        </w:rPr>
        <w:t xml:space="preserve"> </w:t>
      </w:r>
      <w:r w:rsidR="00F16108" w:rsidRPr="00FD211F">
        <w:rPr>
          <w:sz w:val="36"/>
          <w:szCs w:val="36"/>
          <w:rtl/>
        </w:rPr>
        <w:t>هذه</w:t>
      </w:r>
      <w:r w:rsidR="00E8128F">
        <w:rPr>
          <w:sz w:val="36"/>
          <w:szCs w:val="36"/>
          <w:rtl/>
        </w:rPr>
        <w:t xml:space="preserve"> </w:t>
      </w:r>
      <w:r w:rsidR="00F16108" w:rsidRPr="00FD211F">
        <w:rPr>
          <w:sz w:val="36"/>
          <w:szCs w:val="36"/>
          <w:rtl/>
        </w:rPr>
        <w:t>الحال</w:t>
      </w:r>
      <w:r w:rsidR="00EC7EDF" w:rsidRPr="00FD211F">
        <w:rPr>
          <w:sz w:val="36"/>
          <w:szCs w:val="36"/>
          <w:rtl/>
        </w:rPr>
        <w:t>ة</w:t>
      </w:r>
      <w:r w:rsidR="00E8128F">
        <w:rPr>
          <w:sz w:val="36"/>
          <w:szCs w:val="36"/>
          <w:rtl/>
        </w:rPr>
        <w:t xml:space="preserve"> </w:t>
      </w:r>
      <w:r w:rsidR="00F16108" w:rsidRPr="00FD211F">
        <w:rPr>
          <w:sz w:val="36"/>
          <w:szCs w:val="36"/>
          <w:rtl/>
        </w:rPr>
        <w:t>والاصل</w:t>
      </w:r>
      <w:r w:rsidR="00E8128F">
        <w:rPr>
          <w:sz w:val="36"/>
          <w:szCs w:val="36"/>
          <w:rtl/>
        </w:rPr>
        <w:t xml:space="preserve"> </w:t>
      </w:r>
      <w:r w:rsidR="00F16108" w:rsidRPr="00FD211F">
        <w:rPr>
          <w:sz w:val="36"/>
          <w:szCs w:val="36"/>
          <w:rtl/>
        </w:rPr>
        <w:t>العملي</w:t>
      </w:r>
      <w:r w:rsidR="00E8128F">
        <w:rPr>
          <w:sz w:val="36"/>
          <w:szCs w:val="36"/>
          <w:rtl/>
        </w:rPr>
        <w:t xml:space="preserve"> </w:t>
      </w:r>
      <w:r w:rsidR="00F16108" w:rsidRPr="00FD211F">
        <w:rPr>
          <w:sz w:val="36"/>
          <w:szCs w:val="36"/>
          <w:rtl/>
        </w:rPr>
        <w:t>انما</w:t>
      </w:r>
      <w:r w:rsidR="00E8128F">
        <w:rPr>
          <w:sz w:val="36"/>
          <w:szCs w:val="36"/>
          <w:rtl/>
        </w:rPr>
        <w:t xml:space="preserve"> </w:t>
      </w:r>
      <w:r w:rsidR="00F16108" w:rsidRPr="00FD211F">
        <w:rPr>
          <w:sz w:val="36"/>
          <w:szCs w:val="36"/>
          <w:rtl/>
        </w:rPr>
        <w:t>يؤمن</w:t>
      </w:r>
      <w:r w:rsidR="00E8128F">
        <w:rPr>
          <w:sz w:val="36"/>
          <w:szCs w:val="36"/>
          <w:rtl/>
        </w:rPr>
        <w:t xml:space="preserve"> </w:t>
      </w:r>
      <w:r w:rsidR="00F16108" w:rsidRPr="00FD211F">
        <w:rPr>
          <w:sz w:val="36"/>
          <w:szCs w:val="36"/>
          <w:rtl/>
        </w:rPr>
        <w:t>عن</w:t>
      </w:r>
      <w:r w:rsidR="00E8128F">
        <w:rPr>
          <w:sz w:val="36"/>
          <w:szCs w:val="36"/>
          <w:rtl/>
        </w:rPr>
        <w:t xml:space="preserve"> </w:t>
      </w:r>
      <w:r w:rsidR="00F16108" w:rsidRPr="00FD211F">
        <w:rPr>
          <w:sz w:val="36"/>
          <w:szCs w:val="36"/>
          <w:rtl/>
        </w:rPr>
        <w:t>المخالف</w:t>
      </w:r>
      <w:r w:rsidR="00EC7EDF" w:rsidRPr="00FD211F">
        <w:rPr>
          <w:sz w:val="36"/>
          <w:szCs w:val="36"/>
          <w:rtl/>
        </w:rPr>
        <w:t>ة</w:t>
      </w:r>
      <w:r w:rsidR="00E8128F">
        <w:rPr>
          <w:sz w:val="36"/>
          <w:szCs w:val="36"/>
          <w:rtl/>
        </w:rPr>
        <w:t xml:space="preserve"> </w:t>
      </w:r>
      <w:r w:rsidR="00F16108" w:rsidRPr="00FD211F">
        <w:rPr>
          <w:sz w:val="36"/>
          <w:szCs w:val="36"/>
          <w:rtl/>
        </w:rPr>
        <w:t>الاحتمالي</w:t>
      </w:r>
      <w:r w:rsidR="00EC7EDF" w:rsidRPr="00FD211F">
        <w:rPr>
          <w:sz w:val="36"/>
          <w:szCs w:val="36"/>
          <w:rtl/>
        </w:rPr>
        <w:t>ة</w:t>
      </w:r>
      <w:r w:rsidR="00E8128F">
        <w:rPr>
          <w:sz w:val="36"/>
          <w:szCs w:val="36"/>
          <w:rtl/>
        </w:rPr>
        <w:t xml:space="preserve"> </w:t>
      </w:r>
      <w:r w:rsidR="00F16108" w:rsidRPr="00FD211F">
        <w:rPr>
          <w:sz w:val="36"/>
          <w:szCs w:val="36"/>
          <w:rtl/>
        </w:rPr>
        <w:t>لاالقطعي</w:t>
      </w:r>
      <w:r w:rsidR="00EC7EDF" w:rsidRPr="00FD211F">
        <w:rPr>
          <w:sz w:val="36"/>
          <w:szCs w:val="36"/>
          <w:rtl/>
        </w:rPr>
        <w:t>ة</w:t>
      </w:r>
      <w:r w:rsidR="00A61BAE" w:rsidRPr="00FD211F">
        <w:rPr>
          <w:sz w:val="36"/>
          <w:szCs w:val="36"/>
          <w:rtl/>
        </w:rPr>
        <w:t>.</w:t>
      </w:r>
    </w:p>
    <w:p w14:paraId="4A0489CB" w14:textId="77777777" w:rsidR="00FC0B2D" w:rsidRPr="00FD211F" w:rsidRDefault="00330E02" w:rsidP="009C58C8">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يورد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البيان</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انما</w:t>
      </w:r>
      <w:r w:rsidR="00E8128F">
        <w:rPr>
          <w:sz w:val="36"/>
          <w:szCs w:val="36"/>
          <w:rtl/>
        </w:rPr>
        <w:t xml:space="preserve"> </w:t>
      </w:r>
      <w:r w:rsidRPr="00FD211F">
        <w:rPr>
          <w:sz w:val="36"/>
          <w:szCs w:val="36"/>
          <w:rtl/>
        </w:rPr>
        <w:t>يتم</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مسلك</w:t>
      </w:r>
      <w:r w:rsidR="00E8128F">
        <w:rPr>
          <w:sz w:val="36"/>
          <w:szCs w:val="36"/>
          <w:rtl/>
        </w:rPr>
        <w:t xml:space="preserve"> </w:t>
      </w:r>
      <w:r w:rsidRPr="00FD211F">
        <w:rPr>
          <w:sz w:val="36"/>
          <w:szCs w:val="36"/>
          <w:rtl/>
        </w:rPr>
        <w:t>اقتضاء</w:t>
      </w:r>
      <w:r w:rsidR="00E8128F">
        <w:rPr>
          <w:sz w:val="36"/>
          <w:szCs w:val="36"/>
          <w:rtl/>
        </w:rPr>
        <w:t xml:space="preserve"> </w:t>
      </w:r>
      <w:r w:rsidR="00FC0B2D" w:rsidRPr="00FD211F">
        <w:rPr>
          <w:sz w:val="36"/>
          <w:szCs w:val="36"/>
          <w:rtl/>
        </w:rPr>
        <w:t>العلم</w:t>
      </w:r>
      <w:r w:rsidR="00E8128F">
        <w:rPr>
          <w:sz w:val="36"/>
          <w:szCs w:val="36"/>
          <w:rtl/>
        </w:rPr>
        <w:t xml:space="preserve"> </w:t>
      </w:r>
      <w:r w:rsidR="00FC0B2D" w:rsidRPr="00FD211F">
        <w:rPr>
          <w:sz w:val="36"/>
          <w:szCs w:val="36"/>
          <w:rtl/>
        </w:rPr>
        <w:t>الإجمالي</w:t>
      </w:r>
      <w:r w:rsidR="00E8128F">
        <w:rPr>
          <w:sz w:val="36"/>
          <w:szCs w:val="36"/>
          <w:rtl/>
        </w:rPr>
        <w:t xml:space="preserve"> </w:t>
      </w:r>
      <w:r w:rsidR="00FC0B2D" w:rsidRPr="00FD211F">
        <w:rPr>
          <w:sz w:val="36"/>
          <w:szCs w:val="36"/>
          <w:rtl/>
        </w:rPr>
        <w:t>لوجوب</w:t>
      </w:r>
      <w:r w:rsidR="00E8128F">
        <w:rPr>
          <w:sz w:val="36"/>
          <w:szCs w:val="36"/>
          <w:rtl/>
        </w:rPr>
        <w:t xml:space="preserve"> </w:t>
      </w:r>
      <w:r w:rsidR="00FC0B2D" w:rsidRPr="00FD211F">
        <w:rPr>
          <w:sz w:val="36"/>
          <w:szCs w:val="36"/>
          <w:rtl/>
        </w:rPr>
        <w:t>الموافق</w:t>
      </w:r>
      <w:r w:rsidR="00EC7EDF" w:rsidRPr="00FD211F">
        <w:rPr>
          <w:sz w:val="36"/>
          <w:szCs w:val="36"/>
          <w:rtl/>
        </w:rPr>
        <w:t>ة</w:t>
      </w:r>
      <w:r w:rsidR="00E8128F">
        <w:rPr>
          <w:sz w:val="36"/>
          <w:szCs w:val="36"/>
          <w:rtl/>
        </w:rPr>
        <w:t xml:space="preserve"> </w:t>
      </w:r>
      <w:r w:rsidR="00FC0B2D" w:rsidRPr="00FD211F">
        <w:rPr>
          <w:sz w:val="36"/>
          <w:szCs w:val="36"/>
          <w:rtl/>
        </w:rPr>
        <w:t>القطعي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واما</w:t>
      </w:r>
      <w:r w:rsidR="00E8128F">
        <w:rPr>
          <w:sz w:val="36"/>
          <w:szCs w:val="36"/>
          <w:rtl/>
        </w:rPr>
        <w:t xml:space="preserve"> </w:t>
      </w:r>
      <w:r w:rsidR="00F16108" w:rsidRPr="00FD211F">
        <w:rPr>
          <w:sz w:val="36"/>
          <w:szCs w:val="36"/>
          <w:rtl/>
        </w:rPr>
        <w:t>على</w:t>
      </w:r>
      <w:r w:rsidR="00E8128F">
        <w:rPr>
          <w:sz w:val="36"/>
          <w:szCs w:val="36"/>
          <w:rtl/>
        </w:rPr>
        <w:t xml:space="preserve"> </w:t>
      </w:r>
      <w:r w:rsidR="00F16108" w:rsidRPr="00FD211F">
        <w:rPr>
          <w:sz w:val="36"/>
          <w:szCs w:val="36"/>
          <w:rtl/>
        </w:rPr>
        <w:t>مسلك</w:t>
      </w:r>
      <w:r w:rsidR="00E8128F">
        <w:rPr>
          <w:sz w:val="36"/>
          <w:szCs w:val="36"/>
          <w:rtl/>
        </w:rPr>
        <w:t xml:space="preserve"> </w:t>
      </w:r>
      <w:r w:rsidR="00F16108" w:rsidRPr="00FD211F">
        <w:rPr>
          <w:sz w:val="36"/>
          <w:szCs w:val="36"/>
          <w:rtl/>
        </w:rPr>
        <w:t>العلي</w:t>
      </w:r>
      <w:r w:rsidR="00EC7EDF" w:rsidRPr="00FD211F">
        <w:rPr>
          <w:sz w:val="36"/>
          <w:szCs w:val="36"/>
          <w:rtl/>
        </w:rPr>
        <w:t>ة</w:t>
      </w:r>
      <w:r w:rsidR="00E8128F">
        <w:rPr>
          <w:sz w:val="36"/>
          <w:szCs w:val="36"/>
          <w:rtl/>
        </w:rPr>
        <w:t xml:space="preserve"> </w:t>
      </w:r>
      <w:r w:rsidR="00F16108" w:rsidRPr="00FD211F">
        <w:rPr>
          <w:sz w:val="36"/>
          <w:szCs w:val="36"/>
          <w:rtl/>
        </w:rPr>
        <w:t>–</w:t>
      </w:r>
      <w:r w:rsidR="00E8128F">
        <w:rPr>
          <w:sz w:val="36"/>
          <w:szCs w:val="36"/>
          <w:rtl/>
        </w:rPr>
        <w:t xml:space="preserve"> </w:t>
      </w:r>
      <w:r w:rsidR="00F16108" w:rsidRPr="00FD211F">
        <w:rPr>
          <w:sz w:val="36"/>
          <w:szCs w:val="36"/>
          <w:rtl/>
        </w:rPr>
        <w:t>القائل</w:t>
      </w:r>
      <w:r w:rsidR="00E8128F">
        <w:rPr>
          <w:sz w:val="36"/>
          <w:szCs w:val="36"/>
          <w:rtl/>
        </w:rPr>
        <w:t xml:space="preserve"> </w:t>
      </w:r>
      <w:r w:rsidR="00F16108" w:rsidRPr="00FD211F">
        <w:rPr>
          <w:sz w:val="36"/>
          <w:szCs w:val="36"/>
          <w:rtl/>
        </w:rPr>
        <w:t>باستحال</w:t>
      </w:r>
      <w:r w:rsidR="00EC7EDF" w:rsidRPr="00FD211F">
        <w:rPr>
          <w:sz w:val="36"/>
          <w:szCs w:val="36"/>
          <w:rtl/>
        </w:rPr>
        <w:t>ة</w:t>
      </w:r>
      <w:r w:rsidR="00E8128F">
        <w:rPr>
          <w:sz w:val="36"/>
          <w:szCs w:val="36"/>
          <w:rtl/>
        </w:rPr>
        <w:t xml:space="preserve"> </w:t>
      </w:r>
      <w:r w:rsidR="00F16108" w:rsidRPr="00FD211F">
        <w:rPr>
          <w:sz w:val="36"/>
          <w:szCs w:val="36"/>
          <w:rtl/>
        </w:rPr>
        <w:t>ترخيص</w:t>
      </w:r>
      <w:r w:rsidR="00E8128F">
        <w:rPr>
          <w:sz w:val="36"/>
          <w:szCs w:val="36"/>
          <w:rtl/>
        </w:rPr>
        <w:t xml:space="preserve"> </w:t>
      </w:r>
      <w:r w:rsidR="00F16108" w:rsidRPr="00FD211F">
        <w:rPr>
          <w:sz w:val="36"/>
          <w:szCs w:val="36"/>
          <w:rtl/>
        </w:rPr>
        <w:t>الشارع</w:t>
      </w:r>
      <w:r w:rsidR="00E8128F">
        <w:rPr>
          <w:sz w:val="36"/>
          <w:szCs w:val="36"/>
          <w:rtl/>
        </w:rPr>
        <w:t xml:space="preserve"> </w:t>
      </w:r>
      <w:r w:rsidR="00F16108" w:rsidRPr="00FD211F">
        <w:rPr>
          <w:sz w:val="36"/>
          <w:szCs w:val="36"/>
          <w:rtl/>
        </w:rPr>
        <w:t>في</w:t>
      </w:r>
      <w:r w:rsidR="00E8128F">
        <w:rPr>
          <w:sz w:val="36"/>
          <w:szCs w:val="36"/>
          <w:rtl/>
        </w:rPr>
        <w:t xml:space="preserve"> </w:t>
      </w:r>
      <w:r w:rsidR="00F16108" w:rsidRPr="00FD211F">
        <w:rPr>
          <w:sz w:val="36"/>
          <w:szCs w:val="36"/>
          <w:rtl/>
        </w:rPr>
        <w:t>المخالف</w:t>
      </w:r>
      <w:r w:rsidR="00EC7EDF" w:rsidRPr="00FD211F">
        <w:rPr>
          <w:sz w:val="36"/>
          <w:szCs w:val="36"/>
          <w:rtl/>
        </w:rPr>
        <w:t>ة</w:t>
      </w:r>
      <w:r w:rsidR="00E8128F">
        <w:rPr>
          <w:sz w:val="36"/>
          <w:szCs w:val="36"/>
          <w:rtl/>
        </w:rPr>
        <w:t xml:space="preserve"> </w:t>
      </w:r>
      <w:r w:rsidR="00F16108" w:rsidRPr="00FD211F">
        <w:rPr>
          <w:sz w:val="36"/>
          <w:szCs w:val="36"/>
          <w:rtl/>
        </w:rPr>
        <w:t>الاحتمالي</w:t>
      </w:r>
      <w:r w:rsidR="00EC7EDF" w:rsidRPr="00FD211F">
        <w:rPr>
          <w:sz w:val="36"/>
          <w:szCs w:val="36"/>
          <w:rtl/>
        </w:rPr>
        <w:t>ة</w:t>
      </w:r>
      <w:r w:rsidR="00E8128F">
        <w:rPr>
          <w:sz w:val="36"/>
          <w:szCs w:val="36"/>
          <w:rtl/>
        </w:rPr>
        <w:t xml:space="preserve"> </w:t>
      </w:r>
      <w:r w:rsidR="00F16108" w:rsidRPr="00FD211F">
        <w:rPr>
          <w:sz w:val="36"/>
          <w:szCs w:val="36"/>
          <w:rtl/>
        </w:rPr>
        <w:t>للعلم</w:t>
      </w:r>
      <w:r w:rsidR="00E8128F">
        <w:rPr>
          <w:sz w:val="36"/>
          <w:szCs w:val="36"/>
          <w:rtl/>
        </w:rPr>
        <w:t xml:space="preserve"> </w:t>
      </w:r>
      <w:r w:rsidR="00F16108" w:rsidRPr="00FD211F">
        <w:rPr>
          <w:sz w:val="36"/>
          <w:szCs w:val="36"/>
          <w:rtl/>
        </w:rPr>
        <w:t>الإجمالي-</w:t>
      </w:r>
      <w:r w:rsidR="00E8128F">
        <w:rPr>
          <w:sz w:val="36"/>
          <w:szCs w:val="36"/>
          <w:rtl/>
        </w:rPr>
        <w:t xml:space="preserve"> </w:t>
      </w:r>
      <w:r w:rsidR="00F16108" w:rsidRPr="00FD211F">
        <w:rPr>
          <w:sz w:val="36"/>
          <w:szCs w:val="36"/>
          <w:rtl/>
        </w:rPr>
        <w:t>كما</w:t>
      </w:r>
      <w:r w:rsidR="00E8128F">
        <w:rPr>
          <w:sz w:val="36"/>
          <w:szCs w:val="36"/>
          <w:rtl/>
        </w:rPr>
        <w:t xml:space="preserve"> </w:t>
      </w:r>
      <w:r w:rsidR="00F16108" w:rsidRPr="00FD211F">
        <w:rPr>
          <w:sz w:val="36"/>
          <w:szCs w:val="36"/>
          <w:rtl/>
        </w:rPr>
        <w:t>هو</w:t>
      </w:r>
      <w:r w:rsidR="00E8128F">
        <w:rPr>
          <w:sz w:val="36"/>
          <w:szCs w:val="36"/>
          <w:rtl/>
        </w:rPr>
        <w:t xml:space="preserve"> </w:t>
      </w:r>
      <w:r w:rsidR="00F16108" w:rsidRPr="00FD211F">
        <w:rPr>
          <w:sz w:val="36"/>
          <w:szCs w:val="36"/>
          <w:rtl/>
        </w:rPr>
        <w:t>مختار</w:t>
      </w:r>
      <w:r w:rsidR="00E8128F">
        <w:rPr>
          <w:sz w:val="36"/>
          <w:szCs w:val="36"/>
          <w:rtl/>
        </w:rPr>
        <w:t xml:space="preserve"> </w:t>
      </w:r>
      <w:r w:rsidR="00F16108" w:rsidRPr="00FD211F">
        <w:rPr>
          <w:sz w:val="36"/>
          <w:szCs w:val="36"/>
          <w:rtl/>
        </w:rPr>
        <w:t>المحقق</w:t>
      </w:r>
      <w:r w:rsidR="00E8128F">
        <w:rPr>
          <w:sz w:val="36"/>
          <w:szCs w:val="36"/>
          <w:rtl/>
        </w:rPr>
        <w:t xml:space="preserve"> </w:t>
      </w:r>
      <w:r w:rsidR="00F16108" w:rsidRPr="00FD211F">
        <w:rPr>
          <w:sz w:val="36"/>
          <w:szCs w:val="36"/>
          <w:rtl/>
        </w:rPr>
        <w:t>العراقي</w:t>
      </w:r>
      <w:r w:rsidR="00E8128F">
        <w:rPr>
          <w:sz w:val="36"/>
          <w:szCs w:val="36"/>
          <w:rtl/>
        </w:rPr>
        <w:t xml:space="preserve"> </w:t>
      </w:r>
      <w:r w:rsidR="006F635C" w:rsidRPr="00FD211F">
        <w:rPr>
          <w:sz w:val="36"/>
          <w:szCs w:val="36"/>
          <w:rtl/>
        </w:rPr>
        <w:t>"</w:t>
      </w:r>
      <w:r w:rsidR="00F16108" w:rsidRPr="00FD211F">
        <w:rPr>
          <w:sz w:val="36"/>
          <w:szCs w:val="36"/>
          <w:rtl/>
        </w:rPr>
        <w:t>قده</w:t>
      </w:r>
      <w:r w:rsidR="006F635C" w:rsidRPr="00FD211F">
        <w:rPr>
          <w:sz w:val="36"/>
          <w:szCs w:val="36"/>
          <w:rtl/>
        </w:rPr>
        <w:t>"</w:t>
      </w:r>
      <w:r w:rsidR="00E8128F">
        <w:rPr>
          <w:sz w:val="36"/>
          <w:szCs w:val="36"/>
          <w:rtl/>
        </w:rPr>
        <w:t xml:space="preserve"> </w:t>
      </w:r>
      <w:r w:rsidR="00F16108" w:rsidRPr="00FD211F">
        <w:rPr>
          <w:sz w:val="36"/>
          <w:szCs w:val="36"/>
          <w:rtl/>
        </w:rPr>
        <w:t>فلايتم</w:t>
      </w:r>
      <w:r w:rsidR="00E8128F">
        <w:rPr>
          <w:sz w:val="36"/>
          <w:szCs w:val="36"/>
          <w:rtl/>
        </w:rPr>
        <w:t xml:space="preserve"> </w:t>
      </w:r>
      <w:r w:rsidR="00F16108" w:rsidRPr="00FD211F">
        <w:rPr>
          <w:sz w:val="36"/>
          <w:szCs w:val="36"/>
          <w:rtl/>
        </w:rPr>
        <w:t>هذا</w:t>
      </w:r>
      <w:r w:rsidR="00E8128F">
        <w:rPr>
          <w:sz w:val="36"/>
          <w:szCs w:val="36"/>
          <w:rtl/>
        </w:rPr>
        <w:t xml:space="preserve"> </w:t>
      </w:r>
      <w:r w:rsidR="00F16108" w:rsidRPr="00FD211F">
        <w:rPr>
          <w:sz w:val="36"/>
          <w:szCs w:val="36"/>
          <w:rtl/>
        </w:rPr>
        <w:t>البيان</w:t>
      </w:r>
      <w:r w:rsidR="00E8128F">
        <w:rPr>
          <w:sz w:val="36"/>
          <w:szCs w:val="36"/>
          <w:rtl/>
        </w:rPr>
        <w:t xml:space="preserve"> </w:t>
      </w:r>
      <w:r w:rsidR="00F36BE7" w:rsidRPr="00FD211F">
        <w:rPr>
          <w:sz w:val="36"/>
          <w:szCs w:val="36"/>
          <w:rtl/>
        </w:rPr>
        <w:t>لان</w:t>
      </w:r>
      <w:r w:rsidR="00E8128F">
        <w:rPr>
          <w:sz w:val="36"/>
          <w:szCs w:val="36"/>
          <w:rtl/>
        </w:rPr>
        <w:t xml:space="preserve"> </w:t>
      </w:r>
      <w:r w:rsidR="00F36BE7" w:rsidRPr="00FD211F">
        <w:rPr>
          <w:sz w:val="36"/>
          <w:szCs w:val="36"/>
          <w:rtl/>
        </w:rPr>
        <w:t>ما</w:t>
      </w:r>
      <w:r w:rsidR="00E8128F">
        <w:rPr>
          <w:sz w:val="36"/>
          <w:szCs w:val="36"/>
          <w:rtl/>
        </w:rPr>
        <w:t xml:space="preserve"> </w:t>
      </w:r>
      <w:r w:rsidR="00F36BE7" w:rsidRPr="00FD211F">
        <w:rPr>
          <w:sz w:val="36"/>
          <w:szCs w:val="36"/>
          <w:rtl/>
        </w:rPr>
        <w:t>دخل</w:t>
      </w:r>
      <w:r w:rsidR="00E8128F">
        <w:rPr>
          <w:sz w:val="36"/>
          <w:szCs w:val="36"/>
          <w:rtl/>
        </w:rPr>
        <w:t xml:space="preserve"> </w:t>
      </w:r>
      <w:r w:rsidR="00F36BE7" w:rsidRPr="00FD211F">
        <w:rPr>
          <w:sz w:val="36"/>
          <w:szCs w:val="36"/>
          <w:rtl/>
        </w:rPr>
        <w:t>في</w:t>
      </w:r>
      <w:r w:rsidR="00E8128F">
        <w:rPr>
          <w:sz w:val="36"/>
          <w:szCs w:val="36"/>
          <w:rtl/>
        </w:rPr>
        <w:t xml:space="preserve"> </w:t>
      </w:r>
      <w:r w:rsidR="00F36BE7" w:rsidRPr="00FD211F">
        <w:rPr>
          <w:sz w:val="36"/>
          <w:szCs w:val="36"/>
          <w:rtl/>
        </w:rPr>
        <w:t>عهد</w:t>
      </w:r>
      <w:r w:rsidR="00EC7EDF" w:rsidRPr="00FD211F">
        <w:rPr>
          <w:sz w:val="36"/>
          <w:szCs w:val="36"/>
          <w:rtl/>
        </w:rPr>
        <w:t>ة</w:t>
      </w:r>
      <w:r w:rsidR="00E8128F">
        <w:rPr>
          <w:sz w:val="36"/>
          <w:szCs w:val="36"/>
          <w:rtl/>
        </w:rPr>
        <w:t xml:space="preserve"> </w:t>
      </w:r>
      <w:r w:rsidR="00F36BE7" w:rsidRPr="00FD211F">
        <w:rPr>
          <w:sz w:val="36"/>
          <w:szCs w:val="36"/>
          <w:rtl/>
        </w:rPr>
        <w:t>المكلف</w:t>
      </w:r>
      <w:r w:rsidR="00E8128F">
        <w:rPr>
          <w:sz w:val="36"/>
          <w:szCs w:val="36"/>
          <w:rtl/>
        </w:rPr>
        <w:t xml:space="preserve"> </w:t>
      </w:r>
      <w:r w:rsidR="00F36BE7" w:rsidRPr="00FD211F">
        <w:rPr>
          <w:sz w:val="36"/>
          <w:szCs w:val="36"/>
          <w:rtl/>
        </w:rPr>
        <w:t>يكون</w:t>
      </w:r>
      <w:r w:rsidR="00E8128F">
        <w:rPr>
          <w:sz w:val="36"/>
          <w:szCs w:val="36"/>
          <w:rtl/>
        </w:rPr>
        <w:t xml:space="preserve"> </w:t>
      </w:r>
      <w:r w:rsidR="00F36BE7" w:rsidRPr="00FD211F">
        <w:rPr>
          <w:sz w:val="36"/>
          <w:szCs w:val="36"/>
          <w:rtl/>
        </w:rPr>
        <w:t>امره</w:t>
      </w:r>
      <w:r w:rsidR="00E8128F">
        <w:rPr>
          <w:sz w:val="36"/>
          <w:szCs w:val="36"/>
          <w:rtl/>
        </w:rPr>
        <w:t xml:space="preserve"> </w:t>
      </w:r>
      <w:r w:rsidR="00F36BE7" w:rsidRPr="00FD211F">
        <w:rPr>
          <w:sz w:val="36"/>
          <w:szCs w:val="36"/>
          <w:rtl/>
        </w:rPr>
        <w:t>دائرا</w:t>
      </w:r>
      <w:r w:rsidR="00E8128F">
        <w:rPr>
          <w:sz w:val="36"/>
          <w:szCs w:val="36"/>
          <w:rtl/>
        </w:rPr>
        <w:t xml:space="preserve"> </w:t>
      </w:r>
      <w:r w:rsidR="00F36BE7" w:rsidRPr="00FD211F">
        <w:rPr>
          <w:sz w:val="36"/>
          <w:szCs w:val="36"/>
          <w:rtl/>
        </w:rPr>
        <w:t>بين</w:t>
      </w:r>
      <w:r w:rsidR="00E8128F">
        <w:rPr>
          <w:sz w:val="36"/>
          <w:szCs w:val="36"/>
          <w:rtl/>
        </w:rPr>
        <w:t xml:space="preserve"> </w:t>
      </w:r>
      <w:r w:rsidR="00F36BE7" w:rsidRPr="00FD211F">
        <w:rPr>
          <w:sz w:val="36"/>
          <w:szCs w:val="36"/>
          <w:rtl/>
        </w:rPr>
        <w:t>مفهومين</w:t>
      </w:r>
      <w:r w:rsidR="00E8128F">
        <w:rPr>
          <w:sz w:val="36"/>
          <w:szCs w:val="36"/>
          <w:rtl/>
        </w:rPr>
        <w:t xml:space="preserve"> </w:t>
      </w:r>
      <w:r w:rsidR="00F36BE7" w:rsidRPr="00FD211F">
        <w:rPr>
          <w:sz w:val="36"/>
          <w:szCs w:val="36"/>
          <w:rtl/>
        </w:rPr>
        <w:t>متباينين</w:t>
      </w:r>
      <w:r w:rsidR="00603323" w:rsidRPr="00FD211F">
        <w:rPr>
          <w:sz w:val="36"/>
          <w:szCs w:val="36"/>
          <w:rtl/>
        </w:rPr>
        <w:t>،</w:t>
      </w:r>
      <w:r w:rsidR="00E8128F">
        <w:rPr>
          <w:sz w:val="36"/>
          <w:szCs w:val="36"/>
          <w:rtl/>
        </w:rPr>
        <w:t xml:space="preserve"> </w:t>
      </w:r>
      <w:r w:rsidR="00F36BE7" w:rsidRPr="00FD211F">
        <w:rPr>
          <w:sz w:val="36"/>
          <w:szCs w:val="36"/>
          <w:rtl/>
        </w:rPr>
        <w:t>فيكون</w:t>
      </w:r>
      <w:r w:rsidR="00E8128F">
        <w:rPr>
          <w:sz w:val="36"/>
          <w:szCs w:val="36"/>
          <w:rtl/>
        </w:rPr>
        <w:t xml:space="preserve"> </w:t>
      </w:r>
      <w:r w:rsidR="00F36BE7" w:rsidRPr="00FD211F">
        <w:rPr>
          <w:sz w:val="36"/>
          <w:szCs w:val="36"/>
          <w:rtl/>
        </w:rPr>
        <w:t>العلم</w:t>
      </w:r>
      <w:r w:rsidR="00E8128F">
        <w:rPr>
          <w:sz w:val="36"/>
          <w:szCs w:val="36"/>
          <w:rtl/>
        </w:rPr>
        <w:t xml:space="preserve"> </w:t>
      </w:r>
      <w:r w:rsidR="00F36BE7" w:rsidRPr="00FD211F">
        <w:rPr>
          <w:sz w:val="36"/>
          <w:szCs w:val="36"/>
          <w:rtl/>
        </w:rPr>
        <w:t>الإجمالي</w:t>
      </w:r>
      <w:r w:rsidR="00E8128F">
        <w:rPr>
          <w:sz w:val="36"/>
          <w:szCs w:val="36"/>
          <w:rtl/>
        </w:rPr>
        <w:t xml:space="preserve"> </w:t>
      </w:r>
      <w:r w:rsidR="00F36BE7" w:rsidRPr="00FD211F">
        <w:rPr>
          <w:sz w:val="36"/>
          <w:szCs w:val="36"/>
          <w:rtl/>
        </w:rPr>
        <w:t>منجزا</w:t>
      </w:r>
      <w:r w:rsidR="009C58C8" w:rsidRPr="00FD211F">
        <w:rPr>
          <w:rStyle w:val="a6"/>
          <w:sz w:val="36"/>
          <w:szCs w:val="36"/>
          <w:rtl/>
        </w:rPr>
        <w:t>(</w:t>
      </w:r>
      <w:r w:rsidR="009C58C8" w:rsidRPr="00FD211F">
        <w:rPr>
          <w:rStyle w:val="a6"/>
          <w:sz w:val="36"/>
          <w:szCs w:val="36"/>
          <w:rtl/>
        </w:rPr>
        <w:footnoteReference w:id="572"/>
      </w:r>
      <w:r w:rsidR="009C58C8" w:rsidRPr="00FD211F">
        <w:rPr>
          <w:rStyle w:val="a6"/>
          <w:sz w:val="36"/>
          <w:szCs w:val="36"/>
          <w:rtl/>
        </w:rPr>
        <w:t>)</w:t>
      </w:r>
      <w:r w:rsidR="00FC0B2D" w:rsidRPr="00FD211F">
        <w:rPr>
          <w:sz w:val="36"/>
          <w:szCs w:val="36"/>
          <w:rtl/>
        </w:rPr>
        <w:t>.</w:t>
      </w:r>
    </w:p>
    <w:p w14:paraId="2B271E98" w14:textId="77777777" w:rsidR="00330E02" w:rsidRPr="00FD211F" w:rsidRDefault="00330E02" w:rsidP="009C58C8">
      <w:pPr>
        <w:ind w:left="0" w:firstLine="227"/>
        <w:jc w:val="both"/>
        <w:rPr>
          <w:sz w:val="36"/>
          <w:szCs w:val="36"/>
          <w:rtl/>
        </w:rPr>
      </w:pPr>
      <w:r w:rsidRPr="00FD211F">
        <w:rPr>
          <w:sz w:val="36"/>
          <w:szCs w:val="36"/>
          <w:rtl/>
        </w:rPr>
        <w:t>ويلاحظ</w:t>
      </w:r>
      <w:r w:rsidR="00E8128F">
        <w:rPr>
          <w:sz w:val="36"/>
          <w:szCs w:val="36"/>
          <w:rtl/>
        </w:rPr>
        <w:t xml:space="preserve"> </w:t>
      </w:r>
      <w:r w:rsidRPr="00FD211F">
        <w:rPr>
          <w:sz w:val="36"/>
          <w:szCs w:val="36"/>
          <w:rtl/>
        </w:rPr>
        <w:t>عليه</w:t>
      </w:r>
      <w:r w:rsidR="00E8128F">
        <w:rPr>
          <w:sz w:val="36"/>
          <w:szCs w:val="36"/>
          <w:rtl/>
        </w:rPr>
        <w:t xml:space="preserve"> </w:t>
      </w:r>
      <w:r w:rsidR="00F36BE7" w:rsidRPr="00FD211F">
        <w:rPr>
          <w:sz w:val="36"/>
          <w:szCs w:val="36"/>
          <w:rtl/>
        </w:rPr>
        <w:t>ان</w:t>
      </w:r>
      <w:r w:rsidR="005563A2" w:rsidRPr="00FD211F">
        <w:rPr>
          <w:sz w:val="36"/>
          <w:szCs w:val="36"/>
          <w:rtl/>
        </w:rPr>
        <w:t>ه</w:t>
      </w:r>
      <w:r w:rsidR="00E8128F">
        <w:rPr>
          <w:sz w:val="36"/>
          <w:szCs w:val="36"/>
          <w:rtl/>
        </w:rPr>
        <w:t xml:space="preserve"> </w:t>
      </w:r>
      <w:r w:rsidR="005563A2" w:rsidRPr="00FD211F">
        <w:rPr>
          <w:sz w:val="36"/>
          <w:szCs w:val="36"/>
          <w:rtl/>
        </w:rPr>
        <w:t>يكفي</w:t>
      </w:r>
      <w:r w:rsidR="00E8128F">
        <w:rPr>
          <w:sz w:val="36"/>
          <w:szCs w:val="36"/>
          <w:rtl/>
        </w:rPr>
        <w:t xml:space="preserve"> </w:t>
      </w:r>
      <w:r w:rsidR="005563A2" w:rsidRPr="00FD211F">
        <w:rPr>
          <w:sz w:val="36"/>
          <w:szCs w:val="36"/>
          <w:rtl/>
        </w:rPr>
        <w:t>انحلال</w:t>
      </w:r>
      <w:r w:rsidR="00E8128F">
        <w:rPr>
          <w:sz w:val="36"/>
          <w:szCs w:val="36"/>
          <w:rtl/>
        </w:rPr>
        <w:t xml:space="preserve"> </w:t>
      </w:r>
      <w:r w:rsidR="005563A2" w:rsidRPr="00FD211F">
        <w:rPr>
          <w:sz w:val="36"/>
          <w:szCs w:val="36"/>
          <w:rtl/>
        </w:rPr>
        <w:t>العلم</w:t>
      </w:r>
      <w:r w:rsidR="00E8128F">
        <w:rPr>
          <w:sz w:val="36"/>
          <w:szCs w:val="36"/>
          <w:rtl/>
        </w:rPr>
        <w:t xml:space="preserve"> </w:t>
      </w:r>
      <w:r w:rsidR="00FC0B2D" w:rsidRPr="00FD211F">
        <w:rPr>
          <w:sz w:val="36"/>
          <w:szCs w:val="36"/>
          <w:rtl/>
        </w:rPr>
        <w:t>الإجمالي</w:t>
      </w:r>
      <w:r w:rsidR="00E8128F">
        <w:rPr>
          <w:sz w:val="36"/>
          <w:szCs w:val="36"/>
          <w:rtl/>
        </w:rPr>
        <w:t xml:space="preserve"> </w:t>
      </w:r>
      <w:r w:rsidR="005563A2" w:rsidRPr="00FD211F">
        <w:rPr>
          <w:sz w:val="36"/>
          <w:szCs w:val="36"/>
          <w:rtl/>
        </w:rPr>
        <w:t>بلحاظ</w:t>
      </w:r>
      <w:r w:rsidR="00E8128F">
        <w:rPr>
          <w:sz w:val="36"/>
          <w:szCs w:val="36"/>
          <w:rtl/>
        </w:rPr>
        <w:t xml:space="preserve"> </w:t>
      </w:r>
      <w:r w:rsidR="005563A2" w:rsidRPr="00FD211F">
        <w:rPr>
          <w:sz w:val="36"/>
          <w:szCs w:val="36"/>
          <w:rtl/>
        </w:rPr>
        <w:t>واقع</w:t>
      </w:r>
      <w:r w:rsidR="00E8128F">
        <w:rPr>
          <w:sz w:val="36"/>
          <w:szCs w:val="36"/>
          <w:rtl/>
        </w:rPr>
        <w:t xml:space="preserve"> </w:t>
      </w:r>
      <w:r w:rsidR="005563A2" w:rsidRPr="00FD211F">
        <w:rPr>
          <w:sz w:val="36"/>
          <w:szCs w:val="36"/>
          <w:rtl/>
        </w:rPr>
        <w:t>ما</w:t>
      </w:r>
      <w:r w:rsidR="00E8128F">
        <w:rPr>
          <w:sz w:val="36"/>
          <w:szCs w:val="36"/>
          <w:rtl/>
        </w:rPr>
        <w:t xml:space="preserve"> </w:t>
      </w:r>
      <w:r w:rsidR="005563A2" w:rsidRPr="00FD211F">
        <w:rPr>
          <w:sz w:val="36"/>
          <w:szCs w:val="36"/>
          <w:rtl/>
        </w:rPr>
        <w:t>يدخل</w:t>
      </w:r>
      <w:r w:rsidR="00E8128F">
        <w:rPr>
          <w:sz w:val="36"/>
          <w:szCs w:val="36"/>
          <w:rtl/>
        </w:rPr>
        <w:t xml:space="preserve"> </w:t>
      </w:r>
      <w:r w:rsidR="005563A2" w:rsidRPr="00FD211F">
        <w:rPr>
          <w:sz w:val="36"/>
          <w:szCs w:val="36"/>
          <w:rtl/>
        </w:rPr>
        <w:t>في</w:t>
      </w:r>
      <w:r w:rsidR="00E8128F">
        <w:rPr>
          <w:sz w:val="36"/>
          <w:szCs w:val="36"/>
          <w:rtl/>
        </w:rPr>
        <w:t xml:space="preserve"> </w:t>
      </w:r>
      <w:r w:rsidR="005563A2" w:rsidRPr="00FD211F">
        <w:rPr>
          <w:sz w:val="36"/>
          <w:szCs w:val="36"/>
          <w:rtl/>
        </w:rPr>
        <w:t>العهد</w:t>
      </w:r>
      <w:r w:rsidR="00EC7EDF" w:rsidRPr="00FD211F">
        <w:rPr>
          <w:sz w:val="36"/>
          <w:szCs w:val="36"/>
          <w:rtl/>
        </w:rPr>
        <w:t>ة</w:t>
      </w:r>
      <w:r w:rsidR="00E8128F">
        <w:rPr>
          <w:sz w:val="36"/>
          <w:szCs w:val="36"/>
          <w:rtl/>
        </w:rPr>
        <w:t xml:space="preserve"> </w:t>
      </w:r>
      <w:r w:rsidR="005563A2" w:rsidRPr="00FD211F">
        <w:rPr>
          <w:sz w:val="36"/>
          <w:szCs w:val="36"/>
          <w:rtl/>
        </w:rPr>
        <w:t>فيقال</w:t>
      </w:r>
      <w:r w:rsidR="00E8128F">
        <w:rPr>
          <w:sz w:val="36"/>
          <w:szCs w:val="36"/>
          <w:rtl/>
        </w:rPr>
        <w:t xml:space="preserve"> </w:t>
      </w:r>
      <w:r w:rsidR="005563A2" w:rsidRPr="00FD211F">
        <w:rPr>
          <w:sz w:val="36"/>
          <w:szCs w:val="36"/>
          <w:rtl/>
        </w:rPr>
        <w:t>ان</w:t>
      </w:r>
      <w:r w:rsidR="00E8128F">
        <w:rPr>
          <w:sz w:val="36"/>
          <w:szCs w:val="36"/>
          <w:rtl/>
        </w:rPr>
        <w:t xml:space="preserve"> </w:t>
      </w:r>
      <w:r w:rsidR="005563A2" w:rsidRPr="00FD211F">
        <w:rPr>
          <w:sz w:val="36"/>
          <w:szCs w:val="36"/>
          <w:rtl/>
        </w:rPr>
        <w:t>وجوب</w:t>
      </w:r>
      <w:r w:rsidR="00E8128F">
        <w:rPr>
          <w:sz w:val="36"/>
          <w:szCs w:val="36"/>
          <w:rtl/>
        </w:rPr>
        <w:t xml:space="preserve"> </w:t>
      </w:r>
      <w:r w:rsidR="005563A2" w:rsidRPr="00FD211F">
        <w:rPr>
          <w:sz w:val="36"/>
          <w:szCs w:val="36"/>
          <w:rtl/>
        </w:rPr>
        <w:t>واقع</w:t>
      </w:r>
      <w:r w:rsidR="00E8128F">
        <w:rPr>
          <w:sz w:val="36"/>
          <w:szCs w:val="36"/>
          <w:rtl/>
        </w:rPr>
        <w:t xml:space="preserve"> </w:t>
      </w:r>
      <w:r w:rsidR="005563A2" w:rsidRPr="00FD211F">
        <w:rPr>
          <w:sz w:val="36"/>
          <w:szCs w:val="36"/>
          <w:rtl/>
        </w:rPr>
        <w:t>الاكرام</w:t>
      </w:r>
      <w:r w:rsidR="00E8128F">
        <w:rPr>
          <w:sz w:val="36"/>
          <w:szCs w:val="36"/>
          <w:rtl/>
        </w:rPr>
        <w:t xml:space="preserve"> </w:t>
      </w:r>
      <w:r w:rsidR="005563A2" w:rsidRPr="00FD211F">
        <w:rPr>
          <w:sz w:val="36"/>
          <w:szCs w:val="36"/>
          <w:rtl/>
        </w:rPr>
        <w:t>معلوم</w:t>
      </w:r>
      <w:r w:rsidR="00E8128F">
        <w:rPr>
          <w:sz w:val="36"/>
          <w:szCs w:val="36"/>
          <w:rtl/>
        </w:rPr>
        <w:t xml:space="preserve"> </w:t>
      </w:r>
      <w:r w:rsidR="005563A2" w:rsidRPr="00FD211F">
        <w:rPr>
          <w:sz w:val="36"/>
          <w:szCs w:val="36"/>
          <w:rtl/>
        </w:rPr>
        <w:t>ويشك</w:t>
      </w:r>
      <w:r w:rsidR="00E8128F">
        <w:rPr>
          <w:sz w:val="36"/>
          <w:szCs w:val="36"/>
          <w:rtl/>
        </w:rPr>
        <w:t xml:space="preserve"> </w:t>
      </w:r>
      <w:r w:rsidR="005563A2" w:rsidRPr="00FD211F">
        <w:rPr>
          <w:sz w:val="36"/>
          <w:szCs w:val="36"/>
          <w:rtl/>
        </w:rPr>
        <w:t>في</w:t>
      </w:r>
      <w:r w:rsidR="00E8128F">
        <w:rPr>
          <w:sz w:val="36"/>
          <w:szCs w:val="36"/>
          <w:rtl/>
        </w:rPr>
        <w:t xml:space="preserve"> </w:t>
      </w:r>
      <w:r w:rsidR="005563A2" w:rsidRPr="00FD211F">
        <w:rPr>
          <w:sz w:val="36"/>
          <w:szCs w:val="36"/>
          <w:rtl/>
        </w:rPr>
        <w:t>كونه</w:t>
      </w:r>
      <w:r w:rsidR="00E8128F">
        <w:rPr>
          <w:sz w:val="36"/>
          <w:szCs w:val="36"/>
          <w:rtl/>
        </w:rPr>
        <w:t xml:space="preserve"> </w:t>
      </w:r>
      <w:r w:rsidR="005563A2" w:rsidRPr="00FD211F">
        <w:rPr>
          <w:sz w:val="36"/>
          <w:szCs w:val="36"/>
          <w:rtl/>
        </w:rPr>
        <w:t>مقيدا</w:t>
      </w:r>
      <w:r w:rsidR="00E8128F">
        <w:rPr>
          <w:sz w:val="36"/>
          <w:szCs w:val="36"/>
          <w:rtl/>
        </w:rPr>
        <w:t xml:space="preserve"> </w:t>
      </w:r>
      <w:r w:rsidR="005563A2" w:rsidRPr="00FD211F">
        <w:rPr>
          <w:sz w:val="36"/>
          <w:szCs w:val="36"/>
          <w:rtl/>
        </w:rPr>
        <w:t>بخصوص</w:t>
      </w:r>
      <w:r w:rsidR="00E8128F">
        <w:rPr>
          <w:sz w:val="36"/>
          <w:szCs w:val="36"/>
          <w:rtl/>
        </w:rPr>
        <w:t xml:space="preserve"> </w:t>
      </w:r>
      <w:r w:rsidR="005563A2" w:rsidRPr="00FD211F">
        <w:rPr>
          <w:sz w:val="36"/>
          <w:szCs w:val="36"/>
          <w:rtl/>
        </w:rPr>
        <w:t>الاطعام</w:t>
      </w:r>
      <w:r w:rsidR="00E8128F">
        <w:rPr>
          <w:sz w:val="36"/>
          <w:szCs w:val="36"/>
          <w:rtl/>
        </w:rPr>
        <w:t xml:space="preserve"> </w:t>
      </w:r>
      <w:r w:rsidR="005563A2" w:rsidRPr="00FD211F">
        <w:rPr>
          <w:sz w:val="36"/>
          <w:szCs w:val="36"/>
          <w:rtl/>
        </w:rPr>
        <w:t>ولايضرّ</w:t>
      </w:r>
      <w:r w:rsidR="00E8128F">
        <w:rPr>
          <w:sz w:val="36"/>
          <w:szCs w:val="36"/>
          <w:rtl/>
        </w:rPr>
        <w:t xml:space="preserve"> </w:t>
      </w:r>
      <w:r w:rsidR="005563A2" w:rsidRPr="00FD211F">
        <w:rPr>
          <w:sz w:val="36"/>
          <w:szCs w:val="36"/>
          <w:rtl/>
        </w:rPr>
        <w:t>عدم</w:t>
      </w:r>
      <w:r w:rsidR="00E8128F">
        <w:rPr>
          <w:sz w:val="36"/>
          <w:szCs w:val="36"/>
          <w:rtl/>
        </w:rPr>
        <w:t xml:space="preserve"> </w:t>
      </w:r>
      <w:r w:rsidR="005563A2" w:rsidRPr="00FD211F">
        <w:rPr>
          <w:sz w:val="36"/>
          <w:szCs w:val="36"/>
          <w:rtl/>
        </w:rPr>
        <w:t>انحلال</w:t>
      </w:r>
      <w:r w:rsidR="00E8128F">
        <w:rPr>
          <w:sz w:val="36"/>
          <w:szCs w:val="36"/>
          <w:rtl/>
        </w:rPr>
        <w:t xml:space="preserve"> </w:t>
      </w:r>
      <w:r w:rsidR="005563A2" w:rsidRPr="00FD211F">
        <w:rPr>
          <w:sz w:val="36"/>
          <w:szCs w:val="36"/>
          <w:rtl/>
        </w:rPr>
        <w:t>العلم</w:t>
      </w:r>
      <w:r w:rsidR="00E8128F">
        <w:rPr>
          <w:sz w:val="36"/>
          <w:szCs w:val="36"/>
          <w:rtl/>
        </w:rPr>
        <w:t xml:space="preserve"> </w:t>
      </w:r>
      <w:r w:rsidR="005563A2" w:rsidRPr="00FD211F">
        <w:rPr>
          <w:sz w:val="36"/>
          <w:szCs w:val="36"/>
          <w:rtl/>
        </w:rPr>
        <w:t>الإجمالي</w:t>
      </w:r>
      <w:r w:rsidR="00E8128F">
        <w:rPr>
          <w:sz w:val="36"/>
          <w:szCs w:val="36"/>
          <w:rtl/>
        </w:rPr>
        <w:t xml:space="preserve"> </w:t>
      </w:r>
      <w:r w:rsidR="005563A2" w:rsidRPr="00FD211F">
        <w:rPr>
          <w:sz w:val="36"/>
          <w:szCs w:val="36"/>
          <w:rtl/>
        </w:rPr>
        <w:t>بلحاظ</w:t>
      </w:r>
      <w:r w:rsidR="00E8128F">
        <w:rPr>
          <w:sz w:val="36"/>
          <w:szCs w:val="36"/>
          <w:rtl/>
        </w:rPr>
        <w:t xml:space="preserve"> </w:t>
      </w:r>
      <w:r w:rsidR="00FC0B2D" w:rsidRPr="00FD211F">
        <w:rPr>
          <w:sz w:val="36"/>
          <w:szCs w:val="36"/>
          <w:rtl/>
        </w:rPr>
        <w:t>العنوان</w:t>
      </w:r>
      <w:r w:rsidR="00E8128F">
        <w:rPr>
          <w:sz w:val="36"/>
          <w:szCs w:val="36"/>
          <w:rtl/>
        </w:rPr>
        <w:t xml:space="preserve"> </w:t>
      </w:r>
      <w:r w:rsidR="005563A2" w:rsidRPr="00FD211F">
        <w:rPr>
          <w:sz w:val="36"/>
          <w:szCs w:val="36"/>
          <w:rtl/>
        </w:rPr>
        <w:t>الذي</w:t>
      </w:r>
      <w:r w:rsidR="00E8128F">
        <w:rPr>
          <w:sz w:val="36"/>
          <w:szCs w:val="36"/>
          <w:rtl/>
        </w:rPr>
        <w:t xml:space="preserve"> </w:t>
      </w:r>
      <w:r w:rsidR="005563A2" w:rsidRPr="00FD211F">
        <w:rPr>
          <w:sz w:val="36"/>
          <w:szCs w:val="36"/>
          <w:rtl/>
        </w:rPr>
        <w:t>يدخل</w:t>
      </w:r>
      <w:r w:rsidR="00E8128F">
        <w:rPr>
          <w:sz w:val="36"/>
          <w:szCs w:val="36"/>
          <w:rtl/>
        </w:rPr>
        <w:t xml:space="preserve"> </w:t>
      </w:r>
      <w:r w:rsidR="005563A2" w:rsidRPr="00FD211F">
        <w:rPr>
          <w:sz w:val="36"/>
          <w:szCs w:val="36"/>
          <w:rtl/>
        </w:rPr>
        <w:t>في</w:t>
      </w:r>
      <w:r w:rsidR="00E8128F">
        <w:rPr>
          <w:sz w:val="36"/>
          <w:szCs w:val="36"/>
          <w:rtl/>
        </w:rPr>
        <w:t xml:space="preserve"> </w:t>
      </w:r>
      <w:r w:rsidR="005563A2" w:rsidRPr="00FD211F">
        <w:rPr>
          <w:sz w:val="36"/>
          <w:szCs w:val="36"/>
          <w:rtl/>
        </w:rPr>
        <w:t>العهد</w:t>
      </w:r>
      <w:r w:rsidR="00EC7EDF" w:rsidRPr="00FD211F">
        <w:rPr>
          <w:sz w:val="36"/>
          <w:szCs w:val="36"/>
          <w:rtl/>
        </w:rPr>
        <w:t>ة</w:t>
      </w:r>
      <w:r w:rsidR="00603323" w:rsidRPr="00FD211F">
        <w:rPr>
          <w:sz w:val="36"/>
          <w:szCs w:val="36"/>
          <w:rtl/>
        </w:rPr>
        <w:t>،</w:t>
      </w:r>
      <w:r w:rsidR="00E8128F">
        <w:rPr>
          <w:sz w:val="36"/>
          <w:szCs w:val="36"/>
          <w:rtl/>
        </w:rPr>
        <w:t xml:space="preserve"> </w:t>
      </w:r>
      <w:r w:rsidR="005563A2" w:rsidRPr="00FD211F">
        <w:rPr>
          <w:sz w:val="36"/>
          <w:szCs w:val="36"/>
          <w:rtl/>
        </w:rPr>
        <w:t>فلايبعد</w:t>
      </w:r>
      <w:r w:rsidR="00E8128F">
        <w:rPr>
          <w:sz w:val="36"/>
          <w:szCs w:val="36"/>
          <w:rtl/>
        </w:rPr>
        <w:t xml:space="preserve"> </w:t>
      </w:r>
      <w:r w:rsidR="005563A2" w:rsidRPr="00FD211F">
        <w:rPr>
          <w:sz w:val="36"/>
          <w:szCs w:val="36"/>
          <w:rtl/>
        </w:rPr>
        <w:t>انحلال</w:t>
      </w:r>
      <w:r w:rsidR="00E8128F">
        <w:rPr>
          <w:sz w:val="36"/>
          <w:szCs w:val="36"/>
          <w:rtl/>
        </w:rPr>
        <w:t xml:space="preserve"> </w:t>
      </w:r>
      <w:r w:rsidR="005563A2" w:rsidRPr="00FD211F">
        <w:rPr>
          <w:sz w:val="36"/>
          <w:szCs w:val="36"/>
          <w:rtl/>
        </w:rPr>
        <w:t>العلم</w:t>
      </w:r>
      <w:r w:rsidR="00E8128F">
        <w:rPr>
          <w:sz w:val="36"/>
          <w:szCs w:val="36"/>
          <w:rtl/>
        </w:rPr>
        <w:t xml:space="preserve"> </w:t>
      </w:r>
      <w:r w:rsidR="005563A2" w:rsidRPr="00FD211F">
        <w:rPr>
          <w:sz w:val="36"/>
          <w:szCs w:val="36"/>
          <w:rtl/>
        </w:rPr>
        <w:t>الإجمالي</w:t>
      </w:r>
      <w:r w:rsidR="00E8128F">
        <w:rPr>
          <w:sz w:val="36"/>
          <w:szCs w:val="36"/>
          <w:rtl/>
        </w:rPr>
        <w:t xml:space="preserve"> </w:t>
      </w:r>
      <w:r w:rsidR="005563A2" w:rsidRPr="00FD211F">
        <w:rPr>
          <w:sz w:val="36"/>
          <w:szCs w:val="36"/>
          <w:rtl/>
        </w:rPr>
        <w:t>بلحاظ</w:t>
      </w:r>
      <w:r w:rsidR="00E8128F">
        <w:rPr>
          <w:sz w:val="36"/>
          <w:szCs w:val="36"/>
          <w:rtl/>
        </w:rPr>
        <w:t xml:space="preserve"> </w:t>
      </w:r>
      <w:r w:rsidR="005563A2" w:rsidRPr="00FD211F">
        <w:rPr>
          <w:sz w:val="36"/>
          <w:szCs w:val="36"/>
          <w:rtl/>
        </w:rPr>
        <w:t>ما</w:t>
      </w:r>
      <w:r w:rsidR="00E8128F">
        <w:rPr>
          <w:sz w:val="36"/>
          <w:szCs w:val="36"/>
          <w:rtl/>
        </w:rPr>
        <w:t xml:space="preserve"> </w:t>
      </w:r>
      <w:r w:rsidR="005563A2" w:rsidRPr="00FD211F">
        <w:rPr>
          <w:sz w:val="36"/>
          <w:szCs w:val="36"/>
          <w:rtl/>
        </w:rPr>
        <w:t>هو</w:t>
      </w:r>
      <w:r w:rsidR="00E8128F">
        <w:rPr>
          <w:sz w:val="36"/>
          <w:szCs w:val="36"/>
          <w:rtl/>
        </w:rPr>
        <w:t xml:space="preserve"> </w:t>
      </w:r>
      <w:r w:rsidR="005563A2" w:rsidRPr="00FD211F">
        <w:rPr>
          <w:sz w:val="36"/>
          <w:szCs w:val="36"/>
          <w:rtl/>
        </w:rPr>
        <w:t>موضوع</w:t>
      </w:r>
      <w:r w:rsidR="00E8128F">
        <w:rPr>
          <w:sz w:val="36"/>
          <w:szCs w:val="36"/>
          <w:rtl/>
        </w:rPr>
        <w:t xml:space="preserve"> </w:t>
      </w:r>
      <w:r w:rsidR="005563A2" w:rsidRPr="00FD211F">
        <w:rPr>
          <w:sz w:val="36"/>
          <w:szCs w:val="36"/>
          <w:rtl/>
        </w:rPr>
        <w:t>للتكليف</w:t>
      </w:r>
      <w:r w:rsidR="00E8128F">
        <w:rPr>
          <w:sz w:val="36"/>
          <w:szCs w:val="36"/>
          <w:rtl/>
        </w:rPr>
        <w:t xml:space="preserve"> </w:t>
      </w:r>
      <w:r w:rsidR="005563A2" w:rsidRPr="00FD211F">
        <w:rPr>
          <w:sz w:val="36"/>
          <w:szCs w:val="36"/>
          <w:rtl/>
        </w:rPr>
        <w:t>حتى</w:t>
      </w:r>
      <w:r w:rsidR="00E8128F">
        <w:rPr>
          <w:sz w:val="36"/>
          <w:szCs w:val="36"/>
          <w:rtl/>
        </w:rPr>
        <w:t xml:space="preserve"> </w:t>
      </w:r>
      <w:r w:rsidR="005563A2" w:rsidRPr="00FD211F">
        <w:rPr>
          <w:sz w:val="36"/>
          <w:szCs w:val="36"/>
          <w:rtl/>
        </w:rPr>
        <w:t>على</w:t>
      </w:r>
      <w:r w:rsidR="00E8128F">
        <w:rPr>
          <w:sz w:val="36"/>
          <w:szCs w:val="36"/>
          <w:rtl/>
        </w:rPr>
        <w:t xml:space="preserve"> </w:t>
      </w:r>
      <w:r w:rsidR="005563A2" w:rsidRPr="00FD211F">
        <w:rPr>
          <w:sz w:val="36"/>
          <w:szCs w:val="36"/>
          <w:rtl/>
        </w:rPr>
        <w:t>مسلك</w:t>
      </w:r>
      <w:r w:rsidR="00E8128F">
        <w:rPr>
          <w:sz w:val="36"/>
          <w:szCs w:val="36"/>
          <w:rtl/>
        </w:rPr>
        <w:t xml:space="preserve"> </w:t>
      </w:r>
      <w:r w:rsidR="005563A2" w:rsidRPr="00FD211F">
        <w:rPr>
          <w:sz w:val="36"/>
          <w:szCs w:val="36"/>
          <w:rtl/>
        </w:rPr>
        <w:t>العلي</w:t>
      </w:r>
      <w:r w:rsidR="00EC7EDF" w:rsidRPr="00FD211F">
        <w:rPr>
          <w:sz w:val="36"/>
          <w:szCs w:val="36"/>
          <w:rtl/>
        </w:rPr>
        <w:t>ة</w:t>
      </w:r>
      <w:r w:rsidR="00E8128F">
        <w:rPr>
          <w:sz w:val="36"/>
          <w:szCs w:val="36"/>
          <w:rtl/>
        </w:rPr>
        <w:t xml:space="preserve"> </w:t>
      </w:r>
      <w:r w:rsidR="005563A2" w:rsidRPr="00FD211F">
        <w:rPr>
          <w:sz w:val="36"/>
          <w:szCs w:val="36"/>
          <w:rtl/>
        </w:rPr>
        <w:t>لقيام</w:t>
      </w:r>
      <w:r w:rsidR="00E8128F">
        <w:rPr>
          <w:sz w:val="36"/>
          <w:szCs w:val="36"/>
          <w:rtl/>
        </w:rPr>
        <w:t xml:space="preserve"> </w:t>
      </w:r>
      <w:r w:rsidR="005563A2" w:rsidRPr="00FD211F">
        <w:rPr>
          <w:sz w:val="36"/>
          <w:szCs w:val="36"/>
          <w:rtl/>
        </w:rPr>
        <w:t>المنجز</w:t>
      </w:r>
      <w:r w:rsidR="00E8128F">
        <w:rPr>
          <w:sz w:val="36"/>
          <w:szCs w:val="36"/>
          <w:rtl/>
        </w:rPr>
        <w:t xml:space="preserve"> </w:t>
      </w:r>
      <w:r w:rsidR="005563A2" w:rsidRPr="00FD211F">
        <w:rPr>
          <w:sz w:val="36"/>
          <w:szCs w:val="36"/>
          <w:rtl/>
        </w:rPr>
        <w:t>التفصيلي</w:t>
      </w:r>
      <w:r w:rsidR="00E8128F">
        <w:rPr>
          <w:sz w:val="36"/>
          <w:szCs w:val="36"/>
          <w:rtl/>
        </w:rPr>
        <w:t xml:space="preserve"> </w:t>
      </w:r>
      <w:r w:rsidR="005563A2" w:rsidRPr="00FD211F">
        <w:rPr>
          <w:sz w:val="36"/>
          <w:szCs w:val="36"/>
          <w:rtl/>
        </w:rPr>
        <w:t>على</w:t>
      </w:r>
      <w:r w:rsidR="00E8128F">
        <w:rPr>
          <w:sz w:val="36"/>
          <w:szCs w:val="36"/>
          <w:rtl/>
        </w:rPr>
        <w:t xml:space="preserve"> </w:t>
      </w:r>
      <w:r w:rsidR="005563A2" w:rsidRPr="00FD211F">
        <w:rPr>
          <w:sz w:val="36"/>
          <w:szCs w:val="36"/>
          <w:rtl/>
        </w:rPr>
        <w:t>لزوم</w:t>
      </w:r>
      <w:r w:rsidR="00E8128F">
        <w:rPr>
          <w:sz w:val="36"/>
          <w:szCs w:val="36"/>
          <w:rtl/>
        </w:rPr>
        <w:t xml:space="preserve"> </w:t>
      </w:r>
      <w:r w:rsidR="005563A2" w:rsidRPr="00FD211F">
        <w:rPr>
          <w:sz w:val="36"/>
          <w:szCs w:val="36"/>
          <w:rtl/>
        </w:rPr>
        <w:t>الإتيان</w:t>
      </w:r>
      <w:r w:rsidR="00E8128F">
        <w:rPr>
          <w:sz w:val="36"/>
          <w:szCs w:val="36"/>
          <w:rtl/>
        </w:rPr>
        <w:t xml:space="preserve"> </w:t>
      </w:r>
      <w:r w:rsidR="005563A2" w:rsidRPr="00FD211F">
        <w:rPr>
          <w:sz w:val="36"/>
          <w:szCs w:val="36"/>
          <w:rtl/>
        </w:rPr>
        <w:t>بواقع</w:t>
      </w:r>
      <w:r w:rsidR="00E8128F">
        <w:rPr>
          <w:sz w:val="36"/>
          <w:szCs w:val="36"/>
          <w:rtl/>
        </w:rPr>
        <w:t xml:space="preserve"> </w:t>
      </w:r>
      <w:r w:rsidR="005563A2" w:rsidRPr="00FD211F">
        <w:rPr>
          <w:sz w:val="36"/>
          <w:szCs w:val="36"/>
          <w:rtl/>
        </w:rPr>
        <w:t>الاكرام</w:t>
      </w:r>
      <w:r w:rsidR="00603323" w:rsidRPr="00FD211F">
        <w:rPr>
          <w:sz w:val="36"/>
          <w:szCs w:val="36"/>
          <w:rtl/>
        </w:rPr>
        <w:t>،</w:t>
      </w:r>
      <w:r w:rsidR="00E8128F">
        <w:rPr>
          <w:sz w:val="36"/>
          <w:szCs w:val="36"/>
          <w:rtl/>
        </w:rPr>
        <w:t xml:space="preserve"> </w:t>
      </w:r>
      <w:r w:rsidR="00FC0B2D" w:rsidRPr="00FD211F">
        <w:rPr>
          <w:sz w:val="36"/>
          <w:szCs w:val="36"/>
          <w:rtl/>
        </w:rPr>
        <w:t>والعلم</w:t>
      </w:r>
      <w:r w:rsidR="00E8128F">
        <w:rPr>
          <w:sz w:val="36"/>
          <w:szCs w:val="36"/>
          <w:rtl/>
        </w:rPr>
        <w:t xml:space="preserve"> </w:t>
      </w:r>
      <w:r w:rsidR="00FC0B2D" w:rsidRPr="00FD211F">
        <w:rPr>
          <w:sz w:val="36"/>
          <w:szCs w:val="36"/>
          <w:rtl/>
        </w:rPr>
        <w:t>الإجمالي</w:t>
      </w:r>
      <w:r w:rsidR="00E8128F">
        <w:rPr>
          <w:sz w:val="36"/>
          <w:szCs w:val="36"/>
          <w:rtl/>
        </w:rPr>
        <w:t xml:space="preserve"> </w:t>
      </w:r>
      <w:r w:rsidR="00FC0B2D" w:rsidRPr="00FD211F">
        <w:rPr>
          <w:sz w:val="36"/>
          <w:szCs w:val="36"/>
          <w:rtl/>
        </w:rPr>
        <w:t>حتى</w:t>
      </w:r>
      <w:r w:rsidR="00E8128F">
        <w:rPr>
          <w:sz w:val="36"/>
          <w:szCs w:val="36"/>
          <w:rtl/>
        </w:rPr>
        <w:t xml:space="preserve"> </w:t>
      </w:r>
      <w:r w:rsidR="00FC0B2D" w:rsidRPr="00FD211F">
        <w:rPr>
          <w:sz w:val="36"/>
          <w:szCs w:val="36"/>
          <w:rtl/>
        </w:rPr>
        <w:t>على</w:t>
      </w:r>
      <w:r w:rsidR="00E8128F">
        <w:rPr>
          <w:sz w:val="36"/>
          <w:szCs w:val="36"/>
          <w:rtl/>
        </w:rPr>
        <w:t xml:space="preserve"> </w:t>
      </w:r>
      <w:r w:rsidR="00FC0B2D" w:rsidRPr="00FD211F">
        <w:rPr>
          <w:sz w:val="36"/>
          <w:szCs w:val="36"/>
          <w:rtl/>
        </w:rPr>
        <w:t>مسلك</w:t>
      </w:r>
      <w:r w:rsidR="00E8128F">
        <w:rPr>
          <w:sz w:val="36"/>
          <w:szCs w:val="36"/>
          <w:rtl/>
        </w:rPr>
        <w:t xml:space="preserve"> </w:t>
      </w:r>
      <w:r w:rsidR="00FC0B2D" w:rsidRPr="00FD211F">
        <w:rPr>
          <w:sz w:val="36"/>
          <w:szCs w:val="36"/>
          <w:rtl/>
        </w:rPr>
        <w:t>العلي</w:t>
      </w:r>
      <w:r w:rsidR="00EC7EDF" w:rsidRPr="00FD211F">
        <w:rPr>
          <w:sz w:val="36"/>
          <w:szCs w:val="36"/>
          <w:rtl/>
        </w:rPr>
        <w:t>ة</w:t>
      </w:r>
      <w:r w:rsidR="00E8128F">
        <w:rPr>
          <w:sz w:val="36"/>
          <w:szCs w:val="36"/>
          <w:rtl/>
        </w:rPr>
        <w:t xml:space="preserve"> </w:t>
      </w:r>
      <w:r w:rsidR="00FC0B2D" w:rsidRPr="00FD211F">
        <w:rPr>
          <w:sz w:val="36"/>
          <w:szCs w:val="36"/>
          <w:rtl/>
        </w:rPr>
        <w:t>لايكون</w:t>
      </w:r>
      <w:r w:rsidR="00E8128F">
        <w:rPr>
          <w:sz w:val="36"/>
          <w:szCs w:val="36"/>
          <w:rtl/>
        </w:rPr>
        <w:t xml:space="preserve"> </w:t>
      </w:r>
      <w:r w:rsidR="005563A2" w:rsidRPr="00FD211F">
        <w:rPr>
          <w:sz w:val="36"/>
          <w:szCs w:val="36"/>
          <w:rtl/>
        </w:rPr>
        <w:t>منجزا</w:t>
      </w:r>
      <w:r w:rsidR="00E8128F">
        <w:rPr>
          <w:sz w:val="36"/>
          <w:szCs w:val="36"/>
          <w:rtl/>
        </w:rPr>
        <w:t xml:space="preserve"> </w:t>
      </w:r>
      <w:r w:rsidR="005563A2" w:rsidRPr="00FD211F">
        <w:rPr>
          <w:sz w:val="36"/>
          <w:szCs w:val="36"/>
          <w:rtl/>
        </w:rPr>
        <w:t>بعد</w:t>
      </w:r>
      <w:r w:rsidR="00E8128F">
        <w:rPr>
          <w:sz w:val="36"/>
          <w:szCs w:val="36"/>
          <w:rtl/>
        </w:rPr>
        <w:t xml:space="preserve"> </w:t>
      </w:r>
      <w:r w:rsidR="005563A2" w:rsidRPr="00FD211F">
        <w:rPr>
          <w:sz w:val="36"/>
          <w:szCs w:val="36"/>
          <w:rtl/>
        </w:rPr>
        <w:t>قيام</w:t>
      </w:r>
      <w:r w:rsidR="00E8128F">
        <w:rPr>
          <w:sz w:val="36"/>
          <w:szCs w:val="36"/>
          <w:rtl/>
        </w:rPr>
        <w:t xml:space="preserve"> </w:t>
      </w:r>
      <w:r w:rsidR="005563A2" w:rsidRPr="00FD211F">
        <w:rPr>
          <w:sz w:val="36"/>
          <w:szCs w:val="36"/>
          <w:rtl/>
        </w:rPr>
        <w:t>منجز</w:t>
      </w:r>
      <w:r w:rsidR="00E8128F">
        <w:rPr>
          <w:sz w:val="36"/>
          <w:szCs w:val="36"/>
          <w:rtl/>
        </w:rPr>
        <w:t xml:space="preserve"> </w:t>
      </w:r>
      <w:r w:rsidR="005563A2" w:rsidRPr="00FD211F">
        <w:rPr>
          <w:sz w:val="36"/>
          <w:szCs w:val="36"/>
          <w:rtl/>
        </w:rPr>
        <w:t>تفصيلي</w:t>
      </w:r>
      <w:r w:rsidR="00E8128F">
        <w:rPr>
          <w:sz w:val="36"/>
          <w:szCs w:val="36"/>
          <w:rtl/>
        </w:rPr>
        <w:t xml:space="preserve"> </w:t>
      </w:r>
      <w:r w:rsidR="005563A2" w:rsidRPr="00FD211F">
        <w:rPr>
          <w:sz w:val="36"/>
          <w:szCs w:val="36"/>
          <w:rtl/>
        </w:rPr>
        <w:t>على</w:t>
      </w:r>
      <w:r w:rsidR="00E8128F">
        <w:rPr>
          <w:sz w:val="36"/>
          <w:szCs w:val="36"/>
          <w:rtl/>
        </w:rPr>
        <w:t xml:space="preserve"> </w:t>
      </w:r>
      <w:r w:rsidR="005563A2" w:rsidRPr="00FD211F">
        <w:rPr>
          <w:sz w:val="36"/>
          <w:szCs w:val="36"/>
          <w:rtl/>
        </w:rPr>
        <w:t>احد</w:t>
      </w:r>
      <w:r w:rsidR="00E8128F">
        <w:rPr>
          <w:sz w:val="36"/>
          <w:szCs w:val="36"/>
          <w:rtl/>
        </w:rPr>
        <w:t xml:space="preserve"> </w:t>
      </w:r>
      <w:r w:rsidR="005563A2" w:rsidRPr="00FD211F">
        <w:rPr>
          <w:sz w:val="36"/>
          <w:szCs w:val="36"/>
          <w:rtl/>
        </w:rPr>
        <w:t>الطرفين</w:t>
      </w:r>
      <w:r w:rsidR="00603323" w:rsidRPr="00FD211F">
        <w:rPr>
          <w:sz w:val="36"/>
          <w:szCs w:val="36"/>
          <w:rtl/>
        </w:rPr>
        <w:t>،</w:t>
      </w:r>
      <w:r w:rsidR="00E8128F">
        <w:rPr>
          <w:sz w:val="36"/>
          <w:szCs w:val="36"/>
          <w:rtl/>
        </w:rPr>
        <w:t xml:space="preserve"> </w:t>
      </w:r>
      <w:r w:rsidR="00FC0B2D" w:rsidRPr="00FD211F">
        <w:rPr>
          <w:sz w:val="36"/>
          <w:szCs w:val="36"/>
          <w:rtl/>
        </w:rPr>
        <w:t>لان</w:t>
      </w:r>
      <w:r w:rsidR="00E8128F">
        <w:rPr>
          <w:sz w:val="36"/>
          <w:szCs w:val="36"/>
          <w:rtl/>
        </w:rPr>
        <w:t xml:space="preserve"> </w:t>
      </w:r>
      <w:r w:rsidR="00FC0B2D" w:rsidRPr="00FD211F">
        <w:rPr>
          <w:sz w:val="36"/>
          <w:szCs w:val="36"/>
          <w:rtl/>
        </w:rPr>
        <w:t>اصحاب</w:t>
      </w:r>
      <w:r w:rsidR="00E8128F">
        <w:rPr>
          <w:sz w:val="36"/>
          <w:szCs w:val="36"/>
          <w:rtl/>
        </w:rPr>
        <w:t xml:space="preserve"> </w:t>
      </w:r>
      <w:r w:rsidR="00FC0B2D" w:rsidRPr="00FD211F">
        <w:rPr>
          <w:sz w:val="36"/>
          <w:szCs w:val="36"/>
          <w:rtl/>
        </w:rPr>
        <w:t>مسلك</w:t>
      </w:r>
      <w:r w:rsidR="00E8128F">
        <w:rPr>
          <w:sz w:val="36"/>
          <w:szCs w:val="36"/>
          <w:rtl/>
        </w:rPr>
        <w:t xml:space="preserve"> </w:t>
      </w:r>
      <w:r w:rsidR="00FC0B2D" w:rsidRPr="00FD211F">
        <w:rPr>
          <w:sz w:val="36"/>
          <w:szCs w:val="36"/>
          <w:rtl/>
        </w:rPr>
        <w:t>العلي</w:t>
      </w:r>
      <w:r w:rsidR="00EC7EDF" w:rsidRPr="00FD211F">
        <w:rPr>
          <w:sz w:val="36"/>
          <w:szCs w:val="36"/>
          <w:rtl/>
        </w:rPr>
        <w:t>ة</w:t>
      </w:r>
      <w:r w:rsidR="00E8128F">
        <w:rPr>
          <w:sz w:val="36"/>
          <w:szCs w:val="36"/>
          <w:rtl/>
        </w:rPr>
        <w:t xml:space="preserve"> </w:t>
      </w:r>
      <w:r w:rsidR="00FC0B2D" w:rsidRPr="00FD211F">
        <w:rPr>
          <w:sz w:val="36"/>
          <w:szCs w:val="36"/>
          <w:rtl/>
        </w:rPr>
        <w:t>يشترطون</w:t>
      </w:r>
      <w:r w:rsidR="00E8128F">
        <w:rPr>
          <w:sz w:val="36"/>
          <w:szCs w:val="36"/>
          <w:rtl/>
        </w:rPr>
        <w:t xml:space="preserve"> </w:t>
      </w:r>
      <w:r w:rsidR="00FC0B2D" w:rsidRPr="00FD211F">
        <w:rPr>
          <w:sz w:val="36"/>
          <w:szCs w:val="36"/>
          <w:rtl/>
        </w:rPr>
        <w:t>في</w:t>
      </w:r>
      <w:r w:rsidR="00E8128F">
        <w:rPr>
          <w:sz w:val="36"/>
          <w:szCs w:val="36"/>
          <w:rtl/>
        </w:rPr>
        <w:t xml:space="preserve"> </w:t>
      </w:r>
      <w:r w:rsidR="00FC0B2D" w:rsidRPr="00FD211F">
        <w:rPr>
          <w:sz w:val="36"/>
          <w:szCs w:val="36"/>
          <w:rtl/>
        </w:rPr>
        <w:t>منجزي</w:t>
      </w:r>
      <w:r w:rsidR="00EC7EDF" w:rsidRPr="00FD211F">
        <w:rPr>
          <w:sz w:val="36"/>
          <w:szCs w:val="36"/>
          <w:rtl/>
        </w:rPr>
        <w:t>ة</w:t>
      </w:r>
      <w:r w:rsidR="00E8128F">
        <w:rPr>
          <w:sz w:val="36"/>
          <w:szCs w:val="36"/>
          <w:rtl/>
        </w:rPr>
        <w:t xml:space="preserve"> </w:t>
      </w:r>
      <w:r w:rsidR="00FC0B2D" w:rsidRPr="00FD211F">
        <w:rPr>
          <w:sz w:val="36"/>
          <w:szCs w:val="36"/>
          <w:rtl/>
        </w:rPr>
        <w:t>العلم</w:t>
      </w:r>
      <w:r w:rsidR="00E8128F">
        <w:rPr>
          <w:sz w:val="36"/>
          <w:szCs w:val="36"/>
          <w:rtl/>
        </w:rPr>
        <w:t xml:space="preserve"> </w:t>
      </w:r>
      <w:r w:rsidR="00FC0B2D" w:rsidRPr="00FD211F">
        <w:rPr>
          <w:sz w:val="36"/>
          <w:szCs w:val="36"/>
          <w:rtl/>
        </w:rPr>
        <w:t>الإجمالي</w:t>
      </w:r>
      <w:r w:rsidR="00E8128F">
        <w:rPr>
          <w:sz w:val="36"/>
          <w:szCs w:val="36"/>
          <w:rtl/>
        </w:rPr>
        <w:t xml:space="preserve"> </w:t>
      </w:r>
      <w:r w:rsidR="00FC0B2D" w:rsidRPr="00FD211F">
        <w:rPr>
          <w:sz w:val="36"/>
          <w:szCs w:val="36"/>
          <w:rtl/>
        </w:rPr>
        <w:t>كونه</w:t>
      </w:r>
      <w:r w:rsidR="00E8128F">
        <w:rPr>
          <w:sz w:val="36"/>
          <w:szCs w:val="36"/>
          <w:rtl/>
        </w:rPr>
        <w:t xml:space="preserve"> </w:t>
      </w:r>
      <w:r w:rsidR="00FC0B2D" w:rsidRPr="00FD211F">
        <w:rPr>
          <w:sz w:val="36"/>
          <w:szCs w:val="36"/>
          <w:rtl/>
        </w:rPr>
        <w:t>منجزا</w:t>
      </w:r>
      <w:r w:rsidR="00E8128F">
        <w:rPr>
          <w:sz w:val="36"/>
          <w:szCs w:val="36"/>
          <w:rtl/>
        </w:rPr>
        <w:t xml:space="preserve"> </w:t>
      </w:r>
      <w:r w:rsidR="00FC0B2D" w:rsidRPr="00FD211F">
        <w:rPr>
          <w:sz w:val="36"/>
          <w:szCs w:val="36"/>
          <w:rtl/>
        </w:rPr>
        <w:t>للواقع</w:t>
      </w:r>
      <w:r w:rsidR="00E8128F">
        <w:rPr>
          <w:sz w:val="36"/>
          <w:szCs w:val="36"/>
          <w:rtl/>
        </w:rPr>
        <w:t xml:space="preserve"> </w:t>
      </w:r>
      <w:r w:rsidR="00FC0B2D" w:rsidRPr="00FD211F">
        <w:rPr>
          <w:sz w:val="36"/>
          <w:szCs w:val="36"/>
          <w:rtl/>
        </w:rPr>
        <w:t>على</w:t>
      </w:r>
      <w:r w:rsidR="00E8128F">
        <w:rPr>
          <w:sz w:val="36"/>
          <w:szCs w:val="36"/>
          <w:rtl/>
        </w:rPr>
        <w:t xml:space="preserve"> </w:t>
      </w:r>
      <w:r w:rsidR="00FC0B2D" w:rsidRPr="00FD211F">
        <w:rPr>
          <w:sz w:val="36"/>
          <w:szCs w:val="36"/>
          <w:rtl/>
        </w:rPr>
        <w:t>اي</w:t>
      </w:r>
      <w:r w:rsidR="00E8128F">
        <w:rPr>
          <w:sz w:val="36"/>
          <w:szCs w:val="36"/>
          <w:rtl/>
        </w:rPr>
        <w:t xml:space="preserve"> </w:t>
      </w:r>
      <w:r w:rsidR="00FC0B2D" w:rsidRPr="00FD211F">
        <w:rPr>
          <w:sz w:val="36"/>
          <w:szCs w:val="36"/>
          <w:rtl/>
        </w:rPr>
        <w:t>تقدير</w:t>
      </w:r>
      <w:r w:rsidR="00603323" w:rsidRPr="00FD211F">
        <w:rPr>
          <w:sz w:val="36"/>
          <w:szCs w:val="36"/>
          <w:rtl/>
        </w:rPr>
        <w:t>،</w:t>
      </w:r>
      <w:r w:rsidR="00E8128F">
        <w:rPr>
          <w:sz w:val="36"/>
          <w:szCs w:val="36"/>
          <w:rtl/>
        </w:rPr>
        <w:t xml:space="preserve"> </w:t>
      </w:r>
      <w:r w:rsidR="00FC0B2D" w:rsidRPr="00FD211F">
        <w:rPr>
          <w:sz w:val="36"/>
          <w:szCs w:val="36"/>
          <w:rtl/>
        </w:rPr>
        <w:t>والمفروض</w:t>
      </w:r>
      <w:r w:rsidR="00E8128F">
        <w:rPr>
          <w:sz w:val="36"/>
          <w:szCs w:val="36"/>
          <w:rtl/>
        </w:rPr>
        <w:t xml:space="preserve"> </w:t>
      </w:r>
      <w:r w:rsidR="00FC0B2D" w:rsidRPr="00FD211F">
        <w:rPr>
          <w:sz w:val="36"/>
          <w:szCs w:val="36"/>
          <w:rtl/>
        </w:rPr>
        <w:t>انه</w:t>
      </w:r>
      <w:r w:rsidR="00E8128F">
        <w:rPr>
          <w:sz w:val="36"/>
          <w:szCs w:val="36"/>
          <w:rtl/>
        </w:rPr>
        <w:t xml:space="preserve"> </w:t>
      </w:r>
      <w:r w:rsidR="00FC0B2D" w:rsidRPr="00FD211F">
        <w:rPr>
          <w:sz w:val="36"/>
          <w:szCs w:val="36"/>
          <w:rtl/>
        </w:rPr>
        <w:t>لو</w:t>
      </w:r>
      <w:r w:rsidR="00E8128F">
        <w:rPr>
          <w:sz w:val="36"/>
          <w:szCs w:val="36"/>
          <w:rtl/>
        </w:rPr>
        <w:t xml:space="preserve"> </w:t>
      </w:r>
      <w:r w:rsidR="00FC0B2D" w:rsidRPr="00FD211F">
        <w:rPr>
          <w:sz w:val="36"/>
          <w:szCs w:val="36"/>
          <w:rtl/>
        </w:rPr>
        <w:t>كان</w:t>
      </w:r>
      <w:r w:rsidR="00E8128F">
        <w:rPr>
          <w:sz w:val="36"/>
          <w:szCs w:val="36"/>
          <w:rtl/>
        </w:rPr>
        <w:t xml:space="preserve"> </w:t>
      </w:r>
      <w:r w:rsidR="00FC0B2D" w:rsidRPr="00FD211F">
        <w:rPr>
          <w:sz w:val="36"/>
          <w:szCs w:val="36"/>
          <w:rtl/>
        </w:rPr>
        <w:t>الواقع</w:t>
      </w:r>
      <w:r w:rsidR="00E8128F">
        <w:rPr>
          <w:sz w:val="36"/>
          <w:szCs w:val="36"/>
          <w:rtl/>
        </w:rPr>
        <w:t xml:space="preserve"> </w:t>
      </w:r>
      <w:r w:rsidR="00FC0B2D" w:rsidRPr="00FD211F">
        <w:rPr>
          <w:sz w:val="36"/>
          <w:szCs w:val="36"/>
          <w:rtl/>
        </w:rPr>
        <w:t>في</w:t>
      </w:r>
      <w:r w:rsidR="00E8128F">
        <w:rPr>
          <w:sz w:val="36"/>
          <w:szCs w:val="36"/>
          <w:rtl/>
        </w:rPr>
        <w:t xml:space="preserve"> </w:t>
      </w:r>
      <w:r w:rsidR="00FC0B2D" w:rsidRPr="00FD211F">
        <w:rPr>
          <w:sz w:val="36"/>
          <w:szCs w:val="36"/>
          <w:rtl/>
        </w:rPr>
        <w:t>هذا</w:t>
      </w:r>
      <w:r w:rsidR="00E8128F">
        <w:rPr>
          <w:sz w:val="36"/>
          <w:szCs w:val="36"/>
          <w:rtl/>
        </w:rPr>
        <w:t xml:space="preserve"> </w:t>
      </w:r>
      <w:r w:rsidR="00FC0B2D" w:rsidRPr="00FD211F">
        <w:rPr>
          <w:sz w:val="36"/>
          <w:szCs w:val="36"/>
          <w:rtl/>
        </w:rPr>
        <w:t>الطرف</w:t>
      </w:r>
      <w:r w:rsidR="00E8128F">
        <w:rPr>
          <w:sz w:val="36"/>
          <w:szCs w:val="36"/>
          <w:rtl/>
        </w:rPr>
        <w:t xml:space="preserve"> </w:t>
      </w:r>
      <w:r w:rsidR="00FC0B2D" w:rsidRPr="00FD211F">
        <w:rPr>
          <w:sz w:val="36"/>
          <w:szCs w:val="36"/>
          <w:rtl/>
        </w:rPr>
        <w:t>الذي</w:t>
      </w:r>
      <w:r w:rsidR="00E8128F">
        <w:rPr>
          <w:sz w:val="36"/>
          <w:szCs w:val="36"/>
          <w:rtl/>
        </w:rPr>
        <w:t xml:space="preserve"> </w:t>
      </w:r>
      <w:r w:rsidR="00FC0B2D" w:rsidRPr="00FD211F">
        <w:rPr>
          <w:sz w:val="36"/>
          <w:szCs w:val="36"/>
          <w:rtl/>
        </w:rPr>
        <w:t>قام</w:t>
      </w:r>
      <w:r w:rsidR="00E8128F">
        <w:rPr>
          <w:sz w:val="36"/>
          <w:szCs w:val="36"/>
          <w:rtl/>
        </w:rPr>
        <w:t xml:space="preserve"> </w:t>
      </w:r>
      <w:r w:rsidR="00FC0B2D" w:rsidRPr="00FD211F">
        <w:rPr>
          <w:sz w:val="36"/>
          <w:szCs w:val="36"/>
          <w:rtl/>
        </w:rPr>
        <w:t>عليه</w:t>
      </w:r>
      <w:r w:rsidR="00E8128F">
        <w:rPr>
          <w:sz w:val="36"/>
          <w:szCs w:val="36"/>
          <w:rtl/>
        </w:rPr>
        <w:t xml:space="preserve"> </w:t>
      </w:r>
      <w:r w:rsidR="00FC0B2D" w:rsidRPr="00FD211F">
        <w:rPr>
          <w:sz w:val="36"/>
          <w:szCs w:val="36"/>
          <w:rtl/>
        </w:rPr>
        <w:t>منجز</w:t>
      </w:r>
      <w:r w:rsidR="00E8128F">
        <w:rPr>
          <w:sz w:val="36"/>
          <w:szCs w:val="36"/>
          <w:rtl/>
        </w:rPr>
        <w:t xml:space="preserve"> </w:t>
      </w:r>
      <w:r w:rsidR="00FC0B2D" w:rsidRPr="00FD211F">
        <w:rPr>
          <w:sz w:val="36"/>
          <w:szCs w:val="36"/>
          <w:rtl/>
        </w:rPr>
        <w:t>تفصيلي</w:t>
      </w:r>
      <w:r w:rsidR="00E8128F">
        <w:rPr>
          <w:sz w:val="36"/>
          <w:szCs w:val="36"/>
          <w:rtl/>
        </w:rPr>
        <w:t xml:space="preserve"> </w:t>
      </w:r>
      <w:r w:rsidR="00FC0B2D" w:rsidRPr="00FD211F">
        <w:rPr>
          <w:sz w:val="36"/>
          <w:szCs w:val="36"/>
          <w:rtl/>
        </w:rPr>
        <w:t>فتنجزه</w:t>
      </w:r>
      <w:r w:rsidR="00E8128F">
        <w:rPr>
          <w:sz w:val="36"/>
          <w:szCs w:val="36"/>
          <w:rtl/>
        </w:rPr>
        <w:t xml:space="preserve"> </w:t>
      </w:r>
      <w:r w:rsidR="00FC0B2D" w:rsidRPr="00FD211F">
        <w:rPr>
          <w:sz w:val="36"/>
          <w:szCs w:val="36"/>
          <w:rtl/>
        </w:rPr>
        <w:t>يكون</w:t>
      </w:r>
      <w:r w:rsidR="00E8128F">
        <w:rPr>
          <w:sz w:val="36"/>
          <w:szCs w:val="36"/>
          <w:rtl/>
        </w:rPr>
        <w:t xml:space="preserve"> </w:t>
      </w:r>
      <w:r w:rsidR="00FC0B2D" w:rsidRPr="00FD211F">
        <w:rPr>
          <w:sz w:val="36"/>
          <w:szCs w:val="36"/>
          <w:rtl/>
        </w:rPr>
        <w:t>ناشئا</w:t>
      </w:r>
      <w:r w:rsidR="00E8128F">
        <w:rPr>
          <w:sz w:val="36"/>
          <w:szCs w:val="36"/>
          <w:rtl/>
        </w:rPr>
        <w:t xml:space="preserve"> </w:t>
      </w:r>
      <w:r w:rsidR="00FC0B2D" w:rsidRPr="00FD211F">
        <w:rPr>
          <w:sz w:val="36"/>
          <w:szCs w:val="36"/>
          <w:rtl/>
        </w:rPr>
        <w:t>عن</w:t>
      </w:r>
      <w:r w:rsidR="00E8128F">
        <w:rPr>
          <w:sz w:val="36"/>
          <w:szCs w:val="36"/>
          <w:rtl/>
        </w:rPr>
        <w:t xml:space="preserve"> </w:t>
      </w:r>
      <w:r w:rsidR="00FC0B2D" w:rsidRPr="00FD211F">
        <w:rPr>
          <w:sz w:val="36"/>
          <w:szCs w:val="36"/>
          <w:rtl/>
        </w:rPr>
        <w:t>المنجز</w:t>
      </w:r>
      <w:r w:rsidR="00E8128F">
        <w:rPr>
          <w:sz w:val="36"/>
          <w:szCs w:val="36"/>
          <w:rtl/>
        </w:rPr>
        <w:t xml:space="preserve"> </w:t>
      </w:r>
      <w:r w:rsidR="00FC0B2D" w:rsidRPr="00FD211F">
        <w:rPr>
          <w:sz w:val="36"/>
          <w:szCs w:val="36"/>
          <w:rtl/>
        </w:rPr>
        <w:t>التفصيلي</w:t>
      </w:r>
      <w:r w:rsidR="00E8128F">
        <w:rPr>
          <w:sz w:val="36"/>
          <w:szCs w:val="36"/>
          <w:rtl/>
        </w:rPr>
        <w:t xml:space="preserve"> </w:t>
      </w:r>
      <w:r w:rsidR="00FC0B2D" w:rsidRPr="00FD211F">
        <w:rPr>
          <w:sz w:val="36"/>
          <w:szCs w:val="36"/>
          <w:rtl/>
        </w:rPr>
        <w:t>دون</w:t>
      </w:r>
      <w:r w:rsidR="00E8128F">
        <w:rPr>
          <w:sz w:val="36"/>
          <w:szCs w:val="36"/>
          <w:rtl/>
        </w:rPr>
        <w:t xml:space="preserve"> </w:t>
      </w:r>
      <w:r w:rsidR="00FC0B2D" w:rsidRPr="00FD211F">
        <w:rPr>
          <w:sz w:val="36"/>
          <w:szCs w:val="36"/>
          <w:rtl/>
        </w:rPr>
        <w:t>العلم</w:t>
      </w:r>
      <w:r w:rsidR="00E8128F">
        <w:rPr>
          <w:sz w:val="36"/>
          <w:szCs w:val="36"/>
          <w:rtl/>
        </w:rPr>
        <w:t xml:space="preserve"> </w:t>
      </w:r>
      <w:r w:rsidR="00FC0B2D" w:rsidRPr="00FD211F">
        <w:rPr>
          <w:sz w:val="36"/>
          <w:szCs w:val="36"/>
          <w:rtl/>
        </w:rPr>
        <w:t>الإجمالي</w:t>
      </w:r>
      <w:r w:rsidR="005563A2" w:rsidRPr="00FD211F">
        <w:rPr>
          <w:sz w:val="36"/>
          <w:szCs w:val="36"/>
          <w:rtl/>
        </w:rPr>
        <w:t>.</w:t>
      </w:r>
    </w:p>
    <w:p w14:paraId="16CD6BA3" w14:textId="77777777" w:rsidR="000C5BBA" w:rsidRPr="00FD211F" w:rsidRDefault="00C55023" w:rsidP="00782097">
      <w:pPr>
        <w:ind w:left="0" w:firstLine="227"/>
        <w:jc w:val="both"/>
        <w:rPr>
          <w:sz w:val="36"/>
          <w:szCs w:val="36"/>
          <w:rtl/>
        </w:rPr>
      </w:pPr>
      <w:r w:rsidRPr="00FD211F">
        <w:rPr>
          <w:sz w:val="36"/>
          <w:szCs w:val="36"/>
          <w:rtl/>
        </w:rPr>
        <w:t>وبذلك</w:t>
      </w:r>
      <w:r w:rsidR="00E8128F">
        <w:rPr>
          <w:sz w:val="36"/>
          <w:szCs w:val="36"/>
          <w:rtl/>
        </w:rPr>
        <w:t xml:space="preserve"> </w:t>
      </w:r>
      <w:r w:rsidRPr="00FD211F">
        <w:rPr>
          <w:sz w:val="36"/>
          <w:szCs w:val="36"/>
          <w:rtl/>
        </w:rPr>
        <w:t>اتضح</w:t>
      </w:r>
      <w:r w:rsidR="00E8128F">
        <w:rPr>
          <w:sz w:val="36"/>
          <w:szCs w:val="36"/>
          <w:rtl/>
        </w:rPr>
        <w:t xml:space="preserve"> </w:t>
      </w:r>
      <w:r w:rsidRPr="00FD211F">
        <w:rPr>
          <w:sz w:val="36"/>
          <w:szCs w:val="36"/>
          <w:rtl/>
        </w:rPr>
        <w:t>الاشكال</w:t>
      </w:r>
      <w:r w:rsidR="00E8128F">
        <w:rPr>
          <w:sz w:val="36"/>
          <w:szCs w:val="36"/>
          <w:rtl/>
        </w:rPr>
        <w:t xml:space="preserve"> </w:t>
      </w:r>
      <w:r w:rsidRPr="00FD211F">
        <w:rPr>
          <w:sz w:val="36"/>
          <w:szCs w:val="36"/>
          <w:rtl/>
        </w:rPr>
        <w:t>في</w:t>
      </w:r>
      <w:r w:rsidR="006F635C" w:rsidRPr="00FD211F">
        <w:rPr>
          <w:sz w:val="36"/>
          <w:szCs w:val="36"/>
          <w:rtl/>
        </w:rPr>
        <w:t>ماحكي</w:t>
      </w:r>
      <w:r w:rsidR="00E8128F">
        <w:rPr>
          <w:sz w:val="36"/>
          <w:szCs w:val="36"/>
          <w:rtl/>
        </w:rPr>
        <w:t xml:space="preserve"> </w:t>
      </w:r>
      <w:r w:rsidR="006F635C" w:rsidRPr="00FD211F">
        <w:rPr>
          <w:sz w:val="36"/>
          <w:szCs w:val="36"/>
          <w:rtl/>
        </w:rPr>
        <w:t>عن</w:t>
      </w:r>
      <w:r w:rsidR="00E8128F">
        <w:rPr>
          <w:sz w:val="36"/>
          <w:szCs w:val="36"/>
          <w:rtl/>
        </w:rPr>
        <w:t xml:space="preserve"> </w:t>
      </w:r>
      <w:r w:rsidR="006F635C" w:rsidRPr="00FD211F">
        <w:rPr>
          <w:sz w:val="36"/>
          <w:szCs w:val="36"/>
          <w:rtl/>
        </w:rPr>
        <w:t>بعض</w:t>
      </w:r>
      <w:r w:rsidR="00E8128F">
        <w:rPr>
          <w:sz w:val="36"/>
          <w:szCs w:val="36"/>
          <w:rtl/>
        </w:rPr>
        <w:t xml:space="preserve"> </w:t>
      </w:r>
      <w:r w:rsidR="006F635C" w:rsidRPr="00FD211F">
        <w:rPr>
          <w:sz w:val="36"/>
          <w:szCs w:val="36"/>
          <w:rtl/>
        </w:rPr>
        <w:t>الساد</w:t>
      </w:r>
      <w:r w:rsidR="00EC7EDF" w:rsidRPr="00FD211F">
        <w:rPr>
          <w:sz w:val="36"/>
          <w:szCs w:val="36"/>
          <w:rtl/>
        </w:rPr>
        <w:t>ة</w:t>
      </w:r>
      <w:r w:rsidR="00E8128F">
        <w:rPr>
          <w:sz w:val="36"/>
          <w:szCs w:val="36"/>
          <w:rtl/>
        </w:rPr>
        <w:t xml:space="preserve"> </w:t>
      </w:r>
      <w:r w:rsidR="006F635C" w:rsidRPr="00FD211F">
        <w:rPr>
          <w:sz w:val="36"/>
          <w:szCs w:val="36"/>
          <w:rtl/>
        </w:rPr>
        <w:t>ا</w:t>
      </w:r>
      <w:r w:rsidRPr="00FD211F">
        <w:rPr>
          <w:sz w:val="36"/>
          <w:szCs w:val="36"/>
          <w:rtl/>
        </w:rPr>
        <w:t>لاعلام</w:t>
      </w:r>
      <w:r w:rsidR="00E8128F">
        <w:rPr>
          <w:sz w:val="36"/>
          <w:szCs w:val="36"/>
          <w:rtl/>
        </w:rPr>
        <w:t xml:space="preserve"> </w:t>
      </w:r>
      <w:r w:rsidR="00782097" w:rsidRPr="00FD211F">
        <w:rPr>
          <w:sz w:val="36"/>
          <w:szCs w:val="36"/>
          <w:rtl/>
        </w:rPr>
        <w:t>"</w:t>
      </w:r>
      <w:r w:rsidR="007A4A0D" w:rsidRPr="00FD211F">
        <w:rPr>
          <w:sz w:val="36"/>
          <w:szCs w:val="36"/>
          <w:rtl/>
        </w:rPr>
        <w:t>دام‌ظله</w:t>
      </w:r>
      <w:r w:rsidR="00782097"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انه</w:t>
      </w:r>
      <w:r w:rsidR="00E8128F">
        <w:rPr>
          <w:sz w:val="36"/>
          <w:szCs w:val="36"/>
          <w:rtl/>
        </w:rPr>
        <w:t xml:space="preserve"> </w:t>
      </w:r>
      <w:r w:rsidR="006F635C" w:rsidRPr="00FD211F">
        <w:rPr>
          <w:sz w:val="36"/>
          <w:szCs w:val="36"/>
          <w:rtl/>
        </w:rPr>
        <w:t>في</w:t>
      </w:r>
      <w:r w:rsidR="00E8128F">
        <w:rPr>
          <w:sz w:val="36"/>
          <w:szCs w:val="36"/>
          <w:rtl/>
        </w:rPr>
        <w:t xml:space="preserve"> </w:t>
      </w:r>
      <w:r w:rsidRPr="00FD211F">
        <w:rPr>
          <w:sz w:val="36"/>
          <w:szCs w:val="36"/>
          <w:rtl/>
        </w:rPr>
        <w:t>مورد</w:t>
      </w:r>
      <w:r w:rsidR="00E8128F">
        <w:rPr>
          <w:sz w:val="36"/>
          <w:szCs w:val="36"/>
          <w:rtl/>
        </w:rPr>
        <w:t xml:space="preserve"> </w:t>
      </w:r>
      <w:r w:rsidR="006F635C" w:rsidRPr="00FD211F">
        <w:rPr>
          <w:sz w:val="36"/>
          <w:szCs w:val="36"/>
          <w:rtl/>
        </w:rPr>
        <w:t>دوران</w:t>
      </w:r>
      <w:r w:rsidR="00E8128F">
        <w:rPr>
          <w:sz w:val="36"/>
          <w:szCs w:val="36"/>
          <w:rtl/>
        </w:rPr>
        <w:t xml:space="preserve"> </w:t>
      </w:r>
      <w:r w:rsidR="001B3112" w:rsidRPr="00FD211F">
        <w:rPr>
          <w:sz w:val="36"/>
          <w:szCs w:val="36"/>
          <w:rtl/>
        </w:rPr>
        <w:t>الأمر</w:t>
      </w:r>
      <w:r w:rsidR="00E8128F">
        <w:rPr>
          <w:sz w:val="36"/>
          <w:szCs w:val="36"/>
          <w:rtl/>
        </w:rPr>
        <w:t xml:space="preserve"> </w:t>
      </w:r>
      <w:r w:rsidR="006F635C" w:rsidRPr="00FD211F">
        <w:rPr>
          <w:sz w:val="36"/>
          <w:szCs w:val="36"/>
          <w:rtl/>
        </w:rPr>
        <w:t>بين</w:t>
      </w:r>
      <w:r w:rsidR="00E8128F">
        <w:rPr>
          <w:sz w:val="36"/>
          <w:szCs w:val="36"/>
          <w:rtl/>
        </w:rPr>
        <w:t xml:space="preserve"> </w:t>
      </w:r>
      <w:r w:rsidR="006F635C" w:rsidRPr="00FD211F">
        <w:rPr>
          <w:sz w:val="36"/>
          <w:szCs w:val="36"/>
          <w:rtl/>
        </w:rPr>
        <w:t>التعيين</w:t>
      </w:r>
      <w:r w:rsidR="00E8128F">
        <w:rPr>
          <w:sz w:val="36"/>
          <w:szCs w:val="36"/>
          <w:rtl/>
        </w:rPr>
        <w:t xml:space="preserve"> </w:t>
      </w:r>
      <w:r w:rsidR="006F635C" w:rsidRPr="00FD211F">
        <w:rPr>
          <w:sz w:val="36"/>
          <w:szCs w:val="36"/>
          <w:rtl/>
        </w:rPr>
        <w:t>والتخيير</w:t>
      </w:r>
      <w:r w:rsidR="00E8128F">
        <w:rPr>
          <w:sz w:val="36"/>
          <w:szCs w:val="36"/>
          <w:rtl/>
        </w:rPr>
        <w:t xml:space="preserve"> </w:t>
      </w:r>
      <w:r w:rsidRPr="00FD211F">
        <w:rPr>
          <w:sz w:val="36"/>
          <w:szCs w:val="36"/>
          <w:rtl/>
        </w:rPr>
        <w:t>فالاصل</w:t>
      </w:r>
      <w:r w:rsidR="00E8128F">
        <w:rPr>
          <w:sz w:val="36"/>
          <w:szCs w:val="36"/>
          <w:rtl/>
        </w:rPr>
        <w:t xml:space="preserve"> </w:t>
      </w:r>
      <w:r w:rsidRPr="00FD211F">
        <w:rPr>
          <w:sz w:val="36"/>
          <w:szCs w:val="36"/>
          <w:rtl/>
        </w:rPr>
        <w:t>هوالاحتياط</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البراء</w:t>
      </w:r>
      <w:r w:rsidR="00EC7EDF" w:rsidRPr="00FD211F">
        <w:rPr>
          <w:sz w:val="36"/>
          <w:szCs w:val="36"/>
          <w:rtl/>
        </w:rPr>
        <w:t>ة</w:t>
      </w:r>
      <w:r w:rsidR="00E8128F">
        <w:rPr>
          <w:sz w:val="36"/>
          <w:szCs w:val="36"/>
          <w:rtl/>
        </w:rPr>
        <w:t xml:space="preserve"> </w:t>
      </w:r>
      <w:r w:rsidRPr="00FD211F">
        <w:rPr>
          <w:sz w:val="36"/>
          <w:szCs w:val="36"/>
          <w:rtl/>
        </w:rPr>
        <w:t>لان</w:t>
      </w:r>
      <w:r w:rsidR="00E8128F">
        <w:rPr>
          <w:sz w:val="36"/>
          <w:szCs w:val="36"/>
          <w:rtl/>
        </w:rPr>
        <w:t xml:space="preserve"> </w:t>
      </w:r>
      <w:r w:rsidR="00A90EEB" w:rsidRPr="00FD211F">
        <w:rPr>
          <w:sz w:val="36"/>
          <w:szCs w:val="36"/>
          <w:rtl/>
        </w:rPr>
        <w:t>العنوان</w:t>
      </w:r>
      <w:r w:rsidR="00E8128F">
        <w:rPr>
          <w:sz w:val="36"/>
          <w:szCs w:val="36"/>
          <w:rtl/>
        </w:rPr>
        <w:t xml:space="preserve"> </w:t>
      </w:r>
      <w:r w:rsidR="00A90EEB" w:rsidRPr="00FD211F">
        <w:rPr>
          <w:sz w:val="36"/>
          <w:szCs w:val="36"/>
          <w:rtl/>
        </w:rPr>
        <w:t>الذي</w:t>
      </w:r>
      <w:r w:rsidR="00E8128F">
        <w:rPr>
          <w:sz w:val="36"/>
          <w:szCs w:val="36"/>
          <w:rtl/>
        </w:rPr>
        <w:t xml:space="preserve"> </w:t>
      </w:r>
      <w:r w:rsidR="00A90EEB" w:rsidRPr="00FD211F">
        <w:rPr>
          <w:sz w:val="36"/>
          <w:szCs w:val="36"/>
          <w:rtl/>
        </w:rPr>
        <w:t>يدخل</w:t>
      </w:r>
      <w:r w:rsidR="00E8128F">
        <w:rPr>
          <w:sz w:val="36"/>
          <w:szCs w:val="36"/>
          <w:rtl/>
        </w:rPr>
        <w:t xml:space="preserve"> </w:t>
      </w:r>
      <w:r w:rsidR="00A90EEB" w:rsidRPr="00FD211F">
        <w:rPr>
          <w:sz w:val="36"/>
          <w:szCs w:val="36"/>
          <w:rtl/>
        </w:rPr>
        <w:t>في</w:t>
      </w:r>
      <w:r w:rsidR="00E8128F">
        <w:rPr>
          <w:sz w:val="36"/>
          <w:szCs w:val="36"/>
          <w:rtl/>
        </w:rPr>
        <w:t xml:space="preserve"> </w:t>
      </w:r>
      <w:r w:rsidR="00A90EEB" w:rsidRPr="00FD211F">
        <w:rPr>
          <w:sz w:val="36"/>
          <w:szCs w:val="36"/>
          <w:rtl/>
        </w:rPr>
        <w:t>عهد</w:t>
      </w:r>
      <w:r w:rsidR="00EC7EDF" w:rsidRPr="00FD211F">
        <w:rPr>
          <w:sz w:val="36"/>
          <w:szCs w:val="36"/>
          <w:rtl/>
        </w:rPr>
        <w:t>ة</w:t>
      </w:r>
      <w:r w:rsidR="00E8128F">
        <w:rPr>
          <w:sz w:val="36"/>
          <w:szCs w:val="36"/>
          <w:rtl/>
        </w:rPr>
        <w:t xml:space="preserve"> </w:t>
      </w:r>
      <w:r w:rsidR="00A90EEB" w:rsidRPr="00FD211F">
        <w:rPr>
          <w:sz w:val="36"/>
          <w:szCs w:val="36"/>
          <w:rtl/>
        </w:rPr>
        <w:t>المكلف</w:t>
      </w:r>
      <w:r w:rsidR="00E8128F">
        <w:rPr>
          <w:sz w:val="36"/>
          <w:szCs w:val="36"/>
          <w:rtl/>
        </w:rPr>
        <w:t xml:space="preserve"> </w:t>
      </w:r>
      <w:r w:rsidR="00A90EEB" w:rsidRPr="00FD211F">
        <w:rPr>
          <w:sz w:val="36"/>
          <w:szCs w:val="36"/>
          <w:rtl/>
        </w:rPr>
        <w:t>يدور</w:t>
      </w:r>
      <w:r w:rsidR="00E8128F">
        <w:rPr>
          <w:sz w:val="36"/>
          <w:szCs w:val="36"/>
          <w:rtl/>
        </w:rPr>
        <w:t xml:space="preserve"> </w:t>
      </w:r>
      <w:r w:rsidR="00A90EEB" w:rsidRPr="00FD211F">
        <w:rPr>
          <w:sz w:val="36"/>
          <w:szCs w:val="36"/>
          <w:rtl/>
        </w:rPr>
        <w:t>امره</w:t>
      </w:r>
      <w:r w:rsidR="00E8128F">
        <w:rPr>
          <w:sz w:val="36"/>
          <w:szCs w:val="36"/>
          <w:rtl/>
        </w:rPr>
        <w:t xml:space="preserve"> </w:t>
      </w:r>
      <w:r w:rsidR="00A90EEB" w:rsidRPr="00FD211F">
        <w:rPr>
          <w:sz w:val="36"/>
          <w:szCs w:val="36"/>
          <w:rtl/>
        </w:rPr>
        <w:t>بين</w:t>
      </w:r>
      <w:r w:rsidR="00E8128F">
        <w:rPr>
          <w:sz w:val="36"/>
          <w:szCs w:val="36"/>
          <w:rtl/>
        </w:rPr>
        <w:t xml:space="preserve"> </w:t>
      </w:r>
      <w:r w:rsidR="00A90EEB" w:rsidRPr="00FD211F">
        <w:rPr>
          <w:sz w:val="36"/>
          <w:szCs w:val="36"/>
          <w:rtl/>
        </w:rPr>
        <w:t>عنوانين</w:t>
      </w:r>
      <w:r w:rsidR="00E8128F">
        <w:rPr>
          <w:sz w:val="36"/>
          <w:szCs w:val="36"/>
          <w:rtl/>
        </w:rPr>
        <w:t xml:space="preserve"> </w:t>
      </w:r>
      <w:r w:rsidR="00A90EEB" w:rsidRPr="00FD211F">
        <w:rPr>
          <w:sz w:val="36"/>
          <w:szCs w:val="36"/>
          <w:rtl/>
        </w:rPr>
        <w:t>متباينين</w:t>
      </w:r>
      <w:r w:rsidR="00E8128F">
        <w:rPr>
          <w:sz w:val="36"/>
          <w:szCs w:val="36"/>
          <w:rtl/>
        </w:rPr>
        <w:t xml:space="preserve"> </w:t>
      </w:r>
      <w:r w:rsidR="00A90EEB" w:rsidRPr="00FD211F">
        <w:rPr>
          <w:sz w:val="36"/>
          <w:szCs w:val="36"/>
          <w:rtl/>
        </w:rPr>
        <w:t>فلاندري</w:t>
      </w:r>
      <w:r w:rsidR="00E8128F">
        <w:rPr>
          <w:sz w:val="36"/>
          <w:szCs w:val="36"/>
          <w:rtl/>
        </w:rPr>
        <w:t xml:space="preserve"> </w:t>
      </w:r>
      <w:r w:rsidR="00A90EEB" w:rsidRPr="00FD211F">
        <w:rPr>
          <w:sz w:val="36"/>
          <w:szCs w:val="36"/>
          <w:rtl/>
        </w:rPr>
        <w:t>هل</w:t>
      </w:r>
      <w:r w:rsidR="00E8128F">
        <w:rPr>
          <w:sz w:val="36"/>
          <w:szCs w:val="36"/>
          <w:rtl/>
        </w:rPr>
        <w:t xml:space="preserve"> </w:t>
      </w:r>
      <w:r w:rsidR="00A90EEB" w:rsidRPr="00FD211F">
        <w:rPr>
          <w:sz w:val="36"/>
          <w:szCs w:val="36"/>
          <w:rtl/>
        </w:rPr>
        <w:t>متعلق</w:t>
      </w:r>
      <w:r w:rsidR="00E8128F">
        <w:rPr>
          <w:sz w:val="36"/>
          <w:szCs w:val="36"/>
          <w:rtl/>
        </w:rPr>
        <w:t xml:space="preserve"> </w:t>
      </w:r>
      <w:r w:rsidR="00A90EEB" w:rsidRPr="00FD211F">
        <w:rPr>
          <w:sz w:val="36"/>
          <w:szCs w:val="36"/>
          <w:rtl/>
        </w:rPr>
        <w:t>الوجوب</w:t>
      </w:r>
      <w:r w:rsidR="00E8128F">
        <w:rPr>
          <w:sz w:val="36"/>
          <w:szCs w:val="36"/>
          <w:rtl/>
        </w:rPr>
        <w:t xml:space="preserve"> </w:t>
      </w:r>
      <w:r w:rsidR="00A90EEB" w:rsidRPr="00FD211F">
        <w:rPr>
          <w:sz w:val="36"/>
          <w:szCs w:val="36"/>
          <w:rtl/>
        </w:rPr>
        <w:t>عنوان</w:t>
      </w:r>
      <w:r w:rsidR="00E8128F">
        <w:rPr>
          <w:sz w:val="36"/>
          <w:szCs w:val="36"/>
          <w:rtl/>
        </w:rPr>
        <w:t xml:space="preserve"> </w:t>
      </w:r>
      <w:r w:rsidR="00A90EEB" w:rsidRPr="00FD211F">
        <w:rPr>
          <w:sz w:val="36"/>
          <w:szCs w:val="36"/>
          <w:rtl/>
        </w:rPr>
        <w:t>الصوم</w:t>
      </w:r>
      <w:r w:rsidR="00E8128F">
        <w:rPr>
          <w:sz w:val="36"/>
          <w:szCs w:val="36"/>
          <w:rtl/>
        </w:rPr>
        <w:t xml:space="preserve"> </w:t>
      </w:r>
      <w:r w:rsidR="00A90EEB" w:rsidRPr="00FD211F">
        <w:rPr>
          <w:sz w:val="36"/>
          <w:szCs w:val="36"/>
          <w:rtl/>
        </w:rPr>
        <w:t>مثلا</w:t>
      </w:r>
      <w:r w:rsidR="00E8128F">
        <w:rPr>
          <w:sz w:val="36"/>
          <w:szCs w:val="36"/>
          <w:rtl/>
        </w:rPr>
        <w:t xml:space="preserve"> </w:t>
      </w:r>
      <w:r w:rsidR="00A90EEB" w:rsidRPr="00FD211F">
        <w:rPr>
          <w:sz w:val="36"/>
          <w:szCs w:val="36"/>
          <w:rtl/>
        </w:rPr>
        <w:t>اوعنوان</w:t>
      </w:r>
      <w:r w:rsidR="00E8128F">
        <w:rPr>
          <w:sz w:val="36"/>
          <w:szCs w:val="36"/>
          <w:rtl/>
        </w:rPr>
        <w:t xml:space="preserve"> </w:t>
      </w:r>
      <w:r w:rsidR="00A90EEB" w:rsidRPr="00FD211F">
        <w:rPr>
          <w:sz w:val="36"/>
          <w:szCs w:val="36"/>
          <w:rtl/>
        </w:rPr>
        <w:t>احدالفعلين</w:t>
      </w:r>
      <w:r w:rsidR="00E8128F">
        <w:rPr>
          <w:sz w:val="36"/>
          <w:szCs w:val="36"/>
          <w:rtl/>
        </w:rPr>
        <w:t xml:space="preserve"> </w:t>
      </w:r>
      <w:r w:rsidR="00A90EEB" w:rsidRPr="00FD211F">
        <w:rPr>
          <w:sz w:val="36"/>
          <w:szCs w:val="36"/>
          <w:rtl/>
        </w:rPr>
        <w:t>من</w:t>
      </w:r>
      <w:r w:rsidR="00E8128F">
        <w:rPr>
          <w:sz w:val="36"/>
          <w:szCs w:val="36"/>
          <w:rtl/>
        </w:rPr>
        <w:t xml:space="preserve"> </w:t>
      </w:r>
      <w:r w:rsidR="00A90EEB" w:rsidRPr="00FD211F">
        <w:rPr>
          <w:sz w:val="36"/>
          <w:szCs w:val="36"/>
          <w:rtl/>
        </w:rPr>
        <w:t>الصوم</w:t>
      </w:r>
      <w:r w:rsidR="00E8128F">
        <w:rPr>
          <w:sz w:val="36"/>
          <w:szCs w:val="36"/>
          <w:rtl/>
        </w:rPr>
        <w:t xml:space="preserve"> </w:t>
      </w:r>
      <w:r w:rsidR="00A90EEB" w:rsidRPr="00FD211F">
        <w:rPr>
          <w:sz w:val="36"/>
          <w:szCs w:val="36"/>
          <w:rtl/>
        </w:rPr>
        <w:t>والاطعام</w:t>
      </w:r>
      <w:r w:rsidR="00603323" w:rsidRPr="00FD211F">
        <w:rPr>
          <w:sz w:val="36"/>
          <w:szCs w:val="36"/>
          <w:rtl/>
        </w:rPr>
        <w:t>،</w:t>
      </w:r>
      <w:r w:rsidR="00E8128F">
        <w:rPr>
          <w:sz w:val="36"/>
          <w:szCs w:val="36"/>
          <w:rtl/>
        </w:rPr>
        <w:t xml:space="preserve"> </w:t>
      </w:r>
      <w:r w:rsidR="00A90EEB" w:rsidRPr="00FD211F">
        <w:rPr>
          <w:sz w:val="36"/>
          <w:szCs w:val="36"/>
          <w:rtl/>
        </w:rPr>
        <w:t>وان</w:t>
      </w:r>
      <w:r w:rsidR="00E8128F">
        <w:rPr>
          <w:sz w:val="36"/>
          <w:szCs w:val="36"/>
          <w:rtl/>
        </w:rPr>
        <w:t xml:space="preserve"> </w:t>
      </w:r>
      <w:r w:rsidR="00A90EEB" w:rsidRPr="00FD211F">
        <w:rPr>
          <w:sz w:val="36"/>
          <w:szCs w:val="36"/>
          <w:rtl/>
        </w:rPr>
        <w:t>كانت</w:t>
      </w:r>
      <w:r w:rsidR="00E8128F">
        <w:rPr>
          <w:sz w:val="36"/>
          <w:szCs w:val="36"/>
          <w:rtl/>
        </w:rPr>
        <w:t xml:space="preserve"> </w:t>
      </w:r>
      <w:r w:rsidR="00A90EEB" w:rsidRPr="00FD211F">
        <w:rPr>
          <w:sz w:val="36"/>
          <w:szCs w:val="36"/>
          <w:rtl/>
        </w:rPr>
        <w:t>النسب</w:t>
      </w:r>
      <w:r w:rsidR="00EC7EDF" w:rsidRPr="00FD211F">
        <w:rPr>
          <w:sz w:val="36"/>
          <w:szCs w:val="36"/>
          <w:rtl/>
        </w:rPr>
        <w:t>ة</w:t>
      </w:r>
      <w:r w:rsidR="00E8128F">
        <w:rPr>
          <w:sz w:val="36"/>
          <w:szCs w:val="36"/>
          <w:rtl/>
        </w:rPr>
        <w:t xml:space="preserve"> </w:t>
      </w:r>
      <w:r w:rsidR="00A90EEB" w:rsidRPr="00FD211F">
        <w:rPr>
          <w:sz w:val="36"/>
          <w:szCs w:val="36"/>
          <w:rtl/>
        </w:rPr>
        <w:t>بين</w:t>
      </w:r>
      <w:r w:rsidR="00E8128F">
        <w:rPr>
          <w:sz w:val="36"/>
          <w:szCs w:val="36"/>
          <w:rtl/>
        </w:rPr>
        <w:t xml:space="preserve"> </w:t>
      </w:r>
      <w:r w:rsidR="00A90EEB" w:rsidRPr="00FD211F">
        <w:rPr>
          <w:sz w:val="36"/>
          <w:szCs w:val="36"/>
          <w:rtl/>
        </w:rPr>
        <w:t>مصاديقهما</w:t>
      </w:r>
      <w:r w:rsidR="00E8128F">
        <w:rPr>
          <w:sz w:val="36"/>
          <w:szCs w:val="36"/>
          <w:rtl/>
        </w:rPr>
        <w:t xml:space="preserve"> </w:t>
      </w:r>
      <w:r w:rsidR="00A90EEB" w:rsidRPr="00FD211F">
        <w:rPr>
          <w:sz w:val="36"/>
          <w:szCs w:val="36"/>
          <w:rtl/>
        </w:rPr>
        <w:t>العموم</w:t>
      </w:r>
      <w:r w:rsidR="00E8128F">
        <w:rPr>
          <w:sz w:val="36"/>
          <w:szCs w:val="36"/>
          <w:rtl/>
        </w:rPr>
        <w:t xml:space="preserve"> </w:t>
      </w:r>
      <w:r w:rsidR="00A90EEB" w:rsidRPr="00FD211F">
        <w:rPr>
          <w:sz w:val="36"/>
          <w:szCs w:val="36"/>
          <w:rtl/>
        </w:rPr>
        <w:t>والخصوص</w:t>
      </w:r>
      <w:r w:rsidR="00E8128F">
        <w:rPr>
          <w:sz w:val="36"/>
          <w:szCs w:val="36"/>
          <w:rtl/>
        </w:rPr>
        <w:t xml:space="preserve"> </w:t>
      </w:r>
      <w:r w:rsidR="00A90EEB" w:rsidRPr="00FD211F">
        <w:rPr>
          <w:sz w:val="36"/>
          <w:szCs w:val="36"/>
          <w:rtl/>
        </w:rPr>
        <w:t>المطلق.</w:t>
      </w:r>
      <w:r w:rsidR="00E8128F">
        <w:rPr>
          <w:sz w:val="36"/>
          <w:szCs w:val="36"/>
          <w:rtl/>
        </w:rPr>
        <w:t xml:space="preserve"> </w:t>
      </w:r>
    </w:p>
    <w:p w14:paraId="61A70B74" w14:textId="77777777" w:rsidR="005563A2" w:rsidRPr="00FD211F" w:rsidRDefault="005563A2" w:rsidP="009C58C8">
      <w:pPr>
        <w:ind w:left="0" w:firstLine="227"/>
        <w:jc w:val="both"/>
        <w:rPr>
          <w:sz w:val="36"/>
          <w:szCs w:val="36"/>
          <w:rtl/>
        </w:rPr>
      </w:pPr>
      <w:r w:rsidRPr="00FD211F">
        <w:rPr>
          <w:b/>
          <w:bCs/>
          <w:sz w:val="36"/>
          <w:szCs w:val="36"/>
          <w:rtl/>
        </w:rPr>
        <w:t>الصور</w:t>
      </w:r>
      <w:r w:rsidR="00EC7EDF" w:rsidRPr="00FD211F">
        <w:rPr>
          <w:b/>
          <w:bCs/>
          <w:sz w:val="36"/>
          <w:szCs w:val="36"/>
          <w:rtl/>
        </w:rPr>
        <w:t>ة</w:t>
      </w:r>
      <w:r w:rsidR="00E8128F">
        <w:rPr>
          <w:b/>
          <w:bCs/>
          <w:sz w:val="36"/>
          <w:szCs w:val="36"/>
          <w:rtl/>
        </w:rPr>
        <w:t xml:space="preserve"> </w:t>
      </w:r>
      <w:r w:rsidRPr="00FD211F">
        <w:rPr>
          <w:b/>
          <w:bCs/>
          <w:sz w:val="36"/>
          <w:szCs w:val="36"/>
          <w:rtl/>
        </w:rPr>
        <w:t>الثاني</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Pr="00FD211F">
        <w:rPr>
          <w:sz w:val="36"/>
          <w:szCs w:val="36"/>
          <w:rtl/>
        </w:rPr>
        <w:t>فرض</w:t>
      </w:r>
      <w:r w:rsidR="00E8128F">
        <w:rPr>
          <w:sz w:val="36"/>
          <w:szCs w:val="36"/>
          <w:rtl/>
        </w:rPr>
        <w:t xml:space="preserve"> </w:t>
      </w:r>
      <w:r w:rsidRPr="00FD211F">
        <w:rPr>
          <w:sz w:val="36"/>
          <w:szCs w:val="36"/>
          <w:rtl/>
        </w:rPr>
        <w:t>انحصار</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بمن</w:t>
      </w:r>
      <w:r w:rsidR="00E8128F">
        <w:rPr>
          <w:sz w:val="36"/>
          <w:szCs w:val="36"/>
          <w:rtl/>
        </w:rPr>
        <w:t xml:space="preserve"> </w:t>
      </w:r>
      <w:r w:rsidRPr="00FD211F">
        <w:rPr>
          <w:sz w:val="36"/>
          <w:szCs w:val="36"/>
          <w:rtl/>
        </w:rPr>
        <w:t>انقضى</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العلم</w:t>
      </w:r>
      <w:r w:rsidR="00E8128F">
        <w:rPr>
          <w:sz w:val="36"/>
          <w:szCs w:val="36"/>
          <w:rtl/>
        </w:rPr>
        <w:t xml:space="preserve"> </w:t>
      </w:r>
      <w:r w:rsidR="00912C0E" w:rsidRPr="00FD211F">
        <w:rPr>
          <w:sz w:val="36"/>
          <w:szCs w:val="36"/>
          <w:rtl/>
        </w:rPr>
        <w:t>فيكون</w:t>
      </w:r>
      <w:r w:rsidR="00E8128F">
        <w:rPr>
          <w:sz w:val="36"/>
          <w:szCs w:val="36"/>
          <w:rtl/>
        </w:rPr>
        <w:t xml:space="preserve"> </w:t>
      </w:r>
      <w:r w:rsidR="00912C0E" w:rsidRPr="00FD211F">
        <w:rPr>
          <w:sz w:val="36"/>
          <w:szCs w:val="36"/>
          <w:rtl/>
        </w:rPr>
        <w:t>الشك</w:t>
      </w:r>
      <w:r w:rsidR="00E8128F">
        <w:rPr>
          <w:sz w:val="36"/>
          <w:szCs w:val="36"/>
          <w:rtl/>
        </w:rPr>
        <w:t xml:space="preserve"> </w:t>
      </w:r>
      <w:r w:rsidR="00912C0E" w:rsidRPr="00FD211F">
        <w:rPr>
          <w:sz w:val="36"/>
          <w:szCs w:val="36"/>
          <w:rtl/>
        </w:rPr>
        <w:t>في</w:t>
      </w:r>
      <w:r w:rsidR="00E8128F">
        <w:rPr>
          <w:sz w:val="36"/>
          <w:szCs w:val="36"/>
          <w:rtl/>
        </w:rPr>
        <w:t xml:space="preserve"> </w:t>
      </w:r>
      <w:r w:rsidR="00912C0E" w:rsidRPr="00FD211F">
        <w:rPr>
          <w:sz w:val="36"/>
          <w:szCs w:val="36"/>
          <w:rtl/>
        </w:rPr>
        <w:t>اصل</w:t>
      </w:r>
      <w:r w:rsidR="00E8128F">
        <w:rPr>
          <w:sz w:val="36"/>
          <w:szCs w:val="36"/>
          <w:rtl/>
        </w:rPr>
        <w:t xml:space="preserve"> </w:t>
      </w:r>
      <w:r w:rsidR="00912C0E" w:rsidRPr="00FD211F">
        <w:rPr>
          <w:sz w:val="36"/>
          <w:szCs w:val="36"/>
          <w:rtl/>
        </w:rPr>
        <w:t>ثبوت</w:t>
      </w:r>
      <w:r w:rsidR="00E8128F">
        <w:rPr>
          <w:sz w:val="36"/>
          <w:szCs w:val="36"/>
          <w:rtl/>
        </w:rPr>
        <w:t xml:space="preserve"> </w:t>
      </w:r>
      <w:r w:rsidR="00912C0E" w:rsidRPr="00FD211F">
        <w:rPr>
          <w:sz w:val="36"/>
          <w:szCs w:val="36"/>
          <w:rtl/>
        </w:rPr>
        <w:t>التكليف</w:t>
      </w:r>
      <w:r w:rsidR="00E8128F">
        <w:rPr>
          <w:sz w:val="36"/>
          <w:szCs w:val="36"/>
          <w:rtl/>
        </w:rPr>
        <w:t xml:space="preserve"> </w:t>
      </w:r>
      <w:r w:rsidR="00912C0E" w:rsidRPr="00FD211F">
        <w:rPr>
          <w:sz w:val="36"/>
          <w:szCs w:val="36"/>
          <w:rtl/>
        </w:rPr>
        <w:t>بعد</w:t>
      </w:r>
      <w:r w:rsidR="00E8128F">
        <w:rPr>
          <w:sz w:val="36"/>
          <w:szCs w:val="36"/>
          <w:rtl/>
        </w:rPr>
        <w:t xml:space="preserve"> </w:t>
      </w:r>
      <w:r w:rsidR="00912C0E" w:rsidRPr="00FD211F">
        <w:rPr>
          <w:sz w:val="36"/>
          <w:szCs w:val="36"/>
          <w:rtl/>
        </w:rPr>
        <w:t>احتمال</w:t>
      </w:r>
      <w:r w:rsidR="00E8128F">
        <w:rPr>
          <w:sz w:val="36"/>
          <w:szCs w:val="36"/>
          <w:rtl/>
        </w:rPr>
        <w:t xml:space="preserve"> </w:t>
      </w:r>
      <w:r w:rsidR="00912C0E" w:rsidRPr="00FD211F">
        <w:rPr>
          <w:sz w:val="36"/>
          <w:szCs w:val="36"/>
          <w:rtl/>
        </w:rPr>
        <w:t>كون</w:t>
      </w:r>
      <w:r w:rsidR="00E8128F">
        <w:rPr>
          <w:sz w:val="36"/>
          <w:szCs w:val="36"/>
          <w:rtl/>
        </w:rPr>
        <w:t xml:space="preserve"> </w:t>
      </w:r>
      <w:r w:rsidR="00912C0E" w:rsidRPr="00FD211F">
        <w:rPr>
          <w:sz w:val="36"/>
          <w:szCs w:val="36"/>
          <w:rtl/>
        </w:rPr>
        <w:t>متعلقه</w:t>
      </w:r>
      <w:r w:rsidR="00E8128F">
        <w:rPr>
          <w:sz w:val="36"/>
          <w:szCs w:val="36"/>
          <w:rtl/>
        </w:rPr>
        <w:t xml:space="preserve"> </w:t>
      </w:r>
      <w:r w:rsidR="00912C0E" w:rsidRPr="00FD211F">
        <w:rPr>
          <w:sz w:val="36"/>
          <w:szCs w:val="36"/>
          <w:rtl/>
        </w:rPr>
        <w:t>غير</w:t>
      </w:r>
      <w:r w:rsidR="00E8128F">
        <w:rPr>
          <w:sz w:val="36"/>
          <w:szCs w:val="36"/>
          <w:rtl/>
        </w:rPr>
        <w:t xml:space="preserve"> </w:t>
      </w:r>
      <w:r w:rsidR="00912C0E" w:rsidRPr="00FD211F">
        <w:rPr>
          <w:sz w:val="36"/>
          <w:szCs w:val="36"/>
          <w:rtl/>
        </w:rPr>
        <w:t>مقدور</w:t>
      </w:r>
      <w:r w:rsidR="00E8128F">
        <w:rPr>
          <w:sz w:val="36"/>
          <w:szCs w:val="36"/>
          <w:rtl/>
        </w:rPr>
        <w:t xml:space="preserve"> </w:t>
      </w:r>
      <w:r w:rsidR="00912C0E" w:rsidRPr="00FD211F">
        <w:rPr>
          <w:sz w:val="36"/>
          <w:szCs w:val="36"/>
          <w:rtl/>
        </w:rPr>
        <w:t>فتجري</w:t>
      </w:r>
      <w:r w:rsidR="00E8128F">
        <w:rPr>
          <w:sz w:val="36"/>
          <w:szCs w:val="36"/>
          <w:rtl/>
        </w:rPr>
        <w:t xml:space="preserve"> </w:t>
      </w:r>
      <w:r w:rsidR="00912C0E" w:rsidRPr="00FD211F">
        <w:rPr>
          <w:sz w:val="36"/>
          <w:szCs w:val="36"/>
          <w:rtl/>
        </w:rPr>
        <w:t>البراء</w:t>
      </w:r>
      <w:r w:rsidR="00EC7EDF" w:rsidRPr="00FD211F">
        <w:rPr>
          <w:sz w:val="36"/>
          <w:szCs w:val="36"/>
          <w:rtl/>
        </w:rPr>
        <w:t>ة</w:t>
      </w:r>
      <w:r w:rsidR="00E8128F">
        <w:rPr>
          <w:sz w:val="36"/>
          <w:szCs w:val="36"/>
          <w:rtl/>
        </w:rPr>
        <w:t xml:space="preserve"> </w:t>
      </w:r>
      <w:r w:rsidR="00912C0E" w:rsidRPr="00FD211F">
        <w:rPr>
          <w:sz w:val="36"/>
          <w:szCs w:val="36"/>
          <w:rtl/>
        </w:rPr>
        <w:t>عنه</w:t>
      </w:r>
      <w:r w:rsidR="00603323" w:rsidRPr="00FD211F">
        <w:rPr>
          <w:sz w:val="36"/>
          <w:szCs w:val="36"/>
          <w:rtl/>
        </w:rPr>
        <w:t>،</w:t>
      </w:r>
      <w:r w:rsidR="00E8128F">
        <w:rPr>
          <w:sz w:val="36"/>
          <w:szCs w:val="36"/>
          <w:rtl/>
        </w:rPr>
        <w:t xml:space="preserve"> </w:t>
      </w:r>
      <w:r w:rsidR="00912C0E" w:rsidRPr="00FD211F">
        <w:rPr>
          <w:sz w:val="36"/>
          <w:szCs w:val="36"/>
          <w:rtl/>
        </w:rPr>
        <w:t>ولايكون</w:t>
      </w:r>
      <w:r w:rsidR="00E8128F">
        <w:rPr>
          <w:sz w:val="36"/>
          <w:szCs w:val="36"/>
          <w:rtl/>
        </w:rPr>
        <w:t xml:space="preserve"> </w:t>
      </w:r>
      <w:r w:rsidR="00912C0E" w:rsidRPr="00FD211F">
        <w:rPr>
          <w:sz w:val="36"/>
          <w:szCs w:val="36"/>
          <w:rtl/>
        </w:rPr>
        <w:t>من</w:t>
      </w:r>
      <w:r w:rsidR="00E8128F">
        <w:rPr>
          <w:sz w:val="36"/>
          <w:szCs w:val="36"/>
          <w:rtl/>
        </w:rPr>
        <w:t xml:space="preserve"> </w:t>
      </w:r>
      <w:r w:rsidR="00912C0E" w:rsidRPr="00FD211F">
        <w:rPr>
          <w:sz w:val="36"/>
          <w:szCs w:val="36"/>
          <w:rtl/>
        </w:rPr>
        <w:t>قبيل</w:t>
      </w:r>
      <w:r w:rsidR="00E8128F">
        <w:rPr>
          <w:sz w:val="36"/>
          <w:szCs w:val="36"/>
          <w:rtl/>
        </w:rPr>
        <w:t xml:space="preserve"> </w:t>
      </w:r>
      <w:r w:rsidR="00912C0E" w:rsidRPr="00FD211F">
        <w:rPr>
          <w:sz w:val="36"/>
          <w:szCs w:val="36"/>
          <w:rtl/>
        </w:rPr>
        <w:t>الشك</w:t>
      </w:r>
      <w:r w:rsidR="00E8128F">
        <w:rPr>
          <w:sz w:val="36"/>
          <w:szCs w:val="36"/>
          <w:rtl/>
        </w:rPr>
        <w:t xml:space="preserve"> </w:t>
      </w:r>
      <w:r w:rsidR="00912C0E" w:rsidRPr="00FD211F">
        <w:rPr>
          <w:sz w:val="36"/>
          <w:szCs w:val="36"/>
          <w:rtl/>
        </w:rPr>
        <w:t>في</w:t>
      </w:r>
      <w:r w:rsidR="00E8128F">
        <w:rPr>
          <w:sz w:val="36"/>
          <w:szCs w:val="36"/>
          <w:rtl/>
        </w:rPr>
        <w:t xml:space="preserve"> </w:t>
      </w:r>
      <w:r w:rsidR="00912C0E" w:rsidRPr="00FD211F">
        <w:rPr>
          <w:sz w:val="36"/>
          <w:szCs w:val="36"/>
          <w:rtl/>
        </w:rPr>
        <w:t>القدر</w:t>
      </w:r>
      <w:r w:rsidR="00EC7EDF" w:rsidRPr="00FD211F">
        <w:rPr>
          <w:sz w:val="36"/>
          <w:szCs w:val="36"/>
          <w:rtl/>
        </w:rPr>
        <w:t>ة</w:t>
      </w:r>
      <w:r w:rsidR="00E8128F">
        <w:rPr>
          <w:sz w:val="36"/>
          <w:szCs w:val="36"/>
          <w:rtl/>
        </w:rPr>
        <w:t xml:space="preserve"> </w:t>
      </w:r>
      <w:r w:rsidR="00912C0E" w:rsidRPr="00FD211F">
        <w:rPr>
          <w:sz w:val="36"/>
          <w:szCs w:val="36"/>
          <w:rtl/>
        </w:rPr>
        <w:t>الذي</w:t>
      </w:r>
      <w:r w:rsidR="00E8128F">
        <w:rPr>
          <w:sz w:val="36"/>
          <w:szCs w:val="36"/>
          <w:rtl/>
        </w:rPr>
        <w:t xml:space="preserve"> </w:t>
      </w:r>
      <w:r w:rsidR="00912C0E" w:rsidRPr="00FD211F">
        <w:rPr>
          <w:sz w:val="36"/>
          <w:szCs w:val="36"/>
          <w:rtl/>
        </w:rPr>
        <w:t>التزم</w:t>
      </w:r>
      <w:r w:rsidR="00E8128F">
        <w:rPr>
          <w:sz w:val="36"/>
          <w:szCs w:val="36"/>
          <w:rtl/>
        </w:rPr>
        <w:t xml:space="preserve"> </w:t>
      </w:r>
      <w:r w:rsidR="00912C0E" w:rsidRPr="00FD211F">
        <w:rPr>
          <w:sz w:val="36"/>
          <w:szCs w:val="36"/>
          <w:rtl/>
        </w:rPr>
        <w:t>المشهور</w:t>
      </w:r>
      <w:r w:rsidR="00E8128F">
        <w:rPr>
          <w:sz w:val="36"/>
          <w:szCs w:val="36"/>
          <w:rtl/>
        </w:rPr>
        <w:t xml:space="preserve"> </w:t>
      </w:r>
      <w:r w:rsidR="00912C0E" w:rsidRPr="00FD211F">
        <w:rPr>
          <w:sz w:val="36"/>
          <w:szCs w:val="36"/>
          <w:rtl/>
        </w:rPr>
        <w:t>بجريان</w:t>
      </w:r>
      <w:r w:rsidR="00E8128F">
        <w:rPr>
          <w:sz w:val="36"/>
          <w:szCs w:val="36"/>
          <w:rtl/>
        </w:rPr>
        <w:t xml:space="preserve"> </w:t>
      </w:r>
      <w:r w:rsidR="00912C0E" w:rsidRPr="00FD211F">
        <w:rPr>
          <w:sz w:val="36"/>
          <w:szCs w:val="36"/>
          <w:rtl/>
        </w:rPr>
        <w:t>قاعد</w:t>
      </w:r>
      <w:r w:rsidR="00EC7EDF" w:rsidRPr="00FD211F">
        <w:rPr>
          <w:sz w:val="36"/>
          <w:szCs w:val="36"/>
          <w:rtl/>
        </w:rPr>
        <w:t>ة</w:t>
      </w:r>
      <w:r w:rsidR="00E8128F">
        <w:rPr>
          <w:sz w:val="36"/>
          <w:szCs w:val="36"/>
          <w:rtl/>
        </w:rPr>
        <w:t xml:space="preserve"> </w:t>
      </w:r>
      <w:r w:rsidR="00912C0E" w:rsidRPr="00FD211F">
        <w:rPr>
          <w:sz w:val="36"/>
          <w:szCs w:val="36"/>
          <w:rtl/>
        </w:rPr>
        <w:t>الاشتغال</w:t>
      </w:r>
      <w:r w:rsidR="00E8128F">
        <w:rPr>
          <w:sz w:val="36"/>
          <w:szCs w:val="36"/>
          <w:rtl/>
        </w:rPr>
        <w:t xml:space="preserve"> </w:t>
      </w:r>
      <w:r w:rsidR="00912C0E" w:rsidRPr="00FD211F">
        <w:rPr>
          <w:sz w:val="36"/>
          <w:szCs w:val="36"/>
          <w:rtl/>
        </w:rPr>
        <w:t>فيه</w:t>
      </w:r>
      <w:r w:rsidR="00E8128F">
        <w:rPr>
          <w:sz w:val="36"/>
          <w:szCs w:val="36"/>
          <w:rtl/>
        </w:rPr>
        <w:t xml:space="preserve"> </w:t>
      </w:r>
      <w:r w:rsidR="00912C0E" w:rsidRPr="00FD211F">
        <w:rPr>
          <w:sz w:val="36"/>
          <w:szCs w:val="36"/>
          <w:rtl/>
        </w:rPr>
        <w:t>فانه</w:t>
      </w:r>
      <w:r w:rsidR="00E8128F">
        <w:rPr>
          <w:sz w:val="36"/>
          <w:szCs w:val="36"/>
          <w:rtl/>
        </w:rPr>
        <w:t xml:space="preserve"> </w:t>
      </w:r>
      <w:r w:rsidR="00912C0E" w:rsidRPr="00FD211F">
        <w:rPr>
          <w:sz w:val="36"/>
          <w:szCs w:val="36"/>
          <w:rtl/>
        </w:rPr>
        <w:t>يختص</w:t>
      </w:r>
      <w:r w:rsidR="00E8128F">
        <w:rPr>
          <w:sz w:val="36"/>
          <w:szCs w:val="36"/>
          <w:rtl/>
        </w:rPr>
        <w:t xml:space="preserve"> </w:t>
      </w:r>
      <w:r w:rsidR="00912C0E" w:rsidRPr="00FD211F">
        <w:rPr>
          <w:sz w:val="36"/>
          <w:szCs w:val="36"/>
          <w:rtl/>
        </w:rPr>
        <w:t>بما</w:t>
      </w:r>
      <w:r w:rsidR="00E8128F">
        <w:rPr>
          <w:sz w:val="36"/>
          <w:szCs w:val="36"/>
          <w:rtl/>
        </w:rPr>
        <w:t xml:space="preserve"> </w:t>
      </w:r>
      <w:r w:rsidR="00912C0E" w:rsidRPr="00FD211F">
        <w:rPr>
          <w:sz w:val="36"/>
          <w:szCs w:val="36"/>
          <w:rtl/>
        </w:rPr>
        <w:t>اذا</w:t>
      </w:r>
      <w:r w:rsidR="00E8128F">
        <w:rPr>
          <w:sz w:val="36"/>
          <w:szCs w:val="36"/>
          <w:rtl/>
        </w:rPr>
        <w:t xml:space="preserve"> </w:t>
      </w:r>
      <w:r w:rsidR="008D7B3D" w:rsidRPr="00FD211F">
        <w:rPr>
          <w:sz w:val="36"/>
          <w:szCs w:val="36"/>
          <w:rtl/>
        </w:rPr>
        <w:t>لم‌</w:t>
      </w:r>
      <w:r w:rsidR="00912C0E" w:rsidRPr="00FD211F">
        <w:rPr>
          <w:sz w:val="36"/>
          <w:szCs w:val="36"/>
          <w:rtl/>
        </w:rPr>
        <w:t>يكن</w:t>
      </w:r>
      <w:r w:rsidR="00E8128F">
        <w:rPr>
          <w:sz w:val="36"/>
          <w:szCs w:val="36"/>
          <w:rtl/>
        </w:rPr>
        <w:t xml:space="preserve"> </w:t>
      </w:r>
      <w:r w:rsidR="00912C0E" w:rsidRPr="00FD211F">
        <w:rPr>
          <w:sz w:val="36"/>
          <w:szCs w:val="36"/>
          <w:rtl/>
        </w:rPr>
        <w:t>متعلق</w:t>
      </w:r>
      <w:r w:rsidR="00E8128F">
        <w:rPr>
          <w:sz w:val="36"/>
          <w:szCs w:val="36"/>
          <w:rtl/>
        </w:rPr>
        <w:t xml:space="preserve"> </w:t>
      </w:r>
      <w:r w:rsidR="00912C0E" w:rsidRPr="00FD211F">
        <w:rPr>
          <w:sz w:val="36"/>
          <w:szCs w:val="36"/>
          <w:rtl/>
        </w:rPr>
        <w:t>التكليف</w:t>
      </w:r>
      <w:r w:rsidR="00E8128F">
        <w:rPr>
          <w:sz w:val="36"/>
          <w:szCs w:val="36"/>
          <w:rtl/>
        </w:rPr>
        <w:t xml:space="preserve"> </w:t>
      </w:r>
      <w:r w:rsidR="0028109D" w:rsidRPr="00FD211F">
        <w:rPr>
          <w:sz w:val="36"/>
          <w:szCs w:val="36"/>
          <w:rtl/>
        </w:rPr>
        <w:t>مرددا</w:t>
      </w:r>
      <w:r w:rsidR="00E8128F">
        <w:rPr>
          <w:sz w:val="36"/>
          <w:szCs w:val="36"/>
          <w:rtl/>
        </w:rPr>
        <w:t xml:space="preserve"> </w:t>
      </w:r>
      <w:r w:rsidR="0028109D" w:rsidRPr="00FD211F">
        <w:rPr>
          <w:sz w:val="36"/>
          <w:szCs w:val="36"/>
          <w:rtl/>
        </w:rPr>
        <w:t>بين</w:t>
      </w:r>
      <w:r w:rsidR="00E8128F">
        <w:rPr>
          <w:sz w:val="36"/>
          <w:szCs w:val="36"/>
          <w:rtl/>
        </w:rPr>
        <w:t xml:space="preserve"> </w:t>
      </w:r>
      <w:r w:rsidR="0028109D" w:rsidRPr="00FD211F">
        <w:rPr>
          <w:sz w:val="36"/>
          <w:szCs w:val="36"/>
          <w:rtl/>
        </w:rPr>
        <w:t>المقدور</w:t>
      </w:r>
      <w:r w:rsidR="00E8128F">
        <w:rPr>
          <w:sz w:val="36"/>
          <w:szCs w:val="36"/>
          <w:rtl/>
        </w:rPr>
        <w:t xml:space="preserve"> </w:t>
      </w:r>
      <w:r w:rsidR="00FC0B2D" w:rsidRPr="00FD211F">
        <w:rPr>
          <w:sz w:val="36"/>
          <w:szCs w:val="36"/>
          <w:rtl/>
        </w:rPr>
        <w:t>قطعا</w:t>
      </w:r>
      <w:r w:rsidR="00E8128F">
        <w:rPr>
          <w:sz w:val="36"/>
          <w:szCs w:val="36"/>
          <w:rtl/>
        </w:rPr>
        <w:t xml:space="preserve"> </w:t>
      </w:r>
      <w:r w:rsidR="0028109D" w:rsidRPr="00FD211F">
        <w:rPr>
          <w:sz w:val="36"/>
          <w:szCs w:val="36"/>
          <w:rtl/>
        </w:rPr>
        <w:t>وغير</w:t>
      </w:r>
      <w:r w:rsidR="00E8128F">
        <w:rPr>
          <w:sz w:val="36"/>
          <w:szCs w:val="36"/>
          <w:rtl/>
        </w:rPr>
        <w:t xml:space="preserve"> </w:t>
      </w:r>
      <w:r w:rsidR="0028109D" w:rsidRPr="00FD211F">
        <w:rPr>
          <w:sz w:val="36"/>
          <w:szCs w:val="36"/>
          <w:rtl/>
        </w:rPr>
        <w:t>المقدور</w:t>
      </w:r>
      <w:r w:rsidR="00E8128F">
        <w:rPr>
          <w:sz w:val="36"/>
          <w:szCs w:val="36"/>
          <w:rtl/>
        </w:rPr>
        <w:t xml:space="preserve"> </w:t>
      </w:r>
      <w:r w:rsidR="00FC0B2D" w:rsidRPr="00FD211F">
        <w:rPr>
          <w:sz w:val="36"/>
          <w:szCs w:val="36"/>
          <w:rtl/>
        </w:rPr>
        <w:t>قطعا</w:t>
      </w:r>
      <w:r w:rsidR="00603323" w:rsidRPr="00FD211F">
        <w:rPr>
          <w:sz w:val="36"/>
          <w:szCs w:val="36"/>
          <w:rtl/>
        </w:rPr>
        <w:t>،</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و</w:t>
      </w:r>
      <w:r w:rsidR="0028109D" w:rsidRPr="00FD211F">
        <w:rPr>
          <w:sz w:val="36"/>
          <w:szCs w:val="36"/>
          <w:rtl/>
        </w:rPr>
        <w:t>لو</w:t>
      </w:r>
      <w:r w:rsidR="00E8128F">
        <w:rPr>
          <w:sz w:val="36"/>
          <w:szCs w:val="36"/>
          <w:rtl/>
        </w:rPr>
        <w:t xml:space="preserve"> </w:t>
      </w:r>
      <w:r w:rsidR="0028109D" w:rsidRPr="00FD211F">
        <w:rPr>
          <w:sz w:val="36"/>
          <w:szCs w:val="36"/>
          <w:rtl/>
        </w:rPr>
        <w:t>فرض</w:t>
      </w:r>
      <w:r w:rsidR="00E8128F">
        <w:rPr>
          <w:sz w:val="36"/>
          <w:szCs w:val="36"/>
          <w:rtl/>
        </w:rPr>
        <w:t xml:space="preserve"> </w:t>
      </w:r>
      <w:r w:rsidRPr="00FD211F">
        <w:rPr>
          <w:sz w:val="36"/>
          <w:szCs w:val="36"/>
          <w:rtl/>
        </w:rPr>
        <w:t>طرو</w:t>
      </w:r>
      <w:r w:rsidR="00E8128F">
        <w:rPr>
          <w:sz w:val="36"/>
          <w:szCs w:val="36"/>
          <w:rtl/>
        </w:rPr>
        <w:t xml:space="preserve"> </w:t>
      </w:r>
      <w:r w:rsidRPr="00FD211F">
        <w:rPr>
          <w:sz w:val="36"/>
          <w:szCs w:val="36"/>
          <w:rtl/>
        </w:rPr>
        <w:t>العجز</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اكرام</w:t>
      </w:r>
      <w:r w:rsidR="00E8128F">
        <w:rPr>
          <w:sz w:val="36"/>
          <w:szCs w:val="36"/>
          <w:rtl/>
        </w:rPr>
        <w:t xml:space="preserve"> </w:t>
      </w:r>
      <w:r w:rsidRPr="00FD211F">
        <w:rPr>
          <w:sz w:val="36"/>
          <w:szCs w:val="36"/>
          <w:rtl/>
        </w:rPr>
        <w:t>عالم</w:t>
      </w:r>
      <w:r w:rsidR="00E8128F">
        <w:rPr>
          <w:sz w:val="36"/>
          <w:szCs w:val="36"/>
          <w:rtl/>
        </w:rPr>
        <w:t xml:space="preserve"> </w:t>
      </w:r>
      <w:r w:rsidRPr="00FD211F">
        <w:rPr>
          <w:sz w:val="36"/>
          <w:szCs w:val="36"/>
          <w:rtl/>
        </w:rPr>
        <w:t>فعلي</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فعلي</w:t>
      </w:r>
      <w:r w:rsidR="00EC7EDF" w:rsidRPr="00FD211F">
        <w:rPr>
          <w:sz w:val="36"/>
          <w:szCs w:val="36"/>
          <w:rtl/>
        </w:rPr>
        <w:t>ة</w:t>
      </w:r>
      <w:r w:rsidR="00E8128F">
        <w:rPr>
          <w:sz w:val="36"/>
          <w:szCs w:val="36"/>
          <w:rtl/>
        </w:rPr>
        <w:t xml:space="preserve"> </w:t>
      </w:r>
      <w:r w:rsidRPr="00FD211F">
        <w:rPr>
          <w:sz w:val="36"/>
          <w:szCs w:val="36"/>
          <w:rtl/>
        </w:rPr>
        <w:t>الوجوب</w:t>
      </w:r>
      <w:r w:rsidR="00E8128F">
        <w:rPr>
          <w:sz w:val="36"/>
          <w:szCs w:val="36"/>
          <w:rtl/>
        </w:rPr>
        <w:t xml:space="preserve"> </w:t>
      </w:r>
      <w:r w:rsidRPr="00FD211F">
        <w:rPr>
          <w:sz w:val="36"/>
          <w:szCs w:val="36"/>
          <w:rtl/>
        </w:rPr>
        <w:t>فقد</w:t>
      </w:r>
      <w:r w:rsidR="00E8128F">
        <w:rPr>
          <w:sz w:val="36"/>
          <w:szCs w:val="36"/>
          <w:rtl/>
        </w:rPr>
        <w:t xml:space="preserve"> </w:t>
      </w:r>
      <w:r w:rsidRPr="00FD211F">
        <w:rPr>
          <w:sz w:val="36"/>
          <w:szCs w:val="36"/>
          <w:rtl/>
        </w:rPr>
        <w:t>يتوهم</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بقاء</w:t>
      </w:r>
      <w:r w:rsidR="00E8128F">
        <w:rPr>
          <w:sz w:val="36"/>
          <w:szCs w:val="36"/>
          <w:rtl/>
        </w:rPr>
        <w:t xml:space="preserve"> </w:t>
      </w:r>
      <w:r w:rsidRPr="00FD211F">
        <w:rPr>
          <w:sz w:val="36"/>
          <w:szCs w:val="36"/>
          <w:rtl/>
        </w:rPr>
        <w:t>الوجوب</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حاكما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الب</w:t>
      </w:r>
      <w:r w:rsidR="008D7B3D" w:rsidRPr="00FD211F">
        <w:rPr>
          <w:sz w:val="36"/>
          <w:szCs w:val="36"/>
          <w:rtl/>
        </w:rPr>
        <w:t>راءة</w:t>
      </w:r>
      <w:r w:rsidR="00603323" w:rsidRPr="00FD211F">
        <w:rPr>
          <w:sz w:val="36"/>
          <w:szCs w:val="36"/>
          <w:rtl/>
        </w:rPr>
        <w:t>،</w:t>
      </w:r>
      <w:r w:rsidR="00E8128F">
        <w:rPr>
          <w:sz w:val="36"/>
          <w:szCs w:val="36"/>
          <w:rtl/>
        </w:rPr>
        <w:t xml:space="preserve"> </w:t>
      </w:r>
      <w:r w:rsidRPr="00FD211F">
        <w:rPr>
          <w:sz w:val="36"/>
          <w:szCs w:val="36"/>
          <w:rtl/>
        </w:rPr>
        <w:t>ولكنه</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متجه</w:t>
      </w:r>
      <w:r w:rsidR="00E8128F">
        <w:rPr>
          <w:sz w:val="36"/>
          <w:szCs w:val="36"/>
          <w:rtl/>
        </w:rPr>
        <w:t xml:space="preserve"> </w:t>
      </w:r>
      <w:r w:rsidRPr="00FD211F">
        <w:rPr>
          <w:sz w:val="36"/>
          <w:szCs w:val="36"/>
          <w:rtl/>
        </w:rPr>
        <w:t>لان</w:t>
      </w:r>
      <w:r w:rsidR="00E8128F">
        <w:rPr>
          <w:sz w:val="36"/>
          <w:szCs w:val="36"/>
          <w:rtl/>
        </w:rPr>
        <w:t xml:space="preserve"> </w:t>
      </w:r>
      <w:r w:rsidRPr="00FD211F">
        <w:rPr>
          <w:sz w:val="36"/>
          <w:szCs w:val="36"/>
          <w:rtl/>
        </w:rPr>
        <w:t>استصحاب</w:t>
      </w:r>
      <w:r w:rsidR="00E8128F">
        <w:rPr>
          <w:sz w:val="36"/>
          <w:szCs w:val="36"/>
          <w:rtl/>
        </w:rPr>
        <w:t xml:space="preserve"> </w:t>
      </w:r>
      <w:r w:rsidRPr="00FD211F">
        <w:rPr>
          <w:sz w:val="36"/>
          <w:szCs w:val="36"/>
          <w:rtl/>
        </w:rPr>
        <w:t>بقاء</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يتردد</w:t>
      </w:r>
      <w:r w:rsidR="00E8128F">
        <w:rPr>
          <w:sz w:val="36"/>
          <w:szCs w:val="36"/>
          <w:rtl/>
        </w:rPr>
        <w:t xml:space="preserve"> </w:t>
      </w:r>
      <w:r w:rsidRPr="00FD211F">
        <w:rPr>
          <w:sz w:val="36"/>
          <w:szCs w:val="36"/>
          <w:rtl/>
        </w:rPr>
        <w:t>متعلقه</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قابلا</w:t>
      </w:r>
      <w:r w:rsidR="00E8128F">
        <w:rPr>
          <w:sz w:val="36"/>
          <w:szCs w:val="36"/>
          <w:rtl/>
        </w:rPr>
        <w:t xml:space="preserve"> </w:t>
      </w:r>
      <w:r w:rsidRPr="00FD211F">
        <w:rPr>
          <w:sz w:val="36"/>
          <w:szCs w:val="36"/>
          <w:rtl/>
        </w:rPr>
        <w:t>للتنجيز</w:t>
      </w:r>
      <w:r w:rsidR="00E8128F">
        <w:rPr>
          <w:sz w:val="36"/>
          <w:szCs w:val="36"/>
          <w:rtl/>
        </w:rPr>
        <w:t xml:space="preserve"> </w:t>
      </w:r>
      <w:r w:rsidRPr="00FD211F">
        <w:rPr>
          <w:sz w:val="36"/>
          <w:szCs w:val="36"/>
          <w:rtl/>
        </w:rPr>
        <w:t>وما</w:t>
      </w:r>
      <w:r w:rsidR="00E8128F">
        <w:rPr>
          <w:sz w:val="36"/>
          <w:szCs w:val="36"/>
          <w:rtl/>
        </w:rPr>
        <w:t xml:space="preserve"> </w:t>
      </w:r>
      <w:r w:rsidRPr="00FD211F">
        <w:rPr>
          <w:sz w:val="36"/>
          <w:szCs w:val="36"/>
          <w:rtl/>
        </w:rPr>
        <w:t>لايكون</w:t>
      </w:r>
      <w:r w:rsidR="00E8128F">
        <w:rPr>
          <w:sz w:val="36"/>
          <w:szCs w:val="36"/>
          <w:rtl/>
        </w:rPr>
        <w:t xml:space="preserve"> </w:t>
      </w:r>
      <w:r w:rsidRPr="00FD211F">
        <w:rPr>
          <w:sz w:val="36"/>
          <w:szCs w:val="36"/>
          <w:rtl/>
        </w:rPr>
        <w:t>قابلا</w:t>
      </w:r>
      <w:r w:rsidR="00E8128F">
        <w:rPr>
          <w:sz w:val="36"/>
          <w:szCs w:val="36"/>
          <w:rtl/>
        </w:rPr>
        <w:t xml:space="preserve"> </w:t>
      </w:r>
      <w:r w:rsidRPr="00FD211F">
        <w:rPr>
          <w:sz w:val="36"/>
          <w:szCs w:val="36"/>
          <w:rtl/>
        </w:rPr>
        <w:t>لذلك</w:t>
      </w:r>
      <w:r w:rsidR="00E8128F">
        <w:rPr>
          <w:sz w:val="36"/>
          <w:szCs w:val="36"/>
          <w:rtl/>
        </w:rPr>
        <w:t xml:space="preserve"> </w:t>
      </w:r>
      <w:r w:rsidRPr="00FD211F">
        <w:rPr>
          <w:sz w:val="36"/>
          <w:szCs w:val="36"/>
          <w:rtl/>
        </w:rPr>
        <w:t>لكونه</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مقدور</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لايكون</w:t>
      </w:r>
      <w:r w:rsidR="00E8128F">
        <w:rPr>
          <w:sz w:val="36"/>
          <w:szCs w:val="36"/>
          <w:rtl/>
        </w:rPr>
        <w:t xml:space="preserve"> </w:t>
      </w:r>
      <w:r w:rsidRPr="00FD211F">
        <w:rPr>
          <w:sz w:val="36"/>
          <w:szCs w:val="36"/>
          <w:rtl/>
        </w:rPr>
        <w:t>منجزا</w:t>
      </w:r>
      <w:r w:rsidR="00E8128F">
        <w:rPr>
          <w:sz w:val="36"/>
          <w:szCs w:val="36"/>
          <w:rtl/>
        </w:rPr>
        <w:t xml:space="preserve"> </w:t>
      </w:r>
      <w:r w:rsidRPr="00FD211F">
        <w:rPr>
          <w:sz w:val="36"/>
          <w:szCs w:val="36"/>
          <w:rtl/>
        </w:rPr>
        <w:t>عقلا</w:t>
      </w:r>
      <w:r w:rsidR="00603323" w:rsidRPr="00FD211F">
        <w:rPr>
          <w:sz w:val="36"/>
          <w:szCs w:val="36"/>
          <w:rtl/>
        </w:rPr>
        <w:t>،</w:t>
      </w:r>
      <w:r w:rsidR="00E8128F">
        <w:rPr>
          <w:sz w:val="36"/>
          <w:szCs w:val="36"/>
          <w:rtl/>
        </w:rPr>
        <w:t xml:space="preserve"> </w:t>
      </w:r>
      <w:r w:rsidR="00FC0B2D" w:rsidRPr="00FD211F">
        <w:rPr>
          <w:sz w:val="36"/>
          <w:szCs w:val="36"/>
          <w:rtl/>
        </w:rPr>
        <w:t>اذ</w:t>
      </w:r>
      <w:r w:rsidR="00E8128F">
        <w:rPr>
          <w:sz w:val="36"/>
          <w:szCs w:val="36"/>
          <w:rtl/>
        </w:rPr>
        <w:t xml:space="preserve"> </w:t>
      </w:r>
      <w:r w:rsidR="00FC0B2D" w:rsidRPr="00FD211F">
        <w:rPr>
          <w:sz w:val="36"/>
          <w:szCs w:val="36"/>
          <w:rtl/>
        </w:rPr>
        <w:t>لايزيد</w:t>
      </w:r>
      <w:r w:rsidR="00E8128F">
        <w:rPr>
          <w:sz w:val="36"/>
          <w:szCs w:val="36"/>
          <w:rtl/>
        </w:rPr>
        <w:t xml:space="preserve"> </w:t>
      </w:r>
      <w:r w:rsidR="00FC0B2D" w:rsidRPr="00FD211F">
        <w:rPr>
          <w:sz w:val="36"/>
          <w:szCs w:val="36"/>
          <w:rtl/>
        </w:rPr>
        <w:t>على</w:t>
      </w:r>
      <w:r w:rsidR="00E8128F">
        <w:rPr>
          <w:sz w:val="36"/>
          <w:szCs w:val="36"/>
          <w:rtl/>
        </w:rPr>
        <w:t xml:space="preserve"> </w:t>
      </w:r>
      <w:r w:rsidR="00FC0B2D" w:rsidRPr="00FD211F">
        <w:rPr>
          <w:sz w:val="36"/>
          <w:szCs w:val="36"/>
          <w:rtl/>
        </w:rPr>
        <w:t>العلم</w:t>
      </w:r>
      <w:r w:rsidR="00E8128F">
        <w:rPr>
          <w:sz w:val="36"/>
          <w:szCs w:val="36"/>
          <w:rtl/>
        </w:rPr>
        <w:t xml:space="preserve"> </w:t>
      </w:r>
      <w:r w:rsidR="00FC0B2D" w:rsidRPr="00FD211F">
        <w:rPr>
          <w:sz w:val="36"/>
          <w:szCs w:val="36"/>
          <w:rtl/>
        </w:rPr>
        <w:t>الوجداني</w:t>
      </w:r>
      <w:r w:rsidR="00E8128F">
        <w:rPr>
          <w:sz w:val="36"/>
          <w:szCs w:val="36"/>
          <w:rtl/>
        </w:rPr>
        <w:t xml:space="preserve"> </w:t>
      </w:r>
      <w:r w:rsidR="00FC0B2D" w:rsidRPr="00FD211F">
        <w:rPr>
          <w:sz w:val="36"/>
          <w:szCs w:val="36"/>
          <w:rtl/>
        </w:rPr>
        <w:t>بتكليف</w:t>
      </w:r>
      <w:r w:rsidR="00E8128F">
        <w:rPr>
          <w:sz w:val="36"/>
          <w:szCs w:val="36"/>
          <w:rtl/>
        </w:rPr>
        <w:t xml:space="preserve"> </w:t>
      </w:r>
      <w:r w:rsidR="00FC0B2D" w:rsidRPr="00FD211F">
        <w:rPr>
          <w:sz w:val="36"/>
          <w:szCs w:val="36"/>
          <w:rtl/>
        </w:rPr>
        <w:t>يتردد</w:t>
      </w:r>
      <w:r w:rsidR="00E8128F">
        <w:rPr>
          <w:sz w:val="36"/>
          <w:szCs w:val="36"/>
          <w:rtl/>
        </w:rPr>
        <w:t xml:space="preserve"> </w:t>
      </w:r>
      <w:r w:rsidR="00FC0B2D" w:rsidRPr="00FD211F">
        <w:rPr>
          <w:sz w:val="36"/>
          <w:szCs w:val="36"/>
          <w:rtl/>
        </w:rPr>
        <w:t>متعلقه</w:t>
      </w:r>
      <w:r w:rsidR="00E8128F">
        <w:rPr>
          <w:sz w:val="36"/>
          <w:szCs w:val="36"/>
          <w:rtl/>
        </w:rPr>
        <w:t xml:space="preserve"> </w:t>
      </w:r>
      <w:r w:rsidR="00FC0B2D" w:rsidRPr="00FD211F">
        <w:rPr>
          <w:sz w:val="36"/>
          <w:szCs w:val="36"/>
          <w:rtl/>
        </w:rPr>
        <w:t>بين</w:t>
      </w:r>
      <w:r w:rsidR="00E8128F">
        <w:rPr>
          <w:sz w:val="36"/>
          <w:szCs w:val="36"/>
          <w:rtl/>
        </w:rPr>
        <w:t xml:space="preserve"> </w:t>
      </w:r>
      <w:r w:rsidR="00FC0B2D" w:rsidRPr="00FD211F">
        <w:rPr>
          <w:sz w:val="36"/>
          <w:szCs w:val="36"/>
          <w:rtl/>
        </w:rPr>
        <w:t>ما</w:t>
      </w:r>
      <w:r w:rsidR="00E8128F">
        <w:rPr>
          <w:sz w:val="36"/>
          <w:szCs w:val="36"/>
          <w:rtl/>
        </w:rPr>
        <w:t xml:space="preserve"> </w:t>
      </w:r>
      <w:r w:rsidR="00FC0B2D" w:rsidRPr="00FD211F">
        <w:rPr>
          <w:sz w:val="36"/>
          <w:szCs w:val="36"/>
          <w:rtl/>
        </w:rPr>
        <w:t>يصلح</w:t>
      </w:r>
      <w:r w:rsidR="00E8128F">
        <w:rPr>
          <w:sz w:val="36"/>
          <w:szCs w:val="36"/>
          <w:rtl/>
        </w:rPr>
        <w:t xml:space="preserve"> </w:t>
      </w:r>
      <w:r w:rsidR="00FC0B2D" w:rsidRPr="00FD211F">
        <w:rPr>
          <w:sz w:val="36"/>
          <w:szCs w:val="36"/>
          <w:rtl/>
        </w:rPr>
        <w:t>للتنجيز</w:t>
      </w:r>
      <w:r w:rsidR="00E8128F">
        <w:rPr>
          <w:sz w:val="36"/>
          <w:szCs w:val="36"/>
          <w:rtl/>
        </w:rPr>
        <w:t xml:space="preserve"> </w:t>
      </w:r>
      <w:r w:rsidR="00FC0B2D" w:rsidRPr="00FD211F">
        <w:rPr>
          <w:sz w:val="36"/>
          <w:szCs w:val="36"/>
          <w:rtl/>
        </w:rPr>
        <w:t>وما</w:t>
      </w:r>
      <w:r w:rsidR="00E8128F">
        <w:rPr>
          <w:sz w:val="36"/>
          <w:szCs w:val="36"/>
          <w:rtl/>
        </w:rPr>
        <w:t xml:space="preserve"> </w:t>
      </w:r>
      <w:r w:rsidR="00FC0B2D" w:rsidRPr="00FD211F">
        <w:rPr>
          <w:sz w:val="36"/>
          <w:szCs w:val="36"/>
          <w:rtl/>
        </w:rPr>
        <w:t>لايصلح</w:t>
      </w:r>
      <w:r w:rsidR="00E8128F">
        <w:rPr>
          <w:sz w:val="36"/>
          <w:szCs w:val="36"/>
          <w:rtl/>
        </w:rPr>
        <w:t xml:space="preserve"> </w:t>
      </w:r>
      <w:r w:rsidR="00FC0B2D" w:rsidRPr="00FD211F">
        <w:rPr>
          <w:sz w:val="36"/>
          <w:szCs w:val="36"/>
          <w:rtl/>
        </w:rPr>
        <w:t>له</w:t>
      </w:r>
      <w:r w:rsidR="00E8128F">
        <w:rPr>
          <w:sz w:val="36"/>
          <w:szCs w:val="36"/>
          <w:rtl/>
        </w:rPr>
        <w:t xml:space="preserve"> </w:t>
      </w:r>
      <w:r w:rsidR="00FC0B2D" w:rsidRPr="00FD211F">
        <w:rPr>
          <w:sz w:val="36"/>
          <w:szCs w:val="36"/>
          <w:rtl/>
        </w:rPr>
        <w:t>لافتراض</w:t>
      </w:r>
      <w:r w:rsidR="00E8128F">
        <w:rPr>
          <w:sz w:val="36"/>
          <w:szCs w:val="36"/>
          <w:rtl/>
        </w:rPr>
        <w:t xml:space="preserve"> </w:t>
      </w:r>
      <w:r w:rsidR="00FC0B2D" w:rsidRPr="00FD211F">
        <w:rPr>
          <w:sz w:val="36"/>
          <w:szCs w:val="36"/>
          <w:rtl/>
        </w:rPr>
        <w:t>امتثاله</w:t>
      </w:r>
      <w:r w:rsidR="00E8128F">
        <w:rPr>
          <w:sz w:val="36"/>
          <w:szCs w:val="36"/>
          <w:rtl/>
        </w:rPr>
        <w:t xml:space="preserve"> </w:t>
      </w:r>
      <w:r w:rsidR="00FC0B2D" w:rsidRPr="00FD211F">
        <w:rPr>
          <w:sz w:val="36"/>
          <w:szCs w:val="36"/>
          <w:rtl/>
        </w:rPr>
        <w:t>سابقا</w:t>
      </w:r>
      <w:r w:rsidR="00E8128F">
        <w:rPr>
          <w:sz w:val="36"/>
          <w:szCs w:val="36"/>
          <w:rtl/>
        </w:rPr>
        <w:t xml:space="preserve"> </w:t>
      </w:r>
      <w:r w:rsidR="00FC0B2D" w:rsidRPr="00FD211F">
        <w:rPr>
          <w:sz w:val="36"/>
          <w:szCs w:val="36"/>
          <w:rtl/>
        </w:rPr>
        <w:t>او</w:t>
      </w:r>
      <w:r w:rsidR="00E8128F">
        <w:rPr>
          <w:sz w:val="36"/>
          <w:szCs w:val="36"/>
          <w:rtl/>
        </w:rPr>
        <w:t xml:space="preserve"> </w:t>
      </w:r>
      <w:r w:rsidR="00FC0B2D" w:rsidRPr="00FD211F">
        <w:rPr>
          <w:sz w:val="36"/>
          <w:szCs w:val="36"/>
          <w:rtl/>
        </w:rPr>
        <w:t>عدم</w:t>
      </w:r>
      <w:r w:rsidR="00E8128F">
        <w:rPr>
          <w:sz w:val="36"/>
          <w:szCs w:val="36"/>
          <w:rtl/>
        </w:rPr>
        <w:t xml:space="preserve"> </w:t>
      </w:r>
      <w:r w:rsidR="00FC0B2D" w:rsidRPr="00FD211F">
        <w:rPr>
          <w:sz w:val="36"/>
          <w:szCs w:val="36"/>
          <w:rtl/>
        </w:rPr>
        <w:t>كونه</w:t>
      </w:r>
      <w:r w:rsidR="00E8128F">
        <w:rPr>
          <w:sz w:val="36"/>
          <w:szCs w:val="36"/>
          <w:rtl/>
        </w:rPr>
        <w:t xml:space="preserve"> </w:t>
      </w:r>
      <w:r w:rsidR="00FC0B2D" w:rsidRPr="00FD211F">
        <w:rPr>
          <w:sz w:val="36"/>
          <w:szCs w:val="36"/>
          <w:rtl/>
        </w:rPr>
        <w:t>مقدورا</w:t>
      </w:r>
      <w:r w:rsidR="00E8128F">
        <w:rPr>
          <w:sz w:val="36"/>
          <w:szCs w:val="36"/>
          <w:rtl/>
        </w:rPr>
        <w:t xml:space="preserve"> </w:t>
      </w:r>
      <w:r w:rsidR="00FC0B2D" w:rsidRPr="00FD211F">
        <w:rPr>
          <w:sz w:val="36"/>
          <w:szCs w:val="36"/>
          <w:rtl/>
        </w:rPr>
        <w:t>ونحو</w:t>
      </w:r>
      <w:r w:rsidR="00E8128F">
        <w:rPr>
          <w:sz w:val="36"/>
          <w:szCs w:val="36"/>
          <w:rtl/>
        </w:rPr>
        <w:t xml:space="preserve"> </w:t>
      </w:r>
      <w:r w:rsidR="00FC0B2D" w:rsidRPr="00FD211F">
        <w:rPr>
          <w:sz w:val="36"/>
          <w:szCs w:val="36"/>
          <w:rtl/>
        </w:rPr>
        <w:t>ذلك</w:t>
      </w:r>
      <w:r w:rsidR="00603323" w:rsidRPr="00FD211F">
        <w:rPr>
          <w:sz w:val="36"/>
          <w:szCs w:val="36"/>
          <w:rtl/>
        </w:rPr>
        <w:t>،</w:t>
      </w:r>
      <w:r w:rsidR="00E8128F">
        <w:rPr>
          <w:sz w:val="36"/>
          <w:szCs w:val="36"/>
          <w:rtl/>
        </w:rPr>
        <w:t xml:space="preserve"> </w:t>
      </w:r>
      <w:r w:rsidR="00FC0B2D" w:rsidRPr="00FD211F">
        <w:rPr>
          <w:sz w:val="36"/>
          <w:szCs w:val="36"/>
          <w:rtl/>
        </w:rPr>
        <w:t>كما</w:t>
      </w:r>
      <w:r w:rsidR="00E8128F">
        <w:rPr>
          <w:sz w:val="36"/>
          <w:szCs w:val="36"/>
          <w:rtl/>
        </w:rPr>
        <w:t xml:space="preserve"> </w:t>
      </w:r>
      <w:r w:rsidR="00FC0B2D" w:rsidRPr="00FD211F">
        <w:rPr>
          <w:sz w:val="36"/>
          <w:szCs w:val="36"/>
          <w:rtl/>
        </w:rPr>
        <w:t>لو</w:t>
      </w:r>
      <w:r w:rsidR="00E8128F">
        <w:rPr>
          <w:sz w:val="36"/>
          <w:szCs w:val="36"/>
          <w:rtl/>
        </w:rPr>
        <w:t xml:space="preserve"> </w:t>
      </w:r>
      <w:r w:rsidR="00FC0B2D" w:rsidRPr="00FD211F">
        <w:rPr>
          <w:sz w:val="36"/>
          <w:szCs w:val="36"/>
          <w:rtl/>
        </w:rPr>
        <w:t>قال</w:t>
      </w:r>
      <w:r w:rsidR="00E8128F">
        <w:rPr>
          <w:sz w:val="36"/>
          <w:szCs w:val="36"/>
          <w:rtl/>
        </w:rPr>
        <w:t xml:space="preserve"> </w:t>
      </w:r>
      <w:r w:rsidR="00FC0B2D" w:rsidRPr="00FD211F">
        <w:rPr>
          <w:sz w:val="36"/>
          <w:szCs w:val="36"/>
          <w:rtl/>
        </w:rPr>
        <w:t>المولى</w:t>
      </w:r>
      <w:r w:rsidR="00E8128F">
        <w:rPr>
          <w:sz w:val="36"/>
          <w:szCs w:val="36"/>
          <w:rtl/>
        </w:rPr>
        <w:t xml:space="preserve"> </w:t>
      </w:r>
      <w:r w:rsidR="00FC0B2D" w:rsidRPr="00FD211F">
        <w:rPr>
          <w:sz w:val="36"/>
          <w:szCs w:val="36"/>
          <w:rtl/>
        </w:rPr>
        <w:t>اكرم</w:t>
      </w:r>
      <w:r w:rsidR="00E8128F">
        <w:rPr>
          <w:sz w:val="36"/>
          <w:szCs w:val="36"/>
          <w:rtl/>
        </w:rPr>
        <w:t xml:space="preserve"> </w:t>
      </w:r>
      <w:r w:rsidR="00FC0B2D" w:rsidRPr="00FD211F">
        <w:rPr>
          <w:sz w:val="36"/>
          <w:szCs w:val="36"/>
          <w:rtl/>
        </w:rPr>
        <w:t>زيدا</w:t>
      </w:r>
      <w:r w:rsidR="00E8128F">
        <w:rPr>
          <w:sz w:val="36"/>
          <w:szCs w:val="36"/>
          <w:rtl/>
        </w:rPr>
        <w:t xml:space="preserve"> </w:t>
      </w:r>
      <w:r w:rsidR="00FC0B2D" w:rsidRPr="00FD211F">
        <w:rPr>
          <w:sz w:val="36"/>
          <w:szCs w:val="36"/>
          <w:rtl/>
        </w:rPr>
        <w:t>وتردد</w:t>
      </w:r>
      <w:r w:rsidR="00E8128F">
        <w:rPr>
          <w:sz w:val="36"/>
          <w:szCs w:val="36"/>
          <w:rtl/>
        </w:rPr>
        <w:t xml:space="preserve"> </w:t>
      </w:r>
      <w:r w:rsidR="00FC0B2D" w:rsidRPr="00FD211F">
        <w:rPr>
          <w:sz w:val="36"/>
          <w:szCs w:val="36"/>
          <w:rtl/>
        </w:rPr>
        <w:t>بين</w:t>
      </w:r>
      <w:r w:rsidR="00E8128F">
        <w:rPr>
          <w:sz w:val="36"/>
          <w:szCs w:val="36"/>
          <w:rtl/>
        </w:rPr>
        <w:t xml:space="preserve"> </w:t>
      </w:r>
      <w:r w:rsidR="00FC0B2D" w:rsidRPr="00FD211F">
        <w:rPr>
          <w:sz w:val="36"/>
          <w:szCs w:val="36"/>
          <w:rtl/>
        </w:rPr>
        <w:t>ان</w:t>
      </w:r>
      <w:r w:rsidR="00E8128F">
        <w:rPr>
          <w:sz w:val="36"/>
          <w:szCs w:val="36"/>
          <w:rtl/>
        </w:rPr>
        <w:t xml:space="preserve"> </w:t>
      </w:r>
      <w:r w:rsidR="00FC0B2D" w:rsidRPr="00FD211F">
        <w:rPr>
          <w:sz w:val="36"/>
          <w:szCs w:val="36"/>
          <w:rtl/>
        </w:rPr>
        <w:t>يراد</w:t>
      </w:r>
      <w:r w:rsidR="00E8128F">
        <w:rPr>
          <w:sz w:val="36"/>
          <w:szCs w:val="36"/>
          <w:rtl/>
        </w:rPr>
        <w:t xml:space="preserve"> </w:t>
      </w:r>
      <w:r w:rsidR="00FC0B2D" w:rsidRPr="00FD211F">
        <w:rPr>
          <w:sz w:val="36"/>
          <w:szCs w:val="36"/>
          <w:rtl/>
        </w:rPr>
        <w:t>به</w:t>
      </w:r>
      <w:r w:rsidR="00E8128F">
        <w:rPr>
          <w:sz w:val="36"/>
          <w:szCs w:val="36"/>
          <w:rtl/>
        </w:rPr>
        <w:t xml:space="preserve"> </w:t>
      </w:r>
      <w:r w:rsidR="00FC0B2D" w:rsidRPr="00FD211F">
        <w:rPr>
          <w:sz w:val="36"/>
          <w:szCs w:val="36"/>
          <w:rtl/>
        </w:rPr>
        <w:t>زيد</w:t>
      </w:r>
      <w:r w:rsidR="00E8128F">
        <w:rPr>
          <w:sz w:val="36"/>
          <w:szCs w:val="36"/>
          <w:rtl/>
        </w:rPr>
        <w:t xml:space="preserve"> </w:t>
      </w:r>
      <w:r w:rsidR="00FC0B2D" w:rsidRPr="00FD211F">
        <w:rPr>
          <w:sz w:val="36"/>
          <w:szCs w:val="36"/>
          <w:rtl/>
        </w:rPr>
        <w:t>العالم</w:t>
      </w:r>
      <w:r w:rsidR="00E8128F">
        <w:rPr>
          <w:sz w:val="36"/>
          <w:szCs w:val="36"/>
          <w:rtl/>
        </w:rPr>
        <w:t xml:space="preserve"> </w:t>
      </w:r>
      <w:r w:rsidR="00FC0B2D" w:rsidRPr="00FD211F">
        <w:rPr>
          <w:sz w:val="36"/>
          <w:szCs w:val="36"/>
          <w:rtl/>
        </w:rPr>
        <w:t>الذي</w:t>
      </w:r>
      <w:r w:rsidR="00E8128F">
        <w:rPr>
          <w:sz w:val="36"/>
          <w:szCs w:val="36"/>
          <w:rtl/>
        </w:rPr>
        <w:t xml:space="preserve"> </w:t>
      </w:r>
      <w:r w:rsidR="00FC0B2D" w:rsidRPr="00FD211F">
        <w:rPr>
          <w:sz w:val="36"/>
          <w:szCs w:val="36"/>
          <w:rtl/>
        </w:rPr>
        <w:t>لايكون</w:t>
      </w:r>
      <w:r w:rsidR="00E8128F">
        <w:rPr>
          <w:sz w:val="36"/>
          <w:szCs w:val="36"/>
          <w:rtl/>
        </w:rPr>
        <w:t xml:space="preserve"> </w:t>
      </w:r>
      <w:r w:rsidR="00FC0B2D" w:rsidRPr="00FD211F">
        <w:rPr>
          <w:sz w:val="36"/>
          <w:szCs w:val="36"/>
          <w:rtl/>
        </w:rPr>
        <w:t>اكرامه</w:t>
      </w:r>
      <w:r w:rsidR="00E8128F">
        <w:rPr>
          <w:sz w:val="36"/>
          <w:szCs w:val="36"/>
          <w:rtl/>
        </w:rPr>
        <w:t xml:space="preserve"> </w:t>
      </w:r>
      <w:r w:rsidR="00FC0B2D" w:rsidRPr="00FD211F">
        <w:rPr>
          <w:sz w:val="36"/>
          <w:szCs w:val="36"/>
          <w:rtl/>
        </w:rPr>
        <w:t>مقدورا</w:t>
      </w:r>
      <w:r w:rsidR="00E8128F">
        <w:rPr>
          <w:sz w:val="36"/>
          <w:szCs w:val="36"/>
          <w:rtl/>
        </w:rPr>
        <w:t xml:space="preserve"> </w:t>
      </w:r>
      <w:r w:rsidR="00FC0B2D" w:rsidRPr="00FD211F">
        <w:rPr>
          <w:sz w:val="36"/>
          <w:szCs w:val="36"/>
          <w:rtl/>
        </w:rPr>
        <w:t>لهذا</w:t>
      </w:r>
      <w:r w:rsidR="00E8128F">
        <w:rPr>
          <w:sz w:val="36"/>
          <w:szCs w:val="36"/>
          <w:rtl/>
        </w:rPr>
        <w:t xml:space="preserve"> </w:t>
      </w:r>
      <w:r w:rsidR="00FC0B2D" w:rsidRPr="00FD211F">
        <w:rPr>
          <w:sz w:val="36"/>
          <w:szCs w:val="36"/>
          <w:rtl/>
        </w:rPr>
        <w:t>المكلف</w:t>
      </w:r>
      <w:r w:rsidR="00E8128F">
        <w:rPr>
          <w:sz w:val="36"/>
          <w:szCs w:val="36"/>
          <w:rtl/>
        </w:rPr>
        <w:t xml:space="preserve"> </w:t>
      </w:r>
      <w:r w:rsidR="00FC0B2D" w:rsidRPr="00FD211F">
        <w:rPr>
          <w:sz w:val="36"/>
          <w:szCs w:val="36"/>
          <w:rtl/>
        </w:rPr>
        <w:t>وبين</w:t>
      </w:r>
      <w:r w:rsidR="00E8128F">
        <w:rPr>
          <w:sz w:val="36"/>
          <w:szCs w:val="36"/>
          <w:rtl/>
        </w:rPr>
        <w:t xml:space="preserve"> </w:t>
      </w:r>
      <w:r w:rsidR="00FC0B2D" w:rsidRPr="00FD211F">
        <w:rPr>
          <w:sz w:val="36"/>
          <w:szCs w:val="36"/>
          <w:rtl/>
        </w:rPr>
        <w:t>ان</w:t>
      </w:r>
      <w:r w:rsidR="00E8128F">
        <w:rPr>
          <w:sz w:val="36"/>
          <w:szCs w:val="36"/>
          <w:rtl/>
        </w:rPr>
        <w:t xml:space="preserve"> </w:t>
      </w:r>
      <w:r w:rsidR="00FC0B2D" w:rsidRPr="00FD211F">
        <w:rPr>
          <w:sz w:val="36"/>
          <w:szCs w:val="36"/>
          <w:rtl/>
        </w:rPr>
        <w:t>يراد</w:t>
      </w:r>
      <w:r w:rsidR="00E8128F">
        <w:rPr>
          <w:sz w:val="36"/>
          <w:szCs w:val="36"/>
          <w:rtl/>
        </w:rPr>
        <w:t xml:space="preserve"> </w:t>
      </w:r>
      <w:r w:rsidR="00FC0B2D" w:rsidRPr="00FD211F">
        <w:rPr>
          <w:sz w:val="36"/>
          <w:szCs w:val="36"/>
          <w:rtl/>
        </w:rPr>
        <w:t>به</w:t>
      </w:r>
      <w:r w:rsidR="00E8128F">
        <w:rPr>
          <w:sz w:val="36"/>
          <w:szCs w:val="36"/>
          <w:rtl/>
        </w:rPr>
        <w:t xml:space="preserve"> </w:t>
      </w:r>
      <w:r w:rsidR="00FC0B2D" w:rsidRPr="00FD211F">
        <w:rPr>
          <w:sz w:val="36"/>
          <w:szCs w:val="36"/>
          <w:rtl/>
        </w:rPr>
        <w:t>زيد</w:t>
      </w:r>
      <w:r w:rsidR="00E8128F">
        <w:rPr>
          <w:sz w:val="36"/>
          <w:szCs w:val="36"/>
          <w:rtl/>
        </w:rPr>
        <w:t xml:space="preserve"> </w:t>
      </w:r>
      <w:r w:rsidR="00FC0B2D" w:rsidRPr="00FD211F">
        <w:rPr>
          <w:sz w:val="36"/>
          <w:szCs w:val="36"/>
          <w:rtl/>
        </w:rPr>
        <w:t>الجاهل</w:t>
      </w:r>
      <w:r w:rsidR="00E8128F">
        <w:rPr>
          <w:sz w:val="36"/>
          <w:szCs w:val="36"/>
          <w:rtl/>
        </w:rPr>
        <w:t xml:space="preserve"> </w:t>
      </w:r>
      <w:r w:rsidR="00FC0B2D" w:rsidRPr="00FD211F">
        <w:rPr>
          <w:sz w:val="36"/>
          <w:szCs w:val="36"/>
          <w:rtl/>
        </w:rPr>
        <w:t>الذي</w:t>
      </w:r>
      <w:r w:rsidR="00E8128F">
        <w:rPr>
          <w:sz w:val="36"/>
          <w:szCs w:val="36"/>
          <w:rtl/>
        </w:rPr>
        <w:t xml:space="preserve"> </w:t>
      </w:r>
      <w:r w:rsidR="00FC0B2D" w:rsidRPr="00FD211F">
        <w:rPr>
          <w:sz w:val="36"/>
          <w:szCs w:val="36"/>
          <w:rtl/>
        </w:rPr>
        <w:t>يكون</w:t>
      </w:r>
      <w:r w:rsidR="00E8128F">
        <w:rPr>
          <w:sz w:val="36"/>
          <w:szCs w:val="36"/>
          <w:rtl/>
        </w:rPr>
        <w:t xml:space="preserve"> </w:t>
      </w:r>
      <w:r w:rsidR="00FC0B2D" w:rsidRPr="00FD211F">
        <w:rPr>
          <w:sz w:val="36"/>
          <w:szCs w:val="36"/>
          <w:rtl/>
        </w:rPr>
        <w:t>اكرامه</w:t>
      </w:r>
      <w:r w:rsidR="00E8128F">
        <w:rPr>
          <w:sz w:val="36"/>
          <w:szCs w:val="36"/>
          <w:rtl/>
        </w:rPr>
        <w:t xml:space="preserve"> </w:t>
      </w:r>
      <w:r w:rsidR="00FC0B2D" w:rsidRPr="00FD211F">
        <w:rPr>
          <w:sz w:val="36"/>
          <w:szCs w:val="36"/>
          <w:rtl/>
        </w:rPr>
        <w:t>مقدورا</w:t>
      </w:r>
      <w:r w:rsidR="00E8128F">
        <w:rPr>
          <w:sz w:val="36"/>
          <w:szCs w:val="36"/>
          <w:rtl/>
        </w:rPr>
        <w:t xml:space="preserve"> </w:t>
      </w:r>
      <w:r w:rsidR="00FC0B2D" w:rsidRPr="00FD211F">
        <w:rPr>
          <w:sz w:val="36"/>
          <w:szCs w:val="36"/>
          <w:rtl/>
        </w:rPr>
        <w:t>له</w:t>
      </w:r>
      <w:r w:rsidR="00603323" w:rsidRPr="00FD211F">
        <w:rPr>
          <w:sz w:val="36"/>
          <w:szCs w:val="36"/>
          <w:rtl/>
        </w:rPr>
        <w:t>،</w:t>
      </w:r>
      <w:r w:rsidR="00E8128F">
        <w:rPr>
          <w:sz w:val="36"/>
          <w:szCs w:val="36"/>
          <w:rtl/>
        </w:rPr>
        <w:t xml:space="preserve"> </w:t>
      </w:r>
      <w:r w:rsidR="00FC0B2D" w:rsidRPr="00FD211F">
        <w:rPr>
          <w:sz w:val="36"/>
          <w:szCs w:val="36"/>
          <w:rtl/>
        </w:rPr>
        <w:t>فالعقل</w:t>
      </w:r>
      <w:r w:rsidR="00E8128F">
        <w:rPr>
          <w:sz w:val="36"/>
          <w:szCs w:val="36"/>
          <w:rtl/>
        </w:rPr>
        <w:t xml:space="preserve"> </w:t>
      </w:r>
      <w:r w:rsidR="00FC0B2D" w:rsidRPr="00FD211F">
        <w:rPr>
          <w:sz w:val="36"/>
          <w:szCs w:val="36"/>
          <w:rtl/>
        </w:rPr>
        <w:t>والعقلاء</w:t>
      </w:r>
      <w:r w:rsidR="00E8128F">
        <w:rPr>
          <w:sz w:val="36"/>
          <w:szCs w:val="36"/>
          <w:rtl/>
        </w:rPr>
        <w:t xml:space="preserve"> </w:t>
      </w:r>
      <w:r w:rsidR="00FC0B2D" w:rsidRPr="00FD211F">
        <w:rPr>
          <w:sz w:val="36"/>
          <w:szCs w:val="36"/>
          <w:rtl/>
        </w:rPr>
        <w:t>لايحكمون</w:t>
      </w:r>
      <w:r w:rsidR="00E8128F">
        <w:rPr>
          <w:sz w:val="36"/>
          <w:szCs w:val="36"/>
          <w:rtl/>
        </w:rPr>
        <w:t xml:space="preserve"> </w:t>
      </w:r>
      <w:r w:rsidR="00FC0B2D" w:rsidRPr="00FD211F">
        <w:rPr>
          <w:sz w:val="36"/>
          <w:szCs w:val="36"/>
          <w:rtl/>
        </w:rPr>
        <w:t>في</w:t>
      </w:r>
      <w:r w:rsidR="00E8128F">
        <w:rPr>
          <w:sz w:val="36"/>
          <w:szCs w:val="36"/>
          <w:rtl/>
        </w:rPr>
        <w:t xml:space="preserve"> </w:t>
      </w:r>
      <w:r w:rsidR="00FC0B2D" w:rsidRPr="00FD211F">
        <w:rPr>
          <w:sz w:val="36"/>
          <w:szCs w:val="36"/>
          <w:rtl/>
        </w:rPr>
        <w:t>مثلا</w:t>
      </w:r>
      <w:r w:rsidR="00E8128F">
        <w:rPr>
          <w:sz w:val="36"/>
          <w:szCs w:val="36"/>
          <w:rtl/>
        </w:rPr>
        <w:t xml:space="preserve"> </w:t>
      </w:r>
      <w:r w:rsidR="00FC0B2D" w:rsidRPr="00FD211F">
        <w:rPr>
          <w:sz w:val="36"/>
          <w:szCs w:val="36"/>
          <w:rtl/>
        </w:rPr>
        <w:t>بلزوم</w:t>
      </w:r>
      <w:r w:rsidR="00E8128F">
        <w:rPr>
          <w:sz w:val="36"/>
          <w:szCs w:val="36"/>
          <w:rtl/>
        </w:rPr>
        <w:t xml:space="preserve"> </w:t>
      </w:r>
      <w:r w:rsidR="00FC0B2D" w:rsidRPr="00FD211F">
        <w:rPr>
          <w:sz w:val="36"/>
          <w:szCs w:val="36"/>
          <w:rtl/>
        </w:rPr>
        <w:t>الاحتياط</w:t>
      </w:r>
      <w:r w:rsidR="00E8128F">
        <w:rPr>
          <w:sz w:val="36"/>
          <w:szCs w:val="36"/>
          <w:rtl/>
        </w:rPr>
        <w:t xml:space="preserve"> </w:t>
      </w:r>
      <w:r w:rsidR="00FC0B2D" w:rsidRPr="00FD211F">
        <w:rPr>
          <w:sz w:val="36"/>
          <w:szCs w:val="36"/>
          <w:rtl/>
        </w:rPr>
        <w:t>باكرام</w:t>
      </w:r>
      <w:r w:rsidR="00E8128F">
        <w:rPr>
          <w:sz w:val="36"/>
          <w:szCs w:val="36"/>
          <w:rtl/>
        </w:rPr>
        <w:t xml:space="preserve"> </w:t>
      </w:r>
      <w:r w:rsidR="00FC0B2D" w:rsidRPr="00FD211F">
        <w:rPr>
          <w:sz w:val="36"/>
          <w:szCs w:val="36"/>
          <w:rtl/>
        </w:rPr>
        <w:t>زيد</w:t>
      </w:r>
      <w:r w:rsidR="00E8128F">
        <w:rPr>
          <w:sz w:val="36"/>
          <w:szCs w:val="36"/>
          <w:rtl/>
        </w:rPr>
        <w:t xml:space="preserve"> </w:t>
      </w:r>
      <w:r w:rsidR="00FC0B2D" w:rsidRPr="00FD211F">
        <w:rPr>
          <w:sz w:val="36"/>
          <w:szCs w:val="36"/>
          <w:rtl/>
        </w:rPr>
        <w:t>الجاهل</w:t>
      </w:r>
      <w:r w:rsidR="00603323" w:rsidRPr="00FD211F">
        <w:rPr>
          <w:sz w:val="36"/>
          <w:szCs w:val="36"/>
          <w:rtl/>
        </w:rPr>
        <w:t>،</w:t>
      </w:r>
      <w:r w:rsidR="00E8128F">
        <w:rPr>
          <w:sz w:val="36"/>
          <w:szCs w:val="36"/>
          <w:rtl/>
        </w:rPr>
        <w:t xml:space="preserve"> </w:t>
      </w:r>
      <w:r w:rsidR="00FC0B2D" w:rsidRPr="00FD211F">
        <w:rPr>
          <w:sz w:val="36"/>
          <w:szCs w:val="36"/>
          <w:rtl/>
        </w:rPr>
        <w:t>بل</w:t>
      </w:r>
      <w:r w:rsidR="00E8128F">
        <w:rPr>
          <w:sz w:val="36"/>
          <w:szCs w:val="36"/>
          <w:rtl/>
        </w:rPr>
        <w:t xml:space="preserve"> </w:t>
      </w:r>
      <w:r w:rsidR="00FC0B2D" w:rsidRPr="00FD211F">
        <w:rPr>
          <w:sz w:val="36"/>
          <w:szCs w:val="36"/>
          <w:rtl/>
        </w:rPr>
        <w:t>تجري</w:t>
      </w:r>
      <w:r w:rsidR="00E8128F">
        <w:rPr>
          <w:sz w:val="36"/>
          <w:szCs w:val="36"/>
          <w:rtl/>
        </w:rPr>
        <w:t xml:space="preserve"> </w:t>
      </w:r>
      <w:r w:rsidR="00FC0B2D" w:rsidRPr="00FD211F">
        <w:rPr>
          <w:sz w:val="36"/>
          <w:szCs w:val="36"/>
          <w:rtl/>
        </w:rPr>
        <w:t>البراء</w:t>
      </w:r>
      <w:r w:rsidR="00EC7EDF" w:rsidRPr="00FD211F">
        <w:rPr>
          <w:sz w:val="36"/>
          <w:szCs w:val="36"/>
          <w:rtl/>
        </w:rPr>
        <w:t>ة</w:t>
      </w:r>
      <w:r w:rsidR="00E8128F">
        <w:rPr>
          <w:sz w:val="36"/>
          <w:szCs w:val="36"/>
          <w:rtl/>
        </w:rPr>
        <w:t xml:space="preserve"> </w:t>
      </w:r>
      <w:r w:rsidR="00FC0B2D" w:rsidRPr="00FD211F">
        <w:rPr>
          <w:sz w:val="36"/>
          <w:szCs w:val="36"/>
          <w:rtl/>
        </w:rPr>
        <w:t>عنه</w:t>
      </w:r>
      <w:r w:rsidR="00603323" w:rsidRPr="00FD211F">
        <w:rPr>
          <w:sz w:val="36"/>
          <w:szCs w:val="36"/>
          <w:rtl/>
        </w:rPr>
        <w:t>،</w:t>
      </w:r>
      <w:r w:rsidR="00E8128F">
        <w:rPr>
          <w:sz w:val="36"/>
          <w:szCs w:val="36"/>
          <w:rtl/>
        </w:rPr>
        <w:t xml:space="preserve"> </w:t>
      </w:r>
      <w:r w:rsidRPr="00FD211F">
        <w:rPr>
          <w:sz w:val="36"/>
          <w:szCs w:val="36"/>
          <w:rtl/>
        </w:rPr>
        <w:t>والمفروض</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المقام</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القبيل.</w:t>
      </w:r>
    </w:p>
    <w:p w14:paraId="606F46AB" w14:textId="77777777" w:rsidR="00DD15D1" w:rsidRPr="00FD211F" w:rsidRDefault="005563A2" w:rsidP="009C58C8">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وقد</w:t>
      </w:r>
      <w:r w:rsidR="00E8128F">
        <w:rPr>
          <w:sz w:val="36"/>
          <w:szCs w:val="36"/>
          <w:rtl/>
        </w:rPr>
        <w:t xml:space="preserve"> </w:t>
      </w:r>
      <w:r w:rsidRPr="00FD211F">
        <w:rPr>
          <w:sz w:val="36"/>
          <w:szCs w:val="36"/>
          <w:rtl/>
        </w:rPr>
        <w:t>يتشكل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المقام</w:t>
      </w:r>
      <w:r w:rsidR="00E8128F">
        <w:rPr>
          <w:sz w:val="36"/>
          <w:szCs w:val="36"/>
          <w:rtl/>
        </w:rPr>
        <w:t xml:space="preserve"> </w:t>
      </w:r>
      <w:r w:rsidR="00C451CB" w:rsidRPr="00FD211F">
        <w:rPr>
          <w:sz w:val="36"/>
          <w:szCs w:val="36"/>
          <w:rtl/>
        </w:rPr>
        <w:t>علم</w:t>
      </w:r>
      <w:r w:rsidR="00E8128F">
        <w:rPr>
          <w:sz w:val="36"/>
          <w:szCs w:val="36"/>
          <w:rtl/>
        </w:rPr>
        <w:t xml:space="preserve"> </w:t>
      </w:r>
      <w:r w:rsidR="00C451CB" w:rsidRPr="00FD211F">
        <w:rPr>
          <w:sz w:val="36"/>
          <w:szCs w:val="36"/>
          <w:rtl/>
        </w:rPr>
        <w:t>اجمالي</w:t>
      </w:r>
      <w:r w:rsidR="00E8128F">
        <w:rPr>
          <w:sz w:val="36"/>
          <w:szCs w:val="36"/>
          <w:rtl/>
        </w:rPr>
        <w:t xml:space="preserve"> </w:t>
      </w:r>
      <w:r w:rsidR="00C451CB" w:rsidRPr="00FD211F">
        <w:rPr>
          <w:sz w:val="36"/>
          <w:szCs w:val="36"/>
          <w:rtl/>
        </w:rPr>
        <w:t>منجز</w:t>
      </w:r>
      <w:r w:rsidR="00E8128F">
        <w:rPr>
          <w:sz w:val="36"/>
          <w:szCs w:val="36"/>
          <w:rtl/>
        </w:rPr>
        <w:t xml:space="preserve"> </w:t>
      </w:r>
      <w:r w:rsidR="00C451CB" w:rsidRPr="00FD211F">
        <w:rPr>
          <w:sz w:val="36"/>
          <w:szCs w:val="36"/>
          <w:rtl/>
        </w:rPr>
        <w:t>وهو</w:t>
      </w:r>
      <w:r w:rsidR="00E8128F">
        <w:rPr>
          <w:sz w:val="36"/>
          <w:szCs w:val="36"/>
          <w:rtl/>
        </w:rPr>
        <w:t xml:space="preserve"> </w:t>
      </w:r>
      <w:r w:rsidR="00C451CB" w:rsidRPr="00FD211F">
        <w:rPr>
          <w:sz w:val="36"/>
          <w:szCs w:val="36"/>
          <w:rtl/>
        </w:rPr>
        <w:t>ما</w:t>
      </w:r>
      <w:r w:rsidR="00E8128F">
        <w:rPr>
          <w:sz w:val="36"/>
          <w:szCs w:val="36"/>
          <w:rtl/>
        </w:rPr>
        <w:t xml:space="preserve"> </w:t>
      </w:r>
      <w:r w:rsidR="00C451CB" w:rsidRPr="00FD211F">
        <w:rPr>
          <w:sz w:val="36"/>
          <w:szCs w:val="36"/>
          <w:rtl/>
        </w:rPr>
        <w:t>لو</w:t>
      </w:r>
      <w:r w:rsidR="00E8128F">
        <w:rPr>
          <w:sz w:val="36"/>
          <w:szCs w:val="36"/>
          <w:rtl/>
        </w:rPr>
        <w:t xml:space="preserve"> </w:t>
      </w:r>
      <w:r w:rsidR="00C451CB" w:rsidRPr="00FD211F">
        <w:rPr>
          <w:sz w:val="36"/>
          <w:szCs w:val="36"/>
          <w:rtl/>
        </w:rPr>
        <w:t>ورد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خطاب</w:t>
      </w:r>
      <w:r w:rsidR="00E8128F">
        <w:rPr>
          <w:sz w:val="36"/>
          <w:szCs w:val="36"/>
          <w:rtl/>
        </w:rPr>
        <w:t xml:space="preserve"> </w:t>
      </w:r>
      <w:r w:rsidRPr="00FD211F">
        <w:rPr>
          <w:sz w:val="36"/>
          <w:szCs w:val="36"/>
          <w:rtl/>
        </w:rPr>
        <w:t>"</w:t>
      </w:r>
      <w:r w:rsidR="00C451CB" w:rsidRPr="00FD211F">
        <w:rPr>
          <w:sz w:val="36"/>
          <w:szCs w:val="36"/>
          <w:rtl/>
        </w:rPr>
        <w:t>اكرم</w:t>
      </w:r>
      <w:r w:rsidR="00E8128F">
        <w:rPr>
          <w:sz w:val="36"/>
          <w:szCs w:val="36"/>
          <w:rtl/>
        </w:rPr>
        <w:t xml:space="preserve"> </w:t>
      </w:r>
      <w:r w:rsidR="00C451CB" w:rsidRPr="00FD211F">
        <w:rPr>
          <w:sz w:val="36"/>
          <w:szCs w:val="36"/>
          <w:rtl/>
        </w:rPr>
        <w:t>عالم</w:t>
      </w:r>
      <w:r w:rsidR="00AC2DFD" w:rsidRPr="00FD211F">
        <w:rPr>
          <w:sz w:val="36"/>
          <w:szCs w:val="36"/>
          <w:rtl/>
        </w:rPr>
        <w:t>ا</w:t>
      </w:r>
      <w:r w:rsidRPr="00FD211F">
        <w:rPr>
          <w:sz w:val="36"/>
          <w:szCs w:val="36"/>
          <w:rtl/>
        </w:rPr>
        <w:t>"</w:t>
      </w:r>
      <w:r w:rsidR="00E8128F">
        <w:rPr>
          <w:sz w:val="36"/>
          <w:szCs w:val="36"/>
          <w:rtl/>
        </w:rPr>
        <w:t xml:space="preserve"> </w:t>
      </w:r>
      <w:r w:rsidRPr="00FD211F">
        <w:rPr>
          <w:sz w:val="36"/>
          <w:szCs w:val="36"/>
          <w:rtl/>
        </w:rPr>
        <w:t>وورد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خطاب</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w:t>
      </w:r>
      <w:r w:rsidR="00C451CB" w:rsidRPr="00FD211F">
        <w:rPr>
          <w:sz w:val="36"/>
          <w:szCs w:val="36"/>
          <w:rtl/>
        </w:rPr>
        <w:t>اكرم</w:t>
      </w:r>
      <w:r w:rsidR="00E8128F">
        <w:rPr>
          <w:sz w:val="36"/>
          <w:szCs w:val="36"/>
          <w:rtl/>
        </w:rPr>
        <w:t xml:space="preserve"> </w:t>
      </w:r>
      <w:r w:rsidR="00C451CB" w:rsidRPr="00FD211F">
        <w:rPr>
          <w:sz w:val="36"/>
          <w:szCs w:val="36"/>
          <w:rtl/>
        </w:rPr>
        <w:t>كل</w:t>
      </w:r>
      <w:r w:rsidR="00E8128F">
        <w:rPr>
          <w:sz w:val="36"/>
          <w:szCs w:val="36"/>
          <w:rtl/>
        </w:rPr>
        <w:t xml:space="preserve"> </w:t>
      </w:r>
      <w:r w:rsidR="00C451CB" w:rsidRPr="00FD211F">
        <w:rPr>
          <w:sz w:val="36"/>
          <w:szCs w:val="36"/>
          <w:rtl/>
        </w:rPr>
        <w:t>عادل</w:t>
      </w:r>
      <w:r w:rsidRPr="00FD211F">
        <w:rPr>
          <w:sz w:val="36"/>
          <w:szCs w:val="36"/>
          <w:rtl/>
        </w:rPr>
        <w:t>"</w:t>
      </w:r>
      <w:r w:rsidR="00E8128F">
        <w:rPr>
          <w:sz w:val="36"/>
          <w:szCs w:val="36"/>
          <w:rtl/>
        </w:rPr>
        <w:t xml:space="preserve"> </w:t>
      </w:r>
      <w:r w:rsidRPr="00FD211F">
        <w:rPr>
          <w:sz w:val="36"/>
          <w:szCs w:val="36"/>
          <w:rtl/>
        </w:rPr>
        <w:t>وصار</w:t>
      </w:r>
      <w:r w:rsidR="00E8128F">
        <w:rPr>
          <w:sz w:val="36"/>
          <w:szCs w:val="36"/>
          <w:rtl/>
        </w:rPr>
        <w:t xml:space="preserve"> </w:t>
      </w:r>
      <w:r w:rsidRPr="00FD211F">
        <w:rPr>
          <w:sz w:val="36"/>
          <w:szCs w:val="36"/>
          <w:rtl/>
        </w:rPr>
        <w:t>التكليفان</w:t>
      </w:r>
      <w:r w:rsidR="00E8128F">
        <w:rPr>
          <w:sz w:val="36"/>
          <w:szCs w:val="36"/>
          <w:rtl/>
        </w:rPr>
        <w:t xml:space="preserve"> </w:t>
      </w:r>
      <w:r w:rsidRPr="00FD211F">
        <w:rPr>
          <w:sz w:val="36"/>
          <w:szCs w:val="36"/>
          <w:rtl/>
        </w:rPr>
        <w:t>فعليين</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حق</w:t>
      </w:r>
      <w:r w:rsidR="00E8128F">
        <w:rPr>
          <w:sz w:val="36"/>
          <w:szCs w:val="36"/>
          <w:rtl/>
        </w:rPr>
        <w:t xml:space="preserve"> </w:t>
      </w:r>
      <w:r w:rsidRPr="00FD211F">
        <w:rPr>
          <w:sz w:val="36"/>
          <w:szCs w:val="36"/>
          <w:rtl/>
        </w:rPr>
        <w:t>مكلف</w:t>
      </w:r>
      <w:r w:rsidR="00E8128F">
        <w:rPr>
          <w:sz w:val="36"/>
          <w:szCs w:val="36"/>
          <w:rtl/>
        </w:rPr>
        <w:t xml:space="preserve"> </w:t>
      </w:r>
      <w:r w:rsidRPr="00FD211F">
        <w:rPr>
          <w:sz w:val="36"/>
          <w:szCs w:val="36"/>
          <w:rtl/>
        </w:rPr>
        <w:t>وفرض</w:t>
      </w:r>
      <w:r w:rsidR="00E8128F">
        <w:rPr>
          <w:sz w:val="36"/>
          <w:szCs w:val="36"/>
          <w:rtl/>
        </w:rPr>
        <w:t xml:space="preserve"> </w:t>
      </w:r>
      <w:r w:rsidRPr="00FD211F">
        <w:rPr>
          <w:sz w:val="36"/>
          <w:szCs w:val="36"/>
          <w:rtl/>
        </w:rPr>
        <w:t>ابتلائه</w:t>
      </w:r>
      <w:r w:rsidR="00E8128F">
        <w:rPr>
          <w:sz w:val="36"/>
          <w:szCs w:val="36"/>
          <w:rtl/>
        </w:rPr>
        <w:t xml:space="preserve"> </w:t>
      </w:r>
      <w:r w:rsidRPr="00FD211F">
        <w:rPr>
          <w:sz w:val="36"/>
          <w:szCs w:val="36"/>
          <w:rtl/>
        </w:rPr>
        <w:t>ب</w:t>
      </w:r>
      <w:r w:rsidR="001C0724" w:rsidRPr="00FD211F">
        <w:rPr>
          <w:sz w:val="36"/>
          <w:szCs w:val="36"/>
          <w:rtl/>
        </w:rPr>
        <w:t>رجل</w:t>
      </w:r>
      <w:r w:rsidR="00E8128F">
        <w:rPr>
          <w:sz w:val="36"/>
          <w:szCs w:val="36"/>
          <w:rtl/>
        </w:rPr>
        <w:t xml:space="preserve"> </w:t>
      </w:r>
      <w:r w:rsidR="001C0724" w:rsidRPr="00FD211F">
        <w:rPr>
          <w:sz w:val="36"/>
          <w:szCs w:val="36"/>
          <w:rtl/>
        </w:rPr>
        <w:t>قد</w:t>
      </w:r>
      <w:r w:rsidR="00E8128F">
        <w:rPr>
          <w:sz w:val="36"/>
          <w:szCs w:val="36"/>
          <w:rtl/>
        </w:rPr>
        <w:t xml:space="preserve"> </w:t>
      </w:r>
      <w:r w:rsidR="001C0724" w:rsidRPr="00FD211F">
        <w:rPr>
          <w:sz w:val="36"/>
          <w:szCs w:val="36"/>
          <w:rtl/>
        </w:rPr>
        <w:t>انقضى</w:t>
      </w:r>
      <w:r w:rsidR="00E8128F">
        <w:rPr>
          <w:sz w:val="36"/>
          <w:szCs w:val="36"/>
          <w:rtl/>
        </w:rPr>
        <w:t xml:space="preserve"> </w:t>
      </w:r>
      <w:r w:rsidR="001C0724" w:rsidRPr="00FD211F">
        <w:rPr>
          <w:sz w:val="36"/>
          <w:szCs w:val="36"/>
          <w:rtl/>
        </w:rPr>
        <w:t>عنه</w:t>
      </w:r>
      <w:r w:rsidR="00E8128F">
        <w:rPr>
          <w:sz w:val="36"/>
          <w:szCs w:val="36"/>
          <w:rtl/>
        </w:rPr>
        <w:t xml:space="preserve"> </w:t>
      </w:r>
      <w:r w:rsidR="001C0724" w:rsidRPr="00FD211F">
        <w:rPr>
          <w:sz w:val="36"/>
          <w:szCs w:val="36"/>
          <w:rtl/>
        </w:rPr>
        <w:t>التلبس</w:t>
      </w:r>
      <w:r w:rsidR="00E8128F">
        <w:rPr>
          <w:sz w:val="36"/>
          <w:szCs w:val="36"/>
          <w:rtl/>
        </w:rPr>
        <w:t xml:space="preserve"> </w:t>
      </w:r>
      <w:r w:rsidR="001C0724" w:rsidRPr="00FD211F">
        <w:rPr>
          <w:sz w:val="36"/>
          <w:szCs w:val="36"/>
          <w:rtl/>
        </w:rPr>
        <w:t>بالعلم</w:t>
      </w:r>
      <w:r w:rsidR="00E8128F">
        <w:rPr>
          <w:sz w:val="36"/>
          <w:szCs w:val="36"/>
          <w:rtl/>
        </w:rPr>
        <w:t xml:space="preserve"> </w:t>
      </w:r>
      <w:r w:rsidR="001C0724" w:rsidRPr="00FD211F">
        <w:rPr>
          <w:sz w:val="36"/>
          <w:szCs w:val="36"/>
          <w:rtl/>
        </w:rPr>
        <w:t>وابتلائه</w:t>
      </w:r>
      <w:r w:rsidR="00E8128F">
        <w:rPr>
          <w:sz w:val="36"/>
          <w:szCs w:val="36"/>
          <w:rtl/>
        </w:rPr>
        <w:t xml:space="preserve"> </w:t>
      </w:r>
      <w:r w:rsidR="001C0724" w:rsidRPr="00FD211F">
        <w:rPr>
          <w:sz w:val="36"/>
          <w:szCs w:val="36"/>
          <w:rtl/>
        </w:rPr>
        <w:t>برجل</w:t>
      </w:r>
      <w:r w:rsidR="00E8128F">
        <w:rPr>
          <w:sz w:val="36"/>
          <w:szCs w:val="36"/>
          <w:rtl/>
        </w:rPr>
        <w:t xml:space="preserve"> </w:t>
      </w:r>
      <w:r w:rsidR="001C0724" w:rsidRPr="00FD211F">
        <w:rPr>
          <w:sz w:val="36"/>
          <w:szCs w:val="36"/>
          <w:rtl/>
        </w:rPr>
        <w:t>آخر</w:t>
      </w:r>
      <w:r w:rsidR="00E8128F">
        <w:rPr>
          <w:sz w:val="36"/>
          <w:szCs w:val="36"/>
          <w:rtl/>
        </w:rPr>
        <w:t xml:space="preserve"> </w:t>
      </w:r>
      <w:r w:rsidR="001C0724" w:rsidRPr="00FD211F">
        <w:rPr>
          <w:sz w:val="36"/>
          <w:szCs w:val="36"/>
          <w:rtl/>
        </w:rPr>
        <w:t>قد</w:t>
      </w:r>
      <w:r w:rsidR="00E8128F">
        <w:rPr>
          <w:sz w:val="36"/>
          <w:szCs w:val="36"/>
          <w:rtl/>
        </w:rPr>
        <w:t xml:space="preserve"> </w:t>
      </w:r>
      <w:r w:rsidR="001C0724" w:rsidRPr="00FD211F">
        <w:rPr>
          <w:sz w:val="36"/>
          <w:szCs w:val="36"/>
          <w:rtl/>
        </w:rPr>
        <w:t>انقضى</w:t>
      </w:r>
      <w:r w:rsidR="00E8128F">
        <w:rPr>
          <w:sz w:val="36"/>
          <w:szCs w:val="36"/>
          <w:rtl/>
        </w:rPr>
        <w:t xml:space="preserve"> </w:t>
      </w:r>
      <w:r w:rsidR="001C0724" w:rsidRPr="00FD211F">
        <w:rPr>
          <w:sz w:val="36"/>
          <w:szCs w:val="36"/>
          <w:rtl/>
        </w:rPr>
        <w:t>عنه</w:t>
      </w:r>
      <w:r w:rsidR="00E8128F">
        <w:rPr>
          <w:sz w:val="36"/>
          <w:szCs w:val="36"/>
          <w:rtl/>
        </w:rPr>
        <w:t xml:space="preserve"> </w:t>
      </w:r>
      <w:r w:rsidR="001C0724" w:rsidRPr="00FD211F">
        <w:rPr>
          <w:sz w:val="36"/>
          <w:szCs w:val="36"/>
          <w:rtl/>
        </w:rPr>
        <w:t>التلبس</w:t>
      </w:r>
      <w:r w:rsidR="00E8128F">
        <w:rPr>
          <w:sz w:val="36"/>
          <w:szCs w:val="36"/>
          <w:rtl/>
        </w:rPr>
        <w:t xml:space="preserve"> </w:t>
      </w:r>
      <w:r w:rsidR="001C0724" w:rsidRPr="00FD211F">
        <w:rPr>
          <w:sz w:val="36"/>
          <w:szCs w:val="36"/>
          <w:rtl/>
        </w:rPr>
        <w:t>بالعدال</w:t>
      </w:r>
      <w:r w:rsidR="00EC7EDF" w:rsidRPr="00FD211F">
        <w:rPr>
          <w:sz w:val="36"/>
          <w:szCs w:val="36"/>
          <w:rtl/>
        </w:rPr>
        <w:t>ة</w:t>
      </w:r>
      <w:r w:rsidR="00603323" w:rsidRPr="00FD211F">
        <w:rPr>
          <w:sz w:val="36"/>
          <w:szCs w:val="36"/>
          <w:rtl/>
        </w:rPr>
        <w:t>،</w:t>
      </w:r>
      <w:r w:rsidR="00E8128F">
        <w:rPr>
          <w:sz w:val="36"/>
          <w:szCs w:val="36"/>
          <w:rtl/>
        </w:rPr>
        <w:t xml:space="preserve"> </w:t>
      </w:r>
      <w:r w:rsidR="001C0724" w:rsidRPr="00FD211F">
        <w:rPr>
          <w:sz w:val="36"/>
          <w:szCs w:val="36"/>
          <w:rtl/>
        </w:rPr>
        <w:t>فالبراء</w:t>
      </w:r>
      <w:r w:rsidR="00EC7EDF" w:rsidRPr="00FD211F">
        <w:rPr>
          <w:sz w:val="36"/>
          <w:szCs w:val="36"/>
          <w:rtl/>
        </w:rPr>
        <w:t>ة</w:t>
      </w:r>
      <w:r w:rsidR="00E8128F">
        <w:rPr>
          <w:sz w:val="36"/>
          <w:szCs w:val="36"/>
          <w:rtl/>
        </w:rPr>
        <w:t xml:space="preserve"> </w:t>
      </w:r>
      <w:r w:rsidR="001C0724" w:rsidRPr="00FD211F">
        <w:rPr>
          <w:sz w:val="36"/>
          <w:szCs w:val="36"/>
          <w:rtl/>
        </w:rPr>
        <w:t>عن</w:t>
      </w:r>
      <w:r w:rsidR="00E8128F">
        <w:rPr>
          <w:sz w:val="36"/>
          <w:szCs w:val="36"/>
          <w:rtl/>
        </w:rPr>
        <w:t xml:space="preserve"> </w:t>
      </w:r>
      <w:r w:rsidR="001C0724" w:rsidRPr="00FD211F">
        <w:rPr>
          <w:sz w:val="36"/>
          <w:szCs w:val="36"/>
          <w:rtl/>
        </w:rPr>
        <w:t>تعين</w:t>
      </w:r>
      <w:r w:rsidR="00E8128F">
        <w:rPr>
          <w:sz w:val="36"/>
          <w:szCs w:val="36"/>
          <w:rtl/>
        </w:rPr>
        <w:t xml:space="preserve"> </w:t>
      </w:r>
      <w:r w:rsidR="001C0724" w:rsidRPr="00FD211F">
        <w:rPr>
          <w:sz w:val="36"/>
          <w:szCs w:val="36"/>
          <w:rtl/>
        </w:rPr>
        <w:t>وجوب</w:t>
      </w:r>
      <w:r w:rsidR="00E8128F">
        <w:rPr>
          <w:sz w:val="36"/>
          <w:szCs w:val="36"/>
          <w:rtl/>
        </w:rPr>
        <w:t xml:space="preserve"> </w:t>
      </w:r>
      <w:r w:rsidR="001C0724" w:rsidRPr="00FD211F">
        <w:rPr>
          <w:sz w:val="36"/>
          <w:szCs w:val="36"/>
          <w:rtl/>
        </w:rPr>
        <w:t>اكرام</w:t>
      </w:r>
      <w:r w:rsidR="00E8128F">
        <w:rPr>
          <w:sz w:val="36"/>
          <w:szCs w:val="36"/>
          <w:rtl/>
        </w:rPr>
        <w:t xml:space="preserve"> </w:t>
      </w:r>
      <w:r w:rsidR="001C0724" w:rsidRPr="00FD211F">
        <w:rPr>
          <w:sz w:val="36"/>
          <w:szCs w:val="36"/>
          <w:rtl/>
        </w:rPr>
        <w:t>عالم</w:t>
      </w:r>
      <w:r w:rsidR="00E8128F">
        <w:rPr>
          <w:sz w:val="36"/>
          <w:szCs w:val="36"/>
          <w:rtl/>
        </w:rPr>
        <w:t xml:space="preserve"> </w:t>
      </w:r>
      <w:r w:rsidR="001C0724" w:rsidRPr="00FD211F">
        <w:rPr>
          <w:sz w:val="36"/>
          <w:szCs w:val="36"/>
          <w:rtl/>
        </w:rPr>
        <w:t>فعلي</w:t>
      </w:r>
      <w:r w:rsidR="00E8128F">
        <w:rPr>
          <w:sz w:val="36"/>
          <w:szCs w:val="36"/>
          <w:rtl/>
        </w:rPr>
        <w:t xml:space="preserve"> </w:t>
      </w:r>
      <w:r w:rsidR="001C0724" w:rsidRPr="00FD211F">
        <w:rPr>
          <w:sz w:val="36"/>
          <w:szCs w:val="36"/>
          <w:rtl/>
        </w:rPr>
        <w:t>التي</w:t>
      </w:r>
      <w:r w:rsidR="00E8128F">
        <w:rPr>
          <w:sz w:val="36"/>
          <w:szCs w:val="36"/>
          <w:rtl/>
        </w:rPr>
        <w:t xml:space="preserve"> </w:t>
      </w:r>
      <w:r w:rsidR="00FC0B2D" w:rsidRPr="00FD211F">
        <w:rPr>
          <w:sz w:val="36"/>
          <w:szCs w:val="36"/>
          <w:rtl/>
        </w:rPr>
        <w:t>كانت</w:t>
      </w:r>
      <w:r w:rsidR="00E8128F">
        <w:rPr>
          <w:sz w:val="36"/>
          <w:szCs w:val="36"/>
          <w:rtl/>
        </w:rPr>
        <w:t xml:space="preserve"> </w:t>
      </w:r>
      <w:r w:rsidR="001C0724" w:rsidRPr="00FD211F">
        <w:rPr>
          <w:sz w:val="36"/>
          <w:szCs w:val="36"/>
          <w:rtl/>
        </w:rPr>
        <w:t>تجري</w:t>
      </w:r>
      <w:r w:rsidR="00E8128F">
        <w:rPr>
          <w:sz w:val="36"/>
          <w:szCs w:val="36"/>
          <w:rtl/>
        </w:rPr>
        <w:t xml:space="preserve"> </w:t>
      </w:r>
      <w:r w:rsidR="001C0724" w:rsidRPr="00FD211F">
        <w:rPr>
          <w:sz w:val="36"/>
          <w:szCs w:val="36"/>
          <w:rtl/>
        </w:rPr>
        <w:t>في</w:t>
      </w:r>
      <w:r w:rsidR="00E8128F">
        <w:rPr>
          <w:sz w:val="36"/>
          <w:szCs w:val="36"/>
          <w:rtl/>
        </w:rPr>
        <w:t xml:space="preserve"> </w:t>
      </w:r>
      <w:r w:rsidR="001C0724" w:rsidRPr="00FD211F">
        <w:rPr>
          <w:sz w:val="36"/>
          <w:szCs w:val="36"/>
          <w:rtl/>
        </w:rPr>
        <w:t>فرض</w:t>
      </w:r>
      <w:r w:rsidR="00E8128F">
        <w:rPr>
          <w:sz w:val="36"/>
          <w:szCs w:val="36"/>
          <w:rtl/>
        </w:rPr>
        <w:t xml:space="preserve"> </w:t>
      </w:r>
      <w:r w:rsidR="001C0724" w:rsidRPr="00FD211F">
        <w:rPr>
          <w:sz w:val="36"/>
          <w:szCs w:val="36"/>
          <w:rtl/>
        </w:rPr>
        <w:t>عدم</w:t>
      </w:r>
      <w:r w:rsidR="00E8128F">
        <w:rPr>
          <w:sz w:val="36"/>
          <w:szCs w:val="36"/>
          <w:rtl/>
        </w:rPr>
        <w:t xml:space="preserve"> </w:t>
      </w:r>
      <w:r w:rsidR="001C0724" w:rsidRPr="00FD211F">
        <w:rPr>
          <w:sz w:val="36"/>
          <w:szCs w:val="36"/>
          <w:rtl/>
        </w:rPr>
        <w:t>انحصار</w:t>
      </w:r>
      <w:r w:rsidR="00E8128F">
        <w:rPr>
          <w:sz w:val="36"/>
          <w:szCs w:val="36"/>
          <w:rtl/>
        </w:rPr>
        <w:t xml:space="preserve"> </w:t>
      </w:r>
      <w:r w:rsidR="001C0724" w:rsidRPr="00FD211F">
        <w:rPr>
          <w:sz w:val="36"/>
          <w:szCs w:val="36"/>
          <w:rtl/>
        </w:rPr>
        <w:t>العالم</w:t>
      </w:r>
      <w:r w:rsidR="00E8128F">
        <w:rPr>
          <w:sz w:val="36"/>
          <w:szCs w:val="36"/>
          <w:rtl/>
        </w:rPr>
        <w:t xml:space="preserve"> </w:t>
      </w:r>
      <w:r w:rsidR="001C0724" w:rsidRPr="00FD211F">
        <w:rPr>
          <w:sz w:val="36"/>
          <w:szCs w:val="36"/>
          <w:rtl/>
        </w:rPr>
        <w:t>بذاك</w:t>
      </w:r>
      <w:r w:rsidR="00E8128F">
        <w:rPr>
          <w:sz w:val="36"/>
          <w:szCs w:val="36"/>
          <w:rtl/>
        </w:rPr>
        <w:t xml:space="preserve"> </w:t>
      </w:r>
      <w:r w:rsidR="001C0724" w:rsidRPr="00FD211F">
        <w:rPr>
          <w:sz w:val="36"/>
          <w:szCs w:val="36"/>
          <w:rtl/>
        </w:rPr>
        <w:t>الرجل</w:t>
      </w:r>
      <w:r w:rsidR="00E8128F">
        <w:rPr>
          <w:sz w:val="36"/>
          <w:szCs w:val="36"/>
          <w:rtl/>
        </w:rPr>
        <w:t xml:space="preserve"> </w:t>
      </w:r>
      <w:r w:rsidR="001C0724" w:rsidRPr="00FD211F">
        <w:rPr>
          <w:sz w:val="36"/>
          <w:szCs w:val="36"/>
          <w:rtl/>
        </w:rPr>
        <w:t>الذي</w:t>
      </w:r>
      <w:r w:rsidR="00E8128F">
        <w:rPr>
          <w:sz w:val="36"/>
          <w:szCs w:val="36"/>
          <w:rtl/>
        </w:rPr>
        <w:t xml:space="preserve"> </w:t>
      </w:r>
      <w:r w:rsidR="001C0724" w:rsidRPr="00FD211F">
        <w:rPr>
          <w:sz w:val="36"/>
          <w:szCs w:val="36"/>
          <w:rtl/>
        </w:rPr>
        <w:t>زال</w:t>
      </w:r>
      <w:r w:rsidR="00E8128F">
        <w:rPr>
          <w:sz w:val="36"/>
          <w:szCs w:val="36"/>
          <w:rtl/>
        </w:rPr>
        <w:t xml:space="preserve"> </w:t>
      </w:r>
      <w:r w:rsidR="001C0724" w:rsidRPr="00FD211F">
        <w:rPr>
          <w:sz w:val="36"/>
          <w:szCs w:val="36"/>
          <w:rtl/>
        </w:rPr>
        <w:t>عنه</w:t>
      </w:r>
      <w:r w:rsidR="00E8128F">
        <w:rPr>
          <w:sz w:val="36"/>
          <w:szCs w:val="36"/>
          <w:rtl/>
        </w:rPr>
        <w:t xml:space="preserve"> </w:t>
      </w:r>
      <w:r w:rsidR="001C0724" w:rsidRPr="00FD211F">
        <w:rPr>
          <w:sz w:val="36"/>
          <w:szCs w:val="36"/>
          <w:rtl/>
        </w:rPr>
        <w:t>العلم</w:t>
      </w:r>
      <w:r w:rsidR="00E8128F">
        <w:rPr>
          <w:sz w:val="36"/>
          <w:szCs w:val="36"/>
          <w:rtl/>
        </w:rPr>
        <w:t xml:space="preserve"> </w:t>
      </w:r>
      <w:r w:rsidR="001C0724" w:rsidRPr="00FD211F">
        <w:rPr>
          <w:sz w:val="36"/>
          <w:szCs w:val="36"/>
          <w:rtl/>
        </w:rPr>
        <w:t>تكون</w:t>
      </w:r>
      <w:r w:rsidR="00E8128F">
        <w:rPr>
          <w:sz w:val="36"/>
          <w:szCs w:val="36"/>
          <w:rtl/>
        </w:rPr>
        <w:t xml:space="preserve"> </w:t>
      </w:r>
      <w:r w:rsidR="001C0724" w:rsidRPr="00FD211F">
        <w:rPr>
          <w:sz w:val="36"/>
          <w:szCs w:val="36"/>
          <w:rtl/>
        </w:rPr>
        <w:t>متعارض</w:t>
      </w:r>
      <w:r w:rsidR="00EC7EDF" w:rsidRPr="00FD211F">
        <w:rPr>
          <w:sz w:val="36"/>
          <w:szCs w:val="36"/>
          <w:rtl/>
        </w:rPr>
        <w:t>ة</w:t>
      </w:r>
      <w:r w:rsidR="00E8128F">
        <w:rPr>
          <w:sz w:val="36"/>
          <w:szCs w:val="36"/>
          <w:rtl/>
        </w:rPr>
        <w:t xml:space="preserve"> </w:t>
      </w:r>
      <w:r w:rsidR="001C0724" w:rsidRPr="00FD211F">
        <w:rPr>
          <w:sz w:val="36"/>
          <w:szCs w:val="36"/>
          <w:rtl/>
        </w:rPr>
        <w:t>مع</w:t>
      </w:r>
      <w:r w:rsidR="00E8128F">
        <w:rPr>
          <w:sz w:val="36"/>
          <w:szCs w:val="36"/>
          <w:rtl/>
        </w:rPr>
        <w:t xml:space="preserve"> </w:t>
      </w:r>
      <w:r w:rsidR="001C0724" w:rsidRPr="00FD211F">
        <w:rPr>
          <w:sz w:val="36"/>
          <w:szCs w:val="36"/>
          <w:rtl/>
        </w:rPr>
        <w:t>البراء</w:t>
      </w:r>
      <w:r w:rsidR="00EC7EDF" w:rsidRPr="00FD211F">
        <w:rPr>
          <w:sz w:val="36"/>
          <w:szCs w:val="36"/>
          <w:rtl/>
        </w:rPr>
        <w:t>ة</w:t>
      </w:r>
      <w:r w:rsidR="00E8128F">
        <w:rPr>
          <w:sz w:val="36"/>
          <w:szCs w:val="36"/>
          <w:rtl/>
        </w:rPr>
        <w:t xml:space="preserve"> </w:t>
      </w:r>
      <w:r w:rsidR="001C0724" w:rsidRPr="00FD211F">
        <w:rPr>
          <w:sz w:val="36"/>
          <w:szCs w:val="36"/>
          <w:rtl/>
        </w:rPr>
        <w:t>عن</w:t>
      </w:r>
      <w:r w:rsidR="00E8128F">
        <w:rPr>
          <w:sz w:val="36"/>
          <w:szCs w:val="36"/>
          <w:rtl/>
        </w:rPr>
        <w:t xml:space="preserve"> </w:t>
      </w:r>
      <w:r w:rsidR="001C0724" w:rsidRPr="00FD211F">
        <w:rPr>
          <w:sz w:val="36"/>
          <w:szCs w:val="36"/>
          <w:rtl/>
        </w:rPr>
        <w:t>وجوب</w:t>
      </w:r>
      <w:r w:rsidR="00E8128F">
        <w:rPr>
          <w:sz w:val="36"/>
          <w:szCs w:val="36"/>
          <w:rtl/>
        </w:rPr>
        <w:t xml:space="preserve"> </w:t>
      </w:r>
      <w:r w:rsidR="001C0724" w:rsidRPr="00FD211F">
        <w:rPr>
          <w:sz w:val="36"/>
          <w:szCs w:val="36"/>
          <w:rtl/>
        </w:rPr>
        <w:t>اكرام</w:t>
      </w:r>
      <w:r w:rsidR="00E8128F">
        <w:rPr>
          <w:sz w:val="36"/>
          <w:szCs w:val="36"/>
          <w:rtl/>
        </w:rPr>
        <w:t xml:space="preserve"> </w:t>
      </w:r>
      <w:r w:rsidR="001C0724" w:rsidRPr="00FD211F">
        <w:rPr>
          <w:sz w:val="36"/>
          <w:szCs w:val="36"/>
          <w:rtl/>
        </w:rPr>
        <w:t>ذاك</w:t>
      </w:r>
      <w:r w:rsidR="00E8128F">
        <w:rPr>
          <w:sz w:val="36"/>
          <w:szCs w:val="36"/>
          <w:rtl/>
        </w:rPr>
        <w:t xml:space="preserve"> </w:t>
      </w:r>
      <w:r w:rsidR="001C0724" w:rsidRPr="00FD211F">
        <w:rPr>
          <w:sz w:val="36"/>
          <w:szCs w:val="36"/>
          <w:rtl/>
        </w:rPr>
        <w:t>الرجل</w:t>
      </w:r>
      <w:r w:rsidR="00E8128F">
        <w:rPr>
          <w:sz w:val="36"/>
          <w:szCs w:val="36"/>
          <w:rtl/>
        </w:rPr>
        <w:t xml:space="preserve"> </w:t>
      </w:r>
      <w:r w:rsidR="001C0724" w:rsidRPr="00FD211F">
        <w:rPr>
          <w:sz w:val="36"/>
          <w:szCs w:val="36"/>
          <w:rtl/>
        </w:rPr>
        <w:t>الثاني</w:t>
      </w:r>
      <w:r w:rsidR="00E8128F">
        <w:rPr>
          <w:sz w:val="36"/>
          <w:szCs w:val="36"/>
          <w:rtl/>
        </w:rPr>
        <w:t xml:space="preserve"> </w:t>
      </w:r>
      <w:r w:rsidR="001C0724" w:rsidRPr="00FD211F">
        <w:rPr>
          <w:sz w:val="36"/>
          <w:szCs w:val="36"/>
          <w:rtl/>
        </w:rPr>
        <w:t>الذي</w:t>
      </w:r>
      <w:r w:rsidR="00E8128F">
        <w:rPr>
          <w:sz w:val="36"/>
          <w:szCs w:val="36"/>
          <w:rtl/>
        </w:rPr>
        <w:t xml:space="preserve"> </w:t>
      </w:r>
      <w:r w:rsidR="001C0724" w:rsidRPr="00FD211F">
        <w:rPr>
          <w:sz w:val="36"/>
          <w:szCs w:val="36"/>
          <w:rtl/>
        </w:rPr>
        <w:t>زال</w:t>
      </w:r>
      <w:r w:rsidR="00E8128F">
        <w:rPr>
          <w:sz w:val="36"/>
          <w:szCs w:val="36"/>
          <w:rtl/>
        </w:rPr>
        <w:t xml:space="preserve"> </w:t>
      </w:r>
      <w:r w:rsidR="001C0724" w:rsidRPr="00FD211F">
        <w:rPr>
          <w:sz w:val="36"/>
          <w:szCs w:val="36"/>
          <w:rtl/>
        </w:rPr>
        <w:t>عنه</w:t>
      </w:r>
      <w:r w:rsidR="00E8128F">
        <w:rPr>
          <w:sz w:val="36"/>
          <w:szCs w:val="36"/>
          <w:rtl/>
        </w:rPr>
        <w:t xml:space="preserve"> </w:t>
      </w:r>
      <w:r w:rsidR="001C0724" w:rsidRPr="00FD211F">
        <w:rPr>
          <w:sz w:val="36"/>
          <w:szCs w:val="36"/>
          <w:rtl/>
        </w:rPr>
        <w:t>العدال</w:t>
      </w:r>
      <w:r w:rsidR="00EC7EDF" w:rsidRPr="00FD211F">
        <w:rPr>
          <w:sz w:val="36"/>
          <w:szCs w:val="36"/>
          <w:rtl/>
        </w:rPr>
        <w:t>ة</w:t>
      </w:r>
      <w:r w:rsidR="00603323" w:rsidRPr="00FD211F">
        <w:rPr>
          <w:sz w:val="36"/>
          <w:szCs w:val="36"/>
          <w:rtl/>
        </w:rPr>
        <w:t>،</w:t>
      </w:r>
      <w:r w:rsidR="00E8128F">
        <w:rPr>
          <w:sz w:val="36"/>
          <w:szCs w:val="36"/>
          <w:rtl/>
        </w:rPr>
        <w:t xml:space="preserve"> </w:t>
      </w:r>
      <w:r w:rsidR="00302B23" w:rsidRPr="00FD211F">
        <w:rPr>
          <w:sz w:val="36"/>
          <w:szCs w:val="36"/>
          <w:rtl/>
        </w:rPr>
        <w:t>حيث</w:t>
      </w:r>
      <w:r w:rsidR="00E8128F">
        <w:rPr>
          <w:sz w:val="36"/>
          <w:szCs w:val="36"/>
          <w:rtl/>
        </w:rPr>
        <w:t xml:space="preserve"> </w:t>
      </w:r>
      <w:r w:rsidR="00302B23" w:rsidRPr="00FD211F">
        <w:rPr>
          <w:sz w:val="36"/>
          <w:szCs w:val="36"/>
          <w:rtl/>
        </w:rPr>
        <w:t>يعلم</w:t>
      </w:r>
      <w:r w:rsidR="00E8128F">
        <w:rPr>
          <w:sz w:val="36"/>
          <w:szCs w:val="36"/>
          <w:rtl/>
        </w:rPr>
        <w:t xml:space="preserve"> </w:t>
      </w:r>
      <w:r w:rsidR="00302B23" w:rsidRPr="00FD211F">
        <w:rPr>
          <w:sz w:val="36"/>
          <w:szCs w:val="36"/>
          <w:rtl/>
        </w:rPr>
        <w:t>انه</w:t>
      </w:r>
      <w:r w:rsidR="00E8128F">
        <w:rPr>
          <w:sz w:val="36"/>
          <w:szCs w:val="36"/>
          <w:rtl/>
        </w:rPr>
        <w:t xml:space="preserve"> </w:t>
      </w:r>
      <w:r w:rsidR="00302B23" w:rsidRPr="00FD211F">
        <w:rPr>
          <w:sz w:val="36"/>
          <w:szCs w:val="36"/>
          <w:rtl/>
        </w:rPr>
        <w:t>لو</w:t>
      </w:r>
      <w:r w:rsidR="00E8128F">
        <w:rPr>
          <w:sz w:val="36"/>
          <w:szCs w:val="36"/>
          <w:rtl/>
        </w:rPr>
        <w:t xml:space="preserve"> </w:t>
      </w:r>
      <w:r w:rsidR="00302B23" w:rsidRPr="00FD211F">
        <w:rPr>
          <w:sz w:val="36"/>
          <w:szCs w:val="36"/>
          <w:rtl/>
        </w:rPr>
        <w:t>كان</w:t>
      </w:r>
      <w:r w:rsidR="00E8128F">
        <w:rPr>
          <w:sz w:val="36"/>
          <w:szCs w:val="36"/>
          <w:rtl/>
        </w:rPr>
        <w:t xml:space="preserve"> </w:t>
      </w:r>
      <w:r w:rsidR="00302B23" w:rsidRPr="00FD211F">
        <w:rPr>
          <w:sz w:val="36"/>
          <w:szCs w:val="36"/>
          <w:rtl/>
        </w:rPr>
        <w:t>المشتق</w:t>
      </w:r>
      <w:r w:rsidR="00E8128F">
        <w:rPr>
          <w:sz w:val="36"/>
          <w:szCs w:val="36"/>
          <w:rtl/>
        </w:rPr>
        <w:t xml:space="preserve"> </w:t>
      </w:r>
      <w:r w:rsidR="00302B23" w:rsidRPr="00FD211F">
        <w:rPr>
          <w:sz w:val="36"/>
          <w:szCs w:val="36"/>
          <w:rtl/>
        </w:rPr>
        <w:t>قد</w:t>
      </w:r>
      <w:r w:rsidR="00E8128F">
        <w:rPr>
          <w:sz w:val="36"/>
          <w:szCs w:val="36"/>
          <w:rtl/>
        </w:rPr>
        <w:t xml:space="preserve"> </w:t>
      </w:r>
      <w:r w:rsidR="00302B23" w:rsidRPr="00FD211F">
        <w:rPr>
          <w:sz w:val="36"/>
          <w:szCs w:val="36"/>
          <w:rtl/>
        </w:rPr>
        <w:t>وضع</w:t>
      </w:r>
      <w:r w:rsidR="00E8128F">
        <w:rPr>
          <w:sz w:val="36"/>
          <w:szCs w:val="36"/>
          <w:rtl/>
        </w:rPr>
        <w:t xml:space="preserve"> </w:t>
      </w:r>
      <w:r w:rsidR="00302B23" w:rsidRPr="00FD211F">
        <w:rPr>
          <w:sz w:val="36"/>
          <w:szCs w:val="36"/>
          <w:rtl/>
        </w:rPr>
        <w:t>لخصوص</w:t>
      </w:r>
      <w:r w:rsidR="00E8128F">
        <w:rPr>
          <w:sz w:val="36"/>
          <w:szCs w:val="36"/>
          <w:rtl/>
        </w:rPr>
        <w:t xml:space="preserve"> </w:t>
      </w:r>
      <w:r w:rsidR="00302B23" w:rsidRPr="00FD211F">
        <w:rPr>
          <w:sz w:val="36"/>
          <w:szCs w:val="36"/>
          <w:rtl/>
        </w:rPr>
        <w:t>المتلبس</w:t>
      </w:r>
      <w:r w:rsidR="00E8128F">
        <w:rPr>
          <w:sz w:val="36"/>
          <w:szCs w:val="36"/>
          <w:rtl/>
        </w:rPr>
        <w:t xml:space="preserve"> </w:t>
      </w:r>
      <w:r w:rsidR="00302B23" w:rsidRPr="00FD211F">
        <w:rPr>
          <w:sz w:val="36"/>
          <w:szCs w:val="36"/>
          <w:rtl/>
        </w:rPr>
        <w:t>بال</w:t>
      </w:r>
      <w:r w:rsidR="0079493B" w:rsidRPr="00FD211F">
        <w:rPr>
          <w:sz w:val="36"/>
          <w:szCs w:val="36"/>
          <w:rtl/>
        </w:rPr>
        <w:t>مبدأ</w:t>
      </w:r>
      <w:r w:rsidR="00E8128F">
        <w:rPr>
          <w:sz w:val="36"/>
          <w:szCs w:val="36"/>
          <w:rtl/>
        </w:rPr>
        <w:t xml:space="preserve"> </w:t>
      </w:r>
      <w:r w:rsidR="00302B23" w:rsidRPr="00FD211F">
        <w:rPr>
          <w:sz w:val="36"/>
          <w:szCs w:val="36"/>
          <w:rtl/>
        </w:rPr>
        <w:t>فتكون</w:t>
      </w:r>
      <w:r w:rsidR="00E8128F">
        <w:rPr>
          <w:sz w:val="36"/>
          <w:szCs w:val="36"/>
          <w:rtl/>
        </w:rPr>
        <w:t xml:space="preserve"> </w:t>
      </w:r>
      <w:r w:rsidR="00302B23" w:rsidRPr="00FD211F">
        <w:rPr>
          <w:sz w:val="36"/>
          <w:szCs w:val="36"/>
          <w:rtl/>
        </w:rPr>
        <w:t>البراء</w:t>
      </w:r>
      <w:r w:rsidR="00EC7EDF" w:rsidRPr="00FD211F">
        <w:rPr>
          <w:sz w:val="36"/>
          <w:szCs w:val="36"/>
          <w:rtl/>
        </w:rPr>
        <w:t>ة</w:t>
      </w:r>
      <w:r w:rsidR="00E8128F">
        <w:rPr>
          <w:sz w:val="36"/>
          <w:szCs w:val="36"/>
          <w:rtl/>
        </w:rPr>
        <w:t xml:space="preserve"> </w:t>
      </w:r>
      <w:r w:rsidR="00302B23" w:rsidRPr="00FD211F">
        <w:rPr>
          <w:sz w:val="36"/>
          <w:szCs w:val="36"/>
          <w:rtl/>
        </w:rPr>
        <w:t>الأولى</w:t>
      </w:r>
      <w:r w:rsidR="00E8128F">
        <w:rPr>
          <w:sz w:val="36"/>
          <w:szCs w:val="36"/>
          <w:rtl/>
        </w:rPr>
        <w:t xml:space="preserve"> </w:t>
      </w:r>
      <w:r w:rsidR="00302B23" w:rsidRPr="00FD211F">
        <w:rPr>
          <w:sz w:val="36"/>
          <w:szCs w:val="36"/>
          <w:rtl/>
        </w:rPr>
        <w:t>مخالف</w:t>
      </w:r>
      <w:r w:rsidR="00EC7EDF" w:rsidRPr="00FD211F">
        <w:rPr>
          <w:sz w:val="36"/>
          <w:szCs w:val="36"/>
          <w:rtl/>
        </w:rPr>
        <w:t>ة</w:t>
      </w:r>
      <w:r w:rsidR="00E8128F">
        <w:rPr>
          <w:sz w:val="36"/>
          <w:szCs w:val="36"/>
          <w:rtl/>
        </w:rPr>
        <w:t xml:space="preserve"> </w:t>
      </w:r>
      <w:r w:rsidR="00302B23" w:rsidRPr="00FD211F">
        <w:rPr>
          <w:sz w:val="36"/>
          <w:szCs w:val="36"/>
          <w:rtl/>
        </w:rPr>
        <w:t>للتكليف</w:t>
      </w:r>
      <w:r w:rsidR="00E8128F">
        <w:rPr>
          <w:sz w:val="36"/>
          <w:szCs w:val="36"/>
          <w:rtl/>
        </w:rPr>
        <w:t xml:space="preserve"> </w:t>
      </w:r>
      <w:r w:rsidR="00302B23" w:rsidRPr="00FD211F">
        <w:rPr>
          <w:sz w:val="36"/>
          <w:szCs w:val="36"/>
          <w:rtl/>
        </w:rPr>
        <w:t>واقعا</w:t>
      </w:r>
      <w:r w:rsidR="00603323" w:rsidRPr="00FD211F">
        <w:rPr>
          <w:sz w:val="36"/>
          <w:szCs w:val="36"/>
          <w:rtl/>
        </w:rPr>
        <w:t>،</w:t>
      </w:r>
      <w:r w:rsidR="00E8128F">
        <w:rPr>
          <w:sz w:val="36"/>
          <w:szCs w:val="36"/>
          <w:rtl/>
        </w:rPr>
        <w:t xml:space="preserve"> </w:t>
      </w:r>
      <w:r w:rsidR="00302B23" w:rsidRPr="00FD211F">
        <w:rPr>
          <w:sz w:val="36"/>
          <w:szCs w:val="36"/>
          <w:rtl/>
        </w:rPr>
        <w:t>ولو</w:t>
      </w:r>
      <w:r w:rsidR="00E8128F">
        <w:rPr>
          <w:sz w:val="36"/>
          <w:szCs w:val="36"/>
          <w:rtl/>
        </w:rPr>
        <w:t xml:space="preserve"> </w:t>
      </w:r>
      <w:r w:rsidR="00302B23" w:rsidRPr="00FD211F">
        <w:rPr>
          <w:sz w:val="36"/>
          <w:szCs w:val="36"/>
          <w:rtl/>
        </w:rPr>
        <w:t>كان</w:t>
      </w:r>
      <w:r w:rsidR="00E8128F">
        <w:rPr>
          <w:sz w:val="36"/>
          <w:szCs w:val="36"/>
          <w:rtl/>
        </w:rPr>
        <w:t xml:space="preserve"> </w:t>
      </w:r>
      <w:r w:rsidR="00302B23" w:rsidRPr="00FD211F">
        <w:rPr>
          <w:sz w:val="36"/>
          <w:szCs w:val="36"/>
          <w:rtl/>
        </w:rPr>
        <w:t>المشتق</w:t>
      </w:r>
      <w:r w:rsidR="00E8128F">
        <w:rPr>
          <w:sz w:val="36"/>
          <w:szCs w:val="36"/>
          <w:rtl/>
        </w:rPr>
        <w:t xml:space="preserve"> </w:t>
      </w:r>
      <w:r w:rsidR="00302B23" w:rsidRPr="00FD211F">
        <w:rPr>
          <w:sz w:val="36"/>
          <w:szCs w:val="36"/>
          <w:rtl/>
        </w:rPr>
        <w:t>قد</w:t>
      </w:r>
      <w:r w:rsidR="00E8128F">
        <w:rPr>
          <w:sz w:val="36"/>
          <w:szCs w:val="36"/>
          <w:rtl/>
        </w:rPr>
        <w:t xml:space="preserve"> </w:t>
      </w:r>
      <w:r w:rsidR="00302B23" w:rsidRPr="00FD211F">
        <w:rPr>
          <w:sz w:val="36"/>
          <w:szCs w:val="36"/>
          <w:rtl/>
        </w:rPr>
        <w:t>وضع</w:t>
      </w:r>
      <w:r w:rsidR="00E8128F">
        <w:rPr>
          <w:sz w:val="36"/>
          <w:szCs w:val="36"/>
          <w:rtl/>
        </w:rPr>
        <w:t xml:space="preserve"> </w:t>
      </w:r>
      <w:r w:rsidR="00302B23" w:rsidRPr="00FD211F">
        <w:rPr>
          <w:sz w:val="36"/>
          <w:szCs w:val="36"/>
          <w:rtl/>
        </w:rPr>
        <w:t>للأعم</w:t>
      </w:r>
      <w:r w:rsidR="00E8128F">
        <w:rPr>
          <w:sz w:val="36"/>
          <w:szCs w:val="36"/>
          <w:rtl/>
        </w:rPr>
        <w:t xml:space="preserve"> </w:t>
      </w:r>
      <w:r w:rsidR="00302B23" w:rsidRPr="00FD211F">
        <w:rPr>
          <w:sz w:val="36"/>
          <w:szCs w:val="36"/>
          <w:rtl/>
        </w:rPr>
        <w:t>فالبراء</w:t>
      </w:r>
      <w:r w:rsidR="00EC7EDF" w:rsidRPr="00FD211F">
        <w:rPr>
          <w:sz w:val="36"/>
          <w:szCs w:val="36"/>
          <w:rtl/>
        </w:rPr>
        <w:t>ة</w:t>
      </w:r>
      <w:r w:rsidR="00E8128F">
        <w:rPr>
          <w:sz w:val="36"/>
          <w:szCs w:val="36"/>
          <w:rtl/>
        </w:rPr>
        <w:t xml:space="preserve"> </w:t>
      </w:r>
      <w:r w:rsidR="00302B23" w:rsidRPr="00FD211F">
        <w:rPr>
          <w:sz w:val="36"/>
          <w:szCs w:val="36"/>
          <w:rtl/>
        </w:rPr>
        <w:t>الثاني</w:t>
      </w:r>
      <w:r w:rsidR="00EC7EDF" w:rsidRPr="00FD211F">
        <w:rPr>
          <w:sz w:val="36"/>
          <w:szCs w:val="36"/>
          <w:rtl/>
        </w:rPr>
        <w:t>ة</w:t>
      </w:r>
      <w:r w:rsidR="00E8128F">
        <w:rPr>
          <w:sz w:val="36"/>
          <w:szCs w:val="36"/>
          <w:rtl/>
        </w:rPr>
        <w:t xml:space="preserve"> </w:t>
      </w:r>
      <w:r w:rsidR="00302B23" w:rsidRPr="00FD211F">
        <w:rPr>
          <w:sz w:val="36"/>
          <w:szCs w:val="36"/>
          <w:rtl/>
        </w:rPr>
        <w:t>تكون</w:t>
      </w:r>
      <w:r w:rsidR="00E8128F">
        <w:rPr>
          <w:sz w:val="36"/>
          <w:szCs w:val="36"/>
          <w:rtl/>
        </w:rPr>
        <w:t xml:space="preserve"> </w:t>
      </w:r>
      <w:r w:rsidR="00302B23" w:rsidRPr="00FD211F">
        <w:rPr>
          <w:sz w:val="36"/>
          <w:szCs w:val="36"/>
          <w:rtl/>
        </w:rPr>
        <w:t>مخالف</w:t>
      </w:r>
      <w:r w:rsidR="00EC7EDF" w:rsidRPr="00FD211F">
        <w:rPr>
          <w:sz w:val="36"/>
          <w:szCs w:val="36"/>
          <w:rtl/>
        </w:rPr>
        <w:t>ة</w:t>
      </w:r>
      <w:r w:rsidR="00E8128F">
        <w:rPr>
          <w:sz w:val="36"/>
          <w:szCs w:val="36"/>
          <w:rtl/>
        </w:rPr>
        <w:t xml:space="preserve"> </w:t>
      </w:r>
      <w:r w:rsidR="00302B23" w:rsidRPr="00FD211F">
        <w:rPr>
          <w:sz w:val="36"/>
          <w:szCs w:val="36"/>
          <w:rtl/>
        </w:rPr>
        <w:t>للتكليف</w:t>
      </w:r>
      <w:r w:rsidR="00E8128F">
        <w:rPr>
          <w:sz w:val="36"/>
          <w:szCs w:val="36"/>
          <w:rtl/>
        </w:rPr>
        <w:t xml:space="preserve"> </w:t>
      </w:r>
      <w:r w:rsidR="00302B23" w:rsidRPr="00FD211F">
        <w:rPr>
          <w:sz w:val="36"/>
          <w:szCs w:val="36"/>
          <w:rtl/>
        </w:rPr>
        <w:t>واقعا</w:t>
      </w:r>
      <w:r w:rsidR="00603323" w:rsidRPr="00FD211F">
        <w:rPr>
          <w:sz w:val="36"/>
          <w:szCs w:val="36"/>
          <w:rtl/>
        </w:rPr>
        <w:t>،</w:t>
      </w:r>
      <w:r w:rsidR="00E8128F">
        <w:rPr>
          <w:sz w:val="36"/>
          <w:szCs w:val="36"/>
          <w:rtl/>
        </w:rPr>
        <w:t xml:space="preserve"> </w:t>
      </w:r>
      <w:r w:rsidR="00302B23" w:rsidRPr="00FD211F">
        <w:rPr>
          <w:sz w:val="36"/>
          <w:szCs w:val="36"/>
          <w:rtl/>
        </w:rPr>
        <w:t>فيلزم</w:t>
      </w:r>
      <w:r w:rsidR="00E8128F">
        <w:rPr>
          <w:sz w:val="36"/>
          <w:szCs w:val="36"/>
          <w:rtl/>
        </w:rPr>
        <w:t xml:space="preserve"> </w:t>
      </w:r>
      <w:r w:rsidR="00302B23" w:rsidRPr="00FD211F">
        <w:rPr>
          <w:sz w:val="36"/>
          <w:szCs w:val="36"/>
          <w:rtl/>
        </w:rPr>
        <w:t>من</w:t>
      </w:r>
      <w:r w:rsidR="00E8128F">
        <w:rPr>
          <w:sz w:val="36"/>
          <w:szCs w:val="36"/>
          <w:rtl/>
        </w:rPr>
        <w:t xml:space="preserve"> </w:t>
      </w:r>
      <w:r w:rsidR="00302B23" w:rsidRPr="00FD211F">
        <w:rPr>
          <w:sz w:val="36"/>
          <w:szCs w:val="36"/>
          <w:rtl/>
        </w:rPr>
        <w:t>جريانهما</w:t>
      </w:r>
      <w:r w:rsidR="00E8128F">
        <w:rPr>
          <w:sz w:val="36"/>
          <w:szCs w:val="36"/>
          <w:rtl/>
        </w:rPr>
        <w:t xml:space="preserve"> </w:t>
      </w:r>
      <w:r w:rsidR="00302B23" w:rsidRPr="00FD211F">
        <w:rPr>
          <w:sz w:val="36"/>
          <w:szCs w:val="36"/>
          <w:rtl/>
        </w:rPr>
        <w:t>الترخيص</w:t>
      </w:r>
      <w:r w:rsidR="00E8128F">
        <w:rPr>
          <w:sz w:val="36"/>
          <w:szCs w:val="36"/>
          <w:rtl/>
        </w:rPr>
        <w:t xml:space="preserve"> </w:t>
      </w:r>
      <w:r w:rsidR="00302B23" w:rsidRPr="00FD211F">
        <w:rPr>
          <w:sz w:val="36"/>
          <w:szCs w:val="36"/>
          <w:rtl/>
        </w:rPr>
        <w:t>في</w:t>
      </w:r>
      <w:r w:rsidR="00E8128F">
        <w:rPr>
          <w:sz w:val="36"/>
          <w:szCs w:val="36"/>
          <w:rtl/>
        </w:rPr>
        <w:t xml:space="preserve"> </w:t>
      </w:r>
      <w:r w:rsidR="00302B23" w:rsidRPr="00FD211F">
        <w:rPr>
          <w:sz w:val="36"/>
          <w:szCs w:val="36"/>
          <w:rtl/>
        </w:rPr>
        <w:t>المخالف</w:t>
      </w:r>
      <w:r w:rsidR="00EC7EDF" w:rsidRPr="00FD211F">
        <w:rPr>
          <w:sz w:val="36"/>
          <w:szCs w:val="36"/>
          <w:rtl/>
        </w:rPr>
        <w:t>ة</w:t>
      </w:r>
      <w:r w:rsidR="00E8128F">
        <w:rPr>
          <w:sz w:val="36"/>
          <w:szCs w:val="36"/>
          <w:rtl/>
        </w:rPr>
        <w:t xml:space="preserve"> </w:t>
      </w:r>
      <w:r w:rsidR="00302B23" w:rsidRPr="00FD211F">
        <w:rPr>
          <w:sz w:val="36"/>
          <w:szCs w:val="36"/>
          <w:rtl/>
        </w:rPr>
        <w:t>القطعي</w:t>
      </w:r>
      <w:r w:rsidR="00EC7EDF" w:rsidRPr="00FD211F">
        <w:rPr>
          <w:sz w:val="36"/>
          <w:szCs w:val="36"/>
          <w:rtl/>
        </w:rPr>
        <w:t>ة</w:t>
      </w:r>
      <w:r w:rsidR="00E8128F">
        <w:rPr>
          <w:sz w:val="36"/>
          <w:szCs w:val="36"/>
          <w:rtl/>
        </w:rPr>
        <w:t xml:space="preserve"> </w:t>
      </w:r>
      <w:r w:rsidR="00302B23" w:rsidRPr="00FD211F">
        <w:rPr>
          <w:sz w:val="36"/>
          <w:szCs w:val="36"/>
          <w:rtl/>
        </w:rPr>
        <w:t>للعلم</w:t>
      </w:r>
      <w:r w:rsidR="00E8128F">
        <w:rPr>
          <w:sz w:val="36"/>
          <w:szCs w:val="36"/>
          <w:rtl/>
        </w:rPr>
        <w:t xml:space="preserve"> </w:t>
      </w:r>
      <w:r w:rsidR="00302B23" w:rsidRPr="00FD211F">
        <w:rPr>
          <w:sz w:val="36"/>
          <w:szCs w:val="36"/>
          <w:rtl/>
        </w:rPr>
        <w:t>الإجمالي</w:t>
      </w:r>
      <w:r w:rsidR="00603323" w:rsidRPr="00FD211F">
        <w:rPr>
          <w:sz w:val="36"/>
          <w:szCs w:val="36"/>
          <w:rtl/>
        </w:rPr>
        <w:t>،</w:t>
      </w:r>
      <w:r w:rsidR="00E8128F">
        <w:rPr>
          <w:sz w:val="36"/>
          <w:szCs w:val="36"/>
          <w:rtl/>
        </w:rPr>
        <w:t xml:space="preserve"> </w:t>
      </w:r>
      <w:r w:rsidR="00302B23" w:rsidRPr="00FD211F">
        <w:rPr>
          <w:sz w:val="36"/>
          <w:szCs w:val="36"/>
          <w:rtl/>
        </w:rPr>
        <w:t>نعم</w:t>
      </w:r>
      <w:r w:rsidR="00E8128F">
        <w:rPr>
          <w:sz w:val="36"/>
          <w:szCs w:val="36"/>
          <w:rtl/>
        </w:rPr>
        <w:t xml:space="preserve"> </w:t>
      </w:r>
      <w:r w:rsidR="00302B23" w:rsidRPr="00FD211F">
        <w:rPr>
          <w:sz w:val="36"/>
          <w:szCs w:val="36"/>
          <w:rtl/>
        </w:rPr>
        <w:t>لو</w:t>
      </w:r>
      <w:r w:rsidR="00E8128F">
        <w:rPr>
          <w:sz w:val="36"/>
          <w:szCs w:val="36"/>
          <w:rtl/>
        </w:rPr>
        <w:t xml:space="preserve"> </w:t>
      </w:r>
      <w:r w:rsidR="00302B23" w:rsidRPr="00FD211F">
        <w:rPr>
          <w:sz w:val="36"/>
          <w:szCs w:val="36"/>
          <w:rtl/>
        </w:rPr>
        <w:t>فرض</w:t>
      </w:r>
      <w:r w:rsidR="00E8128F">
        <w:rPr>
          <w:sz w:val="36"/>
          <w:szCs w:val="36"/>
          <w:rtl/>
        </w:rPr>
        <w:t xml:space="preserve"> </w:t>
      </w:r>
      <w:r w:rsidR="00302B23" w:rsidRPr="00FD211F">
        <w:rPr>
          <w:sz w:val="36"/>
          <w:szCs w:val="36"/>
          <w:rtl/>
        </w:rPr>
        <w:t>جريان</w:t>
      </w:r>
      <w:r w:rsidR="00E8128F">
        <w:rPr>
          <w:sz w:val="36"/>
          <w:szCs w:val="36"/>
          <w:rtl/>
        </w:rPr>
        <w:t xml:space="preserve"> </w:t>
      </w:r>
      <w:r w:rsidR="00302B23" w:rsidRPr="00FD211F">
        <w:rPr>
          <w:sz w:val="36"/>
          <w:szCs w:val="36"/>
          <w:rtl/>
        </w:rPr>
        <w:t>استصحاب</w:t>
      </w:r>
      <w:r w:rsidR="00E8128F">
        <w:rPr>
          <w:sz w:val="36"/>
          <w:szCs w:val="36"/>
          <w:rtl/>
        </w:rPr>
        <w:t xml:space="preserve"> </w:t>
      </w:r>
      <w:r w:rsidR="00302B23" w:rsidRPr="00FD211F">
        <w:rPr>
          <w:sz w:val="36"/>
          <w:szCs w:val="36"/>
          <w:rtl/>
        </w:rPr>
        <w:t>وجوب</w:t>
      </w:r>
      <w:r w:rsidR="00E8128F">
        <w:rPr>
          <w:sz w:val="36"/>
          <w:szCs w:val="36"/>
          <w:rtl/>
        </w:rPr>
        <w:t xml:space="preserve"> </w:t>
      </w:r>
      <w:r w:rsidR="00302B23" w:rsidRPr="00FD211F">
        <w:rPr>
          <w:sz w:val="36"/>
          <w:szCs w:val="36"/>
          <w:rtl/>
        </w:rPr>
        <w:t>اكرام</w:t>
      </w:r>
      <w:r w:rsidR="00E8128F">
        <w:rPr>
          <w:sz w:val="36"/>
          <w:szCs w:val="36"/>
          <w:rtl/>
        </w:rPr>
        <w:t xml:space="preserve"> </w:t>
      </w:r>
      <w:r w:rsidR="00302B23" w:rsidRPr="00FD211F">
        <w:rPr>
          <w:sz w:val="36"/>
          <w:szCs w:val="36"/>
          <w:rtl/>
        </w:rPr>
        <w:t>ذلك</w:t>
      </w:r>
      <w:r w:rsidR="00E8128F">
        <w:rPr>
          <w:sz w:val="36"/>
          <w:szCs w:val="36"/>
          <w:rtl/>
        </w:rPr>
        <w:t xml:space="preserve"> </w:t>
      </w:r>
      <w:r w:rsidR="00302B23" w:rsidRPr="00FD211F">
        <w:rPr>
          <w:sz w:val="36"/>
          <w:szCs w:val="36"/>
          <w:rtl/>
        </w:rPr>
        <w:t>الرجل</w:t>
      </w:r>
      <w:r w:rsidR="00E8128F">
        <w:rPr>
          <w:sz w:val="36"/>
          <w:szCs w:val="36"/>
          <w:rtl/>
        </w:rPr>
        <w:t xml:space="preserve"> </w:t>
      </w:r>
      <w:r w:rsidR="00302B23" w:rsidRPr="00FD211F">
        <w:rPr>
          <w:sz w:val="36"/>
          <w:szCs w:val="36"/>
          <w:rtl/>
        </w:rPr>
        <w:t>الثاني</w:t>
      </w:r>
      <w:r w:rsidR="00E8128F">
        <w:rPr>
          <w:sz w:val="36"/>
          <w:szCs w:val="36"/>
          <w:rtl/>
        </w:rPr>
        <w:t xml:space="preserve"> </w:t>
      </w:r>
      <w:r w:rsidR="00302B23" w:rsidRPr="00FD211F">
        <w:rPr>
          <w:sz w:val="36"/>
          <w:szCs w:val="36"/>
          <w:rtl/>
        </w:rPr>
        <w:t>الذي</w:t>
      </w:r>
      <w:r w:rsidR="00E8128F">
        <w:rPr>
          <w:sz w:val="36"/>
          <w:szCs w:val="36"/>
          <w:rtl/>
        </w:rPr>
        <w:t xml:space="preserve"> </w:t>
      </w:r>
      <w:r w:rsidR="00302B23" w:rsidRPr="00FD211F">
        <w:rPr>
          <w:sz w:val="36"/>
          <w:szCs w:val="36"/>
          <w:rtl/>
        </w:rPr>
        <w:t>زال</w:t>
      </w:r>
      <w:r w:rsidR="00E8128F">
        <w:rPr>
          <w:sz w:val="36"/>
          <w:szCs w:val="36"/>
          <w:rtl/>
        </w:rPr>
        <w:t xml:space="preserve"> </w:t>
      </w:r>
      <w:r w:rsidR="00302B23" w:rsidRPr="00FD211F">
        <w:rPr>
          <w:sz w:val="36"/>
          <w:szCs w:val="36"/>
          <w:rtl/>
        </w:rPr>
        <w:t>عنه</w:t>
      </w:r>
      <w:r w:rsidR="00E8128F">
        <w:rPr>
          <w:sz w:val="36"/>
          <w:szCs w:val="36"/>
          <w:rtl/>
        </w:rPr>
        <w:t xml:space="preserve"> </w:t>
      </w:r>
      <w:r w:rsidR="00302B23" w:rsidRPr="00FD211F">
        <w:rPr>
          <w:sz w:val="36"/>
          <w:szCs w:val="36"/>
          <w:rtl/>
        </w:rPr>
        <w:t>العدال</w:t>
      </w:r>
      <w:r w:rsidR="00EC7EDF" w:rsidRPr="00FD211F">
        <w:rPr>
          <w:sz w:val="36"/>
          <w:szCs w:val="36"/>
          <w:rtl/>
        </w:rPr>
        <w:t>ة</w:t>
      </w:r>
      <w:r w:rsidR="00E8128F">
        <w:rPr>
          <w:sz w:val="36"/>
          <w:szCs w:val="36"/>
          <w:rtl/>
        </w:rPr>
        <w:t xml:space="preserve"> </w:t>
      </w:r>
      <w:r w:rsidR="00302B23" w:rsidRPr="00FD211F">
        <w:rPr>
          <w:sz w:val="36"/>
          <w:szCs w:val="36"/>
          <w:rtl/>
        </w:rPr>
        <w:t>بان</w:t>
      </w:r>
      <w:r w:rsidR="00E8128F">
        <w:rPr>
          <w:sz w:val="36"/>
          <w:szCs w:val="36"/>
          <w:rtl/>
        </w:rPr>
        <w:t xml:space="preserve"> </w:t>
      </w:r>
      <w:r w:rsidR="00302B23" w:rsidRPr="00FD211F">
        <w:rPr>
          <w:sz w:val="36"/>
          <w:szCs w:val="36"/>
          <w:rtl/>
        </w:rPr>
        <w:t>كان</w:t>
      </w:r>
      <w:r w:rsidR="00E8128F">
        <w:rPr>
          <w:sz w:val="36"/>
          <w:szCs w:val="36"/>
          <w:rtl/>
        </w:rPr>
        <w:t xml:space="preserve"> </w:t>
      </w:r>
      <w:r w:rsidR="00302B23" w:rsidRPr="00FD211F">
        <w:rPr>
          <w:sz w:val="36"/>
          <w:szCs w:val="36"/>
          <w:rtl/>
        </w:rPr>
        <w:t>يجب</w:t>
      </w:r>
      <w:r w:rsidR="00E8128F">
        <w:rPr>
          <w:sz w:val="36"/>
          <w:szCs w:val="36"/>
          <w:rtl/>
        </w:rPr>
        <w:t xml:space="preserve"> </w:t>
      </w:r>
      <w:r w:rsidR="00302B23" w:rsidRPr="00FD211F">
        <w:rPr>
          <w:sz w:val="36"/>
          <w:szCs w:val="36"/>
          <w:rtl/>
        </w:rPr>
        <w:t>اكرامه</w:t>
      </w:r>
      <w:r w:rsidR="00E8128F">
        <w:rPr>
          <w:sz w:val="36"/>
          <w:szCs w:val="36"/>
          <w:rtl/>
        </w:rPr>
        <w:t xml:space="preserve"> </w:t>
      </w:r>
      <w:r w:rsidR="00302B23" w:rsidRPr="00FD211F">
        <w:rPr>
          <w:sz w:val="36"/>
          <w:szCs w:val="36"/>
          <w:rtl/>
        </w:rPr>
        <w:t>قبل</w:t>
      </w:r>
      <w:r w:rsidR="00E8128F">
        <w:rPr>
          <w:sz w:val="36"/>
          <w:szCs w:val="36"/>
          <w:rtl/>
        </w:rPr>
        <w:t xml:space="preserve"> </w:t>
      </w:r>
      <w:r w:rsidR="00302B23" w:rsidRPr="00FD211F">
        <w:rPr>
          <w:sz w:val="36"/>
          <w:szCs w:val="36"/>
          <w:rtl/>
        </w:rPr>
        <w:t>ان</w:t>
      </w:r>
      <w:r w:rsidR="00E8128F">
        <w:rPr>
          <w:sz w:val="36"/>
          <w:szCs w:val="36"/>
          <w:rtl/>
        </w:rPr>
        <w:t xml:space="preserve"> </w:t>
      </w:r>
      <w:r w:rsidR="00302B23" w:rsidRPr="00FD211F">
        <w:rPr>
          <w:sz w:val="36"/>
          <w:szCs w:val="36"/>
          <w:rtl/>
        </w:rPr>
        <w:t>ينقضي</w:t>
      </w:r>
      <w:r w:rsidR="00E8128F">
        <w:rPr>
          <w:sz w:val="36"/>
          <w:szCs w:val="36"/>
          <w:rtl/>
        </w:rPr>
        <w:t xml:space="preserve"> </w:t>
      </w:r>
      <w:r w:rsidR="00302B23" w:rsidRPr="00FD211F">
        <w:rPr>
          <w:sz w:val="36"/>
          <w:szCs w:val="36"/>
          <w:rtl/>
        </w:rPr>
        <w:t>عنه</w:t>
      </w:r>
      <w:r w:rsidR="00E8128F">
        <w:rPr>
          <w:sz w:val="36"/>
          <w:szCs w:val="36"/>
          <w:rtl/>
        </w:rPr>
        <w:t xml:space="preserve"> </w:t>
      </w:r>
      <w:r w:rsidR="00302B23" w:rsidRPr="00FD211F">
        <w:rPr>
          <w:sz w:val="36"/>
          <w:szCs w:val="36"/>
          <w:rtl/>
        </w:rPr>
        <w:t>التلبس</w:t>
      </w:r>
      <w:r w:rsidR="00E8128F">
        <w:rPr>
          <w:sz w:val="36"/>
          <w:szCs w:val="36"/>
          <w:rtl/>
        </w:rPr>
        <w:t xml:space="preserve"> </w:t>
      </w:r>
      <w:r w:rsidR="00302B23" w:rsidRPr="00FD211F">
        <w:rPr>
          <w:sz w:val="36"/>
          <w:szCs w:val="36"/>
          <w:rtl/>
        </w:rPr>
        <w:t>بالعدال</w:t>
      </w:r>
      <w:r w:rsidR="00EC7EDF" w:rsidRPr="00FD211F">
        <w:rPr>
          <w:sz w:val="36"/>
          <w:szCs w:val="36"/>
          <w:rtl/>
        </w:rPr>
        <w:t>ة</w:t>
      </w:r>
      <w:r w:rsidR="00E8128F">
        <w:rPr>
          <w:sz w:val="36"/>
          <w:szCs w:val="36"/>
          <w:rtl/>
        </w:rPr>
        <w:t xml:space="preserve"> </w:t>
      </w:r>
      <w:r w:rsidR="00302B23" w:rsidRPr="00FD211F">
        <w:rPr>
          <w:sz w:val="36"/>
          <w:szCs w:val="36"/>
          <w:rtl/>
        </w:rPr>
        <w:t>وبنينا</w:t>
      </w:r>
      <w:r w:rsidR="00E8128F">
        <w:rPr>
          <w:sz w:val="36"/>
          <w:szCs w:val="36"/>
          <w:rtl/>
        </w:rPr>
        <w:t xml:space="preserve"> </w:t>
      </w:r>
      <w:r w:rsidR="00302B23" w:rsidRPr="00FD211F">
        <w:rPr>
          <w:sz w:val="36"/>
          <w:szCs w:val="36"/>
          <w:rtl/>
        </w:rPr>
        <w:t>على</w:t>
      </w:r>
      <w:r w:rsidR="00E8128F">
        <w:rPr>
          <w:sz w:val="36"/>
          <w:szCs w:val="36"/>
          <w:rtl/>
        </w:rPr>
        <w:t xml:space="preserve"> </w:t>
      </w:r>
      <w:r w:rsidR="00302B23" w:rsidRPr="00FD211F">
        <w:rPr>
          <w:sz w:val="36"/>
          <w:szCs w:val="36"/>
          <w:rtl/>
        </w:rPr>
        <w:t>جريان</w:t>
      </w:r>
      <w:r w:rsidR="00E8128F">
        <w:rPr>
          <w:sz w:val="36"/>
          <w:szCs w:val="36"/>
          <w:rtl/>
        </w:rPr>
        <w:t xml:space="preserve"> </w:t>
      </w:r>
      <w:r w:rsidR="00302B23" w:rsidRPr="00FD211F">
        <w:rPr>
          <w:sz w:val="36"/>
          <w:szCs w:val="36"/>
          <w:rtl/>
        </w:rPr>
        <w:t>الاستصحاب</w:t>
      </w:r>
      <w:r w:rsidR="00E8128F">
        <w:rPr>
          <w:sz w:val="36"/>
          <w:szCs w:val="36"/>
          <w:rtl/>
        </w:rPr>
        <w:t xml:space="preserve"> </w:t>
      </w:r>
      <w:r w:rsidR="00302B23" w:rsidRPr="00FD211F">
        <w:rPr>
          <w:sz w:val="36"/>
          <w:szCs w:val="36"/>
          <w:rtl/>
        </w:rPr>
        <w:t>في</w:t>
      </w:r>
      <w:r w:rsidR="00E8128F">
        <w:rPr>
          <w:sz w:val="36"/>
          <w:szCs w:val="36"/>
          <w:rtl/>
        </w:rPr>
        <w:t xml:space="preserve"> </w:t>
      </w:r>
      <w:r w:rsidR="00302B23" w:rsidRPr="00FD211F">
        <w:rPr>
          <w:sz w:val="36"/>
          <w:szCs w:val="36"/>
          <w:rtl/>
        </w:rPr>
        <w:t>الشبهات</w:t>
      </w:r>
      <w:r w:rsidR="00E8128F">
        <w:rPr>
          <w:sz w:val="36"/>
          <w:szCs w:val="36"/>
          <w:rtl/>
        </w:rPr>
        <w:t xml:space="preserve"> </w:t>
      </w:r>
      <w:r w:rsidR="00302B23" w:rsidRPr="00FD211F">
        <w:rPr>
          <w:sz w:val="36"/>
          <w:szCs w:val="36"/>
          <w:rtl/>
        </w:rPr>
        <w:t>الحكمي</w:t>
      </w:r>
      <w:r w:rsidR="00EC7EDF" w:rsidRPr="00FD211F">
        <w:rPr>
          <w:sz w:val="36"/>
          <w:szCs w:val="36"/>
          <w:rtl/>
        </w:rPr>
        <w:t>ة</w:t>
      </w:r>
      <w:r w:rsidR="00E8128F">
        <w:rPr>
          <w:sz w:val="36"/>
          <w:szCs w:val="36"/>
          <w:rtl/>
        </w:rPr>
        <w:t xml:space="preserve"> </w:t>
      </w:r>
      <w:r w:rsidR="00302B23" w:rsidRPr="00FD211F">
        <w:rPr>
          <w:sz w:val="36"/>
          <w:szCs w:val="36"/>
          <w:rtl/>
        </w:rPr>
        <w:t>فينحل</w:t>
      </w:r>
      <w:r w:rsidR="00E8128F">
        <w:rPr>
          <w:sz w:val="36"/>
          <w:szCs w:val="36"/>
          <w:rtl/>
        </w:rPr>
        <w:t xml:space="preserve"> </w:t>
      </w:r>
      <w:r w:rsidR="00302B23" w:rsidRPr="00FD211F">
        <w:rPr>
          <w:sz w:val="36"/>
          <w:szCs w:val="36"/>
          <w:rtl/>
        </w:rPr>
        <w:t>العلم</w:t>
      </w:r>
      <w:r w:rsidR="00E8128F">
        <w:rPr>
          <w:sz w:val="36"/>
          <w:szCs w:val="36"/>
          <w:rtl/>
        </w:rPr>
        <w:t xml:space="preserve"> </w:t>
      </w:r>
      <w:r w:rsidR="00302B23" w:rsidRPr="00FD211F">
        <w:rPr>
          <w:sz w:val="36"/>
          <w:szCs w:val="36"/>
          <w:rtl/>
        </w:rPr>
        <w:t>الإجمالي</w:t>
      </w:r>
      <w:r w:rsidR="00E8128F">
        <w:rPr>
          <w:sz w:val="36"/>
          <w:szCs w:val="36"/>
          <w:rtl/>
        </w:rPr>
        <w:t xml:space="preserve"> </w:t>
      </w:r>
      <w:r w:rsidR="00FC0B2D" w:rsidRPr="00FD211F">
        <w:rPr>
          <w:sz w:val="36"/>
          <w:szCs w:val="36"/>
          <w:rtl/>
        </w:rPr>
        <w:t>حكما</w:t>
      </w:r>
      <w:r w:rsidR="00E8128F">
        <w:rPr>
          <w:sz w:val="36"/>
          <w:szCs w:val="36"/>
          <w:rtl/>
        </w:rPr>
        <w:t xml:space="preserve"> </w:t>
      </w:r>
      <w:r w:rsidR="00302B23" w:rsidRPr="00FD211F">
        <w:rPr>
          <w:sz w:val="36"/>
          <w:szCs w:val="36"/>
          <w:rtl/>
        </w:rPr>
        <w:t>وتجري</w:t>
      </w:r>
      <w:r w:rsidR="00E8128F">
        <w:rPr>
          <w:sz w:val="36"/>
          <w:szCs w:val="36"/>
          <w:rtl/>
        </w:rPr>
        <w:t xml:space="preserve"> </w:t>
      </w:r>
      <w:r w:rsidR="00302B23" w:rsidRPr="00FD211F">
        <w:rPr>
          <w:sz w:val="36"/>
          <w:szCs w:val="36"/>
          <w:rtl/>
        </w:rPr>
        <w:t>البراء</w:t>
      </w:r>
      <w:r w:rsidR="00EC7EDF" w:rsidRPr="00FD211F">
        <w:rPr>
          <w:sz w:val="36"/>
          <w:szCs w:val="36"/>
          <w:rtl/>
        </w:rPr>
        <w:t>ة</w:t>
      </w:r>
      <w:r w:rsidR="00E8128F">
        <w:rPr>
          <w:sz w:val="36"/>
          <w:szCs w:val="36"/>
          <w:rtl/>
        </w:rPr>
        <w:t xml:space="preserve"> </w:t>
      </w:r>
      <w:r w:rsidR="00302B23" w:rsidRPr="00FD211F">
        <w:rPr>
          <w:sz w:val="36"/>
          <w:szCs w:val="36"/>
          <w:rtl/>
        </w:rPr>
        <w:t>الاولى</w:t>
      </w:r>
      <w:r w:rsidR="00E8128F">
        <w:rPr>
          <w:sz w:val="36"/>
          <w:szCs w:val="36"/>
          <w:rtl/>
        </w:rPr>
        <w:t xml:space="preserve"> </w:t>
      </w:r>
      <w:r w:rsidR="00302B23" w:rsidRPr="00FD211F">
        <w:rPr>
          <w:sz w:val="36"/>
          <w:szCs w:val="36"/>
          <w:rtl/>
        </w:rPr>
        <w:t>بلامعارض</w:t>
      </w:r>
      <w:r w:rsidR="00603323" w:rsidRPr="00FD211F">
        <w:rPr>
          <w:sz w:val="36"/>
          <w:szCs w:val="36"/>
          <w:rtl/>
        </w:rPr>
        <w:t>،</w:t>
      </w:r>
      <w:r w:rsidR="00E8128F">
        <w:rPr>
          <w:sz w:val="36"/>
          <w:szCs w:val="36"/>
          <w:rtl/>
        </w:rPr>
        <w:t xml:space="preserve"> </w:t>
      </w:r>
      <w:r w:rsidR="00302B23" w:rsidRPr="00FD211F">
        <w:rPr>
          <w:sz w:val="36"/>
          <w:szCs w:val="36"/>
          <w:rtl/>
        </w:rPr>
        <w:t>هذا</w:t>
      </w:r>
      <w:r w:rsidR="00E8128F">
        <w:rPr>
          <w:sz w:val="36"/>
          <w:szCs w:val="36"/>
          <w:rtl/>
        </w:rPr>
        <w:t xml:space="preserve"> </w:t>
      </w:r>
      <w:r w:rsidR="00302B23" w:rsidRPr="00FD211F">
        <w:rPr>
          <w:sz w:val="36"/>
          <w:szCs w:val="36"/>
          <w:rtl/>
        </w:rPr>
        <w:t>اذا</w:t>
      </w:r>
      <w:r w:rsidR="00E8128F">
        <w:rPr>
          <w:sz w:val="36"/>
          <w:szCs w:val="36"/>
          <w:rtl/>
        </w:rPr>
        <w:t xml:space="preserve"> </w:t>
      </w:r>
      <w:r w:rsidR="00302B23" w:rsidRPr="00FD211F">
        <w:rPr>
          <w:sz w:val="36"/>
          <w:szCs w:val="36"/>
          <w:rtl/>
        </w:rPr>
        <w:t>فرض</w:t>
      </w:r>
      <w:r w:rsidR="00E8128F">
        <w:rPr>
          <w:sz w:val="36"/>
          <w:szCs w:val="36"/>
          <w:rtl/>
        </w:rPr>
        <w:t xml:space="preserve"> </w:t>
      </w:r>
      <w:r w:rsidR="00302B23" w:rsidRPr="00FD211F">
        <w:rPr>
          <w:sz w:val="36"/>
          <w:szCs w:val="36"/>
          <w:rtl/>
        </w:rPr>
        <w:t>احراز</w:t>
      </w:r>
      <w:r w:rsidR="00E8128F">
        <w:rPr>
          <w:sz w:val="36"/>
          <w:szCs w:val="36"/>
          <w:rtl/>
        </w:rPr>
        <w:t xml:space="preserve"> </w:t>
      </w:r>
      <w:r w:rsidR="00302B23" w:rsidRPr="00FD211F">
        <w:rPr>
          <w:sz w:val="36"/>
          <w:szCs w:val="36"/>
          <w:rtl/>
        </w:rPr>
        <w:t>ظهور</w:t>
      </w:r>
      <w:r w:rsidR="00E8128F">
        <w:rPr>
          <w:sz w:val="36"/>
          <w:szCs w:val="36"/>
          <w:rtl/>
        </w:rPr>
        <w:t xml:space="preserve"> </w:t>
      </w:r>
      <w:r w:rsidR="00302B23" w:rsidRPr="00FD211F">
        <w:rPr>
          <w:sz w:val="36"/>
          <w:szCs w:val="36"/>
          <w:rtl/>
        </w:rPr>
        <w:t>المطلق</w:t>
      </w:r>
      <w:r w:rsidR="00E8128F">
        <w:rPr>
          <w:sz w:val="36"/>
          <w:szCs w:val="36"/>
          <w:rtl/>
        </w:rPr>
        <w:t xml:space="preserve"> </w:t>
      </w:r>
      <w:r w:rsidR="00302B23" w:rsidRPr="00FD211F">
        <w:rPr>
          <w:sz w:val="36"/>
          <w:szCs w:val="36"/>
          <w:rtl/>
        </w:rPr>
        <w:t>في</w:t>
      </w:r>
      <w:r w:rsidR="00E8128F">
        <w:rPr>
          <w:sz w:val="36"/>
          <w:szCs w:val="36"/>
          <w:rtl/>
        </w:rPr>
        <w:t xml:space="preserve"> </w:t>
      </w:r>
      <w:r w:rsidR="00302B23" w:rsidRPr="00FD211F">
        <w:rPr>
          <w:sz w:val="36"/>
          <w:szCs w:val="36"/>
          <w:rtl/>
        </w:rPr>
        <w:t>خصوص</w:t>
      </w:r>
      <w:r w:rsidR="00E8128F">
        <w:rPr>
          <w:sz w:val="36"/>
          <w:szCs w:val="36"/>
          <w:rtl/>
        </w:rPr>
        <w:t xml:space="preserve"> </w:t>
      </w:r>
      <w:r w:rsidR="00302B23" w:rsidRPr="00FD211F">
        <w:rPr>
          <w:sz w:val="36"/>
          <w:szCs w:val="36"/>
          <w:rtl/>
        </w:rPr>
        <w:t>المتلبس</w:t>
      </w:r>
      <w:r w:rsidR="00E8128F">
        <w:rPr>
          <w:sz w:val="36"/>
          <w:szCs w:val="36"/>
          <w:rtl/>
        </w:rPr>
        <w:t xml:space="preserve"> </w:t>
      </w:r>
      <w:r w:rsidR="00302B23" w:rsidRPr="00FD211F">
        <w:rPr>
          <w:sz w:val="36"/>
          <w:szCs w:val="36"/>
          <w:rtl/>
        </w:rPr>
        <w:t>بال</w:t>
      </w:r>
      <w:r w:rsidR="0079493B" w:rsidRPr="00FD211F">
        <w:rPr>
          <w:sz w:val="36"/>
          <w:szCs w:val="36"/>
          <w:rtl/>
        </w:rPr>
        <w:t>مبدأ</w:t>
      </w:r>
      <w:r w:rsidR="00E8128F">
        <w:rPr>
          <w:sz w:val="36"/>
          <w:szCs w:val="36"/>
          <w:rtl/>
        </w:rPr>
        <w:t xml:space="preserve"> </w:t>
      </w:r>
      <w:r w:rsidR="00302B23" w:rsidRPr="00FD211F">
        <w:rPr>
          <w:sz w:val="36"/>
          <w:szCs w:val="36"/>
          <w:rtl/>
        </w:rPr>
        <w:t>او</w:t>
      </w:r>
      <w:r w:rsidR="00E8128F">
        <w:rPr>
          <w:sz w:val="36"/>
          <w:szCs w:val="36"/>
          <w:rtl/>
        </w:rPr>
        <w:t xml:space="preserve"> </w:t>
      </w:r>
      <w:r w:rsidR="00302B23" w:rsidRPr="00FD211F">
        <w:rPr>
          <w:sz w:val="36"/>
          <w:szCs w:val="36"/>
          <w:rtl/>
        </w:rPr>
        <w:t>الأعم</w:t>
      </w:r>
      <w:r w:rsidR="00E8128F">
        <w:rPr>
          <w:sz w:val="36"/>
          <w:szCs w:val="36"/>
          <w:rtl/>
        </w:rPr>
        <w:t xml:space="preserve"> </w:t>
      </w:r>
      <w:r w:rsidR="00302B23" w:rsidRPr="00FD211F">
        <w:rPr>
          <w:sz w:val="36"/>
          <w:szCs w:val="36"/>
          <w:rtl/>
        </w:rPr>
        <w:t>عرفا</w:t>
      </w:r>
      <w:r w:rsidR="00E8128F">
        <w:rPr>
          <w:sz w:val="36"/>
          <w:szCs w:val="36"/>
          <w:rtl/>
        </w:rPr>
        <w:t xml:space="preserve"> </w:t>
      </w:r>
      <w:r w:rsidR="00302B23" w:rsidRPr="00FD211F">
        <w:rPr>
          <w:sz w:val="36"/>
          <w:szCs w:val="36"/>
          <w:rtl/>
        </w:rPr>
        <w:t>وانما</w:t>
      </w:r>
      <w:r w:rsidR="00E8128F">
        <w:rPr>
          <w:sz w:val="36"/>
          <w:szCs w:val="36"/>
          <w:rtl/>
        </w:rPr>
        <w:t xml:space="preserve"> </w:t>
      </w:r>
      <w:r w:rsidR="00302B23" w:rsidRPr="00FD211F">
        <w:rPr>
          <w:sz w:val="36"/>
          <w:szCs w:val="36"/>
          <w:rtl/>
        </w:rPr>
        <w:t>كان</w:t>
      </w:r>
      <w:r w:rsidR="00E8128F">
        <w:rPr>
          <w:sz w:val="36"/>
          <w:szCs w:val="36"/>
          <w:rtl/>
        </w:rPr>
        <w:t xml:space="preserve"> </w:t>
      </w:r>
      <w:r w:rsidR="00302B23" w:rsidRPr="00FD211F">
        <w:rPr>
          <w:sz w:val="36"/>
          <w:szCs w:val="36"/>
          <w:rtl/>
        </w:rPr>
        <w:t>مجملا</w:t>
      </w:r>
      <w:r w:rsidR="00E8128F">
        <w:rPr>
          <w:sz w:val="36"/>
          <w:szCs w:val="36"/>
          <w:rtl/>
        </w:rPr>
        <w:t xml:space="preserve"> </w:t>
      </w:r>
      <w:r w:rsidR="00302B23" w:rsidRPr="00FD211F">
        <w:rPr>
          <w:sz w:val="36"/>
          <w:szCs w:val="36"/>
          <w:rtl/>
        </w:rPr>
        <w:t>لنا</w:t>
      </w:r>
      <w:r w:rsidR="00E8128F">
        <w:rPr>
          <w:sz w:val="36"/>
          <w:szCs w:val="36"/>
          <w:rtl/>
        </w:rPr>
        <w:t xml:space="preserve"> </w:t>
      </w:r>
      <w:r w:rsidR="00302B23" w:rsidRPr="00FD211F">
        <w:rPr>
          <w:sz w:val="36"/>
          <w:szCs w:val="36"/>
          <w:rtl/>
        </w:rPr>
        <w:t>فقط</w:t>
      </w:r>
      <w:r w:rsidR="00603323" w:rsidRPr="00FD211F">
        <w:rPr>
          <w:sz w:val="36"/>
          <w:szCs w:val="36"/>
          <w:rtl/>
        </w:rPr>
        <w:t>،</w:t>
      </w:r>
      <w:r w:rsidR="00E8128F">
        <w:rPr>
          <w:sz w:val="36"/>
          <w:szCs w:val="36"/>
          <w:rtl/>
        </w:rPr>
        <w:t xml:space="preserve"> </w:t>
      </w:r>
      <w:r w:rsidR="00302B23" w:rsidRPr="00FD211F">
        <w:rPr>
          <w:sz w:val="36"/>
          <w:szCs w:val="36"/>
          <w:rtl/>
        </w:rPr>
        <w:t>واما</w:t>
      </w:r>
      <w:r w:rsidR="00E8128F">
        <w:rPr>
          <w:sz w:val="36"/>
          <w:szCs w:val="36"/>
          <w:rtl/>
        </w:rPr>
        <w:t xml:space="preserve"> </w:t>
      </w:r>
      <w:r w:rsidR="00302B23" w:rsidRPr="00FD211F">
        <w:rPr>
          <w:sz w:val="36"/>
          <w:szCs w:val="36"/>
          <w:rtl/>
        </w:rPr>
        <w:t>لو</w:t>
      </w:r>
      <w:r w:rsidR="00E8128F">
        <w:rPr>
          <w:sz w:val="36"/>
          <w:szCs w:val="36"/>
          <w:rtl/>
        </w:rPr>
        <w:t xml:space="preserve"> </w:t>
      </w:r>
      <w:r w:rsidR="00302B23" w:rsidRPr="00FD211F">
        <w:rPr>
          <w:sz w:val="36"/>
          <w:szCs w:val="36"/>
          <w:rtl/>
        </w:rPr>
        <w:t>احتمل</w:t>
      </w:r>
      <w:r w:rsidR="00E8128F">
        <w:rPr>
          <w:sz w:val="36"/>
          <w:szCs w:val="36"/>
          <w:rtl/>
        </w:rPr>
        <w:t xml:space="preserve"> </w:t>
      </w:r>
      <w:r w:rsidR="00302B23" w:rsidRPr="00FD211F">
        <w:rPr>
          <w:sz w:val="36"/>
          <w:szCs w:val="36"/>
          <w:rtl/>
        </w:rPr>
        <w:t>اجماله</w:t>
      </w:r>
      <w:r w:rsidR="00E8128F">
        <w:rPr>
          <w:sz w:val="36"/>
          <w:szCs w:val="36"/>
          <w:rtl/>
        </w:rPr>
        <w:t xml:space="preserve"> </w:t>
      </w:r>
      <w:r w:rsidR="00302B23" w:rsidRPr="00FD211F">
        <w:rPr>
          <w:sz w:val="36"/>
          <w:szCs w:val="36"/>
          <w:rtl/>
        </w:rPr>
        <w:t>واقعا</w:t>
      </w:r>
      <w:r w:rsidR="00E8128F">
        <w:rPr>
          <w:sz w:val="36"/>
          <w:szCs w:val="36"/>
          <w:rtl/>
        </w:rPr>
        <w:t xml:space="preserve"> </w:t>
      </w:r>
      <w:r w:rsidR="00302B23" w:rsidRPr="00FD211F">
        <w:rPr>
          <w:sz w:val="36"/>
          <w:szCs w:val="36"/>
          <w:rtl/>
        </w:rPr>
        <w:t>فان</w:t>
      </w:r>
      <w:r w:rsidR="00E8128F">
        <w:rPr>
          <w:sz w:val="36"/>
          <w:szCs w:val="36"/>
          <w:rtl/>
        </w:rPr>
        <w:t xml:space="preserve"> </w:t>
      </w:r>
      <w:r w:rsidR="00302B23" w:rsidRPr="00FD211F">
        <w:rPr>
          <w:sz w:val="36"/>
          <w:szCs w:val="36"/>
          <w:rtl/>
        </w:rPr>
        <w:t>احتمل</w:t>
      </w:r>
      <w:r w:rsidR="00E8128F">
        <w:rPr>
          <w:sz w:val="36"/>
          <w:szCs w:val="36"/>
          <w:rtl/>
        </w:rPr>
        <w:t xml:space="preserve"> </w:t>
      </w:r>
      <w:r w:rsidR="00302B23" w:rsidRPr="00FD211F">
        <w:rPr>
          <w:sz w:val="36"/>
          <w:szCs w:val="36"/>
          <w:rtl/>
        </w:rPr>
        <w:t>كون</w:t>
      </w:r>
      <w:r w:rsidR="00E8128F">
        <w:rPr>
          <w:sz w:val="36"/>
          <w:szCs w:val="36"/>
          <w:rtl/>
        </w:rPr>
        <w:t xml:space="preserve"> </w:t>
      </w:r>
      <w:r w:rsidR="00302B23" w:rsidRPr="00FD211F">
        <w:rPr>
          <w:sz w:val="36"/>
          <w:szCs w:val="36"/>
          <w:rtl/>
        </w:rPr>
        <w:t>المراد</w:t>
      </w:r>
      <w:r w:rsidR="00E8128F">
        <w:rPr>
          <w:sz w:val="36"/>
          <w:szCs w:val="36"/>
          <w:rtl/>
        </w:rPr>
        <w:t xml:space="preserve"> </w:t>
      </w:r>
      <w:r w:rsidR="00302B23" w:rsidRPr="00FD211F">
        <w:rPr>
          <w:sz w:val="36"/>
          <w:szCs w:val="36"/>
          <w:rtl/>
        </w:rPr>
        <w:t>في</w:t>
      </w:r>
      <w:r w:rsidR="00E8128F">
        <w:rPr>
          <w:sz w:val="36"/>
          <w:szCs w:val="36"/>
          <w:rtl/>
        </w:rPr>
        <w:t xml:space="preserve"> </w:t>
      </w:r>
      <w:r w:rsidR="00302B23" w:rsidRPr="00FD211F">
        <w:rPr>
          <w:sz w:val="36"/>
          <w:szCs w:val="36"/>
          <w:rtl/>
        </w:rPr>
        <w:t>الخطاب</w:t>
      </w:r>
      <w:r w:rsidR="00E8128F">
        <w:rPr>
          <w:sz w:val="36"/>
          <w:szCs w:val="36"/>
          <w:rtl/>
        </w:rPr>
        <w:t xml:space="preserve"> </w:t>
      </w:r>
      <w:r w:rsidR="00302B23" w:rsidRPr="00FD211F">
        <w:rPr>
          <w:sz w:val="36"/>
          <w:szCs w:val="36"/>
          <w:rtl/>
        </w:rPr>
        <w:t>الأول</w:t>
      </w:r>
      <w:r w:rsidR="00E8128F">
        <w:rPr>
          <w:sz w:val="36"/>
          <w:szCs w:val="36"/>
          <w:rtl/>
        </w:rPr>
        <w:t xml:space="preserve"> </w:t>
      </w:r>
      <w:r w:rsidR="00302B23" w:rsidRPr="00FD211F">
        <w:rPr>
          <w:sz w:val="36"/>
          <w:szCs w:val="36"/>
          <w:rtl/>
        </w:rPr>
        <w:t>وجوب</w:t>
      </w:r>
      <w:r w:rsidR="00E8128F">
        <w:rPr>
          <w:sz w:val="36"/>
          <w:szCs w:val="36"/>
          <w:rtl/>
        </w:rPr>
        <w:t xml:space="preserve"> </w:t>
      </w:r>
      <w:r w:rsidR="00302B23" w:rsidRPr="00FD211F">
        <w:rPr>
          <w:sz w:val="36"/>
          <w:szCs w:val="36"/>
          <w:rtl/>
        </w:rPr>
        <w:t>اكرام</w:t>
      </w:r>
      <w:r w:rsidR="00E8128F">
        <w:rPr>
          <w:sz w:val="36"/>
          <w:szCs w:val="36"/>
          <w:rtl/>
        </w:rPr>
        <w:t xml:space="preserve"> </w:t>
      </w:r>
      <w:r w:rsidR="00302B23" w:rsidRPr="00FD211F">
        <w:rPr>
          <w:sz w:val="36"/>
          <w:szCs w:val="36"/>
          <w:rtl/>
        </w:rPr>
        <w:t>الاعم</w:t>
      </w:r>
      <w:r w:rsidR="00E8128F">
        <w:rPr>
          <w:sz w:val="36"/>
          <w:szCs w:val="36"/>
          <w:rtl/>
        </w:rPr>
        <w:t xml:space="preserve"> </w:t>
      </w:r>
      <w:r w:rsidR="00302B23" w:rsidRPr="00FD211F">
        <w:rPr>
          <w:sz w:val="36"/>
          <w:szCs w:val="36"/>
          <w:rtl/>
        </w:rPr>
        <w:t>من</w:t>
      </w:r>
      <w:r w:rsidR="00E8128F">
        <w:rPr>
          <w:sz w:val="36"/>
          <w:szCs w:val="36"/>
          <w:rtl/>
        </w:rPr>
        <w:t xml:space="preserve"> </w:t>
      </w:r>
      <w:r w:rsidR="00302B23" w:rsidRPr="00FD211F">
        <w:rPr>
          <w:sz w:val="36"/>
          <w:szCs w:val="36"/>
          <w:rtl/>
        </w:rPr>
        <w:t>العالم</w:t>
      </w:r>
      <w:r w:rsidR="00E8128F">
        <w:rPr>
          <w:sz w:val="36"/>
          <w:szCs w:val="36"/>
          <w:rtl/>
        </w:rPr>
        <w:t xml:space="preserve"> </w:t>
      </w:r>
      <w:r w:rsidR="00302B23" w:rsidRPr="00FD211F">
        <w:rPr>
          <w:sz w:val="36"/>
          <w:szCs w:val="36"/>
          <w:rtl/>
        </w:rPr>
        <w:t>السابق</w:t>
      </w:r>
      <w:r w:rsidR="00E8128F">
        <w:rPr>
          <w:sz w:val="36"/>
          <w:szCs w:val="36"/>
          <w:rtl/>
        </w:rPr>
        <w:t xml:space="preserve"> </w:t>
      </w:r>
      <w:r w:rsidR="00302B23" w:rsidRPr="00FD211F">
        <w:rPr>
          <w:sz w:val="36"/>
          <w:szCs w:val="36"/>
          <w:rtl/>
        </w:rPr>
        <w:t>والعالم</w:t>
      </w:r>
      <w:r w:rsidR="00E8128F">
        <w:rPr>
          <w:sz w:val="36"/>
          <w:szCs w:val="36"/>
          <w:rtl/>
        </w:rPr>
        <w:t xml:space="preserve"> </w:t>
      </w:r>
      <w:r w:rsidR="00302B23" w:rsidRPr="00FD211F">
        <w:rPr>
          <w:sz w:val="36"/>
          <w:szCs w:val="36"/>
          <w:rtl/>
        </w:rPr>
        <w:t>الفعلي</w:t>
      </w:r>
      <w:r w:rsidR="00E8128F">
        <w:rPr>
          <w:sz w:val="36"/>
          <w:szCs w:val="36"/>
          <w:rtl/>
        </w:rPr>
        <w:t xml:space="preserve"> </w:t>
      </w:r>
      <w:r w:rsidR="00DD15D1" w:rsidRPr="00FD211F">
        <w:rPr>
          <w:sz w:val="36"/>
          <w:szCs w:val="36"/>
          <w:rtl/>
        </w:rPr>
        <w:t>وكون</w:t>
      </w:r>
      <w:r w:rsidR="00E8128F">
        <w:rPr>
          <w:sz w:val="36"/>
          <w:szCs w:val="36"/>
          <w:rtl/>
        </w:rPr>
        <w:t xml:space="preserve"> </w:t>
      </w:r>
      <w:r w:rsidR="00DD15D1" w:rsidRPr="00FD211F">
        <w:rPr>
          <w:sz w:val="36"/>
          <w:szCs w:val="36"/>
          <w:rtl/>
        </w:rPr>
        <w:t>المراد</w:t>
      </w:r>
      <w:r w:rsidR="00E8128F">
        <w:rPr>
          <w:sz w:val="36"/>
          <w:szCs w:val="36"/>
          <w:rtl/>
        </w:rPr>
        <w:t xml:space="preserve"> </w:t>
      </w:r>
      <w:r w:rsidR="00DD15D1" w:rsidRPr="00FD211F">
        <w:rPr>
          <w:sz w:val="36"/>
          <w:szCs w:val="36"/>
          <w:rtl/>
        </w:rPr>
        <w:t>في</w:t>
      </w:r>
      <w:r w:rsidR="00E8128F">
        <w:rPr>
          <w:sz w:val="36"/>
          <w:szCs w:val="36"/>
          <w:rtl/>
        </w:rPr>
        <w:t xml:space="preserve"> </w:t>
      </w:r>
      <w:r w:rsidR="00DD15D1" w:rsidRPr="00FD211F">
        <w:rPr>
          <w:sz w:val="36"/>
          <w:szCs w:val="36"/>
          <w:rtl/>
        </w:rPr>
        <w:t>الخطاب</w:t>
      </w:r>
      <w:r w:rsidR="00E8128F">
        <w:rPr>
          <w:sz w:val="36"/>
          <w:szCs w:val="36"/>
          <w:rtl/>
        </w:rPr>
        <w:t xml:space="preserve"> </w:t>
      </w:r>
      <w:r w:rsidR="00DD15D1" w:rsidRPr="00FD211F">
        <w:rPr>
          <w:sz w:val="36"/>
          <w:szCs w:val="36"/>
          <w:rtl/>
        </w:rPr>
        <w:t>الثاني</w:t>
      </w:r>
      <w:r w:rsidR="00E8128F">
        <w:rPr>
          <w:sz w:val="36"/>
          <w:szCs w:val="36"/>
          <w:rtl/>
        </w:rPr>
        <w:t xml:space="preserve"> </w:t>
      </w:r>
      <w:r w:rsidR="00DD15D1" w:rsidRPr="00FD211F">
        <w:rPr>
          <w:sz w:val="36"/>
          <w:szCs w:val="36"/>
          <w:rtl/>
        </w:rPr>
        <w:t>لزوم</w:t>
      </w:r>
      <w:r w:rsidR="00E8128F">
        <w:rPr>
          <w:sz w:val="36"/>
          <w:szCs w:val="36"/>
          <w:rtl/>
        </w:rPr>
        <w:t xml:space="preserve"> </w:t>
      </w:r>
      <w:r w:rsidR="00DD15D1" w:rsidRPr="00FD211F">
        <w:rPr>
          <w:sz w:val="36"/>
          <w:szCs w:val="36"/>
          <w:rtl/>
        </w:rPr>
        <w:t>اكرام</w:t>
      </w:r>
      <w:r w:rsidR="00E8128F">
        <w:rPr>
          <w:sz w:val="36"/>
          <w:szCs w:val="36"/>
          <w:rtl/>
        </w:rPr>
        <w:t xml:space="preserve"> </w:t>
      </w:r>
      <w:r w:rsidR="00AC2DFD" w:rsidRPr="00FD211F">
        <w:rPr>
          <w:sz w:val="36"/>
          <w:szCs w:val="36"/>
          <w:rtl/>
        </w:rPr>
        <w:t>العادل</w:t>
      </w:r>
      <w:r w:rsidR="00E8128F">
        <w:rPr>
          <w:sz w:val="36"/>
          <w:szCs w:val="36"/>
          <w:rtl/>
        </w:rPr>
        <w:t xml:space="preserve"> </w:t>
      </w:r>
      <w:r w:rsidR="00DD15D1" w:rsidRPr="00FD211F">
        <w:rPr>
          <w:sz w:val="36"/>
          <w:szCs w:val="36"/>
          <w:rtl/>
        </w:rPr>
        <w:t>الفعلي</w:t>
      </w:r>
      <w:r w:rsidR="00E8128F">
        <w:rPr>
          <w:sz w:val="36"/>
          <w:szCs w:val="36"/>
          <w:rtl/>
        </w:rPr>
        <w:t xml:space="preserve"> </w:t>
      </w:r>
      <w:r w:rsidR="00DD15D1" w:rsidRPr="00FD211F">
        <w:rPr>
          <w:sz w:val="36"/>
          <w:szCs w:val="36"/>
          <w:rtl/>
        </w:rPr>
        <w:t>فلايتشكل</w:t>
      </w:r>
      <w:r w:rsidR="00E8128F">
        <w:rPr>
          <w:sz w:val="36"/>
          <w:szCs w:val="36"/>
          <w:rtl/>
        </w:rPr>
        <w:t xml:space="preserve"> </w:t>
      </w:r>
      <w:r w:rsidR="00DD15D1" w:rsidRPr="00FD211F">
        <w:rPr>
          <w:sz w:val="36"/>
          <w:szCs w:val="36"/>
          <w:rtl/>
        </w:rPr>
        <w:t>علم</w:t>
      </w:r>
      <w:r w:rsidR="00E8128F">
        <w:rPr>
          <w:sz w:val="36"/>
          <w:szCs w:val="36"/>
          <w:rtl/>
        </w:rPr>
        <w:t xml:space="preserve"> </w:t>
      </w:r>
      <w:r w:rsidR="00DD15D1" w:rsidRPr="00FD211F">
        <w:rPr>
          <w:sz w:val="36"/>
          <w:szCs w:val="36"/>
          <w:rtl/>
        </w:rPr>
        <w:t>اجمالي</w:t>
      </w:r>
      <w:r w:rsidR="00E8128F">
        <w:rPr>
          <w:sz w:val="36"/>
          <w:szCs w:val="36"/>
          <w:rtl/>
        </w:rPr>
        <w:t xml:space="preserve"> </w:t>
      </w:r>
      <w:r w:rsidR="00DD15D1" w:rsidRPr="00FD211F">
        <w:rPr>
          <w:sz w:val="36"/>
          <w:szCs w:val="36"/>
          <w:rtl/>
        </w:rPr>
        <w:t>فتجري</w:t>
      </w:r>
      <w:r w:rsidR="00E8128F">
        <w:rPr>
          <w:sz w:val="36"/>
          <w:szCs w:val="36"/>
          <w:rtl/>
        </w:rPr>
        <w:t xml:space="preserve"> </w:t>
      </w:r>
      <w:r w:rsidR="00DD15D1" w:rsidRPr="00FD211F">
        <w:rPr>
          <w:sz w:val="36"/>
          <w:szCs w:val="36"/>
          <w:rtl/>
        </w:rPr>
        <w:t>تلك</w:t>
      </w:r>
      <w:r w:rsidR="00E8128F">
        <w:rPr>
          <w:sz w:val="36"/>
          <w:szCs w:val="36"/>
          <w:rtl/>
        </w:rPr>
        <w:t xml:space="preserve"> </w:t>
      </w:r>
      <w:r w:rsidR="00DD15D1" w:rsidRPr="00FD211F">
        <w:rPr>
          <w:sz w:val="36"/>
          <w:szCs w:val="36"/>
          <w:rtl/>
        </w:rPr>
        <w:t>البرائتين</w:t>
      </w:r>
      <w:r w:rsidR="00E8128F">
        <w:rPr>
          <w:sz w:val="36"/>
          <w:szCs w:val="36"/>
          <w:rtl/>
        </w:rPr>
        <w:t xml:space="preserve"> </w:t>
      </w:r>
      <w:r w:rsidR="00DD15D1" w:rsidRPr="00FD211F">
        <w:rPr>
          <w:sz w:val="36"/>
          <w:szCs w:val="36"/>
          <w:rtl/>
        </w:rPr>
        <w:t>بلامعارض</w:t>
      </w:r>
      <w:r w:rsidR="00603323" w:rsidRPr="00FD211F">
        <w:rPr>
          <w:sz w:val="36"/>
          <w:szCs w:val="36"/>
          <w:rtl/>
        </w:rPr>
        <w:t>،</w:t>
      </w:r>
      <w:r w:rsidR="00E8128F">
        <w:rPr>
          <w:sz w:val="36"/>
          <w:szCs w:val="36"/>
          <w:rtl/>
        </w:rPr>
        <w:t xml:space="preserve"> </w:t>
      </w:r>
      <w:r w:rsidR="00FC0B2D" w:rsidRPr="00FD211F">
        <w:rPr>
          <w:sz w:val="36"/>
          <w:szCs w:val="36"/>
          <w:rtl/>
        </w:rPr>
        <w:t>فما</w:t>
      </w:r>
      <w:r w:rsidR="00E8128F">
        <w:rPr>
          <w:sz w:val="36"/>
          <w:szCs w:val="36"/>
          <w:rtl/>
        </w:rPr>
        <w:t xml:space="preserve"> </w:t>
      </w:r>
      <w:r w:rsidR="00FC0B2D" w:rsidRPr="00FD211F">
        <w:rPr>
          <w:sz w:val="36"/>
          <w:szCs w:val="36"/>
          <w:rtl/>
        </w:rPr>
        <w:t>يظهر</w:t>
      </w:r>
      <w:r w:rsidR="00E8128F">
        <w:rPr>
          <w:sz w:val="36"/>
          <w:szCs w:val="36"/>
          <w:rtl/>
        </w:rPr>
        <w:t xml:space="preserve"> </w:t>
      </w:r>
      <w:r w:rsidR="00FC0B2D" w:rsidRPr="00FD211F">
        <w:rPr>
          <w:sz w:val="36"/>
          <w:szCs w:val="36"/>
          <w:rtl/>
        </w:rPr>
        <w:t>من</w:t>
      </w:r>
      <w:r w:rsidR="00E8128F">
        <w:rPr>
          <w:sz w:val="36"/>
          <w:szCs w:val="36"/>
          <w:rtl/>
        </w:rPr>
        <w:t xml:space="preserve"> </w:t>
      </w:r>
      <w:r w:rsidR="00FC0B2D" w:rsidRPr="00FD211F">
        <w:rPr>
          <w:sz w:val="36"/>
          <w:szCs w:val="36"/>
          <w:rtl/>
        </w:rPr>
        <w:t>البحوث</w:t>
      </w:r>
      <w:r w:rsidR="00E8128F">
        <w:rPr>
          <w:sz w:val="36"/>
          <w:szCs w:val="36"/>
          <w:rtl/>
        </w:rPr>
        <w:t xml:space="preserve"> </w:t>
      </w:r>
      <w:r w:rsidR="00FC0B2D" w:rsidRPr="00FD211F">
        <w:rPr>
          <w:sz w:val="36"/>
          <w:szCs w:val="36"/>
          <w:rtl/>
        </w:rPr>
        <w:t>من</w:t>
      </w:r>
      <w:r w:rsidR="00E8128F">
        <w:rPr>
          <w:sz w:val="36"/>
          <w:szCs w:val="36"/>
          <w:rtl/>
        </w:rPr>
        <w:t xml:space="preserve"> </w:t>
      </w:r>
      <w:r w:rsidR="00FC0B2D" w:rsidRPr="00FD211F">
        <w:rPr>
          <w:sz w:val="36"/>
          <w:szCs w:val="36"/>
          <w:rtl/>
        </w:rPr>
        <w:t>معارض</w:t>
      </w:r>
      <w:r w:rsidR="00EC7EDF" w:rsidRPr="00FD211F">
        <w:rPr>
          <w:sz w:val="36"/>
          <w:szCs w:val="36"/>
          <w:rtl/>
        </w:rPr>
        <w:t>ة</w:t>
      </w:r>
      <w:r w:rsidR="00E8128F">
        <w:rPr>
          <w:sz w:val="36"/>
          <w:szCs w:val="36"/>
          <w:rtl/>
        </w:rPr>
        <w:t xml:space="preserve"> </w:t>
      </w:r>
      <w:r w:rsidR="00FC0B2D" w:rsidRPr="00FD211F">
        <w:rPr>
          <w:sz w:val="36"/>
          <w:szCs w:val="36"/>
          <w:rtl/>
        </w:rPr>
        <w:t>البراءتين</w:t>
      </w:r>
      <w:r w:rsidR="00E8128F">
        <w:rPr>
          <w:sz w:val="36"/>
          <w:szCs w:val="36"/>
          <w:rtl/>
        </w:rPr>
        <w:t xml:space="preserve"> </w:t>
      </w:r>
      <w:r w:rsidR="00FC0B2D" w:rsidRPr="00FD211F">
        <w:rPr>
          <w:sz w:val="36"/>
          <w:szCs w:val="36"/>
          <w:rtl/>
        </w:rPr>
        <w:t>مطلقا</w:t>
      </w:r>
      <w:r w:rsidR="009C58C8" w:rsidRPr="00FD211F">
        <w:rPr>
          <w:rStyle w:val="a6"/>
          <w:sz w:val="36"/>
          <w:szCs w:val="36"/>
          <w:rtl/>
        </w:rPr>
        <w:t>(</w:t>
      </w:r>
      <w:r w:rsidR="009C58C8" w:rsidRPr="00FD211F">
        <w:rPr>
          <w:rStyle w:val="a6"/>
          <w:sz w:val="36"/>
          <w:szCs w:val="36"/>
          <w:rtl/>
        </w:rPr>
        <w:footnoteReference w:id="573"/>
      </w:r>
      <w:r w:rsidR="009C58C8" w:rsidRPr="00FD211F">
        <w:rPr>
          <w:rStyle w:val="a6"/>
          <w:sz w:val="36"/>
          <w:szCs w:val="36"/>
          <w:rtl/>
        </w:rPr>
        <w:t>)</w:t>
      </w:r>
      <w:r w:rsidR="00E8128F">
        <w:rPr>
          <w:sz w:val="36"/>
          <w:szCs w:val="36"/>
          <w:rtl/>
        </w:rPr>
        <w:t xml:space="preserve"> </w:t>
      </w:r>
      <w:r w:rsidR="00FC0B2D" w:rsidRPr="00FD211F">
        <w:rPr>
          <w:sz w:val="36"/>
          <w:szCs w:val="36"/>
          <w:rtl/>
        </w:rPr>
        <w:t>ففي</w:t>
      </w:r>
      <w:r w:rsidR="00E8128F">
        <w:rPr>
          <w:sz w:val="36"/>
          <w:szCs w:val="36"/>
          <w:rtl/>
        </w:rPr>
        <w:t xml:space="preserve"> </w:t>
      </w:r>
      <w:r w:rsidR="00FC0B2D" w:rsidRPr="00FD211F">
        <w:rPr>
          <w:sz w:val="36"/>
          <w:szCs w:val="36"/>
          <w:rtl/>
        </w:rPr>
        <w:t>غير</w:t>
      </w:r>
      <w:r w:rsidR="00E8128F">
        <w:rPr>
          <w:sz w:val="36"/>
          <w:szCs w:val="36"/>
          <w:rtl/>
        </w:rPr>
        <w:t xml:space="preserve"> </w:t>
      </w:r>
      <w:r w:rsidR="00FC0B2D" w:rsidRPr="00FD211F">
        <w:rPr>
          <w:sz w:val="36"/>
          <w:szCs w:val="36"/>
          <w:rtl/>
        </w:rPr>
        <w:t>محله</w:t>
      </w:r>
      <w:r w:rsidR="00DD15D1" w:rsidRPr="00FD211F">
        <w:rPr>
          <w:sz w:val="36"/>
          <w:szCs w:val="36"/>
          <w:rtl/>
        </w:rPr>
        <w:t>.</w:t>
      </w:r>
    </w:p>
    <w:p w14:paraId="27F6ECAF" w14:textId="77777777" w:rsidR="00C451CB" w:rsidRPr="00FD211F" w:rsidRDefault="00DD15D1" w:rsidP="009C58C8">
      <w:pPr>
        <w:ind w:left="0" w:firstLine="227"/>
        <w:jc w:val="both"/>
        <w:rPr>
          <w:sz w:val="36"/>
          <w:szCs w:val="36"/>
          <w:rtl/>
        </w:rPr>
      </w:pPr>
      <w:bookmarkStart w:id="464" w:name="درس117"/>
      <w:bookmarkEnd w:id="464"/>
      <w:r w:rsidRPr="00FD211F">
        <w:rPr>
          <w:sz w:val="36"/>
          <w:szCs w:val="36"/>
          <w:rtl/>
        </w:rPr>
        <w:t>وهكذا</w:t>
      </w:r>
      <w:r w:rsidR="00E8128F">
        <w:rPr>
          <w:sz w:val="36"/>
          <w:szCs w:val="36"/>
          <w:rtl/>
        </w:rPr>
        <w:t xml:space="preserve"> </w:t>
      </w:r>
      <w:r w:rsidRPr="00FD211F">
        <w:rPr>
          <w:sz w:val="36"/>
          <w:szCs w:val="36"/>
          <w:rtl/>
        </w:rPr>
        <w:t>يمكن</w:t>
      </w:r>
      <w:r w:rsidR="00E8128F">
        <w:rPr>
          <w:sz w:val="36"/>
          <w:szCs w:val="36"/>
          <w:rtl/>
        </w:rPr>
        <w:t xml:space="preserve"> </w:t>
      </w:r>
      <w:r w:rsidRPr="00FD211F">
        <w:rPr>
          <w:sz w:val="36"/>
          <w:szCs w:val="36"/>
          <w:rtl/>
        </w:rPr>
        <w:t>تشكل</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الإجمالي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نفس</w:t>
      </w:r>
      <w:r w:rsidR="00E8128F">
        <w:rPr>
          <w:sz w:val="36"/>
          <w:szCs w:val="36"/>
          <w:rtl/>
        </w:rPr>
        <w:t xml:space="preserve"> </w:t>
      </w:r>
      <w:r w:rsidRPr="00FD211F">
        <w:rPr>
          <w:sz w:val="36"/>
          <w:szCs w:val="36"/>
          <w:rtl/>
        </w:rPr>
        <w:t>خطاب</w:t>
      </w:r>
      <w:r w:rsidR="00E8128F">
        <w:rPr>
          <w:sz w:val="36"/>
          <w:szCs w:val="36"/>
          <w:rtl/>
        </w:rPr>
        <w:t xml:space="preserve"> </w:t>
      </w:r>
      <w:r w:rsidRPr="00FD211F">
        <w:rPr>
          <w:sz w:val="36"/>
          <w:szCs w:val="36"/>
          <w:rtl/>
        </w:rPr>
        <w:t>العام</w:t>
      </w:r>
      <w:r w:rsidR="00E8128F">
        <w:rPr>
          <w:sz w:val="36"/>
          <w:szCs w:val="36"/>
          <w:rtl/>
        </w:rPr>
        <w:t xml:space="preserve"> </w:t>
      </w:r>
      <w:r w:rsidRPr="00FD211F">
        <w:rPr>
          <w:sz w:val="36"/>
          <w:szCs w:val="36"/>
          <w:rtl/>
        </w:rPr>
        <w:t>البدلي</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افترض</w:t>
      </w:r>
      <w:r w:rsidR="00E8128F">
        <w:rPr>
          <w:sz w:val="36"/>
          <w:szCs w:val="36"/>
          <w:rtl/>
        </w:rPr>
        <w:t xml:space="preserve"> </w:t>
      </w:r>
      <w:r w:rsidRPr="00FD211F">
        <w:rPr>
          <w:sz w:val="36"/>
          <w:szCs w:val="36"/>
          <w:rtl/>
        </w:rPr>
        <w:t>العلم</w:t>
      </w:r>
      <w:r w:rsidR="00E8128F">
        <w:rPr>
          <w:sz w:val="36"/>
          <w:szCs w:val="36"/>
          <w:rtl/>
        </w:rPr>
        <w:t xml:space="preserve"> </w:t>
      </w:r>
      <w:r w:rsidRPr="00FD211F">
        <w:rPr>
          <w:sz w:val="36"/>
          <w:szCs w:val="36"/>
          <w:rtl/>
        </w:rPr>
        <w:t>بتعدد</w:t>
      </w:r>
      <w:r w:rsidR="00E8128F">
        <w:rPr>
          <w:sz w:val="36"/>
          <w:szCs w:val="36"/>
          <w:rtl/>
        </w:rPr>
        <w:t xml:space="preserve"> </w:t>
      </w:r>
      <w:r w:rsidRPr="00FD211F">
        <w:rPr>
          <w:sz w:val="36"/>
          <w:szCs w:val="36"/>
          <w:rtl/>
        </w:rPr>
        <w:t>الواقع</w:t>
      </w:r>
      <w:r w:rsidR="00EC7EDF" w:rsidRPr="00FD211F">
        <w:rPr>
          <w:sz w:val="36"/>
          <w:szCs w:val="36"/>
          <w:rtl/>
        </w:rPr>
        <w:t>ة</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يجب</w:t>
      </w:r>
      <w:r w:rsidR="00E8128F">
        <w:rPr>
          <w:sz w:val="36"/>
          <w:szCs w:val="36"/>
          <w:rtl/>
        </w:rPr>
        <w:t xml:space="preserve"> </w:t>
      </w:r>
      <w:r w:rsidRPr="00FD211F">
        <w:rPr>
          <w:sz w:val="36"/>
          <w:szCs w:val="36"/>
          <w:rtl/>
        </w:rPr>
        <w:t>اكرام</w:t>
      </w:r>
      <w:r w:rsidR="00E8128F">
        <w:rPr>
          <w:sz w:val="36"/>
          <w:szCs w:val="36"/>
          <w:rtl/>
        </w:rPr>
        <w:t xml:space="preserve"> </w:t>
      </w:r>
      <w:r w:rsidRPr="00FD211F">
        <w:rPr>
          <w:sz w:val="36"/>
          <w:szCs w:val="36"/>
          <w:rtl/>
        </w:rPr>
        <w:t>عالم</w:t>
      </w:r>
      <w:r w:rsidR="00E8128F">
        <w:rPr>
          <w:sz w:val="36"/>
          <w:szCs w:val="36"/>
          <w:rtl/>
        </w:rPr>
        <w:t xml:space="preserve"> </w:t>
      </w:r>
      <w:r w:rsidRPr="00FD211F">
        <w:rPr>
          <w:sz w:val="36"/>
          <w:szCs w:val="36"/>
          <w:rtl/>
        </w:rPr>
        <w:t>مر</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الشهر</w:t>
      </w:r>
      <w:r w:rsidR="00E8128F">
        <w:rPr>
          <w:sz w:val="36"/>
          <w:szCs w:val="36"/>
          <w:rtl/>
        </w:rPr>
        <w:t xml:space="preserve"> </w:t>
      </w:r>
      <w:r w:rsidRPr="00FD211F">
        <w:rPr>
          <w:sz w:val="36"/>
          <w:szCs w:val="36"/>
          <w:rtl/>
        </w:rPr>
        <w:t>ومر</w:t>
      </w:r>
      <w:r w:rsidR="00EC7EDF" w:rsidRPr="00FD211F">
        <w:rPr>
          <w:sz w:val="36"/>
          <w:szCs w:val="36"/>
          <w:rtl/>
        </w:rPr>
        <w:t>ة</w:t>
      </w:r>
      <w:r w:rsidR="00E8128F">
        <w:rPr>
          <w:sz w:val="36"/>
          <w:szCs w:val="36"/>
          <w:rtl/>
        </w:rPr>
        <w:t xml:space="preserve"> </w:t>
      </w:r>
      <w:r w:rsidRPr="00FD211F">
        <w:rPr>
          <w:sz w:val="36"/>
          <w:szCs w:val="36"/>
          <w:rtl/>
        </w:rPr>
        <w:t>أخري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الشهر</w:t>
      </w:r>
      <w:r w:rsidR="00E8128F">
        <w:rPr>
          <w:sz w:val="36"/>
          <w:szCs w:val="36"/>
          <w:rtl/>
        </w:rPr>
        <w:t xml:space="preserve"> </w:t>
      </w:r>
      <w:r w:rsidRPr="00FD211F">
        <w:rPr>
          <w:sz w:val="36"/>
          <w:szCs w:val="36"/>
          <w:rtl/>
        </w:rPr>
        <w:t>القادم</w:t>
      </w:r>
      <w:r w:rsidR="00E8128F">
        <w:rPr>
          <w:sz w:val="36"/>
          <w:szCs w:val="36"/>
          <w:rtl/>
        </w:rPr>
        <w:t xml:space="preserve"> </w:t>
      </w:r>
      <w:r w:rsidRPr="00FD211F">
        <w:rPr>
          <w:sz w:val="36"/>
          <w:szCs w:val="36"/>
          <w:rtl/>
        </w:rPr>
        <w:t>فابتلي</w:t>
      </w:r>
      <w:r w:rsidR="00E8128F">
        <w:rPr>
          <w:sz w:val="36"/>
          <w:szCs w:val="36"/>
          <w:rtl/>
        </w:rPr>
        <w:t xml:space="preserve"> </w:t>
      </w:r>
      <w:r w:rsidRPr="00FD211F">
        <w:rPr>
          <w:sz w:val="36"/>
          <w:szCs w:val="36"/>
          <w:rtl/>
        </w:rPr>
        <w:t>المكلف</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الشهر</w:t>
      </w:r>
      <w:r w:rsidR="00E8128F">
        <w:rPr>
          <w:sz w:val="36"/>
          <w:szCs w:val="36"/>
          <w:rtl/>
        </w:rPr>
        <w:t xml:space="preserve"> </w:t>
      </w:r>
      <w:r w:rsidRPr="00FD211F">
        <w:rPr>
          <w:sz w:val="36"/>
          <w:szCs w:val="36"/>
          <w:rtl/>
        </w:rPr>
        <w:t>بفرض</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انحصار</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بمن</w:t>
      </w:r>
      <w:r w:rsidR="00E8128F">
        <w:rPr>
          <w:sz w:val="36"/>
          <w:szCs w:val="36"/>
          <w:rtl/>
        </w:rPr>
        <w:t xml:space="preserve"> </w:t>
      </w:r>
      <w:r w:rsidRPr="00FD211F">
        <w:rPr>
          <w:sz w:val="36"/>
          <w:szCs w:val="36"/>
          <w:rtl/>
        </w:rPr>
        <w:t>انقضى</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العلم</w:t>
      </w:r>
      <w:r w:rsidR="00603323" w:rsidRPr="00FD211F">
        <w:rPr>
          <w:sz w:val="36"/>
          <w:szCs w:val="36"/>
          <w:rtl/>
        </w:rPr>
        <w:t>،</w:t>
      </w:r>
      <w:r w:rsidR="00E8128F">
        <w:rPr>
          <w:sz w:val="36"/>
          <w:szCs w:val="36"/>
          <w:rtl/>
        </w:rPr>
        <w:t xml:space="preserve"> </w:t>
      </w:r>
      <w:r w:rsidRPr="00FD211F">
        <w:rPr>
          <w:sz w:val="36"/>
          <w:szCs w:val="36"/>
          <w:rtl/>
        </w:rPr>
        <w:t>ولكن</w:t>
      </w:r>
      <w:r w:rsidR="00E8128F">
        <w:rPr>
          <w:sz w:val="36"/>
          <w:szCs w:val="36"/>
          <w:rtl/>
        </w:rPr>
        <w:t xml:space="preserve"> </w:t>
      </w:r>
      <w:r w:rsidRPr="00FD211F">
        <w:rPr>
          <w:sz w:val="36"/>
          <w:szCs w:val="36"/>
          <w:rtl/>
        </w:rPr>
        <w:t>علم</w:t>
      </w:r>
      <w:r w:rsidR="00E8128F">
        <w:rPr>
          <w:sz w:val="36"/>
          <w:szCs w:val="36"/>
          <w:rtl/>
        </w:rPr>
        <w:t xml:space="preserve"> </w:t>
      </w:r>
      <w:r w:rsidRPr="00FD211F">
        <w:rPr>
          <w:sz w:val="36"/>
          <w:szCs w:val="36"/>
          <w:rtl/>
        </w:rPr>
        <w:t>ابتلائه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الشهر</w:t>
      </w:r>
      <w:r w:rsidR="00E8128F">
        <w:rPr>
          <w:sz w:val="36"/>
          <w:szCs w:val="36"/>
          <w:rtl/>
        </w:rPr>
        <w:t xml:space="preserve"> </w:t>
      </w:r>
      <w:r w:rsidRPr="00FD211F">
        <w:rPr>
          <w:sz w:val="36"/>
          <w:szCs w:val="36"/>
          <w:rtl/>
        </w:rPr>
        <w:t>القادم</w:t>
      </w:r>
      <w:r w:rsidR="00E8128F">
        <w:rPr>
          <w:sz w:val="36"/>
          <w:szCs w:val="36"/>
          <w:rtl/>
        </w:rPr>
        <w:t xml:space="preserve"> </w:t>
      </w:r>
      <w:r w:rsidRPr="00FD211F">
        <w:rPr>
          <w:sz w:val="36"/>
          <w:szCs w:val="36"/>
          <w:rtl/>
        </w:rPr>
        <w:t>بفرض</w:t>
      </w:r>
      <w:r w:rsidR="00E8128F">
        <w:rPr>
          <w:sz w:val="36"/>
          <w:szCs w:val="36"/>
          <w:rtl/>
        </w:rPr>
        <w:t xml:space="preserve"> </w:t>
      </w:r>
      <w:r w:rsidR="00142356" w:rsidRPr="00FD211F">
        <w:rPr>
          <w:sz w:val="36"/>
          <w:szCs w:val="36"/>
          <w:rtl/>
        </w:rPr>
        <w:t>انحصار</w:t>
      </w:r>
      <w:r w:rsidR="00E8128F">
        <w:rPr>
          <w:sz w:val="36"/>
          <w:szCs w:val="36"/>
          <w:rtl/>
        </w:rPr>
        <w:t xml:space="preserve"> </w:t>
      </w:r>
      <w:r w:rsidRPr="00FD211F">
        <w:rPr>
          <w:sz w:val="36"/>
          <w:szCs w:val="36"/>
          <w:rtl/>
        </w:rPr>
        <w:t>العالم</w:t>
      </w:r>
      <w:r w:rsidR="00E8128F">
        <w:rPr>
          <w:sz w:val="36"/>
          <w:szCs w:val="36"/>
          <w:rtl/>
        </w:rPr>
        <w:t xml:space="preserve"> </w:t>
      </w:r>
      <w:r w:rsidR="00142356" w:rsidRPr="00FD211F">
        <w:rPr>
          <w:sz w:val="36"/>
          <w:szCs w:val="36"/>
          <w:rtl/>
        </w:rPr>
        <w:t>بمن</w:t>
      </w:r>
      <w:r w:rsidR="00E8128F">
        <w:rPr>
          <w:sz w:val="36"/>
          <w:szCs w:val="36"/>
          <w:rtl/>
        </w:rPr>
        <w:t xml:space="preserve"> </w:t>
      </w:r>
      <w:r w:rsidR="00142356" w:rsidRPr="00FD211F">
        <w:rPr>
          <w:sz w:val="36"/>
          <w:szCs w:val="36"/>
          <w:rtl/>
        </w:rPr>
        <w:t>انقضى</w:t>
      </w:r>
      <w:r w:rsidR="00E8128F">
        <w:rPr>
          <w:sz w:val="36"/>
          <w:szCs w:val="36"/>
          <w:rtl/>
        </w:rPr>
        <w:t xml:space="preserve"> </w:t>
      </w:r>
      <w:r w:rsidR="00142356" w:rsidRPr="00FD211F">
        <w:rPr>
          <w:sz w:val="36"/>
          <w:szCs w:val="36"/>
          <w:rtl/>
        </w:rPr>
        <w:t>عنه</w:t>
      </w:r>
      <w:r w:rsidR="00E8128F">
        <w:rPr>
          <w:sz w:val="36"/>
          <w:szCs w:val="36"/>
          <w:rtl/>
        </w:rPr>
        <w:t xml:space="preserve"> </w:t>
      </w:r>
      <w:r w:rsidR="00142356" w:rsidRPr="00FD211F">
        <w:rPr>
          <w:sz w:val="36"/>
          <w:szCs w:val="36"/>
          <w:rtl/>
        </w:rPr>
        <w:t>العلم</w:t>
      </w:r>
      <w:r w:rsidR="00603323" w:rsidRPr="00FD211F">
        <w:rPr>
          <w:sz w:val="36"/>
          <w:szCs w:val="36"/>
          <w:rtl/>
        </w:rPr>
        <w:t>،</w:t>
      </w:r>
      <w:r w:rsidR="00E8128F">
        <w:rPr>
          <w:sz w:val="36"/>
          <w:szCs w:val="36"/>
          <w:rtl/>
        </w:rPr>
        <w:t xml:space="preserve"> </w:t>
      </w:r>
      <w:r w:rsidRPr="00FD211F">
        <w:rPr>
          <w:sz w:val="36"/>
          <w:szCs w:val="36"/>
          <w:rtl/>
        </w:rPr>
        <w:t>فالبراء</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تعين</w:t>
      </w:r>
      <w:r w:rsidR="00E8128F">
        <w:rPr>
          <w:sz w:val="36"/>
          <w:szCs w:val="36"/>
          <w:rtl/>
        </w:rPr>
        <w:t xml:space="preserve"> </w:t>
      </w:r>
      <w:r w:rsidRPr="00FD211F">
        <w:rPr>
          <w:sz w:val="36"/>
          <w:szCs w:val="36"/>
          <w:rtl/>
        </w:rPr>
        <w:t>اكرام</w:t>
      </w:r>
      <w:r w:rsidR="00E8128F">
        <w:rPr>
          <w:sz w:val="36"/>
          <w:szCs w:val="36"/>
          <w:rtl/>
        </w:rPr>
        <w:t xml:space="preserve"> </w:t>
      </w:r>
      <w:r w:rsidRPr="00FD211F">
        <w:rPr>
          <w:sz w:val="36"/>
          <w:szCs w:val="36"/>
          <w:rtl/>
        </w:rPr>
        <w:t>عالم</w:t>
      </w:r>
      <w:r w:rsidR="00E8128F">
        <w:rPr>
          <w:sz w:val="36"/>
          <w:szCs w:val="36"/>
          <w:rtl/>
        </w:rPr>
        <w:t xml:space="preserve"> </w:t>
      </w:r>
      <w:r w:rsidRPr="00FD211F">
        <w:rPr>
          <w:sz w:val="36"/>
          <w:szCs w:val="36"/>
          <w:rtl/>
        </w:rPr>
        <w:t>فعلي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الشهر</w:t>
      </w:r>
      <w:r w:rsidR="00E8128F">
        <w:rPr>
          <w:sz w:val="36"/>
          <w:szCs w:val="36"/>
          <w:rtl/>
        </w:rPr>
        <w:t xml:space="preserve"> </w:t>
      </w:r>
      <w:r w:rsidRPr="00FD211F">
        <w:rPr>
          <w:sz w:val="36"/>
          <w:szCs w:val="36"/>
          <w:rtl/>
        </w:rPr>
        <w:t>يتعارض</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الب</w:t>
      </w:r>
      <w:r w:rsidR="008D7B3D" w:rsidRPr="00FD211F">
        <w:rPr>
          <w:sz w:val="36"/>
          <w:szCs w:val="36"/>
          <w:rtl/>
        </w:rPr>
        <w:t>راءة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اصل</w:t>
      </w:r>
      <w:r w:rsidR="00E8128F">
        <w:rPr>
          <w:sz w:val="36"/>
          <w:szCs w:val="36"/>
          <w:rtl/>
        </w:rPr>
        <w:t xml:space="preserve"> </w:t>
      </w:r>
      <w:r w:rsidRPr="00FD211F">
        <w:rPr>
          <w:sz w:val="36"/>
          <w:szCs w:val="36"/>
          <w:rtl/>
        </w:rPr>
        <w:t>وجوب</w:t>
      </w:r>
      <w:r w:rsidR="00E8128F">
        <w:rPr>
          <w:sz w:val="36"/>
          <w:szCs w:val="36"/>
          <w:rtl/>
        </w:rPr>
        <w:t xml:space="preserve"> </w:t>
      </w:r>
      <w:r w:rsidRPr="00FD211F">
        <w:rPr>
          <w:sz w:val="36"/>
          <w:szCs w:val="36"/>
          <w:rtl/>
        </w:rPr>
        <w:t>اكرام</w:t>
      </w:r>
      <w:r w:rsidR="00E8128F">
        <w:rPr>
          <w:sz w:val="36"/>
          <w:szCs w:val="36"/>
          <w:rtl/>
        </w:rPr>
        <w:t xml:space="preserve"> </w:t>
      </w:r>
      <w:r w:rsidRPr="00FD211F">
        <w:rPr>
          <w:sz w:val="36"/>
          <w:szCs w:val="36"/>
          <w:rtl/>
        </w:rPr>
        <w:t>عالم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الشهر</w:t>
      </w:r>
      <w:r w:rsidR="00E8128F">
        <w:rPr>
          <w:sz w:val="36"/>
          <w:szCs w:val="36"/>
          <w:rtl/>
        </w:rPr>
        <w:t xml:space="preserve"> </w:t>
      </w:r>
      <w:r w:rsidRPr="00FD211F">
        <w:rPr>
          <w:sz w:val="36"/>
          <w:szCs w:val="36"/>
          <w:rtl/>
        </w:rPr>
        <w:t>القادم</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الموضوع</w:t>
      </w:r>
      <w:r w:rsidR="00E8128F">
        <w:rPr>
          <w:sz w:val="36"/>
          <w:szCs w:val="36"/>
          <w:rtl/>
        </w:rPr>
        <w:t xml:space="preserve"> </w:t>
      </w:r>
      <w:r w:rsidRPr="00FD211F">
        <w:rPr>
          <w:sz w:val="36"/>
          <w:szCs w:val="36"/>
          <w:rtl/>
        </w:rPr>
        <w:t>للحكم</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الفعلي</w:t>
      </w:r>
      <w:r w:rsidR="00E8128F">
        <w:rPr>
          <w:sz w:val="36"/>
          <w:szCs w:val="36"/>
          <w:rtl/>
        </w:rPr>
        <w:t xml:space="preserve"> </w:t>
      </w:r>
      <w:r w:rsidRPr="00FD211F">
        <w:rPr>
          <w:sz w:val="36"/>
          <w:szCs w:val="36"/>
          <w:rtl/>
        </w:rPr>
        <w:t>كانت</w:t>
      </w:r>
      <w:r w:rsidR="00E8128F">
        <w:rPr>
          <w:sz w:val="36"/>
          <w:szCs w:val="36"/>
          <w:rtl/>
        </w:rPr>
        <w:t xml:space="preserve"> </w:t>
      </w:r>
      <w:r w:rsidRPr="00FD211F">
        <w:rPr>
          <w:sz w:val="36"/>
          <w:szCs w:val="36"/>
          <w:rtl/>
        </w:rPr>
        <w:t>البراء</w:t>
      </w:r>
      <w:r w:rsidR="00EC7EDF" w:rsidRPr="00FD211F">
        <w:rPr>
          <w:sz w:val="36"/>
          <w:szCs w:val="36"/>
          <w:rtl/>
        </w:rPr>
        <w:t>ة</w:t>
      </w:r>
      <w:r w:rsidR="00E8128F">
        <w:rPr>
          <w:sz w:val="36"/>
          <w:szCs w:val="36"/>
          <w:rtl/>
        </w:rPr>
        <w:t xml:space="preserve"> </w:t>
      </w:r>
      <w:r w:rsidRPr="00FD211F">
        <w:rPr>
          <w:sz w:val="36"/>
          <w:szCs w:val="36"/>
          <w:rtl/>
        </w:rPr>
        <w:t>الاولى</w:t>
      </w:r>
      <w:r w:rsidR="00E8128F">
        <w:rPr>
          <w:sz w:val="36"/>
          <w:szCs w:val="36"/>
          <w:rtl/>
        </w:rPr>
        <w:t xml:space="preserve"> </w:t>
      </w:r>
      <w:r w:rsidRPr="00FD211F">
        <w:rPr>
          <w:sz w:val="36"/>
          <w:szCs w:val="36"/>
          <w:rtl/>
        </w:rPr>
        <w:t>مخالف</w:t>
      </w:r>
      <w:r w:rsidR="00EC7EDF" w:rsidRPr="00FD211F">
        <w:rPr>
          <w:sz w:val="36"/>
          <w:szCs w:val="36"/>
          <w:rtl/>
        </w:rPr>
        <w:t>ة</w:t>
      </w:r>
      <w:r w:rsidR="00E8128F">
        <w:rPr>
          <w:sz w:val="36"/>
          <w:szCs w:val="36"/>
          <w:rtl/>
        </w:rPr>
        <w:t xml:space="preserve"> </w:t>
      </w:r>
      <w:r w:rsidRPr="00FD211F">
        <w:rPr>
          <w:sz w:val="36"/>
          <w:szCs w:val="36"/>
          <w:rtl/>
        </w:rPr>
        <w:t>للواقع</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موضوعا</w:t>
      </w:r>
      <w:r w:rsidR="00E8128F">
        <w:rPr>
          <w:sz w:val="36"/>
          <w:szCs w:val="36"/>
          <w:rtl/>
        </w:rPr>
        <w:t xml:space="preserve"> </w:t>
      </w:r>
      <w:r w:rsidRPr="00FD211F">
        <w:rPr>
          <w:sz w:val="36"/>
          <w:szCs w:val="36"/>
          <w:rtl/>
        </w:rPr>
        <w:t>للاعم</w:t>
      </w:r>
      <w:r w:rsidR="00E8128F">
        <w:rPr>
          <w:sz w:val="36"/>
          <w:szCs w:val="36"/>
          <w:rtl/>
        </w:rPr>
        <w:t xml:space="preserve"> </w:t>
      </w:r>
      <w:r w:rsidRPr="00FD211F">
        <w:rPr>
          <w:sz w:val="36"/>
          <w:szCs w:val="36"/>
          <w:rtl/>
        </w:rPr>
        <w:t>كانت</w:t>
      </w:r>
      <w:r w:rsidR="00E8128F">
        <w:rPr>
          <w:sz w:val="36"/>
          <w:szCs w:val="36"/>
          <w:rtl/>
        </w:rPr>
        <w:t xml:space="preserve"> </w:t>
      </w:r>
      <w:r w:rsidRPr="00FD211F">
        <w:rPr>
          <w:sz w:val="36"/>
          <w:szCs w:val="36"/>
          <w:rtl/>
        </w:rPr>
        <w:t>البراء</w:t>
      </w:r>
      <w:r w:rsidR="00EC7EDF" w:rsidRPr="00FD211F">
        <w:rPr>
          <w:sz w:val="36"/>
          <w:szCs w:val="36"/>
          <w:rtl/>
        </w:rPr>
        <w:t>ة</w:t>
      </w:r>
      <w:r w:rsidR="00E8128F">
        <w:rPr>
          <w:sz w:val="36"/>
          <w:szCs w:val="36"/>
          <w:rtl/>
        </w:rPr>
        <w:t xml:space="preserve"> </w:t>
      </w:r>
      <w:r w:rsidRPr="00FD211F">
        <w:rPr>
          <w:sz w:val="36"/>
          <w:szCs w:val="36"/>
          <w:rtl/>
        </w:rPr>
        <w:t>الثاني</w:t>
      </w:r>
      <w:r w:rsidR="00EC7EDF" w:rsidRPr="00FD211F">
        <w:rPr>
          <w:sz w:val="36"/>
          <w:szCs w:val="36"/>
          <w:rtl/>
        </w:rPr>
        <w:t>ة</w:t>
      </w:r>
      <w:r w:rsidR="00E8128F">
        <w:rPr>
          <w:sz w:val="36"/>
          <w:szCs w:val="36"/>
          <w:rtl/>
        </w:rPr>
        <w:t xml:space="preserve"> </w:t>
      </w:r>
      <w:r w:rsidRPr="00FD211F">
        <w:rPr>
          <w:sz w:val="36"/>
          <w:szCs w:val="36"/>
          <w:rtl/>
        </w:rPr>
        <w:t>مخالف</w:t>
      </w:r>
      <w:r w:rsidR="00EC7EDF" w:rsidRPr="00FD211F">
        <w:rPr>
          <w:sz w:val="36"/>
          <w:szCs w:val="36"/>
          <w:rtl/>
        </w:rPr>
        <w:t>ة</w:t>
      </w:r>
      <w:r w:rsidR="00E8128F">
        <w:rPr>
          <w:sz w:val="36"/>
          <w:szCs w:val="36"/>
          <w:rtl/>
        </w:rPr>
        <w:t xml:space="preserve"> </w:t>
      </w:r>
      <w:r w:rsidRPr="00FD211F">
        <w:rPr>
          <w:sz w:val="36"/>
          <w:szCs w:val="36"/>
          <w:rtl/>
        </w:rPr>
        <w:t>للواقع.</w:t>
      </w:r>
    </w:p>
    <w:p w14:paraId="46E2B1E4" w14:textId="77777777" w:rsidR="0040555A" w:rsidRPr="00FD211F" w:rsidRDefault="00B130B3" w:rsidP="009C58C8">
      <w:pPr>
        <w:pStyle w:val="3"/>
        <w:ind w:firstLine="227"/>
        <w:jc w:val="both"/>
        <w:rPr>
          <w:rtl/>
        </w:rPr>
      </w:pPr>
      <w:bookmarkStart w:id="465" w:name="درس117دقيقه10"/>
      <w:bookmarkStart w:id="466" w:name="_Toc192092953"/>
      <w:bookmarkStart w:id="467" w:name="_Toc223890435"/>
      <w:bookmarkEnd w:id="465"/>
      <w:r w:rsidRPr="00FD211F">
        <w:rPr>
          <w:rtl/>
        </w:rPr>
        <w:t>هل</w:t>
      </w:r>
      <w:r w:rsidR="00E8128F">
        <w:rPr>
          <w:rtl/>
        </w:rPr>
        <w:t xml:space="preserve"> </w:t>
      </w:r>
      <w:r w:rsidRPr="00FD211F">
        <w:rPr>
          <w:rtl/>
        </w:rPr>
        <w:t>المشتق</w:t>
      </w:r>
      <w:r w:rsidR="00E8128F">
        <w:rPr>
          <w:rtl/>
        </w:rPr>
        <w:t xml:space="preserve"> </w:t>
      </w:r>
      <w:r w:rsidRPr="00FD211F">
        <w:rPr>
          <w:rtl/>
        </w:rPr>
        <w:t>بسيط</w:t>
      </w:r>
      <w:r w:rsidR="00E8128F">
        <w:rPr>
          <w:rtl/>
        </w:rPr>
        <w:t xml:space="preserve"> </w:t>
      </w:r>
      <w:r w:rsidRPr="00FD211F">
        <w:rPr>
          <w:rtl/>
        </w:rPr>
        <w:t>او</w:t>
      </w:r>
      <w:r w:rsidR="00E8128F">
        <w:rPr>
          <w:rtl/>
        </w:rPr>
        <w:t xml:space="preserve"> </w:t>
      </w:r>
      <w:r w:rsidRPr="00FD211F">
        <w:rPr>
          <w:rtl/>
        </w:rPr>
        <w:t>مركب</w:t>
      </w:r>
      <w:bookmarkEnd w:id="466"/>
      <w:bookmarkEnd w:id="467"/>
    </w:p>
    <w:p w14:paraId="01CF5A23" w14:textId="77777777" w:rsidR="007509B9" w:rsidRPr="00FD211F" w:rsidRDefault="00B130B3" w:rsidP="00A9078A">
      <w:pPr>
        <w:ind w:left="0" w:firstLine="227"/>
        <w:jc w:val="both"/>
        <w:rPr>
          <w:sz w:val="36"/>
          <w:szCs w:val="36"/>
          <w:rtl/>
        </w:rPr>
      </w:pPr>
      <w:r w:rsidRPr="00FD211F">
        <w:rPr>
          <w:b/>
          <w:bCs/>
          <w:sz w:val="36"/>
          <w:szCs w:val="36"/>
          <w:rtl/>
        </w:rPr>
        <w:t>الجه</w:t>
      </w:r>
      <w:r w:rsidR="00EC7EDF" w:rsidRPr="00FD211F">
        <w:rPr>
          <w:b/>
          <w:bCs/>
          <w:sz w:val="36"/>
          <w:szCs w:val="36"/>
          <w:rtl/>
        </w:rPr>
        <w:t>ة</w:t>
      </w:r>
      <w:r w:rsidR="00E8128F">
        <w:rPr>
          <w:b/>
          <w:bCs/>
          <w:sz w:val="36"/>
          <w:szCs w:val="36"/>
          <w:rtl/>
        </w:rPr>
        <w:t xml:space="preserve"> </w:t>
      </w:r>
      <w:r w:rsidRPr="00FD211F">
        <w:rPr>
          <w:b/>
          <w:bCs/>
          <w:sz w:val="36"/>
          <w:szCs w:val="36"/>
          <w:rtl/>
        </w:rPr>
        <w:t>السابع</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00C92D56" w:rsidRPr="00FD211F">
        <w:rPr>
          <w:sz w:val="36"/>
          <w:szCs w:val="36"/>
          <w:rtl/>
        </w:rPr>
        <w:t>قد</w:t>
      </w:r>
      <w:r w:rsidR="00E8128F">
        <w:rPr>
          <w:sz w:val="36"/>
          <w:szCs w:val="36"/>
          <w:rtl/>
        </w:rPr>
        <w:t xml:space="preserve"> </w:t>
      </w:r>
      <w:r w:rsidR="00C92D56" w:rsidRPr="00FD211F">
        <w:rPr>
          <w:sz w:val="36"/>
          <w:szCs w:val="36"/>
          <w:rtl/>
        </w:rPr>
        <w:t>وقع</w:t>
      </w:r>
      <w:r w:rsidR="00E8128F">
        <w:rPr>
          <w:sz w:val="36"/>
          <w:szCs w:val="36"/>
          <w:rtl/>
        </w:rPr>
        <w:t xml:space="preserve"> </w:t>
      </w:r>
      <w:r w:rsidR="00C92D56" w:rsidRPr="00FD211F">
        <w:rPr>
          <w:sz w:val="36"/>
          <w:szCs w:val="36"/>
          <w:rtl/>
        </w:rPr>
        <w:t>الخلاف</w:t>
      </w:r>
      <w:r w:rsidR="00E8128F">
        <w:rPr>
          <w:sz w:val="36"/>
          <w:szCs w:val="36"/>
          <w:rtl/>
        </w:rPr>
        <w:t xml:space="preserve"> </w:t>
      </w:r>
      <w:r w:rsidR="00C92D56" w:rsidRPr="00FD211F">
        <w:rPr>
          <w:sz w:val="36"/>
          <w:szCs w:val="36"/>
          <w:rtl/>
        </w:rPr>
        <w:t>في</w:t>
      </w:r>
      <w:r w:rsidR="00E8128F">
        <w:rPr>
          <w:sz w:val="36"/>
          <w:szCs w:val="36"/>
          <w:rtl/>
        </w:rPr>
        <w:t xml:space="preserve"> </w:t>
      </w:r>
      <w:r w:rsidR="00C92D56" w:rsidRPr="00FD211F">
        <w:rPr>
          <w:sz w:val="36"/>
          <w:szCs w:val="36"/>
          <w:rtl/>
        </w:rPr>
        <w:t>بساط</w:t>
      </w:r>
      <w:r w:rsidR="00EC7EDF" w:rsidRPr="00FD211F">
        <w:rPr>
          <w:sz w:val="36"/>
          <w:szCs w:val="36"/>
          <w:rtl/>
        </w:rPr>
        <w:t>ة</w:t>
      </w:r>
      <w:r w:rsidR="00E8128F">
        <w:rPr>
          <w:sz w:val="36"/>
          <w:szCs w:val="36"/>
          <w:rtl/>
        </w:rPr>
        <w:t xml:space="preserve"> </w:t>
      </w:r>
      <w:r w:rsidR="00C92D56" w:rsidRPr="00FD211F">
        <w:rPr>
          <w:sz w:val="36"/>
          <w:szCs w:val="36"/>
          <w:rtl/>
        </w:rPr>
        <w:t>معنى</w:t>
      </w:r>
      <w:r w:rsidR="00E8128F">
        <w:rPr>
          <w:sz w:val="36"/>
          <w:szCs w:val="36"/>
          <w:rtl/>
        </w:rPr>
        <w:t xml:space="preserve"> </w:t>
      </w:r>
      <w:r w:rsidR="00C92D56" w:rsidRPr="00FD211F">
        <w:rPr>
          <w:sz w:val="36"/>
          <w:szCs w:val="36"/>
          <w:rtl/>
        </w:rPr>
        <w:t>المشتق</w:t>
      </w:r>
      <w:r w:rsidR="00E8128F">
        <w:rPr>
          <w:sz w:val="36"/>
          <w:szCs w:val="36"/>
          <w:rtl/>
        </w:rPr>
        <w:t xml:space="preserve"> </w:t>
      </w:r>
      <w:r w:rsidR="00C92D56" w:rsidRPr="00FD211F">
        <w:rPr>
          <w:sz w:val="36"/>
          <w:szCs w:val="36"/>
          <w:rtl/>
        </w:rPr>
        <w:t>وتركبه</w:t>
      </w:r>
      <w:r w:rsidR="00603323" w:rsidRPr="00FD211F">
        <w:rPr>
          <w:sz w:val="36"/>
          <w:szCs w:val="36"/>
          <w:rtl/>
        </w:rPr>
        <w:t>،</w:t>
      </w:r>
      <w:r w:rsidR="00E8128F">
        <w:rPr>
          <w:sz w:val="36"/>
          <w:szCs w:val="36"/>
          <w:rtl/>
        </w:rPr>
        <w:t xml:space="preserve"> </w:t>
      </w:r>
      <w:r w:rsidR="00C92D56" w:rsidRPr="00FD211F">
        <w:rPr>
          <w:sz w:val="36"/>
          <w:szCs w:val="36"/>
          <w:rtl/>
        </w:rPr>
        <w:t>فالمنسوب</w:t>
      </w:r>
      <w:r w:rsidR="00E8128F">
        <w:rPr>
          <w:sz w:val="36"/>
          <w:szCs w:val="36"/>
          <w:rtl/>
        </w:rPr>
        <w:t xml:space="preserve"> </w:t>
      </w:r>
      <w:r w:rsidR="00C92D56" w:rsidRPr="00FD211F">
        <w:rPr>
          <w:sz w:val="36"/>
          <w:szCs w:val="36"/>
          <w:rtl/>
        </w:rPr>
        <w:t>الى</w:t>
      </w:r>
      <w:r w:rsidR="00E8128F">
        <w:rPr>
          <w:sz w:val="36"/>
          <w:szCs w:val="36"/>
          <w:rtl/>
        </w:rPr>
        <w:t xml:space="preserve"> </w:t>
      </w:r>
      <w:r w:rsidR="00C92D56" w:rsidRPr="00FD211F">
        <w:rPr>
          <w:sz w:val="36"/>
          <w:szCs w:val="36"/>
          <w:rtl/>
        </w:rPr>
        <w:t>المشهور</w:t>
      </w:r>
      <w:r w:rsidR="00E8128F">
        <w:rPr>
          <w:sz w:val="36"/>
          <w:szCs w:val="36"/>
          <w:rtl/>
        </w:rPr>
        <w:t xml:space="preserve"> </w:t>
      </w:r>
      <w:r w:rsidR="00C92D56" w:rsidRPr="00FD211F">
        <w:rPr>
          <w:sz w:val="36"/>
          <w:szCs w:val="36"/>
          <w:rtl/>
        </w:rPr>
        <w:t>من</w:t>
      </w:r>
      <w:r w:rsidR="00E8128F">
        <w:rPr>
          <w:sz w:val="36"/>
          <w:szCs w:val="36"/>
          <w:rtl/>
        </w:rPr>
        <w:t xml:space="preserve"> </w:t>
      </w:r>
      <w:r w:rsidR="00C92D56" w:rsidRPr="00FD211F">
        <w:rPr>
          <w:sz w:val="36"/>
          <w:szCs w:val="36"/>
          <w:rtl/>
        </w:rPr>
        <w:t>المتأخرين</w:t>
      </w:r>
      <w:r w:rsidR="00E8128F">
        <w:rPr>
          <w:sz w:val="36"/>
          <w:szCs w:val="36"/>
          <w:rtl/>
        </w:rPr>
        <w:t xml:space="preserve"> </w:t>
      </w:r>
      <w:r w:rsidR="00C92D56" w:rsidRPr="00FD211F">
        <w:rPr>
          <w:sz w:val="36"/>
          <w:szCs w:val="36"/>
          <w:rtl/>
        </w:rPr>
        <w:t>هو</w:t>
      </w:r>
      <w:r w:rsidR="00E8128F">
        <w:rPr>
          <w:sz w:val="36"/>
          <w:szCs w:val="36"/>
          <w:rtl/>
        </w:rPr>
        <w:t xml:space="preserve"> </w:t>
      </w:r>
      <w:r w:rsidR="00C92D56" w:rsidRPr="00FD211F">
        <w:rPr>
          <w:sz w:val="36"/>
          <w:szCs w:val="36"/>
          <w:rtl/>
        </w:rPr>
        <w:t>بساطته</w:t>
      </w:r>
      <w:r w:rsidR="00603323" w:rsidRPr="00FD211F">
        <w:rPr>
          <w:sz w:val="36"/>
          <w:szCs w:val="36"/>
          <w:rtl/>
        </w:rPr>
        <w:t>،</w:t>
      </w:r>
      <w:r w:rsidR="00E8128F">
        <w:rPr>
          <w:sz w:val="36"/>
          <w:szCs w:val="36"/>
          <w:rtl/>
        </w:rPr>
        <w:t xml:space="preserve"> </w:t>
      </w:r>
      <w:r w:rsidR="00C92D56" w:rsidRPr="00FD211F">
        <w:rPr>
          <w:sz w:val="36"/>
          <w:szCs w:val="36"/>
          <w:rtl/>
        </w:rPr>
        <w:t>و</w:t>
      </w:r>
      <w:r w:rsidR="006D5F9B" w:rsidRPr="00FD211F">
        <w:rPr>
          <w:sz w:val="36"/>
          <w:szCs w:val="36"/>
          <w:rtl/>
        </w:rPr>
        <w:t>لكن</w:t>
      </w:r>
      <w:r w:rsidR="00E8128F">
        <w:rPr>
          <w:sz w:val="36"/>
          <w:szCs w:val="36"/>
          <w:rtl/>
        </w:rPr>
        <w:t xml:space="preserve"> </w:t>
      </w:r>
      <w:r w:rsidR="006D5F9B" w:rsidRPr="00FD211F">
        <w:rPr>
          <w:sz w:val="36"/>
          <w:szCs w:val="36"/>
          <w:rtl/>
        </w:rPr>
        <w:t>ذهب</w:t>
      </w:r>
      <w:r w:rsidR="00E8128F">
        <w:rPr>
          <w:sz w:val="36"/>
          <w:szCs w:val="36"/>
          <w:rtl/>
        </w:rPr>
        <w:t xml:space="preserve"> </w:t>
      </w:r>
      <w:r w:rsidR="006D5F9B" w:rsidRPr="00FD211F">
        <w:rPr>
          <w:sz w:val="36"/>
          <w:szCs w:val="36"/>
          <w:rtl/>
        </w:rPr>
        <w:t>جماع</w:t>
      </w:r>
      <w:r w:rsidR="00EC7EDF" w:rsidRPr="00FD211F">
        <w:rPr>
          <w:sz w:val="36"/>
          <w:szCs w:val="36"/>
          <w:rtl/>
        </w:rPr>
        <w:t>ة</w:t>
      </w:r>
      <w:r w:rsidR="00E8128F">
        <w:rPr>
          <w:sz w:val="36"/>
          <w:szCs w:val="36"/>
          <w:rtl/>
        </w:rPr>
        <w:t xml:space="preserve"> </w:t>
      </w:r>
      <w:r w:rsidR="00C92D56" w:rsidRPr="00FD211F">
        <w:rPr>
          <w:sz w:val="36"/>
          <w:szCs w:val="36"/>
          <w:rtl/>
        </w:rPr>
        <w:t>ال</w:t>
      </w:r>
      <w:r w:rsidR="006D5F9B" w:rsidRPr="00FD211F">
        <w:rPr>
          <w:sz w:val="36"/>
          <w:szCs w:val="36"/>
          <w:rtl/>
        </w:rPr>
        <w:t>ى</w:t>
      </w:r>
      <w:r w:rsidR="00E8128F">
        <w:rPr>
          <w:sz w:val="36"/>
          <w:szCs w:val="36"/>
          <w:rtl/>
        </w:rPr>
        <w:t xml:space="preserve"> </w:t>
      </w:r>
      <w:r w:rsidR="006D5F9B" w:rsidRPr="00FD211F">
        <w:rPr>
          <w:sz w:val="36"/>
          <w:szCs w:val="36"/>
          <w:rtl/>
        </w:rPr>
        <w:t>ترك</w:t>
      </w:r>
      <w:r w:rsidR="00C92D56" w:rsidRPr="00FD211F">
        <w:rPr>
          <w:sz w:val="36"/>
          <w:szCs w:val="36"/>
          <w:rtl/>
        </w:rPr>
        <w:t>ب</w:t>
      </w:r>
      <w:r w:rsidR="006D5F9B" w:rsidRPr="00FD211F">
        <w:rPr>
          <w:sz w:val="36"/>
          <w:szCs w:val="36"/>
          <w:rtl/>
        </w:rPr>
        <w:t>ه</w:t>
      </w:r>
      <w:r w:rsidR="00603323" w:rsidRPr="00FD211F">
        <w:rPr>
          <w:sz w:val="36"/>
          <w:szCs w:val="36"/>
          <w:rtl/>
        </w:rPr>
        <w:t>،</w:t>
      </w:r>
      <w:r w:rsidR="00E8128F">
        <w:rPr>
          <w:sz w:val="36"/>
          <w:szCs w:val="36"/>
          <w:rtl/>
        </w:rPr>
        <w:t xml:space="preserve"> </w:t>
      </w:r>
      <w:r w:rsidR="006D5F9B" w:rsidRPr="00FD211F">
        <w:rPr>
          <w:sz w:val="36"/>
          <w:szCs w:val="36"/>
          <w:rtl/>
        </w:rPr>
        <w:t>فقد</w:t>
      </w:r>
      <w:r w:rsidR="00E8128F">
        <w:rPr>
          <w:sz w:val="36"/>
          <w:szCs w:val="36"/>
          <w:rtl/>
        </w:rPr>
        <w:t xml:space="preserve"> </w:t>
      </w:r>
      <w:r w:rsidR="006D5F9B" w:rsidRPr="00FD211F">
        <w:rPr>
          <w:sz w:val="36"/>
          <w:szCs w:val="36"/>
          <w:rtl/>
        </w:rPr>
        <w:t>ذكر</w:t>
      </w:r>
      <w:r w:rsidR="00E8128F">
        <w:rPr>
          <w:sz w:val="36"/>
          <w:szCs w:val="36"/>
          <w:rtl/>
        </w:rPr>
        <w:t xml:space="preserve"> </w:t>
      </w:r>
      <w:r w:rsidR="006D5F9B" w:rsidRPr="00FD211F">
        <w:rPr>
          <w:sz w:val="36"/>
          <w:szCs w:val="36"/>
          <w:rtl/>
        </w:rPr>
        <w:t>قطب</w:t>
      </w:r>
      <w:r w:rsidR="00E8128F">
        <w:rPr>
          <w:sz w:val="36"/>
          <w:szCs w:val="36"/>
          <w:rtl/>
        </w:rPr>
        <w:t xml:space="preserve"> </w:t>
      </w:r>
      <w:r w:rsidR="006D5F9B" w:rsidRPr="00FD211F">
        <w:rPr>
          <w:sz w:val="36"/>
          <w:szCs w:val="36"/>
          <w:rtl/>
        </w:rPr>
        <w:t>الدين</w:t>
      </w:r>
      <w:r w:rsidR="00E8128F">
        <w:rPr>
          <w:sz w:val="36"/>
          <w:szCs w:val="36"/>
          <w:rtl/>
        </w:rPr>
        <w:t xml:space="preserve"> </w:t>
      </w:r>
      <w:r w:rsidR="006D5F9B" w:rsidRPr="00FD211F">
        <w:rPr>
          <w:sz w:val="36"/>
          <w:szCs w:val="36"/>
          <w:rtl/>
        </w:rPr>
        <w:t>الرازي</w:t>
      </w:r>
      <w:r w:rsidR="00E8128F">
        <w:rPr>
          <w:sz w:val="36"/>
          <w:szCs w:val="36"/>
          <w:rtl/>
        </w:rPr>
        <w:t xml:space="preserve"> </w:t>
      </w:r>
      <w:r w:rsidR="00C92D56" w:rsidRPr="00FD211F">
        <w:rPr>
          <w:sz w:val="36"/>
          <w:szCs w:val="36"/>
          <w:rtl/>
        </w:rPr>
        <w:t>ش</w:t>
      </w:r>
      <w:r w:rsidR="006D5F9B" w:rsidRPr="00FD211F">
        <w:rPr>
          <w:sz w:val="36"/>
          <w:szCs w:val="36"/>
          <w:rtl/>
        </w:rPr>
        <w:t>ا</w:t>
      </w:r>
      <w:r w:rsidR="00C92D56" w:rsidRPr="00FD211F">
        <w:rPr>
          <w:sz w:val="36"/>
          <w:szCs w:val="36"/>
          <w:rtl/>
        </w:rPr>
        <w:t>رح</w:t>
      </w:r>
      <w:r w:rsidR="00E8128F">
        <w:rPr>
          <w:sz w:val="36"/>
          <w:szCs w:val="36"/>
          <w:rtl/>
        </w:rPr>
        <w:t xml:space="preserve"> </w:t>
      </w:r>
      <w:r w:rsidR="00C92D56" w:rsidRPr="00FD211F">
        <w:rPr>
          <w:sz w:val="36"/>
          <w:szCs w:val="36"/>
          <w:rtl/>
        </w:rPr>
        <w:t>مطالع</w:t>
      </w:r>
      <w:r w:rsidR="00E8128F">
        <w:rPr>
          <w:sz w:val="36"/>
          <w:szCs w:val="36"/>
          <w:rtl/>
        </w:rPr>
        <w:t xml:space="preserve"> </w:t>
      </w:r>
      <w:r w:rsidR="00C92D56" w:rsidRPr="00FD211F">
        <w:rPr>
          <w:sz w:val="36"/>
          <w:szCs w:val="36"/>
          <w:rtl/>
        </w:rPr>
        <w:t>الانوار</w:t>
      </w:r>
      <w:r w:rsidR="00E8128F">
        <w:rPr>
          <w:sz w:val="36"/>
          <w:szCs w:val="36"/>
          <w:rtl/>
        </w:rPr>
        <w:t xml:space="preserve"> </w:t>
      </w:r>
      <w:r w:rsidR="00055E7A" w:rsidRPr="00FD211F">
        <w:rPr>
          <w:sz w:val="36"/>
          <w:szCs w:val="36"/>
          <w:rtl/>
        </w:rPr>
        <w:t>-</w:t>
      </w:r>
      <w:r w:rsidR="007509B9" w:rsidRPr="00FD211F">
        <w:rPr>
          <w:sz w:val="36"/>
          <w:szCs w:val="36"/>
          <w:rtl/>
        </w:rPr>
        <w:t>عند</w:t>
      </w:r>
      <w:r w:rsidR="00E8128F">
        <w:rPr>
          <w:sz w:val="36"/>
          <w:szCs w:val="36"/>
          <w:rtl/>
        </w:rPr>
        <w:t xml:space="preserve"> </w:t>
      </w:r>
      <w:r w:rsidR="007509B9" w:rsidRPr="00FD211F">
        <w:rPr>
          <w:sz w:val="36"/>
          <w:szCs w:val="36"/>
          <w:rtl/>
        </w:rPr>
        <w:t>قول</w:t>
      </w:r>
      <w:r w:rsidR="00E8128F">
        <w:rPr>
          <w:sz w:val="36"/>
          <w:szCs w:val="36"/>
          <w:rtl/>
        </w:rPr>
        <w:t xml:space="preserve"> </w:t>
      </w:r>
      <w:r w:rsidR="007509B9" w:rsidRPr="00FD211F">
        <w:rPr>
          <w:sz w:val="36"/>
          <w:szCs w:val="36"/>
          <w:rtl/>
        </w:rPr>
        <w:t>المصنف</w:t>
      </w:r>
      <w:r w:rsidR="00E8128F">
        <w:rPr>
          <w:sz w:val="36"/>
          <w:szCs w:val="36"/>
          <w:rtl/>
        </w:rPr>
        <w:t xml:space="preserve"> </w:t>
      </w:r>
      <w:r w:rsidR="007509B9" w:rsidRPr="00FD211F">
        <w:rPr>
          <w:sz w:val="36"/>
          <w:szCs w:val="36"/>
          <w:rtl/>
        </w:rPr>
        <w:t>القاضي</w:t>
      </w:r>
      <w:r w:rsidR="00E8128F">
        <w:rPr>
          <w:sz w:val="36"/>
          <w:szCs w:val="36"/>
          <w:rtl/>
        </w:rPr>
        <w:t xml:space="preserve"> </w:t>
      </w:r>
      <w:r w:rsidR="007509B9" w:rsidRPr="00FD211F">
        <w:rPr>
          <w:sz w:val="36"/>
          <w:szCs w:val="36"/>
          <w:rtl/>
        </w:rPr>
        <w:t>سراج</w:t>
      </w:r>
      <w:r w:rsidR="00E8128F">
        <w:rPr>
          <w:sz w:val="36"/>
          <w:szCs w:val="36"/>
          <w:rtl/>
        </w:rPr>
        <w:t xml:space="preserve"> </w:t>
      </w:r>
      <w:r w:rsidR="006D5F9B" w:rsidRPr="00FD211F">
        <w:rPr>
          <w:sz w:val="36"/>
          <w:szCs w:val="36"/>
          <w:rtl/>
        </w:rPr>
        <w:t>الدين</w:t>
      </w:r>
      <w:r w:rsidR="00E8128F">
        <w:rPr>
          <w:sz w:val="36"/>
          <w:szCs w:val="36"/>
          <w:rtl/>
        </w:rPr>
        <w:t xml:space="preserve"> </w:t>
      </w:r>
      <w:r w:rsidR="006D5F9B" w:rsidRPr="00FD211F">
        <w:rPr>
          <w:sz w:val="36"/>
          <w:szCs w:val="36"/>
          <w:rtl/>
        </w:rPr>
        <w:t>الارموي</w:t>
      </w:r>
      <w:r w:rsidR="00E8128F">
        <w:rPr>
          <w:sz w:val="36"/>
          <w:szCs w:val="36"/>
          <w:rtl/>
        </w:rPr>
        <w:t xml:space="preserve"> </w:t>
      </w:r>
      <w:r w:rsidR="006D5F9B" w:rsidRPr="00FD211F">
        <w:rPr>
          <w:sz w:val="36"/>
          <w:szCs w:val="36"/>
          <w:rtl/>
        </w:rPr>
        <w:t>"</w:t>
      </w:r>
      <w:r w:rsidR="007509B9" w:rsidRPr="00FD211F">
        <w:rPr>
          <w:sz w:val="36"/>
          <w:szCs w:val="36"/>
          <w:rtl/>
        </w:rPr>
        <w:t>ان</w:t>
      </w:r>
      <w:r w:rsidR="00E8128F">
        <w:rPr>
          <w:sz w:val="36"/>
          <w:szCs w:val="36"/>
          <w:rtl/>
        </w:rPr>
        <w:t xml:space="preserve"> </w:t>
      </w:r>
      <w:r w:rsidR="007509B9" w:rsidRPr="00FD211F">
        <w:rPr>
          <w:sz w:val="36"/>
          <w:szCs w:val="36"/>
          <w:rtl/>
        </w:rPr>
        <w:t>الفكر</w:t>
      </w:r>
      <w:r w:rsidR="00E8128F">
        <w:rPr>
          <w:sz w:val="36"/>
          <w:szCs w:val="36"/>
          <w:rtl/>
        </w:rPr>
        <w:t xml:space="preserve"> </w:t>
      </w:r>
      <w:r w:rsidR="007509B9" w:rsidRPr="00FD211F">
        <w:rPr>
          <w:sz w:val="36"/>
          <w:szCs w:val="36"/>
          <w:rtl/>
        </w:rPr>
        <w:t>هو</w:t>
      </w:r>
      <w:r w:rsidR="00E8128F">
        <w:rPr>
          <w:sz w:val="36"/>
          <w:szCs w:val="36"/>
          <w:rtl/>
        </w:rPr>
        <w:t xml:space="preserve"> </w:t>
      </w:r>
      <w:r w:rsidR="007509B9" w:rsidRPr="00FD211F">
        <w:rPr>
          <w:sz w:val="36"/>
          <w:szCs w:val="36"/>
          <w:rtl/>
        </w:rPr>
        <w:t>ترتيب</w:t>
      </w:r>
      <w:r w:rsidR="00E8128F">
        <w:rPr>
          <w:sz w:val="36"/>
          <w:szCs w:val="36"/>
          <w:rtl/>
        </w:rPr>
        <w:t xml:space="preserve"> </w:t>
      </w:r>
      <w:r w:rsidR="007509B9" w:rsidRPr="00FD211F">
        <w:rPr>
          <w:sz w:val="36"/>
          <w:szCs w:val="36"/>
          <w:rtl/>
        </w:rPr>
        <w:t>امور</w:t>
      </w:r>
      <w:r w:rsidR="00E8128F">
        <w:rPr>
          <w:sz w:val="36"/>
          <w:szCs w:val="36"/>
          <w:rtl/>
        </w:rPr>
        <w:t xml:space="preserve"> </w:t>
      </w:r>
      <w:r w:rsidR="007509B9" w:rsidRPr="00FD211F">
        <w:rPr>
          <w:sz w:val="36"/>
          <w:szCs w:val="36"/>
          <w:rtl/>
        </w:rPr>
        <w:t>معلوم</w:t>
      </w:r>
      <w:r w:rsidR="00EC7EDF" w:rsidRPr="00FD211F">
        <w:rPr>
          <w:sz w:val="36"/>
          <w:szCs w:val="36"/>
          <w:rtl/>
        </w:rPr>
        <w:t>ة</w:t>
      </w:r>
      <w:r w:rsidR="00E8128F">
        <w:rPr>
          <w:sz w:val="36"/>
          <w:szCs w:val="36"/>
          <w:rtl/>
        </w:rPr>
        <w:t xml:space="preserve"> </w:t>
      </w:r>
      <w:r w:rsidR="00055E7A" w:rsidRPr="00FD211F">
        <w:rPr>
          <w:sz w:val="36"/>
          <w:szCs w:val="36"/>
          <w:rtl/>
        </w:rPr>
        <w:t>لمعرف</w:t>
      </w:r>
      <w:r w:rsidR="00EC7EDF" w:rsidRPr="00FD211F">
        <w:rPr>
          <w:sz w:val="36"/>
          <w:szCs w:val="36"/>
          <w:rtl/>
        </w:rPr>
        <w:t>ة</w:t>
      </w:r>
      <w:r w:rsidR="00E8128F">
        <w:rPr>
          <w:sz w:val="36"/>
          <w:szCs w:val="36"/>
          <w:rtl/>
        </w:rPr>
        <w:t xml:space="preserve"> </w:t>
      </w:r>
      <w:r w:rsidR="007509B9" w:rsidRPr="00FD211F">
        <w:rPr>
          <w:sz w:val="36"/>
          <w:szCs w:val="36"/>
          <w:rtl/>
        </w:rPr>
        <w:t>امر</w:t>
      </w:r>
      <w:r w:rsidR="00E8128F">
        <w:rPr>
          <w:sz w:val="36"/>
          <w:szCs w:val="36"/>
          <w:rtl/>
        </w:rPr>
        <w:t xml:space="preserve"> </w:t>
      </w:r>
      <w:r w:rsidR="007509B9" w:rsidRPr="00FD211F">
        <w:rPr>
          <w:sz w:val="36"/>
          <w:szCs w:val="36"/>
          <w:rtl/>
        </w:rPr>
        <w:t>مجهول</w:t>
      </w:r>
      <w:r w:rsidR="006D5F9B" w:rsidRPr="00FD211F">
        <w:rPr>
          <w:sz w:val="36"/>
          <w:szCs w:val="36"/>
          <w:rtl/>
        </w:rPr>
        <w:t>"</w:t>
      </w:r>
      <w:r w:rsidR="00055E7A" w:rsidRPr="00FD211F">
        <w:rPr>
          <w:sz w:val="36"/>
          <w:szCs w:val="36"/>
          <w:rtl/>
        </w:rPr>
        <w:t>-</w:t>
      </w:r>
      <w:r w:rsidR="00E8128F">
        <w:rPr>
          <w:sz w:val="36"/>
          <w:szCs w:val="36"/>
          <w:rtl/>
        </w:rPr>
        <w:t xml:space="preserve"> </w:t>
      </w:r>
      <w:r w:rsidR="00C92D56" w:rsidRPr="00FD211F">
        <w:rPr>
          <w:sz w:val="36"/>
          <w:szCs w:val="36"/>
          <w:rtl/>
        </w:rPr>
        <w:t>ان</w:t>
      </w:r>
      <w:r w:rsidR="006D5F9B" w:rsidRPr="00FD211F">
        <w:rPr>
          <w:sz w:val="36"/>
          <w:szCs w:val="36"/>
          <w:rtl/>
        </w:rPr>
        <w:t>ه</w:t>
      </w:r>
      <w:r w:rsidR="00E8128F">
        <w:rPr>
          <w:sz w:val="36"/>
          <w:szCs w:val="36"/>
          <w:rtl/>
        </w:rPr>
        <w:t xml:space="preserve"> </w:t>
      </w:r>
      <w:r w:rsidR="006D5F9B" w:rsidRPr="00FD211F">
        <w:rPr>
          <w:sz w:val="36"/>
          <w:szCs w:val="36"/>
          <w:rtl/>
        </w:rPr>
        <w:t>قد</w:t>
      </w:r>
      <w:r w:rsidR="00E8128F">
        <w:rPr>
          <w:sz w:val="36"/>
          <w:szCs w:val="36"/>
          <w:rtl/>
        </w:rPr>
        <w:t xml:space="preserve"> </w:t>
      </w:r>
      <w:r w:rsidR="006D5F9B" w:rsidRPr="00FD211F">
        <w:rPr>
          <w:sz w:val="36"/>
          <w:szCs w:val="36"/>
          <w:rtl/>
        </w:rPr>
        <w:t>اشكل</w:t>
      </w:r>
      <w:r w:rsidR="00E8128F">
        <w:rPr>
          <w:sz w:val="36"/>
          <w:szCs w:val="36"/>
          <w:rtl/>
        </w:rPr>
        <w:t xml:space="preserve"> </w:t>
      </w:r>
      <w:r w:rsidR="00C92D56" w:rsidRPr="00FD211F">
        <w:rPr>
          <w:sz w:val="36"/>
          <w:szCs w:val="36"/>
          <w:rtl/>
        </w:rPr>
        <w:t>قوم</w:t>
      </w:r>
      <w:r w:rsidR="00E8128F">
        <w:rPr>
          <w:sz w:val="36"/>
          <w:szCs w:val="36"/>
          <w:rtl/>
        </w:rPr>
        <w:t xml:space="preserve"> </w:t>
      </w:r>
      <w:r w:rsidR="00C92D56" w:rsidRPr="00FD211F">
        <w:rPr>
          <w:sz w:val="36"/>
          <w:szCs w:val="36"/>
          <w:rtl/>
        </w:rPr>
        <w:t>بانه</w:t>
      </w:r>
      <w:r w:rsidR="00E8128F">
        <w:rPr>
          <w:sz w:val="36"/>
          <w:szCs w:val="36"/>
          <w:rtl/>
        </w:rPr>
        <w:t xml:space="preserve"> </w:t>
      </w:r>
      <w:r w:rsidR="00C92D56" w:rsidRPr="00FD211F">
        <w:rPr>
          <w:sz w:val="36"/>
          <w:szCs w:val="36"/>
          <w:rtl/>
        </w:rPr>
        <w:t>لايتناول</w:t>
      </w:r>
      <w:r w:rsidR="00E8128F">
        <w:rPr>
          <w:sz w:val="36"/>
          <w:szCs w:val="36"/>
          <w:rtl/>
        </w:rPr>
        <w:t xml:space="preserve"> </w:t>
      </w:r>
      <w:r w:rsidR="007509B9" w:rsidRPr="00FD211F">
        <w:rPr>
          <w:sz w:val="36"/>
          <w:szCs w:val="36"/>
          <w:rtl/>
        </w:rPr>
        <w:t>هذا</w:t>
      </w:r>
      <w:r w:rsidR="00E8128F">
        <w:rPr>
          <w:sz w:val="36"/>
          <w:szCs w:val="36"/>
          <w:rtl/>
        </w:rPr>
        <w:t xml:space="preserve"> </w:t>
      </w:r>
      <w:r w:rsidR="007509B9" w:rsidRPr="00FD211F">
        <w:rPr>
          <w:sz w:val="36"/>
          <w:szCs w:val="36"/>
          <w:rtl/>
        </w:rPr>
        <w:t>البيان</w:t>
      </w:r>
      <w:r w:rsidR="00E8128F">
        <w:rPr>
          <w:sz w:val="36"/>
          <w:szCs w:val="36"/>
          <w:rtl/>
        </w:rPr>
        <w:t xml:space="preserve"> </w:t>
      </w:r>
      <w:r w:rsidR="00C92D56" w:rsidRPr="00FD211F">
        <w:rPr>
          <w:sz w:val="36"/>
          <w:szCs w:val="36"/>
          <w:rtl/>
        </w:rPr>
        <w:t>التعريف</w:t>
      </w:r>
      <w:r w:rsidR="00E8128F">
        <w:rPr>
          <w:sz w:val="36"/>
          <w:szCs w:val="36"/>
          <w:rtl/>
        </w:rPr>
        <w:t xml:space="preserve"> </w:t>
      </w:r>
      <w:r w:rsidR="00C92D56" w:rsidRPr="00FD211F">
        <w:rPr>
          <w:sz w:val="36"/>
          <w:szCs w:val="36"/>
          <w:rtl/>
        </w:rPr>
        <w:t>ب</w:t>
      </w:r>
      <w:r w:rsidR="007509B9" w:rsidRPr="00FD211F">
        <w:rPr>
          <w:sz w:val="36"/>
          <w:szCs w:val="36"/>
          <w:rtl/>
        </w:rPr>
        <w:t>الحد</w:t>
      </w:r>
      <w:r w:rsidR="00E8128F">
        <w:rPr>
          <w:sz w:val="36"/>
          <w:szCs w:val="36"/>
          <w:rtl/>
        </w:rPr>
        <w:t xml:space="preserve"> </w:t>
      </w:r>
      <w:r w:rsidR="007509B9" w:rsidRPr="00FD211F">
        <w:rPr>
          <w:sz w:val="36"/>
          <w:szCs w:val="36"/>
          <w:rtl/>
        </w:rPr>
        <w:t>الناقص</w:t>
      </w:r>
      <w:r w:rsidR="00E8128F">
        <w:rPr>
          <w:sz w:val="36"/>
          <w:szCs w:val="36"/>
          <w:rtl/>
        </w:rPr>
        <w:t xml:space="preserve"> </w:t>
      </w:r>
      <w:r w:rsidR="007509B9" w:rsidRPr="00FD211F">
        <w:rPr>
          <w:sz w:val="36"/>
          <w:szCs w:val="36"/>
          <w:rtl/>
        </w:rPr>
        <w:t>اي</w:t>
      </w:r>
      <w:r w:rsidR="00E8128F">
        <w:rPr>
          <w:sz w:val="36"/>
          <w:szCs w:val="36"/>
          <w:rtl/>
        </w:rPr>
        <w:t xml:space="preserve"> </w:t>
      </w:r>
      <w:r w:rsidR="00C92D56" w:rsidRPr="00FD211F">
        <w:rPr>
          <w:sz w:val="36"/>
          <w:szCs w:val="36"/>
          <w:rtl/>
        </w:rPr>
        <w:t>الفصل</w:t>
      </w:r>
      <w:r w:rsidR="00E8128F">
        <w:rPr>
          <w:sz w:val="36"/>
          <w:szCs w:val="36"/>
          <w:rtl/>
        </w:rPr>
        <w:t xml:space="preserve"> </w:t>
      </w:r>
      <w:r w:rsidR="00C92D56" w:rsidRPr="00FD211F">
        <w:rPr>
          <w:sz w:val="36"/>
          <w:szCs w:val="36"/>
          <w:rtl/>
        </w:rPr>
        <w:t>وحده</w:t>
      </w:r>
      <w:r w:rsidR="00E8128F">
        <w:rPr>
          <w:sz w:val="36"/>
          <w:szCs w:val="36"/>
          <w:rtl/>
        </w:rPr>
        <w:t xml:space="preserve"> </w:t>
      </w:r>
      <w:r w:rsidR="00C92D56" w:rsidRPr="00FD211F">
        <w:rPr>
          <w:sz w:val="36"/>
          <w:szCs w:val="36"/>
          <w:rtl/>
        </w:rPr>
        <w:t>ولاب</w:t>
      </w:r>
      <w:r w:rsidR="007509B9" w:rsidRPr="00FD211F">
        <w:rPr>
          <w:sz w:val="36"/>
          <w:szCs w:val="36"/>
          <w:rtl/>
        </w:rPr>
        <w:t>ا</w:t>
      </w:r>
      <w:r w:rsidR="006D5F9B" w:rsidRPr="00FD211F">
        <w:rPr>
          <w:sz w:val="36"/>
          <w:szCs w:val="36"/>
          <w:rtl/>
        </w:rPr>
        <w:t>لرسم</w:t>
      </w:r>
      <w:r w:rsidR="00E8128F">
        <w:rPr>
          <w:sz w:val="36"/>
          <w:szCs w:val="36"/>
          <w:rtl/>
        </w:rPr>
        <w:t xml:space="preserve"> </w:t>
      </w:r>
      <w:r w:rsidR="006D5F9B" w:rsidRPr="00FD211F">
        <w:rPr>
          <w:sz w:val="36"/>
          <w:szCs w:val="36"/>
          <w:rtl/>
        </w:rPr>
        <w:t>الناقص</w:t>
      </w:r>
      <w:r w:rsidR="00E8128F">
        <w:rPr>
          <w:sz w:val="36"/>
          <w:szCs w:val="36"/>
          <w:rtl/>
        </w:rPr>
        <w:t xml:space="preserve"> </w:t>
      </w:r>
      <w:r w:rsidR="006D5F9B" w:rsidRPr="00FD211F">
        <w:rPr>
          <w:sz w:val="36"/>
          <w:szCs w:val="36"/>
          <w:rtl/>
        </w:rPr>
        <w:t>اي</w:t>
      </w:r>
      <w:r w:rsidR="00E8128F">
        <w:rPr>
          <w:sz w:val="36"/>
          <w:szCs w:val="36"/>
          <w:rtl/>
        </w:rPr>
        <w:t xml:space="preserve"> </w:t>
      </w:r>
      <w:r w:rsidR="006D5F9B" w:rsidRPr="00FD211F">
        <w:rPr>
          <w:sz w:val="36"/>
          <w:szCs w:val="36"/>
          <w:rtl/>
        </w:rPr>
        <w:t>العرض</w:t>
      </w:r>
      <w:r w:rsidR="00E8128F">
        <w:rPr>
          <w:sz w:val="36"/>
          <w:szCs w:val="36"/>
          <w:rtl/>
        </w:rPr>
        <w:t xml:space="preserve"> </w:t>
      </w:r>
      <w:r w:rsidR="006D5F9B" w:rsidRPr="00FD211F">
        <w:rPr>
          <w:sz w:val="36"/>
          <w:szCs w:val="36"/>
          <w:rtl/>
        </w:rPr>
        <w:t>الخاص</w:t>
      </w:r>
      <w:r w:rsidR="00E8128F">
        <w:rPr>
          <w:sz w:val="36"/>
          <w:szCs w:val="36"/>
          <w:rtl/>
        </w:rPr>
        <w:t xml:space="preserve"> </w:t>
      </w:r>
      <w:r w:rsidR="006D5F9B" w:rsidRPr="00FD211F">
        <w:rPr>
          <w:sz w:val="36"/>
          <w:szCs w:val="36"/>
          <w:rtl/>
        </w:rPr>
        <w:t>وحده</w:t>
      </w:r>
      <w:r w:rsidR="00E8128F">
        <w:rPr>
          <w:sz w:val="36"/>
          <w:szCs w:val="36"/>
          <w:rtl/>
        </w:rPr>
        <w:t xml:space="preserve"> </w:t>
      </w:r>
      <w:r w:rsidR="007509B9" w:rsidRPr="00FD211F">
        <w:rPr>
          <w:sz w:val="36"/>
          <w:szCs w:val="36"/>
          <w:rtl/>
        </w:rPr>
        <w:t>حيث</w:t>
      </w:r>
      <w:r w:rsidR="00E8128F">
        <w:rPr>
          <w:sz w:val="36"/>
          <w:szCs w:val="36"/>
          <w:rtl/>
        </w:rPr>
        <w:t xml:space="preserve"> </w:t>
      </w:r>
      <w:r w:rsidR="007509B9" w:rsidRPr="00FD211F">
        <w:rPr>
          <w:sz w:val="36"/>
          <w:szCs w:val="36"/>
          <w:rtl/>
        </w:rPr>
        <w:t>أنه</w:t>
      </w:r>
      <w:r w:rsidR="00E8128F">
        <w:rPr>
          <w:sz w:val="36"/>
          <w:szCs w:val="36"/>
          <w:rtl/>
        </w:rPr>
        <w:t xml:space="preserve"> </w:t>
      </w:r>
      <w:r w:rsidR="00055E7A" w:rsidRPr="00FD211F">
        <w:rPr>
          <w:sz w:val="36"/>
          <w:szCs w:val="36"/>
          <w:rtl/>
        </w:rPr>
        <w:t>من</w:t>
      </w:r>
      <w:r w:rsidR="00E8128F">
        <w:rPr>
          <w:sz w:val="36"/>
          <w:szCs w:val="36"/>
          <w:rtl/>
        </w:rPr>
        <w:t xml:space="preserve"> </w:t>
      </w:r>
      <w:r w:rsidR="00055E7A" w:rsidRPr="00FD211F">
        <w:rPr>
          <w:sz w:val="36"/>
          <w:szCs w:val="36"/>
          <w:rtl/>
        </w:rPr>
        <w:t>ترتيب</w:t>
      </w:r>
      <w:r w:rsidR="00E8128F">
        <w:rPr>
          <w:sz w:val="36"/>
          <w:szCs w:val="36"/>
          <w:rtl/>
        </w:rPr>
        <w:t xml:space="preserve"> </w:t>
      </w:r>
      <w:r w:rsidR="00055E7A" w:rsidRPr="00FD211F">
        <w:rPr>
          <w:sz w:val="36"/>
          <w:szCs w:val="36"/>
          <w:rtl/>
        </w:rPr>
        <w:t>امر</w:t>
      </w:r>
      <w:r w:rsidR="00E8128F">
        <w:rPr>
          <w:sz w:val="36"/>
          <w:szCs w:val="36"/>
          <w:rtl/>
        </w:rPr>
        <w:t xml:space="preserve"> </w:t>
      </w:r>
      <w:r w:rsidR="00055E7A" w:rsidRPr="00FD211F">
        <w:rPr>
          <w:sz w:val="36"/>
          <w:szCs w:val="36"/>
          <w:rtl/>
        </w:rPr>
        <w:t>واحد</w:t>
      </w:r>
      <w:r w:rsidR="00E8128F">
        <w:rPr>
          <w:sz w:val="36"/>
          <w:szCs w:val="36"/>
          <w:rtl/>
        </w:rPr>
        <w:t xml:space="preserve"> </w:t>
      </w:r>
      <w:r w:rsidR="00055E7A" w:rsidRPr="00FD211F">
        <w:rPr>
          <w:sz w:val="36"/>
          <w:szCs w:val="36"/>
          <w:rtl/>
        </w:rPr>
        <w:t>لمعرف</w:t>
      </w:r>
      <w:r w:rsidR="00EC7EDF" w:rsidRPr="00FD211F">
        <w:rPr>
          <w:sz w:val="36"/>
          <w:szCs w:val="36"/>
          <w:rtl/>
        </w:rPr>
        <w:t>ة</w:t>
      </w:r>
      <w:r w:rsidR="00E8128F">
        <w:rPr>
          <w:sz w:val="36"/>
          <w:szCs w:val="36"/>
          <w:rtl/>
        </w:rPr>
        <w:t xml:space="preserve"> </w:t>
      </w:r>
      <w:r w:rsidR="00055E7A" w:rsidRPr="00FD211F">
        <w:rPr>
          <w:sz w:val="36"/>
          <w:szCs w:val="36"/>
          <w:rtl/>
        </w:rPr>
        <w:t>امر</w:t>
      </w:r>
      <w:r w:rsidR="00E8128F">
        <w:rPr>
          <w:sz w:val="36"/>
          <w:szCs w:val="36"/>
          <w:rtl/>
        </w:rPr>
        <w:t xml:space="preserve"> </w:t>
      </w:r>
      <w:r w:rsidR="00055E7A" w:rsidRPr="00FD211F">
        <w:rPr>
          <w:sz w:val="36"/>
          <w:szCs w:val="36"/>
          <w:rtl/>
        </w:rPr>
        <w:t>مجهول</w:t>
      </w:r>
      <w:r w:rsidR="00E8128F">
        <w:rPr>
          <w:sz w:val="36"/>
          <w:szCs w:val="36"/>
          <w:rtl/>
        </w:rPr>
        <w:t xml:space="preserve"> </w:t>
      </w:r>
      <w:r w:rsidR="00055E7A" w:rsidRPr="00FD211F">
        <w:rPr>
          <w:sz w:val="36"/>
          <w:szCs w:val="36"/>
          <w:rtl/>
        </w:rPr>
        <w:t>وليس</w:t>
      </w:r>
      <w:r w:rsidR="00E8128F">
        <w:rPr>
          <w:sz w:val="36"/>
          <w:szCs w:val="36"/>
          <w:rtl/>
        </w:rPr>
        <w:t xml:space="preserve"> </w:t>
      </w:r>
      <w:r w:rsidR="007509B9" w:rsidRPr="00FD211F">
        <w:rPr>
          <w:sz w:val="36"/>
          <w:szCs w:val="36"/>
          <w:rtl/>
        </w:rPr>
        <w:t>ترتيبا</w:t>
      </w:r>
      <w:r w:rsidR="00E8128F">
        <w:rPr>
          <w:sz w:val="36"/>
          <w:szCs w:val="36"/>
          <w:rtl/>
        </w:rPr>
        <w:t xml:space="preserve"> </w:t>
      </w:r>
      <w:r w:rsidR="007509B9" w:rsidRPr="00FD211F">
        <w:rPr>
          <w:sz w:val="36"/>
          <w:szCs w:val="36"/>
          <w:rtl/>
        </w:rPr>
        <w:t>لأمور</w:t>
      </w:r>
      <w:r w:rsidR="00E8128F">
        <w:rPr>
          <w:sz w:val="36"/>
          <w:szCs w:val="36"/>
          <w:rtl/>
        </w:rPr>
        <w:t xml:space="preserve"> </w:t>
      </w:r>
      <w:r w:rsidR="007509B9" w:rsidRPr="00FD211F">
        <w:rPr>
          <w:sz w:val="36"/>
          <w:szCs w:val="36"/>
          <w:rtl/>
        </w:rPr>
        <w:t>معلوم</w:t>
      </w:r>
      <w:r w:rsidR="00EC7EDF" w:rsidRPr="00FD211F">
        <w:rPr>
          <w:sz w:val="36"/>
          <w:szCs w:val="36"/>
          <w:rtl/>
        </w:rPr>
        <w:t>ة</w:t>
      </w:r>
      <w:r w:rsidR="00E8128F">
        <w:rPr>
          <w:sz w:val="36"/>
          <w:szCs w:val="36"/>
          <w:rtl/>
        </w:rPr>
        <w:t xml:space="preserve"> </w:t>
      </w:r>
      <w:r w:rsidR="006D5F9B" w:rsidRPr="00FD211F">
        <w:rPr>
          <w:sz w:val="36"/>
          <w:szCs w:val="36"/>
          <w:rtl/>
        </w:rPr>
        <w:t>لمعرف</w:t>
      </w:r>
      <w:r w:rsidR="00EC7EDF" w:rsidRPr="00FD211F">
        <w:rPr>
          <w:sz w:val="36"/>
          <w:szCs w:val="36"/>
          <w:rtl/>
        </w:rPr>
        <w:t>ة</w:t>
      </w:r>
      <w:r w:rsidR="00E8128F">
        <w:rPr>
          <w:sz w:val="36"/>
          <w:szCs w:val="36"/>
          <w:rtl/>
        </w:rPr>
        <w:t xml:space="preserve"> </w:t>
      </w:r>
      <w:r w:rsidR="006D5F9B" w:rsidRPr="00FD211F">
        <w:rPr>
          <w:sz w:val="36"/>
          <w:szCs w:val="36"/>
          <w:rtl/>
        </w:rPr>
        <w:t>امر</w:t>
      </w:r>
      <w:r w:rsidR="00E8128F">
        <w:rPr>
          <w:sz w:val="36"/>
          <w:szCs w:val="36"/>
          <w:rtl/>
        </w:rPr>
        <w:t xml:space="preserve"> </w:t>
      </w:r>
      <w:r w:rsidR="006D5F9B" w:rsidRPr="00FD211F">
        <w:rPr>
          <w:sz w:val="36"/>
          <w:szCs w:val="36"/>
          <w:rtl/>
        </w:rPr>
        <w:t>مجهول</w:t>
      </w:r>
      <w:r w:rsidR="00603323" w:rsidRPr="00FD211F">
        <w:rPr>
          <w:sz w:val="36"/>
          <w:szCs w:val="36"/>
          <w:rtl/>
        </w:rPr>
        <w:t>،</w:t>
      </w:r>
      <w:r w:rsidR="00E8128F">
        <w:rPr>
          <w:sz w:val="36"/>
          <w:szCs w:val="36"/>
          <w:rtl/>
        </w:rPr>
        <w:t xml:space="preserve"> </w:t>
      </w:r>
      <w:r w:rsidR="006D5F9B" w:rsidRPr="00FD211F">
        <w:rPr>
          <w:sz w:val="36"/>
          <w:szCs w:val="36"/>
          <w:rtl/>
        </w:rPr>
        <w:t>ولكنه</w:t>
      </w:r>
      <w:r w:rsidR="00E8128F">
        <w:rPr>
          <w:sz w:val="36"/>
          <w:szCs w:val="36"/>
          <w:rtl/>
        </w:rPr>
        <w:t xml:space="preserve"> </w:t>
      </w:r>
      <w:r w:rsidR="00C92D56" w:rsidRPr="00FD211F">
        <w:rPr>
          <w:sz w:val="36"/>
          <w:szCs w:val="36"/>
          <w:rtl/>
        </w:rPr>
        <w:t>قابل</w:t>
      </w:r>
      <w:r w:rsidR="00E8128F">
        <w:rPr>
          <w:sz w:val="36"/>
          <w:szCs w:val="36"/>
          <w:rtl/>
        </w:rPr>
        <w:t xml:space="preserve"> </w:t>
      </w:r>
      <w:r w:rsidR="00C92D56" w:rsidRPr="00FD211F">
        <w:rPr>
          <w:sz w:val="36"/>
          <w:szCs w:val="36"/>
          <w:rtl/>
        </w:rPr>
        <w:t>للجواب</w:t>
      </w:r>
      <w:r w:rsidR="00E8128F">
        <w:rPr>
          <w:sz w:val="36"/>
          <w:szCs w:val="36"/>
          <w:rtl/>
        </w:rPr>
        <w:t xml:space="preserve"> </w:t>
      </w:r>
      <w:r w:rsidR="006D5F9B" w:rsidRPr="00FD211F">
        <w:rPr>
          <w:sz w:val="36"/>
          <w:szCs w:val="36"/>
          <w:rtl/>
        </w:rPr>
        <w:t>لان</w:t>
      </w:r>
      <w:r w:rsidR="00E8128F">
        <w:rPr>
          <w:sz w:val="36"/>
          <w:szCs w:val="36"/>
          <w:rtl/>
        </w:rPr>
        <w:t xml:space="preserve"> </w:t>
      </w:r>
      <w:r w:rsidR="006D5F9B" w:rsidRPr="00FD211F">
        <w:rPr>
          <w:sz w:val="36"/>
          <w:szCs w:val="36"/>
          <w:rtl/>
        </w:rPr>
        <w:t>التعريف</w:t>
      </w:r>
      <w:r w:rsidR="00E8128F">
        <w:rPr>
          <w:sz w:val="36"/>
          <w:szCs w:val="36"/>
          <w:rtl/>
        </w:rPr>
        <w:t xml:space="preserve"> </w:t>
      </w:r>
      <w:r w:rsidR="006D5F9B" w:rsidRPr="00FD211F">
        <w:rPr>
          <w:sz w:val="36"/>
          <w:szCs w:val="36"/>
          <w:rtl/>
        </w:rPr>
        <w:t>بالفصل</w:t>
      </w:r>
      <w:r w:rsidR="00E8128F">
        <w:rPr>
          <w:sz w:val="36"/>
          <w:szCs w:val="36"/>
          <w:rtl/>
        </w:rPr>
        <w:t xml:space="preserve"> </w:t>
      </w:r>
      <w:r w:rsidR="006D5F9B" w:rsidRPr="00FD211F">
        <w:rPr>
          <w:sz w:val="36"/>
          <w:szCs w:val="36"/>
          <w:rtl/>
        </w:rPr>
        <w:t>او</w:t>
      </w:r>
      <w:r w:rsidR="00E8128F">
        <w:rPr>
          <w:sz w:val="36"/>
          <w:szCs w:val="36"/>
          <w:rtl/>
        </w:rPr>
        <w:t xml:space="preserve"> </w:t>
      </w:r>
      <w:r w:rsidR="006D5F9B" w:rsidRPr="00FD211F">
        <w:rPr>
          <w:sz w:val="36"/>
          <w:szCs w:val="36"/>
          <w:rtl/>
        </w:rPr>
        <w:t>العرض</w:t>
      </w:r>
      <w:r w:rsidR="00E8128F">
        <w:rPr>
          <w:sz w:val="36"/>
          <w:szCs w:val="36"/>
          <w:rtl/>
        </w:rPr>
        <w:t xml:space="preserve"> </w:t>
      </w:r>
      <w:r w:rsidR="006D5F9B" w:rsidRPr="00FD211F">
        <w:rPr>
          <w:sz w:val="36"/>
          <w:szCs w:val="36"/>
          <w:rtl/>
        </w:rPr>
        <w:t>الخاص</w:t>
      </w:r>
      <w:r w:rsidR="00E8128F">
        <w:rPr>
          <w:sz w:val="36"/>
          <w:szCs w:val="36"/>
          <w:rtl/>
        </w:rPr>
        <w:t xml:space="preserve"> </w:t>
      </w:r>
      <w:r w:rsidR="00C92D56" w:rsidRPr="00FD211F">
        <w:rPr>
          <w:sz w:val="36"/>
          <w:szCs w:val="36"/>
          <w:rtl/>
        </w:rPr>
        <w:t>انما</w:t>
      </w:r>
      <w:r w:rsidR="00E8128F">
        <w:rPr>
          <w:sz w:val="36"/>
          <w:szCs w:val="36"/>
          <w:rtl/>
        </w:rPr>
        <w:t xml:space="preserve"> </w:t>
      </w:r>
      <w:r w:rsidR="00C92D56" w:rsidRPr="00FD211F">
        <w:rPr>
          <w:sz w:val="36"/>
          <w:szCs w:val="36"/>
          <w:rtl/>
        </w:rPr>
        <w:t>يكون</w:t>
      </w:r>
      <w:r w:rsidR="00E8128F">
        <w:rPr>
          <w:sz w:val="36"/>
          <w:szCs w:val="36"/>
          <w:rtl/>
        </w:rPr>
        <w:t xml:space="preserve"> </w:t>
      </w:r>
      <w:r w:rsidR="00C92D56" w:rsidRPr="00FD211F">
        <w:rPr>
          <w:sz w:val="36"/>
          <w:szCs w:val="36"/>
          <w:rtl/>
        </w:rPr>
        <w:t>بالمشتقات</w:t>
      </w:r>
      <w:r w:rsidR="00E8128F">
        <w:rPr>
          <w:sz w:val="36"/>
          <w:szCs w:val="36"/>
          <w:rtl/>
        </w:rPr>
        <w:t xml:space="preserve"> </w:t>
      </w:r>
      <w:r w:rsidR="00C92D56" w:rsidRPr="00FD211F">
        <w:rPr>
          <w:sz w:val="36"/>
          <w:szCs w:val="36"/>
          <w:rtl/>
        </w:rPr>
        <w:t>كالناطق</w:t>
      </w:r>
      <w:r w:rsidR="00E8128F">
        <w:rPr>
          <w:sz w:val="36"/>
          <w:szCs w:val="36"/>
          <w:rtl/>
        </w:rPr>
        <w:t xml:space="preserve"> </w:t>
      </w:r>
      <w:r w:rsidR="00C92D56" w:rsidRPr="00FD211F">
        <w:rPr>
          <w:sz w:val="36"/>
          <w:szCs w:val="36"/>
          <w:rtl/>
        </w:rPr>
        <w:t>والضاحك</w:t>
      </w:r>
      <w:r w:rsidR="00603323" w:rsidRPr="00FD211F">
        <w:rPr>
          <w:sz w:val="36"/>
          <w:szCs w:val="36"/>
          <w:rtl/>
        </w:rPr>
        <w:t>،</w:t>
      </w:r>
      <w:r w:rsidR="00E8128F">
        <w:rPr>
          <w:sz w:val="36"/>
          <w:szCs w:val="36"/>
          <w:rtl/>
        </w:rPr>
        <w:t xml:space="preserve"> </w:t>
      </w:r>
      <w:r w:rsidR="00C92D56" w:rsidRPr="00FD211F">
        <w:rPr>
          <w:sz w:val="36"/>
          <w:szCs w:val="36"/>
          <w:rtl/>
        </w:rPr>
        <w:t>والمشتق</w:t>
      </w:r>
      <w:r w:rsidR="00E8128F">
        <w:rPr>
          <w:sz w:val="36"/>
          <w:szCs w:val="36"/>
          <w:rtl/>
        </w:rPr>
        <w:t xml:space="preserve"> </w:t>
      </w:r>
      <w:r w:rsidR="00C92D56" w:rsidRPr="00FD211F">
        <w:rPr>
          <w:sz w:val="36"/>
          <w:szCs w:val="36"/>
          <w:rtl/>
        </w:rPr>
        <w:t>وان</w:t>
      </w:r>
      <w:r w:rsidR="00E8128F">
        <w:rPr>
          <w:sz w:val="36"/>
          <w:szCs w:val="36"/>
          <w:rtl/>
        </w:rPr>
        <w:t xml:space="preserve"> </w:t>
      </w:r>
      <w:r w:rsidR="00C92D56" w:rsidRPr="00FD211F">
        <w:rPr>
          <w:sz w:val="36"/>
          <w:szCs w:val="36"/>
          <w:rtl/>
        </w:rPr>
        <w:t>كان</w:t>
      </w:r>
      <w:r w:rsidR="00E8128F">
        <w:rPr>
          <w:sz w:val="36"/>
          <w:szCs w:val="36"/>
          <w:rtl/>
        </w:rPr>
        <w:t xml:space="preserve"> </w:t>
      </w:r>
      <w:r w:rsidR="00C92D56" w:rsidRPr="00FD211F">
        <w:rPr>
          <w:sz w:val="36"/>
          <w:szCs w:val="36"/>
          <w:rtl/>
        </w:rPr>
        <w:t>في</w:t>
      </w:r>
      <w:r w:rsidR="00E8128F">
        <w:rPr>
          <w:sz w:val="36"/>
          <w:szCs w:val="36"/>
          <w:rtl/>
        </w:rPr>
        <w:t xml:space="preserve"> </w:t>
      </w:r>
      <w:r w:rsidR="00C92D56" w:rsidRPr="00FD211F">
        <w:rPr>
          <w:sz w:val="36"/>
          <w:szCs w:val="36"/>
          <w:rtl/>
        </w:rPr>
        <w:t>اللفظ</w:t>
      </w:r>
      <w:r w:rsidR="00E8128F">
        <w:rPr>
          <w:sz w:val="36"/>
          <w:szCs w:val="36"/>
          <w:rtl/>
        </w:rPr>
        <w:t xml:space="preserve"> </w:t>
      </w:r>
      <w:r w:rsidR="00C92D56" w:rsidRPr="00FD211F">
        <w:rPr>
          <w:sz w:val="36"/>
          <w:szCs w:val="36"/>
          <w:rtl/>
        </w:rPr>
        <w:t>مفردا</w:t>
      </w:r>
      <w:r w:rsidR="00E8128F">
        <w:rPr>
          <w:sz w:val="36"/>
          <w:szCs w:val="36"/>
          <w:rtl/>
        </w:rPr>
        <w:t xml:space="preserve"> </w:t>
      </w:r>
      <w:r w:rsidR="00C92D56" w:rsidRPr="00FD211F">
        <w:rPr>
          <w:sz w:val="36"/>
          <w:szCs w:val="36"/>
          <w:rtl/>
        </w:rPr>
        <w:t>الا</w:t>
      </w:r>
      <w:r w:rsidR="00E8128F">
        <w:rPr>
          <w:sz w:val="36"/>
          <w:szCs w:val="36"/>
          <w:rtl/>
        </w:rPr>
        <w:t xml:space="preserve"> </w:t>
      </w:r>
      <w:r w:rsidR="00C92D56" w:rsidRPr="00FD211F">
        <w:rPr>
          <w:sz w:val="36"/>
          <w:szCs w:val="36"/>
          <w:rtl/>
        </w:rPr>
        <w:t>ان</w:t>
      </w:r>
      <w:r w:rsidR="00E8128F">
        <w:rPr>
          <w:sz w:val="36"/>
          <w:szCs w:val="36"/>
          <w:rtl/>
        </w:rPr>
        <w:t xml:space="preserve"> </w:t>
      </w:r>
      <w:r w:rsidR="00C92D56" w:rsidRPr="00FD211F">
        <w:rPr>
          <w:sz w:val="36"/>
          <w:szCs w:val="36"/>
          <w:rtl/>
        </w:rPr>
        <w:t>معناه</w:t>
      </w:r>
      <w:r w:rsidR="00E8128F">
        <w:rPr>
          <w:sz w:val="36"/>
          <w:szCs w:val="36"/>
          <w:rtl/>
        </w:rPr>
        <w:t xml:space="preserve"> </w:t>
      </w:r>
      <w:r w:rsidR="008D7B3D" w:rsidRPr="00FD211F">
        <w:rPr>
          <w:sz w:val="36"/>
          <w:szCs w:val="36"/>
          <w:rtl/>
        </w:rPr>
        <w:t>شيء</w:t>
      </w:r>
      <w:r w:rsidR="00E8128F">
        <w:rPr>
          <w:sz w:val="36"/>
          <w:szCs w:val="36"/>
          <w:rtl/>
        </w:rPr>
        <w:t xml:space="preserve"> </w:t>
      </w:r>
      <w:r w:rsidR="00C92D56" w:rsidRPr="00FD211F">
        <w:rPr>
          <w:sz w:val="36"/>
          <w:szCs w:val="36"/>
          <w:rtl/>
        </w:rPr>
        <w:t>له</w:t>
      </w:r>
      <w:r w:rsidR="00E8128F">
        <w:rPr>
          <w:sz w:val="36"/>
          <w:szCs w:val="36"/>
          <w:rtl/>
        </w:rPr>
        <w:t xml:space="preserve"> </w:t>
      </w:r>
      <w:r w:rsidR="007509B9" w:rsidRPr="00FD211F">
        <w:rPr>
          <w:sz w:val="36"/>
          <w:szCs w:val="36"/>
          <w:rtl/>
        </w:rPr>
        <w:t>المبدأ</w:t>
      </w:r>
      <w:r w:rsidR="00E8128F">
        <w:rPr>
          <w:sz w:val="36"/>
          <w:szCs w:val="36"/>
          <w:rtl/>
        </w:rPr>
        <w:t xml:space="preserve"> </w:t>
      </w:r>
      <w:r w:rsidR="00C92D56" w:rsidRPr="00FD211F">
        <w:rPr>
          <w:sz w:val="36"/>
          <w:szCs w:val="36"/>
          <w:rtl/>
        </w:rPr>
        <w:t>فيكون</w:t>
      </w:r>
      <w:r w:rsidR="00E8128F">
        <w:rPr>
          <w:sz w:val="36"/>
          <w:szCs w:val="36"/>
          <w:rtl/>
        </w:rPr>
        <w:t xml:space="preserve"> </w:t>
      </w:r>
      <w:r w:rsidR="00C92D56" w:rsidRPr="00FD211F">
        <w:rPr>
          <w:sz w:val="36"/>
          <w:szCs w:val="36"/>
          <w:rtl/>
        </w:rPr>
        <w:t>من</w:t>
      </w:r>
      <w:r w:rsidR="00E8128F">
        <w:rPr>
          <w:sz w:val="36"/>
          <w:szCs w:val="36"/>
          <w:rtl/>
        </w:rPr>
        <w:t xml:space="preserve"> </w:t>
      </w:r>
      <w:r w:rsidR="00C92D56" w:rsidRPr="00FD211F">
        <w:rPr>
          <w:sz w:val="36"/>
          <w:szCs w:val="36"/>
          <w:rtl/>
        </w:rPr>
        <w:t>حيث</w:t>
      </w:r>
      <w:r w:rsidR="00E8128F">
        <w:rPr>
          <w:sz w:val="36"/>
          <w:szCs w:val="36"/>
          <w:rtl/>
        </w:rPr>
        <w:t xml:space="preserve"> </w:t>
      </w:r>
      <w:r w:rsidR="00C92D56" w:rsidRPr="00FD211F">
        <w:rPr>
          <w:sz w:val="36"/>
          <w:szCs w:val="36"/>
          <w:rtl/>
        </w:rPr>
        <w:t>المعنى</w:t>
      </w:r>
      <w:r w:rsidR="00E8128F">
        <w:rPr>
          <w:sz w:val="36"/>
          <w:szCs w:val="36"/>
          <w:rtl/>
        </w:rPr>
        <w:t xml:space="preserve"> </w:t>
      </w:r>
      <w:r w:rsidR="00C92D56" w:rsidRPr="00FD211F">
        <w:rPr>
          <w:sz w:val="36"/>
          <w:szCs w:val="36"/>
          <w:rtl/>
        </w:rPr>
        <w:t>مركبا</w:t>
      </w:r>
      <w:r w:rsidR="00603323" w:rsidRPr="00FD211F">
        <w:rPr>
          <w:sz w:val="36"/>
          <w:szCs w:val="36"/>
          <w:rtl/>
        </w:rPr>
        <w:t>،</w:t>
      </w:r>
      <w:r w:rsidR="00E8128F">
        <w:rPr>
          <w:sz w:val="36"/>
          <w:szCs w:val="36"/>
          <w:rtl/>
        </w:rPr>
        <w:t xml:space="preserve"> </w:t>
      </w:r>
      <w:r w:rsidR="007509B9" w:rsidRPr="00FD211F">
        <w:rPr>
          <w:sz w:val="36"/>
          <w:szCs w:val="36"/>
          <w:rtl/>
        </w:rPr>
        <w:t>فالناطق</w:t>
      </w:r>
      <w:r w:rsidR="00E8128F">
        <w:rPr>
          <w:sz w:val="36"/>
          <w:szCs w:val="36"/>
          <w:rtl/>
        </w:rPr>
        <w:t xml:space="preserve"> </w:t>
      </w:r>
      <w:r w:rsidR="007509B9" w:rsidRPr="00FD211F">
        <w:rPr>
          <w:sz w:val="36"/>
          <w:szCs w:val="36"/>
          <w:rtl/>
        </w:rPr>
        <w:t>بمعنى</w:t>
      </w:r>
      <w:r w:rsidR="00E8128F">
        <w:rPr>
          <w:sz w:val="36"/>
          <w:szCs w:val="36"/>
          <w:rtl/>
        </w:rPr>
        <w:t xml:space="preserve"> </w:t>
      </w:r>
      <w:r w:rsidR="008D7B3D" w:rsidRPr="00FD211F">
        <w:rPr>
          <w:sz w:val="36"/>
          <w:szCs w:val="36"/>
          <w:rtl/>
        </w:rPr>
        <w:t>شيء</w:t>
      </w:r>
      <w:r w:rsidR="00E8128F">
        <w:rPr>
          <w:sz w:val="36"/>
          <w:szCs w:val="36"/>
          <w:rtl/>
        </w:rPr>
        <w:t xml:space="preserve"> </w:t>
      </w:r>
      <w:r w:rsidR="007509B9" w:rsidRPr="00FD211F">
        <w:rPr>
          <w:sz w:val="36"/>
          <w:szCs w:val="36"/>
          <w:rtl/>
        </w:rPr>
        <w:t>له</w:t>
      </w:r>
      <w:r w:rsidR="00E8128F">
        <w:rPr>
          <w:sz w:val="36"/>
          <w:szCs w:val="36"/>
          <w:rtl/>
        </w:rPr>
        <w:t xml:space="preserve"> </w:t>
      </w:r>
      <w:r w:rsidR="007509B9" w:rsidRPr="00FD211F">
        <w:rPr>
          <w:sz w:val="36"/>
          <w:szCs w:val="36"/>
          <w:rtl/>
        </w:rPr>
        <w:t>الناطق</w:t>
      </w:r>
      <w:r w:rsidR="00E8128F">
        <w:rPr>
          <w:sz w:val="36"/>
          <w:szCs w:val="36"/>
          <w:rtl/>
        </w:rPr>
        <w:t xml:space="preserve"> </w:t>
      </w:r>
      <w:r w:rsidR="007509B9" w:rsidRPr="00FD211F">
        <w:rPr>
          <w:sz w:val="36"/>
          <w:szCs w:val="36"/>
          <w:rtl/>
        </w:rPr>
        <w:t>والضاحك</w:t>
      </w:r>
      <w:r w:rsidR="00E8128F">
        <w:rPr>
          <w:sz w:val="36"/>
          <w:szCs w:val="36"/>
          <w:rtl/>
        </w:rPr>
        <w:t xml:space="preserve"> </w:t>
      </w:r>
      <w:r w:rsidR="007509B9" w:rsidRPr="00FD211F">
        <w:rPr>
          <w:sz w:val="36"/>
          <w:szCs w:val="36"/>
          <w:rtl/>
        </w:rPr>
        <w:t>بمعنى</w:t>
      </w:r>
      <w:r w:rsidR="00E8128F">
        <w:rPr>
          <w:sz w:val="36"/>
          <w:szCs w:val="36"/>
          <w:rtl/>
        </w:rPr>
        <w:t xml:space="preserve"> </w:t>
      </w:r>
      <w:r w:rsidR="008D7B3D" w:rsidRPr="00FD211F">
        <w:rPr>
          <w:sz w:val="36"/>
          <w:szCs w:val="36"/>
          <w:rtl/>
        </w:rPr>
        <w:t>شيء</w:t>
      </w:r>
      <w:r w:rsidR="00E8128F">
        <w:rPr>
          <w:sz w:val="36"/>
          <w:szCs w:val="36"/>
          <w:rtl/>
        </w:rPr>
        <w:t xml:space="preserve"> </w:t>
      </w:r>
      <w:r w:rsidR="007509B9" w:rsidRPr="00FD211F">
        <w:rPr>
          <w:sz w:val="36"/>
          <w:szCs w:val="36"/>
          <w:rtl/>
        </w:rPr>
        <w:t>له</w:t>
      </w:r>
      <w:r w:rsidR="00E8128F">
        <w:rPr>
          <w:sz w:val="36"/>
          <w:szCs w:val="36"/>
          <w:rtl/>
        </w:rPr>
        <w:t xml:space="preserve"> </w:t>
      </w:r>
      <w:r w:rsidR="007509B9" w:rsidRPr="00FD211F">
        <w:rPr>
          <w:sz w:val="36"/>
          <w:szCs w:val="36"/>
          <w:rtl/>
        </w:rPr>
        <w:t>الضحك</w:t>
      </w:r>
      <w:r w:rsidR="00603323" w:rsidRPr="00FD211F">
        <w:rPr>
          <w:sz w:val="36"/>
          <w:szCs w:val="36"/>
          <w:rtl/>
        </w:rPr>
        <w:t>،</w:t>
      </w:r>
      <w:r w:rsidR="00E8128F">
        <w:rPr>
          <w:sz w:val="36"/>
          <w:szCs w:val="36"/>
          <w:rtl/>
        </w:rPr>
        <w:t xml:space="preserve"> </w:t>
      </w:r>
      <w:r w:rsidR="006D5F9B" w:rsidRPr="00FD211F">
        <w:rPr>
          <w:sz w:val="36"/>
          <w:szCs w:val="36"/>
          <w:rtl/>
        </w:rPr>
        <w:t>فيكون</w:t>
      </w:r>
      <w:r w:rsidR="00E8128F">
        <w:rPr>
          <w:sz w:val="36"/>
          <w:szCs w:val="36"/>
          <w:rtl/>
        </w:rPr>
        <w:t xml:space="preserve"> </w:t>
      </w:r>
      <w:r w:rsidR="006D5F9B" w:rsidRPr="00FD211F">
        <w:rPr>
          <w:sz w:val="36"/>
          <w:szCs w:val="36"/>
          <w:rtl/>
        </w:rPr>
        <w:t>من</w:t>
      </w:r>
      <w:r w:rsidR="00E8128F">
        <w:rPr>
          <w:sz w:val="36"/>
          <w:szCs w:val="36"/>
          <w:rtl/>
        </w:rPr>
        <w:t xml:space="preserve"> </w:t>
      </w:r>
      <w:r w:rsidR="006D5F9B" w:rsidRPr="00FD211F">
        <w:rPr>
          <w:sz w:val="36"/>
          <w:szCs w:val="36"/>
          <w:rtl/>
        </w:rPr>
        <w:t>ترتيب</w:t>
      </w:r>
      <w:r w:rsidR="00E8128F">
        <w:rPr>
          <w:sz w:val="36"/>
          <w:szCs w:val="36"/>
          <w:rtl/>
        </w:rPr>
        <w:t xml:space="preserve"> </w:t>
      </w:r>
      <w:r w:rsidR="006D5F9B" w:rsidRPr="00FD211F">
        <w:rPr>
          <w:sz w:val="36"/>
          <w:szCs w:val="36"/>
          <w:rtl/>
        </w:rPr>
        <w:t>امور</w:t>
      </w:r>
      <w:r w:rsidR="00E8128F">
        <w:rPr>
          <w:sz w:val="36"/>
          <w:szCs w:val="36"/>
          <w:rtl/>
        </w:rPr>
        <w:t xml:space="preserve"> </w:t>
      </w:r>
      <w:r w:rsidR="006D5F9B" w:rsidRPr="00FD211F">
        <w:rPr>
          <w:sz w:val="36"/>
          <w:szCs w:val="36"/>
          <w:rtl/>
        </w:rPr>
        <w:t>معلوم</w:t>
      </w:r>
      <w:r w:rsidR="00EC7EDF" w:rsidRPr="00FD211F">
        <w:rPr>
          <w:sz w:val="36"/>
          <w:szCs w:val="36"/>
          <w:rtl/>
        </w:rPr>
        <w:t>ة</w:t>
      </w:r>
      <w:r w:rsidR="00E8128F">
        <w:rPr>
          <w:sz w:val="36"/>
          <w:szCs w:val="36"/>
          <w:rtl/>
        </w:rPr>
        <w:t xml:space="preserve"> </w:t>
      </w:r>
      <w:r w:rsidR="006D5F9B" w:rsidRPr="00FD211F">
        <w:rPr>
          <w:sz w:val="36"/>
          <w:szCs w:val="36"/>
          <w:rtl/>
        </w:rPr>
        <w:t>لمعرف</w:t>
      </w:r>
      <w:r w:rsidR="00EC7EDF" w:rsidRPr="00FD211F">
        <w:rPr>
          <w:sz w:val="36"/>
          <w:szCs w:val="36"/>
          <w:rtl/>
        </w:rPr>
        <w:t>ة</w:t>
      </w:r>
      <w:r w:rsidR="00E8128F">
        <w:rPr>
          <w:sz w:val="36"/>
          <w:szCs w:val="36"/>
          <w:rtl/>
        </w:rPr>
        <w:t xml:space="preserve"> </w:t>
      </w:r>
      <w:r w:rsidR="006D5F9B" w:rsidRPr="00FD211F">
        <w:rPr>
          <w:sz w:val="36"/>
          <w:szCs w:val="36"/>
          <w:rtl/>
        </w:rPr>
        <w:t>امر</w:t>
      </w:r>
      <w:r w:rsidR="00E8128F">
        <w:rPr>
          <w:sz w:val="36"/>
          <w:szCs w:val="36"/>
          <w:rtl/>
        </w:rPr>
        <w:t xml:space="preserve"> </w:t>
      </w:r>
      <w:r w:rsidR="006D5F9B" w:rsidRPr="00FD211F">
        <w:rPr>
          <w:sz w:val="36"/>
          <w:szCs w:val="36"/>
          <w:rtl/>
        </w:rPr>
        <w:t>مجهول</w:t>
      </w:r>
      <w:r w:rsidR="009C58C8" w:rsidRPr="00FD211F">
        <w:rPr>
          <w:rStyle w:val="a6"/>
          <w:sz w:val="36"/>
          <w:szCs w:val="36"/>
          <w:rtl/>
        </w:rPr>
        <w:t>(</w:t>
      </w:r>
      <w:r w:rsidR="009C58C8" w:rsidRPr="00FD211F">
        <w:rPr>
          <w:rStyle w:val="a6"/>
          <w:sz w:val="36"/>
          <w:szCs w:val="36"/>
          <w:rtl/>
        </w:rPr>
        <w:footnoteReference w:id="574"/>
      </w:r>
      <w:r w:rsidR="009C58C8" w:rsidRPr="00FD211F">
        <w:rPr>
          <w:rStyle w:val="a6"/>
          <w:sz w:val="36"/>
          <w:szCs w:val="36"/>
          <w:rtl/>
        </w:rPr>
        <w:t>)</w:t>
      </w:r>
      <w:r w:rsidR="007509B9" w:rsidRPr="00FD211F">
        <w:rPr>
          <w:sz w:val="36"/>
          <w:szCs w:val="36"/>
          <w:rtl/>
        </w:rPr>
        <w:t>.</w:t>
      </w:r>
    </w:p>
    <w:p w14:paraId="0AC1B02F" w14:textId="77777777" w:rsidR="00F51394" w:rsidRPr="00FD211F" w:rsidRDefault="007509B9" w:rsidP="009C58C8">
      <w:pPr>
        <w:ind w:left="0" w:firstLine="227"/>
        <w:jc w:val="both"/>
        <w:rPr>
          <w:sz w:val="36"/>
          <w:szCs w:val="36"/>
          <w:rtl/>
        </w:rPr>
      </w:pPr>
      <w:r w:rsidRPr="00FD211F">
        <w:rPr>
          <w:sz w:val="36"/>
          <w:szCs w:val="36"/>
          <w:rtl/>
        </w:rPr>
        <w:t>الا</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الشريف</w:t>
      </w:r>
      <w:r w:rsidR="00E8128F">
        <w:rPr>
          <w:sz w:val="36"/>
          <w:szCs w:val="36"/>
          <w:rtl/>
        </w:rPr>
        <w:t xml:space="preserve"> </w:t>
      </w:r>
      <w:r w:rsidRPr="00FD211F">
        <w:rPr>
          <w:sz w:val="36"/>
          <w:szCs w:val="36"/>
          <w:rtl/>
        </w:rPr>
        <w:t>اورد</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حاشيته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شرح</w:t>
      </w:r>
      <w:r w:rsidR="00E8128F">
        <w:rPr>
          <w:sz w:val="36"/>
          <w:szCs w:val="36"/>
          <w:rtl/>
        </w:rPr>
        <w:t xml:space="preserve"> </w:t>
      </w:r>
      <w:r w:rsidRPr="00FD211F">
        <w:rPr>
          <w:sz w:val="36"/>
          <w:szCs w:val="36"/>
          <w:rtl/>
        </w:rPr>
        <w:t>مطالع</w:t>
      </w:r>
      <w:r w:rsidR="00E8128F">
        <w:rPr>
          <w:sz w:val="36"/>
          <w:szCs w:val="36"/>
          <w:rtl/>
        </w:rPr>
        <w:t xml:space="preserve"> </w:t>
      </w:r>
      <w:r w:rsidRPr="00FD211F">
        <w:rPr>
          <w:sz w:val="36"/>
          <w:szCs w:val="36"/>
          <w:rtl/>
        </w:rPr>
        <w:t>الانوار</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اريد</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فحيث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عرض</w:t>
      </w:r>
      <w:r w:rsidR="00E8128F">
        <w:rPr>
          <w:sz w:val="36"/>
          <w:szCs w:val="36"/>
          <w:rtl/>
        </w:rPr>
        <w:t xml:space="preserve"> </w:t>
      </w:r>
      <w:r w:rsidRPr="00FD211F">
        <w:rPr>
          <w:sz w:val="36"/>
          <w:szCs w:val="36"/>
          <w:rtl/>
        </w:rPr>
        <w:t>عام</w:t>
      </w:r>
      <w:r w:rsidR="00E8128F">
        <w:rPr>
          <w:sz w:val="36"/>
          <w:szCs w:val="36"/>
          <w:rtl/>
        </w:rPr>
        <w:t xml:space="preserve"> </w:t>
      </w:r>
      <w:r w:rsidR="00055E7A" w:rsidRPr="00FD211F">
        <w:rPr>
          <w:sz w:val="36"/>
          <w:szCs w:val="36"/>
          <w:rtl/>
        </w:rPr>
        <w:t>في</w:t>
      </w:r>
      <w:r w:rsidRPr="00FD211F">
        <w:rPr>
          <w:sz w:val="36"/>
          <w:szCs w:val="36"/>
          <w:rtl/>
        </w:rPr>
        <w:t>لزم</w:t>
      </w:r>
      <w:r w:rsidR="00E8128F">
        <w:rPr>
          <w:sz w:val="36"/>
          <w:szCs w:val="36"/>
          <w:rtl/>
        </w:rPr>
        <w:t xml:space="preserve"> </w:t>
      </w:r>
      <w:r w:rsidRPr="00FD211F">
        <w:rPr>
          <w:sz w:val="36"/>
          <w:szCs w:val="36"/>
          <w:rtl/>
        </w:rPr>
        <w:t>دخول</w:t>
      </w:r>
      <w:r w:rsidR="00E8128F">
        <w:rPr>
          <w:sz w:val="36"/>
          <w:szCs w:val="36"/>
          <w:rtl/>
        </w:rPr>
        <w:t xml:space="preserve"> </w:t>
      </w:r>
      <w:r w:rsidRPr="00FD211F">
        <w:rPr>
          <w:sz w:val="36"/>
          <w:szCs w:val="36"/>
          <w:rtl/>
        </w:rPr>
        <w:t>العرض</w:t>
      </w:r>
      <w:r w:rsidR="00E8128F">
        <w:rPr>
          <w:sz w:val="36"/>
          <w:szCs w:val="36"/>
          <w:rtl/>
        </w:rPr>
        <w:t xml:space="preserve"> </w:t>
      </w:r>
      <w:r w:rsidRPr="00FD211F">
        <w:rPr>
          <w:sz w:val="36"/>
          <w:szCs w:val="36"/>
          <w:rtl/>
        </w:rPr>
        <w:t>العام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الفصل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كلم</w:t>
      </w:r>
      <w:r w:rsidR="00EC7EDF" w:rsidRPr="00FD211F">
        <w:rPr>
          <w:sz w:val="36"/>
          <w:szCs w:val="36"/>
          <w:rtl/>
        </w:rPr>
        <w:t>ة</w:t>
      </w:r>
      <w:r w:rsidR="00E8128F">
        <w:rPr>
          <w:sz w:val="36"/>
          <w:szCs w:val="36"/>
          <w:rtl/>
        </w:rPr>
        <w:t xml:space="preserve"> </w:t>
      </w:r>
      <w:r w:rsidRPr="00FD211F">
        <w:rPr>
          <w:sz w:val="36"/>
          <w:szCs w:val="36"/>
          <w:rtl/>
        </w:rPr>
        <w:t>الناطق</w:t>
      </w:r>
      <w:r w:rsidR="00E8128F">
        <w:rPr>
          <w:sz w:val="36"/>
          <w:szCs w:val="36"/>
          <w:rtl/>
        </w:rPr>
        <w:t xml:space="preserve"> </w:t>
      </w:r>
      <w:r w:rsidR="00055E7A" w:rsidRPr="00FD211F">
        <w:rPr>
          <w:sz w:val="36"/>
          <w:szCs w:val="36"/>
          <w:rtl/>
        </w:rPr>
        <w:t>الذي</w:t>
      </w:r>
      <w:r w:rsidR="00E8128F">
        <w:rPr>
          <w:sz w:val="36"/>
          <w:szCs w:val="36"/>
          <w:rtl/>
        </w:rPr>
        <w:t xml:space="preserve"> </w:t>
      </w:r>
      <w:r w:rsidR="00055E7A" w:rsidRPr="00FD211F">
        <w:rPr>
          <w:sz w:val="36"/>
          <w:szCs w:val="36"/>
          <w:rtl/>
        </w:rPr>
        <w:t>هو</w:t>
      </w:r>
      <w:r w:rsidR="00E8128F">
        <w:rPr>
          <w:sz w:val="36"/>
          <w:szCs w:val="36"/>
          <w:rtl/>
        </w:rPr>
        <w:t xml:space="preserve"> </w:t>
      </w:r>
      <w:r w:rsidR="00055E7A" w:rsidRPr="00FD211F">
        <w:rPr>
          <w:sz w:val="36"/>
          <w:szCs w:val="36"/>
          <w:rtl/>
        </w:rPr>
        <w:t>فصل</w:t>
      </w:r>
      <w:r w:rsidR="00E8128F">
        <w:rPr>
          <w:sz w:val="36"/>
          <w:szCs w:val="36"/>
          <w:rtl/>
        </w:rPr>
        <w:t xml:space="preserve"> </w:t>
      </w:r>
      <w:r w:rsidR="00055E7A" w:rsidRPr="00FD211F">
        <w:rPr>
          <w:sz w:val="36"/>
          <w:szCs w:val="36"/>
          <w:rtl/>
        </w:rPr>
        <w:t>للانسان</w:t>
      </w:r>
      <w:r w:rsidR="00603323" w:rsidRPr="00FD211F">
        <w:rPr>
          <w:sz w:val="36"/>
          <w:szCs w:val="36"/>
          <w:rtl/>
        </w:rPr>
        <w:t>،</w:t>
      </w:r>
      <w:r w:rsidR="00E8128F">
        <w:rPr>
          <w:sz w:val="36"/>
          <w:szCs w:val="36"/>
          <w:rtl/>
        </w:rPr>
        <w:t xml:space="preserve"> </w:t>
      </w:r>
      <w:r w:rsidR="00055E7A" w:rsidRPr="00FD211F">
        <w:rPr>
          <w:sz w:val="36"/>
          <w:szCs w:val="36"/>
          <w:rtl/>
        </w:rPr>
        <w:t>واشتمال</w:t>
      </w:r>
      <w:r w:rsidR="00E8128F">
        <w:rPr>
          <w:sz w:val="36"/>
          <w:szCs w:val="36"/>
          <w:rtl/>
        </w:rPr>
        <w:t xml:space="preserve"> </w:t>
      </w:r>
      <w:r w:rsidR="00055E7A" w:rsidRPr="00FD211F">
        <w:rPr>
          <w:sz w:val="36"/>
          <w:szCs w:val="36"/>
          <w:rtl/>
        </w:rPr>
        <w:t>الذاتي</w:t>
      </w:r>
      <w:r w:rsidR="00E8128F">
        <w:rPr>
          <w:sz w:val="36"/>
          <w:szCs w:val="36"/>
          <w:rtl/>
        </w:rPr>
        <w:t xml:space="preserve"> </w:t>
      </w:r>
      <w:r w:rsidR="00055E7A" w:rsidRPr="00FD211F">
        <w:rPr>
          <w:sz w:val="36"/>
          <w:szCs w:val="36"/>
          <w:rtl/>
        </w:rPr>
        <w:t>كالفصل</w:t>
      </w:r>
      <w:r w:rsidR="00E8128F">
        <w:rPr>
          <w:sz w:val="36"/>
          <w:szCs w:val="36"/>
          <w:rtl/>
        </w:rPr>
        <w:t xml:space="preserve"> </w:t>
      </w:r>
      <w:r w:rsidR="00055E7A" w:rsidRPr="00FD211F">
        <w:rPr>
          <w:sz w:val="36"/>
          <w:szCs w:val="36"/>
          <w:rtl/>
        </w:rPr>
        <w:t>على</w:t>
      </w:r>
      <w:r w:rsidR="00E8128F">
        <w:rPr>
          <w:sz w:val="36"/>
          <w:szCs w:val="36"/>
          <w:rtl/>
        </w:rPr>
        <w:t xml:space="preserve"> </w:t>
      </w:r>
      <w:r w:rsidR="00055E7A" w:rsidRPr="00FD211F">
        <w:rPr>
          <w:sz w:val="36"/>
          <w:szCs w:val="36"/>
          <w:rtl/>
        </w:rPr>
        <w:t>العرضي</w:t>
      </w:r>
      <w:r w:rsidR="00E8128F">
        <w:rPr>
          <w:sz w:val="36"/>
          <w:szCs w:val="36"/>
          <w:rtl/>
        </w:rPr>
        <w:t xml:space="preserve"> </w:t>
      </w:r>
      <w:r w:rsidR="00055E7A" w:rsidRPr="00FD211F">
        <w:rPr>
          <w:sz w:val="36"/>
          <w:szCs w:val="36"/>
          <w:rtl/>
        </w:rPr>
        <w:t>محال</w:t>
      </w:r>
      <w:r w:rsidR="00603323" w:rsidRPr="00FD211F">
        <w:rPr>
          <w:sz w:val="36"/>
          <w:szCs w:val="36"/>
          <w:rtl/>
        </w:rPr>
        <w:t>،</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اريد</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مصداق</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كلم</w:t>
      </w:r>
      <w:r w:rsidR="00EC7EDF" w:rsidRPr="00FD211F">
        <w:rPr>
          <w:sz w:val="36"/>
          <w:szCs w:val="36"/>
          <w:rtl/>
        </w:rPr>
        <w:t>ة</w:t>
      </w:r>
      <w:r w:rsidR="00E8128F">
        <w:rPr>
          <w:sz w:val="36"/>
          <w:szCs w:val="36"/>
          <w:rtl/>
        </w:rPr>
        <w:t xml:space="preserve"> </w:t>
      </w:r>
      <w:r w:rsidRPr="00FD211F">
        <w:rPr>
          <w:sz w:val="36"/>
          <w:szCs w:val="36"/>
          <w:rtl/>
        </w:rPr>
        <w:t>الناطق</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الضاحك</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انسان</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النطق</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الضحك</w:t>
      </w:r>
      <w:r w:rsidR="00E8128F">
        <w:rPr>
          <w:sz w:val="36"/>
          <w:szCs w:val="36"/>
          <w:rtl/>
        </w:rPr>
        <w:t xml:space="preserve"> </w:t>
      </w:r>
      <w:r w:rsidR="00055E7A" w:rsidRPr="00FD211F">
        <w:rPr>
          <w:sz w:val="36"/>
          <w:szCs w:val="36"/>
          <w:rtl/>
        </w:rPr>
        <w:t>في</w:t>
      </w:r>
      <w:r w:rsidRPr="00FD211F">
        <w:rPr>
          <w:sz w:val="36"/>
          <w:szCs w:val="36"/>
          <w:rtl/>
        </w:rPr>
        <w:t>لزم</w:t>
      </w:r>
      <w:r w:rsidR="00E8128F">
        <w:rPr>
          <w:sz w:val="36"/>
          <w:szCs w:val="36"/>
          <w:rtl/>
        </w:rPr>
        <w:t xml:space="preserve"> </w:t>
      </w:r>
      <w:r w:rsidRPr="00FD211F">
        <w:rPr>
          <w:sz w:val="36"/>
          <w:szCs w:val="36"/>
          <w:rtl/>
        </w:rPr>
        <w:t>انقلاب</w:t>
      </w:r>
      <w:r w:rsidR="00E8128F">
        <w:rPr>
          <w:sz w:val="36"/>
          <w:szCs w:val="36"/>
          <w:rtl/>
        </w:rPr>
        <w:t xml:space="preserve"> </w:t>
      </w:r>
      <w:r w:rsidRPr="00FD211F">
        <w:rPr>
          <w:sz w:val="36"/>
          <w:szCs w:val="36"/>
          <w:rtl/>
        </w:rPr>
        <w:t>قولنا</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ضاحك</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قضي</w:t>
      </w:r>
      <w:r w:rsidR="00EC7EDF" w:rsidRPr="00FD211F">
        <w:rPr>
          <w:sz w:val="36"/>
          <w:szCs w:val="36"/>
          <w:rtl/>
        </w:rPr>
        <w:t>ة</w:t>
      </w:r>
      <w:r w:rsidR="00E8128F">
        <w:rPr>
          <w:sz w:val="36"/>
          <w:szCs w:val="36"/>
          <w:rtl/>
        </w:rPr>
        <w:t xml:space="preserve"> </w:t>
      </w:r>
      <w:r w:rsidRPr="00FD211F">
        <w:rPr>
          <w:sz w:val="36"/>
          <w:szCs w:val="36"/>
          <w:rtl/>
        </w:rPr>
        <w:t>ضروري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لان</w:t>
      </w:r>
      <w:r w:rsidR="00E8128F">
        <w:rPr>
          <w:sz w:val="36"/>
          <w:szCs w:val="36"/>
          <w:rtl/>
        </w:rPr>
        <w:t xml:space="preserve"> </w:t>
      </w:r>
      <w:r w:rsidRPr="00FD211F">
        <w:rPr>
          <w:sz w:val="36"/>
          <w:szCs w:val="36"/>
          <w:rtl/>
        </w:rPr>
        <w:t>مفاده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انسان</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الضحك</w:t>
      </w:r>
      <w:r w:rsidR="00E8128F">
        <w:rPr>
          <w:sz w:val="36"/>
          <w:szCs w:val="36"/>
          <w:rtl/>
        </w:rPr>
        <w:t xml:space="preserve"> </w:t>
      </w:r>
      <w:r w:rsidRPr="00FD211F">
        <w:rPr>
          <w:sz w:val="36"/>
          <w:szCs w:val="36"/>
          <w:rtl/>
        </w:rPr>
        <w:t>وثبوت</w:t>
      </w:r>
      <w:r w:rsidR="00E8128F">
        <w:rPr>
          <w:sz w:val="36"/>
          <w:szCs w:val="36"/>
          <w:rtl/>
        </w:rPr>
        <w:t xml:space="preserve"> </w:t>
      </w:r>
      <w:r w:rsidRPr="00FD211F">
        <w:rPr>
          <w:sz w:val="36"/>
          <w:szCs w:val="36"/>
          <w:rtl/>
        </w:rPr>
        <w:t>الانساني</w:t>
      </w:r>
      <w:r w:rsidR="00EC7EDF" w:rsidRPr="00FD211F">
        <w:rPr>
          <w:sz w:val="36"/>
          <w:szCs w:val="36"/>
          <w:rtl/>
        </w:rPr>
        <w:t>ة</w:t>
      </w:r>
      <w:r w:rsidR="00E8128F">
        <w:rPr>
          <w:sz w:val="36"/>
          <w:szCs w:val="36"/>
          <w:rtl/>
        </w:rPr>
        <w:t xml:space="preserve"> </w:t>
      </w:r>
      <w:r w:rsidRPr="00FD211F">
        <w:rPr>
          <w:sz w:val="36"/>
          <w:szCs w:val="36"/>
          <w:rtl/>
        </w:rPr>
        <w:t>للانسان</w:t>
      </w:r>
      <w:r w:rsidR="00E8128F">
        <w:rPr>
          <w:sz w:val="36"/>
          <w:szCs w:val="36"/>
          <w:rtl/>
        </w:rPr>
        <w:t xml:space="preserve"> </w:t>
      </w:r>
      <w:r w:rsidRPr="00FD211F">
        <w:rPr>
          <w:sz w:val="36"/>
          <w:szCs w:val="36"/>
          <w:rtl/>
        </w:rPr>
        <w:t>ضروري</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قولنا</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ضاحك</w:t>
      </w:r>
      <w:r w:rsidR="00E8128F">
        <w:rPr>
          <w:sz w:val="36"/>
          <w:szCs w:val="36"/>
          <w:rtl/>
        </w:rPr>
        <w:t xml:space="preserve"> </w:t>
      </w:r>
      <w:r w:rsidRPr="00FD211F">
        <w:rPr>
          <w:sz w:val="36"/>
          <w:szCs w:val="36"/>
          <w:rtl/>
        </w:rPr>
        <w:t>قضي</w:t>
      </w:r>
      <w:r w:rsidR="00EC7EDF" w:rsidRPr="00FD211F">
        <w:rPr>
          <w:sz w:val="36"/>
          <w:szCs w:val="36"/>
          <w:rtl/>
        </w:rPr>
        <w:t>ة</w:t>
      </w:r>
      <w:r w:rsidR="00E8128F">
        <w:rPr>
          <w:sz w:val="36"/>
          <w:szCs w:val="36"/>
          <w:rtl/>
        </w:rPr>
        <w:t xml:space="preserve"> </w:t>
      </w:r>
      <w:r w:rsidRPr="00FD211F">
        <w:rPr>
          <w:sz w:val="36"/>
          <w:szCs w:val="36"/>
          <w:rtl/>
        </w:rPr>
        <w:t>ممكن</w:t>
      </w:r>
      <w:r w:rsidR="00EC7EDF" w:rsidRPr="00FD211F">
        <w:rPr>
          <w:sz w:val="36"/>
          <w:szCs w:val="36"/>
          <w:rtl/>
        </w:rPr>
        <w:t>ة</w:t>
      </w:r>
      <w:r w:rsidR="00E8128F">
        <w:rPr>
          <w:sz w:val="36"/>
          <w:szCs w:val="36"/>
          <w:rtl/>
        </w:rPr>
        <w:t xml:space="preserve"> </w:t>
      </w:r>
      <w:r w:rsidRPr="00FD211F">
        <w:rPr>
          <w:sz w:val="36"/>
          <w:szCs w:val="36"/>
          <w:rtl/>
        </w:rPr>
        <w:t>خاص</w:t>
      </w:r>
      <w:r w:rsidR="00EC7EDF" w:rsidRPr="00FD211F">
        <w:rPr>
          <w:sz w:val="36"/>
          <w:szCs w:val="36"/>
          <w:rtl/>
        </w:rPr>
        <w:t>ة</w:t>
      </w:r>
      <w:r w:rsidR="00A61BAE" w:rsidRPr="00FD211F">
        <w:rPr>
          <w:sz w:val="36"/>
          <w:szCs w:val="36"/>
          <w:rtl/>
        </w:rPr>
        <w:t>.</w:t>
      </w:r>
    </w:p>
    <w:p w14:paraId="4390A8C8" w14:textId="77777777" w:rsidR="00475B85" w:rsidRPr="00FD211F" w:rsidRDefault="00055E7A" w:rsidP="009C58C8">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فهم</w:t>
      </w:r>
      <w:r w:rsidR="00E8128F">
        <w:rPr>
          <w:sz w:val="36"/>
          <w:szCs w:val="36"/>
          <w:rtl/>
        </w:rPr>
        <w:t xml:space="preserve"> </w:t>
      </w:r>
      <w:r w:rsidR="00F51394" w:rsidRPr="00FD211F">
        <w:rPr>
          <w:sz w:val="36"/>
          <w:szCs w:val="36"/>
          <w:rtl/>
        </w:rPr>
        <w:t>صاحب</w:t>
      </w:r>
      <w:r w:rsidR="00E8128F">
        <w:rPr>
          <w:sz w:val="36"/>
          <w:szCs w:val="36"/>
          <w:rtl/>
        </w:rPr>
        <w:t xml:space="preserve"> </w:t>
      </w:r>
      <w:r w:rsidR="00F51394" w:rsidRPr="00FD211F">
        <w:rPr>
          <w:sz w:val="36"/>
          <w:szCs w:val="36"/>
          <w:rtl/>
        </w:rPr>
        <w:t>الكفاي</w:t>
      </w:r>
      <w:r w:rsidR="00EC7EDF" w:rsidRPr="00FD211F">
        <w:rPr>
          <w:sz w:val="36"/>
          <w:szCs w:val="36"/>
          <w:rtl/>
        </w:rPr>
        <w:t>ة</w:t>
      </w:r>
      <w:r w:rsidR="00E8128F">
        <w:rPr>
          <w:sz w:val="36"/>
          <w:szCs w:val="36"/>
          <w:rtl/>
        </w:rPr>
        <w:t xml:space="preserve"> </w:t>
      </w:r>
      <w:r w:rsidR="008E3BE6" w:rsidRPr="00FD211F">
        <w:rPr>
          <w:sz w:val="36"/>
          <w:szCs w:val="36"/>
          <w:rtl/>
        </w:rPr>
        <w:t>"قده"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كلام</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الشريف</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انما</w:t>
      </w:r>
      <w:r w:rsidR="00E8128F">
        <w:rPr>
          <w:sz w:val="36"/>
          <w:szCs w:val="36"/>
          <w:rtl/>
        </w:rPr>
        <w:t xml:space="preserve"> </w:t>
      </w:r>
      <w:r w:rsidRPr="00FD211F">
        <w:rPr>
          <w:sz w:val="36"/>
          <w:szCs w:val="36"/>
          <w:rtl/>
        </w:rPr>
        <w:t>ينكر</w:t>
      </w:r>
      <w:r w:rsidR="00E8128F">
        <w:rPr>
          <w:sz w:val="36"/>
          <w:szCs w:val="36"/>
          <w:rtl/>
        </w:rPr>
        <w:t xml:space="preserve"> </w:t>
      </w:r>
      <w:r w:rsidRPr="00FD211F">
        <w:rPr>
          <w:sz w:val="36"/>
          <w:szCs w:val="36"/>
          <w:rtl/>
        </w:rPr>
        <w:t>التركيب</w:t>
      </w:r>
      <w:r w:rsidR="00E8128F">
        <w:rPr>
          <w:sz w:val="36"/>
          <w:szCs w:val="36"/>
          <w:rtl/>
        </w:rPr>
        <w:t xml:space="preserve"> </w:t>
      </w:r>
      <w:r w:rsidRPr="00FD211F">
        <w:rPr>
          <w:sz w:val="36"/>
          <w:szCs w:val="36"/>
          <w:rtl/>
        </w:rPr>
        <w:t>التصوري</w:t>
      </w:r>
      <w:r w:rsidR="00E8128F">
        <w:rPr>
          <w:sz w:val="36"/>
          <w:szCs w:val="36"/>
          <w:rtl/>
        </w:rPr>
        <w:t xml:space="preserve"> </w:t>
      </w:r>
      <w:r w:rsidRPr="00FD211F">
        <w:rPr>
          <w:sz w:val="36"/>
          <w:szCs w:val="36"/>
          <w:rtl/>
        </w:rPr>
        <w:t>للمشتق</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التركيب</w:t>
      </w:r>
      <w:r w:rsidR="00E8128F">
        <w:rPr>
          <w:sz w:val="36"/>
          <w:szCs w:val="36"/>
          <w:rtl/>
        </w:rPr>
        <w:t xml:space="preserve"> </w:t>
      </w:r>
      <w:r w:rsidRPr="00FD211F">
        <w:rPr>
          <w:sz w:val="36"/>
          <w:szCs w:val="36"/>
          <w:rtl/>
        </w:rPr>
        <w:t>التحليلي</w:t>
      </w:r>
      <w:r w:rsidR="00E8128F">
        <w:rPr>
          <w:sz w:val="36"/>
          <w:szCs w:val="36"/>
          <w:rtl/>
        </w:rPr>
        <w:t xml:space="preserve"> </w:t>
      </w:r>
      <w:r w:rsidRPr="00FD211F">
        <w:rPr>
          <w:sz w:val="36"/>
          <w:szCs w:val="36"/>
          <w:rtl/>
        </w:rPr>
        <w:t>له</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00F51394" w:rsidRPr="00FD211F">
        <w:rPr>
          <w:sz w:val="36"/>
          <w:szCs w:val="36"/>
          <w:rtl/>
        </w:rPr>
        <w:t>ان</w:t>
      </w:r>
      <w:r w:rsidR="00E8128F">
        <w:rPr>
          <w:sz w:val="36"/>
          <w:szCs w:val="36"/>
          <w:rtl/>
        </w:rPr>
        <w:t xml:space="preserve"> </w:t>
      </w:r>
      <w:r w:rsidR="00F51394" w:rsidRPr="00FD211F">
        <w:rPr>
          <w:sz w:val="36"/>
          <w:szCs w:val="36"/>
          <w:rtl/>
        </w:rPr>
        <w:t>مفهوم</w:t>
      </w:r>
      <w:r w:rsidR="00E8128F">
        <w:rPr>
          <w:sz w:val="36"/>
          <w:szCs w:val="36"/>
          <w:rtl/>
        </w:rPr>
        <w:t xml:space="preserve"> </w:t>
      </w:r>
      <w:r w:rsidR="00F51394" w:rsidRPr="00FD211F">
        <w:rPr>
          <w:sz w:val="36"/>
          <w:szCs w:val="36"/>
          <w:rtl/>
        </w:rPr>
        <w:t>المشتق</w:t>
      </w:r>
      <w:r w:rsidR="00E8128F">
        <w:rPr>
          <w:sz w:val="36"/>
          <w:szCs w:val="36"/>
          <w:rtl/>
        </w:rPr>
        <w:t xml:space="preserve"> </w:t>
      </w:r>
      <w:r w:rsidR="00F51394" w:rsidRPr="00FD211F">
        <w:rPr>
          <w:sz w:val="36"/>
          <w:szCs w:val="36"/>
          <w:rtl/>
        </w:rPr>
        <w:t>على</w:t>
      </w:r>
      <w:r w:rsidR="00E8128F">
        <w:rPr>
          <w:sz w:val="36"/>
          <w:szCs w:val="36"/>
          <w:rtl/>
        </w:rPr>
        <w:t xml:space="preserve"> </w:t>
      </w:r>
      <w:r w:rsidR="00F51394" w:rsidRPr="00FD211F">
        <w:rPr>
          <w:sz w:val="36"/>
          <w:szCs w:val="36"/>
          <w:rtl/>
        </w:rPr>
        <w:t>ما</w:t>
      </w:r>
      <w:r w:rsidR="00E8128F">
        <w:rPr>
          <w:sz w:val="36"/>
          <w:szCs w:val="36"/>
          <w:rtl/>
        </w:rPr>
        <w:t xml:space="preserve"> </w:t>
      </w:r>
      <w:r w:rsidR="00F51394" w:rsidRPr="00FD211F">
        <w:rPr>
          <w:sz w:val="36"/>
          <w:szCs w:val="36"/>
          <w:rtl/>
        </w:rPr>
        <w:t>حققه</w:t>
      </w:r>
      <w:r w:rsidR="00E8128F">
        <w:rPr>
          <w:sz w:val="36"/>
          <w:szCs w:val="36"/>
          <w:rtl/>
        </w:rPr>
        <w:t xml:space="preserve"> </w:t>
      </w:r>
      <w:r w:rsidR="00F51394" w:rsidRPr="00FD211F">
        <w:rPr>
          <w:sz w:val="36"/>
          <w:szCs w:val="36"/>
          <w:rtl/>
        </w:rPr>
        <w:t>الشريف</w:t>
      </w:r>
      <w:r w:rsidR="00E8128F">
        <w:rPr>
          <w:sz w:val="36"/>
          <w:szCs w:val="36"/>
          <w:rtl/>
        </w:rPr>
        <w:t xml:space="preserve"> </w:t>
      </w:r>
      <w:r w:rsidR="00F51394" w:rsidRPr="00FD211F">
        <w:rPr>
          <w:sz w:val="36"/>
          <w:szCs w:val="36"/>
          <w:rtl/>
        </w:rPr>
        <w:t>بسيط</w:t>
      </w:r>
      <w:r w:rsidR="00E8128F">
        <w:rPr>
          <w:sz w:val="36"/>
          <w:szCs w:val="36"/>
          <w:rtl/>
        </w:rPr>
        <w:t xml:space="preserve"> </w:t>
      </w:r>
      <w:r w:rsidR="00F51394" w:rsidRPr="00FD211F">
        <w:rPr>
          <w:sz w:val="36"/>
          <w:szCs w:val="36"/>
          <w:rtl/>
        </w:rPr>
        <w:t>منتزع</w:t>
      </w:r>
      <w:r w:rsidR="00E8128F">
        <w:rPr>
          <w:sz w:val="36"/>
          <w:szCs w:val="36"/>
          <w:rtl/>
        </w:rPr>
        <w:t xml:space="preserve"> </w:t>
      </w:r>
      <w:r w:rsidR="00F51394" w:rsidRPr="00FD211F">
        <w:rPr>
          <w:sz w:val="36"/>
          <w:szCs w:val="36"/>
          <w:rtl/>
        </w:rPr>
        <w:t>عن</w:t>
      </w:r>
      <w:r w:rsidR="00E8128F">
        <w:rPr>
          <w:sz w:val="36"/>
          <w:szCs w:val="36"/>
          <w:rtl/>
        </w:rPr>
        <w:t xml:space="preserve"> </w:t>
      </w:r>
      <w:r w:rsidR="00F51394" w:rsidRPr="00FD211F">
        <w:rPr>
          <w:sz w:val="36"/>
          <w:szCs w:val="36"/>
          <w:rtl/>
        </w:rPr>
        <w:t>الذات</w:t>
      </w:r>
      <w:r w:rsidR="00E8128F">
        <w:rPr>
          <w:sz w:val="36"/>
          <w:szCs w:val="36"/>
          <w:rtl/>
        </w:rPr>
        <w:t xml:space="preserve"> </w:t>
      </w:r>
      <w:r w:rsidR="00F51394" w:rsidRPr="00FD211F">
        <w:rPr>
          <w:sz w:val="36"/>
          <w:szCs w:val="36"/>
          <w:rtl/>
        </w:rPr>
        <w:t>باعتبار</w:t>
      </w:r>
      <w:r w:rsidR="00E8128F">
        <w:rPr>
          <w:sz w:val="36"/>
          <w:szCs w:val="36"/>
          <w:rtl/>
        </w:rPr>
        <w:t xml:space="preserve"> </w:t>
      </w:r>
      <w:r w:rsidR="00F51394" w:rsidRPr="00FD211F">
        <w:rPr>
          <w:sz w:val="36"/>
          <w:szCs w:val="36"/>
          <w:rtl/>
        </w:rPr>
        <w:t>تلبسها</w:t>
      </w:r>
      <w:r w:rsidR="00E8128F">
        <w:rPr>
          <w:sz w:val="36"/>
          <w:szCs w:val="36"/>
          <w:rtl/>
        </w:rPr>
        <w:t xml:space="preserve"> </w:t>
      </w:r>
      <w:r w:rsidR="00F51394" w:rsidRPr="00FD211F">
        <w:rPr>
          <w:sz w:val="36"/>
          <w:szCs w:val="36"/>
          <w:rtl/>
        </w:rPr>
        <w:t>بالمبدأ</w:t>
      </w:r>
      <w:r w:rsidR="00603323" w:rsidRPr="00FD211F">
        <w:rPr>
          <w:sz w:val="36"/>
          <w:szCs w:val="36"/>
          <w:rtl/>
        </w:rPr>
        <w:t>،</w:t>
      </w:r>
      <w:r w:rsidR="00E8128F">
        <w:rPr>
          <w:sz w:val="36"/>
          <w:szCs w:val="36"/>
          <w:rtl/>
        </w:rPr>
        <w:t xml:space="preserve"> </w:t>
      </w:r>
      <w:r w:rsidRPr="00FD211F">
        <w:rPr>
          <w:sz w:val="36"/>
          <w:szCs w:val="36"/>
          <w:rtl/>
        </w:rPr>
        <w:t>وان</w:t>
      </w:r>
      <w:r w:rsidR="00E8128F">
        <w:rPr>
          <w:sz w:val="36"/>
          <w:szCs w:val="36"/>
          <w:rtl/>
        </w:rPr>
        <w:t xml:space="preserve"> </w:t>
      </w:r>
      <w:r w:rsidR="00F51394" w:rsidRPr="00FD211F">
        <w:rPr>
          <w:sz w:val="36"/>
          <w:szCs w:val="36"/>
          <w:rtl/>
        </w:rPr>
        <w:t>بساط</w:t>
      </w:r>
      <w:r w:rsidR="00EC7EDF" w:rsidRPr="00FD211F">
        <w:rPr>
          <w:sz w:val="36"/>
          <w:szCs w:val="36"/>
          <w:rtl/>
        </w:rPr>
        <w:t>ة</w:t>
      </w:r>
      <w:r w:rsidR="00E8128F">
        <w:rPr>
          <w:sz w:val="36"/>
          <w:szCs w:val="36"/>
          <w:rtl/>
        </w:rPr>
        <w:t xml:space="preserve"> </w:t>
      </w:r>
      <w:r w:rsidRPr="00FD211F">
        <w:rPr>
          <w:sz w:val="36"/>
          <w:szCs w:val="36"/>
          <w:rtl/>
        </w:rPr>
        <w:t>معنى</w:t>
      </w:r>
      <w:r w:rsidR="00E8128F">
        <w:rPr>
          <w:sz w:val="36"/>
          <w:szCs w:val="36"/>
          <w:rtl/>
        </w:rPr>
        <w:t xml:space="preserve"> </w:t>
      </w:r>
      <w:r w:rsidR="00F51394" w:rsidRPr="00FD211F">
        <w:rPr>
          <w:sz w:val="36"/>
          <w:szCs w:val="36"/>
          <w:rtl/>
        </w:rPr>
        <w:t>المشتق</w:t>
      </w:r>
      <w:r w:rsidR="00E8128F">
        <w:rPr>
          <w:sz w:val="36"/>
          <w:szCs w:val="36"/>
          <w:rtl/>
        </w:rPr>
        <w:t xml:space="preserve"> </w:t>
      </w:r>
      <w:r w:rsidR="00475B85" w:rsidRPr="00FD211F">
        <w:rPr>
          <w:sz w:val="36"/>
          <w:szCs w:val="36"/>
          <w:rtl/>
        </w:rPr>
        <w:t>هو</w:t>
      </w:r>
      <w:r w:rsidR="00E8128F">
        <w:rPr>
          <w:sz w:val="36"/>
          <w:szCs w:val="36"/>
          <w:rtl/>
        </w:rPr>
        <w:t xml:space="preserve"> </w:t>
      </w:r>
      <w:r w:rsidR="00F51394" w:rsidRPr="00FD211F">
        <w:rPr>
          <w:sz w:val="36"/>
          <w:szCs w:val="36"/>
          <w:rtl/>
        </w:rPr>
        <w:t>وحدته</w:t>
      </w:r>
      <w:r w:rsidR="00E8128F">
        <w:rPr>
          <w:sz w:val="36"/>
          <w:szCs w:val="36"/>
          <w:rtl/>
        </w:rPr>
        <w:t xml:space="preserve"> </w:t>
      </w:r>
      <w:r w:rsidR="00F51394" w:rsidRPr="00FD211F">
        <w:rPr>
          <w:sz w:val="36"/>
          <w:szCs w:val="36"/>
          <w:rtl/>
        </w:rPr>
        <w:t>ادراكا</w:t>
      </w:r>
      <w:r w:rsidR="00E8128F">
        <w:rPr>
          <w:sz w:val="36"/>
          <w:szCs w:val="36"/>
          <w:rtl/>
        </w:rPr>
        <w:t xml:space="preserve"> </w:t>
      </w:r>
      <w:r w:rsidR="00F51394" w:rsidRPr="00FD211F">
        <w:rPr>
          <w:sz w:val="36"/>
          <w:szCs w:val="36"/>
          <w:rtl/>
        </w:rPr>
        <w:t>وتصورا</w:t>
      </w:r>
      <w:r w:rsidR="00E8128F">
        <w:rPr>
          <w:sz w:val="36"/>
          <w:szCs w:val="36"/>
          <w:rtl/>
        </w:rPr>
        <w:t xml:space="preserve"> </w:t>
      </w:r>
      <w:r w:rsidR="00F51394" w:rsidRPr="00FD211F">
        <w:rPr>
          <w:sz w:val="36"/>
          <w:szCs w:val="36"/>
          <w:rtl/>
        </w:rPr>
        <w:t>بحيث</w:t>
      </w:r>
      <w:r w:rsidR="00E8128F">
        <w:rPr>
          <w:sz w:val="36"/>
          <w:szCs w:val="36"/>
          <w:rtl/>
        </w:rPr>
        <w:t xml:space="preserve"> </w:t>
      </w:r>
      <w:r w:rsidR="00F51394" w:rsidRPr="00FD211F">
        <w:rPr>
          <w:sz w:val="36"/>
          <w:szCs w:val="36"/>
          <w:rtl/>
        </w:rPr>
        <w:t>لايتصور</w:t>
      </w:r>
      <w:r w:rsidR="00E8128F">
        <w:rPr>
          <w:sz w:val="36"/>
          <w:szCs w:val="36"/>
          <w:rtl/>
        </w:rPr>
        <w:t xml:space="preserve"> </w:t>
      </w:r>
      <w:r w:rsidR="00F51394" w:rsidRPr="00FD211F">
        <w:rPr>
          <w:sz w:val="36"/>
          <w:szCs w:val="36"/>
          <w:rtl/>
        </w:rPr>
        <w:t>الا</w:t>
      </w:r>
      <w:r w:rsidR="00E8128F">
        <w:rPr>
          <w:sz w:val="36"/>
          <w:szCs w:val="36"/>
          <w:rtl/>
        </w:rPr>
        <w:t xml:space="preserve"> </w:t>
      </w:r>
      <w:r w:rsidR="008D7B3D" w:rsidRPr="00FD211F">
        <w:rPr>
          <w:sz w:val="36"/>
          <w:szCs w:val="36"/>
          <w:rtl/>
        </w:rPr>
        <w:t>شيء</w:t>
      </w:r>
      <w:r w:rsidR="00E8128F">
        <w:rPr>
          <w:sz w:val="36"/>
          <w:szCs w:val="36"/>
          <w:rtl/>
        </w:rPr>
        <w:t xml:space="preserve"> </w:t>
      </w:r>
      <w:r w:rsidR="00F51394" w:rsidRPr="00FD211F">
        <w:rPr>
          <w:sz w:val="36"/>
          <w:szCs w:val="36"/>
          <w:rtl/>
        </w:rPr>
        <w:t>واحد</w:t>
      </w:r>
      <w:r w:rsidR="00E8128F">
        <w:rPr>
          <w:sz w:val="36"/>
          <w:szCs w:val="36"/>
          <w:rtl/>
        </w:rPr>
        <w:t xml:space="preserve"> </w:t>
      </w:r>
      <w:r w:rsidR="00F51394" w:rsidRPr="00FD211F">
        <w:rPr>
          <w:sz w:val="36"/>
          <w:szCs w:val="36"/>
          <w:rtl/>
        </w:rPr>
        <w:t>لاشيئان</w:t>
      </w:r>
      <w:r w:rsidR="00E8128F">
        <w:rPr>
          <w:sz w:val="36"/>
          <w:szCs w:val="36"/>
          <w:rtl/>
        </w:rPr>
        <w:t xml:space="preserve"> </w:t>
      </w:r>
      <w:r w:rsidR="00F51394" w:rsidRPr="00FD211F">
        <w:rPr>
          <w:sz w:val="36"/>
          <w:szCs w:val="36"/>
          <w:rtl/>
        </w:rPr>
        <w:t>وان</w:t>
      </w:r>
      <w:r w:rsidR="00E8128F">
        <w:rPr>
          <w:sz w:val="36"/>
          <w:szCs w:val="36"/>
          <w:rtl/>
        </w:rPr>
        <w:t xml:space="preserve"> </w:t>
      </w:r>
      <w:r w:rsidR="00F51394" w:rsidRPr="00FD211F">
        <w:rPr>
          <w:sz w:val="36"/>
          <w:szCs w:val="36"/>
          <w:rtl/>
        </w:rPr>
        <w:t>انحل</w:t>
      </w:r>
      <w:r w:rsidR="00E8128F">
        <w:rPr>
          <w:sz w:val="36"/>
          <w:szCs w:val="36"/>
          <w:rtl/>
        </w:rPr>
        <w:t xml:space="preserve"> </w:t>
      </w:r>
      <w:r w:rsidR="00F51394" w:rsidRPr="00FD211F">
        <w:rPr>
          <w:sz w:val="36"/>
          <w:szCs w:val="36"/>
          <w:rtl/>
        </w:rPr>
        <w:t>بتعمل</w:t>
      </w:r>
      <w:r w:rsidR="00E8128F">
        <w:rPr>
          <w:sz w:val="36"/>
          <w:szCs w:val="36"/>
          <w:rtl/>
        </w:rPr>
        <w:t xml:space="preserve"> </w:t>
      </w:r>
      <w:r w:rsidR="00F51394" w:rsidRPr="00FD211F">
        <w:rPr>
          <w:sz w:val="36"/>
          <w:szCs w:val="36"/>
          <w:rtl/>
        </w:rPr>
        <w:t>من</w:t>
      </w:r>
      <w:r w:rsidR="00E8128F">
        <w:rPr>
          <w:sz w:val="36"/>
          <w:szCs w:val="36"/>
          <w:rtl/>
        </w:rPr>
        <w:t xml:space="preserve"> </w:t>
      </w:r>
      <w:r w:rsidR="00F51394" w:rsidRPr="00FD211F">
        <w:rPr>
          <w:sz w:val="36"/>
          <w:szCs w:val="36"/>
          <w:rtl/>
        </w:rPr>
        <w:t>العقل</w:t>
      </w:r>
      <w:r w:rsidR="00E8128F">
        <w:rPr>
          <w:sz w:val="36"/>
          <w:szCs w:val="36"/>
          <w:rtl/>
        </w:rPr>
        <w:t xml:space="preserve"> </w:t>
      </w:r>
      <w:r w:rsidR="00F51394" w:rsidRPr="00FD211F">
        <w:rPr>
          <w:sz w:val="36"/>
          <w:szCs w:val="36"/>
          <w:rtl/>
        </w:rPr>
        <w:t>الى</w:t>
      </w:r>
      <w:r w:rsidR="00E8128F">
        <w:rPr>
          <w:sz w:val="36"/>
          <w:szCs w:val="36"/>
          <w:rtl/>
        </w:rPr>
        <w:t xml:space="preserve"> </w:t>
      </w:r>
      <w:r w:rsidR="00F51394" w:rsidRPr="00FD211F">
        <w:rPr>
          <w:sz w:val="36"/>
          <w:szCs w:val="36"/>
          <w:rtl/>
        </w:rPr>
        <w:t>شيئين</w:t>
      </w:r>
      <w:r w:rsidR="00E8128F">
        <w:rPr>
          <w:sz w:val="36"/>
          <w:szCs w:val="36"/>
          <w:rtl/>
        </w:rPr>
        <w:t xml:space="preserve"> </w:t>
      </w:r>
      <w:r w:rsidR="00F51394" w:rsidRPr="00FD211F">
        <w:rPr>
          <w:sz w:val="36"/>
          <w:szCs w:val="36"/>
          <w:rtl/>
        </w:rPr>
        <w:t>كانحلال</w:t>
      </w:r>
      <w:r w:rsidR="00E8128F">
        <w:rPr>
          <w:sz w:val="36"/>
          <w:szCs w:val="36"/>
          <w:rtl/>
        </w:rPr>
        <w:t xml:space="preserve"> </w:t>
      </w:r>
      <w:r w:rsidR="00F51394" w:rsidRPr="00FD211F">
        <w:rPr>
          <w:sz w:val="36"/>
          <w:szCs w:val="36"/>
          <w:rtl/>
        </w:rPr>
        <w:t>مفهوم</w:t>
      </w:r>
      <w:r w:rsidR="00E8128F">
        <w:rPr>
          <w:sz w:val="36"/>
          <w:szCs w:val="36"/>
          <w:rtl/>
        </w:rPr>
        <w:t xml:space="preserve"> </w:t>
      </w:r>
      <w:r w:rsidR="00F51394" w:rsidRPr="00FD211F">
        <w:rPr>
          <w:sz w:val="36"/>
          <w:szCs w:val="36"/>
          <w:rtl/>
        </w:rPr>
        <w:t>الشجر</w:t>
      </w:r>
      <w:r w:rsidR="00E8128F">
        <w:rPr>
          <w:sz w:val="36"/>
          <w:szCs w:val="36"/>
          <w:rtl/>
        </w:rPr>
        <w:t xml:space="preserve"> </w:t>
      </w:r>
      <w:r w:rsidR="00F51394" w:rsidRPr="00FD211F">
        <w:rPr>
          <w:sz w:val="36"/>
          <w:szCs w:val="36"/>
          <w:rtl/>
        </w:rPr>
        <w:t>والحجر</w:t>
      </w:r>
      <w:r w:rsidR="00E8128F">
        <w:rPr>
          <w:sz w:val="36"/>
          <w:szCs w:val="36"/>
          <w:rtl/>
        </w:rPr>
        <w:t xml:space="preserve"> </w:t>
      </w:r>
      <w:r w:rsidR="00F51394" w:rsidRPr="00FD211F">
        <w:rPr>
          <w:sz w:val="36"/>
          <w:szCs w:val="36"/>
          <w:rtl/>
        </w:rPr>
        <w:t>الى</w:t>
      </w:r>
      <w:r w:rsidR="00E8128F">
        <w:rPr>
          <w:sz w:val="36"/>
          <w:szCs w:val="36"/>
          <w:rtl/>
        </w:rPr>
        <w:t xml:space="preserve"> </w:t>
      </w:r>
      <w:r w:rsidR="008D7B3D" w:rsidRPr="00FD211F">
        <w:rPr>
          <w:sz w:val="36"/>
          <w:szCs w:val="36"/>
          <w:rtl/>
        </w:rPr>
        <w:t>شيء</w:t>
      </w:r>
      <w:r w:rsidR="00E8128F">
        <w:rPr>
          <w:sz w:val="36"/>
          <w:szCs w:val="36"/>
          <w:rtl/>
        </w:rPr>
        <w:t xml:space="preserve"> </w:t>
      </w:r>
      <w:r w:rsidR="00F51394" w:rsidRPr="00FD211F">
        <w:rPr>
          <w:sz w:val="36"/>
          <w:szCs w:val="36"/>
          <w:rtl/>
        </w:rPr>
        <w:t>له</w:t>
      </w:r>
      <w:r w:rsidR="00E8128F">
        <w:rPr>
          <w:sz w:val="36"/>
          <w:szCs w:val="36"/>
          <w:rtl/>
        </w:rPr>
        <w:t xml:space="preserve"> </w:t>
      </w:r>
      <w:r w:rsidR="00F51394" w:rsidRPr="00FD211F">
        <w:rPr>
          <w:sz w:val="36"/>
          <w:szCs w:val="36"/>
          <w:rtl/>
        </w:rPr>
        <w:t>الحجري</w:t>
      </w:r>
      <w:r w:rsidR="00EC7EDF" w:rsidRPr="00FD211F">
        <w:rPr>
          <w:sz w:val="36"/>
          <w:szCs w:val="36"/>
          <w:rtl/>
        </w:rPr>
        <w:t>ة</w:t>
      </w:r>
      <w:r w:rsidR="00E8128F">
        <w:rPr>
          <w:sz w:val="36"/>
          <w:szCs w:val="36"/>
          <w:rtl/>
        </w:rPr>
        <w:t xml:space="preserve"> </w:t>
      </w:r>
      <w:r w:rsidR="00F51394" w:rsidRPr="00FD211F">
        <w:rPr>
          <w:sz w:val="36"/>
          <w:szCs w:val="36"/>
          <w:rtl/>
        </w:rPr>
        <w:t>والشجري</w:t>
      </w:r>
      <w:r w:rsidR="00EC7EDF" w:rsidRPr="00FD211F">
        <w:rPr>
          <w:sz w:val="36"/>
          <w:szCs w:val="36"/>
          <w:rtl/>
        </w:rPr>
        <w:t>ة</w:t>
      </w:r>
      <w:r w:rsidR="00E8128F">
        <w:rPr>
          <w:sz w:val="36"/>
          <w:szCs w:val="36"/>
          <w:rtl/>
        </w:rPr>
        <w:t xml:space="preserve"> </w:t>
      </w:r>
      <w:r w:rsidR="00F51394" w:rsidRPr="00FD211F">
        <w:rPr>
          <w:sz w:val="36"/>
          <w:szCs w:val="36"/>
          <w:rtl/>
        </w:rPr>
        <w:t>مع</w:t>
      </w:r>
      <w:r w:rsidR="00E8128F">
        <w:rPr>
          <w:sz w:val="36"/>
          <w:szCs w:val="36"/>
          <w:rtl/>
        </w:rPr>
        <w:t xml:space="preserve"> </w:t>
      </w:r>
      <w:r w:rsidR="00F51394" w:rsidRPr="00FD211F">
        <w:rPr>
          <w:sz w:val="36"/>
          <w:szCs w:val="36"/>
          <w:rtl/>
        </w:rPr>
        <w:t>وضوح</w:t>
      </w:r>
      <w:r w:rsidR="00E8128F">
        <w:rPr>
          <w:sz w:val="36"/>
          <w:szCs w:val="36"/>
          <w:rtl/>
        </w:rPr>
        <w:t xml:space="preserve"> </w:t>
      </w:r>
      <w:r w:rsidR="00F51394" w:rsidRPr="00FD211F">
        <w:rPr>
          <w:sz w:val="36"/>
          <w:szCs w:val="36"/>
          <w:rtl/>
        </w:rPr>
        <w:t>بساط</w:t>
      </w:r>
      <w:r w:rsidR="00EC7EDF" w:rsidRPr="00FD211F">
        <w:rPr>
          <w:sz w:val="36"/>
          <w:szCs w:val="36"/>
          <w:rtl/>
        </w:rPr>
        <w:t>ة</w:t>
      </w:r>
      <w:r w:rsidR="00E8128F">
        <w:rPr>
          <w:sz w:val="36"/>
          <w:szCs w:val="36"/>
          <w:rtl/>
        </w:rPr>
        <w:t xml:space="preserve"> </w:t>
      </w:r>
      <w:r w:rsidR="00F51394" w:rsidRPr="00FD211F">
        <w:rPr>
          <w:sz w:val="36"/>
          <w:szCs w:val="36"/>
          <w:rtl/>
        </w:rPr>
        <w:t>مفهومهما</w:t>
      </w:r>
      <w:r w:rsidR="009C58C8" w:rsidRPr="00FD211F">
        <w:rPr>
          <w:rStyle w:val="a6"/>
          <w:sz w:val="36"/>
          <w:szCs w:val="36"/>
          <w:rtl/>
        </w:rPr>
        <w:t>(</w:t>
      </w:r>
      <w:r w:rsidR="009C58C8" w:rsidRPr="00FD211F">
        <w:rPr>
          <w:rStyle w:val="a6"/>
          <w:sz w:val="36"/>
          <w:szCs w:val="36"/>
          <w:rtl/>
        </w:rPr>
        <w:footnoteReference w:id="575"/>
      </w:r>
      <w:r w:rsidR="009C58C8" w:rsidRPr="00FD211F">
        <w:rPr>
          <w:rStyle w:val="a6"/>
          <w:sz w:val="36"/>
          <w:szCs w:val="36"/>
          <w:rtl/>
        </w:rPr>
        <w:t>)</w:t>
      </w:r>
      <w:r w:rsidR="00475B85" w:rsidRPr="00FD211F">
        <w:rPr>
          <w:sz w:val="36"/>
          <w:szCs w:val="36"/>
          <w:rtl/>
        </w:rPr>
        <w:t>.</w:t>
      </w:r>
    </w:p>
    <w:p w14:paraId="1FA7E9D9" w14:textId="77777777" w:rsidR="00721336" w:rsidRPr="00FD211F" w:rsidRDefault="00475B85" w:rsidP="009C58C8">
      <w:pPr>
        <w:ind w:left="0" w:firstLine="227"/>
        <w:jc w:val="both"/>
        <w:rPr>
          <w:sz w:val="36"/>
          <w:szCs w:val="36"/>
          <w:rtl/>
        </w:rPr>
      </w:pPr>
      <w:r w:rsidRPr="00FD211F">
        <w:rPr>
          <w:sz w:val="36"/>
          <w:szCs w:val="36"/>
          <w:rtl/>
        </w:rPr>
        <w:t>ولكن</w:t>
      </w:r>
      <w:r w:rsidR="00E8128F">
        <w:rPr>
          <w:sz w:val="36"/>
          <w:szCs w:val="36"/>
          <w:rtl/>
        </w:rPr>
        <w:t xml:space="preserve"> </w:t>
      </w:r>
      <w:r w:rsidRPr="00FD211F">
        <w:rPr>
          <w:sz w:val="36"/>
          <w:szCs w:val="36"/>
          <w:rtl/>
        </w:rPr>
        <w:t>الظاهر</w:t>
      </w:r>
      <w:r w:rsidR="00E8128F">
        <w:rPr>
          <w:sz w:val="36"/>
          <w:szCs w:val="36"/>
          <w:rtl/>
        </w:rPr>
        <w:t xml:space="preserve"> </w:t>
      </w:r>
      <w:r w:rsidRPr="00FD211F">
        <w:rPr>
          <w:sz w:val="36"/>
          <w:szCs w:val="36"/>
          <w:rtl/>
        </w:rPr>
        <w:t>ان</w:t>
      </w:r>
      <w:r w:rsidR="00E8128F">
        <w:rPr>
          <w:sz w:val="36"/>
          <w:szCs w:val="36"/>
          <w:rtl/>
        </w:rPr>
        <w:t xml:space="preserve"> </w:t>
      </w:r>
      <w:r w:rsidR="00F51394" w:rsidRPr="00FD211F">
        <w:rPr>
          <w:sz w:val="36"/>
          <w:szCs w:val="36"/>
          <w:rtl/>
        </w:rPr>
        <w:t>مقتضى</w:t>
      </w:r>
      <w:r w:rsidR="00E8128F">
        <w:rPr>
          <w:sz w:val="36"/>
          <w:szCs w:val="36"/>
          <w:rtl/>
        </w:rPr>
        <w:t xml:space="preserve"> </w:t>
      </w:r>
      <w:r w:rsidR="00F51394" w:rsidRPr="00FD211F">
        <w:rPr>
          <w:sz w:val="36"/>
          <w:szCs w:val="36"/>
          <w:rtl/>
        </w:rPr>
        <w:t>ما</w:t>
      </w:r>
      <w:r w:rsidR="00E8128F">
        <w:rPr>
          <w:sz w:val="36"/>
          <w:szCs w:val="36"/>
          <w:rtl/>
        </w:rPr>
        <w:t xml:space="preserve"> </w:t>
      </w:r>
      <w:r w:rsidRPr="00FD211F">
        <w:rPr>
          <w:sz w:val="36"/>
          <w:szCs w:val="36"/>
          <w:rtl/>
        </w:rPr>
        <w:t>اقامه</w:t>
      </w:r>
      <w:r w:rsidR="00E8128F">
        <w:rPr>
          <w:sz w:val="36"/>
          <w:szCs w:val="36"/>
          <w:rtl/>
        </w:rPr>
        <w:t xml:space="preserve"> </w:t>
      </w:r>
      <w:r w:rsidR="00F51394" w:rsidRPr="00FD211F">
        <w:rPr>
          <w:sz w:val="36"/>
          <w:szCs w:val="36"/>
          <w:rtl/>
        </w:rPr>
        <w:t>المحقق</w:t>
      </w:r>
      <w:r w:rsidR="00E8128F">
        <w:rPr>
          <w:sz w:val="36"/>
          <w:szCs w:val="36"/>
          <w:rtl/>
        </w:rPr>
        <w:t xml:space="preserve"> </w:t>
      </w:r>
      <w:r w:rsidR="00F51394" w:rsidRPr="00FD211F">
        <w:rPr>
          <w:sz w:val="36"/>
          <w:szCs w:val="36"/>
          <w:rtl/>
        </w:rPr>
        <w:t>الشريف</w:t>
      </w:r>
      <w:r w:rsidR="00E8128F">
        <w:rPr>
          <w:sz w:val="36"/>
          <w:szCs w:val="36"/>
          <w:rtl/>
        </w:rPr>
        <w:t xml:space="preserve"> </w:t>
      </w:r>
      <w:r w:rsidR="00F51394" w:rsidRPr="00FD211F">
        <w:rPr>
          <w:sz w:val="36"/>
          <w:szCs w:val="36"/>
          <w:rtl/>
        </w:rPr>
        <w:t>من</w:t>
      </w:r>
      <w:r w:rsidR="00E8128F">
        <w:rPr>
          <w:sz w:val="36"/>
          <w:szCs w:val="36"/>
          <w:rtl/>
        </w:rPr>
        <w:t xml:space="preserve"> </w:t>
      </w:r>
      <w:r w:rsidR="00F51394" w:rsidRPr="00FD211F">
        <w:rPr>
          <w:sz w:val="36"/>
          <w:szCs w:val="36"/>
          <w:rtl/>
        </w:rPr>
        <w:t>البرهان</w:t>
      </w:r>
      <w:r w:rsidR="00E8128F">
        <w:rPr>
          <w:sz w:val="36"/>
          <w:szCs w:val="36"/>
          <w:rtl/>
        </w:rPr>
        <w:t xml:space="preserve"> </w:t>
      </w:r>
      <w:r w:rsidR="00F51394" w:rsidRPr="00FD211F">
        <w:rPr>
          <w:sz w:val="36"/>
          <w:szCs w:val="36"/>
          <w:rtl/>
        </w:rPr>
        <w:t>هو</w:t>
      </w:r>
      <w:r w:rsidR="00E8128F">
        <w:rPr>
          <w:sz w:val="36"/>
          <w:szCs w:val="36"/>
          <w:rtl/>
        </w:rPr>
        <w:t xml:space="preserve"> </w:t>
      </w:r>
      <w:r w:rsidR="00F51394" w:rsidRPr="00FD211F">
        <w:rPr>
          <w:sz w:val="36"/>
          <w:szCs w:val="36"/>
          <w:rtl/>
        </w:rPr>
        <w:t>استحال</w:t>
      </w:r>
      <w:r w:rsidR="00EC7EDF" w:rsidRPr="00FD211F">
        <w:rPr>
          <w:sz w:val="36"/>
          <w:szCs w:val="36"/>
          <w:rtl/>
        </w:rPr>
        <w:t>ة</w:t>
      </w:r>
      <w:r w:rsidR="00E8128F">
        <w:rPr>
          <w:sz w:val="36"/>
          <w:szCs w:val="36"/>
          <w:rtl/>
        </w:rPr>
        <w:t xml:space="preserve"> </w:t>
      </w:r>
      <w:r w:rsidR="00F51394" w:rsidRPr="00FD211F">
        <w:rPr>
          <w:sz w:val="36"/>
          <w:szCs w:val="36"/>
          <w:rtl/>
        </w:rPr>
        <w:t>اخذ</w:t>
      </w:r>
      <w:r w:rsidR="00E8128F">
        <w:rPr>
          <w:sz w:val="36"/>
          <w:szCs w:val="36"/>
          <w:rtl/>
        </w:rPr>
        <w:t xml:space="preserve"> </w:t>
      </w:r>
      <w:r w:rsidR="00F51394" w:rsidRPr="00FD211F">
        <w:rPr>
          <w:sz w:val="36"/>
          <w:szCs w:val="36"/>
          <w:rtl/>
        </w:rPr>
        <w:t>مفهوم</w:t>
      </w:r>
      <w:r w:rsidR="00E8128F">
        <w:rPr>
          <w:sz w:val="36"/>
          <w:szCs w:val="36"/>
          <w:rtl/>
        </w:rPr>
        <w:t xml:space="preserve"> </w:t>
      </w:r>
      <w:r w:rsidR="00F51394" w:rsidRPr="00FD211F">
        <w:rPr>
          <w:sz w:val="36"/>
          <w:szCs w:val="36"/>
          <w:rtl/>
        </w:rPr>
        <w:t>ال</w:t>
      </w:r>
      <w:r w:rsidR="008D7B3D" w:rsidRPr="00FD211F">
        <w:rPr>
          <w:sz w:val="36"/>
          <w:szCs w:val="36"/>
          <w:rtl/>
        </w:rPr>
        <w:t>شيء</w:t>
      </w:r>
      <w:r w:rsidR="00E8128F">
        <w:rPr>
          <w:sz w:val="36"/>
          <w:szCs w:val="36"/>
          <w:rtl/>
        </w:rPr>
        <w:t xml:space="preserve"> </w:t>
      </w:r>
      <w:r w:rsidR="00F51394" w:rsidRPr="00FD211F">
        <w:rPr>
          <w:sz w:val="36"/>
          <w:szCs w:val="36"/>
          <w:rtl/>
        </w:rPr>
        <w:t>في</w:t>
      </w:r>
      <w:r w:rsidR="00E8128F">
        <w:rPr>
          <w:sz w:val="36"/>
          <w:szCs w:val="36"/>
          <w:rtl/>
        </w:rPr>
        <w:t xml:space="preserve"> </w:t>
      </w:r>
      <w:r w:rsidR="00F51394" w:rsidRPr="00FD211F">
        <w:rPr>
          <w:sz w:val="36"/>
          <w:szCs w:val="36"/>
          <w:rtl/>
        </w:rPr>
        <w:t>المشتق</w:t>
      </w:r>
      <w:r w:rsidR="00E8128F">
        <w:rPr>
          <w:sz w:val="36"/>
          <w:szCs w:val="36"/>
          <w:rtl/>
        </w:rPr>
        <w:t xml:space="preserve"> </w:t>
      </w:r>
      <w:r w:rsidR="00F51394" w:rsidRPr="00FD211F">
        <w:rPr>
          <w:sz w:val="36"/>
          <w:szCs w:val="36"/>
          <w:rtl/>
        </w:rPr>
        <w:t>ولو</w:t>
      </w:r>
      <w:r w:rsidR="00E8128F">
        <w:rPr>
          <w:sz w:val="36"/>
          <w:szCs w:val="36"/>
          <w:rtl/>
        </w:rPr>
        <w:t xml:space="preserve"> </w:t>
      </w:r>
      <w:r w:rsidR="00F51394" w:rsidRPr="00FD211F">
        <w:rPr>
          <w:sz w:val="36"/>
          <w:szCs w:val="36"/>
          <w:rtl/>
        </w:rPr>
        <w:t>بحسب</w:t>
      </w:r>
      <w:r w:rsidR="00E8128F">
        <w:rPr>
          <w:sz w:val="36"/>
          <w:szCs w:val="36"/>
          <w:rtl/>
        </w:rPr>
        <w:t xml:space="preserve"> </w:t>
      </w:r>
      <w:r w:rsidR="00F51394" w:rsidRPr="00FD211F">
        <w:rPr>
          <w:sz w:val="36"/>
          <w:szCs w:val="36"/>
          <w:rtl/>
        </w:rPr>
        <w:t>التحليل</w:t>
      </w:r>
      <w:r w:rsidR="00E8128F">
        <w:rPr>
          <w:sz w:val="36"/>
          <w:szCs w:val="36"/>
          <w:rtl/>
        </w:rPr>
        <w:t xml:space="preserve"> </w:t>
      </w:r>
      <w:r w:rsidR="00F51394" w:rsidRPr="00FD211F">
        <w:rPr>
          <w:sz w:val="36"/>
          <w:szCs w:val="36"/>
          <w:rtl/>
        </w:rPr>
        <w:t>العقلي</w:t>
      </w:r>
      <w:r w:rsidR="00603323" w:rsidRPr="00FD211F">
        <w:rPr>
          <w:sz w:val="36"/>
          <w:szCs w:val="36"/>
          <w:rtl/>
        </w:rPr>
        <w:t>،</w:t>
      </w:r>
      <w:r w:rsidR="00E8128F">
        <w:rPr>
          <w:sz w:val="36"/>
          <w:szCs w:val="36"/>
          <w:rtl/>
        </w:rPr>
        <w:t xml:space="preserve"> </w:t>
      </w:r>
      <w:r w:rsidRPr="00FD211F">
        <w:rPr>
          <w:sz w:val="36"/>
          <w:szCs w:val="36"/>
          <w:rtl/>
        </w:rPr>
        <w:t>وعليه</w:t>
      </w:r>
      <w:r w:rsidR="00E8128F">
        <w:rPr>
          <w:sz w:val="36"/>
          <w:szCs w:val="36"/>
          <w:rtl/>
        </w:rPr>
        <w:t xml:space="preserve"> </w:t>
      </w:r>
      <w:r w:rsidRPr="00FD211F">
        <w:rPr>
          <w:sz w:val="36"/>
          <w:szCs w:val="36"/>
          <w:rtl/>
        </w:rPr>
        <w:t>فما</w:t>
      </w:r>
      <w:r w:rsidR="00E8128F">
        <w:rPr>
          <w:sz w:val="36"/>
          <w:szCs w:val="36"/>
          <w:rtl/>
        </w:rPr>
        <w:t xml:space="preserve"> </w:t>
      </w:r>
      <w:r w:rsidRPr="00FD211F">
        <w:rPr>
          <w:sz w:val="36"/>
          <w:szCs w:val="36"/>
          <w:rtl/>
        </w:rPr>
        <w:t>يظهر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صاحب</w:t>
      </w:r>
      <w:r w:rsidR="00E8128F">
        <w:rPr>
          <w:sz w:val="36"/>
          <w:szCs w:val="36"/>
          <w:rtl/>
        </w:rPr>
        <w:t xml:space="preserve"> </w:t>
      </w:r>
      <w:r w:rsidR="003211F6" w:rsidRPr="00FD211F">
        <w:rPr>
          <w:sz w:val="36"/>
          <w:szCs w:val="36"/>
          <w:rtl/>
        </w:rPr>
        <w:t>الكفاي</w:t>
      </w:r>
      <w:r w:rsidR="00EC7EDF" w:rsidRPr="00FD211F">
        <w:rPr>
          <w:sz w:val="36"/>
          <w:szCs w:val="36"/>
          <w:rtl/>
        </w:rPr>
        <w:t>ة</w:t>
      </w:r>
      <w:r w:rsidR="00E8128F">
        <w:rPr>
          <w:sz w:val="36"/>
          <w:szCs w:val="36"/>
          <w:rtl/>
        </w:rPr>
        <w:t xml:space="preserve"> </w:t>
      </w:r>
      <w:r w:rsidR="00B1734E" w:rsidRPr="00FD211F">
        <w:rPr>
          <w:sz w:val="36"/>
          <w:szCs w:val="36"/>
          <w:rtl/>
        </w:rPr>
        <w:t>"قده"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دعوى</w:t>
      </w:r>
      <w:r w:rsidR="00E8128F">
        <w:rPr>
          <w:sz w:val="36"/>
          <w:szCs w:val="36"/>
          <w:rtl/>
        </w:rPr>
        <w:t xml:space="preserve"> </w:t>
      </w:r>
      <w:r w:rsidR="00721336" w:rsidRPr="00FD211F">
        <w:rPr>
          <w:sz w:val="36"/>
          <w:szCs w:val="36"/>
          <w:rtl/>
        </w:rPr>
        <w:t>وجود</w:t>
      </w:r>
      <w:r w:rsidR="00E8128F">
        <w:rPr>
          <w:sz w:val="36"/>
          <w:szCs w:val="36"/>
          <w:rtl/>
        </w:rPr>
        <w:t xml:space="preserve"> </w:t>
      </w:r>
      <w:r w:rsidR="00721336" w:rsidRPr="00FD211F">
        <w:rPr>
          <w:sz w:val="36"/>
          <w:szCs w:val="36"/>
          <w:rtl/>
        </w:rPr>
        <w:t>التسالم</w:t>
      </w:r>
      <w:r w:rsidR="00E8128F">
        <w:rPr>
          <w:sz w:val="36"/>
          <w:szCs w:val="36"/>
          <w:rtl/>
        </w:rPr>
        <w:t xml:space="preserve"> </w:t>
      </w:r>
      <w:r w:rsidR="00721336" w:rsidRPr="00FD211F">
        <w:rPr>
          <w:sz w:val="36"/>
          <w:szCs w:val="36"/>
          <w:rtl/>
        </w:rPr>
        <w:t>على</w:t>
      </w:r>
      <w:r w:rsidR="00E8128F">
        <w:rPr>
          <w:sz w:val="36"/>
          <w:szCs w:val="36"/>
          <w:rtl/>
        </w:rPr>
        <w:t xml:space="preserve"> </w:t>
      </w:r>
      <w:r w:rsidR="00721336" w:rsidRPr="00FD211F">
        <w:rPr>
          <w:sz w:val="36"/>
          <w:szCs w:val="36"/>
          <w:rtl/>
        </w:rPr>
        <w:t>دلال</w:t>
      </w:r>
      <w:r w:rsidR="00EC7EDF" w:rsidRPr="00FD211F">
        <w:rPr>
          <w:sz w:val="36"/>
          <w:szCs w:val="36"/>
          <w:rtl/>
        </w:rPr>
        <w:t>ة</w:t>
      </w:r>
      <w:r w:rsidR="00E8128F">
        <w:rPr>
          <w:sz w:val="36"/>
          <w:szCs w:val="36"/>
          <w:rtl/>
        </w:rPr>
        <w:t xml:space="preserve"> </w:t>
      </w:r>
      <w:r w:rsidR="00721336" w:rsidRPr="00FD211F">
        <w:rPr>
          <w:sz w:val="36"/>
          <w:szCs w:val="36"/>
          <w:rtl/>
        </w:rPr>
        <w:t>المشتق</w:t>
      </w:r>
      <w:r w:rsidR="00E8128F">
        <w:rPr>
          <w:sz w:val="36"/>
          <w:szCs w:val="36"/>
          <w:rtl/>
        </w:rPr>
        <w:t xml:space="preserve"> </w:t>
      </w:r>
      <w:r w:rsidR="00721336" w:rsidRPr="00FD211F">
        <w:rPr>
          <w:sz w:val="36"/>
          <w:szCs w:val="36"/>
          <w:rtl/>
        </w:rPr>
        <w:t>على</w:t>
      </w:r>
      <w:r w:rsidR="00E8128F">
        <w:rPr>
          <w:sz w:val="36"/>
          <w:szCs w:val="36"/>
          <w:rtl/>
        </w:rPr>
        <w:t xml:space="preserve"> </w:t>
      </w:r>
      <w:r w:rsidR="00721336" w:rsidRPr="00FD211F">
        <w:rPr>
          <w:sz w:val="36"/>
          <w:szCs w:val="36"/>
          <w:rtl/>
        </w:rPr>
        <w:t>الذات</w:t>
      </w:r>
      <w:r w:rsidR="00E8128F">
        <w:rPr>
          <w:sz w:val="36"/>
          <w:szCs w:val="36"/>
          <w:rtl/>
        </w:rPr>
        <w:t xml:space="preserve"> </w:t>
      </w:r>
      <w:r w:rsidR="00721336" w:rsidRPr="00FD211F">
        <w:rPr>
          <w:sz w:val="36"/>
          <w:szCs w:val="36"/>
          <w:rtl/>
        </w:rPr>
        <w:t>بلحاظ</w:t>
      </w:r>
      <w:r w:rsidR="00E8128F">
        <w:rPr>
          <w:sz w:val="36"/>
          <w:szCs w:val="36"/>
          <w:rtl/>
        </w:rPr>
        <w:t xml:space="preserve"> </w:t>
      </w:r>
      <w:r w:rsidR="00721336" w:rsidRPr="00FD211F">
        <w:rPr>
          <w:sz w:val="36"/>
          <w:szCs w:val="36"/>
          <w:rtl/>
        </w:rPr>
        <w:t>تلبسها</w:t>
      </w:r>
      <w:r w:rsidR="00E8128F">
        <w:rPr>
          <w:sz w:val="36"/>
          <w:szCs w:val="36"/>
          <w:rtl/>
        </w:rPr>
        <w:t xml:space="preserve"> </w:t>
      </w:r>
      <w:r w:rsidR="00721336" w:rsidRPr="00FD211F">
        <w:rPr>
          <w:sz w:val="36"/>
          <w:szCs w:val="36"/>
          <w:rtl/>
        </w:rPr>
        <w:t>بالمبدأ</w:t>
      </w:r>
      <w:r w:rsidR="00E8128F">
        <w:rPr>
          <w:sz w:val="36"/>
          <w:szCs w:val="36"/>
          <w:rtl/>
        </w:rPr>
        <w:t xml:space="preserve"> </w:t>
      </w:r>
      <w:r w:rsidR="00721336" w:rsidRPr="00FD211F">
        <w:rPr>
          <w:sz w:val="36"/>
          <w:szCs w:val="36"/>
          <w:rtl/>
        </w:rPr>
        <w:t>وانما</w:t>
      </w:r>
      <w:r w:rsidR="00E8128F">
        <w:rPr>
          <w:sz w:val="36"/>
          <w:szCs w:val="36"/>
          <w:rtl/>
        </w:rPr>
        <w:t xml:space="preserve"> </w:t>
      </w:r>
      <w:r w:rsidR="00721336" w:rsidRPr="00FD211F">
        <w:rPr>
          <w:sz w:val="36"/>
          <w:szCs w:val="36"/>
          <w:rtl/>
        </w:rPr>
        <w:t>النزاع</w:t>
      </w:r>
      <w:r w:rsidR="00E8128F">
        <w:rPr>
          <w:sz w:val="36"/>
          <w:szCs w:val="36"/>
          <w:rtl/>
        </w:rPr>
        <w:t xml:space="preserve"> </w:t>
      </w:r>
      <w:r w:rsidR="00721336" w:rsidRPr="00FD211F">
        <w:rPr>
          <w:sz w:val="36"/>
          <w:szCs w:val="36"/>
          <w:rtl/>
        </w:rPr>
        <w:t>في</w:t>
      </w:r>
      <w:r w:rsidR="00E8128F">
        <w:rPr>
          <w:sz w:val="36"/>
          <w:szCs w:val="36"/>
          <w:rtl/>
        </w:rPr>
        <w:t xml:space="preserve"> </w:t>
      </w:r>
      <w:r w:rsidR="00721336" w:rsidRPr="00FD211F">
        <w:rPr>
          <w:sz w:val="36"/>
          <w:szCs w:val="36"/>
          <w:rtl/>
        </w:rPr>
        <w:t>ان</w:t>
      </w:r>
      <w:r w:rsidR="00E8128F">
        <w:rPr>
          <w:sz w:val="36"/>
          <w:szCs w:val="36"/>
          <w:rtl/>
        </w:rPr>
        <w:t xml:space="preserve"> </w:t>
      </w:r>
      <w:r w:rsidR="00721336" w:rsidRPr="00FD211F">
        <w:rPr>
          <w:sz w:val="36"/>
          <w:szCs w:val="36"/>
          <w:rtl/>
        </w:rPr>
        <w:t>مدلوله</w:t>
      </w:r>
      <w:r w:rsidR="00E8128F">
        <w:rPr>
          <w:sz w:val="36"/>
          <w:szCs w:val="36"/>
          <w:rtl/>
        </w:rPr>
        <w:t xml:space="preserve"> </w:t>
      </w:r>
      <w:r w:rsidR="00721336" w:rsidRPr="00FD211F">
        <w:rPr>
          <w:sz w:val="36"/>
          <w:szCs w:val="36"/>
          <w:rtl/>
        </w:rPr>
        <w:t>مركب</w:t>
      </w:r>
      <w:r w:rsidR="00E8128F">
        <w:rPr>
          <w:sz w:val="36"/>
          <w:szCs w:val="36"/>
          <w:rtl/>
        </w:rPr>
        <w:t xml:space="preserve"> </w:t>
      </w:r>
      <w:r w:rsidRPr="00FD211F">
        <w:rPr>
          <w:sz w:val="36"/>
          <w:szCs w:val="36"/>
          <w:rtl/>
        </w:rPr>
        <w:t>تصوري</w:t>
      </w:r>
      <w:r w:rsidR="00E8128F">
        <w:rPr>
          <w:sz w:val="36"/>
          <w:szCs w:val="36"/>
          <w:rtl/>
        </w:rPr>
        <w:t xml:space="preserve"> </w:t>
      </w:r>
      <w:r w:rsidR="00721336" w:rsidRPr="00FD211F">
        <w:rPr>
          <w:sz w:val="36"/>
          <w:szCs w:val="36"/>
          <w:rtl/>
        </w:rPr>
        <w:t>او</w:t>
      </w:r>
      <w:r w:rsidR="00E8128F">
        <w:rPr>
          <w:sz w:val="36"/>
          <w:szCs w:val="36"/>
          <w:rtl/>
        </w:rPr>
        <w:t xml:space="preserve"> </w:t>
      </w:r>
      <w:r w:rsidR="00721336" w:rsidRPr="00FD211F">
        <w:rPr>
          <w:sz w:val="36"/>
          <w:szCs w:val="36"/>
          <w:rtl/>
        </w:rPr>
        <w:t>بسيط</w:t>
      </w:r>
      <w:r w:rsidR="00E8128F">
        <w:rPr>
          <w:sz w:val="36"/>
          <w:szCs w:val="36"/>
          <w:rtl/>
        </w:rPr>
        <w:t xml:space="preserve"> </w:t>
      </w:r>
      <w:r w:rsidRPr="00FD211F">
        <w:rPr>
          <w:sz w:val="36"/>
          <w:szCs w:val="36"/>
          <w:rtl/>
        </w:rPr>
        <w:t>تصوري</w:t>
      </w:r>
      <w:r w:rsidR="00E8128F">
        <w:rPr>
          <w:sz w:val="36"/>
          <w:szCs w:val="36"/>
          <w:rtl/>
        </w:rPr>
        <w:t xml:space="preserve"> </w:t>
      </w:r>
      <w:r w:rsidR="00721336" w:rsidRPr="00FD211F">
        <w:rPr>
          <w:sz w:val="36"/>
          <w:szCs w:val="36"/>
          <w:rtl/>
        </w:rPr>
        <w:t>في</w:t>
      </w:r>
      <w:r w:rsidR="00E8128F">
        <w:rPr>
          <w:sz w:val="36"/>
          <w:szCs w:val="36"/>
          <w:rtl/>
        </w:rPr>
        <w:t xml:space="preserve"> </w:t>
      </w:r>
      <w:r w:rsidR="00721336" w:rsidRPr="00FD211F">
        <w:rPr>
          <w:sz w:val="36"/>
          <w:szCs w:val="36"/>
          <w:rtl/>
        </w:rPr>
        <w:t>غير</w:t>
      </w:r>
      <w:r w:rsidR="00E8128F">
        <w:rPr>
          <w:sz w:val="36"/>
          <w:szCs w:val="36"/>
          <w:rtl/>
        </w:rPr>
        <w:t xml:space="preserve"> </w:t>
      </w:r>
      <w:r w:rsidR="00721336" w:rsidRPr="00FD211F">
        <w:rPr>
          <w:sz w:val="36"/>
          <w:szCs w:val="36"/>
          <w:rtl/>
        </w:rPr>
        <w:t>محله</w:t>
      </w:r>
      <w:r w:rsidR="00603323" w:rsidRPr="00FD211F">
        <w:rPr>
          <w:sz w:val="36"/>
          <w:szCs w:val="36"/>
          <w:rtl/>
        </w:rPr>
        <w:t>،</w:t>
      </w:r>
      <w:r w:rsidR="00E8128F">
        <w:rPr>
          <w:sz w:val="36"/>
          <w:szCs w:val="36"/>
          <w:rtl/>
        </w:rPr>
        <w:t xml:space="preserve"> </w:t>
      </w:r>
      <w:r w:rsidR="00721336" w:rsidRPr="00FD211F">
        <w:rPr>
          <w:sz w:val="36"/>
          <w:szCs w:val="36"/>
          <w:rtl/>
        </w:rPr>
        <w:t>حيث</w:t>
      </w:r>
      <w:r w:rsidR="00E8128F">
        <w:rPr>
          <w:sz w:val="36"/>
          <w:szCs w:val="36"/>
          <w:rtl/>
        </w:rPr>
        <w:t xml:space="preserve"> </w:t>
      </w:r>
      <w:r w:rsidR="00721336" w:rsidRPr="00FD211F">
        <w:rPr>
          <w:sz w:val="36"/>
          <w:szCs w:val="36"/>
          <w:rtl/>
        </w:rPr>
        <w:t>ان</w:t>
      </w:r>
      <w:r w:rsidR="00E8128F">
        <w:rPr>
          <w:sz w:val="36"/>
          <w:szCs w:val="36"/>
          <w:rtl/>
        </w:rPr>
        <w:t xml:space="preserve"> </w:t>
      </w:r>
      <w:r w:rsidR="00721336" w:rsidRPr="00FD211F">
        <w:rPr>
          <w:sz w:val="36"/>
          <w:szCs w:val="36"/>
          <w:rtl/>
        </w:rPr>
        <w:t>اصل</w:t>
      </w:r>
      <w:r w:rsidR="00E8128F">
        <w:rPr>
          <w:sz w:val="36"/>
          <w:szCs w:val="36"/>
          <w:rtl/>
        </w:rPr>
        <w:t xml:space="preserve"> </w:t>
      </w:r>
      <w:r w:rsidR="00721336" w:rsidRPr="00FD211F">
        <w:rPr>
          <w:sz w:val="36"/>
          <w:szCs w:val="36"/>
          <w:rtl/>
        </w:rPr>
        <w:t>دلال</w:t>
      </w:r>
      <w:r w:rsidR="00EC7EDF" w:rsidRPr="00FD211F">
        <w:rPr>
          <w:sz w:val="36"/>
          <w:szCs w:val="36"/>
          <w:rtl/>
        </w:rPr>
        <w:t>ة</w:t>
      </w:r>
      <w:r w:rsidR="00E8128F">
        <w:rPr>
          <w:sz w:val="36"/>
          <w:szCs w:val="36"/>
          <w:rtl/>
        </w:rPr>
        <w:t xml:space="preserve"> </w:t>
      </w:r>
      <w:r w:rsidR="00721336" w:rsidRPr="00FD211F">
        <w:rPr>
          <w:sz w:val="36"/>
          <w:szCs w:val="36"/>
          <w:rtl/>
        </w:rPr>
        <w:t>ال</w:t>
      </w:r>
      <w:r w:rsidR="00190839" w:rsidRPr="00FD211F">
        <w:rPr>
          <w:sz w:val="36"/>
          <w:szCs w:val="36"/>
          <w:rtl/>
        </w:rPr>
        <w:t>مشتق</w:t>
      </w:r>
      <w:r w:rsidR="00E8128F">
        <w:rPr>
          <w:sz w:val="36"/>
          <w:szCs w:val="36"/>
          <w:rtl/>
        </w:rPr>
        <w:t xml:space="preserve"> </w:t>
      </w:r>
      <w:r w:rsidR="00190839" w:rsidRPr="00FD211F">
        <w:rPr>
          <w:sz w:val="36"/>
          <w:szCs w:val="36"/>
          <w:rtl/>
        </w:rPr>
        <w:t>على</w:t>
      </w:r>
      <w:r w:rsidR="00E8128F">
        <w:rPr>
          <w:sz w:val="36"/>
          <w:szCs w:val="36"/>
          <w:rtl/>
        </w:rPr>
        <w:t xml:space="preserve"> </w:t>
      </w:r>
      <w:r w:rsidR="00190839" w:rsidRPr="00FD211F">
        <w:rPr>
          <w:sz w:val="36"/>
          <w:szCs w:val="36"/>
          <w:rtl/>
        </w:rPr>
        <w:t>الذات</w:t>
      </w:r>
      <w:r w:rsidR="00E8128F">
        <w:rPr>
          <w:sz w:val="36"/>
          <w:szCs w:val="36"/>
          <w:rtl/>
        </w:rPr>
        <w:t xml:space="preserve"> </w:t>
      </w:r>
      <w:r w:rsidR="00190839" w:rsidRPr="00FD211F">
        <w:rPr>
          <w:sz w:val="36"/>
          <w:szCs w:val="36"/>
          <w:rtl/>
        </w:rPr>
        <w:t>وقع</w:t>
      </w:r>
      <w:r w:rsidR="00E8128F">
        <w:rPr>
          <w:sz w:val="36"/>
          <w:szCs w:val="36"/>
          <w:rtl/>
        </w:rPr>
        <w:t xml:space="preserve"> </w:t>
      </w:r>
      <w:r w:rsidR="00190839" w:rsidRPr="00FD211F">
        <w:rPr>
          <w:sz w:val="36"/>
          <w:szCs w:val="36"/>
          <w:rtl/>
        </w:rPr>
        <w:t>موردا</w:t>
      </w:r>
      <w:r w:rsidR="00E8128F">
        <w:rPr>
          <w:sz w:val="36"/>
          <w:szCs w:val="36"/>
          <w:rtl/>
        </w:rPr>
        <w:t xml:space="preserve"> </w:t>
      </w:r>
      <w:r w:rsidR="00190839" w:rsidRPr="00FD211F">
        <w:rPr>
          <w:sz w:val="36"/>
          <w:szCs w:val="36"/>
          <w:rtl/>
        </w:rPr>
        <w:t>للنقاش</w:t>
      </w:r>
      <w:r w:rsidR="00603323" w:rsidRPr="00FD211F">
        <w:rPr>
          <w:sz w:val="36"/>
          <w:szCs w:val="36"/>
          <w:rtl/>
        </w:rPr>
        <w:t>،</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سيأتي</w:t>
      </w:r>
      <w:r w:rsidR="00E8128F">
        <w:rPr>
          <w:sz w:val="36"/>
          <w:szCs w:val="36"/>
          <w:rtl/>
        </w:rPr>
        <w:t xml:space="preserve"> </w:t>
      </w:r>
      <w:r w:rsidRPr="00FD211F">
        <w:rPr>
          <w:sz w:val="36"/>
          <w:szCs w:val="36"/>
          <w:rtl/>
        </w:rPr>
        <w:t>بيانه.</w:t>
      </w:r>
    </w:p>
    <w:p w14:paraId="07C2F54A" w14:textId="77777777" w:rsidR="00475B85" w:rsidRPr="00FD211F" w:rsidRDefault="00F51394" w:rsidP="009C58C8">
      <w:pPr>
        <w:ind w:left="0" w:firstLine="227"/>
        <w:jc w:val="both"/>
        <w:rPr>
          <w:sz w:val="36"/>
          <w:szCs w:val="36"/>
          <w:rtl/>
        </w:rPr>
      </w:pPr>
      <w:r w:rsidRPr="00FD211F">
        <w:rPr>
          <w:sz w:val="36"/>
          <w:szCs w:val="36"/>
          <w:rtl/>
        </w:rPr>
        <w:t>فالظاهر</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محل</w:t>
      </w:r>
      <w:r w:rsidR="00E8128F">
        <w:rPr>
          <w:sz w:val="36"/>
          <w:szCs w:val="36"/>
          <w:rtl/>
        </w:rPr>
        <w:t xml:space="preserve"> </w:t>
      </w:r>
      <w:r w:rsidRPr="00FD211F">
        <w:rPr>
          <w:sz w:val="36"/>
          <w:szCs w:val="36"/>
          <w:rtl/>
        </w:rPr>
        <w:t>النزاع</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المشتق</w:t>
      </w:r>
      <w:r w:rsidR="00E8128F">
        <w:rPr>
          <w:sz w:val="36"/>
          <w:szCs w:val="36"/>
          <w:rtl/>
        </w:rPr>
        <w:t xml:space="preserve"> </w:t>
      </w:r>
      <w:r w:rsidR="001A1530" w:rsidRPr="00FD211F">
        <w:rPr>
          <w:sz w:val="36"/>
          <w:szCs w:val="36"/>
          <w:rtl/>
        </w:rPr>
        <w:t>هو</w:t>
      </w:r>
      <w:r w:rsidR="00E8128F">
        <w:rPr>
          <w:sz w:val="36"/>
          <w:szCs w:val="36"/>
          <w:rtl/>
        </w:rPr>
        <w:t xml:space="preserve"> </w:t>
      </w:r>
      <w:r w:rsidR="001A1530" w:rsidRPr="00FD211F">
        <w:rPr>
          <w:sz w:val="36"/>
          <w:szCs w:val="36"/>
          <w:rtl/>
        </w:rPr>
        <w:t>كون</w:t>
      </w:r>
      <w:r w:rsidRPr="00FD211F">
        <w:rPr>
          <w:sz w:val="36"/>
          <w:szCs w:val="36"/>
          <w:rtl/>
        </w:rPr>
        <w:t>ه</w:t>
      </w:r>
      <w:r w:rsidR="00E8128F">
        <w:rPr>
          <w:sz w:val="36"/>
          <w:szCs w:val="36"/>
          <w:rtl/>
        </w:rPr>
        <w:t xml:space="preserve"> </w:t>
      </w:r>
      <w:r w:rsidR="001A1530" w:rsidRPr="00FD211F">
        <w:rPr>
          <w:sz w:val="36"/>
          <w:szCs w:val="36"/>
          <w:rtl/>
        </w:rPr>
        <w:t>بسيطا</w:t>
      </w:r>
      <w:r w:rsidR="00E8128F">
        <w:rPr>
          <w:sz w:val="36"/>
          <w:szCs w:val="36"/>
          <w:rtl/>
        </w:rPr>
        <w:t xml:space="preserve"> </w:t>
      </w:r>
      <w:r w:rsidR="001A1530" w:rsidRPr="00FD211F">
        <w:rPr>
          <w:sz w:val="36"/>
          <w:szCs w:val="36"/>
          <w:rtl/>
        </w:rPr>
        <w:t>ام</w:t>
      </w:r>
      <w:r w:rsidR="00E8128F">
        <w:rPr>
          <w:sz w:val="36"/>
          <w:szCs w:val="36"/>
          <w:rtl/>
        </w:rPr>
        <w:t xml:space="preserve"> </w:t>
      </w:r>
      <w:r w:rsidR="001A1530" w:rsidRPr="00FD211F">
        <w:rPr>
          <w:sz w:val="36"/>
          <w:szCs w:val="36"/>
          <w:rtl/>
        </w:rPr>
        <w:t>مركبا</w:t>
      </w:r>
      <w:r w:rsidR="00E8128F">
        <w:rPr>
          <w:sz w:val="36"/>
          <w:szCs w:val="36"/>
          <w:rtl/>
        </w:rPr>
        <w:t xml:space="preserve"> </w:t>
      </w:r>
      <w:r w:rsidR="001A1530" w:rsidRPr="00FD211F">
        <w:rPr>
          <w:sz w:val="36"/>
          <w:szCs w:val="36"/>
          <w:rtl/>
        </w:rPr>
        <w:t>بحسب</w:t>
      </w:r>
      <w:r w:rsidR="00E8128F">
        <w:rPr>
          <w:sz w:val="36"/>
          <w:szCs w:val="36"/>
          <w:rtl/>
        </w:rPr>
        <w:t xml:space="preserve"> </w:t>
      </w:r>
      <w:r w:rsidR="001A1530" w:rsidRPr="00FD211F">
        <w:rPr>
          <w:sz w:val="36"/>
          <w:szCs w:val="36"/>
          <w:rtl/>
        </w:rPr>
        <w:t>التحليل</w:t>
      </w:r>
      <w:r w:rsidR="00E8128F">
        <w:rPr>
          <w:sz w:val="36"/>
          <w:szCs w:val="36"/>
          <w:rtl/>
        </w:rPr>
        <w:t xml:space="preserve"> </w:t>
      </w:r>
      <w:r w:rsidR="001A1530" w:rsidRPr="00FD211F">
        <w:rPr>
          <w:sz w:val="36"/>
          <w:szCs w:val="36"/>
          <w:rtl/>
        </w:rPr>
        <w:t>العقلي</w:t>
      </w:r>
      <w:r w:rsidR="00603323" w:rsidRPr="00FD211F">
        <w:rPr>
          <w:sz w:val="36"/>
          <w:szCs w:val="36"/>
          <w:rtl/>
        </w:rPr>
        <w:t>،</w:t>
      </w:r>
      <w:r w:rsidR="00E8128F">
        <w:rPr>
          <w:sz w:val="36"/>
          <w:szCs w:val="36"/>
          <w:rtl/>
        </w:rPr>
        <w:t xml:space="preserve"> </w:t>
      </w:r>
      <w:r w:rsidR="001A1530" w:rsidRPr="00FD211F">
        <w:rPr>
          <w:sz w:val="36"/>
          <w:szCs w:val="36"/>
          <w:rtl/>
        </w:rPr>
        <w:t>-نظير</w:t>
      </w:r>
      <w:r w:rsidR="00E8128F">
        <w:rPr>
          <w:sz w:val="36"/>
          <w:szCs w:val="36"/>
          <w:rtl/>
        </w:rPr>
        <w:t xml:space="preserve"> </w:t>
      </w:r>
      <w:r w:rsidR="001A1530" w:rsidRPr="00FD211F">
        <w:rPr>
          <w:sz w:val="36"/>
          <w:szCs w:val="36"/>
          <w:rtl/>
        </w:rPr>
        <w:t>تحليل</w:t>
      </w:r>
      <w:r w:rsidR="00E8128F">
        <w:rPr>
          <w:sz w:val="36"/>
          <w:szCs w:val="36"/>
          <w:rtl/>
        </w:rPr>
        <w:t xml:space="preserve"> </w:t>
      </w:r>
      <w:r w:rsidR="001A1530" w:rsidRPr="00FD211F">
        <w:rPr>
          <w:sz w:val="36"/>
          <w:szCs w:val="36"/>
          <w:rtl/>
        </w:rPr>
        <w:t>مفهوم</w:t>
      </w:r>
      <w:r w:rsidR="00E8128F">
        <w:rPr>
          <w:sz w:val="36"/>
          <w:szCs w:val="36"/>
          <w:rtl/>
        </w:rPr>
        <w:t xml:space="preserve"> </w:t>
      </w:r>
      <w:r w:rsidR="001A1530" w:rsidRPr="00FD211F">
        <w:rPr>
          <w:sz w:val="36"/>
          <w:szCs w:val="36"/>
          <w:rtl/>
        </w:rPr>
        <w:t>الانسان</w:t>
      </w:r>
      <w:r w:rsidR="00E8128F">
        <w:rPr>
          <w:sz w:val="36"/>
          <w:szCs w:val="36"/>
          <w:rtl/>
        </w:rPr>
        <w:t xml:space="preserve"> </w:t>
      </w:r>
      <w:r w:rsidR="001A1530" w:rsidRPr="00FD211F">
        <w:rPr>
          <w:sz w:val="36"/>
          <w:szCs w:val="36"/>
          <w:rtl/>
        </w:rPr>
        <w:t>الى</w:t>
      </w:r>
      <w:r w:rsidR="00E8128F">
        <w:rPr>
          <w:sz w:val="36"/>
          <w:szCs w:val="36"/>
          <w:rtl/>
        </w:rPr>
        <w:t xml:space="preserve"> </w:t>
      </w:r>
      <w:r w:rsidR="001A1530" w:rsidRPr="00FD211F">
        <w:rPr>
          <w:sz w:val="36"/>
          <w:szCs w:val="36"/>
          <w:rtl/>
        </w:rPr>
        <w:t>الحيوان</w:t>
      </w:r>
      <w:r w:rsidR="00E8128F">
        <w:rPr>
          <w:sz w:val="36"/>
          <w:szCs w:val="36"/>
          <w:rtl/>
        </w:rPr>
        <w:t xml:space="preserve"> </w:t>
      </w:r>
      <w:r w:rsidR="001A1530" w:rsidRPr="00FD211F">
        <w:rPr>
          <w:sz w:val="36"/>
          <w:szCs w:val="36"/>
          <w:rtl/>
        </w:rPr>
        <w:t>الناطق-</w:t>
      </w:r>
      <w:r w:rsidR="00E8128F">
        <w:rPr>
          <w:sz w:val="36"/>
          <w:szCs w:val="36"/>
          <w:rtl/>
        </w:rPr>
        <w:t xml:space="preserve"> </w:t>
      </w:r>
      <w:r w:rsidR="0040555A" w:rsidRPr="00FD211F">
        <w:rPr>
          <w:sz w:val="36"/>
          <w:szCs w:val="36"/>
          <w:rtl/>
        </w:rPr>
        <w:t>ولاينبغي</w:t>
      </w:r>
      <w:r w:rsidR="00E8128F">
        <w:rPr>
          <w:sz w:val="36"/>
          <w:szCs w:val="36"/>
          <w:rtl/>
        </w:rPr>
        <w:t xml:space="preserve"> </w:t>
      </w:r>
      <w:r w:rsidR="0040555A" w:rsidRPr="00FD211F">
        <w:rPr>
          <w:sz w:val="36"/>
          <w:szCs w:val="36"/>
          <w:rtl/>
        </w:rPr>
        <w:t>ان</w:t>
      </w:r>
      <w:r w:rsidR="00E8128F">
        <w:rPr>
          <w:sz w:val="36"/>
          <w:szCs w:val="36"/>
          <w:rtl/>
        </w:rPr>
        <w:t xml:space="preserve"> </w:t>
      </w:r>
      <w:r w:rsidR="0040555A" w:rsidRPr="00FD211F">
        <w:rPr>
          <w:sz w:val="36"/>
          <w:szCs w:val="36"/>
          <w:rtl/>
        </w:rPr>
        <w:t>يراد</w:t>
      </w:r>
      <w:r w:rsidR="00E8128F">
        <w:rPr>
          <w:sz w:val="36"/>
          <w:szCs w:val="36"/>
          <w:rtl/>
        </w:rPr>
        <w:t xml:space="preserve"> </w:t>
      </w:r>
      <w:r w:rsidR="0040555A" w:rsidRPr="00FD211F">
        <w:rPr>
          <w:sz w:val="36"/>
          <w:szCs w:val="36"/>
          <w:rtl/>
        </w:rPr>
        <w:t>منه</w:t>
      </w:r>
      <w:r w:rsidR="00E8128F">
        <w:rPr>
          <w:sz w:val="36"/>
          <w:szCs w:val="36"/>
          <w:rtl/>
        </w:rPr>
        <w:t xml:space="preserve"> </w:t>
      </w:r>
      <w:r w:rsidR="0040555A" w:rsidRPr="00FD211F">
        <w:rPr>
          <w:sz w:val="36"/>
          <w:szCs w:val="36"/>
          <w:rtl/>
        </w:rPr>
        <w:t>النزاع</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البساط</w:t>
      </w:r>
      <w:r w:rsidR="00EC7EDF" w:rsidRPr="00FD211F">
        <w:rPr>
          <w:sz w:val="36"/>
          <w:szCs w:val="36"/>
          <w:rtl/>
        </w:rPr>
        <w:t>ة</w:t>
      </w:r>
      <w:r w:rsidR="00E8128F">
        <w:rPr>
          <w:sz w:val="36"/>
          <w:szCs w:val="36"/>
          <w:rtl/>
        </w:rPr>
        <w:t xml:space="preserve"> </w:t>
      </w:r>
      <w:r w:rsidR="0040555A" w:rsidRPr="00FD211F">
        <w:rPr>
          <w:sz w:val="36"/>
          <w:szCs w:val="36"/>
          <w:rtl/>
        </w:rPr>
        <w:t>والتركيب</w:t>
      </w:r>
      <w:r w:rsidR="00E8128F">
        <w:rPr>
          <w:sz w:val="36"/>
          <w:szCs w:val="36"/>
          <w:rtl/>
        </w:rPr>
        <w:t xml:space="preserve"> </w:t>
      </w:r>
      <w:r w:rsidR="0040555A" w:rsidRPr="00FD211F">
        <w:rPr>
          <w:sz w:val="36"/>
          <w:szCs w:val="36"/>
          <w:rtl/>
        </w:rPr>
        <w:t>بحسب</w:t>
      </w:r>
      <w:r w:rsidR="00E8128F">
        <w:rPr>
          <w:sz w:val="36"/>
          <w:szCs w:val="36"/>
          <w:rtl/>
        </w:rPr>
        <w:t xml:space="preserve"> </w:t>
      </w:r>
      <w:r w:rsidR="0040555A" w:rsidRPr="00FD211F">
        <w:rPr>
          <w:sz w:val="36"/>
          <w:szCs w:val="36"/>
          <w:rtl/>
        </w:rPr>
        <w:t>الادراك</w:t>
      </w:r>
      <w:r w:rsidR="00E8128F">
        <w:rPr>
          <w:sz w:val="36"/>
          <w:szCs w:val="36"/>
          <w:rtl/>
        </w:rPr>
        <w:t xml:space="preserve"> </w:t>
      </w:r>
      <w:r w:rsidR="0040555A" w:rsidRPr="00FD211F">
        <w:rPr>
          <w:sz w:val="36"/>
          <w:szCs w:val="36"/>
          <w:rtl/>
        </w:rPr>
        <w:t>والتصور</w:t>
      </w:r>
      <w:r w:rsidR="00E8128F">
        <w:rPr>
          <w:sz w:val="36"/>
          <w:szCs w:val="36"/>
          <w:rtl/>
        </w:rPr>
        <w:t xml:space="preserve"> </w:t>
      </w:r>
      <w:r w:rsidR="0040555A" w:rsidRPr="00FD211F">
        <w:rPr>
          <w:sz w:val="36"/>
          <w:szCs w:val="36"/>
          <w:rtl/>
        </w:rPr>
        <w:t>فان</w:t>
      </w:r>
      <w:r w:rsidR="00E8128F">
        <w:rPr>
          <w:sz w:val="36"/>
          <w:szCs w:val="36"/>
          <w:rtl/>
        </w:rPr>
        <w:t xml:space="preserve"> </w:t>
      </w:r>
      <w:r w:rsidR="0040555A" w:rsidRPr="00FD211F">
        <w:rPr>
          <w:sz w:val="36"/>
          <w:szCs w:val="36"/>
          <w:rtl/>
        </w:rPr>
        <w:t>من</w:t>
      </w:r>
      <w:r w:rsidR="00E8128F">
        <w:rPr>
          <w:sz w:val="36"/>
          <w:szCs w:val="36"/>
          <w:rtl/>
        </w:rPr>
        <w:t xml:space="preserve"> </w:t>
      </w:r>
      <w:r w:rsidR="001A1530" w:rsidRPr="00FD211F">
        <w:rPr>
          <w:sz w:val="36"/>
          <w:szCs w:val="36"/>
          <w:rtl/>
        </w:rPr>
        <w:t>الواضح</w:t>
      </w:r>
      <w:r w:rsidR="00E8128F">
        <w:rPr>
          <w:sz w:val="36"/>
          <w:szCs w:val="36"/>
          <w:rtl/>
        </w:rPr>
        <w:t xml:space="preserve"> </w:t>
      </w:r>
      <w:r w:rsidR="0040555A" w:rsidRPr="00FD211F">
        <w:rPr>
          <w:sz w:val="36"/>
          <w:szCs w:val="36"/>
          <w:rtl/>
        </w:rPr>
        <w:t>جدا</w:t>
      </w:r>
      <w:r w:rsidR="00E8128F">
        <w:rPr>
          <w:sz w:val="36"/>
          <w:szCs w:val="36"/>
          <w:rtl/>
        </w:rPr>
        <w:t xml:space="preserve"> </w:t>
      </w:r>
      <w:r w:rsidR="001A1530" w:rsidRPr="00FD211F">
        <w:rPr>
          <w:sz w:val="36"/>
          <w:szCs w:val="36"/>
          <w:rtl/>
        </w:rPr>
        <w:t>انسباق</w:t>
      </w:r>
      <w:r w:rsidR="00E8128F">
        <w:rPr>
          <w:sz w:val="36"/>
          <w:szCs w:val="36"/>
          <w:rtl/>
        </w:rPr>
        <w:t xml:space="preserve"> </w:t>
      </w:r>
      <w:r w:rsidR="0040555A" w:rsidRPr="00FD211F">
        <w:rPr>
          <w:sz w:val="36"/>
          <w:szCs w:val="36"/>
          <w:rtl/>
        </w:rPr>
        <w:t>معنى</w:t>
      </w:r>
      <w:r w:rsidR="00E8128F">
        <w:rPr>
          <w:sz w:val="36"/>
          <w:szCs w:val="36"/>
          <w:rtl/>
        </w:rPr>
        <w:t xml:space="preserve"> </w:t>
      </w:r>
      <w:r w:rsidR="0040555A" w:rsidRPr="00FD211F">
        <w:rPr>
          <w:sz w:val="36"/>
          <w:szCs w:val="36"/>
          <w:rtl/>
        </w:rPr>
        <w:t>واحد</w:t>
      </w:r>
      <w:r w:rsidR="00E8128F">
        <w:rPr>
          <w:sz w:val="36"/>
          <w:szCs w:val="36"/>
          <w:rtl/>
        </w:rPr>
        <w:t xml:space="preserve"> </w:t>
      </w:r>
      <w:r w:rsidR="0040555A" w:rsidRPr="00FD211F">
        <w:rPr>
          <w:sz w:val="36"/>
          <w:szCs w:val="36"/>
          <w:rtl/>
        </w:rPr>
        <w:t>من</w:t>
      </w:r>
      <w:r w:rsidR="00E8128F">
        <w:rPr>
          <w:sz w:val="36"/>
          <w:szCs w:val="36"/>
          <w:rtl/>
        </w:rPr>
        <w:t xml:space="preserve"> </w:t>
      </w:r>
      <w:r w:rsidR="0040555A" w:rsidRPr="00FD211F">
        <w:rPr>
          <w:sz w:val="36"/>
          <w:szCs w:val="36"/>
          <w:rtl/>
        </w:rPr>
        <w:t>المشتق</w:t>
      </w:r>
      <w:r w:rsidR="00475B85" w:rsidRPr="00FD211F">
        <w:rPr>
          <w:sz w:val="36"/>
          <w:szCs w:val="36"/>
          <w:rtl/>
        </w:rPr>
        <w:t>.</w:t>
      </w:r>
    </w:p>
    <w:p w14:paraId="5D48C7FC" w14:textId="77777777" w:rsidR="007538C5" w:rsidRPr="00FD211F" w:rsidRDefault="00801C46" w:rsidP="009C58C8">
      <w:pPr>
        <w:ind w:left="0" w:firstLine="227"/>
        <w:jc w:val="both"/>
        <w:rPr>
          <w:sz w:val="36"/>
          <w:szCs w:val="36"/>
          <w:rtl/>
        </w:rPr>
      </w:pPr>
      <w:r w:rsidRPr="00FD211F">
        <w:rPr>
          <w:sz w:val="36"/>
          <w:szCs w:val="36"/>
          <w:rtl/>
        </w:rPr>
        <w:t>واما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التركيب</w:t>
      </w:r>
      <w:r w:rsidR="00E8128F">
        <w:rPr>
          <w:sz w:val="36"/>
          <w:szCs w:val="36"/>
          <w:rtl/>
        </w:rPr>
        <w:t xml:space="preserve"> </w:t>
      </w:r>
      <w:r w:rsidRPr="00FD211F">
        <w:rPr>
          <w:sz w:val="36"/>
          <w:szCs w:val="36"/>
          <w:rtl/>
        </w:rPr>
        <w:t>التصوري</w:t>
      </w:r>
      <w:r w:rsidR="00E8128F">
        <w:rPr>
          <w:sz w:val="36"/>
          <w:szCs w:val="36"/>
          <w:rtl/>
        </w:rPr>
        <w:t xml:space="preserve"> </w:t>
      </w:r>
      <w:r w:rsidRPr="00FD211F">
        <w:rPr>
          <w:sz w:val="36"/>
          <w:szCs w:val="36"/>
          <w:rtl/>
        </w:rPr>
        <w:t>لابد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بايقاع</w:t>
      </w:r>
      <w:r w:rsidR="00E8128F">
        <w:rPr>
          <w:sz w:val="36"/>
          <w:szCs w:val="36"/>
          <w:rtl/>
        </w:rPr>
        <w:t xml:space="preserve"> </w:t>
      </w:r>
      <w:r w:rsidRPr="00FD211F">
        <w:rPr>
          <w:sz w:val="36"/>
          <w:szCs w:val="36"/>
          <w:rtl/>
        </w:rPr>
        <w:t>نسب</w:t>
      </w:r>
      <w:r w:rsidR="00EC7EDF" w:rsidRPr="00FD211F">
        <w:rPr>
          <w:sz w:val="36"/>
          <w:szCs w:val="36"/>
          <w:rtl/>
        </w:rPr>
        <w:t>ة</w:t>
      </w:r>
      <w:r w:rsidR="00E8128F">
        <w:rPr>
          <w:sz w:val="36"/>
          <w:szCs w:val="36"/>
          <w:rtl/>
        </w:rPr>
        <w:t xml:space="preserve"> </w:t>
      </w:r>
      <w:r w:rsidRPr="00FD211F">
        <w:rPr>
          <w:sz w:val="36"/>
          <w:szCs w:val="36"/>
          <w:rtl/>
        </w:rPr>
        <w:t>تام</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مفهومين</w:t>
      </w:r>
      <w:r w:rsidR="00603323" w:rsidRPr="00FD211F">
        <w:rPr>
          <w:sz w:val="36"/>
          <w:szCs w:val="36"/>
          <w:rtl/>
        </w:rPr>
        <w:t>،</w:t>
      </w:r>
      <w:r w:rsidR="00E8128F">
        <w:rPr>
          <w:sz w:val="36"/>
          <w:szCs w:val="36"/>
          <w:rtl/>
        </w:rPr>
        <w:t xml:space="preserve"> </w:t>
      </w:r>
      <w:r w:rsidRPr="00FD211F">
        <w:rPr>
          <w:sz w:val="36"/>
          <w:szCs w:val="36"/>
          <w:rtl/>
        </w:rPr>
        <w:t>وهذا</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لايحتمل</w:t>
      </w:r>
      <w:r w:rsidR="00E8128F">
        <w:rPr>
          <w:sz w:val="36"/>
          <w:szCs w:val="36"/>
          <w:rtl/>
        </w:rPr>
        <w:t xml:space="preserve"> </w:t>
      </w:r>
      <w:r w:rsidRPr="00FD211F">
        <w:rPr>
          <w:sz w:val="36"/>
          <w:szCs w:val="36"/>
          <w:rtl/>
        </w:rPr>
        <w:t>دعواه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احد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المقام</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غاي</w:t>
      </w:r>
      <w:r w:rsidR="00EC7EDF" w:rsidRPr="00FD211F">
        <w:rPr>
          <w:sz w:val="36"/>
          <w:szCs w:val="36"/>
          <w:rtl/>
        </w:rPr>
        <w:t>ة</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يدعيه</w:t>
      </w:r>
      <w:r w:rsidR="00E8128F">
        <w:rPr>
          <w:sz w:val="36"/>
          <w:szCs w:val="36"/>
          <w:rtl/>
        </w:rPr>
        <w:t xml:space="preserve"> </w:t>
      </w:r>
      <w:r w:rsidRPr="00FD211F">
        <w:rPr>
          <w:sz w:val="36"/>
          <w:szCs w:val="36"/>
          <w:rtl/>
        </w:rPr>
        <w:t>القائل</w:t>
      </w:r>
      <w:r w:rsidR="00E8128F">
        <w:rPr>
          <w:sz w:val="36"/>
          <w:szCs w:val="36"/>
          <w:rtl/>
        </w:rPr>
        <w:t xml:space="preserve"> </w:t>
      </w:r>
      <w:r w:rsidRPr="00FD211F">
        <w:rPr>
          <w:sz w:val="36"/>
          <w:szCs w:val="36"/>
          <w:rtl/>
        </w:rPr>
        <w:t>بالتركيب</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اشتمال</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الناقص</w:t>
      </w:r>
      <w:r w:rsidR="00EC7EDF" w:rsidRPr="00FD211F">
        <w:rPr>
          <w:sz w:val="36"/>
          <w:szCs w:val="36"/>
          <w:rtl/>
        </w:rPr>
        <w:t>ة</w:t>
      </w:r>
      <w:r w:rsidR="00E8128F">
        <w:rPr>
          <w:sz w:val="36"/>
          <w:szCs w:val="36"/>
          <w:rtl/>
        </w:rPr>
        <w:t xml:space="preserve"> </w:t>
      </w:r>
      <w:r w:rsidRPr="00FD211F">
        <w:rPr>
          <w:sz w:val="36"/>
          <w:szCs w:val="36"/>
          <w:rtl/>
        </w:rPr>
        <w:t>التحليلي</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والمبدأ</w:t>
      </w:r>
      <w:r w:rsidR="00603323" w:rsidRPr="00FD211F">
        <w:rPr>
          <w:sz w:val="36"/>
          <w:szCs w:val="36"/>
          <w:rtl/>
        </w:rPr>
        <w:t>،</w:t>
      </w:r>
      <w:r w:rsidR="00E8128F">
        <w:rPr>
          <w:sz w:val="36"/>
          <w:szCs w:val="36"/>
          <w:rtl/>
        </w:rPr>
        <w:t xml:space="preserve"> </w:t>
      </w:r>
      <w:r w:rsidRPr="00FD211F">
        <w:rPr>
          <w:sz w:val="36"/>
          <w:szCs w:val="36"/>
          <w:rtl/>
        </w:rPr>
        <w:t>وقد</w:t>
      </w:r>
      <w:r w:rsidR="00E8128F">
        <w:rPr>
          <w:sz w:val="36"/>
          <w:szCs w:val="36"/>
          <w:rtl/>
        </w:rPr>
        <w:t xml:space="preserve"> </w:t>
      </w:r>
      <w:r w:rsidRPr="00FD211F">
        <w:rPr>
          <w:sz w:val="36"/>
          <w:szCs w:val="36"/>
          <w:rtl/>
        </w:rPr>
        <w:t>سبق</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اطراف</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التحليلي</w:t>
      </w:r>
      <w:r w:rsidR="00EC7EDF" w:rsidRPr="00FD211F">
        <w:rPr>
          <w:sz w:val="36"/>
          <w:szCs w:val="36"/>
          <w:rtl/>
        </w:rPr>
        <w:t>ة</w:t>
      </w:r>
      <w:r w:rsidR="00E8128F">
        <w:rPr>
          <w:sz w:val="36"/>
          <w:szCs w:val="36"/>
          <w:rtl/>
        </w:rPr>
        <w:t xml:space="preserve"> </w:t>
      </w:r>
      <w:r w:rsidRPr="00FD211F">
        <w:rPr>
          <w:sz w:val="36"/>
          <w:szCs w:val="36"/>
          <w:rtl/>
        </w:rPr>
        <w:t>موجود</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الذهن</w:t>
      </w:r>
      <w:r w:rsidR="00E8128F">
        <w:rPr>
          <w:sz w:val="36"/>
          <w:szCs w:val="36"/>
          <w:rtl/>
        </w:rPr>
        <w:t xml:space="preserve"> </w:t>
      </w:r>
      <w:r w:rsidRPr="00FD211F">
        <w:rPr>
          <w:sz w:val="36"/>
          <w:szCs w:val="36"/>
          <w:rtl/>
        </w:rPr>
        <w:t>بوجود</w:t>
      </w:r>
      <w:r w:rsidR="00E8128F">
        <w:rPr>
          <w:sz w:val="36"/>
          <w:szCs w:val="36"/>
          <w:rtl/>
        </w:rPr>
        <w:t xml:space="preserve"> </w:t>
      </w:r>
      <w:r w:rsidRPr="00FD211F">
        <w:rPr>
          <w:sz w:val="36"/>
          <w:szCs w:val="36"/>
          <w:rtl/>
        </w:rPr>
        <w:t>واحد</w:t>
      </w:r>
      <w:r w:rsidR="00E8128F">
        <w:rPr>
          <w:sz w:val="36"/>
          <w:szCs w:val="36"/>
          <w:rtl/>
        </w:rPr>
        <w:t xml:space="preserve"> </w:t>
      </w:r>
      <w:r w:rsidRPr="00FD211F">
        <w:rPr>
          <w:sz w:val="36"/>
          <w:szCs w:val="36"/>
          <w:rtl/>
        </w:rPr>
        <w:t>اذ</w:t>
      </w:r>
      <w:r w:rsidR="00E8128F">
        <w:rPr>
          <w:sz w:val="36"/>
          <w:szCs w:val="36"/>
          <w:rtl/>
        </w:rPr>
        <w:t xml:space="preserve"> </w:t>
      </w:r>
      <w:r w:rsidRPr="00FD211F">
        <w:rPr>
          <w:sz w:val="36"/>
          <w:szCs w:val="36"/>
          <w:rtl/>
        </w:rPr>
        <w:t>لايعني</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تصور</w:t>
      </w:r>
      <w:r w:rsidR="00E8128F">
        <w:rPr>
          <w:sz w:val="36"/>
          <w:szCs w:val="36"/>
          <w:rtl/>
        </w:rPr>
        <w:t xml:space="preserve"> </w:t>
      </w:r>
      <w:r w:rsidRPr="00FD211F">
        <w:rPr>
          <w:sz w:val="36"/>
          <w:szCs w:val="36"/>
          <w:rtl/>
        </w:rPr>
        <w:t>حص</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المفهوم</w:t>
      </w:r>
      <w:r w:rsidR="00E8128F">
        <w:rPr>
          <w:sz w:val="36"/>
          <w:szCs w:val="36"/>
          <w:rtl/>
        </w:rPr>
        <w:t xml:space="preserve"> </w:t>
      </w:r>
      <w:r w:rsidRPr="00FD211F">
        <w:rPr>
          <w:sz w:val="36"/>
          <w:szCs w:val="36"/>
          <w:rtl/>
        </w:rPr>
        <w:t>الاسمي</w:t>
      </w:r>
      <w:r w:rsidR="009C58C8" w:rsidRPr="00FD211F">
        <w:rPr>
          <w:rStyle w:val="a6"/>
          <w:sz w:val="36"/>
          <w:szCs w:val="36"/>
          <w:rtl/>
        </w:rPr>
        <w:t>(</w:t>
      </w:r>
      <w:r w:rsidR="009C58C8" w:rsidRPr="00FD211F">
        <w:rPr>
          <w:rStyle w:val="a6"/>
          <w:sz w:val="36"/>
          <w:szCs w:val="36"/>
          <w:rtl/>
        </w:rPr>
        <w:footnoteReference w:id="576"/>
      </w:r>
      <w:r w:rsidR="009C58C8" w:rsidRPr="00FD211F">
        <w:rPr>
          <w:rStyle w:val="a6"/>
          <w:sz w:val="36"/>
          <w:szCs w:val="36"/>
          <w:rtl/>
        </w:rPr>
        <w:t>)</w:t>
      </w:r>
      <w:r w:rsidR="007538C5" w:rsidRPr="00FD211F">
        <w:rPr>
          <w:sz w:val="36"/>
          <w:szCs w:val="36"/>
          <w:rtl/>
        </w:rPr>
        <w:t>.</w:t>
      </w:r>
    </w:p>
    <w:p w14:paraId="4C2CFFEA" w14:textId="77777777" w:rsidR="007538C5" w:rsidRPr="00FD211F" w:rsidRDefault="00801C46" w:rsidP="009C58C8">
      <w:pPr>
        <w:ind w:left="0" w:firstLine="227"/>
        <w:jc w:val="both"/>
        <w:rPr>
          <w:sz w:val="36"/>
          <w:szCs w:val="36"/>
          <w:rtl/>
        </w:rPr>
      </w:pPr>
      <w:r w:rsidRPr="00FD211F">
        <w:rPr>
          <w:sz w:val="36"/>
          <w:szCs w:val="36"/>
          <w:rtl/>
        </w:rPr>
        <w:t>ففيه</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مر</w:t>
      </w:r>
      <w:r w:rsidR="00E8128F">
        <w:rPr>
          <w:sz w:val="36"/>
          <w:szCs w:val="36"/>
          <w:rtl/>
        </w:rPr>
        <w:t xml:space="preserve"> </w:t>
      </w:r>
      <w:r w:rsidRPr="00FD211F">
        <w:rPr>
          <w:sz w:val="36"/>
          <w:szCs w:val="36"/>
          <w:rtl/>
        </w:rPr>
        <w:t>سابقا</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التركيب</w:t>
      </w:r>
      <w:r w:rsidR="00E8128F">
        <w:rPr>
          <w:sz w:val="36"/>
          <w:szCs w:val="36"/>
          <w:rtl/>
        </w:rPr>
        <w:t xml:space="preserve"> </w:t>
      </w:r>
      <w:r w:rsidRPr="00FD211F">
        <w:rPr>
          <w:sz w:val="36"/>
          <w:szCs w:val="36"/>
          <w:rtl/>
        </w:rPr>
        <w:t>التصوري</w:t>
      </w:r>
      <w:r w:rsidR="00E8128F">
        <w:rPr>
          <w:sz w:val="36"/>
          <w:szCs w:val="36"/>
          <w:rtl/>
        </w:rPr>
        <w:t xml:space="preserve"> </w:t>
      </w:r>
      <w:r w:rsidRPr="00FD211F">
        <w:rPr>
          <w:sz w:val="36"/>
          <w:szCs w:val="36"/>
          <w:rtl/>
        </w:rPr>
        <w:t>لايعني</w:t>
      </w:r>
      <w:r w:rsidR="00E8128F">
        <w:rPr>
          <w:sz w:val="36"/>
          <w:szCs w:val="36"/>
          <w:rtl/>
        </w:rPr>
        <w:t xml:space="preserve"> </w:t>
      </w:r>
      <w:r w:rsidRPr="00FD211F">
        <w:rPr>
          <w:sz w:val="36"/>
          <w:szCs w:val="36"/>
          <w:rtl/>
        </w:rPr>
        <w:t>اشتمال</w:t>
      </w:r>
      <w:r w:rsidR="00E8128F">
        <w:rPr>
          <w:sz w:val="36"/>
          <w:szCs w:val="36"/>
          <w:rtl/>
        </w:rPr>
        <w:t xml:space="preserve"> </w:t>
      </w:r>
      <w:r w:rsidRPr="00FD211F">
        <w:rPr>
          <w:sz w:val="36"/>
          <w:szCs w:val="36"/>
          <w:rtl/>
        </w:rPr>
        <w:t>المعنى</w:t>
      </w:r>
      <w:r w:rsidR="00E8128F">
        <w:rPr>
          <w:sz w:val="36"/>
          <w:szCs w:val="36"/>
          <w:rtl/>
        </w:rPr>
        <w:t xml:space="preserve"> </w:t>
      </w:r>
      <w:r w:rsidRPr="00FD211F">
        <w:rPr>
          <w:sz w:val="36"/>
          <w:szCs w:val="36"/>
          <w:rtl/>
        </w:rPr>
        <w:t>المركب</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التام</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الجمل</w:t>
      </w:r>
      <w:r w:rsidR="00EC7EDF" w:rsidRPr="00FD211F">
        <w:rPr>
          <w:sz w:val="36"/>
          <w:szCs w:val="36"/>
          <w:rtl/>
        </w:rPr>
        <w:t>ة</w:t>
      </w:r>
      <w:r w:rsidR="00E8128F">
        <w:rPr>
          <w:sz w:val="36"/>
          <w:szCs w:val="36"/>
          <w:rtl/>
        </w:rPr>
        <w:t xml:space="preserve"> </w:t>
      </w:r>
      <w:r w:rsidRPr="00FD211F">
        <w:rPr>
          <w:sz w:val="36"/>
          <w:szCs w:val="36"/>
          <w:rtl/>
        </w:rPr>
        <w:t>الناقص</w:t>
      </w:r>
      <w:r w:rsidR="00EC7EDF" w:rsidRPr="00FD211F">
        <w:rPr>
          <w:sz w:val="36"/>
          <w:szCs w:val="36"/>
          <w:rtl/>
        </w:rPr>
        <w:t>ة</w:t>
      </w:r>
      <w:r w:rsidR="00E8128F">
        <w:rPr>
          <w:sz w:val="36"/>
          <w:szCs w:val="36"/>
          <w:rtl/>
        </w:rPr>
        <w:t xml:space="preserve"> </w:t>
      </w:r>
      <w:r w:rsidRPr="00FD211F">
        <w:rPr>
          <w:sz w:val="36"/>
          <w:szCs w:val="36"/>
          <w:rtl/>
        </w:rPr>
        <w:t>مركب</w:t>
      </w:r>
      <w:r w:rsidR="00EC7EDF" w:rsidRPr="00FD211F">
        <w:rPr>
          <w:sz w:val="36"/>
          <w:szCs w:val="36"/>
          <w:rtl/>
        </w:rPr>
        <w:t>ة</w:t>
      </w:r>
      <w:r w:rsidR="00E8128F">
        <w:rPr>
          <w:sz w:val="36"/>
          <w:szCs w:val="36"/>
          <w:rtl/>
        </w:rPr>
        <w:t xml:space="preserve"> </w:t>
      </w:r>
      <w:r w:rsidRPr="00FD211F">
        <w:rPr>
          <w:sz w:val="36"/>
          <w:szCs w:val="36"/>
          <w:rtl/>
        </w:rPr>
        <w:t>تصورا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الصحيح</w:t>
      </w:r>
      <w:r w:rsidR="00603323" w:rsidRPr="00FD211F">
        <w:rPr>
          <w:sz w:val="36"/>
          <w:szCs w:val="36"/>
          <w:rtl/>
        </w:rPr>
        <w:t>،</w:t>
      </w:r>
      <w:r w:rsidR="00E8128F">
        <w:rPr>
          <w:sz w:val="36"/>
          <w:szCs w:val="36"/>
          <w:rtl/>
        </w:rPr>
        <w:t xml:space="preserve"> </w:t>
      </w:r>
      <w:r w:rsidRPr="00FD211F">
        <w:rPr>
          <w:sz w:val="36"/>
          <w:szCs w:val="36"/>
          <w:rtl/>
        </w:rPr>
        <w:t>ومما</w:t>
      </w:r>
      <w:r w:rsidR="00E8128F">
        <w:rPr>
          <w:sz w:val="36"/>
          <w:szCs w:val="36"/>
          <w:rtl/>
        </w:rPr>
        <w:t xml:space="preserve"> </w:t>
      </w:r>
      <w:r w:rsidRPr="00FD211F">
        <w:rPr>
          <w:sz w:val="36"/>
          <w:szCs w:val="36"/>
          <w:rtl/>
        </w:rPr>
        <w:t>يشهد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الجمل</w:t>
      </w:r>
      <w:r w:rsidR="00EC7EDF" w:rsidRPr="00FD211F">
        <w:rPr>
          <w:sz w:val="36"/>
          <w:szCs w:val="36"/>
          <w:rtl/>
        </w:rPr>
        <w:t>ة</w:t>
      </w:r>
      <w:r w:rsidR="00E8128F">
        <w:rPr>
          <w:sz w:val="36"/>
          <w:szCs w:val="36"/>
          <w:rtl/>
        </w:rPr>
        <w:t xml:space="preserve"> </w:t>
      </w:r>
      <w:r w:rsidRPr="00FD211F">
        <w:rPr>
          <w:sz w:val="36"/>
          <w:szCs w:val="36"/>
          <w:rtl/>
        </w:rPr>
        <w:t>الوصفي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قولنا</w:t>
      </w:r>
      <w:r w:rsidR="00E8128F">
        <w:rPr>
          <w:sz w:val="36"/>
          <w:szCs w:val="36"/>
          <w:rtl/>
        </w:rPr>
        <w:t xml:space="preserve"> </w:t>
      </w:r>
      <w:r w:rsidRPr="00FD211F">
        <w:rPr>
          <w:sz w:val="36"/>
          <w:szCs w:val="36"/>
          <w:rtl/>
        </w:rPr>
        <w:t>"رجل</w:t>
      </w:r>
      <w:r w:rsidR="00E8128F">
        <w:rPr>
          <w:sz w:val="36"/>
          <w:szCs w:val="36"/>
          <w:rtl/>
        </w:rPr>
        <w:t xml:space="preserve"> </w:t>
      </w:r>
      <w:r w:rsidRPr="00FD211F">
        <w:rPr>
          <w:sz w:val="36"/>
          <w:szCs w:val="36"/>
          <w:rtl/>
        </w:rPr>
        <w:t>ابوه</w:t>
      </w:r>
      <w:r w:rsidR="00E8128F">
        <w:rPr>
          <w:sz w:val="36"/>
          <w:szCs w:val="36"/>
          <w:rtl/>
        </w:rPr>
        <w:t xml:space="preserve"> </w:t>
      </w:r>
      <w:r w:rsidRPr="00FD211F">
        <w:rPr>
          <w:sz w:val="36"/>
          <w:szCs w:val="36"/>
          <w:rtl/>
        </w:rPr>
        <w:t>عالم"</w:t>
      </w:r>
      <w:r w:rsidR="005560D5" w:rsidRPr="00FD211F">
        <w:rPr>
          <w:sz w:val="36"/>
          <w:szCs w:val="36"/>
          <w:rtl/>
        </w:rPr>
        <w:t>كما</w:t>
      </w:r>
      <w:r w:rsidR="00E8128F">
        <w:rPr>
          <w:sz w:val="36"/>
          <w:szCs w:val="36"/>
          <w:rtl/>
        </w:rPr>
        <w:t xml:space="preserve"> </w:t>
      </w:r>
      <w:r w:rsidR="005560D5" w:rsidRPr="00FD211F">
        <w:rPr>
          <w:sz w:val="36"/>
          <w:szCs w:val="36"/>
          <w:rtl/>
        </w:rPr>
        <w:t>مر</w:t>
      </w:r>
      <w:r w:rsidR="00E8128F">
        <w:rPr>
          <w:sz w:val="36"/>
          <w:szCs w:val="36"/>
          <w:rtl/>
        </w:rPr>
        <w:t xml:space="preserve"> </w:t>
      </w:r>
      <w:r w:rsidR="005560D5" w:rsidRPr="00FD211F">
        <w:rPr>
          <w:sz w:val="36"/>
          <w:szCs w:val="36"/>
          <w:rtl/>
        </w:rPr>
        <w:t>توضيحه</w:t>
      </w:r>
      <w:r w:rsidR="00E8128F">
        <w:rPr>
          <w:sz w:val="36"/>
          <w:szCs w:val="36"/>
          <w:rtl/>
        </w:rPr>
        <w:t xml:space="preserve"> </w:t>
      </w:r>
      <w:r w:rsidR="005560D5" w:rsidRPr="00FD211F">
        <w:rPr>
          <w:sz w:val="36"/>
          <w:szCs w:val="36"/>
          <w:rtl/>
        </w:rPr>
        <w:t>في</w:t>
      </w:r>
      <w:r w:rsidR="00E8128F">
        <w:rPr>
          <w:sz w:val="36"/>
          <w:szCs w:val="36"/>
          <w:rtl/>
        </w:rPr>
        <w:t xml:space="preserve"> </w:t>
      </w:r>
      <w:r w:rsidR="005560D5" w:rsidRPr="00FD211F">
        <w:rPr>
          <w:sz w:val="36"/>
          <w:szCs w:val="36"/>
          <w:rtl/>
        </w:rPr>
        <w:t>بحث</w:t>
      </w:r>
      <w:r w:rsidR="00E8128F">
        <w:rPr>
          <w:sz w:val="36"/>
          <w:szCs w:val="36"/>
          <w:rtl/>
        </w:rPr>
        <w:t xml:space="preserve"> </w:t>
      </w:r>
      <w:r w:rsidR="005560D5" w:rsidRPr="00FD211F">
        <w:rPr>
          <w:sz w:val="36"/>
          <w:szCs w:val="36"/>
          <w:rtl/>
        </w:rPr>
        <w:t>الجمل</w:t>
      </w:r>
      <w:r w:rsidR="00EC7EDF" w:rsidRPr="00FD211F">
        <w:rPr>
          <w:sz w:val="36"/>
          <w:szCs w:val="36"/>
          <w:rtl/>
        </w:rPr>
        <w:t>ة</w:t>
      </w:r>
      <w:r w:rsidR="00E8128F">
        <w:rPr>
          <w:sz w:val="36"/>
          <w:szCs w:val="36"/>
          <w:rtl/>
        </w:rPr>
        <w:t xml:space="preserve"> </w:t>
      </w:r>
      <w:r w:rsidR="005560D5" w:rsidRPr="00FD211F">
        <w:rPr>
          <w:sz w:val="36"/>
          <w:szCs w:val="36"/>
          <w:rtl/>
        </w:rPr>
        <w:t>الوصفي</w:t>
      </w:r>
      <w:r w:rsidR="00EC7EDF" w:rsidRPr="00FD211F">
        <w:rPr>
          <w:sz w:val="36"/>
          <w:szCs w:val="36"/>
          <w:rtl/>
        </w:rPr>
        <w:t>ة</w:t>
      </w:r>
      <w:r w:rsidR="00A61BAE" w:rsidRPr="00FD211F">
        <w:rPr>
          <w:sz w:val="36"/>
          <w:szCs w:val="36"/>
          <w:rtl/>
        </w:rPr>
        <w:t>.</w:t>
      </w:r>
    </w:p>
    <w:p w14:paraId="75628707" w14:textId="77777777" w:rsidR="00801C46" w:rsidRPr="00FD211F" w:rsidRDefault="00801C46" w:rsidP="009C58C8">
      <w:pPr>
        <w:ind w:left="0" w:firstLine="227"/>
        <w:jc w:val="both"/>
        <w:rPr>
          <w:sz w:val="36"/>
          <w:szCs w:val="36"/>
          <w:rtl/>
        </w:rPr>
      </w:pPr>
      <w:r w:rsidRPr="00FD211F">
        <w:rPr>
          <w:sz w:val="36"/>
          <w:szCs w:val="36"/>
          <w:rtl/>
        </w:rPr>
        <w:t>فالمهم</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الالتزام</w:t>
      </w:r>
      <w:r w:rsidR="00E8128F">
        <w:rPr>
          <w:sz w:val="36"/>
          <w:szCs w:val="36"/>
          <w:rtl/>
        </w:rPr>
        <w:t xml:space="preserve"> </w:t>
      </w:r>
      <w:r w:rsidRPr="00FD211F">
        <w:rPr>
          <w:sz w:val="36"/>
          <w:szCs w:val="36"/>
          <w:rtl/>
        </w:rPr>
        <w:t>بالتركيب</w:t>
      </w:r>
      <w:r w:rsidR="00E8128F">
        <w:rPr>
          <w:sz w:val="36"/>
          <w:szCs w:val="36"/>
          <w:rtl/>
        </w:rPr>
        <w:t xml:space="preserve"> </w:t>
      </w:r>
      <w:r w:rsidRPr="00FD211F">
        <w:rPr>
          <w:sz w:val="36"/>
          <w:szCs w:val="36"/>
          <w:rtl/>
        </w:rPr>
        <w:t>التصوري</w:t>
      </w:r>
      <w:r w:rsidR="00E8128F">
        <w:rPr>
          <w:sz w:val="36"/>
          <w:szCs w:val="36"/>
          <w:rtl/>
        </w:rPr>
        <w:t xml:space="preserve"> </w:t>
      </w:r>
      <w:r w:rsidRPr="00FD211F">
        <w:rPr>
          <w:sz w:val="36"/>
          <w:szCs w:val="36"/>
          <w:rtl/>
        </w:rPr>
        <w:t>لمعنى</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خلاف</w:t>
      </w:r>
      <w:r w:rsidR="00E8128F">
        <w:rPr>
          <w:sz w:val="36"/>
          <w:szCs w:val="36"/>
          <w:rtl/>
        </w:rPr>
        <w:t xml:space="preserve"> </w:t>
      </w:r>
      <w:r w:rsidRPr="00FD211F">
        <w:rPr>
          <w:sz w:val="36"/>
          <w:szCs w:val="36"/>
          <w:rtl/>
        </w:rPr>
        <w:t>الوجدان</w:t>
      </w:r>
      <w:r w:rsidR="00E8128F">
        <w:rPr>
          <w:sz w:val="36"/>
          <w:szCs w:val="36"/>
          <w:rtl/>
        </w:rPr>
        <w:t xml:space="preserve"> </w:t>
      </w:r>
      <w:r w:rsidRPr="00FD211F">
        <w:rPr>
          <w:sz w:val="36"/>
          <w:szCs w:val="36"/>
          <w:rtl/>
        </w:rPr>
        <w:t>ولايظن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احد</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يدعي</w:t>
      </w:r>
      <w:r w:rsidR="00E8128F">
        <w:rPr>
          <w:sz w:val="36"/>
          <w:szCs w:val="36"/>
          <w:rtl/>
        </w:rPr>
        <w:t xml:space="preserve"> </w:t>
      </w:r>
      <w:r w:rsidRPr="00FD211F">
        <w:rPr>
          <w:sz w:val="36"/>
          <w:szCs w:val="36"/>
          <w:rtl/>
        </w:rPr>
        <w:t>ذلك</w:t>
      </w:r>
      <w:r w:rsidR="00603323" w:rsidRPr="00FD211F">
        <w:rPr>
          <w:sz w:val="36"/>
          <w:szCs w:val="36"/>
          <w:rtl/>
        </w:rPr>
        <w:t>،</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محل</w:t>
      </w:r>
      <w:r w:rsidR="00E8128F">
        <w:rPr>
          <w:sz w:val="36"/>
          <w:szCs w:val="36"/>
          <w:rtl/>
        </w:rPr>
        <w:t xml:space="preserve"> </w:t>
      </w:r>
      <w:r w:rsidRPr="00FD211F">
        <w:rPr>
          <w:sz w:val="36"/>
          <w:szCs w:val="36"/>
          <w:rtl/>
        </w:rPr>
        <w:t>النزاع</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بساط</w:t>
      </w:r>
      <w:r w:rsidR="00EC7EDF" w:rsidRPr="00FD211F">
        <w:rPr>
          <w:sz w:val="36"/>
          <w:szCs w:val="36"/>
          <w:rtl/>
        </w:rPr>
        <w:t>ة</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تركيبه</w:t>
      </w:r>
      <w:r w:rsidR="00E8128F">
        <w:rPr>
          <w:sz w:val="36"/>
          <w:szCs w:val="36"/>
          <w:rtl/>
        </w:rPr>
        <w:t xml:space="preserve"> </w:t>
      </w:r>
      <w:r w:rsidRPr="00FD211F">
        <w:rPr>
          <w:sz w:val="36"/>
          <w:szCs w:val="36"/>
          <w:rtl/>
        </w:rPr>
        <w:t>بحسب</w:t>
      </w:r>
      <w:r w:rsidR="00E8128F">
        <w:rPr>
          <w:sz w:val="36"/>
          <w:szCs w:val="36"/>
          <w:rtl/>
        </w:rPr>
        <w:t xml:space="preserve"> </w:t>
      </w:r>
      <w:r w:rsidRPr="00FD211F">
        <w:rPr>
          <w:sz w:val="36"/>
          <w:szCs w:val="36"/>
          <w:rtl/>
        </w:rPr>
        <w:t>التحليل</w:t>
      </w:r>
      <w:r w:rsidR="00E8128F">
        <w:rPr>
          <w:sz w:val="36"/>
          <w:szCs w:val="36"/>
          <w:rtl/>
        </w:rPr>
        <w:t xml:space="preserve"> </w:t>
      </w:r>
      <w:r w:rsidRPr="00FD211F">
        <w:rPr>
          <w:sz w:val="36"/>
          <w:szCs w:val="36"/>
          <w:rtl/>
        </w:rPr>
        <w:t>العقلي.</w:t>
      </w:r>
    </w:p>
    <w:p w14:paraId="5FE2FB45" w14:textId="77777777" w:rsidR="007538C5" w:rsidRPr="00FD211F" w:rsidRDefault="007538C5" w:rsidP="009C58C8">
      <w:pPr>
        <w:pStyle w:val="3"/>
        <w:ind w:firstLine="227"/>
        <w:jc w:val="both"/>
        <w:rPr>
          <w:rtl/>
        </w:rPr>
      </w:pPr>
      <w:bookmarkStart w:id="468" w:name="درس117دقيقه17"/>
      <w:bookmarkStart w:id="469" w:name="_Toc192092954"/>
      <w:bookmarkStart w:id="470" w:name="_Toc223890436"/>
      <w:bookmarkEnd w:id="468"/>
      <w:r w:rsidRPr="00FD211F">
        <w:rPr>
          <w:rtl/>
        </w:rPr>
        <w:t>ادل</w:t>
      </w:r>
      <w:r w:rsidR="00EC7EDF" w:rsidRPr="00FD211F">
        <w:rPr>
          <w:rtl/>
        </w:rPr>
        <w:t>ة</w:t>
      </w:r>
      <w:r w:rsidR="00E8128F">
        <w:rPr>
          <w:rtl/>
        </w:rPr>
        <w:t xml:space="preserve"> </w:t>
      </w:r>
      <w:r w:rsidRPr="00FD211F">
        <w:rPr>
          <w:rtl/>
        </w:rPr>
        <w:t>بساط</w:t>
      </w:r>
      <w:r w:rsidR="00EC7EDF" w:rsidRPr="00FD211F">
        <w:rPr>
          <w:rtl/>
        </w:rPr>
        <w:t>ة</w:t>
      </w:r>
      <w:r w:rsidR="00E8128F">
        <w:rPr>
          <w:rtl/>
        </w:rPr>
        <w:t xml:space="preserve"> </w:t>
      </w:r>
      <w:r w:rsidRPr="00FD211F">
        <w:rPr>
          <w:rtl/>
        </w:rPr>
        <w:t>المشتق</w:t>
      </w:r>
      <w:bookmarkEnd w:id="469"/>
      <w:bookmarkEnd w:id="470"/>
    </w:p>
    <w:p w14:paraId="21CE7D48" w14:textId="77777777" w:rsidR="008D2529" w:rsidRPr="00FD211F" w:rsidRDefault="00190839" w:rsidP="009C58C8">
      <w:pPr>
        <w:ind w:left="0" w:firstLine="227"/>
        <w:jc w:val="both"/>
        <w:rPr>
          <w:sz w:val="36"/>
          <w:szCs w:val="36"/>
          <w:rtl/>
        </w:rPr>
      </w:pPr>
      <w:r w:rsidRPr="00FD211F">
        <w:rPr>
          <w:sz w:val="36"/>
          <w:szCs w:val="36"/>
          <w:rtl/>
        </w:rPr>
        <w:t>حكي</w:t>
      </w:r>
      <w:r w:rsidR="00E8128F">
        <w:rPr>
          <w:sz w:val="36"/>
          <w:szCs w:val="36"/>
          <w:rtl/>
        </w:rPr>
        <w:t xml:space="preserve"> </w:t>
      </w:r>
      <w:r w:rsidRPr="00FD211F">
        <w:rPr>
          <w:sz w:val="36"/>
          <w:szCs w:val="36"/>
          <w:rtl/>
        </w:rPr>
        <w:t>عن</w:t>
      </w:r>
      <w:r w:rsidR="00E8128F">
        <w:rPr>
          <w:sz w:val="36"/>
          <w:szCs w:val="36"/>
          <w:rtl/>
        </w:rPr>
        <w:t xml:space="preserve"> </w:t>
      </w:r>
      <w:r w:rsidR="00801C46" w:rsidRPr="00FD211F">
        <w:rPr>
          <w:sz w:val="36"/>
          <w:szCs w:val="36"/>
          <w:rtl/>
        </w:rPr>
        <w:t>المحقق</w:t>
      </w:r>
      <w:r w:rsidR="00E8128F">
        <w:rPr>
          <w:sz w:val="36"/>
          <w:szCs w:val="36"/>
          <w:rtl/>
        </w:rPr>
        <w:t xml:space="preserve"> </w:t>
      </w:r>
      <w:r w:rsidR="00801C46" w:rsidRPr="00FD211F">
        <w:rPr>
          <w:sz w:val="36"/>
          <w:szCs w:val="36"/>
          <w:rtl/>
        </w:rPr>
        <w:t>الدواني</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تقريب</w:t>
      </w:r>
      <w:r w:rsidR="00E8128F">
        <w:rPr>
          <w:sz w:val="36"/>
          <w:szCs w:val="36"/>
          <w:rtl/>
        </w:rPr>
        <w:t xml:space="preserve"> </w:t>
      </w:r>
      <w:r w:rsidR="00801C46" w:rsidRPr="00FD211F">
        <w:rPr>
          <w:sz w:val="36"/>
          <w:szCs w:val="36"/>
          <w:rtl/>
        </w:rPr>
        <w:t>بساط</w:t>
      </w:r>
      <w:r w:rsidR="00EC7EDF" w:rsidRPr="00FD211F">
        <w:rPr>
          <w:sz w:val="36"/>
          <w:szCs w:val="36"/>
          <w:rtl/>
        </w:rPr>
        <w:t>ة</w:t>
      </w:r>
      <w:r w:rsidR="00E8128F">
        <w:rPr>
          <w:sz w:val="36"/>
          <w:szCs w:val="36"/>
          <w:rtl/>
        </w:rPr>
        <w:t xml:space="preserve"> </w:t>
      </w:r>
      <w:r w:rsidR="00801C46" w:rsidRPr="00FD211F">
        <w:rPr>
          <w:sz w:val="36"/>
          <w:szCs w:val="36"/>
          <w:rtl/>
        </w:rPr>
        <w:t>معنى</w:t>
      </w:r>
      <w:r w:rsidR="00E8128F">
        <w:rPr>
          <w:sz w:val="36"/>
          <w:szCs w:val="36"/>
          <w:rtl/>
        </w:rPr>
        <w:t xml:space="preserve"> </w:t>
      </w:r>
      <w:r w:rsidR="00801C46" w:rsidRPr="00FD211F">
        <w:rPr>
          <w:sz w:val="36"/>
          <w:szCs w:val="36"/>
          <w:rtl/>
        </w:rPr>
        <w:t>المشتق</w:t>
      </w:r>
      <w:r w:rsidR="00E8128F">
        <w:rPr>
          <w:sz w:val="36"/>
          <w:szCs w:val="36"/>
          <w:rtl/>
        </w:rPr>
        <w:t xml:space="preserve"> </w:t>
      </w:r>
      <w:r w:rsidR="00801C46" w:rsidRPr="00FD211F">
        <w:rPr>
          <w:sz w:val="36"/>
          <w:szCs w:val="36"/>
          <w:rtl/>
        </w:rPr>
        <w:t>ان</w:t>
      </w:r>
      <w:r w:rsidR="00E8128F">
        <w:rPr>
          <w:sz w:val="36"/>
          <w:szCs w:val="36"/>
          <w:rtl/>
        </w:rPr>
        <w:t xml:space="preserve"> </w:t>
      </w:r>
      <w:r w:rsidR="0040555A" w:rsidRPr="00FD211F">
        <w:rPr>
          <w:sz w:val="36"/>
          <w:szCs w:val="36"/>
          <w:rtl/>
        </w:rPr>
        <w:t>هيئ</w:t>
      </w:r>
      <w:r w:rsidR="00EC7EDF" w:rsidRPr="00FD211F">
        <w:rPr>
          <w:sz w:val="36"/>
          <w:szCs w:val="36"/>
          <w:rtl/>
        </w:rPr>
        <w:t>ة</w:t>
      </w:r>
      <w:r w:rsidR="00E8128F">
        <w:rPr>
          <w:sz w:val="36"/>
          <w:szCs w:val="36"/>
          <w:rtl/>
        </w:rPr>
        <w:t xml:space="preserve"> </w:t>
      </w:r>
      <w:r w:rsidR="0040555A" w:rsidRPr="00FD211F">
        <w:rPr>
          <w:sz w:val="36"/>
          <w:szCs w:val="36"/>
          <w:rtl/>
        </w:rPr>
        <w:t>المشتق</w:t>
      </w:r>
      <w:r w:rsidR="00E8128F">
        <w:rPr>
          <w:sz w:val="36"/>
          <w:szCs w:val="36"/>
          <w:rtl/>
        </w:rPr>
        <w:t xml:space="preserve"> </w:t>
      </w:r>
      <w:r w:rsidR="0040555A" w:rsidRPr="00FD211F">
        <w:rPr>
          <w:sz w:val="36"/>
          <w:szCs w:val="36"/>
          <w:rtl/>
        </w:rPr>
        <w:t>دال</w:t>
      </w:r>
      <w:r w:rsidR="00EC7EDF" w:rsidRPr="00FD211F">
        <w:rPr>
          <w:sz w:val="36"/>
          <w:szCs w:val="36"/>
          <w:rtl/>
        </w:rPr>
        <w:t>ة</w:t>
      </w:r>
      <w:r w:rsidR="00E8128F">
        <w:rPr>
          <w:sz w:val="36"/>
          <w:szCs w:val="36"/>
          <w:rtl/>
        </w:rPr>
        <w:t xml:space="preserve"> </w:t>
      </w:r>
      <w:r w:rsidR="0040555A" w:rsidRPr="00FD211F">
        <w:rPr>
          <w:sz w:val="36"/>
          <w:szCs w:val="36"/>
          <w:rtl/>
        </w:rPr>
        <w:t>على</w:t>
      </w:r>
      <w:r w:rsidR="00E8128F">
        <w:rPr>
          <w:sz w:val="36"/>
          <w:szCs w:val="36"/>
          <w:rtl/>
        </w:rPr>
        <w:t xml:space="preserve"> </w:t>
      </w:r>
      <w:r w:rsidR="008D2529" w:rsidRPr="00FD211F">
        <w:rPr>
          <w:sz w:val="36"/>
          <w:szCs w:val="36"/>
          <w:rtl/>
        </w:rPr>
        <w:t>ان</w:t>
      </w:r>
      <w:r w:rsidR="00E8128F">
        <w:rPr>
          <w:sz w:val="36"/>
          <w:szCs w:val="36"/>
          <w:rtl/>
        </w:rPr>
        <w:t xml:space="preserve"> </w:t>
      </w:r>
      <w:r w:rsidR="0040555A" w:rsidRPr="00FD211F">
        <w:rPr>
          <w:sz w:val="36"/>
          <w:szCs w:val="36"/>
          <w:rtl/>
        </w:rPr>
        <w:t>ال</w:t>
      </w:r>
      <w:r w:rsidR="0079493B" w:rsidRPr="00FD211F">
        <w:rPr>
          <w:sz w:val="36"/>
          <w:szCs w:val="36"/>
          <w:rtl/>
        </w:rPr>
        <w:t>مبدأ</w:t>
      </w:r>
      <w:r w:rsidR="00E8128F">
        <w:rPr>
          <w:sz w:val="36"/>
          <w:szCs w:val="36"/>
          <w:rtl/>
        </w:rPr>
        <w:t xml:space="preserve"> </w:t>
      </w:r>
      <w:r w:rsidR="00801C46" w:rsidRPr="00FD211F">
        <w:rPr>
          <w:sz w:val="36"/>
          <w:szCs w:val="36"/>
          <w:rtl/>
        </w:rPr>
        <w:t>-</w:t>
      </w:r>
      <w:r w:rsidR="008D2529" w:rsidRPr="00FD211F">
        <w:rPr>
          <w:sz w:val="36"/>
          <w:szCs w:val="36"/>
          <w:rtl/>
        </w:rPr>
        <w:t>الذي</w:t>
      </w:r>
      <w:r w:rsidR="00E8128F">
        <w:rPr>
          <w:sz w:val="36"/>
          <w:szCs w:val="36"/>
          <w:rtl/>
        </w:rPr>
        <w:t xml:space="preserve"> </w:t>
      </w:r>
      <w:r w:rsidR="008D2529" w:rsidRPr="00FD211F">
        <w:rPr>
          <w:sz w:val="36"/>
          <w:szCs w:val="36"/>
          <w:rtl/>
        </w:rPr>
        <w:t>يدل</w:t>
      </w:r>
      <w:r w:rsidR="00E8128F">
        <w:rPr>
          <w:sz w:val="36"/>
          <w:szCs w:val="36"/>
          <w:rtl/>
        </w:rPr>
        <w:t xml:space="preserve"> </w:t>
      </w:r>
      <w:r w:rsidR="008D2529" w:rsidRPr="00FD211F">
        <w:rPr>
          <w:sz w:val="36"/>
          <w:szCs w:val="36"/>
          <w:rtl/>
        </w:rPr>
        <w:t>عليه</w:t>
      </w:r>
      <w:r w:rsidR="00E8128F">
        <w:rPr>
          <w:sz w:val="36"/>
          <w:szCs w:val="36"/>
          <w:rtl/>
        </w:rPr>
        <w:t xml:space="preserve"> </w:t>
      </w:r>
      <w:r w:rsidR="008D2529" w:rsidRPr="00FD211F">
        <w:rPr>
          <w:sz w:val="36"/>
          <w:szCs w:val="36"/>
          <w:rtl/>
        </w:rPr>
        <w:t>ماد</w:t>
      </w:r>
      <w:r w:rsidR="00EC7EDF" w:rsidRPr="00FD211F">
        <w:rPr>
          <w:sz w:val="36"/>
          <w:szCs w:val="36"/>
          <w:rtl/>
        </w:rPr>
        <w:t>ة</w:t>
      </w:r>
      <w:r w:rsidR="00E8128F">
        <w:rPr>
          <w:sz w:val="36"/>
          <w:szCs w:val="36"/>
          <w:rtl/>
        </w:rPr>
        <w:t xml:space="preserve"> </w:t>
      </w:r>
      <w:r w:rsidR="008D2529" w:rsidRPr="00FD211F">
        <w:rPr>
          <w:sz w:val="36"/>
          <w:szCs w:val="36"/>
          <w:rtl/>
        </w:rPr>
        <w:t>المشتق</w:t>
      </w:r>
      <w:r w:rsidR="00801C46" w:rsidRPr="00FD211F">
        <w:rPr>
          <w:sz w:val="36"/>
          <w:szCs w:val="36"/>
          <w:rtl/>
        </w:rPr>
        <w:t>-</w:t>
      </w:r>
      <w:r w:rsidR="00E8128F">
        <w:rPr>
          <w:sz w:val="36"/>
          <w:szCs w:val="36"/>
          <w:rtl/>
        </w:rPr>
        <w:t xml:space="preserve"> </w:t>
      </w:r>
      <w:r w:rsidR="008D2529" w:rsidRPr="00FD211F">
        <w:rPr>
          <w:sz w:val="36"/>
          <w:szCs w:val="36"/>
          <w:rtl/>
        </w:rPr>
        <w:t>قد</w:t>
      </w:r>
      <w:r w:rsidR="00E8128F">
        <w:rPr>
          <w:sz w:val="36"/>
          <w:szCs w:val="36"/>
          <w:rtl/>
        </w:rPr>
        <w:t xml:space="preserve"> </w:t>
      </w:r>
      <w:r w:rsidR="008D2529" w:rsidRPr="00FD211F">
        <w:rPr>
          <w:sz w:val="36"/>
          <w:szCs w:val="36"/>
          <w:rtl/>
        </w:rPr>
        <w:t>لوحظ</w:t>
      </w:r>
      <w:r w:rsidR="00E8128F">
        <w:rPr>
          <w:sz w:val="36"/>
          <w:szCs w:val="36"/>
          <w:rtl/>
        </w:rPr>
        <w:t xml:space="preserve"> </w:t>
      </w:r>
      <w:r w:rsidR="0040555A" w:rsidRPr="00FD211F">
        <w:rPr>
          <w:sz w:val="36"/>
          <w:szCs w:val="36"/>
          <w:rtl/>
        </w:rPr>
        <w:t>لابشرط</w:t>
      </w:r>
      <w:r w:rsidR="00E8128F">
        <w:rPr>
          <w:sz w:val="36"/>
          <w:szCs w:val="36"/>
          <w:rtl/>
        </w:rPr>
        <w:t xml:space="preserve"> </w:t>
      </w:r>
      <w:r w:rsidR="0040555A" w:rsidRPr="00FD211F">
        <w:rPr>
          <w:sz w:val="36"/>
          <w:szCs w:val="36"/>
          <w:rtl/>
        </w:rPr>
        <w:t>عن</w:t>
      </w:r>
      <w:r w:rsidR="00E8128F">
        <w:rPr>
          <w:sz w:val="36"/>
          <w:szCs w:val="36"/>
          <w:rtl/>
        </w:rPr>
        <w:t xml:space="preserve"> </w:t>
      </w:r>
      <w:r w:rsidR="0040555A" w:rsidRPr="00FD211F">
        <w:rPr>
          <w:sz w:val="36"/>
          <w:szCs w:val="36"/>
          <w:rtl/>
        </w:rPr>
        <w:t>الحمل</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الذات</w:t>
      </w:r>
      <w:r w:rsidR="00603323" w:rsidRPr="00FD211F">
        <w:rPr>
          <w:sz w:val="36"/>
          <w:szCs w:val="36"/>
          <w:rtl/>
        </w:rPr>
        <w:t>،</w:t>
      </w:r>
      <w:r w:rsidR="00E8128F">
        <w:rPr>
          <w:sz w:val="36"/>
          <w:szCs w:val="36"/>
          <w:rtl/>
        </w:rPr>
        <w:t xml:space="preserve"> </w:t>
      </w:r>
      <w:r w:rsidR="008D2529" w:rsidRPr="00FD211F">
        <w:rPr>
          <w:sz w:val="36"/>
          <w:szCs w:val="36"/>
          <w:rtl/>
        </w:rPr>
        <w:t>بينما</w:t>
      </w:r>
      <w:r w:rsidR="00E8128F">
        <w:rPr>
          <w:sz w:val="36"/>
          <w:szCs w:val="36"/>
          <w:rtl/>
        </w:rPr>
        <w:t xml:space="preserve"> </w:t>
      </w:r>
      <w:r w:rsidR="008D2529" w:rsidRPr="00FD211F">
        <w:rPr>
          <w:sz w:val="36"/>
          <w:szCs w:val="36"/>
          <w:rtl/>
        </w:rPr>
        <w:t>ان</w:t>
      </w:r>
      <w:r w:rsidR="00E8128F">
        <w:rPr>
          <w:sz w:val="36"/>
          <w:szCs w:val="36"/>
          <w:rtl/>
        </w:rPr>
        <w:t xml:space="preserve"> </w:t>
      </w:r>
      <w:r w:rsidR="0040555A" w:rsidRPr="00FD211F">
        <w:rPr>
          <w:sz w:val="36"/>
          <w:szCs w:val="36"/>
          <w:rtl/>
        </w:rPr>
        <w:t>هيئ</w:t>
      </w:r>
      <w:r w:rsidR="00EC7EDF" w:rsidRPr="00FD211F">
        <w:rPr>
          <w:sz w:val="36"/>
          <w:szCs w:val="36"/>
          <w:rtl/>
        </w:rPr>
        <w:t>ة</w:t>
      </w:r>
      <w:r w:rsidR="00E8128F">
        <w:rPr>
          <w:sz w:val="36"/>
          <w:szCs w:val="36"/>
          <w:rtl/>
        </w:rPr>
        <w:t xml:space="preserve"> </w:t>
      </w:r>
      <w:r w:rsidR="0040555A" w:rsidRPr="00FD211F">
        <w:rPr>
          <w:sz w:val="36"/>
          <w:szCs w:val="36"/>
          <w:rtl/>
        </w:rPr>
        <w:t>المصدر</w:t>
      </w:r>
      <w:r w:rsidR="00E8128F">
        <w:rPr>
          <w:sz w:val="36"/>
          <w:szCs w:val="36"/>
          <w:rtl/>
        </w:rPr>
        <w:t xml:space="preserve"> </w:t>
      </w:r>
      <w:r w:rsidR="0040555A" w:rsidRPr="00FD211F">
        <w:rPr>
          <w:sz w:val="36"/>
          <w:szCs w:val="36"/>
          <w:rtl/>
        </w:rPr>
        <w:t>دال</w:t>
      </w:r>
      <w:r w:rsidR="00EC7EDF" w:rsidRPr="00FD211F">
        <w:rPr>
          <w:sz w:val="36"/>
          <w:szCs w:val="36"/>
          <w:rtl/>
        </w:rPr>
        <w:t>ة</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لحاظ</w:t>
      </w:r>
      <w:r w:rsidR="00E8128F">
        <w:rPr>
          <w:sz w:val="36"/>
          <w:szCs w:val="36"/>
          <w:rtl/>
        </w:rPr>
        <w:t xml:space="preserve"> </w:t>
      </w:r>
      <w:r w:rsidR="008D2529" w:rsidRPr="00FD211F">
        <w:rPr>
          <w:sz w:val="36"/>
          <w:szCs w:val="36"/>
          <w:rtl/>
        </w:rPr>
        <w:t>ال</w:t>
      </w:r>
      <w:r w:rsidR="0079493B" w:rsidRPr="00FD211F">
        <w:rPr>
          <w:sz w:val="36"/>
          <w:szCs w:val="36"/>
          <w:rtl/>
        </w:rPr>
        <w:t>مبدأ</w:t>
      </w:r>
      <w:r w:rsidR="00E8128F">
        <w:rPr>
          <w:sz w:val="36"/>
          <w:szCs w:val="36"/>
          <w:rtl/>
        </w:rPr>
        <w:t xml:space="preserve"> </w:t>
      </w:r>
      <w:r w:rsidR="0040555A" w:rsidRPr="00FD211F">
        <w:rPr>
          <w:sz w:val="36"/>
          <w:szCs w:val="36"/>
          <w:rtl/>
        </w:rPr>
        <w:t>بشرط</w:t>
      </w:r>
      <w:r w:rsidR="008D2529" w:rsidRPr="00FD211F">
        <w:rPr>
          <w:sz w:val="36"/>
          <w:szCs w:val="36"/>
          <w:rtl/>
        </w:rPr>
        <w:softHyphen/>
      </w:r>
      <w:r w:rsidR="0040555A" w:rsidRPr="00FD211F">
        <w:rPr>
          <w:sz w:val="36"/>
          <w:szCs w:val="36"/>
          <w:rtl/>
        </w:rPr>
        <w:t>لا</w:t>
      </w:r>
      <w:r w:rsidR="00E8128F">
        <w:rPr>
          <w:sz w:val="36"/>
          <w:szCs w:val="36"/>
          <w:rtl/>
        </w:rPr>
        <w:t xml:space="preserve"> </w:t>
      </w:r>
      <w:r w:rsidR="0040555A" w:rsidRPr="00FD211F">
        <w:rPr>
          <w:sz w:val="36"/>
          <w:szCs w:val="36"/>
          <w:rtl/>
        </w:rPr>
        <w:t>عن</w:t>
      </w:r>
      <w:r w:rsidR="00E8128F">
        <w:rPr>
          <w:sz w:val="36"/>
          <w:szCs w:val="36"/>
          <w:rtl/>
        </w:rPr>
        <w:t xml:space="preserve"> </w:t>
      </w:r>
      <w:r w:rsidR="008D2529" w:rsidRPr="00FD211F">
        <w:rPr>
          <w:sz w:val="36"/>
          <w:szCs w:val="36"/>
          <w:rtl/>
        </w:rPr>
        <w:t>الحمل</w:t>
      </w:r>
      <w:r w:rsidR="00E8128F">
        <w:rPr>
          <w:sz w:val="36"/>
          <w:szCs w:val="36"/>
          <w:rtl/>
        </w:rPr>
        <w:t xml:space="preserve"> </w:t>
      </w:r>
      <w:r w:rsidR="008D2529" w:rsidRPr="00FD211F">
        <w:rPr>
          <w:sz w:val="36"/>
          <w:szCs w:val="36"/>
          <w:rtl/>
        </w:rPr>
        <w:t>على</w:t>
      </w:r>
      <w:r w:rsidR="00E8128F">
        <w:rPr>
          <w:sz w:val="36"/>
          <w:szCs w:val="36"/>
          <w:rtl/>
        </w:rPr>
        <w:t xml:space="preserve"> </w:t>
      </w:r>
      <w:r w:rsidR="008D2529" w:rsidRPr="00FD211F">
        <w:rPr>
          <w:sz w:val="36"/>
          <w:szCs w:val="36"/>
          <w:rtl/>
        </w:rPr>
        <w:t>الذات</w:t>
      </w:r>
      <w:r w:rsidR="00603323" w:rsidRPr="00FD211F">
        <w:rPr>
          <w:sz w:val="36"/>
          <w:szCs w:val="36"/>
          <w:rtl/>
        </w:rPr>
        <w:t>،</w:t>
      </w:r>
      <w:r w:rsidR="00E8128F">
        <w:rPr>
          <w:sz w:val="36"/>
          <w:szCs w:val="36"/>
          <w:rtl/>
        </w:rPr>
        <w:t xml:space="preserve"> </w:t>
      </w:r>
      <w:r w:rsidR="0040555A" w:rsidRPr="00FD211F">
        <w:rPr>
          <w:sz w:val="36"/>
          <w:szCs w:val="36"/>
          <w:rtl/>
        </w:rPr>
        <w:t>وهذا</w:t>
      </w:r>
      <w:r w:rsidR="00E8128F">
        <w:rPr>
          <w:sz w:val="36"/>
          <w:szCs w:val="36"/>
          <w:rtl/>
        </w:rPr>
        <w:t xml:space="preserve"> </w:t>
      </w:r>
      <w:r w:rsidR="0040555A" w:rsidRPr="00FD211F">
        <w:rPr>
          <w:sz w:val="36"/>
          <w:szCs w:val="36"/>
          <w:rtl/>
        </w:rPr>
        <w:t>منحل</w:t>
      </w:r>
      <w:r w:rsidR="00E8128F">
        <w:rPr>
          <w:sz w:val="36"/>
          <w:szCs w:val="36"/>
          <w:rtl/>
        </w:rPr>
        <w:t xml:space="preserve"> </w:t>
      </w:r>
      <w:r w:rsidR="0040555A" w:rsidRPr="00FD211F">
        <w:rPr>
          <w:sz w:val="36"/>
          <w:szCs w:val="36"/>
          <w:rtl/>
        </w:rPr>
        <w:t>الى</w:t>
      </w:r>
      <w:r w:rsidR="00E8128F">
        <w:rPr>
          <w:sz w:val="36"/>
          <w:szCs w:val="36"/>
          <w:rtl/>
        </w:rPr>
        <w:t xml:space="preserve"> </w:t>
      </w:r>
      <w:r w:rsidR="0040555A" w:rsidRPr="00FD211F">
        <w:rPr>
          <w:sz w:val="36"/>
          <w:szCs w:val="36"/>
          <w:rtl/>
        </w:rPr>
        <w:t>دعوى</w:t>
      </w:r>
      <w:r w:rsidR="00E8128F">
        <w:rPr>
          <w:sz w:val="36"/>
          <w:szCs w:val="36"/>
          <w:rtl/>
        </w:rPr>
        <w:t xml:space="preserve"> </w:t>
      </w:r>
      <w:r w:rsidR="0040555A" w:rsidRPr="00FD211F">
        <w:rPr>
          <w:sz w:val="36"/>
          <w:szCs w:val="36"/>
          <w:rtl/>
        </w:rPr>
        <w:t>سلبي</w:t>
      </w:r>
      <w:r w:rsidR="00EC7EDF" w:rsidRPr="00FD211F">
        <w:rPr>
          <w:sz w:val="36"/>
          <w:szCs w:val="36"/>
          <w:rtl/>
        </w:rPr>
        <w:t>ة</w:t>
      </w:r>
      <w:r w:rsidR="00E8128F">
        <w:rPr>
          <w:sz w:val="36"/>
          <w:szCs w:val="36"/>
          <w:rtl/>
        </w:rPr>
        <w:t xml:space="preserve"> </w:t>
      </w:r>
      <w:r w:rsidR="0040555A" w:rsidRPr="00FD211F">
        <w:rPr>
          <w:sz w:val="36"/>
          <w:szCs w:val="36"/>
          <w:rtl/>
        </w:rPr>
        <w:t>وهي</w:t>
      </w:r>
      <w:r w:rsidR="00E8128F">
        <w:rPr>
          <w:sz w:val="36"/>
          <w:szCs w:val="36"/>
          <w:rtl/>
        </w:rPr>
        <w:t xml:space="preserve"> </w:t>
      </w:r>
      <w:r w:rsidR="0040555A" w:rsidRPr="00FD211F">
        <w:rPr>
          <w:sz w:val="36"/>
          <w:szCs w:val="36"/>
          <w:rtl/>
        </w:rPr>
        <w:t>عدم</w:t>
      </w:r>
      <w:r w:rsidR="00E8128F">
        <w:rPr>
          <w:sz w:val="36"/>
          <w:szCs w:val="36"/>
          <w:rtl/>
        </w:rPr>
        <w:t xml:space="preserve"> </w:t>
      </w:r>
      <w:r w:rsidR="0040555A" w:rsidRPr="00FD211F">
        <w:rPr>
          <w:sz w:val="36"/>
          <w:szCs w:val="36"/>
          <w:rtl/>
        </w:rPr>
        <w:t>اخذ</w:t>
      </w:r>
      <w:r w:rsidR="00E8128F">
        <w:rPr>
          <w:sz w:val="36"/>
          <w:szCs w:val="36"/>
          <w:rtl/>
        </w:rPr>
        <w:t xml:space="preserve"> </w:t>
      </w:r>
      <w:r w:rsidR="0040555A" w:rsidRPr="00FD211F">
        <w:rPr>
          <w:sz w:val="36"/>
          <w:szCs w:val="36"/>
          <w:rtl/>
        </w:rPr>
        <w:t>النسب</w:t>
      </w:r>
      <w:r w:rsidR="00EC7EDF" w:rsidRPr="00FD211F">
        <w:rPr>
          <w:sz w:val="36"/>
          <w:szCs w:val="36"/>
          <w:rtl/>
        </w:rPr>
        <w:t>ة</w:t>
      </w:r>
      <w:r w:rsidR="00E8128F">
        <w:rPr>
          <w:sz w:val="36"/>
          <w:szCs w:val="36"/>
          <w:rtl/>
        </w:rPr>
        <w:t xml:space="preserve"> </w:t>
      </w:r>
      <w:r w:rsidR="008D2529" w:rsidRPr="00FD211F">
        <w:rPr>
          <w:sz w:val="36"/>
          <w:szCs w:val="36"/>
          <w:rtl/>
        </w:rPr>
        <w:t>بين</w:t>
      </w:r>
      <w:r w:rsidR="00E8128F">
        <w:rPr>
          <w:sz w:val="36"/>
          <w:szCs w:val="36"/>
          <w:rtl/>
        </w:rPr>
        <w:t xml:space="preserve"> </w:t>
      </w:r>
      <w:r w:rsidR="008D2529" w:rsidRPr="00FD211F">
        <w:rPr>
          <w:sz w:val="36"/>
          <w:szCs w:val="36"/>
          <w:rtl/>
        </w:rPr>
        <w:t>الذات</w:t>
      </w:r>
      <w:r w:rsidR="00E8128F">
        <w:rPr>
          <w:sz w:val="36"/>
          <w:szCs w:val="36"/>
          <w:rtl/>
        </w:rPr>
        <w:t xml:space="preserve"> </w:t>
      </w:r>
      <w:r w:rsidR="008D2529" w:rsidRPr="00FD211F">
        <w:rPr>
          <w:sz w:val="36"/>
          <w:szCs w:val="36"/>
          <w:rtl/>
        </w:rPr>
        <w:t>وال</w:t>
      </w:r>
      <w:r w:rsidR="0079493B" w:rsidRPr="00FD211F">
        <w:rPr>
          <w:sz w:val="36"/>
          <w:szCs w:val="36"/>
          <w:rtl/>
        </w:rPr>
        <w:t>مبدأ</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مدلول</w:t>
      </w:r>
      <w:r w:rsidR="00E8128F">
        <w:rPr>
          <w:sz w:val="36"/>
          <w:szCs w:val="36"/>
          <w:rtl/>
        </w:rPr>
        <w:t xml:space="preserve"> </w:t>
      </w:r>
      <w:r w:rsidR="0040555A" w:rsidRPr="00FD211F">
        <w:rPr>
          <w:sz w:val="36"/>
          <w:szCs w:val="36"/>
          <w:rtl/>
        </w:rPr>
        <w:t>هيئ</w:t>
      </w:r>
      <w:r w:rsidR="00EC7EDF" w:rsidRPr="00FD211F">
        <w:rPr>
          <w:sz w:val="36"/>
          <w:szCs w:val="36"/>
          <w:rtl/>
        </w:rPr>
        <w:t>ة</w:t>
      </w:r>
      <w:r w:rsidR="00E8128F">
        <w:rPr>
          <w:sz w:val="36"/>
          <w:szCs w:val="36"/>
          <w:rtl/>
        </w:rPr>
        <w:t xml:space="preserve"> </w:t>
      </w:r>
      <w:r w:rsidR="0040555A" w:rsidRPr="00FD211F">
        <w:rPr>
          <w:sz w:val="36"/>
          <w:szCs w:val="36"/>
          <w:rtl/>
        </w:rPr>
        <w:t>المشتق</w:t>
      </w:r>
      <w:r w:rsidR="00603323" w:rsidRPr="00FD211F">
        <w:rPr>
          <w:sz w:val="36"/>
          <w:szCs w:val="36"/>
          <w:rtl/>
        </w:rPr>
        <w:t>،</w:t>
      </w:r>
      <w:r w:rsidR="00E8128F">
        <w:rPr>
          <w:sz w:val="36"/>
          <w:szCs w:val="36"/>
          <w:rtl/>
        </w:rPr>
        <w:t xml:space="preserve"> </w:t>
      </w:r>
      <w:r w:rsidR="008D2529" w:rsidRPr="00FD211F">
        <w:rPr>
          <w:sz w:val="36"/>
          <w:szCs w:val="36"/>
          <w:rtl/>
        </w:rPr>
        <w:t>ودعوى</w:t>
      </w:r>
      <w:r w:rsidR="00E8128F">
        <w:rPr>
          <w:sz w:val="36"/>
          <w:szCs w:val="36"/>
          <w:rtl/>
        </w:rPr>
        <w:t xml:space="preserve"> </w:t>
      </w:r>
      <w:r w:rsidR="008D2529" w:rsidRPr="00FD211F">
        <w:rPr>
          <w:sz w:val="36"/>
          <w:szCs w:val="36"/>
          <w:rtl/>
        </w:rPr>
        <w:t>ايجابي</w:t>
      </w:r>
      <w:r w:rsidR="00EC7EDF" w:rsidRPr="00FD211F">
        <w:rPr>
          <w:sz w:val="36"/>
          <w:szCs w:val="36"/>
          <w:rtl/>
        </w:rPr>
        <w:t>ة</w:t>
      </w:r>
      <w:r w:rsidR="00E8128F">
        <w:rPr>
          <w:sz w:val="36"/>
          <w:szCs w:val="36"/>
          <w:rtl/>
        </w:rPr>
        <w:t xml:space="preserve"> </w:t>
      </w:r>
      <w:r w:rsidR="008D2529" w:rsidRPr="00FD211F">
        <w:rPr>
          <w:sz w:val="36"/>
          <w:szCs w:val="36"/>
          <w:rtl/>
        </w:rPr>
        <w:t>وهي</w:t>
      </w:r>
      <w:r w:rsidR="00E8128F">
        <w:rPr>
          <w:sz w:val="36"/>
          <w:szCs w:val="36"/>
          <w:rtl/>
        </w:rPr>
        <w:t xml:space="preserve"> </w:t>
      </w:r>
      <w:r w:rsidR="008D2529" w:rsidRPr="00FD211F">
        <w:rPr>
          <w:sz w:val="36"/>
          <w:szCs w:val="36"/>
          <w:rtl/>
        </w:rPr>
        <w:t>وضع</w:t>
      </w:r>
      <w:r w:rsidR="00E8128F">
        <w:rPr>
          <w:sz w:val="36"/>
          <w:szCs w:val="36"/>
          <w:rtl/>
        </w:rPr>
        <w:t xml:space="preserve"> </w:t>
      </w:r>
      <w:r w:rsidR="008D2529" w:rsidRPr="00FD211F">
        <w:rPr>
          <w:sz w:val="36"/>
          <w:szCs w:val="36"/>
          <w:rtl/>
        </w:rPr>
        <w:t>هيئ</w:t>
      </w:r>
      <w:r w:rsidR="00EC7EDF" w:rsidRPr="00FD211F">
        <w:rPr>
          <w:sz w:val="36"/>
          <w:szCs w:val="36"/>
          <w:rtl/>
        </w:rPr>
        <w:t>ة</w:t>
      </w:r>
      <w:r w:rsidR="00E8128F">
        <w:rPr>
          <w:sz w:val="36"/>
          <w:szCs w:val="36"/>
          <w:rtl/>
        </w:rPr>
        <w:t xml:space="preserve"> </w:t>
      </w:r>
      <w:r w:rsidR="008D2529" w:rsidRPr="00FD211F">
        <w:rPr>
          <w:sz w:val="36"/>
          <w:szCs w:val="36"/>
          <w:rtl/>
        </w:rPr>
        <w:t>المشتق</w:t>
      </w:r>
      <w:r w:rsidR="00E8128F">
        <w:rPr>
          <w:sz w:val="36"/>
          <w:szCs w:val="36"/>
          <w:rtl/>
        </w:rPr>
        <w:t xml:space="preserve"> </w:t>
      </w:r>
      <w:r w:rsidR="0040555A" w:rsidRPr="00FD211F">
        <w:rPr>
          <w:sz w:val="36"/>
          <w:szCs w:val="36"/>
          <w:rtl/>
        </w:rPr>
        <w:t>للدلال</w:t>
      </w:r>
      <w:r w:rsidR="00EC7EDF" w:rsidRPr="00FD211F">
        <w:rPr>
          <w:sz w:val="36"/>
          <w:szCs w:val="36"/>
          <w:rtl/>
        </w:rPr>
        <w:t>ة</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لابشرطي</w:t>
      </w:r>
      <w:r w:rsidR="00EC7EDF" w:rsidRPr="00FD211F">
        <w:rPr>
          <w:sz w:val="36"/>
          <w:szCs w:val="36"/>
          <w:rtl/>
        </w:rPr>
        <w:t>ة</w:t>
      </w:r>
      <w:r w:rsidR="00E8128F">
        <w:rPr>
          <w:sz w:val="36"/>
          <w:szCs w:val="36"/>
          <w:rtl/>
        </w:rPr>
        <w:t xml:space="preserve"> </w:t>
      </w:r>
      <w:r w:rsidR="0040555A" w:rsidRPr="00FD211F">
        <w:rPr>
          <w:sz w:val="36"/>
          <w:szCs w:val="36"/>
          <w:rtl/>
        </w:rPr>
        <w:t>ال</w:t>
      </w:r>
      <w:r w:rsidR="0079493B" w:rsidRPr="00FD211F">
        <w:rPr>
          <w:sz w:val="36"/>
          <w:szCs w:val="36"/>
          <w:rtl/>
        </w:rPr>
        <w:t>مبدأ</w:t>
      </w:r>
      <w:r w:rsidR="00E8128F">
        <w:rPr>
          <w:sz w:val="36"/>
          <w:szCs w:val="36"/>
          <w:rtl/>
        </w:rPr>
        <w:t xml:space="preserve"> </w:t>
      </w:r>
      <w:r w:rsidR="0040555A" w:rsidRPr="00FD211F">
        <w:rPr>
          <w:sz w:val="36"/>
          <w:szCs w:val="36"/>
          <w:rtl/>
        </w:rPr>
        <w:t>للحمل</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الذات</w:t>
      </w:r>
      <w:r w:rsidR="008D2529" w:rsidRPr="00FD211F">
        <w:rPr>
          <w:sz w:val="36"/>
          <w:szCs w:val="36"/>
          <w:rtl/>
        </w:rPr>
        <w:t>.</w:t>
      </w:r>
    </w:p>
    <w:p w14:paraId="09A8E643" w14:textId="77777777" w:rsidR="008D2529" w:rsidRPr="00FD211F" w:rsidRDefault="0040555A" w:rsidP="009C58C8">
      <w:pPr>
        <w:ind w:left="0" w:firstLine="227"/>
        <w:jc w:val="both"/>
        <w:rPr>
          <w:sz w:val="36"/>
          <w:szCs w:val="36"/>
          <w:rtl/>
        </w:rPr>
      </w:pPr>
      <w:r w:rsidRPr="00FD211F">
        <w:rPr>
          <w:sz w:val="36"/>
          <w:szCs w:val="36"/>
          <w:rtl/>
        </w:rPr>
        <w:t>اما</w:t>
      </w:r>
      <w:r w:rsidR="00E8128F">
        <w:rPr>
          <w:sz w:val="36"/>
          <w:szCs w:val="36"/>
          <w:rtl/>
        </w:rPr>
        <w:t xml:space="preserve"> </w:t>
      </w:r>
      <w:r w:rsidR="008D2529" w:rsidRPr="00FD211F">
        <w:rPr>
          <w:sz w:val="36"/>
          <w:szCs w:val="36"/>
          <w:rtl/>
        </w:rPr>
        <w:t>ا</w:t>
      </w:r>
      <w:r w:rsidRPr="00FD211F">
        <w:rPr>
          <w:sz w:val="36"/>
          <w:szCs w:val="36"/>
          <w:rtl/>
        </w:rPr>
        <w:t>لدعوى</w:t>
      </w:r>
      <w:r w:rsidR="00E8128F">
        <w:rPr>
          <w:sz w:val="36"/>
          <w:szCs w:val="36"/>
          <w:rtl/>
        </w:rPr>
        <w:t xml:space="preserve"> </w:t>
      </w:r>
      <w:r w:rsidRPr="00FD211F">
        <w:rPr>
          <w:sz w:val="36"/>
          <w:szCs w:val="36"/>
          <w:rtl/>
        </w:rPr>
        <w:t>السلبي</w:t>
      </w:r>
      <w:r w:rsidR="00EC7EDF" w:rsidRPr="00FD211F">
        <w:rPr>
          <w:sz w:val="36"/>
          <w:szCs w:val="36"/>
          <w:rtl/>
        </w:rPr>
        <w:t>ة</w:t>
      </w:r>
      <w:r w:rsidR="00E8128F">
        <w:rPr>
          <w:sz w:val="36"/>
          <w:szCs w:val="36"/>
          <w:rtl/>
        </w:rPr>
        <w:t xml:space="preserve"> </w:t>
      </w:r>
      <w:r w:rsidRPr="00FD211F">
        <w:rPr>
          <w:sz w:val="36"/>
          <w:szCs w:val="36"/>
          <w:rtl/>
        </w:rPr>
        <w:t>فيمكن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يستدل</w:t>
      </w:r>
      <w:r w:rsidR="00E8128F">
        <w:rPr>
          <w:sz w:val="36"/>
          <w:szCs w:val="36"/>
          <w:rtl/>
        </w:rPr>
        <w:t xml:space="preserve"> </w:t>
      </w:r>
      <w:r w:rsidRPr="00FD211F">
        <w:rPr>
          <w:sz w:val="36"/>
          <w:szCs w:val="36"/>
          <w:rtl/>
        </w:rPr>
        <w:t>عليها</w:t>
      </w:r>
      <w:r w:rsidR="00E8128F">
        <w:rPr>
          <w:sz w:val="36"/>
          <w:szCs w:val="36"/>
          <w:rtl/>
        </w:rPr>
        <w:t xml:space="preserve"> </w:t>
      </w:r>
      <w:r w:rsidR="008D2529" w:rsidRPr="00FD211F">
        <w:rPr>
          <w:sz w:val="36"/>
          <w:szCs w:val="36"/>
          <w:rtl/>
        </w:rPr>
        <w:t>ب</w:t>
      </w:r>
      <w:r w:rsidRPr="00FD211F">
        <w:rPr>
          <w:sz w:val="36"/>
          <w:szCs w:val="36"/>
          <w:rtl/>
        </w:rPr>
        <w:t>ثلاث</w:t>
      </w:r>
      <w:r w:rsidR="00EC7EDF" w:rsidRPr="00FD211F">
        <w:rPr>
          <w:sz w:val="36"/>
          <w:szCs w:val="36"/>
          <w:rtl/>
        </w:rPr>
        <w:t>ة</w:t>
      </w:r>
      <w:r w:rsidR="00E8128F">
        <w:rPr>
          <w:sz w:val="36"/>
          <w:szCs w:val="36"/>
          <w:rtl/>
        </w:rPr>
        <w:t xml:space="preserve"> </w:t>
      </w:r>
      <w:r w:rsidRPr="00FD211F">
        <w:rPr>
          <w:sz w:val="36"/>
          <w:szCs w:val="36"/>
          <w:rtl/>
        </w:rPr>
        <w:t>اوجه</w:t>
      </w:r>
      <w:r w:rsidR="008D2529" w:rsidRPr="00FD211F">
        <w:rPr>
          <w:sz w:val="36"/>
          <w:szCs w:val="36"/>
          <w:rtl/>
        </w:rPr>
        <w:t>:</w:t>
      </w:r>
    </w:p>
    <w:p w14:paraId="2F96472C" w14:textId="77777777" w:rsidR="0040555A" w:rsidRPr="00FD211F" w:rsidRDefault="0040555A" w:rsidP="009C58C8">
      <w:pPr>
        <w:ind w:left="0" w:firstLine="227"/>
        <w:jc w:val="both"/>
        <w:rPr>
          <w:sz w:val="36"/>
          <w:szCs w:val="36"/>
          <w:rtl/>
        </w:rPr>
      </w:pPr>
      <w:r w:rsidRPr="00FD211F">
        <w:rPr>
          <w:sz w:val="36"/>
          <w:szCs w:val="36"/>
          <w:rtl/>
        </w:rPr>
        <w:t>1-</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عن</w:t>
      </w:r>
      <w:r w:rsidR="00E8128F">
        <w:rPr>
          <w:sz w:val="36"/>
          <w:szCs w:val="36"/>
          <w:rtl/>
        </w:rPr>
        <w:t xml:space="preserve"> </w:t>
      </w:r>
      <w:r w:rsidR="008D2529" w:rsidRPr="00FD211F">
        <w:rPr>
          <w:sz w:val="36"/>
          <w:szCs w:val="36"/>
          <w:rtl/>
        </w:rPr>
        <w:t>المحقق</w:t>
      </w:r>
      <w:r w:rsidR="00E8128F">
        <w:rPr>
          <w:sz w:val="36"/>
          <w:szCs w:val="36"/>
          <w:rtl/>
        </w:rPr>
        <w:t xml:space="preserve"> </w:t>
      </w:r>
      <w:r w:rsidRPr="00FD211F">
        <w:rPr>
          <w:sz w:val="36"/>
          <w:szCs w:val="36"/>
          <w:rtl/>
        </w:rPr>
        <w:t>الدواني</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مقتضى</w:t>
      </w:r>
      <w:r w:rsidR="00E8128F">
        <w:rPr>
          <w:sz w:val="36"/>
          <w:szCs w:val="36"/>
          <w:rtl/>
        </w:rPr>
        <w:t xml:space="preserve"> </w:t>
      </w:r>
      <w:r w:rsidRPr="00FD211F">
        <w:rPr>
          <w:sz w:val="36"/>
          <w:szCs w:val="36"/>
          <w:rtl/>
        </w:rPr>
        <w:t>دلال</w:t>
      </w:r>
      <w:r w:rsidR="00EC7EDF" w:rsidRPr="00FD211F">
        <w:rPr>
          <w:sz w:val="36"/>
          <w:szCs w:val="36"/>
          <w:rtl/>
        </w:rPr>
        <w:t>ة</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ذات</w:t>
      </w:r>
      <w:r w:rsidR="00E8128F">
        <w:rPr>
          <w:sz w:val="36"/>
          <w:szCs w:val="36"/>
          <w:rtl/>
        </w:rPr>
        <w:t xml:space="preserve"> </w:t>
      </w:r>
      <w:r w:rsidRPr="00FD211F">
        <w:rPr>
          <w:sz w:val="36"/>
          <w:szCs w:val="36"/>
          <w:rtl/>
        </w:rPr>
        <w:t>منتسب</w:t>
      </w:r>
      <w:r w:rsidR="00E8128F">
        <w:rPr>
          <w:sz w:val="36"/>
          <w:szCs w:val="36"/>
          <w:rtl/>
        </w:rPr>
        <w:t xml:space="preserve"> </w:t>
      </w:r>
      <w:r w:rsidRPr="00FD211F">
        <w:rPr>
          <w:sz w:val="36"/>
          <w:szCs w:val="36"/>
          <w:rtl/>
        </w:rPr>
        <w:t>اليه</w:t>
      </w:r>
      <w:r w:rsidR="00801C46" w:rsidRPr="00FD211F">
        <w:rPr>
          <w:sz w:val="36"/>
          <w:szCs w:val="36"/>
          <w:rtl/>
        </w:rPr>
        <w:t>ا</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تغاير</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وال</w:t>
      </w:r>
      <w:r w:rsidR="0079493B" w:rsidRPr="00FD211F">
        <w:rPr>
          <w:sz w:val="36"/>
          <w:szCs w:val="36"/>
          <w:rtl/>
        </w:rPr>
        <w:t>مبدأ</w:t>
      </w:r>
      <w:r w:rsidR="00E8128F">
        <w:rPr>
          <w:sz w:val="36"/>
          <w:szCs w:val="36"/>
          <w:rtl/>
        </w:rPr>
        <w:t xml:space="preserve"> </w:t>
      </w:r>
      <w:r w:rsidR="000606FD" w:rsidRPr="00FD211F">
        <w:rPr>
          <w:sz w:val="36"/>
          <w:szCs w:val="36"/>
          <w:rtl/>
        </w:rPr>
        <w:t>فينتقض</w:t>
      </w:r>
      <w:r w:rsidR="00E8128F">
        <w:rPr>
          <w:sz w:val="36"/>
          <w:szCs w:val="36"/>
          <w:rtl/>
        </w:rPr>
        <w:t xml:space="preserve"> </w:t>
      </w:r>
      <w:r w:rsidR="000606FD" w:rsidRPr="00FD211F">
        <w:rPr>
          <w:sz w:val="36"/>
          <w:szCs w:val="36"/>
          <w:rtl/>
        </w:rPr>
        <w:t>بما</w:t>
      </w:r>
      <w:r w:rsidR="00E8128F">
        <w:rPr>
          <w:sz w:val="36"/>
          <w:szCs w:val="36"/>
          <w:rtl/>
        </w:rPr>
        <w:t xml:space="preserve"> </w:t>
      </w:r>
      <w:r w:rsidR="000606FD" w:rsidRPr="00FD211F">
        <w:rPr>
          <w:sz w:val="36"/>
          <w:szCs w:val="36"/>
          <w:rtl/>
        </w:rPr>
        <w:t>قد</w:t>
      </w:r>
      <w:r w:rsidR="00E8128F">
        <w:rPr>
          <w:sz w:val="36"/>
          <w:szCs w:val="36"/>
          <w:rtl/>
        </w:rPr>
        <w:t xml:space="preserve"> </w:t>
      </w:r>
      <w:r w:rsidRPr="00FD211F">
        <w:rPr>
          <w:sz w:val="36"/>
          <w:szCs w:val="36"/>
          <w:rtl/>
        </w:rPr>
        <w:t>يقال</w:t>
      </w:r>
      <w:r w:rsidR="00E8128F">
        <w:rPr>
          <w:sz w:val="36"/>
          <w:szCs w:val="36"/>
          <w:rtl/>
        </w:rPr>
        <w:t xml:space="preserve"> </w:t>
      </w:r>
      <w:r w:rsidR="000606FD" w:rsidRPr="00FD211F">
        <w:rPr>
          <w:sz w:val="36"/>
          <w:szCs w:val="36"/>
          <w:rtl/>
        </w:rPr>
        <w:t>من</w:t>
      </w:r>
      <w:r w:rsidR="00E8128F">
        <w:rPr>
          <w:sz w:val="36"/>
          <w:szCs w:val="36"/>
          <w:rtl/>
        </w:rPr>
        <w:t xml:space="preserve"> </w:t>
      </w:r>
      <w:r w:rsidR="000606FD" w:rsidRPr="00FD211F">
        <w:rPr>
          <w:sz w:val="36"/>
          <w:szCs w:val="36"/>
          <w:rtl/>
        </w:rPr>
        <w:t>ان</w:t>
      </w:r>
      <w:r w:rsidR="00E8128F">
        <w:rPr>
          <w:sz w:val="36"/>
          <w:szCs w:val="36"/>
          <w:rtl/>
        </w:rPr>
        <w:t xml:space="preserve"> </w:t>
      </w:r>
      <w:r w:rsidRPr="00FD211F">
        <w:rPr>
          <w:sz w:val="36"/>
          <w:szCs w:val="36"/>
          <w:rtl/>
        </w:rPr>
        <w:t>الوجود</w:t>
      </w:r>
      <w:r w:rsidR="00E8128F">
        <w:rPr>
          <w:sz w:val="36"/>
          <w:szCs w:val="36"/>
          <w:rtl/>
        </w:rPr>
        <w:t xml:space="preserve"> </w:t>
      </w:r>
      <w:r w:rsidRPr="00FD211F">
        <w:rPr>
          <w:sz w:val="36"/>
          <w:szCs w:val="36"/>
          <w:rtl/>
        </w:rPr>
        <w:t>موجود</w:t>
      </w:r>
      <w:r w:rsidR="00E8128F">
        <w:rPr>
          <w:sz w:val="36"/>
          <w:szCs w:val="36"/>
          <w:rtl/>
        </w:rPr>
        <w:t xml:space="preserve"> </w:t>
      </w:r>
      <w:r w:rsidRPr="00FD211F">
        <w:rPr>
          <w:sz w:val="36"/>
          <w:szCs w:val="36"/>
          <w:rtl/>
        </w:rPr>
        <w:t>والضوء</w:t>
      </w:r>
      <w:r w:rsidR="00E8128F">
        <w:rPr>
          <w:sz w:val="36"/>
          <w:szCs w:val="36"/>
          <w:rtl/>
        </w:rPr>
        <w:t xml:space="preserve"> </w:t>
      </w:r>
      <w:r w:rsidRPr="00FD211F">
        <w:rPr>
          <w:sz w:val="36"/>
          <w:szCs w:val="36"/>
          <w:rtl/>
        </w:rPr>
        <w:t>مضيئ</w:t>
      </w:r>
      <w:r w:rsidR="00E8128F">
        <w:rPr>
          <w:sz w:val="36"/>
          <w:szCs w:val="36"/>
          <w:rtl/>
        </w:rPr>
        <w:t xml:space="preserve"> </w:t>
      </w:r>
      <w:r w:rsidRPr="00FD211F">
        <w:rPr>
          <w:sz w:val="36"/>
          <w:szCs w:val="36"/>
          <w:rtl/>
        </w:rPr>
        <w:t>والبياض</w:t>
      </w:r>
      <w:r w:rsidR="00E8128F">
        <w:rPr>
          <w:sz w:val="36"/>
          <w:szCs w:val="36"/>
          <w:rtl/>
        </w:rPr>
        <w:t xml:space="preserve"> </w:t>
      </w:r>
      <w:r w:rsidRPr="00FD211F">
        <w:rPr>
          <w:sz w:val="36"/>
          <w:szCs w:val="36"/>
          <w:rtl/>
        </w:rPr>
        <w:t>ابيض</w:t>
      </w:r>
      <w:r w:rsidR="00E8128F">
        <w:rPr>
          <w:sz w:val="36"/>
          <w:szCs w:val="36"/>
          <w:rtl/>
        </w:rPr>
        <w:t xml:space="preserve"> </w:t>
      </w:r>
      <w:r w:rsidRPr="00FD211F">
        <w:rPr>
          <w:sz w:val="36"/>
          <w:szCs w:val="36"/>
          <w:rtl/>
        </w:rPr>
        <w:t>فيحمل</w:t>
      </w:r>
      <w:r w:rsidR="00E8128F">
        <w:rPr>
          <w:sz w:val="36"/>
          <w:szCs w:val="36"/>
          <w:rtl/>
        </w:rPr>
        <w:t xml:space="preserve"> </w:t>
      </w:r>
      <w:r w:rsidRPr="00FD211F">
        <w:rPr>
          <w:sz w:val="36"/>
          <w:szCs w:val="36"/>
          <w:rtl/>
        </w:rPr>
        <w:t>العرض</w:t>
      </w:r>
      <w:r w:rsidR="00801C46" w:rsidRPr="00FD211F">
        <w:rPr>
          <w:sz w:val="36"/>
          <w:szCs w:val="36"/>
          <w:rtl/>
        </w:rPr>
        <w:t>ي</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نفس</w:t>
      </w:r>
      <w:r w:rsidR="00E8128F">
        <w:rPr>
          <w:sz w:val="36"/>
          <w:szCs w:val="36"/>
          <w:rtl/>
        </w:rPr>
        <w:t xml:space="preserve"> </w:t>
      </w:r>
      <w:r w:rsidRPr="00FD211F">
        <w:rPr>
          <w:sz w:val="36"/>
          <w:szCs w:val="36"/>
          <w:rtl/>
        </w:rPr>
        <w:t>العرض</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يحسه</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مباشر</w:t>
      </w:r>
      <w:r w:rsidR="00EC7EDF" w:rsidRPr="00FD211F">
        <w:rPr>
          <w:sz w:val="36"/>
          <w:szCs w:val="36"/>
          <w:rtl/>
        </w:rPr>
        <w:t>ة</w:t>
      </w:r>
      <w:r w:rsidR="00E8128F">
        <w:rPr>
          <w:sz w:val="36"/>
          <w:szCs w:val="36"/>
          <w:rtl/>
        </w:rPr>
        <w:t xml:space="preserve"> </w:t>
      </w:r>
      <w:r w:rsidRPr="00FD211F">
        <w:rPr>
          <w:sz w:val="36"/>
          <w:szCs w:val="36"/>
          <w:rtl/>
        </w:rPr>
        <w:t>وبالبرهان</w:t>
      </w:r>
      <w:r w:rsidR="00E8128F">
        <w:rPr>
          <w:sz w:val="36"/>
          <w:szCs w:val="36"/>
          <w:rtl/>
        </w:rPr>
        <w:t xml:space="preserve"> </w:t>
      </w:r>
      <w:r w:rsidRPr="00FD211F">
        <w:rPr>
          <w:sz w:val="36"/>
          <w:szCs w:val="36"/>
          <w:rtl/>
        </w:rPr>
        <w:t>ينتقل</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الجوهر</w:t>
      </w:r>
      <w:r w:rsidR="00603323" w:rsidRPr="00FD211F">
        <w:rPr>
          <w:sz w:val="36"/>
          <w:szCs w:val="36"/>
          <w:rtl/>
        </w:rPr>
        <w:t>،</w:t>
      </w:r>
      <w:r w:rsidR="00E8128F">
        <w:rPr>
          <w:sz w:val="36"/>
          <w:szCs w:val="36"/>
          <w:rtl/>
        </w:rPr>
        <w:t xml:space="preserve"> </w:t>
      </w:r>
      <w:r w:rsidRPr="00FD211F">
        <w:rPr>
          <w:sz w:val="36"/>
          <w:szCs w:val="36"/>
          <w:rtl/>
        </w:rPr>
        <w:t>وكذا</w:t>
      </w:r>
      <w:r w:rsidR="00E8128F">
        <w:rPr>
          <w:sz w:val="36"/>
          <w:szCs w:val="36"/>
          <w:rtl/>
        </w:rPr>
        <w:t xml:space="preserve"> </w:t>
      </w:r>
      <w:r w:rsidRPr="00FD211F">
        <w:rPr>
          <w:sz w:val="36"/>
          <w:szCs w:val="36"/>
          <w:rtl/>
        </w:rPr>
        <w:t>ينتقض</w:t>
      </w:r>
      <w:r w:rsidR="00E8128F">
        <w:rPr>
          <w:sz w:val="36"/>
          <w:szCs w:val="36"/>
          <w:rtl/>
        </w:rPr>
        <w:t xml:space="preserve"> </w:t>
      </w:r>
      <w:r w:rsidRPr="00FD211F">
        <w:rPr>
          <w:sz w:val="36"/>
          <w:szCs w:val="36"/>
          <w:rtl/>
        </w:rPr>
        <w:t>بحمل</w:t>
      </w:r>
      <w:r w:rsidR="00E8128F">
        <w:rPr>
          <w:sz w:val="36"/>
          <w:szCs w:val="36"/>
          <w:rtl/>
        </w:rPr>
        <w:t xml:space="preserve"> </w:t>
      </w:r>
      <w:r w:rsidRPr="00FD211F">
        <w:rPr>
          <w:sz w:val="36"/>
          <w:szCs w:val="36"/>
          <w:rtl/>
        </w:rPr>
        <w:t>المشتق</w:t>
      </w:r>
      <w:r w:rsidR="00E8128F">
        <w:rPr>
          <w:sz w:val="36"/>
          <w:szCs w:val="36"/>
          <w:rtl/>
        </w:rPr>
        <w:t xml:space="preserve"> </w:t>
      </w:r>
      <w:r w:rsidR="000606FD" w:rsidRPr="00FD211F">
        <w:rPr>
          <w:sz w:val="36"/>
          <w:szCs w:val="36"/>
          <w:rtl/>
        </w:rPr>
        <w:t>كالعالم</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الباري</w:t>
      </w:r>
      <w:r w:rsidR="00E8128F">
        <w:rPr>
          <w:sz w:val="36"/>
          <w:szCs w:val="36"/>
          <w:rtl/>
        </w:rPr>
        <w:t xml:space="preserve"> </w:t>
      </w:r>
      <w:r w:rsidRPr="00FD211F">
        <w:rPr>
          <w:sz w:val="36"/>
          <w:szCs w:val="36"/>
          <w:rtl/>
        </w:rPr>
        <w:t>تعالى</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قيام</w:t>
      </w:r>
      <w:r w:rsidR="00E8128F">
        <w:rPr>
          <w:sz w:val="36"/>
          <w:szCs w:val="36"/>
          <w:rtl/>
        </w:rPr>
        <w:t xml:space="preserve"> </w:t>
      </w:r>
      <w:r w:rsidRPr="00FD211F">
        <w:rPr>
          <w:sz w:val="36"/>
          <w:szCs w:val="36"/>
          <w:rtl/>
        </w:rPr>
        <w:t>البرهان</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اوصافه</w:t>
      </w:r>
      <w:r w:rsidR="00E8128F">
        <w:rPr>
          <w:sz w:val="36"/>
          <w:szCs w:val="36"/>
          <w:rtl/>
        </w:rPr>
        <w:t xml:space="preserve"> </w:t>
      </w:r>
      <w:r w:rsidRPr="00FD211F">
        <w:rPr>
          <w:sz w:val="36"/>
          <w:szCs w:val="36"/>
          <w:rtl/>
        </w:rPr>
        <w:t>عين</w:t>
      </w:r>
      <w:r w:rsidR="00E8128F">
        <w:rPr>
          <w:sz w:val="36"/>
          <w:szCs w:val="36"/>
          <w:rtl/>
        </w:rPr>
        <w:t xml:space="preserve"> </w:t>
      </w:r>
      <w:r w:rsidRPr="00FD211F">
        <w:rPr>
          <w:sz w:val="36"/>
          <w:szCs w:val="36"/>
          <w:rtl/>
        </w:rPr>
        <w:t>ذاته.</w:t>
      </w:r>
    </w:p>
    <w:p w14:paraId="33352A9E" w14:textId="77777777" w:rsidR="0034518B" w:rsidRPr="00FD211F" w:rsidRDefault="0040555A" w:rsidP="009C58C8">
      <w:pPr>
        <w:ind w:left="0" w:firstLine="227"/>
        <w:jc w:val="both"/>
        <w:rPr>
          <w:sz w:val="36"/>
          <w:szCs w:val="36"/>
          <w:rtl/>
        </w:rPr>
      </w:pPr>
      <w:r w:rsidRPr="00FD211F">
        <w:rPr>
          <w:sz w:val="36"/>
          <w:szCs w:val="36"/>
          <w:rtl/>
        </w:rPr>
        <w:t>واورد</w:t>
      </w:r>
      <w:r w:rsidR="00E8128F">
        <w:rPr>
          <w:sz w:val="36"/>
          <w:szCs w:val="36"/>
          <w:rtl/>
        </w:rPr>
        <w:t xml:space="preserve"> </w:t>
      </w:r>
      <w:r w:rsidRPr="00FD211F">
        <w:rPr>
          <w:sz w:val="36"/>
          <w:szCs w:val="36"/>
          <w:rtl/>
        </w:rPr>
        <w:t>عليه</w:t>
      </w:r>
      <w:r w:rsidR="00E8128F">
        <w:rPr>
          <w:sz w:val="36"/>
          <w:szCs w:val="36"/>
          <w:rtl/>
        </w:rPr>
        <w:t xml:space="preserve"> </w:t>
      </w:r>
      <w:r w:rsidR="000606FD" w:rsidRPr="00FD211F">
        <w:rPr>
          <w:sz w:val="36"/>
          <w:szCs w:val="36"/>
          <w:rtl/>
        </w:rPr>
        <w:t>السيد</w:t>
      </w:r>
      <w:r w:rsidR="00E8128F">
        <w:rPr>
          <w:sz w:val="36"/>
          <w:szCs w:val="36"/>
          <w:rtl/>
        </w:rPr>
        <w:t xml:space="preserve"> </w:t>
      </w:r>
      <w:r w:rsidR="000606FD" w:rsidRPr="00FD211F">
        <w:rPr>
          <w:sz w:val="36"/>
          <w:szCs w:val="36"/>
          <w:rtl/>
        </w:rPr>
        <w:t>الخوئي</w:t>
      </w:r>
      <w:r w:rsidR="00E8128F">
        <w:rPr>
          <w:sz w:val="36"/>
          <w:szCs w:val="36"/>
          <w:rtl/>
        </w:rPr>
        <w:t xml:space="preserve"> </w:t>
      </w:r>
      <w:r w:rsidR="00B1734E" w:rsidRPr="00FD211F">
        <w:rPr>
          <w:sz w:val="36"/>
          <w:szCs w:val="36"/>
          <w:rtl/>
        </w:rPr>
        <w:t>"قده"</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المراد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تلبس</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بال</w:t>
      </w:r>
      <w:r w:rsidR="0079493B" w:rsidRPr="00FD211F">
        <w:rPr>
          <w:sz w:val="36"/>
          <w:szCs w:val="36"/>
          <w:rtl/>
        </w:rPr>
        <w:t>مبدأ</w:t>
      </w:r>
      <w:r w:rsidR="00E8128F">
        <w:rPr>
          <w:sz w:val="36"/>
          <w:szCs w:val="36"/>
          <w:rtl/>
        </w:rPr>
        <w:t xml:space="preserve"> </w:t>
      </w:r>
      <w:r w:rsidR="000606FD" w:rsidRPr="00FD211F">
        <w:rPr>
          <w:sz w:val="36"/>
          <w:szCs w:val="36"/>
          <w:rtl/>
        </w:rPr>
        <w:t>واجدي</w:t>
      </w:r>
      <w:r w:rsidR="00EC7EDF" w:rsidRPr="00FD211F">
        <w:rPr>
          <w:sz w:val="36"/>
          <w:szCs w:val="36"/>
          <w:rtl/>
        </w:rPr>
        <w:t>ة</w:t>
      </w:r>
      <w:r w:rsidR="00E8128F">
        <w:rPr>
          <w:sz w:val="36"/>
          <w:szCs w:val="36"/>
          <w:rtl/>
        </w:rPr>
        <w:t xml:space="preserve"> </w:t>
      </w:r>
      <w:r w:rsidR="000606FD" w:rsidRPr="00FD211F">
        <w:rPr>
          <w:sz w:val="36"/>
          <w:szCs w:val="36"/>
          <w:rtl/>
        </w:rPr>
        <w:t>الذات</w:t>
      </w:r>
      <w:r w:rsidR="00E8128F">
        <w:rPr>
          <w:sz w:val="36"/>
          <w:szCs w:val="36"/>
          <w:rtl/>
        </w:rPr>
        <w:t xml:space="preserve"> </w:t>
      </w:r>
      <w:r w:rsidR="000606FD" w:rsidRPr="00FD211F">
        <w:rPr>
          <w:sz w:val="36"/>
          <w:szCs w:val="36"/>
          <w:rtl/>
        </w:rPr>
        <w:t>له</w:t>
      </w:r>
      <w:r w:rsidR="00E8128F">
        <w:rPr>
          <w:sz w:val="36"/>
          <w:szCs w:val="36"/>
          <w:rtl/>
        </w:rPr>
        <w:t xml:space="preserve"> </w:t>
      </w:r>
      <w:r w:rsidR="000606FD" w:rsidRPr="00FD211F">
        <w:rPr>
          <w:sz w:val="36"/>
          <w:szCs w:val="36"/>
          <w:rtl/>
        </w:rPr>
        <w:t>في</w:t>
      </w:r>
      <w:r w:rsidR="00E8128F">
        <w:rPr>
          <w:sz w:val="36"/>
          <w:szCs w:val="36"/>
          <w:rtl/>
        </w:rPr>
        <w:t xml:space="preserve"> </w:t>
      </w:r>
      <w:r w:rsidR="000606FD" w:rsidRPr="00FD211F">
        <w:rPr>
          <w:sz w:val="36"/>
          <w:szCs w:val="36"/>
          <w:rtl/>
        </w:rPr>
        <w:t>قبال</w:t>
      </w:r>
      <w:r w:rsidR="00E8128F">
        <w:rPr>
          <w:sz w:val="36"/>
          <w:szCs w:val="36"/>
          <w:rtl/>
        </w:rPr>
        <w:t xml:space="preserve"> </w:t>
      </w:r>
      <w:r w:rsidR="000606FD" w:rsidRPr="00FD211F">
        <w:rPr>
          <w:sz w:val="36"/>
          <w:szCs w:val="36"/>
          <w:rtl/>
        </w:rPr>
        <w:t>فقدانها</w:t>
      </w:r>
      <w:r w:rsidR="00E8128F">
        <w:rPr>
          <w:sz w:val="36"/>
          <w:szCs w:val="36"/>
          <w:rtl/>
        </w:rPr>
        <w:t xml:space="preserve"> </w:t>
      </w:r>
      <w:r w:rsidR="000606FD" w:rsidRPr="00FD211F">
        <w:rPr>
          <w:sz w:val="36"/>
          <w:szCs w:val="36"/>
          <w:rtl/>
        </w:rPr>
        <w:t>له</w:t>
      </w:r>
      <w:r w:rsidR="00603323" w:rsidRPr="00FD211F">
        <w:rPr>
          <w:sz w:val="36"/>
          <w:szCs w:val="36"/>
          <w:rtl/>
        </w:rPr>
        <w:t>،</w:t>
      </w:r>
      <w:r w:rsidR="00E8128F">
        <w:rPr>
          <w:sz w:val="36"/>
          <w:szCs w:val="36"/>
          <w:rtl/>
        </w:rPr>
        <w:t xml:space="preserve"> </w:t>
      </w:r>
      <w:r w:rsidR="000606FD" w:rsidRPr="00FD211F">
        <w:rPr>
          <w:sz w:val="36"/>
          <w:szCs w:val="36"/>
          <w:rtl/>
        </w:rPr>
        <w:t>وهي</w:t>
      </w:r>
      <w:r w:rsidR="00E8128F">
        <w:rPr>
          <w:sz w:val="36"/>
          <w:szCs w:val="36"/>
          <w:rtl/>
        </w:rPr>
        <w:t xml:space="preserve"> </w:t>
      </w:r>
      <w:r w:rsidR="000606FD" w:rsidRPr="00FD211F">
        <w:rPr>
          <w:sz w:val="36"/>
          <w:szCs w:val="36"/>
          <w:rtl/>
        </w:rPr>
        <w:t>تختلف</w:t>
      </w:r>
      <w:r w:rsidR="00E8128F">
        <w:rPr>
          <w:sz w:val="36"/>
          <w:szCs w:val="36"/>
          <w:rtl/>
        </w:rPr>
        <w:t xml:space="preserve"> </w:t>
      </w:r>
      <w:r w:rsidR="000606FD" w:rsidRPr="00FD211F">
        <w:rPr>
          <w:sz w:val="36"/>
          <w:szCs w:val="36"/>
          <w:rtl/>
        </w:rPr>
        <w:t>باختلاف</w:t>
      </w:r>
      <w:r w:rsidR="00E8128F">
        <w:rPr>
          <w:sz w:val="36"/>
          <w:szCs w:val="36"/>
          <w:rtl/>
        </w:rPr>
        <w:t xml:space="preserve"> </w:t>
      </w:r>
      <w:r w:rsidR="000606FD" w:rsidRPr="00FD211F">
        <w:rPr>
          <w:sz w:val="36"/>
          <w:szCs w:val="36"/>
          <w:rtl/>
        </w:rPr>
        <w:t>الموارد</w:t>
      </w:r>
      <w:r w:rsidR="00603323" w:rsidRPr="00FD211F">
        <w:rPr>
          <w:sz w:val="36"/>
          <w:szCs w:val="36"/>
          <w:rtl/>
        </w:rPr>
        <w:t>،</w:t>
      </w:r>
      <w:r w:rsidR="00E8128F">
        <w:rPr>
          <w:sz w:val="36"/>
          <w:szCs w:val="36"/>
          <w:rtl/>
        </w:rPr>
        <w:t xml:space="preserve"> </w:t>
      </w:r>
      <w:r w:rsidR="000606FD" w:rsidRPr="00FD211F">
        <w:rPr>
          <w:sz w:val="36"/>
          <w:szCs w:val="36"/>
          <w:rtl/>
        </w:rPr>
        <w:t>فتار</w:t>
      </w:r>
      <w:r w:rsidR="00EC7EDF" w:rsidRPr="00FD211F">
        <w:rPr>
          <w:sz w:val="36"/>
          <w:szCs w:val="36"/>
          <w:rtl/>
        </w:rPr>
        <w:t>ة</w:t>
      </w:r>
      <w:r w:rsidR="00E8128F">
        <w:rPr>
          <w:sz w:val="36"/>
          <w:szCs w:val="36"/>
          <w:rtl/>
        </w:rPr>
        <w:t xml:space="preserve"> </w:t>
      </w:r>
      <w:r w:rsidR="000606FD" w:rsidRPr="00FD211F">
        <w:rPr>
          <w:sz w:val="36"/>
          <w:szCs w:val="36"/>
          <w:rtl/>
        </w:rPr>
        <w:t>يكون</w:t>
      </w:r>
      <w:r w:rsidR="00E8128F">
        <w:rPr>
          <w:sz w:val="36"/>
          <w:szCs w:val="36"/>
          <w:rtl/>
        </w:rPr>
        <w:t xml:space="preserve"> </w:t>
      </w:r>
      <w:r w:rsidR="000606FD" w:rsidRPr="00FD211F">
        <w:rPr>
          <w:sz w:val="36"/>
          <w:szCs w:val="36"/>
          <w:rtl/>
        </w:rPr>
        <w:t>ال</w:t>
      </w:r>
      <w:r w:rsidR="008D7B3D" w:rsidRPr="00FD211F">
        <w:rPr>
          <w:sz w:val="36"/>
          <w:szCs w:val="36"/>
          <w:rtl/>
        </w:rPr>
        <w:t>شيء</w:t>
      </w:r>
      <w:r w:rsidR="00E8128F">
        <w:rPr>
          <w:sz w:val="36"/>
          <w:szCs w:val="36"/>
          <w:rtl/>
        </w:rPr>
        <w:t xml:space="preserve"> </w:t>
      </w:r>
      <w:r w:rsidR="000606FD" w:rsidRPr="00FD211F">
        <w:rPr>
          <w:sz w:val="36"/>
          <w:szCs w:val="36"/>
          <w:rtl/>
        </w:rPr>
        <w:t>واجدا</w:t>
      </w:r>
      <w:r w:rsidR="00E8128F">
        <w:rPr>
          <w:sz w:val="36"/>
          <w:szCs w:val="36"/>
          <w:rtl/>
        </w:rPr>
        <w:t xml:space="preserve"> </w:t>
      </w:r>
      <w:r w:rsidR="000606FD" w:rsidRPr="00FD211F">
        <w:rPr>
          <w:sz w:val="36"/>
          <w:szCs w:val="36"/>
          <w:rtl/>
        </w:rPr>
        <w:t>لما</w:t>
      </w:r>
      <w:r w:rsidR="00E8128F">
        <w:rPr>
          <w:sz w:val="36"/>
          <w:szCs w:val="36"/>
          <w:rtl/>
        </w:rPr>
        <w:t xml:space="preserve"> </w:t>
      </w:r>
      <w:r w:rsidR="000606FD" w:rsidRPr="00FD211F">
        <w:rPr>
          <w:sz w:val="36"/>
          <w:szCs w:val="36"/>
          <w:rtl/>
        </w:rPr>
        <w:t>هو</w:t>
      </w:r>
      <w:r w:rsidR="00E8128F">
        <w:rPr>
          <w:sz w:val="36"/>
          <w:szCs w:val="36"/>
          <w:rtl/>
        </w:rPr>
        <w:t xml:space="preserve"> </w:t>
      </w:r>
      <w:r w:rsidR="000606FD" w:rsidRPr="00FD211F">
        <w:rPr>
          <w:sz w:val="36"/>
          <w:szCs w:val="36"/>
          <w:rtl/>
        </w:rPr>
        <w:t>مغاير</w:t>
      </w:r>
      <w:r w:rsidR="00E8128F">
        <w:rPr>
          <w:sz w:val="36"/>
          <w:szCs w:val="36"/>
          <w:rtl/>
        </w:rPr>
        <w:t xml:space="preserve"> </w:t>
      </w:r>
      <w:r w:rsidR="000606FD" w:rsidRPr="00FD211F">
        <w:rPr>
          <w:sz w:val="36"/>
          <w:szCs w:val="36"/>
          <w:rtl/>
        </w:rPr>
        <w:t>له</w:t>
      </w:r>
      <w:r w:rsidR="00E8128F">
        <w:rPr>
          <w:sz w:val="36"/>
          <w:szCs w:val="36"/>
          <w:rtl/>
        </w:rPr>
        <w:t xml:space="preserve"> </w:t>
      </w:r>
      <w:r w:rsidR="000606FD" w:rsidRPr="00FD211F">
        <w:rPr>
          <w:sz w:val="36"/>
          <w:szCs w:val="36"/>
          <w:rtl/>
        </w:rPr>
        <w:t>وجودا</w:t>
      </w:r>
      <w:r w:rsidR="00E8128F">
        <w:rPr>
          <w:sz w:val="36"/>
          <w:szCs w:val="36"/>
          <w:rtl/>
        </w:rPr>
        <w:t xml:space="preserve"> </w:t>
      </w:r>
      <w:r w:rsidR="000606FD" w:rsidRPr="00FD211F">
        <w:rPr>
          <w:sz w:val="36"/>
          <w:szCs w:val="36"/>
          <w:rtl/>
        </w:rPr>
        <w:t>ومفهوما</w:t>
      </w:r>
      <w:r w:rsidR="00E8128F">
        <w:rPr>
          <w:sz w:val="36"/>
          <w:szCs w:val="36"/>
          <w:rtl/>
        </w:rPr>
        <w:t xml:space="preserve"> </w:t>
      </w:r>
      <w:r w:rsidR="000606FD" w:rsidRPr="00FD211F">
        <w:rPr>
          <w:sz w:val="36"/>
          <w:szCs w:val="36"/>
          <w:rtl/>
        </w:rPr>
        <w:t>كما</w:t>
      </w:r>
      <w:r w:rsidR="00E8128F">
        <w:rPr>
          <w:sz w:val="36"/>
          <w:szCs w:val="36"/>
          <w:rtl/>
        </w:rPr>
        <w:t xml:space="preserve"> </w:t>
      </w:r>
      <w:r w:rsidR="000606FD" w:rsidRPr="00FD211F">
        <w:rPr>
          <w:sz w:val="36"/>
          <w:szCs w:val="36"/>
          <w:rtl/>
        </w:rPr>
        <w:t>هو</w:t>
      </w:r>
      <w:r w:rsidR="00E8128F">
        <w:rPr>
          <w:sz w:val="36"/>
          <w:szCs w:val="36"/>
          <w:rtl/>
        </w:rPr>
        <w:t xml:space="preserve"> </w:t>
      </w:r>
      <w:r w:rsidR="000606FD" w:rsidRPr="00FD211F">
        <w:rPr>
          <w:sz w:val="36"/>
          <w:szCs w:val="36"/>
          <w:rtl/>
        </w:rPr>
        <w:t>الحال</w:t>
      </w:r>
      <w:r w:rsidR="00E8128F">
        <w:rPr>
          <w:sz w:val="36"/>
          <w:szCs w:val="36"/>
          <w:rtl/>
        </w:rPr>
        <w:t xml:space="preserve"> </w:t>
      </w:r>
      <w:r w:rsidR="000606FD" w:rsidRPr="00FD211F">
        <w:rPr>
          <w:sz w:val="36"/>
          <w:szCs w:val="36"/>
          <w:rtl/>
        </w:rPr>
        <w:t>في</w:t>
      </w:r>
      <w:r w:rsidR="00E8128F">
        <w:rPr>
          <w:sz w:val="36"/>
          <w:szCs w:val="36"/>
          <w:rtl/>
        </w:rPr>
        <w:t xml:space="preserve"> </w:t>
      </w:r>
      <w:r w:rsidR="000606FD" w:rsidRPr="00FD211F">
        <w:rPr>
          <w:sz w:val="36"/>
          <w:szCs w:val="36"/>
          <w:rtl/>
        </w:rPr>
        <w:t>غالب</w:t>
      </w:r>
      <w:r w:rsidR="00E8128F">
        <w:rPr>
          <w:sz w:val="36"/>
          <w:szCs w:val="36"/>
          <w:rtl/>
        </w:rPr>
        <w:t xml:space="preserve"> </w:t>
      </w:r>
      <w:r w:rsidR="000606FD" w:rsidRPr="00FD211F">
        <w:rPr>
          <w:sz w:val="36"/>
          <w:szCs w:val="36"/>
          <w:rtl/>
        </w:rPr>
        <w:t>المشتقات</w:t>
      </w:r>
      <w:r w:rsidR="00603323" w:rsidRPr="00FD211F">
        <w:rPr>
          <w:sz w:val="36"/>
          <w:szCs w:val="36"/>
          <w:rtl/>
        </w:rPr>
        <w:t>،</w:t>
      </w:r>
      <w:r w:rsidR="00E8128F">
        <w:rPr>
          <w:sz w:val="36"/>
          <w:szCs w:val="36"/>
          <w:rtl/>
        </w:rPr>
        <w:t xml:space="preserve"> </w:t>
      </w:r>
      <w:r w:rsidR="000606FD" w:rsidRPr="00FD211F">
        <w:rPr>
          <w:sz w:val="36"/>
          <w:szCs w:val="36"/>
          <w:rtl/>
        </w:rPr>
        <w:t>وأخرى</w:t>
      </w:r>
      <w:r w:rsidR="00E8128F">
        <w:rPr>
          <w:sz w:val="36"/>
          <w:szCs w:val="36"/>
          <w:rtl/>
        </w:rPr>
        <w:t xml:space="preserve"> </w:t>
      </w:r>
      <w:r w:rsidR="000606FD" w:rsidRPr="00FD211F">
        <w:rPr>
          <w:sz w:val="36"/>
          <w:szCs w:val="36"/>
          <w:rtl/>
        </w:rPr>
        <w:t>يكون</w:t>
      </w:r>
      <w:r w:rsidR="00E8128F">
        <w:rPr>
          <w:sz w:val="36"/>
          <w:szCs w:val="36"/>
          <w:rtl/>
        </w:rPr>
        <w:t xml:space="preserve"> </w:t>
      </w:r>
      <w:r w:rsidR="000606FD" w:rsidRPr="00FD211F">
        <w:rPr>
          <w:sz w:val="36"/>
          <w:szCs w:val="36"/>
          <w:rtl/>
        </w:rPr>
        <w:t>واجدا</w:t>
      </w:r>
      <w:r w:rsidR="00E8128F">
        <w:rPr>
          <w:sz w:val="36"/>
          <w:szCs w:val="36"/>
          <w:rtl/>
        </w:rPr>
        <w:t xml:space="preserve"> </w:t>
      </w:r>
      <w:r w:rsidR="000606FD" w:rsidRPr="00FD211F">
        <w:rPr>
          <w:sz w:val="36"/>
          <w:szCs w:val="36"/>
          <w:rtl/>
        </w:rPr>
        <w:t>لما</w:t>
      </w:r>
      <w:r w:rsidR="00E8128F">
        <w:rPr>
          <w:sz w:val="36"/>
          <w:szCs w:val="36"/>
          <w:rtl/>
        </w:rPr>
        <w:t xml:space="preserve"> </w:t>
      </w:r>
      <w:r w:rsidR="000606FD" w:rsidRPr="00FD211F">
        <w:rPr>
          <w:sz w:val="36"/>
          <w:szCs w:val="36"/>
          <w:rtl/>
        </w:rPr>
        <w:t>هو</w:t>
      </w:r>
      <w:r w:rsidR="00E8128F">
        <w:rPr>
          <w:sz w:val="36"/>
          <w:szCs w:val="36"/>
          <w:rtl/>
        </w:rPr>
        <w:t xml:space="preserve"> </w:t>
      </w:r>
      <w:r w:rsidR="000606FD" w:rsidRPr="00FD211F">
        <w:rPr>
          <w:sz w:val="36"/>
          <w:szCs w:val="36"/>
          <w:rtl/>
        </w:rPr>
        <w:t>متحد</w:t>
      </w:r>
      <w:r w:rsidR="00E8128F">
        <w:rPr>
          <w:sz w:val="36"/>
          <w:szCs w:val="36"/>
          <w:rtl/>
        </w:rPr>
        <w:t xml:space="preserve"> </w:t>
      </w:r>
      <w:r w:rsidR="000606FD" w:rsidRPr="00FD211F">
        <w:rPr>
          <w:sz w:val="36"/>
          <w:szCs w:val="36"/>
          <w:rtl/>
        </w:rPr>
        <w:t>معه</w:t>
      </w:r>
      <w:r w:rsidR="00E8128F">
        <w:rPr>
          <w:sz w:val="36"/>
          <w:szCs w:val="36"/>
          <w:rtl/>
        </w:rPr>
        <w:t xml:space="preserve"> </w:t>
      </w:r>
      <w:r w:rsidR="000606FD" w:rsidRPr="00FD211F">
        <w:rPr>
          <w:sz w:val="36"/>
          <w:szCs w:val="36"/>
          <w:rtl/>
        </w:rPr>
        <w:t>خارجا</w:t>
      </w:r>
      <w:r w:rsidR="00E8128F">
        <w:rPr>
          <w:sz w:val="36"/>
          <w:szCs w:val="36"/>
          <w:rtl/>
        </w:rPr>
        <w:t xml:space="preserve"> </w:t>
      </w:r>
      <w:r w:rsidR="000606FD" w:rsidRPr="00FD211F">
        <w:rPr>
          <w:sz w:val="36"/>
          <w:szCs w:val="36"/>
          <w:rtl/>
        </w:rPr>
        <w:t>وان</w:t>
      </w:r>
      <w:r w:rsidR="00E8128F">
        <w:rPr>
          <w:sz w:val="36"/>
          <w:szCs w:val="36"/>
          <w:rtl/>
        </w:rPr>
        <w:t xml:space="preserve"> </w:t>
      </w:r>
      <w:r w:rsidR="000606FD" w:rsidRPr="00FD211F">
        <w:rPr>
          <w:sz w:val="36"/>
          <w:szCs w:val="36"/>
          <w:rtl/>
        </w:rPr>
        <w:t>كان</w:t>
      </w:r>
      <w:r w:rsidR="00E8128F">
        <w:rPr>
          <w:sz w:val="36"/>
          <w:szCs w:val="36"/>
          <w:rtl/>
        </w:rPr>
        <w:t xml:space="preserve"> </w:t>
      </w:r>
      <w:r w:rsidR="000606FD" w:rsidRPr="00FD211F">
        <w:rPr>
          <w:sz w:val="36"/>
          <w:szCs w:val="36"/>
          <w:rtl/>
        </w:rPr>
        <w:t>يغايره</w:t>
      </w:r>
      <w:r w:rsidR="00E8128F">
        <w:rPr>
          <w:sz w:val="36"/>
          <w:szCs w:val="36"/>
          <w:rtl/>
        </w:rPr>
        <w:t xml:space="preserve"> </w:t>
      </w:r>
      <w:r w:rsidR="000606FD" w:rsidRPr="00FD211F">
        <w:rPr>
          <w:sz w:val="36"/>
          <w:szCs w:val="36"/>
          <w:rtl/>
        </w:rPr>
        <w:t>مفهوما</w:t>
      </w:r>
      <w:r w:rsidR="00E8128F">
        <w:rPr>
          <w:sz w:val="36"/>
          <w:szCs w:val="36"/>
          <w:rtl/>
        </w:rPr>
        <w:t xml:space="preserve"> </w:t>
      </w:r>
      <w:r w:rsidR="000606FD" w:rsidRPr="00FD211F">
        <w:rPr>
          <w:sz w:val="36"/>
          <w:szCs w:val="36"/>
          <w:rtl/>
        </w:rPr>
        <w:t>كواجديته</w:t>
      </w:r>
      <w:r w:rsidR="00E8128F">
        <w:rPr>
          <w:sz w:val="36"/>
          <w:szCs w:val="36"/>
          <w:rtl/>
        </w:rPr>
        <w:t xml:space="preserve"> </w:t>
      </w:r>
      <w:r w:rsidR="000606FD" w:rsidRPr="00FD211F">
        <w:rPr>
          <w:sz w:val="36"/>
          <w:szCs w:val="36"/>
          <w:rtl/>
        </w:rPr>
        <w:t>تعالى</w:t>
      </w:r>
      <w:r w:rsidR="00E8128F">
        <w:rPr>
          <w:sz w:val="36"/>
          <w:szCs w:val="36"/>
          <w:rtl/>
        </w:rPr>
        <w:t xml:space="preserve"> </w:t>
      </w:r>
      <w:r w:rsidR="000606FD" w:rsidRPr="00FD211F">
        <w:rPr>
          <w:sz w:val="36"/>
          <w:szCs w:val="36"/>
          <w:rtl/>
        </w:rPr>
        <w:t>لصفاته</w:t>
      </w:r>
      <w:r w:rsidR="00E8128F">
        <w:rPr>
          <w:sz w:val="36"/>
          <w:szCs w:val="36"/>
          <w:rtl/>
        </w:rPr>
        <w:t xml:space="preserve"> </w:t>
      </w:r>
      <w:r w:rsidR="000606FD" w:rsidRPr="00FD211F">
        <w:rPr>
          <w:sz w:val="36"/>
          <w:szCs w:val="36"/>
          <w:rtl/>
        </w:rPr>
        <w:t>الذاتي</w:t>
      </w:r>
      <w:r w:rsidR="00EC7EDF" w:rsidRPr="00FD211F">
        <w:rPr>
          <w:sz w:val="36"/>
          <w:szCs w:val="36"/>
          <w:rtl/>
        </w:rPr>
        <w:t>ة</w:t>
      </w:r>
      <w:r w:rsidR="00603323" w:rsidRPr="00FD211F">
        <w:rPr>
          <w:sz w:val="36"/>
          <w:szCs w:val="36"/>
          <w:rtl/>
        </w:rPr>
        <w:t>،</w:t>
      </w:r>
      <w:r w:rsidR="00E8128F">
        <w:rPr>
          <w:sz w:val="36"/>
          <w:szCs w:val="36"/>
          <w:rtl/>
        </w:rPr>
        <w:t xml:space="preserve"> </w:t>
      </w:r>
      <w:r w:rsidR="000606FD" w:rsidRPr="00FD211F">
        <w:rPr>
          <w:sz w:val="36"/>
          <w:szCs w:val="36"/>
          <w:rtl/>
        </w:rPr>
        <w:t>وثالث</w:t>
      </w:r>
      <w:r w:rsidR="00EC7EDF" w:rsidRPr="00FD211F">
        <w:rPr>
          <w:sz w:val="36"/>
          <w:szCs w:val="36"/>
          <w:rtl/>
        </w:rPr>
        <w:t>ة</w:t>
      </w:r>
      <w:r w:rsidR="00E8128F">
        <w:rPr>
          <w:sz w:val="36"/>
          <w:szCs w:val="36"/>
          <w:rtl/>
        </w:rPr>
        <w:t xml:space="preserve"> </w:t>
      </w:r>
      <w:r w:rsidR="000606FD" w:rsidRPr="00FD211F">
        <w:rPr>
          <w:sz w:val="36"/>
          <w:szCs w:val="36"/>
          <w:rtl/>
        </w:rPr>
        <w:t>يكون</w:t>
      </w:r>
      <w:r w:rsidR="00E8128F">
        <w:rPr>
          <w:sz w:val="36"/>
          <w:szCs w:val="36"/>
          <w:rtl/>
        </w:rPr>
        <w:t xml:space="preserve"> </w:t>
      </w:r>
      <w:r w:rsidR="000606FD" w:rsidRPr="00FD211F">
        <w:rPr>
          <w:sz w:val="36"/>
          <w:szCs w:val="36"/>
          <w:rtl/>
        </w:rPr>
        <w:t>واجدا</w:t>
      </w:r>
      <w:r w:rsidR="00E8128F">
        <w:rPr>
          <w:sz w:val="36"/>
          <w:szCs w:val="36"/>
          <w:rtl/>
        </w:rPr>
        <w:t xml:space="preserve"> </w:t>
      </w:r>
      <w:r w:rsidR="000606FD" w:rsidRPr="00FD211F">
        <w:rPr>
          <w:sz w:val="36"/>
          <w:szCs w:val="36"/>
          <w:rtl/>
        </w:rPr>
        <w:t>لما</w:t>
      </w:r>
      <w:r w:rsidR="00E8128F">
        <w:rPr>
          <w:sz w:val="36"/>
          <w:szCs w:val="36"/>
          <w:rtl/>
        </w:rPr>
        <w:t xml:space="preserve"> </w:t>
      </w:r>
      <w:r w:rsidR="000606FD" w:rsidRPr="00FD211F">
        <w:rPr>
          <w:sz w:val="36"/>
          <w:szCs w:val="36"/>
          <w:rtl/>
        </w:rPr>
        <w:t>يتحد</w:t>
      </w:r>
      <w:r w:rsidR="00E8128F">
        <w:rPr>
          <w:sz w:val="36"/>
          <w:szCs w:val="36"/>
          <w:rtl/>
        </w:rPr>
        <w:t xml:space="preserve"> </w:t>
      </w:r>
      <w:r w:rsidR="000606FD" w:rsidRPr="00FD211F">
        <w:rPr>
          <w:sz w:val="36"/>
          <w:szCs w:val="36"/>
          <w:rtl/>
        </w:rPr>
        <w:t>معه</w:t>
      </w:r>
      <w:r w:rsidR="00E8128F">
        <w:rPr>
          <w:sz w:val="36"/>
          <w:szCs w:val="36"/>
          <w:rtl/>
        </w:rPr>
        <w:t xml:space="preserve"> </w:t>
      </w:r>
      <w:r w:rsidR="000606FD" w:rsidRPr="00FD211F">
        <w:rPr>
          <w:sz w:val="36"/>
          <w:szCs w:val="36"/>
          <w:rtl/>
        </w:rPr>
        <w:t>خارجا</w:t>
      </w:r>
      <w:r w:rsidR="00E8128F">
        <w:rPr>
          <w:sz w:val="36"/>
          <w:szCs w:val="36"/>
          <w:rtl/>
        </w:rPr>
        <w:t xml:space="preserve"> </w:t>
      </w:r>
      <w:r w:rsidR="000606FD" w:rsidRPr="00FD211F">
        <w:rPr>
          <w:sz w:val="36"/>
          <w:szCs w:val="36"/>
          <w:rtl/>
        </w:rPr>
        <w:t>ومفهوما</w:t>
      </w:r>
      <w:r w:rsidR="00E8128F">
        <w:rPr>
          <w:sz w:val="36"/>
          <w:szCs w:val="36"/>
          <w:rtl/>
        </w:rPr>
        <w:t xml:space="preserve"> </w:t>
      </w:r>
      <w:r w:rsidR="000606FD" w:rsidRPr="00FD211F">
        <w:rPr>
          <w:sz w:val="36"/>
          <w:szCs w:val="36"/>
          <w:rtl/>
        </w:rPr>
        <w:t>وهو</w:t>
      </w:r>
      <w:r w:rsidR="00E8128F">
        <w:rPr>
          <w:sz w:val="36"/>
          <w:szCs w:val="36"/>
          <w:rtl/>
        </w:rPr>
        <w:t xml:space="preserve"> </w:t>
      </w:r>
      <w:r w:rsidRPr="00FD211F">
        <w:rPr>
          <w:sz w:val="36"/>
          <w:szCs w:val="36"/>
          <w:rtl/>
        </w:rPr>
        <w:t>واجدي</w:t>
      </w:r>
      <w:r w:rsidR="00EC7EDF" w:rsidRPr="00FD211F">
        <w:rPr>
          <w:sz w:val="36"/>
          <w:szCs w:val="36"/>
          <w:rtl/>
        </w:rPr>
        <w:t>ة</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لنفسه</w:t>
      </w:r>
      <w:r w:rsidR="00603323" w:rsidRPr="00FD211F">
        <w:rPr>
          <w:sz w:val="36"/>
          <w:szCs w:val="36"/>
          <w:rtl/>
        </w:rPr>
        <w:t>،</w:t>
      </w:r>
      <w:r w:rsidR="00E8128F">
        <w:rPr>
          <w:sz w:val="36"/>
          <w:szCs w:val="36"/>
          <w:rtl/>
        </w:rPr>
        <w:t xml:space="preserve"> </w:t>
      </w:r>
      <w:r w:rsidR="000606FD" w:rsidRPr="00FD211F">
        <w:rPr>
          <w:sz w:val="36"/>
          <w:szCs w:val="36"/>
          <w:rtl/>
        </w:rPr>
        <w:t>وهذا</w:t>
      </w:r>
      <w:r w:rsidR="00E8128F">
        <w:rPr>
          <w:sz w:val="36"/>
          <w:szCs w:val="36"/>
          <w:rtl/>
        </w:rPr>
        <w:t xml:space="preserve"> </w:t>
      </w:r>
      <w:r w:rsidR="000606FD" w:rsidRPr="00FD211F">
        <w:rPr>
          <w:sz w:val="36"/>
          <w:szCs w:val="36"/>
          <w:rtl/>
        </w:rPr>
        <w:t>نحو</w:t>
      </w:r>
      <w:r w:rsidR="00E8128F">
        <w:rPr>
          <w:sz w:val="36"/>
          <w:szCs w:val="36"/>
          <w:rtl/>
        </w:rPr>
        <w:t xml:space="preserve"> </w:t>
      </w:r>
      <w:r w:rsidR="000606FD" w:rsidRPr="00FD211F">
        <w:rPr>
          <w:sz w:val="36"/>
          <w:szCs w:val="36"/>
          <w:rtl/>
        </w:rPr>
        <w:t>من</w:t>
      </w:r>
      <w:r w:rsidR="00E8128F">
        <w:rPr>
          <w:sz w:val="36"/>
          <w:szCs w:val="36"/>
          <w:rtl/>
        </w:rPr>
        <w:t xml:space="preserve"> </w:t>
      </w:r>
      <w:r w:rsidR="000606FD" w:rsidRPr="00FD211F">
        <w:rPr>
          <w:sz w:val="36"/>
          <w:szCs w:val="36"/>
          <w:rtl/>
        </w:rPr>
        <w:t>الواجدي</w:t>
      </w:r>
      <w:r w:rsidR="00EC7EDF" w:rsidRPr="00FD211F">
        <w:rPr>
          <w:sz w:val="36"/>
          <w:szCs w:val="36"/>
          <w:rtl/>
        </w:rPr>
        <w:t>ة</w:t>
      </w:r>
      <w:r w:rsidR="00E8128F">
        <w:rPr>
          <w:sz w:val="36"/>
          <w:szCs w:val="36"/>
          <w:rtl/>
        </w:rPr>
        <w:t xml:space="preserve"> </w:t>
      </w:r>
      <w:r w:rsidR="000606FD" w:rsidRPr="00FD211F">
        <w:rPr>
          <w:sz w:val="36"/>
          <w:szCs w:val="36"/>
          <w:rtl/>
        </w:rPr>
        <w:t>بل</w:t>
      </w:r>
      <w:r w:rsidR="00E8128F">
        <w:rPr>
          <w:sz w:val="36"/>
          <w:szCs w:val="36"/>
          <w:rtl/>
        </w:rPr>
        <w:t xml:space="preserve"> </w:t>
      </w:r>
      <w:r w:rsidR="000606FD" w:rsidRPr="00FD211F">
        <w:rPr>
          <w:sz w:val="36"/>
          <w:szCs w:val="36"/>
          <w:rtl/>
        </w:rPr>
        <w:t>هي</w:t>
      </w:r>
      <w:r w:rsidR="00E8128F">
        <w:rPr>
          <w:sz w:val="36"/>
          <w:szCs w:val="36"/>
          <w:rtl/>
        </w:rPr>
        <w:t xml:space="preserve"> </w:t>
      </w:r>
      <w:r w:rsidR="000606FD" w:rsidRPr="00FD211F">
        <w:rPr>
          <w:sz w:val="36"/>
          <w:szCs w:val="36"/>
          <w:rtl/>
        </w:rPr>
        <w:t>اتم</w:t>
      </w:r>
      <w:r w:rsidR="00E8128F">
        <w:rPr>
          <w:sz w:val="36"/>
          <w:szCs w:val="36"/>
          <w:rtl/>
        </w:rPr>
        <w:t xml:space="preserve"> </w:t>
      </w:r>
      <w:r w:rsidR="000606FD" w:rsidRPr="00FD211F">
        <w:rPr>
          <w:sz w:val="36"/>
          <w:szCs w:val="36"/>
          <w:rtl/>
        </w:rPr>
        <w:t>واشد</w:t>
      </w:r>
      <w:r w:rsidR="00E8128F">
        <w:rPr>
          <w:sz w:val="36"/>
          <w:szCs w:val="36"/>
          <w:rtl/>
        </w:rPr>
        <w:t xml:space="preserve"> </w:t>
      </w:r>
      <w:r w:rsidR="000606FD" w:rsidRPr="00FD211F">
        <w:rPr>
          <w:sz w:val="36"/>
          <w:szCs w:val="36"/>
          <w:rtl/>
        </w:rPr>
        <w:t>من</w:t>
      </w:r>
      <w:r w:rsidR="00E8128F">
        <w:rPr>
          <w:sz w:val="36"/>
          <w:szCs w:val="36"/>
          <w:rtl/>
        </w:rPr>
        <w:t xml:space="preserve"> </w:t>
      </w:r>
      <w:r w:rsidR="000606FD" w:rsidRPr="00FD211F">
        <w:rPr>
          <w:sz w:val="36"/>
          <w:szCs w:val="36"/>
          <w:rtl/>
        </w:rPr>
        <w:t>واجدي</w:t>
      </w:r>
      <w:r w:rsidR="00EC7EDF" w:rsidRPr="00FD211F">
        <w:rPr>
          <w:sz w:val="36"/>
          <w:szCs w:val="36"/>
          <w:rtl/>
        </w:rPr>
        <w:t>ة</w:t>
      </w:r>
      <w:r w:rsidR="00E8128F">
        <w:rPr>
          <w:sz w:val="36"/>
          <w:szCs w:val="36"/>
          <w:rtl/>
        </w:rPr>
        <w:t xml:space="preserve"> </w:t>
      </w:r>
      <w:r w:rsidR="000606FD" w:rsidRPr="00FD211F">
        <w:rPr>
          <w:sz w:val="36"/>
          <w:szCs w:val="36"/>
          <w:rtl/>
        </w:rPr>
        <w:t>ال</w:t>
      </w:r>
      <w:r w:rsidR="008D7B3D" w:rsidRPr="00FD211F">
        <w:rPr>
          <w:sz w:val="36"/>
          <w:szCs w:val="36"/>
          <w:rtl/>
        </w:rPr>
        <w:t>شيء</w:t>
      </w:r>
      <w:r w:rsidR="00E8128F">
        <w:rPr>
          <w:sz w:val="36"/>
          <w:szCs w:val="36"/>
          <w:rtl/>
        </w:rPr>
        <w:t xml:space="preserve"> </w:t>
      </w:r>
      <w:r w:rsidR="000606FD" w:rsidRPr="00FD211F">
        <w:rPr>
          <w:sz w:val="36"/>
          <w:szCs w:val="36"/>
          <w:rtl/>
        </w:rPr>
        <w:t>لغيره</w:t>
      </w:r>
      <w:r w:rsidR="00603323" w:rsidRPr="00FD211F">
        <w:rPr>
          <w:sz w:val="36"/>
          <w:szCs w:val="36"/>
          <w:rtl/>
        </w:rPr>
        <w:t>،</w:t>
      </w:r>
      <w:r w:rsidR="00E8128F">
        <w:rPr>
          <w:sz w:val="36"/>
          <w:szCs w:val="36"/>
          <w:rtl/>
        </w:rPr>
        <w:t xml:space="preserve"> </w:t>
      </w:r>
      <w:r w:rsidR="000606FD" w:rsidRPr="00FD211F">
        <w:rPr>
          <w:sz w:val="36"/>
          <w:szCs w:val="36"/>
          <w:rtl/>
        </w:rPr>
        <w:t>لان</w:t>
      </w:r>
      <w:r w:rsidR="00E8128F">
        <w:rPr>
          <w:sz w:val="36"/>
          <w:szCs w:val="36"/>
          <w:rtl/>
        </w:rPr>
        <w:t xml:space="preserve"> </w:t>
      </w:r>
      <w:r w:rsidR="000606FD" w:rsidRPr="00FD211F">
        <w:rPr>
          <w:sz w:val="36"/>
          <w:szCs w:val="36"/>
          <w:rtl/>
        </w:rPr>
        <w:t>وجدان</w:t>
      </w:r>
      <w:r w:rsidR="00E8128F">
        <w:rPr>
          <w:sz w:val="36"/>
          <w:szCs w:val="36"/>
          <w:rtl/>
        </w:rPr>
        <w:t xml:space="preserve"> </w:t>
      </w:r>
      <w:r w:rsidR="000606FD" w:rsidRPr="00FD211F">
        <w:rPr>
          <w:sz w:val="36"/>
          <w:szCs w:val="36"/>
          <w:rtl/>
        </w:rPr>
        <w:t>ال</w:t>
      </w:r>
      <w:r w:rsidR="008D7B3D" w:rsidRPr="00FD211F">
        <w:rPr>
          <w:sz w:val="36"/>
          <w:szCs w:val="36"/>
          <w:rtl/>
        </w:rPr>
        <w:t>شيء</w:t>
      </w:r>
      <w:r w:rsidR="00E8128F">
        <w:rPr>
          <w:sz w:val="36"/>
          <w:szCs w:val="36"/>
          <w:rtl/>
        </w:rPr>
        <w:t xml:space="preserve"> </w:t>
      </w:r>
      <w:r w:rsidR="000606FD" w:rsidRPr="00FD211F">
        <w:rPr>
          <w:sz w:val="36"/>
          <w:szCs w:val="36"/>
          <w:rtl/>
        </w:rPr>
        <w:t>لنفسه</w:t>
      </w:r>
      <w:r w:rsidR="00E8128F">
        <w:rPr>
          <w:sz w:val="36"/>
          <w:szCs w:val="36"/>
          <w:rtl/>
        </w:rPr>
        <w:t xml:space="preserve"> </w:t>
      </w:r>
      <w:r w:rsidR="000606FD" w:rsidRPr="00FD211F">
        <w:rPr>
          <w:sz w:val="36"/>
          <w:szCs w:val="36"/>
          <w:rtl/>
        </w:rPr>
        <w:t>ضروري</w:t>
      </w:r>
      <w:r w:rsidR="00E8128F">
        <w:rPr>
          <w:sz w:val="36"/>
          <w:szCs w:val="36"/>
          <w:rtl/>
        </w:rPr>
        <w:t xml:space="preserve"> </w:t>
      </w:r>
      <w:r w:rsidR="00401C01" w:rsidRPr="00FD211F">
        <w:rPr>
          <w:sz w:val="36"/>
          <w:szCs w:val="36"/>
          <w:rtl/>
        </w:rPr>
        <w:t>ويكون</w:t>
      </w:r>
      <w:r w:rsidR="00E8128F">
        <w:rPr>
          <w:sz w:val="36"/>
          <w:szCs w:val="36"/>
          <w:rtl/>
        </w:rPr>
        <w:t xml:space="preserve"> </w:t>
      </w:r>
      <w:r w:rsidRPr="00FD211F">
        <w:rPr>
          <w:sz w:val="36"/>
          <w:szCs w:val="36"/>
          <w:rtl/>
        </w:rPr>
        <w:t>تلبسه</w:t>
      </w:r>
      <w:r w:rsidR="00E8128F">
        <w:rPr>
          <w:sz w:val="36"/>
          <w:szCs w:val="36"/>
          <w:rtl/>
        </w:rPr>
        <w:t xml:space="preserve"> </w:t>
      </w:r>
      <w:r w:rsidRPr="00FD211F">
        <w:rPr>
          <w:sz w:val="36"/>
          <w:szCs w:val="36"/>
          <w:rtl/>
        </w:rPr>
        <w:t>به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مرتب</w:t>
      </w:r>
      <w:r w:rsidR="00EC7EDF" w:rsidRPr="00FD211F">
        <w:rPr>
          <w:sz w:val="36"/>
          <w:szCs w:val="36"/>
          <w:rtl/>
        </w:rPr>
        <w:t>ة</w:t>
      </w:r>
      <w:r w:rsidR="00E8128F">
        <w:rPr>
          <w:sz w:val="36"/>
          <w:szCs w:val="36"/>
          <w:rtl/>
        </w:rPr>
        <w:t xml:space="preserve"> </w:t>
      </w:r>
      <w:r w:rsidRPr="00FD211F">
        <w:rPr>
          <w:sz w:val="36"/>
          <w:szCs w:val="36"/>
          <w:rtl/>
        </w:rPr>
        <w:t>ذاته</w:t>
      </w:r>
      <w:r w:rsidR="00603323" w:rsidRPr="00FD211F">
        <w:rPr>
          <w:sz w:val="36"/>
          <w:szCs w:val="36"/>
          <w:rtl/>
        </w:rPr>
        <w:t>،</w:t>
      </w:r>
      <w:r w:rsidR="00E8128F">
        <w:rPr>
          <w:sz w:val="36"/>
          <w:szCs w:val="36"/>
          <w:rtl/>
        </w:rPr>
        <w:t xml:space="preserve"> </w:t>
      </w:r>
      <w:r w:rsidR="00401C01" w:rsidRPr="00FD211F">
        <w:rPr>
          <w:sz w:val="36"/>
          <w:szCs w:val="36"/>
          <w:rtl/>
        </w:rPr>
        <w:t>نعم</w:t>
      </w:r>
      <w:r w:rsidR="00E8128F">
        <w:rPr>
          <w:sz w:val="36"/>
          <w:szCs w:val="36"/>
          <w:rtl/>
        </w:rPr>
        <w:t xml:space="preserve"> </w:t>
      </w:r>
      <w:r w:rsidR="00401C01" w:rsidRPr="00FD211F">
        <w:rPr>
          <w:sz w:val="36"/>
          <w:szCs w:val="36"/>
          <w:rtl/>
        </w:rPr>
        <w:t>المغاير</w:t>
      </w:r>
      <w:r w:rsidR="00EC7EDF" w:rsidRPr="00FD211F">
        <w:rPr>
          <w:sz w:val="36"/>
          <w:szCs w:val="36"/>
          <w:rtl/>
        </w:rPr>
        <w:t>ة</w:t>
      </w:r>
      <w:r w:rsidR="00E8128F">
        <w:rPr>
          <w:sz w:val="36"/>
          <w:szCs w:val="36"/>
          <w:rtl/>
        </w:rPr>
        <w:t xml:space="preserve"> </w:t>
      </w:r>
      <w:r w:rsidR="00401C01" w:rsidRPr="00FD211F">
        <w:rPr>
          <w:sz w:val="36"/>
          <w:szCs w:val="36"/>
          <w:rtl/>
        </w:rPr>
        <w:t>بين</w:t>
      </w:r>
      <w:r w:rsidR="00E8128F">
        <w:rPr>
          <w:sz w:val="36"/>
          <w:szCs w:val="36"/>
          <w:rtl/>
        </w:rPr>
        <w:t xml:space="preserve"> </w:t>
      </w:r>
      <w:r w:rsidR="00401C01" w:rsidRPr="00FD211F">
        <w:rPr>
          <w:sz w:val="36"/>
          <w:szCs w:val="36"/>
          <w:rtl/>
        </w:rPr>
        <w:t>المبدأ</w:t>
      </w:r>
      <w:r w:rsidR="00E8128F">
        <w:rPr>
          <w:sz w:val="36"/>
          <w:szCs w:val="36"/>
          <w:rtl/>
        </w:rPr>
        <w:t xml:space="preserve"> </w:t>
      </w:r>
      <w:r w:rsidR="00401C01" w:rsidRPr="00FD211F">
        <w:rPr>
          <w:sz w:val="36"/>
          <w:szCs w:val="36"/>
          <w:rtl/>
        </w:rPr>
        <w:t>والذات</w:t>
      </w:r>
      <w:r w:rsidR="00E8128F">
        <w:rPr>
          <w:sz w:val="36"/>
          <w:szCs w:val="36"/>
          <w:rtl/>
        </w:rPr>
        <w:t xml:space="preserve"> </w:t>
      </w:r>
      <w:r w:rsidR="00401C01" w:rsidRPr="00FD211F">
        <w:rPr>
          <w:sz w:val="36"/>
          <w:szCs w:val="36"/>
          <w:rtl/>
        </w:rPr>
        <w:t>حسب</w:t>
      </w:r>
      <w:r w:rsidR="00E8128F">
        <w:rPr>
          <w:sz w:val="36"/>
          <w:szCs w:val="36"/>
          <w:rtl/>
        </w:rPr>
        <w:t xml:space="preserve"> </w:t>
      </w:r>
      <w:r w:rsidR="00401C01" w:rsidRPr="00FD211F">
        <w:rPr>
          <w:sz w:val="36"/>
          <w:szCs w:val="36"/>
          <w:rtl/>
        </w:rPr>
        <w:t>المتفاهم</w:t>
      </w:r>
      <w:r w:rsidR="00E8128F">
        <w:rPr>
          <w:sz w:val="36"/>
          <w:szCs w:val="36"/>
          <w:rtl/>
        </w:rPr>
        <w:t xml:space="preserve"> </w:t>
      </w:r>
      <w:r w:rsidR="00401C01" w:rsidRPr="00FD211F">
        <w:rPr>
          <w:sz w:val="36"/>
          <w:szCs w:val="36"/>
          <w:rtl/>
        </w:rPr>
        <w:t>العرفي</w:t>
      </w:r>
      <w:r w:rsidR="00E8128F">
        <w:rPr>
          <w:sz w:val="36"/>
          <w:szCs w:val="36"/>
          <w:rtl/>
        </w:rPr>
        <w:t xml:space="preserve"> </w:t>
      </w:r>
      <w:r w:rsidR="00401C01" w:rsidRPr="00FD211F">
        <w:rPr>
          <w:sz w:val="36"/>
          <w:szCs w:val="36"/>
          <w:rtl/>
        </w:rPr>
        <w:t>واللغوي</w:t>
      </w:r>
      <w:r w:rsidR="00E8128F">
        <w:rPr>
          <w:sz w:val="36"/>
          <w:szCs w:val="36"/>
          <w:rtl/>
        </w:rPr>
        <w:t xml:space="preserve"> </w:t>
      </w:r>
      <w:r w:rsidR="00401C01" w:rsidRPr="00FD211F">
        <w:rPr>
          <w:sz w:val="36"/>
          <w:szCs w:val="36"/>
          <w:rtl/>
        </w:rPr>
        <w:t>من</w:t>
      </w:r>
      <w:r w:rsidR="00E8128F">
        <w:rPr>
          <w:sz w:val="36"/>
          <w:szCs w:val="36"/>
          <w:rtl/>
        </w:rPr>
        <w:t xml:space="preserve"> </w:t>
      </w:r>
      <w:r w:rsidR="00401C01" w:rsidRPr="00FD211F">
        <w:rPr>
          <w:sz w:val="36"/>
          <w:szCs w:val="36"/>
          <w:rtl/>
        </w:rPr>
        <w:t>المشتقات</w:t>
      </w:r>
      <w:r w:rsidR="00E8128F">
        <w:rPr>
          <w:sz w:val="36"/>
          <w:szCs w:val="36"/>
          <w:rtl/>
        </w:rPr>
        <w:t xml:space="preserve"> </w:t>
      </w:r>
      <w:r w:rsidR="00401C01" w:rsidRPr="00FD211F">
        <w:rPr>
          <w:sz w:val="36"/>
          <w:szCs w:val="36"/>
          <w:rtl/>
        </w:rPr>
        <w:t>الدائر</w:t>
      </w:r>
      <w:r w:rsidR="00EC7EDF" w:rsidRPr="00FD211F">
        <w:rPr>
          <w:sz w:val="36"/>
          <w:szCs w:val="36"/>
          <w:rtl/>
        </w:rPr>
        <w:t>ة</w:t>
      </w:r>
      <w:r w:rsidR="00E8128F">
        <w:rPr>
          <w:sz w:val="36"/>
          <w:szCs w:val="36"/>
          <w:rtl/>
        </w:rPr>
        <w:t xml:space="preserve"> </w:t>
      </w:r>
      <w:r w:rsidR="00401C01" w:rsidRPr="00FD211F">
        <w:rPr>
          <w:sz w:val="36"/>
          <w:szCs w:val="36"/>
          <w:rtl/>
        </w:rPr>
        <w:t>في</w:t>
      </w:r>
      <w:r w:rsidR="00E8128F">
        <w:rPr>
          <w:sz w:val="36"/>
          <w:szCs w:val="36"/>
          <w:rtl/>
        </w:rPr>
        <w:t xml:space="preserve"> </w:t>
      </w:r>
      <w:r w:rsidR="00401C01" w:rsidRPr="00FD211F">
        <w:rPr>
          <w:sz w:val="36"/>
          <w:szCs w:val="36"/>
          <w:rtl/>
        </w:rPr>
        <w:t>الألسن</w:t>
      </w:r>
      <w:r w:rsidR="00E8128F">
        <w:rPr>
          <w:sz w:val="36"/>
          <w:szCs w:val="36"/>
          <w:rtl/>
        </w:rPr>
        <w:t xml:space="preserve"> </w:t>
      </w:r>
      <w:r w:rsidR="00401C01" w:rsidRPr="00FD211F">
        <w:rPr>
          <w:sz w:val="36"/>
          <w:szCs w:val="36"/>
          <w:rtl/>
        </w:rPr>
        <w:t>امر</w:t>
      </w:r>
      <w:r w:rsidR="00E8128F">
        <w:rPr>
          <w:sz w:val="36"/>
          <w:szCs w:val="36"/>
          <w:rtl/>
        </w:rPr>
        <w:t xml:space="preserve"> </w:t>
      </w:r>
      <w:r w:rsidR="00401C01" w:rsidRPr="00FD211F">
        <w:rPr>
          <w:sz w:val="36"/>
          <w:szCs w:val="36"/>
          <w:rtl/>
        </w:rPr>
        <w:t>واضح</w:t>
      </w:r>
      <w:r w:rsidR="00E8128F">
        <w:rPr>
          <w:sz w:val="36"/>
          <w:szCs w:val="36"/>
          <w:rtl/>
        </w:rPr>
        <w:t xml:space="preserve"> </w:t>
      </w:r>
      <w:r w:rsidR="00401C01" w:rsidRPr="00FD211F">
        <w:rPr>
          <w:sz w:val="36"/>
          <w:szCs w:val="36"/>
          <w:rtl/>
        </w:rPr>
        <w:t>لاريب</w:t>
      </w:r>
      <w:r w:rsidR="00E8128F">
        <w:rPr>
          <w:sz w:val="36"/>
          <w:szCs w:val="36"/>
          <w:rtl/>
        </w:rPr>
        <w:t xml:space="preserve"> </w:t>
      </w:r>
      <w:r w:rsidR="00401C01" w:rsidRPr="00FD211F">
        <w:rPr>
          <w:sz w:val="36"/>
          <w:szCs w:val="36"/>
          <w:rtl/>
        </w:rPr>
        <w:t>فيه</w:t>
      </w:r>
      <w:r w:rsidR="00603323" w:rsidRPr="00FD211F">
        <w:rPr>
          <w:sz w:val="36"/>
          <w:szCs w:val="36"/>
          <w:rtl/>
        </w:rPr>
        <w:t>،</w:t>
      </w:r>
      <w:r w:rsidR="00E8128F">
        <w:rPr>
          <w:sz w:val="36"/>
          <w:szCs w:val="36"/>
          <w:rtl/>
        </w:rPr>
        <w:t xml:space="preserve"> </w:t>
      </w:r>
      <w:r w:rsidR="00401C01" w:rsidRPr="00FD211F">
        <w:rPr>
          <w:sz w:val="36"/>
          <w:szCs w:val="36"/>
          <w:rtl/>
        </w:rPr>
        <w:t>والاتحاد</w:t>
      </w:r>
      <w:r w:rsidR="00E8128F">
        <w:rPr>
          <w:sz w:val="36"/>
          <w:szCs w:val="36"/>
          <w:rtl/>
        </w:rPr>
        <w:t xml:space="preserve"> </w:t>
      </w:r>
      <w:r w:rsidR="00401C01" w:rsidRPr="00FD211F">
        <w:rPr>
          <w:sz w:val="36"/>
          <w:szCs w:val="36"/>
          <w:rtl/>
        </w:rPr>
        <w:t>والعيني</w:t>
      </w:r>
      <w:r w:rsidR="00EC7EDF" w:rsidRPr="00FD211F">
        <w:rPr>
          <w:sz w:val="36"/>
          <w:szCs w:val="36"/>
          <w:rtl/>
        </w:rPr>
        <w:t>ة</w:t>
      </w:r>
      <w:r w:rsidR="00E8128F">
        <w:rPr>
          <w:sz w:val="36"/>
          <w:szCs w:val="36"/>
          <w:rtl/>
        </w:rPr>
        <w:t xml:space="preserve"> </w:t>
      </w:r>
      <w:r w:rsidR="00401C01" w:rsidRPr="00FD211F">
        <w:rPr>
          <w:sz w:val="36"/>
          <w:szCs w:val="36"/>
          <w:rtl/>
        </w:rPr>
        <w:t>بينهما</w:t>
      </w:r>
      <w:r w:rsidR="00E8128F">
        <w:rPr>
          <w:sz w:val="36"/>
          <w:szCs w:val="36"/>
          <w:rtl/>
        </w:rPr>
        <w:t xml:space="preserve"> </w:t>
      </w:r>
      <w:r w:rsidR="00401C01" w:rsidRPr="00FD211F">
        <w:rPr>
          <w:sz w:val="36"/>
          <w:szCs w:val="36"/>
          <w:rtl/>
        </w:rPr>
        <w:t>خارج</w:t>
      </w:r>
      <w:r w:rsidR="00E8128F">
        <w:rPr>
          <w:sz w:val="36"/>
          <w:szCs w:val="36"/>
          <w:rtl/>
        </w:rPr>
        <w:t xml:space="preserve"> </w:t>
      </w:r>
      <w:r w:rsidR="00401C01" w:rsidRPr="00FD211F">
        <w:rPr>
          <w:sz w:val="36"/>
          <w:szCs w:val="36"/>
          <w:rtl/>
        </w:rPr>
        <w:t>عن</w:t>
      </w:r>
      <w:r w:rsidR="00E8128F">
        <w:rPr>
          <w:sz w:val="36"/>
          <w:szCs w:val="36"/>
          <w:rtl/>
        </w:rPr>
        <w:t xml:space="preserve"> </w:t>
      </w:r>
      <w:r w:rsidR="00401C01" w:rsidRPr="00FD211F">
        <w:rPr>
          <w:sz w:val="36"/>
          <w:szCs w:val="36"/>
          <w:rtl/>
        </w:rPr>
        <w:t>الصدق</w:t>
      </w:r>
      <w:r w:rsidR="00E8128F">
        <w:rPr>
          <w:sz w:val="36"/>
          <w:szCs w:val="36"/>
          <w:rtl/>
        </w:rPr>
        <w:t xml:space="preserve"> </w:t>
      </w:r>
      <w:r w:rsidR="00401C01" w:rsidRPr="00FD211F">
        <w:rPr>
          <w:sz w:val="36"/>
          <w:szCs w:val="36"/>
          <w:rtl/>
        </w:rPr>
        <w:t>العرفي</w:t>
      </w:r>
      <w:r w:rsidR="00603323" w:rsidRPr="00FD211F">
        <w:rPr>
          <w:sz w:val="36"/>
          <w:szCs w:val="36"/>
          <w:rtl/>
        </w:rPr>
        <w:t>،</w:t>
      </w:r>
      <w:r w:rsidR="00E8128F">
        <w:rPr>
          <w:sz w:val="36"/>
          <w:szCs w:val="36"/>
          <w:rtl/>
        </w:rPr>
        <w:t xml:space="preserve"> </w:t>
      </w:r>
      <w:r w:rsidR="00401C01" w:rsidRPr="00FD211F">
        <w:rPr>
          <w:sz w:val="36"/>
          <w:szCs w:val="36"/>
          <w:rtl/>
        </w:rPr>
        <w:t>ولكن</w:t>
      </w:r>
      <w:r w:rsidR="00E8128F">
        <w:rPr>
          <w:sz w:val="36"/>
          <w:szCs w:val="36"/>
          <w:rtl/>
        </w:rPr>
        <w:t xml:space="preserve"> </w:t>
      </w:r>
      <w:r w:rsidR="00E86AE0" w:rsidRPr="00FD211F">
        <w:rPr>
          <w:sz w:val="36"/>
          <w:szCs w:val="36"/>
          <w:rtl/>
        </w:rPr>
        <w:t>لايكون</w:t>
      </w:r>
      <w:r w:rsidR="00E8128F">
        <w:rPr>
          <w:sz w:val="36"/>
          <w:szCs w:val="36"/>
          <w:rtl/>
        </w:rPr>
        <w:t xml:space="preserve"> </w:t>
      </w:r>
      <w:r w:rsidR="00E86AE0" w:rsidRPr="00FD211F">
        <w:rPr>
          <w:sz w:val="36"/>
          <w:szCs w:val="36"/>
          <w:rtl/>
        </w:rPr>
        <w:t>نظر</w:t>
      </w:r>
      <w:r w:rsidR="00E8128F">
        <w:rPr>
          <w:sz w:val="36"/>
          <w:szCs w:val="36"/>
          <w:rtl/>
        </w:rPr>
        <w:t xml:space="preserve"> </w:t>
      </w:r>
      <w:r w:rsidR="00E86AE0" w:rsidRPr="00FD211F">
        <w:rPr>
          <w:sz w:val="36"/>
          <w:szCs w:val="36"/>
          <w:rtl/>
        </w:rPr>
        <w:t>العرف</w:t>
      </w:r>
      <w:r w:rsidR="00E8128F">
        <w:rPr>
          <w:sz w:val="36"/>
          <w:szCs w:val="36"/>
          <w:rtl/>
        </w:rPr>
        <w:t xml:space="preserve"> </w:t>
      </w:r>
      <w:r w:rsidR="00E86AE0" w:rsidRPr="00FD211F">
        <w:rPr>
          <w:sz w:val="36"/>
          <w:szCs w:val="36"/>
          <w:rtl/>
        </w:rPr>
        <w:t>متبعا</w:t>
      </w:r>
      <w:r w:rsidR="00E8128F">
        <w:rPr>
          <w:sz w:val="36"/>
          <w:szCs w:val="36"/>
          <w:rtl/>
        </w:rPr>
        <w:t xml:space="preserve"> </w:t>
      </w:r>
      <w:r w:rsidR="00E86AE0" w:rsidRPr="00FD211F">
        <w:rPr>
          <w:sz w:val="36"/>
          <w:szCs w:val="36"/>
          <w:rtl/>
        </w:rPr>
        <w:t>الا</w:t>
      </w:r>
      <w:r w:rsidR="00E8128F">
        <w:rPr>
          <w:sz w:val="36"/>
          <w:szCs w:val="36"/>
          <w:rtl/>
        </w:rPr>
        <w:t xml:space="preserve"> </w:t>
      </w:r>
      <w:r w:rsidR="00E86AE0" w:rsidRPr="00FD211F">
        <w:rPr>
          <w:sz w:val="36"/>
          <w:szCs w:val="36"/>
          <w:rtl/>
        </w:rPr>
        <w:t>في</w:t>
      </w:r>
      <w:r w:rsidR="00E8128F">
        <w:rPr>
          <w:sz w:val="36"/>
          <w:szCs w:val="36"/>
          <w:rtl/>
        </w:rPr>
        <w:t xml:space="preserve"> </w:t>
      </w:r>
      <w:r w:rsidR="00E86AE0" w:rsidRPr="00FD211F">
        <w:rPr>
          <w:sz w:val="36"/>
          <w:szCs w:val="36"/>
          <w:rtl/>
        </w:rPr>
        <w:t>موارد</w:t>
      </w:r>
      <w:r w:rsidR="00E8128F">
        <w:rPr>
          <w:sz w:val="36"/>
          <w:szCs w:val="36"/>
          <w:rtl/>
        </w:rPr>
        <w:t xml:space="preserve"> </w:t>
      </w:r>
      <w:r w:rsidR="00E86AE0" w:rsidRPr="00FD211F">
        <w:rPr>
          <w:sz w:val="36"/>
          <w:szCs w:val="36"/>
          <w:rtl/>
        </w:rPr>
        <w:t>تعيين</w:t>
      </w:r>
      <w:r w:rsidR="00E8128F">
        <w:rPr>
          <w:sz w:val="36"/>
          <w:szCs w:val="36"/>
          <w:rtl/>
        </w:rPr>
        <w:t xml:space="preserve"> </w:t>
      </w:r>
      <w:r w:rsidR="00E86AE0" w:rsidRPr="00FD211F">
        <w:rPr>
          <w:sz w:val="36"/>
          <w:szCs w:val="36"/>
          <w:rtl/>
        </w:rPr>
        <w:t>مفاهيم</w:t>
      </w:r>
      <w:r w:rsidR="00E8128F">
        <w:rPr>
          <w:sz w:val="36"/>
          <w:szCs w:val="36"/>
          <w:rtl/>
        </w:rPr>
        <w:t xml:space="preserve"> </w:t>
      </w:r>
      <w:r w:rsidR="00E86AE0" w:rsidRPr="00FD211F">
        <w:rPr>
          <w:sz w:val="36"/>
          <w:szCs w:val="36"/>
          <w:rtl/>
        </w:rPr>
        <w:t>الالفاظ</w:t>
      </w:r>
      <w:r w:rsidR="00E8128F">
        <w:rPr>
          <w:sz w:val="36"/>
          <w:szCs w:val="36"/>
          <w:rtl/>
        </w:rPr>
        <w:t xml:space="preserve"> </w:t>
      </w:r>
      <w:r w:rsidR="00E86AE0" w:rsidRPr="00FD211F">
        <w:rPr>
          <w:sz w:val="36"/>
          <w:szCs w:val="36"/>
          <w:rtl/>
        </w:rPr>
        <w:t>سع</w:t>
      </w:r>
      <w:r w:rsidR="00EC7EDF" w:rsidRPr="00FD211F">
        <w:rPr>
          <w:sz w:val="36"/>
          <w:szCs w:val="36"/>
          <w:rtl/>
        </w:rPr>
        <w:t>ة</w:t>
      </w:r>
      <w:r w:rsidR="00E8128F">
        <w:rPr>
          <w:sz w:val="36"/>
          <w:szCs w:val="36"/>
          <w:rtl/>
        </w:rPr>
        <w:t xml:space="preserve"> </w:t>
      </w:r>
      <w:r w:rsidR="00E86AE0" w:rsidRPr="00FD211F">
        <w:rPr>
          <w:sz w:val="36"/>
          <w:szCs w:val="36"/>
          <w:rtl/>
        </w:rPr>
        <w:t>وضيقا</w:t>
      </w:r>
      <w:r w:rsidR="00603323" w:rsidRPr="00FD211F">
        <w:rPr>
          <w:sz w:val="36"/>
          <w:szCs w:val="36"/>
          <w:rtl/>
        </w:rPr>
        <w:t>،</w:t>
      </w:r>
      <w:r w:rsidR="00E8128F">
        <w:rPr>
          <w:sz w:val="36"/>
          <w:szCs w:val="36"/>
          <w:rtl/>
        </w:rPr>
        <w:t xml:space="preserve"> </w:t>
      </w:r>
      <w:r w:rsidR="00E86AE0" w:rsidRPr="00FD211F">
        <w:rPr>
          <w:sz w:val="36"/>
          <w:szCs w:val="36"/>
          <w:rtl/>
        </w:rPr>
        <w:t>والمتبع</w:t>
      </w:r>
      <w:r w:rsidR="00E8128F">
        <w:rPr>
          <w:sz w:val="36"/>
          <w:szCs w:val="36"/>
          <w:rtl/>
        </w:rPr>
        <w:t xml:space="preserve"> </w:t>
      </w:r>
      <w:r w:rsidR="00E86AE0" w:rsidRPr="00FD211F">
        <w:rPr>
          <w:sz w:val="36"/>
          <w:szCs w:val="36"/>
          <w:rtl/>
        </w:rPr>
        <w:t>في</w:t>
      </w:r>
      <w:r w:rsidR="00E8128F">
        <w:rPr>
          <w:sz w:val="36"/>
          <w:szCs w:val="36"/>
          <w:rtl/>
        </w:rPr>
        <w:t xml:space="preserve"> </w:t>
      </w:r>
      <w:r w:rsidR="00E86AE0" w:rsidRPr="00FD211F">
        <w:rPr>
          <w:sz w:val="36"/>
          <w:szCs w:val="36"/>
          <w:rtl/>
        </w:rPr>
        <w:t>تطبيقات</w:t>
      </w:r>
      <w:r w:rsidR="00E8128F">
        <w:rPr>
          <w:sz w:val="36"/>
          <w:szCs w:val="36"/>
          <w:rtl/>
        </w:rPr>
        <w:t xml:space="preserve"> </w:t>
      </w:r>
      <w:r w:rsidR="00E86AE0" w:rsidRPr="00FD211F">
        <w:rPr>
          <w:sz w:val="36"/>
          <w:szCs w:val="36"/>
          <w:rtl/>
        </w:rPr>
        <w:t>المفاهيم</w:t>
      </w:r>
      <w:r w:rsidR="00E8128F">
        <w:rPr>
          <w:sz w:val="36"/>
          <w:szCs w:val="36"/>
          <w:rtl/>
        </w:rPr>
        <w:t xml:space="preserve"> </w:t>
      </w:r>
      <w:r w:rsidR="00E86AE0" w:rsidRPr="00FD211F">
        <w:rPr>
          <w:sz w:val="36"/>
          <w:szCs w:val="36"/>
          <w:rtl/>
        </w:rPr>
        <w:t>على</w:t>
      </w:r>
      <w:r w:rsidR="00E8128F">
        <w:rPr>
          <w:sz w:val="36"/>
          <w:szCs w:val="36"/>
          <w:rtl/>
        </w:rPr>
        <w:t xml:space="preserve"> </w:t>
      </w:r>
      <w:r w:rsidR="00E86AE0" w:rsidRPr="00FD211F">
        <w:rPr>
          <w:sz w:val="36"/>
          <w:szCs w:val="36"/>
          <w:rtl/>
        </w:rPr>
        <w:t>مواردها</w:t>
      </w:r>
      <w:r w:rsidR="00E8128F">
        <w:rPr>
          <w:sz w:val="36"/>
          <w:szCs w:val="36"/>
          <w:rtl/>
        </w:rPr>
        <w:t xml:space="preserve"> </w:t>
      </w:r>
      <w:r w:rsidR="00190839" w:rsidRPr="00FD211F">
        <w:rPr>
          <w:sz w:val="36"/>
          <w:szCs w:val="36"/>
          <w:rtl/>
        </w:rPr>
        <w:t>هو</w:t>
      </w:r>
      <w:r w:rsidR="00E8128F">
        <w:rPr>
          <w:sz w:val="36"/>
          <w:szCs w:val="36"/>
          <w:rtl/>
        </w:rPr>
        <w:t xml:space="preserve"> </w:t>
      </w:r>
      <w:r w:rsidR="00E86AE0" w:rsidRPr="00FD211F">
        <w:rPr>
          <w:sz w:val="36"/>
          <w:szCs w:val="36"/>
          <w:rtl/>
        </w:rPr>
        <w:t>النظر</w:t>
      </w:r>
      <w:r w:rsidR="00E8128F">
        <w:rPr>
          <w:sz w:val="36"/>
          <w:szCs w:val="36"/>
          <w:rtl/>
        </w:rPr>
        <w:t xml:space="preserve"> </w:t>
      </w:r>
      <w:r w:rsidR="00E86AE0" w:rsidRPr="00FD211F">
        <w:rPr>
          <w:sz w:val="36"/>
          <w:szCs w:val="36"/>
          <w:rtl/>
        </w:rPr>
        <w:t>العقلي</w:t>
      </w:r>
      <w:r w:rsidR="00603323" w:rsidRPr="00FD211F">
        <w:rPr>
          <w:sz w:val="36"/>
          <w:szCs w:val="36"/>
          <w:rtl/>
        </w:rPr>
        <w:t>،</w:t>
      </w:r>
      <w:r w:rsidR="00E8128F">
        <w:rPr>
          <w:sz w:val="36"/>
          <w:szCs w:val="36"/>
          <w:rtl/>
        </w:rPr>
        <w:t xml:space="preserve"> </w:t>
      </w:r>
      <w:r w:rsidR="00E86AE0" w:rsidRPr="00FD211F">
        <w:rPr>
          <w:sz w:val="36"/>
          <w:szCs w:val="36"/>
          <w:rtl/>
        </w:rPr>
        <w:t>فان</w:t>
      </w:r>
      <w:r w:rsidR="00E8128F">
        <w:rPr>
          <w:sz w:val="36"/>
          <w:szCs w:val="36"/>
          <w:rtl/>
        </w:rPr>
        <w:t xml:space="preserve"> </w:t>
      </w:r>
      <w:r w:rsidR="00E86AE0" w:rsidRPr="00FD211F">
        <w:rPr>
          <w:sz w:val="36"/>
          <w:szCs w:val="36"/>
          <w:rtl/>
        </w:rPr>
        <w:t>كان</w:t>
      </w:r>
      <w:r w:rsidR="00E8128F">
        <w:rPr>
          <w:sz w:val="36"/>
          <w:szCs w:val="36"/>
          <w:rtl/>
        </w:rPr>
        <w:t xml:space="preserve"> </w:t>
      </w:r>
      <w:r w:rsidR="00E86AE0" w:rsidRPr="00FD211F">
        <w:rPr>
          <w:sz w:val="36"/>
          <w:szCs w:val="36"/>
          <w:rtl/>
        </w:rPr>
        <w:t>هذا</w:t>
      </w:r>
      <w:r w:rsidR="00E8128F">
        <w:rPr>
          <w:sz w:val="36"/>
          <w:szCs w:val="36"/>
          <w:rtl/>
        </w:rPr>
        <w:t xml:space="preserve"> </w:t>
      </w:r>
      <w:r w:rsidR="00E86AE0" w:rsidRPr="00FD211F">
        <w:rPr>
          <w:sz w:val="36"/>
          <w:szCs w:val="36"/>
          <w:rtl/>
        </w:rPr>
        <w:t>تلبسا</w:t>
      </w:r>
      <w:r w:rsidR="00E8128F">
        <w:rPr>
          <w:sz w:val="36"/>
          <w:szCs w:val="36"/>
          <w:rtl/>
        </w:rPr>
        <w:t xml:space="preserve"> </w:t>
      </w:r>
      <w:r w:rsidR="00E86AE0" w:rsidRPr="00FD211F">
        <w:rPr>
          <w:sz w:val="36"/>
          <w:szCs w:val="36"/>
          <w:rtl/>
        </w:rPr>
        <w:t>وقياما</w:t>
      </w:r>
      <w:r w:rsidR="00E8128F">
        <w:rPr>
          <w:sz w:val="36"/>
          <w:szCs w:val="36"/>
          <w:rtl/>
        </w:rPr>
        <w:t xml:space="preserve"> </w:t>
      </w:r>
      <w:r w:rsidR="00E86AE0" w:rsidRPr="00FD211F">
        <w:rPr>
          <w:sz w:val="36"/>
          <w:szCs w:val="36"/>
          <w:rtl/>
        </w:rPr>
        <w:t>بنظر</w:t>
      </w:r>
      <w:r w:rsidR="00E8128F">
        <w:rPr>
          <w:sz w:val="36"/>
          <w:szCs w:val="36"/>
          <w:rtl/>
        </w:rPr>
        <w:t xml:space="preserve"> </w:t>
      </w:r>
      <w:r w:rsidR="00E86AE0" w:rsidRPr="00FD211F">
        <w:rPr>
          <w:sz w:val="36"/>
          <w:szCs w:val="36"/>
          <w:rtl/>
        </w:rPr>
        <w:t>العقل</w:t>
      </w:r>
      <w:r w:rsidR="00E8128F">
        <w:rPr>
          <w:sz w:val="36"/>
          <w:szCs w:val="36"/>
          <w:rtl/>
        </w:rPr>
        <w:t xml:space="preserve"> </w:t>
      </w:r>
      <w:r w:rsidR="008D7B3D" w:rsidRPr="00FD211F">
        <w:rPr>
          <w:sz w:val="36"/>
          <w:szCs w:val="36"/>
          <w:rtl/>
        </w:rPr>
        <w:t>لم‌</w:t>
      </w:r>
      <w:r w:rsidR="00E86AE0" w:rsidRPr="00FD211F">
        <w:rPr>
          <w:sz w:val="36"/>
          <w:szCs w:val="36"/>
          <w:rtl/>
        </w:rPr>
        <w:t>يضر</w:t>
      </w:r>
      <w:r w:rsidR="00E8128F">
        <w:rPr>
          <w:sz w:val="36"/>
          <w:szCs w:val="36"/>
          <w:rtl/>
        </w:rPr>
        <w:t xml:space="preserve"> </w:t>
      </w:r>
      <w:r w:rsidR="00E86AE0" w:rsidRPr="00FD211F">
        <w:rPr>
          <w:sz w:val="36"/>
          <w:szCs w:val="36"/>
          <w:rtl/>
        </w:rPr>
        <w:t>عدم</w:t>
      </w:r>
      <w:r w:rsidR="00E8128F">
        <w:rPr>
          <w:sz w:val="36"/>
          <w:szCs w:val="36"/>
          <w:rtl/>
        </w:rPr>
        <w:t xml:space="preserve"> </w:t>
      </w:r>
      <w:r w:rsidR="00E86AE0" w:rsidRPr="00FD211F">
        <w:rPr>
          <w:sz w:val="36"/>
          <w:szCs w:val="36"/>
          <w:rtl/>
        </w:rPr>
        <w:t>ادراك</w:t>
      </w:r>
      <w:r w:rsidR="00E8128F">
        <w:rPr>
          <w:sz w:val="36"/>
          <w:szCs w:val="36"/>
          <w:rtl/>
        </w:rPr>
        <w:t xml:space="preserve"> </w:t>
      </w:r>
      <w:r w:rsidR="00E86AE0" w:rsidRPr="00FD211F">
        <w:rPr>
          <w:sz w:val="36"/>
          <w:szCs w:val="36"/>
          <w:rtl/>
        </w:rPr>
        <w:t>اهل</w:t>
      </w:r>
      <w:r w:rsidR="00E8128F">
        <w:rPr>
          <w:sz w:val="36"/>
          <w:szCs w:val="36"/>
          <w:rtl/>
        </w:rPr>
        <w:t xml:space="preserve"> </w:t>
      </w:r>
      <w:r w:rsidR="00E86AE0" w:rsidRPr="00FD211F">
        <w:rPr>
          <w:sz w:val="36"/>
          <w:szCs w:val="36"/>
          <w:rtl/>
        </w:rPr>
        <w:t>العرف</w:t>
      </w:r>
      <w:r w:rsidR="00E8128F">
        <w:rPr>
          <w:sz w:val="36"/>
          <w:szCs w:val="36"/>
          <w:rtl/>
        </w:rPr>
        <w:t xml:space="preserve"> </w:t>
      </w:r>
      <w:r w:rsidR="00E86AE0" w:rsidRPr="00FD211F">
        <w:rPr>
          <w:sz w:val="36"/>
          <w:szCs w:val="36"/>
          <w:rtl/>
        </w:rPr>
        <w:t>لذلك</w:t>
      </w:r>
      <w:r w:rsidR="009C58C8" w:rsidRPr="00FD211F">
        <w:rPr>
          <w:rStyle w:val="a6"/>
          <w:sz w:val="36"/>
          <w:szCs w:val="36"/>
          <w:rtl/>
        </w:rPr>
        <w:t>(</w:t>
      </w:r>
      <w:r w:rsidR="009C58C8" w:rsidRPr="00FD211F">
        <w:rPr>
          <w:rStyle w:val="a6"/>
          <w:sz w:val="36"/>
          <w:szCs w:val="36"/>
          <w:rtl/>
        </w:rPr>
        <w:footnoteReference w:id="577"/>
      </w:r>
      <w:r w:rsidR="009C58C8" w:rsidRPr="00FD211F">
        <w:rPr>
          <w:rStyle w:val="a6"/>
          <w:sz w:val="36"/>
          <w:szCs w:val="36"/>
          <w:rtl/>
        </w:rPr>
        <w:t>)</w:t>
      </w:r>
      <w:r w:rsidR="0034518B" w:rsidRPr="00FD211F">
        <w:rPr>
          <w:sz w:val="36"/>
          <w:szCs w:val="36"/>
          <w:rtl/>
        </w:rPr>
        <w:t>.</w:t>
      </w:r>
    </w:p>
    <w:p w14:paraId="19B0BBC1" w14:textId="77777777" w:rsidR="00A83339" w:rsidRPr="00FD211F" w:rsidRDefault="0040555A" w:rsidP="009C58C8">
      <w:pPr>
        <w:ind w:left="0" w:firstLine="227"/>
        <w:jc w:val="both"/>
        <w:rPr>
          <w:sz w:val="36"/>
          <w:szCs w:val="36"/>
          <w:rtl/>
        </w:rPr>
      </w:pPr>
      <w:r w:rsidRPr="00FD211F">
        <w:rPr>
          <w:sz w:val="36"/>
          <w:szCs w:val="36"/>
          <w:rtl/>
        </w:rPr>
        <w:t>ويلاحظ</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ب</w:t>
      </w:r>
      <w:r w:rsidR="003211F6" w:rsidRPr="00FD211F">
        <w:rPr>
          <w:sz w:val="36"/>
          <w:szCs w:val="36"/>
          <w:rtl/>
        </w:rPr>
        <w:t>انه</w:t>
      </w:r>
      <w:r w:rsidR="00E8128F">
        <w:rPr>
          <w:sz w:val="36"/>
          <w:szCs w:val="36"/>
          <w:rtl/>
        </w:rPr>
        <w:t xml:space="preserve"> </w:t>
      </w:r>
      <w:r w:rsidR="003211F6" w:rsidRPr="00FD211F">
        <w:rPr>
          <w:sz w:val="36"/>
          <w:szCs w:val="36"/>
          <w:rtl/>
        </w:rPr>
        <w:t>لايصح</w:t>
      </w:r>
      <w:r w:rsidR="00E8128F">
        <w:rPr>
          <w:sz w:val="36"/>
          <w:szCs w:val="36"/>
          <w:rtl/>
        </w:rPr>
        <w:t xml:space="preserve"> </w:t>
      </w:r>
      <w:r w:rsidR="003211F6" w:rsidRPr="00FD211F">
        <w:rPr>
          <w:sz w:val="36"/>
          <w:szCs w:val="36"/>
          <w:rtl/>
        </w:rPr>
        <w:t>عرفا</w:t>
      </w:r>
      <w:r w:rsidR="00E8128F">
        <w:rPr>
          <w:sz w:val="36"/>
          <w:szCs w:val="36"/>
          <w:rtl/>
        </w:rPr>
        <w:t xml:space="preserve"> </w:t>
      </w:r>
      <w:r w:rsidR="003211F6" w:rsidRPr="00FD211F">
        <w:rPr>
          <w:sz w:val="36"/>
          <w:szCs w:val="36"/>
          <w:rtl/>
        </w:rPr>
        <w:t>حمل</w:t>
      </w:r>
      <w:r w:rsidR="00E8128F">
        <w:rPr>
          <w:sz w:val="36"/>
          <w:szCs w:val="36"/>
          <w:rtl/>
        </w:rPr>
        <w:t xml:space="preserve"> </w:t>
      </w:r>
      <w:r w:rsidR="003211F6" w:rsidRPr="00FD211F">
        <w:rPr>
          <w:sz w:val="36"/>
          <w:szCs w:val="36"/>
          <w:rtl/>
        </w:rPr>
        <w:t>المشتق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نفس</w:t>
      </w:r>
      <w:r w:rsidR="00E8128F">
        <w:rPr>
          <w:sz w:val="36"/>
          <w:szCs w:val="36"/>
          <w:rtl/>
        </w:rPr>
        <w:t xml:space="preserve"> </w:t>
      </w:r>
      <w:r w:rsidRPr="00FD211F">
        <w:rPr>
          <w:sz w:val="36"/>
          <w:szCs w:val="36"/>
          <w:rtl/>
        </w:rPr>
        <w:t>ال</w:t>
      </w:r>
      <w:r w:rsidR="003211F6" w:rsidRPr="00FD211F">
        <w:rPr>
          <w:sz w:val="36"/>
          <w:szCs w:val="36"/>
          <w:rtl/>
        </w:rPr>
        <w:t>مبدأ</w:t>
      </w:r>
      <w:r w:rsidR="00603323" w:rsidRPr="00FD211F">
        <w:rPr>
          <w:sz w:val="36"/>
          <w:szCs w:val="36"/>
          <w:rtl/>
        </w:rPr>
        <w:t>،</w:t>
      </w:r>
      <w:r w:rsidR="00E8128F">
        <w:rPr>
          <w:sz w:val="36"/>
          <w:szCs w:val="36"/>
          <w:rtl/>
        </w:rPr>
        <w:t xml:space="preserve"> </w:t>
      </w:r>
      <w:r w:rsidR="0034518B" w:rsidRPr="00FD211F">
        <w:rPr>
          <w:sz w:val="36"/>
          <w:szCs w:val="36"/>
          <w:rtl/>
        </w:rPr>
        <w:t>فلايقال</w:t>
      </w:r>
      <w:r w:rsidR="00E8128F">
        <w:rPr>
          <w:sz w:val="36"/>
          <w:szCs w:val="36"/>
          <w:rtl/>
        </w:rPr>
        <w:t xml:space="preserve"> </w:t>
      </w:r>
      <w:r w:rsidR="0034518B" w:rsidRPr="00FD211F">
        <w:rPr>
          <w:sz w:val="36"/>
          <w:szCs w:val="36"/>
          <w:rtl/>
        </w:rPr>
        <w:t>القيام</w:t>
      </w:r>
      <w:r w:rsidR="00E8128F">
        <w:rPr>
          <w:sz w:val="36"/>
          <w:szCs w:val="36"/>
          <w:rtl/>
        </w:rPr>
        <w:t xml:space="preserve"> </w:t>
      </w:r>
      <w:r w:rsidR="0034518B" w:rsidRPr="00FD211F">
        <w:rPr>
          <w:sz w:val="36"/>
          <w:szCs w:val="36"/>
          <w:rtl/>
        </w:rPr>
        <w:t>قائم</w:t>
      </w:r>
      <w:r w:rsidR="00E8128F">
        <w:rPr>
          <w:sz w:val="36"/>
          <w:szCs w:val="36"/>
          <w:rtl/>
        </w:rPr>
        <w:t xml:space="preserve"> </w:t>
      </w:r>
      <w:r w:rsidR="0034518B" w:rsidRPr="00FD211F">
        <w:rPr>
          <w:sz w:val="36"/>
          <w:szCs w:val="36"/>
          <w:rtl/>
        </w:rPr>
        <w:t>والعلم</w:t>
      </w:r>
      <w:r w:rsidR="00E8128F">
        <w:rPr>
          <w:sz w:val="36"/>
          <w:szCs w:val="36"/>
          <w:rtl/>
        </w:rPr>
        <w:t xml:space="preserve"> </w:t>
      </w:r>
      <w:r w:rsidR="0034518B" w:rsidRPr="00FD211F">
        <w:rPr>
          <w:sz w:val="36"/>
          <w:szCs w:val="36"/>
          <w:rtl/>
        </w:rPr>
        <w:t>عالم</w:t>
      </w:r>
      <w:r w:rsidR="00E8128F">
        <w:rPr>
          <w:sz w:val="36"/>
          <w:szCs w:val="36"/>
          <w:rtl/>
        </w:rPr>
        <w:t xml:space="preserve"> </w:t>
      </w:r>
      <w:r w:rsidR="005560D5" w:rsidRPr="00FD211F">
        <w:rPr>
          <w:sz w:val="36"/>
          <w:szCs w:val="36"/>
          <w:rtl/>
        </w:rPr>
        <w:t>والنور</w:t>
      </w:r>
      <w:r w:rsidR="00E8128F">
        <w:rPr>
          <w:sz w:val="36"/>
          <w:szCs w:val="36"/>
          <w:rtl/>
        </w:rPr>
        <w:t xml:space="preserve"> </w:t>
      </w:r>
      <w:r w:rsidR="005560D5" w:rsidRPr="00FD211F">
        <w:rPr>
          <w:sz w:val="36"/>
          <w:szCs w:val="36"/>
          <w:rtl/>
        </w:rPr>
        <w:t>نيِّر</w:t>
      </w:r>
      <w:r w:rsidR="00E8128F">
        <w:rPr>
          <w:sz w:val="36"/>
          <w:szCs w:val="36"/>
          <w:rtl/>
        </w:rPr>
        <w:t xml:space="preserve"> </w:t>
      </w:r>
      <w:r w:rsidR="001D0030" w:rsidRPr="00FD211F">
        <w:rPr>
          <w:sz w:val="36"/>
          <w:szCs w:val="36"/>
          <w:rtl/>
        </w:rPr>
        <w:t>كما</w:t>
      </w:r>
      <w:r w:rsidR="00E8128F">
        <w:rPr>
          <w:sz w:val="36"/>
          <w:szCs w:val="36"/>
          <w:rtl/>
        </w:rPr>
        <w:t xml:space="preserve"> </w:t>
      </w:r>
      <w:r w:rsidR="001D0030" w:rsidRPr="00FD211F">
        <w:rPr>
          <w:sz w:val="36"/>
          <w:szCs w:val="36"/>
          <w:rtl/>
        </w:rPr>
        <w:t>لايقال</w:t>
      </w:r>
      <w:r w:rsidR="00E8128F">
        <w:rPr>
          <w:sz w:val="36"/>
          <w:szCs w:val="36"/>
          <w:rtl/>
        </w:rPr>
        <w:t xml:space="preserve"> </w:t>
      </w:r>
      <w:r w:rsidR="001D0030" w:rsidRPr="00FD211F">
        <w:rPr>
          <w:sz w:val="36"/>
          <w:szCs w:val="36"/>
          <w:rtl/>
        </w:rPr>
        <w:t>لون</w:t>
      </w:r>
      <w:r w:rsidR="00E8128F">
        <w:rPr>
          <w:sz w:val="36"/>
          <w:szCs w:val="36"/>
          <w:rtl/>
        </w:rPr>
        <w:t xml:space="preserve"> </w:t>
      </w:r>
      <w:r w:rsidR="001D0030" w:rsidRPr="00FD211F">
        <w:rPr>
          <w:sz w:val="36"/>
          <w:szCs w:val="36"/>
          <w:rtl/>
        </w:rPr>
        <w:t>هذا</w:t>
      </w:r>
      <w:r w:rsidR="00E8128F">
        <w:rPr>
          <w:sz w:val="36"/>
          <w:szCs w:val="36"/>
          <w:rtl/>
        </w:rPr>
        <w:t xml:space="preserve"> </w:t>
      </w:r>
      <w:r w:rsidR="001D0030" w:rsidRPr="00FD211F">
        <w:rPr>
          <w:sz w:val="36"/>
          <w:szCs w:val="36"/>
          <w:rtl/>
        </w:rPr>
        <w:t>الجدار</w:t>
      </w:r>
      <w:r w:rsidR="00E8128F">
        <w:rPr>
          <w:sz w:val="36"/>
          <w:szCs w:val="36"/>
          <w:rtl/>
        </w:rPr>
        <w:t xml:space="preserve"> </w:t>
      </w:r>
      <w:r w:rsidR="001D0030" w:rsidRPr="00FD211F">
        <w:rPr>
          <w:sz w:val="36"/>
          <w:szCs w:val="36"/>
          <w:rtl/>
        </w:rPr>
        <w:t>ابيض</w:t>
      </w:r>
      <w:r w:rsidR="00603323" w:rsidRPr="00FD211F">
        <w:rPr>
          <w:sz w:val="36"/>
          <w:szCs w:val="36"/>
          <w:rtl/>
        </w:rPr>
        <w:t>،</w:t>
      </w:r>
      <w:r w:rsidR="00E8128F">
        <w:rPr>
          <w:sz w:val="36"/>
          <w:szCs w:val="36"/>
          <w:rtl/>
        </w:rPr>
        <w:t xml:space="preserve"> </w:t>
      </w:r>
      <w:r w:rsidR="00721336" w:rsidRPr="00FD211F">
        <w:rPr>
          <w:sz w:val="36"/>
          <w:szCs w:val="36"/>
          <w:rtl/>
        </w:rPr>
        <w:t>فان</w:t>
      </w:r>
      <w:r w:rsidR="00E8128F">
        <w:rPr>
          <w:sz w:val="36"/>
          <w:szCs w:val="36"/>
          <w:rtl/>
        </w:rPr>
        <w:t xml:space="preserve"> </w:t>
      </w:r>
      <w:r w:rsidR="00721336" w:rsidRPr="00FD211F">
        <w:rPr>
          <w:sz w:val="36"/>
          <w:szCs w:val="36"/>
          <w:rtl/>
        </w:rPr>
        <w:t>المشتق</w:t>
      </w:r>
      <w:r w:rsidR="00E8128F">
        <w:rPr>
          <w:sz w:val="36"/>
          <w:szCs w:val="36"/>
          <w:rtl/>
        </w:rPr>
        <w:t xml:space="preserve"> </w:t>
      </w:r>
      <w:r w:rsidR="00721336" w:rsidRPr="00FD211F">
        <w:rPr>
          <w:sz w:val="36"/>
          <w:szCs w:val="36"/>
          <w:rtl/>
        </w:rPr>
        <w:t>مساوق</w:t>
      </w:r>
      <w:r w:rsidR="00E8128F">
        <w:rPr>
          <w:sz w:val="36"/>
          <w:szCs w:val="36"/>
          <w:rtl/>
        </w:rPr>
        <w:t xml:space="preserve"> </w:t>
      </w:r>
      <w:r w:rsidR="00721336" w:rsidRPr="00FD211F">
        <w:rPr>
          <w:sz w:val="36"/>
          <w:szCs w:val="36"/>
          <w:rtl/>
        </w:rPr>
        <w:t>لاضاف</w:t>
      </w:r>
      <w:r w:rsidR="00EC7EDF" w:rsidRPr="00FD211F">
        <w:rPr>
          <w:sz w:val="36"/>
          <w:szCs w:val="36"/>
          <w:rtl/>
        </w:rPr>
        <w:t>ة</w:t>
      </w:r>
      <w:r w:rsidR="00E8128F">
        <w:rPr>
          <w:sz w:val="36"/>
          <w:szCs w:val="36"/>
          <w:rtl/>
        </w:rPr>
        <w:t xml:space="preserve"> </w:t>
      </w:r>
      <w:r w:rsidR="00721336" w:rsidRPr="00FD211F">
        <w:rPr>
          <w:sz w:val="36"/>
          <w:szCs w:val="36"/>
          <w:rtl/>
        </w:rPr>
        <w:t>كلم</w:t>
      </w:r>
      <w:r w:rsidR="00EC7EDF" w:rsidRPr="00FD211F">
        <w:rPr>
          <w:sz w:val="36"/>
          <w:szCs w:val="36"/>
          <w:rtl/>
        </w:rPr>
        <w:t>ة</w:t>
      </w:r>
      <w:r w:rsidR="00E8128F">
        <w:rPr>
          <w:sz w:val="36"/>
          <w:szCs w:val="36"/>
          <w:rtl/>
        </w:rPr>
        <w:t xml:space="preserve"> </w:t>
      </w:r>
      <w:r w:rsidR="00721336" w:rsidRPr="00FD211F">
        <w:rPr>
          <w:sz w:val="36"/>
          <w:szCs w:val="36"/>
          <w:rtl/>
        </w:rPr>
        <w:t>ذو</w:t>
      </w:r>
      <w:r w:rsidR="00E8128F">
        <w:rPr>
          <w:sz w:val="36"/>
          <w:szCs w:val="36"/>
          <w:rtl/>
        </w:rPr>
        <w:t xml:space="preserve"> </w:t>
      </w:r>
      <w:r w:rsidR="00721336" w:rsidRPr="00FD211F">
        <w:rPr>
          <w:sz w:val="36"/>
          <w:szCs w:val="36"/>
          <w:rtl/>
        </w:rPr>
        <w:t>الى</w:t>
      </w:r>
      <w:r w:rsidR="00E8128F">
        <w:rPr>
          <w:sz w:val="36"/>
          <w:szCs w:val="36"/>
          <w:rtl/>
        </w:rPr>
        <w:t xml:space="preserve"> </w:t>
      </w:r>
      <w:r w:rsidR="00721336" w:rsidRPr="00FD211F">
        <w:rPr>
          <w:sz w:val="36"/>
          <w:szCs w:val="36"/>
          <w:rtl/>
        </w:rPr>
        <w:t>المبدأ</w:t>
      </w:r>
      <w:r w:rsidR="00603323" w:rsidRPr="00FD211F">
        <w:rPr>
          <w:sz w:val="36"/>
          <w:szCs w:val="36"/>
          <w:rtl/>
        </w:rPr>
        <w:t>،</w:t>
      </w:r>
      <w:r w:rsidR="00E8128F">
        <w:rPr>
          <w:sz w:val="36"/>
          <w:szCs w:val="36"/>
          <w:rtl/>
        </w:rPr>
        <w:t xml:space="preserve"> </w:t>
      </w:r>
      <w:r w:rsidR="00721336" w:rsidRPr="00FD211F">
        <w:rPr>
          <w:sz w:val="36"/>
          <w:szCs w:val="36"/>
          <w:rtl/>
        </w:rPr>
        <w:t>فالابيض</w:t>
      </w:r>
      <w:r w:rsidR="00E8128F">
        <w:rPr>
          <w:sz w:val="36"/>
          <w:szCs w:val="36"/>
          <w:rtl/>
        </w:rPr>
        <w:t xml:space="preserve"> </w:t>
      </w:r>
      <w:r w:rsidR="005560D5" w:rsidRPr="00FD211F">
        <w:rPr>
          <w:sz w:val="36"/>
          <w:szCs w:val="36"/>
          <w:rtl/>
        </w:rPr>
        <w:t>بمعنى</w:t>
      </w:r>
      <w:r w:rsidR="00E8128F">
        <w:rPr>
          <w:sz w:val="36"/>
          <w:szCs w:val="36"/>
          <w:rtl/>
        </w:rPr>
        <w:t xml:space="preserve"> </w:t>
      </w:r>
      <w:r w:rsidR="005560D5" w:rsidRPr="00FD211F">
        <w:rPr>
          <w:sz w:val="36"/>
          <w:szCs w:val="36"/>
          <w:rtl/>
        </w:rPr>
        <w:t>ذو</w:t>
      </w:r>
      <w:r w:rsidR="00E8128F">
        <w:rPr>
          <w:sz w:val="36"/>
          <w:szCs w:val="36"/>
          <w:rtl/>
        </w:rPr>
        <w:t xml:space="preserve"> </w:t>
      </w:r>
      <w:r w:rsidR="005560D5" w:rsidRPr="00FD211F">
        <w:rPr>
          <w:sz w:val="36"/>
          <w:szCs w:val="36"/>
          <w:rtl/>
        </w:rPr>
        <w:t>بياض</w:t>
      </w:r>
      <w:r w:rsidR="00E8128F">
        <w:rPr>
          <w:sz w:val="36"/>
          <w:szCs w:val="36"/>
          <w:rtl/>
        </w:rPr>
        <w:t xml:space="preserve"> </w:t>
      </w:r>
      <w:r w:rsidR="00721336" w:rsidRPr="00FD211F">
        <w:rPr>
          <w:sz w:val="36"/>
          <w:szCs w:val="36"/>
          <w:rtl/>
        </w:rPr>
        <w:t>ولايصدق</w:t>
      </w:r>
      <w:r w:rsidR="00E8128F">
        <w:rPr>
          <w:sz w:val="36"/>
          <w:szCs w:val="36"/>
          <w:rtl/>
        </w:rPr>
        <w:t xml:space="preserve"> </w:t>
      </w:r>
      <w:r w:rsidR="00721336" w:rsidRPr="00FD211F">
        <w:rPr>
          <w:sz w:val="36"/>
          <w:szCs w:val="36"/>
          <w:rtl/>
        </w:rPr>
        <w:t>على</w:t>
      </w:r>
      <w:r w:rsidR="00E8128F">
        <w:rPr>
          <w:sz w:val="36"/>
          <w:szCs w:val="36"/>
          <w:rtl/>
        </w:rPr>
        <w:t xml:space="preserve"> </w:t>
      </w:r>
      <w:r w:rsidR="00721336" w:rsidRPr="00FD211F">
        <w:rPr>
          <w:sz w:val="36"/>
          <w:szCs w:val="36"/>
          <w:rtl/>
        </w:rPr>
        <w:t>نفس</w:t>
      </w:r>
      <w:r w:rsidR="00E8128F">
        <w:rPr>
          <w:sz w:val="36"/>
          <w:szCs w:val="36"/>
          <w:rtl/>
        </w:rPr>
        <w:t xml:space="preserve"> </w:t>
      </w:r>
      <w:r w:rsidR="00721336" w:rsidRPr="00FD211F">
        <w:rPr>
          <w:sz w:val="36"/>
          <w:szCs w:val="36"/>
          <w:rtl/>
        </w:rPr>
        <w:t>البياض</w:t>
      </w:r>
      <w:r w:rsidR="00603323" w:rsidRPr="00FD211F">
        <w:rPr>
          <w:sz w:val="36"/>
          <w:szCs w:val="36"/>
          <w:rtl/>
        </w:rPr>
        <w:t>،</w:t>
      </w:r>
      <w:r w:rsidR="00E8128F">
        <w:rPr>
          <w:sz w:val="36"/>
          <w:szCs w:val="36"/>
          <w:rtl/>
        </w:rPr>
        <w:t xml:space="preserve"> </w:t>
      </w:r>
      <w:r w:rsidR="00A83339" w:rsidRPr="00FD211F">
        <w:rPr>
          <w:sz w:val="36"/>
          <w:szCs w:val="36"/>
          <w:rtl/>
        </w:rPr>
        <w:t>واما</w:t>
      </w:r>
      <w:r w:rsidR="00E8128F">
        <w:rPr>
          <w:sz w:val="36"/>
          <w:szCs w:val="36"/>
          <w:rtl/>
        </w:rPr>
        <w:t xml:space="preserve"> </w:t>
      </w:r>
      <w:r w:rsidR="00A83339" w:rsidRPr="00FD211F">
        <w:rPr>
          <w:sz w:val="36"/>
          <w:szCs w:val="36"/>
          <w:rtl/>
        </w:rPr>
        <w:t>التعبير</w:t>
      </w:r>
      <w:r w:rsidR="00E8128F">
        <w:rPr>
          <w:sz w:val="36"/>
          <w:szCs w:val="36"/>
          <w:rtl/>
        </w:rPr>
        <w:t xml:space="preserve"> </w:t>
      </w:r>
      <w:r w:rsidR="00A83339" w:rsidRPr="00FD211F">
        <w:rPr>
          <w:sz w:val="36"/>
          <w:szCs w:val="36"/>
          <w:rtl/>
        </w:rPr>
        <w:t>بان</w:t>
      </w:r>
      <w:r w:rsidR="00E8128F">
        <w:rPr>
          <w:sz w:val="36"/>
          <w:szCs w:val="36"/>
          <w:rtl/>
        </w:rPr>
        <w:t xml:space="preserve"> </w:t>
      </w:r>
      <w:r w:rsidR="00A83339" w:rsidRPr="00FD211F">
        <w:rPr>
          <w:sz w:val="36"/>
          <w:szCs w:val="36"/>
          <w:rtl/>
        </w:rPr>
        <w:t>الوجود</w:t>
      </w:r>
      <w:r w:rsidR="00E8128F">
        <w:rPr>
          <w:sz w:val="36"/>
          <w:szCs w:val="36"/>
          <w:rtl/>
        </w:rPr>
        <w:t xml:space="preserve"> </w:t>
      </w:r>
      <w:r w:rsidR="00A83339" w:rsidRPr="00FD211F">
        <w:rPr>
          <w:sz w:val="36"/>
          <w:szCs w:val="36"/>
          <w:rtl/>
        </w:rPr>
        <w:t>موجود</w:t>
      </w:r>
      <w:r w:rsidR="00E8128F">
        <w:rPr>
          <w:sz w:val="36"/>
          <w:szCs w:val="36"/>
          <w:rtl/>
        </w:rPr>
        <w:t xml:space="preserve"> </w:t>
      </w:r>
      <w:r w:rsidR="00A83339" w:rsidRPr="00FD211F">
        <w:rPr>
          <w:sz w:val="36"/>
          <w:szCs w:val="36"/>
          <w:rtl/>
        </w:rPr>
        <w:t>فالظاهر</w:t>
      </w:r>
      <w:r w:rsidR="00E8128F">
        <w:rPr>
          <w:sz w:val="36"/>
          <w:szCs w:val="36"/>
          <w:rtl/>
        </w:rPr>
        <w:t xml:space="preserve"> </w:t>
      </w:r>
      <w:r w:rsidR="00A83339" w:rsidRPr="00FD211F">
        <w:rPr>
          <w:sz w:val="36"/>
          <w:szCs w:val="36"/>
          <w:rtl/>
        </w:rPr>
        <w:t>انه</w:t>
      </w:r>
      <w:r w:rsidR="00E8128F">
        <w:rPr>
          <w:sz w:val="36"/>
          <w:szCs w:val="36"/>
          <w:rtl/>
        </w:rPr>
        <w:t xml:space="preserve"> </w:t>
      </w:r>
      <w:r w:rsidR="00A83339" w:rsidRPr="00FD211F">
        <w:rPr>
          <w:sz w:val="36"/>
          <w:szCs w:val="36"/>
          <w:rtl/>
        </w:rPr>
        <w:t>يكون</w:t>
      </w:r>
      <w:r w:rsidR="00E8128F">
        <w:rPr>
          <w:sz w:val="36"/>
          <w:szCs w:val="36"/>
          <w:rtl/>
        </w:rPr>
        <w:t xml:space="preserve"> </w:t>
      </w:r>
      <w:r w:rsidR="00A83339" w:rsidRPr="00FD211F">
        <w:rPr>
          <w:sz w:val="36"/>
          <w:szCs w:val="36"/>
          <w:rtl/>
        </w:rPr>
        <w:t>مع</w:t>
      </w:r>
      <w:r w:rsidR="00E8128F">
        <w:rPr>
          <w:sz w:val="36"/>
          <w:szCs w:val="36"/>
          <w:rtl/>
        </w:rPr>
        <w:t xml:space="preserve"> </w:t>
      </w:r>
      <w:r w:rsidR="00A83339" w:rsidRPr="00FD211F">
        <w:rPr>
          <w:sz w:val="36"/>
          <w:szCs w:val="36"/>
          <w:rtl/>
        </w:rPr>
        <w:t>عناي</w:t>
      </w:r>
      <w:r w:rsidR="00EC7EDF" w:rsidRPr="00FD211F">
        <w:rPr>
          <w:sz w:val="36"/>
          <w:szCs w:val="36"/>
          <w:rtl/>
        </w:rPr>
        <w:t>ة</w:t>
      </w:r>
      <w:r w:rsidR="00603323" w:rsidRPr="00FD211F">
        <w:rPr>
          <w:sz w:val="36"/>
          <w:szCs w:val="36"/>
          <w:rtl/>
        </w:rPr>
        <w:t>،</w:t>
      </w:r>
      <w:r w:rsidR="00E8128F">
        <w:rPr>
          <w:sz w:val="36"/>
          <w:szCs w:val="36"/>
          <w:rtl/>
        </w:rPr>
        <w:t xml:space="preserve"> </w:t>
      </w:r>
      <w:r w:rsidR="00A83339" w:rsidRPr="00FD211F">
        <w:rPr>
          <w:sz w:val="36"/>
          <w:szCs w:val="36"/>
          <w:rtl/>
        </w:rPr>
        <w:t>وما</w:t>
      </w:r>
      <w:r w:rsidR="00E8128F">
        <w:rPr>
          <w:sz w:val="36"/>
          <w:szCs w:val="36"/>
          <w:rtl/>
        </w:rPr>
        <w:t xml:space="preserve"> </w:t>
      </w:r>
      <w:r w:rsidR="00A83339" w:rsidRPr="00FD211F">
        <w:rPr>
          <w:sz w:val="36"/>
          <w:szCs w:val="36"/>
          <w:rtl/>
        </w:rPr>
        <w:t>ذكروه</w:t>
      </w:r>
      <w:r w:rsidR="00E8128F">
        <w:rPr>
          <w:sz w:val="36"/>
          <w:szCs w:val="36"/>
          <w:rtl/>
        </w:rPr>
        <w:t xml:space="preserve"> </w:t>
      </w:r>
      <w:r w:rsidR="00A83339" w:rsidRPr="00FD211F">
        <w:rPr>
          <w:sz w:val="36"/>
          <w:szCs w:val="36"/>
          <w:rtl/>
        </w:rPr>
        <w:t>في</w:t>
      </w:r>
      <w:r w:rsidR="00E8128F">
        <w:rPr>
          <w:sz w:val="36"/>
          <w:szCs w:val="36"/>
          <w:rtl/>
        </w:rPr>
        <w:t xml:space="preserve"> </w:t>
      </w:r>
      <w:r w:rsidR="00A83339" w:rsidRPr="00FD211F">
        <w:rPr>
          <w:sz w:val="36"/>
          <w:szCs w:val="36"/>
          <w:rtl/>
        </w:rPr>
        <w:t>الفلسف</w:t>
      </w:r>
      <w:r w:rsidR="00EC7EDF" w:rsidRPr="00FD211F">
        <w:rPr>
          <w:sz w:val="36"/>
          <w:szCs w:val="36"/>
          <w:rtl/>
        </w:rPr>
        <w:t>ة</w:t>
      </w:r>
      <w:r w:rsidR="00E8128F">
        <w:rPr>
          <w:sz w:val="36"/>
          <w:szCs w:val="36"/>
          <w:rtl/>
        </w:rPr>
        <w:t xml:space="preserve"> </w:t>
      </w:r>
      <w:r w:rsidR="00A83339" w:rsidRPr="00FD211F">
        <w:rPr>
          <w:sz w:val="36"/>
          <w:szCs w:val="36"/>
          <w:rtl/>
        </w:rPr>
        <w:t>من</w:t>
      </w:r>
      <w:r w:rsidR="00E8128F">
        <w:rPr>
          <w:sz w:val="36"/>
          <w:szCs w:val="36"/>
          <w:rtl/>
        </w:rPr>
        <w:t xml:space="preserve"> </w:t>
      </w:r>
      <w:r w:rsidR="00A83339" w:rsidRPr="00FD211F">
        <w:rPr>
          <w:sz w:val="36"/>
          <w:szCs w:val="36"/>
          <w:rtl/>
        </w:rPr>
        <w:t>ان</w:t>
      </w:r>
      <w:r w:rsidR="00E8128F">
        <w:rPr>
          <w:sz w:val="36"/>
          <w:szCs w:val="36"/>
          <w:rtl/>
        </w:rPr>
        <w:t xml:space="preserve"> </w:t>
      </w:r>
      <w:r w:rsidR="00A83339" w:rsidRPr="00FD211F">
        <w:rPr>
          <w:sz w:val="36"/>
          <w:szCs w:val="36"/>
          <w:rtl/>
        </w:rPr>
        <w:t>موجود</w:t>
      </w:r>
      <w:r w:rsidR="005560D5" w:rsidRPr="00FD211F">
        <w:rPr>
          <w:sz w:val="36"/>
          <w:szCs w:val="36"/>
          <w:rtl/>
        </w:rPr>
        <w:t>ي</w:t>
      </w:r>
      <w:r w:rsidR="00EC7EDF" w:rsidRPr="00FD211F">
        <w:rPr>
          <w:sz w:val="36"/>
          <w:szCs w:val="36"/>
          <w:rtl/>
        </w:rPr>
        <w:t>ة</w:t>
      </w:r>
      <w:r w:rsidR="00E8128F">
        <w:rPr>
          <w:sz w:val="36"/>
          <w:szCs w:val="36"/>
          <w:rtl/>
        </w:rPr>
        <w:t xml:space="preserve"> </w:t>
      </w:r>
      <w:r w:rsidR="00A83339" w:rsidRPr="00FD211F">
        <w:rPr>
          <w:sz w:val="36"/>
          <w:szCs w:val="36"/>
          <w:rtl/>
        </w:rPr>
        <w:t>الماهي</w:t>
      </w:r>
      <w:r w:rsidR="00EC7EDF" w:rsidRPr="00FD211F">
        <w:rPr>
          <w:sz w:val="36"/>
          <w:szCs w:val="36"/>
          <w:rtl/>
        </w:rPr>
        <w:t>ة</w:t>
      </w:r>
      <w:r w:rsidR="00E8128F">
        <w:rPr>
          <w:sz w:val="36"/>
          <w:szCs w:val="36"/>
          <w:rtl/>
        </w:rPr>
        <w:t xml:space="preserve"> </w:t>
      </w:r>
      <w:r w:rsidR="00A83339" w:rsidRPr="00FD211F">
        <w:rPr>
          <w:sz w:val="36"/>
          <w:szCs w:val="36"/>
          <w:rtl/>
        </w:rPr>
        <w:t>بالوجود</w:t>
      </w:r>
      <w:r w:rsidR="00E8128F">
        <w:rPr>
          <w:sz w:val="36"/>
          <w:szCs w:val="36"/>
          <w:rtl/>
        </w:rPr>
        <w:t xml:space="preserve"> </w:t>
      </w:r>
      <w:r w:rsidR="00A83339" w:rsidRPr="00FD211F">
        <w:rPr>
          <w:sz w:val="36"/>
          <w:szCs w:val="36"/>
          <w:rtl/>
        </w:rPr>
        <w:t>فكيف</w:t>
      </w:r>
      <w:r w:rsidR="00E8128F">
        <w:rPr>
          <w:sz w:val="36"/>
          <w:szCs w:val="36"/>
          <w:rtl/>
        </w:rPr>
        <w:t xml:space="preserve"> </w:t>
      </w:r>
      <w:r w:rsidR="00A83339" w:rsidRPr="00FD211F">
        <w:rPr>
          <w:sz w:val="36"/>
          <w:szCs w:val="36"/>
          <w:rtl/>
        </w:rPr>
        <w:t>لايكون</w:t>
      </w:r>
      <w:r w:rsidR="00E8128F">
        <w:rPr>
          <w:sz w:val="36"/>
          <w:szCs w:val="36"/>
          <w:rtl/>
        </w:rPr>
        <w:t xml:space="preserve"> </w:t>
      </w:r>
      <w:r w:rsidR="00A83339" w:rsidRPr="00FD211F">
        <w:rPr>
          <w:sz w:val="36"/>
          <w:szCs w:val="36"/>
          <w:rtl/>
        </w:rPr>
        <w:t>الوجود</w:t>
      </w:r>
      <w:r w:rsidR="00E8128F">
        <w:rPr>
          <w:sz w:val="36"/>
          <w:szCs w:val="36"/>
          <w:rtl/>
        </w:rPr>
        <w:t xml:space="preserve"> </w:t>
      </w:r>
      <w:r w:rsidR="00A83339" w:rsidRPr="00FD211F">
        <w:rPr>
          <w:sz w:val="36"/>
          <w:szCs w:val="36"/>
          <w:rtl/>
        </w:rPr>
        <w:t>موجودا</w:t>
      </w:r>
      <w:r w:rsidR="00E8128F">
        <w:rPr>
          <w:sz w:val="36"/>
          <w:szCs w:val="36"/>
          <w:rtl/>
        </w:rPr>
        <w:t xml:space="preserve"> </w:t>
      </w:r>
      <w:r w:rsidR="00A83339" w:rsidRPr="00FD211F">
        <w:rPr>
          <w:sz w:val="36"/>
          <w:szCs w:val="36"/>
          <w:rtl/>
        </w:rPr>
        <w:t>فلايكون</w:t>
      </w:r>
      <w:r w:rsidR="00E8128F">
        <w:rPr>
          <w:sz w:val="36"/>
          <w:szCs w:val="36"/>
          <w:rtl/>
        </w:rPr>
        <w:t xml:space="preserve"> </w:t>
      </w:r>
      <w:r w:rsidR="00A83339" w:rsidRPr="00FD211F">
        <w:rPr>
          <w:sz w:val="36"/>
          <w:szCs w:val="36"/>
          <w:rtl/>
        </w:rPr>
        <w:t>ذلك</w:t>
      </w:r>
      <w:r w:rsidR="00E8128F">
        <w:rPr>
          <w:sz w:val="36"/>
          <w:szCs w:val="36"/>
          <w:rtl/>
        </w:rPr>
        <w:t xml:space="preserve"> </w:t>
      </w:r>
      <w:r w:rsidR="00A83339" w:rsidRPr="00FD211F">
        <w:rPr>
          <w:sz w:val="36"/>
          <w:szCs w:val="36"/>
          <w:rtl/>
        </w:rPr>
        <w:t>مرتبطا</w:t>
      </w:r>
      <w:r w:rsidR="00E8128F">
        <w:rPr>
          <w:sz w:val="36"/>
          <w:szCs w:val="36"/>
          <w:rtl/>
        </w:rPr>
        <w:t xml:space="preserve"> </w:t>
      </w:r>
      <w:r w:rsidR="00A83339" w:rsidRPr="00FD211F">
        <w:rPr>
          <w:sz w:val="36"/>
          <w:szCs w:val="36"/>
          <w:rtl/>
        </w:rPr>
        <w:t>بالابحاث</w:t>
      </w:r>
      <w:r w:rsidR="00E8128F">
        <w:rPr>
          <w:sz w:val="36"/>
          <w:szCs w:val="36"/>
          <w:rtl/>
        </w:rPr>
        <w:t xml:space="preserve"> </w:t>
      </w:r>
      <w:r w:rsidR="00A83339" w:rsidRPr="00FD211F">
        <w:rPr>
          <w:sz w:val="36"/>
          <w:szCs w:val="36"/>
          <w:rtl/>
        </w:rPr>
        <w:t>اللفظي</w:t>
      </w:r>
      <w:r w:rsidR="00EC7EDF" w:rsidRPr="00FD211F">
        <w:rPr>
          <w:sz w:val="36"/>
          <w:szCs w:val="36"/>
          <w:rtl/>
        </w:rPr>
        <w:t>ة</w:t>
      </w:r>
      <w:r w:rsidR="00603323" w:rsidRPr="00FD211F">
        <w:rPr>
          <w:sz w:val="36"/>
          <w:szCs w:val="36"/>
          <w:rtl/>
        </w:rPr>
        <w:t>،</w:t>
      </w:r>
      <w:r w:rsidR="00E8128F">
        <w:rPr>
          <w:sz w:val="36"/>
          <w:szCs w:val="36"/>
          <w:rtl/>
        </w:rPr>
        <w:t xml:space="preserve"> </w:t>
      </w:r>
      <w:r w:rsidR="00A83339" w:rsidRPr="00FD211F">
        <w:rPr>
          <w:sz w:val="36"/>
          <w:szCs w:val="36"/>
          <w:rtl/>
        </w:rPr>
        <w:t>واما</w:t>
      </w:r>
      <w:r w:rsidR="00E8128F">
        <w:rPr>
          <w:sz w:val="36"/>
          <w:szCs w:val="36"/>
          <w:rtl/>
        </w:rPr>
        <w:t xml:space="preserve"> </w:t>
      </w:r>
      <w:r w:rsidR="00A83339" w:rsidRPr="00FD211F">
        <w:rPr>
          <w:sz w:val="36"/>
          <w:szCs w:val="36"/>
          <w:rtl/>
        </w:rPr>
        <w:t>ما</w:t>
      </w:r>
      <w:r w:rsidR="00E8128F">
        <w:rPr>
          <w:sz w:val="36"/>
          <w:szCs w:val="36"/>
          <w:rtl/>
        </w:rPr>
        <w:t xml:space="preserve"> </w:t>
      </w:r>
      <w:r w:rsidR="00A83339" w:rsidRPr="00FD211F">
        <w:rPr>
          <w:sz w:val="36"/>
          <w:szCs w:val="36"/>
          <w:rtl/>
        </w:rPr>
        <w:t>من</w:t>
      </w:r>
      <w:r w:rsidR="00E8128F">
        <w:rPr>
          <w:sz w:val="36"/>
          <w:szCs w:val="36"/>
          <w:rtl/>
        </w:rPr>
        <w:t xml:space="preserve"> </w:t>
      </w:r>
      <w:r w:rsidR="00A83339" w:rsidRPr="00FD211F">
        <w:rPr>
          <w:sz w:val="36"/>
          <w:szCs w:val="36"/>
          <w:rtl/>
        </w:rPr>
        <w:t>ذكر</w:t>
      </w:r>
      <w:r w:rsidR="00E8128F">
        <w:rPr>
          <w:sz w:val="36"/>
          <w:szCs w:val="36"/>
          <w:rtl/>
        </w:rPr>
        <w:t xml:space="preserve"> </w:t>
      </w:r>
      <w:r w:rsidR="00A83339" w:rsidRPr="00FD211F">
        <w:rPr>
          <w:sz w:val="36"/>
          <w:szCs w:val="36"/>
          <w:rtl/>
        </w:rPr>
        <w:t>من</w:t>
      </w:r>
      <w:r w:rsidR="00E8128F">
        <w:rPr>
          <w:sz w:val="36"/>
          <w:szCs w:val="36"/>
          <w:rtl/>
        </w:rPr>
        <w:t xml:space="preserve"> </w:t>
      </w:r>
      <w:r w:rsidR="00A83339" w:rsidRPr="00FD211F">
        <w:rPr>
          <w:sz w:val="36"/>
          <w:szCs w:val="36"/>
          <w:rtl/>
        </w:rPr>
        <w:t>حمل</w:t>
      </w:r>
      <w:r w:rsidR="00E8128F">
        <w:rPr>
          <w:sz w:val="36"/>
          <w:szCs w:val="36"/>
          <w:rtl/>
        </w:rPr>
        <w:t xml:space="preserve"> </w:t>
      </w:r>
      <w:r w:rsidR="00A83339" w:rsidRPr="00FD211F">
        <w:rPr>
          <w:sz w:val="36"/>
          <w:szCs w:val="36"/>
          <w:rtl/>
        </w:rPr>
        <w:t>المشتق</w:t>
      </w:r>
      <w:r w:rsidR="00E8128F">
        <w:rPr>
          <w:sz w:val="36"/>
          <w:szCs w:val="36"/>
          <w:rtl/>
        </w:rPr>
        <w:t xml:space="preserve"> </w:t>
      </w:r>
      <w:r w:rsidR="00A83339" w:rsidRPr="00FD211F">
        <w:rPr>
          <w:sz w:val="36"/>
          <w:szCs w:val="36"/>
          <w:rtl/>
        </w:rPr>
        <w:t>عليه</w:t>
      </w:r>
      <w:r w:rsidR="00E8128F">
        <w:rPr>
          <w:sz w:val="36"/>
          <w:szCs w:val="36"/>
          <w:rtl/>
        </w:rPr>
        <w:t xml:space="preserve"> </w:t>
      </w:r>
      <w:r w:rsidR="00A83339" w:rsidRPr="00FD211F">
        <w:rPr>
          <w:sz w:val="36"/>
          <w:szCs w:val="36"/>
          <w:rtl/>
        </w:rPr>
        <w:t>تعالى</w:t>
      </w:r>
      <w:r w:rsidR="00E8128F">
        <w:rPr>
          <w:sz w:val="36"/>
          <w:szCs w:val="36"/>
          <w:rtl/>
        </w:rPr>
        <w:t xml:space="preserve"> </w:t>
      </w:r>
      <w:r w:rsidR="00A83339" w:rsidRPr="00FD211F">
        <w:rPr>
          <w:sz w:val="36"/>
          <w:szCs w:val="36"/>
          <w:rtl/>
        </w:rPr>
        <w:t>كما</w:t>
      </w:r>
      <w:r w:rsidR="00E8128F">
        <w:rPr>
          <w:sz w:val="36"/>
          <w:szCs w:val="36"/>
          <w:rtl/>
        </w:rPr>
        <w:t xml:space="preserve"> </w:t>
      </w:r>
      <w:r w:rsidR="00A83339" w:rsidRPr="00FD211F">
        <w:rPr>
          <w:sz w:val="36"/>
          <w:szCs w:val="36"/>
          <w:rtl/>
        </w:rPr>
        <w:t>يقال</w:t>
      </w:r>
      <w:r w:rsidR="00E8128F">
        <w:rPr>
          <w:sz w:val="36"/>
          <w:szCs w:val="36"/>
          <w:rtl/>
        </w:rPr>
        <w:t xml:space="preserve"> </w:t>
      </w:r>
      <w:r w:rsidR="00A83339" w:rsidRPr="00FD211F">
        <w:rPr>
          <w:sz w:val="36"/>
          <w:szCs w:val="36"/>
          <w:rtl/>
        </w:rPr>
        <w:t>انه</w:t>
      </w:r>
      <w:r w:rsidR="00E8128F">
        <w:rPr>
          <w:sz w:val="36"/>
          <w:szCs w:val="36"/>
          <w:rtl/>
        </w:rPr>
        <w:t xml:space="preserve"> </w:t>
      </w:r>
      <w:r w:rsidR="00A83339" w:rsidRPr="00FD211F">
        <w:rPr>
          <w:sz w:val="36"/>
          <w:szCs w:val="36"/>
          <w:rtl/>
        </w:rPr>
        <w:t>عالم</w:t>
      </w:r>
      <w:r w:rsidR="00E8128F">
        <w:rPr>
          <w:sz w:val="36"/>
          <w:szCs w:val="36"/>
          <w:rtl/>
        </w:rPr>
        <w:t xml:space="preserve"> </w:t>
      </w:r>
      <w:r w:rsidR="00A83339" w:rsidRPr="00FD211F">
        <w:rPr>
          <w:sz w:val="36"/>
          <w:szCs w:val="36"/>
          <w:rtl/>
        </w:rPr>
        <w:t>مع</w:t>
      </w:r>
      <w:r w:rsidR="00E8128F">
        <w:rPr>
          <w:sz w:val="36"/>
          <w:szCs w:val="36"/>
          <w:rtl/>
        </w:rPr>
        <w:t xml:space="preserve"> </w:t>
      </w:r>
      <w:r w:rsidR="00A83339" w:rsidRPr="00FD211F">
        <w:rPr>
          <w:sz w:val="36"/>
          <w:szCs w:val="36"/>
          <w:rtl/>
        </w:rPr>
        <w:t>اتحاد</w:t>
      </w:r>
      <w:r w:rsidR="00E8128F">
        <w:rPr>
          <w:sz w:val="36"/>
          <w:szCs w:val="36"/>
          <w:rtl/>
        </w:rPr>
        <w:t xml:space="preserve"> </w:t>
      </w:r>
      <w:r w:rsidR="00A83339" w:rsidRPr="00FD211F">
        <w:rPr>
          <w:sz w:val="36"/>
          <w:szCs w:val="36"/>
          <w:rtl/>
        </w:rPr>
        <w:t>اوصافه</w:t>
      </w:r>
      <w:r w:rsidR="00E8128F">
        <w:rPr>
          <w:sz w:val="36"/>
          <w:szCs w:val="36"/>
          <w:rtl/>
        </w:rPr>
        <w:t xml:space="preserve"> </w:t>
      </w:r>
      <w:r w:rsidR="00A83339" w:rsidRPr="00FD211F">
        <w:rPr>
          <w:sz w:val="36"/>
          <w:szCs w:val="36"/>
          <w:rtl/>
        </w:rPr>
        <w:t>تعالى</w:t>
      </w:r>
      <w:r w:rsidR="00E8128F">
        <w:rPr>
          <w:sz w:val="36"/>
          <w:szCs w:val="36"/>
          <w:rtl/>
        </w:rPr>
        <w:t xml:space="preserve"> </w:t>
      </w:r>
      <w:r w:rsidR="00A83339" w:rsidRPr="00FD211F">
        <w:rPr>
          <w:sz w:val="36"/>
          <w:szCs w:val="36"/>
          <w:rtl/>
        </w:rPr>
        <w:t>مع</w:t>
      </w:r>
      <w:r w:rsidR="00E8128F">
        <w:rPr>
          <w:sz w:val="36"/>
          <w:szCs w:val="36"/>
          <w:rtl/>
        </w:rPr>
        <w:t xml:space="preserve"> </w:t>
      </w:r>
      <w:r w:rsidR="00A83339" w:rsidRPr="00FD211F">
        <w:rPr>
          <w:sz w:val="36"/>
          <w:szCs w:val="36"/>
          <w:rtl/>
        </w:rPr>
        <w:t>ذاته</w:t>
      </w:r>
      <w:r w:rsidR="00E8128F">
        <w:rPr>
          <w:sz w:val="36"/>
          <w:szCs w:val="36"/>
          <w:rtl/>
        </w:rPr>
        <w:t xml:space="preserve"> </w:t>
      </w:r>
      <w:r w:rsidR="00A83339" w:rsidRPr="00FD211F">
        <w:rPr>
          <w:sz w:val="36"/>
          <w:szCs w:val="36"/>
          <w:rtl/>
        </w:rPr>
        <w:t>فجوابه</w:t>
      </w:r>
      <w:r w:rsidR="00E8128F">
        <w:rPr>
          <w:sz w:val="36"/>
          <w:szCs w:val="36"/>
          <w:rtl/>
        </w:rPr>
        <w:t xml:space="preserve"> </w:t>
      </w:r>
      <w:r w:rsidR="00A83339" w:rsidRPr="00FD211F">
        <w:rPr>
          <w:sz w:val="36"/>
          <w:szCs w:val="36"/>
          <w:rtl/>
        </w:rPr>
        <w:t>ان</w:t>
      </w:r>
      <w:r w:rsidR="00E8128F">
        <w:rPr>
          <w:sz w:val="36"/>
          <w:szCs w:val="36"/>
          <w:rtl/>
        </w:rPr>
        <w:t xml:space="preserve"> </w:t>
      </w:r>
      <w:r w:rsidR="00A83339" w:rsidRPr="00FD211F">
        <w:rPr>
          <w:sz w:val="36"/>
          <w:szCs w:val="36"/>
          <w:rtl/>
        </w:rPr>
        <w:t>الاستعمال</w:t>
      </w:r>
      <w:r w:rsidR="00E8128F">
        <w:rPr>
          <w:sz w:val="36"/>
          <w:szCs w:val="36"/>
          <w:rtl/>
        </w:rPr>
        <w:t xml:space="preserve"> </w:t>
      </w:r>
      <w:r w:rsidR="00A83339" w:rsidRPr="00FD211F">
        <w:rPr>
          <w:sz w:val="36"/>
          <w:szCs w:val="36"/>
          <w:rtl/>
        </w:rPr>
        <w:t>تابع</w:t>
      </w:r>
      <w:r w:rsidR="00E8128F">
        <w:rPr>
          <w:sz w:val="36"/>
          <w:szCs w:val="36"/>
          <w:rtl/>
        </w:rPr>
        <w:t xml:space="preserve"> </w:t>
      </w:r>
      <w:r w:rsidR="00A83339" w:rsidRPr="00FD211F">
        <w:rPr>
          <w:sz w:val="36"/>
          <w:szCs w:val="36"/>
          <w:rtl/>
        </w:rPr>
        <w:t>لنظر</w:t>
      </w:r>
      <w:r w:rsidR="00E8128F">
        <w:rPr>
          <w:sz w:val="36"/>
          <w:szCs w:val="36"/>
          <w:rtl/>
        </w:rPr>
        <w:t xml:space="preserve"> </w:t>
      </w:r>
      <w:r w:rsidR="00A83339" w:rsidRPr="00FD211F">
        <w:rPr>
          <w:sz w:val="36"/>
          <w:szCs w:val="36"/>
          <w:rtl/>
        </w:rPr>
        <w:t>العرف</w:t>
      </w:r>
      <w:r w:rsidR="00E8128F">
        <w:rPr>
          <w:sz w:val="36"/>
          <w:szCs w:val="36"/>
          <w:rtl/>
        </w:rPr>
        <w:t xml:space="preserve"> </w:t>
      </w:r>
      <w:r w:rsidR="00A83339" w:rsidRPr="00FD211F">
        <w:rPr>
          <w:sz w:val="36"/>
          <w:szCs w:val="36"/>
          <w:rtl/>
        </w:rPr>
        <w:t>الساذج</w:t>
      </w:r>
      <w:r w:rsidR="00E8128F">
        <w:rPr>
          <w:sz w:val="36"/>
          <w:szCs w:val="36"/>
          <w:rtl/>
        </w:rPr>
        <w:t xml:space="preserve"> </w:t>
      </w:r>
      <w:r w:rsidR="00A83339" w:rsidRPr="00FD211F">
        <w:rPr>
          <w:sz w:val="36"/>
          <w:szCs w:val="36"/>
          <w:rtl/>
        </w:rPr>
        <w:t>ولايلحظ</w:t>
      </w:r>
      <w:r w:rsidR="00E8128F">
        <w:rPr>
          <w:sz w:val="36"/>
          <w:szCs w:val="36"/>
          <w:rtl/>
        </w:rPr>
        <w:t xml:space="preserve"> </w:t>
      </w:r>
      <w:r w:rsidR="00A83339" w:rsidRPr="00FD211F">
        <w:rPr>
          <w:sz w:val="36"/>
          <w:szCs w:val="36"/>
          <w:rtl/>
        </w:rPr>
        <w:t>الدقائق</w:t>
      </w:r>
      <w:r w:rsidR="00E8128F">
        <w:rPr>
          <w:sz w:val="36"/>
          <w:szCs w:val="36"/>
          <w:rtl/>
        </w:rPr>
        <w:t xml:space="preserve"> </w:t>
      </w:r>
      <w:r w:rsidR="00A83339" w:rsidRPr="00FD211F">
        <w:rPr>
          <w:sz w:val="36"/>
          <w:szCs w:val="36"/>
          <w:rtl/>
        </w:rPr>
        <w:t>العقلي</w:t>
      </w:r>
      <w:r w:rsidR="00EC7EDF" w:rsidRPr="00FD211F">
        <w:rPr>
          <w:sz w:val="36"/>
          <w:szCs w:val="36"/>
          <w:rtl/>
        </w:rPr>
        <w:t>ة</w:t>
      </w:r>
      <w:r w:rsidR="00E8128F">
        <w:rPr>
          <w:sz w:val="36"/>
          <w:szCs w:val="36"/>
          <w:rtl/>
        </w:rPr>
        <w:t xml:space="preserve"> </w:t>
      </w:r>
      <w:r w:rsidR="00A83339" w:rsidRPr="00FD211F">
        <w:rPr>
          <w:sz w:val="36"/>
          <w:szCs w:val="36"/>
          <w:rtl/>
        </w:rPr>
        <w:t>القائم</w:t>
      </w:r>
      <w:r w:rsidR="00EC7EDF" w:rsidRPr="00FD211F">
        <w:rPr>
          <w:sz w:val="36"/>
          <w:szCs w:val="36"/>
          <w:rtl/>
        </w:rPr>
        <w:t>ة</w:t>
      </w:r>
      <w:r w:rsidR="00E8128F">
        <w:rPr>
          <w:sz w:val="36"/>
          <w:szCs w:val="36"/>
          <w:rtl/>
        </w:rPr>
        <w:t xml:space="preserve"> </w:t>
      </w:r>
      <w:r w:rsidR="00A83339" w:rsidRPr="00FD211F">
        <w:rPr>
          <w:sz w:val="36"/>
          <w:szCs w:val="36"/>
          <w:rtl/>
        </w:rPr>
        <w:t>على</w:t>
      </w:r>
      <w:r w:rsidR="00E8128F">
        <w:rPr>
          <w:sz w:val="36"/>
          <w:szCs w:val="36"/>
          <w:rtl/>
        </w:rPr>
        <w:t xml:space="preserve"> </w:t>
      </w:r>
      <w:r w:rsidR="00A83339" w:rsidRPr="00FD211F">
        <w:rPr>
          <w:sz w:val="36"/>
          <w:szCs w:val="36"/>
          <w:rtl/>
        </w:rPr>
        <w:t>عيني</w:t>
      </w:r>
      <w:r w:rsidR="00EC7EDF" w:rsidRPr="00FD211F">
        <w:rPr>
          <w:sz w:val="36"/>
          <w:szCs w:val="36"/>
          <w:rtl/>
        </w:rPr>
        <w:t>ة</w:t>
      </w:r>
      <w:r w:rsidR="00E8128F">
        <w:rPr>
          <w:sz w:val="36"/>
          <w:szCs w:val="36"/>
          <w:rtl/>
        </w:rPr>
        <w:t xml:space="preserve"> </w:t>
      </w:r>
      <w:r w:rsidR="00A83339" w:rsidRPr="00FD211F">
        <w:rPr>
          <w:sz w:val="36"/>
          <w:szCs w:val="36"/>
          <w:rtl/>
        </w:rPr>
        <w:t>اوصافه</w:t>
      </w:r>
      <w:r w:rsidR="00E8128F">
        <w:rPr>
          <w:sz w:val="36"/>
          <w:szCs w:val="36"/>
          <w:rtl/>
        </w:rPr>
        <w:t xml:space="preserve"> </w:t>
      </w:r>
      <w:r w:rsidR="00A83339" w:rsidRPr="00FD211F">
        <w:rPr>
          <w:sz w:val="36"/>
          <w:szCs w:val="36"/>
          <w:rtl/>
        </w:rPr>
        <w:t>لذاته.</w:t>
      </w:r>
    </w:p>
    <w:p w14:paraId="2C1F921D" w14:textId="77777777" w:rsidR="0040555A" w:rsidRPr="00FD211F" w:rsidRDefault="00E86AE0" w:rsidP="009C58C8">
      <w:pPr>
        <w:ind w:left="0" w:firstLine="227"/>
        <w:jc w:val="both"/>
        <w:rPr>
          <w:sz w:val="36"/>
          <w:szCs w:val="36"/>
          <w:rtl/>
        </w:rPr>
      </w:pPr>
      <w:r w:rsidRPr="00FD211F">
        <w:rPr>
          <w:sz w:val="36"/>
          <w:szCs w:val="36"/>
          <w:rtl/>
        </w:rPr>
        <w:t>وما</w:t>
      </w:r>
      <w:r w:rsidR="00E8128F">
        <w:rPr>
          <w:sz w:val="36"/>
          <w:szCs w:val="36"/>
          <w:rtl/>
        </w:rPr>
        <w:t xml:space="preserve"> </w:t>
      </w:r>
      <w:r w:rsidRPr="00FD211F">
        <w:rPr>
          <w:sz w:val="36"/>
          <w:szCs w:val="36"/>
          <w:rtl/>
        </w:rPr>
        <w:t>ذكره</w:t>
      </w:r>
      <w:r w:rsidR="00E8128F">
        <w:rPr>
          <w:sz w:val="36"/>
          <w:szCs w:val="36"/>
          <w:rtl/>
        </w:rPr>
        <w:t xml:space="preserve"> </w:t>
      </w:r>
      <w:r w:rsidR="00A83339" w:rsidRPr="00FD211F">
        <w:rPr>
          <w:sz w:val="36"/>
          <w:szCs w:val="36"/>
          <w:rtl/>
        </w:rPr>
        <w:t>السيد</w:t>
      </w:r>
      <w:r w:rsidR="00E8128F">
        <w:rPr>
          <w:sz w:val="36"/>
          <w:szCs w:val="36"/>
          <w:rtl/>
        </w:rPr>
        <w:t xml:space="preserve"> </w:t>
      </w:r>
      <w:r w:rsidR="00A83339" w:rsidRPr="00FD211F">
        <w:rPr>
          <w:sz w:val="36"/>
          <w:szCs w:val="36"/>
          <w:rtl/>
        </w:rPr>
        <w:t>الخوئي</w:t>
      </w:r>
      <w:r w:rsidR="00E8128F">
        <w:rPr>
          <w:sz w:val="36"/>
          <w:szCs w:val="36"/>
          <w:rtl/>
        </w:rPr>
        <w:t xml:space="preserve"> </w:t>
      </w:r>
      <w:r w:rsidR="005560D5" w:rsidRPr="00FD211F">
        <w:rPr>
          <w:sz w:val="36"/>
          <w:szCs w:val="36"/>
          <w:rtl/>
        </w:rPr>
        <w:t>"</w:t>
      </w:r>
      <w:r w:rsidRPr="00FD211F">
        <w:rPr>
          <w:sz w:val="36"/>
          <w:szCs w:val="36"/>
          <w:rtl/>
        </w:rPr>
        <w:t>قده</w:t>
      </w:r>
      <w:r w:rsidR="005560D5"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النظر</w:t>
      </w:r>
      <w:r w:rsidR="00E8128F">
        <w:rPr>
          <w:sz w:val="36"/>
          <w:szCs w:val="36"/>
          <w:rtl/>
        </w:rPr>
        <w:t xml:space="preserve"> </w:t>
      </w:r>
      <w:r w:rsidRPr="00FD211F">
        <w:rPr>
          <w:sz w:val="36"/>
          <w:szCs w:val="36"/>
          <w:rtl/>
        </w:rPr>
        <w:t>العرفي</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متبعا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تشخيص</w:t>
      </w:r>
      <w:r w:rsidR="00E8128F">
        <w:rPr>
          <w:sz w:val="36"/>
          <w:szCs w:val="36"/>
          <w:rtl/>
        </w:rPr>
        <w:t xml:space="preserve"> </w:t>
      </w:r>
      <w:r w:rsidRPr="00FD211F">
        <w:rPr>
          <w:sz w:val="36"/>
          <w:szCs w:val="36"/>
          <w:rtl/>
        </w:rPr>
        <w:t>المصداق</w:t>
      </w:r>
      <w:r w:rsidR="00E8128F">
        <w:rPr>
          <w:sz w:val="36"/>
          <w:szCs w:val="36"/>
          <w:rtl/>
        </w:rPr>
        <w:t xml:space="preserve"> </w:t>
      </w:r>
      <w:r w:rsidRPr="00FD211F">
        <w:rPr>
          <w:sz w:val="36"/>
          <w:szCs w:val="36"/>
          <w:rtl/>
        </w:rPr>
        <w:t>وانما</w:t>
      </w:r>
      <w:r w:rsidR="00E8128F">
        <w:rPr>
          <w:sz w:val="36"/>
          <w:szCs w:val="36"/>
          <w:rtl/>
        </w:rPr>
        <w:t xml:space="preserve"> </w:t>
      </w:r>
      <w:r w:rsidRPr="00FD211F">
        <w:rPr>
          <w:sz w:val="36"/>
          <w:szCs w:val="36"/>
          <w:rtl/>
        </w:rPr>
        <w:t>يتبع</w:t>
      </w:r>
      <w:r w:rsidR="00E8128F">
        <w:rPr>
          <w:sz w:val="36"/>
          <w:szCs w:val="36"/>
          <w:rtl/>
        </w:rPr>
        <w:t xml:space="preserve"> </w:t>
      </w:r>
      <w:r w:rsidRPr="00FD211F">
        <w:rPr>
          <w:sz w:val="36"/>
          <w:szCs w:val="36"/>
          <w:rtl/>
        </w:rPr>
        <w:t>نظره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تعيين</w:t>
      </w:r>
      <w:r w:rsidR="00E8128F">
        <w:rPr>
          <w:sz w:val="36"/>
          <w:szCs w:val="36"/>
          <w:rtl/>
        </w:rPr>
        <w:t xml:space="preserve"> </w:t>
      </w:r>
      <w:r w:rsidRPr="00FD211F">
        <w:rPr>
          <w:sz w:val="36"/>
          <w:szCs w:val="36"/>
          <w:rtl/>
        </w:rPr>
        <w:t>مفاهيم</w:t>
      </w:r>
      <w:r w:rsidR="00E8128F">
        <w:rPr>
          <w:sz w:val="36"/>
          <w:szCs w:val="36"/>
          <w:rtl/>
        </w:rPr>
        <w:t xml:space="preserve"> </w:t>
      </w:r>
      <w:r w:rsidRPr="00FD211F">
        <w:rPr>
          <w:sz w:val="36"/>
          <w:szCs w:val="36"/>
          <w:rtl/>
        </w:rPr>
        <w:t>الالفاظ</w:t>
      </w:r>
      <w:r w:rsidR="00E8128F">
        <w:rPr>
          <w:sz w:val="36"/>
          <w:szCs w:val="36"/>
          <w:rtl/>
        </w:rPr>
        <w:t xml:space="preserve"> </w:t>
      </w:r>
      <w:r w:rsidRPr="00FD211F">
        <w:rPr>
          <w:sz w:val="36"/>
          <w:szCs w:val="36"/>
          <w:rtl/>
        </w:rPr>
        <w:t>سع</w:t>
      </w:r>
      <w:r w:rsidR="00EC7EDF" w:rsidRPr="00FD211F">
        <w:rPr>
          <w:sz w:val="36"/>
          <w:szCs w:val="36"/>
          <w:rtl/>
        </w:rPr>
        <w:t>ة</w:t>
      </w:r>
      <w:r w:rsidR="00E8128F">
        <w:rPr>
          <w:sz w:val="36"/>
          <w:szCs w:val="36"/>
          <w:rtl/>
        </w:rPr>
        <w:t xml:space="preserve"> </w:t>
      </w:r>
      <w:r w:rsidRPr="00FD211F">
        <w:rPr>
          <w:sz w:val="36"/>
          <w:szCs w:val="36"/>
          <w:rtl/>
        </w:rPr>
        <w:t>وضيقا</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578"/>
      </w:r>
      <w:r w:rsidR="00C17D0B" w:rsidRPr="00FD211F">
        <w:rPr>
          <w:rStyle w:val="a6"/>
          <w:sz w:val="36"/>
          <w:szCs w:val="36"/>
          <w:rtl/>
        </w:rPr>
        <w:t>)</w:t>
      </w:r>
      <w:r w:rsidR="00E8128F">
        <w:rPr>
          <w:sz w:val="36"/>
          <w:szCs w:val="36"/>
          <w:rtl/>
        </w:rPr>
        <w:t xml:space="preserve"> </w:t>
      </w:r>
      <w:r w:rsidRPr="00FD211F">
        <w:rPr>
          <w:sz w:val="36"/>
          <w:szCs w:val="36"/>
          <w:rtl/>
        </w:rPr>
        <w:t>ففيه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المغاير</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والمبدأ</w:t>
      </w:r>
      <w:r w:rsidR="00E8128F">
        <w:rPr>
          <w:sz w:val="36"/>
          <w:szCs w:val="36"/>
          <w:rtl/>
        </w:rPr>
        <w:t xml:space="preserve"> </w:t>
      </w:r>
      <w:r w:rsidR="00AA1B75" w:rsidRPr="00FD211F">
        <w:rPr>
          <w:sz w:val="36"/>
          <w:szCs w:val="36"/>
          <w:rtl/>
        </w:rPr>
        <w:t>بالنظر</w:t>
      </w:r>
      <w:r w:rsidR="00E8128F">
        <w:rPr>
          <w:sz w:val="36"/>
          <w:szCs w:val="36"/>
          <w:rtl/>
        </w:rPr>
        <w:t xml:space="preserve"> </w:t>
      </w:r>
      <w:r w:rsidR="00AA1B75" w:rsidRPr="00FD211F">
        <w:rPr>
          <w:sz w:val="36"/>
          <w:szCs w:val="36"/>
          <w:rtl/>
        </w:rPr>
        <w:t>العرفي</w:t>
      </w:r>
      <w:r w:rsidR="00E8128F">
        <w:rPr>
          <w:sz w:val="36"/>
          <w:szCs w:val="36"/>
          <w:rtl/>
        </w:rPr>
        <w:t xml:space="preserve"> </w:t>
      </w:r>
      <w:r w:rsidR="00AA1B75" w:rsidRPr="00FD211F">
        <w:rPr>
          <w:sz w:val="36"/>
          <w:szCs w:val="36"/>
          <w:rtl/>
        </w:rPr>
        <w:t>التصوري</w:t>
      </w:r>
      <w:r w:rsidR="00E8128F">
        <w:rPr>
          <w:sz w:val="36"/>
          <w:szCs w:val="36"/>
          <w:rtl/>
        </w:rPr>
        <w:t xml:space="preserve"> </w:t>
      </w:r>
      <w:r w:rsidRPr="00FD211F">
        <w:rPr>
          <w:sz w:val="36"/>
          <w:szCs w:val="36"/>
          <w:rtl/>
        </w:rPr>
        <w:t>مأخوذ</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المشتق</w:t>
      </w:r>
      <w:r w:rsidR="00603323" w:rsidRPr="00FD211F">
        <w:rPr>
          <w:sz w:val="36"/>
          <w:szCs w:val="36"/>
          <w:rtl/>
        </w:rPr>
        <w:t>،</w:t>
      </w:r>
      <w:r w:rsidR="00E8128F">
        <w:rPr>
          <w:sz w:val="36"/>
          <w:szCs w:val="36"/>
          <w:rtl/>
        </w:rPr>
        <w:t xml:space="preserve"> </w:t>
      </w:r>
      <w:r w:rsidR="00AA1B75" w:rsidRPr="00FD211F">
        <w:rPr>
          <w:sz w:val="36"/>
          <w:szCs w:val="36"/>
          <w:rtl/>
        </w:rPr>
        <w:t>فليس</w:t>
      </w:r>
      <w:r w:rsidR="00E8128F">
        <w:rPr>
          <w:sz w:val="36"/>
          <w:szCs w:val="36"/>
          <w:rtl/>
        </w:rPr>
        <w:t xml:space="preserve"> </w:t>
      </w:r>
      <w:r w:rsidR="00AA1B75" w:rsidRPr="00FD211F">
        <w:rPr>
          <w:sz w:val="36"/>
          <w:szCs w:val="36"/>
          <w:rtl/>
        </w:rPr>
        <w:t>نظر</w:t>
      </w:r>
      <w:r w:rsidR="00E8128F">
        <w:rPr>
          <w:sz w:val="36"/>
          <w:szCs w:val="36"/>
          <w:rtl/>
        </w:rPr>
        <w:t xml:space="preserve"> </w:t>
      </w:r>
      <w:r w:rsidR="00AA1B75" w:rsidRPr="00FD211F">
        <w:rPr>
          <w:sz w:val="36"/>
          <w:szCs w:val="36"/>
          <w:rtl/>
        </w:rPr>
        <w:t>العرف</w:t>
      </w:r>
      <w:r w:rsidR="00E8128F">
        <w:rPr>
          <w:sz w:val="36"/>
          <w:szCs w:val="36"/>
          <w:rtl/>
        </w:rPr>
        <w:t xml:space="preserve"> </w:t>
      </w:r>
      <w:r w:rsidR="00AA1B75" w:rsidRPr="00FD211F">
        <w:rPr>
          <w:sz w:val="36"/>
          <w:szCs w:val="36"/>
          <w:rtl/>
        </w:rPr>
        <w:t>هنا</w:t>
      </w:r>
      <w:r w:rsidR="00E8128F">
        <w:rPr>
          <w:sz w:val="36"/>
          <w:szCs w:val="36"/>
          <w:rtl/>
        </w:rPr>
        <w:t xml:space="preserve"> </w:t>
      </w:r>
      <w:r w:rsidR="00AA1B75" w:rsidRPr="00FD211F">
        <w:rPr>
          <w:sz w:val="36"/>
          <w:szCs w:val="36"/>
          <w:rtl/>
        </w:rPr>
        <w:t>متمحضا</w:t>
      </w:r>
      <w:r w:rsidR="00E8128F">
        <w:rPr>
          <w:sz w:val="36"/>
          <w:szCs w:val="36"/>
          <w:rtl/>
        </w:rPr>
        <w:t xml:space="preserve"> </w:t>
      </w:r>
      <w:r w:rsidR="00AA1B75" w:rsidRPr="00FD211F">
        <w:rPr>
          <w:sz w:val="36"/>
          <w:szCs w:val="36"/>
          <w:rtl/>
        </w:rPr>
        <w:t>في</w:t>
      </w:r>
      <w:r w:rsidR="00E8128F">
        <w:rPr>
          <w:sz w:val="36"/>
          <w:szCs w:val="36"/>
          <w:rtl/>
        </w:rPr>
        <w:t xml:space="preserve"> </w:t>
      </w:r>
      <w:r w:rsidR="00AA1B75" w:rsidRPr="00FD211F">
        <w:rPr>
          <w:sz w:val="36"/>
          <w:szCs w:val="36"/>
          <w:rtl/>
        </w:rPr>
        <w:t>تشخيص</w:t>
      </w:r>
      <w:r w:rsidR="00E8128F">
        <w:rPr>
          <w:sz w:val="36"/>
          <w:szCs w:val="36"/>
          <w:rtl/>
        </w:rPr>
        <w:t xml:space="preserve"> </w:t>
      </w:r>
      <w:r w:rsidR="00AA1B75" w:rsidRPr="00FD211F">
        <w:rPr>
          <w:sz w:val="36"/>
          <w:szCs w:val="36"/>
          <w:rtl/>
        </w:rPr>
        <w:t>المصداق</w:t>
      </w:r>
      <w:r w:rsidR="00E8128F">
        <w:rPr>
          <w:sz w:val="36"/>
          <w:szCs w:val="36"/>
          <w:rtl/>
        </w:rPr>
        <w:t xml:space="preserve"> </w:t>
      </w:r>
      <w:r w:rsidR="00AA1B75" w:rsidRPr="00FD211F">
        <w:rPr>
          <w:sz w:val="36"/>
          <w:szCs w:val="36"/>
          <w:rtl/>
        </w:rPr>
        <w:t>حتى</w:t>
      </w:r>
      <w:r w:rsidR="00E8128F">
        <w:rPr>
          <w:sz w:val="36"/>
          <w:szCs w:val="36"/>
          <w:rtl/>
        </w:rPr>
        <w:t xml:space="preserve"> </w:t>
      </w:r>
      <w:r w:rsidR="00AA1B75" w:rsidRPr="00FD211F">
        <w:rPr>
          <w:sz w:val="36"/>
          <w:szCs w:val="36"/>
          <w:rtl/>
        </w:rPr>
        <w:t>يدعى</w:t>
      </w:r>
      <w:r w:rsidR="00E8128F">
        <w:rPr>
          <w:sz w:val="36"/>
          <w:szCs w:val="36"/>
          <w:rtl/>
        </w:rPr>
        <w:t xml:space="preserve"> </w:t>
      </w:r>
      <w:r w:rsidR="00AA1B75" w:rsidRPr="00FD211F">
        <w:rPr>
          <w:sz w:val="36"/>
          <w:szCs w:val="36"/>
          <w:rtl/>
        </w:rPr>
        <w:t>عدم</w:t>
      </w:r>
      <w:r w:rsidR="00E8128F">
        <w:rPr>
          <w:sz w:val="36"/>
          <w:szCs w:val="36"/>
          <w:rtl/>
        </w:rPr>
        <w:t xml:space="preserve"> </w:t>
      </w:r>
      <w:r w:rsidR="00AA1B75" w:rsidRPr="00FD211F">
        <w:rPr>
          <w:sz w:val="36"/>
          <w:szCs w:val="36"/>
          <w:rtl/>
        </w:rPr>
        <w:t>اتباع</w:t>
      </w:r>
      <w:r w:rsidR="00E8128F">
        <w:rPr>
          <w:sz w:val="36"/>
          <w:szCs w:val="36"/>
          <w:rtl/>
        </w:rPr>
        <w:t xml:space="preserve"> </w:t>
      </w:r>
      <w:r w:rsidR="00AA1B75" w:rsidRPr="00FD211F">
        <w:rPr>
          <w:sz w:val="36"/>
          <w:szCs w:val="36"/>
          <w:rtl/>
        </w:rPr>
        <w:t>نظره</w:t>
      </w:r>
      <w:r w:rsidR="00E8128F">
        <w:rPr>
          <w:sz w:val="36"/>
          <w:szCs w:val="36"/>
          <w:rtl/>
        </w:rPr>
        <w:t xml:space="preserve"> </w:t>
      </w:r>
      <w:r w:rsidR="00AA1B75" w:rsidRPr="00FD211F">
        <w:rPr>
          <w:sz w:val="36"/>
          <w:szCs w:val="36"/>
          <w:rtl/>
        </w:rPr>
        <w:t>في</w:t>
      </w:r>
      <w:r w:rsidR="00E8128F">
        <w:rPr>
          <w:sz w:val="36"/>
          <w:szCs w:val="36"/>
          <w:rtl/>
        </w:rPr>
        <w:t xml:space="preserve"> </w:t>
      </w:r>
      <w:r w:rsidR="00AA1B75" w:rsidRPr="00FD211F">
        <w:rPr>
          <w:sz w:val="36"/>
          <w:szCs w:val="36"/>
          <w:rtl/>
        </w:rPr>
        <w:t>ذلك</w:t>
      </w:r>
      <w:r w:rsidR="00603323" w:rsidRPr="00FD211F">
        <w:rPr>
          <w:sz w:val="36"/>
          <w:szCs w:val="36"/>
          <w:rtl/>
        </w:rPr>
        <w:t>،</w:t>
      </w:r>
      <w:r w:rsidR="00E8128F">
        <w:rPr>
          <w:sz w:val="36"/>
          <w:szCs w:val="36"/>
          <w:rtl/>
        </w:rPr>
        <w:t xml:space="preserve"> </w:t>
      </w:r>
      <w:r w:rsidR="00AA1B75" w:rsidRPr="00FD211F">
        <w:rPr>
          <w:sz w:val="36"/>
          <w:szCs w:val="36"/>
          <w:rtl/>
        </w:rPr>
        <w:t>على</w:t>
      </w:r>
      <w:r w:rsidR="00E8128F">
        <w:rPr>
          <w:sz w:val="36"/>
          <w:szCs w:val="36"/>
          <w:rtl/>
        </w:rPr>
        <w:t xml:space="preserve"> </w:t>
      </w:r>
      <w:r w:rsidR="00AA1B75" w:rsidRPr="00FD211F">
        <w:rPr>
          <w:sz w:val="36"/>
          <w:szCs w:val="36"/>
          <w:rtl/>
        </w:rPr>
        <w:t>انه</w:t>
      </w:r>
      <w:r w:rsidR="00E8128F">
        <w:rPr>
          <w:sz w:val="36"/>
          <w:szCs w:val="36"/>
          <w:rtl/>
        </w:rPr>
        <w:t xml:space="preserve"> </w:t>
      </w:r>
      <w:r w:rsidR="00AA1B75" w:rsidRPr="00FD211F">
        <w:rPr>
          <w:sz w:val="36"/>
          <w:szCs w:val="36"/>
          <w:rtl/>
        </w:rPr>
        <w:t>محل</w:t>
      </w:r>
      <w:r w:rsidR="00E8128F">
        <w:rPr>
          <w:sz w:val="36"/>
          <w:szCs w:val="36"/>
          <w:rtl/>
        </w:rPr>
        <w:t xml:space="preserve"> </w:t>
      </w:r>
      <w:r w:rsidR="00AA1B75" w:rsidRPr="00FD211F">
        <w:rPr>
          <w:sz w:val="36"/>
          <w:szCs w:val="36"/>
          <w:rtl/>
        </w:rPr>
        <w:t>خلاف</w:t>
      </w:r>
      <w:r w:rsidR="00E8128F">
        <w:rPr>
          <w:sz w:val="36"/>
          <w:szCs w:val="36"/>
          <w:rtl/>
        </w:rPr>
        <w:t xml:space="preserve"> </w:t>
      </w:r>
      <w:r w:rsidR="00AA1B75" w:rsidRPr="00FD211F">
        <w:rPr>
          <w:sz w:val="36"/>
          <w:szCs w:val="36"/>
          <w:rtl/>
        </w:rPr>
        <w:t>وقد</w:t>
      </w:r>
      <w:r w:rsidR="00E8128F">
        <w:rPr>
          <w:sz w:val="36"/>
          <w:szCs w:val="36"/>
          <w:rtl/>
        </w:rPr>
        <w:t xml:space="preserve"> </w:t>
      </w:r>
      <w:r w:rsidR="00AA1B75" w:rsidRPr="00FD211F">
        <w:rPr>
          <w:sz w:val="36"/>
          <w:szCs w:val="36"/>
          <w:rtl/>
        </w:rPr>
        <w:t>اختار</w:t>
      </w:r>
      <w:r w:rsidR="00E8128F">
        <w:rPr>
          <w:sz w:val="36"/>
          <w:szCs w:val="36"/>
          <w:rtl/>
        </w:rPr>
        <w:t xml:space="preserve"> </w:t>
      </w:r>
      <w:r w:rsidR="00AA1B75" w:rsidRPr="00FD211F">
        <w:rPr>
          <w:sz w:val="36"/>
          <w:szCs w:val="36"/>
          <w:rtl/>
        </w:rPr>
        <w:t>جماع</w:t>
      </w:r>
      <w:r w:rsidR="00EC7EDF" w:rsidRPr="00FD211F">
        <w:rPr>
          <w:sz w:val="36"/>
          <w:szCs w:val="36"/>
          <w:rtl/>
        </w:rPr>
        <w:t>ة</w:t>
      </w:r>
      <w:r w:rsidR="00E8128F">
        <w:rPr>
          <w:sz w:val="36"/>
          <w:szCs w:val="36"/>
          <w:rtl/>
        </w:rPr>
        <w:t xml:space="preserve"> </w:t>
      </w:r>
      <w:r w:rsidR="0046762F" w:rsidRPr="00FD211F">
        <w:rPr>
          <w:sz w:val="36"/>
          <w:szCs w:val="36"/>
          <w:rtl/>
        </w:rPr>
        <w:t>-</w:t>
      </w:r>
      <w:r w:rsidR="00AA1B75" w:rsidRPr="00FD211F">
        <w:rPr>
          <w:sz w:val="36"/>
          <w:szCs w:val="36"/>
          <w:rtl/>
        </w:rPr>
        <w:t>منهم</w:t>
      </w:r>
      <w:r w:rsidR="00E8128F">
        <w:rPr>
          <w:sz w:val="36"/>
          <w:szCs w:val="36"/>
          <w:rtl/>
        </w:rPr>
        <w:t xml:space="preserve"> </w:t>
      </w:r>
      <w:r w:rsidR="00AA1B75" w:rsidRPr="00FD211F">
        <w:rPr>
          <w:sz w:val="36"/>
          <w:szCs w:val="36"/>
          <w:rtl/>
        </w:rPr>
        <w:t>السيد</w:t>
      </w:r>
      <w:r w:rsidR="00E8128F">
        <w:rPr>
          <w:sz w:val="36"/>
          <w:szCs w:val="36"/>
          <w:rtl/>
        </w:rPr>
        <w:t xml:space="preserve"> </w:t>
      </w:r>
      <w:r w:rsidR="00AA1B75" w:rsidRPr="00FD211F">
        <w:rPr>
          <w:sz w:val="36"/>
          <w:szCs w:val="36"/>
          <w:rtl/>
        </w:rPr>
        <w:t>الإمام</w:t>
      </w:r>
      <w:r w:rsidR="00E8128F">
        <w:rPr>
          <w:sz w:val="36"/>
          <w:szCs w:val="36"/>
          <w:rtl/>
        </w:rPr>
        <w:t xml:space="preserve"> </w:t>
      </w:r>
      <w:r w:rsidR="0046762F" w:rsidRPr="00FD211F">
        <w:rPr>
          <w:sz w:val="36"/>
          <w:szCs w:val="36"/>
          <w:rtl/>
        </w:rPr>
        <w:t>"</w:t>
      </w:r>
      <w:r w:rsidR="00AA1B75" w:rsidRPr="00FD211F">
        <w:rPr>
          <w:sz w:val="36"/>
          <w:szCs w:val="36"/>
          <w:rtl/>
        </w:rPr>
        <w:t>قده</w:t>
      </w:r>
      <w:r w:rsidR="0046762F" w:rsidRPr="00FD211F">
        <w:rPr>
          <w:sz w:val="36"/>
          <w:szCs w:val="36"/>
          <w:rtl/>
        </w:rPr>
        <w:t>"-</w:t>
      </w:r>
      <w:r w:rsidR="00E8128F">
        <w:rPr>
          <w:sz w:val="36"/>
          <w:szCs w:val="36"/>
          <w:rtl/>
        </w:rPr>
        <w:t xml:space="preserve"> </w:t>
      </w:r>
      <w:r w:rsidR="00AA1B75" w:rsidRPr="00FD211F">
        <w:rPr>
          <w:sz w:val="36"/>
          <w:szCs w:val="36"/>
          <w:rtl/>
        </w:rPr>
        <w:t>كون</w:t>
      </w:r>
      <w:r w:rsidR="00E8128F">
        <w:rPr>
          <w:sz w:val="36"/>
          <w:szCs w:val="36"/>
          <w:rtl/>
        </w:rPr>
        <w:t xml:space="preserve"> </w:t>
      </w:r>
      <w:r w:rsidR="00AA1B75" w:rsidRPr="00FD211F">
        <w:rPr>
          <w:sz w:val="36"/>
          <w:szCs w:val="36"/>
          <w:rtl/>
        </w:rPr>
        <w:t>نظر</w:t>
      </w:r>
      <w:r w:rsidR="00E8128F">
        <w:rPr>
          <w:sz w:val="36"/>
          <w:szCs w:val="36"/>
          <w:rtl/>
        </w:rPr>
        <w:t xml:space="preserve"> </w:t>
      </w:r>
      <w:r w:rsidR="00AA1B75" w:rsidRPr="00FD211F">
        <w:rPr>
          <w:sz w:val="36"/>
          <w:szCs w:val="36"/>
          <w:rtl/>
        </w:rPr>
        <w:t>الع</w:t>
      </w:r>
      <w:r w:rsidR="00A83339" w:rsidRPr="00FD211F">
        <w:rPr>
          <w:sz w:val="36"/>
          <w:szCs w:val="36"/>
          <w:rtl/>
        </w:rPr>
        <w:t>رف</w:t>
      </w:r>
      <w:r w:rsidR="00E8128F">
        <w:rPr>
          <w:sz w:val="36"/>
          <w:szCs w:val="36"/>
          <w:rtl/>
        </w:rPr>
        <w:t xml:space="preserve"> </w:t>
      </w:r>
      <w:r w:rsidR="00A83339" w:rsidRPr="00FD211F">
        <w:rPr>
          <w:sz w:val="36"/>
          <w:szCs w:val="36"/>
          <w:rtl/>
        </w:rPr>
        <w:t>متبعا</w:t>
      </w:r>
      <w:r w:rsidR="00E8128F">
        <w:rPr>
          <w:sz w:val="36"/>
          <w:szCs w:val="36"/>
          <w:rtl/>
        </w:rPr>
        <w:t xml:space="preserve"> </w:t>
      </w:r>
      <w:r w:rsidR="00A83339" w:rsidRPr="00FD211F">
        <w:rPr>
          <w:sz w:val="36"/>
          <w:szCs w:val="36"/>
          <w:rtl/>
        </w:rPr>
        <w:t>في</w:t>
      </w:r>
      <w:r w:rsidR="00E8128F">
        <w:rPr>
          <w:sz w:val="36"/>
          <w:szCs w:val="36"/>
          <w:rtl/>
        </w:rPr>
        <w:t xml:space="preserve"> </w:t>
      </w:r>
      <w:r w:rsidR="00A83339" w:rsidRPr="00FD211F">
        <w:rPr>
          <w:sz w:val="36"/>
          <w:szCs w:val="36"/>
          <w:rtl/>
        </w:rPr>
        <w:t>تشخيص</w:t>
      </w:r>
      <w:r w:rsidR="00E8128F">
        <w:rPr>
          <w:sz w:val="36"/>
          <w:szCs w:val="36"/>
          <w:rtl/>
        </w:rPr>
        <w:t xml:space="preserve"> </w:t>
      </w:r>
      <w:r w:rsidR="00A83339" w:rsidRPr="00FD211F">
        <w:rPr>
          <w:sz w:val="36"/>
          <w:szCs w:val="36"/>
          <w:rtl/>
        </w:rPr>
        <w:t>المصاديق</w:t>
      </w:r>
      <w:r w:rsidR="00E8128F">
        <w:rPr>
          <w:sz w:val="36"/>
          <w:szCs w:val="36"/>
          <w:rtl/>
        </w:rPr>
        <w:t xml:space="preserve"> </w:t>
      </w:r>
      <w:r w:rsidR="00A83339" w:rsidRPr="00FD211F">
        <w:rPr>
          <w:sz w:val="36"/>
          <w:szCs w:val="36"/>
          <w:rtl/>
        </w:rPr>
        <w:t>ايضا</w:t>
      </w:r>
      <w:r w:rsidR="0040555A" w:rsidRPr="00FD211F">
        <w:rPr>
          <w:sz w:val="36"/>
          <w:szCs w:val="36"/>
          <w:rtl/>
        </w:rPr>
        <w:t>.</w:t>
      </w:r>
    </w:p>
    <w:p w14:paraId="52352273" w14:textId="77777777" w:rsidR="0034518B" w:rsidRPr="00FD211F" w:rsidRDefault="0040555A" w:rsidP="009C58C8">
      <w:pPr>
        <w:ind w:left="0" w:firstLine="227"/>
        <w:jc w:val="both"/>
        <w:rPr>
          <w:sz w:val="36"/>
          <w:szCs w:val="36"/>
          <w:rtl/>
        </w:rPr>
      </w:pPr>
      <w:r w:rsidRPr="00FD211F">
        <w:rPr>
          <w:sz w:val="36"/>
          <w:szCs w:val="36"/>
          <w:rtl/>
        </w:rPr>
        <w:t>2-</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النائيني</w:t>
      </w:r>
      <w:r w:rsidR="00E8128F">
        <w:rPr>
          <w:sz w:val="36"/>
          <w:szCs w:val="36"/>
          <w:rtl/>
        </w:rPr>
        <w:t xml:space="preserve"> </w:t>
      </w:r>
      <w:r w:rsidR="0046762F" w:rsidRPr="00FD211F">
        <w:rPr>
          <w:sz w:val="36"/>
          <w:szCs w:val="36"/>
          <w:rtl/>
        </w:rPr>
        <w:t>"</w:t>
      </w:r>
      <w:r w:rsidRPr="00FD211F">
        <w:rPr>
          <w:sz w:val="36"/>
          <w:szCs w:val="36"/>
          <w:rtl/>
        </w:rPr>
        <w:t>قده</w:t>
      </w:r>
      <w:r w:rsidR="0046762F"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استلزام</w:t>
      </w:r>
      <w:r w:rsidR="00E8128F">
        <w:rPr>
          <w:sz w:val="36"/>
          <w:szCs w:val="36"/>
          <w:rtl/>
        </w:rPr>
        <w:t xml:space="preserve"> </w:t>
      </w:r>
      <w:r w:rsidRPr="00FD211F">
        <w:rPr>
          <w:sz w:val="36"/>
          <w:szCs w:val="36"/>
          <w:rtl/>
        </w:rPr>
        <w:t>دلال</w:t>
      </w:r>
      <w:r w:rsidR="00EC7EDF" w:rsidRPr="00FD211F">
        <w:rPr>
          <w:sz w:val="36"/>
          <w:szCs w:val="36"/>
          <w:rtl/>
        </w:rPr>
        <w:t>ة</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w:t>
      </w:r>
      <w:r w:rsidR="0046762F" w:rsidRPr="00FD211F">
        <w:rPr>
          <w:sz w:val="36"/>
          <w:szCs w:val="36"/>
          <w:rtl/>
        </w:rPr>
        <w:t>لنسب</w:t>
      </w:r>
      <w:r w:rsidR="00EC7EDF" w:rsidRPr="00FD211F">
        <w:rPr>
          <w:sz w:val="36"/>
          <w:szCs w:val="36"/>
          <w:rtl/>
        </w:rPr>
        <w:t>ة</w:t>
      </w:r>
      <w:r w:rsidR="00E8128F">
        <w:rPr>
          <w:sz w:val="36"/>
          <w:szCs w:val="36"/>
          <w:rtl/>
        </w:rPr>
        <w:t xml:space="preserve"> </w:t>
      </w:r>
      <w:r w:rsidR="0046762F" w:rsidRPr="00FD211F">
        <w:rPr>
          <w:sz w:val="36"/>
          <w:szCs w:val="36"/>
          <w:rtl/>
        </w:rPr>
        <w:t>مشابهته</w:t>
      </w:r>
      <w:r w:rsidR="00E8128F">
        <w:rPr>
          <w:sz w:val="36"/>
          <w:szCs w:val="36"/>
          <w:rtl/>
        </w:rPr>
        <w:t xml:space="preserve"> </w:t>
      </w:r>
      <w:r w:rsidR="0046762F" w:rsidRPr="00FD211F">
        <w:rPr>
          <w:sz w:val="36"/>
          <w:szCs w:val="36"/>
          <w:rtl/>
        </w:rPr>
        <w:t>المعنوي</w:t>
      </w:r>
      <w:r w:rsidR="00EC7EDF" w:rsidRPr="00FD211F">
        <w:rPr>
          <w:sz w:val="36"/>
          <w:szCs w:val="36"/>
          <w:rtl/>
        </w:rPr>
        <w:t>ة</w:t>
      </w:r>
      <w:r w:rsidR="00E8128F">
        <w:rPr>
          <w:sz w:val="36"/>
          <w:szCs w:val="36"/>
          <w:rtl/>
        </w:rPr>
        <w:t xml:space="preserve"> </w:t>
      </w:r>
      <w:r w:rsidR="0046762F" w:rsidRPr="00FD211F">
        <w:rPr>
          <w:sz w:val="36"/>
          <w:szCs w:val="36"/>
          <w:rtl/>
        </w:rPr>
        <w:t>للحروف</w:t>
      </w:r>
      <w:r w:rsidR="00E8128F">
        <w:rPr>
          <w:sz w:val="36"/>
          <w:szCs w:val="36"/>
          <w:rtl/>
        </w:rPr>
        <w:t xml:space="preserve"> </w:t>
      </w:r>
      <w:r w:rsidR="0046762F" w:rsidRPr="00FD211F">
        <w:rPr>
          <w:sz w:val="36"/>
          <w:szCs w:val="36"/>
          <w:rtl/>
        </w:rPr>
        <w:t>وهذاموجب</w:t>
      </w:r>
      <w:r w:rsidR="00E8128F">
        <w:rPr>
          <w:sz w:val="36"/>
          <w:szCs w:val="36"/>
          <w:rtl/>
        </w:rPr>
        <w:t xml:space="preserve"> </w:t>
      </w:r>
      <w:r w:rsidRPr="00FD211F">
        <w:rPr>
          <w:sz w:val="36"/>
          <w:szCs w:val="36"/>
          <w:rtl/>
        </w:rPr>
        <w:t>لبناء</w:t>
      </w:r>
      <w:r w:rsidR="001D0030" w:rsidRPr="00FD211F">
        <w:rPr>
          <w:sz w:val="36"/>
          <w:szCs w:val="36"/>
          <w:rtl/>
        </w:rPr>
        <w:t>ه</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معرب</w:t>
      </w:r>
      <w:r w:rsidR="0034518B" w:rsidRPr="00FD211F">
        <w:rPr>
          <w:sz w:val="36"/>
          <w:szCs w:val="36"/>
          <w:rtl/>
        </w:rPr>
        <w:t>.</w:t>
      </w:r>
    </w:p>
    <w:p w14:paraId="5B776D4B" w14:textId="77777777" w:rsidR="0046762F" w:rsidRPr="00FD211F" w:rsidRDefault="0034518B" w:rsidP="009C58C8">
      <w:pPr>
        <w:ind w:left="0" w:firstLine="227"/>
        <w:jc w:val="both"/>
        <w:rPr>
          <w:sz w:val="36"/>
          <w:szCs w:val="36"/>
          <w:rtl/>
        </w:rPr>
      </w:pPr>
      <w:r w:rsidRPr="00FD211F">
        <w:rPr>
          <w:sz w:val="36"/>
          <w:szCs w:val="36"/>
          <w:rtl/>
        </w:rPr>
        <w:t>وفيه</w:t>
      </w:r>
      <w:r w:rsidR="00E8128F">
        <w:rPr>
          <w:sz w:val="36"/>
          <w:szCs w:val="36"/>
          <w:rtl/>
        </w:rPr>
        <w:t xml:space="preserve"> </w:t>
      </w:r>
      <w:r w:rsidR="005640B4" w:rsidRPr="00FD211F">
        <w:rPr>
          <w:sz w:val="36"/>
          <w:szCs w:val="36"/>
          <w:rtl/>
        </w:rPr>
        <w:t>اولا:</w:t>
      </w:r>
      <w:r w:rsidR="00E8128F">
        <w:rPr>
          <w:sz w:val="36"/>
          <w:szCs w:val="36"/>
          <w:rtl/>
        </w:rPr>
        <w:t xml:space="preserve"> </w:t>
      </w:r>
      <w:r w:rsidR="005640B4" w:rsidRPr="00FD211F">
        <w:rPr>
          <w:sz w:val="36"/>
          <w:szCs w:val="36"/>
          <w:rtl/>
        </w:rPr>
        <w:t>ان</w:t>
      </w:r>
      <w:r w:rsidR="00E8128F">
        <w:rPr>
          <w:sz w:val="36"/>
          <w:szCs w:val="36"/>
          <w:rtl/>
        </w:rPr>
        <w:t xml:space="preserve"> </w:t>
      </w:r>
      <w:r w:rsidR="005640B4" w:rsidRPr="00FD211F">
        <w:rPr>
          <w:sz w:val="36"/>
          <w:szCs w:val="36"/>
          <w:rtl/>
        </w:rPr>
        <w:t>القواعد</w:t>
      </w:r>
      <w:r w:rsidR="00E8128F">
        <w:rPr>
          <w:sz w:val="36"/>
          <w:szCs w:val="36"/>
          <w:rtl/>
        </w:rPr>
        <w:t xml:space="preserve"> </w:t>
      </w:r>
      <w:r w:rsidR="005640B4" w:rsidRPr="00FD211F">
        <w:rPr>
          <w:sz w:val="36"/>
          <w:szCs w:val="36"/>
          <w:rtl/>
        </w:rPr>
        <w:t>النحوي</w:t>
      </w:r>
      <w:r w:rsidR="00EC7EDF" w:rsidRPr="00FD211F">
        <w:rPr>
          <w:sz w:val="36"/>
          <w:szCs w:val="36"/>
          <w:rtl/>
        </w:rPr>
        <w:t>ة</w:t>
      </w:r>
      <w:r w:rsidR="00E8128F">
        <w:rPr>
          <w:sz w:val="36"/>
          <w:szCs w:val="36"/>
          <w:rtl/>
        </w:rPr>
        <w:t xml:space="preserve"> </w:t>
      </w:r>
      <w:r w:rsidR="005640B4" w:rsidRPr="00FD211F">
        <w:rPr>
          <w:sz w:val="36"/>
          <w:szCs w:val="36"/>
          <w:rtl/>
        </w:rPr>
        <w:t>انما</w:t>
      </w:r>
      <w:r w:rsidR="00E8128F">
        <w:rPr>
          <w:sz w:val="36"/>
          <w:szCs w:val="36"/>
          <w:rtl/>
        </w:rPr>
        <w:t xml:space="preserve"> </w:t>
      </w:r>
      <w:r w:rsidR="005640B4" w:rsidRPr="00FD211F">
        <w:rPr>
          <w:sz w:val="36"/>
          <w:szCs w:val="36"/>
          <w:rtl/>
        </w:rPr>
        <w:t>تستخرج</w:t>
      </w:r>
      <w:r w:rsidR="00E8128F">
        <w:rPr>
          <w:sz w:val="36"/>
          <w:szCs w:val="36"/>
          <w:rtl/>
        </w:rPr>
        <w:t xml:space="preserve"> </w:t>
      </w:r>
      <w:r w:rsidR="005640B4" w:rsidRPr="00FD211F">
        <w:rPr>
          <w:sz w:val="36"/>
          <w:szCs w:val="36"/>
          <w:rtl/>
        </w:rPr>
        <w:t>من</w:t>
      </w:r>
      <w:r w:rsidR="00E8128F">
        <w:rPr>
          <w:sz w:val="36"/>
          <w:szCs w:val="36"/>
          <w:rtl/>
        </w:rPr>
        <w:t xml:space="preserve"> </w:t>
      </w:r>
      <w:r w:rsidR="005640B4" w:rsidRPr="00FD211F">
        <w:rPr>
          <w:sz w:val="36"/>
          <w:szCs w:val="36"/>
          <w:rtl/>
        </w:rPr>
        <w:t>اوضاع</w:t>
      </w:r>
      <w:r w:rsidR="00E8128F">
        <w:rPr>
          <w:sz w:val="36"/>
          <w:szCs w:val="36"/>
          <w:rtl/>
        </w:rPr>
        <w:t xml:space="preserve"> </w:t>
      </w:r>
      <w:r w:rsidR="005640B4" w:rsidRPr="00FD211F">
        <w:rPr>
          <w:sz w:val="36"/>
          <w:szCs w:val="36"/>
          <w:rtl/>
        </w:rPr>
        <w:t>اللغ</w:t>
      </w:r>
      <w:r w:rsidR="00EC7EDF" w:rsidRPr="00FD211F">
        <w:rPr>
          <w:sz w:val="36"/>
          <w:szCs w:val="36"/>
          <w:rtl/>
        </w:rPr>
        <w:t>ة</w:t>
      </w:r>
      <w:r w:rsidR="00E8128F">
        <w:rPr>
          <w:sz w:val="36"/>
          <w:szCs w:val="36"/>
          <w:rtl/>
        </w:rPr>
        <w:t xml:space="preserve"> </w:t>
      </w:r>
      <w:r w:rsidR="005640B4" w:rsidRPr="00FD211F">
        <w:rPr>
          <w:sz w:val="36"/>
          <w:szCs w:val="36"/>
          <w:rtl/>
        </w:rPr>
        <w:t>العربي</w:t>
      </w:r>
      <w:r w:rsidR="00EC7EDF" w:rsidRPr="00FD211F">
        <w:rPr>
          <w:sz w:val="36"/>
          <w:szCs w:val="36"/>
          <w:rtl/>
        </w:rPr>
        <w:t>ة</w:t>
      </w:r>
      <w:r w:rsidR="00E8128F">
        <w:rPr>
          <w:sz w:val="36"/>
          <w:szCs w:val="36"/>
          <w:rtl/>
        </w:rPr>
        <w:t xml:space="preserve"> </w:t>
      </w:r>
      <w:r w:rsidR="005640B4" w:rsidRPr="00FD211F">
        <w:rPr>
          <w:sz w:val="36"/>
          <w:szCs w:val="36"/>
          <w:rtl/>
        </w:rPr>
        <w:t>وليست</w:t>
      </w:r>
      <w:r w:rsidR="00E8128F">
        <w:rPr>
          <w:sz w:val="36"/>
          <w:szCs w:val="36"/>
          <w:rtl/>
        </w:rPr>
        <w:t xml:space="preserve"> </w:t>
      </w:r>
      <w:r w:rsidR="005640B4" w:rsidRPr="00FD211F">
        <w:rPr>
          <w:sz w:val="36"/>
          <w:szCs w:val="36"/>
          <w:rtl/>
        </w:rPr>
        <w:t>من</w:t>
      </w:r>
      <w:r w:rsidR="00E8128F">
        <w:rPr>
          <w:sz w:val="36"/>
          <w:szCs w:val="36"/>
          <w:rtl/>
        </w:rPr>
        <w:t xml:space="preserve"> </w:t>
      </w:r>
      <w:r w:rsidR="005640B4" w:rsidRPr="00FD211F">
        <w:rPr>
          <w:sz w:val="36"/>
          <w:szCs w:val="36"/>
          <w:rtl/>
        </w:rPr>
        <w:t>الامور</w:t>
      </w:r>
      <w:r w:rsidR="00E8128F">
        <w:rPr>
          <w:sz w:val="36"/>
          <w:szCs w:val="36"/>
          <w:rtl/>
        </w:rPr>
        <w:t xml:space="preserve"> </w:t>
      </w:r>
      <w:r w:rsidR="005640B4" w:rsidRPr="00FD211F">
        <w:rPr>
          <w:sz w:val="36"/>
          <w:szCs w:val="36"/>
          <w:rtl/>
        </w:rPr>
        <w:t>البرهاني</w:t>
      </w:r>
      <w:r w:rsidR="00EC7EDF" w:rsidRPr="00FD211F">
        <w:rPr>
          <w:sz w:val="36"/>
          <w:szCs w:val="36"/>
          <w:rtl/>
        </w:rPr>
        <w:t>ة</w:t>
      </w:r>
      <w:r w:rsidR="00E8128F">
        <w:rPr>
          <w:sz w:val="36"/>
          <w:szCs w:val="36"/>
          <w:rtl/>
        </w:rPr>
        <w:t xml:space="preserve"> </w:t>
      </w:r>
      <w:r w:rsidR="00A83339" w:rsidRPr="00FD211F">
        <w:rPr>
          <w:sz w:val="36"/>
          <w:szCs w:val="36"/>
          <w:rtl/>
        </w:rPr>
        <w:t>حتى</w:t>
      </w:r>
      <w:r w:rsidR="00E8128F">
        <w:rPr>
          <w:sz w:val="36"/>
          <w:szCs w:val="36"/>
          <w:rtl/>
        </w:rPr>
        <w:t xml:space="preserve"> </w:t>
      </w:r>
      <w:r w:rsidR="001D0030" w:rsidRPr="00FD211F">
        <w:rPr>
          <w:sz w:val="36"/>
          <w:szCs w:val="36"/>
          <w:rtl/>
        </w:rPr>
        <w:t>نرفع</w:t>
      </w:r>
      <w:r w:rsidR="00E8128F">
        <w:rPr>
          <w:sz w:val="36"/>
          <w:szCs w:val="36"/>
          <w:rtl/>
        </w:rPr>
        <w:t xml:space="preserve"> </w:t>
      </w:r>
      <w:r w:rsidR="001D0030" w:rsidRPr="00FD211F">
        <w:rPr>
          <w:sz w:val="36"/>
          <w:szCs w:val="36"/>
          <w:rtl/>
        </w:rPr>
        <w:t>اليد</w:t>
      </w:r>
      <w:r w:rsidR="00E8128F">
        <w:rPr>
          <w:sz w:val="36"/>
          <w:szCs w:val="36"/>
          <w:rtl/>
        </w:rPr>
        <w:t xml:space="preserve"> </w:t>
      </w:r>
      <w:r w:rsidR="001D0030" w:rsidRPr="00FD211F">
        <w:rPr>
          <w:sz w:val="36"/>
          <w:szCs w:val="36"/>
          <w:rtl/>
        </w:rPr>
        <w:t>لأجلها</w:t>
      </w:r>
      <w:r w:rsidR="00E8128F">
        <w:rPr>
          <w:sz w:val="36"/>
          <w:szCs w:val="36"/>
          <w:rtl/>
        </w:rPr>
        <w:t xml:space="preserve"> </w:t>
      </w:r>
      <w:r w:rsidR="001D0030" w:rsidRPr="00FD211F">
        <w:rPr>
          <w:sz w:val="36"/>
          <w:szCs w:val="36"/>
          <w:rtl/>
        </w:rPr>
        <w:t>عن</w:t>
      </w:r>
      <w:r w:rsidR="00E8128F">
        <w:rPr>
          <w:sz w:val="36"/>
          <w:szCs w:val="36"/>
          <w:rtl/>
        </w:rPr>
        <w:t xml:space="preserve"> </w:t>
      </w:r>
      <w:r w:rsidR="001D0030" w:rsidRPr="00FD211F">
        <w:rPr>
          <w:sz w:val="36"/>
          <w:szCs w:val="36"/>
          <w:rtl/>
        </w:rPr>
        <w:t>المرتكزات</w:t>
      </w:r>
      <w:r w:rsidR="00EC7EDF" w:rsidRPr="00FD211F">
        <w:rPr>
          <w:sz w:val="36"/>
          <w:szCs w:val="36"/>
          <w:rtl/>
        </w:rPr>
        <w:t>.</w:t>
      </w:r>
    </w:p>
    <w:p w14:paraId="0FA8B615" w14:textId="77777777" w:rsidR="000C5BBA" w:rsidRPr="00FD211F" w:rsidRDefault="005640B4" w:rsidP="009C58C8">
      <w:pPr>
        <w:ind w:left="0" w:firstLine="227"/>
        <w:jc w:val="both"/>
        <w:rPr>
          <w:sz w:val="36"/>
          <w:szCs w:val="36"/>
          <w:rtl/>
        </w:rPr>
      </w:pPr>
      <w:r w:rsidRPr="00FD211F">
        <w:rPr>
          <w:sz w:val="36"/>
          <w:szCs w:val="36"/>
          <w:rtl/>
        </w:rPr>
        <w:t>وثانيا:</w:t>
      </w:r>
      <w:r w:rsidR="00E8128F">
        <w:rPr>
          <w:sz w:val="36"/>
          <w:szCs w:val="36"/>
          <w:rtl/>
        </w:rPr>
        <w:t xml:space="preserve"> </w:t>
      </w:r>
      <w:r w:rsidR="0040555A" w:rsidRPr="00FD211F">
        <w:rPr>
          <w:sz w:val="36"/>
          <w:szCs w:val="36"/>
          <w:rtl/>
        </w:rPr>
        <w:t>ان</w:t>
      </w:r>
      <w:r w:rsidR="00E8128F">
        <w:rPr>
          <w:sz w:val="36"/>
          <w:szCs w:val="36"/>
          <w:rtl/>
        </w:rPr>
        <w:t xml:space="preserve"> </w:t>
      </w:r>
      <w:r w:rsidR="0040555A" w:rsidRPr="00FD211F">
        <w:rPr>
          <w:sz w:val="36"/>
          <w:szCs w:val="36"/>
          <w:rtl/>
        </w:rPr>
        <w:t>الموجب</w:t>
      </w:r>
      <w:r w:rsidR="00E8128F">
        <w:rPr>
          <w:sz w:val="36"/>
          <w:szCs w:val="36"/>
          <w:rtl/>
        </w:rPr>
        <w:t xml:space="preserve"> </w:t>
      </w:r>
      <w:r w:rsidR="0040555A" w:rsidRPr="00FD211F">
        <w:rPr>
          <w:sz w:val="36"/>
          <w:szCs w:val="36"/>
          <w:rtl/>
        </w:rPr>
        <w:t>لبناء</w:t>
      </w:r>
      <w:r w:rsidR="00E8128F">
        <w:rPr>
          <w:sz w:val="36"/>
          <w:szCs w:val="36"/>
          <w:rtl/>
        </w:rPr>
        <w:t xml:space="preserve"> </w:t>
      </w:r>
      <w:r w:rsidR="0040555A" w:rsidRPr="00FD211F">
        <w:rPr>
          <w:sz w:val="36"/>
          <w:szCs w:val="36"/>
          <w:rtl/>
        </w:rPr>
        <w:t>الكلم</w:t>
      </w:r>
      <w:r w:rsidR="00EC7EDF" w:rsidRPr="00FD211F">
        <w:rPr>
          <w:sz w:val="36"/>
          <w:szCs w:val="36"/>
          <w:rtl/>
        </w:rPr>
        <w:t>ة</w:t>
      </w:r>
      <w:r w:rsidR="00E8128F">
        <w:rPr>
          <w:sz w:val="36"/>
          <w:szCs w:val="36"/>
          <w:rtl/>
        </w:rPr>
        <w:t xml:space="preserve"> </w:t>
      </w:r>
      <w:r w:rsidR="0040555A" w:rsidRPr="00FD211F">
        <w:rPr>
          <w:sz w:val="36"/>
          <w:szCs w:val="36"/>
          <w:rtl/>
        </w:rPr>
        <w:t>كون</w:t>
      </w:r>
      <w:r w:rsidR="00E8128F">
        <w:rPr>
          <w:sz w:val="36"/>
          <w:szCs w:val="36"/>
          <w:rtl/>
        </w:rPr>
        <w:t xml:space="preserve"> </w:t>
      </w:r>
      <w:r w:rsidR="0040555A" w:rsidRPr="00FD211F">
        <w:rPr>
          <w:sz w:val="36"/>
          <w:szCs w:val="36"/>
          <w:rtl/>
        </w:rPr>
        <w:t>معنى</w:t>
      </w:r>
      <w:r w:rsidR="00E8128F">
        <w:rPr>
          <w:sz w:val="36"/>
          <w:szCs w:val="36"/>
          <w:rtl/>
        </w:rPr>
        <w:t xml:space="preserve"> </w:t>
      </w:r>
      <w:r w:rsidR="0040555A" w:rsidRPr="00FD211F">
        <w:rPr>
          <w:sz w:val="36"/>
          <w:szCs w:val="36"/>
          <w:rtl/>
        </w:rPr>
        <w:t>مادته</w:t>
      </w:r>
      <w:r w:rsidR="00E8128F">
        <w:rPr>
          <w:sz w:val="36"/>
          <w:szCs w:val="36"/>
          <w:rtl/>
        </w:rPr>
        <w:t xml:space="preserve"> </w:t>
      </w:r>
      <w:r w:rsidR="0040555A" w:rsidRPr="00FD211F">
        <w:rPr>
          <w:sz w:val="36"/>
          <w:szCs w:val="36"/>
          <w:rtl/>
        </w:rPr>
        <w:t>شبيها</w:t>
      </w:r>
      <w:r w:rsidR="00E8128F">
        <w:rPr>
          <w:sz w:val="36"/>
          <w:szCs w:val="36"/>
          <w:rtl/>
        </w:rPr>
        <w:t xml:space="preserve"> </w:t>
      </w:r>
      <w:r w:rsidR="0040555A" w:rsidRPr="00FD211F">
        <w:rPr>
          <w:sz w:val="36"/>
          <w:szCs w:val="36"/>
          <w:rtl/>
        </w:rPr>
        <w:t>بمعنى</w:t>
      </w:r>
      <w:r w:rsidR="00E8128F">
        <w:rPr>
          <w:sz w:val="36"/>
          <w:szCs w:val="36"/>
          <w:rtl/>
        </w:rPr>
        <w:t xml:space="preserve"> </w:t>
      </w:r>
      <w:r w:rsidR="0040555A" w:rsidRPr="00FD211F">
        <w:rPr>
          <w:sz w:val="36"/>
          <w:szCs w:val="36"/>
          <w:rtl/>
        </w:rPr>
        <w:t>الحرف</w:t>
      </w:r>
      <w:r w:rsidR="00603323" w:rsidRPr="00FD211F">
        <w:rPr>
          <w:sz w:val="36"/>
          <w:szCs w:val="36"/>
          <w:rtl/>
        </w:rPr>
        <w:t>،</w:t>
      </w:r>
      <w:r w:rsidR="00E8128F">
        <w:rPr>
          <w:sz w:val="36"/>
          <w:szCs w:val="36"/>
          <w:rtl/>
        </w:rPr>
        <w:t xml:space="preserve"> </w:t>
      </w:r>
      <w:r w:rsidRPr="00FD211F">
        <w:rPr>
          <w:sz w:val="36"/>
          <w:szCs w:val="36"/>
          <w:rtl/>
        </w:rPr>
        <w:t>كيف</w:t>
      </w:r>
      <w:r w:rsidR="00E8128F">
        <w:rPr>
          <w:sz w:val="36"/>
          <w:szCs w:val="36"/>
          <w:rtl/>
        </w:rPr>
        <w:t xml:space="preserve"> </w:t>
      </w:r>
      <w:r w:rsidRPr="00FD211F">
        <w:rPr>
          <w:sz w:val="36"/>
          <w:szCs w:val="36"/>
          <w:rtl/>
        </w:rPr>
        <w:t>والفعل</w:t>
      </w:r>
      <w:r w:rsidR="00E8128F">
        <w:rPr>
          <w:sz w:val="36"/>
          <w:szCs w:val="36"/>
          <w:rtl/>
        </w:rPr>
        <w:t xml:space="preserve"> </w:t>
      </w:r>
      <w:r w:rsidRPr="00FD211F">
        <w:rPr>
          <w:sz w:val="36"/>
          <w:szCs w:val="36"/>
          <w:rtl/>
        </w:rPr>
        <w:t>المضارع</w:t>
      </w:r>
      <w:r w:rsidR="00E8128F">
        <w:rPr>
          <w:sz w:val="36"/>
          <w:szCs w:val="36"/>
          <w:rtl/>
        </w:rPr>
        <w:t xml:space="preserve"> </w:t>
      </w:r>
      <w:r w:rsidRPr="00FD211F">
        <w:rPr>
          <w:sz w:val="36"/>
          <w:szCs w:val="36"/>
          <w:rtl/>
        </w:rPr>
        <w:t>دا</w:t>
      </w:r>
      <w:r w:rsidR="0046762F" w:rsidRPr="00FD211F">
        <w:rPr>
          <w:sz w:val="36"/>
          <w:szCs w:val="36"/>
          <w:rtl/>
        </w:rPr>
        <w:t>ل</w:t>
      </w:r>
      <w:r w:rsidR="00E8128F">
        <w:rPr>
          <w:sz w:val="36"/>
          <w:szCs w:val="36"/>
          <w:rtl/>
        </w:rPr>
        <w:t xml:space="preserve"> </w:t>
      </w:r>
      <w:r w:rsidR="0046762F" w:rsidRPr="00FD211F">
        <w:rPr>
          <w:sz w:val="36"/>
          <w:szCs w:val="36"/>
          <w:rtl/>
        </w:rPr>
        <w:t>على</w:t>
      </w:r>
      <w:r w:rsidR="00E8128F">
        <w:rPr>
          <w:sz w:val="36"/>
          <w:szCs w:val="36"/>
          <w:rtl/>
        </w:rPr>
        <w:t xml:space="preserve"> </w:t>
      </w:r>
      <w:r w:rsidR="0046762F" w:rsidRPr="00FD211F">
        <w:rPr>
          <w:sz w:val="36"/>
          <w:szCs w:val="36"/>
          <w:rtl/>
        </w:rPr>
        <w:t>النسب</w:t>
      </w:r>
      <w:r w:rsidR="00EC7EDF" w:rsidRPr="00FD211F">
        <w:rPr>
          <w:sz w:val="36"/>
          <w:szCs w:val="36"/>
          <w:rtl/>
        </w:rPr>
        <w:t>ة</w:t>
      </w:r>
      <w:r w:rsidR="00E8128F">
        <w:rPr>
          <w:sz w:val="36"/>
          <w:szCs w:val="36"/>
          <w:rtl/>
        </w:rPr>
        <w:t xml:space="preserve"> </w:t>
      </w:r>
      <w:r w:rsidR="0046762F" w:rsidRPr="00FD211F">
        <w:rPr>
          <w:sz w:val="36"/>
          <w:szCs w:val="36"/>
          <w:rtl/>
        </w:rPr>
        <w:t>جزما</w:t>
      </w:r>
      <w:r w:rsidR="00E8128F">
        <w:rPr>
          <w:sz w:val="36"/>
          <w:szCs w:val="36"/>
          <w:rtl/>
        </w:rPr>
        <w:t xml:space="preserve"> </w:t>
      </w:r>
      <w:r w:rsidR="0046762F" w:rsidRPr="00FD211F">
        <w:rPr>
          <w:sz w:val="36"/>
          <w:szCs w:val="36"/>
          <w:rtl/>
        </w:rPr>
        <w:t>مع</w:t>
      </w:r>
      <w:r w:rsidR="00E8128F">
        <w:rPr>
          <w:sz w:val="36"/>
          <w:szCs w:val="36"/>
          <w:rtl/>
        </w:rPr>
        <w:t xml:space="preserve"> </w:t>
      </w:r>
      <w:r w:rsidR="0046762F" w:rsidRPr="00FD211F">
        <w:rPr>
          <w:sz w:val="36"/>
          <w:szCs w:val="36"/>
          <w:rtl/>
        </w:rPr>
        <w:t>كونه</w:t>
      </w:r>
      <w:r w:rsidR="00E8128F">
        <w:rPr>
          <w:sz w:val="36"/>
          <w:szCs w:val="36"/>
          <w:rtl/>
        </w:rPr>
        <w:t xml:space="preserve"> </w:t>
      </w:r>
      <w:r w:rsidR="0046762F" w:rsidRPr="00FD211F">
        <w:rPr>
          <w:sz w:val="36"/>
          <w:szCs w:val="36"/>
          <w:rtl/>
        </w:rPr>
        <w:t>معربا.</w:t>
      </w:r>
    </w:p>
    <w:p w14:paraId="565E0351" w14:textId="77777777" w:rsidR="0040555A" w:rsidRPr="00FD211F" w:rsidRDefault="005640B4" w:rsidP="009C58C8">
      <w:pPr>
        <w:ind w:left="0" w:firstLine="227"/>
        <w:jc w:val="both"/>
        <w:rPr>
          <w:sz w:val="36"/>
          <w:szCs w:val="36"/>
          <w:rtl/>
        </w:rPr>
      </w:pPr>
      <w:r w:rsidRPr="00FD211F">
        <w:rPr>
          <w:sz w:val="36"/>
          <w:szCs w:val="36"/>
          <w:rtl/>
        </w:rPr>
        <w:t>وثالثا:</w:t>
      </w:r>
      <w:r w:rsidR="00E8128F">
        <w:rPr>
          <w:sz w:val="36"/>
          <w:szCs w:val="36"/>
          <w:rtl/>
        </w:rPr>
        <w:t xml:space="preserve"> </w:t>
      </w:r>
      <w:r w:rsidR="0040555A" w:rsidRPr="00FD211F">
        <w:rPr>
          <w:sz w:val="36"/>
          <w:szCs w:val="36"/>
          <w:rtl/>
        </w:rPr>
        <w:t>انه</w:t>
      </w:r>
      <w:r w:rsidR="00E8128F">
        <w:rPr>
          <w:sz w:val="36"/>
          <w:szCs w:val="36"/>
          <w:rtl/>
        </w:rPr>
        <w:t xml:space="preserve"> </w:t>
      </w:r>
      <w:r w:rsidR="0040555A" w:rsidRPr="00FD211F">
        <w:rPr>
          <w:sz w:val="36"/>
          <w:szCs w:val="36"/>
          <w:rtl/>
        </w:rPr>
        <w:t>بعد</w:t>
      </w:r>
      <w:r w:rsidR="00E8128F">
        <w:rPr>
          <w:sz w:val="36"/>
          <w:szCs w:val="36"/>
          <w:rtl/>
        </w:rPr>
        <w:t xml:space="preserve"> </w:t>
      </w:r>
      <w:r w:rsidR="0040555A" w:rsidRPr="00FD211F">
        <w:rPr>
          <w:sz w:val="36"/>
          <w:szCs w:val="36"/>
          <w:rtl/>
        </w:rPr>
        <w:t>اشتمال</w:t>
      </w:r>
      <w:r w:rsidR="00E8128F">
        <w:rPr>
          <w:sz w:val="36"/>
          <w:szCs w:val="36"/>
          <w:rtl/>
        </w:rPr>
        <w:t xml:space="preserve"> </w:t>
      </w:r>
      <w:r w:rsidR="0040555A" w:rsidRPr="00FD211F">
        <w:rPr>
          <w:sz w:val="36"/>
          <w:szCs w:val="36"/>
          <w:rtl/>
        </w:rPr>
        <w:t>المشتق</w:t>
      </w:r>
      <w:r w:rsidR="00E8128F">
        <w:rPr>
          <w:sz w:val="36"/>
          <w:szCs w:val="36"/>
          <w:rtl/>
        </w:rPr>
        <w:t xml:space="preserve"> </w:t>
      </w:r>
      <w:r w:rsidR="0040555A" w:rsidRPr="00FD211F">
        <w:rPr>
          <w:sz w:val="36"/>
          <w:szCs w:val="36"/>
          <w:rtl/>
        </w:rPr>
        <w:t>بنفسه</w:t>
      </w:r>
      <w:r w:rsidR="00E8128F">
        <w:rPr>
          <w:sz w:val="36"/>
          <w:szCs w:val="36"/>
          <w:rtl/>
        </w:rPr>
        <w:t xml:space="preserve"> </w:t>
      </w:r>
      <w:r w:rsidR="0040555A" w:rsidRPr="00FD211F">
        <w:rPr>
          <w:sz w:val="36"/>
          <w:szCs w:val="36"/>
          <w:rtl/>
        </w:rPr>
        <w:t>لطرفي</w:t>
      </w:r>
      <w:r w:rsidR="00E8128F">
        <w:rPr>
          <w:sz w:val="36"/>
          <w:szCs w:val="36"/>
          <w:rtl/>
        </w:rPr>
        <w:t xml:space="preserve"> </w:t>
      </w:r>
      <w:r w:rsidR="0040555A" w:rsidRPr="00FD211F">
        <w:rPr>
          <w:sz w:val="36"/>
          <w:szCs w:val="36"/>
          <w:rtl/>
        </w:rPr>
        <w:t>النسب</w:t>
      </w:r>
      <w:r w:rsidR="00EC7EDF" w:rsidRPr="00FD211F">
        <w:rPr>
          <w:sz w:val="36"/>
          <w:szCs w:val="36"/>
          <w:rtl/>
        </w:rPr>
        <w:t>ة</w:t>
      </w:r>
      <w:r w:rsidR="00E8128F">
        <w:rPr>
          <w:sz w:val="36"/>
          <w:szCs w:val="36"/>
          <w:rtl/>
        </w:rPr>
        <w:t xml:space="preserve"> </w:t>
      </w:r>
      <w:r w:rsidR="0040555A" w:rsidRPr="00FD211F">
        <w:rPr>
          <w:sz w:val="36"/>
          <w:szCs w:val="36"/>
          <w:rtl/>
        </w:rPr>
        <w:t>فليس</w:t>
      </w:r>
      <w:r w:rsidR="00E8128F">
        <w:rPr>
          <w:sz w:val="36"/>
          <w:szCs w:val="36"/>
          <w:rtl/>
        </w:rPr>
        <w:t xml:space="preserve"> </w:t>
      </w:r>
      <w:r w:rsidR="0040555A" w:rsidRPr="00FD211F">
        <w:rPr>
          <w:sz w:val="36"/>
          <w:szCs w:val="36"/>
          <w:rtl/>
        </w:rPr>
        <w:t>معناه</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غيره</w:t>
      </w:r>
      <w:r w:rsidR="00E8128F">
        <w:rPr>
          <w:sz w:val="36"/>
          <w:szCs w:val="36"/>
          <w:rtl/>
        </w:rPr>
        <w:t xml:space="preserve"> </w:t>
      </w:r>
      <w:r w:rsidR="00CD0BED" w:rsidRPr="00FD211F">
        <w:rPr>
          <w:sz w:val="36"/>
          <w:szCs w:val="36"/>
          <w:rtl/>
        </w:rPr>
        <w:t>كي</w:t>
      </w:r>
      <w:r w:rsidR="00E8128F">
        <w:rPr>
          <w:sz w:val="36"/>
          <w:szCs w:val="36"/>
          <w:rtl/>
        </w:rPr>
        <w:t xml:space="preserve"> </w:t>
      </w:r>
      <w:r w:rsidR="00CD0BED" w:rsidRPr="00FD211F">
        <w:rPr>
          <w:sz w:val="36"/>
          <w:szCs w:val="36"/>
          <w:rtl/>
        </w:rPr>
        <w:t>يكون</w:t>
      </w:r>
      <w:r w:rsidR="00E8128F">
        <w:rPr>
          <w:sz w:val="36"/>
          <w:szCs w:val="36"/>
          <w:rtl/>
        </w:rPr>
        <w:t xml:space="preserve"> </w:t>
      </w:r>
      <w:r w:rsidR="00CD0BED" w:rsidRPr="00FD211F">
        <w:rPr>
          <w:sz w:val="36"/>
          <w:szCs w:val="36"/>
          <w:rtl/>
        </w:rPr>
        <w:t>شبيها</w:t>
      </w:r>
      <w:r w:rsidR="00E8128F">
        <w:rPr>
          <w:sz w:val="36"/>
          <w:szCs w:val="36"/>
          <w:rtl/>
        </w:rPr>
        <w:t xml:space="preserve"> </w:t>
      </w:r>
      <w:r w:rsidR="00CD0BED" w:rsidRPr="00FD211F">
        <w:rPr>
          <w:sz w:val="36"/>
          <w:szCs w:val="36"/>
          <w:rtl/>
        </w:rPr>
        <w:t>بالحرف</w:t>
      </w:r>
      <w:r w:rsidR="00E8128F">
        <w:rPr>
          <w:sz w:val="36"/>
          <w:szCs w:val="36"/>
          <w:rtl/>
        </w:rPr>
        <w:t xml:space="preserve"> </w:t>
      </w:r>
      <w:r w:rsidR="0040555A" w:rsidRPr="00FD211F">
        <w:rPr>
          <w:sz w:val="36"/>
          <w:szCs w:val="36"/>
          <w:rtl/>
        </w:rPr>
        <w:t>ولو</w:t>
      </w:r>
      <w:r w:rsidR="00E8128F">
        <w:rPr>
          <w:sz w:val="36"/>
          <w:szCs w:val="36"/>
          <w:rtl/>
        </w:rPr>
        <w:t xml:space="preserve"> </w:t>
      </w:r>
      <w:r w:rsidR="0040555A" w:rsidRPr="00FD211F">
        <w:rPr>
          <w:sz w:val="36"/>
          <w:szCs w:val="36"/>
          <w:rtl/>
        </w:rPr>
        <w:t>كان</w:t>
      </w:r>
      <w:r w:rsidR="00E8128F">
        <w:rPr>
          <w:sz w:val="36"/>
          <w:szCs w:val="36"/>
          <w:rtl/>
        </w:rPr>
        <w:t xml:space="preserve"> </w:t>
      </w:r>
      <w:r w:rsidR="0040555A" w:rsidRPr="00FD211F">
        <w:rPr>
          <w:sz w:val="36"/>
          <w:szCs w:val="36"/>
          <w:rtl/>
        </w:rPr>
        <w:t>ذلك</w:t>
      </w:r>
      <w:r w:rsidR="00E8128F">
        <w:rPr>
          <w:sz w:val="36"/>
          <w:szCs w:val="36"/>
          <w:rtl/>
        </w:rPr>
        <w:t xml:space="preserve"> </w:t>
      </w:r>
      <w:r w:rsidR="0040555A" w:rsidRPr="00FD211F">
        <w:rPr>
          <w:sz w:val="36"/>
          <w:szCs w:val="36"/>
          <w:rtl/>
        </w:rPr>
        <w:t>موجبا</w:t>
      </w:r>
      <w:r w:rsidR="00E8128F">
        <w:rPr>
          <w:sz w:val="36"/>
          <w:szCs w:val="36"/>
          <w:rtl/>
        </w:rPr>
        <w:t xml:space="preserve"> </w:t>
      </w:r>
      <w:r w:rsidR="0040555A" w:rsidRPr="00FD211F">
        <w:rPr>
          <w:sz w:val="36"/>
          <w:szCs w:val="36"/>
          <w:rtl/>
        </w:rPr>
        <w:t>للبناء</w:t>
      </w:r>
      <w:r w:rsidR="00E8128F">
        <w:rPr>
          <w:sz w:val="36"/>
          <w:szCs w:val="36"/>
          <w:rtl/>
        </w:rPr>
        <w:t xml:space="preserve"> </w:t>
      </w:r>
      <w:r w:rsidR="0040555A" w:rsidRPr="00FD211F">
        <w:rPr>
          <w:sz w:val="36"/>
          <w:szCs w:val="36"/>
          <w:rtl/>
        </w:rPr>
        <w:t>فلازمه</w:t>
      </w:r>
      <w:r w:rsidR="00E8128F">
        <w:rPr>
          <w:sz w:val="36"/>
          <w:szCs w:val="36"/>
          <w:rtl/>
        </w:rPr>
        <w:t xml:space="preserve"> </w:t>
      </w:r>
      <w:r w:rsidR="0040555A" w:rsidRPr="00FD211F">
        <w:rPr>
          <w:sz w:val="36"/>
          <w:szCs w:val="36"/>
          <w:rtl/>
        </w:rPr>
        <w:t>بناء</w:t>
      </w:r>
      <w:r w:rsidR="00E8128F">
        <w:rPr>
          <w:sz w:val="36"/>
          <w:szCs w:val="36"/>
          <w:rtl/>
        </w:rPr>
        <w:t xml:space="preserve"> </w:t>
      </w:r>
      <w:r w:rsidR="0040555A" w:rsidRPr="00FD211F">
        <w:rPr>
          <w:sz w:val="36"/>
          <w:szCs w:val="36"/>
          <w:rtl/>
        </w:rPr>
        <w:t>بعض</w:t>
      </w:r>
      <w:r w:rsidR="00E8128F">
        <w:rPr>
          <w:sz w:val="36"/>
          <w:szCs w:val="36"/>
          <w:rtl/>
        </w:rPr>
        <w:t xml:space="preserve"> </w:t>
      </w:r>
      <w:r w:rsidR="0040555A" w:rsidRPr="00FD211F">
        <w:rPr>
          <w:sz w:val="36"/>
          <w:szCs w:val="36"/>
          <w:rtl/>
        </w:rPr>
        <w:t>الاسماء</w:t>
      </w:r>
      <w:r w:rsidR="00E8128F">
        <w:rPr>
          <w:sz w:val="36"/>
          <w:szCs w:val="36"/>
          <w:rtl/>
        </w:rPr>
        <w:t xml:space="preserve"> </w:t>
      </w:r>
      <w:r w:rsidR="0040555A" w:rsidRPr="00FD211F">
        <w:rPr>
          <w:sz w:val="36"/>
          <w:szCs w:val="36"/>
          <w:rtl/>
        </w:rPr>
        <w:t>الجامد</w:t>
      </w:r>
      <w:r w:rsidR="00EC7EDF" w:rsidRPr="00FD211F">
        <w:rPr>
          <w:sz w:val="36"/>
          <w:szCs w:val="36"/>
          <w:rtl/>
        </w:rPr>
        <w:t>ة</w:t>
      </w:r>
      <w:r w:rsidR="00E8128F">
        <w:rPr>
          <w:sz w:val="36"/>
          <w:szCs w:val="36"/>
          <w:rtl/>
        </w:rPr>
        <w:t xml:space="preserve"> </w:t>
      </w:r>
      <w:r w:rsidR="0040555A" w:rsidRPr="00FD211F">
        <w:rPr>
          <w:sz w:val="36"/>
          <w:szCs w:val="36"/>
          <w:rtl/>
        </w:rPr>
        <w:t>الدال</w:t>
      </w:r>
      <w:r w:rsidR="00EC7EDF" w:rsidRPr="00FD211F">
        <w:rPr>
          <w:sz w:val="36"/>
          <w:szCs w:val="36"/>
          <w:rtl/>
        </w:rPr>
        <w:t>ة</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الحص</w:t>
      </w:r>
      <w:r w:rsidR="00EC7EDF" w:rsidRPr="00FD211F">
        <w:rPr>
          <w:sz w:val="36"/>
          <w:szCs w:val="36"/>
          <w:rtl/>
        </w:rPr>
        <w:t>ة</w:t>
      </w:r>
      <w:r w:rsidR="00E8128F">
        <w:rPr>
          <w:sz w:val="36"/>
          <w:szCs w:val="36"/>
          <w:rtl/>
        </w:rPr>
        <w:t xml:space="preserve"> </w:t>
      </w:r>
      <w:r w:rsidR="00A83339" w:rsidRPr="00FD211F">
        <w:rPr>
          <w:sz w:val="36"/>
          <w:szCs w:val="36"/>
          <w:rtl/>
        </w:rPr>
        <w:t>ك</w:t>
      </w:r>
      <w:r w:rsidR="0040555A" w:rsidRPr="00FD211F">
        <w:rPr>
          <w:sz w:val="36"/>
          <w:szCs w:val="36"/>
          <w:rtl/>
        </w:rPr>
        <w:t>السرير</w:t>
      </w:r>
      <w:r w:rsidR="00E8128F">
        <w:rPr>
          <w:sz w:val="36"/>
          <w:szCs w:val="36"/>
          <w:rtl/>
        </w:rPr>
        <w:t xml:space="preserve"> </w:t>
      </w:r>
      <w:r w:rsidR="0040555A" w:rsidRPr="00FD211F">
        <w:rPr>
          <w:sz w:val="36"/>
          <w:szCs w:val="36"/>
          <w:rtl/>
        </w:rPr>
        <w:t>الدال</w:t>
      </w:r>
      <w:r w:rsidR="00E8128F">
        <w:rPr>
          <w:sz w:val="36"/>
          <w:szCs w:val="36"/>
          <w:rtl/>
        </w:rPr>
        <w:t xml:space="preserve"> </w:t>
      </w:r>
      <w:r w:rsidR="0040555A" w:rsidRPr="00FD211F">
        <w:rPr>
          <w:sz w:val="36"/>
          <w:szCs w:val="36"/>
          <w:rtl/>
        </w:rPr>
        <w:t>على</w:t>
      </w:r>
      <w:r w:rsidR="00E8128F">
        <w:rPr>
          <w:sz w:val="36"/>
          <w:szCs w:val="36"/>
          <w:rtl/>
        </w:rPr>
        <w:t xml:space="preserve"> </w:t>
      </w:r>
      <w:r w:rsidR="00CD0BED" w:rsidRPr="00FD211F">
        <w:rPr>
          <w:sz w:val="36"/>
          <w:szCs w:val="36"/>
          <w:rtl/>
        </w:rPr>
        <w:t>حص</w:t>
      </w:r>
      <w:r w:rsidR="00EC7EDF" w:rsidRPr="00FD211F">
        <w:rPr>
          <w:sz w:val="36"/>
          <w:szCs w:val="36"/>
          <w:rtl/>
        </w:rPr>
        <w:t>ة</w:t>
      </w:r>
      <w:r w:rsidR="00E8128F">
        <w:rPr>
          <w:sz w:val="36"/>
          <w:szCs w:val="36"/>
          <w:rtl/>
        </w:rPr>
        <w:t xml:space="preserve"> </w:t>
      </w:r>
      <w:r w:rsidR="0040555A" w:rsidRPr="00FD211F">
        <w:rPr>
          <w:sz w:val="36"/>
          <w:szCs w:val="36"/>
          <w:rtl/>
        </w:rPr>
        <w:t>خاص</w:t>
      </w:r>
      <w:r w:rsidR="00EC7EDF" w:rsidRPr="00FD211F">
        <w:rPr>
          <w:sz w:val="36"/>
          <w:szCs w:val="36"/>
          <w:rtl/>
        </w:rPr>
        <w:t>ة</w:t>
      </w:r>
      <w:r w:rsidR="00E8128F">
        <w:rPr>
          <w:sz w:val="36"/>
          <w:szCs w:val="36"/>
          <w:rtl/>
        </w:rPr>
        <w:t xml:space="preserve"> </w:t>
      </w:r>
      <w:r w:rsidR="0040555A" w:rsidRPr="00FD211F">
        <w:rPr>
          <w:sz w:val="36"/>
          <w:szCs w:val="36"/>
          <w:rtl/>
        </w:rPr>
        <w:t>من</w:t>
      </w:r>
      <w:r w:rsidR="00E8128F">
        <w:rPr>
          <w:sz w:val="36"/>
          <w:szCs w:val="36"/>
          <w:rtl/>
        </w:rPr>
        <w:t xml:space="preserve"> </w:t>
      </w:r>
      <w:r w:rsidR="0040555A" w:rsidRPr="00FD211F">
        <w:rPr>
          <w:sz w:val="36"/>
          <w:szCs w:val="36"/>
          <w:rtl/>
        </w:rPr>
        <w:t>الخشب.</w:t>
      </w:r>
    </w:p>
    <w:p w14:paraId="6FB22366" w14:textId="77777777" w:rsidR="00260DCE" w:rsidRPr="00FD211F" w:rsidRDefault="0040555A" w:rsidP="009C58C8">
      <w:pPr>
        <w:ind w:left="0" w:firstLine="227"/>
        <w:jc w:val="both"/>
        <w:rPr>
          <w:sz w:val="36"/>
          <w:szCs w:val="36"/>
          <w:rtl/>
        </w:rPr>
      </w:pPr>
      <w:bookmarkStart w:id="471" w:name="درس118"/>
      <w:bookmarkEnd w:id="471"/>
      <w:r w:rsidRPr="00FD211F">
        <w:rPr>
          <w:sz w:val="36"/>
          <w:szCs w:val="36"/>
          <w:rtl/>
        </w:rPr>
        <w:t>3-</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النائيني</w:t>
      </w:r>
      <w:r w:rsidR="00E8128F">
        <w:rPr>
          <w:sz w:val="36"/>
          <w:szCs w:val="36"/>
          <w:rtl/>
        </w:rPr>
        <w:t xml:space="preserve"> </w:t>
      </w:r>
      <w:r w:rsidR="0046762F" w:rsidRPr="00FD211F">
        <w:rPr>
          <w:sz w:val="36"/>
          <w:szCs w:val="36"/>
          <w:rtl/>
        </w:rPr>
        <w:t>"</w:t>
      </w:r>
      <w:r w:rsidRPr="00FD211F">
        <w:rPr>
          <w:sz w:val="36"/>
          <w:szCs w:val="36"/>
          <w:rtl/>
        </w:rPr>
        <w:t>قده</w:t>
      </w:r>
      <w:r w:rsidR="0046762F" w:rsidRPr="00FD211F">
        <w:rPr>
          <w:sz w:val="36"/>
          <w:szCs w:val="36"/>
          <w:rtl/>
        </w:rPr>
        <w:t>"</w:t>
      </w:r>
      <w:r w:rsidR="00E8128F">
        <w:rPr>
          <w:sz w:val="36"/>
          <w:szCs w:val="36"/>
          <w:rtl/>
        </w:rPr>
        <w:t xml:space="preserve"> </w:t>
      </w:r>
      <w:r w:rsidR="00CD0BED" w:rsidRPr="00FD211F">
        <w:rPr>
          <w:sz w:val="36"/>
          <w:szCs w:val="36"/>
          <w:rtl/>
        </w:rPr>
        <w:t>ايضا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دل</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فرضت</w:t>
      </w:r>
      <w:r w:rsidR="00E8128F">
        <w:rPr>
          <w:sz w:val="36"/>
          <w:szCs w:val="36"/>
          <w:rtl/>
        </w:rPr>
        <w:t xml:space="preserve"> </w:t>
      </w:r>
      <w:r w:rsidRPr="00FD211F">
        <w:rPr>
          <w:sz w:val="36"/>
          <w:szCs w:val="36"/>
          <w:rtl/>
        </w:rPr>
        <w:t>دلالته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ايضا</w:t>
      </w:r>
      <w:r w:rsidR="00E8128F">
        <w:rPr>
          <w:sz w:val="36"/>
          <w:szCs w:val="36"/>
          <w:rtl/>
        </w:rPr>
        <w:t xml:space="preserve"> </w:t>
      </w:r>
      <w:r w:rsidRPr="00FD211F">
        <w:rPr>
          <w:sz w:val="36"/>
          <w:szCs w:val="36"/>
          <w:rtl/>
        </w:rPr>
        <w:t>اتجه</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الاشكالات</w:t>
      </w:r>
      <w:r w:rsidR="00E8128F">
        <w:rPr>
          <w:sz w:val="36"/>
          <w:szCs w:val="36"/>
          <w:rtl/>
        </w:rPr>
        <w:t xml:space="preserve"> </w:t>
      </w:r>
      <w:r w:rsidR="00AE12CE" w:rsidRPr="00FD211F">
        <w:rPr>
          <w:sz w:val="36"/>
          <w:szCs w:val="36"/>
          <w:rtl/>
        </w:rPr>
        <w:t>التي</w:t>
      </w:r>
      <w:r w:rsidR="00E8128F">
        <w:rPr>
          <w:sz w:val="36"/>
          <w:szCs w:val="36"/>
          <w:rtl/>
        </w:rPr>
        <w:t xml:space="preserve"> </w:t>
      </w:r>
      <w:r w:rsidR="00AE12CE" w:rsidRPr="00FD211F">
        <w:rPr>
          <w:sz w:val="36"/>
          <w:szCs w:val="36"/>
          <w:rtl/>
        </w:rPr>
        <w:t>اوردها</w:t>
      </w:r>
      <w:r w:rsidR="00E8128F">
        <w:rPr>
          <w:sz w:val="36"/>
          <w:szCs w:val="36"/>
          <w:rtl/>
        </w:rPr>
        <w:t xml:space="preserve"> </w:t>
      </w:r>
      <w:r w:rsidR="00AE12CE" w:rsidRPr="00FD211F">
        <w:rPr>
          <w:sz w:val="36"/>
          <w:szCs w:val="36"/>
          <w:rtl/>
        </w:rPr>
        <w:t>المحقق</w:t>
      </w:r>
      <w:r w:rsidR="00E8128F">
        <w:rPr>
          <w:sz w:val="36"/>
          <w:szCs w:val="36"/>
          <w:rtl/>
        </w:rPr>
        <w:t xml:space="preserve"> </w:t>
      </w:r>
      <w:r w:rsidR="00AE12CE" w:rsidRPr="00FD211F">
        <w:rPr>
          <w:sz w:val="36"/>
          <w:szCs w:val="36"/>
          <w:rtl/>
        </w:rPr>
        <w:t>الشريف</w:t>
      </w:r>
      <w:r w:rsidR="00E8128F">
        <w:rPr>
          <w:sz w:val="36"/>
          <w:szCs w:val="36"/>
          <w:rtl/>
        </w:rPr>
        <w:t xml:space="preserve"> </w:t>
      </w:r>
      <w:r w:rsidR="00AE12CE" w:rsidRPr="00FD211F">
        <w:rPr>
          <w:sz w:val="36"/>
          <w:szCs w:val="36"/>
          <w:rtl/>
        </w:rPr>
        <w:t>على</w:t>
      </w:r>
      <w:r w:rsidR="00E8128F">
        <w:rPr>
          <w:sz w:val="36"/>
          <w:szCs w:val="36"/>
          <w:rtl/>
        </w:rPr>
        <w:t xml:space="preserve"> </w:t>
      </w:r>
      <w:r w:rsidR="00AE12CE" w:rsidRPr="00FD211F">
        <w:rPr>
          <w:sz w:val="36"/>
          <w:szCs w:val="36"/>
          <w:rtl/>
        </w:rPr>
        <w:t>القول</w:t>
      </w:r>
      <w:r w:rsidR="00E8128F">
        <w:rPr>
          <w:sz w:val="36"/>
          <w:szCs w:val="36"/>
          <w:rtl/>
        </w:rPr>
        <w:t xml:space="preserve"> </w:t>
      </w:r>
      <w:r w:rsidR="00AE12CE" w:rsidRPr="00FD211F">
        <w:rPr>
          <w:sz w:val="36"/>
          <w:szCs w:val="36"/>
          <w:rtl/>
        </w:rPr>
        <w:t>بتركب</w:t>
      </w:r>
      <w:r w:rsidR="00E8128F">
        <w:rPr>
          <w:sz w:val="36"/>
          <w:szCs w:val="36"/>
          <w:rtl/>
        </w:rPr>
        <w:t xml:space="preserve"> </w:t>
      </w:r>
      <w:r w:rsidR="00AE12CE" w:rsidRPr="00FD211F">
        <w:rPr>
          <w:sz w:val="36"/>
          <w:szCs w:val="36"/>
          <w:rtl/>
        </w:rPr>
        <w:t>المشتق</w:t>
      </w:r>
      <w:r w:rsidR="00603323" w:rsidRPr="00FD211F">
        <w:rPr>
          <w:sz w:val="36"/>
          <w:szCs w:val="36"/>
          <w:rtl/>
        </w:rPr>
        <w:t>،</w:t>
      </w:r>
      <w:r w:rsidR="00E8128F">
        <w:rPr>
          <w:sz w:val="36"/>
          <w:szCs w:val="36"/>
          <w:rtl/>
        </w:rPr>
        <w:t xml:space="preserve"> </w:t>
      </w:r>
      <w:r w:rsidRPr="00FD211F">
        <w:rPr>
          <w:sz w:val="36"/>
          <w:szCs w:val="36"/>
          <w:rtl/>
        </w:rPr>
        <w:t>و</w:t>
      </w:r>
      <w:r w:rsidR="00190839" w:rsidRPr="00FD211F">
        <w:rPr>
          <w:sz w:val="36"/>
          <w:szCs w:val="36"/>
          <w:rtl/>
        </w:rPr>
        <w:t>ان</w:t>
      </w:r>
      <w:r w:rsidR="00E8128F">
        <w:rPr>
          <w:sz w:val="36"/>
          <w:szCs w:val="36"/>
          <w:rtl/>
        </w:rPr>
        <w:t xml:space="preserve"> </w:t>
      </w:r>
      <w:r w:rsidR="00190839" w:rsidRPr="00FD211F">
        <w:rPr>
          <w:sz w:val="36"/>
          <w:szCs w:val="36"/>
          <w:rtl/>
        </w:rPr>
        <w:t>فرض</w:t>
      </w:r>
      <w:r w:rsidR="00E8128F">
        <w:rPr>
          <w:sz w:val="36"/>
          <w:szCs w:val="36"/>
          <w:rtl/>
        </w:rPr>
        <w:t xml:space="preserve"> </w:t>
      </w:r>
      <w:r w:rsidR="00190839" w:rsidRPr="00FD211F">
        <w:rPr>
          <w:sz w:val="36"/>
          <w:szCs w:val="36"/>
          <w:rtl/>
        </w:rPr>
        <w:t>عدم</w:t>
      </w:r>
      <w:r w:rsidR="00E8128F">
        <w:rPr>
          <w:sz w:val="36"/>
          <w:szCs w:val="36"/>
          <w:rtl/>
        </w:rPr>
        <w:t xml:space="preserve"> </w:t>
      </w:r>
      <w:r w:rsidR="00190839" w:rsidRPr="00FD211F">
        <w:rPr>
          <w:sz w:val="36"/>
          <w:szCs w:val="36"/>
          <w:rtl/>
        </w:rPr>
        <w:t>دلالته</w:t>
      </w:r>
      <w:r w:rsidR="00E8128F">
        <w:rPr>
          <w:sz w:val="36"/>
          <w:szCs w:val="36"/>
          <w:rtl/>
        </w:rPr>
        <w:t xml:space="preserve"> </w:t>
      </w:r>
      <w:r w:rsidR="00190839" w:rsidRPr="00FD211F">
        <w:rPr>
          <w:sz w:val="36"/>
          <w:szCs w:val="36"/>
          <w:rtl/>
        </w:rPr>
        <w:t>على</w:t>
      </w:r>
      <w:r w:rsidR="00E8128F">
        <w:rPr>
          <w:sz w:val="36"/>
          <w:szCs w:val="36"/>
          <w:rtl/>
        </w:rPr>
        <w:t xml:space="preserve"> </w:t>
      </w:r>
      <w:r w:rsidR="00190839" w:rsidRPr="00FD211F">
        <w:rPr>
          <w:sz w:val="36"/>
          <w:szCs w:val="36"/>
          <w:rtl/>
        </w:rPr>
        <w:t>الذات</w:t>
      </w:r>
      <w:r w:rsidR="00E8128F">
        <w:rPr>
          <w:sz w:val="36"/>
          <w:szCs w:val="36"/>
          <w:rtl/>
        </w:rPr>
        <w:t xml:space="preserve"> </w:t>
      </w:r>
      <w:r w:rsidRPr="00FD211F">
        <w:rPr>
          <w:sz w:val="36"/>
          <w:szCs w:val="36"/>
          <w:rtl/>
        </w:rPr>
        <w:t>لزم</w:t>
      </w:r>
      <w:r w:rsidR="00E8128F">
        <w:rPr>
          <w:sz w:val="36"/>
          <w:szCs w:val="36"/>
          <w:rtl/>
        </w:rPr>
        <w:t xml:space="preserve"> </w:t>
      </w:r>
      <w:r w:rsidRPr="00FD211F">
        <w:rPr>
          <w:sz w:val="36"/>
          <w:szCs w:val="36"/>
          <w:rtl/>
        </w:rPr>
        <w:t>تقوم</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بطرف</w:t>
      </w:r>
      <w:r w:rsidR="00E8128F">
        <w:rPr>
          <w:sz w:val="36"/>
          <w:szCs w:val="36"/>
          <w:rtl/>
        </w:rPr>
        <w:t xml:space="preserve"> </w:t>
      </w:r>
      <w:r w:rsidRPr="00FD211F">
        <w:rPr>
          <w:sz w:val="36"/>
          <w:szCs w:val="36"/>
          <w:rtl/>
        </w:rPr>
        <w:t>واحد</w:t>
      </w:r>
      <w:r w:rsidR="00E8128F">
        <w:rPr>
          <w:sz w:val="36"/>
          <w:szCs w:val="36"/>
          <w:rtl/>
        </w:rPr>
        <w:t xml:space="preserve"> </w:t>
      </w:r>
      <w:r w:rsidRPr="00FD211F">
        <w:rPr>
          <w:sz w:val="36"/>
          <w:szCs w:val="36"/>
          <w:rtl/>
        </w:rPr>
        <w:t>وهو</w:t>
      </w:r>
      <w:r w:rsidR="00E8128F">
        <w:rPr>
          <w:sz w:val="36"/>
          <w:szCs w:val="36"/>
          <w:rtl/>
        </w:rPr>
        <w:t xml:space="preserve"> </w:t>
      </w:r>
      <w:r w:rsidRPr="00FD211F">
        <w:rPr>
          <w:sz w:val="36"/>
          <w:szCs w:val="36"/>
          <w:rtl/>
        </w:rPr>
        <w:t>ال</w:t>
      </w:r>
      <w:r w:rsidR="0079493B" w:rsidRPr="00FD211F">
        <w:rPr>
          <w:sz w:val="36"/>
          <w:szCs w:val="36"/>
          <w:rtl/>
        </w:rPr>
        <w:t>مبدأ</w:t>
      </w:r>
      <w:r w:rsidR="00603323" w:rsidRPr="00FD211F">
        <w:rPr>
          <w:sz w:val="36"/>
          <w:szCs w:val="36"/>
          <w:rtl/>
        </w:rPr>
        <w:t>،</w:t>
      </w:r>
      <w:r w:rsidR="00E8128F">
        <w:rPr>
          <w:sz w:val="36"/>
          <w:szCs w:val="36"/>
          <w:rtl/>
        </w:rPr>
        <w:t xml:space="preserve"> </w:t>
      </w:r>
      <w:r w:rsidR="001D0030" w:rsidRPr="00FD211F">
        <w:rPr>
          <w:sz w:val="36"/>
          <w:szCs w:val="36"/>
          <w:rtl/>
        </w:rPr>
        <w:t>ولعله</w:t>
      </w:r>
      <w:r w:rsidR="00E8128F">
        <w:rPr>
          <w:sz w:val="36"/>
          <w:szCs w:val="36"/>
          <w:rtl/>
        </w:rPr>
        <w:t xml:space="preserve"> </w:t>
      </w:r>
      <w:r w:rsidR="00B1734E" w:rsidRPr="00FD211F">
        <w:rPr>
          <w:sz w:val="36"/>
          <w:szCs w:val="36"/>
          <w:rtl/>
        </w:rPr>
        <w:t>"قده"</w:t>
      </w:r>
      <w:r w:rsidR="00E8128F">
        <w:rPr>
          <w:sz w:val="36"/>
          <w:szCs w:val="36"/>
          <w:rtl/>
        </w:rPr>
        <w:t xml:space="preserve"> </w:t>
      </w:r>
      <w:r w:rsidR="00773C8B" w:rsidRPr="00FD211F">
        <w:rPr>
          <w:sz w:val="36"/>
          <w:szCs w:val="36"/>
          <w:rtl/>
        </w:rPr>
        <w:t>اراد</w:t>
      </w:r>
      <w:r w:rsidR="00E8128F">
        <w:rPr>
          <w:sz w:val="36"/>
          <w:szCs w:val="36"/>
          <w:rtl/>
        </w:rPr>
        <w:t xml:space="preserve"> </w:t>
      </w:r>
      <w:r w:rsidR="00773C8B" w:rsidRPr="00FD211F">
        <w:rPr>
          <w:sz w:val="36"/>
          <w:szCs w:val="36"/>
          <w:rtl/>
        </w:rPr>
        <w:t>انه</w:t>
      </w:r>
      <w:r w:rsidR="00E8128F">
        <w:rPr>
          <w:sz w:val="36"/>
          <w:szCs w:val="36"/>
          <w:rtl/>
        </w:rPr>
        <w:t xml:space="preserve"> </w:t>
      </w:r>
      <w:r w:rsidR="00773C8B" w:rsidRPr="00FD211F">
        <w:rPr>
          <w:sz w:val="36"/>
          <w:szCs w:val="36"/>
          <w:rtl/>
        </w:rPr>
        <w:t>لو</w:t>
      </w:r>
      <w:r w:rsidR="00E8128F">
        <w:rPr>
          <w:sz w:val="36"/>
          <w:szCs w:val="36"/>
          <w:rtl/>
        </w:rPr>
        <w:t xml:space="preserve"> </w:t>
      </w:r>
      <w:r w:rsidR="00773C8B" w:rsidRPr="00FD211F">
        <w:rPr>
          <w:sz w:val="36"/>
          <w:szCs w:val="36"/>
          <w:rtl/>
        </w:rPr>
        <w:t>دل</w:t>
      </w:r>
      <w:r w:rsidR="00E8128F">
        <w:rPr>
          <w:sz w:val="36"/>
          <w:szCs w:val="36"/>
          <w:rtl/>
        </w:rPr>
        <w:t xml:space="preserve"> </w:t>
      </w:r>
      <w:r w:rsidR="00773C8B" w:rsidRPr="00FD211F">
        <w:rPr>
          <w:sz w:val="36"/>
          <w:szCs w:val="36"/>
          <w:rtl/>
        </w:rPr>
        <w:t>المشتق</w:t>
      </w:r>
      <w:r w:rsidR="00E8128F">
        <w:rPr>
          <w:sz w:val="36"/>
          <w:szCs w:val="36"/>
          <w:rtl/>
        </w:rPr>
        <w:t xml:space="preserve"> </w:t>
      </w:r>
      <w:r w:rsidR="00773C8B" w:rsidRPr="00FD211F">
        <w:rPr>
          <w:sz w:val="36"/>
          <w:szCs w:val="36"/>
          <w:rtl/>
        </w:rPr>
        <w:t>على</w:t>
      </w:r>
      <w:r w:rsidR="00E8128F">
        <w:rPr>
          <w:sz w:val="36"/>
          <w:szCs w:val="36"/>
          <w:rtl/>
        </w:rPr>
        <w:t xml:space="preserve"> </w:t>
      </w:r>
      <w:r w:rsidR="00773C8B" w:rsidRPr="00FD211F">
        <w:rPr>
          <w:sz w:val="36"/>
          <w:szCs w:val="36"/>
          <w:rtl/>
        </w:rPr>
        <w:t>النسب</w:t>
      </w:r>
      <w:r w:rsidR="00EC7EDF" w:rsidRPr="00FD211F">
        <w:rPr>
          <w:sz w:val="36"/>
          <w:szCs w:val="36"/>
          <w:rtl/>
        </w:rPr>
        <w:t>ة</w:t>
      </w:r>
      <w:r w:rsidR="00E8128F">
        <w:rPr>
          <w:sz w:val="36"/>
          <w:szCs w:val="36"/>
          <w:rtl/>
        </w:rPr>
        <w:t xml:space="preserve"> </w:t>
      </w:r>
      <w:r w:rsidR="00773C8B" w:rsidRPr="00FD211F">
        <w:rPr>
          <w:sz w:val="36"/>
          <w:szCs w:val="36"/>
          <w:rtl/>
        </w:rPr>
        <w:t>دون</w:t>
      </w:r>
      <w:r w:rsidR="00E8128F">
        <w:rPr>
          <w:sz w:val="36"/>
          <w:szCs w:val="36"/>
          <w:rtl/>
        </w:rPr>
        <w:t xml:space="preserve"> </w:t>
      </w:r>
      <w:r w:rsidR="00773C8B" w:rsidRPr="00FD211F">
        <w:rPr>
          <w:sz w:val="36"/>
          <w:szCs w:val="36"/>
          <w:rtl/>
        </w:rPr>
        <w:t>الذات</w:t>
      </w:r>
      <w:r w:rsidR="00E8128F">
        <w:rPr>
          <w:sz w:val="36"/>
          <w:szCs w:val="36"/>
          <w:rtl/>
        </w:rPr>
        <w:t xml:space="preserve"> </w:t>
      </w:r>
      <w:r w:rsidR="00773C8B" w:rsidRPr="00FD211F">
        <w:rPr>
          <w:sz w:val="36"/>
          <w:szCs w:val="36"/>
          <w:rtl/>
        </w:rPr>
        <w:t>فيصير</w:t>
      </w:r>
      <w:r w:rsidR="00E8128F">
        <w:rPr>
          <w:sz w:val="36"/>
          <w:szCs w:val="36"/>
          <w:rtl/>
        </w:rPr>
        <w:t xml:space="preserve"> </w:t>
      </w:r>
      <w:r w:rsidR="00773C8B" w:rsidRPr="00FD211F">
        <w:rPr>
          <w:sz w:val="36"/>
          <w:szCs w:val="36"/>
          <w:rtl/>
        </w:rPr>
        <w:t>معنى</w:t>
      </w:r>
      <w:r w:rsidR="00E8128F">
        <w:rPr>
          <w:sz w:val="36"/>
          <w:szCs w:val="36"/>
          <w:rtl/>
        </w:rPr>
        <w:t xml:space="preserve"> </w:t>
      </w:r>
      <w:r w:rsidR="00773C8B" w:rsidRPr="00FD211F">
        <w:rPr>
          <w:sz w:val="36"/>
          <w:szCs w:val="36"/>
          <w:rtl/>
        </w:rPr>
        <w:t>المشتق</w:t>
      </w:r>
      <w:r w:rsidR="00E8128F">
        <w:rPr>
          <w:sz w:val="36"/>
          <w:szCs w:val="36"/>
          <w:rtl/>
        </w:rPr>
        <w:t xml:space="preserve"> </w:t>
      </w:r>
      <w:r w:rsidR="00773C8B" w:rsidRPr="00FD211F">
        <w:rPr>
          <w:sz w:val="36"/>
          <w:szCs w:val="36"/>
          <w:rtl/>
        </w:rPr>
        <w:t>غير</w:t>
      </w:r>
      <w:r w:rsidR="00E8128F">
        <w:rPr>
          <w:sz w:val="36"/>
          <w:szCs w:val="36"/>
          <w:rtl/>
        </w:rPr>
        <w:t xml:space="preserve"> </w:t>
      </w:r>
      <w:r w:rsidR="00773C8B" w:rsidRPr="00FD211F">
        <w:rPr>
          <w:sz w:val="36"/>
          <w:szCs w:val="36"/>
          <w:rtl/>
        </w:rPr>
        <w:t>مستقل</w:t>
      </w:r>
      <w:r w:rsidR="00E8128F">
        <w:rPr>
          <w:sz w:val="36"/>
          <w:szCs w:val="36"/>
          <w:rtl/>
        </w:rPr>
        <w:t xml:space="preserve"> </w:t>
      </w:r>
      <w:r w:rsidR="00773C8B" w:rsidRPr="00FD211F">
        <w:rPr>
          <w:sz w:val="36"/>
          <w:szCs w:val="36"/>
          <w:rtl/>
        </w:rPr>
        <w:t>في</w:t>
      </w:r>
      <w:r w:rsidR="00E8128F">
        <w:rPr>
          <w:sz w:val="36"/>
          <w:szCs w:val="36"/>
          <w:rtl/>
        </w:rPr>
        <w:t xml:space="preserve"> </w:t>
      </w:r>
      <w:r w:rsidR="00773C8B" w:rsidRPr="00FD211F">
        <w:rPr>
          <w:sz w:val="36"/>
          <w:szCs w:val="36"/>
          <w:rtl/>
        </w:rPr>
        <w:t>المفهومي</w:t>
      </w:r>
      <w:r w:rsidR="00EC7EDF" w:rsidRPr="00FD211F">
        <w:rPr>
          <w:sz w:val="36"/>
          <w:szCs w:val="36"/>
          <w:rtl/>
        </w:rPr>
        <w:t>ة</w:t>
      </w:r>
      <w:r w:rsidR="00E8128F">
        <w:rPr>
          <w:sz w:val="36"/>
          <w:szCs w:val="36"/>
          <w:rtl/>
        </w:rPr>
        <w:t xml:space="preserve"> </w:t>
      </w:r>
      <w:r w:rsidR="00773C8B" w:rsidRPr="00FD211F">
        <w:rPr>
          <w:sz w:val="36"/>
          <w:szCs w:val="36"/>
          <w:rtl/>
        </w:rPr>
        <w:t>وهو</w:t>
      </w:r>
      <w:r w:rsidR="00E8128F">
        <w:rPr>
          <w:sz w:val="36"/>
          <w:szCs w:val="36"/>
          <w:rtl/>
        </w:rPr>
        <w:t xml:space="preserve"> </w:t>
      </w:r>
      <w:r w:rsidR="00773C8B" w:rsidRPr="00FD211F">
        <w:rPr>
          <w:sz w:val="36"/>
          <w:szCs w:val="36"/>
          <w:rtl/>
        </w:rPr>
        <w:t>خلاف</w:t>
      </w:r>
      <w:r w:rsidR="00E8128F">
        <w:rPr>
          <w:sz w:val="36"/>
          <w:szCs w:val="36"/>
          <w:rtl/>
        </w:rPr>
        <w:t xml:space="preserve"> </w:t>
      </w:r>
      <w:r w:rsidR="00773C8B" w:rsidRPr="00FD211F">
        <w:rPr>
          <w:sz w:val="36"/>
          <w:szCs w:val="36"/>
          <w:rtl/>
        </w:rPr>
        <w:t>الوجدان</w:t>
      </w:r>
      <w:r w:rsidR="00603323" w:rsidRPr="00FD211F">
        <w:rPr>
          <w:sz w:val="36"/>
          <w:szCs w:val="36"/>
          <w:rtl/>
        </w:rPr>
        <w:t>،</w:t>
      </w:r>
      <w:r w:rsidR="00E8128F">
        <w:rPr>
          <w:sz w:val="36"/>
          <w:szCs w:val="36"/>
          <w:rtl/>
        </w:rPr>
        <w:t xml:space="preserve"> </w:t>
      </w:r>
      <w:r w:rsidR="00773C8B" w:rsidRPr="00FD211F">
        <w:rPr>
          <w:sz w:val="36"/>
          <w:szCs w:val="36"/>
          <w:rtl/>
        </w:rPr>
        <w:t>والا</w:t>
      </w:r>
      <w:r w:rsidR="00E8128F">
        <w:rPr>
          <w:sz w:val="36"/>
          <w:szCs w:val="36"/>
          <w:rtl/>
        </w:rPr>
        <w:t xml:space="preserve"> </w:t>
      </w:r>
      <w:r w:rsidR="00773C8B" w:rsidRPr="00FD211F">
        <w:rPr>
          <w:sz w:val="36"/>
          <w:szCs w:val="36"/>
          <w:rtl/>
        </w:rPr>
        <w:t>فيمكن</w:t>
      </w:r>
      <w:r w:rsidR="00E8128F">
        <w:rPr>
          <w:sz w:val="36"/>
          <w:szCs w:val="36"/>
          <w:rtl/>
        </w:rPr>
        <w:t xml:space="preserve"> </w:t>
      </w:r>
      <w:r w:rsidR="00773C8B" w:rsidRPr="00FD211F">
        <w:rPr>
          <w:sz w:val="36"/>
          <w:szCs w:val="36"/>
          <w:rtl/>
        </w:rPr>
        <w:t>ان</w:t>
      </w:r>
      <w:r w:rsidR="00E8128F">
        <w:rPr>
          <w:sz w:val="36"/>
          <w:szCs w:val="36"/>
          <w:rtl/>
        </w:rPr>
        <w:t xml:space="preserve"> </w:t>
      </w:r>
      <w:r w:rsidRPr="00FD211F">
        <w:rPr>
          <w:sz w:val="36"/>
          <w:szCs w:val="36"/>
          <w:rtl/>
        </w:rPr>
        <w:t>يورد</w:t>
      </w:r>
      <w:r w:rsidR="00E8128F">
        <w:rPr>
          <w:sz w:val="36"/>
          <w:szCs w:val="36"/>
          <w:rtl/>
        </w:rPr>
        <w:t xml:space="preserve"> </w:t>
      </w:r>
      <w:r w:rsidRPr="00FD211F">
        <w:rPr>
          <w:sz w:val="36"/>
          <w:szCs w:val="36"/>
          <w:rtl/>
        </w:rPr>
        <w:t>عليه</w:t>
      </w:r>
      <w:r w:rsidR="00E8128F">
        <w:rPr>
          <w:sz w:val="36"/>
          <w:szCs w:val="36"/>
          <w:rtl/>
        </w:rPr>
        <w:t xml:space="preserve"> </w:t>
      </w:r>
      <w:r w:rsidR="00773C8B" w:rsidRPr="00FD211F">
        <w:rPr>
          <w:sz w:val="36"/>
          <w:szCs w:val="36"/>
          <w:rtl/>
        </w:rPr>
        <w:t>-</w:t>
      </w:r>
      <w:r w:rsidRPr="00FD211F">
        <w:rPr>
          <w:sz w:val="36"/>
          <w:szCs w:val="36"/>
          <w:rtl/>
        </w:rPr>
        <w:t>كما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w:t>
      </w:r>
      <w:r w:rsidR="00AE12CE" w:rsidRPr="00FD211F">
        <w:rPr>
          <w:sz w:val="36"/>
          <w:szCs w:val="36"/>
          <w:rtl/>
        </w:rPr>
        <w:t>ئي</w:t>
      </w:r>
      <w:r w:rsidR="00E8128F">
        <w:rPr>
          <w:sz w:val="36"/>
          <w:szCs w:val="36"/>
          <w:rtl/>
        </w:rPr>
        <w:t xml:space="preserve"> </w:t>
      </w:r>
      <w:r w:rsidR="0046762F" w:rsidRPr="00FD211F">
        <w:rPr>
          <w:sz w:val="36"/>
          <w:szCs w:val="36"/>
          <w:rtl/>
        </w:rPr>
        <w:t>"</w:t>
      </w:r>
      <w:r w:rsidR="00AE12CE" w:rsidRPr="00FD211F">
        <w:rPr>
          <w:sz w:val="36"/>
          <w:szCs w:val="36"/>
          <w:rtl/>
        </w:rPr>
        <w:t>قده</w:t>
      </w:r>
      <w:r w:rsidR="0046762F" w:rsidRPr="00FD211F">
        <w:rPr>
          <w:sz w:val="36"/>
          <w:szCs w:val="36"/>
          <w:rtl/>
        </w:rPr>
        <w:t>"</w:t>
      </w:r>
      <w:r w:rsidR="00E8128F">
        <w:rPr>
          <w:sz w:val="36"/>
          <w:szCs w:val="36"/>
          <w:rtl/>
        </w:rPr>
        <w:t xml:space="preserve"> </w:t>
      </w:r>
      <w:r w:rsidR="00AE12CE" w:rsidRPr="00FD211F">
        <w:rPr>
          <w:sz w:val="36"/>
          <w:szCs w:val="36"/>
          <w:rtl/>
        </w:rPr>
        <w:t>في</w:t>
      </w:r>
      <w:r w:rsidR="00E8128F">
        <w:rPr>
          <w:sz w:val="36"/>
          <w:szCs w:val="36"/>
          <w:rtl/>
        </w:rPr>
        <w:t xml:space="preserve"> </w:t>
      </w:r>
      <w:r w:rsidR="00AE12CE" w:rsidRPr="00FD211F">
        <w:rPr>
          <w:sz w:val="36"/>
          <w:szCs w:val="36"/>
          <w:rtl/>
        </w:rPr>
        <w:t>تعليق</w:t>
      </w:r>
      <w:r w:rsidR="00EC7EDF" w:rsidRPr="00FD211F">
        <w:rPr>
          <w:sz w:val="36"/>
          <w:szCs w:val="36"/>
          <w:rtl/>
        </w:rPr>
        <w:t>ة</w:t>
      </w:r>
      <w:r w:rsidR="00E8128F">
        <w:rPr>
          <w:sz w:val="36"/>
          <w:szCs w:val="36"/>
          <w:rtl/>
        </w:rPr>
        <w:t xml:space="preserve"> </w:t>
      </w:r>
      <w:r w:rsidR="00AE12CE" w:rsidRPr="00FD211F">
        <w:rPr>
          <w:sz w:val="36"/>
          <w:szCs w:val="36"/>
          <w:rtl/>
        </w:rPr>
        <w:t>اجود</w:t>
      </w:r>
      <w:r w:rsidR="00E8128F">
        <w:rPr>
          <w:sz w:val="36"/>
          <w:szCs w:val="36"/>
          <w:rtl/>
        </w:rPr>
        <w:t xml:space="preserve"> </w:t>
      </w:r>
      <w:r w:rsidR="00AE12CE" w:rsidRPr="00FD211F">
        <w:rPr>
          <w:sz w:val="36"/>
          <w:szCs w:val="36"/>
          <w:rtl/>
        </w:rPr>
        <w:t>التقريرات</w:t>
      </w:r>
      <w:r w:rsidR="00773C8B" w:rsidRPr="00FD211F">
        <w:rPr>
          <w:sz w:val="36"/>
          <w:szCs w:val="36"/>
          <w:rtl/>
        </w:rPr>
        <w:t>-</w:t>
      </w:r>
      <w:r w:rsidR="00E8128F">
        <w:rPr>
          <w:sz w:val="36"/>
          <w:szCs w:val="36"/>
          <w:rtl/>
        </w:rPr>
        <w:t xml:space="preserve"> </w:t>
      </w:r>
      <w:r w:rsidRPr="00FD211F">
        <w:rPr>
          <w:sz w:val="36"/>
          <w:szCs w:val="36"/>
          <w:rtl/>
        </w:rPr>
        <w:t>بان</w:t>
      </w:r>
      <w:r w:rsidR="00E8128F">
        <w:rPr>
          <w:sz w:val="36"/>
          <w:szCs w:val="36"/>
          <w:rtl/>
        </w:rPr>
        <w:t xml:space="preserve"> </w:t>
      </w:r>
      <w:r w:rsidR="00CD0BED" w:rsidRPr="00FD211F">
        <w:rPr>
          <w:sz w:val="36"/>
          <w:szCs w:val="36"/>
          <w:rtl/>
        </w:rPr>
        <w:t>عدم</w:t>
      </w:r>
      <w:r w:rsidR="00E8128F">
        <w:rPr>
          <w:sz w:val="36"/>
          <w:szCs w:val="36"/>
          <w:rtl/>
        </w:rPr>
        <w:t xml:space="preserve"> </w:t>
      </w:r>
      <w:r w:rsidR="00CD0BED" w:rsidRPr="00FD211F">
        <w:rPr>
          <w:sz w:val="36"/>
          <w:szCs w:val="36"/>
          <w:rtl/>
        </w:rPr>
        <w:t>دلال</w:t>
      </w:r>
      <w:r w:rsidR="00EC7EDF" w:rsidRPr="00FD211F">
        <w:rPr>
          <w:sz w:val="36"/>
          <w:szCs w:val="36"/>
          <w:rtl/>
        </w:rPr>
        <w:t>ة</w:t>
      </w:r>
      <w:r w:rsidR="00E8128F">
        <w:rPr>
          <w:sz w:val="36"/>
          <w:szCs w:val="36"/>
          <w:rtl/>
        </w:rPr>
        <w:t xml:space="preserve"> </w:t>
      </w:r>
      <w:r w:rsidR="00CD0BED" w:rsidRPr="00FD211F">
        <w:rPr>
          <w:sz w:val="36"/>
          <w:szCs w:val="36"/>
          <w:rtl/>
        </w:rPr>
        <w:t>اللفظ</w:t>
      </w:r>
      <w:r w:rsidR="00E8128F">
        <w:rPr>
          <w:sz w:val="36"/>
          <w:szCs w:val="36"/>
          <w:rtl/>
        </w:rPr>
        <w:t xml:space="preserve"> </w:t>
      </w:r>
      <w:r w:rsidR="00CD0BED" w:rsidRPr="00FD211F">
        <w:rPr>
          <w:sz w:val="36"/>
          <w:szCs w:val="36"/>
          <w:rtl/>
        </w:rPr>
        <w:t>على</w:t>
      </w:r>
      <w:r w:rsidR="00E8128F">
        <w:rPr>
          <w:sz w:val="36"/>
          <w:szCs w:val="36"/>
          <w:rtl/>
        </w:rPr>
        <w:t xml:space="preserve"> </w:t>
      </w:r>
      <w:r w:rsidR="00AE12CE" w:rsidRPr="00FD211F">
        <w:rPr>
          <w:sz w:val="36"/>
          <w:szCs w:val="36"/>
          <w:rtl/>
        </w:rPr>
        <w:t>طرف</w:t>
      </w:r>
      <w:r w:rsidR="00E8128F">
        <w:rPr>
          <w:sz w:val="36"/>
          <w:szCs w:val="36"/>
          <w:rtl/>
        </w:rPr>
        <w:t xml:space="preserve"> </w:t>
      </w:r>
      <w:r w:rsidR="00CD0BED" w:rsidRPr="00FD211F">
        <w:rPr>
          <w:sz w:val="36"/>
          <w:szCs w:val="36"/>
          <w:rtl/>
        </w:rPr>
        <w:t>النسب</w:t>
      </w:r>
      <w:r w:rsidR="00EC7EDF" w:rsidRPr="00FD211F">
        <w:rPr>
          <w:sz w:val="36"/>
          <w:szCs w:val="36"/>
          <w:rtl/>
        </w:rPr>
        <w:t>ة</w:t>
      </w:r>
      <w:r w:rsidR="00E8128F">
        <w:rPr>
          <w:sz w:val="36"/>
          <w:szCs w:val="36"/>
          <w:rtl/>
        </w:rPr>
        <w:t xml:space="preserve"> </w:t>
      </w:r>
      <w:r w:rsidR="00CD0BED" w:rsidRPr="00FD211F">
        <w:rPr>
          <w:sz w:val="36"/>
          <w:szCs w:val="36"/>
          <w:rtl/>
        </w:rPr>
        <w:t>لايستلزم</w:t>
      </w:r>
      <w:r w:rsidR="00E8128F">
        <w:rPr>
          <w:sz w:val="36"/>
          <w:szCs w:val="36"/>
          <w:rtl/>
        </w:rPr>
        <w:t xml:space="preserve"> </w:t>
      </w:r>
      <w:r w:rsidR="00CD0BED" w:rsidRPr="00FD211F">
        <w:rPr>
          <w:sz w:val="36"/>
          <w:szCs w:val="36"/>
          <w:rtl/>
        </w:rPr>
        <w:t>انعدامه</w:t>
      </w:r>
      <w:r w:rsidR="00E8128F">
        <w:rPr>
          <w:sz w:val="36"/>
          <w:szCs w:val="36"/>
          <w:rtl/>
        </w:rPr>
        <w:t xml:space="preserve"> </w:t>
      </w:r>
      <w:r w:rsidR="00CD0BED" w:rsidRPr="00FD211F">
        <w:rPr>
          <w:sz w:val="36"/>
          <w:szCs w:val="36"/>
          <w:rtl/>
        </w:rPr>
        <w:t>في</w:t>
      </w:r>
      <w:r w:rsidR="00E8128F">
        <w:rPr>
          <w:sz w:val="36"/>
          <w:szCs w:val="36"/>
          <w:rtl/>
        </w:rPr>
        <w:t xml:space="preserve"> </w:t>
      </w:r>
      <w:r w:rsidR="00CD0BED" w:rsidRPr="00FD211F">
        <w:rPr>
          <w:sz w:val="36"/>
          <w:szCs w:val="36"/>
          <w:rtl/>
        </w:rPr>
        <w:t>نفسه</w:t>
      </w:r>
      <w:r w:rsidR="00603323" w:rsidRPr="00FD211F">
        <w:rPr>
          <w:sz w:val="36"/>
          <w:szCs w:val="36"/>
          <w:rtl/>
        </w:rPr>
        <w:t>،</w:t>
      </w:r>
      <w:r w:rsidR="00E8128F">
        <w:rPr>
          <w:sz w:val="36"/>
          <w:szCs w:val="36"/>
          <w:rtl/>
        </w:rPr>
        <w:t xml:space="preserve"> </w:t>
      </w:r>
      <w:r w:rsidRPr="00FD211F">
        <w:rPr>
          <w:sz w:val="36"/>
          <w:szCs w:val="36"/>
          <w:rtl/>
        </w:rPr>
        <w:t>كيف</w:t>
      </w:r>
      <w:r w:rsidR="00E8128F">
        <w:rPr>
          <w:sz w:val="36"/>
          <w:szCs w:val="36"/>
          <w:rtl/>
        </w:rPr>
        <w:t xml:space="preserve"> </w:t>
      </w:r>
      <w:r w:rsidRPr="00FD211F">
        <w:rPr>
          <w:sz w:val="36"/>
          <w:szCs w:val="36"/>
          <w:rtl/>
        </w:rPr>
        <w:t>والحروف</w:t>
      </w:r>
      <w:r w:rsidR="00E8128F">
        <w:rPr>
          <w:sz w:val="36"/>
          <w:szCs w:val="36"/>
          <w:rtl/>
        </w:rPr>
        <w:t xml:space="preserve"> </w:t>
      </w:r>
      <w:r w:rsidRPr="00FD211F">
        <w:rPr>
          <w:sz w:val="36"/>
          <w:szCs w:val="36"/>
          <w:rtl/>
        </w:rPr>
        <w:t>النسبي</w:t>
      </w:r>
      <w:r w:rsidR="00EC7EDF" w:rsidRPr="00FD211F">
        <w:rPr>
          <w:sz w:val="36"/>
          <w:szCs w:val="36"/>
          <w:rtl/>
        </w:rPr>
        <w:t>ة</w:t>
      </w:r>
      <w:r w:rsidR="00E8128F">
        <w:rPr>
          <w:sz w:val="36"/>
          <w:szCs w:val="36"/>
          <w:rtl/>
        </w:rPr>
        <w:t xml:space="preserve"> </w:t>
      </w:r>
      <w:r w:rsidRPr="00FD211F">
        <w:rPr>
          <w:sz w:val="36"/>
          <w:szCs w:val="36"/>
          <w:rtl/>
        </w:rPr>
        <w:t>لاتدل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اطرافها</w:t>
      </w:r>
      <w:r w:rsidR="00E8128F">
        <w:rPr>
          <w:sz w:val="36"/>
          <w:szCs w:val="36"/>
          <w:rtl/>
        </w:rPr>
        <w:t xml:space="preserve"> </w:t>
      </w:r>
      <w:r w:rsidRPr="00FD211F">
        <w:rPr>
          <w:sz w:val="36"/>
          <w:szCs w:val="36"/>
          <w:rtl/>
        </w:rPr>
        <w:t>بنفسها</w:t>
      </w:r>
      <w:r w:rsidR="00E8128F">
        <w:rPr>
          <w:sz w:val="36"/>
          <w:szCs w:val="36"/>
          <w:rtl/>
        </w:rPr>
        <w:t xml:space="preserve"> </w:t>
      </w:r>
      <w:r w:rsidRPr="00FD211F">
        <w:rPr>
          <w:sz w:val="36"/>
          <w:szCs w:val="36"/>
          <w:rtl/>
        </w:rPr>
        <w:t>و</w:t>
      </w:r>
      <w:r w:rsidR="00CD0BED" w:rsidRPr="00FD211F">
        <w:rPr>
          <w:sz w:val="36"/>
          <w:szCs w:val="36"/>
          <w:rtl/>
        </w:rPr>
        <w:t>ت</w:t>
      </w:r>
      <w:r w:rsidRPr="00FD211F">
        <w:rPr>
          <w:sz w:val="36"/>
          <w:szCs w:val="36"/>
          <w:rtl/>
        </w:rPr>
        <w:t>حتاج</w:t>
      </w:r>
      <w:r w:rsidR="00E8128F">
        <w:rPr>
          <w:sz w:val="36"/>
          <w:szCs w:val="36"/>
          <w:rtl/>
        </w:rPr>
        <w:t xml:space="preserve"> </w:t>
      </w:r>
      <w:r w:rsidRPr="00FD211F">
        <w:rPr>
          <w:sz w:val="36"/>
          <w:szCs w:val="36"/>
          <w:rtl/>
        </w:rPr>
        <w:t>في</w:t>
      </w:r>
      <w:r w:rsidR="00E8128F">
        <w:rPr>
          <w:sz w:val="36"/>
          <w:szCs w:val="36"/>
          <w:rtl/>
        </w:rPr>
        <w:t xml:space="preserve"> </w:t>
      </w:r>
      <w:r w:rsidR="00260DCE" w:rsidRPr="00FD211F">
        <w:rPr>
          <w:sz w:val="36"/>
          <w:szCs w:val="36"/>
          <w:rtl/>
        </w:rPr>
        <w:t>الدلال</w:t>
      </w:r>
      <w:r w:rsidR="00EC7EDF" w:rsidRPr="00FD211F">
        <w:rPr>
          <w:sz w:val="36"/>
          <w:szCs w:val="36"/>
          <w:rtl/>
        </w:rPr>
        <w:t>ة</w:t>
      </w:r>
      <w:r w:rsidR="00E8128F">
        <w:rPr>
          <w:sz w:val="36"/>
          <w:szCs w:val="36"/>
          <w:rtl/>
        </w:rPr>
        <w:t xml:space="preserve"> </w:t>
      </w:r>
      <w:r w:rsidR="00260DCE" w:rsidRPr="00FD211F">
        <w:rPr>
          <w:sz w:val="36"/>
          <w:szCs w:val="36"/>
          <w:rtl/>
        </w:rPr>
        <w:t>عليها</w:t>
      </w:r>
      <w:r w:rsidR="00E8128F">
        <w:rPr>
          <w:sz w:val="36"/>
          <w:szCs w:val="36"/>
          <w:rtl/>
        </w:rPr>
        <w:t xml:space="preserve"> </w:t>
      </w:r>
      <w:r w:rsidR="00260DCE" w:rsidRPr="00FD211F">
        <w:rPr>
          <w:sz w:val="36"/>
          <w:szCs w:val="36"/>
          <w:rtl/>
        </w:rPr>
        <w:t>الى</w:t>
      </w:r>
      <w:r w:rsidR="00E8128F">
        <w:rPr>
          <w:sz w:val="36"/>
          <w:szCs w:val="36"/>
          <w:rtl/>
        </w:rPr>
        <w:t xml:space="preserve"> </w:t>
      </w:r>
      <w:r w:rsidR="00260DCE" w:rsidRPr="00FD211F">
        <w:rPr>
          <w:sz w:val="36"/>
          <w:szCs w:val="36"/>
          <w:rtl/>
        </w:rPr>
        <w:t>دال</w:t>
      </w:r>
      <w:r w:rsidR="00E8128F">
        <w:rPr>
          <w:sz w:val="36"/>
          <w:szCs w:val="36"/>
          <w:rtl/>
        </w:rPr>
        <w:t xml:space="preserve"> </w:t>
      </w:r>
      <w:r w:rsidR="00260DCE" w:rsidRPr="00FD211F">
        <w:rPr>
          <w:sz w:val="36"/>
          <w:szCs w:val="36"/>
          <w:rtl/>
        </w:rPr>
        <w:t>آخر.</w:t>
      </w:r>
    </w:p>
    <w:p w14:paraId="2004EC41" w14:textId="77777777" w:rsidR="0040555A" w:rsidRPr="00FD211F" w:rsidRDefault="00FC560D" w:rsidP="009C58C8">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وقد</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ان</w:t>
      </w:r>
      <w:r w:rsidR="00E8128F">
        <w:rPr>
          <w:sz w:val="36"/>
          <w:szCs w:val="36"/>
          <w:rtl/>
        </w:rPr>
        <w:t xml:space="preserve"> </w:t>
      </w:r>
      <w:r w:rsidR="0040555A" w:rsidRPr="00FD211F">
        <w:rPr>
          <w:sz w:val="36"/>
          <w:szCs w:val="36"/>
          <w:rtl/>
        </w:rPr>
        <w:t>مجرد</w:t>
      </w:r>
      <w:r w:rsidR="00E8128F">
        <w:rPr>
          <w:sz w:val="36"/>
          <w:szCs w:val="36"/>
          <w:rtl/>
        </w:rPr>
        <w:t xml:space="preserve"> </w:t>
      </w:r>
      <w:r w:rsidR="0040555A" w:rsidRPr="00FD211F">
        <w:rPr>
          <w:sz w:val="36"/>
          <w:szCs w:val="36"/>
          <w:rtl/>
        </w:rPr>
        <w:t>كون</w:t>
      </w:r>
      <w:r w:rsidR="00E8128F">
        <w:rPr>
          <w:sz w:val="36"/>
          <w:szCs w:val="36"/>
          <w:rtl/>
        </w:rPr>
        <w:t xml:space="preserve"> </w:t>
      </w:r>
      <w:r w:rsidR="0040555A" w:rsidRPr="00FD211F">
        <w:rPr>
          <w:sz w:val="36"/>
          <w:szCs w:val="36"/>
          <w:rtl/>
        </w:rPr>
        <w:t>الدال</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الذات</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هي</w:t>
      </w:r>
      <w:r w:rsidR="00E8128F">
        <w:rPr>
          <w:sz w:val="36"/>
          <w:szCs w:val="36"/>
          <w:rtl/>
        </w:rPr>
        <w:t xml:space="preserve"> </w:t>
      </w:r>
      <w:r w:rsidRPr="00FD211F">
        <w:rPr>
          <w:sz w:val="36"/>
          <w:szCs w:val="36"/>
          <w:rtl/>
        </w:rPr>
        <w:t>طرف</w:t>
      </w:r>
      <w:r w:rsidR="00E8128F">
        <w:rPr>
          <w:sz w:val="36"/>
          <w:szCs w:val="36"/>
          <w:rtl/>
        </w:rPr>
        <w:t xml:space="preserve"> </w:t>
      </w:r>
      <w:r w:rsidR="0040555A" w:rsidRPr="00FD211F">
        <w:rPr>
          <w:sz w:val="36"/>
          <w:szCs w:val="36"/>
          <w:rtl/>
        </w:rPr>
        <w:t>للنسب</w:t>
      </w:r>
      <w:r w:rsidR="00EC7EDF" w:rsidRPr="00FD211F">
        <w:rPr>
          <w:sz w:val="36"/>
          <w:szCs w:val="36"/>
          <w:rtl/>
        </w:rPr>
        <w:t>ة</w:t>
      </w:r>
      <w:r w:rsidR="00E8128F">
        <w:rPr>
          <w:sz w:val="36"/>
          <w:szCs w:val="36"/>
          <w:rtl/>
        </w:rPr>
        <w:t xml:space="preserve"> </w:t>
      </w:r>
      <w:r w:rsidR="008D7B3D" w:rsidRPr="00FD211F">
        <w:rPr>
          <w:sz w:val="36"/>
          <w:szCs w:val="36"/>
          <w:rtl/>
        </w:rPr>
        <w:t>شيء</w:t>
      </w:r>
      <w:r w:rsidR="00E8128F">
        <w:rPr>
          <w:sz w:val="36"/>
          <w:szCs w:val="36"/>
          <w:rtl/>
        </w:rPr>
        <w:t xml:space="preserve"> </w:t>
      </w:r>
      <w:r w:rsidRPr="00FD211F">
        <w:rPr>
          <w:sz w:val="36"/>
          <w:szCs w:val="36"/>
          <w:rtl/>
        </w:rPr>
        <w:t>آخر</w:t>
      </w:r>
      <w:r w:rsidR="00E8128F">
        <w:rPr>
          <w:sz w:val="36"/>
          <w:szCs w:val="36"/>
          <w:rtl/>
        </w:rPr>
        <w:t xml:space="preserve"> </w:t>
      </w:r>
      <w:r w:rsidR="0040555A" w:rsidRPr="00FD211F">
        <w:rPr>
          <w:sz w:val="36"/>
          <w:szCs w:val="36"/>
          <w:rtl/>
        </w:rPr>
        <w:t>غير</w:t>
      </w:r>
      <w:r w:rsidR="00E8128F">
        <w:rPr>
          <w:sz w:val="36"/>
          <w:szCs w:val="36"/>
          <w:rtl/>
        </w:rPr>
        <w:t xml:space="preserve"> </w:t>
      </w:r>
      <w:r w:rsidR="0040555A" w:rsidRPr="00FD211F">
        <w:rPr>
          <w:sz w:val="36"/>
          <w:szCs w:val="36"/>
          <w:rtl/>
        </w:rPr>
        <w:t>المشتق</w:t>
      </w:r>
      <w:r w:rsidR="00E8128F">
        <w:rPr>
          <w:sz w:val="36"/>
          <w:szCs w:val="36"/>
          <w:rtl/>
        </w:rPr>
        <w:t xml:space="preserve"> </w:t>
      </w:r>
      <w:r w:rsidR="00DF09F9" w:rsidRPr="00FD211F">
        <w:rPr>
          <w:sz w:val="36"/>
          <w:szCs w:val="36"/>
          <w:rtl/>
        </w:rPr>
        <w:t>لايوجب</w:t>
      </w:r>
      <w:r w:rsidR="00E8128F">
        <w:rPr>
          <w:sz w:val="36"/>
          <w:szCs w:val="36"/>
          <w:rtl/>
        </w:rPr>
        <w:t xml:space="preserve"> </w:t>
      </w:r>
      <w:r w:rsidR="00DF09F9" w:rsidRPr="00FD211F">
        <w:rPr>
          <w:sz w:val="36"/>
          <w:szCs w:val="36"/>
          <w:rtl/>
        </w:rPr>
        <w:t>التخلص</w:t>
      </w:r>
      <w:r w:rsidR="00E8128F">
        <w:rPr>
          <w:sz w:val="36"/>
          <w:szCs w:val="36"/>
          <w:rtl/>
        </w:rPr>
        <w:t xml:space="preserve"> </w:t>
      </w:r>
      <w:r w:rsidR="00DF09F9" w:rsidRPr="00FD211F">
        <w:rPr>
          <w:sz w:val="36"/>
          <w:szCs w:val="36"/>
          <w:rtl/>
        </w:rPr>
        <w:t>من</w:t>
      </w:r>
      <w:r w:rsidR="00E8128F">
        <w:rPr>
          <w:sz w:val="36"/>
          <w:szCs w:val="36"/>
          <w:rtl/>
        </w:rPr>
        <w:t xml:space="preserve"> </w:t>
      </w:r>
      <w:r w:rsidR="00DF09F9" w:rsidRPr="00FD211F">
        <w:rPr>
          <w:sz w:val="36"/>
          <w:szCs w:val="36"/>
          <w:rtl/>
        </w:rPr>
        <w:t>الاشكالات</w:t>
      </w:r>
      <w:r w:rsidR="00E8128F">
        <w:rPr>
          <w:sz w:val="36"/>
          <w:szCs w:val="36"/>
          <w:rtl/>
        </w:rPr>
        <w:t xml:space="preserve"> </w:t>
      </w:r>
      <w:r w:rsidR="00DF09F9" w:rsidRPr="00FD211F">
        <w:rPr>
          <w:sz w:val="36"/>
          <w:szCs w:val="36"/>
          <w:rtl/>
        </w:rPr>
        <w:t>التي</w:t>
      </w:r>
      <w:r w:rsidR="00E8128F">
        <w:rPr>
          <w:sz w:val="36"/>
          <w:szCs w:val="36"/>
          <w:rtl/>
        </w:rPr>
        <w:t xml:space="preserve"> </w:t>
      </w:r>
      <w:r w:rsidR="00DF09F9" w:rsidRPr="00FD211F">
        <w:rPr>
          <w:sz w:val="36"/>
          <w:szCs w:val="36"/>
          <w:rtl/>
        </w:rPr>
        <w:t>اوردها</w:t>
      </w:r>
      <w:r w:rsidR="00E8128F">
        <w:rPr>
          <w:sz w:val="36"/>
          <w:szCs w:val="36"/>
          <w:rtl/>
        </w:rPr>
        <w:t xml:space="preserve"> </w:t>
      </w:r>
      <w:r w:rsidR="00DF09F9" w:rsidRPr="00FD211F">
        <w:rPr>
          <w:sz w:val="36"/>
          <w:szCs w:val="36"/>
          <w:rtl/>
        </w:rPr>
        <w:t>المحقق</w:t>
      </w:r>
      <w:r w:rsidR="00E8128F">
        <w:rPr>
          <w:sz w:val="36"/>
          <w:szCs w:val="36"/>
          <w:rtl/>
        </w:rPr>
        <w:t xml:space="preserve"> </w:t>
      </w:r>
      <w:r w:rsidR="00DF09F9" w:rsidRPr="00FD211F">
        <w:rPr>
          <w:sz w:val="36"/>
          <w:szCs w:val="36"/>
          <w:rtl/>
        </w:rPr>
        <w:t>الشريف</w:t>
      </w:r>
      <w:r w:rsidR="00603323" w:rsidRPr="00FD211F">
        <w:rPr>
          <w:sz w:val="36"/>
          <w:szCs w:val="36"/>
          <w:rtl/>
        </w:rPr>
        <w:t>،</w:t>
      </w:r>
      <w:r w:rsidR="00C17D0B" w:rsidRPr="00FD211F">
        <w:rPr>
          <w:rStyle w:val="a6"/>
          <w:sz w:val="36"/>
          <w:szCs w:val="36"/>
          <w:rtl/>
        </w:rPr>
        <w:t>(</w:t>
      </w:r>
      <w:r w:rsidR="00C17D0B" w:rsidRPr="00FD211F">
        <w:rPr>
          <w:rStyle w:val="a6"/>
          <w:sz w:val="36"/>
          <w:szCs w:val="36"/>
          <w:rtl/>
        </w:rPr>
        <w:footnoteReference w:id="579"/>
      </w:r>
      <w:r w:rsidR="00C17D0B" w:rsidRPr="00FD211F">
        <w:rPr>
          <w:rStyle w:val="a6"/>
          <w:sz w:val="36"/>
          <w:szCs w:val="36"/>
          <w:rtl/>
        </w:rPr>
        <w:t>)</w:t>
      </w:r>
      <w:r w:rsidR="00E8128F">
        <w:rPr>
          <w:sz w:val="36"/>
          <w:szCs w:val="36"/>
          <w:rtl/>
        </w:rPr>
        <w:t xml:space="preserve"> </w:t>
      </w:r>
      <w:r w:rsidR="00260DCE" w:rsidRPr="00FD211F">
        <w:rPr>
          <w:sz w:val="36"/>
          <w:szCs w:val="36"/>
          <w:rtl/>
        </w:rPr>
        <w:t>وفيه</w:t>
      </w:r>
      <w:r w:rsidR="00E8128F">
        <w:rPr>
          <w:sz w:val="36"/>
          <w:szCs w:val="36"/>
          <w:rtl/>
        </w:rPr>
        <w:t xml:space="preserve"> </w:t>
      </w:r>
      <w:r w:rsidR="00260DCE" w:rsidRPr="00FD211F">
        <w:rPr>
          <w:sz w:val="36"/>
          <w:szCs w:val="36"/>
          <w:rtl/>
        </w:rPr>
        <w:t>انه</w:t>
      </w:r>
      <w:r w:rsidR="00E8128F">
        <w:rPr>
          <w:sz w:val="36"/>
          <w:szCs w:val="36"/>
          <w:rtl/>
        </w:rPr>
        <w:t xml:space="preserve"> </w:t>
      </w:r>
      <w:r w:rsidR="005C6405" w:rsidRPr="00FD211F">
        <w:rPr>
          <w:sz w:val="36"/>
          <w:szCs w:val="36"/>
          <w:rtl/>
        </w:rPr>
        <w:t>يمكن</w:t>
      </w:r>
      <w:r w:rsidR="00E8128F">
        <w:rPr>
          <w:sz w:val="36"/>
          <w:szCs w:val="36"/>
          <w:rtl/>
        </w:rPr>
        <w:t xml:space="preserve"> </w:t>
      </w:r>
      <w:r w:rsidR="005C6405" w:rsidRPr="00FD211F">
        <w:rPr>
          <w:sz w:val="36"/>
          <w:szCs w:val="36"/>
          <w:rtl/>
        </w:rPr>
        <w:t>ان</w:t>
      </w:r>
      <w:r w:rsidR="00E8128F">
        <w:rPr>
          <w:sz w:val="36"/>
          <w:szCs w:val="36"/>
          <w:rtl/>
        </w:rPr>
        <w:t xml:space="preserve"> </w:t>
      </w:r>
      <w:r w:rsidR="005C6405" w:rsidRPr="00FD211F">
        <w:rPr>
          <w:sz w:val="36"/>
          <w:szCs w:val="36"/>
          <w:rtl/>
        </w:rPr>
        <w:t>يقال</w:t>
      </w:r>
      <w:r w:rsidR="00E8128F">
        <w:rPr>
          <w:sz w:val="36"/>
          <w:szCs w:val="36"/>
          <w:rtl/>
        </w:rPr>
        <w:t xml:space="preserve"> </w:t>
      </w:r>
      <w:r w:rsidR="005C6405" w:rsidRPr="00FD211F">
        <w:rPr>
          <w:sz w:val="36"/>
          <w:szCs w:val="36"/>
          <w:rtl/>
        </w:rPr>
        <w:t>ان</w:t>
      </w:r>
      <w:r w:rsidR="00E8128F">
        <w:rPr>
          <w:sz w:val="36"/>
          <w:szCs w:val="36"/>
          <w:rtl/>
        </w:rPr>
        <w:t xml:space="preserve"> </w:t>
      </w:r>
      <w:r w:rsidR="005C6405" w:rsidRPr="00FD211F">
        <w:rPr>
          <w:sz w:val="36"/>
          <w:szCs w:val="36"/>
          <w:rtl/>
        </w:rPr>
        <w:t>الفصل</w:t>
      </w:r>
      <w:r w:rsidR="00E8128F">
        <w:rPr>
          <w:sz w:val="36"/>
          <w:szCs w:val="36"/>
          <w:rtl/>
        </w:rPr>
        <w:t xml:space="preserve"> </w:t>
      </w:r>
      <w:r w:rsidR="005C6405" w:rsidRPr="00FD211F">
        <w:rPr>
          <w:sz w:val="36"/>
          <w:szCs w:val="36"/>
          <w:rtl/>
        </w:rPr>
        <w:t>لو</w:t>
      </w:r>
      <w:r w:rsidR="00E8128F">
        <w:rPr>
          <w:sz w:val="36"/>
          <w:szCs w:val="36"/>
          <w:rtl/>
        </w:rPr>
        <w:t xml:space="preserve"> </w:t>
      </w:r>
      <w:r w:rsidR="005C6405" w:rsidRPr="00FD211F">
        <w:rPr>
          <w:sz w:val="36"/>
          <w:szCs w:val="36"/>
          <w:rtl/>
        </w:rPr>
        <w:t>كان</w:t>
      </w:r>
      <w:r w:rsidR="00E8128F">
        <w:rPr>
          <w:sz w:val="36"/>
          <w:szCs w:val="36"/>
          <w:rtl/>
        </w:rPr>
        <w:t xml:space="preserve"> </w:t>
      </w:r>
      <w:r w:rsidR="005C6405" w:rsidRPr="00FD211F">
        <w:rPr>
          <w:sz w:val="36"/>
          <w:szCs w:val="36"/>
          <w:rtl/>
        </w:rPr>
        <w:t>هو</w:t>
      </w:r>
      <w:r w:rsidR="00E8128F">
        <w:rPr>
          <w:sz w:val="36"/>
          <w:szCs w:val="36"/>
          <w:rtl/>
        </w:rPr>
        <w:t xml:space="preserve"> </w:t>
      </w:r>
      <w:r w:rsidR="005C6405" w:rsidRPr="00FD211F">
        <w:rPr>
          <w:sz w:val="36"/>
          <w:szCs w:val="36"/>
          <w:rtl/>
        </w:rPr>
        <w:t>المدلول</w:t>
      </w:r>
      <w:r w:rsidR="00E8128F">
        <w:rPr>
          <w:sz w:val="36"/>
          <w:szCs w:val="36"/>
          <w:rtl/>
        </w:rPr>
        <w:t xml:space="preserve"> </w:t>
      </w:r>
      <w:r w:rsidR="005C6405" w:rsidRPr="00FD211F">
        <w:rPr>
          <w:sz w:val="36"/>
          <w:szCs w:val="36"/>
          <w:rtl/>
        </w:rPr>
        <w:t>المطابقي</w:t>
      </w:r>
      <w:r w:rsidR="00E8128F">
        <w:rPr>
          <w:sz w:val="36"/>
          <w:szCs w:val="36"/>
          <w:rtl/>
        </w:rPr>
        <w:t xml:space="preserve"> </w:t>
      </w:r>
      <w:r w:rsidR="005C6405" w:rsidRPr="00FD211F">
        <w:rPr>
          <w:sz w:val="36"/>
          <w:szCs w:val="36"/>
          <w:rtl/>
        </w:rPr>
        <w:t>لكلم</w:t>
      </w:r>
      <w:r w:rsidR="00EC7EDF" w:rsidRPr="00FD211F">
        <w:rPr>
          <w:sz w:val="36"/>
          <w:szCs w:val="36"/>
          <w:rtl/>
        </w:rPr>
        <w:t>ة</w:t>
      </w:r>
      <w:r w:rsidR="00E8128F">
        <w:rPr>
          <w:sz w:val="36"/>
          <w:szCs w:val="36"/>
          <w:rtl/>
        </w:rPr>
        <w:t xml:space="preserve"> </w:t>
      </w:r>
      <w:r w:rsidR="005C6405" w:rsidRPr="00FD211F">
        <w:rPr>
          <w:sz w:val="36"/>
          <w:szCs w:val="36"/>
          <w:rtl/>
        </w:rPr>
        <w:t>الناطق</w:t>
      </w:r>
      <w:r w:rsidR="00603323" w:rsidRPr="00FD211F">
        <w:rPr>
          <w:sz w:val="36"/>
          <w:szCs w:val="36"/>
          <w:rtl/>
        </w:rPr>
        <w:t>،</w:t>
      </w:r>
      <w:r w:rsidR="00E8128F">
        <w:rPr>
          <w:sz w:val="36"/>
          <w:szCs w:val="36"/>
          <w:rtl/>
        </w:rPr>
        <w:t xml:space="preserve"> </w:t>
      </w:r>
      <w:r w:rsidR="005C6405" w:rsidRPr="00FD211F">
        <w:rPr>
          <w:sz w:val="36"/>
          <w:szCs w:val="36"/>
          <w:rtl/>
        </w:rPr>
        <w:t>والمفروض</w:t>
      </w:r>
      <w:r w:rsidR="00E8128F">
        <w:rPr>
          <w:sz w:val="36"/>
          <w:szCs w:val="36"/>
          <w:rtl/>
        </w:rPr>
        <w:t xml:space="preserve"> </w:t>
      </w:r>
      <w:r w:rsidR="005C6405" w:rsidRPr="00FD211F">
        <w:rPr>
          <w:sz w:val="36"/>
          <w:szCs w:val="36"/>
          <w:rtl/>
        </w:rPr>
        <w:t>خروج</w:t>
      </w:r>
      <w:r w:rsidR="00E8128F">
        <w:rPr>
          <w:sz w:val="36"/>
          <w:szCs w:val="36"/>
          <w:rtl/>
        </w:rPr>
        <w:t xml:space="preserve"> </w:t>
      </w:r>
      <w:r w:rsidR="005C6405" w:rsidRPr="00FD211F">
        <w:rPr>
          <w:sz w:val="36"/>
          <w:szCs w:val="36"/>
          <w:rtl/>
        </w:rPr>
        <w:t>مفهوم</w:t>
      </w:r>
      <w:r w:rsidR="00E8128F">
        <w:rPr>
          <w:sz w:val="36"/>
          <w:szCs w:val="36"/>
          <w:rtl/>
        </w:rPr>
        <w:t xml:space="preserve"> </w:t>
      </w:r>
      <w:r w:rsidR="005C6405" w:rsidRPr="00FD211F">
        <w:rPr>
          <w:sz w:val="36"/>
          <w:szCs w:val="36"/>
          <w:rtl/>
        </w:rPr>
        <w:t>ال</w:t>
      </w:r>
      <w:r w:rsidR="008D7B3D" w:rsidRPr="00FD211F">
        <w:rPr>
          <w:sz w:val="36"/>
          <w:szCs w:val="36"/>
          <w:rtl/>
        </w:rPr>
        <w:t>شيء</w:t>
      </w:r>
      <w:r w:rsidR="00E8128F">
        <w:rPr>
          <w:sz w:val="36"/>
          <w:szCs w:val="36"/>
          <w:rtl/>
        </w:rPr>
        <w:t xml:space="preserve"> </w:t>
      </w:r>
      <w:r w:rsidR="005C6405" w:rsidRPr="00FD211F">
        <w:rPr>
          <w:sz w:val="36"/>
          <w:szCs w:val="36"/>
          <w:rtl/>
        </w:rPr>
        <w:t>عنه</w:t>
      </w:r>
      <w:r w:rsidR="00E8128F">
        <w:rPr>
          <w:sz w:val="36"/>
          <w:szCs w:val="36"/>
          <w:rtl/>
        </w:rPr>
        <w:t xml:space="preserve"> </w:t>
      </w:r>
      <w:r w:rsidR="005C6405" w:rsidRPr="00FD211F">
        <w:rPr>
          <w:sz w:val="36"/>
          <w:szCs w:val="36"/>
          <w:rtl/>
        </w:rPr>
        <w:t>فلايتوجه</w:t>
      </w:r>
      <w:r w:rsidR="00E8128F">
        <w:rPr>
          <w:sz w:val="36"/>
          <w:szCs w:val="36"/>
          <w:rtl/>
        </w:rPr>
        <w:t xml:space="preserve"> </w:t>
      </w:r>
      <w:r w:rsidR="005C6405" w:rsidRPr="00FD211F">
        <w:rPr>
          <w:sz w:val="36"/>
          <w:szCs w:val="36"/>
          <w:rtl/>
        </w:rPr>
        <w:t>عليه</w:t>
      </w:r>
      <w:r w:rsidR="00E8128F">
        <w:rPr>
          <w:sz w:val="36"/>
          <w:szCs w:val="36"/>
          <w:rtl/>
        </w:rPr>
        <w:t xml:space="preserve"> </w:t>
      </w:r>
      <w:r w:rsidR="005C6405" w:rsidRPr="00FD211F">
        <w:rPr>
          <w:sz w:val="36"/>
          <w:szCs w:val="36"/>
          <w:rtl/>
        </w:rPr>
        <w:t>اشكال</w:t>
      </w:r>
      <w:r w:rsidR="00E8128F">
        <w:rPr>
          <w:sz w:val="36"/>
          <w:szCs w:val="36"/>
          <w:rtl/>
        </w:rPr>
        <w:t xml:space="preserve"> </w:t>
      </w:r>
      <w:r w:rsidR="005C6405" w:rsidRPr="00FD211F">
        <w:rPr>
          <w:sz w:val="36"/>
          <w:szCs w:val="36"/>
          <w:rtl/>
        </w:rPr>
        <w:t>دخول</w:t>
      </w:r>
      <w:r w:rsidR="00E8128F">
        <w:rPr>
          <w:sz w:val="36"/>
          <w:szCs w:val="36"/>
          <w:rtl/>
        </w:rPr>
        <w:t xml:space="preserve"> </w:t>
      </w:r>
      <w:r w:rsidR="005C6405" w:rsidRPr="00FD211F">
        <w:rPr>
          <w:sz w:val="36"/>
          <w:szCs w:val="36"/>
          <w:rtl/>
        </w:rPr>
        <w:t>العرض</w:t>
      </w:r>
      <w:r w:rsidR="00E8128F">
        <w:rPr>
          <w:sz w:val="36"/>
          <w:szCs w:val="36"/>
          <w:rtl/>
        </w:rPr>
        <w:t xml:space="preserve"> </w:t>
      </w:r>
      <w:r w:rsidR="005C6405" w:rsidRPr="00FD211F">
        <w:rPr>
          <w:sz w:val="36"/>
          <w:szCs w:val="36"/>
          <w:rtl/>
        </w:rPr>
        <w:t>العام</w:t>
      </w:r>
      <w:r w:rsidR="00E8128F">
        <w:rPr>
          <w:sz w:val="36"/>
          <w:szCs w:val="36"/>
          <w:rtl/>
        </w:rPr>
        <w:t xml:space="preserve"> </w:t>
      </w:r>
      <w:r w:rsidR="005C6405" w:rsidRPr="00FD211F">
        <w:rPr>
          <w:sz w:val="36"/>
          <w:szCs w:val="36"/>
          <w:rtl/>
        </w:rPr>
        <w:t>في</w:t>
      </w:r>
      <w:r w:rsidR="00E8128F">
        <w:rPr>
          <w:sz w:val="36"/>
          <w:szCs w:val="36"/>
          <w:rtl/>
        </w:rPr>
        <w:t xml:space="preserve"> </w:t>
      </w:r>
      <w:r w:rsidR="005C6405" w:rsidRPr="00FD211F">
        <w:rPr>
          <w:sz w:val="36"/>
          <w:szCs w:val="36"/>
          <w:rtl/>
        </w:rPr>
        <w:t>الفصل</w:t>
      </w:r>
      <w:r w:rsidR="00603323" w:rsidRPr="00FD211F">
        <w:rPr>
          <w:sz w:val="36"/>
          <w:szCs w:val="36"/>
          <w:rtl/>
        </w:rPr>
        <w:t>،</w:t>
      </w:r>
      <w:r w:rsidR="00E8128F">
        <w:rPr>
          <w:sz w:val="36"/>
          <w:szCs w:val="36"/>
          <w:rtl/>
        </w:rPr>
        <w:t xml:space="preserve"> </w:t>
      </w:r>
      <w:r w:rsidR="007111D0" w:rsidRPr="00FD211F">
        <w:rPr>
          <w:sz w:val="36"/>
          <w:szCs w:val="36"/>
          <w:rtl/>
        </w:rPr>
        <w:t>نعم</w:t>
      </w:r>
      <w:r w:rsidR="00E8128F">
        <w:rPr>
          <w:sz w:val="36"/>
          <w:szCs w:val="36"/>
          <w:rtl/>
        </w:rPr>
        <w:t xml:space="preserve"> </w:t>
      </w:r>
      <w:r w:rsidR="007111D0" w:rsidRPr="00FD211F">
        <w:rPr>
          <w:sz w:val="36"/>
          <w:szCs w:val="36"/>
          <w:rtl/>
        </w:rPr>
        <w:t>اشكال</w:t>
      </w:r>
      <w:r w:rsidR="00E8128F">
        <w:rPr>
          <w:sz w:val="36"/>
          <w:szCs w:val="36"/>
          <w:rtl/>
        </w:rPr>
        <w:t xml:space="preserve"> </w:t>
      </w:r>
      <w:r w:rsidR="007111D0" w:rsidRPr="00FD211F">
        <w:rPr>
          <w:sz w:val="36"/>
          <w:szCs w:val="36"/>
          <w:rtl/>
        </w:rPr>
        <w:t>انقلاب</w:t>
      </w:r>
      <w:r w:rsidR="00E8128F">
        <w:rPr>
          <w:sz w:val="36"/>
          <w:szCs w:val="36"/>
          <w:rtl/>
        </w:rPr>
        <w:t xml:space="preserve"> </w:t>
      </w:r>
      <w:r w:rsidR="007111D0" w:rsidRPr="00FD211F">
        <w:rPr>
          <w:sz w:val="36"/>
          <w:szCs w:val="36"/>
          <w:rtl/>
        </w:rPr>
        <w:t>القضي</w:t>
      </w:r>
      <w:r w:rsidR="00EC7EDF" w:rsidRPr="00FD211F">
        <w:rPr>
          <w:sz w:val="36"/>
          <w:szCs w:val="36"/>
          <w:rtl/>
        </w:rPr>
        <w:t>ة</w:t>
      </w:r>
      <w:r w:rsidR="00E8128F">
        <w:rPr>
          <w:sz w:val="36"/>
          <w:szCs w:val="36"/>
          <w:rtl/>
        </w:rPr>
        <w:t xml:space="preserve"> </w:t>
      </w:r>
      <w:r w:rsidR="007111D0" w:rsidRPr="00FD211F">
        <w:rPr>
          <w:sz w:val="36"/>
          <w:szCs w:val="36"/>
          <w:rtl/>
        </w:rPr>
        <w:t>الممكن</w:t>
      </w:r>
      <w:r w:rsidR="00EC7EDF" w:rsidRPr="00FD211F">
        <w:rPr>
          <w:sz w:val="36"/>
          <w:szCs w:val="36"/>
          <w:rtl/>
        </w:rPr>
        <w:t>ة</w:t>
      </w:r>
      <w:r w:rsidR="00E8128F">
        <w:rPr>
          <w:sz w:val="36"/>
          <w:szCs w:val="36"/>
          <w:rtl/>
        </w:rPr>
        <w:t xml:space="preserve"> </w:t>
      </w:r>
      <w:r w:rsidR="007111D0" w:rsidRPr="00FD211F">
        <w:rPr>
          <w:sz w:val="36"/>
          <w:szCs w:val="36"/>
          <w:rtl/>
        </w:rPr>
        <w:t>الى</w:t>
      </w:r>
      <w:r w:rsidR="00E8128F">
        <w:rPr>
          <w:sz w:val="36"/>
          <w:szCs w:val="36"/>
          <w:rtl/>
        </w:rPr>
        <w:t xml:space="preserve"> </w:t>
      </w:r>
      <w:r w:rsidR="007111D0" w:rsidRPr="00FD211F">
        <w:rPr>
          <w:sz w:val="36"/>
          <w:szCs w:val="36"/>
          <w:rtl/>
        </w:rPr>
        <w:t>الضروري</w:t>
      </w:r>
      <w:r w:rsidR="00EC7EDF" w:rsidRPr="00FD211F">
        <w:rPr>
          <w:sz w:val="36"/>
          <w:szCs w:val="36"/>
          <w:rtl/>
        </w:rPr>
        <w:t>ة</w:t>
      </w:r>
      <w:r w:rsidR="00E8128F">
        <w:rPr>
          <w:sz w:val="36"/>
          <w:szCs w:val="36"/>
          <w:rtl/>
        </w:rPr>
        <w:t xml:space="preserve"> </w:t>
      </w:r>
      <w:r w:rsidR="007111D0" w:rsidRPr="00FD211F">
        <w:rPr>
          <w:sz w:val="36"/>
          <w:szCs w:val="36"/>
          <w:rtl/>
        </w:rPr>
        <w:t>يتوجه</w:t>
      </w:r>
      <w:r w:rsidR="00E8128F">
        <w:rPr>
          <w:sz w:val="36"/>
          <w:szCs w:val="36"/>
          <w:rtl/>
        </w:rPr>
        <w:t xml:space="preserve"> </w:t>
      </w:r>
      <w:r w:rsidR="007111D0" w:rsidRPr="00FD211F">
        <w:rPr>
          <w:sz w:val="36"/>
          <w:szCs w:val="36"/>
          <w:rtl/>
        </w:rPr>
        <w:t>عليه</w:t>
      </w:r>
      <w:r w:rsidR="00E8128F">
        <w:rPr>
          <w:sz w:val="36"/>
          <w:szCs w:val="36"/>
          <w:rtl/>
        </w:rPr>
        <w:t xml:space="preserve"> </w:t>
      </w:r>
      <w:r w:rsidR="007111D0" w:rsidRPr="00FD211F">
        <w:rPr>
          <w:sz w:val="36"/>
          <w:szCs w:val="36"/>
          <w:rtl/>
        </w:rPr>
        <w:t>لو</w:t>
      </w:r>
      <w:r w:rsidR="00E8128F">
        <w:rPr>
          <w:sz w:val="36"/>
          <w:szCs w:val="36"/>
          <w:rtl/>
        </w:rPr>
        <w:t xml:space="preserve"> </w:t>
      </w:r>
      <w:r w:rsidR="007111D0" w:rsidRPr="00FD211F">
        <w:rPr>
          <w:sz w:val="36"/>
          <w:szCs w:val="36"/>
          <w:rtl/>
        </w:rPr>
        <w:t>اخذ</w:t>
      </w:r>
      <w:r w:rsidR="00E8128F">
        <w:rPr>
          <w:sz w:val="36"/>
          <w:szCs w:val="36"/>
          <w:rtl/>
        </w:rPr>
        <w:t xml:space="preserve"> </w:t>
      </w:r>
      <w:r w:rsidR="007111D0" w:rsidRPr="00FD211F">
        <w:rPr>
          <w:sz w:val="36"/>
          <w:szCs w:val="36"/>
          <w:rtl/>
        </w:rPr>
        <w:t>واقع</w:t>
      </w:r>
      <w:r w:rsidR="00E8128F">
        <w:rPr>
          <w:sz w:val="36"/>
          <w:szCs w:val="36"/>
          <w:rtl/>
        </w:rPr>
        <w:t xml:space="preserve"> </w:t>
      </w:r>
      <w:r w:rsidR="007111D0" w:rsidRPr="00FD211F">
        <w:rPr>
          <w:sz w:val="36"/>
          <w:szCs w:val="36"/>
          <w:rtl/>
        </w:rPr>
        <w:t>ال</w:t>
      </w:r>
      <w:r w:rsidR="00251CB6" w:rsidRPr="00FD211F">
        <w:rPr>
          <w:sz w:val="36"/>
          <w:szCs w:val="36"/>
          <w:rtl/>
        </w:rPr>
        <w:t>شيء</w:t>
      </w:r>
      <w:r w:rsidR="00E8128F">
        <w:rPr>
          <w:sz w:val="36"/>
          <w:szCs w:val="36"/>
          <w:rtl/>
        </w:rPr>
        <w:t xml:space="preserve"> </w:t>
      </w:r>
      <w:r w:rsidR="007111D0" w:rsidRPr="00FD211F">
        <w:rPr>
          <w:sz w:val="36"/>
          <w:szCs w:val="36"/>
          <w:rtl/>
        </w:rPr>
        <w:t>طرف</w:t>
      </w:r>
      <w:r w:rsidR="00E8128F">
        <w:rPr>
          <w:sz w:val="36"/>
          <w:szCs w:val="36"/>
          <w:rtl/>
        </w:rPr>
        <w:t xml:space="preserve"> </w:t>
      </w:r>
      <w:r w:rsidR="007111D0" w:rsidRPr="00FD211F">
        <w:rPr>
          <w:sz w:val="36"/>
          <w:szCs w:val="36"/>
          <w:rtl/>
        </w:rPr>
        <w:t>النسب</w:t>
      </w:r>
      <w:r w:rsidR="00EC7EDF" w:rsidRPr="00FD211F">
        <w:rPr>
          <w:sz w:val="36"/>
          <w:szCs w:val="36"/>
          <w:rtl/>
        </w:rPr>
        <w:t>ة</w:t>
      </w:r>
      <w:r w:rsidR="00E8128F">
        <w:rPr>
          <w:sz w:val="36"/>
          <w:szCs w:val="36"/>
          <w:rtl/>
        </w:rPr>
        <w:t xml:space="preserve"> </w:t>
      </w:r>
      <w:r w:rsidR="007111D0" w:rsidRPr="00FD211F">
        <w:rPr>
          <w:sz w:val="36"/>
          <w:szCs w:val="36"/>
          <w:rtl/>
        </w:rPr>
        <w:t>كما</w:t>
      </w:r>
      <w:r w:rsidR="00E8128F">
        <w:rPr>
          <w:sz w:val="36"/>
          <w:szCs w:val="36"/>
          <w:rtl/>
        </w:rPr>
        <w:t xml:space="preserve"> </w:t>
      </w:r>
      <w:r w:rsidR="007111D0" w:rsidRPr="00FD211F">
        <w:rPr>
          <w:sz w:val="36"/>
          <w:szCs w:val="36"/>
          <w:rtl/>
        </w:rPr>
        <w:t>هو</w:t>
      </w:r>
      <w:r w:rsidR="00E8128F">
        <w:rPr>
          <w:sz w:val="36"/>
          <w:szCs w:val="36"/>
          <w:rtl/>
        </w:rPr>
        <w:t xml:space="preserve"> </w:t>
      </w:r>
      <w:r w:rsidR="007111D0" w:rsidRPr="00FD211F">
        <w:rPr>
          <w:sz w:val="36"/>
          <w:szCs w:val="36"/>
          <w:rtl/>
        </w:rPr>
        <w:t>ظاهر</w:t>
      </w:r>
      <w:r w:rsidR="0040555A" w:rsidRPr="00FD211F">
        <w:rPr>
          <w:sz w:val="36"/>
          <w:szCs w:val="36"/>
          <w:rtl/>
        </w:rPr>
        <w:t>.</w:t>
      </w:r>
    </w:p>
    <w:p w14:paraId="77E8382D" w14:textId="77777777" w:rsidR="000C5BBA" w:rsidRPr="00FD211F" w:rsidRDefault="000C5AEE" w:rsidP="009C58C8">
      <w:pPr>
        <w:ind w:left="0" w:firstLine="227"/>
        <w:jc w:val="both"/>
        <w:rPr>
          <w:sz w:val="36"/>
          <w:szCs w:val="36"/>
          <w:rtl/>
        </w:rPr>
      </w:pPr>
      <w:r w:rsidRPr="00FD211F">
        <w:rPr>
          <w:sz w:val="36"/>
          <w:szCs w:val="36"/>
          <w:rtl/>
        </w:rPr>
        <w:t>و</w:t>
      </w:r>
      <w:r w:rsidR="0040555A" w:rsidRPr="00FD211F">
        <w:rPr>
          <w:sz w:val="36"/>
          <w:szCs w:val="36"/>
          <w:rtl/>
        </w:rPr>
        <w:t>اما</w:t>
      </w:r>
      <w:r w:rsidR="00E8128F">
        <w:rPr>
          <w:sz w:val="36"/>
          <w:szCs w:val="36"/>
          <w:rtl/>
        </w:rPr>
        <w:t xml:space="preserve"> </w:t>
      </w:r>
      <w:r w:rsidR="0040555A" w:rsidRPr="00FD211F">
        <w:rPr>
          <w:sz w:val="36"/>
          <w:szCs w:val="36"/>
          <w:rtl/>
        </w:rPr>
        <w:t>الدعوى</w:t>
      </w:r>
      <w:r w:rsidR="00E8128F">
        <w:rPr>
          <w:sz w:val="36"/>
          <w:szCs w:val="36"/>
          <w:rtl/>
        </w:rPr>
        <w:t xml:space="preserve"> </w:t>
      </w:r>
      <w:r w:rsidR="0040555A" w:rsidRPr="00FD211F">
        <w:rPr>
          <w:sz w:val="36"/>
          <w:szCs w:val="36"/>
          <w:rtl/>
        </w:rPr>
        <w:t>الإيجابي</w:t>
      </w:r>
      <w:r w:rsidR="00EC7EDF" w:rsidRPr="00FD211F">
        <w:rPr>
          <w:sz w:val="36"/>
          <w:szCs w:val="36"/>
          <w:rtl/>
        </w:rPr>
        <w:t>ة</w:t>
      </w:r>
      <w:r w:rsidR="00E8128F">
        <w:rPr>
          <w:sz w:val="36"/>
          <w:szCs w:val="36"/>
          <w:rtl/>
        </w:rPr>
        <w:t xml:space="preserve"> </w:t>
      </w:r>
      <w:r w:rsidR="00DF09F9" w:rsidRPr="00FD211F">
        <w:rPr>
          <w:sz w:val="36"/>
          <w:szCs w:val="36"/>
          <w:rtl/>
        </w:rPr>
        <w:t>فيمكن</w:t>
      </w:r>
      <w:r w:rsidR="00E8128F">
        <w:rPr>
          <w:sz w:val="36"/>
          <w:szCs w:val="36"/>
          <w:rtl/>
        </w:rPr>
        <w:t xml:space="preserve"> </w:t>
      </w:r>
      <w:r w:rsidR="0040555A" w:rsidRPr="00FD211F">
        <w:rPr>
          <w:sz w:val="36"/>
          <w:szCs w:val="36"/>
          <w:rtl/>
        </w:rPr>
        <w:t>تفسيرها</w:t>
      </w:r>
      <w:r w:rsidR="00E8128F">
        <w:rPr>
          <w:sz w:val="36"/>
          <w:szCs w:val="36"/>
          <w:rtl/>
        </w:rPr>
        <w:t xml:space="preserve"> </w:t>
      </w:r>
      <w:r w:rsidR="00721336" w:rsidRPr="00FD211F">
        <w:rPr>
          <w:sz w:val="36"/>
          <w:szCs w:val="36"/>
          <w:rtl/>
        </w:rPr>
        <w:t>باحد</w:t>
      </w:r>
      <w:r w:rsidR="00E8128F">
        <w:rPr>
          <w:sz w:val="36"/>
          <w:szCs w:val="36"/>
          <w:rtl/>
        </w:rPr>
        <w:t xml:space="preserve"> </w:t>
      </w:r>
      <w:r w:rsidR="00721336" w:rsidRPr="00FD211F">
        <w:rPr>
          <w:sz w:val="36"/>
          <w:szCs w:val="36"/>
          <w:rtl/>
        </w:rPr>
        <w:t>وجهين</w:t>
      </w:r>
      <w:r w:rsidR="00DF09F9" w:rsidRPr="00FD211F">
        <w:rPr>
          <w:sz w:val="36"/>
          <w:szCs w:val="36"/>
          <w:rtl/>
        </w:rPr>
        <w:t>:</w:t>
      </w:r>
    </w:p>
    <w:p w14:paraId="22C009E4" w14:textId="77777777" w:rsidR="000A7208" w:rsidRPr="00FD211F" w:rsidRDefault="006D6133" w:rsidP="009C58C8">
      <w:pPr>
        <w:ind w:left="0" w:firstLine="227"/>
        <w:jc w:val="both"/>
        <w:rPr>
          <w:sz w:val="36"/>
          <w:szCs w:val="36"/>
          <w:rtl/>
        </w:rPr>
      </w:pPr>
      <w:r w:rsidRPr="00FD211F">
        <w:rPr>
          <w:b/>
          <w:bCs/>
          <w:sz w:val="36"/>
          <w:szCs w:val="36"/>
          <w:rtl/>
        </w:rPr>
        <w:t>الوجه</w:t>
      </w:r>
      <w:r w:rsidR="00E8128F">
        <w:rPr>
          <w:b/>
          <w:bCs/>
          <w:sz w:val="36"/>
          <w:szCs w:val="36"/>
          <w:rtl/>
        </w:rPr>
        <w:t xml:space="preserve"> </w:t>
      </w:r>
      <w:r w:rsidR="005C6405" w:rsidRPr="00FD211F">
        <w:rPr>
          <w:b/>
          <w:bCs/>
          <w:sz w:val="36"/>
          <w:szCs w:val="36"/>
          <w:rtl/>
        </w:rPr>
        <w:t>الاول</w:t>
      </w:r>
      <w:r w:rsidR="005C6405" w:rsidRPr="00FD211F">
        <w:rPr>
          <w:sz w:val="36"/>
          <w:szCs w:val="36"/>
          <w:rtl/>
        </w:rPr>
        <w:t>:</w:t>
      </w:r>
      <w:r w:rsidR="00E8128F">
        <w:rPr>
          <w:sz w:val="36"/>
          <w:szCs w:val="36"/>
          <w:rtl/>
        </w:rPr>
        <w:t xml:space="preserve"> </w:t>
      </w:r>
      <w:r w:rsidR="0040555A" w:rsidRPr="00FD211F">
        <w:rPr>
          <w:sz w:val="36"/>
          <w:szCs w:val="36"/>
          <w:rtl/>
        </w:rPr>
        <w:t>ما</w:t>
      </w:r>
      <w:r w:rsidR="00E8128F">
        <w:rPr>
          <w:sz w:val="36"/>
          <w:szCs w:val="36"/>
          <w:rtl/>
        </w:rPr>
        <w:t xml:space="preserve"> </w:t>
      </w:r>
      <w:r w:rsidR="0040555A" w:rsidRPr="00FD211F">
        <w:rPr>
          <w:sz w:val="36"/>
          <w:szCs w:val="36"/>
          <w:rtl/>
        </w:rPr>
        <w:t>هو</w:t>
      </w:r>
      <w:r w:rsidR="00E8128F">
        <w:rPr>
          <w:sz w:val="36"/>
          <w:szCs w:val="36"/>
          <w:rtl/>
        </w:rPr>
        <w:t xml:space="preserve"> </w:t>
      </w:r>
      <w:r w:rsidR="0040555A" w:rsidRPr="00FD211F">
        <w:rPr>
          <w:sz w:val="36"/>
          <w:szCs w:val="36"/>
          <w:rtl/>
        </w:rPr>
        <w:t>مقتضى</w:t>
      </w:r>
      <w:r w:rsidR="00E8128F">
        <w:rPr>
          <w:sz w:val="36"/>
          <w:szCs w:val="36"/>
          <w:rtl/>
        </w:rPr>
        <w:t xml:space="preserve"> </w:t>
      </w:r>
      <w:r w:rsidR="0040555A" w:rsidRPr="00FD211F">
        <w:rPr>
          <w:sz w:val="36"/>
          <w:szCs w:val="36"/>
          <w:rtl/>
        </w:rPr>
        <w:t>ظاهره</w:t>
      </w:r>
      <w:r w:rsidR="00DF09F9" w:rsidRPr="00FD211F">
        <w:rPr>
          <w:sz w:val="36"/>
          <w:szCs w:val="36"/>
          <w:rtl/>
        </w:rPr>
        <w:t>ا</w:t>
      </w:r>
      <w:r w:rsidR="00E8128F">
        <w:rPr>
          <w:sz w:val="36"/>
          <w:szCs w:val="36"/>
          <w:rtl/>
        </w:rPr>
        <w:t xml:space="preserve"> </w:t>
      </w:r>
      <w:r w:rsidR="0040555A" w:rsidRPr="00FD211F">
        <w:rPr>
          <w:sz w:val="36"/>
          <w:szCs w:val="36"/>
          <w:rtl/>
        </w:rPr>
        <w:t>من</w:t>
      </w:r>
      <w:r w:rsidR="00E8128F">
        <w:rPr>
          <w:sz w:val="36"/>
          <w:szCs w:val="36"/>
          <w:rtl/>
        </w:rPr>
        <w:t xml:space="preserve"> </w:t>
      </w:r>
      <w:r w:rsidR="005C6405" w:rsidRPr="00FD211F">
        <w:rPr>
          <w:sz w:val="36"/>
          <w:szCs w:val="36"/>
          <w:rtl/>
        </w:rPr>
        <w:t>انه</w:t>
      </w:r>
      <w:r w:rsidR="00E8128F">
        <w:rPr>
          <w:sz w:val="36"/>
          <w:szCs w:val="36"/>
          <w:rtl/>
        </w:rPr>
        <w:t xml:space="preserve"> </w:t>
      </w:r>
      <w:r w:rsidR="005C6405" w:rsidRPr="00FD211F">
        <w:rPr>
          <w:sz w:val="36"/>
          <w:szCs w:val="36"/>
          <w:rtl/>
        </w:rPr>
        <w:t>في</w:t>
      </w:r>
      <w:r w:rsidR="00E8128F">
        <w:rPr>
          <w:sz w:val="36"/>
          <w:szCs w:val="36"/>
          <w:rtl/>
        </w:rPr>
        <w:t xml:space="preserve"> </w:t>
      </w:r>
      <w:r w:rsidR="005C6405" w:rsidRPr="00FD211F">
        <w:rPr>
          <w:sz w:val="36"/>
          <w:szCs w:val="36"/>
          <w:rtl/>
        </w:rPr>
        <w:t>المصدر</w:t>
      </w:r>
      <w:r w:rsidR="00E8128F">
        <w:rPr>
          <w:sz w:val="36"/>
          <w:szCs w:val="36"/>
          <w:rtl/>
        </w:rPr>
        <w:t xml:space="preserve"> </w:t>
      </w:r>
      <w:r w:rsidR="005C6405" w:rsidRPr="00FD211F">
        <w:rPr>
          <w:sz w:val="36"/>
          <w:szCs w:val="36"/>
          <w:rtl/>
        </w:rPr>
        <w:t>اعتبر</w:t>
      </w:r>
      <w:r w:rsidR="00E8128F">
        <w:rPr>
          <w:sz w:val="36"/>
          <w:szCs w:val="36"/>
          <w:rtl/>
        </w:rPr>
        <w:t xml:space="preserve"> </w:t>
      </w:r>
      <w:r w:rsidR="0040555A" w:rsidRPr="00FD211F">
        <w:rPr>
          <w:sz w:val="36"/>
          <w:szCs w:val="36"/>
          <w:rtl/>
        </w:rPr>
        <w:t>ال</w:t>
      </w:r>
      <w:r w:rsidR="0079493B" w:rsidRPr="00FD211F">
        <w:rPr>
          <w:sz w:val="36"/>
          <w:szCs w:val="36"/>
          <w:rtl/>
        </w:rPr>
        <w:t>مبدأ</w:t>
      </w:r>
      <w:r w:rsidR="00E8128F">
        <w:rPr>
          <w:sz w:val="36"/>
          <w:szCs w:val="36"/>
          <w:rtl/>
        </w:rPr>
        <w:t xml:space="preserve"> </w:t>
      </w:r>
      <w:r w:rsidR="0040555A" w:rsidRPr="00FD211F">
        <w:rPr>
          <w:sz w:val="36"/>
          <w:szCs w:val="36"/>
          <w:rtl/>
        </w:rPr>
        <w:t>بشرط</w:t>
      </w:r>
      <w:r w:rsidR="00E8128F">
        <w:rPr>
          <w:sz w:val="36"/>
          <w:szCs w:val="36"/>
          <w:rtl/>
        </w:rPr>
        <w:t xml:space="preserve"> </w:t>
      </w:r>
      <w:r w:rsidR="0040555A" w:rsidRPr="00FD211F">
        <w:rPr>
          <w:sz w:val="36"/>
          <w:szCs w:val="36"/>
          <w:rtl/>
        </w:rPr>
        <w:t>لا</w:t>
      </w:r>
      <w:r w:rsidR="00E8128F">
        <w:rPr>
          <w:sz w:val="36"/>
          <w:szCs w:val="36"/>
          <w:rtl/>
        </w:rPr>
        <w:t xml:space="preserve"> </w:t>
      </w:r>
      <w:r w:rsidR="0040555A" w:rsidRPr="00FD211F">
        <w:rPr>
          <w:sz w:val="36"/>
          <w:szCs w:val="36"/>
          <w:rtl/>
        </w:rPr>
        <w:t>عن</w:t>
      </w:r>
      <w:r w:rsidR="00E8128F">
        <w:rPr>
          <w:sz w:val="36"/>
          <w:szCs w:val="36"/>
          <w:rtl/>
        </w:rPr>
        <w:t xml:space="preserve"> </w:t>
      </w:r>
      <w:r w:rsidR="0040555A" w:rsidRPr="00FD211F">
        <w:rPr>
          <w:sz w:val="36"/>
          <w:szCs w:val="36"/>
          <w:rtl/>
        </w:rPr>
        <w:t>الحمل</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الذات</w:t>
      </w:r>
      <w:r w:rsidR="00E8128F">
        <w:rPr>
          <w:sz w:val="36"/>
          <w:szCs w:val="36"/>
          <w:rtl/>
        </w:rPr>
        <w:t xml:space="preserve"> </w:t>
      </w:r>
      <w:r w:rsidR="005C6405" w:rsidRPr="00FD211F">
        <w:rPr>
          <w:sz w:val="36"/>
          <w:szCs w:val="36"/>
          <w:rtl/>
        </w:rPr>
        <w:t>وفي</w:t>
      </w:r>
      <w:r w:rsidR="00E8128F">
        <w:rPr>
          <w:sz w:val="36"/>
          <w:szCs w:val="36"/>
          <w:rtl/>
        </w:rPr>
        <w:t xml:space="preserve"> </w:t>
      </w:r>
      <w:r w:rsidR="005C6405" w:rsidRPr="00FD211F">
        <w:rPr>
          <w:sz w:val="36"/>
          <w:szCs w:val="36"/>
          <w:rtl/>
        </w:rPr>
        <w:t>المشتق</w:t>
      </w:r>
      <w:r w:rsidR="00E8128F">
        <w:rPr>
          <w:sz w:val="36"/>
          <w:szCs w:val="36"/>
          <w:rtl/>
        </w:rPr>
        <w:t xml:space="preserve"> </w:t>
      </w:r>
      <w:r w:rsidR="005C6405" w:rsidRPr="00FD211F">
        <w:rPr>
          <w:sz w:val="36"/>
          <w:szCs w:val="36"/>
          <w:rtl/>
        </w:rPr>
        <w:t>اعتبر</w:t>
      </w:r>
      <w:r w:rsidR="00E8128F">
        <w:rPr>
          <w:sz w:val="36"/>
          <w:szCs w:val="36"/>
          <w:rtl/>
        </w:rPr>
        <w:t xml:space="preserve"> </w:t>
      </w:r>
      <w:r w:rsidR="005C6405" w:rsidRPr="00FD211F">
        <w:rPr>
          <w:sz w:val="36"/>
          <w:szCs w:val="36"/>
          <w:rtl/>
        </w:rPr>
        <w:t>ا</w:t>
      </w:r>
      <w:r w:rsidR="000A7208" w:rsidRPr="00FD211F">
        <w:rPr>
          <w:sz w:val="36"/>
          <w:szCs w:val="36"/>
          <w:rtl/>
        </w:rPr>
        <w:t>لمبدأ</w:t>
      </w:r>
      <w:r w:rsidR="00E8128F">
        <w:rPr>
          <w:sz w:val="36"/>
          <w:szCs w:val="36"/>
          <w:rtl/>
        </w:rPr>
        <w:t xml:space="preserve"> </w:t>
      </w:r>
      <w:r w:rsidR="000A7208" w:rsidRPr="00FD211F">
        <w:rPr>
          <w:sz w:val="36"/>
          <w:szCs w:val="36"/>
          <w:rtl/>
        </w:rPr>
        <w:t>لابشرط</w:t>
      </w:r>
      <w:r w:rsidR="00E8128F">
        <w:rPr>
          <w:sz w:val="36"/>
          <w:szCs w:val="36"/>
          <w:rtl/>
        </w:rPr>
        <w:t xml:space="preserve"> </w:t>
      </w:r>
      <w:r w:rsidR="000A7208" w:rsidRPr="00FD211F">
        <w:rPr>
          <w:sz w:val="36"/>
          <w:szCs w:val="36"/>
          <w:rtl/>
        </w:rPr>
        <w:t>عن</w:t>
      </w:r>
      <w:r w:rsidR="00E8128F">
        <w:rPr>
          <w:sz w:val="36"/>
          <w:szCs w:val="36"/>
          <w:rtl/>
        </w:rPr>
        <w:t xml:space="preserve"> </w:t>
      </w:r>
      <w:r w:rsidR="000A7208" w:rsidRPr="00FD211F">
        <w:rPr>
          <w:sz w:val="36"/>
          <w:szCs w:val="36"/>
          <w:rtl/>
        </w:rPr>
        <w:t>الحمل</w:t>
      </w:r>
      <w:r w:rsidR="00E8128F">
        <w:rPr>
          <w:sz w:val="36"/>
          <w:szCs w:val="36"/>
          <w:rtl/>
        </w:rPr>
        <w:t xml:space="preserve"> </w:t>
      </w:r>
      <w:r w:rsidR="000A7208" w:rsidRPr="00FD211F">
        <w:rPr>
          <w:sz w:val="36"/>
          <w:szCs w:val="36"/>
          <w:rtl/>
        </w:rPr>
        <w:t>على</w:t>
      </w:r>
      <w:r w:rsidR="00E8128F">
        <w:rPr>
          <w:sz w:val="36"/>
          <w:szCs w:val="36"/>
          <w:rtl/>
        </w:rPr>
        <w:t xml:space="preserve"> </w:t>
      </w:r>
      <w:r w:rsidR="000A7208" w:rsidRPr="00FD211F">
        <w:rPr>
          <w:sz w:val="36"/>
          <w:szCs w:val="36"/>
          <w:rtl/>
        </w:rPr>
        <w:t>الذات</w:t>
      </w:r>
      <w:r w:rsidR="00603323" w:rsidRPr="00FD211F">
        <w:rPr>
          <w:sz w:val="36"/>
          <w:szCs w:val="36"/>
          <w:rtl/>
        </w:rPr>
        <w:t>،</w:t>
      </w:r>
      <w:r w:rsidR="00E8128F">
        <w:rPr>
          <w:sz w:val="36"/>
          <w:szCs w:val="36"/>
          <w:rtl/>
        </w:rPr>
        <w:t xml:space="preserve"> </w:t>
      </w:r>
      <w:r w:rsidR="000A7208" w:rsidRPr="00FD211F">
        <w:rPr>
          <w:sz w:val="36"/>
          <w:szCs w:val="36"/>
          <w:rtl/>
        </w:rPr>
        <w:t>وقدقالواان</w:t>
      </w:r>
      <w:r w:rsidR="00E8128F">
        <w:rPr>
          <w:sz w:val="36"/>
          <w:szCs w:val="36"/>
          <w:rtl/>
        </w:rPr>
        <w:t xml:space="preserve"> </w:t>
      </w:r>
      <w:r w:rsidR="000A7208" w:rsidRPr="00FD211F">
        <w:rPr>
          <w:sz w:val="36"/>
          <w:szCs w:val="36"/>
          <w:rtl/>
        </w:rPr>
        <w:t>الفرق</w:t>
      </w:r>
      <w:r w:rsidR="00E8128F">
        <w:rPr>
          <w:sz w:val="36"/>
          <w:szCs w:val="36"/>
          <w:rtl/>
        </w:rPr>
        <w:t xml:space="preserve"> </w:t>
      </w:r>
      <w:r w:rsidR="000A7208" w:rsidRPr="00FD211F">
        <w:rPr>
          <w:sz w:val="36"/>
          <w:szCs w:val="36"/>
          <w:rtl/>
        </w:rPr>
        <w:t>بينهماكالفرق</w:t>
      </w:r>
      <w:r w:rsidR="00E8128F">
        <w:rPr>
          <w:sz w:val="36"/>
          <w:szCs w:val="36"/>
          <w:rtl/>
        </w:rPr>
        <w:t xml:space="preserve"> </w:t>
      </w:r>
      <w:r w:rsidR="000A7208" w:rsidRPr="00FD211F">
        <w:rPr>
          <w:sz w:val="36"/>
          <w:szCs w:val="36"/>
          <w:rtl/>
        </w:rPr>
        <w:t>بين</w:t>
      </w:r>
      <w:r w:rsidR="00E8128F">
        <w:rPr>
          <w:sz w:val="36"/>
          <w:szCs w:val="36"/>
          <w:rtl/>
        </w:rPr>
        <w:t xml:space="preserve"> </w:t>
      </w:r>
      <w:r w:rsidR="000A7208" w:rsidRPr="00FD211F">
        <w:rPr>
          <w:sz w:val="36"/>
          <w:szCs w:val="36"/>
          <w:rtl/>
        </w:rPr>
        <w:t>الماد</w:t>
      </w:r>
      <w:r w:rsidR="00EC7EDF" w:rsidRPr="00FD211F">
        <w:rPr>
          <w:sz w:val="36"/>
          <w:szCs w:val="36"/>
          <w:rtl/>
        </w:rPr>
        <w:t>ة</w:t>
      </w:r>
      <w:r w:rsidR="00E8128F">
        <w:rPr>
          <w:sz w:val="36"/>
          <w:szCs w:val="36"/>
          <w:rtl/>
        </w:rPr>
        <w:t xml:space="preserve"> </w:t>
      </w:r>
      <w:r w:rsidR="000A7208" w:rsidRPr="00FD211F">
        <w:rPr>
          <w:sz w:val="36"/>
          <w:szCs w:val="36"/>
          <w:rtl/>
        </w:rPr>
        <w:t>والجنس</w:t>
      </w:r>
      <w:r w:rsidR="00E8128F">
        <w:rPr>
          <w:sz w:val="36"/>
          <w:szCs w:val="36"/>
          <w:rtl/>
        </w:rPr>
        <w:t xml:space="preserve"> </w:t>
      </w:r>
      <w:r w:rsidR="007B1CC0" w:rsidRPr="00FD211F">
        <w:rPr>
          <w:sz w:val="36"/>
          <w:szCs w:val="36"/>
          <w:rtl/>
        </w:rPr>
        <w:t>أوبين</w:t>
      </w:r>
      <w:r w:rsidR="00E8128F">
        <w:rPr>
          <w:sz w:val="36"/>
          <w:szCs w:val="36"/>
          <w:rtl/>
        </w:rPr>
        <w:t xml:space="preserve"> </w:t>
      </w:r>
      <w:r w:rsidR="000C5AEE" w:rsidRPr="00FD211F">
        <w:rPr>
          <w:sz w:val="36"/>
          <w:szCs w:val="36"/>
          <w:rtl/>
        </w:rPr>
        <w:t>الصور</w:t>
      </w:r>
      <w:r w:rsidR="00EC7EDF" w:rsidRPr="00FD211F">
        <w:rPr>
          <w:sz w:val="36"/>
          <w:szCs w:val="36"/>
          <w:rtl/>
        </w:rPr>
        <w:t>ة</w:t>
      </w:r>
      <w:r w:rsidR="00E8128F">
        <w:rPr>
          <w:sz w:val="36"/>
          <w:szCs w:val="36"/>
          <w:rtl/>
        </w:rPr>
        <w:t xml:space="preserve"> </w:t>
      </w:r>
      <w:r w:rsidR="000C5AEE" w:rsidRPr="00FD211F">
        <w:rPr>
          <w:sz w:val="36"/>
          <w:szCs w:val="36"/>
          <w:rtl/>
        </w:rPr>
        <w:t>والفصل</w:t>
      </w:r>
      <w:r w:rsidR="00E8128F">
        <w:rPr>
          <w:sz w:val="36"/>
          <w:szCs w:val="36"/>
          <w:rtl/>
        </w:rPr>
        <w:t xml:space="preserve"> </w:t>
      </w:r>
      <w:r w:rsidR="000C5AEE" w:rsidRPr="00FD211F">
        <w:rPr>
          <w:sz w:val="36"/>
          <w:szCs w:val="36"/>
          <w:rtl/>
        </w:rPr>
        <w:t>فانه</w:t>
      </w:r>
      <w:r w:rsidR="00E8128F">
        <w:rPr>
          <w:sz w:val="36"/>
          <w:szCs w:val="36"/>
          <w:rtl/>
        </w:rPr>
        <w:t xml:space="preserve"> </w:t>
      </w:r>
      <w:r w:rsidR="000C5AEE" w:rsidRPr="00FD211F">
        <w:rPr>
          <w:sz w:val="36"/>
          <w:szCs w:val="36"/>
          <w:rtl/>
        </w:rPr>
        <w:t>لوحظت</w:t>
      </w:r>
      <w:r w:rsidR="00E8128F">
        <w:rPr>
          <w:sz w:val="36"/>
          <w:szCs w:val="36"/>
          <w:rtl/>
        </w:rPr>
        <w:t xml:space="preserve"> </w:t>
      </w:r>
      <w:r w:rsidR="00FC7710" w:rsidRPr="00FD211F">
        <w:rPr>
          <w:sz w:val="36"/>
          <w:szCs w:val="36"/>
          <w:rtl/>
        </w:rPr>
        <w:t>كل</w:t>
      </w:r>
      <w:r w:rsidR="00E8128F">
        <w:rPr>
          <w:sz w:val="36"/>
          <w:szCs w:val="36"/>
          <w:rtl/>
        </w:rPr>
        <w:t xml:space="preserve"> </w:t>
      </w:r>
      <w:r w:rsidR="00FC7710" w:rsidRPr="00FD211F">
        <w:rPr>
          <w:sz w:val="36"/>
          <w:szCs w:val="36"/>
          <w:rtl/>
        </w:rPr>
        <w:t>من</w:t>
      </w:r>
      <w:r w:rsidR="00E8128F">
        <w:rPr>
          <w:sz w:val="36"/>
          <w:szCs w:val="36"/>
          <w:rtl/>
        </w:rPr>
        <w:t xml:space="preserve"> </w:t>
      </w:r>
      <w:r w:rsidR="000C5AEE" w:rsidRPr="00FD211F">
        <w:rPr>
          <w:sz w:val="36"/>
          <w:szCs w:val="36"/>
          <w:rtl/>
        </w:rPr>
        <w:t>الماد</w:t>
      </w:r>
      <w:r w:rsidR="00EC7EDF" w:rsidRPr="00FD211F">
        <w:rPr>
          <w:sz w:val="36"/>
          <w:szCs w:val="36"/>
          <w:rtl/>
        </w:rPr>
        <w:t>ة</w:t>
      </w:r>
      <w:r w:rsidR="00E8128F">
        <w:rPr>
          <w:sz w:val="36"/>
          <w:szCs w:val="36"/>
          <w:rtl/>
        </w:rPr>
        <w:t xml:space="preserve"> </w:t>
      </w:r>
      <w:r w:rsidR="000C5AEE" w:rsidRPr="00FD211F">
        <w:rPr>
          <w:sz w:val="36"/>
          <w:szCs w:val="36"/>
          <w:rtl/>
        </w:rPr>
        <w:t>والصور</w:t>
      </w:r>
      <w:r w:rsidR="00EC7EDF" w:rsidRPr="00FD211F">
        <w:rPr>
          <w:sz w:val="36"/>
          <w:szCs w:val="36"/>
          <w:rtl/>
        </w:rPr>
        <w:t>ة</w:t>
      </w:r>
      <w:r w:rsidR="00E8128F">
        <w:rPr>
          <w:sz w:val="36"/>
          <w:szCs w:val="36"/>
          <w:rtl/>
        </w:rPr>
        <w:t xml:space="preserve"> </w:t>
      </w:r>
      <w:r w:rsidR="000C5AEE" w:rsidRPr="00FD211F">
        <w:rPr>
          <w:sz w:val="36"/>
          <w:szCs w:val="36"/>
          <w:rtl/>
        </w:rPr>
        <w:t>بشرط</w:t>
      </w:r>
      <w:r w:rsidR="00E8128F">
        <w:rPr>
          <w:sz w:val="36"/>
          <w:szCs w:val="36"/>
          <w:rtl/>
        </w:rPr>
        <w:t xml:space="preserve"> </w:t>
      </w:r>
      <w:r w:rsidR="000C5AEE" w:rsidRPr="00FD211F">
        <w:rPr>
          <w:sz w:val="36"/>
          <w:szCs w:val="36"/>
          <w:rtl/>
        </w:rPr>
        <w:t>لا</w:t>
      </w:r>
      <w:r w:rsidR="00E8128F">
        <w:rPr>
          <w:sz w:val="36"/>
          <w:szCs w:val="36"/>
          <w:rtl/>
        </w:rPr>
        <w:t xml:space="preserve"> </w:t>
      </w:r>
      <w:r w:rsidR="000C5AEE" w:rsidRPr="00FD211F">
        <w:rPr>
          <w:sz w:val="36"/>
          <w:szCs w:val="36"/>
          <w:rtl/>
        </w:rPr>
        <w:t>عن</w:t>
      </w:r>
      <w:r w:rsidR="00E8128F">
        <w:rPr>
          <w:sz w:val="36"/>
          <w:szCs w:val="36"/>
          <w:rtl/>
        </w:rPr>
        <w:t xml:space="preserve"> </w:t>
      </w:r>
      <w:r w:rsidR="000C5AEE" w:rsidRPr="00FD211F">
        <w:rPr>
          <w:sz w:val="36"/>
          <w:szCs w:val="36"/>
          <w:rtl/>
        </w:rPr>
        <w:t>الحمل</w:t>
      </w:r>
      <w:r w:rsidR="00E8128F">
        <w:rPr>
          <w:sz w:val="36"/>
          <w:szCs w:val="36"/>
          <w:rtl/>
        </w:rPr>
        <w:t xml:space="preserve"> </w:t>
      </w:r>
      <w:r w:rsidR="00FC7710" w:rsidRPr="00FD211F">
        <w:rPr>
          <w:sz w:val="36"/>
          <w:szCs w:val="36"/>
          <w:rtl/>
        </w:rPr>
        <w:t>على</w:t>
      </w:r>
      <w:r w:rsidR="00E8128F">
        <w:rPr>
          <w:sz w:val="36"/>
          <w:szCs w:val="36"/>
          <w:rtl/>
        </w:rPr>
        <w:t xml:space="preserve"> </w:t>
      </w:r>
      <w:r w:rsidR="00FC7710" w:rsidRPr="00FD211F">
        <w:rPr>
          <w:sz w:val="36"/>
          <w:szCs w:val="36"/>
          <w:rtl/>
        </w:rPr>
        <w:t>الآخرى</w:t>
      </w:r>
      <w:r w:rsidR="00E8128F">
        <w:rPr>
          <w:sz w:val="36"/>
          <w:szCs w:val="36"/>
          <w:rtl/>
        </w:rPr>
        <w:t xml:space="preserve"> </w:t>
      </w:r>
      <w:r w:rsidR="00FC7710" w:rsidRPr="00FD211F">
        <w:rPr>
          <w:sz w:val="36"/>
          <w:szCs w:val="36"/>
          <w:rtl/>
        </w:rPr>
        <w:t>–فلايقال</w:t>
      </w:r>
      <w:r w:rsidR="00E8128F">
        <w:rPr>
          <w:sz w:val="36"/>
          <w:szCs w:val="36"/>
          <w:rtl/>
        </w:rPr>
        <w:t xml:space="preserve"> </w:t>
      </w:r>
      <w:r w:rsidR="00FC7710" w:rsidRPr="00FD211F">
        <w:rPr>
          <w:sz w:val="36"/>
          <w:szCs w:val="36"/>
          <w:rtl/>
        </w:rPr>
        <w:t>النفس</w:t>
      </w:r>
      <w:r w:rsidR="00E8128F">
        <w:rPr>
          <w:sz w:val="36"/>
          <w:szCs w:val="36"/>
          <w:rtl/>
        </w:rPr>
        <w:t xml:space="preserve"> </w:t>
      </w:r>
      <w:r w:rsidR="00FC7710" w:rsidRPr="00FD211F">
        <w:rPr>
          <w:sz w:val="36"/>
          <w:szCs w:val="36"/>
          <w:rtl/>
        </w:rPr>
        <w:t>الناطق</w:t>
      </w:r>
      <w:r w:rsidR="00EC7EDF" w:rsidRPr="00FD211F">
        <w:rPr>
          <w:sz w:val="36"/>
          <w:szCs w:val="36"/>
          <w:rtl/>
        </w:rPr>
        <w:t>ة</w:t>
      </w:r>
      <w:r w:rsidR="00E8128F">
        <w:rPr>
          <w:sz w:val="36"/>
          <w:szCs w:val="36"/>
          <w:rtl/>
        </w:rPr>
        <w:t xml:space="preserve"> </w:t>
      </w:r>
      <w:r w:rsidR="00FC7710" w:rsidRPr="00FD211F">
        <w:rPr>
          <w:sz w:val="36"/>
          <w:szCs w:val="36"/>
          <w:rtl/>
        </w:rPr>
        <w:t>حيواني</w:t>
      </w:r>
      <w:r w:rsidR="00EC7EDF" w:rsidRPr="00FD211F">
        <w:rPr>
          <w:sz w:val="36"/>
          <w:szCs w:val="36"/>
          <w:rtl/>
        </w:rPr>
        <w:t>ة</w:t>
      </w:r>
      <w:r w:rsidR="00E8128F">
        <w:rPr>
          <w:sz w:val="36"/>
          <w:szCs w:val="36"/>
          <w:rtl/>
        </w:rPr>
        <w:t xml:space="preserve"> </w:t>
      </w:r>
      <w:r w:rsidR="00FC7710" w:rsidRPr="00FD211F">
        <w:rPr>
          <w:sz w:val="36"/>
          <w:szCs w:val="36"/>
          <w:rtl/>
        </w:rPr>
        <w:t>-</w:t>
      </w:r>
      <w:r w:rsidR="00E8128F">
        <w:rPr>
          <w:sz w:val="36"/>
          <w:szCs w:val="36"/>
          <w:rtl/>
        </w:rPr>
        <w:t xml:space="preserve"> </w:t>
      </w:r>
      <w:r w:rsidR="000C5AEE" w:rsidRPr="00FD211F">
        <w:rPr>
          <w:sz w:val="36"/>
          <w:szCs w:val="36"/>
          <w:rtl/>
        </w:rPr>
        <w:t>بخلاف</w:t>
      </w:r>
      <w:r w:rsidR="00E8128F">
        <w:rPr>
          <w:sz w:val="36"/>
          <w:szCs w:val="36"/>
          <w:rtl/>
        </w:rPr>
        <w:t xml:space="preserve"> </w:t>
      </w:r>
      <w:r w:rsidR="000C5AEE" w:rsidRPr="00FD211F">
        <w:rPr>
          <w:sz w:val="36"/>
          <w:szCs w:val="36"/>
          <w:rtl/>
        </w:rPr>
        <w:t>الجنس</w:t>
      </w:r>
      <w:r w:rsidR="00E8128F">
        <w:rPr>
          <w:sz w:val="36"/>
          <w:szCs w:val="36"/>
          <w:rtl/>
        </w:rPr>
        <w:t xml:space="preserve"> </w:t>
      </w:r>
      <w:r w:rsidR="000C5AEE" w:rsidRPr="00FD211F">
        <w:rPr>
          <w:sz w:val="36"/>
          <w:szCs w:val="36"/>
          <w:rtl/>
        </w:rPr>
        <w:t>والفصل</w:t>
      </w:r>
      <w:r w:rsidR="00E8128F">
        <w:rPr>
          <w:sz w:val="36"/>
          <w:szCs w:val="36"/>
          <w:rtl/>
        </w:rPr>
        <w:t xml:space="preserve"> </w:t>
      </w:r>
      <w:r w:rsidR="00FC7710" w:rsidRPr="00FD211F">
        <w:rPr>
          <w:sz w:val="36"/>
          <w:szCs w:val="36"/>
          <w:rtl/>
        </w:rPr>
        <w:t>–حيث</w:t>
      </w:r>
      <w:r w:rsidR="00E8128F">
        <w:rPr>
          <w:sz w:val="36"/>
          <w:szCs w:val="36"/>
          <w:rtl/>
        </w:rPr>
        <w:t xml:space="preserve"> </w:t>
      </w:r>
      <w:r w:rsidR="00FC7710" w:rsidRPr="00FD211F">
        <w:rPr>
          <w:sz w:val="36"/>
          <w:szCs w:val="36"/>
          <w:rtl/>
        </w:rPr>
        <w:t>يقال</w:t>
      </w:r>
      <w:r w:rsidR="00E8128F">
        <w:rPr>
          <w:sz w:val="36"/>
          <w:szCs w:val="36"/>
          <w:rtl/>
        </w:rPr>
        <w:t xml:space="preserve"> </w:t>
      </w:r>
      <w:r w:rsidR="00FC7710" w:rsidRPr="00FD211F">
        <w:rPr>
          <w:sz w:val="36"/>
          <w:szCs w:val="36"/>
          <w:rtl/>
        </w:rPr>
        <w:t>الناطق</w:t>
      </w:r>
      <w:r w:rsidR="00E8128F">
        <w:rPr>
          <w:sz w:val="36"/>
          <w:szCs w:val="36"/>
          <w:rtl/>
        </w:rPr>
        <w:t xml:space="preserve"> </w:t>
      </w:r>
      <w:r w:rsidR="00FC7710" w:rsidRPr="00FD211F">
        <w:rPr>
          <w:sz w:val="36"/>
          <w:szCs w:val="36"/>
          <w:rtl/>
        </w:rPr>
        <w:t>حيوان-</w:t>
      </w:r>
      <w:r w:rsidR="000C5AEE" w:rsidRPr="00FD211F">
        <w:rPr>
          <w:sz w:val="36"/>
          <w:szCs w:val="36"/>
          <w:rtl/>
        </w:rPr>
        <w:t>.</w:t>
      </w:r>
      <w:r w:rsidR="00E8128F">
        <w:rPr>
          <w:sz w:val="36"/>
          <w:szCs w:val="36"/>
          <w:rtl/>
        </w:rPr>
        <w:t xml:space="preserve"> </w:t>
      </w:r>
    </w:p>
    <w:p w14:paraId="3C4826E7" w14:textId="77777777" w:rsidR="006D6133" w:rsidRPr="00FD211F" w:rsidRDefault="0040555A" w:rsidP="009C58C8">
      <w:pPr>
        <w:ind w:left="0" w:firstLine="227"/>
        <w:jc w:val="both"/>
        <w:rPr>
          <w:sz w:val="36"/>
          <w:szCs w:val="36"/>
          <w:rtl/>
        </w:rPr>
      </w:pPr>
      <w:r w:rsidRPr="00FD211F">
        <w:rPr>
          <w:sz w:val="36"/>
          <w:szCs w:val="36"/>
          <w:rtl/>
        </w:rPr>
        <w:t>و</w:t>
      </w:r>
      <w:r w:rsidR="00DF09F9" w:rsidRPr="00FD211F">
        <w:rPr>
          <w:sz w:val="36"/>
          <w:szCs w:val="36"/>
          <w:rtl/>
        </w:rPr>
        <w:t>قد</w:t>
      </w:r>
      <w:r w:rsidR="00E8128F">
        <w:rPr>
          <w:sz w:val="36"/>
          <w:szCs w:val="36"/>
          <w:rtl/>
        </w:rPr>
        <w:t xml:space="preserve"> </w:t>
      </w:r>
      <w:r w:rsidRPr="00FD211F">
        <w:rPr>
          <w:sz w:val="36"/>
          <w:szCs w:val="36"/>
          <w:rtl/>
        </w:rPr>
        <w:t>اورد</w:t>
      </w:r>
      <w:r w:rsidR="00E8128F">
        <w:rPr>
          <w:sz w:val="36"/>
          <w:szCs w:val="36"/>
          <w:rtl/>
        </w:rPr>
        <w:t xml:space="preserve"> </w:t>
      </w:r>
      <w:r w:rsidRPr="00FD211F">
        <w:rPr>
          <w:sz w:val="36"/>
          <w:szCs w:val="36"/>
          <w:rtl/>
        </w:rPr>
        <w:t>عليه</w:t>
      </w:r>
      <w:r w:rsidR="00E8128F">
        <w:rPr>
          <w:sz w:val="36"/>
          <w:szCs w:val="36"/>
          <w:rtl/>
        </w:rPr>
        <w:t xml:space="preserve"> </w:t>
      </w:r>
      <w:r w:rsidR="006D6133" w:rsidRPr="00FD211F">
        <w:rPr>
          <w:sz w:val="36"/>
          <w:szCs w:val="36"/>
          <w:rtl/>
        </w:rPr>
        <w:t>بايرادين</w:t>
      </w:r>
      <w:r w:rsidR="00EC7EDF" w:rsidRPr="00FD211F">
        <w:rPr>
          <w:sz w:val="36"/>
          <w:szCs w:val="36"/>
          <w:rtl/>
        </w:rPr>
        <w:t>:</w:t>
      </w:r>
    </w:p>
    <w:p w14:paraId="370932CD" w14:textId="77777777" w:rsidR="003B0E64" w:rsidRPr="00FD211F" w:rsidRDefault="006D6133" w:rsidP="009C58C8">
      <w:pPr>
        <w:ind w:left="0" w:firstLine="227"/>
        <w:jc w:val="both"/>
        <w:rPr>
          <w:sz w:val="36"/>
          <w:szCs w:val="36"/>
          <w:rtl/>
        </w:rPr>
      </w:pPr>
      <w:r w:rsidRPr="00FD211F">
        <w:rPr>
          <w:sz w:val="36"/>
          <w:szCs w:val="36"/>
          <w:rtl/>
        </w:rPr>
        <w:t>1-</w:t>
      </w:r>
      <w:r w:rsidR="00DF09F9" w:rsidRPr="00FD211F">
        <w:rPr>
          <w:sz w:val="36"/>
          <w:szCs w:val="36"/>
          <w:rtl/>
        </w:rPr>
        <w:t>صاحب</w:t>
      </w:r>
      <w:r w:rsidR="00E8128F">
        <w:rPr>
          <w:sz w:val="36"/>
          <w:szCs w:val="36"/>
          <w:rtl/>
        </w:rPr>
        <w:t xml:space="preserve"> </w:t>
      </w:r>
      <w:r w:rsidR="00DF09F9" w:rsidRPr="00FD211F">
        <w:rPr>
          <w:sz w:val="36"/>
          <w:szCs w:val="36"/>
          <w:rtl/>
        </w:rPr>
        <w:t>الفصول</w:t>
      </w:r>
      <w:r w:rsidR="00E8128F">
        <w:rPr>
          <w:sz w:val="36"/>
          <w:szCs w:val="36"/>
          <w:rtl/>
        </w:rPr>
        <w:t xml:space="preserve"> </w:t>
      </w:r>
      <w:r w:rsidR="00DF09F9" w:rsidRPr="00FD211F">
        <w:rPr>
          <w:sz w:val="36"/>
          <w:szCs w:val="36"/>
          <w:rtl/>
        </w:rPr>
        <w:t>بان</w:t>
      </w:r>
      <w:r w:rsidR="00E8128F">
        <w:rPr>
          <w:sz w:val="36"/>
          <w:szCs w:val="36"/>
          <w:rtl/>
        </w:rPr>
        <w:t xml:space="preserve"> </w:t>
      </w:r>
      <w:r w:rsidR="00DF09F9" w:rsidRPr="00FD211F">
        <w:rPr>
          <w:sz w:val="36"/>
          <w:szCs w:val="36"/>
          <w:rtl/>
        </w:rPr>
        <w:t>مصحح</w:t>
      </w:r>
      <w:r w:rsidR="00E8128F">
        <w:rPr>
          <w:sz w:val="36"/>
          <w:szCs w:val="36"/>
          <w:rtl/>
        </w:rPr>
        <w:t xml:space="preserve"> </w:t>
      </w:r>
      <w:r w:rsidR="00DF09F9" w:rsidRPr="00FD211F">
        <w:rPr>
          <w:sz w:val="36"/>
          <w:szCs w:val="36"/>
          <w:rtl/>
        </w:rPr>
        <w:t>الحمل</w:t>
      </w:r>
      <w:r w:rsidR="00E8128F">
        <w:rPr>
          <w:sz w:val="36"/>
          <w:szCs w:val="36"/>
          <w:rtl/>
        </w:rPr>
        <w:t xml:space="preserve"> </w:t>
      </w:r>
      <w:r w:rsidR="00DF09F9" w:rsidRPr="00FD211F">
        <w:rPr>
          <w:sz w:val="36"/>
          <w:szCs w:val="36"/>
          <w:rtl/>
        </w:rPr>
        <w:t>هو</w:t>
      </w:r>
      <w:r w:rsidR="00E8128F">
        <w:rPr>
          <w:sz w:val="36"/>
          <w:szCs w:val="36"/>
          <w:rtl/>
        </w:rPr>
        <w:t xml:space="preserve"> </w:t>
      </w:r>
      <w:r w:rsidR="00DF09F9" w:rsidRPr="00FD211F">
        <w:rPr>
          <w:sz w:val="36"/>
          <w:szCs w:val="36"/>
          <w:rtl/>
        </w:rPr>
        <w:t>الاتحاد</w:t>
      </w:r>
      <w:r w:rsidR="00E8128F">
        <w:rPr>
          <w:sz w:val="36"/>
          <w:szCs w:val="36"/>
          <w:rtl/>
        </w:rPr>
        <w:t xml:space="preserve"> </w:t>
      </w:r>
      <w:r w:rsidR="00DF09F9" w:rsidRPr="00FD211F">
        <w:rPr>
          <w:sz w:val="36"/>
          <w:szCs w:val="36"/>
          <w:rtl/>
        </w:rPr>
        <w:t>الوجودي</w:t>
      </w:r>
      <w:r w:rsidR="00E8128F">
        <w:rPr>
          <w:sz w:val="36"/>
          <w:szCs w:val="36"/>
          <w:rtl/>
        </w:rPr>
        <w:t xml:space="preserve"> </w:t>
      </w:r>
      <w:r w:rsidR="00DF09F9" w:rsidRPr="00FD211F">
        <w:rPr>
          <w:sz w:val="36"/>
          <w:szCs w:val="36"/>
          <w:rtl/>
        </w:rPr>
        <w:t>بين</w:t>
      </w:r>
      <w:r w:rsidR="00E8128F">
        <w:rPr>
          <w:sz w:val="36"/>
          <w:szCs w:val="36"/>
          <w:rtl/>
        </w:rPr>
        <w:t xml:space="preserve"> </w:t>
      </w:r>
      <w:r w:rsidR="00DF09F9" w:rsidRPr="00FD211F">
        <w:rPr>
          <w:sz w:val="36"/>
          <w:szCs w:val="36"/>
          <w:rtl/>
        </w:rPr>
        <w:t>الموضوع</w:t>
      </w:r>
      <w:r w:rsidR="00E8128F">
        <w:rPr>
          <w:sz w:val="36"/>
          <w:szCs w:val="36"/>
          <w:rtl/>
        </w:rPr>
        <w:t xml:space="preserve"> </w:t>
      </w:r>
      <w:r w:rsidR="00DF09F9" w:rsidRPr="00FD211F">
        <w:rPr>
          <w:sz w:val="36"/>
          <w:szCs w:val="36"/>
          <w:rtl/>
        </w:rPr>
        <w:t>والمحمول</w:t>
      </w:r>
      <w:r w:rsidR="00E8128F">
        <w:rPr>
          <w:sz w:val="36"/>
          <w:szCs w:val="36"/>
          <w:rtl/>
        </w:rPr>
        <w:t xml:space="preserve"> </w:t>
      </w:r>
      <w:r w:rsidR="00DF09F9" w:rsidRPr="00FD211F">
        <w:rPr>
          <w:sz w:val="36"/>
          <w:szCs w:val="36"/>
          <w:rtl/>
        </w:rPr>
        <w:t>فان</w:t>
      </w:r>
      <w:r w:rsidR="00E8128F">
        <w:rPr>
          <w:sz w:val="36"/>
          <w:szCs w:val="36"/>
          <w:rtl/>
        </w:rPr>
        <w:t xml:space="preserve"> </w:t>
      </w:r>
      <w:r w:rsidR="00DF09F9" w:rsidRPr="00FD211F">
        <w:rPr>
          <w:sz w:val="36"/>
          <w:szCs w:val="36"/>
          <w:rtl/>
        </w:rPr>
        <w:t>تحقق</w:t>
      </w:r>
      <w:r w:rsidR="00E8128F">
        <w:rPr>
          <w:sz w:val="36"/>
          <w:szCs w:val="36"/>
          <w:rtl/>
        </w:rPr>
        <w:t xml:space="preserve"> </w:t>
      </w:r>
      <w:r w:rsidR="00DF09F9" w:rsidRPr="00FD211F">
        <w:rPr>
          <w:sz w:val="36"/>
          <w:szCs w:val="36"/>
          <w:rtl/>
        </w:rPr>
        <w:t>ذلك</w:t>
      </w:r>
      <w:r w:rsidR="00E8128F">
        <w:rPr>
          <w:sz w:val="36"/>
          <w:szCs w:val="36"/>
          <w:rtl/>
        </w:rPr>
        <w:t xml:space="preserve"> </w:t>
      </w:r>
      <w:r w:rsidR="008D7B3D" w:rsidRPr="00FD211F">
        <w:rPr>
          <w:sz w:val="36"/>
          <w:szCs w:val="36"/>
          <w:rtl/>
        </w:rPr>
        <w:t>لم‌</w:t>
      </w:r>
      <w:r w:rsidR="00DF09F9" w:rsidRPr="00FD211F">
        <w:rPr>
          <w:sz w:val="36"/>
          <w:szCs w:val="36"/>
          <w:rtl/>
        </w:rPr>
        <w:t>يضر</w:t>
      </w:r>
      <w:r w:rsidR="00E8128F">
        <w:rPr>
          <w:sz w:val="36"/>
          <w:szCs w:val="36"/>
          <w:rtl/>
        </w:rPr>
        <w:t xml:space="preserve"> </w:t>
      </w:r>
      <w:r w:rsidR="00DF09F9" w:rsidRPr="00FD211F">
        <w:rPr>
          <w:sz w:val="36"/>
          <w:szCs w:val="36"/>
          <w:rtl/>
        </w:rPr>
        <w:t>اعتبار</w:t>
      </w:r>
      <w:r w:rsidR="00E8128F">
        <w:rPr>
          <w:sz w:val="36"/>
          <w:szCs w:val="36"/>
          <w:rtl/>
        </w:rPr>
        <w:t xml:space="preserve"> </w:t>
      </w:r>
      <w:r w:rsidR="0040555A" w:rsidRPr="00FD211F">
        <w:rPr>
          <w:sz w:val="36"/>
          <w:szCs w:val="36"/>
          <w:rtl/>
        </w:rPr>
        <w:t>المحمول</w:t>
      </w:r>
      <w:r w:rsidR="00E8128F">
        <w:rPr>
          <w:sz w:val="36"/>
          <w:szCs w:val="36"/>
          <w:rtl/>
        </w:rPr>
        <w:t xml:space="preserve"> </w:t>
      </w:r>
      <w:r w:rsidR="0040555A" w:rsidRPr="00FD211F">
        <w:rPr>
          <w:sz w:val="36"/>
          <w:szCs w:val="36"/>
          <w:rtl/>
        </w:rPr>
        <w:t>بشرط</w:t>
      </w:r>
      <w:r w:rsidR="00E8128F">
        <w:rPr>
          <w:sz w:val="36"/>
          <w:szCs w:val="36"/>
          <w:rtl/>
        </w:rPr>
        <w:t xml:space="preserve"> </w:t>
      </w:r>
      <w:r w:rsidR="0040555A" w:rsidRPr="00FD211F">
        <w:rPr>
          <w:sz w:val="36"/>
          <w:szCs w:val="36"/>
          <w:rtl/>
        </w:rPr>
        <w:t>لا</w:t>
      </w:r>
      <w:r w:rsidR="00E8128F">
        <w:rPr>
          <w:sz w:val="36"/>
          <w:szCs w:val="36"/>
          <w:rtl/>
        </w:rPr>
        <w:t xml:space="preserve"> </w:t>
      </w:r>
      <w:r w:rsidR="0040555A" w:rsidRPr="00FD211F">
        <w:rPr>
          <w:sz w:val="36"/>
          <w:szCs w:val="36"/>
          <w:rtl/>
        </w:rPr>
        <w:t>عن</w:t>
      </w:r>
      <w:r w:rsidR="00E8128F">
        <w:rPr>
          <w:sz w:val="36"/>
          <w:szCs w:val="36"/>
          <w:rtl/>
        </w:rPr>
        <w:t xml:space="preserve"> </w:t>
      </w:r>
      <w:r w:rsidR="0040555A" w:rsidRPr="00FD211F">
        <w:rPr>
          <w:sz w:val="36"/>
          <w:szCs w:val="36"/>
          <w:rtl/>
        </w:rPr>
        <w:t>الحمل</w:t>
      </w:r>
      <w:r w:rsidR="00E8128F">
        <w:rPr>
          <w:sz w:val="36"/>
          <w:szCs w:val="36"/>
          <w:rtl/>
        </w:rPr>
        <w:t xml:space="preserve"> </w:t>
      </w:r>
      <w:r w:rsidR="0040555A" w:rsidRPr="00FD211F">
        <w:rPr>
          <w:sz w:val="36"/>
          <w:szCs w:val="36"/>
          <w:rtl/>
        </w:rPr>
        <w:t>ولو</w:t>
      </w:r>
      <w:r w:rsidR="00E8128F">
        <w:rPr>
          <w:sz w:val="36"/>
          <w:szCs w:val="36"/>
          <w:rtl/>
        </w:rPr>
        <w:t xml:space="preserve"> </w:t>
      </w:r>
      <w:r w:rsidR="0040555A" w:rsidRPr="00FD211F">
        <w:rPr>
          <w:sz w:val="36"/>
          <w:szCs w:val="36"/>
          <w:rtl/>
        </w:rPr>
        <w:t>فقد</w:t>
      </w:r>
      <w:r w:rsidR="00E8128F">
        <w:rPr>
          <w:sz w:val="36"/>
          <w:szCs w:val="36"/>
          <w:rtl/>
        </w:rPr>
        <w:t xml:space="preserve"> </w:t>
      </w:r>
      <w:r w:rsidR="0040555A" w:rsidRPr="00FD211F">
        <w:rPr>
          <w:sz w:val="36"/>
          <w:szCs w:val="36"/>
          <w:rtl/>
        </w:rPr>
        <w:t>ذلك</w:t>
      </w:r>
      <w:r w:rsidR="00E8128F">
        <w:rPr>
          <w:sz w:val="36"/>
          <w:szCs w:val="36"/>
          <w:rtl/>
        </w:rPr>
        <w:t xml:space="preserve"> </w:t>
      </w:r>
      <w:r w:rsidR="008D7B3D" w:rsidRPr="00FD211F">
        <w:rPr>
          <w:sz w:val="36"/>
          <w:szCs w:val="36"/>
          <w:rtl/>
        </w:rPr>
        <w:t>لم‌</w:t>
      </w:r>
      <w:r w:rsidR="0040555A" w:rsidRPr="00FD211F">
        <w:rPr>
          <w:sz w:val="36"/>
          <w:szCs w:val="36"/>
          <w:rtl/>
        </w:rPr>
        <w:t>ينفع</w:t>
      </w:r>
      <w:r w:rsidR="00E8128F">
        <w:rPr>
          <w:sz w:val="36"/>
          <w:szCs w:val="36"/>
          <w:rtl/>
        </w:rPr>
        <w:t xml:space="preserve"> </w:t>
      </w:r>
      <w:r w:rsidR="0040555A" w:rsidRPr="00FD211F">
        <w:rPr>
          <w:sz w:val="36"/>
          <w:szCs w:val="36"/>
          <w:rtl/>
        </w:rPr>
        <w:t>اعتبار</w:t>
      </w:r>
      <w:r w:rsidR="00DF09F9" w:rsidRPr="00FD211F">
        <w:rPr>
          <w:sz w:val="36"/>
          <w:szCs w:val="36"/>
          <w:rtl/>
        </w:rPr>
        <w:t>ه</w:t>
      </w:r>
      <w:r w:rsidR="00E8128F">
        <w:rPr>
          <w:sz w:val="36"/>
          <w:szCs w:val="36"/>
          <w:rtl/>
        </w:rPr>
        <w:t xml:space="preserve"> </w:t>
      </w:r>
      <w:r w:rsidR="00DF09F9" w:rsidRPr="00FD211F">
        <w:rPr>
          <w:sz w:val="36"/>
          <w:szCs w:val="36"/>
          <w:rtl/>
        </w:rPr>
        <w:t>لابشرط</w:t>
      </w:r>
      <w:r w:rsidR="00E8128F">
        <w:rPr>
          <w:sz w:val="36"/>
          <w:szCs w:val="36"/>
          <w:rtl/>
        </w:rPr>
        <w:t xml:space="preserve"> </w:t>
      </w:r>
      <w:r w:rsidR="00DF09F9" w:rsidRPr="00FD211F">
        <w:rPr>
          <w:sz w:val="36"/>
          <w:szCs w:val="36"/>
          <w:rtl/>
        </w:rPr>
        <w:t>من</w:t>
      </w:r>
      <w:r w:rsidR="00E8128F">
        <w:rPr>
          <w:sz w:val="36"/>
          <w:szCs w:val="36"/>
          <w:rtl/>
        </w:rPr>
        <w:t xml:space="preserve"> </w:t>
      </w:r>
      <w:r w:rsidR="00DF09F9" w:rsidRPr="00FD211F">
        <w:rPr>
          <w:sz w:val="36"/>
          <w:szCs w:val="36"/>
          <w:rtl/>
        </w:rPr>
        <w:t>الحمل</w:t>
      </w:r>
      <w:r w:rsidR="009C58C8" w:rsidRPr="00FD211F">
        <w:rPr>
          <w:rStyle w:val="a6"/>
          <w:sz w:val="36"/>
          <w:szCs w:val="36"/>
          <w:rtl/>
        </w:rPr>
        <w:t>(</w:t>
      </w:r>
      <w:r w:rsidR="009C58C8" w:rsidRPr="00FD211F">
        <w:rPr>
          <w:rStyle w:val="a6"/>
          <w:sz w:val="36"/>
          <w:szCs w:val="36"/>
          <w:rtl/>
        </w:rPr>
        <w:footnoteReference w:id="580"/>
      </w:r>
      <w:r w:rsidR="009C58C8" w:rsidRPr="00FD211F">
        <w:rPr>
          <w:rStyle w:val="a6"/>
          <w:sz w:val="36"/>
          <w:szCs w:val="36"/>
          <w:rtl/>
        </w:rPr>
        <w:t>)</w:t>
      </w:r>
      <w:r w:rsidR="003B0E64" w:rsidRPr="00FD211F">
        <w:rPr>
          <w:sz w:val="36"/>
          <w:szCs w:val="36"/>
          <w:rtl/>
        </w:rPr>
        <w:t>.</w:t>
      </w:r>
    </w:p>
    <w:p w14:paraId="76EEB5DD" w14:textId="77777777" w:rsidR="000C5BBA" w:rsidRPr="00FD211F" w:rsidRDefault="00DF09F9" w:rsidP="00A12FCF">
      <w:pPr>
        <w:ind w:left="0" w:firstLine="227"/>
        <w:jc w:val="both"/>
        <w:rPr>
          <w:sz w:val="36"/>
          <w:szCs w:val="36"/>
          <w:rtl/>
        </w:rPr>
      </w:pPr>
      <w:r w:rsidRPr="00FD211F">
        <w:rPr>
          <w:sz w:val="36"/>
          <w:szCs w:val="36"/>
          <w:rtl/>
        </w:rPr>
        <w:t>و</w:t>
      </w:r>
      <w:r w:rsidR="003B0E64" w:rsidRPr="00FD211F">
        <w:rPr>
          <w:sz w:val="36"/>
          <w:szCs w:val="36"/>
          <w:rtl/>
        </w:rPr>
        <w:t>قد</w:t>
      </w:r>
      <w:r w:rsidR="00E8128F">
        <w:rPr>
          <w:sz w:val="36"/>
          <w:szCs w:val="36"/>
          <w:rtl/>
        </w:rPr>
        <w:t xml:space="preserve"> </w:t>
      </w:r>
      <w:r w:rsidR="003B0E64" w:rsidRPr="00FD211F">
        <w:rPr>
          <w:sz w:val="36"/>
          <w:szCs w:val="36"/>
          <w:rtl/>
        </w:rPr>
        <w:t>اجاب</w:t>
      </w:r>
      <w:r w:rsidR="00E8128F">
        <w:rPr>
          <w:sz w:val="36"/>
          <w:szCs w:val="36"/>
          <w:rtl/>
        </w:rPr>
        <w:t xml:space="preserve"> </w:t>
      </w:r>
      <w:r w:rsidR="003B0E64" w:rsidRPr="00FD211F">
        <w:rPr>
          <w:sz w:val="36"/>
          <w:szCs w:val="36"/>
          <w:rtl/>
        </w:rPr>
        <w:t>في</w:t>
      </w:r>
      <w:r w:rsidR="00E8128F">
        <w:rPr>
          <w:sz w:val="36"/>
          <w:szCs w:val="36"/>
          <w:rtl/>
        </w:rPr>
        <w:t xml:space="preserve"> </w:t>
      </w:r>
      <w:r w:rsidR="003B0E64" w:rsidRPr="00FD211F">
        <w:rPr>
          <w:sz w:val="36"/>
          <w:szCs w:val="36"/>
          <w:rtl/>
        </w:rPr>
        <w:t>البحوث</w:t>
      </w:r>
      <w:r w:rsidR="00E8128F">
        <w:rPr>
          <w:sz w:val="36"/>
          <w:szCs w:val="36"/>
          <w:rtl/>
        </w:rPr>
        <w:t xml:space="preserve"> </w:t>
      </w:r>
      <w:r w:rsidR="003B0E64" w:rsidRPr="00FD211F">
        <w:rPr>
          <w:sz w:val="36"/>
          <w:szCs w:val="36"/>
          <w:rtl/>
        </w:rPr>
        <w:t>عن</w:t>
      </w:r>
      <w:r w:rsidR="00E8128F">
        <w:rPr>
          <w:sz w:val="36"/>
          <w:szCs w:val="36"/>
          <w:rtl/>
        </w:rPr>
        <w:t xml:space="preserve"> </w:t>
      </w:r>
      <w:r w:rsidR="003B0E64" w:rsidRPr="00FD211F">
        <w:rPr>
          <w:sz w:val="36"/>
          <w:szCs w:val="36"/>
          <w:rtl/>
        </w:rPr>
        <w:t>هذا</w:t>
      </w:r>
      <w:r w:rsidR="00E8128F">
        <w:rPr>
          <w:sz w:val="36"/>
          <w:szCs w:val="36"/>
          <w:rtl/>
        </w:rPr>
        <w:t xml:space="preserve"> </w:t>
      </w:r>
      <w:r w:rsidR="0003206A" w:rsidRPr="00FD211F">
        <w:rPr>
          <w:sz w:val="36"/>
          <w:szCs w:val="36"/>
          <w:rtl/>
        </w:rPr>
        <w:t>الإيراد</w:t>
      </w:r>
      <w:r w:rsidR="00E8128F">
        <w:rPr>
          <w:sz w:val="36"/>
          <w:szCs w:val="36"/>
          <w:rtl/>
        </w:rPr>
        <w:t xml:space="preserve"> </w:t>
      </w:r>
      <w:r w:rsidR="0003206A" w:rsidRPr="00FD211F">
        <w:rPr>
          <w:sz w:val="36"/>
          <w:szCs w:val="36"/>
          <w:rtl/>
        </w:rPr>
        <w:t>ب</w:t>
      </w:r>
      <w:r w:rsidR="00C02970" w:rsidRPr="00FD211F">
        <w:rPr>
          <w:sz w:val="36"/>
          <w:szCs w:val="36"/>
          <w:rtl/>
        </w:rPr>
        <w:t>مامحصله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الاتحاد</w:t>
      </w:r>
      <w:r w:rsidR="00E8128F">
        <w:rPr>
          <w:sz w:val="36"/>
          <w:szCs w:val="36"/>
          <w:rtl/>
        </w:rPr>
        <w:t xml:space="preserve"> </w:t>
      </w:r>
      <w:r w:rsidRPr="00FD211F">
        <w:rPr>
          <w:sz w:val="36"/>
          <w:szCs w:val="36"/>
          <w:rtl/>
        </w:rPr>
        <w:t>الوجودي</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الموضوع</w:t>
      </w:r>
      <w:r w:rsidR="00E8128F">
        <w:rPr>
          <w:sz w:val="36"/>
          <w:szCs w:val="36"/>
          <w:rtl/>
        </w:rPr>
        <w:t xml:space="preserve"> </w:t>
      </w:r>
      <w:r w:rsidRPr="00FD211F">
        <w:rPr>
          <w:sz w:val="36"/>
          <w:szCs w:val="36"/>
          <w:rtl/>
        </w:rPr>
        <w:t>والمحمول</w:t>
      </w:r>
      <w:r w:rsidR="00E8128F">
        <w:rPr>
          <w:sz w:val="36"/>
          <w:szCs w:val="36"/>
          <w:rtl/>
        </w:rPr>
        <w:t xml:space="preserve"> </w:t>
      </w:r>
      <w:r w:rsidR="00B409F1" w:rsidRPr="00FD211F">
        <w:rPr>
          <w:sz w:val="36"/>
          <w:szCs w:val="36"/>
          <w:rtl/>
        </w:rPr>
        <w:t>و</w:t>
      </w:r>
      <w:r w:rsidR="00AE12CE" w:rsidRPr="00FD211F">
        <w:rPr>
          <w:sz w:val="36"/>
          <w:szCs w:val="36"/>
          <w:rtl/>
        </w:rPr>
        <w:t>ا</w:t>
      </w:r>
      <w:r w:rsidR="00B409F1" w:rsidRPr="00FD211F">
        <w:rPr>
          <w:sz w:val="36"/>
          <w:szCs w:val="36"/>
          <w:rtl/>
        </w:rPr>
        <w:t>ن</w:t>
      </w:r>
      <w:r w:rsidR="00E8128F">
        <w:rPr>
          <w:sz w:val="36"/>
          <w:szCs w:val="36"/>
          <w:rtl/>
        </w:rPr>
        <w:t xml:space="preserve"> </w:t>
      </w:r>
      <w:r w:rsidR="00B409F1" w:rsidRPr="00FD211F">
        <w:rPr>
          <w:sz w:val="36"/>
          <w:szCs w:val="36"/>
          <w:rtl/>
        </w:rPr>
        <w:t>كان</w:t>
      </w:r>
      <w:r w:rsidR="00E8128F">
        <w:rPr>
          <w:sz w:val="36"/>
          <w:szCs w:val="36"/>
          <w:rtl/>
        </w:rPr>
        <w:t xml:space="preserve"> </w:t>
      </w:r>
      <w:r w:rsidR="00B409F1" w:rsidRPr="00FD211F">
        <w:rPr>
          <w:sz w:val="36"/>
          <w:szCs w:val="36"/>
          <w:rtl/>
        </w:rPr>
        <w:t>شرطا</w:t>
      </w:r>
      <w:r w:rsidR="00E8128F">
        <w:rPr>
          <w:sz w:val="36"/>
          <w:szCs w:val="36"/>
          <w:rtl/>
        </w:rPr>
        <w:t xml:space="preserve"> </w:t>
      </w:r>
      <w:r w:rsidR="00B409F1" w:rsidRPr="00FD211F">
        <w:rPr>
          <w:sz w:val="36"/>
          <w:szCs w:val="36"/>
          <w:rtl/>
        </w:rPr>
        <w:t>لازما</w:t>
      </w:r>
      <w:r w:rsidR="00E8128F">
        <w:rPr>
          <w:sz w:val="36"/>
          <w:szCs w:val="36"/>
          <w:rtl/>
        </w:rPr>
        <w:t xml:space="preserve"> </w:t>
      </w:r>
      <w:r w:rsidR="00B409F1" w:rsidRPr="00FD211F">
        <w:rPr>
          <w:sz w:val="36"/>
          <w:szCs w:val="36"/>
          <w:rtl/>
        </w:rPr>
        <w:t>في</w:t>
      </w:r>
      <w:r w:rsidR="00E8128F">
        <w:rPr>
          <w:sz w:val="36"/>
          <w:szCs w:val="36"/>
          <w:rtl/>
        </w:rPr>
        <w:t xml:space="preserve"> </w:t>
      </w:r>
      <w:r w:rsidR="00B409F1" w:rsidRPr="00FD211F">
        <w:rPr>
          <w:sz w:val="36"/>
          <w:szCs w:val="36"/>
          <w:rtl/>
        </w:rPr>
        <w:t>تصحيح</w:t>
      </w:r>
      <w:r w:rsidR="00E8128F">
        <w:rPr>
          <w:sz w:val="36"/>
          <w:szCs w:val="36"/>
          <w:rtl/>
        </w:rPr>
        <w:t xml:space="preserve"> </w:t>
      </w:r>
      <w:r w:rsidR="00B409F1" w:rsidRPr="00FD211F">
        <w:rPr>
          <w:sz w:val="36"/>
          <w:szCs w:val="36"/>
          <w:rtl/>
        </w:rPr>
        <w:t>الحمل</w:t>
      </w:r>
      <w:r w:rsidR="00E8128F">
        <w:rPr>
          <w:sz w:val="36"/>
          <w:szCs w:val="36"/>
          <w:rtl/>
        </w:rPr>
        <w:t xml:space="preserve"> </w:t>
      </w:r>
      <w:r w:rsidR="00B409F1" w:rsidRPr="00FD211F">
        <w:rPr>
          <w:sz w:val="36"/>
          <w:szCs w:val="36"/>
          <w:rtl/>
        </w:rPr>
        <w:t>ولكنه</w:t>
      </w:r>
      <w:r w:rsidR="00E8128F">
        <w:rPr>
          <w:sz w:val="36"/>
          <w:szCs w:val="36"/>
          <w:rtl/>
        </w:rPr>
        <w:t xml:space="preserve"> </w:t>
      </w:r>
      <w:r w:rsidR="00B409F1" w:rsidRPr="00FD211F">
        <w:rPr>
          <w:sz w:val="36"/>
          <w:szCs w:val="36"/>
          <w:rtl/>
        </w:rPr>
        <w:t>لا</w:t>
      </w:r>
      <w:r w:rsidR="00E8128F">
        <w:rPr>
          <w:sz w:val="36"/>
          <w:szCs w:val="36"/>
          <w:rtl/>
        </w:rPr>
        <w:t xml:space="preserve"> </w:t>
      </w:r>
      <w:r w:rsidR="00B409F1" w:rsidRPr="00FD211F">
        <w:rPr>
          <w:sz w:val="36"/>
          <w:szCs w:val="36"/>
          <w:rtl/>
        </w:rPr>
        <w:t>يكفي</w:t>
      </w:r>
      <w:r w:rsidR="00E8128F">
        <w:rPr>
          <w:sz w:val="36"/>
          <w:szCs w:val="36"/>
          <w:rtl/>
        </w:rPr>
        <w:t xml:space="preserve"> </w:t>
      </w:r>
      <w:r w:rsidR="00B409F1" w:rsidRPr="00FD211F">
        <w:rPr>
          <w:sz w:val="36"/>
          <w:szCs w:val="36"/>
          <w:rtl/>
        </w:rPr>
        <w:t>وحده</w:t>
      </w:r>
      <w:r w:rsidR="00603323" w:rsidRPr="00FD211F">
        <w:rPr>
          <w:sz w:val="36"/>
          <w:szCs w:val="36"/>
          <w:rtl/>
        </w:rPr>
        <w:t>،</w:t>
      </w:r>
      <w:r w:rsidR="00E8128F">
        <w:rPr>
          <w:sz w:val="36"/>
          <w:szCs w:val="36"/>
          <w:rtl/>
        </w:rPr>
        <w:t xml:space="preserve"> </w:t>
      </w:r>
      <w:r w:rsidRPr="00FD211F">
        <w:rPr>
          <w:sz w:val="36"/>
          <w:szCs w:val="36"/>
          <w:rtl/>
        </w:rPr>
        <w:t>فانه</w:t>
      </w:r>
      <w:r w:rsidR="00E8128F">
        <w:rPr>
          <w:sz w:val="36"/>
          <w:szCs w:val="36"/>
          <w:rtl/>
        </w:rPr>
        <w:t xml:space="preserve"> </w:t>
      </w:r>
      <w:r w:rsidR="00E95963" w:rsidRPr="00FD211F">
        <w:rPr>
          <w:sz w:val="36"/>
          <w:szCs w:val="36"/>
          <w:rtl/>
        </w:rPr>
        <w:t>بناء</w:t>
      </w:r>
      <w:r w:rsidR="00E8128F">
        <w:rPr>
          <w:sz w:val="36"/>
          <w:szCs w:val="36"/>
          <w:rtl/>
        </w:rPr>
        <w:t xml:space="preserve"> </w:t>
      </w:r>
      <w:r w:rsidR="00E95963" w:rsidRPr="00FD211F">
        <w:rPr>
          <w:sz w:val="36"/>
          <w:szCs w:val="36"/>
          <w:rtl/>
        </w:rPr>
        <w:t>على</w:t>
      </w:r>
      <w:r w:rsidR="00E8128F">
        <w:rPr>
          <w:sz w:val="36"/>
          <w:szCs w:val="36"/>
          <w:rtl/>
        </w:rPr>
        <w:t xml:space="preserve"> </w:t>
      </w:r>
      <w:r w:rsidR="0047356B" w:rsidRPr="00FD211F">
        <w:rPr>
          <w:sz w:val="36"/>
          <w:szCs w:val="36"/>
          <w:rtl/>
        </w:rPr>
        <w:t>مسلك</w:t>
      </w:r>
      <w:r w:rsidR="00E8128F">
        <w:rPr>
          <w:sz w:val="36"/>
          <w:szCs w:val="36"/>
          <w:rtl/>
        </w:rPr>
        <w:t xml:space="preserve"> </w:t>
      </w:r>
      <w:r w:rsidR="0047356B" w:rsidRPr="00FD211F">
        <w:rPr>
          <w:sz w:val="36"/>
          <w:szCs w:val="36"/>
          <w:rtl/>
        </w:rPr>
        <w:t>المشهور</w:t>
      </w:r>
      <w:r w:rsidR="00E8128F">
        <w:rPr>
          <w:sz w:val="36"/>
          <w:szCs w:val="36"/>
          <w:rtl/>
        </w:rPr>
        <w:t xml:space="preserve"> </w:t>
      </w:r>
      <w:r w:rsidR="0047356B" w:rsidRPr="00FD211F">
        <w:rPr>
          <w:sz w:val="36"/>
          <w:szCs w:val="36"/>
          <w:rtl/>
        </w:rPr>
        <w:t>من</w:t>
      </w:r>
      <w:r w:rsidR="00E8128F">
        <w:rPr>
          <w:sz w:val="36"/>
          <w:szCs w:val="36"/>
          <w:rtl/>
        </w:rPr>
        <w:t xml:space="preserve"> </w:t>
      </w:r>
      <w:r w:rsidR="0047356B" w:rsidRPr="00FD211F">
        <w:rPr>
          <w:sz w:val="36"/>
          <w:szCs w:val="36"/>
          <w:rtl/>
        </w:rPr>
        <w:t>امكان</w:t>
      </w:r>
      <w:r w:rsidR="00E8128F">
        <w:rPr>
          <w:sz w:val="36"/>
          <w:szCs w:val="36"/>
          <w:rtl/>
        </w:rPr>
        <w:t xml:space="preserve"> </w:t>
      </w:r>
      <w:r w:rsidR="0047356B" w:rsidRPr="00FD211F">
        <w:rPr>
          <w:sz w:val="36"/>
          <w:szCs w:val="36"/>
          <w:rtl/>
        </w:rPr>
        <w:t>اختصاص</w:t>
      </w:r>
      <w:r w:rsidR="00E8128F">
        <w:rPr>
          <w:sz w:val="36"/>
          <w:szCs w:val="36"/>
          <w:rtl/>
        </w:rPr>
        <w:t xml:space="preserve"> </w:t>
      </w:r>
      <w:r w:rsidR="0040555A" w:rsidRPr="00FD211F">
        <w:rPr>
          <w:sz w:val="36"/>
          <w:szCs w:val="36"/>
          <w:rtl/>
        </w:rPr>
        <w:t>العلق</w:t>
      </w:r>
      <w:r w:rsidR="00EC7EDF" w:rsidRPr="00FD211F">
        <w:rPr>
          <w:sz w:val="36"/>
          <w:szCs w:val="36"/>
          <w:rtl/>
        </w:rPr>
        <w:t>ة</w:t>
      </w:r>
      <w:r w:rsidR="00E8128F">
        <w:rPr>
          <w:sz w:val="36"/>
          <w:szCs w:val="36"/>
          <w:rtl/>
        </w:rPr>
        <w:t xml:space="preserve"> </w:t>
      </w:r>
      <w:r w:rsidR="0040555A" w:rsidRPr="00FD211F">
        <w:rPr>
          <w:sz w:val="36"/>
          <w:szCs w:val="36"/>
          <w:rtl/>
        </w:rPr>
        <w:t>الوضعي</w:t>
      </w:r>
      <w:r w:rsidR="00EC7EDF" w:rsidRPr="00FD211F">
        <w:rPr>
          <w:sz w:val="36"/>
          <w:szCs w:val="36"/>
          <w:rtl/>
        </w:rPr>
        <w:t>ة</w:t>
      </w:r>
      <w:r w:rsidR="00E8128F">
        <w:rPr>
          <w:sz w:val="36"/>
          <w:szCs w:val="36"/>
          <w:rtl/>
        </w:rPr>
        <w:t xml:space="preserve"> </w:t>
      </w:r>
      <w:r w:rsidR="0047356B" w:rsidRPr="00FD211F">
        <w:rPr>
          <w:sz w:val="36"/>
          <w:szCs w:val="36"/>
          <w:rtl/>
        </w:rPr>
        <w:t>بين</w:t>
      </w:r>
      <w:r w:rsidR="00E8128F">
        <w:rPr>
          <w:sz w:val="36"/>
          <w:szCs w:val="36"/>
          <w:rtl/>
        </w:rPr>
        <w:t xml:space="preserve"> </w:t>
      </w:r>
      <w:r w:rsidR="0047356B" w:rsidRPr="00FD211F">
        <w:rPr>
          <w:sz w:val="36"/>
          <w:szCs w:val="36"/>
          <w:rtl/>
        </w:rPr>
        <w:t>اللفظ</w:t>
      </w:r>
      <w:r w:rsidR="00E8128F">
        <w:rPr>
          <w:sz w:val="36"/>
          <w:szCs w:val="36"/>
          <w:rtl/>
        </w:rPr>
        <w:t xml:space="preserve"> </w:t>
      </w:r>
      <w:r w:rsidR="0047356B" w:rsidRPr="00FD211F">
        <w:rPr>
          <w:sz w:val="36"/>
          <w:szCs w:val="36"/>
          <w:rtl/>
        </w:rPr>
        <w:t>والمعنى</w:t>
      </w:r>
      <w:r w:rsidR="00E8128F">
        <w:rPr>
          <w:sz w:val="36"/>
          <w:szCs w:val="36"/>
          <w:rtl/>
        </w:rPr>
        <w:t xml:space="preserve"> </w:t>
      </w:r>
      <w:r w:rsidR="0047356B" w:rsidRPr="00FD211F">
        <w:rPr>
          <w:sz w:val="36"/>
          <w:szCs w:val="36"/>
          <w:rtl/>
        </w:rPr>
        <w:t>بحال</w:t>
      </w:r>
      <w:r w:rsidR="00E8128F">
        <w:rPr>
          <w:sz w:val="36"/>
          <w:szCs w:val="36"/>
          <w:rtl/>
        </w:rPr>
        <w:t xml:space="preserve"> </w:t>
      </w:r>
      <w:r w:rsidR="0047356B" w:rsidRPr="00FD211F">
        <w:rPr>
          <w:sz w:val="36"/>
          <w:szCs w:val="36"/>
          <w:rtl/>
        </w:rPr>
        <w:t>دون</w:t>
      </w:r>
      <w:r w:rsidR="00E8128F">
        <w:rPr>
          <w:sz w:val="36"/>
          <w:szCs w:val="36"/>
          <w:rtl/>
        </w:rPr>
        <w:t xml:space="preserve"> </w:t>
      </w:r>
      <w:r w:rsidR="0047356B" w:rsidRPr="00FD211F">
        <w:rPr>
          <w:sz w:val="36"/>
          <w:szCs w:val="36"/>
          <w:rtl/>
        </w:rPr>
        <w:t>حال</w:t>
      </w:r>
      <w:r w:rsidR="00E8128F">
        <w:rPr>
          <w:sz w:val="36"/>
          <w:szCs w:val="36"/>
          <w:rtl/>
        </w:rPr>
        <w:t xml:space="preserve"> </w:t>
      </w:r>
      <w:r w:rsidR="00D044AC" w:rsidRPr="00FD211F">
        <w:rPr>
          <w:sz w:val="36"/>
          <w:szCs w:val="36"/>
          <w:rtl/>
        </w:rPr>
        <w:t>-</w:t>
      </w:r>
      <w:r w:rsidR="0047356B" w:rsidRPr="00FD211F">
        <w:rPr>
          <w:sz w:val="36"/>
          <w:szCs w:val="36"/>
          <w:rtl/>
        </w:rPr>
        <w:t>كاختصاص</w:t>
      </w:r>
      <w:r w:rsidR="001B546D" w:rsidRPr="00FD211F">
        <w:rPr>
          <w:sz w:val="36"/>
          <w:szCs w:val="36"/>
          <w:rtl/>
        </w:rPr>
        <w:t>ها</w:t>
      </w:r>
      <w:r w:rsidR="00E8128F">
        <w:rPr>
          <w:sz w:val="36"/>
          <w:szCs w:val="36"/>
          <w:rtl/>
        </w:rPr>
        <w:t xml:space="preserve"> </w:t>
      </w:r>
      <w:r w:rsidR="001B546D" w:rsidRPr="00FD211F">
        <w:rPr>
          <w:sz w:val="36"/>
          <w:szCs w:val="36"/>
          <w:rtl/>
        </w:rPr>
        <w:t>ب</w:t>
      </w:r>
      <w:r w:rsidR="0047356B" w:rsidRPr="00FD211F">
        <w:rPr>
          <w:sz w:val="36"/>
          <w:szCs w:val="36"/>
          <w:rtl/>
        </w:rPr>
        <w:t>حال</w:t>
      </w:r>
      <w:r w:rsidR="00E8128F">
        <w:rPr>
          <w:sz w:val="36"/>
          <w:szCs w:val="36"/>
          <w:rtl/>
        </w:rPr>
        <w:t xml:space="preserve"> </w:t>
      </w:r>
      <w:r w:rsidR="001B546D" w:rsidRPr="00FD211F">
        <w:rPr>
          <w:sz w:val="36"/>
          <w:szCs w:val="36"/>
          <w:rtl/>
        </w:rPr>
        <w:t>اراد</w:t>
      </w:r>
      <w:r w:rsidR="00EC7EDF" w:rsidRPr="00FD211F">
        <w:rPr>
          <w:sz w:val="36"/>
          <w:szCs w:val="36"/>
          <w:rtl/>
        </w:rPr>
        <w:t>ة</w:t>
      </w:r>
      <w:r w:rsidR="00E8128F">
        <w:rPr>
          <w:sz w:val="36"/>
          <w:szCs w:val="36"/>
          <w:rtl/>
        </w:rPr>
        <w:t xml:space="preserve"> </w:t>
      </w:r>
      <w:r w:rsidR="001B546D" w:rsidRPr="00FD211F">
        <w:rPr>
          <w:sz w:val="36"/>
          <w:szCs w:val="36"/>
          <w:rtl/>
        </w:rPr>
        <w:t>المتكلم</w:t>
      </w:r>
      <w:r w:rsidR="00E8128F">
        <w:rPr>
          <w:sz w:val="36"/>
          <w:szCs w:val="36"/>
          <w:rtl/>
        </w:rPr>
        <w:t xml:space="preserve"> </w:t>
      </w:r>
      <w:r w:rsidR="001B546D" w:rsidRPr="00FD211F">
        <w:rPr>
          <w:sz w:val="36"/>
          <w:szCs w:val="36"/>
          <w:rtl/>
        </w:rPr>
        <w:t>تفهيم</w:t>
      </w:r>
      <w:r w:rsidR="00E8128F">
        <w:rPr>
          <w:sz w:val="36"/>
          <w:szCs w:val="36"/>
          <w:rtl/>
        </w:rPr>
        <w:t xml:space="preserve"> </w:t>
      </w:r>
      <w:r w:rsidR="001B546D" w:rsidRPr="00FD211F">
        <w:rPr>
          <w:sz w:val="36"/>
          <w:szCs w:val="36"/>
          <w:rtl/>
        </w:rPr>
        <w:t>المعنى</w:t>
      </w:r>
      <w:r w:rsidR="00E8128F">
        <w:rPr>
          <w:sz w:val="36"/>
          <w:szCs w:val="36"/>
          <w:rtl/>
        </w:rPr>
        <w:t xml:space="preserve"> </w:t>
      </w:r>
      <w:r w:rsidR="001B546D" w:rsidRPr="00FD211F">
        <w:rPr>
          <w:sz w:val="36"/>
          <w:szCs w:val="36"/>
          <w:rtl/>
        </w:rPr>
        <w:t>كما</w:t>
      </w:r>
      <w:r w:rsidR="00E8128F">
        <w:rPr>
          <w:sz w:val="36"/>
          <w:szCs w:val="36"/>
          <w:rtl/>
        </w:rPr>
        <w:t xml:space="preserve"> </w:t>
      </w:r>
      <w:r w:rsidR="001B546D" w:rsidRPr="00FD211F">
        <w:rPr>
          <w:sz w:val="36"/>
          <w:szCs w:val="36"/>
          <w:rtl/>
        </w:rPr>
        <w:t>هومبنى</w:t>
      </w:r>
      <w:r w:rsidR="00E8128F">
        <w:rPr>
          <w:sz w:val="36"/>
          <w:szCs w:val="36"/>
          <w:rtl/>
        </w:rPr>
        <w:t xml:space="preserve"> </w:t>
      </w:r>
      <w:r w:rsidR="001B546D" w:rsidRPr="00FD211F">
        <w:rPr>
          <w:sz w:val="36"/>
          <w:szCs w:val="36"/>
          <w:rtl/>
        </w:rPr>
        <w:t>القول</w:t>
      </w:r>
      <w:r w:rsidR="00E8128F">
        <w:rPr>
          <w:sz w:val="36"/>
          <w:szCs w:val="36"/>
          <w:rtl/>
        </w:rPr>
        <w:t xml:space="preserve"> </w:t>
      </w:r>
      <w:r w:rsidR="001B546D" w:rsidRPr="00FD211F">
        <w:rPr>
          <w:sz w:val="36"/>
          <w:szCs w:val="36"/>
          <w:rtl/>
        </w:rPr>
        <w:t>بتبعي</w:t>
      </w:r>
      <w:r w:rsidR="00EC7EDF" w:rsidRPr="00FD211F">
        <w:rPr>
          <w:sz w:val="36"/>
          <w:szCs w:val="36"/>
          <w:rtl/>
        </w:rPr>
        <w:t>ة</w:t>
      </w:r>
      <w:r w:rsidR="00E8128F">
        <w:rPr>
          <w:sz w:val="36"/>
          <w:szCs w:val="36"/>
          <w:rtl/>
        </w:rPr>
        <w:t xml:space="preserve"> </w:t>
      </w:r>
      <w:r w:rsidR="001B546D" w:rsidRPr="00FD211F">
        <w:rPr>
          <w:sz w:val="36"/>
          <w:szCs w:val="36"/>
          <w:rtl/>
        </w:rPr>
        <w:t>الدلال</w:t>
      </w:r>
      <w:r w:rsidR="00EC7EDF" w:rsidRPr="00FD211F">
        <w:rPr>
          <w:sz w:val="36"/>
          <w:szCs w:val="36"/>
          <w:rtl/>
        </w:rPr>
        <w:t>ة</w:t>
      </w:r>
      <w:r w:rsidR="00E8128F">
        <w:rPr>
          <w:sz w:val="36"/>
          <w:szCs w:val="36"/>
          <w:rtl/>
        </w:rPr>
        <w:t xml:space="preserve"> </w:t>
      </w:r>
      <w:r w:rsidR="001B546D" w:rsidRPr="00FD211F">
        <w:rPr>
          <w:sz w:val="36"/>
          <w:szCs w:val="36"/>
          <w:rtl/>
        </w:rPr>
        <w:t>للاراد</w:t>
      </w:r>
      <w:r w:rsidR="00EC7EDF" w:rsidRPr="00FD211F">
        <w:rPr>
          <w:sz w:val="36"/>
          <w:szCs w:val="36"/>
          <w:rtl/>
        </w:rPr>
        <w:t>ة</w:t>
      </w:r>
      <w:r w:rsidR="00E8128F">
        <w:rPr>
          <w:sz w:val="36"/>
          <w:szCs w:val="36"/>
          <w:rtl/>
        </w:rPr>
        <w:t xml:space="preserve"> </w:t>
      </w:r>
      <w:r w:rsidR="001B546D" w:rsidRPr="00FD211F">
        <w:rPr>
          <w:sz w:val="36"/>
          <w:szCs w:val="36"/>
          <w:rtl/>
        </w:rPr>
        <w:t>او</w:t>
      </w:r>
      <w:r w:rsidR="0047356B" w:rsidRPr="00FD211F">
        <w:rPr>
          <w:sz w:val="36"/>
          <w:szCs w:val="36"/>
          <w:rtl/>
        </w:rPr>
        <w:t>اختصاص</w:t>
      </w:r>
      <w:r w:rsidR="00D044AC" w:rsidRPr="00FD211F">
        <w:rPr>
          <w:sz w:val="36"/>
          <w:szCs w:val="36"/>
          <w:rtl/>
        </w:rPr>
        <w:t>هاب</w:t>
      </w:r>
      <w:r w:rsidR="0047356B" w:rsidRPr="00FD211F">
        <w:rPr>
          <w:sz w:val="36"/>
          <w:szCs w:val="36"/>
          <w:rtl/>
        </w:rPr>
        <w:t>حال</w:t>
      </w:r>
      <w:r w:rsidR="00E8128F">
        <w:rPr>
          <w:sz w:val="36"/>
          <w:szCs w:val="36"/>
          <w:rtl/>
        </w:rPr>
        <w:t xml:space="preserve"> </w:t>
      </w:r>
      <w:r w:rsidR="001B546D" w:rsidRPr="00FD211F">
        <w:rPr>
          <w:sz w:val="36"/>
          <w:szCs w:val="36"/>
          <w:rtl/>
        </w:rPr>
        <w:t>لحاظ</w:t>
      </w:r>
      <w:r w:rsidR="00E8128F">
        <w:rPr>
          <w:sz w:val="36"/>
          <w:szCs w:val="36"/>
          <w:rtl/>
        </w:rPr>
        <w:t xml:space="preserve"> </w:t>
      </w:r>
      <w:r w:rsidR="001B546D" w:rsidRPr="00FD211F">
        <w:rPr>
          <w:sz w:val="36"/>
          <w:szCs w:val="36"/>
          <w:rtl/>
        </w:rPr>
        <w:t>المتكلم</w:t>
      </w:r>
      <w:r w:rsidR="00E8128F">
        <w:rPr>
          <w:sz w:val="36"/>
          <w:szCs w:val="36"/>
          <w:rtl/>
        </w:rPr>
        <w:t xml:space="preserve"> </w:t>
      </w:r>
      <w:r w:rsidR="001B546D" w:rsidRPr="00FD211F">
        <w:rPr>
          <w:sz w:val="36"/>
          <w:szCs w:val="36"/>
          <w:rtl/>
        </w:rPr>
        <w:t>للمعنى</w:t>
      </w:r>
      <w:r w:rsidR="00E8128F">
        <w:rPr>
          <w:sz w:val="36"/>
          <w:szCs w:val="36"/>
          <w:rtl/>
        </w:rPr>
        <w:t xml:space="preserve"> </w:t>
      </w:r>
      <w:r w:rsidR="00D044AC" w:rsidRPr="00FD211F">
        <w:rPr>
          <w:sz w:val="36"/>
          <w:szCs w:val="36"/>
          <w:rtl/>
        </w:rPr>
        <w:t>آلياكماهو</w:t>
      </w:r>
      <w:r w:rsidR="00E8128F">
        <w:rPr>
          <w:sz w:val="36"/>
          <w:szCs w:val="36"/>
          <w:rtl/>
        </w:rPr>
        <w:t xml:space="preserve"> </w:t>
      </w:r>
      <w:r w:rsidR="00D044AC" w:rsidRPr="00FD211F">
        <w:rPr>
          <w:sz w:val="36"/>
          <w:szCs w:val="36"/>
          <w:rtl/>
        </w:rPr>
        <w:t>مبنى</w:t>
      </w:r>
      <w:r w:rsidR="00E8128F">
        <w:rPr>
          <w:sz w:val="36"/>
          <w:szCs w:val="36"/>
          <w:rtl/>
        </w:rPr>
        <w:t xml:space="preserve"> </w:t>
      </w:r>
      <w:r w:rsidR="00D044AC" w:rsidRPr="00FD211F">
        <w:rPr>
          <w:sz w:val="36"/>
          <w:szCs w:val="36"/>
          <w:rtl/>
        </w:rPr>
        <w:t>صاحب</w:t>
      </w:r>
      <w:r w:rsidR="00E8128F">
        <w:rPr>
          <w:sz w:val="36"/>
          <w:szCs w:val="36"/>
          <w:rtl/>
        </w:rPr>
        <w:t xml:space="preserve"> </w:t>
      </w:r>
      <w:r w:rsidR="00D044AC" w:rsidRPr="00FD211F">
        <w:rPr>
          <w:sz w:val="36"/>
          <w:szCs w:val="36"/>
          <w:rtl/>
        </w:rPr>
        <w:t>الكفاي</w:t>
      </w:r>
      <w:r w:rsidR="00EC7EDF" w:rsidRPr="00FD211F">
        <w:rPr>
          <w:sz w:val="36"/>
          <w:szCs w:val="36"/>
          <w:rtl/>
        </w:rPr>
        <w:t>ة</w:t>
      </w:r>
      <w:r w:rsidR="00E8128F">
        <w:rPr>
          <w:sz w:val="36"/>
          <w:szCs w:val="36"/>
          <w:rtl/>
        </w:rPr>
        <w:t xml:space="preserve"> </w:t>
      </w:r>
      <w:r w:rsidR="00D044AC" w:rsidRPr="00FD211F">
        <w:rPr>
          <w:sz w:val="36"/>
          <w:szCs w:val="36"/>
          <w:rtl/>
        </w:rPr>
        <w:t>في</w:t>
      </w:r>
      <w:r w:rsidR="00E8128F">
        <w:rPr>
          <w:sz w:val="36"/>
          <w:szCs w:val="36"/>
          <w:rtl/>
        </w:rPr>
        <w:t xml:space="preserve"> </w:t>
      </w:r>
      <w:r w:rsidR="0047356B" w:rsidRPr="00FD211F">
        <w:rPr>
          <w:sz w:val="36"/>
          <w:szCs w:val="36"/>
          <w:rtl/>
        </w:rPr>
        <w:t>وضع</w:t>
      </w:r>
      <w:r w:rsidR="00E8128F">
        <w:rPr>
          <w:sz w:val="36"/>
          <w:szCs w:val="36"/>
          <w:rtl/>
        </w:rPr>
        <w:t xml:space="preserve"> </w:t>
      </w:r>
      <w:r w:rsidR="0047356B" w:rsidRPr="00FD211F">
        <w:rPr>
          <w:sz w:val="36"/>
          <w:szCs w:val="36"/>
          <w:rtl/>
        </w:rPr>
        <w:t>الحروف</w:t>
      </w:r>
      <w:r w:rsidR="00E8128F">
        <w:rPr>
          <w:sz w:val="36"/>
          <w:szCs w:val="36"/>
          <w:rtl/>
        </w:rPr>
        <w:t xml:space="preserve"> </w:t>
      </w:r>
      <w:r w:rsidR="00D044AC" w:rsidRPr="00FD211F">
        <w:rPr>
          <w:sz w:val="36"/>
          <w:szCs w:val="36"/>
          <w:rtl/>
        </w:rPr>
        <w:t>-</w:t>
      </w:r>
      <w:r w:rsidR="00E8128F">
        <w:rPr>
          <w:sz w:val="36"/>
          <w:szCs w:val="36"/>
          <w:rtl/>
        </w:rPr>
        <w:t xml:space="preserve"> </w:t>
      </w:r>
      <w:r w:rsidR="0003206A" w:rsidRPr="00FD211F">
        <w:rPr>
          <w:sz w:val="36"/>
          <w:szCs w:val="36"/>
          <w:rtl/>
        </w:rPr>
        <w:t>فيمكن</w:t>
      </w:r>
      <w:r w:rsidR="00E8128F">
        <w:rPr>
          <w:sz w:val="36"/>
          <w:szCs w:val="36"/>
          <w:rtl/>
        </w:rPr>
        <w:t xml:space="preserve"> </w:t>
      </w:r>
      <w:r w:rsidR="0040555A" w:rsidRPr="00FD211F">
        <w:rPr>
          <w:sz w:val="36"/>
          <w:szCs w:val="36"/>
          <w:rtl/>
        </w:rPr>
        <w:t>ا</w:t>
      </w:r>
      <w:r w:rsidRPr="00FD211F">
        <w:rPr>
          <w:sz w:val="36"/>
          <w:szCs w:val="36"/>
          <w:rtl/>
        </w:rPr>
        <w:t>ن</w:t>
      </w:r>
      <w:r w:rsidR="00E8128F">
        <w:rPr>
          <w:sz w:val="36"/>
          <w:szCs w:val="36"/>
          <w:rtl/>
        </w:rPr>
        <w:t xml:space="preserve"> </w:t>
      </w:r>
      <w:r w:rsidR="00D044AC" w:rsidRPr="00FD211F">
        <w:rPr>
          <w:sz w:val="36"/>
          <w:szCs w:val="36"/>
          <w:rtl/>
        </w:rPr>
        <w:t>يقيدوضع</w:t>
      </w:r>
      <w:r w:rsidR="00E8128F">
        <w:rPr>
          <w:sz w:val="36"/>
          <w:szCs w:val="36"/>
          <w:rtl/>
        </w:rPr>
        <w:t xml:space="preserve"> </w:t>
      </w:r>
      <w:r w:rsidR="00D044AC" w:rsidRPr="00FD211F">
        <w:rPr>
          <w:sz w:val="36"/>
          <w:szCs w:val="36"/>
          <w:rtl/>
        </w:rPr>
        <w:t>لفظ</w:t>
      </w:r>
      <w:r w:rsidR="00E8128F">
        <w:rPr>
          <w:sz w:val="36"/>
          <w:szCs w:val="36"/>
          <w:rtl/>
        </w:rPr>
        <w:t xml:space="preserve"> </w:t>
      </w:r>
      <w:r w:rsidR="00192647" w:rsidRPr="00FD211F">
        <w:rPr>
          <w:sz w:val="36"/>
          <w:szCs w:val="36"/>
          <w:rtl/>
        </w:rPr>
        <w:t>القيام</w:t>
      </w:r>
      <w:r w:rsidR="00E8128F">
        <w:rPr>
          <w:sz w:val="36"/>
          <w:szCs w:val="36"/>
          <w:rtl/>
        </w:rPr>
        <w:t xml:space="preserve"> </w:t>
      </w:r>
      <w:r w:rsidR="00192647" w:rsidRPr="00FD211F">
        <w:rPr>
          <w:sz w:val="36"/>
          <w:szCs w:val="36"/>
          <w:rtl/>
        </w:rPr>
        <w:t>مثلا</w:t>
      </w:r>
      <w:r w:rsidR="00D044AC" w:rsidRPr="00FD211F">
        <w:rPr>
          <w:sz w:val="36"/>
          <w:szCs w:val="36"/>
          <w:rtl/>
        </w:rPr>
        <w:t>على</w:t>
      </w:r>
      <w:r w:rsidR="00E8128F">
        <w:rPr>
          <w:sz w:val="36"/>
          <w:szCs w:val="36"/>
          <w:rtl/>
        </w:rPr>
        <w:t xml:space="preserve"> </w:t>
      </w:r>
      <w:r w:rsidR="00192647" w:rsidRPr="00FD211F">
        <w:rPr>
          <w:sz w:val="36"/>
          <w:szCs w:val="36"/>
          <w:rtl/>
        </w:rPr>
        <w:t>حدث</w:t>
      </w:r>
      <w:r w:rsidR="00E8128F">
        <w:rPr>
          <w:sz w:val="36"/>
          <w:szCs w:val="36"/>
          <w:rtl/>
        </w:rPr>
        <w:t xml:space="preserve"> </w:t>
      </w:r>
      <w:r w:rsidR="00192647" w:rsidRPr="00FD211F">
        <w:rPr>
          <w:sz w:val="36"/>
          <w:szCs w:val="36"/>
          <w:rtl/>
        </w:rPr>
        <w:t>القيام</w:t>
      </w:r>
      <w:r w:rsidR="00E8128F">
        <w:rPr>
          <w:sz w:val="36"/>
          <w:szCs w:val="36"/>
          <w:rtl/>
        </w:rPr>
        <w:t xml:space="preserve"> </w:t>
      </w:r>
      <w:r w:rsidR="00D044AC" w:rsidRPr="00FD211F">
        <w:rPr>
          <w:sz w:val="36"/>
          <w:szCs w:val="36"/>
          <w:rtl/>
        </w:rPr>
        <w:t>بصور</w:t>
      </w:r>
      <w:r w:rsidR="00EC7EDF" w:rsidRPr="00FD211F">
        <w:rPr>
          <w:sz w:val="36"/>
          <w:szCs w:val="36"/>
          <w:rtl/>
        </w:rPr>
        <w:t>ة</w:t>
      </w:r>
      <w:r w:rsidR="00E8128F">
        <w:rPr>
          <w:sz w:val="36"/>
          <w:szCs w:val="36"/>
          <w:rtl/>
        </w:rPr>
        <w:t xml:space="preserve"> </w:t>
      </w:r>
      <w:r w:rsidR="00D044AC" w:rsidRPr="00FD211F">
        <w:rPr>
          <w:sz w:val="36"/>
          <w:szCs w:val="36"/>
          <w:rtl/>
        </w:rPr>
        <w:t>عدم</w:t>
      </w:r>
      <w:r w:rsidR="00E8128F">
        <w:rPr>
          <w:sz w:val="36"/>
          <w:szCs w:val="36"/>
          <w:rtl/>
        </w:rPr>
        <w:t xml:space="preserve"> </w:t>
      </w:r>
      <w:r w:rsidR="00D044AC" w:rsidRPr="00FD211F">
        <w:rPr>
          <w:sz w:val="36"/>
          <w:szCs w:val="36"/>
          <w:rtl/>
        </w:rPr>
        <w:t>حمل</w:t>
      </w:r>
      <w:r w:rsidR="00E8128F">
        <w:rPr>
          <w:sz w:val="36"/>
          <w:szCs w:val="36"/>
          <w:rtl/>
        </w:rPr>
        <w:t xml:space="preserve"> </w:t>
      </w:r>
      <w:r w:rsidR="00D044AC" w:rsidRPr="00FD211F">
        <w:rPr>
          <w:sz w:val="36"/>
          <w:szCs w:val="36"/>
          <w:rtl/>
        </w:rPr>
        <w:t>هذاالمعنى</w:t>
      </w:r>
      <w:r w:rsidR="00E8128F">
        <w:rPr>
          <w:sz w:val="36"/>
          <w:szCs w:val="36"/>
          <w:rtl/>
        </w:rPr>
        <w:t xml:space="preserve"> </w:t>
      </w:r>
      <w:r w:rsidR="00D044AC" w:rsidRPr="00FD211F">
        <w:rPr>
          <w:sz w:val="36"/>
          <w:szCs w:val="36"/>
          <w:rtl/>
        </w:rPr>
        <w:t>على</w:t>
      </w:r>
      <w:r w:rsidR="00E8128F">
        <w:rPr>
          <w:sz w:val="36"/>
          <w:szCs w:val="36"/>
          <w:rtl/>
        </w:rPr>
        <w:t xml:space="preserve"> </w:t>
      </w:r>
      <w:r w:rsidR="00192647" w:rsidRPr="00FD211F">
        <w:rPr>
          <w:sz w:val="36"/>
          <w:szCs w:val="36"/>
          <w:rtl/>
        </w:rPr>
        <w:t>ال</w:t>
      </w:r>
      <w:r w:rsidR="00D044AC" w:rsidRPr="00FD211F">
        <w:rPr>
          <w:sz w:val="36"/>
          <w:szCs w:val="36"/>
          <w:rtl/>
        </w:rPr>
        <w:t>ذ</w:t>
      </w:r>
      <w:r w:rsidR="00192647" w:rsidRPr="00FD211F">
        <w:rPr>
          <w:sz w:val="36"/>
          <w:szCs w:val="36"/>
          <w:rtl/>
        </w:rPr>
        <w:t>ات</w:t>
      </w:r>
      <w:r w:rsidR="00E8128F">
        <w:rPr>
          <w:sz w:val="36"/>
          <w:szCs w:val="36"/>
          <w:rtl/>
        </w:rPr>
        <w:t xml:space="preserve"> </w:t>
      </w:r>
      <w:r w:rsidR="00D044AC" w:rsidRPr="00FD211F">
        <w:rPr>
          <w:sz w:val="36"/>
          <w:szCs w:val="36"/>
          <w:rtl/>
        </w:rPr>
        <w:t>الم</w:t>
      </w:r>
      <w:r w:rsidR="00192647" w:rsidRPr="00FD211F">
        <w:rPr>
          <w:sz w:val="36"/>
          <w:szCs w:val="36"/>
          <w:rtl/>
        </w:rPr>
        <w:t>تلبس</w:t>
      </w:r>
      <w:r w:rsidR="00EC7EDF" w:rsidRPr="00FD211F">
        <w:rPr>
          <w:sz w:val="36"/>
          <w:szCs w:val="36"/>
          <w:rtl/>
        </w:rPr>
        <w:t>ة</w:t>
      </w:r>
      <w:r w:rsidR="00E8128F">
        <w:rPr>
          <w:sz w:val="36"/>
          <w:szCs w:val="36"/>
          <w:rtl/>
        </w:rPr>
        <w:t xml:space="preserve"> </w:t>
      </w:r>
      <w:r w:rsidR="00192647" w:rsidRPr="00FD211F">
        <w:rPr>
          <w:sz w:val="36"/>
          <w:szCs w:val="36"/>
          <w:rtl/>
        </w:rPr>
        <w:t>به</w:t>
      </w:r>
      <w:r w:rsidR="00E8128F">
        <w:rPr>
          <w:sz w:val="36"/>
          <w:szCs w:val="36"/>
          <w:rtl/>
        </w:rPr>
        <w:t xml:space="preserve"> </w:t>
      </w:r>
      <w:r w:rsidR="00192647" w:rsidRPr="00FD211F">
        <w:rPr>
          <w:sz w:val="36"/>
          <w:szCs w:val="36"/>
          <w:rtl/>
        </w:rPr>
        <w:t>وان</w:t>
      </w:r>
      <w:r w:rsidR="00E8128F">
        <w:rPr>
          <w:sz w:val="36"/>
          <w:szCs w:val="36"/>
          <w:rtl/>
        </w:rPr>
        <w:t xml:space="preserve"> </w:t>
      </w:r>
      <w:r w:rsidR="00192647" w:rsidRPr="00FD211F">
        <w:rPr>
          <w:sz w:val="36"/>
          <w:szCs w:val="36"/>
          <w:rtl/>
        </w:rPr>
        <w:t>فرض</w:t>
      </w:r>
      <w:r w:rsidR="00E8128F">
        <w:rPr>
          <w:sz w:val="36"/>
          <w:szCs w:val="36"/>
          <w:rtl/>
        </w:rPr>
        <w:t xml:space="preserve"> </w:t>
      </w:r>
      <w:r w:rsidR="00192647" w:rsidRPr="00FD211F">
        <w:rPr>
          <w:sz w:val="36"/>
          <w:szCs w:val="36"/>
          <w:rtl/>
        </w:rPr>
        <w:t>ا</w:t>
      </w:r>
      <w:r w:rsidR="00D044AC" w:rsidRPr="00FD211F">
        <w:rPr>
          <w:sz w:val="36"/>
          <w:szCs w:val="36"/>
          <w:rtl/>
        </w:rPr>
        <w:t>تح</w:t>
      </w:r>
      <w:r w:rsidR="00192647" w:rsidRPr="00FD211F">
        <w:rPr>
          <w:sz w:val="36"/>
          <w:szCs w:val="36"/>
          <w:rtl/>
        </w:rPr>
        <w:t>ادهما</w:t>
      </w:r>
      <w:r w:rsidR="00D044AC" w:rsidRPr="00FD211F">
        <w:rPr>
          <w:sz w:val="36"/>
          <w:szCs w:val="36"/>
          <w:rtl/>
        </w:rPr>
        <w:t>وجودا</w:t>
      </w:r>
      <w:r w:rsidR="00E8128F">
        <w:rPr>
          <w:sz w:val="36"/>
          <w:szCs w:val="36"/>
          <w:rtl/>
        </w:rPr>
        <w:t xml:space="preserve"> </w:t>
      </w:r>
      <w:r w:rsidR="00C02970" w:rsidRPr="00FD211F">
        <w:rPr>
          <w:sz w:val="36"/>
          <w:szCs w:val="36"/>
          <w:rtl/>
        </w:rPr>
        <w:t>فحينما</w:t>
      </w:r>
      <w:r w:rsidR="00E8128F">
        <w:rPr>
          <w:sz w:val="36"/>
          <w:szCs w:val="36"/>
          <w:rtl/>
        </w:rPr>
        <w:t xml:space="preserve"> </w:t>
      </w:r>
      <w:r w:rsidR="00C02970" w:rsidRPr="00FD211F">
        <w:rPr>
          <w:sz w:val="36"/>
          <w:szCs w:val="36"/>
          <w:rtl/>
        </w:rPr>
        <w:t>يقال</w:t>
      </w:r>
      <w:r w:rsidR="00E8128F">
        <w:rPr>
          <w:sz w:val="36"/>
          <w:szCs w:val="36"/>
          <w:rtl/>
        </w:rPr>
        <w:t xml:space="preserve"> </w:t>
      </w:r>
      <w:r w:rsidR="00C02970" w:rsidRPr="00FD211F">
        <w:rPr>
          <w:sz w:val="36"/>
          <w:szCs w:val="36"/>
          <w:rtl/>
        </w:rPr>
        <w:t>"القائم</w:t>
      </w:r>
      <w:r w:rsidR="00E8128F">
        <w:rPr>
          <w:sz w:val="36"/>
          <w:szCs w:val="36"/>
          <w:rtl/>
        </w:rPr>
        <w:t xml:space="preserve"> </w:t>
      </w:r>
      <w:r w:rsidR="00C02970" w:rsidRPr="00FD211F">
        <w:rPr>
          <w:sz w:val="36"/>
          <w:szCs w:val="36"/>
          <w:rtl/>
        </w:rPr>
        <w:t>قيام</w:t>
      </w:r>
      <w:r w:rsidR="00E8128F">
        <w:rPr>
          <w:sz w:val="36"/>
          <w:szCs w:val="36"/>
          <w:rtl/>
        </w:rPr>
        <w:t xml:space="preserve"> </w:t>
      </w:r>
      <w:r w:rsidR="00C02970" w:rsidRPr="00FD211F">
        <w:rPr>
          <w:sz w:val="36"/>
          <w:szCs w:val="36"/>
          <w:rtl/>
        </w:rPr>
        <w:t>"فيكون</w:t>
      </w:r>
      <w:r w:rsidR="00E8128F">
        <w:rPr>
          <w:sz w:val="36"/>
          <w:szCs w:val="36"/>
          <w:rtl/>
        </w:rPr>
        <w:t xml:space="preserve"> </w:t>
      </w:r>
      <w:r w:rsidR="00C02970" w:rsidRPr="00FD211F">
        <w:rPr>
          <w:sz w:val="36"/>
          <w:szCs w:val="36"/>
          <w:rtl/>
        </w:rPr>
        <w:t>على</w:t>
      </w:r>
      <w:r w:rsidR="00E8128F">
        <w:rPr>
          <w:sz w:val="36"/>
          <w:szCs w:val="36"/>
          <w:rtl/>
        </w:rPr>
        <w:t xml:space="preserve"> </w:t>
      </w:r>
      <w:r w:rsidR="00C02970" w:rsidRPr="00FD211F">
        <w:rPr>
          <w:sz w:val="36"/>
          <w:szCs w:val="36"/>
          <w:rtl/>
        </w:rPr>
        <w:t>خلاف</w:t>
      </w:r>
      <w:r w:rsidR="00E8128F">
        <w:rPr>
          <w:sz w:val="36"/>
          <w:szCs w:val="36"/>
          <w:rtl/>
        </w:rPr>
        <w:t xml:space="preserve"> </w:t>
      </w:r>
      <w:r w:rsidR="00C02970" w:rsidRPr="00FD211F">
        <w:rPr>
          <w:sz w:val="36"/>
          <w:szCs w:val="36"/>
          <w:rtl/>
        </w:rPr>
        <w:t>قرار</w:t>
      </w:r>
      <w:r w:rsidR="00E8128F">
        <w:rPr>
          <w:sz w:val="36"/>
          <w:szCs w:val="36"/>
          <w:rtl/>
        </w:rPr>
        <w:t xml:space="preserve"> </w:t>
      </w:r>
      <w:r w:rsidR="00C02970" w:rsidRPr="00FD211F">
        <w:rPr>
          <w:sz w:val="36"/>
          <w:szCs w:val="36"/>
          <w:rtl/>
        </w:rPr>
        <w:t>الوضع</w:t>
      </w:r>
      <w:r w:rsidR="00EC7EDF" w:rsidRPr="00FD211F">
        <w:rPr>
          <w:sz w:val="36"/>
          <w:szCs w:val="36"/>
          <w:rtl/>
        </w:rPr>
        <w:t>.</w:t>
      </w:r>
    </w:p>
    <w:p w14:paraId="3EC3E5DB" w14:textId="77777777" w:rsidR="000C5BBA" w:rsidRPr="00FD211F" w:rsidRDefault="00ED2C5C" w:rsidP="009C58C8">
      <w:pPr>
        <w:ind w:left="0" w:firstLine="227"/>
        <w:jc w:val="both"/>
        <w:rPr>
          <w:sz w:val="36"/>
          <w:szCs w:val="36"/>
          <w:rtl/>
        </w:rPr>
      </w:pPr>
      <w:r w:rsidRPr="00FD211F">
        <w:rPr>
          <w:sz w:val="36"/>
          <w:szCs w:val="36"/>
          <w:rtl/>
        </w:rPr>
        <w:t>نعم</w:t>
      </w:r>
      <w:r w:rsidR="00E8128F">
        <w:rPr>
          <w:sz w:val="36"/>
          <w:szCs w:val="36"/>
          <w:rtl/>
        </w:rPr>
        <w:t xml:space="preserve"> </w:t>
      </w:r>
      <w:r w:rsidRPr="00FD211F">
        <w:rPr>
          <w:sz w:val="36"/>
          <w:szCs w:val="36"/>
          <w:rtl/>
        </w:rPr>
        <w:t>بناء</w:t>
      </w:r>
      <w:r w:rsidR="0040555A" w:rsidRPr="00FD211F">
        <w:rPr>
          <w:sz w:val="36"/>
          <w:szCs w:val="36"/>
          <w:rtl/>
        </w:rPr>
        <w:t>على</w:t>
      </w:r>
      <w:r w:rsidR="00E8128F">
        <w:rPr>
          <w:sz w:val="36"/>
          <w:szCs w:val="36"/>
          <w:rtl/>
        </w:rPr>
        <w:t xml:space="preserve"> </w:t>
      </w:r>
      <w:r w:rsidR="0040555A" w:rsidRPr="00FD211F">
        <w:rPr>
          <w:sz w:val="36"/>
          <w:szCs w:val="36"/>
          <w:rtl/>
        </w:rPr>
        <w:t>مسلك</w:t>
      </w:r>
      <w:r w:rsidR="00E8128F">
        <w:rPr>
          <w:sz w:val="36"/>
          <w:szCs w:val="36"/>
          <w:rtl/>
        </w:rPr>
        <w:t xml:space="preserve"> </w:t>
      </w:r>
      <w:r w:rsidR="0047356B" w:rsidRPr="00FD211F">
        <w:rPr>
          <w:sz w:val="36"/>
          <w:szCs w:val="36"/>
          <w:rtl/>
        </w:rPr>
        <w:t>من</w:t>
      </w:r>
      <w:r w:rsidR="00E8128F">
        <w:rPr>
          <w:sz w:val="36"/>
          <w:szCs w:val="36"/>
          <w:rtl/>
        </w:rPr>
        <w:t xml:space="preserve"> </w:t>
      </w:r>
      <w:r w:rsidR="0047356B" w:rsidRPr="00FD211F">
        <w:rPr>
          <w:sz w:val="36"/>
          <w:szCs w:val="36"/>
          <w:rtl/>
        </w:rPr>
        <w:t>يرى</w:t>
      </w:r>
      <w:r w:rsidR="00E8128F">
        <w:rPr>
          <w:sz w:val="36"/>
          <w:szCs w:val="36"/>
          <w:rtl/>
        </w:rPr>
        <w:t xml:space="preserve"> </w:t>
      </w:r>
      <w:r w:rsidR="0047356B" w:rsidRPr="00FD211F">
        <w:rPr>
          <w:sz w:val="36"/>
          <w:szCs w:val="36"/>
          <w:rtl/>
        </w:rPr>
        <w:t>ان</w:t>
      </w:r>
      <w:r w:rsidR="00E8128F">
        <w:rPr>
          <w:sz w:val="36"/>
          <w:szCs w:val="36"/>
          <w:rtl/>
        </w:rPr>
        <w:t xml:space="preserve"> </w:t>
      </w:r>
      <w:r w:rsidR="00953339" w:rsidRPr="00FD211F">
        <w:rPr>
          <w:sz w:val="36"/>
          <w:szCs w:val="36"/>
          <w:rtl/>
        </w:rPr>
        <w:t>الوضع</w:t>
      </w:r>
      <w:r w:rsidR="00E8128F">
        <w:rPr>
          <w:sz w:val="36"/>
          <w:szCs w:val="36"/>
          <w:rtl/>
        </w:rPr>
        <w:t xml:space="preserve"> </w:t>
      </w:r>
      <w:r w:rsidR="00953339" w:rsidRPr="00FD211F">
        <w:rPr>
          <w:sz w:val="36"/>
          <w:szCs w:val="36"/>
          <w:rtl/>
        </w:rPr>
        <w:t>هو</w:t>
      </w:r>
      <w:r w:rsidR="00E8128F">
        <w:rPr>
          <w:sz w:val="36"/>
          <w:szCs w:val="36"/>
          <w:rtl/>
        </w:rPr>
        <w:t xml:space="preserve"> </w:t>
      </w:r>
      <w:r w:rsidR="0040555A" w:rsidRPr="00FD211F">
        <w:rPr>
          <w:sz w:val="36"/>
          <w:szCs w:val="36"/>
          <w:rtl/>
        </w:rPr>
        <w:t>القرن</w:t>
      </w:r>
      <w:r w:rsidR="00E8128F">
        <w:rPr>
          <w:sz w:val="36"/>
          <w:szCs w:val="36"/>
          <w:rtl/>
        </w:rPr>
        <w:t xml:space="preserve"> </w:t>
      </w:r>
      <w:r w:rsidR="0040555A" w:rsidRPr="00FD211F">
        <w:rPr>
          <w:sz w:val="36"/>
          <w:szCs w:val="36"/>
          <w:rtl/>
        </w:rPr>
        <w:t>الأكيد</w:t>
      </w:r>
      <w:r w:rsidR="0047356B" w:rsidRPr="00FD211F">
        <w:rPr>
          <w:sz w:val="36"/>
          <w:szCs w:val="36"/>
          <w:rtl/>
        </w:rPr>
        <w:t>بين</w:t>
      </w:r>
      <w:r w:rsidR="00E8128F">
        <w:rPr>
          <w:sz w:val="36"/>
          <w:szCs w:val="36"/>
          <w:rtl/>
        </w:rPr>
        <w:t xml:space="preserve"> </w:t>
      </w:r>
      <w:r w:rsidR="0047356B" w:rsidRPr="00FD211F">
        <w:rPr>
          <w:sz w:val="36"/>
          <w:szCs w:val="36"/>
          <w:rtl/>
        </w:rPr>
        <w:t>اللفظ</w:t>
      </w:r>
      <w:r w:rsidR="00E8128F">
        <w:rPr>
          <w:sz w:val="36"/>
          <w:szCs w:val="36"/>
          <w:rtl/>
        </w:rPr>
        <w:t xml:space="preserve"> </w:t>
      </w:r>
      <w:r w:rsidR="0047356B" w:rsidRPr="00FD211F">
        <w:rPr>
          <w:sz w:val="36"/>
          <w:szCs w:val="36"/>
          <w:rtl/>
        </w:rPr>
        <w:t>والمعنى</w:t>
      </w:r>
      <w:r w:rsidR="00E8128F">
        <w:rPr>
          <w:sz w:val="36"/>
          <w:szCs w:val="36"/>
          <w:rtl/>
        </w:rPr>
        <w:t xml:space="preserve"> </w:t>
      </w:r>
      <w:r w:rsidR="0047356B" w:rsidRPr="00FD211F">
        <w:rPr>
          <w:sz w:val="36"/>
          <w:szCs w:val="36"/>
          <w:rtl/>
        </w:rPr>
        <w:t>بحيث</w:t>
      </w:r>
      <w:r w:rsidR="00E8128F">
        <w:rPr>
          <w:sz w:val="36"/>
          <w:szCs w:val="36"/>
          <w:rtl/>
        </w:rPr>
        <w:t xml:space="preserve"> </w:t>
      </w:r>
      <w:r w:rsidR="0047356B" w:rsidRPr="00FD211F">
        <w:rPr>
          <w:sz w:val="36"/>
          <w:szCs w:val="36"/>
          <w:rtl/>
        </w:rPr>
        <w:t>يستلزم</w:t>
      </w:r>
      <w:r w:rsidR="00E8128F">
        <w:rPr>
          <w:sz w:val="36"/>
          <w:szCs w:val="36"/>
          <w:rtl/>
        </w:rPr>
        <w:t xml:space="preserve"> </w:t>
      </w:r>
      <w:r w:rsidR="0047356B" w:rsidRPr="00FD211F">
        <w:rPr>
          <w:sz w:val="36"/>
          <w:szCs w:val="36"/>
          <w:rtl/>
        </w:rPr>
        <w:t>تصور</w:t>
      </w:r>
      <w:r w:rsidR="00E8128F">
        <w:rPr>
          <w:sz w:val="36"/>
          <w:szCs w:val="36"/>
          <w:rtl/>
        </w:rPr>
        <w:t xml:space="preserve"> </w:t>
      </w:r>
      <w:r w:rsidR="0047356B" w:rsidRPr="00FD211F">
        <w:rPr>
          <w:sz w:val="36"/>
          <w:szCs w:val="36"/>
          <w:rtl/>
        </w:rPr>
        <w:t>اللفظ</w:t>
      </w:r>
      <w:r w:rsidR="00E8128F">
        <w:rPr>
          <w:sz w:val="36"/>
          <w:szCs w:val="36"/>
          <w:rtl/>
        </w:rPr>
        <w:t xml:space="preserve"> </w:t>
      </w:r>
      <w:r w:rsidR="0047356B" w:rsidRPr="00FD211F">
        <w:rPr>
          <w:sz w:val="36"/>
          <w:szCs w:val="36"/>
          <w:rtl/>
        </w:rPr>
        <w:t>تصور</w:t>
      </w:r>
      <w:r w:rsidR="00E8128F">
        <w:rPr>
          <w:sz w:val="36"/>
          <w:szCs w:val="36"/>
          <w:rtl/>
        </w:rPr>
        <w:t xml:space="preserve"> </w:t>
      </w:r>
      <w:r w:rsidR="0047356B" w:rsidRPr="00FD211F">
        <w:rPr>
          <w:sz w:val="36"/>
          <w:szCs w:val="36"/>
          <w:rtl/>
        </w:rPr>
        <w:t>المعنى</w:t>
      </w:r>
      <w:r w:rsidR="00E8128F">
        <w:rPr>
          <w:sz w:val="36"/>
          <w:szCs w:val="36"/>
          <w:rtl/>
        </w:rPr>
        <w:t xml:space="preserve"> </w:t>
      </w:r>
      <w:r w:rsidR="0047356B" w:rsidRPr="00FD211F">
        <w:rPr>
          <w:sz w:val="36"/>
          <w:szCs w:val="36"/>
          <w:rtl/>
        </w:rPr>
        <w:t>ف</w:t>
      </w:r>
      <w:r w:rsidR="005209E4" w:rsidRPr="00FD211F">
        <w:rPr>
          <w:sz w:val="36"/>
          <w:szCs w:val="36"/>
          <w:rtl/>
        </w:rPr>
        <w:t>لا</w:t>
      </w:r>
      <w:r w:rsidR="00E8128F">
        <w:rPr>
          <w:sz w:val="36"/>
          <w:szCs w:val="36"/>
          <w:rtl/>
        </w:rPr>
        <w:t xml:space="preserve"> </w:t>
      </w:r>
      <w:r w:rsidR="005209E4" w:rsidRPr="00FD211F">
        <w:rPr>
          <w:sz w:val="36"/>
          <w:szCs w:val="36"/>
          <w:rtl/>
        </w:rPr>
        <w:t>يتعقل</w:t>
      </w:r>
      <w:r w:rsidR="00E8128F">
        <w:rPr>
          <w:sz w:val="36"/>
          <w:szCs w:val="36"/>
          <w:rtl/>
        </w:rPr>
        <w:t xml:space="preserve"> </w:t>
      </w:r>
      <w:r w:rsidR="005209E4" w:rsidRPr="00FD211F">
        <w:rPr>
          <w:sz w:val="36"/>
          <w:szCs w:val="36"/>
          <w:rtl/>
        </w:rPr>
        <w:t>اختصاصه</w:t>
      </w:r>
      <w:r w:rsidR="00E8128F">
        <w:rPr>
          <w:sz w:val="36"/>
          <w:szCs w:val="36"/>
          <w:rtl/>
        </w:rPr>
        <w:t xml:space="preserve"> </w:t>
      </w:r>
      <w:r w:rsidR="005209E4" w:rsidRPr="00FD211F">
        <w:rPr>
          <w:sz w:val="36"/>
          <w:szCs w:val="36"/>
          <w:rtl/>
        </w:rPr>
        <w:t>بحال</w:t>
      </w:r>
      <w:r w:rsidR="00E8128F">
        <w:rPr>
          <w:sz w:val="36"/>
          <w:szCs w:val="36"/>
          <w:rtl/>
        </w:rPr>
        <w:t xml:space="preserve"> </w:t>
      </w:r>
      <w:r w:rsidR="005209E4" w:rsidRPr="00FD211F">
        <w:rPr>
          <w:sz w:val="36"/>
          <w:szCs w:val="36"/>
          <w:rtl/>
        </w:rPr>
        <w:t>دون</w:t>
      </w:r>
      <w:r w:rsidR="00E8128F">
        <w:rPr>
          <w:sz w:val="36"/>
          <w:szCs w:val="36"/>
          <w:rtl/>
        </w:rPr>
        <w:t xml:space="preserve"> </w:t>
      </w:r>
      <w:r w:rsidR="005209E4" w:rsidRPr="00FD211F">
        <w:rPr>
          <w:sz w:val="36"/>
          <w:szCs w:val="36"/>
          <w:rtl/>
        </w:rPr>
        <w:t>حال</w:t>
      </w:r>
      <w:r w:rsidR="00E8128F">
        <w:rPr>
          <w:sz w:val="36"/>
          <w:szCs w:val="36"/>
          <w:rtl/>
        </w:rPr>
        <w:t xml:space="preserve"> </w:t>
      </w:r>
      <w:r w:rsidR="005209E4" w:rsidRPr="00FD211F">
        <w:rPr>
          <w:sz w:val="36"/>
          <w:szCs w:val="36"/>
          <w:rtl/>
        </w:rPr>
        <w:t>ف</w:t>
      </w:r>
      <w:r w:rsidR="00DD46C3" w:rsidRPr="00FD211F">
        <w:rPr>
          <w:sz w:val="36"/>
          <w:szCs w:val="36"/>
          <w:rtl/>
        </w:rPr>
        <w:t>ان</w:t>
      </w:r>
      <w:r w:rsidR="00E8128F">
        <w:rPr>
          <w:sz w:val="36"/>
          <w:szCs w:val="36"/>
          <w:rtl/>
        </w:rPr>
        <w:t xml:space="preserve"> </w:t>
      </w:r>
      <w:r w:rsidR="005209E4" w:rsidRPr="00FD211F">
        <w:rPr>
          <w:sz w:val="36"/>
          <w:szCs w:val="36"/>
          <w:rtl/>
        </w:rPr>
        <w:t>القرن</w:t>
      </w:r>
      <w:r w:rsidR="00E8128F">
        <w:rPr>
          <w:sz w:val="36"/>
          <w:szCs w:val="36"/>
          <w:rtl/>
        </w:rPr>
        <w:t xml:space="preserve"> </w:t>
      </w:r>
      <w:r w:rsidR="005209E4" w:rsidRPr="00FD211F">
        <w:rPr>
          <w:sz w:val="36"/>
          <w:szCs w:val="36"/>
          <w:rtl/>
        </w:rPr>
        <w:t>الاكيد</w:t>
      </w:r>
      <w:r w:rsidR="00DD46C3" w:rsidRPr="00FD211F">
        <w:rPr>
          <w:sz w:val="36"/>
          <w:szCs w:val="36"/>
          <w:rtl/>
        </w:rPr>
        <w:t>اماان</w:t>
      </w:r>
      <w:r w:rsidR="00E8128F">
        <w:rPr>
          <w:sz w:val="36"/>
          <w:szCs w:val="36"/>
          <w:rtl/>
        </w:rPr>
        <w:t xml:space="preserve"> </w:t>
      </w:r>
      <w:r w:rsidR="00DD46C3" w:rsidRPr="00FD211F">
        <w:rPr>
          <w:sz w:val="36"/>
          <w:szCs w:val="36"/>
          <w:rtl/>
        </w:rPr>
        <w:t>لايوجد</w:t>
      </w:r>
      <w:r w:rsidR="00E8128F">
        <w:rPr>
          <w:sz w:val="36"/>
          <w:szCs w:val="36"/>
          <w:rtl/>
        </w:rPr>
        <w:t xml:space="preserve"> </w:t>
      </w:r>
      <w:r w:rsidR="00DD46C3" w:rsidRPr="00FD211F">
        <w:rPr>
          <w:sz w:val="36"/>
          <w:szCs w:val="36"/>
          <w:rtl/>
        </w:rPr>
        <w:t>اوانه</w:t>
      </w:r>
      <w:r w:rsidR="00E8128F">
        <w:rPr>
          <w:sz w:val="36"/>
          <w:szCs w:val="36"/>
          <w:rtl/>
        </w:rPr>
        <w:t xml:space="preserve"> </w:t>
      </w:r>
      <w:r w:rsidR="00DD46C3" w:rsidRPr="00FD211F">
        <w:rPr>
          <w:sz w:val="36"/>
          <w:szCs w:val="36"/>
          <w:rtl/>
        </w:rPr>
        <w:t>اذاوجد</w:t>
      </w:r>
      <w:r w:rsidR="00E8128F">
        <w:rPr>
          <w:sz w:val="36"/>
          <w:szCs w:val="36"/>
          <w:rtl/>
        </w:rPr>
        <w:t xml:space="preserve"> </w:t>
      </w:r>
      <w:r w:rsidR="005209E4" w:rsidRPr="00FD211F">
        <w:rPr>
          <w:sz w:val="36"/>
          <w:szCs w:val="36"/>
          <w:rtl/>
        </w:rPr>
        <w:t>فهذايعني</w:t>
      </w:r>
      <w:r w:rsidR="00E8128F">
        <w:rPr>
          <w:sz w:val="36"/>
          <w:szCs w:val="36"/>
          <w:rtl/>
        </w:rPr>
        <w:t xml:space="preserve"> </w:t>
      </w:r>
      <w:r w:rsidR="005209E4" w:rsidRPr="00FD211F">
        <w:rPr>
          <w:sz w:val="36"/>
          <w:szCs w:val="36"/>
          <w:rtl/>
        </w:rPr>
        <w:t>انه</w:t>
      </w:r>
      <w:r w:rsidR="00E8128F">
        <w:rPr>
          <w:sz w:val="36"/>
          <w:szCs w:val="36"/>
          <w:rtl/>
        </w:rPr>
        <w:t xml:space="preserve"> </w:t>
      </w:r>
      <w:r w:rsidR="005209E4" w:rsidRPr="00FD211F">
        <w:rPr>
          <w:sz w:val="36"/>
          <w:szCs w:val="36"/>
          <w:rtl/>
        </w:rPr>
        <w:t>كلمايتصور</w:t>
      </w:r>
      <w:r w:rsidR="00E8128F">
        <w:rPr>
          <w:sz w:val="36"/>
          <w:szCs w:val="36"/>
          <w:rtl/>
        </w:rPr>
        <w:t xml:space="preserve"> </w:t>
      </w:r>
      <w:r w:rsidR="005209E4" w:rsidRPr="00FD211F">
        <w:rPr>
          <w:sz w:val="36"/>
          <w:szCs w:val="36"/>
          <w:rtl/>
        </w:rPr>
        <w:t>اللفظ</w:t>
      </w:r>
      <w:r w:rsidR="00E8128F">
        <w:rPr>
          <w:sz w:val="36"/>
          <w:szCs w:val="36"/>
          <w:rtl/>
        </w:rPr>
        <w:t xml:space="preserve"> </w:t>
      </w:r>
      <w:r w:rsidR="00DD46C3" w:rsidRPr="00FD211F">
        <w:rPr>
          <w:sz w:val="36"/>
          <w:szCs w:val="36"/>
          <w:rtl/>
        </w:rPr>
        <w:t>فينتقل</w:t>
      </w:r>
      <w:r w:rsidR="00E8128F">
        <w:rPr>
          <w:sz w:val="36"/>
          <w:szCs w:val="36"/>
          <w:rtl/>
        </w:rPr>
        <w:t xml:space="preserve"> </w:t>
      </w:r>
      <w:r w:rsidR="00DD46C3" w:rsidRPr="00FD211F">
        <w:rPr>
          <w:sz w:val="36"/>
          <w:szCs w:val="36"/>
          <w:rtl/>
        </w:rPr>
        <w:t>ذهنه</w:t>
      </w:r>
      <w:r w:rsidR="00E8128F">
        <w:rPr>
          <w:sz w:val="36"/>
          <w:szCs w:val="36"/>
          <w:rtl/>
        </w:rPr>
        <w:t xml:space="preserve"> </w:t>
      </w:r>
      <w:r w:rsidR="00DD46C3" w:rsidRPr="00FD211F">
        <w:rPr>
          <w:sz w:val="36"/>
          <w:szCs w:val="36"/>
          <w:rtl/>
        </w:rPr>
        <w:t>الى</w:t>
      </w:r>
      <w:r w:rsidR="00E8128F">
        <w:rPr>
          <w:sz w:val="36"/>
          <w:szCs w:val="36"/>
          <w:rtl/>
        </w:rPr>
        <w:t xml:space="preserve"> </w:t>
      </w:r>
      <w:r w:rsidR="00DD46C3" w:rsidRPr="00FD211F">
        <w:rPr>
          <w:sz w:val="36"/>
          <w:szCs w:val="36"/>
          <w:rtl/>
        </w:rPr>
        <w:t>المعنى</w:t>
      </w:r>
      <w:r w:rsidR="00603323" w:rsidRPr="00FD211F">
        <w:rPr>
          <w:sz w:val="36"/>
          <w:szCs w:val="36"/>
          <w:rtl/>
        </w:rPr>
        <w:t>،</w:t>
      </w:r>
      <w:r w:rsidR="00E8128F">
        <w:rPr>
          <w:sz w:val="36"/>
          <w:szCs w:val="36"/>
          <w:rtl/>
        </w:rPr>
        <w:t xml:space="preserve"> </w:t>
      </w:r>
      <w:r w:rsidR="00DD46C3" w:rsidRPr="00FD211F">
        <w:rPr>
          <w:sz w:val="36"/>
          <w:szCs w:val="36"/>
          <w:rtl/>
        </w:rPr>
        <w:t>فلايمكن</w:t>
      </w:r>
      <w:r w:rsidR="00E8128F">
        <w:rPr>
          <w:sz w:val="36"/>
          <w:szCs w:val="36"/>
          <w:rtl/>
        </w:rPr>
        <w:t xml:space="preserve"> </w:t>
      </w:r>
      <w:r w:rsidR="00DD46C3" w:rsidRPr="00FD211F">
        <w:rPr>
          <w:sz w:val="36"/>
          <w:szCs w:val="36"/>
          <w:rtl/>
        </w:rPr>
        <w:t>تقييدالعلق</w:t>
      </w:r>
      <w:r w:rsidR="00EC7EDF" w:rsidRPr="00FD211F">
        <w:rPr>
          <w:sz w:val="36"/>
          <w:szCs w:val="36"/>
          <w:rtl/>
        </w:rPr>
        <w:t>ة</w:t>
      </w:r>
      <w:r w:rsidR="00E8128F">
        <w:rPr>
          <w:sz w:val="36"/>
          <w:szCs w:val="36"/>
          <w:rtl/>
        </w:rPr>
        <w:t xml:space="preserve"> </w:t>
      </w:r>
      <w:r w:rsidR="00DD46C3" w:rsidRPr="00FD211F">
        <w:rPr>
          <w:sz w:val="36"/>
          <w:szCs w:val="36"/>
          <w:rtl/>
        </w:rPr>
        <w:t>الوضعي</w:t>
      </w:r>
      <w:r w:rsidR="00EC7EDF" w:rsidRPr="00FD211F">
        <w:rPr>
          <w:sz w:val="36"/>
          <w:szCs w:val="36"/>
          <w:rtl/>
        </w:rPr>
        <w:t>ة</w:t>
      </w:r>
      <w:r w:rsidR="00603323" w:rsidRPr="00FD211F">
        <w:rPr>
          <w:sz w:val="36"/>
          <w:szCs w:val="36"/>
          <w:rtl/>
        </w:rPr>
        <w:t>،</w:t>
      </w:r>
      <w:r w:rsidR="00E8128F">
        <w:rPr>
          <w:sz w:val="36"/>
          <w:szCs w:val="36"/>
          <w:rtl/>
        </w:rPr>
        <w:t xml:space="preserve"> </w:t>
      </w:r>
      <w:r w:rsidR="00DD46C3" w:rsidRPr="00FD211F">
        <w:rPr>
          <w:sz w:val="36"/>
          <w:szCs w:val="36"/>
          <w:rtl/>
        </w:rPr>
        <w:t>ولكن</w:t>
      </w:r>
      <w:r w:rsidR="00E8128F">
        <w:rPr>
          <w:sz w:val="36"/>
          <w:szCs w:val="36"/>
          <w:rtl/>
        </w:rPr>
        <w:t xml:space="preserve"> </w:t>
      </w:r>
      <w:r w:rsidR="00192647" w:rsidRPr="00FD211F">
        <w:rPr>
          <w:sz w:val="36"/>
          <w:szCs w:val="36"/>
          <w:rtl/>
        </w:rPr>
        <w:t>على</w:t>
      </w:r>
      <w:r w:rsidR="00E8128F">
        <w:rPr>
          <w:sz w:val="36"/>
          <w:szCs w:val="36"/>
          <w:rtl/>
        </w:rPr>
        <w:t xml:space="preserve"> </w:t>
      </w:r>
      <w:r w:rsidR="00192647" w:rsidRPr="00FD211F">
        <w:rPr>
          <w:sz w:val="36"/>
          <w:szCs w:val="36"/>
          <w:rtl/>
        </w:rPr>
        <w:t>هذا</w:t>
      </w:r>
      <w:r w:rsidR="00E8128F">
        <w:rPr>
          <w:sz w:val="36"/>
          <w:szCs w:val="36"/>
          <w:rtl/>
        </w:rPr>
        <w:t xml:space="preserve"> </w:t>
      </w:r>
      <w:r w:rsidR="00192647" w:rsidRPr="00FD211F">
        <w:rPr>
          <w:sz w:val="36"/>
          <w:szCs w:val="36"/>
          <w:rtl/>
        </w:rPr>
        <w:t>المسلك</w:t>
      </w:r>
      <w:r w:rsidR="00E8128F">
        <w:rPr>
          <w:sz w:val="36"/>
          <w:szCs w:val="36"/>
          <w:rtl/>
        </w:rPr>
        <w:t xml:space="preserve"> </w:t>
      </w:r>
      <w:r w:rsidR="00192647" w:rsidRPr="00FD211F">
        <w:rPr>
          <w:sz w:val="36"/>
          <w:szCs w:val="36"/>
          <w:rtl/>
        </w:rPr>
        <w:t>ايضا</w:t>
      </w:r>
      <w:r w:rsidR="00E8128F">
        <w:rPr>
          <w:sz w:val="36"/>
          <w:szCs w:val="36"/>
          <w:rtl/>
        </w:rPr>
        <w:t xml:space="preserve"> </w:t>
      </w:r>
      <w:r w:rsidR="0040555A" w:rsidRPr="00FD211F">
        <w:rPr>
          <w:sz w:val="36"/>
          <w:szCs w:val="36"/>
          <w:rtl/>
        </w:rPr>
        <w:t>يمكن</w:t>
      </w:r>
      <w:r w:rsidR="00E8128F">
        <w:rPr>
          <w:sz w:val="36"/>
          <w:szCs w:val="36"/>
          <w:rtl/>
        </w:rPr>
        <w:t xml:space="preserve"> </w:t>
      </w:r>
      <w:r w:rsidR="0040555A" w:rsidRPr="00FD211F">
        <w:rPr>
          <w:sz w:val="36"/>
          <w:szCs w:val="36"/>
          <w:rtl/>
        </w:rPr>
        <w:t>تقييد</w:t>
      </w:r>
      <w:r w:rsidR="00E8128F">
        <w:rPr>
          <w:sz w:val="36"/>
          <w:szCs w:val="36"/>
          <w:rtl/>
        </w:rPr>
        <w:t xml:space="preserve"> </w:t>
      </w:r>
      <w:r w:rsidR="0040555A" w:rsidRPr="00FD211F">
        <w:rPr>
          <w:sz w:val="36"/>
          <w:szCs w:val="36"/>
          <w:rtl/>
        </w:rPr>
        <w:t>المعنى</w:t>
      </w:r>
      <w:r w:rsidR="00E8128F">
        <w:rPr>
          <w:sz w:val="36"/>
          <w:szCs w:val="36"/>
          <w:rtl/>
        </w:rPr>
        <w:t xml:space="preserve"> </w:t>
      </w:r>
      <w:r w:rsidR="0040555A" w:rsidRPr="00FD211F">
        <w:rPr>
          <w:sz w:val="36"/>
          <w:szCs w:val="36"/>
          <w:rtl/>
        </w:rPr>
        <w:t>المو</w:t>
      </w:r>
      <w:r w:rsidR="00192647" w:rsidRPr="00FD211F">
        <w:rPr>
          <w:sz w:val="36"/>
          <w:szCs w:val="36"/>
          <w:rtl/>
        </w:rPr>
        <w:t>ضوع</w:t>
      </w:r>
      <w:r w:rsidR="00E8128F">
        <w:rPr>
          <w:sz w:val="36"/>
          <w:szCs w:val="36"/>
          <w:rtl/>
        </w:rPr>
        <w:t xml:space="preserve"> </w:t>
      </w:r>
      <w:r w:rsidR="00192647" w:rsidRPr="00FD211F">
        <w:rPr>
          <w:sz w:val="36"/>
          <w:szCs w:val="36"/>
          <w:rtl/>
        </w:rPr>
        <w:t>له</w:t>
      </w:r>
      <w:r w:rsidR="00E8128F">
        <w:rPr>
          <w:sz w:val="36"/>
          <w:szCs w:val="36"/>
          <w:rtl/>
        </w:rPr>
        <w:t xml:space="preserve"> </w:t>
      </w:r>
      <w:r w:rsidR="0040555A" w:rsidRPr="00FD211F">
        <w:rPr>
          <w:sz w:val="36"/>
          <w:szCs w:val="36"/>
          <w:rtl/>
        </w:rPr>
        <w:t>بان</w:t>
      </w:r>
      <w:r w:rsidR="00E8128F">
        <w:rPr>
          <w:sz w:val="36"/>
          <w:szCs w:val="36"/>
          <w:rtl/>
        </w:rPr>
        <w:t xml:space="preserve"> </w:t>
      </w:r>
      <w:r w:rsidR="0040555A" w:rsidRPr="00FD211F">
        <w:rPr>
          <w:sz w:val="36"/>
          <w:szCs w:val="36"/>
          <w:rtl/>
        </w:rPr>
        <w:t>يكون</w:t>
      </w:r>
      <w:r w:rsidR="00E8128F">
        <w:rPr>
          <w:sz w:val="36"/>
          <w:szCs w:val="36"/>
          <w:rtl/>
        </w:rPr>
        <w:t xml:space="preserve"> </w:t>
      </w:r>
      <w:r w:rsidR="0040555A" w:rsidRPr="00FD211F">
        <w:rPr>
          <w:sz w:val="36"/>
          <w:szCs w:val="36"/>
          <w:rtl/>
        </w:rPr>
        <w:t>لفظ</w:t>
      </w:r>
      <w:r w:rsidR="00E8128F">
        <w:rPr>
          <w:sz w:val="36"/>
          <w:szCs w:val="36"/>
          <w:rtl/>
        </w:rPr>
        <w:t xml:space="preserve"> </w:t>
      </w:r>
      <w:r w:rsidR="0040555A" w:rsidRPr="00FD211F">
        <w:rPr>
          <w:sz w:val="36"/>
          <w:szCs w:val="36"/>
          <w:rtl/>
        </w:rPr>
        <w:t>القيام</w:t>
      </w:r>
      <w:r w:rsidR="00E8128F">
        <w:rPr>
          <w:sz w:val="36"/>
          <w:szCs w:val="36"/>
          <w:rtl/>
        </w:rPr>
        <w:t xml:space="preserve"> </w:t>
      </w:r>
      <w:r w:rsidRPr="00FD211F">
        <w:rPr>
          <w:sz w:val="36"/>
          <w:szCs w:val="36"/>
          <w:rtl/>
        </w:rPr>
        <w:t>موضوعا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معناه</w:t>
      </w:r>
      <w:r w:rsidR="00E8128F">
        <w:rPr>
          <w:sz w:val="36"/>
          <w:szCs w:val="36"/>
          <w:rtl/>
        </w:rPr>
        <w:t xml:space="preserve"> </w:t>
      </w:r>
      <w:r w:rsidR="0040555A" w:rsidRPr="00FD211F">
        <w:rPr>
          <w:sz w:val="36"/>
          <w:szCs w:val="36"/>
          <w:rtl/>
        </w:rPr>
        <w:t>غير</w:t>
      </w:r>
      <w:r w:rsidR="00E8128F">
        <w:rPr>
          <w:sz w:val="36"/>
          <w:szCs w:val="36"/>
          <w:rtl/>
        </w:rPr>
        <w:t xml:space="preserve"> </w:t>
      </w:r>
      <w:r w:rsidR="0040555A" w:rsidRPr="00FD211F">
        <w:rPr>
          <w:sz w:val="36"/>
          <w:szCs w:val="36"/>
          <w:rtl/>
        </w:rPr>
        <w:t>الملحوظ</w:t>
      </w:r>
      <w:r w:rsidR="00E8128F">
        <w:rPr>
          <w:sz w:val="36"/>
          <w:szCs w:val="36"/>
          <w:rtl/>
        </w:rPr>
        <w:t xml:space="preserve"> </w:t>
      </w:r>
      <w:r w:rsidR="0040555A" w:rsidRPr="00FD211F">
        <w:rPr>
          <w:sz w:val="36"/>
          <w:szCs w:val="36"/>
          <w:rtl/>
        </w:rPr>
        <w:t>محمولا</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ذات</w:t>
      </w:r>
      <w:r w:rsidR="00E8128F">
        <w:rPr>
          <w:sz w:val="36"/>
          <w:szCs w:val="36"/>
          <w:rtl/>
        </w:rPr>
        <w:t xml:space="preserve"> </w:t>
      </w:r>
      <w:r w:rsidR="00DD46C3" w:rsidRPr="00FD211F">
        <w:rPr>
          <w:sz w:val="36"/>
          <w:szCs w:val="36"/>
          <w:rtl/>
        </w:rPr>
        <w:t>فكلما</w:t>
      </w:r>
      <w:r w:rsidR="00E8128F">
        <w:rPr>
          <w:sz w:val="36"/>
          <w:szCs w:val="36"/>
          <w:rtl/>
        </w:rPr>
        <w:t xml:space="preserve"> </w:t>
      </w:r>
      <w:r w:rsidR="00DD46C3" w:rsidRPr="00FD211F">
        <w:rPr>
          <w:sz w:val="36"/>
          <w:szCs w:val="36"/>
          <w:rtl/>
        </w:rPr>
        <w:t>سمع</w:t>
      </w:r>
      <w:r w:rsidR="00E8128F">
        <w:rPr>
          <w:sz w:val="36"/>
          <w:szCs w:val="36"/>
          <w:rtl/>
        </w:rPr>
        <w:t xml:space="preserve"> </w:t>
      </w:r>
      <w:r w:rsidR="00DD46C3" w:rsidRPr="00FD211F">
        <w:rPr>
          <w:sz w:val="36"/>
          <w:szCs w:val="36"/>
          <w:rtl/>
        </w:rPr>
        <w:t>لفظ</w:t>
      </w:r>
      <w:r w:rsidR="00E8128F">
        <w:rPr>
          <w:sz w:val="36"/>
          <w:szCs w:val="36"/>
          <w:rtl/>
        </w:rPr>
        <w:t xml:space="preserve"> </w:t>
      </w:r>
      <w:r w:rsidR="00DD46C3" w:rsidRPr="00FD211F">
        <w:rPr>
          <w:sz w:val="36"/>
          <w:szCs w:val="36"/>
          <w:rtl/>
        </w:rPr>
        <w:t>القيام</w:t>
      </w:r>
      <w:r w:rsidR="00E8128F">
        <w:rPr>
          <w:sz w:val="36"/>
          <w:szCs w:val="36"/>
          <w:rtl/>
        </w:rPr>
        <w:t xml:space="preserve"> </w:t>
      </w:r>
      <w:r w:rsidR="00DD46C3" w:rsidRPr="00FD211F">
        <w:rPr>
          <w:sz w:val="36"/>
          <w:szCs w:val="36"/>
          <w:rtl/>
        </w:rPr>
        <w:t>انتقل</w:t>
      </w:r>
      <w:r w:rsidR="00E8128F">
        <w:rPr>
          <w:sz w:val="36"/>
          <w:szCs w:val="36"/>
          <w:rtl/>
        </w:rPr>
        <w:t xml:space="preserve"> </w:t>
      </w:r>
      <w:r w:rsidR="00DD46C3" w:rsidRPr="00FD211F">
        <w:rPr>
          <w:sz w:val="36"/>
          <w:szCs w:val="36"/>
          <w:rtl/>
        </w:rPr>
        <w:t>الذهن</w:t>
      </w:r>
      <w:r w:rsidR="00E8128F">
        <w:rPr>
          <w:sz w:val="36"/>
          <w:szCs w:val="36"/>
          <w:rtl/>
        </w:rPr>
        <w:t xml:space="preserve"> </w:t>
      </w:r>
      <w:r w:rsidR="00DD46C3" w:rsidRPr="00FD211F">
        <w:rPr>
          <w:sz w:val="36"/>
          <w:szCs w:val="36"/>
          <w:rtl/>
        </w:rPr>
        <w:t>الى</w:t>
      </w:r>
      <w:r w:rsidR="00E8128F">
        <w:rPr>
          <w:sz w:val="36"/>
          <w:szCs w:val="36"/>
          <w:rtl/>
        </w:rPr>
        <w:t xml:space="preserve"> </w:t>
      </w:r>
      <w:r w:rsidR="00DD46C3" w:rsidRPr="00FD211F">
        <w:rPr>
          <w:sz w:val="36"/>
          <w:szCs w:val="36"/>
          <w:rtl/>
        </w:rPr>
        <w:t>الق</w:t>
      </w:r>
      <w:r w:rsidR="00CF692D" w:rsidRPr="00FD211F">
        <w:rPr>
          <w:sz w:val="36"/>
          <w:szCs w:val="36"/>
          <w:rtl/>
        </w:rPr>
        <w:t>يام</w:t>
      </w:r>
      <w:r w:rsidR="00E8128F">
        <w:rPr>
          <w:sz w:val="36"/>
          <w:szCs w:val="36"/>
          <w:rtl/>
        </w:rPr>
        <w:t xml:space="preserve"> </w:t>
      </w:r>
      <w:r w:rsidR="00CF692D" w:rsidRPr="00FD211F">
        <w:rPr>
          <w:sz w:val="36"/>
          <w:szCs w:val="36"/>
          <w:rtl/>
        </w:rPr>
        <w:t>غير</w:t>
      </w:r>
      <w:r w:rsidR="00E8128F">
        <w:rPr>
          <w:sz w:val="36"/>
          <w:szCs w:val="36"/>
          <w:rtl/>
        </w:rPr>
        <w:t xml:space="preserve"> </w:t>
      </w:r>
      <w:r w:rsidR="00CF692D" w:rsidRPr="00FD211F">
        <w:rPr>
          <w:sz w:val="36"/>
          <w:szCs w:val="36"/>
          <w:rtl/>
        </w:rPr>
        <w:t>الملحوظ</w:t>
      </w:r>
      <w:r w:rsidR="00E8128F">
        <w:rPr>
          <w:sz w:val="36"/>
          <w:szCs w:val="36"/>
          <w:rtl/>
        </w:rPr>
        <w:t xml:space="preserve"> </w:t>
      </w:r>
      <w:r w:rsidR="00CF692D" w:rsidRPr="00FD211F">
        <w:rPr>
          <w:sz w:val="36"/>
          <w:szCs w:val="36"/>
          <w:rtl/>
        </w:rPr>
        <w:t>محمولا</w:t>
      </w:r>
      <w:r w:rsidR="00E8128F">
        <w:rPr>
          <w:sz w:val="36"/>
          <w:szCs w:val="36"/>
          <w:rtl/>
        </w:rPr>
        <w:t xml:space="preserve"> </w:t>
      </w:r>
      <w:r w:rsidR="00CF692D" w:rsidRPr="00FD211F">
        <w:rPr>
          <w:sz w:val="36"/>
          <w:szCs w:val="36"/>
          <w:rtl/>
        </w:rPr>
        <w:t>على</w:t>
      </w:r>
      <w:r w:rsidR="00E8128F">
        <w:rPr>
          <w:sz w:val="36"/>
          <w:szCs w:val="36"/>
          <w:rtl/>
        </w:rPr>
        <w:t xml:space="preserve"> </w:t>
      </w:r>
      <w:r w:rsidR="00DD46C3" w:rsidRPr="00FD211F">
        <w:rPr>
          <w:sz w:val="36"/>
          <w:szCs w:val="36"/>
          <w:rtl/>
        </w:rPr>
        <w:t>ذات</w:t>
      </w:r>
      <w:r w:rsidR="00CF692D" w:rsidRPr="00FD211F">
        <w:rPr>
          <w:sz w:val="36"/>
          <w:szCs w:val="36"/>
          <w:rtl/>
        </w:rPr>
        <w:t>ٍ</w:t>
      </w:r>
      <w:r w:rsidR="00603323" w:rsidRPr="00FD211F">
        <w:rPr>
          <w:sz w:val="36"/>
          <w:szCs w:val="36"/>
          <w:rtl/>
        </w:rPr>
        <w:t>،</w:t>
      </w:r>
      <w:r w:rsidR="00E8128F">
        <w:rPr>
          <w:sz w:val="36"/>
          <w:szCs w:val="36"/>
          <w:rtl/>
        </w:rPr>
        <w:t xml:space="preserve"> </w:t>
      </w:r>
      <w:r w:rsidR="0040555A" w:rsidRPr="00FD211F">
        <w:rPr>
          <w:sz w:val="36"/>
          <w:szCs w:val="36"/>
          <w:rtl/>
        </w:rPr>
        <w:t>واما</w:t>
      </w:r>
      <w:r w:rsidR="00E8128F">
        <w:rPr>
          <w:sz w:val="36"/>
          <w:szCs w:val="36"/>
          <w:rtl/>
        </w:rPr>
        <w:t xml:space="preserve"> </w:t>
      </w:r>
      <w:r w:rsidR="0040555A" w:rsidRPr="00FD211F">
        <w:rPr>
          <w:sz w:val="36"/>
          <w:szCs w:val="36"/>
          <w:rtl/>
        </w:rPr>
        <w:t>المشتق</w:t>
      </w:r>
      <w:r w:rsidR="00E8128F">
        <w:rPr>
          <w:sz w:val="36"/>
          <w:szCs w:val="36"/>
          <w:rtl/>
        </w:rPr>
        <w:t xml:space="preserve"> </w:t>
      </w:r>
      <w:r w:rsidR="00DF09F9" w:rsidRPr="00FD211F">
        <w:rPr>
          <w:sz w:val="36"/>
          <w:szCs w:val="36"/>
          <w:rtl/>
        </w:rPr>
        <w:t>كلفظ</w:t>
      </w:r>
      <w:r w:rsidR="00E8128F">
        <w:rPr>
          <w:sz w:val="36"/>
          <w:szCs w:val="36"/>
          <w:rtl/>
        </w:rPr>
        <w:t xml:space="preserve"> </w:t>
      </w:r>
      <w:r w:rsidR="00DF09F9" w:rsidRPr="00FD211F">
        <w:rPr>
          <w:sz w:val="36"/>
          <w:szCs w:val="36"/>
          <w:rtl/>
        </w:rPr>
        <w:t>القائم</w:t>
      </w:r>
      <w:r w:rsidR="00E8128F">
        <w:rPr>
          <w:sz w:val="36"/>
          <w:szCs w:val="36"/>
          <w:rtl/>
        </w:rPr>
        <w:t xml:space="preserve"> </w:t>
      </w:r>
      <w:r w:rsidR="00DF09F9" w:rsidRPr="00FD211F">
        <w:rPr>
          <w:sz w:val="36"/>
          <w:szCs w:val="36"/>
          <w:rtl/>
        </w:rPr>
        <w:t>فهو</w:t>
      </w:r>
      <w:r w:rsidR="00E8128F">
        <w:rPr>
          <w:sz w:val="36"/>
          <w:szCs w:val="36"/>
          <w:rtl/>
        </w:rPr>
        <w:t xml:space="preserve"> </w:t>
      </w:r>
      <w:r w:rsidR="0040555A" w:rsidRPr="00FD211F">
        <w:rPr>
          <w:sz w:val="36"/>
          <w:szCs w:val="36"/>
          <w:rtl/>
        </w:rPr>
        <w:t>موضوع</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ذات</w:t>
      </w:r>
      <w:r w:rsidR="00E8128F">
        <w:rPr>
          <w:sz w:val="36"/>
          <w:szCs w:val="36"/>
          <w:rtl/>
        </w:rPr>
        <w:t xml:space="preserve"> </w:t>
      </w:r>
      <w:r w:rsidR="00DF09F9" w:rsidRPr="00FD211F">
        <w:rPr>
          <w:sz w:val="36"/>
          <w:szCs w:val="36"/>
          <w:rtl/>
        </w:rPr>
        <w:t>القيام</w:t>
      </w:r>
      <w:r w:rsidR="00E8128F">
        <w:rPr>
          <w:sz w:val="36"/>
          <w:szCs w:val="36"/>
          <w:rtl/>
        </w:rPr>
        <w:t xml:space="preserve"> </w:t>
      </w:r>
      <w:r w:rsidR="0040555A" w:rsidRPr="00FD211F">
        <w:rPr>
          <w:sz w:val="36"/>
          <w:szCs w:val="36"/>
          <w:rtl/>
        </w:rPr>
        <w:t>بلااي</w:t>
      </w:r>
      <w:r w:rsidR="00E8128F">
        <w:rPr>
          <w:sz w:val="36"/>
          <w:szCs w:val="36"/>
          <w:rtl/>
        </w:rPr>
        <w:t xml:space="preserve"> </w:t>
      </w:r>
      <w:r w:rsidR="00DF09F9" w:rsidRPr="00FD211F">
        <w:rPr>
          <w:sz w:val="36"/>
          <w:szCs w:val="36"/>
          <w:rtl/>
        </w:rPr>
        <w:t>قيد</w:t>
      </w:r>
      <w:r w:rsidR="00603323" w:rsidRPr="00FD211F">
        <w:rPr>
          <w:sz w:val="36"/>
          <w:szCs w:val="36"/>
          <w:rtl/>
        </w:rPr>
        <w:t>،</w:t>
      </w:r>
      <w:r w:rsidR="00E8128F">
        <w:rPr>
          <w:sz w:val="36"/>
          <w:szCs w:val="36"/>
          <w:rtl/>
        </w:rPr>
        <w:t xml:space="preserve"> </w:t>
      </w:r>
      <w:r w:rsidR="00953339" w:rsidRPr="00FD211F">
        <w:rPr>
          <w:sz w:val="36"/>
          <w:szCs w:val="36"/>
          <w:rtl/>
        </w:rPr>
        <w:t>و</w:t>
      </w:r>
      <w:r w:rsidR="0040555A" w:rsidRPr="00FD211F">
        <w:rPr>
          <w:sz w:val="36"/>
          <w:szCs w:val="36"/>
          <w:rtl/>
        </w:rPr>
        <w:t>يكفي</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صح</w:t>
      </w:r>
      <w:r w:rsidR="00EC7EDF" w:rsidRPr="00FD211F">
        <w:rPr>
          <w:sz w:val="36"/>
          <w:szCs w:val="36"/>
          <w:rtl/>
        </w:rPr>
        <w:t>ة</w:t>
      </w:r>
      <w:r w:rsidR="00E8128F">
        <w:rPr>
          <w:sz w:val="36"/>
          <w:szCs w:val="36"/>
          <w:rtl/>
        </w:rPr>
        <w:t xml:space="preserve"> </w:t>
      </w:r>
      <w:r w:rsidR="0040555A" w:rsidRPr="00FD211F">
        <w:rPr>
          <w:sz w:val="36"/>
          <w:szCs w:val="36"/>
          <w:rtl/>
        </w:rPr>
        <w:t>الحمل</w:t>
      </w:r>
      <w:r w:rsidR="00E8128F">
        <w:rPr>
          <w:sz w:val="36"/>
          <w:szCs w:val="36"/>
          <w:rtl/>
        </w:rPr>
        <w:t xml:space="preserve"> </w:t>
      </w:r>
      <w:r w:rsidR="00B77790" w:rsidRPr="00FD211F">
        <w:rPr>
          <w:sz w:val="36"/>
          <w:szCs w:val="36"/>
          <w:rtl/>
        </w:rPr>
        <w:t>عدم</w:t>
      </w:r>
      <w:r w:rsidR="00E8128F">
        <w:rPr>
          <w:sz w:val="36"/>
          <w:szCs w:val="36"/>
          <w:rtl/>
        </w:rPr>
        <w:t xml:space="preserve"> </w:t>
      </w:r>
      <w:r w:rsidR="00B77790" w:rsidRPr="00FD211F">
        <w:rPr>
          <w:sz w:val="36"/>
          <w:szCs w:val="36"/>
          <w:rtl/>
        </w:rPr>
        <w:t>أخذه</w:t>
      </w:r>
      <w:r w:rsidR="00E8128F">
        <w:rPr>
          <w:sz w:val="36"/>
          <w:szCs w:val="36"/>
          <w:rtl/>
        </w:rPr>
        <w:t xml:space="preserve"> </w:t>
      </w:r>
      <w:r w:rsidR="00B77790" w:rsidRPr="00FD211F">
        <w:rPr>
          <w:sz w:val="36"/>
          <w:szCs w:val="36"/>
          <w:rtl/>
        </w:rPr>
        <w:t>بشرط</w:t>
      </w:r>
      <w:r w:rsidR="00E8128F">
        <w:rPr>
          <w:sz w:val="36"/>
          <w:szCs w:val="36"/>
          <w:rtl/>
        </w:rPr>
        <w:t xml:space="preserve"> </w:t>
      </w:r>
      <w:r w:rsidR="00B77790" w:rsidRPr="00FD211F">
        <w:rPr>
          <w:sz w:val="36"/>
          <w:szCs w:val="36"/>
          <w:rtl/>
        </w:rPr>
        <w:t>لا</w:t>
      </w:r>
      <w:r w:rsidR="00E8128F">
        <w:rPr>
          <w:sz w:val="36"/>
          <w:szCs w:val="36"/>
          <w:rtl/>
        </w:rPr>
        <w:t xml:space="preserve"> </w:t>
      </w:r>
      <w:r w:rsidR="00B77790" w:rsidRPr="00FD211F">
        <w:rPr>
          <w:sz w:val="36"/>
          <w:szCs w:val="36"/>
          <w:rtl/>
        </w:rPr>
        <w:t>عن</w:t>
      </w:r>
      <w:r w:rsidR="00E8128F">
        <w:rPr>
          <w:sz w:val="36"/>
          <w:szCs w:val="36"/>
          <w:rtl/>
        </w:rPr>
        <w:t xml:space="preserve"> </w:t>
      </w:r>
      <w:r w:rsidR="00B77790" w:rsidRPr="00FD211F">
        <w:rPr>
          <w:sz w:val="36"/>
          <w:szCs w:val="36"/>
          <w:rtl/>
        </w:rPr>
        <w:t>الحمل</w:t>
      </w:r>
      <w:r w:rsidR="009C58C8" w:rsidRPr="00FD211F">
        <w:rPr>
          <w:rStyle w:val="a6"/>
          <w:sz w:val="36"/>
          <w:szCs w:val="36"/>
          <w:rtl/>
        </w:rPr>
        <w:t>(</w:t>
      </w:r>
      <w:r w:rsidR="009C58C8" w:rsidRPr="00FD211F">
        <w:rPr>
          <w:rStyle w:val="a6"/>
          <w:sz w:val="36"/>
          <w:szCs w:val="36"/>
          <w:rtl/>
        </w:rPr>
        <w:footnoteReference w:id="581"/>
      </w:r>
      <w:r w:rsidR="009C58C8" w:rsidRPr="00FD211F">
        <w:rPr>
          <w:rStyle w:val="a6"/>
          <w:sz w:val="36"/>
          <w:szCs w:val="36"/>
          <w:rtl/>
        </w:rPr>
        <w:t>)</w:t>
      </w:r>
      <w:r w:rsidR="0040555A" w:rsidRPr="00FD211F">
        <w:rPr>
          <w:sz w:val="36"/>
          <w:szCs w:val="36"/>
          <w:rtl/>
        </w:rPr>
        <w:t>.</w:t>
      </w:r>
    </w:p>
    <w:p w14:paraId="7C55E516" w14:textId="77777777" w:rsidR="000C5BBA" w:rsidRPr="00FD211F" w:rsidRDefault="00764DAC" w:rsidP="009C58C8">
      <w:pPr>
        <w:ind w:left="0" w:firstLine="227"/>
        <w:jc w:val="both"/>
        <w:rPr>
          <w:sz w:val="36"/>
          <w:szCs w:val="36"/>
          <w:rtl/>
        </w:rPr>
      </w:pPr>
      <w:r w:rsidRPr="00FD211F">
        <w:rPr>
          <w:sz w:val="36"/>
          <w:szCs w:val="36"/>
          <w:rtl/>
        </w:rPr>
        <w:t>و</w:t>
      </w:r>
      <w:r w:rsidR="00CF692D" w:rsidRPr="00FD211F">
        <w:rPr>
          <w:sz w:val="36"/>
          <w:szCs w:val="36"/>
          <w:rtl/>
        </w:rPr>
        <w:t>لكن</w:t>
      </w:r>
      <w:r w:rsidR="00E8128F">
        <w:rPr>
          <w:sz w:val="36"/>
          <w:szCs w:val="36"/>
          <w:rtl/>
        </w:rPr>
        <w:t xml:space="preserve"> </w:t>
      </w:r>
      <w:r w:rsidR="00CF692D" w:rsidRPr="00FD211F">
        <w:rPr>
          <w:sz w:val="36"/>
          <w:szCs w:val="36"/>
          <w:rtl/>
        </w:rPr>
        <w:t>الظاهر</w:t>
      </w:r>
      <w:r w:rsidR="00E8128F">
        <w:rPr>
          <w:sz w:val="36"/>
          <w:szCs w:val="36"/>
          <w:rtl/>
        </w:rPr>
        <w:t xml:space="preserve"> </w:t>
      </w:r>
      <w:r w:rsidR="00CF692D" w:rsidRPr="00FD211F">
        <w:rPr>
          <w:sz w:val="36"/>
          <w:szCs w:val="36"/>
          <w:rtl/>
        </w:rPr>
        <w:t>تمامي</w:t>
      </w:r>
      <w:r w:rsidR="00EC7EDF" w:rsidRPr="00FD211F">
        <w:rPr>
          <w:sz w:val="36"/>
          <w:szCs w:val="36"/>
          <w:rtl/>
        </w:rPr>
        <w:t>ة</w:t>
      </w:r>
      <w:r w:rsidR="00E8128F">
        <w:rPr>
          <w:sz w:val="36"/>
          <w:szCs w:val="36"/>
          <w:rtl/>
        </w:rPr>
        <w:t xml:space="preserve"> </w:t>
      </w:r>
      <w:r w:rsidR="00CF692D" w:rsidRPr="00FD211F">
        <w:rPr>
          <w:sz w:val="36"/>
          <w:szCs w:val="36"/>
          <w:rtl/>
        </w:rPr>
        <w:t>ايرادصاحب</w:t>
      </w:r>
      <w:r w:rsidR="00E8128F">
        <w:rPr>
          <w:sz w:val="36"/>
          <w:szCs w:val="36"/>
          <w:rtl/>
        </w:rPr>
        <w:t xml:space="preserve"> </w:t>
      </w:r>
      <w:r w:rsidR="00CF692D" w:rsidRPr="00FD211F">
        <w:rPr>
          <w:sz w:val="36"/>
          <w:szCs w:val="36"/>
          <w:rtl/>
        </w:rPr>
        <w:t>الفصول</w:t>
      </w:r>
      <w:r w:rsidR="00603323" w:rsidRPr="00FD211F">
        <w:rPr>
          <w:sz w:val="36"/>
          <w:szCs w:val="36"/>
          <w:rtl/>
        </w:rPr>
        <w:t>،</w:t>
      </w:r>
      <w:r w:rsidR="00E8128F">
        <w:rPr>
          <w:sz w:val="36"/>
          <w:szCs w:val="36"/>
          <w:rtl/>
        </w:rPr>
        <w:t xml:space="preserve"> </w:t>
      </w:r>
      <w:r w:rsidR="00CF692D" w:rsidRPr="00FD211F">
        <w:rPr>
          <w:sz w:val="36"/>
          <w:szCs w:val="36"/>
          <w:rtl/>
        </w:rPr>
        <w:t>اذيردعلى</w:t>
      </w:r>
      <w:r w:rsidR="00E8128F">
        <w:rPr>
          <w:sz w:val="36"/>
          <w:szCs w:val="36"/>
          <w:rtl/>
        </w:rPr>
        <w:t xml:space="preserve"> </w:t>
      </w:r>
      <w:r w:rsidR="00CF692D" w:rsidRPr="00FD211F">
        <w:rPr>
          <w:sz w:val="36"/>
          <w:szCs w:val="36"/>
          <w:rtl/>
        </w:rPr>
        <w:t>ماذكره</w:t>
      </w:r>
      <w:r w:rsidR="00E8128F">
        <w:rPr>
          <w:sz w:val="36"/>
          <w:szCs w:val="36"/>
          <w:rtl/>
        </w:rPr>
        <w:t xml:space="preserve"> </w:t>
      </w:r>
      <w:r w:rsidR="00CF692D" w:rsidRPr="00FD211F">
        <w:rPr>
          <w:sz w:val="36"/>
          <w:szCs w:val="36"/>
          <w:rtl/>
        </w:rPr>
        <w:t>في</w:t>
      </w:r>
      <w:r w:rsidR="00E8128F">
        <w:rPr>
          <w:sz w:val="36"/>
          <w:szCs w:val="36"/>
          <w:rtl/>
        </w:rPr>
        <w:t xml:space="preserve"> </w:t>
      </w:r>
      <w:r w:rsidR="003B0E64" w:rsidRPr="00FD211F">
        <w:rPr>
          <w:sz w:val="36"/>
          <w:szCs w:val="36"/>
          <w:rtl/>
        </w:rPr>
        <w:t>البحوث</w:t>
      </w:r>
      <w:r w:rsidR="00E8128F">
        <w:rPr>
          <w:sz w:val="36"/>
          <w:szCs w:val="36"/>
          <w:rtl/>
        </w:rPr>
        <w:t xml:space="preserve"> </w:t>
      </w:r>
      <w:r w:rsidR="00CF692D" w:rsidRPr="00FD211F">
        <w:rPr>
          <w:sz w:val="36"/>
          <w:szCs w:val="36"/>
          <w:rtl/>
        </w:rPr>
        <w:t>أ</w:t>
      </w:r>
      <w:r w:rsidR="009C0CDB" w:rsidRPr="00FD211F">
        <w:rPr>
          <w:sz w:val="36"/>
          <w:szCs w:val="36"/>
          <w:rtl/>
        </w:rPr>
        <w:t>ن</w:t>
      </w:r>
      <w:r w:rsidR="00E8128F">
        <w:rPr>
          <w:sz w:val="36"/>
          <w:szCs w:val="36"/>
          <w:rtl/>
        </w:rPr>
        <w:t xml:space="preserve"> </w:t>
      </w:r>
      <w:r w:rsidR="009C0CDB" w:rsidRPr="00FD211F">
        <w:rPr>
          <w:sz w:val="36"/>
          <w:szCs w:val="36"/>
          <w:rtl/>
        </w:rPr>
        <w:t>اختصاص</w:t>
      </w:r>
      <w:r w:rsidR="00E8128F">
        <w:rPr>
          <w:sz w:val="36"/>
          <w:szCs w:val="36"/>
          <w:rtl/>
        </w:rPr>
        <w:t xml:space="preserve"> </w:t>
      </w:r>
      <w:r w:rsidR="0040555A" w:rsidRPr="00FD211F">
        <w:rPr>
          <w:sz w:val="36"/>
          <w:szCs w:val="36"/>
          <w:rtl/>
        </w:rPr>
        <w:t>العلق</w:t>
      </w:r>
      <w:r w:rsidR="00EC7EDF" w:rsidRPr="00FD211F">
        <w:rPr>
          <w:sz w:val="36"/>
          <w:szCs w:val="36"/>
          <w:rtl/>
        </w:rPr>
        <w:t>ة</w:t>
      </w:r>
      <w:r w:rsidR="00E8128F">
        <w:rPr>
          <w:sz w:val="36"/>
          <w:szCs w:val="36"/>
          <w:rtl/>
        </w:rPr>
        <w:t xml:space="preserve"> </w:t>
      </w:r>
      <w:r w:rsidR="0040555A" w:rsidRPr="00FD211F">
        <w:rPr>
          <w:sz w:val="36"/>
          <w:szCs w:val="36"/>
          <w:rtl/>
        </w:rPr>
        <w:t>الوضعي</w:t>
      </w:r>
      <w:r w:rsidR="00EC7EDF" w:rsidRPr="00FD211F">
        <w:rPr>
          <w:sz w:val="36"/>
          <w:szCs w:val="36"/>
          <w:rtl/>
        </w:rPr>
        <w:t>ة</w:t>
      </w:r>
      <w:r w:rsidR="00E8128F">
        <w:rPr>
          <w:sz w:val="36"/>
          <w:szCs w:val="36"/>
          <w:rtl/>
        </w:rPr>
        <w:t xml:space="preserve"> </w:t>
      </w:r>
      <w:r w:rsidR="009C0CDB" w:rsidRPr="00FD211F">
        <w:rPr>
          <w:sz w:val="36"/>
          <w:szCs w:val="36"/>
          <w:rtl/>
        </w:rPr>
        <w:t>بحال</w:t>
      </w:r>
      <w:r w:rsidR="00E8128F">
        <w:rPr>
          <w:sz w:val="36"/>
          <w:szCs w:val="36"/>
          <w:rtl/>
        </w:rPr>
        <w:t xml:space="preserve"> </w:t>
      </w:r>
      <w:r w:rsidR="009C0CDB" w:rsidRPr="00FD211F">
        <w:rPr>
          <w:sz w:val="36"/>
          <w:szCs w:val="36"/>
          <w:rtl/>
        </w:rPr>
        <w:t>معين</w:t>
      </w:r>
      <w:r w:rsidR="00E8128F">
        <w:rPr>
          <w:sz w:val="36"/>
          <w:szCs w:val="36"/>
          <w:rtl/>
        </w:rPr>
        <w:t xml:space="preserve"> </w:t>
      </w:r>
      <w:r w:rsidR="009C0CDB" w:rsidRPr="00FD211F">
        <w:rPr>
          <w:sz w:val="36"/>
          <w:szCs w:val="36"/>
          <w:rtl/>
        </w:rPr>
        <w:t>نتيج</w:t>
      </w:r>
      <w:r w:rsidR="00EC7EDF" w:rsidRPr="00FD211F">
        <w:rPr>
          <w:sz w:val="36"/>
          <w:szCs w:val="36"/>
          <w:rtl/>
        </w:rPr>
        <w:t>ة</w:t>
      </w:r>
      <w:r w:rsidR="00E8128F">
        <w:rPr>
          <w:sz w:val="36"/>
          <w:szCs w:val="36"/>
          <w:rtl/>
        </w:rPr>
        <w:t xml:space="preserve"> </w:t>
      </w:r>
      <w:r w:rsidR="009C0CDB" w:rsidRPr="00FD211F">
        <w:rPr>
          <w:sz w:val="36"/>
          <w:szCs w:val="36"/>
          <w:rtl/>
        </w:rPr>
        <w:t>تقييد</w:t>
      </w:r>
      <w:r w:rsidR="00E8128F">
        <w:rPr>
          <w:sz w:val="36"/>
          <w:szCs w:val="36"/>
          <w:rtl/>
        </w:rPr>
        <w:t xml:space="preserve"> </w:t>
      </w:r>
      <w:r w:rsidR="009C0CDB" w:rsidRPr="00FD211F">
        <w:rPr>
          <w:sz w:val="36"/>
          <w:szCs w:val="36"/>
          <w:rtl/>
        </w:rPr>
        <w:t>الوضع</w:t>
      </w:r>
      <w:r w:rsidR="00E8128F">
        <w:rPr>
          <w:sz w:val="36"/>
          <w:szCs w:val="36"/>
          <w:rtl/>
        </w:rPr>
        <w:t xml:space="preserve"> </w:t>
      </w:r>
      <w:r w:rsidR="009C0CDB" w:rsidRPr="00FD211F">
        <w:rPr>
          <w:sz w:val="36"/>
          <w:szCs w:val="36"/>
          <w:rtl/>
        </w:rPr>
        <w:t>به</w:t>
      </w:r>
      <w:r w:rsidR="00E8128F">
        <w:rPr>
          <w:sz w:val="36"/>
          <w:szCs w:val="36"/>
          <w:rtl/>
        </w:rPr>
        <w:t xml:space="preserve"> </w:t>
      </w:r>
      <w:r w:rsidR="006D6133" w:rsidRPr="00FD211F">
        <w:rPr>
          <w:sz w:val="36"/>
          <w:szCs w:val="36"/>
          <w:rtl/>
        </w:rPr>
        <w:t>-</w:t>
      </w:r>
      <w:r w:rsidR="009C0CDB" w:rsidRPr="00FD211F">
        <w:rPr>
          <w:sz w:val="36"/>
          <w:szCs w:val="36"/>
          <w:rtl/>
        </w:rPr>
        <w:t>كأن</w:t>
      </w:r>
      <w:r w:rsidR="00E8128F">
        <w:rPr>
          <w:sz w:val="36"/>
          <w:szCs w:val="36"/>
          <w:rtl/>
        </w:rPr>
        <w:t xml:space="preserve"> </w:t>
      </w:r>
      <w:r w:rsidR="009C0CDB" w:rsidRPr="00FD211F">
        <w:rPr>
          <w:sz w:val="36"/>
          <w:szCs w:val="36"/>
          <w:rtl/>
        </w:rPr>
        <w:t>يتقيّدوضع</w:t>
      </w:r>
      <w:r w:rsidR="00E8128F">
        <w:rPr>
          <w:sz w:val="36"/>
          <w:szCs w:val="36"/>
          <w:rtl/>
        </w:rPr>
        <w:t xml:space="preserve"> </w:t>
      </w:r>
      <w:r w:rsidR="009C0CDB" w:rsidRPr="00FD211F">
        <w:rPr>
          <w:sz w:val="36"/>
          <w:szCs w:val="36"/>
          <w:rtl/>
        </w:rPr>
        <w:t>الماء</w:t>
      </w:r>
      <w:r w:rsidR="00E8128F">
        <w:rPr>
          <w:sz w:val="36"/>
          <w:szCs w:val="36"/>
          <w:rtl/>
        </w:rPr>
        <w:t xml:space="preserve"> </w:t>
      </w:r>
      <w:r w:rsidR="009C0CDB" w:rsidRPr="00FD211F">
        <w:rPr>
          <w:sz w:val="36"/>
          <w:szCs w:val="36"/>
          <w:rtl/>
        </w:rPr>
        <w:t>على</w:t>
      </w:r>
      <w:r w:rsidR="00E8128F">
        <w:rPr>
          <w:sz w:val="36"/>
          <w:szCs w:val="36"/>
          <w:rtl/>
        </w:rPr>
        <w:t xml:space="preserve"> </w:t>
      </w:r>
      <w:r w:rsidR="009C0CDB" w:rsidRPr="00FD211F">
        <w:rPr>
          <w:sz w:val="36"/>
          <w:szCs w:val="36"/>
          <w:rtl/>
        </w:rPr>
        <w:t>معناه</w:t>
      </w:r>
      <w:r w:rsidR="00E8128F">
        <w:rPr>
          <w:sz w:val="36"/>
          <w:szCs w:val="36"/>
          <w:rtl/>
        </w:rPr>
        <w:t xml:space="preserve"> </w:t>
      </w:r>
      <w:r w:rsidR="009C0CDB" w:rsidRPr="00FD211F">
        <w:rPr>
          <w:sz w:val="36"/>
          <w:szCs w:val="36"/>
          <w:rtl/>
        </w:rPr>
        <w:t>بما</w:t>
      </w:r>
      <w:r w:rsidR="00E8128F">
        <w:rPr>
          <w:sz w:val="36"/>
          <w:szCs w:val="36"/>
          <w:rtl/>
        </w:rPr>
        <w:t xml:space="preserve"> </w:t>
      </w:r>
      <w:r w:rsidR="009C0CDB" w:rsidRPr="00FD211F">
        <w:rPr>
          <w:sz w:val="36"/>
          <w:szCs w:val="36"/>
          <w:rtl/>
        </w:rPr>
        <w:t>لو</w:t>
      </w:r>
      <w:r w:rsidR="006D6133" w:rsidRPr="00FD211F">
        <w:rPr>
          <w:sz w:val="36"/>
          <w:szCs w:val="36"/>
          <w:rtl/>
        </w:rPr>
        <w:t>تكلم</w:t>
      </w:r>
      <w:r w:rsidR="00E8128F">
        <w:rPr>
          <w:sz w:val="36"/>
          <w:szCs w:val="36"/>
          <w:rtl/>
        </w:rPr>
        <w:t xml:space="preserve"> </w:t>
      </w:r>
      <w:r w:rsidR="006D6133" w:rsidRPr="00FD211F">
        <w:rPr>
          <w:sz w:val="36"/>
          <w:szCs w:val="36"/>
          <w:rtl/>
        </w:rPr>
        <w:t>به</w:t>
      </w:r>
      <w:r w:rsidR="00E8128F">
        <w:rPr>
          <w:sz w:val="36"/>
          <w:szCs w:val="36"/>
          <w:rtl/>
        </w:rPr>
        <w:t xml:space="preserve"> </w:t>
      </w:r>
      <w:r w:rsidR="006D6133" w:rsidRPr="00FD211F">
        <w:rPr>
          <w:sz w:val="36"/>
          <w:szCs w:val="36"/>
          <w:rtl/>
        </w:rPr>
        <w:t>في</w:t>
      </w:r>
      <w:r w:rsidR="00E8128F">
        <w:rPr>
          <w:sz w:val="36"/>
          <w:szCs w:val="36"/>
          <w:rtl/>
        </w:rPr>
        <w:t xml:space="preserve"> </w:t>
      </w:r>
      <w:r w:rsidR="006D6133" w:rsidRPr="00FD211F">
        <w:rPr>
          <w:sz w:val="36"/>
          <w:szCs w:val="36"/>
          <w:rtl/>
        </w:rPr>
        <w:t>النهار-</w:t>
      </w:r>
      <w:r w:rsidR="0040555A" w:rsidRPr="00FD211F">
        <w:rPr>
          <w:sz w:val="36"/>
          <w:szCs w:val="36"/>
          <w:rtl/>
        </w:rPr>
        <w:t>لايوجب</w:t>
      </w:r>
      <w:r w:rsidR="00E8128F">
        <w:rPr>
          <w:sz w:val="36"/>
          <w:szCs w:val="36"/>
          <w:rtl/>
        </w:rPr>
        <w:t xml:space="preserve"> </w:t>
      </w:r>
      <w:r w:rsidR="0040555A" w:rsidRPr="00FD211F">
        <w:rPr>
          <w:sz w:val="36"/>
          <w:szCs w:val="36"/>
          <w:rtl/>
        </w:rPr>
        <w:t>عدم</w:t>
      </w:r>
      <w:r w:rsidR="00E8128F">
        <w:rPr>
          <w:sz w:val="36"/>
          <w:szCs w:val="36"/>
          <w:rtl/>
        </w:rPr>
        <w:t xml:space="preserve"> </w:t>
      </w:r>
      <w:r w:rsidR="0040555A" w:rsidRPr="00FD211F">
        <w:rPr>
          <w:sz w:val="36"/>
          <w:szCs w:val="36"/>
          <w:rtl/>
        </w:rPr>
        <w:t>صح</w:t>
      </w:r>
      <w:r w:rsidR="00EC7EDF" w:rsidRPr="00FD211F">
        <w:rPr>
          <w:sz w:val="36"/>
          <w:szCs w:val="36"/>
          <w:rtl/>
        </w:rPr>
        <w:t>ة</w:t>
      </w:r>
      <w:r w:rsidR="00E8128F">
        <w:rPr>
          <w:sz w:val="36"/>
          <w:szCs w:val="36"/>
          <w:rtl/>
        </w:rPr>
        <w:t xml:space="preserve"> </w:t>
      </w:r>
      <w:r w:rsidR="0040555A" w:rsidRPr="00FD211F">
        <w:rPr>
          <w:sz w:val="36"/>
          <w:szCs w:val="36"/>
          <w:rtl/>
        </w:rPr>
        <w:t>استعمال</w:t>
      </w:r>
      <w:r w:rsidR="00E8128F">
        <w:rPr>
          <w:sz w:val="36"/>
          <w:szCs w:val="36"/>
          <w:rtl/>
        </w:rPr>
        <w:t xml:space="preserve"> </w:t>
      </w:r>
      <w:r w:rsidR="0040555A" w:rsidRPr="00FD211F">
        <w:rPr>
          <w:sz w:val="36"/>
          <w:szCs w:val="36"/>
          <w:rtl/>
        </w:rPr>
        <w:t>اللفظ</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نفس</w:t>
      </w:r>
      <w:r w:rsidR="00E8128F">
        <w:rPr>
          <w:sz w:val="36"/>
          <w:szCs w:val="36"/>
          <w:rtl/>
        </w:rPr>
        <w:t xml:space="preserve"> </w:t>
      </w:r>
      <w:r w:rsidR="0040555A" w:rsidRPr="00FD211F">
        <w:rPr>
          <w:sz w:val="36"/>
          <w:szCs w:val="36"/>
          <w:rtl/>
        </w:rPr>
        <w:t>المعنى</w:t>
      </w:r>
      <w:r w:rsidR="00E8128F">
        <w:rPr>
          <w:sz w:val="36"/>
          <w:szCs w:val="36"/>
          <w:rtl/>
        </w:rPr>
        <w:t xml:space="preserve"> </w:t>
      </w:r>
      <w:r w:rsidR="006D6133" w:rsidRPr="00FD211F">
        <w:rPr>
          <w:sz w:val="36"/>
          <w:szCs w:val="36"/>
          <w:rtl/>
        </w:rPr>
        <w:t>في</w:t>
      </w:r>
      <w:r w:rsidR="00E8128F">
        <w:rPr>
          <w:sz w:val="36"/>
          <w:szCs w:val="36"/>
          <w:rtl/>
        </w:rPr>
        <w:t xml:space="preserve"> </w:t>
      </w:r>
      <w:r w:rsidR="006D6133" w:rsidRPr="00FD211F">
        <w:rPr>
          <w:sz w:val="36"/>
          <w:szCs w:val="36"/>
          <w:rtl/>
        </w:rPr>
        <w:t>غير</w:t>
      </w:r>
      <w:r w:rsidR="00E8128F">
        <w:rPr>
          <w:sz w:val="36"/>
          <w:szCs w:val="36"/>
          <w:rtl/>
        </w:rPr>
        <w:t xml:space="preserve"> </w:t>
      </w:r>
      <w:r w:rsidR="006D6133" w:rsidRPr="00FD211F">
        <w:rPr>
          <w:sz w:val="36"/>
          <w:szCs w:val="36"/>
          <w:rtl/>
        </w:rPr>
        <w:t>تلك</w:t>
      </w:r>
      <w:r w:rsidR="00E8128F">
        <w:rPr>
          <w:sz w:val="36"/>
          <w:szCs w:val="36"/>
          <w:rtl/>
        </w:rPr>
        <w:t xml:space="preserve"> </w:t>
      </w:r>
      <w:r w:rsidR="006D6133" w:rsidRPr="00FD211F">
        <w:rPr>
          <w:sz w:val="36"/>
          <w:szCs w:val="36"/>
          <w:rtl/>
        </w:rPr>
        <w:t>الحال</w:t>
      </w:r>
      <w:r w:rsidR="00603323" w:rsidRPr="00FD211F">
        <w:rPr>
          <w:sz w:val="36"/>
          <w:szCs w:val="36"/>
          <w:rtl/>
        </w:rPr>
        <w:t>،</w:t>
      </w:r>
      <w:r w:rsidR="00E8128F">
        <w:rPr>
          <w:sz w:val="36"/>
          <w:szCs w:val="36"/>
          <w:rtl/>
        </w:rPr>
        <w:t xml:space="preserve"> </w:t>
      </w:r>
      <w:r w:rsidR="0040555A" w:rsidRPr="00FD211F">
        <w:rPr>
          <w:sz w:val="36"/>
          <w:szCs w:val="36"/>
          <w:rtl/>
        </w:rPr>
        <w:t>اذ</w:t>
      </w:r>
      <w:r w:rsidR="00E8128F">
        <w:rPr>
          <w:sz w:val="36"/>
          <w:szCs w:val="36"/>
          <w:rtl/>
        </w:rPr>
        <w:t xml:space="preserve"> </w:t>
      </w:r>
      <w:r w:rsidR="0040555A" w:rsidRPr="00FD211F">
        <w:rPr>
          <w:sz w:val="36"/>
          <w:szCs w:val="36"/>
          <w:rtl/>
        </w:rPr>
        <w:t>لايكون</w:t>
      </w:r>
      <w:r w:rsidR="00E8128F">
        <w:rPr>
          <w:sz w:val="36"/>
          <w:szCs w:val="36"/>
          <w:rtl/>
        </w:rPr>
        <w:t xml:space="preserve"> </w:t>
      </w:r>
      <w:r w:rsidR="0040555A" w:rsidRPr="00FD211F">
        <w:rPr>
          <w:sz w:val="36"/>
          <w:szCs w:val="36"/>
          <w:rtl/>
        </w:rPr>
        <w:t>اسوء</w:t>
      </w:r>
      <w:r w:rsidR="00E8128F">
        <w:rPr>
          <w:sz w:val="36"/>
          <w:szCs w:val="36"/>
          <w:rtl/>
        </w:rPr>
        <w:t xml:space="preserve"> </w:t>
      </w:r>
      <w:r w:rsidR="0040555A" w:rsidRPr="00FD211F">
        <w:rPr>
          <w:sz w:val="36"/>
          <w:szCs w:val="36"/>
          <w:rtl/>
        </w:rPr>
        <w:t>حالا</w:t>
      </w:r>
      <w:r w:rsidR="00E8128F">
        <w:rPr>
          <w:sz w:val="36"/>
          <w:szCs w:val="36"/>
          <w:rtl/>
        </w:rPr>
        <w:t xml:space="preserve"> </w:t>
      </w:r>
      <w:r w:rsidR="0040555A" w:rsidRPr="00FD211F">
        <w:rPr>
          <w:sz w:val="36"/>
          <w:szCs w:val="36"/>
          <w:rtl/>
        </w:rPr>
        <w:t>من</w:t>
      </w:r>
      <w:r w:rsidR="00E8128F">
        <w:rPr>
          <w:sz w:val="36"/>
          <w:szCs w:val="36"/>
          <w:rtl/>
        </w:rPr>
        <w:t xml:space="preserve"> </w:t>
      </w:r>
      <w:r w:rsidR="0040555A" w:rsidRPr="00FD211F">
        <w:rPr>
          <w:sz w:val="36"/>
          <w:szCs w:val="36"/>
          <w:rtl/>
        </w:rPr>
        <w:t>الاستعمال</w:t>
      </w:r>
      <w:r w:rsidR="00E8128F">
        <w:rPr>
          <w:sz w:val="36"/>
          <w:szCs w:val="36"/>
          <w:rtl/>
        </w:rPr>
        <w:t xml:space="preserve"> </w:t>
      </w:r>
      <w:r w:rsidR="0040555A" w:rsidRPr="00FD211F">
        <w:rPr>
          <w:sz w:val="36"/>
          <w:szCs w:val="36"/>
          <w:rtl/>
        </w:rPr>
        <w:t>المجازي</w:t>
      </w:r>
      <w:r w:rsidR="006D6133" w:rsidRPr="00FD211F">
        <w:rPr>
          <w:sz w:val="36"/>
          <w:szCs w:val="36"/>
          <w:rtl/>
        </w:rPr>
        <w:t>.</w:t>
      </w:r>
    </w:p>
    <w:p w14:paraId="064277BB" w14:textId="77777777" w:rsidR="0040555A" w:rsidRPr="00FD211F" w:rsidRDefault="0040555A" w:rsidP="009C58C8">
      <w:pPr>
        <w:ind w:left="0" w:firstLine="227"/>
        <w:jc w:val="both"/>
        <w:rPr>
          <w:sz w:val="36"/>
          <w:szCs w:val="36"/>
          <w:rtl/>
        </w:rPr>
      </w:pPr>
      <w:r w:rsidRPr="00FD211F">
        <w:rPr>
          <w:sz w:val="36"/>
          <w:szCs w:val="36"/>
          <w:rtl/>
        </w:rPr>
        <w:t>ومن</w:t>
      </w:r>
      <w:r w:rsidR="00E8128F">
        <w:rPr>
          <w:sz w:val="36"/>
          <w:szCs w:val="36"/>
          <w:rtl/>
        </w:rPr>
        <w:t xml:space="preserve"> </w:t>
      </w:r>
      <w:r w:rsidRPr="00FD211F">
        <w:rPr>
          <w:sz w:val="36"/>
          <w:szCs w:val="36"/>
          <w:rtl/>
        </w:rPr>
        <w:t>جه</w:t>
      </w:r>
      <w:r w:rsidR="00EC7EDF" w:rsidRPr="00FD211F">
        <w:rPr>
          <w:sz w:val="36"/>
          <w:szCs w:val="36"/>
          <w:rtl/>
        </w:rPr>
        <w:t>ة</w:t>
      </w:r>
      <w:r w:rsidR="00E8128F">
        <w:rPr>
          <w:sz w:val="36"/>
          <w:szCs w:val="36"/>
          <w:rtl/>
        </w:rPr>
        <w:t xml:space="preserve"> </w:t>
      </w:r>
      <w:r w:rsidRPr="00FD211F">
        <w:rPr>
          <w:sz w:val="36"/>
          <w:szCs w:val="36"/>
          <w:rtl/>
        </w:rPr>
        <w:t>أخرى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تقييد</w:t>
      </w:r>
      <w:r w:rsidR="00E8128F">
        <w:rPr>
          <w:sz w:val="36"/>
          <w:szCs w:val="36"/>
          <w:rtl/>
        </w:rPr>
        <w:t xml:space="preserve"> </w:t>
      </w:r>
      <w:r w:rsidRPr="00FD211F">
        <w:rPr>
          <w:sz w:val="36"/>
          <w:szCs w:val="36"/>
          <w:rtl/>
        </w:rPr>
        <w:t>الوضع</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المعنى</w:t>
      </w:r>
      <w:r w:rsidR="00E8128F">
        <w:rPr>
          <w:sz w:val="36"/>
          <w:szCs w:val="36"/>
          <w:rtl/>
        </w:rPr>
        <w:t xml:space="preserve"> </w:t>
      </w:r>
      <w:r w:rsidRPr="00FD211F">
        <w:rPr>
          <w:sz w:val="36"/>
          <w:szCs w:val="36"/>
          <w:rtl/>
        </w:rPr>
        <w:t>الموضوع</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بخصوص</w:t>
      </w:r>
      <w:r w:rsidR="00E8128F">
        <w:rPr>
          <w:sz w:val="36"/>
          <w:szCs w:val="36"/>
          <w:rtl/>
        </w:rPr>
        <w:t xml:space="preserve"> </w:t>
      </w:r>
      <w:r w:rsidRPr="00FD211F">
        <w:rPr>
          <w:sz w:val="36"/>
          <w:szCs w:val="36"/>
          <w:rtl/>
        </w:rPr>
        <w:t>ما</w:t>
      </w:r>
      <w:r w:rsidR="00E8128F">
        <w:rPr>
          <w:sz w:val="36"/>
          <w:szCs w:val="36"/>
          <w:rtl/>
        </w:rPr>
        <w:t xml:space="preserve"> </w:t>
      </w:r>
      <w:r w:rsidR="008D7B3D" w:rsidRPr="00FD211F">
        <w:rPr>
          <w:sz w:val="36"/>
          <w:szCs w:val="36"/>
          <w:rtl/>
        </w:rPr>
        <w:t>لم‌</w:t>
      </w:r>
      <w:r w:rsidRPr="00FD211F">
        <w:rPr>
          <w:sz w:val="36"/>
          <w:szCs w:val="36"/>
          <w:rtl/>
        </w:rPr>
        <w:t>يلحظ</w:t>
      </w:r>
      <w:r w:rsidR="00E8128F">
        <w:rPr>
          <w:sz w:val="36"/>
          <w:szCs w:val="36"/>
          <w:rtl/>
        </w:rPr>
        <w:t xml:space="preserve"> </w:t>
      </w:r>
      <w:r w:rsidRPr="00FD211F">
        <w:rPr>
          <w:sz w:val="36"/>
          <w:szCs w:val="36"/>
          <w:rtl/>
        </w:rPr>
        <w:t>المعنى</w:t>
      </w:r>
      <w:r w:rsidR="00E8128F">
        <w:rPr>
          <w:sz w:val="36"/>
          <w:szCs w:val="36"/>
          <w:rtl/>
        </w:rPr>
        <w:t xml:space="preserve"> </w:t>
      </w:r>
      <w:r w:rsidRPr="00FD211F">
        <w:rPr>
          <w:sz w:val="36"/>
          <w:szCs w:val="36"/>
          <w:rtl/>
        </w:rPr>
        <w:t>محمولا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ذات</w:t>
      </w:r>
      <w:r w:rsidR="00603323" w:rsidRPr="00FD211F">
        <w:rPr>
          <w:sz w:val="36"/>
          <w:szCs w:val="36"/>
          <w:rtl/>
        </w:rPr>
        <w:t>،</w:t>
      </w:r>
      <w:r w:rsidR="00E8128F">
        <w:rPr>
          <w:sz w:val="36"/>
          <w:szCs w:val="36"/>
          <w:rtl/>
        </w:rPr>
        <w:t xml:space="preserve"> </w:t>
      </w:r>
      <w:r w:rsidRPr="00FD211F">
        <w:rPr>
          <w:sz w:val="36"/>
          <w:szCs w:val="36"/>
          <w:rtl/>
        </w:rPr>
        <w:t>انما</w:t>
      </w:r>
      <w:r w:rsidR="00E8128F">
        <w:rPr>
          <w:sz w:val="36"/>
          <w:szCs w:val="36"/>
          <w:rtl/>
        </w:rPr>
        <w:t xml:space="preserve"> </w:t>
      </w:r>
      <w:r w:rsidR="003B0E64" w:rsidRPr="00FD211F">
        <w:rPr>
          <w:sz w:val="36"/>
          <w:szCs w:val="36"/>
          <w:rtl/>
        </w:rPr>
        <w:t>يوجب</w:t>
      </w:r>
      <w:r w:rsidR="00E8128F">
        <w:rPr>
          <w:sz w:val="36"/>
          <w:szCs w:val="36"/>
          <w:rtl/>
        </w:rPr>
        <w:t xml:space="preserve"> </w:t>
      </w:r>
      <w:r w:rsidR="003B0E64" w:rsidRPr="00FD211F">
        <w:rPr>
          <w:sz w:val="36"/>
          <w:szCs w:val="36"/>
          <w:rtl/>
        </w:rPr>
        <w:t>ا</w:t>
      </w:r>
      <w:r w:rsidRPr="00FD211F">
        <w:rPr>
          <w:sz w:val="36"/>
          <w:szCs w:val="36"/>
          <w:rtl/>
        </w:rPr>
        <w:t>لمنع</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الحمل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القضي</w:t>
      </w:r>
      <w:r w:rsidR="00EC7EDF" w:rsidRPr="00FD211F">
        <w:rPr>
          <w:sz w:val="36"/>
          <w:szCs w:val="36"/>
          <w:rtl/>
        </w:rPr>
        <w:t>ة</w:t>
      </w:r>
      <w:r w:rsidR="00E8128F">
        <w:rPr>
          <w:sz w:val="36"/>
          <w:szCs w:val="36"/>
          <w:rtl/>
        </w:rPr>
        <w:t xml:space="preserve"> </w:t>
      </w:r>
      <w:r w:rsidRPr="00FD211F">
        <w:rPr>
          <w:sz w:val="36"/>
          <w:szCs w:val="36"/>
          <w:rtl/>
        </w:rPr>
        <w:t>لاالحمل</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الانطباق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مصداقه</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قهري</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ت</w:t>
      </w:r>
      <w:r w:rsidR="003B0E64" w:rsidRPr="00FD211F">
        <w:rPr>
          <w:sz w:val="36"/>
          <w:szCs w:val="36"/>
          <w:rtl/>
        </w:rPr>
        <w:t>ل</w:t>
      </w:r>
      <w:r w:rsidR="00764DAC" w:rsidRPr="00FD211F">
        <w:rPr>
          <w:sz w:val="36"/>
          <w:szCs w:val="36"/>
          <w:rtl/>
        </w:rPr>
        <w:t>ف</w:t>
      </w:r>
      <w:r w:rsidR="003B0E64" w:rsidRPr="00FD211F">
        <w:rPr>
          <w:sz w:val="36"/>
          <w:szCs w:val="36"/>
          <w:rtl/>
        </w:rPr>
        <w:t>ظ</w:t>
      </w:r>
      <w:r w:rsidR="00E8128F">
        <w:rPr>
          <w:sz w:val="36"/>
          <w:szCs w:val="36"/>
          <w:rtl/>
        </w:rPr>
        <w:t xml:space="preserve"> </w:t>
      </w:r>
      <w:r w:rsidR="003B0E64" w:rsidRPr="00FD211F">
        <w:rPr>
          <w:sz w:val="36"/>
          <w:szCs w:val="36"/>
          <w:rtl/>
        </w:rPr>
        <w:t>المتكلم</w:t>
      </w:r>
      <w:r w:rsidR="00E8128F">
        <w:rPr>
          <w:sz w:val="36"/>
          <w:szCs w:val="36"/>
          <w:rtl/>
        </w:rPr>
        <w:t xml:space="preserve"> </w:t>
      </w:r>
      <w:r w:rsidR="003B0E64" w:rsidRPr="00FD211F">
        <w:rPr>
          <w:sz w:val="36"/>
          <w:szCs w:val="36"/>
          <w:rtl/>
        </w:rPr>
        <w:t>بلفظ</w:t>
      </w:r>
      <w:r w:rsidR="00E8128F">
        <w:rPr>
          <w:sz w:val="36"/>
          <w:szCs w:val="36"/>
          <w:rtl/>
        </w:rPr>
        <w:t xml:space="preserve"> </w:t>
      </w:r>
      <w:r w:rsidR="006D6133" w:rsidRPr="00FD211F">
        <w:rPr>
          <w:sz w:val="36"/>
          <w:szCs w:val="36"/>
          <w:rtl/>
        </w:rPr>
        <w:t>القائم</w:t>
      </w:r>
      <w:r w:rsidR="00E8128F">
        <w:rPr>
          <w:sz w:val="36"/>
          <w:szCs w:val="36"/>
          <w:rtl/>
        </w:rPr>
        <w:t xml:space="preserve"> </w:t>
      </w:r>
      <w:r w:rsidR="006D6133" w:rsidRPr="00FD211F">
        <w:rPr>
          <w:sz w:val="36"/>
          <w:szCs w:val="36"/>
          <w:rtl/>
        </w:rPr>
        <w:t>فالسامع</w:t>
      </w:r>
      <w:r w:rsidR="00E8128F">
        <w:rPr>
          <w:sz w:val="36"/>
          <w:szCs w:val="36"/>
          <w:rtl/>
        </w:rPr>
        <w:t xml:space="preserve"> </w:t>
      </w:r>
      <w:r w:rsidR="006D6133" w:rsidRPr="00FD211F">
        <w:rPr>
          <w:sz w:val="36"/>
          <w:szCs w:val="36"/>
          <w:rtl/>
        </w:rPr>
        <w:t>يرى</w:t>
      </w:r>
      <w:r w:rsidR="00E8128F">
        <w:rPr>
          <w:sz w:val="36"/>
          <w:szCs w:val="36"/>
          <w:rtl/>
        </w:rPr>
        <w:t xml:space="preserve"> </w:t>
      </w:r>
      <w:r w:rsidR="006D6133" w:rsidRPr="00FD211F">
        <w:rPr>
          <w:sz w:val="36"/>
          <w:szCs w:val="36"/>
          <w:rtl/>
        </w:rPr>
        <w:t>انطباق</w:t>
      </w:r>
      <w:r w:rsidR="00E8128F">
        <w:rPr>
          <w:sz w:val="36"/>
          <w:szCs w:val="36"/>
          <w:rtl/>
        </w:rPr>
        <w:t xml:space="preserve"> </w:t>
      </w:r>
      <w:r w:rsidR="006D6133" w:rsidRPr="00FD211F">
        <w:rPr>
          <w:sz w:val="36"/>
          <w:szCs w:val="36"/>
          <w:rtl/>
        </w:rPr>
        <w:t>معناه</w:t>
      </w:r>
      <w:r w:rsidR="00E8128F">
        <w:rPr>
          <w:sz w:val="36"/>
          <w:szCs w:val="36"/>
          <w:rtl/>
        </w:rPr>
        <w:t xml:space="preserve"> </w:t>
      </w:r>
      <w:r w:rsidR="006D6133" w:rsidRPr="00FD211F">
        <w:rPr>
          <w:sz w:val="36"/>
          <w:szCs w:val="36"/>
          <w:rtl/>
        </w:rPr>
        <w:t>على</w:t>
      </w:r>
      <w:r w:rsidR="00E8128F">
        <w:rPr>
          <w:sz w:val="36"/>
          <w:szCs w:val="36"/>
          <w:rtl/>
        </w:rPr>
        <w:t xml:space="preserve"> </w:t>
      </w:r>
      <w:r w:rsidR="006D6133" w:rsidRPr="00FD211F">
        <w:rPr>
          <w:sz w:val="36"/>
          <w:szCs w:val="36"/>
          <w:rtl/>
        </w:rPr>
        <w:t>مص</w:t>
      </w:r>
      <w:r w:rsidRPr="00FD211F">
        <w:rPr>
          <w:sz w:val="36"/>
          <w:szCs w:val="36"/>
          <w:rtl/>
        </w:rPr>
        <w:t>اد</w:t>
      </w:r>
      <w:r w:rsidR="006D6133" w:rsidRPr="00FD211F">
        <w:rPr>
          <w:sz w:val="36"/>
          <w:szCs w:val="36"/>
          <w:rtl/>
        </w:rPr>
        <w:t>يق</w:t>
      </w:r>
      <w:r w:rsidRPr="00FD211F">
        <w:rPr>
          <w:sz w:val="36"/>
          <w:szCs w:val="36"/>
          <w:rtl/>
        </w:rPr>
        <w:t>ه</w:t>
      </w:r>
      <w:r w:rsidR="00E8128F">
        <w:rPr>
          <w:sz w:val="36"/>
          <w:szCs w:val="36"/>
          <w:rtl/>
        </w:rPr>
        <w:t xml:space="preserve"> </w:t>
      </w:r>
      <w:r w:rsidRPr="00FD211F">
        <w:rPr>
          <w:sz w:val="36"/>
          <w:szCs w:val="36"/>
          <w:rtl/>
        </w:rPr>
        <w:t>قهرا</w:t>
      </w:r>
      <w:r w:rsidR="00E8128F">
        <w:rPr>
          <w:sz w:val="36"/>
          <w:szCs w:val="36"/>
          <w:rtl/>
        </w:rPr>
        <w:t xml:space="preserve"> </w:t>
      </w:r>
      <w:r w:rsidRPr="00FD211F">
        <w:rPr>
          <w:sz w:val="36"/>
          <w:szCs w:val="36"/>
          <w:rtl/>
        </w:rPr>
        <w:t>وهذا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لايقبل</w:t>
      </w:r>
      <w:r w:rsidR="00E8128F">
        <w:rPr>
          <w:sz w:val="36"/>
          <w:szCs w:val="36"/>
          <w:rtl/>
        </w:rPr>
        <w:t xml:space="preserve"> </w:t>
      </w:r>
      <w:r w:rsidRPr="00FD211F">
        <w:rPr>
          <w:sz w:val="36"/>
          <w:szCs w:val="36"/>
          <w:rtl/>
        </w:rPr>
        <w:t>المنع</w:t>
      </w:r>
      <w:r w:rsidR="00E8128F">
        <w:rPr>
          <w:sz w:val="36"/>
          <w:szCs w:val="36"/>
          <w:rtl/>
        </w:rPr>
        <w:t xml:space="preserve"> </w:t>
      </w:r>
      <w:r w:rsidRPr="00FD211F">
        <w:rPr>
          <w:sz w:val="36"/>
          <w:szCs w:val="36"/>
          <w:rtl/>
        </w:rPr>
        <w:t>عنه</w:t>
      </w:r>
      <w:r w:rsidR="00603323" w:rsidRPr="00FD211F">
        <w:rPr>
          <w:sz w:val="36"/>
          <w:szCs w:val="36"/>
          <w:rtl/>
        </w:rPr>
        <w:t>،</w:t>
      </w:r>
      <w:r w:rsidR="00E8128F">
        <w:rPr>
          <w:sz w:val="36"/>
          <w:szCs w:val="36"/>
          <w:rtl/>
        </w:rPr>
        <w:t xml:space="preserve"> </w:t>
      </w:r>
      <w:r w:rsidR="003B0E64" w:rsidRPr="00FD211F">
        <w:rPr>
          <w:sz w:val="36"/>
          <w:szCs w:val="36"/>
          <w:rtl/>
        </w:rPr>
        <w:t>ولكن</w:t>
      </w:r>
      <w:r w:rsidR="00E8128F">
        <w:rPr>
          <w:sz w:val="36"/>
          <w:szCs w:val="36"/>
          <w:rtl/>
        </w:rPr>
        <w:t xml:space="preserve"> </w:t>
      </w:r>
      <w:r w:rsidR="003B0E64" w:rsidRPr="00FD211F">
        <w:rPr>
          <w:sz w:val="36"/>
          <w:szCs w:val="36"/>
          <w:rtl/>
        </w:rPr>
        <w:t>لو</w:t>
      </w:r>
      <w:r w:rsidR="00E8128F">
        <w:rPr>
          <w:sz w:val="36"/>
          <w:szCs w:val="36"/>
          <w:rtl/>
        </w:rPr>
        <w:t xml:space="preserve"> </w:t>
      </w:r>
      <w:r w:rsidR="003B0E64" w:rsidRPr="00FD211F">
        <w:rPr>
          <w:sz w:val="36"/>
          <w:szCs w:val="36"/>
          <w:rtl/>
        </w:rPr>
        <w:t>تلفظ</w:t>
      </w:r>
      <w:r w:rsidR="00E8128F">
        <w:rPr>
          <w:sz w:val="36"/>
          <w:szCs w:val="36"/>
          <w:rtl/>
        </w:rPr>
        <w:t xml:space="preserve"> </w:t>
      </w:r>
      <w:r w:rsidR="003B0E64" w:rsidRPr="00FD211F">
        <w:rPr>
          <w:sz w:val="36"/>
          <w:szCs w:val="36"/>
          <w:rtl/>
        </w:rPr>
        <w:t>بلفظ</w:t>
      </w:r>
      <w:r w:rsidR="00E8128F">
        <w:rPr>
          <w:sz w:val="36"/>
          <w:szCs w:val="36"/>
          <w:rtl/>
        </w:rPr>
        <w:t xml:space="preserve"> </w:t>
      </w:r>
      <w:r w:rsidR="003B0E64" w:rsidRPr="00FD211F">
        <w:rPr>
          <w:sz w:val="36"/>
          <w:szCs w:val="36"/>
          <w:rtl/>
        </w:rPr>
        <w:t>الق</w:t>
      </w:r>
      <w:r w:rsidR="00764DAC" w:rsidRPr="00FD211F">
        <w:rPr>
          <w:sz w:val="36"/>
          <w:szCs w:val="36"/>
          <w:rtl/>
        </w:rPr>
        <w:t>يا</w:t>
      </w:r>
      <w:r w:rsidR="003B0E64" w:rsidRPr="00FD211F">
        <w:rPr>
          <w:sz w:val="36"/>
          <w:szCs w:val="36"/>
          <w:rtl/>
        </w:rPr>
        <w:t>م</w:t>
      </w:r>
      <w:r w:rsidR="00E8128F">
        <w:rPr>
          <w:sz w:val="36"/>
          <w:szCs w:val="36"/>
          <w:rtl/>
        </w:rPr>
        <w:t xml:space="preserve"> </w:t>
      </w:r>
      <w:r w:rsidR="008D7B3D" w:rsidRPr="00FD211F">
        <w:rPr>
          <w:sz w:val="36"/>
          <w:szCs w:val="36"/>
          <w:rtl/>
        </w:rPr>
        <w:t>لم‌</w:t>
      </w:r>
      <w:r w:rsidR="003B0E64" w:rsidRPr="00FD211F">
        <w:rPr>
          <w:sz w:val="36"/>
          <w:szCs w:val="36"/>
          <w:rtl/>
        </w:rPr>
        <w:t>ير</w:t>
      </w:r>
      <w:r w:rsidR="00E8128F">
        <w:rPr>
          <w:sz w:val="36"/>
          <w:szCs w:val="36"/>
          <w:rtl/>
        </w:rPr>
        <w:t xml:space="preserve"> </w:t>
      </w:r>
      <w:r w:rsidR="003B0E64" w:rsidRPr="00FD211F">
        <w:rPr>
          <w:sz w:val="36"/>
          <w:szCs w:val="36"/>
          <w:rtl/>
        </w:rPr>
        <w:t>السامع</w:t>
      </w:r>
      <w:r w:rsidR="00E8128F">
        <w:rPr>
          <w:sz w:val="36"/>
          <w:szCs w:val="36"/>
          <w:rtl/>
        </w:rPr>
        <w:t xml:space="preserve"> </w:t>
      </w:r>
      <w:r w:rsidR="003B0E64" w:rsidRPr="00FD211F">
        <w:rPr>
          <w:sz w:val="36"/>
          <w:szCs w:val="36"/>
          <w:rtl/>
        </w:rPr>
        <w:t>كونه</w:t>
      </w:r>
      <w:r w:rsidR="00E8128F">
        <w:rPr>
          <w:sz w:val="36"/>
          <w:szCs w:val="36"/>
          <w:rtl/>
        </w:rPr>
        <w:t xml:space="preserve"> </w:t>
      </w:r>
      <w:r w:rsidR="003B0E64" w:rsidRPr="00FD211F">
        <w:rPr>
          <w:sz w:val="36"/>
          <w:szCs w:val="36"/>
          <w:rtl/>
        </w:rPr>
        <w:t>منطبقا</w:t>
      </w:r>
      <w:r w:rsidR="00E8128F">
        <w:rPr>
          <w:sz w:val="36"/>
          <w:szCs w:val="36"/>
          <w:rtl/>
        </w:rPr>
        <w:t xml:space="preserve"> </w:t>
      </w:r>
      <w:r w:rsidR="003B0E64" w:rsidRPr="00FD211F">
        <w:rPr>
          <w:sz w:val="36"/>
          <w:szCs w:val="36"/>
          <w:rtl/>
        </w:rPr>
        <w:t>على</w:t>
      </w:r>
      <w:r w:rsidR="00E8128F">
        <w:rPr>
          <w:sz w:val="36"/>
          <w:szCs w:val="36"/>
          <w:rtl/>
        </w:rPr>
        <w:t xml:space="preserve"> </w:t>
      </w:r>
      <w:r w:rsidR="003B0E64" w:rsidRPr="00FD211F">
        <w:rPr>
          <w:sz w:val="36"/>
          <w:szCs w:val="36"/>
          <w:rtl/>
        </w:rPr>
        <w:t>القائم.</w:t>
      </w:r>
    </w:p>
    <w:p w14:paraId="3EF7E26D" w14:textId="77777777" w:rsidR="00CC1950" w:rsidRPr="00FD211F" w:rsidRDefault="006D6133" w:rsidP="009C58C8">
      <w:pPr>
        <w:ind w:left="0" w:firstLine="227"/>
        <w:jc w:val="both"/>
        <w:rPr>
          <w:sz w:val="36"/>
          <w:szCs w:val="36"/>
          <w:rtl/>
        </w:rPr>
      </w:pPr>
      <w:r w:rsidRPr="00FD211F">
        <w:rPr>
          <w:sz w:val="36"/>
          <w:szCs w:val="36"/>
          <w:rtl/>
        </w:rPr>
        <w:t>2-</w:t>
      </w:r>
      <w:r w:rsidR="00E8128F">
        <w:rPr>
          <w:sz w:val="36"/>
          <w:szCs w:val="36"/>
          <w:rtl/>
        </w:rPr>
        <w:t xml:space="preserve"> </w:t>
      </w:r>
      <w:r w:rsidR="00CC1950" w:rsidRPr="00FD211F">
        <w:rPr>
          <w:sz w:val="36"/>
          <w:szCs w:val="36"/>
          <w:rtl/>
        </w:rPr>
        <w:t>انه</w:t>
      </w:r>
      <w:r w:rsidR="00E8128F">
        <w:rPr>
          <w:sz w:val="36"/>
          <w:szCs w:val="36"/>
          <w:rtl/>
        </w:rPr>
        <w:t xml:space="preserve"> </w:t>
      </w:r>
      <w:r w:rsidR="00CC1950" w:rsidRPr="00FD211F">
        <w:rPr>
          <w:sz w:val="36"/>
          <w:szCs w:val="36"/>
          <w:rtl/>
        </w:rPr>
        <w:t>يبتنى</w:t>
      </w:r>
      <w:r w:rsidR="00E8128F">
        <w:rPr>
          <w:sz w:val="36"/>
          <w:szCs w:val="36"/>
          <w:rtl/>
        </w:rPr>
        <w:t xml:space="preserve"> </w:t>
      </w:r>
      <w:r w:rsidR="00CC1950" w:rsidRPr="00FD211F">
        <w:rPr>
          <w:sz w:val="36"/>
          <w:szCs w:val="36"/>
          <w:rtl/>
        </w:rPr>
        <w:t>على</w:t>
      </w:r>
      <w:r w:rsidR="00E8128F">
        <w:rPr>
          <w:sz w:val="36"/>
          <w:szCs w:val="36"/>
          <w:rtl/>
        </w:rPr>
        <w:t xml:space="preserve"> </w:t>
      </w:r>
      <w:r w:rsidR="00CC1950" w:rsidRPr="00FD211F">
        <w:rPr>
          <w:sz w:val="36"/>
          <w:szCs w:val="36"/>
          <w:rtl/>
        </w:rPr>
        <w:t>اتحاد</w:t>
      </w:r>
      <w:r w:rsidR="00E8128F">
        <w:rPr>
          <w:sz w:val="36"/>
          <w:szCs w:val="36"/>
          <w:rtl/>
        </w:rPr>
        <w:t xml:space="preserve"> </w:t>
      </w:r>
      <w:r w:rsidR="00CC1950" w:rsidRPr="00FD211F">
        <w:rPr>
          <w:sz w:val="36"/>
          <w:szCs w:val="36"/>
          <w:rtl/>
        </w:rPr>
        <w:t>العرض</w:t>
      </w:r>
      <w:r w:rsidR="00E8128F">
        <w:rPr>
          <w:sz w:val="36"/>
          <w:szCs w:val="36"/>
          <w:rtl/>
        </w:rPr>
        <w:t xml:space="preserve"> </w:t>
      </w:r>
      <w:r w:rsidR="00CC1950" w:rsidRPr="00FD211F">
        <w:rPr>
          <w:sz w:val="36"/>
          <w:szCs w:val="36"/>
          <w:rtl/>
        </w:rPr>
        <w:t>والمعروض</w:t>
      </w:r>
      <w:r w:rsidR="00E8128F">
        <w:rPr>
          <w:sz w:val="36"/>
          <w:szCs w:val="36"/>
          <w:rtl/>
        </w:rPr>
        <w:t xml:space="preserve"> </w:t>
      </w:r>
      <w:r w:rsidR="00CC1950" w:rsidRPr="00FD211F">
        <w:rPr>
          <w:sz w:val="36"/>
          <w:szCs w:val="36"/>
          <w:rtl/>
        </w:rPr>
        <w:t>وجودا</w:t>
      </w:r>
      <w:r w:rsidRPr="00FD211F">
        <w:rPr>
          <w:sz w:val="36"/>
          <w:szCs w:val="36"/>
          <w:rtl/>
        </w:rPr>
        <w:t>وهوخلاف</w:t>
      </w:r>
      <w:r w:rsidR="00E8128F">
        <w:rPr>
          <w:sz w:val="36"/>
          <w:szCs w:val="36"/>
          <w:rtl/>
        </w:rPr>
        <w:t xml:space="preserve"> </w:t>
      </w:r>
      <w:r w:rsidRPr="00FD211F">
        <w:rPr>
          <w:sz w:val="36"/>
          <w:szCs w:val="36"/>
          <w:rtl/>
        </w:rPr>
        <w:t>الوجدان</w:t>
      </w:r>
      <w:r w:rsidR="00E8128F">
        <w:rPr>
          <w:sz w:val="36"/>
          <w:szCs w:val="36"/>
          <w:rtl/>
        </w:rPr>
        <w:t xml:space="preserve"> </w:t>
      </w:r>
      <w:r w:rsidRPr="00FD211F">
        <w:rPr>
          <w:sz w:val="36"/>
          <w:szCs w:val="36"/>
          <w:rtl/>
        </w:rPr>
        <w:t>العرفي</w:t>
      </w:r>
      <w:r w:rsidR="00E8128F">
        <w:rPr>
          <w:sz w:val="36"/>
          <w:szCs w:val="36"/>
          <w:rtl/>
        </w:rPr>
        <w:t xml:space="preserve"> </w:t>
      </w:r>
      <w:r w:rsidRPr="00FD211F">
        <w:rPr>
          <w:sz w:val="36"/>
          <w:szCs w:val="36"/>
          <w:rtl/>
        </w:rPr>
        <w:t>بلااشكال</w:t>
      </w:r>
      <w:r w:rsidR="00603323" w:rsidRPr="00FD211F">
        <w:rPr>
          <w:sz w:val="36"/>
          <w:szCs w:val="36"/>
          <w:rtl/>
        </w:rPr>
        <w:t>،</w:t>
      </w:r>
      <w:r w:rsidR="00E8128F">
        <w:rPr>
          <w:sz w:val="36"/>
          <w:szCs w:val="36"/>
          <w:rtl/>
        </w:rPr>
        <w:t xml:space="preserve"> </w:t>
      </w:r>
      <w:r w:rsidR="00CC1950" w:rsidRPr="00FD211F">
        <w:rPr>
          <w:sz w:val="36"/>
          <w:szCs w:val="36"/>
          <w:rtl/>
        </w:rPr>
        <w:t>مضافا</w:t>
      </w:r>
      <w:r w:rsidR="00E8128F">
        <w:rPr>
          <w:sz w:val="36"/>
          <w:szCs w:val="36"/>
          <w:rtl/>
        </w:rPr>
        <w:t xml:space="preserve"> </w:t>
      </w:r>
      <w:r w:rsidR="00CC1950" w:rsidRPr="00FD211F">
        <w:rPr>
          <w:sz w:val="36"/>
          <w:szCs w:val="36"/>
          <w:rtl/>
        </w:rPr>
        <w:t>الى</w:t>
      </w:r>
      <w:r w:rsidR="00E8128F">
        <w:rPr>
          <w:sz w:val="36"/>
          <w:szCs w:val="36"/>
          <w:rtl/>
        </w:rPr>
        <w:t xml:space="preserve"> </w:t>
      </w:r>
      <w:r w:rsidR="00CC1950" w:rsidRPr="00FD211F">
        <w:rPr>
          <w:sz w:val="36"/>
          <w:szCs w:val="36"/>
          <w:rtl/>
        </w:rPr>
        <w:t>انه</w:t>
      </w:r>
      <w:r w:rsidR="00E8128F">
        <w:rPr>
          <w:sz w:val="36"/>
          <w:szCs w:val="36"/>
          <w:rtl/>
        </w:rPr>
        <w:t xml:space="preserve"> </w:t>
      </w:r>
      <w:r w:rsidR="00CC1950" w:rsidRPr="00FD211F">
        <w:rPr>
          <w:sz w:val="36"/>
          <w:szCs w:val="36"/>
          <w:rtl/>
        </w:rPr>
        <w:t>يلزم</w:t>
      </w:r>
      <w:r w:rsidR="00E8128F">
        <w:rPr>
          <w:sz w:val="36"/>
          <w:szCs w:val="36"/>
          <w:rtl/>
        </w:rPr>
        <w:t xml:space="preserve"> </w:t>
      </w:r>
      <w:r w:rsidR="00CC1950" w:rsidRPr="00FD211F">
        <w:rPr>
          <w:sz w:val="36"/>
          <w:szCs w:val="36"/>
          <w:rtl/>
        </w:rPr>
        <w:t>منه</w:t>
      </w:r>
      <w:r w:rsidR="00E8128F">
        <w:rPr>
          <w:sz w:val="36"/>
          <w:szCs w:val="36"/>
          <w:rtl/>
        </w:rPr>
        <w:t xml:space="preserve"> </w:t>
      </w:r>
      <w:r w:rsidR="00CC1950" w:rsidRPr="00FD211F">
        <w:rPr>
          <w:sz w:val="36"/>
          <w:szCs w:val="36"/>
          <w:rtl/>
        </w:rPr>
        <w:t>كون</w:t>
      </w:r>
      <w:r w:rsidR="00E8128F">
        <w:rPr>
          <w:sz w:val="36"/>
          <w:szCs w:val="36"/>
          <w:rtl/>
        </w:rPr>
        <w:t xml:space="preserve"> </w:t>
      </w:r>
      <w:r w:rsidR="00CC1950" w:rsidRPr="00FD211F">
        <w:rPr>
          <w:sz w:val="36"/>
          <w:szCs w:val="36"/>
          <w:rtl/>
        </w:rPr>
        <w:t>هيئ</w:t>
      </w:r>
      <w:r w:rsidR="00EC7EDF" w:rsidRPr="00FD211F">
        <w:rPr>
          <w:sz w:val="36"/>
          <w:szCs w:val="36"/>
          <w:rtl/>
        </w:rPr>
        <w:t>ة</w:t>
      </w:r>
      <w:r w:rsidR="00E8128F">
        <w:rPr>
          <w:sz w:val="36"/>
          <w:szCs w:val="36"/>
          <w:rtl/>
        </w:rPr>
        <w:t xml:space="preserve"> </w:t>
      </w:r>
      <w:r w:rsidR="00CC1950" w:rsidRPr="00FD211F">
        <w:rPr>
          <w:sz w:val="36"/>
          <w:szCs w:val="36"/>
          <w:rtl/>
        </w:rPr>
        <w:t>المصدر</w:t>
      </w:r>
      <w:r w:rsidR="00E8128F">
        <w:rPr>
          <w:sz w:val="36"/>
          <w:szCs w:val="36"/>
          <w:rtl/>
        </w:rPr>
        <w:t xml:space="preserve"> </w:t>
      </w:r>
      <w:r w:rsidR="00CC1950" w:rsidRPr="00FD211F">
        <w:rPr>
          <w:sz w:val="36"/>
          <w:szCs w:val="36"/>
          <w:rtl/>
        </w:rPr>
        <w:t>دال</w:t>
      </w:r>
      <w:r w:rsidR="00EC7EDF" w:rsidRPr="00FD211F">
        <w:rPr>
          <w:sz w:val="36"/>
          <w:szCs w:val="36"/>
          <w:rtl/>
        </w:rPr>
        <w:t>ة</w:t>
      </w:r>
      <w:r w:rsidR="00E8128F">
        <w:rPr>
          <w:sz w:val="36"/>
          <w:szCs w:val="36"/>
          <w:rtl/>
        </w:rPr>
        <w:t xml:space="preserve"> </w:t>
      </w:r>
      <w:r w:rsidR="00CC1950" w:rsidRPr="00FD211F">
        <w:rPr>
          <w:sz w:val="36"/>
          <w:szCs w:val="36"/>
          <w:rtl/>
        </w:rPr>
        <w:t>على</w:t>
      </w:r>
      <w:r w:rsidR="00E8128F">
        <w:rPr>
          <w:sz w:val="36"/>
          <w:szCs w:val="36"/>
          <w:rtl/>
        </w:rPr>
        <w:t xml:space="preserve"> </w:t>
      </w:r>
      <w:r w:rsidR="00CC1950" w:rsidRPr="00FD211F">
        <w:rPr>
          <w:sz w:val="36"/>
          <w:szCs w:val="36"/>
          <w:rtl/>
        </w:rPr>
        <w:t>معنى</w:t>
      </w:r>
      <w:r w:rsidR="00E8128F">
        <w:rPr>
          <w:sz w:val="36"/>
          <w:szCs w:val="36"/>
          <w:rtl/>
        </w:rPr>
        <w:t xml:space="preserve"> </w:t>
      </w:r>
      <w:r w:rsidR="00CC1950" w:rsidRPr="00FD211F">
        <w:rPr>
          <w:sz w:val="36"/>
          <w:szCs w:val="36"/>
          <w:rtl/>
        </w:rPr>
        <w:t>زائد</w:t>
      </w:r>
      <w:r w:rsidR="00E8128F">
        <w:rPr>
          <w:sz w:val="36"/>
          <w:szCs w:val="36"/>
          <w:rtl/>
        </w:rPr>
        <w:t xml:space="preserve"> </w:t>
      </w:r>
      <w:r w:rsidR="00CC1950" w:rsidRPr="00FD211F">
        <w:rPr>
          <w:sz w:val="36"/>
          <w:szCs w:val="36"/>
          <w:rtl/>
        </w:rPr>
        <w:t>دون</w:t>
      </w:r>
      <w:r w:rsidR="00E8128F">
        <w:rPr>
          <w:sz w:val="36"/>
          <w:szCs w:val="36"/>
          <w:rtl/>
        </w:rPr>
        <w:t xml:space="preserve"> </w:t>
      </w:r>
      <w:r w:rsidR="00CC1950" w:rsidRPr="00FD211F">
        <w:rPr>
          <w:sz w:val="36"/>
          <w:szCs w:val="36"/>
          <w:rtl/>
        </w:rPr>
        <w:t>هيئ</w:t>
      </w:r>
      <w:r w:rsidR="00EC7EDF" w:rsidRPr="00FD211F">
        <w:rPr>
          <w:sz w:val="36"/>
          <w:szCs w:val="36"/>
          <w:rtl/>
        </w:rPr>
        <w:t>ة</w:t>
      </w:r>
      <w:r w:rsidR="00E8128F">
        <w:rPr>
          <w:sz w:val="36"/>
          <w:szCs w:val="36"/>
          <w:rtl/>
        </w:rPr>
        <w:t xml:space="preserve"> </w:t>
      </w:r>
      <w:r w:rsidR="00CC1950" w:rsidRPr="00FD211F">
        <w:rPr>
          <w:sz w:val="36"/>
          <w:szCs w:val="36"/>
          <w:rtl/>
        </w:rPr>
        <w:t>المشتق</w:t>
      </w:r>
      <w:r w:rsidR="00E8128F">
        <w:rPr>
          <w:sz w:val="36"/>
          <w:szCs w:val="36"/>
          <w:rtl/>
        </w:rPr>
        <w:t xml:space="preserve"> </w:t>
      </w:r>
      <w:r w:rsidR="00CC1950" w:rsidRPr="00FD211F">
        <w:rPr>
          <w:sz w:val="36"/>
          <w:szCs w:val="36"/>
          <w:rtl/>
        </w:rPr>
        <w:t>وهذا</w:t>
      </w:r>
      <w:r w:rsidR="00E8128F">
        <w:rPr>
          <w:sz w:val="36"/>
          <w:szCs w:val="36"/>
          <w:rtl/>
        </w:rPr>
        <w:t xml:space="preserve"> </w:t>
      </w:r>
      <w:r w:rsidR="00CC1950" w:rsidRPr="00FD211F">
        <w:rPr>
          <w:sz w:val="36"/>
          <w:szCs w:val="36"/>
          <w:rtl/>
        </w:rPr>
        <w:t>مما</w:t>
      </w:r>
      <w:r w:rsidR="00E8128F">
        <w:rPr>
          <w:sz w:val="36"/>
          <w:szCs w:val="36"/>
          <w:rtl/>
        </w:rPr>
        <w:t xml:space="preserve"> </w:t>
      </w:r>
      <w:r w:rsidR="00CC1950" w:rsidRPr="00FD211F">
        <w:rPr>
          <w:sz w:val="36"/>
          <w:szCs w:val="36"/>
          <w:rtl/>
        </w:rPr>
        <w:t>لايحتمله</w:t>
      </w:r>
      <w:r w:rsidR="00E8128F">
        <w:rPr>
          <w:sz w:val="36"/>
          <w:szCs w:val="36"/>
          <w:rtl/>
        </w:rPr>
        <w:t xml:space="preserve"> </w:t>
      </w:r>
      <w:r w:rsidR="00CC1950" w:rsidRPr="00FD211F">
        <w:rPr>
          <w:sz w:val="36"/>
          <w:szCs w:val="36"/>
          <w:rtl/>
        </w:rPr>
        <w:t>احد</w:t>
      </w:r>
      <w:r w:rsidR="00721336" w:rsidRPr="00FD211F">
        <w:rPr>
          <w:sz w:val="36"/>
          <w:szCs w:val="36"/>
          <w:rtl/>
        </w:rPr>
        <w:t>.</w:t>
      </w:r>
    </w:p>
    <w:p w14:paraId="46B650DB" w14:textId="77777777" w:rsidR="000C5BBA" w:rsidRPr="00FD211F" w:rsidRDefault="0003206A" w:rsidP="009C58C8">
      <w:pPr>
        <w:ind w:left="0" w:firstLine="227"/>
        <w:jc w:val="both"/>
        <w:rPr>
          <w:sz w:val="36"/>
          <w:szCs w:val="36"/>
          <w:rtl/>
        </w:rPr>
      </w:pPr>
      <w:r w:rsidRPr="00FD211F">
        <w:rPr>
          <w:b/>
          <w:bCs/>
          <w:sz w:val="36"/>
          <w:szCs w:val="36"/>
          <w:rtl/>
        </w:rPr>
        <w:t>الوجه</w:t>
      </w:r>
      <w:r w:rsidR="00E8128F">
        <w:rPr>
          <w:b/>
          <w:bCs/>
          <w:sz w:val="36"/>
          <w:szCs w:val="36"/>
          <w:rtl/>
        </w:rPr>
        <w:t xml:space="preserve"> </w:t>
      </w:r>
      <w:r w:rsidRPr="00FD211F">
        <w:rPr>
          <w:b/>
          <w:bCs/>
          <w:sz w:val="36"/>
          <w:szCs w:val="36"/>
          <w:rtl/>
        </w:rPr>
        <w:t>الثاني</w:t>
      </w:r>
      <w:r w:rsidRPr="00FD211F">
        <w:rPr>
          <w:sz w:val="36"/>
          <w:szCs w:val="36"/>
          <w:rtl/>
        </w:rPr>
        <w:t>:</w:t>
      </w:r>
      <w:r w:rsidR="00E8128F">
        <w:rPr>
          <w:sz w:val="36"/>
          <w:szCs w:val="36"/>
          <w:rtl/>
        </w:rPr>
        <w:t xml:space="preserve"> </w:t>
      </w:r>
      <w:r w:rsidR="0040555A" w:rsidRPr="00FD211F">
        <w:rPr>
          <w:sz w:val="36"/>
          <w:szCs w:val="36"/>
          <w:rtl/>
        </w:rPr>
        <w:t>ما</w:t>
      </w:r>
      <w:r w:rsidR="00E8128F">
        <w:rPr>
          <w:sz w:val="36"/>
          <w:szCs w:val="36"/>
          <w:rtl/>
        </w:rPr>
        <w:t xml:space="preserve"> </w:t>
      </w:r>
      <w:r w:rsidR="0040555A" w:rsidRPr="00FD211F">
        <w:rPr>
          <w:sz w:val="36"/>
          <w:szCs w:val="36"/>
          <w:rtl/>
        </w:rPr>
        <w:t>ذكره</w:t>
      </w:r>
      <w:r w:rsidR="00E8128F">
        <w:rPr>
          <w:sz w:val="36"/>
          <w:szCs w:val="36"/>
          <w:rtl/>
        </w:rPr>
        <w:t xml:space="preserve"> </w:t>
      </w:r>
      <w:r w:rsidR="0040555A" w:rsidRPr="00FD211F">
        <w:rPr>
          <w:sz w:val="36"/>
          <w:szCs w:val="36"/>
          <w:rtl/>
        </w:rPr>
        <w:t>المحقق</w:t>
      </w:r>
      <w:r w:rsidR="00E8128F">
        <w:rPr>
          <w:sz w:val="36"/>
          <w:szCs w:val="36"/>
          <w:rtl/>
        </w:rPr>
        <w:t xml:space="preserve"> </w:t>
      </w:r>
      <w:r w:rsidR="0040555A" w:rsidRPr="00FD211F">
        <w:rPr>
          <w:sz w:val="36"/>
          <w:szCs w:val="36"/>
          <w:rtl/>
        </w:rPr>
        <w:t>النائيني</w:t>
      </w:r>
      <w:r w:rsidR="00E8128F">
        <w:rPr>
          <w:sz w:val="36"/>
          <w:szCs w:val="36"/>
          <w:rtl/>
        </w:rPr>
        <w:t xml:space="preserve"> </w:t>
      </w:r>
      <w:r w:rsidR="00764DAC" w:rsidRPr="00FD211F">
        <w:rPr>
          <w:sz w:val="36"/>
          <w:szCs w:val="36"/>
          <w:rtl/>
        </w:rPr>
        <w:t>"</w:t>
      </w:r>
      <w:r w:rsidR="0040555A" w:rsidRPr="00FD211F">
        <w:rPr>
          <w:sz w:val="36"/>
          <w:szCs w:val="36"/>
          <w:rtl/>
        </w:rPr>
        <w:t>قده</w:t>
      </w:r>
      <w:r w:rsidR="00764DAC" w:rsidRPr="00FD211F">
        <w:rPr>
          <w:sz w:val="36"/>
          <w:szCs w:val="36"/>
          <w:rtl/>
        </w:rPr>
        <w:t>"</w:t>
      </w:r>
      <w:r w:rsidR="00E8128F">
        <w:rPr>
          <w:sz w:val="36"/>
          <w:szCs w:val="36"/>
          <w:rtl/>
        </w:rPr>
        <w:t xml:space="preserve"> </w:t>
      </w:r>
      <w:r w:rsidR="0040555A" w:rsidRPr="00FD211F">
        <w:rPr>
          <w:sz w:val="36"/>
          <w:szCs w:val="36"/>
          <w:rtl/>
        </w:rPr>
        <w:t>من</w:t>
      </w:r>
      <w:r w:rsidR="00E8128F">
        <w:rPr>
          <w:sz w:val="36"/>
          <w:szCs w:val="36"/>
          <w:rtl/>
        </w:rPr>
        <w:t xml:space="preserve"> </w:t>
      </w:r>
      <w:r w:rsidR="0040555A" w:rsidRPr="00FD211F">
        <w:rPr>
          <w:sz w:val="36"/>
          <w:szCs w:val="36"/>
          <w:rtl/>
        </w:rPr>
        <w:t>ان</w:t>
      </w:r>
      <w:r w:rsidR="00E8128F">
        <w:rPr>
          <w:sz w:val="36"/>
          <w:szCs w:val="36"/>
          <w:rtl/>
        </w:rPr>
        <w:t xml:space="preserve"> </w:t>
      </w:r>
      <w:r w:rsidR="0040555A" w:rsidRPr="00FD211F">
        <w:rPr>
          <w:sz w:val="36"/>
          <w:szCs w:val="36"/>
          <w:rtl/>
        </w:rPr>
        <w:t>العرض</w:t>
      </w:r>
      <w:r w:rsidR="00E8128F">
        <w:rPr>
          <w:sz w:val="36"/>
          <w:szCs w:val="36"/>
          <w:rtl/>
        </w:rPr>
        <w:t xml:space="preserve"> </w:t>
      </w:r>
      <w:r w:rsidR="0040555A" w:rsidRPr="00FD211F">
        <w:rPr>
          <w:sz w:val="36"/>
          <w:szCs w:val="36"/>
          <w:rtl/>
        </w:rPr>
        <w:t>لما</w:t>
      </w:r>
      <w:r w:rsidR="00E8128F">
        <w:rPr>
          <w:sz w:val="36"/>
          <w:szCs w:val="36"/>
          <w:rtl/>
        </w:rPr>
        <w:t xml:space="preserve"> </w:t>
      </w:r>
      <w:r w:rsidR="0040555A" w:rsidRPr="00FD211F">
        <w:rPr>
          <w:sz w:val="36"/>
          <w:szCs w:val="36"/>
          <w:rtl/>
        </w:rPr>
        <w:t>كان</w:t>
      </w:r>
      <w:r w:rsidR="00E8128F">
        <w:rPr>
          <w:sz w:val="36"/>
          <w:szCs w:val="36"/>
          <w:rtl/>
        </w:rPr>
        <w:t xml:space="preserve"> </w:t>
      </w:r>
      <w:r w:rsidR="0040555A" w:rsidRPr="00FD211F">
        <w:rPr>
          <w:sz w:val="36"/>
          <w:szCs w:val="36"/>
          <w:rtl/>
        </w:rPr>
        <w:t>وجو</w:t>
      </w:r>
      <w:r w:rsidR="003B0E64" w:rsidRPr="00FD211F">
        <w:rPr>
          <w:sz w:val="36"/>
          <w:szCs w:val="36"/>
          <w:rtl/>
        </w:rPr>
        <w:t>د</w:t>
      </w:r>
      <w:r w:rsidR="0040555A" w:rsidRPr="00FD211F">
        <w:rPr>
          <w:sz w:val="36"/>
          <w:szCs w:val="36"/>
          <w:rtl/>
        </w:rPr>
        <w:t>ه</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نفسه</w:t>
      </w:r>
      <w:r w:rsidR="00E8128F">
        <w:rPr>
          <w:sz w:val="36"/>
          <w:szCs w:val="36"/>
          <w:rtl/>
        </w:rPr>
        <w:t xml:space="preserve"> </w:t>
      </w:r>
      <w:r w:rsidR="0040555A" w:rsidRPr="00FD211F">
        <w:rPr>
          <w:sz w:val="36"/>
          <w:szCs w:val="36"/>
          <w:rtl/>
        </w:rPr>
        <w:t>عين</w:t>
      </w:r>
      <w:r w:rsidR="00E8128F">
        <w:rPr>
          <w:sz w:val="36"/>
          <w:szCs w:val="36"/>
          <w:rtl/>
        </w:rPr>
        <w:t xml:space="preserve"> </w:t>
      </w:r>
      <w:r w:rsidR="0040555A" w:rsidRPr="00FD211F">
        <w:rPr>
          <w:sz w:val="36"/>
          <w:szCs w:val="36"/>
          <w:rtl/>
        </w:rPr>
        <w:t>وجوده</w:t>
      </w:r>
      <w:r w:rsidR="00E8128F">
        <w:rPr>
          <w:sz w:val="36"/>
          <w:szCs w:val="36"/>
          <w:rtl/>
        </w:rPr>
        <w:t xml:space="preserve"> </w:t>
      </w:r>
      <w:r w:rsidR="0040555A" w:rsidRPr="00FD211F">
        <w:rPr>
          <w:sz w:val="36"/>
          <w:szCs w:val="36"/>
          <w:rtl/>
        </w:rPr>
        <w:t>لغيره</w:t>
      </w:r>
      <w:r w:rsidR="00E8128F">
        <w:rPr>
          <w:sz w:val="36"/>
          <w:szCs w:val="36"/>
          <w:rtl/>
        </w:rPr>
        <w:t xml:space="preserve"> </w:t>
      </w:r>
      <w:r w:rsidR="0040555A" w:rsidRPr="00FD211F">
        <w:rPr>
          <w:sz w:val="36"/>
          <w:szCs w:val="36"/>
          <w:rtl/>
        </w:rPr>
        <w:t>فتار</w:t>
      </w:r>
      <w:r w:rsidR="00EC7EDF" w:rsidRPr="00FD211F">
        <w:rPr>
          <w:sz w:val="36"/>
          <w:szCs w:val="36"/>
          <w:rtl/>
        </w:rPr>
        <w:t>ة</w:t>
      </w:r>
      <w:r w:rsidR="00E8128F">
        <w:rPr>
          <w:sz w:val="36"/>
          <w:szCs w:val="36"/>
          <w:rtl/>
        </w:rPr>
        <w:t xml:space="preserve"> </w:t>
      </w:r>
      <w:r w:rsidR="0040555A" w:rsidRPr="00FD211F">
        <w:rPr>
          <w:sz w:val="36"/>
          <w:szCs w:val="36"/>
          <w:rtl/>
        </w:rPr>
        <w:t>يلحظ</w:t>
      </w:r>
      <w:r w:rsidR="00E8128F">
        <w:rPr>
          <w:sz w:val="36"/>
          <w:szCs w:val="36"/>
          <w:rtl/>
        </w:rPr>
        <w:t xml:space="preserve"> </w:t>
      </w:r>
      <w:r w:rsidR="0040555A" w:rsidRPr="00FD211F">
        <w:rPr>
          <w:sz w:val="36"/>
          <w:szCs w:val="36"/>
          <w:rtl/>
        </w:rPr>
        <w:t>بما</w:t>
      </w:r>
      <w:r w:rsidR="00E8128F">
        <w:rPr>
          <w:sz w:val="36"/>
          <w:szCs w:val="36"/>
          <w:rtl/>
        </w:rPr>
        <w:t xml:space="preserve"> </w:t>
      </w:r>
      <w:r w:rsidR="0040555A" w:rsidRPr="00FD211F">
        <w:rPr>
          <w:sz w:val="36"/>
          <w:szCs w:val="36"/>
          <w:rtl/>
        </w:rPr>
        <w:t>هو</w:t>
      </w:r>
      <w:r w:rsidR="00E8128F">
        <w:rPr>
          <w:sz w:val="36"/>
          <w:szCs w:val="36"/>
          <w:rtl/>
        </w:rPr>
        <w:t xml:space="preserve"> </w:t>
      </w:r>
      <w:r w:rsidR="0040555A" w:rsidRPr="00FD211F">
        <w:rPr>
          <w:sz w:val="36"/>
          <w:szCs w:val="36"/>
          <w:rtl/>
        </w:rPr>
        <w:t>كذلك</w:t>
      </w:r>
      <w:r w:rsidR="00E8128F">
        <w:rPr>
          <w:sz w:val="36"/>
          <w:szCs w:val="36"/>
          <w:rtl/>
        </w:rPr>
        <w:t xml:space="preserve"> </w:t>
      </w:r>
      <w:r w:rsidR="0040555A" w:rsidRPr="00FD211F">
        <w:rPr>
          <w:sz w:val="36"/>
          <w:szCs w:val="36"/>
          <w:rtl/>
        </w:rPr>
        <w:t>كما</w:t>
      </w:r>
      <w:r w:rsidR="00E8128F">
        <w:rPr>
          <w:sz w:val="36"/>
          <w:szCs w:val="36"/>
          <w:rtl/>
        </w:rPr>
        <w:t xml:space="preserve"> </w:t>
      </w:r>
      <w:r w:rsidR="0040555A" w:rsidRPr="00FD211F">
        <w:rPr>
          <w:sz w:val="36"/>
          <w:szCs w:val="36"/>
          <w:rtl/>
        </w:rPr>
        <w:t>هو</w:t>
      </w:r>
      <w:r w:rsidR="00E8128F">
        <w:rPr>
          <w:sz w:val="36"/>
          <w:szCs w:val="36"/>
          <w:rtl/>
        </w:rPr>
        <w:t xml:space="preserve"> </w:t>
      </w:r>
      <w:r w:rsidR="0040555A" w:rsidRPr="00FD211F">
        <w:rPr>
          <w:sz w:val="36"/>
          <w:szCs w:val="36"/>
          <w:rtl/>
        </w:rPr>
        <w:t>مقتضى</w:t>
      </w:r>
      <w:r w:rsidR="00E8128F">
        <w:rPr>
          <w:sz w:val="36"/>
          <w:szCs w:val="36"/>
          <w:rtl/>
        </w:rPr>
        <w:t xml:space="preserve"> </w:t>
      </w:r>
      <w:r w:rsidR="0040555A" w:rsidRPr="00FD211F">
        <w:rPr>
          <w:sz w:val="36"/>
          <w:szCs w:val="36"/>
          <w:rtl/>
        </w:rPr>
        <w:t>لحاظه</w:t>
      </w:r>
      <w:r w:rsidR="00E8128F">
        <w:rPr>
          <w:sz w:val="36"/>
          <w:szCs w:val="36"/>
          <w:rtl/>
        </w:rPr>
        <w:t xml:space="preserve"> </w:t>
      </w:r>
      <w:r w:rsidR="0040555A" w:rsidRPr="00FD211F">
        <w:rPr>
          <w:sz w:val="36"/>
          <w:szCs w:val="36"/>
          <w:rtl/>
        </w:rPr>
        <w:t>بطبعه</w:t>
      </w:r>
      <w:r w:rsidR="00E8128F">
        <w:rPr>
          <w:sz w:val="36"/>
          <w:szCs w:val="36"/>
          <w:rtl/>
        </w:rPr>
        <w:t xml:space="preserve"> </w:t>
      </w:r>
      <w:r w:rsidR="0040555A" w:rsidRPr="00FD211F">
        <w:rPr>
          <w:sz w:val="36"/>
          <w:szCs w:val="36"/>
          <w:rtl/>
        </w:rPr>
        <w:t>وعلى</w:t>
      </w:r>
      <w:r w:rsidR="00E8128F">
        <w:rPr>
          <w:sz w:val="36"/>
          <w:szCs w:val="36"/>
          <w:rtl/>
        </w:rPr>
        <w:t xml:space="preserve"> </w:t>
      </w:r>
      <w:r w:rsidR="0040555A" w:rsidRPr="00FD211F">
        <w:rPr>
          <w:sz w:val="36"/>
          <w:szCs w:val="36"/>
          <w:rtl/>
        </w:rPr>
        <w:t>ما</w:t>
      </w:r>
      <w:r w:rsidR="00E8128F">
        <w:rPr>
          <w:sz w:val="36"/>
          <w:szCs w:val="36"/>
          <w:rtl/>
        </w:rPr>
        <w:t xml:space="preserve"> </w:t>
      </w:r>
      <w:r w:rsidR="0040555A" w:rsidRPr="00FD211F">
        <w:rPr>
          <w:sz w:val="36"/>
          <w:szCs w:val="36"/>
          <w:rtl/>
        </w:rPr>
        <w:t>هو</w:t>
      </w:r>
      <w:r w:rsidR="00E8128F">
        <w:rPr>
          <w:sz w:val="36"/>
          <w:szCs w:val="36"/>
          <w:rtl/>
        </w:rPr>
        <w:t xml:space="preserve"> </w:t>
      </w:r>
      <w:r w:rsidR="0040555A" w:rsidRPr="00FD211F">
        <w:rPr>
          <w:sz w:val="36"/>
          <w:szCs w:val="36"/>
          <w:rtl/>
        </w:rPr>
        <w:t>عليه</w:t>
      </w:r>
      <w:r w:rsidR="00E8128F">
        <w:rPr>
          <w:sz w:val="36"/>
          <w:szCs w:val="36"/>
          <w:rtl/>
        </w:rPr>
        <w:t xml:space="preserve"> </w:t>
      </w:r>
      <w:r w:rsidR="0040555A" w:rsidRPr="00FD211F">
        <w:rPr>
          <w:sz w:val="36"/>
          <w:szCs w:val="36"/>
          <w:rtl/>
        </w:rPr>
        <w:t>فيرى</w:t>
      </w:r>
      <w:r w:rsidR="00E8128F">
        <w:rPr>
          <w:sz w:val="36"/>
          <w:szCs w:val="36"/>
          <w:rtl/>
        </w:rPr>
        <w:t xml:space="preserve"> </w:t>
      </w:r>
      <w:r w:rsidR="0040555A" w:rsidRPr="00FD211F">
        <w:rPr>
          <w:sz w:val="36"/>
          <w:szCs w:val="36"/>
          <w:rtl/>
        </w:rPr>
        <w:t>انه</w:t>
      </w:r>
      <w:r w:rsidR="00E8128F">
        <w:rPr>
          <w:sz w:val="36"/>
          <w:szCs w:val="36"/>
          <w:rtl/>
        </w:rPr>
        <w:t xml:space="preserve"> </w:t>
      </w:r>
      <w:r w:rsidR="0040555A" w:rsidRPr="00FD211F">
        <w:rPr>
          <w:sz w:val="36"/>
          <w:szCs w:val="36"/>
          <w:rtl/>
        </w:rPr>
        <w:t>طور</w:t>
      </w:r>
      <w:r w:rsidR="00E8128F">
        <w:rPr>
          <w:sz w:val="36"/>
          <w:szCs w:val="36"/>
          <w:rtl/>
        </w:rPr>
        <w:t xml:space="preserve"> </w:t>
      </w:r>
      <w:r w:rsidR="0040555A" w:rsidRPr="00FD211F">
        <w:rPr>
          <w:sz w:val="36"/>
          <w:szCs w:val="36"/>
          <w:rtl/>
        </w:rPr>
        <w:t>من</w:t>
      </w:r>
      <w:r w:rsidR="00E8128F">
        <w:rPr>
          <w:sz w:val="36"/>
          <w:szCs w:val="36"/>
          <w:rtl/>
        </w:rPr>
        <w:t xml:space="preserve"> </w:t>
      </w:r>
      <w:r w:rsidR="0040555A" w:rsidRPr="00FD211F">
        <w:rPr>
          <w:sz w:val="36"/>
          <w:szCs w:val="36"/>
          <w:rtl/>
        </w:rPr>
        <w:t>اطوار</w:t>
      </w:r>
      <w:r w:rsidR="00E8128F">
        <w:rPr>
          <w:sz w:val="36"/>
          <w:szCs w:val="36"/>
          <w:rtl/>
        </w:rPr>
        <w:t xml:space="preserve"> </w:t>
      </w:r>
      <w:r w:rsidR="0040555A" w:rsidRPr="00FD211F">
        <w:rPr>
          <w:sz w:val="36"/>
          <w:szCs w:val="36"/>
          <w:rtl/>
        </w:rPr>
        <w:t>الجوهر</w:t>
      </w:r>
      <w:r w:rsidR="00E8128F">
        <w:rPr>
          <w:sz w:val="36"/>
          <w:szCs w:val="36"/>
          <w:rtl/>
        </w:rPr>
        <w:t xml:space="preserve"> </w:t>
      </w:r>
      <w:r w:rsidR="0040555A" w:rsidRPr="00FD211F">
        <w:rPr>
          <w:sz w:val="36"/>
          <w:szCs w:val="36"/>
          <w:rtl/>
        </w:rPr>
        <w:t>ومتحدا</w:t>
      </w:r>
      <w:r w:rsidR="00E8128F">
        <w:rPr>
          <w:sz w:val="36"/>
          <w:szCs w:val="36"/>
          <w:rtl/>
        </w:rPr>
        <w:t xml:space="preserve"> </w:t>
      </w:r>
      <w:r w:rsidR="0040555A" w:rsidRPr="00FD211F">
        <w:rPr>
          <w:sz w:val="36"/>
          <w:szCs w:val="36"/>
          <w:rtl/>
        </w:rPr>
        <w:t>معه</w:t>
      </w:r>
      <w:r w:rsidR="00E8128F">
        <w:rPr>
          <w:sz w:val="36"/>
          <w:szCs w:val="36"/>
          <w:rtl/>
        </w:rPr>
        <w:t xml:space="preserve"> </w:t>
      </w:r>
      <w:r w:rsidR="0040555A" w:rsidRPr="00FD211F">
        <w:rPr>
          <w:sz w:val="36"/>
          <w:szCs w:val="36"/>
          <w:rtl/>
        </w:rPr>
        <w:t>وجودا</w:t>
      </w:r>
      <w:r w:rsidR="00E8128F">
        <w:rPr>
          <w:sz w:val="36"/>
          <w:szCs w:val="36"/>
          <w:rtl/>
        </w:rPr>
        <w:t xml:space="preserve"> </w:t>
      </w:r>
      <w:r w:rsidR="0040555A" w:rsidRPr="00FD211F">
        <w:rPr>
          <w:sz w:val="36"/>
          <w:szCs w:val="36"/>
          <w:rtl/>
        </w:rPr>
        <w:t>في</w:t>
      </w:r>
      <w:r w:rsidR="003B0E64" w:rsidRPr="00FD211F">
        <w:rPr>
          <w:sz w:val="36"/>
          <w:szCs w:val="36"/>
          <w:rtl/>
        </w:rPr>
        <w:t>ن</w:t>
      </w:r>
      <w:r w:rsidR="0040555A" w:rsidRPr="00FD211F">
        <w:rPr>
          <w:sz w:val="36"/>
          <w:szCs w:val="36"/>
          <w:rtl/>
        </w:rPr>
        <w:t>تزع</w:t>
      </w:r>
      <w:r w:rsidR="00E8128F">
        <w:rPr>
          <w:sz w:val="36"/>
          <w:szCs w:val="36"/>
          <w:rtl/>
        </w:rPr>
        <w:t xml:space="preserve"> </w:t>
      </w:r>
      <w:r w:rsidR="0040555A" w:rsidRPr="00FD211F">
        <w:rPr>
          <w:sz w:val="36"/>
          <w:szCs w:val="36"/>
          <w:rtl/>
        </w:rPr>
        <w:t>منه</w:t>
      </w:r>
      <w:r w:rsidR="00E8128F">
        <w:rPr>
          <w:sz w:val="36"/>
          <w:szCs w:val="36"/>
          <w:rtl/>
        </w:rPr>
        <w:t xml:space="preserve"> </w:t>
      </w:r>
      <w:r w:rsidR="0040555A" w:rsidRPr="00FD211F">
        <w:rPr>
          <w:sz w:val="36"/>
          <w:szCs w:val="36"/>
          <w:rtl/>
        </w:rPr>
        <w:t>مفهوم</w:t>
      </w:r>
      <w:r w:rsidR="00E8128F">
        <w:rPr>
          <w:sz w:val="36"/>
          <w:szCs w:val="36"/>
          <w:rtl/>
        </w:rPr>
        <w:t xml:space="preserve"> </w:t>
      </w:r>
      <w:r w:rsidR="0040555A" w:rsidRPr="00FD211F">
        <w:rPr>
          <w:sz w:val="36"/>
          <w:szCs w:val="36"/>
          <w:rtl/>
        </w:rPr>
        <w:t>العرض</w:t>
      </w:r>
      <w:r w:rsidR="003B0E64" w:rsidRPr="00FD211F">
        <w:rPr>
          <w:sz w:val="36"/>
          <w:szCs w:val="36"/>
          <w:rtl/>
        </w:rPr>
        <w:t>ي</w:t>
      </w:r>
      <w:r w:rsidR="00E8128F">
        <w:rPr>
          <w:sz w:val="36"/>
          <w:szCs w:val="36"/>
          <w:rtl/>
        </w:rPr>
        <w:t xml:space="preserve"> </w:t>
      </w:r>
      <w:r w:rsidR="001B7B54" w:rsidRPr="00FD211F">
        <w:rPr>
          <w:sz w:val="36"/>
          <w:szCs w:val="36"/>
          <w:rtl/>
        </w:rPr>
        <w:t>والمشتق</w:t>
      </w:r>
      <w:r w:rsidR="00E8128F">
        <w:rPr>
          <w:sz w:val="36"/>
          <w:szCs w:val="36"/>
          <w:rtl/>
        </w:rPr>
        <w:t xml:space="preserve"> </w:t>
      </w:r>
      <w:r w:rsidR="001B7B54" w:rsidRPr="00FD211F">
        <w:rPr>
          <w:sz w:val="36"/>
          <w:szCs w:val="36"/>
          <w:rtl/>
        </w:rPr>
        <w:t>الوصفي</w:t>
      </w:r>
      <w:r w:rsidR="00E8128F">
        <w:rPr>
          <w:sz w:val="36"/>
          <w:szCs w:val="36"/>
          <w:rtl/>
        </w:rPr>
        <w:t xml:space="preserve"> </w:t>
      </w:r>
      <w:r w:rsidR="0040555A" w:rsidRPr="00FD211F">
        <w:rPr>
          <w:sz w:val="36"/>
          <w:szCs w:val="36"/>
          <w:rtl/>
        </w:rPr>
        <w:t>ويحمل</w:t>
      </w:r>
      <w:r w:rsidR="00E8128F">
        <w:rPr>
          <w:sz w:val="36"/>
          <w:szCs w:val="36"/>
          <w:rtl/>
        </w:rPr>
        <w:t xml:space="preserve"> </w:t>
      </w:r>
      <w:r w:rsidR="0040555A" w:rsidRPr="00FD211F">
        <w:rPr>
          <w:sz w:val="36"/>
          <w:szCs w:val="36"/>
          <w:rtl/>
        </w:rPr>
        <w:t>عل</w:t>
      </w:r>
      <w:r w:rsidR="001B7B54" w:rsidRPr="00FD211F">
        <w:rPr>
          <w:sz w:val="36"/>
          <w:szCs w:val="36"/>
          <w:rtl/>
        </w:rPr>
        <w:t>ى</w:t>
      </w:r>
      <w:r w:rsidR="00E8128F">
        <w:rPr>
          <w:sz w:val="36"/>
          <w:szCs w:val="36"/>
          <w:rtl/>
        </w:rPr>
        <w:t xml:space="preserve"> </w:t>
      </w:r>
      <w:r w:rsidR="001B7B54" w:rsidRPr="00FD211F">
        <w:rPr>
          <w:sz w:val="36"/>
          <w:szCs w:val="36"/>
          <w:rtl/>
        </w:rPr>
        <w:t>الجوهر</w:t>
      </w:r>
      <w:r w:rsidR="00603323" w:rsidRPr="00FD211F">
        <w:rPr>
          <w:sz w:val="36"/>
          <w:szCs w:val="36"/>
          <w:rtl/>
        </w:rPr>
        <w:t>،</w:t>
      </w:r>
      <w:r w:rsidR="00E8128F">
        <w:rPr>
          <w:sz w:val="36"/>
          <w:szCs w:val="36"/>
          <w:rtl/>
        </w:rPr>
        <w:t xml:space="preserve"> </w:t>
      </w:r>
      <w:r w:rsidR="0040555A" w:rsidRPr="00FD211F">
        <w:rPr>
          <w:sz w:val="36"/>
          <w:szCs w:val="36"/>
          <w:rtl/>
        </w:rPr>
        <w:t>وقد</w:t>
      </w:r>
      <w:r w:rsidR="00E8128F">
        <w:rPr>
          <w:sz w:val="36"/>
          <w:szCs w:val="36"/>
          <w:rtl/>
        </w:rPr>
        <w:t xml:space="preserve"> </w:t>
      </w:r>
      <w:r w:rsidR="0040555A" w:rsidRPr="00FD211F">
        <w:rPr>
          <w:sz w:val="36"/>
          <w:szCs w:val="36"/>
          <w:rtl/>
        </w:rPr>
        <w:t>يتعمل</w:t>
      </w:r>
      <w:r w:rsidR="00E8128F">
        <w:rPr>
          <w:sz w:val="36"/>
          <w:szCs w:val="36"/>
          <w:rtl/>
        </w:rPr>
        <w:t xml:space="preserve"> </w:t>
      </w:r>
      <w:r w:rsidR="0040555A" w:rsidRPr="00FD211F">
        <w:rPr>
          <w:sz w:val="36"/>
          <w:szCs w:val="36"/>
          <w:rtl/>
        </w:rPr>
        <w:t>الذهن</w:t>
      </w:r>
      <w:r w:rsidR="00E8128F">
        <w:rPr>
          <w:sz w:val="36"/>
          <w:szCs w:val="36"/>
          <w:rtl/>
        </w:rPr>
        <w:t xml:space="preserve"> </w:t>
      </w:r>
      <w:r w:rsidR="0040555A" w:rsidRPr="00FD211F">
        <w:rPr>
          <w:sz w:val="36"/>
          <w:szCs w:val="36"/>
          <w:rtl/>
        </w:rPr>
        <w:t>فيلحظ</w:t>
      </w:r>
      <w:r w:rsidR="00E8128F">
        <w:rPr>
          <w:sz w:val="36"/>
          <w:szCs w:val="36"/>
          <w:rtl/>
        </w:rPr>
        <w:t xml:space="preserve"> </w:t>
      </w:r>
      <w:r w:rsidR="0040555A" w:rsidRPr="00FD211F">
        <w:rPr>
          <w:sz w:val="36"/>
          <w:szCs w:val="36"/>
          <w:rtl/>
        </w:rPr>
        <w:t>وجوده</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نفسه</w:t>
      </w:r>
      <w:r w:rsidR="00E8128F">
        <w:rPr>
          <w:sz w:val="36"/>
          <w:szCs w:val="36"/>
          <w:rtl/>
        </w:rPr>
        <w:t xml:space="preserve"> </w:t>
      </w:r>
      <w:r w:rsidR="0040555A" w:rsidRPr="00FD211F">
        <w:rPr>
          <w:sz w:val="36"/>
          <w:szCs w:val="36"/>
          <w:rtl/>
        </w:rPr>
        <w:t>مع</w:t>
      </w:r>
      <w:r w:rsidR="00E8128F">
        <w:rPr>
          <w:sz w:val="36"/>
          <w:szCs w:val="36"/>
          <w:rtl/>
        </w:rPr>
        <w:t xml:space="preserve"> </w:t>
      </w:r>
      <w:r w:rsidR="0040555A" w:rsidRPr="00FD211F">
        <w:rPr>
          <w:sz w:val="36"/>
          <w:szCs w:val="36"/>
          <w:rtl/>
        </w:rPr>
        <w:t>عدم</w:t>
      </w:r>
      <w:r w:rsidR="00E8128F">
        <w:rPr>
          <w:sz w:val="36"/>
          <w:szCs w:val="36"/>
          <w:rtl/>
        </w:rPr>
        <w:t xml:space="preserve"> </w:t>
      </w:r>
      <w:r w:rsidR="0040555A" w:rsidRPr="00FD211F">
        <w:rPr>
          <w:sz w:val="36"/>
          <w:szCs w:val="36"/>
          <w:rtl/>
        </w:rPr>
        <w:t>لحاظ</w:t>
      </w:r>
      <w:r w:rsidR="00E8128F">
        <w:rPr>
          <w:sz w:val="36"/>
          <w:szCs w:val="36"/>
          <w:rtl/>
        </w:rPr>
        <w:t xml:space="preserve"> </w:t>
      </w:r>
      <w:r w:rsidR="0040555A" w:rsidRPr="00FD211F">
        <w:rPr>
          <w:sz w:val="36"/>
          <w:szCs w:val="36"/>
          <w:rtl/>
        </w:rPr>
        <w:t>وجوده</w:t>
      </w:r>
      <w:r w:rsidR="00E8128F">
        <w:rPr>
          <w:sz w:val="36"/>
          <w:szCs w:val="36"/>
          <w:rtl/>
        </w:rPr>
        <w:t xml:space="preserve"> </w:t>
      </w:r>
      <w:r w:rsidR="0040555A" w:rsidRPr="00FD211F">
        <w:rPr>
          <w:sz w:val="36"/>
          <w:szCs w:val="36"/>
          <w:rtl/>
        </w:rPr>
        <w:t>لغيره</w:t>
      </w:r>
      <w:r w:rsidR="00E8128F">
        <w:rPr>
          <w:sz w:val="36"/>
          <w:szCs w:val="36"/>
          <w:rtl/>
        </w:rPr>
        <w:t xml:space="preserve"> </w:t>
      </w:r>
      <w:r w:rsidR="0040555A" w:rsidRPr="00FD211F">
        <w:rPr>
          <w:sz w:val="36"/>
          <w:szCs w:val="36"/>
          <w:rtl/>
        </w:rPr>
        <w:t>فيرى</w:t>
      </w:r>
      <w:r w:rsidR="00E8128F">
        <w:rPr>
          <w:sz w:val="36"/>
          <w:szCs w:val="36"/>
          <w:rtl/>
        </w:rPr>
        <w:t xml:space="preserve"> </w:t>
      </w:r>
      <w:r w:rsidR="0040555A" w:rsidRPr="00FD211F">
        <w:rPr>
          <w:sz w:val="36"/>
          <w:szCs w:val="36"/>
          <w:rtl/>
        </w:rPr>
        <w:t>وجوده</w:t>
      </w:r>
      <w:r w:rsidR="00E8128F">
        <w:rPr>
          <w:sz w:val="36"/>
          <w:szCs w:val="36"/>
          <w:rtl/>
        </w:rPr>
        <w:t xml:space="preserve"> </w:t>
      </w:r>
      <w:r w:rsidR="0040555A" w:rsidRPr="00FD211F">
        <w:rPr>
          <w:sz w:val="36"/>
          <w:szCs w:val="36"/>
          <w:rtl/>
        </w:rPr>
        <w:t>مستقلا</w:t>
      </w:r>
      <w:r w:rsidR="00E8128F">
        <w:rPr>
          <w:sz w:val="36"/>
          <w:szCs w:val="36"/>
          <w:rtl/>
        </w:rPr>
        <w:t xml:space="preserve"> </w:t>
      </w:r>
      <w:r w:rsidR="0040555A" w:rsidRPr="00FD211F">
        <w:rPr>
          <w:sz w:val="36"/>
          <w:szCs w:val="36"/>
          <w:rtl/>
        </w:rPr>
        <w:t>ومغايرا</w:t>
      </w:r>
      <w:r w:rsidR="00E8128F">
        <w:rPr>
          <w:sz w:val="36"/>
          <w:szCs w:val="36"/>
          <w:rtl/>
        </w:rPr>
        <w:t xml:space="preserve"> </w:t>
      </w:r>
      <w:r w:rsidR="0040555A" w:rsidRPr="00FD211F">
        <w:rPr>
          <w:sz w:val="36"/>
          <w:szCs w:val="36"/>
          <w:rtl/>
        </w:rPr>
        <w:t>لوجود</w:t>
      </w:r>
      <w:r w:rsidR="00E8128F">
        <w:rPr>
          <w:sz w:val="36"/>
          <w:szCs w:val="36"/>
          <w:rtl/>
        </w:rPr>
        <w:t xml:space="preserve"> </w:t>
      </w:r>
      <w:r w:rsidR="0040555A" w:rsidRPr="00FD211F">
        <w:rPr>
          <w:sz w:val="36"/>
          <w:szCs w:val="36"/>
          <w:rtl/>
        </w:rPr>
        <w:t>الجوهر</w:t>
      </w:r>
      <w:r w:rsidR="00E8128F">
        <w:rPr>
          <w:sz w:val="36"/>
          <w:szCs w:val="36"/>
          <w:rtl/>
        </w:rPr>
        <w:t xml:space="preserve"> </w:t>
      </w:r>
      <w:r w:rsidR="0040555A" w:rsidRPr="00FD211F">
        <w:rPr>
          <w:sz w:val="36"/>
          <w:szCs w:val="36"/>
          <w:rtl/>
        </w:rPr>
        <w:t>فينتزع</w:t>
      </w:r>
      <w:r w:rsidR="00E8128F">
        <w:rPr>
          <w:sz w:val="36"/>
          <w:szCs w:val="36"/>
          <w:rtl/>
        </w:rPr>
        <w:t xml:space="preserve"> </w:t>
      </w:r>
      <w:r w:rsidR="0040555A" w:rsidRPr="00FD211F">
        <w:rPr>
          <w:sz w:val="36"/>
          <w:szCs w:val="36"/>
          <w:rtl/>
        </w:rPr>
        <w:t>عنه</w:t>
      </w:r>
      <w:r w:rsidR="00E8128F">
        <w:rPr>
          <w:sz w:val="36"/>
          <w:szCs w:val="36"/>
          <w:rtl/>
        </w:rPr>
        <w:t xml:space="preserve"> </w:t>
      </w:r>
      <w:r w:rsidR="0040555A" w:rsidRPr="00FD211F">
        <w:rPr>
          <w:sz w:val="36"/>
          <w:szCs w:val="36"/>
          <w:rtl/>
        </w:rPr>
        <w:t>مفهوم</w:t>
      </w:r>
      <w:r w:rsidR="00E8128F">
        <w:rPr>
          <w:sz w:val="36"/>
          <w:szCs w:val="36"/>
          <w:rtl/>
        </w:rPr>
        <w:t xml:space="preserve"> </w:t>
      </w:r>
      <w:r w:rsidR="0040555A" w:rsidRPr="00FD211F">
        <w:rPr>
          <w:sz w:val="36"/>
          <w:szCs w:val="36"/>
          <w:rtl/>
        </w:rPr>
        <w:t>العرض</w:t>
      </w:r>
      <w:r w:rsidR="00E8128F">
        <w:rPr>
          <w:sz w:val="36"/>
          <w:szCs w:val="36"/>
          <w:rtl/>
        </w:rPr>
        <w:t xml:space="preserve"> </w:t>
      </w:r>
      <w:r w:rsidR="0040555A" w:rsidRPr="00FD211F">
        <w:rPr>
          <w:sz w:val="36"/>
          <w:szCs w:val="36"/>
          <w:rtl/>
        </w:rPr>
        <w:t>وال</w:t>
      </w:r>
      <w:r w:rsidR="006D6133" w:rsidRPr="00FD211F">
        <w:rPr>
          <w:sz w:val="36"/>
          <w:szCs w:val="36"/>
          <w:rtl/>
        </w:rPr>
        <w:t>مصدر</w:t>
      </w:r>
      <w:r w:rsidR="00E8128F">
        <w:rPr>
          <w:sz w:val="36"/>
          <w:szCs w:val="36"/>
          <w:rtl/>
        </w:rPr>
        <w:t xml:space="preserve"> </w:t>
      </w:r>
      <w:r w:rsidR="006D6133" w:rsidRPr="00FD211F">
        <w:rPr>
          <w:sz w:val="36"/>
          <w:szCs w:val="36"/>
          <w:rtl/>
        </w:rPr>
        <w:t>ولذا</w:t>
      </w:r>
      <w:r w:rsidR="00E8128F">
        <w:rPr>
          <w:sz w:val="36"/>
          <w:szCs w:val="36"/>
          <w:rtl/>
        </w:rPr>
        <w:t xml:space="preserve"> </w:t>
      </w:r>
      <w:r w:rsidR="006D6133" w:rsidRPr="00FD211F">
        <w:rPr>
          <w:sz w:val="36"/>
          <w:szCs w:val="36"/>
          <w:rtl/>
        </w:rPr>
        <w:t>لايصح</w:t>
      </w:r>
      <w:r w:rsidR="00E8128F">
        <w:rPr>
          <w:sz w:val="36"/>
          <w:szCs w:val="36"/>
          <w:rtl/>
        </w:rPr>
        <w:t xml:space="preserve"> </w:t>
      </w:r>
      <w:r w:rsidR="006D6133" w:rsidRPr="00FD211F">
        <w:rPr>
          <w:sz w:val="36"/>
          <w:szCs w:val="36"/>
          <w:rtl/>
        </w:rPr>
        <w:t>حمله</w:t>
      </w:r>
      <w:r w:rsidR="00E8128F">
        <w:rPr>
          <w:sz w:val="36"/>
          <w:szCs w:val="36"/>
          <w:rtl/>
        </w:rPr>
        <w:t xml:space="preserve"> </w:t>
      </w:r>
      <w:r w:rsidR="006D6133" w:rsidRPr="00FD211F">
        <w:rPr>
          <w:sz w:val="36"/>
          <w:szCs w:val="36"/>
          <w:rtl/>
        </w:rPr>
        <w:t>على</w:t>
      </w:r>
      <w:r w:rsidR="00E8128F">
        <w:rPr>
          <w:sz w:val="36"/>
          <w:szCs w:val="36"/>
          <w:rtl/>
        </w:rPr>
        <w:t xml:space="preserve"> </w:t>
      </w:r>
      <w:r w:rsidR="006D6133" w:rsidRPr="00FD211F">
        <w:rPr>
          <w:sz w:val="36"/>
          <w:szCs w:val="36"/>
          <w:rtl/>
        </w:rPr>
        <w:t>الجوهر.</w:t>
      </w:r>
    </w:p>
    <w:p w14:paraId="5B48B28E" w14:textId="77777777" w:rsidR="0040555A" w:rsidRPr="00FD211F" w:rsidRDefault="0040555A" w:rsidP="009C58C8">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ذكر</w:t>
      </w:r>
      <w:r w:rsidR="00E8128F">
        <w:rPr>
          <w:sz w:val="36"/>
          <w:szCs w:val="36"/>
          <w:rtl/>
        </w:rPr>
        <w:t xml:space="preserve"> </w:t>
      </w:r>
      <w:r w:rsidR="00B1734E" w:rsidRPr="00FD211F">
        <w:rPr>
          <w:sz w:val="36"/>
          <w:szCs w:val="36"/>
          <w:rtl/>
        </w:rPr>
        <w:t>"قده"</w:t>
      </w:r>
      <w:r w:rsidR="00E8128F">
        <w:rPr>
          <w:sz w:val="36"/>
          <w:szCs w:val="36"/>
          <w:rtl/>
        </w:rPr>
        <w:t xml:space="preserve"> </w:t>
      </w:r>
      <w:r w:rsidR="00764DAC" w:rsidRPr="00FD211F">
        <w:rPr>
          <w:sz w:val="36"/>
          <w:szCs w:val="36"/>
          <w:rtl/>
        </w:rPr>
        <w:t>ان</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المصدر</w:t>
      </w:r>
      <w:r w:rsidR="00E8128F">
        <w:rPr>
          <w:sz w:val="36"/>
          <w:szCs w:val="36"/>
          <w:rtl/>
        </w:rPr>
        <w:t xml:space="preserve"> </w:t>
      </w:r>
      <w:r w:rsidRPr="00FD211F">
        <w:rPr>
          <w:sz w:val="36"/>
          <w:szCs w:val="36"/>
          <w:rtl/>
        </w:rPr>
        <w:t>ملحوظا</w:t>
      </w:r>
      <w:r w:rsidR="00E8128F">
        <w:rPr>
          <w:sz w:val="36"/>
          <w:szCs w:val="36"/>
          <w:rtl/>
        </w:rPr>
        <w:t xml:space="preserve"> </w:t>
      </w:r>
      <w:r w:rsidRPr="00FD211F">
        <w:rPr>
          <w:sz w:val="36"/>
          <w:szCs w:val="36"/>
          <w:rtl/>
        </w:rPr>
        <w:t>لابشرط</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الحمل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لوحظ</w:t>
      </w:r>
      <w:r w:rsidR="00E8128F">
        <w:rPr>
          <w:sz w:val="36"/>
          <w:szCs w:val="36"/>
          <w:rtl/>
        </w:rPr>
        <w:t xml:space="preserve"> </w:t>
      </w:r>
      <w:r w:rsidRPr="00FD211F">
        <w:rPr>
          <w:sz w:val="36"/>
          <w:szCs w:val="36"/>
          <w:rtl/>
        </w:rPr>
        <w:t>العرض</w:t>
      </w:r>
      <w:r w:rsidR="00E8128F">
        <w:rPr>
          <w:sz w:val="36"/>
          <w:szCs w:val="36"/>
          <w:rtl/>
        </w:rPr>
        <w:t xml:space="preserve"> </w:t>
      </w:r>
      <w:r w:rsidR="001B7B54" w:rsidRPr="00FD211F">
        <w:rPr>
          <w:sz w:val="36"/>
          <w:szCs w:val="36"/>
          <w:rtl/>
        </w:rPr>
        <w:t>فيه</w:t>
      </w:r>
      <w:r w:rsidR="00E8128F">
        <w:rPr>
          <w:sz w:val="36"/>
          <w:szCs w:val="36"/>
          <w:rtl/>
        </w:rPr>
        <w:t xml:space="preserve"> </w:t>
      </w:r>
      <w:r w:rsidR="001B7B54" w:rsidRPr="00FD211F">
        <w:rPr>
          <w:sz w:val="36"/>
          <w:szCs w:val="36"/>
          <w:rtl/>
        </w:rPr>
        <w:t>بشرط</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اتحاده</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الجوهر</w:t>
      </w:r>
      <w:r w:rsidR="00E8128F">
        <w:rPr>
          <w:sz w:val="36"/>
          <w:szCs w:val="36"/>
          <w:rtl/>
        </w:rPr>
        <w:t xml:space="preserve"> </w:t>
      </w:r>
      <w:r w:rsidRPr="00FD211F">
        <w:rPr>
          <w:sz w:val="36"/>
          <w:szCs w:val="36"/>
          <w:rtl/>
        </w:rPr>
        <w:t>اي</w:t>
      </w:r>
      <w:r w:rsidR="00E8128F">
        <w:rPr>
          <w:sz w:val="36"/>
          <w:szCs w:val="36"/>
          <w:rtl/>
        </w:rPr>
        <w:t xml:space="preserve"> </w:t>
      </w:r>
      <w:r w:rsidRPr="00FD211F">
        <w:rPr>
          <w:sz w:val="36"/>
          <w:szCs w:val="36"/>
          <w:rtl/>
        </w:rPr>
        <w:t>لوحظ</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وجوده</w:t>
      </w:r>
      <w:r w:rsidR="00E8128F">
        <w:rPr>
          <w:sz w:val="36"/>
          <w:szCs w:val="36"/>
          <w:rtl/>
        </w:rPr>
        <w:t xml:space="preserve"> </w:t>
      </w:r>
      <w:r w:rsidR="001B7B54" w:rsidRPr="00FD211F">
        <w:rPr>
          <w:sz w:val="36"/>
          <w:szCs w:val="36"/>
          <w:rtl/>
        </w:rPr>
        <w:t>في</w:t>
      </w:r>
      <w:r w:rsidR="00E8128F">
        <w:rPr>
          <w:sz w:val="36"/>
          <w:szCs w:val="36"/>
          <w:rtl/>
        </w:rPr>
        <w:t xml:space="preserve"> </w:t>
      </w:r>
      <w:r w:rsidR="001B7B54" w:rsidRPr="00FD211F">
        <w:rPr>
          <w:sz w:val="36"/>
          <w:szCs w:val="36"/>
          <w:rtl/>
        </w:rPr>
        <w:t>نفسه</w:t>
      </w:r>
      <w:r w:rsidR="00E8128F">
        <w:rPr>
          <w:sz w:val="36"/>
          <w:szCs w:val="36"/>
          <w:rtl/>
        </w:rPr>
        <w:t xml:space="preserve"> </w:t>
      </w:r>
      <w:r w:rsidR="001B7B54" w:rsidRPr="00FD211F">
        <w:rPr>
          <w:sz w:val="36"/>
          <w:szCs w:val="36"/>
          <w:rtl/>
        </w:rPr>
        <w:t>بالغاء</w:t>
      </w:r>
      <w:r w:rsidR="00E8128F">
        <w:rPr>
          <w:sz w:val="36"/>
          <w:szCs w:val="36"/>
          <w:rtl/>
        </w:rPr>
        <w:t xml:space="preserve"> </w:t>
      </w:r>
      <w:r w:rsidR="001B7B54" w:rsidRPr="00FD211F">
        <w:rPr>
          <w:sz w:val="36"/>
          <w:szCs w:val="36"/>
          <w:rtl/>
        </w:rPr>
        <w:t>لحاظ</w:t>
      </w:r>
      <w:r w:rsidR="00E8128F">
        <w:rPr>
          <w:sz w:val="36"/>
          <w:szCs w:val="36"/>
          <w:rtl/>
        </w:rPr>
        <w:t xml:space="preserve"> </w:t>
      </w:r>
      <w:r w:rsidR="001B7B54" w:rsidRPr="00FD211F">
        <w:rPr>
          <w:sz w:val="36"/>
          <w:szCs w:val="36"/>
          <w:rtl/>
        </w:rPr>
        <w:t>وجوده</w:t>
      </w:r>
      <w:r w:rsidR="00E8128F">
        <w:rPr>
          <w:sz w:val="36"/>
          <w:szCs w:val="36"/>
          <w:rtl/>
        </w:rPr>
        <w:t xml:space="preserve"> </w:t>
      </w:r>
      <w:r w:rsidR="001B7B54" w:rsidRPr="00FD211F">
        <w:rPr>
          <w:sz w:val="36"/>
          <w:szCs w:val="36"/>
          <w:rtl/>
        </w:rPr>
        <w:t>لغيره</w:t>
      </w:r>
      <w:r w:rsidR="00603323" w:rsidRPr="00FD211F">
        <w:rPr>
          <w:sz w:val="36"/>
          <w:szCs w:val="36"/>
          <w:rtl/>
        </w:rPr>
        <w:t>،</w:t>
      </w:r>
      <w:r w:rsidR="00E8128F">
        <w:rPr>
          <w:sz w:val="36"/>
          <w:szCs w:val="36"/>
          <w:rtl/>
        </w:rPr>
        <w:t xml:space="preserve"> </w:t>
      </w:r>
      <w:r w:rsidR="001B7B54" w:rsidRPr="00FD211F">
        <w:rPr>
          <w:sz w:val="36"/>
          <w:szCs w:val="36"/>
          <w:rtl/>
        </w:rPr>
        <w:t>وهذا</w:t>
      </w:r>
      <w:r w:rsidR="00E8128F">
        <w:rPr>
          <w:sz w:val="36"/>
          <w:szCs w:val="36"/>
          <w:rtl/>
        </w:rPr>
        <w:t xml:space="preserve"> </w:t>
      </w:r>
      <w:r w:rsidR="001B7B54" w:rsidRPr="00FD211F">
        <w:rPr>
          <w:sz w:val="36"/>
          <w:szCs w:val="36"/>
          <w:rtl/>
        </w:rPr>
        <w:t>اللحاظ</w:t>
      </w:r>
      <w:r w:rsidR="00E8128F">
        <w:rPr>
          <w:sz w:val="36"/>
          <w:szCs w:val="36"/>
          <w:rtl/>
        </w:rPr>
        <w:t xml:space="preserve"> </w:t>
      </w:r>
      <w:r w:rsidR="001B7B54" w:rsidRPr="00FD211F">
        <w:rPr>
          <w:sz w:val="36"/>
          <w:szCs w:val="36"/>
          <w:rtl/>
        </w:rPr>
        <w:t>هو</w:t>
      </w:r>
      <w:r w:rsidR="00E8128F">
        <w:rPr>
          <w:sz w:val="36"/>
          <w:szCs w:val="36"/>
          <w:rtl/>
        </w:rPr>
        <w:t xml:space="preserve"> </w:t>
      </w:r>
      <w:r w:rsidR="001B7B54" w:rsidRPr="00FD211F">
        <w:rPr>
          <w:sz w:val="36"/>
          <w:szCs w:val="36"/>
          <w:rtl/>
        </w:rPr>
        <w:t>الذي</w:t>
      </w:r>
      <w:r w:rsidR="00E8128F">
        <w:rPr>
          <w:sz w:val="36"/>
          <w:szCs w:val="36"/>
          <w:rtl/>
        </w:rPr>
        <w:t xml:space="preserve"> </w:t>
      </w:r>
      <w:r w:rsidR="001B7B54" w:rsidRPr="00FD211F">
        <w:rPr>
          <w:sz w:val="36"/>
          <w:szCs w:val="36"/>
          <w:rtl/>
        </w:rPr>
        <w:t>يوجب</w:t>
      </w:r>
      <w:r w:rsidR="00E8128F">
        <w:rPr>
          <w:sz w:val="36"/>
          <w:szCs w:val="36"/>
          <w:rtl/>
        </w:rPr>
        <w:t xml:space="preserve"> </w:t>
      </w:r>
      <w:r w:rsidR="001B7B54" w:rsidRPr="00FD211F">
        <w:rPr>
          <w:sz w:val="36"/>
          <w:szCs w:val="36"/>
          <w:rtl/>
        </w:rPr>
        <w:t>لحاظ</w:t>
      </w:r>
      <w:r w:rsidR="00E8128F">
        <w:rPr>
          <w:sz w:val="36"/>
          <w:szCs w:val="36"/>
          <w:rtl/>
        </w:rPr>
        <w:t xml:space="preserve"> </w:t>
      </w:r>
      <w:r w:rsidR="001B7B54" w:rsidRPr="00FD211F">
        <w:rPr>
          <w:sz w:val="36"/>
          <w:szCs w:val="36"/>
          <w:rtl/>
        </w:rPr>
        <w:t>اتحاد</w:t>
      </w:r>
      <w:r w:rsidR="00E8128F">
        <w:rPr>
          <w:sz w:val="36"/>
          <w:szCs w:val="36"/>
          <w:rtl/>
        </w:rPr>
        <w:t xml:space="preserve"> </w:t>
      </w:r>
      <w:r w:rsidR="001B7B54" w:rsidRPr="00FD211F">
        <w:rPr>
          <w:sz w:val="36"/>
          <w:szCs w:val="36"/>
          <w:rtl/>
        </w:rPr>
        <w:t>العرض</w:t>
      </w:r>
      <w:r w:rsidR="00E8128F">
        <w:rPr>
          <w:sz w:val="36"/>
          <w:szCs w:val="36"/>
          <w:rtl/>
        </w:rPr>
        <w:t xml:space="preserve"> </w:t>
      </w:r>
      <w:r w:rsidR="001B7B54" w:rsidRPr="00FD211F">
        <w:rPr>
          <w:sz w:val="36"/>
          <w:szCs w:val="36"/>
          <w:rtl/>
        </w:rPr>
        <w:t>مع</w:t>
      </w:r>
      <w:r w:rsidR="00E8128F">
        <w:rPr>
          <w:sz w:val="36"/>
          <w:szCs w:val="36"/>
          <w:rtl/>
        </w:rPr>
        <w:t xml:space="preserve"> </w:t>
      </w:r>
      <w:r w:rsidR="001B7B54" w:rsidRPr="00FD211F">
        <w:rPr>
          <w:sz w:val="36"/>
          <w:szCs w:val="36"/>
          <w:rtl/>
        </w:rPr>
        <w:t>الجوهر</w:t>
      </w:r>
      <w:r w:rsidR="00603323" w:rsidRPr="00FD211F">
        <w:rPr>
          <w:sz w:val="36"/>
          <w:szCs w:val="36"/>
          <w:rtl/>
        </w:rPr>
        <w:t>،</w:t>
      </w:r>
      <w:r w:rsidR="00E8128F">
        <w:rPr>
          <w:sz w:val="36"/>
          <w:szCs w:val="36"/>
          <w:rtl/>
        </w:rPr>
        <w:t xml:space="preserve"> </w:t>
      </w:r>
      <w:r w:rsidR="005F5210" w:rsidRPr="00FD211F">
        <w:rPr>
          <w:sz w:val="36"/>
          <w:szCs w:val="36"/>
          <w:rtl/>
        </w:rPr>
        <w:t>ومع</w:t>
      </w:r>
      <w:r w:rsidR="00E8128F">
        <w:rPr>
          <w:sz w:val="36"/>
          <w:szCs w:val="36"/>
          <w:rtl/>
        </w:rPr>
        <w:t xml:space="preserve"> </w:t>
      </w:r>
      <w:r w:rsidR="005F5210" w:rsidRPr="00FD211F">
        <w:rPr>
          <w:sz w:val="36"/>
          <w:szCs w:val="36"/>
          <w:rtl/>
        </w:rPr>
        <w:t>الغاء</w:t>
      </w:r>
      <w:r w:rsidR="00E8128F">
        <w:rPr>
          <w:sz w:val="36"/>
          <w:szCs w:val="36"/>
          <w:rtl/>
        </w:rPr>
        <w:t xml:space="preserve"> </w:t>
      </w:r>
      <w:r w:rsidR="005F5210" w:rsidRPr="00FD211F">
        <w:rPr>
          <w:sz w:val="36"/>
          <w:szCs w:val="36"/>
          <w:rtl/>
        </w:rPr>
        <w:t>هذا</w:t>
      </w:r>
      <w:r w:rsidR="00E8128F">
        <w:rPr>
          <w:sz w:val="36"/>
          <w:szCs w:val="36"/>
          <w:rtl/>
        </w:rPr>
        <w:t xml:space="preserve"> </w:t>
      </w:r>
      <w:r w:rsidR="005F5210" w:rsidRPr="00FD211F">
        <w:rPr>
          <w:sz w:val="36"/>
          <w:szCs w:val="36"/>
          <w:rtl/>
        </w:rPr>
        <w:t>اللحاظ</w:t>
      </w:r>
      <w:r w:rsidR="00E8128F">
        <w:rPr>
          <w:sz w:val="36"/>
          <w:szCs w:val="36"/>
          <w:rtl/>
        </w:rPr>
        <w:t xml:space="preserve"> </w:t>
      </w:r>
      <w:r w:rsidR="005F5210" w:rsidRPr="00FD211F">
        <w:rPr>
          <w:sz w:val="36"/>
          <w:szCs w:val="36"/>
          <w:rtl/>
        </w:rPr>
        <w:t>لايبقى</w:t>
      </w:r>
      <w:r w:rsidR="00E8128F">
        <w:rPr>
          <w:sz w:val="36"/>
          <w:szCs w:val="36"/>
          <w:rtl/>
        </w:rPr>
        <w:t xml:space="preserve"> </w:t>
      </w:r>
      <w:r w:rsidR="005F5210" w:rsidRPr="00FD211F">
        <w:rPr>
          <w:sz w:val="36"/>
          <w:szCs w:val="36"/>
          <w:rtl/>
        </w:rPr>
        <w:t>مصحح</w:t>
      </w:r>
      <w:r w:rsidR="00E8128F">
        <w:rPr>
          <w:sz w:val="36"/>
          <w:szCs w:val="36"/>
          <w:rtl/>
        </w:rPr>
        <w:t xml:space="preserve"> </w:t>
      </w:r>
      <w:r w:rsidR="005F5210" w:rsidRPr="00FD211F">
        <w:rPr>
          <w:sz w:val="36"/>
          <w:szCs w:val="36"/>
          <w:rtl/>
        </w:rPr>
        <w:t>لحمل</w:t>
      </w:r>
      <w:r w:rsidR="00E8128F">
        <w:rPr>
          <w:sz w:val="36"/>
          <w:szCs w:val="36"/>
          <w:rtl/>
        </w:rPr>
        <w:t xml:space="preserve"> </w:t>
      </w:r>
      <w:r w:rsidR="005F5210" w:rsidRPr="00FD211F">
        <w:rPr>
          <w:sz w:val="36"/>
          <w:szCs w:val="36"/>
          <w:rtl/>
        </w:rPr>
        <w:t>المصدر</w:t>
      </w:r>
      <w:r w:rsidR="00E8128F">
        <w:rPr>
          <w:sz w:val="36"/>
          <w:szCs w:val="36"/>
          <w:rtl/>
        </w:rPr>
        <w:t xml:space="preserve"> </w:t>
      </w:r>
      <w:r w:rsidR="005F5210" w:rsidRPr="00FD211F">
        <w:rPr>
          <w:sz w:val="36"/>
          <w:szCs w:val="36"/>
          <w:rtl/>
        </w:rPr>
        <w:t>على</w:t>
      </w:r>
      <w:r w:rsidR="00E8128F">
        <w:rPr>
          <w:sz w:val="36"/>
          <w:szCs w:val="36"/>
          <w:rtl/>
        </w:rPr>
        <w:t xml:space="preserve"> </w:t>
      </w:r>
      <w:r w:rsidR="005F5210" w:rsidRPr="00FD211F">
        <w:rPr>
          <w:sz w:val="36"/>
          <w:szCs w:val="36"/>
          <w:rtl/>
        </w:rPr>
        <w:t>الذات</w:t>
      </w:r>
      <w:r w:rsidR="00603323" w:rsidRPr="00FD211F">
        <w:rPr>
          <w:sz w:val="36"/>
          <w:szCs w:val="36"/>
          <w:rtl/>
        </w:rPr>
        <w:t>،</w:t>
      </w:r>
      <w:r w:rsidR="00E8128F">
        <w:rPr>
          <w:sz w:val="36"/>
          <w:szCs w:val="36"/>
          <w:rtl/>
        </w:rPr>
        <w:t xml:space="preserve"> </w:t>
      </w:r>
      <w:r w:rsidRPr="00FD211F">
        <w:rPr>
          <w:sz w:val="36"/>
          <w:szCs w:val="36"/>
          <w:rtl/>
        </w:rPr>
        <w:t>وينتج</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صيرور</w:t>
      </w:r>
      <w:r w:rsidR="00EC7EDF" w:rsidRPr="00FD211F">
        <w:rPr>
          <w:sz w:val="36"/>
          <w:szCs w:val="36"/>
          <w:rtl/>
        </w:rPr>
        <w:t>ة</w:t>
      </w:r>
      <w:r w:rsidR="00E8128F">
        <w:rPr>
          <w:sz w:val="36"/>
          <w:szCs w:val="36"/>
          <w:rtl/>
        </w:rPr>
        <w:t xml:space="preserve"> </w:t>
      </w:r>
      <w:r w:rsidRPr="00FD211F">
        <w:rPr>
          <w:sz w:val="36"/>
          <w:szCs w:val="36"/>
          <w:rtl/>
        </w:rPr>
        <w:t>المعنى</w:t>
      </w:r>
      <w:r w:rsidR="00E8128F">
        <w:rPr>
          <w:sz w:val="36"/>
          <w:szCs w:val="36"/>
          <w:rtl/>
        </w:rPr>
        <w:t xml:space="preserve"> </w:t>
      </w:r>
      <w:r w:rsidRPr="00FD211F">
        <w:rPr>
          <w:sz w:val="36"/>
          <w:szCs w:val="36"/>
          <w:rtl/>
        </w:rPr>
        <w:t>بشرط</w:t>
      </w:r>
      <w:r w:rsidR="00E8128F">
        <w:rPr>
          <w:sz w:val="36"/>
          <w:szCs w:val="36"/>
          <w:rtl/>
        </w:rPr>
        <w:t xml:space="preserve"> </w:t>
      </w:r>
      <w:r w:rsidRPr="00FD211F">
        <w:rPr>
          <w:sz w:val="36"/>
          <w:szCs w:val="36"/>
          <w:rtl/>
        </w:rPr>
        <w:t>لاعن</w:t>
      </w:r>
      <w:r w:rsidR="00E8128F">
        <w:rPr>
          <w:sz w:val="36"/>
          <w:szCs w:val="36"/>
          <w:rtl/>
        </w:rPr>
        <w:t xml:space="preserve"> </w:t>
      </w:r>
      <w:r w:rsidRPr="00FD211F">
        <w:rPr>
          <w:sz w:val="36"/>
          <w:szCs w:val="36"/>
          <w:rtl/>
        </w:rPr>
        <w:t>الحمل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الذات</w:t>
      </w:r>
      <w:r w:rsidR="00603323" w:rsidRPr="00FD211F">
        <w:rPr>
          <w:sz w:val="36"/>
          <w:szCs w:val="36"/>
          <w:rtl/>
        </w:rPr>
        <w:t>،</w:t>
      </w:r>
      <w:r w:rsidR="00E8128F">
        <w:rPr>
          <w:sz w:val="36"/>
          <w:szCs w:val="36"/>
          <w:rtl/>
        </w:rPr>
        <w:t xml:space="preserve"> </w:t>
      </w:r>
      <w:r w:rsidR="001B7B54" w:rsidRPr="00FD211F">
        <w:rPr>
          <w:sz w:val="36"/>
          <w:szCs w:val="36"/>
          <w:rtl/>
        </w:rPr>
        <w:t>فلم</w:t>
      </w:r>
      <w:r w:rsidR="00E8128F">
        <w:rPr>
          <w:sz w:val="36"/>
          <w:szCs w:val="36"/>
          <w:rtl/>
        </w:rPr>
        <w:t xml:space="preserve"> </w:t>
      </w:r>
      <w:r w:rsidR="001B7B54" w:rsidRPr="00FD211F">
        <w:rPr>
          <w:sz w:val="36"/>
          <w:szCs w:val="36"/>
          <w:rtl/>
        </w:rPr>
        <w:t>يلحظ</w:t>
      </w:r>
      <w:r w:rsidR="00E8128F">
        <w:rPr>
          <w:sz w:val="36"/>
          <w:szCs w:val="36"/>
          <w:rtl/>
        </w:rPr>
        <w:t xml:space="preserve"> </w:t>
      </w:r>
      <w:r w:rsidR="001B7B54" w:rsidRPr="00FD211F">
        <w:rPr>
          <w:sz w:val="36"/>
          <w:szCs w:val="36"/>
          <w:rtl/>
        </w:rPr>
        <w:t>في</w:t>
      </w:r>
      <w:r w:rsidR="00E8128F">
        <w:rPr>
          <w:sz w:val="36"/>
          <w:szCs w:val="36"/>
          <w:rtl/>
        </w:rPr>
        <w:t xml:space="preserve"> </w:t>
      </w:r>
      <w:r w:rsidR="001B7B54" w:rsidRPr="00FD211F">
        <w:rPr>
          <w:sz w:val="36"/>
          <w:szCs w:val="36"/>
          <w:rtl/>
        </w:rPr>
        <w:t>هذا</w:t>
      </w:r>
      <w:r w:rsidR="00E8128F">
        <w:rPr>
          <w:sz w:val="36"/>
          <w:szCs w:val="36"/>
          <w:rtl/>
        </w:rPr>
        <w:t xml:space="preserve"> </w:t>
      </w:r>
      <w:r w:rsidR="001B7B54" w:rsidRPr="00FD211F">
        <w:rPr>
          <w:sz w:val="36"/>
          <w:szCs w:val="36"/>
          <w:rtl/>
        </w:rPr>
        <w:t>الوجه</w:t>
      </w:r>
      <w:r w:rsidR="00E8128F">
        <w:rPr>
          <w:sz w:val="36"/>
          <w:szCs w:val="36"/>
          <w:rtl/>
        </w:rPr>
        <w:t xml:space="preserve"> </w:t>
      </w:r>
      <w:r w:rsidR="001B7B54" w:rsidRPr="00FD211F">
        <w:rPr>
          <w:sz w:val="36"/>
          <w:szCs w:val="36"/>
          <w:rtl/>
        </w:rPr>
        <w:t>ا</w:t>
      </w:r>
      <w:r w:rsidRPr="00FD211F">
        <w:rPr>
          <w:sz w:val="36"/>
          <w:szCs w:val="36"/>
          <w:rtl/>
        </w:rPr>
        <w:t>للابشرطي</w:t>
      </w:r>
      <w:r w:rsidR="00EC7EDF" w:rsidRPr="00FD211F">
        <w:rPr>
          <w:sz w:val="36"/>
          <w:szCs w:val="36"/>
          <w:rtl/>
        </w:rPr>
        <w:t>ة</w:t>
      </w:r>
      <w:r w:rsidR="00E8128F">
        <w:rPr>
          <w:sz w:val="36"/>
          <w:szCs w:val="36"/>
          <w:rtl/>
        </w:rPr>
        <w:t xml:space="preserve"> </w:t>
      </w:r>
      <w:r w:rsidRPr="00FD211F">
        <w:rPr>
          <w:sz w:val="36"/>
          <w:szCs w:val="36"/>
          <w:rtl/>
        </w:rPr>
        <w:t>والبشرط</w:t>
      </w:r>
      <w:r w:rsidR="00E8128F">
        <w:rPr>
          <w:sz w:val="36"/>
          <w:szCs w:val="36"/>
          <w:rtl/>
        </w:rPr>
        <w:t xml:space="preserve"> </w:t>
      </w:r>
      <w:r w:rsidRPr="00FD211F">
        <w:rPr>
          <w:sz w:val="36"/>
          <w:szCs w:val="36"/>
          <w:rtl/>
        </w:rPr>
        <w:t>لائي</w:t>
      </w:r>
      <w:r w:rsidR="00EC7EDF" w:rsidRPr="00FD211F">
        <w:rPr>
          <w:sz w:val="36"/>
          <w:szCs w:val="36"/>
          <w:rtl/>
        </w:rPr>
        <w:t>ة</w:t>
      </w:r>
      <w:r w:rsidR="00E8128F">
        <w:rPr>
          <w:sz w:val="36"/>
          <w:szCs w:val="36"/>
          <w:rtl/>
        </w:rPr>
        <w:t xml:space="preserve"> </w:t>
      </w:r>
      <w:r w:rsidRPr="00FD211F">
        <w:rPr>
          <w:sz w:val="36"/>
          <w:szCs w:val="36"/>
          <w:rtl/>
        </w:rPr>
        <w:t>بالنسب</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الحمل</w:t>
      </w:r>
      <w:r w:rsidR="00E8128F">
        <w:rPr>
          <w:sz w:val="36"/>
          <w:szCs w:val="36"/>
          <w:rtl/>
        </w:rPr>
        <w:t xml:space="preserve"> </w:t>
      </w:r>
      <w:r w:rsidRPr="00FD211F">
        <w:rPr>
          <w:sz w:val="36"/>
          <w:szCs w:val="36"/>
          <w:rtl/>
        </w:rPr>
        <w:t>ابتداء</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هي</w:t>
      </w:r>
      <w:r w:rsidR="00E8128F">
        <w:rPr>
          <w:sz w:val="36"/>
          <w:szCs w:val="36"/>
          <w:rtl/>
        </w:rPr>
        <w:t xml:space="preserve"> </w:t>
      </w:r>
      <w:r w:rsidRPr="00FD211F">
        <w:rPr>
          <w:sz w:val="36"/>
          <w:szCs w:val="36"/>
          <w:rtl/>
        </w:rPr>
        <w:t>نتيج</w:t>
      </w:r>
      <w:r w:rsidR="00EC7EDF" w:rsidRPr="00FD211F">
        <w:rPr>
          <w:sz w:val="36"/>
          <w:szCs w:val="36"/>
          <w:rtl/>
        </w:rPr>
        <w:t>ة</w:t>
      </w:r>
      <w:r w:rsidR="00E8128F">
        <w:rPr>
          <w:sz w:val="36"/>
          <w:szCs w:val="36"/>
          <w:rtl/>
        </w:rPr>
        <w:t xml:space="preserve"> </w:t>
      </w:r>
      <w:r w:rsidRPr="00FD211F">
        <w:rPr>
          <w:sz w:val="36"/>
          <w:szCs w:val="36"/>
          <w:rtl/>
        </w:rPr>
        <w:t>اختلاف</w:t>
      </w:r>
      <w:r w:rsidR="00E8128F">
        <w:rPr>
          <w:sz w:val="36"/>
          <w:szCs w:val="36"/>
          <w:rtl/>
        </w:rPr>
        <w:t xml:space="preserve"> </w:t>
      </w:r>
      <w:r w:rsidRPr="00FD211F">
        <w:rPr>
          <w:sz w:val="36"/>
          <w:szCs w:val="36"/>
          <w:rtl/>
        </w:rPr>
        <w:t>لحاظ</w:t>
      </w:r>
      <w:r w:rsidR="00E8128F">
        <w:rPr>
          <w:sz w:val="36"/>
          <w:szCs w:val="36"/>
          <w:rtl/>
        </w:rPr>
        <w:t xml:space="preserve"> </w:t>
      </w:r>
      <w:r w:rsidRPr="00FD211F">
        <w:rPr>
          <w:sz w:val="36"/>
          <w:szCs w:val="36"/>
          <w:rtl/>
        </w:rPr>
        <w:t>المعنى</w:t>
      </w:r>
      <w:r w:rsidR="00E8128F">
        <w:rPr>
          <w:sz w:val="36"/>
          <w:szCs w:val="36"/>
          <w:rtl/>
        </w:rPr>
        <w:t xml:space="preserve"> </w:t>
      </w:r>
      <w:r w:rsidRPr="00FD211F">
        <w:rPr>
          <w:sz w:val="36"/>
          <w:szCs w:val="36"/>
          <w:rtl/>
        </w:rPr>
        <w:t>بالنحو</w:t>
      </w:r>
      <w:r w:rsidR="00E8128F">
        <w:rPr>
          <w:sz w:val="36"/>
          <w:szCs w:val="36"/>
          <w:rtl/>
        </w:rPr>
        <w:t xml:space="preserve"> </w:t>
      </w:r>
      <w:r w:rsidRPr="00FD211F">
        <w:rPr>
          <w:sz w:val="36"/>
          <w:szCs w:val="36"/>
          <w:rtl/>
        </w:rPr>
        <w:t>المذكور</w:t>
      </w:r>
      <w:r w:rsidR="009C58C8" w:rsidRPr="00FD211F">
        <w:rPr>
          <w:rStyle w:val="a6"/>
          <w:sz w:val="36"/>
          <w:szCs w:val="36"/>
          <w:rtl/>
        </w:rPr>
        <w:t>(</w:t>
      </w:r>
      <w:r w:rsidR="009C58C8" w:rsidRPr="00FD211F">
        <w:rPr>
          <w:rStyle w:val="a6"/>
          <w:sz w:val="36"/>
          <w:szCs w:val="36"/>
          <w:rtl/>
        </w:rPr>
        <w:footnoteReference w:id="582"/>
      </w:r>
      <w:r w:rsidR="009C58C8" w:rsidRPr="00FD211F">
        <w:rPr>
          <w:rStyle w:val="a6"/>
          <w:sz w:val="36"/>
          <w:szCs w:val="36"/>
          <w:rtl/>
        </w:rPr>
        <w:t>)</w:t>
      </w:r>
      <w:r w:rsidRPr="00FD211F">
        <w:rPr>
          <w:sz w:val="36"/>
          <w:szCs w:val="36"/>
          <w:rtl/>
        </w:rPr>
        <w:t>.</w:t>
      </w:r>
    </w:p>
    <w:p w14:paraId="0EF6D8FE" w14:textId="77777777" w:rsidR="0040555A" w:rsidRPr="00FD211F" w:rsidRDefault="001B7B54" w:rsidP="00C7588D">
      <w:pPr>
        <w:ind w:left="0" w:firstLine="227"/>
        <w:jc w:val="both"/>
        <w:rPr>
          <w:sz w:val="36"/>
          <w:szCs w:val="36"/>
          <w:rtl/>
        </w:rPr>
      </w:pPr>
      <w:r w:rsidRPr="00FD211F">
        <w:rPr>
          <w:sz w:val="36"/>
          <w:szCs w:val="36"/>
          <w:rtl/>
        </w:rPr>
        <w:t>وقد</w:t>
      </w:r>
      <w:r w:rsidR="00E8128F">
        <w:rPr>
          <w:sz w:val="36"/>
          <w:szCs w:val="36"/>
          <w:rtl/>
        </w:rPr>
        <w:t xml:space="preserve"> </w:t>
      </w:r>
      <w:r w:rsidR="0040555A" w:rsidRPr="00FD211F">
        <w:rPr>
          <w:sz w:val="36"/>
          <w:szCs w:val="36"/>
          <w:rtl/>
        </w:rPr>
        <w:t>اورد</w:t>
      </w:r>
      <w:r w:rsidR="00E8128F">
        <w:rPr>
          <w:sz w:val="36"/>
          <w:szCs w:val="36"/>
          <w:rtl/>
        </w:rPr>
        <w:t xml:space="preserve"> </w:t>
      </w:r>
      <w:r w:rsidR="0040555A" w:rsidRPr="00FD211F">
        <w:rPr>
          <w:sz w:val="36"/>
          <w:szCs w:val="36"/>
          <w:rtl/>
        </w:rPr>
        <w:t>عليه</w:t>
      </w:r>
      <w:r w:rsidR="00E8128F">
        <w:rPr>
          <w:sz w:val="36"/>
          <w:szCs w:val="36"/>
          <w:rtl/>
        </w:rPr>
        <w:t xml:space="preserve"> </w:t>
      </w:r>
      <w:r w:rsidR="0040555A" w:rsidRPr="00FD211F">
        <w:rPr>
          <w:sz w:val="36"/>
          <w:szCs w:val="36"/>
          <w:rtl/>
        </w:rPr>
        <w:t>السيد</w:t>
      </w:r>
      <w:r w:rsidR="00E8128F">
        <w:rPr>
          <w:sz w:val="36"/>
          <w:szCs w:val="36"/>
          <w:rtl/>
        </w:rPr>
        <w:t xml:space="preserve"> </w:t>
      </w:r>
      <w:r w:rsidR="0040555A" w:rsidRPr="00FD211F">
        <w:rPr>
          <w:sz w:val="36"/>
          <w:szCs w:val="36"/>
          <w:rtl/>
        </w:rPr>
        <w:t>الخوئي</w:t>
      </w:r>
      <w:r w:rsidR="00E8128F">
        <w:rPr>
          <w:sz w:val="36"/>
          <w:szCs w:val="36"/>
          <w:rtl/>
        </w:rPr>
        <w:t xml:space="preserve"> </w:t>
      </w:r>
      <w:r w:rsidR="00C7588D" w:rsidRPr="00FD211F">
        <w:rPr>
          <w:sz w:val="36"/>
          <w:szCs w:val="36"/>
          <w:rtl/>
        </w:rPr>
        <w:t>"</w:t>
      </w:r>
      <w:r w:rsidR="005D03BA" w:rsidRPr="00FD211F">
        <w:rPr>
          <w:sz w:val="36"/>
          <w:szCs w:val="36"/>
          <w:rtl/>
        </w:rPr>
        <w:t>قده</w:t>
      </w:r>
      <w:r w:rsidR="00C7588D" w:rsidRPr="00FD211F">
        <w:rPr>
          <w:sz w:val="36"/>
          <w:szCs w:val="36"/>
          <w:rtl/>
        </w:rPr>
        <w:t>"</w:t>
      </w:r>
      <w:r w:rsidR="00E8128F">
        <w:rPr>
          <w:sz w:val="36"/>
          <w:szCs w:val="36"/>
          <w:rtl/>
        </w:rPr>
        <w:t xml:space="preserve"> </w:t>
      </w:r>
      <w:r w:rsidRPr="00FD211F">
        <w:rPr>
          <w:sz w:val="36"/>
          <w:szCs w:val="36"/>
          <w:rtl/>
        </w:rPr>
        <w:t>عد</w:t>
      </w:r>
      <w:r w:rsidR="00EC7EDF" w:rsidRPr="00FD211F">
        <w:rPr>
          <w:sz w:val="36"/>
          <w:szCs w:val="36"/>
          <w:rtl/>
        </w:rPr>
        <w:t>ة</w:t>
      </w:r>
      <w:r w:rsidR="00E8128F">
        <w:rPr>
          <w:sz w:val="36"/>
          <w:szCs w:val="36"/>
          <w:rtl/>
        </w:rPr>
        <w:t xml:space="preserve"> </w:t>
      </w:r>
      <w:r w:rsidR="0040555A" w:rsidRPr="00FD211F">
        <w:rPr>
          <w:sz w:val="36"/>
          <w:szCs w:val="36"/>
          <w:rtl/>
        </w:rPr>
        <w:t>ايراد</w:t>
      </w:r>
      <w:r w:rsidR="00DE7919" w:rsidRPr="00FD211F">
        <w:rPr>
          <w:sz w:val="36"/>
          <w:szCs w:val="36"/>
          <w:rtl/>
        </w:rPr>
        <w:t>ا</w:t>
      </w:r>
      <w:r w:rsidR="0040555A" w:rsidRPr="00FD211F">
        <w:rPr>
          <w:sz w:val="36"/>
          <w:szCs w:val="36"/>
          <w:rtl/>
        </w:rPr>
        <w:t>ت:</w:t>
      </w:r>
    </w:p>
    <w:p w14:paraId="2EEF2EDD" w14:textId="77777777" w:rsidR="001B7B54" w:rsidRPr="00FD211F" w:rsidRDefault="006E0FCC" w:rsidP="009C58C8">
      <w:pPr>
        <w:ind w:left="0" w:firstLine="227"/>
        <w:jc w:val="both"/>
        <w:rPr>
          <w:sz w:val="36"/>
          <w:szCs w:val="36"/>
          <w:rtl/>
        </w:rPr>
      </w:pPr>
      <w:r w:rsidRPr="00FD211F">
        <w:rPr>
          <w:sz w:val="36"/>
          <w:szCs w:val="36"/>
          <w:rtl/>
        </w:rPr>
        <w:t>1-</w:t>
      </w:r>
      <w:r w:rsidR="00E8128F">
        <w:rPr>
          <w:sz w:val="36"/>
          <w:szCs w:val="36"/>
          <w:rtl/>
        </w:rPr>
        <w:t xml:space="preserve"> </w:t>
      </w:r>
      <w:r w:rsidR="0040555A" w:rsidRPr="00FD211F">
        <w:rPr>
          <w:sz w:val="36"/>
          <w:szCs w:val="36"/>
          <w:rtl/>
        </w:rPr>
        <w:t>ان</w:t>
      </w:r>
      <w:r w:rsidR="00E8128F">
        <w:rPr>
          <w:sz w:val="36"/>
          <w:szCs w:val="36"/>
          <w:rtl/>
        </w:rPr>
        <w:t xml:space="preserve"> </w:t>
      </w:r>
      <w:r w:rsidR="0040555A" w:rsidRPr="00FD211F">
        <w:rPr>
          <w:sz w:val="36"/>
          <w:szCs w:val="36"/>
          <w:rtl/>
        </w:rPr>
        <w:t>اختلاف</w:t>
      </w:r>
      <w:r w:rsidR="00E8128F">
        <w:rPr>
          <w:sz w:val="36"/>
          <w:szCs w:val="36"/>
          <w:rtl/>
        </w:rPr>
        <w:t xml:space="preserve"> </w:t>
      </w:r>
      <w:r w:rsidR="0040555A" w:rsidRPr="00FD211F">
        <w:rPr>
          <w:sz w:val="36"/>
          <w:szCs w:val="36"/>
          <w:rtl/>
        </w:rPr>
        <w:t>لحاظ</w:t>
      </w:r>
      <w:r w:rsidR="00E8128F">
        <w:rPr>
          <w:sz w:val="36"/>
          <w:szCs w:val="36"/>
          <w:rtl/>
        </w:rPr>
        <w:t xml:space="preserve"> </w:t>
      </w:r>
      <w:r w:rsidR="0040555A" w:rsidRPr="00FD211F">
        <w:rPr>
          <w:sz w:val="36"/>
          <w:szCs w:val="36"/>
          <w:rtl/>
        </w:rPr>
        <w:t>المفهوم</w:t>
      </w:r>
      <w:r w:rsidR="00E8128F">
        <w:rPr>
          <w:sz w:val="36"/>
          <w:szCs w:val="36"/>
          <w:rtl/>
        </w:rPr>
        <w:t xml:space="preserve"> </w:t>
      </w:r>
      <w:r w:rsidR="0040555A" w:rsidRPr="00FD211F">
        <w:rPr>
          <w:sz w:val="36"/>
          <w:szCs w:val="36"/>
          <w:rtl/>
        </w:rPr>
        <w:t>لاتأثير</w:t>
      </w:r>
      <w:r w:rsidR="00E8128F">
        <w:rPr>
          <w:sz w:val="36"/>
          <w:szCs w:val="36"/>
          <w:rtl/>
        </w:rPr>
        <w:t xml:space="preserve"> </w:t>
      </w:r>
      <w:r w:rsidR="0040555A" w:rsidRPr="00FD211F">
        <w:rPr>
          <w:sz w:val="36"/>
          <w:szCs w:val="36"/>
          <w:rtl/>
        </w:rPr>
        <w:t>له</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المنع</w:t>
      </w:r>
      <w:r w:rsidR="00E8128F">
        <w:rPr>
          <w:sz w:val="36"/>
          <w:szCs w:val="36"/>
          <w:rtl/>
        </w:rPr>
        <w:t xml:space="preserve"> </w:t>
      </w:r>
      <w:r w:rsidR="0040555A" w:rsidRPr="00FD211F">
        <w:rPr>
          <w:sz w:val="36"/>
          <w:szCs w:val="36"/>
          <w:rtl/>
        </w:rPr>
        <w:t>عن</w:t>
      </w:r>
      <w:r w:rsidR="00E8128F">
        <w:rPr>
          <w:sz w:val="36"/>
          <w:szCs w:val="36"/>
          <w:rtl/>
        </w:rPr>
        <w:t xml:space="preserve"> </w:t>
      </w:r>
      <w:r w:rsidR="0040555A" w:rsidRPr="00FD211F">
        <w:rPr>
          <w:sz w:val="36"/>
          <w:szCs w:val="36"/>
          <w:rtl/>
        </w:rPr>
        <w:t>حمل</w:t>
      </w:r>
      <w:r w:rsidR="005F5210" w:rsidRPr="00FD211F">
        <w:rPr>
          <w:sz w:val="36"/>
          <w:szCs w:val="36"/>
          <w:rtl/>
        </w:rPr>
        <w:t>ه</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مفهوم</w:t>
      </w:r>
      <w:r w:rsidR="00E8128F">
        <w:rPr>
          <w:sz w:val="36"/>
          <w:szCs w:val="36"/>
          <w:rtl/>
        </w:rPr>
        <w:t xml:space="preserve"> </w:t>
      </w:r>
      <w:r w:rsidR="0040555A" w:rsidRPr="00FD211F">
        <w:rPr>
          <w:sz w:val="36"/>
          <w:szCs w:val="36"/>
          <w:rtl/>
        </w:rPr>
        <w:t>آخر</w:t>
      </w:r>
      <w:r w:rsidR="00E8128F">
        <w:rPr>
          <w:sz w:val="36"/>
          <w:szCs w:val="36"/>
          <w:rtl/>
        </w:rPr>
        <w:t xml:space="preserve"> </w:t>
      </w:r>
      <w:r w:rsidR="0040555A" w:rsidRPr="00FD211F">
        <w:rPr>
          <w:sz w:val="36"/>
          <w:szCs w:val="36"/>
          <w:rtl/>
        </w:rPr>
        <w:t>مع</w:t>
      </w:r>
      <w:r w:rsidR="00E8128F">
        <w:rPr>
          <w:sz w:val="36"/>
          <w:szCs w:val="36"/>
          <w:rtl/>
        </w:rPr>
        <w:t xml:space="preserve"> </w:t>
      </w:r>
      <w:r w:rsidR="0040555A" w:rsidRPr="00FD211F">
        <w:rPr>
          <w:sz w:val="36"/>
          <w:szCs w:val="36"/>
          <w:rtl/>
        </w:rPr>
        <w:t>اتحادهما</w:t>
      </w:r>
      <w:r w:rsidR="00E8128F">
        <w:rPr>
          <w:sz w:val="36"/>
          <w:szCs w:val="36"/>
          <w:rtl/>
        </w:rPr>
        <w:t xml:space="preserve"> </w:t>
      </w:r>
      <w:r w:rsidR="0040555A" w:rsidRPr="00FD211F">
        <w:rPr>
          <w:sz w:val="36"/>
          <w:szCs w:val="36"/>
          <w:rtl/>
        </w:rPr>
        <w:t>وجودا</w:t>
      </w:r>
      <w:r w:rsidR="00603323" w:rsidRPr="00FD211F">
        <w:rPr>
          <w:sz w:val="36"/>
          <w:szCs w:val="36"/>
          <w:rtl/>
        </w:rPr>
        <w:t>،</w:t>
      </w:r>
      <w:r w:rsidR="00E8128F">
        <w:rPr>
          <w:sz w:val="36"/>
          <w:szCs w:val="36"/>
          <w:rtl/>
        </w:rPr>
        <w:t xml:space="preserve"> </w:t>
      </w:r>
      <w:r w:rsidR="0040555A" w:rsidRPr="00FD211F">
        <w:rPr>
          <w:sz w:val="36"/>
          <w:szCs w:val="36"/>
          <w:rtl/>
        </w:rPr>
        <w:t>ولافي</w:t>
      </w:r>
      <w:r w:rsidR="00E8128F">
        <w:rPr>
          <w:sz w:val="36"/>
          <w:szCs w:val="36"/>
          <w:rtl/>
        </w:rPr>
        <w:t xml:space="preserve"> </w:t>
      </w:r>
      <w:r w:rsidR="0040555A" w:rsidRPr="00FD211F">
        <w:rPr>
          <w:sz w:val="36"/>
          <w:szCs w:val="36"/>
          <w:rtl/>
        </w:rPr>
        <w:t>صح</w:t>
      </w:r>
      <w:r w:rsidR="00EC7EDF" w:rsidRPr="00FD211F">
        <w:rPr>
          <w:sz w:val="36"/>
          <w:szCs w:val="36"/>
          <w:rtl/>
        </w:rPr>
        <w:t>ة</w:t>
      </w:r>
      <w:r w:rsidR="00E8128F">
        <w:rPr>
          <w:sz w:val="36"/>
          <w:szCs w:val="36"/>
          <w:rtl/>
        </w:rPr>
        <w:t xml:space="preserve"> </w:t>
      </w:r>
      <w:r w:rsidR="001B7B54" w:rsidRPr="00FD211F">
        <w:rPr>
          <w:sz w:val="36"/>
          <w:szCs w:val="36"/>
          <w:rtl/>
        </w:rPr>
        <w:t>حمل</w:t>
      </w:r>
      <w:r w:rsidR="00E8128F">
        <w:rPr>
          <w:sz w:val="36"/>
          <w:szCs w:val="36"/>
          <w:rtl/>
        </w:rPr>
        <w:t xml:space="preserve"> </w:t>
      </w:r>
      <w:r w:rsidR="001B7B54" w:rsidRPr="00FD211F">
        <w:rPr>
          <w:sz w:val="36"/>
          <w:szCs w:val="36"/>
          <w:rtl/>
        </w:rPr>
        <w:t>احدهما</w:t>
      </w:r>
      <w:r w:rsidR="00E8128F">
        <w:rPr>
          <w:sz w:val="36"/>
          <w:szCs w:val="36"/>
          <w:rtl/>
        </w:rPr>
        <w:t xml:space="preserve"> </w:t>
      </w:r>
      <w:r w:rsidR="001B7B54" w:rsidRPr="00FD211F">
        <w:rPr>
          <w:sz w:val="36"/>
          <w:szCs w:val="36"/>
          <w:rtl/>
        </w:rPr>
        <w:t>على</w:t>
      </w:r>
      <w:r w:rsidR="00E8128F">
        <w:rPr>
          <w:sz w:val="36"/>
          <w:szCs w:val="36"/>
          <w:rtl/>
        </w:rPr>
        <w:t xml:space="preserve"> </w:t>
      </w:r>
      <w:r w:rsidR="001B7B54" w:rsidRPr="00FD211F">
        <w:rPr>
          <w:sz w:val="36"/>
          <w:szCs w:val="36"/>
          <w:rtl/>
        </w:rPr>
        <w:t>الآخر</w:t>
      </w:r>
      <w:r w:rsidR="00E8128F">
        <w:rPr>
          <w:sz w:val="36"/>
          <w:szCs w:val="36"/>
          <w:rtl/>
        </w:rPr>
        <w:t xml:space="preserve"> </w:t>
      </w:r>
      <w:r w:rsidR="0040555A" w:rsidRPr="00FD211F">
        <w:rPr>
          <w:sz w:val="36"/>
          <w:szCs w:val="36"/>
          <w:rtl/>
        </w:rPr>
        <w:t>مع</w:t>
      </w:r>
      <w:r w:rsidR="00E8128F">
        <w:rPr>
          <w:sz w:val="36"/>
          <w:szCs w:val="36"/>
          <w:rtl/>
        </w:rPr>
        <w:t xml:space="preserve"> </w:t>
      </w:r>
      <w:r w:rsidR="0040555A" w:rsidRPr="00FD211F">
        <w:rPr>
          <w:sz w:val="36"/>
          <w:szCs w:val="36"/>
          <w:rtl/>
        </w:rPr>
        <w:t>تغايرهما</w:t>
      </w:r>
      <w:r w:rsidR="00E8128F">
        <w:rPr>
          <w:sz w:val="36"/>
          <w:szCs w:val="36"/>
          <w:rtl/>
        </w:rPr>
        <w:t xml:space="preserve"> </w:t>
      </w:r>
      <w:r w:rsidR="0040555A" w:rsidRPr="00FD211F">
        <w:rPr>
          <w:sz w:val="36"/>
          <w:szCs w:val="36"/>
          <w:rtl/>
        </w:rPr>
        <w:t>وجودا</w:t>
      </w:r>
      <w:r w:rsidR="009C58C8" w:rsidRPr="00FD211F">
        <w:rPr>
          <w:rStyle w:val="a6"/>
          <w:sz w:val="36"/>
          <w:szCs w:val="36"/>
          <w:rtl/>
        </w:rPr>
        <w:t>(</w:t>
      </w:r>
      <w:r w:rsidR="009C58C8" w:rsidRPr="00FD211F">
        <w:rPr>
          <w:rStyle w:val="a6"/>
          <w:sz w:val="36"/>
          <w:szCs w:val="36"/>
          <w:rtl/>
        </w:rPr>
        <w:footnoteReference w:id="583"/>
      </w:r>
      <w:r w:rsidR="009C58C8" w:rsidRPr="00FD211F">
        <w:rPr>
          <w:rStyle w:val="a6"/>
          <w:sz w:val="36"/>
          <w:szCs w:val="36"/>
          <w:rtl/>
        </w:rPr>
        <w:t>)</w:t>
      </w:r>
      <w:r w:rsidR="001B7B54" w:rsidRPr="00FD211F">
        <w:rPr>
          <w:sz w:val="36"/>
          <w:szCs w:val="36"/>
          <w:rtl/>
        </w:rPr>
        <w:t>.</w:t>
      </w:r>
    </w:p>
    <w:p w14:paraId="28E59CAB" w14:textId="77777777" w:rsidR="001B7B54" w:rsidRPr="00FD211F" w:rsidRDefault="001B7B54" w:rsidP="009C58C8">
      <w:pPr>
        <w:ind w:left="0" w:firstLine="227"/>
        <w:jc w:val="both"/>
        <w:rPr>
          <w:sz w:val="36"/>
          <w:szCs w:val="36"/>
          <w:rtl/>
        </w:rPr>
      </w:pPr>
      <w:r w:rsidRPr="00FD211F">
        <w:rPr>
          <w:sz w:val="36"/>
          <w:szCs w:val="36"/>
          <w:rtl/>
        </w:rPr>
        <w:t>واجاب</w:t>
      </w:r>
      <w:r w:rsidR="00E8128F">
        <w:rPr>
          <w:sz w:val="36"/>
          <w:szCs w:val="36"/>
          <w:rtl/>
        </w:rPr>
        <w:t xml:space="preserve"> </w:t>
      </w:r>
      <w:r w:rsidRPr="00FD211F">
        <w:rPr>
          <w:sz w:val="36"/>
          <w:szCs w:val="36"/>
          <w:rtl/>
        </w:rPr>
        <w:t>عنه</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البحوث</w:t>
      </w:r>
      <w:r w:rsidR="00E8128F">
        <w:rPr>
          <w:sz w:val="36"/>
          <w:szCs w:val="36"/>
          <w:rtl/>
        </w:rPr>
        <w:t xml:space="preserve"> </w:t>
      </w:r>
      <w:r w:rsidRPr="00FD211F">
        <w:rPr>
          <w:sz w:val="36"/>
          <w:szCs w:val="36"/>
          <w:rtl/>
        </w:rPr>
        <w:t>اولا</w:t>
      </w:r>
      <w:r w:rsidR="00E8128F">
        <w:rPr>
          <w:sz w:val="36"/>
          <w:szCs w:val="36"/>
          <w:rtl/>
        </w:rPr>
        <w:t xml:space="preserve"> </w:t>
      </w:r>
      <w:r w:rsidR="0040555A" w:rsidRPr="00FD211F">
        <w:rPr>
          <w:sz w:val="36"/>
          <w:szCs w:val="36"/>
          <w:rtl/>
        </w:rPr>
        <w:t>بالنقض</w:t>
      </w:r>
      <w:r w:rsidR="00E8128F">
        <w:rPr>
          <w:sz w:val="36"/>
          <w:szCs w:val="36"/>
          <w:rtl/>
        </w:rPr>
        <w:t xml:space="preserve"> </w:t>
      </w:r>
      <w:r w:rsidR="0040555A" w:rsidRPr="00FD211F">
        <w:rPr>
          <w:sz w:val="36"/>
          <w:szCs w:val="36"/>
          <w:rtl/>
        </w:rPr>
        <w:t>بالمصادر</w:t>
      </w:r>
      <w:r w:rsidR="00E8128F">
        <w:rPr>
          <w:sz w:val="36"/>
          <w:szCs w:val="36"/>
          <w:rtl/>
        </w:rPr>
        <w:t xml:space="preserve"> </w:t>
      </w:r>
      <w:r w:rsidR="0040555A" w:rsidRPr="00FD211F">
        <w:rPr>
          <w:sz w:val="36"/>
          <w:szCs w:val="36"/>
          <w:rtl/>
        </w:rPr>
        <w:t>الجعلي</w:t>
      </w:r>
      <w:r w:rsidR="00EC7EDF" w:rsidRPr="00FD211F">
        <w:rPr>
          <w:sz w:val="36"/>
          <w:szCs w:val="36"/>
          <w:rtl/>
        </w:rPr>
        <w:t>ة</w:t>
      </w:r>
      <w:r w:rsidR="00E8128F">
        <w:rPr>
          <w:sz w:val="36"/>
          <w:szCs w:val="36"/>
          <w:rtl/>
        </w:rPr>
        <w:t xml:space="preserve"> </w:t>
      </w:r>
      <w:r w:rsidR="0040555A" w:rsidRPr="00FD211F">
        <w:rPr>
          <w:sz w:val="36"/>
          <w:szCs w:val="36"/>
          <w:rtl/>
        </w:rPr>
        <w:t>مثل</w:t>
      </w:r>
      <w:r w:rsidR="00E8128F">
        <w:rPr>
          <w:sz w:val="36"/>
          <w:szCs w:val="36"/>
          <w:rtl/>
        </w:rPr>
        <w:t xml:space="preserve"> </w:t>
      </w:r>
      <w:r w:rsidR="0040555A" w:rsidRPr="00FD211F">
        <w:rPr>
          <w:sz w:val="36"/>
          <w:szCs w:val="36"/>
          <w:rtl/>
        </w:rPr>
        <w:t>الانساني</w:t>
      </w:r>
      <w:r w:rsidR="00EC7EDF" w:rsidRPr="00FD211F">
        <w:rPr>
          <w:sz w:val="36"/>
          <w:szCs w:val="36"/>
          <w:rtl/>
        </w:rPr>
        <w:t>ة</w:t>
      </w:r>
      <w:r w:rsidR="00E8128F">
        <w:rPr>
          <w:sz w:val="36"/>
          <w:szCs w:val="36"/>
          <w:rtl/>
        </w:rPr>
        <w:t xml:space="preserve"> </w:t>
      </w:r>
      <w:r w:rsidR="0040555A" w:rsidRPr="00FD211F">
        <w:rPr>
          <w:sz w:val="36"/>
          <w:szCs w:val="36"/>
          <w:rtl/>
        </w:rPr>
        <w:t>والشيئي</w:t>
      </w:r>
      <w:r w:rsidR="00EC7EDF" w:rsidRPr="00FD211F">
        <w:rPr>
          <w:sz w:val="36"/>
          <w:szCs w:val="36"/>
          <w:rtl/>
        </w:rPr>
        <w:t>ة</w:t>
      </w:r>
      <w:r w:rsidR="00E8128F">
        <w:rPr>
          <w:sz w:val="36"/>
          <w:szCs w:val="36"/>
          <w:rtl/>
        </w:rPr>
        <w:t xml:space="preserve"> </w:t>
      </w:r>
      <w:r w:rsidR="0040555A" w:rsidRPr="00FD211F">
        <w:rPr>
          <w:sz w:val="36"/>
          <w:szCs w:val="36"/>
          <w:rtl/>
        </w:rPr>
        <w:t>فانها</w:t>
      </w:r>
      <w:r w:rsidR="00E8128F">
        <w:rPr>
          <w:sz w:val="36"/>
          <w:szCs w:val="36"/>
          <w:rtl/>
        </w:rPr>
        <w:t xml:space="preserve"> </w:t>
      </w:r>
      <w:r w:rsidR="0040555A" w:rsidRPr="00FD211F">
        <w:rPr>
          <w:sz w:val="36"/>
          <w:szCs w:val="36"/>
          <w:rtl/>
        </w:rPr>
        <w:t>وان</w:t>
      </w:r>
      <w:r w:rsidR="00E8128F">
        <w:rPr>
          <w:sz w:val="36"/>
          <w:szCs w:val="36"/>
          <w:rtl/>
        </w:rPr>
        <w:t xml:space="preserve"> </w:t>
      </w:r>
      <w:r w:rsidR="008D7B3D" w:rsidRPr="00FD211F">
        <w:rPr>
          <w:sz w:val="36"/>
          <w:szCs w:val="36"/>
          <w:rtl/>
        </w:rPr>
        <w:t>لم‌</w:t>
      </w:r>
      <w:r w:rsidR="0040555A" w:rsidRPr="00FD211F">
        <w:rPr>
          <w:sz w:val="36"/>
          <w:szCs w:val="36"/>
          <w:rtl/>
        </w:rPr>
        <w:t>يصح</w:t>
      </w:r>
      <w:r w:rsidR="00E8128F">
        <w:rPr>
          <w:sz w:val="36"/>
          <w:szCs w:val="36"/>
          <w:rtl/>
        </w:rPr>
        <w:t xml:space="preserve"> </w:t>
      </w:r>
      <w:r w:rsidR="0040555A" w:rsidRPr="00FD211F">
        <w:rPr>
          <w:sz w:val="36"/>
          <w:szCs w:val="36"/>
          <w:rtl/>
        </w:rPr>
        <w:t>حملها</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الذات</w:t>
      </w:r>
      <w:r w:rsidR="00603323" w:rsidRPr="00FD211F">
        <w:rPr>
          <w:sz w:val="36"/>
          <w:szCs w:val="36"/>
          <w:rtl/>
        </w:rPr>
        <w:t>،</w:t>
      </w:r>
      <w:r w:rsidR="00E8128F">
        <w:rPr>
          <w:sz w:val="36"/>
          <w:szCs w:val="36"/>
          <w:rtl/>
        </w:rPr>
        <w:t xml:space="preserve"> </w:t>
      </w:r>
      <w:r w:rsidRPr="00FD211F">
        <w:rPr>
          <w:sz w:val="36"/>
          <w:szCs w:val="36"/>
          <w:rtl/>
        </w:rPr>
        <w:t>بخلاف</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وال</w:t>
      </w:r>
      <w:r w:rsidR="008D7B3D" w:rsidRPr="00FD211F">
        <w:rPr>
          <w:sz w:val="36"/>
          <w:szCs w:val="36"/>
          <w:rtl/>
        </w:rPr>
        <w:t>شيء</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واقع</w:t>
      </w:r>
      <w:r w:rsidR="00E8128F">
        <w:rPr>
          <w:sz w:val="36"/>
          <w:szCs w:val="36"/>
          <w:rtl/>
        </w:rPr>
        <w:t xml:space="preserve"> </w:t>
      </w:r>
      <w:r w:rsidRPr="00FD211F">
        <w:rPr>
          <w:sz w:val="36"/>
          <w:szCs w:val="36"/>
          <w:rtl/>
        </w:rPr>
        <w:t>المصادر</w:t>
      </w:r>
      <w:r w:rsidR="00E8128F">
        <w:rPr>
          <w:sz w:val="36"/>
          <w:szCs w:val="36"/>
          <w:rtl/>
        </w:rPr>
        <w:t xml:space="preserve"> </w:t>
      </w:r>
      <w:r w:rsidRPr="00FD211F">
        <w:rPr>
          <w:sz w:val="36"/>
          <w:szCs w:val="36"/>
          <w:rtl/>
        </w:rPr>
        <w:t>الجعلي</w:t>
      </w:r>
      <w:r w:rsidR="00EC7EDF" w:rsidRPr="00FD211F">
        <w:rPr>
          <w:sz w:val="36"/>
          <w:szCs w:val="36"/>
          <w:rtl/>
        </w:rPr>
        <w:t>ة</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متحد</w:t>
      </w:r>
      <w:r w:rsidR="005F5210" w:rsidRPr="00FD211F">
        <w:rPr>
          <w:sz w:val="36"/>
          <w:szCs w:val="36"/>
          <w:rtl/>
        </w:rPr>
        <w:t>ا</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الذات</w:t>
      </w:r>
      <w:r w:rsidR="00603323" w:rsidRPr="00FD211F">
        <w:rPr>
          <w:sz w:val="36"/>
          <w:szCs w:val="36"/>
          <w:rtl/>
        </w:rPr>
        <w:t>،</w:t>
      </w:r>
      <w:r w:rsidR="00E8128F">
        <w:rPr>
          <w:sz w:val="36"/>
          <w:szCs w:val="36"/>
          <w:rtl/>
        </w:rPr>
        <w:t xml:space="preserve"> </w:t>
      </w:r>
      <w:r w:rsidRPr="00FD211F">
        <w:rPr>
          <w:sz w:val="36"/>
          <w:szCs w:val="36"/>
          <w:rtl/>
        </w:rPr>
        <w:t>فانها</w:t>
      </w:r>
      <w:r w:rsidR="00E8128F">
        <w:rPr>
          <w:sz w:val="36"/>
          <w:szCs w:val="36"/>
          <w:rtl/>
        </w:rPr>
        <w:t xml:space="preserve"> </w:t>
      </w:r>
      <w:r w:rsidR="0040555A" w:rsidRPr="00FD211F">
        <w:rPr>
          <w:sz w:val="36"/>
          <w:szCs w:val="36"/>
          <w:rtl/>
        </w:rPr>
        <w:t>ليست</w:t>
      </w:r>
      <w:r w:rsidR="00E8128F">
        <w:rPr>
          <w:sz w:val="36"/>
          <w:szCs w:val="36"/>
          <w:rtl/>
        </w:rPr>
        <w:t xml:space="preserve"> </w:t>
      </w:r>
      <w:r w:rsidR="0040555A" w:rsidRPr="00FD211F">
        <w:rPr>
          <w:sz w:val="36"/>
          <w:szCs w:val="36"/>
          <w:rtl/>
        </w:rPr>
        <w:t>اعراضا</w:t>
      </w:r>
      <w:r w:rsidR="00E8128F">
        <w:rPr>
          <w:sz w:val="36"/>
          <w:szCs w:val="36"/>
          <w:rtl/>
        </w:rPr>
        <w:t xml:space="preserve"> </w:t>
      </w:r>
      <w:r w:rsidR="0040555A" w:rsidRPr="00FD211F">
        <w:rPr>
          <w:sz w:val="36"/>
          <w:szCs w:val="36"/>
          <w:rtl/>
        </w:rPr>
        <w:t>لها</w:t>
      </w:r>
      <w:r w:rsidR="00E8128F">
        <w:rPr>
          <w:sz w:val="36"/>
          <w:szCs w:val="36"/>
          <w:rtl/>
        </w:rPr>
        <w:t xml:space="preserve"> </w:t>
      </w:r>
      <w:r w:rsidR="0040555A" w:rsidRPr="00FD211F">
        <w:rPr>
          <w:sz w:val="36"/>
          <w:szCs w:val="36"/>
          <w:rtl/>
        </w:rPr>
        <w:t>وجود</w:t>
      </w:r>
      <w:r w:rsidR="00E8128F">
        <w:rPr>
          <w:sz w:val="36"/>
          <w:szCs w:val="36"/>
          <w:rtl/>
        </w:rPr>
        <w:t xml:space="preserve"> </w:t>
      </w:r>
      <w:r w:rsidR="0040555A" w:rsidRPr="00FD211F">
        <w:rPr>
          <w:sz w:val="36"/>
          <w:szCs w:val="36"/>
          <w:rtl/>
        </w:rPr>
        <w:t>مستقل</w:t>
      </w:r>
      <w:r w:rsidR="00E8128F">
        <w:rPr>
          <w:sz w:val="36"/>
          <w:szCs w:val="36"/>
          <w:rtl/>
        </w:rPr>
        <w:t xml:space="preserve"> </w:t>
      </w:r>
      <w:r w:rsidR="0040555A" w:rsidRPr="00FD211F">
        <w:rPr>
          <w:sz w:val="36"/>
          <w:szCs w:val="36"/>
          <w:rtl/>
        </w:rPr>
        <w:t>وراء</w:t>
      </w:r>
      <w:r w:rsidR="00E8128F">
        <w:rPr>
          <w:sz w:val="36"/>
          <w:szCs w:val="36"/>
          <w:rtl/>
        </w:rPr>
        <w:t xml:space="preserve"> </w:t>
      </w:r>
      <w:r w:rsidR="0040555A" w:rsidRPr="00FD211F">
        <w:rPr>
          <w:sz w:val="36"/>
          <w:szCs w:val="36"/>
          <w:rtl/>
        </w:rPr>
        <w:t>وجود</w:t>
      </w:r>
      <w:r w:rsidR="00E8128F">
        <w:rPr>
          <w:sz w:val="36"/>
          <w:szCs w:val="36"/>
          <w:rtl/>
        </w:rPr>
        <w:t xml:space="preserve"> </w:t>
      </w:r>
      <w:r w:rsidR="0040555A" w:rsidRPr="00FD211F">
        <w:rPr>
          <w:sz w:val="36"/>
          <w:szCs w:val="36"/>
          <w:rtl/>
        </w:rPr>
        <w:t>الذات</w:t>
      </w:r>
      <w:r w:rsidR="00603323" w:rsidRPr="00FD211F">
        <w:rPr>
          <w:sz w:val="36"/>
          <w:szCs w:val="36"/>
          <w:rtl/>
        </w:rPr>
        <w:t>،</w:t>
      </w:r>
      <w:r w:rsidR="00E8128F">
        <w:rPr>
          <w:sz w:val="36"/>
          <w:szCs w:val="36"/>
          <w:rtl/>
        </w:rPr>
        <w:t xml:space="preserve"> </w:t>
      </w:r>
      <w:r w:rsidR="0040555A" w:rsidRPr="00FD211F">
        <w:rPr>
          <w:sz w:val="36"/>
          <w:szCs w:val="36"/>
          <w:rtl/>
        </w:rPr>
        <w:t>ثم</w:t>
      </w:r>
      <w:r w:rsidR="00E8128F">
        <w:rPr>
          <w:sz w:val="36"/>
          <w:szCs w:val="36"/>
          <w:rtl/>
        </w:rPr>
        <w:t xml:space="preserve"> </w:t>
      </w:r>
      <w:r w:rsidR="0040555A" w:rsidRPr="00FD211F">
        <w:rPr>
          <w:sz w:val="36"/>
          <w:szCs w:val="36"/>
          <w:rtl/>
        </w:rPr>
        <w:t>اضاف</w:t>
      </w:r>
      <w:r w:rsidR="00E8128F">
        <w:rPr>
          <w:sz w:val="36"/>
          <w:szCs w:val="36"/>
          <w:rtl/>
        </w:rPr>
        <w:t xml:space="preserve"> </w:t>
      </w:r>
      <w:r w:rsidR="0040555A" w:rsidRPr="00FD211F">
        <w:rPr>
          <w:sz w:val="36"/>
          <w:szCs w:val="36"/>
          <w:rtl/>
        </w:rPr>
        <w:t>انه</w:t>
      </w:r>
      <w:r w:rsidR="00E8128F">
        <w:rPr>
          <w:sz w:val="36"/>
          <w:szCs w:val="36"/>
          <w:rtl/>
        </w:rPr>
        <w:t xml:space="preserve"> </w:t>
      </w:r>
      <w:r w:rsidR="0040555A" w:rsidRPr="00FD211F">
        <w:rPr>
          <w:sz w:val="36"/>
          <w:szCs w:val="36"/>
          <w:rtl/>
        </w:rPr>
        <w:t>ليس</w:t>
      </w:r>
      <w:r w:rsidR="00E8128F">
        <w:rPr>
          <w:sz w:val="36"/>
          <w:szCs w:val="36"/>
          <w:rtl/>
        </w:rPr>
        <w:t xml:space="preserve"> </w:t>
      </w:r>
      <w:r w:rsidR="0040555A" w:rsidRPr="00FD211F">
        <w:rPr>
          <w:sz w:val="36"/>
          <w:szCs w:val="36"/>
          <w:rtl/>
        </w:rPr>
        <w:t>الاختلاف</w:t>
      </w:r>
      <w:r w:rsidR="00E8128F">
        <w:rPr>
          <w:sz w:val="36"/>
          <w:szCs w:val="36"/>
          <w:rtl/>
        </w:rPr>
        <w:t xml:space="preserve"> </w:t>
      </w:r>
      <w:r w:rsidR="0040555A" w:rsidRPr="00FD211F">
        <w:rPr>
          <w:sz w:val="36"/>
          <w:szCs w:val="36"/>
          <w:rtl/>
        </w:rPr>
        <w:t>بين</w:t>
      </w:r>
      <w:r w:rsidR="00E8128F">
        <w:rPr>
          <w:sz w:val="36"/>
          <w:szCs w:val="36"/>
          <w:rtl/>
        </w:rPr>
        <w:t xml:space="preserve"> </w:t>
      </w:r>
      <w:r w:rsidR="0040555A" w:rsidRPr="00FD211F">
        <w:rPr>
          <w:sz w:val="36"/>
          <w:szCs w:val="36"/>
          <w:rtl/>
        </w:rPr>
        <w:t>الانسان</w:t>
      </w:r>
      <w:r w:rsidR="00E8128F">
        <w:rPr>
          <w:sz w:val="36"/>
          <w:szCs w:val="36"/>
          <w:rtl/>
        </w:rPr>
        <w:t xml:space="preserve"> </w:t>
      </w:r>
      <w:r w:rsidR="0040555A" w:rsidRPr="00FD211F">
        <w:rPr>
          <w:sz w:val="36"/>
          <w:szCs w:val="36"/>
          <w:rtl/>
        </w:rPr>
        <w:t>والانساني</w:t>
      </w:r>
      <w:r w:rsidR="00EC7EDF" w:rsidRPr="00FD211F">
        <w:rPr>
          <w:sz w:val="36"/>
          <w:szCs w:val="36"/>
          <w:rtl/>
        </w:rPr>
        <w:t>ة</w:t>
      </w:r>
      <w:r w:rsidR="00E8128F">
        <w:rPr>
          <w:sz w:val="36"/>
          <w:szCs w:val="36"/>
          <w:rtl/>
        </w:rPr>
        <w:t xml:space="preserve"> </w:t>
      </w:r>
      <w:r w:rsidR="0040555A" w:rsidRPr="00FD211F">
        <w:rPr>
          <w:sz w:val="36"/>
          <w:szCs w:val="36"/>
          <w:rtl/>
        </w:rPr>
        <w:t>او</w:t>
      </w:r>
      <w:r w:rsidR="00E8128F">
        <w:rPr>
          <w:sz w:val="36"/>
          <w:szCs w:val="36"/>
          <w:rtl/>
        </w:rPr>
        <w:t xml:space="preserve"> </w:t>
      </w:r>
      <w:r w:rsidR="0040555A" w:rsidRPr="00FD211F">
        <w:rPr>
          <w:sz w:val="36"/>
          <w:szCs w:val="36"/>
          <w:rtl/>
        </w:rPr>
        <w:t>ال</w:t>
      </w:r>
      <w:r w:rsidR="008D7B3D" w:rsidRPr="00FD211F">
        <w:rPr>
          <w:sz w:val="36"/>
          <w:szCs w:val="36"/>
          <w:rtl/>
        </w:rPr>
        <w:t>شيء</w:t>
      </w:r>
      <w:r w:rsidR="00E8128F">
        <w:rPr>
          <w:sz w:val="36"/>
          <w:szCs w:val="36"/>
          <w:rtl/>
        </w:rPr>
        <w:t xml:space="preserve"> </w:t>
      </w:r>
      <w:r w:rsidR="0040555A" w:rsidRPr="00FD211F">
        <w:rPr>
          <w:sz w:val="36"/>
          <w:szCs w:val="36"/>
          <w:rtl/>
        </w:rPr>
        <w:t>والشيئي</w:t>
      </w:r>
      <w:r w:rsidR="00EC7EDF" w:rsidRPr="00FD211F">
        <w:rPr>
          <w:sz w:val="36"/>
          <w:szCs w:val="36"/>
          <w:rtl/>
        </w:rPr>
        <w:t>ة</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اساس</w:t>
      </w:r>
      <w:r w:rsidR="00E8128F">
        <w:rPr>
          <w:sz w:val="36"/>
          <w:szCs w:val="36"/>
          <w:rtl/>
        </w:rPr>
        <w:t xml:space="preserve"> </w:t>
      </w:r>
      <w:r w:rsidR="0040555A" w:rsidRPr="00FD211F">
        <w:rPr>
          <w:sz w:val="36"/>
          <w:szCs w:val="36"/>
          <w:rtl/>
        </w:rPr>
        <w:t>اختلاف</w:t>
      </w:r>
      <w:r w:rsidR="00E8128F">
        <w:rPr>
          <w:sz w:val="36"/>
          <w:szCs w:val="36"/>
          <w:rtl/>
        </w:rPr>
        <w:t xml:space="preserve"> </w:t>
      </w:r>
      <w:r w:rsidR="0040555A" w:rsidRPr="00FD211F">
        <w:rPr>
          <w:sz w:val="36"/>
          <w:szCs w:val="36"/>
          <w:rtl/>
        </w:rPr>
        <w:t>مفهومي</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ذات</w:t>
      </w:r>
      <w:r w:rsidR="00E8128F">
        <w:rPr>
          <w:sz w:val="36"/>
          <w:szCs w:val="36"/>
          <w:rtl/>
        </w:rPr>
        <w:t xml:space="preserve"> </w:t>
      </w:r>
      <w:r w:rsidRPr="00FD211F">
        <w:rPr>
          <w:sz w:val="36"/>
          <w:szCs w:val="36"/>
          <w:rtl/>
        </w:rPr>
        <w:t>ثبت</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الانساني</w:t>
      </w:r>
      <w:r w:rsidR="00EC7EDF" w:rsidRPr="00FD211F">
        <w:rPr>
          <w:sz w:val="36"/>
          <w:szCs w:val="36"/>
          <w:rtl/>
        </w:rPr>
        <w:t>ة</w:t>
      </w:r>
      <w:r w:rsidR="00E8128F">
        <w:rPr>
          <w:sz w:val="36"/>
          <w:szCs w:val="36"/>
          <w:rtl/>
        </w:rPr>
        <w:t xml:space="preserve"> </w:t>
      </w:r>
      <w:r w:rsidRPr="00FD211F">
        <w:rPr>
          <w:sz w:val="36"/>
          <w:szCs w:val="36"/>
          <w:rtl/>
        </w:rPr>
        <w:t>ومفهوم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ذات</w:t>
      </w:r>
      <w:r w:rsidR="00E8128F">
        <w:rPr>
          <w:sz w:val="36"/>
          <w:szCs w:val="36"/>
          <w:rtl/>
        </w:rPr>
        <w:t xml:space="preserve"> </w:t>
      </w:r>
      <w:r w:rsidRPr="00FD211F">
        <w:rPr>
          <w:sz w:val="36"/>
          <w:szCs w:val="36"/>
          <w:rtl/>
        </w:rPr>
        <w:t>ثبت</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الشيئي</w:t>
      </w:r>
      <w:r w:rsidR="00EC7EDF" w:rsidRPr="00FD211F">
        <w:rPr>
          <w:sz w:val="36"/>
          <w:szCs w:val="36"/>
          <w:rtl/>
        </w:rPr>
        <w:t>ة</w:t>
      </w:r>
      <w:r w:rsidR="00603323" w:rsidRPr="00FD211F">
        <w:rPr>
          <w:sz w:val="36"/>
          <w:szCs w:val="36"/>
          <w:rtl/>
        </w:rPr>
        <w:t>،</w:t>
      </w:r>
      <w:r w:rsidR="00E8128F">
        <w:rPr>
          <w:sz w:val="36"/>
          <w:szCs w:val="36"/>
          <w:rtl/>
        </w:rPr>
        <w:t xml:space="preserve"> </w:t>
      </w:r>
      <w:r w:rsidR="0040555A" w:rsidRPr="00FD211F">
        <w:rPr>
          <w:sz w:val="36"/>
          <w:szCs w:val="36"/>
          <w:rtl/>
        </w:rPr>
        <w:t>وهذا</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مفهوم</w:t>
      </w:r>
      <w:r w:rsidR="00E8128F">
        <w:rPr>
          <w:sz w:val="36"/>
          <w:szCs w:val="36"/>
          <w:rtl/>
        </w:rPr>
        <w:t xml:space="preserve"> </w:t>
      </w:r>
      <w:r w:rsidR="0040555A" w:rsidRPr="00FD211F">
        <w:rPr>
          <w:sz w:val="36"/>
          <w:szCs w:val="36"/>
          <w:rtl/>
        </w:rPr>
        <w:t>ال</w:t>
      </w:r>
      <w:r w:rsidR="00251CB6" w:rsidRPr="00FD211F">
        <w:rPr>
          <w:sz w:val="36"/>
          <w:szCs w:val="36"/>
          <w:rtl/>
        </w:rPr>
        <w:t>شيء</w:t>
      </w:r>
      <w:r w:rsidR="00E8128F">
        <w:rPr>
          <w:sz w:val="36"/>
          <w:szCs w:val="36"/>
          <w:rtl/>
        </w:rPr>
        <w:t xml:space="preserve"> </w:t>
      </w:r>
      <w:r w:rsidR="0040555A" w:rsidRPr="00FD211F">
        <w:rPr>
          <w:sz w:val="36"/>
          <w:szCs w:val="36"/>
          <w:rtl/>
        </w:rPr>
        <w:t>اوضح</w:t>
      </w:r>
      <w:r w:rsidR="00E8128F">
        <w:rPr>
          <w:sz w:val="36"/>
          <w:szCs w:val="36"/>
          <w:rtl/>
        </w:rPr>
        <w:t xml:space="preserve"> </w:t>
      </w:r>
      <w:r w:rsidR="0040555A" w:rsidRPr="00FD211F">
        <w:rPr>
          <w:sz w:val="36"/>
          <w:szCs w:val="36"/>
          <w:rtl/>
        </w:rPr>
        <w:t>لانه</w:t>
      </w:r>
      <w:r w:rsidR="00E8128F">
        <w:rPr>
          <w:sz w:val="36"/>
          <w:szCs w:val="36"/>
          <w:rtl/>
        </w:rPr>
        <w:t xml:space="preserve"> </w:t>
      </w:r>
      <w:r w:rsidRPr="00FD211F">
        <w:rPr>
          <w:sz w:val="36"/>
          <w:szCs w:val="36"/>
          <w:rtl/>
        </w:rPr>
        <w:t>لايوجد</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اوضح</w:t>
      </w:r>
      <w:r w:rsidR="00E8128F">
        <w:rPr>
          <w:sz w:val="36"/>
          <w:szCs w:val="36"/>
          <w:rtl/>
        </w:rPr>
        <w:t xml:space="preserve"> </w:t>
      </w:r>
      <w:r w:rsidR="0040555A" w:rsidRPr="00FD211F">
        <w:rPr>
          <w:sz w:val="36"/>
          <w:szCs w:val="36"/>
          <w:rtl/>
        </w:rPr>
        <w:t>منه</w:t>
      </w:r>
      <w:r w:rsidR="00E8128F">
        <w:rPr>
          <w:sz w:val="36"/>
          <w:szCs w:val="36"/>
          <w:rtl/>
        </w:rPr>
        <w:t xml:space="preserve"> </w:t>
      </w:r>
      <w:r w:rsidR="0040555A" w:rsidRPr="00FD211F">
        <w:rPr>
          <w:sz w:val="36"/>
          <w:szCs w:val="36"/>
          <w:rtl/>
        </w:rPr>
        <w:t>حتى</w:t>
      </w:r>
      <w:r w:rsidR="00E8128F">
        <w:rPr>
          <w:sz w:val="36"/>
          <w:szCs w:val="36"/>
          <w:rtl/>
        </w:rPr>
        <w:t xml:space="preserve"> </w:t>
      </w:r>
      <w:r w:rsidR="0040555A" w:rsidRPr="00FD211F">
        <w:rPr>
          <w:sz w:val="36"/>
          <w:szCs w:val="36"/>
          <w:rtl/>
        </w:rPr>
        <w:t>يؤخذ</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مفهومه</w:t>
      </w:r>
      <w:r w:rsidR="00E8128F">
        <w:rPr>
          <w:sz w:val="36"/>
          <w:szCs w:val="36"/>
          <w:rtl/>
        </w:rPr>
        <w:t xml:space="preserve"> </w:t>
      </w:r>
      <w:r w:rsidR="0040555A" w:rsidRPr="00FD211F">
        <w:rPr>
          <w:sz w:val="36"/>
          <w:szCs w:val="36"/>
          <w:rtl/>
        </w:rPr>
        <w:t>ويكون</w:t>
      </w:r>
      <w:r w:rsidR="00E8128F">
        <w:rPr>
          <w:sz w:val="36"/>
          <w:szCs w:val="36"/>
          <w:rtl/>
        </w:rPr>
        <w:t xml:space="preserve"> </w:t>
      </w:r>
      <w:r w:rsidR="0040555A" w:rsidRPr="00FD211F">
        <w:rPr>
          <w:sz w:val="36"/>
          <w:szCs w:val="36"/>
          <w:rtl/>
        </w:rPr>
        <w:t>مركبا</w:t>
      </w:r>
      <w:r w:rsidR="00E8128F">
        <w:rPr>
          <w:sz w:val="36"/>
          <w:szCs w:val="36"/>
          <w:rtl/>
        </w:rPr>
        <w:t xml:space="preserve"> </w:t>
      </w:r>
      <w:r w:rsidR="0040555A" w:rsidRPr="00FD211F">
        <w:rPr>
          <w:sz w:val="36"/>
          <w:szCs w:val="36"/>
          <w:rtl/>
        </w:rPr>
        <w:t>منه</w:t>
      </w:r>
      <w:r w:rsidRPr="00FD211F">
        <w:rPr>
          <w:sz w:val="36"/>
          <w:szCs w:val="36"/>
          <w:rtl/>
        </w:rPr>
        <w:t>.</w:t>
      </w:r>
    </w:p>
    <w:p w14:paraId="0BB8116F" w14:textId="77777777" w:rsidR="0040555A" w:rsidRPr="00FD211F" w:rsidRDefault="001B7B54" w:rsidP="009C58C8">
      <w:pPr>
        <w:ind w:left="0" w:firstLine="227"/>
        <w:jc w:val="both"/>
        <w:rPr>
          <w:sz w:val="36"/>
          <w:szCs w:val="36"/>
          <w:rtl/>
        </w:rPr>
      </w:pPr>
      <w:r w:rsidRPr="00FD211F">
        <w:rPr>
          <w:sz w:val="36"/>
          <w:szCs w:val="36"/>
          <w:rtl/>
        </w:rPr>
        <w:t>وثانيا</w:t>
      </w:r>
      <w:r w:rsidR="00E8128F">
        <w:rPr>
          <w:sz w:val="36"/>
          <w:szCs w:val="36"/>
          <w:rtl/>
        </w:rPr>
        <w:t xml:space="preserve"> </w:t>
      </w:r>
      <w:r w:rsidRPr="00FD211F">
        <w:rPr>
          <w:sz w:val="36"/>
          <w:szCs w:val="36"/>
          <w:rtl/>
        </w:rPr>
        <w:t>بالحل</w:t>
      </w:r>
      <w:r w:rsidR="00E8128F">
        <w:rPr>
          <w:sz w:val="36"/>
          <w:szCs w:val="36"/>
          <w:rtl/>
        </w:rPr>
        <w:t xml:space="preserve"> </w:t>
      </w:r>
      <w:r w:rsidRPr="00FD211F">
        <w:rPr>
          <w:sz w:val="36"/>
          <w:szCs w:val="36"/>
          <w:rtl/>
        </w:rPr>
        <w:t>بان</w:t>
      </w:r>
      <w:r w:rsidR="00E8128F">
        <w:rPr>
          <w:sz w:val="36"/>
          <w:szCs w:val="36"/>
          <w:rtl/>
        </w:rPr>
        <w:t xml:space="preserve"> </w:t>
      </w:r>
      <w:r w:rsidR="0040555A" w:rsidRPr="00FD211F">
        <w:rPr>
          <w:sz w:val="36"/>
          <w:szCs w:val="36"/>
          <w:rtl/>
        </w:rPr>
        <w:t>المصحح</w:t>
      </w:r>
      <w:r w:rsidR="00E8128F">
        <w:rPr>
          <w:sz w:val="36"/>
          <w:szCs w:val="36"/>
          <w:rtl/>
        </w:rPr>
        <w:t xml:space="preserve"> </w:t>
      </w:r>
      <w:r w:rsidR="0040555A" w:rsidRPr="00FD211F">
        <w:rPr>
          <w:sz w:val="36"/>
          <w:szCs w:val="36"/>
          <w:rtl/>
        </w:rPr>
        <w:t>للحمل</w:t>
      </w:r>
      <w:r w:rsidR="00E8128F">
        <w:rPr>
          <w:sz w:val="36"/>
          <w:szCs w:val="36"/>
          <w:rtl/>
        </w:rPr>
        <w:t xml:space="preserve"> </w:t>
      </w:r>
      <w:r w:rsidR="0040555A" w:rsidRPr="00FD211F">
        <w:rPr>
          <w:sz w:val="36"/>
          <w:szCs w:val="36"/>
          <w:rtl/>
        </w:rPr>
        <w:t>ليس</w:t>
      </w:r>
      <w:r w:rsidR="00E8128F">
        <w:rPr>
          <w:sz w:val="36"/>
          <w:szCs w:val="36"/>
          <w:rtl/>
        </w:rPr>
        <w:t xml:space="preserve"> </w:t>
      </w:r>
      <w:r w:rsidR="0040555A" w:rsidRPr="00FD211F">
        <w:rPr>
          <w:sz w:val="36"/>
          <w:szCs w:val="36"/>
          <w:rtl/>
        </w:rPr>
        <w:t>مجرد</w:t>
      </w:r>
      <w:r w:rsidR="00E8128F">
        <w:rPr>
          <w:sz w:val="36"/>
          <w:szCs w:val="36"/>
          <w:rtl/>
        </w:rPr>
        <w:t xml:space="preserve"> </w:t>
      </w:r>
      <w:r w:rsidR="0040555A" w:rsidRPr="00FD211F">
        <w:rPr>
          <w:sz w:val="36"/>
          <w:szCs w:val="36"/>
          <w:rtl/>
        </w:rPr>
        <w:t>اتحاد</w:t>
      </w:r>
      <w:r w:rsidR="00E8128F">
        <w:rPr>
          <w:sz w:val="36"/>
          <w:szCs w:val="36"/>
          <w:rtl/>
        </w:rPr>
        <w:t xml:space="preserve"> </w:t>
      </w:r>
      <w:r w:rsidR="0040555A" w:rsidRPr="00FD211F">
        <w:rPr>
          <w:sz w:val="36"/>
          <w:szCs w:val="36"/>
          <w:rtl/>
        </w:rPr>
        <w:t>مفهومين</w:t>
      </w:r>
      <w:r w:rsidR="00E8128F">
        <w:rPr>
          <w:sz w:val="36"/>
          <w:szCs w:val="36"/>
          <w:rtl/>
        </w:rPr>
        <w:t xml:space="preserve"> </w:t>
      </w:r>
      <w:r w:rsidR="0040555A" w:rsidRPr="00FD211F">
        <w:rPr>
          <w:sz w:val="36"/>
          <w:szCs w:val="36"/>
          <w:rtl/>
        </w:rPr>
        <w:t>خارجا</w:t>
      </w:r>
      <w:r w:rsidR="00603323" w:rsidRPr="00FD211F">
        <w:rPr>
          <w:sz w:val="36"/>
          <w:szCs w:val="36"/>
          <w:rtl/>
        </w:rPr>
        <w:t>،</w:t>
      </w:r>
      <w:r w:rsidR="00E8128F">
        <w:rPr>
          <w:sz w:val="36"/>
          <w:szCs w:val="36"/>
          <w:rtl/>
        </w:rPr>
        <w:t xml:space="preserve"> </w:t>
      </w:r>
      <w:r w:rsidR="0040555A" w:rsidRPr="00FD211F">
        <w:rPr>
          <w:sz w:val="36"/>
          <w:szCs w:val="36"/>
          <w:rtl/>
        </w:rPr>
        <w:t>بل</w:t>
      </w:r>
      <w:r w:rsidR="00E8128F">
        <w:rPr>
          <w:sz w:val="36"/>
          <w:szCs w:val="36"/>
          <w:rtl/>
        </w:rPr>
        <w:t xml:space="preserve"> </w:t>
      </w:r>
      <w:r w:rsidR="00DC2788" w:rsidRPr="00FD211F">
        <w:rPr>
          <w:sz w:val="36"/>
          <w:szCs w:val="36"/>
          <w:rtl/>
        </w:rPr>
        <w:t>يلزم</w:t>
      </w:r>
      <w:r w:rsidR="00E8128F">
        <w:rPr>
          <w:sz w:val="36"/>
          <w:szCs w:val="36"/>
          <w:rtl/>
        </w:rPr>
        <w:t xml:space="preserve"> </w:t>
      </w:r>
      <w:r w:rsidR="0040555A" w:rsidRPr="00FD211F">
        <w:rPr>
          <w:sz w:val="36"/>
          <w:szCs w:val="36"/>
          <w:rtl/>
        </w:rPr>
        <w:t>لحاظهما</w:t>
      </w:r>
      <w:r w:rsidR="00E8128F">
        <w:rPr>
          <w:sz w:val="36"/>
          <w:szCs w:val="36"/>
          <w:rtl/>
        </w:rPr>
        <w:t xml:space="preserve"> </w:t>
      </w:r>
      <w:r w:rsidR="0040555A" w:rsidRPr="00FD211F">
        <w:rPr>
          <w:sz w:val="36"/>
          <w:szCs w:val="36"/>
          <w:rtl/>
        </w:rPr>
        <w:t>متصادقا</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مصداق</w:t>
      </w:r>
      <w:r w:rsidR="00E8128F">
        <w:rPr>
          <w:sz w:val="36"/>
          <w:szCs w:val="36"/>
          <w:rtl/>
        </w:rPr>
        <w:t xml:space="preserve"> </w:t>
      </w:r>
      <w:r w:rsidR="0040555A" w:rsidRPr="00FD211F">
        <w:rPr>
          <w:sz w:val="36"/>
          <w:szCs w:val="36"/>
          <w:rtl/>
        </w:rPr>
        <w:t>واحد</w:t>
      </w:r>
      <w:r w:rsidR="00603323" w:rsidRPr="00FD211F">
        <w:rPr>
          <w:sz w:val="36"/>
          <w:szCs w:val="36"/>
          <w:rtl/>
        </w:rPr>
        <w:t>،</w:t>
      </w:r>
      <w:r w:rsidR="00E8128F">
        <w:rPr>
          <w:sz w:val="36"/>
          <w:szCs w:val="36"/>
          <w:rtl/>
        </w:rPr>
        <w:t xml:space="preserve"> </w:t>
      </w:r>
      <w:r w:rsidR="0040555A" w:rsidRPr="00FD211F">
        <w:rPr>
          <w:sz w:val="36"/>
          <w:szCs w:val="36"/>
          <w:rtl/>
        </w:rPr>
        <w:t>لان</w:t>
      </w:r>
      <w:r w:rsidR="00E8128F">
        <w:rPr>
          <w:sz w:val="36"/>
          <w:szCs w:val="36"/>
          <w:rtl/>
        </w:rPr>
        <w:t xml:space="preserve"> </w:t>
      </w:r>
      <w:r w:rsidR="0040555A" w:rsidRPr="00FD211F">
        <w:rPr>
          <w:sz w:val="36"/>
          <w:szCs w:val="36"/>
          <w:rtl/>
        </w:rPr>
        <w:t>الحمل</w:t>
      </w:r>
      <w:r w:rsidR="00E8128F">
        <w:rPr>
          <w:sz w:val="36"/>
          <w:szCs w:val="36"/>
          <w:rtl/>
        </w:rPr>
        <w:t xml:space="preserve"> </w:t>
      </w:r>
      <w:r w:rsidR="0040555A" w:rsidRPr="00FD211F">
        <w:rPr>
          <w:sz w:val="36"/>
          <w:szCs w:val="36"/>
          <w:rtl/>
        </w:rPr>
        <w:t>عمل</w:t>
      </w:r>
      <w:r w:rsidR="00E8128F">
        <w:rPr>
          <w:sz w:val="36"/>
          <w:szCs w:val="36"/>
          <w:rtl/>
        </w:rPr>
        <w:t xml:space="preserve"> </w:t>
      </w:r>
      <w:r w:rsidR="0040555A" w:rsidRPr="00FD211F">
        <w:rPr>
          <w:sz w:val="36"/>
          <w:szCs w:val="36"/>
          <w:rtl/>
        </w:rPr>
        <w:t>ذهني</w:t>
      </w:r>
      <w:r w:rsidR="00E8128F">
        <w:rPr>
          <w:sz w:val="36"/>
          <w:szCs w:val="36"/>
          <w:rtl/>
        </w:rPr>
        <w:t xml:space="preserve"> </w:t>
      </w:r>
      <w:r w:rsidR="0040555A" w:rsidRPr="00FD211F">
        <w:rPr>
          <w:sz w:val="36"/>
          <w:szCs w:val="36"/>
          <w:rtl/>
        </w:rPr>
        <w:t>وما</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الخارج</w:t>
      </w:r>
      <w:r w:rsidR="00E8128F">
        <w:rPr>
          <w:sz w:val="36"/>
          <w:szCs w:val="36"/>
          <w:rtl/>
        </w:rPr>
        <w:t xml:space="preserve"> </w:t>
      </w:r>
      <w:r w:rsidR="0040555A" w:rsidRPr="00FD211F">
        <w:rPr>
          <w:sz w:val="36"/>
          <w:szCs w:val="36"/>
          <w:rtl/>
        </w:rPr>
        <w:t>هو</w:t>
      </w:r>
      <w:r w:rsidR="00E8128F">
        <w:rPr>
          <w:sz w:val="36"/>
          <w:szCs w:val="36"/>
          <w:rtl/>
        </w:rPr>
        <w:t xml:space="preserve"> </w:t>
      </w:r>
      <w:r w:rsidR="0040555A" w:rsidRPr="00FD211F">
        <w:rPr>
          <w:sz w:val="36"/>
          <w:szCs w:val="36"/>
          <w:rtl/>
        </w:rPr>
        <w:t>العيني</w:t>
      </w:r>
      <w:r w:rsidR="00EC7EDF" w:rsidRPr="00FD211F">
        <w:rPr>
          <w:sz w:val="36"/>
          <w:szCs w:val="36"/>
          <w:rtl/>
        </w:rPr>
        <w:t>ة</w:t>
      </w:r>
      <w:r w:rsidR="00E8128F">
        <w:rPr>
          <w:sz w:val="36"/>
          <w:szCs w:val="36"/>
          <w:rtl/>
        </w:rPr>
        <w:t xml:space="preserve"> </w:t>
      </w:r>
      <w:r w:rsidR="0040555A" w:rsidRPr="00FD211F">
        <w:rPr>
          <w:sz w:val="36"/>
          <w:szCs w:val="36"/>
          <w:rtl/>
        </w:rPr>
        <w:t>فيلزم</w:t>
      </w:r>
      <w:r w:rsidR="00E8128F">
        <w:rPr>
          <w:sz w:val="36"/>
          <w:szCs w:val="36"/>
          <w:rtl/>
        </w:rPr>
        <w:t xml:space="preserve"> </w:t>
      </w:r>
      <w:r w:rsidR="0040555A" w:rsidRPr="00FD211F">
        <w:rPr>
          <w:sz w:val="36"/>
          <w:szCs w:val="36"/>
          <w:rtl/>
        </w:rPr>
        <w:t>لحاظ</w:t>
      </w:r>
      <w:r w:rsidR="00E8128F">
        <w:rPr>
          <w:sz w:val="36"/>
          <w:szCs w:val="36"/>
          <w:rtl/>
        </w:rPr>
        <w:t xml:space="preserve"> </w:t>
      </w:r>
      <w:r w:rsidR="0040555A" w:rsidRPr="00FD211F">
        <w:rPr>
          <w:sz w:val="36"/>
          <w:szCs w:val="36"/>
          <w:rtl/>
        </w:rPr>
        <w:t>الذهن</w:t>
      </w:r>
      <w:r w:rsidR="00E8128F">
        <w:rPr>
          <w:sz w:val="36"/>
          <w:szCs w:val="36"/>
          <w:rtl/>
        </w:rPr>
        <w:t xml:space="preserve"> </w:t>
      </w:r>
      <w:r w:rsidR="0040555A" w:rsidRPr="00FD211F">
        <w:rPr>
          <w:sz w:val="36"/>
          <w:szCs w:val="36"/>
          <w:rtl/>
        </w:rPr>
        <w:t>التصادق</w:t>
      </w:r>
      <w:r w:rsidR="00E8128F">
        <w:rPr>
          <w:sz w:val="36"/>
          <w:szCs w:val="36"/>
          <w:rtl/>
        </w:rPr>
        <w:t xml:space="preserve"> </w:t>
      </w:r>
      <w:r w:rsidR="0040555A" w:rsidRPr="00FD211F">
        <w:rPr>
          <w:sz w:val="36"/>
          <w:szCs w:val="36"/>
          <w:rtl/>
        </w:rPr>
        <w:t>بينهما.</w:t>
      </w:r>
    </w:p>
    <w:p w14:paraId="2F81837A" w14:textId="77777777" w:rsidR="0040555A" w:rsidRPr="00FD211F" w:rsidRDefault="0040555A" w:rsidP="009C58C8">
      <w:pPr>
        <w:ind w:left="0" w:firstLine="227"/>
        <w:jc w:val="both"/>
        <w:rPr>
          <w:sz w:val="36"/>
          <w:szCs w:val="36"/>
          <w:rtl/>
        </w:rPr>
      </w:pPr>
      <w:r w:rsidRPr="00FD211F">
        <w:rPr>
          <w:sz w:val="36"/>
          <w:szCs w:val="36"/>
          <w:rtl/>
        </w:rPr>
        <w:t>فللذهن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يلحظ</w:t>
      </w:r>
      <w:r w:rsidR="00E8128F">
        <w:rPr>
          <w:sz w:val="36"/>
          <w:szCs w:val="36"/>
          <w:rtl/>
        </w:rPr>
        <w:t xml:space="preserve"> </w:t>
      </w:r>
      <w:r w:rsidRPr="00FD211F">
        <w:rPr>
          <w:sz w:val="36"/>
          <w:szCs w:val="36"/>
          <w:rtl/>
        </w:rPr>
        <w:t>حيثي</w:t>
      </w:r>
      <w:r w:rsidR="00EC7EDF" w:rsidRPr="00FD211F">
        <w:rPr>
          <w:sz w:val="36"/>
          <w:szCs w:val="36"/>
          <w:rtl/>
        </w:rPr>
        <w:t>ة</w:t>
      </w:r>
      <w:r w:rsidR="00E8128F">
        <w:rPr>
          <w:sz w:val="36"/>
          <w:szCs w:val="36"/>
          <w:rtl/>
        </w:rPr>
        <w:t xml:space="preserve"> </w:t>
      </w:r>
      <w:r w:rsidRPr="00FD211F">
        <w:rPr>
          <w:sz w:val="36"/>
          <w:szCs w:val="36"/>
          <w:rtl/>
        </w:rPr>
        <w:t>الانساني</w:t>
      </w:r>
      <w:r w:rsidR="00EC7EDF" w:rsidRPr="00FD211F">
        <w:rPr>
          <w:sz w:val="36"/>
          <w:szCs w:val="36"/>
          <w:rtl/>
        </w:rPr>
        <w:t>ة</w:t>
      </w:r>
      <w:r w:rsidR="00E8128F">
        <w:rPr>
          <w:sz w:val="36"/>
          <w:szCs w:val="36"/>
          <w:rtl/>
        </w:rPr>
        <w:t xml:space="preserve"> </w:t>
      </w:r>
      <w:r w:rsidRPr="00FD211F">
        <w:rPr>
          <w:sz w:val="36"/>
          <w:szCs w:val="36"/>
          <w:rtl/>
        </w:rPr>
        <w:t>بما</w:t>
      </w:r>
      <w:r w:rsidR="00E8128F">
        <w:rPr>
          <w:sz w:val="36"/>
          <w:szCs w:val="36"/>
          <w:rtl/>
        </w:rPr>
        <w:t xml:space="preserve"> </w:t>
      </w:r>
      <w:r w:rsidRPr="00FD211F">
        <w:rPr>
          <w:sz w:val="36"/>
          <w:szCs w:val="36"/>
          <w:rtl/>
        </w:rPr>
        <w:t>هي</w:t>
      </w:r>
      <w:r w:rsidR="00E8128F">
        <w:rPr>
          <w:sz w:val="36"/>
          <w:szCs w:val="36"/>
          <w:rtl/>
        </w:rPr>
        <w:t xml:space="preserve"> </w:t>
      </w:r>
      <w:r w:rsidRPr="00FD211F">
        <w:rPr>
          <w:sz w:val="36"/>
          <w:szCs w:val="36"/>
          <w:rtl/>
        </w:rPr>
        <w:t>متصادق</w:t>
      </w:r>
      <w:r w:rsidR="00EC7EDF" w:rsidRPr="00FD211F">
        <w:rPr>
          <w:sz w:val="36"/>
          <w:szCs w:val="36"/>
          <w:rtl/>
        </w:rPr>
        <w:t>ة</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فينتزع</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وله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يلحظها</w:t>
      </w:r>
      <w:r w:rsidR="00E8128F">
        <w:rPr>
          <w:sz w:val="36"/>
          <w:szCs w:val="36"/>
          <w:rtl/>
        </w:rPr>
        <w:t xml:space="preserve"> </w:t>
      </w:r>
      <w:r w:rsidRPr="00FD211F">
        <w:rPr>
          <w:sz w:val="36"/>
          <w:szCs w:val="36"/>
          <w:rtl/>
        </w:rPr>
        <w:t>بما</w:t>
      </w:r>
      <w:r w:rsidR="00E8128F">
        <w:rPr>
          <w:sz w:val="36"/>
          <w:szCs w:val="36"/>
          <w:rtl/>
        </w:rPr>
        <w:t xml:space="preserve"> </w:t>
      </w:r>
      <w:r w:rsidRPr="00FD211F">
        <w:rPr>
          <w:sz w:val="36"/>
          <w:szCs w:val="36"/>
          <w:rtl/>
        </w:rPr>
        <w:t>هي</w:t>
      </w:r>
      <w:r w:rsidR="00E8128F">
        <w:rPr>
          <w:sz w:val="36"/>
          <w:szCs w:val="36"/>
          <w:rtl/>
        </w:rPr>
        <w:t xml:space="preserve"> </w:t>
      </w:r>
      <w:r w:rsidRPr="00FD211F">
        <w:rPr>
          <w:sz w:val="36"/>
          <w:szCs w:val="36"/>
          <w:rtl/>
        </w:rPr>
        <w:t>هي</w:t>
      </w:r>
      <w:r w:rsidR="00E8128F">
        <w:rPr>
          <w:sz w:val="36"/>
          <w:szCs w:val="36"/>
          <w:rtl/>
        </w:rPr>
        <w:t xml:space="preserve"> </w:t>
      </w:r>
      <w:r w:rsidRPr="00FD211F">
        <w:rPr>
          <w:sz w:val="36"/>
          <w:szCs w:val="36"/>
          <w:rtl/>
        </w:rPr>
        <w:t>فينتزع</w:t>
      </w:r>
      <w:r w:rsidR="00E8128F">
        <w:rPr>
          <w:sz w:val="36"/>
          <w:szCs w:val="36"/>
          <w:rtl/>
        </w:rPr>
        <w:t xml:space="preserve"> </w:t>
      </w:r>
      <w:r w:rsidRPr="00FD211F">
        <w:rPr>
          <w:sz w:val="36"/>
          <w:szCs w:val="36"/>
          <w:rtl/>
        </w:rPr>
        <w:t>عنها</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المصدر</w:t>
      </w:r>
      <w:r w:rsidR="00E8128F">
        <w:rPr>
          <w:sz w:val="36"/>
          <w:szCs w:val="36"/>
          <w:rtl/>
        </w:rPr>
        <w:t xml:space="preserve"> </w:t>
      </w:r>
      <w:r w:rsidRPr="00FD211F">
        <w:rPr>
          <w:sz w:val="36"/>
          <w:szCs w:val="36"/>
          <w:rtl/>
        </w:rPr>
        <w:t>الجعلي</w:t>
      </w:r>
      <w:r w:rsidR="00603323" w:rsidRPr="00FD211F">
        <w:rPr>
          <w:sz w:val="36"/>
          <w:szCs w:val="36"/>
          <w:rtl/>
        </w:rPr>
        <w:t>،</w:t>
      </w:r>
      <w:r w:rsidR="00E8128F">
        <w:rPr>
          <w:sz w:val="36"/>
          <w:szCs w:val="36"/>
          <w:rtl/>
        </w:rPr>
        <w:t xml:space="preserve"> </w:t>
      </w:r>
      <w:r w:rsidRPr="00FD211F">
        <w:rPr>
          <w:sz w:val="36"/>
          <w:szCs w:val="36"/>
          <w:rtl/>
        </w:rPr>
        <w:t>فالمحقق</w:t>
      </w:r>
      <w:r w:rsidR="00E8128F">
        <w:rPr>
          <w:sz w:val="36"/>
          <w:szCs w:val="36"/>
          <w:rtl/>
        </w:rPr>
        <w:t xml:space="preserve"> </w:t>
      </w:r>
      <w:r w:rsidRPr="00FD211F">
        <w:rPr>
          <w:sz w:val="36"/>
          <w:szCs w:val="36"/>
          <w:rtl/>
        </w:rPr>
        <w:t>النائيني</w:t>
      </w:r>
      <w:r w:rsidR="00E8128F">
        <w:rPr>
          <w:sz w:val="36"/>
          <w:szCs w:val="36"/>
          <w:rtl/>
        </w:rPr>
        <w:t xml:space="preserve"> </w:t>
      </w:r>
      <w:r w:rsidR="006E0FCC" w:rsidRPr="00FD211F">
        <w:rPr>
          <w:sz w:val="36"/>
          <w:szCs w:val="36"/>
          <w:rtl/>
        </w:rPr>
        <w:t>"</w:t>
      </w:r>
      <w:r w:rsidRPr="00FD211F">
        <w:rPr>
          <w:sz w:val="36"/>
          <w:szCs w:val="36"/>
          <w:rtl/>
        </w:rPr>
        <w:t>قده</w:t>
      </w:r>
      <w:r w:rsidR="006E0FCC" w:rsidRPr="00FD211F">
        <w:rPr>
          <w:sz w:val="36"/>
          <w:szCs w:val="36"/>
          <w:rtl/>
        </w:rPr>
        <w:t>"</w:t>
      </w:r>
      <w:r w:rsidR="00E8128F">
        <w:rPr>
          <w:sz w:val="36"/>
          <w:szCs w:val="36"/>
          <w:rtl/>
        </w:rPr>
        <w:t xml:space="preserve"> </w:t>
      </w:r>
      <w:r w:rsidRPr="00FD211F">
        <w:rPr>
          <w:sz w:val="36"/>
          <w:szCs w:val="36"/>
          <w:rtl/>
        </w:rPr>
        <w:t>يدعي</w:t>
      </w:r>
      <w:r w:rsidR="00E8128F">
        <w:rPr>
          <w:sz w:val="36"/>
          <w:szCs w:val="36"/>
          <w:rtl/>
        </w:rPr>
        <w:t xml:space="preserve"> </w:t>
      </w:r>
      <w:r w:rsidRPr="00FD211F">
        <w:rPr>
          <w:sz w:val="36"/>
          <w:szCs w:val="36"/>
          <w:rtl/>
        </w:rPr>
        <w:t>ذلك</w:t>
      </w:r>
      <w:r w:rsidR="00E8128F">
        <w:rPr>
          <w:sz w:val="36"/>
          <w:szCs w:val="36"/>
          <w:rtl/>
        </w:rPr>
        <w:t xml:space="preserve"> </w:t>
      </w:r>
      <w:r w:rsidR="00FE58F7" w:rsidRPr="00FD211F">
        <w:rPr>
          <w:sz w:val="36"/>
          <w:szCs w:val="36"/>
          <w:rtl/>
        </w:rPr>
        <w:t>في</w:t>
      </w:r>
      <w:r w:rsidR="00E8128F">
        <w:rPr>
          <w:sz w:val="36"/>
          <w:szCs w:val="36"/>
          <w:rtl/>
        </w:rPr>
        <w:t xml:space="preserve"> </w:t>
      </w:r>
      <w:r w:rsidR="00FE58F7" w:rsidRPr="00FD211F">
        <w:rPr>
          <w:sz w:val="36"/>
          <w:szCs w:val="36"/>
          <w:rtl/>
        </w:rPr>
        <w:t>العرض</w:t>
      </w:r>
      <w:r w:rsidR="00E8128F">
        <w:rPr>
          <w:sz w:val="36"/>
          <w:szCs w:val="36"/>
          <w:rtl/>
        </w:rPr>
        <w:t xml:space="preserve"> </w:t>
      </w:r>
      <w:r w:rsidR="00FE58F7" w:rsidRPr="00FD211F">
        <w:rPr>
          <w:sz w:val="36"/>
          <w:szCs w:val="36"/>
          <w:rtl/>
        </w:rPr>
        <w:t>اي</w:t>
      </w:r>
      <w:r w:rsidR="00E8128F">
        <w:rPr>
          <w:sz w:val="36"/>
          <w:szCs w:val="36"/>
          <w:rtl/>
        </w:rPr>
        <w:t xml:space="preserve"> </w:t>
      </w:r>
      <w:r w:rsidR="00FE58F7" w:rsidRPr="00FD211F">
        <w:rPr>
          <w:sz w:val="36"/>
          <w:szCs w:val="36"/>
          <w:rtl/>
        </w:rPr>
        <w:t>الذهن</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يلحظه</w:t>
      </w:r>
      <w:r w:rsidR="00E8128F">
        <w:rPr>
          <w:sz w:val="36"/>
          <w:szCs w:val="36"/>
          <w:rtl/>
        </w:rPr>
        <w:t xml:space="preserve"> </w:t>
      </w:r>
      <w:r w:rsidRPr="00FD211F">
        <w:rPr>
          <w:sz w:val="36"/>
          <w:szCs w:val="36"/>
          <w:rtl/>
        </w:rPr>
        <w:t>بما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وجوده</w:t>
      </w:r>
      <w:r w:rsidR="00E8128F">
        <w:rPr>
          <w:sz w:val="36"/>
          <w:szCs w:val="36"/>
          <w:rtl/>
        </w:rPr>
        <w:t xml:space="preserve"> </w:t>
      </w:r>
      <w:r w:rsidRPr="00FD211F">
        <w:rPr>
          <w:sz w:val="36"/>
          <w:szCs w:val="36"/>
          <w:rtl/>
        </w:rPr>
        <w:t>لغيره</w:t>
      </w:r>
      <w:r w:rsidR="00E8128F">
        <w:rPr>
          <w:sz w:val="36"/>
          <w:szCs w:val="36"/>
          <w:rtl/>
        </w:rPr>
        <w:t xml:space="preserve"> </w:t>
      </w:r>
      <w:r w:rsidRPr="00FD211F">
        <w:rPr>
          <w:sz w:val="36"/>
          <w:szCs w:val="36"/>
          <w:rtl/>
        </w:rPr>
        <w:t>واتحاده</w:t>
      </w:r>
      <w:r w:rsidR="00E8128F">
        <w:rPr>
          <w:sz w:val="36"/>
          <w:szCs w:val="36"/>
          <w:rtl/>
        </w:rPr>
        <w:t xml:space="preserve"> </w:t>
      </w:r>
      <w:r w:rsidRPr="00FD211F">
        <w:rPr>
          <w:sz w:val="36"/>
          <w:szCs w:val="36"/>
          <w:rtl/>
        </w:rPr>
        <w:t>معه</w:t>
      </w:r>
      <w:r w:rsidR="00E8128F">
        <w:rPr>
          <w:sz w:val="36"/>
          <w:szCs w:val="36"/>
          <w:rtl/>
        </w:rPr>
        <w:t xml:space="preserve"> </w:t>
      </w:r>
      <w:r w:rsidR="00FE58F7" w:rsidRPr="00FD211F">
        <w:rPr>
          <w:sz w:val="36"/>
          <w:szCs w:val="36"/>
          <w:rtl/>
        </w:rPr>
        <w:t>فينتزع</w:t>
      </w:r>
      <w:r w:rsidR="00E8128F">
        <w:rPr>
          <w:sz w:val="36"/>
          <w:szCs w:val="36"/>
          <w:rtl/>
        </w:rPr>
        <w:t xml:space="preserve"> </w:t>
      </w:r>
      <w:r w:rsidR="00FE58F7" w:rsidRPr="00FD211F">
        <w:rPr>
          <w:sz w:val="36"/>
          <w:szCs w:val="36"/>
          <w:rtl/>
        </w:rPr>
        <w:t>عنه</w:t>
      </w:r>
      <w:r w:rsidR="00E8128F">
        <w:rPr>
          <w:sz w:val="36"/>
          <w:szCs w:val="36"/>
          <w:rtl/>
        </w:rPr>
        <w:t xml:space="preserve"> </w:t>
      </w:r>
      <w:r w:rsidR="00FE58F7" w:rsidRPr="00FD211F">
        <w:rPr>
          <w:sz w:val="36"/>
          <w:szCs w:val="36"/>
          <w:rtl/>
        </w:rPr>
        <w:t>مفهوم</w:t>
      </w:r>
      <w:r w:rsidR="00E8128F">
        <w:rPr>
          <w:sz w:val="36"/>
          <w:szCs w:val="36"/>
          <w:rtl/>
        </w:rPr>
        <w:t xml:space="preserve"> </w:t>
      </w:r>
      <w:r w:rsidRPr="00FD211F">
        <w:rPr>
          <w:sz w:val="36"/>
          <w:szCs w:val="36"/>
          <w:rtl/>
        </w:rPr>
        <w:t>المشتق</w:t>
      </w:r>
      <w:r w:rsidR="00603323" w:rsidRPr="00FD211F">
        <w:rPr>
          <w:sz w:val="36"/>
          <w:szCs w:val="36"/>
          <w:rtl/>
        </w:rPr>
        <w:t>،</w:t>
      </w:r>
      <w:r w:rsidR="00E8128F">
        <w:rPr>
          <w:sz w:val="36"/>
          <w:szCs w:val="36"/>
          <w:rtl/>
        </w:rPr>
        <w:t xml:space="preserve"> </w:t>
      </w:r>
      <w:r w:rsidRPr="00FD211F">
        <w:rPr>
          <w:sz w:val="36"/>
          <w:szCs w:val="36"/>
          <w:rtl/>
        </w:rPr>
        <w:t>وقد</w:t>
      </w:r>
      <w:r w:rsidR="00E8128F">
        <w:rPr>
          <w:sz w:val="36"/>
          <w:szCs w:val="36"/>
          <w:rtl/>
        </w:rPr>
        <w:t xml:space="preserve"> </w:t>
      </w:r>
      <w:r w:rsidRPr="00FD211F">
        <w:rPr>
          <w:sz w:val="36"/>
          <w:szCs w:val="36"/>
          <w:rtl/>
        </w:rPr>
        <w:t>يتعمل</w:t>
      </w:r>
      <w:r w:rsidR="00E8128F">
        <w:rPr>
          <w:sz w:val="36"/>
          <w:szCs w:val="36"/>
          <w:rtl/>
        </w:rPr>
        <w:t xml:space="preserve"> </w:t>
      </w:r>
      <w:r w:rsidRPr="00FD211F">
        <w:rPr>
          <w:sz w:val="36"/>
          <w:szCs w:val="36"/>
          <w:rtl/>
        </w:rPr>
        <w:t>فيج</w:t>
      </w:r>
      <w:r w:rsidR="00FE58F7" w:rsidRPr="00FD211F">
        <w:rPr>
          <w:sz w:val="36"/>
          <w:szCs w:val="36"/>
          <w:rtl/>
        </w:rPr>
        <w:t>ِّ</w:t>
      </w:r>
      <w:r w:rsidRPr="00FD211F">
        <w:rPr>
          <w:sz w:val="36"/>
          <w:szCs w:val="36"/>
          <w:rtl/>
        </w:rPr>
        <w:t>ز</w:t>
      </w:r>
      <w:r w:rsidR="00FE58F7" w:rsidRPr="00FD211F">
        <w:rPr>
          <w:sz w:val="36"/>
          <w:szCs w:val="36"/>
          <w:rtl/>
        </w:rPr>
        <w:t>ؤ</w:t>
      </w:r>
      <w:r w:rsidRPr="00FD211F">
        <w:rPr>
          <w:sz w:val="36"/>
          <w:szCs w:val="36"/>
          <w:rtl/>
        </w:rPr>
        <w:t>ه</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وجوده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نفسه</w:t>
      </w:r>
      <w:r w:rsidR="00E8128F">
        <w:rPr>
          <w:sz w:val="36"/>
          <w:szCs w:val="36"/>
          <w:rtl/>
        </w:rPr>
        <w:t xml:space="preserve"> </w:t>
      </w:r>
      <w:r w:rsidRPr="00FD211F">
        <w:rPr>
          <w:sz w:val="36"/>
          <w:szCs w:val="36"/>
          <w:rtl/>
        </w:rPr>
        <w:t>مستقلا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الجوهر</w:t>
      </w:r>
      <w:r w:rsidR="00E8128F">
        <w:rPr>
          <w:sz w:val="36"/>
          <w:szCs w:val="36"/>
          <w:rtl/>
        </w:rPr>
        <w:t xml:space="preserve"> </w:t>
      </w:r>
      <w:r w:rsidR="00FE58F7" w:rsidRPr="00FD211F">
        <w:rPr>
          <w:sz w:val="36"/>
          <w:szCs w:val="36"/>
          <w:rtl/>
        </w:rPr>
        <w:t>فينتزع</w:t>
      </w:r>
      <w:r w:rsidR="00E8128F">
        <w:rPr>
          <w:sz w:val="36"/>
          <w:szCs w:val="36"/>
          <w:rtl/>
        </w:rPr>
        <w:t xml:space="preserve"> </w:t>
      </w:r>
      <w:r w:rsidR="00FE58F7" w:rsidRPr="00FD211F">
        <w:rPr>
          <w:sz w:val="36"/>
          <w:szCs w:val="36"/>
          <w:rtl/>
        </w:rPr>
        <w:t>عنه</w:t>
      </w:r>
      <w:r w:rsidR="00E8128F">
        <w:rPr>
          <w:sz w:val="36"/>
          <w:szCs w:val="36"/>
          <w:rtl/>
        </w:rPr>
        <w:t xml:space="preserve"> </w:t>
      </w:r>
      <w:r w:rsidR="00FE58F7" w:rsidRPr="00FD211F">
        <w:rPr>
          <w:sz w:val="36"/>
          <w:szCs w:val="36"/>
          <w:rtl/>
        </w:rPr>
        <w:t>مفهوم</w:t>
      </w:r>
      <w:r w:rsidR="00E8128F">
        <w:rPr>
          <w:sz w:val="36"/>
          <w:szCs w:val="36"/>
          <w:rtl/>
        </w:rPr>
        <w:t xml:space="preserve"> </w:t>
      </w:r>
      <w:r w:rsidR="00FE58F7" w:rsidRPr="00FD211F">
        <w:rPr>
          <w:sz w:val="36"/>
          <w:szCs w:val="36"/>
          <w:rtl/>
        </w:rPr>
        <w:t>المصدر</w:t>
      </w:r>
      <w:r w:rsidR="009C58C8" w:rsidRPr="00FD211F">
        <w:rPr>
          <w:rStyle w:val="a6"/>
          <w:sz w:val="36"/>
          <w:szCs w:val="36"/>
          <w:rtl/>
        </w:rPr>
        <w:t>(</w:t>
      </w:r>
      <w:r w:rsidR="009C58C8" w:rsidRPr="00FD211F">
        <w:rPr>
          <w:rStyle w:val="a6"/>
          <w:sz w:val="36"/>
          <w:szCs w:val="36"/>
          <w:rtl/>
        </w:rPr>
        <w:footnoteReference w:id="584"/>
      </w:r>
      <w:r w:rsidR="009C58C8" w:rsidRPr="00FD211F">
        <w:rPr>
          <w:rStyle w:val="a6"/>
          <w:sz w:val="36"/>
          <w:szCs w:val="36"/>
          <w:rtl/>
        </w:rPr>
        <w:t>)</w:t>
      </w:r>
      <w:r w:rsidRPr="00FD211F">
        <w:rPr>
          <w:sz w:val="36"/>
          <w:szCs w:val="36"/>
          <w:rtl/>
        </w:rPr>
        <w:t>.</w:t>
      </w:r>
      <w:r w:rsidR="00E8128F">
        <w:rPr>
          <w:sz w:val="36"/>
          <w:szCs w:val="36"/>
          <w:rtl/>
        </w:rPr>
        <w:t xml:space="preserve"> </w:t>
      </w:r>
    </w:p>
    <w:p w14:paraId="169DA2FC" w14:textId="77777777" w:rsidR="000C5BBA" w:rsidRPr="00FD211F" w:rsidRDefault="006E0FCC" w:rsidP="009C58C8">
      <w:pPr>
        <w:ind w:left="0" w:firstLine="227"/>
        <w:jc w:val="both"/>
        <w:rPr>
          <w:sz w:val="36"/>
          <w:szCs w:val="36"/>
          <w:rtl/>
        </w:rPr>
      </w:pPr>
      <w:r w:rsidRPr="00FD211F">
        <w:rPr>
          <w:sz w:val="36"/>
          <w:szCs w:val="36"/>
          <w:rtl/>
        </w:rPr>
        <w:t>اقول: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005F5210" w:rsidRPr="00FD211F">
        <w:rPr>
          <w:sz w:val="36"/>
          <w:szCs w:val="36"/>
          <w:rtl/>
        </w:rPr>
        <w:t>وان</w:t>
      </w:r>
      <w:r w:rsidR="00E8128F">
        <w:rPr>
          <w:sz w:val="36"/>
          <w:szCs w:val="36"/>
          <w:rtl/>
        </w:rPr>
        <w:t xml:space="preserve"> </w:t>
      </w:r>
      <w:r w:rsidR="005F5210" w:rsidRPr="00FD211F">
        <w:rPr>
          <w:sz w:val="36"/>
          <w:szCs w:val="36"/>
          <w:rtl/>
        </w:rPr>
        <w:t>كان</w:t>
      </w:r>
      <w:r w:rsidR="00E8128F">
        <w:rPr>
          <w:sz w:val="36"/>
          <w:szCs w:val="36"/>
          <w:rtl/>
        </w:rPr>
        <w:t xml:space="preserve"> </w:t>
      </w:r>
      <w:r w:rsidR="005F5210" w:rsidRPr="00FD211F">
        <w:rPr>
          <w:sz w:val="36"/>
          <w:szCs w:val="36"/>
          <w:rtl/>
        </w:rPr>
        <w:t>متينا</w:t>
      </w:r>
      <w:r w:rsidR="00E8128F">
        <w:rPr>
          <w:sz w:val="36"/>
          <w:szCs w:val="36"/>
          <w:rtl/>
        </w:rPr>
        <w:t xml:space="preserve"> </w:t>
      </w:r>
      <w:r w:rsidR="005F5210" w:rsidRPr="00FD211F">
        <w:rPr>
          <w:sz w:val="36"/>
          <w:szCs w:val="36"/>
          <w:rtl/>
        </w:rPr>
        <w:t>لكن</w:t>
      </w:r>
      <w:r w:rsidR="00E8128F">
        <w:rPr>
          <w:sz w:val="36"/>
          <w:szCs w:val="36"/>
          <w:rtl/>
        </w:rPr>
        <w:t xml:space="preserve"> </w:t>
      </w:r>
      <w:r w:rsidR="005F5210" w:rsidRPr="00FD211F">
        <w:rPr>
          <w:sz w:val="36"/>
          <w:szCs w:val="36"/>
          <w:rtl/>
        </w:rPr>
        <w:t>ما</w:t>
      </w:r>
      <w:r w:rsidR="00E8128F">
        <w:rPr>
          <w:sz w:val="36"/>
          <w:szCs w:val="36"/>
          <w:rtl/>
        </w:rPr>
        <w:t xml:space="preserve"> </w:t>
      </w:r>
      <w:r w:rsidR="005F5210" w:rsidRPr="00FD211F">
        <w:rPr>
          <w:sz w:val="36"/>
          <w:szCs w:val="36"/>
          <w:rtl/>
        </w:rPr>
        <w:t>ادعاه</w:t>
      </w:r>
      <w:r w:rsidR="00E8128F">
        <w:rPr>
          <w:sz w:val="36"/>
          <w:szCs w:val="36"/>
          <w:rtl/>
        </w:rPr>
        <w:t xml:space="preserve"> </w:t>
      </w:r>
      <w:r w:rsidR="005F5210" w:rsidRPr="00FD211F">
        <w:rPr>
          <w:sz w:val="36"/>
          <w:szCs w:val="36"/>
          <w:rtl/>
        </w:rPr>
        <w:t>اخيرا</w:t>
      </w:r>
      <w:r w:rsidR="00E8128F">
        <w:rPr>
          <w:sz w:val="36"/>
          <w:szCs w:val="36"/>
          <w:rtl/>
        </w:rPr>
        <w:t xml:space="preserve"> </w:t>
      </w:r>
      <w:r w:rsidR="005F5210" w:rsidRPr="00FD211F">
        <w:rPr>
          <w:sz w:val="36"/>
          <w:szCs w:val="36"/>
          <w:rtl/>
        </w:rPr>
        <w:t>من</w:t>
      </w:r>
      <w:r w:rsidR="00E8128F">
        <w:rPr>
          <w:sz w:val="36"/>
          <w:szCs w:val="36"/>
          <w:rtl/>
        </w:rPr>
        <w:t xml:space="preserve"> </w:t>
      </w:r>
      <w:r w:rsidR="005F5210" w:rsidRPr="00FD211F">
        <w:rPr>
          <w:sz w:val="36"/>
          <w:szCs w:val="36"/>
          <w:rtl/>
        </w:rPr>
        <w:t>ان</w:t>
      </w:r>
      <w:r w:rsidR="00E8128F">
        <w:rPr>
          <w:sz w:val="36"/>
          <w:szCs w:val="36"/>
          <w:rtl/>
        </w:rPr>
        <w:t xml:space="preserve"> </w:t>
      </w:r>
      <w:r w:rsidR="005F5210" w:rsidRPr="00FD211F">
        <w:rPr>
          <w:sz w:val="36"/>
          <w:szCs w:val="36"/>
          <w:rtl/>
        </w:rPr>
        <w:t>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او</w:t>
      </w:r>
      <w:r w:rsidR="00E8128F">
        <w:rPr>
          <w:sz w:val="36"/>
          <w:szCs w:val="36"/>
          <w:rtl/>
        </w:rPr>
        <w:t xml:space="preserve"> </w:t>
      </w:r>
      <w:r w:rsidR="005F5210" w:rsidRPr="00FD211F">
        <w:rPr>
          <w:sz w:val="36"/>
          <w:szCs w:val="36"/>
          <w:rtl/>
        </w:rPr>
        <w:t>الانسان</w:t>
      </w:r>
      <w:r w:rsidR="00E8128F">
        <w:rPr>
          <w:sz w:val="36"/>
          <w:szCs w:val="36"/>
          <w:rtl/>
        </w:rPr>
        <w:t xml:space="preserve"> </w:t>
      </w:r>
      <w:r w:rsidR="005F5210" w:rsidRPr="00FD211F">
        <w:rPr>
          <w:sz w:val="36"/>
          <w:szCs w:val="36"/>
          <w:rtl/>
        </w:rPr>
        <w:t>ليس</w:t>
      </w:r>
      <w:r w:rsidR="00E8128F">
        <w:rPr>
          <w:sz w:val="36"/>
          <w:szCs w:val="36"/>
          <w:rtl/>
        </w:rPr>
        <w:t xml:space="preserve"> </w:t>
      </w:r>
      <w:r w:rsidR="005F5210" w:rsidRPr="00FD211F">
        <w:rPr>
          <w:sz w:val="36"/>
          <w:szCs w:val="36"/>
          <w:rtl/>
        </w:rPr>
        <w:t>مركبا</w:t>
      </w:r>
      <w:r w:rsidR="00E8128F">
        <w:rPr>
          <w:sz w:val="36"/>
          <w:szCs w:val="36"/>
          <w:rtl/>
        </w:rPr>
        <w:t xml:space="preserve"> </w:t>
      </w:r>
      <w:r w:rsidR="005F5210" w:rsidRPr="00FD211F">
        <w:rPr>
          <w:sz w:val="36"/>
          <w:szCs w:val="36"/>
          <w:rtl/>
        </w:rPr>
        <w:t>بحسب</w:t>
      </w:r>
      <w:r w:rsidR="00E8128F">
        <w:rPr>
          <w:sz w:val="36"/>
          <w:szCs w:val="36"/>
          <w:rtl/>
        </w:rPr>
        <w:t xml:space="preserve"> </w:t>
      </w:r>
      <w:r w:rsidR="005F5210" w:rsidRPr="00FD211F">
        <w:rPr>
          <w:sz w:val="36"/>
          <w:szCs w:val="36"/>
          <w:rtl/>
        </w:rPr>
        <w:t>التحليل</w:t>
      </w:r>
      <w:r w:rsidR="00E8128F">
        <w:rPr>
          <w:sz w:val="36"/>
          <w:szCs w:val="36"/>
          <w:rtl/>
        </w:rPr>
        <w:t xml:space="preserve"> </w:t>
      </w:r>
      <w:r w:rsidR="005F5210" w:rsidRPr="00FD211F">
        <w:rPr>
          <w:sz w:val="36"/>
          <w:szCs w:val="36"/>
          <w:rtl/>
        </w:rPr>
        <w:t>العقلي</w:t>
      </w:r>
      <w:r w:rsidR="00E8128F">
        <w:rPr>
          <w:sz w:val="36"/>
          <w:szCs w:val="36"/>
          <w:rtl/>
        </w:rPr>
        <w:t xml:space="preserve"> </w:t>
      </w:r>
      <w:r w:rsidR="005F5210" w:rsidRPr="00FD211F">
        <w:rPr>
          <w:sz w:val="36"/>
          <w:szCs w:val="36"/>
          <w:rtl/>
        </w:rPr>
        <w:t>فالظاهر</w:t>
      </w:r>
      <w:r w:rsidR="00E8128F">
        <w:rPr>
          <w:sz w:val="36"/>
          <w:szCs w:val="36"/>
          <w:rtl/>
        </w:rPr>
        <w:t xml:space="preserve"> </w:t>
      </w:r>
      <w:r w:rsidR="005F5210" w:rsidRPr="00FD211F">
        <w:rPr>
          <w:sz w:val="36"/>
          <w:szCs w:val="36"/>
          <w:rtl/>
        </w:rPr>
        <w:t>انه</w:t>
      </w:r>
      <w:r w:rsidR="00E8128F">
        <w:rPr>
          <w:sz w:val="36"/>
          <w:szCs w:val="36"/>
          <w:rtl/>
        </w:rPr>
        <w:t xml:space="preserve"> </w:t>
      </w:r>
      <w:r w:rsidR="005F5210" w:rsidRPr="00FD211F">
        <w:rPr>
          <w:sz w:val="36"/>
          <w:szCs w:val="36"/>
          <w:rtl/>
        </w:rPr>
        <w:t>لاوجه</w:t>
      </w:r>
      <w:r w:rsidR="00E8128F">
        <w:rPr>
          <w:sz w:val="36"/>
          <w:szCs w:val="36"/>
          <w:rtl/>
        </w:rPr>
        <w:t xml:space="preserve"> </w:t>
      </w:r>
      <w:r w:rsidR="005F5210" w:rsidRPr="00FD211F">
        <w:rPr>
          <w:sz w:val="36"/>
          <w:szCs w:val="36"/>
          <w:rtl/>
        </w:rPr>
        <w:t>له</w:t>
      </w:r>
      <w:r w:rsidR="00603323" w:rsidRPr="00FD211F">
        <w:rPr>
          <w:sz w:val="36"/>
          <w:szCs w:val="36"/>
          <w:rtl/>
        </w:rPr>
        <w:t>،</w:t>
      </w:r>
      <w:r w:rsidR="00E8128F">
        <w:rPr>
          <w:sz w:val="36"/>
          <w:szCs w:val="36"/>
          <w:rtl/>
        </w:rPr>
        <w:t xml:space="preserve"> </w:t>
      </w:r>
      <w:r w:rsidR="005F5210" w:rsidRPr="00FD211F">
        <w:rPr>
          <w:sz w:val="36"/>
          <w:szCs w:val="36"/>
          <w:rtl/>
        </w:rPr>
        <w:t>اذ</w:t>
      </w:r>
      <w:r w:rsidR="00E8128F">
        <w:rPr>
          <w:sz w:val="36"/>
          <w:szCs w:val="36"/>
          <w:rtl/>
        </w:rPr>
        <w:t xml:space="preserve"> </w:t>
      </w:r>
      <w:r w:rsidR="005F5210" w:rsidRPr="00FD211F">
        <w:rPr>
          <w:sz w:val="36"/>
          <w:szCs w:val="36"/>
          <w:rtl/>
        </w:rPr>
        <w:t>كم</w:t>
      </w:r>
      <w:r w:rsidRPr="00FD211F">
        <w:rPr>
          <w:sz w:val="36"/>
          <w:szCs w:val="36"/>
          <w:rtl/>
        </w:rPr>
        <w:t>ا</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او</w:t>
      </w:r>
      <w:r w:rsidR="005F5210" w:rsidRPr="00FD211F">
        <w:rPr>
          <w:sz w:val="36"/>
          <w:szCs w:val="36"/>
          <w:rtl/>
        </w:rPr>
        <w:t>السيف</w:t>
      </w:r>
      <w:r w:rsidR="00E8128F">
        <w:rPr>
          <w:sz w:val="36"/>
          <w:szCs w:val="36"/>
          <w:rtl/>
        </w:rPr>
        <w:t xml:space="preserve"> </w:t>
      </w:r>
      <w:r w:rsidRPr="00FD211F">
        <w:rPr>
          <w:sz w:val="36"/>
          <w:szCs w:val="36"/>
          <w:rtl/>
        </w:rPr>
        <w:t>مركب</w:t>
      </w:r>
      <w:r w:rsidR="00E8128F">
        <w:rPr>
          <w:sz w:val="36"/>
          <w:szCs w:val="36"/>
          <w:rtl/>
        </w:rPr>
        <w:t xml:space="preserve"> </w:t>
      </w:r>
      <w:r w:rsidR="00344044" w:rsidRPr="00FD211F">
        <w:rPr>
          <w:sz w:val="36"/>
          <w:szCs w:val="36"/>
          <w:rtl/>
        </w:rPr>
        <w:t>بحسب</w:t>
      </w:r>
      <w:r w:rsidR="00E8128F">
        <w:rPr>
          <w:sz w:val="36"/>
          <w:szCs w:val="36"/>
          <w:rtl/>
        </w:rPr>
        <w:t xml:space="preserve"> </w:t>
      </w:r>
      <w:r w:rsidR="00344044" w:rsidRPr="00FD211F">
        <w:rPr>
          <w:sz w:val="36"/>
          <w:szCs w:val="36"/>
          <w:rtl/>
        </w:rPr>
        <w:t>التحليل</w:t>
      </w:r>
      <w:r w:rsidR="00E8128F">
        <w:rPr>
          <w:sz w:val="36"/>
          <w:szCs w:val="36"/>
          <w:rtl/>
        </w:rPr>
        <w:t xml:space="preserve"> </w:t>
      </w:r>
      <w:r w:rsidR="00344044" w:rsidRPr="00FD211F">
        <w:rPr>
          <w:sz w:val="36"/>
          <w:szCs w:val="36"/>
          <w:rtl/>
        </w:rPr>
        <w:t>العقلي</w:t>
      </w:r>
      <w:r w:rsidR="00E8128F">
        <w:rPr>
          <w:sz w:val="36"/>
          <w:szCs w:val="36"/>
          <w:rtl/>
        </w:rPr>
        <w:t xml:space="preserve"> </w:t>
      </w:r>
      <w:r w:rsidR="00344044" w:rsidRPr="00FD211F">
        <w:rPr>
          <w:sz w:val="36"/>
          <w:szCs w:val="36"/>
          <w:rtl/>
        </w:rPr>
        <w:t>فكذلك</w:t>
      </w:r>
      <w:r w:rsidR="00E8128F">
        <w:rPr>
          <w:sz w:val="36"/>
          <w:szCs w:val="36"/>
          <w:rtl/>
        </w:rPr>
        <w:t xml:space="preserve"> </w:t>
      </w:r>
      <w:r w:rsidR="00344044" w:rsidRPr="00FD211F">
        <w:rPr>
          <w:sz w:val="36"/>
          <w:szCs w:val="36"/>
          <w:rtl/>
        </w:rPr>
        <w:t>مفهوم</w:t>
      </w:r>
      <w:r w:rsidR="00E8128F">
        <w:rPr>
          <w:sz w:val="36"/>
          <w:szCs w:val="36"/>
          <w:rtl/>
        </w:rPr>
        <w:t xml:space="preserve"> </w:t>
      </w:r>
      <w:r w:rsidR="00344044" w:rsidRPr="00FD211F">
        <w:rPr>
          <w:sz w:val="36"/>
          <w:szCs w:val="36"/>
          <w:rtl/>
        </w:rPr>
        <w:t>ال</w:t>
      </w:r>
      <w:r w:rsidR="008D7B3D" w:rsidRPr="00FD211F">
        <w:rPr>
          <w:sz w:val="36"/>
          <w:szCs w:val="36"/>
          <w:rtl/>
        </w:rPr>
        <w:t>شيء</w:t>
      </w:r>
      <w:r w:rsidR="00E8128F">
        <w:rPr>
          <w:sz w:val="36"/>
          <w:szCs w:val="36"/>
          <w:rtl/>
        </w:rPr>
        <w:t xml:space="preserve"> </w:t>
      </w:r>
      <w:r w:rsidR="00344044" w:rsidRPr="00FD211F">
        <w:rPr>
          <w:sz w:val="36"/>
          <w:szCs w:val="36"/>
          <w:rtl/>
        </w:rPr>
        <w:t>والانسان</w:t>
      </w:r>
      <w:r w:rsidR="00603323" w:rsidRPr="00FD211F">
        <w:rPr>
          <w:sz w:val="36"/>
          <w:szCs w:val="36"/>
          <w:rtl/>
        </w:rPr>
        <w:t>،</w:t>
      </w:r>
      <w:r w:rsidR="00E8128F">
        <w:rPr>
          <w:sz w:val="36"/>
          <w:szCs w:val="36"/>
          <w:rtl/>
        </w:rPr>
        <w:t xml:space="preserve"> </w:t>
      </w:r>
      <w:r w:rsidR="00344044" w:rsidRPr="00FD211F">
        <w:rPr>
          <w:sz w:val="36"/>
          <w:szCs w:val="36"/>
          <w:rtl/>
        </w:rPr>
        <w:t>فال</w:t>
      </w:r>
      <w:r w:rsidR="008D7B3D" w:rsidRPr="00FD211F">
        <w:rPr>
          <w:sz w:val="36"/>
          <w:szCs w:val="36"/>
          <w:rtl/>
        </w:rPr>
        <w:t>شيء</w:t>
      </w:r>
      <w:r w:rsidR="00E8128F">
        <w:rPr>
          <w:sz w:val="36"/>
          <w:szCs w:val="36"/>
          <w:rtl/>
        </w:rPr>
        <w:t xml:space="preserve"> </w:t>
      </w:r>
      <w:r w:rsidR="00344044" w:rsidRPr="00FD211F">
        <w:rPr>
          <w:sz w:val="36"/>
          <w:szCs w:val="36"/>
          <w:rtl/>
        </w:rPr>
        <w:t>ما</w:t>
      </w:r>
      <w:r w:rsidR="00E8128F">
        <w:rPr>
          <w:sz w:val="36"/>
          <w:szCs w:val="36"/>
          <w:rtl/>
        </w:rPr>
        <w:t xml:space="preserve"> </w:t>
      </w:r>
      <w:r w:rsidR="00344044" w:rsidRPr="00FD211F">
        <w:rPr>
          <w:sz w:val="36"/>
          <w:szCs w:val="36"/>
          <w:rtl/>
        </w:rPr>
        <w:t>ثبت</w:t>
      </w:r>
      <w:r w:rsidR="00E8128F">
        <w:rPr>
          <w:sz w:val="36"/>
          <w:szCs w:val="36"/>
          <w:rtl/>
        </w:rPr>
        <w:t xml:space="preserve"> </w:t>
      </w:r>
      <w:r w:rsidR="00344044" w:rsidRPr="00FD211F">
        <w:rPr>
          <w:sz w:val="36"/>
          <w:szCs w:val="36"/>
          <w:rtl/>
        </w:rPr>
        <w:t>له</w:t>
      </w:r>
      <w:r w:rsidR="00E8128F">
        <w:rPr>
          <w:sz w:val="36"/>
          <w:szCs w:val="36"/>
          <w:rtl/>
        </w:rPr>
        <w:t xml:space="preserve"> </w:t>
      </w:r>
      <w:r w:rsidR="00344044" w:rsidRPr="00FD211F">
        <w:rPr>
          <w:sz w:val="36"/>
          <w:szCs w:val="36"/>
          <w:rtl/>
        </w:rPr>
        <w:t>الشيئي</w:t>
      </w:r>
      <w:r w:rsidR="00EC7EDF" w:rsidRPr="00FD211F">
        <w:rPr>
          <w:sz w:val="36"/>
          <w:szCs w:val="36"/>
          <w:rtl/>
        </w:rPr>
        <w:t>ة</w:t>
      </w:r>
      <w:r w:rsidR="00603323" w:rsidRPr="00FD211F">
        <w:rPr>
          <w:sz w:val="36"/>
          <w:szCs w:val="36"/>
          <w:rtl/>
        </w:rPr>
        <w:t>،</w:t>
      </w:r>
      <w:r w:rsidR="00E8128F">
        <w:rPr>
          <w:sz w:val="36"/>
          <w:szCs w:val="36"/>
          <w:rtl/>
        </w:rPr>
        <w:t xml:space="preserve"> </w:t>
      </w:r>
      <w:r w:rsidR="00344044" w:rsidRPr="00FD211F">
        <w:rPr>
          <w:sz w:val="36"/>
          <w:szCs w:val="36"/>
          <w:rtl/>
        </w:rPr>
        <w:t>والانسان</w:t>
      </w:r>
      <w:r w:rsidR="00E8128F">
        <w:rPr>
          <w:sz w:val="36"/>
          <w:szCs w:val="36"/>
          <w:rtl/>
        </w:rPr>
        <w:t xml:space="preserve"> </w:t>
      </w:r>
      <w:r w:rsidR="00344044" w:rsidRPr="00FD211F">
        <w:rPr>
          <w:sz w:val="36"/>
          <w:szCs w:val="36"/>
          <w:rtl/>
        </w:rPr>
        <w:t>ما</w:t>
      </w:r>
      <w:r w:rsidR="00E8128F">
        <w:rPr>
          <w:sz w:val="36"/>
          <w:szCs w:val="36"/>
          <w:rtl/>
        </w:rPr>
        <w:t xml:space="preserve"> </w:t>
      </w:r>
      <w:r w:rsidR="00344044" w:rsidRPr="00FD211F">
        <w:rPr>
          <w:sz w:val="36"/>
          <w:szCs w:val="36"/>
          <w:rtl/>
        </w:rPr>
        <w:t>ثبت</w:t>
      </w:r>
      <w:r w:rsidR="00E8128F">
        <w:rPr>
          <w:sz w:val="36"/>
          <w:szCs w:val="36"/>
          <w:rtl/>
        </w:rPr>
        <w:t xml:space="preserve"> </w:t>
      </w:r>
      <w:r w:rsidR="00344044" w:rsidRPr="00FD211F">
        <w:rPr>
          <w:sz w:val="36"/>
          <w:szCs w:val="36"/>
          <w:rtl/>
        </w:rPr>
        <w:t>له</w:t>
      </w:r>
      <w:r w:rsidR="00E8128F">
        <w:rPr>
          <w:sz w:val="36"/>
          <w:szCs w:val="36"/>
          <w:rtl/>
        </w:rPr>
        <w:t xml:space="preserve"> </w:t>
      </w:r>
      <w:r w:rsidR="00344044" w:rsidRPr="00FD211F">
        <w:rPr>
          <w:sz w:val="36"/>
          <w:szCs w:val="36"/>
          <w:rtl/>
        </w:rPr>
        <w:t>الانساني</w:t>
      </w:r>
      <w:r w:rsidR="00EC7EDF" w:rsidRPr="00FD211F">
        <w:rPr>
          <w:sz w:val="36"/>
          <w:szCs w:val="36"/>
          <w:rtl/>
        </w:rPr>
        <w:t>ة</w:t>
      </w:r>
      <w:r w:rsidR="00A61BAE" w:rsidRPr="00FD211F">
        <w:rPr>
          <w:sz w:val="36"/>
          <w:szCs w:val="36"/>
          <w:rtl/>
        </w:rPr>
        <w:t>.</w:t>
      </w:r>
    </w:p>
    <w:p w14:paraId="388251D9" w14:textId="77777777" w:rsidR="00FE58F7" w:rsidRPr="00FD211F" w:rsidRDefault="006E0FCC" w:rsidP="009C58C8">
      <w:pPr>
        <w:ind w:left="0" w:firstLine="227"/>
        <w:jc w:val="both"/>
        <w:rPr>
          <w:sz w:val="36"/>
          <w:szCs w:val="36"/>
          <w:rtl/>
        </w:rPr>
      </w:pPr>
      <w:r w:rsidRPr="00FD211F">
        <w:rPr>
          <w:sz w:val="36"/>
          <w:szCs w:val="36"/>
          <w:rtl/>
        </w:rPr>
        <w:t>2-</w:t>
      </w:r>
      <w:r w:rsidR="00E8128F">
        <w:rPr>
          <w:sz w:val="36"/>
          <w:szCs w:val="36"/>
          <w:rtl/>
        </w:rPr>
        <w:t xml:space="preserve"> </w:t>
      </w:r>
      <w:r w:rsidR="0040555A" w:rsidRPr="00FD211F">
        <w:rPr>
          <w:sz w:val="36"/>
          <w:szCs w:val="36"/>
          <w:rtl/>
        </w:rPr>
        <w:t>ان</w:t>
      </w:r>
      <w:r w:rsidR="00E8128F">
        <w:rPr>
          <w:sz w:val="36"/>
          <w:szCs w:val="36"/>
          <w:rtl/>
        </w:rPr>
        <w:t xml:space="preserve"> </w:t>
      </w:r>
      <w:r w:rsidR="0040555A" w:rsidRPr="00FD211F">
        <w:rPr>
          <w:sz w:val="36"/>
          <w:szCs w:val="36"/>
          <w:rtl/>
        </w:rPr>
        <w:t>المشتق</w:t>
      </w:r>
      <w:r w:rsidR="00E8128F">
        <w:rPr>
          <w:sz w:val="36"/>
          <w:szCs w:val="36"/>
          <w:rtl/>
        </w:rPr>
        <w:t xml:space="preserve"> </w:t>
      </w:r>
      <w:r w:rsidR="0040555A" w:rsidRPr="00FD211F">
        <w:rPr>
          <w:sz w:val="36"/>
          <w:szCs w:val="36"/>
          <w:rtl/>
        </w:rPr>
        <w:t>لايختص</w:t>
      </w:r>
      <w:r w:rsidR="00E8128F">
        <w:rPr>
          <w:sz w:val="36"/>
          <w:szCs w:val="36"/>
          <w:rtl/>
        </w:rPr>
        <w:t xml:space="preserve"> </w:t>
      </w:r>
      <w:r w:rsidR="0040555A" w:rsidRPr="00FD211F">
        <w:rPr>
          <w:sz w:val="36"/>
          <w:szCs w:val="36"/>
          <w:rtl/>
        </w:rPr>
        <w:t>بما</w:t>
      </w:r>
      <w:r w:rsidR="00E8128F">
        <w:rPr>
          <w:sz w:val="36"/>
          <w:szCs w:val="36"/>
          <w:rtl/>
        </w:rPr>
        <w:t xml:space="preserve"> </w:t>
      </w:r>
      <w:r w:rsidR="0040555A" w:rsidRPr="00FD211F">
        <w:rPr>
          <w:sz w:val="36"/>
          <w:szCs w:val="36"/>
          <w:rtl/>
        </w:rPr>
        <w:t>يكون</w:t>
      </w:r>
      <w:r w:rsidR="00E8128F">
        <w:rPr>
          <w:sz w:val="36"/>
          <w:szCs w:val="36"/>
          <w:rtl/>
        </w:rPr>
        <w:t xml:space="preserve"> </w:t>
      </w:r>
      <w:r w:rsidR="0079493B" w:rsidRPr="00FD211F">
        <w:rPr>
          <w:sz w:val="36"/>
          <w:szCs w:val="36"/>
          <w:rtl/>
        </w:rPr>
        <w:t>مبدأ</w:t>
      </w:r>
      <w:r w:rsidR="0040555A" w:rsidRPr="00FD211F">
        <w:rPr>
          <w:sz w:val="36"/>
          <w:szCs w:val="36"/>
          <w:rtl/>
        </w:rPr>
        <w:t>ه</w:t>
      </w:r>
      <w:r w:rsidR="00E8128F">
        <w:rPr>
          <w:sz w:val="36"/>
          <w:szCs w:val="36"/>
          <w:rtl/>
        </w:rPr>
        <w:t xml:space="preserve"> </w:t>
      </w:r>
      <w:r w:rsidR="0040555A" w:rsidRPr="00FD211F">
        <w:rPr>
          <w:sz w:val="36"/>
          <w:szCs w:val="36"/>
          <w:rtl/>
        </w:rPr>
        <w:t>من</w:t>
      </w:r>
      <w:r w:rsidR="00E8128F">
        <w:rPr>
          <w:sz w:val="36"/>
          <w:szCs w:val="36"/>
          <w:rtl/>
        </w:rPr>
        <w:t xml:space="preserve"> </w:t>
      </w:r>
      <w:r w:rsidR="0040555A" w:rsidRPr="00FD211F">
        <w:rPr>
          <w:sz w:val="36"/>
          <w:szCs w:val="36"/>
          <w:rtl/>
        </w:rPr>
        <w:t>الاعراض</w:t>
      </w:r>
      <w:r w:rsidR="00E8128F">
        <w:rPr>
          <w:sz w:val="36"/>
          <w:szCs w:val="36"/>
          <w:rtl/>
        </w:rPr>
        <w:t xml:space="preserve"> </w:t>
      </w:r>
      <w:r w:rsidR="0040555A" w:rsidRPr="00FD211F">
        <w:rPr>
          <w:sz w:val="36"/>
          <w:szCs w:val="36"/>
          <w:rtl/>
        </w:rPr>
        <w:t>التسع</w:t>
      </w:r>
      <w:r w:rsidR="00EC7EDF" w:rsidRPr="00FD211F">
        <w:rPr>
          <w:sz w:val="36"/>
          <w:szCs w:val="36"/>
          <w:rtl/>
        </w:rPr>
        <w:t>ة</w:t>
      </w:r>
      <w:r w:rsidR="00603323" w:rsidRPr="00FD211F">
        <w:rPr>
          <w:sz w:val="36"/>
          <w:szCs w:val="36"/>
          <w:rtl/>
        </w:rPr>
        <w:t>،</w:t>
      </w:r>
      <w:r w:rsidR="00E8128F">
        <w:rPr>
          <w:sz w:val="36"/>
          <w:szCs w:val="36"/>
          <w:rtl/>
        </w:rPr>
        <w:t xml:space="preserve"> </w:t>
      </w:r>
      <w:r w:rsidR="0040555A" w:rsidRPr="00FD211F">
        <w:rPr>
          <w:sz w:val="36"/>
          <w:szCs w:val="36"/>
          <w:rtl/>
        </w:rPr>
        <w:t>بل</w:t>
      </w:r>
      <w:r w:rsidR="00E8128F">
        <w:rPr>
          <w:sz w:val="36"/>
          <w:szCs w:val="36"/>
          <w:rtl/>
        </w:rPr>
        <w:t xml:space="preserve"> </w:t>
      </w:r>
      <w:r w:rsidR="0040555A" w:rsidRPr="00FD211F">
        <w:rPr>
          <w:sz w:val="36"/>
          <w:szCs w:val="36"/>
          <w:rtl/>
        </w:rPr>
        <w:t>قد</w:t>
      </w:r>
      <w:r w:rsidR="00E8128F">
        <w:rPr>
          <w:sz w:val="36"/>
          <w:szCs w:val="36"/>
          <w:rtl/>
        </w:rPr>
        <w:t xml:space="preserve"> </w:t>
      </w:r>
      <w:r w:rsidR="0040555A" w:rsidRPr="00FD211F">
        <w:rPr>
          <w:sz w:val="36"/>
          <w:szCs w:val="36"/>
          <w:rtl/>
        </w:rPr>
        <w:t>يكون</w:t>
      </w:r>
      <w:r w:rsidR="00E8128F">
        <w:rPr>
          <w:sz w:val="36"/>
          <w:szCs w:val="36"/>
          <w:rtl/>
        </w:rPr>
        <w:t xml:space="preserve"> </w:t>
      </w:r>
      <w:r w:rsidR="0040555A" w:rsidRPr="00FD211F">
        <w:rPr>
          <w:sz w:val="36"/>
          <w:szCs w:val="36"/>
          <w:rtl/>
        </w:rPr>
        <w:t>امرا</w:t>
      </w:r>
      <w:r w:rsidR="00E8128F">
        <w:rPr>
          <w:sz w:val="36"/>
          <w:szCs w:val="36"/>
          <w:rtl/>
        </w:rPr>
        <w:t xml:space="preserve"> </w:t>
      </w:r>
      <w:r w:rsidR="0040555A" w:rsidRPr="00FD211F">
        <w:rPr>
          <w:sz w:val="36"/>
          <w:szCs w:val="36"/>
          <w:rtl/>
        </w:rPr>
        <w:t>انتزاعيا</w:t>
      </w:r>
      <w:r w:rsidR="00E8128F">
        <w:rPr>
          <w:sz w:val="36"/>
          <w:szCs w:val="36"/>
          <w:rtl/>
        </w:rPr>
        <w:t xml:space="preserve"> </w:t>
      </w:r>
      <w:r w:rsidR="0040555A" w:rsidRPr="00FD211F">
        <w:rPr>
          <w:sz w:val="36"/>
          <w:szCs w:val="36"/>
          <w:rtl/>
        </w:rPr>
        <w:t>كقولنا</w:t>
      </w:r>
      <w:r w:rsidR="00E8128F">
        <w:rPr>
          <w:sz w:val="36"/>
          <w:szCs w:val="36"/>
          <w:rtl/>
        </w:rPr>
        <w:t xml:space="preserve"> </w:t>
      </w:r>
      <w:r w:rsidR="0040555A" w:rsidRPr="00FD211F">
        <w:rPr>
          <w:sz w:val="36"/>
          <w:szCs w:val="36"/>
          <w:rtl/>
        </w:rPr>
        <w:t>الانسان</w:t>
      </w:r>
      <w:r w:rsidR="00E8128F">
        <w:rPr>
          <w:sz w:val="36"/>
          <w:szCs w:val="36"/>
          <w:rtl/>
        </w:rPr>
        <w:t xml:space="preserve"> </w:t>
      </w:r>
      <w:r w:rsidR="0040555A" w:rsidRPr="00FD211F">
        <w:rPr>
          <w:sz w:val="36"/>
          <w:szCs w:val="36"/>
          <w:rtl/>
        </w:rPr>
        <w:t>ممكن</w:t>
      </w:r>
      <w:r w:rsidR="00E8128F">
        <w:rPr>
          <w:sz w:val="36"/>
          <w:szCs w:val="36"/>
          <w:rtl/>
        </w:rPr>
        <w:t xml:space="preserve"> </w:t>
      </w:r>
      <w:r w:rsidR="0040555A" w:rsidRPr="00FD211F">
        <w:rPr>
          <w:sz w:val="36"/>
          <w:szCs w:val="36"/>
          <w:rtl/>
        </w:rPr>
        <w:t>وشري</w:t>
      </w:r>
      <w:r w:rsidR="00FE58F7" w:rsidRPr="00FD211F">
        <w:rPr>
          <w:sz w:val="36"/>
          <w:szCs w:val="36"/>
          <w:rtl/>
        </w:rPr>
        <w:t>ك</w:t>
      </w:r>
      <w:r w:rsidR="00E8128F">
        <w:rPr>
          <w:sz w:val="36"/>
          <w:szCs w:val="36"/>
          <w:rtl/>
        </w:rPr>
        <w:t xml:space="preserve"> </w:t>
      </w:r>
      <w:r w:rsidR="0040555A" w:rsidRPr="00FD211F">
        <w:rPr>
          <w:sz w:val="36"/>
          <w:szCs w:val="36"/>
          <w:rtl/>
        </w:rPr>
        <w:t>الباري</w:t>
      </w:r>
      <w:r w:rsidR="00E8128F">
        <w:rPr>
          <w:sz w:val="36"/>
          <w:szCs w:val="36"/>
          <w:rtl/>
        </w:rPr>
        <w:t xml:space="preserve"> </w:t>
      </w:r>
      <w:r w:rsidR="0040555A" w:rsidRPr="00FD211F">
        <w:rPr>
          <w:sz w:val="36"/>
          <w:szCs w:val="36"/>
          <w:rtl/>
        </w:rPr>
        <w:t>ممتنع</w:t>
      </w:r>
      <w:r w:rsidR="00603323" w:rsidRPr="00FD211F">
        <w:rPr>
          <w:sz w:val="36"/>
          <w:szCs w:val="36"/>
          <w:rtl/>
        </w:rPr>
        <w:t>،</w:t>
      </w:r>
      <w:r w:rsidR="00E8128F">
        <w:rPr>
          <w:sz w:val="36"/>
          <w:szCs w:val="36"/>
          <w:rtl/>
        </w:rPr>
        <w:t xml:space="preserve"> </w:t>
      </w:r>
      <w:r w:rsidR="0040555A" w:rsidRPr="00FD211F">
        <w:rPr>
          <w:sz w:val="36"/>
          <w:szCs w:val="36"/>
          <w:rtl/>
        </w:rPr>
        <w:t>وقد</w:t>
      </w:r>
      <w:r w:rsidR="00E8128F">
        <w:rPr>
          <w:sz w:val="36"/>
          <w:szCs w:val="36"/>
          <w:rtl/>
        </w:rPr>
        <w:t xml:space="preserve"> </w:t>
      </w:r>
      <w:r w:rsidR="0040555A" w:rsidRPr="00FD211F">
        <w:rPr>
          <w:sz w:val="36"/>
          <w:szCs w:val="36"/>
          <w:rtl/>
        </w:rPr>
        <w:t>يكون</w:t>
      </w:r>
      <w:r w:rsidR="00E8128F">
        <w:rPr>
          <w:sz w:val="36"/>
          <w:szCs w:val="36"/>
          <w:rtl/>
        </w:rPr>
        <w:t xml:space="preserve"> </w:t>
      </w:r>
      <w:r w:rsidR="0040555A" w:rsidRPr="00FD211F">
        <w:rPr>
          <w:sz w:val="36"/>
          <w:szCs w:val="36"/>
          <w:rtl/>
        </w:rPr>
        <w:t>اعتبارا</w:t>
      </w:r>
      <w:r w:rsidR="00E8128F">
        <w:rPr>
          <w:sz w:val="36"/>
          <w:szCs w:val="36"/>
          <w:rtl/>
        </w:rPr>
        <w:t xml:space="preserve"> </w:t>
      </w:r>
      <w:r w:rsidR="0040555A" w:rsidRPr="00FD211F">
        <w:rPr>
          <w:sz w:val="36"/>
          <w:szCs w:val="36"/>
          <w:rtl/>
        </w:rPr>
        <w:t>عقلائيا</w:t>
      </w:r>
      <w:r w:rsidR="00E8128F">
        <w:rPr>
          <w:sz w:val="36"/>
          <w:szCs w:val="36"/>
          <w:rtl/>
        </w:rPr>
        <w:t xml:space="preserve"> </w:t>
      </w:r>
      <w:r w:rsidR="0040555A" w:rsidRPr="00FD211F">
        <w:rPr>
          <w:sz w:val="36"/>
          <w:szCs w:val="36"/>
          <w:rtl/>
        </w:rPr>
        <w:t>كما</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قولنا</w:t>
      </w:r>
      <w:r w:rsidR="00E8128F">
        <w:rPr>
          <w:sz w:val="36"/>
          <w:szCs w:val="36"/>
          <w:rtl/>
        </w:rPr>
        <w:t xml:space="preserve"> </w:t>
      </w:r>
      <w:r w:rsidR="0040555A" w:rsidRPr="00FD211F">
        <w:rPr>
          <w:sz w:val="36"/>
          <w:szCs w:val="36"/>
          <w:rtl/>
        </w:rPr>
        <w:t>زيد</w:t>
      </w:r>
      <w:r w:rsidR="00E8128F">
        <w:rPr>
          <w:sz w:val="36"/>
          <w:szCs w:val="36"/>
          <w:rtl/>
        </w:rPr>
        <w:t xml:space="preserve"> </w:t>
      </w:r>
      <w:r w:rsidR="0040555A" w:rsidRPr="00FD211F">
        <w:rPr>
          <w:sz w:val="36"/>
          <w:szCs w:val="36"/>
          <w:rtl/>
        </w:rPr>
        <w:t>مالك</w:t>
      </w:r>
      <w:r w:rsidR="00603323" w:rsidRPr="00FD211F">
        <w:rPr>
          <w:sz w:val="36"/>
          <w:szCs w:val="36"/>
          <w:rtl/>
        </w:rPr>
        <w:t>،</w:t>
      </w:r>
      <w:r w:rsidR="00E8128F">
        <w:rPr>
          <w:sz w:val="36"/>
          <w:szCs w:val="36"/>
          <w:rtl/>
        </w:rPr>
        <w:t xml:space="preserve"> </w:t>
      </w:r>
      <w:r w:rsidR="0040555A" w:rsidRPr="00FD211F">
        <w:rPr>
          <w:sz w:val="36"/>
          <w:szCs w:val="36"/>
          <w:rtl/>
        </w:rPr>
        <w:t>وقد</w:t>
      </w:r>
      <w:r w:rsidR="00E8128F">
        <w:rPr>
          <w:sz w:val="36"/>
          <w:szCs w:val="36"/>
          <w:rtl/>
        </w:rPr>
        <w:t xml:space="preserve"> </w:t>
      </w:r>
      <w:r w:rsidR="0040555A" w:rsidRPr="00FD211F">
        <w:rPr>
          <w:sz w:val="36"/>
          <w:szCs w:val="36"/>
          <w:rtl/>
        </w:rPr>
        <w:t>يكون</w:t>
      </w:r>
      <w:r w:rsidR="00E8128F">
        <w:rPr>
          <w:sz w:val="36"/>
          <w:szCs w:val="36"/>
          <w:rtl/>
        </w:rPr>
        <w:t xml:space="preserve"> </w:t>
      </w:r>
      <w:r w:rsidR="0040555A" w:rsidRPr="00FD211F">
        <w:rPr>
          <w:sz w:val="36"/>
          <w:szCs w:val="36"/>
          <w:rtl/>
        </w:rPr>
        <w:t>عدما</w:t>
      </w:r>
      <w:r w:rsidR="00E8128F">
        <w:rPr>
          <w:sz w:val="36"/>
          <w:szCs w:val="36"/>
          <w:rtl/>
        </w:rPr>
        <w:t xml:space="preserve"> </w:t>
      </w:r>
      <w:r w:rsidR="0040555A" w:rsidRPr="00FD211F">
        <w:rPr>
          <w:sz w:val="36"/>
          <w:szCs w:val="36"/>
          <w:rtl/>
        </w:rPr>
        <w:t>كقولنا</w:t>
      </w:r>
      <w:r w:rsidR="00E8128F">
        <w:rPr>
          <w:sz w:val="36"/>
          <w:szCs w:val="36"/>
          <w:rtl/>
        </w:rPr>
        <w:t xml:space="preserve"> </w:t>
      </w:r>
      <w:r w:rsidR="0040555A" w:rsidRPr="00FD211F">
        <w:rPr>
          <w:sz w:val="36"/>
          <w:szCs w:val="36"/>
          <w:rtl/>
        </w:rPr>
        <w:t>العنقاء</w:t>
      </w:r>
      <w:r w:rsidR="00E8128F">
        <w:rPr>
          <w:sz w:val="36"/>
          <w:szCs w:val="36"/>
          <w:rtl/>
        </w:rPr>
        <w:t xml:space="preserve"> </w:t>
      </w:r>
      <w:r w:rsidR="0040555A" w:rsidRPr="00FD211F">
        <w:rPr>
          <w:sz w:val="36"/>
          <w:szCs w:val="36"/>
          <w:rtl/>
        </w:rPr>
        <w:t>معدوم</w:t>
      </w:r>
      <w:r w:rsidR="00603323" w:rsidRPr="00FD211F">
        <w:rPr>
          <w:sz w:val="36"/>
          <w:szCs w:val="36"/>
          <w:rtl/>
        </w:rPr>
        <w:t>،</w:t>
      </w:r>
      <w:r w:rsidR="00E8128F">
        <w:rPr>
          <w:sz w:val="36"/>
          <w:szCs w:val="36"/>
          <w:rtl/>
        </w:rPr>
        <w:t xml:space="preserve"> </w:t>
      </w:r>
      <w:r w:rsidR="0040555A" w:rsidRPr="00FD211F">
        <w:rPr>
          <w:sz w:val="36"/>
          <w:szCs w:val="36"/>
          <w:rtl/>
        </w:rPr>
        <w:t>وحيث</w:t>
      </w:r>
      <w:r w:rsidR="00E8128F">
        <w:rPr>
          <w:sz w:val="36"/>
          <w:szCs w:val="36"/>
          <w:rtl/>
        </w:rPr>
        <w:t xml:space="preserve"> </w:t>
      </w:r>
      <w:r w:rsidR="0040555A" w:rsidRPr="00FD211F">
        <w:rPr>
          <w:sz w:val="36"/>
          <w:szCs w:val="36"/>
          <w:rtl/>
        </w:rPr>
        <w:t>ان</w:t>
      </w:r>
      <w:r w:rsidR="00E8128F">
        <w:rPr>
          <w:sz w:val="36"/>
          <w:szCs w:val="36"/>
          <w:rtl/>
        </w:rPr>
        <w:t xml:space="preserve"> </w:t>
      </w:r>
      <w:r w:rsidR="0040555A" w:rsidRPr="00FD211F">
        <w:rPr>
          <w:sz w:val="36"/>
          <w:szCs w:val="36"/>
          <w:rtl/>
        </w:rPr>
        <w:t>معنى</w:t>
      </w:r>
      <w:r w:rsidR="00E8128F">
        <w:rPr>
          <w:sz w:val="36"/>
          <w:szCs w:val="36"/>
          <w:rtl/>
        </w:rPr>
        <w:t xml:space="preserve"> </w:t>
      </w:r>
      <w:r w:rsidR="0040555A" w:rsidRPr="00FD211F">
        <w:rPr>
          <w:sz w:val="36"/>
          <w:szCs w:val="36"/>
          <w:rtl/>
        </w:rPr>
        <w:t>هيئ</w:t>
      </w:r>
      <w:r w:rsidR="00EC7EDF" w:rsidRPr="00FD211F">
        <w:rPr>
          <w:sz w:val="36"/>
          <w:szCs w:val="36"/>
          <w:rtl/>
        </w:rPr>
        <w:t>ة</w:t>
      </w:r>
      <w:r w:rsidR="00E8128F">
        <w:rPr>
          <w:sz w:val="36"/>
          <w:szCs w:val="36"/>
          <w:rtl/>
        </w:rPr>
        <w:t xml:space="preserve"> </w:t>
      </w:r>
      <w:r w:rsidR="0040555A" w:rsidRPr="00FD211F">
        <w:rPr>
          <w:sz w:val="36"/>
          <w:szCs w:val="36"/>
          <w:rtl/>
        </w:rPr>
        <w:t>المشتق</w:t>
      </w:r>
      <w:r w:rsidR="00E8128F">
        <w:rPr>
          <w:sz w:val="36"/>
          <w:szCs w:val="36"/>
          <w:rtl/>
        </w:rPr>
        <w:t xml:space="preserve"> </w:t>
      </w:r>
      <w:r w:rsidR="0040555A" w:rsidRPr="00FD211F">
        <w:rPr>
          <w:sz w:val="36"/>
          <w:szCs w:val="36"/>
          <w:rtl/>
        </w:rPr>
        <w:t>واحد</w:t>
      </w:r>
      <w:r w:rsidR="00E8128F">
        <w:rPr>
          <w:sz w:val="36"/>
          <w:szCs w:val="36"/>
          <w:rtl/>
        </w:rPr>
        <w:t xml:space="preserve"> </w:t>
      </w:r>
      <w:r w:rsidR="0040555A" w:rsidRPr="00FD211F">
        <w:rPr>
          <w:sz w:val="36"/>
          <w:szCs w:val="36"/>
          <w:rtl/>
        </w:rPr>
        <w:t>وجدانا</w:t>
      </w:r>
      <w:r w:rsidR="00E8128F">
        <w:rPr>
          <w:sz w:val="36"/>
          <w:szCs w:val="36"/>
          <w:rtl/>
        </w:rPr>
        <w:t xml:space="preserve"> </w:t>
      </w:r>
      <w:r w:rsidR="0040555A" w:rsidRPr="00FD211F">
        <w:rPr>
          <w:sz w:val="36"/>
          <w:szCs w:val="36"/>
          <w:rtl/>
        </w:rPr>
        <w:t>فلابد</w:t>
      </w:r>
      <w:r w:rsidR="00E8128F">
        <w:rPr>
          <w:sz w:val="36"/>
          <w:szCs w:val="36"/>
          <w:rtl/>
        </w:rPr>
        <w:t xml:space="preserve"> </w:t>
      </w:r>
      <w:r w:rsidR="0040555A" w:rsidRPr="00FD211F">
        <w:rPr>
          <w:sz w:val="36"/>
          <w:szCs w:val="36"/>
          <w:rtl/>
        </w:rPr>
        <w:t>من</w:t>
      </w:r>
      <w:r w:rsidR="00E8128F">
        <w:rPr>
          <w:sz w:val="36"/>
          <w:szCs w:val="36"/>
          <w:rtl/>
        </w:rPr>
        <w:t xml:space="preserve"> </w:t>
      </w:r>
      <w:r w:rsidR="0040555A" w:rsidRPr="00FD211F">
        <w:rPr>
          <w:sz w:val="36"/>
          <w:szCs w:val="36"/>
          <w:rtl/>
        </w:rPr>
        <w:t>تفسيره</w:t>
      </w:r>
      <w:r w:rsidR="00E8128F">
        <w:rPr>
          <w:sz w:val="36"/>
          <w:szCs w:val="36"/>
          <w:rtl/>
        </w:rPr>
        <w:t xml:space="preserve"> </w:t>
      </w:r>
      <w:r w:rsidR="0040555A" w:rsidRPr="00FD211F">
        <w:rPr>
          <w:sz w:val="36"/>
          <w:szCs w:val="36"/>
          <w:rtl/>
        </w:rPr>
        <w:t>بما</w:t>
      </w:r>
      <w:r w:rsidR="00E8128F">
        <w:rPr>
          <w:sz w:val="36"/>
          <w:szCs w:val="36"/>
          <w:rtl/>
        </w:rPr>
        <w:t xml:space="preserve"> </w:t>
      </w:r>
      <w:r w:rsidR="0040555A" w:rsidRPr="00FD211F">
        <w:rPr>
          <w:sz w:val="36"/>
          <w:szCs w:val="36"/>
          <w:rtl/>
        </w:rPr>
        <w:t>يكون</w:t>
      </w:r>
      <w:r w:rsidR="00E8128F">
        <w:rPr>
          <w:sz w:val="36"/>
          <w:szCs w:val="36"/>
          <w:rtl/>
        </w:rPr>
        <w:t xml:space="preserve"> </w:t>
      </w:r>
      <w:r w:rsidR="0040555A" w:rsidRPr="00FD211F">
        <w:rPr>
          <w:sz w:val="36"/>
          <w:szCs w:val="36"/>
          <w:rtl/>
        </w:rPr>
        <w:t>جامعا</w:t>
      </w:r>
      <w:r w:rsidR="00E8128F">
        <w:rPr>
          <w:sz w:val="36"/>
          <w:szCs w:val="36"/>
          <w:rtl/>
        </w:rPr>
        <w:t xml:space="preserve"> </w:t>
      </w:r>
      <w:r w:rsidR="00FE58F7" w:rsidRPr="00FD211F">
        <w:rPr>
          <w:sz w:val="36"/>
          <w:szCs w:val="36"/>
          <w:rtl/>
        </w:rPr>
        <w:t>لجميع</w:t>
      </w:r>
      <w:r w:rsidR="00E8128F">
        <w:rPr>
          <w:sz w:val="36"/>
          <w:szCs w:val="36"/>
          <w:rtl/>
        </w:rPr>
        <w:t xml:space="preserve"> </w:t>
      </w:r>
      <w:r w:rsidR="00FE58F7" w:rsidRPr="00FD211F">
        <w:rPr>
          <w:sz w:val="36"/>
          <w:szCs w:val="36"/>
          <w:rtl/>
        </w:rPr>
        <w:t>هذه</w:t>
      </w:r>
      <w:r w:rsidR="00E8128F">
        <w:rPr>
          <w:sz w:val="36"/>
          <w:szCs w:val="36"/>
          <w:rtl/>
        </w:rPr>
        <w:t xml:space="preserve"> </w:t>
      </w:r>
      <w:r w:rsidR="00FE58F7" w:rsidRPr="00FD211F">
        <w:rPr>
          <w:sz w:val="36"/>
          <w:szCs w:val="36"/>
          <w:rtl/>
        </w:rPr>
        <w:t>الموارد</w:t>
      </w:r>
      <w:r w:rsidR="009C58C8" w:rsidRPr="00FD211F">
        <w:rPr>
          <w:rStyle w:val="a6"/>
          <w:sz w:val="36"/>
          <w:szCs w:val="36"/>
          <w:rtl/>
        </w:rPr>
        <w:t>(</w:t>
      </w:r>
      <w:r w:rsidR="009C58C8" w:rsidRPr="00FD211F">
        <w:rPr>
          <w:rStyle w:val="a6"/>
          <w:sz w:val="36"/>
          <w:szCs w:val="36"/>
          <w:rtl/>
        </w:rPr>
        <w:footnoteReference w:id="585"/>
      </w:r>
      <w:r w:rsidR="009C58C8" w:rsidRPr="00FD211F">
        <w:rPr>
          <w:rStyle w:val="a6"/>
          <w:sz w:val="36"/>
          <w:szCs w:val="36"/>
          <w:rtl/>
        </w:rPr>
        <w:t>)</w:t>
      </w:r>
      <w:r w:rsidR="00FE58F7" w:rsidRPr="00FD211F">
        <w:rPr>
          <w:sz w:val="36"/>
          <w:szCs w:val="36"/>
          <w:rtl/>
        </w:rPr>
        <w:t>.</w:t>
      </w:r>
    </w:p>
    <w:p w14:paraId="7A8AC36D" w14:textId="77777777" w:rsidR="000C5BBA" w:rsidRPr="00FD211F" w:rsidRDefault="00FE58F7" w:rsidP="005946E3">
      <w:pPr>
        <w:ind w:left="0" w:firstLine="227"/>
        <w:jc w:val="both"/>
        <w:rPr>
          <w:sz w:val="36"/>
          <w:szCs w:val="36"/>
          <w:rtl/>
        </w:rPr>
      </w:pPr>
      <w:r w:rsidRPr="00FD211F">
        <w:rPr>
          <w:sz w:val="36"/>
          <w:szCs w:val="36"/>
          <w:rtl/>
        </w:rPr>
        <w:t>و</w:t>
      </w:r>
      <w:r w:rsidR="006E0FCC" w:rsidRPr="00FD211F">
        <w:rPr>
          <w:sz w:val="36"/>
          <w:szCs w:val="36"/>
          <w:rtl/>
        </w:rPr>
        <w:t>فيه</w:t>
      </w:r>
      <w:r w:rsidR="00E8128F">
        <w:rPr>
          <w:sz w:val="36"/>
          <w:szCs w:val="36"/>
          <w:rtl/>
        </w:rPr>
        <w:t xml:space="preserve"> </w:t>
      </w:r>
      <w:r w:rsidR="006E0FCC" w:rsidRPr="00FD211F">
        <w:rPr>
          <w:sz w:val="36"/>
          <w:szCs w:val="36"/>
          <w:rtl/>
        </w:rPr>
        <w:t>انه</w:t>
      </w:r>
      <w:r w:rsidR="00E8128F">
        <w:rPr>
          <w:sz w:val="36"/>
          <w:szCs w:val="36"/>
          <w:rtl/>
        </w:rPr>
        <w:t xml:space="preserve"> </w:t>
      </w:r>
      <w:r w:rsidR="006E0FCC" w:rsidRPr="00FD211F">
        <w:rPr>
          <w:sz w:val="36"/>
          <w:szCs w:val="36"/>
          <w:rtl/>
        </w:rPr>
        <w:t>-كماذكرفي</w:t>
      </w:r>
      <w:r w:rsidR="00E8128F">
        <w:rPr>
          <w:sz w:val="36"/>
          <w:szCs w:val="36"/>
          <w:rtl/>
        </w:rPr>
        <w:t xml:space="preserve"> </w:t>
      </w:r>
      <w:r w:rsidR="006E0FCC" w:rsidRPr="00FD211F">
        <w:rPr>
          <w:sz w:val="36"/>
          <w:szCs w:val="36"/>
          <w:rtl/>
        </w:rPr>
        <w:t>البحوث</w:t>
      </w:r>
      <w:r w:rsidR="009C58C8" w:rsidRPr="00FD211F">
        <w:rPr>
          <w:rStyle w:val="a6"/>
          <w:sz w:val="36"/>
          <w:szCs w:val="36"/>
          <w:rtl/>
        </w:rPr>
        <w:t>(</w:t>
      </w:r>
      <w:r w:rsidR="009C58C8" w:rsidRPr="00FD211F">
        <w:rPr>
          <w:rStyle w:val="a6"/>
          <w:sz w:val="36"/>
          <w:szCs w:val="36"/>
          <w:rtl/>
        </w:rPr>
        <w:footnoteReference w:id="586"/>
      </w:r>
      <w:r w:rsidR="009C58C8" w:rsidRPr="00FD211F">
        <w:rPr>
          <w:rStyle w:val="a6"/>
          <w:sz w:val="36"/>
          <w:szCs w:val="36"/>
          <w:rtl/>
        </w:rPr>
        <w:t>)</w:t>
      </w:r>
      <w:r w:rsidR="00E8128F">
        <w:rPr>
          <w:sz w:val="36"/>
          <w:szCs w:val="36"/>
          <w:rtl/>
        </w:rPr>
        <w:t xml:space="preserve"> </w:t>
      </w:r>
      <w:r w:rsidR="006E0FCC" w:rsidRPr="00FD211F">
        <w:rPr>
          <w:sz w:val="36"/>
          <w:szCs w:val="36"/>
          <w:rtl/>
        </w:rPr>
        <w:t>-</w:t>
      </w:r>
      <w:r w:rsidR="0040555A" w:rsidRPr="00FD211F">
        <w:rPr>
          <w:sz w:val="36"/>
          <w:szCs w:val="36"/>
          <w:rtl/>
        </w:rPr>
        <w:t>لااشكال</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انه</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تلك</w:t>
      </w:r>
      <w:r w:rsidR="00E8128F">
        <w:rPr>
          <w:sz w:val="36"/>
          <w:szCs w:val="36"/>
          <w:rtl/>
        </w:rPr>
        <w:t xml:space="preserve"> </w:t>
      </w:r>
      <w:r w:rsidR="0040555A" w:rsidRPr="00FD211F">
        <w:rPr>
          <w:sz w:val="36"/>
          <w:szCs w:val="36"/>
          <w:rtl/>
        </w:rPr>
        <w:t>الامثل</w:t>
      </w:r>
      <w:r w:rsidR="00EC7EDF" w:rsidRPr="00FD211F">
        <w:rPr>
          <w:sz w:val="36"/>
          <w:szCs w:val="36"/>
          <w:rtl/>
        </w:rPr>
        <w:t>ة</w:t>
      </w:r>
      <w:r w:rsidR="00E8128F">
        <w:rPr>
          <w:sz w:val="36"/>
          <w:szCs w:val="36"/>
          <w:rtl/>
        </w:rPr>
        <w:t xml:space="preserve"> </w:t>
      </w:r>
      <w:r w:rsidR="0040555A" w:rsidRPr="00FD211F">
        <w:rPr>
          <w:sz w:val="36"/>
          <w:szCs w:val="36"/>
          <w:rtl/>
        </w:rPr>
        <w:t>يرى</w:t>
      </w:r>
      <w:r w:rsidR="00E8128F">
        <w:rPr>
          <w:sz w:val="36"/>
          <w:szCs w:val="36"/>
          <w:rtl/>
        </w:rPr>
        <w:t xml:space="preserve"> </w:t>
      </w:r>
      <w:r w:rsidR="0040555A" w:rsidRPr="00FD211F">
        <w:rPr>
          <w:sz w:val="36"/>
          <w:szCs w:val="36"/>
          <w:rtl/>
        </w:rPr>
        <w:t>الذهن</w:t>
      </w:r>
      <w:r w:rsidR="00E8128F">
        <w:rPr>
          <w:sz w:val="36"/>
          <w:szCs w:val="36"/>
          <w:rtl/>
        </w:rPr>
        <w:t xml:space="preserve"> </w:t>
      </w:r>
      <w:r w:rsidR="0040555A" w:rsidRPr="00FD211F">
        <w:rPr>
          <w:sz w:val="36"/>
          <w:szCs w:val="36"/>
          <w:rtl/>
        </w:rPr>
        <w:t>اتحاد</w:t>
      </w:r>
      <w:r w:rsidR="00E8128F">
        <w:rPr>
          <w:sz w:val="36"/>
          <w:szCs w:val="36"/>
          <w:rtl/>
        </w:rPr>
        <w:t xml:space="preserve"> </w:t>
      </w:r>
      <w:r w:rsidR="0040555A" w:rsidRPr="00FD211F">
        <w:rPr>
          <w:sz w:val="36"/>
          <w:szCs w:val="36"/>
          <w:rtl/>
        </w:rPr>
        <w:t>الموضوع</w:t>
      </w:r>
      <w:r w:rsidR="00E8128F">
        <w:rPr>
          <w:sz w:val="36"/>
          <w:szCs w:val="36"/>
          <w:rtl/>
        </w:rPr>
        <w:t xml:space="preserve"> </w:t>
      </w:r>
      <w:r w:rsidR="0040555A" w:rsidRPr="00FD211F">
        <w:rPr>
          <w:sz w:val="36"/>
          <w:szCs w:val="36"/>
          <w:rtl/>
        </w:rPr>
        <w:t>والمحمول</w:t>
      </w:r>
      <w:r w:rsidR="00E8128F">
        <w:rPr>
          <w:sz w:val="36"/>
          <w:szCs w:val="36"/>
          <w:rtl/>
        </w:rPr>
        <w:t xml:space="preserve"> </w:t>
      </w:r>
      <w:r w:rsidR="0040555A" w:rsidRPr="00FD211F">
        <w:rPr>
          <w:sz w:val="36"/>
          <w:szCs w:val="36"/>
          <w:rtl/>
        </w:rPr>
        <w:t>واقعا</w:t>
      </w:r>
      <w:r w:rsidR="00603323" w:rsidRPr="00FD211F">
        <w:rPr>
          <w:sz w:val="36"/>
          <w:szCs w:val="36"/>
          <w:rtl/>
        </w:rPr>
        <w:t>،</w:t>
      </w:r>
      <w:r w:rsidR="00E8128F">
        <w:rPr>
          <w:sz w:val="36"/>
          <w:szCs w:val="36"/>
          <w:rtl/>
        </w:rPr>
        <w:t xml:space="preserve"> </w:t>
      </w:r>
      <w:r w:rsidR="0040555A" w:rsidRPr="00FD211F">
        <w:rPr>
          <w:sz w:val="36"/>
          <w:szCs w:val="36"/>
          <w:rtl/>
        </w:rPr>
        <w:t>و</w:t>
      </w:r>
      <w:r w:rsidRPr="00FD211F">
        <w:rPr>
          <w:sz w:val="36"/>
          <w:szCs w:val="36"/>
          <w:rtl/>
        </w:rPr>
        <w:t>الا</w:t>
      </w:r>
      <w:r w:rsidR="00E8128F">
        <w:rPr>
          <w:sz w:val="36"/>
          <w:szCs w:val="36"/>
          <w:rtl/>
        </w:rPr>
        <w:t xml:space="preserve"> </w:t>
      </w:r>
      <w:r w:rsidR="008D7B3D" w:rsidRPr="00FD211F">
        <w:rPr>
          <w:sz w:val="36"/>
          <w:szCs w:val="36"/>
          <w:rtl/>
        </w:rPr>
        <w:t>لم‌</w:t>
      </w:r>
      <w:r w:rsidR="0040555A" w:rsidRPr="00FD211F">
        <w:rPr>
          <w:sz w:val="36"/>
          <w:szCs w:val="36"/>
          <w:rtl/>
        </w:rPr>
        <w:t>يصح</w:t>
      </w:r>
      <w:r w:rsidR="00E8128F">
        <w:rPr>
          <w:sz w:val="36"/>
          <w:szCs w:val="36"/>
          <w:rtl/>
        </w:rPr>
        <w:t xml:space="preserve"> </w:t>
      </w:r>
      <w:r w:rsidR="0040555A" w:rsidRPr="00FD211F">
        <w:rPr>
          <w:sz w:val="36"/>
          <w:szCs w:val="36"/>
          <w:rtl/>
        </w:rPr>
        <w:t>الحمل</w:t>
      </w:r>
      <w:r w:rsidR="00E8128F">
        <w:rPr>
          <w:sz w:val="36"/>
          <w:szCs w:val="36"/>
          <w:rtl/>
        </w:rPr>
        <w:t xml:space="preserve"> </w:t>
      </w:r>
      <w:r w:rsidR="0040555A" w:rsidRPr="00FD211F">
        <w:rPr>
          <w:sz w:val="36"/>
          <w:szCs w:val="36"/>
          <w:rtl/>
        </w:rPr>
        <w:t>بنظر</w:t>
      </w:r>
      <w:r w:rsidR="00E8128F">
        <w:rPr>
          <w:sz w:val="36"/>
          <w:szCs w:val="36"/>
          <w:rtl/>
        </w:rPr>
        <w:t xml:space="preserve"> </w:t>
      </w:r>
      <w:r w:rsidR="00360F5C" w:rsidRPr="00FD211F">
        <w:rPr>
          <w:sz w:val="36"/>
          <w:szCs w:val="36"/>
          <w:rtl/>
        </w:rPr>
        <w:t>السيد</w:t>
      </w:r>
      <w:r w:rsidR="00E8128F">
        <w:rPr>
          <w:sz w:val="36"/>
          <w:szCs w:val="36"/>
          <w:rtl/>
        </w:rPr>
        <w:t xml:space="preserve"> </w:t>
      </w:r>
      <w:r w:rsidR="00360F5C" w:rsidRPr="00FD211F">
        <w:rPr>
          <w:sz w:val="36"/>
          <w:szCs w:val="36"/>
          <w:rtl/>
        </w:rPr>
        <w:t>الخوئي</w:t>
      </w:r>
      <w:r w:rsidR="00E8128F">
        <w:rPr>
          <w:sz w:val="36"/>
          <w:szCs w:val="36"/>
          <w:rtl/>
        </w:rPr>
        <w:t xml:space="preserve"> </w:t>
      </w:r>
      <w:r w:rsidR="005946E3" w:rsidRPr="00FD211F">
        <w:rPr>
          <w:sz w:val="36"/>
          <w:szCs w:val="36"/>
          <w:rtl/>
        </w:rPr>
        <w:t>"قده"</w:t>
      </w:r>
      <w:r w:rsidR="00E8128F">
        <w:rPr>
          <w:sz w:val="36"/>
          <w:szCs w:val="36"/>
          <w:rtl/>
        </w:rPr>
        <w:t xml:space="preserve"> </w:t>
      </w:r>
      <w:r w:rsidR="0040555A" w:rsidRPr="00FD211F">
        <w:rPr>
          <w:sz w:val="36"/>
          <w:szCs w:val="36"/>
          <w:rtl/>
        </w:rPr>
        <w:t>ايضا</w:t>
      </w:r>
      <w:r w:rsidR="00603323" w:rsidRPr="00FD211F">
        <w:rPr>
          <w:sz w:val="36"/>
          <w:szCs w:val="36"/>
          <w:rtl/>
        </w:rPr>
        <w:t>،</w:t>
      </w:r>
      <w:r w:rsidR="00E8128F">
        <w:rPr>
          <w:sz w:val="36"/>
          <w:szCs w:val="36"/>
          <w:rtl/>
        </w:rPr>
        <w:t xml:space="preserve"> </w:t>
      </w:r>
      <w:r w:rsidR="0040555A" w:rsidRPr="00FD211F">
        <w:rPr>
          <w:sz w:val="36"/>
          <w:szCs w:val="36"/>
          <w:rtl/>
        </w:rPr>
        <w:t>اذ</w:t>
      </w:r>
      <w:r w:rsidR="00E8128F">
        <w:rPr>
          <w:sz w:val="36"/>
          <w:szCs w:val="36"/>
          <w:rtl/>
        </w:rPr>
        <w:t xml:space="preserve"> </w:t>
      </w:r>
      <w:r w:rsidR="0040555A" w:rsidRPr="00FD211F">
        <w:rPr>
          <w:sz w:val="36"/>
          <w:szCs w:val="36"/>
          <w:rtl/>
        </w:rPr>
        <w:t>غرضه</w:t>
      </w:r>
      <w:r w:rsidR="00E8128F">
        <w:rPr>
          <w:sz w:val="36"/>
          <w:szCs w:val="36"/>
          <w:rtl/>
        </w:rPr>
        <w:t xml:space="preserve"> </w:t>
      </w:r>
      <w:r w:rsidR="0040555A" w:rsidRPr="00FD211F">
        <w:rPr>
          <w:sz w:val="36"/>
          <w:szCs w:val="36"/>
          <w:rtl/>
        </w:rPr>
        <w:t>بيان</w:t>
      </w:r>
      <w:r w:rsidR="00E8128F">
        <w:rPr>
          <w:sz w:val="36"/>
          <w:szCs w:val="36"/>
          <w:rtl/>
        </w:rPr>
        <w:t xml:space="preserve"> </w:t>
      </w:r>
      <w:r w:rsidR="0040555A" w:rsidRPr="00FD211F">
        <w:rPr>
          <w:sz w:val="36"/>
          <w:szCs w:val="36"/>
          <w:rtl/>
        </w:rPr>
        <w:t>تركب</w:t>
      </w:r>
      <w:r w:rsidR="00E8128F">
        <w:rPr>
          <w:sz w:val="36"/>
          <w:szCs w:val="36"/>
          <w:rtl/>
        </w:rPr>
        <w:t xml:space="preserve"> </w:t>
      </w:r>
      <w:r w:rsidR="0040555A" w:rsidRPr="00FD211F">
        <w:rPr>
          <w:sz w:val="36"/>
          <w:szCs w:val="36"/>
          <w:rtl/>
        </w:rPr>
        <w:t>هذه</w:t>
      </w:r>
      <w:r w:rsidR="00E8128F">
        <w:rPr>
          <w:sz w:val="36"/>
          <w:szCs w:val="36"/>
          <w:rtl/>
        </w:rPr>
        <w:t xml:space="preserve"> </w:t>
      </w:r>
      <w:r w:rsidR="0040555A" w:rsidRPr="00FD211F">
        <w:rPr>
          <w:sz w:val="36"/>
          <w:szCs w:val="36"/>
          <w:rtl/>
        </w:rPr>
        <w:t>المحمولات</w:t>
      </w:r>
      <w:r w:rsidR="00E8128F">
        <w:rPr>
          <w:sz w:val="36"/>
          <w:szCs w:val="36"/>
          <w:rtl/>
        </w:rPr>
        <w:t xml:space="preserve"> </w:t>
      </w:r>
      <w:r w:rsidR="0040555A" w:rsidRPr="00FD211F">
        <w:rPr>
          <w:sz w:val="36"/>
          <w:szCs w:val="36"/>
          <w:rtl/>
        </w:rPr>
        <w:t>لانفي</w:t>
      </w:r>
      <w:r w:rsidR="00E8128F">
        <w:rPr>
          <w:sz w:val="36"/>
          <w:szCs w:val="36"/>
          <w:rtl/>
        </w:rPr>
        <w:t xml:space="preserve"> </w:t>
      </w:r>
      <w:r w:rsidR="0040555A" w:rsidRPr="00FD211F">
        <w:rPr>
          <w:sz w:val="36"/>
          <w:szCs w:val="36"/>
          <w:rtl/>
        </w:rPr>
        <w:t>صح</w:t>
      </w:r>
      <w:r w:rsidR="00EC7EDF" w:rsidRPr="00FD211F">
        <w:rPr>
          <w:sz w:val="36"/>
          <w:szCs w:val="36"/>
          <w:rtl/>
        </w:rPr>
        <w:t>ة</w:t>
      </w:r>
      <w:r w:rsidR="00E8128F">
        <w:rPr>
          <w:sz w:val="36"/>
          <w:szCs w:val="36"/>
          <w:rtl/>
        </w:rPr>
        <w:t xml:space="preserve"> </w:t>
      </w:r>
      <w:r w:rsidR="0040555A" w:rsidRPr="00FD211F">
        <w:rPr>
          <w:sz w:val="36"/>
          <w:szCs w:val="36"/>
          <w:rtl/>
        </w:rPr>
        <w:t>حملها</w:t>
      </w:r>
      <w:r w:rsidR="00E8128F">
        <w:rPr>
          <w:sz w:val="36"/>
          <w:szCs w:val="36"/>
          <w:rtl/>
        </w:rPr>
        <w:t xml:space="preserve"> </w:t>
      </w:r>
      <w:r w:rsidR="0040555A" w:rsidRPr="00FD211F">
        <w:rPr>
          <w:sz w:val="36"/>
          <w:szCs w:val="36"/>
          <w:rtl/>
        </w:rPr>
        <w:t>كما</w:t>
      </w:r>
      <w:r w:rsidR="00E8128F">
        <w:rPr>
          <w:sz w:val="36"/>
          <w:szCs w:val="36"/>
          <w:rtl/>
        </w:rPr>
        <w:t xml:space="preserve"> </w:t>
      </w:r>
      <w:r w:rsidR="0040555A" w:rsidRPr="00FD211F">
        <w:rPr>
          <w:sz w:val="36"/>
          <w:szCs w:val="36"/>
          <w:rtl/>
        </w:rPr>
        <w:t>هو</w:t>
      </w:r>
      <w:r w:rsidR="00E8128F">
        <w:rPr>
          <w:sz w:val="36"/>
          <w:szCs w:val="36"/>
          <w:rtl/>
        </w:rPr>
        <w:t xml:space="preserve"> </w:t>
      </w:r>
      <w:r w:rsidR="0040555A" w:rsidRPr="00FD211F">
        <w:rPr>
          <w:sz w:val="36"/>
          <w:szCs w:val="36"/>
          <w:rtl/>
        </w:rPr>
        <w:t>ظاهر</w:t>
      </w:r>
      <w:r w:rsidR="00603323" w:rsidRPr="00FD211F">
        <w:rPr>
          <w:sz w:val="36"/>
          <w:szCs w:val="36"/>
          <w:rtl/>
        </w:rPr>
        <w:t>،</w:t>
      </w:r>
      <w:r w:rsidR="00E8128F">
        <w:rPr>
          <w:sz w:val="36"/>
          <w:szCs w:val="36"/>
          <w:rtl/>
        </w:rPr>
        <w:t xml:space="preserve"> </w:t>
      </w:r>
      <w:r w:rsidR="0040555A" w:rsidRPr="00FD211F">
        <w:rPr>
          <w:sz w:val="36"/>
          <w:szCs w:val="36"/>
          <w:rtl/>
        </w:rPr>
        <w:t>وحينئذ</w:t>
      </w:r>
      <w:r w:rsidR="00E8128F">
        <w:rPr>
          <w:sz w:val="36"/>
          <w:szCs w:val="36"/>
          <w:rtl/>
        </w:rPr>
        <w:t xml:space="preserve"> </w:t>
      </w:r>
      <w:r w:rsidR="0040555A" w:rsidRPr="00FD211F">
        <w:rPr>
          <w:sz w:val="36"/>
          <w:szCs w:val="36"/>
          <w:rtl/>
        </w:rPr>
        <w:t>فللمحقق</w:t>
      </w:r>
      <w:r w:rsidR="00E8128F">
        <w:rPr>
          <w:sz w:val="36"/>
          <w:szCs w:val="36"/>
          <w:rtl/>
        </w:rPr>
        <w:t xml:space="preserve"> </w:t>
      </w:r>
      <w:r w:rsidR="0040555A" w:rsidRPr="00FD211F">
        <w:rPr>
          <w:sz w:val="36"/>
          <w:szCs w:val="36"/>
          <w:rtl/>
        </w:rPr>
        <w:t>النائيني</w:t>
      </w:r>
      <w:r w:rsidR="00E8128F">
        <w:rPr>
          <w:sz w:val="36"/>
          <w:szCs w:val="36"/>
          <w:rtl/>
        </w:rPr>
        <w:t xml:space="preserve"> </w:t>
      </w:r>
      <w:r w:rsidR="00C55F9F" w:rsidRPr="00FD211F">
        <w:rPr>
          <w:sz w:val="36"/>
          <w:szCs w:val="36"/>
          <w:rtl/>
        </w:rPr>
        <w:t>"</w:t>
      </w:r>
      <w:r w:rsidR="0040555A" w:rsidRPr="00FD211F">
        <w:rPr>
          <w:sz w:val="36"/>
          <w:szCs w:val="36"/>
          <w:rtl/>
        </w:rPr>
        <w:t>قده</w:t>
      </w:r>
      <w:r w:rsidR="00C55F9F"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يدعي</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الذهن</w:t>
      </w:r>
      <w:r w:rsidR="00E8128F">
        <w:rPr>
          <w:sz w:val="36"/>
          <w:szCs w:val="36"/>
          <w:rtl/>
        </w:rPr>
        <w:t xml:space="preserve"> </w:t>
      </w:r>
      <w:r w:rsidRPr="00FD211F">
        <w:rPr>
          <w:sz w:val="36"/>
          <w:szCs w:val="36"/>
          <w:rtl/>
        </w:rPr>
        <w:t>يمكنه</w:t>
      </w:r>
      <w:r w:rsidR="00E8128F">
        <w:rPr>
          <w:sz w:val="36"/>
          <w:szCs w:val="36"/>
          <w:rtl/>
        </w:rPr>
        <w:t xml:space="preserve"> </w:t>
      </w:r>
      <w:r w:rsidRPr="00FD211F">
        <w:rPr>
          <w:sz w:val="36"/>
          <w:szCs w:val="36"/>
          <w:rtl/>
        </w:rPr>
        <w:t>التعمل</w:t>
      </w:r>
      <w:r w:rsidR="00E8128F">
        <w:rPr>
          <w:sz w:val="36"/>
          <w:szCs w:val="36"/>
          <w:rtl/>
        </w:rPr>
        <w:t xml:space="preserve"> </w:t>
      </w:r>
      <w:r w:rsidRPr="00FD211F">
        <w:rPr>
          <w:sz w:val="36"/>
          <w:szCs w:val="36"/>
          <w:rtl/>
        </w:rPr>
        <w:t>والعناي</w:t>
      </w:r>
      <w:r w:rsidR="00EC7EDF" w:rsidRPr="00FD211F">
        <w:rPr>
          <w:sz w:val="36"/>
          <w:szCs w:val="36"/>
          <w:rtl/>
        </w:rPr>
        <w:t>ة</w:t>
      </w:r>
      <w:r w:rsidR="00E8128F">
        <w:rPr>
          <w:sz w:val="36"/>
          <w:szCs w:val="36"/>
          <w:rtl/>
        </w:rPr>
        <w:t xml:space="preserve"> </w:t>
      </w:r>
      <w:r w:rsidRPr="00FD211F">
        <w:rPr>
          <w:sz w:val="36"/>
          <w:szCs w:val="36"/>
          <w:rtl/>
        </w:rPr>
        <w:t>ولحاظ</w:t>
      </w:r>
      <w:r w:rsidR="00E8128F">
        <w:rPr>
          <w:sz w:val="36"/>
          <w:szCs w:val="36"/>
          <w:rtl/>
        </w:rPr>
        <w:t xml:space="preserve"> </w:t>
      </w:r>
      <w:r w:rsidRPr="00FD211F">
        <w:rPr>
          <w:sz w:val="36"/>
          <w:szCs w:val="36"/>
          <w:rtl/>
        </w:rPr>
        <w:t>المحمول</w:t>
      </w:r>
      <w:r w:rsidR="00E8128F">
        <w:rPr>
          <w:sz w:val="36"/>
          <w:szCs w:val="36"/>
          <w:rtl/>
        </w:rPr>
        <w:t xml:space="preserve"> </w:t>
      </w:r>
      <w:r w:rsidRPr="00FD211F">
        <w:rPr>
          <w:sz w:val="36"/>
          <w:szCs w:val="36"/>
          <w:rtl/>
        </w:rPr>
        <w:t>حيثا</w:t>
      </w:r>
      <w:r w:rsidR="00E8128F">
        <w:rPr>
          <w:sz w:val="36"/>
          <w:szCs w:val="36"/>
          <w:rtl/>
        </w:rPr>
        <w:t xml:space="preserve"> </w:t>
      </w:r>
      <w:r w:rsidRPr="00FD211F">
        <w:rPr>
          <w:sz w:val="36"/>
          <w:szCs w:val="36"/>
          <w:rtl/>
        </w:rPr>
        <w:t>واقعيا</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واقعي</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نفسه</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الغاء</w:t>
      </w:r>
      <w:r w:rsidR="00E8128F">
        <w:rPr>
          <w:sz w:val="36"/>
          <w:szCs w:val="36"/>
          <w:rtl/>
        </w:rPr>
        <w:t xml:space="preserve"> </w:t>
      </w:r>
      <w:r w:rsidRPr="00FD211F">
        <w:rPr>
          <w:sz w:val="36"/>
          <w:szCs w:val="36"/>
          <w:rtl/>
        </w:rPr>
        <w:t>لحاظ</w:t>
      </w:r>
      <w:r w:rsidR="00E8128F">
        <w:rPr>
          <w:sz w:val="36"/>
          <w:szCs w:val="36"/>
          <w:rtl/>
        </w:rPr>
        <w:t xml:space="preserve"> </w:t>
      </w:r>
      <w:r w:rsidRPr="00FD211F">
        <w:rPr>
          <w:sz w:val="36"/>
          <w:szCs w:val="36"/>
          <w:rtl/>
        </w:rPr>
        <w:t>اتحاده</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موضوعه</w:t>
      </w:r>
      <w:r w:rsidR="00E8128F">
        <w:rPr>
          <w:sz w:val="36"/>
          <w:szCs w:val="36"/>
          <w:rtl/>
        </w:rPr>
        <w:t xml:space="preserve"> </w:t>
      </w:r>
      <w:r w:rsidRPr="00FD211F">
        <w:rPr>
          <w:sz w:val="36"/>
          <w:szCs w:val="36"/>
          <w:rtl/>
        </w:rPr>
        <w:t>ف</w:t>
      </w:r>
      <w:r w:rsidR="00DE7919" w:rsidRPr="00FD211F">
        <w:rPr>
          <w:sz w:val="36"/>
          <w:szCs w:val="36"/>
          <w:rtl/>
        </w:rPr>
        <w:t>ي</w:t>
      </w:r>
      <w:r w:rsidRPr="00FD211F">
        <w:rPr>
          <w:sz w:val="36"/>
          <w:szCs w:val="36"/>
          <w:rtl/>
        </w:rPr>
        <w:t>نتزع</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المصدر</w:t>
      </w:r>
      <w:r w:rsidR="00E8128F">
        <w:rPr>
          <w:sz w:val="36"/>
          <w:szCs w:val="36"/>
          <w:rtl/>
        </w:rPr>
        <w:t xml:space="preserve"> </w:t>
      </w:r>
      <w:r w:rsidRPr="00FD211F">
        <w:rPr>
          <w:sz w:val="36"/>
          <w:szCs w:val="36"/>
          <w:rtl/>
        </w:rPr>
        <w:t>كعدم</w:t>
      </w:r>
      <w:r w:rsidR="00E8128F">
        <w:rPr>
          <w:sz w:val="36"/>
          <w:szCs w:val="36"/>
          <w:rtl/>
        </w:rPr>
        <w:t xml:space="preserve"> </w:t>
      </w:r>
      <w:r w:rsidRPr="00FD211F">
        <w:rPr>
          <w:sz w:val="36"/>
          <w:szCs w:val="36"/>
          <w:rtl/>
        </w:rPr>
        <w:t>العنقاء</w:t>
      </w:r>
      <w:r w:rsidR="00344044" w:rsidRPr="00FD211F">
        <w:rPr>
          <w:sz w:val="36"/>
          <w:szCs w:val="36"/>
          <w:rtl/>
        </w:rPr>
        <w:t>.</w:t>
      </w:r>
    </w:p>
    <w:p w14:paraId="38782562" w14:textId="77777777" w:rsidR="000C5BBA" w:rsidRPr="00FD211F" w:rsidRDefault="006E0FCC" w:rsidP="009C58C8">
      <w:pPr>
        <w:ind w:left="0" w:firstLine="227"/>
        <w:jc w:val="both"/>
        <w:rPr>
          <w:sz w:val="36"/>
          <w:szCs w:val="36"/>
          <w:rtl/>
        </w:rPr>
      </w:pPr>
      <w:r w:rsidRPr="00FD211F">
        <w:rPr>
          <w:sz w:val="36"/>
          <w:szCs w:val="36"/>
          <w:rtl/>
        </w:rPr>
        <w:t>3-</w:t>
      </w:r>
      <w:r w:rsidR="00E8128F">
        <w:rPr>
          <w:sz w:val="36"/>
          <w:szCs w:val="36"/>
          <w:rtl/>
        </w:rPr>
        <w:t xml:space="preserve"> </w:t>
      </w:r>
      <w:r w:rsidR="00FE58F7" w:rsidRPr="00FD211F">
        <w:rPr>
          <w:sz w:val="36"/>
          <w:szCs w:val="36"/>
          <w:rtl/>
        </w:rPr>
        <w:t>انه</w:t>
      </w:r>
      <w:r w:rsidR="00E8128F">
        <w:rPr>
          <w:sz w:val="36"/>
          <w:szCs w:val="36"/>
          <w:rtl/>
        </w:rPr>
        <w:t xml:space="preserve"> </w:t>
      </w:r>
      <w:r w:rsidR="00FE58F7" w:rsidRPr="00FD211F">
        <w:rPr>
          <w:sz w:val="36"/>
          <w:szCs w:val="36"/>
          <w:rtl/>
        </w:rPr>
        <w:t>لايتم</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مثل</w:t>
      </w:r>
      <w:r w:rsidR="00E8128F">
        <w:rPr>
          <w:sz w:val="36"/>
          <w:szCs w:val="36"/>
          <w:rtl/>
        </w:rPr>
        <w:t xml:space="preserve"> </w:t>
      </w:r>
      <w:r w:rsidR="0040555A" w:rsidRPr="00FD211F">
        <w:rPr>
          <w:sz w:val="36"/>
          <w:szCs w:val="36"/>
          <w:rtl/>
        </w:rPr>
        <w:t>اسم</w:t>
      </w:r>
      <w:r w:rsidR="00E8128F">
        <w:rPr>
          <w:sz w:val="36"/>
          <w:szCs w:val="36"/>
          <w:rtl/>
        </w:rPr>
        <w:t xml:space="preserve"> </w:t>
      </w:r>
      <w:r w:rsidR="0040555A" w:rsidRPr="00FD211F">
        <w:rPr>
          <w:sz w:val="36"/>
          <w:szCs w:val="36"/>
          <w:rtl/>
        </w:rPr>
        <w:t>الآل</w:t>
      </w:r>
      <w:r w:rsidR="00EC7EDF" w:rsidRPr="00FD211F">
        <w:rPr>
          <w:sz w:val="36"/>
          <w:szCs w:val="36"/>
          <w:rtl/>
        </w:rPr>
        <w:t>ة</w:t>
      </w:r>
      <w:r w:rsidR="00E8128F">
        <w:rPr>
          <w:sz w:val="36"/>
          <w:szCs w:val="36"/>
          <w:rtl/>
        </w:rPr>
        <w:t xml:space="preserve"> </w:t>
      </w:r>
      <w:r w:rsidR="0040555A" w:rsidRPr="00FD211F">
        <w:rPr>
          <w:sz w:val="36"/>
          <w:szCs w:val="36"/>
          <w:rtl/>
        </w:rPr>
        <w:t>و</w:t>
      </w:r>
      <w:r w:rsidR="00FE58F7" w:rsidRPr="00FD211F">
        <w:rPr>
          <w:sz w:val="36"/>
          <w:szCs w:val="36"/>
          <w:rtl/>
        </w:rPr>
        <w:t>ال</w:t>
      </w:r>
      <w:r w:rsidR="0040555A" w:rsidRPr="00FD211F">
        <w:rPr>
          <w:sz w:val="36"/>
          <w:szCs w:val="36"/>
          <w:rtl/>
        </w:rPr>
        <w:t>مكان</w:t>
      </w:r>
      <w:r w:rsidR="00E8128F">
        <w:rPr>
          <w:sz w:val="36"/>
          <w:szCs w:val="36"/>
          <w:rtl/>
        </w:rPr>
        <w:t xml:space="preserve"> </w:t>
      </w:r>
      <w:r w:rsidR="0040555A" w:rsidRPr="00FD211F">
        <w:rPr>
          <w:sz w:val="36"/>
          <w:szCs w:val="36"/>
          <w:rtl/>
        </w:rPr>
        <w:t>و</w:t>
      </w:r>
      <w:r w:rsidR="00FE58F7" w:rsidRPr="00FD211F">
        <w:rPr>
          <w:sz w:val="36"/>
          <w:szCs w:val="36"/>
          <w:rtl/>
        </w:rPr>
        <w:t>ا</w:t>
      </w:r>
      <w:r w:rsidR="0040555A" w:rsidRPr="00FD211F">
        <w:rPr>
          <w:sz w:val="36"/>
          <w:szCs w:val="36"/>
          <w:rtl/>
        </w:rPr>
        <w:t>لزمان</w:t>
      </w:r>
      <w:r w:rsidR="00E8128F">
        <w:rPr>
          <w:sz w:val="36"/>
          <w:szCs w:val="36"/>
          <w:rtl/>
        </w:rPr>
        <w:t xml:space="preserve"> </w:t>
      </w:r>
      <w:r w:rsidR="00FE58F7" w:rsidRPr="00FD211F">
        <w:rPr>
          <w:sz w:val="36"/>
          <w:szCs w:val="36"/>
          <w:rtl/>
        </w:rPr>
        <w:t>نظير</w:t>
      </w:r>
      <w:r w:rsidR="00E8128F">
        <w:rPr>
          <w:sz w:val="36"/>
          <w:szCs w:val="36"/>
          <w:rtl/>
        </w:rPr>
        <w:t xml:space="preserve"> </w:t>
      </w:r>
      <w:r w:rsidR="00360F5C" w:rsidRPr="00FD211F">
        <w:rPr>
          <w:sz w:val="36"/>
          <w:szCs w:val="36"/>
          <w:rtl/>
        </w:rPr>
        <w:t>المقتل</w:t>
      </w:r>
      <w:r w:rsidR="00E8128F">
        <w:rPr>
          <w:sz w:val="36"/>
          <w:szCs w:val="36"/>
          <w:rtl/>
        </w:rPr>
        <w:t xml:space="preserve"> </w:t>
      </w:r>
      <w:r w:rsidR="0040555A" w:rsidRPr="00FD211F">
        <w:rPr>
          <w:sz w:val="36"/>
          <w:szCs w:val="36"/>
          <w:rtl/>
        </w:rPr>
        <w:t>حيث</w:t>
      </w:r>
      <w:r w:rsidR="00E8128F">
        <w:rPr>
          <w:sz w:val="36"/>
          <w:szCs w:val="36"/>
          <w:rtl/>
        </w:rPr>
        <w:t xml:space="preserve"> </w:t>
      </w:r>
      <w:r w:rsidR="0040555A" w:rsidRPr="00FD211F">
        <w:rPr>
          <w:sz w:val="36"/>
          <w:szCs w:val="36"/>
          <w:rtl/>
        </w:rPr>
        <w:t>لامعنى</w:t>
      </w:r>
      <w:r w:rsidR="00E8128F">
        <w:rPr>
          <w:sz w:val="36"/>
          <w:szCs w:val="36"/>
          <w:rtl/>
        </w:rPr>
        <w:t xml:space="preserve"> </w:t>
      </w:r>
      <w:r w:rsidR="0040555A" w:rsidRPr="00FD211F">
        <w:rPr>
          <w:sz w:val="36"/>
          <w:szCs w:val="36"/>
          <w:rtl/>
        </w:rPr>
        <w:t>لتوهم</w:t>
      </w:r>
      <w:r w:rsidR="00E8128F">
        <w:rPr>
          <w:sz w:val="36"/>
          <w:szCs w:val="36"/>
          <w:rtl/>
        </w:rPr>
        <w:t xml:space="preserve"> </w:t>
      </w:r>
      <w:r w:rsidR="0040555A" w:rsidRPr="00FD211F">
        <w:rPr>
          <w:sz w:val="36"/>
          <w:szCs w:val="36"/>
          <w:rtl/>
        </w:rPr>
        <w:t>اتحاد</w:t>
      </w:r>
      <w:r w:rsidR="00E8128F">
        <w:rPr>
          <w:sz w:val="36"/>
          <w:szCs w:val="36"/>
          <w:rtl/>
        </w:rPr>
        <w:t xml:space="preserve"> </w:t>
      </w:r>
      <w:r w:rsidR="00360F5C" w:rsidRPr="00FD211F">
        <w:rPr>
          <w:sz w:val="36"/>
          <w:szCs w:val="36"/>
          <w:rtl/>
        </w:rPr>
        <w:t>القتل</w:t>
      </w:r>
      <w:r w:rsidR="00E8128F">
        <w:rPr>
          <w:sz w:val="36"/>
          <w:szCs w:val="36"/>
          <w:rtl/>
        </w:rPr>
        <w:t xml:space="preserve"> </w:t>
      </w:r>
      <w:r w:rsidR="0040555A" w:rsidRPr="00FD211F">
        <w:rPr>
          <w:sz w:val="36"/>
          <w:szCs w:val="36"/>
          <w:rtl/>
        </w:rPr>
        <w:t>مع</w:t>
      </w:r>
      <w:r w:rsidR="00E8128F">
        <w:rPr>
          <w:sz w:val="36"/>
          <w:szCs w:val="36"/>
          <w:rtl/>
        </w:rPr>
        <w:t xml:space="preserve"> </w:t>
      </w:r>
      <w:r w:rsidR="00FE58F7" w:rsidRPr="00FD211F">
        <w:rPr>
          <w:sz w:val="36"/>
          <w:szCs w:val="36"/>
          <w:rtl/>
        </w:rPr>
        <w:t>آلته</w:t>
      </w:r>
      <w:r w:rsidR="00E8128F">
        <w:rPr>
          <w:sz w:val="36"/>
          <w:szCs w:val="36"/>
          <w:rtl/>
        </w:rPr>
        <w:t xml:space="preserve"> </w:t>
      </w:r>
      <w:r w:rsidR="0040555A" w:rsidRPr="00FD211F">
        <w:rPr>
          <w:sz w:val="36"/>
          <w:szCs w:val="36"/>
          <w:rtl/>
        </w:rPr>
        <w:t>او</w:t>
      </w:r>
      <w:r w:rsidR="00E8128F">
        <w:rPr>
          <w:sz w:val="36"/>
          <w:szCs w:val="36"/>
          <w:rtl/>
        </w:rPr>
        <w:t xml:space="preserve"> </w:t>
      </w:r>
      <w:r w:rsidR="0040555A" w:rsidRPr="00FD211F">
        <w:rPr>
          <w:sz w:val="36"/>
          <w:szCs w:val="36"/>
          <w:rtl/>
        </w:rPr>
        <w:t>مكانه</w:t>
      </w:r>
      <w:r w:rsidR="00E8128F">
        <w:rPr>
          <w:sz w:val="36"/>
          <w:szCs w:val="36"/>
          <w:rtl/>
        </w:rPr>
        <w:t xml:space="preserve"> </w:t>
      </w:r>
      <w:r w:rsidR="0040555A" w:rsidRPr="00FD211F">
        <w:rPr>
          <w:sz w:val="36"/>
          <w:szCs w:val="36"/>
          <w:rtl/>
        </w:rPr>
        <w:t>او</w:t>
      </w:r>
      <w:r w:rsidR="00E8128F">
        <w:rPr>
          <w:sz w:val="36"/>
          <w:szCs w:val="36"/>
          <w:rtl/>
        </w:rPr>
        <w:t xml:space="preserve"> </w:t>
      </w:r>
      <w:r w:rsidR="0040555A" w:rsidRPr="00FD211F">
        <w:rPr>
          <w:sz w:val="36"/>
          <w:szCs w:val="36"/>
          <w:rtl/>
        </w:rPr>
        <w:t>زمانه</w:t>
      </w:r>
      <w:r w:rsidR="009C58C8" w:rsidRPr="00FD211F">
        <w:rPr>
          <w:rStyle w:val="a6"/>
          <w:sz w:val="36"/>
          <w:szCs w:val="36"/>
          <w:rtl/>
        </w:rPr>
        <w:t>(</w:t>
      </w:r>
      <w:r w:rsidR="009C58C8" w:rsidRPr="00FD211F">
        <w:rPr>
          <w:rStyle w:val="a6"/>
          <w:sz w:val="36"/>
          <w:szCs w:val="36"/>
          <w:rtl/>
        </w:rPr>
        <w:footnoteReference w:id="587"/>
      </w:r>
      <w:r w:rsidR="009C58C8" w:rsidRPr="00FD211F">
        <w:rPr>
          <w:rStyle w:val="a6"/>
          <w:sz w:val="36"/>
          <w:szCs w:val="36"/>
          <w:rtl/>
        </w:rPr>
        <w:t>)</w:t>
      </w:r>
      <w:r w:rsidR="00BF184F" w:rsidRPr="00FD211F">
        <w:rPr>
          <w:sz w:val="36"/>
          <w:szCs w:val="36"/>
          <w:rtl/>
        </w:rPr>
        <w:t>.</w:t>
      </w:r>
    </w:p>
    <w:p w14:paraId="743EF2F2" w14:textId="77777777" w:rsidR="0040555A" w:rsidRPr="00FD211F" w:rsidRDefault="0040555A" w:rsidP="009C58C8">
      <w:pPr>
        <w:ind w:left="0" w:firstLine="227"/>
        <w:jc w:val="both"/>
        <w:rPr>
          <w:sz w:val="36"/>
          <w:szCs w:val="36"/>
          <w:rtl/>
        </w:rPr>
      </w:pPr>
      <w:r w:rsidRPr="00FD211F">
        <w:rPr>
          <w:sz w:val="36"/>
          <w:szCs w:val="36"/>
          <w:rtl/>
        </w:rPr>
        <w:t>واجاب</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00344044" w:rsidRPr="00FD211F">
        <w:rPr>
          <w:sz w:val="36"/>
          <w:szCs w:val="36"/>
          <w:rtl/>
        </w:rPr>
        <w:t>ما</w:t>
      </w:r>
      <w:r w:rsidR="00E8128F">
        <w:rPr>
          <w:sz w:val="36"/>
          <w:szCs w:val="36"/>
          <w:rtl/>
        </w:rPr>
        <w:t xml:space="preserve"> </w:t>
      </w:r>
      <w:r w:rsidR="00344044" w:rsidRPr="00FD211F">
        <w:rPr>
          <w:sz w:val="36"/>
          <w:szCs w:val="36"/>
          <w:rtl/>
        </w:rPr>
        <w:t>محصله</w:t>
      </w:r>
      <w:r w:rsidR="00E8128F">
        <w:rPr>
          <w:sz w:val="36"/>
          <w:szCs w:val="36"/>
          <w:rtl/>
        </w:rPr>
        <w:t xml:space="preserve"> </w:t>
      </w:r>
      <w:r w:rsidRPr="00FD211F">
        <w:rPr>
          <w:sz w:val="36"/>
          <w:szCs w:val="36"/>
          <w:rtl/>
        </w:rPr>
        <w:t>امكان</w:t>
      </w:r>
      <w:r w:rsidR="00E8128F">
        <w:rPr>
          <w:sz w:val="36"/>
          <w:szCs w:val="36"/>
          <w:rtl/>
        </w:rPr>
        <w:t xml:space="preserve"> </w:t>
      </w:r>
      <w:r w:rsidRPr="00FD211F">
        <w:rPr>
          <w:sz w:val="36"/>
          <w:szCs w:val="36"/>
          <w:rtl/>
        </w:rPr>
        <w:t>دعوى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00344044" w:rsidRPr="00FD211F">
        <w:rPr>
          <w:sz w:val="36"/>
          <w:szCs w:val="36"/>
          <w:rtl/>
        </w:rPr>
        <w:t>في</w:t>
      </w:r>
      <w:r w:rsidR="00E8128F">
        <w:rPr>
          <w:sz w:val="36"/>
          <w:szCs w:val="36"/>
          <w:rtl/>
        </w:rPr>
        <w:t xml:space="preserve"> </w:t>
      </w:r>
      <w:r w:rsidR="00344044" w:rsidRPr="00FD211F">
        <w:rPr>
          <w:sz w:val="36"/>
          <w:szCs w:val="36"/>
          <w:rtl/>
        </w:rPr>
        <w:t>اسم</w:t>
      </w:r>
      <w:r w:rsidR="00E8128F">
        <w:rPr>
          <w:sz w:val="36"/>
          <w:szCs w:val="36"/>
          <w:rtl/>
        </w:rPr>
        <w:t xml:space="preserve"> </w:t>
      </w:r>
      <w:r w:rsidR="00344044" w:rsidRPr="00FD211F">
        <w:rPr>
          <w:sz w:val="36"/>
          <w:szCs w:val="36"/>
          <w:rtl/>
        </w:rPr>
        <w:t>الزمان</w:t>
      </w:r>
      <w:r w:rsidR="00E8128F">
        <w:rPr>
          <w:sz w:val="36"/>
          <w:szCs w:val="36"/>
          <w:rtl/>
        </w:rPr>
        <w:t xml:space="preserve"> </w:t>
      </w:r>
      <w:r w:rsidR="00344044" w:rsidRPr="00FD211F">
        <w:rPr>
          <w:sz w:val="36"/>
          <w:szCs w:val="36"/>
          <w:rtl/>
        </w:rPr>
        <w:t>والمكان</w:t>
      </w:r>
      <w:r w:rsidR="00E8128F">
        <w:rPr>
          <w:sz w:val="36"/>
          <w:szCs w:val="36"/>
          <w:rtl/>
        </w:rPr>
        <w:t xml:space="preserve"> </w:t>
      </w:r>
      <w:r w:rsidR="00FE58F7" w:rsidRPr="00FD211F">
        <w:rPr>
          <w:sz w:val="36"/>
          <w:szCs w:val="36"/>
          <w:rtl/>
        </w:rPr>
        <w:t>هو</w:t>
      </w:r>
      <w:r w:rsidR="00E8128F">
        <w:rPr>
          <w:sz w:val="36"/>
          <w:szCs w:val="36"/>
          <w:rtl/>
        </w:rPr>
        <w:t xml:space="preserve"> </w:t>
      </w:r>
      <w:r w:rsidR="00FE58F7" w:rsidRPr="00FD211F">
        <w:rPr>
          <w:sz w:val="36"/>
          <w:szCs w:val="36"/>
          <w:rtl/>
        </w:rPr>
        <w:t>المحلي</w:t>
      </w:r>
      <w:r w:rsidR="00EC7EDF" w:rsidRPr="00FD211F">
        <w:rPr>
          <w:sz w:val="36"/>
          <w:szCs w:val="36"/>
          <w:rtl/>
        </w:rPr>
        <w:t>ة</w:t>
      </w:r>
      <w:r w:rsidR="00E8128F">
        <w:rPr>
          <w:sz w:val="36"/>
          <w:szCs w:val="36"/>
          <w:rtl/>
        </w:rPr>
        <w:t xml:space="preserve"> </w:t>
      </w:r>
      <w:r w:rsidR="00FE58F7" w:rsidRPr="00FD211F">
        <w:rPr>
          <w:sz w:val="36"/>
          <w:szCs w:val="36"/>
          <w:rtl/>
        </w:rPr>
        <w:t>والمعرضي</w:t>
      </w:r>
      <w:r w:rsidR="00EC7EDF" w:rsidRPr="00FD211F">
        <w:rPr>
          <w:sz w:val="36"/>
          <w:szCs w:val="36"/>
          <w:rtl/>
        </w:rPr>
        <w:t>ة</w:t>
      </w:r>
      <w:r w:rsidR="00E8128F">
        <w:rPr>
          <w:sz w:val="36"/>
          <w:szCs w:val="36"/>
          <w:rtl/>
        </w:rPr>
        <w:t xml:space="preserve"> </w:t>
      </w:r>
      <w:r w:rsidR="00FE58F7" w:rsidRPr="00FD211F">
        <w:rPr>
          <w:sz w:val="36"/>
          <w:szCs w:val="36"/>
          <w:rtl/>
        </w:rPr>
        <w:t>للحدث</w:t>
      </w:r>
      <w:r w:rsidR="00603323" w:rsidRPr="00FD211F">
        <w:rPr>
          <w:sz w:val="36"/>
          <w:szCs w:val="36"/>
          <w:rtl/>
        </w:rPr>
        <w:t>،</w:t>
      </w:r>
      <w:r w:rsidR="00E8128F">
        <w:rPr>
          <w:sz w:val="36"/>
          <w:szCs w:val="36"/>
          <w:rtl/>
        </w:rPr>
        <w:t xml:space="preserve"> </w:t>
      </w:r>
      <w:r w:rsidR="00344044" w:rsidRPr="00FD211F">
        <w:rPr>
          <w:sz w:val="36"/>
          <w:szCs w:val="36"/>
          <w:rtl/>
        </w:rPr>
        <w:t>وفي</w:t>
      </w:r>
      <w:r w:rsidR="00E8128F">
        <w:rPr>
          <w:sz w:val="36"/>
          <w:szCs w:val="36"/>
          <w:rtl/>
        </w:rPr>
        <w:t xml:space="preserve"> </w:t>
      </w:r>
      <w:r w:rsidR="00FE58F7" w:rsidRPr="00FD211F">
        <w:rPr>
          <w:sz w:val="36"/>
          <w:szCs w:val="36"/>
          <w:rtl/>
        </w:rPr>
        <w:t>اسم</w:t>
      </w:r>
      <w:r w:rsidR="00E8128F">
        <w:rPr>
          <w:sz w:val="36"/>
          <w:szCs w:val="36"/>
          <w:rtl/>
        </w:rPr>
        <w:t xml:space="preserve"> </w:t>
      </w:r>
      <w:r w:rsidR="00FE58F7" w:rsidRPr="00FD211F">
        <w:rPr>
          <w:sz w:val="36"/>
          <w:szCs w:val="36"/>
          <w:rtl/>
        </w:rPr>
        <w:t>الآل</w:t>
      </w:r>
      <w:r w:rsidR="00EC7EDF" w:rsidRPr="00FD211F">
        <w:rPr>
          <w:sz w:val="36"/>
          <w:szCs w:val="36"/>
          <w:rtl/>
        </w:rPr>
        <w:t>ة</w:t>
      </w:r>
      <w:r w:rsidR="00E8128F">
        <w:rPr>
          <w:sz w:val="36"/>
          <w:szCs w:val="36"/>
          <w:rtl/>
        </w:rPr>
        <w:t xml:space="preserve"> </w:t>
      </w:r>
      <w:r w:rsidR="00FE58F7" w:rsidRPr="00FD211F">
        <w:rPr>
          <w:sz w:val="36"/>
          <w:szCs w:val="36"/>
          <w:rtl/>
        </w:rPr>
        <w:t>هو</w:t>
      </w:r>
      <w:r w:rsidR="00E8128F">
        <w:rPr>
          <w:sz w:val="36"/>
          <w:szCs w:val="36"/>
          <w:rtl/>
        </w:rPr>
        <w:t xml:space="preserve"> </w:t>
      </w:r>
      <w:r w:rsidR="00FE58F7" w:rsidRPr="00FD211F">
        <w:rPr>
          <w:sz w:val="36"/>
          <w:szCs w:val="36"/>
          <w:rtl/>
        </w:rPr>
        <w:t>المنشأي</w:t>
      </w:r>
      <w:r w:rsidR="00EC7EDF" w:rsidRPr="00FD211F">
        <w:rPr>
          <w:sz w:val="36"/>
          <w:szCs w:val="36"/>
          <w:rtl/>
        </w:rPr>
        <w:t>ة</w:t>
      </w:r>
      <w:r w:rsidR="00E8128F">
        <w:rPr>
          <w:sz w:val="36"/>
          <w:szCs w:val="36"/>
          <w:rtl/>
        </w:rPr>
        <w:t xml:space="preserve"> </w:t>
      </w:r>
      <w:r w:rsidR="00FE58F7" w:rsidRPr="00FD211F">
        <w:rPr>
          <w:sz w:val="36"/>
          <w:szCs w:val="36"/>
          <w:rtl/>
        </w:rPr>
        <w:t>للحدث</w:t>
      </w:r>
      <w:r w:rsidR="00603323" w:rsidRPr="00FD211F">
        <w:rPr>
          <w:sz w:val="36"/>
          <w:szCs w:val="36"/>
          <w:rtl/>
        </w:rPr>
        <w:t>،</w:t>
      </w:r>
      <w:r w:rsidR="00E8128F">
        <w:rPr>
          <w:sz w:val="36"/>
          <w:szCs w:val="36"/>
          <w:rtl/>
        </w:rPr>
        <w:t xml:space="preserve"> </w:t>
      </w:r>
      <w:r w:rsidR="00FE58F7" w:rsidRPr="00FD211F">
        <w:rPr>
          <w:sz w:val="36"/>
          <w:szCs w:val="36"/>
          <w:rtl/>
        </w:rPr>
        <w:t>وال</w:t>
      </w:r>
      <w:r w:rsidR="0079493B" w:rsidRPr="00FD211F">
        <w:rPr>
          <w:sz w:val="36"/>
          <w:szCs w:val="36"/>
          <w:rtl/>
        </w:rPr>
        <w:t>مبدأ</w:t>
      </w:r>
      <w:r w:rsidR="00E8128F">
        <w:rPr>
          <w:sz w:val="36"/>
          <w:szCs w:val="36"/>
          <w:rtl/>
        </w:rPr>
        <w:t xml:space="preserve"> </w:t>
      </w:r>
      <w:r w:rsidR="00FE58F7" w:rsidRPr="00FD211F">
        <w:rPr>
          <w:sz w:val="36"/>
          <w:szCs w:val="36"/>
          <w:rtl/>
        </w:rPr>
        <w:t>بهذا</w:t>
      </w:r>
      <w:r w:rsidR="00E8128F">
        <w:rPr>
          <w:sz w:val="36"/>
          <w:szCs w:val="36"/>
          <w:rtl/>
        </w:rPr>
        <w:t xml:space="preserve"> </w:t>
      </w:r>
      <w:r w:rsidR="00FE58F7" w:rsidRPr="00FD211F">
        <w:rPr>
          <w:sz w:val="36"/>
          <w:szCs w:val="36"/>
          <w:rtl/>
        </w:rPr>
        <w:t>المعنى</w:t>
      </w:r>
      <w:r w:rsidR="00E8128F">
        <w:rPr>
          <w:sz w:val="36"/>
          <w:szCs w:val="36"/>
          <w:rtl/>
        </w:rPr>
        <w:t xml:space="preserve"> </w:t>
      </w:r>
      <w:r w:rsidR="00FE58F7" w:rsidRPr="00FD211F">
        <w:rPr>
          <w:sz w:val="36"/>
          <w:szCs w:val="36"/>
          <w:rtl/>
        </w:rPr>
        <w:t>يكون</w:t>
      </w:r>
      <w:r w:rsidR="00E8128F">
        <w:rPr>
          <w:sz w:val="36"/>
          <w:szCs w:val="36"/>
          <w:rtl/>
        </w:rPr>
        <w:t xml:space="preserve"> </w:t>
      </w:r>
      <w:r w:rsidR="00FE58F7" w:rsidRPr="00FD211F">
        <w:rPr>
          <w:sz w:val="36"/>
          <w:szCs w:val="36"/>
          <w:rtl/>
        </w:rPr>
        <w:t>عرضا</w:t>
      </w:r>
      <w:r w:rsidR="00E8128F">
        <w:rPr>
          <w:sz w:val="36"/>
          <w:szCs w:val="36"/>
          <w:rtl/>
        </w:rPr>
        <w:t xml:space="preserve"> </w:t>
      </w:r>
      <w:r w:rsidR="00344044" w:rsidRPr="00FD211F">
        <w:rPr>
          <w:sz w:val="36"/>
          <w:szCs w:val="36"/>
          <w:rtl/>
        </w:rPr>
        <w:t>ل</w:t>
      </w:r>
      <w:r w:rsidR="00FE58F7" w:rsidRPr="00FD211F">
        <w:rPr>
          <w:sz w:val="36"/>
          <w:szCs w:val="36"/>
          <w:rtl/>
        </w:rPr>
        <w:t>لزمان</w:t>
      </w:r>
      <w:r w:rsidR="00E8128F">
        <w:rPr>
          <w:sz w:val="36"/>
          <w:szCs w:val="36"/>
          <w:rtl/>
        </w:rPr>
        <w:t xml:space="preserve"> </w:t>
      </w:r>
      <w:r w:rsidR="00FE58F7" w:rsidRPr="00FD211F">
        <w:rPr>
          <w:sz w:val="36"/>
          <w:szCs w:val="36"/>
          <w:rtl/>
        </w:rPr>
        <w:t>والمكان</w:t>
      </w:r>
      <w:r w:rsidR="00E8128F">
        <w:rPr>
          <w:sz w:val="36"/>
          <w:szCs w:val="36"/>
          <w:rtl/>
        </w:rPr>
        <w:t xml:space="preserve"> </w:t>
      </w:r>
      <w:r w:rsidR="00344044" w:rsidRPr="00FD211F">
        <w:rPr>
          <w:sz w:val="36"/>
          <w:szCs w:val="36"/>
          <w:rtl/>
        </w:rPr>
        <w:t>او</w:t>
      </w:r>
      <w:r w:rsidR="00E8128F">
        <w:rPr>
          <w:sz w:val="36"/>
          <w:szCs w:val="36"/>
          <w:rtl/>
        </w:rPr>
        <w:t xml:space="preserve"> </w:t>
      </w:r>
      <w:r w:rsidR="00344044" w:rsidRPr="00FD211F">
        <w:rPr>
          <w:sz w:val="36"/>
          <w:szCs w:val="36"/>
          <w:rtl/>
        </w:rPr>
        <w:t>الآل</w:t>
      </w:r>
      <w:r w:rsidR="00EC7EDF" w:rsidRPr="00FD211F">
        <w:rPr>
          <w:sz w:val="36"/>
          <w:szCs w:val="36"/>
          <w:rtl/>
        </w:rPr>
        <w:t>ة</w:t>
      </w:r>
      <w:r w:rsidR="00603323" w:rsidRPr="00FD211F">
        <w:rPr>
          <w:sz w:val="36"/>
          <w:szCs w:val="36"/>
          <w:rtl/>
        </w:rPr>
        <w:t>،</w:t>
      </w:r>
      <w:r w:rsidR="00E8128F">
        <w:rPr>
          <w:sz w:val="36"/>
          <w:szCs w:val="36"/>
          <w:rtl/>
        </w:rPr>
        <w:t xml:space="preserve"> </w:t>
      </w:r>
      <w:r w:rsidR="00FE58F7" w:rsidRPr="00FD211F">
        <w:rPr>
          <w:sz w:val="36"/>
          <w:szCs w:val="36"/>
          <w:rtl/>
        </w:rPr>
        <w:t>كما</w:t>
      </w:r>
      <w:r w:rsidR="00E8128F">
        <w:rPr>
          <w:sz w:val="36"/>
          <w:szCs w:val="36"/>
          <w:rtl/>
        </w:rPr>
        <w:t xml:space="preserve"> </w:t>
      </w:r>
      <w:r w:rsidR="00FE58F7" w:rsidRPr="00FD211F">
        <w:rPr>
          <w:sz w:val="36"/>
          <w:szCs w:val="36"/>
          <w:rtl/>
        </w:rPr>
        <w:t>قيل</w:t>
      </w:r>
      <w:r w:rsidR="00E8128F">
        <w:rPr>
          <w:sz w:val="36"/>
          <w:szCs w:val="36"/>
          <w:rtl/>
        </w:rPr>
        <w:t xml:space="preserve"> </w:t>
      </w:r>
      <w:r w:rsidR="00FE58F7" w:rsidRPr="00FD211F">
        <w:rPr>
          <w:sz w:val="36"/>
          <w:szCs w:val="36"/>
          <w:rtl/>
        </w:rPr>
        <w:t>في</w:t>
      </w:r>
      <w:r w:rsidR="00E8128F">
        <w:rPr>
          <w:sz w:val="36"/>
          <w:szCs w:val="36"/>
          <w:rtl/>
        </w:rPr>
        <w:t xml:space="preserve"> </w:t>
      </w:r>
      <w:r w:rsidR="00FE58F7" w:rsidRPr="00FD211F">
        <w:rPr>
          <w:sz w:val="36"/>
          <w:szCs w:val="36"/>
          <w:rtl/>
        </w:rPr>
        <w:t>اسم</w:t>
      </w:r>
      <w:r w:rsidR="00E8128F">
        <w:rPr>
          <w:sz w:val="36"/>
          <w:szCs w:val="36"/>
          <w:rtl/>
        </w:rPr>
        <w:t xml:space="preserve"> </w:t>
      </w:r>
      <w:r w:rsidR="00FE58F7" w:rsidRPr="00FD211F">
        <w:rPr>
          <w:sz w:val="36"/>
          <w:szCs w:val="36"/>
          <w:rtl/>
        </w:rPr>
        <w:t>الحرف</w:t>
      </w:r>
      <w:r w:rsidR="00EC7EDF" w:rsidRPr="00FD211F">
        <w:rPr>
          <w:sz w:val="36"/>
          <w:szCs w:val="36"/>
          <w:rtl/>
        </w:rPr>
        <w:t>ة</w:t>
      </w:r>
      <w:r w:rsidR="00E8128F">
        <w:rPr>
          <w:sz w:val="36"/>
          <w:szCs w:val="36"/>
          <w:rtl/>
        </w:rPr>
        <w:t xml:space="preserve"> </w:t>
      </w:r>
      <w:r w:rsidR="00FE58F7" w:rsidRPr="00FD211F">
        <w:rPr>
          <w:sz w:val="36"/>
          <w:szCs w:val="36"/>
          <w:rtl/>
        </w:rPr>
        <w:t>كالزارع</w:t>
      </w:r>
      <w:r w:rsidR="00E8128F">
        <w:rPr>
          <w:sz w:val="36"/>
          <w:szCs w:val="36"/>
          <w:rtl/>
        </w:rPr>
        <w:t xml:space="preserve"> </w:t>
      </w:r>
      <w:r w:rsidR="00FE58F7" w:rsidRPr="00FD211F">
        <w:rPr>
          <w:sz w:val="36"/>
          <w:szCs w:val="36"/>
          <w:rtl/>
        </w:rPr>
        <w:t>ان</w:t>
      </w:r>
      <w:r w:rsidR="00E8128F">
        <w:rPr>
          <w:sz w:val="36"/>
          <w:szCs w:val="36"/>
          <w:rtl/>
        </w:rPr>
        <w:t xml:space="preserve"> </w:t>
      </w:r>
      <w:r w:rsidR="00FE58F7" w:rsidRPr="00FD211F">
        <w:rPr>
          <w:sz w:val="36"/>
          <w:szCs w:val="36"/>
          <w:rtl/>
        </w:rPr>
        <w:t>معنى</w:t>
      </w:r>
      <w:r w:rsidR="00E8128F">
        <w:rPr>
          <w:sz w:val="36"/>
          <w:szCs w:val="36"/>
          <w:rtl/>
        </w:rPr>
        <w:t xml:space="preserve"> </w:t>
      </w:r>
      <w:r w:rsidR="00FE58F7" w:rsidRPr="00FD211F">
        <w:rPr>
          <w:sz w:val="36"/>
          <w:szCs w:val="36"/>
          <w:rtl/>
        </w:rPr>
        <w:t>ال</w:t>
      </w:r>
      <w:r w:rsidR="0079493B" w:rsidRPr="00FD211F">
        <w:rPr>
          <w:sz w:val="36"/>
          <w:szCs w:val="36"/>
          <w:rtl/>
        </w:rPr>
        <w:t>مبدأ</w:t>
      </w:r>
      <w:r w:rsidR="00E8128F">
        <w:rPr>
          <w:sz w:val="36"/>
          <w:szCs w:val="36"/>
          <w:rtl/>
        </w:rPr>
        <w:t xml:space="preserve"> </w:t>
      </w:r>
      <w:r w:rsidR="00FE58F7" w:rsidRPr="00FD211F">
        <w:rPr>
          <w:sz w:val="36"/>
          <w:szCs w:val="36"/>
          <w:rtl/>
        </w:rPr>
        <w:t>فيه</w:t>
      </w:r>
      <w:r w:rsidR="00E8128F">
        <w:rPr>
          <w:sz w:val="36"/>
          <w:szCs w:val="36"/>
          <w:rtl/>
        </w:rPr>
        <w:t xml:space="preserve"> </w:t>
      </w:r>
      <w:r w:rsidR="00FE58F7" w:rsidRPr="00FD211F">
        <w:rPr>
          <w:sz w:val="36"/>
          <w:szCs w:val="36"/>
          <w:rtl/>
        </w:rPr>
        <w:t>هو</w:t>
      </w:r>
      <w:r w:rsidR="00E8128F">
        <w:rPr>
          <w:sz w:val="36"/>
          <w:szCs w:val="36"/>
          <w:rtl/>
        </w:rPr>
        <w:t xml:space="preserve"> </w:t>
      </w:r>
      <w:r w:rsidR="00FE58F7" w:rsidRPr="00FD211F">
        <w:rPr>
          <w:sz w:val="36"/>
          <w:szCs w:val="36"/>
          <w:rtl/>
        </w:rPr>
        <w:t>حرف</w:t>
      </w:r>
      <w:r w:rsidR="00EC7EDF" w:rsidRPr="00FD211F">
        <w:rPr>
          <w:sz w:val="36"/>
          <w:szCs w:val="36"/>
          <w:rtl/>
        </w:rPr>
        <w:t>ة</w:t>
      </w:r>
      <w:r w:rsidR="00E8128F">
        <w:rPr>
          <w:sz w:val="36"/>
          <w:szCs w:val="36"/>
          <w:rtl/>
        </w:rPr>
        <w:t xml:space="preserve"> </w:t>
      </w:r>
      <w:r w:rsidR="00FE58F7" w:rsidRPr="00FD211F">
        <w:rPr>
          <w:sz w:val="36"/>
          <w:szCs w:val="36"/>
          <w:rtl/>
        </w:rPr>
        <w:t>الزراع</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588"/>
      </w:r>
      <w:r w:rsidR="009C58C8" w:rsidRPr="00FD211F">
        <w:rPr>
          <w:rStyle w:val="a6"/>
          <w:sz w:val="36"/>
          <w:szCs w:val="36"/>
          <w:rtl/>
        </w:rPr>
        <w:t>)</w:t>
      </w:r>
      <w:r w:rsidR="0097234C" w:rsidRPr="00FD211F">
        <w:rPr>
          <w:sz w:val="36"/>
          <w:szCs w:val="36"/>
          <w:rtl/>
        </w:rPr>
        <w:t>.</w:t>
      </w:r>
    </w:p>
    <w:p w14:paraId="2DFB1FA8" w14:textId="77777777" w:rsidR="0040555A" w:rsidRPr="00FD211F" w:rsidRDefault="00344044" w:rsidP="009C58C8">
      <w:pPr>
        <w:ind w:left="0" w:firstLine="227"/>
        <w:jc w:val="both"/>
        <w:rPr>
          <w:sz w:val="36"/>
          <w:szCs w:val="36"/>
          <w:rtl/>
        </w:rPr>
      </w:pPr>
      <w:r w:rsidRPr="00FD211F">
        <w:rPr>
          <w:sz w:val="36"/>
          <w:szCs w:val="36"/>
          <w:rtl/>
        </w:rPr>
        <w:t>و</w:t>
      </w:r>
      <w:r w:rsidR="0097234C" w:rsidRPr="00FD211F">
        <w:rPr>
          <w:sz w:val="36"/>
          <w:szCs w:val="36"/>
          <w:rtl/>
        </w:rPr>
        <w:t>الانصاف</w:t>
      </w:r>
      <w:r w:rsidR="00E8128F">
        <w:rPr>
          <w:sz w:val="36"/>
          <w:szCs w:val="36"/>
          <w:rtl/>
        </w:rPr>
        <w:t xml:space="preserve"> </w:t>
      </w:r>
      <w:r w:rsidR="0097234C" w:rsidRPr="00FD211F">
        <w:rPr>
          <w:sz w:val="36"/>
          <w:szCs w:val="36"/>
          <w:rtl/>
        </w:rPr>
        <w:t>ان</w:t>
      </w:r>
      <w:r w:rsidR="00E8128F">
        <w:rPr>
          <w:sz w:val="36"/>
          <w:szCs w:val="36"/>
          <w:rtl/>
        </w:rPr>
        <w:t xml:space="preserve"> </w:t>
      </w:r>
      <w:r w:rsidR="00DE7919" w:rsidRPr="00FD211F">
        <w:rPr>
          <w:sz w:val="36"/>
          <w:szCs w:val="36"/>
          <w:rtl/>
        </w:rPr>
        <w:t>كون</w:t>
      </w:r>
      <w:r w:rsidR="00E8128F">
        <w:rPr>
          <w:sz w:val="36"/>
          <w:szCs w:val="36"/>
          <w:rtl/>
        </w:rPr>
        <w:t xml:space="preserve"> </w:t>
      </w:r>
      <w:r w:rsidR="0097234C" w:rsidRPr="00FD211F">
        <w:rPr>
          <w:sz w:val="36"/>
          <w:szCs w:val="36"/>
          <w:rtl/>
        </w:rPr>
        <w:t>معنى</w:t>
      </w:r>
      <w:r w:rsidR="00E8128F">
        <w:rPr>
          <w:sz w:val="36"/>
          <w:szCs w:val="36"/>
          <w:rtl/>
        </w:rPr>
        <w:t xml:space="preserve"> </w:t>
      </w:r>
      <w:r w:rsidR="0097234C" w:rsidRPr="00FD211F">
        <w:rPr>
          <w:sz w:val="36"/>
          <w:szCs w:val="36"/>
          <w:rtl/>
        </w:rPr>
        <w:t>ال</w:t>
      </w:r>
      <w:r w:rsidR="0079493B" w:rsidRPr="00FD211F">
        <w:rPr>
          <w:sz w:val="36"/>
          <w:szCs w:val="36"/>
          <w:rtl/>
        </w:rPr>
        <w:t>مبدأ</w:t>
      </w:r>
      <w:r w:rsidR="00E8128F">
        <w:rPr>
          <w:sz w:val="36"/>
          <w:szCs w:val="36"/>
          <w:rtl/>
        </w:rPr>
        <w:t xml:space="preserve"> </w:t>
      </w:r>
      <w:r w:rsidR="0097234C" w:rsidRPr="00FD211F">
        <w:rPr>
          <w:sz w:val="36"/>
          <w:szCs w:val="36"/>
          <w:rtl/>
        </w:rPr>
        <w:t>في</w:t>
      </w:r>
      <w:r w:rsidR="00E8128F">
        <w:rPr>
          <w:sz w:val="36"/>
          <w:szCs w:val="36"/>
          <w:rtl/>
        </w:rPr>
        <w:t xml:space="preserve"> </w:t>
      </w:r>
      <w:r w:rsidR="0097234C" w:rsidRPr="00FD211F">
        <w:rPr>
          <w:sz w:val="36"/>
          <w:szCs w:val="36"/>
          <w:rtl/>
        </w:rPr>
        <w:t>هذه</w:t>
      </w:r>
      <w:r w:rsidR="00E8128F">
        <w:rPr>
          <w:sz w:val="36"/>
          <w:szCs w:val="36"/>
          <w:rtl/>
        </w:rPr>
        <w:t xml:space="preserve"> </w:t>
      </w:r>
      <w:r w:rsidR="0097234C" w:rsidRPr="00FD211F">
        <w:rPr>
          <w:sz w:val="36"/>
          <w:szCs w:val="36"/>
          <w:rtl/>
        </w:rPr>
        <w:t>الأمثل</w:t>
      </w:r>
      <w:r w:rsidR="00EC7EDF" w:rsidRPr="00FD211F">
        <w:rPr>
          <w:sz w:val="36"/>
          <w:szCs w:val="36"/>
          <w:rtl/>
        </w:rPr>
        <w:t>ة</w:t>
      </w:r>
      <w:r w:rsidR="00E8128F">
        <w:rPr>
          <w:sz w:val="36"/>
          <w:szCs w:val="36"/>
          <w:rtl/>
        </w:rPr>
        <w:t xml:space="preserve"> </w:t>
      </w:r>
      <w:r w:rsidR="0097234C" w:rsidRPr="00FD211F">
        <w:rPr>
          <w:sz w:val="36"/>
          <w:szCs w:val="36"/>
          <w:rtl/>
        </w:rPr>
        <w:t>غير</w:t>
      </w:r>
      <w:r w:rsidR="00E8128F">
        <w:rPr>
          <w:sz w:val="36"/>
          <w:szCs w:val="36"/>
          <w:rtl/>
        </w:rPr>
        <w:t xml:space="preserve"> </w:t>
      </w:r>
      <w:r w:rsidR="0097234C" w:rsidRPr="00FD211F">
        <w:rPr>
          <w:sz w:val="36"/>
          <w:szCs w:val="36"/>
          <w:rtl/>
        </w:rPr>
        <w:t>ما</w:t>
      </w:r>
      <w:r w:rsidR="00E8128F">
        <w:rPr>
          <w:sz w:val="36"/>
          <w:szCs w:val="36"/>
          <w:rtl/>
        </w:rPr>
        <w:t xml:space="preserve"> </w:t>
      </w:r>
      <w:r w:rsidR="0097234C" w:rsidRPr="00FD211F">
        <w:rPr>
          <w:sz w:val="36"/>
          <w:szCs w:val="36"/>
          <w:rtl/>
        </w:rPr>
        <w:t>هو</w:t>
      </w:r>
      <w:r w:rsidR="00E8128F">
        <w:rPr>
          <w:sz w:val="36"/>
          <w:szCs w:val="36"/>
          <w:rtl/>
        </w:rPr>
        <w:t xml:space="preserve"> </w:t>
      </w:r>
      <w:r w:rsidR="0097234C" w:rsidRPr="00FD211F">
        <w:rPr>
          <w:sz w:val="36"/>
          <w:szCs w:val="36"/>
          <w:rtl/>
        </w:rPr>
        <w:t>مدلول</w:t>
      </w:r>
      <w:r w:rsidR="00E8128F">
        <w:rPr>
          <w:sz w:val="36"/>
          <w:szCs w:val="36"/>
          <w:rtl/>
        </w:rPr>
        <w:t xml:space="preserve"> </w:t>
      </w:r>
      <w:r w:rsidR="0097234C" w:rsidRPr="00FD211F">
        <w:rPr>
          <w:sz w:val="36"/>
          <w:szCs w:val="36"/>
          <w:rtl/>
        </w:rPr>
        <w:t>الماد</w:t>
      </w:r>
      <w:r w:rsidR="00EC7EDF" w:rsidRPr="00FD211F">
        <w:rPr>
          <w:sz w:val="36"/>
          <w:szCs w:val="36"/>
          <w:rtl/>
        </w:rPr>
        <w:t>ة</w:t>
      </w:r>
      <w:r w:rsidR="00E8128F">
        <w:rPr>
          <w:sz w:val="36"/>
          <w:szCs w:val="36"/>
          <w:rtl/>
        </w:rPr>
        <w:t xml:space="preserve"> </w:t>
      </w:r>
      <w:r w:rsidR="0097234C" w:rsidRPr="00FD211F">
        <w:rPr>
          <w:sz w:val="36"/>
          <w:szCs w:val="36"/>
          <w:rtl/>
        </w:rPr>
        <w:t>في</w:t>
      </w:r>
      <w:r w:rsidR="00E8128F">
        <w:rPr>
          <w:sz w:val="36"/>
          <w:szCs w:val="36"/>
          <w:rtl/>
        </w:rPr>
        <w:t xml:space="preserve"> </w:t>
      </w:r>
      <w:r w:rsidR="0097234C" w:rsidRPr="00FD211F">
        <w:rPr>
          <w:sz w:val="36"/>
          <w:szCs w:val="36"/>
          <w:rtl/>
        </w:rPr>
        <w:t>سائر</w:t>
      </w:r>
      <w:r w:rsidR="00E8128F">
        <w:rPr>
          <w:sz w:val="36"/>
          <w:szCs w:val="36"/>
          <w:rtl/>
        </w:rPr>
        <w:t xml:space="preserve"> </w:t>
      </w:r>
      <w:r w:rsidR="0097234C" w:rsidRPr="00FD211F">
        <w:rPr>
          <w:sz w:val="36"/>
          <w:szCs w:val="36"/>
          <w:rtl/>
        </w:rPr>
        <w:t>الهيئات</w:t>
      </w:r>
      <w:r w:rsidR="00E8128F">
        <w:rPr>
          <w:sz w:val="36"/>
          <w:szCs w:val="36"/>
          <w:rtl/>
        </w:rPr>
        <w:t xml:space="preserve"> </w:t>
      </w:r>
      <w:r w:rsidR="0040555A" w:rsidRPr="00FD211F">
        <w:rPr>
          <w:sz w:val="36"/>
          <w:szCs w:val="36"/>
          <w:rtl/>
        </w:rPr>
        <w:t>خلاف</w:t>
      </w:r>
      <w:r w:rsidR="00E8128F">
        <w:rPr>
          <w:sz w:val="36"/>
          <w:szCs w:val="36"/>
          <w:rtl/>
        </w:rPr>
        <w:t xml:space="preserve"> </w:t>
      </w:r>
      <w:r w:rsidR="0040555A" w:rsidRPr="00FD211F">
        <w:rPr>
          <w:sz w:val="36"/>
          <w:szCs w:val="36"/>
          <w:rtl/>
        </w:rPr>
        <w:t>المرتكز</w:t>
      </w:r>
      <w:r w:rsidR="00E8128F">
        <w:rPr>
          <w:sz w:val="36"/>
          <w:szCs w:val="36"/>
          <w:rtl/>
        </w:rPr>
        <w:t xml:space="preserve"> </w:t>
      </w:r>
      <w:r w:rsidR="0040555A" w:rsidRPr="00FD211F">
        <w:rPr>
          <w:sz w:val="36"/>
          <w:szCs w:val="36"/>
          <w:rtl/>
        </w:rPr>
        <w:t>عرفا</w:t>
      </w:r>
      <w:r w:rsidR="00603323" w:rsidRPr="00FD211F">
        <w:rPr>
          <w:sz w:val="36"/>
          <w:szCs w:val="36"/>
          <w:rtl/>
        </w:rPr>
        <w:t>،</w:t>
      </w:r>
      <w:r w:rsidR="00E8128F">
        <w:rPr>
          <w:sz w:val="36"/>
          <w:szCs w:val="36"/>
          <w:rtl/>
        </w:rPr>
        <w:t xml:space="preserve"> </w:t>
      </w:r>
      <w:r w:rsidR="00BF184F" w:rsidRPr="00FD211F">
        <w:rPr>
          <w:sz w:val="36"/>
          <w:szCs w:val="36"/>
          <w:rtl/>
        </w:rPr>
        <w:t>فالظاهر</w:t>
      </w:r>
      <w:r w:rsidR="00E8128F">
        <w:rPr>
          <w:sz w:val="36"/>
          <w:szCs w:val="36"/>
          <w:rtl/>
        </w:rPr>
        <w:t xml:space="preserve"> </w:t>
      </w:r>
      <w:r w:rsidR="00BF184F" w:rsidRPr="00FD211F">
        <w:rPr>
          <w:sz w:val="36"/>
          <w:szCs w:val="36"/>
          <w:rtl/>
        </w:rPr>
        <w:t>تمامي</w:t>
      </w:r>
      <w:r w:rsidR="00EC7EDF" w:rsidRPr="00FD211F">
        <w:rPr>
          <w:sz w:val="36"/>
          <w:szCs w:val="36"/>
          <w:rtl/>
        </w:rPr>
        <w:t>ة</w:t>
      </w:r>
      <w:r w:rsidR="00E8128F">
        <w:rPr>
          <w:sz w:val="36"/>
          <w:szCs w:val="36"/>
          <w:rtl/>
        </w:rPr>
        <w:t xml:space="preserve"> </w:t>
      </w:r>
      <w:r w:rsidR="00BF184F" w:rsidRPr="00FD211F">
        <w:rPr>
          <w:sz w:val="36"/>
          <w:szCs w:val="36"/>
          <w:rtl/>
        </w:rPr>
        <w:t>هذ</w:t>
      </w:r>
      <w:r w:rsidR="00E8128F">
        <w:rPr>
          <w:sz w:val="36"/>
          <w:szCs w:val="36"/>
          <w:rtl/>
        </w:rPr>
        <w:t xml:space="preserve"> </w:t>
      </w:r>
      <w:r w:rsidR="00BF184F" w:rsidRPr="00FD211F">
        <w:rPr>
          <w:sz w:val="36"/>
          <w:szCs w:val="36"/>
          <w:rtl/>
        </w:rPr>
        <w:t>االنقض</w:t>
      </w:r>
      <w:r w:rsidR="00EC7EDF" w:rsidRPr="00FD211F">
        <w:rPr>
          <w:sz w:val="36"/>
          <w:szCs w:val="36"/>
          <w:rtl/>
        </w:rPr>
        <w:t>.</w:t>
      </w:r>
    </w:p>
    <w:p w14:paraId="15FA3FAF" w14:textId="77777777" w:rsidR="0097234C" w:rsidRPr="00FD211F" w:rsidRDefault="0097234C" w:rsidP="009C58C8">
      <w:pPr>
        <w:ind w:left="0" w:firstLine="227"/>
        <w:jc w:val="both"/>
        <w:rPr>
          <w:sz w:val="36"/>
          <w:szCs w:val="36"/>
          <w:rtl/>
        </w:rPr>
      </w:pPr>
      <w:r w:rsidRPr="00FD211F">
        <w:rPr>
          <w:sz w:val="36"/>
          <w:szCs w:val="36"/>
          <w:rtl/>
        </w:rPr>
        <w:t>والمهم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الجواب</w:t>
      </w:r>
      <w:r w:rsidR="00E8128F">
        <w:rPr>
          <w:sz w:val="36"/>
          <w:szCs w:val="36"/>
          <w:rtl/>
        </w:rPr>
        <w:t xml:space="preserve"> </w:t>
      </w:r>
      <w:r w:rsidR="0040555A" w:rsidRPr="00FD211F">
        <w:rPr>
          <w:sz w:val="36"/>
          <w:szCs w:val="36"/>
          <w:rtl/>
        </w:rPr>
        <w:t>عن</w:t>
      </w:r>
      <w:r w:rsidR="00E8128F">
        <w:rPr>
          <w:sz w:val="36"/>
          <w:szCs w:val="36"/>
          <w:rtl/>
        </w:rPr>
        <w:t xml:space="preserve"> </w:t>
      </w:r>
      <w:r w:rsidR="0040555A" w:rsidRPr="00FD211F">
        <w:rPr>
          <w:sz w:val="36"/>
          <w:szCs w:val="36"/>
          <w:rtl/>
        </w:rPr>
        <w:t>بيان</w:t>
      </w:r>
      <w:r w:rsidR="00E8128F">
        <w:rPr>
          <w:sz w:val="36"/>
          <w:szCs w:val="36"/>
          <w:rtl/>
        </w:rPr>
        <w:t xml:space="preserve"> </w:t>
      </w:r>
      <w:r w:rsidR="0040555A" w:rsidRPr="00FD211F">
        <w:rPr>
          <w:sz w:val="36"/>
          <w:szCs w:val="36"/>
          <w:rtl/>
        </w:rPr>
        <w:t>المحقق</w:t>
      </w:r>
      <w:r w:rsidR="00E8128F">
        <w:rPr>
          <w:sz w:val="36"/>
          <w:szCs w:val="36"/>
          <w:rtl/>
        </w:rPr>
        <w:t xml:space="preserve"> </w:t>
      </w:r>
      <w:r w:rsidR="0040555A" w:rsidRPr="00FD211F">
        <w:rPr>
          <w:sz w:val="36"/>
          <w:szCs w:val="36"/>
          <w:rtl/>
        </w:rPr>
        <w:t>النائيني</w:t>
      </w:r>
      <w:r w:rsidR="00E8128F">
        <w:rPr>
          <w:sz w:val="36"/>
          <w:szCs w:val="36"/>
          <w:rtl/>
        </w:rPr>
        <w:t xml:space="preserve"> </w:t>
      </w:r>
      <w:r w:rsidR="00B1734E" w:rsidRPr="00FD211F">
        <w:rPr>
          <w:sz w:val="36"/>
          <w:szCs w:val="36"/>
          <w:rtl/>
        </w:rPr>
        <w:t>"قده"</w:t>
      </w:r>
      <w:r w:rsidR="00E8128F">
        <w:rPr>
          <w:sz w:val="36"/>
          <w:szCs w:val="36"/>
          <w:rtl/>
        </w:rPr>
        <w:t xml:space="preserve"> </w:t>
      </w:r>
      <w:r w:rsidR="0040555A" w:rsidRPr="00FD211F">
        <w:rPr>
          <w:sz w:val="36"/>
          <w:szCs w:val="36"/>
          <w:rtl/>
        </w:rPr>
        <w:t>انه</w:t>
      </w:r>
      <w:r w:rsidR="00E8128F">
        <w:rPr>
          <w:sz w:val="36"/>
          <w:szCs w:val="36"/>
          <w:rtl/>
        </w:rPr>
        <w:t xml:space="preserve"> </w:t>
      </w:r>
      <w:r w:rsidR="0040555A" w:rsidRPr="00FD211F">
        <w:rPr>
          <w:sz w:val="36"/>
          <w:szCs w:val="36"/>
          <w:rtl/>
        </w:rPr>
        <w:t>بناء</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مسلك</w:t>
      </w:r>
      <w:r w:rsidR="00E8128F">
        <w:rPr>
          <w:sz w:val="36"/>
          <w:szCs w:val="36"/>
          <w:rtl/>
        </w:rPr>
        <w:t xml:space="preserve"> </w:t>
      </w:r>
      <w:r w:rsidR="0040555A" w:rsidRPr="00FD211F">
        <w:rPr>
          <w:sz w:val="36"/>
          <w:szCs w:val="36"/>
          <w:rtl/>
        </w:rPr>
        <w:t>جمهور</w:t>
      </w:r>
      <w:r w:rsidR="00E8128F">
        <w:rPr>
          <w:sz w:val="36"/>
          <w:szCs w:val="36"/>
          <w:rtl/>
        </w:rPr>
        <w:t xml:space="preserve"> </w:t>
      </w:r>
      <w:r w:rsidR="0040555A" w:rsidRPr="00FD211F">
        <w:rPr>
          <w:sz w:val="36"/>
          <w:szCs w:val="36"/>
          <w:rtl/>
        </w:rPr>
        <w:t>الفلاسف</w:t>
      </w:r>
      <w:r w:rsidR="00EC7EDF" w:rsidRPr="00FD211F">
        <w:rPr>
          <w:sz w:val="36"/>
          <w:szCs w:val="36"/>
          <w:rtl/>
        </w:rPr>
        <w:t>ة</w:t>
      </w:r>
      <w:r w:rsidR="00E8128F">
        <w:rPr>
          <w:sz w:val="36"/>
          <w:szCs w:val="36"/>
          <w:rtl/>
        </w:rPr>
        <w:t xml:space="preserve"> </w:t>
      </w:r>
      <w:r w:rsidR="0040555A"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0040555A" w:rsidRPr="00FD211F">
        <w:rPr>
          <w:sz w:val="36"/>
          <w:szCs w:val="36"/>
          <w:rtl/>
        </w:rPr>
        <w:t>وجود</w:t>
      </w:r>
      <w:r w:rsidR="00E8128F">
        <w:rPr>
          <w:sz w:val="36"/>
          <w:szCs w:val="36"/>
          <w:rtl/>
        </w:rPr>
        <w:t xml:space="preserve"> </w:t>
      </w:r>
      <w:r w:rsidR="0040555A" w:rsidRPr="00FD211F">
        <w:rPr>
          <w:sz w:val="36"/>
          <w:szCs w:val="36"/>
          <w:rtl/>
        </w:rPr>
        <w:t>العرض</w:t>
      </w:r>
      <w:r w:rsidR="00E8128F">
        <w:rPr>
          <w:sz w:val="36"/>
          <w:szCs w:val="36"/>
          <w:rtl/>
        </w:rPr>
        <w:t xml:space="preserve"> </w:t>
      </w:r>
      <w:r w:rsidR="0040555A" w:rsidRPr="00FD211F">
        <w:rPr>
          <w:sz w:val="36"/>
          <w:szCs w:val="36"/>
          <w:rtl/>
        </w:rPr>
        <w:t>وان</w:t>
      </w:r>
      <w:r w:rsidR="00E8128F">
        <w:rPr>
          <w:sz w:val="36"/>
          <w:szCs w:val="36"/>
          <w:rtl/>
        </w:rPr>
        <w:t xml:space="preserve"> </w:t>
      </w:r>
      <w:r w:rsidR="0040555A" w:rsidRPr="00FD211F">
        <w:rPr>
          <w:sz w:val="36"/>
          <w:szCs w:val="36"/>
          <w:rtl/>
        </w:rPr>
        <w:t>كان</w:t>
      </w:r>
      <w:r w:rsidR="00E8128F">
        <w:rPr>
          <w:sz w:val="36"/>
          <w:szCs w:val="36"/>
          <w:rtl/>
        </w:rPr>
        <w:t xml:space="preserve"> </w:t>
      </w:r>
      <w:r w:rsidR="0040555A" w:rsidRPr="00FD211F">
        <w:rPr>
          <w:sz w:val="36"/>
          <w:szCs w:val="36"/>
          <w:rtl/>
        </w:rPr>
        <w:t>لغيره</w:t>
      </w:r>
      <w:r w:rsidR="00E8128F">
        <w:rPr>
          <w:sz w:val="36"/>
          <w:szCs w:val="36"/>
          <w:rtl/>
        </w:rPr>
        <w:t xml:space="preserve"> </w:t>
      </w:r>
      <w:r w:rsidR="0040555A" w:rsidRPr="00FD211F">
        <w:rPr>
          <w:sz w:val="36"/>
          <w:szCs w:val="36"/>
          <w:rtl/>
        </w:rPr>
        <w:t>لكنه</w:t>
      </w:r>
      <w:r w:rsidR="00E8128F">
        <w:rPr>
          <w:sz w:val="36"/>
          <w:szCs w:val="36"/>
          <w:rtl/>
        </w:rPr>
        <w:t xml:space="preserve"> </w:t>
      </w:r>
      <w:r w:rsidR="0040555A" w:rsidRPr="00FD211F">
        <w:rPr>
          <w:sz w:val="36"/>
          <w:szCs w:val="36"/>
          <w:rtl/>
        </w:rPr>
        <w:t>وجود</w:t>
      </w:r>
      <w:r w:rsidR="00E8128F">
        <w:rPr>
          <w:sz w:val="36"/>
          <w:szCs w:val="36"/>
          <w:rtl/>
        </w:rPr>
        <w:t xml:space="preserve"> </w:t>
      </w:r>
      <w:r w:rsidR="0040555A" w:rsidRPr="00FD211F">
        <w:rPr>
          <w:sz w:val="36"/>
          <w:szCs w:val="36"/>
          <w:rtl/>
        </w:rPr>
        <w:t>مستقل</w:t>
      </w:r>
      <w:r w:rsidR="00E8128F">
        <w:rPr>
          <w:sz w:val="36"/>
          <w:szCs w:val="36"/>
          <w:rtl/>
        </w:rPr>
        <w:t xml:space="preserve"> </w:t>
      </w:r>
      <w:r w:rsidR="0040555A" w:rsidRPr="00FD211F">
        <w:rPr>
          <w:sz w:val="36"/>
          <w:szCs w:val="36"/>
          <w:rtl/>
        </w:rPr>
        <w:t>وراء</w:t>
      </w:r>
      <w:r w:rsidR="00E8128F">
        <w:rPr>
          <w:sz w:val="36"/>
          <w:szCs w:val="36"/>
          <w:rtl/>
        </w:rPr>
        <w:t xml:space="preserve"> </w:t>
      </w:r>
      <w:r w:rsidR="0040555A" w:rsidRPr="00FD211F">
        <w:rPr>
          <w:sz w:val="36"/>
          <w:szCs w:val="36"/>
          <w:rtl/>
        </w:rPr>
        <w:t>وجود</w:t>
      </w:r>
      <w:r w:rsidR="00E8128F">
        <w:rPr>
          <w:sz w:val="36"/>
          <w:szCs w:val="36"/>
          <w:rtl/>
        </w:rPr>
        <w:t xml:space="preserve"> </w:t>
      </w:r>
      <w:r w:rsidR="0040555A" w:rsidRPr="00FD211F">
        <w:rPr>
          <w:sz w:val="36"/>
          <w:szCs w:val="36"/>
          <w:rtl/>
        </w:rPr>
        <w:t>موضوعه</w:t>
      </w:r>
      <w:r w:rsidR="00E8128F">
        <w:rPr>
          <w:sz w:val="36"/>
          <w:szCs w:val="36"/>
          <w:rtl/>
        </w:rPr>
        <w:t xml:space="preserve"> </w:t>
      </w:r>
      <w:r w:rsidRPr="00FD211F">
        <w:rPr>
          <w:sz w:val="36"/>
          <w:szCs w:val="36"/>
          <w:rtl/>
        </w:rPr>
        <w:t>فمن</w:t>
      </w:r>
      <w:r w:rsidR="00E8128F">
        <w:rPr>
          <w:sz w:val="36"/>
          <w:szCs w:val="36"/>
          <w:rtl/>
        </w:rPr>
        <w:t xml:space="preserve"> </w:t>
      </w:r>
      <w:r w:rsidRPr="00FD211F">
        <w:rPr>
          <w:sz w:val="36"/>
          <w:szCs w:val="36"/>
          <w:rtl/>
        </w:rPr>
        <w:t>الواضح</w:t>
      </w:r>
      <w:r w:rsidR="00E8128F">
        <w:rPr>
          <w:sz w:val="36"/>
          <w:szCs w:val="36"/>
          <w:rtl/>
        </w:rPr>
        <w:t xml:space="preserve"> </w:t>
      </w:r>
      <w:r w:rsidRPr="00FD211F">
        <w:rPr>
          <w:sz w:val="36"/>
          <w:szCs w:val="36"/>
          <w:rtl/>
        </w:rPr>
        <w:t>تغاير</w:t>
      </w:r>
      <w:r w:rsidR="00E8128F">
        <w:rPr>
          <w:sz w:val="36"/>
          <w:szCs w:val="36"/>
          <w:rtl/>
        </w:rPr>
        <w:t xml:space="preserve"> </w:t>
      </w:r>
      <w:r w:rsidRPr="00FD211F">
        <w:rPr>
          <w:sz w:val="36"/>
          <w:szCs w:val="36"/>
          <w:rtl/>
        </w:rPr>
        <w:t>وجودهما</w:t>
      </w:r>
      <w:r w:rsidR="00E8128F">
        <w:rPr>
          <w:sz w:val="36"/>
          <w:szCs w:val="36"/>
          <w:rtl/>
        </w:rPr>
        <w:t xml:space="preserve"> </w:t>
      </w:r>
      <w:r w:rsidR="0040555A" w:rsidRPr="00FD211F">
        <w:rPr>
          <w:sz w:val="36"/>
          <w:szCs w:val="36"/>
          <w:rtl/>
        </w:rPr>
        <w:t>فلايصح</w:t>
      </w:r>
      <w:r w:rsidR="00E8128F">
        <w:rPr>
          <w:sz w:val="36"/>
          <w:szCs w:val="36"/>
          <w:rtl/>
        </w:rPr>
        <w:t xml:space="preserve"> </w:t>
      </w:r>
      <w:r w:rsidR="0040555A" w:rsidRPr="00FD211F">
        <w:rPr>
          <w:sz w:val="36"/>
          <w:szCs w:val="36"/>
          <w:rtl/>
        </w:rPr>
        <w:t>حمل</w:t>
      </w:r>
      <w:r w:rsidR="00E8128F">
        <w:rPr>
          <w:sz w:val="36"/>
          <w:szCs w:val="36"/>
          <w:rtl/>
        </w:rPr>
        <w:t xml:space="preserve"> </w:t>
      </w:r>
      <w:r w:rsidR="0040555A" w:rsidRPr="00FD211F">
        <w:rPr>
          <w:sz w:val="36"/>
          <w:szCs w:val="36"/>
          <w:rtl/>
        </w:rPr>
        <w:t>احدهما</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الآخر</w:t>
      </w:r>
      <w:r w:rsidR="00603323" w:rsidRPr="00FD211F">
        <w:rPr>
          <w:sz w:val="36"/>
          <w:szCs w:val="36"/>
          <w:rtl/>
        </w:rPr>
        <w:t>،</w:t>
      </w:r>
      <w:r w:rsidR="00E8128F">
        <w:rPr>
          <w:sz w:val="36"/>
          <w:szCs w:val="36"/>
          <w:rtl/>
        </w:rPr>
        <w:t xml:space="preserve"> </w:t>
      </w:r>
      <w:r w:rsidRPr="00FD211F">
        <w:rPr>
          <w:sz w:val="36"/>
          <w:szCs w:val="36"/>
          <w:rtl/>
        </w:rPr>
        <w:t>وأما</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ما</w:t>
      </w:r>
      <w:r w:rsidR="00E8128F">
        <w:rPr>
          <w:sz w:val="36"/>
          <w:szCs w:val="36"/>
          <w:rtl/>
        </w:rPr>
        <w:t xml:space="preserve"> </w:t>
      </w:r>
      <w:r w:rsidR="00BF184F" w:rsidRPr="00FD211F">
        <w:rPr>
          <w:sz w:val="36"/>
          <w:szCs w:val="36"/>
          <w:rtl/>
        </w:rPr>
        <w:t>حكى</w:t>
      </w:r>
      <w:r w:rsidR="00E8128F">
        <w:rPr>
          <w:sz w:val="36"/>
          <w:szCs w:val="36"/>
          <w:rtl/>
        </w:rPr>
        <w:t xml:space="preserve"> </w:t>
      </w:r>
      <w:r w:rsidR="00BF184F" w:rsidRPr="00FD211F">
        <w:rPr>
          <w:sz w:val="36"/>
          <w:szCs w:val="36"/>
          <w:rtl/>
        </w:rPr>
        <w:t>عن</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آقا</w:t>
      </w:r>
      <w:r w:rsidR="00E8128F">
        <w:rPr>
          <w:sz w:val="36"/>
          <w:szCs w:val="36"/>
          <w:rtl/>
        </w:rPr>
        <w:t xml:space="preserve"> </w:t>
      </w:r>
      <w:r w:rsidRPr="00FD211F">
        <w:rPr>
          <w:sz w:val="36"/>
          <w:szCs w:val="36"/>
          <w:rtl/>
        </w:rPr>
        <w:t>علي</w:t>
      </w:r>
      <w:r w:rsidR="00E8128F">
        <w:rPr>
          <w:sz w:val="36"/>
          <w:szCs w:val="36"/>
          <w:rtl/>
        </w:rPr>
        <w:t xml:space="preserve"> </w:t>
      </w:r>
      <w:r w:rsidRPr="00FD211F">
        <w:rPr>
          <w:sz w:val="36"/>
          <w:szCs w:val="36"/>
          <w:rtl/>
        </w:rPr>
        <w:t>المدرس</w:t>
      </w:r>
      <w:r w:rsidR="00E8128F">
        <w:rPr>
          <w:sz w:val="36"/>
          <w:szCs w:val="36"/>
          <w:rtl/>
        </w:rPr>
        <w:t xml:space="preserve"> </w:t>
      </w:r>
      <w:r w:rsidRPr="00FD211F">
        <w:rPr>
          <w:sz w:val="36"/>
          <w:szCs w:val="36"/>
          <w:rtl/>
        </w:rPr>
        <w:t>الزنوزي</w:t>
      </w:r>
      <w:r w:rsidR="00E8128F">
        <w:rPr>
          <w:sz w:val="36"/>
          <w:szCs w:val="36"/>
          <w:rtl/>
        </w:rPr>
        <w:t xml:space="preserve"> </w:t>
      </w:r>
      <w:r w:rsidR="00BF184F" w:rsidRPr="00FD211F">
        <w:rPr>
          <w:sz w:val="36"/>
          <w:szCs w:val="36"/>
          <w:rtl/>
        </w:rPr>
        <w:t>"</w:t>
      </w:r>
      <w:r w:rsidRPr="00FD211F">
        <w:rPr>
          <w:sz w:val="36"/>
          <w:szCs w:val="36"/>
          <w:rtl/>
        </w:rPr>
        <w:t>قده</w:t>
      </w:r>
      <w:r w:rsidR="00BF184F"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الأعر</w:t>
      </w:r>
      <w:r w:rsidR="00360F5C" w:rsidRPr="00FD211F">
        <w:rPr>
          <w:sz w:val="36"/>
          <w:szCs w:val="36"/>
          <w:rtl/>
        </w:rPr>
        <w:t>ا</w:t>
      </w:r>
      <w:r w:rsidRPr="00FD211F">
        <w:rPr>
          <w:sz w:val="36"/>
          <w:szCs w:val="36"/>
          <w:rtl/>
        </w:rPr>
        <w:t>ض</w:t>
      </w:r>
      <w:r w:rsidR="00E8128F">
        <w:rPr>
          <w:sz w:val="36"/>
          <w:szCs w:val="36"/>
          <w:rtl/>
        </w:rPr>
        <w:t xml:space="preserve"> </w:t>
      </w:r>
      <w:r w:rsidRPr="00FD211F">
        <w:rPr>
          <w:sz w:val="36"/>
          <w:szCs w:val="36"/>
          <w:rtl/>
        </w:rPr>
        <w:t>مراتب</w:t>
      </w:r>
      <w:r w:rsidR="00E8128F">
        <w:rPr>
          <w:sz w:val="36"/>
          <w:szCs w:val="36"/>
          <w:rtl/>
        </w:rPr>
        <w:t xml:space="preserve"> </w:t>
      </w:r>
      <w:r w:rsidRPr="00FD211F">
        <w:rPr>
          <w:sz w:val="36"/>
          <w:szCs w:val="36"/>
          <w:rtl/>
        </w:rPr>
        <w:t>وجودات</w:t>
      </w:r>
      <w:r w:rsidR="00E8128F">
        <w:rPr>
          <w:sz w:val="36"/>
          <w:szCs w:val="36"/>
          <w:rtl/>
        </w:rPr>
        <w:t xml:space="preserve"> </w:t>
      </w:r>
      <w:r w:rsidRPr="00FD211F">
        <w:rPr>
          <w:sz w:val="36"/>
          <w:szCs w:val="36"/>
          <w:rtl/>
        </w:rPr>
        <w:t>الجواهر</w:t>
      </w:r>
      <w:r w:rsidR="00E8128F">
        <w:rPr>
          <w:sz w:val="36"/>
          <w:szCs w:val="36"/>
          <w:rtl/>
        </w:rPr>
        <w:t xml:space="preserve"> </w:t>
      </w:r>
      <w:r w:rsidR="006C2B20" w:rsidRPr="00FD211F">
        <w:rPr>
          <w:sz w:val="36"/>
          <w:szCs w:val="36"/>
          <w:rtl/>
        </w:rPr>
        <w:t>وطورمن</w:t>
      </w:r>
      <w:r w:rsidR="00E8128F">
        <w:rPr>
          <w:sz w:val="36"/>
          <w:szCs w:val="36"/>
          <w:rtl/>
        </w:rPr>
        <w:t xml:space="preserve"> </w:t>
      </w:r>
      <w:r w:rsidR="006C2B20" w:rsidRPr="00FD211F">
        <w:rPr>
          <w:sz w:val="36"/>
          <w:szCs w:val="36"/>
          <w:rtl/>
        </w:rPr>
        <w:t>أطوارها</w:t>
      </w:r>
      <w:r w:rsidR="00E8128F">
        <w:rPr>
          <w:sz w:val="36"/>
          <w:szCs w:val="36"/>
          <w:rtl/>
        </w:rPr>
        <w:t xml:space="preserve"> </w:t>
      </w:r>
      <w:r w:rsidR="00360F5C" w:rsidRPr="00FD211F">
        <w:rPr>
          <w:sz w:val="36"/>
          <w:szCs w:val="36"/>
          <w:rtl/>
        </w:rPr>
        <w:t>فليس</w:t>
      </w:r>
      <w:r w:rsidR="00E8128F">
        <w:rPr>
          <w:sz w:val="36"/>
          <w:szCs w:val="36"/>
          <w:rtl/>
        </w:rPr>
        <w:t xml:space="preserve"> </w:t>
      </w:r>
      <w:r w:rsidR="00360F5C" w:rsidRPr="00FD211F">
        <w:rPr>
          <w:sz w:val="36"/>
          <w:szCs w:val="36"/>
          <w:rtl/>
        </w:rPr>
        <w:t>لها</w:t>
      </w:r>
      <w:r w:rsidR="00E8128F">
        <w:rPr>
          <w:sz w:val="36"/>
          <w:szCs w:val="36"/>
          <w:rtl/>
        </w:rPr>
        <w:t xml:space="preserve"> </w:t>
      </w:r>
      <w:r w:rsidR="00360F5C" w:rsidRPr="00FD211F">
        <w:rPr>
          <w:sz w:val="36"/>
          <w:szCs w:val="36"/>
          <w:rtl/>
        </w:rPr>
        <w:t>وجود</w:t>
      </w:r>
      <w:r w:rsidR="00E8128F">
        <w:rPr>
          <w:sz w:val="36"/>
          <w:szCs w:val="36"/>
          <w:rtl/>
        </w:rPr>
        <w:t xml:space="preserve"> </w:t>
      </w:r>
      <w:r w:rsidR="00360F5C" w:rsidRPr="00FD211F">
        <w:rPr>
          <w:sz w:val="36"/>
          <w:szCs w:val="36"/>
          <w:rtl/>
        </w:rPr>
        <w:t>وراء</w:t>
      </w:r>
      <w:r w:rsidR="00E8128F">
        <w:rPr>
          <w:sz w:val="36"/>
          <w:szCs w:val="36"/>
          <w:rtl/>
        </w:rPr>
        <w:t xml:space="preserve"> </w:t>
      </w:r>
      <w:r w:rsidR="00360F5C" w:rsidRPr="00FD211F">
        <w:rPr>
          <w:sz w:val="36"/>
          <w:szCs w:val="36"/>
          <w:rtl/>
        </w:rPr>
        <w:t>وجود</w:t>
      </w:r>
      <w:r w:rsidR="00E8128F">
        <w:rPr>
          <w:sz w:val="36"/>
          <w:szCs w:val="36"/>
          <w:rtl/>
        </w:rPr>
        <w:t xml:space="preserve"> </w:t>
      </w:r>
      <w:r w:rsidR="00360F5C" w:rsidRPr="00FD211F">
        <w:rPr>
          <w:sz w:val="36"/>
          <w:szCs w:val="36"/>
          <w:rtl/>
        </w:rPr>
        <w:t>الجواهر</w:t>
      </w:r>
      <w:r w:rsidR="00E8128F">
        <w:rPr>
          <w:sz w:val="36"/>
          <w:szCs w:val="36"/>
          <w:rtl/>
        </w:rPr>
        <w:t xml:space="preserve"> </w:t>
      </w:r>
      <w:r w:rsidR="00BF184F" w:rsidRPr="00FD211F">
        <w:rPr>
          <w:sz w:val="36"/>
          <w:szCs w:val="36"/>
          <w:rtl/>
        </w:rPr>
        <w:t>ولكن</w:t>
      </w:r>
      <w:r w:rsidR="00E8128F">
        <w:rPr>
          <w:sz w:val="36"/>
          <w:szCs w:val="36"/>
          <w:rtl/>
        </w:rPr>
        <w:t xml:space="preserve"> </w:t>
      </w:r>
      <w:r w:rsidR="0040555A" w:rsidRPr="00FD211F">
        <w:rPr>
          <w:sz w:val="36"/>
          <w:szCs w:val="36"/>
          <w:rtl/>
        </w:rPr>
        <w:t>حيث</w:t>
      </w:r>
      <w:r w:rsidR="00E8128F">
        <w:rPr>
          <w:sz w:val="36"/>
          <w:szCs w:val="36"/>
          <w:rtl/>
        </w:rPr>
        <w:t xml:space="preserve"> </w:t>
      </w:r>
      <w:r w:rsidR="0040555A" w:rsidRPr="00FD211F">
        <w:rPr>
          <w:sz w:val="36"/>
          <w:szCs w:val="36"/>
          <w:rtl/>
        </w:rPr>
        <w:t>ان</w:t>
      </w:r>
      <w:r w:rsidR="00E8128F">
        <w:rPr>
          <w:sz w:val="36"/>
          <w:szCs w:val="36"/>
          <w:rtl/>
        </w:rPr>
        <w:t xml:space="preserve"> </w:t>
      </w:r>
      <w:r w:rsidR="0040555A" w:rsidRPr="00FD211F">
        <w:rPr>
          <w:sz w:val="36"/>
          <w:szCs w:val="36"/>
          <w:rtl/>
        </w:rPr>
        <w:t>الملاك</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الوضع</w:t>
      </w:r>
      <w:r w:rsidR="00E8128F">
        <w:rPr>
          <w:sz w:val="36"/>
          <w:szCs w:val="36"/>
          <w:rtl/>
        </w:rPr>
        <w:t xml:space="preserve"> </w:t>
      </w:r>
      <w:r w:rsidR="0040555A" w:rsidRPr="00FD211F">
        <w:rPr>
          <w:sz w:val="36"/>
          <w:szCs w:val="36"/>
          <w:rtl/>
        </w:rPr>
        <w:t>نظر</w:t>
      </w:r>
      <w:r w:rsidR="00E8128F">
        <w:rPr>
          <w:sz w:val="36"/>
          <w:szCs w:val="36"/>
          <w:rtl/>
        </w:rPr>
        <w:t xml:space="preserve"> </w:t>
      </w:r>
      <w:r w:rsidR="0040555A" w:rsidRPr="00FD211F">
        <w:rPr>
          <w:sz w:val="36"/>
          <w:szCs w:val="36"/>
          <w:rtl/>
        </w:rPr>
        <w:t>العرف</w:t>
      </w:r>
      <w:r w:rsidR="00E8128F">
        <w:rPr>
          <w:sz w:val="36"/>
          <w:szCs w:val="36"/>
          <w:rtl/>
        </w:rPr>
        <w:t xml:space="preserve"> </w:t>
      </w:r>
      <w:r w:rsidR="0040555A" w:rsidRPr="00FD211F">
        <w:rPr>
          <w:sz w:val="36"/>
          <w:szCs w:val="36"/>
          <w:rtl/>
        </w:rPr>
        <w:t>وهو</w:t>
      </w:r>
      <w:r w:rsidR="00E8128F">
        <w:rPr>
          <w:sz w:val="36"/>
          <w:szCs w:val="36"/>
          <w:rtl/>
        </w:rPr>
        <w:t xml:space="preserve"> </w:t>
      </w:r>
      <w:r w:rsidR="0040555A" w:rsidRPr="00FD211F">
        <w:rPr>
          <w:sz w:val="36"/>
          <w:szCs w:val="36"/>
          <w:rtl/>
        </w:rPr>
        <w:t>يرى</w:t>
      </w:r>
      <w:r w:rsidR="00E8128F">
        <w:rPr>
          <w:sz w:val="36"/>
          <w:szCs w:val="36"/>
          <w:rtl/>
        </w:rPr>
        <w:t xml:space="preserve"> </w:t>
      </w:r>
      <w:r w:rsidR="0040555A" w:rsidRPr="00FD211F">
        <w:rPr>
          <w:sz w:val="36"/>
          <w:szCs w:val="36"/>
          <w:rtl/>
        </w:rPr>
        <w:t>ولو</w:t>
      </w:r>
      <w:r w:rsidR="00E8128F">
        <w:rPr>
          <w:sz w:val="36"/>
          <w:szCs w:val="36"/>
          <w:rtl/>
        </w:rPr>
        <w:t xml:space="preserve"> </w:t>
      </w:r>
      <w:r w:rsidR="0040555A" w:rsidRPr="00FD211F">
        <w:rPr>
          <w:sz w:val="36"/>
          <w:szCs w:val="36"/>
          <w:rtl/>
        </w:rPr>
        <w:t>بنظره</w:t>
      </w:r>
      <w:r w:rsidR="00E8128F">
        <w:rPr>
          <w:sz w:val="36"/>
          <w:szCs w:val="36"/>
          <w:rtl/>
        </w:rPr>
        <w:t xml:space="preserve"> </w:t>
      </w:r>
      <w:r w:rsidR="0040555A" w:rsidRPr="00FD211F">
        <w:rPr>
          <w:sz w:val="36"/>
          <w:szCs w:val="36"/>
          <w:rtl/>
        </w:rPr>
        <w:t>الساذج</w:t>
      </w:r>
      <w:r w:rsidR="00E8128F">
        <w:rPr>
          <w:sz w:val="36"/>
          <w:szCs w:val="36"/>
          <w:rtl/>
        </w:rPr>
        <w:t xml:space="preserve"> </w:t>
      </w:r>
      <w:r w:rsidR="0040555A" w:rsidRPr="00FD211F">
        <w:rPr>
          <w:sz w:val="36"/>
          <w:szCs w:val="36"/>
          <w:rtl/>
        </w:rPr>
        <w:t>تعدد</w:t>
      </w:r>
      <w:r w:rsidR="00E8128F">
        <w:rPr>
          <w:sz w:val="36"/>
          <w:szCs w:val="36"/>
          <w:rtl/>
        </w:rPr>
        <w:t xml:space="preserve"> </w:t>
      </w:r>
      <w:r w:rsidR="0040555A" w:rsidRPr="00FD211F">
        <w:rPr>
          <w:sz w:val="36"/>
          <w:szCs w:val="36"/>
          <w:rtl/>
        </w:rPr>
        <w:t>العرض</w:t>
      </w:r>
      <w:r w:rsidR="00E8128F">
        <w:rPr>
          <w:sz w:val="36"/>
          <w:szCs w:val="36"/>
          <w:rtl/>
        </w:rPr>
        <w:t xml:space="preserve"> </w:t>
      </w:r>
      <w:r w:rsidR="00344044" w:rsidRPr="00FD211F">
        <w:rPr>
          <w:sz w:val="36"/>
          <w:szCs w:val="36"/>
          <w:rtl/>
        </w:rPr>
        <w:t>والجوهر</w:t>
      </w:r>
      <w:r w:rsidR="00E8128F">
        <w:rPr>
          <w:sz w:val="36"/>
          <w:szCs w:val="36"/>
          <w:rtl/>
        </w:rPr>
        <w:t xml:space="preserve"> </w:t>
      </w:r>
      <w:r w:rsidR="00344044" w:rsidRPr="00FD211F">
        <w:rPr>
          <w:sz w:val="36"/>
          <w:szCs w:val="36"/>
          <w:rtl/>
        </w:rPr>
        <w:t>وجودا</w:t>
      </w:r>
      <w:r w:rsidR="00E8128F">
        <w:rPr>
          <w:sz w:val="36"/>
          <w:szCs w:val="36"/>
          <w:rtl/>
        </w:rPr>
        <w:t xml:space="preserve"> </w:t>
      </w:r>
      <w:r w:rsidR="00344044" w:rsidRPr="00FD211F">
        <w:rPr>
          <w:sz w:val="36"/>
          <w:szCs w:val="36"/>
          <w:rtl/>
        </w:rPr>
        <w:t>فلايصح</w:t>
      </w:r>
      <w:r w:rsidR="00E8128F">
        <w:rPr>
          <w:sz w:val="36"/>
          <w:szCs w:val="36"/>
          <w:rtl/>
        </w:rPr>
        <w:t xml:space="preserve"> </w:t>
      </w:r>
      <w:r w:rsidR="00344044" w:rsidRPr="00FD211F">
        <w:rPr>
          <w:sz w:val="36"/>
          <w:szCs w:val="36"/>
          <w:rtl/>
        </w:rPr>
        <w:t>حمل</w:t>
      </w:r>
      <w:r w:rsidR="00E8128F">
        <w:rPr>
          <w:sz w:val="36"/>
          <w:szCs w:val="36"/>
          <w:rtl/>
        </w:rPr>
        <w:t xml:space="preserve"> </w:t>
      </w:r>
      <w:r w:rsidR="00344044" w:rsidRPr="00FD211F">
        <w:rPr>
          <w:sz w:val="36"/>
          <w:szCs w:val="36"/>
          <w:rtl/>
        </w:rPr>
        <w:t>احدهما</w:t>
      </w:r>
      <w:r w:rsidR="00E8128F">
        <w:rPr>
          <w:sz w:val="36"/>
          <w:szCs w:val="36"/>
          <w:rtl/>
        </w:rPr>
        <w:t xml:space="preserve"> </w:t>
      </w:r>
      <w:r w:rsidR="0040555A" w:rsidRPr="00FD211F">
        <w:rPr>
          <w:sz w:val="36"/>
          <w:szCs w:val="36"/>
          <w:rtl/>
        </w:rPr>
        <w:t>على</w:t>
      </w:r>
      <w:r w:rsidR="00E8128F">
        <w:rPr>
          <w:sz w:val="36"/>
          <w:szCs w:val="36"/>
          <w:rtl/>
        </w:rPr>
        <w:t xml:space="preserve"> </w:t>
      </w:r>
      <w:r w:rsidR="0040555A" w:rsidRPr="00FD211F">
        <w:rPr>
          <w:sz w:val="36"/>
          <w:szCs w:val="36"/>
          <w:rtl/>
        </w:rPr>
        <w:t>الآخر</w:t>
      </w:r>
      <w:r w:rsidRPr="00FD211F">
        <w:rPr>
          <w:sz w:val="36"/>
          <w:szCs w:val="36"/>
          <w:rtl/>
        </w:rPr>
        <w:t>.</w:t>
      </w:r>
    </w:p>
    <w:p w14:paraId="3C69D346" w14:textId="77777777" w:rsidR="0040555A" w:rsidRPr="00FD211F" w:rsidRDefault="0097234C" w:rsidP="009C58C8">
      <w:pPr>
        <w:ind w:left="0" w:firstLine="227"/>
        <w:jc w:val="both"/>
        <w:rPr>
          <w:sz w:val="36"/>
          <w:szCs w:val="36"/>
          <w:rtl/>
        </w:rPr>
      </w:pPr>
      <w:r w:rsidRPr="00FD211F">
        <w:rPr>
          <w:sz w:val="36"/>
          <w:szCs w:val="36"/>
          <w:rtl/>
        </w:rPr>
        <w:t>ولايخفى</w:t>
      </w:r>
      <w:r w:rsidR="00E8128F">
        <w:rPr>
          <w:sz w:val="36"/>
          <w:szCs w:val="36"/>
          <w:rtl/>
        </w:rPr>
        <w:t xml:space="preserve"> </w:t>
      </w:r>
      <w:r w:rsidRPr="00FD211F">
        <w:rPr>
          <w:sz w:val="36"/>
          <w:szCs w:val="36"/>
          <w:rtl/>
        </w:rPr>
        <w:t>انه</w:t>
      </w:r>
      <w:r w:rsidR="00E8128F">
        <w:rPr>
          <w:sz w:val="36"/>
          <w:szCs w:val="36"/>
          <w:rtl/>
        </w:rPr>
        <w:t xml:space="preserve"> </w:t>
      </w:r>
      <w:r w:rsidR="008D7B3D" w:rsidRPr="00FD211F">
        <w:rPr>
          <w:sz w:val="36"/>
          <w:szCs w:val="36"/>
          <w:rtl/>
        </w:rPr>
        <w:t>لم‌</w:t>
      </w:r>
      <w:r w:rsidRPr="00FD211F">
        <w:rPr>
          <w:sz w:val="36"/>
          <w:szCs w:val="36"/>
          <w:rtl/>
        </w:rPr>
        <w:t>يقم</w:t>
      </w:r>
      <w:r w:rsidR="00E8128F">
        <w:rPr>
          <w:sz w:val="36"/>
          <w:szCs w:val="36"/>
          <w:rtl/>
        </w:rPr>
        <w:t xml:space="preserve"> </w:t>
      </w:r>
      <w:r w:rsidRPr="00FD211F">
        <w:rPr>
          <w:sz w:val="36"/>
          <w:szCs w:val="36"/>
          <w:rtl/>
        </w:rPr>
        <w:t>برهان</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تمامي</w:t>
      </w:r>
      <w:r w:rsidR="00EC7EDF" w:rsidRPr="00FD211F">
        <w:rPr>
          <w:sz w:val="36"/>
          <w:szCs w:val="36"/>
          <w:rtl/>
        </w:rPr>
        <w:t>ة</w:t>
      </w:r>
      <w:r w:rsidR="00E8128F">
        <w:rPr>
          <w:sz w:val="36"/>
          <w:szCs w:val="36"/>
          <w:rtl/>
        </w:rPr>
        <w:t xml:space="preserve"> </w:t>
      </w:r>
      <w:r w:rsidRPr="00FD211F">
        <w:rPr>
          <w:sz w:val="36"/>
          <w:szCs w:val="36"/>
          <w:rtl/>
        </w:rPr>
        <w:t>مسلك</w:t>
      </w:r>
      <w:r w:rsidR="00E8128F">
        <w:rPr>
          <w:sz w:val="36"/>
          <w:szCs w:val="36"/>
          <w:rtl/>
        </w:rPr>
        <w:t xml:space="preserve"> </w:t>
      </w:r>
      <w:r w:rsidRPr="00FD211F">
        <w:rPr>
          <w:sz w:val="36"/>
          <w:szCs w:val="36"/>
          <w:rtl/>
        </w:rPr>
        <w:t>جمهور</w:t>
      </w:r>
      <w:r w:rsidR="00E8128F">
        <w:rPr>
          <w:sz w:val="36"/>
          <w:szCs w:val="36"/>
          <w:rtl/>
        </w:rPr>
        <w:t xml:space="preserve"> </w:t>
      </w:r>
      <w:r w:rsidRPr="00FD211F">
        <w:rPr>
          <w:sz w:val="36"/>
          <w:szCs w:val="36"/>
          <w:rtl/>
        </w:rPr>
        <w:t>الفلاسف</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تعدد</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العرض</w:t>
      </w:r>
      <w:r w:rsidR="00E8128F">
        <w:rPr>
          <w:sz w:val="36"/>
          <w:szCs w:val="36"/>
          <w:rtl/>
        </w:rPr>
        <w:t xml:space="preserve"> </w:t>
      </w:r>
      <w:r w:rsidRPr="00FD211F">
        <w:rPr>
          <w:sz w:val="36"/>
          <w:szCs w:val="36"/>
          <w:rtl/>
        </w:rPr>
        <w:t>والجوهر</w:t>
      </w:r>
      <w:r w:rsidR="00E8128F">
        <w:rPr>
          <w:sz w:val="36"/>
          <w:szCs w:val="36"/>
          <w:rtl/>
        </w:rPr>
        <w:t xml:space="preserve"> </w:t>
      </w:r>
      <w:r w:rsidRPr="00FD211F">
        <w:rPr>
          <w:sz w:val="36"/>
          <w:szCs w:val="36"/>
          <w:rtl/>
        </w:rPr>
        <w:t>واقعا</w:t>
      </w:r>
      <w:r w:rsidR="00603323" w:rsidRPr="00FD211F">
        <w:rPr>
          <w:sz w:val="36"/>
          <w:szCs w:val="36"/>
          <w:rtl/>
        </w:rPr>
        <w:t>،</w:t>
      </w:r>
      <w:r w:rsidR="00E8128F">
        <w:rPr>
          <w:sz w:val="36"/>
          <w:szCs w:val="36"/>
          <w:rtl/>
        </w:rPr>
        <w:t xml:space="preserve"> </w:t>
      </w:r>
      <w:r w:rsidRPr="00FD211F">
        <w:rPr>
          <w:sz w:val="36"/>
          <w:szCs w:val="36"/>
          <w:rtl/>
        </w:rPr>
        <w:t>وما</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امكان</w:t>
      </w:r>
      <w:r w:rsidR="00E8128F">
        <w:rPr>
          <w:sz w:val="36"/>
          <w:szCs w:val="36"/>
          <w:rtl/>
        </w:rPr>
        <w:t xml:space="preserve"> </w:t>
      </w:r>
      <w:r w:rsidRPr="00FD211F">
        <w:rPr>
          <w:sz w:val="36"/>
          <w:szCs w:val="36"/>
          <w:rtl/>
        </w:rPr>
        <w:t>اتحادهما</w:t>
      </w:r>
      <w:r w:rsidR="00E8128F">
        <w:rPr>
          <w:sz w:val="36"/>
          <w:szCs w:val="36"/>
          <w:rtl/>
        </w:rPr>
        <w:t xml:space="preserve"> </w:t>
      </w:r>
      <w:r w:rsidRPr="00FD211F">
        <w:rPr>
          <w:sz w:val="36"/>
          <w:szCs w:val="36"/>
          <w:rtl/>
        </w:rPr>
        <w:t>وجودا</w:t>
      </w:r>
      <w:r w:rsidR="00E8128F">
        <w:rPr>
          <w:sz w:val="36"/>
          <w:szCs w:val="36"/>
          <w:rtl/>
        </w:rPr>
        <w:t xml:space="preserve"> </w:t>
      </w:r>
      <w:r w:rsidRPr="00FD211F">
        <w:rPr>
          <w:sz w:val="36"/>
          <w:szCs w:val="36"/>
          <w:rtl/>
        </w:rPr>
        <w:t>لكونهما</w:t>
      </w:r>
      <w:r w:rsidR="00E8128F">
        <w:rPr>
          <w:sz w:val="36"/>
          <w:szCs w:val="36"/>
          <w:rtl/>
        </w:rPr>
        <w:t xml:space="preserve"> </w:t>
      </w:r>
      <w:r w:rsidRPr="00FD211F">
        <w:rPr>
          <w:sz w:val="36"/>
          <w:szCs w:val="36"/>
          <w:rtl/>
        </w:rPr>
        <w:t>من</w:t>
      </w:r>
      <w:r w:rsidR="00E8128F">
        <w:rPr>
          <w:sz w:val="36"/>
          <w:szCs w:val="36"/>
          <w:rtl/>
        </w:rPr>
        <w:t xml:space="preserve"> </w:t>
      </w:r>
      <w:r w:rsidR="0040555A" w:rsidRPr="00FD211F">
        <w:rPr>
          <w:sz w:val="36"/>
          <w:szCs w:val="36"/>
          <w:rtl/>
        </w:rPr>
        <w:t>مقولتين</w:t>
      </w:r>
      <w:r w:rsidR="00E8128F">
        <w:rPr>
          <w:sz w:val="36"/>
          <w:szCs w:val="36"/>
          <w:rtl/>
        </w:rPr>
        <w:t xml:space="preserve"> </w:t>
      </w:r>
      <w:r w:rsidR="0040555A" w:rsidRPr="00FD211F">
        <w:rPr>
          <w:sz w:val="36"/>
          <w:szCs w:val="36"/>
          <w:rtl/>
        </w:rPr>
        <w:t>متباينتين</w:t>
      </w:r>
      <w:r w:rsidR="00E8128F">
        <w:rPr>
          <w:sz w:val="36"/>
          <w:szCs w:val="36"/>
          <w:rtl/>
        </w:rPr>
        <w:t xml:space="preserve"> </w:t>
      </w:r>
      <w:r w:rsidR="0040555A" w:rsidRPr="00FD211F">
        <w:rPr>
          <w:sz w:val="36"/>
          <w:szCs w:val="36"/>
          <w:rtl/>
        </w:rPr>
        <w:t>او</w:t>
      </w:r>
      <w:r w:rsidR="00E8128F">
        <w:rPr>
          <w:sz w:val="36"/>
          <w:szCs w:val="36"/>
          <w:rtl/>
        </w:rPr>
        <w:t xml:space="preserve"> </w:t>
      </w:r>
      <w:r w:rsidRPr="00FD211F">
        <w:rPr>
          <w:sz w:val="36"/>
          <w:szCs w:val="36"/>
          <w:rtl/>
        </w:rPr>
        <w:t>يقال</w:t>
      </w:r>
      <w:r w:rsidR="00E8128F">
        <w:rPr>
          <w:sz w:val="36"/>
          <w:szCs w:val="36"/>
          <w:rtl/>
        </w:rPr>
        <w:t xml:space="preserve"> </w:t>
      </w:r>
      <w:r w:rsidR="0040555A" w:rsidRPr="00FD211F">
        <w:rPr>
          <w:sz w:val="36"/>
          <w:szCs w:val="36"/>
          <w:rtl/>
        </w:rPr>
        <w:t>ان</w:t>
      </w:r>
      <w:r w:rsidR="00E8128F">
        <w:rPr>
          <w:sz w:val="36"/>
          <w:szCs w:val="36"/>
          <w:rtl/>
        </w:rPr>
        <w:t xml:space="preserve"> </w:t>
      </w:r>
      <w:r w:rsidR="0040555A" w:rsidRPr="00FD211F">
        <w:rPr>
          <w:sz w:val="36"/>
          <w:szCs w:val="36"/>
          <w:rtl/>
        </w:rPr>
        <w:t>وجود</w:t>
      </w:r>
      <w:r w:rsidR="00E8128F">
        <w:rPr>
          <w:sz w:val="36"/>
          <w:szCs w:val="36"/>
          <w:rtl/>
        </w:rPr>
        <w:t xml:space="preserve"> </w:t>
      </w:r>
      <w:r w:rsidR="0040555A" w:rsidRPr="00FD211F">
        <w:rPr>
          <w:sz w:val="36"/>
          <w:szCs w:val="36"/>
          <w:rtl/>
        </w:rPr>
        <w:t>الجوهر</w:t>
      </w:r>
      <w:r w:rsidR="00E8128F">
        <w:rPr>
          <w:sz w:val="36"/>
          <w:szCs w:val="36"/>
          <w:rtl/>
        </w:rPr>
        <w:t xml:space="preserve"> </w:t>
      </w:r>
      <w:r w:rsidR="0040555A" w:rsidRPr="00FD211F">
        <w:rPr>
          <w:sz w:val="36"/>
          <w:szCs w:val="36"/>
          <w:rtl/>
        </w:rPr>
        <w:t>مستقل</w:t>
      </w:r>
      <w:r w:rsidR="00E8128F">
        <w:rPr>
          <w:sz w:val="36"/>
          <w:szCs w:val="36"/>
          <w:rtl/>
        </w:rPr>
        <w:t xml:space="preserve"> </w:t>
      </w:r>
      <w:r w:rsidRPr="00FD211F">
        <w:rPr>
          <w:sz w:val="36"/>
          <w:szCs w:val="36"/>
          <w:rtl/>
        </w:rPr>
        <w:t>ويكون</w:t>
      </w:r>
      <w:r w:rsidR="00E8128F">
        <w:rPr>
          <w:sz w:val="36"/>
          <w:szCs w:val="36"/>
          <w:rtl/>
        </w:rPr>
        <w:t xml:space="preserve"> </w:t>
      </w:r>
      <w:r w:rsidR="0040555A" w:rsidRPr="00FD211F">
        <w:rPr>
          <w:sz w:val="36"/>
          <w:szCs w:val="36"/>
          <w:rtl/>
        </w:rPr>
        <w:t>لنفسه</w:t>
      </w:r>
      <w:r w:rsidR="00E8128F">
        <w:rPr>
          <w:sz w:val="36"/>
          <w:szCs w:val="36"/>
          <w:rtl/>
        </w:rPr>
        <w:t xml:space="preserve"> </w:t>
      </w:r>
      <w:r w:rsidR="0040555A" w:rsidRPr="00FD211F">
        <w:rPr>
          <w:sz w:val="36"/>
          <w:szCs w:val="36"/>
          <w:rtl/>
        </w:rPr>
        <w:t>ووجود</w:t>
      </w:r>
      <w:r w:rsidR="00E8128F">
        <w:rPr>
          <w:sz w:val="36"/>
          <w:szCs w:val="36"/>
          <w:rtl/>
        </w:rPr>
        <w:t xml:space="preserve"> </w:t>
      </w:r>
      <w:r w:rsidR="0040555A" w:rsidRPr="00FD211F">
        <w:rPr>
          <w:sz w:val="36"/>
          <w:szCs w:val="36"/>
          <w:rtl/>
        </w:rPr>
        <w:t>العرض</w:t>
      </w:r>
      <w:r w:rsidR="00E8128F">
        <w:rPr>
          <w:sz w:val="36"/>
          <w:szCs w:val="36"/>
          <w:rtl/>
        </w:rPr>
        <w:t xml:space="preserve"> </w:t>
      </w:r>
      <w:r w:rsidR="0040555A" w:rsidRPr="00FD211F">
        <w:rPr>
          <w:sz w:val="36"/>
          <w:szCs w:val="36"/>
          <w:rtl/>
        </w:rPr>
        <w:t>رابطي</w:t>
      </w:r>
      <w:r w:rsidR="00E8128F">
        <w:rPr>
          <w:sz w:val="36"/>
          <w:szCs w:val="36"/>
          <w:rtl/>
        </w:rPr>
        <w:t xml:space="preserve"> </w:t>
      </w:r>
      <w:r w:rsidR="0040555A" w:rsidRPr="00FD211F">
        <w:rPr>
          <w:sz w:val="36"/>
          <w:szCs w:val="36"/>
          <w:rtl/>
        </w:rPr>
        <w:t>و</w:t>
      </w:r>
      <w:r w:rsidRPr="00FD211F">
        <w:rPr>
          <w:sz w:val="36"/>
          <w:szCs w:val="36"/>
          <w:rtl/>
        </w:rPr>
        <w:t>يكون</w:t>
      </w:r>
      <w:r w:rsidR="00E8128F">
        <w:rPr>
          <w:sz w:val="36"/>
          <w:szCs w:val="36"/>
          <w:rtl/>
        </w:rPr>
        <w:t xml:space="preserve"> </w:t>
      </w:r>
      <w:r w:rsidR="0040555A" w:rsidRPr="00FD211F">
        <w:rPr>
          <w:sz w:val="36"/>
          <w:szCs w:val="36"/>
          <w:rtl/>
        </w:rPr>
        <w:t>لغيره</w:t>
      </w:r>
      <w:r w:rsidR="00E8128F">
        <w:rPr>
          <w:sz w:val="36"/>
          <w:szCs w:val="36"/>
          <w:rtl/>
        </w:rPr>
        <w:t xml:space="preserve"> </w:t>
      </w:r>
      <w:r w:rsidR="0040555A" w:rsidRPr="00FD211F">
        <w:rPr>
          <w:sz w:val="36"/>
          <w:szCs w:val="36"/>
          <w:rtl/>
        </w:rPr>
        <w:t>فلايتحدان</w:t>
      </w:r>
      <w:r w:rsidR="00E8128F">
        <w:rPr>
          <w:sz w:val="36"/>
          <w:szCs w:val="36"/>
          <w:rtl/>
        </w:rPr>
        <w:t xml:space="preserve"> </w:t>
      </w:r>
      <w:r w:rsidR="0040555A" w:rsidRPr="00FD211F">
        <w:rPr>
          <w:sz w:val="36"/>
          <w:szCs w:val="36"/>
          <w:rtl/>
        </w:rPr>
        <w:t>ف</w:t>
      </w:r>
      <w:r w:rsidRPr="00FD211F">
        <w:rPr>
          <w:sz w:val="36"/>
          <w:szCs w:val="36"/>
          <w:rtl/>
        </w:rPr>
        <w:t>يشتمل</w:t>
      </w:r>
      <w:r w:rsidR="00E8128F">
        <w:rPr>
          <w:sz w:val="36"/>
          <w:szCs w:val="36"/>
          <w:rtl/>
        </w:rPr>
        <w:t xml:space="preserve"> </w:t>
      </w:r>
      <w:r w:rsidRPr="00FD211F">
        <w:rPr>
          <w:sz w:val="36"/>
          <w:szCs w:val="36"/>
          <w:rtl/>
        </w:rPr>
        <w:t>على</w:t>
      </w:r>
      <w:r w:rsidR="00E8128F">
        <w:rPr>
          <w:sz w:val="36"/>
          <w:szCs w:val="36"/>
          <w:rtl/>
        </w:rPr>
        <w:t xml:space="preserve"> </w:t>
      </w:r>
      <w:r w:rsidR="0040555A" w:rsidRPr="00FD211F">
        <w:rPr>
          <w:sz w:val="36"/>
          <w:szCs w:val="36"/>
          <w:rtl/>
        </w:rPr>
        <w:t>مصادر</w:t>
      </w:r>
      <w:r w:rsidR="00EC7EDF" w:rsidRPr="00FD211F">
        <w:rPr>
          <w:sz w:val="36"/>
          <w:szCs w:val="36"/>
          <w:rtl/>
        </w:rPr>
        <w:t>ة</w:t>
      </w:r>
      <w:r w:rsidR="00E8128F">
        <w:rPr>
          <w:sz w:val="36"/>
          <w:szCs w:val="36"/>
          <w:rtl/>
        </w:rPr>
        <w:t xml:space="preserve"> </w:t>
      </w:r>
      <w:r w:rsidRPr="00FD211F">
        <w:rPr>
          <w:sz w:val="36"/>
          <w:szCs w:val="36"/>
          <w:rtl/>
        </w:rPr>
        <w:t>واضح</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w:t>
      </w:r>
      <w:r w:rsidR="00BF184F" w:rsidRPr="00FD211F">
        <w:rPr>
          <w:sz w:val="36"/>
          <w:szCs w:val="36"/>
          <w:rtl/>
        </w:rPr>
        <w:t>انه</w:t>
      </w:r>
      <w:r w:rsidR="00E8128F">
        <w:rPr>
          <w:sz w:val="36"/>
          <w:szCs w:val="36"/>
          <w:rtl/>
        </w:rPr>
        <w:t xml:space="preserve"> </w:t>
      </w:r>
      <w:r w:rsidRPr="00FD211F">
        <w:rPr>
          <w:sz w:val="36"/>
          <w:szCs w:val="36"/>
          <w:rtl/>
        </w:rPr>
        <w:t>لامحذور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العرض</w:t>
      </w:r>
      <w:r w:rsidR="00E8128F">
        <w:rPr>
          <w:sz w:val="36"/>
          <w:szCs w:val="36"/>
          <w:rtl/>
        </w:rPr>
        <w:t xml:space="preserve"> </w:t>
      </w:r>
      <w:r w:rsidRPr="00FD211F">
        <w:rPr>
          <w:sz w:val="36"/>
          <w:szCs w:val="36"/>
          <w:rtl/>
        </w:rPr>
        <w:t>مرتب</w:t>
      </w:r>
      <w:r w:rsidR="00EC7EDF" w:rsidRPr="00FD211F">
        <w:rPr>
          <w:sz w:val="36"/>
          <w:szCs w:val="36"/>
          <w:rtl/>
        </w:rPr>
        <w:t>ة</w:t>
      </w:r>
      <w:r w:rsidR="00E8128F">
        <w:rPr>
          <w:sz w:val="36"/>
          <w:szCs w:val="36"/>
          <w:rtl/>
        </w:rPr>
        <w:t xml:space="preserve"> </w:t>
      </w:r>
      <w:r w:rsidRPr="00FD211F">
        <w:rPr>
          <w:sz w:val="36"/>
          <w:szCs w:val="36"/>
          <w:rtl/>
        </w:rPr>
        <w:t>وجود</w:t>
      </w:r>
      <w:r w:rsidR="00E8128F">
        <w:rPr>
          <w:sz w:val="36"/>
          <w:szCs w:val="36"/>
          <w:rtl/>
        </w:rPr>
        <w:t xml:space="preserve"> </w:t>
      </w:r>
      <w:r w:rsidRPr="00FD211F">
        <w:rPr>
          <w:sz w:val="36"/>
          <w:szCs w:val="36"/>
          <w:rtl/>
        </w:rPr>
        <w:t>الجوهر</w:t>
      </w:r>
      <w:r w:rsidR="00E8128F">
        <w:rPr>
          <w:sz w:val="36"/>
          <w:szCs w:val="36"/>
          <w:rtl/>
        </w:rPr>
        <w:t xml:space="preserve"> </w:t>
      </w:r>
      <w:r w:rsidR="00721336" w:rsidRPr="00FD211F">
        <w:rPr>
          <w:sz w:val="36"/>
          <w:szCs w:val="36"/>
          <w:rtl/>
        </w:rPr>
        <w:t>حتى</w:t>
      </w:r>
      <w:r w:rsidR="00E8128F">
        <w:rPr>
          <w:sz w:val="36"/>
          <w:szCs w:val="36"/>
          <w:rtl/>
        </w:rPr>
        <w:t xml:space="preserve"> </w:t>
      </w:r>
      <w:r w:rsidR="00721336" w:rsidRPr="00FD211F">
        <w:rPr>
          <w:sz w:val="36"/>
          <w:szCs w:val="36"/>
          <w:rtl/>
        </w:rPr>
        <w:t>في</w:t>
      </w:r>
      <w:r w:rsidR="00E8128F">
        <w:rPr>
          <w:sz w:val="36"/>
          <w:szCs w:val="36"/>
          <w:rtl/>
        </w:rPr>
        <w:t xml:space="preserve"> </w:t>
      </w:r>
      <w:r w:rsidR="00721336" w:rsidRPr="00FD211F">
        <w:rPr>
          <w:sz w:val="36"/>
          <w:szCs w:val="36"/>
          <w:rtl/>
        </w:rPr>
        <w:t>الكيف</w:t>
      </w:r>
      <w:r w:rsidR="00E8128F">
        <w:rPr>
          <w:sz w:val="36"/>
          <w:szCs w:val="36"/>
          <w:rtl/>
        </w:rPr>
        <w:t xml:space="preserve"> </w:t>
      </w:r>
      <w:r w:rsidR="00721336" w:rsidRPr="00FD211F">
        <w:rPr>
          <w:sz w:val="36"/>
          <w:szCs w:val="36"/>
          <w:rtl/>
        </w:rPr>
        <w:t>النفساني</w:t>
      </w:r>
      <w:r w:rsidR="00E8128F">
        <w:rPr>
          <w:sz w:val="36"/>
          <w:szCs w:val="36"/>
          <w:rtl/>
        </w:rPr>
        <w:t xml:space="preserve"> </w:t>
      </w:r>
      <w:r w:rsidR="00721336" w:rsidRPr="00FD211F">
        <w:rPr>
          <w:sz w:val="36"/>
          <w:szCs w:val="36"/>
          <w:rtl/>
        </w:rPr>
        <w:t>فانه</w:t>
      </w:r>
      <w:r w:rsidR="00E8128F">
        <w:rPr>
          <w:sz w:val="36"/>
          <w:szCs w:val="36"/>
          <w:rtl/>
        </w:rPr>
        <w:t xml:space="preserve"> </w:t>
      </w:r>
      <w:r w:rsidR="00721336" w:rsidRPr="00FD211F">
        <w:rPr>
          <w:sz w:val="36"/>
          <w:szCs w:val="36"/>
          <w:rtl/>
        </w:rPr>
        <w:t>قد</w:t>
      </w:r>
      <w:r w:rsidR="00E8128F">
        <w:rPr>
          <w:sz w:val="36"/>
          <w:szCs w:val="36"/>
          <w:rtl/>
        </w:rPr>
        <w:t xml:space="preserve"> </w:t>
      </w:r>
      <w:r w:rsidR="00721336" w:rsidRPr="00FD211F">
        <w:rPr>
          <w:sz w:val="36"/>
          <w:szCs w:val="36"/>
          <w:rtl/>
        </w:rPr>
        <w:t>يكون</w:t>
      </w:r>
      <w:r w:rsidR="00E8128F">
        <w:rPr>
          <w:sz w:val="36"/>
          <w:szCs w:val="36"/>
          <w:rtl/>
        </w:rPr>
        <w:t xml:space="preserve"> </w:t>
      </w:r>
      <w:r w:rsidR="00721336" w:rsidRPr="00FD211F">
        <w:rPr>
          <w:sz w:val="36"/>
          <w:szCs w:val="36"/>
          <w:rtl/>
        </w:rPr>
        <w:t>متحدا</w:t>
      </w:r>
      <w:r w:rsidR="00E8128F">
        <w:rPr>
          <w:sz w:val="36"/>
          <w:szCs w:val="36"/>
          <w:rtl/>
        </w:rPr>
        <w:t xml:space="preserve"> </w:t>
      </w:r>
      <w:r w:rsidR="00721336" w:rsidRPr="00FD211F">
        <w:rPr>
          <w:sz w:val="36"/>
          <w:szCs w:val="36"/>
          <w:rtl/>
        </w:rPr>
        <w:t>مع</w:t>
      </w:r>
      <w:r w:rsidR="00E8128F">
        <w:rPr>
          <w:sz w:val="36"/>
          <w:szCs w:val="36"/>
          <w:rtl/>
        </w:rPr>
        <w:t xml:space="preserve"> </w:t>
      </w:r>
      <w:r w:rsidR="00721336" w:rsidRPr="00FD211F">
        <w:rPr>
          <w:sz w:val="36"/>
          <w:szCs w:val="36"/>
          <w:rtl/>
        </w:rPr>
        <w:t>النفس</w:t>
      </w:r>
      <w:r w:rsidR="00603323" w:rsidRPr="00FD211F">
        <w:rPr>
          <w:sz w:val="36"/>
          <w:szCs w:val="36"/>
          <w:rtl/>
        </w:rPr>
        <w:t>،</w:t>
      </w:r>
      <w:r w:rsidR="00E8128F">
        <w:rPr>
          <w:sz w:val="36"/>
          <w:szCs w:val="36"/>
          <w:rtl/>
        </w:rPr>
        <w:t xml:space="preserve"> </w:t>
      </w:r>
      <w:r w:rsidR="00721336" w:rsidRPr="00FD211F">
        <w:rPr>
          <w:sz w:val="36"/>
          <w:szCs w:val="36"/>
          <w:rtl/>
        </w:rPr>
        <w:t>وهذا</w:t>
      </w:r>
      <w:r w:rsidR="00E8128F">
        <w:rPr>
          <w:sz w:val="36"/>
          <w:szCs w:val="36"/>
          <w:rtl/>
        </w:rPr>
        <w:t xml:space="preserve"> </w:t>
      </w:r>
      <w:r w:rsidR="00721336" w:rsidRPr="00FD211F">
        <w:rPr>
          <w:sz w:val="36"/>
          <w:szCs w:val="36"/>
          <w:rtl/>
        </w:rPr>
        <w:t>ما</w:t>
      </w:r>
      <w:r w:rsidR="00E8128F">
        <w:rPr>
          <w:sz w:val="36"/>
          <w:szCs w:val="36"/>
          <w:rtl/>
        </w:rPr>
        <w:t xml:space="preserve"> </w:t>
      </w:r>
      <w:r w:rsidR="00721336" w:rsidRPr="00FD211F">
        <w:rPr>
          <w:sz w:val="36"/>
          <w:szCs w:val="36"/>
          <w:rtl/>
        </w:rPr>
        <w:t>يقال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اتحاد</w:t>
      </w:r>
      <w:r w:rsidR="00E8128F">
        <w:rPr>
          <w:sz w:val="36"/>
          <w:szCs w:val="36"/>
          <w:rtl/>
        </w:rPr>
        <w:t xml:space="preserve"> </w:t>
      </w:r>
      <w:r w:rsidR="0040555A" w:rsidRPr="00FD211F">
        <w:rPr>
          <w:sz w:val="36"/>
          <w:szCs w:val="36"/>
          <w:rtl/>
        </w:rPr>
        <w:t>الصور</w:t>
      </w:r>
      <w:r w:rsidR="00EC7EDF" w:rsidRPr="00FD211F">
        <w:rPr>
          <w:sz w:val="36"/>
          <w:szCs w:val="36"/>
          <w:rtl/>
        </w:rPr>
        <w:t>ة</w:t>
      </w:r>
      <w:r w:rsidR="00E8128F">
        <w:rPr>
          <w:sz w:val="36"/>
          <w:szCs w:val="36"/>
          <w:rtl/>
        </w:rPr>
        <w:t xml:space="preserve"> </w:t>
      </w:r>
      <w:r w:rsidR="0040555A" w:rsidRPr="00FD211F">
        <w:rPr>
          <w:sz w:val="36"/>
          <w:szCs w:val="36"/>
          <w:rtl/>
        </w:rPr>
        <w:t>العلمي</w:t>
      </w:r>
      <w:r w:rsidR="00EC7EDF" w:rsidRPr="00FD211F">
        <w:rPr>
          <w:sz w:val="36"/>
          <w:szCs w:val="36"/>
          <w:rtl/>
        </w:rPr>
        <w:t>ة</w:t>
      </w:r>
      <w:r w:rsidR="00E8128F">
        <w:rPr>
          <w:sz w:val="36"/>
          <w:szCs w:val="36"/>
          <w:rtl/>
        </w:rPr>
        <w:t xml:space="preserve"> </w:t>
      </w:r>
      <w:r w:rsidR="0040555A" w:rsidRPr="00FD211F">
        <w:rPr>
          <w:sz w:val="36"/>
          <w:szCs w:val="36"/>
          <w:rtl/>
        </w:rPr>
        <w:t>المرتسم</w:t>
      </w:r>
      <w:r w:rsidR="00EC7EDF" w:rsidRPr="00FD211F">
        <w:rPr>
          <w:sz w:val="36"/>
          <w:szCs w:val="36"/>
          <w:rtl/>
        </w:rPr>
        <w:t>ة</w:t>
      </w:r>
      <w:r w:rsidR="00E8128F">
        <w:rPr>
          <w:sz w:val="36"/>
          <w:szCs w:val="36"/>
          <w:rtl/>
        </w:rPr>
        <w:t xml:space="preserve"> </w:t>
      </w:r>
      <w:r w:rsidR="0040555A" w:rsidRPr="00FD211F">
        <w:rPr>
          <w:sz w:val="36"/>
          <w:szCs w:val="36"/>
          <w:rtl/>
        </w:rPr>
        <w:t>في</w:t>
      </w:r>
      <w:r w:rsidR="00E8128F">
        <w:rPr>
          <w:sz w:val="36"/>
          <w:szCs w:val="36"/>
          <w:rtl/>
        </w:rPr>
        <w:t xml:space="preserve"> </w:t>
      </w:r>
      <w:r w:rsidR="0040555A" w:rsidRPr="00FD211F">
        <w:rPr>
          <w:sz w:val="36"/>
          <w:szCs w:val="36"/>
          <w:rtl/>
        </w:rPr>
        <w:t>الذهن</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النفس</w:t>
      </w:r>
      <w:r w:rsidR="00603323" w:rsidRPr="00FD211F">
        <w:rPr>
          <w:sz w:val="36"/>
          <w:szCs w:val="36"/>
          <w:rtl/>
        </w:rPr>
        <w:t>،</w:t>
      </w:r>
      <w:r w:rsidR="00E8128F">
        <w:rPr>
          <w:sz w:val="36"/>
          <w:szCs w:val="36"/>
          <w:rtl/>
        </w:rPr>
        <w:t xml:space="preserve"> </w:t>
      </w:r>
      <w:r w:rsidRPr="00FD211F">
        <w:rPr>
          <w:sz w:val="36"/>
          <w:szCs w:val="36"/>
          <w:rtl/>
        </w:rPr>
        <w:t>ويعبر</w:t>
      </w:r>
      <w:r w:rsidR="00E8128F">
        <w:rPr>
          <w:sz w:val="36"/>
          <w:szCs w:val="36"/>
          <w:rtl/>
        </w:rPr>
        <w:t xml:space="preserve"> </w:t>
      </w:r>
      <w:r w:rsidRPr="00FD211F">
        <w:rPr>
          <w:sz w:val="36"/>
          <w:szCs w:val="36"/>
          <w:rtl/>
        </w:rPr>
        <w:t>عنه</w:t>
      </w:r>
      <w:r w:rsidR="00E8128F">
        <w:rPr>
          <w:sz w:val="36"/>
          <w:szCs w:val="36"/>
          <w:rtl/>
        </w:rPr>
        <w:t xml:space="preserve"> </w:t>
      </w:r>
      <w:r w:rsidR="001E284A" w:rsidRPr="00FD211F">
        <w:rPr>
          <w:sz w:val="36"/>
          <w:szCs w:val="36"/>
          <w:rtl/>
        </w:rPr>
        <w:t>باتحاد</w:t>
      </w:r>
      <w:r w:rsidR="00E8128F">
        <w:rPr>
          <w:sz w:val="36"/>
          <w:szCs w:val="36"/>
          <w:rtl/>
        </w:rPr>
        <w:t xml:space="preserve"> </w:t>
      </w:r>
      <w:r w:rsidR="005222A8" w:rsidRPr="00FD211F">
        <w:rPr>
          <w:sz w:val="36"/>
          <w:szCs w:val="36"/>
          <w:rtl/>
        </w:rPr>
        <w:t>العاقل</w:t>
      </w:r>
      <w:r w:rsidR="00E8128F">
        <w:rPr>
          <w:sz w:val="36"/>
          <w:szCs w:val="36"/>
          <w:rtl/>
        </w:rPr>
        <w:t xml:space="preserve"> </w:t>
      </w:r>
      <w:r w:rsidR="005222A8" w:rsidRPr="00FD211F">
        <w:rPr>
          <w:sz w:val="36"/>
          <w:szCs w:val="36"/>
          <w:rtl/>
        </w:rPr>
        <w:t>والمعقول</w:t>
      </w:r>
      <w:r w:rsidR="00603323" w:rsidRPr="00FD211F">
        <w:rPr>
          <w:sz w:val="36"/>
          <w:szCs w:val="36"/>
          <w:rtl/>
        </w:rPr>
        <w:t>،</w:t>
      </w:r>
      <w:r w:rsidR="00E8128F">
        <w:rPr>
          <w:sz w:val="36"/>
          <w:szCs w:val="36"/>
          <w:rtl/>
        </w:rPr>
        <w:t xml:space="preserve"> </w:t>
      </w:r>
      <w:r w:rsidR="00721336" w:rsidRPr="00FD211F">
        <w:rPr>
          <w:sz w:val="36"/>
          <w:szCs w:val="36"/>
          <w:rtl/>
        </w:rPr>
        <w:t>نعم</w:t>
      </w:r>
      <w:r w:rsidR="00E8128F">
        <w:rPr>
          <w:sz w:val="36"/>
          <w:szCs w:val="36"/>
          <w:rtl/>
        </w:rPr>
        <w:t xml:space="preserve"> </w:t>
      </w:r>
      <w:r w:rsidR="00721336" w:rsidRPr="00FD211F">
        <w:rPr>
          <w:sz w:val="36"/>
          <w:szCs w:val="36"/>
          <w:rtl/>
        </w:rPr>
        <w:t>قد</w:t>
      </w:r>
      <w:r w:rsidR="00E8128F">
        <w:rPr>
          <w:sz w:val="36"/>
          <w:szCs w:val="36"/>
          <w:rtl/>
        </w:rPr>
        <w:t xml:space="preserve"> </w:t>
      </w:r>
      <w:r w:rsidR="00721336" w:rsidRPr="00FD211F">
        <w:rPr>
          <w:sz w:val="36"/>
          <w:szCs w:val="36"/>
          <w:rtl/>
        </w:rPr>
        <w:t>يكون</w:t>
      </w:r>
      <w:r w:rsidR="00E8128F">
        <w:rPr>
          <w:sz w:val="36"/>
          <w:szCs w:val="36"/>
          <w:rtl/>
        </w:rPr>
        <w:t xml:space="preserve"> </w:t>
      </w:r>
      <w:r w:rsidR="00721336" w:rsidRPr="00FD211F">
        <w:rPr>
          <w:sz w:val="36"/>
          <w:szCs w:val="36"/>
          <w:rtl/>
        </w:rPr>
        <w:t>الوجدان</w:t>
      </w:r>
      <w:r w:rsidR="00E8128F">
        <w:rPr>
          <w:sz w:val="36"/>
          <w:szCs w:val="36"/>
          <w:rtl/>
        </w:rPr>
        <w:t xml:space="preserve"> </w:t>
      </w:r>
      <w:r w:rsidR="00721336" w:rsidRPr="00FD211F">
        <w:rPr>
          <w:sz w:val="36"/>
          <w:szCs w:val="36"/>
          <w:rtl/>
        </w:rPr>
        <w:t>شاهدا</w:t>
      </w:r>
      <w:r w:rsidR="00E8128F">
        <w:rPr>
          <w:sz w:val="36"/>
          <w:szCs w:val="36"/>
          <w:rtl/>
        </w:rPr>
        <w:t xml:space="preserve"> </w:t>
      </w:r>
      <w:r w:rsidR="00721336" w:rsidRPr="00FD211F">
        <w:rPr>
          <w:sz w:val="36"/>
          <w:szCs w:val="36"/>
          <w:rtl/>
        </w:rPr>
        <w:t>على</w:t>
      </w:r>
      <w:r w:rsidR="00E8128F">
        <w:rPr>
          <w:sz w:val="36"/>
          <w:szCs w:val="36"/>
          <w:rtl/>
        </w:rPr>
        <w:t xml:space="preserve"> </w:t>
      </w:r>
      <w:r w:rsidR="005222A8" w:rsidRPr="00FD211F">
        <w:rPr>
          <w:sz w:val="36"/>
          <w:szCs w:val="36"/>
          <w:rtl/>
        </w:rPr>
        <w:t>تغاير</w:t>
      </w:r>
      <w:r w:rsidR="00E8128F">
        <w:rPr>
          <w:sz w:val="36"/>
          <w:szCs w:val="36"/>
          <w:rtl/>
        </w:rPr>
        <w:t xml:space="preserve"> </w:t>
      </w:r>
      <w:r w:rsidR="00DE3E40" w:rsidRPr="00FD211F">
        <w:rPr>
          <w:sz w:val="36"/>
          <w:szCs w:val="36"/>
          <w:rtl/>
        </w:rPr>
        <w:t>وجود</w:t>
      </w:r>
      <w:r w:rsidR="00E8128F">
        <w:rPr>
          <w:sz w:val="36"/>
          <w:szCs w:val="36"/>
          <w:rtl/>
        </w:rPr>
        <w:t xml:space="preserve"> </w:t>
      </w:r>
      <w:r w:rsidR="005222A8" w:rsidRPr="00FD211F">
        <w:rPr>
          <w:sz w:val="36"/>
          <w:szCs w:val="36"/>
          <w:rtl/>
        </w:rPr>
        <w:t>مثل</w:t>
      </w:r>
      <w:r w:rsidR="00E8128F">
        <w:rPr>
          <w:sz w:val="36"/>
          <w:szCs w:val="36"/>
          <w:rtl/>
        </w:rPr>
        <w:t xml:space="preserve"> </w:t>
      </w:r>
      <w:r w:rsidR="005222A8" w:rsidRPr="00FD211F">
        <w:rPr>
          <w:sz w:val="36"/>
          <w:szCs w:val="36"/>
          <w:rtl/>
        </w:rPr>
        <w:t>الحرك</w:t>
      </w:r>
      <w:r w:rsidR="00EC7EDF" w:rsidRPr="00FD211F">
        <w:rPr>
          <w:sz w:val="36"/>
          <w:szCs w:val="36"/>
          <w:rtl/>
        </w:rPr>
        <w:t>ة</w:t>
      </w:r>
      <w:r w:rsidR="00E8128F">
        <w:rPr>
          <w:sz w:val="36"/>
          <w:szCs w:val="36"/>
          <w:rtl/>
        </w:rPr>
        <w:t xml:space="preserve"> </w:t>
      </w:r>
      <w:r w:rsidR="005222A8" w:rsidRPr="00FD211F">
        <w:rPr>
          <w:sz w:val="36"/>
          <w:szCs w:val="36"/>
          <w:rtl/>
        </w:rPr>
        <w:t>الأيني</w:t>
      </w:r>
      <w:r w:rsidR="00EC7EDF" w:rsidRPr="00FD211F">
        <w:rPr>
          <w:sz w:val="36"/>
          <w:szCs w:val="36"/>
          <w:rtl/>
        </w:rPr>
        <w:t>ة</w:t>
      </w:r>
      <w:r w:rsidR="00E8128F">
        <w:rPr>
          <w:sz w:val="36"/>
          <w:szCs w:val="36"/>
          <w:rtl/>
        </w:rPr>
        <w:t xml:space="preserve"> </w:t>
      </w:r>
      <w:r w:rsidR="005222A8" w:rsidRPr="00FD211F">
        <w:rPr>
          <w:sz w:val="36"/>
          <w:szCs w:val="36"/>
          <w:rtl/>
        </w:rPr>
        <w:t>كحرك</w:t>
      </w:r>
      <w:r w:rsidR="00EC7EDF" w:rsidRPr="00FD211F">
        <w:rPr>
          <w:sz w:val="36"/>
          <w:szCs w:val="36"/>
          <w:rtl/>
        </w:rPr>
        <w:t>ة</w:t>
      </w:r>
      <w:r w:rsidR="00E8128F">
        <w:rPr>
          <w:sz w:val="36"/>
          <w:szCs w:val="36"/>
          <w:rtl/>
        </w:rPr>
        <w:t xml:space="preserve"> </w:t>
      </w:r>
      <w:r w:rsidR="005222A8" w:rsidRPr="00FD211F">
        <w:rPr>
          <w:sz w:val="36"/>
          <w:szCs w:val="36"/>
          <w:rtl/>
        </w:rPr>
        <w:t>اليد</w:t>
      </w:r>
      <w:r w:rsidR="00E8128F">
        <w:rPr>
          <w:sz w:val="36"/>
          <w:szCs w:val="36"/>
          <w:rtl/>
        </w:rPr>
        <w:t xml:space="preserve"> </w:t>
      </w:r>
      <w:r w:rsidR="00DE3E40" w:rsidRPr="00FD211F">
        <w:rPr>
          <w:sz w:val="36"/>
          <w:szCs w:val="36"/>
          <w:rtl/>
        </w:rPr>
        <w:t>عن</w:t>
      </w:r>
      <w:r w:rsidR="00E8128F">
        <w:rPr>
          <w:sz w:val="36"/>
          <w:szCs w:val="36"/>
          <w:rtl/>
        </w:rPr>
        <w:t xml:space="preserve"> </w:t>
      </w:r>
      <w:r w:rsidR="00DE3E40" w:rsidRPr="00FD211F">
        <w:rPr>
          <w:sz w:val="36"/>
          <w:szCs w:val="36"/>
          <w:rtl/>
        </w:rPr>
        <w:t>وجود</w:t>
      </w:r>
      <w:r w:rsidR="00E8128F">
        <w:rPr>
          <w:sz w:val="36"/>
          <w:szCs w:val="36"/>
          <w:rtl/>
        </w:rPr>
        <w:t xml:space="preserve"> </w:t>
      </w:r>
      <w:r w:rsidR="005222A8" w:rsidRPr="00FD211F">
        <w:rPr>
          <w:sz w:val="36"/>
          <w:szCs w:val="36"/>
          <w:rtl/>
        </w:rPr>
        <w:t>محلها.</w:t>
      </w:r>
    </w:p>
    <w:p w14:paraId="42DAEED5" w14:textId="77777777" w:rsidR="001E284A" w:rsidRPr="00FD211F" w:rsidRDefault="001E284A" w:rsidP="00940FCE">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وقدمر</w:t>
      </w:r>
      <w:r w:rsidR="00E8128F">
        <w:rPr>
          <w:sz w:val="36"/>
          <w:szCs w:val="36"/>
          <w:rtl/>
        </w:rPr>
        <w:t xml:space="preserve"> </w:t>
      </w:r>
      <w:r w:rsidRPr="00FD211F">
        <w:rPr>
          <w:sz w:val="36"/>
          <w:szCs w:val="36"/>
          <w:rtl/>
        </w:rPr>
        <w:t>أن</w:t>
      </w:r>
      <w:r w:rsidR="00E8128F">
        <w:rPr>
          <w:sz w:val="36"/>
          <w:szCs w:val="36"/>
          <w:rtl/>
        </w:rPr>
        <w:t xml:space="preserve"> </w:t>
      </w:r>
      <w:r w:rsidRPr="00FD211F">
        <w:rPr>
          <w:sz w:val="36"/>
          <w:szCs w:val="36"/>
          <w:rtl/>
        </w:rPr>
        <w:t>ظاهرقوله</w:t>
      </w:r>
      <w:r w:rsidR="00E8128F">
        <w:rPr>
          <w:sz w:val="36"/>
          <w:szCs w:val="36"/>
          <w:rtl/>
        </w:rPr>
        <w:t xml:space="preserve"> </w:t>
      </w:r>
      <w:r w:rsidR="007A4A0D" w:rsidRPr="00FD211F">
        <w:rPr>
          <w:sz w:val="36"/>
          <w:szCs w:val="36"/>
          <w:rtl/>
        </w:rPr>
        <w:t>(عليه‌السلام)</w:t>
      </w:r>
      <w:r w:rsidR="00E8128F">
        <w:rPr>
          <w:sz w:val="36"/>
          <w:szCs w:val="36"/>
          <w:rtl/>
        </w:rPr>
        <w:t xml:space="preserve"> </w:t>
      </w:r>
      <w:r w:rsidR="006E0FCC" w:rsidRPr="00FD211F">
        <w:rPr>
          <w:sz w:val="36"/>
          <w:szCs w:val="36"/>
          <w:rtl/>
        </w:rPr>
        <w:t>في</w:t>
      </w:r>
      <w:r w:rsidR="00E8128F">
        <w:rPr>
          <w:sz w:val="36"/>
          <w:szCs w:val="36"/>
          <w:rtl/>
        </w:rPr>
        <w:t xml:space="preserve"> </w:t>
      </w:r>
      <w:r w:rsidR="006E0FCC" w:rsidRPr="00FD211F">
        <w:rPr>
          <w:sz w:val="36"/>
          <w:szCs w:val="36"/>
          <w:rtl/>
        </w:rPr>
        <w:t>نهج</w:t>
      </w:r>
      <w:r w:rsidR="00E8128F">
        <w:rPr>
          <w:sz w:val="36"/>
          <w:szCs w:val="36"/>
          <w:rtl/>
        </w:rPr>
        <w:t xml:space="preserve"> </w:t>
      </w:r>
      <w:r w:rsidR="006E0FCC" w:rsidRPr="00FD211F">
        <w:rPr>
          <w:sz w:val="36"/>
          <w:szCs w:val="36"/>
          <w:rtl/>
        </w:rPr>
        <w:t>البلاغ</w:t>
      </w:r>
      <w:r w:rsidR="00EC7EDF" w:rsidRPr="00FD211F">
        <w:rPr>
          <w:sz w:val="36"/>
          <w:szCs w:val="36"/>
          <w:rtl/>
        </w:rPr>
        <w:t>ة</w:t>
      </w:r>
      <w:r w:rsidR="00E8128F">
        <w:rPr>
          <w:sz w:val="36"/>
          <w:szCs w:val="36"/>
          <w:rtl/>
        </w:rPr>
        <w:t xml:space="preserve"> </w:t>
      </w:r>
      <w:r w:rsidR="006E0FCC" w:rsidRPr="00FD211F">
        <w:rPr>
          <w:sz w:val="36"/>
          <w:szCs w:val="36"/>
          <w:rtl/>
        </w:rPr>
        <w:t>"</w:t>
      </w:r>
      <w:r w:rsidRPr="00FD211F">
        <w:rPr>
          <w:sz w:val="36"/>
          <w:szCs w:val="36"/>
          <w:rtl/>
        </w:rPr>
        <w:t>وكمال</w:t>
      </w:r>
      <w:r w:rsidR="00E8128F">
        <w:rPr>
          <w:sz w:val="36"/>
          <w:szCs w:val="36"/>
          <w:rtl/>
        </w:rPr>
        <w:t xml:space="preserve"> </w:t>
      </w:r>
      <w:r w:rsidRPr="00FD211F">
        <w:rPr>
          <w:sz w:val="36"/>
          <w:szCs w:val="36"/>
          <w:rtl/>
        </w:rPr>
        <w:t>الاخلاص</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نفي</w:t>
      </w:r>
      <w:r w:rsidR="00E8128F">
        <w:rPr>
          <w:sz w:val="36"/>
          <w:szCs w:val="36"/>
          <w:rtl/>
        </w:rPr>
        <w:t xml:space="preserve"> </w:t>
      </w:r>
      <w:r w:rsidRPr="00FD211F">
        <w:rPr>
          <w:sz w:val="36"/>
          <w:szCs w:val="36"/>
          <w:rtl/>
        </w:rPr>
        <w:t>الصفات</w:t>
      </w:r>
      <w:r w:rsidR="00E8128F">
        <w:rPr>
          <w:sz w:val="36"/>
          <w:szCs w:val="36"/>
          <w:rtl/>
        </w:rPr>
        <w:t xml:space="preserve"> </w:t>
      </w:r>
      <w:r w:rsidR="009E5D84" w:rsidRPr="00FD211F">
        <w:rPr>
          <w:sz w:val="36"/>
          <w:szCs w:val="36"/>
          <w:rtl/>
        </w:rPr>
        <w:t>عنه</w:t>
      </w:r>
      <w:r w:rsidR="00E8128F">
        <w:rPr>
          <w:sz w:val="36"/>
          <w:szCs w:val="36"/>
          <w:rtl/>
        </w:rPr>
        <w:t xml:space="preserve"> </w:t>
      </w:r>
      <w:r w:rsidR="009E5D84" w:rsidRPr="00FD211F">
        <w:rPr>
          <w:sz w:val="36"/>
          <w:szCs w:val="36"/>
          <w:rtl/>
        </w:rPr>
        <w:t>لشهاد</w:t>
      </w:r>
      <w:r w:rsidR="00EC7EDF" w:rsidRPr="00FD211F">
        <w:rPr>
          <w:sz w:val="36"/>
          <w:szCs w:val="36"/>
          <w:rtl/>
        </w:rPr>
        <w:t>ة</w:t>
      </w:r>
      <w:r w:rsidR="00E8128F">
        <w:rPr>
          <w:sz w:val="36"/>
          <w:szCs w:val="36"/>
          <w:rtl/>
        </w:rPr>
        <w:t xml:space="preserve"> </w:t>
      </w:r>
      <w:r w:rsidR="009E5D84" w:rsidRPr="00FD211F">
        <w:rPr>
          <w:sz w:val="36"/>
          <w:szCs w:val="36"/>
          <w:rtl/>
        </w:rPr>
        <w:t>كل</w:t>
      </w:r>
      <w:r w:rsidR="00E8128F">
        <w:rPr>
          <w:sz w:val="36"/>
          <w:szCs w:val="36"/>
          <w:rtl/>
        </w:rPr>
        <w:t xml:space="preserve"> </w:t>
      </w:r>
      <w:r w:rsidR="009E5D84" w:rsidRPr="00FD211F">
        <w:rPr>
          <w:sz w:val="36"/>
          <w:szCs w:val="36"/>
          <w:rtl/>
        </w:rPr>
        <w:t>صف</w:t>
      </w:r>
      <w:r w:rsidR="00EC7EDF" w:rsidRPr="00FD211F">
        <w:rPr>
          <w:sz w:val="36"/>
          <w:szCs w:val="36"/>
          <w:rtl/>
        </w:rPr>
        <w:t>ة</w:t>
      </w:r>
      <w:r w:rsidR="00E8128F">
        <w:rPr>
          <w:sz w:val="36"/>
          <w:szCs w:val="36"/>
          <w:rtl/>
        </w:rPr>
        <w:t xml:space="preserve"> </w:t>
      </w:r>
      <w:r w:rsidR="009E5D84" w:rsidRPr="00FD211F">
        <w:rPr>
          <w:sz w:val="36"/>
          <w:szCs w:val="36"/>
          <w:rtl/>
        </w:rPr>
        <w:t>أنها</w:t>
      </w:r>
      <w:r w:rsidR="00E8128F">
        <w:rPr>
          <w:sz w:val="36"/>
          <w:szCs w:val="36"/>
          <w:rtl/>
        </w:rPr>
        <w:t xml:space="preserve"> </w:t>
      </w:r>
      <w:r w:rsidR="009E5D84" w:rsidRPr="00FD211F">
        <w:rPr>
          <w:sz w:val="36"/>
          <w:szCs w:val="36"/>
          <w:rtl/>
        </w:rPr>
        <w:t>غير</w:t>
      </w:r>
      <w:r w:rsidR="00E8128F">
        <w:rPr>
          <w:sz w:val="36"/>
          <w:szCs w:val="36"/>
          <w:rtl/>
        </w:rPr>
        <w:t xml:space="preserve"> </w:t>
      </w:r>
      <w:r w:rsidR="009E5D84" w:rsidRPr="00FD211F">
        <w:rPr>
          <w:sz w:val="36"/>
          <w:szCs w:val="36"/>
          <w:rtl/>
        </w:rPr>
        <w:t>الموصوف"</w:t>
      </w:r>
      <w:r w:rsidR="00E8128F">
        <w:rPr>
          <w:sz w:val="36"/>
          <w:szCs w:val="36"/>
          <w:rtl/>
        </w:rPr>
        <w:t xml:space="preserve"> </w:t>
      </w:r>
      <w:r w:rsidR="009E5D84" w:rsidRPr="00FD211F">
        <w:rPr>
          <w:sz w:val="36"/>
          <w:szCs w:val="36"/>
          <w:rtl/>
        </w:rPr>
        <w:t>م</w:t>
      </w:r>
      <w:r w:rsidRPr="00FD211F">
        <w:rPr>
          <w:sz w:val="36"/>
          <w:szCs w:val="36"/>
          <w:rtl/>
        </w:rPr>
        <w:t>غاير</w:t>
      </w:r>
      <w:r w:rsidR="00EC7EDF" w:rsidRPr="00FD211F">
        <w:rPr>
          <w:sz w:val="36"/>
          <w:szCs w:val="36"/>
          <w:rtl/>
        </w:rPr>
        <w:t>ة</w:t>
      </w:r>
      <w:r w:rsidR="00E8128F">
        <w:rPr>
          <w:sz w:val="36"/>
          <w:szCs w:val="36"/>
          <w:rtl/>
        </w:rPr>
        <w:t xml:space="preserve"> </w:t>
      </w:r>
      <w:r w:rsidR="009E5D84" w:rsidRPr="00FD211F">
        <w:rPr>
          <w:sz w:val="36"/>
          <w:szCs w:val="36"/>
          <w:rtl/>
        </w:rPr>
        <w:t>وجود</w:t>
      </w:r>
      <w:r w:rsidR="00E8128F">
        <w:rPr>
          <w:sz w:val="36"/>
          <w:szCs w:val="36"/>
          <w:rtl/>
        </w:rPr>
        <w:t xml:space="preserve"> </w:t>
      </w:r>
      <w:r w:rsidRPr="00FD211F">
        <w:rPr>
          <w:sz w:val="36"/>
          <w:szCs w:val="36"/>
          <w:rtl/>
        </w:rPr>
        <w:t>الجوهر</w:t>
      </w:r>
      <w:r w:rsidR="00E8128F">
        <w:rPr>
          <w:sz w:val="36"/>
          <w:szCs w:val="36"/>
          <w:rtl/>
        </w:rPr>
        <w:t xml:space="preserve"> </w:t>
      </w:r>
      <w:r w:rsidR="00A47237" w:rsidRPr="00FD211F">
        <w:rPr>
          <w:sz w:val="36"/>
          <w:szCs w:val="36"/>
          <w:rtl/>
        </w:rPr>
        <w:t>و</w:t>
      </w:r>
      <w:r w:rsidR="009E5D84" w:rsidRPr="00FD211F">
        <w:rPr>
          <w:sz w:val="36"/>
          <w:szCs w:val="36"/>
          <w:rtl/>
        </w:rPr>
        <w:t>العرض</w:t>
      </w:r>
      <w:r w:rsidR="00E8128F">
        <w:rPr>
          <w:sz w:val="36"/>
          <w:szCs w:val="36"/>
          <w:rtl/>
        </w:rPr>
        <w:t xml:space="preserve"> </w:t>
      </w:r>
      <w:r w:rsidR="00A47237" w:rsidRPr="00FD211F">
        <w:rPr>
          <w:sz w:val="36"/>
          <w:szCs w:val="36"/>
          <w:rtl/>
        </w:rPr>
        <w:t>في</w:t>
      </w:r>
      <w:r w:rsidR="00E8128F">
        <w:rPr>
          <w:sz w:val="36"/>
          <w:szCs w:val="36"/>
          <w:rtl/>
        </w:rPr>
        <w:t xml:space="preserve"> </w:t>
      </w:r>
      <w:r w:rsidR="00A47237" w:rsidRPr="00FD211F">
        <w:rPr>
          <w:sz w:val="36"/>
          <w:szCs w:val="36"/>
          <w:rtl/>
        </w:rPr>
        <w:t>الممكنات</w:t>
      </w:r>
      <w:r w:rsidR="00E8128F">
        <w:rPr>
          <w:sz w:val="36"/>
          <w:szCs w:val="36"/>
          <w:rtl/>
        </w:rPr>
        <w:t xml:space="preserve"> </w:t>
      </w:r>
      <w:r w:rsidR="00A47237" w:rsidRPr="00FD211F">
        <w:rPr>
          <w:sz w:val="36"/>
          <w:szCs w:val="36"/>
          <w:rtl/>
        </w:rPr>
        <w:t>وأن</w:t>
      </w:r>
      <w:r w:rsidR="00E8128F">
        <w:rPr>
          <w:sz w:val="36"/>
          <w:szCs w:val="36"/>
          <w:rtl/>
        </w:rPr>
        <w:t xml:space="preserve"> </w:t>
      </w:r>
      <w:r w:rsidR="00A47237" w:rsidRPr="00FD211F">
        <w:rPr>
          <w:sz w:val="36"/>
          <w:szCs w:val="36"/>
          <w:rtl/>
        </w:rPr>
        <w:t>نفي</w:t>
      </w:r>
      <w:r w:rsidR="00E8128F">
        <w:rPr>
          <w:sz w:val="36"/>
          <w:szCs w:val="36"/>
          <w:rtl/>
        </w:rPr>
        <w:t xml:space="preserve"> </w:t>
      </w:r>
      <w:r w:rsidR="00A47237" w:rsidRPr="00FD211F">
        <w:rPr>
          <w:sz w:val="36"/>
          <w:szCs w:val="36"/>
          <w:rtl/>
        </w:rPr>
        <w:t>الصفات</w:t>
      </w:r>
      <w:r w:rsidR="00E8128F">
        <w:rPr>
          <w:sz w:val="36"/>
          <w:szCs w:val="36"/>
          <w:rtl/>
        </w:rPr>
        <w:t xml:space="preserve"> </w:t>
      </w:r>
      <w:r w:rsidR="00A47237" w:rsidRPr="00FD211F">
        <w:rPr>
          <w:sz w:val="36"/>
          <w:szCs w:val="36"/>
          <w:rtl/>
        </w:rPr>
        <w:t>الزائد</w:t>
      </w:r>
      <w:r w:rsidR="00EC7EDF" w:rsidRPr="00FD211F">
        <w:rPr>
          <w:sz w:val="36"/>
          <w:szCs w:val="36"/>
          <w:rtl/>
        </w:rPr>
        <w:t>ة</w:t>
      </w:r>
      <w:r w:rsidR="00E8128F">
        <w:rPr>
          <w:sz w:val="36"/>
          <w:szCs w:val="36"/>
          <w:rtl/>
        </w:rPr>
        <w:t xml:space="preserve"> </w:t>
      </w:r>
      <w:r w:rsidR="00A47237" w:rsidRPr="00FD211F">
        <w:rPr>
          <w:sz w:val="36"/>
          <w:szCs w:val="36"/>
          <w:rtl/>
        </w:rPr>
        <w:t>على</w:t>
      </w:r>
      <w:r w:rsidR="00E8128F">
        <w:rPr>
          <w:sz w:val="36"/>
          <w:szCs w:val="36"/>
          <w:rtl/>
        </w:rPr>
        <w:t xml:space="preserve"> </w:t>
      </w:r>
      <w:r w:rsidR="00A47237" w:rsidRPr="00FD211F">
        <w:rPr>
          <w:sz w:val="36"/>
          <w:szCs w:val="36"/>
          <w:rtl/>
        </w:rPr>
        <w:t>الذات</w:t>
      </w:r>
      <w:r w:rsidR="00E8128F">
        <w:rPr>
          <w:sz w:val="36"/>
          <w:szCs w:val="36"/>
          <w:rtl/>
        </w:rPr>
        <w:t xml:space="preserve"> </w:t>
      </w:r>
      <w:r w:rsidR="00A47237" w:rsidRPr="00FD211F">
        <w:rPr>
          <w:sz w:val="36"/>
          <w:szCs w:val="36"/>
          <w:rtl/>
        </w:rPr>
        <w:t>مختص</w:t>
      </w:r>
      <w:r w:rsidR="00E8128F">
        <w:rPr>
          <w:sz w:val="36"/>
          <w:szCs w:val="36"/>
          <w:rtl/>
        </w:rPr>
        <w:t xml:space="preserve"> </w:t>
      </w:r>
      <w:r w:rsidR="00A47237" w:rsidRPr="00FD211F">
        <w:rPr>
          <w:sz w:val="36"/>
          <w:szCs w:val="36"/>
          <w:rtl/>
        </w:rPr>
        <w:t>به</w:t>
      </w:r>
      <w:r w:rsidR="00E8128F">
        <w:rPr>
          <w:sz w:val="36"/>
          <w:szCs w:val="36"/>
          <w:rtl/>
        </w:rPr>
        <w:t xml:space="preserve"> </w:t>
      </w:r>
      <w:r w:rsidR="00A47237" w:rsidRPr="00FD211F">
        <w:rPr>
          <w:sz w:val="36"/>
          <w:szCs w:val="36"/>
          <w:rtl/>
        </w:rPr>
        <w:t>تعالى</w:t>
      </w:r>
      <w:r w:rsidR="009E5D84" w:rsidRPr="00FD211F">
        <w:rPr>
          <w:sz w:val="36"/>
          <w:szCs w:val="36"/>
          <w:rtl/>
        </w:rPr>
        <w:t>.</w:t>
      </w:r>
    </w:p>
    <w:p w14:paraId="64094961" w14:textId="77777777" w:rsidR="000C5BBA" w:rsidRPr="00FD211F" w:rsidRDefault="00721336" w:rsidP="009C58C8">
      <w:pPr>
        <w:ind w:left="0" w:firstLine="227"/>
        <w:jc w:val="both"/>
        <w:rPr>
          <w:sz w:val="36"/>
          <w:szCs w:val="36"/>
          <w:rtl/>
        </w:rPr>
      </w:pPr>
      <w:r w:rsidRPr="00FD211F">
        <w:rPr>
          <w:sz w:val="36"/>
          <w:szCs w:val="36"/>
          <w:rtl/>
        </w:rPr>
        <w:t>والحاصل</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لايصح</w:t>
      </w:r>
      <w:r w:rsidR="00E8128F">
        <w:rPr>
          <w:sz w:val="36"/>
          <w:szCs w:val="36"/>
          <w:rtl/>
        </w:rPr>
        <w:t xml:space="preserve"> </w:t>
      </w:r>
      <w:r w:rsidRPr="00FD211F">
        <w:rPr>
          <w:sz w:val="36"/>
          <w:szCs w:val="36"/>
          <w:rtl/>
        </w:rPr>
        <w:t>حمل</w:t>
      </w:r>
      <w:r w:rsidR="00E8128F">
        <w:rPr>
          <w:sz w:val="36"/>
          <w:szCs w:val="36"/>
          <w:rtl/>
        </w:rPr>
        <w:t xml:space="preserve"> </w:t>
      </w:r>
      <w:r w:rsidRPr="00FD211F">
        <w:rPr>
          <w:sz w:val="36"/>
          <w:szCs w:val="36"/>
          <w:rtl/>
        </w:rPr>
        <w:t>المصدر</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بخلاف</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فهذا</w:t>
      </w:r>
      <w:r w:rsidR="00E8128F">
        <w:rPr>
          <w:sz w:val="36"/>
          <w:szCs w:val="36"/>
          <w:rtl/>
        </w:rPr>
        <w:t xml:space="preserve"> </w:t>
      </w:r>
      <w:r w:rsidRPr="00FD211F">
        <w:rPr>
          <w:sz w:val="36"/>
          <w:szCs w:val="36"/>
          <w:rtl/>
        </w:rPr>
        <w:t>يعني</w:t>
      </w:r>
      <w:r w:rsidR="00E8128F">
        <w:rPr>
          <w:sz w:val="36"/>
          <w:szCs w:val="36"/>
          <w:rtl/>
        </w:rPr>
        <w:t xml:space="preserve"> </w:t>
      </w:r>
      <w:r w:rsidRPr="00FD211F">
        <w:rPr>
          <w:sz w:val="36"/>
          <w:szCs w:val="36"/>
          <w:rtl/>
        </w:rPr>
        <w:t>اختلاف</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المصدر</w:t>
      </w:r>
      <w:r w:rsidR="00E8128F">
        <w:rPr>
          <w:sz w:val="36"/>
          <w:szCs w:val="36"/>
          <w:rtl/>
        </w:rPr>
        <w:t xml:space="preserve"> </w:t>
      </w:r>
      <w:r w:rsidRPr="00FD211F">
        <w:rPr>
          <w:sz w:val="36"/>
          <w:szCs w:val="36"/>
          <w:rtl/>
        </w:rPr>
        <w:t>والمشتق</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يرى</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متحدا</w:t>
      </w:r>
      <w:r w:rsidR="00E8128F">
        <w:rPr>
          <w:sz w:val="36"/>
          <w:szCs w:val="36"/>
          <w:rtl/>
        </w:rPr>
        <w:t xml:space="preserve"> </w:t>
      </w:r>
      <w:r w:rsidRPr="00FD211F">
        <w:rPr>
          <w:sz w:val="36"/>
          <w:szCs w:val="36"/>
          <w:rtl/>
        </w:rPr>
        <w:t>وجودا</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الموضوع</w:t>
      </w:r>
      <w:r w:rsidR="00E8128F">
        <w:rPr>
          <w:sz w:val="36"/>
          <w:szCs w:val="36"/>
          <w:rtl/>
        </w:rPr>
        <w:t xml:space="preserve"> </w:t>
      </w:r>
      <w:r w:rsidRPr="00FD211F">
        <w:rPr>
          <w:sz w:val="36"/>
          <w:szCs w:val="36"/>
          <w:rtl/>
        </w:rPr>
        <w:t>فيصح</w:t>
      </w:r>
      <w:r w:rsidR="00E8128F">
        <w:rPr>
          <w:sz w:val="36"/>
          <w:szCs w:val="36"/>
          <w:rtl/>
        </w:rPr>
        <w:t xml:space="preserve"> </w:t>
      </w:r>
      <w:r w:rsidRPr="00FD211F">
        <w:rPr>
          <w:sz w:val="36"/>
          <w:szCs w:val="36"/>
          <w:rtl/>
        </w:rPr>
        <w:t>الحمل</w:t>
      </w:r>
      <w:r w:rsidR="00E8128F">
        <w:rPr>
          <w:sz w:val="36"/>
          <w:szCs w:val="36"/>
          <w:rtl/>
        </w:rPr>
        <w:t xml:space="preserve"> </w:t>
      </w:r>
      <w:r w:rsidRPr="00FD211F">
        <w:rPr>
          <w:sz w:val="36"/>
          <w:szCs w:val="36"/>
          <w:rtl/>
        </w:rPr>
        <w:t>بخلاف</w:t>
      </w:r>
      <w:r w:rsidR="00E8128F">
        <w:rPr>
          <w:sz w:val="36"/>
          <w:szCs w:val="36"/>
          <w:rtl/>
        </w:rPr>
        <w:t xml:space="preserve"> </w:t>
      </w:r>
      <w:r w:rsidRPr="00FD211F">
        <w:rPr>
          <w:sz w:val="36"/>
          <w:szCs w:val="36"/>
          <w:rtl/>
        </w:rPr>
        <w:t>المصدر</w:t>
      </w:r>
      <w:r w:rsidR="00603323" w:rsidRPr="00FD211F">
        <w:rPr>
          <w:sz w:val="36"/>
          <w:szCs w:val="36"/>
          <w:rtl/>
        </w:rPr>
        <w:t>،</w:t>
      </w:r>
      <w:r w:rsidR="00E8128F">
        <w:rPr>
          <w:sz w:val="36"/>
          <w:szCs w:val="36"/>
          <w:rtl/>
        </w:rPr>
        <w:t xml:space="preserve"> </w:t>
      </w:r>
      <w:r w:rsidRPr="00FD211F">
        <w:rPr>
          <w:sz w:val="36"/>
          <w:szCs w:val="36"/>
          <w:rtl/>
        </w:rPr>
        <w:t>وحيث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المبدأ</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الأعراض</w:t>
      </w:r>
      <w:r w:rsidR="00E8128F">
        <w:rPr>
          <w:sz w:val="36"/>
          <w:szCs w:val="36"/>
          <w:rtl/>
        </w:rPr>
        <w:t xml:space="preserve"> </w:t>
      </w:r>
      <w:r w:rsidRPr="00FD211F">
        <w:rPr>
          <w:sz w:val="36"/>
          <w:szCs w:val="36"/>
          <w:rtl/>
        </w:rPr>
        <w:t>ولايتحد</w:t>
      </w:r>
      <w:r w:rsidR="00E8128F">
        <w:rPr>
          <w:sz w:val="36"/>
          <w:szCs w:val="36"/>
          <w:rtl/>
        </w:rPr>
        <w:t xml:space="preserve"> </w:t>
      </w:r>
      <w:r w:rsidRPr="00FD211F">
        <w:rPr>
          <w:sz w:val="36"/>
          <w:szCs w:val="36"/>
          <w:rtl/>
        </w:rPr>
        <w:t>وجودا</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–اما</w:t>
      </w:r>
      <w:r w:rsidR="00E8128F">
        <w:rPr>
          <w:sz w:val="36"/>
          <w:szCs w:val="36"/>
          <w:rtl/>
        </w:rPr>
        <w:t xml:space="preserve"> </w:t>
      </w:r>
      <w:r w:rsidRPr="00FD211F">
        <w:rPr>
          <w:sz w:val="36"/>
          <w:szCs w:val="36"/>
          <w:rtl/>
        </w:rPr>
        <w:t>بنظر</w:t>
      </w:r>
      <w:r w:rsidR="00E8128F">
        <w:rPr>
          <w:sz w:val="36"/>
          <w:szCs w:val="36"/>
          <w:rtl/>
        </w:rPr>
        <w:t xml:space="preserve"> </w:t>
      </w:r>
      <w:r w:rsidRPr="00FD211F">
        <w:rPr>
          <w:sz w:val="36"/>
          <w:szCs w:val="36"/>
          <w:rtl/>
        </w:rPr>
        <w:t>العقل</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جمهور</w:t>
      </w:r>
      <w:r w:rsidR="00E8128F">
        <w:rPr>
          <w:sz w:val="36"/>
          <w:szCs w:val="36"/>
          <w:rtl/>
        </w:rPr>
        <w:t xml:space="preserve"> </w:t>
      </w:r>
      <w:r w:rsidRPr="00FD211F">
        <w:rPr>
          <w:sz w:val="36"/>
          <w:szCs w:val="36"/>
          <w:rtl/>
        </w:rPr>
        <w:t>الفلاسف</w:t>
      </w:r>
      <w:r w:rsidR="00EC7EDF" w:rsidRPr="00FD211F">
        <w:rPr>
          <w:sz w:val="36"/>
          <w:szCs w:val="36"/>
          <w:rtl/>
        </w:rPr>
        <w:t>ة</w:t>
      </w:r>
      <w:r w:rsidR="00E8128F">
        <w:rPr>
          <w:sz w:val="36"/>
          <w:szCs w:val="36"/>
          <w:rtl/>
        </w:rPr>
        <w:t xml:space="preserve"> </w:t>
      </w:r>
      <w:r w:rsidRPr="00FD211F">
        <w:rPr>
          <w:sz w:val="36"/>
          <w:szCs w:val="36"/>
          <w:rtl/>
        </w:rPr>
        <w:t>او</w:t>
      </w:r>
      <w:r w:rsidR="00E8128F">
        <w:rPr>
          <w:sz w:val="36"/>
          <w:szCs w:val="36"/>
          <w:rtl/>
        </w:rPr>
        <w:t xml:space="preserve"> </w:t>
      </w:r>
      <w:r w:rsidR="00BF184F" w:rsidRPr="00FD211F">
        <w:rPr>
          <w:sz w:val="36"/>
          <w:szCs w:val="36"/>
          <w:rtl/>
        </w:rPr>
        <w:t>بنظر</w:t>
      </w:r>
      <w:r w:rsidR="00E8128F">
        <w:rPr>
          <w:sz w:val="36"/>
          <w:szCs w:val="36"/>
          <w:rtl/>
        </w:rPr>
        <w:t xml:space="preserve"> </w:t>
      </w:r>
      <w:r w:rsidR="00BF184F" w:rsidRPr="00FD211F">
        <w:rPr>
          <w:sz w:val="36"/>
          <w:szCs w:val="36"/>
          <w:rtl/>
        </w:rPr>
        <w:t>العرف</w:t>
      </w:r>
      <w:r w:rsidR="00E8128F">
        <w:rPr>
          <w:sz w:val="36"/>
          <w:szCs w:val="36"/>
          <w:rtl/>
        </w:rPr>
        <w:t xml:space="preserve"> </w:t>
      </w:r>
      <w:r w:rsidR="00BF184F" w:rsidRPr="00FD211F">
        <w:rPr>
          <w:sz w:val="36"/>
          <w:szCs w:val="36"/>
          <w:rtl/>
        </w:rPr>
        <w:t>الساذج</w:t>
      </w:r>
      <w:r w:rsidR="00E8128F">
        <w:rPr>
          <w:sz w:val="36"/>
          <w:szCs w:val="36"/>
          <w:rtl/>
        </w:rPr>
        <w:t xml:space="preserve"> </w:t>
      </w:r>
      <w:r w:rsidR="00BF184F" w:rsidRPr="00FD211F">
        <w:rPr>
          <w:sz w:val="36"/>
          <w:szCs w:val="36"/>
          <w:rtl/>
        </w:rPr>
        <w:t>على</w:t>
      </w:r>
      <w:r w:rsidR="00E8128F">
        <w:rPr>
          <w:sz w:val="36"/>
          <w:szCs w:val="36"/>
          <w:rtl/>
        </w:rPr>
        <w:t xml:space="preserve"> </w:t>
      </w:r>
      <w:r w:rsidR="00BF184F" w:rsidRPr="00FD211F">
        <w:rPr>
          <w:sz w:val="36"/>
          <w:szCs w:val="36"/>
          <w:rtl/>
        </w:rPr>
        <w:t>الاقل</w:t>
      </w:r>
      <w:r w:rsidR="00E8128F">
        <w:rPr>
          <w:sz w:val="36"/>
          <w:szCs w:val="36"/>
          <w:rtl/>
        </w:rPr>
        <w:t xml:space="preserve"> </w:t>
      </w:r>
      <w:r w:rsidRPr="00FD211F">
        <w:rPr>
          <w:sz w:val="36"/>
          <w:szCs w:val="36"/>
          <w:rtl/>
        </w:rPr>
        <w:t>-</w:t>
      </w:r>
      <w:r w:rsidR="00E8128F">
        <w:rPr>
          <w:sz w:val="36"/>
          <w:szCs w:val="36"/>
          <w:rtl/>
        </w:rPr>
        <w:t xml:space="preserve"> </w:t>
      </w:r>
      <w:r w:rsidR="009E5D84" w:rsidRPr="00FD211F">
        <w:rPr>
          <w:sz w:val="36"/>
          <w:szCs w:val="36"/>
          <w:rtl/>
        </w:rPr>
        <w:t>فلابد</w:t>
      </w:r>
      <w:r w:rsidR="00E8128F">
        <w:rPr>
          <w:sz w:val="36"/>
          <w:szCs w:val="36"/>
          <w:rtl/>
        </w:rPr>
        <w:t xml:space="preserve"> </w:t>
      </w:r>
      <w:r w:rsidR="009E5D84" w:rsidRPr="00FD211F">
        <w:rPr>
          <w:sz w:val="36"/>
          <w:szCs w:val="36"/>
          <w:rtl/>
        </w:rPr>
        <w:t>في</w:t>
      </w:r>
      <w:r w:rsidR="00E8128F">
        <w:rPr>
          <w:sz w:val="36"/>
          <w:szCs w:val="36"/>
          <w:rtl/>
        </w:rPr>
        <w:t xml:space="preserve"> </w:t>
      </w:r>
      <w:r w:rsidR="009E5D84" w:rsidRPr="00FD211F">
        <w:rPr>
          <w:sz w:val="36"/>
          <w:szCs w:val="36"/>
          <w:rtl/>
        </w:rPr>
        <w:t>صح</w:t>
      </w:r>
      <w:r w:rsidR="00EC7EDF" w:rsidRPr="00FD211F">
        <w:rPr>
          <w:sz w:val="36"/>
          <w:szCs w:val="36"/>
          <w:rtl/>
        </w:rPr>
        <w:t>ة</w:t>
      </w:r>
      <w:r w:rsidR="00E8128F">
        <w:rPr>
          <w:sz w:val="36"/>
          <w:szCs w:val="36"/>
          <w:rtl/>
        </w:rPr>
        <w:t xml:space="preserve"> </w:t>
      </w:r>
      <w:r w:rsidR="009E5D84" w:rsidRPr="00FD211F">
        <w:rPr>
          <w:sz w:val="36"/>
          <w:szCs w:val="36"/>
          <w:rtl/>
        </w:rPr>
        <w:t>الحمل</w:t>
      </w:r>
      <w:r w:rsidR="00E8128F">
        <w:rPr>
          <w:sz w:val="36"/>
          <w:szCs w:val="36"/>
          <w:rtl/>
        </w:rPr>
        <w:t xml:space="preserve"> </w:t>
      </w:r>
      <w:r w:rsidR="009E5D84" w:rsidRPr="00FD211F">
        <w:rPr>
          <w:sz w:val="36"/>
          <w:szCs w:val="36"/>
          <w:rtl/>
        </w:rPr>
        <w:t>من</w:t>
      </w:r>
      <w:r w:rsidR="00E8128F">
        <w:rPr>
          <w:sz w:val="36"/>
          <w:szCs w:val="36"/>
          <w:rtl/>
        </w:rPr>
        <w:t xml:space="preserve"> </w:t>
      </w:r>
      <w:r w:rsidR="009E5D84" w:rsidRPr="00FD211F">
        <w:rPr>
          <w:sz w:val="36"/>
          <w:szCs w:val="36"/>
          <w:rtl/>
        </w:rPr>
        <w:t>توسيط</w:t>
      </w:r>
      <w:r w:rsidR="00E8128F">
        <w:rPr>
          <w:sz w:val="36"/>
          <w:szCs w:val="36"/>
          <w:rtl/>
        </w:rPr>
        <w:t xml:space="preserve"> </w:t>
      </w:r>
      <w:r w:rsidR="009E5D84" w:rsidRPr="00FD211F">
        <w:rPr>
          <w:sz w:val="36"/>
          <w:szCs w:val="36"/>
          <w:rtl/>
        </w:rPr>
        <w:t>ما</w:t>
      </w:r>
      <w:r w:rsidRPr="00FD211F">
        <w:rPr>
          <w:sz w:val="36"/>
          <w:szCs w:val="36"/>
          <w:rtl/>
        </w:rPr>
        <w:t>يوجب</w:t>
      </w:r>
      <w:r w:rsidR="00E8128F">
        <w:rPr>
          <w:sz w:val="36"/>
          <w:szCs w:val="36"/>
          <w:rtl/>
        </w:rPr>
        <w:t xml:space="preserve"> </w:t>
      </w:r>
      <w:r w:rsidRPr="00FD211F">
        <w:rPr>
          <w:sz w:val="36"/>
          <w:szCs w:val="36"/>
          <w:rtl/>
        </w:rPr>
        <w:t>صحته</w:t>
      </w:r>
      <w:r w:rsidR="00603323" w:rsidRPr="00FD211F">
        <w:rPr>
          <w:sz w:val="36"/>
          <w:szCs w:val="36"/>
          <w:rtl/>
        </w:rPr>
        <w:t>،</w:t>
      </w:r>
      <w:r w:rsidR="00E8128F">
        <w:rPr>
          <w:sz w:val="36"/>
          <w:szCs w:val="36"/>
          <w:rtl/>
        </w:rPr>
        <w:t xml:space="preserve"> </w:t>
      </w:r>
      <w:r w:rsidRPr="00FD211F">
        <w:rPr>
          <w:sz w:val="36"/>
          <w:szCs w:val="36"/>
          <w:rtl/>
        </w:rPr>
        <w:t>فلابد</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المبهم</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جميع</w:t>
      </w:r>
      <w:r w:rsidR="00E8128F">
        <w:rPr>
          <w:sz w:val="36"/>
          <w:szCs w:val="36"/>
          <w:rtl/>
        </w:rPr>
        <w:t xml:space="preserve"> </w:t>
      </w:r>
      <w:r w:rsidRPr="00FD211F">
        <w:rPr>
          <w:sz w:val="36"/>
          <w:szCs w:val="36"/>
          <w:rtl/>
        </w:rPr>
        <w:t>الجهات</w:t>
      </w:r>
      <w:r w:rsidR="00E8128F">
        <w:rPr>
          <w:sz w:val="36"/>
          <w:szCs w:val="36"/>
          <w:rtl/>
        </w:rPr>
        <w:t xml:space="preserve"> </w:t>
      </w:r>
      <w:r w:rsidRPr="00FD211F">
        <w:rPr>
          <w:sz w:val="36"/>
          <w:szCs w:val="36"/>
          <w:rtl/>
        </w:rPr>
        <w:t>عدا</w:t>
      </w:r>
      <w:r w:rsidR="00BF184F" w:rsidRPr="00FD211F">
        <w:rPr>
          <w:sz w:val="36"/>
          <w:szCs w:val="36"/>
          <w:rtl/>
        </w:rPr>
        <w:t>جه</w:t>
      </w:r>
      <w:r w:rsidR="00EC7EDF" w:rsidRPr="00FD211F">
        <w:rPr>
          <w:sz w:val="36"/>
          <w:szCs w:val="36"/>
          <w:rtl/>
        </w:rPr>
        <w:t>ة</w:t>
      </w:r>
      <w:r w:rsidR="00E8128F">
        <w:rPr>
          <w:sz w:val="36"/>
          <w:szCs w:val="36"/>
          <w:rtl/>
        </w:rPr>
        <w:t xml:space="preserve"> </w:t>
      </w:r>
      <w:r w:rsidRPr="00FD211F">
        <w:rPr>
          <w:sz w:val="36"/>
          <w:szCs w:val="36"/>
          <w:rtl/>
        </w:rPr>
        <w:t>تلبسها</w:t>
      </w:r>
      <w:r w:rsidR="00E8128F">
        <w:rPr>
          <w:sz w:val="36"/>
          <w:szCs w:val="36"/>
          <w:rtl/>
        </w:rPr>
        <w:t xml:space="preserve"> </w:t>
      </w:r>
      <w:r w:rsidRPr="00FD211F">
        <w:rPr>
          <w:sz w:val="36"/>
          <w:szCs w:val="36"/>
          <w:rtl/>
        </w:rPr>
        <w:t>بالمبدأ</w:t>
      </w:r>
      <w:r w:rsidR="00603323" w:rsidRPr="00FD211F">
        <w:rPr>
          <w:sz w:val="36"/>
          <w:szCs w:val="36"/>
          <w:rtl/>
        </w:rPr>
        <w:t>،</w:t>
      </w:r>
      <w:r w:rsidR="00E8128F">
        <w:rPr>
          <w:sz w:val="36"/>
          <w:szCs w:val="36"/>
          <w:rtl/>
        </w:rPr>
        <w:t xml:space="preserve"> </w:t>
      </w:r>
      <w:r w:rsidRPr="00FD211F">
        <w:rPr>
          <w:sz w:val="36"/>
          <w:szCs w:val="36"/>
          <w:rtl/>
        </w:rPr>
        <w:t>والمراد</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معناه</w:t>
      </w:r>
      <w:r w:rsidR="00E8128F">
        <w:rPr>
          <w:sz w:val="36"/>
          <w:szCs w:val="36"/>
          <w:rtl/>
        </w:rPr>
        <w:t xml:space="preserve"> </w:t>
      </w:r>
      <w:r w:rsidRPr="00FD211F">
        <w:rPr>
          <w:sz w:val="36"/>
          <w:szCs w:val="36"/>
          <w:rtl/>
        </w:rPr>
        <w:t>صور</w:t>
      </w:r>
      <w:r w:rsidR="00EC7EDF" w:rsidRPr="00FD211F">
        <w:rPr>
          <w:sz w:val="36"/>
          <w:szCs w:val="36"/>
          <w:rtl/>
        </w:rPr>
        <w:t>ة</w:t>
      </w:r>
      <w:r w:rsidR="00E8128F">
        <w:rPr>
          <w:sz w:val="36"/>
          <w:szCs w:val="36"/>
          <w:rtl/>
        </w:rPr>
        <w:t xml:space="preserve"> </w:t>
      </w:r>
      <w:r w:rsidRPr="00FD211F">
        <w:rPr>
          <w:sz w:val="36"/>
          <w:szCs w:val="36"/>
          <w:rtl/>
        </w:rPr>
        <w:t>مجمل</w:t>
      </w:r>
      <w:r w:rsidR="00EC7EDF" w:rsidRPr="00FD211F">
        <w:rPr>
          <w:sz w:val="36"/>
          <w:szCs w:val="36"/>
          <w:rtl/>
        </w:rPr>
        <w:t>ة</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المعنى</w:t>
      </w:r>
      <w:r w:rsidR="00E8128F">
        <w:rPr>
          <w:sz w:val="36"/>
          <w:szCs w:val="36"/>
          <w:rtl/>
        </w:rPr>
        <w:t xml:space="preserve"> </w:t>
      </w:r>
      <w:r w:rsidRPr="00FD211F">
        <w:rPr>
          <w:sz w:val="36"/>
          <w:szCs w:val="36"/>
          <w:rtl/>
        </w:rPr>
        <w:t>المفص</w:t>
      </w:r>
      <w:r w:rsidR="009E5D84" w:rsidRPr="00FD211F">
        <w:rPr>
          <w:sz w:val="36"/>
          <w:szCs w:val="36"/>
          <w:rtl/>
        </w:rPr>
        <w:t>َّ</w:t>
      </w:r>
      <w:r w:rsidRPr="00FD211F">
        <w:rPr>
          <w:sz w:val="36"/>
          <w:szCs w:val="36"/>
          <w:rtl/>
        </w:rPr>
        <w:t>ل</w:t>
      </w:r>
      <w:r w:rsidR="009E5D84" w:rsidRPr="00FD211F">
        <w:rPr>
          <w:sz w:val="36"/>
          <w:szCs w:val="36"/>
          <w:rtl/>
        </w:rPr>
        <w:t>.</w:t>
      </w:r>
    </w:p>
    <w:p w14:paraId="5350EC92" w14:textId="77777777" w:rsidR="000C5BBA" w:rsidRPr="00FD211F" w:rsidRDefault="00082A58" w:rsidP="009C58C8">
      <w:pPr>
        <w:ind w:left="0" w:firstLine="227"/>
        <w:jc w:val="both"/>
        <w:rPr>
          <w:sz w:val="36"/>
          <w:szCs w:val="36"/>
          <w:rtl/>
        </w:rPr>
      </w:pPr>
      <w:r w:rsidRPr="00FD211F">
        <w:rPr>
          <w:sz w:val="36"/>
          <w:szCs w:val="36"/>
          <w:rtl/>
        </w:rPr>
        <w:t>ومما</w:t>
      </w:r>
      <w:r w:rsidR="00E8128F">
        <w:rPr>
          <w:sz w:val="36"/>
          <w:szCs w:val="36"/>
          <w:rtl/>
        </w:rPr>
        <w:t xml:space="preserve"> </w:t>
      </w:r>
      <w:r w:rsidRPr="00FD211F">
        <w:rPr>
          <w:sz w:val="36"/>
          <w:szCs w:val="36"/>
          <w:rtl/>
        </w:rPr>
        <w:t>يشهد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حمل</w:t>
      </w:r>
      <w:r w:rsidR="00E8128F">
        <w:rPr>
          <w:sz w:val="36"/>
          <w:szCs w:val="36"/>
          <w:rtl/>
        </w:rPr>
        <w:t xml:space="preserve"> </w:t>
      </w:r>
      <w:r w:rsidRPr="00FD211F">
        <w:rPr>
          <w:sz w:val="36"/>
          <w:szCs w:val="36"/>
          <w:rtl/>
        </w:rPr>
        <w:t>مشتق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مشتق</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كقولنا</w:t>
      </w:r>
      <w:r w:rsidR="009E5D84" w:rsidRPr="00FD211F">
        <w:rPr>
          <w:sz w:val="36"/>
          <w:szCs w:val="36"/>
          <w:rtl/>
        </w:rPr>
        <w:t>"</w:t>
      </w:r>
      <w:r w:rsidR="00E8128F">
        <w:rPr>
          <w:sz w:val="36"/>
          <w:szCs w:val="36"/>
          <w:rtl/>
        </w:rPr>
        <w:t xml:space="preserve"> </w:t>
      </w:r>
      <w:r w:rsidRPr="00FD211F">
        <w:rPr>
          <w:sz w:val="36"/>
          <w:szCs w:val="36"/>
          <w:rtl/>
        </w:rPr>
        <w:t>الكاتب</w:t>
      </w:r>
      <w:r w:rsidR="00E8128F">
        <w:rPr>
          <w:sz w:val="36"/>
          <w:szCs w:val="36"/>
          <w:rtl/>
        </w:rPr>
        <w:t xml:space="preserve"> </w:t>
      </w:r>
      <w:r w:rsidRPr="00FD211F">
        <w:rPr>
          <w:sz w:val="36"/>
          <w:szCs w:val="36"/>
          <w:rtl/>
        </w:rPr>
        <w:t>متحرك</w:t>
      </w:r>
      <w:r w:rsidR="00E8128F">
        <w:rPr>
          <w:sz w:val="36"/>
          <w:szCs w:val="36"/>
          <w:rtl/>
        </w:rPr>
        <w:t xml:space="preserve"> </w:t>
      </w:r>
      <w:r w:rsidRPr="00FD211F">
        <w:rPr>
          <w:sz w:val="36"/>
          <w:szCs w:val="36"/>
          <w:rtl/>
        </w:rPr>
        <w:t>الاصابع</w:t>
      </w:r>
      <w:r w:rsidR="009E5D84" w:rsidRPr="00FD211F">
        <w:rPr>
          <w:sz w:val="36"/>
          <w:szCs w:val="36"/>
          <w:rtl/>
        </w:rPr>
        <w:t>"</w:t>
      </w:r>
      <w:r w:rsidR="00E8128F">
        <w:rPr>
          <w:sz w:val="36"/>
          <w:szCs w:val="36"/>
          <w:rtl/>
        </w:rPr>
        <w:t xml:space="preserve"> </w:t>
      </w:r>
      <w:r w:rsidRPr="00FD211F">
        <w:rPr>
          <w:sz w:val="36"/>
          <w:szCs w:val="36"/>
          <w:rtl/>
        </w:rPr>
        <w:t>او</w:t>
      </w:r>
      <w:r w:rsidR="009E5D84" w:rsidRPr="00FD211F">
        <w:rPr>
          <w:sz w:val="36"/>
          <w:szCs w:val="36"/>
          <w:rtl/>
        </w:rPr>
        <w:t>قولنا"</w:t>
      </w:r>
      <w:r w:rsidR="00E8128F">
        <w:rPr>
          <w:sz w:val="36"/>
          <w:szCs w:val="36"/>
          <w:rtl/>
        </w:rPr>
        <w:t xml:space="preserve"> </w:t>
      </w:r>
      <w:r w:rsidRPr="00FD211F">
        <w:rPr>
          <w:sz w:val="36"/>
          <w:szCs w:val="36"/>
          <w:rtl/>
        </w:rPr>
        <w:t>كل</w:t>
      </w:r>
      <w:r w:rsidR="00E8128F">
        <w:rPr>
          <w:sz w:val="36"/>
          <w:szCs w:val="36"/>
          <w:rtl/>
        </w:rPr>
        <w:t xml:space="preserve"> </w:t>
      </w:r>
      <w:r w:rsidRPr="00FD211F">
        <w:rPr>
          <w:sz w:val="36"/>
          <w:szCs w:val="36"/>
          <w:rtl/>
        </w:rPr>
        <w:t>متعجب</w:t>
      </w:r>
      <w:r w:rsidR="00E8128F">
        <w:rPr>
          <w:sz w:val="36"/>
          <w:szCs w:val="36"/>
          <w:rtl/>
        </w:rPr>
        <w:t xml:space="preserve"> </w:t>
      </w:r>
      <w:r w:rsidRPr="00FD211F">
        <w:rPr>
          <w:sz w:val="36"/>
          <w:szCs w:val="36"/>
          <w:rtl/>
        </w:rPr>
        <w:t>ضاحك</w:t>
      </w:r>
      <w:r w:rsidR="009E5D84" w:rsidRPr="00FD211F">
        <w:rPr>
          <w:sz w:val="36"/>
          <w:szCs w:val="36"/>
          <w:rtl/>
        </w:rPr>
        <w:t>"</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عين</w:t>
      </w:r>
      <w:r w:rsidR="00E8128F">
        <w:rPr>
          <w:sz w:val="36"/>
          <w:szCs w:val="36"/>
          <w:rtl/>
        </w:rPr>
        <w:t xml:space="preserve"> </w:t>
      </w:r>
      <w:r w:rsidRPr="00FD211F">
        <w:rPr>
          <w:sz w:val="36"/>
          <w:szCs w:val="36"/>
          <w:rtl/>
        </w:rPr>
        <w:t>المبدأ</w:t>
      </w:r>
      <w:r w:rsidR="00E8128F">
        <w:rPr>
          <w:sz w:val="36"/>
          <w:szCs w:val="36"/>
          <w:rtl/>
        </w:rPr>
        <w:t xml:space="preserve"> </w:t>
      </w:r>
      <w:r w:rsidRPr="00FD211F">
        <w:rPr>
          <w:sz w:val="36"/>
          <w:szCs w:val="36"/>
          <w:rtl/>
        </w:rPr>
        <w:t>فالمبدئان</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الموضوع</w:t>
      </w:r>
      <w:r w:rsidR="00E8128F">
        <w:rPr>
          <w:sz w:val="36"/>
          <w:szCs w:val="36"/>
          <w:rtl/>
        </w:rPr>
        <w:t xml:space="preserve"> </w:t>
      </w:r>
      <w:r w:rsidRPr="00FD211F">
        <w:rPr>
          <w:sz w:val="36"/>
          <w:szCs w:val="36"/>
          <w:rtl/>
        </w:rPr>
        <w:t>والمحمول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هذه</w:t>
      </w:r>
      <w:r w:rsidR="00E8128F">
        <w:rPr>
          <w:sz w:val="36"/>
          <w:szCs w:val="36"/>
          <w:rtl/>
        </w:rPr>
        <w:t xml:space="preserve"> </w:t>
      </w:r>
      <w:r w:rsidRPr="00FD211F">
        <w:rPr>
          <w:sz w:val="36"/>
          <w:szCs w:val="36"/>
          <w:rtl/>
        </w:rPr>
        <w:t>الأمثل</w:t>
      </w:r>
      <w:r w:rsidR="00EC7EDF" w:rsidRPr="00FD211F">
        <w:rPr>
          <w:sz w:val="36"/>
          <w:szCs w:val="36"/>
          <w:rtl/>
        </w:rPr>
        <w:t>ة</w:t>
      </w:r>
      <w:r w:rsidR="00E8128F">
        <w:rPr>
          <w:sz w:val="36"/>
          <w:szCs w:val="36"/>
          <w:rtl/>
        </w:rPr>
        <w:t xml:space="preserve"> </w:t>
      </w:r>
      <w:r w:rsidRPr="00FD211F">
        <w:rPr>
          <w:sz w:val="36"/>
          <w:szCs w:val="36"/>
          <w:rtl/>
        </w:rPr>
        <w:t>متباينان</w:t>
      </w:r>
      <w:r w:rsidR="00E8128F">
        <w:rPr>
          <w:sz w:val="36"/>
          <w:szCs w:val="36"/>
          <w:rtl/>
        </w:rPr>
        <w:t xml:space="preserve"> </w:t>
      </w:r>
      <w:r w:rsidRPr="00FD211F">
        <w:rPr>
          <w:sz w:val="36"/>
          <w:szCs w:val="36"/>
          <w:rtl/>
        </w:rPr>
        <w:t>ذاتا</w:t>
      </w:r>
      <w:r w:rsidR="00E8128F">
        <w:rPr>
          <w:sz w:val="36"/>
          <w:szCs w:val="36"/>
          <w:rtl/>
        </w:rPr>
        <w:t xml:space="preserve"> </w:t>
      </w:r>
      <w:r w:rsidRPr="00FD211F">
        <w:rPr>
          <w:sz w:val="36"/>
          <w:szCs w:val="36"/>
          <w:rtl/>
        </w:rPr>
        <w:t>ووجودا</w:t>
      </w:r>
      <w:r w:rsidR="00E8128F">
        <w:rPr>
          <w:sz w:val="36"/>
          <w:szCs w:val="36"/>
          <w:rtl/>
        </w:rPr>
        <w:t xml:space="preserve"> </w:t>
      </w:r>
      <w:r w:rsidRPr="00FD211F">
        <w:rPr>
          <w:sz w:val="36"/>
          <w:szCs w:val="36"/>
          <w:rtl/>
        </w:rPr>
        <w:t>فلايمكن</w:t>
      </w:r>
      <w:r w:rsidR="00E8128F">
        <w:rPr>
          <w:sz w:val="36"/>
          <w:szCs w:val="36"/>
          <w:rtl/>
        </w:rPr>
        <w:t xml:space="preserve"> </w:t>
      </w:r>
      <w:r w:rsidRPr="00FD211F">
        <w:rPr>
          <w:sz w:val="36"/>
          <w:szCs w:val="36"/>
          <w:rtl/>
        </w:rPr>
        <w:t>حمل</w:t>
      </w:r>
      <w:r w:rsidR="00E8128F">
        <w:rPr>
          <w:sz w:val="36"/>
          <w:szCs w:val="36"/>
          <w:rtl/>
        </w:rPr>
        <w:t xml:space="preserve"> </w:t>
      </w:r>
      <w:r w:rsidRPr="00FD211F">
        <w:rPr>
          <w:sz w:val="36"/>
          <w:szCs w:val="36"/>
          <w:rtl/>
        </w:rPr>
        <w:t>احدهما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الآخر</w:t>
      </w:r>
      <w:r w:rsidR="009E5D84" w:rsidRPr="00FD211F">
        <w:rPr>
          <w:sz w:val="36"/>
          <w:szCs w:val="36"/>
          <w:rtl/>
        </w:rPr>
        <w:t>.</w:t>
      </w:r>
    </w:p>
    <w:p w14:paraId="6290912D" w14:textId="77777777" w:rsidR="00CD4405" w:rsidRPr="00FD211F" w:rsidRDefault="00082A58" w:rsidP="009C58C8">
      <w:pPr>
        <w:ind w:left="0" w:firstLine="227"/>
        <w:jc w:val="both"/>
        <w:rPr>
          <w:sz w:val="36"/>
          <w:szCs w:val="36"/>
          <w:rtl/>
        </w:rPr>
      </w:pPr>
      <w:r w:rsidRPr="00FD211F">
        <w:rPr>
          <w:sz w:val="36"/>
          <w:szCs w:val="36"/>
          <w:rtl/>
        </w:rPr>
        <w:t>فالصحيح</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مركبا</w:t>
      </w:r>
      <w:r w:rsidR="00E8128F">
        <w:rPr>
          <w:sz w:val="36"/>
          <w:szCs w:val="36"/>
          <w:rtl/>
        </w:rPr>
        <w:t xml:space="preserve"> </w:t>
      </w:r>
      <w:r w:rsidRPr="00FD211F">
        <w:rPr>
          <w:sz w:val="36"/>
          <w:szCs w:val="36"/>
          <w:rtl/>
        </w:rPr>
        <w:t>بحسب</w:t>
      </w:r>
      <w:r w:rsidR="00E8128F">
        <w:rPr>
          <w:sz w:val="36"/>
          <w:szCs w:val="36"/>
          <w:rtl/>
        </w:rPr>
        <w:t xml:space="preserve"> </w:t>
      </w:r>
      <w:r w:rsidRPr="00FD211F">
        <w:rPr>
          <w:sz w:val="36"/>
          <w:szCs w:val="36"/>
          <w:rtl/>
        </w:rPr>
        <w:t>التحليل</w:t>
      </w:r>
      <w:r w:rsidR="00E8128F">
        <w:rPr>
          <w:sz w:val="36"/>
          <w:szCs w:val="36"/>
          <w:rtl/>
        </w:rPr>
        <w:t xml:space="preserve"> </w:t>
      </w:r>
      <w:r w:rsidRPr="00FD211F">
        <w:rPr>
          <w:sz w:val="36"/>
          <w:szCs w:val="36"/>
          <w:rtl/>
        </w:rPr>
        <w:t>العقلي</w:t>
      </w:r>
      <w:r w:rsidR="00603323" w:rsidRPr="00FD211F">
        <w:rPr>
          <w:sz w:val="36"/>
          <w:szCs w:val="36"/>
          <w:rtl/>
        </w:rPr>
        <w:t>،</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"العالم"</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قو</w:t>
      </w:r>
      <w:r w:rsidR="00EC7EDF" w:rsidRPr="00FD211F">
        <w:rPr>
          <w:sz w:val="36"/>
          <w:szCs w:val="36"/>
          <w:rtl/>
        </w:rPr>
        <w:t>ة</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ثبت</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العلم"</w:t>
      </w:r>
      <w:r w:rsidR="00603323" w:rsidRPr="00FD211F">
        <w:rPr>
          <w:sz w:val="36"/>
          <w:szCs w:val="36"/>
          <w:rtl/>
        </w:rPr>
        <w:t>،</w:t>
      </w:r>
      <w:r w:rsidR="00E8128F">
        <w:rPr>
          <w:sz w:val="36"/>
          <w:szCs w:val="36"/>
          <w:rtl/>
        </w:rPr>
        <w:t xml:space="preserve"> </w:t>
      </w:r>
      <w:r w:rsidR="00F652A1" w:rsidRPr="00FD211F">
        <w:rPr>
          <w:sz w:val="36"/>
          <w:szCs w:val="36"/>
          <w:rtl/>
        </w:rPr>
        <w:t>وهذا</w:t>
      </w:r>
      <w:r w:rsidR="00E8128F">
        <w:rPr>
          <w:sz w:val="36"/>
          <w:szCs w:val="36"/>
          <w:rtl/>
        </w:rPr>
        <w:t xml:space="preserve"> </w:t>
      </w:r>
      <w:r w:rsidR="00F652A1" w:rsidRPr="00FD211F">
        <w:rPr>
          <w:sz w:val="36"/>
          <w:szCs w:val="36"/>
          <w:rtl/>
        </w:rPr>
        <w:t>ما</w:t>
      </w:r>
      <w:r w:rsidR="00E8128F">
        <w:rPr>
          <w:sz w:val="36"/>
          <w:szCs w:val="36"/>
          <w:rtl/>
        </w:rPr>
        <w:t xml:space="preserve"> </w:t>
      </w:r>
      <w:r w:rsidR="00F652A1" w:rsidRPr="00FD211F">
        <w:rPr>
          <w:sz w:val="36"/>
          <w:szCs w:val="36"/>
          <w:rtl/>
        </w:rPr>
        <w:t>اختاره</w:t>
      </w:r>
      <w:r w:rsidR="00E8128F">
        <w:rPr>
          <w:sz w:val="36"/>
          <w:szCs w:val="36"/>
          <w:rtl/>
        </w:rPr>
        <w:t xml:space="preserve"> </w:t>
      </w:r>
      <w:r w:rsidR="00F652A1" w:rsidRPr="00FD211F">
        <w:rPr>
          <w:sz w:val="36"/>
          <w:szCs w:val="36"/>
          <w:rtl/>
        </w:rPr>
        <w:t>جماع</w:t>
      </w:r>
      <w:r w:rsidR="00EC7EDF" w:rsidRPr="00FD211F">
        <w:rPr>
          <w:sz w:val="36"/>
          <w:szCs w:val="36"/>
          <w:rtl/>
        </w:rPr>
        <w:t>ة</w:t>
      </w:r>
      <w:r w:rsidR="00E8128F">
        <w:rPr>
          <w:sz w:val="36"/>
          <w:szCs w:val="36"/>
          <w:rtl/>
        </w:rPr>
        <w:t xml:space="preserve"> </w:t>
      </w:r>
      <w:r w:rsidR="00F652A1" w:rsidRPr="00FD211F">
        <w:rPr>
          <w:sz w:val="36"/>
          <w:szCs w:val="36"/>
          <w:rtl/>
        </w:rPr>
        <w:t>من</w:t>
      </w:r>
      <w:r w:rsidR="00E8128F">
        <w:rPr>
          <w:sz w:val="36"/>
          <w:szCs w:val="36"/>
          <w:rtl/>
        </w:rPr>
        <w:t xml:space="preserve"> </w:t>
      </w:r>
      <w:r w:rsidR="00F652A1" w:rsidRPr="00FD211F">
        <w:rPr>
          <w:sz w:val="36"/>
          <w:szCs w:val="36"/>
          <w:rtl/>
        </w:rPr>
        <w:t>الاعلام</w:t>
      </w:r>
      <w:r w:rsidR="00E8128F">
        <w:rPr>
          <w:sz w:val="36"/>
          <w:szCs w:val="36"/>
          <w:rtl/>
        </w:rPr>
        <w:t xml:space="preserve"> </w:t>
      </w:r>
      <w:r w:rsidR="00CE68A8" w:rsidRPr="00FD211F">
        <w:rPr>
          <w:sz w:val="36"/>
          <w:szCs w:val="36"/>
          <w:rtl/>
        </w:rPr>
        <w:t>كالمحقق</w:t>
      </w:r>
      <w:r w:rsidR="00E8128F">
        <w:rPr>
          <w:sz w:val="36"/>
          <w:szCs w:val="36"/>
          <w:rtl/>
        </w:rPr>
        <w:t xml:space="preserve"> </w:t>
      </w:r>
      <w:r w:rsidR="00CE68A8" w:rsidRPr="00FD211F">
        <w:rPr>
          <w:sz w:val="36"/>
          <w:szCs w:val="36"/>
          <w:rtl/>
        </w:rPr>
        <w:t>الاصفهاني</w:t>
      </w:r>
      <w:r w:rsidR="00E8128F">
        <w:rPr>
          <w:sz w:val="36"/>
          <w:szCs w:val="36"/>
          <w:rtl/>
        </w:rPr>
        <w:t xml:space="preserve"> </w:t>
      </w:r>
      <w:r w:rsidR="000740A0" w:rsidRPr="00FD211F">
        <w:rPr>
          <w:sz w:val="36"/>
          <w:szCs w:val="36"/>
          <w:rtl/>
        </w:rPr>
        <w:t>"قده"</w:t>
      </w:r>
      <w:r w:rsidR="00F652A1" w:rsidRPr="00FD211F">
        <w:rPr>
          <w:sz w:val="36"/>
          <w:szCs w:val="36"/>
          <w:rtl/>
        </w:rPr>
        <w:t>بل</w:t>
      </w:r>
      <w:r w:rsidR="00E8128F">
        <w:rPr>
          <w:sz w:val="36"/>
          <w:szCs w:val="36"/>
          <w:rtl/>
        </w:rPr>
        <w:t xml:space="preserve"> </w:t>
      </w:r>
      <w:r w:rsidR="00F652A1" w:rsidRPr="00FD211F">
        <w:rPr>
          <w:sz w:val="36"/>
          <w:szCs w:val="36"/>
          <w:rtl/>
        </w:rPr>
        <w:t>هو</w:t>
      </w:r>
      <w:r w:rsidR="00E8128F">
        <w:rPr>
          <w:sz w:val="36"/>
          <w:szCs w:val="36"/>
          <w:rtl/>
        </w:rPr>
        <w:t xml:space="preserve"> </w:t>
      </w:r>
      <w:r w:rsidR="00F5402A" w:rsidRPr="00FD211F">
        <w:rPr>
          <w:sz w:val="36"/>
          <w:szCs w:val="36"/>
          <w:rtl/>
        </w:rPr>
        <w:t>مختار</w:t>
      </w:r>
      <w:r w:rsidR="00F652A1" w:rsidRPr="00FD211F">
        <w:rPr>
          <w:sz w:val="36"/>
          <w:szCs w:val="36"/>
          <w:rtl/>
        </w:rPr>
        <w:t>صاحب</w:t>
      </w:r>
      <w:r w:rsidR="00E8128F">
        <w:rPr>
          <w:sz w:val="36"/>
          <w:szCs w:val="36"/>
          <w:rtl/>
        </w:rPr>
        <w:t xml:space="preserve"> </w:t>
      </w:r>
      <w:r w:rsidR="00F652A1" w:rsidRPr="00FD211F">
        <w:rPr>
          <w:sz w:val="36"/>
          <w:szCs w:val="36"/>
          <w:rtl/>
        </w:rPr>
        <w:t>الكفاي</w:t>
      </w:r>
      <w:r w:rsidR="00EC7EDF" w:rsidRPr="00FD211F">
        <w:rPr>
          <w:sz w:val="36"/>
          <w:szCs w:val="36"/>
          <w:rtl/>
        </w:rPr>
        <w:t>ة</w:t>
      </w:r>
      <w:r w:rsidR="00E8128F">
        <w:rPr>
          <w:sz w:val="36"/>
          <w:szCs w:val="36"/>
          <w:rtl/>
        </w:rPr>
        <w:t xml:space="preserve"> </w:t>
      </w:r>
      <w:r w:rsidR="000740A0" w:rsidRPr="00FD211F">
        <w:rPr>
          <w:sz w:val="36"/>
          <w:szCs w:val="36"/>
          <w:rtl/>
        </w:rPr>
        <w:t>"قده"</w:t>
      </w:r>
      <w:r w:rsidR="009C58C8" w:rsidRPr="00FD211F">
        <w:rPr>
          <w:rStyle w:val="a6"/>
          <w:sz w:val="36"/>
          <w:szCs w:val="36"/>
          <w:rtl/>
        </w:rPr>
        <w:t>(</w:t>
      </w:r>
      <w:r w:rsidR="009C58C8" w:rsidRPr="00FD211F">
        <w:rPr>
          <w:rStyle w:val="a6"/>
          <w:sz w:val="36"/>
          <w:szCs w:val="36"/>
          <w:rtl/>
        </w:rPr>
        <w:footnoteReference w:id="589"/>
      </w:r>
      <w:r w:rsidR="009C58C8" w:rsidRPr="00FD211F">
        <w:rPr>
          <w:rStyle w:val="a6"/>
          <w:sz w:val="36"/>
          <w:szCs w:val="36"/>
          <w:rtl/>
        </w:rPr>
        <w:t>)</w:t>
      </w:r>
      <w:r w:rsidR="00603323" w:rsidRPr="00FD211F">
        <w:rPr>
          <w:sz w:val="36"/>
          <w:szCs w:val="36"/>
          <w:rtl/>
        </w:rPr>
        <w:t>،</w:t>
      </w:r>
      <w:r w:rsidR="00E8128F">
        <w:rPr>
          <w:sz w:val="36"/>
          <w:szCs w:val="36"/>
          <w:rtl/>
        </w:rPr>
        <w:t xml:space="preserve"> </w:t>
      </w:r>
      <w:r w:rsidR="00F5402A" w:rsidRPr="00FD211F">
        <w:rPr>
          <w:sz w:val="36"/>
          <w:szCs w:val="36"/>
          <w:rtl/>
        </w:rPr>
        <w:t>وعليه</w:t>
      </w:r>
      <w:r w:rsidR="00E8128F">
        <w:rPr>
          <w:sz w:val="36"/>
          <w:szCs w:val="36"/>
          <w:rtl/>
        </w:rPr>
        <w:t xml:space="preserve"> </w:t>
      </w:r>
      <w:r w:rsidR="00F5402A" w:rsidRPr="00FD211F">
        <w:rPr>
          <w:sz w:val="36"/>
          <w:szCs w:val="36"/>
          <w:rtl/>
        </w:rPr>
        <w:t>فلايتم</w:t>
      </w:r>
      <w:r w:rsidR="00E8128F">
        <w:rPr>
          <w:sz w:val="36"/>
          <w:szCs w:val="36"/>
          <w:rtl/>
        </w:rPr>
        <w:t xml:space="preserve"> </w:t>
      </w:r>
      <w:r w:rsidR="00066A7E" w:rsidRPr="00FD211F">
        <w:rPr>
          <w:sz w:val="36"/>
          <w:szCs w:val="36"/>
          <w:rtl/>
        </w:rPr>
        <w:t>ما</w:t>
      </w:r>
      <w:r w:rsidR="00E8128F">
        <w:rPr>
          <w:sz w:val="36"/>
          <w:szCs w:val="36"/>
          <w:rtl/>
        </w:rPr>
        <w:t xml:space="preserve"> </w:t>
      </w:r>
      <w:r w:rsidR="00066A7E" w:rsidRPr="00FD211F">
        <w:rPr>
          <w:sz w:val="36"/>
          <w:szCs w:val="36"/>
          <w:rtl/>
        </w:rPr>
        <w:t>في</w:t>
      </w:r>
      <w:r w:rsidR="00E8128F">
        <w:rPr>
          <w:sz w:val="36"/>
          <w:szCs w:val="36"/>
          <w:rtl/>
        </w:rPr>
        <w:t xml:space="preserve"> </w:t>
      </w:r>
      <w:r w:rsidR="00066A7E" w:rsidRPr="00FD211F">
        <w:rPr>
          <w:sz w:val="36"/>
          <w:szCs w:val="36"/>
          <w:rtl/>
        </w:rPr>
        <w:t>البحوث</w:t>
      </w:r>
      <w:r w:rsidR="00E8128F">
        <w:rPr>
          <w:sz w:val="36"/>
          <w:szCs w:val="36"/>
          <w:rtl/>
        </w:rPr>
        <w:t xml:space="preserve"> </w:t>
      </w:r>
      <w:r w:rsidR="00066A7E" w:rsidRPr="00FD211F">
        <w:rPr>
          <w:sz w:val="36"/>
          <w:szCs w:val="36"/>
          <w:rtl/>
        </w:rPr>
        <w:t>من</w:t>
      </w:r>
      <w:r w:rsidR="00E8128F">
        <w:rPr>
          <w:sz w:val="36"/>
          <w:szCs w:val="36"/>
          <w:rtl/>
        </w:rPr>
        <w:t xml:space="preserve"> </w:t>
      </w:r>
      <w:r w:rsidR="00066A7E" w:rsidRPr="00FD211F">
        <w:rPr>
          <w:sz w:val="36"/>
          <w:szCs w:val="36"/>
          <w:rtl/>
        </w:rPr>
        <w:t>ان</w:t>
      </w:r>
      <w:r w:rsidR="00E8128F">
        <w:rPr>
          <w:sz w:val="36"/>
          <w:szCs w:val="36"/>
          <w:rtl/>
        </w:rPr>
        <w:t xml:space="preserve"> </w:t>
      </w:r>
      <w:r w:rsidR="00F5402A" w:rsidRPr="00FD211F">
        <w:rPr>
          <w:sz w:val="36"/>
          <w:szCs w:val="36"/>
          <w:rtl/>
        </w:rPr>
        <w:t>مسلك</w:t>
      </w:r>
      <w:r w:rsidR="00E8128F">
        <w:rPr>
          <w:sz w:val="36"/>
          <w:szCs w:val="36"/>
          <w:rtl/>
        </w:rPr>
        <w:t xml:space="preserve"> </w:t>
      </w:r>
      <w:r w:rsidR="00F5402A" w:rsidRPr="00FD211F">
        <w:rPr>
          <w:sz w:val="36"/>
          <w:szCs w:val="36"/>
          <w:rtl/>
        </w:rPr>
        <w:t>صاحب</w:t>
      </w:r>
      <w:r w:rsidR="00E8128F">
        <w:rPr>
          <w:sz w:val="36"/>
          <w:szCs w:val="36"/>
          <w:rtl/>
        </w:rPr>
        <w:t xml:space="preserve"> </w:t>
      </w:r>
      <w:r w:rsidR="00F5402A" w:rsidRPr="00FD211F">
        <w:rPr>
          <w:sz w:val="36"/>
          <w:szCs w:val="36"/>
          <w:rtl/>
        </w:rPr>
        <w:t>الكفاي</w:t>
      </w:r>
      <w:r w:rsidR="00EC7EDF" w:rsidRPr="00FD211F">
        <w:rPr>
          <w:sz w:val="36"/>
          <w:szCs w:val="36"/>
          <w:rtl/>
        </w:rPr>
        <w:t>ة</w:t>
      </w:r>
      <w:r w:rsidR="00E8128F">
        <w:rPr>
          <w:sz w:val="36"/>
          <w:szCs w:val="36"/>
          <w:rtl/>
        </w:rPr>
        <w:t xml:space="preserve"> </w:t>
      </w:r>
      <w:r w:rsidR="00066A7E" w:rsidRPr="00FD211F">
        <w:rPr>
          <w:sz w:val="36"/>
          <w:szCs w:val="36"/>
          <w:rtl/>
        </w:rPr>
        <w:t>كون</w:t>
      </w:r>
      <w:r w:rsidR="00E8128F">
        <w:rPr>
          <w:sz w:val="36"/>
          <w:szCs w:val="36"/>
          <w:rtl/>
        </w:rPr>
        <w:t xml:space="preserve"> </w:t>
      </w:r>
      <w:r w:rsidR="00066A7E" w:rsidRPr="00FD211F">
        <w:rPr>
          <w:sz w:val="36"/>
          <w:szCs w:val="36"/>
          <w:rtl/>
        </w:rPr>
        <w:t>المشتق</w:t>
      </w:r>
      <w:r w:rsidR="00E8128F">
        <w:rPr>
          <w:sz w:val="36"/>
          <w:szCs w:val="36"/>
          <w:rtl/>
        </w:rPr>
        <w:t xml:space="preserve"> </w:t>
      </w:r>
      <w:r w:rsidR="00066A7E" w:rsidRPr="00FD211F">
        <w:rPr>
          <w:sz w:val="36"/>
          <w:szCs w:val="36"/>
          <w:rtl/>
        </w:rPr>
        <w:t>بسيطا</w:t>
      </w:r>
      <w:r w:rsidR="00E8128F">
        <w:rPr>
          <w:sz w:val="36"/>
          <w:szCs w:val="36"/>
          <w:rtl/>
        </w:rPr>
        <w:t xml:space="preserve"> </w:t>
      </w:r>
      <w:r w:rsidR="00066A7E" w:rsidRPr="00FD211F">
        <w:rPr>
          <w:sz w:val="36"/>
          <w:szCs w:val="36"/>
          <w:rtl/>
        </w:rPr>
        <w:t>منتزعا</w:t>
      </w:r>
      <w:r w:rsidR="00E8128F">
        <w:rPr>
          <w:sz w:val="36"/>
          <w:szCs w:val="36"/>
          <w:rtl/>
        </w:rPr>
        <w:t xml:space="preserve"> </w:t>
      </w:r>
      <w:r w:rsidR="00066A7E" w:rsidRPr="00FD211F">
        <w:rPr>
          <w:sz w:val="36"/>
          <w:szCs w:val="36"/>
          <w:rtl/>
        </w:rPr>
        <w:t>عن</w:t>
      </w:r>
      <w:r w:rsidR="00E8128F">
        <w:rPr>
          <w:sz w:val="36"/>
          <w:szCs w:val="36"/>
          <w:rtl/>
        </w:rPr>
        <w:t xml:space="preserve"> </w:t>
      </w:r>
      <w:r w:rsidR="00066A7E" w:rsidRPr="00FD211F">
        <w:rPr>
          <w:sz w:val="36"/>
          <w:szCs w:val="36"/>
          <w:rtl/>
        </w:rPr>
        <w:t>الذات</w:t>
      </w:r>
      <w:r w:rsidR="00E8128F">
        <w:rPr>
          <w:sz w:val="36"/>
          <w:szCs w:val="36"/>
          <w:rtl/>
        </w:rPr>
        <w:t xml:space="preserve"> </w:t>
      </w:r>
      <w:r w:rsidR="00066A7E" w:rsidRPr="00FD211F">
        <w:rPr>
          <w:sz w:val="36"/>
          <w:szCs w:val="36"/>
          <w:rtl/>
        </w:rPr>
        <w:t>ويكون</w:t>
      </w:r>
      <w:r w:rsidR="00E8128F">
        <w:rPr>
          <w:sz w:val="36"/>
          <w:szCs w:val="36"/>
          <w:rtl/>
        </w:rPr>
        <w:t xml:space="preserve"> </w:t>
      </w:r>
      <w:r w:rsidR="00066A7E" w:rsidRPr="00FD211F">
        <w:rPr>
          <w:sz w:val="36"/>
          <w:szCs w:val="36"/>
          <w:rtl/>
        </w:rPr>
        <w:t>المبدأ</w:t>
      </w:r>
      <w:r w:rsidR="00E8128F">
        <w:rPr>
          <w:sz w:val="36"/>
          <w:szCs w:val="36"/>
          <w:rtl/>
        </w:rPr>
        <w:t xml:space="preserve"> </w:t>
      </w:r>
      <w:r w:rsidR="00066A7E" w:rsidRPr="00FD211F">
        <w:rPr>
          <w:sz w:val="36"/>
          <w:szCs w:val="36"/>
          <w:rtl/>
        </w:rPr>
        <w:t>مصححا</w:t>
      </w:r>
      <w:r w:rsidR="00E8128F">
        <w:rPr>
          <w:sz w:val="36"/>
          <w:szCs w:val="36"/>
          <w:rtl/>
        </w:rPr>
        <w:t xml:space="preserve"> </w:t>
      </w:r>
      <w:r w:rsidR="00066A7E" w:rsidRPr="00FD211F">
        <w:rPr>
          <w:sz w:val="36"/>
          <w:szCs w:val="36"/>
          <w:rtl/>
        </w:rPr>
        <w:t>لانتزاعه</w:t>
      </w:r>
      <w:r w:rsidR="00603323" w:rsidRPr="00FD211F">
        <w:rPr>
          <w:sz w:val="36"/>
          <w:szCs w:val="36"/>
          <w:rtl/>
        </w:rPr>
        <w:t>،</w:t>
      </w:r>
      <w:r w:rsidR="00E8128F">
        <w:rPr>
          <w:sz w:val="36"/>
          <w:szCs w:val="36"/>
          <w:rtl/>
        </w:rPr>
        <w:t xml:space="preserve"> </w:t>
      </w:r>
      <w:r w:rsidR="00F5402A" w:rsidRPr="00FD211F">
        <w:rPr>
          <w:sz w:val="36"/>
          <w:szCs w:val="36"/>
          <w:rtl/>
        </w:rPr>
        <w:t>في</w:t>
      </w:r>
      <w:r w:rsidR="00E8128F">
        <w:rPr>
          <w:sz w:val="36"/>
          <w:szCs w:val="36"/>
          <w:rtl/>
        </w:rPr>
        <w:t xml:space="preserve"> </w:t>
      </w:r>
      <w:r w:rsidR="00F5402A" w:rsidRPr="00FD211F">
        <w:rPr>
          <w:sz w:val="36"/>
          <w:szCs w:val="36"/>
          <w:rtl/>
        </w:rPr>
        <w:t>قبال</w:t>
      </w:r>
      <w:r w:rsidR="00E8128F">
        <w:rPr>
          <w:sz w:val="36"/>
          <w:szCs w:val="36"/>
          <w:rtl/>
        </w:rPr>
        <w:t xml:space="preserve"> </w:t>
      </w:r>
      <w:r w:rsidR="00F5402A" w:rsidRPr="00FD211F">
        <w:rPr>
          <w:sz w:val="36"/>
          <w:szCs w:val="36"/>
          <w:rtl/>
        </w:rPr>
        <w:t>مسلك</w:t>
      </w:r>
      <w:r w:rsidR="00E8128F">
        <w:rPr>
          <w:sz w:val="36"/>
          <w:szCs w:val="36"/>
          <w:rtl/>
        </w:rPr>
        <w:t xml:space="preserve"> </w:t>
      </w:r>
      <w:r w:rsidR="00F5402A" w:rsidRPr="00FD211F">
        <w:rPr>
          <w:sz w:val="36"/>
          <w:szCs w:val="36"/>
          <w:rtl/>
        </w:rPr>
        <w:t>تركيب</w:t>
      </w:r>
      <w:r w:rsidR="00E8128F">
        <w:rPr>
          <w:sz w:val="36"/>
          <w:szCs w:val="36"/>
          <w:rtl/>
        </w:rPr>
        <w:t xml:space="preserve"> </w:t>
      </w:r>
      <w:r w:rsidR="00F5402A" w:rsidRPr="00FD211F">
        <w:rPr>
          <w:sz w:val="36"/>
          <w:szCs w:val="36"/>
          <w:rtl/>
        </w:rPr>
        <w:t>المشتق</w:t>
      </w:r>
      <w:r w:rsidR="00E8128F">
        <w:rPr>
          <w:sz w:val="36"/>
          <w:szCs w:val="36"/>
          <w:rtl/>
        </w:rPr>
        <w:t xml:space="preserve"> </w:t>
      </w:r>
      <w:r w:rsidR="00F5402A" w:rsidRPr="00FD211F">
        <w:rPr>
          <w:sz w:val="36"/>
          <w:szCs w:val="36"/>
          <w:rtl/>
        </w:rPr>
        <w:t>الذي</w:t>
      </w:r>
      <w:r w:rsidR="00E8128F">
        <w:rPr>
          <w:sz w:val="36"/>
          <w:szCs w:val="36"/>
          <w:rtl/>
        </w:rPr>
        <w:t xml:space="preserve"> </w:t>
      </w:r>
      <w:r w:rsidR="00F5402A" w:rsidRPr="00FD211F">
        <w:rPr>
          <w:sz w:val="36"/>
          <w:szCs w:val="36"/>
          <w:rtl/>
        </w:rPr>
        <w:t>هو</w:t>
      </w:r>
      <w:r w:rsidR="00E8128F">
        <w:rPr>
          <w:sz w:val="36"/>
          <w:szCs w:val="36"/>
          <w:rtl/>
        </w:rPr>
        <w:t xml:space="preserve"> </w:t>
      </w:r>
      <w:r w:rsidR="00F5402A" w:rsidRPr="00FD211F">
        <w:rPr>
          <w:sz w:val="36"/>
          <w:szCs w:val="36"/>
          <w:rtl/>
        </w:rPr>
        <w:t>مختار</w:t>
      </w:r>
      <w:r w:rsidR="00E8128F">
        <w:rPr>
          <w:sz w:val="36"/>
          <w:szCs w:val="36"/>
          <w:rtl/>
        </w:rPr>
        <w:t xml:space="preserve"> </w:t>
      </w:r>
      <w:r w:rsidR="00F5402A" w:rsidRPr="00FD211F">
        <w:rPr>
          <w:sz w:val="36"/>
          <w:szCs w:val="36"/>
          <w:rtl/>
        </w:rPr>
        <w:t>المحقق</w:t>
      </w:r>
      <w:r w:rsidR="00E8128F">
        <w:rPr>
          <w:sz w:val="36"/>
          <w:szCs w:val="36"/>
          <w:rtl/>
        </w:rPr>
        <w:t xml:space="preserve"> </w:t>
      </w:r>
      <w:r w:rsidR="00F5402A" w:rsidRPr="00FD211F">
        <w:rPr>
          <w:sz w:val="36"/>
          <w:szCs w:val="36"/>
          <w:rtl/>
        </w:rPr>
        <w:t>الاصفهاني</w:t>
      </w:r>
      <w:r w:rsidR="00E8128F">
        <w:rPr>
          <w:sz w:val="36"/>
          <w:szCs w:val="36"/>
          <w:rtl/>
        </w:rPr>
        <w:t xml:space="preserve"> </w:t>
      </w:r>
      <w:r w:rsidR="00F5402A" w:rsidRPr="00FD211F">
        <w:rPr>
          <w:sz w:val="36"/>
          <w:szCs w:val="36"/>
          <w:rtl/>
        </w:rPr>
        <w:t>والسيد</w:t>
      </w:r>
      <w:r w:rsidR="00E8128F">
        <w:rPr>
          <w:sz w:val="36"/>
          <w:szCs w:val="36"/>
          <w:rtl/>
        </w:rPr>
        <w:t xml:space="preserve"> </w:t>
      </w:r>
      <w:r w:rsidR="00F5402A" w:rsidRPr="00FD211F">
        <w:rPr>
          <w:sz w:val="36"/>
          <w:szCs w:val="36"/>
          <w:rtl/>
        </w:rPr>
        <w:t>الخوئي</w:t>
      </w:r>
      <w:r w:rsidR="009C58C8" w:rsidRPr="00FD211F">
        <w:rPr>
          <w:rStyle w:val="a6"/>
          <w:sz w:val="36"/>
          <w:szCs w:val="36"/>
          <w:rtl/>
        </w:rPr>
        <w:t>(</w:t>
      </w:r>
      <w:r w:rsidR="009C58C8" w:rsidRPr="00FD211F">
        <w:rPr>
          <w:rStyle w:val="a6"/>
          <w:sz w:val="36"/>
          <w:szCs w:val="36"/>
          <w:rtl/>
        </w:rPr>
        <w:footnoteReference w:id="590"/>
      </w:r>
      <w:r w:rsidR="009C58C8" w:rsidRPr="00FD211F">
        <w:rPr>
          <w:rStyle w:val="a6"/>
          <w:sz w:val="36"/>
          <w:szCs w:val="36"/>
          <w:rtl/>
        </w:rPr>
        <w:t>)</w:t>
      </w:r>
      <w:r w:rsidR="00EC7EDF" w:rsidRPr="00FD211F">
        <w:rPr>
          <w:sz w:val="36"/>
          <w:szCs w:val="36"/>
          <w:rtl/>
        </w:rPr>
        <w:t>.</w:t>
      </w:r>
      <w:r w:rsidR="00E8128F">
        <w:rPr>
          <w:sz w:val="36"/>
          <w:szCs w:val="36"/>
          <w:rtl/>
        </w:rPr>
        <w:t xml:space="preserve"> </w:t>
      </w:r>
    </w:p>
    <w:p w14:paraId="5F1E5A04" w14:textId="77777777" w:rsidR="00066A7E" w:rsidRPr="00FD211F" w:rsidRDefault="00CD4405" w:rsidP="009C58C8">
      <w:pPr>
        <w:pStyle w:val="3"/>
        <w:ind w:firstLine="227"/>
        <w:jc w:val="both"/>
        <w:rPr>
          <w:rtl/>
        </w:rPr>
      </w:pPr>
      <w:bookmarkStart w:id="472" w:name="_Toc223890437"/>
      <w:r w:rsidRPr="00FD211F">
        <w:rPr>
          <w:rtl/>
        </w:rPr>
        <w:t>اشكالات</w:t>
      </w:r>
      <w:r w:rsidR="00E8128F">
        <w:rPr>
          <w:rtl/>
        </w:rPr>
        <w:t xml:space="preserve"> </w:t>
      </w:r>
      <w:r w:rsidRPr="00FD211F">
        <w:rPr>
          <w:rtl/>
        </w:rPr>
        <w:t>المحقق</w:t>
      </w:r>
      <w:r w:rsidR="00E8128F">
        <w:rPr>
          <w:rtl/>
        </w:rPr>
        <w:t xml:space="preserve"> </w:t>
      </w:r>
      <w:r w:rsidRPr="00FD211F">
        <w:rPr>
          <w:rtl/>
        </w:rPr>
        <w:t>الشريف</w:t>
      </w:r>
      <w:r w:rsidR="00E8128F">
        <w:rPr>
          <w:rtl/>
        </w:rPr>
        <w:t xml:space="preserve"> </w:t>
      </w:r>
      <w:r w:rsidRPr="00FD211F">
        <w:rPr>
          <w:rtl/>
        </w:rPr>
        <w:t>على</w:t>
      </w:r>
      <w:r w:rsidR="00E8128F">
        <w:rPr>
          <w:rtl/>
        </w:rPr>
        <w:t xml:space="preserve"> </w:t>
      </w:r>
      <w:r w:rsidRPr="00FD211F">
        <w:rPr>
          <w:rtl/>
        </w:rPr>
        <w:t>القول</w:t>
      </w:r>
      <w:r w:rsidR="00E8128F">
        <w:rPr>
          <w:rtl/>
        </w:rPr>
        <w:t xml:space="preserve"> </w:t>
      </w:r>
      <w:r w:rsidRPr="00FD211F">
        <w:rPr>
          <w:rtl/>
        </w:rPr>
        <w:t>بتركيب</w:t>
      </w:r>
      <w:r w:rsidR="00E8128F">
        <w:rPr>
          <w:rtl/>
        </w:rPr>
        <w:t xml:space="preserve"> </w:t>
      </w:r>
      <w:r w:rsidRPr="00FD211F">
        <w:rPr>
          <w:rtl/>
        </w:rPr>
        <w:t>المشتق</w:t>
      </w:r>
      <w:bookmarkEnd w:id="472"/>
    </w:p>
    <w:p w14:paraId="2A703029" w14:textId="77777777" w:rsidR="00140E4C" w:rsidRPr="00FD211F" w:rsidRDefault="00CD4405" w:rsidP="009C58C8">
      <w:pPr>
        <w:ind w:left="0" w:firstLine="227"/>
        <w:jc w:val="both"/>
        <w:rPr>
          <w:sz w:val="36"/>
          <w:szCs w:val="36"/>
          <w:rtl/>
        </w:rPr>
      </w:pPr>
      <w:r w:rsidRPr="00FD211F">
        <w:rPr>
          <w:sz w:val="36"/>
          <w:szCs w:val="36"/>
          <w:rtl/>
        </w:rPr>
        <w:t>قد</w:t>
      </w:r>
      <w:r w:rsidR="00E8128F">
        <w:rPr>
          <w:sz w:val="36"/>
          <w:szCs w:val="36"/>
          <w:rtl/>
        </w:rPr>
        <w:t xml:space="preserve"> </w:t>
      </w:r>
      <w:r w:rsidRPr="00FD211F">
        <w:rPr>
          <w:sz w:val="36"/>
          <w:szCs w:val="36"/>
          <w:rtl/>
        </w:rPr>
        <w:t>اشكل</w:t>
      </w:r>
      <w:r w:rsidR="00E8128F">
        <w:rPr>
          <w:sz w:val="36"/>
          <w:szCs w:val="36"/>
          <w:rtl/>
        </w:rPr>
        <w:t xml:space="preserve"> </w:t>
      </w:r>
      <w:r w:rsidR="00140E4C" w:rsidRPr="00FD211F">
        <w:rPr>
          <w:sz w:val="36"/>
          <w:szCs w:val="36"/>
          <w:rtl/>
        </w:rPr>
        <w:t>المحقق</w:t>
      </w:r>
      <w:r w:rsidR="00E8128F">
        <w:rPr>
          <w:sz w:val="36"/>
          <w:szCs w:val="36"/>
          <w:rtl/>
        </w:rPr>
        <w:t xml:space="preserve"> </w:t>
      </w:r>
      <w:r w:rsidRPr="00FD211F">
        <w:rPr>
          <w:sz w:val="36"/>
          <w:szCs w:val="36"/>
          <w:rtl/>
        </w:rPr>
        <w:t>الشريف</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القول</w:t>
      </w:r>
      <w:r w:rsidR="00E8128F">
        <w:rPr>
          <w:sz w:val="36"/>
          <w:szCs w:val="36"/>
          <w:rtl/>
        </w:rPr>
        <w:t xml:space="preserve"> </w:t>
      </w:r>
      <w:r w:rsidRPr="00FD211F">
        <w:rPr>
          <w:sz w:val="36"/>
          <w:szCs w:val="36"/>
          <w:rtl/>
        </w:rPr>
        <w:t>بتركيب</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ب</w:t>
      </w:r>
      <w:r w:rsidR="00140E4C" w:rsidRPr="00FD211F">
        <w:rPr>
          <w:sz w:val="36"/>
          <w:szCs w:val="36"/>
          <w:rtl/>
        </w:rPr>
        <w:t>انه</w:t>
      </w:r>
      <w:r w:rsidR="00E8128F">
        <w:rPr>
          <w:sz w:val="36"/>
          <w:szCs w:val="36"/>
          <w:rtl/>
        </w:rPr>
        <w:t xml:space="preserve"> </w:t>
      </w:r>
      <w:r w:rsidR="00140E4C" w:rsidRPr="00FD211F">
        <w:rPr>
          <w:sz w:val="36"/>
          <w:szCs w:val="36"/>
          <w:rtl/>
        </w:rPr>
        <w:t>لو</w:t>
      </w:r>
      <w:r w:rsidR="00E8128F">
        <w:rPr>
          <w:sz w:val="36"/>
          <w:szCs w:val="36"/>
          <w:rtl/>
        </w:rPr>
        <w:t xml:space="preserve"> </w:t>
      </w:r>
      <w:r w:rsidR="00140E4C" w:rsidRPr="00FD211F">
        <w:rPr>
          <w:sz w:val="36"/>
          <w:szCs w:val="36"/>
          <w:rtl/>
        </w:rPr>
        <w:t>اريد</w:t>
      </w:r>
      <w:r w:rsidR="00E8128F">
        <w:rPr>
          <w:sz w:val="36"/>
          <w:szCs w:val="36"/>
          <w:rtl/>
        </w:rPr>
        <w:t xml:space="preserve"> </w:t>
      </w:r>
      <w:r w:rsidR="00140E4C" w:rsidRPr="00FD211F">
        <w:rPr>
          <w:sz w:val="36"/>
          <w:szCs w:val="36"/>
          <w:rtl/>
        </w:rPr>
        <w:t>اخذ</w:t>
      </w:r>
      <w:r w:rsidR="00E8128F">
        <w:rPr>
          <w:sz w:val="36"/>
          <w:szCs w:val="36"/>
          <w:rtl/>
        </w:rPr>
        <w:t xml:space="preserve"> </w:t>
      </w:r>
      <w:r w:rsidR="00140E4C" w:rsidRPr="00FD211F">
        <w:rPr>
          <w:sz w:val="36"/>
          <w:szCs w:val="36"/>
          <w:rtl/>
        </w:rPr>
        <w:t>مفهوم</w:t>
      </w:r>
      <w:r w:rsidR="00E8128F">
        <w:rPr>
          <w:sz w:val="36"/>
          <w:szCs w:val="36"/>
          <w:rtl/>
        </w:rPr>
        <w:t xml:space="preserve"> </w:t>
      </w:r>
      <w:r w:rsidR="00140E4C" w:rsidRPr="00FD211F">
        <w:rPr>
          <w:sz w:val="36"/>
          <w:szCs w:val="36"/>
          <w:rtl/>
        </w:rPr>
        <w:t>ال</w:t>
      </w:r>
      <w:r w:rsidR="008D7B3D" w:rsidRPr="00FD211F">
        <w:rPr>
          <w:sz w:val="36"/>
          <w:szCs w:val="36"/>
          <w:rtl/>
        </w:rPr>
        <w:t>شيء</w:t>
      </w:r>
      <w:r w:rsidR="00E8128F">
        <w:rPr>
          <w:sz w:val="36"/>
          <w:szCs w:val="36"/>
          <w:rtl/>
        </w:rPr>
        <w:t xml:space="preserve"> </w:t>
      </w:r>
      <w:r w:rsidR="00140E4C" w:rsidRPr="00FD211F">
        <w:rPr>
          <w:sz w:val="36"/>
          <w:szCs w:val="36"/>
          <w:rtl/>
        </w:rPr>
        <w:t>في</w:t>
      </w:r>
      <w:r w:rsidR="00E8128F">
        <w:rPr>
          <w:sz w:val="36"/>
          <w:szCs w:val="36"/>
          <w:rtl/>
        </w:rPr>
        <w:t xml:space="preserve"> </w:t>
      </w:r>
      <w:r w:rsidR="00140E4C" w:rsidRPr="00FD211F">
        <w:rPr>
          <w:sz w:val="36"/>
          <w:szCs w:val="36"/>
          <w:rtl/>
        </w:rPr>
        <w:t>المشتق</w:t>
      </w:r>
      <w:r w:rsidR="00E8128F">
        <w:rPr>
          <w:sz w:val="36"/>
          <w:szCs w:val="36"/>
          <w:rtl/>
        </w:rPr>
        <w:t xml:space="preserve"> </w:t>
      </w:r>
      <w:r w:rsidR="00140E4C" w:rsidRPr="00FD211F">
        <w:rPr>
          <w:sz w:val="36"/>
          <w:szCs w:val="36"/>
          <w:rtl/>
        </w:rPr>
        <w:t>فحيث</w:t>
      </w:r>
      <w:r w:rsidR="00E8128F">
        <w:rPr>
          <w:sz w:val="36"/>
          <w:szCs w:val="36"/>
          <w:rtl/>
        </w:rPr>
        <w:t xml:space="preserve"> </w:t>
      </w:r>
      <w:r w:rsidR="00140E4C" w:rsidRPr="00FD211F">
        <w:rPr>
          <w:sz w:val="36"/>
          <w:szCs w:val="36"/>
          <w:rtl/>
        </w:rPr>
        <w:t>ان</w:t>
      </w:r>
      <w:r w:rsidR="00E8128F">
        <w:rPr>
          <w:sz w:val="36"/>
          <w:szCs w:val="36"/>
          <w:rtl/>
        </w:rPr>
        <w:t xml:space="preserve"> </w:t>
      </w:r>
      <w:r w:rsidR="00140E4C" w:rsidRPr="00FD211F">
        <w:rPr>
          <w:sz w:val="36"/>
          <w:szCs w:val="36"/>
          <w:rtl/>
        </w:rPr>
        <w:t>مفهوم</w:t>
      </w:r>
      <w:r w:rsidR="00E8128F">
        <w:rPr>
          <w:sz w:val="36"/>
          <w:szCs w:val="36"/>
          <w:rtl/>
        </w:rPr>
        <w:t xml:space="preserve"> </w:t>
      </w:r>
      <w:r w:rsidR="00140E4C" w:rsidRPr="00FD211F">
        <w:rPr>
          <w:sz w:val="36"/>
          <w:szCs w:val="36"/>
          <w:rtl/>
        </w:rPr>
        <w:t>ال</w:t>
      </w:r>
      <w:r w:rsidR="008D7B3D" w:rsidRPr="00FD211F">
        <w:rPr>
          <w:sz w:val="36"/>
          <w:szCs w:val="36"/>
          <w:rtl/>
        </w:rPr>
        <w:t>شيء</w:t>
      </w:r>
      <w:r w:rsidR="00E8128F">
        <w:rPr>
          <w:sz w:val="36"/>
          <w:szCs w:val="36"/>
          <w:rtl/>
        </w:rPr>
        <w:t xml:space="preserve"> </w:t>
      </w:r>
      <w:r w:rsidR="00140E4C" w:rsidRPr="00FD211F">
        <w:rPr>
          <w:sz w:val="36"/>
          <w:szCs w:val="36"/>
          <w:rtl/>
        </w:rPr>
        <w:t>عرض</w:t>
      </w:r>
      <w:r w:rsidR="00E8128F">
        <w:rPr>
          <w:sz w:val="36"/>
          <w:szCs w:val="36"/>
          <w:rtl/>
        </w:rPr>
        <w:t xml:space="preserve"> </w:t>
      </w:r>
      <w:r w:rsidR="00140E4C" w:rsidRPr="00FD211F">
        <w:rPr>
          <w:sz w:val="36"/>
          <w:szCs w:val="36"/>
          <w:rtl/>
        </w:rPr>
        <w:t>عام</w:t>
      </w:r>
      <w:r w:rsidR="00E8128F">
        <w:rPr>
          <w:sz w:val="36"/>
          <w:szCs w:val="36"/>
          <w:rtl/>
        </w:rPr>
        <w:t xml:space="preserve"> </w:t>
      </w:r>
      <w:r w:rsidR="00140E4C" w:rsidRPr="00FD211F">
        <w:rPr>
          <w:sz w:val="36"/>
          <w:szCs w:val="36"/>
          <w:rtl/>
        </w:rPr>
        <w:t>لزم</w:t>
      </w:r>
      <w:r w:rsidR="00E8128F">
        <w:rPr>
          <w:sz w:val="36"/>
          <w:szCs w:val="36"/>
          <w:rtl/>
        </w:rPr>
        <w:t xml:space="preserve"> </w:t>
      </w:r>
      <w:r w:rsidR="00140E4C" w:rsidRPr="00FD211F">
        <w:rPr>
          <w:sz w:val="36"/>
          <w:szCs w:val="36"/>
          <w:rtl/>
        </w:rPr>
        <w:t>دخول</w:t>
      </w:r>
      <w:r w:rsidR="00E8128F">
        <w:rPr>
          <w:sz w:val="36"/>
          <w:szCs w:val="36"/>
          <w:rtl/>
        </w:rPr>
        <w:t xml:space="preserve"> </w:t>
      </w:r>
      <w:r w:rsidR="00140E4C" w:rsidRPr="00FD211F">
        <w:rPr>
          <w:sz w:val="36"/>
          <w:szCs w:val="36"/>
          <w:rtl/>
        </w:rPr>
        <w:t>العرض</w:t>
      </w:r>
      <w:r w:rsidR="00E8128F">
        <w:rPr>
          <w:sz w:val="36"/>
          <w:szCs w:val="36"/>
          <w:rtl/>
        </w:rPr>
        <w:t xml:space="preserve"> </w:t>
      </w:r>
      <w:r w:rsidR="00140E4C" w:rsidRPr="00FD211F">
        <w:rPr>
          <w:sz w:val="36"/>
          <w:szCs w:val="36"/>
          <w:rtl/>
        </w:rPr>
        <w:t>العام</w:t>
      </w:r>
      <w:r w:rsidR="00E8128F">
        <w:rPr>
          <w:sz w:val="36"/>
          <w:szCs w:val="36"/>
          <w:rtl/>
        </w:rPr>
        <w:t xml:space="preserve"> </w:t>
      </w:r>
      <w:r w:rsidR="00140E4C" w:rsidRPr="00FD211F">
        <w:rPr>
          <w:sz w:val="36"/>
          <w:szCs w:val="36"/>
          <w:rtl/>
        </w:rPr>
        <w:t>في</w:t>
      </w:r>
      <w:r w:rsidR="00E8128F">
        <w:rPr>
          <w:sz w:val="36"/>
          <w:szCs w:val="36"/>
          <w:rtl/>
        </w:rPr>
        <w:t xml:space="preserve"> </w:t>
      </w:r>
      <w:r w:rsidR="00140E4C" w:rsidRPr="00FD211F">
        <w:rPr>
          <w:sz w:val="36"/>
          <w:szCs w:val="36"/>
          <w:rtl/>
        </w:rPr>
        <w:t>الفصل</w:t>
      </w:r>
      <w:r w:rsidR="00E8128F">
        <w:rPr>
          <w:sz w:val="36"/>
          <w:szCs w:val="36"/>
          <w:rtl/>
        </w:rPr>
        <w:t xml:space="preserve"> </w:t>
      </w:r>
      <w:r w:rsidR="00140E4C" w:rsidRPr="00FD211F">
        <w:rPr>
          <w:sz w:val="36"/>
          <w:szCs w:val="36"/>
          <w:rtl/>
        </w:rPr>
        <w:t>في</w:t>
      </w:r>
      <w:r w:rsidR="00E8128F">
        <w:rPr>
          <w:sz w:val="36"/>
          <w:szCs w:val="36"/>
          <w:rtl/>
        </w:rPr>
        <w:t xml:space="preserve"> </w:t>
      </w:r>
      <w:r w:rsidR="00140E4C" w:rsidRPr="00FD211F">
        <w:rPr>
          <w:sz w:val="36"/>
          <w:szCs w:val="36"/>
          <w:rtl/>
        </w:rPr>
        <w:t>مثل</w:t>
      </w:r>
      <w:r w:rsidR="00E8128F">
        <w:rPr>
          <w:sz w:val="36"/>
          <w:szCs w:val="36"/>
          <w:rtl/>
        </w:rPr>
        <w:t xml:space="preserve"> </w:t>
      </w:r>
      <w:r w:rsidR="00140E4C" w:rsidRPr="00FD211F">
        <w:rPr>
          <w:sz w:val="36"/>
          <w:szCs w:val="36"/>
          <w:rtl/>
        </w:rPr>
        <w:t>كلم</w:t>
      </w:r>
      <w:r w:rsidR="00EC7EDF" w:rsidRPr="00FD211F">
        <w:rPr>
          <w:sz w:val="36"/>
          <w:szCs w:val="36"/>
          <w:rtl/>
        </w:rPr>
        <w:t>ة</w:t>
      </w:r>
      <w:r w:rsidR="00E8128F">
        <w:rPr>
          <w:sz w:val="36"/>
          <w:szCs w:val="36"/>
          <w:rtl/>
        </w:rPr>
        <w:t xml:space="preserve"> </w:t>
      </w:r>
      <w:r w:rsidR="00140E4C" w:rsidRPr="00FD211F">
        <w:rPr>
          <w:sz w:val="36"/>
          <w:szCs w:val="36"/>
          <w:rtl/>
        </w:rPr>
        <w:t>الناطق</w:t>
      </w:r>
      <w:r w:rsidR="00603323" w:rsidRPr="00FD211F">
        <w:rPr>
          <w:sz w:val="36"/>
          <w:szCs w:val="36"/>
          <w:rtl/>
        </w:rPr>
        <w:t>،</w:t>
      </w:r>
      <w:r w:rsidR="00E8128F">
        <w:rPr>
          <w:sz w:val="36"/>
          <w:szCs w:val="36"/>
          <w:rtl/>
        </w:rPr>
        <w:t xml:space="preserve"> </w:t>
      </w:r>
      <w:r w:rsidR="00140E4C" w:rsidRPr="00FD211F">
        <w:rPr>
          <w:sz w:val="36"/>
          <w:szCs w:val="36"/>
          <w:rtl/>
        </w:rPr>
        <w:t>وان</w:t>
      </w:r>
      <w:r w:rsidR="00E8128F">
        <w:rPr>
          <w:sz w:val="36"/>
          <w:szCs w:val="36"/>
          <w:rtl/>
        </w:rPr>
        <w:t xml:space="preserve"> </w:t>
      </w:r>
      <w:r w:rsidR="00140E4C" w:rsidRPr="00FD211F">
        <w:rPr>
          <w:sz w:val="36"/>
          <w:szCs w:val="36"/>
          <w:rtl/>
        </w:rPr>
        <w:t>اريد</w:t>
      </w:r>
      <w:r w:rsidR="00E8128F">
        <w:rPr>
          <w:sz w:val="36"/>
          <w:szCs w:val="36"/>
          <w:rtl/>
        </w:rPr>
        <w:t xml:space="preserve"> </w:t>
      </w:r>
      <w:r w:rsidR="00140E4C" w:rsidRPr="00FD211F">
        <w:rPr>
          <w:sz w:val="36"/>
          <w:szCs w:val="36"/>
          <w:rtl/>
        </w:rPr>
        <w:t>اخذ</w:t>
      </w:r>
      <w:r w:rsidR="00E8128F">
        <w:rPr>
          <w:sz w:val="36"/>
          <w:szCs w:val="36"/>
          <w:rtl/>
        </w:rPr>
        <w:t xml:space="preserve"> </w:t>
      </w:r>
      <w:r w:rsidR="00140E4C" w:rsidRPr="00FD211F">
        <w:rPr>
          <w:sz w:val="36"/>
          <w:szCs w:val="36"/>
          <w:rtl/>
        </w:rPr>
        <w:t>مصداق</w:t>
      </w:r>
      <w:r w:rsidR="00E8128F">
        <w:rPr>
          <w:sz w:val="36"/>
          <w:szCs w:val="36"/>
          <w:rtl/>
        </w:rPr>
        <w:t xml:space="preserve"> </w:t>
      </w:r>
      <w:r w:rsidR="00140E4C" w:rsidRPr="00FD211F">
        <w:rPr>
          <w:sz w:val="36"/>
          <w:szCs w:val="36"/>
          <w:rtl/>
        </w:rPr>
        <w:t>ال</w:t>
      </w:r>
      <w:r w:rsidR="008D7B3D" w:rsidRPr="00FD211F">
        <w:rPr>
          <w:sz w:val="36"/>
          <w:szCs w:val="36"/>
          <w:rtl/>
        </w:rPr>
        <w:t>شيء</w:t>
      </w:r>
      <w:r w:rsidR="00E8128F">
        <w:rPr>
          <w:sz w:val="36"/>
          <w:szCs w:val="36"/>
          <w:rtl/>
        </w:rPr>
        <w:t xml:space="preserve"> </w:t>
      </w:r>
      <w:r w:rsidR="00140E4C" w:rsidRPr="00FD211F">
        <w:rPr>
          <w:sz w:val="36"/>
          <w:szCs w:val="36"/>
          <w:rtl/>
        </w:rPr>
        <w:t>في</w:t>
      </w:r>
      <w:r w:rsidR="00E8128F">
        <w:rPr>
          <w:sz w:val="36"/>
          <w:szCs w:val="36"/>
          <w:rtl/>
        </w:rPr>
        <w:t xml:space="preserve"> </w:t>
      </w:r>
      <w:r w:rsidR="00140E4C" w:rsidRPr="00FD211F">
        <w:rPr>
          <w:sz w:val="36"/>
          <w:szCs w:val="36"/>
          <w:rtl/>
        </w:rPr>
        <w:t>المشتق</w:t>
      </w:r>
      <w:r w:rsidR="00E8128F">
        <w:rPr>
          <w:sz w:val="36"/>
          <w:szCs w:val="36"/>
          <w:rtl/>
        </w:rPr>
        <w:t xml:space="preserve"> </w:t>
      </w:r>
      <w:r w:rsidR="00140E4C" w:rsidRPr="00FD211F">
        <w:rPr>
          <w:sz w:val="36"/>
          <w:szCs w:val="36"/>
          <w:rtl/>
        </w:rPr>
        <w:t>فيكون</w:t>
      </w:r>
      <w:r w:rsidR="00E8128F">
        <w:rPr>
          <w:sz w:val="36"/>
          <w:szCs w:val="36"/>
          <w:rtl/>
        </w:rPr>
        <w:t xml:space="preserve"> </w:t>
      </w:r>
      <w:r w:rsidR="00140E4C" w:rsidRPr="00FD211F">
        <w:rPr>
          <w:sz w:val="36"/>
          <w:szCs w:val="36"/>
          <w:rtl/>
        </w:rPr>
        <w:t>كلم</w:t>
      </w:r>
      <w:r w:rsidR="00EC7EDF" w:rsidRPr="00FD211F">
        <w:rPr>
          <w:sz w:val="36"/>
          <w:szCs w:val="36"/>
          <w:rtl/>
        </w:rPr>
        <w:t>ة</w:t>
      </w:r>
      <w:r w:rsidR="00E8128F">
        <w:rPr>
          <w:sz w:val="36"/>
          <w:szCs w:val="36"/>
          <w:rtl/>
        </w:rPr>
        <w:t xml:space="preserve"> </w:t>
      </w:r>
      <w:r w:rsidR="00140E4C" w:rsidRPr="00FD211F">
        <w:rPr>
          <w:sz w:val="36"/>
          <w:szCs w:val="36"/>
          <w:rtl/>
        </w:rPr>
        <w:t>الناطق</w:t>
      </w:r>
      <w:r w:rsidR="00E8128F">
        <w:rPr>
          <w:sz w:val="36"/>
          <w:szCs w:val="36"/>
          <w:rtl/>
        </w:rPr>
        <w:t xml:space="preserve"> </w:t>
      </w:r>
      <w:r w:rsidR="00140E4C" w:rsidRPr="00FD211F">
        <w:rPr>
          <w:sz w:val="36"/>
          <w:szCs w:val="36"/>
          <w:rtl/>
        </w:rPr>
        <w:t>او</w:t>
      </w:r>
      <w:r w:rsidR="00E8128F">
        <w:rPr>
          <w:sz w:val="36"/>
          <w:szCs w:val="36"/>
          <w:rtl/>
        </w:rPr>
        <w:t xml:space="preserve"> </w:t>
      </w:r>
      <w:r w:rsidR="00140E4C" w:rsidRPr="00FD211F">
        <w:rPr>
          <w:sz w:val="36"/>
          <w:szCs w:val="36"/>
          <w:rtl/>
        </w:rPr>
        <w:t>الضاحك</w:t>
      </w:r>
      <w:r w:rsidR="00E8128F">
        <w:rPr>
          <w:sz w:val="36"/>
          <w:szCs w:val="36"/>
          <w:rtl/>
        </w:rPr>
        <w:t xml:space="preserve"> </w:t>
      </w:r>
      <w:r w:rsidR="00140E4C" w:rsidRPr="00FD211F">
        <w:rPr>
          <w:sz w:val="36"/>
          <w:szCs w:val="36"/>
          <w:rtl/>
        </w:rPr>
        <w:t>بمعنى</w:t>
      </w:r>
      <w:r w:rsidR="00E8128F">
        <w:rPr>
          <w:sz w:val="36"/>
          <w:szCs w:val="36"/>
          <w:rtl/>
        </w:rPr>
        <w:t xml:space="preserve"> </w:t>
      </w:r>
      <w:r w:rsidR="00140E4C" w:rsidRPr="00FD211F">
        <w:rPr>
          <w:sz w:val="36"/>
          <w:szCs w:val="36"/>
          <w:rtl/>
        </w:rPr>
        <w:t>انسان</w:t>
      </w:r>
      <w:r w:rsidR="00E8128F">
        <w:rPr>
          <w:sz w:val="36"/>
          <w:szCs w:val="36"/>
          <w:rtl/>
        </w:rPr>
        <w:t xml:space="preserve"> </w:t>
      </w:r>
      <w:r w:rsidR="00140E4C" w:rsidRPr="00FD211F">
        <w:rPr>
          <w:sz w:val="36"/>
          <w:szCs w:val="36"/>
          <w:rtl/>
        </w:rPr>
        <w:t>له</w:t>
      </w:r>
      <w:r w:rsidR="00E8128F">
        <w:rPr>
          <w:sz w:val="36"/>
          <w:szCs w:val="36"/>
          <w:rtl/>
        </w:rPr>
        <w:t xml:space="preserve"> </w:t>
      </w:r>
      <w:r w:rsidR="00140E4C" w:rsidRPr="00FD211F">
        <w:rPr>
          <w:sz w:val="36"/>
          <w:szCs w:val="36"/>
          <w:rtl/>
        </w:rPr>
        <w:t>النطق</w:t>
      </w:r>
      <w:r w:rsidR="00E8128F">
        <w:rPr>
          <w:sz w:val="36"/>
          <w:szCs w:val="36"/>
          <w:rtl/>
        </w:rPr>
        <w:t xml:space="preserve"> </w:t>
      </w:r>
      <w:r w:rsidR="00140E4C" w:rsidRPr="00FD211F">
        <w:rPr>
          <w:sz w:val="36"/>
          <w:szCs w:val="36"/>
          <w:rtl/>
        </w:rPr>
        <w:t>او</w:t>
      </w:r>
      <w:r w:rsidR="00E8128F">
        <w:rPr>
          <w:sz w:val="36"/>
          <w:szCs w:val="36"/>
          <w:rtl/>
        </w:rPr>
        <w:t xml:space="preserve"> </w:t>
      </w:r>
      <w:r w:rsidR="00140E4C" w:rsidRPr="00FD211F">
        <w:rPr>
          <w:sz w:val="36"/>
          <w:szCs w:val="36"/>
          <w:rtl/>
        </w:rPr>
        <w:t>الضحك</w:t>
      </w:r>
      <w:r w:rsidR="00E8128F">
        <w:rPr>
          <w:sz w:val="36"/>
          <w:szCs w:val="36"/>
          <w:rtl/>
        </w:rPr>
        <w:t xml:space="preserve"> </w:t>
      </w:r>
      <w:r w:rsidR="00140E4C" w:rsidRPr="00FD211F">
        <w:rPr>
          <w:sz w:val="36"/>
          <w:szCs w:val="36"/>
          <w:rtl/>
        </w:rPr>
        <w:t>لزم</w:t>
      </w:r>
      <w:r w:rsidR="00E8128F">
        <w:rPr>
          <w:sz w:val="36"/>
          <w:szCs w:val="36"/>
          <w:rtl/>
        </w:rPr>
        <w:t xml:space="preserve"> </w:t>
      </w:r>
      <w:r w:rsidR="00140E4C" w:rsidRPr="00FD211F">
        <w:rPr>
          <w:sz w:val="36"/>
          <w:szCs w:val="36"/>
          <w:rtl/>
        </w:rPr>
        <w:t>انقلاب</w:t>
      </w:r>
      <w:r w:rsidR="00E8128F">
        <w:rPr>
          <w:sz w:val="36"/>
          <w:szCs w:val="36"/>
          <w:rtl/>
        </w:rPr>
        <w:t xml:space="preserve"> </w:t>
      </w:r>
      <w:r w:rsidR="00140E4C" w:rsidRPr="00FD211F">
        <w:rPr>
          <w:sz w:val="36"/>
          <w:szCs w:val="36"/>
          <w:rtl/>
        </w:rPr>
        <w:t>قولنا</w:t>
      </w:r>
      <w:r w:rsidR="00CE68A8" w:rsidRPr="00FD211F">
        <w:rPr>
          <w:sz w:val="36"/>
          <w:szCs w:val="36"/>
          <w:rtl/>
        </w:rPr>
        <w:t>"</w:t>
      </w:r>
      <w:r w:rsidR="00E8128F">
        <w:rPr>
          <w:sz w:val="36"/>
          <w:szCs w:val="36"/>
          <w:rtl/>
        </w:rPr>
        <w:t xml:space="preserve"> </w:t>
      </w:r>
      <w:r w:rsidR="00140E4C" w:rsidRPr="00FD211F">
        <w:rPr>
          <w:sz w:val="36"/>
          <w:szCs w:val="36"/>
          <w:rtl/>
        </w:rPr>
        <w:t>الانسان</w:t>
      </w:r>
      <w:r w:rsidR="00E8128F">
        <w:rPr>
          <w:sz w:val="36"/>
          <w:szCs w:val="36"/>
          <w:rtl/>
        </w:rPr>
        <w:t xml:space="preserve"> </w:t>
      </w:r>
      <w:r w:rsidR="00140E4C" w:rsidRPr="00FD211F">
        <w:rPr>
          <w:sz w:val="36"/>
          <w:szCs w:val="36"/>
          <w:rtl/>
        </w:rPr>
        <w:t>ضاحك</w:t>
      </w:r>
      <w:r w:rsidR="00E8128F">
        <w:rPr>
          <w:sz w:val="36"/>
          <w:szCs w:val="36"/>
          <w:rtl/>
        </w:rPr>
        <w:t xml:space="preserve"> </w:t>
      </w:r>
      <w:r w:rsidR="00CE68A8" w:rsidRPr="00FD211F">
        <w:rPr>
          <w:sz w:val="36"/>
          <w:szCs w:val="36"/>
          <w:rtl/>
        </w:rPr>
        <w:t>"</w:t>
      </w:r>
      <w:r w:rsidR="00140E4C" w:rsidRPr="00FD211F">
        <w:rPr>
          <w:sz w:val="36"/>
          <w:szCs w:val="36"/>
          <w:rtl/>
        </w:rPr>
        <w:t>الى</w:t>
      </w:r>
      <w:r w:rsidR="00E8128F">
        <w:rPr>
          <w:sz w:val="36"/>
          <w:szCs w:val="36"/>
          <w:rtl/>
        </w:rPr>
        <w:t xml:space="preserve"> </w:t>
      </w:r>
      <w:r w:rsidR="00140E4C" w:rsidRPr="00FD211F">
        <w:rPr>
          <w:sz w:val="36"/>
          <w:szCs w:val="36"/>
          <w:rtl/>
        </w:rPr>
        <w:t>قضي</w:t>
      </w:r>
      <w:r w:rsidR="00EC7EDF" w:rsidRPr="00FD211F">
        <w:rPr>
          <w:sz w:val="36"/>
          <w:szCs w:val="36"/>
          <w:rtl/>
        </w:rPr>
        <w:t>ة</w:t>
      </w:r>
      <w:r w:rsidR="00E8128F">
        <w:rPr>
          <w:sz w:val="36"/>
          <w:szCs w:val="36"/>
          <w:rtl/>
        </w:rPr>
        <w:t xml:space="preserve"> </w:t>
      </w:r>
      <w:r w:rsidR="00140E4C" w:rsidRPr="00FD211F">
        <w:rPr>
          <w:sz w:val="36"/>
          <w:szCs w:val="36"/>
          <w:rtl/>
        </w:rPr>
        <w:t>ضروري</w:t>
      </w:r>
      <w:r w:rsidR="00EC7EDF" w:rsidRPr="00FD211F">
        <w:rPr>
          <w:sz w:val="36"/>
          <w:szCs w:val="36"/>
          <w:rtl/>
        </w:rPr>
        <w:t>ة</w:t>
      </w:r>
      <w:r w:rsidR="00603323" w:rsidRPr="00FD211F">
        <w:rPr>
          <w:sz w:val="36"/>
          <w:szCs w:val="36"/>
          <w:rtl/>
        </w:rPr>
        <w:t>،</w:t>
      </w:r>
      <w:r w:rsidR="00E8128F">
        <w:rPr>
          <w:sz w:val="36"/>
          <w:szCs w:val="36"/>
          <w:rtl/>
        </w:rPr>
        <w:t xml:space="preserve"> </w:t>
      </w:r>
      <w:r w:rsidR="00140E4C" w:rsidRPr="00FD211F">
        <w:rPr>
          <w:sz w:val="36"/>
          <w:szCs w:val="36"/>
          <w:rtl/>
        </w:rPr>
        <w:t>لان</w:t>
      </w:r>
      <w:r w:rsidR="00E8128F">
        <w:rPr>
          <w:sz w:val="36"/>
          <w:szCs w:val="36"/>
          <w:rtl/>
        </w:rPr>
        <w:t xml:space="preserve"> </w:t>
      </w:r>
      <w:r w:rsidR="00140E4C" w:rsidRPr="00FD211F">
        <w:rPr>
          <w:sz w:val="36"/>
          <w:szCs w:val="36"/>
          <w:rtl/>
        </w:rPr>
        <w:t>مفاده</w:t>
      </w:r>
      <w:r w:rsidR="008F541D" w:rsidRPr="00FD211F">
        <w:rPr>
          <w:sz w:val="36"/>
          <w:szCs w:val="36"/>
          <w:rtl/>
        </w:rPr>
        <w:t>"</w:t>
      </w:r>
      <w:r w:rsidR="00E8128F">
        <w:rPr>
          <w:sz w:val="36"/>
          <w:szCs w:val="36"/>
          <w:rtl/>
        </w:rPr>
        <w:t xml:space="preserve"> </w:t>
      </w:r>
      <w:r w:rsidR="00140E4C" w:rsidRPr="00FD211F">
        <w:rPr>
          <w:sz w:val="36"/>
          <w:szCs w:val="36"/>
          <w:rtl/>
        </w:rPr>
        <w:t>ان</w:t>
      </w:r>
      <w:r w:rsidR="00E8128F">
        <w:rPr>
          <w:sz w:val="36"/>
          <w:szCs w:val="36"/>
          <w:rtl/>
        </w:rPr>
        <w:t xml:space="preserve"> </w:t>
      </w:r>
      <w:r w:rsidR="00140E4C" w:rsidRPr="00FD211F">
        <w:rPr>
          <w:sz w:val="36"/>
          <w:szCs w:val="36"/>
          <w:rtl/>
        </w:rPr>
        <w:t>الانسان</w:t>
      </w:r>
      <w:r w:rsidR="00E8128F">
        <w:rPr>
          <w:sz w:val="36"/>
          <w:szCs w:val="36"/>
          <w:rtl/>
        </w:rPr>
        <w:t xml:space="preserve"> </w:t>
      </w:r>
      <w:r w:rsidR="00140E4C" w:rsidRPr="00FD211F">
        <w:rPr>
          <w:sz w:val="36"/>
          <w:szCs w:val="36"/>
          <w:rtl/>
        </w:rPr>
        <w:t>انسان</w:t>
      </w:r>
      <w:r w:rsidR="00E8128F">
        <w:rPr>
          <w:sz w:val="36"/>
          <w:szCs w:val="36"/>
          <w:rtl/>
        </w:rPr>
        <w:t xml:space="preserve"> </w:t>
      </w:r>
      <w:r w:rsidR="00140E4C" w:rsidRPr="00FD211F">
        <w:rPr>
          <w:sz w:val="36"/>
          <w:szCs w:val="36"/>
          <w:rtl/>
        </w:rPr>
        <w:t>له</w:t>
      </w:r>
      <w:r w:rsidR="00E8128F">
        <w:rPr>
          <w:sz w:val="36"/>
          <w:szCs w:val="36"/>
          <w:rtl/>
        </w:rPr>
        <w:t xml:space="preserve"> </w:t>
      </w:r>
      <w:r w:rsidR="00140E4C" w:rsidRPr="00FD211F">
        <w:rPr>
          <w:sz w:val="36"/>
          <w:szCs w:val="36"/>
          <w:rtl/>
        </w:rPr>
        <w:t>الضحك</w:t>
      </w:r>
      <w:r w:rsidR="008F541D" w:rsidRPr="00FD211F">
        <w:rPr>
          <w:sz w:val="36"/>
          <w:szCs w:val="36"/>
          <w:rtl/>
        </w:rPr>
        <w:t>"</w:t>
      </w:r>
      <w:r w:rsidR="00603323" w:rsidRPr="00FD211F">
        <w:rPr>
          <w:sz w:val="36"/>
          <w:szCs w:val="36"/>
          <w:rtl/>
        </w:rPr>
        <w:t>،</w:t>
      </w:r>
      <w:r w:rsidR="00E8128F">
        <w:rPr>
          <w:sz w:val="36"/>
          <w:szCs w:val="36"/>
          <w:rtl/>
        </w:rPr>
        <w:t xml:space="preserve"> </w:t>
      </w:r>
      <w:r w:rsidR="00140E4C" w:rsidRPr="00FD211F">
        <w:rPr>
          <w:sz w:val="36"/>
          <w:szCs w:val="36"/>
          <w:rtl/>
        </w:rPr>
        <w:t>وثبوت</w:t>
      </w:r>
      <w:r w:rsidR="00E8128F">
        <w:rPr>
          <w:sz w:val="36"/>
          <w:szCs w:val="36"/>
          <w:rtl/>
        </w:rPr>
        <w:t xml:space="preserve"> </w:t>
      </w:r>
      <w:r w:rsidR="00140E4C" w:rsidRPr="00FD211F">
        <w:rPr>
          <w:sz w:val="36"/>
          <w:szCs w:val="36"/>
          <w:rtl/>
        </w:rPr>
        <w:t>الانساني</w:t>
      </w:r>
      <w:r w:rsidR="00EC7EDF" w:rsidRPr="00FD211F">
        <w:rPr>
          <w:sz w:val="36"/>
          <w:szCs w:val="36"/>
          <w:rtl/>
        </w:rPr>
        <w:t>ة</w:t>
      </w:r>
      <w:r w:rsidR="00E8128F">
        <w:rPr>
          <w:sz w:val="36"/>
          <w:szCs w:val="36"/>
          <w:rtl/>
        </w:rPr>
        <w:t xml:space="preserve"> </w:t>
      </w:r>
      <w:r w:rsidR="00140E4C" w:rsidRPr="00FD211F">
        <w:rPr>
          <w:sz w:val="36"/>
          <w:szCs w:val="36"/>
          <w:rtl/>
        </w:rPr>
        <w:t>للانسان</w:t>
      </w:r>
      <w:r w:rsidR="00E8128F">
        <w:rPr>
          <w:sz w:val="36"/>
          <w:szCs w:val="36"/>
          <w:rtl/>
        </w:rPr>
        <w:t xml:space="preserve"> </w:t>
      </w:r>
      <w:r w:rsidR="00140E4C" w:rsidRPr="00FD211F">
        <w:rPr>
          <w:sz w:val="36"/>
          <w:szCs w:val="36"/>
          <w:rtl/>
        </w:rPr>
        <w:t>ضروري</w:t>
      </w:r>
      <w:r w:rsidR="00603323" w:rsidRPr="00FD211F">
        <w:rPr>
          <w:sz w:val="36"/>
          <w:szCs w:val="36"/>
          <w:rtl/>
        </w:rPr>
        <w:t>،</w:t>
      </w:r>
      <w:r w:rsidR="00E8128F">
        <w:rPr>
          <w:sz w:val="36"/>
          <w:szCs w:val="36"/>
          <w:rtl/>
        </w:rPr>
        <w:t xml:space="preserve"> </w:t>
      </w:r>
      <w:r w:rsidR="00140E4C" w:rsidRPr="00FD211F">
        <w:rPr>
          <w:sz w:val="36"/>
          <w:szCs w:val="36"/>
          <w:rtl/>
        </w:rPr>
        <w:t>مع</w:t>
      </w:r>
      <w:r w:rsidR="00E8128F">
        <w:rPr>
          <w:sz w:val="36"/>
          <w:szCs w:val="36"/>
          <w:rtl/>
        </w:rPr>
        <w:t xml:space="preserve"> </w:t>
      </w:r>
      <w:r w:rsidR="00140E4C" w:rsidRPr="00FD211F">
        <w:rPr>
          <w:sz w:val="36"/>
          <w:szCs w:val="36"/>
          <w:rtl/>
        </w:rPr>
        <w:t>ان</w:t>
      </w:r>
      <w:r w:rsidR="00E8128F">
        <w:rPr>
          <w:sz w:val="36"/>
          <w:szCs w:val="36"/>
          <w:rtl/>
        </w:rPr>
        <w:t xml:space="preserve"> </w:t>
      </w:r>
      <w:r w:rsidR="00140E4C" w:rsidRPr="00FD211F">
        <w:rPr>
          <w:sz w:val="36"/>
          <w:szCs w:val="36"/>
          <w:rtl/>
        </w:rPr>
        <w:t>قولنا</w:t>
      </w:r>
      <w:r w:rsidR="00E8128F">
        <w:rPr>
          <w:sz w:val="36"/>
          <w:szCs w:val="36"/>
          <w:rtl/>
        </w:rPr>
        <w:t xml:space="preserve"> </w:t>
      </w:r>
      <w:r w:rsidR="008F541D" w:rsidRPr="00FD211F">
        <w:rPr>
          <w:sz w:val="36"/>
          <w:szCs w:val="36"/>
          <w:rtl/>
        </w:rPr>
        <w:t>"</w:t>
      </w:r>
      <w:r w:rsidR="00140E4C" w:rsidRPr="00FD211F">
        <w:rPr>
          <w:sz w:val="36"/>
          <w:szCs w:val="36"/>
          <w:rtl/>
        </w:rPr>
        <w:t>الانسان</w:t>
      </w:r>
      <w:r w:rsidR="00E8128F">
        <w:rPr>
          <w:sz w:val="36"/>
          <w:szCs w:val="36"/>
          <w:rtl/>
        </w:rPr>
        <w:t xml:space="preserve"> </w:t>
      </w:r>
      <w:r w:rsidR="00140E4C" w:rsidRPr="00FD211F">
        <w:rPr>
          <w:sz w:val="36"/>
          <w:szCs w:val="36"/>
          <w:rtl/>
        </w:rPr>
        <w:t>ضاحك</w:t>
      </w:r>
      <w:r w:rsidR="008F541D" w:rsidRPr="00FD211F">
        <w:rPr>
          <w:sz w:val="36"/>
          <w:szCs w:val="36"/>
          <w:rtl/>
        </w:rPr>
        <w:t>"</w:t>
      </w:r>
      <w:r w:rsidR="00E8128F">
        <w:rPr>
          <w:sz w:val="36"/>
          <w:szCs w:val="36"/>
          <w:rtl/>
        </w:rPr>
        <w:t xml:space="preserve"> </w:t>
      </w:r>
      <w:r w:rsidR="00140E4C" w:rsidRPr="00FD211F">
        <w:rPr>
          <w:sz w:val="36"/>
          <w:szCs w:val="36"/>
          <w:rtl/>
        </w:rPr>
        <w:t>قضي</w:t>
      </w:r>
      <w:r w:rsidR="00EC7EDF" w:rsidRPr="00FD211F">
        <w:rPr>
          <w:sz w:val="36"/>
          <w:szCs w:val="36"/>
          <w:rtl/>
        </w:rPr>
        <w:t>ة</w:t>
      </w:r>
      <w:r w:rsidR="00E8128F">
        <w:rPr>
          <w:sz w:val="36"/>
          <w:szCs w:val="36"/>
          <w:rtl/>
        </w:rPr>
        <w:t xml:space="preserve"> </w:t>
      </w:r>
      <w:r w:rsidR="00140E4C" w:rsidRPr="00FD211F">
        <w:rPr>
          <w:sz w:val="36"/>
          <w:szCs w:val="36"/>
          <w:rtl/>
        </w:rPr>
        <w:t>ممكن</w:t>
      </w:r>
      <w:r w:rsidR="00EC7EDF" w:rsidRPr="00FD211F">
        <w:rPr>
          <w:sz w:val="36"/>
          <w:szCs w:val="36"/>
          <w:rtl/>
        </w:rPr>
        <w:t>ة</w:t>
      </w:r>
      <w:r w:rsidR="00E8128F">
        <w:rPr>
          <w:sz w:val="36"/>
          <w:szCs w:val="36"/>
          <w:rtl/>
        </w:rPr>
        <w:t xml:space="preserve"> </w:t>
      </w:r>
      <w:r w:rsidR="00140E4C" w:rsidRPr="00FD211F">
        <w:rPr>
          <w:sz w:val="36"/>
          <w:szCs w:val="36"/>
          <w:rtl/>
        </w:rPr>
        <w:t>خاص</w:t>
      </w:r>
      <w:r w:rsidR="00EC7EDF" w:rsidRPr="00FD211F">
        <w:rPr>
          <w:sz w:val="36"/>
          <w:szCs w:val="36"/>
          <w:rtl/>
        </w:rPr>
        <w:t>ة</w:t>
      </w:r>
      <w:r w:rsidR="00A61BAE" w:rsidRPr="00FD211F">
        <w:rPr>
          <w:sz w:val="36"/>
          <w:szCs w:val="36"/>
          <w:rtl/>
        </w:rPr>
        <w:t>.</w:t>
      </w:r>
    </w:p>
    <w:p w14:paraId="2CF44D2B" w14:textId="77777777" w:rsidR="00C75523" w:rsidRPr="00FD211F" w:rsidRDefault="00C75523" w:rsidP="009C58C8">
      <w:pPr>
        <w:ind w:left="0" w:firstLine="227"/>
        <w:jc w:val="both"/>
        <w:rPr>
          <w:sz w:val="36"/>
          <w:szCs w:val="36"/>
          <w:rtl/>
        </w:rPr>
      </w:pPr>
      <w:r w:rsidRPr="00FD211F">
        <w:rPr>
          <w:sz w:val="36"/>
          <w:szCs w:val="36"/>
          <w:rtl/>
        </w:rPr>
        <w:t>والبحث</w:t>
      </w:r>
      <w:r w:rsidR="00E8128F">
        <w:rPr>
          <w:sz w:val="36"/>
          <w:szCs w:val="36"/>
          <w:rtl/>
        </w:rPr>
        <w:t xml:space="preserve"> </w:t>
      </w:r>
      <w:r w:rsidRPr="00FD211F">
        <w:rPr>
          <w:sz w:val="36"/>
          <w:szCs w:val="36"/>
          <w:rtl/>
        </w:rPr>
        <w:t>فعلا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الشق</w:t>
      </w:r>
      <w:r w:rsidR="00E8128F">
        <w:rPr>
          <w:sz w:val="36"/>
          <w:szCs w:val="36"/>
          <w:rtl/>
        </w:rPr>
        <w:t xml:space="preserve"> </w:t>
      </w:r>
      <w:r w:rsidRPr="00FD211F">
        <w:rPr>
          <w:sz w:val="36"/>
          <w:szCs w:val="36"/>
          <w:rtl/>
        </w:rPr>
        <w:t>الاول</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كلامه</w:t>
      </w:r>
      <w:r w:rsidR="00E8128F">
        <w:rPr>
          <w:sz w:val="36"/>
          <w:szCs w:val="36"/>
          <w:rtl/>
        </w:rPr>
        <w:t xml:space="preserve"> </w:t>
      </w:r>
      <w:r w:rsidR="007E5FBE" w:rsidRPr="00FD211F">
        <w:rPr>
          <w:sz w:val="36"/>
          <w:szCs w:val="36"/>
          <w:rtl/>
        </w:rPr>
        <w:t>وهو</w:t>
      </w:r>
      <w:r w:rsidR="00E8128F">
        <w:rPr>
          <w:sz w:val="36"/>
          <w:szCs w:val="36"/>
          <w:rtl/>
        </w:rPr>
        <w:t xml:space="preserve"> </w:t>
      </w:r>
      <w:r w:rsidR="007E5FBE" w:rsidRPr="00FD211F">
        <w:rPr>
          <w:sz w:val="36"/>
          <w:szCs w:val="36"/>
          <w:rtl/>
        </w:rPr>
        <w:t>ان</w:t>
      </w:r>
      <w:r w:rsidR="00E8128F">
        <w:rPr>
          <w:sz w:val="36"/>
          <w:szCs w:val="36"/>
          <w:rtl/>
        </w:rPr>
        <w:t xml:space="preserve"> </w:t>
      </w:r>
      <w:r w:rsidR="007E5FBE" w:rsidRPr="00FD211F">
        <w:rPr>
          <w:sz w:val="36"/>
          <w:szCs w:val="36"/>
          <w:rtl/>
        </w:rPr>
        <w:t>اخذ</w:t>
      </w:r>
      <w:r w:rsidR="00E8128F">
        <w:rPr>
          <w:sz w:val="36"/>
          <w:szCs w:val="36"/>
          <w:rtl/>
        </w:rPr>
        <w:t xml:space="preserve"> </w:t>
      </w:r>
      <w:r w:rsidR="007E5FBE" w:rsidRPr="00FD211F">
        <w:rPr>
          <w:sz w:val="36"/>
          <w:szCs w:val="36"/>
          <w:rtl/>
        </w:rPr>
        <w:t>مفهوم</w:t>
      </w:r>
      <w:r w:rsidR="00E8128F">
        <w:rPr>
          <w:sz w:val="36"/>
          <w:szCs w:val="36"/>
          <w:rtl/>
        </w:rPr>
        <w:t xml:space="preserve"> </w:t>
      </w:r>
      <w:r w:rsidR="00D31B40" w:rsidRPr="00FD211F">
        <w:rPr>
          <w:sz w:val="36"/>
          <w:szCs w:val="36"/>
          <w:rtl/>
        </w:rPr>
        <w:t>ال</w:t>
      </w:r>
      <w:r w:rsidR="008D7B3D" w:rsidRPr="00FD211F">
        <w:rPr>
          <w:sz w:val="36"/>
          <w:szCs w:val="36"/>
          <w:rtl/>
        </w:rPr>
        <w:t>شيء</w:t>
      </w:r>
      <w:r w:rsidR="00E8128F">
        <w:rPr>
          <w:sz w:val="36"/>
          <w:szCs w:val="36"/>
          <w:rtl/>
        </w:rPr>
        <w:t xml:space="preserve"> </w:t>
      </w:r>
      <w:r w:rsidR="00D31B40" w:rsidRPr="00FD211F">
        <w:rPr>
          <w:sz w:val="36"/>
          <w:szCs w:val="36"/>
          <w:rtl/>
        </w:rPr>
        <w:t>في</w:t>
      </w:r>
      <w:r w:rsidR="00E8128F">
        <w:rPr>
          <w:sz w:val="36"/>
          <w:szCs w:val="36"/>
          <w:rtl/>
        </w:rPr>
        <w:t xml:space="preserve"> </w:t>
      </w:r>
      <w:r w:rsidR="00C75CEF" w:rsidRPr="00FD211F">
        <w:rPr>
          <w:sz w:val="36"/>
          <w:szCs w:val="36"/>
          <w:rtl/>
        </w:rPr>
        <w:t>المشتق</w:t>
      </w:r>
      <w:r w:rsidR="00E8128F">
        <w:rPr>
          <w:sz w:val="36"/>
          <w:szCs w:val="36"/>
          <w:rtl/>
        </w:rPr>
        <w:t xml:space="preserve"> </w:t>
      </w:r>
      <w:r w:rsidR="00D31B40" w:rsidRPr="00FD211F">
        <w:rPr>
          <w:sz w:val="36"/>
          <w:szCs w:val="36"/>
          <w:rtl/>
        </w:rPr>
        <w:t>يوجب</w:t>
      </w:r>
      <w:r w:rsidR="00E8128F">
        <w:rPr>
          <w:sz w:val="36"/>
          <w:szCs w:val="36"/>
          <w:rtl/>
        </w:rPr>
        <w:t xml:space="preserve"> </w:t>
      </w:r>
      <w:r w:rsidR="00D31B40" w:rsidRPr="00FD211F">
        <w:rPr>
          <w:sz w:val="36"/>
          <w:szCs w:val="36"/>
          <w:rtl/>
        </w:rPr>
        <w:t>دخول</w:t>
      </w:r>
      <w:r w:rsidR="00E8128F">
        <w:rPr>
          <w:sz w:val="36"/>
          <w:szCs w:val="36"/>
          <w:rtl/>
        </w:rPr>
        <w:t xml:space="preserve"> </w:t>
      </w:r>
      <w:r w:rsidR="00D31B40" w:rsidRPr="00FD211F">
        <w:rPr>
          <w:sz w:val="36"/>
          <w:szCs w:val="36"/>
          <w:rtl/>
        </w:rPr>
        <w:t>العرض</w:t>
      </w:r>
      <w:r w:rsidR="00E8128F">
        <w:rPr>
          <w:sz w:val="36"/>
          <w:szCs w:val="36"/>
          <w:rtl/>
        </w:rPr>
        <w:t xml:space="preserve"> </w:t>
      </w:r>
      <w:r w:rsidR="00D31B40" w:rsidRPr="00FD211F">
        <w:rPr>
          <w:sz w:val="36"/>
          <w:szCs w:val="36"/>
          <w:rtl/>
        </w:rPr>
        <w:t>العام</w:t>
      </w:r>
      <w:r w:rsidR="00E8128F">
        <w:rPr>
          <w:sz w:val="36"/>
          <w:szCs w:val="36"/>
          <w:rtl/>
        </w:rPr>
        <w:t xml:space="preserve"> </w:t>
      </w:r>
      <w:r w:rsidR="00D31B40" w:rsidRPr="00FD211F">
        <w:rPr>
          <w:sz w:val="36"/>
          <w:szCs w:val="36"/>
          <w:rtl/>
        </w:rPr>
        <w:t>في</w:t>
      </w:r>
      <w:r w:rsidR="00E8128F">
        <w:rPr>
          <w:sz w:val="36"/>
          <w:szCs w:val="36"/>
          <w:rtl/>
        </w:rPr>
        <w:t xml:space="preserve"> </w:t>
      </w:r>
      <w:r w:rsidR="00D31B40" w:rsidRPr="00FD211F">
        <w:rPr>
          <w:sz w:val="36"/>
          <w:szCs w:val="36"/>
          <w:rtl/>
        </w:rPr>
        <w:t>الفصل</w:t>
      </w:r>
      <w:r w:rsidR="00E8128F">
        <w:rPr>
          <w:sz w:val="36"/>
          <w:szCs w:val="36"/>
          <w:rtl/>
        </w:rPr>
        <w:t xml:space="preserve"> </w:t>
      </w:r>
      <w:r w:rsidR="00C75CEF" w:rsidRPr="00FD211F">
        <w:rPr>
          <w:sz w:val="36"/>
          <w:szCs w:val="36"/>
          <w:rtl/>
        </w:rPr>
        <w:t>كالناطق</w:t>
      </w:r>
      <w:r w:rsidR="00E8128F">
        <w:rPr>
          <w:sz w:val="36"/>
          <w:szCs w:val="36"/>
          <w:rtl/>
        </w:rPr>
        <w:t xml:space="preserve"> </w:t>
      </w:r>
      <w:r w:rsidRPr="00FD211F">
        <w:rPr>
          <w:sz w:val="36"/>
          <w:szCs w:val="36"/>
          <w:rtl/>
        </w:rPr>
        <w:t>فقد</w:t>
      </w:r>
      <w:r w:rsidR="00E8128F">
        <w:rPr>
          <w:sz w:val="36"/>
          <w:szCs w:val="36"/>
          <w:rtl/>
        </w:rPr>
        <w:t xml:space="preserve"> </w:t>
      </w:r>
      <w:r w:rsidRPr="00FD211F">
        <w:rPr>
          <w:sz w:val="36"/>
          <w:szCs w:val="36"/>
          <w:rtl/>
        </w:rPr>
        <w:t>اجيب</w:t>
      </w:r>
      <w:r w:rsidR="00E8128F">
        <w:rPr>
          <w:sz w:val="36"/>
          <w:szCs w:val="36"/>
          <w:rtl/>
        </w:rPr>
        <w:t xml:space="preserve"> </w:t>
      </w:r>
      <w:r w:rsidR="00C75CEF" w:rsidRPr="00FD211F">
        <w:rPr>
          <w:sz w:val="36"/>
          <w:szCs w:val="36"/>
          <w:rtl/>
        </w:rPr>
        <w:t>عنه</w:t>
      </w:r>
      <w:r w:rsidR="00E8128F">
        <w:rPr>
          <w:sz w:val="36"/>
          <w:szCs w:val="36"/>
          <w:rtl/>
        </w:rPr>
        <w:t xml:space="preserve"> </w:t>
      </w:r>
      <w:r w:rsidRPr="00FD211F">
        <w:rPr>
          <w:sz w:val="36"/>
          <w:szCs w:val="36"/>
          <w:rtl/>
        </w:rPr>
        <w:t>بعد</w:t>
      </w:r>
      <w:r w:rsidR="00EC7EDF" w:rsidRPr="00FD211F">
        <w:rPr>
          <w:sz w:val="36"/>
          <w:szCs w:val="36"/>
          <w:rtl/>
        </w:rPr>
        <w:t>ة</w:t>
      </w:r>
      <w:r w:rsidR="00E8128F">
        <w:rPr>
          <w:sz w:val="36"/>
          <w:szCs w:val="36"/>
          <w:rtl/>
        </w:rPr>
        <w:t xml:space="preserve"> </w:t>
      </w:r>
      <w:r w:rsidRPr="00FD211F">
        <w:rPr>
          <w:sz w:val="36"/>
          <w:szCs w:val="36"/>
          <w:rtl/>
        </w:rPr>
        <w:t>اجوب</w:t>
      </w:r>
      <w:r w:rsidR="00EC7EDF" w:rsidRPr="00FD211F">
        <w:rPr>
          <w:sz w:val="36"/>
          <w:szCs w:val="36"/>
          <w:rtl/>
        </w:rPr>
        <w:t>ة</w:t>
      </w:r>
      <w:r w:rsidR="00057D31" w:rsidRPr="00FD211F">
        <w:rPr>
          <w:sz w:val="36"/>
          <w:szCs w:val="36"/>
          <w:rtl/>
        </w:rPr>
        <w:t>:</w:t>
      </w:r>
    </w:p>
    <w:p w14:paraId="33412DE8" w14:textId="77777777" w:rsidR="00C75CEF" w:rsidRPr="00FD211F" w:rsidRDefault="00C75523" w:rsidP="009C58C8">
      <w:pPr>
        <w:ind w:left="0" w:firstLine="227"/>
        <w:jc w:val="both"/>
        <w:rPr>
          <w:sz w:val="36"/>
          <w:szCs w:val="36"/>
          <w:rtl/>
        </w:rPr>
      </w:pPr>
      <w:r w:rsidRPr="00FD211F">
        <w:rPr>
          <w:sz w:val="36"/>
          <w:szCs w:val="36"/>
          <w:rtl/>
        </w:rPr>
        <w:t>ا-</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الفصول</w:t>
      </w:r>
      <w:r w:rsidR="00E8128F">
        <w:rPr>
          <w:sz w:val="36"/>
          <w:szCs w:val="36"/>
          <w:rtl/>
        </w:rPr>
        <w:t xml:space="preserve"> </w:t>
      </w:r>
      <w:r w:rsidR="00C75CEF"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الناطق</w:t>
      </w:r>
      <w:r w:rsidR="00E8128F">
        <w:rPr>
          <w:sz w:val="36"/>
          <w:szCs w:val="36"/>
          <w:rtl/>
        </w:rPr>
        <w:t xml:space="preserve"> </w:t>
      </w:r>
      <w:r w:rsidRPr="00FD211F">
        <w:rPr>
          <w:sz w:val="36"/>
          <w:szCs w:val="36"/>
          <w:rtl/>
        </w:rPr>
        <w:t>فصلا</w:t>
      </w:r>
      <w:r w:rsidR="00E8128F">
        <w:rPr>
          <w:sz w:val="36"/>
          <w:szCs w:val="36"/>
          <w:rtl/>
        </w:rPr>
        <w:t xml:space="preserve"> </w:t>
      </w:r>
      <w:r w:rsidRPr="00FD211F">
        <w:rPr>
          <w:sz w:val="36"/>
          <w:szCs w:val="36"/>
          <w:rtl/>
        </w:rPr>
        <w:t>مبني</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عرف</w:t>
      </w:r>
      <w:r w:rsidR="00E8128F">
        <w:rPr>
          <w:sz w:val="36"/>
          <w:szCs w:val="36"/>
          <w:rtl/>
        </w:rPr>
        <w:t xml:space="preserve"> </w:t>
      </w:r>
      <w:r w:rsidRPr="00FD211F">
        <w:rPr>
          <w:sz w:val="36"/>
          <w:szCs w:val="36"/>
          <w:rtl/>
        </w:rPr>
        <w:t>المنطقيين</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اعتبروه</w:t>
      </w:r>
      <w:r w:rsidR="00E8128F">
        <w:rPr>
          <w:sz w:val="36"/>
          <w:szCs w:val="36"/>
          <w:rtl/>
        </w:rPr>
        <w:t xml:space="preserve"> </w:t>
      </w:r>
      <w:r w:rsidR="00C75CEF" w:rsidRPr="00FD211F">
        <w:rPr>
          <w:sz w:val="36"/>
          <w:szCs w:val="36"/>
          <w:rtl/>
        </w:rPr>
        <w:t>خاليا</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الذات</w:t>
      </w:r>
      <w:r w:rsidR="00E8128F">
        <w:rPr>
          <w:sz w:val="36"/>
          <w:szCs w:val="36"/>
          <w:rtl/>
        </w:rPr>
        <w:t xml:space="preserve"> </w:t>
      </w:r>
      <w:r w:rsidR="00C75CEF" w:rsidRPr="00FD211F">
        <w:rPr>
          <w:sz w:val="36"/>
          <w:szCs w:val="36"/>
          <w:rtl/>
        </w:rPr>
        <w:t>ولاعلاق</w:t>
      </w:r>
      <w:r w:rsidR="00EC7EDF" w:rsidRPr="00FD211F">
        <w:rPr>
          <w:sz w:val="36"/>
          <w:szCs w:val="36"/>
          <w:rtl/>
        </w:rPr>
        <w:t>ة</w:t>
      </w:r>
      <w:r w:rsidR="00E8128F">
        <w:rPr>
          <w:sz w:val="36"/>
          <w:szCs w:val="36"/>
          <w:rtl/>
        </w:rPr>
        <w:t xml:space="preserve"> </w:t>
      </w:r>
      <w:r w:rsidR="00C75CEF" w:rsidRPr="00FD211F">
        <w:rPr>
          <w:sz w:val="36"/>
          <w:szCs w:val="36"/>
          <w:rtl/>
        </w:rPr>
        <w:t>بذلك</w:t>
      </w:r>
      <w:r w:rsidR="00E8128F">
        <w:rPr>
          <w:sz w:val="36"/>
          <w:szCs w:val="36"/>
          <w:rtl/>
        </w:rPr>
        <w:t xml:space="preserve"> </w:t>
      </w:r>
      <w:r w:rsidR="00C75CEF" w:rsidRPr="00FD211F">
        <w:rPr>
          <w:sz w:val="36"/>
          <w:szCs w:val="36"/>
          <w:rtl/>
        </w:rPr>
        <w:t>بوضعه</w:t>
      </w:r>
      <w:r w:rsidR="00E8128F">
        <w:rPr>
          <w:sz w:val="36"/>
          <w:szCs w:val="36"/>
          <w:rtl/>
        </w:rPr>
        <w:t xml:space="preserve"> </w:t>
      </w:r>
      <w:r w:rsidR="00C75CEF" w:rsidRPr="00FD211F">
        <w:rPr>
          <w:sz w:val="36"/>
          <w:szCs w:val="36"/>
          <w:rtl/>
        </w:rPr>
        <w:t>اللغوي</w:t>
      </w:r>
      <w:r w:rsidR="009C58C8" w:rsidRPr="00FD211F">
        <w:rPr>
          <w:rStyle w:val="a6"/>
          <w:sz w:val="36"/>
          <w:szCs w:val="36"/>
          <w:rtl/>
        </w:rPr>
        <w:t>(</w:t>
      </w:r>
      <w:r w:rsidR="009C58C8" w:rsidRPr="00FD211F">
        <w:rPr>
          <w:rStyle w:val="a6"/>
          <w:sz w:val="36"/>
          <w:szCs w:val="36"/>
          <w:rtl/>
        </w:rPr>
        <w:footnoteReference w:id="591"/>
      </w:r>
      <w:r w:rsidR="009C58C8" w:rsidRPr="00FD211F">
        <w:rPr>
          <w:rStyle w:val="a6"/>
          <w:sz w:val="36"/>
          <w:szCs w:val="36"/>
          <w:rtl/>
        </w:rPr>
        <w:t>)</w:t>
      </w:r>
      <w:r w:rsidR="00C75CEF" w:rsidRPr="00FD211F">
        <w:rPr>
          <w:sz w:val="36"/>
          <w:szCs w:val="36"/>
          <w:rtl/>
        </w:rPr>
        <w:t>.</w:t>
      </w:r>
    </w:p>
    <w:p w14:paraId="668AFB77" w14:textId="77777777" w:rsidR="00027085" w:rsidRPr="00FD211F" w:rsidRDefault="00C75523" w:rsidP="009C58C8">
      <w:pPr>
        <w:ind w:left="0" w:firstLine="227"/>
        <w:jc w:val="both"/>
        <w:rPr>
          <w:sz w:val="36"/>
          <w:szCs w:val="36"/>
          <w:rtl/>
        </w:rPr>
      </w:pPr>
      <w:r w:rsidRPr="00FD211F">
        <w:rPr>
          <w:sz w:val="36"/>
          <w:szCs w:val="36"/>
          <w:rtl/>
        </w:rPr>
        <w:t>واورد</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المقطوع</w:t>
      </w:r>
      <w:r w:rsidR="00E8128F">
        <w:rPr>
          <w:sz w:val="36"/>
          <w:szCs w:val="36"/>
          <w:rtl/>
        </w:rPr>
        <w:t xml:space="preserve"> </w:t>
      </w:r>
      <w:r w:rsidR="00C75CEF" w:rsidRPr="00FD211F">
        <w:rPr>
          <w:sz w:val="36"/>
          <w:szCs w:val="36"/>
          <w:rtl/>
        </w:rPr>
        <w:t>به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الناطق</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اعتبر</w:t>
      </w:r>
      <w:r w:rsidR="00E8128F">
        <w:rPr>
          <w:sz w:val="36"/>
          <w:szCs w:val="36"/>
          <w:rtl/>
        </w:rPr>
        <w:t xml:space="preserve"> </w:t>
      </w:r>
      <w:r w:rsidRPr="00FD211F">
        <w:rPr>
          <w:sz w:val="36"/>
          <w:szCs w:val="36"/>
          <w:rtl/>
        </w:rPr>
        <w:t>فصلا</w:t>
      </w:r>
      <w:r w:rsidR="00E8128F">
        <w:rPr>
          <w:sz w:val="36"/>
          <w:szCs w:val="36"/>
          <w:rtl/>
        </w:rPr>
        <w:t xml:space="preserve"> </w:t>
      </w:r>
      <w:r w:rsidRPr="00FD211F">
        <w:rPr>
          <w:sz w:val="36"/>
          <w:szCs w:val="36"/>
          <w:rtl/>
        </w:rPr>
        <w:t>بماله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المعنى</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تصرف</w:t>
      </w:r>
      <w:r w:rsidR="00E8128F">
        <w:rPr>
          <w:sz w:val="36"/>
          <w:szCs w:val="36"/>
          <w:rtl/>
        </w:rPr>
        <w:t xml:space="preserve"> </w:t>
      </w:r>
      <w:r w:rsidRPr="00FD211F">
        <w:rPr>
          <w:sz w:val="36"/>
          <w:szCs w:val="36"/>
          <w:rtl/>
        </w:rPr>
        <w:t>فيه</w:t>
      </w:r>
      <w:r w:rsidR="009C58C8" w:rsidRPr="00FD211F">
        <w:rPr>
          <w:rStyle w:val="a6"/>
          <w:sz w:val="36"/>
          <w:szCs w:val="36"/>
          <w:rtl/>
        </w:rPr>
        <w:t>(</w:t>
      </w:r>
      <w:r w:rsidR="009C58C8" w:rsidRPr="00FD211F">
        <w:rPr>
          <w:rStyle w:val="a6"/>
          <w:sz w:val="36"/>
          <w:szCs w:val="36"/>
          <w:rtl/>
        </w:rPr>
        <w:footnoteReference w:id="592"/>
      </w:r>
      <w:r w:rsidR="009C58C8" w:rsidRPr="00FD211F">
        <w:rPr>
          <w:rStyle w:val="a6"/>
          <w:sz w:val="36"/>
          <w:szCs w:val="36"/>
          <w:rtl/>
        </w:rPr>
        <w:t>)</w:t>
      </w:r>
      <w:r w:rsidR="00027085" w:rsidRPr="00FD211F">
        <w:rPr>
          <w:sz w:val="36"/>
          <w:szCs w:val="36"/>
          <w:rtl/>
        </w:rPr>
        <w:t>.</w:t>
      </w:r>
    </w:p>
    <w:p w14:paraId="7CDDEA6E" w14:textId="77777777" w:rsidR="000C5BBA" w:rsidRPr="00FD211F" w:rsidRDefault="002C1C5D" w:rsidP="009C58C8">
      <w:pPr>
        <w:ind w:left="0" w:firstLine="227"/>
        <w:jc w:val="both"/>
        <w:rPr>
          <w:sz w:val="36"/>
          <w:szCs w:val="36"/>
          <w:rtl/>
        </w:rPr>
      </w:pPr>
      <w:r w:rsidRPr="00FD211F">
        <w:rPr>
          <w:sz w:val="36"/>
          <w:szCs w:val="36"/>
          <w:rtl/>
        </w:rPr>
        <w:t>ولكن</w:t>
      </w:r>
      <w:r w:rsidR="00E8128F">
        <w:rPr>
          <w:sz w:val="36"/>
          <w:szCs w:val="36"/>
          <w:rtl/>
        </w:rPr>
        <w:t xml:space="preserve"> </w:t>
      </w:r>
      <w:r w:rsidRPr="00FD211F">
        <w:rPr>
          <w:sz w:val="36"/>
          <w:szCs w:val="36"/>
          <w:rtl/>
        </w:rPr>
        <w:t>اجاب</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w:t>
      </w:r>
      <w:r w:rsidR="00B73BC2" w:rsidRPr="00FD211F">
        <w:rPr>
          <w:sz w:val="36"/>
          <w:szCs w:val="36"/>
          <w:rtl/>
        </w:rPr>
        <w:t>بحوث</w:t>
      </w:r>
      <w:r w:rsidR="00E8128F">
        <w:rPr>
          <w:sz w:val="36"/>
          <w:szCs w:val="36"/>
          <w:rtl/>
        </w:rPr>
        <w:t xml:space="preserve"> </w:t>
      </w:r>
      <w:r w:rsidR="00B73BC2" w:rsidRPr="00FD211F">
        <w:rPr>
          <w:sz w:val="36"/>
          <w:szCs w:val="36"/>
          <w:rtl/>
        </w:rPr>
        <w:t>عن</w:t>
      </w:r>
      <w:r w:rsidR="00E8128F">
        <w:rPr>
          <w:sz w:val="36"/>
          <w:szCs w:val="36"/>
          <w:rtl/>
        </w:rPr>
        <w:t xml:space="preserve"> </w:t>
      </w:r>
      <w:r w:rsidR="00B73BC2" w:rsidRPr="00FD211F">
        <w:rPr>
          <w:sz w:val="36"/>
          <w:szCs w:val="36"/>
          <w:rtl/>
        </w:rPr>
        <w:t>ايراد</w:t>
      </w:r>
      <w:r w:rsidR="00E8128F">
        <w:rPr>
          <w:sz w:val="36"/>
          <w:szCs w:val="36"/>
          <w:rtl/>
        </w:rPr>
        <w:t xml:space="preserve"> </w:t>
      </w:r>
      <w:r w:rsidR="00B73BC2" w:rsidRPr="00FD211F">
        <w:rPr>
          <w:sz w:val="36"/>
          <w:szCs w:val="36"/>
          <w:rtl/>
        </w:rPr>
        <w:t>الكفاي</w:t>
      </w:r>
      <w:r w:rsidR="00EC7EDF" w:rsidRPr="00FD211F">
        <w:rPr>
          <w:sz w:val="36"/>
          <w:szCs w:val="36"/>
          <w:rtl/>
        </w:rPr>
        <w:t>ة</w:t>
      </w:r>
      <w:r w:rsidR="00E8128F">
        <w:rPr>
          <w:sz w:val="36"/>
          <w:szCs w:val="36"/>
          <w:rtl/>
        </w:rPr>
        <w:t xml:space="preserve"> </w:t>
      </w:r>
      <w:r w:rsidR="00B73BC2" w:rsidRPr="00FD211F">
        <w:rPr>
          <w:sz w:val="36"/>
          <w:szCs w:val="36"/>
          <w:rtl/>
        </w:rPr>
        <w:t>بانه</w:t>
      </w:r>
      <w:r w:rsidR="00E8128F">
        <w:rPr>
          <w:sz w:val="36"/>
          <w:szCs w:val="36"/>
          <w:rtl/>
        </w:rPr>
        <w:t xml:space="preserve"> </w:t>
      </w:r>
      <w:r w:rsidR="00B73BC2" w:rsidRPr="00FD211F">
        <w:rPr>
          <w:sz w:val="36"/>
          <w:szCs w:val="36"/>
          <w:rtl/>
        </w:rPr>
        <w:t>حيث</w:t>
      </w:r>
      <w:r w:rsidR="00E8128F">
        <w:rPr>
          <w:sz w:val="36"/>
          <w:szCs w:val="36"/>
          <w:rtl/>
        </w:rPr>
        <w:t xml:space="preserve"> </w:t>
      </w:r>
      <w:r w:rsidR="00B73BC2" w:rsidRPr="00FD211F">
        <w:rPr>
          <w:sz w:val="36"/>
          <w:szCs w:val="36"/>
          <w:rtl/>
        </w:rPr>
        <w:t>ت</w:t>
      </w:r>
      <w:r w:rsidRPr="00FD211F">
        <w:rPr>
          <w:sz w:val="36"/>
          <w:szCs w:val="36"/>
          <w:rtl/>
        </w:rPr>
        <w:t>كون</w:t>
      </w:r>
      <w:r w:rsidR="00E8128F">
        <w:rPr>
          <w:sz w:val="36"/>
          <w:szCs w:val="36"/>
          <w:rtl/>
        </w:rPr>
        <w:t xml:space="preserve"> </w:t>
      </w:r>
      <w:r w:rsidRPr="00FD211F">
        <w:rPr>
          <w:sz w:val="36"/>
          <w:szCs w:val="36"/>
          <w:rtl/>
        </w:rPr>
        <w:t>دعوى</w:t>
      </w:r>
      <w:r w:rsidR="00E8128F">
        <w:rPr>
          <w:sz w:val="36"/>
          <w:szCs w:val="36"/>
          <w:rtl/>
        </w:rPr>
        <w:t xml:space="preserve"> </w:t>
      </w:r>
      <w:r w:rsidRPr="00FD211F">
        <w:rPr>
          <w:sz w:val="36"/>
          <w:szCs w:val="36"/>
          <w:rtl/>
        </w:rPr>
        <w:t>المناطق</w:t>
      </w:r>
      <w:r w:rsidR="00EC7EDF" w:rsidRPr="00FD211F">
        <w:rPr>
          <w:sz w:val="36"/>
          <w:szCs w:val="36"/>
          <w:rtl/>
        </w:rPr>
        <w:t>ة</w:t>
      </w:r>
      <w:r w:rsidR="00E8128F">
        <w:rPr>
          <w:sz w:val="36"/>
          <w:szCs w:val="36"/>
          <w:rtl/>
        </w:rPr>
        <w:t xml:space="preserve"> </w:t>
      </w:r>
      <w:r w:rsidR="00360F5C" w:rsidRPr="00FD211F">
        <w:rPr>
          <w:sz w:val="36"/>
          <w:szCs w:val="36"/>
          <w:rtl/>
        </w:rPr>
        <w:t>-من</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الناطق</w:t>
      </w:r>
      <w:r w:rsidR="00E8128F">
        <w:rPr>
          <w:sz w:val="36"/>
          <w:szCs w:val="36"/>
          <w:rtl/>
        </w:rPr>
        <w:t xml:space="preserve"> </w:t>
      </w:r>
      <w:r w:rsidRPr="00FD211F">
        <w:rPr>
          <w:sz w:val="36"/>
          <w:szCs w:val="36"/>
          <w:rtl/>
        </w:rPr>
        <w:t>فصلا</w:t>
      </w:r>
      <w:r w:rsidR="00E8128F">
        <w:rPr>
          <w:sz w:val="36"/>
          <w:szCs w:val="36"/>
          <w:rtl/>
        </w:rPr>
        <w:t xml:space="preserve"> </w:t>
      </w:r>
      <w:r w:rsidRPr="00FD211F">
        <w:rPr>
          <w:sz w:val="36"/>
          <w:szCs w:val="36"/>
          <w:rtl/>
        </w:rPr>
        <w:t>حقيقيا</w:t>
      </w:r>
      <w:r w:rsidR="00360F5C" w:rsidRPr="00FD211F">
        <w:rPr>
          <w:sz w:val="36"/>
          <w:szCs w:val="36"/>
          <w:rtl/>
        </w:rPr>
        <w:t>-</w:t>
      </w:r>
      <w:r w:rsidR="00E8128F">
        <w:rPr>
          <w:sz w:val="36"/>
          <w:szCs w:val="36"/>
          <w:rtl/>
        </w:rPr>
        <w:t xml:space="preserve"> </w:t>
      </w:r>
      <w:r w:rsidRPr="00FD211F">
        <w:rPr>
          <w:sz w:val="36"/>
          <w:szCs w:val="36"/>
          <w:rtl/>
        </w:rPr>
        <w:t>مقرون</w:t>
      </w:r>
      <w:r w:rsidR="00EC7EDF" w:rsidRPr="00FD211F">
        <w:rPr>
          <w:sz w:val="36"/>
          <w:szCs w:val="36"/>
          <w:rtl/>
        </w:rPr>
        <w:t>ة</w:t>
      </w:r>
      <w:r w:rsidR="00E8128F">
        <w:rPr>
          <w:sz w:val="36"/>
          <w:szCs w:val="36"/>
          <w:rtl/>
        </w:rPr>
        <w:t xml:space="preserve"> </w:t>
      </w:r>
      <w:r w:rsidRPr="00FD211F">
        <w:rPr>
          <w:sz w:val="36"/>
          <w:szCs w:val="36"/>
          <w:rtl/>
        </w:rPr>
        <w:t>بالعناي</w:t>
      </w:r>
      <w:r w:rsidR="00EC7EDF" w:rsidRPr="00FD211F">
        <w:rPr>
          <w:sz w:val="36"/>
          <w:szCs w:val="36"/>
          <w:rtl/>
        </w:rPr>
        <w:t>ة</w:t>
      </w:r>
      <w:r w:rsidR="00E8128F">
        <w:rPr>
          <w:sz w:val="36"/>
          <w:szCs w:val="36"/>
          <w:rtl/>
        </w:rPr>
        <w:t xml:space="preserve"> </w:t>
      </w:r>
      <w:r w:rsidRPr="00FD211F">
        <w:rPr>
          <w:sz w:val="36"/>
          <w:szCs w:val="36"/>
          <w:rtl/>
        </w:rPr>
        <w:t>والمسامح</w:t>
      </w:r>
      <w:r w:rsidR="00EC7EDF" w:rsidRPr="00FD211F">
        <w:rPr>
          <w:sz w:val="36"/>
          <w:szCs w:val="36"/>
          <w:rtl/>
        </w:rPr>
        <w:t>ة</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الماد</w:t>
      </w:r>
      <w:r w:rsidR="00EC7EDF" w:rsidRPr="00FD211F">
        <w:rPr>
          <w:sz w:val="36"/>
          <w:szCs w:val="36"/>
          <w:rtl/>
        </w:rPr>
        <w:t>ة</w:t>
      </w:r>
      <w:r w:rsidR="00E8128F">
        <w:rPr>
          <w:sz w:val="36"/>
          <w:szCs w:val="36"/>
          <w:rtl/>
        </w:rPr>
        <w:t xml:space="preserve"> </w:t>
      </w:r>
      <w:r w:rsidRPr="00FD211F">
        <w:rPr>
          <w:sz w:val="36"/>
          <w:szCs w:val="36"/>
          <w:rtl/>
        </w:rPr>
        <w:t>جزما</w:t>
      </w:r>
      <w:r w:rsidR="00E8128F">
        <w:rPr>
          <w:sz w:val="36"/>
          <w:szCs w:val="36"/>
          <w:rtl/>
        </w:rPr>
        <w:t xml:space="preserve"> </w:t>
      </w:r>
      <w:r w:rsidR="00F54B7A" w:rsidRPr="00FD211F">
        <w:rPr>
          <w:sz w:val="36"/>
          <w:szCs w:val="36"/>
          <w:rtl/>
        </w:rPr>
        <w:t>لانه</w:t>
      </w:r>
      <w:r w:rsidR="00E8128F">
        <w:rPr>
          <w:sz w:val="36"/>
          <w:szCs w:val="36"/>
          <w:rtl/>
        </w:rPr>
        <w:t xml:space="preserve"> </w:t>
      </w:r>
      <w:r w:rsidRPr="00FD211F">
        <w:rPr>
          <w:sz w:val="36"/>
          <w:szCs w:val="36"/>
          <w:rtl/>
        </w:rPr>
        <w:t>اما</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التكلم</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الادراك</w:t>
      </w:r>
      <w:r w:rsidR="00E8128F">
        <w:rPr>
          <w:sz w:val="36"/>
          <w:szCs w:val="36"/>
          <w:rtl/>
        </w:rPr>
        <w:t xml:space="preserve"> </w:t>
      </w:r>
      <w:r w:rsidRPr="00FD211F">
        <w:rPr>
          <w:sz w:val="36"/>
          <w:szCs w:val="36"/>
          <w:rtl/>
        </w:rPr>
        <w:t>وكلاهما</w:t>
      </w:r>
      <w:r w:rsidR="00E8128F">
        <w:rPr>
          <w:sz w:val="36"/>
          <w:szCs w:val="36"/>
          <w:rtl/>
        </w:rPr>
        <w:t xml:space="preserve"> </w:t>
      </w:r>
      <w:r w:rsidRPr="00FD211F">
        <w:rPr>
          <w:sz w:val="36"/>
          <w:szCs w:val="36"/>
          <w:rtl/>
        </w:rPr>
        <w:t>عرضان</w:t>
      </w:r>
      <w:r w:rsidR="00E8128F">
        <w:rPr>
          <w:sz w:val="36"/>
          <w:szCs w:val="36"/>
          <w:rtl/>
        </w:rPr>
        <w:t xml:space="preserve"> </w:t>
      </w:r>
      <w:r w:rsidRPr="00FD211F">
        <w:rPr>
          <w:sz w:val="36"/>
          <w:szCs w:val="36"/>
          <w:rtl/>
        </w:rPr>
        <w:t>فاي</w:t>
      </w:r>
      <w:r w:rsidR="00E8128F">
        <w:rPr>
          <w:sz w:val="36"/>
          <w:szCs w:val="36"/>
          <w:rtl/>
        </w:rPr>
        <w:t xml:space="preserve"> </w:t>
      </w:r>
      <w:r w:rsidRPr="00FD211F">
        <w:rPr>
          <w:sz w:val="36"/>
          <w:szCs w:val="36"/>
          <w:rtl/>
        </w:rPr>
        <w:t>مانع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الالتزام</w:t>
      </w:r>
      <w:r w:rsidR="00E8128F">
        <w:rPr>
          <w:sz w:val="36"/>
          <w:szCs w:val="36"/>
          <w:rtl/>
        </w:rPr>
        <w:t xml:space="preserve"> </w:t>
      </w:r>
      <w:r w:rsidRPr="00FD211F">
        <w:rPr>
          <w:sz w:val="36"/>
          <w:szCs w:val="36"/>
          <w:rtl/>
        </w:rPr>
        <w:t>بعناي</w:t>
      </w:r>
      <w:r w:rsidR="00EC7EDF" w:rsidRPr="00FD211F">
        <w:rPr>
          <w:sz w:val="36"/>
          <w:szCs w:val="36"/>
          <w:rtl/>
        </w:rPr>
        <w:t>ة</w:t>
      </w:r>
      <w:r w:rsidR="00E8128F">
        <w:rPr>
          <w:sz w:val="36"/>
          <w:szCs w:val="36"/>
          <w:rtl/>
        </w:rPr>
        <w:t xml:space="preserve"> </w:t>
      </w:r>
      <w:r w:rsidRPr="00FD211F">
        <w:rPr>
          <w:sz w:val="36"/>
          <w:szCs w:val="36"/>
          <w:rtl/>
        </w:rPr>
        <w:t>أخرى</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دعويهم</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مدلول</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فصلا</w:t>
      </w:r>
      <w:r w:rsidR="00E8128F">
        <w:rPr>
          <w:sz w:val="36"/>
          <w:szCs w:val="36"/>
          <w:rtl/>
        </w:rPr>
        <w:t xml:space="preserve"> </w:t>
      </w:r>
      <w:r w:rsidRPr="00FD211F">
        <w:rPr>
          <w:sz w:val="36"/>
          <w:szCs w:val="36"/>
          <w:rtl/>
        </w:rPr>
        <w:t>فلعلهم</w:t>
      </w:r>
      <w:r w:rsidR="00E8128F">
        <w:rPr>
          <w:sz w:val="36"/>
          <w:szCs w:val="36"/>
          <w:rtl/>
        </w:rPr>
        <w:t xml:space="preserve"> </w:t>
      </w:r>
      <w:r w:rsidRPr="00FD211F">
        <w:rPr>
          <w:sz w:val="36"/>
          <w:szCs w:val="36"/>
          <w:rtl/>
        </w:rPr>
        <w:t>ارادوا</w:t>
      </w:r>
      <w:r w:rsidR="00E8128F">
        <w:rPr>
          <w:sz w:val="36"/>
          <w:szCs w:val="36"/>
          <w:rtl/>
        </w:rPr>
        <w:t xml:space="preserve"> </w:t>
      </w:r>
      <w:r w:rsidRPr="00FD211F">
        <w:rPr>
          <w:sz w:val="36"/>
          <w:szCs w:val="36"/>
          <w:rtl/>
        </w:rPr>
        <w:t>منه</w:t>
      </w:r>
      <w:r w:rsidR="00E8128F">
        <w:rPr>
          <w:sz w:val="36"/>
          <w:szCs w:val="36"/>
          <w:rtl/>
        </w:rPr>
        <w:t xml:space="preserve"> </w:t>
      </w:r>
      <w:r w:rsidRPr="00FD211F">
        <w:rPr>
          <w:sz w:val="36"/>
          <w:szCs w:val="36"/>
          <w:rtl/>
        </w:rPr>
        <w:t>المبدأ</w:t>
      </w:r>
      <w:r w:rsidR="00603323" w:rsidRPr="00FD211F">
        <w:rPr>
          <w:sz w:val="36"/>
          <w:szCs w:val="36"/>
          <w:rtl/>
        </w:rPr>
        <w:t>،</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فرض</w:t>
      </w:r>
      <w:r w:rsidR="00E8128F">
        <w:rPr>
          <w:sz w:val="36"/>
          <w:szCs w:val="36"/>
          <w:rtl/>
        </w:rPr>
        <w:t xml:space="preserve"> </w:t>
      </w:r>
      <w:r w:rsidRPr="00FD211F">
        <w:rPr>
          <w:sz w:val="36"/>
          <w:szCs w:val="36"/>
          <w:rtl/>
        </w:rPr>
        <w:t>انهم</w:t>
      </w:r>
      <w:r w:rsidR="00E8128F">
        <w:rPr>
          <w:sz w:val="36"/>
          <w:szCs w:val="36"/>
          <w:rtl/>
        </w:rPr>
        <w:t xml:space="preserve"> </w:t>
      </w:r>
      <w:r w:rsidRPr="00FD211F">
        <w:rPr>
          <w:sz w:val="36"/>
          <w:szCs w:val="36"/>
          <w:rtl/>
        </w:rPr>
        <w:t>ادعوا</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تمام</w:t>
      </w:r>
      <w:r w:rsidR="00E8128F">
        <w:rPr>
          <w:sz w:val="36"/>
          <w:szCs w:val="36"/>
          <w:rtl/>
        </w:rPr>
        <w:t xml:space="preserve"> </w:t>
      </w:r>
      <w:r w:rsidRPr="00FD211F">
        <w:rPr>
          <w:sz w:val="36"/>
          <w:szCs w:val="36"/>
          <w:rtl/>
        </w:rPr>
        <w:t>مدلوله</w:t>
      </w:r>
      <w:r w:rsidR="00E8128F">
        <w:rPr>
          <w:sz w:val="36"/>
          <w:szCs w:val="36"/>
          <w:rtl/>
        </w:rPr>
        <w:t xml:space="preserve"> </w:t>
      </w:r>
      <w:r w:rsidRPr="00FD211F">
        <w:rPr>
          <w:sz w:val="36"/>
          <w:szCs w:val="36"/>
          <w:rtl/>
        </w:rPr>
        <w:t>فصلا</w:t>
      </w:r>
      <w:r w:rsidR="00E8128F">
        <w:rPr>
          <w:sz w:val="36"/>
          <w:szCs w:val="36"/>
          <w:rtl/>
        </w:rPr>
        <w:t xml:space="preserve"> </w:t>
      </w:r>
      <w:r w:rsidRPr="00FD211F">
        <w:rPr>
          <w:sz w:val="36"/>
          <w:szCs w:val="36"/>
          <w:rtl/>
        </w:rPr>
        <w:t>بتخيل</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تركبه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فالاشكال</w:t>
      </w:r>
      <w:r w:rsidR="00E8128F">
        <w:rPr>
          <w:sz w:val="36"/>
          <w:szCs w:val="36"/>
          <w:rtl/>
        </w:rPr>
        <w:t xml:space="preserve"> </w:t>
      </w:r>
      <w:r w:rsidRPr="00FD211F">
        <w:rPr>
          <w:sz w:val="36"/>
          <w:szCs w:val="36"/>
          <w:rtl/>
        </w:rPr>
        <w:t>متوجه</w:t>
      </w:r>
      <w:r w:rsidR="00E8128F">
        <w:rPr>
          <w:sz w:val="36"/>
          <w:szCs w:val="36"/>
          <w:rtl/>
        </w:rPr>
        <w:t xml:space="preserve"> </w:t>
      </w:r>
      <w:r w:rsidRPr="00FD211F">
        <w:rPr>
          <w:sz w:val="36"/>
          <w:szCs w:val="36"/>
          <w:rtl/>
        </w:rPr>
        <w:t>عليهم</w:t>
      </w:r>
      <w:r w:rsidR="00E8128F">
        <w:rPr>
          <w:sz w:val="36"/>
          <w:szCs w:val="36"/>
          <w:rtl/>
        </w:rPr>
        <w:t xml:space="preserve"> </w:t>
      </w:r>
      <w:r w:rsidRPr="00FD211F">
        <w:rPr>
          <w:sz w:val="36"/>
          <w:szCs w:val="36"/>
          <w:rtl/>
        </w:rPr>
        <w:t>لاعلى</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يستند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دعويه</w:t>
      </w:r>
      <w:r w:rsidR="00E8128F">
        <w:rPr>
          <w:sz w:val="36"/>
          <w:szCs w:val="36"/>
          <w:rtl/>
        </w:rPr>
        <w:t xml:space="preserve"> </w:t>
      </w:r>
      <w:r w:rsidRPr="00FD211F">
        <w:rPr>
          <w:sz w:val="36"/>
          <w:szCs w:val="36"/>
          <w:rtl/>
        </w:rPr>
        <w:t>التركيب</w:t>
      </w:r>
      <w:r w:rsidR="00E8128F">
        <w:rPr>
          <w:sz w:val="36"/>
          <w:szCs w:val="36"/>
          <w:rtl/>
        </w:rPr>
        <w:t xml:space="preserve"> </w:t>
      </w:r>
      <w:r w:rsidRPr="00FD211F">
        <w:rPr>
          <w:sz w:val="36"/>
          <w:szCs w:val="36"/>
          <w:rtl/>
        </w:rPr>
        <w:t>التحليلي</w:t>
      </w:r>
      <w:r w:rsidR="00E8128F">
        <w:rPr>
          <w:sz w:val="36"/>
          <w:szCs w:val="36"/>
          <w:rtl/>
        </w:rPr>
        <w:t xml:space="preserve"> </w:t>
      </w:r>
      <w:r w:rsidRPr="00FD211F">
        <w:rPr>
          <w:sz w:val="36"/>
          <w:szCs w:val="36"/>
          <w:rtl/>
        </w:rPr>
        <w:t>للمشتق</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العرف</w:t>
      </w:r>
      <w:r w:rsidR="00603323" w:rsidRPr="00FD211F">
        <w:rPr>
          <w:sz w:val="36"/>
          <w:szCs w:val="36"/>
          <w:rtl/>
        </w:rPr>
        <w:t>،</w:t>
      </w:r>
      <w:r w:rsidR="00E8128F">
        <w:rPr>
          <w:sz w:val="36"/>
          <w:szCs w:val="36"/>
          <w:rtl/>
        </w:rPr>
        <w:t xml:space="preserve"> </w:t>
      </w:r>
      <w:r w:rsidRPr="00FD211F">
        <w:rPr>
          <w:sz w:val="36"/>
          <w:szCs w:val="36"/>
          <w:rtl/>
        </w:rPr>
        <w:t>ولعل</w:t>
      </w:r>
      <w:r w:rsidR="00E8128F">
        <w:rPr>
          <w:sz w:val="36"/>
          <w:szCs w:val="36"/>
          <w:rtl/>
        </w:rPr>
        <w:t xml:space="preserve"> </w:t>
      </w:r>
      <w:r w:rsidRPr="00FD211F">
        <w:rPr>
          <w:sz w:val="36"/>
          <w:szCs w:val="36"/>
          <w:rtl/>
        </w:rPr>
        <w:t>المناطق</w:t>
      </w:r>
      <w:r w:rsidR="00EC7EDF" w:rsidRPr="00FD211F">
        <w:rPr>
          <w:sz w:val="36"/>
          <w:szCs w:val="36"/>
          <w:rtl/>
        </w:rPr>
        <w:t>ة</w:t>
      </w:r>
      <w:r w:rsidR="00E8128F">
        <w:rPr>
          <w:sz w:val="36"/>
          <w:szCs w:val="36"/>
          <w:rtl/>
        </w:rPr>
        <w:t xml:space="preserve"> </w:t>
      </w:r>
      <w:r w:rsidRPr="00FD211F">
        <w:rPr>
          <w:sz w:val="36"/>
          <w:szCs w:val="36"/>
          <w:rtl/>
        </w:rPr>
        <w:t>يعتذرون</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انفسهم</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المنطقي</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شأنه</w:t>
      </w:r>
      <w:r w:rsidR="00E8128F">
        <w:rPr>
          <w:sz w:val="36"/>
          <w:szCs w:val="36"/>
          <w:rtl/>
        </w:rPr>
        <w:t xml:space="preserve"> </w:t>
      </w:r>
      <w:r w:rsidRPr="00FD211F">
        <w:rPr>
          <w:sz w:val="36"/>
          <w:szCs w:val="36"/>
          <w:rtl/>
        </w:rPr>
        <w:t>البحث</w:t>
      </w:r>
      <w:r w:rsidR="00E8128F">
        <w:rPr>
          <w:sz w:val="36"/>
          <w:szCs w:val="36"/>
          <w:rtl/>
        </w:rPr>
        <w:t xml:space="preserve"> </w:t>
      </w:r>
      <w:r w:rsidRPr="00FD211F">
        <w:rPr>
          <w:sz w:val="36"/>
          <w:szCs w:val="36"/>
          <w:rtl/>
        </w:rPr>
        <w:t>اللغوي</w:t>
      </w:r>
      <w:r w:rsidR="009C58C8" w:rsidRPr="00FD211F">
        <w:rPr>
          <w:rStyle w:val="a6"/>
          <w:sz w:val="36"/>
          <w:szCs w:val="36"/>
          <w:rtl/>
        </w:rPr>
        <w:t>(</w:t>
      </w:r>
      <w:r w:rsidR="009C58C8" w:rsidRPr="00FD211F">
        <w:rPr>
          <w:rStyle w:val="a6"/>
          <w:sz w:val="36"/>
          <w:szCs w:val="36"/>
          <w:rtl/>
        </w:rPr>
        <w:footnoteReference w:id="593"/>
      </w:r>
      <w:r w:rsidR="009C58C8" w:rsidRPr="00FD211F">
        <w:rPr>
          <w:rStyle w:val="a6"/>
          <w:sz w:val="36"/>
          <w:szCs w:val="36"/>
          <w:rtl/>
        </w:rPr>
        <w:t>)</w:t>
      </w:r>
      <w:r w:rsidR="008F541D" w:rsidRPr="00FD211F">
        <w:rPr>
          <w:sz w:val="36"/>
          <w:szCs w:val="36"/>
          <w:rtl/>
        </w:rPr>
        <w:t>.</w:t>
      </w:r>
    </w:p>
    <w:p w14:paraId="687774DF" w14:textId="77777777" w:rsidR="00D12DD7" w:rsidRPr="00FD211F" w:rsidRDefault="002C1C5D" w:rsidP="009C58C8">
      <w:pPr>
        <w:ind w:left="0" w:firstLine="227"/>
        <w:jc w:val="both"/>
        <w:rPr>
          <w:sz w:val="36"/>
          <w:szCs w:val="36"/>
          <w:rtl/>
        </w:rPr>
      </w:pPr>
      <w:r w:rsidRPr="00FD211F">
        <w:rPr>
          <w:sz w:val="36"/>
          <w:szCs w:val="36"/>
          <w:rtl/>
        </w:rPr>
        <w:t>و</w:t>
      </w:r>
      <w:r w:rsidR="008A48C0" w:rsidRPr="00FD211F">
        <w:rPr>
          <w:sz w:val="36"/>
          <w:szCs w:val="36"/>
          <w:rtl/>
        </w:rPr>
        <w:t>لابأس</w:t>
      </w:r>
      <w:r w:rsidR="00E8128F">
        <w:rPr>
          <w:sz w:val="36"/>
          <w:szCs w:val="36"/>
          <w:rtl/>
        </w:rPr>
        <w:t xml:space="preserve"> </w:t>
      </w:r>
      <w:r w:rsidR="008A48C0" w:rsidRPr="00FD211F">
        <w:rPr>
          <w:sz w:val="36"/>
          <w:szCs w:val="36"/>
          <w:rtl/>
        </w:rPr>
        <w:t>بما</w:t>
      </w:r>
      <w:r w:rsidR="00E8128F">
        <w:rPr>
          <w:sz w:val="36"/>
          <w:szCs w:val="36"/>
          <w:rtl/>
        </w:rPr>
        <w:t xml:space="preserve"> </w:t>
      </w:r>
      <w:r w:rsidR="008A48C0" w:rsidRPr="00FD211F">
        <w:rPr>
          <w:sz w:val="36"/>
          <w:szCs w:val="36"/>
          <w:rtl/>
        </w:rPr>
        <w:t>افاده</w:t>
      </w:r>
      <w:r w:rsidR="00603323" w:rsidRPr="00FD211F">
        <w:rPr>
          <w:sz w:val="36"/>
          <w:szCs w:val="36"/>
          <w:rtl/>
        </w:rPr>
        <w:t>،</w:t>
      </w:r>
      <w:r w:rsidR="00E8128F">
        <w:rPr>
          <w:sz w:val="36"/>
          <w:szCs w:val="36"/>
          <w:rtl/>
        </w:rPr>
        <w:t xml:space="preserve"> </w:t>
      </w:r>
      <w:r w:rsidR="00AB32B7" w:rsidRPr="00FD211F">
        <w:rPr>
          <w:sz w:val="36"/>
          <w:szCs w:val="36"/>
          <w:rtl/>
        </w:rPr>
        <w:t>ولكن</w:t>
      </w:r>
      <w:r w:rsidR="00E8128F">
        <w:rPr>
          <w:sz w:val="36"/>
          <w:szCs w:val="36"/>
          <w:rtl/>
        </w:rPr>
        <w:t xml:space="preserve"> </w:t>
      </w:r>
      <w:r w:rsidR="00AB32B7" w:rsidRPr="00FD211F">
        <w:rPr>
          <w:sz w:val="36"/>
          <w:szCs w:val="36"/>
          <w:rtl/>
        </w:rPr>
        <w:t>ما</w:t>
      </w:r>
      <w:r w:rsidR="00E8128F">
        <w:rPr>
          <w:sz w:val="36"/>
          <w:szCs w:val="36"/>
          <w:rtl/>
        </w:rPr>
        <w:t xml:space="preserve"> </w:t>
      </w:r>
      <w:r w:rsidR="00AB32B7" w:rsidRPr="00FD211F">
        <w:rPr>
          <w:sz w:val="36"/>
          <w:szCs w:val="36"/>
          <w:rtl/>
        </w:rPr>
        <w:t>ذكره</w:t>
      </w:r>
      <w:r w:rsidR="00E8128F">
        <w:rPr>
          <w:sz w:val="36"/>
          <w:szCs w:val="36"/>
          <w:rtl/>
        </w:rPr>
        <w:t xml:space="preserve"> </w:t>
      </w:r>
      <w:r w:rsidR="00AB32B7" w:rsidRPr="00FD211F">
        <w:rPr>
          <w:sz w:val="36"/>
          <w:szCs w:val="36"/>
          <w:rtl/>
        </w:rPr>
        <w:t>بعد</w:t>
      </w:r>
      <w:r w:rsidR="00E8128F">
        <w:rPr>
          <w:sz w:val="36"/>
          <w:szCs w:val="36"/>
          <w:rtl/>
        </w:rPr>
        <w:t xml:space="preserve"> </w:t>
      </w:r>
      <w:r w:rsidR="00AB32B7" w:rsidRPr="00FD211F">
        <w:rPr>
          <w:sz w:val="36"/>
          <w:szCs w:val="36"/>
          <w:rtl/>
        </w:rPr>
        <w:t>ذلك</w:t>
      </w:r>
      <w:r w:rsidR="00E8128F">
        <w:rPr>
          <w:sz w:val="36"/>
          <w:szCs w:val="36"/>
          <w:rtl/>
        </w:rPr>
        <w:t xml:space="preserve"> </w:t>
      </w:r>
      <w:r w:rsidR="00B83D7D" w:rsidRPr="00FD211F">
        <w:rPr>
          <w:sz w:val="36"/>
          <w:szCs w:val="36"/>
          <w:rtl/>
        </w:rPr>
        <w:t>من</w:t>
      </w:r>
      <w:r w:rsidR="00E8128F">
        <w:rPr>
          <w:sz w:val="36"/>
          <w:szCs w:val="36"/>
          <w:rtl/>
        </w:rPr>
        <w:t xml:space="preserve"> </w:t>
      </w:r>
      <w:r w:rsidR="00B83D7D" w:rsidRPr="00FD211F">
        <w:rPr>
          <w:sz w:val="36"/>
          <w:szCs w:val="36"/>
          <w:rtl/>
        </w:rPr>
        <w:t>ان</w:t>
      </w:r>
      <w:r w:rsidR="00E8128F">
        <w:rPr>
          <w:sz w:val="36"/>
          <w:szCs w:val="36"/>
          <w:rtl/>
        </w:rPr>
        <w:t xml:space="preserve"> </w:t>
      </w:r>
      <w:r w:rsidRPr="00FD211F">
        <w:rPr>
          <w:sz w:val="36"/>
          <w:szCs w:val="36"/>
          <w:rtl/>
        </w:rPr>
        <w:t>الظاهر</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اشكال</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الشريف</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مرتبط</w:t>
      </w:r>
      <w:r w:rsidR="00E8128F">
        <w:rPr>
          <w:sz w:val="36"/>
          <w:szCs w:val="36"/>
          <w:rtl/>
        </w:rPr>
        <w:t xml:space="preserve"> </w:t>
      </w:r>
      <w:r w:rsidRPr="00FD211F">
        <w:rPr>
          <w:sz w:val="36"/>
          <w:szCs w:val="36"/>
          <w:rtl/>
        </w:rPr>
        <w:t>بالمفهوم</w:t>
      </w:r>
      <w:r w:rsidR="00E8128F">
        <w:rPr>
          <w:sz w:val="36"/>
          <w:szCs w:val="36"/>
          <w:rtl/>
        </w:rPr>
        <w:t xml:space="preserve"> </w:t>
      </w:r>
      <w:r w:rsidRPr="00FD211F">
        <w:rPr>
          <w:sz w:val="36"/>
          <w:szCs w:val="36"/>
          <w:rtl/>
        </w:rPr>
        <w:t>اللغوي</w:t>
      </w:r>
      <w:r w:rsidR="00E8128F">
        <w:rPr>
          <w:sz w:val="36"/>
          <w:szCs w:val="36"/>
          <w:rtl/>
        </w:rPr>
        <w:t xml:space="preserve"> </w:t>
      </w:r>
      <w:r w:rsidRPr="00FD211F">
        <w:rPr>
          <w:sz w:val="36"/>
          <w:szCs w:val="36"/>
          <w:rtl/>
        </w:rPr>
        <w:t>للناطق</w:t>
      </w:r>
      <w:r w:rsidR="00E8128F">
        <w:rPr>
          <w:sz w:val="36"/>
          <w:szCs w:val="36"/>
          <w:rtl/>
        </w:rPr>
        <w:t xml:space="preserve"> </w:t>
      </w:r>
      <w:r w:rsidRPr="00FD211F">
        <w:rPr>
          <w:sz w:val="36"/>
          <w:szCs w:val="36"/>
          <w:rtl/>
        </w:rPr>
        <w:t>مثلا</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لما</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شارح</w:t>
      </w:r>
      <w:r w:rsidR="00E8128F">
        <w:rPr>
          <w:sz w:val="36"/>
          <w:szCs w:val="36"/>
          <w:rtl/>
        </w:rPr>
        <w:t xml:space="preserve"> </w:t>
      </w:r>
      <w:r w:rsidR="00B45390" w:rsidRPr="00FD211F">
        <w:rPr>
          <w:sz w:val="36"/>
          <w:szCs w:val="36"/>
          <w:rtl/>
        </w:rPr>
        <w:t>مطالع</w:t>
      </w:r>
      <w:r w:rsidR="00E8128F">
        <w:rPr>
          <w:sz w:val="36"/>
          <w:szCs w:val="36"/>
          <w:rtl/>
        </w:rPr>
        <w:t xml:space="preserve"> </w:t>
      </w:r>
      <w:r w:rsidR="00B45390" w:rsidRPr="00FD211F">
        <w:rPr>
          <w:sz w:val="36"/>
          <w:szCs w:val="36"/>
          <w:rtl/>
        </w:rPr>
        <w:t>الانوار</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التعريف</w:t>
      </w:r>
      <w:r w:rsidR="00E8128F">
        <w:rPr>
          <w:sz w:val="36"/>
          <w:szCs w:val="36"/>
          <w:rtl/>
        </w:rPr>
        <w:t xml:space="preserve"> </w:t>
      </w:r>
      <w:r w:rsidRPr="00FD211F">
        <w:rPr>
          <w:sz w:val="36"/>
          <w:szCs w:val="36"/>
          <w:rtl/>
        </w:rPr>
        <w:t>بالفصل</w:t>
      </w:r>
      <w:r w:rsidR="00E8128F">
        <w:rPr>
          <w:sz w:val="36"/>
          <w:szCs w:val="36"/>
          <w:rtl/>
        </w:rPr>
        <w:t xml:space="preserve"> </w:t>
      </w:r>
      <w:r w:rsidR="00B45390" w:rsidRPr="00FD211F">
        <w:rPr>
          <w:sz w:val="36"/>
          <w:szCs w:val="36"/>
          <w:rtl/>
        </w:rPr>
        <w:t>في</w:t>
      </w:r>
      <w:r w:rsidR="00E8128F">
        <w:rPr>
          <w:sz w:val="36"/>
          <w:szCs w:val="36"/>
          <w:rtl/>
        </w:rPr>
        <w:t xml:space="preserve"> </w:t>
      </w:r>
      <w:r w:rsidR="00B45390" w:rsidRPr="00FD211F">
        <w:rPr>
          <w:sz w:val="36"/>
          <w:szCs w:val="36"/>
          <w:rtl/>
        </w:rPr>
        <w:t>مثل</w:t>
      </w:r>
      <w:r w:rsidR="00E8128F">
        <w:rPr>
          <w:sz w:val="36"/>
          <w:szCs w:val="36"/>
          <w:rtl/>
        </w:rPr>
        <w:t xml:space="preserve"> </w:t>
      </w:r>
      <w:r w:rsidR="00B45390" w:rsidRPr="00FD211F">
        <w:rPr>
          <w:sz w:val="36"/>
          <w:szCs w:val="36"/>
          <w:rtl/>
        </w:rPr>
        <w:t>قولنا</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ناطق</w:t>
      </w:r>
      <w:r w:rsidR="00E8128F">
        <w:rPr>
          <w:sz w:val="36"/>
          <w:szCs w:val="36"/>
          <w:rtl/>
        </w:rPr>
        <w:t xml:space="preserve"> </w:t>
      </w:r>
      <w:r w:rsidR="00B45390" w:rsidRPr="00FD211F">
        <w:rPr>
          <w:sz w:val="36"/>
          <w:szCs w:val="36"/>
          <w:rtl/>
        </w:rPr>
        <w:t>يكون</w:t>
      </w:r>
      <w:r w:rsidR="00E8128F">
        <w:rPr>
          <w:sz w:val="36"/>
          <w:szCs w:val="36"/>
          <w:rtl/>
        </w:rPr>
        <w:t xml:space="preserve"> </w:t>
      </w:r>
      <w:r w:rsidR="00B45390" w:rsidRPr="00FD211F">
        <w:rPr>
          <w:sz w:val="36"/>
          <w:szCs w:val="36"/>
          <w:rtl/>
        </w:rPr>
        <w:t>مركبا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التعريف</w:t>
      </w:r>
      <w:r w:rsidR="00E8128F">
        <w:rPr>
          <w:sz w:val="36"/>
          <w:szCs w:val="36"/>
          <w:rtl/>
        </w:rPr>
        <w:t xml:space="preserve"> </w:t>
      </w:r>
      <w:r w:rsidRPr="00FD211F">
        <w:rPr>
          <w:sz w:val="36"/>
          <w:szCs w:val="36"/>
          <w:rtl/>
        </w:rPr>
        <w:t>بانه</w:t>
      </w:r>
      <w:r w:rsidR="00E8128F">
        <w:rPr>
          <w:sz w:val="36"/>
          <w:szCs w:val="36"/>
          <w:rtl/>
        </w:rPr>
        <w:t xml:space="preserve"> </w:t>
      </w:r>
      <w:r w:rsidR="008D7B3D" w:rsidRPr="00FD211F">
        <w:rPr>
          <w:sz w:val="36"/>
          <w:szCs w:val="36"/>
          <w:rtl/>
        </w:rPr>
        <w:t>شيء</w:t>
      </w:r>
      <w:r w:rsidR="00E8128F">
        <w:rPr>
          <w:sz w:val="36"/>
          <w:szCs w:val="36"/>
          <w:rtl/>
        </w:rPr>
        <w:t xml:space="preserve"> </w:t>
      </w:r>
      <w:r w:rsidRPr="00FD211F">
        <w:rPr>
          <w:sz w:val="36"/>
          <w:szCs w:val="36"/>
          <w:rtl/>
        </w:rPr>
        <w:t>وله</w:t>
      </w:r>
      <w:r w:rsidR="00E8128F">
        <w:rPr>
          <w:sz w:val="36"/>
          <w:szCs w:val="36"/>
          <w:rtl/>
        </w:rPr>
        <w:t xml:space="preserve"> </w:t>
      </w:r>
      <w:r w:rsidRPr="00FD211F">
        <w:rPr>
          <w:sz w:val="36"/>
          <w:szCs w:val="36"/>
          <w:rtl/>
        </w:rPr>
        <w:t>النطق</w:t>
      </w:r>
      <w:r w:rsidR="00E8128F">
        <w:rPr>
          <w:sz w:val="36"/>
          <w:szCs w:val="36"/>
          <w:rtl/>
        </w:rPr>
        <w:t xml:space="preserve"> </w:t>
      </w:r>
      <w:r w:rsidR="00D12DD7" w:rsidRPr="00FD211F">
        <w:rPr>
          <w:sz w:val="36"/>
          <w:szCs w:val="36"/>
          <w:rtl/>
        </w:rPr>
        <w:t>فاورد</w:t>
      </w:r>
      <w:r w:rsidR="00E8128F">
        <w:rPr>
          <w:sz w:val="36"/>
          <w:szCs w:val="36"/>
          <w:rtl/>
        </w:rPr>
        <w:t xml:space="preserve"> </w:t>
      </w:r>
      <w:r w:rsidR="00D12DD7" w:rsidRPr="00FD211F">
        <w:rPr>
          <w:sz w:val="36"/>
          <w:szCs w:val="36"/>
          <w:rtl/>
        </w:rPr>
        <w:t>عليه</w:t>
      </w:r>
      <w:r w:rsidR="00E8128F">
        <w:rPr>
          <w:sz w:val="36"/>
          <w:szCs w:val="36"/>
          <w:rtl/>
        </w:rPr>
        <w:t xml:space="preserve"> </w:t>
      </w:r>
      <w:r w:rsidR="00D12DD7" w:rsidRPr="00FD211F">
        <w:rPr>
          <w:sz w:val="36"/>
          <w:szCs w:val="36"/>
          <w:rtl/>
        </w:rPr>
        <w:t>السيد</w:t>
      </w:r>
      <w:r w:rsidR="00E8128F">
        <w:rPr>
          <w:sz w:val="36"/>
          <w:szCs w:val="36"/>
          <w:rtl/>
        </w:rPr>
        <w:t xml:space="preserve"> </w:t>
      </w:r>
      <w:r w:rsidR="00D12DD7" w:rsidRPr="00FD211F">
        <w:rPr>
          <w:sz w:val="36"/>
          <w:szCs w:val="36"/>
          <w:rtl/>
        </w:rPr>
        <w:t>الشريف</w:t>
      </w:r>
      <w:r w:rsidR="00E8128F">
        <w:rPr>
          <w:sz w:val="36"/>
          <w:szCs w:val="36"/>
          <w:rtl/>
        </w:rPr>
        <w:t xml:space="preserve"> </w:t>
      </w:r>
      <w:r w:rsidR="00D12DD7" w:rsidRPr="00FD211F">
        <w:rPr>
          <w:sz w:val="36"/>
          <w:szCs w:val="36"/>
          <w:rtl/>
        </w:rPr>
        <w:t>بانه</w:t>
      </w:r>
      <w:r w:rsidR="00E8128F">
        <w:rPr>
          <w:sz w:val="36"/>
          <w:szCs w:val="36"/>
          <w:rtl/>
        </w:rPr>
        <w:t xml:space="preserve"> </w:t>
      </w:r>
      <w:r w:rsidRPr="00FD211F">
        <w:rPr>
          <w:sz w:val="36"/>
          <w:szCs w:val="36"/>
          <w:rtl/>
        </w:rPr>
        <w:t>يلزم</w:t>
      </w:r>
      <w:r w:rsidR="00E8128F">
        <w:rPr>
          <w:sz w:val="36"/>
          <w:szCs w:val="36"/>
          <w:rtl/>
        </w:rPr>
        <w:t xml:space="preserve"> </w:t>
      </w:r>
      <w:r w:rsidRPr="00FD211F">
        <w:rPr>
          <w:sz w:val="36"/>
          <w:szCs w:val="36"/>
          <w:rtl/>
        </w:rPr>
        <w:t>دخول</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الفصل</w:t>
      </w:r>
      <w:r w:rsidR="00E8128F">
        <w:rPr>
          <w:sz w:val="36"/>
          <w:szCs w:val="36"/>
          <w:rtl/>
        </w:rPr>
        <w:t xml:space="preserve"> </w:t>
      </w:r>
      <w:r w:rsidRPr="00FD211F">
        <w:rPr>
          <w:sz w:val="36"/>
          <w:szCs w:val="36"/>
          <w:rtl/>
        </w:rPr>
        <w:t>لافي</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الناطق</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قيل</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الناطق</w:t>
      </w:r>
      <w:r w:rsidR="00E8128F">
        <w:rPr>
          <w:sz w:val="36"/>
          <w:szCs w:val="36"/>
          <w:rtl/>
        </w:rPr>
        <w:t xml:space="preserve"> </w:t>
      </w:r>
      <w:r w:rsidRPr="00FD211F">
        <w:rPr>
          <w:sz w:val="36"/>
          <w:szCs w:val="36"/>
          <w:rtl/>
        </w:rPr>
        <w:t>بسيط</w:t>
      </w:r>
      <w:r w:rsidR="00E8128F">
        <w:rPr>
          <w:sz w:val="36"/>
          <w:szCs w:val="36"/>
          <w:rtl/>
        </w:rPr>
        <w:t xml:space="preserve"> </w:t>
      </w:r>
      <w:r w:rsidRPr="00FD211F">
        <w:rPr>
          <w:sz w:val="36"/>
          <w:szCs w:val="36"/>
          <w:rtl/>
        </w:rPr>
        <w:t>لكن</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مندرج</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الفصل</w:t>
      </w:r>
      <w:r w:rsidR="00E8128F">
        <w:rPr>
          <w:sz w:val="36"/>
          <w:szCs w:val="36"/>
          <w:rtl/>
        </w:rPr>
        <w:t xml:space="preserve"> </w:t>
      </w:r>
      <w:r w:rsidRPr="00FD211F">
        <w:rPr>
          <w:sz w:val="36"/>
          <w:szCs w:val="36"/>
          <w:rtl/>
        </w:rPr>
        <w:t>ويستفاد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دالّ</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توجه</w:t>
      </w:r>
      <w:r w:rsidR="00E8128F">
        <w:rPr>
          <w:sz w:val="36"/>
          <w:szCs w:val="36"/>
          <w:rtl/>
        </w:rPr>
        <w:t xml:space="preserve"> </w:t>
      </w:r>
      <w:r w:rsidRPr="00FD211F">
        <w:rPr>
          <w:sz w:val="36"/>
          <w:szCs w:val="36"/>
          <w:rtl/>
        </w:rPr>
        <w:t>اشكاله</w:t>
      </w:r>
      <w:r w:rsidR="00E8128F">
        <w:rPr>
          <w:sz w:val="36"/>
          <w:szCs w:val="36"/>
          <w:rtl/>
        </w:rPr>
        <w:t xml:space="preserve"> </w:t>
      </w:r>
      <w:r w:rsidRPr="00FD211F">
        <w:rPr>
          <w:sz w:val="36"/>
          <w:szCs w:val="36"/>
          <w:rtl/>
        </w:rPr>
        <w:t>ايضا</w:t>
      </w:r>
      <w:r w:rsidR="009C58C8" w:rsidRPr="00FD211F">
        <w:rPr>
          <w:rStyle w:val="a6"/>
          <w:sz w:val="36"/>
          <w:szCs w:val="36"/>
          <w:rtl/>
        </w:rPr>
        <w:t>(</w:t>
      </w:r>
      <w:r w:rsidR="009C58C8" w:rsidRPr="00FD211F">
        <w:rPr>
          <w:rStyle w:val="a6"/>
          <w:sz w:val="36"/>
          <w:szCs w:val="36"/>
          <w:rtl/>
        </w:rPr>
        <w:footnoteReference w:id="594"/>
      </w:r>
      <w:r w:rsidR="009C58C8" w:rsidRPr="00FD211F">
        <w:rPr>
          <w:rStyle w:val="a6"/>
          <w:sz w:val="36"/>
          <w:szCs w:val="36"/>
          <w:rtl/>
        </w:rPr>
        <w:t>)</w:t>
      </w:r>
      <w:r w:rsidR="00603323" w:rsidRPr="00FD211F">
        <w:rPr>
          <w:sz w:val="36"/>
          <w:szCs w:val="36"/>
          <w:rtl/>
        </w:rPr>
        <w:t>،</w:t>
      </w:r>
      <w:r w:rsidR="00E8128F">
        <w:rPr>
          <w:sz w:val="36"/>
          <w:szCs w:val="36"/>
          <w:rtl/>
        </w:rPr>
        <w:t xml:space="preserve"> </w:t>
      </w:r>
      <w:r w:rsidR="00D12DD7" w:rsidRPr="00FD211F">
        <w:rPr>
          <w:sz w:val="36"/>
          <w:szCs w:val="36"/>
          <w:rtl/>
        </w:rPr>
        <w:t>ففيه</w:t>
      </w:r>
      <w:r w:rsidR="00E8128F">
        <w:rPr>
          <w:sz w:val="36"/>
          <w:szCs w:val="36"/>
          <w:rtl/>
        </w:rPr>
        <w:t xml:space="preserve"> </w:t>
      </w:r>
      <w:r w:rsidR="00D12DD7" w:rsidRPr="00FD211F">
        <w:rPr>
          <w:sz w:val="36"/>
          <w:szCs w:val="36"/>
          <w:rtl/>
        </w:rPr>
        <w:t>ان</w:t>
      </w:r>
      <w:r w:rsidR="00E8128F">
        <w:rPr>
          <w:sz w:val="36"/>
          <w:szCs w:val="36"/>
          <w:rtl/>
        </w:rPr>
        <w:t xml:space="preserve"> </w:t>
      </w:r>
      <w:r w:rsidR="00D12DD7" w:rsidRPr="00FD211F">
        <w:rPr>
          <w:sz w:val="36"/>
          <w:szCs w:val="36"/>
          <w:rtl/>
        </w:rPr>
        <w:t>كلام</w:t>
      </w:r>
      <w:r w:rsidR="00E8128F">
        <w:rPr>
          <w:sz w:val="36"/>
          <w:szCs w:val="36"/>
          <w:rtl/>
        </w:rPr>
        <w:t xml:space="preserve"> </w:t>
      </w:r>
      <w:r w:rsidR="00D12DD7" w:rsidRPr="00FD211F">
        <w:rPr>
          <w:sz w:val="36"/>
          <w:szCs w:val="36"/>
          <w:rtl/>
        </w:rPr>
        <w:t>المحقق</w:t>
      </w:r>
      <w:r w:rsidR="00E8128F">
        <w:rPr>
          <w:sz w:val="36"/>
          <w:szCs w:val="36"/>
          <w:rtl/>
        </w:rPr>
        <w:t xml:space="preserve"> </w:t>
      </w:r>
      <w:r w:rsidR="00D12DD7" w:rsidRPr="00FD211F">
        <w:rPr>
          <w:sz w:val="36"/>
          <w:szCs w:val="36"/>
          <w:rtl/>
        </w:rPr>
        <w:t>الشريف</w:t>
      </w:r>
      <w:r w:rsidR="00E8128F">
        <w:rPr>
          <w:sz w:val="36"/>
          <w:szCs w:val="36"/>
          <w:rtl/>
        </w:rPr>
        <w:t xml:space="preserve"> </w:t>
      </w:r>
      <w:r w:rsidR="00D12DD7" w:rsidRPr="00FD211F">
        <w:rPr>
          <w:sz w:val="36"/>
          <w:szCs w:val="36"/>
          <w:rtl/>
        </w:rPr>
        <w:t>كالصريح</w:t>
      </w:r>
      <w:r w:rsidR="00E8128F">
        <w:rPr>
          <w:sz w:val="36"/>
          <w:szCs w:val="36"/>
          <w:rtl/>
        </w:rPr>
        <w:t xml:space="preserve"> </w:t>
      </w:r>
      <w:r w:rsidR="00D12DD7" w:rsidRPr="00FD211F">
        <w:rPr>
          <w:sz w:val="36"/>
          <w:szCs w:val="36"/>
          <w:rtl/>
        </w:rPr>
        <w:t>في</w:t>
      </w:r>
      <w:r w:rsidR="00E8128F">
        <w:rPr>
          <w:sz w:val="36"/>
          <w:szCs w:val="36"/>
          <w:rtl/>
        </w:rPr>
        <w:t xml:space="preserve"> </w:t>
      </w:r>
      <w:r w:rsidR="00D12DD7" w:rsidRPr="00FD211F">
        <w:rPr>
          <w:sz w:val="36"/>
          <w:szCs w:val="36"/>
          <w:rtl/>
        </w:rPr>
        <w:t>نفي</w:t>
      </w:r>
      <w:r w:rsidR="00E8128F">
        <w:rPr>
          <w:sz w:val="36"/>
          <w:szCs w:val="36"/>
          <w:rtl/>
        </w:rPr>
        <w:t xml:space="preserve"> </w:t>
      </w:r>
      <w:r w:rsidR="00D12DD7" w:rsidRPr="00FD211F">
        <w:rPr>
          <w:sz w:val="36"/>
          <w:szCs w:val="36"/>
          <w:rtl/>
        </w:rPr>
        <w:t>اخذ</w:t>
      </w:r>
      <w:r w:rsidR="00E8128F">
        <w:rPr>
          <w:sz w:val="36"/>
          <w:szCs w:val="36"/>
          <w:rtl/>
        </w:rPr>
        <w:t xml:space="preserve"> </w:t>
      </w:r>
      <w:r w:rsidR="00D12DD7" w:rsidRPr="00FD211F">
        <w:rPr>
          <w:sz w:val="36"/>
          <w:szCs w:val="36"/>
          <w:rtl/>
        </w:rPr>
        <w:t>مفهوم</w:t>
      </w:r>
      <w:r w:rsidR="00E8128F">
        <w:rPr>
          <w:sz w:val="36"/>
          <w:szCs w:val="36"/>
          <w:rtl/>
        </w:rPr>
        <w:t xml:space="preserve"> </w:t>
      </w:r>
      <w:r w:rsidR="00D12DD7" w:rsidRPr="00FD211F">
        <w:rPr>
          <w:sz w:val="36"/>
          <w:szCs w:val="36"/>
          <w:rtl/>
        </w:rPr>
        <w:t>ال</w:t>
      </w:r>
      <w:r w:rsidR="008D7B3D" w:rsidRPr="00FD211F">
        <w:rPr>
          <w:sz w:val="36"/>
          <w:szCs w:val="36"/>
          <w:rtl/>
        </w:rPr>
        <w:t>شيء</w:t>
      </w:r>
      <w:r w:rsidR="00E8128F">
        <w:rPr>
          <w:sz w:val="36"/>
          <w:szCs w:val="36"/>
          <w:rtl/>
        </w:rPr>
        <w:t xml:space="preserve"> </w:t>
      </w:r>
      <w:r w:rsidR="00D12DD7" w:rsidRPr="00FD211F">
        <w:rPr>
          <w:sz w:val="36"/>
          <w:szCs w:val="36"/>
          <w:rtl/>
        </w:rPr>
        <w:t>او</w:t>
      </w:r>
      <w:r w:rsidR="00E8128F">
        <w:rPr>
          <w:sz w:val="36"/>
          <w:szCs w:val="36"/>
          <w:rtl/>
        </w:rPr>
        <w:t xml:space="preserve"> </w:t>
      </w:r>
      <w:r w:rsidR="00D12DD7" w:rsidRPr="00FD211F">
        <w:rPr>
          <w:sz w:val="36"/>
          <w:szCs w:val="36"/>
          <w:rtl/>
        </w:rPr>
        <w:t>مصداقه</w:t>
      </w:r>
      <w:r w:rsidR="00E8128F">
        <w:rPr>
          <w:sz w:val="36"/>
          <w:szCs w:val="36"/>
          <w:rtl/>
        </w:rPr>
        <w:t xml:space="preserve"> </w:t>
      </w:r>
      <w:r w:rsidR="00D12DD7" w:rsidRPr="00FD211F">
        <w:rPr>
          <w:sz w:val="36"/>
          <w:szCs w:val="36"/>
          <w:rtl/>
        </w:rPr>
        <w:t>في</w:t>
      </w:r>
      <w:r w:rsidR="00E8128F">
        <w:rPr>
          <w:sz w:val="36"/>
          <w:szCs w:val="36"/>
          <w:rtl/>
        </w:rPr>
        <w:t xml:space="preserve"> </w:t>
      </w:r>
      <w:r w:rsidR="00D12DD7" w:rsidRPr="00FD211F">
        <w:rPr>
          <w:sz w:val="36"/>
          <w:szCs w:val="36"/>
          <w:rtl/>
        </w:rPr>
        <w:t>المشتق</w:t>
      </w:r>
      <w:r w:rsidR="00603323" w:rsidRPr="00FD211F">
        <w:rPr>
          <w:sz w:val="36"/>
          <w:szCs w:val="36"/>
          <w:rtl/>
        </w:rPr>
        <w:t>،</w:t>
      </w:r>
      <w:r w:rsidR="00E8128F">
        <w:rPr>
          <w:sz w:val="36"/>
          <w:szCs w:val="36"/>
          <w:rtl/>
        </w:rPr>
        <w:t xml:space="preserve"> </w:t>
      </w:r>
      <w:r w:rsidR="00D12DD7" w:rsidRPr="00FD211F">
        <w:rPr>
          <w:sz w:val="36"/>
          <w:szCs w:val="36"/>
          <w:rtl/>
        </w:rPr>
        <w:t>حيث</w:t>
      </w:r>
      <w:r w:rsidR="00E8128F">
        <w:rPr>
          <w:sz w:val="36"/>
          <w:szCs w:val="36"/>
          <w:rtl/>
        </w:rPr>
        <w:t xml:space="preserve"> </w:t>
      </w:r>
      <w:r w:rsidR="00360F5C" w:rsidRPr="00FD211F">
        <w:rPr>
          <w:sz w:val="36"/>
          <w:szCs w:val="36"/>
          <w:rtl/>
        </w:rPr>
        <w:t>اورد</w:t>
      </w:r>
      <w:r w:rsidR="00E8128F">
        <w:rPr>
          <w:sz w:val="36"/>
          <w:szCs w:val="36"/>
          <w:rtl/>
        </w:rPr>
        <w:t xml:space="preserve"> </w:t>
      </w:r>
      <w:r w:rsidR="00360F5C" w:rsidRPr="00FD211F">
        <w:rPr>
          <w:sz w:val="36"/>
          <w:szCs w:val="36"/>
          <w:rtl/>
        </w:rPr>
        <w:t>على</w:t>
      </w:r>
      <w:r w:rsidR="00E8128F">
        <w:rPr>
          <w:sz w:val="36"/>
          <w:szCs w:val="36"/>
          <w:rtl/>
        </w:rPr>
        <w:t xml:space="preserve"> </w:t>
      </w:r>
      <w:r w:rsidR="00D12DD7" w:rsidRPr="00FD211F">
        <w:rPr>
          <w:sz w:val="36"/>
          <w:szCs w:val="36"/>
          <w:rtl/>
        </w:rPr>
        <w:t>صاحب</w:t>
      </w:r>
      <w:r w:rsidR="00E8128F">
        <w:rPr>
          <w:sz w:val="36"/>
          <w:szCs w:val="36"/>
          <w:rtl/>
        </w:rPr>
        <w:t xml:space="preserve"> </w:t>
      </w:r>
      <w:r w:rsidR="00360F5C" w:rsidRPr="00FD211F">
        <w:rPr>
          <w:sz w:val="36"/>
          <w:szCs w:val="36"/>
          <w:rtl/>
        </w:rPr>
        <w:t>شرح</w:t>
      </w:r>
      <w:r w:rsidR="00E8128F">
        <w:rPr>
          <w:sz w:val="36"/>
          <w:szCs w:val="36"/>
          <w:rtl/>
        </w:rPr>
        <w:t xml:space="preserve"> </w:t>
      </w:r>
      <w:r w:rsidR="00D12DD7" w:rsidRPr="00FD211F">
        <w:rPr>
          <w:sz w:val="36"/>
          <w:szCs w:val="36"/>
          <w:rtl/>
        </w:rPr>
        <w:t>المطالع</w:t>
      </w:r>
      <w:r w:rsidR="00E8128F">
        <w:rPr>
          <w:sz w:val="36"/>
          <w:szCs w:val="36"/>
          <w:rtl/>
        </w:rPr>
        <w:t xml:space="preserve"> </w:t>
      </w:r>
      <w:r w:rsidR="00360F5C" w:rsidRPr="00FD211F">
        <w:rPr>
          <w:sz w:val="36"/>
          <w:szCs w:val="36"/>
          <w:rtl/>
        </w:rPr>
        <w:t>–الذي</w:t>
      </w:r>
      <w:r w:rsidR="00E8128F">
        <w:rPr>
          <w:sz w:val="36"/>
          <w:szCs w:val="36"/>
          <w:rtl/>
        </w:rPr>
        <w:t xml:space="preserve"> </w:t>
      </w:r>
      <w:r w:rsidR="00360F5C" w:rsidRPr="00FD211F">
        <w:rPr>
          <w:sz w:val="36"/>
          <w:szCs w:val="36"/>
          <w:rtl/>
        </w:rPr>
        <w:t>قال</w:t>
      </w:r>
      <w:r w:rsidR="00E8128F">
        <w:rPr>
          <w:sz w:val="36"/>
          <w:szCs w:val="36"/>
          <w:rtl/>
        </w:rPr>
        <w:t xml:space="preserve"> </w:t>
      </w:r>
      <w:r w:rsidR="00D12DD7" w:rsidRPr="00FD211F">
        <w:rPr>
          <w:sz w:val="36"/>
          <w:szCs w:val="36"/>
          <w:rtl/>
        </w:rPr>
        <w:t>ان</w:t>
      </w:r>
      <w:r w:rsidR="00E8128F">
        <w:rPr>
          <w:sz w:val="36"/>
          <w:szCs w:val="36"/>
          <w:rtl/>
        </w:rPr>
        <w:t xml:space="preserve"> </w:t>
      </w:r>
      <w:r w:rsidR="00D12DD7" w:rsidRPr="00FD211F">
        <w:rPr>
          <w:sz w:val="36"/>
          <w:szCs w:val="36"/>
          <w:rtl/>
        </w:rPr>
        <w:t>المشتق</w:t>
      </w:r>
      <w:r w:rsidR="00E8128F">
        <w:rPr>
          <w:sz w:val="36"/>
          <w:szCs w:val="36"/>
          <w:rtl/>
        </w:rPr>
        <w:t xml:space="preserve"> </w:t>
      </w:r>
      <w:r w:rsidR="00D12DD7" w:rsidRPr="00FD211F">
        <w:rPr>
          <w:sz w:val="36"/>
          <w:szCs w:val="36"/>
          <w:rtl/>
        </w:rPr>
        <w:t>وان</w:t>
      </w:r>
      <w:r w:rsidR="00E8128F">
        <w:rPr>
          <w:sz w:val="36"/>
          <w:szCs w:val="36"/>
          <w:rtl/>
        </w:rPr>
        <w:t xml:space="preserve"> </w:t>
      </w:r>
      <w:r w:rsidR="00D12DD7" w:rsidRPr="00FD211F">
        <w:rPr>
          <w:sz w:val="36"/>
          <w:szCs w:val="36"/>
          <w:rtl/>
        </w:rPr>
        <w:t>كان</w:t>
      </w:r>
      <w:r w:rsidR="00E8128F">
        <w:rPr>
          <w:sz w:val="36"/>
          <w:szCs w:val="36"/>
          <w:rtl/>
        </w:rPr>
        <w:t xml:space="preserve"> </w:t>
      </w:r>
      <w:r w:rsidR="00D12DD7" w:rsidRPr="00FD211F">
        <w:rPr>
          <w:sz w:val="36"/>
          <w:szCs w:val="36"/>
          <w:rtl/>
        </w:rPr>
        <w:t>في</w:t>
      </w:r>
      <w:r w:rsidR="00E8128F">
        <w:rPr>
          <w:sz w:val="36"/>
          <w:szCs w:val="36"/>
          <w:rtl/>
        </w:rPr>
        <w:t xml:space="preserve"> </w:t>
      </w:r>
      <w:r w:rsidR="00D12DD7" w:rsidRPr="00FD211F">
        <w:rPr>
          <w:sz w:val="36"/>
          <w:szCs w:val="36"/>
          <w:rtl/>
        </w:rPr>
        <w:t>اللفظ</w:t>
      </w:r>
      <w:r w:rsidR="00E8128F">
        <w:rPr>
          <w:sz w:val="36"/>
          <w:szCs w:val="36"/>
          <w:rtl/>
        </w:rPr>
        <w:t xml:space="preserve"> </w:t>
      </w:r>
      <w:r w:rsidR="00D12DD7" w:rsidRPr="00FD211F">
        <w:rPr>
          <w:sz w:val="36"/>
          <w:szCs w:val="36"/>
          <w:rtl/>
        </w:rPr>
        <w:t>مفردا</w:t>
      </w:r>
      <w:r w:rsidR="00E8128F">
        <w:rPr>
          <w:sz w:val="36"/>
          <w:szCs w:val="36"/>
          <w:rtl/>
        </w:rPr>
        <w:t xml:space="preserve"> </w:t>
      </w:r>
      <w:r w:rsidR="00D12DD7" w:rsidRPr="00FD211F">
        <w:rPr>
          <w:sz w:val="36"/>
          <w:szCs w:val="36"/>
          <w:rtl/>
        </w:rPr>
        <w:t>الا</w:t>
      </w:r>
      <w:r w:rsidR="00E8128F">
        <w:rPr>
          <w:sz w:val="36"/>
          <w:szCs w:val="36"/>
          <w:rtl/>
        </w:rPr>
        <w:t xml:space="preserve"> </w:t>
      </w:r>
      <w:r w:rsidR="00D12DD7" w:rsidRPr="00FD211F">
        <w:rPr>
          <w:sz w:val="36"/>
          <w:szCs w:val="36"/>
          <w:rtl/>
        </w:rPr>
        <w:t>ان</w:t>
      </w:r>
      <w:r w:rsidR="00E8128F">
        <w:rPr>
          <w:sz w:val="36"/>
          <w:szCs w:val="36"/>
          <w:rtl/>
        </w:rPr>
        <w:t xml:space="preserve"> </w:t>
      </w:r>
      <w:r w:rsidR="00D12DD7" w:rsidRPr="00FD211F">
        <w:rPr>
          <w:sz w:val="36"/>
          <w:szCs w:val="36"/>
          <w:rtl/>
        </w:rPr>
        <w:t>معناه</w:t>
      </w:r>
      <w:r w:rsidR="00E8128F">
        <w:rPr>
          <w:sz w:val="36"/>
          <w:szCs w:val="36"/>
          <w:rtl/>
        </w:rPr>
        <w:t xml:space="preserve"> </w:t>
      </w:r>
      <w:r w:rsidR="00190839" w:rsidRPr="00FD211F">
        <w:rPr>
          <w:sz w:val="36"/>
          <w:szCs w:val="36"/>
          <w:rtl/>
        </w:rPr>
        <w:t>"</w:t>
      </w:r>
      <w:r w:rsidR="008D7B3D" w:rsidRPr="00FD211F">
        <w:rPr>
          <w:sz w:val="36"/>
          <w:szCs w:val="36"/>
          <w:rtl/>
        </w:rPr>
        <w:t>شيء</w:t>
      </w:r>
      <w:r w:rsidR="00E8128F">
        <w:rPr>
          <w:sz w:val="36"/>
          <w:szCs w:val="36"/>
          <w:rtl/>
        </w:rPr>
        <w:t xml:space="preserve"> </w:t>
      </w:r>
      <w:r w:rsidR="00D12DD7" w:rsidRPr="00FD211F">
        <w:rPr>
          <w:sz w:val="36"/>
          <w:szCs w:val="36"/>
          <w:rtl/>
        </w:rPr>
        <w:t>له</w:t>
      </w:r>
      <w:r w:rsidR="00E8128F">
        <w:rPr>
          <w:sz w:val="36"/>
          <w:szCs w:val="36"/>
          <w:rtl/>
        </w:rPr>
        <w:t xml:space="preserve"> </w:t>
      </w:r>
      <w:r w:rsidR="00D12DD7" w:rsidRPr="00FD211F">
        <w:rPr>
          <w:sz w:val="36"/>
          <w:szCs w:val="36"/>
          <w:rtl/>
        </w:rPr>
        <w:t>المبدأ</w:t>
      </w:r>
      <w:r w:rsidR="00190839" w:rsidRPr="00FD211F">
        <w:rPr>
          <w:sz w:val="36"/>
          <w:szCs w:val="36"/>
          <w:rtl/>
        </w:rPr>
        <w:t>"</w:t>
      </w:r>
      <w:r w:rsidR="00E8128F">
        <w:rPr>
          <w:sz w:val="36"/>
          <w:szCs w:val="36"/>
          <w:rtl/>
        </w:rPr>
        <w:t xml:space="preserve"> </w:t>
      </w:r>
      <w:r w:rsidR="00D12DD7" w:rsidRPr="00FD211F">
        <w:rPr>
          <w:sz w:val="36"/>
          <w:szCs w:val="36"/>
          <w:rtl/>
        </w:rPr>
        <w:t>فيكون</w:t>
      </w:r>
      <w:r w:rsidR="00E8128F">
        <w:rPr>
          <w:sz w:val="36"/>
          <w:szCs w:val="36"/>
          <w:rtl/>
        </w:rPr>
        <w:t xml:space="preserve"> </w:t>
      </w:r>
      <w:r w:rsidR="00D12DD7" w:rsidRPr="00FD211F">
        <w:rPr>
          <w:sz w:val="36"/>
          <w:szCs w:val="36"/>
          <w:rtl/>
        </w:rPr>
        <w:t>من</w:t>
      </w:r>
      <w:r w:rsidR="00E8128F">
        <w:rPr>
          <w:sz w:val="36"/>
          <w:szCs w:val="36"/>
          <w:rtl/>
        </w:rPr>
        <w:t xml:space="preserve"> </w:t>
      </w:r>
      <w:r w:rsidR="00D12DD7" w:rsidRPr="00FD211F">
        <w:rPr>
          <w:sz w:val="36"/>
          <w:szCs w:val="36"/>
          <w:rtl/>
        </w:rPr>
        <w:t>حيث</w:t>
      </w:r>
      <w:r w:rsidR="00E8128F">
        <w:rPr>
          <w:sz w:val="36"/>
          <w:szCs w:val="36"/>
          <w:rtl/>
        </w:rPr>
        <w:t xml:space="preserve"> </w:t>
      </w:r>
      <w:r w:rsidR="00D12DD7" w:rsidRPr="00FD211F">
        <w:rPr>
          <w:sz w:val="36"/>
          <w:szCs w:val="36"/>
          <w:rtl/>
        </w:rPr>
        <w:t>المعنى</w:t>
      </w:r>
      <w:r w:rsidR="00E8128F">
        <w:rPr>
          <w:sz w:val="36"/>
          <w:szCs w:val="36"/>
          <w:rtl/>
        </w:rPr>
        <w:t xml:space="preserve"> </w:t>
      </w:r>
      <w:r w:rsidR="00D12DD7" w:rsidRPr="00FD211F">
        <w:rPr>
          <w:sz w:val="36"/>
          <w:szCs w:val="36"/>
          <w:rtl/>
        </w:rPr>
        <w:t>مركبا</w:t>
      </w:r>
      <w:r w:rsidR="00360F5C" w:rsidRPr="00FD211F">
        <w:rPr>
          <w:sz w:val="36"/>
          <w:szCs w:val="36"/>
          <w:rtl/>
        </w:rPr>
        <w:t>-</w:t>
      </w:r>
      <w:r w:rsidR="00E8128F">
        <w:rPr>
          <w:sz w:val="36"/>
          <w:szCs w:val="36"/>
          <w:rtl/>
        </w:rPr>
        <w:t xml:space="preserve"> </w:t>
      </w:r>
      <w:r w:rsidR="00D12DD7" w:rsidRPr="00FD211F">
        <w:rPr>
          <w:sz w:val="36"/>
          <w:szCs w:val="36"/>
          <w:rtl/>
        </w:rPr>
        <w:t>ان</w:t>
      </w:r>
      <w:r w:rsidR="00E8128F">
        <w:rPr>
          <w:sz w:val="36"/>
          <w:szCs w:val="36"/>
          <w:rtl/>
        </w:rPr>
        <w:t xml:space="preserve"> </w:t>
      </w:r>
      <w:r w:rsidR="00D12DD7" w:rsidRPr="00FD211F">
        <w:rPr>
          <w:sz w:val="36"/>
          <w:szCs w:val="36"/>
          <w:rtl/>
        </w:rPr>
        <w:t>مفهوم</w:t>
      </w:r>
      <w:r w:rsidR="00E8128F">
        <w:rPr>
          <w:sz w:val="36"/>
          <w:szCs w:val="36"/>
          <w:rtl/>
        </w:rPr>
        <w:t xml:space="preserve"> </w:t>
      </w:r>
      <w:r w:rsidR="00D12DD7" w:rsidRPr="00FD211F">
        <w:rPr>
          <w:sz w:val="36"/>
          <w:szCs w:val="36"/>
          <w:rtl/>
        </w:rPr>
        <w:t>ال</w:t>
      </w:r>
      <w:r w:rsidR="008D7B3D" w:rsidRPr="00FD211F">
        <w:rPr>
          <w:sz w:val="36"/>
          <w:szCs w:val="36"/>
          <w:rtl/>
        </w:rPr>
        <w:t>شيء</w:t>
      </w:r>
      <w:r w:rsidR="00E8128F">
        <w:rPr>
          <w:sz w:val="36"/>
          <w:szCs w:val="36"/>
          <w:rtl/>
        </w:rPr>
        <w:t xml:space="preserve"> </w:t>
      </w:r>
      <w:r w:rsidR="00D12DD7" w:rsidRPr="00FD211F">
        <w:rPr>
          <w:sz w:val="36"/>
          <w:szCs w:val="36"/>
          <w:rtl/>
        </w:rPr>
        <w:t>لايعتبر</w:t>
      </w:r>
      <w:r w:rsidR="00E8128F">
        <w:rPr>
          <w:sz w:val="36"/>
          <w:szCs w:val="36"/>
          <w:rtl/>
        </w:rPr>
        <w:t xml:space="preserve"> </w:t>
      </w:r>
      <w:r w:rsidR="00D12DD7" w:rsidRPr="00FD211F">
        <w:rPr>
          <w:sz w:val="36"/>
          <w:szCs w:val="36"/>
          <w:rtl/>
        </w:rPr>
        <w:t>في</w:t>
      </w:r>
      <w:r w:rsidR="00E8128F">
        <w:rPr>
          <w:sz w:val="36"/>
          <w:szCs w:val="36"/>
          <w:rtl/>
        </w:rPr>
        <w:t xml:space="preserve"> </w:t>
      </w:r>
      <w:r w:rsidR="00D12DD7" w:rsidRPr="00FD211F">
        <w:rPr>
          <w:sz w:val="36"/>
          <w:szCs w:val="36"/>
          <w:rtl/>
        </w:rPr>
        <w:t>مفهوم</w:t>
      </w:r>
      <w:r w:rsidR="00E8128F">
        <w:rPr>
          <w:sz w:val="36"/>
          <w:szCs w:val="36"/>
          <w:rtl/>
        </w:rPr>
        <w:t xml:space="preserve"> </w:t>
      </w:r>
      <w:r w:rsidR="00D12DD7" w:rsidRPr="00FD211F">
        <w:rPr>
          <w:sz w:val="36"/>
          <w:szCs w:val="36"/>
          <w:rtl/>
        </w:rPr>
        <w:t>الناطق</w:t>
      </w:r>
      <w:r w:rsidR="00E8128F">
        <w:rPr>
          <w:sz w:val="36"/>
          <w:szCs w:val="36"/>
          <w:rtl/>
        </w:rPr>
        <w:t xml:space="preserve"> </w:t>
      </w:r>
      <w:r w:rsidR="00D12DD7" w:rsidRPr="00FD211F">
        <w:rPr>
          <w:sz w:val="36"/>
          <w:szCs w:val="36"/>
          <w:rtl/>
        </w:rPr>
        <w:t>مثلا</w:t>
      </w:r>
      <w:r w:rsidR="00E8128F">
        <w:rPr>
          <w:sz w:val="36"/>
          <w:szCs w:val="36"/>
          <w:rtl/>
        </w:rPr>
        <w:t xml:space="preserve"> </w:t>
      </w:r>
      <w:r w:rsidR="00D12DD7" w:rsidRPr="00FD211F">
        <w:rPr>
          <w:sz w:val="36"/>
          <w:szCs w:val="36"/>
          <w:rtl/>
        </w:rPr>
        <w:t>والا</w:t>
      </w:r>
      <w:r w:rsidR="00E8128F">
        <w:rPr>
          <w:sz w:val="36"/>
          <w:szCs w:val="36"/>
          <w:rtl/>
        </w:rPr>
        <w:t xml:space="preserve"> </w:t>
      </w:r>
      <w:r w:rsidR="00D12DD7" w:rsidRPr="00FD211F">
        <w:rPr>
          <w:sz w:val="36"/>
          <w:szCs w:val="36"/>
          <w:rtl/>
        </w:rPr>
        <w:t>لكان</w:t>
      </w:r>
      <w:r w:rsidR="00E8128F">
        <w:rPr>
          <w:sz w:val="36"/>
          <w:szCs w:val="36"/>
          <w:rtl/>
        </w:rPr>
        <w:t xml:space="preserve"> </w:t>
      </w:r>
      <w:r w:rsidR="00D12DD7" w:rsidRPr="00FD211F">
        <w:rPr>
          <w:sz w:val="36"/>
          <w:szCs w:val="36"/>
          <w:rtl/>
        </w:rPr>
        <w:t>العرض</w:t>
      </w:r>
      <w:r w:rsidR="00E8128F">
        <w:rPr>
          <w:sz w:val="36"/>
          <w:szCs w:val="36"/>
          <w:rtl/>
        </w:rPr>
        <w:t xml:space="preserve"> </w:t>
      </w:r>
      <w:r w:rsidR="00D12DD7" w:rsidRPr="00FD211F">
        <w:rPr>
          <w:sz w:val="36"/>
          <w:szCs w:val="36"/>
          <w:rtl/>
        </w:rPr>
        <w:t>العام</w:t>
      </w:r>
      <w:r w:rsidR="00E8128F">
        <w:rPr>
          <w:sz w:val="36"/>
          <w:szCs w:val="36"/>
          <w:rtl/>
        </w:rPr>
        <w:t xml:space="preserve"> </w:t>
      </w:r>
      <w:r w:rsidR="00D12DD7" w:rsidRPr="00FD211F">
        <w:rPr>
          <w:sz w:val="36"/>
          <w:szCs w:val="36"/>
          <w:rtl/>
        </w:rPr>
        <w:t>داخلا</w:t>
      </w:r>
      <w:r w:rsidR="00E8128F">
        <w:rPr>
          <w:sz w:val="36"/>
          <w:szCs w:val="36"/>
          <w:rtl/>
        </w:rPr>
        <w:t xml:space="preserve"> </w:t>
      </w:r>
      <w:r w:rsidR="00D12DD7" w:rsidRPr="00FD211F">
        <w:rPr>
          <w:sz w:val="36"/>
          <w:szCs w:val="36"/>
          <w:rtl/>
        </w:rPr>
        <w:t>في</w:t>
      </w:r>
      <w:r w:rsidR="00E8128F">
        <w:rPr>
          <w:sz w:val="36"/>
          <w:szCs w:val="36"/>
          <w:rtl/>
        </w:rPr>
        <w:t xml:space="preserve"> </w:t>
      </w:r>
      <w:r w:rsidR="00D12DD7" w:rsidRPr="00FD211F">
        <w:rPr>
          <w:sz w:val="36"/>
          <w:szCs w:val="36"/>
          <w:rtl/>
        </w:rPr>
        <w:t>الفصل</w:t>
      </w:r>
      <w:r w:rsidR="006B129C" w:rsidRPr="00FD211F">
        <w:rPr>
          <w:sz w:val="36"/>
          <w:szCs w:val="36"/>
          <w:rtl/>
        </w:rPr>
        <w:t>.</w:t>
      </w:r>
    </w:p>
    <w:p w14:paraId="49CB730A" w14:textId="77777777" w:rsidR="00C75523" w:rsidRPr="00FD211F" w:rsidRDefault="00027085" w:rsidP="009C58C8">
      <w:pPr>
        <w:ind w:left="0" w:firstLine="227"/>
        <w:jc w:val="both"/>
        <w:rPr>
          <w:sz w:val="36"/>
          <w:szCs w:val="36"/>
          <w:rtl/>
        </w:rPr>
      </w:pPr>
      <w:r w:rsidRPr="00FD211F">
        <w:rPr>
          <w:sz w:val="36"/>
          <w:szCs w:val="36"/>
          <w:rtl/>
        </w:rPr>
        <w:t>2-</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ان</w:t>
      </w:r>
      <w:r w:rsidR="00E8128F">
        <w:rPr>
          <w:sz w:val="36"/>
          <w:szCs w:val="36"/>
          <w:rtl/>
        </w:rPr>
        <w:t xml:space="preserve"> </w:t>
      </w:r>
      <w:r w:rsidR="00C75523" w:rsidRPr="00FD211F">
        <w:rPr>
          <w:sz w:val="36"/>
          <w:szCs w:val="36"/>
          <w:rtl/>
        </w:rPr>
        <w:t>مثل</w:t>
      </w:r>
      <w:r w:rsidR="00E8128F">
        <w:rPr>
          <w:sz w:val="36"/>
          <w:szCs w:val="36"/>
          <w:rtl/>
        </w:rPr>
        <w:t xml:space="preserve"> </w:t>
      </w:r>
      <w:r w:rsidR="00C75523" w:rsidRPr="00FD211F">
        <w:rPr>
          <w:sz w:val="36"/>
          <w:szCs w:val="36"/>
          <w:rtl/>
        </w:rPr>
        <w:t>الناطق</w:t>
      </w:r>
      <w:r w:rsidR="00E8128F">
        <w:rPr>
          <w:sz w:val="36"/>
          <w:szCs w:val="36"/>
          <w:rtl/>
        </w:rPr>
        <w:t xml:space="preserve"> </w:t>
      </w:r>
      <w:r w:rsidR="00C75523" w:rsidRPr="00FD211F">
        <w:rPr>
          <w:sz w:val="36"/>
          <w:szCs w:val="36"/>
          <w:rtl/>
        </w:rPr>
        <w:t>ليس</w:t>
      </w:r>
      <w:r w:rsidR="00E8128F">
        <w:rPr>
          <w:sz w:val="36"/>
          <w:szCs w:val="36"/>
          <w:rtl/>
        </w:rPr>
        <w:t xml:space="preserve"> </w:t>
      </w:r>
      <w:r w:rsidR="00C75523" w:rsidRPr="00FD211F">
        <w:rPr>
          <w:sz w:val="36"/>
          <w:szCs w:val="36"/>
          <w:rtl/>
        </w:rPr>
        <w:t>بفصل</w:t>
      </w:r>
      <w:r w:rsidR="00E8128F">
        <w:rPr>
          <w:sz w:val="36"/>
          <w:szCs w:val="36"/>
          <w:rtl/>
        </w:rPr>
        <w:t xml:space="preserve"> </w:t>
      </w:r>
      <w:r w:rsidR="00C75523" w:rsidRPr="00FD211F">
        <w:rPr>
          <w:sz w:val="36"/>
          <w:szCs w:val="36"/>
          <w:rtl/>
        </w:rPr>
        <w:t>حقيقي</w:t>
      </w:r>
      <w:r w:rsidR="00E8128F">
        <w:rPr>
          <w:sz w:val="36"/>
          <w:szCs w:val="36"/>
          <w:rtl/>
        </w:rPr>
        <w:t xml:space="preserve"> </w:t>
      </w:r>
      <w:r w:rsidR="00C75523" w:rsidRPr="00FD211F">
        <w:rPr>
          <w:sz w:val="36"/>
          <w:szCs w:val="36"/>
          <w:rtl/>
        </w:rPr>
        <w:t>بل</w:t>
      </w:r>
      <w:r w:rsidR="00E8128F">
        <w:rPr>
          <w:sz w:val="36"/>
          <w:szCs w:val="36"/>
          <w:rtl/>
        </w:rPr>
        <w:t xml:space="preserve"> </w:t>
      </w:r>
      <w:r w:rsidR="00C75523" w:rsidRPr="00FD211F">
        <w:rPr>
          <w:sz w:val="36"/>
          <w:szCs w:val="36"/>
          <w:rtl/>
        </w:rPr>
        <w:t>لازم</w:t>
      </w:r>
      <w:r w:rsidR="00E8128F">
        <w:rPr>
          <w:sz w:val="36"/>
          <w:szCs w:val="36"/>
          <w:rtl/>
        </w:rPr>
        <w:t xml:space="preserve"> </w:t>
      </w:r>
      <w:r w:rsidR="00C75523" w:rsidRPr="00FD211F">
        <w:rPr>
          <w:sz w:val="36"/>
          <w:szCs w:val="36"/>
          <w:rtl/>
        </w:rPr>
        <w:t>الفصل</w:t>
      </w:r>
      <w:r w:rsidR="00E8128F">
        <w:rPr>
          <w:sz w:val="36"/>
          <w:szCs w:val="36"/>
          <w:rtl/>
        </w:rPr>
        <w:t xml:space="preserve"> </w:t>
      </w:r>
      <w:r w:rsidR="00C75523" w:rsidRPr="00FD211F">
        <w:rPr>
          <w:sz w:val="36"/>
          <w:szCs w:val="36"/>
          <w:rtl/>
        </w:rPr>
        <w:t>واظهر</w:t>
      </w:r>
      <w:r w:rsidR="00E8128F">
        <w:rPr>
          <w:sz w:val="36"/>
          <w:szCs w:val="36"/>
          <w:rtl/>
        </w:rPr>
        <w:t xml:space="preserve"> </w:t>
      </w:r>
      <w:r w:rsidR="00C75523" w:rsidRPr="00FD211F">
        <w:rPr>
          <w:sz w:val="36"/>
          <w:szCs w:val="36"/>
          <w:rtl/>
        </w:rPr>
        <w:t>خواصه</w:t>
      </w:r>
      <w:r w:rsidR="00E8128F">
        <w:rPr>
          <w:sz w:val="36"/>
          <w:szCs w:val="36"/>
          <w:rtl/>
        </w:rPr>
        <w:t xml:space="preserve"> </w:t>
      </w:r>
      <w:r w:rsidR="00C75523" w:rsidRPr="00FD211F">
        <w:rPr>
          <w:sz w:val="36"/>
          <w:szCs w:val="36"/>
          <w:rtl/>
        </w:rPr>
        <w:t>لانه</w:t>
      </w:r>
      <w:r w:rsidR="00E8128F">
        <w:rPr>
          <w:sz w:val="36"/>
          <w:szCs w:val="36"/>
          <w:rtl/>
        </w:rPr>
        <w:t xml:space="preserve"> </w:t>
      </w:r>
      <w:r w:rsidR="00C75523" w:rsidRPr="00FD211F">
        <w:rPr>
          <w:sz w:val="36"/>
          <w:szCs w:val="36"/>
          <w:rtl/>
        </w:rPr>
        <w:t>لايكاد</w:t>
      </w:r>
      <w:r w:rsidR="00E8128F">
        <w:rPr>
          <w:sz w:val="36"/>
          <w:szCs w:val="36"/>
          <w:rtl/>
        </w:rPr>
        <w:t xml:space="preserve"> </w:t>
      </w:r>
      <w:r w:rsidR="00C75523" w:rsidRPr="00FD211F">
        <w:rPr>
          <w:sz w:val="36"/>
          <w:szCs w:val="36"/>
          <w:rtl/>
        </w:rPr>
        <w:t>يعلم</w:t>
      </w:r>
      <w:r w:rsidR="00E8128F">
        <w:rPr>
          <w:sz w:val="36"/>
          <w:szCs w:val="36"/>
          <w:rtl/>
        </w:rPr>
        <w:t xml:space="preserve"> </w:t>
      </w:r>
      <w:r w:rsidR="00C75523" w:rsidRPr="00FD211F">
        <w:rPr>
          <w:sz w:val="36"/>
          <w:szCs w:val="36"/>
          <w:rtl/>
        </w:rPr>
        <w:t>الفصل</w:t>
      </w:r>
      <w:r w:rsidR="00E8128F">
        <w:rPr>
          <w:sz w:val="36"/>
          <w:szCs w:val="36"/>
          <w:rtl/>
        </w:rPr>
        <w:t xml:space="preserve"> </w:t>
      </w:r>
      <w:r w:rsidR="00C75523" w:rsidRPr="00FD211F">
        <w:rPr>
          <w:sz w:val="36"/>
          <w:szCs w:val="36"/>
          <w:rtl/>
        </w:rPr>
        <w:t>الحقيقي</w:t>
      </w:r>
      <w:r w:rsidR="00603323" w:rsidRPr="00FD211F">
        <w:rPr>
          <w:sz w:val="36"/>
          <w:szCs w:val="36"/>
          <w:rtl/>
        </w:rPr>
        <w:t>،</w:t>
      </w:r>
      <w:r w:rsidR="00E8128F">
        <w:rPr>
          <w:sz w:val="36"/>
          <w:szCs w:val="36"/>
          <w:rtl/>
        </w:rPr>
        <w:t xml:space="preserve"> </w:t>
      </w:r>
      <w:r w:rsidR="00C75523" w:rsidRPr="00FD211F">
        <w:rPr>
          <w:sz w:val="36"/>
          <w:szCs w:val="36"/>
          <w:rtl/>
        </w:rPr>
        <w:t>ولذا</w:t>
      </w:r>
      <w:r w:rsidR="00E8128F">
        <w:rPr>
          <w:sz w:val="36"/>
          <w:szCs w:val="36"/>
          <w:rtl/>
        </w:rPr>
        <w:t xml:space="preserve"> </w:t>
      </w:r>
      <w:r w:rsidR="00C75523" w:rsidRPr="00FD211F">
        <w:rPr>
          <w:sz w:val="36"/>
          <w:szCs w:val="36"/>
          <w:rtl/>
        </w:rPr>
        <w:t>ربما</w:t>
      </w:r>
      <w:r w:rsidR="00E8128F">
        <w:rPr>
          <w:sz w:val="36"/>
          <w:szCs w:val="36"/>
          <w:rtl/>
        </w:rPr>
        <w:t xml:space="preserve"> </w:t>
      </w:r>
      <w:r w:rsidR="00C75523" w:rsidRPr="00FD211F">
        <w:rPr>
          <w:sz w:val="36"/>
          <w:szCs w:val="36"/>
          <w:rtl/>
        </w:rPr>
        <w:t>يحعل</w:t>
      </w:r>
      <w:r w:rsidR="00E8128F">
        <w:rPr>
          <w:sz w:val="36"/>
          <w:szCs w:val="36"/>
          <w:rtl/>
        </w:rPr>
        <w:t xml:space="preserve"> </w:t>
      </w:r>
      <w:r w:rsidR="00C75523" w:rsidRPr="00FD211F">
        <w:rPr>
          <w:sz w:val="36"/>
          <w:szCs w:val="36"/>
          <w:rtl/>
        </w:rPr>
        <w:t>لازمان</w:t>
      </w:r>
      <w:r w:rsidR="00E8128F">
        <w:rPr>
          <w:sz w:val="36"/>
          <w:szCs w:val="36"/>
          <w:rtl/>
        </w:rPr>
        <w:t xml:space="preserve"> </w:t>
      </w:r>
      <w:r w:rsidR="00C75523" w:rsidRPr="00FD211F">
        <w:rPr>
          <w:sz w:val="36"/>
          <w:szCs w:val="36"/>
          <w:rtl/>
        </w:rPr>
        <w:t>مكانه</w:t>
      </w:r>
      <w:r w:rsidR="00E8128F">
        <w:rPr>
          <w:sz w:val="36"/>
          <w:szCs w:val="36"/>
          <w:rtl/>
        </w:rPr>
        <w:t xml:space="preserve"> </w:t>
      </w:r>
      <w:r w:rsidR="00C75523" w:rsidRPr="00FD211F">
        <w:rPr>
          <w:sz w:val="36"/>
          <w:szCs w:val="36"/>
          <w:rtl/>
        </w:rPr>
        <w:t>اذا</w:t>
      </w:r>
      <w:r w:rsidR="00E8128F">
        <w:rPr>
          <w:sz w:val="36"/>
          <w:szCs w:val="36"/>
          <w:rtl/>
        </w:rPr>
        <w:t xml:space="preserve"> </w:t>
      </w:r>
      <w:r w:rsidR="00C75523" w:rsidRPr="00FD211F">
        <w:rPr>
          <w:sz w:val="36"/>
          <w:szCs w:val="36"/>
          <w:rtl/>
        </w:rPr>
        <w:t>كانا</w:t>
      </w:r>
      <w:r w:rsidR="00E8128F">
        <w:rPr>
          <w:sz w:val="36"/>
          <w:szCs w:val="36"/>
          <w:rtl/>
        </w:rPr>
        <w:t xml:space="preserve"> </w:t>
      </w:r>
      <w:r w:rsidR="00C75523" w:rsidRPr="00FD211F">
        <w:rPr>
          <w:sz w:val="36"/>
          <w:szCs w:val="36"/>
          <w:rtl/>
        </w:rPr>
        <w:t>متساوي</w:t>
      </w:r>
      <w:r w:rsidR="00E8128F">
        <w:rPr>
          <w:sz w:val="36"/>
          <w:szCs w:val="36"/>
          <w:rtl/>
        </w:rPr>
        <w:t xml:space="preserve"> </w:t>
      </w:r>
      <w:r w:rsidR="00C75523" w:rsidRPr="00FD211F">
        <w:rPr>
          <w:sz w:val="36"/>
          <w:szCs w:val="36"/>
          <w:rtl/>
        </w:rPr>
        <w:t>النسب</w:t>
      </w:r>
      <w:r w:rsidR="00EC7EDF" w:rsidRPr="00FD211F">
        <w:rPr>
          <w:sz w:val="36"/>
          <w:szCs w:val="36"/>
          <w:rtl/>
        </w:rPr>
        <w:t>ة</w:t>
      </w:r>
      <w:r w:rsidR="00E8128F">
        <w:rPr>
          <w:sz w:val="36"/>
          <w:szCs w:val="36"/>
          <w:rtl/>
        </w:rPr>
        <w:t xml:space="preserve"> </w:t>
      </w:r>
      <w:r w:rsidR="00C75523" w:rsidRPr="00FD211F">
        <w:rPr>
          <w:sz w:val="36"/>
          <w:szCs w:val="36"/>
          <w:rtl/>
        </w:rPr>
        <w:t>اليه</w:t>
      </w:r>
      <w:r w:rsidR="00E8128F">
        <w:rPr>
          <w:sz w:val="36"/>
          <w:szCs w:val="36"/>
          <w:rtl/>
        </w:rPr>
        <w:t xml:space="preserve"> </w:t>
      </w:r>
      <w:r w:rsidR="00C75523" w:rsidRPr="00FD211F">
        <w:rPr>
          <w:sz w:val="36"/>
          <w:szCs w:val="36"/>
          <w:rtl/>
        </w:rPr>
        <w:t>كالحساس</w:t>
      </w:r>
      <w:r w:rsidR="00E8128F">
        <w:rPr>
          <w:sz w:val="36"/>
          <w:szCs w:val="36"/>
          <w:rtl/>
        </w:rPr>
        <w:t xml:space="preserve"> </w:t>
      </w:r>
      <w:r w:rsidR="00C75523" w:rsidRPr="00FD211F">
        <w:rPr>
          <w:sz w:val="36"/>
          <w:szCs w:val="36"/>
          <w:rtl/>
        </w:rPr>
        <w:t>والمتحرك</w:t>
      </w:r>
      <w:r w:rsidR="00E8128F">
        <w:rPr>
          <w:sz w:val="36"/>
          <w:szCs w:val="36"/>
          <w:rtl/>
        </w:rPr>
        <w:t xml:space="preserve"> </w:t>
      </w:r>
      <w:r w:rsidR="00C75523" w:rsidRPr="00FD211F">
        <w:rPr>
          <w:sz w:val="36"/>
          <w:szCs w:val="36"/>
          <w:rtl/>
        </w:rPr>
        <w:t>بالإراد</w:t>
      </w:r>
      <w:r w:rsidR="00EC7EDF" w:rsidRPr="00FD211F">
        <w:rPr>
          <w:sz w:val="36"/>
          <w:szCs w:val="36"/>
          <w:rtl/>
        </w:rPr>
        <w:t>ة</w:t>
      </w:r>
      <w:r w:rsidR="00E8128F">
        <w:rPr>
          <w:sz w:val="36"/>
          <w:szCs w:val="36"/>
          <w:rtl/>
        </w:rPr>
        <w:t xml:space="preserve"> </w:t>
      </w:r>
      <w:r w:rsidR="00C75523" w:rsidRPr="00FD211F">
        <w:rPr>
          <w:sz w:val="36"/>
          <w:szCs w:val="36"/>
          <w:rtl/>
        </w:rPr>
        <w:t>في</w:t>
      </w:r>
      <w:r w:rsidR="00E8128F">
        <w:rPr>
          <w:sz w:val="36"/>
          <w:szCs w:val="36"/>
          <w:rtl/>
        </w:rPr>
        <w:t xml:space="preserve"> </w:t>
      </w:r>
      <w:r w:rsidR="00C75523" w:rsidRPr="00FD211F">
        <w:rPr>
          <w:sz w:val="36"/>
          <w:szCs w:val="36"/>
          <w:rtl/>
        </w:rPr>
        <w:t>الحيوان</w:t>
      </w:r>
      <w:r w:rsidR="00E8128F">
        <w:rPr>
          <w:sz w:val="36"/>
          <w:szCs w:val="36"/>
          <w:rtl/>
        </w:rPr>
        <w:t xml:space="preserve"> </w:t>
      </w:r>
      <w:r w:rsidR="00C75523" w:rsidRPr="00FD211F">
        <w:rPr>
          <w:sz w:val="36"/>
          <w:szCs w:val="36"/>
          <w:rtl/>
        </w:rPr>
        <w:t>ويكون</w:t>
      </w:r>
      <w:r w:rsidR="00E8128F">
        <w:rPr>
          <w:sz w:val="36"/>
          <w:szCs w:val="36"/>
          <w:rtl/>
        </w:rPr>
        <w:t xml:space="preserve"> </w:t>
      </w:r>
      <w:r w:rsidR="00C75523" w:rsidRPr="00FD211F">
        <w:rPr>
          <w:sz w:val="36"/>
          <w:szCs w:val="36"/>
          <w:rtl/>
        </w:rPr>
        <w:t>فصلا</w:t>
      </w:r>
      <w:r w:rsidR="00E8128F">
        <w:rPr>
          <w:sz w:val="36"/>
          <w:szCs w:val="36"/>
          <w:rtl/>
        </w:rPr>
        <w:t xml:space="preserve"> </w:t>
      </w:r>
      <w:r w:rsidR="00C75523" w:rsidRPr="00FD211F">
        <w:rPr>
          <w:sz w:val="36"/>
          <w:szCs w:val="36"/>
          <w:rtl/>
        </w:rPr>
        <w:t>مشهوريا</w:t>
      </w:r>
      <w:r w:rsidR="00E8128F">
        <w:rPr>
          <w:sz w:val="36"/>
          <w:szCs w:val="36"/>
          <w:rtl/>
        </w:rPr>
        <w:t xml:space="preserve"> </w:t>
      </w:r>
      <w:r w:rsidR="00C75523" w:rsidRPr="00FD211F">
        <w:rPr>
          <w:sz w:val="36"/>
          <w:szCs w:val="36"/>
          <w:rtl/>
        </w:rPr>
        <w:t>منطقيا</w:t>
      </w:r>
      <w:r w:rsidR="00603323" w:rsidRPr="00FD211F">
        <w:rPr>
          <w:sz w:val="36"/>
          <w:szCs w:val="36"/>
          <w:rtl/>
        </w:rPr>
        <w:t>،</w:t>
      </w:r>
      <w:r w:rsidR="00E8128F">
        <w:rPr>
          <w:sz w:val="36"/>
          <w:szCs w:val="36"/>
          <w:rtl/>
        </w:rPr>
        <w:t xml:space="preserve"> </w:t>
      </w:r>
      <w:r w:rsidR="00C75523" w:rsidRPr="00FD211F">
        <w:rPr>
          <w:sz w:val="36"/>
          <w:szCs w:val="36"/>
          <w:rtl/>
        </w:rPr>
        <w:t>وعليه</w:t>
      </w:r>
      <w:r w:rsidR="00E8128F">
        <w:rPr>
          <w:sz w:val="36"/>
          <w:szCs w:val="36"/>
          <w:rtl/>
        </w:rPr>
        <w:t xml:space="preserve"> </w:t>
      </w:r>
      <w:r w:rsidR="00C75523" w:rsidRPr="00FD211F">
        <w:rPr>
          <w:sz w:val="36"/>
          <w:szCs w:val="36"/>
          <w:rtl/>
        </w:rPr>
        <w:t>فلابأس</w:t>
      </w:r>
      <w:r w:rsidR="00E8128F">
        <w:rPr>
          <w:sz w:val="36"/>
          <w:szCs w:val="36"/>
          <w:rtl/>
        </w:rPr>
        <w:t xml:space="preserve"> </w:t>
      </w:r>
      <w:r w:rsidR="00C75523" w:rsidRPr="00FD211F">
        <w:rPr>
          <w:sz w:val="36"/>
          <w:szCs w:val="36"/>
          <w:rtl/>
        </w:rPr>
        <w:t>باخذ</w:t>
      </w:r>
      <w:r w:rsidR="00E8128F">
        <w:rPr>
          <w:sz w:val="36"/>
          <w:szCs w:val="36"/>
          <w:rtl/>
        </w:rPr>
        <w:t xml:space="preserve"> </w:t>
      </w:r>
      <w:r w:rsidR="00C75523" w:rsidRPr="00FD211F">
        <w:rPr>
          <w:sz w:val="36"/>
          <w:szCs w:val="36"/>
          <w:rtl/>
        </w:rPr>
        <w:t>مفهوم</w:t>
      </w:r>
      <w:r w:rsidR="00E8128F">
        <w:rPr>
          <w:sz w:val="36"/>
          <w:szCs w:val="36"/>
          <w:rtl/>
        </w:rPr>
        <w:t xml:space="preserve"> </w:t>
      </w:r>
      <w:r w:rsidR="00C75523" w:rsidRPr="00FD211F">
        <w:rPr>
          <w:sz w:val="36"/>
          <w:szCs w:val="36"/>
          <w:rtl/>
        </w:rPr>
        <w:t>ال</w:t>
      </w:r>
      <w:r w:rsidR="008D7B3D" w:rsidRPr="00FD211F">
        <w:rPr>
          <w:sz w:val="36"/>
          <w:szCs w:val="36"/>
          <w:rtl/>
        </w:rPr>
        <w:t>شيء</w:t>
      </w:r>
      <w:r w:rsidR="00E8128F">
        <w:rPr>
          <w:sz w:val="36"/>
          <w:szCs w:val="36"/>
          <w:rtl/>
        </w:rPr>
        <w:t xml:space="preserve"> </w:t>
      </w:r>
      <w:r w:rsidR="00C75523" w:rsidRPr="00FD211F">
        <w:rPr>
          <w:sz w:val="36"/>
          <w:szCs w:val="36"/>
          <w:rtl/>
        </w:rPr>
        <w:t>الذي</w:t>
      </w:r>
      <w:r w:rsidR="00E8128F">
        <w:rPr>
          <w:sz w:val="36"/>
          <w:szCs w:val="36"/>
          <w:rtl/>
        </w:rPr>
        <w:t xml:space="preserve"> </w:t>
      </w:r>
      <w:r w:rsidR="00C75523" w:rsidRPr="00FD211F">
        <w:rPr>
          <w:sz w:val="36"/>
          <w:szCs w:val="36"/>
          <w:rtl/>
        </w:rPr>
        <w:t>هو</w:t>
      </w:r>
      <w:r w:rsidR="00E8128F">
        <w:rPr>
          <w:sz w:val="36"/>
          <w:szCs w:val="36"/>
          <w:rtl/>
        </w:rPr>
        <w:t xml:space="preserve"> </w:t>
      </w:r>
      <w:r w:rsidR="00C75523" w:rsidRPr="00FD211F">
        <w:rPr>
          <w:sz w:val="36"/>
          <w:szCs w:val="36"/>
          <w:rtl/>
        </w:rPr>
        <w:t>عرضي</w:t>
      </w:r>
      <w:r w:rsidR="00E8128F">
        <w:rPr>
          <w:sz w:val="36"/>
          <w:szCs w:val="36"/>
          <w:rtl/>
        </w:rPr>
        <w:t xml:space="preserve"> </w:t>
      </w:r>
      <w:r w:rsidR="00C75523" w:rsidRPr="00FD211F">
        <w:rPr>
          <w:sz w:val="36"/>
          <w:szCs w:val="36"/>
          <w:rtl/>
        </w:rPr>
        <w:t>عام</w:t>
      </w:r>
      <w:r w:rsidR="00E8128F">
        <w:rPr>
          <w:sz w:val="36"/>
          <w:szCs w:val="36"/>
          <w:rtl/>
        </w:rPr>
        <w:t xml:space="preserve"> </w:t>
      </w:r>
      <w:r w:rsidR="00C75523" w:rsidRPr="00FD211F">
        <w:rPr>
          <w:sz w:val="36"/>
          <w:szCs w:val="36"/>
          <w:rtl/>
        </w:rPr>
        <w:t>في</w:t>
      </w:r>
      <w:r w:rsidR="00E8128F">
        <w:rPr>
          <w:sz w:val="36"/>
          <w:szCs w:val="36"/>
          <w:rtl/>
        </w:rPr>
        <w:t xml:space="preserve"> </w:t>
      </w:r>
      <w:r w:rsidR="00C75523" w:rsidRPr="00FD211F">
        <w:rPr>
          <w:sz w:val="36"/>
          <w:szCs w:val="36"/>
          <w:rtl/>
        </w:rPr>
        <w:t>العرضي</w:t>
      </w:r>
      <w:r w:rsidR="00E8128F">
        <w:rPr>
          <w:sz w:val="36"/>
          <w:szCs w:val="36"/>
          <w:rtl/>
        </w:rPr>
        <w:t xml:space="preserve"> </w:t>
      </w:r>
      <w:r w:rsidR="00C75523" w:rsidRPr="00FD211F">
        <w:rPr>
          <w:sz w:val="36"/>
          <w:szCs w:val="36"/>
          <w:rtl/>
        </w:rPr>
        <w:t>الخاص</w:t>
      </w:r>
      <w:r w:rsidR="009C58C8" w:rsidRPr="00FD211F">
        <w:rPr>
          <w:rStyle w:val="a6"/>
          <w:sz w:val="36"/>
          <w:szCs w:val="36"/>
          <w:rtl/>
        </w:rPr>
        <w:t>(</w:t>
      </w:r>
      <w:r w:rsidR="009C58C8" w:rsidRPr="00FD211F">
        <w:rPr>
          <w:rStyle w:val="a6"/>
          <w:sz w:val="36"/>
          <w:szCs w:val="36"/>
          <w:rtl/>
        </w:rPr>
        <w:footnoteReference w:id="595"/>
      </w:r>
      <w:r w:rsidR="009C58C8" w:rsidRPr="00FD211F">
        <w:rPr>
          <w:rStyle w:val="a6"/>
          <w:sz w:val="36"/>
          <w:szCs w:val="36"/>
          <w:rtl/>
        </w:rPr>
        <w:t>)</w:t>
      </w:r>
      <w:r w:rsidR="00C75523" w:rsidRPr="00FD211F">
        <w:rPr>
          <w:sz w:val="36"/>
          <w:szCs w:val="36"/>
          <w:rtl/>
        </w:rPr>
        <w:t>.</w:t>
      </w:r>
    </w:p>
    <w:p w14:paraId="1D093348" w14:textId="77777777" w:rsidR="00AB32B7" w:rsidRPr="00FD211F" w:rsidRDefault="00623486" w:rsidP="009C58C8">
      <w:pPr>
        <w:ind w:left="0" w:firstLine="227"/>
        <w:jc w:val="both"/>
        <w:rPr>
          <w:sz w:val="36"/>
          <w:szCs w:val="36"/>
          <w:rtl/>
        </w:rPr>
      </w:pPr>
      <w:r w:rsidRPr="00FD211F">
        <w:rPr>
          <w:sz w:val="36"/>
          <w:szCs w:val="36"/>
          <w:rtl/>
        </w:rPr>
        <w:t>و</w:t>
      </w:r>
      <w:r w:rsidR="006B129C" w:rsidRPr="00FD211F">
        <w:rPr>
          <w:sz w:val="36"/>
          <w:szCs w:val="36"/>
          <w:rtl/>
        </w:rPr>
        <w:t>اجاب</w:t>
      </w:r>
      <w:r w:rsidR="00E8128F">
        <w:rPr>
          <w:sz w:val="36"/>
          <w:szCs w:val="36"/>
          <w:rtl/>
        </w:rPr>
        <w:t xml:space="preserve"> </w:t>
      </w:r>
      <w:r w:rsidR="006B129C" w:rsidRPr="00FD211F">
        <w:rPr>
          <w:sz w:val="36"/>
          <w:szCs w:val="36"/>
          <w:rtl/>
        </w:rPr>
        <w:t>عنه</w:t>
      </w:r>
      <w:r w:rsidR="00E8128F">
        <w:rPr>
          <w:sz w:val="36"/>
          <w:szCs w:val="36"/>
          <w:rtl/>
        </w:rPr>
        <w:t xml:space="preserve"> </w:t>
      </w:r>
      <w:r w:rsidR="006B129C" w:rsidRPr="00FD211F">
        <w:rPr>
          <w:sz w:val="36"/>
          <w:szCs w:val="36"/>
          <w:rtl/>
        </w:rPr>
        <w:t>المحقق</w:t>
      </w:r>
      <w:r w:rsidR="00E8128F">
        <w:rPr>
          <w:sz w:val="36"/>
          <w:szCs w:val="36"/>
          <w:rtl/>
        </w:rPr>
        <w:t xml:space="preserve"> </w:t>
      </w:r>
      <w:r w:rsidR="006B129C" w:rsidRPr="00FD211F">
        <w:rPr>
          <w:sz w:val="36"/>
          <w:szCs w:val="36"/>
          <w:rtl/>
        </w:rPr>
        <w:t>النائيني</w:t>
      </w:r>
      <w:r w:rsidR="00AB32B7" w:rsidRPr="00FD211F">
        <w:rPr>
          <w:sz w:val="36"/>
          <w:szCs w:val="36"/>
          <w:rtl/>
        </w:rPr>
        <w:t>"</w:t>
      </w:r>
      <w:r w:rsidR="006B129C" w:rsidRPr="00FD211F">
        <w:rPr>
          <w:sz w:val="36"/>
          <w:szCs w:val="36"/>
          <w:rtl/>
        </w:rPr>
        <w:t>قده</w:t>
      </w:r>
      <w:r w:rsidR="00AB32B7" w:rsidRPr="00FD211F">
        <w:rPr>
          <w:sz w:val="36"/>
          <w:szCs w:val="36"/>
          <w:rtl/>
        </w:rPr>
        <w:t>"</w:t>
      </w:r>
      <w:r w:rsidR="00E8128F">
        <w:rPr>
          <w:sz w:val="36"/>
          <w:szCs w:val="36"/>
          <w:rtl/>
        </w:rPr>
        <w:t xml:space="preserve"> </w:t>
      </w:r>
      <w:r w:rsidR="006B129C" w:rsidRPr="00FD211F">
        <w:rPr>
          <w:sz w:val="36"/>
          <w:szCs w:val="36"/>
          <w:rtl/>
        </w:rPr>
        <w:t>بان</w:t>
      </w:r>
      <w:r w:rsidR="00E8128F">
        <w:rPr>
          <w:sz w:val="36"/>
          <w:szCs w:val="36"/>
          <w:rtl/>
        </w:rPr>
        <w:t xml:space="preserve"> </w:t>
      </w:r>
      <w:r w:rsidR="006B129C" w:rsidRPr="00FD211F">
        <w:rPr>
          <w:sz w:val="36"/>
          <w:szCs w:val="36"/>
          <w:rtl/>
        </w:rPr>
        <w:t>الناطق</w:t>
      </w:r>
      <w:r w:rsidR="00E8128F">
        <w:rPr>
          <w:sz w:val="36"/>
          <w:szCs w:val="36"/>
          <w:rtl/>
        </w:rPr>
        <w:t xml:space="preserve"> </w:t>
      </w:r>
      <w:r w:rsidR="006B129C" w:rsidRPr="00FD211F">
        <w:rPr>
          <w:sz w:val="36"/>
          <w:szCs w:val="36"/>
          <w:rtl/>
        </w:rPr>
        <w:t>بمعنى</w:t>
      </w:r>
      <w:r w:rsidR="00E8128F">
        <w:rPr>
          <w:sz w:val="36"/>
          <w:szCs w:val="36"/>
          <w:rtl/>
        </w:rPr>
        <w:t xml:space="preserve"> </w:t>
      </w:r>
      <w:r w:rsidR="006B129C" w:rsidRPr="00FD211F">
        <w:rPr>
          <w:sz w:val="36"/>
          <w:szCs w:val="36"/>
          <w:rtl/>
        </w:rPr>
        <w:t>صاحب</w:t>
      </w:r>
      <w:r w:rsidR="00E8128F">
        <w:rPr>
          <w:sz w:val="36"/>
          <w:szCs w:val="36"/>
          <w:rtl/>
        </w:rPr>
        <w:t xml:space="preserve"> </w:t>
      </w:r>
      <w:r w:rsidR="006B129C" w:rsidRPr="00FD211F">
        <w:rPr>
          <w:sz w:val="36"/>
          <w:szCs w:val="36"/>
          <w:rtl/>
        </w:rPr>
        <w:t>النفس</w:t>
      </w:r>
      <w:r w:rsidR="00E8128F">
        <w:rPr>
          <w:sz w:val="36"/>
          <w:szCs w:val="36"/>
          <w:rtl/>
        </w:rPr>
        <w:t xml:space="preserve"> </w:t>
      </w:r>
      <w:r w:rsidR="006B129C" w:rsidRPr="00FD211F">
        <w:rPr>
          <w:sz w:val="36"/>
          <w:szCs w:val="36"/>
          <w:rtl/>
        </w:rPr>
        <w:t>الناطق</w:t>
      </w:r>
      <w:r w:rsidR="00EC7EDF" w:rsidRPr="00FD211F">
        <w:rPr>
          <w:sz w:val="36"/>
          <w:szCs w:val="36"/>
          <w:rtl/>
        </w:rPr>
        <w:t>ة</w:t>
      </w:r>
      <w:r w:rsidR="00E8128F">
        <w:rPr>
          <w:sz w:val="36"/>
          <w:szCs w:val="36"/>
          <w:rtl/>
        </w:rPr>
        <w:t xml:space="preserve"> </w:t>
      </w:r>
      <w:r w:rsidR="006B129C" w:rsidRPr="00FD211F">
        <w:rPr>
          <w:sz w:val="36"/>
          <w:szCs w:val="36"/>
          <w:rtl/>
        </w:rPr>
        <w:t>فصل</w:t>
      </w:r>
      <w:r w:rsidR="00E8128F">
        <w:rPr>
          <w:sz w:val="36"/>
          <w:szCs w:val="36"/>
          <w:rtl/>
        </w:rPr>
        <w:t xml:space="preserve"> </w:t>
      </w:r>
      <w:r w:rsidR="006B129C" w:rsidRPr="00FD211F">
        <w:rPr>
          <w:sz w:val="36"/>
          <w:szCs w:val="36"/>
          <w:rtl/>
        </w:rPr>
        <w:t>حقيقي</w:t>
      </w:r>
      <w:r w:rsidR="009C58C8" w:rsidRPr="00FD211F">
        <w:rPr>
          <w:rStyle w:val="a6"/>
          <w:sz w:val="36"/>
          <w:szCs w:val="36"/>
          <w:rtl/>
        </w:rPr>
        <w:t>(</w:t>
      </w:r>
      <w:r w:rsidR="009C58C8" w:rsidRPr="00FD211F">
        <w:rPr>
          <w:rStyle w:val="a6"/>
          <w:sz w:val="36"/>
          <w:szCs w:val="36"/>
          <w:rtl/>
        </w:rPr>
        <w:footnoteReference w:id="596"/>
      </w:r>
      <w:r w:rsidR="009C58C8" w:rsidRPr="00FD211F">
        <w:rPr>
          <w:rStyle w:val="a6"/>
          <w:sz w:val="36"/>
          <w:szCs w:val="36"/>
          <w:rtl/>
        </w:rPr>
        <w:t>)</w:t>
      </w:r>
      <w:r w:rsidR="00AB32B7" w:rsidRPr="00FD211F">
        <w:rPr>
          <w:sz w:val="36"/>
          <w:szCs w:val="36"/>
          <w:rtl/>
        </w:rPr>
        <w:t>.</w:t>
      </w:r>
      <w:r w:rsidR="00E8128F">
        <w:rPr>
          <w:sz w:val="36"/>
          <w:szCs w:val="36"/>
          <w:rtl/>
        </w:rPr>
        <w:t xml:space="preserve"> </w:t>
      </w:r>
    </w:p>
    <w:p w14:paraId="0501132C" w14:textId="77777777" w:rsidR="000C5BBA" w:rsidRPr="00FD211F" w:rsidRDefault="00AB32B7" w:rsidP="009C58C8">
      <w:pPr>
        <w:ind w:left="0" w:firstLine="227"/>
        <w:jc w:val="both"/>
        <w:rPr>
          <w:sz w:val="36"/>
          <w:szCs w:val="36"/>
          <w:rtl/>
        </w:rPr>
      </w:pPr>
      <w:r w:rsidRPr="00FD211F">
        <w:rPr>
          <w:sz w:val="36"/>
          <w:szCs w:val="36"/>
          <w:rtl/>
        </w:rPr>
        <w:t>ولكن</w:t>
      </w:r>
      <w:r w:rsidR="00E8128F">
        <w:rPr>
          <w:sz w:val="36"/>
          <w:szCs w:val="36"/>
          <w:rtl/>
        </w:rPr>
        <w:t xml:space="preserve"> </w:t>
      </w:r>
      <w:r w:rsidRPr="00FD211F">
        <w:rPr>
          <w:sz w:val="36"/>
          <w:szCs w:val="36"/>
          <w:rtl/>
        </w:rPr>
        <w:t>رد</w:t>
      </w:r>
      <w:r w:rsidR="00E8128F">
        <w:rPr>
          <w:sz w:val="36"/>
          <w:szCs w:val="36"/>
          <w:rtl/>
        </w:rPr>
        <w:t xml:space="preserve"> </w:t>
      </w:r>
      <w:r w:rsidR="006B129C" w:rsidRPr="00FD211F">
        <w:rPr>
          <w:sz w:val="36"/>
          <w:szCs w:val="36"/>
          <w:rtl/>
        </w:rPr>
        <w:t>السيد</w:t>
      </w:r>
      <w:r w:rsidR="00E8128F">
        <w:rPr>
          <w:sz w:val="36"/>
          <w:szCs w:val="36"/>
          <w:rtl/>
        </w:rPr>
        <w:t xml:space="preserve"> </w:t>
      </w:r>
      <w:r w:rsidR="006B129C" w:rsidRPr="00FD211F">
        <w:rPr>
          <w:sz w:val="36"/>
          <w:szCs w:val="36"/>
          <w:rtl/>
        </w:rPr>
        <w:t>الخوئي</w:t>
      </w:r>
      <w:r w:rsidR="00E8128F">
        <w:rPr>
          <w:sz w:val="36"/>
          <w:szCs w:val="36"/>
          <w:rtl/>
        </w:rPr>
        <w:t xml:space="preserve"> </w:t>
      </w:r>
      <w:r w:rsidR="008F14E7" w:rsidRPr="00FD211F">
        <w:rPr>
          <w:sz w:val="36"/>
          <w:szCs w:val="36"/>
          <w:rtl/>
        </w:rPr>
        <w:t>"قده"</w:t>
      </w:r>
      <w:r w:rsidR="00E8128F">
        <w:rPr>
          <w:sz w:val="36"/>
          <w:szCs w:val="36"/>
          <w:rtl/>
        </w:rPr>
        <w:t xml:space="preserve"> </w:t>
      </w:r>
      <w:r w:rsidR="00B73BC2" w:rsidRPr="00FD211F">
        <w:rPr>
          <w:sz w:val="36"/>
          <w:szCs w:val="36"/>
          <w:rtl/>
        </w:rPr>
        <w:t>هذاال</w:t>
      </w:r>
      <w:r w:rsidRPr="00FD211F">
        <w:rPr>
          <w:sz w:val="36"/>
          <w:szCs w:val="36"/>
          <w:rtl/>
        </w:rPr>
        <w:t>جواب</w:t>
      </w:r>
      <w:r w:rsidR="00E8128F">
        <w:rPr>
          <w:sz w:val="36"/>
          <w:szCs w:val="36"/>
          <w:rtl/>
        </w:rPr>
        <w:t xml:space="preserve"> </w:t>
      </w:r>
      <w:r w:rsidR="006B129C" w:rsidRPr="00FD211F">
        <w:rPr>
          <w:sz w:val="36"/>
          <w:szCs w:val="36"/>
          <w:rtl/>
        </w:rPr>
        <w:t>بان</w:t>
      </w:r>
      <w:r w:rsidR="00E8128F">
        <w:rPr>
          <w:sz w:val="36"/>
          <w:szCs w:val="36"/>
          <w:rtl/>
        </w:rPr>
        <w:t xml:space="preserve"> </w:t>
      </w:r>
      <w:r w:rsidR="006B129C" w:rsidRPr="00FD211F">
        <w:rPr>
          <w:sz w:val="36"/>
          <w:szCs w:val="36"/>
          <w:rtl/>
        </w:rPr>
        <w:t>صاحب</w:t>
      </w:r>
      <w:r w:rsidR="00E8128F">
        <w:rPr>
          <w:sz w:val="36"/>
          <w:szCs w:val="36"/>
          <w:rtl/>
        </w:rPr>
        <w:t xml:space="preserve"> </w:t>
      </w:r>
      <w:r w:rsidR="006B129C" w:rsidRPr="00FD211F">
        <w:rPr>
          <w:sz w:val="36"/>
          <w:szCs w:val="36"/>
          <w:rtl/>
        </w:rPr>
        <w:t>النفس</w:t>
      </w:r>
      <w:r w:rsidR="00E8128F">
        <w:rPr>
          <w:sz w:val="36"/>
          <w:szCs w:val="36"/>
          <w:rtl/>
        </w:rPr>
        <w:t xml:space="preserve"> </w:t>
      </w:r>
      <w:r w:rsidR="006B129C" w:rsidRPr="00FD211F">
        <w:rPr>
          <w:sz w:val="36"/>
          <w:szCs w:val="36"/>
          <w:rtl/>
        </w:rPr>
        <w:t>ا</w:t>
      </w:r>
      <w:r w:rsidRPr="00FD211F">
        <w:rPr>
          <w:sz w:val="36"/>
          <w:szCs w:val="36"/>
          <w:rtl/>
        </w:rPr>
        <w:t>لناطق</w:t>
      </w:r>
      <w:r w:rsidR="00EC7EDF" w:rsidRPr="00FD211F">
        <w:rPr>
          <w:sz w:val="36"/>
          <w:szCs w:val="36"/>
          <w:rtl/>
        </w:rPr>
        <w:t>ة</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وهو</w:t>
      </w:r>
      <w:r w:rsidR="00E8128F">
        <w:rPr>
          <w:sz w:val="36"/>
          <w:szCs w:val="36"/>
          <w:rtl/>
        </w:rPr>
        <w:t xml:space="preserve"> </w:t>
      </w:r>
      <w:r w:rsidRPr="00FD211F">
        <w:rPr>
          <w:sz w:val="36"/>
          <w:szCs w:val="36"/>
          <w:rtl/>
        </w:rPr>
        <w:t>نوع</w:t>
      </w:r>
      <w:r w:rsidR="00E8128F">
        <w:rPr>
          <w:sz w:val="36"/>
          <w:szCs w:val="36"/>
          <w:rtl/>
        </w:rPr>
        <w:t xml:space="preserve"> </w:t>
      </w:r>
      <w:r w:rsidRPr="00FD211F">
        <w:rPr>
          <w:sz w:val="36"/>
          <w:szCs w:val="36"/>
          <w:rtl/>
        </w:rPr>
        <w:t>لافصل</w:t>
      </w:r>
      <w:r w:rsidR="009C58C8" w:rsidRPr="00FD211F">
        <w:rPr>
          <w:rStyle w:val="a6"/>
          <w:sz w:val="36"/>
          <w:szCs w:val="36"/>
          <w:rtl/>
        </w:rPr>
        <w:t>(</w:t>
      </w:r>
      <w:r w:rsidR="009C58C8" w:rsidRPr="00FD211F">
        <w:rPr>
          <w:rStyle w:val="a6"/>
          <w:sz w:val="36"/>
          <w:szCs w:val="36"/>
          <w:rtl/>
        </w:rPr>
        <w:footnoteReference w:id="597"/>
      </w:r>
      <w:r w:rsidR="009C58C8" w:rsidRPr="00FD211F">
        <w:rPr>
          <w:rStyle w:val="a6"/>
          <w:sz w:val="36"/>
          <w:szCs w:val="36"/>
          <w:rtl/>
        </w:rPr>
        <w:t>)</w:t>
      </w:r>
      <w:r w:rsidRPr="00FD211F">
        <w:rPr>
          <w:sz w:val="36"/>
          <w:szCs w:val="36"/>
          <w:rtl/>
        </w:rPr>
        <w:t>.</w:t>
      </w:r>
    </w:p>
    <w:p w14:paraId="15493370" w14:textId="77777777" w:rsidR="006B129C" w:rsidRPr="00FD211F" w:rsidRDefault="006B129C" w:rsidP="009C58C8">
      <w:pPr>
        <w:ind w:left="0" w:firstLine="227"/>
        <w:jc w:val="both"/>
        <w:rPr>
          <w:sz w:val="36"/>
          <w:szCs w:val="36"/>
          <w:rtl/>
        </w:rPr>
      </w:pPr>
      <w:r w:rsidRPr="00FD211F">
        <w:rPr>
          <w:sz w:val="36"/>
          <w:szCs w:val="36"/>
          <w:rtl/>
        </w:rPr>
        <w:t>ولكن</w:t>
      </w:r>
      <w:r w:rsidR="00E8128F">
        <w:rPr>
          <w:sz w:val="36"/>
          <w:szCs w:val="36"/>
          <w:rtl/>
        </w:rPr>
        <w:t xml:space="preserve"> </w:t>
      </w:r>
      <w:r w:rsidRPr="00FD211F">
        <w:rPr>
          <w:sz w:val="36"/>
          <w:szCs w:val="36"/>
          <w:rtl/>
        </w:rPr>
        <w:t>يمكن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مقصود</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النائيني</w:t>
      </w:r>
      <w:r w:rsidR="00E8128F">
        <w:rPr>
          <w:sz w:val="36"/>
          <w:szCs w:val="36"/>
          <w:rtl/>
        </w:rPr>
        <w:t xml:space="preserve"> </w:t>
      </w:r>
      <w:r w:rsidR="00AB32B7" w:rsidRPr="00FD211F">
        <w:rPr>
          <w:sz w:val="36"/>
          <w:szCs w:val="36"/>
          <w:rtl/>
        </w:rPr>
        <w:t>"</w:t>
      </w:r>
      <w:r w:rsidRPr="00FD211F">
        <w:rPr>
          <w:sz w:val="36"/>
          <w:szCs w:val="36"/>
          <w:rtl/>
        </w:rPr>
        <w:t>قده</w:t>
      </w:r>
      <w:r w:rsidR="00AB32B7" w:rsidRPr="00FD211F">
        <w:rPr>
          <w:sz w:val="36"/>
          <w:szCs w:val="36"/>
          <w:rtl/>
        </w:rPr>
        <w:t>"</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الناطق</w:t>
      </w:r>
      <w:r w:rsidR="00E8128F">
        <w:rPr>
          <w:sz w:val="36"/>
          <w:szCs w:val="36"/>
          <w:rtl/>
        </w:rPr>
        <w:t xml:space="preserve"> </w:t>
      </w:r>
      <w:r w:rsidR="00360F5C" w:rsidRPr="00FD211F">
        <w:rPr>
          <w:sz w:val="36"/>
          <w:szCs w:val="36"/>
          <w:rtl/>
        </w:rPr>
        <w:t>مأخوذ</w:t>
      </w:r>
      <w:r w:rsidR="00E8128F">
        <w:rPr>
          <w:sz w:val="36"/>
          <w:szCs w:val="36"/>
          <w:rtl/>
        </w:rPr>
        <w:t xml:space="preserve"> </w:t>
      </w:r>
      <w:r w:rsidR="00360F5C" w:rsidRPr="00FD211F">
        <w:rPr>
          <w:sz w:val="36"/>
          <w:szCs w:val="36"/>
          <w:rtl/>
        </w:rPr>
        <w:t>من</w:t>
      </w:r>
      <w:r w:rsidR="00E8128F">
        <w:rPr>
          <w:sz w:val="36"/>
          <w:szCs w:val="36"/>
          <w:rtl/>
        </w:rPr>
        <w:t xml:space="preserve"> </w:t>
      </w:r>
      <w:r w:rsidRPr="00FD211F">
        <w:rPr>
          <w:sz w:val="36"/>
          <w:szCs w:val="36"/>
          <w:rtl/>
        </w:rPr>
        <w:t>النفس</w:t>
      </w:r>
      <w:r w:rsidR="00E8128F">
        <w:rPr>
          <w:sz w:val="36"/>
          <w:szCs w:val="36"/>
          <w:rtl/>
        </w:rPr>
        <w:t xml:space="preserve"> </w:t>
      </w:r>
      <w:r w:rsidRPr="00FD211F">
        <w:rPr>
          <w:sz w:val="36"/>
          <w:szCs w:val="36"/>
          <w:rtl/>
        </w:rPr>
        <w:t>الناطق</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ولامانع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كونها</w:t>
      </w:r>
      <w:r w:rsidR="00E8128F">
        <w:rPr>
          <w:sz w:val="36"/>
          <w:szCs w:val="36"/>
          <w:rtl/>
        </w:rPr>
        <w:t xml:space="preserve"> </w:t>
      </w:r>
      <w:r w:rsidRPr="00FD211F">
        <w:rPr>
          <w:sz w:val="36"/>
          <w:szCs w:val="36"/>
          <w:rtl/>
        </w:rPr>
        <w:t>فصلا</w:t>
      </w:r>
      <w:r w:rsidR="00E8128F">
        <w:rPr>
          <w:sz w:val="36"/>
          <w:szCs w:val="36"/>
          <w:rtl/>
        </w:rPr>
        <w:t xml:space="preserve"> </w:t>
      </w:r>
      <w:r w:rsidRPr="00FD211F">
        <w:rPr>
          <w:sz w:val="36"/>
          <w:szCs w:val="36"/>
          <w:rtl/>
        </w:rPr>
        <w:t>حقيقيا.</w:t>
      </w:r>
    </w:p>
    <w:p w14:paraId="344708DC" w14:textId="77777777" w:rsidR="000B712F" w:rsidRPr="00FD211F" w:rsidRDefault="00623486" w:rsidP="005946E3">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النائيني</w:t>
      </w:r>
      <w:r w:rsidR="00E8128F">
        <w:rPr>
          <w:sz w:val="36"/>
          <w:szCs w:val="36"/>
          <w:rtl/>
        </w:rPr>
        <w:t xml:space="preserve"> </w:t>
      </w:r>
      <w:r w:rsidR="005946E3" w:rsidRPr="00FD211F">
        <w:rPr>
          <w:sz w:val="36"/>
          <w:szCs w:val="36"/>
          <w:rtl/>
        </w:rPr>
        <w:t>"قده"</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وافق</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الشريف</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استحال</w:t>
      </w:r>
      <w:r w:rsidR="00EC7EDF" w:rsidRPr="00FD211F">
        <w:rPr>
          <w:sz w:val="36"/>
          <w:szCs w:val="36"/>
          <w:rtl/>
        </w:rPr>
        <w:t>ة</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كالناطق</w:t>
      </w:r>
      <w:r w:rsidR="00E8128F">
        <w:rPr>
          <w:sz w:val="36"/>
          <w:szCs w:val="36"/>
          <w:rtl/>
        </w:rPr>
        <w:t xml:space="preserve"> </w:t>
      </w:r>
      <w:r w:rsidRPr="00FD211F">
        <w:rPr>
          <w:sz w:val="36"/>
          <w:szCs w:val="36"/>
          <w:rtl/>
        </w:rPr>
        <w:t>لكنه</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نكتته</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استحال</w:t>
      </w:r>
      <w:r w:rsidR="00EC7EDF" w:rsidRPr="00FD211F">
        <w:rPr>
          <w:sz w:val="36"/>
          <w:szCs w:val="36"/>
          <w:rtl/>
        </w:rPr>
        <w:t>ة</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العرض</w:t>
      </w:r>
      <w:r w:rsidR="00E8128F">
        <w:rPr>
          <w:sz w:val="36"/>
          <w:szCs w:val="36"/>
          <w:rtl/>
        </w:rPr>
        <w:t xml:space="preserve"> </w:t>
      </w:r>
      <w:r w:rsidRPr="00FD211F">
        <w:rPr>
          <w:sz w:val="36"/>
          <w:szCs w:val="36"/>
          <w:rtl/>
        </w:rPr>
        <w:t>العام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الفصل</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العرض</w:t>
      </w:r>
      <w:r w:rsidR="00E8128F">
        <w:rPr>
          <w:sz w:val="36"/>
          <w:szCs w:val="36"/>
          <w:rtl/>
        </w:rPr>
        <w:t xml:space="preserve"> </w:t>
      </w:r>
      <w:r w:rsidRPr="00FD211F">
        <w:rPr>
          <w:sz w:val="36"/>
          <w:szCs w:val="36"/>
          <w:rtl/>
        </w:rPr>
        <w:t>العام</w:t>
      </w:r>
      <w:r w:rsidR="00603323" w:rsidRPr="00FD211F">
        <w:rPr>
          <w:sz w:val="36"/>
          <w:szCs w:val="36"/>
          <w:rtl/>
        </w:rPr>
        <w:t>،</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جنس</w:t>
      </w:r>
      <w:r w:rsidR="00E8128F">
        <w:rPr>
          <w:sz w:val="36"/>
          <w:szCs w:val="36"/>
          <w:rtl/>
        </w:rPr>
        <w:t xml:space="preserve"> </w:t>
      </w:r>
      <w:r w:rsidRPr="00FD211F">
        <w:rPr>
          <w:sz w:val="36"/>
          <w:szCs w:val="36"/>
          <w:rtl/>
        </w:rPr>
        <w:t>اعلى</w:t>
      </w:r>
      <w:r w:rsidR="00E8128F">
        <w:rPr>
          <w:sz w:val="36"/>
          <w:szCs w:val="36"/>
          <w:rtl/>
        </w:rPr>
        <w:t xml:space="preserve"> </w:t>
      </w:r>
      <w:r w:rsidR="00D31B40" w:rsidRPr="00FD211F">
        <w:rPr>
          <w:sz w:val="36"/>
          <w:szCs w:val="36"/>
          <w:rtl/>
        </w:rPr>
        <w:t>لتمام</w:t>
      </w:r>
      <w:r w:rsidR="00E8128F">
        <w:rPr>
          <w:sz w:val="36"/>
          <w:szCs w:val="36"/>
          <w:rtl/>
        </w:rPr>
        <w:t xml:space="preserve"> </w:t>
      </w:r>
      <w:r w:rsidR="00D31B40" w:rsidRPr="00FD211F">
        <w:rPr>
          <w:sz w:val="36"/>
          <w:szCs w:val="36"/>
          <w:rtl/>
        </w:rPr>
        <w:t>المقولات</w:t>
      </w:r>
      <w:r w:rsidR="00E8128F">
        <w:rPr>
          <w:sz w:val="36"/>
          <w:szCs w:val="36"/>
          <w:rtl/>
        </w:rPr>
        <w:t xml:space="preserve"> </w:t>
      </w:r>
      <w:r w:rsidR="00D31B40" w:rsidRPr="00FD211F">
        <w:rPr>
          <w:sz w:val="36"/>
          <w:szCs w:val="36"/>
          <w:rtl/>
        </w:rPr>
        <w:t>العشر</w:t>
      </w:r>
      <w:r w:rsidR="00603323" w:rsidRPr="00FD211F">
        <w:rPr>
          <w:sz w:val="36"/>
          <w:szCs w:val="36"/>
          <w:rtl/>
        </w:rPr>
        <w:t>،</w:t>
      </w:r>
      <w:r w:rsidR="00E8128F">
        <w:rPr>
          <w:sz w:val="36"/>
          <w:szCs w:val="36"/>
          <w:rtl/>
        </w:rPr>
        <w:t xml:space="preserve"> </w:t>
      </w:r>
      <w:r w:rsidR="00D31B40" w:rsidRPr="00FD211F">
        <w:rPr>
          <w:sz w:val="36"/>
          <w:szCs w:val="36"/>
          <w:rtl/>
        </w:rPr>
        <w:t>فان</w:t>
      </w:r>
      <w:r w:rsidR="00E8128F">
        <w:rPr>
          <w:sz w:val="36"/>
          <w:szCs w:val="36"/>
          <w:rtl/>
        </w:rPr>
        <w:t xml:space="preserve"> </w:t>
      </w:r>
      <w:r w:rsidR="00D31B40" w:rsidRPr="00FD211F">
        <w:rPr>
          <w:sz w:val="36"/>
          <w:szCs w:val="36"/>
          <w:rtl/>
        </w:rPr>
        <w:t>العرض</w:t>
      </w:r>
      <w:r w:rsidR="00E8128F">
        <w:rPr>
          <w:sz w:val="36"/>
          <w:szCs w:val="36"/>
          <w:rtl/>
        </w:rPr>
        <w:t xml:space="preserve"> </w:t>
      </w:r>
      <w:r w:rsidR="000B712F" w:rsidRPr="00FD211F">
        <w:rPr>
          <w:sz w:val="36"/>
          <w:szCs w:val="36"/>
          <w:rtl/>
        </w:rPr>
        <w:t>العام</w:t>
      </w:r>
      <w:r w:rsidR="00E8128F">
        <w:rPr>
          <w:sz w:val="36"/>
          <w:szCs w:val="36"/>
          <w:rtl/>
        </w:rPr>
        <w:t xml:space="preserve"> </w:t>
      </w:r>
      <w:r w:rsidR="000B712F" w:rsidRPr="00FD211F">
        <w:rPr>
          <w:sz w:val="36"/>
          <w:szCs w:val="36"/>
          <w:rtl/>
        </w:rPr>
        <w:t>ما</w:t>
      </w:r>
      <w:r w:rsidR="00E8128F">
        <w:rPr>
          <w:sz w:val="36"/>
          <w:szCs w:val="36"/>
          <w:rtl/>
        </w:rPr>
        <w:t xml:space="preserve"> </w:t>
      </w:r>
      <w:r w:rsidR="000B712F" w:rsidRPr="00FD211F">
        <w:rPr>
          <w:sz w:val="36"/>
          <w:szCs w:val="36"/>
          <w:rtl/>
        </w:rPr>
        <w:t>كان</w:t>
      </w:r>
      <w:r w:rsidR="00E8128F">
        <w:rPr>
          <w:sz w:val="36"/>
          <w:szCs w:val="36"/>
          <w:rtl/>
        </w:rPr>
        <w:t xml:space="preserve"> </w:t>
      </w:r>
      <w:r w:rsidR="000B712F" w:rsidRPr="00FD211F">
        <w:rPr>
          <w:sz w:val="36"/>
          <w:szCs w:val="36"/>
          <w:rtl/>
        </w:rPr>
        <w:t>عرضا</w:t>
      </w:r>
      <w:r w:rsidR="00E8128F">
        <w:rPr>
          <w:sz w:val="36"/>
          <w:szCs w:val="36"/>
          <w:rtl/>
        </w:rPr>
        <w:t xml:space="preserve"> </w:t>
      </w:r>
      <w:r w:rsidR="000B712F" w:rsidRPr="00FD211F">
        <w:rPr>
          <w:sz w:val="36"/>
          <w:szCs w:val="36"/>
          <w:rtl/>
        </w:rPr>
        <w:t>خاصا</w:t>
      </w:r>
      <w:r w:rsidR="00E8128F">
        <w:rPr>
          <w:sz w:val="36"/>
          <w:szCs w:val="36"/>
          <w:rtl/>
        </w:rPr>
        <w:t xml:space="preserve"> </w:t>
      </w:r>
      <w:r w:rsidR="000B712F" w:rsidRPr="00FD211F">
        <w:rPr>
          <w:sz w:val="36"/>
          <w:szCs w:val="36"/>
          <w:rtl/>
        </w:rPr>
        <w:t>للجنس</w:t>
      </w:r>
      <w:r w:rsidR="00E8128F">
        <w:rPr>
          <w:sz w:val="36"/>
          <w:szCs w:val="36"/>
          <w:rtl/>
        </w:rPr>
        <w:t xml:space="preserve"> </w:t>
      </w:r>
      <w:r w:rsidR="000B712F" w:rsidRPr="00FD211F">
        <w:rPr>
          <w:sz w:val="36"/>
          <w:szCs w:val="36"/>
          <w:rtl/>
        </w:rPr>
        <w:t>القريب</w:t>
      </w:r>
      <w:r w:rsidR="00E8128F">
        <w:rPr>
          <w:sz w:val="36"/>
          <w:szCs w:val="36"/>
          <w:rtl/>
        </w:rPr>
        <w:t xml:space="preserve"> </w:t>
      </w:r>
      <w:r w:rsidR="000B712F" w:rsidRPr="00FD211F">
        <w:rPr>
          <w:sz w:val="36"/>
          <w:szCs w:val="36"/>
          <w:rtl/>
        </w:rPr>
        <w:t>او</w:t>
      </w:r>
      <w:r w:rsidR="00E8128F">
        <w:rPr>
          <w:sz w:val="36"/>
          <w:szCs w:val="36"/>
          <w:rtl/>
        </w:rPr>
        <w:t xml:space="preserve"> </w:t>
      </w:r>
      <w:r w:rsidR="000B712F" w:rsidRPr="00FD211F">
        <w:rPr>
          <w:sz w:val="36"/>
          <w:szCs w:val="36"/>
          <w:rtl/>
        </w:rPr>
        <w:t>البعيد</w:t>
      </w:r>
      <w:r w:rsidR="00E8128F">
        <w:rPr>
          <w:sz w:val="36"/>
          <w:szCs w:val="36"/>
          <w:rtl/>
        </w:rPr>
        <w:t xml:space="preserve"> </w:t>
      </w:r>
      <w:r w:rsidR="000B712F" w:rsidRPr="00FD211F">
        <w:rPr>
          <w:sz w:val="36"/>
          <w:szCs w:val="36"/>
          <w:rtl/>
        </w:rPr>
        <w:t>كالماشي</w:t>
      </w:r>
      <w:r w:rsidR="00E8128F">
        <w:rPr>
          <w:sz w:val="36"/>
          <w:szCs w:val="36"/>
          <w:rtl/>
        </w:rPr>
        <w:t xml:space="preserve"> </w:t>
      </w:r>
      <w:r w:rsidR="006B129C" w:rsidRPr="00FD211F">
        <w:rPr>
          <w:sz w:val="36"/>
          <w:szCs w:val="36"/>
          <w:rtl/>
        </w:rPr>
        <w:t>ا</w:t>
      </w:r>
      <w:r w:rsidR="000B712F" w:rsidRPr="00FD211F">
        <w:rPr>
          <w:sz w:val="36"/>
          <w:szCs w:val="36"/>
          <w:rtl/>
        </w:rPr>
        <w:t>والمتحيز</w:t>
      </w:r>
      <w:r w:rsidR="00E8128F">
        <w:rPr>
          <w:sz w:val="36"/>
          <w:szCs w:val="36"/>
          <w:rtl/>
        </w:rPr>
        <w:t xml:space="preserve"> </w:t>
      </w:r>
      <w:r w:rsidR="006B129C" w:rsidRPr="00FD211F">
        <w:rPr>
          <w:sz w:val="36"/>
          <w:szCs w:val="36"/>
          <w:rtl/>
        </w:rPr>
        <w:t>فانه</w:t>
      </w:r>
      <w:r w:rsidR="00E8128F">
        <w:rPr>
          <w:sz w:val="36"/>
          <w:szCs w:val="36"/>
          <w:rtl/>
        </w:rPr>
        <w:t xml:space="preserve"> </w:t>
      </w:r>
      <w:r w:rsidR="006B129C" w:rsidRPr="00FD211F">
        <w:rPr>
          <w:sz w:val="36"/>
          <w:szCs w:val="36"/>
          <w:rtl/>
        </w:rPr>
        <w:t>عرض</w:t>
      </w:r>
      <w:r w:rsidR="00E8128F">
        <w:rPr>
          <w:sz w:val="36"/>
          <w:szCs w:val="36"/>
          <w:rtl/>
        </w:rPr>
        <w:t xml:space="preserve"> </w:t>
      </w:r>
      <w:r w:rsidR="006B129C" w:rsidRPr="00FD211F">
        <w:rPr>
          <w:sz w:val="36"/>
          <w:szCs w:val="36"/>
          <w:rtl/>
        </w:rPr>
        <w:t>عام</w:t>
      </w:r>
      <w:r w:rsidR="00E8128F">
        <w:rPr>
          <w:sz w:val="36"/>
          <w:szCs w:val="36"/>
          <w:rtl/>
        </w:rPr>
        <w:t xml:space="preserve"> </w:t>
      </w:r>
      <w:r w:rsidR="006B129C" w:rsidRPr="00FD211F">
        <w:rPr>
          <w:sz w:val="36"/>
          <w:szCs w:val="36"/>
          <w:rtl/>
        </w:rPr>
        <w:t>للإنسان</w:t>
      </w:r>
      <w:r w:rsidR="00E8128F">
        <w:rPr>
          <w:sz w:val="36"/>
          <w:szCs w:val="36"/>
          <w:rtl/>
        </w:rPr>
        <w:t xml:space="preserve"> </w:t>
      </w:r>
      <w:r w:rsidR="006B129C" w:rsidRPr="00FD211F">
        <w:rPr>
          <w:sz w:val="36"/>
          <w:szCs w:val="36"/>
          <w:rtl/>
        </w:rPr>
        <w:t>باعتبار</w:t>
      </w:r>
      <w:r w:rsidR="00E8128F">
        <w:rPr>
          <w:sz w:val="36"/>
          <w:szCs w:val="36"/>
          <w:rtl/>
        </w:rPr>
        <w:t xml:space="preserve"> </w:t>
      </w:r>
      <w:r w:rsidR="006B129C" w:rsidRPr="00FD211F">
        <w:rPr>
          <w:sz w:val="36"/>
          <w:szCs w:val="36"/>
          <w:rtl/>
        </w:rPr>
        <w:t>كون</w:t>
      </w:r>
      <w:r w:rsidR="00E8128F">
        <w:rPr>
          <w:sz w:val="36"/>
          <w:szCs w:val="36"/>
          <w:rtl/>
        </w:rPr>
        <w:t xml:space="preserve"> </w:t>
      </w:r>
      <w:r w:rsidR="006B129C" w:rsidRPr="00FD211F">
        <w:rPr>
          <w:sz w:val="36"/>
          <w:szCs w:val="36"/>
          <w:rtl/>
        </w:rPr>
        <w:t>المشي</w:t>
      </w:r>
      <w:r w:rsidR="00E8128F">
        <w:rPr>
          <w:sz w:val="36"/>
          <w:szCs w:val="36"/>
          <w:rtl/>
        </w:rPr>
        <w:t xml:space="preserve"> </w:t>
      </w:r>
      <w:r w:rsidR="006B129C" w:rsidRPr="00FD211F">
        <w:rPr>
          <w:sz w:val="36"/>
          <w:szCs w:val="36"/>
          <w:rtl/>
        </w:rPr>
        <w:t>عرضا</w:t>
      </w:r>
      <w:r w:rsidR="00E8128F">
        <w:rPr>
          <w:sz w:val="36"/>
          <w:szCs w:val="36"/>
          <w:rtl/>
        </w:rPr>
        <w:t xml:space="preserve"> </w:t>
      </w:r>
      <w:r w:rsidR="006B129C" w:rsidRPr="00FD211F">
        <w:rPr>
          <w:sz w:val="36"/>
          <w:szCs w:val="36"/>
          <w:rtl/>
        </w:rPr>
        <w:t>خاصا</w:t>
      </w:r>
      <w:r w:rsidR="00E8128F">
        <w:rPr>
          <w:sz w:val="36"/>
          <w:szCs w:val="36"/>
          <w:rtl/>
        </w:rPr>
        <w:t xml:space="preserve"> </w:t>
      </w:r>
      <w:r w:rsidR="006B129C" w:rsidRPr="00FD211F">
        <w:rPr>
          <w:sz w:val="36"/>
          <w:szCs w:val="36"/>
          <w:rtl/>
        </w:rPr>
        <w:t>لجنسه</w:t>
      </w:r>
      <w:r w:rsidR="00E8128F">
        <w:rPr>
          <w:sz w:val="36"/>
          <w:szCs w:val="36"/>
          <w:rtl/>
        </w:rPr>
        <w:t xml:space="preserve"> </w:t>
      </w:r>
      <w:r w:rsidR="006B129C" w:rsidRPr="00FD211F">
        <w:rPr>
          <w:sz w:val="36"/>
          <w:szCs w:val="36"/>
          <w:rtl/>
        </w:rPr>
        <w:t>القريب</w:t>
      </w:r>
      <w:r w:rsidR="00E8128F">
        <w:rPr>
          <w:sz w:val="36"/>
          <w:szCs w:val="36"/>
          <w:rtl/>
        </w:rPr>
        <w:t xml:space="preserve"> </w:t>
      </w:r>
      <w:r w:rsidR="006B129C" w:rsidRPr="00FD211F">
        <w:rPr>
          <w:sz w:val="36"/>
          <w:szCs w:val="36"/>
          <w:rtl/>
        </w:rPr>
        <w:t>وهو</w:t>
      </w:r>
      <w:r w:rsidR="00E8128F">
        <w:rPr>
          <w:sz w:val="36"/>
          <w:szCs w:val="36"/>
          <w:rtl/>
        </w:rPr>
        <w:t xml:space="preserve"> </w:t>
      </w:r>
      <w:r w:rsidR="006B129C" w:rsidRPr="00FD211F">
        <w:rPr>
          <w:sz w:val="36"/>
          <w:szCs w:val="36"/>
          <w:rtl/>
        </w:rPr>
        <w:t>الحيوان</w:t>
      </w:r>
      <w:r w:rsidR="00603323" w:rsidRPr="00FD211F">
        <w:rPr>
          <w:sz w:val="36"/>
          <w:szCs w:val="36"/>
          <w:rtl/>
        </w:rPr>
        <w:t>،</w:t>
      </w:r>
      <w:r w:rsidR="00E8128F">
        <w:rPr>
          <w:sz w:val="36"/>
          <w:szCs w:val="36"/>
          <w:rtl/>
        </w:rPr>
        <w:t xml:space="preserve"> </w:t>
      </w:r>
      <w:r w:rsidR="006B129C" w:rsidRPr="00FD211F">
        <w:rPr>
          <w:sz w:val="36"/>
          <w:szCs w:val="36"/>
          <w:rtl/>
        </w:rPr>
        <w:t>والتحيز</w:t>
      </w:r>
      <w:r w:rsidR="00E8128F">
        <w:rPr>
          <w:sz w:val="36"/>
          <w:szCs w:val="36"/>
          <w:rtl/>
        </w:rPr>
        <w:t xml:space="preserve"> </w:t>
      </w:r>
      <w:r w:rsidR="006B129C" w:rsidRPr="00FD211F">
        <w:rPr>
          <w:sz w:val="36"/>
          <w:szCs w:val="36"/>
          <w:rtl/>
        </w:rPr>
        <w:t>عرض</w:t>
      </w:r>
      <w:r w:rsidR="00E8128F">
        <w:rPr>
          <w:sz w:val="36"/>
          <w:szCs w:val="36"/>
          <w:rtl/>
        </w:rPr>
        <w:t xml:space="preserve"> </w:t>
      </w:r>
      <w:r w:rsidR="006B129C" w:rsidRPr="00FD211F">
        <w:rPr>
          <w:sz w:val="36"/>
          <w:szCs w:val="36"/>
          <w:rtl/>
        </w:rPr>
        <w:t>خاصا</w:t>
      </w:r>
      <w:r w:rsidR="00E8128F">
        <w:rPr>
          <w:sz w:val="36"/>
          <w:szCs w:val="36"/>
          <w:rtl/>
        </w:rPr>
        <w:t xml:space="preserve"> </w:t>
      </w:r>
      <w:r w:rsidR="006B129C" w:rsidRPr="00FD211F">
        <w:rPr>
          <w:sz w:val="36"/>
          <w:szCs w:val="36"/>
          <w:rtl/>
        </w:rPr>
        <w:t>لجنسه</w:t>
      </w:r>
      <w:r w:rsidR="00E8128F">
        <w:rPr>
          <w:sz w:val="36"/>
          <w:szCs w:val="36"/>
          <w:rtl/>
        </w:rPr>
        <w:t xml:space="preserve"> </w:t>
      </w:r>
      <w:r w:rsidR="006B129C" w:rsidRPr="00FD211F">
        <w:rPr>
          <w:sz w:val="36"/>
          <w:szCs w:val="36"/>
          <w:rtl/>
        </w:rPr>
        <w:t>البعيد</w:t>
      </w:r>
      <w:r w:rsidR="00E8128F">
        <w:rPr>
          <w:sz w:val="36"/>
          <w:szCs w:val="36"/>
          <w:rtl/>
        </w:rPr>
        <w:t xml:space="preserve"> </w:t>
      </w:r>
      <w:r w:rsidR="006B129C" w:rsidRPr="00FD211F">
        <w:rPr>
          <w:sz w:val="36"/>
          <w:szCs w:val="36"/>
          <w:rtl/>
        </w:rPr>
        <w:t>وهو</w:t>
      </w:r>
      <w:r w:rsidR="00E8128F">
        <w:rPr>
          <w:sz w:val="36"/>
          <w:szCs w:val="36"/>
          <w:rtl/>
        </w:rPr>
        <w:t xml:space="preserve"> </w:t>
      </w:r>
      <w:r w:rsidR="006B129C" w:rsidRPr="00FD211F">
        <w:rPr>
          <w:sz w:val="36"/>
          <w:szCs w:val="36"/>
          <w:rtl/>
        </w:rPr>
        <w:t>الجسم</w:t>
      </w:r>
      <w:r w:rsidR="00603323" w:rsidRPr="00FD211F">
        <w:rPr>
          <w:sz w:val="36"/>
          <w:szCs w:val="36"/>
          <w:rtl/>
        </w:rPr>
        <w:t>،</w:t>
      </w:r>
      <w:r w:rsidR="00E8128F">
        <w:rPr>
          <w:sz w:val="36"/>
          <w:szCs w:val="36"/>
          <w:rtl/>
        </w:rPr>
        <w:t xml:space="preserve"> </w:t>
      </w:r>
      <w:r w:rsidR="000B712F" w:rsidRPr="00FD211F">
        <w:rPr>
          <w:sz w:val="36"/>
          <w:szCs w:val="36"/>
          <w:rtl/>
        </w:rPr>
        <w:t>والشيئي</w:t>
      </w:r>
      <w:r w:rsidR="00EC7EDF" w:rsidRPr="00FD211F">
        <w:rPr>
          <w:sz w:val="36"/>
          <w:szCs w:val="36"/>
          <w:rtl/>
        </w:rPr>
        <w:t>ة</w:t>
      </w:r>
      <w:r w:rsidR="00E8128F">
        <w:rPr>
          <w:sz w:val="36"/>
          <w:szCs w:val="36"/>
          <w:rtl/>
        </w:rPr>
        <w:t xml:space="preserve"> </w:t>
      </w:r>
      <w:r w:rsidR="000B712F" w:rsidRPr="00FD211F">
        <w:rPr>
          <w:sz w:val="36"/>
          <w:szCs w:val="36"/>
          <w:rtl/>
        </w:rPr>
        <w:t>تعرض</w:t>
      </w:r>
      <w:r w:rsidR="00E8128F">
        <w:rPr>
          <w:sz w:val="36"/>
          <w:szCs w:val="36"/>
          <w:rtl/>
        </w:rPr>
        <w:t xml:space="preserve"> </w:t>
      </w:r>
      <w:r w:rsidR="000B712F" w:rsidRPr="00FD211F">
        <w:rPr>
          <w:sz w:val="36"/>
          <w:szCs w:val="36"/>
          <w:rtl/>
        </w:rPr>
        <w:t>لكل</w:t>
      </w:r>
      <w:r w:rsidR="00E8128F">
        <w:rPr>
          <w:sz w:val="36"/>
          <w:szCs w:val="36"/>
          <w:rtl/>
        </w:rPr>
        <w:t xml:space="preserve"> </w:t>
      </w:r>
      <w:r w:rsidR="000B712F" w:rsidRPr="00FD211F">
        <w:rPr>
          <w:sz w:val="36"/>
          <w:szCs w:val="36"/>
          <w:rtl/>
        </w:rPr>
        <w:t>ماهي</w:t>
      </w:r>
      <w:r w:rsidR="00EC7EDF" w:rsidRPr="00FD211F">
        <w:rPr>
          <w:sz w:val="36"/>
          <w:szCs w:val="36"/>
          <w:rtl/>
        </w:rPr>
        <w:t>ة</w:t>
      </w:r>
      <w:r w:rsidR="00E8128F">
        <w:rPr>
          <w:sz w:val="36"/>
          <w:szCs w:val="36"/>
          <w:rtl/>
        </w:rPr>
        <w:t xml:space="preserve"> </w:t>
      </w:r>
      <w:r w:rsidR="000B712F" w:rsidRPr="00FD211F">
        <w:rPr>
          <w:sz w:val="36"/>
          <w:szCs w:val="36"/>
          <w:rtl/>
        </w:rPr>
        <w:t>من</w:t>
      </w:r>
      <w:r w:rsidR="00E8128F">
        <w:rPr>
          <w:sz w:val="36"/>
          <w:szCs w:val="36"/>
          <w:rtl/>
        </w:rPr>
        <w:t xml:space="preserve"> </w:t>
      </w:r>
      <w:r w:rsidR="000B712F" w:rsidRPr="00FD211F">
        <w:rPr>
          <w:sz w:val="36"/>
          <w:szCs w:val="36"/>
          <w:rtl/>
        </w:rPr>
        <w:t>الماهيات</w:t>
      </w:r>
      <w:r w:rsidR="00E8128F">
        <w:rPr>
          <w:sz w:val="36"/>
          <w:szCs w:val="36"/>
          <w:rtl/>
        </w:rPr>
        <w:t xml:space="preserve"> </w:t>
      </w:r>
      <w:r w:rsidR="000B712F" w:rsidRPr="00FD211F">
        <w:rPr>
          <w:sz w:val="36"/>
          <w:szCs w:val="36"/>
          <w:rtl/>
        </w:rPr>
        <w:t>وتنطبق</w:t>
      </w:r>
      <w:r w:rsidR="00E8128F">
        <w:rPr>
          <w:sz w:val="36"/>
          <w:szCs w:val="36"/>
          <w:rtl/>
        </w:rPr>
        <w:t xml:space="preserve"> </w:t>
      </w:r>
      <w:r w:rsidR="000B712F" w:rsidRPr="00FD211F">
        <w:rPr>
          <w:sz w:val="36"/>
          <w:szCs w:val="36"/>
          <w:rtl/>
        </w:rPr>
        <w:t>عليها</w:t>
      </w:r>
      <w:r w:rsidR="00E8128F">
        <w:rPr>
          <w:sz w:val="36"/>
          <w:szCs w:val="36"/>
          <w:rtl/>
        </w:rPr>
        <w:t xml:space="preserve"> </w:t>
      </w:r>
      <w:r w:rsidR="000B712F" w:rsidRPr="00FD211F">
        <w:rPr>
          <w:sz w:val="36"/>
          <w:szCs w:val="36"/>
          <w:rtl/>
        </w:rPr>
        <w:t>فهي</w:t>
      </w:r>
      <w:r w:rsidR="00E8128F">
        <w:rPr>
          <w:sz w:val="36"/>
          <w:szCs w:val="36"/>
          <w:rtl/>
        </w:rPr>
        <w:t xml:space="preserve"> </w:t>
      </w:r>
      <w:r w:rsidR="000B712F" w:rsidRPr="00FD211F">
        <w:rPr>
          <w:sz w:val="36"/>
          <w:szCs w:val="36"/>
          <w:rtl/>
        </w:rPr>
        <w:t>جه</w:t>
      </w:r>
      <w:r w:rsidR="00EC7EDF" w:rsidRPr="00FD211F">
        <w:rPr>
          <w:sz w:val="36"/>
          <w:szCs w:val="36"/>
          <w:rtl/>
        </w:rPr>
        <w:t>ة</w:t>
      </w:r>
      <w:r w:rsidR="00E8128F">
        <w:rPr>
          <w:sz w:val="36"/>
          <w:szCs w:val="36"/>
          <w:rtl/>
        </w:rPr>
        <w:t xml:space="preserve"> </w:t>
      </w:r>
      <w:r w:rsidR="000B712F" w:rsidRPr="00FD211F">
        <w:rPr>
          <w:sz w:val="36"/>
          <w:szCs w:val="36"/>
          <w:rtl/>
        </w:rPr>
        <w:t>مشترك</w:t>
      </w:r>
      <w:r w:rsidR="00EC7EDF" w:rsidRPr="00FD211F">
        <w:rPr>
          <w:sz w:val="36"/>
          <w:szCs w:val="36"/>
          <w:rtl/>
        </w:rPr>
        <w:t>ة</w:t>
      </w:r>
      <w:r w:rsidR="00E8128F">
        <w:rPr>
          <w:sz w:val="36"/>
          <w:szCs w:val="36"/>
          <w:rtl/>
        </w:rPr>
        <w:t xml:space="preserve"> </w:t>
      </w:r>
      <w:r w:rsidR="000B712F" w:rsidRPr="00FD211F">
        <w:rPr>
          <w:sz w:val="36"/>
          <w:szCs w:val="36"/>
          <w:rtl/>
        </w:rPr>
        <w:t>بين</w:t>
      </w:r>
      <w:r w:rsidR="00E8128F">
        <w:rPr>
          <w:sz w:val="36"/>
          <w:szCs w:val="36"/>
          <w:rtl/>
        </w:rPr>
        <w:t xml:space="preserve"> </w:t>
      </w:r>
      <w:r w:rsidR="000B712F" w:rsidRPr="00FD211F">
        <w:rPr>
          <w:sz w:val="36"/>
          <w:szCs w:val="36"/>
          <w:rtl/>
        </w:rPr>
        <w:t>جيمعها</w:t>
      </w:r>
      <w:r w:rsidR="00E8128F">
        <w:rPr>
          <w:sz w:val="36"/>
          <w:szCs w:val="36"/>
          <w:rtl/>
        </w:rPr>
        <w:t xml:space="preserve"> </w:t>
      </w:r>
      <w:r w:rsidR="000B712F" w:rsidRPr="00FD211F">
        <w:rPr>
          <w:sz w:val="36"/>
          <w:szCs w:val="36"/>
          <w:rtl/>
        </w:rPr>
        <w:t>وليس</w:t>
      </w:r>
      <w:r w:rsidR="00E8128F">
        <w:rPr>
          <w:sz w:val="36"/>
          <w:szCs w:val="36"/>
          <w:rtl/>
        </w:rPr>
        <w:t xml:space="preserve"> </w:t>
      </w:r>
      <w:r w:rsidR="000B712F" w:rsidRPr="00FD211F">
        <w:rPr>
          <w:sz w:val="36"/>
          <w:szCs w:val="36"/>
          <w:rtl/>
        </w:rPr>
        <w:t>وراءها</w:t>
      </w:r>
      <w:r w:rsidR="00E8128F">
        <w:rPr>
          <w:sz w:val="36"/>
          <w:szCs w:val="36"/>
          <w:rtl/>
        </w:rPr>
        <w:t xml:space="preserve"> </w:t>
      </w:r>
      <w:r w:rsidR="000B712F" w:rsidRPr="00FD211F">
        <w:rPr>
          <w:sz w:val="36"/>
          <w:szCs w:val="36"/>
          <w:rtl/>
        </w:rPr>
        <w:t>امر</w:t>
      </w:r>
      <w:r w:rsidR="00E8128F">
        <w:rPr>
          <w:sz w:val="36"/>
          <w:szCs w:val="36"/>
          <w:rtl/>
        </w:rPr>
        <w:t xml:space="preserve"> </w:t>
      </w:r>
      <w:r w:rsidR="000B712F" w:rsidRPr="00FD211F">
        <w:rPr>
          <w:sz w:val="36"/>
          <w:szCs w:val="36"/>
          <w:rtl/>
        </w:rPr>
        <w:t>آخر</w:t>
      </w:r>
      <w:r w:rsidR="00E8128F">
        <w:rPr>
          <w:sz w:val="36"/>
          <w:szCs w:val="36"/>
          <w:rtl/>
        </w:rPr>
        <w:t xml:space="preserve"> </w:t>
      </w:r>
      <w:r w:rsidR="000B712F" w:rsidRPr="00FD211F">
        <w:rPr>
          <w:sz w:val="36"/>
          <w:szCs w:val="36"/>
          <w:rtl/>
        </w:rPr>
        <w:t>يكون</w:t>
      </w:r>
      <w:r w:rsidR="00E8128F">
        <w:rPr>
          <w:sz w:val="36"/>
          <w:szCs w:val="36"/>
          <w:rtl/>
        </w:rPr>
        <w:t xml:space="preserve"> </w:t>
      </w:r>
      <w:r w:rsidR="000B712F" w:rsidRPr="00FD211F">
        <w:rPr>
          <w:sz w:val="36"/>
          <w:szCs w:val="36"/>
          <w:rtl/>
        </w:rPr>
        <w:t>هو</w:t>
      </w:r>
      <w:r w:rsidR="00E8128F">
        <w:rPr>
          <w:sz w:val="36"/>
          <w:szCs w:val="36"/>
          <w:rtl/>
        </w:rPr>
        <w:t xml:space="preserve"> </w:t>
      </w:r>
      <w:r w:rsidR="000B712F" w:rsidRPr="00FD211F">
        <w:rPr>
          <w:sz w:val="36"/>
          <w:szCs w:val="36"/>
          <w:rtl/>
        </w:rPr>
        <w:t>جنس</w:t>
      </w:r>
      <w:r w:rsidR="00E8128F">
        <w:rPr>
          <w:sz w:val="36"/>
          <w:szCs w:val="36"/>
          <w:rtl/>
        </w:rPr>
        <w:t xml:space="preserve"> </w:t>
      </w:r>
      <w:r w:rsidR="000B712F" w:rsidRPr="00FD211F">
        <w:rPr>
          <w:sz w:val="36"/>
          <w:szCs w:val="36"/>
          <w:rtl/>
        </w:rPr>
        <w:t>الاجناس</w:t>
      </w:r>
      <w:r w:rsidR="00E8128F">
        <w:rPr>
          <w:sz w:val="36"/>
          <w:szCs w:val="36"/>
          <w:rtl/>
        </w:rPr>
        <w:t xml:space="preserve"> </w:t>
      </w:r>
      <w:r w:rsidR="000B712F" w:rsidRPr="00FD211F">
        <w:rPr>
          <w:sz w:val="36"/>
          <w:szCs w:val="36"/>
          <w:rtl/>
        </w:rPr>
        <w:t>وتعرضه</w:t>
      </w:r>
      <w:r w:rsidR="00E8128F">
        <w:rPr>
          <w:sz w:val="36"/>
          <w:szCs w:val="36"/>
          <w:rtl/>
        </w:rPr>
        <w:t xml:space="preserve"> </w:t>
      </w:r>
      <w:r w:rsidR="000B712F" w:rsidRPr="00FD211F">
        <w:rPr>
          <w:sz w:val="36"/>
          <w:szCs w:val="36"/>
          <w:rtl/>
        </w:rPr>
        <w:t>الشيئي</w:t>
      </w:r>
      <w:r w:rsidR="00EC7EDF" w:rsidRPr="00FD211F">
        <w:rPr>
          <w:sz w:val="36"/>
          <w:szCs w:val="36"/>
          <w:rtl/>
        </w:rPr>
        <w:t>ة</w:t>
      </w:r>
      <w:r w:rsidR="00603323" w:rsidRPr="00FD211F">
        <w:rPr>
          <w:sz w:val="36"/>
          <w:szCs w:val="36"/>
          <w:rtl/>
        </w:rPr>
        <w:t>،</w:t>
      </w:r>
      <w:r w:rsidR="00E8128F">
        <w:rPr>
          <w:sz w:val="36"/>
          <w:szCs w:val="36"/>
          <w:rtl/>
        </w:rPr>
        <w:t xml:space="preserve"> </w:t>
      </w:r>
      <w:r w:rsidR="000B712F" w:rsidRPr="00FD211F">
        <w:rPr>
          <w:sz w:val="36"/>
          <w:szCs w:val="36"/>
          <w:rtl/>
        </w:rPr>
        <w:t>ف</w:t>
      </w:r>
      <w:r w:rsidR="006B129C" w:rsidRPr="00FD211F">
        <w:rPr>
          <w:sz w:val="36"/>
          <w:szCs w:val="36"/>
          <w:rtl/>
        </w:rPr>
        <w:t>ما</w:t>
      </w:r>
      <w:r w:rsidR="00E8128F">
        <w:rPr>
          <w:sz w:val="36"/>
          <w:szCs w:val="36"/>
          <w:rtl/>
        </w:rPr>
        <w:t xml:space="preserve"> </w:t>
      </w:r>
      <w:r w:rsidR="006B129C" w:rsidRPr="00FD211F">
        <w:rPr>
          <w:sz w:val="36"/>
          <w:szCs w:val="36"/>
          <w:rtl/>
        </w:rPr>
        <w:t>يلزم</w:t>
      </w:r>
      <w:r w:rsidR="00E8128F">
        <w:rPr>
          <w:sz w:val="36"/>
          <w:szCs w:val="36"/>
          <w:rtl/>
        </w:rPr>
        <w:t xml:space="preserve"> </w:t>
      </w:r>
      <w:r w:rsidR="000B712F" w:rsidRPr="00FD211F">
        <w:rPr>
          <w:sz w:val="36"/>
          <w:szCs w:val="36"/>
          <w:rtl/>
        </w:rPr>
        <w:t>من</w:t>
      </w:r>
      <w:r w:rsidR="00E8128F">
        <w:rPr>
          <w:sz w:val="36"/>
          <w:szCs w:val="36"/>
          <w:rtl/>
        </w:rPr>
        <w:t xml:space="preserve"> </w:t>
      </w:r>
      <w:r w:rsidR="000B712F" w:rsidRPr="00FD211F">
        <w:rPr>
          <w:sz w:val="36"/>
          <w:szCs w:val="36"/>
          <w:rtl/>
        </w:rPr>
        <w:t>اخذ</w:t>
      </w:r>
      <w:r w:rsidR="00E8128F">
        <w:rPr>
          <w:sz w:val="36"/>
          <w:szCs w:val="36"/>
          <w:rtl/>
        </w:rPr>
        <w:t xml:space="preserve"> </w:t>
      </w:r>
      <w:r w:rsidR="000B712F" w:rsidRPr="00FD211F">
        <w:rPr>
          <w:sz w:val="36"/>
          <w:szCs w:val="36"/>
          <w:rtl/>
        </w:rPr>
        <w:t>مفهوم</w:t>
      </w:r>
      <w:r w:rsidR="00E8128F">
        <w:rPr>
          <w:sz w:val="36"/>
          <w:szCs w:val="36"/>
          <w:rtl/>
        </w:rPr>
        <w:t xml:space="preserve"> </w:t>
      </w:r>
      <w:r w:rsidR="000B712F" w:rsidRPr="00FD211F">
        <w:rPr>
          <w:sz w:val="36"/>
          <w:szCs w:val="36"/>
          <w:rtl/>
        </w:rPr>
        <w:t>ال</w:t>
      </w:r>
      <w:r w:rsidR="008D7B3D" w:rsidRPr="00FD211F">
        <w:rPr>
          <w:sz w:val="36"/>
          <w:szCs w:val="36"/>
          <w:rtl/>
        </w:rPr>
        <w:t>شيء</w:t>
      </w:r>
      <w:r w:rsidR="00E8128F">
        <w:rPr>
          <w:sz w:val="36"/>
          <w:szCs w:val="36"/>
          <w:rtl/>
        </w:rPr>
        <w:t xml:space="preserve"> </w:t>
      </w:r>
      <w:r w:rsidR="000B712F" w:rsidRPr="00FD211F">
        <w:rPr>
          <w:sz w:val="36"/>
          <w:szCs w:val="36"/>
          <w:rtl/>
        </w:rPr>
        <w:t>في</w:t>
      </w:r>
      <w:r w:rsidR="00E8128F">
        <w:rPr>
          <w:sz w:val="36"/>
          <w:szCs w:val="36"/>
          <w:rtl/>
        </w:rPr>
        <w:t xml:space="preserve"> </w:t>
      </w:r>
      <w:r w:rsidR="000B712F" w:rsidRPr="00FD211F">
        <w:rPr>
          <w:sz w:val="36"/>
          <w:szCs w:val="36"/>
          <w:rtl/>
        </w:rPr>
        <w:t>المشتق</w:t>
      </w:r>
      <w:r w:rsidR="00E8128F">
        <w:rPr>
          <w:sz w:val="36"/>
          <w:szCs w:val="36"/>
          <w:rtl/>
        </w:rPr>
        <w:t xml:space="preserve"> </w:t>
      </w:r>
      <w:r w:rsidR="006B129C" w:rsidRPr="00FD211F">
        <w:rPr>
          <w:sz w:val="36"/>
          <w:szCs w:val="36"/>
          <w:rtl/>
        </w:rPr>
        <w:t>ليس</w:t>
      </w:r>
      <w:r w:rsidR="00E8128F">
        <w:rPr>
          <w:sz w:val="36"/>
          <w:szCs w:val="36"/>
          <w:rtl/>
        </w:rPr>
        <w:t xml:space="preserve"> </w:t>
      </w:r>
      <w:r w:rsidR="006B129C" w:rsidRPr="00FD211F">
        <w:rPr>
          <w:sz w:val="36"/>
          <w:szCs w:val="36"/>
          <w:rtl/>
        </w:rPr>
        <w:t>هو</w:t>
      </w:r>
      <w:r w:rsidR="00E8128F">
        <w:rPr>
          <w:sz w:val="36"/>
          <w:szCs w:val="36"/>
          <w:rtl/>
        </w:rPr>
        <w:t xml:space="preserve"> </w:t>
      </w:r>
      <w:r w:rsidR="006B129C" w:rsidRPr="00FD211F">
        <w:rPr>
          <w:sz w:val="36"/>
          <w:szCs w:val="36"/>
          <w:rtl/>
        </w:rPr>
        <w:t>دخول</w:t>
      </w:r>
      <w:r w:rsidR="00E8128F">
        <w:rPr>
          <w:sz w:val="36"/>
          <w:szCs w:val="36"/>
          <w:rtl/>
        </w:rPr>
        <w:t xml:space="preserve"> </w:t>
      </w:r>
      <w:r w:rsidR="006B129C" w:rsidRPr="00FD211F">
        <w:rPr>
          <w:sz w:val="36"/>
          <w:szCs w:val="36"/>
          <w:rtl/>
        </w:rPr>
        <w:t>العرض</w:t>
      </w:r>
      <w:r w:rsidR="00E8128F">
        <w:rPr>
          <w:sz w:val="36"/>
          <w:szCs w:val="36"/>
          <w:rtl/>
        </w:rPr>
        <w:t xml:space="preserve"> </w:t>
      </w:r>
      <w:r w:rsidR="006B129C" w:rsidRPr="00FD211F">
        <w:rPr>
          <w:sz w:val="36"/>
          <w:szCs w:val="36"/>
          <w:rtl/>
        </w:rPr>
        <w:t>العام</w:t>
      </w:r>
      <w:r w:rsidR="00E8128F">
        <w:rPr>
          <w:sz w:val="36"/>
          <w:szCs w:val="36"/>
          <w:rtl/>
        </w:rPr>
        <w:t xml:space="preserve"> </w:t>
      </w:r>
      <w:r w:rsidR="006B129C" w:rsidRPr="00FD211F">
        <w:rPr>
          <w:sz w:val="36"/>
          <w:szCs w:val="36"/>
          <w:rtl/>
        </w:rPr>
        <w:t>في</w:t>
      </w:r>
      <w:r w:rsidR="00E8128F">
        <w:rPr>
          <w:sz w:val="36"/>
          <w:szCs w:val="36"/>
          <w:rtl/>
        </w:rPr>
        <w:t xml:space="preserve"> </w:t>
      </w:r>
      <w:r w:rsidR="006B129C" w:rsidRPr="00FD211F">
        <w:rPr>
          <w:sz w:val="36"/>
          <w:szCs w:val="36"/>
          <w:rtl/>
        </w:rPr>
        <w:t>الفصل</w:t>
      </w:r>
      <w:r w:rsidR="00E8128F">
        <w:rPr>
          <w:sz w:val="36"/>
          <w:szCs w:val="36"/>
          <w:rtl/>
        </w:rPr>
        <w:t xml:space="preserve"> </w:t>
      </w:r>
      <w:r w:rsidR="006B129C" w:rsidRPr="00FD211F">
        <w:rPr>
          <w:sz w:val="36"/>
          <w:szCs w:val="36"/>
          <w:rtl/>
        </w:rPr>
        <w:t>وانما</w:t>
      </w:r>
      <w:r w:rsidR="00E8128F">
        <w:rPr>
          <w:sz w:val="36"/>
          <w:szCs w:val="36"/>
          <w:rtl/>
        </w:rPr>
        <w:t xml:space="preserve"> </w:t>
      </w:r>
      <w:r w:rsidR="006B129C" w:rsidRPr="00FD211F">
        <w:rPr>
          <w:sz w:val="36"/>
          <w:szCs w:val="36"/>
          <w:rtl/>
        </w:rPr>
        <w:t>هو</w:t>
      </w:r>
      <w:r w:rsidR="00E8128F">
        <w:rPr>
          <w:sz w:val="36"/>
          <w:szCs w:val="36"/>
          <w:rtl/>
        </w:rPr>
        <w:t xml:space="preserve"> </w:t>
      </w:r>
      <w:r w:rsidR="000B712F" w:rsidRPr="00FD211F">
        <w:rPr>
          <w:sz w:val="36"/>
          <w:szCs w:val="36"/>
          <w:rtl/>
        </w:rPr>
        <w:t>دخول</w:t>
      </w:r>
      <w:r w:rsidR="00E8128F">
        <w:rPr>
          <w:sz w:val="36"/>
          <w:szCs w:val="36"/>
          <w:rtl/>
        </w:rPr>
        <w:t xml:space="preserve"> </w:t>
      </w:r>
      <w:r w:rsidR="000B712F" w:rsidRPr="00FD211F">
        <w:rPr>
          <w:sz w:val="36"/>
          <w:szCs w:val="36"/>
          <w:rtl/>
        </w:rPr>
        <w:t>الجنس</w:t>
      </w:r>
      <w:r w:rsidR="00E8128F">
        <w:rPr>
          <w:sz w:val="36"/>
          <w:szCs w:val="36"/>
          <w:rtl/>
        </w:rPr>
        <w:t xml:space="preserve"> </w:t>
      </w:r>
      <w:r w:rsidR="000B712F" w:rsidRPr="00FD211F">
        <w:rPr>
          <w:sz w:val="36"/>
          <w:szCs w:val="36"/>
          <w:rtl/>
        </w:rPr>
        <w:t>في</w:t>
      </w:r>
      <w:r w:rsidR="00E8128F">
        <w:rPr>
          <w:sz w:val="36"/>
          <w:szCs w:val="36"/>
          <w:rtl/>
        </w:rPr>
        <w:t xml:space="preserve"> </w:t>
      </w:r>
      <w:r w:rsidR="000B712F" w:rsidRPr="00FD211F">
        <w:rPr>
          <w:sz w:val="36"/>
          <w:szCs w:val="36"/>
          <w:rtl/>
        </w:rPr>
        <w:t>الفصل</w:t>
      </w:r>
      <w:r w:rsidR="009C58C8" w:rsidRPr="00FD211F">
        <w:rPr>
          <w:rStyle w:val="a6"/>
          <w:sz w:val="36"/>
          <w:szCs w:val="36"/>
          <w:rtl/>
        </w:rPr>
        <w:t>(</w:t>
      </w:r>
      <w:r w:rsidR="009C58C8" w:rsidRPr="00FD211F">
        <w:rPr>
          <w:rStyle w:val="a6"/>
          <w:sz w:val="36"/>
          <w:szCs w:val="36"/>
          <w:rtl/>
        </w:rPr>
        <w:footnoteReference w:id="598"/>
      </w:r>
      <w:r w:rsidR="009C58C8" w:rsidRPr="00FD211F">
        <w:rPr>
          <w:rStyle w:val="a6"/>
          <w:sz w:val="36"/>
          <w:szCs w:val="36"/>
          <w:rtl/>
        </w:rPr>
        <w:t>)</w:t>
      </w:r>
      <w:r w:rsidR="000B712F" w:rsidRPr="00FD211F">
        <w:rPr>
          <w:sz w:val="36"/>
          <w:szCs w:val="36"/>
          <w:rtl/>
        </w:rPr>
        <w:t>.</w:t>
      </w:r>
    </w:p>
    <w:p w14:paraId="242BAA1A" w14:textId="77777777" w:rsidR="000B712F" w:rsidRPr="00FD211F" w:rsidRDefault="000B712F" w:rsidP="009C58C8">
      <w:pPr>
        <w:ind w:left="0" w:firstLine="227"/>
        <w:jc w:val="both"/>
        <w:rPr>
          <w:sz w:val="36"/>
          <w:szCs w:val="36"/>
          <w:rtl/>
        </w:rPr>
      </w:pPr>
      <w:r w:rsidRPr="00FD211F">
        <w:rPr>
          <w:sz w:val="36"/>
          <w:szCs w:val="36"/>
          <w:rtl/>
        </w:rPr>
        <w:t>واورد</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الخوئي</w:t>
      </w:r>
      <w:r w:rsidR="00E8128F">
        <w:rPr>
          <w:sz w:val="36"/>
          <w:szCs w:val="36"/>
          <w:rtl/>
        </w:rPr>
        <w:t xml:space="preserve"> </w:t>
      </w:r>
      <w:r w:rsidR="00C55F9F" w:rsidRPr="00FD211F">
        <w:rPr>
          <w:sz w:val="36"/>
          <w:szCs w:val="36"/>
          <w:rtl/>
        </w:rPr>
        <w:t>"</w:t>
      </w:r>
      <w:r w:rsidRPr="00FD211F">
        <w:rPr>
          <w:sz w:val="36"/>
          <w:szCs w:val="36"/>
          <w:rtl/>
        </w:rPr>
        <w:t>قده</w:t>
      </w:r>
      <w:r w:rsidR="00C55F9F" w:rsidRPr="00FD211F">
        <w:rPr>
          <w:sz w:val="36"/>
          <w:szCs w:val="36"/>
          <w:rtl/>
        </w:rPr>
        <w:t>"</w:t>
      </w:r>
      <w:r w:rsidR="00E8128F">
        <w:rPr>
          <w:sz w:val="36"/>
          <w:szCs w:val="36"/>
          <w:rtl/>
        </w:rPr>
        <w:t xml:space="preserve"> </w:t>
      </w:r>
      <w:r w:rsidRPr="00FD211F">
        <w:rPr>
          <w:sz w:val="36"/>
          <w:szCs w:val="36"/>
          <w:rtl/>
        </w:rPr>
        <w:t>بانه</w:t>
      </w:r>
      <w:r w:rsidR="00E8128F">
        <w:rPr>
          <w:sz w:val="36"/>
          <w:szCs w:val="36"/>
          <w:rtl/>
        </w:rPr>
        <w:t xml:space="preserve"> </w:t>
      </w:r>
      <w:r w:rsidRPr="00FD211F">
        <w:rPr>
          <w:sz w:val="36"/>
          <w:szCs w:val="36"/>
          <w:rtl/>
        </w:rPr>
        <w:t>لايمكن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جنسا</w:t>
      </w:r>
      <w:r w:rsidR="00E8128F">
        <w:rPr>
          <w:sz w:val="36"/>
          <w:szCs w:val="36"/>
          <w:rtl/>
        </w:rPr>
        <w:t xml:space="preserve"> </w:t>
      </w:r>
      <w:r w:rsidRPr="00FD211F">
        <w:rPr>
          <w:sz w:val="36"/>
          <w:szCs w:val="36"/>
          <w:rtl/>
        </w:rPr>
        <w:t>للمقولات</w:t>
      </w:r>
      <w:r w:rsidR="00E8128F">
        <w:rPr>
          <w:sz w:val="36"/>
          <w:szCs w:val="36"/>
          <w:rtl/>
        </w:rPr>
        <w:t xml:space="preserve"> </w:t>
      </w:r>
      <w:r w:rsidRPr="00FD211F">
        <w:rPr>
          <w:sz w:val="36"/>
          <w:szCs w:val="36"/>
          <w:rtl/>
        </w:rPr>
        <w:t>العشر</w:t>
      </w:r>
      <w:r w:rsidR="00E8128F">
        <w:rPr>
          <w:sz w:val="36"/>
          <w:szCs w:val="36"/>
          <w:rtl/>
        </w:rPr>
        <w:t xml:space="preserve"> </w:t>
      </w:r>
      <w:r w:rsidRPr="00FD211F">
        <w:rPr>
          <w:sz w:val="36"/>
          <w:szCs w:val="36"/>
          <w:rtl/>
        </w:rPr>
        <w:t>لاستحال</w:t>
      </w:r>
      <w:r w:rsidR="00EC7EDF" w:rsidRPr="00FD211F">
        <w:rPr>
          <w:sz w:val="36"/>
          <w:szCs w:val="36"/>
          <w:rtl/>
        </w:rPr>
        <w:t>ة</w:t>
      </w:r>
      <w:r w:rsidR="00E8128F">
        <w:rPr>
          <w:sz w:val="36"/>
          <w:szCs w:val="36"/>
          <w:rtl/>
        </w:rPr>
        <w:t xml:space="preserve"> </w:t>
      </w:r>
      <w:r w:rsidRPr="00FD211F">
        <w:rPr>
          <w:sz w:val="36"/>
          <w:szCs w:val="36"/>
          <w:rtl/>
        </w:rPr>
        <w:t>جامع</w:t>
      </w:r>
      <w:r w:rsidR="00E8128F">
        <w:rPr>
          <w:sz w:val="36"/>
          <w:szCs w:val="36"/>
          <w:rtl/>
        </w:rPr>
        <w:t xml:space="preserve"> </w:t>
      </w:r>
      <w:r w:rsidRPr="00FD211F">
        <w:rPr>
          <w:sz w:val="36"/>
          <w:szCs w:val="36"/>
          <w:rtl/>
        </w:rPr>
        <w:t>حقيقي</w:t>
      </w:r>
      <w:r w:rsidR="00E8128F">
        <w:rPr>
          <w:sz w:val="36"/>
          <w:szCs w:val="36"/>
          <w:rtl/>
        </w:rPr>
        <w:t xml:space="preserve"> </w:t>
      </w:r>
      <w:r w:rsidRPr="00FD211F">
        <w:rPr>
          <w:sz w:val="36"/>
          <w:szCs w:val="36"/>
          <w:rtl/>
        </w:rPr>
        <w:t>بينها</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برهن</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محله</w:t>
      </w:r>
      <w:r w:rsidR="009C58C8" w:rsidRPr="00FD211F">
        <w:rPr>
          <w:rStyle w:val="a6"/>
          <w:sz w:val="36"/>
          <w:szCs w:val="36"/>
          <w:rtl/>
        </w:rPr>
        <w:t>(</w:t>
      </w:r>
      <w:r w:rsidR="009C58C8" w:rsidRPr="00FD211F">
        <w:rPr>
          <w:rStyle w:val="a6"/>
          <w:sz w:val="36"/>
          <w:szCs w:val="36"/>
          <w:rtl/>
        </w:rPr>
        <w:footnoteReference w:id="599"/>
      </w:r>
      <w:r w:rsidR="009C58C8" w:rsidRPr="00FD211F">
        <w:rPr>
          <w:rStyle w:val="a6"/>
          <w:sz w:val="36"/>
          <w:szCs w:val="36"/>
          <w:rtl/>
        </w:rPr>
        <w:t>)</w:t>
      </w:r>
      <w:r w:rsidRPr="00FD211F">
        <w:rPr>
          <w:sz w:val="36"/>
          <w:szCs w:val="36"/>
          <w:rtl/>
        </w:rPr>
        <w:t>.</w:t>
      </w:r>
    </w:p>
    <w:p w14:paraId="3A297A8B" w14:textId="77777777" w:rsidR="0040555A" w:rsidRPr="00FD211F" w:rsidRDefault="000B712F" w:rsidP="009C58C8">
      <w:pPr>
        <w:ind w:left="0" w:firstLine="227"/>
        <w:jc w:val="both"/>
        <w:rPr>
          <w:sz w:val="36"/>
          <w:szCs w:val="36"/>
          <w:rtl/>
        </w:rPr>
      </w:pPr>
      <w:r w:rsidRPr="00FD211F">
        <w:rPr>
          <w:sz w:val="36"/>
          <w:szCs w:val="36"/>
          <w:rtl/>
        </w:rPr>
        <w:t>وفيه</w:t>
      </w:r>
      <w:r w:rsidR="00E8128F">
        <w:rPr>
          <w:sz w:val="36"/>
          <w:szCs w:val="36"/>
          <w:rtl/>
        </w:rPr>
        <w:t xml:space="preserve"> </w:t>
      </w:r>
      <w:r w:rsidRPr="00FD211F">
        <w:rPr>
          <w:sz w:val="36"/>
          <w:szCs w:val="36"/>
          <w:rtl/>
        </w:rPr>
        <w:t>انه</w:t>
      </w:r>
      <w:r w:rsidR="00E8128F">
        <w:rPr>
          <w:sz w:val="36"/>
          <w:szCs w:val="36"/>
          <w:rtl/>
        </w:rPr>
        <w:t xml:space="preserve"> </w:t>
      </w:r>
      <w:r w:rsidR="006B129C" w:rsidRPr="00FD211F">
        <w:rPr>
          <w:sz w:val="36"/>
          <w:szCs w:val="36"/>
          <w:rtl/>
        </w:rPr>
        <w:t>قد</w:t>
      </w:r>
      <w:r w:rsidR="00E8128F">
        <w:rPr>
          <w:sz w:val="36"/>
          <w:szCs w:val="36"/>
          <w:rtl/>
        </w:rPr>
        <w:t xml:space="preserve"> </w:t>
      </w:r>
      <w:r w:rsidRPr="00FD211F">
        <w:rPr>
          <w:sz w:val="36"/>
          <w:szCs w:val="36"/>
          <w:rtl/>
        </w:rPr>
        <w:t>اعترف</w:t>
      </w:r>
      <w:r w:rsidR="00E8128F">
        <w:rPr>
          <w:sz w:val="36"/>
          <w:szCs w:val="36"/>
          <w:rtl/>
        </w:rPr>
        <w:t xml:space="preserve"> </w:t>
      </w:r>
      <w:r w:rsidR="006B129C" w:rsidRPr="00FD211F">
        <w:rPr>
          <w:sz w:val="36"/>
          <w:szCs w:val="36"/>
          <w:rtl/>
        </w:rPr>
        <w:t>صدر</w:t>
      </w:r>
      <w:r w:rsidR="00E8128F">
        <w:rPr>
          <w:sz w:val="36"/>
          <w:szCs w:val="36"/>
          <w:rtl/>
        </w:rPr>
        <w:t xml:space="preserve"> </w:t>
      </w:r>
      <w:r w:rsidR="006B129C" w:rsidRPr="00FD211F">
        <w:rPr>
          <w:sz w:val="36"/>
          <w:szCs w:val="36"/>
          <w:rtl/>
        </w:rPr>
        <w:t>المتألهين</w:t>
      </w:r>
      <w:r w:rsidR="00E8128F">
        <w:rPr>
          <w:sz w:val="36"/>
          <w:szCs w:val="36"/>
          <w:rtl/>
        </w:rPr>
        <w:t xml:space="preserve"> </w:t>
      </w:r>
      <w:r w:rsidR="00D31B40" w:rsidRPr="00FD211F">
        <w:rPr>
          <w:sz w:val="36"/>
          <w:szCs w:val="36"/>
          <w:rtl/>
        </w:rPr>
        <w:t>بانه</w:t>
      </w:r>
      <w:r w:rsidR="00E8128F">
        <w:rPr>
          <w:sz w:val="36"/>
          <w:szCs w:val="36"/>
          <w:rtl/>
        </w:rPr>
        <w:t xml:space="preserve"> </w:t>
      </w:r>
      <w:r w:rsidR="008D7B3D" w:rsidRPr="00FD211F">
        <w:rPr>
          <w:sz w:val="36"/>
          <w:szCs w:val="36"/>
          <w:rtl/>
        </w:rPr>
        <w:t>لم‌</w:t>
      </w:r>
      <w:r w:rsidR="00D31B40" w:rsidRPr="00FD211F">
        <w:rPr>
          <w:sz w:val="36"/>
          <w:szCs w:val="36"/>
          <w:rtl/>
        </w:rPr>
        <w:t>يقم</w:t>
      </w:r>
      <w:r w:rsidR="00E8128F">
        <w:rPr>
          <w:sz w:val="36"/>
          <w:szCs w:val="36"/>
          <w:rtl/>
        </w:rPr>
        <w:t xml:space="preserve"> </w:t>
      </w:r>
      <w:r w:rsidR="00D31B40" w:rsidRPr="00FD211F">
        <w:rPr>
          <w:sz w:val="36"/>
          <w:szCs w:val="36"/>
          <w:rtl/>
        </w:rPr>
        <w:t>في</w:t>
      </w:r>
      <w:r w:rsidR="00E8128F">
        <w:rPr>
          <w:sz w:val="36"/>
          <w:szCs w:val="36"/>
          <w:rtl/>
        </w:rPr>
        <w:t xml:space="preserve"> </w:t>
      </w:r>
      <w:r w:rsidR="00D31B40" w:rsidRPr="00FD211F">
        <w:rPr>
          <w:sz w:val="36"/>
          <w:szCs w:val="36"/>
          <w:rtl/>
        </w:rPr>
        <w:t>الفلسف</w:t>
      </w:r>
      <w:r w:rsidR="00EC7EDF" w:rsidRPr="00FD211F">
        <w:rPr>
          <w:sz w:val="36"/>
          <w:szCs w:val="36"/>
          <w:rtl/>
        </w:rPr>
        <w:t>ة</w:t>
      </w:r>
      <w:r w:rsidR="00E8128F">
        <w:rPr>
          <w:sz w:val="36"/>
          <w:szCs w:val="36"/>
          <w:rtl/>
        </w:rPr>
        <w:t xml:space="preserve"> </w:t>
      </w:r>
      <w:r w:rsidR="00D31B40" w:rsidRPr="00FD211F">
        <w:rPr>
          <w:sz w:val="36"/>
          <w:szCs w:val="36"/>
          <w:rtl/>
        </w:rPr>
        <w:t>برهان</w:t>
      </w:r>
      <w:r w:rsidR="00E8128F">
        <w:rPr>
          <w:sz w:val="36"/>
          <w:szCs w:val="36"/>
          <w:rtl/>
        </w:rPr>
        <w:t xml:space="preserve"> </w:t>
      </w:r>
      <w:r w:rsidR="00D31B40" w:rsidRPr="00FD211F">
        <w:rPr>
          <w:sz w:val="36"/>
          <w:szCs w:val="36"/>
          <w:rtl/>
        </w:rPr>
        <w:t>على</w:t>
      </w:r>
      <w:r w:rsidR="00E8128F">
        <w:rPr>
          <w:sz w:val="36"/>
          <w:szCs w:val="36"/>
          <w:rtl/>
        </w:rPr>
        <w:t xml:space="preserve"> </w:t>
      </w:r>
      <w:r w:rsidR="00D31B40" w:rsidRPr="00FD211F">
        <w:rPr>
          <w:sz w:val="36"/>
          <w:szCs w:val="36"/>
          <w:rtl/>
        </w:rPr>
        <w:t>نفي</w:t>
      </w:r>
      <w:r w:rsidR="00E8128F">
        <w:rPr>
          <w:sz w:val="36"/>
          <w:szCs w:val="36"/>
          <w:rtl/>
        </w:rPr>
        <w:t xml:space="preserve"> </w:t>
      </w:r>
      <w:r w:rsidR="00D31B40" w:rsidRPr="00FD211F">
        <w:rPr>
          <w:sz w:val="36"/>
          <w:szCs w:val="36"/>
          <w:rtl/>
        </w:rPr>
        <w:t>جنس</w:t>
      </w:r>
      <w:r w:rsidR="00E8128F">
        <w:rPr>
          <w:sz w:val="36"/>
          <w:szCs w:val="36"/>
          <w:rtl/>
        </w:rPr>
        <w:t xml:space="preserve"> </w:t>
      </w:r>
      <w:r w:rsidR="00D31B40" w:rsidRPr="00FD211F">
        <w:rPr>
          <w:sz w:val="36"/>
          <w:szCs w:val="36"/>
          <w:rtl/>
        </w:rPr>
        <w:t>مشترك</w:t>
      </w:r>
      <w:r w:rsidR="00E8128F">
        <w:rPr>
          <w:sz w:val="36"/>
          <w:szCs w:val="36"/>
          <w:rtl/>
        </w:rPr>
        <w:t xml:space="preserve"> </w:t>
      </w:r>
      <w:r w:rsidR="00D31B40" w:rsidRPr="00FD211F">
        <w:rPr>
          <w:sz w:val="36"/>
          <w:szCs w:val="36"/>
          <w:rtl/>
        </w:rPr>
        <w:t>بين</w:t>
      </w:r>
      <w:r w:rsidR="00E8128F">
        <w:rPr>
          <w:sz w:val="36"/>
          <w:szCs w:val="36"/>
          <w:rtl/>
        </w:rPr>
        <w:t xml:space="preserve"> </w:t>
      </w:r>
      <w:r w:rsidR="00D31B40" w:rsidRPr="00FD211F">
        <w:rPr>
          <w:sz w:val="36"/>
          <w:szCs w:val="36"/>
          <w:rtl/>
        </w:rPr>
        <w:t>المقولات</w:t>
      </w:r>
      <w:r w:rsidR="009C58C8" w:rsidRPr="00FD211F">
        <w:rPr>
          <w:rStyle w:val="a6"/>
          <w:sz w:val="36"/>
          <w:szCs w:val="36"/>
          <w:rtl/>
        </w:rPr>
        <w:t>(</w:t>
      </w:r>
      <w:r w:rsidR="009C58C8" w:rsidRPr="00FD211F">
        <w:rPr>
          <w:rStyle w:val="a6"/>
          <w:sz w:val="36"/>
          <w:szCs w:val="36"/>
          <w:rtl/>
        </w:rPr>
        <w:footnoteReference w:id="600"/>
      </w:r>
      <w:r w:rsidR="009C58C8" w:rsidRPr="00FD211F">
        <w:rPr>
          <w:rStyle w:val="a6"/>
          <w:sz w:val="36"/>
          <w:szCs w:val="36"/>
          <w:rtl/>
        </w:rPr>
        <w:t>)</w:t>
      </w:r>
      <w:r w:rsidR="00603323" w:rsidRPr="00FD211F">
        <w:rPr>
          <w:sz w:val="36"/>
          <w:szCs w:val="36"/>
          <w:rtl/>
        </w:rPr>
        <w:t>،</w:t>
      </w:r>
      <w:r w:rsidR="00E8128F">
        <w:rPr>
          <w:sz w:val="36"/>
          <w:szCs w:val="36"/>
          <w:rtl/>
        </w:rPr>
        <w:t xml:space="preserve"> </w:t>
      </w:r>
      <w:r w:rsidR="006B129C" w:rsidRPr="00FD211F">
        <w:rPr>
          <w:sz w:val="36"/>
          <w:szCs w:val="36"/>
          <w:rtl/>
        </w:rPr>
        <w:t>وهو</w:t>
      </w:r>
      <w:r w:rsidR="00E8128F">
        <w:rPr>
          <w:sz w:val="36"/>
          <w:szCs w:val="36"/>
          <w:rtl/>
        </w:rPr>
        <w:t xml:space="preserve"> </w:t>
      </w:r>
      <w:r w:rsidR="006B129C" w:rsidRPr="00FD211F">
        <w:rPr>
          <w:sz w:val="36"/>
          <w:szCs w:val="36"/>
          <w:rtl/>
        </w:rPr>
        <w:t>الصحيح</w:t>
      </w:r>
      <w:r w:rsidR="00E8128F">
        <w:rPr>
          <w:sz w:val="36"/>
          <w:szCs w:val="36"/>
          <w:rtl/>
        </w:rPr>
        <w:t xml:space="preserve"> </w:t>
      </w:r>
      <w:r w:rsidR="006B129C" w:rsidRPr="00FD211F">
        <w:rPr>
          <w:sz w:val="36"/>
          <w:szCs w:val="36"/>
          <w:rtl/>
        </w:rPr>
        <w:t>الذي</w:t>
      </w:r>
      <w:r w:rsidR="00E8128F">
        <w:rPr>
          <w:sz w:val="36"/>
          <w:szCs w:val="36"/>
          <w:rtl/>
        </w:rPr>
        <w:t xml:space="preserve"> </w:t>
      </w:r>
      <w:r w:rsidR="006B129C" w:rsidRPr="00FD211F">
        <w:rPr>
          <w:sz w:val="36"/>
          <w:szCs w:val="36"/>
          <w:rtl/>
        </w:rPr>
        <w:t>لاغبار</w:t>
      </w:r>
      <w:r w:rsidR="00E8128F">
        <w:rPr>
          <w:sz w:val="36"/>
          <w:szCs w:val="36"/>
          <w:rtl/>
        </w:rPr>
        <w:t xml:space="preserve"> </w:t>
      </w:r>
      <w:r w:rsidR="006B129C" w:rsidRPr="00FD211F">
        <w:rPr>
          <w:sz w:val="36"/>
          <w:szCs w:val="36"/>
          <w:rtl/>
        </w:rPr>
        <w:t>عليه</w:t>
      </w:r>
      <w:r w:rsidR="009C58C8" w:rsidRPr="00FD211F">
        <w:rPr>
          <w:rStyle w:val="a6"/>
          <w:sz w:val="36"/>
          <w:szCs w:val="36"/>
          <w:rtl/>
        </w:rPr>
        <w:t>(</w:t>
      </w:r>
      <w:r w:rsidR="009C58C8" w:rsidRPr="00FD211F">
        <w:rPr>
          <w:rStyle w:val="a6"/>
          <w:sz w:val="36"/>
          <w:szCs w:val="36"/>
          <w:rtl/>
        </w:rPr>
        <w:footnoteReference w:id="601"/>
      </w:r>
      <w:r w:rsidR="009C58C8" w:rsidRPr="00FD211F">
        <w:rPr>
          <w:rStyle w:val="a6"/>
          <w:sz w:val="36"/>
          <w:szCs w:val="36"/>
          <w:rtl/>
        </w:rPr>
        <w:t>)</w:t>
      </w:r>
      <w:r w:rsidR="00D31B40" w:rsidRPr="00FD211F">
        <w:rPr>
          <w:sz w:val="36"/>
          <w:szCs w:val="36"/>
          <w:rtl/>
        </w:rPr>
        <w:t>.</w:t>
      </w:r>
    </w:p>
    <w:p w14:paraId="644EEAD4" w14:textId="77777777" w:rsidR="00A32E6A" w:rsidRPr="00FD211F" w:rsidRDefault="00282FAF"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فالبرهان</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يدعى</w:t>
      </w:r>
      <w:r w:rsidR="00E8128F">
        <w:rPr>
          <w:sz w:val="36"/>
          <w:szCs w:val="36"/>
          <w:rtl/>
        </w:rPr>
        <w:t xml:space="preserve"> </w:t>
      </w:r>
      <w:r w:rsidRPr="00FD211F">
        <w:rPr>
          <w:sz w:val="36"/>
          <w:szCs w:val="36"/>
          <w:rtl/>
        </w:rPr>
        <w:t>لاستحال</w:t>
      </w:r>
      <w:r w:rsidR="00EC7EDF" w:rsidRPr="00FD211F">
        <w:rPr>
          <w:sz w:val="36"/>
          <w:szCs w:val="36"/>
          <w:rtl/>
        </w:rPr>
        <w:t>ة</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جنس</w:t>
      </w:r>
      <w:r w:rsidR="00E8128F">
        <w:rPr>
          <w:sz w:val="36"/>
          <w:szCs w:val="36"/>
          <w:rtl/>
        </w:rPr>
        <w:t xml:space="preserve"> </w:t>
      </w:r>
      <w:r w:rsidRPr="00FD211F">
        <w:rPr>
          <w:sz w:val="36"/>
          <w:szCs w:val="36"/>
          <w:rtl/>
        </w:rPr>
        <w:t>الاجناس</w:t>
      </w:r>
      <w:r w:rsidR="00E8128F">
        <w:rPr>
          <w:sz w:val="36"/>
          <w:szCs w:val="36"/>
          <w:rtl/>
        </w:rPr>
        <w:t xml:space="preserve"> </w:t>
      </w:r>
      <w:r w:rsidRPr="00FD211F">
        <w:rPr>
          <w:sz w:val="36"/>
          <w:szCs w:val="36"/>
          <w:rtl/>
        </w:rPr>
        <w:t>وهو</w:t>
      </w:r>
      <w:r w:rsidR="00E8128F">
        <w:rPr>
          <w:sz w:val="36"/>
          <w:szCs w:val="36"/>
          <w:rtl/>
        </w:rPr>
        <w:t xml:space="preserve"> </w:t>
      </w:r>
      <w:r w:rsidR="00827C3F" w:rsidRPr="00FD211F">
        <w:rPr>
          <w:sz w:val="36"/>
          <w:szCs w:val="36"/>
          <w:rtl/>
        </w:rPr>
        <w:t>انه</w:t>
      </w:r>
      <w:r w:rsidR="00E8128F">
        <w:rPr>
          <w:sz w:val="36"/>
          <w:szCs w:val="36"/>
          <w:rtl/>
        </w:rPr>
        <w:t xml:space="preserve"> </w:t>
      </w:r>
      <w:r w:rsidR="00827C3F" w:rsidRPr="00FD211F">
        <w:rPr>
          <w:sz w:val="36"/>
          <w:szCs w:val="36"/>
          <w:rtl/>
        </w:rPr>
        <w:t>لو</w:t>
      </w:r>
      <w:r w:rsidR="00E8128F">
        <w:rPr>
          <w:sz w:val="36"/>
          <w:szCs w:val="36"/>
          <w:rtl/>
        </w:rPr>
        <w:t xml:space="preserve"> </w:t>
      </w:r>
      <w:r w:rsidR="00827C3F" w:rsidRPr="00FD211F">
        <w:rPr>
          <w:sz w:val="36"/>
          <w:szCs w:val="36"/>
          <w:rtl/>
        </w:rPr>
        <w:t>كان</w:t>
      </w:r>
      <w:r w:rsidR="00E8128F">
        <w:rPr>
          <w:sz w:val="36"/>
          <w:szCs w:val="36"/>
          <w:rtl/>
        </w:rPr>
        <w:t xml:space="preserve"> </w:t>
      </w:r>
      <w:r w:rsidR="00827C3F" w:rsidRPr="00FD211F">
        <w:rPr>
          <w:sz w:val="36"/>
          <w:szCs w:val="36"/>
          <w:rtl/>
        </w:rPr>
        <w:t>جنسا</w:t>
      </w:r>
      <w:r w:rsidR="00E8128F">
        <w:rPr>
          <w:sz w:val="36"/>
          <w:szCs w:val="36"/>
          <w:rtl/>
        </w:rPr>
        <w:t xml:space="preserve"> </w:t>
      </w:r>
      <w:r w:rsidRPr="00FD211F">
        <w:rPr>
          <w:sz w:val="36"/>
          <w:szCs w:val="36"/>
          <w:rtl/>
        </w:rPr>
        <w:t>عاليا</w:t>
      </w:r>
      <w:r w:rsidR="00E8128F">
        <w:rPr>
          <w:sz w:val="36"/>
          <w:szCs w:val="36"/>
          <w:rtl/>
        </w:rPr>
        <w:t xml:space="preserve"> </w:t>
      </w:r>
      <w:r w:rsidR="00827C3F" w:rsidRPr="00FD211F">
        <w:rPr>
          <w:sz w:val="36"/>
          <w:szCs w:val="36"/>
          <w:rtl/>
        </w:rPr>
        <w:t>لتمام</w:t>
      </w:r>
      <w:r w:rsidR="00E8128F">
        <w:rPr>
          <w:sz w:val="36"/>
          <w:szCs w:val="36"/>
          <w:rtl/>
        </w:rPr>
        <w:t xml:space="preserve"> </w:t>
      </w:r>
      <w:r w:rsidR="00827C3F" w:rsidRPr="00FD211F">
        <w:rPr>
          <w:sz w:val="36"/>
          <w:szCs w:val="36"/>
          <w:rtl/>
        </w:rPr>
        <w:t>الماهيات</w:t>
      </w:r>
      <w:r w:rsidR="00E8128F">
        <w:rPr>
          <w:sz w:val="36"/>
          <w:szCs w:val="36"/>
          <w:rtl/>
        </w:rPr>
        <w:t xml:space="preserve"> </w:t>
      </w:r>
      <w:r w:rsidR="00827C3F" w:rsidRPr="00FD211F">
        <w:rPr>
          <w:sz w:val="36"/>
          <w:szCs w:val="36"/>
          <w:rtl/>
        </w:rPr>
        <w:t>لزم</w:t>
      </w:r>
      <w:r w:rsidR="00E8128F">
        <w:rPr>
          <w:sz w:val="36"/>
          <w:szCs w:val="36"/>
          <w:rtl/>
        </w:rPr>
        <w:t xml:space="preserve"> </w:t>
      </w:r>
      <w:r w:rsidR="00827C3F" w:rsidRPr="00FD211F">
        <w:rPr>
          <w:sz w:val="36"/>
          <w:szCs w:val="36"/>
          <w:rtl/>
        </w:rPr>
        <w:t>ان</w:t>
      </w:r>
      <w:r w:rsidR="00E8128F">
        <w:rPr>
          <w:sz w:val="36"/>
          <w:szCs w:val="36"/>
          <w:rtl/>
        </w:rPr>
        <w:t xml:space="preserve"> </w:t>
      </w:r>
      <w:r w:rsidR="00827C3F" w:rsidRPr="00FD211F">
        <w:rPr>
          <w:sz w:val="36"/>
          <w:szCs w:val="36"/>
          <w:rtl/>
        </w:rPr>
        <w:t>يكون</w:t>
      </w:r>
      <w:r w:rsidR="00E8128F">
        <w:rPr>
          <w:sz w:val="36"/>
          <w:szCs w:val="36"/>
          <w:rtl/>
        </w:rPr>
        <w:t xml:space="preserve"> </w:t>
      </w:r>
      <w:r w:rsidR="00827C3F" w:rsidRPr="00FD211F">
        <w:rPr>
          <w:sz w:val="36"/>
          <w:szCs w:val="36"/>
          <w:rtl/>
        </w:rPr>
        <w:t>معه</w:t>
      </w:r>
      <w:r w:rsidR="00E8128F">
        <w:rPr>
          <w:sz w:val="36"/>
          <w:szCs w:val="36"/>
          <w:rtl/>
        </w:rPr>
        <w:t xml:space="preserve"> </w:t>
      </w:r>
      <w:r w:rsidR="00827C3F" w:rsidRPr="00FD211F">
        <w:rPr>
          <w:sz w:val="36"/>
          <w:szCs w:val="36"/>
          <w:rtl/>
        </w:rPr>
        <w:t>فصل</w:t>
      </w:r>
      <w:r w:rsidR="00E8128F">
        <w:rPr>
          <w:sz w:val="36"/>
          <w:szCs w:val="36"/>
          <w:rtl/>
        </w:rPr>
        <w:t xml:space="preserve"> </w:t>
      </w:r>
      <w:r w:rsidR="00827C3F" w:rsidRPr="00FD211F">
        <w:rPr>
          <w:sz w:val="36"/>
          <w:szCs w:val="36"/>
          <w:rtl/>
        </w:rPr>
        <w:t>مميز</w:t>
      </w:r>
      <w:r w:rsidR="00E8128F">
        <w:rPr>
          <w:sz w:val="36"/>
          <w:szCs w:val="36"/>
          <w:rtl/>
        </w:rPr>
        <w:t xml:space="preserve"> </w:t>
      </w:r>
      <w:r w:rsidR="00827C3F" w:rsidRPr="00FD211F">
        <w:rPr>
          <w:sz w:val="36"/>
          <w:szCs w:val="36"/>
          <w:rtl/>
        </w:rPr>
        <w:t>لكل</w:t>
      </w:r>
      <w:r w:rsidR="00E8128F">
        <w:rPr>
          <w:sz w:val="36"/>
          <w:szCs w:val="36"/>
          <w:rtl/>
        </w:rPr>
        <w:t xml:space="preserve"> </w:t>
      </w:r>
      <w:r w:rsidR="00827C3F" w:rsidRPr="00FD211F">
        <w:rPr>
          <w:sz w:val="36"/>
          <w:szCs w:val="36"/>
          <w:rtl/>
        </w:rPr>
        <w:t>ماهي</w:t>
      </w:r>
      <w:r w:rsidR="00EC7EDF" w:rsidRPr="00FD211F">
        <w:rPr>
          <w:sz w:val="36"/>
          <w:szCs w:val="36"/>
          <w:rtl/>
        </w:rPr>
        <w:t>ة</w:t>
      </w:r>
      <w:r w:rsidR="00E8128F">
        <w:rPr>
          <w:sz w:val="36"/>
          <w:szCs w:val="36"/>
          <w:rtl/>
        </w:rPr>
        <w:t xml:space="preserve"> </w:t>
      </w:r>
      <w:r w:rsidR="00827C3F" w:rsidRPr="00FD211F">
        <w:rPr>
          <w:sz w:val="36"/>
          <w:szCs w:val="36"/>
          <w:rtl/>
        </w:rPr>
        <w:t>عن</w:t>
      </w:r>
      <w:r w:rsidR="00E8128F">
        <w:rPr>
          <w:sz w:val="36"/>
          <w:szCs w:val="36"/>
          <w:rtl/>
        </w:rPr>
        <w:t xml:space="preserve"> </w:t>
      </w:r>
      <w:r w:rsidR="00827C3F" w:rsidRPr="00FD211F">
        <w:rPr>
          <w:sz w:val="36"/>
          <w:szCs w:val="36"/>
          <w:rtl/>
        </w:rPr>
        <w:t>اخرى</w:t>
      </w:r>
      <w:r w:rsidR="00E8128F">
        <w:rPr>
          <w:sz w:val="36"/>
          <w:szCs w:val="36"/>
          <w:rtl/>
        </w:rPr>
        <w:t xml:space="preserve"> </w:t>
      </w:r>
      <w:r w:rsidR="00827C3F" w:rsidRPr="00FD211F">
        <w:rPr>
          <w:sz w:val="36"/>
          <w:szCs w:val="36"/>
          <w:rtl/>
        </w:rPr>
        <w:t>وحيث</w:t>
      </w:r>
      <w:r w:rsidR="00E8128F">
        <w:rPr>
          <w:sz w:val="36"/>
          <w:szCs w:val="36"/>
          <w:rtl/>
        </w:rPr>
        <w:t xml:space="preserve"> </w:t>
      </w:r>
      <w:r w:rsidR="00827C3F" w:rsidRPr="00FD211F">
        <w:rPr>
          <w:sz w:val="36"/>
          <w:szCs w:val="36"/>
          <w:rtl/>
        </w:rPr>
        <w:t>ان</w:t>
      </w:r>
      <w:r w:rsidR="00E8128F">
        <w:rPr>
          <w:sz w:val="36"/>
          <w:szCs w:val="36"/>
          <w:rtl/>
        </w:rPr>
        <w:t xml:space="preserve"> </w:t>
      </w:r>
      <w:r w:rsidR="00827C3F" w:rsidRPr="00FD211F">
        <w:rPr>
          <w:sz w:val="36"/>
          <w:szCs w:val="36"/>
          <w:rtl/>
        </w:rPr>
        <w:t>حيثي</w:t>
      </w:r>
      <w:r w:rsidR="00EC7EDF" w:rsidRPr="00FD211F">
        <w:rPr>
          <w:sz w:val="36"/>
          <w:szCs w:val="36"/>
          <w:rtl/>
        </w:rPr>
        <w:t>ة</w:t>
      </w:r>
      <w:r w:rsidR="00E8128F">
        <w:rPr>
          <w:sz w:val="36"/>
          <w:szCs w:val="36"/>
          <w:rtl/>
        </w:rPr>
        <w:t xml:space="preserve"> </w:t>
      </w:r>
      <w:r w:rsidR="00827C3F" w:rsidRPr="00FD211F">
        <w:rPr>
          <w:sz w:val="36"/>
          <w:szCs w:val="36"/>
          <w:rtl/>
        </w:rPr>
        <w:t>الشيئي</w:t>
      </w:r>
      <w:r w:rsidR="00EC7EDF" w:rsidRPr="00FD211F">
        <w:rPr>
          <w:sz w:val="36"/>
          <w:szCs w:val="36"/>
          <w:rtl/>
        </w:rPr>
        <w:t>ة</w:t>
      </w:r>
      <w:r w:rsidR="00E8128F">
        <w:rPr>
          <w:sz w:val="36"/>
          <w:szCs w:val="36"/>
          <w:rtl/>
        </w:rPr>
        <w:t xml:space="preserve"> </w:t>
      </w:r>
      <w:r w:rsidR="00827C3F" w:rsidRPr="00FD211F">
        <w:rPr>
          <w:sz w:val="36"/>
          <w:szCs w:val="36"/>
          <w:rtl/>
        </w:rPr>
        <w:t>شامل</w:t>
      </w:r>
      <w:r w:rsidR="00EC7EDF" w:rsidRPr="00FD211F">
        <w:rPr>
          <w:sz w:val="36"/>
          <w:szCs w:val="36"/>
          <w:rtl/>
        </w:rPr>
        <w:t>ة</w:t>
      </w:r>
      <w:r w:rsidR="00E8128F">
        <w:rPr>
          <w:sz w:val="36"/>
          <w:szCs w:val="36"/>
          <w:rtl/>
        </w:rPr>
        <w:t xml:space="preserve"> </w:t>
      </w:r>
      <w:r w:rsidR="00827C3F" w:rsidRPr="00FD211F">
        <w:rPr>
          <w:sz w:val="36"/>
          <w:szCs w:val="36"/>
          <w:rtl/>
        </w:rPr>
        <w:t>للفصل</w:t>
      </w:r>
      <w:r w:rsidR="00E8128F">
        <w:rPr>
          <w:sz w:val="36"/>
          <w:szCs w:val="36"/>
          <w:rtl/>
        </w:rPr>
        <w:t xml:space="preserve"> </w:t>
      </w:r>
      <w:r w:rsidR="00827C3F" w:rsidRPr="00FD211F">
        <w:rPr>
          <w:sz w:val="36"/>
          <w:szCs w:val="36"/>
          <w:rtl/>
        </w:rPr>
        <w:t>ايضا</w:t>
      </w:r>
      <w:r w:rsidR="00E8128F">
        <w:rPr>
          <w:sz w:val="36"/>
          <w:szCs w:val="36"/>
          <w:rtl/>
        </w:rPr>
        <w:t xml:space="preserve"> </w:t>
      </w:r>
      <w:r w:rsidR="00827C3F" w:rsidRPr="00FD211F">
        <w:rPr>
          <w:sz w:val="36"/>
          <w:szCs w:val="36"/>
          <w:rtl/>
        </w:rPr>
        <w:t>فانه</w:t>
      </w:r>
      <w:r w:rsidR="00E8128F">
        <w:rPr>
          <w:sz w:val="36"/>
          <w:szCs w:val="36"/>
          <w:rtl/>
        </w:rPr>
        <w:t xml:space="preserve"> </w:t>
      </w:r>
      <w:r w:rsidR="008D7B3D" w:rsidRPr="00FD211F">
        <w:rPr>
          <w:sz w:val="36"/>
          <w:szCs w:val="36"/>
          <w:rtl/>
        </w:rPr>
        <w:t>شيء</w:t>
      </w:r>
      <w:r w:rsidR="00E8128F">
        <w:rPr>
          <w:sz w:val="36"/>
          <w:szCs w:val="36"/>
          <w:rtl/>
        </w:rPr>
        <w:t xml:space="preserve"> </w:t>
      </w:r>
      <w:r w:rsidR="00827C3F" w:rsidRPr="00FD211F">
        <w:rPr>
          <w:sz w:val="36"/>
          <w:szCs w:val="36"/>
          <w:rtl/>
        </w:rPr>
        <w:t>لامحال</w:t>
      </w:r>
      <w:r w:rsidR="00EC7EDF" w:rsidRPr="00FD211F">
        <w:rPr>
          <w:sz w:val="36"/>
          <w:szCs w:val="36"/>
          <w:rtl/>
        </w:rPr>
        <w:t>ة</w:t>
      </w:r>
      <w:r w:rsidR="00E8128F">
        <w:rPr>
          <w:sz w:val="36"/>
          <w:szCs w:val="36"/>
          <w:rtl/>
        </w:rPr>
        <w:t xml:space="preserve"> </w:t>
      </w:r>
      <w:r w:rsidR="00827C3F" w:rsidRPr="00FD211F">
        <w:rPr>
          <w:sz w:val="36"/>
          <w:szCs w:val="36"/>
          <w:rtl/>
        </w:rPr>
        <w:t>وحيئنذ</w:t>
      </w:r>
      <w:r w:rsidR="00E8128F">
        <w:rPr>
          <w:sz w:val="36"/>
          <w:szCs w:val="36"/>
          <w:rtl/>
        </w:rPr>
        <w:t xml:space="preserve"> </w:t>
      </w:r>
      <w:r w:rsidR="00827C3F" w:rsidRPr="00FD211F">
        <w:rPr>
          <w:sz w:val="36"/>
          <w:szCs w:val="36"/>
          <w:rtl/>
        </w:rPr>
        <w:t>فيتقوم</w:t>
      </w:r>
      <w:r w:rsidR="00E8128F">
        <w:rPr>
          <w:sz w:val="36"/>
          <w:szCs w:val="36"/>
          <w:rtl/>
        </w:rPr>
        <w:t xml:space="preserve"> </w:t>
      </w:r>
      <w:r w:rsidR="00827C3F" w:rsidRPr="00FD211F">
        <w:rPr>
          <w:sz w:val="36"/>
          <w:szCs w:val="36"/>
          <w:rtl/>
        </w:rPr>
        <w:t>هذا</w:t>
      </w:r>
      <w:r w:rsidR="00E8128F">
        <w:rPr>
          <w:sz w:val="36"/>
          <w:szCs w:val="36"/>
          <w:rtl/>
        </w:rPr>
        <w:t xml:space="preserve"> </w:t>
      </w:r>
      <w:r w:rsidR="00827C3F" w:rsidRPr="00FD211F">
        <w:rPr>
          <w:sz w:val="36"/>
          <w:szCs w:val="36"/>
          <w:rtl/>
        </w:rPr>
        <w:t>الفصل</w:t>
      </w:r>
      <w:r w:rsidR="00E8128F">
        <w:rPr>
          <w:sz w:val="36"/>
          <w:szCs w:val="36"/>
          <w:rtl/>
        </w:rPr>
        <w:t xml:space="preserve"> </w:t>
      </w:r>
      <w:r w:rsidR="00827C3F" w:rsidRPr="00FD211F">
        <w:rPr>
          <w:sz w:val="36"/>
          <w:szCs w:val="36"/>
          <w:rtl/>
        </w:rPr>
        <w:t>بجنس</w:t>
      </w:r>
      <w:r w:rsidR="00E8128F">
        <w:rPr>
          <w:sz w:val="36"/>
          <w:szCs w:val="36"/>
          <w:rtl/>
        </w:rPr>
        <w:t xml:space="preserve"> </w:t>
      </w:r>
      <w:r w:rsidR="00827C3F" w:rsidRPr="00FD211F">
        <w:rPr>
          <w:sz w:val="36"/>
          <w:szCs w:val="36"/>
          <w:rtl/>
        </w:rPr>
        <w:t>مشترك</w:t>
      </w:r>
      <w:r w:rsidR="00E8128F">
        <w:rPr>
          <w:sz w:val="36"/>
          <w:szCs w:val="36"/>
          <w:rtl/>
        </w:rPr>
        <w:t xml:space="preserve"> </w:t>
      </w:r>
      <w:r w:rsidR="00827C3F" w:rsidRPr="00FD211F">
        <w:rPr>
          <w:sz w:val="36"/>
          <w:szCs w:val="36"/>
          <w:rtl/>
        </w:rPr>
        <w:t>وهو</w:t>
      </w:r>
      <w:r w:rsidR="00E8128F">
        <w:rPr>
          <w:sz w:val="36"/>
          <w:szCs w:val="36"/>
          <w:rtl/>
        </w:rPr>
        <w:t xml:space="preserve"> </w:t>
      </w:r>
      <w:r w:rsidR="00827C3F" w:rsidRPr="00FD211F">
        <w:rPr>
          <w:sz w:val="36"/>
          <w:szCs w:val="36"/>
          <w:rtl/>
        </w:rPr>
        <w:t>كونه</w:t>
      </w:r>
      <w:r w:rsidR="00E8128F">
        <w:rPr>
          <w:sz w:val="36"/>
          <w:szCs w:val="36"/>
          <w:rtl/>
        </w:rPr>
        <w:t xml:space="preserve"> </w:t>
      </w:r>
      <w:r w:rsidR="00827C3F" w:rsidRPr="00FD211F">
        <w:rPr>
          <w:sz w:val="36"/>
          <w:szCs w:val="36"/>
          <w:rtl/>
        </w:rPr>
        <w:t>شيئا</w:t>
      </w:r>
      <w:r w:rsidR="00603323" w:rsidRPr="00FD211F">
        <w:rPr>
          <w:sz w:val="36"/>
          <w:szCs w:val="36"/>
          <w:rtl/>
        </w:rPr>
        <w:t>،</w:t>
      </w:r>
      <w:r w:rsidR="00E8128F">
        <w:rPr>
          <w:sz w:val="36"/>
          <w:szCs w:val="36"/>
          <w:rtl/>
        </w:rPr>
        <w:t xml:space="preserve"> </w:t>
      </w:r>
      <w:r w:rsidR="006B129C" w:rsidRPr="00FD211F">
        <w:rPr>
          <w:sz w:val="36"/>
          <w:szCs w:val="36"/>
          <w:rtl/>
        </w:rPr>
        <w:t>وحيث</w:t>
      </w:r>
      <w:r w:rsidR="00E8128F">
        <w:rPr>
          <w:sz w:val="36"/>
          <w:szCs w:val="36"/>
          <w:rtl/>
        </w:rPr>
        <w:t xml:space="preserve"> </w:t>
      </w:r>
      <w:r w:rsidR="006B129C" w:rsidRPr="00FD211F">
        <w:rPr>
          <w:sz w:val="36"/>
          <w:szCs w:val="36"/>
          <w:rtl/>
        </w:rPr>
        <w:t>لايمكن</w:t>
      </w:r>
      <w:r w:rsidR="00E8128F">
        <w:rPr>
          <w:sz w:val="36"/>
          <w:szCs w:val="36"/>
          <w:rtl/>
        </w:rPr>
        <w:t xml:space="preserve"> </w:t>
      </w:r>
      <w:r w:rsidR="00827C3F" w:rsidRPr="00FD211F">
        <w:rPr>
          <w:sz w:val="36"/>
          <w:szCs w:val="36"/>
          <w:rtl/>
        </w:rPr>
        <w:t>ان</w:t>
      </w:r>
      <w:r w:rsidR="00E8128F">
        <w:rPr>
          <w:sz w:val="36"/>
          <w:szCs w:val="36"/>
          <w:rtl/>
        </w:rPr>
        <w:t xml:space="preserve"> </w:t>
      </w:r>
      <w:r w:rsidR="00827C3F" w:rsidRPr="00FD211F">
        <w:rPr>
          <w:sz w:val="36"/>
          <w:szCs w:val="36"/>
          <w:rtl/>
        </w:rPr>
        <w:t>يكون</w:t>
      </w:r>
      <w:r w:rsidR="00E8128F">
        <w:rPr>
          <w:sz w:val="36"/>
          <w:szCs w:val="36"/>
          <w:rtl/>
        </w:rPr>
        <w:t xml:space="preserve"> </w:t>
      </w:r>
      <w:r w:rsidR="00827C3F" w:rsidRPr="00FD211F">
        <w:rPr>
          <w:sz w:val="36"/>
          <w:szCs w:val="36"/>
          <w:rtl/>
        </w:rPr>
        <w:t>تمام</w:t>
      </w:r>
      <w:r w:rsidR="00E8128F">
        <w:rPr>
          <w:sz w:val="36"/>
          <w:szCs w:val="36"/>
          <w:rtl/>
        </w:rPr>
        <w:t xml:space="preserve"> </w:t>
      </w:r>
      <w:r w:rsidR="00827C3F" w:rsidRPr="00FD211F">
        <w:rPr>
          <w:sz w:val="36"/>
          <w:szCs w:val="36"/>
          <w:rtl/>
        </w:rPr>
        <w:t>ماهي</w:t>
      </w:r>
      <w:r w:rsidR="00EC7EDF" w:rsidRPr="00FD211F">
        <w:rPr>
          <w:sz w:val="36"/>
          <w:szCs w:val="36"/>
          <w:rtl/>
        </w:rPr>
        <w:t>ة</w:t>
      </w:r>
      <w:r w:rsidR="00E8128F">
        <w:rPr>
          <w:sz w:val="36"/>
          <w:szCs w:val="36"/>
          <w:rtl/>
        </w:rPr>
        <w:t xml:space="preserve"> </w:t>
      </w:r>
      <w:r w:rsidR="00827C3F" w:rsidRPr="00FD211F">
        <w:rPr>
          <w:sz w:val="36"/>
          <w:szCs w:val="36"/>
          <w:rtl/>
        </w:rPr>
        <w:t>الفصل</w:t>
      </w:r>
      <w:r w:rsidR="00E8128F">
        <w:rPr>
          <w:sz w:val="36"/>
          <w:szCs w:val="36"/>
          <w:rtl/>
        </w:rPr>
        <w:t xml:space="preserve"> </w:t>
      </w:r>
      <w:r w:rsidR="006B129C" w:rsidRPr="00FD211F">
        <w:rPr>
          <w:sz w:val="36"/>
          <w:szCs w:val="36"/>
          <w:rtl/>
        </w:rPr>
        <w:t>هو</w:t>
      </w:r>
      <w:r w:rsidR="00E8128F">
        <w:rPr>
          <w:sz w:val="36"/>
          <w:szCs w:val="36"/>
          <w:rtl/>
        </w:rPr>
        <w:t xml:space="preserve"> </w:t>
      </w:r>
      <w:r w:rsidR="00827C3F" w:rsidRPr="00FD211F">
        <w:rPr>
          <w:sz w:val="36"/>
          <w:szCs w:val="36"/>
          <w:rtl/>
        </w:rPr>
        <w:t>الشيئي</w:t>
      </w:r>
      <w:r w:rsidR="00EC7EDF" w:rsidRPr="00FD211F">
        <w:rPr>
          <w:sz w:val="36"/>
          <w:szCs w:val="36"/>
          <w:rtl/>
        </w:rPr>
        <w:t>ة</w:t>
      </w:r>
      <w:r w:rsidR="00E8128F">
        <w:rPr>
          <w:sz w:val="36"/>
          <w:szCs w:val="36"/>
          <w:rtl/>
        </w:rPr>
        <w:t xml:space="preserve"> </w:t>
      </w:r>
      <w:r w:rsidR="006B129C" w:rsidRPr="00FD211F">
        <w:rPr>
          <w:sz w:val="36"/>
          <w:szCs w:val="36"/>
          <w:rtl/>
        </w:rPr>
        <w:t>-اذ</w:t>
      </w:r>
      <w:r w:rsidR="00E8128F">
        <w:rPr>
          <w:sz w:val="36"/>
          <w:szCs w:val="36"/>
          <w:rtl/>
        </w:rPr>
        <w:t xml:space="preserve"> </w:t>
      </w:r>
      <w:r w:rsidR="00827C3F" w:rsidRPr="00FD211F">
        <w:rPr>
          <w:sz w:val="36"/>
          <w:szCs w:val="36"/>
          <w:rtl/>
        </w:rPr>
        <w:t>يلزم</w:t>
      </w:r>
      <w:r w:rsidR="00E8128F">
        <w:rPr>
          <w:sz w:val="36"/>
          <w:szCs w:val="36"/>
          <w:rtl/>
        </w:rPr>
        <w:t xml:space="preserve"> </w:t>
      </w:r>
      <w:r w:rsidR="00827C3F" w:rsidRPr="00FD211F">
        <w:rPr>
          <w:sz w:val="36"/>
          <w:szCs w:val="36"/>
          <w:rtl/>
        </w:rPr>
        <w:t>اتحاد</w:t>
      </w:r>
      <w:r w:rsidR="00E8128F">
        <w:rPr>
          <w:sz w:val="36"/>
          <w:szCs w:val="36"/>
          <w:rtl/>
        </w:rPr>
        <w:t xml:space="preserve"> </w:t>
      </w:r>
      <w:r w:rsidR="00827C3F" w:rsidRPr="00FD211F">
        <w:rPr>
          <w:sz w:val="36"/>
          <w:szCs w:val="36"/>
          <w:rtl/>
        </w:rPr>
        <w:t>الجنس</w:t>
      </w:r>
      <w:r w:rsidR="00E8128F">
        <w:rPr>
          <w:sz w:val="36"/>
          <w:szCs w:val="36"/>
          <w:rtl/>
        </w:rPr>
        <w:t xml:space="preserve"> </w:t>
      </w:r>
      <w:r w:rsidR="00827C3F" w:rsidRPr="00FD211F">
        <w:rPr>
          <w:sz w:val="36"/>
          <w:szCs w:val="36"/>
          <w:rtl/>
        </w:rPr>
        <w:t>والفصل</w:t>
      </w:r>
      <w:r w:rsidR="00E8128F">
        <w:rPr>
          <w:sz w:val="36"/>
          <w:szCs w:val="36"/>
          <w:rtl/>
        </w:rPr>
        <w:t xml:space="preserve"> </w:t>
      </w:r>
      <w:r w:rsidR="006B129C" w:rsidRPr="00FD211F">
        <w:rPr>
          <w:sz w:val="36"/>
          <w:szCs w:val="36"/>
          <w:rtl/>
        </w:rPr>
        <w:t>فان</w:t>
      </w:r>
      <w:r w:rsidR="00E8128F">
        <w:rPr>
          <w:sz w:val="36"/>
          <w:szCs w:val="36"/>
          <w:rtl/>
        </w:rPr>
        <w:t xml:space="preserve"> </w:t>
      </w:r>
      <w:r w:rsidR="006B129C" w:rsidRPr="00FD211F">
        <w:rPr>
          <w:sz w:val="36"/>
          <w:szCs w:val="36"/>
          <w:rtl/>
        </w:rPr>
        <w:t>الجنس</w:t>
      </w:r>
      <w:r w:rsidR="00E8128F">
        <w:rPr>
          <w:sz w:val="36"/>
          <w:szCs w:val="36"/>
          <w:rtl/>
        </w:rPr>
        <w:t xml:space="preserve"> </w:t>
      </w:r>
      <w:r w:rsidR="006B129C" w:rsidRPr="00FD211F">
        <w:rPr>
          <w:sz w:val="36"/>
          <w:szCs w:val="36"/>
          <w:rtl/>
        </w:rPr>
        <w:t>هو</w:t>
      </w:r>
      <w:r w:rsidR="00E8128F">
        <w:rPr>
          <w:sz w:val="36"/>
          <w:szCs w:val="36"/>
          <w:rtl/>
        </w:rPr>
        <w:t xml:space="preserve"> </w:t>
      </w:r>
      <w:r w:rsidR="006B129C" w:rsidRPr="00FD211F">
        <w:rPr>
          <w:sz w:val="36"/>
          <w:szCs w:val="36"/>
          <w:rtl/>
        </w:rPr>
        <w:t>ال</w:t>
      </w:r>
      <w:r w:rsidR="008D7B3D" w:rsidRPr="00FD211F">
        <w:rPr>
          <w:sz w:val="36"/>
          <w:szCs w:val="36"/>
          <w:rtl/>
        </w:rPr>
        <w:t>شيء</w:t>
      </w:r>
      <w:r w:rsidR="00E8128F">
        <w:rPr>
          <w:sz w:val="36"/>
          <w:szCs w:val="36"/>
          <w:rtl/>
        </w:rPr>
        <w:t xml:space="preserve"> </w:t>
      </w:r>
      <w:r w:rsidR="006B129C" w:rsidRPr="00FD211F">
        <w:rPr>
          <w:sz w:val="36"/>
          <w:szCs w:val="36"/>
          <w:rtl/>
        </w:rPr>
        <w:t>فلايمكن</w:t>
      </w:r>
      <w:r w:rsidR="00E8128F">
        <w:rPr>
          <w:sz w:val="36"/>
          <w:szCs w:val="36"/>
          <w:rtl/>
        </w:rPr>
        <w:t xml:space="preserve"> </w:t>
      </w:r>
      <w:r w:rsidR="006B129C" w:rsidRPr="00FD211F">
        <w:rPr>
          <w:sz w:val="36"/>
          <w:szCs w:val="36"/>
          <w:rtl/>
        </w:rPr>
        <w:t>ان</w:t>
      </w:r>
      <w:r w:rsidR="00E8128F">
        <w:rPr>
          <w:sz w:val="36"/>
          <w:szCs w:val="36"/>
          <w:rtl/>
        </w:rPr>
        <w:t xml:space="preserve"> </w:t>
      </w:r>
      <w:r w:rsidR="006B129C" w:rsidRPr="00FD211F">
        <w:rPr>
          <w:sz w:val="36"/>
          <w:szCs w:val="36"/>
          <w:rtl/>
        </w:rPr>
        <w:t>يكون</w:t>
      </w:r>
      <w:r w:rsidR="00E8128F">
        <w:rPr>
          <w:sz w:val="36"/>
          <w:szCs w:val="36"/>
          <w:rtl/>
        </w:rPr>
        <w:t xml:space="preserve"> </w:t>
      </w:r>
      <w:r w:rsidR="006B129C" w:rsidRPr="00FD211F">
        <w:rPr>
          <w:sz w:val="36"/>
          <w:szCs w:val="36"/>
          <w:rtl/>
        </w:rPr>
        <w:t>تمام</w:t>
      </w:r>
      <w:r w:rsidR="00E8128F">
        <w:rPr>
          <w:sz w:val="36"/>
          <w:szCs w:val="36"/>
          <w:rtl/>
        </w:rPr>
        <w:t xml:space="preserve"> </w:t>
      </w:r>
      <w:r w:rsidR="006B129C" w:rsidRPr="00FD211F">
        <w:rPr>
          <w:sz w:val="36"/>
          <w:szCs w:val="36"/>
          <w:rtl/>
        </w:rPr>
        <w:t>الفصل</w:t>
      </w:r>
      <w:r w:rsidR="00E8128F">
        <w:rPr>
          <w:sz w:val="36"/>
          <w:szCs w:val="36"/>
          <w:rtl/>
        </w:rPr>
        <w:t xml:space="preserve"> </w:t>
      </w:r>
      <w:r w:rsidR="006B129C" w:rsidRPr="00FD211F">
        <w:rPr>
          <w:sz w:val="36"/>
          <w:szCs w:val="36"/>
          <w:rtl/>
        </w:rPr>
        <w:t>هو</w:t>
      </w:r>
      <w:r w:rsidR="00E8128F">
        <w:rPr>
          <w:sz w:val="36"/>
          <w:szCs w:val="36"/>
          <w:rtl/>
        </w:rPr>
        <w:t xml:space="preserve"> </w:t>
      </w:r>
      <w:r w:rsidR="006B129C" w:rsidRPr="00FD211F">
        <w:rPr>
          <w:sz w:val="36"/>
          <w:szCs w:val="36"/>
          <w:rtl/>
        </w:rPr>
        <w:t>نفس</w:t>
      </w:r>
      <w:r w:rsidR="00E8128F">
        <w:rPr>
          <w:sz w:val="36"/>
          <w:szCs w:val="36"/>
          <w:rtl/>
        </w:rPr>
        <w:t xml:space="preserve"> </w:t>
      </w:r>
      <w:r w:rsidR="006B129C" w:rsidRPr="00FD211F">
        <w:rPr>
          <w:sz w:val="36"/>
          <w:szCs w:val="36"/>
          <w:rtl/>
        </w:rPr>
        <w:t>الشيئ-</w:t>
      </w:r>
      <w:r w:rsidR="00E8128F">
        <w:rPr>
          <w:sz w:val="36"/>
          <w:szCs w:val="36"/>
          <w:rtl/>
        </w:rPr>
        <w:t xml:space="preserve"> </w:t>
      </w:r>
      <w:r w:rsidR="00827C3F" w:rsidRPr="00FD211F">
        <w:rPr>
          <w:sz w:val="36"/>
          <w:szCs w:val="36"/>
          <w:rtl/>
        </w:rPr>
        <w:t>فيلزم</w:t>
      </w:r>
      <w:r w:rsidR="00E8128F">
        <w:rPr>
          <w:sz w:val="36"/>
          <w:szCs w:val="36"/>
          <w:rtl/>
        </w:rPr>
        <w:t xml:space="preserve"> </w:t>
      </w:r>
      <w:r w:rsidR="006B129C" w:rsidRPr="00FD211F">
        <w:rPr>
          <w:sz w:val="36"/>
          <w:szCs w:val="36"/>
          <w:rtl/>
        </w:rPr>
        <w:t>ان</w:t>
      </w:r>
      <w:r w:rsidR="00E8128F">
        <w:rPr>
          <w:sz w:val="36"/>
          <w:szCs w:val="36"/>
          <w:rtl/>
        </w:rPr>
        <w:t xml:space="preserve"> </w:t>
      </w:r>
      <w:r w:rsidR="006B129C" w:rsidRPr="00FD211F">
        <w:rPr>
          <w:sz w:val="36"/>
          <w:szCs w:val="36"/>
          <w:rtl/>
        </w:rPr>
        <w:t>يكون</w:t>
      </w:r>
      <w:r w:rsidR="00E8128F">
        <w:rPr>
          <w:sz w:val="36"/>
          <w:szCs w:val="36"/>
          <w:rtl/>
        </w:rPr>
        <w:t xml:space="preserve"> </w:t>
      </w:r>
      <w:r w:rsidR="00827C3F" w:rsidRPr="00FD211F">
        <w:rPr>
          <w:sz w:val="36"/>
          <w:szCs w:val="36"/>
          <w:rtl/>
        </w:rPr>
        <w:t>لهذا</w:t>
      </w:r>
      <w:r w:rsidR="00E8128F">
        <w:rPr>
          <w:sz w:val="36"/>
          <w:szCs w:val="36"/>
          <w:rtl/>
        </w:rPr>
        <w:t xml:space="preserve"> </w:t>
      </w:r>
      <w:r w:rsidR="00827C3F" w:rsidRPr="00FD211F">
        <w:rPr>
          <w:sz w:val="36"/>
          <w:szCs w:val="36"/>
          <w:rtl/>
        </w:rPr>
        <w:t>الفصل</w:t>
      </w:r>
      <w:r w:rsidR="00E8128F">
        <w:rPr>
          <w:sz w:val="36"/>
          <w:szCs w:val="36"/>
          <w:rtl/>
        </w:rPr>
        <w:t xml:space="preserve"> </w:t>
      </w:r>
      <w:r w:rsidR="00827C3F" w:rsidRPr="00FD211F">
        <w:rPr>
          <w:sz w:val="36"/>
          <w:szCs w:val="36"/>
          <w:rtl/>
        </w:rPr>
        <w:t>فصل</w:t>
      </w:r>
      <w:r w:rsidR="00E8128F">
        <w:rPr>
          <w:sz w:val="36"/>
          <w:szCs w:val="36"/>
          <w:rtl/>
        </w:rPr>
        <w:t xml:space="preserve"> </w:t>
      </w:r>
      <w:r w:rsidR="006B129C" w:rsidRPr="00FD211F">
        <w:rPr>
          <w:sz w:val="36"/>
          <w:szCs w:val="36"/>
          <w:rtl/>
        </w:rPr>
        <w:t>آخر</w:t>
      </w:r>
      <w:r w:rsidR="00603323" w:rsidRPr="00FD211F">
        <w:rPr>
          <w:sz w:val="36"/>
          <w:szCs w:val="36"/>
          <w:rtl/>
        </w:rPr>
        <w:t>،</w:t>
      </w:r>
      <w:r w:rsidR="00E8128F">
        <w:rPr>
          <w:sz w:val="36"/>
          <w:szCs w:val="36"/>
          <w:rtl/>
        </w:rPr>
        <w:t xml:space="preserve"> </w:t>
      </w:r>
      <w:r w:rsidR="006B129C" w:rsidRPr="00FD211F">
        <w:rPr>
          <w:sz w:val="36"/>
          <w:szCs w:val="36"/>
          <w:rtl/>
        </w:rPr>
        <w:t>فننقل</w:t>
      </w:r>
      <w:r w:rsidR="00E8128F">
        <w:rPr>
          <w:sz w:val="36"/>
          <w:szCs w:val="36"/>
          <w:rtl/>
        </w:rPr>
        <w:t xml:space="preserve"> </w:t>
      </w:r>
      <w:r w:rsidR="006B129C" w:rsidRPr="00FD211F">
        <w:rPr>
          <w:sz w:val="36"/>
          <w:szCs w:val="36"/>
          <w:rtl/>
        </w:rPr>
        <w:t>الكلام</w:t>
      </w:r>
      <w:r w:rsidR="00E8128F">
        <w:rPr>
          <w:sz w:val="36"/>
          <w:szCs w:val="36"/>
          <w:rtl/>
        </w:rPr>
        <w:t xml:space="preserve"> </w:t>
      </w:r>
      <w:r w:rsidR="006B129C" w:rsidRPr="00FD211F">
        <w:rPr>
          <w:sz w:val="36"/>
          <w:szCs w:val="36"/>
          <w:rtl/>
        </w:rPr>
        <w:t>الى</w:t>
      </w:r>
      <w:r w:rsidR="00E8128F">
        <w:rPr>
          <w:sz w:val="36"/>
          <w:szCs w:val="36"/>
          <w:rtl/>
        </w:rPr>
        <w:t xml:space="preserve"> </w:t>
      </w:r>
      <w:r w:rsidR="006B129C" w:rsidRPr="00FD211F">
        <w:rPr>
          <w:sz w:val="36"/>
          <w:szCs w:val="36"/>
          <w:rtl/>
        </w:rPr>
        <w:t>هذا</w:t>
      </w:r>
      <w:r w:rsidR="00E8128F">
        <w:rPr>
          <w:sz w:val="36"/>
          <w:szCs w:val="36"/>
          <w:rtl/>
        </w:rPr>
        <w:t xml:space="preserve"> </w:t>
      </w:r>
      <w:r w:rsidR="006B129C" w:rsidRPr="00FD211F">
        <w:rPr>
          <w:sz w:val="36"/>
          <w:szCs w:val="36"/>
          <w:rtl/>
        </w:rPr>
        <w:t>الفصل</w:t>
      </w:r>
      <w:r w:rsidR="00E8128F">
        <w:rPr>
          <w:sz w:val="36"/>
          <w:szCs w:val="36"/>
          <w:rtl/>
        </w:rPr>
        <w:t xml:space="preserve"> </w:t>
      </w:r>
      <w:r w:rsidR="006B129C" w:rsidRPr="00FD211F">
        <w:rPr>
          <w:sz w:val="36"/>
          <w:szCs w:val="36"/>
          <w:rtl/>
        </w:rPr>
        <w:t>الآخر</w:t>
      </w:r>
      <w:r w:rsidR="00E8128F">
        <w:rPr>
          <w:sz w:val="36"/>
          <w:szCs w:val="36"/>
          <w:rtl/>
        </w:rPr>
        <w:t xml:space="preserve"> </w:t>
      </w:r>
      <w:r w:rsidR="00827C3F" w:rsidRPr="00FD211F">
        <w:rPr>
          <w:sz w:val="36"/>
          <w:szCs w:val="36"/>
          <w:rtl/>
        </w:rPr>
        <w:t>وهكذا</w:t>
      </w:r>
      <w:r w:rsidR="00603323" w:rsidRPr="00FD211F">
        <w:rPr>
          <w:sz w:val="36"/>
          <w:szCs w:val="36"/>
          <w:rtl/>
        </w:rPr>
        <w:t>،</w:t>
      </w:r>
      <w:r w:rsidR="00E8128F">
        <w:rPr>
          <w:sz w:val="36"/>
          <w:szCs w:val="36"/>
          <w:rtl/>
        </w:rPr>
        <w:t xml:space="preserve"> </w:t>
      </w:r>
      <w:r w:rsidR="00827C3F" w:rsidRPr="00FD211F">
        <w:rPr>
          <w:sz w:val="36"/>
          <w:szCs w:val="36"/>
          <w:rtl/>
        </w:rPr>
        <w:t>ف</w:t>
      </w:r>
      <w:r w:rsidR="006B129C" w:rsidRPr="00FD211F">
        <w:rPr>
          <w:sz w:val="36"/>
          <w:szCs w:val="36"/>
          <w:rtl/>
        </w:rPr>
        <w:t>إما</w:t>
      </w:r>
      <w:r w:rsidR="00E8128F">
        <w:rPr>
          <w:sz w:val="36"/>
          <w:szCs w:val="36"/>
          <w:rtl/>
        </w:rPr>
        <w:t xml:space="preserve"> </w:t>
      </w:r>
      <w:r w:rsidR="006B129C" w:rsidRPr="00FD211F">
        <w:rPr>
          <w:sz w:val="36"/>
          <w:szCs w:val="36"/>
          <w:rtl/>
        </w:rPr>
        <w:t>ان</w:t>
      </w:r>
      <w:r w:rsidR="00E8128F">
        <w:rPr>
          <w:sz w:val="36"/>
          <w:szCs w:val="36"/>
          <w:rtl/>
        </w:rPr>
        <w:t xml:space="preserve"> </w:t>
      </w:r>
      <w:r w:rsidR="00827C3F" w:rsidRPr="00FD211F">
        <w:rPr>
          <w:sz w:val="36"/>
          <w:szCs w:val="36"/>
          <w:rtl/>
        </w:rPr>
        <w:t>يلزم</w:t>
      </w:r>
      <w:r w:rsidR="00E8128F">
        <w:rPr>
          <w:sz w:val="36"/>
          <w:szCs w:val="36"/>
          <w:rtl/>
        </w:rPr>
        <w:t xml:space="preserve"> </w:t>
      </w:r>
      <w:r w:rsidR="00827C3F" w:rsidRPr="00FD211F">
        <w:rPr>
          <w:sz w:val="36"/>
          <w:szCs w:val="36"/>
          <w:rtl/>
        </w:rPr>
        <w:t>تقوم</w:t>
      </w:r>
      <w:r w:rsidR="00E8128F">
        <w:rPr>
          <w:sz w:val="36"/>
          <w:szCs w:val="36"/>
          <w:rtl/>
        </w:rPr>
        <w:t xml:space="preserve"> </w:t>
      </w:r>
      <w:r w:rsidR="00827C3F" w:rsidRPr="00FD211F">
        <w:rPr>
          <w:sz w:val="36"/>
          <w:szCs w:val="36"/>
          <w:rtl/>
        </w:rPr>
        <w:t>الماهي</w:t>
      </w:r>
      <w:r w:rsidR="00EC7EDF" w:rsidRPr="00FD211F">
        <w:rPr>
          <w:sz w:val="36"/>
          <w:szCs w:val="36"/>
          <w:rtl/>
        </w:rPr>
        <w:t>ة</w:t>
      </w:r>
      <w:r w:rsidR="00E8128F">
        <w:rPr>
          <w:sz w:val="36"/>
          <w:szCs w:val="36"/>
          <w:rtl/>
        </w:rPr>
        <w:t xml:space="preserve"> </w:t>
      </w:r>
      <w:r w:rsidR="00827C3F" w:rsidRPr="00FD211F">
        <w:rPr>
          <w:sz w:val="36"/>
          <w:szCs w:val="36"/>
          <w:rtl/>
        </w:rPr>
        <w:t>باجناس</w:t>
      </w:r>
      <w:r w:rsidR="00E8128F">
        <w:rPr>
          <w:sz w:val="36"/>
          <w:szCs w:val="36"/>
          <w:rtl/>
        </w:rPr>
        <w:t xml:space="preserve"> </w:t>
      </w:r>
      <w:r w:rsidR="00827C3F" w:rsidRPr="00FD211F">
        <w:rPr>
          <w:sz w:val="36"/>
          <w:szCs w:val="36"/>
          <w:rtl/>
        </w:rPr>
        <w:t>وفصول</w:t>
      </w:r>
      <w:r w:rsidR="00E8128F">
        <w:rPr>
          <w:sz w:val="36"/>
          <w:szCs w:val="36"/>
          <w:rtl/>
        </w:rPr>
        <w:t xml:space="preserve"> </w:t>
      </w:r>
      <w:r w:rsidR="00827C3F" w:rsidRPr="00FD211F">
        <w:rPr>
          <w:sz w:val="36"/>
          <w:szCs w:val="36"/>
          <w:rtl/>
        </w:rPr>
        <w:t>غيرمتناهي</w:t>
      </w:r>
      <w:r w:rsidR="00EC7EDF" w:rsidRPr="00FD211F">
        <w:rPr>
          <w:sz w:val="36"/>
          <w:szCs w:val="36"/>
          <w:rtl/>
        </w:rPr>
        <w:t>ة</w:t>
      </w:r>
      <w:r w:rsidR="00E8128F">
        <w:rPr>
          <w:sz w:val="36"/>
          <w:szCs w:val="36"/>
          <w:rtl/>
        </w:rPr>
        <w:t xml:space="preserve"> </w:t>
      </w:r>
      <w:r w:rsidR="00827C3F" w:rsidRPr="00FD211F">
        <w:rPr>
          <w:sz w:val="36"/>
          <w:szCs w:val="36"/>
          <w:rtl/>
        </w:rPr>
        <w:t>ومعناه</w:t>
      </w:r>
      <w:r w:rsidR="00E8128F">
        <w:rPr>
          <w:sz w:val="36"/>
          <w:szCs w:val="36"/>
          <w:rtl/>
        </w:rPr>
        <w:t xml:space="preserve"> </w:t>
      </w:r>
      <w:r w:rsidR="00827C3F" w:rsidRPr="00FD211F">
        <w:rPr>
          <w:sz w:val="36"/>
          <w:szCs w:val="36"/>
          <w:rtl/>
        </w:rPr>
        <w:t>عدم</w:t>
      </w:r>
      <w:r w:rsidR="00E8128F">
        <w:rPr>
          <w:sz w:val="36"/>
          <w:szCs w:val="36"/>
          <w:rtl/>
        </w:rPr>
        <w:t xml:space="preserve"> </w:t>
      </w:r>
      <w:r w:rsidR="00827C3F" w:rsidRPr="00FD211F">
        <w:rPr>
          <w:sz w:val="36"/>
          <w:szCs w:val="36"/>
          <w:rtl/>
        </w:rPr>
        <w:t>تحقق</w:t>
      </w:r>
      <w:r w:rsidR="00E8128F">
        <w:rPr>
          <w:sz w:val="36"/>
          <w:szCs w:val="36"/>
          <w:rtl/>
        </w:rPr>
        <w:t xml:space="preserve"> </w:t>
      </w:r>
      <w:r w:rsidR="00827C3F" w:rsidRPr="00FD211F">
        <w:rPr>
          <w:sz w:val="36"/>
          <w:szCs w:val="36"/>
          <w:rtl/>
        </w:rPr>
        <w:t>التحصل</w:t>
      </w:r>
      <w:r w:rsidR="00E8128F">
        <w:rPr>
          <w:sz w:val="36"/>
          <w:szCs w:val="36"/>
          <w:rtl/>
        </w:rPr>
        <w:t xml:space="preserve"> </w:t>
      </w:r>
      <w:r w:rsidR="00827C3F" w:rsidRPr="00FD211F">
        <w:rPr>
          <w:sz w:val="36"/>
          <w:szCs w:val="36"/>
          <w:rtl/>
        </w:rPr>
        <w:t>للماهي</w:t>
      </w:r>
      <w:r w:rsidR="00EC7EDF" w:rsidRPr="00FD211F">
        <w:rPr>
          <w:sz w:val="36"/>
          <w:szCs w:val="36"/>
          <w:rtl/>
        </w:rPr>
        <w:t>ة</w:t>
      </w:r>
      <w:r w:rsidR="00E8128F">
        <w:rPr>
          <w:sz w:val="36"/>
          <w:szCs w:val="36"/>
          <w:rtl/>
        </w:rPr>
        <w:t xml:space="preserve"> </w:t>
      </w:r>
      <w:r w:rsidR="00827C3F" w:rsidRPr="00FD211F">
        <w:rPr>
          <w:sz w:val="36"/>
          <w:szCs w:val="36"/>
          <w:rtl/>
        </w:rPr>
        <w:t>لعدم</w:t>
      </w:r>
      <w:r w:rsidR="00E8128F">
        <w:rPr>
          <w:sz w:val="36"/>
          <w:szCs w:val="36"/>
          <w:rtl/>
        </w:rPr>
        <w:t xml:space="preserve"> </w:t>
      </w:r>
      <w:r w:rsidR="00827C3F" w:rsidRPr="00FD211F">
        <w:rPr>
          <w:sz w:val="36"/>
          <w:szCs w:val="36"/>
          <w:rtl/>
        </w:rPr>
        <w:t>توقفها</w:t>
      </w:r>
      <w:r w:rsidR="00E8128F">
        <w:rPr>
          <w:sz w:val="36"/>
          <w:szCs w:val="36"/>
          <w:rtl/>
        </w:rPr>
        <w:t xml:space="preserve"> </w:t>
      </w:r>
      <w:r w:rsidR="00827C3F" w:rsidRPr="00FD211F">
        <w:rPr>
          <w:sz w:val="36"/>
          <w:szCs w:val="36"/>
          <w:rtl/>
        </w:rPr>
        <w:t>الى</w:t>
      </w:r>
      <w:r w:rsidR="00E8128F">
        <w:rPr>
          <w:sz w:val="36"/>
          <w:szCs w:val="36"/>
          <w:rtl/>
        </w:rPr>
        <w:t xml:space="preserve"> </w:t>
      </w:r>
      <w:r w:rsidR="00827C3F" w:rsidRPr="00FD211F">
        <w:rPr>
          <w:sz w:val="36"/>
          <w:szCs w:val="36"/>
          <w:rtl/>
        </w:rPr>
        <w:t>آخر</w:t>
      </w:r>
      <w:r w:rsidR="00E8128F">
        <w:rPr>
          <w:sz w:val="36"/>
          <w:szCs w:val="36"/>
          <w:rtl/>
        </w:rPr>
        <w:t xml:space="preserve"> </w:t>
      </w:r>
      <w:r w:rsidR="00827C3F" w:rsidRPr="00FD211F">
        <w:rPr>
          <w:sz w:val="36"/>
          <w:szCs w:val="36"/>
          <w:rtl/>
        </w:rPr>
        <w:t>فصل</w:t>
      </w:r>
      <w:r w:rsidR="00E8128F">
        <w:rPr>
          <w:sz w:val="36"/>
          <w:szCs w:val="36"/>
          <w:rtl/>
        </w:rPr>
        <w:t xml:space="preserve"> </w:t>
      </w:r>
      <w:r w:rsidR="00827C3F" w:rsidRPr="00FD211F">
        <w:rPr>
          <w:sz w:val="36"/>
          <w:szCs w:val="36"/>
          <w:rtl/>
        </w:rPr>
        <w:t>متحصل</w:t>
      </w:r>
      <w:r w:rsidR="00E8128F">
        <w:rPr>
          <w:sz w:val="36"/>
          <w:szCs w:val="36"/>
          <w:rtl/>
        </w:rPr>
        <w:t xml:space="preserve"> </w:t>
      </w:r>
      <w:r w:rsidR="00827C3F" w:rsidRPr="00FD211F">
        <w:rPr>
          <w:sz w:val="36"/>
          <w:szCs w:val="36"/>
          <w:rtl/>
        </w:rPr>
        <w:t>مميز</w:t>
      </w:r>
      <w:r w:rsidR="00E8128F">
        <w:rPr>
          <w:sz w:val="36"/>
          <w:szCs w:val="36"/>
          <w:rtl/>
        </w:rPr>
        <w:t xml:space="preserve"> </w:t>
      </w:r>
      <w:r w:rsidR="00827C3F" w:rsidRPr="00FD211F">
        <w:rPr>
          <w:sz w:val="36"/>
          <w:szCs w:val="36"/>
          <w:rtl/>
        </w:rPr>
        <w:t>للأجناس</w:t>
      </w:r>
      <w:r w:rsidR="00E8128F">
        <w:rPr>
          <w:sz w:val="36"/>
          <w:szCs w:val="36"/>
          <w:rtl/>
        </w:rPr>
        <w:t xml:space="preserve"> </w:t>
      </w:r>
      <w:r w:rsidR="006B129C" w:rsidRPr="00FD211F">
        <w:rPr>
          <w:sz w:val="36"/>
          <w:szCs w:val="36"/>
          <w:rtl/>
        </w:rPr>
        <w:t>او</w:t>
      </w:r>
      <w:r w:rsidR="00E8128F">
        <w:rPr>
          <w:sz w:val="36"/>
          <w:szCs w:val="36"/>
          <w:rtl/>
        </w:rPr>
        <w:t xml:space="preserve"> </w:t>
      </w:r>
      <w:r w:rsidR="006B129C" w:rsidRPr="00FD211F">
        <w:rPr>
          <w:sz w:val="36"/>
          <w:szCs w:val="36"/>
          <w:rtl/>
        </w:rPr>
        <w:t>نصل</w:t>
      </w:r>
      <w:r w:rsidR="00E8128F">
        <w:rPr>
          <w:sz w:val="36"/>
          <w:szCs w:val="36"/>
          <w:rtl/>
        </w:rPr>
        <w:t xml:space="preserve"> </w:t>
      </w:r>
      <w:r w:rsidR="006B129C" w:rsidRPr="00FD211F">
        <w:rPr>
          <w:sz w:val="36"/>
          <w:szCs w:val="36"/>
          <w:rtl/>
        </w:rPr>
        <w:t>الى</w:t>
      </w:r>
      <w:r w:rsidR="00E8128F">
        <w:rPr>
          <w:sz w:val="36"/>
          <w:szCs w:val="36"/>
          <w:rtl/>
        </w:rPr>
        <w:t xml:space="preserve"> </w:t>
      </w:r>
      <w:r w:rsidR="006B129C" w:rsidRPr="00FD211F">
        <w:rPr>
          <w:sz w:val="36"/>
          <w:szCs w:val="36"/>
          <w:rtl/>
        </w:rPr>
        <w:t>فصل</w:t>
      </w:r>
      <w:r w:rsidR="00E8128F">
        <w:rPr>
          <w:sz w:val="36"/>
          <w:szCs w:val="36"/>
          <w:rtl/>
        </w:rPr>
        <w:t xml:space="preserve"> </w:t>
      </w:r>
      <w:r w:rsidR="006B129C" w:rsidRPr="00FD211F">
        <w:rPr>
          <w:sz w:val="36"/>
          <w:szCs w:val="36"/>
          <w:rtl/>
        </w:rPr>
        <w:t>يكون</w:t>
      </w:r>
      <w:r w:rsidR="00E8128F">
        <w:rPr>
          <w:sz w:val="36"/>
          <w:szCs w:val="36"/>
          <w:rtl/>
        </w:rPr>
        <w:t xml:space="preserve"> </w:t>
      </w:r>
      <w:r w:rsidR="00827C3F" w:rsidRPr="00FD211F">
        <w:rPr>
          <w:sz w:val="36"/>
          <w:szCs w:val="36"/>
          <w:rtl/>
        </w:rPr>
        <w:t>تمام</w:t>
      </w:r>
      <w:r w:rsidR="00E8128F">
        <w:rPr>
          <w:sz w:val="36"/>
          <w:szCs w:val="36"/>
          <w:rtl/>
        </w:rPr>
        <w:t xml:space="preserve"> </w:t>
      </w:r>
      <w:r w:rsidR="00827C3F" w:rsidRPr="00FD211F">
        <w:rPr>
          <w:sz w:val="36"/>
          <w:szCs w:val="36"/>
          <w:rtl/>
        </w:rPr>
        <w:t>حقيقته</w:t>
      </w:r>
      <w:r w:rsidR="00E8128F">
        <w:rPr>
          <w:sz w:val="36"/>
          <w:szCs w:val="36"/>
          <w:rtl/>
        </w:rPr>
        <w:t xml:space="preserve"> </w:t>
      </w:r>
      <w:r w:rsidR="00827C3F" w:rsidRPr="00FD211F">
        <w:rPr>
          <w:sz w:val="36"/>
          <w:szCs w:val="36"/>
          <w:rtl/>
        </w:rPr>
        <w:t>الشيئي</w:t>
      </w:r>
      <w:r w:rsidR="00EC7EDF" w:rsidRPr="00FD211F">
        <w:rPr>
          <w:sz w:val="36"/>
          <w:szCs w:val="36"/>
          <w:rtl/>
        </w:rPr>
        <w:t>ة</w:t>
      </w:r>
      <w:r w:rsidR="00E8128F">
        <w:rPr>
          <w:sz w:val="36"/>
          <w:szCs w:val="36"/>
          <w:rtl/>
        </w:rPr>
        <w:t xml:space="preserve"> </w:t>
      </w:r>
      <w:r w:rsidR="00827C3F" w:rsidRPr="00FD211F">
        <w:rPr>
          <w:sz w:val="36"/>
          <w:szCs w:val="36"/>
          <w:rtl/>
        </w:rPr>
        <w:t>فيلزم</w:t>
      </w:r>
      <w:r w:rsidR="00E8128F">
        <w:rPr>
          <w:sz w:val="36"/>
          <w:szCs w:val="36"/>
          <w:rtl/>
        </w:rPr>
        <w:t xml:space="preserve"> </w:t>
      </w:r>
      <w:r w:rsidR="00827C3F" w:rsidRPr="00FD211F">
        <w:rPr>
          <w:sz w:val="36"/>
          <w:szCs w:val="36"/>
          <w:rtl/>
        </w:rPr>
        <w:t>اتحاده</w:t>
      </w:r>
      <w:r w:rsidR="00E8128F">
        <w:rPr>
          <w:sz w:val="36"/>
          <w:szCs w:val="36"/>
          <w:rtl/>
        </w:rPr>
        <w:t xml:space="preserve"> </w:t>
      </w:r>
      <w:r w:rsidR="00827C3F" w:rsidRPr="00FD211F">
        <w:rPr>
          <w:sz w:val="36"/>
          <w:szCs w:val="36"/>
          <w:rtl/>
        </w:rPr>
        <w:t>مع</w:t>
      </w:r>
      <w:r w:rsidR="00E8128F">
        <w:rPr>
          <w:sz w:val="36"/>
          <w:szCs w:val="36"/>
          <w:rtl/>
        </w:rPr>
        <w:t xml:space="preserve"> </w:t>
      </w:r>
      <w:r w:rsidR="00827C3F" w:rsidRPr="00FD211F">
        <w:rPr>
          <w:sz w:val="36"/>
          <w:szCs w:val="36"/>
          <w:rtl/>
        </w:rPr>
        <w:t>جنسه</w:t>
      </w:r>
      <w:r w:rsidR="00603323" w:rsidRPr="00FD211F">
        <w:rPr>
          <w:sz w:val="36"/>
          <w:szCs w:val="36"/>
          <w:rtl/>
        </w:rPr>
        <w:t>،</w:t>
      </w:r>
      <w:r w:rsidR="00E8128F">
        <w:rPr>
          <w:sz w:val="36"/>
          <w:szCs w:val="36"/>
          <w:rtl/>
        </w:rPr>
        <w:t xml:space="preserve"> </w:t>
      </w:r>
      <w:r w:rsidR="00EF4BEF" w:rsidRPr="00FD211F">
        <w:rPr>
          <w:sz w:val="36"/>
          <w:szCs w:val="36"/>
          <w:rtl/>
        </w:rPr>
        <w:t>وهو</w:t>
      </w:r>
      <w:r w:rsidR="00E8128F">
        <w:rPr>
          <w:sz w:val="36"/>
          <w:szCs w:val="36"/>
          <w:rtl/>
        </w:rPr>
        <w:t xml:space="preserve"> </w:t>
      </w:r>
      <w:r w:rsidR="00EF4BEF" w:rsidRPr="00FD211F">
        <w:rPr>
          <w:sz w:val="36"/>
          <w:szCs w:val="36"/>
          <w:rtl/>
        </w:rPr>
        <w:t>محال.</w:t>
      </w:r>
    </w:p>
    <w:p w14:paraId="4293BA08" w14:textId="77777777" w:rsidR="00EF4BEF" w:rsidRPr="00FD211F" w:rsidRDefault="00A32E6A" w:rsidP="009C58C8">
      <w:pPr>
        <w:ind w:left="0" w:firstLine="227"/>
        <w:jc w:val="both"/>
        <w:rPr>
          <w:sz w:val="36"/>
          <w:szCs w:val="36"/>
          <w:rtl/>
        </w:rPr>
      </w:pPr>
      <w:r w:rsidRPr="00FD211F">
        <w:rPr>
          <w:sz w:val="36"/>
          <w:szCs w:val="36"/>
          <w:rtl/>
        </w:rPr>
        <w:t>نعم</w:t>
      </w:r>
      <w:r w:rsidR="00E8128F">
        <w:rPr>
          <w:sz w:val="36"/>
          <w:szCs w:val="36"/>
          <w:rtl/>
        </w:rPr>
        <w:t xml:space="preserve"> </w:t>
      </w:r>
      <w:r w:rsidR="005D042A" w:rsidRPr="00FD211F">
        <w:rPr>
          <w:sz w:val="36"/>
          <w:szCs w:val="36"/>
          <w:rtl/>
        </w:rPr>
        <w:t>الفصل</w:t>
      </w:r>
      <w:r w:rsidR="00E8128F">
        <w:rPr>
          <w:sz w:val="36"/>
          <w:szCs w:val="36"/>
          <w:rtl/>
        </w:rPr>
        <w:t xml:space="preserve"> </w:t>
      </w:r>
      <w:r w:rsidR="005D042A" w:rsidRPr="00FD211F">
        <w:rPr>
          <w:sz w:val="36"/>
          <w:szCs w:val="36"/>
          <w:rtl/>
        </w:rPr>
        <w:t>بتمام</w:t>
      </w:r>
      <w:r w:rsidR="00E8128F">
        <w:rPr>
          <w:sz w:val="36"/>
          <w:szCs w:val="36"/>
          <w:rtl/>
        </w:rPr>
        <w:t xml:space="preserve"> </w:t>
      </w:r>
      <w:r w:rsidR="005D042A" w:rsidRPr="00FD211F">
        <w:rPr>
          <w:sz w:val="36"/>
          <w:szCs w:val="36"/>
          <w:rtl/>
        </w:rPr>
        <w:t>ذاته</w:t>
      </w:r>
      <w:r w:rsidR="00E8128F">
        <w:rPr>
          <w:sz w:val="36"/>
          <w:szCs w:val="36"/>
          <w:rtl/>
        </w:rPr>
        <w:t xml:space="preserve"> </w:t>
      </w:r>
      <w:r w:rsidRPr="00FD211F">
        <w:rPr>
          <w:sz w:val="36"/>
          <w:szCs w:val="36"/>
          <w:rtl/>
        </w:rPr>
        <w:t>مصداق</w:t>
      </w:r>
      <w:r w:rsidR="00E8128F">
        <w:rPr>
          <w:sz w:val="36"/>
          <w:szCs w:val="36"/>
          <w:rtl/>
        </w:rPr>
        <w:t xml:space="preserve"> </w:t>
      </w:r>
      <w:r w:rsidR="00827C3F" w:rsidRPr="00FD211F">
        <w:rPr>
          <w:sz w:val="36"/>
          <w:szCs w:val="36"/>
          <w:rtl/>
        </w:rPr>
        <w:t>للش</w:t>
      </w:r>
      <w:r w:rsidR="005D042A" w:rsidRPr="00FD211F">
        <w:rPr>
          <w:sz w:val="36"/>
          <w:szCs w:val="36"/>
          <w:rtl/>
        </w:rPr>
        <w:t>ي</w:t>
      </w:r>
      <w:r w:rsidR="00827C3F" w:rsidRPr="00FD211F">
        <w:rPr>
          <w:sz w:val="36"/>
          <w:szCs w:val="36"/>
          <w:rtl/>
        </w:rPr>
        <w:t>ئ</w:t>
      </w:r>
      <w:r w:rsidR="00603323" w:rsidRPr="00FD211F">
        <w:rPr>
          <w:sz w:val="36"/>
          <w:szCs w:val="36"/>
          <w:rtl/>
        </w:rPr>
        <w:t>،</w:t>
      </w:r>
      <w:r w:rsidR="00E8128F">
        <w:rPr>
          <w:sz w:val="36"/>
          <w:szCs w:val="36"/>
          <w:rtl/>
        </w:rPr>
        <w:t xml:space="preserve"> </w:t>
      </w:r>
      <w:r w:rsidR="005D042A" w:rsidRPr="00FD211F">
        <w:rPr>
          <w:sz w:val="36"/>
          <w:szCs w:val="36"/>
          <w:rtl/>
        </w:rPr>
        <w:t>ولكن</w:t>
      </w:r>
      <w:r w:rsidR="00E8128F">
        <w:rPr>
          <w:sz w:val="36"/>
          <w:szCs w:val="36"/>
          <w:rtl/>
        </w:rPr>
        <w:t xml:space="preserve"> </w:t>
      </w:r>
      <w:r w:rsidR="005D042A" w:rsidRPr="00FD211F">
        <w:rPr>
          <w:sz w:val="36"/>
          <w:szCs w:val="36"/>
          <w:rtl/>
        </w:rPr>
        <w:t>المهم</w:t>
      </w:r>
      <w:r w:rsidR="00E8128F">
        <w:rPr>
          <w:sz w:val="36"/>
          <w:szCs w:val="36"/>
          <w:rtl/>
        </w:rPr>
        <w:t xml:space="preserve"> </w:t>
      </w:r>
      <w:r w:rsidR="005D042A" w:rsidRPr="00FD211F">
        <w:rPr>
          <w:sz w:val="36"/>
          <w:szCs w:val="36"/>
          <w:rtl/>
        </w:rPr>
        <w:t>انه</w:t>
      </w:r>
      <w:r w:rsidR="00E8128F">
        <w:rPr>
          <w:sz w:val="36"/>
          <w:szCs w:val="36"/>
          <w:rtl/>
        </w:rPr>
        <w:t xml:space="preserve"> </w:t>
      </w:r>
      <w:r w:rsidR="005D042A" w:rsidRPr="00FD211F">
        <w:rPr>
          <w:sz w:val="36"/>
          <w:szCs w:val="36"/>
          <w:rtl/>
        </w:rPr>
        <w:t>يستحيل</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فيه</w:t>
      </w:r>
      <w:r w:rsidR="00603323" w:rsidRPr="00FD211F">
        <w:rPr>
          <w:sz w:val="36"/>
          <w:szCs w:val="36"/>
          <w:rtl/>
        </w:rPr>
        <w:t>،</w:t>
      </w:r>
      <w:r w:rsidR="00E8128F">
        <w:rPr>
          <w:sz w:val="36"/>
          <w:szCs w:val="36"/>
          <w:rtl/>
        </w:rPr>
        <w:t xml:space="preserve"> </w:t>
      </w:r>
      <w:r w:rsidRPr="00FD211F">
        <w:rPr>
          <w:sz w:val="36"/>
          <w:szCs w:val="36"/>
          <w:rtl/>
        </w:rPr>
        <w:t>فلايمكن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جزءا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ماهيته</w:t>
      </w:r>
      <w:r w:rsidR="00603323" w:rsidRPr="00FD211F">
        <w:rPr>
          <w:sz w:val="36"/>
          <w:szCs w:val="36"/>
          <w:rtl/>
        </w:rPr>
        <w:t>،</w:t>
      </w:r>
      <w:r w:rsidR="00E8128F">
        <w:rPr>
          <w:sz w:val="36"/>
          <w:szCs w:val="36"/>
          <w:rtl/>
        </w:rPr>
        <w:t xml:space="preserve"> </w:t>
      </w:r>
      <w:r w:rsidR="005D042A" w:rsidRPr="00FD211F">
        <w:rPr>
          <w:sz w:val="36"/>
          <w:szCs w:val="36"/>
          <w:rtl/>
        </w:rPr>
        <w:t>وعليه</w:t>
      </w:r>
      <w:r w:rsidR="00E8128F">
        <w:rPr>
          <w:sz w:val="36"/>
          <w:szCs w:val="36"/>
          <w:rtl/>
        </w:rPr>
        <w:t xml:space="preserve"> </w:t>
      </w:r>
      <w:r w:rsidR="00EF4BEF" w:rsidRPr="00FD211F">
        <w:rPr>
          <w:sz w:val="36"/>
          <w:szCs w:val="36"/>
          <w:rtl/>
        </w:rPr>
        <w:t>فمفهوم</w:t>
      </w:r>
      <w:r w:rsidR="00E8128F">
        <w:rPr>
          <w:sz w:val="36"/>
          <w:szCs w:val="36"/>
          <w:rtl/>
        </w:rPr>
        <w:t xml:space="preserve"> </w:t>
      </w:r>
      <w:r w:rsidR="00EF4BEF" w:rsidRPr="00FD211F">
        <w:rPr>
          <w:sz w:val="36"/>
          <w:szCs w:val="36"/>
          <w:rtl/>
        </w:rPr>
        <w:t>ال</w:t>
      </w:r>
      <w:r w:rsidR="008D7B3D" w:rsidRPr="00FD211F">
        <w:rPr>
          <w:sz w:val="36"/>
          <w:szCs w:val="36"/>
          <w:rtl/>
        </w:rPr>
        <w:t>شيء</w:t>
      </w:r>
      <w:r w:rsidR="00E8128F">
        <w:rPr>
          <w:sz w:val="36"/>
          <w:szCs w:val="36"/>
          <w:rtl/>
        </w:rPr>
        <w:t xml:space="preserve"> </w:t>
      </w:r>
      <w:r w:rsidR="00EF4BEF" w:rsidRPr="00FD211F">
        <w:rPr>
          <w:sz w:val="36"/>
          <w:szCs w:val="36"/>
          <w:rtl/>
        </w:rPr>
        <w:t>خارج</w:t>
      </w:r>
      <w:r w:rsidR="00E8128F">
        <w:rPr>
          <w:sz w:val="36"/>
          <w:szCs w:val="36"/>
          <w:rtl/>
        </w:rPr>
        <w:t xml:space="preserve"> </w:t>
      </w:r>
      <w:r w:rsidR="00EF4BEF" w:rsidRPr="00FD211F">
        <w:rPr>
          <w:sz w:val="36"/>
          <w:szCs w:val="36"/>
          <w:rtl/>
        </w:rPr>
        <w:t>عن</w:t>
      </w:r>
      <w:r w:rsidR="00E8128F">
        <w:rPr>
          <w:sz w:val="36"/>
          <w:szCs w:val="36"/>
          <w:rtl/>
        </w:rPr>
        <w:t xml:space="preserve"> </w:t>
      </w:r>
      <w:r w:rsidR="00EF4BEF" w:rsidRPr="00FD211F">
        <w:rPr>
          <w:sz w:val="36"/>
          <w:szCs w:val="36"/>
          <w:rtl/>
        </w:rPr>
        <w:t>ذاتيات</w:t>
      </w:r>
      <w:r w:rsidR="00E8128F">
        <w:rPr>
          <w:sz w:val="36"/>
          <w:szCs w:val="36"/>
          <w:rtl/>
        </w:rPr>
        <w:t xml:space="preserve"> </w:t>
      </w:r>
      <w:r w:rsidR="00EF4BEF" w:rsidRPr="00FD211F">
        <w:rPr>
          <w:sz w:val="36"/>
          <w:szCs w:val="36"/>
          <w:rtl/>
        </w:rPr>
        <w:t>الماهيات</w:t>
      </w:r>
      <w:r w:rsidR="00E8128F">
        <w:rPr>
          <w:sz w:val="36"/>
          <w:szCs w:val="36"/>
          <w:rtl/>
        </w:rPr>
        <w:t xml:space="preserve"> </w:t>
      </w:r>
      <w:r w:rsidR="00EF4BEF" w:rsidRPr="00FD211F">
        <w:rPr>
          <w:sz w:val="36"/>
          <w:szCs w:val="36"/>
          <w:rtl/>
        </w:rPr>
        <w:t>فيكون</w:t>
      </w:r>
      <w:r w:rsidR="00E8128F">
        <w:rPr>
          <w:sz w:val="36"/>
          <w:szCs w:val="36"/>
          <w:rtl/>
        </w:rPr>
        <w:t xml:space="preserve"> </w:t>
      </w:r>
      <w:r w:rsidR="00EF4BEF" w:rsidRPr="00FD211F">
        <w:rPr>
          <w:sz w:val="36"/>
          <w:szCs w:val="36"/>
          <w:rtl/>
        </w:rPr>
        <w:t>من</w:t>
      </w:r>
      <w:r w:rsidR="00E8128F">
        <w:rPr>
          <w:sz w:val="36"/>
          <w:szCs w:val="36"/>
          <w:rtl/>
        </w:rPr>
        <w:t xml:space="preserve"> </w:t>
      </w:r>
      <w:r w:rsidR="00EF4BEF" w:rsidRPr="00FD211F">
        <w:rPr>
          <w:sz w:val="36"/>
          <w:szCs w:val="36"/>
          <w:rtl/>
        </w:rPr>
        <w:t>العرض</w:t>
      </w:r>
      <w:r w:rsidR="00E8128F">
        <w:rPr>
          <w:sz w:val="36"/>
          <w:szCs w:val="36"/>
          <w:rtl/>
        </w:rPr>
        <w:t xml:space="preserve"> </w:t>
      </w:r>
      <w:r w:rsidR="00EF4BEF" w:rsidRPr="00FD211F">
        <w:rPr>
          <w:sz w:val="36"/>
          <w:szCs w:val="36"/>
          <w:rtl/>
        </w:rPr>
        <w:t>العام</w:t>
      </w:r>
      <w:r w:rsidR="00E8128F">
        <w:rPr>
          <w:sz w:val="36"/>
          <w:szCs w:val="36"/>
          <w:rtl/>
        </w:rPr>
        <w:t xml:space="preserve"> </w:t>
      </w:r>
      <w:r w:rsidR="005D042A" w:rsidRPr="00FD211F">
        <w:rPr>
          <w:sz w:val="36"/>
          <w:szCs w:val="36"/>
          <w:rtl/>
        </w:rPr>
        <w:t>ل</w:t>
      </w:r>
      <w:r w:rsidR="00EF4BEF" w:rsidRPr="00FD211F">
        <w:rPr>
          <w:sz w:val="36"/>
          <w:szCs w:val="36"/>
          <w:rtl/>
        </w:rPr>
        <w:t>جميع</w:t>
      </w:r>
      <w:r w:rsidR="00E8128F">
        <w:rPr>
          <w:sz w:val="36"/>
          <w:szCs w:val="36"/>
          <w:rtl/>
        </w:rPr>
        <w:t xml:space="preserve"> </w:t>
      </w:r>
      <w:r w:rsidR="00EF4BEF" w:rsidRPr="00FD211F">
        <w:rPr>
          <w:sz w:val="36"/>
          <w:szCs w:val="36"/>
          <w:rtl/>
        </w:rPr>
        <w:t>الاشياء</w:t>
      </w:r>
      <w:r w:rsidR="00603323" w:rsidRPr="00FD211F">
        <w:rPr>
          <w:sz w:val="36"/>
          <w:szCs w:val="36"/>
          <w:rtl/>
        </w:rPr>
        <w:t>،</w:t>
      </w:r>
      <w:r w:rsidR="00E8128F">
        <w:rPr>
          <w:sz w:val="36"/>
          <w:szCs w:val="36"/>
          <w:rtl/>
        </w:rPr>
        <w:t xml:space="preserve"> </w:t>
      </w:r>
      <w:r w:rsidR="00EF4BEF" w:rsidRPr="00FD211F">
        <w:rPr>
          <w:sz w:val="36"/>
          <w:szCs w:val="36"/>
          <w:rtl/>
        </w:rPr>
        <w:t>فان</w:t>
      </w:r>
      <w:r w:rsidR="00E8128F">
        <w:rPr>
          <w:sz w:val="36"/>
          <w:szCs w:val="36"/>
          <w:rtl/>
        </w:rPr>
        <w:t xml:space="preserve"> </w:t>
      </w:r>
      <w:r w:rsidR="00827C3F" w:rsidRPr="00FD211F">
        <w:rPr>
          <w:sz w:val="36"/>
          <w:szCs w:val="36"/>
          <w:rtl/>
        </w:rPr>
        <w:t>الذهن</w:t>
      </w:r>
      <w:r w:rsidR="00E8128F">
        <w:rPr>
          <w:sz w:val="36"/>
          <w:szCs w:val="36"/>
          <w:rtl/>
        </w:rPr>
        <w:t xml:space="preserve"> </w:t>
      </w:r>
      <w:r w:rsidR="00827C3F" w:rsidRPr="00FD211F">
        <w:rPr>
          <w:sz w:val="36"/>
          <w:szCs w:val="36"/>
          <w:rtl/>
        </w:rPr>
        <w:t>حينما</w:t>
      </w:r>
      <w:r w:rsidR="00E8128F">
        <w:rPr>
          <w:sz w:val="36"/>
          <w:szCs w:val="36"/>
          <w:rtl/>
        </w:rPr>
        <w:t xml:space="preserve"> </w:t>
      </w:r>
      <w:r w:rsidR="00827C3F" w:rsidRPr="00FD211F">
        <w:rPr>
          <w:sz w:val="36"/>
          <w:szCs w:val="36"/>
          <w:rtl/>
        </w:rPr>
        <w:t>يلحظ</w:t>
      </w:r>
      <w:r w:rsidR="00E8128F">
        <w:rPr>
          <w:sz w:val="36"/>
          <w:szCs w:val="36"/>
          <w:rtl/>
        </w:rPr>
        <w:t xml:space="preserve"> </w:t>
      </w:r>
      <w:r w:rsidR="00827C3F" w:rsidRPr="00FD211F">
        <w:rPr>
          <w:sz w:val="36"/>
          <w:szCs w:val="36"/>
          <w:rtl/>
        </w:rPr>
        <w:t>الموجودات</w:t>
      </w:r>
      <w:r w:rsidR="00E8128F">
        <w:rPr>
          <w:sz w:val="36"/>
          <w:szCs w:val="36"/>
          <w:rtl/>
        </w:rPr>
        <w:t xml:space="preserve"> </w:t>
      </w:r>
      <w:r w:rsidR="00827C3F" w:rsidRPr="00FD211F">
        <w:rPr>
          <w:sz w:val="36"/>
          <w:szCs w:val="36"/>
          <w:rtl/>
        </w:rPr>
        <w:t>يرى</w:t>
      </w:r>
      <w:r w:rsidR="00E8128F">
        <w:rPr>
          <w:sz w:val="36"/>
          <w:szCs w:val="36"/>
          <w:rtl/>
        </w:rPr>
        <w:t xml:space="preserve"> </w:t>
      </w:r>
      <w:r w:rsidR="00827C3F" w:rsidRPr="00FD211F">
        <w:rPr>
          <w:sz w:val="36"/>
          <w:szCs w:val="36"/>
          <w:rtl/>
        </w:rPr>
        <w:t>فيها</w:t>
      </w:r>
      <w:r w:rsidR="00E8128F">
        <w:rPr>
          <w:sz w:val="36"/>
          <w:szCs w:val="36"/>
          <w:rtl/>
        </w:rPr>
        <w:t xml:space="preserve"> </w:t>
      </w:r>
      <w:r w:rsidR="00827C3F" w:rsidRPr="00FD211F">
        <w:rPr>
          <w:sz w:val="36"/>
          <w:szCs w:val="36"/>
          <w:rtl/>
        </w:rPr>
        <w:t>جه</w:t>
      </w:r>
      <w:r w:rsidR="00EC7EDF" w:rsidRPr="00FD211F">
        <w:rPr>
          <w:sz w:val="36"/>
          <w:szCs w:val="36"/>
          <w:rtl/>
        </w:rPr>
        <w:t>ة</w:t>
      </w:r>
      <w:r w:rsidR="00E8128F">
        <w:rPr>
          <w:sz w:val="36"/>
          <w:szCs w:val="36"/>
          <w:rtl/>
        </w:rPr>
        <w:t xml:space="preserve"> </w:t>
      </w:r>
      <w:r w:rsidR="00827C3F" w:rsidRPr="00FD211F">
        <w:rPr>
          <w:sz w:val="36"/>
          <w:szCs w:val="36"/>
          <w:rtl/>
        </w:rPr>
        <w:t>مشترك</w:t>
      </w:r>
      <w:r w:rsidR="00EC7EDF" w:rsidRPr="00FD211F">
        <w:rPr>
          <w:sz w:val="36"/>
          <w:szCs w:val="36"/>
          <w:rtl/>
        </w:rPr>
        <w:t>ة</w:t>
      </w:r>
      <w:r w:rsidR="00E8128F">
        <w:rPr>
          <w:sz w:val="36"/>
          <w:szCs w:val="36"/>
          <w:rtl/>
        </w:rPr>
        <w:t xml:space="preserve"> </w:t>
      </w:r>
      <w:r w:rsidR="00827C3F" w:rsidRPr="00FD211F">
        <w:rPr>
          <w:sz w:val="36"/>
          <w:szCs w:val="36"/>
          <w:rtl/>
        </w:rPr>
        <w:t>وهي</w:t>
      </w:r>
      <w:r w:rsidR="00E8128F">
        <w:rPr>
          <w:sz w:val="36"/>
          <w:szCs w:val="36"/>
          <w:rtl/>
        </w:rPr>
        <w:t xml:space="preserve"> </w:t>
      </w:r>
      <w:r w:rsidR="00827C3F" w:rsidRPr="00FD211F">
        <w:rPr>
          <w:sz w:val="36"/>
          <w:szCs w:val="36"/>
          <w:rtl/>
        </w:rPr>
        <w:t>كون</w:t>
      </w:r>
      <w:r w:rsidR="00E8128F">
        <w:rPr>
          <w:sz w:val="36"/>
          <w:szCs w:val="36"/>
          <w:rtl/>
        </w:rPr>
        <w:t xml:space="preserve"> </w:t>
      </w:r>
      <w:r w:rsidR="00827C3F" w:rsidRPr="00FD211F">
        <w:rPr>
          <w:sz w:val="36"/>
          <w:szCs w:val="36"/>
          <w:rtl/>
        </w:rPr>
        <w:t>جميعها</w:t>
      </w:r>
      <w:r w:rsidR="00E8128F">
        <w:rPr>
          <w:sz w:val="36"/>
          <w:szCs w:val="36"/>
          <w:rtl/>
        </w:rPr>
        <w:t xml:space="preserve"> </w:t>
      </w:r>
      <w:r w:rsidR="00827C3F" w:rsidRPr="00FD211F">
        <w:rPr>
          <w:sz w:val="36"/>
          <w:szCs w:val="36"/>
          <w:rtl/>
        </w:rPr>
        <w:t>شيئا</w:t>
      </w:r>
      <w:r w:rsidR="00E8128F">
        <w:rPr>
          <w:sz w:val="36"/>
          <w:szCs w:val="36"/>
          <w:rtl/>
        </w:rPr>
        <w:t xml:space="preserve"> </w:t>
      </w:r>
      <w:r w:rsidR="00827C3F" w:rsidRPr="00FD211F">
        <w:rPr>
          <w:sz w:val="36"/>
          <w:szCs w:val="36"/>
          <w:rtl/>
        </w:rPr>
        <w:t>ثم</w:t>
      </w:r>
      <w:r w:rsidR="00E8128F">
        <w:rPr>
          <w:sz w:val="36"/>
          <w:szCs w:val="36"/>
          <w:rtl/>
        </w:rPr>
        <w:t xml:space="preserve"> </w:t>
      </w:r>
      <w:r w:rsidR="00827C3F" w:rsidRPr="00FD211F">
        <w:rPr>
          <w:sz w:val="36"/>
          <w:szCs w:val="36"/>
          <w:rtl/>
        </w:rPr>
        <w:t>يلحظ</w:t>
      </w:r>
      <w:r w:rsidR="00E8128F">
        <w:rPr>
          <w:sz w:val="36"/>
          <w:szCs w:val="36"/>
          <w:rtl/>
        </w:rPr>
        <w:t xml:space="preserve"> </w:t>
      </w:r>
      <w:r w:rsidR="00EF4BEF" w:rsidRPr="00FD211F">
        <w:rPr>
          <w:sz w:val="36"/>
          <w:szCs w:val="36"/>
          <w:rtl/>
        </w:rPr>
        <w:t>ان</w:t>
      </w:r>
      <w:r w:rsidR="00E8128F">
        <w:rPr>
          <w:sz w:val="36"/>
          <w:szCs w:val="36"/>
          <w:rtl/>
        </w:rPr>
        <w:t xml:space="preserve"> </w:t>
      </w:r>
      <w:r w:rsidR="00EF4BEF" w:rsidRPr="00FD211F">
        <w:rPr>
          <w:sz w:val="36"/>
          <w:szCs w:val="36"/>
          <w:rtl/>
        </w:rPr>
        <w:t>بعضها</w:t>
      </w:r>
      <w:r w:rsidR="00E8128F">
        <w:rPr>
          <w:sz w:val="36"/>
          <w:szCs w:val="36"/>
          <w:rtl/>
        </w:rPr>
        <w:t xml:space="preserve"> </w:t>
      </w:r>
      <w:r w:rsidR="00EF4BEF" w:rsidRPr="00FD211F">
        <w:rPr>
          <w:sz w:val="36"/>
          <w:szCs w:val="36"/>
          <w:rtl/>
        </w:rPr>
        <w:t>جوهر</w:t>
      </w:r>
      <w:r w:rsidR="00E8128F">
        <w:rPr>
          <w:sz w:val="36"/>
          <w:szCs w:val="36"/>
          <w:rtl/>
        </w:rPr>
        <w:t xml:space="preserve"> </w:t>
      </w:r>
      <w:r w:rsidR="00EF4BEF" w:rsidRPr="00FD211F">
        <w:rPr>
          <w:sz w:val="36"/>
          <w:szCs w:val="36"/>
          <w:rtl/>
        </w:rPr>
        <w:t>والآخر</w:t>
      </w:r>
      <w:r w:rsidR="00E8128F">
        <w:rPr>
          <w:sz w:val="36"/>
          <w:szCs w:val="36"/>
          <w:rtl/>
        </w:rPr>
        <w:t xml:space="preserve"> </w:t>
      </w:r>
      <w:r w:rsidR="00EF4BEF" w:rsidRPr="00FD211F">
        <w:rPr>
          <w:sz w:val="36"/>
          <w:szCs w:val="36"/>
          <w:rtl/>
        </w:rPr>
        <w:t>عرض</w:t>
      </w:r>
      <w:r w:rsidR="00E8128F">
        <w:rPr>
          <w:sz w:val="36"/>
          <w:szCs w:val="36"/>
          <w:rtl/>
        </w:rPr>
        <w:t xml:space="preserve"> </w:t>
      </w:r>
      <w:r w:rsidR="00EF4BEF" w:rsidRPr="00FD211F">
        <w:rPr>
          <w:sz w:val="36"/>
          <w:szCs w:val="36"/>
          <w:rtl/>
        </w:rPr>
        <w:t>وهكذا.</w:t>
      </w:r>
    </w:p>
    <w:p w14:paraId="385497C7" w14:textId="77777777" w:rsidR="00EF4BEF" w:rsidRPr="00FD211F" w:rsidRDefault="00EF4BEF" w:rsidP="009C58C8">
      <w:pPr>
        <w:ind w:left="0" w:firstLine="227"/>
        <w:jc w:val="both"/>
        <w:rPr>
          <w:sz w:val="36"/>
          <w:szCs w:val="36"/>
          <w:rtl/>
        </w:rPr>
      </w:pPr>
      <w:r w:rsidRPr="00FD211F">
        <w:rPr>
          <w:sz w:val="36"/>
          <w:szCs w:val="36"/>
          <w:rtl/>
        </w:rPr>
        <w:t>والحاصل</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حيثي</w:t>
      </w:r>
      <w:r w:rsidR="00EC7EDF" w:rsidRPr="00FD211F">
        <w:rPr>
          <w:sz w:val="36"/>
          <w:szCs w:val="36"/>
          <w:rtl/>
        </w:rPr>
        <w:t>ة</w:t>
      </w:r>
      <w:r w:rsidR="00E8128F">
        <w:rPr>
          <w:sz w:val="36"/>
          <w:szCs w:val="36"/>
          <w:rtl/>
        </w:rPr>
        <w:t xml:space="preserve"> </w:t>
      </w:r>
      <w:r w:rsidRPr="00FD211F">
        <w:rPr>
          <w:sz w:val="36"/>
          <w:szCs w:val="36"/>
          <w:rtl/>
        </w:rPr>
        <w:t>الشيئي</w:t>
      </w:r>
      <w:r w:rsidR="00EC7EDF" w:rsidRPr="00FD211F">
        <w:rPr>
          <w:sz w:val="36"/>
          <w:szCs w:val="36"/>
          <w:rtl/>
        </w:rPr>
        <w:t>ة</w:t>
      </w:r>
      <w:r w:rsidR="00E8128F">
        <w:rPr>
          <w:sz w:val="36"/>
          <w:szCs w:val="36"/>
          <w:rtl/>
        </w:rPr>
        <w:t xml:space="preserve"> </w:t>
      </w:r>
      <w:r w:rsidRPr="00FD211F">
        <w:rPr>
          <w:sz w:val="36"/>
          <w:szCs w:val="36"/>
          <w:rtl/>
        </w:rPr>
        <w:t>تختلف</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حيثي</w:t>
      </w:r>
      <w:r w:rsidR="00EC7EDF" w:rsidRPr="00FD211F">
        <w:rPr>
          <w:sz w:val="36"/>
          <w:szCs w:val="36"/>
          <w:rtl/>
        </w:rPr>
        <w:t>ة</w:t>
      </w:r>
      <w:r w:rsidR="00E8128F">
        <w:rPr>
          <w:sz w:val="36"/>
          <w:szCs w:val="36"/>
          <w:rtl/>
        </w:rPr>
        <w:t xml:space="preserve"> </w:t>
      </w:r>
      <w:r w:rsidRPr="00FD211F">
        <w:rPr>
          <w:sz w:val="36"/>
          <w:szCs w:val="36"/>
          <w:rtl/>
        </w:rPr>
        <w:t>الحيواني</w:t>
      </w:r>
      <w:r w:rsidR="00EC7EDF" w:rsidRPr="00FD211F">
        <w:rPr>
          <w:sz w:val="36"/>
          <w:szCs w:val="36"/>
          <w:rtl/>
        </w:rPr>
        <w:t>ة</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هي</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الاجناس</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حيثي</w:t>
      </w:r>
      <w:r w:rsidR="00EC7EDF" w:rsidRPr="00FD211F">
        <w:rPr>
          <w:sz w:val="36"/>
          <w:szCs w:val="36"/>
          <w:rtl/>
        </w:rPr>
        <w:t>ة</w:t>
      </w:r>
      <w:r w:rsidR="00E8128F">
        <w:rPr>
          <w:sz w:val="36"/>
          <w:szCs w:val="36"/>
          <w:rtl/>
        </w:rPr>
        <w:t xml:space="preserve"> </w:t>
      </w:r>
      <w:r w:rsidRPr="00FD211F">
        <w:rPr>
          <w:sz w:val="36"/>
          <w:szCs w:val="36"/>
          <w:rtl/>
        </w:rPr>
        <w:t>الحيواني</w:t>
      </w:r>
      <w:r w:rsidR="00EC7EDF" w:rsidRPr="00FD211F">
        <w:rPr>
          <w:sz w:val="36"/>
          <w:szCs w:val="36"/>
          <w:rtl/>
        </w:rPr>
        <w:t>ة</w:t>
      </w:r>
      <w:r w:rsidR="00E8128F">
        <w:rPr>
          <w:sz w:val="36"/>
          <w:szCs w:val="36"/>
          <w:rtl/>
        </w:rPr>
        <w:t xml:space="preserve"> </w:t>
      </w:r>
      <w:r w:rsidRPr="00FD211F">
        <w:rPr>
          <w:sz w:val="36"/>
          <w:szCs w:val="36"/>
          <w:rtl/>
        </w:rPr>
        <w:t>لاتنطبق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فصلها</w:t>
      </w:r>
      <w:r w:rsidR="00E8128F">
        <w:rPr>
          <w:sz w:val="36"/>
          <w:szCs w:val="36"/>
          <w:rtl/>
        </w:rPr>
        <w:t xml:space="preserve"> </w:t>
      </w:r>
      <w:r w:rsidRPr="00FD211F">
        <w:rPr>
          <w:sz w:val="36"/>
          <w:szCs w:val="36"/>
          <w:rtl/>
        </w:rPr>
        <w:t>وهو</w:t>
      </w:r>
      <w:r w:rsidR="00E8128F">
        <w:rPr>
          <w:sz w:val="36"/>
          <w:szCs w:val="36"/>
          <w:rtl/>
        </w:rPr>
        <w:t xml:space="preserve"> </w:t>
      </w:r>
      <w:r w:rsidRPr="00FD211F">
        <w:rPr>
          <w:sz w:val="36"/>
          <w:szCs w:val="36"/>
          <w:rtl/>
        </w:rPr>
        <w:t>حيثي</w:t>
      </w:r>
      <w:r w:rsidR="00EC7EDF" w:rsidRPr="00FD211F">
        <w:rPr>
          <w:sz w:val="36"/>
          <w:szCs w:val="36"/>
          <w:rtl/>
        </w:rPr>
        <w:t>ة</w:t>
      </w:r>
      <w:r w:rsidR="00E8128F">
        <w:rPr>
          <w:sz w:val="36"/>
          <w:szCs w:val="36"/>
          <w:rtl/>
        </w:rPr>
        <w:t xml:space="preserve"> </w:t>
      </w:r>
      <w:r w:rsidRPr="00FD211F">
        <w:rPr>
          <w:sz w:val="36"/>
          <w:szCs w:val="36"/>
          <w:rtl/>
        </w:rPr>
        <w:t>الناطقي</w:t>
      </w:r>
      <w:r w:rsidR="00EC7EDF" w:rsidRPr="00FD211F">
        <w:rPr>
          <w:sz w:val="36"/>
          <w:szCs w:val="36"/>
          <w:rtl/>
        </w:rPr>
        <w:t>ة</w:t>
      </w:r>
      <w:r w:rsidR="00E8128F">
        <w:rPr>
          <w:sz w:val="36"/>
          <w:szCs w:val="36"/>
          <w:rtl/>
        </w:rPr>
        <w:t xml:space="preserve"> </w:t>
      </w:r>
      <w:r w:rsidRPr="00FD211F">
        <w:rPr>
          <w:sz w:val="36"/>
          <w:szCs w:val="36"/>
          <w:rtl/>
        </w:rPr>
        <w:t>بخلاف</w:t>
      </w:r>
      <w:r w:rsidR="00E8128F">
        <w:rPr>
          <w:sz w:val="36"/>
          <w:szCs w:val="36"/>
          <w:rtl/>
        </w:rPr>
        <w:t xml:space="preserve"> </w:t>
      </w:r>
      <w:r w:rsidRPr="00FD211F">
        <w:rPr>
          <w:sz w:val="36"/>
          <w:szCs w:val="36"/>
          <w:rtl/>
        </w:rPr>
        <w:t>حيثي</w:t>
      </w:r>
      <w:r w:rsidR="00EC7EDF" w:rsidRPr="00FD211F">
        <w:rPr>
          <w:sz w:val="36"/>
          <w:szCs w:val="36"/>
          <w:rtl/>
        </w:rPr>
        <w:t>ة</w:t>
      </w:r>
      <w:r w:rsidR="00E8128F">
        <w:rPr>
          <w:sz w:val="36"/>
          <w:szCs w:val="36"/>
          <w:rtl/>
        </w:rPr>
        <w:t xml:space="preserve"> </w:t>
      </w:r>
      <w:r w:rsidRPr="00FD211F">
        <w:rPr>
          <w:sz w:val="36"/>
          <w:szCs w:val="36"/>
          <w:rtl/>
        </w:rPr>
        <w:t>الشيئي</w:t>
      </w:r>
      <w:r w:rsidR="00EC7EDF" w:rsidRPr="00FD211F">
        <w:rPr>
          <w:sz w:val="36"/>
          <w:szCs w:val="36"/>
          <w:rtl/>
        </w:rPr>
        <w:t>ة</w:t>
      </w:r>
      <w:r w:rsidR="00E8128F">
        <w:rPr>
          <w:sz w:val="36"/>
          <w:szCs w:val="36"/>
          <w:rtl/>
        </w:rPr>
        <w:t xml:space="preserve"> </w:t>
      </w:r>
      <w:r w:rsidR="00827C3F" w:rsidRPr="00FD211F">
        <w:rPr>
          <w:sz w:val="36"/>
          <w:szCs w:val="36"/>
          <w:rtl/>
        </w:rPr>
        <w:t>فانها</w:t>
      </w:r>
      <w:r w:rsidR="00E8128F">
        <w:rPr>
          <w:sz w:val="36"/>
          <w:szCs w:val="36"/>
          <w:rtl/>
        </w:rPr>
        <w:t xml:space="preserve"> </w:t>
      </w:r>
      <w:r w:rsidR="00827C3F" w:rsidRPr="00FD211F">
        <w:rPr>
          <w:sz w:val="36"/>
          <w:szCs w:val="36"/>
          <w:rtl/>
        </w:rPr>
        <w:t>منطبق</w:t>
      </w:r>
      <w:r w:rsidR="00EC7EDF" w:rsidRPr="00FD211F">
        <w:rPr>
          <w:sz w:val="36"/>
          <w:szCs w:val="36"/>
          <w:rtl/>
        </w:rPr>
        <w:t>ة</w:t>
      </w:r>
      <w:r w:rsidR="00E8128F">
        <w:rPr>
          <w:sz w:val="36"/>
          <w:szCs w:val="36"/>
          <w:rtl/>
        </w:rPr>
        <w:t xml:space="preserve"> </w:t>
      </w:r>
      <w:r w:rsidR="00827C3F" w:rsidRPr="00FD211F">
        <w:rPr>
          <w:sz w:val="36"/>
          <w:szCs w:val="36"/>
          <w:rtl/>
        </w:rPr>
        <w:t>على</w:t>
      </w:r>
      <w:r w:rsidR="00E8128F">
        <w:rPr>
          <w:sz w:val="36"/>
          <w:szCs w:val="36"/>
          <w:rtl/>
        </w:rPr>
        <w:t xml:space="preserve"> </w:t>
      </w:r>
      <w:r w:rsidR="00827C3F" w:rsidRPr="00FD211F">
        <w:rPr>
          <w:sz w:val="36"/>
          <w:szCs w:val="36"/>
          <w:rtl/>
        </w:rPr>
        <w:t>جميع</w:t>
      </w:r>
      <w:r w:rsidR="00E8128F">
        <w:rPr>
          <w:sz w:val="36"/>
          <w:szCs w:val="36"/>
          <w:rtl/>
        </w:rPr>
        <w:t xml:space="preserve"> </w:t>
      </w:r>
      <w:r w:rsidR="00827C3F" w:rsidRPr="00FD211F">
        <w:rPr>
          <w:sz w:val="36"/>
          <w:szCs w:val="36"/>
          <w:rtl/>
        </w:rPr>
        <w:t>مراتب</w:t>
      </w:r>
      <w:r w:rsidR="00E8128F">
        <w:rPr>
          <w:sz w:val="36"/>
          <w:szCs w:val="36"/>
          <w:rtl/>
        </w:rPr>
        <w:t xml:space="preserve"> </w:t>
      </w:r>
      <w:r w:rsidR="00827C3F" w:rsidRPr="00FD211F">
        <w:rPr>
          <w:sz w:val="36"/>
          <w:szCs w:val="36"/>
          <w:rtl/>
        </w:rPr>
        <w:t>الذات</w:t>
      </w:r>
      <w:r w:rsidR="00E8128F">
        <w:rPr>
          <w:sz w:val="36"/>
          <w:szCs w:val="36"/>
          <w:rtl/>
        </w:rPr>
        <w:t xml:space="preserve"> </w:t>
      </w:r>
      <w:r w:rsidR="00827C3F" w:rsidRPr="00FD211F">
        <w:rPr>
          <w:sz w:val="36"/>
          <w:szCs w:val="36"/>
          <w:rtl/>
        </w:rPr>
        <w:t>بجنسها</w:t>
      </w:r>
      <w:r w:rsidR="00E8128F">
        <w:rPr>
          <w:sz w:val="36"/>
          <w:szCs w:val="36"/>
          <w:rtl/>
        </w:rPr>
        <w:t xml:space="preserve"> </w:t>
      </w:r>
      <w:r w:rsidR="00827C3F" w:rsidRPr="00FD211F">
        <w:rPr>
          <w:sz w:val="36"/>
          <w:szCs w:val="36"/>
          <w:rtl/>
        </w:rPr>
        <w:t>وفصلها</w:t>
      </w:r>
      <w:r w:rsidR="00E8128F">
        <w:rPr>
          <w:sz w:val="36"/>
          <w:szCs w:val="36"/>
          <w:rtl/>
        </w:rPr>
        <w:t xml:space="preserve"> </w:t>
      </w:r>
      <w:r w:rsidR="00827C3F" w:rsidRPr="00FD211F">
        <w:rPr>
          <w:sz w:val="36"/>
          <w:szCs w:val="36"/>
          <w:rtl/>
        </w:rPr>
        <w:t>فلاتكون</w:t>
      </w:r>
      <w:r w:rsidR="00E8128F">
        <w:rPr>
          <w:sz w:val="36"/>
          <w:szCs w:val="36"/>
          <w:rtl/>
        </w:rPr>
        <w:t xml:space="preserve"> </w:t>
      </w:r>
      <w:r w:rsidR="00827C3F" w:rsidRPr="00FD211F">
        <w:rPr>
          <w:sz w:val="36"/>
          <w:szCs w:val="36"/>
          <w:rtl/>
        </w:rPr>
        <w:t>حيثي</w:t>
      </w:r>
      <w:r w:rsidR="00EC7EDF" w:rsidRPr="00FD211F">
        <w:rPr>
          <w:sz w:val="36"/>
          <w:szCs w:val="36"/>
          <w:rtl/>
        </w:rPr>
        <w:t>ة</w:t>
      </w:r>
      <w:r w:rsidR="00E8128F">
        <w:rPr>
          <w:sz w:val="36"/>
          <w:szCs w:val="36"/>
          <w:rtl/>
        </w:rPr>
        <w:t xml:space="preserve"> </w:t>
      </w:r>
      <w:r w:rsidR="00827C3F" w:rsidRPr="00FD211F">
        <w:rPr>
          <w:sz w:val="36"/>
          <w:szCs w:val="36"/>
          <w:rtl/>
        </w:rPr>
        <w:t>الشيئي</w:t>
      </w:r>
      <w:r w:rsidR="00EC7EDF" w:rsidRPr="00FD211F">
        <w:rPr>
          <w:sz w:val="36"/>
          <w:szCs w:val="36"/>
          <w:rtl/>
        </w:rPr>
        <w:t>ة</w:t>
      </w:r>
      <w:r w:rsidR="00E8128F">
        <w:rPr>
          <w:sz w:val="36"/>
          <w:szCs w:val="36"/>
          <w:rtl/>
        </w:rPr>
        <w:t xml:space="preserve"> </w:t>
      </w:r>
      <w:r w:rsidR="00827C3F" w:rsidRPr="00FD211F">
        <w:rPr>
          <w:sz w:val="36"/>
          <w:szCs w:val="36"/>
          <w:rtl/>
        </w:rPr>
        <w:t>هي</w:t>
      </w:r>
      <w:r w:rsidR="00E8128F">
        <w:rPr>
          <w:sz w:val="36"/>
          <w:szCs w:val="36"/>
          <w:rtl/>
        </w:rPr>
        <w:t xml:space="preserve"> </w:t>
      </w:r>
      <w:r w:rsidR="00827C3F" w:rsidRPr="00FD211F">
        <w:rPr>
          <w:sz w:val="36"/>
          <w:szCs w:val="36"/>
          <w:rtl/>
        </w:rPr>
        <w:t>الحيثي</w:t>
      </w:r>
      <w:r w:rsidR="00EC7EDF" w:rsidRPr="00FD211F">
        <w:rPr>
          <w:sz w:val="36"/>
          <w:szCs w:val="36"/>
          <w:rtl/>
        </w:rPr>
        <w:t>ة</w:t>
      </w:r>
      <w:r w:rsidR="00E8128F">
        <w:rPr>
          <w:sz w:val="36"/>
          <w:szCs w:val="36"/>
          <w:rtl/>
        </w:rPr>
        <w:t xml:space="preserve"> </w:t>
      </w:r>
      <w:r w:rsidR="00827C3F" w:rsidRPr="00FD211F">
        <w:rPr>
          <w:sz w:val="36"/>
          <w:szCs w:val="36"/>
          <w:rtl/>
        </w:rPr>
        <w:t>المشترك</w:t>
      </w:r>
      <w:r w:rsidR="00EC7EDF" w:rsidRPr="00FD211F">
        <w:rPr>
          <w:sz w:val="36"/>
          <w:szCs w:val="36"/>
          <w:rtl/>
        </w:rPr>
        <w:t>ة</w:t>
      </w:r>
      <w:r w:rsidR="00E8128F">
        <w:rPr>
          <w:sz w:val="36"/>
          <w:szCs w:val="36"/>
          <w:rtl/>
        </w:rPr>
        <w:t xml:space="preserve"> </w:t>
      </w:r>
      <w:r w:rsidR="00827C3F" w:rsidRPr="00FD211F">
        <w:rPr>
          <w:sz w:val="36"/>
          <w:szCs w:val="36"/>
          <w:rtl/>
        </w:rPr>
        <w:t>في</w:t>
      </w:r>
      <w:r w:rsidR="00E8128F">
        <w:rPr>
          <w:sz w:val="36"/>
          <w:szCs w:val="36"/>
          <w:rtl/>
        </w:rPr>
        <w:t xml:space="preserve"> </w:t>
      </w:r>
      <w:r w:rsidR="00827C3F" w:rsidRPr="00FD211F">
        <w:rPr>
          <w:sz w:val="36"/>
          <w:szCs w:val="36"/>
          <w:rtl/>
        </w:rPr>
        <w:t>جميع</w:t>
      </w:r>
      <w:r w:rsidR="00E8128F">
        <w:rPr>
          <w:sz w:val="36"/>
          <w:szCs w:val="36"/>
          <w:rtl/>
        </w:rPr>
        <w:t xml:space="preserve"> </w:t>
      </w:r>
      <w:r w:rsidR="00827C3F" w:rsidRPr="00FD211F">
        <w:rPr>
          <w:sz w:val="36"/>
          <w:szCs w:val="36"/>
          <w:rtl/>
        </w:rPr>
        <w:t>المقولات</w:t>
      </w:r>
      <w:r w:rsidR="00E8128F">
        <w:rPr>
          <w:sz w:val="36"/>
          <w:szCs w:val="36"/>
          <w:rtl/>
        </w:rPr>
        <w:t xml:space="preserve"> </w:t>
      </w:r>
      <w:r w:rsidR="00827C3F" w:rsidRPr="00FD211F">
        <w:rPr>
          <w:sz w:val="36"/>
          <w:szCs w:val="36"/>
          <w:rtl/>
        </w:rPr>
        <w:t>زائدا</w:t>
      </w:r>
      <w:r w:rsidR="00E8128F">
        <w:rPr>
          <w:sz w:val="36"/>
          <w:szCs w:val="36"/>
          <w:rtl/>
        </w:rPr>
        <w:t xml:space="preserve"> </w:t>
      </w:r>
      <w:r w:rsidR="00827C3F" w:rsidRPr="00FD211F">
        <w:rPr>
          <w:sz w:val="36"/>
          <w:szCs w:val="36"/>
          <w:rtl/>
        </w:rPr>
        <w:t>على</w:t>
      </w:r>
      <w:r w:rsidR="00E8128F">
        <w:rPr>
          <w:sz w:val="36"/>
          <w:szCs w:val="36"/>
          <w:rtl/>
        </w:rPr>
        <w:t xml:space="preserve"> </w:t>
      </w:r>
      <w:r w:rsidR="00827C3F" w:rsidRPr="00FD211F">
        <w:rPr>
          <w:sz w:val="36"/>
          <w:szCs w:val="36"/>
          <w:rtl/>
        </w:rPr>
        <w:t>فصولها</w:t>
      </w:r>
      <w:r w:rsidRPr="00FD211F">
        <w:rPr>
          <w:sz w:val="36"/>
          <w:szCs w:val="36"/>
          <w:rtl/>
        </w:rPr>
        <w:t>.</w:t>
      </w:r>
    </w:p>
    <w:p w14:paraId="204F8317" w14:textId="77777777" w:rsidR="00D31B40" w:rsidRPr="00FD211F" w:rsidRDefault="005D042A" w:rsidP="00A12FCF">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ويمكن</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شاهد</w:t>
      </w:r>
      <w:r w:rsidR="00E8128F">
        <w:rPr>
          <w:sz w:val="36"/>
          <w:szCs w:val="36"/>
          <w:rtl/>
        </w:rPr>
        <w:t xml:space="preserve"> </w:t>
      </w:r>
      <w:r w:rsidRPr="00FD211F">
        <w:rPr>
          <w:sz w:val="36"/>
          <w:szCs w:val="36"/>
          <w:rtl/>
        </w:rPr>
        <w:t>آخر</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المحاضرات-</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جنسا</w:t>
      </w:r>
      <w:r w:rsidR="00E8128F">
        <w:rPr>
          <w:sz w:val="36"/>
          <w:szCs w:val="36"/>
          <w:rtl/>
        </w:rPr>
        <w:t xml:space="preserve"> </w:t>
      </w:r>
      <w:r w:rsidRPr="00FD211F">
        <w:rPr>
          <w:sz w:val="36"/>
          <w:szCs w:val="36"/>
          <w:rtl/>
        </w:rPr>
        <w:t>اعلى</w:t>
      </w:r>
      <w:r w:rsidR="00E8128F">
        <w:rPr>
          <w:sz w:val="36"/>
          <w:szCs w:val="36"/>
          <w:rtl/>
        </w:rPr>
        <w:t xml:space="preserve"> </w:t>
      </w:r>
      <w:r w:rsidRPr="00FD211F">
        <w:rPr>
          <w:sz w:val="36"/>
          <w:szCs w:val="36"/>
          <w:rtl/>
        </w:rPr>
        <w:t>للماهيات</w:t>
      </w:r>
      <w:r w:rsidR="00E8128F">
        <w:rPr>
          <w:sz w:val="36"/>
          <w:szCs w:val="36"/>
          <w:rtl/>
        </w:rPr>
        <w:t xml:space="preserve"> </w:t>
      </w:r>
      <w:r w:rsidRPr="00FD211F">
        <w:rPr>
          <w:sz w:val="36"/>
          <w:szCs w:val="36"/>
          <w:rtl/>
        </w:rPr>
        <w:t>هو</w:t>
      </w:r>
      <w:r w:rsidR="00E8128F">
        <w:rPr>
          <w:sz w:val="36"/>
          <w:szCs w:val="36"/>
          <w:rtl/>
        </w:rPr>
        <w:t xml:space="preserve"> </w:t>
      </w:r>
      <w:r w:rsidR="00EF4BEF" w:rsidRPr="00FD211F">
        <w:rPr>
          <w:sz w:val="36"/>
          <w:szCs w:val="36"/>
          <w:rtl/>
        </w:rPr>
        <w:t>ان</w:t>
      </w:r>
      <w:r w:rsidR="00E8128F">
        <w:rPr>
          <w:sz w:val="36"/>
          <w:szCs w:val="36"/>
          <w:rtl/>
        </w:rPr>
        <w:t xml:space="preserve"> </w:t>
      </w:r>
      <w:r w:rsidR="00EF4BEF" w:rsidRPr="00FD211F">
        <w:rPr>
          <w:sz w:val="36"/>
          <w:szCs w:val="36"/>
          <w:rtl/>
        </w:rPr>
        <w:t>ال</w:t>
      </w:r>
      <w:r w:rsidR="008D7B3D" w:rsidRPr="00FD211F">
        <w:rPr>
          <w:sz w:val="36"/>
          <w:szCs w:val="36"/>
          <w:rtl/>
        </w:rPr>
        <w:t>شيء</w:t>
      </w:r>
      <w:r w:rsidR="00E8128F">
        <w:rPr>
          <w:sz w:val="36"/>
          <w:szCs w:val="36"/>
          <w:rtl/>
        </w:rPr>
        <w:t xml:space="preserve"> </w:t>
      </w:r>
      <w:r w:rsidR="00EF4BEF" w:rsidRPr="00FD211F">
        <w:rPr>
          <w:sz w:val="36"/>
          <w:szCs w:val="36"/>
          <w:rtl/>
        </w:rPr>
        <w:t>لايختص</w:t>
      </w:r>
      <w:r w:rsidR="00E8128F">
        <w:rPr>
          <w:sz w:val="36"/>
          <w:szCs w:val="36"/>
          <w:rtl/>
        </w:rPr>
        <w:t xml:space="preserve"> </w:t>
      </w:r>
      <w:r w:rsidR="00EF4BEF" w:rsidRPr="00FD211F">
        <w:rPr>
          <w:sz w:val="36"/>
          <w:szCs w:val="36"/>
          <w:rtl/>
        </w:rPr>
        <w:t>بالماهيات</w:t>
      </w:r>
      <w:r w:rsidR="00603323" w:rsidRPr="00FD211F">
        <w:rPr>
          <w:sz w:val="36"/>
          <w:szCs w:val="36"/>
          <w:rtl/>
        </w:rPr>
        <w:t>،</w:t>
      </w:r>
      <w:r w:rsidR="00E8128F">
        <w:rPr>
          <w:sz w:val="36"/>
          <w:szCs w:val="36"/>
          <w:rtl/>
        </w:rPr>
        <w:t xml:space="preserve"> </w:t>
      </w:r>
      <w:r w:rsidR="00827C3F" w:rsidRPr="00FD211F">
        <w:rPr>
          <w:sz w:val="36"/>
          <w:szCs w:val="36"/>
          <w:rtl/>
        </w:rPr>
        <w:t>فقد</w:t>
      </w:r>
      <w:r w:rsidR="00E8128F">
        <w:rPr>
          <w:sz w:val="36"/>
          <w:szCs w:val="36"/>
          <w:rtl/>
        </w:rPr>
        <w:t xml:space="preserve"> </w:t>
      </w:r>
      <w:r w:rsidR="00827C3F" w:rsidRPr="00FD211F">
        <w:rPr>
          <w:sz w:val="36"/>
          <w:szCs w:val="36"/>
          <w:rtl/>
        </w:rPr>
        <w:t>يقال</w:t>
      </w:r>
      <w:r w:rsidR="00E8128F">
        <w:rPr>
          <w:sz w:val="36"/>
          <w:szCs w:val="36"/>
          <w:rtl/>
        </w:rPr>
        <w:t xml:space="preserve"> </w:t>
      </w:r>
      <w:r w:rsidR="00A85749" w:rsidRPr="00FD211F">
        <w:rPr>
          <w:sz w:val="36"/>
          <w:szCs w:val="36"/>
          <w:rtl/>
        </w:rPr>
        <w:t>"</w:t>
      </w:r>
      <w:r w:rsidR="00827C3F" w:rsidRPr="00FD211F">
        <w:rPr>
          <w:sz w:val="36"/>
          <w:szCs w:val="36"/>
          <w:rtl/>
        </w:rPr>
        <w:t>التناقض</w:t>
      </w:r>
      <w:r w:rsidR="00E8128F">
        <w:rPr>
          <w:sz w:val="36"/>
          <w:szCs w:val="36"/>
          <w:rtl/>
        </w:rPr>
        <w:t xml:space="preserve"> </w:t>
      </w:r>
      <w:r w:rsidR="008D7B3D" w:rsidRPr="00FD211F">
        <w:rPr>
          <w:sz w:val="36"/>
          <w:szCs w:val="36"/>
          <w:rtl/>
        </w:rPr>
        <w:t>شيء</w:t>
      </w:r>
      <w:r w:rsidR="00E8128F">
        <w:rPr>
          <w:sz w:val="36"/>
          <w:szCs w:val="36"/>
          <w:rtl/>
        </w:rPr>
        <w:t xml:space="preserve"> </w:t>
      </w:r>
      <w:r w:rsidR="00827C3F" w:rsidRPr="00FD211F">
        <w:rPr>
          <w:sz w:val="36"/>
          <w:szCs w:val="36"/>
          <w:rtl/>
        </w:rPr>
        <w:t>مستحيل</w:t>
      </w:r>
      <w:r w:rsidR="00A85749" w:rsidRPr="00FD211F">
        <w:rPr>
          <w:sz w:val="36"/>
          <w:szCs w:val="36"/>
          <w:rtl/>
        </w:rPr>
        <w:t>"</w:t>
      </w:r>
      <w:r w:rsidR="00E8128F">
        <w:rPr>
          <w:sz w:val="36"/>
          <w:szCs w:val="36"/>
          <w:rtl/>
        </w:rPr>
        <w:t xml:space="preserve"> </w:t>
      </w:r>
      <w:r w:rsidR="00EF4BEF" w:rsidRPr="00FD211F">
        <w:rPr>
          <w:sz w:val="36"/>
          <w:szCs w:val="36"/>
          <w:rtl/>
        </w:rPr>
        <w:t>او</w:t>
      </w:r>
      <w:r w:rsidR="00E8128F">
        <w:rPr>
          <w:sz w:val="36"/>
          <w:szCs w:val="36"/>
          <w:rtl/>
        </w:rPr>
        <w:t xml:space="preserve"> </w:t>
      </w:r>
      <w:r w:rsidR="00EF4BEF" w:rsidRPr="00FD211F">
        <w:rPr>
          <w:sz w:val="36"/>
          <w:szCs w:val="36"/>
          <w:rtl/>
        </w:rPr>
        <w:t>يقال</w:t>
      </w:r>
      <w:r w:rsidR="00E8128F">
        <w:rPr>
          <w:sz w:val="36"/>
          <w:szCs w:val="36"/>
          <w:rtl/>
        </w:rPr>
        <w:t xml:space="preserve"> </w:t>
      </w:r>
      <w:r w:rsidR="00A85749" w:rsidRPr="00FD211F">
        <w:rPr>
          <w:sz w:val="36"/>
          <w:szCs w:val="36"/>
          <w:rtl/>
        </w:rPr>
        <w:t>"</w:t>
      </w:r>
      <w:r w:rsidR="00EF4BEF" w:rsidRPr="00FD211F">
        <w:rPr>
          <w:sz w:val="36"/>
          <w:szCs w:val="36"/>
          <w:rtl/>
        </w:rPr>
        <w:t>عدم</w:t>
      </w:r>
      <w:r w:rsidR="00E8128F">
        <w:rPr>
          <w:sz w:val="36"/>
          <w:szCs w:val="36"/>
          <w:rtl/>
        </w:rPr>
        <w:t xml:space="preserve"> </w:t>
      </w:r>
      <w:r w:rsidR="00EF4BEF" w:rsidRPr="00FD211F">
        <w:rPr>
          <w:sz w:val="36"/>
          <w:szCs w:val="36"/>
          <w:rtl/>
        </w:rPr>
        <w:t>مجيئ</w:t>
      </w:r>
      <w:r w:rsidR="00E8128F">
        <w:rPr>
          <w:sz w:val="36"/>
          <w:szCs w:val="36"/>
          <w:rtl/>
        </w:rPr>
        <w:t xml:space="preserve"> </w:t>
      </w:r>
      <w:r w:rsidR="00EF4BEF" w:rsidRPr="00FD211F">
        <w:rPr>
          <w:sz w:val="36"/>
          <w:szCs w:val="36"/>
          <w:rtl/>
        </w:rPr>
        <w:t>زيد</w:t>
      </w:r>
      <w:r w:rsidR="00E8128F">
        <w:rPr>
          <w:sz w:val="36"/>
          <w:szCs w:val="36"/>
          <w:rtl/>
        </w:rPr>
        <w:t xml:space="preserve"> </w:t>
      </w:r>
      <w:r w:rsidR="008D7B3D" w:rsidRPr="00FD211F">
        <w:rPr>
          <w:sz w:val="36"/>
          <w:szCs w:val="36"/>
          <w:rtl/>
        </w:rPr>
        <w:t>شيء</w:t>
      </w:r>
      <w:r w:rsidR="00E8128F">
        <w:rPr>
          <w:sz w:val="36"/>
          <w:szCs w:val="36"/>
          <w:rtl/>
        </w:rPr>
        <w:t xml:space="preserve"> </w:t>
      </w:r>
      <w:r w:rsidR="00EF4BEF" w:rsidRPr="00FD211F">
        <w:rPr>
          <w:sz w:val="36"/>
          <w:szCs w:val="36"/>
          <w:rtl/>
        </w:rPr>
        <w:t>عجيب</w:t>
      </w:r>
      <w:r w:rsidR="00A85749" w:rsidRPr="00FD211F">
        <w:rPr>
          <w:sz w:val="36"/>
          <w:szCs w:val="36"/>
          <w:rtl/>
        </w:rPr>
        <w:t>"</w:t>
      </w:r>
      <w:r w:rsidR="00EF4BEF" w:rsidRPr="00FD211F">
        <w:rPr>
          <w:sz w:val="36"/>
          <w:szCs w:val="36"/>
          <w:rtl/>
        </w:rPr>
        <w:t>.</w:t>
      </w:r>
    </w:p>
    <w:p w14:paraId="2564BC02" w14:textId="77777777" w:rsidR="00EE25F7" w:rsidRPr="00FD211F" w:rsidRDefault="00FF7425" w:rsidP="005946E3">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ولايخفى</w:t>
      </w:r>
      <w:r w:rsidR="00E8128F">
        <w:rPr>
          <w:sz w:val="36"/>
          <w:szCs w:val="36"/>
          <w:rtl/>
        </w:rPr>
        <w:t xml:space="preserve"> </w:t>
      </w:r>
      <w:r w:rsidRPr="00FD211F">
        <w:rPr>
          <w:sz w:val="36"/>
          <w:szCs w:val="36"/>
          <w:rtl/>
        </w:rPr>
        <w:t>انه</w:t>
      </w:r>
      <w:r w:rsidR="00E8128F">
        <w:rPr>
          <w:sz w:val="36"/>
          <w:szCs w:val="36"/>
          <w:rtl/>
        </w:rPr>
        <w:t xml:space="preserve"> </w:t>
      </w:r>
      <w:r w:rsidR="00827C3F" w:rsidRPr="00FD211F">
        <w:rPr>
          <w:sz w:val="36"/>
          <w:szCs w:val="36"/>
          <w:rtl/>
        </w:rPr>
        <w:t>لو</w:t>
      </w:r>
      <w:r w:rsidR="00E8128F">
        <w:rPr>
          <w:sz w:val="36"/>
          <w:szCs w:val="36"/>
          <w:rtl/>
        </w:rPr>
        <w:t xml:space="preserve"> </w:t>
      </w:r>
      <w:r w:rsidR="00827C3F" w:rsidRPr="00FD211F">
        <w:rPr>
          <w:sz w:val="36"/>
          <w:szCs w:val="36"/>
          <w:rtl/>
        </w:rPr>
        <w:t>كان</w:t>
      </w:r>
      <w:r w:rsidR="00E8128F">
        <w:rPr>
          <w:sz w:val="36"/>
          <w:szCs w:val="36"/>
          <w:rtl/>
        </w:rPr>
        <w:t xml:space="preserve"> </w:t>
      </w:r>
      <w:r w:rsidR="00827C3F" w:rsidRPr="00FD211F">
        <w:rPr>
          <w:sz w:val="36"/>
          <w:szCs w:val="36"/>
          <w:rtl/>
        </w:rPr>
        <w:t>ال</w:t>
      </w:r>
      <w:r w:rsidR="008D7B3D" w:rsidRPr="00FD211F">
        <w:rPr>
          <w:sz w:val="36"/>
          <w:szCs w:val="36"/>
          <w:rtl/>
        </w:rPr>
        <w:t>شيء</w:t>
      </w:r>
      <w:r w:rsidR="00E8128F">
        <w:rPr>
          <w:sz w:val="36"/>
          <w:szCs w:val="36"/>
          <w:rtl/>
        </w:rPr>
        <w:t xml:space="preserve"> </w:t>
      </w:r>
      <w:r w:rsidR="00827C3F" w:rsidRPr="00FD211F">
        <w:rPr>
          <w:sz w:val="36"/>
          <w:szCs w:val="36"/>
          <w:rtl/>
        </w:rPr>
        <w:t>جنس</w:t>
      </w:r>
      <w:r w:rsidR="00E8128F">
        <w:rPr>
          <w:sz w:val="36"/>
          <w:szCs w:val="36"/>
          <w:rtl/>
        </w:rPr>
        <w:t xml:space="preserve"> </w:t>
      </w:r>
      <w:r w:rsidR="00827C3F" w:rsidRPr="00FD211F">
        <w:rPr>
          <w:sz w:val="36"/>
          <w:szCs w:val="36"/>
          <w:rtl/>
        </w:rPr>
        <w:t>الاجناس</w:t>
      </w:r>
      <w:r w:rsidR="00E8128F">
        <w:rPr>
          <w:sz w:val="36"/>
          <w:szCs w:val="36"/>
          <w:rtl/>
        </w:rPr>
        <w:t xml:space="preserve"> </w:t>
      </w:r>
      <w:r w:rsidR="00827C3F" w:rsidRPr="00FD211F">
        <w:rPr>
          <w:sz w:val="36"/>
          <w:szCs w:val="36"/>
          <w:rtl/>
        </w:rPr>
        <w:t>توجه</w:t>
      </w:r>
      <w:r w:rsidR="00E8128F">
        <w:rPr>
          <w:sz w:val="36"/>
          <w:szCs w:val="36"/>
          <w:rtl/>
        </w:rPr>
        <w:t xml:space="preserve"> </w:t>
      </w:r>
      <w:r w:rsidR="00827C3F" w:rsidRPr="00FD211F">
        <w:rPr>
          <w:sz w:val="36"/>
          <w:szCs w:val="36"/>
          <w:rtl/>
        </w:rPr>
        <w:t>الاشكال</w:t>
      </w:r>
      <w:r w:rsidR="00E8128F">
        <w:rPr>
          <w:sz w:val="36"/>
          <w:szCs w:val="36"/>
          <w:rtl/>
        </w:rPr>
        <w:t xml:space="preserve"> </w:t>
      </w:r>
      <w:r w:rsidR="00827C3F" w:rsidRPr="00FD211F">
        <w:rPr>
          <w:sz w:val="36"/>
          <w:szCs w:val="36"/>
          <w:rtl/>
        </w:rPr>
        <w:t>حتى</w:t>
      </w:r>
      <w:r w:rsidR="00E8128F">
        <w:rPr>
          <w:sz w:val="36"/>
          <w:szCs w:val="36"/>
          <w:rtl/>
        </w:rPr>
        <w:t xml:space="preserve"> </w:t>
      </w:r>
      <w:r w:rsidR="00827C3F" w:rsidRPr="00FD211F">
        <w:rPr>
          <w:sz w:val="36"/>
          <w:szCs w:val="36"/>
          <w:rtl/>
        </w:rPr>
        <w:t>بناء</w:t>
      </w:r>
      <w:r w:rsidR="00E8128F">
        <w:rPr>
          <w:sz w:val="36"/>
          <w:szCs w:val="36"/>
          <w:rtl/>
        </w:rPr>
        <w:t xml:space="preserve"> </w:t>
      </w:r>
      <w:r w:rsidR="00827C3F" w:rsidRPr="00FD211F">
        <w:rPr>
          <w:sz w:val="36"/>
          <w:szCs w:val="36"/>
          <w:rtl/>
        </w:rPr>
        <w:t>على</w:t>
      </w:r>
      <w:r w:rsidR="00E8128F">
        <w:rPr>
          <w:sz w:val="36"/>
          <w:szCs w:val="36"/>
          <w:rtl/>
        </w:rPr>
        <w:t xml:space="preserve"> </w:t>
      </w:r>
      <w:r w:rsidR="00EF4BEF" w:rsidRPr="00FD211F">
        <w:rPr>
          <w:sz w:val="36"/>
          <w:szCs w:val="36"/>
          <w:rtl/>
        </w:rPr>
        <w:t>مسلك</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النائيني</w:t>
      </w:r>
      <w:r w:rsidR="00E8128F">
        <w:rPr>
          <w:sz w:val="36"/>
          <w:szCs w:val="36"/>
          <w:rtl/>
        </w:rPr>
        <w:t xml:space="preserve"> </w:t>
      </w:r>
      <w:r w:rsidR="005946E3" w:rsidRPr="00FD211F">
        <w:rPr>
          <w:sz w:val="36"/>
          <w:szCs w:val="36"/>
          <w:rtl/>
        </w:rPr>
        <w:t>"قده"</w:t>
      </w:r>
      <w:r w:rsidR="00E8128F">
        <w:rPr>
          <w:sz w:val="36"/>
          <w:szCs w:val="36"/>
          <w:rtl/>
        </w:rPr>
        <w:t xml:space="preserve"> </w:t>
      </w:r>
      <w:r w:rsidR="00EF4BEF" w:rsidRPr="00FD211F">
        <w:rPr>
          <w:sz w:val="36"/>
          <w:szCs w:val="36"/>
          <w:rtl/>
        </w:rPr>
        <w:t>من</w:t>
      </w:r>
      <w:r w:rsidR="00E8128F">
        <w:rPr>
          <w:sz w:val="36"/>
          <w:szCs w:val="36"/>
          <w:rtl/>
        </w:rPr>
        <w:t xml:space="preserve"> </w:t>
      </w:r>
      <w:r w:rsidR="00827C3F" w:rsidRPr="00FD211F">
        <w:rPr>
          <w:sz w:val="36"/>
          <w:szCs w:val="36"/>
          <w:rtl/>
        </w:rPr>
        <w:t>دلال</w:t>
      </w:r>
      <w:r w:rsidR="00EC7EDF" w:rsidRPr="00FD211F">
        <w:rPr>
          <w:sz w:val="36"/>
          <w:szCs w:val="36"/>
          <w:rtl/>
        </w:rPr>
        <w:t>ة</w:t>
      </w:r>
      <w:r w:rsidR="00E8128F">
        <w:rPr>
          <w:sz w:val="36"/>
          <w:szCs w:val="36"/>
          <w:rtl/>
        </w:rPr>
        <w:t xml:space="preserve"> </w:t>
      </w:r>
      <w:r w:rsidR="00827C3F" w:rsidRPr="00FD211F">
        <w:rPr>
          <w:sz w:val="36"/>
          <w:szCs w:val="36"/>
          <w:rtl/>
        </w:rPr>
        <w:t>المشتق</w:t>
      </w:r>
      <w:r w:rsidR="00E8128F">
        <w:rPr>
          <w:sz w:val="36"/>
          <w:szCs w:val="36"/>
          <w:rtl/>
        </w:rPr>
        <w:t xml:space="preserve"> </w:t>
      </w:r>
      <w:r w:rsidR="00827C3F" w:rsidRPr="00FD211F">
        <w:rPr>
          <w:sz w:val="36"/>
          <w:szCs w:val="36"/>
          <w:rtl/>
        </w:rPr>
        <w:t>على</w:t>
      </w:r>
      <w:r w:rsidR="00E8128F">
        <w:rPr>
          <w:sz w:val="36"/>
          <w:szCs w:val="36"/>
          <w:rtl/>
        </w:rPr>
        <w:t xml:space="preserve"> </w:t>
      </w:r>
      <w:r w:rsidR="00827C3F" w:rsidRPr="00FD211F">
        <w:rPr>
          <w:sz w:val="36"/>
          <w:szCs w:val="36"/>
          <w:rtl/>
        </w:rPr>
        <w:t>ال</w:t>
      </w:r>
      <w:r w:rsidR="0079493B" w:rsidRPr="00FD211F">
        <w:rPr>
          <w:sz w:val="36"/>
          <w:szCs w:val="36"/>
          <w:rtl/>
        </w:rPr>
        <w:t>مبدأ</w:t>
      </w:r>
      <w:r w:rsidR="00E8128F">
        <w:rPr>
          <w:sz w:val="36"/>
          <w:szCs w:val="36"/>
          <w:rtl/>
        </w:rPr>
        <w:t xml:space="preserve"> </w:t>
      </w:r>
      <w:r w:rsidR="00827C3F" w:rsidRPr="00FD211F">
        <w:rPr>
          <w:sz w:val="36"/>
          <w:szCs w:val="36"/>
          <w:rtl/>
        </w:rPr>
        <w:t>فقط</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الناطق</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حينئذ</w:t>
      </w:r>
      <w:r w:rsidR="00E8128F">
        <w:rPr>
          <w:sz w:val="36"/>
          <w:szCs w:val="36"/>
          <w:rtl/>
        </w:rPr>
        <w:t xml:space="preserve"> </w:t>
      </w:r>
      <w:r w:rsidRPr="00FD211F">
        <w:rPr>
          <w:sz w:val="36"/>
          <w:szCs w:val="36"/>
          <w:rtl/>
        </w:rPr>
        <w:t>بمعنى</w:t>
      </w:r>
      <w:r w:rsidR="00E8128F">
        <w:rPr>
          <w:sz w:val="36"/>
          <w:szCs w:val="36"/>
          <w:rtl/>
        </w:rPr>
        <w:t xml:space="preserve"> </w:t>
      </w:r>
      <w:r w:rsidRPr="00FD211F">
        <w:rPr>
          <w:sz w:val="36"/>
          <w:szCs w:val="36"/>
          <w:rtl/>
        </w:rPr>
        <w:t>النطق</w:t>
      </w:r>
      <w:r w:rsidR="00E8128F">
        <w:rPr>
          <w:sz w:val="36"/>
          <w:szCs w:val="36"/>
          <w:rtl/>
        </w:rPr>
        <w:t xml:space="preserve"> </w:t>
      </w:r>
      <w:r w:rsidRPr="00FD211F">
        <w:rPr>
          <w:sz w:val="36"/>
          <w:szCs w:val="36"/>
          <w:rtl/>
        </w:rPr>
        <w:t>و</w:t>
      </w:r>
      <w:r w:rsidR="00827C3F" w:rsidRPr="00FD211F">
        <w:rPr>
          <w:sz w:val="36"/>
          <w:szCs w:val="36"/>
          <w:rtl/>
        </w:rPr>
        <w:t>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النطق</w:t>
      </w:r>
      <w:r w:rsidR="00E8128F">
        <w:rPr>
          <w:sz w:val="36"/>
          <w:szCs w:val="36"/>
          <w:rtl/>
        </w:rPr>
        <w:t xml:space="preserve"> </w:t>
      </w:r>
      <w:r w:rsidR="008D7B3D" w:rsidRPr="00FD211F">
        <w:rPr>
          <w:sz w:val="36"/>
          <w:szCs w:val="36"/>
          <w:rtl/>
        </w:rPr>
        <w:t>شيء</w:t>
      </w:r>
      <w:r w:rsidR="00E8128F">
        <w:rPr>
          <w:sz w:val="36"/>
          <w:szCs w:val="36"/>
          <w:rtl/>
        </w:rPr>
        <w:t xml:space="preserve"> </w:t>
      </w:r>
      <w:r w:rsidRPr="00FD211F">
        <w:rPr>
          <w:sz w:val="36"/>
          <w:szCs w:val="36"/>
          <w:rtl/>
        </w:rPr>
        <w:t>لامحال</w:t>
      </w:r>
      <w:r w:rsidR="00EC7EDF" w:rsidRPr="00FD211F">
        <w:rPr>
          <w:sz w:val="36"/>
          <w:szCs w:val="36"/>
          <w:rtl/>
        </w:rPr>
        <w:t>ة</w:t>
      </w:r>
      <w:r w:rsidR="00E8128F">
        <w:rPr>
          <w:sz w:val="36"/>
          <w:szCs w:val="36"/>
          <w:rtl/>
        </w:rPr>
        <w:t xml:space="preserve"> </w:t>
      </w:r>
      <w:r w:rsidRPr="00FD211F">
        <w:rPr>
          <w:sz w:val="36"/>
          <w:szCs w:val="36"/>
          <w:rtl/>
        </w:rPr>
        <w:t>فيلزم</w:t>
      </w:r>
      <w:r w:rsidR="00E8128F">
        <w:rPr>
          <w:sz w:val="36"/>
          <w:szCs w:val="36"/>
          <w:rtl/>
        </w:rPr>
        <w:t xml:space="preserve"> </w:t>
      </w:r>
      <w:r w:rsidRPr="00FD211F">
        <w:rPr>
          <w:sz w:val="36"/>
          <w:szCs w:val="36"/>
          <w:rtl/>
        </w:rPr>
        <w:t>دخول</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00A7568A" w:rsidRPr="00FD211F">
        <w:rPr>
          <w:sz w:val="36"/>
          <w:szCs w:val="36"/>
          <w:rtl/>
        </w:rPr>
        <w:t>في</w:t>
      </w:r>
      <w:r w:rsidR="00E8128F">
        <w:rPr>
          <w:sz w:val="36"/>
          <w:szCs w:val="36"/>
          <w:rtl/>
        </w:rPr>
        <w:t xml:space="preserve"> </w:t>
      </w:r>
      <w:r w:rsidR="00A7568A" w:rsidRPr="00FD211F">
        <w:rPr>
          <w:sz w:val="36"/>
          <w:szCs w:val="36"/>
          <w:rtl/>
        </w:rPr>
        <w:t>ماهيته</w:t>
      </w:r>
      <w:r w:rsidR="00E8128F">
        <w:rPr>
          <w:sz w:val="36"/>
          <w:szCs w:val="36"/>
          <w:rtl/>
        </w:rPr>
        <w:t xml:space="preserve"> </w:t>
      </w:r>
      <w:r w:rsidR="00A7568A" w:rsidRPr="00FD211F">
        <w:rPr>
          <w:sz w:val="36"/>
          <w:szCs w:val="36"/>
          <w:rtl/>
        </w:rPr>
        <w:t>فيكون</w:t>
      </w:r>
      <w:r w:rsidR="00E8128F">
        <w:rPr>
          <w:sz w:val="36"/>
          <w:szCs w:val="36"/>
          <w:rtl/>
        </w:rPr>
        <w:t xml:space="preserve"> </w:t>
      </w:r>
      <w:r w:rsidR="00A7568A" w:rsidRPr="00FD211F">
        <w:rPr>
          <w:sz w:val="36"/>
          <w:szCs w:val="36"/>
          <w:rtl/>
        </w:rPr>
        <w:t>من</w:t>
      </w:r>
      <w:r w:rsidR="00E8128F">
        <w:rPr>
          <w:sz w:val="36"/>
          <w:szCs w:val="36"/>
          <w:rtl/>
        </w:rPr>
        <w:t xml:space="preserve"> </w:t>
      </w:r>
      <w:r w:rsidR="00A7568A" w:rsidRPr="00FD211F">
        <w:rPr>
          <w:sz w:val="36"/>
          <w:szCs w:val="36"/>
          <w:rtl/>
        </w:rPr>
        <w:t>دخول</w:t>
      </w:r>
      <w:r w:rsidR="00E8128F">
        <w:rPr>
          <w:sz w:val="36"/>
          <w:szCs w:val="36"/>
          <w:rtl/>
        </w:rPr>
        <w:t xml:space="preserve"> </w:t>
      </w:r>
      <w:r w:rsidR="00A7568A" w:rsidRPr="00FD211F">
        <w:rPr>
          <w:sz w:val="36"/>
          <w:szCs w:val="36"/>
          <w:rtl/>
        </w:rPr>
        <w:t>الجنس</w:t>
      </w:r>
      <w:r w:rsidR="00E8128F">
        <w:rPr>
          <w:sz w:val="36"/>
          <w:szCs w:val="36"/>
          <w:rtl/>
        </w:rPr>
        <w:t xml:space="preserve"> </w:t>
      </w:r>
      <w:r w:rsidR="00A7568A" w:rsidRPr="00FD211F">
        <w:rPr>
          <w:sz w:val="36"/>
          <w:szCs w:val="36"/>
          <w:rtl/>
        </w:rPr>
        <w:t>في</w:t>
      </w:r>
      <w:r w:rsidR="00E8128F">
        <w:rPr>
          <w:sz w:val="36"/>
          <w:szCs w:val="36"/>
          <w:rtl/>
        </w:rPr>
        <w:t xml:space="preserve"> </w:t>
      </w:r>
      <w:r w:rsidR="00A7568A" w:rsidRPr="00FD211F">
        <w:rPr>
          <w:sz w:val="36"/>
          <w:szCs w:val="36"/>
          <w:rtl/>
        </w:rPr>
        <w:t>الفصل</w:t>
      </w:r>
      <w:r w:rsidR="00EF4BEF" w:rsidRPr="00FD211F">
        <w:rPr>
          <w:sz w:val="36"/>
          <w:szCs w:val="36"/>
          <w:rtl/>
        </w:rPr>
        <w:t>.</w:t>
      </w:r>
    </w:p>
    <w:p w14:paraId="248D6A7A" w14:textId="77777777" w:rsidR="00EF4BEF" w:rsidRPr="00FD211F" w:rsidRDefault="00EF4BEF" w:rsidP="009C58C8">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كله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w:t>
      </w:r>
      <w:r w:rsidR="00F464D0" w:rsidRPr="00FD211F">
        <w:rPr>
          <w:sz w:val="36"/>
          <w:szCs w:val="36"/>
          <w:rtl/>
        </w:rPr>
        <w:t>لشق</w:t>
      </w:r>
      <w:r w:rsidR="00E8128F">
        <w:rPr>
          <w:sz w:val="36"/>
          <w:szCs w:val="36"/>
          <w:rtl/>
        </w:rPr>
        <w:t xml:space="preserve"> </w:t>
      </w:r>
      <w:r w:rsidR="00F464D0" w:rsidRPr="00FD211F">
        <w:rPr>
          <w:sz w:val="36"/>
          <w:szCs w:val="36"/>
          <w:rtl/>
        </w:rPr>
        <w:t>الاول</w:t>
      </w:r>
      <w:r w:rsidR="00E8128F">
        <w:rPr>
          <w:sz w:val="36"/>
          <w:szCs w:val="36"/>
          <w:rtl/>
        </w:rPr>
        <w:t xml:space="preserve"> </w:t>
      </w:r>
      <w:r w:rsidR="00F464D0" w:rsidRPr="00FD211F">
        <w:rPr>
          <w:sz w:val="36"/>
          <w:szCs w:val="36"/>
          <w:rtl/>
        </w:rPr>
        <w:t>من</w:t>
      </w:r>
      <w:r w:rsidR="00E8128F">
        <w:rPr>
          <w:sz w:val="36"/>
          <w:szCs w:val="36"/>
          <w:rtl/>
        </w:rPr>
        <w:t xml:space="preserve"> </w:t>
      </w:r>
      <w:r w:rsidR="00F464D0" w:rsidRPr="00FD211F">
        <w:rPr>
          <w:sz w:val="36"/>
          <w:szCs w:val="36"/>
          <w:rtl/>
        </w:rPr>
        <w:t>كلام</w:t>
      </w:r>
      <w:r w:rsidR="00E8128F">
        <w:rPr>
          <w:sz w:val="36"/>
          <w:szCs w:val="36"/>
          <w:rtl/>
        </w:rPr>
        <w:t xml:space="preserve"> </w:t>
      </w:r>
      <w:r w:rsidR="00F464D0" w:rsidRPr="00FD211F">
        <w:rPr>
          <w:sz w:val="36"/>
          <w:szCs w:val="36"/>
          <w:rtl/>
        </w:rPr>
        <w:t>المحقق</w:t>
      </w:r>
      <w:r w:rsidR="00E8128F">
        <w:rPr>
          <w:sz w:val="36"/>
          <w:szCs w:val="36"/>
          <w:rtl/>
        </w:rPr>
        <w:t xml:space="preserve"> </w:t>
      </w:r>
      <w:r w:rsidR="00F464D0" w:rsidRPr="00FD211F">
        <w:rPr>
          <w:sz w:val="36"/>
          <w:szCs w:val="36"/>
          <w:rtl/>
        </w:rPr>
        <w:t>الشريف</w:t>
      </w:r>
      <w:r w:rsidR="00603323" w:rsidRPr="00FD211F">
        <w:rPr>
          <w:sz w:val="36"/>
          <w:szCs w:val="36"/>
          <w:rtl/>
        </w:rPr>
        <w:t>،</w:t>
      </w:r>
      <w:r w:rsidR="00E8128F">
        <w:rPr>
          <w:sz w:val="36"/>
          <w:szCs w:val="36"/>
          <w:rtl/>
        </w:rPr>
        <w:t xml:space="preserve"> </w:t>
      </w:r>
      <w:r w:rsidR="00F464D0" w:rsidRPr="00FD211F">
        <w:rPr>
          <w:sz w:val="36"/>
          <w:szCs w:val="36"/>
          <w:rtl/>
        </w:rPr>
        <w:t>وقد</w:t>
      </w:r>
      <w:r w:rsidR="00E8128F">
        <w:rPr>
          <w:sz w:val="36"/>
          <w:szCs w:val="36"/>
          <w:rtl/>
        </w:rPr>
        <w:t xml:space="preserve"> </w:t>
      </w:r>
      <w:r w:rsidR="00F464D0" w:rsidRPr="00FD211F">
        <w:rPr>
          <w:sz w:val="36"/>
          <w:szCs w:val="36"/>
          <w:rtl/>
        </w:rPr>
        <w:t>تحصل</w:t>
      </w:r>
      <w:r w:rsidR="00E8128F">
        <w:rPr>
          <w:sz w:val="36"/>
          <w:szCs w:val="36"/>
          <w:rtl/>
        </w:rPr>
        <w:t xml:space="preserve"> </w:t>
      </w:r>
      <w:r w:rsidR="00F464D0" w:rsidRPr="00FD211F">
        <w:rPr>
          <w:sz w:val="36"/>
          <w:szCs w:val="36"/>
          <w:rtl/>
        </w:rPr>
        <w:t>انه</w:t>
      </w:r>
      <w:r w:rsidR="00E8128F">
        <w:rPr>
          <w:sz w:val="36"/>
          <w:szCs w:val="36"/>
          <w:rtl/>
        </w:rPr>
        <w:t xml:space="preserve"> </w:t>
      </w:r>
      <w:r w:rsidR="00F464D0" w:rsidRPr="00FD211F">
        <w:rPr>
          <w:sz w:val="36"/>
          <w:szCs w:val="36"/>
          <w:rtl/>
        </w:rPr>
        <w:t>لامانع</w:t>
      </w:r>
      <w:r w:rsidR="00E8128F">
        <w:rPr>
          <w:sz w:val="36"/>
          <w:szCs w:val="36"/>
          <w:rtl/>
        </w:rPr>
        <w:t xml:space="preserve"> </w:t>
      </w:r>
      <w:r w:rsidR="00F464D0" w:rsidRPr="00FD211F">
        <w:rPr>
          <w:sz w:val="36"/>
          <w:szCs w:val="36"/>
          <w:rtl/>
        </w:rPr>
        <w:t>من</w:t>
      </w:r>
      <w:r w:rsidR="00E8128F">
        <w:rPr>
          <w:sz w:val="36"/>
          <w:szCs w:val="36"/>
          <w:rtl/>
        </w:rPr>
        <w:t xml:space="preserve"> </w:t>
      </w:r>
      <w:r w:rsidR="00F464D0" w:rsidRPr="00FD211F">
        <w:rPr>
          <w:sz w:val="36"/>
          <w:szCs w:val="36"/>
          <w:rtl/>
        </w:rPr>
        <w:t>اخذ</w:t>
      </w:r>
      <w:r w:rsidR="00E8128F">
        <w:rPr>
          <w:sz w:val="36"/>
          <w:szCs w:val="36"/>
          <w:rtl/>
        </w:rPr>
        <w:t xml:space="preserve"> </w:t>
      </w:r>
      <w:r w:rsidR="00F464D0" w:rsidRPr="00FD211F">
        <w:rPr>
          <w:sz w:val="36"/>
          <w:szCs w:val="36"/>
          <w:rtl/>
        </w:rPr>
        <w:t>مفهوم</w:t>
      </w:r>
      <w:r w:rsidR="00E8128F">
        <w:rPr>
          <w:sz w:val="36"/>
          <w:szCs w:val="36"/>
          <w:rtl/>
        </w:rPr>
        <w:t xml:space="preserve"> </w:t>
      </w:r>
      <w:r w:rsidR="00F464D0" w:rsidRPr="00FD211F">
        <w:rPr>
          <w:sz w:val="36"/>
          <w:szCs w:val="36"/>
          <w:rtl/>
        </w:rPr>
        <w:t>ال</w:t>
      </w:r>
      <w:r w:rsidR="008D7B3D" w:rsidRPr="00FD211F">
        <w:rPr>
          <w:sz w:val="36"/>
          <w:szCs w:val="36"/>
          <w:rtl/>
        </w:rPr>
        <w:t>شيء</w:t>
      </w:r>
      <w:r w:rsidR="00E8128F">
        <w:rPr>
          <w:sz w:val="36"/>
          <w:szCs w:val="36"/>
          <w:rtl/>
        </w:rPr>
        <w:t xml:space="preserve"> </w:t>
      </w:r>
      <w:r w:rsidR="00F464D0" w:rsidRPr="00FD211F">
        <w:rPr>
          <w:sz w:val="36"/>
          <w:szCs w:val="36"/>
          <w:rtl/>
        </w:rPr>
        <w:t>في</w:t>
      </w:r>
      <w:r w:rsidR="00E8128F">
        <w:rPr>
          <w:sz w:val="36"/>
          <w:szCs w:val="36"/>
          <w:rtl/>
        </w:rPr>
        <w:t xml:space="preserve"> </w:t>
      </w:r>
      <w:r w:rsidR="00F464D0" w:rsidRPr="00FD211F">
        <w:rPr>
          <w:sz w:val="36"/>
          <w:szCs w:val="36"/>
          <w:rtl/>
        </w:rPr>
        <w:t>المشتق</w:t>
      </w:r>
      <w:r w:rsidR="00E8128F">
        <w:rPr>
          <w:sz w:val="36"/>
          <w:szCs w:val="36"/>
          <w:rtl/>
        </w:rPr>
        <w:t xml:space="preserve"> </w:t>
      </w:r>
      <w:r w:rsidR="00F464D0" w:rsidRPr="00FD211F">
        <w:rPr>
          <w:sz w:val="36"/>
          <w:szCs w:val="36"/>
          <w:rtl/>
        </w:rPr>
        <w:t>بحسب</w:t>
      </w:r>
      <w:r w:rsidR="00E8128F">
        <w:rPr>
          <w:sz w:val="36"/>
          <w:szCs w:val="36"/>
          <w:rtl/>
        </w:rPr>
        <w:t xml:space="preserve"> </w:t>
      </w:r>
      <w:r w:rsidR="00F464D0" w:rsidRPr="00FD211F">
        <w:rPr>
          <w:sz w:val="36"/>
          <w:szCs w:val="36"/>
          <w:rtl/>
        </w:rPr>
        <w:t>التحليل</w:t>
      </w:r>
      <w:r w:rsidR="00E8128F">
        <w:rPr>
          <w:sz w:val="36"/>
          <w:szCs w:val="36"/>
          <w:rtl/>
        </w:rPr>
        <w:t xml:space="preserve"> </w:t>
      </w:r>
      <w:r w:rsidR="00F464D0" w:rsidRPr="00FD211F">
        <w:rPr>
          <w:sz w:val="36"/>
          <w:szCs w:val="36"/>
          <w:rtl/>
        </w:rPr>
        <w:t>العقلي.</w:t>
      </w:r>
    </w:p>
    <w:p w14:paraId="603A8450" w14:textId="77777777" w:rsidR="00F464D0" w:rsidRPr="00FD211F" w:rsidRDefault="00EE25F7" w:rsidP="009C58C8">
      <w:pPr>
        <w:ind w:left="0" w:firstLine="227"/>
        <w:jc w:val="both"/>
        <w:rPr>
          <w:sz w:val="36"/>
          <w:szCs w:val="36"/>
          <w:rtl/>
        </w:rPr>
      </w:pPr>
      <w:r w:rsidRPr="00FD211F">
        <w:rPr>
          <w:sz w:val="36"/>
          <w:szCs w:val="36"/>
          <w:rtl/>
        </w:rPr>
        <w:t>اما</w:t>
      </w:r>
      <w:r w:rsidR="00E8128F">
        <w:rPr>
          <w:sz w:val="36"/>
          <w:szCs w:val="36"/>
          <w:rtl/>
        </w:rPr>
        <w:t xml:space="preserve"> </w:t>
      </w:r>
      <w:r w:rsidRPr="00FD211F">
        <w:rPr>
          <w:sz w:val="36"/>
          <w:szCs w:val="36"/>
          <w:rtl/>
        </w:rPr>
        <w:t>الشق</w:t>
      </w:r>
      <w:r w:rsidR="00E8128F">
        <w:rPr>
          <w:sz w:val="36"/>
          <w:szCs w:val="36"/>
          <w:rtl/>
        </w:rPr>
        <w:t xml:space="preserve"> </w:t>
      </w:r>
      <w:r w:rsidRPr="00FD211F">
        <w:rPr>
          <w:sz w:val="36"/>
          <w:szCs w:val="36"/>
          <w:rtl/>
        </w:rPr>
        <w:t>الثاني</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كلامه</w:t>
      </w:r>
      <w:r w:rsidR="00E8128F">
        <w:rPr>
          <w:sz w:val="36"/>
          <w:szCs w:val="36"/>
          <w:rtl/>
        </w:rPr>
        <w:t xml:space="preserve"> </w:t>
      </w:r>
      <w:r w:rsidRPr="00FD211F">
        <w:rPr>
          <w:sz w:val="36"/>
          <w:szCs w:val="36"/>
          <w:rtl/>
        </w:rPr>
        <w:t>وهو</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واقع</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يوجب</w:t>
      </w:r>
      <w:r w:rsidR="00E8128F">
        <w:rPr>
          <w:sz w:val="36"/>
          <w:szCs w:val="36"/>
          <w:rtl/>
        </w:rPr>
        <w:t xml:space="preserve"> </w:t>
      </w:r>
      <w:r w:rsidRPr="00FD211F">
        <w:rPr>
          <w:sz w:val="36"/>
          <w:szCs w:val="36"/>
          <w:rtl/>
        </w:rPr>
        <w:t>انقلاب</w:t>
      </w:r>
      <w:r w:rsidR="00E8128F">
        <w:rPr>
          <w:sz w:val="36"/>
          <w:szCs w:val="36"/>
          <w:rtl/>
        </w:rPr>
        <w:t xml:space="preserve"> </w:t>
      </w:r>
      <w:r w:rsidRPr="00FD211F">
        <w:rPr>
          <w:sz w:val="36"/>
          <w:szCs w:val="36"/>
          <w:rtl/>
        </w:rPr>
        <w:t>القضي</w:t>
      </w:r>
      <w:r w:rsidR="00EC7EDF" w:rsidRPr="00FD211F">
        <w:rPr>
          <w:sz w:val="36"/>
          <w:szCs w:val="36"/>
          <w:rtl/>
        </w:rPr>
        <w:t>ة</w:t>
      </w:r>
      <w:r w:rsidR="00E8128F">
        <w:rPr>
          <w:sz w:val="36"/>
          <w:szCs w:val="36"/>
          <w:rtl/>
        </w:rPr>
        <w:t xml:space="preserve"> </w:t>
      </w:r>
      <w:r w:rsidR="00F464D0" w:rsidRPr="00FD211F">
        <w:rPr>
          <w:sz w:val="36"/>
          <w:szCs w:val="36"/>
          <w:rtl/>
        </w:rPr>
        <w:t>الممكن</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00F464D0" w:rsidRPr="00FD211F">
        <w:rPr>
          <w:sz w:val="36"/>
          <w:szCs w:val="36"/>
          <w:rtl/>
        </w:rPr>
        <w:t>القضي</w:t>
      </w:r>
      <w:r w:rsidR="00EC7EDF" w:rsidRPr="00FD211F">
        <w:rPr>
          <w:sz w:val="36"/>
          <w:szCs w:val="36"/>
          <w:rtl/>
        </w:rPr>
        <w:t>ة</w:t>
      </w:r>
      <w:r w:rsidR="00E8128F">
        <w:rPr>
          <w:sz w:val="36"/>
          <w:szCs w:val="36"/>
          <w:rtl/>
        </w:rPr>
        <w:t xml:space="preserve"> </w:t>
      </w:r>
      <w:r w:rsidRPr="00FD211F">
        <w:rPr>
          <w:sz w:val="36"/>
          <w:szCs w:val="36"/>
          <w:rtl/>
        </w:rPr>
        <w:t>الضروري</w:t>
      </w:r>
      <w:r w:rsidR="00EC7EDF" w:rsidRPr="00FD211F">
        <w:rPr>
          <w:sz w:val="36"/>
          <w:szCs w:val="36"/>
          <w:rtl/>
        </w:rPr>
        <w:t>ة</w:t>
      </w:r>
      <w:r w:rsidR="00E8128F">
        <w:rPr>
          <w:sz w:val="36"/>
          <w:szCs w:val="36"/>
          <w:rtl/>
        </w:rPr>
        <w:t xml:space="preserve"> </w:t>
      </w:r>
      <w:r w:rsidR="00360F5C" w:rsidRPr="00FD211F">
        <w:rPr>
          <w:sz w:val="36"/>
          <w:szCs w:val="36"/>
          <w:rtl/>
        </w:rPr>
        <w:t>-حيث</w:t>
      </w:r>
      <w:r w:rsidR="00E8128F">
        <w:rPr>
          <w:sz w:val="36"/>
          <w:szCs w:val="36"/>
          <w:rtl/>
        </w:rPr>
        <w:t xml:space="preserve"> </w:t>
      </w:r>
      <w:r w:rsidR="00360F5C" w:rsidRPr="00FD211F">
        <w:rPr>
          <w:sz w:val="36"/>
          <w:szCs w:val="36"/>
          <w:rtl/>
        </w:rPr>
        <w:t>ان</w:t>
      </w:r>
      <w:r w:rsidR="00E8128F">
        <w:rPr>
          <w:sz w:val="36"/>
          <w:szCs w:val="36"/>
          <w:rtl/>
        </w:rPr>
        <w:t xml:space="preserve"> </w:t>
      </w:r>
      <w:r w:rsidR="00360F5C" w:rsidRPr="00FD211F">
        <w:rPr>
          <w:sz w:val="36"/>
          <w:szCs w:val="36"/>
          <w:rtl/>
        </w:rPr>
        <w:t>قولنا</w:t>
      </w:r>
      <w:r w:rsidR="00A85749" w:rsidRPr="00FD211F">
        <w:rPr>
          <w:sz w:val="36"/>
          <w:szCs w:val="36"/>
          <w:rtl/>
        </w:rPr>
        <w:t>"</w:t>
      </w:r>
      <w:r w:rsidR="00E8128F">
        <w:rPr>
          <w:sz w:val="36"/>
          <w:szCs w:val="36"/>
          <w:rtl/>
        </w:rPr>
        <w:t xml:space="preserve"> </w:t>
      </w:r>
      <w:r w:rsidR="00360F5C" w:rsidRPr="00FD211F">
        <w:rPr>
          <w:sz w:val="36"/>
          <w:szCs w:val="36"/>
          <w:rtl/>
        </w:rPr>
        <w:t>الانسان</w:t>
      </w:r>
      <w:r w:rsidR="00E8128F">
        <w:rPr>
          <w:sz w:val="36"/>
          <w:szCs w:val="36"/>
          <w:rtl/>
        </w:rPr>
        <w:t xml:space="preserve"> </w:t>
      </w:r>
      <w:r w:rsidR="00360F5C" w:rsidRPr="00FD211F">
        <w:rPr>
          <w:sz w:val="36"/>
          <w:szCs w:val="36"/>
          <w:rtl/>
        </w:rPr>
        <w:t>ضاحك</w:t>
      </w:r>
      <w:r w:rsidR="00A85749" w:rsidRPr="00FD211F">
        <w:rPr>
          <w:sz w:val="36"/>
          <w:szCs w:val="36"/>
          <w:rtl/>
        </w:rPr>
        <w:t>"</w:t>
      </w:r>
      <w:r w:rsidR="00E8128F">
        <w:rPr>
          <w:sz w:val="36"/>
          <w:szCs w:val="36"/>
          <w:rtl/>
        </w:rPr>
        <w:t xml:space="preserve"> </w:t>
      </w:r>
      <w:r w:rsidR="00360F5C" w:rsidRPr="00FD211F">
        <w:rPr>
          <w:sz w:val="36"/>
          <w:szCs w:val="36"/>
          <w:rtl/>
        </w:rPr>
        <w:t>ينحل</w:t>
      </w:r>
      <w:r w:rsidR="00E8128F">
        <w:rPr>
          <w:sz w:val="36"/>
          <w:szCs w:val="36"/>
          <w:rtl/>
        </w:rPr>
        <w:t xml:space="preserve"> </w:t>
      </w:r>
      <w:r w:rsidR="00360F5C" w:rsidRPr="00FD211F">
        <w:rPr>
          <w:sz w:val="36"/>
          <w:szCs w:val="36"/>
          <w:rtl/>
        </w:rPr>
        <w:t>حينئذ</w:t>
      </w:r>
      <w:r w:rsidR="00E8128F">
        <w:rPr>
          <w:sz w:val="36"/>
          <w:szCs w:val="36"/>
          <w:rtl/>
        </w:rPr>
        <w:t xml:space="preserve"> </w:t>
      </w:r>
      <w:r w:rsidR="00360F5C" w:rsidRPr="00FD211F">
        <w:rPr>
          <w:sz w:val="36"/>
          <w:szCs w:val="36"/>
          <w:rtl/>
        </w:rPr>
        <w:t>الى</w:t>
      </w:r>
      <w:r w:rsidR="00A85749" w:rsidRPr="00FD211F">
        <w:rPr>
          <w:sz w:val="36"/>
          <w:szCs w:val="36"/>
          <w:rtl/>
        </w:rPr>
        <w:t>"</w:t>
      </w:r>
      <w:r w:rsidR="00E8128F">
        <w:rPr>
          <w:sz w:val="36"/>
          <w:szCs w:val="36"/>
          <w:rtl/>
        </w:rPr>
        <w:t xml:space="preserve"> </w:t>
      </w:r>
      <w:r w:rsidR="00360F5C" w:rsidRPr="00FD211F">
        <w:rPr>
          <w:sz w:val="36"/>
          <w:szCs w:val="36"/>
          <w:rtl/>
        </w:rPr>
        <w:t>ان</w:t>
      </w:r>
      <w:r w:rsidR="00E8128F">
        <w:rPr>
          <w:sz w:val="36"/>
          <w:szCs w:val="36"/>
          <w:rtl/>
        </w:rPr>
        <w:t xml:space="preserve"> </w:t>
      </w:r>
      <w:r w:rsidR="00360F5C" w:rsidRPr="00FD211F">
        <w:rPr>
          <w:sz w:val="36"/>
          <w:szCs w:val="36"/>
          <w:rtl/>
        </w:rPr>
        <w:t>الانسان</w:t>
      </w:r>
      <w:r w:rsidR="00E8128F">
        <w:rPr>
          <w:sz w:val="36"/>
          <w:szCs w:val="36"/>
          <w:rtl/>
        </w:rPr>
        <w:t xml:space="preserve"> </w:t>
      </w:r>
      <w:r w:rsidR="00360F5C" w:rsidRPr="00FD211F">
        <w:rPr>
          <w:sz w:val="36"/>
          <w:szCs w:val="36"/>
          <w:rtl/>
        </w:rPr>
        <w:t>انسان</w:t>
      </w:r>
      <w:r w:rsidR="00E8128F">
        <w:rPr>
          <w:sz w:val="36"/>
          <w:szCs w:val="36"/>
          <w:rtl/>
        </w:rPr>
        <w:t xml:space="preserve"> </w:t>
      </w:r>
      <w:r w:rsidR="00360F5C" w:rsidRPr="00FD211F">
        <w:rPr>
          <w:sz w:val="36"/>
          <w:szCs w:val="36"/>
          <w:rtl/>
        </w:rPr>
        <w:t>وان</w:t>
      </w:r>
      <w:r w:rsidR="00E8128F">
        <w:rPr>
          <w:sz w:val="36"/>
          <w:szCs w:val="36"/>
          <w:rtl/>
        </w:rPr>
        <w:t xml:space="preserve"> </w:t>
      </w:r>
      <w:r w:rsidR="00360F5C" w:rsidRPr="00FD211F">
        <w:rPr>
          <w:sz w:val="36"/>
          <w:szCs w:val="36"/>
          <w:rtl/>
        </w:rPr>
        <w:t>انسانيته</w:t>
      </w:r>
      <w:r w:rsidR="00E8128F">
        <w:rPr>
          <w:sz w:val="36"/>
          <w:szCs w:val="36"/>
          <w:rtl/>
        </w:rPr>
        <w:t xml:space="preserve"> </w:t>
      </w:r>
      <w:r w:rsidR="00360F5C" w:rsidRPr="00FD211F">
        <w:rPr>
          <w:sz w:val="36"/>
          <w:szCs w:val="36"/>
          <w:rtl/>
        </w:rPr>
        <w:t>مقرون</w:t>
      </w:r>
      <w:r w:rsidR="00EC7EDF" w:rsidRPr="00FD211F">
        <w:rPr>
          <w:sz w:val="36"/>
          <w:szCs w:val="36"/>
          <w:rtl/>
        </w:rPr>
        <w:t>ة</w:t>
      </w:r>
      <w:r w:rsidR="00E8128F">
        <w:rPr>
          <w:sz w:val="36"/>
          <w:szCs w:val="36"/>
          <w:rtl/>
        </w:rPr>
        <w:t xml:space="preserve"> </w:t>
      </w:r>
      <w:r w:rsidR="00360F5C" w:rsidRPr="00FD211F">
        <w:rPr>
          <w:sz w:val="36"/>
          <w:szCs w:val="36"/>
          <w:rtl/>
        </w:rPr>
        <w:t>بالضحك</w:t>
      </w:r>
      <w:r w:rsidR="00A85749" w:rsidRPr="00FD211F">
        <w:rPr>
          <w:sz w:val="36"/>
          <w:szCs w:val="36"/>
          <w:rtl/>
        </w:rPr>
        <w:t>"</w:t>
      </w:r>
      <w:r w:rsidR="00360F5C" w:rsidRPr="00FD211F">
        <w:rPr>
          <w:sz w:val="36"/>
          <w:szCs w:val="36"/>
          <w:rtl/>
        </w:rPr>
        <w:t>-</w:t>
      </w:r>
      <w:r w:rsidR="00E8128F">
        <w:rPr>
          <w:sz w:val="36"/>
          <w:szCs w:val="36"/>
          <w:rtl/>
        </w:rPr>
        <w:t xml:space="preserve"> </w:t>
      </w:r>
      <w:r w:rsidRPr="00FD211F">
        <w:rPr>
          <w:sz w:val="36"/>
          <w:szCs w:val="36"/>
          <w:rtl/>
        </w:rPr>
        <w:t>فاورد</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صاحب</w:t>
      </w:r>
      <w:r w:rsidR="00E8128F">
        <w:rPr>
          <w:sz w:val="36"/>
          <w:szCs w:val="36"/>
          <w:rtl/>
        </w:rPr>
        <w:t xml:space="preserve"> </w:t>
      </w:r>
      <w:r w:rsidRPr="00FD211F">
        <w:rPr>
          <w:sz w:val="36"/>
          <w:szCs w:val="36"/>
          <w:rtl/>
        </w:rPr>
        <w:t>الفصول</w:t>
      </w:r>
      <w:r w:rsidR="00A85749" w:rsidRPr="00FD211F">
        <w:rPr>
          <w:sz w:val="36"/>
          <w:szCs w:val="36"/>
          <w:rtl/>
        </w:rPr>
        <w:t>"ره"</w:t>
      </w:r>
      <w:r w:rsidR="00E8128F">
        <w:rPr>
          <w:sz w:val="36"/>
          <w:szCs w:val="36"/>
          <w:rtl/>
        </w:rPr>
        <w:t xml:space="preserve"> </w:t>
      </w:r>
      <w:r w:rsidRPr="00FD211F">
        <w:rPr>
          <w:sz w:val="36"/>
          <w:szCs w:val="36"/>
          <w:rtl/>
        </w:rPr>
        <w:t>وغيره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المحمول</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المقيد</w:t>
      </w:r>
      <w:r w:rsidR="00E8128F">
        <w:rPr>
          <w:sz w:val="36"/>
          <w:szCs w:val="36"/>
          <w:rtl/>
        </w:rPr>
        <w:t xml:space="preserve"> </w:t>
      </w:r>
      <w:r w:rsidRPr="00FD211F">
        <w:rPr>
          <w:sz w:val="36"/>
          <w:szCs w:val="36"/>
          <w:rtl/>
        </w:rPr>
        <w:t>ف</w:t>
      </w:r>
      <w:r w:rsidR="00CC3641" w:rsidRPr="00FD211F">
        <w:rPr>
          <w:sz w:val="36"/>
          <w:szCs w:val="36"/>
          <w:rtl/>
        </w:rPr>
        <w:t>المحمول</w:t>
      </w:r>
      <w:r w:rsidR="00E8128F">
        <w:rPr>
          <w:sz w:val="36"/>
          <w:szCs w:val="36"/>
          <w:rtl/>
        </w:rPr>
        <w:t xml:space="preserve"> </w:t>
      </w:r>
      <w:r w:rsidR="00CC3641" w:rsidRPr="00FD211F">
        <w:rPr>
          <w:sz w:val="36"/>
          <w:szCs w:val="36"/>
          <w:rtl/>
        </w:rPr>
        <w:t>في</w:t>
      </w:r>
      <w:r w:rsidR="00E8128F">
        <w:rPr>
          <w:sz w:val="36"/>
          <w:szCs w:val="36"/>
          <w:rtl/>
        </w:rPr>
        <w:t xml:space="preserve"> </w:t>
      </w:r>
      <w:r w:rsidRPr="00FD211F">
        <w:rPr>
          <w:sz w:val="36"/>
          <w:szCs w:val="36"/>
          <w:rtl/>
        </w:rPr>
        <w:t>قولنا</w:t>
      </w:r>
      <w:r w:rsidR="00CC3641" w:rsidRPr="00FD211F">
        <w:rPr>
          <w:sz w:val="36"/>
          <w:szCs w:val="36"/>
          <w:rtl/>
        </w:rPr>
        <w:t>"</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انسان</w:t>
      </w:r>
      <w:r w:rsidR="00E8128F">
        <w:rPr>
          <w:sz w:val="36"/>
          <w:szCs w:val="36"/>
          <w:rtl/>
        </w:rPr>
        <w:t xml:space="preserve"> </w:t>
      </w:r>
      <w:r w:rsidRPr="00FD211F">
        <w:rPr>
          <w:sz w:val="36"/>
          <w:szCs w:val="36"/>
          <w:rtl/>
        </w:rPr>
        <w:t>له</w:t>
      </w:r>
      <w:r w:rsidR="00E8128F">
        <w:rPr>
          <w:sz w:val="36"/>
          <w:szCs w:val="36"/>
          <w:rtl/>
        </w:rPr>
        <w:t xml:space="preserve"> </w:t>
      </w:r>
      <w:r w:rsidRPr="00FD211F">
        <w:rPr>
          <w:sz w:val="36"/>
          <w:szCs w:val="36"/>
          <w:rtl/>
        </w:rPr>
        <w:t>الضحك</w:t>
      </w:r>
      <w:r w:rsidR="00E8128F">
        <w:rPr>
          <w:sz w:val="36"/>
          <w:szCs w:val="36"/>
          <w:rtl/>
        </w:rPr>
        <w:t xml:space="preserve"> </w:t>
      </w:r>
      <w:r w:rsidR="00CC3641" w:rsidRPr="00FD211F">
        <w:rPr>
          <w:sz w:val="36"/>
          <w:szCs w:val="36"/>
          <w:rtl/>
        </w:rPr>
        <w:t>"</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المقيد</w:t>
      </w:r>
      <w:r w:rsidR="00CC3641" w:rsidRPr="00FD211F">
        <w:rPr>
          <w:sz w:val="36"/>
          <w:szCs w:val="36"/>
          <w:rtl/>
        </w:rPr>
        <w:t>بالضحك</w:t>
      </w:r>
      <w:r w:rsidR="00E8128F">
        <w:rPr>
          <w:sz w:val="36"/>
          <w:szCs w:val="36"/>
          <w:rtl/>
        </w:rPr>
        <w:t xml:space="preserve"> </w:t>
      </w:r>
      <w:r w:rsidRPr="00FD211F">
        <w:rPr>
          <w:sz w:val="36"/>
          <w:szCs w:val="36"/>
          <w:rtl/>
        </w:rPr>
        <w:t>وثبوته</w:t>
      </w:r>
      <w:r w:rsidR="00E8128F">
        <w:rPr>
          <w:sz w:val="36"/>
          <w:szCs w:val="36"/>
          <w:rtl/>
        </w:rPr>
        <w:t xml:space="preserve"> </w:t>
      </w:r>
      <w:r w:rsidRPr="00FD211F">
        <w:rPr>
          <w:sz w:val="36"/>
          <w:szCs w:val="36"/>
          <w:rtl/>
        </w:rPr>
        <w:t>للانسان</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ضروريا</w:t>
      </w:r>
      <w:r w:rsidR="009C58C8" w:rsidRPr="00FD211F">
        <w:rPr>
          <w:rStyle w:val="a6"/>
          <w:sz w:val="36"/>
          <w:szCs w:val="36"/>
          <w:rtl/>
        </w:rPr>
        <w:t>(</w:t>
      </w:r>
      <w:r w:rsidR="009C58C8" w:rsidRPr="00FD211F">
        <w:rPr>
          <w:rStyle w:val="a6"/>
          <w:sz w:val="36"/>
          <w:szCs w:val="36"/>
          <w:rtl/>
        </w:rPr>
        <w:footnoteReference w:id="602"/>
      </w:r>
      <w:r w:rsidR="009C58C8" w:rsidRPr="00FD211F">
        <w:rPr>
          <w:rStyle w:val="a6"/>
          <w:sz w:val="36"/>
          <w:szCs w:val="36"/>
          <w:rtl/>
        </w:rPr>
        <w:t>)</w:t>
      </w:r>
      <w:r w:rsidR="00603323" w:rsidRPr="00FD211F">
        <w:rPr>
          <w:sz w:val="36"/>
          <w:szCs w:val="36"/>
          <w:rtl/>
        </w:rPr>
        <w:t>،</w:t>
      </w:r>
      <w:r w:rsidR="00E8128F">
        <w:rPr>
          <w:sz w:val="36"/>
          <w:szCs w:val="36"/>
          <w:rtl/>
        </w:rPr>
        <w:t xml:space="preserve"> </w:t>
      </w:r>
      <w:r w:rsidR="00360F5C" w:rsidRPr="00FD211F">
        <w:rPr>
          <w:sz w:val="36"/>
          <w:szCs w:val="36"/>
          <w:rtl/>
        </w:rPr>
        <w:t>وهذا</w:t>
      </w:r>
      <w:r w:rsidR="00E8128F">
        <w:rPr>
          <w:sz w:val="36"/>
          <w:szCs w:val="36"/>
          <w:rtl/>
        </w:rPr>
        <w:t xml:space="preserve"> </w:t>
      </w:r>
      <w:r w:rsidR="00360F5C" w:rsidRPr="00FD211F">
        <w:rPr>
          <w:sz w:val="36"/>
          <w:szCs w:val="36"/>
          <w:rtl/>
        </w:rPr>
        <w:t>الإيراد</w:t>
      </w:r>
      <w:r w:rsidR="00E8128F">
        <w:rPr>
          <w:sz w:val="36"/>
          <w:szCs w:val="36"/>
          <w:rtl/>
        </w:rPr>
        <w:t xml:space="preserve"> </w:t>
      </w:r>
      <w:r w:rsidR="00360F5C" w:rsidRPr="00FD211F">
        <w:rPr>
          <w:sz w:val="36"/>
          <w:szCs w:val="36"/>
          <w:rtl/>
        </w:rPr>
        <w:t>تام</w:t>
      </w:r>
      <w:r w:rsidR="00E8128F">
        <w:rPr>
          <w:sz w:val="36"/>
          <w:szCs w:val="36"/>
          <w:rtl/>
        </w:rPr>
        <w:t xml:space="preserve"> </w:t>
      </w:r>
      <w:r w:rsidR="00360F5C" w:rsidRPr="00FD211F">
        <w:rPr>
          <w:sz w:val="36"/>
          <w:szCs w:val="36"/>
          <w:rtl/>
        </w:rPr>
        <w:t>جدّا</w:t>
      </w:r>
      <w:r w:rsidR="00E8128F">
        <w:rPr>
          <w:sz w:val="36"/>
          <w:szCs w:val="36"/>
          <w:rtl/>
        </w:rPr>
        <w:t xml:space="preserve"> </w:t>
      </w:r>
      <w:r w:rsidR="00360F5C" w:rsidRPr="00FD211F">
        <w:rPr>
          <w:sz w:val="36"/>
          <w:szCs w:val="36"/>
          <w:rtl/>
        </w:rPr>
        <w:t>كما</w:t>
      </w:r>
      <w:r w:rsidR="00E8128F">
        <w:rPr>
          <w:sz w:val="36"/>
          <w:szCs w:val="36"/>
          <w:rtl/>
        </w:rPr>
        <w:t xml:space="preserve"> </w:t>
      </w:r>
      <w:r w:rsidR="00360F5C" w:rsidRPr="00FD211F">
        <w:rPr>
          <w:sz w:val="36"/>
          <w:szCs w:val="36"/>
          <w:rtl/>
        </w:rPr>
        <w:t>سيأتي</w:t>
      </w:r>
      <w:r w:rsidR="00E8128F">
        <w:rPr>
          <w:sz w:val="36"/>
          <w:szCs w:val="36"/>
          <w:rtl/>
        </w:rPr>
        <w:t xml:space="preserve"> </w:t>
      </w:r>
      <w:r w:rsidR="00360F5C" w:rsidRPr="00FD211F">
        <w:rPr>
          <w:sz w:val="36"/>
          <w:szCs w:val="36"/>
          <w:rtl/>
        </w:rPr>
        <w:t>توضيحه</w:t>
      </w:r>
      <w:r w:rsidR="00F464D0" w:rsidRPr="00FD211F">
        <w:rPr>
          <w:sz w:val="36"/>
          <w:szCs w:val="36"/>
          <w:rtl/>
        </w:rPr>
        <w:t>.</w:t>
      </w:r>
    </w:p>
    <w:p w14:paraId="3FF2E188" w14:textId="77777777" w:rsidR="002940BF" w:rsidRPr="00FD211F" w:rsidRDefault="00360F5C"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انهم</w:t>
      </w:r>
      <w:r w:rsidR="00E8128F">
        <w:rPr>
          <w:sz w:val="36"/>
          <w:szCs w:val="36"/>
          <w:rtl/>
        </w:rPr>
        <w:t xml:space="preserve"> </w:t>
      </w:r>
      <w:r w:rsidR="00F464D0" w:rsidRPr="00FD211F">
        <w:rPr>
          <w:sz w:val="36"/>
          <w:szCs w:val="36"/>
          <w:rtl/>
        </w:rPr>
        <w:t>قد</w:t>
      </w:r>
      <w:r w:rsidR="00E8128F">
        <w:rPr>
          <w:sz w:val="36"/>
          <w:szCs w:val="36"/>
          <w:rtl/>
        </w:rPr>
        <w:t xml:space="preserve"> </w:t>
      </w:r>
      <w:r w:rsidR="00F464D0" w:rsidRPr="00FD211F">
        <w:rPr>
          <w:sz w:val="36"/>
          <w:szCs w:val="36"/>
          <w:rtl/>
        </w:rPr>
        <w:t>ذكروا</w:t>
      </w:r>
      <w:r w:rsidR="00E8128F">
        <w:rPr>
          <w:sz w:val="36"/>
          <w:szCs w:val="36"/>
          <w:rtl/>
        </w:rPr>
        <w:t xml:space="preserve"> </w:t>
      </w:r>
      <w:r w:rsidR="00F464D0" w:rsidRPr="00FD211F">
        <w:rPr>
          <w:sz w:val="36"/>
          <w:szCs w:val="36"/>
          <w:rtl/>
        </w:rPr>
        <w:t>ان</w:t>
      </w:r>
      <w:r w:rsidR="00E8128F">
        <w:rPr>
          <w:sz w:val="36"/>
          <w:szCs w:val="36"/>
          <w:rtl/>
        </w:rPr>
        <w:t xml:space="preserve"> </w:t>
      </w:r>
      <w:r w:rsidR="00F464D0" w:rsidRPr="00FD211F">
        <w:rPr>
          <w:sz w:val="36"/>
          <w:szCs w:val="36"/>
          <w:rtl/>
        </w:rPr>
        <w:t>اشكال</w:t>
      </w:r>
      <w:r w:rsidR="00E8128F">
        <w:rPr>
          <w:sz w:val="36"/>
          <w:szCs w:val="36"/>
          <w:rtl/>
        </w:rPr>
        <w:t xml:space="preserve"> </w:t>
      </w:r>
      <w:r w:rsidR="00F464D0" w:rsidRPr="00FD211F">
        <w:rPr>
          <w:sz w:val="36"/>
          <w:szCs w:val="36"/>
          <w:rtl/>
        </w:rPr>
        <w:t>المحقق</w:t>
      </w:r>
      <w:r w:rsidR="00E8128F">
        <w:rPr>
          <w:sz w:val="36"/>
          <w:szCs w:val="36"/>
          <w:rtl/>
        </w:rPr>
        <w:t xml:space="preserve"> </w:t>
      </w:r>
      <w:r w:rsidR="00F464D0" w:rsidRPr="00FD211F">
        <w:rPr>
          <w:sz w:val="36"/>
          <w:szCs w:val="36"/>
          <w:rtl/>
        </w:rPr>
        <w:t>الشريف</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لزوم</w:t>
      </w:r>
      <w:r w:rsidR="00E8128F">
        <w:rPr>
          <w:sz w:val="36"/>
          <w:szCs w:val="36"/>
          <w:rtl/>
        </w:rPr>
        <w:t xml:space="preserve"> </w:t>
      </w:r>
      <w:r w:rsidRPr="00FD211F">
        <w:rPr>
          <w:sz w:val="36"/>
          <w:szCs w:val="36"/>
          <w:rtl/>
        </w:rPr>
        <w:t>الانقلاب</w:t>
      </w:r>
      <w:r w:rsidR="00E8128F">
        <w:rPr>
          <w:sz w:val="36"/>
          <w:szCs w:val="36"/>
          <w:rtl/>
        </w:rPr>
        <w:t xml:space="preserve"> </w:t>
      </w:r>
      <w:r w:rsidR="00F464D0" w:rsidRPr="00FD211F">
        <w:rPr>
          <w:sz w:val="36"/>
          <w:szCs w:val="36"/>
          <w:rtl/>
        </w:rPr>
        <w:t>لو</w:t>
      </w:r>
      <w:r w:rsidR="00E8128F">
        <w:rPr>
          <w:sz w:val="36"/>
          <w:szCs w:val="36"/>
          <w:rtl/>
        </w:rPr>
        <w:t xml:space="preserve"> </w:t>
      </w:r>
      <w:r w:rsidR="00F464D0" w:rsidRPr="00FD211F">
        <w:rPr>
          <w:sz w:val="36"/>
          <w:szCs w:val="36"/>
          <w:rtl/>
        </w:rPr>
        <w:t>تم</w:t>
      </w:r>
      <w:r w:rsidR="00E8128F">
        <w:rPr>
          <w:sz w:val="36"/>
          <w:szCs w:val="36"/>
          <w:rtl/>
        </w:rPr>
        <w:t xml:space="preserve"> </w:t>
      </w:r>
      <w:r w:rsidR="00F464D0" w:rsidRPr="00FD211F">
        <w:rPr>
          <w:sz w:val="36"/>
          <w:szCs w:val="36"/>
          <w:rtl/>
        </w:rPr>
        <w:t>فلايختص</w:t>
      </w:r>
      <w:r w:rsidR="00E8128F">
        <w:rPr>
          <w:sz w:val="36"/>
          <w:szCs w:val="36"/>
          <w:rtl/>
        </w:rPr>
        <w:t xml:space="preserve"> </w:t>
      </w:r>
      <w:r w:rsidR="00F464D0" w:rsidRPr="00FD211F">
        <w:rPr>
          <w:sz w:val="36"/>
          <w:szCs w:val="36"/>
          <w:rtl/>
        </w:rPr>
        <w:t>باخذ</w:t>
      </w:r>
      <w:r w:rsidR="00E8128F">
        <w:rPr>
          <w:sz w:val="36"/>
          <w:szCs w:val="36"/>
          <w:rtl/>
        </w:rPr>
        <w:t xml:space="preserve"> </w:t>
      </w:r>
      <w:r w:rsidR="00F464D0" w:rsidRPr="00FD211F">
        <w:rPr>
          <w:sz w:val="36"/>
          <w:szCs w:val="36"/>
          <w:rtl/>
        </w:rPr>
        <w:t>مصداق</w:t>
      </w:r>
      <w:r w:rsidR="00E8128F">
        <w:rPr>
          <w:sz w:val="36"/>
          <w:szCs w:val="36"/>
          <w:rtl/>
        </w:rPr>
        <w:t xml:space="preserve"> </w:t>
      </w:r>
      <w:r w:rsidR="00F464D0" w:rsidRPr="00FD211F">
        <w:rPr>
          <w:sz w:val="36"/>
          <w:szCs w:val="36"/>
          <w:rtl/>
        </w:rPr>
        <w:t>ال</w:t>
      </w:r>
      <w:r w:rsidR="008D7B3D" w:rsidRPr="00FD211F">
        <w:rPr>
          <w:sz w:val="36"/>
          <w:szCs w:val="36"/>
          <w:rtl/>
        </w:rPr>
        <w:t>شيء</w:t>
      </w:r>
      <w:r w:rsidR="00E8128F">
        <w:rPr>
          <w:sz w:val="36"/>
          <w:szCs w:val="36"/>
          <w:rtl/>
        </w:rPr>
        <w:t xml:space="preserve"> </w:t>
      </w:r>
      <w:r w:rsidR="00F464D0" w:rsidRPr="00FD211F">
        <w:rPr>
          <w:sz w:val="36"/>
          <w:szCs w:val="36"/>
          <w:rtl/>
        </w:rPr>
        <w:t>في</w:t>
      </w:r>
      <w:r w:rsidR="00E8128F">
        <w:rPr>
          <w:sz w:val="36"/>
          <w:szCs w:val="36"/>
          <w:rtl/>
        </w:rPr>
        <w:t xml:space="preserve"> </w:t>
      </w:r>
      <w:r w:rsidR="00F464D0" w:rsidRPr="00FD211F">
        <w:rPr>
          <w:sz w:val="36"/>
          <w:szCs w:val="36"/>
          <w:rtl/>
        </w:rPr>
        <w:t>المشتق</w:t>
      </w:r>
      <w:r w:rsidR="00E8128F">
        <w:rPr>
          <w:sz w:val="36"/>
          <w:szCs w:val="36"/>
          <w:rtl/>
        </w:rPr>
        <w:t xml:space="preserve"> </w:t>
      </w:r>
      <w:r w:rsidR="00F464D0" w:rsidRPr="00FD211F">
        <w:rPr>
          <w:sz w:val="36"/>
          <w:szCs w:val="36"/>
          <w:rtl/>
        </w:rPr>
        <w:t>بل</w:t>
      </w:r>
      <w:r w:rsidR="00E8128F">
        <w:rPr>
          <w:sz w:val="36"/>
          <w:szCs w:val="36"/>
          <w:rtl/>
        </w:rPr>
        <w:t xml:space="preserve"> </w:t>
      </w:r>
      <w:r w:rsidR="00F464D0" w:rsidRPr="00FD211F">
        <w:rPr>
          <w:sz w:val="36"/>
          <w:szCs w:val="36"/>
          <w:rtl/>
        </w:rPr>
        <w:t>يتوجه</w:t>
      </w:r>
      <w:r w:rsidR="00E8128F">
        <w:rPr>
          <w:sz w:val="36"/>
          <w:szCs w:val="36"/>
          <w:rtl/>
        </w:rPr>
        <w:t xml:space="preserve"> </w:t>
      </w:r>
      <w:r w:rsidR="00F464D0" w:rsidRPr="00FD211F">
        <w:rPr>
          <w:sz w:val="36"/>
          <w:szCs w:val="36"/>
          <w:rtl/>
        </w:rPr>
        <w:t>على</w:t>
      </w:r>
      <w:r w:rsidR="00E8128F">
        <w:rPr>
          <w:sz w:val="36"/>
          <w:szCs w:val="36"/>
          <w:rtl/>
        </w:rPr>
        <w:t xml:space="preserve"> </w:t>
      </w:r>
      <w:r w:rsidR="00F464D0" w:rsidRPr="00FD211F">
        <w:rPr>
          <w:sz w:val="36"/>
          <w:szCs w:val="36"/>
          <w:rtl/>
        </w:rPr>
        <w:t>اخذ</w:t>
      </w:r>
      <w:r w:rsidR="00E8128F">
        <w:rPr>
          <w:sz w:val="36"/>
          <w:szCs w:val="36"/>
          <w:rtl/>
        </w:rPr>
        <w:t xml:space="preserve"> </w:t>
      </w:r>
      <w:r w:rsidR="00F464D0" w:rsidRPr="00FD211F">
        <w:rPr>
          <w:sz w:val="36"/>
          <w:szCs w:val="36"/>
          <w:rtl/>
        </w:rPr>
        <w:t>مفهوم</w:t>
      </w:r>
      <w:r w:rsidR="00E8128F">
        <w:rPr>
          <w:sz w:val="36"/>
          <w:szCs w:val="36"/>
          <w:rtl/>
        </w:rPr>
        <w:t xml:space="preserve"> </w:t>
      </w:r>
      <w:r w:rsidR="00F464D0" w:rsidRPr="00FD211F">
        <w:rPr>
          <w:sz w:val="36"/>
          <w:szCs w:val="36"/>
          <w:rtl/>
        </w:rPr>
        <w:t>ال</w:t>
      </w:r>
      <w:r w:rsidR="008D7B3D" w:rsidRPr="00FD211F">
        <w:rPr>
          <w:sz w:val="36"/>
          <w:szCs w:val="36"/>
          <w:rtl/>
        </w:rPr>
        <w:t>شيء</w:t>
      </w:r>
      <w:r w:rsidR="00E8128F">
        <w:rPr>
          <w:sz w:val="36"/>
          <w:szCs w:val="36"/>
          <w:rtl/>
        </w:rPr>
        <w:t xml:space="preserve"> </w:t>
      </w:r>
      <w:r w:rsidR="00F464D0" w:rsidRPr="00FD211F">
        <w:rPr>
          <w:sz w:val="36"/>
          <w:szCs w:val="36"/>
          <w:rtl/>
        </w:rPr>
        <w:t>فيه</w:t>
      </w:r>
      <w:r w:rsidR="00E8128F">
        <w:rPr>
          <w:sz w:val="36"/>
          <w:szCs w:val="36"/>
          <w:rtl/>
        </w:rPr>
        <w:t xml:space="preserve"> </w:t>
      </w:r>
      <w:r w:rsidR="00EE25F7" w:rsidRPr="00FD211F">
        <w:rPr>
          <w:sz w:val="36"/>
          <w:szCs w:val="36"/>
          <w:rtl/>
        </w:rPr>
        <w:t>لان</w:t>
      </w:r>
      <w:r w:rsidR="00E8128F">
        <w:rPr>
          <w:sz w:val="36"/>
          <w:szCs w:val="36"/>
          <w:rtl/>
        </w:rPr>
        <w:t xml:space="preserve"> </w:t>
      </w:r>
      <w:r w:rsidR="00EE25F7" w:rsidRPr="00FD211F">
        <w:rPr>
          <w:sz w:val="36"/>
          <w:szCs w:val="36"/>
          <w:rtl/>
        </w:rPr>
        <w:t>ثبوت</w:t>
      </w:r>
      <w:r w:rsidR="00E8128F">
        <w:rPr>
          <w:sz w:val="36"/>
          <w:szCs w:val="36"/>
          <w:rtl/>
        </w:rPr>
        <w:t xml:space="preserve"> </w:t>
      </w:r>
      <w:r w:rsidR="00F464D0" w:rsidRPr="00FD211F">
        <w:rPr>
          <w:sz w:val="36"/>
          <w:szCs w:val="36"/>
          <w:rtl/>
        </w:rPr>
        <w:t>مفهوم</w:t>
      </w:r>
      <w:r w:rsidR="00E8128F">
        <w:rPr>
          <w:sz w:val="36"/>
          <w:szCs w:val="36"/>
          <w:rtl/>
        </w:rPr>
        <w:t xml:space="preserve"> </w:t>
      </w:r>
      <w:r w:rsidR="00F464D0" w:rsidRPr="00FD211F">
        <w:rPr>
          <w:sz w:val="36"/>
          <w:szCs w:val="36"/>
          <w:rtl/>
        </w:rPr>
        <w:t>ال</w:t>
      </w:r>
      <w:r w:rsidR="008D7B3D" w:rsidRPr="00FD211F">
        <w:rPr>
          <w:sz w:val="36"/>
          <w:szCs w:val="36"/>
          <w:rtl/>
        </w:rPr>
        <w:t>شيء</w:t>
      </w:r>
      <w:r w:rsidR="00E8128F">
        <w:rPr>
          <w:sz w:val="36"/>
          <w:szCs w:val="36"/>
          <w:rtl/>
        </w:rPr>
        <w:t xml:space="preserve"> </w:t>
      </w:r>
      <w:r w:rsidR="00F464D0" w:rsidRPr="00FD211F">
        <w:rPr>
          <w:sz w:val="36"/>
          <w:szCs w:val="36"/>
          <w:rtl/>
        </w:rPr>
        <w:t>للموضوع</w:t>
      </w:r>
      <w:r w:rsidR="00E8128F">
        <w:rPr>
          <w:sz w:val="36"/>
          <w:szCs w:val="36"/>
          <w:rtl/>
        </w:rPr>
        <w:t xml:space="preserve"> </w:t>
      </w:r>
      <w:r w:rsidR="00F464D0" w:rsidRPr="00FD211F">
        <w:rPr>
          <w:sz w:val="36"/>
          <w:szCs w:val="36"/>
          <w:rtl/>
        </w:rPr>
        <w:t>في</w:t>
      </w:r>
      <w:r w:rsidR="00E8128F">
        <w:rPr>
          <w:sz w:val="36"/>
          <w:szCs w:val="36"/>
          <w:rtl/>
        </w:rPr>
        <w:t xml:space="preserve"> </w:t>
      </w:r>
      <w:r w:rsidR="00F464D0" w:rsidRPr="00FD211F">
        <w:rPr>
          <w:sz w:val="36"/>
          <w:szCs w:val="36"/>
          <w:rtl/>
        </w:rPr>
        <w:t>قولنا</w:t>
      </w:r>
      <w:r w:rsidR="00E8128F">
        <w:rPr>
          <w:sz w:val="36"/>
          <w:szCs w:val="36"/>
          <w:rtl/>
        </w:rPr>
        <w:t xml:space="preserve"> </w:t>
      </w:r>
      <w:r w:rsidR="00F464D0" w:rsidRPr="00FD211F">
        <w:rPr>
          <w:sz w:val="36"/>
          <w:szCs w:val="36"/>
          <w:rtl/>
        </w:rPr>
        <w:t>الانسان</w:t>
      </w:r>
      <w:r w:rsidR="00E8128F">
        <w:rPr>
          <w:sz w:val="36"/>
          <w:szCs w:val="36"/>
          <w:rtl/>
        </w:rPr>
        <w:t xml:space="preserve"> </w:t>
      </w:r>
      <w:r w:rsidR="008D7B3D" w:rsidRPr="00FD211F">
        <w:rPr>
          <w:sz w:val="36"/>
          <w:szCs w:val="36"/>
          <w:rtl/>
        </w:rPr>
        <w:t>شيء</w:t>
      </w:r>
      <w:r w:rsidR="00E8128F">
        <w:rPr>
          <w:sz w:val="36"/>
          <w:szCs w:val="36"/>
          <w:rtl/>
        </w:rPr>
        <w:t xml:space="preserve"> </w:t>
      </w:r>
      <w:r w:rsidR="00F464D0" w:rsidRPr="00FD211F">
        <w:rPr>
          <w:sz w:val="36"/>
          <w:szCs w:val="36"/>
          <w:rtl/>
        </w:rPr>
        <w:t>له</w:t>
      </w:r>
      <w:r w:rsidR="00E8128F">
        <w:rPr>
          <w:sz w:val="36"/>
          <w:szCs w:val="36"/>
          <w:rtl/>
        </w:rPr>
        <w:t xml:space="preserve"> </w:t>
      </w:r>
      <w:r w:rsidR="00F464D0" w:rsidRPr="00FD211F">
        <w:rPr>
          <w:sz w:val="36"/>
          <w:szCs w:val="36"/>
          <w:rtl/>
        </w:rPr>
        <w:t>الضحك</w:t>
      </w:r>
      <w:r w:rsidR="00E8128F">
        <w:rPr>
          <w:sz w:val="36"/>
          <w:szCs w:val="36"/>
          <w:rtl/>
        </w:rPr>
        <w:t xml:space="preserve"> </w:t>
      </w:r>
      <w:r w:rsidR="00EE25F7" w:rsidRPr="00FD211F">
        <w:rPr>
          <w:sz w:val="36"/>
          <w:szCs w:val="36"/>
          <w:rtl/>
        </w:rPr>
        <w:t>ضروري</w:t>
      </w:r>
      <w:r w:rsidR="00E8128F">
        <w:rPr>
          <w:sz w:val="36"/>
          <w:szCs w:val="36"/>
          <w:rtl/>
        </w:rPr>
        <w:t xml:space="preserve"> </w:t>
      </w:r>
      <w:r w:rsidR="00EE25F7" w:rsidRPr="00FD211F">
        <w:rPr>
          <w:sz w:val="36"/>
          <w:szCs w:val="36"/>
          <w:rtl/>
        </w:rPr>
        <w:t>ايضا</w:t>
      </w:r>
      <w:r w:rsidR="00603323" w:rsidRPr="00FD211F">
        <w:rPr>
          <w:sz w:val="36"/>
          <w:szCs w:val="36"/>
          <w:rtl/>
        </w:rPr>
        <w:t>،</w:t>
      </w:r>
      <w:r w:rsidR="00E8128F">
        <w:rPr>
          <w:sz w:val="36"/>
          <w:szCs w:val="36"/>
          <w:rtl/>
        </w:rPr>
        <w:t xml:space="preserve"> </w:t>
      </w:r>
      <w:r w:rsidR="00EE25F7" w:rsidRPr="00FD211F">
        <w:rPr>
          <w:sz w:val="36"/>
          <w:szCs w:val="36"/>
          <w:rtl/>
        </w:rPr>
        <w:t>لكونه</w:t>
      </w:r>
      <w:r w:rsidR="00E8128F">
        <w:rPr>
          <w:sz w:val="36"/>
          <w:szCs w:val="36"/>
          <w:rtl/>
        </w:rPr>
        <w:t xml:space="preserve"> </w:t>
      </w:r>
      <w:r w:rsidR="00EE25F7" w:rsidRPr="00FD211F">
        <w:rPr>
          <w:sz w:val="36"/>
          <w:szCs w:val="36"/>
          <w:rtl/>
        </w:rPr>
        <w:t>من</w:t>
      </w:r>
      <w:r w:rsidR="00E8128F">
        <w:rPr>
          <w:sz w:val="36"/>
          <w:szCs w:val="36"/>
          <w:rtl/>
        </w:rPr>
        <w:t xml:space="preserve"> </w:t>
      </w:r>
      <w:r w:rsidR="00EE25F7" w:rsidRPr="00FD211F">
        <w:rPr>
          <w:sz w:val="36"/>
          <w:szCs w:val="36"/>
          <w:rtl/>
        </w:rPr>
        <w:t>ذاتي</w:t>
      </w:r>
      <w:r w:rsidR="00E8128F">
        <w:rPr>
          <w:sz w:val="36"/>
          <w:szCs w:val="36"/>
          <w:rtl/>
        </w:rPr>
        <w:t xml:space="preserve"> </w:t>
      </w:r>
      <w:r w:rsidR="00EE25F7" w:rsidRPr="00FD211F">
        <w:rPr>
          <w:sz w:val="36"/>
          <w:szCs w:val="36"/>
          <w:rtl/>
        </w:rPr>
        <w:t>باب</w:t>
      </w:r>
      <w:r w:rsidR="00E8128F">
        <w:rPr>
          <w:sz w:val="36"/>
          <w:szCs w:val="36"/>
          <w:rtl/>
        </w:rPr>
        <w:t xml:space="preserve"> </w:t>
      </w:r>
      <w:r w:rsidR="00EE25F7" w:rsidRPr="00FD211F">
        <w:rPr>
          <w:sz w:val="36"/>
          <w:szCs w:val="36"/>
          <w:rtl/>
        </w:rPr>
        <w:t>البرهان</w:t>
      </w:r>
      <w:r w:rsidR="002940BF" w:rsidRPr="00FD211F">
        <w:rPr>
          <w:sz w:val="36"/>
          <w:szCs w:val="36"/>
          <w:rtl/>
        </w:rPr>
        <w:t>.</w:t>
      </w:r>
    </w:p>
    <w:p w14:paraId="63C2EA88" w14:textId="77777777" w:rsidR="00EE25F7" w:rsidRPr="00FD211F" w:rsidRDefault="00F464D0" w:rsidP="009C58C8">
      <w:pPr>
        <w:ind w:left="0" w:firstLine="227"/>
        <w:jc w:val="both"/>
        <w:rPr>
          <w:sz w:val="36"/>
          <w:szCs w:val="36"/>
          <w:rtl/>
        </w:rPr>
      </w:pPr>
      <w:r w:rsidRPr="00FD211F">
        <w:rPr>
          <w:sz w:val="36"/>
          <w:szCs w:val="36"/>
          <w:rtl/>
        </w:rPr>
        <w:t>ولكن</w:t>
      </w:r>
      <w:r w:rsidR="00E8128F">
        <w:rPr>
          <w:sz w:val="36"/>
          <w:szCs w:val="36"/>
          <w:rtl/>
        </w:rPr>
        <w:t xml:space="preserve"> </w:t>
      </w:r>
      <w:r w:rsidRPr="00FD211F">
        <w:rPr>
          <w:sz w:val="36"/>
          <w:szCs w:val="36"/>
          <w:rtl/>
        </w:rPr>
        <w:t>اجاب</w:t>
      </w:r>
      <w:r w:rsidR="00E8128F">
        <w:rPr>
          <w:sz w:val="36"/>
          <w:szCs w:val="36"/>
          <w:rtl/>
        </w:rPr>
        <w:t xml:space="preserve"> </w:t>
      </w:r>
      <w:r w:rsidRPr="00FD211F">
        <w:rPr>
          <w:sz w:val="36"/>
          <w:szCs w:val="36"/>
          <w:rtl/>
        </w:rPr>
        <w:t>عنه</w:t>
      </w:r>
      <w:r w:rsidR="00E8128F">
        <w:rPr>
          <w:sz w:val="36"/>
          <w:szCs w:val="36"/>
          <w:rtl/>
        </w:rPr>
        <w:t xml:space="preserve"> </w:t>
      </w:r>
      <w:r w:rsidRPr="00FD211F">
        <w:rPr>
          <w:sz w:val="36"/>
          <w:szCs w:val="36"/>
          <w:rtl/>
        </w:rPr>
        <w:t>شيخنا</w:t>
      </w:r>
      <w:r w:rsidR="00E8128F">
        <w:rPr>
          <w:sz w:val="36"/>
          <w:szCs w:val="36"/>
          <w:rtl/>
        </w:rPr>
        <w:t xml:space="preserve"> </w:t>
      </w:r>
      <w:r w:rsidRPr="00FD211F">
        <w:rPr>
          <w:sz w:val="36"/>
          <w:szCs w:val="36"/>
          <w:rtl/>
        </w:rPr>
        <w:t>الاستاذ</w:t>
      </w:r>
      <w:r w:rsidR="00E8128F">
        <w:rPr>
          <w:sz w:val="36"/>
          <w:szCs w:val="36"/>
          <w:rtl/>
        </w:rPr>
        <w:t xml:space="preserve"> </w:t>
      </w:r>
      <w:r w:rsidR="00B1734E" w:rsidRPr="00FD211F">
        <w:rPr>
          <w:sz w:val="36"/>
          <w:szCs w:val="36"/>
          <w:rtl/>
        </w:rPr>
        <w:t>"قده"</w:t>
      </w:r>
      <w:r w:rsidR="00E8128F">
        <w:rPr>
          <w:sz w:val="36"/>
          <w:szCs w:val="36"/>
          <w:rtl/>
        </w:rPr>
        <w:t xml:space="preserve"> </w:t>
      </w:r>
      <w:r w:rsidRPr="00FD211F">
        <w:rPr>
          <w:sz w:val="36"/>
          <w:szCs w:val="36"/>
          <w:rtl/>
        </w:rPr>
        <w:t>بان</w:t>
      </w:r>
      <w:r w:rsidR="00E8128F">
        <w:rPr>
          <w:sz w:val="36"/>
          <w:szCs w:val="36"/>
          <w:rtl/>
        </w:rPr>
        <w:t xml:space="preserve"> </w:t>
      </w:r>
      <w:r w:rsidRPr="00FD211F">
        <w:rPr>
          <w:sz w:val="36"/>
          <w:szCs w:val="36"/>
          <w:rtl/>
        </w:rPr>
        <w:t>وجه</w:t>
      </w:r>
      <w:r w:rsidR="00E8128F">
        <w:rPr>
          <w:sz w:val="36"/>
          <w:szCs w:val="36"/>
          <w:rtl/>
        </w:rPr>
        <w:t xml:space="preserve"> </w:t>
      </w:r>
      <w:r w:rsidRPr="00FD211F">
        <w:rPr>
          <w:sz w:val="36"/>
          <w:szCs w:val="36"/>
          <w:rtl/>
        </w:rPr>
        <w:t>تخصيص</w:t>
      </w:r>
      <w:r w:rsidR="00E8128F">
        <w:rPr>
          <w:sz w:val="36"/>
          <w:szCs w:val="36"/>
          <w:rtl/>
        </w:rPr>
        <w:t xml:space="preserve"> </w:t>
      </w:r>
      <w:r w:rsidRPr="00FD211F">
        <w:rPr>
          <w:sz w:val="36"/>
          <w:szCs w:val="36"/>
          <w:rtl/>
        </w:rPr>
        <w:t>السيد</w:t>
      </w:r>
      <w:r w:rsidR="00E8128F">
        <w:rPr>
          <w:sz w:val="36"/>
          <w:szCs w:val="36"/>
          <w:rtl/>
        </w:rPr>
        <w:t xml:space="preserve"> </w:t>
      </w:r>
      <w:r w:rsidRPr="00FD211F">
        <w:rPr>
          <w:sz w:val="36"/>
          <w:szCs w:val="36"/>
          <w:rtl/>
        </w:rPr>
        <w:t>الشريف</w:t>
      </w:r>
      <w:r w:rsidR="00E8128F">
        <w:rPr>
          <w:sz w:val="36"/>
          <w:szCs w:val="36"/>
          <w:rtl/>
        </w:rPr>
        <w:t xml:space="preserve"> </w:t>
      </w:r>
      <w:r w:rsidRPr="00FD211F">
        <w:rPr>
          <w:sz w:val="36"/>
          <w:szCs w:val="36"/>
          <w:rtl/>
        </w:rPr>
        <w:t>اشكال</w:t>
      </w:r>
      <w:r w:rsidR="00E8128F">
        <w:rPr>
          <w:sz w:val="36"/>
          <w:szCs w:val="36"/>
          <w:rtl/>
        </w:rPr>
        <w:t xml:space="preserve"> </w:t>
      </w:r>
      <w:r w:rsidRPr="00FD211F">
        <w:rPr>
          <w:sz w:val="36"/>
          <w:szCs w:val="36"/>
          <w:rtl/>
        </w:rPr>
        <w:t>الانقلاب</w:t>
      </w:r>
      <w:r w:rsidR="00E8128F">
        <w:rPr>
          <w:sz w:val="36"/>
          <w:szCs w:val="36"/>
          <w:rtl/>
        </w:rPr>
        <w:t xml:space="preserve"> </w:t>
      </w:r>
      <w:r w:rsidRPr="00FD211F">
        <w:rPr>
          <w:sz w:val="36"/>
          <w:szCs w:val="36"/>
          <w:rtl/>
        </w:rPr>
        <w:t>بصور</w:t>
      </w:r>
      <w:r w:rsidR="00EC7EDF" w:rsidRPr="00FD211F">
        <w:rPr>
          <w:sz w:val="36"/>
          <w:szCs w:val="36"/>
          <w:rtl/>
        </w:rPr>
        <w:t>ة</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مصداق</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المأخوذ</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001F0DF8" w:rsidRPr="00FD211F">
        <w:rPr>
          <w:sz w:val="36"/>
          <w:szCs w:val="36"/>
          <w:rtl/>
        </w:rPr>
        <w:t>ف</w:t>
      </w:r>
      <w:r w:rsidRPr="00FD211F">
        <w:rPr>
          <w:sz w:val="36"/>
          <w:szCs w:val="36"/>
          <w:rtl/>
        </w:rPr>
        <w:t>لايكون</w:t>
      </w:r>
      <w:r w:rsidR="00E8128F">
        <w:rPr>
          <w:sz w:val="36"/>
          <w:szCs w:val="36"/>
          <w:rtl/>
        </w:rPr>
        <w:t xml:space="preserve"> </w:t>
      </w:r>
      <w:r w:rsidRPr="00FD211F">
        <w:rPr>
          <w:sz w:val="36"/>
          <w:szCs w:val="36"/>
          <w:rtl/>
        </w:rPr>
        <w:t>ثبوته</w:t>
      </w:r>
      <w:r w:rsidR="00E8128F">
        <w:rPr>
          <w:sz w:val="36"/>
          <w:szCs w:val="36"/>
          <w:rtl/>
        </w:rPr>
        <w:t xml:space="preserve"> </w:t>
      </w:r>
      <w:r w:rsidRPr="00FD211F">
        <w:rPr>
          <w:sz w:val="36"/>
          <w:szCs w:val="36"/>
          <w:rtl/>
        </w:rPr>
        <w:t>بعد</w:t>
      </w:r>
      <w:r w:rsidR="00E8128F">
        <w:rPr>
          <w:sz w:val="36"/>
          <w:szCs w:val="36"/>
          <w:rtl/>
        </w:rPr>
        <w:t xml:space="preserve"> </w:t>
      </w:r>
      <w:r w:rsidRPr="00FD211F">
        <w:rPr>
          <w:sz w:val="36"/>
          <w:szCs w:val="36"/>
          <w:rtl/>
        </w:rPr>
        <w:t>التقييد</w:t>
      </w:r>
      <w:r w:rsidR="00E8128F">
        <w:rPr>
          <w:sz w:val="36"/>
          <w:szCs w:val="36"/>
          <w:rtl/>
        </w:rPr>
        <w:t xml:space="preserve"> </w:t>
      </w:r>
      <w:r w:rsidRPr="00FD211F">
        <w:rPr>
          <w:sz w:val="36"/>
          <w:szCs w:val="36"/>
          <w:rtl/>
        </w:rPr>
        <w:t>ضروريا</w:t>
      </w:r>
      <w:r w:rsidR="00E8128F">
        <w:rPr>
          <w:sz w:val="36"/>
          <w:szCs w:val="36"/>
          <w:rtl/>
        </w:rPr>
        <w:t xml:space="preserve"> </w:t>
      </w:r>
      <w:r w:rsidRPr="00FD211F">
        <w:rPr>
          <w:sz w:val="36"/>
          <w:szCs w:val="36"/>
          <w:rtl/>
        </w:rPr>
        <w:t>للموضوع</w:t>
      </w:r>
      <w:r w:rsidR="00E8128F">
        <w:rPr>
          <w:sz w:val="36"/>
          <w:szCs w:val="36"/>
          <w:rtl/>
        </w:rPr>
        <w:t xml:space="preserve"> </w:t>
      </w:r>
      <w:r w:rsidR="001F0DF8" w:rsidRPr="00FD211F">
        <w:rPr>
          <w:sz w:val="36"/>
          <w:szCs w:val="36"/>
          <w:rtl/>
        </w:rPr>
        <w:t>–باعتبار</w:t>
      </w:r>
      <w:r w:rsidR="00E8128F">
        <w:rPr>
          <w:sz w:val="36"/>
          <w:szCs w:val="36"/>
          <w:rtl/>
        </w:rPr>
        <w:t xml:space="preserve"> </w:t>
      </w:r>
      <w:r w:rsidR="001F0DF8" w:rsidRPr="00FD211F">
        <w:rPr>
          <w:sz w:val="36"/>
          <w:szCs w:val="36"/>
          <w:rtl/>
        </w:rPr>
        <w:t>قبول</w:t>
      </w:r>
      <w:r w:rsidR="00E8128F">
        <w:rPr>
          <w:sz w:val="36"/>
          <w:szCs w:val="36"/>
          <w:rtl/>
        </w:rPr>
        <w:t xml:space="preserve"> </w:t>
      </w:r>
      <w:r w:rsidR="001F0DF8" w:rsidRPr="00FD211F">
        <w:rPr>
          <w:sz w:val="36"/>
          <w:szCs w:val="36"/>
          <w:rtl/>
        </w:rPr>
        <w:t>مفهوم</w:t>
      </w:r>
      <w:r w:rsidR="00E8128F">
        <w:rPr>
          <w:sz w:val="36"/>
          <w:szCs w:val="36"/>
          <w:rtl/>
        </w:rPr>
        <w:t xml:space="preserve"> </w:t>
      </w:r>
      <w:r w:rsidR="00E66E56" w:rsidRPr="00FD211F">
        <w:rPr>
          <w:sz w:val="36"/>
          <w:szCs w:val="36"/>
          <w:rtl/>
        </w:rPr>
        <w:t>ال</w:t>
      </w:r>
      <w:r w:rsidR="008D7B3D" w:rsidRPr="00FD211F">
        <w:rPr>
          <w:sz w:val="36"/>
          <w:szCs w:val="36"/>
          <w:rtl/>
        </w:rPr>
        <w:t>شيء</w:t>
      </w:r>
      <w:r w:rsidR="00E8128F">
        <w:rPr>
          <w:sz w:val="36"/>
          <w:szCs w:val="36"/>
          <w:rtl/>
        </w:rPr>
        <w:t xml:space="preserve"> </w:t>
      </w:r>
      <w:r w:rsidR="00E66E56" w:rsidRPr="00FD211F">
        <w:rPr>
          <w:sz w:val="36"/>
          <w:szCs w:val="36"/>
          <w:rtl/>
        </w:rPr>
        <w:t>للتقييد</w:t>
      </w:r>
      <w:r w:rsidR="00E8128F">
        <w:rPr>
          <w:sz w:val="36"/>
          <w:szCs w:val="36"/>
          <w:rtl/>
        </w:rPr>
        <w:t xml:space="preserve"> </w:t>
      </w:r>
      <w:r w:rsidR="00E66E56" w:rsidRPr="00FD211F">
        <w:rPr>
          <w:sz w:val="36"/>
          <w:szCs w:val="36"/>
          <w:rtl/>
        </w:rPr>
        <w:t>والتضييق</w:t>
      </w:r>
      <w:r w:rsidR="00E8128F">
        <w:rPr>
          <w:sz w:val="36"/>
          <w:szCs w:val="36"/>
          <w:rtl/>
        </w:rPr>
        <w:t xml:space="preserve"> </w:t>
      </w:r>
      <w:r w:rsidR="001F0DF8" w:rsidRPr="00FD211F">
        <w:rPr>
          <w:sz w:val="36"/>
          <w:szCs w:val="36"/>
          <w:rtl/>
        </w:rPr>
        <w:t>-</w:t>
      </w:r>
      <w:r w:rsidR="00E8128F">
        <w:rPr>
          <w:sz w:val="36"/>
          <w:szCs w:val="36"/>
          <w:rtl/>
        </w:rPr>
        <w:t xml:space="preserve"> </w:t>
      </w:r>
      <w:r w:rsidRPr="00FD211F">
        <w:rPr>
          <w:sz w:val="36"/>
          <w:szCs w:val="36"/>
          <w:rtl/>
        </w:rPr>
        <w:t>وهذا</w:t>
      </w:r>
      <w:r w:rsidR="00E8128F">
        <w:rPr>
          <w:sz w:val="36"/>
          <w:szCs w:val="36"/>
          <w:rtl/>
        </w:rPr>
        <w:t xml:space="preserve"> </w:t>
      </w:r>
      <w:r w:rsidRPr="00FD211F">
        <w:rPr>
          <w:sz w:val="36"/>
          <w:szCs w:val="36"/>
          <w:rtl/>
        </w:rPr>
        <w:t>بخلاف</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المأخوذ</w:t>
      </w:r>
      <w:r w:rsidR="00E8128F">
        <w:rPr>
          <w:sz w:val="36"/>
          <w:szCs w:val="36"/>
          <w:rtl/>
        </w:rPr>
        <w:t xml:space="preserve"> </w:t>
      </w:r>
      <w:r w:rsidRPr="00FD211F">
        <w:rPr>
          <w:sz w:val="36"/>
          <w:szCs w:val="36"/>
          <w:rtl/>
        </w:rPr>
        <w:t>مصداق</w:t>
      </w:r>
      <w:r w:rsidR="00E8128F">
        <w:rPr>
          <w:sz w:val="36"/>
          <w:szCs w:val="36"/>
          <w:rtl/>
        </w:rPr>
        <w:t xml:space="preserve"> </w:t>
      </w:r>
      <w:r w:rsidRPr="00FD211F">
        <w:rPr>
          <w:sz w:val="36"/>
          <w:szCs w:val="36"/>
          <w:rtl/>
        </w:rPr>
        <w:t>الشيئ</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قيل</w:t>
      </w:r>
      <w:r w:rsidR="00E8128F">
        <w:rPr>
          <w:sz w:val="36"/>
          <w:szCs w:val="36"/>
          <w:rtl/>
        </w:rPr>
        <w:t xml:space="preserve"> </w:t>
      </w:r>
      <w:r w:rsidR="001F0DF8" w:rsidRPr="00FD211F">
        <w:rPr>
          <w:sz w:val="36"/>
          <w:szCs w:val="36"/>
          <w:rtl/>
        </w:rPr>
        <w:t>مثلا</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انسان</w:t>
      </w:r>
      <w:r w:rsidR="00E8128F">
        <w:rPr>
          <w:sz w:val="36"/>
          <w:szCs w:val="36"/>
          <w:rtl/>
        </w:rPr>
        <w:t xml:space="preserve"> </w:t>
      </w:r>
      <w:r w:rsidRPr="00FD211F">
        <w:rPr>
          <w:sz w:val="36"/>
          <w:szCs w:val="36"/>
          <w:rtl/>
        </w:rPr>
        <w:t>له</w:t>
      </w:r>
      <w:r w:rsidR="00E8128F">
        <w:rPr>
          <w:sz w:val="36"/>
          <w:szCs w:val="36"/>
          <w:rtl/>
        </w:rPr>
        <w:t xml:space="preserve"> </w:t>
      </w:r>
      <w:r w:rsidR="001F0DF8" w:rsidRPr="00FD211F">
        <w:rPr>
          <w:sz w:val="36"/>
          <w:szCs w:val="36"/>
          <w:rtl/>
        </w:rPr>
        <w:t>الضحك</w:t>
      </w:r>
      <w:r w:rsidR="00E8128F">
        <w:rPr>
          <w:sz w:val="36"/>
          <w:szCs w:val="36"/>
          <w:rtl/>
        </w:rPr>
        <w:t xml:space="preserve"> </w:t>
      </w:r>
      <w:r w:rsidR="002940BF" w:rsidRPr="00FD211F">
        <w:rPr>
          <w:sz w:val="36"/>
          <w:szCs w:val="36"/>
          <w:rtl/>
        </w:rPr>
        <w:t>بالقو</w:t>
      </w:r>
      <w:r w:rsidR="00EC7EDF" w:rsidRPr="00FD211F">
        <w:rPr>
          <w:sz w:val="36"/>
          <w:szCs w:val="36"/>
          <w:rtl/>
        </w:rPr>
        <w:t>ة</w:t>
      </w:r>
      <w:r w:rsidR="00E8128F">
        <w:rPr>
          <w:sz w:val="36"/>
          <w:szCs w:val="36"/>
          <w:rtl/>
        </w:rPr>
        <w:t xml:space="preserve"> </w:t>
      </w:r>
      <w:r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القيد</w:t>
      </w:r>
      <w:r w:rsidR="00E8128F">
        <w:rPr>
          <w:sz w:val="36"/>
          <w:szCs w:val="36"/>
          <w:rtl/>
        </w:rPr>
        <w:t xml:space="preserve"> </w:t>
      </w:r>
      <w:r w:rsidRPr="00FD211F">
        <w:rPr>
          <w:sz w:val="36"/>
          <w:szCs w:val="36"/>
          <w:rtl/>
        </w:rPr>
        <w:t>مجرد</w:t>
      </w:r>
      <w:r w:rsidR="00E8128F">
        <w:rPr>
          <w:sz w:val="36"/>
          <w:szCs w:val="36"/>
          <w:rtl/>
        </w:rPr>
        <w:t xml:space="preserve"> </w:t>
      </w:r>
      <w:r w:rsidRPr="00FD211F">
        <w:rPr>
          <w:sz w:val="36"/>
          <w:szCs w:val="36"/>
          <w:rtl/>
        </w:rPr>
        <w:t>عنوان</w:t>
      </w:r>
      <w:r w:rsidR="00E8128F">
        <w:rPr>
          <w:sz w:val="36"/>
          <w:szCs w:val="36"/>
          <w:rtl/>
        </w:rPr>
        <w:t xml:space="preserve"> </w:t>
      </w:r>
      <w:r w:rsidRPr="00FD211F">
        <w:rPr>
          <w:sz w:val="36"/>
          <w:szCs w:val="36"/>
          <w:rtl/>
        </w:rPr>
        <w:t>مشير</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ذات</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فانقلاب</w:t>
      </w:r>
      <w:r w:rsidR="00E8128F">
        <w:rPr>
          <w:sz w:val="36"/>
          <w:szCs w:val="36"/>
          <w:rtl/>
        </w:rPr>
        <w:t xml:space="preserve"> </w:t>
      </w:r>
      <w:r w:rsidRPr="00FD211F">
        <w:rPr>
          <w:sz w:val="36"/>
          <w:szCs w:val="36"/>
          <w:rtl/>
        </w:rPr>
        <w:t>القضي</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القضي</w:t>
      </w:r>
      <w:r w:rsidR="00EC7EDF" w:rsidRPr="00FD211F">
        <w:rPr>
          <w:sz w:val="36"/>
          <w:szCs w:val="36"/>
          <w:rtl/>
        </w:rPr>
        <w:t>ة</w:t>
      </w:r>
      <w:r w:rsidR="00E8128F">
        <w:rPr>
          <w:sz w:val="36"/>
          <w:szCs w:val="36"/>
          <w:rtl/>
        </w:rPr>
        <w:t xml:space="preserve"> </w:t>
      </w:r>
      <w:r w:rsidRPr="00FD211F">
        <w:rPr>
          <w:sz w:val="36"/>
          <w:szCs w:val="36"/>
          <w:rtl/>
        </w:rPr>
        <w:t>الضروري</w:t>
      </w:r>
      <w:r w:rsidR="00EC7EDF" w:rsidRPr="00FD211F">
        <w:rPr>
          <w:sz w:val="36"/>
          <w:szCs w:val="36"/>
          <w:rtl/>
        </w:rPr>
        <w:t>ة</w:t>
      </w:r>
      <w:r w:rsidR="00E8128F">
        <w:rPr>
          <w:sz w:val="36"/>
          <w:szCs w:val="36"/>
          <w:rtl/>
        </w:rPr>
        <w:t xml:space="preserve"> </w:t>
      </w:r>
      <w:r w:rsidRPr="00FD211F">
        <w:rPr>
          <w:sz w:val="36"/>
          <w:szCs w:val="36"/>
          <w:rtl/>
        </w:rPr>
        <w:t>ظاهر</w:t>
      </w:r>
      <w:r w:rsidR="00603323" w:rsidRPr="00FD211F">
        <w:rPr>
          <w:sz w:val="36"/>
          <w:szCs w:val="36"/>
          <w:rtl/>
        </w:rPr>
        <w:t>،</w:t>
      </w:r>
      <w:r w:rsidR="00E8128F">
        <w:rPr>
          <w:sz w:val="36"/>
          <w:szCs w:val="36"/>
          <w:rtl/>
        </w:rPr>
        <w:t xml:space="preserve"> </w:t>
      </w:r>
      <w:r w:rsidRPr="00FD211F">
        <w:rPr>
          <w:sz w:val="36"/>
          <w:szCs w:val="36"/>
          <w:rtl/>
        </w:rPr>
        <w:t>لان</w:t>
      </w:r>
      <w:r w:rsidR="00E8128F">
        <w:rPr>
          <w:sz w:val="36"/>
          <w:szCs w:val="36"/>
          <w:rtl/>
        </w:rPr>
        <w:t xml:space="preserve"> </w:t>
      </w:r>
      <w:r w:rsidRPr="00FD211F">
        <w:rPr>
          <w:sz w:val="36"/>
          <w:szCs w:val="36"/>
          <w:rtl/>
        </w:rPr>
        <w:t>ثبوت</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للانسان</w:t>
      </w:r>
      <w:r w:rsidR="00E8128F">
        <w:rPr>
          <w:sz w:val="36"/>
          <w:szCs w:val="36"/>
          <w:rtl/>
        </w:rPr>
        <w:t xml:space="preserve"> </w:t>
      </w:r>
      <w:r w:rsidRPr="00FD211F">
        <w:rPr>
          <w:sz w:val="36"/>
          <w:szCs w:val="36"/>
          <w:rtl/>
        </w:rPr>
        <w:t>ضروري</w:t>
      </w:r>
      <w:r w:rsidR="00603323" w:rsidRPr="00FD211F">
        <w:rPr>
          <w:sz w:val="36"/>
          <w:szCs w:val="36"/>
          <w:rtl/>
        </w:rPr>
        <w:t>،</w:t>
      </w:r>
      <w:r w:rsidR="00E8128F">
        <w:rPr>
          <w:sz w:val="36"/>
          <w:szCs w:val="36"/>
          <w:rtl/>
        </w:rPr>
        <w:t xml:space="preserve"> </w:t>
      </w:r>
      <w:r w:rsidR="001F0DF8" w:rsidRPr="00FD211F">
        <w:rPr>
          <w:sz w:val="36"/>
          <w:szCs w:val="36"/>
          <w:rtl/>
        </w:rPr>
        <w:t>وان</w:t>
      </w:r>
      <w:r w:rsidR="00E8128F">
        <w:rPr>
          <w:sz w:val="36"/>
          <w:szCs w:val="36"/>
          <w:rtl/>
        </w:rPr>
        <w:t xml:space="preserve"> </w:t>
      </w:r>
      <w:r w:rsidR="001F0DF8" w:rsidRPr="00FD211F">
        <w:rPr>
          <w:sz w:val="36"/>
          <w:szCs w:val="36"/>
          <w:rtl/>
        </w:rPr>
        <w:t>كان</w:t>
      </w:r>
      <w:r w:rsidR="00E8128F">
        <w:rPr>
          <w:sz w:val="36"/>
          <w:szCs w:val="36"/>
          <w:rtl/>
        </w:rPr>
        <w:t xml:space="preserve"> </w:t>
      </w:r>
      <w:r w:rsidR="00FA432D" w:rsidRPr="00FD211F">
        <w:rPr>
          <w:sz w:val="36"/>
          <w:szCs w:val="36"/>
          <w:rtl/>
        </w:rPr>
        <w:t>القيد</w:t>
      </w:r>
      <w:r w:rsidR="00E8128F">
        <w:rPr>
          <w:sz w:val="36"/>
          <w:szCs w:val="36"/>
          <w:rtl/>
        </w:rPr>
        <w:t xml:space="preserve"> </w:t>
      </w:r>
      <w:r w:rsidR="00FA432D" w:rsidRPr="00FD211F">
        <w:rPr>
          <w:sz w:val="36"/>
          <w:szCs w:val="36"/>
          <w:rtl/>
        </w:rPr>
        <w:t>داخلا</w:t>
      </w:r>
      <w:r w:rsidR="00E8128F">
        <w:rPr>
          <w:sz w:val="36"/>
          <w:szCs w:val="36"/>
          <w:rtl/>
        </w:rPr>
        <w:t xml:space="preserve"> </w:t>
      </w:r>
      <w:r w:rsidR="00FA432D" w:rsidRPr="00FD211F">
        <w:rPr>
          <w:sz w:val="36"/>
          <w:szCs w:val="36"/>
          <w:rtl/>
        </w:rPr>
        <w:t>في</w:t>
      </w:r>
      <w:r w:rsidR="00E8128F">
        <w:rPr>
          <w:sz w:val="36"/>
          <w:szCs w:val="36"/>
          <w:rtl/>
        </w:rPr>
        <w:t xml:space="preserve"> </w:t>
      </w:r>
      <w:r w:rsidR="00FA432D" w:rsidRPr="00FD211F">
        <w:rPr>
          <w:sz w:val="36"/>
          <w:szCs w:val="36"/>
          <w:rtl/>
        </w:rPr>
        <w:t>المحمول</w:t>
      </w:r>
      <w:r w:rsidR="00E8128F">
        <w:rPr>
          <w:sz w:val="36"/>
          <w:szCs w:val="36"/>
          <w:rtl/>
        </w:rPr>
        <w:t xml:space="preserve"> </w:t>
      </w:r>
      <w:r w:rsidR="009977FE" w:rsidRPr="00FD211F">
        <w:rPr>
          <w:sz w:val="36"/>
          <w:szCs w:val="36"/>
          <w:rtl/>
        </w:rPr>
        <w:t>و</w:t>
      </w:r>
      <w:r w:rsidR="00E8128F">
        <w:rPr>
          <w:sz w:val="36"/>
          <w:szCs w:val="36"/>
          <w:rtl/>
        </w:rPr>
        <w:t xml:space="preserve"> </w:t>
      </w:r>
      <w:r w:rsidR="008D7B3D" w:rsidRPr="00FD211F">
        <w:rPr>
          <w:sz w:val="36"/>
          <w:szCs w:val="36"/>
          <w:rtl/>
        </w:rPr>
        <w:t>لم‌</w:t>
      </w:r>
      <w:r w:rsidR="001F0DF8" w:rsidRPr="00FD211F">
        <w:rPr>
          <w:sz w:val="36"/>
          <w:szCs w:val="36"/>
          <w:rtl/>
        </w:rPr>
        <w:t>يكن</w:t>
      </w:r>
      <w:r w:rsidR="00E8128F">
        <w:rPr>
          <w:sz w:val="36"/>
          <w:szCs w:val="36"/>
          <w:rtl/>
        </w:rPr>
        <w:t xml:space="preserve"> </w:t>
      </w:r>
      <w:r w:rsidR="00FA432D" w:rsidRPr="00FD211F">
        <w:rPr>
          <w:sz w:val="36"/>
          <w:szCs w:val="36"/>
          <w:rtl/>
        </w:rPr>
        <w:t>مجرد</w:t>
      </w:r>
      <w:r w:rsidR="00E8128F">
        <w:rPr>
          <w:sz w:val="36"/>
          <w:szCs w:val="36"/>
          <w:rtl/>
        </w:rPr>
        <w:t xml:space="preserve"> </w:t>
      </w:r>
      <w:r w:rsidR="00FA432D" w:rsidRPr="00FD211F">
        <w:rPr>
          <w:sz w:val="36"/>
          <w:szCs w:val="36"/>
          <w:rtl/>
        </w:rPr>
        <w:t>عنوان</w:t>
      </w:r>
      <w:r w:rsidR="00E8128F">
        <w:rPr>
          <w:sz w:val="36"/>
          <w:szCs w:val="36"/>
          <w:rtl/>
        </w:rPr>
        <w:t xml:space="preserve"> </w:t>
      </w:r>
      <w:r w:rsidR="00FA432D" w:rsidRPr="00FD211F">
        <w:rPr>
          <w:sz w:val="36"/>
          <w:szCs w:val="36"/>
          <w:rtl/>
        </w:rPr>
        <w:t>مشير</w:t>
      </w:r>
      <w:r w:rsidR="00603323" w:rsidRPr="00FD211F">
        <w:rPr>
          <w:sz w:val="36"/>
          <w:szCs w:val="36"/>
          <w:rtl/>
        </w:rPr>
        <w:t>،</w:t>
      </w:r>
      <w:r w:rsidR="00E8128F">
        <w:rPr>
          <w:sz w:val="36"/>
          <w:szCs w:val="36"/>
          <w:rtl/>
        </w:rPr>
        <w:t xml:space="preserve"> </w:t>
      </w:r>
      <w:r w:rsidR="001F0DF8" w:rsidRPr="00FD211F">
        <w:rPr>
          <w:sz w:val="36"/>
          <w:szCs w:val="36"/>
          <w:rtl/>
        </w:rPr>
        <w:t>فحيث</w:t>
      </w:r>
      <w:r w:rsidR="00E8128F">
        <w:rPr>
          <w:sz w:val="36"/>
          <w:szCs w:val="36"/>
          <w:rtl/>
        </w:rPr>
        <w:t xml:space="preserve"> </w:t>
      </w:r>
      <w:r w:rsidR="001F0DF8" w:rsidRPr="00FD211F">
        <w:rPr>
          <w:sz w:val="36"/>
          <w:szCs w:val="36"/>
          <w:rtl/>
        </w:rPr>
        <w:t>لايتصور</w:t>
      </w:r>
      <w:r w:rsidR="00E8128F">
        <w:rPr>
          <w:sz w:val="36"/>
          <w:szCs w:val="36"/>
          <w:rtl/>
        </w:rPr>
        <w:t xml:space="preserve"> </w:t>
      </w:r>
      <w:r w:rsidR="001F0DF8" w:rsidRPr="00FD211F">
        <w:rPr>
          <w:sz w:val="36"/>
          <w:szCs w:val="36"/>
          <w:rtl/>
        </w:rPr>
        <w:t>تضييق</w:t>
      </w:r>
      <w:r w:rsidR="00E8128F">
        <w:rPr>
          <w:sz w:val="36"/>
          <w:szCs w:val="36"/>
          <w:rtl/>
        </w:rPr>
        <w:t xml:space="preserve"> </w:t>
      </w:r>
      <w:r w:rsidR="001F0DF8" w:rsidRPr="00FD211F">
        <w:rPr>
          <w:sz w:val="36"/>
          <w:szCs w:val="36"/>
          <w:rtl/>
        </w:rPr>
        <w:t>دائر</w:t>
      </w:r>
      <w:r w:rsidR="00EC7EDF" w:rsidRPr="00FD211F">
        <w:rPr>
          <w:sz w:val="36"/>
          <w:szCs w:val="36"/>
          <w:rtl/>
        </w:rPr>
        <w:t>ة</w:t>
      </w:r>
      <w:r w:rsidR="00E8128F">
        <w:rPr>
          <w:sz w:val="36"/>
          <w:szCs w:val="36"/>
          <w:rtl/>
        </w:rPr>
        <w:t xml:space="preserve"> </w:t>
      </w:r>
      <w:r w:rsidR="001F0DF8" w:rsidRPr="00FD211F">
        <w:rPr>
          <w:sz w:val="36"/>
          <w:szCs w:val="36"/>
          <w:rtl/>
        </w:rPr>
        <w:t>معنى</w:t>
      </w:r>
      <w:r w:rsidR="00E8128F">
        <w:rPr>
          <w:sz w:val="36"/>
          <w:szCs w:val="36"/>
          <w:rtl/>
        </w:rPr>
        <w:t xml:space="preserve"> </w:t>
      </w:r>
      <w:r w:rsidR="001F0DF8" w:rsidRPr="00FD211F">
        <w:rPr>
          <w:sz w:val="36"/>
          <w:szCs w:val="36"/>
          <w:rtl/>
        </w:rPr>
        <w:t>الانسان</w:t>
      </w:r>
      <w:r w:rsidR="00E8128F">
        <w:rPr>
          <w:sz w:val="36"/>
          <w:szCs w:val="36"/>
          <w:rtl/>
        </w:rPr>
        <w:t xml:space="preserve"> </w:t>
      </w:r>
      <w:r w:rsidR="001F0DF8" w:rsidRPr="00FD211F">
        <w:rPr>
          <w:sz w:val="36"/>
          <w:szCs w:val="36"/>
          <w:rtl/>
        </w:rPr>
        <w:t>بكونه</w:t>
      </w:r>
      <w:r w:rsidR="00E8128F">
        <w:rPr>
          <w:sz w:val="36"/>
          <w:szCs w:val="36"/>
          <w:rtl/>
        </w:rPr>
        <w:t xml:space="preserve"> </w:t>
      </w:r>
      <w:r w:rsidR="001F0DF8" w:rsidRPr="00FD211F">
        <w:rPr>
          <w:sz w:val="36"/>
          <w:szCs w:val="36"/>
          <w:rtl/>
        </w:rPr>
        <w:t>ضاحكا</w:t>
      </w:r>
      <w:r w:rsidR="00E8128F">
        <w:rPr>
          <w:sz w:val="36"/>
          <w:szCs w:val="36"/>
          <w:rtl/>
        </w:rPr>
        <w:t xml:space="preserve"> </w:t>
      </w:r>
      <w:r w:rsidR="001F0DF8" w:rsidRPr="00FD211F">
        <w:rPr>
          <w:sz w:val="36"/>
          <w:szCs w:val="36"/>
          <w:rtl/>
        </w:rPr>
        <w:t>على</w:t>
      </w:r>
      <w:r w:rsidR="00E8128F">
        <w:rPr>
          <w:sz w:val="36"/>
          <w:szCs w:val="36"/>
          <w:rtl/>
        </w:rPr>
        <w:t xml:space="preserve"> </w:t>
      </w:r>
      <w:r w:rsidR="001F0DF8" w:rsidRPr="00FD211F">
        <w:rPr>
          <w:sz w:val="36"/>
          <w:szCs w:val="36"/>
          <w:rtl/>
        </w:rPr>
        <w:t>حد</w:t>
      </w:r>
      <w:r w:rsidR="00E8128F">
        <w:rPr>
          <w:sz w:val="36"/>
          <w:szCs w:val="36"/>
          <w:rtl/>
        </w:rPr>
        <w:t xml:space="preserve"> </w:t>
      </w:r>
      <w:r w:rsidR="001F0DF8" w:rsidRPr="00FD211F">
        <w:rPr>
          <w:sz w:val="36"/>
          <w:szCs w:val="36"/>
          <w:rtl/>
        </w:rPr>
        <w:t>سائر</w:t>
      </w:r>
      <w:r w:rsidR="00E8128F">
        <w:rPr>
          <w:sz w:val="36"/>
          <w:szCs w:val="36"/>
          <w:rtl/>
        </w:rPr>
        <w:t xml:space="preserve"> </w:t>
      </w:r>
      <w:r w:rsidR="001F0DF8" w:rsidRPr="00FD211F">
        <w:rPr>
          <w:sz w:val="36"/>
          <w:szCs w:val="36"/>
          <w:rtl/>
        </w:rPr>
        <w:t>التقييدات</w:t>
      </w:r>
      <w:r w:rsidR="00E8128F">
        <w:rPr>
          <w:sz w:val="36"/>
          <w:szCs w:val="36"/>
          <w:rtl/>
        </w:rPr>
        <w:t xml:space="preserve"> </w:t>
      </w:r>
      <w:r w:rsidR="001F0DF8" w:rsidRPr="00FD211F">
        <w:rPr>
          <w:sz w:val="36"/>
          <w:szCs w:val="36"/>
          <w:rtl/>
        </w:rPr>
        <w:t>لان</w:t>
      </w:r>
      <w:r w:rsidR="00E8128F">
        <w:rPr>
          <w:sz w:val="36"/>
          <w:szCs w:val="36"/>
          <w:rtl/>
        </w:rPr>
        <w:t xml:space="preserve"> </w:t>
      </w:r>
      <w:r w:rsidR="001F0DF8" w:rsidRPr="00FD211F">
        <w:rPr>
          <w:sz w:val="36"/>
          <w:szCs w:val="36"/>
          <w:rtl/>
        </w:rPr>
        <w:t>الانسان</w:t>
      </w:r>
      <w:r w:rsidR="00E8128F">
        <w:rPr>
          <w:sz w:val="36"/>
          <w:szCs w:val="36"/>
          <w:rtl/>
        </w:rPr>
        <w:t xml:space="preserve"> </w:t>
      </w:r>
      <w:r w:rsidR="001F0DF8" w:rsidRPr="00FD211F">
        <w:rPr>
          <w:sz w:val="36"/>
          <w:szCs w:val="36"/>
          <w:rtl/>
        </w:rPr>
        <w:t>ضاحك</w:t>
      </w:r>
      <w:r w:rsidR="00E8128F">
        <w:rPr>
          <w:sz w:val="36"/>
          <w:szCs w:val="36"/>
          <w:rtl/>
        </w:rPr>
        <w:t xml:space="preserve"> </w:t>
      </w:r>
      <w:r w:rsidR="001F0DF8" w:rsidRPr="00FD211F">
        <w:rPr>
          <w:sz w:val="36"/>
          <w:szCs w:val="36"/>
          <w:rtl/>
        </w:rPr>
        <w:t>(اي</w:t>
      </w:r>
      <w:r w:rsidR="00E8128F">
        <w:rPr>
          <w:sz w:val="36"/>
          <w:szCs w:val="36"/>
          <w:rtl/>
        </w:rPr>
        <w:t xml:space="preserve"> </w:t>
      </w:r>
      <w:r w:rsidR="001F0DF8" w:rsidRPr="00FD211F">
        <w:rPr>
          <w:sz w:val="36"/>
          <w:szCs w:val="36"/>
          <w:rtl/>
        </w:rPr>
        <w:t>بالقو</w:t>
      </w:r>
      <w:r w:rsidR="00EC7EDF" w:rsidRPr="00FD211F">
        <w:rPr>
          <w:sz w:val="36"/>
          <w:szCs w:val="36"/>
          <w:rtl/>
        </w:rPr>
        <w:t>ة</w:t>
      </w:r>
      <w:r w:rsidR="00E8128F">
        <w:rPr>
          <w:sz w:val="36"/>
          <w:szCs w:val="36"/>
          <w:rtl/>
        </w:rPr>
        <w:t xml:space="preserve"> </w:t>
      </w:r>
      <w:r w:rsidR="001F0DF8" w:rsidRPr="00FD211F">
        <w:rPr>
          <w:sz w:val="36"/>
          <w:szCs w:val="36"/>
          <w:rtl/>
        </w:rPr>
        <w:t>)</w:t>
      </w:r>
      <w:r w:rsidR="00E8128F">
        <w:rPr>
          <w:sz w:val="36"/>
          <w:szCs w:val="36"/>
          <w:rtl/>
        </w:rPr>
        <w:t xml:space="preserve"> </w:t>
      </w:r>
      <w:r w:rsidR="001F0DF8" w:rsidRPr="00FD211F">
        <w:rPr>
          <w:sz w:val="36"/>
          <w:szCs w:val="36"/>
          <w:rtl/>
        </w:rPr>
        <w:t>دائما</w:t>
      </w:r>
      <w:r w:rsidR="00E8128F">
        <w:rPr>
          <w:sz w:val="36"/>
          <w:szCs w:val="36"/>
          <w:rtl/>
        </w:rPr>
        <w:t xml:space="preserve"> </w:t>
      </w:r>
      <w:r w:rsidR="001F0DF8" w:rsidRPr="00FD211F">
        <w:rPr>
          <w:sz w:val="36"/>
          <w:szCs w:val="36"/>
          <w:rtl/>
        </w:rPr>
        <w:t>فليس</w:t>
      </w:r>
      <w:r w:rsidR="00E8128F">
        <w:rPr>
          <w:sz w:val="36"/>
          <w:szCs w:val="36"/>
          <w:rtl/>
        </w:rPr>
        <w:t xml:space="preserve"> </w:t>
      </w:r>
      <w:r w:rsidR="001F0DF8" w:rsidRPr="00FD211F">
        <w:rPr>
          <w:sz w:val="36"/>
          <w:szCs w:val="36"/>
          <w:rtl/>
        </w:rPr>
        <w:t>مقسما</w:t>
      </w:r>
      <w:r w:rsidR="00E8128F">
        <w:rPr>
          <w:sz w:val="36"/>
          <w:szCs w:val="36"/>
          <w:rtl/>
        </w:rPr>
        <w:t xml:space="preserve"> </w:t>
      </w:r>
      <w:r w:rsidR="001F0DF8" w:rsidRPr="00FD211F">
        <w:rPr>
          <w:sz w:val="36"/>
          <w:szCs w:val="36"/>
          <w:rtl/>
        </w:rPr>
        <w:t>للضاحك</w:t>
      </w:r>
      <w:r w:rsidR="00E8128F">
        <w:rPr>
          <w:sz w:val="36"/>
          <w:szCs w:val="36"/>
          <w:rtl/>
        </w:rPr>
        <w:t xml:space="preserve"> </w:t>
      </w:r>
      <w:r w:rsidR="001F0DF8" w:rsidRPr="00FD211F">
        <w:rPr>
          <w:sz w:val="36"/>
          <w:szCs w:val="36"/>
          <w:rtl/>
        </w:rPr>
        <w:t>وغير</w:t>
      </w:r>
      <w:r w:rsidR="00E8128F">
        <w:rPr>
          <w:sz w:val="36"/>
          <w:szCs w:val="36"/>
          <w:rtl/>
        </w:rPr>
        <w:t xml:space="preserve"> </w:t>
      </w:r>
      <w:r w:rsidR="001F0DF8" w:rsidRPr="00FD211F">
        <w:rPr>
          <w:sz w:val="36"/>
          <w:szCs w:val="36"/>
          <w:rtl/>
        </w:rPr>
        <w:t>الضاحك</w:t>
      </w:r>
      <w:r w:rsidR="00603323" w:rsidRPr="00FD211F">
        <w:rPr>
          <w:sz w:val="36"/>
          <w:szCs w:val="36"/>
          <w:rtl/>
        </w:rPr>
        <w:t>،</w:t>
      </w:r>
      <w:r w:rsidR="00E8128F">
        <w:rPr>
          <w:sz w:val="36"/>
          <w:szCs w:val="36"/>
          <w:rtl/>
        </w:rPr>
        <w:t xml:space="preserve"> </w:t>
      </w:r>
      <w:r w:rsidR="00FA432D" w:rsidRPr="00FD211F">
        <w:rPr>
          <w:sz w:val="36"/>
          <w:szCs w:val="36"/>
          <w:rtl/>
        </w:rPr>
        <w:t>فلابد</w:t>
      </w:r>
      <w:r w:rsidR="00E8128F">
        <w:rPr>
          <w:sz w:val="36"/>
          <w:szCs w:val="36"/>
          <w:rtl/>
        </w:rPr>
        <w:t xml:space="preserve"> </w:t>
      </w:r>
      <w:r w:rsidR="00FA432D" w:rsidRPr="00FD211F">
        <w:rPr>
          <w:sz w:val="36"/>
          <w:szCs w:val="36"/>
          <w:rtl/>
        </w:rPr>
        <w:t>ان</w:t>
      </w:r>
      <w:r w:rsidR="00E8128F">
        <w:rPr>
          <w:sz w:val="36"/>
          <w:szCs w:val="36"/>
          <w:rtl/>
        </w:rPr>
        <w:t xml:space="preserve"> </w:t>
      </w:r>
      <w:r w:rsidR="00FA432D" w:rsidRPr="00FD211F">
        <w:rPr>
          <w:sz w:val="36"/>
          <w:szCs w:val="36"/>
          <w:rtl/>
        </w:rPr>
        <w:t>يكون</w:t>
      </w:r>
      <w:r w:rsidR="00E8128F">
        <w:rPr>
          <w:sz w:val="36"/>
          <w:szCs w:val="36"/>
          <w:rtl/>
        </w:rPr>
        <w:t xml:space="preserve"> </w:t>
      </w:r>
      <w:r w:rsidR="00FA432D" w:rsidRPr="00FD211F">
        <w:rPr>
          <w:sz w:val="36"/>
          <w:szCs w:val="36"/>
          <w:rtl/>
        </w:rPr>
        <w:t>خبرا</w:t>
      </w:r>
      <w:r w:rsidR="00E8128F">
        <w:rPr>
          <w:sz w:val="36"/>
          <w:szCs w:val="36"/>
          <w:rtl/>
        </w:rPr>
        <w:t xml:space="preserve"> </w:t>
      </w:r>
      <w:r w:rsidR="00FA432D" w:rsidRPr="00FD211F">
        <w:rPr>
          <w:sz w:val="36"/>
          <w:szCs w:val="36"/>
          <w:rtl/>
        </w:rPr>
        <w:t>مستقلا</w:t>
      </w:r>
      <w:r w:rsidR="00E8128F">
        <w:rPr>
          <w:sz w:val="36"/>
          <w:szCs w:val="36"/>
          <w:rtl/>
        </w:rPr>
        <w:t xml:space="preserve"> </w:t>
      </w:r>
      <w:r w:rsidR="00FA432D" w:rsidRPr="00FD211F">
        <w:rPr>
          <w:sz w:val="36"/>
          <w:szCs w:val="36"/>
          <w:rtl/>
        </w:rPr>
        <w:t>ف</w:t>
      </w:r>
      <w:r w:rsidRPr="00FD211F">
        <w:rPr>
          <w:sz w:val="36"/>
          <w:szCs w:val="36"/>
          <w:rtl/>
        </w:rPr>
        <w:t>ينحل</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قضيتين</w:t>
      </w:r>
      <w:r w:rsidR="00E8128F">
        <w:rPr>
          <w:sz w:val="36"/>
          <w:szCs w:val="36"/>
          <w:rtl/>
        </w:rPr>
        <w:t xml:space="preserve"> </w:t>
      </w:r>
      <w:r w:rsidRPr="00FD211F">
        <w:rPr>
          <w:sz w:val="36"/>
          <w:szCs w:val="36"/>
          <w:rtl/>
        </w:rPr>
        <w:t>احديهما</w:t>
      </w:r>
      <w:r w:rsidR="00E8128F">
        <w:rPr>
          <w:sz w:val="36"/>
          <w:szCs w:val="36"/>
          <w:rtl/>
        </w:rPr>
        <w:t xml:space="preserve"> </w:t>
      </w:r>
      <w:r w:rsidR="00D00EF9" w:rsidRPr="00FD211F">
        <w:rPr>
          <w:sz w:val="36"/>
          <w:szCs w:val="36"/>
          <w:rtl/>
        </w:rPr>
        <w:t>"</w:t>
      </w:r>
      <w:r w:rsidRPr="00FD211F">
        <w:rPr>
          <w:sz w:val="36"/>
          <w:szCs w:val="36"/>
          <w:rtl/>
        </w:rPr>
        <w:t>ان</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انسان</w:t>
      </w:r>
      <w:r w:rsidR="00D00EF9" w:rsidRPr="00FD211F">
        <w:rPr>
          <w:sz w:val="36"/>
          <w:szCs w:val="36"/>
          <w:rtl/>
        </w:rPr>
        <w:t>"</w:t>
      </w:r>
      <w:r w:rsidR="00E8128F">
        <w:rPr>
          <w:sz w:val="36"/>
          <w:szCs w:val="36"/>
          <w:rtl/>
        </w:rPr>
        <w:t xml:space="preserve"> </w:t>
      </w:r>
      <w:r w:rsidRPr="00FD211F">
        <w:rPr>
          <w:sz w:val="36"/>
          <w:szCs w:val="36"/>
          <w:rtl/>
        </w:rPr>
        <w:t>والأخرى</w:t>
      </w:r>
      <w:r w:rsidR="00E8128F">
        <w:rPr>
          <w:sz w:val="36"/>
          <w:szCs w:val="36"/>
          <w:rtl/>
        </w:rPr>
        <w:t xml:space="preserve"> </w:t>
      </w:r>
      <w:r w:rsidR="00D00EF9" w:rsidRPr="00FD211F">
        <w:rPr>
          <w:sz w:val="36"/>
          <w:szCs w:val="36"/>
          <w:rtl/>
        </w:rPr>
        <w:t>"</w:t>
      </w:r>
      <w:r w:rsidRPr="00FD211F">
        <w:rPr>
          <w:sz w:val="36"/>
          <w:szCs w:val="36"/>
          <w:rtl/>
        </w:rPr>
        <w:t>ان</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له</w:t>
      </w:r>
      <w:r w:rsidR="00E8128F">
        <w:rPr>
          <w:sz w:val="36"/>
          <w:szCs w:val="36"/>
          <w:rtl/>
        </w:rPr>
        <w:t xml:space="preserve"> </w:t>
      </w:r>
      <w:r w:rsidR="001F0DF8" w:rsidRPr="00FD211F">
        <w:rPr>
          <w:sz w:val="36"/>
          <w:szCs w:val="36"/>
          <w:rtl/>
        </w:rPr>
        <w:t>الضحك</w:t>
      </w:r>
      <w:r w:rsidR="00D00EF9" w:rsidRPr="00FD211F">
        <w:rPr>
          <w:sz w:val="36"/>
          <w:szCs w:val="36"/>
          <w:rtl/>
        </w:rPr>
        <w:t>"</w:t>
      </w:r>
      <w:r w:rsidR="00603323" w:rsidRPr="00FD211F">
        <w:rPr>
          <w:sz w:val="36"/>
          <w:szCs w:val="36"/>
          <w:rtl/>
        </w:rPr>
        <w:t>،</w:t>
      </w:r>
      <w:r w:rsidR="00E8128F">
        <w:rPr>
          <w:sz w:val="36"/>
          <w:szCs w:val="36"/>
          <w:rtl/>
        </w:rPr>
        <w:t xml:space="preserve"> </w:t>
      </w:r>
      <w:r w:rsidRPr="00FD211F">
        <w:rPr>
          <w:sz w:val="36"/>
          <w:szCs w:val="36"/>
          <w:rtl/>
        </w:rPr>
        <w:t>فالقضي</w:t>
      </w:r>
      <w:r w:rsidR="00EC7EDF" w:rsidRPr="00FD211F">
        <w:rPr>
          <w:sz w:val="36"/>
          <w:szCs w:val="36"/>
          <w:rtl/>
        </w:rPr>
        <w:t>ة</w:t>
      </w:r>
      <w:r w:rsidR="00E8128F">
        <w:rPr>
          <w:sz w:val="36"/>
          <w:szCs w:val="36"/>
          <w:rtl/>
        </w:rPr>
        <w:t xml:space="preserve"> </w:t>
      </w:r>
      <w:r w:rsidRPr="00FD211F">
        <w:rPr>
          <w:sz w:val="36"/>
          <w:szCs w:val="36"/>
          <w:rtl/>
        </w:rPr>
        <w:t>الاولى</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ضروري</w:t>
      </w:r>
      <w:r w:rsidR="00EC7EDF" w:rsidRPr="00FD211F">
        <w:rPr>
          <w:sz w:val="36"/>
          <w:szCs w:val="36"/>
          <w:rtl/>
        </w:rPr>
        <w:t>ة</w:t>
      </w:r>
      <w:r w:rsidR="00E8128F">
        <w:rPr>
          <w:sz w:val="36"/>
          <w:szCs w:val="36"/>
          <w:rtl/>
        </w:rPr>
        <w:t xml:space="preserve"> </w:t>
      </w:r>
      <w:r w:rsidRPr="00FD211F">
        <w:rPr>
          <w:sz w:val="36"/>
          <w:szCs w:val="36"/>
          <w:rtl/>
        </w:rPr>
        <w:t>والثاني</w:t>
      </w:r>
      <w:r w:rsidR="00EC7EDF" w:rsidRPr="00FD211F">
        <w:rPr>
          <w:sz w:val="36"/>
          <w:szCs w:val="36"/>
          <w:rtl/>
        </w:rPr>
        <w:t>ة</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م</w:t>
      </w:r>
      <w:r w:rsidR="001F0DF8" w:rsidRPr="00FD211F">
        <w:rPr>
          <w:sz w:val="36"/>
          <w:szCs w:val="36"/>
          <w:rtl/>
        </w:rPr>
        <w:t>مكن</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603"/>
      </w:r>
      <w:r w:rsidR="009C58C8" w:rsidRPr="00FD211F">
        <w:rPr>
          <w:rStyle w:val="a6"/>
          <w:sz w:val="36"/>
          <w:szCs w:val="36"/>
          <w:rtl/>
        </w:rPr>
        <w:t>)</w:t>
      </w:r>
      <w:r w:rsidR="00603323" w:rsidRPr="00FD211F">
        <w:rPr>
          <w:sz w:val="36"/>
          <w:szCs w:val="36"/>
          <w:rtl/>
        </w:rPr>
        <w:t>،</w:t>
      </w:r>
      <w:r w:rsidR="00E8128F">
        <w:rPr>
          <w:sz w:val="36"/>
          <w:szCs w:val="36"/>
          <w:rtl/>
        </w:rPr>
        <w:t xml:space="preserve"> </w:t>
      </w:r>
      <w:r w:rsidR="00D00EF9" w:rsidRPr="00FD211F">
        <w:rPr>
          <w:sz w:val="36"/>
          <w:szCs w:val="36"/>
          <w:rtl/>
        </w:rPr>
        <w:t>ولابأس</w:t>
      </w:r>
      <w:r w:rsidR="00E8128F">
        <w:rPr>
          <w:sz w:val="36"/>
          <w:szCs w:val="36"/>
          <w:rtl/>
        </w:rPr>
        <w:t xml:space="preserve"> </w:t>
      </w:r>
      <w:r w:rsidR="00D00EF9" w:rsidRPr="00FD211F">
        <w:rPr>
          <w:sz w:val="36"/>
          <w:szCs w:val="36"/>
          <w:rtl/>
        </w:rPr>
        <w:t>بما</w:t>
      </w:r>
      <w:r w:rsidR="00E8128F">
        <w:rPr>
          <w:sz w:val="36"/>
          <w:szCs w:val="36"/>
          <w:rtl/>
        </w:rPr>
        <w:t xml:space="preserve"> </w:t>
      </w:r>
      <w:r w:rsidR="00D00EF9" w:rsidRPr="00FD211F">
        <w:rPr>
          <w:sz w:val="36"/>
          <w:szCs w:val="36"/>
          <w:rtl/>
        </w:rPr>
        <w:t>افاده</w:t>
      </w:r>
      <w:r w:rsidR="00D677DC" w:rsidRPr="00FD211F">
        <w:rPr>
          <w:sz w:val="36"/>
          <w:szCs w:val="36"/>
          <w:rtl/>
        </w:rPr>
        <w:t>.</w:t>
      </w:r>
    </w:p>
    <w:p w14:paraId="47AC523A" w14:textId="77777777" w:rsidR="00EE25F7" w:rsidRPr="00FD211F" w:rsidRDefault="00D677DC"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فيمكن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يذكر</w:t>
      </w:r>
      <w:r w:rsidR="00E8128F">
        <w:rPr>
          <w:sz w:val="36"/>
          <w:szCs w:val="36"/>
          <w:rtl/>
        </w:rPr>
        <w:t xml:space="preserve"> </w:t>
      </w:r>
      <w:r w:rsidR="00EE25F7" w:rsidRPr="00FD211F">
        <w:rPr>
          <w:sz w:val="36"/>
          <w:szCs w:val="36"/>
          <w:rtl/>
        </w:rPr>
        <w:t>لتقريب</w:t>
      </w:r>
      <w:r w:rsidR="00E8128F">
        <w:rPr>
          <w:sz w:val="36"/>
          <w:szCs w:val="36"/>
          <w:rtl/>
        </w:rPr>
        <w:t xml:space="preserve"> </w:t>
      </w:r>
      <w:r w:rsidR="00EE25F7" w:rsidRPr="00FD211F">
        <w:rPr>
          <w:sz w:val="36"/>
          <w:szCs w:val="36"/>
          <w:rtl/>
        </w:rPr>
        <w:t>اشكال</w:t>
      </w:r>
      <w:r w:rsidR="00E8128F">
        <w:rPr>
          <w:sz w:val="36"/>
          <w:szCs w:val="36"/>
          <w:rtl/>
        </w:rPr>
        <w:t xml:space="preserve"> </w:t>
      </w:r>
      <w:r w:rsidR="00EE25F7" w:rsidRPr="00FD211F">
        <w:rPr>
          <w:sz w:val="36"/>
          <w:szCs w:val="36"/>
          <w:rtl/>
        </w:rPr>
        <w:t>السيد</w:t>
      </w:r>
      <w:r w:rsidR="00E8128F">
        <w:rPr>
          <w:sz w:val="36"/>
          <w:szCs w:val="36"/>
          <w:rtl/>
        </w:rPr>
        <w:t xml:space="preserve"> </w:t>
      </w:r>
      <w:r w:rsidR="00EE25F7" w:rsidRPr="00FD211F">
        <w:rPr>
          <w:sz w:val="36"/>
          <w:szCs w:val="36"/>
          <w:rtl/>
        </w:rPr>
        <w:t>الشريف</w:t>
      </w:r>
      <w:r w:rsidR="00E8128F">
        <w:rPr>
          <w:sz w:val="36"/>
          <w:szCs w:val="36"/>
          <w:rtl/>
        </w:rPr>
        <w:t xml:space="preserve"> </w:t>
      </w:r>
      <w:r w:rsidR="00EE25F7" w:rsidRPr="00FD211F">
        <w:rPr>
          <w:sz w:val="36"/>
          <w:szCs w:val="36"/>
          <w:rtl/>
        </w:rPr>
        <w:t>ثلاث</w:t>
      </w:r>
      <w:r w:rsidR="00EC7EDF" w:rsidRPr="00FD211F">
        <w:rPr>
          <w:sz w:val="36"/>
          <w:szCs w:val="36"/>
          <w:rtl/>
        </w:rPr>
        <w:t>ة</w:t>
      </w:r>
      <w:r w:rsidR="00E8128F">
        <w:rPr>
          <w:sz w:val="36"/>
          <w:szCs w:val="36"/>
          <w:rtl/>
        </w:rPr>
        <w:t xml:space="preserve"> </w:t>
      </w:r>
      <w:r w:rsidR="00EE25F7" w:rsidRPr="00FD211F">
        <w:rPr>
          <w:sz w:val="36"/>
          <w:szCs w:val="36"/>
          <w:rtl/>
        </w:rPr>
        <w:t>وجوه:</w:t>
      </w:r>
    </w:p>
    <w:p w14:paraId="38DB4759" w14:textId="77777777" w:rsidR="009C35CE" w:rsidRPr="00FD211F" w:rsidRDefault="00EE25F7" w:rsidP="009C58C8">
      <w:pPr>
        <w:ind w:left="0" w:firstLine="227"/>
        <w:jc w:val="both"/>
        <w:rPr>
          <w:sz w:val="36"/>
          <w:szCs w:val="36"/>
          <w:rtl/>
        </w:rPr>
      </w:pPr>
      <w:r w:rsidRPr="00FD211F">
        <w:rPr>
          <w:sz w:val="36"/>
          <w:szCs w:val="36"/>
          <w:rtl/>
        </w:rPr>
        <w:t>1-</w:t>
      </w:r>
      <w:r w:rsidR="00E8128F">
        <w:rPr>
          <w:sz w:val="36"/>
          <w:szCs w:val="36"/>
          <w:rtl/>
        </w:rPr>
        <w:t xml:space="preserve"> </w:t>
      </w:r>
      <w:r w:rsidR="00D677DC" w:rsidRPr="00FD211F">
        <w:rPr>
          <w:sz w:val="36"/>
          <w:szCs w:val="36"/>
          <w:rtl/>
        </w:rPr>
        <w:t>ان</w:t>
      </w:r>
      <w:r w:rsidR="00E8128F">
        <w:rPr>
          <w:sz w:val="36"/>
          <w:szCs w:val="36"/>
          <w:rtl/>
        </w:rPr>
        <w:t xml:space="preserve"> </w:t>
      </w:r>
      <w:r w:rsidR="00D677DC" w:rsidRPr="00FD211F">
        <w:rPr>
          <w:sz w:val="36"/>
          <w:szCs w:val="36"/>
          <w:rtl/>
        </w:rPr>
        <w:t>ي</w:t>
      </w:r>
      <w:r w:rsidRPr="00FD211F">
        <w:rPr>
          <w:sz w:val="36"/>
          <w:szCs w:val="36"/>
          <w:rtl/>
        </w:rPr>
        <w:t>عوض</w:t>
      </w:r>
      <w:r w:rsidR="00E8128F">
        <w:rPr>
          <w:sz w:val="36"/>
          <w:szCs w:val="36"/>
          <w:rtl/>
        </w:rPr>
        <w:t xml:space="preserve"> </w:t>
      </w:r>
      <w:r w:rsidRPr="00FD211F">
        <w:rPr>
          <w:sz w:val="36"/>
          <w:szCs w:val="36"/>
          <w:rtl/>
        </w:rPr>
        <w:t>مثال</w:t>
      </w:r>
      <w:r w:rsidR="00E8128F">
        <w:rPr>
          <w:sz w:val="36"/>
          <w:szCs w:val="36"/>
          <w:rtl/>
        </w:rPr>
        <w:t xml:space="preserve"> </w:t>
      </w:r>
      <w:r w:rsidR="00E66E56" w:rsidRPr="00FD211F">
        <w:rPr>
          <w:sz w:val="36"/>
          <w:szCs w:val="36"/>
          <w:rtl/>
        </w:rPr>
        <w:t>"</w:t>
      </w:r>
      <w:r w:rsidRPr="00FD211F">
        <w:rPr>
          <w:sz w:val="36"/>
          <w:szCs w:val="36"/>
          <w:rtl/>
        </w:rPr>
        <w:t>الانسان</w:t>
      </w:r>
      <w:r w:rsidR="00E8128F">
        <w:rPr>
          <w:sz w:val="36"/>
          <w:szCs w:val="36"/>
          <w:rtl/>
        </w:rPr>
        <w:t xml:space="preserve"> </w:t>
      </w:r>
      <w:r w:rsidR="001F0DF8" w:rsidRPr="00FD211F">
        <w:rPr>
          <w:sz w:val="36"/>
          <w:szCs w:val="36"/>
          <w:rtl/>
        </w:rPr>
        <w:t>ضاحك</w:t>
      </w:r>
      <w:r w:rsidR="00E66E56" w:rsidRPr="00FD211F">
        <w:rPr>
          <w:sz w:val="36"/>
          <w:szCs w:val="36"/>
          <w:rtl/>
        </w:rPr>
        <w:t>"</w:t>
      </w:r>
      <w:r w:rsidR="00E8128F">
        <w:rPr>
          <w:sz w:val="36"/>
          <w:szCs w:val="36"/>
          <w:rtl/>
        </w:rPr>
        <w:t xml:space="preserve"> </w:t>
      </w:r>
      <w:r w:rsidRPr="00FD211F">
        <w:rPr>
          <w:sz w:val="36"/>
          <w:szCs w:val="36"/>
          <w:rtl/>
        </w:rPr>
        <w:t>بمثال</w:t>
      </w:r>
      <w:r w:rsidR="00E8128F">
        <w:rPr>
          <w:sz w:val="36"/>
          <w:szCs w:val="36"/>
          <w:rtl/>
        </w:rPr>
        <w:t xml:space="preserve"> </w:t>
      </w:r>
      <w:r w:rsidR="00E66E56" w:rsidRPr="00FD211F">
        <w:rPr>
          <w:sz w:val="36"/>
          <w:szCs w:val="36"/>
          <w:rtl/>
        </w:rPr>
        <w:t>آخر</w:t>
      </w:r>
      <w:r w:rsidR="00E8128F">
        <w:rPr>
          <w:sz w:val="36"/>
          <w:szCs w:val="36"/>
          <w:rtl/>
        </w:rPr>
        <w:t xml:space="preserve"> </w:t>
      </w:r>
      <w:r w:rsidR="00E66E56" w:rsidRPr="00FD211F">
        <w:rPr>
          <w:sz w:val="36"/>
          <w:szCs w:val="36"/>
          <w:rtl/>
        </w:rPr>
        <w:t>وهو</w:t>
      </w:r>
      <w:r w:rsidR="00E8128F">
        <w:rPr>
          <w:sz w:val="36"/>
          <w:szCs w:val="36"/>
          <w:rtl/>
        </w:rPr>
        <w:t xml:space="preserve"> </w:t>
      </w:r>
      <w:r w:rsidR="00E66E56" w:rsidRPr="00FD211F">
        <w:rPr>
          <w:sz w:val="36"/>
          <w:szCs w:val="36"/>
          <w:rtl/>
        </w:rPr>
        <w:t>قولنا</w:t>
      </w:r>
      <w:r w:rsidR="00E8128F">
        <w:rPr>
          <w:sz w:val="36"/>
          <w:szCs w:val="36"/>
          <w:rtl/>
        </w:rPr>
        <w:t xml:space="preserve"> </w:t>
      </w:r>
      <w:r w:rsidR="00E66E56" w:rsidRPr="00FD211F">
        <w:rPr>
          <w:sz w:val="36"/>
          <w:szCs w:val="36"/>
          <w:rtl/>
        </w:rPr>
        <w:t>"</w:t>
      </w:r>
      <w:r w:rsidRPr="00FD211F">
        <w:rPr>
          <w:sz w:val="36"/>
          <w:szCs w:val="36"/>
          <w:rtl/>
        </w:rPr>
        <w:t>زيد</w:t>
      </w:r>
      <w:r w:rsidR="00E8128F">
        <w:rPr>
          <w:sz w:val="36"/>
          <w:szCs w:val="36"/>
          <w:rtl/>
        </w:rPr>
        <w:t xml:space="preserve"> </w:t>
      </w:r>
      <w:r w:rsidR="001F0DF8" w:rsidRPr="00FD211F">
        <w:rPr>
          <w:sz w:val="36"/>
          <w:szCs w:val="36"/>
          <w:rtl/>
        </w:rPr>
        <w:t>ضاحك</w:t>
      </w:r>
      <w:r w:rsidR="00E66E56" w:rsidRPr="00FD211F">
        <w:rPr>
          <w:sz w:val="36"/>
          <w:szCs w:val="36"/>
          <w:rtl/>
        </w:rPr>
        <w:t>"</w:t>
      </w:r>
      <w:r w:rsidR="00E8128F">
        <w:rPr>
          <w:sz w:val="36"/>
          <w:szCs w:val="36"/>
          <w:rtl/>
        </w:rPr>
        <w:t xml:space="preserve"> </w:t>
      </w:r>
      <w:r w:rsidR="00D677DC" w:rsidRPr="00FD211F">
        <w:rPr>
          <w:sz w:val="36"/>
          <w:szCs w:val="36"/>
          <w:rtl/>
        </w:rPr>
        <w:t>فقد</w:t>
      </w:r>
      <w:r w:rsidR="00E8128F">
        <w:rPr>
          <w:sz w:val="36"/>
          <w:szCs w:val="36"/>
          <w:rtl/>
        </w:rPr>
        <w:t xml:space="preserve"> </w:t>
      </w:r>
      <w:r w:rsidR="00D677DC" w:rsidRPr="00FD211F">
        <w:rPr>
          <w:sz w:val="36"/>
          <w:szCs w:val="36"/>
          <w:rtl/>
        </w:rPr>
        <w:t>يقال</w:t>
      </w:r>
      <w:r w:rsidR="00E8128F">
        <w:rPr>
          <w:sz w:val="36"/>
          <w:szCs w:val="36"/>
          <w:rtl/>
        </w:rPr>
        <w:t xml:space="preserve"> </w:t>
      </w:r>
      <w:r w:rsidR="00D677DC" w:rsidRPr="00FD211F">
        <w:rPr>
          <w:sz w:val="36"/>
          <w:szCs w:val="36"/>
          <w:rtl/>
        </w:rPr>
        <w:t>بانه</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واقع</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فيصير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قو</w:t>
      </w:r>
      <w:r w:rsidR="00EC7EDF" w:rsidRPr="00FD211F">
        <w:rPr>
          <w:sz w:val="36"/>
          <w:szCs w:val="36"/>
          <w:rtl/>
        </w:rPr>
        <w:t>ة</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له</w:t>
      </w:r>
      <w:r w:rsidR="00E8128F">
        <w:rPr>
          <w:sz w:val="36"/>
          <w:szCs w:val="36"/>
          <w:rtl/>
        </w:rPr>
        <w:t xml:space="preserve"> </w:t>
      </w:r>
      <w:r w:rsidR="001F0DF8" w:rsidRPr="00FD211F">
        <w:rPr>
          <w:sz w:val="36"/>
          <w:szCs w:val="36"/>
          <w:rtl/>
        </w:rPr>
        <w:t>الضحك</w:t>
      </w:r>
      <w:r w:rsidR="00E8128F">
        <w:rPr>
          <w:sz w:val="36"/>
          <w:szCs w:val="36"/>
          <w:rtl/>
        </w:rPr>
        <w:t xml:space="preserve"> </w:t>
      </w:r>
      <w:r w:rsidRPr="00FD211F">
        <w:rPr>
          <w:sz w:val="36"/>
          <w:szCs w:val="36"/>
          <w:rtl/>
        </w:rPr>
        <w:t>وحيث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زيدا</w:t>
      </w:r>
      <w:r w:rsidR="00E8128F">
        <w:rPr>
          <w:sz w:val="36"/>
          <w:szCs w:val="36"/>
          <w:rtl/>
        </w:rPr>
        <w:t xml:space="preserve"> </w:t>
      </w:r>
      <w:r w:rsidRPr="00FD211F">
        <w:rPr>
          <w:sz w:val="36"/>
          <w:szCs w:val="36"/>
          <w:rtl/>
        </w:rPr>
        <w:t>جزئي</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قابل</w:t>
      </w:r>
      <w:r w:rsidR="00E8128F">
        <w:rPr>
          <w:sz w:val="36"/>
          <w:szCs w:val="36"/>
          <w:rtl/>
        </w:rPr>
        <w:t xml:space="preserve"> </w:t>
      </w:r>
      <w:r w:rsidRPr="00FD211F">
        <w:rPr>
          <w:sz w:val="36"/>
          <w:szCs w:val="36"/>
          <w:rtl/>
        </w:rPr>
        <w:t>للتقييد</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القيد</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معرفا</w:t>
      </w:r>
      <w:r w:rsidR="00E8128F">
        <w:rPr>
          <w:sz w:val="36"/>
          <w:szCs w:val="36"/>
          <w:rtl/>
        </w:rPr>
        <w:t xml:space="preserve"> </w:t>
      </w:r>
      <w:r w:rsidRPr="00FD211F">
        <w:rPr>
          <w:sz w:val="36"/>
          <w:szCs w:val="36"/>
          <w:rtl/>
        </w:rPr>
        <w:t>محضا</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مآله</w:t>
      </w:r>
      <w:r w:rsidR="00E8128F">
        <w:rPr>
          <w:sz w:val="36"/>
          <w:szCs w:val="36"/>
          <w:rtl/>
        </w:rPr>
        <w:t xml:space="preserve"> </w:t>
      </w:r>
      <w:r w:rsidR="00D677DC" w:rsidRPr="00FD211F">
        <w:rPr>
          <w:sz w:val="36"/>
          <w:szCs w:val="36"/>
          <w:rtl/>
        </w:rPr>
        <w:t>الى</w:t>
      </w:r>
      <w:r w:rsidR="00E8128F">
        <w:rPr>
          <w:sz w:val="36"/>
          <w:szCs w:val="36"/>
          <w:rtl/>
        </w:rPr>
        <w:t xml:space="preserve"> </w:t>
      </w:r>
      <w:r w:rsidRPr="00FD211F">
        <w:rPr>
          <w:sz w:val="36"/>
          <w:szCs w:val="36"/>
          <w:rtl/>
        </w:rPr>
        <w:t>قولنا</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فيصير</w:t>
      </w:r>
      <w:r w:rsidR="00E8128F">
        <w:rPr>
          <w:sz w:val="36"/>
          <w:szCs w:val="36"/>
          <w:rtl/>
        </w:rPr>
        <w:t xml:space="preserve"> </w:t>
      </w:r>
      <w:r w:rsidRPr="00FD211F">
        <w:rPr>
          <w:sz w:val="36"/>
          <w:szCs w:val="36"/>
          <w:rtl/>
        </w:rPr>
        <w:t>ضروريا</w:t>
      </w:r>
      <w:r w:rsidR="009C35CE" w:rsidRPr="00FD211F">
        <w:rPr>
          <w:sz w:val="36"/>
          <w:szCs w:val="36"/>
          <w:rtl/>
        </w:rPr>
        <w:t>.</w:t>
      </w:r>
    </w:p>
    <w:p w14:paraId="4F4CF7B9" w14:textId="77777777" w:rsidR="00EE25F7" w:rsidRPr="00FD211F" w:rsidRDefault="009C35CE" w:rsidP="009C58C8">
      <w:pPr>
        <w:ind w:left="0" w:firstLine="227"/>
        <w:jc w:val="both"/>
        <w:rPr>
          <w:sz w:val="36"/>
          <w:szCs w:val="36"/>
          <w:rtl/>
        </w:rPr>
      </w:pPr>
      <w:r w:rsidRPr="00FD211F">
        <w:rPr>
          <w:sz w:val="36"/>
          <w:szCs w:val="36"/>
          <w:rtl/>
        </w:rPr>
        <w:t>ويرد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الوجه</w:t>
      </w:r>
      <w:r w:rsidR="00E8128F">
        <w:rPr>
          <w:sz w:val="36"/>
          <w:szCs w:val="36"/>
          <w:rtl/>
        </w:rPr>
        <w:t xml:space="preserve"> </w:t>
      </w:r>
      <w:r w:rsidR="00EE25F7" w:rsidRPr="00FD211F">
        <w:rPr>
          <w:sz w:val="36"/>
          <w:szCs w:val="36"/>
          <w:rtl/>
        </w:rPr>
        <w:t>انه</w:t>
      </w:r>
      <w:r w:rsidR="00E8128F">
        <w:rPr>
          <w:sz w:val="36"/>
          <w:szCs w:val="36"/>
          <w:rtl/>
        </w:rPr>
        <w:t xml:space="preserve"> </w:t>
      </w:r>
      <w:r w:rsidR="00EE25F7" w:rsidRPr="00FD211F">
        <w:rPr>
          <w:sz w:val="36"/>
          <w:szCs w:val="36"/>
          <w:rtl/>
        </w:rPr>
        <w:t>قد</w:t>
      </w:r>
      <w:r w:rsidR="00E8128F">
        <w:rPr>
          <w:sz w:val="36"/>
          <w:szCs w:val="36"/>
          <w:rtl/>
        </w:rPr>
        <w:t xml:space="preserve"> </w:t>
      </w:r>
      <w:r w:rsidR="00FF1DF0" w:rsidRPr="00FD211F">
        <w:rPr>
          <w:sz w:val="36"/>
          <w:szCs w:val="36"/>
          <w:rtl/>
        </w:rPr>
        <w:t>التزم</w:t>
      </w:r>
      <w:r w:rsidR="00E8128F">
        <w:rPr>
          <w:sz w:val="36"/>
          <w:szCs w:val="36"/>
          <w:rtl/>
        </w:rPr>
        <w:t xml:space="preserve"> </w:t>
      </w:r>
      <w:r w:rsidR="00EE25F7" w:rsidRPr="00FD211F">
        <w:rPr>
          <w:sz w:val="36"/>
          <w:szCs w:val="36"/>
          <w:rtl/>
        </w:rPr>
        <w:t>بان</w:t>
      </w:r>
      <w:r w:rsidR="00E8128F">
        <w:rPr>
          <w:sz w:val="36"/>
          <w:szCs w:val="36"/>
          <w:rtl/>
        </w:rPr>
        <w:t xml:space="preserve"> </w:t>
      </w:r>
      <w:r w:rsidR="00EE25F7" w:rsidRPr="00FD211F">
        <w:rPr>
          <w:sz w:val="36"/>
          <w:szCs w:val="36"/>
          <w:rtl/>
        </w:rPr>
        <w:t>المأخوذ</w:t>
      </w:r>
      <w:r w:rsidR="00E8128F">
        <w:rPr>
          <w:sz w:val="36"/>
          <w:szCs w:val="36"/>
          <w:rtl/>
        </w:rPr>
        <w:t xml:space="preserve"> </w:t>
      </w:r>
      <w:r w:rsidR="00EE25F7" w:rsidRPr="00FD211F">
        <w:rPr>
          <w:sz w:val="36"/>
          <w:szCs w:val="36"/>
          <w:rtl/>
        </w:rPr>
        <w:t>في</w:t>
      </w:r>
      <w:r w:rsidR="00E8128F">
        <w:rPr>
          <w:sz w:val="36"/>
          <w:szCs w:val="36"/>
          <w:rtl/>
        </w:rPr>
        <w:t xml:space="preserve"> </w:t>
      </w:r>
      <w:r w:rsidR="00EE25F7" w:rsidRPr="00FD211F">
        <w:rPr>
          <w:sz w:val="36"/>
          <w:szCs w:val="36"/>
          <w:rtl/>
        </w:rPr>
        <w:t>المشتق</w:t>
      </w:r>
      <w:r w:rsidR="00E8128F">
        <w:rPr>
          <w:sz w:val="36"/>
          <w:szCs w:val="36"/>
          <w:rtl/>
        </w:rPr>
        <w:t xml:space="preserve"> </w:t>
      </w:r>
      <w:r w:rsidR="00EE25F7" w:rsidRPr="00FD211F">
        <w:rPr>
          <w:sz w:val="36"/>
          <w:szCs w:val="36"/>
          <w:rtl/>
        </w:rPr>
        <w:t>واقع</w:t>
      </w:r>
      <w:r w:rsidR="00E8128F">
        <w:rPr>
          <w:sz w:val="36"/>
          <w:szCs w:val="36"/>
          <w:rtl/>
        </w:rPr>
        <w:t xml:space="preserve"> </w:t>
      </w:r>
      <w:r w:rsidR="00EE25F7" w:rsidRPr="00FD211F">
        <w:rPr>
          <w:sz w:val="36"/>
          <w:szCs w:val="36"/>
          <w:rtl/>
        </w:rPr>
        <w:t>ال</w:t>
      </w:r>
      <w:r w:rsidR="008D7B3D" w:rsidRPr="00FD211F">
        <w:rPr>
          <w:sz w:val="36"/>
          <w:szCs w:val="36"/>
          <w:rtl/>
        </w:rPr>
        <w:t>شيء</w:t>
      </w:r>
      <w:r w:rsidR="00E8128F">
        <w:rPr>
          <w:sz w:val="36"/>
          <w:szCs w:val="36"/>
          <w:rtl/>
        </w:rPr>
        <w:t xml:space="preserve"> </w:t>
      </w:r>
      <w:r w:rsidR="007171D6" w:rsidRPr="00FD211F">
        <w:rPr>
          <w:sz w:val="36"/>
          <w:szCs w:val="36"/>
          <w:rtl/>
        </w:rPr>
        <w:t>فانما</w:t>
      </w:r>
      <w:r w:rsidR="00E8128F">
        <w:rPr>
          <w:sz w:val="36"/>
          <w:szCs w:val="36"/>
          <w:rtl/>
        </w:rPr>
        <w:t xml:space="preserve"> </w:t>
      </w:r>
      <w:r w:rsidR="007171D6" w:rsidRPr="00FD211F">
        <w:rPr>
          <w:sz w:val="36"/>
          <w:szCs w:val="36"/>
          <w:rtl/>
        </w:rPr>
        <w:t>يراد</w:t>
      </w:r>
      <w:r w:rsidR="00E8128F">
        <w:rPr>
          <w:sz w:val="36"/>
          <w:szCs w:val="36"/>
          <w:rtl/>
        </w:rPr>
        <w:t xml:space="preserve"> </w:t>
      </w:r>
      <w:r w:rsidR="007171D6" w:rsidRPr="00FD211F">
        <w:rPr>
          <w:sz w:val="36"/>
          <w:szCs w:val="36"/>
          <w:rtl/>
        </w:rPr>
        <w:t>به</w:t>
      </w:r>
      <w:r w:rsidR="00E8128F">
        <w:rPr>
          <w:sz w:val="36"/>
          <w:szCs w:val="36"/>
          <w:rtl/>
        </w:rPr>
        <w:t xml:space="preserve"> </w:t>
      </w:r>
      <w:r w:rsidR="007171D6" w:rsidRPr="00FD211F">
        <w:rPr>
          <w:sz w:val="36"/>
          <w:szCs w:val="36"/>
          <w:rtl/>
        </w:rPr>
        <w:t>ما</w:t>
      </w:r>
      <w:r w:rsidR="00E8128F">
        <w:rPr>
          <w:sz w:val="36"/>
          <w:szCs w:val="36"/>
          <w:rtl/>
        </w:rPr>
        <w:t xml:space="preserve"> </w:t>
      </w:r>
      <w:r w:rsidR="007171D6" w:rsidRPr="00FD211F">
        <w:rPr>
          <w:sz w:val="36"/>
          <w:szCs w:val="36"/>
          <w:rtl/>
        </w:rPr>
        <w:t>يكون</w:t>
      </w:r>
      <w:r w:rsidR="00E8128F">
        <w:rPr>
          <w:sz w:val="36"/>
          <w:szCs w:val="36"/>
          <w:rtl/>
        </w:rPr>
        <w:t xml:space="preserve"> </w:t>
      </w:r>
      <w:r w:rsidR="00EE25F7" w:rsidRPr="00FD211F">
        <w:rPr>
          <w:sz w:val="36"/>
          <w:szCs w:val="36"/>
          <w:rtl/>
        </w:rPr>
        <w:t>معروضا</w:t>
      </w:r>
      <w:r w:rsidR="00E8128F">
        <w:rPr>
          <w:sz w:val="36"/>
          <w:szCs w:val="36"/>
          <w:rtl/>
        </w:rPr>
        <w:t xml:space="preserve"> </w:t>
      </w:r>
      <w:r w:rsidR="00EE25F7" w:rsidRPr="00FD211F">
        <w:rPr>
          <w:sz w:val="36"/>
          <w:szCs w:val="36"/>
          <w:rtl/>
        </w:rPr>
        <w:t>لل</w:t>
      </w:r>
      <w:r w:rsidR="0079493B" w:rsidRPr="00FD211F">
        <w:rPr>
          <w:sz w:val="36"/>
          <w:szCs w:val="36"/>
          <w:rtl/>
        </w:rPr>
        <w:t>مبدأ</w:t>
      </w:r>
      <w:r w:rsidR="00E8128F">
        <w:rPr>
          <w:sz w:val="36"/>
          <w:szCs w:val="36"/>
          <w:rtl/>
        </w:rPr>
        <w:t xml:space="preserve"> </w:t>
      </w:r>
      <w:r w:rsidR="00EE25F7" w:rsidRPr="00FD211F">
        <w:rPr>
          <w:sz w:val="36"/>
          <w:szCs w:val="36"/>
          <w:rtl/>
        </w:rPr>
        <w:t>عاد</w:t>
      </w:r>
      <w:r w:rsidR="00EC7EDF" w:rsidRPr="00FD211F">
        <w:rPr>
          <w:sz w:val="36"/>
          <w:szCs w:val="36"/>
          <w:rtl/>
        </w:rPr>
        <w:t>ة</w:t>
      </w:r>
      <w:r w:rsidR="00E8128F">
        <w:rPr>
          <w:sz w:val="36"/>
          <w:szCs w:val="36"/>
          <w:rtl/>
        </w:rPr>
        <w:t xml:space="preserve"> </w:t>
      </w:r>
      <w:r w:rsidR="00EE25F7" w:rsidRPr="00FD211F">
        <w:rPr>
          <w:sz w:val="36"/>
          <w:szCs w:val="36"/>
          <w:rtl/>
        </w:rPr>
        <w:t>وهو</w:t>
      </w:r>
      <w:r w:rsidR="00E8128F">
        <w:rPr>
          <w:sz w:val="36"/>
          <w:szCs w:val="36"/>
          <w:rtl/>
        </w:rPr>
        <w:t xml:space="preserve"> </w:t>
      </w:r>
      <w:r w:rsidR="00EE25F7" w:rsidRPr="00FD211F">
        <w:rPr>
          <w:sz w:val="36"/>
          <w:szCs w:val="36"/>
          <w:rtl/>
        </w:rPr>
        <w:t>مفهوم</w:t>
      </w:r>
      <w:r w:rsidR="00E8128F">
        <w:rPr>
          <w:sz w:val="36"/>
          <w:szCs w:val="36"/>
          <w:rtl/>
        </w:rPr>
        <w:t xml:space="preserve"> </w:t>
      </w:r>
      <w:r w:rsidR="00EE25F7" w:rsidRPr="00FD211F">
        <w:rPr>
          <w:sz w:val="36"/>
          <w:szCs w:val="36"/>
          <w:rtl/>
        </w:rPr>
        <w:t>الانسا</w:t>
      </w:r>
      <w:r w:rsidR="00FF1DF0" w:rsidRPr="00FD211F">
        <w:rPr>
          <w:sz w:val="36"/>
          <w:szCs w:val="36"/>
          <w:rtl/>
        </w:rPr>
        <w:t>ن</w:t>
      </w:r>
      <w:r w:rsidR="00E8128F">
        <w:rPr>
          <w:sz w:val="36"/>
          <w:szCs w:val="36"/>
          <w:rtl/>
        </w:rPr>
        <w:t xml:space="preserve"> </w:t>
      </w:r>
      <w:r w:rsidR="007171D6" w:rsidRPr="00FD211F">
        <w:rPr>
          <w:sz w:val="36"/>
          <w:szCs w:val="36"/>
          <w:rtl/>
        </w:rPr>
        <w:t>في</w:t>
      </w:r>
      <w:r w:rsidR="00E8128F">
        <w:rPr>
          <w:sz w:val="36"/>
          <w:szCs w:val="36"/>
          <w:rtl/>
        </w:rPr>
        <w:t xml:space="preserve"> </w:t>
      </w:r>
      <w:r w:rsidR="007171D6" w:rsidRPr="00FD211F">
        <w:rPr>
          <w:sz w:val="36"/>
          <w:szCs w:val="36"/>
          <w:rtl/>
        </w:rPr>
        <w:t>مثال</w:t>
      </w:r>
      <w:r w:rsidR="00E8128F">
        <w:rPr>
          <w:sz w:val="36"/>
          <w:szCs w:val="36"/>
          <w:rtl/>
        </w:rPr>
        <w:t xml:space="preserve"> </w:t>
      </w:r>
      <w:r w:rsidR="001F0DF8" w:rsidRPr="00FD211F">
        <w:rPr>
          <w:sz w:val="36"/>
          <w:szCs w:val="36"/>
          <w:rtl/>
        </w:rPr>
        <w:t>الضاحك</w:t>
      </w:r>
      <w:r w:rsidR="00603323" w:rsidRPr="00FD211F">
        <w:rPr>
          <w:sz w:val="36"/>
          <w:szCs w:val="36"/>
          <w:rtl/>
        </w:rPr>
        <w:t>،</w:t>
      </w:r>
      <w:r w:rsidR="00E8128F">
        <w:rPr>
          <w:sz w:val="36"/>
          <w:szCs w:val="36"/>
          <w:rtl/>
        </w:rPr>
        <w:t xml:space="preserve"> </w:t>
      </w:r>
      <w:r w:rsidR="00EC7EDF" w:rsidRPr="00FD211F">
        <w:rPr>
          <w:sz w:val="36"/>
          <w:szCs w:val="36"/>
          <w:rtl/>
        </w:rPr>
        <w:t>و</w:t>
      </w:r>
      <w:r w:rsidR="007171D6" w:rsidRPr="00FD211F">
        <w:rPr>
          <w:sz w:val="36"/>
          <w:szCs w:val="36"/>
          <w:rtl/>
        </w:rPr>
        <w:t>قد</w:t>
      </w:r>
      <w:r w:rsidR="00E8128F">
        <w:rPr>
          <w:sz w:val="36"/>
          <w:szCs w:val="36"/>
          <w:rtl/>
        </w:rPr>
        <w:t xml:space="preserve"> </w:t>
      </w:r>
      <w:r w:rsidR="00EE25F7" w:rsidRPr="00FD211F">
        <w:rPr>
          <w:sz w:val="36"/>
          <w:szCs w:val="36"/>
          <w:rtl/>
        </w:rPr>
        <w:t>يقال</w:t>
      </w:r>
      <w:r w:rsidR="00E8128F">
        <w:rPr>
          <w:sz w:val="36"/>
          <w:szCs w:val="36"/>
          <w:rtl/>
        </w:rPr>
        <w:t xml:space="preserve"> </w:t>
      </w:r>
      <w:r w:rsidR="00EE25F7" w:rsidRPr="00FD211F">
        <w:rPr>
          <w:sz w:val="36"/>
          <w:szCs w:val="36"/>
          <w:rtl/>
        </w:rPr>
        <w:t>ان</w:t>
      </w:r>
      <w:r w:rsidR="00E8128F">
        <w:rPr>
          <w:sz w:val="36"/>
          <w:szCs w:val="36"/>
          <w:rtl/>
        </w:rPr>
        <w:t xml:space="preserve"> </w:t>
      </w:r>
      <w:r w:rsidR="007171D6" w:rsidRPr="00FD211F">
        <w:rPr>
          <w:sz w:val="36"/>
          <w:szCs w:val="36"/>
          <w:rtl/>
        </w:rPr>
        <w:t>زيدا</w:t>
      </w:r>
      <w:r w:rsidR="00E8128F">
        <w:rPr>
          <w:sz w:val="36"/>
          <w:szCs w:val="36"/>
          <w:rtl/>
        </w:rPr>
        <w:t xml:space="preserve"> </w:t>
      </w:r>
      <w:r w:rsidR="007171D6" w:rsidRPr="00FD211F">
        <w:rPr>
          <w:sz w:val="36"/>
          <w:szCs w:val="36"/>
          <w:rtl/>
        </w:rPr>
        <w:t>وان</w:t>
      </w:r>
      <w:r w:rsidR="00E8128F">
        <w:rPr>
          <w:sz w:val="36"/>
          <w:szCs w:val="36"/>
          <w:rtl/>
        </w:rPr>
        <w:t xml:space="preserve"> </w:t>
      </w:r>
      <w:r w:rsidR="007171D6" w:rsidRPr="00FD211F">
        <w:rPr>
          <w:sz w:val="36"/>
          <w:szCs w:val="36"/>
          <w:rtl/>
        </w:rPr>
        <w:t>كان</w:t>
      </w:r>
      <w:r w:rsidR="00E8128F">
        <w:rPr>
          <w:sz w:val="36"/>
          <w:szCs w:val="36"/>
          <w:rtl/>
        </w:rPr>
        <w:t xml:space="preserve"> </w:t>
      </w:r>
      <w:r w:rsidR="007171D6" w:rsidRPr="00FD211F">
        <w:rPr>
          <w:sz w:val="36"/>
          <w:szCs w:val="36"/>
          <w:rtl/>
        </w:rPr>
        <w:t>جزئيا</w:t>
      </w:r>
      <w:r w:rsidR="00E8128F">
        <w:rPr>
          <w:sz w:val="36"/>
          <w:szCs w:val="36"/>
          <w:rtl/>
        </w:rPr>
        <w:t xml:space="preserve"> </w:t>
      </w:r>
      <w:r w:rsidR="007171D6" w:rsidRPr="00FD211F">
        <w:rPr>
          <w:sz w:val="36"/>
          <w:szCs w:val="36"/>
          <w:rtl/>
        </w:rPr>
        <w:t>لكن</w:t>
      </w:r>
      <w:r w:rsidR="00E8128F">
        <w:rPr>
          <w:sz w:val="36"/>
          <w:szCs w:val="36"/>
          <w:rtl/>
        </w:rPr>
        <w:t xml:space="preserve"> </w:t>
      </w:r>
      <w:r w:rsidR="00EE25F7" w:rsidRPr="00FD211F">
        <w:rPr>
          <w:sz w:val="36"/>
          <w:szCs w:val="36"/>
          <w:rtl/>
        </w:rPr>
        <w:t>الجزئي</w:t>
      </w:r>
      <w:r w:rsidR="00E8128F">
        <w:rPr>
          <w:sz w:val="36"/>
          <w:szCs w:val="36"/>
          <w:rtl/>
        </w:rPr>
        <w:t xml:space="preserve"> </w:t>
      </w:r>
      <w:r w:rsidR="00EE25F7" w:rsidRPr="00FD211F">
        <w:rPr>
          <w:sz w:val="36"/>
          <w:szCs w:val="36"/>
          <w:rtl/>
        </w:rPr>
        <w:t>قابل</w:t>
      </w:r>
      <w:r w:rsidR="00E8128F">
        <w:rPr>
          <w:sz w:val="36"/>
          <w:szCs w:val="36"/>
          <w:rtl/>
        </w:rPr>
        <w:t xml:space="preserve"> </w:t>
      </w:r>
      <w:r w:rsidR="00EE25F7" w:rsidRPr="00FD211F">
        <w:rPr>
          <w:sz w:val="36"/>
          <w:szCs w:val="36"/>
          <w:rtl/>
        </w:rPr>
        <w:t>للتضييق</w:t>
      </w:r>
      <w:r w:rsidR="00E8128F">
        <w:rPr>
          <w:sz w:val="36"/>
          <w:szCs w:val="36"/>
          <w:rtl/>
        </w:rPr>
        <w:t xml:space="preserve"> </w:t>
      </w:r>
      <w:r w:rsidR="00EE25F7" w:rsidRPr="00FD211F">
        <w:rPr>
          <w:sz w:val="36"/>
          <w:szCs w:val="36"/>
          <w:rtl/>
        </w:rPr>
        <w:t>بلحاظ</w:t>
      </w:r>
      <w:r w:rsidR="00E8128F">
        <w:rPr>
          <w:sz w:val="36"/>
          <w:szCs w:val="36"/>
          <w:rtl/>
        </w:rPr>
        <w:t xml:space="preserve"> </w:t>
      </w:r>
      <w:r w:rsidR="00EE25F7" w:rsidRPr="00FD211F">
        <w:rPr>
          <w:sz w:val="36"/>
          <w:szCs w:val="36"/>
          <w:rtl/>
        </w:rPr>
        <w:t>احواله</w:t>
      </w:r>
      <w:r w:rsidR="00E8128F">
        <w:rPr>
          <w:sz w:val="36"/>
          <w:szCs w:val="36"/>
          <w:rtl/>
        </w:rPr>
        <w:t xml:space="preserve"> </w:t>
      </w:r>
      <w:r w:rsidR="00917937" w:rsidRPr="00FD211F">
        <w:rPr>
          <w:sz w:val="36"/>
          <w:szCs w:val="36"/>
          <w:rtl/>
        </w:rPr>
        <w:t>ولكن</w:t>
      </w:r>
      <w:r w:rsidR="00E8128F">
        <w:rPr>
          <w:sz w:val="36"/>
          <w:szCs w:val="36"/>
          <w:rtl/>
        </w:rPr>
        <w:t xml:space="preserve"> </w:t>
      </w:r>
      <w:r w:rsidR="00917937" w:rsidRPr="00FD211F">
        <w:rPr>
          <w:sz w:val="36"/>
          <w:szCs w:val="36"/>
          <w:rtl/>
        </w:rPr>
        <w:t>مر</w:t>
      </w:r>
      <w:r w:rsidR="00E8128F">
        <w:rPr>
          <w:sz w:val="36"/>
          <w:szCs w:val="36"/>
          <w:rtl/>
        </w:rPr>
        <w:t xml:space="preserve"> </w:t>
      </w:r>
      <w:r w:rsidR="00917937" w:rsidRPr="00FD211F">
        <w:rPr>
          <w:sz w:val="36"/>
          <w:szCs w:val="36"/>
          <w:rtl/>
        </w:rPr>
        <w:t>الجواب</w:t>
      </w:r>
      <w:r w:rsidR="00E8128F">
        <w:rPr>
          <w:sz w:val="36"/>
          <w:szCs w:val="36"/>
          <w:rtl/>
        </w:rPr>
        <w:t xml:space="preserve"> </w:t>
      </w:r>
      <w:r w:rsidR="00917937" w:rsidRPr="00FD211F">
        <w:rPr>
          <w:sz w:val="36"/>
          <w:szCs w:val="36"/>
          <w:rtl/>
        </w:rPr>
        <w:t>عنه</w:t>
      </w:r>
      <w:r w:rsidR="00E8128F">
        <w:rPr>
          <w:sz w:val="36"/>
          <w:szCs w:val="36"/>
          <w:rtl/>
        </w:rPr>
        <w:t xml:space="preserve"> </w:t>
      </w:r>
      <w:r w:rsidR="00917937" w:rsidRPr="00FD211F">
        <w:rPr>
          <w:sz w:val="36"/>
          <w:szCs w:val="36"/>
          <w:rtl/>
        </w:rPr>
        <w:t>في</w:t>
      </w:r>
      <w:r w:rsidR="00E8128F">
        <w:rPr>
          <w:sz w:val="36"/>
          <w:szCs w:val="36"/>
          <w:rtl/>
        </w:rPr>
        <w:t xml:space="preserve"> </w:t>
      </w:r>
      <w:r w:rsidR="00917937" w:rsidRPr="00FD211F">
        <w:rPr>
          <w:sz w:val="36"/>
          <w:szCs w:val="36"/>
          <w:rtl/>
        </w:rPr>
        <w:t>بحث</w:t>
      </w:r>
      <w:r w:rsidR="00E8128F">
        <w:rPr>
          <w:sz w:val="36"/>
          <w:szCs w:val="36"/>
          <w:rtl/>
        </w:rPr>
        <w:t xml:space="preserve"> </w:t>
      </w:r>
      <w:r w:rsidR="00917937" w:rsidRPr="00FD211F">
        <w:rPr>
          <w:sz w:val="36"/>
          <w:szCs w:val="36"/>
          <w:rtl/>
        </w:rPr>
        <w:t>ثمرات</w:t>
      </w:r>
      <w:r w:rsidR="00E8128F">
        <w:rPr>
          <w:sz w:val="36"/>
          <w:szCs w:val="36"/>
          <w:rtl/>
        </w:rPr>
        <w:t xml:space="preserve"> </w:t>
      </w:r>
      <w:r w:rsidR="00917937" w:rsidRPr="00FD211F">
        <w:rPr>
          <w:sz w:val="36"/>
          <w:szCs w:val="36"/>
          <w:rtl/>
        </w:rPr>
        <w:t>البحث</w:t>
      </w:r>
      <w:r w:rsidR="00E8128F">
        <w:rPr>
          <w:sz w:val="36"/>
          <w:szCs w:val="36"/>
          <w:rtl/>
        </w:rPr>
        <w:t xml:space="preserve"> </w:t>
      </w:r>
      <w:r w:rsidR="00917937" w:rsidRPr="00FD211F">
        <w:rPr>
          <w:sz w:val="36"/>
          <w:szCs w:val="36"/>
          <w:rtl/>
        </w:rPr>
        <w:t>عن</w:t>
      </w:r>
      <w:r w:rsidR="00E8128F">
        <w:rPr>
          <w:sz w:val="36"/>
          <w:szCs w:val="36"/>
          <w:rtl/>
        </w:rPr>
        <w:t xml:space="preserve"> </w:t>
      </w:r>
      <w:r w:rsidR="00917937" w:rsidRPr="00FD211F">
        <w:rPr>
          <w:sz w:val="36"/>
          <w:szCs w:val="36"/>
          <w:rtl/>
        </w:rPr>
        <w:t>معنى</w:t>
      </w:r>
      <w:r w:rsidR="00E8128F">
        <w:rPr>
          <w:sz w:val="36"/>
          <w:szCs w:val="36"/>
          <w:rtl/>
        </w:rPr>
        <w:t xml:space="preserve"> </w:t>
      </w:r>
      <w:r w:rsidR="00917937" w:rsidRPr="00FD211F">
        <w:rPr>
          <w:sz w:val="36"/>
          <w:szCs w:val="36"/>
          <w:rtl/>
        </w:rPr>
        <w:t>الحروف</w:t>
      </w:r>
      <w:r w:rsidR="00E8128F">
        <w:rPr>
          <w:sz w:val="36"/>
          <w:szCs w:val="36"/>
          <w:rtl/>
        </w:rPr>
        <w:t xml:space="preserve"> </w:t>
      </w:r>
      <w:r w:rsidR="00917937" w:rsidRPr="00FD211F">
        <w:rPr>
          <w:sz w:val="36"/>
          <w:szCs w:val="36"/>
          <w:rtl/>
        </w:rPr>
        <w:t>والهيئات</w:t>
      </w:r>
      <w:r w:rsidR="00EC7EDF" w:rsidRPr="00FD211F">
        <w:rPr>
          <w:sz w:val="36"/>
          <w:szCs w:val="36"/>
          <w:rtl/>
        </w:rPr>
        <w:t>.</w:t>
      </w:r>
    </w:p>
    <w:p w14:paraId="56C85E9B" w14:textId="77777777" w:rsidR="007171D6" w:rsidRPr="00FD211F" w:rsidRDefault="00EE25F7" w:rsidP="009C58C8">
      <w:pPr>
        <w:ind w:left="0" w:firstLine="227"/>
        <w:jc w:val="both"/>
        <w:rPr>
          <w:sz w:val="36"/>
          <w:szCs w:val="36"/>
          <w:rtl/>
        </w:rPr>
      </w:pPr>
      <w:r w:rsidRPr="00FD211F">
        <w:rPr>
          <w:sz w:val="36"/>
          <w:szCs w:val="36"/>
          <w:rtl/>
        </w:rPr>
        <w:t>2-</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القيد</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مجرد</w:t>
      </w:r>
      <w:r w:rsidR="00E8128F">
        <w:rPr>
          <w:sz w:val="36"/>
          <w:szCs w:val="36"/>
          <w:rtl/>
        </w:rPr>
        <w:t xml:space="preserve"> </w:t>
      </w:r>
      <w:r w:rsidRPr="00FD211F">
        <w:rPr>
          <w:sz w:val="36"/>
          <w:szCs w:val="36"/>
          <w:rtl/>
        </w:rPr>
        <w:t>معرف</w:t>
      </w:r>
      <w:r w:rsidR="00E8128F">
        <w:rPr>
          <w:sz w:val="36"/>
          <w:szCs w:val="36"/>
          <w:rtl/>
        </w:rPr>
        <w:t xml:space="preserve"> </w:t>
      </w:r>
      <w:r w:rsidRPr="00FD211F">
        <w:rPr>
          <w:sz w:val="36"/>
          <w:szCs w:val="36"/>
          <w:rtl/>
        </w:rPr>
        <w:t>يلزم</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قولنا</w:t>
      </w:r>
      <w:r w:rsidR="00917937" w:rsidRPr="00FD211F">
        <w:rPr>
          <w:sz w:val="36"/>
          <w:szCs w:val="36"/>
          <w:rtl/>
        </w:rPr>
        <w:t>"</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انسان</w:t>
      </w:r>
      <w:r w:rsidR="00E8128F">
        <w:rPr>
          <w:sz w:val="36"/>
          <w:szCs w:val="36"/>
          <w:rtl/>
        </w:rPr>
        <w:t xml:space="preserve"> </w:t>
      </w:r>
      <w:r w:rsidRPr="00FD211F">
        <w:rPr>
          <w:sz w:val="36"/>
          <w:szCs w:val="36"/>
          <w:rtl/>
        </w:rPr>
        <w:t>له</w:t>
      </w:r>
      <w:r w:rsidR="00E8128F">
        <w:rPr>
          <w:sz w:val="36"/>
          <w:szCs w:val="36"/>
          <w:rtl/>
        </w:rPr>
        <w:t xml:space="preserve"> </w:t>
      </w:r>
      <w:r w:rsidR="00930B9A" w:rsidRPr="00FD211F">
        <w:rPr>
          <w:sz w:val="36"/>
          <w:szCs w:val="36"/>
          <w:rtl/>
        </w:rPr>
        <w:t>الضحك</w:t>
      </w:r>
      <w:r w:rsidR="00E8128F">
        <w:rPr>
          <w:sz w:val="36"/>
          <w:szCs w:val="36"/>
          <w:rtl/>
        </w:rPr>
        <w:t xml:space="preserve"> </w:t>
      </w:r>
      <w:r w:rsidR="00917937" w:rsidRPr="00FD211F">
        <w:rPr>
          <w:sz w:val="36"/>
          <w:szCs w:val="36"/>
          <w:rtl/>
        </w:rPr>
        <w:t>"</w:t>
      </w:r>
      <w:r w:rsidRPr="00FD211F">
        <w:rPr>
          <w:sz w:val="36"/>
          <w:szCs w:val="36"/>
          <w:rtl/>
        </w:rPr>
        <w:t>في</w:t>
      </w:r>
      <w:r w:rsidR="00E8128F">
        <w:rPr>
          <w:sz w:val="36"/>
          <w:szCs w:val="36"/>
          <w:rtl/>
        </w:rPr>
        <w:t xml:space="preserve"> </w:t>
      </w:r>
      <w:r w:rsidRPr="00FD211F">
        <w:rPr>
          <w:sz w:val="36"/>
          <w:szCs w:val="36"/>
          <w:rtl/>
        </w:rPr>
        <w:t>قو</w:t>
      </w:r>
      <w:r w:rsidR="00EC7EDF" w:rsidRPr="00FD211F">
        <w:rPr>
          <w:sz w:val="36"/>
          <w:szCs w:val="36"/>
          <w:rtl/>
        </w:rPr>
        <w:t>ة</w:t>
      </w:r>
      <w:r w:rsidR="00E8128F">
        <w:rPr>
          <w:sz w:val="36"/>
          <w:szCs w:val="36"/>
          <w:rtl/>
        </w:rPr>
        <w:t xml:space="preserve"> </w:t>
      </w:r>
      <w:r w:rsidR="00917937" w:rsidRPr="00FD211F">
        <w:rPr>
          <w:sz w:val="36"/>
          <w:szCs w:val="36"/>
          <w:rtl/>
        </w:rPr>
        <w:t>"</w:t>
      </w:r>
      <w:r w:rsidRPr="00FD211F">
        <w:rPr>
          <w:sz w:val="36"/>
          <w:szCs w:val="36"/>
          <w:rtl/>
        </w:rPr>
        <w:t>الانسا</w:t>
      </w:r>
      <w:r w:rsidR="007171D6" w:rsidRPr="00FD211F">
        <w:rPr>
          <w:sz w:val="36"/>
          <w:szCs w:val="36"/>
          <w:rtl/>
        </w:rPr>
        <w:t>ن</w:t>
      </w:r>
      <w:r w:rsidR="00E8128F">
        <w:rPr>
          <w:sz w:val="36"/>
          <w:szCs w:val="36"/>
          <w:rtl/>
        </w:rPr>
        <w:t xml:space="preserve"> </w:t>
      </w:r>
      <w:r w:rsidRPr="00FD211F">
        <w:rPr>
          <w:sz w:val="36"/>
          <w:szCs w:val="36"/>
          <w:rtl/>
        </w:rPr>
        <w:t>انسان</w:t>
      </w:r>
      <w:r w:rsidR="00917937" w:rsidRPr="00FD211F">
        <w:rPr>
          <w:sz w:val="36"/>
          <w:szCs w:val="36"/>
          <w:rtl/>
        </w:rPr>
        <w:t>"</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ضروريا</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مضيقا</w:t>
      </w:r>
      <w:r w:rsidR="00E8128F">
        <w:rPr>
          <w:sz w:val="36"/>
          <w:szCs w:val="36"/>
          <w:rtl/>
        </w:rPr>
        <w:t xml:space="preserve"> </w:t>
      </w:r>
      <w:r w:rsidRPr="00FD211F">
        <w:rPr>
          <w:sz w:val="36"/>
          <w:szCs w:val="36"/>
          <w:rtl/>
        </w:rPr>
        <w:t>يلزم</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المحمول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المثال</w:t>
      </w:r>
      <w:r w:rsidR="00E8128F">
        <w:rPr>
          <w:sz w:val="36"/>
          <w:szCs w:val="36"/>
          <w:rtl/>
        </w:rPr>
        <w:t xml:space="preserve"> </w:t>
      </w:r>
      <w:r w:rsidRPr="00FD211F">
        <w:rPr>
          <w:sz w:val="36"/>
          <w:szCs w:val="36"/>
          <w:rtl/>
        </w:rPr>
        <w:t>اخص</w:t>
      </w:r>
      <w:r w:rsidR="00E8128F">
        <w:rPr>
          <w:sz w:val="36"/>
          <w:szCs w:val="36"/>
          <w:rtl/>
        </w:rPr>
        <w:t xml:space="preserve"> </w:t>
      </w:r>
      <w:r w:rsidRPr="00FD211F">
        <w:rPr>
          <w:sz w:val="36"/>
          <w:szCs w:val="36"/>
          <w:rtl/>
        </w:rPr>
        <w:t>مفهوما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الموض</w:t>
      </w:r>
      <w:r w:rsidR="007171D6" w:rsidRPr="00FD211F">
        <w:rPr>
          <w:sz w:val="36"/>
          <w:szCs w:val="36"/>
          <w:rtl/>
        </w:rPr>
        <w:t>و</w:t>
      </w:r>
      <w:r w:rsidRPr="00FD211F">
        <w:rPr>
          <w:sz w:val="36"/>
          <w:szCs w:val="36"/>
          <w:rtl/>
        </w:rPr>
        <w:t>ع</w:t>
      </w:r>
      <w:r w:rsidR="00E8128F">
        <w:rPr>
          <w:sz w:val="36"/>
          <w:szCs w:val="36"/>
          <w:rtl/>
        </w:rPr>
        <w:t xml:space="preserve"> </w:t>
      </w:r>
      <w:r w:rsidRPr="00FD211F">
        <w:rPr>
          <w:sz w:val="36"/>
          <w:szCs w:val="36"/>
          <w:rtl/>
        </w:rPr>
        <w:t>وهذا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الحمل</w:t>
      </w:r>
      <w:r w:rsidR="00E8128F">
        <w:rPr>
          <w:sz w:val="36"/>
          <w:szCs w:val="36"/>
          <w:rtl/>
        </w:rPr>
        <w:t xml:space="preserve"> </w:t>
      </w:r>
      <w:r w:rsidR="007171D6" w:rsidRPr="00FD211F">
        <w:rPr>
          <w:sz w:val="36"/>
          <w:szCs w:val="36"/>
          <w:rtl/>
        </w:rPr>
        <w:t>الوضعي</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المنطق</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يأباه</w:t>
      </w:r>
      <w:r w:rsidR="00E8128F">
        <w:rPr>
          <w:sz w:val="36"/>
          <w:szCs w:val="36"/>
          <w:rtl/>
        </w:rPr>
        <w:t xml:space="preserve"> </w:t>
      </w:r>
      <w:r w:rsidRPr="00FD211F">
        <w:rPr>
          <w:sz w:val="36"/>
          <w:szCs w:val="36"/>
          <w:rtl/>
        </w:rPr>
        <w:t>الطبع</w:t>
      </w:r>
      <w:r w:rsidR="00603323" w:rsidRPr="00FD211F">
        <w:rPr>
          <w:sz w:val="36"/>
          <w:szCs w:val="36"/>
          <w:rtl/>
        </w:rPr>
        <w:t>،</w:t>
      </w:r>
      <w:r w:rsidR="00E8128F">
        <w:rPr>
          <w:sz w:val="36"/>
          <w:szCs w:val="36"/>
          <w:rtl/>
        </w:rPr>
        <w:t xml:space="preserve"> </w:t>
      </w:r>
      <w:r w:rsidRPr="00FD211F">
        <w:rPr>
          <w:sz w:val="36"/>
          <w:szCs w:val="36"/>
          <w:rtl/>
        </w:rPr>
        <w:t>ولذا</w:t>
      </w:r>
      <w:r w:rsidR="00E8128F">
        <w:rPr>
          <w:sz w:val="36"/>
          <w:szCs w:val="36"/>
          <w:rtl/>
        </w:rPr>
        <w:t xml:space="preserve"> </w:t>
      </w:r>
      <w:r w:rsidRPr="00FD211F">
        <w:rPr>
          <w:sz w:val="36"/>
          <w:szCs w:val="36"/>
          <w:rtl/>
        </w:rPr>
        <w:t>سمي</w:t>
      </w:r>
      <w:r w:rsidR="00E8128F">
        <w:rPr>
          <w:sz w:val="36"/>
          <w:szCs w:val="36"/>
          <w:rtl/>
        </w:rPr>
        <w:t xml:space="preserve"> </w:t>
      </w:r>
      <w:r w:rsidRPr="00FD211F">
        <w:rPr>
          <w:sz w:val="36"/>
          <w:szCs w:val="36"/>
          <w:rtl/>
        </w:rPr>
        <w:t>بالحمل</w:t>
      </w:r>
      <w:r w:rsidR="00E8128F">
        <w:rPr>
          <w:sz w:val="36"/>
          <w:szCs w:val="36"/>
          <w:rtl/>
        </w:rPr>
        <w:t xml:space="preserve"> </w:t>
      </w:r>
      <w:r w:rsidRPr="00FD211F">
        <w:rPr>
          <w:sz w:val="36"/>
          <w:szCs w:val="36"/>
          <w:rtl/>
        </w:rPr>
        <w:t>الوضعي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قبال</w:t>
      </w:r>
      <w:r w:rsidR="00E8128F">
        <w:rPr>
          <w:sz w:val="36"/>
          <w:szCs w:val="36"/>
          <w:rtl/>
        </w:rPr>
        <w:t xml:space="preserve"> </w:t>
      </w:r>
      <w:r w:rsidRPr="00FD211F">
        <w:rPr>
          <w:sz w:val="36"/>
          <w:szCs w:val="36"/>
          <w:rtl/>
        </w:rPr>
        <w:t>الحمل</w:t>
      </w:r>
      <w:r w:rsidR="00E8128F">
        <w:rPr>
          <w:sz w:val="36"/>
          <w:szCs w:val="36"/>
          <w:rtl/>
        </w:rPr>
        <w:t xml:space="preserve"> </w:t>
      </w:r>
      <w:r w:rsidRPr="00FD211F">
        <w:rPr>
          <w:sz w:val="36"/>
          <w:szCs w:val="36"/>
          <w:rtl/>
        </w:rPr>
        <w:t>الطبعي</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المحمول</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اعم</w:t>
      </w:r>
      <w:r w:rsidR="00E8128F">
        <w:rPr>
          <w:sz w:val="36"/>
          <w:szCs w:val="36"/>
          <w:rtl/>
        </w:rPr>
        <w:t xml:space="preserve"> </w:t>
      </w:r>
      <w:r w:rsidRPr="00FD211F">
        <w:rPr>
          <w:sz w:val="36"/>
          <w:szCs w:val="36"/>
          <w:rtl/>
        </w:rPr>
        <w:t>مفهوما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الموضوع</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قولنا</w:t>
      </w:r>
      <w:r w:rsidR="00E8128F">
        <w:rPr>
          <w:sz w:val="36"/>
          <w:szCs w:val="36"/>
          <w:rtl/>
        </w:rPr>
        <w:t xml:space="preserve"> </w:t>
      </w:r>
      <w:r w:rsidR="00917937" w:rsidRPr="00FD211F">
        <w:rPr>
          <w:sz w:val="36"/>
          <w:szCs w:val="36"/>
          <w:rtl/>
        </w:rPr>
        <w:t>"</w:t>
      </w:r>
      <w:r w:rsidRPr="00FD211F">
        <w:rPr>
          <w:sz w:val="36"/>
          <w:szCs w:val="36"/>
          <w:rtl/>
        </w:rPr>
        <w:t>الانسان</w:t>
      </w:r>
      <w:r w:rsidR="00E8128F">
        <w:rPr>
          <w:sz w:val="36"/>
          <w:szCs w:val="36"/>
          <w:rtl/>
        </w:rPr>
        <w:t xml:space="preserve"> </w:t>
      </w:r>
      <w:r w:rsidRPr="00FD211F">
        <w:rPr>
          <w:sz w:val="36"/>
          <w:szCs w:val="36"/>
          <w:rtl/>
        </w:rPr>
        <w:t>ناطق</w:t>
      </w:r>
      <w:r w:rsidR="00917937" w:rsidRPr="00FD211F">
        <w:rPr>
          <w:sz w:val="36"/>
          <w:szCs w:val="36"/>
          <w:rtl/>
        </w:rPr>
        <w:t>"</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مساويا</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المصاديق</w:t>
      </w:r>
      <w:r w:rsidR="00E8128F">
        <w:rPr>
          <w:sz w:val="36"/>
          <w:szCs w:val="36"/>
          <w:rtl/>
        </w:rPr>
        <w:t xml:space="preserve"> </w:t>
      </w:r>
      <w:r w:rsidRPr="00FD211F">
        <w:rPr>
          <w:sz w:val="36"/>
          <w:szCs w:val="36"/>
          <w:rtl/>
        </w:rPr>
        <w:t>الخارجي</w:t>
      </w:r>
      <w:r w:rsidR="00EC7EDF" w:rsidRPr="00FD211F">
        <w:rPr>
          <w:sz w:val="36"/>
          <w:szCs w:val="36"/>
          <w:rtl/>
        </w:rPr>
        <w:t>ة</w:t>
      </w:r>
      <w:r w:rsidR="00E8128F">
        <w:rPr>
          <w:sz w:val="36"/>
          <w:szCs w:val="36"/>
          <w:rtl/>
        </w:rPr>
        <w:t xml:space="preserve"> </w:t>
      </w:r>
      <w:r w:rsidRPr="00FD211F">
        <w:rPr>
          <w:sz w:val="36"/>
          <w:szCs w:val="36"/>
          <w:rtl/>
        </w:rPr>
        <w:t>لكن</w:t>
      </w:r>
      <w:r w:rsidR="00E8128F">
        <w:rPr>
          <w:sz w:val="36"/>
          <w:szCs w:val="36"/>
          <w:rtl/>
        </w:rPr>
        <w:t xml:space="preserve"> </w:t>
      </w:r>
      <w:r w:rsidRPr="00FD211F">
        <w:rPr>
          <w:sz w:val="36"/>
          <w:szCs w:val="36"/>
          <w:rtl/>
        </w:rPr>
        <w:t>الناطق</w:t>
      </w:r>
      <w:r w:rsidR="00E8128F">
        <w:rPr>
          <w:sz w:val="36"/>
          <w:szCs w:val="36"/>
          <w:rtl/>
        </w:rPr>
        <w:t xml:space="preserve"> </w:t>
      </w:r>
      <w:r w:rsidRPr="00FD211F">
        <w:rPr>
          <w:sz w:val="36"/>
          <w:szCs w:val="36"/>
          <w:rtl/>
        </w:rPr>
        <w:t>اعم</w:t>
      </w:r>
      <w:r w:rsidR="00E8128F">
        <w:rPr>
          <w:sz w:val="36"/>
          <w:szCs w:val="36"/>
          <w:rtl/>
        </w:rPr>
        <w:t xml:space="preserve"> </w:t>
      </w:r>
      <w:r w:rsidRPr="00FD211F">
        <w:rPr>
          <w:sz w:val="36"/>
          <w:szCs w:val="36"/>
          <w:rtl/>
        </w:rPr>
        <w:t>بلحاظ</w:t>
      </w:r>
      <w:r w:rsidR="00E8128F">
        <w:rPr>
          <w:sz w:val="36"/>
          <w:szCs w:val="36"/>
          <w:rtl/>
        </w:rPr>
        <w:t xml:space="preserve"> </w:t>
      </w:r>
      <w:r w:rsidRPr="00FD211F">
        <w:rPr>
          <w:sz w:val="36"/>
          <w:szCs w:val="36"/>
          <w:rtl/>
        </w:rPr>
        <w:t>المفهوم</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لعدم</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فيه</w:t>
      </w:r>
      <w:r w:rsidR="007171D6" w:rsidRPr="00FD211F">
        <w:rPr>
          <w:sz w:val="36"/>
          <w:szCs w:val="36"/>
          <w:rtl/>
        </w:rPr>
        <w:t>.</w:t>
      </w:r>
    </w:p>
    <w:p w14:paraId="5FE23773" w14:textId="77777777" w:rsidR="009C35CE" w:rsidRPr="00FD211F" w:rsidRDefault="007171D6" w:rsidP="009C58C8">
      <w:pPr>
        <w:ind w:left="0" w:firstLine="227"/>
        <w:jc w:val="both"/>
        <w:rPr>
          <w:sz w:val="36"/>
          <w:szCs w:val="36"/>
          <w:rtl/>
        </w:rPr>
      </w:pPr>
      <w:r w:rsidRPr="00FD211F">
        <w:rPr>
          <w:sz w:val="36"/>
          <w:szCs w:val="36"/>
          <w:rtl/>
        </w:rPr>
        <w:t>نعم</w:t>
      </w:r>
      <w:r w:rsidR="00E8128F">
        <w:rPr>
          <w:sz w:val="36"/>
          <w:szCs w:val="36"/>
          <w:rtl/>
        </w:rPr>
        <w:t xml:space="preserve"> </w:t>
      </w:r>
      <w:r w:rsidR="00EE25F7" w:rsidRPr="00FD211F">
        <w:rPr>
          <w:sz w:val="36"/>
          <w:szCs w:val="36"/>
          <w:rtl/>
        </w:rPr>
        <w:t>هذا</w:t>
      </w:r>
      <w:r w:rsidR="00E8128F">
        <w:rPr>
          <w:sz w:val="36"/>
          <w:szCs w:val="36"/>
          <w:rtl/>
        </w:rPr>
        <w:t xml:space="preserve"> </w:t>
      </w:r>
      <w:r w:rsidR="00EE25F7" w:rsidRPr="00FD211F">
        <w:rPr>
          <w:sz w:val="36"/>
          <w:szCs w:val="36"/>
          <w:rtl/>
        </w:rPr>
        <w:t>الاشكال</w:t>
      </w:r>
      <w:r w:rsidR="00E8128F">
        <w:rPr>
          <w:sz w:val="36"/>
          <w:szCs w:val="36"/>
          <w:rtl/>
        </w:rPr>
        <w:t xml:space="preserve"> </w:t>
      </w:r>
      <w:r w:rsidR="00EE25F7" w:rsidRPr="00FD211F">
        <w:rPr>
          <w:sz w:val="36"/>
          <w:szCs w:val="36"/>
          <w:rtl/>
        </w:rPr>
        <w:t>لايتوجه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كقولنا</w:t>
      </w:r>
      <w:r w:rsidR="00917937" w:rsidRPr="00FD211F">
        <w:rPr>
          <w:sz w:val="36"/>
          <w:szCs w:val="36"/>
          <w:rtl/>
        </w:rPr>
        <w:t>"</w:t>
      </w:r>
      <w:r w:rsidR="00E8128F">
        <w:rPr>
          <w:sz w:val="36"/>
          <w:szCs w:val="36"/>
          <w:rtl/>
        </w:rPr>
        <w:t xml:space="preserve"> </w:t>
      </w:r>
      <w:r w:rsidR="00EE25F7" w:rsidRPr="00FD211F">
        <w:rPr>
          <w:sz w:val="36"/>
          <w:szCs w:val="36"/>
          <w:rtl/>
        </w:rPr>
        <w:t>الانسان</w:t>
      </w:r>
      <w:r w:rsidR="00E8128F">
        <w:rPr>
          <w:sz w:val="36"/>
          <w:szCs w:val="36"/>
          <w:rtl/>
        </w:rPr>
        <w:t xml:space="preserve"> </w:t>
      </w:r>
      <w:r w:rsidR="008D7B3D" w:rsidRPr="00FD211F">
        <w:rPr>
          <w:sz w:val="36"/>
          <w:szCs w:val="36"/>
          <w:rtl/>
        </w:rPr>
        <w:t>شيء</w:t>
      </w:r>
      <w:r w:rsidR="00E8128F">
        <w:rPr>
          <w:sz w:val="36"/>
          <w:szCs w:val="36"/>
          <w:rtl/>
        </w:rPr>
        <w:t xml:space="preserve"> </w:t>
      </w:r>
      <w:r w:rsidR="00EE25F7" w:rsidRPr="00FD211F">
        <w:rPr>
          <w:sz w:val="36"/>
          <w:szCs w:val="36"/>
          <w:rtl/>
        </w:rPr>
        <w:t>له</w:t>
      </w:r>
      <w:r w:rsidR="00E8128F">
        <w:rPr>
          <w:sz w:val="36"/>
          <w:szCs w:val="36"/>
          <w:rtl/>
        </w:rPr>
        <w:t xml:space="preserve"> </w:t>
      </w:r>
      <w:r w:rsidR="00930B9A" w:rsidRPr="00FD211F">
        <w:rPr>
          <w:sz w:val="36"/>
          <w:szCs w:val="36"/>
          <w:rtl/>
        </w:rPr>
        <w:t>الضحك</w:t>
      </w:r>
      <w:r w:rsidR="00917937" w:rsidRPr="00FD211F">
        <w:rPr>
          <w:sz w:val="36"/>
          <w:szCs w:val="36"/>
          <w:rtl/>
        </w:rPr>
        <w:t>"</w:t>
      </w:r>
      <w:r w:rsidR="00E8128F">
        <w:rPr>
          <w:sz w:val="36"/>
          <w:szCs w:val="36"/>
          <w:rtl/>
        </w:rPr>
        <w:t xml:space="preserve"> </w:t>
      </w:r>
      <w:r w:rsidR="00EE25F7" w:rsidRPr="00FD211F">
        <w:rPr>
          <w:sz w:val="36"/>
          <w:szCs w:val="36"/>
          <w:rtl/>
        </w:rPr>
        <w:t>اذ</w:t>
      </w:r>
      <w:r w:rsidR="00E8128F">
        <w:rPr>
          <w:sz w:val="36"/>
          <w:szCs w:val="36"/>
          <w:rtl/>
        </w:rPr>
        <w:t xml:space="preserve"> </w:t>
      </w:r>
      <w:r w:rsidR="00EE25F7" w:rsidRPr="00FD211F">
        <w:rPr>
          <w:sz w:val="36"/>
          <w:szCs w:val="36"/>
          <w:rtl/>
        </w:rPr>
        <w:t>يلتزم</w:t>
      </w:r>
      <w:r w:rsidR="00E8128F">
        <w:rPr>
          <w:sz w:val="36"/>
          <w:szCs w:val="36"/>
          <w:rtl/>
        </w:rPr>
        <w:t xml:space="preserve"> </w:t>
      </w:r>
      <w:r w:rsidR="00EE25F7" w:rsidRPr="00FD211F">
        <w:rPr>
          <w:sz w:val="36"/>
          <w:szCs w:val="36"/>
          <w:rtl/>
        </w:rPr>
        <w:t>فيه</w:t>
      </w:r>
      <w:r w:rsidR="00E8128F">
        <w:rPr>
          <w:sz w:val="36"/>
          <w:szCs w:val="36"/>
          <w:rtl/>
        </w:rPr>
        <w:t xml:space="preserve"> </w:t>
      </w:r>
      <w:r w:rsidR="00EE25F7" w:rsidRPr="00FD211F">
        <w:rPr>
          <w:sz w:val="36"/>
          <w:szCs w:val="36"/>
          <w:rtl/>
        </w:rPr>
        <w:t>بحمل</w:t>
      </w:r>
      <w:r w:rsidR="00E8128F">
        <w:rPr>
          <w:sz w:val="36"/>
          <w:szCs w:val="36"/>
          <w:rtl/>
        </w:rPr>
        <w:t xml:space="preserve"> </w:t>
      </w:r>
      <w:r w:rsidR="00EE25F7" w:rsidRPr="00FD211F">
        <w:rPr>
          <w:sz w:val="36"/>
          <w:szCs w:val="36"/>
          <w:rtl/>
        </w:rPr>
        <w:t>المقيد</w:t>
      </w:r>
      <w:r w:rsidR="00E8128F">
        <w:rPr>
          <w:sz w:val="36"/>
          <w:szCs w:val="36"/>
          <w:rtl/>
        </w:rPr>
        <w:t xml:space="preserve"> </w:t>
      </w:r>
      <w:r w:rsidR="00EE25F7" w:rsidRPr="00FD211F">
        <w:rPr>
          <w:sz w:val="36"/>
          <w:szCs w:val="36"/>
          <w:rtl/>
        </w:rPr>
        <w:t>فلايكون</w:t>
      </w:r>
      <w:r w:rsidR="00E8128F">
        <w:rPr>
          <w:sz w:val="36"/>
          <w:szCs w:val="36"/>
          <w:rtl/>
        </w:rPr>
        <w:t xml:space="preserve"> </w:t>
      </w:r>
      <w:r w:rsidR="00EE25F7" w:rsidRPr="00FD211F">
        <w:rPr>
          <w:sz w:val="36"/>
          <w:szCs w:val="36"/>
          <w:rtl/>
        </w:rPr>
        <w:t>ضروريا</w:t>
      </w:r>
      <w:r w:rsidR="00603323" w:rsidRPr="00FD211F">
        <w:rPr>
          <w:sz w:val="36"/>
          <w:szCs w:val="36"/>
          <w:rtl/>
        </w:rPr>
        <w:t>،</w:t>
      </w:r>
      <w:r w:rsidR="00E8128F">
        <w:rPr>
          <w:sz w:val="36"/>
          <w:szCs w:val="36"/>
          <w:rtl/>
        </w:rPr>
        <w:t xml:space="preserve"> </w:t>
      </w:r>
      <w:r w:rsidR="009C35CE" w:rsidRPr="00FD211F">
        <w:rPr>
          <w:sz w:val="36"/>
          <w:szCs w:val="36"/>
          <w:rtl/>
        </w:rPr>
        <w:t>كما</w:t>
      </w:r>
      <w:r w:rsidR="00E8128F">
        <w:rPr>
          <w:sz w:val="36"/>
          <w:szCs w:val="36"/>
          <w:rtl/>
        </w:rPr>
        <w:t xml:space="preserve"> </w:t>
      </w:r>
      <w:r w:rsidR="009C35CE" w:rsidRPr="00FD211F">
        <w:rPr>
          <w:sz w:val="36"/>
          <w:szCs w:val="36"/>
          <w:rtl/>
        </w:rPr>
        <w:t>انه</w:t>
      </w:r>
      <w:r w:rsidR="00E8128F">
        <w:rPr>
          <w:sz w:val="36"/>
          <w:szCs w:val="36"/>
          <w:rtl/>
        </w:rPr>
        <w:t xml:space="preserve"> </w:t>
      </w:r>
      <w:r w:rsidR="009C35CE" w:rsidRPr="00FD211F">
        <w:rPr>
          <w:sz w:val="36"/>
          <w:szCs w:val="36"/>
          <w:rtl/>
        </w:rPr>
        <w:t>لايكون</w:t>
      </w:r>
      <w:r w:rsidR="00E8128F">
        <w:rPr>
          <w:sz w:val="36"/>
          <w:szCs w:val="36"/>
          <w:rtl/>
        </w:rPr>
        <w:t xml:space="preserve"> </w:t>
      </w:r>
      <w:r w:rsidR="009C35CE" w:rsidRPr="00FD211F">
        <w:rPr>
          <w:sz w:val="36"/>
          <w:szCs w:val="36"/>
          <w:rtl/>
        </w:rPr>
        <w:t>من</w:t>
      </w:r>
      <w:r w:rsidR="00E8128F">
        <w:rPr>
          <w:sz w:val="36"/>
          <w:szCs w:val="36"/>
          <w:rtl/>
        </w:rPr>
        <w:t xml:space="preserve"> </w:t>
      </w:r>
      <w:r w:rsidR="009C35CE" w:rsidRPr="00FD211F">
        <w:rPr>
          <w:sz w:val="36"/>
          <w:szCs w:val="36"/>
          <w:rtl/>
        </w:rPr>
        <w:t>الحمل</w:t>
      </w:r>
      <w:r w:rsidR="00E8128F">
        <w:rPr>
          <w:sz w:val="36"/>
          <w:szCs w:val="36"/>
          <w:rtl/>
        </w:rPr>
        <w:t xml:space="preserve"> </w:t>
      </w:r>
      <w:r w:rsidR="009C35CE" w:rsidRPr="00FD211F">
        <w:rPr>
          <w:sz w:val="36"/>
          <w:szCs w:val="36"/>
          <w:rtl/>
        </w:rPr>
        <w:t>الوضعي</w:t>
      </w:r>
      <w:r w:rsidR="00E8128F">
        <w:rPr>
          <w:sz w:val="36"/>
          <w:szCs w:val="36"/>
          <w:rtl/>
        </w:rPr>
        <w:t xml:space="preserve"> </w:t>
      </w:r>
      <w:r w:rsidR="009C35CE" w:rsidRPr="00FD211F">
        <w:rPr>
          <w:sz w:val="36"/>
          <w:szCs w:val="36"/>
          <w:rtl/>
        </w:rPr>
        <w:t>لان</w:t>
      </w:r>
      <w:r w:rsidR="00E8128F">
        <w:rPr>
          <w:sz w:val="36"/>
          <w:szCs w:val="36"/>
          <w:rtl/>
        </w:rPr>
        <w:t xml:space="preserve"> </w:t>
      </w:r>
      <w:r w:rsidR="009C35CE" w:rsidRPr="00FD211F">
        <w:rPr>
          <w:sz w:val="36"/>
          <w:szCs w:val="36"/>
          <w:rtl/>
        </w:rPr>
        <w:t>المحمول</w:t>
      </w:r>
      <w:r w:rsidR="00E8128F">
        <w:rPr>
          <w:sz w:val="36"/>
          <w:szCs w:val="36"/>
          <w:rtl/>
        </w:rPr>
        <w:t xml:space="preserve"> </w:t>
      </w:r>
      <w:r w:rsidR="00EE25F7" w:rsidRPr="00FD211F">
        <w:rPr>
          <w:sz w:val="36"/>
          <w:szCs w:val="36"/>
          <w:rtl/>
        </w:rPr>
        <w:t>اعم</w:t>
      </w:r>
      <w:r w:rsidR="00E8128F">
        <w:rPr>
          <w:sz w:val="36"/>
          <w:szCs w:val="36"/>
          <w:rtl/>
        </w:rPr>
        <w:t xml:space="preserve"> </w:t>
      </w:r>
      <w:r w:rsidR="00EE25F7" w:rsidRPr="00FD211F">
        <w:rPr>
          <w:sz w:val="36"/>
          <w:szCs w:val="36"/>
          <w:rtl/>
        </w:rPr>
        <w:t>مفهوما</w:t>
      </w:r>
      <w:r w:rsidR="00E8128F">
        <w:rPr>
          <w:sz w:val="36"/>
          <w:szCs w:val="36"/>
          <w:rtl/>
        </w:rPr>
        <w:t xml:space="preserve"> </w:t>
      </w:r>
      <w:r w:rsidR="009C35CE" w:rsidRPr="00FD211F">
        <w:rPr>
          <w:sz w:val="36"/>
          <w:szCs w:val="36"/>
          <w:rtl/>
        </w:rPr>
        <w:t>من</w:t>
      </w:r>
      <w:r w:rsidR="00E8128F">
        <w:rPr>
          <w:sz w:val="36"/>
          <w:szCs w:val="36"/>
          <w:rtl/>
        </w:rPr>
        <w:t xml:space="preserve"> </w:t>
      </w:r>
      <w:r w:rsidR="009C35CE" w:rsidRPr="00FD211F">
        <w:rPr>
          <w:sz w:val="36"/>
          <w:szCs w:val="36"/>
          <w:rtl/>
        </w:rPr>
        <w:t>الموضوع.</w:t>
      </w:r>
    </w:p>
    <w:p w14:paraId="04761A23" w14:textId="77777777" w:rsidR="00EE25F7" w:rsidRPr="00FD211F" w:rsidRDefault="009C35CE" w:rsidP="009C58C8">
      <w:pPr>
        <w:ind w:left="0" w:firstLine="227"/>
        <w:jc w:val="both"/>
        <w:rPr>
          <w:sz w:val="36"/>
          <w:szCs w:val="36"/>
          <w:rtl/>
        </w:rPr>
      </w:pPr>
      <w:r w:rsidRPr="00FD211F">
        <w:rPr>
          <w:sz w:val="36"/>
          <w:szCs w:val="36"/>
          <w:rtl/>
        </w:rPr>
        <w:t>وكيف</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فيرد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الوجه</w:t>
      </w:r>
      <w:r w:rsidR="00E8128F">
        <w:rPr>
          <w:sz w:val="36"/>
          <w:szCs w:val="36"/>
          <w:rtl/>
        </w:rPr>
        <w:t xml:space="preserve"> </w:t>
      </w:r>
      <w:r w:rsidR="00EE25F7" w:rsidRPr="00FD211F">
        <w:rPr>
          <w:sz w:val="36"/>
          <w:szCs w:val="36"/>
          <w:rtl/>
        </w:rPr>
        <w:t>انه</w:t>
      </w:r>
      <w:r w:rsidR="00E8128F">
        <w:rPr>
          <w:sz w:val="36"/>
          <w:szCs w:val="36"/>
          <w:rtl/>
        </w:rPr>
        <w:t xml:space="preserve"> </w:t>
      </w:r>
      <w:r w:rsidR="00EE25F7" w:rsidRPr="00FD211F">
        <w:rPr>
          <w:sz w:val="36"/>
          <w:szCs w:val="36"/>
          <w:rtl/>
        </w:rPr>
        <w:t>بعد</w:t>
      </w:r>
      <w:r w:rsidR="00E8128F">
        <w:rPr>
          <w:sz w:val="36"/>
          <w:szCs w:val="36"/>
          <w:rtl/>
        </w:rPr>
        <w:t xml:space="preserve"> </w:t>
      </w:r>
      <w:r w:rsidR="00EE25F7" w:rsidRPr="00FD211F">
        <w:rPr>
          <w:sz w:val="36"/>
          <w:szCs w:val="36"/>
          <w:rtl/>
        </w:rPr>
        <w:t>فرض</w:t>
      </w:r>
      <w:r w:rsidR="00E8128F">
        <w:rPr>
          <w:sz w:val="36"/>
          <w:szCs w:val="36"/>
          <w:rtl/>
        </w:rPr>
        <w:t xml:space="preserve"> </w:t>
      </w:r>
      <w:r w:rsidR="00EE25F7" w:rsidRPr="00FD211F">
        <w:rPr>
          <w:sz w:val="36"/>
          <w:szCs w:val="36"/>
          <w:rtl/>
        </w:rPr>
        <w:t>كون</w:t>
      </w:r>
      <w:r w:rsidR="00E8128F">
        <w:rPr>
          <w:sz w:val="36"/>
          <w:szCs w:val="36"/>
          <w:rtl/>
        </w:rPr>
        <w:t xml:space="preserve"> </w:t>
      </w:r>
      <w:r w:rsidR="00EE25F7" w:rsidRPr="00FD211F">
        <w:rPr>
          <w:sz w:val="36"/>
          <w:szCs w:val="36"/>
          <w:rtl/>
        </w:rPr>
        <w:t>الموضوع</w:t>
      </w:r>
      <w:r w:rsidR="00E8128F">
        <w:rPr>
          <w:sz w:val="36"/>
          <w:szCs w:val="36"/>
          <w:rtl/>
        </w:rPr>
        <w:t xml:space="preserve"> </w:t>
      </w:r>
      <w:r w:rsidR="00EE25F7" w:rsidRPr="00FD211F">
        <w:rPr>
          <w:sz w:val="36"/>
          <w:szCs w:val="36"/>
          <w:rtl/>
        </w:rPr>
        <w:t>ملحوظا</w:t>
      </w:r>
      <w:r w:rsidR="00E8128F">
        <w:rPr>
          <w:sz w:val="36"/>
          <w:szCs w:val="36"/>
          <w:rtl/>
        </w:rPr>
        <w:t xml:space="preserve"> </w:t>
      </w:r>
      <w:r w:rsidR="00EE25F7" w:rsidRPr="00FD211F">
        <w:rPr>
          <w:sz w:val="36"/>
          <w:szCs w:val="36"/>
          <w:rtl/>
        </w:rPr>
        <w:t>فانيا</w:t>
      </w:r>
      <w:r w:rsidR="00E8128F">
        <w:rPr>
          <w:sz w:val="36"/>
          <w:szCs w:val="36"/>
          <w:rtl/>
        </w:rPr>
        <w:t xml:space="preserve"> </w:t>
      </w:r>
      <w:r w:rsidR="00EE25F7" w:rsidRPr="00FD211F">
        <w:rPr>
          <w:sz w:val="36"/>
          <w:szCs w:val="36"/>
          <w:rtl/>
        </w:rPr>
        <w:t>في</w:t>
      </w:r>
      <w:r w:rsidR="00E8128F">
        <w:rPr>
          <w:sz w:val="36"/>
          <w:szCs w:val="36"/>
          <w:rtl/>
        </w:rPr>
        <w:t xml:space="preserve"> </w:t>
      </w:r>
      <w:r w:rsidR="00EE25F7" w:rsidRPr="00FD211F">
        <w:rPr>
          <w:sz w:val="36"/>
          <w:szCs w:val="36"/>
          <w:rtl/>
        </w:rPr>
        <w:t>الخارج</w:t>
      </w:r>
      <w:r w:rsidR="00E8128F">
        <w:rPr>
          <w:sz w:val="36"/>
          <w:szCs w:val="36"/>
          <w:rtl/>
        </w:rPr>
        <w:t xml:space="preserve"> </w:t>
      </w:r>
      <w:r w:rsidR="00EE25F7" w:rsidRPr="00FD211F">
        <w:rPr>
          <w:sz w:val="36"/>
          <w:szCs w:val="36"/>
          <w:rtl/>
        </w:rPr>
        <w:t>وافتراض</w:t>
      </w:r>
      <w:r w:rsidR="00E8128F">
        <w:rPr>
          <w:sz w:val="36"/>
          <w:szCs w:val="36"/>
          <w:rtl/>
        </w:rPr>
        <w:t xml:space="preserve"> </w:t>
      </w:r>
      <w:r w:rsidR="00EE25F7" w:rsidRPr="00FD211F">
        <w:rPr>
          <w:sz w:val="36"/>
          <w:szCs w:val="36"/>
          <w:rtl/>
        </w:rPr>
        <w:t>انحصار</w:t>
      </w:r>
      <w:r w:rsidR="00E8128F">
        <w:rPr>
          <w:sz w:val="36"/>
          <w:szCs w:val="36"/>
          <w:rtl/>
        </w:rPr>
        <w:t xml:space="preserve"> </w:t>
      </w:r>
      <w:r w:rsidR="00EE25F7" w:rsidRPr="00FD211F">
        <w:rPr>
          <w:sz w:val="36"/>
          <w:szCs w:val="36"/>
          <w:rtl/>
        </w:rPr>
        <w:t>مصاديقه</w:t>
      </w:r>
      <w:r w:rsidR="00E8128F">
        <w:rPr>
          <w:sz w:val="36"/>
          <w:szCs w:val="36"/>
          <w:rtl/>
        </w:rPr>
        <w:t xml:space="preserve"> </w:t>
      </w:r>
      <w:r w:rsidR="00EE25F7" w:rsidRPr="00FD211F">
        <w:rPr>
          <w:sz w:val="36"/>
          <w:szCs w:val="36"/>
          <w:rtl/>
        </w:rPr>
        <w:t>في</w:t>
      </w:r>
      <w:r w:rsidR="00E8128F">
        <w:rPr>
          <w:sz w:val="36"/>
          <w:szCs w:val="36"/>
          <w:rtl/>
        </w:rPr>
        <w:t xml:space="preserve"> </w:t>
      </w:r>
      <w:r w:rsidR="00EE25F7" w:rsidRPr="00FD211F">
        <w:rPr>
          <w:sz w:val="36"/>
          <w:szCs w:val="36"/>
          <w:rtl/>
        </w:rPr>
        <w:t>ما</w:t>
      </w:r>
      <w:r w:rsidR="00E8128F">
        <w:rPr>
          <w:sz w:val="36"/>
          <w:szCs w:val="36"/>
          <w:rtl/>
        </w:rPr>
        <w:t xml:space="preserve"> </w:t>
      </w:r>
      <w:r w:rsidR="00EE25F7" w:rsidRPr="00FD211F">
        <w:rPr>
          <w:sz w:val="36"/>
          <w:szCs w:val="36"/>
          <w:rtl/>
        </w:rPr>
        <w:t>يصدق</w:t>
      </w:r>
      <w:r w:rsidR="00E8128F">
        <w:rPr>
          <w:sz w:val="36"/>
          <w:szCs w:val="36"/>
          <w:rtl/>
        </w:rPr>
        <w:t xml:space="preserve"> </w:t>
      </w:r>
      <w:r w:rsidR="00EE25F7" w:rsidRPr="00FD211F">
        <w:rPr>
          <w:sz w:val="36"/>
          <w:szCs w:val="36"/>
          <w:rtl/>
        </w:rPr>
        <w:t>عليه</w:t>
      </w:r>
      <w:r w:rsidR="00E8128F">
        <w:rPr>
          <w:sz w:val="36"/>
          <w:szCs w:val="36"/>
          <w:rtl/>
        </w:rPr>
        <w:t xml:space="preserve"> </w:t>
      </w:r>
      <w:r w:rsidR="00EE25F7" w:rsidRPr="00FD211F">
        <w:rPr>
          <w:sz w:val="36"/>
          <w:szCs w:val="36"/>
          <w:rtl/>
        </w:rPr>
        <w:t>المحمول</w:t>
      </w:r>
      <w:r w:rsidR="00E8128F">
        <w:rPr>
          <w:sz w:val="36"/>
          <w:szCs w:val="36"/>
          <w:rtl/>
        </w:rPr>
        <w:t xml:space="preserve"> </w:t>
      </w:r>
      <w:r w:rsidR="00EE25F7" w:rsidRPr="00FD211F">
        <w:rPr>
          <w:sz w:val="36"/>
          <w:szCs w:val="36"/>
          <w:rtl/>
        </w:rPr>
        <w:t>ايضا</w:t>
      </w:r>
      <w:r w:rsidR="00E8128F">
        <w:rPr>
          <w:sz w:val="36"/>
          <w:szCs w:val="36"/>
          <w:rtl/>
        </w:rPr>
        <w:t xml:space="preserve"> </w:t>
      </w:r>
      <w:r w:rsidR="00EE25F7" w:rsidRPr="00FD211F">
        <w:rPr>
          <w:sz w:val="36"/>
          <w:szCs w:val="36"/>
          <w:rtl/>
        </w:rPr>
        <w:t>فلامانع</w:t>
      </w:r>
      <w:r w:rsidR="00E8128F">
        <w:rPr>
          <w:sz w:val="36"/>
          <w:szCs w:val="36"/>
          <w:rtl/>
        </w:rPr>
        <w:t xml:space="preserve"> </w:t>
      </w:r>
      <w:r w:rsidR="00EE25F7" w:rsidRPr="00FD211F">
        <w:rPr>
          <w:sz w:val="36"/>
          <w:szCs w:val="36"/>
          <w:rtl/>
        </w:rPr>
        <w:t>من</w:t>
      </w:r>
      <w:r w:rsidR="00E8128F">
        <w:rPr>
          <w:sz w:val="36"/>
          <w:szCs w:val="36"/>
          <w:rtl/>
        </w:rPr>
        <w:t xml:space="preserve"> </w:t>
      </w:r>
      <w:r w:rsidR="00EE25F7" w:rsidRPr="00FD211F">
        <w:rPr>
          <w:sz w:val="36"/>
          <w:szCs w:val="36"/>
          <w:rtl/>
        </w:rPr>
        <w:t>الحمل</w:t>
      </w:r>
      <w:r w:rsidR="00E8128F">
        <w:rPr>
          <w:sz w:val="36"/>
          <w:szCs w:val="36"/>
          <w:rtl/>
        </w:rPr>
        <w:t xml:space="preserve"> </w:t>
      </w:r>
      <w:r w:rsidR="00EE25F7" w:rsidRPr="00FD211F">
        <w:rPr>
          <w:sz w:val="36"/>
          <w:szCs w:val="36"/>
          <w:rtl/>
        </w:rPr>
        <w:t>الوضعي</w:t>
      </w:r>
      <w:r w:rsidR="009937F5" w:rsidRPr="00FD211F">
        <w:rPr>
          <w:sz w:val="36"/>
          <w:szCs w:val="36"/>
          <w:rtl/>
        </w:rPr>
        <w:t>.</w:t>
      </w:r>
    </w:p>
    <w:p w14:paraId="41D55EA5" w14:textId="77777777" w:rsidR="009937F5" w:rsidRPr="00FD211F" w:rsidRDefault="009937F5" w:rsidP="009C58C8">
      <w:pPr>
        <w:ind w:left="0" w:firstLine="227"/>
        <w:jc w:val="both"/>
        <w:rPr>
          <w:sz w:val="36"/>
          <w:szCs w:val="36"/>
          <w:rtl/>
        </w:rPr>
      </w:pPr>
      <w:r w:rsidRPr="00FD211F">
        <w:rPr>
          <w:sz w:val="36"/>
          <w:szCs w:val="36"/>
          <w:rtl/>
        </w:rPr>
        <w:t>3-</w:t>
      </w:r>
      <w:r w:rsidR="00E8128F">
        <w:rPr>
          <w:sz w:val="36"/>
          <w:szCs w:val="36"/>
          <w:rtl/>
        </w:rPr>
        <w:t xml:space="preserve"> </w:t>
      </w:r>
      <w:r w:rsidRPr="00FD211F">
        <w:rPr>
          <w:sz w:val="36"/>
          <w:szCs w:val="36"/>
          <w:rtl/>
        </w:rPr>
        <w:t>ان</w:t>
      </w:r>
      <w:r w:rsidR="00E8128F">
        <w:rPr>
          <w:sz w:val="36"/>
          <w:szCs w:val="36"/>
          <w:rtl/>
        </w:rPr>
        <w:t xml:space="preserve"> </w:t>
      </w:r>
      <w:r w:rsidR="00930B9A" w:rsidRPr="00FD211F">
        <w:rPr>
          <w:sz w:val="36"/>
          <w:szCs w:val="36"/>
          <w:rtl/>
        </w:rPr>
        <w:t>المحمول</w:t>
      </w:r>
      <w:r w:rsidR="00E8128F">
        <w:rPr>
          <w:sz w:val="36"/>
          <w:szCs w:val="36"/>
          <w:rtl/>
        </w:rPr>
        <w:t xml:space="preserve"> </w:t>
      </w:r>
      <w:r w:rsidR="00930B9A" w:rsidRPr="00FD211F">
        <w:rPr>
          <w:sz w:val="36"/>
          <w:szCs w:val="36"/>
          <w:rtl/>
        </w:rPr>
        <w:t>في</w:t>
      </w:r>
      <w:r w:rsidR="00E8128F">
        <w:rPr>
          <w:sz w:val="36"/>
          <w:szCs w:val="36"/>
          <w:rtl/>
        </w:rPr>
        <w:t xml:space="preserve"> </w:t>
      </w:r>
      <w:r w:rsidRPr="00FD211F">
        <w:rPr>
          <w:sz w:val="36"/>
          <w:szCs w:val="36"/>
          <w:rtl/>
        </w:rPr>
        <w:t>قولنا</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انسان</w:t>
      </w:r>
      <w:r w:rsidR="00E8128F">
        <w:rPr>
          <w:sz w:val="36"/>
          <w:szCs w:val="36"/>
          <w:rtl/>
        </w:rPr>
        <w:t xml:space="preserve"> </w:t>
      </w:r>
      <w:r w:rsidRPr="00FD211F">
        <w:rPr>
          <w:sz w:val="36"/>
          <w:szCs w:val="36"/>
          <w:rtl/>
        </w:rPr>
        <w:t>له</w:t>
      </w:r>
      <w:r w:rsidR="00E8128F">
        <w:rPr>
          <w:sz w:val="36"/>
          <w:szCs w:val="36"/>
          <w:rtl/>
        </w:rPr>
        <w:t xml:space="preserve"> </w:t>
      </w:r>
      <w:r w:rsidR="00930B9A" w:rsidRPr="00FD211F">
        <w:rPr>
          <w:sz w:val="36"/>
          <w:szCs w:val="36"/>
          <w:rtl/>
        </w:rPr>
        <w:t>الضحك</w:t>
      </w:r>
      <w:r w:rsidR="00E8128F">
        <w:rPr>
          <w:sz w:val="36"/>
          <w:szCs w:val="36"/>
          <w:rtl/>
        </w:rPr>
        <w:t xml:space="preserve"> </w:t>
      </w:r>
      <w:r w:rsidR="00930B9A" w:rsidRPr="00FD211F">
        <w:rPr>
          <w:sz w:val="36"/>
          <w:szCs w:val="36"/>
          <w:rtl/>
        </w:rPr>
        <w:t>حيث</w:t>
      </w:r>
      <w:r w:rsidR="00E8128F">
        <w:rPr>
          <w:sz w:val="36"/>
          <w:szCs w:val="36"/>
          <w:rtl/>
        </w:rPr>
        <w:t xml:space="preserve"> </w:t>
      </w:r>
      <w:r w:rsidR="00930B9A" w:rsidRPr="00FD211F">
        <w:rPr>
          <w:sz w:val="36"/>
          <w:szCs w:val="36"/>
          <w:rtl/>
        </w:rPr>
        <w:t>يكون</w:t>
      </w:r>
      <w:r w:rsidR="00E8128F">
        <w:rPr>
          <w:sz w:val="36"/>
          <w:szCs w:val="36"/>
          <w:rtl/>
        </w:rPr>
        <w:t xml:space="preserve"> </w:t>
      </w:r>
      <w:r w:rsidR="00930B9A" w:rsidRPr="00FD211F">
        <w:rPr>
          <w:sz w:val="36"/>
          <w:szCs w:val="36"/>
          <w:rtl/>
        </w:rPr>
        <w:t>مركبا</w:t>
      </w:r>
      <w:r w:rsidR="00E8128F">
        <w:rPr>
          <w:sz w:val="36"/>
          <w:szCs w:val="36"/>
          <w:rtl/>
        </w:rPr>
        <w:t xml:space="preserve"> </w:t>
      </w:r>
      <w:r w:rsidR="00930B9A" w:rsidRPr="00FD211F">
        <w:rPr>
          <w:sz w:val="36"/>
          <w:szCs w:val="36"/>
          <w:rtl/>
        </w:rPr>
        <w:t>من</w:t>
      </w:r>
      <w:r w:rsidR="00E8128F">
        <w:rPr>
          <w:sz w:val="36"/>
          <w:szCs w:val="36"/>
          <w:rtl/>
        </w:rPr>
        <w:t xml:space="preserve"> </w:t>
      </w:r>
      <w:r w:rsidR="00930B9A" w:rsidRPr="00FD211F">
        <w:rPr>
          <w:sz w:val="36"/>
          <w:szCs w:val="36"/>
          <w:rtl/>
        </w:rPr>
        <w:t>الموصوف</w:t>
      </w:r>
      <w:r w:rsidR="00E8128F">
        <w:rPr>
          <w:sz w:val="36"/>
          <w:szCs w:val="36"/>
          <w:rtl/>
        </w:rPr>
        <w:t xml:space="preserve"> </w:t>
      </w:r>
      <w:r w:rsidR="00930B9A" w:rsidRPr="00FD211F">
        <w:rPr>
          <w:sz w:val="36"/>
          <w:szCs w:val="36"/>
          <w:rtl/>
        </w:rPr>
        <w:t>والوصف</w:t>
      </w:r>
      <w:r w:rsidR="00E8128F">
        <w:rPr>
          <w:sz w:val="36"/>
          <w:szCs w:val="36"/>
          <w:rtl/>
        </w:rPr>
        <w:t xml:space="preserve"> </w:t>
      </w:r>
      <w:r w:rsidR="00930B9A" w:rsidRPr="00FD211F">
        <w:rPr>
          <w:sz w:val="36"/>
          <w:szCs w:val="36"/>
          <w:rtl/>
        </w:rPr>
        <w:t>فبالتالي</w:t>
      </w:r>
      <w:r w:rsidR="00E8128F">
        <w:rPr>
          <w:sz w:val="36"/>
          <w:szCs w:val="36"/>
          <w:rtl/>
        </w:rPr>
        <w:t xml:space="preserve"> </w:t>
      </w:r>
      <w:r w:rsidR="00930B9A" w:rsidRPr="00FD211F">
        <w:rPr>
          <w:sz w:val="36"/>
          <w:szCs w:val="36"/>
          <w:rtl/>
        </w:rPr>
        <w:t>يكون</w:t>
      </w:r>
      <w:r w:rsidR="00E8128F">
        <w:rPr>
          <w:sz w:val="36"/>
          <w:szCs w:val="36"/>
          <w:rtl/>
        </w:rPr>
        <w:t xml:space="preserve"> </w:t>
      </w:r>
      <w:r w:rsidR="00930B9A" w:rsidRPr="00FD211F">
        <w:rPr>
          <w:sz w:val="36"/>
          <w:szCs w:val="36"/>
          <w:rtl/>
        </w:rPr>
        <w:t>في</w:t>
      </w:r>
      <w:r w:rsidR="00E8128F">
        <w:rPr>
          <w:sz w:val="36"/>
          <w:szCs w:val="36"/>
          <w:rtl/>
        </w:rPr>
        <w:t xml:space="preserve"> </w:t>
      </w:r>
      <w:r w:rsidR="00930B9A" w:rsidRPr="00FD211F">
        <w:rPr>
          <w:sz w:val="36"/>
          <w:szCs w:val="36"/>
          <w:rtl/>
        </w:rPr>
        <w:t>قو</w:t>
      </w:r>
      <w:r w:rsidR="00EC7EDF" w:rsidRPr="00FD211F">
        <w:rPr>
          <w:sz w:val="36"/>
          <w:szCs w:val="36"/>
          <w:rtl/>
        </w:rPr>
        <w:t>ة</w:t>
      </w:r>
      <w:r w:rsidR="00E8128F">
        <w:rPr>
          <w:sz w:val="36"/>
          <w:szCs w:val="36"/>
          <w:rtl/>
        </w:rPr>
        <w:t xml:space="preserve"> </w:t>
      </w:r>
      <w:r w:rsidR="00930B9A" w:rsidRPr="00FD211F">
        <w:rPr>
          <w:sz w:val="36"/>
          <w:szCs w:val="36"/>
          <w:rtl/>
        </w:rPr>
        <w:t>الاخبار</w:t>
      </w:r>
      <w:r w:rsidR="00E8128F">
        <w:rPr>
          <w:sz w:val="36"/>
          <w:szCs w:val="36"/>
          <w:rtl/>
        </w:rPr>
        <w:t xml:space="preserve"> </w:t>
      </w:r>
      <w:r w:rsidR="00577BCA" w:rsidRPr="00FD211F">
        <w:rPr>
          <w:sz w:val="36"/>
          <w:szCs w:val="36"/>
          <w:rtl/>
        </w:rPr>
        <w:t>حيث</w:t>
      </w:r>
      <w:r w:rsidR="00E8128F">
        <w:rPr>
          <w:sz w:val="36"/>
          <w:szCs w:val="36"/>
          <w:rtl/>
        </w:rPr>
        <w:t xml:space="preserve"> </w:t>
      </w:r>
      <w:r w:rsidR="00577BCA" w:rsidRPr="00FD211F">
        <w:rPr>
          <w:sz w:val="36"/>
          <w:szCs w:val="36"/>
          <w:rtl/>
        </w:rPr>
        <w:t>قالوا</w:t>
      </w:r>
      <w:r w:rsidR="00E8128F">
        <w:rPr>
          <w:sz w:val="36"/>
          <w:szCs w:val="36"/>
          <w:rtl/>
        </w:rPr>
        <w:t xml:space="preserve"> </w:t>
      </w:r>
      <w:r w:rsidR="00577BCA" w:rsidRPr="00FD211F">
        <w:rPr>
          <w:sz w:val="36"/>
          <w:szCs w:val="36"/>
          <w:rtl/>
        </w:rPr>
        <w:t>ان</w:t>
      </w:r>
      <w:r w:rsidR="00E8128F">
        <w:rPr>
          <w:sz w:val="36"/>
          <w:szCs w:val="36"/>
          <w:rtl/>
        </w:rPr>
        <w:t xml:space="preserve"> </w:t>
      </w:r>
      <w:r w:rsidR="00577BCA" w:rsidRPr="00FD211F">
        <w:rPr>
          <w:sz w:val="36"/>
          <w:szCs w:val="36"/>
          <w:rtl/>
        </w:rPr>
        <w:t>الاوصاف</w:t>
      </w:r>
      <w:r w:rsidR="00E8128F">
        <w:rPr>
          <w:sz w:val="36"/>
          <w:szCs w:val="36"/>
          <w:rtl/>
        </w:rPr>
        <w:t xml:space="preserve"> </w:t>
      </w:r>
      <w:r w:rsidR="00577BCA" w:rsidRPr="00FD211F">
        <w:rPr>
          <w:sz w:val="36"/>
          <w:szCs w:val="36"/>
          <w:rtl/>
        </w:rPr>
        <w:t>قبل</w:t>
      </w:r>
      <w:r w:rsidR="00E8128F">
        <w:rPr>
          <w:sz w:val="36"/>
          <w:szCs w:val="36"/>
          <w:rtl/>
        </w:rPr>
        <w:t xml:space="preserve"> </w:t>
      </w:r>
      <w:r w:rsidR="00577BCA" w:rsidRPr="00FD211F">
        <w:rPr>
          <w:sz w:val="36"/>
          <w:szCs w:val="36"/>
          <w:rtl/>
        </w:rPr>
        <w:t>العلم</w:t>
      </w:r>
      <w:r w:rsidR="00E8128F">
        <w:rPr>
          <w:sz w:val="36"/>
          <w:szCs w:val="36"/>
          <w:rtl/>
        </w:rPr>
        <w:t xml:space="preserve"> </w:t>
      </w:r>
      <w:r w:rsidR="00577BCA" w:rsidRPr="00FD211F">
        <w:rPr>
          <w:sz w:val="36"/>
          <w:szCs w:val="36"/>
          <w:rtl/>
        </w:rPr>
        <w:t>بها</w:t>
      </w:r>
      <w:r w:rsidR="00E8128F">
        <w:rPr>
          <w:sz w:val="36"/>
          <w:szCs w:val="36"/>
          <w:rtl/>
        </w:rPr>
        <w:t xml:space="preserve"> </w:t>
      </w:r>
      <w:r w:rsidR="00577BCA" w:rsidRPr="00FD211F">
        <w:rPr>
          <w:sz w:val="36"/>
          <w:szCs w:val="36"/>
          <w:rtl/>
        </w:rPr>
        <w:t>اخبار</w:t>
      </w:r>
      <w:r w:rsidR="00E8128F">
        <w:rPr>
          <w:sz w:val="36"/>
          <w:szCs w:val="36"/>
          <w:rtl/>
        </w:rPr>
        <w:t xml:space="preserve"> </w:t>
      </w:r>
      <w:r w:rsidR="00577BCA" w:rsidRPr="00FD211F">
        <w:rPr>
          <w:sz w:val="36"/>
          <w:szCs w:val="36"/>
          <w:rtl/>
        </w:rPr>
        <w:t>والاخبار</w:t>
      </w:r>
      <w:r w:rsidR="00E8128F">
        <w:rPr>
          <w:sz w:val="36"/>
          <w:szCs w:val="36"/>
          <w:rtl/>
        </w:rPr>
        <w:t xml:space="preserve"> </w:t>
      </w:r>
      <w:r w:rsidR="00577BCA" w:rsidRPr="00FD211F">
        <w:rPr>
          <w:sz w:val="36"/>
          <w:szCs w:val="36"/>
          <w:rtl/>
        </w:rPr>
        <w:t>بعد</w:t>
      </w:r>
      <w:r w:rsidR="00E8128F">
        <w:rPr>
          <w:sz w:val="36"/>
          <w:szCs w:val="36"/>
          <w:rtl/>
        </w:rPr>
        <w:t xml:space="preserve"> </w:t>
      </w:r>
      <w:r w:rsidR="00577BCA" w:rsidRPr="00FD211F">
        <w:rPr>
          <w:sz w:val="36"/>
          <w:szCs w:val="36"/>
          <w:rtl/>
        </w:rPr>
        <w:t>العلم</w:t>
      </w:r>
      <w:r w:rsidR="00E8128F">
        <w:rPr>
          <w:sz w:val="36"/>
          <w:szCs w:val="36"/>
          <w:rtl/>
        </w:rPr>
        <w:t xml:space="preserve"> </w:t>
      </w:r>
      <w:r w:rsidR="00577BCA" w:rsidRPr="00FD211F">
        <w:rPr>
          <w:sz w:val="36"/>
          <w:szCs w:val="36"/>
          <w:rtl/>
        </w:rPr>
        <w:t>بها</w:t>
      </w:r>
      <w:r w:rsidR="00E8128F">
        <w:rPr>
          <w:sz w:val="36"/>
          <w:szCs w:val="36"/>
          <w:rtl/>
        </w:rPr>
        <w:t xml:space="preserve"> </w:t>
      </w:r>
      <w:r w:rsidR="00577BCA" w:rsidRPr="00FD211F">
        <w:rPr>
          <w:sz w:val="36"/>
          <w:szCs w:val="36"/>
          <w:rtl/>
        </w:rPr>
        <w:t>اوصاف</w:t>
      </w:r>
      <w:r w:rsidR="00E8128F">
        <w:rPr>
          <w:sz w:val="36"/>
          <w:szCs w:val="36"/>
          <w:rtl/>
        </w:rPr>
        <w:t xml:space="preserve"> </w:t>
      </w:r>
      <w:r w:rsidR="00930B9A" w:rsidRPr="00FD211F">
        <w:rPr>
          <w:sz w:val="36"/>
          <w:szCs w:val="36"/>
          <w:rtl/>
        </w:rPr>
        <w:t>فينحل</w:t>
      </w:r>
      <w:r w:rsidR="00E8128F">
        <w:rPr>
          <w:sz w:val="36"/>
          <w:szCs w:val="36"/>
          <w:rtl/>
        </w:rPr>
        <w:t xml:space="preserve"> </w:t>
      </w:r>
      <w:r w:rsidR="00930B9A" w:rsidRPr="00FD211F">
        <w:rPr>
          <w:sz w:val="36"/>
          <w:szCs w:val="36"/>
          <w:rtl/>
        </w:rPr>
        <w:t>هذا</w:t>
      </w:r>
      <w:r w:rsidR="00E8128F">
        <w:rPr>
          <w:sz w:val="36"/>
          <w:szCs w:val="36"/>
          <w:rtl/>
        </w:rPr>
        <w:t xml:space="preserve"> </w:t>
      </w:r>
      <w:r w:rsidR="00930B9A" w:rsidRPr="00FD211F">
        <w:rPr>
          <w:sz w:val="36"/>
          <w:szCs w:val="36"/>
          <w:rtl/>
        </w:rPr>
        <w:t>الكلام</w:t>
      </w:r>
      <w:r w:rsidR="00E8128F">
        <w:rPr>
          <w:sz w:val="36"/>
          <w:szCs w:val="36"/>
          <w:rtl/>
        </w:rPr>
        <w:t xml:space="preserve"> </w:t>
      </w:r>
      <w:r w:rsidR="00930B9A" w:rsidRPr="00FD211F">
        <w:rPr>
          <w:sz w:val="36"/>
          <w:szCs w:val="36"/>
          <w:rtl/>
        </w:rPr>
        <w:t>الى</w:t>
      </w:r>
      <w:r w:rsidR="00E8128F">
        <w:rPr>
          <w:sz w:val="36"/>
          <w:szCs w:val="36"/>
          <w:rtl/>
        </w:rPr>
        <w:t xml:space="preserve"> </w:t>
      </w:r>
      <w:r w:rsidR="00930B9A" w:rsidRPr="00FD211F">
        <w:rPr>
          <w:sz w:val="36"/>
          <w:szCs w:val="36"/>
          <w:rtl/>
        </w:rPr>
        <w:t>قضيتين</w:t>
      </w:r>
      <w:r w:rsidR="00E8128F">
        <w:rPr>
          <w:sz w:val="36"/>
          <w:szCs w:val="36"/>
          <w:rtl/>
        </w:rPr>
        <w:t xml:space="preserve"> </w:t>
      </w:r>
      <w:r w:rsidRPr="00FD211F">
        <w:rPr>
          <w:sz w:val="36"/>
          <w:szCs w:val="36"/>
          <w:rtl/>
        </w:rPr>
        <w:t>وهي</w:t>
      </w:r>
      <w:r w:rsidR="00917937"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انسان</w:t>
      </w:r>
      <w:r w:rsidR="00917937" w:rsidRPr="00FD211F">
        <w:rPr>
          <w:sz w:val="36"/>
          <w:szCs w:val="36"/>
          <w:rtl/>
        </w:rPr>
        <w:t>"</w:t>
      </w:r>
      <w:r w:rsidR="00E8128F">
        <w:rPr>
          <w:sz w:val="36"/>
          <w:szCs w:val="36"/>
          <w:rtl/>
        </w:rPr>
        <w:t xml:space="preserve"> </w:t>
      </w:r>
      <w:r w:rsidRPr="00FD211F">
        <w:rPr>
          <w:sz w:val="36"/>
          <w:szCs w:val="36"/>
          <w:rtl/>
        </w:rPr>
        <w:t>و</w:t>
      </w:r>
      <w:r w:rsidR="00917937" w:rsidRPr="00FD211F">
        <w:rPr>
          <w:sz w:val="36"/>
          <w:szCs w:val="36"/>
          <w:rtl/>
        </w:rPr>
        <w:t>"</w:t>
      </w:r>
      <w:r w:rsidRPr="00FD211F">
        <w:rPr>
          <w:sz w:val="36"/>
          <w:szCs w:val="36"/>
          <w:rtl/>
        </w:rPr>
        <w:t>ان</w:t>
      </w:r>
      <w:r w:rsidR="00E8128F">
        <w:rPr>
          <w:sz w:val="36"/>
          <w:szCs w:val="36"/>
          <w:rtl/>
        </w:rPr>
        <w:t xml:space="preserve"> </w:t>
      </w:r>
      <w:r w:rsidRPr="00FD211F">
        <w:rPr>
          <w:sz w:val="36"/>
          <w:szCs w:val="36"/>
          <w:rtl/>
        </w:rPr>
        <w:t>انسانيته</w:t>
      </w:r>
      <w:r w:rsidR="00E8128F">
        <w:rPr>
          <w:sz w:val="36"/>
          <w:szCs w:val="36"/>
          <w:rtl/>
        </w:rPr>
        <w:t xml:space="preserve"> </w:t>
      </w:r>
      <w:r w:rsidRPr="00FD211F">
        <w:rPr>
          <w:sz w:val="36"/>
          <w:szCs w:val="36"/>
          <w:rtl/>
        </w:rPr>
        <w:t>مقرون</w:t>
      </w:r>
      <w:r w:rsidR="00EC7EDF" w:rsidRPr="00FD211F">
        <w:rPr>
          <w:sz w:val="36"/>
          <w:szCs w:val="36"/>
          <w:rtl/>
        </w:rPr>
        <w:t>ة</w:t>
      </w:r>
      <w:r w:rsidR="00E8128F">
        <w:rPr>
          <w:sz w:val="36"/>
          <w:szCs w:val="36"/>
          <w:rtl/>
        </w:rPr>
        <w:t xml:space="preserve"> </w:t>
      </w:r>
      <w:r w:rsidR="00930B9A" w:rsidRPr="00FD211F">
        <w:rPr>
          <w:sz w:val="36"/>
          <w:szCs w:val="36"/>
          <w:rtl/>
        </w:rPr>
        <w:t>بالضحك</w:t>
      </w:r>
      <w:r w:rsidR="00917937" w:rsidRPr="00FD211F">
        <w:rPr>
          <w:sz w:val="36"/>
          <w:szCs w:val="36"/>
          <w:rtl/>
        </w:rPr>
        <w:t>"</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بلحاظ</w:t>
      </w:r>
      <w:r w:rsidR="00E8128F">
        <w:rPr>
          <w:sz w:val="36"/>
          <w:szCs w:val="36"/>
          <w:rtl/>
        </w:rPr>
        <w:t xml:space="preserve"> </w:t>
      </w:r>
      <w:r w:rsidRPr="00FD211F">
        <w:rPr>
          <w:sz w:val="36"/>
          <w:szCs w:val="36"/>
          <w:rtl/>
        </w:rPr>
        <w:t>القضي</w:t>
      </w:r>
      <w:r w:rsidR="00EC7EDF" w:rsidRPr="00FD211F">
        <w:rPr>
          <w:sz w:val="36"/>
          <w:szCs w:val="36"/>
          <w:rtl/>
        </w:rPr>
        <w:t>ة</w:t>
      </w:r>
      <w:r w:rsidR="00E8128F">
        <w:rPr>
          <w:sz w:val="36"/>
          <w:szCs w:val="36"/>
          <w:rtl/>
        </w:rPr>
        <w:t xml:space="preserve"> </w:t>
      </w:r>
      <w:r w:rsidRPr="00FD211F">
        <w:rPr>
          <w:sz w:val="36"/>
          <w:szCs w:val="36"/>
          <w:rtl/>
        </w:rPr>
        <w:t>الأولى</w:t>
      </w:r>
      <w:r w:rsidR="00E8128F">
        <w:rPr>
          <w:sz w:val="36"/>
          <w:szCs w:val="36"/>
          <w:rtl/>
        </w:rPr>
        <w:t xml:space="preserve"> </w:t>
      </w:r>
      <w:r w:rsidRPr="00FD211F">
        <w:rPr>
          <w:sz w:val="36"/>
          <w:szCs w:val="36"/>
          <w:rtl/>
        </w:rPr>
        <w:t>ضروري</w:t>
      </w:r>
      <w:r w:rsidR="00EC7EDF" w:rsidRPr="00FD211F">
        <w:rPr>
          <w:sz w:val="36"/>
          <w:szCs w:val="36"/>
          <w:rtl/>
        </w:rPr>
        <w:t>ة</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بلحاظ</w:t>
      </w:r>
      <w:r w:rsidR="00E8128F">
        <w:rPr>
          <w:sz w:val="36"/>
          <w:szCs w:val="36"/>
          <w:rtl/>
        </w:rPr>
        <w:t xml:space="preserve"> </w:t>
      </w:r>
      <w:r w:rsidR="00DA3D0F" w:rsidRPr="00FD211F">
        <w:rPr>
          <w:sz w:val="36"/>
          <w:szCs w:val="36"/>
          <w:rtl/>
        </w:rPr>
        <w:t>الثاني</w:t>
      </w:r>
      <w:r w:rsidR="00EC7EDF" w:rsidRPr="00FD211F">
        <w:rPr>
          <w:sz w:val="36"/>
          <w:szCs w:val="36"/>
          <w:rtl/>
        </w:rPr>
        <w:t>ة</w:t>
      </w:r>
      <w:r w:rsidR="00E8128F">
        <w:rPr>
          <w:sz w:val="36"/>
          <w:szCs w:val="36"/>
          <w:rtl/>
        </w:rPr>
        <w:t xml:space="preserve"> </w:t>
      </w:r>
      <w:r w:rsidRPr="00FD211F">
        <w:rPr>
          <w:sz w:val="36"/>
          <w:szCs w:val="36"/>
          <w:rtl/>
        </w:rPr>
        <w:t>ممكن</w:t>
      </w:r>
      <w:r w:rsidR="00EC7EDF" w:rsidRPr="00FD211F">
        <w:rPr>
          <w:sz w:val="36"/>
          <w:szCs w:val="36"/>
          <w:rtl/>
        </w:rPr>
        <w:t>ة</w:t>
      </w:r>
      <w:r w:rsidR="00E8128F">
        <w:rPr>
          <w:sz w:val="36"/>
          <w:szCs w:val="36"/>
          <w:rtl/>
        </w:rPr>
        <w:t xml:space="preserve"> </w:t>
      </w:r>
      <w:r w:rsidRPr="00FD211F">
        <w:rPr>
          <w:sz w:val="36"/>
          <w:szCs w:val="36"/>
          <w:rtl/>
        </w:rPr>
        <w:t>خاص</w:t>
      </w:r>
      <w:r w:rsidR="00EC7EDF" w:rsidRPr="00FD211F">
        <w:rPr>
          <w:sz w:val="36"/>
          <w:szCs w:val="36"/>
          <w:rtl/>
        </w:rPr>
        <w:t>ة</w:t>
      </w:r>
      <w:r w:rsidR="00603323" w:rsidRPr="00FD211F">
        <w:rPr>
          <w:sz w:val="36"/>
          <w:szCs w:val="36"/>
          <w:rtl/>
        </w:rPr>
        <w:t>،</w:t>
      </w:r>
      <w:r w:rsidR="00E8128F">
        <w:rPr>
          <w:sz w:val="36"/>
          <w:szCs w:val="36"/>
          <w:rtl/>
        </w:rPr>
        <w:t xml:space="preserve"> </w:t>
      </w:r>
      <w:r w:rsidR="00930B9A" w:rsidRPr="00FD211F">
        <w:rPr>
          <w:sz w:val="36"/>
          <w:szCs w:val="36"/>
          <w:rtl/>
        </w:rPr>
        <w:t>وحينئذ</w:t>
      </w:r>
      <w:r w:rsidR="00E8128F">
        <w:rPr>
          <w:sz w:val="36"/>
          <w:szCs w:val="36"/>
          <w:rtl/>
        </w:rPr>
        <w:t xml:space="preserve"> </w:t>
      </w:r>
      <w:r w:rsidR="00930B9A" w:rsidRPr="00FD211F">
        <w:rPr>
          <w:sz w:val="36"/>
          <w:szCs w:val="36"/>
          <w:rtl/>
        </w:rPr>
        <w:t>فلو</w:t>
      </w:r>
      <w:r w:rsidR="00E8128F">
        <w:rPr>
          <w:sz w:val="36"/>
          <w:szCs w:val="36"/>
          <w:rtl/>
        </w:rPr>
        <w:t xml:space="preserve"> </w:t>
      </w:r>
      <w:r w:rsidR="00930B9A" w:rsidRPr="00FD211F">
        <w:rPr>
          <w:sz w:val="36"/>
          <w:szCs w:val="36"/>
          <w:rtl/>
        </w:rPr>
        <w:t>كان</w:t>
      </w:r>
      <w:r w:rsidR="00E8128F">
        <w:rPr>
          <w:sz w:val="36"/>
          <w:szCs w:val="36"/>
          <w:rtl/>
        </w:rPr>
        <w:t xml:space="preserve"> </w:t>
      </w:r>
      <w:r w:rsidR="00930B9A" w:rsidRPr="00FD211F">
        <w:rPr>
          <w:sz w:val="36"/>
          <w:szCs w:val="36"/>
          <w:rtl/>
        </w:rPr>
        <w:t>الضاحك</w:t>
      </w:r>
      <w:r w:rsidR="00E8128F">
        <w:rPr>
          <w:sz w:val="36"/>
          <w:szCs w:val="36"/>
          <w:rtl/>
        </w:rPr>
        <w:t xml:space="preserve"> </w:t>
      </w:r>
      <w:r w:rsidR="00930B9A" w:rsidRPr="00FD211F">
        <w:rPr>
          <w:sz w:val="36"/>
          <w:szCs w:val="36"/>
          <w:rtl/>
        </w:rPr>
        <w:t>مركبا</w:t>
      </w:r>
      <w:r w:rsidR="00E8128F">
        <w:rPr>
          <w:sz w:val="36"/>
          <w:szCs w:val="36"/>
          <w:rtl/>
        </w:rPr>
        <w:t xml:space="preserve"> </w:t>
      </w:r>
      <w:r w:rsidR="00577BCA" w:rsidRPr="00FD211F">
        <w:rPr>
          <w:sz w:val="36"/>
          <w:szCs w:val="36"/>
          <w:rtl/>
        </w:rPr>
        <w:t>فيكون</w:t>
      </w:r>
      <w:r w:rsidR="00E8128F">
        <w:rPr>
          <w:sz w:val="36"/>
          <w:szCs w:val="36"/>
          <w:rtl/>
        </w:rPr>
        <w:t xml:space="preserve"> </w:t>
      </w:r>
      <w:r w:rsidR="00577BCA" w:rsidRPr="00FD211F">
        <w:rPr>
          <w:sz w:val="36"/>
          <w:szCs w:val="36"/>
          <w:rtl/>
        </w:rPr>
        <w:t>في</w:t>
      </w:r>
      <w:r w:rsidR="00E8128F">
        <w:rPr>
          <w:sz w:val="36"/>
          <w:szCs w:val="36"/>
          <w:rtl/>
        </w:rPr>
        <w:t xml:space="preserve"> </w:t>
      </w:r>
      <w:r w:rsidR="00577BCA" w:rsidRPr="00FD211F">
        <w:rPr>
          <w:sz w:val="36"/>
          <w:szCs w:val="36"/>
          <w:rtl/>
        </w:rPr>
        <w:t>قو</w:t>
      </w:r>
      <w:r w:rsidR="00EC7EDF" w:rsidRPr="00FD211F">
        <w:rPr>
          <w:sz w:val="36"/>
          <w:szCs w:val="36"/>
          <w:rtl/>
        </w:rPr>
        <w:t>ة</w:t>
      </w:r>
      <w:r w:rsidR="00E8128F">
        <w:rPr>
          <w:sz w:val="36"/>
          <w:szCs w:val="36"/>
          <w:rtl/>
        </w:rPr>
        <w:t xml:space="preserve"> </w:t>
      </w:r>
      <w:r w:rsidR="00577BCA" w:rsidRPr="00FD211F">
        <w:rPr>
          <w:sz w:val="36"/>
          <w:szCs w:val="36"/>
          <w:rtl/>
        </w:rPr>
        <w:t>"انسان</w:t>
      </w:r>
      <w:r w:rsidR="00E8128F">
        <w:rPr>
          <w:sz w:val="36"/>
          <w:szCs w:val="36"/>
          <w:rtl/>
        </w:rPr>
        <w:t xml:space="preserve"> </w:t>
      </w:r>
      <w:r w:rsidR="00577BCA" w:rsidRPr="00FD211F">
        <w:rPr>
          <w:sz w:val="36"/>
          <w:szCs w:val="36"/>
          <w:rtl/>
        </w:rPr>
        <w:t>له</w:t>
      </w:r>
      <w:r w:rsidR="00E8128F">
        <w:rPr>
          <w:sz w:val="36"/>
          <w:szCs w:val="36"/>
          <w:rtl/>
        </w:rPr>
        <w:t xml:space="preserve"> </w:t>
      </w:r>
      <w:r w:rsidR="00577BCA" w:rsidRPr="00FD211F">
        <w:rPr>
          <w:sz w:val="36"/>
          <w:szCs w:val="36"/>
          <w:rtl/>
        </w:rPr>
        <w:t>الضحك"</w:t>
      </w:r>
      <w:r w:rsidR="00E8128F">
        <w:rPr>
          <w:sz w:val="36"/>
          <w:szCs w:val="36"/>
          <w:rtl/>
        </w:rPr>
        <w:t xml:space="preserve"> </w:t>
      </w:r>
      <w:r w:rsidR="00577BCA" w:rsidRPr="00FD211F">
        <w:rPr>
          <w:sz w:val="36"/>
          <w:szCs w:val="36"/>
          <w:rtl/>
        </w:rPr>
        <w:t>لزم</w:t>
      </w:r>
      <w:r w:rsidR="00E8128F">
        <w:rPr>
          <w:sz w:val="36"/>
          <w:szCs w:val="36"/>
          <w:rtl/>
        </w:rPr>
        <w:t xml:space="preserve"> </w:t>
      </w:r>
      <w:r w:rsidR="00577BCA" w:rsidRPr="00FD211F">
        <w:rPr>
          <w:sz w:val="36"/>
          <w:szCs w:val="36"/>
          <w:rtl/>
        </w:rPr>
        <w:t>انحلال</w:t>
      </w:r>
      <w:r w:rsidR="00E8128F">
        <w:rPr>
          <w:sz w:val="36"/>
          <w:szCs w:val="36"/>
          <w:rtl/>
        </w:rPr>
        <w:t xml:space="preserve"> </w:t>
      </w:r>
      <w:r w:rsidR="00577BCA" w:rsidRPr="00FD211F">
        <w:rPr>
          <w:sz w:val="36"/>
          <w:szCs w:val="36"/>
          <w:rtl/>
        </w:rPr>
        <w:t>قولنا</w:t>
      </w:r>
      <w:r w:rsidR="00917937" w:rsidRPr="00FD211F">
        <w:rPr>
          <w:sz w:val="36"/>
          <w:szCs w:val="36"/>
          <w:rtl/>
        </w:rPr>
        <w:t>"</w:t>
      </w:r>
      <w:r w:rsidR="00E8128F">
        <w:rPr>
          <w:sz w:val="36"/>
          <w:szCs w:val="36"/>
          <w:rtl/>
        </w:rPr>
        <w:t xml:space="preserve"> </w:t>
      </w:r>
      <w:r w:rsidR="00577BCA" w:rsidRPr="00FD211F">
        <w:rPr>
          <w:sz w:val="36"/>
          <w:szCs w:val="36"/>
          <w:rtl/>
        </w:rPr>
        <w:t>الانسان</w:t>
      </w:r>
      <w:r w:rsidR="00E8128F">
        <w:rPr>
          <w:sz w:val="36"/>
          <w:szCs w:val="36"/>
          <w:rtl/>
        </w:rPr>
        <w:t xml:space="preserve"> </w:t>
      </w:r>
      <w:r w:rsidR="00577BCA" w:rsidRPr="00FD211F">
        <w:rPr>
          <w:sz w:val="36"/>
          <w:szCs w:val="36"/>
          <w:rtl/>
        </w:rPr>
        <w:t>ضاحك</w:t>
      </w:r>
      <w:r w:rsidR="00917937" w:rsidRPr="00FD211F">
        <w:rPr>
          <w:sz w:val="36"/>
          <w:szCs w:val="36"/>
          <w:rtl/>
        </w:rPr>
        <w:t>"</w:t>
      </w:r>
      <w:r w:rsidR="00E8128F">
        <w:rPr>
          <w:sz w:val="36"/>
          <w:szCs w:val="36"/>
          <w:rtl/>
        </w:rPr>
        <w:t xml:space="preserve"> </w:t>
      </w:r>
      <w:r w:rsidR="00577BCA" w:rsidRPr="00FD211F">
        <w:rPr>
          <w:sz w:val="36"/>
          <w:szCs w:val="36"/>
          <w:rtl/>
        </w:rPr>
        <w:t>الى</w:t>
      </w:r>
      <w:r w:rsidR="00E8128F">
        <w:rPr>
          <w:sz w:val="36"/>
          <w:szCs w:val="36"/>
          <w:rtl/>
        </w:rPr>
        <w:t xml:space="preserve"> </w:t>
      </w:r>
      <w:r w:rsidR="00577BCA" w:rsidRPr="00FD211F">
        <w:rPr>
          <w:sz w:val="36"/>
          <w:szCs w:val="36"/>
          <w:rtl/>
        </w:rPr>
        <w:t>تلك</w:t>
      </w:r>
      <w:r w:rsidR="00E8128F">
        <w:rPr>
          <w:sz w:val="36"/>
          <w:szCs w:val="36"/>
          <w:rtl/>
        </w:rPr>
        <w:t xml:space="preserve"> </w:t>
      </w:r>
      <w:r w:rsidR="00577BCA" w:rsidRPr="00FD211F">
        <w:rPr>
          <w:sz w:val="36"/>
          <w:szCs w:val="36"/>
          <w:rtl/>
        </w:rPr>
        <w:t>القضيتين</w:t>
      </w:r>
      <w:r w:rsidR="00603323" w:rsidRPr="00FD211F">
        <w:rPr>
          <w:sz w:val="36"/>
          <w:szCs w:val="36"/>
          <w:rtl/>
        </w:rPr>
        <w:t>،</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المتفاهم</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قولنا</w:t>
      </w:r>
      <w:r w:rsidR="00E8128F">
        <w:rPr>
          <w:sz w:val="36"/>
          <w:szCs w:val="36"/>
          <w:rtl/>
        </w:rPr>
        <w:t xml:space="preserve"> </w:t>
      </w:r>
      <w:r w:rsidR="00917937" w:rsidRPr="00FD211F">
        <w:rPr>
          <w:sz w:val="36"/>
          <w:szCs w:val="36"/>
          <w:rtl/>
        </w:rPr>
        <w:t>"</w:t>
      </w:r>
      <w:r w:rsidRPr="00FD211F">
        <w:rPr>
          <w:sz w:val="36"/>
          <w:szCs w:val="36"/>
          <w:rtl/>
        </w:rPr>
        <w:t>الانسان</w:t>
      </w:r>
      <w:r w:rsidR="00E8128F">
        <w:rPr>
          <w:sz w:val="36"/>
          <w:szCs w:val="36"/>
          <w:rtl/>
        </w:rPr>
        <w:t xml:space="preserve"> </w:t>
      </w:r>
      <w:r w:rsidR="00930B9A" w:rsidRPr="00FD211F">
        <w:rPr>
          <w:sz w:val="36"/>
          <w:szCs w:val="36"/>
          <w:rtl/>
        </w:rPr>
        <w:t>ضاحك</w:t>
      </w:r>
      <w:r w:rsidR="00E8128F">
        <w:rPr>
          <w:sz w:val="36"/>
          <w:szCs w:val="36"/>
          <w:rtl/>
        </w:rPr>
        <w:t xml:space="preserve"> </w:t>
      </w:r>
      <w:r w:rsidR="00917937" w:rsidRPr="00FD211F">
        <w:rPr>
          <w:sz w:val="36"/>
          <w:szCs w:val="36"/>
          <w:rtl/>
        </w:rPr>
        <w:t>"</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قضي</w:t>
      </w:r>
      <w:r w:rsidR="00EC7EDF" w:rsidRPr="00FD211F">
        <w:rPr>
          <w:sz w:val="36"/>
          <w:szCs w:val="36"/>
          <w:rtl/>
        </w:rPr>
        <w:t>ة</w:t>
      </w:r>
      <w:r w:rsidR="00E8128F">
        <w:rPr>
          <w:sz w:val="36"/>
          <w:szCs w:val="36"/>
          <w:rtl/>
        </w:rPr>
        <w:t xml:space="preserve"> </w:t>
      </w:r>
      <w:r w:rsidRPr="00FD211F">
        <w:rPr>
          <w:sz w:val="36"/>
          <w:szCs w:val="36"/>
          <w:rtl/>
        </w:rPr>
        <w:t>واحد</w:t>
      </w:r>
      <w:r w:rsidR="00EC7EDF" w:rsidRPr="00FD211F">
        <w:rPr>
          <w:sz w:val="36"/>
          <w:szCs w:val="36"/>
          <w:rtl/>
        </w:rPr>
        <w:t>ة</w:t>
      </w:r>
      <w:r w:rsidR="00E8128F">
        <w:rPr>
          <w:sz w:val="36"/>
          <w:szCs w:val="36"/>
          <w:rtl/>
        </w:rPr>
        <w:t xml:space="preserve"> </w:t>
      </w:r>
      <w:r w:rsidRPr="00FD211F">
        <w:rPr>
          <w:sz w:val="36"/>
          <w:szCs w:val="36"/>
          <w:rtl/>
        </w:rPr>
        <w:t>ممكن</w:t>
      </w:r>
      <w:r w:rsidR="00EC7EDF" w:rsidRPr="00FD211F">
        <w:rPr>
          <w:sz w:val="36"/>
          <w:szCs w:val="36"/>
          <w:rtl/>
        </w:rPr>
        <w:t>ة</w:t>
      </w:r>
      <w:r w:rsidR="00A61BAE" w:rsidRPr="00FD211F">
        <w:rPr>
          <w:sz w:val="36"/>
          <w:szCs w:val="36"/>
          <w:rtl/>
        </w:rPr>
        <w:t>.</w:t>
      </w:r>
    </w:p>
    <w:p w14:paraId="319CC70B" w14:textId="77777777" w:rsidR="009C35CE" w:rsidRPr="00FD211F" w:rsidRDefault="009C35CE" w:rsidP="009C58C8">
      <w:pPr>
        <w:ind w:left="0" w:firstLine="227"/>
        <w:jc w:val="both"/>
        <w:rPr>
          <w:sz w:val="36"/>
          <w:szCs w:val="36"/>
          <w:rtl/>
        </w:rPr>
      </w:pPr>
      <w:r w:rsidRPr="00FD211F">
        <w:rPr>
          <w:sz w:val="36"/>
          <w:szCs w:val="36"/>
          <w:rtl/>
        </w:rPr>
        <w:t>ويرد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الوجه</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تم</w:t>
      </w:r>
      <w:r w:rsidR="00E8128F">
        <w:rPr>
          <w:sz w:val="36"/>
          <w:szCs w:val="36"/>
          <w:rtl/>
        </w:rPr>
        <w:t xml:space="preserve"> </w:t>
      </w:r>
      <w:r w:rsidR="00E66E56" w:rsidRPr="00FD211F">
        <w:rPr>
          <w:sz w:val="36"/>
          <w:szCs w:val="36"/>
          <w:rtl/>
        </w:rPr>
        <w:t>في</w:t>
      </w:r>
      <w:r w:rsidR="00E8128F">
        <w:rPr>
          <w:sz w:val="36"/>
          <w:szCs w:val="36"/>
          <w:rtl/>
        </w:rPr>
        <w:t xml:space="preserve"> </w:t>
      </w:r>
      <w:r w:rsidR="00E66E56" w:rsidRPr="00FD211F">
        <w:rPr>
          <w:sz w:val="36"/>
          <w:szCs w:val="36"/>
          <w:rtl/>
        </w:rPr>
        <w:t>خصوص</w:t>
      </w:r>
      <w:r w:rsidR="00E8128F">
        <w:rPr>
          <w:sz w:val="36"/>
          <w:szCs w:val="36"/>
          <w:rtl/>
        </w:rPr>
        <w:t xml:space="preserve"> </w:t>
      </w:r>
      <w:r w:rsidR="00E66E56" w:rsidRPr="00FD211F">
        <w:rPr>
          <w:sz w:val="36"/>
          <w:szCs w:val="36"/>
          <w:rtl/>
        </w:rPr>
        <w:t>الوصف</w:t>
      </w:r>
      <w:r w:rsidR="00E8128F">
        <w:rPr>
          <w:sz w:val="36"/>
          <w:szCs w:val="36"/>
          <w:rtl/>
        </w:rPr>
        <w:t xml:space="preserve"> </w:t>
      </w:r>
      <w:r w:rsidR="00E66E56" w:rsidRPr="00FD211F">
        <w:rPr>
          <w:sz w:val="36"/>
          <w:szCs w:val="36"/>
          <w:rtl/>
        </w:rPr>
        <w:t>التوضيحي</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w:t>
      </w:r>
      <w:r w:rsidR="00E8128F">
        <w:rPr>
          <w:sz w:val="36"/>
          <w:szCs w:val="36"/>
          <w:rtl/>
        </w:rPr>
        <w:t xml:space="preserve"> </w:t>
      </w:r>
      <w:r w:rsidR="002940BF" w:rsidRPr="00FD211F">
        <w:rPr>
          <w:sz w:val="36"/>
          <w:szCs w:val="36"/>
          <w:rtl/>
        </w:rPr>
        <w:t>من</w:t>
      </w:r>
      <w:r w:rsidR="00E8128F">
        <w:rPr>
          <w:sz w:val="36"/>
          <w:szCs w:val="36"/>
          <w:rtl/>
        </w:rPr>
        <w:t xml:space="preserve"> </w:t>
      </w:r>
      <w:r w:rsidR="002940BF" w:rsidRPr="00FD211F">
        <w:rPr>
          <w:sz w:val="36"/>
          <w:szCs w:val="36"/>
          <w:rtl/>
        </w:rPr>
        <w:t>ا</w:t>
      </w:r>
      <w:r w:rsidR="00E66E56" w:rsidRPr="00FD211F">
        <w:rPr>
          <w:sz w:val="36"/>
          <w:szCs w:val="36"/>
          <w:rtl/>
        </w:rPr>
        <w:t>ن</w:t>
      </w:r>
      <w:r w:rsidR="00E8128F">
        <w:rPr>
          <w:sz w:val="36"/>
          <w:szCs w:val="36"/>
          <w:rtl/>
        </w:rPr>
        <w:t xml:space="preserve"> </w:t>
      </w:r>
      <w:r w:rsidR="00E66E56" w:rsidRPr="00FD211F">
        <w:rPr>
          <w:sz w:val="36"/>
          <w:szCs w:val="36"/>
          <w:rtl/>
        </w:rPr>
        <w:t>الاوصاف</w:t>
      </w:r>
      <w:r w:rsidR="00E8128F">
        <w:rPr>
          <w:sz w:val="36"/>
          <w:szCs w:val="36"/>
          <w:rtl/>
        </w:rPr>
        <w:t xml:space="preserve"> </w:t>
      </w:r>
      <w:r w:rsidR="00E66E56" w:rsidRPr="00FD211F">
        <w:rPr>
          <w:sz w:val="36"/>
          <w:szCs w:val="36"/>
          <w:rtl/>
        </w:rPr>
        <w:t>قبل</w:t>
      </w:r>
      <w:r w:rsidR="00E8128F">
        <w:rPr>
          <w:sz w:val="36"/>
          <w:szCs w:val="36"/>
          <w:rtl/>
        </w:rPr>
        <w:t xml:space="preserve"> </w:t>
      </w:r>
      <w:r w:rsidR="00E66E56" w:rsidRPr="00FD211F">
        <w:rPr>
          <w:sz w:val="36"/>
          <w:szCs w:val="36"/>
          <w:rtl/>
        </w:rPr>
        <w:t>العلم</w:t>
      </w:r>
      <w:r w:rsidR="00E8128F">
        <w:rPr>
          <w:sz w:val="36"/>
          <w:szCs w:val="36"/>
          <w:rtl/>
        </w:rPr>
        <w:t xml:space="preserve"> </w:t>
      </w:r>
      <w:r w:rsidR="00E66E56" w:rsidRPr="00FD211F">
        <w:rPr>
          <w:sz w:val="36"/>
          <w:szCs w:val="36"/>
          <w:rtl/>
        </w:rPr>
        <w:t>بها</w:t>
      </w:r>
      <w:r w:rsidR="00E8128F">
        <w:rPr>
          <w:sz w:val="36"/>
          <w:szCs w:val="36"/>
          <w:rtl/>
        </w:rPr>
        <w:t xml:space="preserve"> </w:t>
      </w:r>
      <w:r w:rsidR="00E66E56" w:rsidRPr="00FD211F">
        <w:rPr>
          <w:sz w:val="36"/>
          <w:szCs w:val="36"/>
          <w:rtl/>
        </w:rPr>
        <w:t>اخبار</w:t>
      </w:r>
      <w:r w:rsidR="00E8128F">
        <w:rPr>
          <w:sz w:val="36"/>
          <w:szCs w:val="36"/>
          <w:rtl/>
        </w:rPr>
        <w:t xml:space="preserve"> </w:t>
      </w:r>
      <w:r w:rsidR="002940BF" w:rsidRPr="00FD211F">
        <w:rPr>
          <w:sz w:val="36"/>
          <w:szCs w:val="36"/>
          <w:rtl/>
        </w:rPr>
        <w:t>كقول</w:t>
      </w:r>
      <w:r w:rsidR="00CC3641" w:rsidRPr="00FD211F">
        <w:rPr>
          <w:sz w:val="36"/>
          <w:szCs w:val="36"/>
          <w:rtl/>
        </w:rPr>
        <w:t>ه</w:t>
      </w:r>
      <w:r w:rsidR="00E8128F">
        <w:rPr>
          <w:sz w:val="36"/>
          <w:szCs w:val="36"/>
          <w:rtl/>
        </w:rPr>
        <w:t xml:space="preserve"> </w:t>
      </w:r>
      <w:r w:rsidR="00E66E56" w:rsidRPr="00FD211F">
        <w:rPr>
          <w:sz w:val="36"/>
          <w:szCs w:val="36"/>
          <w:rtl/>
        </w:rPr>
        <w:t>"</w:t>
      </w:r>
      <w:r w:rsidR="00577BCA" w:rsidRPr="00FD211F">
        <w:rPr>
          <w:sz w:val="36"/>
          <w:szCs w:val="36"/>
          <w:rtl/>
        </w:rPr>
        <w:t>ابي</w:t>
      </w:r>
      <w:r w:rsidR="00E8128F">
        <w:rPr>
          <w:sz w:val="36"/>
          <w:szCs w:val="36"/>
          <w:rtl/>
        </w:rPr>
        <w:t xml:space="preserve"> </w:t>
      </w:r>
      <w:r w:rsidR="00577BCA" w:rsidRPr="00FD211F">
        <w:rPr>
          <w:sz w:val="36"/>
          <w:szCs w:val="36"/>
          <w:rtl/>
        </w:rPr>
        <w:t>العالم</w:t>
      </w:r>
      <w:r w:rsidR="00E66E56" w:rsidRPr="00FD211F">
        <w:rPr>
          <w:sz w:val="36"/>
          <w:szCs w:val="36"/>
          <w:rtl/>
        </w:rPr>
        <w:t>"</w:t>
      </w:r>
      <w:r w:rsidR="00603323" w:rsidRPr="00FD211F">
        <w:rPr>
          <w:sz w:val="36"/>
          <w:szCs w:val="36"/>
          <w:rtl/>
        </w:rPr>
        <w:t>،</w:t>
      </w:r>
      <w:r w:rsidR="00E8128F">
        <w:rPr>
          <w:sz w:val="36"/>
          <w:szCs w:val="36"/>
          <w:rtl/>
        </w:rPr>
        <w:t xml:space="preserve"> </w:t>
      </w:r>
      <w:r w:rsidR="002940BF" w:rsidRPr="00FD211F">
        <w:rPr>
          <w:sz w:val="36"/>
          <w:szCs w:val="36"/>
          <w:rtl/>
        </w:rPr>
        <w:t>وعليه</w:t>
      </w:r>
      <w:r w:rsidR="00E8128F">
        <w:rPr>
          <w:sz w:val="36"/>
          <w:szCs w:val="36"/>
          <w:rtl/>
        </w:rPr>
        <w:t xml:space="preserve"> </w:t>
      </w:r>
      <w:r w:rsidR="002940BF" w:rsidRPr="00FD211F">
        <w:rPr>
          <w:sz w:val="36"/>
          <w:szCs w:val="36"/>
          <w:rtl/>
        </w:rPr>
        <w:t>فيكون</w:t>
      </w:r>
      <w:r w:rsidR="00E8128F">
        <w:rPr>
          <w:sz w:val="36"/>
          <w:szCs w:val="36"/>
          <w:rtl/>
        </w:rPr>
        <w:t xml:space="preserve"> </w:t>
      </w:r>
      <w:r w:rsidR="002940BF" w:rsidRPr="00FD211F">
        <w:rPr>
          <w:sz w:val="36"/>
          <w:szCs w:val="36"/>
          <w:rtl/>
        </w:rPr>
        <w:t>المحمول</w:t>
      </w:r>
      <w:r w:rsidR="00E8128F">
        <w:rPr>
          <w:sz w:val="36"/>
          <w:szCs w:val="36"/>
          <w:rtl/>
        </w:rPr>
        <w:t xml:space="preserve"> </w:t>
      </w:r>
      <w:r w:rsidR="002940BF" w:rsidRPr="00FD211F">
        <w:rPr>
          <w:sz w:val="36"/>
          <w:szCs w:val="36"/>
          <w:rtl/>
        </w:rPr>
        <w:t>في</w:t>
      </w:r>
      <w:r w:rsidR="00E8128F">
        <w:rPr>
          <w:sz w:val="36"/>
          <w:szCs w:val="36"/>
          <w:rtl/>
        </w:rPr>
        <w:t xml:space="preserve"> </w:t>
      </w:r>
      <w:r w:rsidR="002940BF" w:rsidRPr="00FD211F">
        <w:rPr>
          <w:sz w:val="36"/>
          <w:szCs w:val="36"/>
          <w:rtl/>
        </w:rPr>
        <w:t>قولنا</w:t>
      </w:r>
      <w:r w:rsidR="00E66E56" w:rsidRPr="00FD211F">
        <w:rPr>
          <w:sz w:val="36"/>
          <w:szCs w:val="36"/>
          <w:rtl/>
        </w:rPr>
        <w:t>"</w:t>
      </w:r>
      <w:r w:rsidR="00E8128F">
        <w:rPr>
          <w:sz w:val="36"/>
          <w:szCs w:val="36"/>
          <w:rtl/>
        </w:rPr>
        <w:t xml:space="preserve"> </w:t>
      </w:r>
      <w:r w:rsidR="002940BF" w:rsidRPr="00FD211F">
        <w:rPr>
          <w:sz w:val="36"/>
          <w:szCs w:val="36"/>
          <w:rtl/>
        </w:rPr>
        <w:t>الانسان</w:t>
      </w:r>
      <w:r w:rsidR="00E8128F">
        <w:rPr>
          <w:sz w:val="36"/>
          <w:szCs w:val="36"/>
          <w:rtl/>
        </w:rPr>
        <w:t xml:space="preserve"> </w:t>
      </w:r>
      <w:r w:rsidR="002940BF" w:rsidRPr="00FD211F">
        <w:rPr>
          <w:sz w:val="36"/>
          <w:szCs w:val="36"/>
          <w:rtl/>
        </w:rPr>
        <w:t>انسان</w:t>
      </w:r>
      <w:r w:rsidR="00E8128F">
        <w:rPr>
          <w:sz w:val="36"/>
          <w:szCs w:val="36"/>
          <w:rtl/>
        </w:rPr>
        <w:t xml:space="preserve"> </w:t>
      </w:r>
      <w:r w:rsidR="002940BF" w:rsidRPr="00FD211F">
        <w:rPr>
          <w:sz w:val="36"/>
          <w:szCs w:val="36"/>
          <w:rtl/>
        </w:rPr>
        <w:t>له</w:t>
      </w:r>
      <w:r w:rsidR="00E8128F">
        <w:rPr>
          <w:sz w:val="36"/>
          <w:szCs w:val="36"/>
          <w:rtl/>
        </w:rPr>
        <w:t xml:space="preserve"> </w:t>
      </w:r>
      <w:r w:rsidR="00577BCA" w:rsidRPr="00FD211F">
        <w:rPr>
          <w:sz w:val="36"/>
          <w:szCs w:val="36"/>
          <w:rtl/>
        </w:rPr>
        <w:t>الضحك</w:t>
      </w:r>
      <w:r w:rsidR="00E8128F">
        <w:rPr>
          <w:sz w:val="36"/>
          <w:szCs w:val="36"/>
          <w:rtl/>
        </w:rPr>
        <w:t xml:space="preserve"> </w:t>
      </w:r>
      <w:r w:rsidR="00E66E56" w:rsidRPr="00FD211F">
        <w:rPr>
          <w:sz w:val="36"/>
          <w:szCs w:val="36"/>
          <w:rtl/>
        </w:rPr>
        <w:t>"</w:t>
      </w:r>
      <w:r w:rsidR="00E8128F">
        <w:rPr>
          <w:sz w:val="36"/>
          <w:szCs w:val="36"/>
          <w:rtl/>
        </w:rPr>
        <w:t xml:space="preserve"> </w:t>
      </w:r>
      <w:r w:rsidR="002940BF" w:rsidRPr="00FD211F">
        <w:rPr>
          <w:sz w:val="36"/>
          <w:szCs w:val="36"/>
          <w:rtl/>
        </w:rPr>
        <w:t>مشتملا</w:t>
      </w:r>
      <w:r w:rsidR="00E8128F">
        <w:rPr>
          <w:sz w:val="36"/>
          <w:szCs w:val="36"/>
          <w:rtl/>
        </w:rPr>
        <w:t xml:space="preserve"> </w:t>
      </w:r>
      <w:r w:rsidR="002940BF" w:rsidRPr="00FD211F">
        <w:rPr>
          <w:sz w:val="36"/>
          <w:szCs w:val="36"/>
          <w:rtl/>
        </w:rPr>
        <w:t>على</w:t>
      </w:r>
      <w:r w:rsidR="00E8128F">
        <w:rPr>
          <w:sz w:val="36"/>
          <w:szCs w:val="36"/>
          <w:rtl/>
        </w:rPr>
        <w:t xml:space="preserve"> </w:t>
      </w:r>
      <w:r w:rsidR="002940BF" w:rsidRPr="00FD211F">
        <w:rPr>
          <w:sz w:val="36"/>
          <w:szCs w:val="36"/>
          <w:rtl/>
        </w:rPr>
        <w:t>وصف</w:t>
      </w:r>
      <w:r w:rsidR="00E8128F">
        <w:rPr>
          <w:sz w:val="36"/>
          <w:szCs w:val="36"/>
          <w:rtl/>
        </w:rPr>
        <w:t xml:space="preserve"> </w:t>
      </w:r>
      <w:r w:rsidR="002940BF" w:rsidRPr="00FD211F">
        <w:rPr>
          <w:sz w:val="36"/>
          <w:szCs w:val="36"/>
          <w:rtl/>
        </w:rPr>
        <w:t>توضيحي</w:t>
      </w:r>
      <w:r w:rsidR="00E8128F">
        <w:rPr>
          <w:sz w:val="36"/>
          <w:szCs w:val="36"/>
          <w:rtl/>
        </w:rPr>
        <w:t xml:space="preserve"> </w:t>
      </w:r>
      <w:r w:rsidR="002940BF" w:rsidRPr="00FD211F">
        <w:rPr>
          <w:sz w:val="36"/>
          <w:szCs w:val="36"/>
          <w:rtl/>
        </w:rPr>
        <w:t>فينحل</w:t>
      </w:r>
      <w:r w:rsidR="00E8128F">
        <w:rPr>
          <w:sz w:val="36"/>
          <w:szCs w:val="36"/>
          <w:rtl/>
        </w:rPr>
        <w:t xml:space="preserve"> </w:t>
      </w:r>
      <w:r w:rsidR="002940BF" w:rsidRPr="00FD211F">
        <w:rPr>
          <w:sz w:val="36"/>
          <w:szCs w:val="36"/>
          <w:rtl/>
        </w:rPr>
        <w:t>الى</w:t>
      </w:r>
      <w:r w:rsidR="00E8128F">
        <w:rPr>
          <w:sz w:val="36"/>
          <w:szCs w:val="36"/>
          <w:rtl/>
        </w:rPr>
        <w:t xml:space="preserve"> </w:t>
      </w:r>
      <w:r w:rsidR="002940BF" w:rsidRPr="00FD211F">
        <w:rPr>
          <w:sz w:val="36"/>
          <w:szCs w:val="36"/>
          <w:rtl/>
        </w:rPr>
        <w:t>قولنا</w:t>
      </w:r>
      <w:r w:rsidR="00E8128F">
        <w:rPr>
          <w:sz w:val="36"/>
          <w:szCs w:val="36"/>
          <w:rtl/>
        </w:rPr>
        <w:t xml:space="preserve"> </w:t>
      </w:r>
      <w:r w:rsidR="00E66E56" w:rsidRPr="00FD211F">
        <w:rPr>
          <w:sz w:val="36"/>
          <w:szCs w:val="36"/>
          <w:rtl/>
        </w:rPr>
        <w:t>"</w:t>
      </w:r>
      <w:r w:rsidR="00E8128F">
        <w:rPr>
          <w:sz w:val="36"/>
          <w:szCs w:val="36"/>
          <w:rtl/>
        </w:rPr>
        <w:t xml:space="preserve"> </w:t>
      </w:r>
      <w:r w:rsidR="002940BF" w:rsidRPr="00FD211F">
        <w:rPr>
          <w:sz w:val="36"/>
          <w:szCs w:val="36"/>
          <w:rtl/>
        </w:rPr>
        <w:t>الانسان</w:t>
      </w:r>
      <w:r w:rsidR="00E8128F">
        <w:rPr>
          <w:sz w:val="36"/>
          <w:szCs w:val="36"/>
          <w:rtl/>
        </w:rPr>
        <w:t xml:space="preserve"> </w:t>
      </w:r>
      <w:r w:rsidR="002940BF" w:rsidRPr="00FD211F">
        <w:rPr>
          <w:sz w:val="36"/>
          <w:szCs w:val="36"/>
          <w:rtl/>
        </w:rPr>
        <w:t>انسان</w:t>
      </w:r>
      <w:r w:rsidR="00E8128F">
        <w:rPr>
          <w:sz w:val="36"/>
          <w:szCs w:val="36"/>
          <w:rtl/>
        </w:rPr>
        <w:t xml:space="preserve"> </w:t>
      </w:r>
      <w:r w:rsidR="002940BF" w:rsidRPr="00FD211F">
        <w:rPr>
          <w:sz w:val="36"/>
          <w:szCs w:val="36"/>
          <w:rtl/>
        </w:rPr>
        <w:t>وان</w:t>
      </w:r>
      <w:r w:rsidR="00E8128F">
        <w:rPr>
          <w:sz w:val="36"/>
          <w:szCs w:val="36"/>
          <w:rtl/>
        </w:rPr>
        <w:t xml:space="preserve"> </w:t>
      </w:r>
      <w:r w:rsidR="002940BF" w:rsidRPr="00FD211F">
        <w:rPr>
          <w:sz w:val="36"/>
          <w:szCs w:val="36"/>
          <w:rtl/>
        </w:rPr>
        <w:t>انسانيته</w:t>
      </w:r>
      <w:r w:rsidR="00E8128F">
        <w:rPr>
          <w:sz w:val="36"/>
          <w:szCs w:val="36"/>
          <w:rtl/>
        </w:rPr>
        <w:t xml:space="preserve"> </w:t>
      </w:r>
      <w:r w:rsidR="002940BF" w:rsidRPr="00FD211F">
        <w:rPr>
          <w:sz w:val="36"/>
          <w:szCs w:val="36"/>
          <w:rtl/>
        </w:rPr>
        <w:t>مقرون</w:t>
      </w:r>
      <w:r w:rsidR="00EC7EDF" w:rsidRPr="00FD211F">
        <w:rPr>
          <w:sz w:val="36"/>
          <w:szCs w:val="36"/>
          <w:rtl/>
        </w:rPr>
        <w:t>ة</w:t>
      </w:r>
      <w:r w:rsidR="00E8128F">
        <w:rPr>
          <w:sz w:val="36"/>
          <w:szCs w:val="36"/>
          <w:rtl/>
        </w:rPr>
        <w:t xml:space="preserve"> </w:t>
      </w:r>
      <w:r w:rsidR="002940BF" w:rsidRPr="00FD211F">
        <w:rPr>
          <w:sz w:val="36"/>
          <w:szCs w:val="36"/>
          <w:rtl/>
        </w:rPr>
        <w:t>ب</w:t>
      </w:r>
      <w:r w:rsidR="00577BCA" w:rsidRPr="00FD211F">
        <w:rPr>
          <w:sz w:val="36"/>
          <w:szCs w:val="36"/>
          <w:rtl/>
        </w:rPr>
        <w:t>الضحك</w:t>
      </w:r>
      <w:r w:rsidR="00E8128F">
        <w:rPr>
          <w:sz w:val="36"/>
          <w:szCs w:val="36"/>
          <w:rtl/>
        </w:rPr>
        <w:t xml:space="preserve"> </w:t>
      </w:r>
      <w:r w:rsidR="00E66E56" w:rsidRPr="00FD211F">
        <w:rPr>
          <w:sz w:val="36"/>
          <w:szCs w:val="36"/>
          <w:rtl/>
        </w:rPr>
        <w:t>"</w:t>
      </w:r>
      <w:r w:rsidR="00603323" w:rsidRPr="00FD211F">
        <w:rPr>
          <w:sz w:val="36"/>
          <w:szCs w:val="36"/>
          <w:rtl/>
        </w:rPr>
        <w:t>،</w:t>
      </w:r>
      <w:r w:rsidR="00E8128F">
        <w:rPr>
          <w:sz w:val="36"/>
          <w:szCs w:val="36"/>
          <w:rtl/>
        </w:rPr>
        <w:t xml:space="preserve"> </w:t>
      </w:r>
      <w:r w:rsidR="002940BF" w:rsidRPr="00FD211F">
        <w:rPr>
          <w:sz w:val="36"/>
          <w:szCs w:val="36"/>
          <w:rtl/>
        </w:rPr>
        <w:t>ولكن</w:t>
      </w:r>
      <w:r w:rsidR="00E8128F">
        <w:rPr>
          <w:sz w:val="36"/>
          <w:szCs w:val="36"/>
          <w:rtl/>
        </w:rPr>
        <w:t xml:space="preserve"> </w:t>
      </w:r>
      <w:r w:rsidR="002940BF" w:rsidRPr="00FD211F">
        <w:rPr>
          <w:sz w:val="36"/>
          <w:szCs w:val="36"/>
          <w:rtl/>
        </w:rPr>
        <w:t>المدلول</w:t>
      </w:r>
      <w:r w:rsidR="00E8128F">
        <w:rPr>
          <w:sz w:val="36"/>
          <w:szCs w:val="36"/>
          <w:rtl/>
        </w:rPr>
        <w:t xml:space="preserve"> </w:t>
      </w:r>
      <w:r w:rsidR="002940BF" w:rsidRPr="00FD211F">
        <w:rPr>
          <w:sz w:val="36"/>
          <w:szCs w:val="36"/>
          <w:rtl/>
        </w:rPr>
        <w:t>المطابقي</w:t>
      </w:r>
      <w:r w:rsidR="00E8128F">
        <w:rPr>
          <w:sz w:val="36"/>
          <w:szCs w:val="36"/>
          <w:rtl/>
        </w:rPr>
        <w:t xml:space="preserve"> </w:t>
      </w:r>
      <w:r w:rsidR="002940BF" w:rsidRPr="00FD211F">
        <w:rPr>
          <w:sz w:val="36"/>
          <w:szCs w:val="36"/>
          <w:rtl/>
        </w:rPr>
        <w:t>للكلام</w:t>
      </w:r>
      <w:r w:rsidR="00E8128F">
        <w:rPr>
          <w:sz w:val="36"/>
          <w:szCs w:val="36"/>
          <w:rtl/>
        </w:rPr>
        <w:t xml:space="preserve"> </w:t>
      </w:r>
      <w:r w:rsidR="002940BF" w:rsidRPr="00FD211F">
        <w:rPr>
          <w:sz w:val="36"/>
          <w:szCs w:val="36"/>
          <w:rtl/>
        </w:rPr>
        <w:t>هو</w:t>
      </w:r>
      <w:r w:rsidR="00E8128F">
        <w:rPr>
          <w:sz w:val="36"/>
          <w:szCs w:val="36"/>
          <w:rtl/>
        </w:rPr>
        <w:t xml:space="preserve"> </w:t>
      </w:r>
      <w:r w:rsidR="002940BF" w:rsidRPr="00FD211F">
        <w:rPr>
          <w:sz w:val="36"/>
          <w:szCs w:val="36"/>
          <w:rtl/>
        </w:rPr>
        <w:t>ثبوت</w:t>
      </w:r>
      <w:r w:rsidR="00E8128F">
        <w:rPr>
          <w:sz w:val="36"/>
          <w:szCs w:val="36"/>
          <w:rtl/>
        </w:rPr>
        <w:t xml:space="preserve"> </w:t>
      </w:r>
      <w:r w:rsidR="002940BF" w:rsidRPr="00FD211F">
        <w:rPr>
          <w:sz w:val="36"/>
          <w:szCs w:val="36"/>
          <w:rtl/>
        </w:rPr>
        <w:t>المحمول</w:t>
      </w:r>
      <w:r w:rsidR="00E8128F">
        <w:rPr>
          <w:sz w:val="36"/>
          <w:szCs w:val="36"/>
          <w:rtl/>
        </w:rPr>
        <w:t xml:space="preserve"> </w:t>
      </w:r>
      <w:r w:rsidR="002940BF" w:rsidRPr="00FD211F">
        <w:rPr>
          <w:sz w:val="36"/>
          <w:szCs w:val="36"/>
          <w:rtl/>
        </w:rPr>
        <w:t>المقيد</w:t>
      </w:r>
      <w:r w:rsidR="00E8128F">
        <w:rPr>
          <w:sz w:val="36"/>
          <w:szCs w:val="36"/>
          <w:rtl/>
        </w:rPr>
        <w:t xml:space="preserve"> </w:t>
      </w:r>
      <w:r w:rsidR="002940BF" w:rsidRPr="00FD211F">
        <w:rPr>
          <w:sz w:val="36"/>
          <w:szCs w:val="36"/>
          <w:rtl/>
        </w:rPr>
        <w:t>للموضوع</w:t>
      </w:r>
      <w:r w:rsidR="00E8128F">
        <w:rPr>
          <w:sz w:val="36"/>
          <w:szCs w:val="36"/>
          <w:rtl/>
        </w:rPr>
        <w:t xml:space="preserve"> </w:t>
      </w:r>
      <w:r w:rsidR="00E909BE" w:rsidRPr="00FD211F">
        <w:rPr>
          <w:sz w:val="36"/>
          <w:szCs w:val="36"/>
          <w:rtl/>
        </w:rPr>
        <w:t>اي</w:t>
      </w:r>
      <w:r w:rsidR="00E8128F">
        <w:rPr>
          <w:sz w:val="36"/>
          <w:szCs w:val="36"/>
          <w:rtl/>
        </w:rPr>
        <w:t xml:space="preserve"> </w:t>
      </w:r>
      <w:r w:rsidR="00E909BE" w:rsidRPr="00FD211F">
        <w:rPr>
          <w:sz w:val="36"/>
          <w:szCs w:val="36"/>
          <w:rtl/>
        </w:rPr>
        <w:t>كون</w:t>
      </w:r>
      <w:r w:rsidR="00E8128F">
        <w:rPr>
          <w:sz w:val="36"/>
          <w:szCs w:val="36"/>
          <w:rtl/>
        </w:rPr>
        <w:t xml:space="preserve"> </w:t>
      </w:r>
      <w:r w:rsidR="00E909BE" w:rsidRPr="00FD211F">
        <w:rPr>
          <w:sz w:val="36"/>
          <w:szCs w:val="36"/>
          <w:rtl/>
        </w:rPr>
        <w:t>الانسان</w:t>
      </w:r>
      <w:r w:rsidR="00E8128F">
        <w:rPr>
          <w:sz w:val="36"/>
          <w:szCs w:val="36"/>
          <w:rtl/>
        </w:rPr>
        <w:t xml:space="preserve"> </w:t>
      </w:r>
      <w:r w:rsidR="00E909BE" w:rsidRPr="00FD211F">
        <w:rPr>
          <w:sz w:val="36"/>
          <w:szCs w:val="36"/>
          <w:rtl/>
        </w:rPr>
        <w:t>انسانا</w:t>
      </w:r>
      <w:r w:rsidR="00E8128F">
        <w:rPr>
          <w:sz w:val="36"/>
          <w:szCs w:val="36"/>
          <w:rtl/>
        </w:rPr>
        <w:t xml:space="preserve"> </w:t>
      </w:r>
      <w:r w:rsidR="00E909BE" w:rsidRPr="00FD211F">
        <w:rPr>
          <w:sz w:val="36"/>
          <w:szCs w:val="36"/>
          <w:rtl/>
        </w:rPr>
        <w:t>له</w:t>
      </w:r>
      <w:r w:rsidR="00E8128F">
        <w:rPr>
          <w:sz w:val="36"/>
          <w:szCs w:val="36"/>
          <w:rtl/>
        </w:rPr>
        <w:t xml:space="preserve"> </w:t>
      </w:r>
      <w:r w:rsidR="00577BCA" w:rsidRPr="00FD211F">
        <w:rPr>
          <w:sz w:val="36"/>
          <w:szCs w:val="36"/>
          <w:rtl/>
        </w:rPr>
        <w:t>الضحك</w:t>
      </w:r>
      <w:r w:rsidR="00603323" w:rsidRPr="00FD211F">
        <w:rPr>
          <w:sz w:val="36"/>
          <w:szCs w:val="36"/>
          <w:rtl/>
        </w:rPr>
        <w:t>،</w:t>
      </w:r>
      <w:r w:rsidR="00E8128F">
        <w:rPr>
          <w:sz w:val="36"/>
          <w:szCs w:val="36"/>
          <w:rtl/>
        </w:rPr>
        <w:t xml:space="preserve"> </w:t>
      </w:r>
      <w:r w:rsidR="002940BF" w:rsidRPr="00FD211F">
        <w:rPr>
          <w:sz w:val="36"/>
          <w:szCs w:val="36"/>
          <w:rtl/>
        </w:rPr>
        <w:t>وان</w:t>
      </w:r>
      <w:r w:rsidR="00E8128F">
        <w:rPr>
          <w:sz w:val="36"/>
          <w:szCs w:val="36"/>
          <w:rtl/>
        </w:rPr>
        <w:t xml:space="preserve"> </w:t>
      </w:r>
      <w:r w:rsidR="002940BF" w:rsidRPr="00FD211F">
        <w:rPr>
          <w:sz w:val="36"/>
          <w:szCs w:val="36"/>
          <w:rtl/>
        </w:rPr>
        <w:t>كان</w:t>
      </w:r>
      <w:r w:rsidR="00E8128F">
        <w:rPr>
          <w:sz w:val="36"/>
          <w:szCs w:val="36"/>
          <w:rtl/>
        </w:rPr>
        <w:t xml:space="preserve"> </w:t>
      </w:r>
      <w:r w:rsidR="002940BF" w:rsidRPr="00FD211F">
        <w:rPr>
          <w:sz w:val="36"/>
          <w:szCs w:val="36"/>
          <w:rtl/>
        </w:rPr>
        <w:t>مدلولها</w:t>
      </w:r>
      <w:r w:rsidR="00E8128F">
        <w:rPr>
          <w:sz w:val="36"/>
          <w:szCs w:val="36"/>
          <w:rtl/>
        </w:rPr>
        <w:t xml:space="preserve"> </w:t>
      </w:r>
      <w:r w:rsidR="002940BF" w:rsidRPr="00FD211F">
        <w:rPr>
          <w:sz w:val="36"/>
          <w:szCs w:val="36"/>
          <w:rtl/>
        </w:rPr>
        <w:t>الالتزامي</w:t>
      </w:r>
      <w:r w:rsidR="00E8128F">
        <w:rPr>
          <w:sz w:val="36"/>
          <w:szCs w:val="36"/>
          <w:rtl/>
        </w:rPr>
        <w:t xml:space="preserve"> </w:t>
      </w:r>
      <w:r w:rsidR="002940BF" w:rsidRPr="00FD211F">
        <w:rPr>
          <w:sz w:val="36"/>
          <w:szCs w:val="36"/>
          <w:rtl/>
        </w:rPr>
        <w:t>العقلي</w:t>
      </w:r>
      <w:r w:rsidR="00E8128F">
        <w:rPr>
          <w:sz w:val="36"/>
          <w:szCs w:val="36"/>
          <w:rtl/>
        </w:rPr>
        <w:t xml:space="preserve"> </w:t>
      </w:r>
      <w:r w:rsidR="002940BF" w:rsidRPr="00FD211F">
        <w:rPr>
          <w:sz w:val="36"/>
          <w:szCs w:val="36"/>
          <w:rtl/>
        </w:rPr>
        <w:t>ثبوت</w:t>
      </w:r>
      <w:r w:rsidR="00E8128F">
        <w:rPr>
          <w:sz w:val="36"/>
          <w:szCs w:val="36"/>
          <w:rtl/>
        </w:rPr>
        <w:t xml:space="preserve"> </w:t>
      </w:r>
      <w:r w:rsidR="002940BF" w:rsidRPr="00FD211F">
        <w:rPr>
          <w:sz w:val="36"/>
          <w:szCs w:val="36"/>
          <w:rtl/>
        </w:rPr>
        <w:t>المطلق</w:t>
      </w:r>
      <w:r w:rsidR="00E8128F">
        <w:rPr>
          <w:sz w:val="36"/>
          <w:szCs w:val="36"/>
          <w:rtl/>
        </w:rPr>
        <w:t xml:space="preserve"> </w:t>
      </w:r>
      <w:r w:rsidR="002940BF" w:rsidRPr="00FD211F">
        <w:rPr>
          <w:sz w:val="36"/>
          <w:szCs w:val="36"/>
          <w:rtl/>
        </w:rPr>
        <w:t>للموضوع</w:t>
      </w:r>
      <w:r w:rsidR="00E8128F">
        <w:rPr>
          <w:sz w:val="36"/>
          <w:szCs w:val="36"/>
          <w:rtl/>
        </w:rPr>
        <w:t xml:space="preserve"> </w:t>
      </w:r>
      <w:r w:rsidR="002940BF" w:rsidRPr="00FD211F">
        <w:rPr>
          <w:sz w:val="36"/>
          <w:szCs w:val="36"/>
          <w:rtl/>
        </w:rPr>
        <w:t>في</w:t>
      </w:r>
      <w:r w:rsidR="00E8128F">
        <w:rPr>
          <w:sz w:val="36"/>
          <w:szCs w:val="36"/>
          <w:rtl/>
        </w:rPr>
        <w:t xml:space="preserve"> </w:t>
      </w:r>
      <w:r w:rsidR="002940BF" w:rsidRPr="00FD211F">
        <w:rPr>
          <w:sz w:val="36"/>
          <w:szCs w:val="36"/>
          <w:rtl/>
        </w:rPr>
        <w:t>ضمن</w:t>
      </w:r>
      <w:r w:rsidR="00E8128F">
        <w:rPr>
          <w:sz w:val="36"/>
          <w:szCs w:val="36"/>
          <w:rtl/>
        </w:rPr>
        <w:t xml:space="preserve"> </w:t>
      </w:r>
      <w:r w:rsidR="002940BF" w:rsidRPr="00FD211F">
        <w:rPr>
          <w:sz w:val="36"/>
          <w:szCs w:val="36"/>
          <w:rtl/>
        </w:rPr>
        <w:t>المقيد</w:t>
      </w:r>
      <w:r w:rsidR="00E8128F">
        <w:rPr>
          <w:sz w:val="36"/>
          <w:szCs w:val="36"/>
          <w:rtl/>
        </w:rPr>
        <w:t xml:space="preserve"> </w:t>
      </w:r>
      <w:r w:rsidR="002940BF" w:rsidRPr="00FD211F">
        <w:rPr>
          <w:sz w:val="36"/>
          <w:szCs w:val="36"/>
          <w:rtl/>
        </w:rPr>
        <w:t>ايضا</w:t>
      </w:r>
      <w:r w:rsidR="00603323" w:rsidRPr="00FD211F">
        <w:rPr>
          <w:sz w:val="36"/>
          <w:szCs w:val="36"/>
          <w:rtl/>
        </w:rPr>
        <w:t>،</w:t>
      </w:r>
      <w:r w:rsidR="00E8128F">
        <w:rPr>
          <w:sz w:val="36"/>
          <w:szCs w:val="36"/>
          <w:rtl/>
        </w:rPr>
        <w:t xml:space="preserve"> </w:t>
      </w:r>
      <w:r w:rsidR="002940BF" w:rsidRPr="00FD211F">
        <w:rPr>
          <w:sz w:val="36"/>
          <w:szCs w:val="36"/>
          <w:rtl/>
        </w:rPr>
        <w:t>اي</w:t>
      </w:r>
      <w:r w:rsidR="00E8128F">
        <w:rPr>
          <w:sz w:val="36"/>
          <w:szCs w:val="36"/>
          <w:rtl/>
        </w:rPr>
        <w:t xml:space="preserve"> </w:t>
      </w:r>
      <w:r w:rsidR="002940BF" w:rsidRPr="00FD211F">
        <w:rPr>
          <w:sz w:val="36"/>
          <w:szCs w:val="36"/>
          <w:rtl/>
        </w:rPr>
        <w:t>كون</w:t>
      </w:r>
      <w:r w:rsidR="00E8128F">
        <w:rPr>
          <w:sz w:val="36"/>
          <w:szCs w:val="36"/>
          <w:rtl/>
        </w:rPr>
        <w:t xml:space="preserve"> </w:t>
      </w:r>
      <w:r w:rsidR="002940BF" w:rsidRPr="00FD211F">
        <w:rPr>
          <w:sz w:val="36"/>
          <w:szCs w:val="36"/>
          <w:rtl/>
        </w:rPr>
        <w:t>الانسان</w:t>
      </w:r>
      <w:r w:rsidR="00E8128F">
        <w:rPr>
          <w:sz w:val="36"/>
          <w:szCs w:val="36"/>
          <w:rtl/>
        </w:rPr>
        <w:t xml:space="preserve"> </w:t>
      </w:r>
      <w:r w:rsidR="002940BF" w:rsidRPr="00FD211F">
        <w:rPr>
          <w:sz w:val="36"/>
          <w:szCs w:val="36"/>
          <w:rtl/>
        </w:rPr>
        <w:t>انسانا</w:t>
      </w:r>
      <w:r w:rsidR="00603323" w:rsidRPr="00FD211F">
        <w:rPr>
          <w:sz w:val="36"/>
          <w:szCs w:val="36"/>
          <w:rtl/>
        </w:rPr>
        <w:t>،</w:t>
      </w:r>
      <w:r w:rsidR="00E8128F">
        <w:rPr>
          <w:sz w:val="36"/>
          <w:szCs w:val="36"/>
          <w:rtl/>
        </w:rPr>
        <w:t xml:space="preserve"> </w:t>
      </w:r>
      <w:r w:rsidR="00E909BE" w:rsidRPr="00FD211F">
        <w:rPr>
          <w:sz w:val="36"/>
          <w:szCs w:val="36"/>
          <w:rtl/>
        </w:rPr>
        <w:t>ولامانع</w:t>
      </w:r>
      <w:r w:rsidR="00E8128F">
        <w:rPr>
          <w:sz w:val="36"/>
          <w:szCs w:val="36"/>
          <w:rtl/>
        </w:rPr>
        <w:t xml:space="preserve"> </w:t>
      </w:r>
      <w:r w:rsidR="00E909BE" w:rsidRPr="00FD211F">
        <w:rPr>
          <w:sz w:val="36"/>
          <w:szCs w:val="36"/>
          <w:rtl/>
        </w:rPr>
        <w:t>من</w:t>
      </w:r>
      <w:r w:rsidR="00E8128F">
        <w:rPr>
          <w:sz w:val="36"/>
          <w:szCs w:val="36"/>
          <w:rtl/>
        </w:rPr>
        <w:t xml:space="preserve"> </w:t>
      </w:r>
      <w:r w:rsidR="00E909BE" w:rsidRPr="00FD211F">
        <w:rPr>
          <w:sz w:val="36"/>
          <w:szCs w:val="36"/>
          <w:rtl/>
        </w:rPr>
        <w:t>كون</w:t>
      </w:r>
      <w:r w:rsidR="00E8128F">
        <w:rPr>
          <w:sz w:val="36"/>
          <w:szCs w:val="36"/>
          <w:rtl/>
        </w:rPr>
        <w:t xml:space="preserve"> </w:t>
      </w:r>
      <w:r w:rsidR="00E909BE" w:rsidRPr="00FD211F">
        <w:rPr>
          <w:sz w:val="36"/>
          <w:szCs w:val="36"/>
          <w:rtl/>
        </w:rPr>
        <w:t>القضي</w:t>
      </w:r>
      <w:r w:rsidR="00EC7EDF" w:rsidRPr="00FD211F">
        <w:rPr>
          <w:sz w:val="36"/>
          <w:szCs w:val="36"/>
          <w:rtl/>
        </w:rPr>
        <w:t>ة</w:t>
      </w:r>
      <w:r w:rsidR="00E8128F">
        <w:rPr>
          <w:sz w:val="36"/>
          <w:szCs w:val="36"/>
          <w:rtl/>
        </w:rPr>
        <w:t xml:space="preserve"> </w:t>
      </w:r>
      <w:r w:rsidR="00E909BE" w:rsidRPr="00FD211F">
        <w:rPr>
          <w:sz w:val="36"/>
          <w:szCs w:val="36"/>
          <w:rtl/>
        </w:rPr>
        <w:t>المدلول</w:t>
      </w:r>
      <w:r w:rsidR="00EC7EDF" w:rsidRPr="00FD211F">
        <w:rPr>
          <w:sz w:val="36"/>
          <w:szCs w:val="36"/>
          <w:rtl/>
        </w:rPr>
        <w:t>ة</w:t>
      </w:r>
      <w:r w:rsidR="00E8128F">
        <w:rPr>
          <w:sz w:val="36"/>
          <w:szCs w:val="36"/>
          <w:rtl/>
        </w:rPr>
        <w:t xml:space="preserve"> </w:t>
      </w:r>
      <w:r w:rsidR="00E909BE" w:rsidRPr="00FD211F">
        <w:rPr>
          <w:sz w:val="36"/>
          <w:szCs w:val="36"/>
          <w:rtl/>
        </w:rPr>
        <w:t>بالدلال</w:t>
      </w:r>
      <w:r w:rsidR="00EC7EDF" w:rsidRPr="00FD211F">
        <w:rPr>
          <w:sz w:val="36"/>
          <w:szCs w:val="36"/>
          <w:rtl/>
        </w:rPr>
        <w:t>ة</w:t>
      </w:r>
      <w:r w:rsidR="00E8128F">
        <w:rPr>
          <w:sz w:val="36"/>
          <w:szCs w:val="36"/>
          <w:rtl/>
        </w:rPr>
        <w:t xml:space="preserve"> </w:t>
      </w:r>
      <w:r w:rsidR="00E909BE" w:rsidRPr="00FD211F">
        <w:rPr>
          <w:sz w:val="36"/>
          <w:szCs w:val="36"/>
          <w:rtl/>
        </w:rPr>
        <w:t>الالتزامي</w:t>
      </w:r>
      <w:r w:rsidR="00EC7EDF" w:rsidRPr="00FD211F">
        <w:rPr>
          <w:sz w:val="36"/>
          <w:szCs w:val="36"/>
          <w:rtl/>
        </w:rPr>
        <w:t>ة</w:t>
      </w:r>
      <w:r w:rsidR="00E8128F">
        <w:rPr>
          <w:sz w:val="36"/>
          <w:szCs w:val="36"/>
          <w:rtl/>
        </w:rPr>
        <w:t xml:space="preserve"> </w:t>
      </w:r>
      <w:r w:rsidR="00E909BE" w:rsidRPr="00FD211F">
        <w:rPr>
          <w:sz w:val="36"/>
          <w:szCs w:val="36"/>
          <w:rtl/>
        </w:rPr>
        <w:t>العقلي</w:t>
      </w:r>
      <w:r w:rsidR="00EC7EDF" w:rsidRPr="00FD211F">
        <w:rPr>
          <w:sz w:val="36"/>
          <w:szCs w:val="36"/>
          <w:rtl/>
        </w:rPr>
        <w:t>ة</w:t>
      </w:r>
      <w:r w:rsidR="00E8128F">
        <w:rPr>
          <w:sz w:val="36"/>
          <w:szCs w:val="36"/>
          <w:rtl/>
        </w:rPr>
        <w:t xml:space="preserve"> </w:t>
      </w:r>
      <w:r w:rsidR="00E909BE" w:rsidRPr="00FD211F">
        <w:rPr>
          <w:sz w:val="36"/>
          <w:szCs w:val="36"/>
          <w:rtl/>
        </w:rPr>
        <w:t>ضروري</w:t>
      </w:r>
      <w:r w:rsidR="00EC7EDF" w:rsidRPr="00FD211F">
        <w:rPr>
          <w:sz w:val="36"/>
          <w:szCs w:val="36"/>
          <w:rtl/>
        </w:rPr>
        <w:t>ة</w:t>
      </w:r>
      <w:r w:rsidR="00E8128F">
        <w:rPr>
          <w:sz w:val="36"/>
          <w:szCs w:val="36"/>
          <w:rtl/>
        </w:rPr>
        <w:t xml:space="preserve"> </w:t>
      </w:r>
      <w:r w:rsidR="00E909BE" w:rsidRPr="00FD211F">
        <w:rPr>
          <w:sz w:val="36"/>
          <w:szCs w:val="36"/>
          <w:rtl/>
        </w:rPr>
        <w:t>وتكون</w:t>
      </w:r>
      <w:r w:rsidR="00E8128F">
        <w:rPr>
          <w:sz w:val="36"/>
          <w:szCs w:val="36"/>
          <w:rtl/>
        </w:rPr>
        <w:t xml:space="preserve"> </w:t>
      </w:r>
      <w:r w:rsidR="00E909BE" w:rsidRPr="00FD211F">
        <w:rPr>
          <w:sz w:val="36"/>
          <w:szCs w:val="36"/>
          <w:rtl/>
        </w:rPr>
        <w:t>القضي</w:t>
      </w:r>
      <w:r w:rsidR="00EC7EDF" w:rsidRPr="00FD211F">
        <w:rPr>
          <w:sz w:val="36"/>
          <w:szCs w:val="36"/>
          <w:rtl/>
        </w:rPr>
        <w:t>ة</w:t>
      </w:r>
      <w:r w:rsidR="00E8128F">
        <w:rPr>
          <w:sz w:val="36"/>
          <w:szCs w:val="36"/>
          <w:rtl/>
        </w:rPr>
        <w:t xml:space="preserve"> </w:t>
      </w:r>
      <w:r w:rsidR="00E909BE" w:rsidRPr="00FD211F">
        <w:rPr>
          <w:sz w:val="36"/>
          <w:szCs w:val="36"/>
          <w:rtl/>
        </w:rPr>
        <w:t>المدلول</w:t>
      </w:r>
      <w:r w:rsidR="00EC7EDF" w:rsidRPr="00FD211F">
        <w:rPr>
          <w:sz w:val="36"/>
          <w:szCs w:val="36"/>
          <w:rtl/>
        </w:rPr>
        <w:t>ة</w:t>
      </w:r>
      <w:r w:rsidR="00E8128F">
        <w:rPr>
          <w:sz w:val="36"/>
          <w:szCs w:val="36"/>
          <w:rtl/>
        </w:rPr>
        <w:t xml:space="preserve"> </w:t>
      </w:r>
      <w:r w:rsidR="00577BCA" w:rsidRPr="00FD211F">
        <w:rPr>
          <w:sz w:val="36"/>
          <w:szCs w:val="36"/>
          <w:rtl/>
        </w:rPr>
        <w:t>بالدلال</w:t>
      </w:r>
      <w:r w:rsidR="00EC7EDF" w:rsidRPr="00FD211F">
        <w:rPr>
          <w:sz w:val="36"/>
          <w:szCs w:val="36"/>
          <w:rtl/>
        </w:rPr>
        <w:t>ة</w:t>
      </w:r>
      <w:r w:rsidR="00E8128F">
        <w:rPr>
          <w:sz w:val="36"/>
          <w:szCs w:val="36"/>
          <w:rtl/>
        </w:rPr>
        <w:t xml:space="preserve"> </w:t>
      </w:r>
      <w:r w:rsidR="00577BCA" w:rsidRPr="00FD211F">
        <w:rPr>
          <w:sz w:val="36"/>
          <w:szCs w:val="36"/>
          <w:rtl/>
        </w:rPr>
        <w:t>المطابقي</w:t>
      </w:r>
      <w:r w:rsidR="00EC7EDF" w:rsidRPr="00FD211F">
        <w:rPr>
          <w:sz w:val="36"/>
          <w:szCs w:val="36"/>
          <w:rtl/>
        </w:rPr>
        <w:t>ة</w:t>
      </w:r>
      <w:r w:rsidR="00E8128F">
        <w:rPr>
          <w:sz w:val="36"/>
          <w:szCs w:val="36"/>
          <w:rtl/>
        </w:rPr>
        <w:t xml:space="preserve"> </w:t>
      </w:r>
      <w:r w:rsidR="00577BCA" w:rsidRPr="00FD211F">
        <w:rPr>
          <w:sz w:val="36"/>
          <w:szCs w:val="36"/>
          <w:rtl/>
        </w:rPr>
        <w:t>ل</w:t>
      </w:r>
      <w:r w:rsidR="00B5743E" w:rsidRPr="00FD211F">
        <w:rPr>
          <w:sz w:val="36"/>
          <w:szCs w:val="36"/>
          <w:rtl/>
        </w:rPr>
        <w:t>لخطاب</w:t>
      </w:r>
      <w:r w:rsidR="00E8128F">
        <w:rPr>
          <w:sz w:val="36"/>
          <w:szCs w:val="36"/>
          <w:rtl/>
        </w:rPr>
        <w:t xml:space="preserve"> </w:t>
      </w:r>
      <w:r w:rsidR="00B5743E" w:rsidRPr="00FD211F">
        <w:rPr>
          <w:sz w:val="36"/>
          <w:szCs w:val="36"/>
          <w:rtl/>
        </w:rPr>
        <w:t>ممكن</w:t>
      </w:r>
      <w:r w:rsidR="00EC7EDF" w:rsidRPr="00FD211F">
        <w:rPr>
          <w:sz w:val="36"/>
          <w:szCs w:val="36"/>
          <w:rtl/>
        </w:rPr>
        <w:t>ة</w:t>
      </w:r>
      <w:r w:rsidR="00A61BAE" w:rsidRPr="00FD211F">
        <w:rPr>
          <w:sz w:val="36"/>
          <w:szCs w:val="36"/>
          <w:rtl/>
        </w:rPr>
        <w:t>.</w:t>
      </w:r>
    </w:p>
    <w:p w14:paraId="668CC86F" w14:textId="77777777" w:rsidR="00DD7505" w:rsidRPr="00FD211F" w:rsidRDefault="00DD7505" w:rsidP="009C58C8">
      <w:pPr>
        <w:pStyle w:val="3"/>
        <w:ind w:firstLine="227"/>
        <w:jc w:val="both"/>
        <w:rPr>
          <w:rtl/>
        </w:rPr>
      </w:pPr>
      <w:bookmarkStart w:id="473" w:name="_Toc223890438"/>
      <w:r w:rsidRPr="00FD211F">
        <w:rPr>
          <w:rtl/>
        </w:rPr>
        <w:t>المختارفي</w:t>
      </w:r>
      <w:r w:rsidR="00E8128F">
        <w:rPr>
          <w:rtl/>
        </w:rPr>
        <w:t xml:space="preserve"> </w:t>
      </w:r>
      <w:r w:rsidRPr="00FD211F">
        <w:rPr>
          <w:rtl/>
        </w:rPr>
        <w:t>معنى</w:t>
      </w:r>
      <w:r w:rsidR="00E8128F">
        <w:rPr>
          <w:rtl/>
        </w:rPr>
        <w:t xml:space="preserve"> </w:t>
      </w:r>
      <w:r w:rsidRPr="00FD211F">
        <w:rPr>
          <w:rtl/>
        </w:rPr>
        <w:t>المشتق</w:t>
      </w:r>
      <w:bookmarkEnd w:id="473"/>
    </w:p>
    <w:p w14:paraId="41F2498D" w14:textId="77777777" w:rsidR="00A31B69" w:rsidRPr="00FD211F" w:rsidRDefault="009937F5" w:rsidP="009C58C8">
      <w:pPr>
        <w:ind w:left="0" w:firstLine="227"/>
        <w:jc w:val="both"/>
        <w:rPr>
          <w:sz w:val="36"/>
          <w:szCs w:val="36"/>
          <w:rtl/>
        </w:rPr>
      </w:pPr>
      <w:r w:rsidRPr="00FD211F">
        <w:rPr>
          <w:sz w:val="36"/>
          <w:szCs w:val="36"/>
          <w:rtl/>
        </w:rPr>
        <w:t>المتحصل</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هنا</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لامحذور</w:t>
      </w:r>
      <w:r w:rsidR="00E8128F">
        <w:rPr>
          <w:sz w:val="36"/>
          <w:szCs w:val="36"/>
          <w:rtl/>
        </w:rPr>
        <w:t xml:space="preserve"> </w:t>
      </w:r>
      <w:r w:rsidRPr="00FD211F">
        <w:rPr>
          <w:sz w:val="36"/>
          <w:szCs w:val="36"/>
          <w:rtl/>
        </w:rPr>
        <w:t>ثبوتي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اخذ</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واقع</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المشتق</w:t>
      </w:r>
      <w:r w:rsidR="00603323" w:rsidRPr="00FD211F">
        <w:rPr>
          <w:sz w:val="36"/>
          <w:szCs w:val="36"/>
          <w:rtl/>
        </w:rPr>
        <w:t>،</w:t>
      </w:r>
      <w:r w:rsidR="00E8128F">
        <w:rPr>
          <w:sz w:val="36"/>
          <w:szCs w:val="36"/>
          <w:rtl/>
        </w:rPr>
        <w:t xml:space="preserve"> </w:t>
      </w:r>
      <w:r w:rsidRPr="00FD211F">
        <w:rPr>
          <w:sz w:val="36"/>
          <w:szCs w:val="36"/>
          <w:rtl/>
        </w:rPr>
        <w:t>ولكن</w:t>
      </w:r>
      <w:r w:rsidR="00E8128F">
        <w:rPr>
          <w:sz w:val="36"/>
          <w:szCs w:val="36"/>
          <w:rtl/>
        </w:rPr>
        <w:t xml:space="preserve"> </w:t>
      </w:r>
      <w:r w:rsidRPr="00FD211F">
        <w:rPr>
          <w:sz w:val="36"/>
          <w:szCs w:val="36"/>
          <w:rtl/>
        </w:rPr>
        <w:t>لايحتمل</w:t>
      </w:r>
      <w:r w:rsidR="00E8128F">
        <w:rPr>
          <w:sz w:val="36"/>
          <w:szCs w:val="36"/>
          <w:rtl/>
        </w:rPr>
        <w:t xml:space="preserve"> </w:t>
      </w:r>
      <w:r w:rsidRPr="00FD211F">
        <w:rPr>
          <w:sz w:val="36"/>
          <w:szCs w:val="36"/>
          <w:rtl/>
        </w:rPr>
        <w:t>الثاني</w:t>
      </w:r>
      <w:r w:rsidR="00E8128F">
        <w:rPr>
          <w:sz w:val="36"/>
          <w:szCs w:val="36"/>
          <w:rtl/>
        </w:rPr>
        <w:t xml:space="preserve"> </w:t>
      </w:r>
      <w:r w:rsidRPr="00FD211F">
        <w:rPr>
          <w:sz w:val="36"/>
          <w:szCs w:val="36"/>
          <w:rtl/>
        </w:rPr>
        <w:t>عرفا</w:t>
      </w:r>
      <w:r w:rsidR="00E8128F">
        <w:rPr>
          <w:sz w:val="36"/>
          <w:szCs w:val="36"/>
          <w:rtl/>
        </w:rPr>
        <w:t xml:space="preserve"> </w:t>
      </w:r>
      <w:r w:rsidRPr="00FD211F">
        <w:rPr>
          <w:sz w:val="36"/>
          <w:szCs w:val="36"/>
          <w:rtl/>
        </w:rPr>
        <w:t>لانه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اريد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واقع</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المفهوم</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وقع</w:t>
      </w:r>
      <w:r w:rsidR="00E8128F">
        <w:rPr>
          <w:sz w:val="36"/>
          <w:szCs w:val="36"/>
          <w:rtl/>
        </w:rPr>
        <w:t xml:space="preserve"> </w:t>
      </w:r>
      <w:r w:rsidRPr="00FD211F">
        <w:rPr>
          <w:sz w:val="36"/>
          <w:szCs w:val="36"/>
          <w:rtl/>
        </w:rPr>
        <w:t>موضوعا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القضي</w:t>
      </w:r>
      <w:r w:rsidR="00EC7EDF" w:rsidRPr="00FD211F">
        <w:rPr>
          <w:sz w:val="36"/>
          <w:szCs w:val="36"/>
          <w:rtl/>
        </w:rPr>
        <w:t>ة</w:t>
      </w:r>
      <w:r w:rsidR="00603323" w:rsidRPr="00FD211F">
        <w:rPr>
          <w:sz w:val="36"/>
          <w:szCs w:val="36"/>
          <w:rtl/>
        </w:rPr>
        <w:t>،</w:t>
      </w:r>
      <w:r w:rsidR="00E8128F">
        <w:rPr>
          <w:sz w:val="36"/>
          <w:szCs w:val="36"/>
          <w:rtl/>
        </w:rPr>
        <w:t xml:space="preserve"> </w:t>
      </w:r>
      <w:r w:rsidR="00A31B69" w:rsidRPr="00FD211F">
        <w:rPr>
          <w:sz w:val="36"/>
          <w:szCs w:val="36"/>
          <w:rtl/>
        </w:rPr>
        <w:t>فقولنا</w:t>
      </w:r>
      <w:r w:rsidR="00E8128F">
        <w:rPr>
          <w:sz w:val="36"/>
          <w:szCs w:val="36"/>
          <w:rtl/>
        </w:rPr>
        <w:t xml:space="preserve"> </w:t>
      </w:r>
      <w:r w:rsidR="00A31B69" w:rsidRPr="00FD211F">
        <w:rPr>
          <w:sz w:val="36"/>
          <w:szCs w:val="36"/>
          <w:rtl/>
        </w:rPr>
        <w:t>"الانسان</w:t>
      </w:r>
      <w:r w:rsidR="00E8128F">
        <w:rPr>
          <w:sz w:val="36"/>
          <w:szCs w:val="36"/>
          <w:rtl/>
        </w:rPr>
        <w:t xml:space="preserve"> </w:t>
      </w:r>
      <w:r w:rsidR="00A31B69" w:rsidRPr="00FD211F">
        <w:rPr>
          <w:sz w:val="36"/>
          <w:szCs w:val="36"/>
          <w:rtl/>
        </w:rPr>
        <w:t>ماش</w:t>
      </w:r>
      <w:r w:rsidR="00E8128F">
        <w:rPr>
          <w:sz w:val="36"/>
          <w:szCs w:val="36"/>
          <w:rtl/>
        </w:rPr>
        <w:t xml:space="preserve"> </w:t>
      </w:r>
      <w:r w:rsidR="00A31B69" w:rsidRPr="00FD211F">
        <w:rPr>
          <w:sz w:val="36"/>
          <w:szCs w:val="36"/>
          <w:rtl/>
        </w:rPr>
        <w:t>"يكون</w:t>
      </w:r>
      <w:r w:rsidR="00E8128F">
        <w:rPr>
          <w:sz w:val="36"/>
          <w:szCs w:val="36"/>
          <w:rtl/>
        </w:rPr>
        <w:t xml:space="preserve"> </w:t>
      </w:r>
      <w:r w:rsidR="00A31B69" w:rsidRPr="00FD211F">
        <w:rPr>
          <w:sz w:val="36"/>
          <w:szCs w:val="36"/>
          <w:rtl/>
        </w:rPr>
        <w:t>بمعنى</w:t>
      </w:r>
      <w:r w:rsidR="00E8128F">
        <w:rPr>
          <w:sz w:val="36"/>
          <w:szCs w:val="36"/>
          <w:rtl/>
        </w:rPr>
        <w:t xml:space="preserve"> </w:t>
      </w:r>
      <w:r w:rsidR="00A31B69" w:rsidRPr="00FD211F">
        <w:rPr>
          <w:sz w:val="36"/>
          <w:szCs w:val="36"/>
          <w:rtl/>
        </w:rPr>
        <w:t>"الانسان</w:t>
      </w:r>
      <w:r w:rsidR="00E8128F">
        <w:rPr>
          <w:sz w:val="36"/>
          <w:szCs w:val="36"/>
          <w:rtl/>
        </w:rPr>
        <w:t xml:space="preserve"> </w:t>
      </w:r>
      <w:r w:rsidR="00A31B69" w:rsidRPr="00FD211F">
        <w:rPr>
          <w:sz w:val="36"/>
          <w:szCs w:val="36"/>
          <w:rtl/>
        </w:rPr>
        <w:t>انسان</w:t>
      </w:r>
      <w:r w:rsidR="00E8128F">
        <w:rPr>
          <w:sz w:val="36"/>
          <w:szCs w:val="36"/>
          <w:rtl/>
        </w:rPr>
        <w:t xml:space="preserve"> </w:t>
      </w:r>
      <w:r w:rsidR="00A31B69" w:rsidRPr="00FD211F">
        <w:rPr>
          <w:sz w:val="36"/>
          <w:szCs w:val="36"/>
          <w:rtl/>
        </w:rPr>
        <w:t>له</w:t>
      </w:r>
      <w:r w:rsidR="00E8128F">
        <w:rPr>
          <w:sz w:val="36"/>
          <w:szCs w:val="36"/>
          <w:rtl/>
        </w:rPr>
        <w:t xml:space="preserve"> </w:t>
      </w:r>
      <w:r w:rsidR="00A31B69" w:rsidRPr="00FD211F">
        <w:rPr>
          <w:sz w:val="36"/>
          <w:szCs w:val="36"/>
          <w:rtl/>
        </w:rPr>
        <w:t>المشي"</w:t>
      </w:r>
      <w:r w:rsidR="00603323" w:rsidRPr="00FD211F">
        <w:rPr>
          <w:sz w:val="36"/>
          <w:szCs w:val="36"/>
          <w:rtl/>
        </w:rPr>
        <w:t>،</w:t>
      </w:r>
      <w:r w:rsidR="00E8128F">
        <w:rPr>
          <w:sz w:val="36"/>
          <w:szCs w:val="36"/>
          <w:rtl/>
        </w:rPr>
        <w:t xml:space="preserve"> </w:t>
      </w:r>
      <w:r w:rsidRPr="00FD211F">
        <w:rPr>
          <w:sz w:val="36"/>
          <w:szCs w:val="36"/>
          <w:rtl/>
        </w:rPr>
        <w:t>ف</w:t>
      </w:r>
      <w:r w:rsidR="00A31B69" w:rsidRPr="00FD211F">
        <w:rPr>
          <w:sz w:val="36"/>
          <w:szCs w:val="36"/>
          <w:rtl/>
        </w:rPr>
        <w:t>اشكاله</w:t>
      </w:r>
      <w:r w:rsidR="00E8128F">
        <w:rPr>
          <w:sz w:val="36"/>
          <w:szCs w:val="36"/>
          <w:rtl/>
        </w:rPr>
        <w:t xml:space="preserve"> </w:t>
      </w:r>
      <w:r w:rsidR="00A31B69" w:rsidRPr="00FD211F">
        <w:rPr>
          <w:sz w:val="36"/>
          <w:szCs w:val="36"/>
          <w:rtl/>
        </w:rPr>
        <w:t>انه</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لايكون</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w:t>
      </w:r>
      <w:r w:rsidR="00A31B69" w:rsidRPr="00FD211F">
        <w:rPr>
          <w:sz w:val="36"/>
          <w:szCs w:val="36"/>
          <w:rtl/>
        </w:rPr>
        <w:t>خطاب</w:t>
      </w:r>
      <w:r w:rsidR="00E8128F">
        <w:rPr>
          <w:sz w:val="36"/>
          <w:szCs w:val="36"/>
          <w:rtl/>
        </w:rPr>
        <w:t xml:space="preserve"> </w:t>
      </w:r>
      <w:r w:rsidRPr="00FD211F">
        <w:rPr>
          <w:sz w:val="36"/>
          <w:szCs w:val="36"/>
          <w:rtl/>
        </w:rPr>
        <w:t>موضوع</w:t>
      </w:r>
      <w:r w:rsidR="00E8128F">
        <w:rPr>
          <w:sz w:val="36"/>
          <w:szCs w:val="36"/>
          <w:rtl/>
        </w:rPr>
        <w:t xml:space="preserve"> </w:t>
      </w:r>
      <w:r w:rsidR="00A31B69" w:rsidRPr="00FD211F">
        <w:rPr>
          <w:sz w:val="36"/>
          <w:szCs w:val="36"/>
          <w:rtl/>
        </w:rPr>
        <w:t>حمل</w:t>
      </w:r>
      <w:r w:rsidR="00E8128F">
        <w:rPr>
          <w:sz w:val="36"/>
          <w:szCs w:val="36"/>
          <w:rtl/>
        </w:rPr>
        <w:t xml:space="preserve"> </w:t>
      </w:r>
      <w:r w:rsidR="00A31B69" w:rsidRPr="00FD211F">
        <w:rPr>
          <w:sz w:val="36"/>
          <w:szCs w:val="36"/>
          <w:rtl/>
        </w:rPr>
        <w:t>عليه</w:t>
      </w:r>
      <w:r w:rsidR="00E8128F">
        <w:rPr>
          <w:sz w:val="36"/>
          <w:szCs w:val="36"/>
          <w:rtl/>
        </w:rPr>
        <w:t xml:space="preserve"> </w:t>
      </w:r>
      <w:r w:rsidR="00A31B69" w:rsidRPr="00FD211F">
        <w:rPr>
          <w:sz w:val="36"/>
          <w:szCs w:val="36"/>
          <w:rtl/>
        </w:rPr>
        <w:t>المشتق</w:t>
      </w:r>
      <w:r w:rsidR="00E8128F">
        <w:rPr>
          <w:sz w:val="36"/>
          <w:szCs w:val="36"/>
          <w:rtl/>
        </w:rPr>
        <w:t xml:space="preserve"> </w:t>
      </w:r>
      <w:r w:rsidR="006F2C1F" w:rsidRPr="00FD211F">
        <w:rPr>
          <w:sz w:val="36"/>
          <w:szCs w:val="36"/>
          <w:rtl/>
        </w:rPr>
        <w:t>مثل</w:t>
      </w:r>
      <w:r w:rsidR="00E8128F">
        <w:rPr>
          <w:sz w:val="36"/>
          <w:szCs w:val="36"/>
          <w:rtl/>
        </w:rPr>
        <w:t xml:space="preserve"> </w:t>
      </w:r>
      <w:r w:rsidR="006F2C1F" w:rsidRPr="00FD211F">
        <w:rPr>
          <w:sz w:val="36"/>
          <w:szCs w:val="36"/>
          <w:rtl/>
        </w:rPr>
        <w:t>قولنا</w:t>
      </w:r>
      <w:r w:rsidR="00E8128F">
        <w:rPr>
          <w:sz w:val="36"/>
          <w:szCs w:val="36"/>
          <w:rtl/>
        </w:rPr>
        <w:t xml:space="preserve"> </w:t>
      </w:r>
      <w:r w:rsidR="006F2C1F" w:rsidRPr="00FD211F">
        <w:rPr>
          <w:sz w:val="36"/>
          <w:szCs w:val="36"/>
          <w:rtl/>
        </w:rPr>
        <w:t>"اكر</w:t>
      </w:r>
      <w:r w:rsidR="00A31B69" w:rsidRPr="00FD211F">
        <w:rPr>
          <w:sz w:val="36"/>
          <w:szCs w:val="36"/>
          <w:rtl/>
        </w:rPr>
        <w:t>م</w:t>
      </w:r>
      <w:r w:rsidR="00E8128F">
        <w:rPr>
          <w:sz w:val="36"/>
          <w:szCs w:val="36"/>
          <w:rtl/>
        </w:rPr>
        <w:t xml:space="preserve"> </w:t>
      </w:r>
      <w:r w:rsidR="00A31B69" w:rsidRPr="00FD211F">
        <w:rPr>
          <w:sz w:val="36"/>
          <w:szCs w:val="36"/>
          <w:rtl/>
        </w:rPr>
        <w:t>الضاحك"</w:t>
      </w:r>
    </w:p>
    <w:p w14:paraId="06FC9066" w14:textId="77777777" w:rsidR="00DA3D0F" w:rsidRPr="00FD211F" w:rsidRDefault="009937F5" w:rsidP="009C58C8">
      <w:pPr>
        <w:ind w:left="0" w:firstLine="227"/>
        <w:jc w:val="both"/>
        <w:rPr>
          <w:sz w:val="36"/>
          <w:szCs w:val="36"/>
          <w:rtl/>
        </w:rPr>
      </w:pPr>
      <w:r w:rsidRPr="00FD211F">
        <w:rPr>
          <w:sz w:val="36"/>
          <w:szCs w:val="36"/>
          <w:rtl/>
        </w:rPr>
        <w:t>وان</w:t>
      </w:r>
      <w:r w:rsidR="00E8128F">
        <w:rPr>
          <w:sz w:val="36"/>
          <w:szCs w:val="36"/>
          <w:rtl/>
        </w:rPr>
        <w:t xml:space="preserve"> </w:t>
      </w:r>
      <w:r w:rsidRPr="00FD211F">
        <w:rPr>
          <w:sz w:val="36"/>
          <w:szCs w:val="36"/>
          <w:rtl/>
        </w:rPr>
        <w:t>اريد</w:t>
      </w:r>
      <w:r w:rsidR="00E8128F">
        <w:rPr>
          <w:sz w:val="36"/>
          <w:szCs w:val="36"/>
          <w:rtl/>
        </w:rPr>
        <w:t xml:space="preserve"> </w:t>
      </w:r>
      <w:r w:rsidRPr="00FD211F">
        <w:rPr>
          <w:sz w:val="36"/>
          <w:szCs w:val="36"/>
          <w:rtl/>
        </w:rPr>
        <w:t>منه</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المفهوم</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يعرضه</w:t>
      </w:r>
      <w:r w:rsidR="00E8128F">
        <w:rPr>
          <w:sz w:val="36"/>
          <w:szCs w:val="36"/>
          <w:rtl/>
        </w:rPr>
        <w:t xml:space="preserve"> </w:t>
      </w:r>
      <w:r w:rsidRPr="00FD211F">
        <w:rPr>
          <w:sz w:val="36"/>
          <w:szCs w:val="36"/>
          <w:rtl/>
        </w:rPr>
        <w:t>ال</w:t>
      </w:r>
      <w:r w:rsidR="0079493B" w:rsidRPr="00FD211F">
        <w:rPr>
          <w:sz w:val="36"/>
          <w:szCs w:val="36"/>
          <w:rtl/>
        </w:rPr>
        <w:t>مبدأ</w:t>
      </w:r>
      <w:r w:rsidR="00E8128F">
        <w:rPr>
          <w:sz w:val="36"/>
          <w:szCs w:val="36"/>
          <w:rtl/>
        </w:rPr>
        <w:t xml:space="preserve"> </w:t>
      </w:r>
      <w:r w:rsidR="00A31B69" w:rsidRPr="00FD211F">
        <w:rPr>
          <w:sz w:val="36"/>
          <w:szCs w:val="36"/>
          <w:rtl/>
        </w:rPr>
        <w:t>عاد</w:t>
      </w:r>
      <w:r w:rsidR="00EC7EDF" w:rsidRPr="00FD211F">
        <w:rPr>
          <w:sz w:val="36"/>
          <w:szCs w:val="36"/>
          <w:rtl/>
        </w:rPr>
        <w:t>ة</w:t>
      </w:r>
      <w:r w:rsidR="00E8128F">
        <w:rPr>
          <w:sz w:val="36"/>
          <w:szCs w:val="36"/>
          <w:rtl/>
        </w:rPr>
        <w:t xml:space="preserve"> </w:t>
      </w:r>
      <w:r w:rsidR="00A31B69" w:rsidRPr="00FD211F">
        <w:rPr>
          <w:sz w:val="36"/>
          <w:szCs w:val="36"/>
          <w:rtl/>
        </w:rPr>
        <w:t>كالحيوان</w:t>
      </w:r>
      <w:r w:rsidR="00E8128F">
        <w:rPr>
          <w:sz w:val="36"/>
          <w:szCs w:val="36"/>
          <w:rtl/>
        </w:rPr>
        <w:t xml:space="preserve"> </w:t>
      </w:r>
      <w:r w:rsidR="00A31B69" w:rsidRPr="00FD211F">
        <w:rPr>
          <w:sz w:val="36"/>
          <w:szCs w:val="36"/>
          <w:rtl/>
        </w:rPr>
        <w:t>بالنسب</w:t>
      </w:r>
      <w:r w:rsidR="00EC7EDF" w:rsidRPr="00FD211F">
        <w:rPr>
          <w:sz w:val="36"/>
          <w:szCs w:val="36"/>
          <w:rtl/>
        </w:rPr>
        <w:t>ة</w:t>
      </w:r>
      <w:r w:rsidR="00E8128F">
        <w:rPr>
          <w:sz w:val="36"/>
          <w:szCs w:val="36"/>
          <w:rtl/>
        </w:rPr>
        <w:t xml:space="preserve"> </w:t>
      </w:r>
      <w:r w:rsidR="00A31B69" w:rsidRPr="00FD211F">
        <w:rPr>
          <w:sz w:val="36"/>
          <w:szCs w:val="36"/>
          <w:rtl/>
        </w:rPr>
        <w:t>الى</w:t>
      </w:r>
      <w:r w:rsidR="00E8128F">
        <w:rPr>
          <w:sz w:val="36"/>
          <w:szCs w:val="36"/>
          <w:rtl/>
        </w:rPr>
        <w:t xml:space="preserve"> </w:t>
      </w:r>
      <w:r w:rsidR="00A31B69" w:rsidRPr="00FD211F">
        <w:rPr>
          <w:sz w:val="36"/>
          <w:szCs w:val="36"/>
          <w:rtl/>
        </w:rPr>
        <w:t>الماشي</w:t>
      </w:r>
      <w:r w:rsidR="00E8128F">
        <w:rPr>
          <w:sz w:val="36"/>
          <w:szCs w:val="36"/>
          <w:rtl/>
        </w:rPr>
        <w:t xml:space="preserve"> </w:t>
      </w:r>
      <w:r w:rsidR="00A31B69" w:rsidRPr="00FD211F">
        <w:rPr>
          <w:sz w:val="36"/>
          <w:szCs w:val="36"/>
          <w:rtl/>
        </w:rPr>
        <w:t>و</w:t>
      </w:r>
      <w:r w:rsidRPr="00FD211F">
        <w:rPr>
          <w:sz w:val="36"/>
          <w:szCs w:val="36"/>
          <w:rtl/>
        </w:rPr>
        <w:t>الانسان</w:t>
      </w:r>
      <w:r w:rsidR="00E8128F">
        <w:rPr>
          <w:sz w:val="36"/>
          <w:szCs w:val="36"/>
          <w:rtl/>
        </w:rPr>
        <w:t xml:space="preserve"> </w:t>
      </w:r>
      <w:r w:rsidRPr="00FD211F">
        <w:rPr>
          <w:sz w:val="36"/>
          <w:szCs w:val="36"/>
          <w:rtl/>
        </w:rPr>
        <w:t>بالنسب</w:t>
      </w:r>
      <w:r w:rsidR="00EC7EDF" w:rsidRPr="00FD211F">
        <w:rPr>
          <w:sz w:val="36"/>
          <w:szCs w:val="36"/>
          <w:rtl/>
        </w:rPr>
        <w:t>ة</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w:t>
      </w:r>
      <w:r w:rsidR="00577BCA" w:rsidRPr="00FD211F">
        <w:rPr>
          <w:sz w:val="36"/>
          <w:szCs w:val="36"/>
          <w:rtl/>
        </w:rPr>
        <w:t>ضاحك</w:t>
      </w:r>
      <w:r w:rsidR="00E8128F">
        <w:rPr>
          <w:sz w:val="36"/>
          <w:szCs w:val="36"/>
          <w:rtl/>
        </w:rPr>
        <w:t xml:space="preserve"> </w:t>
      </w:r>
      <w:r w:rsidRPr="00FD211F">
        <w:rPr>
          <w:sz w:val="36"/>
          <w:szCs w:val="36"/>
          <w:rtl/>
        </w:rPr>
        <w:t>ف</w:t>
      </w:r>
      <w:r w:rsidR="00A31B69" w:rsidRPr="00FD211F">
        <w:rPr>
          <w:sz w:val="36"/>
          <w:szCs w:val="36"/>
          <w:rtl/>
        </w:rPr>
        <w:t>اشكاله</w:t>
      </w:r>
      <w:r w:rsidR="00E8128F">
        <w:rPr>
          <w:sz w:val="36"/>
          <w:szCs w:val="36"/>
          <w:rtl/>
        </w:rPr>
        <w:t xml:space="preserve"> </w:t>
      </w:r>
      <w:r w:rsidR="00EF4BEF" w:rsidRPr="00FD211F">
        <w:rPr>
          <w:sz w:val="36"/>
          <w:szCs w:val="36"/>
          <w:rtl/>
        </w:rPr>
        <w:t>انه</w:t>
      </w:r>
      <w:r w:rsidR="00E8128F">
        <w:rPr>
          <w:sz w:val="36"/>
          <w:szCs w:val="36"/>
          <w:rtl/>
        </w:rPr>
        <w:t xml:space="preserve"> </w:t>
      </w:r>
      <w:r w:rsidR="00EF4BEF" w:rsidRPr="00FD211F">
        <w:rPr>
          <w:sz w:val="36"/>
          <w:szCs w:val="36"/>
          <w:rtl/>
        </w:rPr>
        <w:t>لو</w:t>
      </w:r>
      <w:r w:rsidR="00E8128F">
        <w:rPr>
          <w:sz w:val="36"/>
          <w:szCs w:val="36"/>
          <w:rtl/>
        </w:rPr>
        <w:t xml:space="preserve"> </w:t>
      </w:r>
      <w:r w:rsidR="00EF4BEF" w:rsidRPr="00FD211F">
        <w:rPr>
          <w:sz w:val="36"/>
          <w:szCs w:val="36"/>
          <w:rtl/>
        </w:rPr>
        <w:t>قيل</w:t>
      </w:r>
      <w:r w:rsidR="00E8128F">
        <w:rPr>
          <w:sz w:val="36"/>
          <w:szCs w:val="36"/>
          <w:rtl/>
        </w:rPr>
        <w:t xml:space="preserve"> </w:t>
      </w:r>
      <w:r w:rsidR="00E66E56" w:rsidRPr="00FD211F">
        <w:rPr>
          <w:sz w:val="36"/>
          <w:szCs w:val="36"/>
          <w:rtl/>
        </w:rPr>
        <w:t>"</w:t>
      </w:r>
      <w:r w:rsidRPr="00FD211F">
        <w:rPr>
          <w:sz w:val="36"/>
          <w:szCs w:val="36"/>
          <w:rtl/>
        </w:rPr>
        <w:t>الجدار</w:t>
      </w:r>
      <w:r w:rsidR="00E8128F">
        <w:rPr>
          <w:sz w:val="36"/>
          <w:szCs w:val="36"/>
          <w:rtl/>
        </w:rPr>
        <w:t xml:space="preserve"> </w:t>
      </w:r>
      <w:r w:rsidR="00577BCA" w:rsidRPr="00FD211F">
        <w:rPr>
          <w:sz w:val="36"/>
          <w:szCs w:val="36"/>
          <w:rtl/>
        </w:rPr>
        <w:t>ضاحك</w:t>
      </w:r>
      <w:r w:rsidR="00E66E56" w:rsidRPr="00FD211F">
        <w:rPr>
          <w:sz w:val="36"/>
          <w:szCs w:val="36"/>
          <w:rtl/>
        </w:rPr>
        <w:t>"</w:t>
      </w:r>
      <w:r w:rsidR="00E8128F">
        <w:rPr>
          <w:sz w:val="36"/>
          <w:szCs w:val="36"/>
          <w:rtl/>
        </w:rPr>
        <w:t xml:space="preserve"> </w:t>
      </w:r>
      <w:r w:rsidR="00AC3F24" w:rsidRPr="00FD211F">
        <w:rPr>
          <w:sz w:val="36"/>
          <w:szCs w:val="36"/>
          <w:rtl/>
        </w:rPr>
        <w:t>ف</w:t>
      </w:r>
      <w:r w:rsidR="00E66E56" w:rsidRPr="00FD211F">
        <w:rPr>
          <w:sz w:val="36"/>
          <w:szCs w:val="36"/>
          <w:rtl/>
        </w:rPr>
        <w:t>من</w:t>
      </w:r>
      <w:r w:rsidR="00E8128F">
        <w:rPr>
          <w:sz w:val="36"/>
          <w:szCs w:val="36"/>
          <w:rtl/>
        </w:rPr>
        <w:t xml:space="preserve"> </w:t>
      </w:r>
      <w:r w:rsidR="00E66E56" w:rsidRPr="00FD211F">
        <w:rPr>
          <w:sz w:val="36"/>
          <w:szCs w:val="36"/>
          <w:rtl/>
        </w:rPr>
        <w:t>الواضح</w:t>
      </w:r>
      <w:r w:rsidR="00E8128F">
        <w:rPr>
          <w:sz w:val="36"/>
          <w:szCs w:val="36"/>
          <w:rtl/>
        </w:rPr>
        <w:t xml:space="preserve"> </w:t>
      </w:r>
      <w:r w:rsidR="00E66E56" w:rsidRPr="00FD211F">
        <w:rPr>
          <w:sz w:val="36"/>
          <w:szCs w:val="36"/>
          <w:rtl/>
        </w:rPr>
        <w:t>انه</w:t>
      </w:r>
      <w:r w:rsidR="00E8128F">
        <w:rPr>
          <w:sz w:val="36"/>
          <w:szCs w:val="36"/>
          <w:rtl/>
        </w:rPr>
        <w:t xml:space="preserve"> </w:t>
      </w:r>
      <w:r w:rsidR="00AC3F24" w:rsidRPr="00FD211F">
        <w:rPr>
          <w:sz w:val="36"/>
          <w:szCs w:val="36"/>
          <w:rtl/>
        </w:rPr>
        <w:t>يكون</w:t>
      </w:r>
      <w:r w:rsidR="00E8128F">
        <w:rPr>
          <w:sz w:val="36"/>
          <w:szCs w:val="36"/>
          <w:rtl/>
        </w:rPr>
        <w:t xml:space="preserve"> </w:t>
      </w:r>
      <w:r w:rsidR="00AC3F24" w:rsidRPr="00FD211F">
        <w:rPr>
          <w:sz w:val="36"/>
          <w:szCs w:val="36"/>
          <w:rtl/>
        </w:rPr>
        <w:t>الكذب</w:t>
      </w:r>
      <w:r w:rsidR="00E8128F">
        <w:rPr>
          <w:sz w:val="36"/>
          <w:szCs w:val="36"/>
          <w:rtl/>
        </w:rPr>
        <w:t xml:space="preserve"> </w:t>
      </w:r>
      <w:r w:rsidR="00AC3F24" w:rsidRPr="00FD211F">
        <w:rPr>
          <w:sz w:val="36"/>
          <w:szCs w:val="36"/>
          <w:rtl/>
        </w:rPr>
        <w:t>فيه</w:t>
      </w:r>
      <w:r w:rsidR="00E8128F">
        <w:rPr>
          <w:sz w:val="36"/>
          <w:szCs w:val="36"/>
          <w:rtl/>
        </w:rPr>
        <w:t xml:space="preserve"> </w:t>
      </w:r>
      <w:r w:rsidR="00AC3F24" w:rsidRPr="00FD211F">
        <w:rPr>
          <w:sz w:val="36"/>
          <w:szCs w:val="36"/>
          <w:rtl/>
        </w:rPr>
        <w:t>اخف</w:t>
      </w:r>
      <w:r w:rsidR="00E8128F">
        <w:rPr>
          <w:sz w:val="36"/>
          <w:szCs w:val="36"/>
          <w:rtl/>
        </w:rPr>
        <w:t xml:space="preserve"> </w:t>
      </w:r>
      <w:r w:rsidR="00AC3F24" w:rsidRPr="00FD211F">
        <w:rPr>
          <w:sz w:val="36"/>
          <w:szCs w:val="36"/>
          <w:rtl/>
        </w:rPr>
        <w:t>مما</w:t>
      </w:r>
      <w:r w:rsidR="00E8128F">
        <w:rPr>
          <w:sz w:val="36"/>
          <w:szCs w:val="36"/>
          <w:rtl/>
        </w:rPr>
        <w:t xml:space="preserve"> </w:t>
      </w:r>
      <w:r w:rsidR="00AC3F24" w:rsidRPr="00FD211F">
        <w:rPr>
          <w:sz w:val="36"/>
          <w:szCs w:val="36"/>
          <w:rtl/>
        </w:rPr>
        <w:t>لو</w:t>
      </w:r>
      <w:r w:rsidR="00E8128F">
        <w:rPr>
          <w:sz w:val="36"/>
          <w:szCs w:val="36"/>
          <w:rtl/>
        </w:rPr>
        <w:t xml:space="preserve"> </w:t>
      </w:r>
      <w:r w:rsidR="00AC3F24" w:rsidRPr="00FD211F">
        <w:rPr>
          <w:sz w:val="36"/>
          <w:szCs w:val="36"/>
          <w:rtl/>
        </w:rPr>
        <w:t>قيل</w:t>
      </w:r>
      <w:r w:rsidR="00E8128F">
        <w:rPr>
          <w:sz w:val="36"/>
          <w:szCs w:val="36"/>
          <w:rtl/>
        </w:rPr>
        <w:t xml:space="preserve"> </w:t>
      </w:r>
      <w:r w:rsidR="00E66E56" w:rsidRPr="00FD211F">
        <w:rPr>
          <w:sz w:val="36"/>
          <w:szCs w:val="36"/>
          <w:rtl/>
        </w:rPr>
        <w:t>"</w:t>
      </w:r>
      <w:r w:rsidRPr="00FD211F">
        <w:rPr>
          <w:sz w:val="36"/>
          <w:szCs w:val="36"/>
          <w:rtl/>
        </w:rPr>
        <w:t>الجدار</w:t>
      </w:r>
      <w:r w:rsidR="00E8128F">
        <w:rPr>
          <w:sz w:val="36"/>
          <w:szCs w:val="36"/>
          <w:rtl/>
        </w:rPr>
        <w:t xml:space="preserve"> </w:t>
      </w:r>
      <w:r w:rsidRPr="00FD211F">
        <w:rPr>
          <w:sz w:val="36"/>
          <w:szCs w:val="36"/>
          <w:rtl/>
        </w:rPr>
        <w:t>انسان</w:t>
      </w:r>
      <w:r w:rsidR="00E8128F">
        <w:rPr>
          <w:sz w:val="36"/>
          <w:szCs w:val="36"/>
          <w:rtl/>
        </w:rPr>
        <w:t xml:space="preserve"> </w:t>
      </w:r>
      <w:r w:rsidRPr="00FD211F">
        <w:rPr>
          <w:sz w:val="36"/>
          <w:szCs w:val="36"/>
          <w:rtl/>
        </w:rPr>
        <w:t>له</w:t>
      </w:r>
      <w:r w:rsidR="00E8128F">
        <w:rPr>
          <w:sz w:val="36"/>
          <w:szCs w:val="36"/>
          <w:rtl/>
        </w:rPr>
        <w:t xml:space="preserve"> </w:t>
      </w:r>
      <w:r w:rsidR="00577BCA" w:rsidRPr="00FD211F">
        <w:rPr>
          <w:sz w:val="36"/>
          <w:szCs w:val="36"/>
          <w:rtl/>
        </w:rPr>
        <w:t>الضحك</w:t>
      </w:r>
      <w:r w:rsidR="00E66E56" w:rsidRPr="00FD211F">
        <w:rPr>
          <w:sz w:val="36"/>
          <w:szCs w:val="36"/>
          <w:rtl/>
        </w:rPr>
        <w:t>"</w:t>
      </w:r>
      <w:r w:rsidR="00603323" w:rsidRPr="00FD211F">
        <w:rPr>
          <w:sz w:val="36"/>
          <w:szCs w:val="36"/>
          <w:rtl/>
        </w:rPr>
        <w:t>،</w:t>
      </w:r>
      <w:r w:rsidR="00E8128F">
        <w:rPr>
          <w:sz w:val="36"/>
          <w:szCs w:val="36"/>
          <w:rtl/>
        </w:rPr>
        <w:t xml:space="preserve"> </w:t>
      </w:r>
      <w:r w:rsidR="00AC3F24" w:rsidRPr="00FD211F">
        <w:rPr>
          <w:sz w:val="36"/>
          <w:szCs w:val="36"/>
          <w:rtl/>
        </w:rPr>
        <w:t>بل</w:t>
      </w:r>
      <w:r w:rsidR="00E8128F">
        <w:rPr>
          <w:sz w:val="36"/>
          <w:szCs w:val="36"/>
          <w:rtl/>
        </w:rPr>
        <w:t xml:space="preserve"> </w:t>
      </w:r>
      <w:r w:rsidR="00577BCA" w:rsidRPr="00FD211F">
        <w:rPr>
          <w:sz w:val="36"/>
          <w:szCs w:val="36"/>
          <w:rtl/>
        </w:rPr>
        <w:t>يكون</w:t>
      </w:r>
      <w:r w:rsidR="00E8128F">
        <w:rPr>
          <w:sz w:val="36"/>
          <w:szCs w:val="36"/>
          <w:rtl/>
        </w:rPr>
        <w:t xml:space="preserve"> </w:t>
      </w:r>
      <w:r w:rsidR="00AC3F24" w:rsidRPr="00FD211F">
        <w:rPr>
          <w:sz w:val="36"/>
          <w:szCs w:val="36"/>
          <w:rtl/>
        </w:rPr>
        <w:t>هذا</w:t>
      </w:r>
      <w:r w:rsidR="00E8128F">
        <w:rPr>
          <w:sz w:val="36"/>
          <w:szCs w:val="36"/>
          <w:rtl/>
        </w:rPr>
        <w:t xml:space="preserve"> </w:t>
      </w:r>
      <w:r w:rsidR="00AC3F24" w:rsidRPr="00FD211F">
        <w:rPr>
          <w:sz w:val="36"/>
          <w:szCs w:val="36"/>
          <w:rtl/>
        </w:rPr>
        <w:t>القول</w:t>
      </w:r>
      <w:r w:rsidR="00E8128F">
        <w:rPr>
          <w:sz w:val="36"/>
          <w:szCs w:val="36"/>
          <w:rtl/>
        </w:rPr>
        <w:t xml:space="preserve"> </w:t>
      </w:r>
      <w:r w:rsidR="00AC3F24" w:rsidRPr="00FD211F">
        <w:rPr>
          <w:sz w:val="36"/>
          <w:szCs w:val="36"/>
          <w:rtl/>
        </w:rPr>
        <w:t>الثاني</w:t>
      </w:r>
      <w:r w:rsidR="00E8128F">
        <w:rPr>
          <w:sz w:val="36"/>
          <w:szCs w:val="36"/>
          <w:rtl/>
        </w:rPr>
        <w:t xml:space="preserve"> </w:t>
      </w:r>
      <w:r w:rsidR="00AC3F24" w:rsidRPr="00FD211F">
        <w:rPr>
          <w:sz w:val="36"/>
          <w:szCs w:val="36"/>
          <w:rtl/>
        </w:rPr>
        <w:t>مشتملا</w:t>
      </w:r>
      <w:r w:rsidR="00E8128F">
        <w:rPr>
          <w:sz w:val="36"/>
          <w:szCs w:val="36"/>
          <w:rtl/>
        </w:rPr>
        <w:t xml:space="preserve"> </w:t>
      </w:r>
      <w:r w:rsidR="00AC3F24" w:rsidRPr="00FD211F">
        <w:rPr>
          <w:sz w:val="36"/>
          <w:szCs w:val="36"/>
          <w:rtl/>
        </w:rPr>
        <w:t>على</w:t>
      </w:r>
      <w:r w:rsidR="00E8128F">
        <w:rPr>
          <w:sz w:val="36"/>
          <w:szCs w:val="36"/>
          <w:rtl/>
        </w:rPr>
        <w:t xml:space="preserve"> </w:t>
      </w:r>
      <w:r w:rsidR="00AC3F24" w:rsidRPr="00FD211F">
        <w:rPr>
          <w:sz w:val="36"/>
          <w:szCs w:val="36"/>
          <w:rtl/>
        </w:rPr>
        <w:t>التهافت</w:t>
      </w:r>
      <w:r w:rsidR="00E8128F">
        <w:rPr>
          <w:sz w:val="36"/>
          <w:szCs w:val="36"/>
          <w:rtl/>
        </w:rPr>
        <w:t xml:space="preserve"> </w:t>
      </w:r>
      <w:r w:rsidR="00AC3F24" w:rsidRPr="00FD211F">
        <w:rPr>
          <w:sz w:val="36"/>
          <w:szCs w:val="36"/>
          <w:rtl/>
        </w:rPr>
        <w:t>التصوري</w:t>
      </w:r>
      <w:r w:rsidR="00E8128F">
        <w:rPr>
          <w:sz w:val="36"/>
          <w:szCs w:val="36"/>
          <w:rtl/>
        </w:rPr>
        <w:t xml:space="preserve"> </w:t>
      </w:r>
      <w:r w:rsidR="00577BCA" w:rsidRPr="00FD211F">
        <w:rPr>
          <w:sz w:val="36"/>
          <w:szCs w:val="36"/>
          <w:rtl/>
        </w:rPr>
        <w:t>بلحاظ</w:t>
      </w:r>
      <w:r w:rsidR="00E8128F">
        <w:rPr>
          <w:sz w:val="36"/>
          <w:szCs w:val="36"/>
          <w:rtl/>
        </w:rPr>
        <w:t xml:space="preserve"> </w:t>
      </w:r>
      <w:r w:rsidR="00577BCA" w:rsidRPr="00FD211F">
        <w:rPr>
          <w:sz w:val="36"/>
          <w:szCs w:val="36"/>
          <w:rtl/>
        </w:rPr>
        <w:t>الجمع</w:t>
      </w:r>
      <w:r w:rsidR="00E8128F">
        <w:rPr>
          <w:sz w:val="36"/>
          <w:szCs w:val="36"/>
          <w:rtl/>
        </w:rPr>
        <w:t xml:space="preserve"> </w:t>
      </w:r>
      <w:r w:rsidR="00577BCA" w:rsidRPr="00FD211F">
        <w:rPr>
          <w:sz w:val="36"/>
          <w:szCs w:val="36"/>
          <w:rtl/>
        </w:rPr>
        <w:t>بين</w:t>
      </w:r>
      <w:r w:rsidR="00E8128F">
        <w:rPr>
          <w:sz w:val="36"/>
          <w:szCs w:val="36"/>
          <w:rtl/>
        </w:rPr>
        <w:t xml:space="preserve"> </w:t>
      </w:r>
      <w:r w:rsidR="00577BCA" w:rsidRPr="00FD211F">
        <w:rPr>
          <w:sz w:val="36"/>
          <w:szCs w:val="36"/>
          <w:rtl/>
        </w:rPr>
        <w:t>كون</w:t>
      </w:r>
      <w:r w:rsidR="00E8128F">
        <w:rPr>
          <w:sz w:val="36"/>
          <w:szCs w:val="36"/>
          <w:rtl/>
        </w:rPr>
        <w:t xml:space="preserve"> </w:t>
      </w:r>
      <w:r w:rsidR="008D7B3D" w:rsidRPr="00FD211F">
        <w:rPr>
          <w:sz w:val="36"/>
          <w:szCs w:val="36"/>
          <w:rtl/>
        </w:rPr>
        <w:t>شيء</w:t>
      </w:r>
      <w:r w:rsidR="00E8128F">
        <w:rPr>
          <w:sz w:val="36"/>
          <w:szCs w:val="36"/>
          <w:rtl/>
        </w:rPr>
        <w:t xml:space="preserve"> </w:t>
      </w:r>
      <w:r w:rsidR="00577BCA" w:rsidRPr="00FD211F">
        <w:rPr>
          <w:sz w:val="36"/>
          <w:szCs w:val="36"/>
          <w:rtl/>
        </w:rPr>
        <w:t>جدارا</w:t>
      </w:r>
      <w:r w:rsidR="00E8128F">
        <w:rPr>
          <w:sz w:val="36"/>
          <w:szCs w:val="36"/>
          <w:rtl/>
        </w:rPr>
        <w:t xml:space="preserve"> </w:t>
      </w:r>
      <w:r w:rsidR="00577BCA" w:rsidRPr="00FD211F">
        <w:rPr>
          <w:sz w:val="36"/>
          <w:szCs w:val="36"/>
          <w:rtl/>
        </w:rPr>
        <w:t>وانسانا</w:t>
      </w:r>
      <w:r w:rsidR="00AC3F24" w:rsidRPr="00FD211F">
        <w:rPr>
          <w:sz w:val="36"/>
          <w:szCs w:val="36"/>
          <w:rtl/>
        </w:rPr>
        <w:t>.</w:t>
      </w:r>
    </w:p>
    <w:p w14:paraId="223C5B4B" w14:textId="77777777" w:rsidR="009937F5" w:rsidRPr="00FD211F" w:rsidRDefault="00DA3D0F" w:rsidP="009C58C8">
      <w:pPr>
        <w:ind w:left="0" w:firstLine="227"/>
        <w:jc w:val="both"/>
        <w:rPr>
          <w:sz w:val="36"/>
          <w:szCs w:val="36"/>
          <w:rtl/>
        </w:rPr>
      </w:pPr>
      <w:r w:rsidRPr="00FD211F">
        <w:rPr>
          <w:sz w:val="36"/>
          <w:szCs w:val="36"/>
          <w:rtl/>
        </w:rPr>
        <w:t>وعليه</w:t>
      </w:r>
      <w:r w:rsidR="00E8128F">
        <w:rPr>
          <w:sz w:val="36"/>
          <w:szCs w:val="36"/>
          <w:rtl/>
        </w:rPr>
        <w:t xml:space="preserve"> </w:t>
      </w:r>
      <w:r w:rsidR="009937F5" w:rsidRPr="00FD211F">
        <w:rPr>
          <w:sz w:val="36"/>
          <w:szCs w:val="36"/>
          <w:rtl/>
        </w:rPr>
        <w:t>فالمأخوذ</w:t>
      </w:r>
      <w:r w:rsidR="00E8128F">
        <w:rPr>
          <w:sz w:val="36"/>
          <w:szCs w:val="36"/>
          <w:rtl/>
        </w:rPr>
        <w:t xml:space="preserve"> </w:t>
      </w:r>
      <w:r w:rsidR="009937F5" w:rsidRPr="00FD211F">
        <w:rPr>
          <w:sz w:val="36"/>
          <w:szCs w:val="36"/>
          <w:rtl/>
        </w:rPr>
        <w:t>في</w:t>
      </w:r>
      <w:r w:rsidR="00E8128F">
        <w:rPr>
          <w:sz w:val="36"/>
          <w:szCs w:val="36"/>
          <w:rtl/>
        </w:rPr>
        <w:t xml:space="preserve"> </w:t>
      </w:r>
      <w:r w:rsidR="009937F5" w:rsidRPr="00FD211F">
        <w:rPr>
          <w:sz w:val="36"/>
          <w:szCs w:val="36"/>
          <w:rtl/>
        </w:rPr>
        <w:t>المشتق</w:t>
      </w:r>
      <w:r w:rsidR="00E8128F">
        <w:rPr>
          <w:sz w:val="36"/>
          <w:szCs w:val="36"/>
          <w:rtl/>
        </w:rPr>
        <w:t xml:space="preserve"> </w:t>
      </w:r>
      <w:r w:rsidR="009937F5" w:rsidRPr="00FD211F">
        <w:rPr>
          <w:sz w:val="36"/>
          <w:szCs w:val="36"/>
          <w:rtl/>
        </w:rPr>
        <w:t>بالتحليل</w:t>
      </w:r>
      <w:r w:rsidR="00E8128F">
        <w:rPr>
          <w:sz w:val="36"/>
          <w:szCs w:val="36"/>
          <w:rtl/>
        </w:rPr>
        <w:t xml:space="preserve"> </w:t>
      </w:r>
      <w:r w:rsidRPr="00FD211F">
        <w:rPr>
          <w:sz w:val="36"/>
          <w:szCs w:val="36"/>
          <w:rtl/>
        </w:rPr>
        <w:t>العقلي</w:t>
      </w:r>
      <w:r w:rsidR="00E8128F">
        <w:rPr>
          <w:sz w:val="36"/>
          <w:szCs w:val="36"/>
          <w:rtl/>
        </w:rPr>
        <w:t xml:space="preserve"> </w:t>
      </w:r>
      <w:r w:rsidR="009937F5" w:rsidRPr="00FD211F">
        <w:rPr>
          <w:sz w:val="36"/>
          <w:szCs w:val="36"/>
          <w:rtl/>
        </w:rPr>
        <w:t>هو</w:t>
      </w:r>
      <w:r w:rsidR="00E8128F">
        <w:rPr>
          <w:sz w:val="36"/>
          <w:szCs w:val="36"/>
          <w:rtl/>
        </w:rPr>
        <w:t xml:space="preserve"> </w:t>
      </w:r>
      <w:r w:rsidR="009937F5" w:rsidRPr="00FD211F">
        <w:rPr>
          <w:sz w:val="36"/>
          <w:szCs w:val="36"/>
          <w:rtl/>
        </w:rPr>
        <w:t>مفهوم</w:t>
      </w:r>
      <w:r w:rsidR="00E8128F">
        <w:rPr>
          <w:sz w:val="36"/>
          <w:szCs w:val="36"/>
          <w:rtl/>
        </w:rPr>
        <w:t xml:space="preserve"> </w:t>
      </w:r>
      <w:r w:rsidR="009937F5" w:rsidRPr="00FD211F">
        <w:rPr>
          <w:sz w:val="36"/>
          <w:szCs w:val="36"/>
          <w:rtl/>
        </w:rPr>
        <w:t>ال</w:t>
      </w:r>
      <w:r w:rsidR="008D7B3D" w:rsidRPr="00FD211F">
        <w:rPr>
          <w:sz w:val="36"/>
          <w:szCs w:val="36"/>
          <w:rtl/>
        </w:rPr>
        <w:t>شيء</w:t>
      </w:r>
      <w:r w:rsidR="00E8128F">
        <w:rPr>
          <w:sz w:val="36"/>
          <w:szCs w:val="36"/>
          <w:rtl/>
        </w:rPr>
        <w:t xml:space="preserve"> </w:t>
      </w:r>
      <w:r w:rsidR="009937F5" w:rsidRPr="00FD211F">
        <w:rPr>
          <w:sz w:val="36"/>
          <w:szCs w:val="36"/>
          <w:rtl/>
        </w:rPr>
        <w:t>المنتسب</w:t>
      </w:r>
      <w:r w:rsidR="00E8128F">
        <w:rPr>
          <w:sz w:val="36"/>
          <w:szCs w:val="36"/>
          <w:rtl/>
        </w:rPr>
        <w:t xml:space="preserve"> </w:t>
      </w:r>
      <w:r w:rsidR="009937F5" w:rsidRPr="00FD211F">
        <w:rPr>
          <w:sz w:val="36"/>
          <w:szCs w:val="36"/>
          <w:rtl/>
        </w:rPr>
        <w:t>اليه</w:t>
      </w:r>
      <w:r w:rsidR="00E8128F">
        <w:rPr>
          <w:sz w:val="36"/>
          <w:szCs w:val="36"/>
          <w:rtl/>
        </w:rPr>
        <w:t xml:space="preserve"> </w:t>
      </w:r>
      <w:r w:rsidR="009937F5" w:rsidRPr="00FD211F">
        <w:rPr>
          <w:sz w:val="36"/>
          <w:szCs w:val="36"/>
          <w:rtl/>
        </w:rPr>
        <w:t>ال</w:t>
      </w:r>
      <w:r w:rsidR="0079493B" w:rsidRPr="00FD211F">
        <w:rPr>
          <w:sz w:val="36"/>
          <w:szCs w:val="36"/>
          <w:rtl/>
        </w:rPr>
        <w:t>مبدأ</w:t>
      </w:r>
      <w:r w:rsidR="00603323" w:rsidRPr="00FD211F">
        <w:rPr>
          <w:sz w:val="36"/>
          <w:szCs w:val="36"/>
          <w:rtl/>
        </w:rPr>
        <w:t>،</w:t>
      </w:r>
      <w:r w:rsidR="00E8128F">
        <w:rPr>
          <w:sz w:val="36"/>
          <w:szCs w:val="36"/>
          <w:rtl/>
        </w:rPr>
        <w:t xml:space="preserve"> </w:t>
      </w:r>
      <w:r w:rsidRPr="00FD211F">
        <w:rPr>
          <w:sz w:val="36"/>
          <w:szCs w:val="36"/>
          <w:rtl/>
        </w:rPr>
        <w:t>نعم</w:t>
      </w:r>
      <w:r w:rsidR="00E8128F">
        <w:rPr>
          <w:sz w:val="36"/>
          <w:szCs w:val="36"/>
          <w:rtl/>
        </w:rPr>
        <w:t xml:space="preserve"> </w:t>
      </w:r>
      <w:r w:rsidR="009937F5" w:rsidRPr="00FD211F">
        <w:rPr>
          <w:sz w:val="36"/>
          <w:szCs w:val="36"/>
          <w:rtl/>
        </w:rPr>
        <w:t>قد</w:t>
      </w:r>
      <w:r w:rsidR="00E8128F">
        <w:rPr>
          <w:sz w:val="36"/>
          <w:szCs w:val="36"/>
          <w:rtl/>
        </w:rPr>
        <w:t xml:space="preserve"> </w:t>
      </w:r>
      <w:r w:rsidR="009937F5" w:rsidRPr="00FD211F">
        <w:rPr>
          <w:sz w:val="36"/>
          <w:szCs w:val="36"/>
          <w:rtl/>
        </w:rPr>
        <w:t>يكون</w:t>
      </w:r>
      <w:r w:rsidR="00E8128F">
        <w:rPr>
          <w:sz w:val="36"/>
          <w:szCs w:val="36"/>
          <w:rtl/>
        </w:rPr>
        <w:t xml:space="preserve"> </w:t>
      </w:r>
      <w:r w:rsidR="009937F5" w:rsidRPr="00FD211F">
        <w:rPr>
          <w:sz w:val="36"/>
          <w:szCs w:val="36"/>
          <w:rtl/>
        </w:rPr>
        <w:t>بعض</w:t>
      </w:r>
      <w:r w:rsidR="00E8128F">
        <w:rPr>
          <w:sz w:val="36"/>
          <w:szCs w:val="36"/>
          <w:rtl/>
        </w:rPr>
        <w:t xml:space="preserve"> </w:t>
      </w:r>
      <w:r w:rsidR="009937F5" w:rsidRPr="00FD211F">
        <w:rPr>
          <w:sz w:val="36"/>
          <w:szCs w:val="36"/>
          <w:rtl/>
        </w:rPr>
        <w:t>الجوامد</w:t>
      </w:r>
      <w:r w:rsidR="00E8128F">
        <w:rPr>
          <w:sz w:val="36"/>
          <w:szCs w:val="36"/>
          <w:rtl/>
        </w:rPr>
        <w:t xml:space="preserve"> </w:t>
      </w:r>
      <w:r w:rsidR="009937F5" w:rsidRPr="00FD211F">
        <w:rPr>
          <w:sz w:val="36"/>
          <w:szCs w:val="36"/>
          <w:rtl/>
        </w:rPr>
        <w:t>كال</w:t>
      </w:r>
      <w:r w:rsidR="00B5743E" w:rsidRPr="00FD211F">
        <w:rPr>
          <w:sz w:val="36"/>
          <w:szCs w:val="36"/>
          <w:rtl/>
        </w:rPr>
        <w:t>سيف</w:t>
      </w:r>
      <w:r w:rsidR="00E8128F">
        <w:rPr>
          <w:sz w:val="36"/>
          <w:szCs w:val="36"/>
          <w:rtl/>
        </w:rPr>
        <w:t xml:space="preserve"> </w:t>
      </w:r>
      <w:r w:rsidR="009937F5" w:rsidRPr="00FD211F">
        <w:rPr>
          <w:sz w:val="36"/>
          <w:szCs w:val="36"/>
          <w:rtl/>
        </w:rPr>
        <w:t>موضوعا</w:t>
      </w:r>
      <w:r w:rsidR="00E8128F">
        <w:rPr>
          <w:sz w:val="36"/>
          <w:szCs w:val="36"/>
          <w:rtl/>
        </w:rPr>
        <w:t xml:space="preserve"> </w:t>
      </w:r>
      <w:r w:rsidR="009937F5" w:rsidRPr="00FD211F">
        <w:rPr>
          <w:sz w:val="36"/>
          <w:szCs w:val="36"/>
          <w:rtl/>
        </w:rPr>
        <w:t>لواقع</w:t>
      </w:r>
      <w:r w:rsidR="00E8128F">
        <w:rPr>
          <w:sz w:val="36"/>
          <w:szCs w:val="36"/>
          <w:rtl/>
        </w:rPr>
        <w:t xml:space="preserve"> </w:t>
      </w:r>
      <w:r w:rsidR="009937F5" w:rsidRPr="00FD211F">
        <w:rPr>
          <w:sz w:val="36"/>
          <w:szCs w:val="36"/>
          <w:rtl/>
        </w:rPr>
        <w:t>ا</w:t>
      </w:r>
      <w:r w:rsidRPr="00FD211F">
        <w:rPr>
          <w:sz w:val="36"/>
          <w:szCs w:val="36"/>
          <w:rtl/>
        </w:rPr>
        <w:t>ل</w:t>
      </w:r>
      <w:r w:rsidR="008D7B3D" w:rsidRPr="00FD211F">
        <w:rPr>
          <w:sz w:val="36"/>
          <w:szCs w:val="36"/>
          <w:rtl/>
        </w:rPr>
        <w:t>شيء</w:t>
      </w:r>
      <w:r w:rsidR="00E8128F">
        <w:rPr>
          <w:sz w:val="36"/>
          <w:szCs w:val="36"/>
          <w:rtl/>
        </w:rPr>
        <w:t xml:space="preserve"> </w:t>
      </w:r>
      <w:r w:rsidRPr="00FD211F">
        <w:rPr>
          <w:sz w:val="36"/>
          <w:szCs w:val="36"/>
          <w:rtl/>
        </w:rPr>
        <w:t>المتصف</w:t>
      </w:r>
      <w:r w:rsidR="00E8128F">
        <w:rPr>
          <w:sz w:val="36"/>
          <w:szCs w:val="36"/>
          <w:rtl/>
        </w:rPr>
        <w:t xml:space="preserve"> </w:t>
      </w:r>
      <w:r w:rsidRPr="00FD211F">
        <w:rPr>
          <w:sz w:val="36"/>
          <w:szCs w:val="36"/>
          <w:rtl/>
        </w:rPr>
        <w:t>بال</w:t>
      </w:r>
      <w:r w:rsidR="00B5743E" w:rsidRPr="00FD211F">
        <w:rPr>
          <w:sz w:val="36"/>
          <w:szCs w:val="36"/>
          <w:rtl/>
        </w:rPr>
        <w:t>سيفي</w:t>
      </w:r>
      <w:r w:rsidR="00EC7EDF" w:rsidRPr="00FD211F">
        <w:rPr>
          <w:sz w:val="36"/>
          <w:szCs w:val="36"/>
          <w:rtl/>
        </w:rPr>
        <w:t>ة</w:t>
      </w:r>
      <w:r w:rsidR="00E8128F">
        <w:rPr>
          <w:sz w:val="36"/>
          <w:szCs w:val="36"/>
          <w:rtl/>
        </w:rPr>
        <w:t xml:space="preserve"> </w:t>
      </w:r>
      <w:r w:rsidR="00B5743E" w:rsidRPr="00FD211F">
        <w:rPr>
          <w:sz w:val="36"/>
          <w:szCs w:val="36"/>
          <w:rtl/>
        </w:rPr>
        <w:t>وهو</w:t>
      </w:r>
      <w:r w:rsidR="00E8128F">
        <w:rPr>
          <w:sz w:val="36"/>
          <w:szCs w:val="36"/>
          <w:rtl/>
        </w:rPr>
        <w:t xml:space="preserve"> </w:t>
      </w:r>
      <w:r w:rsidR="00B5743E" w:rsidRPr="00FD211F">
        <w:rPr>
          <w:sz w:val="36"/>
          <w:szCs w:val="36"/>
          <w:rtl/>
        </w:rPr>
        <w:t>الحديد</w:t>
      </w:r>
      <w:r w:rsidR="00603323" w:rsidRPr="00FD211F">
        <w:rPr>
          <w:sz w:val="36"/>
          <w:szCs w:val="36"/>
          <w:rtl/>
        </w:rPr>
        <w:t>،</w:t>
      </w:r>
      <w:r w:rsidR="00E8128F">
        <w:rPr>
          <w:sz w:val="36"/>
          <w:szCs w:val="36"/>
          <w:rtl/>
        </w:rPr>
        <w:t xml:space="preserve"> </w:t>
      </w:r>
      <w:r w:rsidRPr="00FD211F">
        <w:rPr>
          <w:sz w:val="36"/>
          <w:szCs w:val="36"/>
          <w:rtl/>
        </w:rPr>
        <w:t>ولكن</w:t>
      </w:r>
      <w:r w:rsidR="00E8128F">
        <w:rPr>
          <w:sz w:val="36"/>
          <w:szCs w:val="36"/>
          <w:rtl/>
        </w:rPr>
        <w:t xml:space="preserve"> </w:t>
      </w:r>
      <w:r w:rsidRPr="00FD211F">
        <w:rPr>
          <w:sz w:val="36"/>
          <w:szCs w:val="36"/>
          <w:rtl/>
        </w:rPr>
        <w:t>الكلام</w:t>
      </w:r>
      <w:r w:rsidR="00E8128F">
        <w:rPr>
          <w:sz w:val="36"/>
          <w:szCs w:val="36"/>
          <w:rtl/>
        </w:rPr>
        <w:t xml:space="preserve"> </w:t>
      </w:r>
      <w:r w:rsidRPr="00FD211F">
        <w:rPr>
          <w:sz w:val="36"/>
          <w:szCs w:val="36"/>
          <w:rtl/>
        </w:rPr>
        <w:t>هنا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الاسم</w:t>
      </w:r>
      <w:r w:rsidR="00E8128F">
        <w:rPr>
          <w:sz w:val="36"/>
          <w:szCs w:val="36"/>
          <w:rtl/>
        </w:rPr>
        <w:t xml:space="preserve"> </w:t>
      </w:r>
      <w:r w:rsidRPr="00FD211F">
        <w:rPr>
          <w:sz w:val="36"/>
          <w:szCs w:val="36"/>
          <w:rtl/>
        </w:rPr>
        <w:t>الجامد</w:t>
      </w:r>
      <w:r w:rsidR="009937F5" w:rsidRPr="00FD211F">
        <w:rPr>
          <w:sz w:val="36"/>
          <w:szCs w:val="36"/>
          <w:rtl/>
        </w:rPr>
        <w:t>.</w:t>
      </w:r>
    </w:p>
    <w:p w14:paraId="0087159B" w14:textId="77777777" w:rsidR="00B5743E" w:rsidRPr="00FD211F" w:rsidRDefault="00DA3D0F" w:rsidP="009C58C8">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وذكر</w:t>
      </w:r>
      <w:r w:rsidR="00E8128F">
        <w:rPr>
          <w:sz w:val="36"/>
          <w:szCs w:val="36"/>
          <w:rtl/>
        </w:rPr>
        <w:t xml:space="preserve"> </w:t>
      </w:r>
      <w:r w:rsidR="009937F5" w:rsidRPr="00FD211F">
        <w:rPr>
          <w:sz w:val="36"/>
          <w:szCs w:val="36"/>
          <w:rtl/>
        </w:rPr>
        <w:t>في</w:t>
      </w:r>
      <w:r w:rsidR="00E8128F">
        <w:rPr>
          <w:sz w:val="36"/>
          <w:szCs w:val="36"/>
          <w:rtl/>
        </w:rPr>
        <w:t xml:space="preserve"> </w:t>
      </w:r>
      <w:r w:rsidR="009937F5" w:rsidRPr="00FD211F">
        <w:rPr>
          <w:sz w:val="36"/>
          <w:szCs w:val="36"/>
          <w:rtl/>
        </w:rPr>
        <w:t>البحوث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الخارج</w:t>
      </w:r>
      <w:r w:rsidR="00E8128F">
        <w:rPr>
          <w:sz w:val="36"/>
          <w:szCs w:val="36"/>
          <w:rtl/>
        </w:rPr>
        <w:t xml:space="preserve"> </w:t>
      </w:r>
      <w:r w:rsidRPr="00FD211F">
        <w:rPr>
          <w:sz w:val="36"/>
          <w:szCs w:val="36"/>
          <w:rtl/>
        </w:rPr>
        <w:t>المحمول</w:t>
      </w:r>
      <w:r w:rsidR="00E8128F">
        <w:rPr>
          <w:sz w:val="36"/>
          <w:szCs w:val="36"/>
          <w:rtl/>
        </w:rPr>
        <w:t xml:space="preserve"> </w:t>
      </w:r>
      <w:r w:rsidRPr="00FD211F">
        <w:rPr>
          <w:sz w:val="36"/>
          <w:szCs w:val="36"/>
          <w:rtl/>
        </w:rPr>
        <w:t>بالضميم</w:t>
      </w:r>
      <w:r w:rsidR="00EC7EDF" w:rsidRPr="00FD211F">
        <w:rPr>
          <w:sz w:val="36"/>
          <w:szCs w:val="36"/>
          <w:rtl/>
        </w:rPr>
        <w:t>ة</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قولنا</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ابيض</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حمله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بملاحظ</w:t>
      </w:r>
      <w:r w:rsidR="00EC7EDF" w:rsidRPr="00FD211F">
        <w:rPr>
          <w:sz w:val="36"/>
          <w:szCs w:val="36"/>
          <w:rtl/>
        </w:rPr>
        <w:t>ة</w:t>
      </w:r>
      <w:r w:rsidR="00E8128F">
        <w:rPr>
          <w:sz w:val="36"/>
          <w:szCs w:val="36"/>
          <w:rtl/>
        </w:rPr>
        <w:t xml:space="preserve"> </w:t>
      </w:r>
      <w:r w:rsidRPr="00FD211F">
        <w:rPr>
          <w:sz w:val="36"/>
          <w:szCs w:val="36"/>
          <w:rtl/>
        </w:rPr>
        <w:t>ضميم</w:t>
      </w:r>
      <w:r w:rsidR="00EC7EDF" w:rsidRPr="00FD211F">
        <w:rPr>
          <w:sz w:val="36"/>
          <w:szCs w:val="36"/>
          <w:rtl/>
        </w:rPr>
        <w:t>ة</w:t>
      </w:r>
      <w:r w:rsidR="00E8128F">
        <w:rPr>
          <w:sz w:val="36"/>
          <w:szCs w:val="36"/>
          <w:rtl/>
        </w:rPr>
        <w:t xml:space="preserve"> </w:t>
      </w:r>
      <w:r w:rsidRPr="00FD211F">
        <w:rPr>
          <w:sz w:val="36"/>
          <w:szCs w:val="36"/>
          <w:rtl/>
        </w:rPr>
        <w:t>البياض</w:t>
      </w:r>
      <w:r w:rsidR="00E8128F">
        <w:rPr>
          <w:sz w:val="36"/>
          <w:szCs w:val="36"/>
          <w:rtl/>
        </w:rPr>
        <w:t xml:space="preserve"> </w:t>
      </w:r>
      <w:r w:rsidRPr="00FD211F">
        <w:rPr>
          <w:sz w:val="36"/>
          <w:szCs w:val="36"/>
          <w:rtl/>
        </w:rPr>
        <w:t>اليه</w:t>
      </w:r>
      <w:r w:rsidR="00E8128F">
        <w:rPr>
          <w:sz w:val="36"/>
          <w:szCs w:val="36"/>
          <w:rtl/>
        </w:rPr>
        <w:t xml:space="preserve"> </w:t>
      </w:r>
      <w:r w:rsidRPr="00FD211F">
        <w:rPr>
          <w:sz w:val="36"/>
          <w:szCs w:val="36"/>
          <w:rtl/>
        </w:rPr>
        <w:t>الذي</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خارج</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ذاته</w:t>
      </w:r>
      <w:r w:rsidR="00E8128F">
        <w:rPr>
          <w:sz w:val="36"/>
          <w:szCs w:val="36"/>
          <w:rtl/>
        </w:rPr>
        <w:t xml:space="preserve"> </w:t>
      </w:r>
      <w:r w:rsidR="00B5743E" w:rsidRPr="00FD211F">
        <w:rPr>
          <w:sz w:val="36"/>
          <w:szCs w:val="36"/>
          <w:rtl/>
        </w:rPr>
        <w:t>و</w:t>
      </w:r>
      <w:r w:rsidRPr="00FD211F">
        <w:rPr>
          <w:sz w:val="36"/>
          <w:szCs w:val="36"/>
          <w:rtl/>
        </w:rPr>
        <w:t>يكون</w:t>
      </w:r>
      <w:r w:rsidR="00E8128F">
        <w:rPr>
          <w:sz w:val="36"/>
          <w:szCs w:val="36"/>
          <w:rtl/>
        </w:rPr>
        <w:t xml:space="preserve"> </w:t>
      </w:r>
      <w:r w:rsidR="00577BCA" w:rsidRPr="00FD211F">
        <w:rPr>
          <w:sz w:val="36"/>
          <w:szCs w:val="36"/>
          <w:rtl/>
        </w:rPr>
        <w:t>ال</w:t>
      </w:r>
      <w:r w:rsidRPr="00FD211F">
        <w:rPr>
          <w:sz w:val="36"/>
          <w:szCs w:val="36"/>
          <w:rtl/>
        </w:rPr>
        <w:t>بياض</w:t>
      </w:r>
      <w:r w:rsidR="00E8128F">
        <w:rPr>
          <w:sz w:val="36"/>
          <w:szCs w:val="36"/>
          <w:rtl/>
        </w:rPr>
        <w:t xml:space="preserve"> </w:t>
      </w:r>
      <w:r w:rsidRPr="00FD211F">
        <w:rPr>
          <w:sz w:val="36"/>
          <w:szCs w:val="36"/>
          <w:rtl/>
        </w:rPr>
        <w:t>مثلا</w:t>
      </w:r>
      <w:r w:rsidR="00E8128F">
        <w:rPr>
          <w:sz w:val="36"/>
          <w:szCs w:val="36"/>
          <w:rtl/>
        </w:rPr>
        <w:t xml:space="preserve"> </w:t>
      </w:r>
      <w:r w:rsidRPr="00FD211F">
        <w:rPr>
          <w:sz w:val="36"/>
          <w:szCs w:val="36"/>
          <w:rtl/>
        </w:rPr>
        <w:t>موجودا</w:t>
      </w:r>
      <w:r w:rsidR="00E8128F">
        <w:rPr>
          <w:sz w:val="36"/>
          <w:szCs w:val="36"/>
          <w:rtl/>
        </w:rPr>
        <w:t xml:space="preserve"> </w:t>
      </w:r>
      <w:r w:rsidRPr="00FD211F">
        <w:rPr>
          <w:sz w:val="36"/>
          <w:szCs w:val="36"/>
          <w:rtl/>
        </w:rPr>
        <w:t>مستقلا</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بنظر</w:t>
      </w:r>
      <w:r w:rsidR="00E8128F">
        <w:rPr>
          <w:sz w:val="36"/>
          <w:szCs w:val="36"/>
          <w:rtl/>
        </w:rPr>
        <w:t xml:space="preserve"> </w:t>
      </w:r>
      <w:r w:rsidRPr="00FD211F">
        <w:rPr>
          <w:sz w:val="36"/>
          <w:szCs w:val="36"/>
          <w:rtl/>
        </w:rPr>
        <w:t>العرف</w:t>
      </w:r>
      <w:r w:rsidR="00E8128F">
        <w:rPr>
          <w:sz w:val="36"/>
          <w:szCs w:val="36"/>
          <w:rtl/>
        </w:rPr>
        <w:t xml:space="preserve"> </w:t>
      </w:r>
      <w:r w:rsidRPr="00FD211F">
        <w:rPr>
          <w:sz w:val="36"/>
          <w:szCs w:val="36"/>
          <w:rtl/>
        </w:rPr>
        <w:t>فلامحال</w:t>
      </w:r>
      <w:r w:rsidR="00EC7EDF" w:rsidRPr="00FD211F">
        <w:rPr>
          <w:sz w:val="36"/>
          <w:szCs w:val="36"/>
          <w:rtl/>
        </w:rPr>
        <w:t>ة</w:t>
      </w:r>
      <w:r w:rsidR="00E8128F">
        <w:rPr>
          <w:sz w:val="36"/>
          <w:szCs w:val="36"/>
          <w:rtl/>
        </w:rPr>
        <w:t xml:space="preserve"> </w:t>
      </w:r>
      <w:r w:rsidRPr="00FD211F">
        <w:rPr>
          <w:sz w:val="36"/>
          <w:szCs w:val="36"/>
          <w:rtl/>
        </w:rPr>
        <w:t>يحتاج</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حمله</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تركيب</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ينطبق</w:t>
      </w:r>
      <w:r w:rsidR="00E8128F">
        <w:rPr>
          <w:sz w:val="36"/>
          <w:szCs w:val="36"/>
          <w:rtl/>
        </w:rPr>
        <w:t xml:space="preserve"> </w:t>
      </w:r>
      <w:r w:rsidRPr="00FD211F">
        <w:rPr>
          <w:sz w:val="36"/>
          <w:szCs w:val="36"/>
          <w:rtl/>
        </w:rPr>
        <w:t>عليه</w:t>
      </w:r>
      <w:r w:rsidR="00603323" w:rsidRPr="00FD211F">
        <w:rPr>
          <w:sz w:val="36"/>
          <w:szCs w:val="36"/>
          <w:rtl/>
        </w:rPr>
        <w:t>،</w:t>
      </w:r>
      <w:r w:rsidR="00E8128F">
        <w:rPr>
          <w:sz w:val="36"/>
          <w:szCs w:val="36"/>
          <w:rtl/>
        </w:rPr>
        <w:t xml:space="preserve"> </w:t>
      </w:r>
      <w:r w:rsidRPr="00FD211F">
        <w:rPr>
          <w:sz w:val="36"/>
          <w:szCs w:val="36"/>
          <w:rtl/>
        </w:rPr>
        <w:t>واما</w:t>
      </w:r>
      <w:r w:rsidR="00E8128F">
        <w:rPr>
          <w:sz w:val="36"/>
          <w:szCs w:val="36"/>
          <w:rtl/>
        </w:rPr>
        <w:t xml:space="preserve"> </w:t>
      </w:r>
      <w:r w:rsidRPr="00FD211F">
        <w:rPr>
          <w:sz w:val="36"/>
          <w:szCs w:val="36"/>
          <w:rtl/>
        </w:rPr>
        <w:t>في</w:t>
      </w:r>
      <w:r w:rsidR="00E8128F">
        <w:rPr>
          <w:sz w:val="36"/>
          <w:szCs w:val="36"/>
          <w:rtl/>
        </w:rPr>
        <w:t xml:space="preserve"> </w:t>
      </w:r>
      <w:r w:rsidR="00B5743E" w:rsidRPr="00FD211F">
        <w:rPr>
          <w:sz w:val="36"/>
          <w:szCs w:val="36"/>
          <w:rtl/>
        </w:rPr>
        <w:t>ذاتي</w:t>
      </w:r>
      <w:r w:rsidR="00E8128F">
        <w:rPr>
          <w:sz w:val="36"/>
          <w:szCs w:val="36"/>
          <w:rtl/>
        </w:rPr>
        <w:t xml:space="preserve"> </w:t>
      </w:r>
      <w:r w:rsidR="00B5743E" w:rsidRPr="00FD211F">
        <w:rPr>
          <w:sz w:val="36"/>
          <w:szCs w:val="36"/>
          <w:rtl/>
        </w:rPr>
        <w:t>باب</w:t>
      </w:r>
      <w:r w:rsidR="00E8128F">
        <w:rPr>
          <w:sz w:val="36"/>
          <w:szCs w:val="36"/>
          <w:rtl/>
        </w:rPr>
        <w:t xml:space="preserve"> </w:t>
      </w:r>
      <w:r w:rsidR="00B5743E" w:rsidRPr="00FD211F">
        <w:rPr>
          <w:sz w:val="36"/>
          <w:szCs w:val="36"/>
          <w:rtl/>
        </w:rPr>
        <w:t>الكليات</w:t>
      </w:r>
      <w:r w:rsidR="00E8128F">
        <w:rPr>
          <w:sz w:val="36"/>
          <w:szCs w:val="36"/>
          <w:rtl/>
        </w:rPr>
        <w:t xml:space="preserve"> </w:t>
      </w:r>
      <w:r w:rsidR="00B5743E" w:rsidRPr="00FD211F">
        <w:rPr>
          <w:sz w:val="36"/>
          <w:szCs w:val="36"/>
          <w:rtl/>
        </w:rPr>
        <w:t>الخمس</w:t>
      </w:r>
      <w:r w:rsidR="00E8128F">
        <w:rPr>
          <w:sz w:val="36"/>
          <w:szCs w:val="36"/>
          <w:rtl/>
        </w:rPr>
        <w:t xml:space="preserve"> </w:t>
      </w:r>
      <w:r w:rsidR="00B5743E" w:rsidRPr="00FD211F">
        <w:rPr>
          <w:sz w:val="36"/>
          <w:szCs w:val="36"/>
          <w:rtl/>
        </w:rPr>
        <w:t>كقولنا</w:t>
      </w:r>
      <w:r w:rsidR="00C47877" w:rsidRPr="00FD211F">
        <w:rPr>
          <w:sz w:val="36"/>
          <w:szCs w:val="36"/>
          <w:rtl/>
        </w:rPr>
        <w:t>"</w:t>
      </w:r>
      <w:r w:rsidR="00E8128F">
        <w:rPr>
          <w:sz w:val="36"/>
          <w:szCs w:val="36"/>
          <w:rtl/>
        </w:rPr>
        <w:t xml:space="preserve"> </w:t>
      </w:r>
      <w:r w:rsidR="00B5743E" w:rsidRPr="00FD211F">
        <w:rPr>
          <w:sz w:val="36"/>
          <w:szCs w:val="36"/>
          <w:rtl/>
        </w:rPr>
        <w:t>الانسان</w:t>
      </w:r>
      <w:r w:rsidR="00E8128F">
        <w:rPr>
          <w:sz w:val="36"/>
          <w:szCs w:val="36"/>
          <w:rtl/>
        </w:rPr>
        <w:t xml:space="preserve"> </w:t>
      </w:r>
      <w:r w:rsidR="00B5743E" w:rsidRPr="00FD211F">
        <w:rPr>
          <w:sz w:val="36"/>
          <w:szCs w:val="36"/>
          <w:rtl/>
        </w:rPr>
        <w:t>انسان</w:t>
      </w:r>
      <w:r w:rsidR="00C47877" w:rsidRPr="00FD211F">
        <w:rPr>
          <w:sz w:val="36"/>
          <w:szCs w:val="36"/>
          <w:rtl/>
        </w:rPr>
        <w:t>"</w:t>
      </w:r>
      <w:r w:rsidR="00E8128F">
        <w:rPr>
          <w:sz w:val="36"/>
          <w:szCs w:val="36"/>
          <w:rtl/>
        </w:rPr>
        <w:t xml:space="preserve"> </w:t>
      </w:r>
      <w:r w:rsidR="00B5743E" w:rsidRPr="00FD211F">
        <w:rPr>
          <w:sz w:val="36"/>
          <w:szCs w:val="36"/>
          <w:rtl/>
        </w:rPr>
        <w:t>او</w:t>
      </w:r>
      <w:r w:rsidR="00E8128F">
        <w:rPr>
          <w:sz w:val="36"/>
          <w:szCs w:val="36"/>
          <w:rtl/>
        </w:rPr>
        <w:t xml:space="preserve"> </w:t>
      </w:r>
      <w:r w:rsidR="00B5743E" w:rsidRPr="00FD211F">
        <w:rPr>
          <w:sz w:val="36"/>
          <w:szCs w:val="36"/>
          <w:rtl/>
        </w:rPr>
        <w:t>ذاتي</w:t>
      </w:r>
      <w:r w:rsidR="00E8128F">
        <w:rPr>
          <w:sz w:val="36"/>
          <w:szCs w:val="36"/>
          <w:rtl/>
        </w:rPr>
        <w:t xml:space="preserve"> </w:t>
      </w:r>
      <w:r w:rsidR="00B5743E" w:rsidRPr="00FD211F">
        <w:rPr>
          <w:sz w:val="36"/>
          <w:szCs w:val="36"/>
          <w:rtl/>
        </w:rPr>
        <w:t>باب</w:t>
      </w:r>
      <w:r w:rsidR="00E8128F">
        <w:rPr>
          <w:sz w:val="36"/>
          <w:szCs w:val="36"/>
          <w:rtl/>
        </w:rPr>
        <w:t xml:space="preserve"> </w:t>
      </w:r>
      <w:r w:rsidR="00B5743E" w:rsidRPr="00FD211F">
        <w:rPr>
          <w:sz w:val="36"/>
          <w:szCs w:val="36"/>
          <w:rtl/>
        </w:rPr>
        <w:t>البرهان</w:t>
      </w:r>
      <w:r w:rsidR="00E8128F">
        <w:rPr>
          <w:sz w:val="36"/>
          <w:szCs w:val="36"/>
          <w:rtl/>
        </w:rPr>
        <w:t xml:space="preserve"> </w:t>
      </w:r>
      <w:r w:rsidR="00B5743E" w:rsidRPr="00FD211F">
        <w:rPr>
          <w:sz w:val="36"/>
          <w:szCs w:val="36"/>
          <w:rtl/>
        </w:rPr>
        <w:t>كقولنا</w:t>
      </w:r>
      <w:r w:rsidR="00E8128F">
        <w:rPr>
          <w:sz w:val="36"/>
          <w:szCs w:val="36"/>
          <w:rtl/>
        </w:rPr>
        <w:t xml:space="preserve"> </w:t>
      </w:r>
      <w:r w:rsidR="00C47877" w:rsidRPr="00FD211F">
        <w:rPr>
          <w:sz w:val="36"/>
          <w:szCs w:val="36"/>
          <w:rtl/>
        </w:rPr>
        <w:t>"</w:t>
      </w:r>
      <w:r w:rsidR="00C91489" w:rsidRPr="00FD211F">
        <w:rPr>
          <w:sz w:val="36"/>
          <w:szCs w:val="36"/>
          <w:rtl/>
        </w:rPr>
        <w:t>الانسان</w:t>
      </w:r>
      <w:r w:rsidR="00E8128F">
        <w:rPr>
          <w:sz w:val="36"/>
          <w:szCs w:val="36"/>
          <w:rtl/>
        </w:rPr>
        <w:t xml:space="preserve"> </w:t>
      </w:r>
      <w:r w:rsidR="00B5743E" w:rsidRPr="00FD211F">
        <w:rPr>
          <w:sz w:val="36"/>
          <w:szCs w:val="36"/>
          <w:rtl/>
        </w:rPr>
        <w:t>شيئ</w:t>
      </w:r>
      <w:r w:rsidR="00C47877" w:rsidRPr="00FD211F">
        <w:rPr>
          <w:sz w:val="36"/>
          <w:szCs w:val="36"/>
          <w:rtl/>
        </w:rPr>
        <w:t>"</w:t>
      </w:r>
      <w:r w:rsidR="00E8128F">
        <w:rPr>
          <w:sz w:val="36"/>
          <w:szCs w:val="36"/>
          <w:rtl/>
        </w:rPr>
        <w:t xml:space="preserve"> </w:t>
      </w:r>
      <w:r w:rsidR="00B5743E" w:rsidRPr="00FD211F">
        <w:rPr>
          <w:sz w:val="36"/>
          <w:szCs w:val="36"/>
          <w:rtl/>
        </w:rPr>
        <w:t>او</w:t>
      </w:r>
      <w:r w:rsidR="00C47877" w:rsidRPr="00FD211F">
        <w:rPr>
          <w:sz w:val="36"/>
          <w:szCs w:val="36"/>
          <w:rtl/>
        </w:rPr>
        <w:t>قولنا"</w:t>
      </w:r>
      <w:r w:rsidR="00E8128F">
        <w:rPr>
          <w:sz w:val="36"/>
          <w:szCs w:val="36"/>
          <w:rtl/>
        </w:rPr>
        <w:t xml:space="preserve"> </w:t>
      </w:r>
      <w:r w:rsidR="00B5743E" w:rsidRPr="00FD211F">
        <w:rPr>
          <w:sz w:val="36"/>
          <w:szCs w:val="36"/>
          <w:rtl/>
        </w:rPr>
        <w:t>الاربع</w:t>
      </w:r>
      <w:r w:rsidR="00EC7EDF" w:rsidRPr="00FD211F">
        <w:rPr>
          <w:sz w:val="36"/>
          <w:szCs w:val="36"/>
          <w:rtl/>
        </w:rPr>
        <w:t>ة</w:t>
      </w:r>
      <w:r w:rsidR="00E8128F">
        <w:rPr>
          <w:sz w:val="36"/>
          <w:szCs w:val="36"/>
          <w:rtl/>
        </w:rPr>
        <w:t xml:space="preserve"> </w:t>
      </w:r>
      <w:r w:rsidR="00B5743E" w:rsidRPr="00FD211F">
        <w:rPr>
          <w:sz w:val="36"/>
          <w:szCs w:val="36"/>
          <w:rtl/>
        </w:rPr>
        <w:t>زوج</w:t>
      </w:r>
      <w:r w:rsidR="00C47877" w:rsidRPr="00FD211F">
        <w:rPr>
          <w:sz w:val="36"/>
          <w:szCs w:val="36"/>
          <w:rtl/>
        </w:rPr>
        <w:t>"</w:t>
      </w:r>
      <w:r w:rsidR="00E8128F">
        <w:rPr>
          <w:sz w:val="36"/>
          <w:szCs w:val="36"/>
          <w:rtl/>
        </w:rPr>
        <w:t xml:space="preserve"> </w:t>
      </w:r>
      <w:r w:rsidR="00B5743E" w:rsidRPr="00FD211F">
        <w:rPr>
          <w:sz w:val="36"/>
          <w:szCs w:val="36"/>
          <w:rtl/>
        </w:rPr>
        <w:t>فحيث</w:t>
      </w:r>
      <w:r w:rsidR="00E8128F">
        <w:rPr>
          <w:sz w:val="36"/>
          <w:szCs w:val="36"/>
          <w:rtl/>
        </w:rPr>
        <w:t xml:space="preserve"> </w:t>
      </w:r>
      <w:r w:rsidR="00DC0002" w:rsidRPr="00FD211F">
        <w:rPr>
          <w:sz w:val="36"/>
          <w:szCs w:val="36"/>
          <w:rtl/>
        </w:rPr>
        <w:t>لاوجود</w:t>
      </w:r>
      <w:r w:rsidR="00E8128F">
        <w:rPr>
          <w:sz w:val="36"/>
          <w:szCs w:val="36"/>
          <w:rtl/>
        </w:rPr>
        <w:t xml:space="preserve"> </w:t>
      </w:r>
      <w:r w:rsidRPr="00FD211F">
        <w:rPr>
          <w:sz w:val="36"/>
          <w:szCs w:val="36"/>
          <w:rtl/>
        </w:rPr>
        <w:t>لل</w:t>
      </w:r>
      <w:r w:rsidR="00DC0002" w:rsidRPr="00FD211F">
        <w:rPr>
          <w:sz w:val="36"/>
          <w:szCs w:val="36"/>
          <w:rtl/>
        </w:rPr>
        <w:t>محمول</w:t>
      </w:r>
      <w:r w:rsidR="00E8128F">
        <w:rPr>
          <w:sz w:val="36"/>
          <w:szCs w:val="36"/>
          <w:rtl/>
        </w:rPr>
        <w:t xml:space="preserve"> </w:t>
      </w:r>
      <w:r w:rsidR="00DC0002" w:rsidRPr="00FD211F">
        <w:rPr>
          <w:sz w:val="36"/>
          <w:szCs w:val="36"/>
          <w:rtl/>
        </w:rPr>
        <w:t>زائدا</w:t>
      </w:r>
      <w:r w:rsidR="00E8128F">
        <w:rPr>
          <w:sz w:val="36"/>
          <w:szCs w:val="36"/>
          <w:rtl/>
        </w:rPr>
        <w:t xml:space="preserve"> </w:t>
      </w:r>
      <w:r w:rsidR="00DC0002" w:rsidRPr="00FD211F">
        <w:rPr>
          <w:sz w:val="36"/>
          <w:szCs w:val="36"/>
          <w:rtl/>
        </w:rPr>
        <w:t>على</w:t>
      </w:r>
      <w:r w:rsidR="00E8128F">
        <w:rPr>
          <w:sz w:val="36"/>
          <w:szCs w:val="36"/>
          <w:rtl/>
        </w:rPr>
        <w:t xml:space="preserve"> </w:t>
      </w:r>
      <w:r w:rsidR="00DC0002" w:rsidRPr="00FD211F">
        <w:rPr>
          <w:sz w:val="36"/>
          <w:szCs w:val="36"/>
          <w:rtl/>
        </w:rPr>
        <w:t>وجودالموضوع</w:t>
      </w:r>
      <w:r w:rsidR="00603323" w:rsidRPr="00FD211F">
        <w:rPr>
          <w:sz w:val="36"/>
          <w:szCs w:val="36"/>
          <w:rtl/>
        </w:rPr>
        <w:t>،</w:t>
      </w:r>
      <w:r w:rsidR="00E8128F">
        <w:rPr>
          <w:sz w:val="36"/>
          <w:szCs w:val="36"/>
          <w:rtl/>
        </w:rPr>
        <w:t xml:space="preserve"> </w:t>
      </w:r>
      <w:r w:rsidR="00DC0002" w:rsidRPr="00FD211F">
        <w:rPr>
          <w:sz w:val="36"/>
          <w:szCs w:val="36"/>
          <w:rtl/>
        </w:rPr>
        <w:t>فلاوجود</w:t>
      </w:r>
      <w:r w:rsidR="00E8128F">
        <w:rPr>
          <w:sz w:val="36"/>
          <w:szCs w:val="36"/>
          <w:rtl/>
        </w:rPr>
        <w:t xml:space="preserve"> </w:t>
      </w:r>
      <w:r w:rsidR="00DC0002" w:rsidRPr="00FD211F">
        <w:rPr>
          <w:sz w:val="36"/>
          <w:szCs w:val="36"/>
          <w:rtl/>
        </w:rPr>
        <w:t>للانساني</w:t>
      </w:r>
      <w:r w:rsidR="00EC7EDF" w:rsidRPr="00FD211F">
        <w:rPr>
          <w:sz w:val="36"/>
          <w:szCs w:val="36"/>
          <w:rtl/>
        </w:rPr>
        <w:t>ة</w:t>
      </w:r>
      <w:r w:rsidR="00E8128F">
        <w:rPr>
          <w:sz w:val="36"/>
          <w:szCs w:val="36"/>
          <w:rtl/>
        </w:rPr>
        <w:t xml:space="preserve"> </w:t>
      </w:r>
      <w:r w:rsidR="00C91489" w:rsidRPr="00FD211F">
        <w:rPr>
          <w:sz w:val="36"/>
          <w:szCs w:val="36"/>
          <w:rtl/>
        </w:rPr>
        <w:t>وراء</w:t>
      </w:r>
      <w:r w:rsidR="00E8128F">
        <w:rPr>
          <w:sz w:val="36"/>
          <w:szCs w:val="36"/>
          <w:rtl/>
        </w:rPr>
        <w:t xml:space="preserve"> </w:t>
      </w:r>
      <w:r w:rsidR="00C91489" w:rsidRPr="00FD211F">
        <w:rPr>
          <w:sz w:val="36"/>
          <w:szCs w:val="36"/>
          <w:rtl/>
        </w:rPr>
        <w:t>وجود</w:t>
      </w:r>
      <w:r w:rsidR="00E8128F">
        <w:rPr>
          <w:sz w:val="36"/>
          <w:szCs w:val="36"/>
          <w:rtl/>
        </w:rPr>
        <w:t xml:space="preserve"> </w:t>
      </w:r>
      <w:r w:rsidR="00C91489" w:rsidRPr="00FD211F">
        <w:rPr>
          <w:sz w:val="36"/>
          <w:szCs w:val="36"/>
          <w:rtl/>
        </w:rPr>
        <w:t>الانسان</w:t>
      </w:r>
      <w:r w:rsidR="00E8128F">
        <w:rPr>
          <w:sz w:val="36"/>
          <w:szCs w:val="36"/>
          <w:rtl/>
        </w:rPr>
        <w:t xml:space="preserve"> </w:t>
      </w:r>
      <w:r w:rsidRPr="00FD211F">
        <w:rPr>
          <w:sz w:val="36"/>
          <w:szCs w:val="36"/>
          <w:rtl/>
        </w:rPr>
        <w:t>فلامحال</w:t>
      </w:r>
      <w:r w:rsidR="00EC7EDF" w:rsidRPr="00FD211F">
        <w:rPr>
          <w:sz w:val="36"/>
          <w:szCs w:val="36"/>
          <w:rtl/>
        </w:rPr>
        <w:t>ة</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ل</w:t>
      </w:r>
      <w:r w:rsidR="00E00C6F" w:rsidRPr="00FD211F">
        <w:rPr>
          <w:sz w:val="36"/>
          <w:szCs w:val="36"/>
          <w:rtl/>
        </w:rPr>
        <w:t>وحظ</w:t>
      </w:r>
      <w:r w:rsidR="00E8128F">
        <w:rPr>
          <w:sz w:val="36"/>
          <w:szCs w:val="36"/>
          <w:rtl/>
        </w:rPr>
        <w:t xml:space="preserve"> </w:t>
      </w:r>
      <w:r w:rsidR="00E00C6F" w:rsidRPr="00FD211F">
        <w:rPr>
          <w:sz w:val="36"/>
          <w:szCs w:val="36"/>
          <w:rtl/>
        </w:rPr>
        <w:t>الانسان</w:t>
      </w:r>
      <w:r w:rsidR="00E8128F">
        <w:rPr>
          <w:sz w:val="36"/>
          <w:szCs w:val="36"/>
          <w:rtl/>
        </w:rPr>
        <w:t xml:space="preserve"> </w:t>
      </w:r>
      <w:r w:rsidR="00E00C6F" w:rsidRPr="00FD211F">
        <w:rPr>
          <w:sz w:val="36"/>
          <w:szCs w:val="36"/>
          <w:rtl/>
        </w:rPr>
        <w:t>بما</w:t>
      </w:r>
      <w:r w:rsidR="00E8128F">
        <w:rPr>
          <w:sz w:val="36"/>
          <w:szCs w:val="36"/>
          <w:rtl/>
        </w:rPr>
        <w:t xml:space="preserve"> </w:t>
      </w:r>
      <w:r w:rsidR="00E00C6F" w:rsidRPr="00FD211F">
        <w:rPr>
          <w:sz w:val="36"/>
          <w:szCs w:val="36"/>
          <w:rtl/>
        </w:rPr>
        <w:t>هو</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الواقع</w:t>
      </w:r>
      <w:r w:rsidR="00E8128F">
        <w:rPr>
          <w:sz w:val="36"/>
          <w:szCs w:val="36"/>
          <w:rtl/>
        </w:rPr>
        <w:t xml:space="preserve"> </w:t>
      </w:r>
      <w:r w:rsidRPr="00FD211F">
        <w:rPr>
          <w:sz w:val="36"/>
          <w:szCs w:val="36"/>
          <w:rtl/>
        </w:rPr>
        <w:t>انتزع</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الانسان</w:t>
      </w:r>
      <w:r w:rsidR="00E8128F">
        <w:rPr>
          <w:sz w:val="36"/>
          <w:szCs w:val="36"/>
          <w:rtl/>
        </w:rPr>
        <w:t xml:space="preserve"> </w:t>
      </w:r>
      <w:r w:rsidR="00C91489" w:rsidRPr="00FD211F">
        <w:rPr>
          <w:sz w:val="36"/>
          <w:szCs w:val="36"/>
          <w:rtl/>
        </w:rPr>
        <w:t>عنه</w:t>
      </w:r>
      <w:r w:rsidR="00603323" w:rsidRPr="00FD211F">
        <w:rPr>
          <w:sz w:val="36"/>
          <w:szCs w:val="36"/>
          <w:rtl/>
        </w:rPr>
        <w:t>،</w:t>
      </w:r>
      <w:r w:rsidR="00E8128F">
        <w:rPr>
          <w:sz w:val="36"/>
          <w:szCs w:val="36"/>
          <w:rtl/>
        </w:rPr>
        <w:t xml:space="preserve"> </w:t>
      </w:r>
      <w:r w:rsidRPr="00FD211F">
        <w:rPr>
          <w:sz w:val="36"/>
          <w:szCs w:val="36"/>
          <w:rtl/>
        </w:rPr>
        <w:t>كما</w:t>
      </w:r>
      <w:r w:rsidR="00E8128F">
        <w:rPr>
          <w:sz w:val="36"/>
          <w:szCs w:val="36"/>
          <w:rtl/>
        </w:rPr>
        <w:t xml:space="preserve"> </w:t>
      </w:r>
      <w:r w:rsidRPr="00FD211F">
        <w:rPr>
          <w:sz w:val="36"/>
          <w:szCs w:val="36"/>
          <w:rtl/>
        </w:rPr>
        <w:t>يم</w:t>
      </w:r>
      <w:r w:rsidR="006F2C1F" w:rsidRPr="00FD211F">
        <w:rPr>
          <w:sz w:val="36"/>
          <w:szCs w:val="36"/>
          <w:rtl/>
        </w:rPr>
        <w:t>كن</w:t>
      </w:r>
      <w:r w:rsidR="00E8128F">
        <w:rPr>
          <w:sz w:val="36"/>
          <w:szCs w:val="36"/>
          <w:rtl/>
        </w:rPr>
        <w:t xml:space="preserve"> </w:t>
      </w:r>
      <w:r w:rsidR="006F2C1F" w:rsidRPr="00FD211F">
        <w:rPr>
          <w:sz w:val="36"/>
          <w:szCs w:val="36"/>
          <w:rtl/>
        </w:rPr>
        <w:t>للذهن</w:t>
      </w:r>
      <w:r w:rsidR="00E8128F">
        <w:rPr>
          <w:sz w:val="36"/>
          <w:szCs w:val="36"/>
          <w:rtl/>
        </w:rPr>
        <w:t xml:space="preserve"> </w:t>
      </w:r>
      <w:r w:rsidR="006F2C1F" w:rsidRPr="00FD211F">
        <w:rPr>
          <w:sz w:val="36"/>
          <w:szCs w:val="36"/>
          <w:rtl/>
        </w:rPr>
        <w:t>بالتعمل</w:t>
      </w:r>
      <w:r w:rsidR="00E8128F">
        <w:rPr>
          <w:sz w:val="36"/>
          <w:szCs w:val="36"/>
          <w:rtl/>
        </w:rPr>
        <w:t xml:space="preserve"> </w:t>
      </w:r>
      <w:r w:rsidR="006F2C1F" w:rsidRPr="00FD211F">
        <w:rPr>
          <w:sz w:val="36"/>
          <w:szCs w:val="36"/>
          <w:rtl/>
        </w:rPr>
        <w:t>العقلي</w:t>
      </w:r>
      <w:r w:rsidR="00E8128F">
        <w:rPr>
          <w:sz w:val="36"/>
          <w:szCs w:val="36"/>
          <w:rtl/>
        </w:rPr>
        <w:t xml:space="preserve"> </w:t>
      </w:r>
      <w:r w:rsidR="006F2C1F" w:rsidRPr="00FD211F">
        <w:rPr>
          <w:sz w:val="36"/>
          <w:szCs w:val="36"/>
          <w:rtl/>
        </w:rPr>
        <w:t>تجزئته</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ذات</w:t>
      </w:r>
      <w:r w:rsidR="00E8128F">
        <w:rPr>
          <w:sz w:val="36"/>
          <w:szCs w:val="36"/>
          <w:rtl/>
        </w:rPr>
        <w:t xml:space="preserve"> </w:t>
      </w:r>
      <w:r w:rsidRPr="00FD211F">
        <w:rPr>
          <w:sz w:val="36"/>
          <w:szCs w:val="36"/>
          <w:rtl/>
        </w:rPr>
        <w:t>وانساني</w:t>
      </w:r>
      <w:r w:rsidR="00EC7EDF" w:rsidRPr="00FD211F">
        <w:rPr>
          <w:sz w:val="36"/>
          <w:szCs w:val="36"/>
          <w:rtl/>
        </w:rPr>
        <w:t>ة</w:t>
      </w:r>
      <w:r w:rsidR="00E8128F">
        <w:rPr>
          <w:sz w:val="36"/>
          <w:szCs w:val="36"/>
          <w:rtl/>
        </w:rPr>
        <w:t xml:space="preserve"> </w:t>
      </w:r>
      <w:r w:rsidRPr="00FD211F">
        <w:rPr>
          <w:sz w:val="36"/>
          <w:szCs w:val="36"/>
          <w:rtl/>
        </w:rPr>
        <w:t>او</w:t>
      </w:r>
      <w:r w:rsidR="00E8128F">
        <w:rPr>
          <w:sz w:val="36"/>
          <w:szCs w:val="36"/>
          <w:rtl/>
        </w:rPr>
        <w:t xml:space="preserve"> </w:t>
      </w:r>
      <w:r w:rsidR="00B5743E" w:rsidRPr="00FD211F">
        <w:rPr>
          <w:sz w:val="36"/>
          <w:szCs w:val="36"/>
          <w:rtl/>
        </w:rPr>
        <w:t>ذات</w:t>
      </w:r>
      <w:r w:rsidR="00E8128F">
        <w:rPr>
          <w:sz w:val="36"/>
          <w:szCs w:val="36"/>
          <w:rtl/>
        </w:rPr>
        <w:t xml:space="preserve"> </w:t>
      </w:r>
      <w:r w:rsidR="00B5743E" w:rsidRPr="00FD211F">
        <w:rPr>
          <w:sz w:val="36"/>
          <w:szCs w:val="36"/>
          <w:rtl/>
        </w:rPr>
        <w:t>و</w:t>
      </w:r>
      <w:r w:rsidRPr="00FD211F">
        <w:rPr>
          <w:sz w:val="36"/>
          <w:szCs w:val="36"/>
          <w:rtl/>
        </w:rPr>
        <w:t>شيئي</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فيعتبر</w:t>
      </w:r>
      <w:r w:rsidR="00E8128F">
        <w:rPr>
          <w:sz w:val="36"/>
          <w:szCs w:val="36"/>
          <w:rtl/>
        </w:rPr>
        <w:t xml:space="preserve"> </w:t>
      </w:r>
      <w:r w:rsidRPr="00FD211F">
        <w:rPr>
          <w:sz w:val="36"/>
          <w:szCs w:val="36"/>
          <w:rtl/>
        </w:rPr>
        <w:t>حينئذ</w:t>
      </w:r>
      <w:r w:rsidR="00E8128F">
        <w:rPr>
          <w:sz w:val="36"/>
          <w:szCs w:val="36"/>
          <w:rtl/>
        </w:rPr>
        <w:t xml:space="preserve"> </w:t>
      </w:r>
      <w:r w:rsidRPr="00FD211F">
        <w:rPr>
          <w:sz w:val="36"/>
          <w:szCs w:val="36"/>
          <w:rtl/>
        </w:rPr>
        <w:t>مصادر</w:t>
      </w:r>
      <w:r w:rsidR="00E8128F">
        <w:rPr>
          <w:sz w:val="36"/>
          <w:szCs w:val="36"/>
          <w:rtl/>
        </w:rPr>
        <w:t xml:space="preserve"> </w:t>
      </w:r>
      <w:r w:rsidRPr="00FD211F">
        <w:rPr>
          <w:sz w:val="36"/>
          <w:szCs w:val="36"/>
          <w:rtl/>
        </w:rPr>
        <w:t>جعلي</w:t>
      </w:r>
      <w:r w:rsidR="00EC7EDF" w:rsidRPr="00FD211F">
        <w:rPr>
          <w:sz w:val="36"/>
          <w:szCs w:val="36"/>
          <w:rtl/>
        </w:rPr>
        <w:t>ة</w:t>
      </w:r>
      <w:r w:rsidR="00603323" w:rsidRPr="00FD211F">
        <w:rPr>
          <w:sz w:val="36"/>
          <w:szCs w:val="36"/>
          <w:rtl/>
        </w:rPr>
        <w:t>،</w:t>
      </w:r>
      <w:r w:rsidR="00E8128F">
        <w:rPr>
          <w:sz w:val="36"/>
          <w:szCs w:val="36"/>
          <w:rtl/>
        </w:rPr>
        <w:t xml:space="preserve"> </w:t>
      </w:r>
      <w:r w:rsidR="00B5743E" w:rsidRPr="00FD211F">
        <w:rPr>
          <w:sz w:val="36"/>
          <w:szCs w:val="36"/>
          <w:rtl/>
        </w:rPr>
        <w:t>فن</w:t>
      </w:r>
      <w:r w:rsidRPr="00FD211F">
        <w:rPr>
          <w:sz w:val="36"/>
          <w:szCs w:val="36"/>
          <w:rtl/>
        </w:rPr>
        <w:t>لتزم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مفهوم</w:t>
      </w:r>
      <w:r w:rsidR="00E8128F">
        <w:rPr>
          <w:sz w:val="36"/>
          <w:szCs w:val="36"/>
          <w:rtl/>
        </w:rPr>
        <w:t xml:space="preserve"> </w:t>
      </w:r>
      <w:r w:rsidRPr="00FD211F">
        <w:rPr>
          <w:sz w:val="36"/>
          <w:szCs w:val="36"/>
          <w:rtl/>
        </w:rPr>
        <w:t>الانسان</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w:t>
      </w:r>
      <w:r w:rsidR="008D7B3D" w:rsidRPr="00FD211F">
        <w:rPr>
          <w:sz w:val="36"/>
          <w:szCs w:val="36"/>
          <w:rtl/>
        </w:rPr>
        <w:t>شيء</w:t>
      </w:r>
      <w:r w:rsidR="00E8128F">
        <w:rPr>
          <w:sz w:val="36"/>
          <w:szCs w:val="36"/>
          <w:rtl/>
        </w:rPr>
        <w:t xml:space="preserve"> </w:t>
      </w:r>
      <w:r w:rsidRPr="00FD211F">
        <w:rPr>
          <w:sz w:val="36"/>
          <w:szCs w:val="36"/>
          <w:rtl/>
        </w:rPr>
        <w:t>بعدم</w:t>
      </w:r>
      <w:r w:rsidR="00E8128F">
        <w:rPr>
          <w:sz w:val="36"/>
          <w:szCs w:val="36"/>
          <w:rtl/>
        </w:rPr>
        <w:t xml:space="preserve"> </w:t>
      </w:r>
      <w:r w:rsidRPr="00FD211F">
        <w:rPr>
          <w:sz w:val="36"/>
          <w:szCs w:val="36"/>
          <w:rtl/>
        </w:rPr>
        <w:t>التركيب</w:t>
      </w:r>
      <w:r w:rsidR="00E8128F">
        <w:rPr>
          <w:sz w:val="36"/>
          <w:szCs w:val="36"/>
          <w:rtl/>
        </w:rPr>
        <w:t xml:space="preserve"> </w:t>
      </w:r>
      <w:r w:rsidRPr="00FD211F">
        <w:rPr>
          <w:sz w:val="36"/>
          <w:szCs w:val="36"/>
          <w:rtl/>
        </w:rPr>
        <w:t>ولو</w:t>
      </w:r>
      <w:r w:rsidR="00E8128F">
        <w:rPr>
          <w:sz w:val="36"/>
          <w:szCs w:val="36"/>
          <w:rtl/>
        </w:rPr>
        <w:t xml:space="preserve"> </w:t>
      </w:r>
      <w:r w:rsidRPr="00FD211F">
        <w:rPr>
          <w:sz w:val="36"/>
          <w:szCs w:val="36"/>
          <w:rtl/>
        </w:rPr>
        <w:t>بلحاظ</w:t>
      </w:r>
      <w:r w:rsidR="00E8128F">
        <w:rPr>
          <w:sz w:val="36"/>
          <w:szCs w:val="36"/>
          <w:rtl/>
        </w:rPr>
        <w:t xml:space="preserve"> </w:t>
      </w:r>
      <w:r w:rsidRPr="00FD211F">
        <w:rPr>
          <w:sz w:val="36"/>
          <w:szCs w:val="36"/>
          <w:rtl/>
        </w:rPr>
        <w:t>مرحل</w:t>
      </w:r>
      <w:r w:rsidR="00EC7EDF" w:rsidRPr="00FD211F">
        <w:rPr>
          <w:sz w:val="36"/>
          <w:szCs w:val="36"/>
          <w:rtl/>
        </w:rPr>
        <w:t>ة</w:t>
      </w:r>
      <w:r w:rsidR="00E8128F">
        <w:rPr>
          <w:sz w:val="36"/>
          <w:szCs w:val="36"/>
          <w:rtl/>
        </w:rPr>
        <w:t xml:space="preserve"> </w:t>
      </w:r>
      <w:r w:rsidRPr="00FD211F">
        <w:rPr>
          <w:sz w:val="36"/>
          <w:szCs w:val="36"/>
          <w:rtl/>
        </w:rPr>
        <w:t>التحليل</w:t>
      </w:r>
      <w:r w:rsidR="00E8128F">
        <w:rPr>
          <w:sz w:val="36"/>
          <w:szCs w:val="36"/>
          <w:rtl/>
        </w:rPr>
        <w:t xml:space="preserve"> </w:t>
      </w:r>
      <w:r w:rsidR="00B5743E" w:rsidRPr="00FD211F">
        <w:rPr>
          <w:sz w:val="36"/>
          <w:szCs w:val="36"/>
          <w:rtl/>
        </w:rPr>
        <w:t>العقلي</w:t>
      </w:r>
      <w:r w:rsidR="00603323" w:rsidRPr="00FD211F">
        <w:rPr>
          <w:sz w:val="36"/>
          <w:szCs w:val="36"/>
          <w:rtl/>
        </w:rPr>
        <w:t>،</w:t>
      </w:r>
      <w:r w:rsidR="00E8128F">
        <w:rPr>
          <w:sz w:val="36"/>
          <w:szCs w:val="36"/>
          <w:rtl/>
        </w:rPr>
        <w:t xml:space="preserve"> </w:t>
      </w:r>
      <w:r w:rsidR="00B5743E" w:rsidRPr="00FD211F">
        <w:rPr>
          <w:sz w:val="36"/>
          <w:szCs w:val="36"/>
          <w:rtl/>
        </w:rPr>
        <w:t>وهذا</w:t>
      </w:r>
      <w:r w:rsidR="00E8128F">
        <w:rPr>
          <w:sz w:val="36"/>
          <w:szCs w:val="36"/>
          <w:rtl/>
        </w:rPr>
        <w:t xml:space="preserve"> </w:t>
      </w:r>
      <w:r w:rsidR="00B5743E" w:rsidRPr="00FD211F">
        <w:rPr>
          <w:sz w:val="36"/>
          <w:szCs w:val="36"/>
          <w:rtl/>
        </w:rPr>
        <w:t>في</w:t>
      </w:r>
      <w:r w:rsidR="00E8128F">
        <w:rPr>
          <w:sz w:val="36"/>
          <w:szCs w:val="36"/>
          <w:rtl/>
        </w:rPr>
        <w:t xml:space="preserve"> </w:t>
      </w:r>
      <w:r w:rsidR="00B5743E" w:rsidRPr="00FD211F">
        <w:rPr>
          <w:sz w:val="36"/>
          <w:szCs w:val="36"/>
          <w:rtl/>
        </w:rPr>
        <w:t>مفهوم</w:t>
      </w:r>
      <w:r w:rsidR="00E8128F">
        <w:rPr>
          <w:sz w:val="36"/>
          <w:szCs w:val="36"/>
          <w:rtl/>
        </w:rPr>
        <w:t xml:space="preserve"> </w:t>
      </w:r>
      <w:r w:rsidR="00B5743E" w:rsidRPr="00FD211F">
        <w:rPr>
          <w:sz w:val="36"/>
          <w:szCs w:val="36"/>
          <w:rtl/>
        </w:rPr>
        <w:t>ال</w:t>
      </w:r>
      <w:r w:rsidR="008D7B3D" w:rsidRPr="00FD211F">
        <w:rPr>
          <w:sz w:val="36"/>
          <w:szCs w:val="36"/>
          <w:rtl/>
        </w:rPr>
        <w:t>شيء</w:t>
      </w:r>
      <w:r w:rsidR="00E8128F">
        <w:rPr>
          <w:sz w:val="36"/>
          <w:szCs w:val="36"/>
          <w:rtl/>
        </w:rPr>
        <w:t xml:space="preserve"> </w:t>
      </w:r>
      <w:r w:rsidR="00B5743E" w:rsidRPr="00FD211F">
        <w:rPr>
          <w:sz w:val="36"/>
          <w:szCs w:val="36"/>
          <w:rtl/>
        </w:rPr>
        <w:t>واضح</w:t>
      </w:r>
      <w:r w:rsidR="00E8128F">
        <w:rPr>
          <w:sz w:val="36"/>
          <w:szCs w:val="36"/>
          <w:rtl/>
        </w:rPr>
        <w:t xml:space="preserve"> </w:t>
      </w:r>
      <w:r w:rsidR="00B5743E" w:rsidRPr="00FD211F">
        <w:rPr>
          <w:sz w:val="36"/>
          <w:szCs w:val="36"/>
          <w:rtl/>
        </w:rPr>
        <w:t>اذ</w:t>
      </w:r>
      <w:r w:rsidR="00E8128F">
        <w:rPr>
          <w:sz w:val="36"/>
          <w:szCs w:val="36"/>
          <w:rtl/>
        </w:rPr>
        <w:t xml:space="preserve"> </w:t>
      </w:r>
      <w:r w:rsidR="00B5743E" w:rsidRPr="00FD211F">
        <w:rPr>
          <w:sz w:val="36"/>
          <w:szCs w:val="36"/>
          <w:rtl/>
        </w:rPr>
        <w:t>لامفهوم</w:t>
      </w:r>
      <w:r w:rsidR="00E8128F">
        <w:rPr>
          <w:sz w:val="36"/>
          <w:szCs w:val="36"/>
          <w:rtl/>
        </w:rPr>
        <w:t xml:space="preserve"> </w:t>
      </w:r>
      <w:r w:rsidR="00B5743E" w:rsidRPr="00FD211F">
        <w:rPr>
          <w:sz w:val="36"/>
          <w:szCs w:val="36"/>
          <w:rtl/>
        </w:rPr>
        <w:t>اوضح</w:t>
      </w:r>
      <w:r w:rsidR="00E8128F">
        <w:rPr>
          <w:sz w:val="36"/>
          <w:szCs w:val="36"/>
          <w:rtl/>
        </w:rPr>
        <w:t xml:space="preserve"> </w:t>
      </w:r>
      <w:r w:rsidR="00B5743E" w:rsidRPr="00FD211F">
        <w:rPr>
          <w:sz w:val="36"/>
          <w:szCs w:val="36"/>
          <w:rtl/>
        </w:rPr>
        <w:t>منه</w:t>
      </w:r>
      <w:r w:rsidR="00E8128F">
        <w:rPr>
          <w:sz w:val="36"/>
          <w:szCs w:val="36"/>
          <w:rtl/>
        </w:rPr>
        <w:t xml:space="preserve"> </w:t>
      </w:r>
      <w:r w:rsidR="00B5743E" w:rsidRPr="00FD211F">
        <w:rPr>
          <w:sz w:val="36"/>
          <w:szCs w:val="36"/>
          <w:rtl/>
        </w:rPr>
        <w:t>كي</w:t>
      </w:r>
      <w:r w:rsidR="00E8128F">
        <w:rPr>
          <w:sz w:val="36"/>
          <w:szCs w:val="36"/>
          <w:rtl/>
        </w:rPr>
        <w:t xml:space="preserve"> </w:t>
      </w:r>
      <w:r w:rsidR="00B5743E" w:rsidRPr="00FD211F">
        <w:rPr>
          <w:sz w:val="36"/>
          <w:szCs w:val="36"/>
          <w:rtl/>
        </w:rPr>
        <w:t>يؤخذ</w:t>
      </w:r>
      <w:r w:rsidR="00E8128F">
        <w:rPr>
          <w:sz w:val="36"/>
          <w:szCs w:val="36"/>
          <w:rtl/>
        </w:rPr>
        <w:t xml:space="preserve"> </w:t>
      </w:r>
      <w:r w:rsidR="00B5743E" w:rsidRPr="00FD211F">
        <w:rPr>
          <w:sz w:val="36"/>
          <w:szCs w:val="36"/>
          <w:rtl/>
        </w:rPr>
        <w:t>في</w:t>
      </w:r>
      <w:r w:rsidR="00E8128F">
        <w:rPr>
          <w:sz w:val="36"/>
          <w:szCs w:val="36"/>
          <w:rtl/>
        </w:rPr>
        <w:t xml:space="preserve"> </w:t>
      </w:r>
      <w:r w:rsidR="00B5743E" w:rsidRPr="00FD211F">
        <w:rPr>
          <w:sz w:val="36"/>
          <w:szCs w:val="36"/>
          <w:rtl/>
        </w:rPr>
        <w:t>مدلوله.</w:t>
      </w:r>
    </w:p>
    <w:p w14:paraId="5954881D" w14:textId="77777777" w:rsidR="00F241A5" w:rsidRPr="00FD211F" w:rsidRDefault="00CC3641" w:rsidP="009C58C8">
      <w:pPr>
        <w:ind w:left="0" w:firstLine="227"/>
        <w:jc w:val="both"/>
        <w:rPr>
          <w:sz w:val="36"/>
          <w:szCs w:val="36"/>
          <w:rtl/>
        </w:rPr>
      </w:pPr>
      <w:r w:rsidRPr="00FD211F">
        <w:rPr>
          <w:sz w:val="36"/>
          <w:szCs w:val="36"/>
          <w:rtl/>
        </w:rPr>
        <w:t>ان</w:t>
      </w:r>
      <w:r w:rsidR="00E8128F">
        <w:rPr>
          <w:sz w:val="36"/>
          <w:szCs w:val="36"/>
          <w:rtl/>
        </w:rPr>
        <w:t xml:space="preserve"> </w:t>
      </w:r>
      <w:r w:rsidRPr="00FD211F">
        <w:rPr>
          <w:sz w:val="36"/>
          <w:szCs w:val="36"/>
          <w:rtl/>
        </w:rPr>
        <w:t>قلت:</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مفهوم</w:t>
      </w:r>
      <w:r w:rsidR="00E8128F">
        <w:rPr>
          <w:sz w:val="36"/>
          <w:szCs w:val="36"/>
          <w:rtl/>
        </w:rPr>
        <w:t xml:space="preserve"> </w:t>
      </w:r>
      <w:r w:rsidR="00577BCA" w:rsidRPr="00FD211F">
        <w:rPr>
          <w:sz w:val="36"/>
          <w:szCs w:val="36"/>
          <w:rtl/>
        </w:rPr>
        <w:t>"</w:t>
      </w:r>
      <w:r w:rsidR="00B5743E" w:rsidRPr="00FD211F">
        <w:rPr>
          <w:sz w:val="36"/>
          <w:szCs w:val="36"/>
          <w:rtl/>
        </w:rPr>
        <w:t>الممكن</w:t>
      </w:r>
      <w:r w:rsidR="00577BCA" w:rsidRPr="00FD211F">
        <w:rPr>
          <w:sz w:val="36"/>
          <w:szCs w:val="36"/>
          <w:rtl/>
        </w:rPr>
        <w:t>"</w:t>
      </w:r>
      <w:r w:rsidR="00E8128F">
        <w:rPr>
          <w:sz w:val="36"/>
          <w:szCs w:val="36"/>
          <w:rtl/>
        </w:rPr>
        <w:t xml:space="preserve"> </w:t>
      </w:r>
      <w:r w:rsidR="001527CB" w:rsidRPr="00FD211F">
        <w:rPr>
          <w:sz w:val="36"/>
          <w:szCs w:val="36"/>
          <w:rtl/>
        </w:rPr>
        <w:t>يكون</w:t>
      </w:r>
      <w:r w:rsidR="00E8128F">
        <w:rPr>
          <w:sz w:val="36"/>
          <w:szCs w:val="36"/>
          <w:rtl/>
        </w:rPr>
        <w:t xml:space="preserve"> </w:t>
      </w:r>
      <w:r w:rsidR="001527CB" w:rsidRPr="00FD211F">
        <w:rPr>
          <w:sz w:val="36"/>
          <w:szCs w:val="36"/>
          <w:rtl/>
        </w:rPr>
        <w:t>من</w:t>
      </w:r>
      <w:r w:rsidR="00E8128F">
        <w:rPr>
          <w:sz w:val="36"/>
          <w:szCs w:val="36"/>
          <w:rtl/>
        </w:rPr>
        <w:t xml:space="preserve"> </w:t>
      </w:r>
      <w:r w:rsidR="001527CB" w:rsidRPr="00FD211F">
        <w:rPr>
          <w:sz w:val="36"/>
          <w:szCs w:val="36"/>
          <w:rtl/>
        </w:rPr>
        <w:t>جه</w:t>
      </w:r>
      <w:r w:rsidR="00EC7EDF" w:rsidRPr="00FD211F">
        <w:rPr>
          <w:sz w:val="36"/>
          <w:szCs w:val="36"/>
          <w:rtl/>
        </w:rPr>
        <w:t>ة</w:t>
      </w:r>
      <w:r w:rsidR="00E8128F">
        <w:rPr>
          <w:sz w:val="36"/>
          <w:szCs w:val="36"/>
          <w:rtl/>
        </w:rPr>
        <w:t xml:space="preserve"> </w:t>
      </w:r>
      <w:r w:rsidRPr="00FD211F">
        <w:rPr>
          <w:sz w:val="36"/>
          <w:szCs w:val="36"/>
          <w:rtl/>
        </w:rPr>
        <w:t>ذاتي</w:t>
      </w:r>
      <w:r w:rsidR="00E8128F">
        <w:rPr>
          <w:sz w:val="36"/>
          <w:szCs w:val="36"/>
          <w:rtl/>
        </w:rPr>
        <w:t xml:space="preserve"> </w:t>
      </w:r>
      <w:r w:rsidRPr="00FD211F">
        <w:rPr>
          <w:sz w:val="36"/>
          <w:szCs w:val="36"/>
          <w:rtl/>
        </w:rPr>
        <w:t>باب</w:t>
      </w:r>
      <w:r w:rsidR="00E8128F">
        <w:rPr>
          <w:sz w:val="36"/>
          <w:szCs w:val="36"/>
          <w:rtl/>
        </w:rPr>
        <w:t xml:space="preserve"> </w:t>
      </w:r>
      <w:r w:rsidRPr="00FD211F">
        <w:rPr>
          <w:sz w:val="36"/>
          <w:szCs w:val="36"/>
          <w:rtl/>
        </w:rPr>
        <w:t>البرهان</w:t>
      </w:r>
      <w:r w:rsidR="00603323" w:rsidRPr="00FD211F">
        <w:rPr>
          <w:sz w:val="36"/>
          <w:szCs w:val="36"/>
          <w:rtl/>
        </w:rPr>
        <w:t>،</w:t>
      </w:r>
      <w:r w:rsidR="00E8128F">
        <w:rPr>
          <w:sz w:val="36"/>
          <w:szCs w:val="36"/>
          <w:rtl/>
        </w:rPr>
        <w:t xml:space="preserve"> </w:t>
      </w:r>
      <w:r w:rsidRPr="00FD211F">
        <w:rPr>
          <w:sz w:val="36"/>
          <w:szCs w:val="36"/>
          <w:rtl/>
        </w:rPr>
        <w:t>وقد</w:t>
      </w:r>
      <w:r w:rsidR="00E8128F">
        <w:rPr>
          <w:sz w:val="36"/>
          <w:szCs w:val="36"/>
          <w:rtl/>
        </w:rPr>
        <w:t xml:space="preserve"> </w:t>
      </w:r>
      <w:r w:rsidR="00DA3D0F" w:rsidRPr="00FD211F">
        <w:rPr>
          <w:sz w:val="36"/>
          <w:szCs w:val="36"/>
          <w:rtl/>
        </w:rPr>
        <w:t>التزم</w:t>
      </w:r>
      <w:r w:rsidR="00E8128F">
        <w:rPr>
          <w:sz w:val="36"/>
          <w:szCs w:val="36"/>
          <w:rtl/>
        </w:rPr>
        <w:t xml:space="preserve"> </w:t>
      </w:r>
      <w:r w:rsidR="00DA3D0F" w:rsidRPr="00FD211F">
        <w:rPr>
          <w:sz w:val="36"/>
          <w:szCs w:val="36"/>
          <w:rtl/>
        </w:rPr>
        <w:t>فيه</w:t>
      </w:r>
      <w:r w:rsidR="00E8128F">
        <w:rPr>
          <w:sz w:val="36"/>
          <w:szCs w:val="36"/>
          <w:rtl/>
        </w:rPr>
        <w:t xml:space="preserve"> </w:t>
      </w:r>
      <w:r w:rsidR="00DA3D0F" w:rsidRPr="00FD211F">
        <w:rPr>
          <w:sz w:val="36"/>
          <w:szCs w:val="36"/>
          <w:rtl/>
        </w:rPr>
        <w:t>ب</w:t>
      </w:r>
      <w:r w:rsidR="005B77FD" w:rsidRPr="00FD211F">
        <w:rPr>
          <w:sz w:val="36"/>
          <w:szCs w:val="36"/>
          <w:rtl/>
        </w:rPr>
        <w:t>كونه</w:t>
      </w:r>
      <w:r w:rsidR="00E8128F">
        <w:rPr>
          <w:sz w:val="36"/>
          <w:szCs w:val="36"/>
          <w:rtl/>
        </w:rPr>
        <w:t xml:space="preserve"> </w:t>
      </w:r>
      <w:r w:rsidR="005B77FD" w:rsidRPr="00FD211F">
        <w:rPr>
          <w:sz w:val="36"/>
          <w:szCs w:val="36"/>
          <w:rtl/>
        </w:rPr>
        <w:t>بسيطا</w:t>
      </w:r>
      <w:r w:rsidR="00E8128F">
        <w:rPr>
          <w:sz w:val="36"/>
          <w:szCs w:val="36"/>
          <w:rtl/>
        </w:rPr>
        <w:t xml:space="preserve"> </w:t>
      </w:r>
      <w:r w:rsidR="005B77FD" w:rsidRPr="00FD211F">
        <w:rPr>
          <w:sz w:val="36"/>
          <w:szCs w:val="36"/>
          <w:rtl/>
        </w:rPr>
        <w:t>حتى</w:t>
      </w:r>
      <w:r w:rsidR="00E8128F">
        <w:rPr>
          <w:sz w:val="36"/>
          <w:szCs w:val="36"/>
          <w:rtl/>
        </w:rPr>
        <w:t xml:space="preserve"> </w:t>
      </w:r>
      <w:r w:rsidR="00DA3D0F" w:rsidRPr="00FD211F">
        <w:rPr>
          <w:sz w:val="36"/>
          <w:szCs w:val="36"/>
          <w:rtl/>
        </w:rPr>
        <w:t>تحليلي</w:t>
      </w:r>
      <w:r w:rsidR="005B77FD" w:rsidRPr="00FD211F">
        <w:rPr>
          <w:sz w:val="36"/>
          <w:szCs w:val="36"/>
          <w:rtl/>
        </w:rPr>
        <w:t>ا</w:t>
      </w:r>
      <w:r w:rsidR="00E8128F">
        <w:rPr>
          <w:sz w:val="36"/>
          <w:szCs w:val="36"/>
          <w:rtl/>
        </w:rPr>
        <w:t xml:space="preserve"> </w:t>
      </w:r>
      <w:r w:rsidRPr="00FD211F">
        <w:rPr>
          <w:sz w:val="36"/>
          <w:szCs w:val="36"/>
          <w:rtl/>
        </w:rPr>
        <w:t>ويكون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جه</w:t>
      </w:r>
      <w:r w:rsidR="00EC7EDF" w:rsidRPr="00FD211F">
        <w:rPr>
          <w:sz w:val="36"/>
          <w:szCs w:val="36"/>
          <w:rtl/>
        </w:rPr>
        <w:t>ة</w:t>
      </w:r>
      <w:r w:rsidR="00E8128F">
        <w:rPr>
          <w:sz w:val="36"/>
          <w:szCs w:val="36"/>
          <w:rtl/>
        </w:rPr>
        <w:t xml:space="preserve"> </w:t>
      </w:r>
      <w:r w:rsidRPr="00FD211F">
        <w:rPr>
          <w:sz w:val="36"/>
          <w:szCs w:val="36"/>
          <w:rtl/>
        </w:rPr>
        <w:t>أخرى</w:t>
      </w:r>
      <w:r w:rsidR="00E8128F">
        <w:rPr>
          <w:sz w:val="36"/>
          <w:szCs w:val="36"/>
          <w:rtl/>
        </w:rPr>
        <w:t xml:space="preserve"> </w:t>
      </w:r>
      <w:r w:rsidRPr="00FD211F">
        <w:rPr>
          <w:sz w:val="36"/>
          <w:szCs w:val="36"/>
          <w:rtl/>
        </w:rPr>
        <w:t>مشتقا</w:t>
      </w:r>
      <w:r w:rsidR="00603323" w:rsidRPr="00FD211F">
        <w:rPr>
          <w:sz w:val="36"/>
          <w:szCs w:val="36"/>
          <w:rtl/>
        </w:rPr>
        <w:t>،</w:t>
      </w:r>
      <w:r w:rsidR="00E8128F">
        <w:rPr>
          <w:sz w:val="36"/>
          <w:szCs w:val="36"/>
          <w:rtl/>
        </w:rPr>
        <w:t xml:space="preserve"> </w:t>
      </w:r>
      <w:r w:rsidRPr="00FD211F">
        <w:rPr>
          <w:sz w:val="36"/>
          <w:szCs w:val="36"/>
          <w:rtl/>
        </w:rPr>
        <w:t>وقد</w:t>
      </w:r>
      <w:r w:rsidR="00E8128F">
        <w:rPr>
          <w:sz w:val="36"/>
          <w:szCs w:val="36"/>
          <w:rtl/>
        </w:rPr>
        <w:t xml:space="preserve"> </w:t>
      </w:r>
      <w:r w:rsidR="005B77FD" w:rsidRPr="00FD211F">
        <w:rPr>
          <w:sz w:val="36"/>
          <w:szCs w:val="36"/>
          <w:rtl/>
        </w:rPr>
        <w:t>التزم</w:t>
      </w:r>
      <w:r w:rsidR="00E8128F">
        <w:rPr>
          <w:sz w:val="36"/>
          <w:szCs w:val="36"/>
          <w:rtl/>
        </w:rPr>
        <w:t xml:space="preserve"> </w:t>
      </w:r>
      <w:r w:rsidR="005B77FD" w:rsidRPr="00FD211F">
        <w:rPr>
          <w:sz w:val="36"/>
          <w:szCs w:val="36"/>
          <w:rtl/>
        </w:rPr>
        <w:t>في</w:t>
      </w:r>
      <w:r w:rsidR="00E8128F">
        <w:rPr>
          <w:sz w:val="36"/>
          <w:szCs w:val="36"/>
          <w:rtl/>
        </w:rPr>
        <w:t xml:space="preserve"> </w:t>
      </w:r>
      <w:r w:rsidR="005B77FD" w:rsidRPr="00FD211F">
        <w:rPr>
          <w:sz w:val="36"/>
          <w:szCs w:val="36"/>
          <w:rtl/>
        </w:rPr>
        <w:t>المشتق</w:t>
      </w:r>
      <w:r w:rsidR="00E8128F">
        <w:rPr>
          <w:sz w:val="36"/>
          <w:szCs w:val="36"/>
          <w:rtl/>
        </w:rPr>
        <w:t xml:space="preserve"> </w:t>
      </w:r>
      <w:r w:rsidR="00DA3D0F" w:rsidRPr="00FD211F">
        <w:rPr>
          <w:sz w:val="36"/>
          <w:szCs w:val="36"/>
          <w:rtl/>
        </w:rPr>
        <w:t>ب</w:t>
      </w:r>
      <w:r w:rsidR="005B77FD" w:rsidRPr="00FD211F">
        <w:rPr>
          <w:sz w:val="36"/>
          <w:szCs w:val="36"/>
          <w:rtl/>
        </w:rPr>
        <w:t>كونه</w:t>
      </w:r>
      <w:r w:rsidR="00E8128F">
        <w:rPr>
          <w:sz w:val="36"/>
          <w:szCs w:val="36"/>
          <w:rtl/>
        </w:rPr>
        <w:t xml:space="preserve"> </w:t>
      </w:r>
      <w:r w:rsidR="005B77FD" w:rsidRPr="00FD211F">
        <w:rPr>
          <w:sz w:val="36"/>
          <w:szCs w:val="36"/>
          <w:rtl/>
        </w:rPr>
        <w:t>مرك</w:t>
      </w:r>
      <w:r w:rsidR="00DA3D0F" w:rsidRPr="00FD211F">
        <w:rPr>
          <w:sz w:val="36"/>
          <w:szCs w:val="36"/>
          <w:rtl/>
        </w:rPr>
        <w:t>ب</w:t>
      </w:r>
      <w:r w:rsidR="005B77FD" w:rsidRPr="00FD211F">
        <w:rPr>
          <w:sz w:val="36"/>
          <w:szCs w:val="36"/>
          <w:rtl/>
        </w:rPr>
        <w:t>ا</w:t>
      </w:r>
      <w:r w:rsidR="00E8128F">
        <w:rPr>
          <w:sz w:val="36"/>
          <w:szCs w:val="36"/>
          <w:rtl/>
        </w:rPr>
        <w:t xml:space="preserve"> </w:t>
      </w:r>
      <w:r w:rsidR="00DA3D0F" w:rsidRPr="00FD211F">
        <w:rPr>
          <w:sz w:val="36"/>
          <w:szCs w:val="36"/>
          <w:rtl/>
        </w:rPr>
        <w:t>تحليلي</w:t>
      </w:r>
      <w:r w:rsidR="005B77FD" w:rsidRPr="00FD211F">
        <w:rPr>
          <w:sz w:val="36"/>
          <w:szCs w:val="36"/>
          <w:rtl/>
        </w:rPr>
        <w:t>اوان</w:t>
      </w:r>
      <w:r w:rsidR="00E8128F">
        <w:rPr>
          <w:sz w:val="36"/>
          <w:szCs w:val="36"/>
          <w:rtl/>
        </w:rPr>
        <w:t xml:space="preserve"> </w:t>
      </w:r>
      <w:r w:rsidR="005B77FD" w:rsidRPr="00FD211F">
        <w:rPr>
          <w:sz w:val="36"/>
          <w:szCs w:val="36"/>
          <w:rtl/>
        </w:rPr>
        <w:t>كان</w:t>
      </w:r>
      <w:r w:rsidR="00E8128F">
        <w:rPr>
          <w:sz w:val="36"/>
          <w:szCs w:val="36"/>
          <w:rtl/>
        </w:rPr>
        <w:t xml:space="preserve"> </w:t>
      </w:r>
      <w:r w:rsidR="005B77FD" w:rsidRPr="00FD211F">
        <w:rPr>
          <w:sz w:val="36"/>
          <w:szCs w:val="36"/>
          <w:rtl/>
        </w:rPr>
        <w:t>بسيطا</w:t>
      </w:r>
      <w:r w:rsidR="00E8128F">
        <w:rPr>
          <w:sz w:val="36"/>
          <w:szCs w:val="36"/>
          <w:rtl/>
        </w:rPr>
        <w:t xml:space="preserve"> </w:t>
      </w:r>
      <w:r w:rsidR="005B77FD" w:rsidRPr="00FD211F">
        <w:rPr>
          <w:sz w:val="36"/>
          <w:szCs w:val="36"/>
          <w:rtl/>
        </w:rPr>
        <w:t>تصورا</w:t>
      </w:r>
      <w:r w:rsidR="00603323" w:rsidRPr="00FD211F">
        <w:rPr>
          <w:sz w:val="36"/>
          <w:szCs w:val="36"/>
          <w:rtl/>
        </w:rPr>
        <w:t>،</w:t>
      </w:r>
      <w:r w:rsidR="00E8128F">
        <w:rPr>
          <w:sz w:val="36"/>
          <w:szCs w:val="36"/>
          <w:rtl/>
        </w:rPr>
        <w:t xml:space="preserve"> </w:t>
      </w:r>
      <w:r w:rsidR="00577BCA" w:rsidRPr="00FD211F">
        <w:rPr>
          <w:sz w:val="36"/>
          <w:szCs w:val="36"/>
          <w:rtl/>
        </w:rPr>
        <w:t>فكيف</w:t>
      </w:r>
      <w:r w:rsidR="00E8128F">
        <w:rPr>
          <w:sz w:val="36"/>
          <w:szCs w:val="36"/>
          <w:rtl/>
        </w:rPr>
        <w:t xml:space="preserve"> </w:t>
      </w:r>
      <w:r w:rsidR="00577BCA" w:rsidRPr="00FD211F">
        <w:rPr>
          <w:sz w:val="36"/>
          <w:szCs w:val="36"/>
          <w:rtl/>
        </w:rPr>
        <w:t>يجمع</w:t>
      </w:r>
      <w:r w:rsidR="00E8128F">
        <w:rPr>
          <w:sz w:val="36"/>
          <w:szCs w:val="36"/>
          <w:rtl/>
        </w:rPr>
        <w:t xml:space="preserve"> </w:t>
      </w:r>
      <w:r w:rsidR="00577BCA" w:rsidRPr="00FD211F">
        <w:rPr>
          <w:sz w:val="36"/>
          <w:szCs w:val="36"/>
          <w:rtl/>
        </w:rPr>
        <w:t>بين</w:t>
      </w:r>
      <w:r w:rsidR="00E8128F">
        <w:rPr>
          <w:sz w:val="36"/>
          <w:szCs w:val="36"/>
          <w:rtl/>
        </w:rPr>
        <w:t xml:space="preserve"> </w:t>
      </w:r>
      <w:r w:rsidR="001B3112" w:rsidRPr="00FD211F">
        <w:rPr>
          <w:sz w:val="36"/>
          <w:szCs w:val="36"/>
          <w:rtl/>
        </w:rPr>
        <w:t>الأمر</w:t>
      </w:r>
      <w:r w:rsidR="00577BCA" w:rsidRPr="00FD211F">
        <w:rPr>
          <w:sz w:val="36"/>
          <w:szCs w:val="36"/>
          <w:rtl/>
        </w:rPr>
        <w:t>ين</w:t>
      </w:r>
      <w:r w:rsidR="00F241A5" w:rsidRPr="00FD211F">
        <w:rPr>
          <w:sz w:val="36"/>
          <w:szCs w:val="36"/>
          <w:rtl/>
        </w:rPr>
        <w:t>.</w:t>
      </w:r>
    </w:p>
    <w:p w14:paraId="1AF6B235" w14:textId="77777777" w:rsidR="00DA3D0F" w:rsidRPr="00FD211F" w:rsidRDefault="00F241A5" w:rsidP="009C58C8">
      <w:pPr>
        <w:ind w:left="0" w:firstLine="227"/>
        <w:jc w:val="both"/>
        <w:rPr>
          <w:sz w:val="36"/>
          <w:szCs w:val="36"/>
          <w:rtl/>
        </w:rPr>
      </w:pPr>
      <w:r w:rsidRPr="00FD211F">
        <w:rPr>
          <w:sz w:val="36"/>
          <w:szCs w:val="36"/>
          <w:rtl/>
        </w:rPr>
        <w:t>قلت:</w:t>
      </w:r>
      <w:r w:rsidR="00E8128F">
        <w:rPr>
          <w:sz w:val="36"/>
          <w:szCs w:val="36"/>
          <w:rtl/>
        </w:rPr>
        <w:t xml:space="preserve"> </w:t>
      </w:r>
      <w:r w:rsidR="00DA3D0F" w:rsidRPr="00FD211F">
        <w:rPr>
          <w:sz w:val="36"/>
          <w:szCs w:val="36"/>
          <w:rtl/>
        </w:rPr>
        <w:t>ان</w:t>
      </w:r>
      <w:r w:rsidR="00E8128F">
        <w:rPr>
          <w:sz w:val="36"/>
          <w:szCs w:val="36"/>
          <w:rtl/>
        </w:rPr>
        <w:t xml:space="preserve"> </w:t>
      </w:r>
      <w:r w:rsidR="00DA3D0F" w:rsidRPr="00FD211F">
        <w:rPr>
          <w:sz w:val="36"/>
          <w:szCs w:val="36"/>
          <w:rtl/>
        </w:rPr>
        <w:t>الامكان</w:t>
      </w:r>
      <w:r w:rsidR="00E8128F">
        <w:rPr>
          <w:sz w:val="36"/>
          <w:szCs w:val="36"/>
          <w:rtl/>
        </w:rPr>
        <w:t xml:space="preserve"> </w:t>
      </w:r>
      <w:r w:rsidR="00DA3D0F" w:rsidRPr="00FD211F">
        <w:rPr>
          <w:sz w:val="36"/>
          <w:szCs w:val="36"/>
          <w:rtl/>
        </w:rPr>
        <w:t>بنظر</w:t>
      </w:r>
      <w:r w:rsidR="00E8128F">
        <w:rPr>
          <w:sz w:val="36"/>
          <w:szCs w:val="36"/>
          <w:rtl/>
        </w:rPr>
        <w:t xml:space="preserve"> </w:t>
      </w:r>
      <w:r w:rsidR="00DA3D0F" w:rsidRPr="00FD211F">
        <w:rPr>
          <w:sz w:val="36"/>
          <w:szCs w:val="36"/>
          <w:rtl/>
        </w:rPr>
        <w:t>العرف</w:t>
      </w:r>
      <w:r w:rsidR="00E8128F">
        <w:rPr>
          <w:sz w:val="36"/>
          <w:szCs w:val="36"/>
          <w:rtl/>
        </w:rPr>
        <w:t xml:space="preserve"> </w:t>
      </w:r>
      <w:r w:rsidR="00DA3D0F" w:rsidRPr="00FD211F">
        <w:rPr>
          <w:sz w:val="36"/>
          <w:szCs w:val="36"/>
          <w:rtl/>
        </w:rPr>
        <w:t>الساذج</w:t>
      </w:r>
      <w:r w:rsidR="00E8128F">
        <w:rPr>
          <w:sz w:val="36"/>
          <w:szCs w:val="36"/>
          <w:rtl/>
        </w:rPr>
        <w:t xml:space="preserve"> </w:t>
      </w:r>
      <w:r w:rsidR="00DA3D0F" w:rsidRPr="00FD211F">
        <w:rPr>
          <w:sz w:val="36"/>
          <w:szCs w:val="36"/>
          <w:rtl/>
        </w:rPr>
        <w:t>من</w:t>
      </w:r>
      <w:r w:rsidR="00E8128F">
        <w:rPr>
          <w:sz w:val="36"/>
          <w:szCs w:val="36"/>
          <w:rtl/>
        </w:rPr>
        <w:t xml:space="preserve"> </w:t>
      </w:r>
      <w:r w:rsidR="00DA3D0F" w:rsidRPr="00FD211F">
        <w:rPr>
          <w:sz w:val="36"/>
          <w:szCs w:val="36"/>
          <w:rtl/>
        </w:rPr>
        <w:t>قبيل</w:t>
      </w:r>
      <w:r w:rsidR="00E8128F">
        <w:rPr>
          <w:sz w:val="36"/>
          <w:szCs w:val="36"/>
          <w:rtl/>
        </w:rPr>
        <w:t xml:space="preserve"> </w:t>
      </w:r>
      <w:r w:rsidR="00DA3D0F" w:rsidRPr="00FD211F">
        <w:rPr>
          <w:sz w:val="36"/>
          <w:szCs w:val="36"/>
          <w:rtl/>
        </w:rPr>
        <w:t>العرض</w:t>
      </w:r>
      <w:r w:rsidR="005B77FD" w:rsidRPr="00FD211F">
        <w:rPr>
          <w:sz w:val="36"/>
          <w:szCs w:val="36"/>
          <w:rtl/>
        </w:rPr>
        <w:t>-</w:t>
      </w:r>
      <w:r w:rsidR="00E8128F">
        <w:rPr>
          <w:sz w:val="36"/>
          <w:szCs w:val="36"/>
          <w:rtl/>
        </w:rPr>
        <w:t xml:space="preserve"> </w:t>
      </w:r>
      <w:r w:rsidR="00DA3D0F" w:rsidRPr="00FD211F">
        <w:rPr>
          <w:sz w:val="36"/>
          <w:szCs w:val="36"/>
          <w:rtl/>
        </w:rPr>
        <w:t>وان</w:t>
      </w:r>
      <w:r w:rsidR="00E8128F">
        <w:rPr>
          <w:sz w:val="36"/>
          <w:szCs w:val="36"/>
          <w:rtl/>
        </w:rPr>
        <w:t xml:space="preserve"> </w:t>
      </w:r>
      <w:r w:rsidR="00DA3D0F" w:rsidRPr="00FD211F">
        <w:rPr>
          <w:sz w:val="36"/>
          <w:szCs w:val="36"/>
          <w:rtl/>
        </w:rPr>
        <w:t>كان</w:t>
      </w:r>
      <w:r w:rsidR="00E8128F">
        <w:rPr>
          <w:sz w:val="36"/>
          <w:szCs w:val="36"/>
          <w:rtl/>
        </w:rPr>
        <w:t xml:space="preserve"> </w:t>
      </w:r>
      <w:r w:rsidR="00DA3D0F" w:rsidRPr="00FD211F">
        <w:rPr>
          <w:sz w:val="36"/>
          <w:szCs w:val="36"/>
          <w:rtl/>
        </w:rPr>
        <w:t>بحسب</w:t>
      </w:r>
      <w:r w:rsidR="00E8128F">
        <w:rPr>
          <w:sz w:val="36"/>
          <w:szCs w:val="36"/>
          <w:rtl/>
        </w:rPr>
        <w:t xml:space="preserve"> </w:t>
      </w:r>
      <w:r w:rsidR="00DA3D0F" w:rsidRPr="00FD211F">
        <w:rPr>
          <w:sz w:val="36"/>
          <w:szCs w:val="36"/>
          <w:rtl/>
        </w:rPr>
        <w:t>الدق</w:t>
      </w:r>
      <w:r w:rsidR="00EC7EDF" w:rsidRPr="00FD211F">
        <w:rPr>
          <w:sz w:val="36"/>
          <w:szCs w:val="36"/>
          <w:rtl/>
        </w:rPr>
        <w:t>ة</w:t>
      </w:r>
      <w:r w:rsidR="00E8128F">
        <w:rPr>
          <w:sz w:val="36"/>
          <w:szCs w:val="36"/>
          <w:rtl/>
        </w:rPr>
        <w:t xml:space="preserve"> </w:t>
      </w:r>
      <w:r w:rsidR="00DA3D0F" w:rsidRPr="00FD211F">
        <w:rPr>
          <w:sz w:val="36"/>
          <w:szCs w:val="36"/>
          <w:rtl/>
        </w:rPr>
        <w:t>ذاتيا</w:t>
      </w:r>
      <w:r w:rsidR="005B77FD" w:rsidRPr="00FD211F">
        <w:rPr>
          <w:sz w:val="36"/>
          <w:szCs w:val="36"/>
          <w:rtl/>
        </w:rPr>
        <w:t>-فالممكن</w:t>
      </w:r>
      <w:r w:rsidR="00E8128F">
        <w:rPr>
          <w:sz w:val="36"/>
          <w:szCs w:val="36"/>
          <w:rtl/>
        </w:rPr>
        <w:t xml:space="preserve"> </w:t>
      </w:r>
      <w:r w:rsidR="005B77FD" w:rsidRPr="00FD211F">
        <w:rPr>
          <w:sz w:val="36"/>
          <w:szCs w:val="36"/>
          <w:rtl/>
        </w:rPr>
        <w:t>ينحل</w:t>
      </w:r>
      <w:r w:rsidR="00E8128F">
        <w:rPr>
          <w:sz w:val="36"/>
          <w:szCs w:val="36"/>
          <w:rtl/>
        </w:rPr>
        <w:t xml:space="preserve"> </w:t>
      </w:r>
      <w:r w:rsidR="005B77FD" w:rsidRPr="00FD211F">
        <w:rPr>
          <w:sz w:val="36"/>
          <w:szCs w:val="36"/>
          <w:rtl/>
        </w:rPr>
        <w:t>بحسب</w:t>
      </w:r>
      <w:r w:rsidR="00E8128F">
        <w:rPr>
          <w:sz w:val="36"/>
          <w:szCs w:val="36"/>
          <w:rtl/>
        </w:rPr>
        <w:t xml:space="preserve"> </w:t>
      </w:r>
      <w:r w:rsidR="005B77FD" w:rsidRPr="00FD211F">
        <w:rPr>
          <w:sz w:val="36"/>
          <w:szCs w:val="36"/>
          <w:rtl/>
        </w:rPr>
        <w:t>التحليل</w:t>
      </w:r>
      <w:r w:rsidR="00E8128F">
        <w:rPr>
          <w:sz w:val="36"/>
          <w:szCs w:val="36"/>
          <w:rtl/>
        </w:rPr>
        <w:t xml:space="preserve"> </w:t>
      </w:r>
      <w:r w:rsidR="005B77FD" w:rsidRPr="00FD211F">
        <w:rPr>
          <w:sz w:val="36"/>
          <w:szCs w:val="36"/>
          <w:rtl/>
        </w:rPr>
        <w:t>الى</w:t>
      </w:r>
      <w:r w:rsidR="00E8128F">
        <w:rPr>
          <w:sz w:val="36"/>
          <w:szCs w:val="36"/>
          <w:rtl/>
        </w:rPr>
        <w:t xml:space="preserve"> </w:t>
      </w:r>
      <w:r w:rsidR="005B77FD" w:rsidRPr="00FD211F">
        <w:rPr>
          <w:sz w:val="36"/>
          <w:szCs w:val="36"/>
          <w:rtl/>
        </w:rPr>
        <w:t>ذات</w:t>
      </w:r>
      <w:r w:rsidR="00E8128F">
        <w:rPr>
          <w:sz w:val="36"/>
          <w:szCs w:val="36"/>
          <w:rtl/>
        </w:rPr>
        <w:t xml:space="preserve"> </w:t>
      </w:r>
      <w:r w:rsidR="005B77FD" w:rsidRPr="00FD211F">
        <w:rPr>
          <w:sz w:val="36"/>
          <w:szCs w:val="36"/>
          <w:rtl/>
        </w:rPr>
        <w:t>ثبت</w:t>
      </w:r>
      <w:r w:rsidR="00E8128F">
        <w:rPr>
          <w:sz w:val="36"/>
          <w:szCs w:val="36"/>
          <w:rtl/>
        </w:rPr>
        <w:t xml:space="preserve"> </w:t>
      </w:r>
      <w:r w:rsidR="005B77FD" w:rsidRPr="00FD211F">
        <w:rPr>
          <w:sz w:val="36"/>
          <w:szCs w:val="36"/>
          <w:rtl/>
        </w:rPr>
        <w:t>له</w:t>
      </w:r>
      <w:r w:rsidR="00E8128F">
        <w:rPr>
          <w:sz w:val="36"/>
          <w:szCs w:val="36"/>
          <w:rtl/>
        </w:rPr>
        <w:t xml:space="preserve"> </w:t>
      </w:r>
      <w:r w:rsidR="005B77FD" w:rsidRPr="00FD211F">
        <w:rPr>
          <w:sz w:val="36"/>
          <w:szCs w:val="36"/>
          <w:rtl/>
        </w:rPr>
        <w:t>الامكان</w:t>
      </w:r>
      <w:r w:rsidR="009C58C8" w:rsidRPr="00FD211F">
        <w:rPr>
          <w:rStyle w:val="a6"/>
          <w:sz w:val="36"/>
          <w:szCs w:val="36"/>
          <w:rtl/>
        </w:rPr>
        <w:t>(</w:t>
      </w:r>
      <w:r w:rsidR="009C58C8" w:rsidRPr="00FD211F">
        <w:rPr>
          <w:rStyle w:val="a6"/>
          <w:sz w:val="36"/>
          <w:szCs w:val="36"/>
          <w:rtl/>
        </w:rPr>
        <w:footnoteReference w:id="604"/>
      </w:r>
      <w:r w:rsidR="009C58C8" w:rsidRPr="00FD211F">
        <w:rPr>
          <w:rStyle w:val="a6"/>
          <w:sz w:val="36"/>
          <w:szCs w:val="36"/>
          <w:rtl/>
        </w:rPr>
        <w:t>)</w:t>
      </w:r>
      <w:r w:rsidR="00EC7EDF" w:rsidRPr="00FD211F">
        <w:rPr>
          <w:sz w:val="36"/>
          <w:szCs w:val="36"/>
          <w:rtl/>
        </w:rPr>
        <w:t>.</w:t>
      </w:r>
    </w:p>
    <w:p w14:paraId="051F48E4" w14:textId="77777777" w:rsidR="00DA3D0F" w:rsidRPr="00FD211F" w:rsidRDefault="00DA3D0F" w:rsidP="009C58C8">
      <w:pPr>
        <w:ind w:left="0" w:firstLine="227"/>
        <w:jc w:val="both"/>
        <w:rPr>
          <w:sz w:val="36"/>
          <w:szCs w:val="36"/>
          <w:rtl/>
        </w:rPr>
      </w:pPr>
      <w:r w:rsidRPr="00FD211F">
        <w:rPr>
          <w:sz w:val="36"/>
          <w:szCs w:val="36"/>
          <w:rtl/>
        </w:rPr>
        <w:t>اقول:</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مر</w:t>
      </w:r>
      <w:r w:rsidR="00C47877"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الظاهر</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الفرق</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تلك</w:t>
      </w:r>
      <w:r w:rsidR="00E8128F">
        <w:rPr>
          <w:sz w:val="36"/>
          <w:szCs w:val="36"/>
          <w:rtl/>
        </w:rPr>
        <w:t xml:space="preserve"> </w:t>
      </w:r>
      <w:r w:rsidRPr="00FD211F">
        <w:rPr>
          <w:sz w:val="36"/>
          <w:szCs w:val="36"/>
          <w:rtl/>
        </w:rPr>
        <w:t>الامثل</w:t>
      </w:r>
      <w:r w:rsidR="00EC7EDF" w:rsidRPr="00FD211F">
        <w:rPr>
          <w:sz w:val="36"/>
          <w:szCs w:val="36"/>
          <w:rtl/>
        </w:rPr>
        <w:t>ة</w:t>
      </w:r>
      <w:r w:rsidR="00E8128F">
        <w:rPr>
          <w:sz w:val="36"/>
          <w:szCs w:val="36"/>
          <w:rtl/>
        </w:rPr>
        <w:t xml:space="preserve"> </w:t>
      </w:r>
      <w:r w:rsidR="00F241A5" w:rsidRPr="00FD211F">
        <w:rPr>
          <w:sz w:val="36"/>
          <w:szCs w:val="36"/>
          <w:rtl/>
        </w:rPr>
        <w:t>من</w:t>
      </w:r>
      <w:r w:rsidR="00E8128F">
        <w:rPr>
          <w:sz w:val="36"/>
          <w:szCs w:val="36"/>
          <w:rtl/>
        </w:rPr>
        <w:t xml:space="preserve"> </w:t>
      </w:r>
      <w:r w:rsidR="00F241A5" w:rsidRPr="00FD211F">
        <w:rPr>
          <w:sz w:val="36"/>
          <w:szCs w:val="36"/>
          <w:rtl/>
        </w:rPr>
        <w:t>حيث</w:t>
      </w:r>
      <w:r w:rsidR="00E8128F">
        <w:rPr>
          <w:sz w:val="36"/>
          <w:szCs w:val="36"/>
          <w:rtl/>
        </w:rPr>
        <w:t xml:space="preserve"> </w:t>
      </w:r>
      <w:r w:rsidRPr="00FD211F">
        <w:rPr>
          <w:sz w:val="36"/>
          <w:szCs w:val="36"/>
          <w:rtl/>
        </w:rPr>
        <w:t>كون</w:t>
      </w:r>
      <w:r w:rsidR="00F241A5" w:rsidRPr="00FD211F">
        <w:rPr>
          <w:sz w:val="36"/>
          <w:szCs w:val="36"/>
          <w:rtl/>
        </w:rPr>
        <w:t>ها</w:t>
      </w:r>
      <w:r w:rsidR="00E8128F">
        <w:rPr>
          <w:sz w:val="36"/>
          <w:szCs w:val="36"/>
          <w:rtl/>
        </w:rPr>
        <w:t xml:space="preserve"> </w:t>
      </w:r>
      <w:r w:rsidR="00F241A5" w:rsidRPr="00FD211F">
        <w:rPr>
          <w:sz w:val="36"/>
          <w:szCs w:val="36"/>
          <w:rtl/>
        </w:rPr>
        <w:t>بسا</w:t>
      </w:r>
      <w:r w:rsidR="00577BCA" w:rsidRPr="00FD211F">
        <w:rPr>
          <w:sz w:val="36"/>
          <w:szCs w:val="36"/>
          <w:rtl/>
        </w:rPr>
        <w:t>ئط</w:t>
      </w:r>
      <w:r w:rsidR="00E8128F">
        <w:rPr>
          <w:sz w:val="36"/>
          <w:szCs w:val="36"/>
          <w:rtl/>
        </w:rPr>
        <w:t xml:space="preserve"> </w:t>
      </w:r>
      <w:r w:rsidR="00F241A5" w:rsidRPr="00FD211F">
        <w:rPr>
          <w:sz w:val="36"/>
          <w:szCs w:val="36"/>
          <w:rtl/>
        </w:rPr>
        <w:t>تصوري</w:t>
      </w:r>
      <w:r w:rsidR="00EC7EDF" w:rsidRPr="00FD211F">
        <w:rPr>
          <w:sz w:val="36"/>
          <w:szCs w:val="36"/>
          <w:rtl/>
        </w:rPr>
        <w:t>ة</w:t>
      </w:r>
      <w:r w:rsidR="00E8128F">
        <w:rPr>
          <w:sz w:val="36"/>
          <w:szCs w:val="36"/>
          <w:rtl/>
        </w:rPr>
        <w:t xml:space="preserve"> </w:t>
      </w:r>
      <w:r w:rsidR="00F241A5" w:rsidRPr="00FD211F">
        <w:rPr>
          <w:sz w:val="36"/>
          <w:szCs w:val="36"/>
          <w:rtl/>
        </w:rPr>
        <w:t>ومركبات</w:t>
      </w:r>
      <w:r w:rsidR="00E8128F">
        <w:rPr>
          <w:sz w:val="36"/>
          <w:szCs w:val="36"/>
          <w:rtl/>
        </w:rPr>
        <w:t xml:space="preserve"> </w:t>
      </w:r>
      <w:r w:rsidR="00F241A5" w:rsidRPr="00FD211F">
        <w:rPr>
          <w:sz w:val="36"/>
          <w:szCs w:val="36"/>
          <w:rtl/>
        </w:rPr>
        <w:t>تحليلي</w:t>
      </w:r>
      <w:r w:rsidR="00EC7EDF" w:rsidRPr="00FD211F">
        <w:rPr>
          <w:sz w:val="36"/>
          <w:szCs w:val="36"/>
          <w:rtl/>
        </w:rPr>
        <w:t>ة</w:t>
      </w:r>
      <w:r w:rsidR="00603323" w:rsidRPr="00FD211F">
        <w:rPr>
          <w:sz w:val="36"/>
          <w:szCs w:val="36"/>
          <w:rtl/>
        </w:rPr>
        <w:t>،</w:t>
      </w:r>
      <w:r w:rsidR="00E8128F">
        <w:rPr>
          <w:sz w:val="36"/>
          <w:szCs w:val="36"/>
          <w:rtl/>
        </w:rPr>
        <w:t xml:space="preserve"> </w:t>
      </w:r>
      <w:r w:rsidR="00F241A5" w:rsidRPr="00FD211F">
        <w:rPr>
          <w:sz w:val="36"/>
          <w:szCs w:val="36"/>
          <w:rtl/>
        </w:rPr>
        <w:t>وكيف</w:t>
      </w:r>
      <w:r w:rsidR="00E8128F">
        <w:rPr>
          <w:sz w:val="36"/>
          <w:szCs w:val="36"/>
          <w:rtl/>
        </w:rPr>
        <w:t xml:space="preserve"> </w:t>
      </w:r>
      <w:r w:rsidR="00F241A5" w:rsidRPr="00FD211F">
        <w:rPr>
          <w:sz w:val="36"/>
          <w:szCs w:val="36"/>
          <w:rtl/>
        </w:rPr>
        <w:t>يلتزم</w:t>
      </w:r>
      <w:r w:rsidR="00E8128F">
        <w:rPr>
          <w:sz w:val="36"/>
          <w:szCs w:val="36"/>
          <w:rtl/>
        </w:rPr>
        <w:t xml:space="preserve"> </w:t>
      </w:r>
      <w:r w:rsidR="00F241A5" w:rsidRPr="00FD211F">
        <w:rPr>
          <w:sz w:val="36"/>
          <w:szCs w:val="36"/>
          <w:rtl/>
        </w:rPr>
        <w:t>بالفرق</w:t>
      </w:r>
      <w:r w:rsidR="00E8128F">
        <w:rPr>
          <w:sz w:val="36"/>
          <w:szCs w:val="36"/>
          <w:rtl/>
        </w:rPr>
        <w:t xml:space="preserve"> </w:t>
      </w:r>
      <w:r w:rsidR="00F241A5" w:rsidRPr="00FD211F">
        <w:rPr>
          <w:sz w:val="36"/>
          <w:szCs w:val="36"/>
          <w:rtl/>
        </w:rPr>
        <w:t>في</w:t>
      </w:r>
      <w:r w:rsidR="00E8128F">
        <w:rPr>
          <w:sz w:val="36"/>
          <w:szCs w:val="36"/>
          <w:rtl/>
        </w:rPr>
        <w:t xml:space="preserve"> </w:t>
      </w:r>
      <w:r w:rsidR="00F241A5" w:rsidRPr="00FD211F">
        <w:rPr>
          <w:sz w:val="36"/>
          <w:szCs w:val="36"/>
          <w:rtl/>
        </w:rPr>
        <w:t>هيئ</w:t>
      </w:r>
      <w:r w:rsidR="00EC7EDF" w:rsidRPr="00FD211F">
        <w:rPr>
          <w:sz w:val="36"/>
          <w:szCs w:val="36"/>
          <w:rtl/>
        </w:rPr>
        <w:t>ة</w:t>
      </w:r>
      <w:r w:rsidR="00E8128F">
        <w:rPr>
          <w:sz w:val="36"/>
          <w:szCs w:val="36"/>
          <w:rtl/>
        </w:rPr>
        <w:t xml:space="preserve"> </w:t>
      </w:r>
      <w:r w:rsidR="00F241A5" w:rsidRPr="00FD211F">
        <w:rPr>
          <w:sz w:val="36"/>
          <w:szCs w:val="36"/>
          <w:rtl/>
        </w:rPr>
        <w:t>المشتق</w:t>
      </w:r>
      <w:r w:rsidR="00E8128F">
        <w:rPr>
          <w:sz w:val="36"/>
          <w:szCs w:val="36"/>
          <w:rtl/>
        </w:rPr>
        <w:t xml:space="preserve"> </w:t>
      </w:r>
      <w:r w:rsidR="00F241A5" w:rsidRPr="00FD211F">
        <w:rPr>
          <w:sz w:val="36"/>
          <w:szCs w:val="36"/>
          <w:rtl/>
        </w:rPr>
        <w:t>بين</w:t>
      </w:r>
      <w:r w:rsidR="00E8128F">
        <w:rPr>
          <w:sz w:val="36"/>
          <w:szCs w:val="36"/>
          <w:rtl/>
        </w:rPr>
        <w:t xml:space="preserve"> </w:t>
      </w:r>
      <w:r w:rsidR="00F241A5" w:rsidRPr="00FD211F">
        <w:rPr>
          <w:sz w:val="36"/>
          <w:szCs w:val="36"/>
          <w:rtl/>
        </w:rPr>
        <w:t>ما</w:t>
      </w:r>
      <w:r w:rsidR="00E8128F">
        <w:rPr>
          <w:sz w:val="36"/>
          <w:szCs w:val="36"/>
          <w:rtl/>
        </w:rPr>
        <w:t xml:space="preserve"> </w:t>
      </w:r>
      <w:r w:rsidR="00F241A5" w:rsidRPr="00FD211F">
        <w:rPr>
          <w:sz w:val="36"/>
          <w:szCs w:val="36"/>
          <w:rtl/>
        </w:rPr>
        <w:t>لو</w:t>
      </w:r>
      <w:r w:rsidR="00E8128F">
        <w:rPr>
          <w:sz w:val="36"/>
          <w:szCs w:val="36"/>
          <w:rtl/>
        </w:rPr>
        <w:t xml:space="preserve"> </w:t>
      </w:r>
      <w:r w:rsidR="00F241A5" w:rsidRPr="00FD211F">
        <w:rPr>
          <w:sz w:val="36"/>
          <w:szCs w:val="36"/>
          <w:rtl/>
        </w:rPr>
        <w:t>كان</w:t>
      </w:r>
      <w:r w:rsidR="00E8128F">
        <w:rPr>
          <w:sz w:val="36"/>
          <w:szCs w:val="36"/>
          <w:rtl/>
        </w:rPr>
        <w:t xml:space="preserve"> </w:t>
      </w:r>
      <w:r w:rsidR="00F241A5" w:rsidRPr="00FD211F">
        <w:rPr>
          <w:sz w:val="36"/>
          <w:szCs w:val="36"/>
          <w:rtl/>
        </w:rPr>
        <w:t>مبدأه</w:t>
      </w:r>
      <w:r w:rsidR="00E8128F">
        <w:rPr>
          <w:sz w:val="36"/>
          <w:szCs w:val="36"/>
          <w:rtl/>
        </w:rPr>
        <w:t xml:space="preserve"> </w:t>
      </w:r>
      <w:r w:rsidR="00F241A5" w:rsidRPr="00FD211F">
        <w:rPr>
          <w:sz w:val="36"/>
          <w:szCs w:val="36"/>
          <w:rtl/>
        </w:rPr>
        <w:t>من</w:t>
      </w:r>
      <w:r w:rsidR="00E8128F">
        <w:rPr>
          <w:sz w:val="36"/>
          <w:szCs w:val="36"/>
          <w:rtl/>
        </w:rPr>
        <w:t xml:space="preserve"> </w:t>
      </w:r>
      <w:r w:rsidR="00F241A5" w:rsidRPr="00FD211F">
        <w:rPr>
          <w:sz w:val="36"/>
          <w:szCs w:val="36"/>
          <w:rtl/>
        </w:rPr>
        <w:t>الذاتيات</w:t>
      </w:r>
      <w:r w:rsidR="00E8128F">
        <w:rPr>
          <w:sz w:val="36"/>
          <w:szCs w:val="36"/>
          <w:rtl/>
        </w:rPr>
        <w:t xml:space="preserve"> </w:t>
      </w:r>
      <w:r w:rsidR="00F241A5" w:rsidRPr="00FD211F">
        <w:rPr>
          <w:sz w:val="36"/>
          <w:szCs w:val="36"/>
          <w:rtl/>
        </w:rPr>
        <w:t>فيقال</w:t>
      </w:r>
      <w:r w:rsidR="00E8128F">
        <w:rPr>
          <w:sz w:val="36"/>
          <w:szCs w:val="36"/>
          <w:rtl/>
        </w:rPr>
        <w:t xml:space="preserve"> </w:t>
      </w:r>
      <w:r w:rsidR="00F241A5" w:rsidRPr="00FD211F">
        <w:rPr>
          <w:sz w:val="36"/>
          <w:szCs w:val="36"/>
          <w:rtl/>
        </w:rPr>
        <w:t>فيها</w:t>
      </w:r>
      <w:r w:rsidR="00E8128F">
        <w:rPr>
          <w:sz w:val="36"/>
          <w:szCs w:val="36"/>
          <w:rtl/>
        </w:rPr>
        <w:t xml:space="preserve"> </w:t>
      </w:r>
      <w:r w:rsidR="00F241A5" w:rsidRPr="00FD211F">
        <w:rPr>
          <w:sz w:val="36"/>
          <w:szCs w:val="36"/>
          <w:rtl/>
        </w:rPr>
        <w:t>بالبساط</w:t>
      </w:r>
      <w:r w:rsidR="00EC7EDF" w:rsidRPr="00FD211F">
        <w:rPr>
          <w:sz w:val="36"/>
          <w:szCs w:val="36"/>
          <w:rtl/>
        </w:rPr>
        <w:t>ة</w:t>
      </w:r>
      <w:r w:rsidR="00E8128F">
        <w:rPr>
          <w:sz w:val="36"/>
          <w:szCs w:val="36"/>
          <w:rtl/>
        </w:rPr>
        <w:t xml:space="preserve"> </w:t>
      </w:r>
      <w:r w:rsidR="00F241A5" w:rsidRPr="00FD211F">
        <w:rPr>
          <w:sz w:val="36"/>
          <w:szCs w:val="36"/>
          <w:rtl/>
        </w:rPr>
        <w:t>التحليلي</w:t>
      </w:r>
      <w:r w:rsidR="00EC7EDF" w:rsidRPr="00FD211F">
        <w:rPr>
          <w:sz w:val="36"/>
          <w:szCs w:val="36"/>
          <w:rtl/>
        </w:rPr>
        <w:t>ة</w:t>
      </w:r>
      <w:r w:rsidR="00E8128F">
        <w:rPr>
          <w:sz w:val="36"/>
          <w:szCs w:val="36"/>
          <w:rtl/>
        </w:rPr>
        <w:t xml:space="preserve"> </w:t>
      </w:r>
      <w:r w:rsidR="00F241A5" w:rsidRPr="00FD211F">
        <w:rPr>
          <w:sz w:val="36"/>
          <w:szCs w:val="36"/>
          <w:rtl/>
        </w:rPr>
        <w:t>كهيئ</w:t>
      </w:r>
      <w:r w:rsidR="00EC7EDF" w:rsidRPr="00FD211F">
        <w:rPr>
          <w:sz w:val="36"/>
          <w:szCs w:val="36"/>
          <w:rtl/>
        </w:rPr>
        <w:t>ة</w:t>
      </w:r>
      <w:r w:rsidR="00E8128F">
        <w:rPr>
          <w:sz w:val="36"/>
          <w:szCs w:val="36"/>
          <w:rtl/>
        </w:rPr>
        <w:t xml:space="preserve"> </w:t>
      </w:r>
      <w:r w:rsidR="00F241A5" w:rsidRPr="00FD211F">
        <w:rPr>
          <w:sz w:val="36"/>
          <w:szCs w:val="36"/>
          <w:rtl/>
        </w:rPr>
        <w:t>الحيوان</w:t>
      </w:r>
      <w:r w:rsidR="00E8128F">
        <w:rPr>
          <w:sz w:val="36"/>
          <w:szCs w:val="36"/>
          <w:rtl/>
        </w:rPr>
        <w:t xml:space="preserve"> </w:t>
      </w:r>
      <w:r w:rsidR="00F241A5" w:rsidRPr="00FD211F">
        <w:rPr>
          <w:sz w:val="36"/>
          <w:szCs w:val="36"/>
          <w:rtl/>
        </w:rPr>
        <w:t>وبين</w:t>
      </w:r>
      <w:r w:rsidR="00E8128F">
        <w:rPr>
          <w:sz w:val="36"/>
          <w:szCs w:val="36"/>
          <w:rtl/>
        </w:rPr>
        <w:t xml:space="preserve"> </w:t>
      </w:r>
      <w:r w:rsidR="00F241A5" w:rsidRPr="00FD211F">
        <w:rPr>
          <w:sz w:val="36"/>
          <w:szCs w:val="36"/>
          <w:rtl/>
        </w:rPr>
        <w:t>ما</w:t>
      </w:r>
      <w:r w:rsidR="00E8128F">
        <w:rPr>
          <w:sz w:val="36"/>
          <w:szCs w:val="36"/>
          <w:rtl/>
        </w:rPr>
        <w:t xml:space="preserve"> </w:t>
      </w:r>
      <w:r w:rsidR="00F241A5" w:rsidRPr="00FD211F">
        <w:rPr>
          <w:sz w:val="36"/>
          <w:szCs w:val="36"/>
          <w:rtl/>
        </w:rPr>
        <w:t>لو</w:t>
      </w:r>
      <w:r w:rsidR="00E8128F">
        <w:rPr>
          <w:sz w:val="36"/>
          <w:szCs w:val="36"/>
          <w:rtl/>
        </w:rPr>
        <w:t xml:space="preserve"> </w:t>
      </w:r>
      <w:r w:rsidR="00F241A5" w:rsidRPr="00FD211F">
        <w:rPr>
          <w:sz w:val="36"/>
          <w:szCs w:val="36"/>
          <w:rtl/>
        </w:rPr>
        <w:t>كان</w:t>
      </w:r>
      <w:r w:rsidR="00E8128F">
        <w:rPr>
          <w:sz w:val="36"/>
          <w:szCs w:val="36"/>
          <w:rtl/>
        </w:rPr>
        <w:t xml:space="preserve"> </w:t>
      </w:r>
      <w:r w:rsidR="00F241A5" w:rsidRPr="00FD211F">
        <w:rPr>
          <w:sz w:val="36"/>
          <w:szCs w:val="36"/>
          <w:rtl/>
        </w:rPr>
        <w:t>مبدأه</w:t>
      </w:r>
      <w:r w:rsidR="00E8128F">
        <w:rPr>
          <w:sz w:val="36"/>
          <w:szCs w:val="36"/>
          <w:rtl/>
        </w:rPr>
        <w:t xml:space="preserve"> </w:t>
      </w:r>
      <w:r w:rsidR="00F241A5" w:rsidRPr="00FD211F">
        <w:rPr>
          <w:sz w:val="36"/>
          <w:szCs w:val="36"/>
          <w:rtl/>
        </w:rPr>
        <w:t>من</w:t>
      </w:r>
      <w:r w:rsidR="00E8128F">
        <w:rPr>
          <w:sz w:val="36"/>
          <w:szCs w:val="36"/>
          <w:rtl/>
        </w:rPr>
        <w:t xml:space="preserve"> </w:t>
      </w:r>
      <w:r w:rsidR="00F241A5" w:rsidRPr="00FD211F">
        <w:rPr>
          <w:sz w:val="36"/>
          <w:szCs w:val="36"/>
          <w:rtl/>
        </w:rPr>
        <w:t>العرضيات</w:t>
      </w:r>
      <w:r w:rsidR="00E8128F">
        <w:rPr>
          <w:sz w:val="36"/>
          <w:szCs w:val="36"/>
          <w:rtl/>
        </w:rPr>
        <w:t xml:space="preserve"> </w:t>
      </w:r>
      <w:r w:rsidR="00F241A5" w:rsidRPr="00FD211F">
        <w:rPr>
          <w:sz w:val="36"/>
          <w:szCs w:val="36"/>
          <w:rtl/>
        </w:rPr>
        <w:t>فيلتزم</w:t>
      </w:r>
      <w:r w:rsidR="00E8128F">
        <w:rPr>
          <w:sz w:val="36"/>
          <w:szCs w:val="36"/>
          <w:rtl/>
        </w:rPr>
        <w:t xml:space="preserve"> </w:t>
      </w:r>
      <w:r w:rsidR="00F241A5" w:rsidRPr="00FD211F">
        <w:rPr>
          <w:sz w:val="36"/>
          <w:szCs w:val="36"/>
          <w:rtl/>
        </w:rPr>
        <w:t>فيه</w:t>
      </w:r>
      <w:r w:rsidR="00E8128F">
        <w:rPr>
          <w:sz w:val="36"/>
          <w:szCs w:val="36"/>
          <w:rtl/>
        </w:rPr>
        <w:t xml:space="preserve"> </w:t>
      </w:r>
      <w:r w:rsidR="00F241A5" w:rsidRPr="00FD211F">
        <w:rPr>
          <w:sz w:val="36"/>
          <w:szCs w:val="36"/>
          <w:rtl/>
        </w:rPr>
        <w:t>بالتركيب</w:t>
      </w:r>
      <w:r w:rsidR="00E8128F">
        <w:rPr>
          <w:sz w:val="36"/>
          <w:szCs w:val="36"/>
          <w:rtl/>
        </w:rPr>
        <w:t xml:space="preserve"> </w:t>
      </w:r>
      <w:r w:rsidR="00F241A5" w:rsidRPr="00FD211F">
        <w:rPr>
          <w:sz w:val="36"/>
          <w:szCs w:val="36"/>
          <w:rtl/>
        </w:rPr>
        <w:t>التحليلي</w:t>
      </w:r>
      <w:r w:rsidR="00E8128F">
        <w:rPr>
          <w:sz w:val="36"/>
          <w:szCs w:val="36"/>
          <w:rtl/>
        </w:rPr>
        <w:t xml:space="preserve"> </w:t>
      </w:r>
      <w:r w:rsidR="00F241A5" w:rsidRPr="00FD211F">
        <w:rPr>
          <w:sz w:val="36"/>
          <w:szCs w:val="36"/>
          <w:rtl/>
        </w:rPr>
        <w:t>كهيئ</w:t>
      </w:r>
      <w:r w:rsidR="00EC7EDF" w:rsidRPr="00FD211F">
        <w:rPr>
          <w:sz w:val="36"/>
          <w:szCs w:val="36"/>
          <w:rtl/>
        </w:rPr>
        <w:t>ة</w:t>
      </w:r>
      <w:r w:rsidR="00E8128F">
        <w:rPr>
          <w:sz w:val="36"/>
          <w:szCs w:val="36"/>
          <w:rtl/>
        </w:rPr>
        <w:t xml:space="preserve"> </w:t>
      </w:r>
      <w:r w:rsidR="00F241A5" w:rsidRPr="00FD211F">
        <w:rPr>
          <w:sz w:val="36"/>
          <w:szCs w:val="36"/>
          <w:rtl/>
        </w:rPr>
        <w:t>العطشان</w:t>
      </w:r>
      <w:r w:rsidR="00603323" w:rsidRPr="00FD211F">
        <w:rPr>
          <w:sz w:val="36"/>
          <w:szCs w:val="36"/>
          <w:rtl/>
        </w:rPr>
        <w:t>،</w:t>
      </w:r>
      <w:r w:rsidR="00E8128F">
        <w:rPr>
          <w:sz w:val="36"/>
          <w:szCs w:val="36"/>
          <w:rtl/>
        </w:rPr>
        <w:t xml:space="preserve"> </w:t>
      </w:r>
      <w:r w:rsidR="00F241A5" w:rsidRPr="00FD211F">
        <w:rPr>
          <w:sz w:val="36"/>
          <w:szCs w:val="36"/>
          <w:rtl/>
        </w:rPr>
        <w:t>فانه</w:t>
      </w:r>
      <w:r w:rsidR="00E8128F">
        <w:rPr>
          <w:sz w:val="36"/>
          <w:szCs w:val="36"/>
          <w:rtl/>
        </w:rPr>
        <w:t xml:space="preserve"> </w:t>
      </w:r>
      <w:r w:rsidR="00F241A5" w:rsidRPr="00FD211F">
        <w:rPr>
          <w:sz w:val="36"/>
          <w:szCs w:val="36"/>
          <w:rtl/>
        </w:rPr>
        <w:t>خلاف</w:t>
      </w:r>
      <w:r w:rsidR="00E8128F">
        <w:rPr>
          <w:sz w:val="36"/>
          <w:szCs w:val="36"/>
          <w:rtl/>
        </w:rPr>
        <w:t xml:space="preserve"> </w:t>
      </w:r>
      <w:r w:rsidR="00F241A5" w:rsidRPr="00FD211F">
        <w:rPr>
          <w:sz w:val="36"/>
          <w:szCs w:val="36"/>
          <w:rtl/>
        </w:rPr>
        <w:t>الوجدان</w:t>
      </w:r>
      <w:r w:rsidR="00E8128F">
        <w:rPr>
          <w:sz w:val="36"/>
          <w:szCs w:val="36"/>
          <w:rtl/>
        </w:rPr>
        <w:t xml:space="preserve"> </w:t>
      </w:r>
      <w:r w:rsidR="00F241A5" w:rsidRPr="00FD211F">
        <w:rPr>
          <w:sz w:val="36"/>
          <w:szCs w:val="36"/>
          <w:rtl/>
        </w:rPr>
        <w:t>العرفي</w:t>
      </w:r>
      <w:r w:rsidR="00E8128F">
        <w:rPr>
          <w:sz w:val="36"/>
          <w:szCs w:val="36"/>
          <w:rtl/>
        </w:rPr>
        <w:t xml:space="preserve"> </w:t>
      </w:r>
      <w:r w:rsidR="00F241A5" w:rsidRPr="00FD211F">
        <w:rPr>
          <w:sz w:val="36"/>
          <w:szCs w:val="36"/>
          <w:rtl/>
        </w:rPr>
        <w:t>جدا</w:t>
      </w:r>
      <w:r w:rsidR="00603323" w:rsidRPr="00FD211F">
        <w:rPr>
          <w:sz w:val="36"/>
          <w:szCs w:val="36"/>
          <w:rtl/>
        </w:rPr>
        <w:t>،</w:t>
      </w:r>
      <w:r w:rsidR="00E8128F">
        <w:rPr>
          <w:sz w:val="36"/>
          <w:szCs w:val="36"/>
          <w:rtl/>
        </w:rPr>
        <w:t xml:space="preserve"> </w:t>
      </w:r>
      <w:r w:rsidR="00F241A5" w:rsidRPr="00FD211F">
        <w:rPr>
          <w:sz w:val="36"/>
          <w:szCs w:val="36"/>
          <w:rtl/>
        </w:rPr>
        <w:t>فالصحيح</w:t>
      </w:r>
      <w:r w:rsidR="00E8128F">
        <w:rPr>
          <w:sz w:val="36"/>
          <w:szCs w:val="36"/>
          <w:rtl/>
        </w:rPr>
        <w:t xml:space="preserve"> </w:t>
      </w:r>
      <w:r w:rsidR="00F241A5" w:rsidRPr="00FD211F">
        <w:rPr>
          <w:sz w:val="36"/>
          <w:szCs w:val="36"/>
          <w:rtl/>
        </w:rPr>
        <w:t>انه</w:t>
      </w:r>
      <w:r w:rsidR="00E8128F">
        <w:rPr>
          <w:sz w:val="36"/>
          <w:szCs w:val="36"/>
          <w:rtl/>
        </w:rPr>
        <w:t xml:space="preserve"> </w:t>
      </w:r>
      <w:r w:rsidR="00F241A5" w:rsidRPr="00FD211F">
        <w:rPr>
          <w:sz w:val="36"/>
          <w:szCs w:val="36"/>
          <w:rtl/>
        </w:rPr>
        <w:t>في</w:t>
      </w:r>
      <w:r w:rsidR="00E8128F">
        <w:rPr>
          <w:sz w:val="36"/>
          <w:szCs w:val="36"/>
          <w:rtl/>
        </w:rPr>
        <w:t xml:space="preserve"> </w:t>
      </w:r>
      <w:r w:rsidR="00F241A5" w:rsidRPr="00FD211F">
        <w:rPr>
          <w:sz w:val="36"/>
          <w:szCs w:val="36"/>
          <w:rtl/>
        </w:rPr>
        <w:t>المشتق</w:t>
      </w:r>
      <w:r w:rsidR="00E8128F">
        <w:rPr>
          <w:sz w:val="36"/>
          <w:szCs w:val="36"/>
          <w:rtl/>
        </w:rPr>
        <w:t xml:space="preserve"> </w:t>
      </w:r>
      <w:r w:rsidR="00F241A5" w:rsidRPr="00FD211F">
        <w:rPr>
          <w:sz w:val="36"/>
          <w:szCs w:val="36"/>
          <w:rtl/>
        </w:rPr>
        <w:t>وما</w:t>
      </w:r>
      <w:r w:rsidR="00E8128F">
        <w:rPr>
          <w:sz w:val="36"/>
          <w:szCs w:val="36"/>
          <w:rtl/>
        </w:rPr>
        <w:t xml:space="preserve"> </w:t>
      </w:r>
      <w:r w:rsidR="00F241A5" w:rsidRPr="00FD211F">
        <w:rPr>
          <w:sz w:val="36"/>
          <w:szCs w:val="36"/>
          <w:rtl/>
        </w:rPr>
        <w:t>بحكمه</w:t>
      </w:r>
      <w:r w:rsidR="00E8128F">
        <w:rPr>
          <w:sz w:val="36"/>
          <w:szCs w:val="36"/>
          <w:rtl/>
        </w:rPr>
        <w:t xml:space="preserve"> </w:t>
      </w:r>
      <w:r w:rsidR="00F241A5" w:rsidRPr="00FD211F">
        <w:rPr>
          <w:sz w:val="36"/>
          <w:szCs w:val="36"/>
          <w:rtl/>
        </w:rPr>
        <w:t>من</w:t>
      </w:r>
      <w:r w:rsidR="00E8128F">
        <w:rPr>
          <w:sz w:val="36"/>
          <w:szCs w:val="36"/>
          <w:rtl/>
        </w:rPr>
        <w:t xml:space="preserve"> </w:t>
      </w:r>
      <w:r w:rsidR="00F241A5" w:rsidRPr="00FD211F">
        <w:rPr>
          <w:sz w:val="36"/>
          <w:szCs w:val="36"/>
          <w:rtl/>
        </w:rPr>
        <w:t>الاسم</w:t>
      </w:r>
      <w:r w:rsidR="00E8128F">
        <w:rPr>
          <w:sz w:val="36"/>
          <w:szCs w:val="36"/>
          <w:rtl/>
        </w:rPr>
        <w:t xml:space="preserve"> </w:t>
      </w:r>
      <w:r w:rsidR="00F241A5" w:rsidRPr="00FD211F">
        <w:rPr>
          <w:sz w:val="36"/>
          <w:szCs w:val="36"/>
          <w:rtl/>
        </w:rPr>
        <w:t>الجامد</w:t>
      </w:r>
      <w:r w:rsidR="00E8128F">
        <w:rPr>
          <w:sz w:val="36"/>
          <w:szCs w:val="36"/>
          <w:rtl/>
        </w:rPr>
        <w:t xml:space="preserve"> </w:t>
      </w:r>
      <w:r w:rsidR="00F241A5" w:rsidRPr="00FD211F">
        <w:rPr>
          <w:sz w:val="36"/>
          <w:szCs w:val="36"/>
          <w:rtl/>
        </w:rPr>
        <w:t>الذي</w:t>
      </w:r>
      <w:r w:rsidR="00E8128F">
        <w:rPr>
          <w:sz w:val="36"/>
          <w:szCs w:val="36"/>
          <w:rtl/>
        </w:rPr>
        <w:t xml:space="preserve"> </w:t>
      </w:r>
      <w:r w:rsidR="00F241A5" w:rsidRPr="00FD211F">
        <w:rPr>
          <w:sz w:val="36"/>
          <w:szCs w:val="36"/>
          <w:rtl/>
        </w:rPr>
        <w:t>يحمل</w:t>
      </w:r>
      <w:r w:rsidR="00E8128F">
        <w:rPr>
          <w:sz w:val="36"/>
          <w:szCs w:val="36"/>
          <w:rtl/>
        </w:rPr>
        <w:t xml:space="preserve"> </w:t>
      </w:r>
      <w:r w:rsidR="00F241A5" w:rsidRPr="00FD211F">
        <w:rPr>
          <w:sz w:val="36"/>
          <w:szCs w:val="36"/>
          <w:rtl/>
        </w:rPr>
        <w:t>على</w:t>
      </w:r>
      <w:r w:rsidR="00E8128F">
        <w:rPr>
          <w:sz w:val="36"/>
          <w:szCs w:val="36"/>
          <w:rtl/>
        </w:rPr>
        <w:t xml:space="preserve"> </w:t>
      </w:r>
      <w:r w:rsidR="00F241A5" w:rsidRPr="00FD211F">
        <w:rPr>
          <w:sz w:val="36"/>
          <w:szCs w:val="36"/>
          <w:rtl/>
        </w:rPr>
        <w:t>الذات</w:t>
      </w:r>
      <w:r w:rsidR="00E8128F">
        <w:rPr>
          <w:sz w:val="36"/>
          <w:szCs w:val="36"/>
          <w:rtl/>
        </w:rPr>
        <w:t xml:space="preserve"> </w:t>
      </w:r>
      <w:r w:rsidR="00F241A5" w:rsidRPr="00FD211F">
        <w:rPr>
          <w:sz w:val="36"/>
          <w:szCs w:val="36"/>
          <w:rtl/>
        </w:rPr>
        <w:t>يكون</w:t>
      </w:r>
      <w:r w:rsidR="00E8128F">
        <w:rPr>
          <w:sz w:val="36"/>
          <w:szCs w:val="36"/>
          <w:rtl/>
        </w:rPr>
        <w:t xml:space="preserve"> </w:t>
      </w:r>
      <w:r w:rsidR="00F241A5" w:rsidRPr="00FD211F">
        <w:rPr>
          <w:sz w:val="36"/>
          <w:szCs w:val="36"/>
          <w:rtl/>
        </w:rPr>
        <w:t>المحمول</w:t>
      </w:r>
      <w:r w:rsidR="00E8128F">
        <w:rPr>
          <w:sz w:val="36"/>
          <w:szCs w:val="36"/>
          <w:rtl/>
        </w:rPr>
        <w:t xml:space="preserve"> </w:t>
      </w:r>
      <w:r w:rsidR="00F241A5" w:rsidRPr="00FD211F">
        <w:rPr>
          <w:sz w:val="36"/>
          <w:szCs w:val="36"/>
          <w:rtl/>
        </w:rPr>
        <w:t>بسيطا</w:t>
      </w:r>
      <w:r w:rsidR="00E8128F">
        <w:rPr>
          <w:sz w:val="36"/>
          <w:szCs w:val="36"/>
          <w:rtl/>
        </w:rPr>
        <w:t xml:space="preserve"> </w:t>
      </w:r>
      <w:r w:rsidR="00F241A5" w:rsidRPr="00FD211F">
        <w:rPr>
          <w:sz w:val="36"/>
          <w:szCs w:val="36"/>
          <w:rtl/>
        </w:rPr>
        <w:t>تصورا</w:t>
      </w:r>
      <w:r w:rsidR="00E8128F">
        <w:rPr>
          <w:sz w:val="36"/>
          <w:szCs w:val="36"/>
          <w:rtl/>
        </w:rPr>
        <w:t xml:space="preserve"> </w:t>
      </w:r>
      <w:r w:rsidR="00F241A5" w:rsidRPr="00FD211F">
        <w:rPr>
          <w:sz w:val="36"/>
          <w:szCs w:val="36"/>
          <w:rtl/>
        </w:rPr>
        <w:t>ومركبا</w:t>
      </w:r>
      <w:r w:rsidR="00E8128F">
        <w:rPr>
          <w:sz w:val="36"/>
          <w:szCs w:val="36"/>
          <w:rtl/>
        </w:rPr>
        <w:t xml:space="preserve"> </w:t>
      </w:r>
      <w:r w:rsidR="00F241A5" w:rsidRPr="00FD211F">
        <w:rPr>
          <w:sz w:val="36"/>
          <w:szCs w:val="36"/>
          <w:rtl/>
        </w:rPr>
        <w:t>تحليلا.</w:t>
      </w:r>
    </w:p>
    <w:p w14:paraId="1C3BF7B2" w14:textId="77777777" w:rsidR="00DA3D0F" w:rsidRPr="00FD211F" w:rsidRDefault="00DA3D0F" w:rsidP="009C58C8">
      <w:pPr>
        <w:pStyle w:val="3"/>
        <w:ind w:firstLine="227"/>
        <w:jc w:val="both"/>
        <w:rPr>
          <w:rtl/>
        </w:rPr>
      </w:pPr>
      <w:bookmarkStart w:id="474" w:name="_Toc192092955"/>
      <w:bookmarkStart w:id="475" w:name="_Toc223890439"/>
      <w:r w:rsidRPr="00FD211F">
        <w:rPr>
          <w:rtl/>
        </w:rPr>
        <w:t>مسلك</w:t>
      </w:r>
      <w:r w:rsidR="00E8128F">
        <w:rPr>
          <w:rtl/>
        </w:rPr>
        <w:t xml:space="preserve"> </w:t>
      </w:r>
      <w:r w:rsidRPr="00FD211F">
        <w:rPr>
          <w:rtl/>
        </w:rPr>
        <w:t>المحقق</w:t>
      </w:r>
      <w:r w:rsidR="00E8128F">
        <w:rPr>
          <w:rtl/>
        </w:rPr>
        <w:t xml:space="preserve"> </w:t>
      </w:r>
      <w:r w:rsidRPr="00FD211F">
        <w:rPr>
          <w:rtl/>
        </w:rPr>
        <w:t>العراقي</w:t>
      </w:r>
      <w:r w:rsidR="00E8128F">
        <w:rPr>
          <w:rtl/>
        </w:rPr>
        <w:t xml:space="preserve"> </w:t>
      </w:r>
      <w:r w:rsidR="00C47877" w:rsidRPr="00FD211F">
        <w:rPr>
          <w:rtl/>
        </w:rPr>
        <w:t>"</w:t>
      </w:r>
      <w:r w:rsidRPr="00FD211F">
        <w:rPr>
          <w:rtl/>
        </w:rPr>
        <w:t>قده</w:t>
      </w:r>
      <w:r w:rsidR="00C47877" w:rsidRPr="00FD211F">
        <w:rPr>
          <w:rtl/>
        </w:rPr>
        <w:t>"</w:t>
      </w:r>
      <w:r w:rsidR="00E8128F">
        <w:rPr>
          <w:rtl/>
        </w:rPr>
        <w:t xml:space="preserve"> </w:t>
      </w:r>
      <w:r w:rsidRPr="00FD211F">
        <w:rPr>
          <w:rtl/>
        </w:rPr>
        <w:t>في</w:t>
      </w:r>
      <w:r w:rsidR="00E8128F">
        <w:rPr>
          <w:rtl/>
        </w:rPr>
        <w:t xml:space="preserve"> </w:t>
      </w:r>
      <w:r w:rsidRPr="00FD211F">
        <w:rPr>
          <w:rtl/>
        </w:rPr>
        <w:t>معنى</w:t>
      </w:r>
      <w:r w:rsidR="00E8128F">
        <w:rPr>
          <w:rtl/>
        </w:rPr>
        <w:t xml:space="preserve"> </w:t>
      </w:r>
      <w:r w:rsidRPr="00FD211F">
        <w:rPr>
          <w:rtl/>
        </w:rPr>
        <w:t>المشتق</w:t>
      </w:r>
      <w:bookmarkEnd w:id="474"/>
      <w:bookmarkEnd w:id="475"/>
    </w:p>
    <w:p w14:paraId="439A293A" w14:textId="77777777" w:rsidR="0025668E" w:rsidRPr="00FD211F" w:rsidRDefault="00F241A5" w:rsidP="005946E3">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لابأس</w:t>
      </w:r>
      <w:r w:rsidR="00E8128F">
        <w:rPr>
          <w:sz w:val="36"/>
          <w:szCs w:val="36"/>
          <w:rtl/>
        </w:rPr>
        <w:t xml:space="preserve"> </w:t>
      </w:r>
      <w:r w:rsidRPr="00FD211F">
        <w:rPr>
          <w:sz w:val="36"/>
          <w:szCs w:val="36"/>
          <w:rtl/>
        </w:rPr>
        <w:t>بنقل</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حكي</w:t>
      </w:r>
      <w:r w:rsidR="00E8128F">
        <w:rPr>
          <w:sz w:val="36"/>
          <w:szCs w:val="36"/>
          <w:rtl/>
        </w:rPr>
        <w:t xml:space="preserve"> </w:t>
      </w:r>
      <w:r w:rsidR="0024575F" w:rsidRPr="00FD211F">
        <w:rPr>
          <w:sz w:val="36"/>
          <w:szCs w:val="36"/>
          <w:rtl/>
        </w:rPr>
        <w:t>في</w:t>
      </w:r>
      <w:r w:rsidR="00E8128F">
        <w:rPr>
          <w:sz w:val="36"/>
          <w:szCs w:val="36"/>
          <w:rtl/>
        </w:rPr>
        <w:t xml:space="preserve"> </w:t>
      </w:r>
      <w:r w:rsidR="0024575F" w:rsidRPr="00FD211F">
        <w:rPr>
          <w:sz w:val="36"/>
          <w:szCs w:val="36"/>
          <w:rtl/>
        </w:rPr>
        <w:t>بدايع</w:t>
      </w:r>
      <w:r w:rsidR="00E8128F">
        <w:rPr>
          <w:sz w:val="36"/>
          <w:szCs w:val="36"/>
          <w:rtl/>
        </w:rPr>
        <w:t xml:space="preserve"> </w:t>
      </w:r>
      <w:r w:rsidR="0024575F" w:rsidRPr="00FD211F">
        <w:rPr>
          <w:sz w:val="36"/>
          <w:szCs w:val="36"/>
          <w:rtl/>
        </w:rPr>
        <w:t>الأفكار</w:t>
      </w:r>
      <w:r w:rsidRPr="00FD211F">
        <w:rPr>
          <w:sz w:val="36"/>
          <w:szCs w:val="36"/>
          <w:rtl/>
        </w:rPr>
        <w:t>عن</w:t>
      </w:r>
      <w:r w:rsidR="00E8128F">
        <w:rPr>
          <w:sz w:val="36"/>
          <w:szCs w:val="36"/>
          <w:rtl/>
        </w:rPr>
        <w:t xml:space="preserve"> </w:t>
      </w:r>
      <w:r w:rsidR="00DA3D0F" w:rsidRPr="00FD211F">
        <w:rPr>
          <w:sz w:val="36"/>
          <w:szCs w:val="36"/>
          <w:rtl/>
        </w:rPr>
        <w:t>المحقق</w:t>
      </w:r>
      <w:r w:rsidR="00E8128F">
        <w:rPr>
          <w:sz w:val="36"/>
          <w:szCs w:val="36"/>
          <w:rtl/>
        </w:rPr>
        <w:t xml:space="preserve"> </w:t>
      </w:r>
      <w:r w:rsidR="00DA3D0F" w:rsidRPr="00FD211F">
        <w:rPr>
          <w:sz w:val="36"/>
          <w:szCs w:val="36"/>
          <w:rtl/>
        </w:rPr>
        <w:t>العراقي</w:t>
      </w:r>
      <w:r w:rsidR="00E8128F">
        <w:rPr>
          <w:sz w:val="36"/>
          <w:szCs w:val="36"/>
          <w:rtl/>
        </w:rPr>
        <w:t xml:space="preserve"> </w:t>
      </w:r>
      <w:r w:rsidR="005946E3" w:rsidRPr="00FD211F">
        <w:rPr>
          <w:sz w:val="36"/>
          <w:szCs w:val="36"/>
          <w:rtl/>
        </w:rPr>
        <w:t>"قده"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اختار</w:t>
      </w:r>
      <w:r w:rsidR="00E8128F">
        <w:rPr>
          <w:sz w:val="36"/>
          <w:szCs w:val="36"/>
          <w:rtl/>
        </w:rPr>
        <w:t xml:space="preserve"> </w:t>
      </w:r>
      <w:r w:rsidRPr="00FD211F">
        <w:rPr>
          <w:sz w:val="36"/>
          <w:szCs w:val="36"/>
          <w:rtl/>
        </w:rPr>
        <w:t>ان</w:t>
      </w:r>
      <w:r w:rsidR="00E8128F">
        <w:rPr>
          <w:sz w:val="36"/>
          <w:szCs w:val="36"/>
          <w:rtl/>
        </w:rPr>
        <w:t xml:space="preserve"> </w:t>
      </w:r>
      <w:r w:rsidR="00DA3D0F" w:rsidRPr="00FD211F">
        <w:rPr>
          <w:sz w:val="36"/>
          <w:szCs w:val="36"/>
          <w:rtl/>
        </w:rPr>
        <w:t>المشتق</w:t>
      </w:r>
      <w:r w:rsidR="00E8128F">
        <w:rPr>
          <w:sz w:val="36"/>
          <w:szCs w:val="36"/>
          <w:rtl/>
        </w:rPr>
        <w:t xml:space="preserve"> </w:t>
      </w:r>
      <w:r w:rsidR="00DA3D0F" w:rsidRPr="00FD211F">
        <w:rPr>
          <w:sz w:val="36"/>
          <w:szCs w:val="36"/>
          <w:rtl/>
        </w:rPr>
        <w:t>يدل</w:t>
      </w:r>
      <w:r w:rsidR="00E8128F">
        <w:rPr>
          <w:sz w:val="36"/>
          <w:szCs w:val="36"/>
          <w:rtl/>
        </w:rPr>
        <w:t xml:space="preserve"> </w:t>
      </w:r>
      <w:r w:rsidR="00DA3D0F" w:rsidRPr="00FD211F">
        <w:rPr>
          <w:sz w:val="36"/>
          <w:szCs w:val="36"/>
          <w:rtl/>
        </w:rPr>
        <w:t>بمادته</w:t>
      </w:r>
      <w:r w:rsidR="00E8128F">
        <w:rPr>
          <w:sz w:val="36"/>
          <w:szCs w:val="36"/>
          <w:rtl/>
        </w:rPr>
        <w:t xml:space="preserve"> </w:t>
      </w:r>
      <w:r w:rsidR="00DA3D0F" w:rsidRPr="00FD211F">
        <w:rPr>
          <w:sz w:val="36"/>
          <w:szCs w:val="36"/>
          <w:rtl/>
        </w:rPr>
        <w:t>على</w:t>
      </w:r>
      <w:r w:rsidR="00E8128F">
        <w:rPr>
          <w:sz w:val="36"/>
          <w:szCs w:val="36"/>
          <w:rtl/>
        </w:rPr>
        <w:t xml:space="preserve"> </w:t>
      </w:r>
      <w:r w:rsidR="00DA3D0F" w:rsidRPr="00FD211F">
        <w:rPr>
          <w:sz w:val="36"/>
          <w:szCs w:val="36"/>
          <w:rtl/>
        </w:rPr>
        <w:t>الحدث</w:t>
      </w:r>
      <w:r w:rsidR="00E8128F">
        <w:rPr>
          <w:sz w:val="36"/>
          <w:szCs w:val="36"/>
          <w:rtl/>
        </w:rPr>
        <w:t xml:space="preserve"> </w:t>
      </w:r>
      <w:r w:rsidR="00DA3D0F" w:rsidRPr="00FD211F">
        <w:rPr>
          <w:sz w:val="36"/>
          <w:szCs w:val="36"/>
          <w:rtl/>
        </w:rPr>
        <w:t>وبهيئته</w:t>
      </w:r>
      <w:r w:rsidR="00E8128F">
        <w:rPr>
          <w:sz w:val="36"/>
          <w:szCs w:val="36"/>
          <w:rtl/>
        </w:rPr>
        <w:t xml:space="preserve"> </w:t>
      </w:r>
      <w:r w:rsidR="00DA3D0F" w:rsidRPr="00FD211F">
        <w:rPr>
          <w:sz w:val="36"/>
          <w:szCs w:val="36"/>
          <w:rtl/>
        </w:rPr>
        <w:t>على</w:t>
      </w:r>
      <w:r w:rsidR="00E8128F">
        <w:rPr>
          <w:sz w:val="36"/>
          <w:szCs w:val="36"/>
          <w:rtl/>
        </w:rPr>
        <w:t xml:space="preserve"> </w:t>
      </w:r>
      <w:r w:rsidR="00DA3D0F" w:rsidRPr="00FD211F">
        <w:rPr>
          <w:sz w:val="36"/>
          <w:szCs w:val="36"/>
          <w:rtl/>
        </w:rPr>
        <w:t>النسب</w:t>
      </w:r>
      <w:r w:rsidR="00EC7EDF" w:rsidRPr="00FD211F">
        <w:rPr>
          <w:sz w:val="36"/>
          <w:szCs w:val="36"/>
          <w:rtl/>
        </w:rPr>
        <w:t>ة</w:t>
      </w:r>
      <w:r w:rsidR="00E8128F">
        <w:rPr>
          <w:sz w:val="36"/>
          <w:szCs w:val="36"/>
          <w:rtl/>
        </w:rPr>
        <w:t xml:space="preserve"> </w:t>
      </w:r>
      <w:r w:rsidR="00DA3D0F" w:rsidRPr="00FD211F">
        <w:rPr>
          <w:sz w:val="36"/>
          <w:szCs w:val="36"/>
          <w:rtl/>
        </w:rPr>
        <w:t>واما</w:t>
      </w:r>
      <w:r w:rsidR="00E8128F">
        <w:rPr>
          <w:sz w:val="36"/>
          <w:szCs w:val="36"/>
          <w:rtl/>
        </w:rPr>
        <w:t xml:space="preserve"> </w:t>
      </w:r>
      <w:r w:rsidR="00DA3D0F" w:rsidRPr="00FD211F">
        <w:rPr>
          <w:sz w:val="36"/>
          <w:szCs w:val="36"/>
          <w:rtl/>
        </w:rPr>
        <w:t>الذات</w:t>
      </w:r>
      <w:r w:rsidR="00E8128F">
        <w:rPr>
          <w:sz w:val="36"/>
          <w:szCs w:val="36"/>
          <w:rtl/>
        </w:rPr>
        <w:t xml:space="preserve"> </w:t>
      </w:r>
      <w:r w:rsidR="00DA3D0F" w:rsidRPr="00FD211F">
        <w:rPr>
          <w:sz w:val="36"/>
          <w:szCs w:val="36"/>
          <w:rtl/>
        </w:rPr>
        <w:t>فخارج</w:t>
      </w:r>
      <w:r w:rsidR="00EC7EDF" w:rsidRPr="00FD211F">
        <w:rPr>
          <w:sz w:val="36"/>
          <w:szCs w:val="36"/>
          <w:rtl/>
        </w:rPr>
        <w:t>ة</w:t>
      </w:r>
      <w:r w:rsidR="00E8128F">
        <w:rPr>
          <w:sz w:val="36"/>
          <w:szCs w:val="36"/>
          <w:rtl/>
        </w:rPr>
        <w:t xml:space="preserve"> </w:t>
      </w:r>
      <w:r w:rsidR="00DA3D0F" w:rsidRPr="00FD211F">
        <w:rPr>
          <w:sz w:val="36"/>
          <w:szCs w:val="36"/>
          <w:rtl/>
        </w:rPr>
        <w:t>عن</w:t>
      </w:r>
      <w:r w:rsidR="00E8128F">
        <w:rPr>
          <w:sz w:val="36"/>
          <w:szCs w:val="36"/>
          <w:rtl/>
        </w:rPr>
        <w:t xml:space="preserve"> </w:t>
      </w:r>
      <w:r w:rsidR="00DA3D0F" w:rsidRPr="00FD211F">
        <w:rPr>
          <w:sz w:val="36"/>
          <w:szCs w:val="36"/>
          <w:rtl/>
        </w:rPr>
        <w:t>المدلول</w:t>
      </w:r>
      <w:r w:rsidR="00E8128F">
        <w:rPr>
          <w:sz w:val="36"/>
          <w:szCs w:val="36"/>
          <w:rtl/>
        </w:rPr>
        <w:t xml:space="preserve"> </w:t>
      </w:r>
      <w:r w:rsidR="00DA3D0F" w:rsidRPr="00FD211F">
        <w:rPr>
          <w:sz w:val="36"/>
          <w:szCs w:val="36"/>
          <w:rtl/>
        </w:rPr>
        <w:t>اللفظي</w:t>
      </w:r>
      <w:r w:rsidR="00603323" w:rsidRPr="00FD211F">
        <w:rPr>
          <w:sz w:val="36"/>
          <w:szCs w:val="36"/>
          <w:rtl/>
        </w:rPr>
        <w:t>،</w:t>
      </w:r>
      <w:r w:rsidR="00E8128F">
        <w:rPr>
          <w:sz w:val="36"/>
          <w:szCs w:val="36"/>
          <w:rtl/>
        </w:rPr>
        <w:t xml:space="preserve"> </w:t>
      </w:r>
      <w:r w:rsidR="00DA3D0F" w:rsidRPr="00FD211F">
        <w:rPr>
          <w:sz w:val="36"/>
          <w:szCs w:val="36"/>
          <w:rtl/>
        </w:rPr>
        <w:t>وقد</w:t>
      </w:r>
      <w:r w:rsidR="00E8128F">
        <w:rPr>
          <w:sz w:val="36"/>
          <w:szCs w:val="36"/>
          <w:rtl/>
        </w:rPr>
        <w:t xml:space="preserve"> </w:t>
      </w:r>
      <w:r w:rsidR="00DA3D0F" w:rsidRPr="00FD211F">
        <w:rPr>
          <w:sz w:val="36"/>
          <w:szCs w:val="36"/>
          <w:rtl/>
        </w:rPr>
        <w:t>افاد</w:t>
      </w:r>
      <w:r w:rsidR="00E8128F">
        <w:rPr>
          <w:sz w:val="36"/>
          <w:szCs w:val="36"/>
          <w:rtl/>
        </w:rPr>
        <w:t xml:space="preserve"> </w:t>
      </w:r>
      <w:r w:rsidR="00DA3D0F" w:rsidRPr="00FD211F">
        <w:rPr>
          <w:sz w:val="36"/>
          <w:szCs w:val="36"/>
          <w:rtl/>
        </w:rPr>
        <w:t>انه</w:t>
      </w:r>
      <w:r w:rsidR="00E8128F">
        <w:rPr>
          <w:sz w:val="36"/>
          <w:szCs w:val="36"/>
          <w:rtl/>
        </w:rPr>
        <w:t xml:space="preserve"> </w:t>
      </w:r>
      <w:r w:rsidR="00DA3D0F" w:rsidRPr="00FD211F">
        <w:rPr>
          <w:sz w:val="36"/>
          <w:szCs w:val="36"/>
          <w:rtl/>
        </w:rPr>
        <w:t>ثبت</w:t>
      </w:r>
      <w:r w:rsidR="00E8128F">
        <w:rPr>
          <w:sz w:val="36"/>
          <w:szCs w:val="36"/>
          <w:rtl/>
        </w:rPr>
        <w:t xml:space="preserve"> </w:t>
      </w:r>
      <w:r w:rsidR="00DA3D0F" w:rsidRPr="00FD211F">
        <w:rPr>
          <w:sz w:val="36"/>
          <w:szCs w:val="36"/>
          <w:rtl/>
        </w:rPr>
        <w:t>بالاستقراء</w:t>
      </w:r>
      <w:r w:rsidR="00E8128F">
        <w:rPr>
          <w:sz w:val="36"/>
          <w:szCs w:val="36"/>
          <w:rtl/>
        </w:rPr>
        <w:t xml:space="preserve"> </w:t>
      </w:r>
      <w:r w:rsidR="00DA3D0F" w:rsidRPr="00FD211F">
        <w:rPr>
          <w:sz w:val="36"/>
          <w:szCs w:val="36"/>
          <w:rtl/>
        </w:rPr>
        <w:t>ان</w:t>
      </w:r>
      <w:r w:rsidR="00E8128F">
        <w:rPr>
          <w:sz w:val="36"/>
          <w:szCs w:val="36"/>
          <w:rtl/>
        </w:rPr>
        <w:t xml:space="preserve"> </w:t>
      </w:r>
      <w:r w:rsidR="00DA3D0F" w:rsidRPr="00FD211F">
        <w:rPr>
          <w:sz w:val="36"/>
          <w:szCs w:val="36"/>
          <w:rtl/>
        </w:rPr>
        <w:t>الحروف</w:t>
      </w:r>
      <w:r w:rsidR="00E8128F">
        <w:rPr>
          <w:sz w:val="36"/>
          <w:szCs w:val="36"/>
          <w:rtl/>
        </w:rPr>
        <w:t xml:space="preserve"> </w:t>
      </w:r>
      <w:r w:rsidR="00DA3D0F" w:rsidRPr="00FD211F">
        <w:rPr>
          <w:sz w:val="36"/>
          <w:szCs w:val="36"/>
          <w:rtl/>
        </w:rPr>
        <w:t>والهيئات</w:t>
      </w:r>
      <w:r w:rsidR="00E8128F">
        <w:rPr>
          <w:sz w:val="36"/>
          <w:szCs w:val="36"/>
          <w:rtl/>
        </w:rPr>
        <w:t xml:space="preserve"> </w:t>
      </w:r>
      <w:r w:rsidR="00DA3D0F" w:rsidRPr="00FD211F">
        <w:rPr>
          <w:sz w:val="36"/>
          <w:szCs w:val="36"/>
          <w:rtl/>
        </w:rPr>
        <w:t>لاتدلان</w:t>
      </w:r>
      <w:r w:rsidR="00E8128F">
        <w:rPr>
          <w:sz w:val="36"/>
          <w:szCs w:val="36"/>
          <w:rtl/>
        </w:rPr>
        <w:t xml:space="preserve"> </w:t>
      </w:r>
      <w:r w:rsidR="00DA3D0F" w:rsidRPr="00FD211F">
        <w:rPr>
          <w:sz w:val="36"/>
          <w:szCs w:val="36"/>
          <w:rtl/>
        </w:rPr>
        <w:t>على</w:t>
      </w:r>
      <w:r w:rsidR="00E8128F">
        <w:rPr>
          <w:sz w:val="36"/>
          <w:szCs w:val="36"/>
          <w:rtl/>
        </w:rPr>
        <w:t xml:space="preserve"> </w:t>
      </w:r>
      <w:r w:rsidR="00DA3D0F" w:rsidRPr="00FD211F">
        <w:rPr>
          <w:sz w:val="36"/>
          <w:szCs w:val="36"/>
          <w:rtl/>
        </w:rPr>
        <w:t>ازيد</w:t>
      </w:r>
      <w:r w:rsidR="00E8128F">
        <w:rPr>
          <w:sz w:val="36"/>
          <w:szCs w:val="36"/>
          <w:rtl/>
        </w:rPr>
        <w:t xml:space="preserve"> </w:t>
      </w:r>
      <w:r w:rsidR="00DA3D0F" w:rsidRPr="00FD211F">
        <w:rPr>
          <w:sz w:val="36"/>
          <w:szCs w:val="36"/>
          <w:rtl/>
        </w:rPr>
        <w:t>من</w:t>
      </w:r>
      <w:r w:rsidR="00E8128F">
        <w:rPr>
          <w:sz w:val="36"/>
          <w:szCs w:val="36"/>
          <w:rtl/>
        </w:rPr>
        <w:t xml:space="preserve"> </w:t>
      </w:r>
      <w:r w:rsidR="00DA3D0F" w:rsidRPr="00FD211F">
        <w:rPr>
          <w:sz w:val="36"/>
          <w:szCs w:val="36"/>
          <w:rtl/>
        </w:rPr>
        <w:t>النسب</w:t>
      </w:r>
      <w:r w:rsidR="00EC7EDF" w:rsidRPr="00FD211F">
        <w:rPr>
          <w:sz w:val="36"/>
          <w:szCs w:val="36"/>
          <w:rtl/>
        </w:rPr>
        <w:t>ة</w:t>
      </w:r>
      <w:r w:rsidR="00E8128F">
        <w:rPr>
          <w:sz w:val="36"/>
          <w:szCs w:val="36"/>
          <w:rtl/>
        </w:rPr>
        <w:t xml:space="preserve"> </w:t>
      </w:r>
      <w:r w:rsidR="00DA3D0F" w:rsidRPr="00FD211F">
        <w:rPr>
          <w:sz w:val="36"/>
          <w:szCs w:val="36"/>
          <w:rtl/>
        </w:rPr>
        <w:t>ولكن</w:t>
      </w:r>
      <w:r w:rsidR="00E8128F">
        <w:rPr>
          <w:sz w:val="36"/>
          <w:szCs w:val="36"/>
          <w:rtl/>
        </w:rPr>
        <w:t xml:space="preserve"> </w:t>
      </w:r>
      <w:r w:rsidR="00DA3D0F" w:rsidRPr="00FD211F">
        <w:rPr>
          <w:sz w:val="36"/>
          <w:szCs w:val="36"/>
          <w:rtl/>
        </w:rPr>
        <w:t>حيث</w:t>
      </w:r>
      <w:r w:rsidR="00E8128F">
        <w:rPr>
          <w:sz w:val="36"/>
          <w:szCs w:val="36"/>
          <w:rtl/>
        </w:rPr>
        <w:t xml:space="preserve"> </w:t>
      </w:r>
      <w:r w:rsidR="00DA3D0F" w:rsidRPr="00FD211F">
        <w:rPr>
          <w:sz w:val="36"/>
          <w:szCs w:val="36"/>
          <w:rtl/>
        </w:rPr>
        <w:t>ان</w:t>
      </w:r>
      <w:r w:rsidR="00E8128F">
        <w:rPr>
          <w:sz w:val="36"/>
          <w:szCs w:val="36"/>
          <w:rtl/>
        </w:rPr>
        <w:t xml:space="preserve"> </w:t>
      </w:r>
      <w:r w:rsidR="00DA3D0F" w:rsidRPr="00FD211F">
        <w:rPr>
          <w:sz w:val="36"/>
          <w:szCs w:val="36"/>
          <w:rtl/>
        </w:rPr>
        <w:t>النسب</w:t>
      </w:r>
      <w:r w:rsidR="00EC7EDF" w:rsidRPr="00FD211F">
        <w:rPr>
          <w:sz w:val="36"/>
          <w:szCs w:val="36"/>
          <w:rtl/>
        </w:rPr>
        <w:t>ة</w:t>
      </w:r>
      <w:r w:rsidR="00E8128F">
        <w:rPr>
          <w:sz w:val="36"/>
          <w:szCs w:val="36"/>
          <w:rtl/>
        </w:rPr>
        <w:t xml:space="preserve"> </w:t>
      </w:r>
      <w:r w:rsidR="00DA3D0F" w:rsidRPr="00FD211F">
        <w:rPr>
          <w:sz w:val="36"/>
          <w:szCs w:val="36"/>
          <w:rtl/>
        </w:rPr>
        <w:t>لاتتقوم</w:t>
      </w:r>
      <w:r w:rsidR="00E8128F">
        <w:rPr>
          <w:sz w:val="36"/>
          <w:szCs w:val="36"/>
          <w:rtl/>
        </w:rPr>
        <w:t xml:space="preserve"> </w:t>
      </w:r>
      <w:r w:rsidR="00DA3D0F" w:rsidRPr="00FD211F">
        <w:rPr>
          <w:sz w:val="36"/>
          <w:szCs w:val="36"/>
          <w:rtl/>
        </w:rPr>
        <w:t>بطرف</w:t>
      </w:r>
      <w:r w:rsidR="00E8128F">
        <w:rPr>
          <w:sz w:val="36"/>
          <w:szCs w:val="36"/>
          <w:rtl/>
        </w:rPr>
        <w:t xml:space="preserve"> </w:t>
      </w:r>
      <w:r w:rsidR="00DA3D0F" w:rsidRPr="00FD211F">
        <w:rPr>
          <w:sz w:val="36"/>
          <w:szCs w:val="36"/>
          <w:rtl/>
        </w:rPr>
        <w:t>واحد</w:t>
      </w:r>
      <w:r w:rsidR="00E8128F">
        <w:rPr>
          <w:sz w:val="36"/>
          <w:szCs w:val="36"/>
          <w:rtl/>
        </w:rPr>
        <w:t xml:space="preserve"> </w:t>
      </w:r>
      <w:r w:rsidR="00DA3D0F" w:rsidRPr="00FD211F">
        <w:rPr>
          <w:sz w:val="36"/>
          <w:szCs w:val="36"/>
          <w:rtl/>
        </w:rPr>
        <w:t>فبالدلال</w:t>
      </w:r>
      <w:r w:rsidR="00EC7EDF" w:rsidRPr="00FD211F">
        <w:rPr>
          <w:sz w:val="36"/>
          <w:szCs w:val="36"/>
          <w:rtl/>
        </w:rPr>
        <w:t>ة</w:t>
      </w:r>
      <w:r w:rsidR="00E8128F">
        <w:rPr>
          <w:sz w:val="36"/>
          <w:szCs w:val="36"/>
          <w:rtl/>
        </w:rPr>
        <w:t xml:space="preserve"> </w:t>
      </w:r>
      <w:r w:rsidR="00DA3D0F" w:rsidRPr="00FD211F">
        <w:rPr>
          <w:sz w:val="36"/>
          <w:szCs w:val="36"/>
          <w:rtl/>
        </w:rPr>
        <w:t>الالتزامي</w:t>
      </w:r>
      <w:r w:rsidR="00EC7EDF" w:rsidRPr="00FD211F">
        <w:rPr>
          <w:sz w:val="36"/>
          <w:szCs w:val="36"/>
          <w:rtl/>
        </w:rPr>
        <w:t>ة</w:t>
      </w:r>
      <w:r w:rsidR="00E8128F">
        <w:rPr>
          <w:sz w:val="36"/>
          <w:szCs w:val="36"/>
          <w:rtl/>
        </w:rPr>
        <w:t xml:space="preserve"> </w:t>
      </w:r>
      <w:r w:rsidR="00DA3D0F" w:rsidRPr="00FD211F">
        <w:rPr>
          <w:sz w:val="36"/>
          <w:szCs w:val="36"/>
          <w:rtl/>
        </w:rPr>
        <w:t>العقلي</w:t>
      </w:r>
      <w:r w:rsidR="00EC7EDF" w:rsidRPr="00FD211F">
        <w:rPr>
          <w:sz w:val="36"/>
          <w:szCs w:val="36"/>
          <w:rtl/>
        </w:rPr>
        <w:t>ة</w:t>
      </w:r>
      <w:r w:rsidR="00E8128F">
        <w:rPr>
          <w:sz w:val="36"/>
          <w:szCs w:val="36"/>
          <w:rtl/>
        </w:rPr>
        <w:t xml:space="preserve"> </w:t>
      </w:r>
      <w:r w:rsidR="00DA3D0F" w:rsidRPr="00FD211F">
        <w:rPr>
          <w:sz w:val="36"/>
          <w:szCs w:val="36"/>
          <w:rtl/>
        </w:rPr>
        <w:t>يستكشف</w:t>
      </w:r>
      <w:r w:rsidR="00E8128F">
        <w:rPr>
          <w:sz w:val="36"/>
          <w:szCs w:val="36"/>
          <w:rtl/>
        </w:rPr>
        <w:t xml:space="preserve"> </w:t>
      </w:r>
      <w:r w:rsidR="00DA3D0F" w:rsidRPr="00FD211F">
        <w:rPr>
          <w:sz w:val="36"/>
          <w:szCs w:val="36"/>
          <w:rtl/>
        </w:rPr>
        <w:t>الطرف</w:t>
      </w:r>
      <w:r w:rsidR="00E8128F">
        <w:rPr>
          <w:sz w:val="36"/>
          <w:szCs w:val="36"/>
          <w:rtl/>
        </w:rPr>
        <w:t xml:space="preserve"> </w:t>
      </w:r>
      <w:r w:rsidR="00DA3D0F" w:rsidRPr="00FD211F">
        <w:rPr>
          <w:sz w:val="36"/>
          <w:szCs w:val="36"/>
          <w:rtl/>
        </w:rPr>
        <w:t>الآخر</w:t>
      </w:r>
      <w:r w:rsidR="00E8128F">
        <w:rPr>
          <w:sz w:val="36"/>
          <w:szCs w:val="36"/>
          <w:rtl/>
        </w:rPr>
        <w:t xml:space="preserve"> </w:t>
      </w:r>
      <w:r w:rsidR="00DA3D0F" w:rsidRPr="00FD211F">
        <w:rPr>
          <w:sz w:val="36"/>
          <w:szCs w:val="36"/>
          <w:rtl/>
        </w:rPr>
        <w:t>وهو</w:t>
      </w:r>
      <w:r w:rsidR="00E8128F">
        <w:rPr>
          <w:sz w:val="36"/>
          <w:szCs w:val="36"/>
          <w:rtl/>
        </w:rPr>
        <w:t xml:space="preserve"> </w:t>
      </w:r>
      <w:r w:rsidR="00DA3D0F" w:rsidRPr="00FD211F">
        <w:rPr>
          <w:sz w:val="36"/>
          <w:szCs w:val="36"/>
          <w:rtl/>
        </w:rPr>
        <w:t>الذات</w:t>
      </w:r>
      <w:r w:rsidR="00E8128F">
        <w:rPr>
          <w:sz w:val="36"/>
          <w:szCs w:val="36"/>
          <w:rtl/>
        </w:rPr>
        <w:t xml:space="preserve"> </w:t>
      </w:r>
      <w:r w:rsidR="00DA3D0F" w:rsidRPr="00FD211F">
        <w:rPr>
          <w:sz w:val="36"/>
          <w:szCs w:val="36"/>
          <w:rtl/>
        </w:rPr>
        <w:t>المبهم</w:t>
      </w:r>
      <w:r w:rsidR="00EC7EDF" w:rsidRPr="00FD211F">
        <w:rPr>
          <w:sz w:val="36"/>
          <w:szCs w:val="36"/>
          <w:rtl/>
        </w:rPr>
        <w:t>ة</w:t>
      </w:r>
      <w:r w:rsidR="00E8128F">
        <w:rPr>
          <w:sz w:val="36"/>
          <w:szCs w:val="36"/>
          <w:rtl/>
        </w:rPr>
        <w:t xml:space="preserve"> </w:t>
      </w:r>
      <w:r w:rsidR="00DA3D0F" w:rsidRPr="00FD211F">
        <w:rPr>
          <w:sz w:val="36"/>
          <w:szCs w:val="36"/>
          <w:rtl/>
        </w:rPr>
        <w:t>وحيث</w:t>
      </w:r>
      <w:r w:rsidR="00E8128F">
        <w:rPr>
          <w:sz w:val="36"/>
          <w:szCs w:val="36"/>
          <w:rtl/>
        </w:rPr>
        <w:t xml:space="preserve"> </w:t>
      </w:r>
      <w:r w:rsidR="00DA3D0F" w:rsidRPr="00FD211F">
        <w:rPr>
          <w:sz w:val="36"/>
          <w:szCs w:val="36"/>
          <w:rtl/>
        </w:rPr>
        <w:t>انه</w:t>
      </w:r>
      <w:r w:rsidR="00E8128F">
        <w:rPr>
          <w:sz w:val="36"/>
          <w:szCs w:val="36"/>
          <w:rtl/>
        </w:rPr>
        <w:t xml:space="preserve"> </w:t>
      </w:r>
      <w:r w:rsidR="00DA3D0F" w:rsidRPr="00FD211F">
        <w:rPr>
          <w:sz w:val="36"/>
          <w:szCs w:val="36"/>
          <w:rtl/>
        </w:rPr>
        <w:t>يراد</w:t>
      </w:r>
      <w:r w:rsidR="00E8128F">
        <w:rPr>
          <w:sz w:val="36"/>
          <w:szCs w:val="36"/>
          <w:rtl/>
        </w:rPr>
        <w:t xml:space="preserve"> </w:t>
      </w:r>
      <w:r w:rsidR="00DA3D0F" w:rsidRPr="00FD211F">
        <w:rPr>
          <w:sz w:val="36"/>
          <w:szCs w:val="36"/>
          <w:rtl/>
        </w:rPr>
        <w:t>حمله</w:t>
      </w:r>
      <w:r w:rsidR="00E8128F">
        <w:rPr>
          <w:sz w:val="36"/>
          <w:szCs w:val="36"/>
          <w:rtl/>
        </w:rPr>
        <w:t xml:space="preserve"> </w:t>
      </w:r>
      <w:r w:rsidR="00DA3D0F" w:rsidRPr="00FD211F">
        <w:rPr>
          <w:sz w:val="36"/>
          <w:szCs w:val="36"/>
          <w:rtl/>
        </w:rPr>
        <w:t>على</w:t>
      </w:r>
      <w:r w:rsidR="00E8128F">
        <w:rPr>
          <w:sz w:val="36"/>
          <w:szCs w:val="36"/>
          <w:rtl/>
        </w:rPr>
        <w:t xml:space="preserve"> </w:t>
      </w:r>
      <w:r w:rsidR="00DA3D0F" w:rsidRPr="00FD211F">
        <w:rPr>
          <w:sz w:val="36"/>
          <w:szCs w:val="36"/>
          <w:rtl/>
        </w:rPr>
        <w:t>الذات</w:t>
      </w:r>
      <w:r w:rsidR="00E8128F">
        <w:rPr>
          <w:sz w:val="36"/>
          <w:szCs w:val="36"/>
          <w:rtl/>
        </w:rPr>
        <w:t xml:space="preserve"> </w:t>
      </w:r>
      <w:r w:rsidR="00DA3D0F" w:rsidRPr="00FD211F">
        <w:rPr>
          <w:sz w:val="36"/>
          <w:szCs w:val="36"/>
          <w:rtl/>
        </w:rPr>
        <w:t>فلابد</w:t>
      </w:r>
      <w:r w:rsidR="00E8128F">
        <w:rPr>
          <w:sz w:val="36"/>
          <w:szCs w:val="36"/>
          <w:rtl/>
        </w:rPr>
        <w:t xml:space="preserve"> </w:t>
      </w:r>
      <w:r w:rsidR="00DA3D0F" w:rsidRPr="00FD211F">
        <w:rPr>
          <w:sz w:val="36"/>
          <w:szCs w:val="36"/>
          <w:rtl/>
        </w:rPr>
        <w:t>من</w:t>
      </w:r>
      <w:r w:rsidR="00E8128F">
        <w:rPr>
          <w:sz w:val="36"/>
          <w:szCs w:val="36"/>
          <w:rtl/>
        </w:rPr>
        <w:t xml:space="preserve"> </w:t>
      </w:r>
      <w:r w:rsidR="00DA3D0F" w:rsidRPr="00FD211F">
        <w:rPr>
          <w:sz w:val="36"/>
          <w:szCs w:val="36"/>
          <w:rtl/>
        </w:rPr>
        <w:t>لحاظ</w:t>
      </w:r>
      <w:r w:rsidR="00E8128F">
        <w:rPr>
          <w:sz w:val="36"/>
          <w:szCs w:val="36"/>
          <w:rtl/>
        </w:rPr>
        <w:t xml:space="preserve"> </w:t>
      </w:r>
      <w:r w:rsidR="00DA3D0F" w:rsidRPr="00FD211F">
        <w:rPr>
          <w:sz w:val="36"/>
          <w:szCs w:val="36"/>
          <w:rtl/>
        </w:rPr>
        <w:t>الذات</w:t>
      </w:r>
      <w:r w:rsidR="00E8128F">
        <w:rPr>
          <w:sz w:val="36"/>
          <w:szCs w:val="36"/>
          <w:rtl/>
        </w:rPr>
        <w:t xml:space="preserve"> </w:t>
      </w:r>
      <w:r w:rsidR="00DA3D0F" w:rsidRPr="00FD211F">
        <w:rPr>
          <w:sz w:val="36"/>
          <w:szCs w:val="36"/>
          <w:rtl/>
        </w:rPr>
        <w:t>المبهم</w:t>
      </w:r>
      <w:r w:rsidR="00EC7EDF" w:rsidRPr="00FD211F">
        <w:rPr>
          <w:sz w:val="36"/>
          <w:szCs w:val="36"/>
          <w:rtl/>
        </w:rPr>
        <w:t>ة</w:t>
      </w:r>
      <w:r w:rsidR="00E8128F">
        <w:rPr>
          <w:sz w:val="36"/>
          <w:szCs w:val="36"/>
          <w:rtl/>
        </w:rPr>
        <w:t xml:space="preserve"> </w:t>
      </w:r>
      <w:r w:rsidR="00DA3D0F" w:rsidRPr="00FD211F">
        <w:rPr>
          <w:sz w:val="36"/>
          <w:szCs w:val="36"/>
          <w:rtl/>
        </w:rPr>
        <w:t>ركنا</w:t>
      </w:r>
      <w:r w:rsidR="00E8128F">
        <w:rPr>
          <w:sz w:val="36"/>
          <w:szCs w:val="36"/>
          <w:rtl/>
        </w:rPr>
        <w:t xml:space="preserve"> </w:t>
      </w:r>
      <w:r w:rsidR="00DA3D0F" w:rsidRPr="00FD211F">
        <w:rPr>
          <w:sz w:val="36"/>
          <w:szCs w:val="36"/>
          <w:rtl/>
        </w:rPr>
        <w:t>ومقيدا</w:t>
      </w:r>
      <w:r w:rsidR="00E8128F">
        <w:rPr>
          <w:sz w:val="36"/>
          <w:szCs w:val="36"/>
          <w:rtl/>
        </w:rPr>
        <w:t xml:space="preserve"> </w:t>
      </w:r>
      <w:r w:rsidR="00DA3D0F" w:rsidRPr="00FD211F">
        <w:rPr>
          <w:sz w:val="36"/>
          <w:szCs w:val="36"/>
          <w:rtl/>
        </w:rPr>
        <w:t>لاقيدا.</w:t>
      </w:r>
      <w:r w:rsidR="00E8128F">
        <w:rPr>
          <w:sz w:val="36"/>
          <w:szCs w:val="36"/>
          <w:rtl/>
        </w:rPr>
        <w:t xml:space="preserve"> </w:t>
      </w:r>
    </w:p>
    <w:p w14:paraId="0C2C6D71" w14:textId="77777777" w:rsidR="00400C8F" w:rsidRPr="00FD211F" w:rsidRDefault="00DA3D0F" w:rsidP="009C58C8">
      <w:pPr>
        <w:ind w:left="0" w:firstLine="227"/>
        <w:jc w:val="both"/>
        <w:rPr>
          <w:sz w:val="36"/>
          <w:szCs w:val="36"/>
          <w:rtl/>
        </w:rPr>
      </w:pPr>
      <w:r w:rsidRPr="00FD211F">
        <w:rPr>
          <w:sz w:val="36"/>
          <w:szCs w:val="36"/>
          <w:rtl/>
        </w:rPr>
        <w:t>وفيه</w:t>
      </w:r>
      <w:r w:rsidR="00E8128F">
        <w:rPr>
          <w:sz w:val="36"/>
          <w:szCs w:val="36"/>
          <w:rtl/>
        </w:rPr>
        <w:t xml:space="preserve"> </w:t>
      </w:r>
      <w:r w:rsidRPr="00FD211F">
        <w:rPr>
          <w:sz w:val="36"/>
          <w:szCs w:val="36"/>
          <w:rtl/>
        </w:rPr>
        <w:t>ان</w:t>
      </w:r>
      <w:r w:rsidR="00E8128F">
        <w:rPr>
          <w:sz w:val="36"/>
          <w:szCs w:val="36"/>
          <w:rtl/>
        </w:rPr>
        <w:t xml:space="preserve"> </w:t>
      </w:r>
      <w:r w:rsidR="0025668E" w:rsidRPr="00FD211F">
        <w:rPr>
          <w:sz w:val="36"/>
          <w:szCs w:val="36"/>
          <w:rtl/>
        </w:rPr>
        <w:t>هذاالكلام</w:t>
      </w:r>
      <w:r w:rsidR="00E8128F">
        <w:rPr>
          <w:sz w:val="36"/>
          <w:szCs w:val="36"/>
          <w:rtl/>
        </w:rPr>
        <w:t xml:space="preserve"> </w:t>
      </w:r>
      <w:r w:rsidRPr="00FD211F">
        <w:rPr>
          <w:sz w:val="36"/>
          <w:szCs w:val="36"/>
          <w:rtl/>
        </w:rPr>
        <w:t>خلاف</w:t>
      </w:r>
      <w:r w:rsidR="00E8128F">
        <w:rPr>
          <w:sz w:val="36"/>
          <w:szCs w:val="36"/>
          <w:rtl/>
        </w:rPr>
        <w:t xml:space="preserve"> </w:t>
      </w:r>
      <w:r w:rsidRPr="00FD211F">
        <w:rPr>
          <w:sz w:val="36"/>
          <w:szCs w:val="36"/>
          <w:rtl/>
        </w:rPr>
        <w:t>المرتكز</w:t>
      </w:r>
      <w:r w:rsidR="00E8128F">
        <w:rPr>
          <w:sz w:val="36"/>
          <w:szCs w:val="36"/>
          <w:rtl/>
        </w:rPr>
        <w:t xml:space="preserve"> </w:t>
      </w:r>
      <w:r w:rsidRPr="00FD211F">
        <w:rPr>
          <w:sz w:val="36"/>
          <w:szCs w:val="36"/>
          <w:rtl/>
        </w:rPr>
        <w:t>العرفي</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معنى</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معناه</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الصور</w:t>
      </w:r>
      <w:r w:rsidR="00EC7EDF" w:rsidRPr="00FD211F">
        <w:rPr>
          <w:sz w:val="36"/>
          <w:szCs w:val="36"/>
          <w:rtl/>
        </w:rPr>
        <w:t>ة</w:t>
      </w:r>
      <w:r w:rsidR="00E8128F">
        <w:rPr>
          <w:sz w:val="36"/>
          <w:szCs w:val="36"/>
          <w:rtl/>
        </w:rPr>
        <w:t xml:space="preserve"> </w:t>
      </w:r>
      <w:r w:rsidRPr="00FD211F">
        <w:rPr>
          <w:sz w:val="36"/>
          <w:szCs w:val="36"/>
          <w:rtl/>
        </w:rPr>
        <w:t>الاجمالي</w:t>
      </w:r>
      <w:r w:rsidR="00EC7EDF" w:rsidRPr="00FD211F">
        <w:rPr>
          <w:sz w:val="36"/>
          <w:szCs w:val="36"/>
          <w:rtl/>
        </w:rPr>
        <w:t>ة</w:t>
      </w:r>
      <w:r w:rsidR="00E8128F">
        <w:rPr>
          <w:sz w:val="36"/>
          <w:szCs w:val="36"/>
          <w:rtl/>
        </w:rPr>
        <w:t xml:space="preserve"> </w:t>
      </w:r>
      <w:r w:rsidRPr="00FD211F">
        <w:rPr>
          <w:sz w:val="36"/>
          <w:szCs w:val="36"/>
          <w:rtl/>
        </w:rPr>
        <w:t>للذات</w:t>
      </w:r>
      <w:r w:rsidR="00E8128F">
        <w:rPr>
          <w:sz w:val="36"/>
          <w:szCs w:val="36"/>
          <w:rtl/>
        </w:rPr>
        <w:t xml:space="preserve"> </w:t>
      </w:r>
      <w:r w:rsidRPr="00FD211F">
        <w:rPr>
          <w:sz w:val="36"/>
          <w:szCs w:val="36"/>
          <w:rtl/>
        </w:rPr>
        <w:t>المتلبس</w:t>
      </w:r>
      <w:r w:rsidR="00EC7EDF" w:rsidRPr="00FD211F">
        <w:rPr>
          <w:sz w:val="36"/>
          <w:szCs w:val="36"/>
          <w:rtl/>
        </w:rPr>
        <w:t>ة</w:t>
      </w:r>
      <w:r w:rsidR="00E8128F">
        <w:rPr>
          <w:sz w:val="36"/>
          <w:szCs w:val="36"/>
          <w:rtl/>
        </w:rPr>
        <w:t xml:space="preserve"> </w:t>
      </w:r>
      <w:r w:rsidRPr="00FD211F">
        <w:rPr>
          <w:sz w:val="36"/>
          <w:szCs w:val="36"/>
          <w:rtl/>
        </w:rPr>
        <w:t>بالمبدأ</w:t>
      </w:r>
      <w:r w:rsidR="00603323" w:rsidRPr="00FD211F">
        <w:rPr>
          <w:sz w:val="36"/>
          <w:szCs w:val="36"/>
          <w:rtl/>
        </w:rPr>
        <w:t>،</w:t>
      </w:r>
      <w:r w:rsidR="00E8128F">
        <w:rPr>
          <w:sz w:val="36"/>
          <w:szCs w:val="36"/>
          <w:rtl/>
        </w:rPr>
        <w:t xml:space="preserve"> </w:t>
      </w:r>
      <w:r w:rsidRPr="00FD211F">
        <w:rPr>
          <w:sz w:val="36"/>
          <w:szCs w:val="36"/>
          <w:rtl/>
        </w:rPr>
        <w:t>والا</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مثل</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لو</w:t>
      </w:r>
      <w:r w:rsidR="00E8128F">
        <w:rPr>
          <w:sz w:val="36"/>
          <w:szCs w:val="36"/>
          <w:rtl/>
        </w:rPr>
        <w:t xml:space="preserve"> </w:t>
      </w:r>
      <w:r w:rsidR="008D7B3D" w:rsidRPr="00FD211F">
        <w:rPr>
          <w:sz w:val="36"/>
          <w:szCs w:val="36"/>
          <w:rtl/>
        </w:rPr>
        <w:t>لم‌</w:t>
      </w:r>
      <w:r w:rsidRPr="00FD211F">
        <w:rPr>
          <w:sz w:val="36"/>
          <w:szCs w:val="36"/>
          <w:rtl/>
        </w:rPr>
        <w:t>يكتب</w:t>
      </w:r>
      <w:r w:rsidR="00E8128F">
        <w:rPr>
          <w:sz w:val="36"/>
          <w:szCs w:val="36"/>
          <w:rtl/>
        </w:rPr>
        <w:t xml:space="preserve"> </w:t>
      </w:r>
      <w:r w:rsidRPr="00FD211F">
        <w:rPr>
          <w:sz w:val="36"/>
          <w:szCs w:val="36"/>
          <w:rtl/>
        </w:rPr>
        <w:t>احد</w:t>
      </w:r>
      <w:r w:rsidR="00E8128F">
        <w:rPr>
          <w:sz w:val="36"/>
          <w:szCs w:val="36"/>
          <w:rtl/>
        </w:rPr>
        <w:t xml:space="preserve"> </w:t>
      </w:r>
      <w:r w:rsidRPr="00FD211F">
        <w:rPr>
          <w:sz w:val="36"/>
          <w:szCs w:val="36"/>
          <w:rtl/>
        </w:rPr>
        <w:t>طرفي</w:t>
      </w:r>
      <w:r w:rsidR="00E8128F">
        <w:rPr>
          <w:sz w:val="36"/>
          <w:szCs w:val="36"/>
          <w:rtl/>
        </w:rPr>
        <w:t xml:space="preserve"> </w:t>
      </w:r>
      <w:r w:rsidRPr="00FD211F">
        <w:rPr>
          <w:sz w:val="36"/>
          <w:szCs w:val="36"/>
          <w:rtl/>
        </w:rPr>
        <w:t>الحرف</w:t>
      </w:r>
      <w:r w:rsidR="00E8128F">
        <w:rPr>
          <w:sz w:val="36"/>
          <w:szCs w:val="36"/>
          <w:rtl/>
        </w:rPr>
        <w:t xml:space="preserve"> </w:t>
      </w:r>
      <w:r w:rsidRPr="00FD211F">
        <w:rPr>
          <w:sz w:val="36"/>
          <w:szCs w:val="36"/>
          <w:rtl/>
        </w:rPr>
        <w:t>في</w:t>
      </w:r>
      <w:r w:rsidR="00E8128F">
        <w:rPr>
          <w:sz w:val="36"/>
          <w:szCs w:val="36"/>
          <w:rtl/>
        </w:rPr>
        <w:t xml:space="preserve"> </w:t>
      </w:r>
      <w:r w:rsidR="0025668E" w:rsidRPr="00FD211F">
        <w:rPr>
          <w:sz w:val="36"/>
          <w:szCs w:val="36"/>
          <w:rtl/>
        </w:rPr>
        <w:t>الكلام</w:t>
      </w:r>
      <w:r w:rsidR="00E8128F">
        <w:rPr>
          <w:sz w:val="36"/>
          <w:szCs w:val="36"/>
          <w:rtl/>
        </w:rPr>
        <w:t xml:space="preserve"> </w:t>
      </w:r>
      <w:r w:rsidR="0025668E" w:rsidRPr="00FD211F">
        <w:rPr>
          <w:sz w:val="36"/>
          <w:szCs w:val="36"/>
          <w:rtl/>
        </w:rPr>
        <w:t>كأ</w:t>
      </w:r>
      <w:r w:rsidRPr="00FD211F">
        <w:rPr>
          <w:sz w:val="36"/>
          <w:szCs w:val="36"/>
          <w:rtl/>
        </w:rPr>
        <w:t>ن</w:t>
      </w:r>
      <w:r w:rsidR="00E8128F">
        <w:rPr>
          <w:sz w:val="36"/>
          <w:szCs w:val="36"/>
          <w:rtl/>
        </w:rPr>
        <w:t xml:space="preserve"> </w:t>
      </w:r>
      <w:r w:rsidRPr="00FD211F">
        <w:rPr>
          <w:sz w:val="36"/>
          <w:szCs w:val="36"/>
          <w:rtl/>
        </w:rPr>
        <w:t>يقال</w:t>
      </w:r>
      <w:r w:rsidR="00E8128F">
        <w:rPr>
          <w:sz w:val="36"/>
          <w:szCs w:val="36"/>
          <w:rtl/>
        </w:rPr>
        <w:t xml:space="preserve"> </w:t>
      </w:r>
      <w:r w:rsidRPr="00FD211F">
        <w:rPr>
          <w:sz w:val="36"/>
          <w:szCs w:val="36"/>
          <w:rtl/>
        </w:rPr>
        <w:t>"...</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الدار"</w:t>
      </w:r>
      <w:r w:rsidR="00E8128F">
        <w:rPr>
          <w:sz w:val="36"/>
          <w:szCs w:val="36"/>
          <w:rtl/>
        </w:rPr>
        <w:t xml:space="preserve"> </w:t>
      </w:r>
      <w:r w:rsidRPr="00FD211F">
        <w:rPr>
          <w:sz w:val="36"/>
          <w:szCs w:val="36"/>
          <w:rtl/>
        </w:rPr>
        <w:t>مع</w:t>
      </w:r>
      <w:r w:rsidR="00E8128F">
        <w:rPr>
          <w:sz w:val="36"/>
          <w:szCs w:val="36"/>
          <w:rtl/>
        </w:rPr>
        <w:t xml:space="preserve"> </w:t>
      </w:r>
      <w:r w:rsidRPr="00FD211F">
        <w:rPr>
          <w:sz w:val="36"/>
          <w:szCs w:val="36"/>
          <w:rtl/>
        </w:rPr>
        <w:t>ان</w:t>
      </w:r>
      <w:r w:rsidR="00E8128F">
        <w:rPr>
          <w:sz w:val="36"/>
          <w:szCs w:val="36"/>
          <w:rtl/>
        </w:rPr>
        <w:t xml:space="preserve"> </w:t>
      </w:r>
      <w:r w:rsidR="00400C8F" w:rsidRPr="00FD211F">
        <w:rPr>
          <w:sz w:val="36"/>
          <w:szCs w:val="36"/>
          <w:rtl/>
        </w:rPr>
        <w:t>المشتق</w:t>
      </w:r>
      <w:r w:rsidR="00E8128F">
        <w:rPr>
          <w:sz w:val="36"/>
          <w:szCs w:val="36"/>
          <w:rtl/>
        </w:rPr>
        <w:t xml:space="preserve"> </w:t>
      </w:r>
      <w:r w:rsidR="00400C8F" w:rsidRPr="00FD211F">
        <w:rPr>
          <w:sz w:val="36"/>
          <w:szCs w:val="36"/>
          <w:rtl/>
        </w:rPr>
        <w:t>ليس</w:t>
      </w:r>
      <w:r w:rsidR="00E8128F">
        <w:rPr>
          <w:sz w:val="36"/>
          <w:szCs w:val="36"/>
          <w:rtl/>
        </w:rPr>
        <w:t xml:space="preserve"> </w:t>
      </w:r>
      <w:r w:rsidR="00400C8F" w:rsidRPr="00FD211F">
        <w:rPr>
          <w:sz w:val="36"/>
          <w:szCs w:val="36"/>
          <w:rtl/>
        </w:rPr>
        <w:t>كذلك</w:t>
      </w:r>
      <w:r w:rsidR="00E8128F">
        <w:rPr>
          <w:sz w:val="36"/>
          <w:szCs w:val="36"/>
          <w:rtl/>
        </w:rPr>
        <w:t xml:space="preserve"> </w:t>
      </w:r>
      <w:r w:rsidR="00400C8F" w:rsidRPr="00FD211F">
        <w:rPr>
          <w:sz w:val="36"/>
          <w:szCs w:val="36"/>
          <w:rtl/>
        </w:rPr>
        <w:t>قطعا</w:t>
      </w:r>
      <w:r w:rsidR="00EC7EDF" w:rsidRPr="00FD211F">
        <w:rPr>
          <w:sz w:val="36"/>
          <w:szCs w:val="36"/>
          <w:rtl/>
        </w:rPr>
        <w:t>.</w:t>
      </w:r>
    </w:p>
    <w:p w14:paraId="1F6F3396" w14:textId="77777777" w:rsidR="000C5BBA" w:rsidRPr="00FD211F" w:rsidRDefault="00400C8F" w:rsidP="009C58C8">
      <w:pPr>
        <w:ind w:left="0" w:firstLine="227"/>
        <w:jc w:val="both"/>
        <w:rPr>
          <w:sz w:val="36"/>
          <w:szCs w:val="36"/>
          <w:rtl/>
        </w:rPr>
      </w:pPr>
      <w:r w:rsidRPr="00FD211F">
        <w:rPr>
          <w:sz w:val="36"/>
          <w:szCs w:val="36"/>
          <w:rtl/>
        </w:rPr>
        <w:t>وقدذكر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لما</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مجرد</w:t>
      </w:r>
      <w:r w:rsidR="00E8128F">
        <w:rPr>
          <w:sz w:val="36"/>
          <w:szCs w:val="36"/>
          <w:rtl/>
        </w:rPr>
        <w:t xml:space="preserve"> </w:t>
      </w:r>
      <w:r w:rsidRPr="00FD211F">
        <w:rPr>
          <w:sz w:val="36"/>
          <w:szCs w:val="36"/>
          <w:rtl/>
        </w:rPr>
        <w:t>الدلال</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المبدأوالنسب</w:t>
      </w:r>
      <w:r w:rsidR="00EC7EDF" w:rsidRPr="00FD211F">
        <w:rPr>
          <w:sz w:val="36"/>
          <w:szCs w:val="36"/>
          <w:rtl/>
        </w:rPr>
        <w:t>ة</w:t>
      </w:r>
      <w:r w:rsidR="00E8128F">
        <w:rPr>
          <w:sz w:val="36"/>
          <w:szCs w:val="36"/>
          <w:rtl/>
        </w:rPr>
        <w:t xml:space="preserve"> </w:t>
      </w:r>
      <w:r w:rsidRPr="00FD211F">
        <w:rPr>
          <w:sz w:val="36"/>
          <w:szCs w:val="36"/>
          <w:rtl/>
        </w:rPr>
        <w:t>لايصحح</w:t>
      </w:r>
      <w:r w:rsidR="00E8128F">
        <w:rPr>
          <w:sz w:val="36"/>
          <w:szCs w:val="36"/>
          <w:rtl/>
        </w:rPr>
        <w:t xml:space="preserve"> </w:t>
      </w:r>
      <w:r w:rsidRPr="00FD211F">
        <w:rPr>
          <w:sz w:val="36"/>
          <w:szCs w:val="36"/>
          <w:rtl/>
        </w:rPr>
        <w:t>حمل</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الذات</w:t>
      </w:r>
      <w:r w:rsidR="00603323" w:rsidRPr="00FD211F">
        <w:rPr>
          <w:sz w:val="36"/>
          <w:szCs w:val="36"/>
          <w:rtl/>
        </w:rPr>
        <w:t>،</w:t>
      </w:r>
      <w:r w:rsidR="00E8128F">
        <w:rPr>
          <w:sz w:val="36"/>
          <w:szCs w:val="36"/>
          <w:rtl/>
        </w:rPr>
        <w:t xml:space="preserve"> </w:t>
      </w:r>
      <w:r w:rsidR="003D5B7A" w:rsidRPr="00FD211F">
        <w:rPr>
          <w:sz w:val="36"/>
          <w:szCs w:val="36"/>
          <w:rtl/>
        </w:rPr>
        <w:t>فيظهر</w:t>
      </w:r>
      <w:r w:rsidR="00E8128F">
        <w:rPr>
          <w:sz w:val="36"/>
          <w:szCs w:val="36"/>
          <w:rtl/>
        </w:rPr>
        <w:t xml:space="preserve"> </w:t>
      </w:r>
      <w:r w:rsidR="003D5B7A" w:rsidRPr="00FD211F">
        <w:rPr>
          <w:sz w:val="36"/>
          <w:szCs w:val="36"/>
          <w:rtl/>
        </w:rPr>
        <w:t>من</w:t>
      </w:r>
      <w:r w:rsidR="00E8128F">
        <w:rPr>
          <w:sz w:val="36"/>
          <w:szCs w:val="36"/>
          <w:rtl/>
        </w:rPr>
        <w:t xml:space="preserve"> </w:t>
      </w:r>
      <w:r w:rsidR="003D5B7A" w:rsidRPr="00FD211F">
        <w:rPr>
          <w:sz w:val="36"/>
          <w:szCs w:val="36"/>
          <w:rtl/>
        </w:rPr>
        <w:t>تقريرات</w:t>
      </w:r>
      <w:r w:rsidR="00E8128F">
        <w:rPr>
          <w:sz w:val="36"/>
          <w:szCs w:val="36"/>
          <w:rtl/>
        </w:rPr>
        <w:t xml:space="preserve"> </w:t>
      </w:r>
      <w:r w:rsidR="003D5B7A" w:rsidRPr="00FD211F">
        <w:rPr>
          <w:sz w:val="36"/>
          <w:szCs w:val="36"/>
          <w:rtl/>
        </w:rPr>
        <w:t>المحقق</w:t>
      </w:r>
      <w:r w:rsidR="00E8128F">
        <w:rPr>
          <w:sz w:val="36"/>
          <w:szCs w:val="36"/>
          <w:rtl/>
        </w:rPr>
        <w:t xml:space="preserve"> </w:t>
      </w:r>
      <w:r w:rsidR="003D5B7A" w:rsidRPr="00FD211F">
        <w:rPr>
          <w:sz w:val="36"/>
          <w:szCs w:val="36"/>
          <w:rtl/>
        </w:rPr>
        <w:t>العراقي</w:t>
      </w:r>
      <w:r w:rsidR="00E8128F">
        <w:rPr>
          <w:sz w:val="36"/>
          <w:szCs w:val="36"/>
          <w:rtl/>
        </w:rPr>
        <w:t xml:space="preserve"> </w:t>
      </w:r>
      <w:r w:rsidR="00C47877" w:rsidRPr="00FD211F">
        <w:rPr>
          <w:sz w:val="36"/>
          <w:szCs w:val="36"/>
          <w:rtl/>
        </w:rPr>
        <w:t>"</w:t>
      </w:r>
      <w:r w:rsidR="003D5B7A" w:rsidRPr="00FD211F">
        <w:rPr>
          <w:sz w:val="36"/>
          <w:szCs w:val="36"/>
          <w:rtl/>
        </w:rPr>
        <w:t>قده</w:t>
      </w:r>
      <w:r w:rsidR="00C47877" w:rsidRPr="00FD211F">
        <w:rPr>
          <w:sz w:val="36"/>
          <w:szCs w:val="36"/>
          <w:rtl/>
        </w:rPr>
        <w:t>"</w:t>
      </w:r>
      <w:r w:rsidR="00E8128F">
        <w:rPr>
          <w:sz w:val="36"/>
          <w:szCs w:val="36"/>
          <w:rtl/>
        </w:rPr>
        <w:t xml:space="preserve"> </w:t>
      </w:r>
      <w:r w:rsidR="003D5B7A" w:rsidRPr="00FD211F">
        <w:rPr>
          <w:sz w:val="36"/>
          <w:szCs w:val="36"/>
          <w:rtl/>
        </w:rPr>
        <w:t>في</w:t>
      </w:r>
      <w:r w:rsidR="00E8128F">
        <w:rPr>
          <w:sz w:val="36"/>
          <w:szCs w:val="36"/>
          <w:rtl/>
        </w:rPr>
        <w:t xml:space="preserve"> </w:t>
      </w:r>
      <w:r w:rsidR="003D5B7A" w:rsidRPr="00FD211F">
        <w:rPr>
          <w:sz w:val="36"/>
          <w:szCs w:val="36"/>
          <w:rtl/>
        </w:rPr>
        <w:t>كتاب</w:t>
      </w:r>
      <w:r w:rsidR="00E8128F">
        <w:rPr>
          <w:sz w:val="36"/>
          <w:szCs w:val="36"/>
          <w:rtl/>
        </w:rPr>
        <w:t xml:space="preserve"> </w:t>
      </w:r>
      <w:r w:rsidR="003D5B7A" w:rsidRPr="00FD211F">
        <w:rPr>
          <w:sz w:val="36"/>
          <w:szCs w:val="36"/>
          <w:rtl/>
        </w:rPr>
        <w:t>بدائع</w:t>
      </w:r>
      <w:r w:rsidR="00E8128F">
        <w:rPr>
          <w:sz w:val="36"/>
          <w:szCs w:val="36"/>
          <w:rtl/>
        </w:rPr>
        <w:t xml:space="preserve"> </w:t>
      </w:r>
      <w:r w:rsidR="003D5B7A" w:rsidRPr="00FD211F">
        <w:rPr>
          <w:sz w:val="36"/>
          <w:szCs w:val="36"/>
          <w:rtl/>
        </w:rPr>
        <w:t>الافكار</w:t>
      </w:r>
      <w:r w:rsidR="00E8128F">
        <w:rPr>
          <w:sz w:val="36"/>
          <w:szCs w:val="36"/>
          <w:rtl/>
        </w:rPr>
        <w:t xml:space="preserve"> </w:t>
      </w:r>
      <w:r w:rsidR="003D5B7A" w:rsidRPr="00FD211F">
        <w:rPr>
          <w:sz w:val="36"/>
          <w:szCs w:val="36"/>
          <w:rtl/>
        </w:rPr>
        <w:t>علاجان</w:t>
      </w:r>
      <w:r w:rsidR="00E8128F">
        <w:rPr>
          <w:sz w:val="36"/>
          <w:szCs w:val="36"/>
          <w:rtl/>
        </w:rPr>
        <w:t xml:space="preserve"> </w:t>
      </w:r>
      <w:r w:rsidR="003D5B7A" w:rsidRPr="00FD211F">
        <w:rPr>
          <w:sz w:val="36"/>
          <w:szCs w:val="36"/>
          <w:rtl/>
        </w:rPr>
        <w:t>بصدد</w:t>
      </w:r>
      <w:r w:rsidR="00E8128F">
        <w:rPr>
          <w:sz w:val="36"/>
          <w:szCs w:val="36"/>
          <w:rtl/>
        </w:rPr>
        <w:t xml:space="preserve"> </w:t>
      </w:r>
      <w:r w:rsidR="003D5B7A" w:rsidRPr="00FD211F">
        <w:rPr>
          <w:sz w:val="36"/>
          <w:szCs w:val="36"/>
          <w:rtl/>
        </w:rPr>
        <w:t>حل</w:t>
      </w:r>
      <w:r w:rsidR="00E8128F">
        <w:rPr>
          <w:sz w:val="36"/>
          <w:szCs w:val="36"/>
          <w:rtl/>
        </w:rPr>
        <w:t xml:space="preserve"> </w:t>
      </w:r>
      <w:r w:rsidR="003D5B7A" w:rsidRPr="00FD211F">
        <w:rPr>
          <w:sz w:val="36"/>
          <w:szCs w:val="36"/>
          <w:rtl/>
        </w:rPr>
        <w:t>هذه</w:t>
      </w:r>
      <w:r w:rsidR="00E8128F">
        <w:rPr>
          <w:sz w:val="36"/>
          <w:szCs w:val="36"/>
          <w:rtl/>
        </w:rPr>
        <w:t xml:space="preserve"> </w:t>
      </w:r>
      <w:r w:rsidR="003D5B7A" w:rsidRPr="00FD211F">
        <w:rPr>
          <w:sz w:val="36"/>
          <w:szCs w:val="36"/>
          <w:rtl/>
        </w:rPr>
        <w:t>المشكل</w:t>
      </w:r>
      <w:r w:rsidR="00EC7EDF" w:rsidRPr="00FD211F">
        <w:rPr>
          <w:sz w:val="36"/>
          <w:szCs w:val="36"/>
          <w:rtl/>
        </w:rPr>
        <w:t>ة</w:t>
      </w:r>
      <w:r w:rsidR="00057D31" w:rsidRPr="00FD211F">
        <w:rPr>
          <w:sz w:val="36"/>
          <w:szCs w:val="36"/>
          <w:rtl/>
        </w:rPr>
        <w:t>:</w:t>
      </w:r>
    </w:p>
    <w:p w14:paraId="081AC96D" w14:textId="77777777" w:rsidR="003D5B7A" w:rsidRPr="00FD211F" w:rsidRDefault="00EA47B3" w:rsidP="009C58C8">
      <w:pPr>
        <w:ind w:left="0" w:firstLine="227"/>
        <w:jc w:val="both"/>
        <w:rPr>
          <w:sz w:val="36"/>
          <w:szCs w:val="36"/>
          <w:rtl/>
        </w:rPr>
      </w:pPr>
      <w:r w:rsidRPr="00FD211F">
        <w:rPr>
          <w:sz w:val="36"/>
          <w:szCs w:val="36"/>
          <w:rtl/>
        </w:rPr>
        <w:t>احدهما:</w:t>
      </w:r>
      <w:r w:rsidR="003D5B7A" w:rsidRPr="00FD211F">
        <w:rPr>
          <w:sz w:val="36"/>
          <w:szCs w:val="36"/>
          <w:rtl/>
        </w:rPr>
        <w:t>ان</w:t>
      </w:r>
      <w:r w:rsidR="00E8128F">
        <w:rPr>
          <w:sz w:val="36"/>
          <w:szCs w:val="36"/>
          <w:rtl/>
        </w:rPr>
        <w:t xml:space="preserve"> </w:t>
      </w:r>
      <w:r w:rsidR="003D5B7A" w:rsidRPr="00FD211F">
        <w:rPr>
          <w:sz w:val="36"/>
          <w:szCs w:val="36"/>
          <w:rtl/>
        </w:rPr>
        <w:t>الذات</w:t>
      </w:r>
      <w:r w:rsidR="00E8128F">
        <w:rPr>
          <w:sz w:val="36"/>
          <w:szCs w:val="36"/>
          <w:rtl/>
        </w:rPr>
        <w:t xml:space="preserve"> </w:t>
      </w:r>
      <w:r w:rsidR="003D5B7A" w:rsidRPr="00FD211F">
        <w:rPr>
          <w:sz w:val="36"/>
          <w:szCs w:val="36"/>
          <w:rtl/>
        </w:rPr>
        <w:t>المبهم</w:t>
      </w:r>
      <w:r w:rsidR="00EC7EDF" w:rsidRPr="00FD211F">
        <w:rPr>
          <w:sz w:val="36"/>
          <w:szCs w:val="36"/>
          <w:rtl/>
        </w:rPr>
        <w:t>ة</w:t>
      </w:r>
      <w:r w:rsidR="00E8128F">
        <w:rPr>
          <w:sz w:val="36"/>
          <w:szCs w:val="36"/>
          <w:rtl/>
        </w:rPr>
        <w:t xml:space="preserve"> </w:t>
      </w:r>
      <w:r w:rsidR="003D5B7A" w:rsidRPr="00FD211F">
        <w:rPr>
          <w:sz w:val="36"/>
          <w:szCs w:val="36"/>
          <w:rtl/>
        </w:rPr>
        <w:t>التي</w:t>
      </w:r>
      <w:r w:rsidR="00E8128F">
        <w:rPr>
          <w:sz w:val="36"/>
          <w:szCs w:val="36"/>
          <w:rtl/>
        </w:rPr>
        <w:t xml:space="preserve"> </w:t>
      </w:r>
      <w:r w:rsidR="003D5B7A" w:rsidRPr="00FD211F">
        <w:rPr>
          <w:sz w:val="36"/>
          <w:szCs w:val="36"/>
          <w:rtl/>
        </w:rPr>
        <w:t>هي</w:t>
      </w:r>
      <w:r w:rsidR="00E8128F">
        <w:rPr>
          <w:sz w:val="36"/>
          <w:szCs w:val="36"/>
          <w:rtl/>
        </w:rPr>
        <w:t xml:space="preserve"> </w:t>
      </w:r>
      <w:r w:rsidR="003D5B7A" w:rsidRPr="00FD211F">
        <w:rPr>
          <w:sz w:val="36"/>
          <w:szCs w:val="36"/>
          <w:rtl/>
        </w:rPr>
        <w:t>الطرف</w:t>
      </w:r>
      <w:r w:rsidR="00E8128F">
        <w:rPr>
          <w:sz w:val="36"/>
          <w:szCs w:val="36"/>
          <w:rtl/>
        </w:rPr>
        <w:t xml:space="preserve"> </w:t>
      </w:r>
      <w:r w:rsidR="003D5B7A" w:rsidRPr="00FD211F">
        <w:rPr>
          <w:sz w:val="36"/>
          <w:szCs w:val="36"/>
          <w:rtl/>
        </w:rPr>
        <w:t>الآخر</w:t>
      </w:r>
      <w:r w:rsidR="00E8128F">
        <w:rPr>
          <w:sz w:val="36"/>
          <w:szCs w:val="36"/>
          <w:rtl/>
        </w:rPr>
        <w:t xml:space="preserve"> </w:t>
      </w:r>
      <w:r w:rsidR="003D5B7A" w:rsidRPr="00FD211F">
        <w:rPr>
          <w:sz w:val="36"/>
          <w:szCs w:val="36"/>
          <w:rtl/>
        </w:rPr>
        <w:t>للنسب</w:t>
      </w:r>
      <w:r w:rsidR="00EC7EDF" w:rsidRPr="00FD211F">
        <w:rPr>
          <w:sz w:val="36"/>
          <w:szCs w:val="36"/>
          <w:rtl/>
        </w:rPr>
        <w:t>ة</w:t>
      </w:r>
      <w:r w:rsidR="00E8128F">
        <w:rPr>
          <w:sz w:val="36"/>
          <w:szCs w:val="36"/>
          <w:rtl/>
        </w:rPr>
        <w:t xml:space="preserve"> </w:t>
      </w:r>
      <w:r w:rsidR="003D5B7A" w:rsidRPr="00FD211F">
        <w:rPr>
          <w:sz w:val="36"/>
          <w:szCs w:val="36"/>
          <w:rtl/>
        </w:rPr>
        <w:t>مستفاد</w:t>
      </w:r>
      <w:r w:rsidR="00EC7EDF" w:rsidRPr="00FD211F">
        <w:rPr>
          <w:sz w:val="36"/>
          <w:szCs w:val="36"/>
          <w:rtl/>
        </w:rPr>
        <w:t>ة</w:t>
      </w:r>
      <w:r w:rsidR="00E8128F">
        <w:rPr>
          <w:sz w:val="36"/>
          <w:szCs w:val="36"/>
          <w:rtl/>
        </w:rPr>
        <w:t xml:space="preserve"> </w:t>
      </w:r>
      <w:r w:rsidR="003D5B7A" w:rsidRPr="00FD211F">
        <w:rPr>
          <w:sz w:val="36"/>
          <w:szCs w:val="36"/>
          <w:rtl/>
        </w:rPr>
        <w:t>بالدلال</w:t>
      </w:r>
      <w:r w:rsidR="00EC7EDF" w:rsidRPr="00FD211F">
        <w:rPr>
          <w:sz w:val="36"/>
          <w:szCs w:val="36"/>
          <w:rtl/>
        </w:rPr>
        <w:t>ة</w:t>
      </w:r>
      <w:r w:rsidR="00E8128F">
        <w:rPr>
          <w:sz w:val="36"/>
          <w:szCs w:val="36"/>
          <w:rtl/>
        </w:rPr>
        <w:t xml:space="preserve"> </w:t>
      </w:r>
      <w:r w:rsidR="003D5B7A" w:rsidRPr="00FD211F">
        <w:rPr>
          <w:sz w:val="36"/>
          <w:szCs w:val="36"/>
          <w:rtl/>
        </w:rPr>
        <w:t>الالتزامي</w:t>
      </w:r>
      <w:r w:rsidR="00EC7EDF" w:rsidRPr="00FD211F">
        <w:rPr>
          <w:sz w:val="36"/>
          <w:szCs w:val="36"/>
          <w:rtl/>
        </w:rPr>
        <w:t>ة</w:t>
      </w:r>
      <w:r w:rsidR="00E8128F">
        <w:rPr>
          <w:sz w:val="36"/>
          <w:szCs w:val="36"/>
          <w:rtl/>
        </w:rPr>
        <w:t xml:space="preserve"> </w:t>
      </w:r>
    </w:p>
    <w:p w14:paraId="06AE1C77" w14:textId="77777777" w:rsidR="00D049D1" w:rsidRPr="00FD211F" w:rsidRDefault="00D049D1" w:rsidP="009C58C8">
      <w:pPr>
        <w:ind w:left="0" w:firstLine="227"/>
        <w:jc w:val="both"/>
        <w:rPr>
          <w:sz w:val="36"/>
          <w:szCs w:val="36"/>
          <w:rtl/>
        </w:rPr>
      </w:pPr>
      <w:r w:rsidRPr="00FD211F">
        <w:rPr>
          <w:sz w:val="36"/>
          <w:szCs w:val="36"/>
          <w:rtl/>
        </w:rPr>
        <w:t>العقلي</w:t>
      </w:r>
      <w:r w:rsidR="00EC7EDF" w:rsidRPr="00FD211F">
        <w:rPr>
          <w:sz w:val="36"/>
          <w:szCs w:val="36"/>
          <w:rtl/>
        </w:rPr>
        <w:t>ة</w:t>
      </w:r>
      <w:r w:rsidR="00E8128F">
        <w:rPr>
          <w:sz w:val="36"/>
          <w:szCs w:val="36"/>
          <w:rtl/>
        </w:rPr>
        <w:t xml:space="preserve"> </w:t>
      </w:r>
      <w:r w:rsidRPr="00FD211F">
        <w:rPr>
          <w:sz w:val="36"/>
          <w:szCs w:val="36"/>
          <w:rtl/>
        </w:rPr>
        <w:t>وهي</w:t>
      </w:r>
      <w:r w:rsidR="00E8128F">
        <w:rPr>
          <w:sz w:val="36"/>
          <w:szCs w:val="36"/>
          <w:rtl/>
        </w:rPr>
        <w:t xml:space="preserve"> </w:t>
      </w:r>
      <w:r w:rsidRPr="00FD211F">
        <w:rPr>
          <w:sz w:val="36"/>
          <w:szCs w:val="36"/>
          <w:rtl/>
        </w:rPr>
        <w:t>الموجب</w:t>
      </w:r>
      <w:r w:rsidR="00EC7EDF" w:rsidRPr="00FD211F">
        <w:rPr>
          <w:sz w:val="36"/>
          <w:szCs w:val="36"/>
          <w:rtl/>
        </w:rPr>
        <w:t>ة</w:t>
      </w:r>
      <w:r w:rsidR="00E8128F">
        <w:rPr>
          <w:sz w:val="36"/>
          <w:szCs w:val="36"/>
          <w:rtl/>
        </w:rPr>
        <w:t xml:space="preserve"> </w:t>
      </w:r>
      <w:r w:rsidRPr="00FD211F">
        <w:rPr>
          <w:sz w:val="36"/>
          <w:szCs w:val="36"/>
          <w:rtl/>
        </w:rPr>
        <w:t>لصح</w:t>
      </w:r>
      <w:r w:rsidR="00EC7EDF" w:rsidRPr="00FD211F">
        <w:rPr>
          <w:sz w:val="36"/>
          <w:szCs w:val="36"/>
          <w:rtl/>
        </w:rPr>
        <w:t>ة</w:t>
      </w:r>
      <w:r w:rsidR="00E8128F">
        <w:rPr>
          <w:sz w:val="36"/>
          <w:szCs w:val="36"/>
          <w:rtl/>
        </w:rPr>
        <w:t xml:space="preserve"> </w:t>
      </w:r>
      <w:r w:rsidRPr="00FD211F">
        <w:rPr>
          <w:sz w:val="36"/>
          <w:szCs w:val="36"/>
          <w:rtl/>
        </w:rPr>
        <w:t>الحمل</w:t>
      </w:r>
    </w:p>
    <w:p w14:paraId="6086A7BE" w14:textId="77777777" w:rsidR="003D5B7A" w:rsidRPr="00FD211F" w:rsidRDefault="003D5B7A" w:rsidP="009C58C8">
      <w:pPr>
        <w:ind w:left="0" w:firstLine="227"/>
        <w:jc w:val="both"/>
        <w:rPr>
          <w:sz w:val="36"/>
          <w:szCs w:val="36"/>
          <w:rtl/>
        </w:rPr>
      </w:pPr>
      <w:r w:rsidRPr="00FD211F">
        <w:rPr>
          <w:sz w:val="36"/>
          <w:szCs w:val="36"/>
          <w:rtl/>
        </w:rPr>
        <w:t>ثاني</w:t>
      </w:r>
      <w:r w:rsidR="00EA47B3" w:rsidRPr="00FD211F">
        <w:rPr>
          <w:sz w:val="36"/>
          <w:szCs w:val="36"/>
          <w:rtl/>
        </w:rPr>
        <w:t>هما</w:t>
      </w:r>
      <w:r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تدل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الاتحادي</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والمبدأ</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اراد</w:t>
      </w:r>
      <w:r w:rsidR="00E8128F">
        <w:rPr>
          <w:sz w:val="36"/>
          <w:szCs w:val="36"/>
          <w:rtl/>
        </w:rPr>
        <w:t xml:space="preserve"> </w:t>
      </w:r>
      <w:r w:rsidRPr="00FD211F">
        <w:rPr>
          <w:sz w:val="36"/>
          <w:szCs w:val="36"/>
          <w:rtl/>
        </w:rPr>
        <w:t>بذلك</w:t>
      </w:r>
      <w:r w:rsidR="00E8128F">
        <w:rPr>
          <w:sz w:val="36"/>
          <w:szCs w:val="36"/>
          <w:rtl/>
        </w:rPr>
        <w:t xml:space="preserve"> </w:t>
      </w:r>
      <w:r w:rsidRPr="00FD211F">
        <w:rPr>
          <w:sz w:val="36"/>
          <w:szCs w:val="36"/>
          <w:rtl/>
        </w:rPr>
        <w:t>بيان</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المغاير</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الطرفين</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عدم</w:t>
      </w:r>
      <w:r w:rsidR="00E8128F">
        <w:rPr>
          <w:sz w:val="36"/>
          <w:szCs w:val="36"/>
          <w:rtl/>
        </w:rPr>
        <w:t xml:space="preserve"> </w:t>
      </w:r>
      <w:r w:rsidRPr="00FD211F">
        <w:rPr>
          <w:sz w:val="36"/>
          <w:szCs w:val="36"/>
          <w:rtl/>
        </w:rPr>
        <w:t>المغاير</w:t>
      </w:r>
      <w:r w:rsidR="00EC7EDF" w:rsidRPr="00FD211F">
        <w:rPr>
          <w:sz w:val="36"/>
          <w:szCs w:val="36"/>
          <w:rtl/>
        </w:rPr>
        <w:t>ة</w:t>
      </w:r>
      <w:r w:rsidR="00E8128F">
        <w:rPr>
          <w:sz w:val="36"/>
          <w:szCs w:val="36"/>
          <w:rtl/>
        </w:rPr>
        <w:t xml:space="preserve"> </w:t>
      </w:r>
      <w:r w:rsidRPr="00FD211F">
        <w:rPr>
          <w:sz w:val="36"/>
          <w:szCs w:val="36"/>
          <w:rtl/>
        </w:rPr>
        <w:t>موجبا</w:t>
      </w:r>
      <w:r w:rsidR="00E8128F">
        <w:rPr>
          <w:sz w:val="36"/>
          <w:szCs w:val="36"/>
          <w:rtl/>
        </w:rPr>
        <w:t xml:space="preserve"> </w:t>
      </w:r>
      <w:r w:rsidRPr="00FD211F">
        <w:rPr>
          <w:sz w:val="36"/>
          <w:szCs w:val="36"/>
          <w:rtl/>
        </w:rPr>
        <w:t>لصح</w:t>
      </w:r>
      <w:r w:rsidR="00EC7EDF" w:rsidRPr="00FD211F">
        <w:rPr>
          <w:sz w:val="36"/>
          <w:szCs w:val="36"/>
          <w:rtl/>
        </w:rPr>
        <w:t>ة</w:t>
      </w:r>
      <w:r w:rsidR="00E8128F">
        <w:rPr>
          <w:sz w:val="36"/>
          <w:szCs w:val="36"/>
          <w:rtl/>
        </w:rPr>
        <w:t xml:space="preserve"> </w:t>
      </w:r>
      <w:r w:rsidRPr="00FD211F">
        <w:rPr>
          <w:sz w:val="36"/>
          <w:szCs w:val="36"/>
          <w:rtl/>
        </w:rPr>
        <w:t>الحمل.</w:t>
      </w:r>
    </w:p>
    <w:p w14:paraId="28DE0BCD" w14:textId="77777777" w:rsidR="000C5BBA" w:rsidRPr="00FD211F" w:rsidRDefault="003D5B7A" w:rsidP="009C58C8">
      <w:pPr>
        <w:ind w:left="0" w:firstLine="227"/>
        <w:jc w:val="both"/>
        <w:rPr>
          <w:sz w:val="36"/>
          <w:szCs w:val="36"/>
        </w:rPr>
      </w:pPr>
      <w:r w:rsidRPr="00FD211F">
        <w:rPr>
          <w:sz w:val="36"/>
          <w:szCs w:val="36"/>
          <w:rtl/>
        </w:rPr>
        <w:t>ثم</w:t>
      </w:r>
      <w:r w:rsidR="00E8128F">
        <w:rPr>
          <w:sz w:val="36"/>
          <w:szCs w:val="36"/>
          <w:rtl/>
        </w:rPr>
        <w:t xml:space="preserve"> </w:t>
      </w:r>
      <w:r w:rsidRPr="00FD211F">
        <w:rPr>
          <w:sz w:val="36"/>
          <w:szCs w:val="36"/>
          <w:rtl/>
        </w:rPr>
        <w:t>اورد</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العلاج</w:t>
      </w:r>
      <w:r w:rsidR="00E8128F">
        <w:rPr>
          <w:sz w:val="36"/>
          <w:szCs w:val="36"/>
          <w:rtl/>
        </w:rPr>
        <w:t xml:space="preserve"> </w:t>
      </w:r>
      <w:r w:rsidRPr="00FD211F">
        <w:rPr>
          <w:sz w:val="36"/>
          <w:szCs w:val="36"/>
          <w:rtl/>
        </w:rPr>
        <w:t>الاول</w:t>
      </w:r>
      <w:r w:rsidR="00E8128F">
        <w:rPr>
          <w:sz w:val="36"/>
          <w:szCs w:val="36"/>
          <w:rtl/>
        </w:rPr>
        <w:t xml:space="preserve"> </w:t>
      </w:r>
      <w:r w:rsidR="00EA47B3" w:rsidRPr="00FD211F">
        <w:rPr>
          <w:sz w:val="36"/>
          <w:szCs w:val="36"/>
          <w:rtl/>
        </w:rPr>
        <w:t>بكونه</w:t>
      </w:r>
      <w:r w:rsidR="00E8128F">
        <w:rPr>
          <w:sz w:val="36"/>
          <w:szCs w:val="36"/>
          <w:rtl/>
        </w:rPr>
        <w:t xml:space="preserve"> </w:t>
      </w:r>
      <w:r w:rsidR="00EA47B3" w:rsidRPr="00FD211F">
        <w:rPr>
          <w:b/>
          <w:bCs/>
          <w:sz w:val="36"/>
          <w:szCs w:val="36"/>
          <w:rtl/>
        </w:rPr>
        <w:t>اولا</w:t>
      </w:r>
      <w:r w:rsidR="00EA47B3" w:rsidRPr="00FD211F">
        <w:rPr>
          <w:sz w:val="36"/>
          <w:szCs w:val="36"/>
          <w:rtl/>
        </w:rPr>
        <w:t>:</w:t>
      </w:r>
      <w:r w:rsidR="00E8128F">
        <w:rPr>
          <w:sz w:val="36"/>
          <w:szCs w:val="36"/>
          <w:rtl/>
        </w:rPr>
        <w:t xml:space="preserve"> </w:t>
      </w:r>
      <w:r w:rsidR="00EA47B3" w:rsidRPr="00FD211F">
        <w:rPr>
          <w:sz w:val="36"/>
          <w:szCs w:val="36"/>
          <w:rtl/>
        </w:rPr>
        <w:t>خلاف</w:t>
      </w:r>
      <w:r w:rsidR="00E8128F">
        <w:rPr>
          <w:sz w:val="36"/>
          <w:szCs w:val="36"/>
          <w:rtl/>
        </w:rPr>
        <w:t xml:space="preserve"> </w:t>
      </w:r>
      <w:r w:rsidR="00EA47B3" w:rsidRPr="00FD211F">
        <w:rPr>
          <w:sz w:val="36"/>
          <w:szCs w:val="36"/>
          <w:rtl/>
        </w:rPr>
        <w:t>الوجدان</w:t>
      </w:r>
      <w:r w:rsidR="00E8128F">
        <w:rPr>
          <w:sz w:val="36"/>
          <w:szCs w:val="36"/>
          <w:rtl/>
        </w:rPr>
        <w:t xml:space="preserve"> </w:t>
      </w:r>
      <w:r w:rsidR="00EA47B3" w:rsidRPr="00FD211F">
        <w:rPr>
          <w:sz w:val="36"/>
          <w:szCs w:val="36"/>
          <w:rtl/>
        </w:rPr>
        <w:t>اللغوي</w:t>
      </w:r>
      <w:r w:rsidR="00E8128F">
        <w:rPr>
          <w:sz w:val="36"/>
          <w:szCs w:val="36"/>
          <w:rtl/>
        </w:rPr>
        <w:t xml:space="preserve"> </w:t>
      </w:r>
      <w:r w:rsidR="00EA47B3" w:rsidRPr="00FD211F">
        <w:rPr>
          <w:sz w:val="36"/>
          <w:szCs w:val="36"/>
          <w:rtl/>
        </w:rPr>
        <w:t>والعرفي</w:t>
      </w:r>
      <w:r w:rsidR="00E8128F">
        <w:rPr>
          <w:sz w:val="36"/>
          <w:szCs w:val="36"/>
          <w:rtl/>
        </w:rPr>
        <w:t xml:space="preserve"> </w:t>
      </w:r>
    </w:p>
    <w:p w14:paraId="697780E6" w14:textId="77777777" w:rsidR="004006EC" w:rsidRPr="00FD211F" w:rsidRDefault="004006EC" w:rsidP="009C58C8">
      <w:pPr>
        <w:pStyle w:val="a4"/>
        <w:ind w:left="0" w:firstLine="227"/>
        <w:jc w:val="both"/>
        <w:rPr>
          <w:sz w:val="36"/>
          <w:szCs w:val="36"/>
          <w:rtl/>
        </w:rPr>
      </w:pPr>
      <w:r w:rsidRPr="00FD211F">
        <w:rPr>
          <w:sz w:val="36"/>
          <w:szCs w:val="36"/>
          <w:rtl/>
        </w:rPr>
        <w:t>فان</w:t>
      </w:r>
      <w:r w:rsidR="00E8128F">
        <w:rPr>
          <w:sz w:val="36"/>
          <w:szCs w:val="36"/>
          <w:rtl/>
        </w:rPr>
        <w:t xml:space="preserve"> </w:t>
      </w:r>
      <w:r w:rsidRPr="00FD211F">
        <w:rPr>
          <w:sz w:val="36"/>
          <w:szCs w:val="36"/>
          <w:rtl/>
        </w:rPr>
        <w:t>المرتكز</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قولنا</w:t>
      </w:r>
      <w:r w:rsidR="00E8128F">
        <w:rPr>
          <w:sz w:val="36"/>
          <w:szCs w:val="36"/>
          <w:rtl/>
        </w:rPr>
        <w:t xml:space="preserve"> </w:t>
      </w:r>
      <w:r w:rsidRPr="00FD211F">
        <w:rPr>
          <w:sz w:val="36"/>
          <w:szCs w:val="36"/>
          <w:rtl/>
        </w:rPr>
        <w:t>زيد</w:t>
      </w:r>
      <w:r w:rsidR="00E8128F">
        <w:rPr>
          <w:sz w:val="36"/>
          <w:szCs w:val="36"/>
          <w:rtl/>
        </w:rPr>
        <w:t xml:space="preserve"> </w:t>
      </w:r>
      <w:r w:rsidRPr="00FD211F">
        <w:rPr>
          <w:sz w:val="36"/>
          <w:szCs w:val="36"/>
          <w:rtl/>
        </w:rPr>
        <w:t>ضاحك</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الناطق</w:t>
      </w:r>
      <w:r w:rsidR="00E8128F">
        <w:rPr>
          <w:sz w:val="36"/>
          <w:szCs w:val="36"/>
          <w:rtl/>
        </w:rPr>
        <w:t xml:space="preserve"> </w:t>
      </w:r>
      <w:r w:rsidRPr="00FD211F">
        <w:rPr>
          <w:sz w:val="36"/>
          <w:szCs w:val="36"/>
          <w:rtl/>
        </w:rPr>
        <w:t>ضاحك</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لوحظ</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تصادق</w:t>
      </w:r>
      <w:r w:rsidR="00E8128F">
        <w:rPr>
          <w:sz w:val="36"/>
          <w:szCs w:val="36"/>
          <w:rtl/>
        </w:rPr>
        <w:t xml:space="preserve"> </w:t>
      </w:r>
      <w:r w:rsidRPr="00FD211F">
        <w:rPr>
          <w:sz w:val="36"/>
          <w:szCs w:val="36"/>
          <w:rtl/>
        </w:rPr>
        <w:t>المدلول</w:t>
      </w:r>
      <w:r w:rsidR="00E8128F">
        <w:rPr>
          <w:sz w:val="36"/>
          <w:szCs w:val="36"/>
          <w:rtl/>
        </w:rPr>
        <w:t xml:space="preserve"> </w:t>
      </w:r>
      <w:r w:rsidRPr="00FD211F">
        <w:rPr>
          <w:sz w:val="36"/>
          <w:szCs w:val="36"/>
          <w:rtl/>
        </w:rPr>
        <w:t>المطابقي</w:t>
      </w:r>
      <w:r w:rsidR="00E8128F">
        <w:rPr>
          <w:sz w:val="36"/>
          <w:szCs w:val="36"/>
          <w:rtl/>
        </w:rPr>
        <w:t xml:space="preserve"> </w:t>
      </w:r>
      <w:r w:rsidRPr="00FD211F">
        <w:rPr>
          <w:sz w:val="36"/>
          <w:szCs w:val="36"/>
          <w:rtl/>
        </w:rPr>
        <w:t>للموضوع</w:t>
      </w:r>
      <w:r w:rsidR="00E8128F">
        <w:rPr>
          <w:sz w:val="36"/>
          <w:szCs w:val="36"/>
          <w:rtl/>
        </w:rPr>
        <w:t xml:space="preserve"> </w:t>
      </w:r>
      <w:r w:rsidRPr="00FD211F">
        <w:rPr>
          <w:sz w:val="36"/>
          <w:szCs w:val="36"/>
          <w:rtl/>
        </w:rPr>
        <w:t>والمحمول</w:t>
      </w:r>
      <w:r w:rsidR="00E8128F">
        <w:rPr>
          <w:sz w:val="36"/>
          <w:szCs w:val="36"/>
          <w:rtl/>
        </w:rPr>
        <w:t xml:space="preserve"> </w:t>
      </w:r>
      <w:r w:rsidRPr="00FD211F">
        <w:rPr>
          <w:sz w:val="36"/>
          <w:szCs w:val="36"/>
          <w:rtl/>
        </w:rPr>
        <w:t>على</w:t>
      </w:r>
      <w:r w:rsidR="00E8128F">
        <w:rPr>
          <w:sz w:val="36"/>
          <w:szCs w:val="36"/>
          <w:rtl/>
        </w:rPr>
        <w:t xml:space="preserve"> </w:t>
      </w:r>
      <w:r w:rsidR="008D7B3D" w:rsidRPr="00FD211F">
        <w:rPr>
          <w:sz w:val="36"/>
          <w:szCs w:val="36"/>
          <w:rtl/>
        </w:rPr>
        <w:t>شيء</w:t>
      </w:r>
      <w:r w:rsidR="00E8128F">
        <w:rPr>
          <w:sz w:val="36"/>
          <w:szCs w:val="36"/>
          <w:rtl/>
        </w:rPr>
        <w:t xml:space="preserve"> </w:t>
      </w:r>
      <w:r w:rsidRPr="00FD211F">
        <w:rPr>
          <w:sz w:val="36"/>
          <w:szCs w:val="36"/>
          <w:rtl/>
        </w:rPr>
        <w:t>واحد.</w:t>
      </w:r>
    </w:p>
    <w:p w14:paraId="2898F80F" w14:textId="77777777" w:rsidR="004006EC" w:rsidRPr="00FD211F" w:rsidRDefault="004006EC" w:rsidP="009C58C8">
      <w:pPr>
        <w:pStyle w:val="a4"/>
        <w:ind w:left="0" w:firstLine="227"/>
        <w:jc w:val="both"/>
        <w:rPr>
          <w:sz w:val="36"/>
          <w:szCs w:val="36"/>
          <w:rtl/>
        </w:rPr>
      </w:pPr>
      <w:r w:rsidRPr="00FD211F">
        <w:rPr>
          <w:b/>
          <w:bCs/>
          <w:sz w:val="36"/>
          <w:szCs w:val="36"/>
          <w:rtl/>
        </w:rPr>
        <w:t>وثانيا</w:t>
      </w:r>
      <w:r w:rsidRPr="00FD211F">
        <w:rPr>
          <w:sz w:val="36"/>
          <w:szCs w:val="36"/>
          <w:rtl/>
        </w:rPr>
        <w:t>:</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الدلال</w:t>
      </w:r>
      <w:r w:rsidR="00EC7EDF" w:rsidRPr="00FD211F">
        <w:rPr>
          <w:sz w:val="36"/>
          <w:szCs w:val="36"/>
          <w:rtl/>
        </w:rPr>
        <w:t>ة</w:t>
      </w:r>
      <w:r w:rsidR="00E8128F">
        <w:rPr>
          <w:sz w:val="36"/>
          <w:szCs w:val="36"/>
          <w:rtl/>
        </w:rPr>
        <w:t xml:space="preserve"> </w:t>
      </w:r>
      <w:r w:rsidRPr="00FD211F">
        <w:rPr>
          <w:sz w:val="36"/>
          <w:szCs w:val="36"/>
          <w:rtl/>
        </w:rPr>
        <w:t>العقلي</w:t>
      </w:r>
      <w:r w:rsidR="00EC7EDF" w:rsidRPr="00FD211F">
        <w:rPr>
          <w:sz w:val="36"/>
          <w:szCs w:val="36"/>
          <w:rtl/>
        </w:rPr>
        <w:t>ة</w:t>
      </w:r>
      <w:r w:rsidR="00E8128F">
        <w:rPr>
          <w:sz w:val="36"/>
          <w:szCs w:val="36"/>
          <w:rtl/>
        </w:rPr>
        <w:t xml:space="preserve"> </w:t>
      </w:r>
      <w:r w:rsidRPr="00FD211F">
        <w:rPr>
          <w:sz w:val="36"/>
          <w:szCs w:val="36"/>
          <w:rtl/>
        </w:rPr>
        <w:t>لاتعي</w:t>
      </w:r>
      <w:r w:rsidR="00315FAC" w:rsidRPr="00FD211F">
        <w:rPr>
          <w:sz w:val="36"/>
          <w:szCs w:val="36"/>
          <w:rtl/>
        </w:rPr>
        <w:t>ّ</w:t>
      </w:r>
      <w:r w:rsidRPr="00FD211F">
        <w:rPr>
          <w:sz w:val="36"/>
          <w:szCs w:val="36"/>
          <w:rtl/>
        </w:rPr>
        <w:t>ن</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المبهم</w:t>
      </w:r>
      <w:r w:rsidR="00EC7EDF" w:rsidRPr="00FD211F">
        <w:rPr>
          <w:sz w:val="36"/>
          <w:szCs w:val="36"/>
          <w:rtl/>
        </w:rPr>
        <w:t>ة</w:t>
      </w:r>
      <w:r w:rsidR="00E8128F">
        <w:rPr>
          <w:sz w:val="36"/>
          <w:szCs w:val="36"/>
          <w:rtl/>
        </w:rPr>
        <w:t xml:space="preserve"> </w:t>
      </w:r>
      <w:r w:rsidRPr="00FD211F">
        <w:rPr>
          <w:sz w:val="36"/>
          <w:szCs w:val="36"/>
          <w:rtl/>
        </w:rPr>
        <w:t>التي</w:t>
      </w:r>
      <w:r w:rsidR="00E8128F">
        <w:rPr>
          <w:sz w:val="36"/>
          <w:szCs w:val="36"/>
          <w:rtl/>
        </w:rPr>
        <w:t xml:space="preserve"> </w:t>
      </w:r>
      <w:r w:rsidRPr="00FD211F">
        <w:rPr>
          <w:sz w:val="36"/>
          <w:szCs w:val="36"/>
          <w:rtl/>
        </w:rPr>
        <w:t>هي</w:t>
      </w:r>
      <w:r w:rsidR="00E8128F">
        <w:rPr>
          <w:sz w:val="36"/>
          <w:szCs w:val="36"/>
          <w:rtl/>
        </w:rPr>
        <w:t xml:space="preserve"> </w:t>
      </w:r>
      <w:r w:rsidRPr="00FD211F">
        <w:rPr>
          <w:sz w:val="36"/>
          <w:szCs w:val="36"/>
          <w:rtl/>
        </w:rPr>
        <w:t>طرف</w:t>
      </w:r>
      <w:r w:rsidR="00E8128F">
        <w:rPr>
          <w:sz w:val="36"/>
          <w:szCs w:val="36"/>
          <w:rtl/>
        </w:rPr>
        <w:t xml:space="preserve"> </w:t>
      </w:r>
      <w:r w:rsidRPr="00FD211F">
        <w:rPr>
          <w:sz w:val="36"/>
          <w:szCs w:val="36"/>
          <w:rtl/>
        </w:rPr>
        <w:t>للنسب</w:t>
      </w:r>
      <w:r w:rsidR="00EC7EDF" w:rsidRPr="00FD211F">
        <w:rPr>
          <w:sz w:val="36"/>
          <w:szCs w:val="36"/>
          <w:rtl/>
        </w:rPr>
        <w:t>ة</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لوحظت</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الركن</w:t>
      </w:r>
      <w:r w:rsidR="00E8128F">
        <w:rPr>
          <w:sz w:val="36"/>
          <w:szCs w:val="36"/>
          <w:rtl/>
        </w:rPr>
        <w:t xml:space="preserve"> </w:t>
      </w:r>
      <w:r w:rsidRPr="00FD211F">
        <w:rPr>
          <w:sz w:val="36"/>
          <w:szCs w:val="36"/>
          <w:rtl/>
        </w:rPr>
        <w:t>والمقيد</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القيد</w:t>
      </w:r>
      <w:r w:rsidR="00E8128F">
        <w:rPr>
          <w:sz w:val="36"/>
          <w:szCs w:val="36"/>
          <w:rtl/>
        </w:rPr>
        <w:t xml:space="preserve"> </w:t>
      </w:r>
      <w:r w:rsidRPr="00FD211F">
        <w:rPr>
          <w:sz w:val="36"/>
          <w:szCs w:val="36"/>
          <w:rtl/>
        </w:rPr>
        <w:t>فانه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المصدر</w:t>
      </w:r>
      <w:r w:rsidR="00E8128F">
        <w:rPr>
          <w:sz w:val="36"/>
          <w:szCs w:val="36"/>
          <w:rtl/>
        </w:rPr>
        <w:t xml:space="preserve"> </w:t>
      </w:r>
      <w:r w:rsidRPr="00FD211F">
        <w:rPr>
          <w:sz w:val="36"/>
          <w:szCs w:val="36"/>
          <w:rtl/>
        </w:rPr>
        <w:t>تكون</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ملحوظ</w:t>
      </w:r>
      <w:r w:rsidR="00EC7EDF" w:rsidRPr="00FD211F">
        <w:rPr>
          <w:sz w:val="36"/>
          <w:szCs w:val="36"/>
          <w:rtl/>
        </w:rPr>
        <w:t>ة</w:t>
      </w:r>
      <w:r w:rsidR="00E8128F">
        <w:rPr>
          <w:sz w:val="36"/>
          <w:szCs w:val="36"/>
          <w:rtl/>
        </w:rPr>
        <w:t xml:space="preserve"> </w:t>
      </w:r>
      <w:r w:rsidRPr="00FD211F">
        <w:rPr>
          <w:sz w:val="36"/>
          <w:szCs w:val="36"/>
          <w:rtl/>
        </w:rPr>
        <w:t>بنحو</w:t>
      </w:r>
      <w:r w:rsidR="00E8128F">
        <w:rPr>
          <w:sz w:val="36"/>
          <w:szCs w:val="36"/>
          <w:rtl/>
        </w:rPr>
        <w:t xml:space="preserve"> </w:t>
      </w:r>
      <w:r w:rsidRPr="00FD211F">
        <w:rPr>
          <w:sz w:val="36"/>
          <w:szCs w:val="36"/>
          <w:rtl/>
        </w:rPr>
        <w:t>القيدي</w:t>
      </w:r>
      <w:r w:rsidR="00EC7EDF" w:rsidRPr="00FD211F">
        <w:rPr>
          <w:sz w:val="36"/>
          <w:szCs w:val="36"/>
          <w:rtl/>
        </w:rPr>
        <w:t>ة</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افاد</w:t>
      </w:r>
      <w:r w:rsidR="00EC7EDF" w:rsidRPr="00FD211F">
        <w:rPr>
          <w:sz w:val="36"/>
          <w:szCs w:val="36"/>
          <w:rtl/>
        </w:rPr>
        <w:t>ة</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المصدر</w:t>
      </w:r>
      <w:r w:rsidR="00E8128F">
        <w:rPr>
          <w:sz w:val="36"/>
          <w:szCs w:val="36"/>
          <w:rtl/>
        </w:rPr>
        <w:t xml:space="preserve"> </w:t>
      </w:r>
      <w:r w:rsidRPr="00FD211F">
        <w:rPr>
          <w:sz w:val="36"/>
          <w:szCs w:val="36"/>
          <w:rtl/>
        </w:rPr>
        <w:t>للنسب</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الركن</w:t>
      </w:r>
      <w:r w:rsidR="00E8128F">
        <w:rPr>
          <w:sz w:val="36"/>
          <w:szCs w:val="36"/>
          <w:rtl/>
        </w:rPr>
        <w:t xml:space="preserve"> </w:t>
      </w:r>
      <w:r w:rsidRPr="00FD211F">
        <w:rPr>
          <w:sz w:val="36"/>
          <w:szCs w:val="36"/>
          <w:rtl/>
        </w:rPr>
        <w:t>فيها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الحدث</w:t>
      </w:r>
      <w:r w:rsidR="00E8128F">
        <w:rPr>
          <w:sz w:val="36"/>
          <w:szCs w:val="36"/>
          <w:rtl/>
        </w:rPr>
        <w:t xml:space="preserve"> </w:t>
      </w:r>
      <w:r w:rsidRPr="00FD211F">
        <w:rPr>
          <w:sz w:val="36"/>
          <w:szCs w:val="36"/>
          <w:rtl/>
        </w:rPr>
        <w:t>وتلحظ</w:t>
      </w:r>
      <w:r w:rsidR="00E8128F">
        <w:rPr>
          <w:sz w:val="36"/>
          <w:szCs w:val="36"/>
          <w:rtl/>
        </w:rPr>
        <w:t xml:space="preserve"> </w:t>
      </w:r>
      <w:r w:rsidRPr="00FD211F">
        <w:rPr>
          <w:sz w:val="36"/>
          <w:szCs w:val="36"/>
          <w:rtl/>
        </w:rPr>
        <w:t>نسبته</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المبهم</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وخلاص</w:t>
      </w:r>
      <w:r w:rsidR="00EC7EDF" w:rsidRPr="00FD211F">
        <w:rPr>
          <w:sz w:val="36"/>
          <w:szCs w:val="36"/>
          <w:rtl/>
        </w:rPr>
        <w:t>ة</w:t>
      </w:r>
      <w:r w:rsidR="00E8128F">
        <w:rPr>
          <w:sz w:val="36"/>
          <w:szCs w:val="36"/>
          <w:rtl/>
        </w:rPr>
        <w:t xml:space="preserve"> </w:t>
      </w:r>
      <w:r w:rsidRPr="00FD211F">
        <w:rPr>
          <w:sz w:val="36"/>
          <w:szCs w:val="36"/>
          <w:rtl/>
        </w:rPr>
        <w:t>الكلام</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والمصدر</w:t>
      </w:r>
      <w:r w:rsidR="00E8128F">
        <w:rPr>
          <w:sz w:val="36"/>
          <w:szCs w:val="36"/>
          <w:rtl/>
        </w:rPr>
        <w:t xml:space="preserve"> </w:t>
      </w:r>
      <w:r w:rsidRPr="00FD211F">
        <w:rPr>
          <w:sz w:val="36"/>
          <w:szCs w:val="36"/>
          <w:rtl/>
        </w:rPr>
        <w:t>مما</w:t>
      </w:r>
      <w:r w:rsidR="00E8128F">
        <w:rPr>
          <w:sz w:val="36"/>
          <w:szCs w:val="36"/>
          <w:rtl/>
        </w:rPr>
        <w:t xml:space="preserve"> </w:t>
      </w:r>
      <w:r w:rsidRPr="00FD211F">
        <w:rPr>
          <w:sz w:val="36"/>
          <w:szCs w:val="36"/>
          <w:rtl/>
        </w:rPr>
        <w:t>لايصح</w:t>
      </w:r>
      <w:r w:rsidR="00E8128F">
        <w:rPr>
          <w:sz w:val="36"/>
          <w:szCs w:val="36"/>
          <w:rtl/>
        </w:rPr>
        <w:t xml:space="preserve"> </w:t>
      </w:r>
      <w:r w:rsidRPr="00FD211F">
        <w:rPr>
          <w:sz w:val="36"/>
          <w:szCs w:val="36"/>
          <w:rtl/>
        </w:rPr>
        <w:t>استعمال</w:t>
      </w:r>
      <w:r w:rsidR="00E8128F">
        <w:rPr>
          <w:sz w:val="36"/>
          <w:szCs w:val="36"/>
          <w:rtl/>
        </w:rPr>
        <w:t xml:space="preserve"> </w:t>
      </w:r>
      <w:r w:rsidRPr="00FD211F">
        <w:rPr>
          <w:sz w:val="36"/>
          <w:szCs w:val="36"/>
          <w:rtl/>
        </w:rPr>
        <w:t>احدهما</w:t>
      </w:r>
      <w:r w:rsidR="00E8128F">
        <w:rPr>
          <w:sz w:val="36"/>
          <w:szCs w:val="36"/>
          <w:rtl/>
        </w:rPr>
        <w:t xml:space="preserve"> </w:t>
      </w:r>
      <w:r w:rsidRPr="00FD211F">
        <w:rPr>
          <w:sz w:val="36"/>
          <w:szCs w:val="36"/>
          <w:rtl/>
        </w:rPr>
        <w:t>موضع</w:t>
      </w:r>
      <w:r w:rsidR="00E8128F">
        <w:rPr>
          <w:sz w:val="36"/>
          <w:szCs w:val="36"/>
          <w:rtl/>
        </w:rPr>
        <w:t xml:space="preserve"> </w:t>
      </w:r>
      <w:r w:rsidRPr="00FD211F">
        <w:rPr>
          <w:sz w:val="36"/>
          <w:szCs w:val="36"/>
          <w:rtl/>
        </w:rPr>
        <w:t>الآخر</w:t>
      </w:r>
      <w:r w:rsidR="00E8128F">
        <w:rPr>
          <w:sz w:val="36"/>
          <w:szCs w:val="36"/>
          <w:rtl/>
        </w:rPr>
        <w:t xml:space="preserve"> </w:t>
      </w:r>
      <w:r w:rsidRPr="00FD211F">
        <w:rPr>
          <w:sz w:val="36"/>
          <w:szCs w:val="36"/>
          <w:rtl/>
        </w:rPr>
        <w:t>ولايكون</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بموجب</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المبهم</w:t>
      </w:r>
      <w:r w:rsidR="00EC7EDF" w:rsidRPr="00FD211F">
        <w:rPr>
          <w:sz w:val="36"/>
          <w:szCs w:val="36"/>
          <w:rtl/>
        </w:rPr>
        <w:t>ة</w:t>
      </w:r>
      <w:r w:rsidR="00E8128F">
        <w:rPr>
          <w:sz w:val="36"/>
          <w:szCs w:val="36"/>
          <w:rtl/>
        </w:rPr>
        <w:t xml:space="preserve"> </w:t>
      </w:r>
      <w:r w:rsidRPr="00FD211F">
        <w:rPr>
          <w:sz w:val="36"/>
          <w:szCs w:val="36"/>
          <w:rtl/>
        </w:rPr>
        <w:t>هي</w:t>
      </w:r>
      <w:r w:rsidR="00E8128F">
        <w:rPr>
          <w:sz w:val="36"/>
          <w:szCs w:val="36"/>
          <w:rtl/>
        </w:rPr>
        <w:t xml:space="preserve"> </w:t>
      </w:r>
      <w:r w:rsidRPr="00FD211F">
        <w:rPr>
          <w:sz w:val="36"/>
          <w:szCs w:val="36"/>
          <w:rtl/>
        </w:rPr>
        <w:t>المقيد</w:t>
      </w:r>
      <w:r w:rsidR="00E8128F">
        <w:rPr>
          <w:sz w:val="36"/>
          <w:szCs w:val="36"/>
          <w:rtl/>
        </w:rPr>
        <w:t xml:space="preserve"> </w:t>
      </w:r>
      <w:r w:rsidRPr="00FD211F">
        <w:rPr>
          <w:sz w:val="36"/>
          <w:szCs w:val="36"/>
          <w:rtl/>
        </w:rPr>
        <w:t>والركن</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دون</w:t>
      </w:r>
      <w:r w:rsidR="00E8128F">
        <w:rPr>
          <w:sz w:val="36"/>
          <w:szCs w:val="36"/>
          <w:rtl/>
        </w:rPr>
        <w:t xml:space="preserve"> </w:t>
      </w:r>
      <w:r w:rsidRPr="00FD211F">
        <w:rPr>
          <w:sz w:val="36"/>
          <w:szCs w:val="36"/>
          <w:rtl/>
        </w:rPr>
        <w:t>المصدر</w:t>
      </w:r>
      <w:r w:rsidR="00603323" w:rsidRPr="00FD211F">
        <w:rPr>
          <w:sz w:val="36"/>
          <w:szCs w:val="36"/>
          <w:rtl/>
        </w:rPr>
        <w:t>،</w:t>
      </w:r>
      <w:r w:rsidR="00E8128F">
        <w:rPr>
          <w:sz w:val="36"/>
          <w:szCs w:val="36"/>
          <w:rtl/>
        </w:rPr>
        <w:t xml:space="preserve"> </w:t>
      </w:r>
      <w:r w:rsidRPr="00FD211F">
        <w:rPr>
          <w:sz w:val="36"/>
          <w:szCs w:val="36"/>
          <w:rtl/>
        </w:rPr>
        <w:t>وحيث</w:t>
      </w:r>
      <w:r w:rsidR="00E8128F">
        <w:rPr>
          <w:sz w:val="36"/>
          <w:szCs w:val="36"/>
          <w:rtl/>
        </w:rPr>
        <w:t xml:space="preserve"> </w:t>
      </w:r>
      <w:r w:rsidRPr="00FD211F">
        <w:rPr>
          <w:sz w:val="36"/>
          <w:szCs w:val="36"/>
          <w:rtl/>
        </w:rPr>
        <w:t>لايستفاد</w:t>
      </w:r>
      <w:r w:rsidR="00E8128F">
        <w:rPr>
          <w:sz w:val="36"/>
          <w:szCs w:val="36"/>
          <w:rtl/>
        </w:rPr>
        <w:t xml:space="preserve"> </w:t>
      </w:r>
      <w:r w:rsidRPr="00FD211F">
        <w:rPr>
          <w:sz w:val="36"/>
          <w:szCs w:val="36"/>
          <w:rtl/>
        </w:rPr>
        <w:t>ذلك</w:t>
      </w:r>
      <w:r w:rsidR="00E8128F">
        <w:rPr>
          <w:sz w:val="36"/>
          <w:szCs w:val="36"/>
          <w:rtl/>
        </w:rPr>
        <w:t xml:space="preserve"> </w:t>
      </w:r>
      <w:r w:rsidRPr="00FD211F">
        <w:rPr>
          <w:sz w:val="36"/>
          <w:szCs w:val="36"/>
          <w:rtl/>
        </w:rPr>
        <w:t>بالدلال</w:t>
      </w:r>
      <w:r w:rsidR="00EC7EDF" w:rsidRPr="00FD211F">
        <w:rPr>
          <w:sz w:val="36"/>
          <w:szCs w:val="36"/>
          <w:rtl/>
        </w:rPr>
        <w:t>ة</w:t>
      </w:r>
      <w:r w:rsidR="00E8128F">
        <w:rPr>
          <w:sz w:val="36"/>
          <w:szCs w:val="36"/>
          <w:rtl/>
        </w:rPr>
        <w:t xml:space="preserve"> </w:t>
      </w:r>
      <w:r w:rsidRPr="00FD211F">
        <w:rPr>
          <w:sz w:val="36"/>
          <w:szCs w:val="36"/>
          <w:rtl/>
        </w:rPr>
        <w:t>العقلي</w:t>
      </w:r>
      <w:r w:rsidR="00EC7EDF" w:rsidRPr="00FD211F">
        <w:rPr>
          <w:sz w:val="36"/>
          <w:szCs w:val="36"/>
          <w:rtl/>
        </w:rPr>
        <w:t>ة</w:t>
      </w:r>
      <w:r w:rsidR="00E8128F">
        <w:rPr>
          <w:sz w:val="36"/>
          <w:szCs w:val="36"/>
          <w:rtl/>
        </w:rPr>
        <w:t xml:space="preserve"> </w:t>
      </w:r>
      <w:r w:rsidRPr="00FD211F">
        <w:rPr>
          <w:sz w:val="36"/>
          <w:szCs w:val="36"/>
          <w:rtl/>
        </w:rPr>
        <w:t>حيث</w:t>
      </w:r>
      <w:r w:rsidR="00E8128F">
        <w:rPr>
          <w:sz w:val="36"/>
          <w:szCs w:val="36"/>
          <w:rtl/>
        </w:rPr>
        <w:t xml:space="preserve"> </w:t>
      </w:r>
      <w:r w:rsidRPr="00FD211F">
        <w:rPr>
          <w:sz w:val="36"/>
          <w:szCs w:val="36"/>
          <w:rtl/>
        </w:rPr>
        <w:t>مر</w:t>
      </w:r>
      <w:r w:rsidR="00E8128F">
        <w:rPr>
          <w:sz w:val="36"/>
          <w:szCs w:val="36"/>
          <w:rtl/>
        </w:rPr>
        <w:t xml:space="preserve"> </w:t>
      </w:r>
      <w:r w:rsidRPr="00FD211F">
        <w:rPr>
          <w:sz w:val="36"/>
          <w:szCs w:val="36"/>
          <w:rtl/>
        </w:rPr>
        <w:t>انها</w:t>
      </w:r>
      <w:r w:rsidR="00E8128F">
        <w:rPr>
          <w:sz w:val="36"/>
          <w:szCs w:val="36"/>
          <w:rtl/>
        </w:rPr>
        <w:t xml:space="preserve"> </w:t>
      </w:r>
      <w:r w:rsidRPr="00FD211F">
        <w:rPr>
          <w:sz w:val="36"/>
          <w:szCs w:val="36"/>
          <w:rtl/>
        </w:rPr>
        <w:t>لاتدل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اكثر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كونها</w:t>
      </w:r>
      <w:r w:rsidR="00E8128F">
        <w:rPr>
          <w:sz w:val="36"/>
          <w:szCs w:val="36"/>
          <w:rtl/>
        </w:rPr>
        <w:t xml:space="preserve"> </w:t>
      </w:r>
      <w:r w:rsidRPr="00FD211F">
        <w:rPr>
          <w:sz w:val="36"/>
          <w:szCs w:val="36"/>
          <w:rtl/>
        </w:rPr>
        <w:t>طرف</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لعدم</w:t>
      </w:r>
      <w:r w:rsidR="00E8128F">
        <w:rPr>
          <w:sz w:val="36"/>
          <w:szCs w:val="36"/>
          <w:rtl/>
        </w:rPr>
        <w:t xml:space="preserve"> </w:t>
      </w:r>
      <w:r w:rsidRPr="00FD211F">
        <w:rPr>
          <w:sz w:val="36"/>
          <w:szCs w:val="36"/>
          <w:rtl/>
        </w:rPr>
        <w:t>تحققها</w:t>
      </w:r>
      <w:r w:rsidR="00E8128F">
        <w:rPr>
          <w:sz w:val="36"/>
          <w:szCs w:val="36"/>
          <w:rtl/>
        </w:rPr>
        <w:t xml:space="preserve"> </w:t>
      </w:r>
      <w:r w:rsidRPr="00FD211F">
        <w:rPr>
          <w:sz w:val="36"/>
          <w:szCs w:val="36"/>
          <w:rtl/>
        </w:rPr>
        <w:t>بدونها</w:t>
      </w:r>
      <w:r w:rsidR="00E8128F">
        <w:rPr>
          <w:sz w:val="36"/>
          <w:szCs w:val="36"/>
          <w:rtl/>
        </w:rPr>
        <w:t xml:space="preserve"> </w:t>
      </w:r>
      <w:r w:rsidRPr="00FD211F">
        <w:rPr>
          <w:sz w:val="36"/>
          <w:szCs w:val="36"/>
          <w:rtl/>
        </w:rPr>
        <w:t>فلابد</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استناده</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الدلال</w:t>
      </w:r>
      <w:r w:rsidR="00EC7EDF" w:rsidRPr="00FD211F">
        <w:rPr>
          <w:sz w:val="36"/>
          <w:szCs w:val="36"/>
          <w:rtl/>
        </w:rPr>
        <w:t>ة</w:t>
      </w:r>
      <w:r w:rsidR="00E8128F">
        <w:rPr>
          <w:sz w:val="36"/>
          <w:szCs w:val="36"/>
          <w:rtl/>
        </w:rPr>
        <w:t xml:space="preserve"> </w:t>
      </w:r>
      <w:r w:rsidRPr="00FD211F">
        <w:rPr>
          <w:sz w:val="36"/>
          <w:szCs w:val="36"/>
          <w:rtl/>
        </w:rPr>
        <w:t>اللفظي</w:t>
      </w:r>
      <w:r w:rsidR="00EC7EDF" w:rsidRPr="00FD211F">
        <w:rPr>
          <w:sz w:val="36"/>
          <w:szCs w:val="36"/>
          <w:rtl/>
        </w:rPr>
        <w:t>ة</w:t>
      </w:r>
      <w:r w:rsidR="00A61BAE" w:rsidRPr="00FD211F">
        <w:rPr>
          <w:sz w:val="36"/>
          <w:szCs w:val="36"/>
          <w:rtl/>
        </w:rPr>
        <w:t>.</w:t>
      </w:r>
    </w:p>
    <w:p w14:paraId="0F711EA2" w14:textId="77777777" w:rsidR="001527CB" w:rsidRPr="00FD211F" w:rsidRDefault="004006EC" w:rsidP="009C58C8">
      <w:pPr>
        <w:pStyle w:val="a4"/>
        <w:ind w:left="0" w:firstLine="227"/>
        <w:jc w:val="both"/>
        <w:rPr>
          <w:sz w:val="36"/>
          <w:szCs w:val="36"/>
          <w:rtl/>
        </w:rPr>
      </w:pPr>
      <w:r w:rsidRPr="00FD211F">
        <w:rPr>
          <w:sz w:val="36"/>
          <w:szCs w:val="36"/>
          <w:rtl/>
        </w:rPr>
        <w:t>واورد</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العلاج</w:t>
      </w:r>
      <w:r w:rsidR="00E8128F">
        <w:rPr>
          <w:sz w:val="36"/>
          <w:szCs w:val="36"/>
          <w:rtl/>
        </w:rPr>
        <w:t xml:space="preserve"> </w:t>
      </w:r>
      <w:r w:rsidRPr="00FD211F">
        <w:rPr>
          <w:sz w:val="36"/>
          <w:szCs w:val="36"/>
          <w:rtl/>
        </w:rPr>
        <w:t>الثاني</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ليس</w:t>
      </w:r>
      <w:r w:rsidR="00E8128F">
        <w:rPr>
          <w:sz w:val="36"/>
          <w:szCs w:val="36"/>
          <w:rtl/>
        </w:rPr>
        <w:t xml:space="preserve"> </w:t>
      </w:r>
      <w:r w:rsidRPr="00FD211F">
        <w:rPr>
          <w:sz w:val="36"/>
          <w:szCs w:val="36"/>
          <w:rtl/>
        </w:rPr>
        <w:t>الكلام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الدال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الاتحادي</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والمبدأ</w:t>
      </w:r>
      <w:r w:rsidR="00E8128F">
        <w:rPr>
          <w:sz w:val="36"/>
          <w:szCs w:val="36"/>
          <w:rtl/>
        </w:rPr>
        <w:t xml:space="preserve"> </w:t>
      </w:r>
      <w:r w:rsidRPr="00FD211F">
        <w:rPr>
          <w:sz w:val="36"/>
          <w:szCs w:val="36"/>
          <w:rtl/>
        </w:rPr>
        <w:t>وانما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w:t>
      </w:r>
      <w:r w:rsidR="009977FE" w:rsidRPr="00FD211F">
        <w:rPr>
          <w:sz w:val="36"/>
          <w:szCs w:val="36"/>
          <w:rtl/>
        </w:rPr>
        <w:t>و</w:t>
      </w:r>
      <w:r w:rsidR="00E8128F">
        <w:rPr>
          <w:sz w:val="36"/>
          <w:szCs w:val="36"/>
          <w:rtl/>
        </w:rPr>
        <w:t xml:space="preserve"> </w:t>
      </w:r>
      <w:r w:rsidR="008D7B3D" w:rsidRPr="00FD211F">
        <w:rPr>
          <w:sz w:val="36"/>
          <w:szCs w:val="36"/>
          <w:rtl/>
        </w:rPr>
        <w:t>لم‌</w:t>
      </w:r>
      <w:r w:rsidRPr="00FD211F">
        <w:rPr>
          <w:sz w:val="36"/>
          <w:szCs w:val="36"/>
          <w:rtl/>
        </w:rPr>
        <w:t>يؤخذ</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w:t>
      </w:r>
      <w:r w:rsidR="004F082F" w:rsidRPr="00FD211F">
        <w:rPr>
          <w:sz w:val="36"/>
          <w:szCs w:val="36"/>
          <w:rtl/>
        </w:rPr>
        <w:t>-</w:t>
      </w:r>
      <w:r w:rsidRPr="00FD211F">
        <w:rPr>
          <w:sz w:val="36"/>
          <w:szCs w:val="36"/>
          <w:rtl/>
        </w:rPr>
        <w:t>ما</w:t>
      </w:r>
      <w:r w:rsidR="00E8128F">
        <w:rPr>
          <w:sz w:val="36"/>
          <w:szCs w:val="36"/>
          <w:rtl/>
        </w:rPr>
        <w:t xml:space="preserve"> </w:t>
      </w:r>
      <w:r w:rsidRPr="00FD211F">
        <w:rPr>
          <w:sz w:val="36"/>
          <w:szCs w:val="36"/>
          <w:rtl/>
        </w:rPr>
        <w:t>صح</w:t>
      </w:r>
      <w:r w:rsidR="00E8128F">
        <w:rPr>
          <w:sz w:val="36"/>
          <w:szCs w:val="36"/>
          <w:rtl/>
        </w:rPr>
        <w:t xml:space="preserve"> </w:t>
      </w:r>
      <w:r w:rsidRPr="00FD211F">
        <w:rPr>
          <w:sz w:val="36"/>
          <w:szCs w:val="36"/>
          <w:rtl/>
        </w:rPr>
        <w:t>حمل</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لعدم</w:t>
      </w:r>
      <w:r w:rsidR="00E8128F">
        <w:rPr>
          <w:sz w:val="36"/>
          <w:szCs w:val="36"/>
          <w:rtl/>
        </w:rPr>
        <w:t xml:space="preserve"> </w:t>
      </w:r>
      <w:r w:rsidR="00577D84" w:rsidRPr="00FD211F">
        <w:rPr>
          <w:sz w:val="36"/>
          <w:szCs w:val="36"/>
          <w:rtl/>
        </w:rPr>
        <w:t>تحقق</w:t>
      </w:r>
      <w:r w:rsidR="00E8128F">
        <w:rPr>
          <w:sz w:val="36"/>
          <w:szCs w:val="36"/>
          <w:rtl/>
        </w:rPr>
        <w:t xml:space="preserve"> </w:t>
      </w:r>
      <w:r w:rsidR="00577D84" w:rsidRPr="00FD211F">
        <w:rPr>
          <w:sz w:val="36"/>
          <w:szCs w:val="36"/>
          <w:rtl/>
        </w:rPr>
        <w:t>الاتحاد</w:t>
      </w:r>
      <w:r w:rsidR="00E8128F">
        <w:rPr>
          <w:sz w:val="36"/>
          <w:szCs w:val="36"/>
          <w:rtl/>
        </w:rPr>
        <w:t xml:space="preserve"> </w:t>
      </w:r>
      <w:r w:rsidR="00577D84" w:rsidRPr="00FD211F">
        <w:rPr>
          <w:sz w:val="36"/>
          <w:szCs w:val="36"/>
          <w:rtl/>
        </w:rPr>
        <w:t>بينه</w:t>
      </w:r>
      <w:r w:rsidR="00E8128F">
        <w:rPr>
          <w:sz w:val="36"/>
          <w:szCs w:val="36"/>
          <w:rtl/>
        </w:rPr>
        <w:t xml:space="preserve"> </w:t>
      </w:r>
      <w:r w:rsidR="00577D84" w:rsidRPr="00FD211F">
        <w:rPr>
          <w:sz w:val="36"/>
          <w:szCs w:val="36"/>
          <w:rtl/>
        </w:rPr>
        <w:t>وبين</w:t>
      </w:r>
      <w:r w:rsidR="00E8128F">
        <w:rPr>
          <w:sz w:val="36"/>
          <w:szCs w:val="36"/>
          <w:rtl/>
        </w:rPr>
        <w:t xml:space="preserve"> </w:t>
      </w:r>
      <w:r w:rsidR="00577D84" w:rsidRPr="00FD211F">
        <w:rPr>
          <w:sz w:val="36"/>
          <w:szCs w:val="36"/>
          <w:rtl/>
        </w:rPr>
        <w:t>الذات</w:t>
      </w:r>
      <w:r w:rsidR="00E8128F">
        <w:rPr>
          <w:sz w:val="36"/>
          <w:szCs w:val="36"/>
          <w:rtl/>
        </w:rPr>
        <w:t xml:space="preserve"> </w:t>
      </w:r>
      <w:r w:rsidR="00577D84" w:rsidRPr="00FD211F">
        <w:rPr>
          <w:sz w:val="36"/>
          <w:szCs w:val="36"/>
          <w:rtl/>
        </w:rPr>
        <w:t>ال</w:t>
      </w:r>
      <w:r w:rsidRPr="00FD211F">
        <w:rPr>
          <w:sz w:val="36"/>
          <w:szCs w:val="36"/>
          <w:rtl/>
        </w:rPr>
        <w:t>واقع</w:t>
      </w:r>
      <w:r w:rsidR="00EC7EDF" w:rsidRPr="00FD211F">
        <w:rPr>
          <w:sz w:val="36"/>
          <w:szCs w:val="36"/>
          <w:rtl/>
        </w:rPr>
        <w:t>ة</w:t>
      </w:r>
      <w:r w:rsidR="00E8128F">
        <w:rPr>
          <w:sz w:val="36"/>
          <w:szCs w:val="36"/>
          <w:rtl/>
        </w:rPr>
        <w:t xml:space="preserve"> </w:t>
      </w:r>
      <w:r w:rsidRPr="00FD211F">
        <w:rPr>
          <w:sz w:val="36"/>
          <w:szCs w:val="36"/>
          <w:rtl/>
        </w:rPr>
        <w:t>موضوعا</w:t>
      </w:r>
      <w:r w:rsidR="00E8128F">
        <w:rPr>
          <w:sz w:val="36"/>
          <w:szCs w:val="36"/>
          <w:rtl/>
        </w:rPr>
        <w:t xml:space="preserve"> </w:t>
      </w:r>
      <w:r w:rsidRPr="00FD211F">
        <w:rPr>
          <w:sz w:val="36"/>
          <w:szCs w:val="36"/>
          <w:rtl/>
        </w:rPr>
        <w:t>واضاف</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w:t>
      </w:r>
      <w:r w:rsidR="00E8128F">
        <w:rPr>
          <w:sz w:val="36"/>
          <w:szCs w:val="36"/>
          <w:rtl/>
        </w:rPr>
        <w:t xml:space="preserve"> </w:t>
      </w:r>
      <w:r w:rsidRPr="00FD211F">
        <w:rPr>
          <w:sz w:val="36"/>
          <w:szCs w:val="36"/>
          <w:rtl/>
        </w:rPr>
        <w:t>اريد</w:t>
      </w:r>
      <w:r w:rsidR="00E8128F">
        <w:rPr>
          <w:sz w:val="36"/>
          <w:szCs w:val="36"/>
          <w:rtl/>
        </w:rPr>
        <w:t xml:space="preserve"> </w:t>
      </w:r>
      <w:r w:rsidRPr="00FD211F">
        <w:rPr>
          <w:sz w:val="36"/>
          <w:szCs w:val="36"/>
          <w:rtl/>
        </w:rPr>
        <w:t>جعل</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المبهم</w:t>
      </w:r>
      <w:r w:rsidR="00EC7EDF" w:rsidRPr="00FD211F">
        <w:rPr>
          <w:sz w:val="36"/>
          <w:szCs w:val="36"/>
          <w:rtl/>
        </w:rPr>
        <w:t>ة</w:t>
      </w:r>
      <w:r w:rsidR="00E8128F">
        <w:rPr>
          <w:sz w:val="36"/>
          <w:szCs w:val="36"/>
          <w:rtl/>
        </w:rPr>
        <w:t xml:space="preserve"> </w:t>
      </w:r>
      <w:r w:rsidRPr="00FD211F">
        <w:rPr>
          <w:sz w:val="36"/>
          <w:szCs w:val="36"/>
          <w:rtl/>
        </w:rPr>
        <w:t>مدلولا</w:t>
      </w:r>
      <w:r w:rsidR="00E8128F">
        <w:rPr>
          <w:sz w:val="36"/>
          <w:szCs w:val="36"/>
          <w:rtl/>
        </w:rPr>
        <w:t xml:space="preserve"> </w:t>
      </w:r>
      <w:r w:rsidRPr="00FD211F">
        <w:rPr>
          <w:sz w:val="36"/>
          <w:szCs w:val="36"/>
          <w:rtl/>
        </w:rPr>
        <w:t>التزاميا</w:t>
      </w:r>
      <w:r w:rsidR="00E8128F">
        <w:rPr>
          <w:sz w:val="36"/>
          <w:szCs w:val="36"/>
          <w:rtl/>
        </w:rPr>
        <w:t xml:space="preserve"> </w:t>
      </w:r>
      <w:r w:rsidRPr="00FD211F">
        <w:rPr>
          <w:sz w:val="36"/>
          <w:szCs w:val="36"/>
          <w:rtl/>
        </w:rPr>
        <w:t>عقليا</w:t>
      </w:r>
      <w:r w:rsidR="00E8128F">
        <w:rPr>
          <w:sz w:val="36"/>
          <w:szCs w:val="36"/>
          <w:rtl/>
        </w:rPr>
        <w:t xml:space="preserve"> </w:t>
      </w:r>
      <w:r w:rsidRPr="00FD211F">
        <w:rPr>
          <w:sz w:val="36"/>
          <w:szCs w:val="36"/>
          <w:rtl/>
        </w:rPr>
        <w:t>للمشتق</w:t>
      </w:r>
      <w:r w:rsidR="00E8128F">
        <w:rPr>
          <w:sz w:val="36"/>
          <w:szCs w:val="36"/>
          <w:rtl/>
        </w:rPr>
        <w:t xml:space="preserve"> </w:t>
      </w:r>
      <w:r w:rsidRPr="00FD211F">
        <w:rPr>
          <w:sz w:val="36"/>
          <w:szCs w:val="36"/>
          <w:rtl/>
        </w:rPr>
        <w:t>فحيث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تصور</w:t>
      </w:r>
      <w:r w:rsidR="00E8128F">
        <w:rPr>
          <w:sz w:val="36"/>
          <w:szCs w:val="36"/>
          <w:rtl/>
        </w:rPr>
        <w:t xml:space="preserve"> </w:t>
      </w:r>
      <w:r w:rsidRPr="00FD211F">
        <w:rPr>
          <w:sz w:val="36"/>
          <w:szCs w:val="36"/>
          <w:rtl/>
        </w:rPr>
        <w:t>اللازم</w:t>
      </w:r>
      <w:r w:rsidR="00E8128F">
        <w:rPr>
          <w:sz w:val="36"/>
          <w:szCs w:val="36"/>
          <w:rtl/>
        </w:rPr>
        <w:t xml:space="preserve"> </w:t>
      </w:r>
      <w:r w:rsidRPr="00FD211F">
        <w:rPr>
          <w:sz w:val="36"/>
          <w:szCs w:val="36"/>
          <w:rtl/>
        </w:rPr>
        <w:t>موقوف</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تصور</w:t>
      </w:r>
      <w:r w:rsidR="00E8128F">
        <w:rPr>
          <w:sz w:val="36"/>
          <w:szCs w:val="36"/>
          <w:rtl/>
        </w:rPr>
        <w:t xml:space="preserve"> </w:t>
      </w:r>
      <w:r w:rsidRPr="00FD211F">
        <w:rPr>
          <w:sz w:val="36"/>
          <w:szCs w:val="36"/>
          <w:rtl/>
        </w:rPr>
        <w:t>الملزوم</w:t>
      </w:r>
      <w:r w:rsidR="00E8128F">
        <w:rPr>
          <w:sz w:val="36"/>
          <w:szCs w:val="36"/>
          <w:rtl/>
        </w:rPr>
        <w:t xml:space="preserve"> </w:t>
      </w:r>
      <w:r w:rsidRPr="00FD211F">
        <w:rPr>
          <w:sz w:val="36"/>
          <w:szCs w:val="36"/>
          <w:rtl/>
        </w:rPr>
        <w:t>فلايعقل</w:t>
      </w:r>
      <w:r w:rsidR="00E8128F">
        <w:rPr>
          <w:sz w:val="36"/>
          <w:szCs w:val="36"/>
          <w:rtl/>
        </w:rPr>
        <w:t xml:space="preserve"> </w:t>
      </w:r>
      <w:r w:rsidRPr="00FD211F">
        <w:rPr>
          <w:sz w:val="36"/>
          <w:szCs w:val="36"/>
          <w:rtl/>
        </w:rPr>
        <w:t>توقف</w:t>
      </w:r>
      <w:r w:rsidR="00E8128F">
        <w:rPr>
          <w:sz w:val="36"/>
          <w:szCs w:val="36"/>
          <w:rtl/>
        </w:rPr>
        <w:t xml:space="preserve"> </w:t>
      </w:r>
      <w:r w:rsidRPr="00FD211F">
        <w:rPr>
          <w:sz w:val="36"/>
          <w:szCs w:val="36"/>
          <w:rtl/>
        </w:rPr>
        <w:t>تصور</w:t>
      </w:r>
      <w:r w:rsidR="00E8128F">
        <w:rPr>
          <w:sz w:val="36"/>
          <w:szCs w:val="36"/>
          <w:rtl/>
        </w:rPr>
        <w:t xml:space="preserve"> </w:t>
      </w:r>
      <w:r w:rsidRPr="00FD211F">
        <w:rPr>
          <w:sz w:val="36"/>
          <w:szCs w:val="36"/>
          <w:rtl/>
        </w:rPr>
        <w:t>الملزوم</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تصور</w:t>
      </w:r>
      <w:r w:rsidR="00E8128F">
        <w:rPr>
          <w:sz w:val="36"/>
          <w:szCs w:val="36"/>
          <w:rtl/>
        </w:rPr>
        <w:t xml:space="preserve"> </w:t>
      </w:r>
      <w:r w:rsidRPr="00FD211F">
        <w:rPr>
          <w:sz w:val="36"/>
          <w:szCs w:val="36"/>
          <w:rtl/>
        </w:rPr>
        <w:t>لازمه</w:t>
      </w:r>
      <w:r w:rsidR="00603323" w:rsidRPr="00FD211F">
        <w:rPr>
          <w:sz w:val="36"/>
          <w:szCs w:val="36"/>
          <w:rtl/>
        </w:rPr>
        <w:t>،</w:t>
      </w:r>
      <w:r w:rsidR="00E8128F">
        <w:rPr>
          <w:sz w:val="36"/>
          <w:szCs w:val="36"/>
          <w:rtl/>
        </w:rPr>
        <w:t xml:space="preserve"> </w:t>
      </w:r>
      <w:r w:rsidRPr="00FD211F">
        <w:rPr>
          <w:sz w:val="36"/>
          <w:szCs w:val="36"/>
          <w:rtl/>
        </w:rPr>
        <w:t>وحيث</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المدلول</w:t>
      </w:r>
      <w:r w:rsidR="00EC7EDF" w:rsidRPr="00FD211F">
        <w:rPr>
          <w:sz w:val="36"/>
          <w:szCs w:val="36"/>
          <w:rtl/>
        </w:rPr>
        <w:t>ة</w:t>
      </w:r>
      <w:r w:rsidR="00E8128F">
        <w:rPr>
          <w:sz w:val="36"/>
          <w:szCs w:val="36"/>
          <w:rtl/>
        </w:rPr>
        <w:t xml:space="preserve"> </w:t>
      </w:r>
      <w:r w:rsidRPr="00FD211F">
        <w:rPr>
          <w:sz w:val="36"/>
          <w:szCs w:val="36"/>
          <w:rtl/>
        </w:rPr>
        <w:t>للمشتق</w:t>
      </w:r>
      <w:r w:rsidR="00E8128F">
        <w:rPr>
          <w:sz w:val="36"/>
          <w:szCs w:val="36"/>
          <w:rtl/>
        </w:rPr>
        <w:t xml:space="preserve"> </w:t>
      </w:r>
      <w:r w:rsidRPr="00FD211F">
        <w:rPr>
          <w:sz w:val="36"/>
          <w:szCs w:val="36"/>
          <w:rtl/>
        </w:rPr>
        <w:t>تحليلي</w:t>
      </w:r>
      <w:r w:rsidR="00EC7EDF" w:rsidRPr="00FD211F">
        <w:rPr>
          <w:sz w:val="36"/>
          <w:szCs w:val="36"/>
          <w:rtl/>
        </w:rPr>
        <w:t>ة</w:t>
      </w:r>
      <w:r w:rsidR="00E8128F">
        <w:rPr>
          <w:sz w:val="36"/>
          <w:szCs w:val="36"/>
          <w:rtl/>
        </w:rPr>
        <w:t xml:space="preserve"> </w:t>
      </w:r>
      <w:r w:rsidRPr="00FD211F">
        <w:rPr>
          <w:sz w:val="36"/>
          <w:szCs w:val="36"/>
          <w:rtl/>
        </w:rPr>
        <w:t>لامعنى</w:t>
      </w:r>
      <w:r w:rsidR="00E8128F">
        <w:rPr>
          <w:sz w:val="36"/>
          <w:szCs w:val="36"/>
          <w:rtl/>
        </w:rPr>
        <w:t xml:space="preserve"> </w:t>
      </w:r>
      <w:r w:rsidRPr="00FD211F">
        <w:rPr>
          <w:sz w:val="36"/>
          <w:szCs w:val="36"/>
          <w:rtl/>
        </w:rPr>
        <w:t>لتحققها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الذهن</w:t>
      </w:r>
      <w:r w:rsidR="00E8128F">
        <w:rPr>
          <w:sz w:val="36"/>
          <w:szCs w:val="36"/>
          <w:rtl/>
        </w:rPr>
        <w:t xml:space="preserve"> </w:t>
      </w:r>
      <w:r w:rsidRPr="00FD211F">
        <w:rPr>
          <w:sz w:val="36"/>
          <w:szCs w:val="36"/>
          <w:rtl/>
        </w:rPr>
        <w:t>الا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ضمن</w:t>
      </w:r>
      <w:r w:rsidR="00E8128F">
        <w:rPr>
          <w:sz w:val="36"/>
          <w:szCs w:val="36"/>
          <w:rtl/>
        </w:rPr>
        <w:t xml:space="preserve"> </w:t>
      </w:r>
      <w:r w:rsidRPr="00FD211F">
        <w:rPr>
          <w:sz w:val="36"/>
          <w:szCs w:val="36"/>
          <w:rtl/>
        </w:rPr>
        <w:t>تصور</w:t>
      </w:r>
      <w:r w:rsidR="00E8128F">
        <w:rPr>
          <w:sz w:val="36"/>
          <w:szCs w:val="36"/>
          <w:rtl/>
        </w:rPr>
        <w:t xml:space="preserve"> </w:t>
      </w:r>
      <w:r w:rsidRPr="00FD211F">
        <w:rPr>
          <w:sz w:val="36"/>
          <w:szCs w:val="36"/>
          <w:rtl/>
        </w:rPr>
        <w:t>حص</w:t>
      </w:r>
      <w:r w:rsidR="00EC7EDF" w:rsidRPr="00FD211F">
        <w:rPr>
          <w:sz w:val="36"/>
          <w:szCs w:val="36"/>
          <w:rtl/>
        </w:rPr>
        <w:t>ة</w:t>
      </w:r>
      <w:r w:rsidR="00E8128F">
        <w:rPr>
          <w:sz w:val="36"/>
          <w:szCs w:val="36"/>
          <w:rtl/>
        </w:rPr>
        <w:t xml:space="preserve"> </w:t>
      </w:r>
      <w:r w:rsidRPr="00FD211F">
        <w:rPr>
          <w:sz w:val="36"/>
          <w:szCs w:val="36"/>
          <w:rtl/>
        </w:rPr>
        <w:t>مشتمل</w:t>
      </w:r>
      <w:r w:rsidR="00EC7EDF" w:rsidRPr="00FD211F">
        <w:rPr>
          <w:sz w:val="36"/>
          <w:szCs w:val="36"/>
          <w:rtl/>
        </w:rPr>
        <w:t>ة</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التحليلي</w:t>
      </w:r>
      <w:r w:rsidR="00EC7EDF" w:rsidRPr="00FD211F">
        <w:rPr>
          <w:sz w:val="36"/>
          <w:szCs w:val="36"/>
          <w:rtl/>
        </w:rPr>
        <w:t>ة</w:t>
      </w:r>
      <w:r w:rsidR="00E8128F">
        <w:rPr>
          <w:sz w:val="36"/>
          <w:szCs w:val="36"/>
          <w:rtl/>
        </w:rPr>
        <w:t xml:space="preserve"> </w:t>
      </w:r>
      <w:r w:rsidRPr="00FD211F">
        <w:rPr>
          <w:sz w:val="36"/>
          <w:szCs w:val="36"/>
          <w:rtl/>
        </w:rPr>
        <w:t>وطرفيها</w:t>
      </w:r>
      <w:r w:rsidR="00E8128F">
        <w:rPr>
          <w:sz w:val="36"/>
          <w:szCs w:val="36"/>
          <w:rtl/>
        </w:rPr>
        <w:t xml:space="preserve"> </w:t>
      </w:r>
      <w:r w:rsidRPr="00FD211F">
        <w:rPr>
          <w:sz w:val="36"/>
          <w:szCs w:val="36"/>
          <w:rtl/>
        </w:rPr>
        <w:t>بالتحلي</w:t>
      </w:r>
      <w:r w:rsidR="00E8128F">
        <w:rPr>
          <w:sz w:val="36"/>
          <w:szCs w:val="36"/>
          <w:rtl/>
        </w:rPr>
        <w:t xml:space="preserve"> </w:t>
      </w:r>
      <w:r w:rsidR="001527CB" w:rsidRPr="00FD211F">
        <w:rPr>
          <w:sz w:val="36"/>
          <w:szCs w:val="36"/>
          <w:rtl/>
        </w:rPr>
        <w:t>فلايعقل</w:t>
      </w:r>
      <w:r w:rsidR="00E8128F">
        <w:rPr>
          <w:sz w:val="36"/>
          <w:szCs w:val="36"/>
          <w:rtl/>
        </w:rPr>
        <w:t xml:space="preserve"> </w:t>
      </w:r>
      <w:r w:rsidR="001527CB" w:rsidRPr="00FD211F">
        <w:rPr>
          <w:sz w:val="36"/>
          <w:szCs w:val="36"/>
          <w:rtl/>
        </w:rPr>
        <w:t>تصور</w:t>
      </w:r>
      <w:r w:rsidR="00E8128F">
        <w:rPr>
          <w:sz w:val="36"/>
          <w:szCs w:val="36"/>
          <w:rtl/>
        </w:rPr>
        <w:t xml:space="preserve"> </w:t>
      </w:r>
      <w:r w:rsidR="001527CB" w:rsidRPr="00FD211F">
        <w:rPr>
          <w:sz w:val="36"/>
          <w:szCs w:val="36"/>
          <w:rtl/>
        </w:rPr>
        <w:t>ا</w:t>
      </w:r>
      <w:r w:rsidR="00E8128F">
        <w:rPr>
          <w:sz w:val="36"/>
          <w:szCs w:val="36"/>
          <w:rtl/>
        </w:rPr>
        <w:t xml:space="preserve"> </w:t>
      </w:r>
      <w:r w:rsidRPr="00FD211F">
        <w:rPr>
          <w:sz w:val="36"/>
          <w:szCs w:val="36"/>
          <w:rtl/>
        </w:rPr>
        <w:t>ل</w:t>
      </w:r>
      <w:r w:rsidR="001527CB" w:rsidRPr="00FD211F">
        <w:rPr>
          <w:sz w:val="36"/>
          <w:szCs w:val="36"/>
          <w:rtl/>
        </w:rPr>
        <w:t>لمشتق</w:t>
      </w:r>
      <w:r w:rsidR="00E8128F">
        <w:rPr>
          <w:sz w:val="36"/>
          <w:szCs w:val="36"/>
          <w:rtl/>
        </w:rPr>
        <w:t xml:space="preserve"> </w:t>
      </w:r>
      <w:r w:rsidR="001527CB" w:rsidRPr="00FD211F">
        <w:rPr>
          <w:sz w:val="36"/>
          <w:szCs w:val="36"/>
          <w:rtl/>
        </w:rPr>
        <w:t>بدون</w:t>
      </w:r>
      <w:r w:rsidR="00E8128F">
        <w:rPr>
          <w:sz w:val="36"/>
          <w:szCs w:val="36"/>
          <w:rtl/>
        </w:rPr>
        <w:t xml:space="preserve"> </w:t>
      </w:r>
      <w:r w:rsidR="001527CB" w:rsidRPr="00FD211F">
        <w:rPr>
          <w:sz w:val="36"/>
          <w:szCs w:val="36"/>
          <w:rtl/>
        </w:rPr>
        <w:t>تصور</w:t>
      </w:r>
      <w:r w:rsidR="00E8128F">
        <w:rPr>
          <w:sz w:val="36"/>
          <w:szCs w:val="36"/>
          <w:rtl/>
        </w:rPr>
        <w:t xml:space="preserve"> </w:t>
      </w:r>
      <w:r w:rsidR="001527CB" w:rsidRPr="00FD211F">
        <w:rPr>
          <w:sz w:val="36"/>
          <w:szCs w:val="36"/>
          <w:rtl/>
        </w:rPr>
        <w:t>الذات</w:t>
      </w:r>
      <w:r w:rsidR="00E8128F">
        <w:rPr>
          <w:sz w:val="36"/>
          <w:szCs w:val="36"/>
          <w:rtl/>
        </w:rPr>
        <w:t xml:space="preserve"> </w:t>
      </w:r>
      <w:r w:rsidR="001527CB" w:rsidRPr="00FD211F">
        <w:rPr>
          <w:sz w:val="36"/>
          <w:szCs w:val="36"/>
          <w:rtl/>
        </w:rPr>
        <w:t>المبهم</w:t>
      </w:r>
      <w:r w:rsidR="00EC7EDF" w:rsidRPr="00FD211F">
        <w:rPr>
          <w:sz w:val="36"/>
          <w:szCs w:val="36"/>
          <w:rtl/>
        </w:rPr>
        <w:t>ة</w:t>
      </w:r>
      <w:r w:rsidR="00A61BAE" w:rsidRPr="00FD211F">
        <w:rPr>
          <w:sz w:val="36"/>
          <w:szCs w:val="36"/>
          <w:rtl/>
        </w:rPr>
        <w:t>.</w:t>
      </w:r>
    </w:p>
    <w:p w14:paraId="01B0F5C3" w14:textId="77777777" w:rsidR="000C5BBA" w:rsidRPr="00FD211F" w:rsidRDefault="004006EC" w:rsidP="009C58C8">
      <w:pPr>
        <w:pStyle w:val="a4"/>
        <w:ind w:left="0" w:firstLine="227"/>
        <w:jc w:val="both"/>
        <w:rPr>
          <w:sz w:val="36"/>
          <w:szCs w:val="36"/>
          <w:rtl/>
        </w:rPr>
      </w:pPr>
      <w:r w:rsidRPr="00FD211F">
        <w:rPr>
          <w:sz w:val="36"/>
          <w:szCs w:val="36"/>
          <w:rtl/>
        </w:rPr>
        <w:t>اقول:</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الاشكال</w:t>
      </w:r>
      <w:r w:rsidR="00E8128F">
        <w:rPr>
          <w:sz w:val="36"/>
          <w:szCs w:val="36"/>
          <w:rtl/>
        </w:rPr>
        <w:t xml:space="preserve"> </w:t>
      </w:r>
      <w:r w:rsidR="003A2D8C" w:rsidRPr="00FD211F">
        <w:rPr>
          <w:sz w:val="36"/>
          <w:szCs w:val="36"/>
          <w:rtl/>
        </w:rPr>
        <w:t>الأول</w:t>
      </w:r>
      <w:r w:rsidR="00E8128F">
        <w:rPr>
          <w:sz w:val="36"/>
          <w:szCs w:val="36"/>
          <w:rtl/>
        </w:rPr>
        <w:t xml:space="preserve"> </w:t>
      </w:r>
      <w:r w:rsidR="003A2D8C" w:rsidRPr="00FD211F">
        <w:rPr>
          <w:sz w:val="36"/>
          <w:szCs w:val="36"/>
          <w:rtl/>
        </w:rPr>
        <w:t>والثاني</w:t>
      </w:r>
      <w:r w:rsidR="00E8128F">
        <w:rPr>
          <w:sz w:val="36"/>
          <w:szCs w:val="36"/>
          <w:rtl/>
        </w:rPr>
        <w:t xml:space="preserve"> </w:t>
      </w:r>
      <w:r w:rsidR="007E4B84" w:rsidRPr="00FD211F">
        <w:rPr>
          <w:sz w:val="36"/>
          <w:szCs w:val="36"/>
          <w:rtl/>
        </w:rPr>
        <w:t>على</w:t>
      </w:r>
      <w:r w:rsidR="00E8128F">
        <w:rPr>
          <w:sz w:val="36"/>
          <w:szCs w:val="36"/>
          <w:rtl/>
        </w:rPr>
        <w:t xml:space="preserve"> </w:t>
      </w:r>
      <w:r w:rsidR="007E4B84" w:rsidRPr="00FD211F">
        <w:rPr>
          <w:sz w:val="36"/>
          <w:szCs w:val="36"/>
          <w:rtl/>
        </w:rPr>
        <w:t>العلاج</w:t>
      </w:r>
      <w:r w:rsidR="00E8128F">
        <w:rPr>
          <w:sz w:val="36"/>
          <w:szCs w:val="36"/>
          <w:rtl/>
        </w:rPr>
        <w:t xml:space="preserve"> </w:t>
      </w:r>
      <w:r w:rsidR="007E4B84" w:rsidRPr="00FD211F">
        <w:rPr>
          <w:sz w:val="36"/>
          <w:szCs w:val="36"/>
          <w:rtl/>
        </w:rPr>
        <w:t>الاول</w:t>
      </w:r>
      <w:r w:rsidR="00E8128F">
        <w:rPr>
          <w:sz w:val="36"/>
          <w:szCs w:val="36"/>
          <w:rtl/>
        </w:rPr>
        <w:t xml:space="preserve"> </w:t>
      </w:r>
      <w:r w:rsidR="007E4B84" w:rsidRPr="00FD211F">
        <w:rPr>
          <w:sz w:val="36"/>
          <w:szCs w:val="36"/>
          <w:rtl/>
        </w:rPr>
        <w:t>متين.</w:t>
      </w:r>
    </w:p>
    <w:p w14:paraId="7CD0E332" w14:textId="77777777" w:rsidR="000C5BBA" w:rsidRPr="00FD211F" w:rsidRDefault="004006EC" w:rsidP="009C58C8">
      <w:pPr>
        <w:pStyle w:val="a4"/>
        <w:ind w:left="0" w:firstLine="227"/>
        <w:jc w:val="both"/>
        <w:rPr>
          <w:sz w:val="36"/>
          <w:szCs w:val="36"/>
          <w:rtl/>
        </w:rPr>
      </w:pPr>
      <w:r w:rsidRPr="00FD211F">
        <w:rPr>
          <w:sz w:val="36"/>
          <w:szCs w:val="36"/>
          <w:rtl/>
        </w:rPr>
        <w:t>وماقديوردعلى</w:t>
      </w:r>
      <w:r w:rsidR="00E8128F">
        <w:rPr>
          <w:sz w:val="36"/>
          <w:szCs w:val="36"/>
          <w:rtl/>
        </w:rPr>
        <w:t xml:space="preserve"> </w:t>
      </w:r>
      <w:r w:rsidRPr="00FD211F">
        <w:rPr>
          <w:sz w:val="36"/>
          <w:szCs w:val="36"/>
          <w:rtl/>
        </w:rPr>
        <w:t>اشكاله</w:t>
      </w:r>
      <w:r w:rsidR="00E8128F">
        <w:rPr>
          <w:sz w:val="36"/>
          <w:szCs w:val="36"/>
          <w:rtl/>
        </w:rPr>
        <w:t xml:space="preserve"> </w:t>
      </w:r>
      <w:r w:rsidR="009F6FF3" w:rsidRPr="00FD211F">
        <w:rPr>
          <w:sz w:val="36"/>
          <w:szCs w:val="36"/>
          <w:rtl/>
        </w:rPr>
        <w:t>الثاني</w:t>
      </w:r>
      <w:r w:rsidR="00E8128F">
        <w:rPr>
          <w:sz w:val="36"/>
          <w:szCs w:val="36"/>
          <w:rtl/>
        </w:rPr>
        <w:t xml:space="preserve"> </w:t>
      </w:r>
      <w:r w:rsidR="009F6FF3" w:rsidRPr="00FD211F">
        <w:rPr>
          <w:sz w:val="36"/>
          <w:szCs w:val="36"/>
          <w:rtl/>
        </w:rPr>
        <w:t>بأن</w:t>
      </w:r>
      <w:r w:rsidR="00E8128F">
        <w:rPr>
          <w:sz w:val="36"/>
          <w:szCs w:val="36"/>
          <w:rtl/>
        </w:rPr>
        <w:t xml:space="preserve"> </w:t>
      </w:r>
      <w:r w:rsidR="009F6FF3" w:rsidRPr="00FD211F">
        <w:rPr>
          <w:sz w:val="36"/>
          <w:szCs w:val="36"/>
          <w:rtl/>
        </w:rPr>
        <w:t>هيئ</w:t>
      </w:r>
      <w:r w:rsidR="00EC7EDF" w:rsidRPr="00FD211F">
        <w:rPr>
          <w:sz w:val="36"/>
          <w:szCs w:val="36"/>
          <w:rtl/>
        </w:rPr>
        <w:t>ة</w:t>
      </w:r>
      <w:r w:rsidR="00E8128F">
        <w:rPr>
          <w:sz w:val="36"/>
          <w:szCs w:val="36"/>
          <w:rtl/>
        </w:rPr>
        <w:t xml:space="preserve"> </w:t>
      </w:r>
      <w:r w:rsidR="009F6FF3" w:rsidRPr="00FD211F">
        <w:rPr>
          <w:sz w:val="36"/>
          <w:szCs w:val="36"/>
          <w:rtl/>
        </w:rPr>
        <w:t>المشتق</w:t>
      </w:r>
      <w:r w:rsidR="00E8128F">
        <w:rPr>
          <w:sz w:val="36"/>
          <w:szCs w:val="36"/>
          <w:rtl/>
        </w:rPr>
        <w:t xml:space="preserve"> </w:t>
      </w:r>
      <w:r w:rsidR="009F6FF3" w:rsidRPr="00FD211F">
        <w:rPr>
          <w:sz w:val="36"/>
          <w:szCs w:val="36"/>
          <w:rtl/>
        </w:rPr>
        <w:t>تدل</w:t>
      </w:r>
      <w:r w:rsidR="00E8128F">
        <w:rPr>
          <w:sz w:val="36"/>
          <w:szCs w:val="36"/>
          <w:rtl/>
        </w:rPr>
        <w:t xml:space="preserve"> </w:t>
      </w:r>
      <w:r w:rsidR="009F6FF3" w:rsidRPr="00FD211F">
        <w:rPr>
          <w:sz w:val="36"/>
          <w:szCs w:val="36"/>
          <w:rtl/>
        </w:rPr>
        <w:t>على</w:t>
      </w:r>
      <w:r w:rsidR="00E8128F">
        <w:rPr>
          <w:sz w:val="36"/>
          <w:szCs w:val="36"/>
          <w:rtl/>
        </w:rPr>
        <w:t xml:space="preserve"> </w:t>
      </w:r>
      <w:r w:rsidR="009F6FF3" w:rsidRPr="00FD211F">
        <w:rPr>
          <w:sz w:val="36"/>
          <w:szCs w:val="36"/>
          <w:rtl/>
        </w:rPr>
        <w:t>النسب</w:t>
      </w:r>
      <w:r w:rsidR="00EC7EDF" w:rsidRPr="00FD211F">
        <w:rPr>
          <w:sz w:val="36"/>
          <w:szCs w:val="36"/>
          <w:rtl/>
        </w:rPr>
        <w:t>ة</w:t>
      </w:r>
      <w:r w:rsidR="00E8128F">
        <w:rPr>
          <w:sz w:val="36"/>
          <w:szCs w:val="36"/>
          <w:rtl/>
        </w:rPr>
        <w:t xml:space="preserve"> </w:t>
      </w:r>
      <w:r w:rsidR="009F6FF3" w:rsidRPr="00FD211F">
        <w:rPr>
          <w:sz w:val="36"/>
          <w:szCs w:val="36"/>
          <w:rtl/>
        </w:rPr>
        <w:t>التي</w:t>
      </w:r>
      <w:r w:rsidR="00E8128F">
        <w:rPr>
          <w:sz w:val="36"/>
          <w:szCs w:val="36"/>
          <w:rtl/>
        </w:rPr>
        <w:t xml:space="preserve"> </w:t>
      </w:r>
      <w:r w:rsidR="009F6FF3" w:rsidRPr="00FD211F">
        <w:rPr>
          <w:sz w:val="36"/>
          <w:szCs w:val="36"/>
          <w:rtl/>
        </w:rPr>
        <w:t>تكون</w:t>
      </w:r>
      <w:r w:rsidR="00E8128F">
        <w:rPr>
          <w:sz w:val="36"/>
          <w:szCs w:val="36"/>
          <w:rtl/>
        </w:rPr>
        <w:t xml:space="preserve"> </w:t>
      </w:r>
      <w:r w:rsidR="009F6FF3" w:rsidRPr="00FD211F">
        <w:rPr>
          <w:sz w:val="36"/>
          <w:szCs w:val="36"/>
          <w:rtl/>
        </w:rPr>
        <w:t>الذات</w:t>
      </w:r>
      <w:r w:rsidR="00E8128F">
        <w:rPr>
          <w:sz w:val="36"/>
          <w:szCs w:val="36"/>
          <w:rtl/>
        </w:rPr>
        <w:t xml:space="preserve"> </w:t>
      </w:r>
      <w:r w:rsidR="009F6FF3" w:rsidRPr="00FD211F">
        <w:rPr>
          <w:sz w:val="36"/>
          <w:szCs w:val="36"/>
          <w:rtl/>
        </w:rPr>
        <w:t>ركنافيها</w:t>
      </w:r>
      <w:r w:rsidR="00E8128F">
        <w:rPr>
          <w:sz w:val="36"/>
          <w:szCs w:val="36"/>
          <w:rtl/>
        </w:rPr>
        <w:t xml:space="preserve"> </w:t>
      </w:r>
      <w:r w:rsidR="009F6FF3" w:rsidRPr="00FD211F">
        <w:rPr>
          <w:sz w:val="36"/>
          <w:szCs w:val="36"/>
          <w:rtl/>
        </w:rPr>
        <w:t>لاالنسب</w:t>
      </w:r>
      <w:r w:rsidR="00EC7EDF" w:rsidRPr="00FD211F">
        <w:rPr>
          <w:sz w:val="36"/>
          <w:szCs w:val="36"/>
          <w:rtl/>
        </w:rPr>
        <w:t>ة</w:t>
      </w:r>
      <w:r w:rsidR="00E8128F">
        <w:rPr>
          <w:sz w:val="36"/>
          <w:szCs w:val="36"/>
          <w:rtl/>
        </w:rPr>
        <w:t xml:space="preserve"> </w:t>
      </w:r>
      <w:r w:rsidR="009F6FF3" w:rsidRPr="00FD211F">
        <w:rPr>
          <w:sz w:val="36"/>
          <w:szCs w:val="36"/>
          <w:rtl/>
        </w:rPr>
        <w:t>التي</w:t>
      </w:r>
      <w:r w:rsidR="00E8128F">
        <w:rPr>
          <w:sz w:val="36"/>
          <w:szCs w:val="36"/>
          <w:rtl/>
        </w:rPr>
        <w:t xml:space="preserve"> </w:t>
      </w:r>
      <w:r w:rsidR="009F6FF3" w:rsidRPr="00FD211F">
        <w:rPr>
          <w:sz w:val="36"/>
          <w:szCs w:val="36"/>
          <w:rtl/>
        </w:rPr>
        <w:t>يكون</w:t>
      </w:r>
      <w:r w:rsidR="00E8128F">
        <w:rPr>
          <w:sz w:val="36"/>
          <w:szCs w:val="36"/>
          <w:rtl/>
        </w:rPr>
        <w:t xml:space="preserve"> </w:t>
      </w:r>
      <w:r w:rsidR="009F6FF3" w:rsidRPr="00FD211F">
        <w:rPr>
          <w:sz w:val="36"/>
          <w:szCs w:val="36"/>
          <w:rtl/>
        </w:rPr>
        <w:t>المبدأركنافيهافانهمانسبتان</w:t>
      </w:r>
      <w:r w:rsidR="00E8128F">
        <w:rPr>
          <w:sz w:val="36"/>
          <w:szCs w:val="36"/>
          <w:rtl/>
        </w:rPr>
        <w:t xml:space="preserve"> </w:t>
      </w:r>
      <w:r w:rsidR="009F6FF3" w:rsidRPr="00FD211F">
        <w:rPr>
          <w:sz w:val="36"/>
          <w:szCs w:val="36"/>
          <w:rtl/>
        </w:rPr>
        <w:t>متباينتان</w:t>
      </w:r>
      <w:r w:rsidR="00E8128F">
        <w:rPr>
          <w:sz w:val="36"/>
          <w:szCs w:val="36"/>
          <w:rtl/>
        </w:rPr>
        <w:t xml:space="preserve"> </w:t>
      </w:r>
      <w:r w:rsidR="009F6FF3" w:rsidRPr="00FD211F">
        <w:rPr>
          <w:sz w:val="36"/>
          <w:szCs w:val="36"/>
          <w:rtl/>
        </w:rPr>
        <w:t>لأن</w:t>
      </w:r>
      <w:r w:rsidR="00E8128F">
        <w:rPr>
          <w:sz w:val="36"/>
          <w:szCs w:val="36"/>
          <w:rtl/>
        </w:rPr>
        <w:t xml:space="preserve"> </w:t>
      </w:r>
      <w:r w:rsidR="009F6FF3" w:rsidRPr="00FD211F">
        <w:rPr>
          <w:sz w:val="36"/>
          <w:szCs w:val="36"/>
          <w:rtl/>
        </w:rPr>
        <w:t>أي</w:t>
      </w:r>
      <w:r w:rsidR="00E8128F">
        <w:rPr>
          <w:sz w:val="36"/>
          <w:szCs w:val="36"/>
          <w:rtl/>
        </w:rPr>
        <w:t xml:space="preserve"> </w:t>
      </w:r>
      <w:r w:rsidR="009F6FF3" w:rsidRPr="00FD211F">
        <w:rPr>
          <w:sz w:val="36"/>
          <w:szCs w:val="36"/>
          <w:rtl/>
        </w:rPr>
        <w:t>تغيرفي</w:t>
      </w:r>
      <w:r w:rsidR="00E8128F">
        <w:rPr>
          <w:sz w:val="36"/>
          <w:szCs w:val="36"/>
          <w:rtl/>
        </w:rPr>
        <w:t xml:space="preserve"> </w:t>
      </w:r>
      <w:r w:rsidR="009F6FF3" w:rsidRPr="00FD211F">
        <w:rPr>
          <w:sz w:val="36"/>
          <w:szCs w:val="36"/>
          <w:rtl/>
        </w:rPr>
        <w:t>أطراف</w:t>
      </w:r>
      <w:r w:rsidR="00E8128F">
        <w:rPr>
          <w:sz w:val="36"/>
          <w:szCs w:val="36"/>
          <w:rtl/>
        </w:rPr>
        <w:t xml:space="preserve"> </w:t>
      </w:r>
      <w:r w:rsidR="009F6FF3" w:rsidRPr="00FD211F">
        <w:rPr>
          <w:sz w:val="36"/>
          <w:szCs w:val="36"/>
          <w:rtl/>
        </w:rPr>
        <w:t>النسب</w:t>
      </w:r>
      <w:r w:rsidR="00EC7EDF" w:rsidRPr="00FD211F">
        <w:rPr>
          <w:sz w:val="36"/>
          <w:szCs w:val="36"/>
          <w:rtl/>
        </w:rPr>
        <w:t>ة</w:t>
      </w:r>
      <w:r w:rsidR="00E8128F">
        <w:rPr>
          <w:sz w:val="36"/>
          <w:szCs w:val="36"/>
          <w:rtl/>
        </w:rPr>
        <w:t xml:space="preserve"> </w:t>
      </w:r>
      <w:r w:rsidR="009F6FF3" w:rsidRPr="00FD211F">
        <w:rPr>
          <w:sz w:val="36"/>
          <w:szCs w:val="36"/>
          <w:rtl/>
        </w:rPr>
        <w:t>ولوعلى</w:t>
      </w:r>
      <w:r w:rsidR="00E8128F">
        <w:rPr>
          <w:sz w:val="36"/>
          <w:szCs w:val="36"/>
          <w:rtl/>
        </w:rPr>
        <w:t xml:space="preserve"> </w:t>
      </w:r>
      <w:r w:rsidR="009F6FF3" w:rsidRPr="00FD211F">
        <w:rPr>
          <w:sz w:val="36"/>
          <w:szCs w:val="36"/>
          <w:rtl/>
        </w:rPr>
        <w:t>مستوى</w:t>
      </w:r>
      <w:r w:rsidR="00E8128F">
        <w:rPr>
          <w:sz w:val="36"/>
          <w:szCs w:val="36"/>
          <w:rtl/>
        </w:rPr>
        <w:t xml:space="preserve"> </w:t>
      </w:r>
      <w:r w:rsidR="009F6FF3" w:rsidRPr="00FD211F">
        <w:rPr>
          <w:sz w:val="36"/>
          <w:szCs w:val="36"/>
          <w:rtl/>
        </w:rPr>
        <w:t>تعيين</w:t>
      </w:r>
      <w:r w:rsidR="00E8128F">
        <w:rPr>
          <w:sz w:val="36"/>
          <w:szCs w:val="36"/>
          <w:rtl/>
        </w:rPr>
        <w:t xml:space="preserve"> </w:t>
      </w:r>
      <w:r w:rsidR="009F6FF3" w:rsidRPr="00FD211F">
        <w:rPr>
          <w:sz w:val="36"/>
          <w:szCs w:val="36"/>
          <w:rtl/>
        </w:rPr>
        <w:t>ماهوالركن</w:t>
      </w:r>
      <w:r w:rsidR="00E8128F">
        <w:rPr>
          <w:sz w:val="36"/>
          <w:szCs w:val="36"/>
          <w:rtl/>
        </w:rPr>
        <w:t xml:space="preserve"> </w:t>
      </w:r>
      <w:r w:rsidR="009F6FF3" w:rsidRPr="00FD211F">
        <w:rPr>
          <w:sz w:val="36"/>
          <w:szCs w:val="36"/>
          <w:rtl/>
        </w:rPr>
        <w:t>يوجب</w:t>
      </w:r>
      <w:r w:rsidR="00E8128F">
        <w:rPr>
          <w:sz w:val="36"/>
          <w:szCs w:val="36"/>
          <w:rtl/>
        </w:rPr>
        <w:t xml:space="preserve"> </w:t>
      </w:r>
      <w:r w:rsidR="009F6FF3" w:rsidRPr="00FD211F">
        <w:rPr>
          <w:sz w:val="36"/>
          <w:szCs w:val="36"/>
          <w:rtl/>
        </w:rPr>
        <w:t>تغيرالنسب</w:t>
      </w:r>
      <w:r w:rsidR="00EC7EDF" w:rsidRPr="00FD211F">
        <w:rPr>
          <w:sz w:val="36"/>
          <w:szCs w:val="36"/>
          <w:rtl/>
        </w:rPr>
        <w:t>ة</w:t>
      </w:r>
      <w:r w:rsidR="009C58C8" w:rsidRPr="00FD211F">
        <w:rPr>
          <w:rStyle w:val="a6"/>
          <w:sz w:val="36"/>
          <w:szCs w:val="36"/>
          <w:rtl/>
        </w:rPr>
        <w:t>(</w:t>
      </w:r>
      <w:r w:rsidR="009C58C8" w:rsidRPr="00FD211F">
        <w:rPr>
          <w:rStyle w:val="a6"/>
          <w:sz w:val="36"/>
          <w:szCs w:val="36"/>
          <w:rtl/>
        </w:rPr>
        <w:footnoteReference w:id="605"/>
      </w:r>
      <w:r w:rsidR="009C58C8" w:rsidRPr="00FD211F">
        <w:rPr>
          <w:rStyle w:val="a6"/>
          <w:sz w:val="36"/>
          <w:szCs w:val="36"/>
          <w:rtl/>
        </w:rPr>
        <w:t>)</w:t>
      </w:r>
      <w:r w:rsidR="00E8128F">
        <w:rPr>
          <w:sz w:val="36"/>
          <w:szCs w:val="36"/>
          <w:rtl/>
        </w:rPr>
        <w:t xml:space="preserve"> </w:t>
      </w:r>
      <w:r w:rsidR="009F6FF3" w:rsidRPr="00FD211F">
        <w:rPr>
          <w:sz w:val="36"/>
          <w:szCs w:val="36"/>
          <w:rtl/>
        </w:rPr>
        <w:t>فلم</w:t>
      </w:r>
      <w:r w:rsidR="00E8128F">
        <w:rPr>
          <w:sz w:val="36"/>
          <w:szCs w:val="36"/>
          <w:rtl/>
        </w:rPr>
        <w:t xml:space="preserve"> </w:t>
      </w:r>
      <w:r w:rsidR="009F6FF3" w:rsidRPr="00FD211F">
        <w:rPr>
          <w:sz w:val="36"/>
          <w:szCs w:val="36"/>
          <w:rtl/>
        </w:rPr>
        <w:t>يتضح</w:t>
      </w:r>
      <w:r w:rsidR="00E8128F">
        <w:rPr>
          <w:sz w:val="36"/>
          <w:szCs w:val="36"/>
          <w:rtl/>
        </w:rPr>
        <w:t xml:space="preserve"> </w:t>
      </w:r>
      <w:r w:rsidR="009F6FF3" w:rsidRPr="00FD211F">
        <w:rPr>
          <w:sz w:val="36"/>
          <w:szCs w:val="36"/>
          <w:rtl/>
        </w:rPr>
        <w:t>لناوجهه</w:t>
      </w:r>
      <w:r w:rsidR="00E8128F">
        <w:rPr>
          <w:sz w:val="36"/>
          <w:szCs w:val="36"/>
          <w:rtl/>
        </w:rPr>
        <w:t xml:space="preserve"> </w:t>
      </w:r>
      <w:r w:rsidR="00DA0B1E" w:rsidRPr="00FD211F">
        <w:rPr>
          <w:sz w:val="36"/>
          <w:szCs w:val="36"/>
          <w:rtl/>
        </w:rPr>
        <w:t>فانه</w:t>
      </w:r>
      <w:r w:rsidR="00E8128F">
        <w:rPr>
          <w:sz w:val="36"/>
          <w:szCs w:val="36"/>
          <w:rtl/>
        </w:rPr>
        <w:t xml:space="preserve"> </w:t>
      </w:r>
      <w:r w:rsidR="00DA0B1E" w:rsidRPr="00FD211F">
        <w:rPr>
          <w:sz w:val="36"/>
          <w:szCs w:val="36"/>
          <w:rtl/>
        </w:rPr>
        <w:t>بعد</w:t>
      </w:r>
      <w:r w:rsidR="00E8128F">
        <w:rPr>
          <w:sz w:val="36"/>
          <w:szCs w:val="36"/>
          <w:rtl/>
        </w:rPr>
        <w:t xml:space="preserve"> </w:t>
      </w:r>
      <w:r w:rsidR="00DA0B1E" w:rsidRPr="00FD211F">
        <w:rPr>
          <w:sz w:val="36"/>
          <w:szCs w:val="36"/>
          <w:rtl/>
        </w:rPr>
        <w:t>افتراض</w:t>
      </w:r>
      <w:r w:rsidR="00E8128F">
        <w:rPr>
          <w:sz w:val="36"/>
          <w:szCs w:val="36"/>
          <w:rtl/>
        </w:rPr>
        <w:t xml:space="preserve"> </w:t>
      </w:r>
      <w:r w:rsidR="00DA0B1E" w:rsidRPr="00FD211F">
        <w:rPr>
          <w:sz w:val="36"/>
          <w:szCs w:val="36"/>
          <w:rtl/>
        </w:rPr>
        <w:t>عدم</w:t>
      </w:r>
      <w:r w:rsidR="00E8128F">
        <w:rPr>
          <w:sz w:val="36"/>
          <w:szCs w:val="36"/>
          <w:rtl/>
        </w:rPr>
        <w:t xml:space="preserve"> </w:t>
      </w:r>
      <w:r w:rsidR="00DA0B1E" w:rsidRPr="00FD211F">
        <w:rPr>
          <w:sz w:val="36"/>
          <w:szCs w:val="36"/>
          <w:rtl/>
        </w:rPr>
        <w:t>وضع</w:t>
      </w:r>
      <w:r w:rsidR="00E8128F">
        <w:rPr>
          <w:sz w:val="36"/>
          <w:szCs w:val="36"/>
          <w:rtl/>
        </w:rPr>
        <w:t xml:space="preserve"> </w:t>
      </w:r>
      <w:r w:rsidR="00DA0B1E" w:rsidRPr="00FD211F">
        <w:rPr>
          <w:sz w:val="36"/>
          <w:szCs w:val="36"/>
          <w:rtl/>
        </w:rPr>
        <w:t>هيئ</w:t>
      </w:r>
      <w:r w:rsidR="00EC7EDF" w:rsidRPr="00FD211F">
        <w:rPr>
          <w:sz w:val="36"/>
          <w:szCs w:val="36"/>
          <w:rtl/>
        </w:rPr>
        <w:t>ة</w:t>
      </w:r>
      <w:r w:rsidR="00E8128F">
        <w:rPr>
          <w:sz w:val="36"/>
          <w:szCs w:val="36"/>
          <w:rtl/>
        </w:rPr>
        <w:t xml:space="preserve"> </w:t>
      </w:r>
      <w:r w:rsidR="00DA0B1E" w:rsidRPr="00FD211F">
        <w:rPr>
          <w:sz w:val="36"/>
          <w:szCs w:val="36"/>
          <w:rtl/>
        </w:rPr>
        <w:t>المشتق</w:t>
      </w:r>
      <w:r w:rsidR="00E8128F">
        <w:rPr>
          <w:sz w:val="36"/>
          <w:szCs w:val="36"/>
          <w:rtl/>
        </w:rPr>
        <w:t xml:space="preserve"> </w:t>
      </w:r>
      <w:r w:rsidR="00DA0B1E" w:rsidRPr="00FD211F">
        <w:rPr>
          <w:sz w:val="36"/>
          <w:szCs w:val="36"/>
          <w:rtl/>
        </w:rPr>
        <w:t>على</w:t>
      </w:r>
      <w:r w:rsidR="00E8128F">
        <w:rPr>
          <w:sz w:val="36"/>
          <w:szCs w:val="36"/>
          <w:rtl/>
        </w:rPr>
        <w:t xml:space="preserve"> </w:t>
      </w:r>
      <w:r w:rsidR="00DA0B1E" w:rsidRPr="00FD211F">
        <w:rPr>
          <w:sz w:val="36"/>
          <w:szCs w:val="36"/>
          <w:rtl/>
        </w:rPr>
        <w:t>الدلال</w:t>
      </w:r>
      <w:r w:rsidR="00EC7EDF" w:rsidRPr="00FD211F">
        <w:rPr>
          <w:sz w:val="36"/>
          <w:szCs w:val="36"/>
          <w:rtl/>
        </w:rPr>
        <w:t>ة</w:t>
      </w:r>
      <w:r w:rsidR="00E8128F">
        <w:rPr>
          <w:sz w:val="36"/>
          <w:szCs w:val="36"/>
          <w:rtl/>
        </w:rPr>
        <w:t xml:space="preserve"> </w:t>
      </w:r>
      <w:r w:rsidR="00DA0B1E" w:rsidRPr="00FD211F">
        <w:rPr>
          <w:sz w:val="36"/>
          <w:szCs w:val="36"/>
          <w:rtl/>
        </w:rPr>
        <w:t>على</w:t>
      </w:r>
      <w:r w:rsidR="00E8128F">
        <w:rPr>
          <w:sz w:val="36"/>
          <w:szCs w:val="36"/>
          <w:rtl/>
        </w:rPr>
        <w:t xml:space="preserve"> </w:t>
      </w:r>
      <w:r w:rsidR="007E4B84" w:rsidRPr="00FD211F">
        <w:rPr>
          <w:sz w:val="36"/>
          <w:szCs w:val="36"/>
          <w:rtl/>
        </w:rPr>
        <w:t>الذات</w:t>
      </w:r>
      <w:r w:rsidR="00E8128F">
        <w:rPr>
          <w:sz w:val="36"/>
          <w:szCs w:val="36"/>
          <w:rtl/>
        </w:rPr>
        <w:t xml:space="preserve"> </w:t>
      </w:r>
      <w:r w:rsidR="007E4B84" w:rsidRPr="00FD211F">
        <w:rPr>
          <w:sz w:val="36"/>
          <w:szCs w:val="36"/>
          <w:rtl/>
        </w:rPr>
        <w:t>بل</w:t>
      </w:r>
      <w:r w:rsidR="00E8128F">
        <w:rPr>
          <w:sz w:val="36"/>
          <w:szCs w:val="36"/>
          <w:rtl/>
        </w:rPr>
        <w:t xml:space="preserve"> </w:t>
      </w:r>
      <w:r w:rsidR="007E4B84" w:rsidRPr="00FD211F">
        <w:rPr>
          <w:sz w:val="36"/>
          <w:szCs w:val="36"/>
          <w:rtl/>
        </w:rPr>
        <w:t>على</w:t>
      </w:r>
      <w:r w:rsidR="00E8128F">
        <w:rPr>
          <w:sz w:val="36"/>
          <w:szCs w:val="36"/>
          <w:rtl/>
        </w:rPr>
        <w:t xml:space="preserve"> </w:t>
      </w:r>
      <w:r w:rsidR="007E4B84" w:rsidRPr="00FD211F">
        <w:rPr>
          <w:sz w:val="36"/>
          <w:szCs w:val="36"/>
          <w:rtl/>
        </w:rPr>
        <w:t>مجرد</w:t>
      </w:r>
      <w:r w:rsidR="00E8128F">
        <w:rPr>
          <w:sz w:val="36"/>
          <w:szCs w:val="36"/>
          <w:rtl/>
        </w:rPr>
        <w:t xml:space="preserve"> </w:t>
      </w:r>
      <w:r w:rsidR="007E4B84" w:rsidRPr="00FD211F">
        <w:rPr>
          <w:sz w:val="36"/>
          <w:szCs w:val="36"/>
          <w:rtl/>
        </w:rPr>
        <w:t>النسب</w:t>
      </w:r>
      <w:r w:rsidR="00EC7EDF" w:rsidRPr="00FD211F">
        <w:rPr>
          <w:sz w:val="36"/>
          <w:szCs w:val="36"/>
          <w:rtl/>
        </w:rPr>
        <w:t>ة</w:t>
      </w:r>
      <w:r w:rsidR="00603323" w:rsidRPr="00FD211F">
        <w:rPr>
          <w:sz w:val="36"/>
          <w:szCs w:val="36"/>
          <w:rtl/>
        </w:rPr>
        <w:t>،</w:t>
      </w:r>
      <w:r w:rsidR="00E8128F">
        <w:rPr>
          <w:sz w:val="36"/>
          <w:szCs w:val="36"/>
          <w:rtl/>
        </w:rPr>
        <w:t xml:space="preserve"> </w:t>
      </w:r>
      <w:r w:rsidR="007E4B84" w:rsidRPr="00FD211F">
        <w:rPr>
          <w:sz w:val="36"/>
          <w:szCs w:val="36"/>
          <w:rtl/>
        </w:rPr>
        <w:t>ودلال</w:t>
      </w:r>
      <w:r w:rsidR="00EC7EDF" w:rsidRPr="00FD211F">
        <w:rPr>
          <w:sz w:val="36"/>
          <w:szCs w:val="36"/>
          <w:rtl/>
        </w:rPr>
        <w:t>ة</w:t>
      </w:r>
      <w:r w:rsidR="00E8128F">
        <w:rPr>
          <w:sz w:val="36"/>
          <w:szCs w:val="36"/>
          <w:rtl/>
        </w:rPr>
        <w:t xml:space="preserve"> </w:t>
      </w:r>
      <w:r w:rsidR="007E4B84" w:rsidRPr="00FD211F">
        <w:rPr>
          <w:sz w:val="36"/>
          <w:szCs w:val="36"/>
          <w:rtl/>
        </w:rPr>
        <w:t>مادته</w:t>
      </w:r>
      <w:r w:rsidR="00E8128F">
        <w:rPr>
          <w:sz w:val="36"/>
          <w:szCs w:val="36"/>
          <w:rtl/>
        </w:rPr>
        <w:t xml:space="preserve"> </w:t>
      </w:r>
      <w:r w:rsidR="007E4B84" w:rsidRPr="00FD211F">
        <w:rPr>
          <w:sz w:val="36"/>
          <w:szCs w:val="36"/>
          <w:rtl/>
        </w:rPr>
        <w:t>على</w:t>
      </w:r>
      <w:r w:rsidR="00E8128F">
        <w:rPr>
          <w:sz w:val="36"/>
          <w:szCs w:val="36"/>
          <w:rtl/>
        </w:rPr>
        <w:t xml:space="preserve"> </w:t>
      </w:r>
      <w:r w:rsidR="007E4B84" w:rsidRPr="00FD211F">
        <w:rPr>
          <w:sz w:val="36"/>
          <w:szCs w:val="36"/>
          <w:rtl/>
        </w:rPr>
        <w:t>أحدطرفي</w:t>
      </w:r>
      <w:r w:rsidR="00E8128F">
        <w:rPr>
          <w:sz w:val="36"/>
          <w:szCs w:val="36"/>
          <w:rtl/>
        </w:rPr>
        <w:t xml:space="preserve"> </w:t>
      </w:r>
      <w:r w:rsidR="007E4B84" w:rsidRPr="00FD211F">
        <w:rPr>
          <w:sz w:val="36"/>
          <w:szCs w:val="36"/>
          <w:rtl/>
        </w:rPr>
        <w:t>النسب</w:t>
      </w:r>
      <w:r w:rsidR="00EC7EDF" w:rsidRPr="00FD211F">
        <w:rPr>
          <w:sz w:val="36"/>
          <w:szCs w:val="36"/>
          <w:rtl/>
        </w:rPr>
        <w:t>ة</w:t>
      </w:r>
      <w:r w:rsidR="00E8128F">
        <w:rPr>
          <w:sz w:val="36"/>
          <w:szCs w:val="36"/>
          <w:rtl/>
        </w:rPr>
        <w:t xml:space="preserve"> </w:t>
      </w:r>
      <w:r w:rsidR="007E4B84" w:rsidRPr="00FD211F">
        <w:rPr>
          <w:sz w:val="36"/>
          <w:szCs w:val="36"/>
          <w:rtl/>
        </w:rPr>
        <w:t>وهوالحدث</w:t>
      </w:r>
      <w:r w:rsidR="00603323" w:rsidRPr="00FD211F">
        <w:rPr>
          <w:sz w:val="36"/>
          <w:szCs w:val="36"/>
          <w:rtl/>
        </w:rPr>
        <w:t>،</w:t>
      </w:r>
      <w:r w:rsidR="00E8128F">
        <w:rPr>
          <w:sz w:val="36"/>
          <w:szCs w:val="36"/>
          <w:rtl/>
        </w:rPr>
        <w:t xml:space="preserve"> </w:t>
      </w:r>
      <w:r w:rsidR="007E4B84" w:rsidRPr="00FD211F">
        <w:rPr>
          <w:sz w:val="36"/>
          <w:szCs w:val="36"/>
          <w:rtl/>
        </w:rPr>
        <w:t>فكيف</w:t>
      </w:r>
      <w:r w:rsidR="00E8128F">
        <w:rPr>
          <w:sz w:val="36"/>
          <w:szCs w:val="36"/>
          <w:rtl/>
        </w:rPr>
        <w:t xml:space="preserve"> </w:t>
      </w:r>
      <w:r w:rsidR="007E4B84" w:rsidRPr="00FD211F">
        <w:rPr>
          <w:sz w:val="36"/>
          <w:szCs w:val="36"/>
          <w:rtl/>
        </w:rPr>
        <w:t>تدل</w:t>
      </w:r>
      <w:r w:rsidR="00E8128F">
        <w:rPr>
          <w:sz w:val="36"/>
          <w:szCs w:val="36"/>
          <w:rtl/>
        </w:rPr>
        <w:t xml:space="preserve"> </w:t>
      </w:r>
      <w:r w:rsidR="007E4B84" w:rsidRPr="00FD211F">
        <w:rPr>
          <w:sz w:val="36"/>
          <w:szCs w:val="36"/>
          <w:rtl/>
        </w:rPr>
        <w:t>على</w:t>
      </w:r>
      <w:r w:rsidR="00E8128F">
        <w:rPr>
          <w:sz w:val="36"/>
          <w:szCs w:val="36"/>
          <w:rtl/>
        </w:rPr>
        <w:t xml:space="preserve"> </w:t>
      </w:r>
      <w:r w:rsidR="007E4B84" w:rsidRPr="00FD211F">
        <w:rPr>
          <w:sz w:val="36"/>
          <w:szCs w:val="36"/>
          <w:rtl/>
        </w:rPr>
        <w:t>لحاظ</w:t>
      </w:r>
      <w:r w:rsidR="00E8128F">
        <w:rPr>
          <w:sz w:val="36"/>
          <w:szCs w:val="36"/>
          <w:rtl/>
        </w:rPr>
        <w:t xml:space="preserve"> </w:t>
      </w:r>
      <w:r w:rsidR="007E4B84" w:rsidRPr="00FD211F">
        <w:rPr>
          <w:sz w:val="36"/>
          <w:szCs w:val="36"/>
          <w:rtl/>
        </w:rPr>
        <w:t>النسب</w:t>
      </w:r>
      <w:r w:rsidR="00EC7EDF" w:rsidRPr="00FD211F">
        <w:rPr>
          <w:sz w:val="36"/>
          <w:szCs w:val="36"/>
          <w:rtl/>
        </w:rPr>
        <w:t>ة</w:t>
      </w:r>
      <w:r w:rsidR="00E8128F">
        <w:rPr>
          <w:sz w:val="36"/>
          <w:szCs w:val="36"/>
          <w:rtl/>
        </w:rPr>
        <w:t xml:space="preserve"> </w:t>
      </w:r>
      <w:r w:rsidR="007E4B84" w:rsidRPr="00FD211F">
        <w:rPr>
          <w:sz w:val="36"/>
          <w:szCs w:val="36"/>
          <w:rtl/>
        </w:rPr>
        <w:t>بنحوتكون</w:t>
      </w:r>
      <w:r w:rsidR="00E8128F">
        <w:rPr>
          <w:sz w:val="36"/>
          <w:szCs w:val="36"/>
          <w:rtl/>
        </w:rPr>
        <w:t xml:space="preserve"> </w:t>
      </w:r>
      <w:r w:rsidR="007E4B84" w:rsidRPr="00FD211F">
        <w:rPr>
          <w:sz w:val="36"/>
          <w:szCs w:val="36"/>
          <w:rtl/>
        </w:rPr>
        <w:t>الذات</w:t>
      </w:r>
      <w:r w:rsidR="00E8128F">
        <w:rPr>
          <w:sz w:val="36"/>
          <w:szCs w:val="36"/>
          <w:rtl/>
        </w:rPr>
        <w:t xml:space="preserve"> </w:t>
      </w:r>
      <w:r w:rsidR="007E4B84" w:rsidRPr="00FD211F">
        <w:rPr>
          <w:sz w:val="36"/>
          <w:szCs w:val="36"/>
          <w:rtl/>
        </w:rPr>
        <w:t>ركنالها.</w:t>
      </w:r>
    </w:p>
    <w:p w14:paraId="74A8FF8E" w14:textId="77777777" w:rsidR="007E4B84" w:rsidRPr="00FD211F" w:rsidRDefault="007E4B84" w:rsidP="009C58C8">
      <w:pPr>
        <w:pStyle w:val="a4"/>
        <w:ind w:left="0" w:firstLine="227"/>
        <w:jc w:val="both"/>
        <w:rPr>
          <w:sz w:val="36"/>
          <w:szCs w:val="36"/>
          <w:rtl/>
        </w:rPr>
      </w:pPr>
      <w:r w:rsidRPr="00FD211F">
        <w:rPr>
          <w:sz w:val="36"/>
          <w:szCs w:val="36"/>
          <w:rtl/>
        </w:rPr>
        <w:t>ولكن</w:t>
      </w:r>
      <w:r w:rsidR="00E8128F">
        <w:rPr>
          <w:sz w:val="36"/>
          <w:szCs w:val="36"/>
          <w:rtl/>
        </w:rPr>
        <w:t xml:space="preserve"> </w:t>
      </w:r>
      <w:r w:rsidRPr="00FD211F">
        <w:rPr>
          <w:sz w:val="36"/>
          <w:szCs w:val="36"/>
          <w:rtl/>
        </w:rPr>
        <w:t>لنا</w:t>
      </w:r>
      <w:r w:rsidR="00E8128F">
        <w:rPr>
          <w:sz w:val="36"/>
          <w:szCs w:val="36"/>
          <w:rtl/>
        </w:rPr>
        <w:t xml:space="preserve"> </w:t>
      </w:r>
      <w:r w:rsidRPr="00FD211F">
        <w:rPr>
          <w:sz w:val="36"/>
          <w:szCs w:val="36"/>
          <w:rtl/>
        </w:rPr>
        <w:t>حول</w:t>
      </w:r>
      <w:r w:rsidR="00E8128F">
        <w:rPr>
          <w:sz w:val="36"/>
          <w:szCs w:val="36"/>
          <w:rtl/>
        </w:rPr>
        <w:t xml:space="preserve"> </w:t>
      </w:r>
      <w:r w:rsidRPr="00FD211F">
        <w:rPr>
          <w:sz w:val="36"/>
          <w:szCs w:val="36"/>
          <w:rtl/>
        </w:rPr>
        <w:t>ماذكره</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العلاج</w:t>
      </w:r>
      <w:r w:rsidR="00E8128F">
        <w:rPr>
          <w:sz w:val="36"/>
          <w:szCs w:val="36"/>
          <w:rtl/>
        </w:rPr>
        <w:t xml:space="preserve"> </w:t>
      </w:r>
      <w:r w:rsidRPr="00FD211F">
        <w:rPr>
          <w:sz w:val="36"/>
          <w:szCs w:val="36"/>
          <w:rtl/>
        </w:rPr>
        <w:t>الثاني</w:t>
      </w:r>
      <w:r w:rsidR="00E8128F">
        <w:rPr>
          <w:sz w:val="36"/>
          <w:szCs w:val="36"/>
          <w:rtl/>
        </w:rPr>
        <w:t xml:space="preserve"> </w:t>
      </w:r>
      <w:r w:rsidRPr="00FD211F">
        <w:rPr>
          <w:sz w:val="36"/>
          <w:szCs w:val="36"/>
          <w:rtl/>
        </w:rPr>
        <w:t>ملاحظتان</w:t>
      </w:r>
      <w:r w:rsidR="00EC7EDF" w:rsidRPr="00FD211F">
        <w:rPr>
          <w:sz w:val="36"/>
          <w:szCs w:val="36"/>
          <w:rtl/>
        </w:rPr>
        <w:t>:</w:t>
      </w:r>
    </w:p>
    <w:p w14:paraId="1260EE3D" w14:textId="77777777" w:rsidR="004006EC" w:rsidRPr="00FD211F" w:rsidRDefault="007E4B84" w:rsidP="009C58C8">
      <w:pPr>
        <w:pStyle w:val="a4"/>
        <w:ind w:left="0" w:firstLine="227"/>
        <w:jc w:val="both"/>
        <w:rPr>
          <w:sz w:val="36"/>
          <w:szCs w:val="36"/>
          <w:rtl/>
        </w:rPr>
      </w:pPr>
      <w:r w:rsidRPr="00FD211F">
        <w:rPr>
          <w:sz w:val="36"/>
          <w:szCs w:val="36"/>
          <w:rtl/>
        </w:rPr>
        <w:t>1-</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هذا</w:t>
      </w:r>
      <w:r w:rsidR="00E8128F">
        <w:rPr>
          <w:sz w:val="36"/>
          <w:szCs w:val="36"/>
          <w:rtl/>
        </w:rPr>
        <w:t xml:space="preserve"> </w:t>
      </w:r>
      <w:r w:rsidRPr="00FD211F">
        <w:rPr>
          <w:sz w:val="36"/>
          <w:szCs w:val="36"/>
          <w:rtl/>
        </w:rPr>
        <w:t>الكلام</w:t>
      </w:r>
      <w:r w:rsidR="00E8128F">
        <w:rPr>
          <w:sz w:val="36"/>
          <w:szCs w:val="36"/>
          <w:rtl/>
        </w:rPr>
        <w:t xml:space="preserve"> </w:t>
      </w:r>
      <w:r w:rsidR="008D7B3D" w:rsidRPr="00FD211F">
        <w:rPr>
          <w:sz w:val="36"/>
          <w:szCs w:val="36"/>
          <w:rtl/>
        </w:rPr>
        <w:t>لم‌</w:t>
      </w:r>
      <w:r w:rsidRPr="00FD211F">
        <w:rPr>
          <w:sz w:val="36"/>
          <w:szCs w:val="36"/>
          <w:rtl/>
        </w:rPr>
        <w:t>يصدر</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المحقق</w:t>
      </w:r>
      <w:r w:rsidR="00E8128F">
        <w:rPr>
          <w:sz w:val="36"/>
          <w:szCs w:val="36"/>
          <w:rtl/>
        </w:rPr>
        <w:t xml:space="preserve"> </w:t>
      </w:r>
      <w:r w:rsidRPr="00FD211F">
        <w:rPr>
          <w:sz w:val="36"/>
          <w:szCs w:val="36"/>
          <w:rtl/>
        </w:rPr>
        <w:t>العراقي</w:t>
      </w:r>
      <w:r w:rsidR="00E8128F">
        <w:rPr>
          <w:sz w:val="36"/>
          <w:szCs w:val="36"/>
          <w:rtl/>
        </w:rPr>
        <w:t xml:space="preserve"> </w:t>
      </w:r>
      <w:r w:rsidRPr="00FD211F">
        <w:rPr>
          <w:sz w:val="36"/>
          <w:szCs w:val="36"/>
          <w:rtl/>
        </w:rPr>
        <w:t>"قده"على</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بدائع</w:t>
      </w:r>
      <w:r w:rsidR="00E8128F">
        <w:rPr>
          <w:sz w:val="36"/>
          <w:szCs w:val="36"/>
          <w:rtl/>
        </w:rPr>
        <w:t xml:space="preserve"> </w:t>
      </w:r>
      <w:r w:rsidRPr="00FD211F">
        <w:rPr>
          <w:sz w:val="36"/>
          <w:szCs w:val="36"/>
          <w:rtl/>
        </w:rPr>
        <w:t>الافكار</w:t>
      </w:r>
      <w:r w:rsidR="00E8128F">
        <w:rPr>
          <w:sz w:val="36"/>
          <w:szCs w:val="36"/>
          <w:rtl/>
        </w:rPr>
        <w:t xml:space="preserve"> </w:t>
      </w:r>
      <w:r w:rsidRPr="00FD211F">
        <w:rPr>
          <w:sz w:val="36"/>
          <w:szCs w:val="36"/>
          <w:rtl/>
        </w:rPr>
        <w:t>لغرض</w:t>
      </w:r>
      <w:r w:rsidR="00E8128F">
        <w:rPr>
          <w:sz w:val="36"/>
          <w:szCs w:val="36"/>
          <w:rtl/>
        </w:rPr>
        <w:t xml:space="preserve"> </w:t>
      </w:r>
      <w:r w:rsidRPr="00FD211F">
        <w:rPr>
          <w:sz w:val="36"/>
          <w:szCs w:val="36"/>
          <w:rtl/>
        </w:rPr>
        <w:t>تصحيح</w:t>
      </w:r>
      <w:r w:rsidR="00E8128F">
        <w:rPr>
          <w:sz w:val="36"/>
          <w:szCs w:val="36"/>
          <w:rtl/>
        </w:rPr>
        <w:t xml:space="preserve"> </w:t>
      </w:r>
      <w:r w:rsidRPr="00FD211F">
        <w:rPr>
          <w:sz w:val="36"/>
          <w:szCs w:val="36"/>
          <w:rtl/>
        </w:rPr>
        <w:t>الحمل</w:t>
      </w:r>
      <w:r w:rsidR="00E8128F">
        <w:rPr>
          <w:sz w:val="36"/>
          <w:szCs w:val="36"/>
          <w:rtl/>
        </w:rPr>
        <w:t xml:space="preserve"> </w:t>
      </w:r>
      <w:r w:rsidRPr="00FD211F">
        <w:rPr>
          <w:sz w:val="36"/>
          <w:szCs w:val="36"/>
          <w:rtl/>
        </w:rPr>
        <w:t>بل</w:t>
      </w:r>
      <w:r w:rsidR="00E8128F">
        <w:rPr>
          <w:sz w:val="36"/>
          <w:szCs w:val="36"/>
          <w:rtl/>
        </w:rPr>
        <w:t xml:space="preserve"> </w:t>
      </w:r>
      <w:r w:rsidRPr="00FD211F">
        <w:rPr>
          <w:sz w:val="36"/>
          <w:szCs w:val="36"/>
          <w:rtl/>
        </w:rPr>
        <w:t>ذكر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ضمن</w:t>
      </w:r>
      <w:r w:rsidR="00E8128F">
        <w:rPr>
          <w:sz w:val="36"/>
          <w:szCs w:val="36"/>
          <w:rtl/>
        </w:rPr>
        <w:t xml:space="preserve"> </w:t>
      </w:r>
      <w:r w:rsidRPr="00FD211F">
        <w:rPr>
          <w:sz w:val="36"/>
          <w:szCs w:val="36"/>
          <w:rtl/>
        </w:rPr>
        <w:t>النقاش</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بيان</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لاتدل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وانما</w:t>
      </w:r>
      <w:r w:rsidR="00E8128F">
        <w:rPr>
          <w:sz w:val="36"/>
          <w:szCs w:val="36"/>
          <w:rtl/>
        </w:rPr>
        <w:t xml:space="preserve"> </w:t>
      </w:r>
      <w:r w:rsidRPr="00FD211F">
        <w:rPr>
          <w:sz w:val="36"/>
          <w:szCs w:val="36"/>
          <w:rtl/>
        </w:rPr>
        <w:t>تدل</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اتحاد</w:t>
      </w:r>
      <w:r w:rsidR="00E8128F">
        <w:rPr>
          <w:sz w:val="36"/>
          <w:szCs w:val="36"/>
          <w:rtl/>
        </w:rPr>
        <w:t xml:space="preserve"> </w:t>
      </w:r>
      <w:r w:rsidRPr="00FD211F">
        <w:rPr>
          <w:sz w:val="36"/>
          <w:szCs w:val="36"/>
          <w:rtl/>
        </w:rPr>
        <w:t>المبدأ</w:t>
      </w:r>
      <w:r w:rsidR="00E8128F">
        <w:rPr>
          <w:sz w:val="36"/>
          <w:szCs w:val="36"/>
          <w:rtl/>
        </w:rPr>
        <w:t xml:space="preserve"> </w:t>
      </w:r>
      <w:r w:rsidRPr="00FD211F">
        <w:rPr>
          <w:sz w:val="36"/>
          <w:szCs w:val="36"/>
          <w:rtl/>
        </w:rPr>
        <w:t>والذات</w:t>
      </w:r>
      <w:r w:rsidR="00603323" w:rsidRPr="00FD211F">
        <w:rPr>
          <w:sz w:val="36"/>
          <w:szCs w:val="36"/>
          <w:rtl/>
        </w:rPr>
        <w:t>،</w:t>
      </w:r>
      <w:r w:rsidR="00E8128F">
        <w:rPr>
          <w:sz w:val="36"/>
          <w:szCs w:val="36"/>
          <w:rtl/>
        </w:rPr>
        <w:t xml:space="preserve"> </w:t>
      </w:r>
      <w:r w:rsidRPr="00FD211F">
        <w:rPr>
          <w:sz w:val="36"/>
          <w:szCs w:val="36"/>
          <w:rtl/>
        </w:rPr>
        <w:t>فقال:</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لواريد</w:t>
      </w:r>
      <w:r w:rsidR="00E8128F">
        <w:rPr>
          <w:sz w:val="36"/>
          <w:szCs w:val="36"/>
          <w:rtl/>
        </w:rPr>
        <w:t xml:space="preserve"> </w:t>
      </w:r>
      <w:r w:rsidRPr="00FD211F">
        <w:rPr>
          <w:sz w:val="36"/>
          <w:szCs w:val="36"/>
          <w:rtl/>
        </w:rPr>
        <w:t>منه</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لافاد</w:t>
      </w:r>
      <w:r w:rsidR="00EC7EDF" w:rsidRPr="00FD211F">
        <w:rPr>
          <w:sz w:val="36"/>
          <w:szCs w:val="36"/>
          <w:rtl/>
        </w:rPr>
        <w:t>ة</w:t>
      </w:r>
      <w:r w:rsidR="00E8128F">
        <w:rPr>
          <w:sz w:val="36"/>
          <w:szCs w:val="36"/>
          <w:rtl/>
        </w:rPr>
        <w:t xml:space="preserve"> </w:t>
      </w:r>
      <w:r w:rsidRPr="00FD211F">
        <w:rPr>
          <w:sz w:val="36"/>
          <w:szCs w:val="36"/>
          <w:rtl/>
        </w:rPr>
        <w:t>الاتحاد</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الموضوع</w:t>
      </w:r>
      <w:r w:rsidR="00E8128F">
        <w:rPr>
          <w:sz w:val="36"/>
          <w:szCs w:val="36"/>
          <w:rtl/>
        </w:rPr>
        <w:t xml:space="preserve"> </w:t>
      </w:r>
      <w:r w:rsidRPr="00FD211F">
        <w:rPr>
          <w:sz w:val="36"/>
          <w:szCs w:val="36"/>
          <w:rtl/>
        </w:rPr>
        <w:t>والمبدأ</w:t>
      </w:r>
      <w:r w:rsidR="00E8128F">
        <w:rPr>
          <w:sz w:val="36"/>
          <w:szCs w:val="36"/>
          <w:rtl/>
        </w:rPr>
        <w:t xml:space="preserve"> </w:t>
      </w:r>
      <w:r w:rsidRPr="00FD211F">
        <w:rPr>
          <w:sz w:val="36"/>
          <w:szCs w:val="36"/>
          <w:rtl/>
        </w:rPr>
        <w:t>ففيه</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الدال</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الجمل</w:t>
      </w:r>
      <w:r w:rsidR="00EC7EDF" w:rsidRPr="00FD211F">
        <w:rPr>
          <w:sz w:val="36"/>
          <w:szCs w:val="36"/>
          <w:rtl/>
        </w:rPr>
        <w:t>ة</w:t>
      </w:r>
      <w:r w:rsidR="00603323" w:rsidRPr="00FD211F">
        <w:rPr>
          <w:sz w:val="36"/>
          <w:szCs w:val="36"/>
          <w:rtl/>
        </w:rPr>
        <w:t>،</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اريد</w:t>
      </w:r>
      <w:r w:rsidR="00E8128F">
        <w:rPr>
          <w:sz w:val="36"/>
          <w:szCs w:val="36"/>
          <w:rtl/>
        </w:rPr>
        <w:t xml:space="preserve"> </w:t>
      </w:r>
      <w:r w:rsidRPr="00FD211F">
        <w:rPr>
          <w:sz w:val="36"/>
          <w:szCs w:val="36"/>
          <w:rtl/>
        </w:rPr>
        <w:t>منه</w:t>
      </w:r>
      <w:r w:rsidR="00E8128F">
        <w:rPr>
          <w:sz w:val="36"/>
          <w:szCs w:val="36"/>
          <w:rtl/>
        </w:rPr>
        <w:t xml:space="preserve"> </w:t>
      </w:r>
      <w:r w:rsidRPr="00FD211F">
        <w:rPr>
          <w:sz w:val="36"/>
          <w:szCs w:val="36"/>
          <w:rtl/>
        </w:rPr>
        <w:t>وضعه</w:t>
      </w:r>
      <w:r w:rsidR="00E8128F">
        <w:rPr>
          <w:sz w:val="36"/>
          <w:szCs w:val="36"/>
          <w:rtl/>
        </w:rPr>
        <w:t xml:space="preserve"> </w:t>
      </w:r>
      <w:r w:rsidRPr="00FD211F">
        <w:rPr>
          <w:sz w:val="36"/>
          <w:szCs w:val="36"/>
          <w:rtl/>
        </w:rPr>
        <w:t>لافاد</w:t>
      </w:r>
      <w:r w:rsidR="00EC7EDF" w:rsidRPr="00FD211F">
        <w:rPr>
          <w:sz w:val="36"/>
          <w:szCs w:val="36"/>
          <w:rtl/>
        </w:rPr>
        <w:t>ة</w:t>
      </w:r>
      <w:r w:rsidR="00E8128F">
        <w:rPr>
          <w:sz w:val="36"/>
          <w:szCs w:val="36"/>
          <w:rtl/>
        </w:rPr>
        <w:t xml:space="preserve"> </w:t>
      </w:r>
      <w:r w:rsidRPr="00FD211F">
        <w:rPr>
          <w:sz w:val="36"/>
          <w:szCs w:val="36"/>
          <w:rtl/>
        </w:rPr>
        <w:t>الا</w:t>
      </w:r>
      <w:r w:rsidR="004006EC" w:rsidRPr="00FD211F">
        <w:rPr>
          <w:sz w:val="36"/>
          <w:szCs w:val="36"/>
          <w:rtl/>
        </w:rPr>
        <w:t>تحا</w:t>
      </w:r>
      <w:r w:rsidR="00E8128F">
        <w:rPr>
          <w:sz w:val="36"/>
          <w:szCs w:val="36"/>
          <w:rtl/>
        </w:rPr>
        <w:t xml:space="preserve"> </w:t>
      </w:r>
      <w:r w:rsidR="004006EC" w:rsidRPr="00FD211F">
        <w:rPr>
          <w:sz w:val="36"/>
          <w:szCs w:val="36"/>
          <w:rtl/>
        </w:rPr>
        <w:t>د</w:t>
      </w:r>
      <w:r w:rsidR="00E8128F">
        <w:rPr>
          <w:sz w:val="36"/>
          <w:szCs w:val="36"/>
          <w:rtl/>
        </w:rPr>
        <w:t xml:space="preserve"> </w:t>
      </w:r>
      <w:r w:rsidR="004006EC" w:rsidRPr="00FD211F">
        <w:rPr>
          <w:sz w:val="36"/>
          <w:szCs w:val="36"/>
          <w:rtl/>
        </w:rPr>
        <w:t>بين</w:t>
      </w:r>
      <w:r w:rsidR="00E8128F">
        <w:rPr>
          <w:sz w:val="36"/>
          <w:szCs w:val="36"/>
          <w:rtl/>
        </w:rPr>
        <w:t xml:space="preserve"> </w:t>
      </w:r>
      <w:r w:rsidR="004006EC" w:rsidRPr="00FD211F">
        <w:rPr>
          <w:sz w:val="36"/>
          <w:szCs w:val="36"/>
          <w:rtl/>
        </w:rPr>
        <w:t>المبدأ</w:t>
      </w:r>
      <w:r w:rsidR="00E8128F">
        <w:rPr>
          <w:sz w:val="36"/>
          <w:szCs w:val="36"/>
          <w:rtl/>
        </w:rPr>
        <w:t xml:space="preserve"> </w:t>
      </w:r>
      <w:r w:rsidR="004006EC" w:rsidRPr="00FD211F">
        <w:rPr>
          <w:sz w:val="36"/>
          <w:szCs w:val="36"/>
          <w:rtl/>
        </w:rPr>
        <w:t>والذات</w:t>
      </w:r>
      <w:r w:rsidR="00E8128F">
        <w:rPr>
          <w:sz w:val="36"/>
          <w:szCs w:val="36"/>
          <w:rtl/>
        </w:rPr>
        <w:t xml:space="preserve"> </w:t>
      </w:r>
      <w:r w:rsidR="004006EC" w:rsidRPr="00FD211F">
        <w:rPr>
          <w:sz w:val="36"/>
          <w:szCs w:val="36"/>
          <w:rtl/>
        </w:rPr>
        <w:t>المبهم</w:t>
      </w:r>
      <w:r w:rsidR="00EC7EDF" w:rsidRPr="00FD211F">
        <w:rPr>
          <w:sz w:val="36"/>
          <w:szCs w:val="36"/>
          <w:rtl/>
        </w:rPr>
        <w:t>ة</w:t>
      </w:r>
      <w:r w:rsidR="00E8128F">
        <w:rPr>
          <w:sz w:val="36"/>
          <w:szCs w:val="36"/>
          <w:rtl/>
        </w:rPr>
        <w:t xml:space="preserve"> </w:t>
      </w:r>
      <w:r w:rsidR="004006EC" w:rsidRPr="00FD211F">
        <w:rPr>
          <w:sz w:val="36"/>
          <w:szCs w:val="36"/>
          <w:rtl/>
        </w:rPr>
        <w:t>بنحو</w:t>
      </w:r>
      <w:r w:rsidR="00E8128F">
        <w:rPr>
          <w:sz w:val="36"/>
          <w:szCs w:val="36"/>
          <w:rtl/>
        </w:rPr>
        <w:t xml:space="preserve"> </w:t>
      </w:r>
      <w:r w:rsidR="004006EC" w:rsidRPr="00FD211F">
        <w:rPr>
          <w:sz w:val="36"/>
          <w:szCs w:val="36"/>
          <w:rtl/>
        </w:rPr>
        <w:t>الاتحاد</w:t>
      </w:r>
      <w:r w:rsidR="00E8128F">
        <w:rPr>
          <w:sz w:val="36"/>
          <w:szCs w:val="36"/>
          <w:rtl/>
        </w:rPr>
        <w:t xml:space="preserve"> </w:t>
      </w:r>
      <w:r w:rsidR="004006EC" w:rsidRPr="00FD211F">
        <w:rPr>
          <w:sz w:val="36"/>
          <w:szCs w:val="36"/>
          <w:rtl/>
        </w:rPr>
        <w:t>الاسنادي</w:t>
      </w:r>
      <w:r w:rsidR="00E8128F">
        <w:rPr>
          <w:sz w:val="36"/>
          <w:szCs w:val="36"/>
          <w:rtl/>
        </w:rPr>
        <w:t xml:space="preserve"> </w:t>
      </w:r>
      <w:r w:rsidR="004006EC" w:rsidRPr="00FD211F">
        <w:rPr>
          <w:sz w:val="36"/>
          <w:szCs w:val="36"/>
          <w:rtl/>
        </w:rPr>
        <w:t>من</w:t>
      </w:r>
      <w:r w:rsidR="00E8128F">
        <w:rPr>
          <w:sz w:val="36"/>
          <w:szCs w:val="36"/>
          <w:rtl/>
        </w:rPr>
        <w:t xml:space="preserve"> </w:t>
      </w:r>
      <w:r w:rsidR="004006EC" w:rsidRPr="00FD211F">
        <w:rPr>
          <w:sz w:val="36"/>
          <w:szCs w:val="36"/>
          <w:rtl/>
        </w:rPr>
        <w:t>باب</w:t>
      </w:r>
      <w:r w:rsidR="00E8128F">
        <w:rPr>
          <w:sz w:val="36"/>
          <w:szCs w:val="36"/>
          <w:rtl/>
        </w:rPr>
        <w:t xml:space="preserve"> </w:t>
      </w:r>
      <w:r w:rsidR="004006EC" w:rsidRPr="00FD211F">
        <w:rPr>
          <w:sz w:val="36"/>
          <w:szCs w:val="36"/>
          <w:rtl/>
        </w:rPr>
        <w:t>اتحاد</w:t>
      </w:r>
      <w:r w:rsidR="00E8128F">
        <w:rPr>
          <w:sz w:val="36"/>
          <w:szCs w:val="36"/>
          <w:rtl/>
        </w:rPr>
        <w:t xml:space="preserve"> </w:t>
      </w:r>
      <w:r w:rsidR="004006EC" w:rsidRPr="00FD211F">
        <w:rPr>
          <w:sz w:val="36"/>
          <w:szCs w:val="36"/>
          <w:rtl/>
        </w:rPr>
        <w:t>العرض</w:t>
      </w:r>
      <w:r w:rsidR="00E8128F">
        <w:rPr>
          <w:sz w:val="36"/>
          <w:szCs w:val="36"/>
          <w:rtl/>
        </w:rPr>
        <w:t xml:space="preserve"> </w:t>
      </w:r>
      <w:r w:rsidR="004006EC" w:rsidRPr="00FD211F">
        <w:rPr>
          <w:sz w:val="36"/>
          <w:szCs w:val="36"/>
          <w:rtl/>
        </w:rPr>
        <w:t>مع</w:t>
      </w:r>
      <w:r w:rsidR="00E8128F">
        <w:rPr>
          <w:sz w:val="36"/>
          <w:szCs w:val="36"/>
          <w:rtl/>
        </w:rPr>
        <w:t xml:space="preserve"> </w:t>
      </w:r>
      <w:r w:rsidR="004006EC" w:rsidRPr="00FD211F">
        <w:rPr>
          <w:sz w:val="36"/>
          <w:szCs w:val="36"/>
          <w:rtl/>
        </w:rPr>
        <w:t>معروضه</w:t>
      </w:r>
      <w:r w:rsidR="00E8128F">
        <w:rPr>
          <w:sz w:val="36"/>
          <w:szCs w:val="36"/>
          <w:rtl/>
        </w:rPr>
        <w:t xml:space="preserve"> </w:t>
      </w:r>
      <w:r w:rsidR="004006EC" w:rsidRPr="00FD211F">
        <w:rPr>
          <w:sz w:val="36"/>
          <w:szCs w:val="36"/>
          <w:rtl/>
        </w:rPr>
        <w:t>فهو</w:t>
      </w:r>
      <w:r w:rsidR="00E8128F">
        <w:rPr>
          <w:sz w:val="36"/>
          <w:szCs w:val="36"/>
          <w:rtl/>
        </w:rPr>
        <w:t xml:space="preserve"> </w:t>
      </w:r>
      <w:r w:rsidR="004006EC" w:rsidRPr="00FD211F">
        <w:rPr>
          <w:sz w:val="36"/>
          <w:szCs w:val="36"/>
          <w:rtl/>
        </w:rPr>
        <w:t>صحيح.</w:t>
      </w:r>
    </w:p>
    <w:p w14:paraId="2BA0532F" w14:textId="77777777" w:rsidR="00DA3D0F" w:rsidRPr="00FD211F" w:rsidRDefault="007E4B84" w:rsidP="009C58C8">
      <w:pPr>
        <w:ind w:left="0" w:firstLine="227"/>
        <w:jc w:val="both"/>
        <w:rPr>
          <w:sz w:val="36"/>
          <w:szCs w:val="36"/>
          <w:rtl/>
        </w:rPr>
      </w:pPr>
      <w:r w:rsidRPr="00FD211F">
        <w:rPr>
          <w:sz w:val="36"/>
          <w:szCs w:val="36"/>
          <w:rtl/>
        </w:rPr>
        <w:t>2-</w:t>
      </w:r>
      <w:r w:rsidR="00E8128F">
        <w:rPr>
          <w:sz w:val="36"/>
          <w:szCs w:val="36"/>
          <w:rtl/>
        </w:rPr>
        <w:t xml:space="preserve"> </w:t>
      </w:r>
      <w:r w:rsidR="004006EC" w:rsidRPr="00FD211F">
        <w:rPr>
          <w:sz w:val="36"/>
          <w:szCs w:val="36"/>
          <w:rtl/>
        </w:rPr>
        <w:t>انه</w:t>
      </w:r>
      <w:r w:rsidR="00E8128F">
        <w:rPr>
          <w:sz w:val="36"/>
          <w:szCs w:val="36"/>
          <w:rtl/>
        </w:rPr>
        <w:t xml:space="preserve"> </w:t>
      </w:r>
      <w:r w:rsidR="004006EC" w:rsidRPr="00FD211F">
        <w:rPr>
          <w:sz w:val="36"/>
          <w:szCs w:val="36"/>
          <w:rtl/>
        </w:rPr>
        <w:t>لامحذور</w:t>
      </w:r>
      <w:r w:rsidR="00E8128F">
        <w:rPr>
          <w:sz w:val="36"/>
          <w:szCs w:val="36"/>
          <w:rtl/>
        </w:rPr>
        <w:t xml:space="preserve"> </w:t>
      </w:r>
      <w:r w:rsidR="004006EC" w:rsidRPr="00FD211F">
        <w:rPr>
          <w:sz w:val="36"/>
          <w:szCs w:val="36"/>
          <w:rtl/>
        </w:rPr>
        <w:t>عقلا</w:t>
      </w:r>
      <w:r w:rsidR="00E8128F">
        <w:rPr>
          <w:sz w:val="36"/>
          <w:szCs w:val="36"/>
          <w:rtl/>
        </w:rPr>
        <w:t xml:space="preserve"> </w:t>
      </w:r>
      <w:r w:rsidR="004006EC" w:rsidRPr="00FD211F">
        <w:rPr>
          <w:sz w:val="36"/>
          <w:szCs w:val="36"/>
          <w:rtl/>
        </w:rPr>
        <w:t>في</w:t>
      </w:r>
      <w:r w:rsidR="00E8128F">
        <w:rPr>
          <w:sz w:val="36"/>
          <w:szCs w:val="36"/>
          <w:rtl/>
        </w:rPr>
        <w:t xml:space="preserve"> </w:t>
      </w:r>
      <w:r w:rsidR="004006EC" w:rsidRPr="00FD211F">
        <w:rPr>
          <w:sz w:val="36"/>
          <w:szCs w:val="36"/>
          <w:rtl/>
        </w:rPr>
        <w:t>كون</w:t>
      </w:r>
      <w:r w:rsidR="00E8128F">
        <w:rPr>
          <w:sz w:val="36"/>
          <w:szCs w:val="36"/>
          <w:rtl/>
        </w:rPr>
        <w:t xml:space="preserve"> </w:t>
      </w:r>
      <w:r w:rsidR="004006EC" w:rsidRPr="00FD211F">
        <w:rPr>
          <w:sz w:val="36"/>
          <w:szCs w:val="36"/>
          <w:rtl/>
        </w:rPr>
        <w:t>طرف</w:t>
      </w:r>
      <w:r w:rsidR="00E8128F">
        <w:rPr>
          <w:sz w:val="36"/>
          <w:szCs w:val="36"/>
          <w:rtl/>
        </w:rPr>
        <w:t xml:space="preserve"> </w:t>
      </w:r>
      <w:r w:rsidR="004006EC" w:rsidRPr="00FD211F">
        <w:rPr>
          <w:sz w:val="36"/>
          <w:szCs w:val="36"/>
          <w:rtl/>
        </w:rPr>
        <w:t>النسب</w:t>
      </w:r>
      <w:r w:rsidR="00EC7EDF" w:rsidRPr="00FD211F">
        <w:rPr>
          <w:sz w:val="36"/>
          <w:szCs w:val="36"/>
          <w:rtl/>
        </w:rPr>
        <w:t>ة</w:t>
      </w:r>
      <w:r w:rsidR="00E8128F">
        <w:rPr>
          <w:sz w:val="36"/>
          <w:szCs w:val="36"/>
          <w:rtl/>
        </w:rPr>
        <w:t xml:space="preserve"> </w:t>
      </w:r>
      <w:r w:rsidR="004006EC" w:rsidRPr="00FD211F">
        <w:rPr>
          <w:sz w:val="36"/>
          <w:szCs w:val="36"/>
          <w:rtl/>
        </w:rPr>
        <w:t>مدلول</w:t>
      </w:r>
      <w:r w:rsidR="00E8128F">
        <w:rPr>
          <w:sz w:val="36"/>
          <w:szCs w:val="36"/>
          <w:rtl/>
        </w:rPr>
        <w:t xml:space="preserve"> </w:t>
      </w:r>
      <w:r w:rsidR="004006EC" w:rsidRPr="00FD211F">
        <w:rPr>
          <w:sz w:val="36"/>
          <w:szCs w:val="36"/>
          <w:rtl/>
        </w:rPr>
        <w:t>الدلال</w:t>
      </w:r>
      <w:r w:rsidR="00EC7EDF" w:rsidRPr="00FD211F">
        <w:rPr>
          <w:sz w:val="36"/>
          <w:szCs w:val="36"/>
          <w:rtl/>
        </w:rPr>
        <w:t>ة</w:t>
      </w:r>
      <w:r w:rsidR="00E8128F">
        <w:rPr>
          <w:sz w:val="36"/>
          <w:szCs w:val="36"/>
          <w:rtl/>
        </w:rPr>
        <w:t xml:space="preserve"> </w:t>
      </w:r>
      <w:r w:rsidR="004006EC" w:rsidRPr="00FD211F">
        <w:rPr>
          <w:sz w:val="36"/>
          <w:szCs w:val="36"/>
          <w:rtl/>
        </w:rPr>
        <w:t>الالتزامي</w:t>
      </w:r>
      <w:r w:rsidR="00EC7EDF" w:rsidRPr="00FD211F">
        <w:rPr>
          <w:sz w:val="36"/>
          <w:szCs w:val="36"/>
          <w:rtl/>
        </w:rPr>
        <w:t>ة</w:t>
      </w:r>
      <w:r w:rsidR="00E8128F">
        <w:rPr>
          <w:sz w:val="36"/>
          <w:szCs w:val="36"/>
          <w:rtl/>
        </w:rPr>
        <w:t xml:space="preserve"> </w:t>
      </w:r>
      <w:r w:rsidR="004006EC" w:rsidRPr="00FD211F">
        <w:rPr>
          <w:sz w:val="36"/>
          <w:szCs w:val="36"/>
          <w:rtl/>
        </w:rPr>
        <w:t>العقلي</w:t>
      </w:r>
      <w:r w:rsidR="00EC7EDF" w:rsidRPr="00FD211F">
        <w:rPr>
          <w:sz w:val="36"/>
          <w:szCs w:val="36"/>
          <w:rtl/>
        </w:rPr>
        <w:t>ة</w:t>
      </w:r>
      <w:r w:rsidR="00E8128F">
        <w:rPr>
          <w:sz w:val="36"/>
          <w:szCs w:val="36"/>
          <w:rtl/>
        </w:rPr>
        <w:t xml:space="preserve"> </w:t>
      </w:r>
      <w:r w:rsidR="004006EC" w:rsidRPr="00FD211F">
        <w:rPr>
          <w:sz w:val="36"/>
          <w:szCs w:val="36"/>
          <w:rtl/>
        </w:rPr>
        <w:t>وهذا</w:t>
      </w:r>
      <w:r w:rsidR="00E8128F">
        <w:rPr>
          <w:sz w:val="36"/>
          <w:szCs w:val="36"/>
          <w:rtl/>
        </w:rPr>
        <w:t xml:space="preserve"> </w:t>
      </w:r>
      <w:r w:rsidR="004006EC" w:rsidRPr="00FD211F">
        <w:rPr>
          <w:sz w:val="36"/>
          <w:szCs w:val="36"/>
          <w:rtl/>
        </w:rPr>
        <w:t>لايعني</w:t>
      </w:r>
      <w:r w:rsidR="00E8128F">
        <w:rPr>
          <w:sz w:val="36"/>
          <w:szCs w:val="36"/>
          <w:rtl/>
        </w:rPr>
        <w:t xml:space="preserve"> </w:t>
      </w:r>
      <w:r w:rsidR="004006EC" w:rsidRPr="00FD211F">
        <w:rPr>
          <w:sz w:val="36"/>
          <w:szCs w:val="36"/>
          <w:rtl/>
        </w:rPr>
        <w:t>التفكيك</w:t>
      </w:r>
      <w:r w:rsidR="00E8128F">
        <w:rPr>
          <w:sz w:val="36"/>
          <w:szCs w:val="36"/>
          <w:rtl/>
        </w:rPr>
        <w:t xml:space="preserve"> </w:t>
      </w:r>
      <w:r w:rsidR="004006EC" w:rsidRPr="00FD211F">
        <w:rPr>
          <w:sz w:val="36"/>
          <w:szCs w:val="36"/>
          <w:rtl/>
        </w:rPr>
        <w:t>في</w:t>
      </w:r>
      <w:r w:rsidR="00E8128F">
        <w:rPr>
          <w:sz w:val="36"/>
          <w:szCs w:val="36"/>
          <w:rtl/>
        </w:rPr>
        <w:t xml:space="preserve"> </w:t>
      </w:r>
      <w:r w:rsidR="004006EC" w:rsidRPr="00FD211F">
        <w:rPr>
          <w:sz w:val="36"/>
          <w:szCs w:val="36"/>
          <w:rtl/>
        </w:rPr>
        <w:t>مرحل</w:t>
      </w:r>
      <w:r w:rsidR="00EC7EDF" w:rsidRPr="00FD211F">
        <w:rPr>
          <w:sz w:val="36"/>
          <w:szCs w:val="36"/>
          <w:rtl/>
        </w:rPr>
        <w:t>ة</w:t>
      </w:r>
      <w:r w:rsidR="00E8128F">
        <w:rPr>
          <w:sz w:val="36"/>
          <w:szCs w:val="36"/>
          <w:rtl/>
        </w:rPr>
        <w:t xml:space="preserve"> </w:t>
      </w:r>
      <w:r w:rsidR="004006EC" w:rsidRPr="00FD211F">
        <w:rPr>
          <w:sz w:val="36"/>
          <w:szCs w:val="36"/>
          <w:rtl/>
        </w:rPr>
        <w:t>تصور</w:t>
      </w:r>
      <w:r w:rsidR="00E8128F">
        <w:rPr>
          <w:sz w:val="36"/>
          <w:szCs w:val="36"/>
          <w:rtl/>
        </w:rPr>
        <w:t xml:space="preserve"> </w:t>
      </w:r>
      <w:r w:rsidR="004006EC" w:rsidRPr="00FD211F">
        <w:rPr>
          <w:sz w:val="36"/>
          <w:szCs w:val="36"/>
          <w:rtl/>
        </w:rPr>
        <w:t>الطرفين</w:t>
      </w:r>
      <w:r w:rsidR="00E8128F">
        <w:rPr>
          <w:sz w:val="36"/>
          <w:szCs w:val="36"/>
          <w:rtl/>
        </w:rPr>
        <w:t xml:space="preserve"> </w:t>
      </w:r>
      <w:r w:rsidR="004006EC" w:rsidRPr="00FD211F">
        <w:rPr>
          <w:sz w:val="36"/>
          <w:szCs w:val="36"/>
          <w:rtl/>
        </w:rPr>
        <w:t>والنسب</w:t>
      </w:r>
      <w:r w:rsidR="00EC7EDF" w:rsidRPr="00FD211F">
        <w:rPr>
          <w:sz w:val="36"/>
          <w:szCs w:val="36"/>
          <w:rtl/>
        </w:rPr>
        <w:t>ة</w:t>
      </w:r>
      <w:r w:rsidR="00E8128F">
        <w:rPr>
          <w:sz w:val="36"/>
          <w:szCs w:val="36"/>
          <w:rtl/>
        </w:rPr>
        <w:t xml:space="preserve"> </w:t>
      </w:r>
      <w:r w:rsidR="004006EC" w:rsidRPr="00FD211F">
        <w:rPr>
          <w:sz w:val="36"/>
          <w:szCs w:val="36"/>
          <w:rtl/>
        </w:rPr>
        <w:t>في</w:t>
      </w:r>
      <w:r w:rsidR="00E8128F">
        <w:rPr>
          <w:sz w:val="36"/>
          <w:szCs w:val="36"/>
          <w:rtl/>
        </w:rPr>
        <w:t xml:space="preserve"> </w:t>
      </w:r>
      <w:r w:rsidR="004006EC" w:rsidRPr="00FD211F">
        <w:rPr>
          <w:sz w:val="36"/>
          <w:szCs w:val="36"/>
          <w:rtl/>
        </w:rPr>
        <w:t>ذهن</w:t>
      </w:r>
      <w:r w:rsidR="00E8128F">
        <w:rPr>
          <w:sz w:val="36"/>
          <w:szCs w:val="36"/>
          <w:rtl/>
        </w:rPr>
        <w:t xml:space="preserve"> </w:t>
      </w:r>
      <w:r w:rsidR="004006EC" w:rsidRPr="00FD211F">
        <w:rPr>
          <w:sz w:val="36"/>
          <w:szCs w:val="36"/>
          <w:rtl/>
        </w:rPr>
        <w:t>المتكلم</w:t>
      </w:r>
      <w:r w:rsidR="00E8128F">
        <w:rPr>
          <w:sz w:val="36"/>
          <w:szCs w:val="36"/>
          <w:rtl/>
        </w:rPr>
        <w:t xml:space="preserve"> </w:t>
      </w:r>
      <w:r w:rsidR="004006EC" w:rsidRPr="00FD211F">
        <w:rPr>
          <w:sz w:val="36"/>
          <w:szCs w:val="36"/>
          <w:rtl/>
        </w:rPr>
        <w:t>او</w:t>
      </w:r>
      <w:r w:rsidR="00E8128F">
        <w:rPr>
          <w:sz w:val="36"/>
          <w:szCs w:val="36"/>
          <w:rtl/>
        </w:rPr>
        <w:t xml:space="preserve"> </w:t>
      </w:r>
      <w:r w:rsidR="004006EC" w:rsidRPr="00FD211F">
        <w:rPr>
          <w:sz w:val="36"/>
          <w:szCs w:val="36"/>
          <w:rtl/>
        </w:rPr>
        <w:t>السامع</w:t>
      </w:r>
      <w:r w:rsidR="00E8128F">
        <w:rPr>
          <w:sz w:val="36"/>
          <w:szCs w:val="36"/>
          <w:rtl/>
        </w:rPr>
        <w:t xml:space="preserve"> </w:t>
      </w:r>
      <w:r w:rsidR="004006EC" w:rsidRPr="00FD211F">
        <w:rPr>
          <w:sz w:val="36"/>
          <w:szCs w:val="36"/>
          <w:rtl/>
        </w:rPr>
        <w:t>وانما</w:t>
      </w:r>
      <w:r w:rsidR="00E8128F">
        <w:rPr>
          <w:sz w:val="36"/>
          <w:szCs w:val="36"/>
          <w:rtl/>
        </w:rPr>
        <w:t xml:space="preserve"> </w:t>
      </w:r>
      <w:r w:rsidR="004006EC" w:rsidRPr="00FD211F">
        <w:rPr>
          <w:sz w:val="36"/>
          <w:szCs w:val="36"/>
          <w:rtl/>
        </w:rPr>
        <w:t>يعني</w:t>
      </w:r>
      <w:r w:rsidR="00E8128F">
        <w:rPr>
          <w:sz w:val="36"/>
          <w:szCs w:val="36"/>
          <w:rtl/>
        </w:rPr>
        <w:t xml:space="preserve"> </w:t>
      </w:r>
      <w:r w:rsidR="004006EC" w:rsidRPr="00FD211F">
        <w:rPr>
          <w:sz w:val="36"/>
          <w:szCs w:val="36"/>
          <w:rtl/>
        </w:rPr>
        <w:t>ان</w:t>
      </w:r>
      <w:r w:rsidR="00E8128F">
        <w:rPr>
          <w:sz w:val="36"/>
          <w:szCs w:val="36"/>
          <w:rtl/>
        </w:rPr>
        <w:t xml:space="preserve"> </w:t>
      </w:r>
      <w:r w:rsidR="004006EC" w:rsidRPr="00FD211F">
        <w:rPr>
          <w:sz w:val="36"/>
          <w:szCs w:val="36"/>
          <w:rtl/>
        </w:rPr>
        <w:t>الموجب</w:t>
      </w:r>
      <w:r w:rsidR="00E8128F">
        <w:rPr>
          <w:sz w:val="36"/>
          <w:szCs w:val="36"/>
          <w:rtl/>
        </w:rPr>
        <w:t xml:space="preserve"> </w:t>
      </w:r>
      <w:r w:rsidR="004006EC" w:rsidRPr="00FD211F">
        <w:rPr>
          <w:sz w:val="36"/>
          <w:szCs w:val="36"/>
          <w:rtl/>
        </w:rPr>
        <w:t>لاخطار</w:t>
      </w:r>
      <w:r w:rsidR="00E8128F">
        <w:rPr>
          <w:sz w:val="36"/>
          <w:szCs w:val="36"/>
          <w:rtl/>
        </w:rPr>
        <w:t xml:space="preserve"> </w:t>
      </w:r>
      <w:r w:rsidR="004006EC" w:rsidRPr="00FD211F">
        <w:rPr>
          <w:sz w:val="36"/>
          <w:szCs w:val="36"/>
          <w:rtl/>
        </w:rPr>
        <w:t>الذات</w:t>
      </w:r>
      <w:r w:rsidR="00E8128F">
        <w:rPr>
          <w:sz w:val="36"/>
          <w:szCs w:val="36"/>
          <w:rtl/>
        </w:rPr>
        <w:t xml:space="preserve"> </w:t>
      </w:r>
      <w:r w:rsidR="004006EC" w:rsidRPr="00FD211F">
        <w:rPr>
          <w:sz w:val="36"/>
          <w:szCs w:val="36"/>
          <w:rtl/>
        </w:rPr>
        <w:t>المبهم</w:t>
      </w:r>
      <w:r w:rsidR="00EC7EDF" w:rsidRPr="00FD211F">
        <w:rPr>
          <w:sz w:val="36"/>
          <w:szCs w:val="36"/>
          <w:rtl/>
        </w:rPr>
        <w:t>ة</w:t>
      </w:r>
      <w:r w:rsidR="00E8128F">
        <w:rPr>
          <w:sz w:val="36"/>
          <w:szCs w:val="36"/>
          <w:rtl/>
        </w:rPr>
        <w:t xml:space="preserve"> </w:t>
      </w:r>
      <w:r w:rsidR="004006EC" w:rsidRPr="00FD211F">
        <w:rPr>
          <w:sz w:val="36"/>
          <w:szCs w:val="36"/>
          <w:rtl/>
        </w:rPr>
        <w:t>في</w:t>
      </w:r>
      <w:r w:rsidR="00E8128F">
        <w:rPr>
          <w:sz w:val="36"/>
          <w:szCs w:val="36"/>
          <w:rtl/>
        </w:rPr>
        <w:t xml:space="preserve"> </w:t>
      </w:r>
      <w:r w:rsidR="004006EC" w:rsidRPr="00FD211F">
        <w:rPr>
          <w:sz w:val="36"/>
          <w:szCs w:val="36"/>
          <w:rtl/>
        </w:rPr>
        <w:t>ذهن</w:t>
      </w:r>
      <w:r w:rsidR="00E8128F">
        <w:rPr>
          <w:sz w:val="36"/>
          <w:szCs w:val="36"/>
          <w:rtl/>
        </w:rPr>
        <w:t xml:space="preserve"> </w:t>
      </w:r>
      <w:r w:rsidR="004006EC" w:rsidRPr="00FD211F">
        <w:rPr>
          <w:sz w:val="36"/>
          <w:szCs w:val="36"/>
          <w:rtl/>
        </w:rPr>
        <w:t>السامع</w:t>
      </w:r>
      <w:r w:rsidR="00E8128F">
        <w:rPr>
          <w:sz w:val="36"/>
          <w:szCs w:val="36"/>
          <w:rtl/>
        </w:rPr>
        <w:t xml:space="preserve"> </w:t>
      </w:r>
      <w:r w:rsidR="004006EC" w:rsidRPr="00FD211F">
        <w:rPr>
          <w:sz w:val="36"/>
          <w:szCs w:val="36"/>
          <w:rtl/>
        </w:rPr>
        <w:t>ولو</w:t>
      </w:r>
      <w:r w:rsidR="00E8128F">
        <w:rPr>
          <w:sz w:val="36"/>
          <w:szCs w:val="36"/>
          <w:rtl/>
        </w:rPr>
        <w:t xml:space="preserve"> </w:t>
      </w:r>
      <w:r w:rsidR="004006EC" w:rsidRPr="00FD211F">
        <w:rPr>
          <w:sz w:val="36"/>
          <w:szCs w:val="36"/>
          <w:rtl/>
        </w:rPr>
        <w:t>في</w:t>
      </w:r>
      <w:r w:rsidR="00E8128F">
        <w:rPr>
          <w:sz w:val="36"/>
          <w:szCs w:val="36"/>
          <w:rtl/>
        </w:rPr>
        <w:t xml:space="preserve"> </w:t>
      </w:r>
      <w:r w:rsidR="004006EC" w:rsidRPr="00FD211F">
        <w:rPr>
          <w:sz w:val="36"/>
          <w:szCs w:val="36"/>
          <w:rtl/>
        </w:rPr>
        <w:t>ضمن</w:t>
      </w:r>
      <w:r w:rsidR="00E8128F">
        <w:rPr>
          <w:sz w:val="36"/>
          <w:szCs w:val="36"/>
          <w:rtl/>
        </w:rPr>
        <w:t xml:space="preserve"> </w:t>
      </w:r>
      <w:r w:rsidR="004006EC" w:rsidRPr="00FD211F">
        <w:rPr>
          <w:sz w:val="36"/>
          <w:szCs w:val="36"/>
          <w:rtl/>
        </w:rPr>
        <w:t>تصور</w:t>
      </w:r>
      <w:r w:rsidR="00E8128F">
        <w:rPr>
          <w:sz w:val="36"/>
          <w:szCs w:val="36"/>
          <w:rtl/>
        </w:rPr>
        <w:t xml:space="preserve"> </w:t>
      </w:r>
      <w:r w:rsidR="004006EC" w:rsidRPr="00FD211F">
        <w:rPr>
          <w:sz w:val="36"/>
          <w:szCs w:val="36"/>
          <w:rtl/>
        </w:rPr>
        <w:t>الحص</w:t>
      </w:r>
      <w:r w:rsidR="00EC7EDF" w:rsidRPr="00FD211F">
        <w:rPr>
          <w:sz w:val="36"/>
          <w:szCs w:val="36"/>
          <w:rtl/>
        </w:rPr>
        <w:t>ة</w:t>
      </w:r>
      <w:r w:rsidR="00E8128F">
        <w:rPr>
          <w:sz w:val="36"/>
          <w:szCs w:val="36"/>
          <w:rtl/>
        </w:rPr>
        <w:t xml:space="preserve"> </w:t>
      </w:r>
      <w:r w:rsidR="004006EC" w:rsidRPr="00FD211F">
        <w:rPr>
          <w:sz w:val="36"/>
          <w:szCs w:val="36"/>
          <w:rtl/>
        </w:rPr>
        <w:t>هو</w:t>
      </w:r>
      <w:r w:rsidR="00E8128F">
        <w:rPr>
          <w:sz w:val="36"/>
          <w:szCs w:val="36"/>
          <w:rtl/>
        </w:rPr>
        <w:t xml:space="preserve"> </w:t>
      </w:r>
      <w:r w:rsidR="004006EC" w:rsidRPr="00FD211F">
        <w:rPr>
          <w:sz w:val="36"/>
          <w:szCs w:val="36"/>
          <w:rtl/>
        </w:rPr>
        <w:t>علمه</w:t>
      </w:r>
      <w:r w:rsidR="00E8128F">
        <w:rPr>
          <w:sz w:val="36"/>
          <w:szCs w:val="36"/>
          <w:rtl/>
        </w:rPr>
        <w:t xml:space="preserve"> </w:t>
      </w:r>
      <w:r w:rsidR="004006EC" w:rsidRPr="00FD211F">
        <w:rPr>
          <w:sz w:val="36"/>
          <w:szCs w:val="36"/>
          <w:rtl/>
        </w:rPr>
        <w:t>بان</w:t>
      </w:r>
      <w:r w:rsidR="00E8128F">
        <w:rPr>
          <w:sz w:val="36"/>
          <w:szCs w:val="36"/>
          <w:rtl/>
        </w:rPr>
        <w:t xml:space="preserve"> </w:t>
      </w:r>
      <w:r w:rsidR="004006EC" w:rsidRPr="00FD211F">
        <w:rPr>
          <w:sz w:val="36"/>
          <w:szCs w:val="36"/>
          <w:rtl/>
        </w:rPr>
        <w:t>جمل</w:t>
      </w:r>
      <w:r w:rsidR="00EC7EDF" w:rsidRPr="00FD211F">
        <w:rPr>
          <w:sz w:val="36"/>
          <w:szCs w:val="36"/>
          <w:rtl/>
        </w:rPr>
        <w:t>ة</w:t>
      </w:r>
      <w:r w:rsidR="00E8128F">
        <w:rPr>
          <w:sz w:val="36"/>
          <w:szCs w:val="36"/>
          <w:rtl/>
        </w:rPr>
        <w:t xml:space="preserve"> </w:t>
      </w:r>
      <w:r w:rsidR="004006EC" w:rsidRPr="00FD211F">
        <w:rPr>
          <w:sz w:val="36"/>
          <w:szCs w:val="36"/>
          <w:rtl/>
        </w:rPr>
        <w:t>"في</w:t>
      </w:r>
      <w:r w:rsidR="00E8128F">
        <w:rPr>
          <w:sz w:val="36"/>
          <w:szCs w:val="36"/>
          <w:rtl/>
        </w:rPr>
        <w:t xml:space="preserve"> </w:t>
      </w:r>
      <w:r w:rsidR="004006EC" w:rsidRPr="00FD211F">
        <w:rPr>
          <w:sz w:val="36"/>
          <w:szCs w:val="36"/>
          <w:rtl/>
        </w:rPr>
        <w:t>الدار"</w:t>
      </w:r>
      <w:r w:rsidR="00E8128F">
        <w:rPr>
          <w:sz w:val="36"/>
          <w:szCs w:val="36"/>
          <w:rtl/>
        </w:rPr>
        <w:t xml:space="preserve"> </w:t>
      </w:r>
      <w:r w:rsidR="004006EC" w:rsidRPr="00FD211F">
        <w:rPr>
          <w:sz w:val="36"/>
          <w:szCs w:val="36"/>
          <w:rtl/>
        </w:rPr>
        <w:t>مثلا</w:t>
      </w:r>
      <w:r w:rsidR="00E8128F">
        <w:rPr>
          <w:sz w:val="36"/>
          <w:szCs w:val="36"/>
          <w:rtl/>
        </w:rPr>
        <w:t xml:space="preserve"> </w:t>
      </w:r>
      <w:r w:rsidR="004006EC" w:rsidRPr="00FD211F">
        <w:rPr>
          <w:sz w:val="36"/>
          <w:szCs w:val="36"/>
          <w:rtl/>
        </w:rPr>
        <w:t>لايمكن</w:t>
      </w:r>
      <w:r w:rsidR="00E8128F">
        <w:rPr>
          <w:sz w:val="36"/>
          <w:szCs w:val="36"/>
          <w:rtl/>
        </w:rPr>
        <w:t xml:space="preserve"> </w:t>
      </w:r>
      <w:r w:rsidR="004006EC" w:rsidRPr="00FD211F">
        <w:rPr>
          <w:sz w:val="36"/>
          <w:szCs w:val="36"/>
          <w:rtl/>
        </w:rPr>
        <w:t>ان</w:t>
      </w:r>
      <w:r w:rsidR="00E8128F">
        <w:rPr>
          <w:sz w:val="36"/>
          <w:szCs w:val="36"/>
          <w:rtl/>
        </w:rPr>
        <w:t xml:space="preserve"> </w:t>
      </w:r>
      <w:r w:rsidR="004006EC" w:rsidRPr="00FD211F">
        <w:rPr>
          <w:sz w:val="36"/>
          <w:szCs w:val="36"/>
          <w:rtl/>
        </w:rPr>
        <w:t>يكون</w:t>
      </w:r>
      <w:r w:rsidR="00E8128F">
        <w:rPr>
          <w:sz w:val="36"/>
          <w:szCs w:val="36"/>
          <w:rtl/>
        </w:rPr>
        <w:t xml:space="preserve"> </w:t>
      </w:r>
      <w:r w:rsidR="004006EC" w:rsidRPr="00FD211F">
        <w:rPr>
          <w:sz w:val="36"/>
          <w:szCs w:val="36"/>
          <w:rtl/>
        </w:rPr>
        <w:t>معناها</w:t>
      </w:r>
      <w:r w:rsidR="00E8128F">
        <w:rPr>
          <w:sz w:val="36"/>
          <w:szCs w:val="36"/>
          <w:rtl/>
        </w:rPr>
        <w:t xml:space="preserve"> </w:t>
      </w:r>
      <w:r w:rsidR="004006EC" w:rsidRPr="00FD211F">
        <w:rPr>
          <w:sz w:val="36"/>
          <w:szCs w:val="36"/>
          <w:rtl/>
        </w:rPr>
        <w:t>ثابتا</w:t>
      </w:r>
      <w:r w:rsidR="00E8128F">
        <w:rPr>
          <w:sz w:val="36"/>
          <w:szCs w:val="36"/>
          <w:rtl/>
        </w:rPr>
        <w:t xml:space="preserve"> </w:t>
      </w:r>
      <w:r w:rsidR="004006EC" w:rsidRPr="00FD211F">
        <w:rPr>
          <w:sz w:val="36"/>
          <w:szCs w:val="36"/>
          <w:rtl/>
        </w:rPr>
        <w:t>بدون</w:t>
      </w:r>
      <w:r w:rsidR="00E8128F">
        <w:rPr>
          <w:sz w:val="36"/>
          <w:szCs w:val="36"/>
          <w:rtl/>
        </w:rPr>
        <w:t xml:space="preserve"> </w:t>
      </w:r>
      <w:r w:rsidR="004006EC" w:rsidRPr="00FD211F">
        <w:rPr>
          <w:sz w:val="36"/>
          <w:szCs w:val="36"/>
          <w:rtl/>
        </w:rPr>
        <w:t>طرف</w:t>
      </w:r>
      <w:r w:rsidR="00E8128F">
        <w:rPr>
          <w:sz w:val="36"/>
          <w:szCs w:val="36"/>
          <w:rtl/>
        </w:rPr>
        <w:t xml:space="preserve"> </w:t>
      </w:r>
      <w:r w:rsidR="004006EC" w:rsidRPr="00FD211F">
        <w:rPr>
          <w:sz w:val="36"/>
          <w:szCs w:val="36"/>
          <w:rtl/>
        </w:rPr>
        <w:t>آخر.</w:t>
      </w:r>
    </w:p>
    <w:p w14:paraId="40A3EE51" w14:textId="77777777" w:rsidR="00BD34F8" w:rsidRPr="00FD211F" w:rsidRDefault="00BD34F8" w:rsidP="009C58C8">
      <w:pPr>
        <w:pStyle w:val="3"/>
        <w:ind w:firstLine="227"/>
        <w:jc w:val="both"/>
        <w:rPr>
          <w:rtl/>
        </w:rPr>
      </w:pPr>
      <w:bookmarkStart w:id="476" w:name="_Toc192092956"/>
      <w:bookmarkStart w:id="477" w:name="_Toc223890440"/>
      <w:r w:rsidRPr="00FD211F">
        <w:rPr>
          <w:rtl/>
        </w:rPr>
        <w:t>في</w:t>
      </w:r>
      <w:r w:rsidR="00E8128F">
        <w:rPr>
          <w:rtl/>
        </w:rPr>
        <w:t xml:space="preserve"> </w:t>
      </w:r>
      <w:r w:rsidRPr="00FD211F">
        <w:rPr>
          <w:rtl/>
        </w:rPr>
        <w:t>اعتبار</w:t>
      </w:r>
      <w:r w:rsidR="00E8128F">
        <w:rPr>
          <w:rtl/>
        </w:rPr>
        <w:t xml:space="preserve"> </w:t>
      </w:r>
      <w:r w:rsidRPr="00FD211F">
        <w:rPr>
          <w:rtl/>
        </w:rPr>
        <w:t>المغاير</w:t>
      </w:r>
      <w:r w:rsidR="00EC7EDF" w:rsidRPr="00FD211F">
        <w:rPr>
          <w:rtl/>
        </w:rPr>
        <w:t>ة</w:t>
      </w:r>
      <w:r w:rsidR="00E8128F">
        <w:rPr>
          <w:rtl/>
        </w:rPr>
        <w:t xml:space="preserve"> </w:t>
      </w:r>
      <w:r w:rsidRPr="00FD211F">
        <w:rPr>
          <w:rtl/>
        </w:rPr>
        <w:t>بين</w:t>
      </w:r>
      <w:r w:rsidR="00E8128F">
        <w:rPr>
          <w:rtl/>
        </w:rPr>
        <w:t xml:space="preserve"> </w:t>
      </w:r>
      <w:r w:rsidRPr="00FD211F">
        <w:rPr>
          <w:rtl/>
        </w:rPr>
        <w:t>الذات</w:t>
      </w:r>
      <w:r w:rsidR="00E8128F">
        <w:rPr>
          <w:rtl/>
        </w:rPr>
        <w:t xml:space="preserve"> </w:t>
      </w:r>
      <w:r w:rsidRPr="00FD211F">
        <w:rPr>
          <w:rtl/>
        </w:rPr>
        <w:t>والمبدأ</w:t>
      </w:r>
      <w:r w:rsidR="00E8128F">
        <w:rPr>
          <w:rtl/>
        </w:rPr>
        <w:t xml:space="preserve"> </w:t>
      </w:r>
      <w:r w:rsidRPr="00FD211F">
        <w:rPr>
          <w:rtl/>
        </w:rPr>
        <w:t>في</w:t>
      </w:r>
      <w:r w:rsidR="00E8128F">
        <w:rPr>
          <w:rtl/>
        </w:rPr>
        <w:t xml:space="preserve"> </w:t>
      </w:r>
      <w:r w:rsidRPr="00FD211F">
        <w:rPr>
          <w:rtl/>
        </w:rPr>
        <w:t>المشتق</w:t>
      </w:r>
      <w:bookmarkEnd w:id="476"/>
      <w:bookmarkEnd w:id="477"/>
    </w:p>
    <w:p w14:paraId="6BFA74C3" w14:textId="77777777" w:rsidR="008F62FB" w:rsidRPr="00FD211F" w:rsidRDefault="00BD34F8" w:rsidP="009C58C8">
      <w:pPr>
        <w:ind w:left="0" w:firstLine="227"/>
        <w:jc w:val="both"/>
        <w:rPr>
          <w:sz w:val="36"/>
          <w:szCs w:val="36"/>
          <w:rtl/>
        </w:rPr>
      </w:pPr>
      <w:r w:rsidRPr="00FD211F">
        <w:rPr>
          <w:b/>
          <w:bCs/>
          <w:sz w:val="36"/>
          <w:szCs w:val="36"/>
          <w:rtl/>
        </w:rPr>
        <w:t>الجه</w:t>
      </w:r>
      <w:r w:rsidR="00EC7EDF" w:rsidRPr="00FD211F">
        <w:rPr>
          <w:b/>
          <w:bCs/>
          <w:sz w:val="36"/>
          <w:szCs w:val="36"/>
          <w:rtl/>
        </w:rPr>
        <w:t>ة</w:t>
      </w:r>
      <w:r w:rsidR="00E8128F">
        <w:rPr>
          <w:b/>
          <w:bCs/>
          <w:sz w:val="36"/>
          <w:szCs w:val="36"/>
          <w:rtl/>
        </w:rPr>
        <w:t xml:space="preserve"> </w:t>
      </w:r>
      <w:r w:rsidRPr="00FD211F">
        <w:rPr>
          <w:b/>
          <w:bCs/>
          <w:sz w:val="36"/>
          <w:szCs w:val="36"/>
          <w:rtl/>
        </w:rPr>
        <w:t>الثامن</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009937F5" w:rsidRPr="00FD211F">
        <w:rPr>
          <w:sz w:val="36"/>
          <w:szCs w:val="36"/>
          <w:rtl/>
        </w:rPr>
        <w:t>انه</w:t>
      </w:r>
      <w:r w:rsidR="00E8128F">
        <w:rPr>
          <w:sz w:val="36"/>
          <w:szCs w:val="36"/>
          <w:rtl/>
        </w:rPr>
        <w:t xml:space="preserve"> </w:t>
      </w:r>
      <w:r w:rsidR="009937F5" w:rsidRPr="00FD211F">
        <w:rPr>
          <w:sz w:val="36"/>
          <w:szCs w:val="36"/>
          <w:rtl/>
        </w:rPr>
        <w:t>حيث</w:t>
      </w:r>
      <w:r w:rsidR="00E8128F">
        <w:rPr>
          <w:sz w:val="36"/>
          <w:szCs w:val="36"/>
          <w:rtl/>
        </w:rPr>
        <w:t xml:space="preserve"> </w:t>
      </w:r>
      <w:r w:rsidR="009937F5" w:rsidRPr="00FD211F">
        <w:rPr>
          <w:sz w:val="36"/>
          <w:szCs w:val="36"/>
          <w:rtl/>
        </w:rPr>
        <w:t>افترض</w:t>
      </w:r>
      <w:r w:rsidR="00E8128F">
        <w:rPr>
          <w:sz w:val="36"/>
          <w:szCs w:val="36"/>
          <w:rtl/>
        </w:rPr>
        <w:t xml:space="preserve"> </w:t>
      </w:r>
      <w:r w:rsidR="00B53F6F" w:rsidRPr="00FD211F">
        <w:rPr>
          <w:sz w:val="36"/>
          <w:szCs w:val="36"/>
          <w:rtl/>
        </w:rPr>
        <w:t>دلال</w:t>
      </w:r>
      <w:r w:rsidR="00EC7EDF" w:rsidRPr="00FD211F">
        <w:rPr>
          <w:sz w:val="36"/>
          <w:szCs w:val="36"/>
          <w:rtl/>
        </w:rPr>
        <w:t>ة</w:t>
      </w:r>
      <w:r w:rsidR="00E8128F">
        <w:rPr>
          <w:sz w:val="36"/>
          <w:szCs w:val="36"/>
          <w:rtl/>
        </w:rPr>
        <w:t xml:space="preserve"> </w:t>
      </w:r>
      <w:r w:rsidR="00B53F6F" w:rsidRPr="00FD211F">
        <w:rPr>
          <w:sz w:val="36"/>
          <w:szCs w:val="36"/>
          <w:rtl/>
        </w:rPr>
        <w:t>المشتق</w:t>
      </w:r>
      <w:r w:rsidR="00E8128F">
        <w:rPr>
          <w:sz w:val="36"/>
          <w:szCs w:val="36"/>
          <w:rtl/>
        </w:rPr>
        <w:t xml:space="preserve"> </w:t>
      </w:r>
      <w:r w:rsidR="00B53F6F" w:rsidRPr="00FD211F">
        <w:rPr>
          <w:sz w:val="36"/>
          <w:szCs w:val="36"/>
          <w:rtl/>
        </w:rPr>
        <w:t>الو</w:t>
      </w:r>
      <w:r w:rsidR="00C46E56" w:rsidRPr="00FD211F">
        <w:rPr>
          <w:sz w:val="36"/>
          <w:szCs w:val="36"/>
          <w:rtl/>
        </w:rPr>
        <w:t>صفي</w:t>
      </w:r>
      <w:r w:rsidR="00E8128F">
        <w:rPr>
          <w:sz w:val="36"/>
          <w:szCs w:val="36"/>
          <w:rtl/>
        </w:rPr>
        <w:t xml:space="preserve"> </w:t>
      </w:r>
      <w:r w:rsidR="00C46E56" w:rsidRPr="00FD211F">
        <w:rPr>
          <w:sz w:val="36"/>
          <w:szCs w:val="36"/>
          <w:rtl/>
        </w:rPr>
        <w:t>على</w:t>
      </w:r>
      <w:r w:rsidR="00E8128F">
        <w:rPr>
          <w:sz w:val="36"/>
          <w:szCs w:val="36"/>
          <w:rtl/>
        </w:rPr>
        <w:t xml:space="preserve"> </w:t>
      </w:r>
      <w:r w:rsidR="00C46E56" w:rsidRPr="00FD211F">
        <w:rPr>
          <w:sz w:val="36"/>
          <w:szCs w:val="36"/>
          <w:rtl/>
        </w:rPr>
        <w:t>تلبس</w:t>
      </w:r>
      <w:r w:rsidR="00E8128F">
        <w:rPr>
          <w:sz w:val="36"/>
          <w:szCs w:val="36"/>
          <w:rtl/>
        </w:rPr>
        <w:t xml:space="preserve"> </w:t>
      </w:r>
      <w:r w:rsidR="00C46E56" w:rsidRPr="00FD211F">
        <w:rPr>
          <w:sz w:val="36"/>
          <w:szCs w:val="36"/>
          <w:rtl/>
        </w:rPr>
        <w:t>الذات</w:t>
      </w:r>
      <w:r w:rsidR="00E8128F">
        <w:rPr>
          <w:sz w:val="36"/>
          <w:szCs w:val="36"/>
          <w:rtl/>
        </w:rPr>
        <w:t xml:space="preserve"> </w:t>
      </w:r>
      <w:r w:rsidR="00C46E56" w:rsidRPr="00FD211F">
        <w:rPr>
          <w:sz w:val="36"/>
          <w:szCs w:val="36"/>
          <w:rtl/>
        </w:rPr>
        <w:t>بالمبدأ</w:t>
      </w:r>
      <w:r w:rsidR="00E8128F">
        <w:rPr>
          <w:sz w:val="36"/>
          <w:szCs w:val="36"/>
          <w:rtl/>
        </w:rPr>
        <w:t xml:space="preserve"> </w:t>
      </w:r>
      <w:r w:rsidR="00C46E56" w:rsidRPr="00FD211F">
        <w:rPr>
          <w:sz w:val="36"/>
          <w:szCs w:val="36"/>
          <w:rtl/>
        </w:rPr>
        <w:t>كدلال</w:t>
      </w:r>
      <w:r w:rsidR="00EC7EDF" w:rsidRPr="00FD211F">
        <w:rPr>
          <w:sz w:val="36"/>
          <w:szCs w:val="36"/>
          <w:rtl/>
        </w:rPr>
        <w:t>ة</w:t>
      </w:r>
      <w:r w:rsidR="00E8128F">
        <w:rPr>
          <w:sz w:val="36"/>
          <w:szCs w:val="36"/>
          <w:rtl/>
        </w:rPr>
        <w:t xml:space="preserve"> </w:t>
      </w:r>
      <w:r w:rsidR="00C46E56" w:rsidRPr="00FD211F">
        <w:rPr>
          <w:sz w:val="36"/>
          <w:szCs w:val="36"/>
          <w:rtl/>
        </w:rPr>
        <w:t>العالم</w:t>
      </w:r>
      <w:r w:rsidR="00E8128F">
        <w:rPr>
          <w:sz w:val="36"/>
          <w:szCs w:val="36"/>
          <w:rtl/>
        </w:rPr>
        <w:t xml:space="preserve"> </w:t>
      </w:r>
      <w:r w:rsidR="00C46E56" w:rsidRPr="00FD211F">
        <w:rPr>
          <w:sz w:val="36"/>
          <w:szCs w:val="36"/>
          <w:rtl/>
        </w:rPr>
        <w:t>على</w:t>
      </w:r>
      <w:r w:rsidR="00E8128F">
        <w:rPr>
          <w:sz w:val="36"/>
          <w:szCs w:val="36"/>
          <w:rtl/>
        </w:rPr>
        <w:t xml:space="preserve"> </w:t>
      </w:r>
      <w:r w:rsidR="00C46E56" w:rsidRPr="00FD211F">
        <w:rPr>
          <w:sz w:val="36"/>
          <w:szCs w:val="36"/>
          <w:rtl/>
        </w:rPr>
        <w:t>تلبس</w:t>
      </w:r>
      <w:r w:rsidR="00E8128F">
        <w:rPr>
          <w:sz w:val="36"/>
          <w:szCs w:val="36"/>
          <w:rtl/>
        </w:rPr>
        <w:t xml:space="preserve"> </w:t>
      </w:r>
      <w:r w:rsidR="00C46E56" w:rsidRPr="00FD211F">
        <w:rPr>
          <w:sz w:val="36"/>
          <w:szCs w:val="36"/>
          <w:rtl/>
        </w:rPr>
        <w:t>الذات</w:t>
      </w:r>
      <w:r w:rsidR="00E8128F">
        <w:rPr>
          <w:sz w:val="36"/>
          <w:szCs w:val="36"/>
          <w:rtl/>
        </w:rPr>
        <w:t xml:space="preserve"> </w:t>
      </w:r>
      <w:r w:rsidR="00C46E56" w:rsidRPr="00FD211F">
        <w:rPr>
          <w:sz w:val="36"/>
          <w:szCs w:val="36"/>
          <w:rtl/>
        </w:rPr>
        <w:t>بالعلم</w:t>
      </w:r>
      <w:r w:rsidR="00603323" w:rsidRPr="00FD211F">
        <w:rPr>
          <w:sz w:val="36"/>
          <w:szCs w:val="36"/>
          <w:rtl/>
        </w:rPr>
        <w:t>،</w:t>
      </w:r>
      <w:r w:rsidR="00E8128F">
        <w:rPr>
          <w:sz w:val="36"/>
          <w:szCs w:val="36"/>
          <w:rtl/>
        </w:rPr>
        <w:t xml:space="preserve"> </w:t>
      </w:r>
      <w:r w:rsidR="009937F5" w:rsidRPr="00FD211F">
        <w:rPr>
          <w:sz w:val="36"/>
          <w:szCs w:val="36"/>
          <w:rtl/>
        </w:rPr>
        <w:t>فيقع</w:t>
      </w:r>
      <w:r w:rsidR="00E8128F">
        <w:rPr>
          <w:sz w:val="36"/>
          <w:szCs w:val="36"/>
          <w:rtl/>
        </w:rPr>
        <w:t xml:space="preserve"> </w:t>
      </w:r>
      <w:r w:rsidR="009937F5" w:rsidRPr="00FD211F">
        <w:rPr>
          <w:sz w:val="36"/>
          <w:szCs w:val="36"/>
          <w:rtl/>
        </w:rPr>
        <w:t>الكلام</w:t>
      </w:r>
      <w:r w:rsidR="00E8128F">
        <w:rPr>
          <w:sz w:val="36"/>
          <w:szCs w:val="36"/>
          <w:rtl/>
        </w:rPr>
        <w:t xml:space="preserve"> </w:t>
      </w:r>
      <w:r w:rsidR="009937F5" w:rsidRPr="00FD211F">
        <w:rPr>
          <w:sz w:val="36"/>
          <w:szCs w:val="36"/>
          <w:rtl/>
        </w:rPr>
        <w:t>في</w:t>
      </w:r>
      <w:r w:rsidR="00E8128F">
        <w:rPr>
          <w:sz w:val="36"/>
          <w:szCs w:val="36"/>
          <w:rtl/>
        </w:rPr>
        <w:t xml:space="preserve"> </w:t>
      </w:r>
      <w:r w:rsidR="009937F5" w:rsidRPr="00FD211F">
        <w:rPr>
          <w:sz w:val="36"/>
          <w:szCs w:val="36"/>
          <w:rtl/>
        </w:rPr>
        <w:t>ان</w:t>
      </w:r>
      <w:r w:rsidR="00E8128F">
        <w:rPr>
          <w:sz w:val="36"/>
          <w:szCs w:val="36"/>
          <w:rtl/>
        </w:rPr>
        <w:t xml:space="preserve"> </w:t>
      </w:r>
      <w:r w:rsidR="009937F5" w:rsidRPr="00FD211F">
        <w:rPr>
          <w:sz w:val="36"/>
          <w:szCs w:val="36"/>
          <w:rtl/>
        </w:rPr>
        <w:t>هذا</w:t>
      </w:r>
      <w:r w:rsidR="00E8128F">
        <w:rPr>
          <w:sz w:val="36"/>
          <w:szCs w:val="36"/>
          <w:rtl/>
        </w:rPr>
        <w:t xml:space="preserve"> </w:t>
      </w:r>
      <w:r w:rsidR="009937F5" w:rsidRPr="00FD211F">
        <w:rPr>
          <w:sz w:val="36"/>
          <w:szCs w:val="36"/>
          <w:rtl/>
        </w:rPr>
        <w:t>التلبس</w:t>
      </w:r>
      <w:r w:rsidR="00E8128F">
        <w:rPr>
          <w:sz w:val="36"/>
          <w:szCs w:val="36"/>
          <w:rtl/>
        </w:rPr>
        <w:t xml:space="preserve"> </w:t>
      </w:r>
      <w:r w:rsidR="00C46E56" w:rsidRPr="00FD211F">
        <w:rPr>
          <w:sz w:val="36"/>
          <w:szCs w:val="36"/>
          <w:rtl/>
        </w:rPr>
        <w:t>هل</w:t>
      </w:r>
      <w:r w:rsidR="00E8128F">
        <w:rPr>
          <w:sz w:val="36"/>
          <w:szCs w:val="36"/>
          <w:rtl/>
        </w:rPr>
        <w:t xml:space="preserve"> </w:t>
      </w:r>
      <w:r w:rsidR="00C46E56" w:rsidRPr="00FD211F">
        <w:rPr>
          <w:sz w:val="36"/>
          <w:szCs w:val="36"/>
          <w:rtl/>
        </w:rPr>
        <w:t>يختص</w:t>
      </w:r>
      <w:r w:rsidR="00E8128F">
        <w:rPr>
          <w:sz w:val="36"/>
          <w:szCs w:val="36"/>
          <w:rtl/>
        </w:rPr>
        <w:t xml:space="preserve"> </w:t>
      </w:r>
      <w:r w:rsidR="00C46E56" w:rsidRPr="00FD211F">
        <w:rPr>
          <w:sz w:val="36"/>
          <w:szCs w:val="36"/>
          <w:rtl/>
        </w:rPr>
        <w:t>بالتلبس</w:t>
      </w:r>
      <w:r w:rsidR="00E8128F">
        <w:rPr>
          <w:sz w:val="36"/>
          <w:szCs w:val="36"/>
          <w:rtl/>
        </w:rPr>
        <w:t xml:space="preserve"> </w:t>
      </w:r>
      <w:r w:rsidR="009937F5" w:rsidRPr="00FD211F">
        <w:rPr>
          <w:sz w:val="36"/>
          <w:szCs w:val="36"/>
          <w:rtl/>
        </w:rPr>
        <w:t>بين</w:t>
      </w:r>
      <w:r w:rsidR="00E8128F">
        <w:rPr>
          <w:sz w:val="36"/>
          <w:szCs w:val="36"/>
          <w:rtl/>
        </w:rPr>
        <w:t xml:space="preserve"> </w:t>
      </w:r>
      <w:r w:rsidR="009937F5" w:rsidRPr="00FD211F">
        <w:rPr>
          <w:sz w:val="36"/>
          <w:szCs w:val="36"/>
          <w:rtl/>
        </w:rPr>
        <w:t>ذات</w:t>
      </w:r>
      <w:r w:rsidR="00E8128F">
        <w:rPr>
          <w:sz w:val="36"/>
          <w:szCs w:val="36"/>
          <w:rtl/>
        </w:rPr>
        <w:t xml:space="preserve"> </w:t>
      </w:r>
      <w:r w:rsidR="009937F5" w:rsidRPr="00FD211F">
        <w:rPr>
          <w:sz w:val="36"/>
          <w:szCs w:val="36"/>
          <w:rtl/>
        </w:rPr>
        <w:t>و</w:t>
      </w:r>
      <w:r w:rsidR="0079493B" w:rsidRPr="00FD211F">
        <w:rPr>
          <w:sz w:val="36"/>
          <w:szCs w:val="36"/>
          <w:rtl/>
        </w:rPr>
        <w:t>مبدأ</w:t>
      </w:r>
      <w:r w:rsidR="00E8128F">
        <w:rPr>
          <w:sz w:val="36"/>
          <w:szCs w:val="36"/>
          <w:rtl/>
        </w:rPr>
        <w:t xml:space="preserve"> </w:t>
      </w:r>
      <w:r w:rsidR="009937F5" w:rsidRPr="00FD211F">
        <w:rPr>
          <w:sz w:val="36"/>
          <w:szCs w:val="36"/>
          <w:rtl/>
        </w:rPr>
        <w:t>متغايرين</w:t>
      </w:r>
      <w:r w:rsidR="00E8128F">
        <w:rPr>
          <w:sz w:val="36"/>
          <w:szCs w:val="36"/>
          <w:rtl/>
        </w:rPr>
        <w:t xml:space="preserve"> </w:t>
      </w:r>
      <w:r w:rsidR="009937F5" w:rsidRPr="00FD211F">
        <w:rPr>
          <w:sz w:val="36"/>
          <w:szCs w:val="36"/>
          <w:rtl/>
        </w:rPr>
        <w:t>ذاتا</w:t>
      </w:r>
      <w:r w:rsidR="00E8128F">
        <w:rPr>
          <w:sz w:val="36"/>
          <w:szCs w:val="36"/>
          <w:rtl/>
        </w:rPr>
        <w:t xml:space="preserve"> </w:t>
      </w:r>
      <w:r w:rsidR="009937F5" w:rsidRPr="00FD211F">
        <w:rPr>
          <w:sz w:val="36"/>
          <w:szCs w:val="36"/>
          <w:rtl/>
        </w:rPr>
        <w:t>ووجودا</w:t>
      </w:r>
      <w:r w:rsidR="00603323" w:rsidRPr="00FD211F">
        <w:rPr>
          <w:sz w:val="36"/>
          <w:szCs w:val="36"/>
          <w:rtl/>
        </w:rPr>
        <w:t>،</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يكفي</w:t>
      </w:r>
      <w:r w:rsidR="00E8128F">
        <w:rPr>
          <w:sz w:val="36"/>
          <w:szCs w:val="36"/>
          <w:rtl/>
        </w:rPr>
        <w:t xml:space="preserve"> </w:t>
      </w:r>
      <w:r w:rsidRPr="00FD211F">
        <w:rPr>
          <w:sz w:val="36"/>
          <w:szCs w:val="36"/>
          <w:rtl/>
        </w:rPr>
        <w:t>كونهما</w:t>
      </w:r>
      <w:r w:rsidR="00E8128F">
        <w:rPr>
          <w:sz w:val="36"/>
          <w:szCs w:val="36"/>
          <w:rtl/>
        </w:rPr>
        <w:t xml:space="preserve"> </w:t>
      </w:r>
      <w:r w:rsidR="00C46E56" w:rsidRPr="00FD211F">
        <w:rPr>
          <w:sz w:val="36"/>
          <w:szCs w:val="36"/>
          <w:rtl/>
        </w:rPr>
        <w:t>متغايرين</w:t>
      </w:r>
      <w:r w:rsidR="00E8128F">
        <w:rPr>
          <w:sz w:val="36"/>
          <w:szCs w:val="36"/>
          <w:rtl/>
        </w:rPr>
        <w:t xml:space="preserve"> </w:t>
      </w:r>
      <w:r w:rsidR="00C46E56" w:rsidRPr="00FD211F">
        <w:rPr>
          <w:sz w:val="36"/>
          <w:szCs w:val="36"/>
          <w:rtl/>
        </w:rPr>
        <w:t>مفهوما</w:t>
      </w:r>
      <w:r w:rsidR="00E8128F">
        <w:rPr>
          <w:sz w:val="36"/>
          <w:szCs w:val="36"/>
          <w:rtl/>
        </w:rPr>
        <w:t xml:space="preserve"> </w:t>
      </w:r>
      <w:r w:rsidR="00C46E56" w:rsidRPr="00FD211F">
        <w:rPr>
          <w:sz w:val="36"/>
          <w:szCs w:val="36"/>
          <w:rtl/>
        </w:rPr>
        <w:t>وان</w:t>
      </w:r>
      <w:r w:rsidR="00E8128F">
        <w:rPr>
          <w:sz w:val="36"/>
          <w:szCs w:val="36"/>
          <w:rtl/>
        </w:rPr>
        <w:t xml:space="preserve"> </w:t>
      </w:r>
      <w:r w:rsidR="009937F5" w:rsidRPr="00FD211F">
        <w:rPr>
          <w:sz w:val="36"/>
          <w:szCs w:val="36"/>
          <w:rtl/>
        </w:rPr>
        <w:t>اتحدا</w:t>
      </w:r>
      <w:r w:rsidR="00E8128F">
        <w:rPr>
          <w:sz w:val="36"/>
          <w:szCs w:val="36"/>
          <w:rtl/>
        </w:rPr>
        <w:t xml:space="preserve"> </w:t>
      </w:r>
      <w:r w:rsidR="009937F5" w:rsidRPr="00FD211F">
        <w:rPr>
          <w:sz w:val="36"/>
          <w:szCs w:val="36"/>
          <w:rtl/>
        </w:rPr>
        <w:t>وجودا</w:t>
      </w:r>
      <w:r w:rsidR="00E8128F">
        <w:rPr>
          <w:sz w:val="36"/>
          <w:szCs w:val="36"/>
          <w:rtl/>
        </w:rPr>
        <w:t xml:space="preserve"> </w:t>
      </w:r>
      <w:r w:rsidR="009937F5" w:rsidRPr="00FD211F">
        <w:rPr>
          <w:sz w:val="36"/>
          <w:szCs w:val="36"/>
          <w:rtl/>
        </w:rPr>
        <w:t>كما</w:t>
      </w:r>
      <w:r w:rsidR="00E8128F">
        <w:rPr>
          <w:sz w:val="36"/>
          <w:szCs w:val="36"/>
          <w:rtl/>
        </w:rPr>
        <w:t xml:space="preserve"> </w:t>
      </w:r>
      <w:r w:rsidR="009937F5" w:rsidRPr="00FD211F">
        <w:rPr>
          <w:sz w:val="36"/>
          <w:szCs w:val="36"/>
          <w:rtl/>
        </w:rPr>
        <w:t>في</w:t>
      </w:r>
      <w:r w:rsidR="00E8128F">
        <w:rPr>
          <w:sz w:val="36"/>
          <w:szCs w:val="36"/>
          <w:rtl/>
        </w:rPr>
        <w:t xml:space="preserve"> </w:t>
      </w:r>
      <w:r w:rsidR="009937F5" w:rsidRPr="00FD211F">
        <w:rPr>
          <w:sz w:val="36"/>
          <w:szCs w:val="36"/>
          <w:rtl/>
        </w:rPr>
        <w:t>حمل</w:t>
      </w:r>
      <w:r w:rsidR="00E8128F">
        <w:rPr>
          <w:sz w:val="36"/>
          <w:szCs w:val="36"/>
          <w:rtl/>
        </w:rPr>
        <w:t xml:space="preserve"> </w:t>
      </w:r>
      <w:r w:rsidR="009937F5" w:rsidRPr="00FD211F">
        <w:rPr>
          <w:sz w:val="36"/>
          <w:szCs w:val="36"/>
          <w:rtl/>
        </w:rPr>
        <w:t>ال</w:t>
      </w:r>
      <w:r w:rsidR="00C46E56" w:rsidRPr="00FD211F">
        <w:rPr>
          <w:sz w:val="36"/>
          <w:szCs w:val="36"/>
          <w:rtl/>
        </w:rPr>
        <w:t>عالم</w:t>
      </w:r>
      <w:r w:rsidR="00E8128F">
        <w:rPr>
          <w:sz w:val="36"/>
          <w:szCs w:val="36"/>
          <w:rtl/>
        </w:rPr>
        <w:t xml:space="preserve"> </w:t>
      </w:r>
      <w:r w:rsidR="00C46E56" w:rsidRPr="00FD211F">
        <w:rPr>
          <w:sz w:val="36"/>
          <w:szCs w:val="36"/>
          <w:rtl/>
        </w:rPr>
        <w:t>على</w:t>
      </w:r>
      <w:r w:rsidR="00E8128F">
        <w:rPr>
          <w:sz w:val="36"/>
          <w:szCs w:val="36"/>
          <w:rtl/>
        </w:rPr>
        <w:t xml:space="preserve"> </w:t>
      </w:r>
      <w:r w:rsidR="00C46E56" w:rsidRPr="00FD211F">
        <w:rPr>
          <w:sz w:val="36"/>
          <w:szCs w:val="36"/>
          <w:rtl/>
        </w:rPr>
        <w:t>الباري</w:t>
      </w:r>
      <w:r w:rsidR="00E8128F">
        <w:rPr>
          <w:sz w:val="36"/>
          <w:szCs w:val="36"/>
          <w:rtl/>
        </w:rPr>
        <w:t xml:space="preserve"> </w:t>
      </w:r>
      <w:r w:rsidR="00C46E56" w:rsidRPr="00FD211F">
        <w:rPr>
          <w:sz w:val="36"/>
          <w:szCs w:val="36"/>
          <w:rtl/>
        </w:rPr>
        <w:t>تعالى</w:t>
      </w:r>
      <w:r w:rsidR="00E8128F">
        <w:rPr>
          <w:sz w:val="36"/>
          <w:szCs w:val="36"/>
          <w:rtl/>
        </w:rPr>
        <w:t xml:space="preserve"> </w:t>
      </w:r>
      <w:r w:rsidR="00C46E56" w:rsidRPr="00FD211F">
        <w:rPr>
          <w:sz w:val="36"/>
          <w:szCs w:val="36"/>
          <w:rtl/>
        </w:rPr>
        <w:t>فان</w:t>
      </w:r>
      <w:r w:rsidR="00E8128F">
        <w:rPr>
          <w:sz w:val="36"/>
          <w:szCs w:val="36"/>
          <w:rtl/>
        </w:rPr>
        <w:t xml:space="preserve"> </w:t>
      </w:r>
      <w:r w:rsidR="00C46E56" w:rsidRPr="00FD211F">
        <w:rPr>
          <w:sz w:val="36"/>
          <w:szCs w:val="36"/>
          <w:rtl/>
        </w:rPr>
        <w:t>ذاته</w:t>
      </w:r>
      <w:r w:rsidR="00E8128F">
        <w:rPr>
          <w:sz w:val="36"/>
          <w:szCs w:val="36"/>
          <w:rtl/>
        </w:rPr>
        <w:t xml:space="preserve"> </w:t>
      </w:r>
      <w:r w:rsidR="00C46E56" w:rsidRPr="00FD211F">
        <w:rPr>
          <w:sz w:val="36"/>
          <w:szCs w:val="36"/>
          <w:rtl/>
        </w:rPr>
        <w:t>تعالى</w:t>
      </w:r>
      <w:r w:rsidR="00E8128F">
        <w:rPr>
          <w:sz w:val="36"/>
          <w:szCs w:val="36"/>
          <w:rtl/>
        </w:rPr>
        <w:t xml:space="preserve"> </w:t>
      </w:r>
      <w:r w:rsidR="00C46E56" w:rsidRPr="00FD211F">
        <w:rPr>
          <w:sz w:val="36"/>
          <w:szCs w:val="36"/>
          <w:rtl/>
        </w:rPr>
        <w:t>عين</w:t>
      </w:r>
      <w:r w:rsidR="00E8128F">
        <w:rPr>
          <w:sz w:val="36"/>
          <w:szCs w:val="36"/>
          <w:rtl/>
        </w:rPr>
        <w:t xml:space="preserve"> </w:t>
      </w:r>
      <w:r w:rsidR="00C46E56" w:rsidRPr="00FD211F">
        <w:rPr>
          <w:sz w:val="36"/>
          <w:szCs w:val="36"/>
          <w:rtl/>
        </w:rPr>
        <w:t>علمه</w:t>
      </w:r>
      <w:r w:rsidR="00E8128F">
        <w:rPr>
          <w:sz w:val="36"/>
          <w:szCs w:val="36"/>
          <w:rtl/>
        </w:rPr>
        <w:t xml:space="preserve"> </w:t>
      </w:r>
      <w:r w:rsidR="00C46E56" w:rsidRPr="00FD211F">
        <w:rPr>
          <w:sz w:val="36"/>
          <w:szCs w:val="36"/>
          <w:rtl/>
        </w:rPr>
        <w:t>وجودا</w:t>
      </w:r>
      <w:r w:rsidR="00E8128F">
        <w:rPr>
          <w:sz w:val="36"/>
          <w:szCs w:val="36"/>
          <w:rtl/>
        </w:rPr>
        <w:t xml:space="preserve"> </w:t>
      </w:r>
      <w:r w:rsidR="000403C3" w:rsidRPr="00FD211F">
        <w:rPr>
          <w:sz w:val="36"/>
          <w:szCs w:val="36"/>
          <w:rtl/>
        </w:rPr>
        <w:t>وان</w:t>
      </w:r>
      <w:r w:rsidR="00E8128F">
        <w:rPr>
          <w:sz w:val="36"/>
          <w:szCs w:val="36"/>
          <w:rtl/>
        </w:rPr>
        <w:t xml:space="preserve"> </w:t>
      </w:r>
      <w:r w:rsidR="000403C3" w:rsidRPr="00FD211F">
        <w:rPr>
          <w:sz w:val="36"/>
          <w:szCs w:val="36"/>
          <w:rtl/>
        </w:rPr>
        <w:t>كانا</w:t>
      </w:r>
      <w:r w:rsidR="00E8128F">
        <w:rPr>
          <w:sz w:val="36"/>
          <w:szCs w:val="36"/>
          <w:rtl/>
        </w:rPr>
        <w:t xml:space="preserve"> </w:t>
      </w:r>
      <w:r w:rsidR="000403C3" w:rsidRPr="00FD211F">
        <w:rPr>
          <w:sz w:val="36"/>
          <w:szCs w:val="36"/>
          <w:rtl/>
        </w:rPr>
        <w:t>متغايرين</w:t>
      </w:r>
      <w:r w:rsidR="00E8128F">
        <w:rPr>
          <w:sz w:val="36"/>
          <w:szCs w:val="36"/>
          <w:rtl/>
        </w:rPr>
        <w:t xml:space="preserve"> </w:t>
      </w:r>
      <w:r w:rsidR="000403C3" w:rsidRPr="00FD211F">
        <w:rPr>
          <w:sz w:val="36"/>
          <w:szCs w:val="36"/>
          <w:rtl/>
        </w:rPr>
        <w:t>مفهوما</w:t>
      </w:r>
      <w:r w:rsidR="00603323" w:rsidRPr="00FD211F">
        <w:rPr>
          <w:sz w:val="36"/>
          <w:szCs w:val="36"/>
          <w:rtl/>
        </w:rPr>
        <w:t>،</w:t>
      </w:r>
      <w:r w:rsidR="00E8128F">
        <w:rPr>
          <w:sz w:val="36"/>
          <w:szCs w:val="36"/>
          <w:rtl/>
        </w:rPr>
        <w:t xml:space="preserve"> </w:t>
      </w:r>
      <w:r w:rsidR="00C46E56" w:rsidRPr="00FD211F">
        <w:rPr>
          <w:sz w:val="36"/>
          <w:szCs w:val="36"/>
          <w:rtl/>
        </w:rPr>
        <w:t>او</w:t>
      </w:r>
      <w:r w:rsidR="00E8128F">
        <w:rPr>
          <w:sz w:val="36"/>
          <w:szCs w:val="36"/>
          <w:rtl/>
        </w:rPr>
        <w:t xml:space="preserve"> </w:t>
      </w:r>
      <w:r w:rsidR="00C46E56" w:rsidRPr="00FD211F">
        <w:rPr>
          <w:sz w:val="36"/>
          <w:szCs w:val="36"/>
          <w:rtl/>
        </w:rPr>
        <w:t>يعم</w:t>
      </w:r>
      <w:r w:rsidR="00E8128F">
        <w:rPr>
          <w:sz w:val="36"/>
          <w:szCs w:val="36"/>
          <w:rtl/>
        </w:rPr>
        <w:t xml:space="preserve"> </w:t>
      </w:r>
      <w:r w:rsidR="00C46E56" w:rsidRPr="00FD211F">
        <w:rPr>
          <w:sz w:val="36"/>
          <w:szCs w:val="36"/>
          <w:rtl/>
        </w:rPr>
        <w:t>ما</w:t>
      </w:r>
      <w:r w:rsidR="00E8128F">
        <w:rPr>
          <w:sz w:val="36"/>
          <w:szCs w:val="36"/>
          <w:rtl/>
        </w:rPr>
        <w:t xml:space="preserve"> </w:t>
      </w:r>
      <w:r w:rsidR="009937F5" w:rsidRPr="00FD211F">
        <w:rPr>
          <w:sz w:val="36"/>
          <w:szCs w:val="36"/>
          <w:rtl/>
        </w:rPr>
        <w:t>اذا</w:t>
      </w:r>
      <w:r w:rsidR="00E8128F">
        <w:rPr>
          <w:sz w:val="36"/>
          <w:szCs w:val="36"/>
          <w:rtl/>
        </w:rPr>
        <w:t xml:space="preserve"> </w:t>
      </w:r>
      <w:r w:rsidR="009937F5" w:rsidRPr="00FD211F">
        <w:rPr>
          <w:sz w:val="36"/>
          <w:szCs w:val="36"/>
          <w:rtl/>
        </w:rPr>
        <w:t>اتحدا</w:t>
      </w:r>
      <w:r w:rsidR="00E8128F">
        <w:rPr>
          <w:sz w:val="36"/>
          <w:szCs w:val="36"/>
          <w:rtl/>
        </w:rPr>
        <w:t xml:space="preserve"> </w:t>
      </w:r>
      <w:r w:rsidR="009937F5" w:rsidRPr="00FD211F">
        <w:rPr>
          <w:sz w:val="36"/>
          <w:szCs w:val="36"/>
          <w:rtl/>
        </w:rPr>
        <w:t>مفهوما</w:t>
      </w:r>
      <w:r w:rsidR="00E8128F">
        <w:rPr>
          <w:sz w:val="36"/>
          <w:szCs w:val="36"/>
          <w:rtl/>
        </w:rPr>
        <w:t xml:space="preserve"> </w:t>
      </w:r>
      <w:r w:rsidR="009937F5" w:rsidRPr="00FD211F">
        <w:rPr>
          <w:sz w:val="36"/>
          <w:szCs w:val="36"/>
          <w:rtl/>
        </w:rPr>
        <w:t>ووجودا</w:t>
      </w:r>
      <w:r w:rsidR="00E8128F">
        <w:rPr>
          <w:sz w:val="36"/>
          <w:szCs w:val="36"/>
          <w:rtl/>
        </w:rPr>
        <w:t xml:space="preserve"> </w:t>
      </w:r>
      <w:r w:rsidR="009937F5" w:rsidRPr="00FD211F">
        <w:rPr>
          <w:sz w:val="36"/>
          <w:szCs w:val="36"/>
          <w:rtl/>
        </w:rPr>
        <w:t>كما</w:t>
      </w:r>
      <w:r w:rsidR="00E8128F">
        <w:rPr>
          <w:sz w:val="36"/>
          <w:szCs w:val="36"/>
          <w:rtl/>
        </w:rPr>
        <w:t xml:space="preserve"> </w:t>
      </w:r>
      <w:r w:rsidR="009937F5" w:rsidRPr="00FD211F">
        <w:rPr>
          <w:sz w:val="36"/>
          <w:szCs w:val="36"/>
          <w:rtl/>
        </w:rPr>
        <w:t>في</w:t>
      </w:r>
      <w:r w:rsidR="00E8128F">
        <w:rPr>
          <w:sz w:val="36"/>
          <w:szCs w:val="36"/>
          <w:rtl/>
        </w:rPr>
        <w:t xml:space="preserve"> </w:t>
      </w:r>
      <w:r w:rsidR="009937F5" w:rsidRPr="00FD211F">
        <w:rPr>
          <w:sz w:val="36"/>
          <w:szCs w:val="36"/>
          <w:rtl/>
        </w:rPr>
        <w:t>ق</w:t>
      </w:r>
      <w:r w:rsidR="000D33DA" w:rsidRPr="00FD211F">
        <w:rPr>
          <w:sz w:val="36"/>
          <w:szCs w:val="36"/>
          <w:rtl/>
        </w:rPr>
        <w:t>ولهم</w:t>
      </w:r>
      <w:r w:rsidR="00E8128F">
        <w:rPr>
          <w:sz w:val="36"/>
          <w:szCs w:val="36"/>
          <w:rtl/>
        </w:rPr>
        <w:t xml:space="preserve"> </w:t>
      </w:r>
      <w:r w:rsidR="000D33DA" w:rsidRPr="00FD211F">
        <w:rPr>
          <w:sz w:val="36"/>
          <w:szCs w:val="36"/>
          <w:rtl/>
        </w:rPr>
        <w:t>"</w:t>
      </w:r>
      <w:r w:rsidR="00E8128F">
        <w:rPr>
          <w:sz w:val="36"/>
          <w:szCs w:val="36"/>
          <w:rtl/>
        </w:rPr>
        <w:t xml:space="preserve"> </w:t>
      </w:r>
      <w:r w:rsidR="009937F5" w:rsidRPr="00FD211F">
        <w:rPr>
          <w:sz w:val="36"/>
          <w:szCs w:val="36"/>
          <w:rtl/>
        </w:rPr>
        <w:t>البياض</w:t>
      </w:r>
      <w:r w:rsidR="00E8128F">
        <w:rPr>
          <w:sz w:val="36"/>
          <w:szCs w:val="36"/>
          <w:rtl/>
        </w:rPr>
        <w:t xml:space="preserve"> </w:t>
      </w:r>
      <w:r w:rsidR="009937F5" w:rsidRPr="00FD211F">
        <w:rPr>
          <w:sz w:val="36"/>
          <w:szCs w:val="36"/>
          <w:rtl/>
        </w:rPr>
        <w:t>ابيض</w:t>
      </w:r>
      <w:r w:rsidR="00E8128F">
        <w:rPr>
          <w:sz w:val="36"/>
          <w:szCs w:val="36"/>
          <w:rtl/>
        </w:rPr>
        <w:t xml:space="preserve"> </w:t>
      </w:r>
      <w:r w:rsidR="000D33DA" w:rsidRPr="00FD211F">
        <w:rPr>
          <w:sz w:val="36"/>
          <w:szCs w:val="36"/>
          <w:rtl/>
        </w:rPr>
        <w:t>"</w:t>
      </w:r>
      <w:r w:rsidR="009937F5" w:rsidRPr="00FD211F">
        <w:rPr>
          <w:sz w:val="36"/>
          <w:szCs w:val="36"/>
          <w:rtl/>
        </w:rPr>
        <w:t>و</w:t>
      </w:r>
      <w:r w:rsidR="000D33DA" w:rsidRPr="00FD211F">
        <w:rPr>
          <w:sz w:val="36"/>
          <w:szCs w:val="36"/>
          <w:rtl/>
        </w:rPr>
        <w:t>"</w:t>
      </w:r>
      <w:r w:rsidR="009937F5" w:rsidRPr="00FD211F">
        <w:rPr>
          <w:sz w:val="36"/>
          <w:szCs w:val="36"/>
          <w:rtl/>
        </w:rPr>
        <w:t>الضوء</w:t>
      </w:r>
      <w:r w:rsidR="00E8128F">
        <w:rPr>
          <w:sz w:val="36"/>
          <w:szCs w:val="36"/>
          <w:rtl/>
        </w:rPr>
        <w:t xml:space="preserve"> </w:t>
      </w:r>
      <w:r w:rsidR="009937F5" w:rsidRPr="00FD211F">
        <w:rPr>
          <w:sz w:val="36"/>
          <w:szCs w:val="36"/>
          <w:rtl/>
        </w:rPr>
        <w:t>مضيئ</w:t>
      </w:r>
      <w:r w:rsidR="000D33DA" w:rsidRPr="00FD211F">
        <w:rPr>
          <w:sz w:val="36"/>
          <w:szCs w:val="36"/>
          <w:rtl/>
        </w:rPr>
        <w:t>"</w:t>
      </w:r>
      <w:r w:rsidR="00E8128F">
        <w:rPr>
          <w:sz w:val="36"/>
          <w:szCs w:val="36"/>
          <w:rtl/>
        </w:rPr>
        <w:t xml:space="preserve"> </w:t>
      </w:r>
      <w:r w:rsidR="009937F5" w:rsidRPr="00FD211F">
        <w:rPr>
          <w:sz w:val="36"/>
          <w:szCs w:val="36"/>
          <w:rtl/>
        </w:rPr>
        <w:t>او</w:t>
      </w:r>
      <w:r w:rsidR="000D33DA" w:rsidRPr="00FD211F">
        <w:rPr>
          <w:sz w:val="36"/>
          <w:szCs w:val="36"/>
          <w:rtl/>
        </w:rPr>
        <w:t>"</w:t>
      </w:r>
      <w:r w:rsidR="00E8128F">
        <w:rPr>
          <w:sz w:val="36"/>
          <w:szCs w:val="36"/>
          <w:rtl/>
        </w:rPr>
        <w:t xml:space="preserve"> </w:t>
      </w:r>
      <w:r w:rsidR="009937F5" w:rsidRPr="00FD211F">
        <w:rPr>
          <w:sz w:val="36"/>
          <w:szCs w:val="36"/>
          <w:rtl/>
        </w:rPr>
        <w:t>الوجود</w:t>
      </w:r>
      <w:r w:rsidR="00E8128F">
        <w:rPr>
          <w:sz w:val="36"/>
          <w:szCs w:val="36"/>
          <w:rtl/>
        </w:rPr>
        <w:t xml:space="preserve"> </w:t>
      </w:r>
      <w:r w:rsidR="009937F5" w:rsidRPr="00FD211F">
        <w:rPr>
          <w:sz w:val="36"/>
          <w:szCs w:val="36"/>
          <w:rtl/>
        </w:rPr>
        <w:t>موجود</w:t>
      </w:r>
      <w:r w:rsidR="000D33DA" w:rsidRPr="00FD211F">
        <w:rPr>
          <w:sz w:val="36"/>
          <w:szCs w:val="36"/>
          <w:rtl/>
        </w:rPr>
        <w:t>"</w:t>
      </w:r>
      <w:r w:rsidR="00EC7EDF" w:rsidRPr="00FD211F">
        <w:rPr>
          <w:sz w:val="36"/>
          <w:szCs w:val="36"/>
          <w:rtl/>
        </w:rPr>
        <w:t>.</w:t>
      </w:r>
    </w:p>
    <w:p w14:paraId="025E46CB" w14:textId="77777777" w:rsidR="000C5BBA" w:rsidRPr="00FD211F" w:rsidRDefault="00BD34F8" w:rsidP="009C58C8">
      <w:pPr>
        <w:ind w:left="0" w:firstLine="227"/>
        <w:jc w:val="both"/>
        <w:rPr>
          <w:sz w:val="36"/>
          <w:szCs w:val="36"/>
          <w:rtl/>
        </w:rPr>
      </w:pPr>
      <w:r w:rsidRPr="00FD211F">
        <w:rPr>
          <w:sz w:val="36"/>
          <w:szCs w:val="36"/>
          <w:rtl/>
        </w:rPr>
        <w:t>فذهب</w:t>
      </w:r>
      <w:r w:rsidR="00E8128F">
        <w:rPr>
          <w:sz w:val="36"/>
          <w:szCs w:val="36"/>
          <w:rtl/>
        </w:rPr>
        <w:t xml:space="preserve"> </w:t>
      </w:r>
      <w:r w:rsidRPr="00FD211F">
        <w:rPr>
          <w:sz w:val="36"/>
          <w:szCs w:val="36"/>
          <w:rtl/>
        </w:rPr>
        <w:t>صاحب</w:t>
      </w:r>
      <w:r w:rsidR="00E8128F">
        <w:rPr>
          <w:sz w:val="36"/>
          <w:szCs w:val="36"/>
          <w:rtl/>
        </w:rPr>
        <w:t xml:space="preserve"> </w:t>
      </w:r>
      <w:r w:rsidR="000D33DA" w:rsidRPr="00FD211F">
        <w:rPr>
          <w:sz w:val="36"/>
          <w:szCs w:val="36"/>
          <w:rtl/>
        </w:rPr>
        <w:t>الفصول</w:t>
      </w:r>
      <w:r w:rsidR="00315FAC" w:rsidRPr="00FD211F">
        <w:rPr>
          <w:sz w:val="36"/>
          <w:szCs w:val="36"/>
          <w:rtl/>
        </w:rPr>
        <w:t>"ره"</w:t>
      </w:r>
      <w:r w:rsidR="00E8128F">
        <w:rPr>
          <w:sz w:val="36"/>
          <w:szCs w:val="36"/>
          <w:rtl/>
        </w:rPr>
        <w:t xml:space="preserve"> </w:t>
      </w:r>
      <w:r w:rsidR="000D33DA" w:rsidRPr="00FD211F">
        <w:rPr>
          <w:sz w:val="36"/>
          <w:szCs w:val="36"/>
          <w:rtl/>
        </w:rPr>
        <w:t>الى</w:t>
      </w:r>
      <w:r w:rsidR="00E8128F">
        <w:rPr>
          <w:sz w:val="36"/>
          <w:szCs w:val="36"/>
          <w:rtl/>
        </w:rPr>
        <w:t xml:space="preserve"> </w:t>
      </w:r>
      <w:r w:rsidR="000D33DA" w:rsidRPr="00FD211F">
        <w:rPr>
          <w:sz w:val="36"/>
          <w:szCs w:val="36"/>
          <w:rtl/>
        </w:rPr>
        <w:t>الأول</w:t>
      </w:r>
      <w:r w:rsidR="00E8128F">
        <w:rPr>
          <w:sz w:val="36"/>
          <w:szCs w:val="36"/>
          <w:rtl/>
        </w:rPr>
        <w:t xml:space="preserve"> </w:t>
      </w:r>
      <w:r w:rsidR="000D33DA" w:rsidRPr="00FD211F">
        <w:rPr>
          <w:sz w:val="36"/>
          <w:szCs w:val="36"/>
          <w:rtl/>
        </w:rPr>
        <w:t>وهو</w:t>
      </w:r>
      <w:r w:rsidR="00E8128F">
        <w:rPr>
          <w:sz w:val="36"/>
          <w:szCs w:val="36"/>
          <w:rtl/>
        </w:rPr>
        <w:t xml:space="preserve"> </w:t>
      </w:r>
      <w:r w:rsidR="000D33DA" w:rsidRPr="00FD211F">
        <w:rPr>
          <w:sz w:val="36"/>
          <w:szCs w:val="36"/>
          <w:rtl/>
        </w:rPr>
        <w:t>لزوم</w:t>
      </w:r>
      <w:r w:rsidR="00E8128F">
        <w:rPr>
          <w:sz w:val="36"/>
          <w:szCs w:val="36"/>
          <w:rtl/>
        </w:rPr>
        <w:t xml:space="preserve"> </w:t>
      </w:r>
      <w:r w:rsidR="000D33DA" w:rsidRPr="00FD211F">
        <w:rPr>
          <w:sz w:val="36"/>
          <w:szCs w:val="36"/>
          <w:rtl/>
        </w:rPr>
        <w:t>تغاير</w:t>
      </w:r>
      <w:r w:rsidR="00E8128F">
        <w:rPr>
          <w:sz w:val="36"/>
          <w:szCs w:val="36"/>
          <w:rtl/>
        </w:rPr>
        <w:t xml:space="preserve"> </w:t>
      </w:r>
      <w:r w:rsidR="000D33DA" w:rsidRPr="00FD211F">
        <w:rPr>
          <w:sz w:val="36"/>
          <w:szCs w:val="36"/>
          <w:rtl/>
        </w:rPr>
        <w:t>الذات</w:t>
      </w:r>
      <w:r w:rsidR="00E8128F">
        <w:rPr>
          <w:sz w:val="36"/>
          <w:szCs w:val="36"/>
          <w:rtl/>
        </w:rPr>
        <w:t xml:space="preserve"> </w:t>
      </w:r>
      <w:r w:rsidR="000D33DA" w:rsidRPr="00FD211F">
        <w:rPr>
          <w:sz w:val="36"/>
          <w:szCs w:val="36"/>
          <w:rtl/>
        </w:rPr>
        <w:t>والمبدأ</w:t>
      </w:r>
      <w:r w:rsidR="00E8128F">
        <w:rPr>
          <w:sz w:val="36"/>
          <w:szCs w:val="36"/>
          <w:rtl/>
        </w:rPr>
        <w:t xml:space="preserve"> </w:t>
      </w:r>
      <w:r w:rsidR="000D33DA" w:rsidRPr="00FD211F">
        <w:rPr>
          <w:sz w:val="36"/>
          <w:szCs w:val="36"/>
          <w:rtl/>
        </w:rPr>
        <w:t>ذاتا</w:t>
      </w:r>
      <w:r w:rsidR="00E8128F">
        <w:rPr>
          <w:sz w:val="36"/>
          <w:szCs w:val="36"/>
          <w:rtl/>
        </w:rPr>
        <w:t xml:space="preserve"> </w:t>
      </w:r>
      <w:r w:rsidR="000D33DA" w:rsidRPr="00FD211F">
        <w:rPr>
          <w:sz w:val="36"/>
          <w:szCs w:val="36"/>
          <w:rtl/>
        </w:rPr>
        <w:t>ووجودا</w:t>
      </w:r>
      <w:r w:rsidR="00E8128F">
        <w:rPr>
          <w:sz w:val="36"/>
          <w:szCs w:val="36"/>
          <w:rtl/>
        </w:rPr>
        <w:t xml:space="preserve"> </w:t>
      </w:r>
      <w:r w:rsidR="000D33DA" w:rsidRPr="00FD211F">
        <w:rPr>
          <w:sz w:val="36"/>
          <w:szCs w:val="36"/>
          <w:rtl/>
        </w:rPr>
        <w:t>والتزم</w:t>
      </w:r>
      <w:r w:rsidR="00E8128F">
        <w:rPr>
          <w:sz w:val="36"/>
          <w:szCs w:val="36"/>
          <w:rtl/>
        </w:rPr>
        <w:t xml:space="preserve"> </w:t>
      </w:r>
      <w:r w:rsidR="000D33DA" w:rsidRPr="00FD211F">
        <w:rPr>
          <w:sz w:val="36"/>
          <w:szCs w:val="36"/>
          <w:rtl/>
        </w:rPr>
        <w:t>بالنقل</w:t>
      </w:r>
      <w:r w:rsidR="00E8128F">
        <w:rPr>
          <w:sz w:val="36"/>
          <w:szCs w:val="36"/>
          <w:rtl/>
        </w:rPr>
        <w:t xml:space="preserve"> </w:t>
      </w:r>
      <w:r w:rsidR="00ED091F" w:rsidRPr="00FD211F">
        <w:rPr>
          <w:sz w:val="36"/>
          <w:szCs w:val="36"/>
          <w:rtl/>
        </w:rPr>
        <w:t>أو</w:t>
      </w:r>
      <w:r w:rsidR="00E8128F">
        <w:rPr>
          <w:sz w:val="36"/>
          <w:szCs w:val="36"/>
          <w:rtl/>
        </w:rPr>
        <w:t xml:space="preserve"> </w:t>
      </w:r>
      <w:r w:rsidR="00ED091F" w:rsidRPr="00FD211F">
        <w:rPr>
          <w:sz w:val="36"/>
          <w:szCs w:val="36"/>
          <w:rtl/>
        </w:rPr>
        <w:t>التجوز</w:t>
      </w:r>
      <w:r w:rsidR="00E8128F">
        <w:rPr>
          <w:sz w:val="36"/>
          <w:szCs w:val="36"/>
          <w:rtl/>
        </w:rPr>
        <w:t xml:space="preserve"> </w:t>
      </w:r>
      <w:r w:rsidR="00ED091F" w:rsidRPr="00FD211F">
        <w:rPr>
          <w:sz w:val="36"/>
          <w:szCs w:val="36"/>
          <w:rtl/>
        </w:rPr>
        <w:t>في</w:t>
      </w:r>
      <w:r w:rsidR="00E8128F">
        <w:rPr>
          <w:sz w:val="36"/>
          <w:szCs w:val="36"/>
          <w:rtl/>
        </w:rPr>
        <w:t xml:space="preserve"> </w:t>
      </w:r>
      <w:r w:rsidR="00ED091F" w:rsidRPr="00FD211F">
        <w:rPr>
          <w:sz w:val="36"/>
          <w:szCs w:val="36"/>
          <w:rtl/>
        </w:rPr>
        <w:t>ألفاظ</w:t>
      </w:r>
      <w:r w:rsidR="00E8128F">
        <w:rPr>
          <w:sz w:val="36"/>
          <w:szCs w:val="36"/>
          <w:rtl/>
        </w:rPr>
        <w:t xml:space="preserve"> </w:t>
      </w:r>
      <w:r w:rsidR="00ED091F" w:rsidRPr="00FD211F">
        <w:rPr>
          <w:sz w:val="36"/>
          <w:szCs w:val="36"/>
          <w:rtl/>
        </w:rPr>
        <w:t>الصفات</w:t>
      </w:r>
      <w:r w:rsidR="00E8128F">
        <w:rPr>
          <w:sz w:val="36"/>
          <w:szCs w:val="36"/>
          <w:rtl/>
        </w:rPr>
        <w:t xml:space="preserve"> </w:t>
      </w:r>
      <w:r w:rsidR="00ED091F" w:rsidRPr="00FD211F">
        <w:rPr>
          <w:sz w:val="36"/>
          <w:szCs w:val="36"/>
          <w:rtl/>
        </w:rPr>
        <w:t>التي</w:t>
      </w:r>
      <w:r w:rsidR="00E8128F">
        <w:rPr>
          <w:sz w:val="36"/>
          <w:szCs w:val="36"/>
          <w:rtl/>
        </w:rPr>
        <w:t xml:space="preserve"> </w:t>
      </w:r>
      <w:r w:rsidR="00ED091F" w:rsidRPr="00FD211F">
        <w:rPr>
          <w:sz w:val="36"/>
          <w:szCs w:val="36"/>
          <w:rtl/>
        </w:rPr>
        <w:t>تحمل</w:t>
      </w:r>
      <w:r w:rsidR="00E8128F">
        <w:rPr>
          <w:sz w:val="36"/>
          <w:szCs w:val="36"/>
          <w:rtl/>
        </w:rPr>
        <w:t xml:space="preserve"> </w:t>
      </w:r>
      <w:r w:rsidR="00ED091F" w:rsidRPr="00FD211F">
        <w:rPr>
          <w:sz w:val="36"/>
          <w:szCs w:val="36"/>
          <w:rtl/>
        </w:rPr>
        <w:t>عليه</w:t>
      </w:r>
      <w:r w:rsidR="00E8128F">
        <w:rPr>
          <w:sz w:val="36"/>
          <w:szCs w:val="36"/>
          <w:rtl/>
        </w:rPr>
        <w:t xml:space="preserve"> </w:t>
      </w:r>
      <w:r w:rsidR="00ED091F" w:rsidRPr="00FD211F">
        <w:rPr>
          <w:sz w:val="36"/>
          <w:szCs w:val="36"/>
          <w:rtl/>
        </w:rPr>
        <w:t>تعالى</w:t>
      </w:r>
      <w:r w:rsidR="00E8128F">
        <w:rPr>
          <w:sz w:val="36"/>
          <w:szCs w:val="36"/>
          <w:rtl/>
        </w:rPr>
        <w:t xml:space="preserve"> </w:t>
      </w:r>
      <w:r w:rsidR="00ED091F" w:rsidRPr="00FD211F">
        <w:rPr>
          <w:sz w:val="36"/>
          <w:szCs w:val="36"/>
          <w:rtl/>
        </w:rPr>
        <w:t>بناء</w:t>
      </w:r>
      <w:r w:rsidR="00E8128F">
        <w:rPr>
          <w:sz w:val="36"/>
          <w:szCs w:val="36"/>
          <w:rtl/>
        </w:rPr>
        <w:t xml:space="preserve"> </w:t>
      </w:r>
      <w:r w:rsidR="00ED091F" w:rsidRPr="00FD211F">
        <w:rPr>
          <w:sz w:val="36"/>
          <w:szCs w:val="36"/>
          <w:rtl/>
        </w:rPr>
        <w:t>على</w:t>
      </w:r>
      <w:r w:rsidR="00E8128F">
        <w:rPr>
          <w:sz w:val="36"/>
          <w:szCs w:val="36"/>
          <w:rtl/>
        </w:rPr>
        <w:t xml:space="preserve"> </w:t>
      </w:r>
      <w:r w:rsidR="00ED091F" w:rsidRPr="00FD211F">
        <w:rPr>
          <w:sz w:val="36"/>
          <w:szCs w:val="36"/>
          <w:rtl/>
        </w:rPr>
        <w:t>ما</w:t>
      </w:r>
      <w:r w:rsidR="00E8128F">
        <w:rPr>
          <w:sz w:val="36"/>
          <w:szCs w:val="36"/>
          <w:rtl/>
        </w:rPr>
        <w:t xml:space="preserve"> </w:t>
      </w:r>
      <w:r w:rsidR="00ED091F" w:rsidRPr="00FD211F">
        <w:rPr>
          <w:sz w:val="36"/>
          <w:szCs w:val="36"/>
          <w:rtl/>
        </w:rPr>
        <w:t>هو</w:t>
      </w:r>
      <w:r w:rsidR="00E8128F">
        <w:rPr>
          <w:sz w:val="36"/>
          <w:szCs w:val="36"/>
          <w:rtl/>
        </w:rPr>
        <w:t xml:space="preserve"> </w:t>
      </w:r>
      <w:r w:rsidR="00ED091F" w:rsidRPr="00FD211F">
        <w:rPr>
          <w:sz w:val="36"/>
          <w:szCs w:val="36"/>
          <w:rtl/>
        </w:rPr>
        <w:t>الحق</w:t>
      </w:r>
      <w:r w:rsidR="00E8128F">
        <w:rPr>
          <w:sz w:val="36"/>
          <w:szCs w:val="36"/>
          <w:rtl/>
        </w:rPr>
        <w:t xml:space="preserve"> </w:t>
      </w:r>
      <w:r w:rsidR="00ED091F" w:rsidRPr="00FD211F">
        <w:rPr>
          <w:sz w:val="36"/>
          <w:szCs w:val="36"/>
          <w:rtl/>
        </w:rPr>
        <w:t>من</w:t>
      </w:r>
      <w:r w:rsidR="00E8128F">
        <w:rPr>
          <w:sz w:val="36"/>
          <w:szCs w:val="36"/>
          <w:rtl/>
        </w:rPr>
        <w:t xml:space="preserve"> </w:t>
      </w:r>
      <w:r w:rsidR="00ED091F" w:rsidRPr="00FD211F">
        <w:rPr>
          <w:sz w:val="36"/>
          <w:szCs w:val="36"/>
          <w:rtl/>
        </w:rPr>
        <w:t>اتحاد</w:t>
      </w:r>
      <w:r w:rsidR="00E8128F">
        <w:rPr>
          <w:sz w:val="36"/>
          <w:szCs w:val="36"/>
          <w:rtl/>
        </w:rPr>
        <w:t xml:space="preserve"> </w:t>
      </w:r>
      <w:r w:rsidR="00ED091F" w:rsidRPr="00FD211F">
        <w:rPr>
          <w:sz w:val="36"/>
          <w:szCs w:val="36"/>
          <w:rtl/>
        </w:rPr>
        <w:t>صفاته</w:t>
      </w:r>
      <w:r w:rsidR="00E8128F">
        <w:rPr>
          <w:sz w:val="36"/>
          <w:szCs w:val="36"/>
          <w:rtl/>
        </w:rPr>
        <w:t xml:space="preserve"> </w:t>
      </w:r>
      <w:r w:rsidR="00ED091F" w:rsidRPr="00FD211F">
        <w:rPr>
          <w:sz w:val="36"/>
          <w:szCs w:val="36"/>
          <w:rtl/>
        </w:rPr>
        <w:t>وذاته</w:t>
      </w:r>
      <w:r w:rsidR="00E8128F">
        <w:rPr>
          <w:sz w:val="36"/>
          <w:szCs w:val="36"/>
          <w:rtl/>
        </w:rPr>
        <w:t xml:space="preserve"> </w:t>
      </w:r>
      <w:r w:rsidR="00ED091F" w:rsidRPr="00FD211F">
        <w:rPr>
          <w:sz w:val="36"/>
          <w:szCs w:val="36"/>
          <w:rtl/>
        </w:rPr>
        <w:t>تعالى</w:t>
      </w:r>
      <w:r w:rsidR="009C58C8" w:rsidRPr="00FD211F">
        <w:rPr>
          <w:rStyle w:val="a6"/>
          <w:sz w:val="36"/>
          <w:szCs w:val="36"/>
          <w:rtl/>
        </w:rPr>
        <w:t>(</w:t>
      </w:r>
      <w:r w:rsidR="009C58C8" w:rsidRPr="00FD211F">
        <w:rPr>
          <w:rStyle w:val="a6"/>
          <w:sz w:val="36"/>
          <w:szCs w:val="36"/>
          <w:rtl/>
        </w:rPr>
        <w:footnoteReference w:id="606"/>
      </w:r>
      <w:r w:rsidR="009C58C8" w:rsidRPr="00FD211F">
        <w:rPr>
          <w:rStyle w:val="a6"/>
          <w:sz w:val="36"/>
          <w:szCs w:val="36"/>
          <w:rtl/>
        </w:rPr>
        <w:t>)</w:t>
      </w:r>
      <w:r w:rsidR="008F62FB" w:rsidRPr="00FD211F">
        <w:rPr>
          <w:sz w:val="36"/>
          <w:szCs w:val="36"/>
          <w:rtl/>
        </w:rPr>
        <w:t>.</w:t>
      </w:r>
    </w:p>
    <w:p w14:paraId="75CE873A" w14:textId="77777777" w:rsidR="009937F5" w:rsidRPr="00FD211F" w:rsidRDefault="00ED091F" w:rsidP="009C58C8">
      <w:pPr>
        <w:ind w:left="0" w:firstLine="227"/>
        <w:jc w:val="both"/>
        <w:rPr>
          <w:sz w:val="36"/>
          <w:szCs w:val="36"/>
          <w:rtl/>
        </w:rPr>
      </w:pPr>
      <w:r w:rsidRPr="00FD211F">
        <w:rPr>
          <w:sz w:val="36"/>
          <w:szCs w:val="36"/>
          <w:rtl/>
        </w:rPr>
        <w:t>وذهب</w:t>
      </w:r>
      <w:r w:rsidR="00E8128F">
        <w:rPr>
          <w:sz w:val="36"/>
          <w:szCs w:val="36"/>
          <w:rtl/>
        </w:rPr>
        <w:t xml:space="preserve"> </w:t>
      </w:r>
      <w:r w:rsidRPr="00FD211F">
        <w:rPr>
          <w:sz w:val="36"/>
          <w:szCs w:val="36"/>
          <w:rtl/>
        </w:rPr>
        <w:t>صاحب</w:t>
      </w:r>
      <w:r w:rsidR="00E8128F">
        <w:rPr>
          <w:sz w:val="36"/>
          <w:szCs w:val="36"/>
          <w:rtl/>
        </w:rPr>
        <w:t xml:space="preserve"> </w:t>
      </w:r>
      <w:r w:rsidR="00BD34F8" w:rsidRPr="00FD211F">
        <w:rPr>
          <w:sz w:val="36"/>
          <w:szCs w:val="36"/>
          <w:rtl/>
        </w:rPr>
        <w:t>الكفاي</w:t>
      </w:r>
      <w:r w:rsidR="00EC7EDF" w:rsidRPr="00FD211F">
        <w:rPr>
          <w:sz w:val="36"/>
          <w:szCs w:val="36"/>
          <w:rtl/>
        </w:rPr>
        <w:t>ة</w:t>
      </w:r>
      <w:r w:rsidR="00E8128F">
        <w:rPr>
          <w:sz w:val="36"/>
          <w:szCs w:val="36"/>
          <w:rtl/>
        </w:rPr>
        <w:t xml:space="preserve"> </w:t>
      </w:r>
      <w:r w:rsidR="00315FAC" w:rsidRPr="00FD211F">
        <w:rPr>
          <w:sz w:val="36"/>
          <w:szCs w:val="36"/>
          <w:rtl/>
        </w:rPr>
        <w:t>"قده"</w:t>
      </w:r>
      <w:r w:rsidR="00E8128F">
        <w:rPr>
          <w:sz w:val="36"/>
          <w:szCs w:val="36"/>
          <w:rtl/>
        </w:rPr>
        <w:t xml:space="preserve"> </w:t>
      </w:r>
      <w:r w:rsidR="00BD34F8" w:rsidRPr="00FD211F">
        <w:rPr>
          <w:sz w:val="36"/>
          <w:szCs w:val="36"/>
          <w:rtl/>
        </w:rPr>
        <w:t>الى</w:t>
      </w:r>
      <w:r w:rsidR="00E8128F">
        <w:rPr>
          <w:sz w:val="36"/>
          <w:szCs w:val="36"/>
          <w:rtl/>
        </w:rPr>
        <w:t xml:space="preserve"> </w:t>
      </w:r>
      <w:r w:rsidR="00BD34F8" w:rsidRPr="00FD211F">
        <w:rPr>
          <w:sz w:val="36"/>
          <w:szCs w:val="36"/>
          <w:rtl/>
        </w:rPr>
        <w:t>الثاني</w:t>
      </w:r>
      <w:r w:rsidR="00E8128F">
        <w:rPr>
          <w:sz w:val="36"/>
          <w:szCs w:val="36"/>
          <w:rtl/>
        </w:rPr>
        <w:t xml:space="preserve"> </w:t>
      </w:r>
      <w:r w:rsidRPr="00FD211F">
        <w:rPr>
          <w:sz w:val="36"/>
          <w:szCs w:val="36"/>
          <w:rtl/>
        </w:rPr>
        <w:t>وهوكفاي</w:t>
      </w:r>
      <w:r w:rsidR="00EC7EDF" w:rsidRPr="00FD211F">
        <w:rPr>
          <w:sz w:val="36"/>
          <w:szCs w:val="36"/>
          <w:rtl/>
        </w:rPr>
        <w:t>ة</w:t>
      </w:r>
      <w:r w:rsidR="00E8128F">
        <w:rPr>
          <w:sz w:val="36"/>
          <w:szCs w:val="36"/>
          <w:rtl/>
        </w:rPr>
        <w:t xml:space="preserve"> </w:t>
      </w:r>
      <w:r w:rsidRPr="00FD211F">
        <w:rPr>
          <w:sz w:val="36"/>
          <w:szCs w:val="36"/>
          <w:rtl/>
        </w:rPr>
        <w:t>تغاير</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والمبدأ</w:t>
      </w:r>
      <w:r w:rsidR="00E8128F">
        <w:rPr>
          <w:sz w:val="36"/>
          <w:szCs w:val="36"/>
          <w:rtl/>
        </w:rPr>
        <w:t xml:space="preserve"> </w:t>
      </w:r>
      <w:r w:rsidRPr="00FD211F">
        <w:rPr>
          <w:sz w:val="36"/>
          <w:szCs w:val="36"/>
          <w:rtl/>
        </w:rPr>
        <w:t>مفهوما</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اتحدا</w:t>
      </w:r>
      <w:r w:rsidR="00E8128F">
        <w:rPr>
          <w:sz w:val="36"/>
          <w:szCs w:val="36"/>
          <w:rtl/>
        </w:rPr>
        <w:t xml:space="preserve"> </w:t>
      </w:r>
      <w:r w:rsidRPr="00FD211F">
        <w:rPr>
          <w:sz w:val="36"/>
          <w:szCs w:val="36"/>
          <w:rtl/>
        </w:rPr>
        <w:t>وجودا</w:t>
      </w:r>
      <w:r w:rsidR="009C58C8" w:rsidRPr="00FD211F">
        <w:rPr>
          <w:rStyle w:val="a6"/>
          <w:sz w:val="36"/>
          <w:szCs w:val="36"/>
          <w:rtl/>
        </w:rPr>
        <w:t>(</w:t>
      </w:r>
      <w:r w:rsidR="009C58C8" w:rsidRPr="00FD211F">
        <w:rPr>
          <w:rStyle w:val="a6"/>
          <w:sz w:val="36"/>
          <w:szCs w:val="36"/>
          <w:rtl/>
        </w:rPr>
        <w:footnoteReference w:id="607"/>
      </w:r>
      <w:r w:rsidR="009C58C8" w:rsidRPr="00FD211F">
        <w:rPr>
          <w:rStyle w:val="a6"/>
          <w:sz w:val="36"/>
          <w:szCs w:val="36"/>
          <w:rtl/>
        </w:rPr>
        <w:t>)</w:t>
      </w:r>
      <w:r w:rsidR="00EC7EDF" w:rsidRPr="00FD211F">
        <w:rPr>
          <w:sz w:val="36"/>
          <w:szCs w:val="36"/>
          <w:rtl/>
        </w:rPr>
        <w:t>.</w:t>
      </w:r>
      <w:r w:rsidR="00E8128F">
        <w:rPr>
          <w:sz w:val="36"/>
          <w:szCs w:val="36"/>
          <w:rtl/>
        </w:rPr>
        <w:t xml:space="preserve"> </w:t>
      </w:r>
    </w:p>
    <w:p w14:paraId="0F269FBB" w14:textId="77777777" w:rsidR="009937F5" w:rsidRPr="00FD211F" w:rsidRDefault="00ED091F" w:rsidP="00C26800">
      <w:pPr>
        <w:ind w:left="0" w:firstLine="227"/>
        <w:jc w:val="both"/>
        <w:rPr>
          <w:sz w:val="36"/>
          <w:szCs w:val="36"/>
          <w:rtl/>
        </w:rPr>
      </w:pPr>
      <w:r w:rsidRPr="00FD211F">
        <w:rPr>
          <w:sz w:val="36"/>
          <w:szCs w:val="36"/>
          <w:rtl/>
        </w:rPr>
        <w:t>و</w:t>
      </w:r>
      <w:r w:rsidR="00E8128F">
        <w:rPr>
          <w:sz w:val="36"/>
          <w:szCs w:val="36"/>
          <w:rtl/>
        </w:rPr>
        <w:t xml:space="preserve"> </w:t>
      </w:r>
      <w:r w:rsidR="00423D32" w:rsidRPr="00FD211F">
        <w:rPr>
          <w:sz w:val="36"/>
          <w:szCs w:val="36"/>
          <w:rtl/>
        </w:rPr>
        <w:t>الظاهر</w:t>
      </w:r>
      <w:r w:rsidR="00E8128F">
        <w:rPr>
          <w:sz w:val="36"/>
          <w:szCs w:val="36"/>
          <w:rtl/>
        </w:rPr>
        <w:t xml:space="preserve"> </w:t>
      </w:r>
      <w:r w:rsidR="00423D32" w:rsidRPr="00FD211F">
        <w:rPr>
          <w:sz w:val="36"/>
          <w:szCs w:val="36"/>
          <w:rtl/>
        </w:rPr>
        <w:t>من</w:t>
      </w:r>
      <w:r w:rsidR="00E8128F">
        <w:rPr>
          <w:sz w:val="36"/>
          <w:szCs w:val="36"/>
          <w:rtl/>
        </w:rPr>
        <w:t xml:space="preserve"> </w:t>
      </w:r>
      <w:r w:rsidR="00423D32" w:rsidRPr="00FD211F">
        <w:rPr>
          <w:sz w:val="36"/>
          <w:szCs w:val="36"/>
          <w:rtl/>
        </w:rPr>
        <w:t>المشتق</w:t>
      </w:r>
      <w:r w:rsidR="00E8128F">
        <w:rPr>
          <w:sz w:val="36"/>
          <w:szCs w:val="36"/>
          <w:rtl/>
        </w:rPr>
        <w:t xml:space="preserve"> </w:t>
      </w:r>
      <w:r w:rsidR="003279EA" w:rsidRPr="00FD211F">
        <w:rPr>
          <w:sz w:val="36"/>
          <w:szCs w:val="36"/>
          <w:rtl/>
        </w:rPr>
        <w:t>الوصفي</w:t>
      </w:r>
      <w:r w:rsidR="00E8128F">
        <w:rPr>
          <w:sz w:val="36"/>
          <w:szCs w:val="36"/>
          <w:rtl/>
        </w:rPr>
        <w:t xml:space="preserve"> </w:t>
      </w:r>
      <w:r w:rsidR="003279EA" w:rsidRPr="00FD211F">
        <w:rPr>
          <w:sz w:val="36"/>
          <w:szCs w:val="36"/>
          <w:rtl/>
        </w:rPr>
        <w:t>انه</w:t>
      </w:r>
      <w:r w:rsidR="00E8128F">
        <w:rPr>
          <w:sz w:val="36"/>
          <w:szCs w:val="36"/>
          <w:rtl/>
        </w:rPr>
        <w:t xml:space="preserve"> </w:t>
      </w:r>
      <w:r w:rsidR="003279EA" w:rsidRPr="00FD211F">
        <w:rPr>
          <w:sz w:val="36"/>
          <w:szCs w:val="36"/>
          <w:rtl/>
        </w:rPr>
        <w:t>يرادف</w:t>
      </w:r>
      <w:r w:rsidR="00E8128F">
        <w:rPr>
          <w:sz w:val="36"/>
          <w:szCs w:val="36"/>
          <w:rtl/>
        </w:rPr>
        <w:t xml:space="preserve"> </w:t>
      </w:r>
      <w:r w:rsidR="003279EA" w:rsidRPr="00FD211F">
        <w:rPr>
          <w:sz w:val="36"/>
          <w:szCs w:val="36"/>
          <w:rtl/>
        </w:rPr>
        <w:t>حمل</w:t>
      </w:r>
      <w:r w:rsidR="00E8128F">
        <w:rPr>
          <w:sz w:val="36"/>
          <w:szCs w:val="36"/>
          <w:rtl/>
        </w:rPr>
        <w:t xml:space="preserve"> </w:t>
      </w:r>
      <w:r w:rsidR="003279EA" w:rsidRPr="00FD211F">
        <w:rPr>
          <w:sz w:val="36"/>
          <w:szCs w:val="36"/>
          <w:rtl/>
        </w:rPr>
        <w:t>المواطا</w:t>
      </w:r>
      <w:r w:rsidR="00EC7EDF" w:rsidRPr="00FD211F">
        <w:rPr>
          <w:sz w:val="36"/>
          <w:szCs w:val="36"/>
          <w:rtl/>
        </w:rPr>
        <w:t>ة</w:t>
      </w:r>
      <w:r w:rsidR="00E8128F">
        <w:rPr>
          <w:sz w:val="36"/>
          <w:szCs w:val="36"/>
          <w:rtl/>
        </w:rPr>
        <w:t xml:space="preserve"> </w:t>
      </w:r>
      <w:r w:rsidR="003279EA" w:rsidRPr="00FD211F">
        <w:rPr>
          <w:sz w:val="36"/>
          <w:szCs w:val="36"/>
          <w:rtl/>
        </w:rPr>
        <w:t>بتوسيط</w:t>
      </w:r>
      <w:r w:rsidR="00E8128F">
        <w:rPr>
          <w:sz w:val="36"/>
          <w:szCs w:val="36"/>
          <w:rtl/>
        </w:rPr>
        <w:t xml:space="preserve"> </w:t>
      </w:r>
      <w:r w:rsidR="003279EA" w:rsidRPr="00FD211F">
        <w:rPr>
          <w:sz w:val="36"/>
          <w:szCs w:val="36"/>
          <w:rtl/>
        </w:rPr>
        <w:t>ذو</w:t>
      </w:r>
      <w:r w:rsidR="00603323" w:rsidRPr="00FD211F">
        <w:rPr>
          <w:sz w:val="36"/>
          <w:szCs w:val="36"/>
          <w:rtl/>
        </w:rPr>
        <w:t>،</w:t>
      </w:r>
      <w:r w:rsidR="00E8128F">
        <w:rPr>
          <w:sz w:val="36"/>
          <w:szCs w:val="36"/>
          <w:rtl/>
        </w:rPr>
        <w:t xml:space="preserve"> </w:t>
      </w:r>
      <w:r w:rsidRPr="00FD211F">
        <w:rPr>
          <w:sz w:val="36"/>
          <w:szCs w:val="36"/>
          <w:rtl/>
        </w:rPr>
        <w:t>فحينما</w:t>
      </w:r>
      <w:r w:rsidR="00E8128F">
        <w:rPr>
          <w:sz w:val="36"/>
          <w:szCs w:val="36"/>
          <w:rtl/>
        </w:rPr>
        <w:t xml:space="preserve"> </w:t>
      </w:r>
      <w:r w:rsidRPr="00FD211F">
        <w:rPr>
          <w:sz w:val="36"/>
          <w:szCs w:val="36"/>
          <w:rtl/>
        </w:rPr>
        <w:t>نقول</w:t>
      </w:r>
      <w:r w:rsidR="00E8128F">
        <w:rPr>
          <w:sz w:val="36"/>
          <w:szCs w:val="36"/>
          <w:rtl/>
        </w:rPr>
        <w:t xml:space="preserve"> </w:t>
      </w:r>
      <w:r w:rsidRPr="00FD211F">
        <w:rPr>
          <w:sz w:val="36"/>
          <w:szCs w:val="36"/>
          <w:rtl/>
        </w:rPr>
        <w:t>"الله</w:t>
      </w:r>
      <w:r w:rsidR="00E8128F">
        <w:rPr>
          <w:sz w:val="36"/>
          <w:szCs w:val="36"/>
          <w:rtl/>
        </w:rPr>
        <w:t xml:space="preserve"> </w:t>
      </w:r>
      <w:r w:rsidRPr="00FD211F">
        <w:rPr>
          <w:sz w:val="36"/>
          <w:szCs w:val="36"/>
          <w:rtl/>
        </w:rPr>
        <w:t>عالم</w:t>
      </w:r>
      <w:r w:rsidR="00E8128F">
        <w:rPr>
          <w:sz w:val="36"/>
          <w:szCs w:val="36"/>
          <w:rtl/>
        </w:rPr>
        <w:t xml:space="preserve"> </w:t>
      </w:r>
      <w:r w:rsidRPr="00FD211F">
        <w:rPr>
          <w:sz w:val="36"/>
          <w:szCs w:val="36"/>
          <w:rtl/>
        </w:rPr>
        <w:t>"فيرادف</w:t>
      </w:r>
      <w:r w:rsidR="00E8128F">
        <w:rPr>
          <w:sz w:val="36"/>
          <w:szCs w:val="36"/>
          <w:rtl/>
        </w:rPr>
        <w:t xml:space="preserve"> </w:t>
      </w:r>
      <w:r w:rsidRPr="00FD211F">
        <w:rPr>
          <w:sz w:val="36"/>
          <w:szCs w:val="36"/>
          <w:rtl/>
        </w:rPr>
        <w:t>قولنا</w:t>
      </w:r>
      <w:r w:rsidR="00E8128F">
        <w:rPr>
          <w:sz w:val="36"/>
          <w:szCs w:val="36"/>
          <w:rtl/>
        </w:rPr>
        <w:t xml:space="preserve"> </w:t>
      </w:r>
      <w:r w:rsidRPr="00FD211F">
        <w:rPr>
          <w:sz w:val="36"/>
          <w:szCs w:val="36"/>
          <w:rtl/>
        </w:rPr>
        <w:t>"الله</w:t>
      </w:r>
      <w:r w:rsidR="00E8128F">
        <w:rPr>
          <w:sz w:val="36"/>
          <w:szCs w:val="36"/>
          <w:rtl/>
        </w:rPr>
        <w:t xml:space="preserve"> </w:t>
      </w:r>
      <w:r w:rsidRPr="00FD211F">
        <w:rPr>
          <w:sz w:val="36"/>
          <w:szCs w:val="36"/>
          <w:rtl/>
        </w:rPr>
        <w:t>ذوعلم</w:t>
      </w:r>
      <w:r w:rsidR="00E8128F">
        <w:rPr>
          <w:sz w:val="36"/>
          <w:szCs w:val="36"/>
          <w:rtl/>
        </w:rPr>
        <w:t xml:space="preserve"> </w:t>
      </w:r>
      <w:r w:rsidRPr="00FD211F">
        <w:rPr>
          <w:sz w:val="36"/>
          <w:szCs w:val="36"/>
          <w:rtl/>
        </w:rPr>
        <w:t>"</w:t>
      </w:r>
      <w:r w:rsidR="00E8128F">
        <w:rPr>
          <w:sz w:val="36"/>
          <w:szCs w:val="36"/>
          <w:rtl/>
        </w:rPr>
        <w:t xml:space="preserve"> </w:t>
      </w:r>
      <w:r w:rsidRPr="00FD211F">
        <w:rPr>
          <w:sz w:val="36"/>
          <w:szCs w:val="36"/>
          <w:rtl/>
        </w:rPr>
        <w:t>ولايخفى</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قولنا</w:t>
      </w:r>
      <w:r w:rsidR="00E8128F">
        <w:rPr>
          <w:sz w:val="36"/>
          <w:szCs w:val="36"/>
          <w:rtl/>
        </w:rPr>
        <w:t xml:space="preserve"> </w:t>
      </w:r>
      <w:r w:rsidR="004B39B6" w:rsidRPr="00FD211F">
        <w:rPr>
          <w:sz w:val="36"/>
          <w:szCs w:val="36"/>
          <w:rtl/>
        </w:rPr>
        <w:t>"</w:t>
      </w:r>
      <w:r w:rsidRPr="00FD211F">
        <w:rPr>
          <w:sz w:val="36"/>
          <w:szCs w:val="36"/>
          <w:rtl/>
        </w:rPr>
        <w:t>الله</w:t>
      </w:r>
      <w:r w:rsidR="00E8128F">
        <w:rPr>
          <w:sz w:val="36"/>
          <w:szCs w:val="36"/>
          <w:rtl/>
        </w:rPr>
        <w:t xml:space="preserve"> </w:t>
      </w:r>
      <w:r w:rsidR="003279EA" w:rsidRPr="00FD211F">
        <w:rPr>
          <w:sz w:val="36"/>
          <w:szCs w:val="36"/>
          <w:rtl/>
        </w:rPr>
        <w:t>ذو</w:t>
      </w:r>
      <w:r w:rsidR="00E8128F">
        <w:rPr>
          <w:sz w:val="36"/>
          <w:szCs w:val="36"/>
          <w:rtl/>
        </w:rPr>
        <w:t xml:space="preserve"> </w:t>
      </w:r>
      <w:r w:rsidR="003279EA" w:rsidRPr="00FD211F">
        <w:rPr>
          <w:sz w:val="36"/>
          <w:szCs w:val="36"/>
          <w:rtl/>
        </w:rPr>
        <w:t>علم</w:t>
      </w:r>
      <w:r w:rsidR="004B39B6" w:rsidRPr="00FD211F">
        <w:rPr>
          <w:sz w:val="36"/>
          <w:szCs w:val="36"/>
          <w:rtl/>
        </w:rPr>
        <w:t>"</w:t>
      </w:r>
      <w:r w:rsidR="00E8128F">
        <w:rPr>
          <w:sz w:val="36"/>
          <w:szCs w:val="36"/>
          <w:rtl/>
        </w:rPr>
        <w:t xml:space="preserve"> </w:t>
      </w:r>
      <w:r w:rsidRPr="00FD211F">
        <w:rPr>
          <w:sz w:val="36"/>
          <w:szCs w:val="36"/>
          <w:rtl/>
        </w:rPr>
        <w:t>ا</w:t>
      </w:r>
      <w:r w:rsidR="003279EA" w:rsidRPr="00FD211F">
        <w:rPr>
          <w:sz w:val="36"/>
          <w:szCs w:val="36"/>
          <w:rtl/>
        </w:rPr>
        <w:t>و</w:t>
      </w:r>
      <w:r w:rsidR="004B39B6" w:rsidRPr="00FD211F">
        <w:rPr>
          <w:sz w:val="36"/>
          <w:szCs w:val="36"/>
          <w:rtl/>
        </w:rPr>
        <w:t>قولنا</w:t>
      </w:r>
      <w:r w:rsidR="00E8128F">
        <w:rPr>
          <w:sz w:val="36"/>
          <w:szCs w:val="36"/>
          <w:rtl/>
        </w:rPr>
        <w:t xml:space="preserve"> </w:t>
      </w:r>
      <w:r w:rsidR="004B39B6" w:rsidRPr="00FD211F">
        <w:rPr>
          <w:sz w:val="36"/>
          <w:szCs w:val="36"/>
          <w:rtl/>
        </w:rPr>
        <w:t>"</w:t>
      </w:r>
      <w:r w:rsidR="003279EA" w:rsidRPr="00FD211F">
        <w:rPr>
          <w:sz w:val="36"/>
          <w:szCs w:val="36"/>
          <w:rtl/>
        </w:rPr>
        <w:t>ان</w:t>
      </w:r>
      <w:r w:rsidR="00E8128F">
        <w:rPr>
          <w:sz w:val="36"/>
          <w:szCs w:val="36"/>
          <w:rtl/>
        </w:rPr>
        <w:t xml:space="preserve"> </w:t>
      </w:r>
      <w:r w:rsidR="003279EA" w:rsidRPr="00FD211F">
        <w:rPr>
          <w:sz w:val="36"/>
          <w:szCs w:val="36"/>
          <w:rtl/>
        </w:rPr>
        <w:t>له</w:t>
      </w:r>
      <w:r w:rsidR="00E8128F">
        <w:rPr>
          <w:sz w:val="36"/>
          <w:szCs w:val="36"/>
          <w:rtl/>
        </w:rPr>
        <w:t xml:space="preserve"> </w:t>
      </w:r>
      <w:r w:rsidR="004B39B6" w:rsidRPr="00FD211F">
        <w:rPr>
          <w:sz w:val="36"/>
          <w:szCs w:val="36"/>
          <w:rtl/>
        </w:rPr>
        <w:t>تعالى</w:t>
      </w:r>
      <w:r w:rsidR="00E8128F">
        <w:rPr>
          <w:sz w:val="36"/>
          <w:szCs w:val="36"/>
          <w:rtl/>
        </w:rPr>
        <w:t xml:space="preserve"> </w:t>
      </w:r>
      <w:r w:rsidR="003279EA" w:rsidRPr="00FD211F">
        <w:rPr>
          <w:sz w:val="36"/>
          <w:szCs w:val="36"/>
          <w:rtl/>
        </w:rPr>
        <w:t>العلم</w:t>
      </w:r>
      <w:r w:rsidR="004B39B6" w:rsidRPr="00FD211F">
        <w:rPr>
          <w:sz w:val="36"/>
          <w:szCs w:val="36"/>
          <w:rtl/>
        </w:rPr>
        <w:t>"</w:t>
      </w:r>
      <w:r w:rsidR="00E8128F">
        <w:rPr>
          <w:sz w:val="36"/>
          <w:szCs w:val="36"/>
          <w:rtl/>
        </w:rPr>
        <w:t xml:space="preserve"> </w:t>
      </w:r>
      <w:r w:rsidRPr="00FD211F">
        <w:rPr>
          <w:sz w:val="36"/>
          <w:szCs w:val="36"/>
          <w:rtl/>
        </w:rPr>
        <w:t>استعمال</w:t>
      </w:r>
      <w:r w:rsidR="00E8128F">
        <w:rPr>
          <w:sz w:val="36"/>
          <w:szCs w:val="36"/>
          <w:rtl/>
        </w:rPr>
        <w:t xml:space="preserve"> </w:t>
      </w:r>
      <w:r w:rsidRPr="00FD211F">
        <w:rPr>
          <w:sz w:val="36"/>
          <w:szCs w:val="36"/>
          <w:rtl/>
        </w:rPr>
        <w:t>حقيقي</w:t>
      </w:r>
      <w:r w:rsidR="00E8128F">
        <w:rPr>
          <w:sz w:val="36"/>
          <w:szCs w:val="36"/>
          <w:rtl/>
        </w:rPr>
        <w:t xml:space="preserve"> </w:t>
      </w:r>
      <w:r w:rsidR="004D1C0F" w:rsidRPr="00FD211F">
        <w:rPr>
          <w:sz w:val="36"/>
          <w:szCs w:val="36"/>
          <w:rtl/>
        </w:rPr>
        <w:t>بنظر</w:t>
      </w:r>
      <w:r w:rsidR="00E8128F">
        <w:rPr>
          <w:sz w:val="36"/>
          <w:szCs w:val="36"/>
          <w:rtl/>
        </w:rPr>
        <w:t xml:space="preserve"> </w:t>
      </w:r>
      <w:r w:rsidR="004D1C0F" w:rsidRPr="00FD211F">
        <w:rPr>
          <w:sz w:val="36"/>
          <w:szCs w:val="36"/>
          <w:rtl/>
        </w:rPr>
        <w:t>العرف</w:t>
      </w:r>
      <w:r w:rsidR="00603323" w:rsidRPr="00FD211F">
        <w:rPr>
          <w:sz w:val="36"/>
          <w:szCs w:val="36"/>
          <w:rtl/>
        </w:rPr>
        <w:t>،</w:t>
      </w:r>
      <w:r w:rsidR="00E8128F">
        <w:rPr>
          <w:sz w:val="36"/>
          <w:szCs w:val="36"/>
          <w:rtl/>
        </w:rPr>
        <w:t xml:space="preserve"> </w:t>
      </w:r>
      <w:r w:rsidR="003279EA" w:rsidRPr="00FD211F">
        <w:rPr>
          <w:sz w:val="36"/>
          <w:szCs w:val="36"/>
          <w:rtl/>
        </w:rPr>
        <w:t>ولكن</w:t>
      </w:r>
      <w:r w:rsidR="00E8128F">
        <w:rPr>
          <w:sz w:val="36"/>
          <w:szCs w:val="36"/>
          <w:rtl/>
        </w:rPr>
        <w:t xml:space="preserve"> </w:t>
      </w:r>
      <w:r w:rsidR="003279EA" w:rsidRPr="00FD211F">
        <w:rPr>
          <w:sz w:val="36"/>
          <w:szCs w:val="36"/>
          <w:rtl/>
        </w:rPr>
        <w:t>لايصح</w:t>
      </w:r>
      <w:r w:rsidR="00E8128F">
        <w:rPr>
          <w:sz w:val="36"/>
          <w:szCs w:val="36"/>
          <w:rtl/>
        </w:rPr>
        <w:t xml:space="preserve"> </w:t>
      </w:r>
      <w:r w:rsidR="003279EA" w:rsidRPr="00FD211F">
        <w:rPr>
          <w:sz w:val="36"/>
          <w:szCs w:val="36"/>
          <w:rtl/>
        </w:rPr>
        <w:t>عرفا</w:t>
      </w:r>
      <w:r w:rsidR="00E8128F">
        <w:rPr>
          <w:sz w:val="36"/>
          <w:szCs w:val="36"/>
          <w:rtl/>
        </w:rPr>
        <w:t xml:space="preserve"> </w:t>
      </w:r>
      <w:r w:rsidR="003279EA" w:rsidRPr="00FD211F">
        <w:rPr>
          <w:sz w:val="36"/>
          <w:szCs w:val="36"/>
          <w:rtl/>
        </w:rPr>
        <w:t>ان</w:t>
      </w:r>
      <w:r w:rsidR="00E8128F">
        <w:rPr>
          <w:sz w:val="36"/>
          <w:szCs w:val="36"/>
          <w:rtl/>
        </w:rPr>
        <w:t xml:space="preserve"> </w:t>
      </w:r>
      <w:r w:rsidR="003279EA" w:rsidRPr="00FD211F">
        <w:rPr>
          <w:sz w:val="36"/>
          <w:szCs w:val="36"/>
          <w:rtl/>
        </w:rPr>
        <w:t>يقال</w:t>
      </w:r>
      <w:r w:rsidR="00E8128F">
        <w:rPr>
          <w:sz w:val="36"/>
          <w:szCs w:val="36"/>
          <w:rtl/>
        </w:rPr>
        <w:t xml:space="preserve"> </w:t>
      </w:r>
      <w:r w:rsidR="004B39B6" w:rsidRPr="00FD211F">
        <w:rPr>
          <w:sz w:val="36"/>
          <w:szCs w:val="36"/>
          <w:rtl/>
        </w:rPr>
        <w:t>"</w:t>
      </w:r>
      <w:r w:rsidR="003279EA" w:rsidRPr="00FD211F">
        <w:rPr>
          <w:sz w:val="36"/>
          <w:szCs w:val="36"/>
          <w:rtl/>
        </w:rPr>
        <w:t>العلم</w:t>
      </w:r>
      <w:r w:rsidR="00E8128F">
        <w:rPr>
          <w:sz w:val="36"/>
          <w:szCs w:val="36"/>
          <w:rtl/>
        </w:rPr>
        <w:t xml:space="preserve"> </w:t>
      </w:r>
      <w:r w:rsidR="003279EA" w:rsidRPr="00FD211F">
        <w:rPr>
          <w:sz w:val="36"/>
          <w:szCs w:val="36"/>
          <w:rtl/>
        </w:rPr>
        <w:t>ذو</w:t>
      </w:r>
      <w:r w:rsidR="00E8128F">
        <w:rPr>
          <w:sz w:val="36"/>
          <w:szCs w:val="36"/>
          <w:rtl/>
        </w:rPr>
        <w:t xml:space="preserve"> </w:t>
      </w:r>
      <w:r w:rsidR="003279EA" w:rsidRPr="00FD211F">
        <w:rPr>
          <w:sz w:val="36"/>
          <w:szCs w:val="36"/>
          <w:rtl/>
        </w:rPr>
        <w:t>علم</w:t>
      </w:r>
      <w:r w:rsidR="004B39B6" w:rsidRPr="00FD211F">
        <w:rPr>
          <w:sz w:val="36"/>
          <w:szCs w:val="36"/>
          <w:rtl/>
        </w:rPr>
        <w:t>"</w:t>
      </w:r>
      <w:r w:rsidR="00E8128F">
        <w:rPr>
          <w:sz w:val="36"/>
          <w:szCs w:val="36"/>
          <w:rtl/>
        </w:rPr>
        <w:t xml:space="preserve"> </w:t>
      </w:r>
      <w:r w:rsidR="004B39B6" w:rsidRPr="00FD211F">
        <w:rPr>
          <w:sz w:val="36"/>
          <w:szCs w:val="36"/>
          <w:rtl/>
        </w:rPr>
        <w:t>او</w:t>
      </w:r>
      <w:r w:rsidR="00E8128F">
        <w:rPr>
          <w:sz w:val="36"/>
          <w:szCs w:val="36"/>
          <w:rtl/>
        </w:rPr>
        <w:t xml:space="preserve"> </w:t>
      </w:r>
      <w:r w:rsidR="004B39B6" w:rsidRPr="00FD211F">
        <w:rPr>
          <w:sz w:val="36"/>
          <w:szCs w:val="36"/>
          <w:rtl/>
        </w:rPr>
        <w:t>يقال</w:t>
      </w:r>
      <w:r w:rsidR="00E8128F">
        <w:rPr>
          <w:sz w:val="36"/>
          <w:szCs w:val="36"/>
          <w:rtl/>
        </w:rPr>
        <w:t xml:space="preserve"> </w:t>
      </w:r>
      <w:r w:rsidR="004B39B6" w:rsidRPr="00FD211F">
        <w:rPr>
          <w:sz w:val="36"/>
          <w:szCs w:val="36"/>
          <w:rtl/>
        </w:rPr>
        <w:t>"</w:t>
      </w:r>
      <w:r w:rsidR="003279EA" w:rsidRPr="00FD211F">
        <w:rPr>
          <w:sz w:val="36"/>
          <w:szCs w:val="36"/>
          <w:rtl/>
        </w:rPr>
        <w:t>القيام</w:t>
      </w:r>
      <w:r w:rsidR="00E8128F">
        <w:rPr>
          <w:sz w:val="36"/>
          <w:szCs w:val="36"/>
          <w:rtl/>
        </w:rPr>
        <w:t xml:space="preserve"> </w:t>
      </w:r>
      <w:r w:rsidR="003279EA" w:rsidRPr="00FD211F">
        <w:rPr>
          <w:sz w:val="36"/>
          <w:szCs w:val="36"/>
          <w:rtl/>
        </w:rPr>
        <w:t>ذو</w:t>
      </w:r>
      <w:r w:rsidR="00E8128F">
        <w:rPr>
          <w:sz w:val="36"/>
          <w:szCs w:val="36"/>
          <w:rtl/>
        </w:rPr>
        <w:t xml:space="preserve"> </w:t>
      </w:r>
      <w:r w:rsidR="003279EA" w:rsidRPr="00FD211F">
        <w:rPr>
          <w:sz w:val="36"/>
          <w:szCs w:val="36"/>
          <w:rtl/>
        </w:rPr>
        <w:t>قيام</w:t>
      </w:r>
      <w:r w:rsidR="004B39B6" w:rsidRPr="00FD211F">
        <w:rPr>
          <w:sz w:val="36"/>
          <w:szCs w:val="36"/>
          <w:rtl/>
        </w:rPr>
        <w:t>"</w:t>
      </w:r>
      <w:r w:rsidR="00E8128F">
        <w:rPr>
          <w:sz w:val="36"/>
          <w:szCs w:val="36"/>
          <w:rtl/>
        </w:rPr>
        <w:t xml:space="preserve"> </w:t>
      </w:r>
      <w:r w:rsidR="004B39B6" w:rsidRPr="00FD211F">
        <w:rPr>
          <w:sz w:val="36"/>
          <w:szCs w:val="36"/>
          <w:rtl/>
        </w:rPr>
        <w:t>ا</w:t>
      </w:r>
      <w:r w:rsidR="003279EA" w:rsidRPr="00FD211F">
        <w:rPr>
          <w:sz w:val="36"/>
          <w:szCs w:val="36"/>
          <w:rtl/>
        </w:rPr>
        <w:t>و</w:t>
      </w:r>
      <w:r w:rsidR="00E8128F">
        <w:rPr>
          <w:sz w:val="36"/>
          <w:szCs w:val="36"/>
          <w:rtl/>
        </w:rPr>
        <w:t xml:space="preserve"> </w:t>
      </w:r>
      <w:r w:rsidR="004B39B6" w:rsidRPr="00FD211F">
        <w:rPr>
          <w:sz w:val="36"/>
          <w:szCs w:val="36"/>
          <w:rtl/>
        </w:rPr>
        <w:t>يقال</w:t>
      </w:r>
      <w:r w:rsidR="00E8128F">
        <w:rPr>
          <w:sz w:val="36"/>
          <w:szCs w:val="36"/>
          <w:rtl/>
        </w:rPr>
        <w:t xml:space="preserve"> </w:t>
      </w:r>
      <w:r w:rsidR="004B39B6" w:rsidRPr="00FD211F">
        <w:rPr>
          <w:sz w:val="36"/>
          <w:szCs w:val="36"/>
          <w:rtl/>
        </w:rPr>
        <w:t>"</w:t>
      </w:r>
      <w:r w:rsidR="003279EA" w:rsidRPr="00FD211F">
        <w:rPr>
          <w:sz w:val="36"/>
          <w:szCs w:val="36"/>
          <w:rtl/>
        </w:rPr>
        <w:t>الوجود</w:t>
      </w:r>
      <w:r w:rsidR="00E8128F">
        <w:rPr>
          <w:sz w:val="36"/>
          <w:szCs w:val="36"/>
          <w:rtl/>
        </w:rPr>
        <w:t xml:space="preserve"> </w:t>
      </w:r>
      <w:r w:rsidR="003279EA" w:rsidRPr="00FD211F">
        <w:rPr>
          <w:sz w:val="36"/>
          <w:szCs w:val="36"/>
          <w:rtl/>
        </w:rPr>
        <w:t>ذو</w:t>
      </w:r>
      <w:r w:rsidR="00E8128F">
        <w:rPr>
          <w:sz w:val="36"/>
          <w:szCs w:val="36"/>
          <w:rtl/>
        </w:rPr>
        <w:t xml:space="preserve"> </w:t>
      </w:r>
      <w:r w:rsidR="003279EA" w:rsidRPr="00FD211F">
        <w:rPr>
          <w:sz w:val="36"/>
          <w:szCs w:val="36"/>
          <w:rtl/>
        </w:rPr>
        <w:t>وجود</w:t>
      </w:r>
      <w:r w:rsidR="004B39B6" w:rsidRPr="00FD211F">
        <w:rPr>
          <w:sz w:val="36"/>
          <w:szCs w:val="36"/>
          <w:rtl/>
        </w:rPr>
        <w:t>"</w:t>
      </w:r>
      <w:r w:rsidR="00E8128F">
        <w:rPr>
          <w:sz w:val="36"/>
          <w:szCs w:val="36"/>
          <w:rtl/>
        </w:rPr>
        <w:t xml:space="preserve"> </w:t>
      </w:r>
      <w:r w:rsidR="003279EA" w:rsidRPr="00FD211F">
        <w:rPr>
          <w:sz w:val="36"/>
          <w:szCs w:val="36"/>
          <w:rtl/>
        </w:rPr>
        <w:t>كما</w:t>
      </w:r>
      <w:r w:rsidR="00E8128F">
        <w:rPr>
          <w:sz w:val="36"/>
          <w:szCs w:val="36"/>
          <w:rtl/>
        </w:rPr>
        <w:t xml:space="preserve"> </w:t>
      </w:r>
      <w:r w:rsidR="003279EA" w:rsidRPr="00FD211F">
        <w:rPr>
          <w:sz w:val="36"/>
          <w:szCs w:val="36"/>
          <w:rtl/>
        </w:rPr>
        <w:t>لايصح</w:t>
      </w:r>
      <w:r w:rsidR="00E8128F">
        <w:rPr>
          <w:sz w:val="36"/>
          <w:szCs w:val="36"/>
          <w:rtl/>
        </w:rPr>
        <w:t xml:space="preserve"> </w:t>
      </w:r>
      <w:r w:rsidR="003279EA" w:rsidRPr="00FD211F">
        <w:rPr>
          <w:sz w:val="36"/>
          <w:szCs w:val="36"/>
          <w:rtl/>
        </w:rPr>
        <w:t>ان</w:t>
      </w:r>
      <w:r w:rsidR="00E8128F">
        <w:rPr>
          <w:sz w:val="36"/>
          <w:szCs w:val="36"/>
          <w:rtl/>
        </w:rPr>
        <w:t xml:space="preserve"> </w:t>
      </w:r>
      <w:r w:rsidR="003279EA" w:rsidRPr="00FD211F">
        <w:rPr>
          <w:sz w:val="36"/>
          <w:szCs w:val="36"/>
          <w:rtl/>
        </w:rPr>
        <w:t>يقال</w:t>
      </w:r>
      <w:r w:rsidR="00E8128F">
        <w:rPr>
          <w:sz w:val="36"/>
          <w:szCs w:val="36"/>
          <w:rtl/>
        </w:rPr>
        <w:t xml:space="preserve"> </w:t>
      </w:r>
      <w:r w:rsidR="004B39B6" w:rsidRPr="00FD211F">
        <w:rPr>
          <w:sz w:val="36"/>
          <w:szCs w:val="36"/>
          <w:rtl/>
        </w:rPr>
        <w:t>"</w:t>
      </w:r>
      <w:r w:rsidR="003279EA" w:rsidRPr="00FD211F">
        <w:rPr>
          <w:sz w:val="36"/>
          <w:szCs w:val="36"/>
          <w:rtl/>
        </w:rPr>
        <w:t>العلم</w:t>
      </w:r>
      <w:r w:rsidR="00E8128F">
        <w:rPr>
          <w:sz w:val="36"/>
          <w:szCs w:val="36"/>
          <w:rtl/>
        </w:rPr>
        <w:t xml:space="preserve"> </w:t>
      </w:r>
      <w:r w:rsidR="003279EA" w:rsidRPr="00FD211F">
        <w:rPr>
          <w:sz w:val="36"/>
          <w:szCs w:val="36"/>
          <w:rtl/>
        </w:rPr>
        <w:t>عالم</w:t>
      </w:r>
      <w:r w:rsidR="004B39B6" w:rsidRPr="00FD211F">
        <w:rPr>
          <w:sz w:val="36"/>
          <w:szCs w:val="36"/>
          <w:rtl/>
        </w:rPr>
        <w:t>"</w:t>
      </w:r>
      <w:r w:rsidR="00E8128F">
        <w:rPr>
          <w:sz w:val="36"/>
          <w:szCs w:val="36"/>
          <w:rtl/>
        </w:rPr>
        <w:t xml:space="preserve"> </w:t>
      </w:r>
      <w:r w:rsidR="003279EA" w:rsidRPr="00FD211F">
        <w:rPr>
          <w:sz w:val="36"/>
          <w:szCs w:val="36"/>
          <w:rtl/>
        </w:rPr>
        <w:t>و</w:t>
      </w:r>
      <w:r w:rsidR="00E8128F">
        <w:rPr>
          <w:sz w:val="36"/>
          <w:szCs w:val="36"/>
          <w:rtl/>
        </w:rPr>
        <w:t xml:space="preserve"> </w:t>
      </w:r>
      <w:r w:rsidR="004B39B6" w:rsidRPr="00FD211F">
        <w:rPr>
          <w:sz w:val="36"/>
          <w:szCs w:val="36"/>
          <w:rtl/>
        </w:rPr>
        <w:t>"</w:t>
      </w:r>
      <w:r w:rsidR="003279EA" w:rsidRPr="00FD211F">
        <w:rPr>
          <w:sz w:val="36"/>
          <w:szCs w:val="36"/>
          <w:rtl/>
        </w:rPr>
        <w:t>القيام</w:t>
      </w:r>
      <w:r w:rsidR="00E8128F">
        <w:rPr>
          <w:sz w:val="36"/>
          <w:szCs w:val="36"/>
          <w:rtl/>
        </w:rPr>
        <w:t xml:space="preserve"> </w:t>
      </w:r>
      <w:r w:rsidR="003279EA" w:rsidRPr="00FD211F">
        <w:rPr>
          <w:sz w:val="36"/>
          <w:szCs w:val="36"/>
          <w:rtl/>
        </w:rPr>
        <w:t>قائم</w:t>
      </w:r>
      <w:r w:rsidR="004B39B6" w:rsidRPr="00FD211F">
        <w:rPr>
          <w:sz w:val="36"/>
          <w:szCs w:val="36"/>
          <w:rtl/>
        </w:rPr>
        <w:t>"</w:t>
      </w:r>
      <w:r w:rsidR="00603323" w:rsidRPr="00FD211F">
        <w:rPr>
          <w:sz w:val="36"/>
          <w:szCs w:val="36"/>
          <w:rtl/>
        </w:rPr>
        <w:t>،</w:t>
      </w:r>
      <w:r w:rsidR="00E8128F">
        <w:rPr>
          <w:sz w:val="36"/>
          <w:szCs w:val="36"/>
          <w:rtl/>
        </w:rPr>
        <w:t xml:space="preserve"> </w:t>
      </w:r>
      <w:r w:rsidR="003279EA" w:rsidRPr="00FD211F">
        <w:rPr>
          <w:sz w:val="36"/>
          <w:szCs w:val="36"/>
          <w:rtl/>
        </w:rPr>
        <w:t>وكون</w:t>
      </w:r>
      <w:r w:rsidR="00E8128F">
        <w:rPr>
          <w:sz w:val="36"/>
          <w:szCs w:val="36"/>
          <w:rtl/>
        </w:rPr>
        <w:t xml:space="preserve"> </w:t>
      </w:r>
      <w:r w:rsidR="003279EA" w:rsidRPr="00FD211F">
        <w:rPr>
          <w:sz w:val="36"/>
          <w:szCs w:val="36"/>
          <w:rtl/>
        </w:rPr>
        <w:t>قولنا</w:t>
      </w:r>
      <w:r w:rsidR="00E8128F">
        <w:rPr>
          <w:sz w:val="36"/>
          <w:szCs w:val="36"/>
          <w:rtl/>
        </w:rPr>
        <w:t xml:space="preserve"> </w:t>
      </w:r>
      <w:r w:rsidR="004B39B6" w:rsidRPr="00FD211F">
        <w:rPr>
          <w:sz w:val="36"/>
          <w:szCs w:val="36"/>
          <w:rtl/>
        </w:rPr>
        <w:t>"</w:t>
      </w:r>
      <w:r w:rsidR="003279EA" w:rsidRPr="00FD211F">
        <w:rPr>
          <w:sz w:val="36"/>
          <w:szCs w:val="36"/>
          <w:rtl/>
        </w:rPr>
        <w:t>الله</w:t>
      </w:r>
      <w:r w:rsidR="00E8128F">
        <w:rPr>
          <w:sz w:val="36"/>
          <w:szCs w:val="36"/>
          <w:rtl/>
        </w:rPr>
        <w:t xml:space="preserve"> </w:t>
      </w:r>
      <w:r w:rsidR="003279EA" w:rsidRPr="00FD211F">
        <w:rPr>
          <w:sz w:val="36"/>
          <w:szCs w:val="36"/>
          <w:rtl/>
        </w:rPr>
        <w:t>عالم</w:t>
      </w:r>
      <w:r w:rsidR="004B39B6" w:rsidRPr="00FD211F">
        <w:rPr>
          <w:sz w:val="36"/>
          <w:szCs w:val="36"/>
          <w:rtl/>
        </w:rPr>
        <w:t>"</w:t>
      </w:r>
      <w:r w:rsidR="00E8128F">
        <w:rPr>
          <w:sz w:val="36"/>
          <w:szCs w:val="36"/>
          <w:rtl/>
        </w:rPr>
        <w:t xml:space="preserve"> </w:t>
      </w:r>
      <w:r w:rsidR="003279EA" w:rsidRPr="00FD211F">
        <w:rPr>
          <w:sz w:val="36"/>
          <w:szCs w:val="36"/>
          <w:rtl/>
        </w:rPr>
        <w:t>او</w:t>
      </w:r>
      <w:r w:rsidR="00E8128F">
        <w:rPr>
          <w:sz w:val="36"/>
          <w:szCs w:val="36"/>
          <w:rtl/>
        </w:rPr>
        <w:t xml:space="preserve"> </w:t>
      </w:r>
      <w:r w:rsidR="004B39B6" w:rsidRPr="00FD211F">
        <w:rPr>
          <w:sz w:val="36"/>
          <w:szCs w:val="36"/>
          <w:rtl/>
        </w:rPr>
        <w:t>"انه</w:t>
      </w:r>
      <w:r w:rsidR="00E8128F">
        <w:rPr>
          <w:sz w:val="36"/>
          <w:szCs w:val="36"/>
          <w:rtl/>
        </w:rPr>
        <w:t xml:space="preserve"> </w:t>
      </w:r>
      <w:r w:rsidR="004B39B6" w:rsidRPr="00FD211F">
        <w:rPr>
          <w:sz w:val="36"/>
          <w:szCs w:val="36"/>
          <w:rtl/>
        </w:rPr>
        <w:t>تعالى</w:t>
      </w:r>
      <w:r w:rsidR="00E8128F">
        <w:rPr>
          <w:sz w:val="36"/>
          <w:szCs w:val="36"/>
          <w:rtl/>
        </w:rPr>
        <w:t xml:space="preserve"> </w:t>
      </w:r>
      <w:r w:rsidR="003279EA" w:rsidRPr="00FD211F">
        <w:rPr>
          <w:sz w:val="36"/>
          <w:szCs w:val="36"/>
          <w:rtl/>
        </w:rPr>
        <w:t>ذو</w:t>
      </w:r>
      <w:r w:rsidR="00E8128F">
        <w:rPr>
          <w:sz w:val="36"/>
          <w:szCs w:val="36"/>
          <w:rtl/>
        </w:rPr>
        <w:t xml:space="preserve"> </w:t>
      </w:r>
      <w:r w:rsidR="003279EA" w:rsidRPr="00FD211F">
        <w:rPr>
          <w:sz w:val="36"/>
          <w:szCs w:val="36"/>
          <w:rtl/>
        </w:rPr>
        <w:t>علم</w:t>
      </w:r>
      <w:r w:rsidR="004B39B6" w:rsidRPr="00FD211F">
        <w:rPr>
          <w:sz w:val="36"/>
          <w:szCs w:val="36"/>
          <w:rtl/>
        </w:rPr>
        <w:t>"</w:t>
      </w:r>
      <w:r w:rsidR="00E8128F">
        <w:rPr>
          <w:sz w:val="36"/>
          <w:szCs w:val="36"/>
          <w:rtl/>
        </w:rPr>
        <w:t xml:space="preserve"> </w:t>
      </w:r>
      <w:r w:rsidR="003279EA" w:rsidRPr="00FD211F">
        <w:rPr>
          <w:sz w:val="36"/>
          <w:szCs w:val="36"/>
          <w:rtl/>
        </w:rPr>
        <w:t>او</w:t>
      </w:r>
      <w:r w:rsidR="00E8128F">
        <w:rPr>
          <w:sz w:val="36"/>
          <w:szCs w:val="36"/>
          <w:rtl/>
        </w:rPr>
        <w:t xml:space="preserve"> </w:t>
      </w:r>
      <w:r w:rsidR="004B39B6" w:rsidRPr="00FD211F">
        <w:rPr>
          <w:sz w:val="36"/>
          <w:szCs w:val="36"/>
          <w:rtl/>
        </w:rPr>
        <w:t>"</w:t>
      </w:r>
      <w:r w:rsidR="003279EA" w:rsidRPr="00FD211F">
        <w:rPr>
          <w:sz w:val="36"/>
          <w:szCs w:val="36"/>
          <w:rtl/>
        </w:rPr>
        <w:t>ان</w:t>
      </w:r>
      <w:r w:rsidR="00E8128F">
        <w:rPr>
          <w:sz w:val="36"/>
          <w:szCs w:val="36"/>
          <w:rtl/>
        </w:rPr>
        <w:t xml:space="preserve"> </w:t>
      </w:r>
      <w:r w:rsidR="003279EA" w:rsidRPr="00FD211F">
        <w:rPr>
          <w:sz w:val="36"/>
          <w:szCs w:val="36"/>
          <w:rtl/>
        </w:rPr>
        <w:t>العلم</w:t>
      </w:r>
      <w:r w:rsidR="00E8128F">
        <w:rPr>
          <w:sz w:val="36"/>
          <w:szCs w:val="36"/>
          <w:rtl/>
        </w:rPr>
        <w:t xml:space="preserve"> </w:t>
      </w:r>
      <w:r w:rsidR="003279EA" w:rsidRPr="00FD211F">
        <w:rPr>
          <w:sz w:val="36"/>
          <w:szCs w:val="36"/>
          <w:rtl/>
        </w:rPr>
        <w:t>ثابت</w:t>
      </w:r>
      <w:r w:rsidR="00E8128F">
        <w:rPr>
          <w:sz w:val="36"/>
          <w:szCs w:val="36"/>
          <w:rtl/>
        </w:rPr>
        <w:t xml:space="preserve"> </w:t>
      </w:r>
      <w:r w:rsidR="003279EA" w:rsidRPr="00FD211F">
        <w:rPr>
          <w:sz w:val="36"/>
          <w:szCs w:val="36"/>
          <w:rtl/>
        </w:rPr>
        <w:t>له</w:t>
      </w:r>
      <w:r w:rsidR="00E8128F">
        <w:rPr>
          <w:sz w:val="36"/>
          <w:szCs w:val="36"/>
          <w:rtl/>
        </w:rPr>
        <w:t xml:space="preserve"> </w:t>
      </w:r>
      <w:r w:rsidR="003279EA" w:rsidRPr="00FD211F">
        <w:rPr>
          <w:sz w:val="36"/>
          <w:szCs w:val="36"/>
          <w:rtl/>
        </w:rPr>
        <w:t>تعالى</w:t>
      </w:r>
      <w:r w:rsidR="004B39B6" w:rsidRPr="00FD211F">
        <w:rPr>
          <w:sz w:val="36"/>
          <w:szCs w:val="36"/>
          <w:rtl/>
        </w:rPr>
        <w:t>"</w:t>
      </w:r>
      <w:r w:rsidR="00E8128F">
        <w:rPr>
          <w:sz w:val="36"/>
          <w:szCs w:val="36"/>
          <w:rtl/>
        </w:rPr>
        <w:t xml:space="preserve"> </w:t>
      </w:r>
      <w:r w:rsidR="004B39B6" w:rsidRPr="00FD211F">
        <w:rPr>
          <w:sz w:val="36"/>
          <w:szCs w:val="36"/>
          <w:rtl/>
        </w:rPr>
        <w:t>حقيق</w:t>
      </w:r>
      <w:r w:rsidR="00EC7EDF" w:rsidRPr="00FD211F">
        <w:rPr>
          <w:sz w:val="36"/>
          <w:szCs w:val="36"/>
          <w:rtl/>
        </w:rPr>
        <w:t>ة</w:t>
      </w:r>
      <w:r w:rsidR="00E8128F">
        <w:rPr>
          <w:sz w:val="36"/>
          <w:szCs w:val="36"/>
          <w:rtl/>
        </w:rPr>
        <w:t xml:space="preserve"> </w:t>
      </w:r>
      <w:r w:rsidR="004B39B6" w:rsidRPr="00FD211F">
        <w:rPr>
          <w:sz w:val="36"/>
          <w:szCs w:val="36"/>
          <w:rtl/>
        </w:rPr>
        <w:t>ليس</w:t>
      </w:r>
      <w:r w:rsidR="00E8128F">
        <w:rPr>
          <w:sz w:val="36"/>
          <w:szCs w:val="36"/>
          <w:rtl/>
        </w:rPr>
        <w:t xml:space="preserve"> </w:t>
      </w:r>
      <w:r w:rsidR="003279EA" w:rsidRPr="00FD211F">
        <w:rPr>
          <w:sz w:val="36"/>
          <w:szCs w:val="36"/>
          <w:rtl/>
        </w:rPr>
        <w:t>لأجل</w:t>
      </w:r>
      <w:r w:rsidR="00E8128F">
        <w:rPr>
          <w:sz w:val="36"/>
          <w:szCs w:val="36"/>
          <w:rtl/>
        </w:rPr>
        <w:t xml:space="preserve"> </w:t>
      </w:r>
      <w:r w:rsidR="003279EA" w:rsidRPr="00FD211F">
        <w:rPr>
          <w:sz w:val="36"/>
          <w:szCs w:val="36"/>
          <w:rtl/>
        </w:rPr>
        <w:t>ما</w:t>
      </w:r>
      <w:r w:rsidR="00E8128F">
        <w:rPr>
          <w:sz w:val="36"/>
          <w:szCs w:val="36"/>
          <w:rtl/>
        </w:rPr>
        <w:t xml:space="preserve"> </w:t>
      </w:r>
      <w:r w:rsidR="003279EA" w:rsidRPr="00FD211F">
        <w:rPr>
          <w:sz w:val="36"/>
          <w:szCs w:val="36"/>
          <w:rtl/>
        </w:rPr>
        <w:t>ذكره</w:t>
      </w:r>
      <w:r w:rsidR="00E8128F">
        <w:rPr>
          <w:sz w:val="36"/>
          <w:szCs w:val="36"/>
          <w:rtl/>
        </w:rPr>
        <w:t xml:space="preserve"> </w:t>
      </w:r>
      <w:r w:rsidR="003279EA" w:rsidRPr="00FD211F">
        <w:rPr>
          <w:sz w:val="36"/>
          <w:szCs w:val="36"/>
          <w:rtl/>
        </w:rPr>
        <w:t>صاحب</w:t>
      </w:r>
      <w:r w:rsidR="00E8128F">
        <w:rPr>
          <w:sz w:val="36"/>
          <w:szCs w:val="36"/>
          <w:rtl/>
        </w:rPr>
        <w:t xml:space="preserve"> </w:t>
      </w:r>
      <w:r w:rsidR="003279EA" w:rsidRPr="00FD211F">
        <w:rPr>
          <w:sz w:val="36"/>
          <w:szCs w:val="36"/>
          <w:rtl/>
        </w:rPr>
        <w:t>الكفاي</w:t>
      </w:r>
      <w:r w:rsidR="00EC7EDF" w:rsidRPr="00FD211F">
        <w:rPr>
          <w:sz w:val="36"/>
          <w:szCs w:val="36"/>
          <w:rtl/>
        </w:rPr>
        <w:t>ة</w:t>
      </w:r>
      <w:r w:rsidR="00E8128F">
        <w:rPr>
          <w:sz w:val="36"/>
          <w:szCs w:val="36"/>
          <w:rtl/>
        </w:rPr>
        <w:t xml:space="preserve"> </w:t>
      </w:r>
      <w:r w:rsidR="00315FAC" w:rsidRPr="00FD211F">
        <w:rPr>
          <w:sz w:val="36"/>
          <w:szCs w:val="36"/>
          <w:rtl/>
        </w:rPr>
        <w:t>"قده"</w:t>
      </w:r>
      <w:r w:rsidR="00E8128F">
        <w:rPr>
          <w:sz w:val="36"/>
          <w:szCs w:val="36"/>
          <w:rtl/>
        </w:rPr>
        <w:t xml:space="preserve"> </w:t>
      </w:r>
      <w:r w:rsidR="003279EA" w:rsidRPr="00FD211F">
        <w:rPr>
          <w:sz w:val="36"/>
          <w:szCs w:val="36"/>
          <w:rtl/>
        </w:rPr>
        <w:t>من</w:t>
      </w:r>
      <w:r w:rsidR="00E8128F">
        <w:rPr>
          <w:sz w:val="36"/>
          <w:szCs w:val="36"/>
          <w:rtl/>
        </w:rPr>
        <w:t xml:space="preserve"> </w:t>
      </w:r>
      <w:r w:rsidR="003279EA" w:rsidRPr="00FD211F">
        <w:rPr>
          <w:sz w:val="36"/>
          <w:szCs w:val="36"/>
          <w:rtl/>
        </w:rPr>
        <w:t>كفاي</w:t>
      </w:r>
      <w:r w:rsidR="00EC7EDF" w:rsidRPr="00FD211F">
        <w:rPr>
          <w:sz w:val="36"/>
          <w:szCs w:val="36"/>
          <w:rtl/>
        </w:rPr>
        <w:t>ة</w:t>
      </w:r>
      <w:r w:rsidR="00E8128F">
        <w:rPr>
          <w:sz w:val="36"/>
          <w:szCs w:val="36"/>
          <w:rtl/>
        </w:rPr>
        <w:t xml:space="preserve"> </w:t>
      </w:r>
      <w:r w:rsidR="003279EA" w:rsidRPr="00FD211F">
        <w:rPr>
          <w:sz w:val="36"/>
          <w:szCs w:val="36"/>
          <w:rtl/>
        </w:rPr>
        <w:t>التغاير</w:t>
      </w:r>
      <w:r w:rsidR="00E8128F">
        <w:rPr>
          <w:sz w:val="36"/>
          <w:szCs w:val="36"/>
          <w:rtl/>
        </w:rPr>
        <w:t xml:space="preserve"> </w:t>
      </w:r>
      <w:r w:rsidR="003279EA" w:rsidRPr="00FD211F">
        <w:rPr>
          <w:sz w:val="36"/>
          <w:szCs w:val="36"/>
          <w:rtl/>
        </w:rPr>
        <w:t>المفهومي</w:t>
      </w:r>
      <w:r w:rsidR="00E8128F">
        <w:rPr>
          <w:sz w:val="36"/>
          <w:szCs w:val="36"/>
          <w:rtl/>
        </w:rPr>
        <w:t xml:space="preserve"> </w:t>
      </w:r>
      <w:r w:rsidR="003279EA" w:rsidRPr="00FD211F">
        <w:rPr>
          <w:sz w:val="36"/>
          <w:szCs w:val="36"/>
          <w:rtl/>
        </w:rPr>
        <w:t>بين</w:t>
      </w:r>
      <w:r w:rsidR="00E8128F">
        <w:rPr>
          <w:sz w:val="36"/>
          <w:szCs w:val="36"/>
          <w:rtl/>
        </w:rPr>
        <w:t xml:space="preserve"> </w:t>
      </w:r>
      <w:r w:rsidR="003279EA" w:rsidRPr="00FD211F">
        <w:rPr>
          <w:sz w:val="36"/>
          <w:szCs w:val="36"/>
          <w:rtl/>
        </w:rPr>
        <w:t>الذات</w:t>
      </w:r>
      <w:r w:rsidR="00E8128F">
        <w:rPr>
          <w:sz w:val="36"/>
          <w:szCs w:val="36"/>
          <w:rtl/>
        </w:rPr>
        <w:t xml:space="preserve"> </w:t>
      </w:r>
      <w:r w:rsidR="003279EA" w:rsidRPr="00FD211F">
        <w:rPr>
          <w:sz w:val="36"/>
          <w:szCs w:val="36"/>
          <w:rtl/>
        </w:rPr>
        <w:t>وال</w:t>
      </w:r>
      <w:r w:rsidR="0079493B" w:rsidRPr="00FD211F">
        <w:rPr>
          <w:sz w:val="36"/>
          <w:szCs w:val="36"/>
          <w:rtl/>
        </w:rPr>
        <w:t>مبدأ</w:t>
      </w:r>
      <w:r w:rsidR="00E8128F">
        <w:rPr>
          <w:sz w:val="36"/>
          <w:szCs w:val="36"/>
          <w:rtl/>
        </w:rPr>
        <w:t xml:space="preserve"> </w:t>
      </w:r>
      <w:r w:rsidR="003279EA" w:rsidRPr="00FD211F">
        <w:rPr>
          <w:sz w:val="36"/>
          <w:szCs w:val="36"/>
          <w:rtl/>
        </w:rPr>
        <w:t>فانه</w:t>
      </w:r>
      <w:r w:rsidR="00E8128F">
        <w:rPr>
          <w:sz w:val="36"/>
          <w:szCs w:val="36"/>
          <w:rtl/>
        </w:rPr>
        <w:t xml:space="preserve"> </w:t>
      </w:r>
      <w:r w:rsidR="003279EA" w:rsidRPr="00FD211F">
        <w:rPr>
          <w:sz w:val="36"/>
          <w:szCs w:val="36"/>
          <w:rtl/>
        </w:rPr>
        <w:t>حيث</w:t>
      </w:r>
      <w:r w:rsidR="00E8128F">
        <w:rPr>
          <w:sz w:val="36"/>
          <w:szCs w:val="36"/>
          <w:rtl/>
        </w:rPr>
        <w:t xml:space="preserve"> </w:t>
      </w:r>
      <w:r w:rsidR="003279EA" w:rsidRPr="00FD211F">
        <w:rPr>
          <w:sz w:val="36"/>
          <w:szCs w:val="36"/>
          <w:rtl/>
        </w:rPr>
        <w:t>ي</w:t>
      </w:r>
      <w:r w:rsidR="000D47FF" w:rsidRPr="00FD211F">
        <w:rPr>
          <w:sz w:val="36"/>
          <w:szCs w:val="36"/>
          <w:rtl/>
        </w:rPr>
        <w:t>ُ</w:t>
      </w:r>
      <w:r w:rsidR="003279EA" w:rsidRPr="00FD211F">
        <w:rPr>
          <w:sz w:val="36"/>
          <w:szCs w:val="36"/>
          <w:rtl/>
        </w:rPr>
        <w:t>لح</w:t>
      </w:r>
      <w:r w:rsidR="000D47FF" w:rsidRPr="00FD211F">
        <w:rPr>
          <w:sz w:val="36"/>
          <w:szCs w:val="36"/>
          <w:rtl/>
        </w:rPr>
        <w:t>َظ</w:t>
      </w:r>
      <w:r w:rsidR="00E8128F">
        <w:rPr>
          <w:sz w:val="36"/>
          <w:szCs w:val="36"/>
          <w:rtl/>
        </w:rPr>
        <w:t xml:space="preserve"> </w:t>
      </w:r>
      <w:r w:rsidR="003279EA" w:rsidRPr="00FD211F">
        <w:rPr>
          <w:sz w:val="36"/>
          <w:szCs w:val="36"/>
          <w:rtl/>
        </w:rPr>
        <w:t>المفهوم</w:t>
      </w:r>
      <w:r w:rsidR="00E8128F">
        <w:rPr>
          <w:sz w:val="36"/>
          <w:szCs w:val="36"/>
          <w:rtl/>
        </w:rPr>
        <w:t xml:space="preserve"> </w:t>
      </w:r>
      <w:r w:rsidR="003279EA" w:rsidRPr="00FD211F">
        <w:rPr>
          <w:sz w:val="36"/>
          <w:szCs w:val="36"/>
          <w:rtl/>
        </w:rPr>
        <w:t>فانيا</w:t>
      </w:r>
      <w:r w:rsidR="00E8128F">
        <w:rPr>
          <w:sz w:val="36"/>
          <w:szCs w:val="36"/>
          <w:rtl/>
        </w:rPr>
        <w:t xml:space="preserve"> </w:t>
      </w:r>
      <w:r w:rsidR="003279EA" w:rsidRPr="00FD211F">
        <w:rPr>
          <w:sz w:val="36"/>
          <w:szCs w:val="36"/>
          <w:rtl/>
        </w:rPr>
        <w:t>في</w:t>
      </w:r>
      <w:r w:rsidR="00E8128F">
        <w:rPr>
          <w:sz w:val="36"/>
          <w:szCs w:val="36"/>
          <w:rtl/>
        </w:rPr>
        <w:t xml:space="preserve"> </w:t>
      </w:r>
      <w:r w:rsidR="003279EA" w:rsidRPr="00FD211F">
        <w:rPr>
          <w:sz w:val="36"/>
          <w:szCs w:val="36"/>
          <w:rtl/>
        </w:rPr>
        <w:t>مصداقه</w:t>
      </w:r>
      <w:r w:rsidR="00E8128F">
        <w:rPr>
          <w:sz w:val="36"/>
          <w:szCs w:val="36"/>
          <w:rtl/>
        </w:rPr>
        <w:t xml:space="preserve"> </w:t>
      </w:r>
      <w:r w:rsidR="003279EA" w:rsidRPr="00FD211F">
        <w:rPr>
          <w:sz w:val="36"/>
          <w:szCs w:val="36"/>
          <w:rtl/>
        </w:rPr>
        <w:t>في</w:t>
      </w:r>
      <w:r w:rsidR="00E8128F">
        <w:rPr>
          <w:sz w:val="36"/>
          <w:szCs w:val="36"/>
          <w:rtl/>
        </w:rPr>
        <w:t xml:space="preserve"> </w:t>
      </w:r>
      <w:r w:rsidR="003279EA" w:rsidRPr="00FD211F">
        <w:rPr>
          <w:sz w:val="36"/>
          <w:szCs w:val="36"/>
          <w:rtl/>
        </w:rPr>
        <w:t>م</w:t>
      </w:r>
      <w:r w:rsidR="000D47FF" w:rsidRPr="00FD211F">
        <w:rPr>
          <w:sz w:val="36"/>
          <w:szCs w:val="36"/>
          <w:rtl/>
        </w:rPr>
        <w:t>قام</w:t>
      </w:r>
      <w:r w:rsidR="00E8128F">
        <w:rPr>
          <w:sz w:val="36"/>
          <w:szCs w:val="36"/>
          <w:rtl/>
        </w:rPr>
        <w:t xml:space="preserve"> </w:t>
      </w:r>
      <w:r w:rsidR="000D47FF" w:rsidRPr="00FD211F">
        <w:rPr>
          <w:sz w:val="36"/>
          <w:szCs w:val="36"/>
          <w:rtl/>
        </w:rPr>
        <w:t>الحمل</w:t>
      </w:r>
      <w:r w:rsidR="00E8128F">
        <w:rPr>
          <w:sz w:val="36"/>
          <w:szCs w:val="36"/>
          <w:rtl/>
        </w:rPr>
        <w:t xml:space="preserve"> </w:t>
      </w:r>
      <w:r w:rsidR="000D47FF" w:rsidRPr="00FD211F">
        <w:rPr>
          <w:sz w:val="36"/>
          <w:szCs w:val="36"/>
          <w:rtl/>
        </w:rPr>
        <w:t>فلو</w:t>
      </w:r>
      <w:r w:rsidR="00E8128F">
        <w:rPr>
          <w:sz w:val="36"/>
          <w:szCs w:val="36"/>
          <w:rtl/>
        </w:rPr>
        <w:t xml:space="preserve"> </w:t>
      </w:r>
      <w:r w:rsidR="000D47FF" w:rsidRPr="00FD211F">
        <w:rPr>
          <w:sz w:val="36"/>
          <w:szCs w:val="36"/>
          <w:rtl/>
        </w:rPr>
        <w:t>فرض</w:t>
      </w:r>
      <w:r w:rsidR="00E8128F">
        <w:rPr>
          <w:sz w:val="36"/>
          <w:szCs w:val="36"/>
          <w:rtl/>
        </w:rPr>
        <w:t xml:space="preserve"> </w:t>
      </w:r>
      <w:r w:rsidR="000D47FF" w:rsidRPr="00FD211F">
        <w:rPr>
          <w:sz w:val="36"/>
          <w:szCs w:val="36"/>
          <w:rtl/>
        </w:rPr>
        <w:t>ان</w:t>
      </w:r>
      <w:r w:rsidR="00E8128F">
        <w:rPr>
          <w:sz w:val="36"/>
          <w:szCs w:val="36"/>
          <w:rtl/>
        </w:rPr>
        <w:t xml:space="preserve"> </w:t>
      </w:r>
      <w:r w:rsidR="000D47FF" w:rsidRPr="00FD211F">
        <w:rPr>
          <w:sz w:val="36"/>
          <w:szCs w:val="36"/>
          <w:rtl/>
        </w:rPr>
        <w:t>اللاحظ</w:t>
      </w:r>
      <w:r w:rsidR="00E8128F">
        <w:rPr>
          <w:sz w:val="36"/>
          <w:szCs w:val="36"/>
          <w:rtl/>
        </w:rPr>
        <w:t xml:space="preserve"> </w:t>
      </w:r>
      <w:r w:rsidR="000D47FF" w:rsidRPr="00FD211F">
        <w:rPr>
          <w:sz w:val="36"/>
          <w:szCs w:val="36"/>
          <w:rtl/>
        </w:rPr>
        <w:t>يرى</w:t>
      </w:r>
      <w:r w:rsidR="00E8128F">
        <w:rPr>
          <w:sz w:val="36"/>
          <w:szCs w:val="36"/>
          <w:rtl/>
        </w:rPr>
        <w:t xml:space="preserve"> </w:t>
      </w:r>
      <w:r w:rsidR="000D47FF" w:rsidRPr="00FD211F">
        <w:rPr>
          <w:sz w:val="36"/>
          <w:szCs w:val="36"/>
          <w:rtl/>
        </w:rPr>
        <w:t>الذات</w:t>
      </w:r>
      <w:r w:rsidR="00E8128F">
        <w:rPr>
          <w:sz w:val="36"/>
          <w:szCs w:val="36"/>
          <w:rtl/>
        </w:rPr>
        <w:t xml:space="preserve"> </w:t>
      </w:r>
      <w:r w:rsidR="000D47FF" w:rsidRPr="00FD211F">
        <w:rPr>
          <w:sz w:val="36"/>
          <w:szCs w:val="36"/>
          <w:rtl/>
        </w:rPr>
        <w:t>في</w:t>
      </w:r>
      <w:r w:rsidR="00E8128F">
        <w:rPr>
          <w:sz w:val="36"/>
          <w:szCs w:val="36"/>
          <w:rtl/>
        </w:rPr>
        <w:t xml:space="preserve"> </w:t>
      </w:r>
      <w:r w:rsidR="00C0745B" w:rsidRPr="00FD211F">
        <w:rPr>
          <w:sz w:val="36"/>
          <w:szCs w:val="36"/>
          <w:rtl/>
        </w:rPr>
        <w:t>مورد</w:t>
      </w:r>
      <w:r w:rsidR="00E8128F">
        <w:rPr>
          <w:sz w:val="36"/>
          <w:szCs w:val="36"/>
          <w:rtl/>
        </w:rPr>
        <w:t xml:space="preserve"> </w:t>
      </w:r>
      <w:r w:rsidR="003279EA" w:rsidRPr="00FD211F">
        <w:rPr>
          <w:sz w:val="36"/>
          <w:szCs w:val="36"/>
          <w:rtl/>
        </w:rPr>
        <w:t>عين</w:t>
      </w:r>
      <w:r w:rsidR="00E8128F">
        <w:rPr>
          <w:sz w:val="36"/>
          <w:szCs w:val="36"/>
          <w:rtl/>
        </w:rPr>
        <w:t xml:space="preserve"> </w:t>
      </w:r>
      <w:r w:rsidR="003279EA" w:rsidRPr="00FD211F">
        <w:rPr>
          <w:sz w:val="36"/>
          <w:szCs w:val="36"/>
          <w:rtl/>
        </w:rPr>
        <w:t>ال</w:t>
      </w:r>
      <w:r w:rsidR="0079493B" w:rsidRPr="00FD211F">
        <w:rPr>
          <w:sz w:val="36"/>
          <w:szCs w:val="36"/>
          <w:rtl/>
        </w:rPr>
        <w:t>مبدأ</w:t>
      </w:r>
      <w:r w:rsidR="00E8128F">
        <w:rPr>
          <w:sz w:val="36"/>
          <w:szCs w:val="36"/>
          <w:rtl/>
        </w:rPr>
        <w:t xml:space="preserve"> </w:t>
      </w:r>
      <w:r w:rsidR="004B39B6" w:rsidRPr="00FD211F">
        <w:rPr>
          <w:sz w:val="36"/>
          <w:szCs w:val="36"/>
          <w:rtl/>
        </w:rPr>
        <w:t>فكيف</w:t>
      </w:r>
      <w:r w:rsidR="00E8128F">
        <w:rPr>
          <w:sz w:val="36"/>
          <w:szCs w:val="36"/>
          <w:rtl/>
        </w:rPr>
        <w:t xml:space="preserve"> </w:t>
      </w:r>
      <w:r w:rsidR="004B39B6" w:rsidRPr="00FD211F">
        <w:rPr>
          <w:sz w:val="36"/>
          <w:szCs w:val="36"/>
          <w:rtl/>
        </w:rPr>
        <w:t>يلحظ</w:t>
      </w:r>
      <w:r w:rsidR="00E8128F">
        <w:rPr>
          <w:sz w:val="36"/>
          <w:szCs w:val="36"/>
          <w:rtl/>
        </w:rPr>
        <w:t xml:space="preserve"> </w:t>
      </w:r>
      <w:r w:rsidR="003279EA" w:rsidRPr="00FD211F">
        <w:rPr>
          <w:sz w:val="36"/>
          <w:szCs w:val="36"/>
          <w:rtl/>
        </w:rPr>
        <w:t>انه</w:t>
      </w:r>
      <w:r w:rsidR="00E8128F">
        <w:rPr>
          <w:sz w:val="36"/>
          <w:szCs w:val="36"/>
          <w:rtl/>
        </w:rPr>
        <w:t xml:space="preserve"> </w:t>
      </w:r>
      <w:r w:rsidR="003279EA" w:rsidRPr="00FD211F">
        <w:rPr>
          <w:sz w:val="36"/>
          <w:szCs w:val="36"/>
          <w:rtl/>
        </w:rPr>
        <w:t>ذو</w:t>
      </w:r>
      <w:r w:rsidR="00E8128F">
        <w:rPr>
          <w:sz w:val="36"/>
          <w:szCs w:val="36"/>
          <w:rtl/>
        </w:rPr>
        <w:t xml:space="preserve"> </w:t>
      </w:r>
      <w:r w:rsidR="003279EA" w:rsidRPr="00FD211F">
        <w:rPr>
          <w:sz w:val="36"/>
          <w:szCs w:val="36"/>
          <w:rtl/>
        </w:rPr>
        <w:t>ال</w:t>
      </w:r>
      <w:r w:rsidR="0079493B" w:rsidRPr="00FD211F">
        <w:rPr>
          <w:sz w:val="36"/>
          <w:szCs w:val="36"/>
          <w:rtl/>
        </w:rPr>
        <w:t>مبدأ</w:t>
      </w:r>
      <w:r w:rsidR="00603323" w:rsidRPr="00FD211F">
        <w:rPr>
          <w:sz w:val="36"/>
          <w:szCs w:val="36"/>
          <w:rtl/>
        </w:rPr>
        <w:t>،</w:t>
      </w:r>
      <w:r w:rsidR="00E8128F">
        <w:rPr>
          <w:sz w:val="36"/>
          <w:szCs w:val="36"/>
          <w:rtl/>
        </w:rPr>
        <w:t xml:space="preserve"> </w:t>
      </w:r>
      <w:r w:rsidR="003279EA" w:rsidRPr="00FD211F">
        <w:rPr>
          <w:sz w:val="36"/>
          <w:szCs w:val="36"/>
          <w:rtl/>
        </w:rPr>
        <w:t>فالانسب</w:t>
      </w:r>
      <w:r w:rsidR="00E8128F">
        <w:rPr>
          <w:sz w:val="36"/>
          <w:szCs w:val="36"/>
          <w:rtl/>
        </w:rPr>
        <w:t xml:space="preserve"> </w:t>
      </w:r>
      <w:r w:rsidR="003279EA" w:rsidRPr="00FD211F">
        <w:rPr>
          <w:sz w:val="36"/>
          <w:szCs w:val="36"/>
          <w:rtl/>
        </w:rPr>
        <w:t>ان</w:t>
      </w:r>
      <w:r w:rsidR="00E8128F">
        <w:rPr>
          <w:sz w:val="36"/>
          <w:szCs w:val="36"/>
          <w:rtl/>
        </w:rPr>
        <w:t xml:space="preserve"> </w:t>
      </w:r>
      <w:r w:rsidR="003279EA" w:rsidRPr="00FD211F">
        <w:rPr>
          <w:sz w:val="36"/>
          <w:szCs w:val="36"/>
          <w:rtl/>
        </w:rPr>
        <w:t>يقال</w:t>
      </w:r>
      <w:r w:rsidR="00E8128F">
        <w:rPr>
          <w:sz w:val="36"/>
          <w:szCs w:val="36"/>
          <w:rtl/>
        </w:rPr>
        <w:t xml:space="preserve"> </w:t>
      </w:r>
      <w:r w:rsidR="003279EA" w:rsidRPr="00FD211F">
        <w:rPr>
          <w:sz w:val="36"/>
          <w:szCs w:val="36"/>
          <w:rtl/>
        </w:rPr>
        <w:t>ان</w:t>
      </w:r>
      <w:r w:rsidR="00E8128F">
        <w:rPr>
          <w:sz w:val="36"/>
          <w:szCs w:val="36"/>
          <w:rtl/>
        </w:rPr>
        <w:t xml:space="preserve"> </w:t>
      </w:r>
      <w:r w:rsidR="003279EA" w:rsidRPr="00FD211F">
        <w:rPr>
          <w:sz w:val="36"/>
          <w:szCs w:val="36"/>
          <w:rtl/>
        </w:rPr>
        <w:t>الملاك</w:t>
      </w:r>
      <w:r w:rsidR="00E8128F">
        <w:rPr>
          <w:sz w:val="36"/>
          <w:szCs w:val="36"/>
          <w:rtl/>
        </w:rPr>
        <w:t xml:space="preserve"> </w:t>
      </w:r>
      <w:r w:rsidR="003279EA" w:rsidRPr="00FD211F">
        <w:rPr>
          <w:sz w:val="36"/>
          <w:szCs w:val="36"/>
          <w:rtl/>
        </w:rPr>
        <w:t>في</w:t>
      </w:r>
      <w:r w:rsidR="00E8128F">
        <w:rPr>
          <w:sz w:val="36"/>
          <w:szCs w:val="36"/>
          <w:rtl/>
        </w:rPr>
        <w:t xml:space="preserve"> </w:t>
      </w:r>
      <w:r w:rsidR="003279EA" w:rsidRPr="00FD211F">
        <w:rPr>
          <w:sz w:val="36"/>
          <w:szCs w:val="36"/>
          <w:rtl/>
        </w:rPr>
        <w:t>كون</w:t>
      </w:r>
      <w:r w:rsidR="00E8128F">
        <w:rPr>
          <w:sz w:val="36"/>
          <w:szCs w:val="36"/>
          <w:rtl/>
        </w:rPr>
        <w:t xml:space="preserve"> </w:t>
      </w:r>
      <w:r w:rsidR="003279EA" w:rsidRPr="00FD211F">
        <w:rPr>
          <w:sz w:val="36"/>
          <w:szCs w:val="36"/>
          <w:rtl/>
        </w:rPr>
        <w:t>الاستعمال</w:t>
      </w:r>
      <w:r w:rsidR="00E8128F">
        <w:rPr>
          <w:sz w:val="36"/>
          <w:szCs w:val="36"/>
          <w:rtl/>
        </w:rPr>
        <w:t xml:space="preserve"> </w:t>
      </w:r>
      <w:r w:rsidR="003279EA" w:rsidRPr="00FD211F">
        <w:rPr>
          <w:sz w:val="36"/>
          <w:szCs w:val="36"/>
          <w:rtl/>
        </w:rPr>
        <w:t>حقيقيا</w:t>
      </w:r>
      <w:r w:rsidR="00E8128F">
        <w:rPr>
          <w:sz w:val="36"/>
          <w:szCs w:val="36"/>
          <w:rtl/>
        </w:rPr>
        <w:t xml:space="preserve"> </w:t>
      </w:r>
      <w:r w:rsidR="00A13E0F" w:rsidRPr="00FD211F">
        <w:rPr>
          <w:sz w:val="36"/>
          <w:szCs w:val="36"/>
          <w:rtl/>
        </w:rPr>
        <w:t>هو</w:t>
      </w:r>
      <w:r w:rsidR="00E8128F">
        <w:rPr>
          <w:sz w:val="36"/>
          <w:szCs w:val="36"/>
          <w:rtl/>
        </w:rPr>
        <w:t xml:space="preserve"> </w:t>
      </w:r>
      <w:r w:rsidR="003279EA" w:rsidRPr="00FD211F">
        <w:rPr>
          <w:sz w:val="36"/>
          <w:szCs w:val="36"/>
          <w:rtl/>
        </w:rPr>
        <w:t>النظر</w:t>
      </w:r>
      <w:r w:rsidR="00E8128F">
        <w:rPr>
          <w:sz w:val="36"/>
          <w:szCs w:val="36"/>
          <w:rtl/>
        </w:rPr>
        <w:t xml:space="preserve"> </w:t>
      </w:r>
      <w:r w:rsidR="003279EA" w:rsidRPr="00FD211F">
        <w:rPr>
          <w:sz w:val="36"/>
          <w:szCs w:val="36"/>
          <w:rtl/>
        </w:rPr>
        <w:t>العرفي</w:t>
      </w:r>
      <w:r w:rsidR="00603323" w:rsidRPr="00FD211F">
        <w:rPr>
          <w:sz w:val="36"/>
          <w:szCs w:val="36"/>
          <w:rtl/>
        </w:rPr>
        <w:t>،</w:t>
      </w:r>
      <w:r w:rsidR="00E8128F">
        <w:rPr>
          <w:sz w:val="36"/>
          <w:szCs w:val="36"/>
          <w:rtl/>
        </w:rPr>
        <w:t xml:space="preserve"> </w:t>
      </w:r>
      <w:r w:rsidR="003279EA" w:rsidRPr="00FD211F">
        <w:rPr>
          <w:sz w:val="36"/>
          <w:szCs w:val="36"/>
          <w:rtl/>
        </w:rPr>
        <w:t>والبرهان</w:t>
      </w:r>
      <w:r w:rsidR="00E8128F">
        <w:rPr>
          <w:sz w:val="36"/>
          <w:szCs w:val="36"/>
          <w:rtl/>
        </w:rPr>
        <w:t xml:space="preserve"> </w:t>
      </w:r>
      <w:r w:rsidR="003279EA" w:rsidRPr="00FD211F">
        <w:rPr>
          <w:sz w:val="36"/>
          <w:szCs w:val="36"/>
          <w:rtl/>
        </w:rPr>
        <w:t>وان</w:t>
      </w:r>
      <w:r w:rsidR="00E8128F">
        <w:rPr>
          <w:sz w:val="36"/>
          <w:szCs w:val="36"/>
          <w:rtl/>
        </w:rPr>
        <w:t xml:space="preserve"> </w:t>
      </w:r>
      <w:r w:rsidR="003279EA" w:rsidRPr="00FD211F">
        <w:rPr>
          <w:sz w:val="36"/>
          <w:szCs w:val="36"/>
          <w:rtl/>
        </w:rPr>
        <w:t>قام</w:t>
      </w:r>
      <w:r w:rsidR="00E8128F">
        <w:rPr>
          <w:sz w:val="36"/>
          <w:szCs w:val="36"/>
          <w:rtl/>
        </w:rPr>
        <w:t xml:space="preserve"> </w:t>
      </w:r>
      <w:r w:rsidR="003279EA" w:rsidRPr="00FD211F">
        <w:rPr>
          <w:sz w:val="36"/>
          <w:szCs w:val="36"/>
          <w:rtl/>
        </w:rPr>
        <w:t>على</w:t>
      </w:r>
      <w:r w:rsidR="00E8128F">
        <w:rPr>
          <w:sz w:val="36"/>
          <w:szCs w:val="36"/>
          <w:rtl/>
        </w:rPr>
        <w:t xml:space="preserve"> </w:t>
      </w:r>
      <w:r w:rsidR="003279EA" w:rsidRPr="00FD211F">
        <w:rPr>
          <w:sz w:val="36"/>
          <w:szCs w:val="36"/>
          <w:rtl/>
        </w:rPr>
        <w:t>عيني</w:t>
      </w:r>
      <w:r w:rsidR="00EC7EDF" w:rsidRPr="00FD211F">
        <w:rPr>
          <w:sz w:val="36"/>
          <w:szCs w:val="36"/>
          <w:rtl/>
        </w:rPr>
        <w:t>ة</w:t>
      </w:r>
      <w:r w:rsidR="00E8128F">
        <w:rPr>
          <w:sz w:val="36"/>
          <w:szCs w:val="36"/>
          <w:rtl/>
        </w:rPr>
        <w:t xml:space="preserve"> </w:t>
      </w:r>
      <w:r w:rsidR="003279EA" w:rsidRPr="00FD211F">
        <w:rPr>
          <w:sz w:val="36"/>
          <w:szCs w:val="36"/>
          <w:rtl/>
        </w:rPr>
        <w:t>اوصافه</w:t>
      </w:r>
      <w:r w:rsidR="00E8128F">
        <w:rPr>
          <w:sz w:val="36"/>
          <w:szCs w:val="36"/>
          <w:rtl/>
        </w:rPr>
        <w:t xml:space="preserve"> </w:t>
      </w:r>
      <w:r w:rsidR="003279EA" w:rsidRPr="00FD211F">
        <w:rPr>
          <w:sz w:val="36"/>
          <w:szCs w:val="36"/>
          <w:rtl/>
        </w:rPr>
        <w:t>له</w:t>
      </w:r>
      <w:r w:rsidR="00E8128F">
        <w:rPr>
          <w:sz w:val="36"/>
          <w:szCs w:val="36"/>
          <w:rtl/>
        </w:rPr>
        <w:t xml:space="preserve"> </w:t>
      </w:r>
      <w:r w:rsidR="003279EA" w:rsidRPr="00FD211F">
        <w:rPr>
          <w:sz w:val="36"/>
          <w:szCs w:val="36"/>
          <w:rtl/>
        </w:rPr>
        <w:t>تعالى</w:t>
      </w:r>
      <w:r w:rsidR="00E8128F">
        <w:rPr>
          <w:sz w:val="36"/>
          <w:szCs w:val="36"/>
          <w:rtl/>
        </w:rPr>
        <w:t xml:space="preserve"> </w:t>
      </w:r>
      <w:r w:rsidR="003279EA" w:rsidRPr="00FD211F">
        <w:rPr>
          <w:sz w:val="36"/>
          <w:szCs w:val="36"/>
          <w:rtl/>
        </w:rPr>
        <w:t>وان</w:t>
      </w:r>
      <w:r w:rsidR="00E8128F">
        <w:rPr>
          <w:sz w:val="36"/>
          <w:szCs w:val="36"/>
          <w:rtl/>
        </w:rPr>
        <w:t xml:space="preserve"> </w:t>
      </w:r>
      <w:r w:rsidR="003279EA" w:rsidRPr="00FD211F">
        <w:rPr>
          <w:sz w:val="36"/>
          <w:szCs w:val="36"/>
          <w:rtl/>
        </w:rPr>
        <w:t>كمال</w:t>
      </w:r>
      <w:r w:rsidR="00E8128F">
        <w:rPr>
          <w:sz w:val="36"/>
          <w:szCs w:val="36"/>
          <w:rtl/>
        </w:rPr>
        <w:t xml:space="preserve"> </w:t>
      </w:r>
      <w:r w:rsidR="003279EA" w:rsidRPr="00FD211F">
        <w:rPr>
          <w:sz w:val="36"/>
          <w:szCs w:val="36"/>
          <w:rtl/>
        </w:rPr>
        <w:t>التوحيد</w:t>
      </w:r>
      <w:r w:rsidR="00E8128F">
        <w:rPr>
          <w:sz w:val="36"/>
          <w:szCs w:val="36"/>
          <w:rtl/>
        </w:rPr>
        <w:t xml:space="preserve"> </w:t>
      </w:r>
      <w:r w:rsidR="003279EA" w:rsidRPr="00FD211F">
        <w:rPr>
          <w:sz w:val="36"/>
          <w:szCs w:val="36"/>
          <w:rtl/>
        </w:rPr>
        <w:t>نفي</w:t>
      </w:r>
      <w:r w:rsidR="00E8128F">
        <w:rPr>
          <w:sz w:val="36"/>
          <w:szCs w:val="36"/>
          <w:rtl/>
        </w:rPr>
        <w:t xml:space="preserve"> </w:t>
      </w:r>
      <w:r w:rsidR="003279EA" w:rsidRPr="00FD211F">
        <w:rPr>
          <w:sz w:val="36"/>
          <w:szCs w:val="36"/>
          <w:rtl/>
        </w:rPr>
        <w:t>الصفات</w:t>
      </w:r>
      <w:r w:rsidR="00E8128F">
        <w:rPr>
          <w:sz w:val="36"/>
          <w:szCs w:val="36"/>
          <w:rtl/>
        </w:rPr>
        <w:t xml:space="preserve"> </w:t>
      </w:r>
      <w:r w:rsidR="003279EA" w:rsidRPr="00FD211F">
        <w:rPr>
          <w:sz w:val="36"/>
          <w:szCs w:val="36"/>
          <w:rtl/>
        </w:rPr>
        <w:t>عنه</w:t>
      </w:r>
      <w:r w:rsidR="00E8128F">
        <w:rPr>
          <w:sz w:val="36"/>
          <w:szCs w:val="36"/>
          <w:rtl/>
        </w:rPr>
        <w:t xml:space="preserve"> </w:t>
      </w:r>
      <w:r w:rsidR="003279EA" w:rsidRPr="00FD211F">
        <w:rPr>
          <w:sz w:val="36"/>
          <w:szCs w:val="36"/>
          <w:rtl/>
        </w:rPr>
        <w:t>ولكن</w:t>
      </w:r>
      <w:r w:rsidR="00E8128F">
        <w:rPr>
          <w:sz w:val="36"/>
          <w:szCs w:val="36"/>
          <w:rtl/>
        </w:rPr>
        <w:t xml:space="preserve"> </w:t>
      </w:r>
      <w:r w:rsidR="003279EA" w:rsidRPr="00FD211F">
        <w:rPr>
          <w:sz w:val="36"/>
          <w:szCs w:val="36"/>
          <w:rtl/>
        </w:rPr>
        <w:t>لايمنع</w:t>
      </w:r>
      <w:r w:rsidR="00E8128F">
        <w:rPr>
          <w:sz w:val="36"/>
          <w:szCs w:val="36"/>
          <w:rtl/>
        </w:rPr>
        <w:t xml:space="preserve"> </w:t>
      </w:r>
      <w:r w:rsidR="003279EA" w:rsidRPr="00FD211F">
        <w:rPr>
          <w:sz w:val="36"/>
          <w:szCs w:val="36"/>
          <w:rtl/>
        </w:rPr>
        <w:t>ذلك</w:t>
      </w:r>
      <w:r w:rsidR="00E8128F">
        <w:rPr>
          <w:sz w:val="36"/>
          <w:szCs w:val="36"/>
          <w:rtl/>
        </w:rPr>
        <w:t xml:space="preserve"> </w:t>
      </w:r>
      <w:r w:rsidR="003279EA" w:rsidRPr="00FD211F">
        <w:rPr>
          <w:sz w:val="36"/>
          <w:szCs w:val="36"/>
          <w:rtl/>
        </w:rPr>
        <w:t>من</w:t>
      </w:r>
      <w:r w:rsidR="00E8128F">
        <w:rPr>
          <w:sz w:val="36"/>
          <w:szCs w:val="36"/>
          <w:rtl/>
        </w:rPr>
        <w:t xml:space="preserve"> </w:t>
      </w:r>
      <w:r w:rsidR="003279EA" w:rsidRPr="00FD211F">
        <w:rPr>
          <w:sz w:val="36"/>
          <w:szCs w:val="36"/>
          <w:rtl/>
        </w:rPr>
        <w:t>لحاظه</w:t>
      </w:r>
      <w:r w:rsidR="00E8128F">
        <w:rPr>
          <w:sz w:val="36"/>
          <w:szCs w:val="36"/>
          <w:rtl/>
        </w:rPr>
        <w:t xml:space="preserve"> </w:t>
      </w:r>
      <w:r w:rsidR="003279EA" w:rsidRPr="00FD211F">
        <w:rPr>
          <w:sz w:val="36"/>
          <w:szCs w:val="36"/>
          <w:rtl/>
        </w:rPr>
        <w:t>تعالى</w:t>
      </w:r>
      <w:r w:rsidR="00E8128F">
        <w:rPr>
          <w:sz w:val="36"/>
          <w:szCs w:val="36"/>
          <w:rtl/>
        </w:rPr>
        <w:t xml:space="preserve"> </w:t>
      </w:r>
      <w:r w:rsidR="003279EA" w:rsidRPr="00FD211F">
        <w:rPr>
          <w:sz w:val="36"/>
          <w:szCs w:val="36"/>
          <w:rtl/>
        </w:rPr>
        <w:t>بالنظر</w:t>
      </w:r>
      <w:r w:rsidR="00E8128F">
        <w:rPr>
          <w:sz w:val="36"/>
          <w:szCs w:val="36"/>
          <w:rtl/>
        </w:rPr>
        <w:t xml:space="preserve"> </w:t>
      </w:r>
      <w:r w:rsidR="003279EA" w:rsidRPr="00FD211F">
        <w:rPr>
          <w:sz w:val="36"/>
          <w:szCs w:val="36"/>
          <w:rtl/>
        </w:rPr>
        <w:t>العرفي</w:t>
      </w:r>
      <w:r w:rsidR="00E8128F">
        <w:rPr>
          <w:sz w:val="36"/>
          <w:szCs w:val="36"/>
          <w:rtl/>
        </w:rPr>
        <w:t xml:space="preserve"> </w:t>
      </w:r>
      <w:r w:rsidR="00A13E0F" w:rsidRPr="00FD211F">
        <w:rPr>
          <w:sz w:val="36"/>
          <w:szCs w:val="36"/>
          <w:rtl/>
        </w:rPr>
        <w:t>ذا</w:t>
      </w:r>
      <w:r w:rsidR="00E8128F">
        <w:rPr>
          <w:sz w:val="36"/>
          <w:szCs w:val="36"/>
          <w:rtl/>
        </w:rPr>
        <w:t xml:space="preserve"> </w:t>
      </w:r>
      <w:r w:rsidR="00A13E0F" w:rsidRPr="00FD211F">
        <w:rPr>
          <w:sz w:val="36"/>
          <w:szCs w:val="36"/>
          <w:rtl/>
        </w:rPr>
        <w:t>حيا</w:t>
      </w:r>
      <w:r w:rsidR="00EC7EDF" w:rsidRPr="00FD211F">
        <w:rPr>
          <w:sz w:val="36"/>
          <w:szCs w:val="36"/>
          <w:rtl/>
        </w:rPr>
        <w:t>ة</w:t>
      </w:r>
      <w:r w:rsidR="00E8128F">
        <w:rPr>
          <w:sz w:val="36"/>
          <w:szCs w:val="36"/>
          <w:rtl/>
        </w:rPr>
        <w:t xml:space="preserve"> </w:t>
      </w:r>
      <w:r w:rsidR="00A13E0F" w:rsidRPr="00FD211F">
        <w:rPr>
          <w:sz w:val="36"/>
          <w:szCs w:val="36"/>
          <w:rtl/>
        </w:rPr>
        <w:t>وقدر</w:t>
      </w:r>
      <w:r w:rsidR="00EC7EDF" w:rsidRPr="00FD211F">
        <w:rPr>
          <w:sz w:val="36"/>
          <w:szCs w:val="36"/>
          <w:rtl/>
        </w:rPr>
        <w:t>ة</w:t>
      </w:r>
      <w:r w:rsidR="00E8128F">
        <w:rPr>
          <w:sz w:val="36"/>
          <w:szCs w:val="36"/>
          <w:rtl/>
        </w:rPr>
        <w:t xml:space="preserve"> </w:t>
      </w:r>
      <w:r w:rsidR="00A13E0F" w:rsidRPr="00FD211F">
        <w:rPr>
          <w:sz w:val="36"/>
          <w:szCs w:val="36"/>
          <w:rtl/>
        </w:rPr>
        <w:t>وعلم</w:t>
      </w:r>
      <w:r w:rsidR="00603323" w:rsidRPr="00FD211F">
        <w:rPr>
          <w:sz w:val="36"/>
          <w:szCs w:val="36"/>
          <w:rtl/>
        </w:rPr>
        <w:t>،</w:t>
      </w:r>
      <w:r w:rsidR="00E8128F">
        <w:rPr>
          <w:sz w:val="36"/>
          <w:szCs w:val="36"/>
          <w:rtl/>
        </w:rPr>
        <w:t xml:space="preserve"> </w:t>
      </w:r>
      <w:r w:rsidR="00A13E0F" w:rsidRPr="00FD211F">
        <w:rPr>
          <w:sz w:val="36"/>
          <w:szCs w:val="36"/>
          <w:rtl/>
        </w:rPr>
        <w:t>وان</w:t>
      </w:r>
      <w:r w:rsidR="00E8128F">
        <w:rPr>
          <w:sz w:val="36"/>
          <w:szCs w:val="36"/>
          <w:rtl/>
        </w:rPr>
        <w:t xml:space="preserve"> </w:t>
      </w:r>
      <w:r w:rsidR="00A13E0F" w:rsidRPr="00FD211F">
        <w:rPr>
          <w:sz w:val="36"/>
          <w:szCs w:val="36"/>
          <w:rtl/>
        </w:rPr>
        <w:t>شئت</w:t>
      </w:r>
      <w:r w:rsidR="00E8128F">
        <w:rPr>
          <w:sz w:val="36"/>
          <w:szCs w:val="36"/>
          <w:rtl/>
        </w:rPr>
        <w:t xml:space="preserve"> </w:t>
      </w:r>
      <w:r w:rsidR="00A13E0F" w:rsidRPr="00FD211F">
        <w:rPr>
          <w:sz w:val="36"/>
          <w:szCs w:val="36"/>
          <w:rtl/>
        </w:rPr>
        <w:t>فلاحظ</w:t>
      </w:r>
      <w:r w:rsidR="00E8128F">
        <w:rPr>
          <w:sz w:val="36"/>
          <w:szCs w:val="36"/>
          <w:rtl/>
        </w:rPr>
        <w:t xml:space="preserve"> </w:t>
      </w:r>
      <w:r w:rsidR="003279EA" w:rsidRPr="00FD211F">
        <w:rPr>
          <w:sz w:val="36"/>
          <w:szCs w:val="36"/>
          <w:rtl/>
        </w:rPr>
        <w:t>المصادر</w:t>
      </w:r>
      <w:r w:rsidR="00E8128F">
        <w:rPr>
          <w:sz w:val="36"/>
          <w:szCs w:val="36"/>
          <w:rtl/>
        </w:rPr>
        <w:t xml:space="preserve"> </w:t>
      </w:r>
      <w:r w:rsidR="003279EA" w:rsidRPr="00FD211F">
        <w:rPr>
          <w:sz w:val="36"/>
          <w:szCs w:val="36"/>
          <w:rtl/>
        </w:rPr>
        <w:t>الجعلي</w:t>
      </w:r>
      <w:r w:rsidR="00EC7EDF" w:rsidRPr="00FD211F">
        <w:rPr>
          <w:sz w:val="36"/>
          <w:szCs w:val="36"/>
          <w:rtl/>
        </w:rPr>
        <w:t>ة</w:t>
      </w:r>
      <w:r w:rsidR="00E8128F">
        <w:rPr>
          <w:sz w:val="36"/>
          <w:szCs w:val="36"/>
          <w:rtl/>
        </w:rPr>
        <w:t xml:space="preserve"> </w:t>
      </w:r>
      <w:r w:rsidR="00A13E0F" w:rsidRPr="00FD211F">
        <w:rPr>
          <w:sz w:val="36"/>
          <w:szCs w:val="36"/>
          <w:rtl/>
        </w:rPr>
        <w:t>فانها</w:t>
      </w:r>
      <w:r w:rsidR="00E8128F">
        <w:rPr>
          <w:sz w:val="36"/>
          <w:szCs w:val="36"/>
          <w:rtl/>
        </w:rPr>
        <w:t xml:space="preserve"> </w:t>
      </w:r>
      <w:r w:rsidR="00A13E0F" w:rsidRPr="00FD211F">
        <w:rPr>
          <w:sz w:val="36"/>
          <w:szCs w:val="36"/>
          <w:rtl/>
        </w:rPr>
        <w:t>وان</w:t>
      </w:r>
      <w:r w:rsidR="00E8128F">
        <w:rPr>
          <w:sz w:val="36"/>
          <w:szCs w:val="36"/>
          <w:rtl/>
        </w:rPr>
        <w:t xml:space="preserve"> </w:t>
      </w:r>
      <w:r w:rsidR="00A13E0F" w:rsidRPr="00FD211F">
        <w:rPr>
          <w:sz w:val="36"/>
          <w:szCs w:val="36"/>
          <w:rtl/>
        </w:rPr>
        <w:t>كانت</w:t>
      </w:r>
      <w:r w:rsidR="00E8128F">
        <w:rPr>
          <w:sz w:val="36"/>
          <w:szCs w:val="36"/>
          <w:rtl/>
        </w:rPr>
        <w:t xml:space="preserve"> </w:t>
      </w:r>
      <w:r w:rsidR="003279EA" w:rsidRPr="00FD211F">
        <w:rPr>
          <w:sz w:val="36"/>
          <w:szCs w:val="36"/>
          <w:rtl/>
        </w:rPr>
        <w:t>عين</w:t>
      </w:r>
      <w:r w:rsidR="00E8128F">
        <w:rPr>
          <w:sz w:val="36"/>
          <w:szCs w:val="36"/>
          <w:rtl/>
        </w:rPr>
        <w:t xml:space="preserve"> </w:t>
      </w:r>
      <w:r w:rsidR="003279EA" w:rsidRPr="00FD211F">
        <w:rPr>
          <w:sz w:val="36"/>
          <w:szCs w:val="36"/>
          <w:rtl/>
        </w:rPr>
        <w:t>مناشئها</w:t>
      </w:r>
      <w:r w:rsidR="00E8128F">
        <w:rPr>
          <w:sz w:val="36"/>
          <w:szCs w:val="36"/>
          <w:rtl/>
        </w:rPr>
        <w:t xml:space="preserve"> </w:t>
      </w:r>
      <w:r w:rsidR="003279EA" w:rsidRPr="00FD211F">
        <w:rPr>
          <w:sz w:val="36"/>
          <w:szCs w:val="36"/>
          <w:rtl/>
        </w:rPr>
        <w:t>خارجا</w:t>
      </w:r>
      <w:r w:rsidR="00E8128F">
        <w:rPr>
          <w:sz w:val="36"/>
          <w:szCs w:val="36"/>
          <w:rtl/>
        </w:rPr>
        <w:t xml:space="preserve"> </w:t>
      </w:r>
      <w:r w:rsidR="004B39B6" w:rsidRPr="00FD211F">
        <w:rPr>
          <w:sz w:val="36"/>
          <w:szCs w:val="36"/>
          <w:rtl/>
        </w:rPr>
        <w:t>لكن</w:t>
      </w:r>
      <w:r w:rsidR="00E8128F">
        <w:rPr>
          <w:sz w:val="36"/>
          <w:szCs w:val="36"/>
          <w:rtl/>
        </w:rPr>
        <w:t xml:space="preserve"> </w:t>
      </w:r>
      <w:r w:rsidR="004B39B6" w:rsidRPr="00FD211F">
        <w:rPr>
          <w:sz w:val="36"/>
          <w:szCs w:val="36"/>
          <w:rtl/>
        </w:rPr>
        <w:t>لايمنع</w:t>
      </w:r>
      <w:r w:rsidR="00E8128F">
        <w:rPr>
          <w:sz w:val="36"/>
          <w:szCs w:val="36"/>
          <w:rtl/>
        </w:rPr>
        <w:t xml:space="preserve"> </w:t>
      </w:r>
      <w:r w:rsidR="004B39B6" w:rsidRPr="00FD211F">
        <w:rPr>
          <w:sz w:val="36"/>
          <w:szCs w:val="36"/>
          <w:rtl/>
        </w:rPr>
        <w:t>ذلك</w:t>
      </w:r>
      <w:r w:rsidR="00E8128F">
        <w:rPr>
          <w:sz w:val="36"/>
          <w:szCs w:val="36"/>
          <w:rtl/>
        </w:rPr>
        <w:t xml:space="preserve"> </w:t>
      </w:r>
      <w:r w:rsidR="004B39B6" w:rsidRPr="00FD211F">
        <w:rPr>
          <w:sz w:val="36"/>
          <w:szCs w:val="36"/>
          <w:rtl/>
        </w:rPr>
        <w:t>ا</w:t>
      </w:r>
      <w:r w:rsidR="00A13E0F" w:rsidRPr="00FD211F">
        <w:rPr>
          <w:sz w:val="36"/>
          <w:szCs w:val="36"/>
          <w:rtl/>
        </w:rPr>
        <w:t>ن</w:t>
      </w:r>
      <w:r w:rsidR="00E8128F">
        <w:rPr>
          <w:sz w:val="36"/>
          <w:szCs w:val="36"/>
          <w:rtl/>
        </w:rPr>
        <w:t xml:space="preserve"> </w:t>
      </w:r>
      <w:r w:rsidR="004B39B6" w:rsidRPr="00FD211F">
        <w:rPr>
          <w:sz w:val="36"/>
          <w:szCs w:val="36"/>
          <w:rtl/>
        </w:rPr>
        <w:t>يصح</w:t>
      </w:r>
      <w:r w:rsidR="00E8128F">
        <w:rPr>
          <w:sz w:val="36"/>
          <w:szCs w:val="36"/>
          <w:rtl/>
        </w:rPr>
        <w:t xml:space="preserve"> </w:t>
      </w:r>
      <w:r w:rsidR="00315FAC" w:rsidRPr="00FD211F">
        <w:rPr>
          <w:sz w:val="36"/>
          <w:szCs w:val="36"/>
          <w:rtl/>
        </w:rPr>
        <w:t>بالنظر</w:t>
      </w:r>
      <w:r w:rsidR="00E8128F">
        <w:rPr>
          <w:sz w:val="36"/>
          <w:szCs w:val="36"/>
          <w:rtl/>
        </w:rPr>
        <w:t xml:space="preserve"> </w:t>
      </w:r>
      <w:r w:rsidR="00315FAC" w:rsidRPr="00FD211F">
        <w:rPr>
          <w:sz w:val="36"/>
          <w:szCs w:val="36"/>
          <w:rtl/>
        </w:rPr>
        <w:t>العرفي</w:t>
      </w:r>
      <w:r w:rsidR="00E8128F">
        <w:rPr>
          <w:sz w:val="36"/>
          <w:szCs w:val="36"/>
          <w:rtl/>
        </w:rPr>
        <w:t xml:space="preserve"> </w:t>
      </w:r>
      <w:r w:rsidR="00315FAC" w:rsidRPr="00FD211F">
        <w:rPr>
          <w:sz w:val="36"/>
          <w:szCs w:val="36"/>
          <w:rtl/>
        </w:rPr>
        <w:t>ا</w:t>
      </w:r>
      <w:r w:rsidR="00A13E0F" w:rsidRPr="00FD211F">
        <w:rPr>
          <w:sz w:val="36"/>
          <w:szCs w:val="36"/>
          <w:rtl/>
        </w:rPr>
        <w:t>ستعمال</w:t>
      </w:r>
      <w:r w:rsidR="00E8128F">
        <w:rPr>
          <w:sz w:val="36"/>
          <w:szCs w:val="36"/>
          <w:rtl/>
        </w:rPr>
        <w:t xml:space="preserve"> </w:t>
      </w:r>
      <w:r w:rsidR="003279EA" w:rsidRPr="00FD211F">
        <w:rPr>
          <w:sz w:val="36"/>
          <w:szCs w:val="36"/>
          <w:rtl/>
        </w:rPr>
        <w:t>قولنا</w:t>
      </w:r>
      <w:r w:rsidR="00E8128F">
        <w:rPr>
          <w:sz w:val="36"/>
          <w:szCs w:val="36"/>
          <w:rtl/>
        </w:rPr>
        <w:t xml:space="preserve"> </w:t>
      </w:r>
      <w:r w:rsidR="00A13E0F" w:rsidRPr="00FD211F">
        <w:rPr>
          <w:sz w:val="36"/>
          <w:szCs w:val="36"/>
          <w:rtl/>
        </w:rPr>
        <w:t>"</w:t>
      </w:r>
      <w:r w:rsidR="003279EA" w:rsidRPr="00FD211F">
        <w:rPr>
          <w:sz w:val="36"/>
          <w:szCs w:val="36"/>
          <w:rtl/>
        </w:rPr>
        <w:t>الانساني</w:t>
      </w:r>
      <w:r w:rsidR="00EC7EDF" w:rsidRPr="00FD211F">
        <w:rPr>
          <w:sz w:val="36"/>
          <w:szCs w:val="36"/>
          <w:rtl/>
        </w:rPr>
        <w:t>ة</w:t>
      </w:r>
      <w:r w:rsidR="00E8128F">
        <w:rPr>
          <w:sz w:val="36"/>
          <w:szCs w:val="36"/>
          <w:rtl/>
        </w:rPr>
        <w:t xml:space="preserve"> </w:t>
      </w:r>
      <w:r w:rsidR="003279EA" w:rsidRPr="00FD211F">
        <w:rPr>
          <w:sz w:val="36"/>
          <w:szCs w:val="36"/>
          <w:rtl/>
        </w:rPr>
        <w:t>ثابت</w:t>
      </w:r>
      <w:r w:rsidR="00EC7EDF" w:rsidRPr="00FD211F">
        <w:rPr>
          <w:sz w:val="36"/>
          <w:szCs w:val="36"/>
          <w:rtl/>
        </w:rPr>
        <w:t>ة</w:t>
      </w:r>
      <w:r w:rsidR="00E8128F">
        <w:rPr>
          <w:sz w:val="36"/>
          <w:szCs w:val="36"/>
          <w:rtl/>
        </w:rPr>
        <w:t xml:space="preserve"> </w:t>
      </w:r>
      <w:r w:rsidR="003279EA" w:rsidRPr="00FD211F">
        <w:rPr>
          <w:sz w:val="36"/>
          <w:szCs w:val="36"/>
          <w:rtl/>
        </w:rPr>
        <w:t>للإنسان</w:t>
      </w:r>
      <w:r w:rsidR="004B39B6" w:rsidRPr="00FD211F">
        <w:rPr>
          <w:sz w:val="36"/>
          <w:szCs w:val="36"/>
          <w:rtl/>
        </w:rPr>
        <w:t>"</w:t>
      </w:r>
      <w:r w:rsidR="00E8128F">
        <w:rPr>
          <w:sz w:val="36"/>
          <w:szCs w:val="36"/>
          <w:rtl/>
        </w:rPr>
        <w:t xml:space="preserve"> </w:t>
      </w:r>
      <w:r w:rsidR="003279EA" w:rsidRPr="00FD211F">
        <w:rPr>
          <w:sz w:val="36"/>
          <w:szCs w:val="36"/>
          <w:rtl/>
        </w:rPr>
        <w:t>و</w:t>
      </w:r>
      <w:r w:rsidR="004B39B6" w:rsidRPr="00FD211F">
        <w:rPr>
          <w:sz w:val="36"/>
          <w:szCs w:val="36"/>
          <w:rtl/>
        </w:rPr>
        <w:t>"ان</w:t>
      </w:r>
      <w:r w:rsidR="00E8128F">
        <w:rPr>
          <w:sz w:val="36"/>
          <w:szCs w:val="36"/>
          <w:rtl/>
        </w:rPr>
        <w:t xml:space="preserve"> </w:t>
      </w:r>
      <w:r w:rsidR="004B39B6" w:rsidRPr="00FD211F">
        <w:rPr>
          <w:sz w:val="36"/>
          <w:szCs w:val="36"/>
          <w:rtl/>
        </w:rPr>
        <w:t>الانسان</w:t>
      </w:r>
      <w:r w:rsidR="00E8128F">
        <w:rPr>
          <w:sz w:val="36"/>
          <w:szCs w:val="36"/>
          <w:rtl/>
        </w:rPr>
        <w:t xml:space="preserve"> </w:t>
      </w:r>
      <w:r w:rsidR="003279EA" w:rsidRPr="00FD211F">
        <w:rPr>
          <w:sz w:val="36"/>
          <w:szCs w:val="36"/>
          <w:rtl/>
        </w:rPr>
        <w:t>ذو</w:t>
      </w:r>
      <w:r w:rsidR="00E8128F">
        <w:rPr>
          <w:sz w:val="36"/>
          <w:szCs w:val="36"/>
          <w:rtl/>
        </w:rPr>
        <w:t xml:space="preserve"> </w:t>
      </w:r>
      <w:r w:rsidR="003279EA" w:rsidRPr="00FD211F">
        <w:rPr>
          <w:sz w:val="36"/>
          <w:szCs w:val="36"/>
          <w:rtl/>
        </w:rPr>
        <w:t>انساني</w:t>
      </w:r>
      <w:r w:rsidR="00EC7EDF" w:rsidRPr="00FD211F">
        <w:rPr>
          <w:sz w:val="36"/>
          <w:szCs w:val="36"/>
          <w:rtl/>
        </w:rPr>
        <w:t>ة</w:t>
      </w:r>
      <w:r w:rsidR="00A13E0F" w:rsidRPr="00FD211F">
        <w:rPr>
          <w:sz w:val="36"/>
          <w:szCs w:val="36"/>
          <w:rtl/>
        </w:rPr>
        <w:t>"</w:t>
      </w:r>
      <w:r w:rsidR="003279EA" w:rsidRPr="00FD211F">
        <w:rPr>
          <w:sz w:val="36"/>
          <w:szCs w:val="36"/>
          <w:rtl/>
        </w:rPr>
        <w:t>.</w:t>
      </w:r>
    </w:p>
    <w:p w14:paraId="57CA8374" w14:textId="77777777" w:rsidR="00BD34F8" w:rsidRPr="00FD211F" w:rsidRDefault="003B702A" w:rsidP="009C58C8">
      <w:pPr>
        <w:ind w:left="0" w:firstLine="227"/>
        <w:jc w:val="both"/>
        <w:rPr>
          <w:sz w:val="36"/>
          <w:szCs w:val="36"/>
          <w:rtl/>
        </w:rPr>
      </w:pPr>
      <w:r w:rsidRPr="00FD211F">
        <w:rPr>
          <w:sz w:val="36"/>
          <w:szCs w:val="36"/>
          <w:rtl/>
        </w:rPr>
        <w:t>ثم</w:t>
      </w:r>
      <w:r w:rsidR="00E8128F">
        <w:rPr>
          <w:sz w:val="36"/>
          <w:szCs w:val="36"/>
          <w:rtl/>
        </w:rPr>
        <w:t xml:space="preserve"> </w:t>
      </w:r>
      <w:r w:rsidRPr="00FD211F">
        <w:rPr>
          <w:sz w:val="36"/>
          <w:szCs w:val="36"/>
          <w:rtl/>
        </w:rPr>
        <w:t>ان</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البحوث</w:t>
      </w:r>
      <w:r w:rsidR="00E8128F">
        <w:rPr>
          <w:sz w:val="36"/>
          <w:szCs w:val="36"/>
          <w:rtl/>
        </w:rPr>
        <w:t xml:space="preserve"> </w:t>
      </w:r>
      <w:r w:rsidRPr="00FD211F">
        <w:rPr>
          <w:sz w:val="36"/>
          <w:szCs w:val="36"/>
          <w:rtl/>
        </w:rPr>
        <w:t>من</w:t>
      </w:r>
      <w:r w:rsidR="00E8128F">
        <w:rPr>
          <w:sz w:val="36"/>
          <w:szCs w:val="36"/>
          <w:rtl/>
        </w:rPr>
        <w:t xml:space="preserve"> </w:t>
      </w:r>
      <w:r w:rsidR="00BD34F8" w:rsidRPr="00FD211F">
        <w:rPr>
          <w:sz w:val="36"/>
          <w:szCs w:val="36"/>
          <w:rtl/>
        </w:rPr>
        <w:t>ان</w:t>
      </w:r>
      <w:r w:rsidR="00E8128F">
        <w:rPr>
          <w:sz w:val="36"/>
          <w:szCs w:val="36"/>
          <w:rtl/>
        </w:rPr>
        <w:t xml:space="preserve"> </w:t>
      </w:r>
      <w:r w:rsidR="00BD34F8" w:rsidRPr="00FD211F">
        <w:rPr>
          <w:sz w:val="36"/>
          <w:szCs w:val="36"/>
          <w:rtl/>
        </w:rPr>
        <w:t>انحاء</w:t>
      </w:r>
      <w:r w:rsidR="00E8128F">
        <w:rPr>
          <w:sz w:val="36"/>
          <w:szCs w:val="36"/>
          <w:rtl/>
        </w:rPr>
        <w:t xml:space="preserve"> </w:t>
      </w:r>
      <w:r w:rsidR="00BD34F8" w:rsidRPr="00FD211F">
        <w:rPr>
          <w:sz w:val="36"/>
          <w:szCs w:val="36"/>
          <w:rtl/>
        </w:rPr>
        <w:t>التلبس</w:t>
      </w:r>
      <w:r w:rsidR="00E8128F">
        <w:rPr>
          <w:sz w:val="36"/>
          <w:szCs w:val="36"/>
          <w:rtl/>
        </w:rPr>
        <w:t xml:space="preserve"> </w:t>
      </w:r>
      <w:r w:rsidR="00BD34F8" w:rsidRPr="00FD211F">
        <w:rPr>
          <w:sz w:val="36"/>
          <w:szCs w:val="36"/>
          <w:rtl/>
        </w:rPr>
        <w:t>كالتلبس</w:t>
      </w:r>
      <w:r w:rsidR="00E8128F">
        <w:rPr>
          <w:sz w:val="36"/>
          <w:szCs w:val="36"/>
          <w:rtl/>
        </w:rPr>
        <w:t xml:space="preserve"> </w:t>
      </w:r>
      <w:r w:rsidR="00BD34F8" w:rsidRPr="00FD211F">
        <w:rPr>
          <w:sz w:val="36"/>
          <w:szCs w:val="36"/>
          <w:rtl/>
        </w:rPr>
        <w:t>الحلولي</w:t>
      </w:r>
      <w:r w:rsidR="00E8128F">
        <w:rPr>
          <w:sz w:val="36"/>
          <w:szCs w:val="36"/>
          <w:rtl/>
        </w:rPr>
        <w:t xml:space="preserve"> </w:t>
      </w:r>
      <w:r w:rsidR="00BD34F8" w:rsidRPr="00FD211F">
        <w:rPr>
          <w:sz w:val="36"/>
          <w:szCs w:val="36"/>
          <w:rtl/>
        </w:rPr>
        <w:t>والصدوري</w:t>
      </w:r>
      <w:r w:rsidR="00E8128F">
        <w:rPr>
          <w:sz w:val="36"/>
          <w:szCs w:val="36"/>
          <w:rtl/>
        </w:rPr>
        <w:t xml:space="preserve"> </w:t>
      </w:r>
      <w:r w:rsidR="00BD34F8" w:rsidRPr="00FD211F">
        <w:rPr>
          <w:sz w:val="36"/>
          <w:szCs w:val="36"/>
          <w:rtl/>
        </w:rPr>
        <w:t>والاتحادي</w:t>
      </w:r>
      <w:r w:rsidR="00E8128F">
        <w:rPr>
          <w:sz w:val="36"/>
          <w:szCs w:val="36"/>
          <w:rtl/>
        </w:rPr>
        <w:t xml:space="preserve"> </w:t>
      </w:r>
      <w:r w:rsidR="00BD34F8" w:rsidRPr="00FD211F">
        <w:rPr>
          <w:sz w:val="36"/>
          <w:szCs w:val="36"/>
          <w:rtl/>
        </w:rPr>
        <w:t>انحاء</w:t>
      </w:r>
      <w:r w:rsidR="00E8128F">
        <w:rPr>
          <w:sz w:val="36"/>
          <w:szCs w:val="36"/>
          <w:rtl/>
        </w:rPr>
        <w:t xml:space="preserve"> </w:t>
      </w:r>
      <w:r w:rsidR="00BD34F8" w:rsidRPr="00FD211F">
        <w:rPr>
          <w:sz w:val="36"/>
          <w:szCs w:val="36"/>
          <w:rtl/>
        </w:rPr>
        <w:t>من</w:t>
      </w:r>
      <w:r w:rsidR="00E8128F">
        <w:rPr>
          <w:sz w:val="36"/>
          <w:szCs w:val="36"/>
          <w:rtl/>
        </w:rPr>
        <w:t xml:space="preserve"> </w:t>
      </w:r>
      <w:r w:rsidR="00BD34F8" w:rsidRPr="00FD211F">
        <w:rPr>
          <w:sz w:val="36"/>
          <w:szCs w:val="36"/>
          <w:rtl/>
        </w:rPr>
        <w:t>النسب</w:t>
      </w:r>
      <w:r w:rsidR="00E8128F">
        <w:rPr>
          <w:sz w:val="36"/>
          <w:szCs w:val="36"/>
          <w:rtl/>
        </w:rPr>
        <w:t xml:space="preserve"> </w:t>
      </w:r>
      <w:r w:rsidR="00BD34F8" w:rsidRPr="00FD211F">
        <w:rPr>
          <w:sz w:val="36"/>
          <w:szCs w:val="36"/>
          <w:rtl/>
        </w:rPr>
        <w:t>ولاجامع</w:t>
      </w:r>
      <w:r w:rsidR="00E8128F">
        <w:rPr>
          <w:sz w:val="36"/>
          <w:szCs w:val="36"/>
          <w:rtl/>
        </w:rPr>
        <w:t xml:space="preserve"> </w:t>
      </w:r>
      <w:r w:rsidR="00BD34F8" w:rsidRPr="00FD211F">
        <w:rPr>
          <w:sz w:val="36"/>
          <w:szCs w:val="36"/>
          <w:rtl/>
        </w:rPr>
        <w:t>ذاتي</w:t>
      </w:r>
      <w:r w:rsidR="00E8128F">
        <w:rPr>
          <w:sz w:val="36"/>
          <w:szCs w:val="36"/>
          <w:rtl/>
        </w:rPr>
        <w:t xml:space="preserve"> </w:t>
      </w:r>
      <w:r w:rsidR="00BD34F8" w:rsidRPr="00FD211F">
        <w:rPr>
          <w:sz w:val="36"/>
          <w:szCs w:val="36"/>
          <w:rtl/>
        </w:rPr>
        <w:t>بينها</w:t>
      </w:r>
      <w:r w:rsidR="00E8128F">
        <w:rPr>
          <w:sz w:val="36"/>
          <w:szCs w:val="36"/>
          <w:rtl/>
        </w:rPr>
        <w:t xml:space="preserve"> </w:t>
      </w:r>
      <w:r w:rsidR="00BD34F8" w:rsidRPr="00FD211F">
        <w:rPr>
          <w:sz w:val="36"/>
          <w:szCs w:val="36"/>
          <w:rtl/>
        </w:rPr>
        <w:t>فان</w:t>
      </w:r>
      <w:r w:rsidR="00E8128F">
        <w:rPr>
          <w:sz w:val="36"/>
          <w:szCs w:val="36"/>
          <w:rtl/>
        </w:rPr>
        <w:t xml:space="preserve"> </w:t>
      </w:r>
      <w:r w:rsidR="00BD34F8" w:rsidRPr="00FD211F">
        <w:rPr>
          <w:sz w:val="36"/>
          <w:szCs w:val="36"/>
          <w:rtl/>
        </w:rPr>
        <w:t>المراد</w:t>
      </w:r>
      <w:r w:rsidR="00E8128F">
        <w:rPr>
          <w:sz w:val="36"/>
          <w:szCs w:val="36"/>
          <w:rtl/>
        </w:rPr>
        <w:t xml:space="preserve"> </w:t>
      </w:r>
      <w:r w:rsidR="00BD34F8" w:rsidRPr="00FD211F">
        <w:rPr>
          <w:sz w:val="36"/>
          <w:szCs w:val="36"/>
          <w:rtl/>
        </w:rPr>
        <w:t>ليس</w:t>
      </w:r>
      <w:r w:rsidR="00E8128F">
        <w:rPr>
          <w:sz w:val="36"/>
          <w:szCs w:val="36"/>
          <w:rtl/>
        </w:rPr>
        <w:t xml:space="preserve"> </w:t>
      </w:r>
      <w:r w:rsidR="00BD34F8" w:rsidRPr="00FD211F">
        <w:rPr>
          <w:sz w:val="36"/>
          <w:szCs w:val="36"/>
          <w:rtl/>
        </w:rPr>
        <w:t>اخذ</w:t>
      </w:r>
      <w:r w:rsidR="00E8128F">
        <w:rPr>
          <w:sz w:val="36"/>
          <w:szCs w:val="36"/>
          <w:rtl/>
        </w:rPr>
        <w:t xml:space="preserve"> </w:t>
      </w:r>
      <w:r w:rsidR="00BD34F8" w:rsidRPr="00FD211F">
        <w:rPr>
          <w:sz w:val="36"/>
          <w:szCs w:val="36"/>
          <w:rtl/>
        </w:rPr>
        <w:t>المفهوم</w:t>
      </w:r>
      <w:r w:rsidR="00E8128F">
        <w:rPr>
          <w:sz w:val="36"/>
          <w:szCs w:val="36"/>
          <w:rtl/>
        </w:rPr>
        <w:t xml:space="preserve"> </w:t>
      </w:r>
      <w:r w:rsidR="00BD34F8" w:rsidRPr="00FD211F">
        <w:rPr>
          <w:sz w:val="36"/>
          <w:szCs w:val="36"/>
          <w:rtl/>
        </w:rPr>
        <w:t>الاسمي</w:t>
      </w:r>
      <w:r w:rsidR="00E8128F">
        <w:rPr>
          <w:sz w:val="36"/>
          <w:szCs w:val="36"/>
          <w:rtl/>
        </w:rPr>
        <w:t xml:space="preserve"> </w:t>
      </w:r>
      <w:r w:rsidR="00BD34F8" w:rsidRPr="00FD211F">
        <w:rPr>
          <w:sz w:val="36"/>
          <w:szCs w:val="36"/>
          <w:rtl/>
        </w:rPr>
        <w:t>للتلبس</w:t>
      </w:r>
      <w:r w:rsidR="00E8128F">
        <w:rPr>
          <w:sz w:val="36"/>
          <w:szCs w:val="36"/>
          <w:rtl/>
        </w:rPr>
        <w:t xml:space="preserve"> </w:t>
      </w:r>
      <w:r w:rsidR="00BD34F8" w:rsidRPr="00FD211F">
        <w:rPr>
          <w:sz w:val="36"/>
          <w:szCs w:val="36"/>
          <w:rtl/>
        </w:rPr>
        <w:t>في</w:t>
      </w:r>
      <w:r w:rsidR="00E8128F">
        <w:rPr>
          <w:sz w:val="36"/>
          <w:szCs w:val="36"/>
          <w:rtl/>
        </w:rPr>
        <w:t xml:space="preserve"> </w:t>
      </w:r>
      <w:r w:rsidR="00BD34F8" w:rsidRPr="00FD211F">
        <w:rPr>
          <w:sz w:val="36"/>
          <w:szCs w:val="36"/>
          <w:rtl/>
        </w:rPr>
        <w:t>المشتق</w:t>
      </w:r>
      <w:r w:rsidR="00E8128F">
        <w:rPr>
          <w:sz w:val="36"/>
          <w:szCs w:val="36"/>
          <w:rtl/>
        </w:rPr>
        <w:t xml:space="preserve"> </w:t>
      </w:r>
      <w:r w:rsidR="00BD34F8" w:rsidRPr="00FD211F">
        <w:rPr>
          <w:sz w:val="36"/>
          <w:szCs w:val="36"/>
          <w:rtl/>
        </w:rPr>
        <w:t>لعدم</w:t>
      </w:r>
      <w:r w:rsidR="00E8128F">
        <w:rPr>
          <w:sz w:val="36"/>
          <w:szCs w:val="36"/>
          <w:rtl/>
        </w:rPr>
        <w:t xml:space="preserve"> </w:t>
      </w:r>
      <w:r w:rsidR="00BD34F8" w:rsidRPr="00FD211F">
        <w:rPr>
          <w:sz w:val="36"/>
          <w:szCs w:val="36"/>
          <w:rtl/>
        </w:rPr>
        <w:t>انسباقه</w:t>
      </w:r>
      <w:r w:rsidR="00E8128F">
        <w:rPr>
          <w:sz w:val="36"/>
          <w:szCs w:val="36"/>
          <w:rtl/>
        </w:rPr>
        <w:t xml:space="preserve"> </w:t>
      </w:r>
      <w:r w:rsidR="00BD34F8" w:rsidRPr="00FD211F">
        <w:rPr>
          <w:sz w:val="36"/>
          <w:szCs w:val="36"/>
          <w:rtl/>
        </w:rPr>
        <w:t>منه</w:t>
      </w:r>
      <w:r w:rsidR="00E8128F">
        <w:rPr>
          <w:sz w:val="36"/>
          <w:szCs w:val="36"/>
          <w:rtl/>
        </w:rPr>
        <w:t xml:space="preserve"> </w:t>
      </w:r>
      <w:r w:rsidR="00BD34F8" w:rsidRPr="00FD211F">
        <w:rPr>
          <w:sz w:val="36"/>
          <w:szCs w:val="36"/>
          <w:rtl/>
        </w:rPr>
        <w:t>وجدانا</w:t>
      </w:r>
      <w:r w:rsidR="00E8128F">
        <w:rPr>
          <w:sz w:val="36"/>
          <w:szCs w:val="36"/>
          <w:rtl/>
        </w:rPr>
        <w:t xml:space="preserve"> </w:t>
      </w:r>
      <w:r w:rsidR="00BD34F8" w:rsidRPr="00FD211F">
        <w:rPr>
          <w:sz w:val="36"/>
          <w:szCs w:val="36"/>
          <w:rtl/>
        </w:rPr>
        <w:t>بل</w:t>
      </w:r>
      <w:r w:rsidR="00E8128F">
        <w:rPr>
          <w:sz w:val="36"/>
          <w:szCs w:val="36"/>
          <w:rtl/>
        </w:rPr>
        <w:t xml:space="preserve"> </w:t>
      </w:r>
      <w:r w:rsidR="00BD34F8" w:rsidRPr="00FD211F">
        <w:rPr>
          <w:sz w:val="36"/>
          <w:szCs w:val="36"/>
          <w:rtl/>
        </w:rPr>
        <w:t>المراد</w:t>
      </w:r>
      <w:r w:rsidR="00E8128F">
        <w:rPr>
          <w:sz w:val="36"/>
          <w:szCs w:val="36"/>
          <w:rtl/>
        </w:rPr>
        <w:t xml:space="preserve"> </w:t>
      </w:r>
      <w:r w:rsidR="00BD34F8" w:rsidRPr="00FD211F">
        <w:rPr>
          <w:sz w:val="36"/>
          <w:szCs w:val="36"/>
          <w:rtl/>
        </w:rPr>
        <w:t>النسب</w:t>
      </w:r>
      <w:r w:rsidR="00EC7EDF" w:rsidRPr="00FD211F">
        <w:rPr>
          <w:sz w:val="36"/>
          <w:szCs w:val="36"/>
          <w:rtl/>
        </w:rPr>
        <w:t>ة</w:t>
      </w:r>
      <w:r w:rsidR="00E8128F">
        <w:rPr>
          <w:sz w:val="36"/>
          <w:szCs w:val="36"/>
          <w:rtl/>
        </w:rPr>
        <w:t xml:space="preserve"> </w:t>
      </w:r>
      <w:r w:rsidR="00BD34F8" w:rsidRPr="00FD211F">
        <w:rPr>
          <w:sz w:val="36"/>
          <w:szCs w:val="36"/>
          <w:rtl/>
        </w:rPr>
        <w:t>التلبسي</w:t>
      </w:r>
      <w:r w:rsidR="00EC7EDF" w:rsidRPr="00FD211F">
        <w:rPr>
          <w:sz w:val="36"/>
          <w:szCs w:val="36"/>
          <w:rtl/>
        </w:rPr>
        <w:t>ة</w:t>
      </w:r>
      <w:r w:rsidR="00E8128F">
        <w:rPr>
          <w:sz w:val="36"/>
          <w:szCs w:val="36"/>
          <w:rtl/>
        </w:rPr>
        <w:t xml:space="preserve"> </w:t>
      </w:r>
      <w:r w:rsidR="00BD34F8" w:rsidRPr="00FD211F">
        <w:rPr>
          <w:sz w:val="36"/>
          <w:szCs w:val="36"/>
          <w:rtl/>
        </w:rPr>
        <w:t>بالمعنى</w:t>
      </w:r>
      <w:r w:rsidR="00E8128F">
        <w:rPr>
          <w:sz w:val="36"/>
          <w:szCs w:val="36"/>
          <w:rtl/>
        </w:rPr>
        <w:t xml:space="preserve"> </w:t>
      </w:r>
      <w:r w:rsidR="00BD34F8" w:rsidRPr="00FD211F">
        <w:rPr>
          <w:sz w:val="36"/>
          <w:szCs w:val="36"/>
          <w:rtl/>
        </w:rPr>
        <w:t>الحرفي</w:t>
      </w:r>
      <w:r w:rsidR="00E8128F">
        <w:rPr>
          <w:sz w:val="36"/>
          <w:szCs w:val="36"/>
          <w:rtl/>
        </w:rPr>
        <w:t xml:space="preserve"> </w:t>
      </w:r>
      <w:r w:rsidR="00BD34F8" w:rsidRPr="00FD211F">
        <w:rPr>
          <w:sz w:val="36"/>
          <w:szCs w:val="36"/>
          <w:rtl/>
        </w:rPr>
        <w:t>ولاجامع</w:t>
      </w:r>
      <w:r w:rsidR="00E8128F">
        <w:rPr>
          <w:sz w:val="36"/>
          <w:szCs w:val="36"/>
          <w:rtl/>
        </w:rPr>
        <w:t xml:space="preserve"> </w:t>
      </w:r>
      <w:r w:rsidR="00BD34F8" w:rsidRPr="00FD211F">
        <w:rPr>
          <w:sz w:val="36"/>
          <w:szCs w:val="36"/>
          <w:rtl/>
        </w:rPr>
        <w:t>ذاتي</w:t>
      </w:r>
      <w:r w:rsidR="00E8128F">
        <w:rPr>
          <w:sz w:val="36"/>
          <w:szCs w:val="36"/>
          <w:rtl/>
        </w:rPr>
        <w:t xml:space="preserve"> </w:t>
      </w:r>
      <w:r w:rsidR="00BD34F8" w:rsidRPr="00FD211F">
        <w:rPr>
          <w:sz w:val="36"/>
          <w:szCs w:val="36"/>
          <w:rtl/>
        </w:rPr>
        <w:t>بين</w:t>
      </w:r>
      <w:r w:rsidR="00E8128F">
        <w:rPr>
          <w:sz w:val="36"/>
          <w:szCs w:val="36"/>
          <w:rtl/>
        </w:rPr>
        <w:t xml:space="preserve"> </w:t>
      </w:r>
      <w:r w:rsidR="00BD34F8" w:rsidRPr="00FD211F">
        <w:rPr>
          <w:sz w:val="36"/>
          <w:szCs w:val="36"/>
          <w:rtl/>
        </w:rPr>
        <w:t>النسب</w:t>
      </w:r>
      <w:r w:rsidR="00EC7EDF" w:rsidRPr="00FD211F">
        <w:rPr>
          <w:sz w:val="36"/>
          <w:szCs w:val="36"/>
          <w:rtl/>
        </w:rPr>
        <w:t>ة</w:t>
      </w:r>
      <w:r w:rsidR="00E8128F">
        <w:rPr>
          <w:sz w:val="36"/>
          <w:szCs w:val="36"/>
          <w:rtl/>
        </w:rPr>
        <w:t xml:space="preserve"> </w:t>
      </w:r>
      <w:r w:rsidR="00BD34F8" w:rsidRPr="00FD211F">
        <w:rPr>
          <w:sz w:val="36"/>
          <w:szCs w:val="36"/>
          <w:rtl/>
        </w:rPr>
        <w:t>الحلولي</w:t>
      </w:r>
      <w:r w:rsidR="00EC7EDF" w:rsidRPr="00FD211F">
        <w:rPr>
          <w:sz w:val="36"/>
          <w:szCs w:val="36"/>
          <w:rtl/>
        </w:rPr>
        <w:t>ة</w:t>
      </w:r>
      <w:r w:rsidR="00E8128F">
        <w:rPr>
          <w:sz w:val="36"/>
          <w:szCs w:val="36"/>
          <w:rtl/>
        </w:rPr>
        <w:t xml:space="preserve"> </w:t>
      </w:r>
      <w:r w:rsidR="00BD34F8" w:rsidRPr="00FD211F">
        <w:rPr>
          <w:sz w:val="36"/>
          <w:szCs w:val="36"/>
          <w:rtl/>
        </w:rPr>
        <w:t>والصدوري</w:t>
      </w:r>
      <w:r w:rsidR="00EC7EDF" w:rsidRPr="00FD211F">
        <w:rPr>
          <w:sz w:val="36"/>
          <w:szCs w:val="36"/>
          <w:rtl/>
        </w:rPr>
        <w:t>ة</w:t>
      </w:r>
      <w:r w:rsidR="00E8128F">
        <w:rPr>
          <w:sz w:val="36"/>
          <w:szCs w:val="36"/>
          <w:rtl/>
        </w:rPr>
        <w:t xml:space="preserve"> </w:t>
      </w:r>
      <w:r w:rsidR="00BD34F8" w:rsidRPr="00FD211F">
        <w:rPr>
          <w:sz w:val="36"/>
          <w:szCs w:val="36"/>
          <w:rtl/>
        </w:rPr>
        <w:t>والعيني</w:t>
      </w:r>
      <w:r w:rsidR="00EC7EDF" w:rsidRPr="00FD211F">
        <w:rPr>
          <w:sz w:val="36"/>
          <w:szCs w:val="36"/>
          <w:rtl/>
        </w:rPr>
        <w:t>ة</w:t>
      </w:r>
      <w:r w:rsidR="00E8128F">
        <w:rPr>
          <w:sz w:val="36"/>
          <w:szCs w:val="36"/>
          <w:rtl/>
        </w:rPr>
        <w:t xml:space="preserve"> </w:t>
      </w:r>
      <w:r w:rsidR="00BD34F8" w:rsidRPr="00FD211F">
        <w:rPr>
          <w:sz w:val="36"/>
          <w:szCs w:val="36"/>
          <w:rtl/>
        </w:rPr>
        <w:t>فلامناص</w:t>
      </w:r>
      <w:r w:rsidR="00E8128F">
        <w:rPr>
          <w:sz w:val="36"/>
          <w:szCs w:val="36"/>
          <w:rtl/>
        </w:rPr>
        <w:t xml:space="preserve"> </w:t>
      </w:r>
      <w:r w:rsidR="00BD34F8" w:rsidRPr="00FD211F">
        <w:rPr>
          <w:sz w:val="36"/>
          <w:szCs w:val="36"/>
          <w:rtl/>
        </w:rPr>
        <w:t>الا</w:t>
      </w:r>
      <w:r w:rsidR="00E8128F">
        <w:rPr>
          <w:sz w:val="36"/>
          <w:szCs w:val="36"/>
          <w:rtl/>
        </w:rPr>
        <w:t xml:space="preserve"> </w:t>
      </w:r>
      <w:r w:rsidR="00BD34F8" w:rsidRPr="00FD211F">
        <w:rPr>
          <w:sz w:val="36"/>
          <w:szCs w:val="36"/>
          <w:rtl/>
        </w:rPr>
        <w:t>من</w:t>
      </w:r>
      <w:r w:rsidR="00E8128F">
        <w:rPr>
          <w:sz w:val="36"/>
          <w:szCs w:val="36"/>
          <w:rtl/>
        </w:rPr>
        <w:t xml:space="preserve"> </w:t>
      </w:r>
      <w:r w:rsidR="00BD34F8" w:rsidRPr="00FD211F">
        <w:rPr>
          <w:sz w:val="36"/>
          <w:szCs w:val="36"/>
          <w:rtl/>
        </w:rPr>
        <w:t>وضع</w:t>
      </w:r>
      <w:r w:rsidR="00E8128F">
        <w:rPr>
          <w:sz w:val="36"/>
          <w:szCs w:val="36"/>
          <w:rtl/>
        </w:rPr>
        <w:t xml:space="preserve"> </w:t>
      </w:r>
      <w:r w:rsidR="00BD34F8" w:rsidRPr="00FD211F">
        <w:rPr>
          <w:sz w:val="36"/>
          <w:szCs w:val="36"/>
          <w:rtl/>
        </w:rPr>
        <w:t>المشتق</w:t>
      </w:r>
      <w:r w:rsidR="00E8128F">
        <w:rPr>
          <w:sz w:val="36"/>
          <w:szCs w:val="36"/>
          <w:rtl/>
        </w:rPr>
        <w:t xml:space="preserve"> </w:t>
      </w:r>
      <w:r w:rsidR="00BD34F8" w:rsidRPr="00FD211F">
        <w:rPr>
          <w:sz w:val="36"/>
          <w:szCs w:val="36"/>
          <w:rtl/>
        </w:rPr>
        <w:t>لاحدها</w:t>
      </w:r>
      <w:r w:rsidR="00E8128F">
        <w:rPr>
          <w:sz w:val="36"/>
          <w:szCs w:val="36"/>
          <w:rtl/>
        </w:rPr>
        <w:t xml:space="preserve"> </w:t>
      </w:r>
      <w:r w:rsidR="00BD34F8" w:rsidRPr="00FD211F">
        <w:rPr>
          <w:sz w:val="36"/>
          <w:szCs w:val="36"/>
          <w:rtl/>
        </w:rPr>
        <w:t>واستعماله</w:t>
      </w:r>
      <w:r w:rsidR="00E8128F">
        <w:rPr>
          <w:sz w:val="36"/>
          <w:szCs w:val="36"/>
          <w:rtl/>
        </w:rPr>
        <w:t xml:space="preserve"> </w:t>
      </w:r>
      <w:r w:rsidR="00BD34F8" w:rsidRPr="00FD211F">
        <w:rPr>
          <w:sz w:val="36"/>
          <w:szCs w:val="36"/>
          <w:rtl/>
        </w:rPr>
        <w:t>في</w:t>
      </w:r>
      <w:r w:rsidR="00E8128F">
        <w:rPr>
          <w:sz w:val="36"/>
          <w:szCs w:val="36"/>
          <w:rtl/>
        </w:rPr>
        <w:t xml:space="preserve"> </w:t>
      </w:r>
      <w:r w:rsidR="00BD34F8" w:rsidRPr="00FD211F">
        <w:rPr>
          <w:sz w:val="36"/>
          <w:szCs w:val="36"/>
          <w:rtl/>
        </w:rPr>
        <w:t>الباقي</w:t>
      </w:r>
      <w:r w:rsidR="00E8128F">
        <w:rPr>
          <w:sz w:val="36"/>
          <w:szCs w:val="36"/>
          <w:rtl/>
        </w:rPr>
        <w:t xml:space="preserve"> </w:t>
      </w:r>
      <w:r w:rsidR="00BD34F8" w:rsidRPr="00FD211F">
        <w:rPr>
          <w:sz w:val="36"/>
          <w:szCs w:val="36"/>
          <w:rtl/>
        </w:rPr>
        <w:t>مجازا</w:t>
      </w:r>
      <w:r w:rsidR="00E8128F">
        <w:rPr>
          <w:sz w:val="36"/>
          <w:szCs w:val="36"/>
          <w:rtl/>
        </w:rPr>
        <w:t xml:space="preserve"> </w:t>
      </w:r>
      <w:r w:rsidR="00BD34F8" w:rsidRPr="00FD211F">
        <w:rPr>
          <w:sz w:val="36"/>
          <w:szCs w:val="36"/>
          <w:rtl/>
        </w:rPr>
        <w:t>او</w:t>
      </w:r>
      <w:r w:rsidR="00E8128F">
        <w:rPr>
          <w:sz w:val="36"/>
          <w:szCs w:val="36"/>
          <w:rtl/>
        </w:rPr>
        <w:t xml:space="preserve"> </w:t>
      </w:r>
      <w:r w:rsidR="00BD34F8" w:rsidRPr="00FD211F">
        <w:rPr>
          <w:sz w:val="36"/>
          <w:szCs w:val="36"/>
          <w:rtl/>
        </w:rPr>
        <w:t>وضعه</w:t>
      </w:r>
      <w:r w:rsidR="00E8128F">
        <w:rPr>
          <w:sz w:val="36"/>
          <w:szCs w:val="36"/>
          <w:rtl/>
        </w:rPr>
        <w:t xml:space="preserve"> </w:t>
      </w:r>
      <w:r w:rsidR="00BD34F8" w:rsidRPr="00FD211F">
        <w:rPr>
          <w:sz w:val="36"/>
          <w:szCs w:val="36"/>
          <w:rtl/>
        </w:rPr>
        <w:t>للجميع</w:t>
      </w:r>
      <w:r w:rsidR="00E8128F">
        <w:rPr>
          <w:sz w:val="36"/>
          <w:szCs w:val="36"/>
          <w:rtl/>
        </w:rPr>
        <w:t xml:space="preserve"> </w:t>
      </w:r>
      <w:r w:rsidR="00BD34F8" w:rsidRPr="00FD211F">
        <w:rPr>
          <w:sz w:val="36"/>
          <w:szCs w:val="36"/>
          <w:rtl/>
        </w:rPr>
        <w:t>بنحو</w:t>
      </w:r>
      <w:r w:rsidR="00E8128F">
        <w:rPr>
          <w:sz w:val="36"/>
          <w:szCs w:val="36"/>
          <w:rtl/>
        </w:rPr>
        <w:t xml:space="preserve"> </w:t>
      </w:r>
      <w:r w:rsidR="00BD34F8" w:rsidRPr="00FD211F">
        <w:rPr>
          <w:sz w:val="36"/>
          <w:szCs w:val="36"/>
          <w:rtl/>
        </w:rPr>
        <w:t>الوضع</w:t>
      </w:r>
      <w:r w:rsidR="00E8128F">
        <w:rPr>
          <w:sz w:val="36"/>
          <w:szCs w:val="36"/>
          <w:rtl/>
        </w:rPr>
        <w:t xml:space="preserve"> </w:t>
      </w:r>
      <w:r w:rsidR="00BD34F8" w:rsidRPr="00FD211F">
        <w:rPr>
          <w:sz w:val="36"/>
          <w:szCs w:val="36"/>
          <w:rtl/>
        </w:rPr>
        <w:t>العام</w:t>
      </w:r>
      <w:r w:rsidR="00E8128F">
        <w:rPr>
          <w:sz w:val="36"/>
          <w:szCs w:val="36"/>
          <w:rtl/>
        </w:rPr>
        <w:t xml:space="preserve"> </w:t>
      </w:r>
      <w:r w:rsidR="00BD34F8" w:rsidRPr="00FD211F">
        <w:rPr>
          <w:sz w:val="36"/>
          <w:szCs w:val="36"/>
          <w:rtl/>
        </w:rPr>
        <w:t>والموضوع</w:t>
      </w:r>
      <w:r w:rsidR="00E8128F">
        <w:rPr>
          <w:sz w:val="36"/>
          <w:szCs w:val="36"/>
          <w:rtl/>
        </w:rPr>
        <w:t xml:space="preserve"> </w:t>
      </w:r>
      <w:r w:rsidR="00BD34F8" w:rsidRPr="00FD211F">
        <w:rPr>
          <w:sz w:val="36"/>
          <w:szCs w:val="36"/>
          <w:rtl/>
        </w:rPr>
        <w:t>له</w:t>
      </w:r>
      <w:r w:rsidR="00E8128F">
        <w:rPr>
          <w:sz w:val="36"/>
          <w:szCs w:val="36"/>
          <w:rtl/>
        </w:rPr>
        <w:t xml:space="preserve"> </w:t>
      </w:r>
      <w:r w:rsidR="00BD34F8" w:rsidRPr="00FD211F">
        <w:rPr>
          <w:sz w:val="36"/>
          <w:szCs w:val="36"/>
          <w:rtl/>
        </w:rPr>
        <w:t>الخاص</w:t>
      </w:r>
      <w:r w:rsidR="00E8128F">
        <w:rPr>
          <w:sz w:val="36"/>
          <w:szCs w:val="36"/>
          <w:rtl/>
        </w:rPr>
        <w:t xml:space="preserve"> </w:t>
      </w:r>
      <w:r w:rsidR="00BD34F8" w:rsidRPr="00FD211F">
        <w:rPr>
          <w:sz w:val="36"/>
          <w:szCs w:val="36"/>
          <w:rtl/>
        </w:rPr>
        <w:t>على</w:t>
      </w:r>
      <w:r w:rsidR="00E8128F">
        <w:rPr>
          <w:sz w:val="36"/>
          <w:szCs w:val="36"/>
          <w:rtl/>
        </w:rPr>
        <w:t xml:space="preserve"> </w:t>
      </w:r>
      <w:r w:rsidR="00BD34F8" w:rsidRPr="00FD211F">
        <w:rPr>
          <w:sz w:val="36"/>
          <w:szCs w:val="36"/>
          <w:rtl/>
        </w:rPr>
        <w:t>نحو</w:t>
      </w:r>
      <w:r w:rsidR="00E8128F">
        <w:rPr>
          <w:sz w:val="36"/>
          <w:szCs w:val="36"/>
          <w:rtl/>
        </w:rPr>
        <w:t xml:space="preserve"> </w:t>
      </w:r>
      <w:r w:rsidR="00BD34F8" w:rsidRPr="00FD211F">
        <w:rPr>
          <w:sz w:val="36"/>
          <w:szCs w:val="36"/>
          <w:rtl/>
        </w:rPr>
        <w:t>لايكون</w:t>
      </w:r>
      <w:r w:rsidR="00E8128F">
        <w:rPr>
          <w:sz w:val="36"/>
          <w:szCs w:val="36"/>
          <w:rtl/>
        </w:rPr>
        <w:t xml:space="preserve"> </w:t>
      </w:r>
      <w:r w:rsidR="00BD34F8" w:rsidRPr="00FD211F">
        <w:rPr>
          <w:sz w:val="36"/>
          <w:szCs w:val="36"/>
          <w:rtl/>
        </w:rPr>
        <w:t>ذا</w:t>
      </w:r>
      <w:r w:rsidR="00E8128F">
        <w:rPr>
          <w:sz w:val="36"/>
          <w:szCs w:val="36"/>
          <w:rtl/>
        </w:rPr>
        <w:t xml:space="preserve"> </w:t>
      </w:r>
      <w:r w:rsidR="00BD34F8" w:rsidRPr="00FD211F">
        <w:rPr>
          <w:sz w:val="36"/>
          <w:szCs w:val="36"/>
          <w:rtl/>
        </w:rPr>
        <w:t>معنى</w:t>
      </w:r>
      <w:r w:rsidR="00E8128F">
        <w:rPr>
          <w:sz w:val="36"/>
          <w:szCs w:val="36"/>
          <w:rtl/>
        </w:rPr>
        <w:t xml:space="preserve"> </w:t>
      </w:r>
      <w:r w:rsidR="00BD34F8" w:rsidRPr="00FD211F">
        <w:rPr>
          <w:sz w:val="36"/>
          <w:szCs w:val="36"/>
          <w:rtl/>
        </w:rPr>
        <w:t>واحد</w:t>
      </w:r>
      <w:r w:rsidR="00E8128F">
        <w:rPr>
          <w:sz w:val="36"/>
          <w:szCs w:val="36"/>
          <w:rtl/>
        </w:rPr>
        <w:t xml:space="preserve"> </w:t>
      </w:r>
      <w:r w:rsidR="00BD34F8" w:rsidRPr="00FD211F">
        <w:rPr>
          <w:sz w:val="36"/>
          <w:szCs w:val="36"/>
          <w:rtl/>
        </w:rPr>
        <w:t>مشترك</w:t>
      </w:r>
      <w:r w:rsidR="009C58C8" w:rsidRPr="00FD211F">
        <w:rPr>
          <w:rStyle w:val="a6"/>
          <w:sz w:val="36"/>
          <w:szCs w:val="36"/>
          <w:rtl/>
        </w:rPr>
        <w:t>(</w:t>
      </w:r>
      <w:r w:rsidR="009C58C8" w:rsidRPr="00FD211F">
        <w:rPr>
          <w:rStyle w:val="a6"/>
          <w:sz w:val="36"/>
          <w:szCs w:val="36"/>
          <w:rtl/>
        </w:rPr>
        <w:footnoteReference w:id="608"/>
      </w:r>
      <w:r w:rsidR="009C58C8" w:rsidRPr="00FD211F">
        <w:rPr>
          <w:rStyle w:val="a6"/>
          <w:sz w:val="36"/>
          <w:szCs w:val="36"/>
          <w:rtl/>
        </w:rPr>
        <w:t>)</w:t>
      </w:r>
      <w:r w:rsidR="00BD34F8" w:rsidRPr="00FD211F">
        <w:rPr>
          <w:sz w:val="36"/>
          <w:szCs w:val="36"/>
          <w:rtl/>
        </w:rPr>
        <w:t>.</w:t>
      </w:r>
    </w:p>
    <w:p w14:paraId="0F21CDAA" w14:textId="77777777" w:rsidR="0040555A" w:rsidRPr="00FD211F" w:rsidRDefault="003B702A" w:rsidP="009C58C8">
      <w:pPr>
        <w:ind w:left="0" w:firstLine="227"/>
        <w:jc w:val="both"/>
        <w:rPr>
          <w:sz w:val="36"/>
          <w:szCs w:val="36"/>
          <w:rtl/>
        </w:rPr>
      </w:pPr>
      <w:r w:rsidRPr="00FD211F">
        <w:rPr>
          <w:sz w:val="36"/>
          <w:szCs w:val="36"/>
          <w:rtl/>
        </w:rPr>
        <w:t>فيلاحظ</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لامانع</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لوجدان</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للمبدأ</w:t>
      </w:r>
      <w:r w:rsidR="00E8128F">
        <w:rPr>
          <w:sz w:val="36"/>
          <w:szCs w:val="36"/>
          <w:rtl/>
        </w:rPr>
        <w:t xml:space="preserve"> </w:t>
      </w:r>
      <w:r w:rsidRPr="00FD211F">
        <w:rPr>
          <w:sz w:val="36"/>
          <w:szCs w:val="36"/>
          <w:rtl/>
        </w:rPr>
        <w:t>باحد</w:t>
      </w:r>
      <w:r w:rsidR="00E8128F">
        <w:rPr>
          <w:sz w:val="36"/>
          <w:szCs w:val="36"/>
          <w:rtl/>
        </w:rPr>
        <w:t xml:space="preserve"> </w:t>
      </w:r>
      <w:r w:rsidRPr="00FD211F">
        <w:rPr>
          <w:sz w:val="36"/>
          <w:szCs w:val="36"/>
          <w:rtl/>
        </w:rPr>
        <w:t>انحاء</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الوجداني</w:t>
      </w:r>
      <w:r w:rsidR="00EC7EDF" w:rsidRPr="00FD211F">
        <w:rPr>
          <w:sz w:val="36"/>
          <w:szCs w:val="36"/>
          <w:rtl/>
        </w:rPr>
        <w:t>ة</w:t>
      </w:r>
      <w:r w:rsidR="00E8128F">
        <w:rPr>
          <w:sz w:val="36"/>
          <w:szCs w:val="36"/>
          <w:rtl/>
        </w:rPr>
        <w:t xml:space="preserve"> </w:t>
      </w:r>
      <w:r w:rsidR="00A13E0F" w:rsidRPr="00FD211F">
        <w:rPr>
          <w:sz w:val="36"/>
          <w:szCs w:val="36"/>
          <w:rtl/>
        </w:rPr>
        <w:t>فيكون</w:t>
      </w:r>
      <w:r w:rsidR="00E8128F">
        <w:rPr>
          <w:sz w:val="36"/>
          <w:szCs w:val="36"/>
          <w:rtl/>
        </w:rPr>
        <w:t xml:space="preserve"> </w:t>
      </w:r>
      <w:r w:rsidRPr="00FD211F">
        <w:rPr>
          <w:sz w:val="36"/>
          <w:szCs w:val="36"/>
          <w:rtl/>
        </w:rPr>
        <w:t>نظير</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ذكرناه</w:t>
      </w:r>
      <w:r w:rsidR="00E8128F">
        <w:rPr>
          <w:sz w:val="36"/>
          <w:szCs w:val="36"/>
          <w:rtl/>
        </w:rPr>
        <w:t xml:space="preserve"> </w:t>
      </w:r>
      <w:r w:rsidRPr="00FD211F">
        <w:rPr>
          <w:sz w:val="36"/>
          <w:szCs w:val="36"/>
          <w:rtl/>
        </w:rPr>
        <w:t>سابقا</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وضع</w:t>
      </w:r>
      <w:r w:rsidR="00E8128F">
        <w:rPr>
          <w:sz w:val="36"/>
          <w:szCs w:val="36"/>
          <w:rtl/>
        </w:rPr>
        <w:t xml:space="preserve"> </w:t>
      </w:r>
      <w:r w:rsidRPr="00FD211F">
        <w:rPr>
          <w:sz w:val="36"/>
          <w:szCs w:val="36"/>
          <w:rtl/>
        </w:rPr>
        <w:t>هيئ</w:t>
      </w:r>
      <w:r w:rsidR="00EC7EDF" w:rsidRPr="00FD211F">
        <w:rPr>
          <w:sz w:val="36"/>
          <w:szCs w:val="36"/>
          <w:rtl/>
        </w:rPr>
        <w:t>ة</w:t>
      </w:r>
      <w:r w:rsidR="00E8128F">
        <w:rPr>
          <w:sz w:val="36"/>
          <w:szCs w:val="36"/>
          <w:rtl/>
        </w:rPr>
        <w:t xml:space="preserve"> </w:t>
      </w:r>
      <w:r w:rsidRPr="00FD211F">
        <w:rPr>
          <w:sz w:val="36"/>
          <w:szCs w:val="36"/>
          <w:rtl/>
        </w:rPr>
        <w:t>الفاعل</w:t>
      </w:r>
      <w:r w:rsidR="00E8128F">
        <w:rPr>
          <w:sz w:val="36"/>
          <w:szCs w:val="36"/>
          <w:rtl/>
        </w:rPr>
        <w:t xml:space="preserve"> </w:t>
      </w:r>
      <w:r w:rsidRPr="00FD211F">
        <w:rPr>
          <w:sz w:val="36"/>
          <w:szCs w:val="36"/>
          <w:rtl/>
        </w:rPr>
        <w:t>للنسب</w:t>
      </w:r>
      <w:r w:rsidR="00EC7EDF" w:rsidRPr="00FD211F">
        <w:rPr>
          <w:sz w:val="36"/>
          <w:szCs w:val="36"/>
          <w:rtl/>
        </w:rPr>
        <w:t>ة</w:t>
      </w:r>
      <w:r w:rsidR="00E8128F">
        <w:rPr>
          <w:sz w:val="36"/>
          <w:szCs w:val="36"/>
          <w:rtl/>
        </w:rPr>
        <w:t xml:space="preserve"> </w:t>
      </w:r>
      <w:r w:rsidR="00A13E0F" w:rsidRPr="00FD211F">
        <w:rPr>
          <w:sz w:val="36"/>
          <w:szCs w:val="36"/>
          <w:rtl/>
        </w:rPr>
        <w:t>القيامي</w:t>
      </w:r>
      <w:r w:rsidR="00EC7EDF" w:rsidRPr="00FD211F">
        <w:rPr>
          <w:sz w:val="36"/>
          <w:szCs w:val="36"/>
          <w:rtl/>
        </w:rPr>
        <w:t>ة</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الذات</w:t>
      </w:r>
      <w:r w:rsidR="00E8128F">
        <w:rPr>
          <w:sz w:val="36"/>
          <w:szCs w:val="36"/>
          <w:rtl/>
        </w:rPr>
        <w:t xml:space="preserve"> </w:t>
      </w:r>
      <w:r w:rsidRPr="00FD211F">
        <w:rPr>
          <w:sz w:val="36"/>
          <w:szCs w:val="36"/>
          <w:rtl/>
        </w:rPr>
        <w:t>والمبدأ</w:t>
      </w:r>
      <w:r w:rsidR="00E8128F">
        <w:rPr>
          <w:sz w:val="36"/>
          <w:szCs w:val="36"/>
          <w:rtl/>
        </w:rPr>
        <w:t xml:space="preserve"> </w:t>
      </w:r>
      <w:r w:rsidR="00A13E0F" w:rsidRPr="00FD211F">
        <w:rPr>
          <w:sz w:val="36"/>
          <w:szCs w:val="36"/>
          <w:rtl/>
        </w:rPr>
        <w:t>فيكون</w:t>
      </w:r>
      <w:r w:rsidR="00E8128F">
        <w:rPr>
          <w:sz w:val="36"/>
          <w:szCs w:val="36"/>
          <w:rtl/>
        </w:rPr>
        <w:t xml:space="preserve"> </w:t>
      </w:r>
      <w:r w:rsidR="00A13E0F" w:rsidRPr="00FD211F">
        <w:rPr>
          <w:sz w:val="36"/>
          <w:szCs w:val="36"/>
          <w:rtl/>
        </w:rPr>
        <w:t>الفاعل</w:t>
      </w:r>
      <w:r w:rsidR="00E8128F">
        <w:rPr>
          <w:sz w:val="36"/>
          <w:szCs w:val="36"/>
          <w:rtl/>
        </w:rPr>
        <w:t xml:space="preserve"> </w:t>
      </w:r>
      <w:r w:rsidR="00A13E0F" w:rsidRPr="00FD211F">
        <w:rPr>
          <w:sz w:val="36"/>
          <w:szCs w:val="36"/>
          <w:rtl/>
        </w:rPr>
        <w:t>بمعنى</w:t>
      </w:r>
      <w:r w:rsidR="00E8128F">
        <w:rPr>
          <w:sz w:val="36"/>
          <w:szCs w:val="36"/>
          <w:rtl/>
        </w:rPr>
        <w:t xml:space="preserve"> </w:t>
      </w:r>
      <w:r w:rsidR="00A13E0F" w:rsidRPr="00FD211F">
        <w:rPr>
          <w:sz w:val="36"/>
          <w:szCs w:val="36"/>
          <w:rtl/>
        </w:rPr>
        <w:t>ما</w:t>
      </w:r>
      <w:r w:rsidR="00E8128F">
        <w:rPr>
          <w:sz w:val="36"/>
          <w:szCs w:val="36"/>
          <w:rtl/>
        </w:rPr>
        <w:t xml:space="preserve"> </w:t>
      </w:r>
      <w:r w:rsidR="00A13E0F" w:rsidRPr="00FD211F">
        <w:rPr>
          <w:sz w:val="36"/>
          <w:szCs w:val="36"/>
          <w:rtl/>
        </w:rPr>
        <w:t>قام</w:t>
      </w:r>
      <w:r w:rsidR="00E8128F">
        <w:rPr>
          <w:sz w:val="36"/>
          <w:szCs w:val="36"/>
          <w:rtl/>
        </w:rPr>
        <w:t xml:space="preserve"> </w:t>
      </w:r>
      <w:r w:rsidR="00A13E0F" w:rsidRPr="00FD211F">
        <w:rPr>
          <w:sz w:val="36"/>
          <w:szCs w:val="36"/>
          <w:rtl/>
        </w:rPr>
        <w:t>به</w:t>
      </w:r>
      <w:r w:rsidR="00E8128F">
        <w:rPr>
          <w:sz w:val="36"/>
          <w:szCs w:val="36"/>
          <w:rtl/>
        </w:rPr>
        <w:t xml:space="preserve"> </w:t>
      </w:r>
      <w:r w:rsidR="00A13E0F" w:rsidRPr="00FD211F">
        <w:rPr>
          <w:sz w:val="36"/>
          <w:szCs w:val="36"/>
          <w:rtl/>
        </w:rPr>
        <w:t>الفعل</w:t>
      </w:r>
      <w:r w:rsidR="00603323" w:rsidRPr="00FD211F">
        <w:rPr>
          <w:sz w:val="36"/>
          <w:szCs w:val="36"/>
          <w:rtl/>
        </w:rPr>
        <w:t>،</w:t>
      </w:r>
      <w:r w:rsidR="00E8128F">
        <w:rPr>
          <w:sz w:val="36"/>
          <w:szCs w:val="36"/>
          <w:rtl/>
        </w:rPr>
        <w:t xml:space="preserve"> </w:t>
      </w:r>
      <w:r w:rsidRPr="00FD211F">
        <w:rPr>
          <w:sz w:val="36"/>
          <w:szCs w:val="36"/>
          <w:rtl/>
        </w:rPr>
        <w:t>وتكون</w:t>
      </w:r>
      <w:r w:rsidR="00E8128F">
        <w:rPr>
          <w:sz w:val="36"/>
          <w:szCs w:val="36"/>
          <w:rtl/>
        </w:rPr>
        <w:t xml:space="preserve"> </w:t>
      </w:r>
      <w:r w:rsidRPr="00FD211F">
        <w:rPr>
          <w:sz w:val="36"/>
          <w:szCs w:val="36"/>
          <w:rtl/>
        </w:rPr>
        <w:t>خصوصي</w:t>
      </w:r>
      <w:r w:rsidR="00EC7EDF" w:rsidRPr="00FD211F">
        <w:rPr>
          <w:sz w:val="36"/>
          <w:szCs w:val="36"/>
          <w:rtl/>
        </w:rPr>
        <w:t>ة</w:t>
      </w:r>
      <w:r w:rsidR="00E8128F">
        <w:rPr>
          <w:sz w:val="36"/>
          <w:szCs w:val="36"/>
          <w:rtl/>
        </w:rPr>
        <w:t xml:space="preserve"> </w:t>
      </w:r>
      <w:r w:rsidRPr="00FD211F">
        <w:rPr>
          <w:sz w:val="36"/>
          <w:szCs w:val="36"/>
          <w:rtl/>
        </w:rPr>
        <w:t>النسب</w:t>
      </w:r>
      <w:r w:rsidR="00EC7EDF" w:rsidRPr="00FD211F">
        <w:rPr>
          <w:sz w:val="36"/>
          <w:szCs w:val="36"/>
          <w:rtl/>
        </w:rPr>
        <w:t>ة</w:t>
      </w:r>
      <w:r w:rsidR="00E8128F">
        <w:rPr>
          <w:sz w:val="36"/>
          <w:szCs w:val="36"/>
          <w:rtl/>
        </w:rPr>
        <w:t xml:space="preserve"> </w:t>
      </w:r>
      <w:r w:rsidRPr="00FD211F">
        <w:rPr>
          <w:sz w:val="36"/>
          <w:szCs w:val="36"/>
          <w:rtl/>
        </w:rPr>
        <w:t>الصدوري</w:t>
      </w:r>
      <w:r w:rsidR="00EC7EDF" w:rsidRPr="00FD211F">
        <w:rPr>
          <w:sz w:val="36"/>
          <w:szCs w:val="36"/>
          <w:rtl/>
        </w:rPr>
        <w:t>ة</w:t>
      </w:r>
      <w:r w:rsidR="00E8128F">
        <w:rPr>
          <w:sz w:val="36"/>
          <w:szCs w:val="36"/>
          <w:rtl/>
        </w:rPr>
        <w:t xml:space="preserve"> </w:t>
      </w:r>
      <w:r w:rsidRPr="00FD211F">
        <w:rPr>
          <w:sz w:val="36"/>
          <w:szCs w:val="36"/>
          <w:rtl/>
        </w:rPr>
        <w:t>او</w:t>
      </w:r>
      <w:r w:rsidR="00E8128F">
        <w:rPr>
          <w:sz w:val="36"/>
          <w:szCs w:val="36"/>
          <w:rtl/>
        </w:rPr>
        <w:t xml:space="preserve"> </w:t>
      </w:r>
      <w:r w:rsidRPr="00FD211F">
        <w:rPr>
          <w:sz w:val="36"/>
          <w:szCs w:val="36"/>
          <w:rtl/>
        </w:rPr>
        <w:t>الحلولي</w:t>
      </w:r>
      <w:r w:rsidR="00EC7EDF" w:rsidRPr="00FD211F">
        <w:rPr>
          <w:sz w:val="36"/>
          <w:szCs w:val="36"/>
          <w:rtl/>
        </w:rPr>
        <w:t>ة</w:t>
      </w:r>
      <w:r w:rsidR="00E8128F">
        <w:rPr>
          <w:sz w:val="36"/>
          <w:szCs w:val="36"/>
          <w:rtl/>
        </w:rPr>
        <w:t xml:space="preserve"> </w:t>
      </w:r>
      <w:r w:rsidRPr="00FD211F">
        <w:rPr>
          <w:sz w:val="36"/>
          <w:szCs w:val="36"/>
          <w:rtl/>
        </w:rPr>
        <w:t>مستفاد</w:t>
      </w:r>
      <w:r w:rsidR="00EC7EDF" w:rsidRPr="00FD211F">
        <w:rPr>
          <w:sz w:val="36"/>
          <w:szCs w:val="36"/>
          <w:rtl/>
        </w:rPr>
        <w:t>ة</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القرائن</w:t>
      </w:r>
      <w:r w:rsidR="00082A58" w:rsidRPr="00FD211F">
        <w:rPr>
          <w:sz w:val="36"/>
          <w:szCs w:val="36"/>
          <w:rtl/>
        </w:rPr>
        <w:t>.</w:t>
      </w:r>
    </w:p>
    <w:p w14:paraId="1EDBA20A" w14:textId="77777777" w:rsidR="00A13E0F" w:rsidRPr="00FD211F" w:rsidRDefault="00202D2B" w:rsidP="009C58C8">
      <w:pPr>
        <w:pStyle w:val="3"/>
        <w:ind w:firstLine="227"/>
        <w:jc w:val="both"/>
        <w:rPr>
          <w:rtl/>
        </w:rPr>
      </w:pPr>
      <w:bookmarkStart w:id="478" w:name="_Toc192092957"/>
      <w:bookmarkStart w:id="479" w:name="_Toc223890441"/>
      <w:r w:rsidRPr="00FD211F">
        <w:rPr>
          <w:rtl/>
        </w:rPr>
        <w:t>تفصيل</w:t>
      </w:r>
      <w:r w:rsidR="00E8128F">
        <w:rPr>
          <w:rtl/>
        </w:rPr>
        <w:t xml:space="preserve"> </w:t>
      </w:r>
      <w:r w:rsidR="00A13E0F" w:rsidRPr="00FD211F">
        <w:rPr>
          <w:rtl/>
        </w:rPr>
        <w:t>صاحب</w:t>
      </w:r>
      <w:r w:rsidR="00E8128F">
        <w:rPr>
          <w:rtl/>
        </w:rPr>
        <w:t xml:space="preserve"> </w:t>
      </w:r>
      <w:r w:rsidR="00A13E0F" w:rsidRPr="00FD211F">
        <w:rPr>
          <w:rtl/>
        </w:rPr>
        <w:t>الفصول</w:t>
      </w:r>
      <w:r w:rsidR="00E8128F">
        <w:rPr>
          <w:rtl/>
        </w:rPr>
        <w:t xml:space="preserve"> </w:t>
      </w:r>
      <w:r w:rsidR="00A13E0F" w:rsidRPr="00FD211F">
        <w:rPr>
          <w:rtl/>
        </w:rPr>
        <w:t>بين</w:t>
      </w:r>
      <w:r w:rsidR="00E8128F">
        <w:rPr>
          <w:rtl/>
        </w:rPr>
        <w:t xml:space="preserve"> </w:t>
      </w:r>
      <w:r w:rsidR="00A13E0F" w:rsidRPr="00FD211F">
        <w:rPr>
          <w:rtl/>
        </w:rPr>
        <w:t>التجوز</w:t>
      </w:r>
      <w:r w:rsidR="00E8128F">
        <w:rPr>
          <w:rtl/>
        </w:rPr>
        <w:t xml:space="preserve"> </w:t>
      </w:r>
      <w:r w:rsidR="00A13E0F" w:rsidRPr="00FD211F">
        <w:rPr>
          <w:rtl/>
        </w:rPr>
        <w:t>في</w:t>
      </w:r>
      <w:r w:rsidR="00E8128F">
        <w:rPr>
          <w:rtl/>
        </w:rPr>
        <w:t xml:space="preserve"> </w:t>
      </w:r>
      <w:r w:rsidR="00A13E0F" w:rsidRPr="00FD211F">
        <w:rPr>
          <w:rtl/>
        </w:rPr>
        <w:t>الاسناد</w:t>
      </w:r>
      <w:r w:rsidR="00E8128F">
        <w:rPr>
          <w:rtl/>
        </w:rPr>
        <w:t xml:space="preserve"> </w:t>
      </w:r>
      <w:r w:rsidR="00A13E0F" w:rsidRPr="00FD211F">
        <w:rPr>
          <w:rtl/>
        </w:rPr>
        <w:t>والتجوز</w:t>
      </w:r>
      <w:r w:rsidR="00E8128F">
        <w:rPr>
          <w:rtl/>
        </w:rPr>
        <w:t xml:space="preserve"> </w:t>
      </w:r>
      <w:r w:rsidR="00A13E0F" w:rsidRPr="00FD211F">
        <w:rPr>
          <w:rtl/>
        </w:rPr>
        <w:t>في</w:t>
      </w:r>
      <w:r w:rsidR="00E8128F">
        <w:rPr>
          <w:rtl/>
        </w:rPr>
        <w:t xml:space="preserve"> </w:t>
      </w:r>
      <w:r w:rsidR="00A13E0F" w:rsidRPr="00FD211F">
        <w:rPr>
          <w:rtl/>
        </w:rPr>
        <w:t>الكلم</w:t>
      </w:r>
      <w:r w:rsidR="00EC7EDF" w:rsidRPr="00FD211F">
        <w:rPr>
          <w:rtl/>
        </w:rPr>
        <w:t>ة</w:t>
      </w:r>
      <w:bookmarkEnd w:id="479"/>
      <w:r w:rsidR="00E8128F">
        <w:rPr>
          <w:rtl/>
        </w:rPr>
        <w:t xml:space="preserve"> </w:t>
      </w:r>
      <w:bookmarkEnd w:id="478"/>
    </w:p>
    <w:p w14:paraId="6AE424B5" w14:textId="77777777" w:rsidR="00A13E0F" w:rsidRPr="00FD211F" w:rsidRDefault="00082A58" w:rsidP="009C58C8">
      <w:pPr>
        <w:ind w:left="0" w:firstLine="227"/>
        <w:jc w:val="both"/>
        <w:rPr>
          <w:sz w:val="36"/>
          <w:szCs w:val="36"/>
          <w:rtl/>
        </w:rPr>
      </w:pPr>
      <w:r w:rsidRPr="00FD211F">
        <w:rPr>
          <w:b/>
          <w:bCs/>
          <w:sz w:val="36"/>
          <w:szCs w:val="36"/>
          <w:rtl/>
        </w:rPr>
        <w:t>الجه</w:t>
      </w:r>
      <w:r w:rsidR="00EC7EDF" w:rsidRPr="00FD211F">
        <w:rPr>
          <w:b/>
          <w:bCs/>
          <w:sz w:val="36"/>
          <w:szCs w:val="36"/>
          <w:rtl/>
        </w:rPr>
        <w:t>ة</w:t>
      </w:r>
      <w:r w:rsidR="00E8128F">
        <w:rPr>
          <w:b/>
          <w:bCs/>
          <w:sz w:val="36"/>
          <w:szCs w:val="36"/>
          <w:rtl/>
        </w:rPr>
        <w:t xml:space="preserve"> </w:t>
      </w:r>
      <w:r w:rsidRPr="00FD211F">
        <w:rPr>
          <w:b/>
          <w:bCs/>
          <w:sz w:val="36"/>
          <w:szCs w:val="36"/>
          <w:rtl/>
        </w:rPr>
        <w:t>التاسع</w:t>
      </w:r>
      <w:r w:rsidR="00EC7EDF" w:rsidRPr="00FD211F">
        <w:rPr>
          <w:b/>
          <w:bCs/>
          <w:sz w:val="36"/>
          <w:szCs w:val="36"/>
          <w:rtl/>
        </w:rPr>
        <w:t>ة</w:t>
      </w:r>
      <w:r w:rsidR="00057D31" w:rsidRPr="00FD211F">
        <w:rPr>
          <w:b/>
          <w:bCs/>
          <w:sz w:val="36"/>
          <w:szCs w:val="36"/>
          <w:rtl/>
        </w:rPr>
        <w:t>:</w:t>
      </w:r>
      <w:r w:rsidR="00E8128F">
        <w:rPr>
          <w:sz w:val="36"/>
          <w:szCs w:val="36"/>
          <w:rtl/>
        </w:rPr>
        <w:t xml:space="preserve"> </w:t>
      </w:r>
      <w:r w:rsidRPr="00FD211F">
        <w:rPr>
          <w:sz w:val="36"/>
          <w:szCs w:val="36"/>
          <w:rtl/>
        </w:rPr>
        <w:t>حكي</w:t>
      </w:r>
      <w:r w:rsidR="00E8128F">
        <w:rPr>
          <w:sz w:val="36"/>
          <w:szCs w:val="36"/>
          <w:rtl/>
        </w:rPr>
        <w:t xml:space="preserve"> </w:t>
      </w:r>
      <w:r w:rsidRPr="00FD211F">
        <w:rPr>
          <w:sz w:val="36"/>
          <w:szCs w:val="36"/>
          <w:rtl/>
        </w:rPr>
        <w:t>عن</w:t>
      </w:r>
      <w:r w:rsidR="00E8128F">
        <w:rPr>
          <w:sz w:val="36"/>
          <w:szCs w:val="36"/>
          <w:rtl/>
        </w:rPr>
        <w:t xml:space="preserve"> </w:t>
      </w:r>
      <w:r w:rsidRPr="00FD211F">
        <w:rPr>
          <w:sz w:val="36"/>
          <w:szCs w:val="36"/>
          <w:rtl/>
        </w:rPr>
        <w:t>صاحب</w:t>
      </w:r>
      <w:r w:rsidR="00E8128F">
        <w:rPr>
          <w:sz w:val="36"/>
          <w:szCs w:val="36"/>
          <w:rtl/>
        </w:rPr>
        <w:t xml:space="preserve"> </w:t>
      </w:r>
      <w:r w:rsidRPr="00FD211F">
        <w:rPr>
          <w:sz w:val="36"/>
          <w:szCs w:val="36"/>
          <w:rtl/>
        </w:rPr>
        <w:t>الفصول</w:t>
      </w:r>
      <w:r w:rsidR="005A6E41" w:rsidRPr="00FD211F">
        <w:rPr>
          <w:sz w:val="36"/>
          <w:szCs w:val="36"/>
          <w:rtl/>
        </w:rPr>
        <w:t>"قده"</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قال</w:t>
      </w:r>
      <w:r w:rsidR="00E8128F">
        <w:rPr>
          <w:sz w:val="36"/>
          <w:szCs w:val="36"/>
          <w:rtl/>
        </w:rPr>
        <w:t xml:space="preserve"> </w:t>
      </w:r>
      <w:r w:rsidRPr="00FD211F">
        <w:rPr>
          <w:sz w:val="36"/>
          <w:szCs w:val="36"/>
          <w:rtl/>
        </w:rPr>
        <w:t>يعتبر</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صدق</w:t>
      </w:r>
      <w:r w:rsidR="00E8128F">
        <w:rPr>
          <w:sz w:val="36"/>
          <w:szCs w:val="36"/>
          <w:rtl/>
        </w:rPr>
        <w:t xml:space="preserve"> </w:t>
      </w:r>
      <w:r w:rsidRPr="00FD211F">
        <w:rPr>
          <w:sz w:val="36"/>
          <w:szCs w:val="36"/>
          <w:rtl/>
        </w:rPr>
        <w:t>المشتق</w:t>
      </w:r>
      <w:r w:rsidR="00E8128F">
        <w:rPr>
          <w:sz w:val="36"/>
          <w:szCs w:val="36"/>
          <w:rtl/>
        </w:rPr>
        <w:t xml:space="preserve"> </w:t>
      </w:r>
      <w:r w:rsidRPr="00FD211F">
        <w:rPr>
          <w:sz w:val="36"/>
          <w:szCs w:val="36"/>
          <w:rtl/>
        </w:rPr>
        <w:t>حقيق</w:t>
      </w:r>
      <w:r w:rsidR="00EC7EDF" w:rsidRPr="00FD211F">
        <w:rPr>
          <w:sz w:val="36"/>
          <w:szCs w:val="36"/>
          <w:rtl/>
        </w:rPr>
        <w:t>ة</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اسناده</w:t>
      </w:r>
      <w:r w:rsidR="00E8128F">
        <w:rPr>
          <w:sz w:val="36"/>
          <w:szCs w:val="36"/>
          <w:rtl/>
        </w:rPr>
        <w:t xml:space="preserve"> </w:t>
      </w:r>
      <w:r w:rsidRPr="00FD211F">
        <w:rPr>
          <w:sz w:val="36"/>
          <w:szCs w:val="36"/>
          <w:rtl/>
        </w:rPr>
        <w:t>حقيقيا</w:t>
      </w:r>
      <w:r w:rsidR="00E8128F">
        <w:rPr>
          <w:sz w:val="36"/>
          <w:szCs w:val="36"/>
          <w:rtl/>
        </w:rPr>
        <w:t xml:space="preserve"> </w:t>
      </w:r>
      <w:r w:rsidRPr="00FD211F">
        <w:rPr>
          <w:sz w:val="36"/>
          <w:szCs w:val="36"/>
          <w:rtl/>
        </w:rPr>
        <w:t>فيكون</w:t>
      </w:r>
      <w:r w:rsidR="00E8128F">
        <w:rPr>
          <w:sz w:val="36"/>
          <w:szCs w:val="36"/>
          <w:rtl/>
        </w:rPr>
        <w:t xml:space="preserve"> </w:t>
      </w:r>
      <w:r w:rsidRPr="00FD211F">
        <w:rPr>
          <w:sz w:val="36"/>
          <w:szCs w:val="36"/>
          <w:rtl/>
        </w:rPr>
        <w:t>قولنا</w:t>
      </w:r>
      <w:r w:rsidR="00E8128F">
        <w:rPr>
          <w:sz w:val="36"/>
          <w:szCs w:val="36"/>
          <w:rtl/>
        </w:rPr>
        <w:t xml:space="preserve"> </w:t>
      </w:r>
      <w:r w:rsidR="005A6E41" w:rsidRPr="00FD211F">
        <w:rPr>
          <w:sz w:val="36"/>
          <w:szCs w:val="36"/>
          <w:rtl/>
        </w:rPr>
        <w:t>"</w:t>
      </w:r>
      <w:r w:rsidRPr="00FD211F">
        <w:rPr>
          <w:sz w:val="36"/>
          <w:szCs w:val="36"/>
          <w:rtl/>
        </w:rPr>
        <w:t>الميزاب</w:t>
      </w:r>
      <w:r w:rsidR="00E8128F">
        <w:rPr>
          <w:sz w:val="36"/>
          <w:szCs w:val="36"/>
          <w:rtl/>
        </w:rPr>
        <w:t xml:space="preserve"> </w:t>
      </w:r>
      <w:r w:rsidRPr="00FD211F">
        <w:rPr>
          <w:sz w:val="36"/>
          <w:szCs w:val="36"/>
          <w:rtl/>
        </w:rPr>
        <w:t>جار</w:t>
      </w:r>
      <w:r w:rsidR="005A6E41" w:rsidRPr="00FD211F">
        <w:rPr>
          <w:sz w:val="36"/>
          <w:szCs w:val="36"/>
          <w:rtl/>
        </w:rPr>
        <w:t>"</w:t>
      </w:r>
      <w:r w:rsidR="00E8128F">
        <w:rPr>
          <w:sz w:val="36"/>
          <w:szCs w:val="36"/>
          <w:rtl/>
        </w:rPr>
        <w:t xml:space="preserve"> </w:t>
      </w:r>
      <w:r w:rsidRPr="00FD211F">
        <w:rPr>
          <w:sz w:val="36"/>
          <w:szCs w:val="36"/>
          <w:rtl/>
        </w:rPr>
        <w:t>او</w:t>
      </w:r>
      <w:r w:rsidR="00E8128F">
        <w:rPr>
          <w:sz w:val="36"/>
          <w:szCs w:val="36"/>
          <w:rtl/>
        </w:rPr>
        <w:t xml:space="preserve"> </w:t>
      </w:r>
      <w:r w:rsidR="005A6E41" w:rsidRPr="00FD211F">
        <w:rPr>
          <w:sz w:val="36"/>
          <w:szCs w:val="36"/>
          <w:rtl/>
        </w:rPr>
        <w:t>قولنا"</w:t>
      </w:r>
      <w:r w:rsidRPr="00FD211F">
        <w:rPr>
          <w:sz w:val="36"/>
          <w:szCs w:val="36"/>
          <w:rtl/>
        </w:rPr>
        <w:t>جالس</w:t>
      </w:r>
      <w:r w:rsidR="00E8128F">
        <w:rPr>
          <w:sz w:val="36"/>
          <w:szCs w:val="36"/>
          <w:rtl/>
        </w:rPr>
        <w:t xml:space="preserve"> </w:t>
      </w:r>
      <w:r w:rsidRPr="00FD211F">
        <w:rPr>
          <w:sz w:val="36"/>
          <w:szCs w:val="36"/>
          <w:rtl/>
        </w:rPr>
        <w:t>السفين</w:t>
      </w:r>
      <w:r w:rsidR="00EC7EDF" w:rsidRPr="00FD211F">
        <w:rPr>
          <w:sz w:val="36"/>
          <w:szCs w:val="36"/>
          <w:rtl/>
        </w:rPr>
        <w:t>ة</w:t>
      </w:r>
      <w:r w:rsidR="00E8128F">
        <w:rPr>
          <w:sz w:val="36"/>
          <w:szCs w:val="36"/>
          <w:rtl/>
        </w:rPr>
        <w:t xml:space="preserve"> </w:t>
      </w:r>
      <w:r w:rsidRPr="00FD211F">
        <w:rPr>
          <w:sz w:val="36"/>
          <w:szCs w:val="36"/>
          <w:rtl/>
        </w:rPr>
        <w:t>متحرك</w:t>
      </w:r>
      <w:r w:rsidR="005A6E41" w:rsidRPr="00FD211F">
        <w:rPr>
          <w:sz w:val="36"/>
          <w:szCs w:val="36"/>
          <w:rtl/>
        </w:rPr>
        <w:t>"</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الاستعمال</w:t>
      </w:r>
      <w:r w:rsidR="00E8128F">
        <w:rPr>
          <w:sz w:val="36"/>
          <w:szCs w:val="36"/>
          <w:rtl/>
        </w:rPr>
        <w:t xml:space="preserve"> </w:t>
      </w:r>
      <w:r w:rsidRPr="00FD211F">
        <w:rPr>
          <w:sz w:val="36"/>
          <w:szCs w:val="36"/>
          <w:rtl/>
        </w:rPr>
        <w:t>المجازي</w:t>
      </w:r>
      <w:r w:rsidR="00E8128F">
        <w:rPr>
          <w:sz w:val="36"/>
          <w:szCs w:val="36"/>
          <w:rtl/>
        </w:rPr>
        <w:t xml:space="preserve"> </w:t>
      </w:r>
      <w:r w:rsidRPr="00FD211F">
        <w:rPr>
          <w:sz w:val="36"/>
          <w:szCs w:val="36"/>
          <w:rtl/>
        </w:rPr>
        <w:t>للمشتق</w:t>
      </w:r>
      <w:r w:rsidR="00A13E0F" w:rsidRPr="00FD211F">
        <w:rPr>
          <w:sz w:val="36"/>
          <w:szCs w:val="36"/>
          <w:rtl/>
        </w:rPr>
        <w:t>.</w:t>
      </w:r>
    </w:p>
    <w:p w14:paraId="4D61341B" w14:textId="77777777" w:rsidR="007A4A0D" w:rsidRPr="00FD211F" w:rsidRDefault="00082A58" w:rsidP="009C58C8">
      <w:pPr>
        <w:ind w:left="0" w:firstLine="227"/>
        <w:jc w:val="both"/>
        <w:rPr>
          <w:sz w:val="36"/>
          <w:szCs w:val="36"/>
          <w:rtl/>
        </w:rPr>
      </w:pPr>
      <w:r w:rsidRPr="00FD211F">
        <w:rPr>
          <w:sz w:val="36"/>
          <w:szCs w:val="36"/>
          <w:rtl/>
        </w:rPr>
        <w:t>وقد</w:t>
      </w:r>
      <w:r w:rsidR="00E8128F">
        <w:rPr>
          <w:sz w:val="36"/>
          <w:szCs w:val="36"/>
          <w:rtl/>
        </w:rPr>
        <w:t xml:space="preserve"> </w:t>
      </w:r>
      <w:r w:rsidRPr="00FD211F">
        <w:rPr>
          <w:sz w:val="36"/>
          <w:szCs w:val="36"/>
          <w:rtl/>
        </w:rPr>
        <w:t>اورد</w:t>
      </w:r>
      <w:r w:rsidR="00E8128F">
        <w:rPr>
          <w:sz w:val="36"/>
          <w:szCs w:val="36"/>
          <w:rtl/>
        </w:rPr>
        <w:t xml:space="preserve"> </w:t>
      </w:r>
      <w:r w:rsidRPr="00FD211F">
        <w:rPr>
          <w:sz w:val="36"/>
          <w:szCs w:val="36"/>
          <w:rtl/>
        </w:rPr>
        <w:t>عليه</w:t>
      </w:r>
      <w:r w:rsidR="00E8128F">
        <w:rPr>
          <w:sz w:val="36"/>
          <w:szCs w:val="36"/>
          <w:rtl/>
        </w:rPr>
        <w:t xml:space="preserve"> </w:t>
      </w:r>
      <w:r w:rsidRPr="00FD211F">
        <w:rPr>
          <w:sz w:val="36"/>
          <w:szCs w:val="36"/>
          <w:rtl/>
        </w:rPr>
        <w:t>صاحب</w:t>
      </w:r>
      <w:r w:rsidR="00E8128F">
        <w:rPr>
          <w:sz w:val="36"/>
          <w:szCs w:val="36"/>
          <w:rtl/>
        </w:rPr>
        <w:t xml:space="preserve"> </w:t>
      </w:r>
      <w:r w:rsidRPr="00FD211F">
        <w:rPr>
          <w:sz w:val="36"/>
          <w:szCs w:val="36"/>
          <w:rtl/>
        </w:rPr>
        <w:t>الكفاي</w:t>
      </w:r>
      <w:r w:rsidR="00EC7EDF" w:rsidRPr="00FD211F">
        <w:rPr>
          <w:sz w:val="36"/>
          <w:szCs w:val="36"/>
          <w:rtl/>
        </w:rPr>
        <w:t>ة</w:t>
      </w:r>
      <w:r w:rsidR="00E8128F">
        <w:rPr>
          <w:sz w:val="36"/>
          <w:szCs w:val="36"/>
          <w:rtl/>
        </w:rPr>
        <w:t xml:space="preserve"> </w:t>
      </w:r>
      <w:r w:rsidR="005A6E41" w:rsidRPr="00FD211F">
        <w:rPr>
          <w:sz w:val="36"/>
          <w:szCs w:val="36"/>
          <w:rtl/>
        </w:rPr>
        <w:t>"قده"</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وقع</w:t>
      </w:r>
      <w:r w:rsidR="00E8128F">
        <w:rPr>
          <w:sz w:val="36"/>
          <w:szCs w:val="36"/>
          <w:rtl/>
        </w:rPr>
        <w:t xml:space="preserve"> </w:t>
      </w:r>
      <w:r w:rsidRPr="00FD211F">
        <w:rPr>
          <w:sz w:val="36"/>
          <w:szCs w:val="36"/>
          <w:rtl/>
        </w:rPr>
        <w:t>الخلط</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كلامه</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المجاز</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الكلم</w:t>
      </w:r>
      <w:r w:rsidR="00EC7EDF" w:rsidRPr="00FD211F">
        <w:rPr>
          <w:sz w:val="36"/>
          <w:szCs w:val="36"/>
          <w:rtl/>
        </w:rPr>
        <w:t>ة</w:t>
      </w:r>
      <w:r w:rsidR="00E8128F">
        <w:rPr>
          <w:sz w:val="36"/>
          <w:szCs w:val="36"/>
          <w:rtl/>
        </w:rPr>
        <w:t xml:space="preserve"> </w:t>
      </w:r>
      <w:r w:rsidRPr="00FD211F">
        <w:rPr>
          <w:sz w:val="36"/>
          <w:szCs w:val="36"/>
          <w:rtl/>
        </w:rPr>
        <w:t>والمجاز</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الإسناد</w:t>
      </w:r>
      <w:r w:rsidR="00603323" w:rsidRPr="00FD211F">
        <w:rPr>
          <w:sz w:val="36"/>
          <w:szCs w:val="36"/>
          <w:rtl/>
        </w:rPr>
        <w:t>،</w:t>
      </w:r>
      <w:r w:rsidR="00E8128F">
        <w:rPr>
          <w:sz w:val="36"/>
          <w:szCs w:val="36"/>
          <w:rtl/>
        </w:rPr>
        <w:t xml:space="preserve"> </w:t>
      </w:r>
      <w:r w:rsidRPr="00FD211F">
        <w:rPr>
          <w:sz w:val="36"/>
          <w:szCs w:val="36"/>
          <w:rtl/>
        </w:rPr>
        <w:t>فان</w:t>
      </w:r>
      <w:r w:rsidR="00E8128F">
        <w:rPr>
          <w:sz w:val="36"/>
          <w:szCs w:val="36"/>
          <w:rtl/>
        </w:rPr>
        <w:t xml:space="preserve"> </w:t>
      </w:r>
      <w:r w:rsidRPr="00FD211F">
        <w:rPr>
          <w:sz w:val="36"/>
          <w:szCs w:val="36"/>
          <w:rtl/>
        </w:rPr>
        <w:t>اسناد</w:t>
      </w:r>
      <w:r w:rsidR="00E8128F">
        <w:rPr>
          <w:sz w:val="36"/>
          <w:szCs w:val="36"/>
          <w:rtl/>
        </w:rPr>
        <w:t xml:space="preserve"> </w:t>
      </w:r>
      <w:r w:rsidRPr="00FD211F">
        <w:rPr>
          <w:sz w:val="36"/>
          <w:szCs w:val="36"/>
          <w:rtl/>
        </w:rPr>
        <w:t>الجريان</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الميزاب</w:t>
      </w:r>
      <w:r w:rsidR="00E8128F">
        <w:rPr>
          <w:sz w:val="36"/>
          <w:szCs w:val="36"/>
          <w:rtl/>
        </w:rPr>
        <w:t xml:space="preserve"> </w:t>
      </w:r>
      <w:r w:rsidRPr="00FD211F">
        <w:rPr>
          <w:sz w:val="36"/>
          <w:szCs w:val="36"/>
          <w:rtl/>
        </w:rPr>
        <w:t>وان</w:t>
      </w:r>
      <w:r w:rsidR="00E8128F">
        <w:rPr>
          <w:sz w:val="36"/>
          <w:szCs w:val="36"/>
          <w:rtl/>
        </w:rPr>
        <w:t xml:space="preserve"> </w:t>
      </w:r>
      <w:r w:rsidRPr="00FD211F">
        <w:rPr>
          <w:sz w:val="36"/>
          <w:szCs w:val="36"/>
          <w:rtl/>
        </w:rPr>
        <w:t>كان</w:t>
      </w:r>
      <w:r w:rsidR="00E8128F">
        <w:rPr>
          <w:sz w:val="36"/>
          <w:szCs w:val="36"/>
          <w:rtl/>
        </w:rPr>
        <w:t xml:space="preserve"> </w:t>
      </w:r>
      <w:r w:rsidRPr="00FD211F">
        <w:rPr>
          <w:sz w:val="36"/>
          <w:szCs w:val="36"/>
          <w:rtl/>
        </w:rPr>
        <w:t>اسنادا</w:t>
      </w:r>
      <w:r w:rsidR="00E8128F">
        <w:rPr>
          <w:sz w:val="36"/>
          <w:szCs w:val="36"/>
          <w:rtl/>
        </w:rPr>
        <w:t xml:space="preserve"> </w:t>
      </w:r>
      <w:r w:rsidRPr="00FD211F">
        <w:rPr>
          <w:sz w:val="36"/>
          <w:szCs w:val="36"/>
          <w:rtl/>
        </w:rPr>
        <w:t>الى</w:t>
      </w:r>
      <w:r w:rsidR="00E8128F">
        <w:rPr>
          <w:sz w:val="36"/>
          <w:szCs w:val="36"/>
          <w:rtl/>
        </w:rPr>
        <w:t xml:space="preserve"> </w:t>
      </w:r>
      <w:r w:rsidRPr="00FD211F">
        <w:rPr>
          <w:sz w:val="36"/>
          <w:szCs w:val="36"/>
          <w:rtl/>
        </w:rPr>
        <w:t>غير</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له</w:t>
      </w:r>
      <w:r w:rsidR="00603323" w:rsidRPr="00FD211F">
        <w:rPr>
          <w:sz w:val="36"/>
          <w:szCs w:val="36"/>
          <w:rtl/>
        </w:rPr>
        <w:t>،</w:t>
      </w:r>
      <w:r w:rsidR="00E8128F">
        <w:rPr>
          <w:sz w:val="36"/>
          <w:szCs w:val="36"/>
          <w:rtl/>
        </w:rPr>
        <w:t xml:space="preserve"> </w:t>
      </w:r>
      <w:r w:rsidRPr="00FD211F">
        <w:rPr>
          <w:sz w:val="36"/>
          <w:szCs w:val="36"/>
          <w:rtl/>
        </w:rPr>
        <w:t>لكنه</w:t>
      </w:r>
      <w:r w:rsidR="00E8128F">
        <w:rPr>
          <w:sz w:val="36"/>
          <w:szCs w:val="36"/>
          <w:rtl/>
        </w:rPr>
        <w:t xml:space="preserve"> </w:t>
      </w:r>
      <w:r w:rsidRPr="00FD211F">
        <w:rPr>
          <w:sz w:val="36"/>
          <w:szCs w:val="36"/>
          <w:rtl/>
        </w:rPr>
        <w:t>يكون</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المجاز</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الإسناد</w:t>
      </w:r>
      <w:r w:rsidR="00E8128F">
        <w:rPr>
          <w:sz w:val="36"/>
          <w:szCs w:val="36"/>
          <w:rtl/>
        </w:rPr>
        <w:t xml:space="preserve"> </w:t>
      </w:r>
      <w:r w:rsidRPr="00FD211F">
        <w:rPr>
          <w:sz w:val="36"/>
          <w:szCs w:val="36"/>
          <w:rtl/>
        </w:rPr>
        <w:t>لافي</w:t>
      </w:r>
      <w:r w:rsidR="00E8128F">
        <w:rPr>
          <w:sz w:val="36"/>
          <w:szCs w:val="36"/>
          <w:rtl/>
        </w:rPr>
        <w:t xml:space="preserve"> </w:t>
      </w:r>
      <w:r w:rsidRPr="00FD211F">
        <w:rPr>
          <w:sz w:val="36"/>
          <w:szCs w:val="36"/>
          <w:rtl/>
        </w:rPr>
        <w:t>الكلم</w:t>
      </w:r>
      <w:r w:rsidR="00EC7EDF" w:rsidRPr="00FD211F">
        <w:rPr>
          <w:sz w:val="36"/>
          <w:szCs w:val="36"/>
          <w:rtl/>
        </w:rPr>
        <w:t>ة</w:t>
      </w:r>
      <w:r w:rsidR="00E8128F">
        <w:rPr>
          <w:sz w:val="36"/>
          <w:szCs w:val="36"/>
          <w:rtl/>
        </w:rPr>
        <w:t xml:space="preserve"> </w:t>
      </w:r>
      <w:r w:rsidR="005A6E41" w:rsidRPr="00FD211F">
        <w:rPr>
          <w:sz w:val="36"/>
          <w:szCs w:val="36"/>
          <w:rtl/>
        </w:rPr>
        <w:t>–حيث</w:t>
      </w:r>
      <w:r w:rsidR="00E8128F">
        <w:rPr>
          <w:sz w:val="36"/>
          <w:szCs w:val="36"/>
          <w:rtl/>
        </w:rPr>
        <w:t xml:space="preserve"> </w:t>
      </w:r>
      <w:r w:rsidR="008D7B3D" w:rsidRPr="00FD211F">
        <w:rPr>
          <w:sz w:val="36"/>
          <w:szCs w:val="36"/>
          <w:rtl/>
        </w:rPr>
        <w:t>لم‌</w:t>
      </w:r>
      <w:r w:rsidR="005A6E41" w:rsidRPr="00FD211F">
        <w:rPr>
          <w:sz w:val="36"/>
          <w:szCs w:val="36"/>
          <w:rtl/>
        </w:rPr>
        <w:t>يستعمل</w:t>
      </w:r>
      <w:r w:rsidR="00E8128F">
        <w:rPr>
          <w:sz w:val="36"/>
          <w:szCs w:val="36"/>
          <w:rtl/>
        </w:rPr>
        <w:t xml:space="preserve"> </w:t>
      </w:r>
      <w:r w:rsidR="005A6E41" w:rsidRPr="00FD211F">
        <w:rPr>
          <w:sz w:val="36"/>
          <w:szCs w:val="36"/>
          <w:rtl/>
        </w:rPr>
        <w:t>لفظ</w:t>
      </w:r>
      <w:r w:rsidR="00E8128F">
        <w:rPr>
          <w:sz w:val="36"/>
          <w:szCs w:val="36"/>
          <w:rtl/>
        </w:rPr>
        <w:t xml:space="preserve"> </w:t>
      </w:r>
      <w:r w:rsidR="005A6E41" w:rsidRPr="00FD211F">
        <w:rPr>
          <w:sz w:val="36"/>
          <w:szCs w:val="36"/>
          <w:rtl/>
        </w:rPr>
        <w:t>الجريان</w:t>
      </w:r>
      <w:r w:rsidR="00E8128F">
        <w:rPr>
          <w:sz w:val="36"/>
          <w:szCs w:val="36"/>
          <w:rtl/>
        </w:rPr>
        <w:t xml:space="preserve"> </w:t>
      </w:r>
      <w:r w:rsidR="005A6E41" w:rsidRPr="00FD211F">
        <w:rPr>
          <w:sz w:val="36"/>
          <w:szCs w:val="36"/>
          <w:rtl/>
        </w:rPr>
        <w:t>في</w:t>
      </w:r>
      <w:r w:rsidR="00E8128F">
        <w:rPr>
          <w:sz w:val="36"/>
          <w:szCs w:val="36"/>
          <w:rtl/>
        </w:rPr>
        <w:t xml:space="preserve"> </w:t>
      </w:r>
      <w:r w:rsidR="005A6E41" w:rsidRPr="00FD211F">
        <w:rPr>
          <w:sz w:val="36"/>
          <w:szCs w:val="36"/>
          <w:rtl/>
        </w:rPr>
        <w:t>معنى</w:t>
      </w:r>
      <w:r w:rsidR="00E8128F">
        <w:rPr>
          <w:sz w:val="36"/>
          <w:szCs w:val="36"/>
          <w:rtl/>
        </w:rPr>
        <w:t xml:space="preserve"> </w:t>
      </w:r>
      <w:r w:rsidR="005A6E41" w:rsidRPr="00FD211F">
        <w:rPr>
          <w:sz w:val="36"/>
          <w:szCs w:val="36"/>
          <w:rtl/>
        </w:rPr>
        <w:t>آخر</w:t>
      </w:r>
      <w:r w:rsidR="00E8128F">
        <w:rPr>
          <w:sz w:val="36"/>
          <w:szCs w:val="36"/>
          <w:rtl/>
        </w:rPr>
        <w:t xml:space="preserve"> </w:t>
      </w:r>
      <w:r w:rsidR="005A6E41" w:rsidRPr="00FD211F">
        <w:rPr>
          <w:sz w:val="36"/>
          <w:szCs w:val="36"/>
          <w:rtl/>
        </w:rPr>
        <w:t>غير</w:t>
      </w:r>
      <w:r w:rsidR="00E8128F">
        <w:rPr>
          <w:sz w:val="36"/>
          <w:szCs w:val="36"/>
          <w:rtl/>
        </w:rPr>
        <w:t xml:space="preserve"> </w:t>
      </w:r>
      <w:r w:rsidR="005A6E41" w:rsidRPr="00FD211F">
        <w:rPr>
          <w:sz w:val="36"/>
          <w:szCs w:val="36"/>
          <w:rtl/>
        </w:rPr>
        <w:t>ما</w:t>
      </w:r>
      <w:r w:rsidR="00E8128F">
        <w:rPr>
          <w:sz w:val="36"/>
          <w:szCs w:val="36"/>
          <w:rtl/>
        </w:rPr>
        <w:t xml:space="preserve"> </w:t>
      </w:r>
      <w:r w:rsidR="005A6E41" w:rsidRPr="00FD211F">
        <w:rPr>
          <w:sz w:val="36"/>
          <w:szCs w:val="36"/>
          <w:rtl/>
        </w:rPr>
        <w:t>وضع</w:t>
      </w:r>
      <w:r w:rsidR="00E8128F">
        <w:rPr>
          <w:sz w:val="36"/>
          <w:szCs w:val="36"/>
          <w:rtl/>
        </w:rPr>
        <w:t xml:space="preserve"> </w:t>
      </w:r>
      <w:r w:rsidR="005A6E41" w:rsidRPr="00FD211F">
        <w:rPr>
          <w:sz w:val="36"/>
          <w:szCs w:val="36"/>
          <w:rtl/>
        </w:rPr>
        <w:t>له</w:t>
      </w:r>
      <w:r w:rsidR="00E8128F">
        <w:rPr>
          <w:sz w:val="36"/>
          <w:szCs w:val="36"/>
          <w:rtl/>
        </w:rPr>
        <w:t xml:space="preserve"> </w:t>
      </w:r>
      <w:r w:rsidR="005A6E41" w:rsidRPr="00FD211F">
        <w:rPr>
          <w:sz w:val="36"/>
          <w:szCs w:val="36"/>
          <w:rtl/>
        </w:rPr>
        <w:t>وانما</w:t>
      </w:r>
      <w:r w:rsidR="00E8128F">
        <w:rPr>
          <w:sz w:val="36"/>
          <w:szCs w:val="36"/>
          <w:rtl/>
        </w:rPr>
        <w:t xml:space="preserve"> </w:t>
      </w:r>
      <w:r w:rsidR="005A6E41" w:rsidRPr="00FD211F">
        <w:rPr>
          <w:sz w:val="36"/>
          <w:szCs w:val="36"/>
          <w:rtl/>
        </w:rPr>
        <w:t>اسند</w:t>
      </w:r>
      <w:r w:rsidR="00E8128F">
        <w:rPr>
          <w:sz w:val="36"/>
          <w:szCs w:val="36"/>
          <w:rtl/>
        </w:rPr>
        <w:t xml:space="preserve"> </w:t>
      </w:r>
      <w:r w:rsidR="005A6E41" w:rsidRPr="00FD211F">
        <w:rPr>
          <w:sz w:val="36"/>
          <w:szCs w:val="36"/>
          <w:rtl/>
        </w:rPr>
        <w:t>الى</w:t>
      </w:r>
      <w:r w:rsidR="00E8128F">
        <w:rPr>
          <w:sz w:val="36"/>
          <w:szCs w:val="36"/>
          <w:rtl/>
        </w:rPr>
        <w:t xml:space="preserve"> </w:t>
      </w:r>
      <w:r w:rsidR="005A6E41" w:rsidRPr="00FD211F">
        <w:rPr>
          <w:sz w:val="36"/>
          <w:szCs w:val="36"/>
          <w:rtl/>
        </w:rPr>
        <w:t>الميزاب</w:t>
      </w:r>
      <w:r w:rsidR="00E8128F">
        <w:rPr>
          <w:sz w:val="36"/>
          <w:szCs w:val="36"/>
          <w:rtl/>
        </w:rPr>
        <w:t xml:space="preserve"> </w:t>
      </w:r>
      <w:r w:rsidR="005A6E41" w:rsidRPr="00FD211F">
        <w:rPr>
          <w:sz w:val="36"/>
          <w:szCs w:val="36"/>
          <w:rtl/>
        </w:rPr>
        <w:t>مجازا</w:t>
      </w:r>
      <w:r w:rsidR="00E8128F">
        <w:rPr>
          <w:sz w:val="36"/>
          <w:szCs w:val="36"/>
          <w:rtl/>
        </w:rPr>
        <w:t xml:space="preserve"> </w:t>
      </w:r>
      <w:r w:rsidR="005A6E41" w:rsidRPr="00FD211F">
        <w:rPr>
          <w:sz w:val="36"/>
          <w:szCs w:val="36"/>
          <w:rtl/>
        </w:rPr>
        <w:t>-</w:t>
      </w:r>
      <w:r w:rsidR="00E8128F">
        <w:rPr>
          <w:sz w:val="36"/>
          <w:szCs w:val="36"/>
          <w:rtl/>
        </w:rPr>
        <w:t xml:space="preserve"> </w:t>
      </w:r>
      <w:r w:rsidRPr="00FD211F">
        <w:rPr>
          <w:sz w:val="36"/>
          <w:szCs w:val="36"/>
          <w:rtl/>
        </w:rPr>
        <w:t>فالمشتق</w:t>
      </w:r>
      <w:r w:rsidR="00E8128F">
        <w:rPr>
          <w:sz w:val="36"/>
          <w:szCs w:val="36"/>
          <w:rtl/>
        </w:rPr>
        <w:t xml:space="preserve"> </w:t>
      </w:r>
      <w:r w:rsidRPr="00FD211F">
        <w:rPr>
          <w:sz w:val="36"/>
          <w:szCs w:val="36"/>
          <w:rtl/>
        </w:rPr>
        <w:t>فيه</w:t>
      </w:r>
      <w:r w:rsidR="00E8128F">
        <w:rPr>
          <w:sz w:val="36"/>
          <w:szCs w:val="36"/>
          <w:rtl/>
        </w:rPr>
        <w:t xml:space="preserve"> </w:t>
      </w:r>
      <w:r w:rsidRPr="00FD211F">
        <w:rPr>
          <w:sz w:val="36"/>
          <w:szCs w:val="36"/>
          <w:rtl/>
        </w:rPr>
        <w:t>بما</w:t>
      </w:r>
      <w:r w:rsidR="00E8128F">
        <w:rPr>
          <w:sz w:val="36"/>
          <w:szCs w:val="36"/>
          <w:rtl/>
        </w:rPr>
        <w:t xml:space="preserve"> </w:t>
      </w:r>
      <w:r w:rsidRPr="00FD211F">
        <w:rPr>
          <w:sz w:val="36"/>
          <w:szCs w:val="36"/>
          <w:rtl/>
        </w:rPr>
        <w:t>هو</w:t>
      </w:r>
      <w:r w:rsidR="00E8128F">
        <w:rPr>
          <w:sz w:val="36"/>
          <w:szCs w:val="36"/>
          <w:rtl/>
        </w:rPr>
        <w:t xml:space="preserve"> </w:t>
      </w:r>
      <w:r w:rsidRPr="00FD211F">
        <w:rPr>
          <w:sz w:val="36"/>
          <w:szCs w:val="36"/>
          <w:rtl/>
        </w:rPr>
        <w:t>مشتق</w:t>
      </w:r>
      <w:r w:rsidR="00E8128F">
        <w:rPr>
          <w:sz w:val="36"/>
          <w:szCs w:val="36"/>
          <w:rtl/>
        </w:rPr>
        <w:t xml:space="preserve"> </w:t>
      </w:r>
      <w:r w:rsidRPr="00FD211F">
        <w:rPr>
          <w:sz w:val="36"/>
          <w:szCs w:val="36"/>
          <w:rtl/>
        </w:rPr>
        <w:t>قد</w:t>
      </w:r>
      <w:r w:rsidR="00E8128F">
        <w:rPr>
          <w:sz w:val="36"/>
          <w:szCs w:val="36"/>
          <w:rtl/>
        </w:rPr>
        <w:t xml:space="preserve"> </w:t>
      </w:r>
      <w:r w:rsidRPr="00FD211F">
        <w:rPr>
          <w:sz w:val="36"/>
          <w:szCs w:val="36"/>
          <w:rtl/>
        </w:rPr>
        <w:t>استعمل</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معناه</w:t>
      </w:r>
      <w:r w:rsidR="00E8128F">
        <w:rPr>
          <w:sz w:val="36"/>
          <w:szCs w:val="36"/>
          <w:rtl/>
        </w:rPr>
        <w:t xml:space="preserve"> </w:t>
      </w:r>
      <w:r w:rsidRPr="00FD211F">
        <w:rPr>
          <w:sz w:val="36"/>
          <w:szCs w:val="36"/>
          <w:rtl/>
        </w:rPr>
        <w:t>الحقيقي</w:t>
      </w:r>
      <w:r w:rsidR="009C58C8" w:rsidRPr="00FD211F">
        <w:rPr>
          <w:rStyle w:val="a6"/>
          <w:sz w:val="36"/>
          <w:szCs w:val="36"/>
          <w:rtl/>
        </w:rPr>
        <w:t>(</w:t>
      </w:r>
      <w:r w:rsidR="009C58C8" w:rsidRPr="00FD211F">
        <w:rPr>
          <w:rStyle w:val="a6"/>
          <w:sz w:val="36"/>
          <w:szCs w:val="36"/>
          <w:rtl/>
        </w:rPr>
        <w:footnoteReference w:id="609"/>
      </w:r>
      <w:r w:rsidR="009C58C8" w:rsidRPr="00FD211F">
        <w:rPr>
          <w:rStyle w:val="a6"/>
          <w:sz w:val="36"/>
          <w:szCs w:val="36"/>
          <w:rtl/>
        </w:rPr>
        <w:t>)</w:t>
      </w:r>
      <w:r w:rsidR="00A13E0F" w:rsidRPr="00FD211F">
        <w:rPr>
          <w:sz w:val="36"/>
          <w:szCs w:val="36"/>
          <w:rtl/>
        </w:rPr>
        <w:t>.</w:t>
      </w:r>
    </w:p>
    <w:p w14:paraId="2518CF7E" w14:textId="77777777" w:rsidR="00A13E0F" w:rsidRPr="00FD211F" w:rsidRDefault="00DB58BB" w:rsidP="009C58C8">
      <w:pPr>
        <w:ind w:left="0" w:firstLine="227"/>
        <w:jc w:val="both"/>
        <w:rPr>
          <w:sz w:val="36"/>
          <w:szCs w:val="36"/>
          <w:rtl/>
        </w:rPr>
      </w:pPr>
      <w:r w:rsidRPr="00FD211F">
        <w:rPr>
          <w:sz w:val="36"/>
          <w:szCs w:val="36"/>
          <w:rtl/>
        </w:rPr>
        <w:t>ولايخفى</w:t>
      </w:r>
      <w:r w:rsidR="00E8128F">
        <w:rPr>
          <w:sz w:val="36"/>
          <w:szCs w:val="36"/>
          <w:rtl/>
        </w:rPr>
        <w:t xml:space="preserve"> </w:t>
      </w:r>
      <w:r w:rsidRPr="00FD211F">
        <w:rPr>
          <w:sz w:val="36"/>
          <w:szCs w:val="36"/>
          <w:rtl/>
        </w:rPr>
        <w:t>انه</w:t>
      </w:r>
      <w:r w:rsidR="00E8128F">
        <w:rPr>
          <w:sz w:val="36"/>
          <w:szCs w:val="36"/>
          <w:rtl/>
        </w:rPr>
        <w:t xml:space="preserve"> </w:t>
      </w:r>
      <w:r w:rsidRPr="00FD211F">
        <w:rPr>
          <w:sz w:val="36"/>
          <w:szCs w:val="36"/>
          <w:rtl/>
        </w:rPr>
        <w:t>بناء</w:t>
      </w:r>
      <w:r w:rsidR="00E8128F">
        <w:rPr>
          <w:sz w:val="36"/>
          <w:szCs w:val="36"/>
          <w:rtl/>
        </w:rPr>
        <w:t xml:space="preserve"> </w:t>
      </w:r>
      <w:r w:rsidRPr="00FD211F">
        <w:rPr>
          <w:sz w:val="36"/>
          <w:szCs w:val="36"/>
          <w:rtl/>
        </w:rPr>
        <w:t>على</w:t>
      </w:r>
      <w:r w:rsidR="00E8128F">
        <w:rPr>
          <w:sz w:val="36"/>
          <w:szCs w:val="36"/>
          <w:rtl/>
        </w:rPr>
        <w:t xml:space="preserve"> </w:t>
      </w:r>
      <w:r w:rsidRPr="00FD211F">
        <w:rPr>
          <w:sz w:val="36"/>
          <w:szCs w:val="36"/>
          <w:rtl/>
        </w:rPr>
        <w:t>كون</w:t>
      </w:r>
      <w:r w:rsidR="00E8128F">
        <w:rPr>
          <w:sz w:val="36"/>
          <w:szCs w:val="36"/>
          <w:rtl/>
        </w:rPr>
        <w:t xml:space="preserve"> </w:t>
      </w:r>
      <w:r w:rsidRPr="00FD211F">
        <w:rPr>
          <w:sz w:val="36"/>
          <w:szCs w:val="36"/>
          <w:rtl/>
        </w:rPr>
        <w:t>المجاز</w:t>
      </w:r>
      <w:r w:rsidR="00E8128F">
        <w:rPr>
          <w:sz w:val="36"/>
          <w:szCs w:val="36"/>
          <w:rtl/>
        </w:rPr>
        <w:t xml:space="preserve"> </w:t>
      </w:r>
      <w:r w:rsidRPr="00FD211F">
        <w:rPr>
          <w:sz w:val="36"/>
          <w:szCs w:val="36"/>
          <w:rtl/>
        </w:rPr>
        <w:t>من</w:t>
      </w:r>
      <w:r w:rsidR="00E8128F">
        <w:rPr>
          <w:sz w:val="36"/>
          <w:szCs w:val="36"/>
          <w:rtl/>
        </w:rPr>
        <w:t xml:space="preserve"> </w:t>
      </w:r>
      <w:r w:rsidRPr="00FD211F">
        <w:rPr>
          <w:sz w:val="36"/>
          <w:szCs w:val="36"/>
          <w:rtl/>
        </w:rPr>
        <w:t>المجاز</w:t>
      </w:r>
      <w:r w:rsidR="00E8128F">
        <w:rPr>
          <w:sz w:val="36"/>
          <w:szCs w:val="36"/>
          <w:rtl/>
        </w:rPr>
        <w:t xml:space="preserve"> </w:t>
      </w:r>
      <w:r w:rsidRPr="00FD211F">
        <w:rPr>
          <w:sz w:val="36"/>
          <w:szCs w:val="36"/>
          <w:rtl/>
        </w:rPr>
        <w:t>الادعائي</w:t>
      </w:r>
      <w:r w:rsidR="00E8128F">
        <w:rPr>
          <w:sz w:val="36"/>
          <w:szCs w:val="36"/>
          <w:rtl/>
        </w:rPr>
        <w:t xml:space="preserve"> </w:t>
      </w:r>
      <w:r w:rsidRPr="00FD211F">
        <w:rPr>
          <w:sz w:val="36"/>
          <w:szCs w:val="36"/>
          <w:rtl/>
        </w:rPr>
        <w:t>كماهو</w:t>
      </w:r>
      <w:r w:rsidR="00E8128F">
        <w:rPr>
          <w:sz w:val="36"/>
          <w:szCs w:val="36"/>
          <w:rtl/>
        </w:rPr>
        <w:t xml:space="preserve"> </w:t>
      </w:r>
      <w:r w:rsidRPr="00FD211F">
        <w:rPr>
          <w:sz w:val="36"/>
          <w:szCs w:val="36"/>
          <w:rtl/>
        </w:rPr>
        <w:t>الغالب</w:t>
      </w:r>
      <w:r w:rsidR="00E8128F">
        <w:rPr>
          <w:sz w:val="36"/>
          <w:szCs w:val="36"/>
          <w:rtl/>
        </w:rPr>
        <w:t xml:space="preserve"> </w:t>
      </w:r>
      <w:r w:rsidRPr="00FD211F">
        <w:rPr>
          <w:sz w:val="36"/>
          <w:szCs w:val="36"/>
          <w:rtl/>
        </w:rPr>
        <w:t>حسب</w:t>
      </w:r>
      <w:r w:rsidR="00E8128F">
        <w:rPr>
          <w:sz w:val="36"/>
          <w:szCs w:val="36"/>
          <w:rtl/>
        </w:rPr>
        <w:t xml:space="preserve"> </w:t>
      </w:r>
      <w:r w:rsidRPr="00FD211F">
        <w:rPr>
          <w:sz w:val="36"/>
          <w:szCs w:val="36"/>
          <w:rtl/>
        </w:rPr>
        <w:t>ما</w:t>
      </w:r>
      <w:r w:rsidR="00E8128F">
        <w:rPr>
          <w:sz w:val="36"/>
          <w:szCs w:val="36"/>
          <w:rtl/>
        </w:rPr>
        <w:t xml:space="preserve"> </w:t>
      </w:r>
      <w:r w:rsidRPr="00FD211F">
        <w:rPr>
          <w:sz w:val="36"/>
          <w:szCs w:val="36"/>
          <w:rtl/>
        </w:rPr>
        <w:t>اوضحناه</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بحث</w:t>
      </w:r>
      <w:r w:rsidR="00E8128F">
        <w:rPr>
          <w:sz w:val="36"/>
          <w:szCs w:val="36"/>
          <w:rtl/>
        </w:rPr>
        <w:t xml:space="preserve"> </w:t>
      </w:r>
      <w:r w:rsidRPr="00FD211F">
        <w:rPr>
          <w:sz w:val="36"/>
          <w:szCs w:val="36"/>
          <w:rtl/>
        </w:rPr>
        <w:t>الاستعمال</w:t>
      </w:r>
      <w:r w:rsidR="00E8128F">
        <w:rPr>
          <w:sz w:val="36"/>
          <w:szCs w:val="36"/>
          <w:rtl/>
        </w:rPr>
        <w:t xml:space="preserve"> </w:t>
      </w:r>
      <w:r w:rsidRPr="00FD211F">
        <w:rPr>
          <w:sz w:val="36"/>
          <w:szCs w:val="36"/>
          <w:rtl/>
        </w:rPr>
        <w:t>المجازي</w:t>
      </w:r>
      <w:r w:rsidR="00E8128F">
        <w:rPr>
          <w:sz w:val="36"/>
          <w:szCs w:val="36"/>
          <w:rtl/>
        </w:rPr>
        <w:t xml:space="preserve"> </w:t>
      </w:r>
      <w:r w:rsidRPr="00FD211F">
        <w:rPr>
          <w:sz w:val="36"/>
          <w:szCs w:val="36"/>
          <w:rtl/>
        </w:rPr>
        <w:t>فلافرق</w:t>
      </w:r>
      <w:r w:rsidR="00E8128F">
        <w:rPr>
          <w:sz w:val="36"/>
          <w:szCs w:val="36"/>
          <w:rtl/>
        </w:rPr>
        <w:t xml:space="preserve"> </w:t>
      </w:r>
      <w:r w:rsidRPr="00FD211F">
        <w:rPr>
          <w:sz w:val="36"/>
          <w:szCs w:val="36"/>
          <w:rtl/>
        </w:rPr>
        <w:t>بين</w:t>
      </w:r>
      <w:r w:rsidR="00E8128F">
        <w:rPr>
          <w:sz w:val="36"/>
          <w:szCs w:val="36"/>
          <w:rtl/>
        </w:rPr>
        <w:t xml:space="preserve"> </w:t>
      </w:r>
      <w:r w:rsidRPr="00FD211F">
        <w:rPr>
          <w:sz w:val="36"/>
          <w:szCs w:val="36"/>
          <w:rtl/>
        </w:rPr>
        <w:t>المجاز</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الكلم</w:t>
      </w:r>
      <w:r w:rsidR="00EC7EDF" w:rsidRPr="00FD211F">
        <w:rPr>
          <w:sz w:val="36"/>
          <w:szCs w:val="36"/>
          <w:rtl/>
        </w:rPr>
        <w:t>ة</w:t>
      </w:r>
      <w:r w:rsidR="00E8128F">
        <w:rPr>
          <w:sz w:val="36"/>
          <w:szCs w:val="36"/>
          <w:rtl/>
        </w:rPr>
        <w:t xml:space="preserve"> </w:t>
      </w:r>
      <w:r w:rsidRPr="00FD211F">
        <w:rPr>
          <w:sz w:val="36"/>
          <w:szCs w:val="36"/>
          <w:rtl/>
        </w:rPr>
        <w:t>والمجاز</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الاسناد</w:t>
      </w:r>
      <w:r w:rsidR="00E8128F">
        <w:rPr>
          <w:sz w:val="36"/>
          <w:szCs w:val="36"/>
          <w:rtl/>
        </w:rPr>
        <w:t xml:space="preserve"> </w:t>
      </w:r>
      <w:r w:rsidR="005D0EC5" w:rsidRPr="00FD211F">
        <w:rPr>
          <w:sz w:val="36"/>
          <w:szCs w:val="36"/>
          <w:rtl/>
        </w:rPr>
        <w:t>في</w:t>
      </w:r>
      <w:r w:rsidR="00E8128F">
        <w:rPr>
          <w:sz w:val="36"/>
          <w:szCs w:val="36"/>
          <w:rtl/>
        </w:rPr>
        <w:t xml:space="preserve"> </w:t>
      </w:r>
      <w:r w:rsidR="005D0EC5" w:rsidRPr="00FD211F">
        <w:rPr>
          <w:sz w:val="36"/>
          <w:szCs w:val="36"/>
          <w:rtl/>
        </w:rPr>
        <w:t>جه</w:t>
      </w:r>
      <w:r w:rsidR="00EC7EDF" w:rsidRPr="00FD211F">
        <w:rPr>
          <w:sz w:val="36"/>
          <w:szCs w:val="36"/>
          <w:rtl/>
        </w:rPr>
        <w:t>ة</w:t>
      </w:r>
      <w:r w:rsidR="00E8128F">
        <w:rPr>
          <w:sz w:val="36"/>
          <w:szCs w:val="36"/>
          <w:rtl/>
        </w:rPr>
        <w:t xml:space="preserve"> </w:t>
      </w:r>
      <w:r w:rsidR="005D0EC5" w:rsidRPr="00FD211F">
        <w:rPr>
          <w:sz w:val="36"/>
          <w:szCs w:val="36"/>
          <w:rtl/>
        </w:rPr>
        <w:t>ادعاء</w:t>
      </w:r>
      <w:r w:rsidR="00E8128F">
        <w:rPr>
          <w:sz w:val="36"/>
          <w:szCs w:val="36"/>
          <w:rtl/>
        </w:rPr>
        <w:t xml:space="preserve"> </w:t>
      </w:r>
      <w:r w:rsidR="005D0EC5" w:rsidRPr="00FD211F">
        <w:rPr>
          <w:sz w:val="36"/>
          <w:szCs w:val="36"/>
          <w:rtl/>
        </w:rPr>
        <w:t>كون</w:t>
      </w:r>
      <w:r w:rsidR="00E8128F">
        <w:rPr>
          <w:sz w:val="36"/>
          <w:szCs w:val="36"/>
          <w:rtl/>
        </w:rPr>
        <w:t xml:space="preserve"> </w:t>
      </w:r>
      <w:r w:rsidR="005D0EC5" w:rsidRPr="00FD211F">
        <w:rPr>
          <w:sz w:val="36"/>
          <w:szCs w:val="36"/>
          <w:rtl/>
        </w:rPr>
        <w:t>الموضوع</w:t>
      </w:r>
      <w:r w:rsidR="00E8128F">
        <w:rPr>
          <w:sz w:val="36"/>
          <w:szCs w:val="36"/>
          <w:rtl/>
        </w:rPr>
        <w:t xml:space="preserve"> </w:t>
      </w:r>
      <w:r w:rsidR="005D0EC5" w:rsidRPr="00FD211F">
        <w:rPr>
          <w:sz w:val="36"/>
          <w:szCs w:val="36"/>
          <w:rtl/>
        </w:rPr>
        <w:t>فرد</w:t>
      </w:r>
      <w:r w:rsidR="00E8128F">
        <w:rPr>
          <w:sz w:val="36"/>
          <w:szCs w:val="36"/>
          <w:rtl/>
        </w:rPr>
        <w:t xml:space="preserve"> </w:t>
      </w:r>
      <w:r w:rsidR="005D0EC5" w:rsidRPr="00FD211F">
        <w:rPr>
          <w:sz w:val="36"/>
          <w:szCs w:val="36"/>
          <w:rtl/>
        </w:rPr>
        <w:t>المحمول</w:t>
      </w:r>
      <w:r w:rsidR="00E8128F">
        <w:rPr>
          <w:sz w:val="36"/>
          <w:szCs w:val="36"/>
          <w:rtl/>
        </w:rPr>
        <w:t xml:space="preserve"> </w:t>
      </w:r>
      <w:r w:rsidR="005D0EC5" w:rsidRPr="00FD211F">
        <w:rPr>
          <w:sz w:val="36"/>
          <w:szCs w:val="36"/>
          <w:rtl/>
        </w:rPr>
        <w:t>وانمايكون</w:t>
      </w:r>
      <w:r w:rsidR="00E8128F">
        <w:rPr>
          <w:sz w:val="36"/>
          <w:szCs w:val="36"/>
          <w:rtl/>
        </w:rPr>
        <w:t xml:space="preserve"> </w:t>
      </w:r>
      <w:r w:rsidR="005D0EC5" w:rsidRPr="00FD211F">
        <w:rPr>
          <w:sz w:val="36"/>
          <w:szCs w:val="36"/>
          <w:rtl/>
        </w:rPr>
        <w:t>الفرق</w:t>
      </w:r>
      <w:r w:rsidR="00E8128F">
        <w:rPr>
          <w:sz w:val="36"/>
          <w:szCs w:val="36"/>
          <w:rtl/>
        </w:rPr>
        <w:t xml:space="preserve"> </w:t>
      </w:r>
      <w:r w:rsidR="005D0EC5" w:rsidRPr="00FD211F">
        <w:rPr>
          <w:sz w:val="36"/>
          <w:szCs w:val="36"/>
          <w:rtl/>
        </w:rPr>
        <w:t>بينهما</w:t>
      </w:r>
      <w:r w:rsidR="00E8128F">
        <w:rPr>
          <w:sz w:val="36"/>
          <w:szCs w:val="36"/>
          <w:rtl/>
        </w:rPr>
        <w:t xml:space="preserve"> </w:t>
      </w:r>
      <w:r w:rsidR="005D0EC5" w:rsidRPr="00FD211F">
        <w:rPr>
          <w:sz w:val="36"/>
          <w:szCs w:val="36"/>
          <w:rtl/>
        </w:rPr>
        <w:t>في</w:t>
      </w:r>
      <w:r w:rsidR="00E8128F">
        <w:rPr>
          <w:sz w:val="36"/>
          <w:szCs w:val="36"/>
          <w:rtl/>
        </w:rPr>
        <w:t xml:space="preserve"> </w:t>
      </w:r>
      <w:r w:rsidR="005D0EC5" w:rsidRPr="00FD211F">
        <w:rPr>
          <w:sz w:val="36"/>
          <w:szCs w:val="36"/>
          <w:rtl/>
        </w:rPr>
        <w:t>منشأ</w:t>
      </w:r>
      <w:r w:rsidR="00E8128F">
        <w:rPr>
          <w:sz w:val="36"/>
          <w:szCs w:val="36"/>
          <w:rtl/>
        </w:rPr>
        <w:t xml:space="preserve"> </w:t>
      </w:r>
      <w:r w:rsidR="005D0EC5" w:rsidRPr="00FD211F">
        <w:rPr>
          <w:sz w:val="36"/>
          <w:szCs w:val="36"/>
          <w:rtl/>
        </w:rPr>
        <w:t>الادعاء</w:t>
      </w:r>
      <w:r w:rsidR="00E8128F">
        <w:rPr>
          <w:sz w:val="36"/>
          <w:szCs w:val="36"/>
          <w:rtl/>
        </w:rPr>
        <w:t xml:space="preserve"> </w:t>
      </w:r>
      <w:r w:rsidR="005D0EC5" w:rsidRPr="00FD211F">
        <w:rPr>
          <w:sz w:val="36"/>
          <w:szCs w:val="36"/>
          <w:rtl/>
        </w:rPr>
        <w:t>ففي</w:t>
      </w:r>
      <w:r w:rsidR="00E8128F">
        <w:rPr>
          <w:sz w:val="36"/>
          <w:szCs w:val="36"/>
          <w:rtl/>
        </w:rPr>
        <w:t xml:space="preserve"> </w:t>
      </w:r>
      <w:r w:rsidR="005D0EC5" w:rsidRPr="00FD211F">
        <w:rPr>
          <w:sz w:val="36"/>
          <w:szCs w:val="36"/>
          <w:rtl/>
        </w:rPr>
        <w:t>حمل</w:t>
      </w:r>
      <w:r w:rsidR="00E8128F">
        <w:rPr>
          <w:sz w:val="36"/>
          <w:szCs w:val="36"/>
          <w:rtl/>
        </w:rPr>
        <w:t xml:space="preserve"> </w:t>
      </w:r>
      <w:r w:rsidR="005D0EC5" w:rsidRPr="00FD211F">
        <w:rPr>
          <w:sz w:val="36"/>
          <w:szCs w:val="36"/>
          <w:rtl/>
        </w:rPr>
        <w:t>المشتق</w:t>
      </w:r>
      <w:r w:rsidR="00E8128F">
        <w:rPr>
          <w:sz w:val="36"/>
          <w:szCs w:val="36"/>
          <w:rtl/>
        </w:rPr>
        <w:t xml:space="preserve"> </w:t>
      </w:r>
      <w:r w:rsidR="005D0EC5" w:rsidRPr="00FD211F">
        <w:rPr>
          <w:sz w:val="36"/>
          <w:szCs w:val="36"/>
          <w:rtl/>
        </w:rPr>
        <w:t>على</w:t>
      </w:r>
      <w:r w:rsidR="00E8128F">
        <w:rPr>
          <w:sz w:val="36"/>
          <w:szCs w:val="36"/>
          <w:rtl/>
        </w:rPr>
        <w:t xml:space="preserve"> </w:t>
      </w:r>
      <w:r w:rsidR="005D0EC5" w:rsidRPr="00FD211F">
        <w:rPr>
          <w:sz w:val="36"/>
          <w:szCs w:val="36"/>
          <w:rtl/>
        </w:rPr>
        <w:t>من</w:t>
      </w:r>
      <w:r w:rsidR="00E8128F">
        <w:rPr>
          <w:sz w:val="36"/>
          <w:szCs w:val="36"/>
          <w:rtl/>
        </w:rPr>
        <w:t xml:space="preserve"> </w:t>
      </w:r>
      <w:r w:rsidR="005D0EC5" w:rsidRPr="00FD211F">
        <w:rPr>
          <w:sz w:val="36"/>
          <w:szCs w:val="36"/>
          <w:rtl/>
        </w:rPr>
        <w:t>انقضى</w:t>
      </w:r>
      <w:r w:rsidR="00E8128F">
        <w:rPr>
          <w:sz w:val="36"/>
          <w:szCs w:val="36"/>
          <w:rtl/>
        </w:rPr>
        <w:t xml:space="preserve"> </w:t>
      </w:r>
      <w:r w:rsidR="005D0EC5" w:rsidRPr="00FD211F">
        <w:rPr>
          <w:sz w:val="36"/>
          <w:szCs w:val="36"/>
          <w:rtl/>
        </w:rPr>
        <w:t>عنه</w:t>
      </w:r>
      <w:r w:rsidR="00E8128F">
        <w:rPr>
          <w:sz w:val="36"/>
          <w:szCs w:val="36"/>
          <w:rtl/>
        </w:rPr>
        <w:t xml:space="preserve"> </w:t>
      </w:r>
      <w:r w:rsidR="005D0EC5" w:rsidRPr="00FD211F">
        <w:rPr>
          <w:sz w:val="36"/>
          <w:szCs w:val="36"/>
          <w:rtl/>
        </w:rPr>
        <w:t>المبدأ</w:t>
      </w:r>
      <w:r w:rsidR="00E8128F">
        <w:rPr>
          <w:sz w:val="36"/>
          <w:szCs w:val="36"/>
          <w:rtl/>
        </w:rPr>
        <w:t xml:space="preserve"> </w:t>
      </w:r>
      <w:r w:rsidR="005D0EC5" w:rsidRPr="00FD211F">
        <w:rPr>
          <w:sz w:val="36"/>
          <w:szCs w:val="36"/>
          <w:rtl/>
        </w:rPr>
        <w:t>يكون</w:t>
      </w:r>
      <w:r w:rsidR="00E8128F">
        <w:rPr>
          <w:sz w:val="36"/>
          <w:szCs w:val="36"/>
          <w:rtl/>
        </w:rPr>
        <w:t xml:space="preserve"> </w:t>
      </w:r>
      <w:r w:rsidR="005D0EC5" w:rsidRPr="00FD211F">
        <w:rPr>
          <w:sz w:val="36"/>
          <w:szCs w:val="36"/>
          <w:rtl/>
        </w:rPr>
        <w:t>منشأ</w:t>
      </w:r>
      <w:r w:rsidR="00E8128F">
        <w:rPr>
          <w:sz w:val="36"/>
          <w:szCs w:val="36"/>
          <w:rtl/>
        </w:rPr>
        <w:t xml:space="preserve"> </w:t>
      </w:r>
      <w:r w:rsidR="005D0EC5" w:rsidRPr="00FD211F">
        <w:rPr>
          <w:sz w:val="36"/>
          <w:szCs w:val="36"/>
          <w:rtl/>
        </w:rPr>
        <w:t>الادعاء</w:t>
      </w:r>
      <w:r w:rsidR="00E8128F">
        <w:rPr>
          <w:sz w:val="36"/>
          <w:szCs w:val="36"/>
          <w:rtl/>
        </w:rPr>
        <w:t xml:space="preserve"> </w:t>
      </w:r>
      <w:r w:rsidR="005D0EC5" w:rsidRPr="00FD211F">
        <w:rPr>
          <w:sz w:val="36"/>
          <w:szCs w:val="36"/>
          <w:rtl/>
        </w:rPr>
        <w:t>تلبسه</w:t>
      </w:r>
      <w:r w:rsidR="00E8128F">
        <w:rPr>
          <w:sz w:val="36"/>
          <w:szCs w:val="36"/>
          <w:rtl/>
        </w:rPr>
        <w:t xml:space="preserve"> </w:t>
      </w:r>
      <w:r w:rsidR="005D0EC5" w:rsidRPr="00FD211F">
        <w:rPr>
          <w:sz w:val="36"/>
          <w:szCs w:val="36"/>
          <w:rtl/>
        </w:rPr>
        <w:t>السابق</w:t>
      </w:r>
      <w:r w:rsidR="00E8128F">
        <w:rPr>
          <w:sz w:val="36"/>
          <w:szCs w:val="36"/>
          <w:rtl/>
        </w:rPr>
        <w:t xml:space="preserve"> </w:t>
      </w:r>
      <w:r w:rsidR="005D0EC5" w:rsidRPr="00FD211F">
        <w:rPr>
          <w:sz w:val="36"/>
          <w:szCs w:val="36"/>
          <w:rtl/>
        </w:rPr>
        <w:t>بالمبدأ</w:t>
      </w:r>
      <w:r w:rsidR="00E8128F">
        <w:rPr>
          <w:sz w:val="36"/>
          <w:szCs w:val="36"/>
          <w:rtl/>
        </w:rPr>
        <w:t xml:space="preserve"> </w:t>
      </w:r>
      <w:r w:rsidR="005D0EC5" w:rsidRPr="00FD211F">
        <w:rPr>
          <w:sz w:val="36"/>
          <w:szCs w:val="36"/>
          <w:rtl/>
        </w:rPr>
        <w:t>وفي</w:t>
      </w:r>
      <w:r w:rsidR="00E8128F">
        <w:rPr>
          <w:sz w:val="36"/>
          <w:szCs w:val="36"/>
          <w:rtl/>
        </w:rPr>
        <w:t xml:space="preserve"> </w:t>
      </w:r>
      <w:r w:rsidR="005D0EC5" w:rsidRPr="00FD211F">
        <w:rPr>
          <w:sz w:val="36"/>
          <w:szCs w:val="36"/>
          <w:rtl/>
        </w:rPr>
        <w:t>مثل</w:t>
      </w:r>
      <w:r w:rsidR="00E8128F">
        <w:rPr>
          <w:sz w:val="36"/>
          <w:szCs w:val="36"/>
          <w:rtl/>
        </w:rPr>
        <w:t xml:space="preserve"> </w:t>
      </w:r>
      <w:r w:rsidR="005D0EC5" w:rsidRPr="00FD211F">
        <w:rPr>
          <w:sz w:val="36"/>
          <w:szCs w:val="36"/>
          <w:rtl/>
        </w:rPr>
        <w:t>قولنا</w:t>
      </w:r>
      <w:r w:rsidR="00E8128F">
        <w:rPr>
          <w:sz w:val="36"/>
          <w:szCs w:val="36"/>
          <w:rtl/>
        </w:rPr>
        <w:t xml:space="preserve"> </w:t>
      </w:r>
      <w:r w:rsidR="005D0EC5" w:rsidRPr="00FD211F">
        <w:rPr>
          <w:sz w:val="36"/>
          <w:szCs w:val="36"/>
          <w:rtl/>
        </w:rPr>
        <w:t>"الميزاب</w:t>
      </w:r>
      <w:r w:rsidR="00E8128F">
        <w:rPr>
          <w:sz w:val="36"/>
          <w:szCs w:val="36"/>
          <w:rtl/>
        </w:rPr>
        <w:t xml:space="preserve"> </w:t>
      </w:r>
      <w:r w:rsidR="005D0EC5" w:rsidRPr="00FD211F">
        <w:rPr>
          <w:sz w:val="36"/>
          <w:szCs w:val="36"/>
          <w:rtl/>
        </w:rPr>
        <w:t>جار"</w:t>
      </w:r>
      <w:r w:rsidR="00E8128F">
        <w:rPr>
          <w:sz w:val="36"/>
          <w:szCs w:val="36"/>
          <w:rtl/>
        </w:rPr>
        <w:t xml:space="preserve"> </w:t>
      </w:r>
      <w:r w:rsidR="005D0EC5" w:rsidRPr="00FD211F">
        <w:rPr>
          <w:sz w:val="36"/>
          <w:szCs w:val="36"/>
          <w:rtl/>
        </w:rPr>
        <w:t>يكون</w:t>
      </w:r>
      <w:r w:rsidR="00E8128F">
        <w:rPr>
          <w:sz w:val="36"/>
          <w:szCs w:val="36"/>
          <w:rtl/>
        </w:rPr>
        <w:t xml:space="preserve"> </w:t>
      </w:r>
      <w:r w:rsidR="005D0EC5" w:rsidRPr="00FD211F">
        <w:rPr>
          <w:sz w:val="36"/>
          <w:szCs w:val="36"/>
          <w:rtl/>
        </w:rPr>
        <w:t>منشأ</w:t>
      </w:r>
      <w:r w:rsidR="00E8128F">
        <w:rPr>
          <w:sz w:val="36"/>
          <w:szCs w:val="36"/>
          <w:rtl/>
        </w:rPr>
        <w:t xml:space="preserve"> </w:t>
      </w:r>
      <w:r w:rsidR="005D0EC5" w:rsidRPr="00FD211F">
        <w:rPr>
          <w:sz w:val="36"/>
          <w:szCs w:val="36"/>
          <w:rtl/>
        </w:rPr>
        <w:t>الادعاء</w:t>
      </w:r>
      <w:r w:rsidR="00E8128F">
        <w:rPr>
          <w:sz w:val="36"/>
          <w:szCs w:val="36"/>
          <w:rtl/>
        </w:rPr>
        <w:t xml:space="preserve"> </w:t>
      </w:r>
      <w:r w:rsidR="005D0EC5" w:rsidRPr="00FD211F">
        <w:rPr>
          <w:sz w:val="36"/>
          <w:szCs w:val="36"/>
          <w:rtl/>
        </w:rPr>
        <w:t>تلبس</w:t>
      </w:r>
      <w:r w:rsidR="00E8128F">
        <w:rPr>
          <w:sz w:val="36"/>
          <w:szCs w:val="36"/>
          <w:rtl/>
        </w:rPr>
        <w:t xml:space="preserve"> </w:t>
      </w:r>
      <w:r w:rsidR="005D0EC5" w:rsidRPr="00FD211F">
        <w:rPr>
          <w:sz w:val="36"/>
          <w:szCs w:val="36"/>
          <w:rtl/>
        </w:rPr>
        <w:t>ما</w:t>
      </w:r>
      <w:r w:rsidR="00E8128F">
        <w:rPr>
          <w:sz w:val="36"/>
          <w:szCs w:val="36"/>
          <w:rtl/>
        </w:rPr>
        <w:t xml:space="preserve"> </w:t>
      </w:r>
      <w:r w:rsidR="005D0EC5" w:rsidRPr="00FD211F">
        <w:rPr>
          <w:sz w:val="36"/>
          <w:szCs w:val="36"/>
          <w:rtl/>
        </w:rPr>
        <w:t>يتعلق</w:t>
      </w:r>
      <w:r w:rsidR="00E8128F">
        <w:rPr>
          <w:sz w:val="36"/>
          <w:szCs w:val="36"/>
          <w:rtl/>
        </w:rPr>
        <w:t xml:space="preserve"> </w:t>
      </w:r>
      <w:r w:rsidR="005D0EC5" w:rsidRPr="00FD211F">
        <w:rPr>
          <w:sz w:val="36"/>
          <w:szCs w:val="36"/>
          <w:rtl/>
        </w:rPr>
        <w:t>به</w:t>
      </w:r>
      <w:r w:rsidR="00E8128F">
        <w:rPr>
          <w:sz w:val="36"/>
          <w:szCs w:val="36"/>
          <w:rtl/>
        </w:rPr>
        <w:t xml:space="preserve"> </w:t>
      </w:r>
      <w:r w:rsidR="005D0EC5" w:rsidRPr="00FD211F">
        <w:rPr>
          <w:sz w:val="36"/>
          <w:szCs w:val="36"/>
          <w:rtl/>
        </w:rPr>
        <w:t>وهو</w:t>
      </w:r>
      <w:r w:rsidR="00E8128F">
        <w:rPr>
          <w:sz w:val="36"/>
          <w:szCs w:val="36"/>
          <w:rtl/>
        </w:rPr>
        <w:t xml:space="preserve"> </w:t>
      </w:r>
      <w:r w:rsidR="005D0EC5" w:rsidRPr="00FD211F">
        <w:rPr>
          <w:sz w:val="36"/>
          <w:szCs w:val="36"/>
          <w:rtl/>
        </w:rPr>
        <w:t>الماء</w:t>
      </w:r>
      <w:r w:rsidR="00E8128F">
        <w:rPr>
          <w:sz w:val="36"/>
          <w:szCs w:val="36"/>
          <w:rtl/>
        </w:rPr>
        <w:t xml:space="preserve"> </w:t>
      </w:r>
      <w:r w:rsidR="005D0EC5" w:rsidRPr="00FD211F">
        <w:rPr>
          <w:sz w:val="36"/>
          <w:szCs w:val="36"/>
          <w:rtl/>
        </w:rPr>
        <w:t>الجاري</w:t>
      </w:r>
      <w:r w:rsidR="00E8128F">
        <w:rPr>
          <w:sz w:val="36"/>
          <w:szCs w:val="36"/>
          <w:rtl/>
        </w:rPr>
        <w:t xml:space="preserve"> </w:t>
      </w:r>
      <w:r w:rsidR="005D0EC5" w:rsidRPr="00FD211F">
        <w:rPr>
          <w:sz w:val="36"/>
          <w:szCs w:val="36"/>
          <w:rtl/>
        </w:rPr>
        <w:t>فيه</w:t>
      </w:r>
      <w:r w:rsidR="00E8128F">
        <w:rPr>
          <w:sz w:val="36"/>
          <w:szCs w:val="36"/>
          <w:rtl/>
        </w:rPr>
        <w:t xml:space="preserve"> </w:t>
      </w:r>
      <w:r w:rsidR="005D0EC5" w:rsidRPr="00FD211F">
        <w:rPr>
          <w:sz w:val="36"/>
          <w:szCs w:val="36"/>
          <w:rtl/>
        </w:rPr>
        <w:t>بالمبدأ.</w:t>
      </w:r>
      <w:r w:rsidR="00E8128F">
        <w:rPr>
          <w:sz w:val="36"/>
          <w:szCs w:val="36"/>
          <w:rtl/>
        </w:rPr>
        <w:t xml:space="preserve"> </w:t>
      </w:r>
    </w:p>
    <w:p w14:paraId="43DCECE4" w14:textId="77777777" w:rsidR="000C5BBA" w:rsidRPr="00FD211F" w:rsidRDefault="00082A58" w:rsidP="009C58C8">
      <w:pPr>
        <w:ind w:left="0" w:firstLine="227"/>
        <w:jc w:val="both"/>
        <w:rPr>
          <w:sz w:val="36"/>
          <w:szCs w:val="36"/>
          <w:rtl/>
        </w:rPr>
      </w:pPr>
      <w:r w:rsidRPr="00FD211F">
        <w:rPr>
          <w:sz w:val="36"/>
          <w:szCs w:val="36"/>
          <w:rtl/>
        </w:rPr>
        <w:t>هذا</w:t>
      </w:r>
      <w:r w:rsidR="00E8128F">
        <w:rPr>
          <w:sz w:val="36"/>
          <w:szCs w:val="36"/>
          <w:rtl/>
        </w:rPr>
        <w:t xml:space="preserve"> </w:t>
      </w:r>
      <w:r w:rsidRPr="00FD211F">
        <w:rPr>
          <w:sz w:val="36"/>
          <w:szCs w:val="36"/>
          <w:rtl/>
        </w:rPr>
        <w:t>تمام</w:t>
      </w:r>
      <w:r w:rsidR="00E8128F">
        <w:rPr>
          <w:sz w:val="36"/>
          <w:szCs w:val="36"/>
          <w:rtl/>
        </w:rPr>
        <w:t xml:space="preserve"> </w:t>
      </w:r>
      <w:r w:rsidRPr="00FD211F">
        <w:rPr>
          <w:sz w:val="36"/>
          <w:szCs w:val="36"/>
          <w:rtl/>
        </w:rPr>
        <w:t>الكلام</w:t>
      </w:r>
      <w:r w:rsidR="00E8128F">
        <w:rPr>
          <w:sz w:val="36"/>
          <w:szCs w:val="36"/>
          <w:rtl/>
        </w:rPr>
        <w:t xml:space="preserve"> </w:t>
      </w:r>
      <w:r w:rsidRPr="00FD211F">
        <w:rPr>
          <w:sz w:val="36"/>
          <w:szCs w:val="36"/>
          <w:rtl/>
        </w:rPr>
        <w:t>في</w:t>
      </w:r>
      <w:r w:rsidR="00E8128F">
        <w:rPr>
          <w:sz w:val="36"/>
          <w:szCs w:val="36"/>
          <w:rtl/>
        </w:rPr>
        <w:t xml:space="preserve"> </w:t>
      </w:r>
      <w:r w:rsidRPr="00FD211F">
        <w:rPr>
          <w:sz w:val="36"/>
          <w:szCs w:val="36"/>
          <w:rtl/>
        </w:rPr>
        <w:t>بحث</w:t>
      </w:r>
      <w:r w:rsidR="00E8128F">
        <w:rPr>
          <w:sz w:val="36"/>
          <w:szCs w:val="36"/>
          <w:rtl/>
        </w:rPr>
        <w:t xml:space="preserve"> </w:t>
      </w:r>
      <w:r w:rsidRPr="00FD211F">
        <w:rPr>
          <w:sz w:val="36"/>
          <w:szCs w:val="36"/>
          <w:rtl/>
        </w:rPr>
        <w:t>المشتق</w:t>
      </w:r>
      <w:r w:rsidR="00603323" w:rsidRPr="00FD211F">
        <w:rPr>
          <w:sz w:val="36"/>
          <w:szCs w:val="36"/>
          <w:rtl/>
        </w:rPr>
        <w:t>،</w:t>
      </w:r>
      <w:r w:rsidR="00E8128F">
        <w:rPr>
          <w:sz w:val="36"/>
          <w:szCs w:val="36"/>
          <w:rtl/>
        </w:rPr>
        <w:t xml:space="preserve"> </w:t>
      </w:r>
      <w:r w:rsidR="005A6E41" w:rsidRPr="00FD211F">
        <w:rPr>
          <w:sz w:val="36"/>
          <w:szCs w:val="36"/>
          <w:rtl/>
        </w:rPr>
        <w:t>ويتلوه</w:t>
      </w:r>
      <w:r w:rsidR="00E8128F">
        <w:rPr>
          <w:sz w:val="36"/>
          <w:szCs w:val="36"/>
          <w:rtl/>
        </w:rPr>
        <w:t xml:space="preserve"> </w:t>
      </w:r>
      <w:r w:rsidR="005A6E41" w:rsidRPr="00FD211F">
        <w:rPr>
          <w:sz w:val="36"/>
          <w:szCs w:val="36"/>
          <w:rtl/>
        </w:rPr>
        <w:t>بحث</w:t>
      </w:r>
      <w:r w:rsidR="00E8128F">
        <w:rPr>
          <w:sz w:val="36"/>
          <w:szCs w:val="36"/>
          <w:rtl/>
        </w:rPr>
        <w:t xml:space="preserve"> </w:t>
      </w:r>
      <w:r w:rsidR="005A6E41" w:rsidRPr="00FD211F">
        <w:rPr>
          <w:sz w:val="36"/>
          <w:szCs w:val="36"/>
          <w:rtl/>
        </w:rPr>
        <w:t>ال</w:t>
      </w:r>
      <w:r w:rsidR="007A4A0D" w:rsidRPr="00FD211F">
        <w:rPr>
          <w:sz w:val="36"/>
          <w:szCs w:val="36"/>
          <w:rtl/>
        </w:rPr>
        <w:t>أ</w:t>
      </w:r>
      <w:r w:rsidR="005A6E41" w:rsidRPr="00FD211F">
        <w:rPr>
          <w:sz w:val="36"/>
          <w:szCs w:val="36"/>
          <w:rtl/>
        </w:rPr>
        <w:t>وامر</w:t>
      </w:r>
      <w:r w:rsidR="00603323" w:rsidRPr="00FD211F">
        <w:rPr>
          <w:sz w:val="36"/>
          <w:szCs w:val="36"/>
          <w:rtl/>
        </w:rPr>
        <w:t>،</w:t>
      </w:r>
      <w:r w:rsidR="00E8128F">
        <w:rPr>
          <w:sz w:val="36"/>
          <w:szCs w:val="36"/>
          <w:rtl/>
        </w:rPr>
        <w:t xml:space="preserve"> </w:t>
      </w:r>
      <w:r w:rsidRPr="00FD211F">
        <w:rPr>
          <w:sz w:val="36"/>
          <w:szCs w:val="36"/>
          <w:rtl/>
        </w:rPr>
        <w:t>والحمد</w:t>
      </w:r>
      <w:r w:rsidR="00E8128F">
        <w:rPr>
          <w:sz w:val="36"/>
          <w:szCs w:val="36"/>
          <w:rtl/>
        </w:rPr>
        <w:t xml:space="preserve"> </w:t>
      </w:r>
      <w:r w:rsidRPr="00FD211F">
        <w:rPr>
          <w:sz w:val="36"/>
          <w:szCs w:val="36"/>
          <w:rtl/>
        </w:rPr>
        <w:t>لل</w:t>
      </w:r>
      <w:r w:rsidR="007A4A0D" w:rsidRPr="00FD211F">
        <w:rPr>
          <w:sz w:val="36"/>
          <w:szCs w:val="36"/>
          <w:rtl/>
        </w:rPr>
        <w:t>ّ</w:t>
      </w:r>
      <w:r w:rsidRPr="00FD211F">
        <w:rPr>
          <w:sz w:val="36"/>
          <w:szCs w:val="36"/>
          <w:rtl/>
        </w:rPr>
        <w:t>ه</w:t>
      </w:r>
      <w:r w:rsidR="00E8128F">
        <w:rPr>
          <w:sz w:val="36"/>
          <w:szCs w:val="36"/>
          <w:rtl/>
        </w:rPr>
        <w:t xml:space="preserve"> </w:t>
      </w:r>
      <w:r w:rsidRPr="00FD211F">
        <w:rPr>
          <w:sz w:val="36"/>
          <w:szCs w:val="36"/>
          <w:rtl/>
        </w:rPr>
        <w:t>رب</w:t>
      </w:r>
      <w:r w:rsidR="007A4A0D" w:rsidRPr="00FD211F">
        <w:rPr>
          <w:sz w:val="36"/>
          <w:szCs w:val="36"/>
          <w:rtl/>
        </w:rPr>
        <w:t>ّ</w:t>
      </w:r>
      <w:r w:rsidR="00E8128F">
        <w:rPr>
          <w:sz w:val="36"/>
          <w:szCs w:val="36"/>
          <w:rtl/>
        </w:rPr>
        <w:t xml:space="preserve"> </w:t>
      </w:r>
      <w:r w:rsidRPr="00FD211F">
        <w:rPr>
          <w:sz w:val="36"/>
          <w:szCs w:val="36"/>
          <w:rtl/>
        </w:rPr>
        <w:t>العالمين.</w:t>
      </w:r>
    </w:p>
    <w:p w14:paraId="0D78B1AF" w14:textId="77777777" w:rsidR="000C5BBA" w:rsidRPr="00FD211F" w:rsidRDefault="00CB6291" w:rsidP="009C58C8">
      <w:pPr>
        <w:ind w:left="0" w:firstLine="227"/>
        <w:jc w:val="both"/>
        <w:rPr>
          <w:sz w:val="36"/>
          <w:szCs w:val="36"/>
          <w:rtl/>
        </w:rPr>
      </w:pPr>
      <w:r w:rsidRPr="00FD211F">
        <w:rPr>
          <w:sz w:val="36"/>
          <w:szCs w:val="36"/>
          <w:rtl/>
        </w:rPr>
        <w:t>محمد</w:t>
      </w:r>
      <w:r w:rsidR="00E8128F">
        <w:rPr>
          <w:sz w:val="36"/>
          <w:szCs w:val="36"/>
          <w:rtl/>
        </w:rPr>
        <w:t xml:space="preserve"> </w:t>
      </w:r>
      <w:r w:rsidRPr="00FD211F">
        <w:rPr>
          <w:sz w:val="36"/>
          <w:szCs w:val="36"/>
          <w:rtl/>
        </w:rPr>
        <w:t>تقي</w:t>
      </w:r>
      <w:r w:rsidR="00E8128F">
        <w:rPr>
          <w:sz w:val="36"/>
          <w:szCs w:val="36"/>
          <w:rtl/>
        </w:rPr>
        <w:t xml:space="preserve"> </w:t>
      </w:r>
      <w:r w:rsidRPr="00FD211F">
        <w:rPr>
          <w:sz w:val="36"/>
          <w:szCs w:val="36"/>
          <w:rtl/>
        </w:rPr>
        <w:t>الشهيدي</w:t>
      </w:r>
      <w:r w:rsidR="00E8128F">
        <w:rPr>
          <w:sz w:val="36"/>
          <w:szCs w:val="36"/>
          <w:rtl/>
        </w:rPr>
        <w:t xml:space="preserve"> </w:t>
      </w:r>
    </w:p>
    <w:p w14:paraId="6A454BA8" w14:textId="77777777" w:rsidR="00DC5A3D" w:rsidRPr="00FD211F" w:rsidRDefault="00082A58" w:rsidP="009C58C8">
      <w:pPr>
        <w:ind w:left="0" w:firstLine="227"/>
        <w:jc w:val="both"/>
        <w:rPr>
          <w:sz w:val="36"/>
          <w:szCs w:val="36"/>
          <w:rtl/>
        </w:rPr>
      </w:pPr>
      <w:r w:rsidRPr="00FD211F">
        <w:rPr>
          <w:sz w:val="36"/>
          <w:szCs w:val="36"/>
          <w:rtl/>
        </w:rPr>
        <w:t>11</w:t>
      </w:r>
      <w:r w:rsidR="00E8128F">
        <w:rPr>
          <w:sz w:val="36"/>
          <w:szCs w:val="36"/>
          <w:rtl/>
        </w:rPr>
        <w:t xml:space="preserve"> </w:t>
      </w:r>
      <w:r w:rsidRPr="00FD211F">
        <w:rPr>
          <w:sz w:val="36"/>
          <w:szCs w:val="36"/>
          <w:rtl/>
        </w:rPr>
        <w:t>جمادي</w:t>
      </w:r>
      <w:r w:rsidR="00E8128F">
        <w:rPr>
          <w:sz w:val="36"/>
          <w:szCs w:val="36"/>
          <w:rtl/>
        </w:rPr>
        <w:t xml:space="preserve"> </w:t>
      </w:r>
      <w:r w:rsidRPr="00FD211F">
        <w:rPr>
          <w:sz w:val="36"/>
          <w:szCs w:val="36"/>
          <w:rtl/>
        </w:rPr>
        <w:t>الاولي</w:t>
      </w:r>
      <w:r w:rsidR="00E8128F">
        <w:rPr>
          <w:sz w:val="36"/>
          <w:szCs w:val="36"/>
          <w:rtl/>
        </w:rPr>
        <w:t xml:space="preserve"> </w:t>
      </w:r>
      <w:r w:rsidRPr="00FD211F">
        <w:rPr>
          <w:sz w:val="36"/>
          <w:szCs w:val="36"/>
          <w:rtl/>
        </w:rPr>
        <w:t>1428</w:t>
      </w:r>
    </w:p>
    <w:sectPr w:rsidR="00DC5A3D" w:rsidRPr="00FD211F" w:rsidSect="00D24300">
      <w:headerReference w:type="even" r:id="rId31"/>
      <w:headerReference w:type="default" r:id="rId32"/>
      <w:footnotePr>
        <w:numRestart w:val="eachPage"/>
      </w:footnotePr>
      <w:pgSz w:w="10319" w:h="14578" w:code="138"/>
      <w:pgMar w:top="1418" w:right="1701" w:bottom="1418" w:left="1701" w:header="1418" w:footer="964"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افادات الاستاذ الشهيدي في مجلس الدرس" w:date="2014-01-23T20:01:00Z" w:initials="s">
    <w:p w14:paraId="51F3D17F" w14:textId="77777777" w:rsidR="00A902FE" w:rsidRDefault="00A902FE" w:rsidP="00800D4F">
      <w:pPr>
        <w:rPr>
          <w:rFonts w:hint="cs"/>
        </w:rPr>
      </w:pPr>
      <w:r>
        <w:rPr>
          <w:rStyle w:val="ab"/>
        </w:rPr>
        <w:annotationRef/>
      </w:r>
      <w:r>
        <w:rPr>
          <w:rFonts w:hint="cs"/>
          <w:rtl/>
        </w:rPr>
        <w:t>المقرر: الوارد في الكفاية: او التي ينتهي اليها في مقام العمل، (لاعمل المكلف) ومن المعلوم ان اصالة الطهارة تتعلق بعمل مكلف</w:t>
      </w:r>
      <w:r>
        <w:rPr>
          <w:rFonts w:hint="eastAsia"/>
          <w:rtl/>
        </w:rPr>
        <w:t>‌م</w:t>
      </w:r>
      <w:r>
        <w:rPr>
          <w:rFonts w:hint="cs"/>
          <w:rtl/>
        </w:rPr>
        <w:t xml:space="preserve">ّا. </w:t>
      </w:r>
    </w:p>
  </w:comment>
  <w:comment w:id="35" w:author="سیدحسن روح بخش" w:date="2020-10-28T10:20:00Z" w:initials="h">
    <w:p w14:paraId="11B8C77C" w14:textId="77777777" w:rsidR="00A902FE" w:rsidRDefault="00A902FE" w:rsidP="002720AD">
      <w:pPr>
        <w:rPr>
          <w:rFonts w:hint="cs"/>
          <w:rtl/>
        </w:rPr>
      </w:pPr>
      <w:r>
        <w:rPr>
          <w:rFonts w:hint="cs"/>
          <w:rtl/>
        </w:rPr>
        <w:t xml:space="preserve"> </w:t>
      </w:r>
      <w:r>
        <w:rPr>
          <w:rStyle w:val="ab"/>
        </w:rPr>
        <w:annotationRef/>
      </w:r>
      <w:r>
        <w:rPr>
          <w:rFonts w:hint="cs"/>
          <w:rtl/>
        </w:rPr>
        <w:t xml:space="preserve">فأصل الفرق (حيث دون الاعلام كتبا في كل من علمي الاصول والفقه) مقطوع بل مرتكز، وانما الخلاف في تبيينه، نظير الاختلاف في معان بعض الالفاظ، حيث ينقض كل بما هو مقبول لدى مخالفه </w:t>
      </w:r>
    </w:p>
    <w:p w14:paraId="78C9AB6C" w14:textId="77777777" w:rsidR="00A902FE" w:rsidRDefault="00A902FE" w:rsidP="002720AD">
      <w:pPr>
        <w:rPr>
          <w:rFonts w:hint="cs"/>
          <w:rtl/>
        </w:rPr>
      </w:pPr>
      <w:r>
        <w:rPr>
          <w:rFonts w:hint="cs"/>
          <w:rtl/>
        </w:rPr>
        <w:t>كما ان الفرق بين الحجية الشرعية وسائر الاحكام الشرعية واضح. كما ان الفرق بينها وبين القاعدة الفقهية واضح</w:t>
      </w:r>
    </w:p>
    <w:p w14:paraId="6BC24418" w14:textId="77777777" w:rsidR="00A902FE" w:rsidRDefault="00A902FE" w:rsidP="002720AD">
      <w:pPr>
        <w:rPr>
          <w:rFonts w:hint="cs"/>
        </w:rPr>
      </w:pPr>
      <w:r>
        <w:rPr>
          <w:rFonts w:hint="cs"/>
          <w:rtl/>
        </w:rPr>
        <w:t>فهذا الابحاث بمنزلة اخذ المكبرة وكشف الفوارق التي كانت مشتركة بين جميع الموارد بحيث يكون جامعا ومانعا من الطرفين.</w:t>
      </w:r>
    </w:p>
  </w:comment>
  <w:comment w:id="36" w:author="سیدحسن روح بخش" w:date="2020-10-28T09:34:00Z" w:initials="h">
    <w:p w14:paraId="16BB4249" w14:textId="77777777" w:rsidR="00A902FE" w:rsidRDefault="00A902FE" w:rsidP="00C05017">
      <w:pPr>
        <w:rPr>
          <w:rFonts w:hint="cs"/>
        </w:rPr>
      </w:pPr>
      <w:r>
        <w:rPr>
          <w:rStyle w:val="ab"/>
        </w:rPr>
        <w:annotationRef/>
      </w:r>
      <w:r>
        <w:rPr>
          <w:rFonts w:hint="cs"/>
          <w:rtl/>
        </w:rPr>
        <w:t>فان تعیین بلوغ الثواب یحتاج الی قواعد الاستنباط</w:t>
      </w:r>
    </w:p>
  </w:comment>
  <w:comment w:id="38" w:author="سیدحسن روح بخش" w:date="2020-10-28T10:25:00Z" w:initials="h">
    <w:p w14:paraId="28EA9DD9" w14:textId="77777777" w:rsidR="00A902FE" w:rsidRDefault="00A902FE" w:rsidP="007F0FA7">
      <w:pPr>
        <w:pStyle w:val="ac"/>
        <w:rPr>
          <w:rFonts w:hint="cs"/>
        </w:rPr>
      </w:pPr>
      <w:r>
        <w:rPr>
          <w:rStyle w:val="ab"/>
        </w:rPr>
        <w:annotationRef/>
      </w:r>
      <w:r>
        <w:rPr>
          <w:rFonts w:hint="cs"/>
          <w:rtl/>
        </w:rPr>
        <w:t>اقتصر هنا على اصل المغايرة وسياتي ان المقصود منها هو خصوص تبيين هو حال الحكم الشرعي اي قيام المنجز والمعذر عليه</w:t>
      </w:r>
    </w:p>
  </w:comment>
  <w:comment w:id="39" w:author="سیدحسن روح بخش" w:date="2020-11-03T15:42:00Z" w:initials="h">
    <w:p w14:paraId="4BB65191" w14:textId="77777777" w:rsidR="00A902FE" w:rsidRDefault="00A902FE" w:rsidP="00804923">
      <w:pPr>
        <w:pStyle w:val="ac"/>
        <w:rPr>
          <w:rFonts w:hint="cs"/>
        </w:rPr>
      </w:pPr>
      <w:r>
        <w:rPr>
          <w:rStyle w:val="ab"/>
        </w:rPr>
        <w:annotationRef/>
      </w:r>
      <w:r>
        <w:rPr>
          <w:rFonts w:hint="cs"/>
          <w:rtl/>
        </w:rPr>
        <w:t>فتعيين المنجز غير اثبات التنجيز، وعلم الاصول يتكفل الاول والفقيه بصدد الثاني</w:t>
      </w:r>
    </w:p>
  </w:comment>
  <w:comment w:id="40" w:author="سیدحسن روح بخش" w:date="2020-11-03T15:45:00Z" w:initials="h">
    <w:p w14:paraId="2C64094F" w14:textId="77777777" w:rsidR="00A902FE" w:rsidRDefault="00A902FE">
      <w:pPr>
        <w:pStyle w:val="ac"/>
        <w:rPr>
          <w:rFonts w:hint="cs"/>
        </w:rPr>
      </w:pPr>
      <w:r>
        <w:rPr>
          <w:rStyle w:val="ab"/>
        </w:rPr>
        <w:annotationRef/>
      </w:r>
      <w:r>
        <w:rPr>
          <w:rFonts w:hint="cs"/>
          <w:rtl/>
        </w:rPr>
        <w:t>كما في قاعدة لاحرج، حيث ان رفع وجوب الوضوء الحرجي صغري من صغريات رفع الحكم الحرجي</w:t>
      </w:r>
    </w:p>
  </w:comment>
  <w:comment w:id="41" w:author="سیدحسن روح بخش" w:date="2020-10-28T10:28:00Z" w:initials="h">
    <w:p w14:paraId="14C5E92E" w14:textId="77777777" w:rsidR="00A902FE" w:rsidRDefault="00A902FE" w:rsidP="00A1784C">
      <w:pPr>
        <w:pStyle w:val="ac"/>
        <w:rPr>
          <w:rFonts w:hint="cs"/>
        </w:rPr>
      </w:pPr>
      <w:r>
        <w:rPr>
          <w:rStyle w:val="ab"/>
        </w:rPr>
        <w:annotationRef/>
      </w:r>
      <w:r>
        <w:rPr>
          <w:rFonts w:hint="cs"/>
          <w:rtl/>
        </w:rPr>
        <w:t>فهو خارج عن المقسم حيث ان البحث عن الحكم الشرعي والجواب الأخر هو تخصيص المغايرة بتبيين التنجيز والتعذير دون اصل المغايرة فقط</w:t>
      </w:r>
    </w:p>
  </w:comment>
  <w:comment w:id="42" w:author="سیدحسن روح بخش" w:date="2020-11-03T15:47:00Z" w:initials="h">
    <w:p w14:paraId="078F3626" w14:textId="77777777" w:rsidR="00A902FE" w:rsidRDefault="00A902FE">
      <w:pPr>
        <w:pStyle w:val="ac"/>
        <w:rPr>
          <w:rFonts w:hint="cs"/>
        </w:rPr>
      </w:pPr>
      <w:r>
        <w:rPr>
          <w:rStyle w:val="ab"/>
        </w:rPr>
        <w:annotationRef/>
      </w:r>
      <w:r>
        <w:rPr>
          <w:rFonts w:hint="cs"/>
          <w:rtl/>
        </w:rPr>
        <w:t>فيكون من التطبيق، حيث انه لم يستدل بكبرى الملازمة بين الضمانين</w:t>
      </w:r>
    </w:p>
  </w:comment>
  <w:comment w:id="43" w:author="سیدحسن روح بخش" w:date="2020-10-28T10:31:00Z" w:initials="h">
    <w:p w14:paraId="1C1CF845" w14:textId="77777777" w:rsidR="00A902FE" w:rsidRDefault="00A902FE">
      <w:pPr>
        <w:pStyle w:val="ac"/>
        <w:rPr>
          <w:rFonts w:hint="cs"/>
        </w:rPr>
      </w:pPr>
      <w:r>
        <w:rPr>
          <w:rStyle w:val="ab"/>
        </w:rPr>
        <w:annotationRef/>
      </w:r>
      <w:r>
        <w:rPr>
          <w:rFonts w:hint="cs"/>
          <w:rtl/>
        </w:rPr>
        <w:t>حيث انه لابد من جعل اللازم لغرض ترتيب بعض الاحكام التي موضوعها القصر والتمام شرعا، او يستفاد من بعض الادلة ان القصر والتمام مجعول شرعي، فيلغو احد الحكمين الملازمة او جعل وجوب التمام، والجمع العرفي يقتضي حمل الملازمة على الانتزاعية</w:t>
      </w:r>
    </w:p>
  </w:comment>
  <w:comment w:id="44" w:author="سیدحسن روح بخش" w:date="2020-10-28T11:38:00Z" w:initials="h">
    <w:p w14:paraId="1E6D25D7" w14:textId="77777777" w:rsidR="00A902FE" w:rsidRDefault="00A902FE">
      <w:pPr>
        <w:pStyle w:val="ac"/>
        <w:rPr>
          <w:rFonts w:hint="cs"/>
        </w:rPr>
      </w:pPr>
      <w:r>
        <w:rPr>
          <w:rStyle w:val="ab"/>
        </w:rPr>
        <w:annotationRef/>
      </w:r>
      <w:r>
        <w:rPr>
          <w:rFonts w:hint="cs"/>
          <w:rtl/>
        </w:rPr>
        <w:t>اي عدم نفي الحكم</w:t>
      </w:r>
    </w:p>
  </w:comment>
  <w:comment w:id="45" w:author="سیدحسن روح بخش" w:date="2020-10-28T11:44:00Z" w:initials="h">
    <w:p w14:paraId="5C517A7A" w14:textId="77777777" w:rsidR="00A902FE" w:rsidRDefault="00A902FE">
      <w:pPr>
        <w:pStyle w:val="ac"/>
        <w:rPr>
          <w:rFonts w:hint="cs"/>
        </w:rPr>
      </w:pPr>
      <w:r>
        <w:rPr>
          <w:rStyle w:val="ab"/>
        </w:rPr>
        <w:annotationRef/>
      </w:r>
      <w:r>
        <w:rPr>
          <w:rFonts w:hint="cs"/>
          <w:rtl/>
        </w:rPr>
        <w:t>بل الظاهر ان مقصوده هو ان القواعد الفقهية نفس الحكم الشرعي الثابت واقعا، ولكن القاعدة الاصولية الحكم الشرعي في فرض الجهل بالحكم الواقعي الآخر فهو تعبير أخر عن جعل الحجية</w:t>
      </w:r>
    </w:p>
  </w:comment>
  <w:comment w:id="46" w:author="سیدحسن روح بخش" w:date="2020-10-28T12:00:00Z" w:initials="h">
    <w:p w14:paraId="3CD47E33" w14:textId="77777777" w:rsidR="00A902FE" w:rsidRDefault="00A902FE">
      <w:pPr>
        <w:pStyle w:val="ac"/>
        <w:rPr>
          <w:rFonts w:hint="cs"/>
        </w:rPr>
      </w:pPr>
      <w:r>
        <w:rPr>
          <w:rStyle w:val="ab"/>
        </w:rPr>
        <w:annotationRef/>
      </w:r>
      <w:r>
        <w:rPr>
          <w:rFonts w:hint="cs"/>
          <w:rtl/>
        </w:rPr>
        <w:t>هذا عجيب منه، فان رفع اليد عن كون المسالة الاصولية على نحو الاستنباط لا التطبيق مما اجمع عليه الكل</w:t>
      </w:r>
    </w:p>
  </w:comment>
  <w:comment w:id="105" w:author="افادات الاستاذ الشهيدي في مجلس الدرس" w:date="2012-09-07T08:25:00Z" w:initials="s">
    <w:p w14:paraId="3EFA493D" w14:textId="77777777" w:rsidR="00A902FE" w:rsidRDefault="00A902FE" w:rsidP="000C5BBA">
      <w:pPr>
        <w:rPr>
          <w:rFonts w:hint="cs"/>
          <w:rtl/>
        </w:rPr>
      </w:pPr>
      <w:r>
        <w:rPr>
          <w:rStyle w:val="ab"/>
        </w:rPr>
        <w:annotationRef/>
      </w:r>
      <w:r>
        <w:rPr>
          <w:rFonts w:hint="cs"/>
          <w:rtl/>
        </w:rPr>
        <w:t xml:space="preserve">وقد اشكل السيد الصدر </w:t>
      </w:r>
    </w:p>
    <w:p w14:paraId="22D8736B" w14:textId="77777777" w:rsidR="00A902FE" w:rsidRDefault="00A902FE" w:rsidP="000C5BBA">
      <w:pPr>
        <w:rPr>
          <w:rFonts w:hint="cs"/>
        </w:rPr>
      </w:pPr>
      <w:r>
        <w:rPr>
          <w:rFonts w:hint="cs"/>
          <w:rtl/>
        </w:rPr>
        <w:t xml:space="preserve">وذكر في الاضواء: </w:t>
      </w:r>
      <w:r>
        <w:rPr>
          <w:rFonts w:hint="cs"/>
          <w:rtl/>
          <w:lang w:bidi="fa-IR"/>
        </w:rPr>
        <w:t>والشاهد على عدم تحقّق الملازمة بالوضع والاعتبار انّنا إذا اعتبرنا الطواف صلاةً لا تحصل الملازمة التصورية ولا التصديقية بينهما، فاعتبار العلامية والملازمة والهوهوية بين شيئين وجوديين خارجيين أو بين تصورين لا يحقق تلازماً بينهما لا تصوراً ولا تصديقاً. كما أنّه يرد النقض بالوضع التعيّني، فإنّه ليس فيه اعتبار ولا تعهّد واضح.</w:t>
      </w:r>
    </w:p>
  </w:comment>
  <w:comment w:id="172" w:author="سید حسن روح بخش" w:date="2016-08-28T10:02:00Z" w:initials="s">
    <w:p w14:paraId="64D08392" w14:textId="77777777" w:rsidR="00A902FE" w:rsidRDefault="00A902FE" w:rsidP="005F7510">
      <w:pPr>
        <w:ind w:left="587"/>
        <w:rPr>
          <w:lang w:bidi="fa-IR"/>
        </w:rPr>
      </w:pPr>
      <w:r>
        <w:rPr>
          <w:rStyle w:val="ab"/>
        </w:rPr>
        <w:annotationRef/>
      </w:r>
      <w:r>
        <w:rPr>
          <w:rFonts w:hint="cs"/>
          <w:rtl/>
          <w:lang w:bidi="fa-IR"/>
        </w:rPr>
        <w:t xml:space="preserve">آقای صدر در حلقات: </w:t>
      </w:r>
      <w:r>
        <w:rPr>
          <w:rtl/>
          <w:lang w:bidi="fa-IR"/>
        </w:rPr>
        <w:t>أنّ البرهان قائم على التغاير السنخي و الذاتي بين معاني الحروف و معاني الاسماء، و ملخّصه أنه لا اشكال في أنّ الصورة الذهنية التي تدلّ عليها جملة «سار زيد من البصرة الى الكوفة» مترابطة، بمعنى أنها تشتمل على معان مرتبطة بعضها ببعض، فلا بدّ من افتراض معان رابطة فيها لإيجاد الربط بين «السير» و «زيد» و «البصرة» و «الكوفة».</w:t>
      </w:r>
    </w:p>
    <w:p w14:paraId="2E545E9E" w14:textId="77777777" w:rsidR="00A902FE" w:rsidRDefault="00A902FE" w:rsidP="005F7510">
      <w:pPr>
        <w:ind w:left="587"/>
        <w:rPr>
          <w:rFonts w:hint="cs"/>
          <w:rtl/>
          <w:lang w:bidi="fa-IR"/>
        </w:rPr>
      </w:pPr>
      <w:r>
        <w:rPr>
          <w:rtl/>
          <w:lang w:bidi="fa-IR"/>
        </w:rPr>
        <w:t>و هذه المعاني الرابطة ان كانت صفة الربط عرضية لها و طارئة، فلا بدّ أن تكون هذه الصفة مستمدّة من غيرها، لانّ كلّ ما بال</w:t>
      </w:r>
      <w:r>
        <w:rPr>
          <w:rFonts w:hint="cs"/>
          <w:rtl/>
          <w:lang w:bidi="fa-IR"/>
        </w:rPr>
        <w:t>ع</w:t>
      </w:r>
      <w:r>
        <w:rPr>
          <w:rtl/>
          <w:lang w:bidi="fa-IR"/>
        </w:rPr>
        <w:t>رض ينتهي الى ما بالذات، و بهذا ننتهي الى معان يكون الربط ذاتيا لها،</w:t>
      </w:r>
    </w:p>
    <w:p w14:paraId="75BEA06C" w14:textId="77777777" w:rsidR="00A902FE" w:rsidRDefault="00A902FE">
      <w:pPr>
        <w:pStyle w:val="ac"/>
        <w:rPr>
          <w:rFonts w:hint="cs"/>
        </w:rPr>
      </w:pPr>
      <w:r>
        <w:rPr>
          <w:rFonts w:hint="cs"/>
          <w:rtl/>
        </w:rPr>
        <w:t>....</w:t>
      </w:r>
    </w:p>
  </w:comment>
  <w:comment w:id="173" w:author="سیدحسن روح بخش" w:date="2020-11-25T17:34:00Z" w:initials="h">
    <w:p w14:paraId="2D1D44F3" w14:textId="77777777" w:rsidR="00A902FE" w:rsidRDefault="00A902FE" w:rsidP="00ED5DFC">
      <w:pPr>
        <w:rPr>
          <w:rFonts w:hint="cs"/>
        </w:rPr>
      </w:pPr>
      <w:r>
        <w:rPr>
          <w:rStyle w:val="ab"/>
        </w:rPr>
        <w:annotationRef/>
      </w:r>
      <w:r>
        <w:rPr>
          <w:rFonts w:hint="cs"/>
          <w:rtl/>
        </w:rPr>
        <w:t>هذا مصطلح صدرا فاضاف وجودا في غيره لم يكن قبله</w:t>
      </w:r>
    </w:p>
  </w:comment>
  <w:comment w:id="175" w:author="سید حسن روح بخش" w:date="2017-11-10T19:33:00Z" w:initials="s">
    <w:p w14:paraId="56EADF8A" w14:textId="77777777" w:rsidR="00A902FE" w:rsidRDefault="00A902FE" w:rsidP="00904CAB">
      <w:pPr>
        <w:rPr>
          <w:rFonts w:hint="cs"/>
          <w:rtl/>
          <w:lang w:bidi="fa-IR"/>
        </w:rPr>
      </w:pPr>
      <w:r>
        <w:rPr>
          <w:rStyle w:val="ab"/>
        </w:rPr>
        <w:annotationRef/>
      </w:r>
      <w:r>
        <w:rPr>
          <w:rFonts w:hint="cs"/>
          <w:rtl/>
          <w:lang w:bidi="fa-IR"/>
        </w:rPr>
        <w:t>فالحاصل ان فی العرض النسبي ثلاثة اقوال الاول انه موجود مستقلا، والثانی انه من مراتب وجود الجوهر والثالث انه من الکون الرابط المتحقق فی عالم الواقع وهذا رأی الاستاذ</w:t>
      </w:r>
    </w:p>
  </w:comment>
  <w:comment w:id="225" w:author="سیدحسن روح بخش" w:date="2020-12-09T16:28:00Z" w:initials="h">
    <w:p w14:paraId="0B8E92FE" w14:textId="77777777" w:rsidR="00A902FE" w:rsidRDefault="00A902FE" w:rsidP="000A48C8">
      <w:pPr>
        <w:rPr>
          <w:rFonts w:hint="cs"/>
        </w:rPr>
      </w:pPr>
      <w:r>
        <w:rPr>
          <w:rStyle w:val="ab"/>
        </w:rPr>
        <w:annotationRef/>
      </w:r>
      <w:r>
        <w:rPr>
          <w:rFonts w:hint="cs"/>
          <w:rtl/>
        </w:rPr>
        <w:t>فكل اعتباري انشائي دون العكس كالاستفهام والتمني</w:t>
      </w:r>
    </w:p>
  </w:comment>
  <w:comment w:id="283" w:author="سیدحسن روح بخش" w:date="2020-12-16T16:42:00Z" w:initials="h">
    <w:p w14:paraId="77A9D64A" w14:textId="77777777" w:rsidR="00A902FE" w:rsidRDefault="00A902FE" w:rsidP="004D7660">
      <w:r>
        <w:rPr>
          <w:rStyle w:val="ab"/>
        </w:rPr>
        <w:annotationRef/>
      </w:r>
      <w:r>
        <w:rPr>
          <w:rFonts w:hint="cs"/>
          <w:rtl/>
        </w:rPr>
        <w:t>البته این دلالت ثالثه در جمل تامه فرض دارد. والا لفظ ماء اینکه معنا ندارد که دلالت تصدیقیه ثانیه داشته باشد. غیر از مفهوم تصوری آب متضمن چیزی نیست تا بگوئیم مطابق با مراد جدی متکلم هست یا نیست. بله اگر بگوید الماء موجود یعنی جمله تامه بگوید آنوقت دلالت ثالثه هم موضوع پیدا می کند.</w:t>
      </w:r>
    </w:p>
  </w:comment>
  <w:comment w:id="284" w:author="سیدحسن روح بخش" w:date="2020-12-16T17:05:00Z" w:initials="h">
    <w:p w14:paraId="498EC1AE" w14:textId="77777777" w:rsidR="00A902FE" w:rsidRDefault="00A902FE" w:rsidP="002126E7">
      <w:r>
        <w:rPr>
          <w:rStyle w:val="ab"/>
        </w:rPr>
        <w:annotationRef/>
      </w:r>
      <w:r>
        <w:rPr>
          <w:rFonts w:hint="cs"/>
          <w:rtl/>
        </w:rPr>
        <w:t>احتمال اینکه این متکلم این لفظ را علی سبیل لقلقة اللسان تلفظ کرده باشد ما با اصالة الحقیقة آن را نفی کنیم، آیا اینطور است، که مشهور این را می گویند؟ مشهور می گویند ما می توانیم احتمال صدور لفظ را از باب لقلقه لسان با اصالة الحقیقة نفی کنیم، چون این کار خلاف وضع است.</w:t>
      </w:r>
    </w:p>
  </w:comment>
  <w:comment w:id="311" w:author="افادات الاستاذ الشهيدي في مجلس الدرس" w:date="2014-03-14T23:39:00Z" w:initials="s">
    <w:p w14:paraId="04A9002A" w14:textId="77777777" w:rsidR="00A902FE" w:rsidRDefault="00A902FE" w:rsidP="00D0180F">
      <w:pPr>
        <w:rPr>
          <w:rFonts w:hint="cs"/>
        </w:rPr>
      </w:pPr>
      <w:r>
        <w:rPr>
          <w:rStyle w:val="ab"/>
        </w:rPr>
        <w:annotationRef/>
      </w:r>
      <w:r>
        <w:rPr>
          <w:rFonts w:hint="cs"/>
          <w:rtl/>
        </w:rPr>
        <w:t xml:space="preserve">المقرر: يمكن ان يقال انه في جميع موارد توضيح المعنى في كتب اللغة، يكون المستعمل فيه نفس اللفظ، فلو قيل سعدانة نبت، يكون المستعمل فيه للفظة سعدانة نفس هذه اللفظة، </w:t>
      </w:r>
    </w:p>
  </w:comment>
  <w:comment w:id="312" w:author="افادات الاستاذ الشهيدي في مجلس الدرس" w:date="2014-03-14T09:09:00Z" w:initials="s">
    <w:p w14:paraId="6277F777" w14:textId="77777777" w:rsidR="00A902FE" w:rsidRDefault="00A902FE" w:rsidP="008809DE">
      <w:pPr>
        <w:rPr>
          <w:rFonts w:hint="cs"/>
        </w:rPr>
      </w:pPr>
      <w:r>
        <w:rPr>
          <w:rStyle w:val="ab"/>
        </w:rPr>
        <w:annotationRef/>
      </w:r>
      <w:r>
        <w:rPr>
          <w:rFonts w:hint="cs"/>
          <w:rtl/>
        </w:rPr>
        <w:t>المقرر: بل الصحيح انه لايمكن التغاير في الاعتبار، حيث ان الدال نفس المدلول</w:t>
      </w:r>
    </w:p>
  </w:comment>
  <w:comment w:id="318" w:author="افادات الاستاذ الشهيدي في مجلس الدرس" w:date="2014-03-14T23:36:00Z" w:initials="s">
    <w:p w14:paraId="2F5D7084" w14:textId="77777777" w:rsidR="00A902FE" w:rsidRDefault="00A902FE" w:rsidP="00D0180F">
      <w:pPr>
        <w:rPr>
          <w:rFonts w:hint="cs"/>
        </w:rPr>
      </w:pPr>
      <w:r>
        <w:rPr>
          <w:rStyle w:val="ab"/>
        </w:rPr>
        <w:annotationRef/>
      </w:r>
      <w:r>
        <w:rPr>
          <w:rFonts w:hint="cs"/>
          <w:rtl/>
        </w:rPr>
        <w:t xml:space="preserve">المقرر: المقصود من هذا البحث تشخيص المستعمل فيه حيث يدعى انه في هذه الموارد اللفظ لاالمعنى، ففي استعمال اللفظ في نوعه يكون المقصود استعمال اللفظ في جميع موارد استعماله، فقوله ضرب كلمة، اي في كل مورد استعمل ضرب فهو كلمة، فالمستعمل فيه ضرب في تمام موارد استعمل فيها، ولكن في المثال الثاني يكون المستعمل فيه خصوص ما كان مبتدا، وفي المثال الثالث قد استعمل ضرب في مثله، فلابد من تكرار ضرب، بان يقال ضرب في ضرب زيد فعل ماض  </w:t>
      </w:r>
    </w:p>
  </w:comment>
  <w:comment w:id="332" w:author="سیدحسن روح بخش" w:date="2021-01-06T16:34:00Z" w:initials="h">
    <w:p w14:paraId="2EB23B17" w14:textId="77777777" w:rsidR="00A902FE" w:rsidRDefault="00A902FE" w:rsidP="00145BC5">
      <w:pPr>
        <w:pStyle w:val="af3"/>
        <w:bidi/>
        <w:rPr>
          <w:rFonts w:hint="cs"/>
        </w:rPr>
      </w:pPr>
      <w:r>
        <w:rPr>
          <w:rStyle w:val="ab"/>
        </w:rPr>
        <w:annotationRef/>
      </w:r>
      <w:r>
        <w:rPr>
          <w:rFonts w:hint="cs"/>
          <w:rtl/>
        </w:rPr>
        <w:t>بحوث</w:t>
      </w:r>
      <w:r w:rsidRPr="00145BC5">
        <w:rPr>
          <w:rFonts w:hint="cs"/>
          <w:sz w:val="30"/>
          <w:szCs w:val="30"/>
          <w:rtl/>
          <w:lang w:bidi="fa-IR"/>
        </w:rPr>
        <w:t xml:space="preserve"> </w:t>
      </w:r>
      <w:r>
        <w:rPr>
          <w:rFonts w:hint="cs"/>
          <w:sz w:val="30"/>
          <w:szCs w:val="30"/>
          <w:rtl/>
          <w:lang w:bidi="fa-IR"/>
        </w:rPr>
        <w:t>و هذا الجواب في غاية الغرابة، لأنه لو سلم لوقع الدور أيضا في ناحية الشرط لتوقف التبادر على العلم بالوضع باعتباره شرطا و توقف العلم على التبادر باعتباره علامة.</w:t>
      </w:r>
    </w:p>
  </w:comment>
  <w:comment w:id="337" w:author="سیدحسن روح بخش" w:date="2021-01-13T19:27:00Z" w:initials="h">
    <w:p w14:paraId="0691B19C" w14:textId="77777777" w:rsidR="00A902FE" w:rsidRDefault="00A902FE">
      <w:pPr>
        <w:pStyle w:val="ac"/>
        <w:rPr>
          <w:rFonts w:hint="cs"/>
        </w:rPr>
      </w:pPr>
      <w:r>
        <w:rPr>
          <w:rStyle w:val="ab"/>
        </w:rPr>
        <w:annotationRef/>
      </w:r>
      <w:r>
        <w:rPr>
          <w:rFonts w:hint="cs"/>
          <w:rtl/>
        </w:rPr>
        <w:t>قالات الاصول ج1ص31؟؟؟</w:t>
      </w:r>
    </w:p>
  </w:comment>
  <w:comment w:id="338" w:author="سیدحسن روح بخش" w:date="2021-01-20T17:23:00Z" w:initials="h">
    <w:p w14:paraId="1E574F64" w14:textId="77777777" w:rsidR="0036334A" w:rsidRPr="00501282" w:rsidRDefault="0036334A" w:rsidP="0036334A">
      <w:pPr>
        <w:ind w:left="113"/>
        <w:jc w:val="both"/>
        <w:rPr>
          <w:rFonts w:hint="cs"/>
          <w:sz w:val="32"/>
          <w:szCs w:val="32"/>
          <w:rtl/>
        </w:rPr>
      </w:pPr>
      <w:r>
        <w:rPr>
          <w:rStyle w:val="ab"/>
        </w:rPr>
        <w:annotationRef/>
      </w:r>
      <w:r w:rsidRPr="00501282">
        <w:rPr>
          <w:rFonts w:hint="cs"/>
          <w:sz w:val="32"/>
          <w:szCs w:val="32"/>
          <w:rtl/>
        </w:rPr>
        <w:t xml:space="preserve">اما اگر اینگونه نبود، موضوع و محمول هر دو عرضی بودند، مثل الضاحک متعجب، یا یکی از این دو عرضی بود مثل الضاحک حیوان، که ضاحک عرضی است ولو حیوان جنس است. گفته شده است که در اینجا ما نمی توانیم بگوئیم که موضوع دارای معنایی است که محمول جزئی از آن معنا است. خب الضاحک متعجب، معنای متعجب که در ضاحک اخذ نشده است. یا الضاحک حیوان معنای حیوان که در ضاحک اخذ نشده است. پس ما اصلا هیچ متوجه نمی شویم که معنای موضوع ما مشتمل است بر معنای محمول، مگر نسبت بین موضوع و محمول نسبة النوع الی الجنس باشد، مثل الانسان حیوان، یا نسبت فرد به نوع باشد مثل زید انسان. اما در جاهای دیگر به هیچ وجه نمی شود فهمید که در مفهوم موضوع معنای محمول اخذ شده است. </w:t>
      </w:r>
    </w:p>
    <w:p w14:paraId="168D7F21" w14:textId="77777777" w:rsidR="0036334A" w:rsidRDefault="0036334A" w:rsidP="0036334A">
      <w:pPr>
        <w:pStyle w:val="ac"/>
      </w:pPr>
      <w:r w:rsidRPr="00501282">
        <w:rPr>
          <w:rFonts w:hint="cs"/>
          <w:sz w:val="32"/>
          <w:szCs w:val="32"/>
          <w:rtl/>
        </w:rPr>
        <w:t>این مطلب، مطلب درستی است، حمل شایع فقط اتحاد وجودی بین موضوع و محمول را بیان می کند، اما اشتمال موضوع بر معنای محمول از حمل شایع صناعی به دست نمی آید. ولی ما به دنبال این نیستیم. دیروز هم عرض کردیم. ما به دنبال مصداق بودن موضوع در قضیه هستیم برای معنای حقیقی محمول.</w:t>
      </w:r>
    </w:p>
  </w:comment>
  <w:comment w:id="347" w:author="سیدحسن روح بخش" w:date="2021-01-20T17:09:00Z" w:initials="h">
    <w:p w14:paraId="4D52D99F" w14:textId="77777777" w:rsidR="00D66285" w:rsidRPr="00501282" w:rsidRDefault="00D66285" w:rsidP="00D66285">
      <w:pPr>
        <w:ind w:left="113"/>
        <w:jc w:val="both"/>
        <w:rPr>
          <w:rFonts w:hint="cs"/>
          <w:sz w:val="32"/>
          <w:szCs w:val="32"/>
          <w:rtl/>
        </w:rPr>
      </w:pPr>
      <w:r>
        <w:rPr>
          <w:rStyle w:val="ab"/>
        </w:rPr>
        <w:annotationRef/>
      </w:r>
      <w:r w:rsidRPr="00501282">
        <w:rPr>
          <w:rFonts w:hint="cs"/>
          <w:sz w:val="32"/>
          <w:szCs w:val="32"/>
          <w:rtl/>
        </w:rPr>
        <w:t xml:space="preserve">ما عرض کردیم که این فرمایش مرحوم آخوند که تعارض احوال لفظ را یک کاسه کرده و همه را محکوم کرده به حکم واحد، این درست نیست. چون این احوالی که مرحوم آخوند ذکر کرد که پنج تا بود، مجاز و نقل و اشتراک و تخصیص و اضمار وتقدیر که ما ششمی هم به آن اضافه کردیم و آن عبارت بود از استخدام، این احوال لفظ همه مربوط به یک مرحله نیستند. چون لفظ سه مرحله دارد، یکی مرحله دلالت تصوریه، دیگری مرحله دلالت استعمالیه وسومی مرحله اراده جدیه. و این احوال باید ببینیم مربوط به کدام مرحله است تا بتوانیم اظهار نظر بکنیم. </w:t>
      </w:r>
    </w:p>
    <w:p w14:paraId="7E739148" w14:textId="77777777" w:rsidR="00D66285" w:rsidRDefault="00D66285" w:rsidP="00D66285">
      <w:pPr>
        <w:pStyle w:val="ac"/>
      </w:pPr>
      <w:r w:rsidRPr="00501282">
        <w:rPr>
          <w:rFonts w:hint="cs"/>
          <w:sz w:val="32"/>
          <w:szCs w:val="32"/>
          <w:rtl/>
        </w:rPr>
        <w:t>دو حالت بود که مربوط می شد به مرحله دلالت تصوریه لفظ، وآن حالت اشتراک و نقل بود. این مربوط می شد به مرحله دلالت تصوریه. مجاز و اضمار و استخدام مربوط می شود به حالت دلالت استعمالیه، تخصیص مربوط می شود به مرحله اراده جدیه. اینکه ما این احوال را یک کاسه بکنیم و بگوئیم عند تعارض الاحوال خطاب مجمل می شود، این درست نیست. برای اینکه این احوال مربوط به یک مرحله نیستند، مربوط به سه مرحله اند و چه بسا این موجب بشود که برخی از این احوال بر برخی دیگر مقدم بشود.</w:t>
      </w:r>
    </w:p>
  </w:comment>
  <w:comment w:id="387" w:author="افادات الاستاذ الشهيدي في مجلس الدرس" w:date="2014-06-06T08:44:00Z" w:initials="s">
    <w:p w14:paraId="32998645" w14:textId="77777777" w:rsidR="00A902FE" w:rsidRDefault="00A902FE" w:rsidP="000D335C">
      <w:pPr>
        <w:rPr>
          <w:rFonts w:hint="cs"/>
        </w:rPr>
      </w:pPr>
      <w:r>
        <w:rPr>
          <w:rStyle w:val="ab"/>
        </w:rPr>
        <w:annotationRef/>
      </w:r>
      <w:r>
        <w:rPr>
          <w:rFonts w:hint="cs"/>
          <w:rtl/>
        </w:rPr>
        <w:t>المقرر: لما كان المخصص متصلا فلامجال لهذه القاعدة هنا</w:t>
      </w:r>
    </w:p>
  </w:comment>
  <w:comment w:id="396" w:author="افادات الاستاذ الشهيدي في مجلس الدرس" w:date="2014-06-16T09:32:00Z" w:initials="s">
    <w:p w14:paraId="46C0DC82" w14:textId="77777777" w:rsidR="00A902FE" w:rsidRDefault="00A902FE" w:rsidP="009F6B80">
      <w:pPr>
        <w:rPr>
          <w:rFonts w:hint="cs"/>
        </w:rPr>
      </w:pPr>
      <w:r>
        <w:rPr>
          <w:rStyle w:val="ab"/>
        </w:rPr>
        <w:annotationRef/>
      </w:r>
      <w:r>
        <w:rPr>
          <w:rFonts w:hint="cs"/>
          <w:rtl/>
        </w:rPr>
        <w:t>المقرر: لولا ما سيأتي من دلالة الاقتضاء</w:t>
      </w:r>
    </w:p>
  </w:comment>
  <w:comment w:id="405" w:author="سیدحسن روح بخش" w:date="2021-09-07T12:17:00Z" w:initials="h">
    <w:p w14:paraId="6FD84017" w14:textId="77777777" w:rsidR="00131774" w:rsidRPr="00131774" w:rsidRDefault="00131774" w:rsidP="00131774">
      <w:pPr>
        <w:pStyle w:val="ac"/>
        <w:rPr>
          <w:rFonts w:hint="cs"/>
          <w:sz w:val="36"/>
        </w:rPr>
      </w:pPr>
      <w:r>
        <w:rPr>
          <w:rtl/>
        </w:rPr>
        <w:fldChar w:fldCharType="begin"/>
      </w:r>
      <w:r>
        <w:rPr>
          <w:rStyle w:val="ab"/>
        </w:rPr>
        <w:instrText xml:space="preserve"> </w:instrText>
      </w:r>
      <w:r>
        <w:instrText>PAGE \# "'Page: '#'</w:instrText>
      </w:r>
      <w:r>
        <w:br/>
        <w:instrText>'"</w:instrText>
      </w:r>
      <w:r>
        <w:rPr>
          <w:rStyle w:val="ab"/>
        </w:rPr>
        <w:instrText xml:space="preserve"> </w:instrText>
      </w:r>
      <w:r>
        <w:rPr>
          <w:rtl/>
        </w:rPr>
        <w:fldChar w:fldCharType="end"/>
      </w:r>
      <w:r>
        <w:rPr>
          <w:rStyle w:val="ab"/>
        </w:rPr>
        <w:annotationRef/>
      </w:r>
      <w:r w:rsidR="00A67DF3">
        <w:rPr>
          <w:rFonts w:hint="cs"/>
          <w:rtl/>
        </w:rPr>
        <w:t xml:space="preserve">وفيه ان </w:t>
      </w:r>
      <w:r>
        <w:rPr>
          <w:rFonts w:hint="cs"/>
          <w:sz w:val="36"/>
          <w:rtl/>
        </w:rPr>
        <w:t>ايجاد السبب وهو الايجاب والقبول غير المسبب الشخصي وهو الملكية المنشأة</w:t>
      </w:r>
    </w:p>
  </w:comment>
  <w:comment w:id="423" w:author="افادات الاستاذ الشهيدي في مجلس الدرس" w:date="2018-10-24T19:52:00Z" w:initials="s">
    <w:p w14:paraId="561F9C87" w14:textId="77777777" w:rsidR="00A902FE" w:rsidRDefault="00A902FE">
      <w:pPr>
        <w:pStyle w:val="ac"/>
        <w:rPr>
          <w:rFonts w:hint="cs"/>
        </w:rPr>
      </w:pPr>
      <w:r>
        <w:rPr>
          <w:rStyle w:val="ab"/>
        </w:rPr>
        <w:annotationRef/>
      </w:r>
      <w:r>
        <w:rPr>
          <w:rFonts w:hint="cs"/>
          <w:rtl/>
        </w:rPr>
        <w:t>هذا يعني انه استعمال مجازي فيما وجدت علاقة ما كان، وغلط في غيره، وكأن الاستاذ يرى صحة الاستعمال المجازي في غير مورد وجود العلاقة فيرى في المقام انه غلط</w:t>
      </w:r>
    </w:p>
  </w:comment>
  <w:comment w:id="426" w:author="افادات الاستاذ الشهيدي في مجلس الدرس" w:date="2014-08-29T11:34:00Z" w:initials="s">
    <w:p w14:paraId="15C4CFB8" w14:textId="77777777" w:rsidR="00A902FE" w:rsidRDefault="00A902FE" w:rsidP="006E314D">
      <w:pPr>
        <w:pStyle w:val="af3"/>
        <w:bidi/>
        <w:rPr>
          <w:rFonts w:hint="cs"/>
        </w:rPr>
      </w:pPr>
      <w:r>
        <w:rPr>
          <w:rStyle w:val="ab"/>
        </w:rPr>
        <w:annotationRef/>
      </w:r>
      <w:r>
        <w:rPr>
          <w:rFonts w:hint="cs"/>
          <w:rtl/>
        </w:rPr>
        <w:t>المحقق الاصفهاني:</w:t>
      </w:r>
      <w:r w:rsidRPr="006E314D">
        <w:rPr>
          <w:rFonts w:hint="cs"/>
          <w:sz w:val="30"/>
          <w:szCs w:val="30"/>
          <w:rtl/>
          <w:lang w:bidi="fa-IR"/>
        </w:rPr>
        <w:t xml:space="preserve"> </w:t>
      </w:r>
      <w:r>
        <w:rPr>
          <w:rFonts w:hint="cs"/>
          <w:sz w:val="30"/>
          <w:szCs w:val="30"/>
          <w:rtl/>
          <w:lang w:bidi="fa-IR"/>
        </w:rPr>
        <w:t>التحقيق في خروج المصادر مطلقا- مع كونها من المشتقات- عدم الجري لها على الذات، و عدم اتحادها معها، كي يكون بقاؤها موهما لصدقها. فافهم فاستقم.</w:t>
      </w:r>
    </w:p>
  </w:comment>
  <w:comment w:id="427" w:author="افادات الاستاذ الشهيدي في مجلس الدرس" w:date="2018-10-25T14:42:00Z" w:initials="s">
    <w:p w14:paraId="3A61962B" w14:textId="77777777" w:rsidR="00A902FE" w:rsidRDefault="00A902FE">
      <w:pPr>
        <w:pStyle w:val="ac"/>
        <w:rPr>
          <w:rFonts w:hint="cs"/>
          <w:rtl/>
        </w:rPr>
      </w:pPr>
      <w:r>
        <w:rPr>
          <w:rStyle w:val="ab"/>
        </w:rPr>
        <w:annotationRef/>
      </w:r>
      <w:r>
        <w:rPr>
          <w:rFonts w:hint="cs"/>
          <w:rtl/>
        </w:rPr>
        <w:t>فالاعتصام وان كان متاخرا عن  الكرية تاخر الحكم عن موضوعه، ولكنه مقارن مع الكرية زمانا فلاينجسه ملاقاة النجس.</w:t>
      </w:r>
    </w:p>
    <w:p w14:paraId="4CCABEAC" w14:textId="77777777" w:rsidR="00A902FE" w:rsidRDefault="00A902FE">
      <w:pPr>
        <w:pStyle w:val="ac"/>
        <w:rPr>
          <w:rFonts w:hint="cs"/>
          <w:rtl/>
        </w:rPr>
      </w:pPr>
      <w:r>
        <w:rPr>
          <w:rFonts w:hint="cs"/>
          <w:rtl/>
        </w:rPr>
        <w:t>كما ان لمس يد الجارية المشتراة اجازة للشراء، ولايكون اللمس حراما، حيث انه مقارن زمانا مع الملكية، وان كانت الملكية متاخرة عن اللمس رتبةً.</w:t>
      </w:r>
    </w:p>
    <w:p w14:paraId="1901982A" w14:textId="77777777" w:rsidR="00A902FE" w:rsidRDefault="00A902FE">
      <w:pPr>
        <w:pStyle w:val="ac"/>
        <w:rPr>
          <w:rFonts w:hint="cs"/>
        </w:rPr>
      </w:pPr>
      <w:r>
        <w:rPr>
          <w:rFonts w:hint="cs"/>
          <w:rtl/>
        </w:rPr>
        <w:t xml:space="preserve"> كما ان اعتاق العبد فسخ للبيع وعتق له‘ مع ان العتق متاخر عن الملكية تاخر الحكم عن موضوعه والملكية متاخرة عن فسخ البيع كذلك‘ ولكنها جميعةً متحققة في زمان واحد</w:t>
      </w:r>
    </w:p>
  </w:comment>
  <w:comment w:id="428" w:author="افادات الاستاذ الشهيدي في مجلس الدرس" w:date="2018-10-25T20:33:00Z" w:initials="s">
    <w:p w14:paraId="6D374844" w14:textId="77777777" w:rsidR="00A902FE" w:rsidRDefault="00A902FE" w:rsidP="00C10199">
      <w:pPr>
        <w:pStyle w:val="ac"/>
        <w:rPr>
          <w:rFonts w:hint="cs"/>
          <w:rtl/>
        </w:rPr>
      </w:pPr>
      <w:r>
        <w:rPr>
          <w:rStyle w:val="ab"/>
        </w:rPr>
        <w:annotationRef/>
      </w:r>
      <w:r>
        <w:rPr>
          <w:rFonts w:hint="cs"/>
          <w:rtl/>
        </w:rPr>
        <w:t>ولكن كيف يجتمع الزوجية وزوال الزوجية مع الرضعة الاخيرة؟!، والحل ان يقال ان الزوجية مقارنة مع الرضعة الاخيرة واما زوال الزوجية فهي مقارن لتمام الرضعة وانقضاءها.</w:t>
      </w:r>
    </w:p>
    <w:p w14:paraId="7CDC3DB4" w14:textId="77777777" w:rsidR="00A902FE" w:rsidRDefault="00A902FE" w:rsidP="00C10199">
      <w:pPr>
        <w:pStyle w:val="ac"/>
        <w:rPr>
          <w:rFonts w:hint="cs"/>
        </w:rPr>
      </w:pPr>
      <w:r>
        <w:rPr>
          <w:rFonts w:hint="cs"/>
          <w:rtl/>
        </w:rPr>
        <w:t>فالصحيح ان يقال ان زمان العلة والمعلول في الاحكام الشرعية تابع لكيفية التشريع، ففي مثال الرضاع يكون تمام الرضاع واانقضاءه علة شرعا لتحقق البنتية وزوال الزوجية،</w:t>
      </w:r>
    </w:p>
  </w:comment>
  <w:comment w:id="429" w:author="افادات الاستاذ الشهيدي في مجلس الدرس" w:date="2018-10-26T10:18:00Z" w:initials="s">
    <w:p w14:paraId="28381CE6" w14:textId="77777777" w:rsidR="00A902FE" w:rsidRPr="001F4EAA" w:rsidRDefault="00A902FE" w:rsidP="001753AA">
      <w:pPr>
        <w:pStyle w:val="Style1"/>
        <w:spacing w:line="240" w:lineRule="auto"/>
        <w:ind w:firstLine="227"/>
        <w:rPr>
          <w:rStyle w:val="hasanChar"/>
          <w:rFonts w:ascii="Scheherazade" w:hAnsi="Scheherazade"/>
          <w:b/>
          <w:bCs/>
          <w:rtl/>
        </w:rPr>
      </w:pPr>
      <w:r>
        <w:rPr>
          <w:rStyle w:val="ab"/>
        </w:rPr>
        <w:annotationRef/>
      </w:r>
      <w:r w:rsidRPr="001F4EAA">
        <w:rPr>
          <w:rStyle w:val="Style4"/>
          <w:rFonts w:ascii="Scheherazade" w:hAnsi="Scheherazade"/>
          <w:rtl/>
        </w:rPr>
        <w:t>الثالث</w:t>
      </w:r>
      <w:r w:rsidRPr="001F4EAA">
        <w:rPr>
          <w:rStyle w:val="hasanChar"/>
          <w:rFonts w:ascii="Scheherazade" w:hAnsi="Scheherazade"/>
          <w:rtl/>
        </w:rPr>
        <w:t>: ان يكون احد الدليلين بفعليته واردا على الدليل الآخر، كما لو تزوج ببنت زوجته التي لم يدخل بها، فان المشهور وان كان هو بطلان الزواج ببنتها قبل طلاقها، ولكن مقتضى الصناعة هو كون دليل نفوذ النكاح المقتضي لنفوذ نكاح البنت واردا على موضوع زوجية أمها، حيث يجعلها مصداقا لأم الزوجة فيشملها دليل التحريم، وكذا لو اشترط على امرأة ان تكون في المسجد، فانه في فرض صيرورة المرأة حائضا تكون حرمة مكثها في المسجد بفعليتها واردة على دليل وجوب الوفاء بالشرط، لتقيده بعدم كون الشرط محللا للحرام، فمادامت المرأة لم تصر حائضا ولم تصر الحرمة فعلية في حقها لم يكن الشرط محللا للحرام، فيكون دليل تحريم المكث على الحائض بفعليته واردا على دليل الوفاء الشرط.</w:t>
      </w:r>
    </w:p>
    <w:p w14:paraId="0BB97CCC" w14:textId="77777777" w:rsidR="00A902FE" w:rsidRDefault="00A902FE">
      <w:pPr>
        <w:pStyle w:val="ac"/>
      </w:pPr>
    </w:p>
  </w:comment>
  <w:comment w:id="435" w:author="افادات الاستاذ الشهيدي في مجلس الدرس" w:date="2018-10-28T15:21:00Z" w:initials="s">
    <w:p w14:paraId="65F55E65" w14:textId="77777777" w:rsidR="00A902FE" w:rsidRDefault="00A902FE" w:rsidP="00E8128F">
      <w:pPr>
        <w:pStyle w:val="ac"/>
        <w:rPr>
          <w:rFonts w:hint="cs"/>
          <w:rtl/>
          <w:lang w:bidi="fa-IR"/>
        </w:rPr>
      </w:pPr>
      <w:r>
        <w:rPr>
          <w:rStyle w:val="ab"/>
        </w:rPr>
        <w:annotationRef/>
      </w:r>
      <w:r>
        <w:rPr>
          <w:rFonts w:hint="cs"/>
          <w:rtl/>
        </w:rPr>
        <w:t xml:space="preserve">مثل اين كه </w:t>
      </w:r>
      <w:r>
        <w:rPr>
          <w:rFonts w:hint="cs"/>
          <w:rtl/>
          <w:lang w:bidi="fa-IR"/>
        </w:rPr>
        <w:t>صحیح نیست   گفته شود پوست این مرغ قبلا سفت بود، موقعی که تخم مرغ بود، این سرگین قبلا لذیذ بود موقعی که برنج بود</w:t>
      </w:r>
    </w:p>
  </w:comment>
  <w:comment w:id="441" w:author="افادات الاستاذ الشهيدي في مجلس الدرس" w:date="2018-10-29T16:31:00Z" w:initials="s">
    <w:p w14:paraId="1133430D" w14:textId="77777777" w:rsidR="00A902FE" w:rsidRDefault="00A902FE">
      <w:pPr>
        <w:pStyle w:val="ac"/>
        <w:rPr>
          <w:rFonts w:hint="cs"/>
        </w:rPr>
      </w:pPr>
      <w:r>
        <w:rPr>
          <w:rStyle w:val="ab"/>
        </w:rPr>
        <w:annotationRef/>
      </w:r>
      <w:r>
        <w:rPr>
          <w:rFonts w:hint="cs"/>
          <w:rtl/>
        </w:rPr>
        <w:t>ذكر الاستاذ ان استعمال اسم المفعول وكذا اسم الفاعل انما يكون بلحاظ زمان الاسناد حقيقيا، اي زمان الماضي</w:t>
      </w:r>
    </w:p>
  </w:comment>
  <w:comment w:id="444" w:author="افادات الاستاذ الشهيدي في مجلس الدرس" w:date="2018-10-30T16:58:00Z" w:initials="s">
    <w:p w14:paraId="76A014F3" w14:textId="77777777" w:rsidR="00A902FE" w:rsidRDefault="00A902FE">
      <w:pPr>
        <w:pStyle w:val="ac"/>
        <w:rPr>
          <w:rFonts w:hint="cs"/>
        </w:rPr>
      </w:pPr>
      <w:r>
        <w:rPr>
          <w:rStyle w:val="ab"/>
        </w:rPr>
        <w:annotationRef/>
      </w:r>
      <w:r>
        <w:rPr>
          <w:rFonts w:hint="cs"/>
          <w:rtl/>
        </w:rPr>
        <w:t>والاعمي يقول انه متصف فعلا بكونه زمان قتل المؤمن</w:t>
      </w:r>
    </w:p>
  </w:comment>
  <w:comment w:id="445" w:author="افادات الاستاذ الشهيدي في مجلس الدرس" w:date="2018-10-30T16:58:00Z" w:initials="s">
    <w:p w14:paraId="76509633" w14:textId="77777777" w:rsidR="00A902FE" w:rsidRDefault="00A902FE" w:rsidP="004472F7">
      <w:pPr>
        <w:rPr>
          <w:rFonts w:hint="cs"/>
        </w:rPr>
      </w:pPr>
      <w:r>
        <w:rPr>
          <w:rStyle w:val="ab"/>
        </w:rPr>
        <w:annotationRef/>
      </w:r>
      <w:r>
        <w:rPr>
          <w:rFonts w:hint="cs"/>
          <w:rtl/>
        </w:rPr>
        <w:t>واما اطلاق يوم قتل الحسين عليه السلام على يوم عاشواء في كل سنة، فهو مجاز من اجل علاقة المشابهة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3D17F" w15:done="0"/>
  <w15:commentEx w15:paraId="6BC24418" w15:done="0"/>
  <w15:commentEx w15:paraId="16BB4249" w15:done="0"/>
  <w15:commentEx w15:paraId="28EA9DD9" w15:done="0"/>
  <w15:commentEx w15:paraId="4BB65191" w15:done="0"/>
  <w15:commentEx w15:paraId="2C64094F" w15:done="0"/>
  <w15:commentEx w15:paraId="14C5E92E" w15:done="0"/>
  <w15:commentEx w15:paraId="078F3626" w15:done="0"/>
  <w15:commentEx w15:paraId="1C1CF845" w15:done="0"/>
  <w15:commentEx w15:paraId="1E6D25D7" w15:done="0"/>
  <w15:commentEx w15:paraId="5C517A7A" w15:done="0"/>
  <w15:commentEx w15:paraId="3CD47E33" w15:done="0"/>
  <w15:commentEx w15:paraId="22D8736B" w15:done="0"/>
  <w15:commentEx w15:paraId="75BEA06C" w15:done="0"/>
  <w15:commentEx w15:paraId="2D1D44F3" w15:done="0"/>
  <w15:commentEx w15:paraId="56EADF8A" w15:done="0"/>
  <w15:commentEx w15:paraId="0B8E92FE" w15:done="0"/>
  <w15:commentEx w15:paraId="77A9D64A" w15:done="0"/>
  <w15:commentEx w15:paraId="498EC1AE" w15:done="0"/>
  <w15:commentEx w15:paraId="04A9002A" w15:done="0"/>
  <w15:commentEx w15:paraId="6277F777" w15:done="0"/>
  <w15:commentEx w15:paraId="2F5D7084" w15:done="0"/>
  <w15:commentEx w15:paraId="2EB23B17" w15:done="0"/>
  <w15:commentEx w15:paraId="0691B19C" w15:done="0"/>
  <w15:commentEx w15:paraId="168D7F21" w15:done="0"/>
  <w15:commentEx w15:paraId="7E739148" w15:done="0"/>
  <w15:commentEx w15:paraId="32998645" w15:done="0"/>
  <w15:commentEx w15:paraId="46C0DC82" w15:done="0"/>
  <w15:commentEx w15:paraId="6FD84017" w15:done="0"/>
  <w15:commentEx w15:paraId="561F9C87" w15:done="0"/>
  <w15:commentEx w15:paraId="15C4CFB8" w15:done="0"/>
  <w15:commentEx w15:paraId="1901982A" w15:done="0"/>
  <w15:commentEx w15:paraId="7CDC3DB4" w15:done="0"/>
  <w15:commentEx w15:paraId="0BB97CCC" w15:done="0"/>
  <w15:commentEx w15:paraId="65F55E65" w15:done="0"/>
  <w15:commentEx w15:paraId="1133430D" w15:done="0"/>
  <w15:commentEx w15:paraId="76A014F3" w15:done="0"/>
  <w15:commentEx w15:paraId="765096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3D17F" w16cid:durableId="168BF31F"/>
  <w16cid:commentId w16cid:paraId="6BC24418" w16cid:durableId="2343BFA6"/>
  <w16cid:commentId w16cid:paraId="16BB4249" w16cid:durableId="2343B98A"/>
  <w16cid:commentId w16cid:paraId="28EA9DD9" w16cid:durableId="2343C53A"/>
  <w16cid:commentId w16cid:paraId="4BB65191" w16cid:durableId="234BF8BC"/>
  <w16cid:commentId w16cid:paraId="2C64094F" w16cid:durableId="234BF968"/>
  <w16cid:commentId w16cid:paraId="14C5E92E" w16cid:durableId="2343C5F8"/>
  <w16cid:commentId w16cid:paraId="078F3626" w16cid:durableId="234BF9CF"/>
  <w16cid:commentId w16cid:paraId="1C1CF845" w16cid:durableId="2343C696"/>
  <w16cid:commentId w16cid:paraId="1E6D25D7" w16cid:durableId="2343D69A"/>
  <w16cid:commentId w16cid:paraId="5C517A7A" w16cid:durableId="2343D7ED"/>
  <w16cid:commentId w16cid:paraId="3CD47E33" w16cid:durableId="2343DBA8"/>
  <w16cid:commentId w16cid:paraId="22D8736B" w16cid:durableId="13F42DCB"/>
  <w16cid:commentId w16cid:paraId="75BEA06C" w16cid:durableId="1B6D353D"/>
  <w16cid:commentId w16cid:paraId="2D1D44F3" w16cid:durableId="2369141B"/>
  <w16cid:commentId w16cid:paraId="56EADF8A" w16cid:durableId="1B6C9DCD"/>
  <w16cid:commentId w16cid:paraId="0B8E92FE" w16cid:durableId="237B798F"/>
  <w16cid:commentId w16cid:paraId="77A9D64A" w16cid:durableId="2384B766"/>
  <w16cid:commentId w16cid:paraId="498EC1AE" w16cid:durableId="2384BCC2"/>
  <w16cid:commentId w16cid:paraId="04A9002A" w16cid:durableId="16CE116D"/>
  <w16cid:commentId w16cid:paraId="6277F777" w16cid:durableId="16CD45C2"/>
  <w16cid:commentId w16cid:paraId="2F5D7084" w16cid:durableId="16CE0FD6"/>
  <w16cid:commentId w16cid:paraId="2EB23B17" w16cid:durableId="23A064EB"/>
  <w16cid:commentId w16cid:paraId="0691B19C" w16cid:durableId="23A9C80B"/>
  <w16cid:commentId w16cid:paraId="168D7F21" w16cid:durableId="23B2E582"/>
  <w16cid:commentId w16cid:paraId="7E739148" w16cid:durableId="23B2E253"/>
  <w16cid:commentId w16cid:paraId="32998645" w16cid:durableId="173BFD6B"/>
  <w16cid:commentId w16cid:paraId="46C0DC82" w16cid:durableId="17493807"/>
  <w16cid:commentId w16cid:paraId="6FD84017" w16cid:durableId="24E11385"/>
  <w16cid:commentId w16cid:paraId="561F9C87" w16cid:durableId="1F7B4B77"/>
  <w16cid:commentId w16cid:paraId="15C4CFB8" w16cid:durableId="17AAE3BD"/>
  <w16cid:commentId w16cid:paraId="1901982A" w16cid:durableId="1F7C53D2"/>
  <w16cid:commentId w16cid:paraId="7CDC3DB4" w16cid:durableId="1F7CA54C"/>
  <w16cid:commentId w16cid:paraId="0BB97CCC" w16cid:durableId="1F7D6874"/>
  <w16cid:commentId w16cid:paraId="65F55E65" w16cid:durableId="1F805237"/>
  <w16cid:commentId w16cid:paraId="1133430D" w16cid:durableId="1F81B3BF"/>
  <w16cid:commentId w16cid:paraId="76A014F3" w16cid:durableId="1F830C36"/>
  <w16cid:commentId w16cid:paraId="76509633" w16cid:durableId="1F830B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658C" w14:textId="77777777" w:rsidR="002A28EB" w:rsidRDefault="002A28EB" w:rsidP="00106ABF">
      <w:r>
        <w:separator/>
      </w:r>
    </w:p>
    <w:p w14:paraId="7FC658BD" w14:textId="77777777" w:rsidR="002A28EB" w:rsidRDefault="002A28EB" w:rsidP="00106ABF"/>
    <w:p w14:paraId="7747434B" w14:textId="77777777" w:rsidR="002A28EB" w:rsidRDefault="002A28EB" w:rsidP="00106ABF"/>
    <w:p w14:paraId="03ED7F2C" w14:textId="77777777" w:rsidR="002A28EB" w:rsidRDefault="002A28EB" w:rsidP="00106ABF"/>
    <w:p w14:paraId="49347641" w14:textId="77777777" w:rsidR="002A28EB" w:rsidRDefault="002A28EB" w:rsidP="00106ABF"/>
    <w:p w14:paraId="7CA96916" w14:textId="77777777" w:rsidR="002A28EB" w:rsidRDefault="002A28EB" w:rsidP="00106ABF"/>
    <w:p w14:paraId="0A316A28" w14:textId="77777777" w:rsidR="002A28EB" w:rsidRDefault="002A28EB" w:rsidP="00106ABF"/>
    <w:p w14:paraId="24C22912" w14:textId="77777777" w:rsidR="002A28EB" w:rsidRDefault="002A28EB" w:rsidP="00106ABF"/>
    <w:p w14:paraId="47AE5548" w14:textId="77777777" w:rsidR="002A28EB" w:rsidRDefault="002A28EB" w:rsidP="00106ABF"/>
    <w:p w14:paraId="060A7869" w14:textId="77777777" w:rsidR="002A28EB" w:rsidRDefault="002A28EB" w:rsidP="00106ABF"/>
    <w:p w14:paraId="5ABA1209" w14:textId="77777777" w:rsidR="002A28EB" w:rsidRDefault="002A28EB" w:rsidP="00106ABF"/>
    <w:p w14:paraId="2F52BE75" w14:textId="77777777" w:rsidR="002A28EB" w:rsidRDefault="002A28EB" w:rsidP="00106ABF"/>
    <w:p w14:paraId="14616A85" w14:textId="77777777" w:rsidR="002A28EB" w:rsidRDefault="002A28EB" w:rsidP="00106ABF"/>
    <w:p w14:paraId="784025E3" w14:textId="77777777" w:rsidR="002A28EB" w:rsidRDefault="002A28EB" w:rsidP="00106ABF"/>
    <w:p w14:paraId="4FFA70CC" w14:textId="77777777" w:rsidR="002A28EB" w:rsidRDefault="002A28EB" w:rsidP="00106ABF"/>
    <w:p w14:paraId="55C61B59" w14:textId="77777777" w:rsidR="002A28EB" w:rsidRDefault="002A28EB" w:rsidP="00106ABF"/>
    <w:p w14:paraId="2C140BFC" w14:textId="77777777" w:rsidR="002A28EB" w:rsidRDefault="002A28EB" w:rsidP="00106ABF"/>
    <w:p w14:paraId="181C968B" w14:textId="77777777" w:rsidR="002A28EB" w:rsidRDefault="002A28EB" w:rsidP="00106ABF"/>
    <w:p w14:paraId="1BC81DBA" w14:textId="77777777" w:rsidR="002A28EB" w:rsidRDefault="002A28EB" w:rsidP="00106ABF"/>
    <w:p w14:paraId="67292A21" w14:textId="77777777" w:rsidR="002A28EB" w:rsidRDefault="002A28EB" w:rsidP="00106ABF"/>
    <w:p w14:paraId="314231B8" w14:textId="77777777" w:rsidR="002A28EB" w:rsidRDefault="002A28EB" w:rsidP="00106ABF"/>
    <w:p w14:paraId="537A31BD" w14:textId="77777777" w:rsidR="002A28EB" w:rsidRDefault="002A28EB" w:rsidP="00106ABF"/>
    <w:p w14:paraId="11D30DF5" w14:textId="77777777" w:rsidR="002A28EB" w:rsidRDefault="002A28EB" w:rsidP="00106ABF"/>
    <w:p w14:paraId="68CB31DD" w14:textId="77777777" w:rsidR="002A28EB" w:rsidRDefault="002A28EB" w:rsidP="00106ABF"/>
    <w:p w14:paraId="5644DE86" w14:textId="77777777" w:rsidR="002A28EB" w:rsidRDefault="002A28EB" w:rsidP="00106ABF"/>
    <w:p w14:paraId="2B19A275" w14:textId="77777777" w:rsidR="002A28EB" w:rsidRDefault="002A28EB" w:rsidP="00106ABF"/>
    <w:p w14:paraId="117A2BF0" w14:textId="77777777" w:rsidR="002A28EB" w:rsidRDefault="002A28EB" w:rsidP="00106ABF"/>
    <w:p w14:paraId="16F449F7" w14:textId="77777777" w:rsidR="002A28EB" w:rsidRDefault="002A28EB" w:rsidP="00106ABF"/>
    <w:p w14:paraId="34C64FEA" w14:textId="77777777" w:rsidR="002A28EB" w:rsidRDefault="002A28EB" w:rsidP="00106ABF"/>
    <w:p w14:paraId="36F48CEA" w14:textId="77777777" w:rsidR="002A28EB" w:rsidRDefault="002A28EB" w:rsidP="00106ABF"/>
    <w:p w14:paraId="5ECEBCBB" w14:textId="77777777" w:rsidR="002A28EB" w:rsidRDefault="002A28EB" w:rsidP="00106ABF"/>
    <w:p w14:paraId="3C2B35F7" w14:textId="77777777" w:rsidR="002A28EB" w:rsidRDefault="002A28EB" w:rsidP="00106ABF"/>
    <w:p w14:paraId="60C20B03" w14:textId="77777777" w:rsidR="002A28EB" w:rsidRDefault="002A28EB" w:rsidP="00106ABF"/>
    <w:p w14:paraId="0F2D5A78" w14:textId="77777777" w:rsidR="002A28EB" w:rsidRDefault="002A28EB" w:rsidP="00106ABF"/>
    <w:p w14:paraId="59F4620B" w14:textId="77777777" w:rsidR="002A28EB" w:rsidRDefault="002A28EB" w:rsidP="00106ABF">
      <w:pPr>
        <w:bidi w:val="0"/>
      </w:pPr>
    </w:p>
    <w:p w14:paraId="0F621F88" w14:textId="77777777" w:rsidR="002A28EB" w:rsidRDefault="002A28EB" w:rsidP="00106ABF">
      <w:pPr>
        <w:bidi w:val="0"/>
      </w:pPr>
    </w:p>
    <w:p w14:paraId="42606E96" w14:textId="77777777" w:rsidR="002A28EB" w:rsidRDefault="002A28EB" w:rsidP="00106ABF"/>
    <w:p w14:paraId="087F4397" w14:textId="77777777" w:rsidR="002A28EB" w:rsidRDefault="002A28EB" w:rsidP="009C58C8"/>
  </w:endnote>
  <w:endnote w:type="continuationSeparator" w:id="0">
    <w:p w14:paraId="55507074" w14:textId="77777777" w:rsidR="002A28EB" w:rsidRDefault="002A28EB" w:rsidP="00106ABF">
      <w:r>
        <w:continuationSeparator/>
      </w:r>
    </w:p>
    <w:p w14:paraId="09F6E504" w14:textId="77777777" w:rsidR="002A28EB" w:rsidRDefault="002A28EB" w:rsidP="00106ABF"/>
    <w:p w14:paraId="5FBC79E2" w14:textId="77777777" w:rsidR="002A28EB" w:rsidRDefault="002A28EB" w:rsidP="00106ABF"/>
    <w:p w14:paraId="5C9CAC1D" w14:textId="77777777" w:rsidR="002A28EB" w:rsidRDefault="002A28EB" w:rsidP="00106ABF"/>
    <w:p w14:paraId="0183CCA6" w14:textId="77777777" w:rsidR="002A28EB" w:rsidRDefault="002A28EB" w:rsidP="00106ABF"/>
    <w:p w14:paraId="384EB64D" w14:textId="77777777" w:rsidR="002A28EB" w:rsidRDefault="002A28EB" w:rsidP="00106ABF"/>
    <w:p w14:paraId="3EB47214" w14:textId="77777777" w:rsidR="002A28EB" w:rsidRDefault="002A28EB" w:rsidP="00106ABF"/>
    <w:p w14:paraId="2B8940DC" w14:textId="77777777" w:rsidR="002A28EB" w:rsidRDefault="002A28EB" w:rsidP="00106ABF"/>
    <w:p w14:paraId="4B89F85C" w14:textId="77777777" w:rsidR="002A28EB" w:rsidRDefault="002A28EB" w:rsidP="00106ABF"/>
    <w:p w14:paraId="0709C35B" w14:textId="77777777" w:rsidR="002A28EB" w:rsidRDefault="002A28EB" w:rsidP="00106ABF"/>
    <w:p w14:paraId="1C983D0C" w14:textId="77777777" w:rsidR="002A28EB" w:rsidRDefault="002A28EB" w:rsidP="00106ABF"/>
    <w:p w14:paraId="176AB7AC" w14:textId="77777777" w:rsidR="002A28EB" w:rsidRDefault="002A28EB" w:rsidP="00106ABF"/>
    <w:p w14:paraId="741511CE" w14:textId="77777777" w:rsidR="002A28EB" w:rsidRDefault="002A28EB" w:rsidP="00106ABF"/>
    <w:p w14:paraId="6759013F" w14:textId="77777777" w:rsidR="002A28EB" w:rsidRDefault="002A28EB" w:rsidP="00106ABF"/>
    <w:p w14:paraId="5C91C000" w14:textId="77777777" w:rsidR="002A28EB" w:rsidRDefault="002A28EB" w:rsidP="00106ABF"/>
    <w:p w14:paraId="5E7FB257" w14:textId="77777777" w:rsidR="002A28EB" w:rsidRDefault="002A28EB" w:rsidP="00106ABF"/>
    <w:p w14:paraId="63E9947C" w14:textId="77777777" w:rsidR="002A28EB" w:rsidRDefault="002A28EB" w:rsidP="00106ABF"/>
    <w:p w14:paraId="12F253EF" w14:textId="77777777" w:rsidR="002A28EB" w:rsidRDefault="002A28EB" w:rsidP="00106ABF"/>
    <w:p w14:paraId="758AA71A" w14:textId="77777777" w:rsidR="002A28EB" w:rsidRDefault="002A28EB" w:rsidP="00106ABF"/>
    <w:p w14:paraId="633981E3" w14:textId="77777777" w:rsidR="002A28EB" w:rsidRDefault="002A28EB" w:rsidP="00106ABF"/>
    <w:p w14:paraId="3038BB9B" w14:textId="77777777" w:rsidR="002A28EB" w:rsidRDefault="002A28EB" w:rsidP="00106ABF"/>
    <w:p w14:paraId="0B81F07E" w14:textId="77777777" w:rsidR="002A28EB" w:rsidRDefault="002A28EB" w:rsidP="00106ABF"/>
    <w:p w14:paraId="12F3DAAF" w14:textId="77777777" w:rsidR="002A28EB" w:rsidRDefault="002A28EB" w:rsidP="00106ABF"/>
    <w:p w14:paraId="301914F0" w14:textId="77777777" w:rsidR="002A28EB" w:rsidRDefault="002A28EB" w:rsidP="00106ABF"/>
    <w:p w14:paraId="4D44F8DA" w14:textId="77777777" w:rsidR="002A28EB" w:rsidRDefault="002A28EB" w:rsidP="00106ABF"/>
    <w:p w14:paraId="6A0BAFD7" w14:textId="77777777" w:rsidR="002A28EB" w:rsidRDefault="002A28EB" w:rsidP="00106ABF"/>
    <w:p w14:paraId="5D65B37B" w14:textId="77777777" w:rsidR="002A28EB" w:rsidRDefault="002A28EB" w:rsidP="00106ABF"/>
    <w:p w14:paraId="21A35080" w14:textId="77777777" w:rsidR="002A28EB" w:rsidRDefault="002A28EB" w:rsidP="00106ABF"/>
    <w:p w14:paraId="1153F7AC" w14:textId="77777777" w:rsidR="002A28EB" w:rsidRDefault="002A28EB" w:rsidP="00106ABF"/>
    <w:p w14:paraId="5D514BA9" w14:textId="77777777" w:rsidR="002A28EB" w:rsidRDefault="002A28EB" w:rsidP="00106ABF"/>
    <w:p w14:paraId="12D08BDB" w14:textId="77777777" w:rsidR="002A28EB" w:rsidRDefault="002A28EB" w:rsidP="00106ABF"/>
    <w:p w14:paraId="659214E4" w14:textId="77777777" w:rsidR="002A28EB" w:rsidRDefault="002A28EB" w:rsidP="00106ABF"/>
    <w:p w14:paraId="303861D8" w14:textId="77777777" w:rsidR="002A28EB" w:rsidRDefault="002A28EB" w:rsidP="00106ABF"/>
    <w:p w14:paraId="7E0E6E56" w14:textId="77777777" w:rsidR="002A28EB" w:rsidRDefault="002A28EB" w:rsidP="00106ABF"/>
    <w:p w14:paraId="0AABD567" w14:textId="77777777" w:rsidR="002A28EB" w:rsidRDefault="002A28EB" w:rsidP="00106ABF">
      <w:pPr>
        <w:bidi w:val="0"/>
      </w:pPr>
    </w:p>
    <w:p w14:paraId="7D268324" w14:textId="77777777" w:rsidR="002A28EB" w:rsidRDefault="002A28EB" w:rsidP="00106ABF">
      <w:pPr>
        <w:bidi w:val="0"/>
      </w:pPr>
    </w:p>
    <w:p w14:paraId="4981FB28" w14:textId="77777777" w:rsidR="002A28EB" w:rsidRDefault="002A28EB" w:rsidP="00106ABF"/>
    <w:p w14:paraId="1A8D09C5" w14:textId="77777777" w:rsidR="002A28EB" w:rsidRDefault="002A28EB" w:rsidP="009C5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cheheraza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35D1" w14:textId="77777777" w:rsidR="002A28EB" w:rsidRDefault="002A28EB" w:rsidP="00620E61">
      <w:pPr>
        <w:pStyle w:val="khotoothamesh"/>
        <w:bidi/>
      </w:pPr>
      <w:r>
        <w:rPr>
          <w:rFonts w:hint="cs"/>
          <w:rtl/>
        </w:rPr>
        <w:t>_________________________</w:t>
      </w:r>
    </w:p>
  </w:footnote>
  <w:footnote w:type="continuationSeparator" w:id="0">
    <w:p w14:paraId="514864A7" w14:textId="77777777" w:rsidR="002A28EB" w:rsidRDefault="002A28EB" w:rsidP="00620E61">
      <w:pPr>
        <w:pStyle w:val="khotoothamesh"/>
        <w:bidi/>
        <w:rPr>
          <w:rFonts w:hint="cs"/>
          <w:rtl/>
          <w:lang w:bidi="fa-IR"/>
        </w:rPr>
      </w:pPr>
      <w:r>
        <w:rPr>
          <w:rFonts w:hint="cs"/>
          <w:rtl/>
          <w:lang w:bidi="fa-IR"/>
        </w:rPr>
        <w:t>_____________________________________</w:t>
      </w:r>
    </w:p>
    <w:p w14:paraId="614A4AC3" w14:textId="77777777" w:rsidR="002A28EB" w:rsidRDefault="002A28EB" w:rsidP="00373944">
      <w:pPr>
        <w:pStyle w:val="a7"/>
      </w:pPr>
      <w:r>
        <w:rPr>
          <w:rFonts w:hint="cs"/>
          <w:rtl/>
          <w:lang w:bidi="fa-IR"/>
        </w:rPr>
        <w:t>&lt;&lt;&lt;</w:t>
      </w:r>
    </w:p>
  </w:footnote>
  <w:footnote w:type="continuationNotice" w:id="1">
    <w:p w14:paraId="2BFD12C5" w14:textId="77777777" w:rsidR="002A28EB" w:rsidRDefault="002A28EB" w:rsidP="00620E61">
      <w:pPr>
        <w:pStyle w:val="khotoothamesh"/>
        <w:bidi/>
      </w:pPr>
      <w:r>
        <w:rPr>
          <w:rFonts w:hint="cs"/>
          <w:rtl/>
          <w:lang w:bidi="fa-IR"/>
        </w:rPr>
        <w:t>&gt;&gt;&gt;</w:t>
      </w:r>
    </w:p>
  </w:footnote>
  <w:footnote w:id="2">
    <w:p w14:paraId="3534527A" w14:textId="77777777" w:rsidR="00A902FE" w:rsidRPr="00032CF0" w:rsidRDefault="00A902FE" w:rsidP="00620E61">
      <w:pPr>
        <w:pStyle w:val="hamesh14"/>
        <w:rPr>
          <w:rtl/>
        </w:rPr>
      </w:pPr>
      <w:r w:rsidRPr="00032CF0">
        <w:rPr>
          <w:rStyle w:val="a6"/>
          <w:b w:val="0"/>
          <w:vertAlign w:val="baseline"/>
          <w:rtl/>
        </w:rPr>
        <w:footnoteRef/>
      </w:r>
      <w:r w:rsidRPr="00032CF0">
        <w:rPr>
          <w:rtl/>
        </w:rPr>
        <w:t xml:space="preserve"> - توضيحه انه قد يدعى انسداد باب العلم والظن المعتبر بالدليل الخاص بالنسبة الى معظم الاحكام الشرعية في عصر الغيبة، وحينئذ فقد يتوصل في طي مقدمات الى حجية مطلق الظن، فتارة يقال بان نتيجة تلك المقدمات استكشاف ان الشارع جعل مطلق الظن في هذا الحال حجة على وزان حجية الظن الخاص فيكون وزانه وزان سائر الأمارات المعتبرة شرعا، وهذا يسمى بمسلك الكشف، وأخرى يقال بانه لايستنتج من تلك المقدمات اكثر من حكم العقل بجواز الاكتفاء بتحصيل الظن بامتثال الاحكام الشرعية التي يعلم بوجودها اجمالا في الشريعة، ويسمى ذلك بمسلك الحكومة ويعنى به حكم العقل بجواز التبعيض في الاحتياط او فقل معذرية الامتثال الظني من التكاليف المعلومة بالاجمال.</w:t>
      </w:r>
    </w:p>
  </w:footnote>
  <w:footnote w:id="3">
    <w:p w14:paraId="334CDF6C" w14:textId="77777777" w:rsidR="00A902FE" w:rsidRPr="00032CF0" w:rsidRDefault="00A902FE" w:rsidP="00620E61">
      <w:pPr>
        <w:pStyle w:val="hamesh14"/>
        <w:rPr>
          <w:rtl/>
        </w:rPr>
      </w:pPr>
      <w:r w:rsidRPr="00032CF0">
        <w:rPr>
          <w:rStyle w:val="a6"/>
          <w:b w:val="0"/>
          <w:vertAlign w:val="baseline"/>
          <w:rtl/>
        </w:rPr>
        <w:footnoteRef/>
      </w:r>
      <w:r w:rsidRPr="00032CF0">
        <w:rPr>
          <w:rtl/>
        </w:rPr>
        <w:t xml:space="preserve"> - وكان الانسب لصاحب الكفاية حذف التعبير بكونها متعلقة بعمل المكلف لانتقاضه باصالة الطهارة ونحوها، حيث انها لاتتعلق بعمل المكلف.</w:t>
      </w:r>
    </w:p>
  </w:footnote>
  <w:footnote w:id="4">
    <w:p w14:paraId="2724088E" w14:textId="77777777" w:rsidR="00A902FE" w:rsidRPr="00032CF0" w:rsidRDefault="00A902FE" w:rsidP="009C58C8">
      <w:pPr>
        <w:pStyle w:val="a4"/>
        <w:ind w:left="0"/>
        <w:jc w:val="both"/>
      </w:pPr>
      <w:r w:rsidRPr="00032CF0">
        <w:rPr>
          <w:rStyle w:val="a6"/>
          <w:vertAlign w:val="baseline"/>
          <w:rtl/>
        </w:rPr>
        <w:footnoteRef/>
      </w:r>
      <w:r w:rsidRPr="00032CF0">
        <w:rPr>
          <w:rtl/>
        </w:rPr>
        <w:t>- كفاية الاصول ص469</w:t>
      </w:r>
    </w:p>
  </w:footnote>
  <w:footnote w:id="5">
    <w:p w14:paraId="2C68ECA7" w14:textId="77777777" w:rsidR="00A902FE" w:rsidRPr="00032CF0" w:rsidRDefault="00A902FE" w:rsidP="009C58C8">
      <w:pPr>
        <w:pStyle w:val="a4"/>
        <w:ind w:left="0"/>
        <w:jc w:val="both"/>
      </w:pPr>
      <w:r w:rsidRPr="00032CF0">
        <w:rPr>
          <w:rStyle w:val="a6"/>
          <w:vertAlign w:val="baseline"/>
          <w:rtl/>
        </w:rPr>
        <w:footnoteRef/>
      </w:r>
      <w:r w:rsidRPr="00032CF0">
        <w:rPr>
          <w:rtl/>
        </w:rPr>
        <w:t>- وسائل الشيعة ج17 ص88باب4 من ابواب ما يكتسب به ح1</w:t>
      </w:r>
    </w:p>
  </w:footnote>
  <w:footnote w:id="6">
    <w:p w14:paraId="504B9DE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نفس المصدر ح4</w:t>
      </w:r>
    </w:p>
  </w:footnote>
  <w:footnote w:id="7">
    <w:p w14:paraId="7FF69670" w14:textId="77777777" w:rsidR="00A902FE" w:rsidRPr="00032CF0" w:rsidRDefault="00A902FE" w:rsidP="009C58C8">
      <w:pPr>
        <w:pStyle w:val="a4"/>
        <w:ind w:left="0"/>
        <w:jc w:val="both"/>
        <w:rPr>
          <w:rtl/>
        </w:rPr>
      </w:pPr>
      <w:r w:rsidRPr="00032CF0">
        <w:rPr>
          <w:rStyle w:val="a6"/>
          <w:b/>
          <w:vertAlign w:val="baseline"/>
          <w:rtl/>
        </w:rPr>
        <w:footnoteRef/>
      </w:r>
      <w:r w:rsidRPr="00032CF0">
        <w:rPr>
          <w:rtl/>
        </w:rPr>
        <w:t xml:space="preserve"> - منتقي الاصول ج1ص24</w:t>
      </w:r>
    </w:p>
  </w:footnote>
  <w:footnote w:id="8">
    <w:p w14:paraId="31F644DE" w14:textId="77777777" w:rsidR="00A902FE" w:rsidRPr="00032CF0" w:rsidRDefault="00A902FE" w:rsidP="009C58C8">
      <w:pPr>
        <w:pStyle w:val="a4"/>
        <w:ind w:left="0"/>
        <w:jc w:val="both"/>
        <w:rPr>
          <w:rtl/>
        </w:rPr>
      </w:pPr>
      <w:r w:rsidRPr="00032CF0">
        <w:rPr>
          <w:rStyle w:val="a6"/>
          <w:b/>
          <w:vertAlign w:val="baseline"/>
          <w:rtl/>
        </w:rPr>
        <w:footnoteRef/>
      </w:r>
      <w:r w:rsidRPr="00032CF0">
        <w:rPr>
          <w:rtl/>
        </w:rPr>
        <w:t xml:space="preserve"> - كفاية الاصول ص88و469</w:t>
      </w:r>
    </w:p>
  </w:footnote>
  <w:footnote w:id="9">
    <w:p w14:paraId="4FBCCDF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ص267</w:t>
      </w:r>
    </w:p>
  </w:footnote>
  <w:footnote w:id="10">
    <w:p w14:paraId="19375ED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-حواشي المشكيني ج5 ص313</w:t>
      </w:r>
    </w:p>
  </w:footnote>
  <w:footnote w:id="11">
    <w:p w14:paraId="7C3E4893" w14:textId="77777777" w:rsidR="00A902FE" w:rsidRPr="00032CF0" w:rsidRDefault="00A902FE" w:rsidP="00620E61">
      <w:pPr>
        <w:pStyle w:val="hamesh14"/>
        <w:rPr>
          <w:rtl/>
        </w:rPr>
      </w:pPr>
      <w:r w:rsidRPr="00032CF0">
        <w:rPr>
          <w:rStyle w:val="a6"/>
          <w:b w:val="0"/>
          <w:vertAlign w:val="baseline"/>
          <w:rtl/>
        </w:rPr>
        <w:footnoteRef/>
      </w:r>
      <w:r w:rsidRPr="00032CF0">
        <w:rPr>
          <w:rtl/>
        </w:rPr>
        <w:t xml:space="preserve"> - قد ذكرنا في بحث الجمع بين الحكم الظاهري والواقعي ان التكيلف الواقعي عند وجود امارة او جريان اصل عملي شرعي على خلافه وان</w:t>
      </w:r>
      <w:r>
        <w:rPr>
          <w:rFonts w:hint="cs"/>
          <w:rtl/>
        </w:rPr>
        <w:t xml:space="preserve"> </w:t>
      </w:r>
      <w:r w:rsidRPr="00032CF0">
        <w:rPr>
          <w:rtl/>
        </w:rPr>
        <w:t>لم‌يكن فعليا بالنظر العقلي لكنه فعلي بالنظر العقلائي.</w:t>
      </w:r>
    </w:p>
    <w:p w14:paraId="7C7333DF" w14:textId="77777777" w:rsidR="00A902FE" w:rsidRPr="00032CF0" w:rsidRDefault="00A902FE" w:rsidP="00620E61">
      <w:pPr>
        <w:pStyle w:val="hamesh14"/>
        <w:rPr>
          <w:rtl/>
        </w:rPr>
      </w:pPr>
      <w:r w:rsidRPr="00032CF0">
        <w:rPr>
          <w:rtl/>
        </w:rPr>
        <w:t>وذلك لان روح التكليف الواقعي هو الطلب القائم بنفس المولى بالنسبة الى فعل العبد، فروح التكليف الوجوبي هو طلب الفعل بنحو لايرضى بتركه وروح التكليف التحريمي هو طلب ترك الفعل بنحو لايرضى بارتكابه، وهذا لايجتمع مع رضاه وترخيصه في ترك الواجب او فعل الحرام، فمعنى رضاه وترخيصه بارتكاب الشبهة البدوية هو انتفاء روح التكليف الوجوبي او التحريمي في هذا الفرض، فلافرق عقلا بين ان يكون الترخيص بمناط الجهل اوبمناط الحرج، نعم الفرق بينهما في النظر العقلائي، حيث يفرقون بين الترخيص النا</w:t>
      </w:r>
      <w:r>
        <w:rPr>
          <w:rtl/>
        </w:rPr>
        <w:t xml:space="preserve">شيء </w:t>
      </w:r>
      <w:r w:rsidRPr="00032CF0">
        <w:rPr>
          <w:rtl/>
        </w:rPr>
        <w:t>عن جهل المكلف وبين الترخيص النا</w:t>
      </w:r>
      <w:r>
        <w:rPr>
          <w:rtl/>
        </w:rPr>
        <w:t xml:space="preserve">شيء </w:t>
      </w:r>
      <w:r w:rsidRPr="00032CF0">
        <w:rPr>
          <w:rtl/>
        </w:rPr>
        <w:t>عن غير ذلك، فلايرون الترخيص النا</w:t>
      </w:r>
      <w:r>
        <w:rPr>
          <w:rtl/>
        </w:rPr>
        <w:t xml:space="preserve">شيء </w:t>
      </w:r>
      <w:r w:rsidRPr="00032CF0">
        <w:rPr>
          <w:rtl/>
        </w:rPr>
        <w:t>عن الجهل مانعا عن فعلية التكليف، ولأجل ذلك لوورد ترخيص ظاهري في ارتكاب طرف معين من طرفي العلم الإجمالي فلايرى العقلاء ذلك موجبا لارتفاع حرمة مخالفته القطعية، بخلاف الترخيص فيه بمناط كونه موجبا للحرج بعينه، فانه لو كان حرجية احد طرفي العلم الإجمالي بعينه مقارنة لحصول العلم الإجمالي كان مانعا عن العلم الإجمالي بالتكليف الفعلي.</w:t>
      </w:r>
    </w:p>
    <w:p w14:paraId="6A99F79B" w14:textId="77777777" w:rsidR="00A902FE" w:rsidRPr="00032CF0" w:rsidRDefault="00A902FE" w:rsidP="00620E61">
      <w:pPr>
        <w:pStyle w:val="hamesh14"/>
        <w:rPr>
          <w:rtl/>
        </w:rPr>
      </w:pPr>
      <w:r w:rsidRPr="00032CF0">
        <w:rPr>
          <w:rtl/>
        </w:rPr>
        <w:t>واما ما ذكره السيد الصدر"قده" من ان روح الوجوب الواقعي مثلا هو حب المولى بفعل، ويجتمع ذلك مع ترخيص المولى في تركه في موارد الشك وجريان اصالة البراءة، بل يجتمع مع تعلق ارادة المولى بترك المكلف له عند قيام أمارة على حرمته، فان تعلق الارادة والاختيار بشيئ لاينشأ دائما عن تعلق الحب به، فربما يختار الانسان شيئا ولايحبه كما في دفع الأفسد بالفاسد، ففيه ان روح الحكم الوجوبي ليس هو الحب، بل هو تعلق الغرض اللزومي للمولى بفعل العبد، فقد يأمر بشيئ أمرا واقعيا من دون ان يتعلق حبه به، كما في مثال الأمر بدفع الافسد بالفاسد، وهذا مما لايجتمع مع الرضا والترخيص في الترك ولو بمناط الجهل، وتفصيل الكلام موكول الى محله.</w:t>
      </w:r>
    </w:p>
  </w:footnote>
  <w:footnote w:id="12">
    <w:p w14:paraId="2FBCF06B" w14:textId="77777777" w:rsidR="00A902FE" w:rsidRPr="00032CF0" w:rsidRDefault="00A902FE" w:rsidP="009C58C8">
      <w:pPr>
        <w:pStyle w:val="a4"/>
        <w:ind w:left="0"/>
        <w:jc w:val="both"/>
      </w:pPr>
      <w:r w:rsidRPr="00032CF0">
        <w:rPr>
          <w:rStyle w:val="a6"/>
          <w:b/>
          <w:vertAlign w:val="baseline"/>
          <w:rtl/>
        </w:rPr>
        <w:footnoteRef/>
      </w:r>
      <w:r w:rsidRPr="00032CF0">
        <w:rPr>
          <w:rtl/>
        </w:rPr>
        <w:t>- مقالات الاصول ج1ص3، نهاية الافكارج1 ص19</w:t>
      </w:r>
    </w:p>
  </w:footnote>
  <w:footnote w:id="13">
    <w:p w14:paraId="7E5FFD0D" w14:textId="77777777" w:rsidR="00A902FE" w:rsidRPr="00032CF0" w:rsidRDefault="00A902FE" w:rsidP="009C58C8">
      <w:pPr>
        <w:pStyle w:val="a4"/>
        <w:ind w:left="0"/>
        <w:jc w:val="both"/>
      </w:pPr>
      <w:r w:rsidRPr="00032CF0">
        <w:rPr>
          <w:rStyle w:val="a6"/>
          <w:b/>
          <w:vertAlign w:val="baseline"/>
          <w:rtl/>
        </w:rPr>
        <w:footnoteRef/>
      </w:r>
      <w:r w:rsidRPr="00032CF0">
        <w:rPr>
          <w:rtl/>
        </w:rPr>
        <w:t>- فوائد الاصول ج1ص29</w:t>
      </w:r>
    </w:p>
  </w:footnote>
  <w:footnote w:id="14">
    <w:p w14:paraId="437BE72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الاصول ص33</w:t>
      </w:r>
    </w:p>
  </w:footnote>
  <w:footnote w:id="15">
    <w:p w14:paraId="03601173" w14:textId="77777777" w:rsidR="00A902FE" w:rsidRPr="00032CF0" w:rsidRDefault="00A902FE" w:rsidP="009C58C8">
      <w:pPr>
        <w:pStyle w:val="a4"/>
        <w:ind w:left="0"/>
        <w:jc w:val="both"/>
        <w:rPr>
          <w:rtl/>
        </w:rPr>
      </w:pPr>
      <w:r w:rsidRPr="00032CF0">
        <w:rPr>
          <w:rStyle w:val="a6"/>
          <w:b/>
          <w:vertAlign w:val="baseline"/>
          <w:rtl/>
        </w:rPr>
        <w:footnoteRef/>
      </w:r>
      <w:r w:rsidRPr="00032CF0">
        <w:rPr>
          <w:rtl/>
        </w:rPr>
        <w:t xml:space="preserve"> - درر الفوائد ج1ص32</w:t>
      </w:r>
    </w:p>
  </w:footnote>
  <w:footnote w:id="16">
    <w:p w14:paraId="178A1E6E" w14:textId="77777777" w:rsidR="00A902FE" w:rsidRPr="00032CF0" w:rsidRDefault="00A902FE" w:rsidP="009C58C8">
      <w:pPr>
        <w:pStyle w:val="a4"/>
        <w:ind w:left="0"/>
        <w:jc w:val="both"/>
      </w:pPr>
      <w:r w:rsidRPr="00032CF0">
        <w:rPr>
          <w:rStyle w:val="a6"/>
          <w:b/>
          <w:vertAlign w:val="baseline"/>
          <w:rtl/>
        </w:rPr>
        <w:footnoteRef/>
      </w:r>
      <w:r w:rsidRPr="00032CF0">
        <w:rPr>
          <w:rtl/>
        </w:rPr>
        <w:t>- فوائد الاصول ج1 ص27</w:t>
      </w:r>
    </w:p>
  </w:footnote>
  <w:footnote w:id="17">
    <w:p w14:paraId="28BE178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 ص13</w:t>
      </w:r>
    </w:p>
  </w:footnote>
  <w:footnote w:id="18">
    <w:p w14:paraId="1F99B7BE" w14:textId="77777777" w:rsidR="00A902FE" w:rsidRPr="00032CF0" w:rsidRDefault="00A902FE" w:rsidP="009C58C8">
      <w:pPr>
        <w:pStyle w:val="a4"/>
        <w:ind w:left="0"/>
        <w:jc w:val="both"/>
        <w:rPr>
          <w:rtl/>
        </w:rPr>
      </w:pPr>
      <w:r w:rsidRPr="00032CF0">
        <w:rPr>
          <w:rStyle w:val="a6"/>
          <w:b/>
          <w:vertAlign w:val="baseline"/>
          <w:rtl/>
        </w:rPr>
        <w:footnoteRef/>
      </w:r>
      <w:r w:rsidRPr="00032CF0">
        <w:rPr>
          <w:rtl/>
        </w:rPr>
        <w:t xml:space="preserve"> - اجود التقريرات ج1ص10</w:t>
      </w:r>
    </w:p>
  </w:footnote>
  <w:footnote w:id="19">
    <w:p w14:paraId="672AA6BF" w14:textId="77777777" w:rsidR="00A902FE" w:rsidRPr="00032CF0" w:rsidRDefault="00A902FE" w:rsidP="009C58C8">
      <w:pPr>
        <w:pStyle w:val="a4"/>
        <w:ind w:left="0"/>
        <w:jc w:val="both"/>
        <w:rPr>
          <w:rtl/>
        </w:rPr>
      </w:pPr>
      <w:r w:rsidRPr="00032CF0">
        <w:rPr>
          <w:rStyle w:val="a6"/>
          <w:b/>
          <w:vertAlign w:val="baseline"/>
          <w:rtl/>
        </w:rPr>
        <w:footnoteRef/>
      </w:r>
      <w:r w:rsidRPr="00032CF0">
        <w:rPr>
          <w:rtl/>
        </w:rPr>
        <w:t xml:space="preserve"> - محاضرات في اصول الفقه ج1 ص14</w:t>
      </w:r>
    </w:p>
  </w:footnote>
  <w:footnote w:id="20">
    <w:p w14:paraId="6A4BEC7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-فوائد الاصول ج2ص366، اجودالتقريرات ج1ص333</w:t>
      </w:r>
    </w:p>
  </w:footnote>
  <w:footnote w:id="21">
    <w:p w14:paraId="7DBB6D77"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قي اصول الفقه ج1ص15</w:t>
      </w:r>
    </w:p>
  </w:footnote>
  <w:footnote w:id="22">
    <w:p w14:paraId="1A635F13" w14:textId="77777777" w:rsidR="00A902FE" w:rsidRPr="00032CF0" w:rsidRDefault="00A902FE" w:rsidP="009C58C8">
      <w:pPr>
        <w:pStyle w:val="a4"/>
        <w:ind w:left="0"/>
        <w:jc w:val="both"/>
        <w:rPr>
          <w:rtl/>
        </w:rPr>
      </w:pPr>
      <w:r w:rsidRPr="00032CF0">
        <w:rPr>
          <w:rStyle w:val="a6"/>
          <w:b/>
          <w:vertAlign w:val="baseline"/>
          <w:rtl/>
        </w:rPr>
        <w:footnoteRef/>
      </w:r>
      <w:r w:rsidRPr="00032CF0">
        <w:rPr>
          <w:rtl/>
        </w:rPr>
        <w:t xml:space="preserve"> - بحوث في علم الاصول ج1ص29</w:t>
      </w:r>
    </w:p>
  </w:footnote>
  <w:footnote w:id="23">
    <w:p w14:paraId="714324A8" w14:textId="77777777" w:rsidR="00A902FE" w:rsidRPr="00032CF0" w:rsidRDefault="00A902FE" w:rsidP="009C58C8">
      <w:pPr>
        <w:pStyle w:val="a4"/>
        <w:ind w:left="0"/>
        <w:jc w:val="both"/>
        <w:rPr>
          <w:rtl/>
        </w:rPr>
      </w:pPr>
      <w:r w:rsidRPr="00032CF0">
        <w:rPr>
          <w:rStyle w:val="a6"/>
          <w:b/>
          <w:vertAlign w:val="baseline"/>
          <w:rtl/>
        </w:rPr>
        <w:footnoteRef/>
      </w:r>
      <w:r w:rsidRPr="00032CF0">
        <w:rPr>
          <w:rtl/>
        </w:rPr>
        <w:t xml:space="preserve"> - محاضرات في اصول الفقه ج1ص15، ج2ص432</w:t>
      </w:r>
    </w:p>
  </w:footnote>
  <w:footnote w:id="24">
    <w:p w14:paraId="37E2292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المباحث الاصولية ج1ص35وقدرأيت أنه عدل عن اشكاله في ج3ص 288من كتابه</w:t>
      </w:r>
    </w:p>
  </w:footnote>
  <w:footnote w:id="25">
    <w:p w14:paraId="7A52B62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 ص15، ج2ص432</w:t>
      </w:r>
    </w:p>
  </w:footnote>
  <w:footnote w:id="26">
    <w:p w14:paraId="522209D2"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درر الفوائد ج2ص680</w:t>
      </w:r>
    </w:p>
  </w:footnote>
  <w:footnote w:id="27">
    <w:p w14:paraId="7EDFA49D"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يحوث في علم الاصول ج1ص28</w:t>
      </w:r>
    </w:p>
  </w:footnote>
  <w:footnote w:id="28">
    <w:p w14:paraId="64BB0761"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المباحث الاصولية ج1ص52</w:t>
      </w:r>
    </w:p>
  </w:footnote>
  <w:footnote w:id="29">
    <w:p w14:paraId="76170740" w14:textId="77777777" w:rsidR="00A902FE" w:rsidRPr="00032CF0" w:rsidRDefault="00A902FE" w:rsidP="009C58C8">
      <w:pPr>
        <w:pStyle w:val="a4"/>
        <w:ind w:left="0"/>
        <w:jc w:val="both"/>
      </w:pPr>
      <w:r w:rsidRPr="00032CF0">
        <w:rPr>
          <w:rStyle w:val="a6"/>
          <w:vertAlign w:val="baseline"/>
          <w:rtl/>
        </w:rPr>
        <w:footnoteRef/>
      </w:r>
      <w:r w:rsidRPr="00032CF0">
        <w:rPr>
          <w:rtl/>
        </w:rPr>
        <w:t>-</w:t>
      </w:r>
      <w:r w:rsidRPr="00032CF0">
        <w:rPr>
          <w:sz w:val="34"/>
          <w:szCs w:val="34"/>
          <w:rtl/>
        </w:rPr>
        <w:t xml:space="preserve"> </w:t>
      </w:r>
      <w:r w:rsidRPr="00032CF0">
        <w:rPr>
          <w:rtl/>
        </w:rPr>
        <w:t>مباحث الاصول ج5 ص604</w:t>
      </w:r>
    </w:p>
  </w:footnote>
  <w:footnote w:id="30">
    <w:p w14:paraId="6C7E1B7B" w14:textId="77777777" w:rsidR="00A902FE" w:rsidRPr="00032CF0" w:rsidRDefault="00A902FE" w:rsidP="00620E61">
      <w:pPr>
        <w:pStyle w:val="hamesh14"/>
      </w:pPr>
      <w:r w:rsidRPr="00032CF0">
        <w:rPr>
          <w:rStyle w:val="a6"/>
          <w:vertAlign w:val="baseline"/>
          <w:rtl/>
        </w:rPr>
        <w:footnoteRef/>
      </w:r>
      <w:r w:rsidRPr="00032CF0">
        <w:rPr>
          <w:rtl/>
        </w:rPr>
        <w:t>- ذكرنا هناك ان هذه الدعوى تبتني على انكار مسلك جعل الطريقية والعلمية في الأمارات، والا لكان يكفي في اعتبار خبر الأمارة علما قيامه مقام القطع الموضوعي في جواز الإخبار ونحوه، ونحن وان كنا لانعترف بمسلك جعل العلمية في الأمارات، لكن لايبعد بناء العقلاء على معاملة خبر الثقة معاملة العلم في جواز الإخبار، كما قد يقال أن ظاهر خطاب جواز الإخبار بالعلم هو جواز الإخبار عند قيام الحجة والطريق العقلائي، وعليه فليس حجية خبر الثقة دائما بمعنى تنجيز الواقع الذي يحكي عنه الخبر او التعذير عنه، بل تشمل جواز الإخبار عن الواقع ولو اخبر ثقة عن شيئ فيترتب عليه جواز الاخبار</w:t>
      </w:r>
      <w:r w:rsidRPr="00032CF0">
        <w:rPr>
          <w:sz w:val="20"/>
          <w:szCs w:val="20"/>
          <w:rtl/>
        </w:rPr>
        <w:t>.</w:t>
      </w:r>
    </w:p>
  </w:footnote>
  <w:footnote w:id="31">
    <w:p w14:paraId="3CF139FD" w14:textId="77777777" w:rsidR="00A902FE" w:rsidRPr="00032CF0" w:rsidRDefault="00A902FE" w:rsidP="00620E61">
      <w:pPr>
        <w:pStyle w:val="hamesh14"/>
      </w:pPr>
      <w:r w:rsidRPr="00032CF0">
        <w:rPr>
          <w:rStyle w:val="a6"/>
          <w:vertAlign w:val="baseline"/>
          <w:rtl/>
        </w:rPr>
        <w:footnoteRef/>
      </w:r>
      <w:r w:rsidRPr="00032CF0">
        <w:rPr>
          <w:rtl/>
        </w:rPr>
        <w:t xml:space="preserve"> - مقالات الاصول ج1 ص10، لكن حكي عنه في نهاية الافكار ج1ص 23شمول هذا التعريف لمسائل علم الرجال وانمالم‌يبحث عنها في علم الأصول لكثرة مسائله، فأعد لها علم آخر، ولم‌يتضح لنا وجه ما افاده فان مسائل علم الرجال وان كانت تنقح موضوع دليل حجية خبر الثقة، ولكن المقصود في علم الاصول هو تنقيح الحكم الشرعي الفرعي او موضوعه دون حجية خبر الثقة، فانها حكم شرعي اصولي، مضافا الى ان مسائل علم الرجال ليست ناظرة الى اثبات الحكم الشرعي بنفسه او الى كيفية تعلقه بموضوعه، وانما تنقح موضوع الحكم الشرعي وهو حجية خبر الثقة، فلايشملها هذا التعريف.</w:t>
      </w:r>
    </w:p>
  </w:footnote>
  <w:footnote w:id="32">
    <w:p w14:paraId="0D4A85F1"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ج1ص30</w:t>
      </w:r>
    </w:p>
  </w:footnote>
  <w:footnote w:id="33">
    <w:p w14:paraId="7F0118A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حاشية كفاية الاصول ج 1ص16</w:t>
      </w:r>
    </w:p>
  </w:footnote>
  <w:footnote w:id="34">
    <w:p w14:paraId="681BE861"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تعليقة مباحث الاصول ج1ص41</w:t>
      </w:r>
    </w:p>
  </w:footnote>
  <w:footnote w:id="35">
    <w:p w14:paraId="11AEBB1D"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مأخوذ من بحوث في علم الاصول ج1ص34، ، مباحث الاصول ج1ص37</w:t>
      </w:r>
    </w:p>
  </w:footnote>
  <w:footnote w:id="36">
    <w:p w14:paraId="774D1442"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-بحوث في علم الاصول ج 7ص266</w:t>
      </w:r>
    </w:p>
  </w:footnote>
  <w:footnote w:id="37">
    <w:p w14:paraId="630F282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راجع ابحاث اصولية في تعارض الأدلة (بحث التعارض بين الادلة المتعددة )</w:t>
      </w:r>
    </w:p>
  </w:footnote>
  <w:footnote w:id="38">
    <w:p w14:paraId="57853E75"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ج1ص68 وص177</w:t>
      </w:r>
    </w:p>
  </w:footnote>
  <w:footnote w:id="39">
    <w:p w14:paraId="2DB9EEDD"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ج1ص13</w:t>
      </w:r>
    </w:p>
  </w:footnote>
  <w:footnote w:id="40">
    <w:p w14:paraId="510D5E63"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افاضة العوائد للسيد الكلبايكاني "قده” ج1ص12</w:t>
      </w:r>
    </w:p>
  </w:footnote>
  <w:footnote w:id="41">
    <w:p w14:paraId="08EAEE7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-وسائل الشيعة كتاب الصوم، ابواب من يصح منه الصوم، ب4ح1</w:t>
      </w:r>
    </w:p>
  </w:footnote>
  <w:footnote w:id="42">
    <w:p w14:paraId="37CAC6F6"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ج1ص22</w:t>
      </w:r>
    </w:p>
  </w:footnote>
  <w:footnote w:id="43">
    <w:p w14:paraId="793F97A4"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المباحث الاصولية ج1ص25</w:t>
      </w:r>
    </w:p>
  </w:footnote>
  <w:footnote w:id="44">
    <w:p w14:paraId="17A96B56"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افاضة العوائد للسيد الكلبايكاني “قده” ج1 ص12</w:t>
      </w:r>
    </w:p>
  </w:footnote>
  <w:footnote w:id="45">
    <w:p w14:paraId="5987865A"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ج1ص34</w:t>
      </w:r>
    </w:p>
  </w:footnote>
  <w:footnote w:id="46">
    <w:p w14:paraId="3F3A08CE"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تهذيب الاصول ج1ص6</w:t>
      </w:r>
    </w:p>
  </w:footnote>
  <w:footnote w:id="47">
    <w:p w14:paraId="3070A612"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ج1ص13</w:t>
      </w:r>
    </w:p>
  </w:footnote>
  <w:footnote w:id="48">
    <w:p w14:paraId="6C9FD535"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منتقى الاصول ج1ص29الى ص35</w:t>
      </w:r>
    </w:p>
  </w:footnote>
  <w:footnote w:id="49">
    <w:p w14:paraId="4AC335D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الذريعة الى اصول الشريعة ج1 ص7، عدة الاصول ج1ص10</w:t>
      </w:r>
    </w:p>
  </w:footnote>
  <w:footnote w:id="50">
    <w:p w14:paraId="3DF515A7"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ج1ص24و32</w:t>
      </w:r>
    </w:p>
  </w:footnote>
  <w:footnote w:id="51">
    <w:p w14:paraId="7E4C895F"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مصباح الاصول ج2ص250</w:t>
      </w:r>
    </w:p>
  </w:footnote>
  <w:footnote w:id="52">
    <w:p w14:paraId="593EFC51"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نهاية الدراية ج3 ص196، بحوث في الاصول ص21.</w:t>
      </w:r>
    </w:p>
  </w:footnote>
  <w:footnote w:id="53">
    <w:p w14:paraId="6062A489"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ص22</w:t>
      </w:r>
    </w:p>
  </w:footnote>
  <w:footnote w:id="54">
    <w:p w14:paraId="434F184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ج3ص12</w:t>
      </w:r>
    </w:p>
  </w:footnote>
  <w:footnote w:id="55">
    <w:p w14:paraId="4C641777"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ج1ص32</w:t>
      </w:r>
    </w:p>
  </w:footnote>
  <w:footnote w:id="56">
    <w:p w14:paraId="36E513BC"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مباحث الاصول ج1ص49</w:t>
      </w:r>
    </w:p>
  </w:footnote>
  <w:footnote w:id="57">
    <w:p w14:paraId="0D32F58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مقالات الاصول ج1ص34</w:t>
      </w:r>
    </w:p>
  </w:footnote>
  <w:footnote w:id="58">
    <w:p w14:paraId="77021AE6"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ج1ص18</w:t>
      </w:r>
    </w:p>
  </w:footnote>
  <w:footnote w:id="59">
    <w:p w14:paraId="26CEE81C"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اجود التقريرات ج1ص3</w:t>
      </w:r>
    </w:p>
  </w:footnote>
  <w:footnote w:id="60">
    <w:p w14:paraId="6AAB4C11"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ج1ص22</w:t>
      </w:r>
    </w:p>
  </w:footnote>
  <w:footnote w:id="61">
    <w:p w14:paraId="48921678"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الاسفار الاربعة ج2ص211</w:t>
      </w:r>
    </w:p>
  </w:footnote>
  <w:footnote w:id="62">
    <w:p w14:paraId="2774E1D2"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-اجود التقريرات ج1ص3</w:t>
      </w:r>
    </w:p>
  </w:footnote>
  <w:footnote w:id="63">
    <w:p w14:paraId="4A08022A" w14:textId="77777777" w:rsidR="00A902FE" w:rsidRPr="00032CF0" w:rsidRDefault="00A902FE" w:rsidP="00620E61">
      <w:pPr>
        <w:pStyle w:val="hamesh14"/>
        <w:rPr>
          <w:rtl/>
        </w:rPr>
      </w:pPr>
      <w:r w:rsidRPr="00032CF0">
        <w:rPr>
          <w:rStyle w:val="a6"/>
          <w:vertAlign w:val="baseline"/>
          <w:rtl/>
        </w:rPr>
        <w:footnoteRef/>
      </w:r>
      <w:r w:rsidRPr="00032CF0">
        <w:rPr>
          <w:rtl/>
        </w:rPr>
        <w:t xml:space="preserve"> - لايخفى ان تطبيق هذه القاعدة عليه تعالى خطأ محض، فان هذه القاعدة لاتتم في الفاعل المختار الذي يكون له سلطنة على الفعل، حيث انه خارج عن قانون السنخية، فيمكن ان يصدر عنه كل شيئ يكون تحت سلطنته ان شاء ذلك، مضافا الى انه تعالى بسيط الحقيقة وبسيط الحقيقة واجد لجميع مراتب الوجود والكمال، فالمعلولات المتباينة تتسانخ كل منها مع حيثية من حيثياته، ويكون سبحانه وتعالى واجدا لكماله بحده.</w:t>
      </w:r>
    </w:p>
  </w:footnote>
  <w:footnote w:id="64">
    <w:p w14:paraId="3047ED09"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تعليقة النهاية ص243</w:t>
      </w:r>
    </w:p>
  </w:footnote>
  <w:footnote w:id="65">
    <w:p w14:paraId="525D3BB3"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ج1ص21</w:t>
      </w:r>
    </w:p>
  </w:footnote>
  <w:footnote w:id="66">
    <w:p w14:paraId="5DC81C2A" w14:textId="77777777" w:rsidR="00A902FE" w:rsidRPr="00032CF0" w:rsidRDefault="00A902FE" w:rsidP="009C58C8">
      <w:pPr>
        <w:pStyle w:val="a4"/>
        <w:ind w:left="0"/>
        <w:jc w:val="both"/>
      </w:pPr>
      <w:r w:rsidRPr="00032CF0">
        <w:rPr>
          <w:rStyle w:val="a6"/>
          <w:vertAlign w:val="baseline"/>
          <w:rtl/>
        </w:rPr>
        <w:footnoteRef/>
      </w:r>
      <w:r w:rsidRPr="00032CF0">
        <w:rPr>
          <w:rtl/>
        </w:rPr>
        <w:t>- نهاية الاصول ص12</w:t>
      </w:r>
    </w:p>
  </w:footnote>
  <w:footnote w:id="67">
    <w:p w14:paraId="60ED64CD"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ج1ص41</w:t>
      </w:r>
    </w:p>
  </w:footnote>
  <w:footnote w:id="68">
    <w:p w14:paraId="0E40FBBF"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ج1ص41</w:t>
      </w:r>
    </w:p>
  </w:footnote>
  <w:footnote w:id="69">
    <w:p w14:paraId="6E0677BF"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ج1ص31</w:t>
      </w:r>
    </w:p>
  </w:footnote>
  <w:footnote w:id="70">
    <w:p w14:paraId="092CBE6B"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اجود التقريرات ج1ص8</w:t>
      </w:r>
    </w:p>
  </w:footnote>
  <w:footnote w:id="71">
    <w:p w14:paraId="1491D53B"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تهذيب الاصول ج1ص2</w:t>
      </w:r>
    </w:p>
  </w:footnote>
  <w:footnote w:id="72">
    <w:p w14:paraId="39AE016A"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الأسفار الأربعة ج</w:t>
      </w:r>
      <w:r w:rsidRPr="00032CF0">
        <w:t>1</w:t>
      </w:r>
      <w:r w:rsidRPr="00032CF0">
        <w:rPr>
          <w:rtl/>
        </w:rPr>
        <w:t>ص30</w:t>
      </w:r>
    </w:p>
  </w:footnote>
  <w:footnote w:id="73">
    <w:p w14:paraId="6379163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الاسفار الاربعة ج1ص30</w:t>
      </w:r>
    </w:p>
  </w:footnote>
  <w:footnote w:id="74">
    <w:p w14:paraId="37558270" w14:textId="77777777" w:rsidR="00A902FE" w:rsidRPr="00032CF0" w:rsidRDefault="00A902FE" w:rsidP="00620E61">
      <w:pPr>
        <w:pStyle w:val="hamesh14"/>
      </w:pPr>
      <w:r w:rsidRPr="00032CF0">
        <w:rPr>
          <w:rStyle w:val="a6"/>
          <w:vertAlign w:val="baseline"/>
          <w:rtl/>
        </w:rPr>
        <w:footnoteRef/>
      </w:r>
      <w:r w:rsidRPr="00032CF0">
        <w:rPr>
          <w:rtl/>
        </w:rPr>
        <w:t xml:space="preserve"> - ومن هذا القبيل كل ما كان ذاتي باب الكليات الخمس بان يكون ما يعرض الشيئ جنسه او فصله المقوم، كقولنا الانسان حيوان او الانسان ناطق.</w:t>
      </w:r>
    </w:p>
  </w:footnote>
  <w:footnote w:id="75">
    <w:p w14:paraId="6679C958" w14:textId="77777777" w:rsidR="00A902FE" w:rsidRPr="00032CF0" w:rsidRDefault="00A902FE" w:rsidP="00620E61">
      <w:pPr>
        <w:pStyle w:val="hamesh14"/>
        <w:rPr>
          <w:rtl/>
        </w:rPr>
      </w:pPr>
      <w:r w:rsidRPr="00032CF0">
        <w:rPr>
          <w:rStyle w:val="a6"/>
          <w:vertAlign w:val="baseline"/>
          <w:rtl/>
        </w:rPr>
        <w:footnoteRef/>
      </w:r>
      <w:r w:rsidRPr="00032CF0">
        <w:rPr>
          <w:rtl/>
        </w:rPr>
        <w:t xml:space="preserve"> - وهذا هو الذاتي في كتاب البرهان مثل ثبوت الزوجية للاربعة، ونظيره عروض الحرارة للنار، حيث ان عروضها للنار يكون باقتضاء وجودها الخارجي بلاحاجة الى سبب آخر.</w:t>
      </w:r>
    </w:p>
  </w:footnote>
  <w:footnote w:id="76">
    <w:p w14:paraId="692E19D2" w14:textId="77777777" w:rsidR="00A902FE" w:rsidRPr="00032CF0" w:rsidRDefault="00A902FE" w:rsidP="00620E61">
      <w:pPr>
        <w:pStyle w:val="hamesh14"/>
      </w:pPr>
      <w:r w:rsidRPr="00032CF0">
        <w:rPr>
          <w:rStyle w:val="a6"/>
          <w:vertAlign w:val="baseline"/>
          <w:rtl/>
        </w:rPr>
        <w:footnoteRef/>
      </w:r>
      <w:r w:rsidRPr="00032CF0">
        <w:rPr>
          <w:rtl/>
        </w:rPr>
        <w:t xml:space="preserve"> - ذكر في البحوث نقلا عن المحقق العراقي "قده" مثالا آخر لهذه الصورة وهو عروض عوارض الجنس للنوع كما في قولنا الانسان ماش، فان عروض المشي للانسان بواسطة كونه حيوانا، فان ذا الواسطة وهو الانسان ليس معروضا لهذا العرض لااستقلالا كما هو واضح، ولاضمنا لعدم كونه جزءا تحليليا للحيوان الذي هو معروض المشي حقيقة (بحوث في علم الاصول ج1ص44) ولكنه ليس مذكورا في كلام المحقق العر"قده"، ومن الممكن انه يرى ان الجنس حيثية تعليلية لعروض عوارضه على النوع، فيكون المشي عارضا للانسان حقيقة وان كانت الواسطة في الثبوت كونه حيوانا.</w:t>
      </w:r>
    </w:p>
  </w:footnote>
  <w:footnote w:id="77">
    <w:p w14:paraId="28A179DD"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الافكار ج1ص13، مقالات الاصول ج1ص40</w:t>
      </w:r>
    </w:p>
  </w:footnote>
  <w:footnote w:id="78">
    <w:p w14:paraId="55CCCE5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راجع شرح الاشارات ج1ص302</w:t>
      </w:r>
    </w:p>
  </w:footnote>
  <w:footnote w:id="79">
    <w:p w14:paraId="2D144B74"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ج1ص49</w:t>
      </w:r>
    </w:p>
  </w:footnote>
  <w:footnote w:id="80">
    <w:p w14:paraId="7E9F59EF"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التعليقة المطبوعة في ذيل كتاب الاسفار الأربعة ج1ص30</w:t>
      </w:r>
    </w:p>
  </w:footnote>
  <w:footnote w:id="81">
    <w:p w14:paraId="424A19E3"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الاسفار الاربعة ج1 ص30</w:t>
      </w:r>
    </w:p>
  </w:footnote>
  <w:footnote w:id="82">
    <w:p w14:paraId="2FD0013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ج1ص22</w:t>
      </w:r>
    </w:p>
  </w:footnote>
  <w:footnote w:id="83">
    <w:p w14:paraId="59CC70F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-الذريعة في اصول الفقه ص7</w:t>
      </w:r>
    </w:p>
  </w:footnote>
  <w:footnote w:id="84">
    <w:p w14:paraId="13161AC8" w14:textId="77777777" w:rsidR="00A902FE" w:rsidRPr="00032CF0" w:rsidRDefault="00A902FE" w:rsidP="009C58C8">
      <w:pPr>
        <w:pStyle w:val="a4"/>
        <w:ind w:left="0"/>
        <w:jc w:val="both"/>
      </w:pPr>
      <w:r w:rsidRPr="00032CF0">
        <w:rPr>
          <w:rStyle w:val="a6"/>
          <w:vertAlign w:val="baseline"/>
          <w:rtl/>
        </w:rPr>
        <w:footnoteRef/>
      </w:r>
      <w:r w:rsidRPr="00032CF0">
        <w:rPr>
          <w:rtl/>
        </w:rPr>
        <w:t>- الفصول الغروية ص12</w:t>
      </w:r>
    </w:p>
  </w:footnote>
  <w:footnote w:id="85">
    <w:p w14:paraId="520E31D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كفاية الاصول ص 8</w:t>
      </w:r>
    </w:p>
  </w:footnote>
  <w:footnote w:id="86">
    <w:p w14:paraId="059ACE0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الاصول ص15</w:t>
      </w:r>
    </w:p>
  </w:footnote>
  <w:footnote w:id="87">
    <w:p w14:paraId="1EDE18D1"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ج1ص52</w:t>
      </w:r>
    </w:p>
  </w:footnote>
  <w:footnote w:id="88">
    <w:p w14:paraId="496AC797"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ج1ص52</w:t>
      </w:r>
    </w:p>
  </w:footnote>
  <w:footnote w:id="89">
    <w:p w14:paraId="2077D881"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الاصول ص22</w:t>
      </w:r>
    </w:p>
  </w:footnote>
  <w:footnote w:id="90">
    <w:p w14:paraId="30B98EE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ج1ص6</w:t>
      </w:r>
    </w:p>
  </w:footnote>
  <w:footnote w:id="91">
    <w:p w14:paraId="59AB0230"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ج1ص56</w:t>
      </w:r>
    </w:p>
  </w:footnote>
  <w:footnote w:id="92">
    <w:p w14:paraId="107FCAF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ج1ص57</w:t>
      </w:r>
    </w:p>
  </w:footnote>
  <w:footnote w:id="93">
    <w:p w14:paraId="119A7CA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 ص59</w:t>
      </w:r>
    </w:p>
  </w:footnote>
  <w:footnote w:id="94">
    <w:p w14:paraId="6EAC4C4F"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 ص61</w:t>
      </w:r>
    </w:p>
  </w:footnote>
  <w:footnote w:id="95">
    <w:p w14:paraId="62F85D6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-الرافد ص43</w:t>
      </w:r>
    </w:p>
  </w:footnote>
  <w:footnote w:id="96">
    <w:p w14:paraId="6D23DEB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-الرافد ص46</w:t>
      </w:r>
    </w:p>
  </w:footnote>
  <w:footnote w:id="97">
    <w:p w14:paraId="142398A1"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ج1ص38</w:t>
      </w:r>
    </w:p>
  </w:footnote>
  <w:footnote w:id="98">
    <w:p w14:paraId="34A30812"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منتقى الاصول ج1ص48، بحوث في علم الاصول ج1 ص73</w:t>
      </w:r>
    </w:p>
  </w:footnote>
  <w:footnote w:id="99">
    <w:p w14:paraId="6D795B2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الدراية ج1ص47</w:t>
      </w:r>
    </w:p>
  </w:footnote>
  <w:footnote w:id="100">
    <w:p w14:paraId="63A9CA7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ج1ص44</w:t>
      </w:r>
    </w:p>
  </w:footnote>
  <w:footnote w:id="101">
    <w:p w14:paraId="03CA24F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ج1ص44</w:t>
      </w:r>
    </w:p>
  </w:footnote>
  <w:footnote w:id="102">
    <w:p w14:paraId="7CF8950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ج1ص75</w:t>
      </w:r>
    </w:p>
  </w:footnote>
  <w:footnote w:id="103">
    <w:p w14:paraId="677A3F6D"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ج1ص76، منتقى الاصول ج1 ص56</w:t>
      </w:r>
    </w:p>
  </w:footnote>
  <w:footnote w:id="104">
    <w:p w14:paraId="57E02B9D"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 ص 76</w:t>
      </w:r>
    </w:p>
  </w:footnote>
  <w:footnote w:id="105">
    <w:p w14:paraId="4DF5F8E8"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الدراية ج1ص78 و152</w:t>
      </w:r>
    </w:p>
  </w:footnote>
  <w:footnote w:id="106">
    <w:p w14:paraId="705AB21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ج1ص77</w:t>
      </w:r>
    </w:p>
  </w:footnote>
  <w:footnote w:id="107">
    <w:p w14:paraId="626E5BE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دروس في مسائل علم الاصول ج1ص32</w:t>
      </w:r>
    </w:p>
  </w:footnote>
  <w:footnote w:id="108">
    <w:p w14:paraId="3EC9181E" w14:textId="77777777" w:rsidR="00A902FE" w:rsidRPr="00032CF0" w:rsidRDefault="00A902FE" w:rsidP="009C58C8">
      <w:pPr>
        <w:pStyle w:val="a4"/>
        <w:ind w:left="0"/>
        <w:jc w:val="both"/>
      </w:pPr>
      <w:r w:rsidRPr="00032CF0">
        <w:rPr>
          <w:rStyle w:val="a6"/>
          <w:vertAlign w:val="baseline"/>
          <w:rtl/>
        </w:rPr>
        <w:footnoteRef/>
      </w:r>
      <w:r w:rsidRPr="00032CF0">
        <w:rPr>
          <w:rtl/>
        </w:rPr>
        <w:t>- منتقى الاصول ج1ص68</w:t>
      </w:r>
    </w:p>
  </w:footnote>
  <w:footnote w:id="109">
    <w:p w14:paraId="43AF174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دررالفوائدج 1ص4، وقاية الاذهان ص62</w:t>
      </w:r>
    </w:p>
  </w:footnote>
  <w:footnote w:id="110">
    <w:p w14:paraId="2F1C0915"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ج1ص44</w:t>
      </w:r>
    </w:p>
  </w:footnote>
  <w:footnote w:id="111">
    <w:p w14:paraId="619536C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النهاية ج1ص7</w:t>
      </w:r>
    </w:p>
  </w:footnote>
  <w:footnote w:id="112">
    <w:p w14:paraId="346278EF" w14:textId="77777777" w:rsidR="00A902FE" w:rsidRPr="00032CF0" w:rsidRDefault="00A902FE" w:rsidP="009C58C8">
      <w:pPr>
        <w:pStyle w:val="a4"/>
        <w:ind w:left="0"/>
        <w:jc w:val="both"/>
      </w:pPr>
      <w:r w:rsidRPr="00032CF0">
        <w:rPr>
          <w:rStyle w:val="a6"/>
          <w:vertAlign w:val="baseline"/>
          <w:rtl/>
        </w:rPr>
        <w:footnoteRef/>
      </w:r>
      <w:r w:rsidRPr="00032CF0">
        <w:rPr>
          <w:rtl/>
        </w:rPr>
        <w:t>- دروس في مسائل علم الاصول ج1 ص32</w:t>
      </w:r>
    </w:p>
  </w:footnote>
  <w:footnote w:id="113">
    <w:p w14:paraId="40C6351A"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ج1ص46</w:t>
      </w:r>
    </w:p>
  </w:footnote>
  <w:footnote w:id="114">
    <w:p w14:paraId="0EEFFCD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قد ورد نظير هذا التعبيرعن السيد الخوئي نفسه في المحاضرات ج1ص202</w:t>
      </w:r>
    </w:p>
  </w:footnote>
  <w:footnote w:id="115">
    <w:p w14:paraId="27C3882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حكى في مباحث الاصول ج1ص85 عن السيد الصدر "قده" ان السيد الخوئي “قده” ذكر ذلك له في مقام الجواب عن الاشكال عليه.</w:t>
      </w:r>
    </w:p>
  </w:footnote>
  <w:footnote w:id="116">
    <w:p w14:paraId="134AA439"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ج1ص79</w:t>
      </w:r>
    </w:p>
  </w:footnote>
  <w:footnote w:id="117">
    <w:p w14:paraId="318ADBB3"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الرافد في علم الاصول ص182</w:t>
      </w:r>
    </w:p>
  </w:footnote>
  <w:footnote w:id="118">
    <w:p w14:paraId="371B365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مباحث الاصول ج1ص99، بحوث في علم الاصول ج1ص80</w:t>
      </w:r>
    </w:p>
  </w:footnote>
  <w:footnote w:id="119">
    <w:p w14:paraId="29FFCEE4"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ج1ص83،.</w:t>
      </w:r>
    </w:p>
  </w:footnote>
  <w:footnote w:id="120">
    <w:p w14:paraId="55B0D84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-مباحث الاصول ج1 ص105</w:t>
      </w:r>
    </w:p>
  </w:footnote>
  <w:footnote w:id="121">
    <w:p w14:paraId="7C65A7EE"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ج1ص165</w:t>
      </w:r>
    </w:p>
  </w:footnote>
  <w:footnote w:id="122">
    <w:p w14:paraId="62E83FA2"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الرافد في علم الاصول ص144</w:t>
      </w:r>
    </w:p>
  </w:footnote>
  <w:footnote w:id="123">
    <w:p w14:paraId="02DE128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تعليقة مباحث الاصول ج1ص93</w:t>
      </w:r>
    </w:p>
  </w:footnote>
  <w:footnote w:id="124">
    <w:p w14:paraId="1C79955E"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منتقى الاصول ج1ص72</w:t>
      </w:r>
    </w:p>
  </w:footnote>
  <w:footnote w:id="125">
    <w:p w14:paraId="7F640632"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النهاية ج1ص8</w:t>
      </w:r>
    </w:p>
  </w:footnote>
  <w:footnote w:id="126">
    <w:p w14:paraId="3B4EB535"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دروس في مسائل علم الاصول ج1ص32</w:t>
      </w:r>
    </w:p>
  </w:footnote>
  <w:footnote w:id="127">
    <w:p w14:paraId="558A94A2"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اجود التقريرات ج1ص33</w:t>
      </w:r>
    </w:p>
  </w:footnote>
  <w:footnote w:id="128">
    <w:p w14:paraId="4074F7A6"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الدراية ج1ص86</w:t>
      </w:r>
    </w:p>
  </w:footnote>
  <w:footnote w:id="129">
    <w:p w14:paraId="624D6B40"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بدائع الافكار ص34</w:t>
      </w:r>
    </w:p>
  </w:footnote>
  <w:footnote w:id="130">
    <w:p w14:paraId="4F186F2F"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كفاية الاصول ص21</w:t>
      </w:r>
    </w:p>
  </w:footnote>
  <w:footnote w:id="131">
    <w:p w14:paraId="776E3E5B"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ج1ص99</w:t>
      </w:r>
    </w:p>
  </w:footnote>
  <w:footnote w:id="132">
    <w:p w14:paraId="5B5B128E"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الاصول ص23</w:t>
      </w:r>
    </w:p>
  </w:footnote>
  <w:footnote w:id="133">
    <w:p w14:paraId="4FE3C83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ج1ص71</w:t>
      </w:r>
    </w:p>
  </w:footnote>
  <w:footnote w:id="134">
    <w:p w14:paraId="7084149B"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تهذيب الاصول ج2ص42</w:t>
      </w:r>
    </w:p>
  </w:footnote>
  <w:footnote w:id="135">
    <w:p w14:paraId="16177479"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تهذيب الاصول ج1ص12</w:t>
      </w:r>
    </w:p>
  </w:footnote>
  <w:footnote w:id="136">
    <w:p w14:paraId="1CDC0AAB" w14:textId="77777777" w:rsidR="00A902FE" w:rsidRPr="00032CF0" w:rsidRDefault="00A902FE" w:rsidP="009C58C8">
      <w:pPr>
        <w:pStyle w:val="a4"/>
        <w:ind w:left="0"/>
        <w:jc w:val="both"/>
      </w:pPr>
      <w:r w:rsidRPr="00032CF0">
        <w:rPr>
          <w:rStyle w:val="a6"/>
          <w:vertAlign w:val="baseline"/>
          <w:rtl/>
        </w:rPr>
        <w:footnoteRef/>
      </w:r>
      <w:r w:rsidRPr="00032CF0">
        <w:rPr>
          <w:rtl/>
        </w:rPr>
        <w:t>- نهاية النهاية ج1ص8</w:t>
      </w:r>
    </w:p>
  </w:footnote>
  <w:footnote w:id="137">
    <w:p w14:paraId="40920B4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-درر الفوائد ج1ص5 </w:t>
      </w:r>
    </w:p>
  </w:footnote>
  <w:footnote w:id="138">
    <w:p w14:paraId="3DC67AE1"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راجع محاضرات في اصول الفقه ج1ص202، حيث ذكر ان الوضع في المشترك اللفظي من قبيل الوضع العام والموضوع له الخاص، وكذا بحوث في علم الاصول ج1ص342</w:t>
      </w:r>
    </w:p>
  </w:footnote>
  <w:footnote w:id="139">
    <w:p w14:paraId="0264E16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الافكار ج1ص37</w:t>
      </w:r>
    </w:p>
  </w:footnote>
  <w:footnote w:id="140">
    <w:p w14:paraId="73281A2F" w14:textId="77777777" w:rsidR="00A902FE" w:rsidRPr="00032CF0" w:rsidRDefault="00A902FE" w:rsidP="009C58C8">
      <w:pPr>
        <w:pStyle w:val="a4"/>
        <w:ind w:left="0"/>
        <w:jc w:val="both"/>
      </w:pPr>
      <w:r w:rsidRPr="00032CF0">
        <w:rPr>
          <w:rStyle w:val="a6"/>
          <w:vertAlign w:val="baseline"/>
          <w:rtl/>
        </w:rPr>
        <w:footnoteRef/>
      </w:r>
      <w:r w:rsidRPr="00032CF0">
        <w:rPr>
          <w:rtl/>
        </w:rPr>
        <w:t>- مباحث الاصول ج1 ص114</w:t>
      </w:r>
    </w:p>
  </w:footnote>
  <w:footnote w:id="141">
    <w:p w14:paraId="6481814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ج1ص89</w:t>
      </w:r>
    </w:p>
  </w:footnote>
  <w:footnote w:id="142">
    <w:p w14:paraId="57484EB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مباحث الاصول ج1ص116</w:t>
      </w:r>
    </w:p>
  </w:footnote>
  <w:footnote w:id="143">
    <w:p w14:paraId="0BFF98F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تعليقة مباحث الاصول ج1ص117</w:t>
      </w:r>
    </w:p>
  </w:footnote>
  <w:footnote w:id="144">
    <w:p w14:paraId="679D270E"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ج1ص92</w:t>
      </w:r>
    </w:p>
  </w:footnote>
  <w:footnote w:id="145">
    <w:p w14:paraId="12F03BA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دررالفوائدج1ص5</w:t>
      </w:r>
    </w:p>
  </w:footnote>
  <w:footnote w:id="146">
    <w:p w14:paraId="252E0B6E"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ج1ص52</w:t>
      </w:r>
    </w:p>
  </w:footnote>
  <w:footnote w:id="147">
    <w:p w14:paraId="72793B8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النهاية ج1ص10</w:t>
      </w:r>
    </w:p>
  </w:footnote>
  <w:footnote w:id="148">
    <w:p w14:paraId="2FEE59B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شرح الكافية في النحو ج1ص10</w:t>
      </w:r>
    </w:p>
  </w:footnote>
  <w:footnote w:id="149">
    <w:p w14:paraId="65F515C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ص11</w:t>
      </w:r>
    </w:p>
  </w:footnote>
  <w:footnote w:id="150">
    <w:p w14:paraId="06505725"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الدراية ج1ص51</w:t>
      </w:r>
    </w:p>
  </w:footnote>
  <w:footnote w:id="151">
    <w:p w14:paraId="532BEB9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-اجود التقريرات ج1ص 15</w:t>
      </w:r>
    </w:p>
  </w:footnote>
  <w:footnote w:id="152">
    <w:p w14:paraId="56FA3F8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ج1ص57</w:t>
      </w:r>
    </w:p>
  </w:footnote>
  <w:footnote w:id="153">
    <w:p w14:paraId="5963C39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ج1ص235</w:t>
      </w:r>
    </w:p>
  </w:footnote>
  <w:footnote w:id="154">
    <w:p w14:paraId="6353050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منتقى الاصول ج1ص94</w:t>
      </w:r>
    </w:p>
  </w:footnote>
  <w:footnote w:id="155">
    <w:p w14:paraId="02F54FA4"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 ص58</w:t>
      </w:r>
    </w:p>
  </w:footnote>
  <w:footnote w:id="156">
    <w:p w14:paraId="17FCF57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-اجود التقريرات ج1ص16</w:t>
      </w:r>
    </w:p>
  </w:footnote>
  <w:footnote w:id="157">
    <w:p w14:paraId="5E6264A6" w14:textId="77777777" w:rsidR="00A902FE" w:rsidRPr="00032CF0" w:rsidRDefault="00A902FE" w:rsidP="009C58C8">
      <w:pPr>
        <w:pStyle w:val="a4"/>
        <w:ind w:left="0"/>
        <w:jc w:val="both"/>
      </w:pPr>
      <w:r w:rsidRPr="00032CF0">
        <w:rPr>
          <w:rStyle w:val="a6"/>
          <w:vertAlign w:val="baseline"/>
          <w:rtl/>
        </w:rPr>
        <w:footnoteRef/>
      </w:r>
      <w:r w:rsidRPr="00032CF0">
        <w:rPr>
          <w:rtl/>
        </w:rPr>
        <w:t>-محاضرات في اصول الفقه ج1ص58</w:t>
      </w:r>
    </w:p>
  </w:footnote>
  <w:footnote w:id="158">
    <w:p w14:paraId="7FBC138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-مباحث الاصول ج1ص133</w:t>
      </w:r>
    </w:p>
  </w:footnote>
  <w:footnote w:id="159">
    <w:p w14:paraId="6D4669CD"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اجود التقريرات ج1ص16-21</w:t>
      </w:r>
    </w:p>
  </w:footnote>
  <w:footnote w:id="160">
    <w:p w14:paraId="4155C13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تعليقة اجود التقريرات ج1 ص18، محاضرات في اصول الفقه ج1ص61</w:t>
      </w:r>
    </w:p>
  </w:footnote>
  <w:footnote w:id="161">
    <w:p w14:paraId="11E1B8B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ج1ص237- 244.</w:t>
      </w:r>
    </w:p>
  </w:footnote>
  <w:footnote w:id="162">
    <w:p w14:paraId="1B79042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-مقالات الاصول ج1ص93</w:t>
      </w:r>
    </w:p>
  </w:footnote>
  <w:footnote w:id="163">
    <w:p w14:paraId="0CA014D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ج1ص67</w:t>
      </w:r>
    </w:p>
  </w:footnote>
  <w:footnote w:id="164">
    <w:p w14:paraId="744B83EB"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منتقى الاصول ج1ص95-100</w:t>
      </w:r>
    </w:p>
  </w:footnote>
  <w:footnote w:id="165">
    <w:p w14:paraId="1010C117"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ج1ص70</w:t>
      </w:r>
    </w:p>
  </w:footnote>
  <w:footnote w:id="166">
    <w:p w14:paraId="6DCC466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قي الااصول ص26</w:t>
      </w:r>
    </w:p>
  </w:footnote>
  <w:footnote w:id="167">
    <w:p w14:paraId="50B6B0D8" w14:textId="77777777" w:rsidR="00A902FE" w:rsidRPr="00032CF0" w:rsidRDefault="00A902FE" w:rsidP="009C58C8">
      <w:pPr>
        <w:pStyle w:val="a4"/>
        <w:ind w:left="0"/>
        <w:jc w:val="both"/>
      </w:pPr>
      <w:r w:rsidRPr="00032CF0">
        <w:rPr>
          <w:rStyle w:val="a6"/>
          <w:vertAlign w:val="baseline"/>
          <w:rtl/>
        </w:rPr>
        <w:footnoteRef/>
      </w:r>
      <w:r w:rsidRPr="00032CF0">
        <w:rPr>
          <w:rtl/>
        </w:rPr>
        <w:t>- نهاية الدراية ج1ص52</w:t>
      </w:r>
    </w:p>
  </w:footnote>
  <w:footnote w:id="168">
    <w:p w14:paraId="0BAB2204" w14:textId="77777777" w:rsidR="00A902FE" w:rsidRPr="00032CF0" w:rsidRDefault="00A902FE" w:rsidP="00620E61">
      <w:pPr>
        <w:pStyle w:val="hamesh14"/>
      </w:pPr>
      <w:r w:rsidRPr="00032CF0">
        <w:rPr>
          <w:rStyle w:val="a6"/>
          <w:vertAlign w:val="baseline"/>
          <w:rtl/>
        </w:rPr>
        <w:footnoteRef/>
      </w:r>
      <w:r w:rsidRPr="00032CF0">
        <w:rPr>
          <w:rtl/>
        </w:rPr>
        <w:t xml:space="preserve"> - الظاهر انهم لم‌يذكروا حدوث هيئة قائمة بالدار عند كون زيد فيها حتي لايندرج مقولة الاين في مقولة الاضافة، حيث انها هيئة حاصلة للشيئ من نسبة متكررة بينه وبين شيئ آخر كاخوة الاخ او ابوة الاب وبنوة الابن حيث انه يوجد في كل من طرفي النسبة عرض قائم به، فتثبت الاخوة لكل من الاخوين مثلا، وهكذا ذكروا في مقولة الجدة انها هيئة حاصلة لجسم من احاطة شيئ به كهيئة التعمم للرأس مع انه يوجد هيئة في العمامة ايضا من احاطتها بالرأس، وانما لم‌يذكروا هذه الهيئة الحاصلة في العمامة على وزان حصول هيئة في الرأس كي لا تندرج مقولة الجدة في مقولة الاضافة، والمظنون انهم اخذوا هذه المقولات والاعراض من اللغات الدارجة فلم يجدوا ما يدل على هيئة في المحيط وانما وجدوا ما يدل على هيئة في المحاط كالتعمم والتقمص والتنعل وما شابه ذلك.</w:t>
      </w:r>
    </w:p>
  </w:footnote>
  <w:footnote w:id="169">
    <w:p w14:paraId="3F44BB3C" w14:textId="77777777" w:rsidR="00A902FE" w:rsidRPr="00032CF0" w:rsidRDefault="00A902FE" w:rsidP="00F362F4">
      <w:pPr>
        <w:pStyle w:val="hamesh14"/>
      </w:pPr>
      <w:r w:rsidRPr="00032CF0">
        <w:rPr>
          <w:rStyle w:val="a6"/>
          <w:vertAlign w:val="baseline"/>
          <w:rtl/>
        </w:rPr>
        <w:footnoteRef/>
      </w:r>
      <w:r w:rsidRPr="00032CF0">
        <w:rPr>
          <w:rtl/>
        </w:rPr>
        <w:t xml:space="preserve"> - بل قد انكر بعض الاعلام من الفلاسفة كالمحقق ملاعلي المدرس الزنوزي"ره" وجود العرض بشكل عام زائدا على وجود الجوهر، فالتزم بان العرض طور من اطوار الجوهر ومرتبة من مراتبه، ولابرهان على ابطال ما ذكره، نعم الوجدان العرفي والفطري يرى وجود العرض غير النسبي زائدا على وجودالجوهر، بل يمكن ان يقال بان كون العرض طورا من أطوار الجوهر من</w:t>
      </w:r>
      <w:r>
        <w:rPr>
          <w:rtl/>
        </w:rPr>
        <w:t xml:space="preserve">افٍ لما في نهج البلاغة من قوله </w:t>
      </w:r>
      <w:r w:rsidRPr="00032CF0">
        <w:rPr>
          <w:rtl/>
        </w:rPr>
        <w:t>(عليه‌السلام) (وكمال الإخلاص له نفي الصفات عنه لشهادة كل صفة انها غير موصوف) حيث يدل على ان اتحاد الذات والصفات من مختصاته تعالى.</w:t>
      </w:r>
    </w:p>
  </w:footnote>
  <w:footnote w:id="170">
    <w:p w14:paraId="4ACFC71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ج1ص75</w:t>
      </w:r>
    </w:p>
  </w:footnote>
  <w:footnote w:id="171">
    <w:p w14:paraId="20156C1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ج1ص81و79</w:t>
      </w:r>
    </w:p>
  </w:footnote>
  <w:footnote w:id="172">
    <w:p w14:paraId="70E1553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ج1ص249</w:t>
      </w:r>
    </w:p>
  </w:footnote>
  <w:footnote w:id="173">
    <w:p w14:paraId="0F8E560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-مقلات الاصول ج1ص 87</w:t>
      </w:r>
    </w:p>
  </w:footnote>
  <w:footnote w:id="174">
    <w:p w14:paraId="62861B22" w14:textId="77777777" w:rsidR="00A902FE" w:rsidRPr="00032CF0" w:rsidRDefault="00A902FE" w:rsidP="00620E61">
      <w:pPr>
        <w:pStyle w:val="hamesh14"/>
        <w:rPr>
          <w:rtl/>
        </w:rPr>
      </w:pPr>
      <w:r w:rsidRPr="00032CF0">
        <w:rPr>
          <w:rStyle w:val="a6"/>
          <w:vertAlign w:val="baseline"/>
          <w:rtl/>
        </w:rPr>
        <w:footnoteRef/>
      </w:r>
      <w:r w:rsidRPr="00032CF0">
        <w:rPr>
          <w:rtl/>
        </w:rPr>
        <w:t xml:space="preserve"> - قصة الحضارة، ويل دورانت ج 4 ص 269:وهذانصه( لغة الصينيين تختلف عن سائر لغات العالم، وذلك لأنها ليست لها حروف ولاهجاء ولانحو ولاتنقسم الى أسماء وافعال وحروف، ومن يدري فلربما كان لهذه اللغة في الايام الماضية المنسية اشتقاق ونحو وصرف واعراب وتثنية وجمع وافعال ماضية وحاضرة ومستقبلة، ولكننا لانجد أثرا ل</w:t>
      </w:r>
      <w:r>
        <w:rPr>
          <w:rtl/>
        </w:rPr>
        <w:t xml:space="preserve">شيء </w:t>
      </w:r>
      <w:r w:rsidRPr="00032CF0">
        <w:rPr>
          <w:rtl/>
        </w:rPr>
        <w:t>من هذا في أقدم ما عرفنا من هذه اللغة فكل كلمة فيها قد تكون اسما اوفعلا او صفة او ظرفا بحسب سياقها وطريفة النطق بها، وتوضح حركات الجسم وسياق الكلمات هذه النغمات وتجعل كل صوت يؤدي اغراضا متعددة فحرف الباء وحده مثلا قد يؤدي تسعة وستين معنى كما أن للفظ شي تسعة وخمسين وللفظ كو تسعة وعشرين ولسنا نعرف لغة من اللغات قد بلغت مابلغته اللغة الصينية من التعقيد والدقة والاختصار ).</w:t>
      </w:r>
    </w:p>
    <w:p w14:paraId="4DCBDF16" w14:textId="77777777" w:rsidR="00A902FE" w:rsidRPr="00032CF0" w:rsidRDefault="00A902FE" w:rsidP="00620E61">
      <w:pPr>
        <w:pStyle w:val="hamesh14"/>
      </w:pPr>
      <w:r w:rsidRPr="00032CF0">
        <w:rPr>
          <w:rtl/>
        </w:rPr>
        <w:t>وقد سئلت العارفين باللغة الصينية فانكروا هذه النسبة وهذا مايساعده الاعتبار اذكيف تفقد لغة مايربط بين المفردات، على ان المهم هو وجود دال على المعنى الحرفي ولو كان هو اختلاف كيفية طريقة النطق، هذا ولايخفى أن الموجود في الترجمة الفارسية للكتاب هكذا: زبان چينييان نه الفبا داشت نه هجي كردن نه دستور نه هنجار نه طبقات ونه تقسيمات...شايد بتوان گفت زبان چيني هم روزگارى گرفتار صرف واشتقاق وازمنه ووجوه فعلى ومفرد وجمع بوده است، هريك از كلمات زبان چيني باتغيير لحن گوينده مى توان به صورت اسم ياصفت يافعل ياقيد در آيد. (تاريخ تمدن ويل دورانت ج1 ص838) فالموجود فيها عدم اشتمال اللغة الصينية على "الفبا" اي الحروف بمعنى مواد الكلمة والظاهر أن مقصوده عدم الاشتقاق في كلمات اللغة الصينية بل كانت كلها جوامد.</w:t>
      </w:r>
    </w:p>
  </w:footnote>
  <w:footnote w:id="175">
    <w:p w14:paraId="213A32E0"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دروس في مسائل الاصول ج1ص43</w:t>
      </w:r>
    </w:p>
  </w:footnote>
  <w:footnote w:id="176">
    <w:p w14:paraId="50BE73B8"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ج1ص252و105</w:t>
      </w:r>
    </w:p>
  </w:footnote>
  <w:footnote w:id="177">
    <w:p w14:paraId="356A4A7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w:t>
      </w:r>
      <w:r w:rsidRPr="00032CF0">
        <w:rPr>
          <w:sz w:val="28"/>
          <w:szCs w:val="28"/>
          <w:rtl/>
        </w:rPr>
        <w:t>ومن هذا القبيل كاف التشبيه، فانه ليس من قبيل القسم الثالث، اي موضوعا لإيجاد التشبيه، وانما هو موضوع للدلالة على النسبة الشبهية</w:t>
      </w:r>
      <w:r w:rsidRPr="00032CF0">
        <w:rPr>
          <w:rtl/>
        </w:rPr>
        <w:t>.</w:t>
      </w:r>
    </w:p>
  </w:footnote>
  <w:footnote w:id="178">
    <w:p w14:paraId="49B76AEE"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ج1ص82</w:t>
      </w:r>
    </w:p>
  </w:footnote>
  <w:footnote w:id="179">
    <w:p w14:paraId="1C8E130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 264</w:t>
      </w:r>
    </w:p>
  </w:footnote>
  <w:footnote w:id="180">
    <w:p w14:paraId="117D33AA" w14:textId="77777777" w:rsidR="00A902FE" w:rsidRPr="00032CF0" w:rsidRDefault="00A902FE" w:rsidP="009C58C8">
      <w:pPr>
        <w:pStyle w:val="a4"/>
        <w:ind w:left="0"/>
        <w:jc w:val="both"/>
      </w:pPr>
      <w:r w:rsidRPr="00032CF0">
        <w:rPr>
          <w:rStyle w:val="a6"/>
          <w:vertAlign w:val="baseline"/>
          <w:rtl/>
        </w:rPr>
        <w:footnoteRef/>
      </w:r>
      <w:r w:rsidRPr="00032CF0">
        <w:rPr>
          <w:rtl/>
        </w:rPr>
        <w:t>- مقالات الاصول ج1ص 95، نهاية الافكارج1ص55</w:t>
      </w:r>
    </w:p>
  </w:footnote>
  <w:footnote w:id="181">
    <w:p w14:paraId="0B33A9BF"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ج1ص286</w:t>
      </w:r>
    </w:p>
  </w:footnote>
  <w:footnote w:id="182">
    <w:p w14:paraId="5803C593"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 ص269</w:t>
      </w:r>
    </w:p>
  </w:footnote>
  <w:footnote w:id="183">
    <w:p w14:paraId="23BF734B" w14:textId="77777777" w:rsidR="00A902FE" w:rsidRPr="00032CF0" w:rsidRDefault="00A902FE" w:rsidP="00620E61">
      <w:pPr>
        <w:pStyle w:val="hamesh14"/>
      </w:pPr>
      <w:r w:rsidRPr="00032CF0">
        <w:rPr>
          <w:rStyle w:val="a6"/>
          <w:vertAlign w:val="baseline"/>
          <w:rtl/>
        </w:rPr>
        <w:footnoteRef/>
      </w:r>
      <w:r w:rsidRPr="00032CF0">
        <w:rPr>
          <w:rtl/>
        </w:rPr>
        <w:t xml:space="preserve"> - نقله في البحوث ج1 ص 277عن المخزومي في كتابه" في النحو العربي" ص77، وأضاف نقلا عنه: انه يحتمل ان تكون حروف الجر قد استعمل في البداية كأسماء وأفعال دالة على معان مستقلة ثم صار فارغة عن المعنى وتحولت الى مجرد رموز، ولكنه غير مرتبط بالمقام، وضعفه ظاهر.</w:t>
      </w:r>
    </w:p>
  </w:footnote>
  <w:footnote w:id="184">
    <w:p w14:paraId="02B6C464"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ج1ص280</w:t>
      </w:r>
    </w:p>
  </w:footnote>
  <w:footnote w:id="185">
    <w:p w14:paraId="3898D00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ج1ص280</w:t>
      </w:r>
    </w:p>
  </w:footnote>
  <w:footnote w:id="186">
    <w:p w14:paraId="597149A7"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ج1ص281</w:t>
      </w:r>
    </w:p>
  </w:footnote>
  <w:footnote w:id="187">
    <w:p w14:paraId="6A23637B"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ج1ص282</w:t>
      </w:r>
    </w:p>
  </w:footnote>
  <w:footnote w:id="188">
    <w:p w14:paraId="6AAC616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ج1ص277-285</w:t>
      </w:r>
    </w:p>
  </w:footnote>
  <w:footnote w:id="189">
    <w:p w14:paraId="72210EE5"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ج1ص86</w:t>
      </w:r>
    </w:p>
  </w:footnote>
  <w:footnote w:id="190">
    <w:p w14:paraId="794551A9"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ج1ص266</w:t>
      </w:r>
    </w:p>
  </w:footnote>
  <w:footnote w:id="191">
    <w:p w14:paraId="735AC4F1"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 ص85</w:t>
      </w:r>
    </w:p>
  </w:footnote>
  <w:footnote w:id="192">
    <w:p w14:paraId="7C4237D3"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 ص65</w:t>
      </w:r>
    </w:p>
  </w:footnote>
  <w:footnote w:id="193">
    <w:p w14:paraId="1364979C"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 ص267</w:t>
      </w:r>
    </w:p>
  </w:footnote>
  <w:footnote w:id="194">
    <w:p w14:paraId="1518FC30" w14:textId="77777777" w:rsidR="00A902FE" w:rsidRPr="00032CF0" w:rsidRDefault="00A902FE" w:rsidP="00620E61">
      <w:pPr>
        <w:pStyle w:val="hamesh14"/>
      </w:pPr>
      <w:r w:rsidRPr="00032CF0">
        <w:rPr>
          <w:rStyle w:val="a6"/>
          <w:vertAlign w:val="baseline"/>
          <w:rtl/>
        </w:rPr>
        <w:footnoteRef/>
      </w:r>
      <w:r w:rsidRPr="00032CF0">
        <w:rPr>
          <w:rtl/>
        </w:rPr>
        <w:t xml:space="preserve"> -ذكر بعض الاعلام أنه كان بامكان السيد الخوئي "قده"ان يجيب عن ذلك بان كلمة "نعم "بمنزلة تكرار المعنى الذي كان يقصده المتكلم من مدخول الاستفهام لولادخول الاستفهام عليه.تعليقة مباحث الاصول ج1 ص178.ولابأس بماأفاده. </w:t>
      </w:r>
    </w:p>
  </w:footnote>
  <w:footnote w:id="195">
    <w:p w14:paraId="7A8F7FF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ج1ص268، مباحث الاصول ج1ص172</w:t>
      </w:r>
    </w:p>
  </w:footnote>
  <w:footnote w:id="196">
    <w:p w14:paraId="6E2D58AF"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الأصول ج1ص268، مباحث الاصول ج1ص174</w:t>
      </w:r>
    </w:p>
  </w:footnote>
  <w:footnote w:id="197">
    <w:p w14:paraId="5CB01AB2"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تهذيب الاصول ج1ص38</w:t>
      </w:r>
    </w:p>
  </w:footnote>
  <w:footnote w:id="198">
    <w:p w14:paraId="6AFD18D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الرافد ص34</w:t>
      </w:r>
    </w:p>
  </w:footnote>
  <w:footnote w:id="199">
    <w:p w14:paraId="0AB006A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نقله في البحوث عن المخزومي في كتابه "في النحو العربي" ص31</w:t>
      </w:r>
    </w:p>
  </w:footnote>
  <w:footnote w:id="200">
    <w:p w14:paraId="1DFC981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ج1ص272</w:t>
      </w:r>
    </w:p>
  </w:footnote>
  <w:footnote w:id="201">
    <w:p w14:paraId="7E62F57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ج1ص286</w:t>
      </w:r>
    </w:p>
  </w:footnote>
  <w:footnote w:id="202">
    <w:p w14:paraId="356F5A3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الدراية ج1ص273</w:t>
      </w:r>
    </w:p>
  </w:footnote>
  <w:footnote w:id="203">
    <w:p w14:paraId="0BE4487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 ص293</w:t>
      </w:r>
    </w:p>
  </w:footnote>
  <w:footnote w:id="204">
    <w:p w14:paraId="4FBDEE2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ج1ص88</w:t>
      </w:r>
    </w:p>
  </w:footnote>
  <w:footnote w:id="205">
    <w:p w14:paraId="44671D79" w14:textId="77777777" w:rsidR="00A902FE" w:rsidRPr="00032CF0" w:rsidRDefault="00A902FE" w:rsidP="009C58C8">
      <w:pPr>
        <w:pStyle w:val="a4"/>
        <w:ind w:left="0"/>
        <w:jc w:val="both"/>
      </w:pPr>
      <w:r w:rsidRPr="00032CF0">
        <w:rPr>
          <w:rStyle w:val="a6"/>
          <w:vertAlign w:val="baseline"/>
          <w:rtl/>
        </w:rPr>
        <w:footnoteRef/>
      </w:r>
      <w:r w:rsidRPr="00032CF0">
        <w:rPr>
          <w:rtl/>
        </w:rPr>
        <w:t>- دروس في مسائل علم الاصول ج1 ص53</w:t>
      </w:r>
    </w:p>
  </w:footnote>
  <w:footnote w:id="206">
    <w:p w14:paraId="42E27EB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 ص130</w:t>
      </w:r>
    </w:p>
  </w:footnote>
  <w:footnote w:id="207">
    <w:p w14:paraId="0624824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كفاية الاصول ص 67</w:t>
      </w:r>
    </w:p>
  </w:footnote>
  <w:footnote w:id="208">
    <w:p w14:paraId="41A5EBE7" w14:textId="77777777" w:rsidR="00A902FE" w:rsidRPr="00032CF0" w:rsidRDefault="00A902FE" w:rsidP="009C58C8">
      <w:pPr>
        <w:pStyle w:val="a4"/>
        <w:ind w:left="0"/>
        <w:jc w:val="both"/>
      </w:pPr>
      <w:r w:rsidRPr="00032CF0">
        <w:rPr>
          <w:rStyle w:val="a6"/>
          <w:vertAlign w:val="baseline"/>
          <w:rtl/>
        </w:rPr>
        <w:footnoteRef/>
      </w:r>
      <w:r w:rsidRPr="00032CF0">
        <w:rPr>
          <w:rtl/>
        </w:rPr>
        <w:t>- فوائدالاصول ص 17</w:t>
      </w:r>
    </w:p>
  </w:footnote>
  <w:footnote w:id="209">
    <w:p w14:paraId="1557D32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منتقى الاصول ج1ص 138و153</w:t>
      </w:r>
    </w:p>
  </w:footnote>
  <w:footnote w:id="210">
    <w:p w14:paraId="654CA85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دروس في مسائل علم الاصول ج1ص53</w:t>
      </w:r>
    </w:p>
  </w:footnote>
  <w:footnote w:id="211">
    <w:p w14:paraId="48E38A71" w14:textId="77777777" w:rsidR="00A902FE" w:rsidRPr="00032CF0" w:rsidRDefault="00A902FE" w:rsidP="009C58C8">
      <w:pPr>
        <w:pStyle w:val="a4"/>
        <w:ind w:left="0"/>
        <w:jc w:val="both"/>
      </w:pPr>
      <w:r w:rsidRPr="00032CF0">
        <w:rPr>
          <w:rStyle w:val="a6"/>
          <w:vertAlign w:val="baseline"/>
          <w:rtl/>
        </w:rPr>
        <w:footnoteRef/>
      </w:r>
      <w:r w:rsidRPr="00032CF0">
        <w:rPr>
          <w:rtl/>
        </w:rPr>
        <w:t>- منتقى الاصول ح1 ص 153</w:t>
      </w:r>
    </w:p>
  </w:footnote>
  <w:footnote w:id="212">
    <w:p w14:paraId="5C42F3A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-مقالات الاصول ج1 ص100</w:t>
      </w:r>
    </w:p>
  </w:footnote>
  <w:footnote w:id="213">
    <w:p w14:paraId="0F8A4F5F" w14:textId="77777777" w:rsidR="00A902FE" w:rsidRPr="00032CF0" w:rsidRDefault="00A902FE" w:rsidP="009C58C8">
      <w:pPr>
        <w:pStyle w:val="a4"/>
        <w:ind w:left="0"/>
        <w:jc w:val="both"/>
        <w:rPr>
          <w:sz w:val="36"/>
          <w:szCs w:val="36"/>
        </w:rPr>
      </w:pPr>
      <w:r w:rsidRPr="00032CF0">
        <w:rPr>
          <w:rStyle w:val="a6"/>
          <w:vertAlign w:val="baseline"/>
          <w:rtl/>
        </w:rPr>
        <w:footnoteRef/>
      </w:r>
      <w:r w:rsidRPr="00032CF0">
        <w:rPr>
          <w:rtl/>
        </w:rPr>
        <w:t xml:space="preserve"> -بحوث في علم الاصول ج1ص296</w:t>
      </w:r>
    </w:p>
  </w:footnote>
  <w:footnote w:id="214">
    <w:p w14:paraId="4813B31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الدراية ج1ص276</w:t>
      </w:r>
    </w:p>
  </w:footnote>
  <w:footnote w:id="215">
    <w:p w14:paraId="36CA99C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ج1ص298</w:t>
      </w:r>
    </w:p>
  </w:footnote>
  <w:footnote w:id="216">
    <w:p w14:paraId="157A3D0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ج1ص298</w:t>
      </w:r>
    </w:p>
  </w:footnote>
  <w:footnote w:id="217">
    <w:p w14:paraId="0D836E24"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ج1ص299و301</w:t>
      </w:r>
    </w:p>
  </w:footnote>
  <w:footnote w:id="218">
    <w:p w14:paraId="06250A9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ج1ص286</w:t>
      </w:r>
    </w:p>
  </w:footnote>
  <w:footnote w:id="219">
    <w:p w14:paraId="5613D61C"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ج1ص88</w:t>
      </w:r>
    </w:p>
  </w:footnote>
  <w:footnote w:id="220">
    <w:p w14:paraId="5209E429"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ج1ص303</w:t>
      </w:r>
    </w:p>
  </w:footnote>
  <w:footnote w:id="221">
    <w:p w14:paraId="6082D9A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ج1ص304</w:t>
      </w:r>
    </w:p>
  </w:footnote>
  <w:footnote w:id="222">
    <w:p w14:paraId="16E3BC1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ج1ص300 و294</w:t>
      </w:r>
    </w:p>
  </w:footnote>
  <w:footnote w:id="223">
    <w:p w14:paraId="39B2DC6D"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نهج البلاغة خطبة رقم 124، وسائل الشيعة ج15ص61وص96</w:t>
      </w:r>
    </w:p>
  </w:footnote>
  <w:footnote w:id="224">
    <w:p w14:paraId="1DBF0BEE"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وسائل الشيعة ج8ص248 باب30 من ابواب الخلل في الصلاة ح1</w:t>
      </w:r>
    </w:p>
  </w:footnote>
  <w:footnote w:id="225">
    <w:p w14:paraId="4539642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ج1ص307</w:t>
      </w:r>
    </w:p>
  </w:footnote>
  <w:footnote w:id="226">
    <w:p w14:paraId="45C32872" w14:textId="77777777" w:rsidR="00A902FE" w:rsidRPr="00032CF0" w:rsidRDefault="00A902FE" w:rsidP="00620E61">
      <w:pPr>
        <w:pStyle w:val="hamesh14"/>
        <w:rPr>
          <w:rtl/>
        </w:rPr>
      </w:pPr>
      <w:r w:rsidRPr="00032CF0">
        <w:rPr>
          <w:rStyle w:val="a6"/>
          <w:vertAlign w:val="baseline"/>
          <w:rtl/>
        </w:rPr>
        <w:footnoteRef/>
      </w:r>
      <w:r w:rsidRPr="00032CF0">
        <w:rPr>
          <w:rtl/>
        </w:rPr>
        <w:t>- ذكرفي البحوث ج2ص48انه قد تقدم في بحث معاني الحروف والهيئات أن الجملة الفعلية مثل "ضرب زيد"تشتمل على نسبة ناقصة بين الحدث- وهوالضرب في هذاالمثال- وبين ذات مبهمة وهذه النسبة نسبة صدورية في الفعل الماضي والمضارع كماتشتمل الجملة الفعلية على نسبة أخرى وهي نسبة تامة تصادقية بين الفاعل وهو زيد في المثال وبين تلك الذات المبهمة الواقعة طرفا لتلك النسبة الناقصة فكأنه قيل" الذات التي صدر منها الضرب زيد".</w:t>
      </w:r>
    </w:p>
    <w:p w14:paraId="6AF36AD0" w14:textId="77777777" w:rsidR="00A902FE" w:rsidRPr="00032CF0" w:rsidRDefault="00A902FE" w:rsidP="00620E61">
      <w:pPr>
        <w:pStyle w:val="hamesh14"/>
      </w:pPr>
      <w:r w:rsidRPr="00032CF0">
        <w:rPr>
          <w:rtl/>
        </w:rPr>
        <w:t>ولكنك ترى أنه لم‌يسبق منه دعوى دلالة الفعل على الذات المبهمة وانما</w:t>
      </w:r>
      <w:r>
        <w:rPr>
          <w:rFonts w:hint="cs"/>
          <w:rtl/>
        </w:rPr>
        <w:t xml:space="preserve"> </w:t>
      </w:r>
      <w:r w:rsidRPr="00032CF0">
        <w:rPr>
          <w:rtl/>
        </w:rPr>
        <w:t>ادعى دلالته على خصوصية الصدوراضافة الي دلالته على الحدث كماادعى ان النسبة التصادقية في الجملة الفعلية اسنادية لاحملية فليس قولنا"ضرب زيد"في قوة أن يقال "الذات التي صدرمنها</w:t>
      </w:r>
      <w:r>
        <w:rPr>
          <w:rFonts w:hint="cs"/>
          <w:rtl/>
        </w:rPr>
        <w:t xml:space="preserve"> </w:t>
      </w:r>
      <w:r w:rsidRPr="00032CF0">
        <w:rPr>
          <w:rtl/>
        </w:rPr>
        <w:t>الضرب زيد.</w:t>
      </w:r>
    </w:p>
  </w:footnote>
  <w:footnote w:id="227">
    <w:p w14:paraId="17559FC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ج1ص306</w:t>
      </w:r>
    </w:p>
  </w:footnote>
  <w:footnote w:id="228">
    <w:p w14:paraId="4ADE820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-اجود التقريرات ج1ص32</w:t>
      </w:r>
    </w:p>
  </w:footnote>
  <w:footnote w:id="229">
    <w:p w14:paraId="5530563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درر الفوائد ج1 ص40</w:t>
      </w:r>
    </w:p>
  </w:footnote>
  <w:footnote w:id="230">
    <w:p w14:paraId="3A682A8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سورة فصلت الآية 40</w:t>
      </w:r>
    </w:p>
  </w:footnote>
  <w:footnote w:id="231">
    <w:p w14:paraId="4933B5B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-اجود التقريرات ج1ص88</w:t>
      </w:r>
    </w:p>
  </w:footnote>
  <w:footnote w:id="232">
    <w:p w14:paraId="5FCEE3F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ج1ص121</w:t>
      </w:r>
    </w:p>
  </w:footnote>
  <w:footnote w:id="233">
    <w:p w14:paraId="1F0BE38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w:t>
      </w:r>
      <w:r w:rsidRPr="00032CF0">
        <w:t xml:space="preserve">- </w:t>
      </w:r>
      <w:r w:rsidRPr="00032CF0">
        <w:rPr>
          <w:rtl/>
        </w:rPr>
        <w:t>بحوث في علم الاصول ج1ص311</w:t>
      </w:r>
    </w:p>
  </w:footnote>
  <w:footnote w:id="234">
    <w:p w14:paraId="262399D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ج2ص48</w:t>
      </w:r>
    </w:p>
  </w:footnote>
  <w:footnote w:id="235">
    <w:p w14:paraId="3ED2907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-اجود التقريرات ج1ص63</w:t>
      </w:r>
    </w:p>
  </w:footnote>
  <w:footnote w:id="236">
    <w:p w14:paraId="2EFE307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ج1ص283</w:t>
      </w:r>
    </w:p>
  </w:footnote>
  <w:footnote w:id="237">
    <w:p w14:paraId="6896981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 315</w:t>
      </w:r>
    </w:p>
  </w:footnote>
  <w:footnote w:id="238">
    <w:p w14:paraId="7455165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 ص315</w:t>
      </w:r>
    </w:p>
  </w:footnote>
  <w:footnote w:id="239">
    <w:p w14:paraId="7F47416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فوائد الاصول ج1ص99 اجود التقريرات ج1ص63</w:t>
      </w:r>
    </w:p>
  </w:footnote>
  <w:footnote w:id="240">
    <w:p w14:paraId="6BA5DE6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 ص319</w:t>
      </w:r>
    </w:p>
  </w:footnote>
  <w:footnote w:id="241">
    <w:p w14:paraId="5552976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 ص318</w:t>
      </w:r>
    </w:p>
  </w:footnote>
  <w:footnote w:id="242">
    <w:p w14:paraId="5C86E684"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w:t>
      </w:r>
      <w:r w:rsidRPr="00032CF0">
        <w:t>317</w:t>
      </w:r>
    </w:p>
  </w:footnote>
  <w:footnote w:id="243">
    <w:p w14:paraId="3E46343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ص12</w:t>
      </w:r>
    </w:p>
  </w:footnote>
  <w:footnote w:id="244">
    <w:p w14:paraId="264DE8C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ج1ص102</w:t>
      </w:r>
    </w:p>
  </w:footnote>
  <w:footnote w:id="245">
    <w:p w14:paraId="15E859D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 ص337</w:t>
      </w:r>
    </w:p>
  </w:footnote>
  <w:footnote w:id="246">
    <w:p w14:paraId="0DCA3E8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ج1ص249</w:t>
      </w:r>
    </w:p>
  </w:footnote>
  <w:footnote w:id="247">
    <w:p w14:paraId="22CDA33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الاصول ص 25وتهذيب الاصول ج1ص27</w:t>
      </w:r>
    </w:p>
  </w:footnote>
  <w:footnote w:id="248">
    <w:p w14:paraId="45FAB36B"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منتقى الاصول ج 1ص158</w:t>
      </w:r>
    </w:p>
  </w:footnote>
  <w:footnote w:id="249">
    <w:p w14:paraId="3DC1EC2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تهذيب الاصول ج1ص28</w:t>
      </w:r>
    </w:p>
  </w:footnote>
  <w:footnote w:id="250">
    <w:p w14:paraId="538E9885" w14:textId="77777777" w:rsidR="00A902FE" w:rsidRPr="00032CF0" w:rsidRDefault="00A902FE" w:rsidP="009C58C8">
      <w:pPr>
        <w:pStyle w:val="a4"/>
        <w:ind w:left="0"/>
        <w:jc w:val="both"/>
      </w:pPr>
      <w:r w:rsidRPr="00032CF0">
        <w:rPr>
          <w:rStyle w:val="a6"/>
          <w:vertAlign w:val="baseline"/>
          <w:rtl/>
        </w:rPr>
        <w:footnoteRef/>
      </w:r>
      <w:r w:rsidRPr="00032CF0">
        <w:rPr>
          <w:rtl/>
        </w:rPr>
        <w:t>- نهاية الافكار ج1ص59</w:t>
      </w:r>
    </w:p>
  </w:footnote>
  <w:footnote w:id="251">
    <w:p w14:paraId="207E112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الدارية ج1ص64</w:t>
      </w:r>
    </w:p>
  </w:footnote>
  <w:footnote w:id="252">
    <w:p w14:paraId="1F6552D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 ص91</w:t>
      </w:r>
    </w:p>
  </w:footnote>
  <w:footnote w:id="253">
    <w:p w14:paraId="0D28197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ص12</w:t>
      </w:r>
    </w:p>
  </w:footnote>
  <w:footnote w:id="254">
    <w:p w14:paraId="56659A69" w14:textId="77777777" w:rsidR="00A902FE" w:rsidRPr="00032CF0" w:rsidRDefault="00A902FE" w:rsidP="009C58C8">
      <w:pPr>
        <w:pStyle w:val="a4"/>
        <w:ind w:left="0"/>
        <w:jc w:val="both"/>
      </w:pPr>
      <w:r w:rsidRPr="00032CF0">
        <w:rPr>
          <w:rStyle w:val="a6"/>
          <w:vertAlign w:val="baseline"/>
          <w:rtl/>
        </w:rPr>
        <w:footnoteRef/>
      </w:r>
      <w:r w:rsidRPr="00032CF0">
        <w:rPr>
          <w:rtl/>
        </w:rPr>
        <w:t>- نهاية الاصول ص25</w:t>
      </w:r>
    </w:p>
  </w:footnote>
  <w:footnote w:id="255">
    <w:p w14:paraId="12E1801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تهذيب الاصول ج1ص28</w:t>
      </w:r>
    </w:p>
  </w:footnote>
  <w:footnote w:id="256">
    <w:p w14:paraId="6FFCCDC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ج1ص339</w:t>
      </w:r>
    </w:p>
  </w:footnote>
  <w:footnote w:id="257">
    <w:p w14:paraId="506FEF3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الافكارج1ص53</w:t>
      </w:r>
    </w:p>
  </w:footnote>
  <w:footnote w:id="258">
    <w:p w14:paraId="7138DE3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غلم الاصول ج1ص341</w:t>
      </w:r>
    </w:p>
  </w:footnote>
  <w:footnote w:id="259">
    <w:p w14:paraId="2DB261B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ص97</w:t>
      </w:r>
    </w:p>
  </w:footnote>
  <w:footnote w:id="260">
    <w:p w14:paraId="2F5A784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ج1ص351 </w:t>
      </w:r>
    </w:p>
  </w:footnote>
  <w:footnote w:id="261">
    <w:p w14:paraId="3CC4FF61"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منتفى الاصول ج2ص141</w:t>
      </w:r>
    </w:p>
  </w:footnote>
  <w:footnote w:id="262">
    <w:p w14:paraId="6C85FFEE"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مباحث اصولية ج4ص63</w:t>
      </w:r>
    </w:p>
  </w:footnote>
  <w:footnote w:id="263">
    <w:p w14:paraId="6BB8498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الافكارج 2 ص313</w:t>
      </w:r>
    </w:p>
  </w:footnote>
  <w:footnote w:id="264">
    <w:p w14:paraId="17EA2B8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ج1ص350</w:t>
      </w:r>
    </w:p>
  </w:footnote>
  <w:footnote w:id="265">
    <w:p w14:paraId="0D95497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ج2ص59</w:t>
      </w:r>
    </w:p>
  </w:footnote>
  <w:footnote w:id="266">
    <w:p w14:paraId="332F34A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ج2ص60، محاضرات في اصول الفقه ج2ص319، دروس في مسائل علم الاصول ج1ص405</w:t>
      </w:r>
    </w:p>
  </w:footnote>
  <w:footnote w:id="267">
    <w:p w14:paraId="35034115"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ج1ص353</w:t>
      </w:r>
    </w:p>
  </w:footnote>
  <w:footnote w:id="268">
    <w:p w14:paraId="58E4A3B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ص195</w:t>
      </w:r>
    </w:p>
  </w:footnote>
  <w:footnote w:id="269">
    <w:p w14:paraId="566A4CB8"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ج1ص353</w:t>
      </w:r>
    </w:p>
  </w:footnote>
  <w:footnote w:id="270">
    <w:p w14:paraId="470E1E7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ج1ص354</w:t>
      </w:r>
    </w:p>
  </w:footnote>
  <w:footnote w:id="271">
    <w:p w14:paraId="03B46D9E" w14:textId="77777777" w:rsidR="00A902FE" w:rsidRPr="00032CF0" w:rsidRDefault="00A902FE" w:rsidP="009C58C8">
      <w:pPr>
        <w:pStyle w:val="a4"/>
        <w:ind w:left="0"/>
        <w:jc w:val="both"/>
      </w:pPr>
      <w:r w:rsidRPr="00032CF0">
        <w:rPr>
          <w:rStyle w:val="a6"/>
          <w:vertAlign w:val="baseline"/>
          <w:rtl/>
        </w:rPr>
        <w:footnoteRef/>
      </w:r>
      <w:r w:rsidRPr="00032CF0">
        <w:rPr>
          <w:rtl/>
        </w:rPr>
        <w:t>- نهاية الدراية ج1ص77</w:t>
      </w:r>
    </w:p>
  </w:footnote>
  <w:footnote w:id="272">
    <w:p w14:paraId="3BDDEF76" w14:textId="77777777" w:rsidR="00A902FE" w:rsidRPr="00032CF0" w:rsidRDefault="00A902FE" w:rsidP="009C58C8">
      <w:pPr>
        <w:pStyle w:val="a4"/>
        <w:ind w:left="0"/>
        <w:jc w:val="both"/>
      </w:pPr>
      <w:r w:rsidRPr="00032CF0">
        <w:rPr>
          <w:rStyle w:val="a6"/>
          <w:vertAlign w:val="baseline"/>
          <w:rtl/>
        </w:rPr>
        <w:footnoteRef/>
      </w:r>
      <w:r w:rsidRPr="00032CF0">
        <w:rPr>
          <w:rtl/>
        </w:rPr>
        <w:t>- اجودالتقريرات ج1 ص11</w:t>
      </w:r>
    </w:p>
  </w:footnote>
  <w:footnote w:id="273">
    <w:p w14:paraId="4C384A06"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ج1ص34</w:t>
      </w:r>
    </w:p>
  </w:footnote>
  <w:footnote w:id="274">
    <w:p w14:paraId="267C9EF3"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ج1ص85، مباحث الاصول ج1ص106</w:t>
      </w:r>
    </w:p>
  </w:footnote>
  <w:footnote w:id="275">
    <w:p w14:paraId="15EA90CB"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ج1ص104</w:t>
      </w:r>
    </w:p>
  </w:footnote>
  <w:footnote w:id="276">
    <w:p w14:paraId="62C17E48"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 ص 104</w:t>
      </w:r>
    </w:p>
  </w:footnote>
  <w:footnote w:id="277">
    <w:p w14:paraId="3416756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كفاية الاصول ص 16</w:t>
      </w:r>
    </w:p>
  </w:footnote>
  <w:footnote w:id="278">
    <w:p w14:paraId="5CA219A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الافكار ج1ص64</w:t>
      </w:r>
    </w:p>
  </w:footnote>
  <w:footnote w:id="279">
    <w:p w14:paraId="51BEE878"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 ص118</w:t>
      </w:r>
    </w:p>
  </w:footnote>
  <w:footnote w:id="280">
    <w:p w14:paraId="23E9246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الاصول ص29، وقاية الاذهان ص 103، محاضرات في اصول الفقه ج1ص93، تهذيب الاصول ج1ص 31</w:t>
      </w:r>
    </w:p>
  </w:footnote>
  <w:footnote w:id="281">
    <w:p w14:paraId="422650F8"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ج1ص120</w:t>
      </w:r>
    </w:p>
  </w:footnote>
  <w:footnote w:id="282">
    <w:p w14:paraId="52FD13DB"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ج1ص93</w:t>
      </w:r>
    </w:p>
  </w:footnote>
  <w:footnote w:id="283">
    <w:p w14:paraId="51EFA9A0"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الدراية ج1ص152</w:t>
      </w:r>
    </w:p>
  </w:footnote>
  <w:footnote w:id="284">
    <w:p w14:paraId="724B3CA2"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ج1ص208</w:t>
      </w:r>
    </w:p>
  </w:footnote>
  <w:footnote w:id="285">
    <w:p w14:paraId="4B62071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ج1ص132</w:t>
      </w:r>
    </w:p>
  </w:footnote>
  <w:footnote w:id="286">
    <w:p w14:paraId="0AB5E687"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ج1ص207</w:t>
      </w:r>
    </w:p>
  </w:footnote>
  <w:footnote w:id="287">
    <w:p w14:paraId="7F598A3A"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كفاية الاصول ص36</w:t>
      </w:r>
    </w:p>
  </w:footnote>
  <w:footnote w:id="288">
    <w:p w14:paraId="2918D453"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ج1ص141</w:t>
      </w:r>
    </w:p>
  </w:footnote>
  <w:footnote w:id="289">
    <w:p w14:paraId="3896345E"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ج1ص207</w:t>
      </w:r>
    </w:p>
  </w:footnote>
  <w:footnote w:id="290">
    <w:p w14:paraId="7563C72C"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سواء قلنا بان الوضع هو نفس هذا الاقتران الأكيد ام قلنا بانه أمر اعتباري تكون نتيجته الاقتران الأكيد.</w:t>
      </w:r>
    </w:p>
  </w:footnote>
  <w:footnote w:id="291">
    <w:p w14:paraId="0FDCD8B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 140، منتقى الاصول ج1ص69</w:t>
      </w:r>
    </w:p>
  </w:footnote>
  <w:footnote w:id="292">
    <w:p w14:paraId="26720C4B"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منتقى الاصول ج1ص70</w:t>
      </w:r>
    </w:p>
  </w:footnote>
  <w:footnote w:id="293">
    <w:p w14:paraId="004E54B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ص14</w:t>
      </w:r>
    </w:p>
  </w:footnote>
  <w:footnote w:id="294">
    <w:p w14:paraId="5815B90A"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الدراية ج1ص65</w:t>
      </w:r>
    </w:p>
  </w:footnote>
  <w:footnote w:id="295">
    <w:p w14:paraId="5468A16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الفصول الغروية ص22</w:t>
      </w:r>
    </w:p>
  </w:footnote>
  <w:footnote w:id="296">
    <w:p w14:paraId="4D05D74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ج1ص67</w:t>
      </w:r>
    </w:p>
  </w:footnote>
  <w:footnote w:id="297">
    <w:p w14:paraId="74214C6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-بدايع الافكار ج 1ص91</w:t>
      </w:r>
    </w:p>
  </w:footnote>
  <w:footnote w:id="298">
    <w:p w14:paraId="3C7C3A45"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ج1ص100</w:t>
      </w:r>
    </w:p>
  </w:footnote>
  <w:footnote w:id="299">
    <w:p w14:paraId="04D44DD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تهذيب الاصول ج1ص37</w:t>
      </w:r>
    </w:p>
  </w:footnote>
  <w:footnote w:id="300">
    <w:p w14:paraId="5FBB3D1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ص18</w:t>
      </w:r>
    </w:p>
  </w:footnote>
  <w:footnote w:id="301">
    <w:p w14:paraId="2D22C112" w14:textId="77777777" w:rsidR="00A902FE" w:rsidRPr="00032CF0" w:rsidRDefault="00A902FE" w:rsidP="00620E61">
      <w:pPr>
        <w:pStyle w:val="hamesh14"/>
      </w:pPr>
      <w:r w:rsidRPr="00032CF0">
        <w:rPr>
          <w:rStyle w:val="a6"/>
          <w:vertAlign w:val="baseline"/>
          <w:rtl/>
        </w:rPr>
        <w:footnoteRef/>
      </w:r>
      <w:r w:rsidRPr="00032CF0">
        <w:rPr>
          <w:rtl/>
        </w:rPr>
        <w:t xml:space="preserve"> - هذا، وقد رتب السيد الخوئي "قده" على عدم وضع المركب ثمرة وهي انه لايتعقل بعدئد المجاز في المركب، والظاهر ان نظره الى المجاز اللغوي دون المجاز الادعائي، حيث انه ليس من استعمال اللفظ في غير ما وضع له وقد ذكر في محله ان المجاز منحصر فيه.</w:t>
      </w:r>
    </w:p>
  </w:footnote>
  <w:footnote w:id="302">
    <w:p w14:paraId="295587B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النهاية ج1ص10</w:t>
      </w:r>
    </w:p>
  </w:footnote>
  <w:footnote w:id="303">
    <w:p w14:paraId="514519F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-مقالات الاصول ج1ص114</w:t>
      </w:r>
    </w:p>
  </w:footnote>
  <w:footnote w:id="304">
    <w:p w14:paraId="63026E20"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الدراية ج1ص78</w:t>
      </w:r>
    </w:p>
  </w:footnote>
  <w:footnote w:id="305">
    <w:p w14:paraId="6F47A773"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ج1ص164</w:t>
      </w:r>
    </w:p>
  </w:footnote>
  <w:footnote w:id="306">
    <w:p w14:paraId="2AEFE13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ص18</w:t>
      </w:r>
    </w:p>
  </w:footnote>
  <w:footnote w:id="307">
    <w:p w14:paraId="4F9FA6F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ج1ص166</w:t>
      </w:r>
    </w:p>
  </w:footnote>
  <w:footnote w:id="308">
    <w:p w14:paraId="3AD51D1C"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ج1ص165</w:t>
      </w:r>
    </w:p>
  </w:footnote>
  <w:footnote w:id="309">
    <w:p w14:paraId="1CCA8AA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 166</w:t>
      </w:r>
    </w:p>
  </w:footnote>
  <w:footnote w:id="310">
    <w:p w14:paraId="2136B79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ص19</w:t>
      </w:r>
    </w:p>
  </w:footnote>
  <w:footnote w:id="311">
    <w:p w14:paraId="4B2EAE5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النهاية ج1ص25</w:t>
      </w:r>
    </w:p>
  </w:footnote>
  <w:footnote w:id="312">
    <w:p w14:paraId="58E240A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الافكار ج1 ص68</w:t>
      </w:r>
    </w:p>
  </w:footnote>
  <w:footnote w:id="313">
    <w:p w14:paraId="7AD8123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الافكار ج1ص68</w:t>
      </w:r>
    </w:p>
  </w:footnote>
  <w:footnote w:id="314">
    <w:p w14:paraId="4E400BB1"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 ص161</w:t>
      </w:r>
    </w:p>
  </w:footnote>
  <w:footnote w:id="315">
    <w:p w14:paraId="0A0D703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ج1ص116</w:t>
      </w:r>
    </w:p>
  </w:footnote>
  <w:footnote w:id="316">
    <w:p w14:paraId="40971C4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ص18</w:t>
      </w:r>
    </w:p>
  </w:footnote>
  <w:footnote w:id="317">
    <w:p w14:paraId="0024233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ص20</w:t>
      </w:r>
    </w:p>
  </w:footnote>
  <w:footnote w:id="318">
    <w:p w14:paraId="0567A58A"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النهاية ج1 ص27</w:t>
      </w:r>
    </w:p>
  </w:footnote>
  <w:footnote w:id="319">
    <w:p w14:paraId="7446473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 ص122</w:t>
      </w:r>
    </w:p>
  </w:footnote>
  <w:footnote w:id="320">
    <w:p w14:paraId="47271E6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قي اصول الفقه ج1ص124</w:t>
      </w:r>
    </w:p>
  </w:footnote>
  <w:footnote w:id="321">
    <w:p w14:paraId="42C51347" w14:textId="77777777" w:rsidR="00A902FE" w:rsidRPr="00032CF0" w:rsidRDefault="00A902FE" w:rsidP="009C58C8">
      <w:pPr>
        <w:pStyle w:val="a4"/>
        <w:ind w:left="0"/>
        <w:jc w:val="both"/>
        <w:rPr>
          <w:rFonts w:hint="cs"/>
        </w:rPr>
      </w:pPr>
      <w:r w:rsidRPr="00032CF0">
        <w:rPr>
          <w:rStyle w:val="a6"/>
          <w:vertAlign w:val="baseline"/>
          <w:rtl/>
        </w:rPr>
        <w:footnoteRef/>
      </w:r>
      <w:r w:rsidRPr="00032CF0">
        <w:rPr>
          <w:rtl/>
        </w:rPr>
        <w:t xml:space="preserve"> -سورة</w:t>
      </w:r>
      <w:r>
        <w:rPr>
          <w:rFonts w:hint="cs"/>
          <w:rtl/>
        </w:rPr>
        <w:t xml:space="preserve"> يوسف الآية82</w:t>
      </w:r>
    </w:p>
  </w:footnote>
  <w:footnote w:id="322">
    <w:p w14:paraId="1D8172C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-سورة البقرة الآية228</w:t>
      </w:r>
    </w:p>
  </w:footnote>
  <w:footnote w:id="323">
    <w:p w14:paraId="0A1DB41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-سورة الاحزاب الآية43</w:t>
      </w:r>
    </w:p>
  </w:footnote>
  <w:footnote w:id="324">
    <w:p w14:paraId="3092576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-سورة الاحزاب الآية56</w:t>
      </w:r>
    </w:p>
  </w:footnote>
  <w:footnote w:id="325">
    <w:p w14:paraId="792FF91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-سورة التوبة الآية103</w:t>
      </w:r>
    </w:p>
  </w:footnote>
  <w:footnote w:id="326">
    <w:p w14:paraId="4073A5B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سورة البقرة، الآية 183</w:t>
      </w:r>
    </w:p>
  </w:footnote>
  <w:footnote w:id="327">
    <w:p w14:paraId="2FA87C4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سورة الحج، الآية 27</w:t>
      </w:r>
    </w:p>
  </w:footnote>
  <w:footnote w:id="328">
    <w:p w14:paraId="6DB5594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سورة مريم، الآية 31 </w:t>
      </w:r>
    </w:p>
  </w:footnote>
  <w:footnote w:id="329">
    <w:p w14:paraId="612E172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كفاية الاصول ص22</w:t>
      </w:r>
    </w:p>
  </w:footnote>
  <w:footnote w:id="330">
    <w:p w14:paraId="403B662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الافكارج1ص71</w:t>
      </w:r>
    </w:p>
  </w:footnote>
  <w:footnote w:id="331">
    <w:p w14:paraId="41CB7D80"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 ص180</w:t>
      </w:r>
    </w:p>
  </w:footnote>
  <w:footnote w:id="332">
    <w:p w14:paraId="369A7756"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ج1ص181</w:t>
      </w:r>
    </w:p>
  </w:footnote>
  <w:footnote w:id="333">
    <w:p w14:paraId="5EE0DDE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ج1ص132</w:t>
      </w:r>
    </w:p>
  </w:footnote>
  <w:footnote w:id="334">
    <w:p w14:paraId="73AEDC6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 ص183</w:t>
      </w:r>
    </w:p>
  </w:footnote>
  <w:footnote w:id="335">
    <w:p w14:paraId="164B7A8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ج1ص90 محاضرات في اصول الفقه ج1ص130</w:t>
      </w:r>
    </w:p>
  </w:footnote>
  <w:footnote w:id="336">
    <w:p w14:paraId="68A8253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سورة الانفال، الآية 35</w:t>
      </w:r>
    </w:p>
  </w:footnote>
  <w:footnote w:id="337">
    <w:p w14:paraId="15A9AF1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ج1ص183</w:t>
      </w:r>
    </w:p>
  </w:footnote>
  <w:footnote w:id="338">
    <w:p w14:paraId="29ADD61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سورة البينة، الآية 1 </w:t>
      </w:r>
    </w:p>
  </w:footnote>
  <w:footnote w:id="339">
    <w:p w14:paraId="0CFB5C6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سورة الأنعام، الآية57</w:t>
      </w:r>
    </w:p>
  </w:footnote>
  <w:footnote w:id="340">
    <w:p w14:paraId="221443F8" w14:textId="77777777" w:rsidR="00A902FE" w:rsidRPr="00032CF0" w:rsidRDefault="00A902FE" w:rsidP="009C58C8">
      <w:pPr>
        <w:pStyle w:val="a4"/>
        <w:ind w:left="0"/>
        <w:jc w:val="both"/>
      </w:pPr>
      <w:r w:rsidRPr="00032CF0">
        <w:rPr>
          <w:rStyle w:val="a6"/>
          <w:sz w:val="24"/>
          <w:szCs w:val="24"/>
          <w:vertAlign w:val="baseline"/>
          <w:rtl/>
        </w:rPr>
        <w:footnoteRef/>
      </w:r>
      <w:r w:rsidRPr="00032CF0">
        <w:rPr>
          <w:rtl/>
        </w:rPr>
        <w:t xml:space="preserve"> </w:t>
      </w:r>
      <w:r w:rsidRPr="00032CF0">
        <w:t xml:space="preserve">- </w:t>
      </w:r>
      <w:r w:rsidRPr="00032CF0">
        <w:rPr>
          <w:rtl/>
        </w:rPr>
        <w:t>وسائل الشيعة ج17 ص89 باب4 من ابواب ما يكتسب ح4</w:t>
      </w:r>
    </w:p>
  </w:footnote>
  <w:footnote w:id="341">
    <w:p w14:paraId="7E803A30" w14:textId="77777777" w:rsidR="00A902FE" w:rsidRPr="00032CF0" w:rsidRDefault="00A902FE" w:rsidP="009C58C8">
      <w:pPr>
        <w:pStyle w:val="a4"/>
        <w:ind w:left="0"/>
        <w:jc w:val="both"/>
      </w:pPr>
      <w:r w:rsidRPr="00032CF0">
        <w:rPr>
          <w:rStyle w:val="a6"/>
          <w:vertAlign w:val="baseline"/>
          <w:rtl/>
        </w:rPr>
        <w:footnoteRef/>
      </w:r>
      <w:r w:rsidRPr="00032CF0">
        <w:rPr>
          <w:rtl/>
        </w:rPr>
        <w:t>- وسائل الشيعة ج1ص220 باب12 من ابواب الماء المضاف ح11</w:t>
      </w:r>
    </w:p>
  </w:footnote>
  <w:footnote w:id="342">
    <w:p w14:paraId="18452D04"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 ص183</w:t>
      </w:r>
    </w:p>
  </w:footnote>
  <w:footnote w:id="343">
    <w:p w14:paraId="30DCA36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ج1ص126</w:t>
      </w:r>
    </w:p>
  </w:footnote>
  <w:footnote w:id="344">
    <w:p w14:paraId="1B74B18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-سورة الاعلى، الآية 15 </w:t>
      </w:r>
    </w:p>
  </w:footnote>
  <w:footnote w:id="345">
    <w:p w14:paraId="66CB7A7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-سورة التوبة، الآية 28</w:t>
      </w:r>
    </w:p>
  </w:footnote>
  <w:footnote w:id="346">
    <w:p w14:paraId="2725C25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سورة المائدة، الآية 6</w:t>
      </w:r>
    </w:p>
  </w:footnote>
  <w:footnote w:id="347">
    <w:p w14:paraId="6E9DED7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كفاية الاصول ص23</w:t>
      </w:r>
    </w:p>
  </w:footnote>
  <w:footnote w:id="348">
    <w:p w14:paraId="3BAB778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 ص187</w:t>
      </w:r>
    </w:p>
  </w:footnote>
  <w:footnote w:id="349">
    <w:p w14:paraId="3C15173D"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الدراية ج1ص</w:t>
      </w:r>
      <w:r w:rsidRPr="00032CF0">
        <w:t>94</w:t>
      </w:r>
    </w:p>
  </w:footnote>
  <w:footnote w:id="350">
    <w:p w14:paraId="1029448C"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ج1ص188</w:t>
      </w:r>
    </w:p>
  </w:footnote>
  <w:footnote w:id="351">
    <w:p w14:paraId="1A3769FB"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النهاية ج1ص 33</w:t>
      </w:r>
    </w:p>
  </w:footnote>
  <w:footnote w:id="352">
    <w:p w14:paraId="5AE981B9" w14:textId="77777777" w:rsidR="00A902FE" w:rsidRPr="00032CF0" w:rsidRDefault="00A902FE" w:rsidP="009C58C8">
      <w:pPr>
        <w:pStyle w:val="a4"/>
        <w:ind w:left="0"/>
        <w:jc w:val="both"/>
      </w:pPr>
      <w:r w:rsidRPr="00032CF0">
        <w:rPr>
          <w:rStyle w:val="a6"/>
          <w:vertAlign w:val="baseline"/>
          <w:rtl/>
        </w:rPr>
        <w:footnoteRef/>
      </w:r>
      <w:r w:rsidRPr="00032CF0">
        <w:rPr>
          <w:rtl/>
        </w:rPr>
        <w:t>- كفاية الاصول ص24</w:t>
      </w:r>
    </w:p>
  </w:footnote>
  <w:footnote w:id="353">
    <w:p w14:paraId="4B22713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كفاية الاصول ص182 </w:t>
      </w:r>
    </w:p>
  </w:footnote>
  <w:footnote w:id="354">
    <w:p w14:paraId="035F4BF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الدراية ج1ص95</w:t>
      </w:r>
    </w:p>
  </w:footnote>
  <w:footnote w:id="355">
    <w:p w14:paraId="79F2008B" w14:textId="77777777" w:rsidR="00A902FE" w:rsidRPr="00032CF0" w:rsidRDefault="00A902FE" w:rsidP="009C58C8">
      <w:pPr>
        <w:pStyle w:val="a4"/>
        <w:ind w:left="0"/>
        <w:jc w:val="both"/>
      </w:pPr>
      <w:r w:rsidRPr="00032CF0">
        <w:rPr>
          <w:rStyle w:val="a6"/>
          <w:vertAlign w:val="baseline"/>
          <w:rtl/>
        </w:rPr>
        <w:footnoteRef/>
      </w:r>
      <w:r w:rsidRPr="00032CF0">
        <w:rPr>
          <w:rtl/>
        </w:rPr>
        <w:t>- نهاية الدراية ج1ص97</w:t>
      </w:r>
    </w:p>
  </w:footnote>
  <w:footnote w:id="356">
    <w:p w14:paraId="540BCF1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ج1ص135</w:t>
      </w:r>
    </w:p>
  </w:footnote>
  <w:footnote w:id="357">
    <w:p w14:paraId="64141266"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مستند العروة كتاب الصلاة ج6ص317</w:t>
      </w:r>
    </w:p>
  </w:footnote>
  <w:footnote w:id="358">
    <w:p w14:paraId="7112AE9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وسائل الشيعة ج8 ص238 باب23 من ابواب الخلل ح3</w:t>
      </w:r>
    </w:p>
  </w:footnote>
  <w:footnote w:id="359">
    <w:p w14:paraId="74C1BBE3" w14:textId="77777777" w:rsidR="00A902FE" w:rsidRPr="00032CF0" w:rsidRDefault="00A902FE" w:rsidP="009C58C8">
      <w:pPr>
        <w:pStyle w:val="a4"/>
        <w:ind w:left="0"/>
        <w:jc w:val="both"/>
      </w:pPr>
      <w:r w:rsidRPr="00032CF0">
        <w:rPr>
          <w:rStyle w:val="a6"/>
          <w:vertAlign w:val="baseline"/>
          <w:rtl/>
        </w:rPr>
        <w:footnoteRef/>
      </w:r>
      <w:r w:rsidRPr="00032CF0">
        <w:rPr>
          <w:rtl/>
        </w:rPr>
        <w:t>- وسائل الشيعة ج13 ص 112 باب 3 من ابواب كفارات الاستمتاع في الاحرام ح9</w:t>
      </w:r>
    </w:p>
  </w:footnote>
  <w:footnote w:id="360">
    <w:p w14:paraId="4751E13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-وسائل الشيعة ج3 ص481 باب 42 من ابواب النجاسات ح 5</w:t>
      </w:r>
    </w:p>
  </w:footnote>
  <w:footnote w:id="361">
    <w:p w14:paraId="2B3A98A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مطارح الانظار ص7</w:t>
      </w:r>
    </w:p>
  </w:footnote>
  <w:footnote w:id="362">
    <w:p w14:paraId="02003BE8"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اجود التقريرات ج1ص37</w:t>
      </w:r>
    </w:p>
  </w:footnote>
  <w:footnote w:id="363">
    <w:p w14:paraId="5E06EDF3"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ج1ص143</w:t>
      </w:r>
    </w:p>
  </w:footnote>
  <w:footnote w:id="364">
    <w:p w14:paraId="4AE365B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-مطارح الانظارص6</w:t>
      </w:r>
    </w:p>
  </w:footnote>
  <w:footnote w:id="365">
    <w:p w14:paraId="10C2C1B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سورة العنكبوت الآية 45</w:t>
      </w:r>
    </w:p>
  </w:footnote>
  <w:footnote w:id="366">
    <w:p w14:paraId="1A8DD92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الكافي ج3 ص265</w:t>
      </w:r>
    </w:p>
  </w:footnote>
  <w:footnote w:id="367">
    <w:p w14:paraId="4ED080F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روضة المتقين ج6ص2</w:t>
      </w:r>
    </w:p>
  </w:footnote>
  <w:footnote w:id="368">
    <w:p w14:paraId="2FEF53E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كفاية الاصول ص24</w:t>
      </w:r>
    </w:p>
  </w:footnote>
  <w:footnote w:id="369">
    <w:p w14:paraId="0B71864E"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الدراية ج1ص98</w:t>
      </w:r>
    </w:p>
  </w:footnote>
  <w:footnote w:id="370">
    <w:p w14:paraId="1D3A0E38" w14:textId="77777777" w:rsidR="00A902FE" w:rsidRPr="00032CF0" w:rsidRDefault="00A902FE" w:rsidP="009C58C8">
      <w:pPr>
        <w:pStyle w:val="a4"/>
        <w:ind w:left="0"/>
        <w:jc w:val="both"/>
      </w:pPr>
      <w:r w:rsidRPr="00032CF0">
        <w:rPr>
          <w:rStyle w:val="a6"/>
          <w:vertAlign w:val="baseline"/>
          <w:rtl/>
        </w:rPr>
        <w:footnoteRef/>
      </w:r>
      <w:r w:rsidRPr="00032CF0">
        <w:rPr>
          <w:rtl/>
        </w:rPr>
        <w:t>- نهاية الدراية ج1 ص 100</w:t>
      </w:r>
    </w:p>
  </w:footnote>
  <w:footnote w:id="371">
    <w:p w14:paraId="5740307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ج1ص145</w:t>
      </w:r>
    </w:p>
  </w:footnote>
  <w:footnote w:id="372">
    <w:p w14:paraId="548F3E6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-اجود التقريرات ج1ص38</w:t>
      </w:r>
    </w:p>
  </w:footnote>
  <w:footnote w:id="373">
    <w:p w14:paraId="165B0AE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ج1ص</w:t>
      </w:r>
    </w:p>
  </w:footnote>
  <w:footnote w:id="374">
    <w:p w14:paraId="3DBF27CD"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مقالات الاصول ج1ص142</w:t>
      </w:r>
    </w:p>
  </w:footnote>
  <w:footnote w:id="375">
    <w:p w14:paraId="6966A70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ج1ص160</w:t>
      </w:r>
    </w:p>
  </w:footnote>
  <w:footnote w:id="376">
    <w:p w14:paraId="2223BE2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الدراية ج1ص102</w:t>
      </w:r>
    </w:p>
  </w:footnote>
  <w:footnote w:id="377">
    <w:p w14:paraId="50426729"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ج1ص198</w:t>
      </w:r>
    </w:p>
  </w:footnote>
  <w:footnote w:id="378">
    <w:p w14:paraId="1E7C61F2"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دروس في مسائل علم الاصول ج1ص106</w:t>
      </w:r>
    </w:p>
  </w:footnote>
  <w:footnote w:id="379">
    <w:p w14:paraId="24C6306C" w14:textId="77777777" w:rsidR="00A902FE" w:rsidRPr="00032CF0" w:rsidRDefault="00A902FE" w:rsidP="00620E61">
      <w:pPr>
        <w:pStyle w:val="a4"/>
        <w:ind w:left="0"/>
        <w:jc w:val="both"/>
        <w:rPr>
          <w:rtl/>
        </w:rPr>
      </w:pPr>
      <w:r w:rsidRPr="00032CF0">
        <w:rPr>
          <w:rStyle w:val="a6"/>
          <w:vertAlign w:val="baseline"/>
          <w:rtl/>
        </w:rPr>
        <w:footnoteRef/>
      </w:r>
      <w:r w:rsidRPr="00032CF0">
        <w:rPr>
          <w:rtl/>
        </w:rPr>
        <w:t xml:space="preserve"> - هذا ينافي ما ذكره </w:t>
      </w:r>
      <w:r>
        <w:rPr>
          <w:rFonts w:hint="cs"/>
          <w:rtl/>
        </w:rPr>
        <w:t>"</w:t>
      </w:r>
      <w:r w:rsidRPr="00032CF0">
        <w:rPr>
          <w:rtl/>
        </w:rPr>
        <w:t>قده</w:t>
      </w:r>
      <w:r>
        <w:rPr>
          <w:rFonts w:hint="cs"/>
          <w:rtl/>
        </w:rPr>
        <w:t>"</w:t>
      </w:r>
      <w:r w:rsidRPr="00032CF0">
        <w:rPr>
          <w:rtl/>
        </w:rPr>
        <w:t xml:space="preserve"> من ان غرض الصحيحي هو تحديد المسمى بنحو يمكن تعلق الأمر به راجع بحوث في علم الاصول ج1ص191</w:t>
      </w:r>
    </w:p>
  </w:footnote>
  <w:footnote w:id="380">
    <w:p w14:paraId="623C58D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 ص192</w:t>
      </w:r>
    </w:p>
  </w:footnote>
  <w:footnote w:id="381">
    <w:p w14:paraId="4029972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ج1ص192</w:t>
      </w:r>
    </w:p>
  </w:footnote>
  <w:footnote w:id="382">
    <w:p w14:paraId="1699C6CF" w14:textId="77777777" w:rsidR="00A902FE" w:rsidRPr="00032CF0" w:rsidRDefault="00A902FE" w:rsidP="009C58C8">
      <w:pPr>
        <w:pStyle w:val="a4"/>
        <w:ind w:left="0"/>
        <w:jc w:val="both"/>
      </w:pPr>
      <w:r w:rsidRPr="00032CF0">
        <w:rPr>
          <w:rStyle w:val="a6"/>
          <w:vertAlign w:val="baseline"/>
          <w:rtl/>
        </w:rPr>
        <w:footnoteRef/>
      </w:r>
      <w:r w:rsidRPr="00032CF0">
        <w:rPr>
          <w:rtl/>
        </w:rPr>
        <w:t>- وسائل الشيعة ج8ص257باب 2من ابواب قضاء الصلوات ح4</w:t>
      </w:r>
    </w:p>
  </w:footnote>
  <w:footnote w:id="383">
    <w:p w14:paraId="246CB9C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-وسائل الشيعة ج1ص372باب4من ابواب الوضوءح1</w:t>
      </w:r>
    </w:p>
  </w:footnote>
  <w:footnote w:id="384">
    <w:p w14:paraId="7A200B8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فوانين الاصول ج1ص43</w:t>
      </w:r>
    </w:p>
  </w:footnote>
  <w:footnote w:id="385">
    <w:p w14:paraId="3A679DD3"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اجود التقريرات ج1ص42</w:t>
      </w:r>
    </w:p>
  </w:footnote>
  <w:footnote w:id="386">
    <w:p w14:paraId="341E88AF"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وسائل الشيعة ج4ص931 باب9 من ابواب الركوع</w:t>
      </w:r>
    </w:p>
  </w:footnote>
  <w:footnote w:id="387">
    <w:p w14:paraId="126E840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ج1ص159</w:t>
      </w:r>
    </w:p>
  </w:footnote>
  <w:footnote w:id="388">
    <w:p w14:paraId="34CBF44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في صحيحة محمد بن مسلم عن ابي جعفر "(عليه‌السلام) "قال سألته عن الذي لايقرأ بفاتحة الكتاب في صلاته قال لاصلاة له. وسائل الشيعة ج6ص37 باب1 من ابواب القراءة في الصلاةح1</w:t>
      </w:r>
    </w:p>
  </w:footnote>
  <w:footnote w:id="389">
    <w:p w14:paraId="0F684688" w14:textId="77777777" w:rsidR="00A902FE" w:rsidRPr="00032CF0" w:rsidRDefault="00A902FE" w:rsidP="009C58C8">
      <w:pPr>
        <w:pStyle w:val="a4"/>
        <w:ind w:left="0"/>
        <w:jc w:val="both"/>
      </w:pPr>
      <w:r w:rsidRPr="00032CF0">
        <w:rPr>
          <w:rStyle w:val="a6"/>
          <w:vertAlign w:val="baseline"/>
          <w:rtl/>
        </w:rPr>
        <w:footnoteRef/>
      </w:r>
      <w:r w:rsidRPr="00032CF0">
        <w:rPr>
          <w:rtl/>
        </w:rPr>
        <w:t>-وسائل الشيعة ج4ص313 باب9 من ابواب القبلة ح3</w:t>
      </w:r>
    </w:p>
  </w:footnote>
  <w:footnote w:id="390">
    <w:p w14:paraId="2E667BFD" w14:textId="77777777" w:rsidR="00A902FE" w:rsidRPr="00032CF0" w:rsidRDefault="00A902FE" w:rsidP="009C58C8">
      <w:pPr>
        <w:pStyle w:val="a4"/>
        <w:ind w:left="0"/>
        <w:jc w:val="both"/>
      </w:pPr>
      <w:r w:rsidRPr="00032CF0">
        <w:rPr>
          <w:rStyle w:val="a6"/>
          <w:vertAlign w:val="baseline"/>
          <w:rtl/>
        </w:rPr>
        <w:footnoteRef/>
      </w:r>
      <w:r w:rsidRPr="00032CF0">
        <w:rPr>
          <w:rtl/>
        </w:rPr>
        <w:t>- وسائل الشيعة ج8ص241 باب 24 من ابواب الخلل في الصلاة ح7</w:t>
      </w:r>
    </w:p>
  </w:footnote>
  <w:footnote w:id="391">
    <w:p w14:paraId="2CAF75A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-وسائل الشيعة ج1ص368 باب 2 من ابواب وجوب الوضوء ح1</w:t>
      </w:r>
    </w:p>
  </w:footnote>
  <w:footnote w:id="392">
    <w:p w14:paraId="62421C60" w14:textId="77777777" w:rsidR="00A902FE" w:rsidRPr="00032CF0" w:rsidRDefault="00A902FE" w:rsidP="009C58C8">
      <w:pPr>
        <w:pStyle w:val="a4"/>
        <w:ind w:left="0"/>
        <w:jc w:val="both"/>
      </w:pPr>
      <w:r w:rsidRPr="00032CF0">
        <w:rPr>
          <w:rStyle w:val="a6"/>
          <w:sz w:val="24"/>
          <w:szCs w:val="24"/>
          <w:vertAlign w:val="baseline"/>
          <w:rtl/>
        </w:rPr>
        <w:footnoteRef/>
      </w:r>
      <w:r w:rsidRPr="00032CF0">
        <w:rPr>
          <w:rtl/>
        </w:rPr>
        <w:t xml:space="preserve"> </w:t>
      </w:r>
      <w:r w:rsidRPr="00032CF0">
        <w:t xml:space="preserve">- </w:t>
      </w:r>
      <w:r w:rsidRPr="00032CF0">
        <w:rPr>
          <w:rtl/>
        </w:rPr>
        <w:t>وسائل الشيعة ج 7ص234 باب 1من ابواب قواطع الصلاة ح4</w:t>
      </w:r>
    </w:p>
  </w:footnote>
  <w:footnote w:id="393">
    <w:p w14:paraId="1D47875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ج1ص203</w:t>
      </w:r>
    </w:p>
  </w:footnote>
  <w:footnote w:id="394">
    <w:p w14:paraId="5C20B142" w14:textId="77777777" w:rsidR="00A902FE" w:rsidRPr="00032CF0" w:rsidRDefault="00A902FE" w:rsidP="009C58C8">
      <w:pPr>
        <w:pStyle w:val="a4"/>
        <w:ind w:left="0"/>
        <w:jc w:val="both"/>
        <w:rPr>
          <w:sz w:val="28"/>
          <w:szCs w:val="28"/>
          <w:rtl/>
        </w:rPr>
      </w:pPr>
      <w:r w:rsidRPr="00032CF0">
        <w:rPr>
          <w:rtl/>
        </w:rPr>
        <w:footnoteRef/>
      </w:r>
      <w:r w:rsidRPr="00032CF0">
        <w:rPr>
          <w:rtl/>
        </w:rPr>
        <w:t>- وسائل الشيعة ج10ص31 باب1من ابواب مايمسك عنه الصائم ح1</w:t>
      </w:r>
    </w:p>
  </w:footnote>
  <w:footnote w:id="395">
    <w:p w14:paraId="6D3D0CD6"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وسائل الشيعة ج4ص7 ابواب اعداد الفرائض باب1ح2</w:t>
      </w:r>
    </w:p>
  </w:footnote>
  <w:footnote w:id="396">
    <w:p w14:paraId="5A22621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نفس المصدر ص84 ح13</w:t>
      </w:r>
    </w:p>
  </w:footnote>
  <w:footnote w:id="397">
    <w:p w14:paraId="741A831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وسائل الشيعة ج3ص89 ابواب صلاة الجنازة باب 7ح2</w:t>
      </w:r>
    </w:p>
  </w:footnote>
  <w:footnote w:id="398">
    <w:p w14:paraId="38240F0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وسائل الشيعة ج3ص90 ابواب صلاة الجنازة باب 8ح1</w:t>
      </w:r>
    </w:p>
  </w:footnote>
  <w:footnote w:id="399">
    <w:p w14:paraId="5A615B2E"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شرائع الاسلام ج1ص 119</w:t>
      </w:r>
    </w:p>
  </w:footnote>
  <w:footnote w:id="400">
    <w:p w14:paraId="63F3D32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مصباح الفقيه كتاب الصلاة ص718</w:t>
      </w:r>
    </w:p>
  </w:footnote>
  <w:footnote w:id="401">
    <w:p w14:paraId="1BF90233"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وسائل الشيعة ابواب صلاة الخوف والمطاردة باب 4ح3و4و8</w:t>
      </w:r>
    </w:p>
  </w:footnote>
  <w:footnote w:id="402">
    <w:p w14:paraId="3AD60F6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اجود التقريرات ج1ص41</w:t>
      </w:r>
    </w:p>
  </w:footnote>
  <w:footnote w:id="403">
    <w:p w14:paraId="4118E69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تهذيب الاصول ج1ص57</w:t>
      </w:r>
    </w:p>
  </w:footnote>
  <w:footnote w:id="404">
    <w:p w14:paraId="7351F27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ج1ص178</w:t>
      </w:r>
    </w:p>
  </w:footnote>
  <w:footnote w:id="405">
    <w:p w14:paraId="29D0668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ج1ص199</w:t>
      </w:r>
    </w:p>
  </w:footnote>
  <w:footnote w:id="406">
    <w:p w14:paraId="3AF9F6A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-مطارح الانظارص8</w:t>
      </w:r>
    </w:p>
  </w:footnote>
  <w:footnote w:id="407">
    <w:p w14:paraId="2279161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ص26</w:t>
      </w:r>
    </w:p>
  </w:footnote>
  <w:footnote w:id="408">
    <w:p w14:paraId="1A50BED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الأصول ص47</w:t>
      </w:r>
    </w:p>
  </w:footnote>
  <w:footnote w:id="409">
    <w:p w14:paraId="26B5A26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الأصول ص129</w:t>
      </w:r>
    </w:p>
  </w:footnote>
  <w:footnote w:id="410">
    <w:p w14:paraId="21235B80"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الأصول ص56</w:t>
      </w:r>
    </w:p>
  </w:footnote>
  <w:footnote w:id="411">
    <w:p w14:paraId="647A056E" w14:textId="77777777" w:rsidR="00A902FE" w:rsidRPr="00032CF0" w:rsidRDefault="00A902FE" w:rsidP="00620E61">
      <w:pPr>
        <w:pStyle w:val="hamesh14"/>
      </w:pPr>
      <w:r w:rsidRPr="00032CF0">
        <w:rPr>
          <w:rStyle w:val="a6"/>
          <w:vertAlign w:val="baseline"/>
          <w:rtl/>
        </w:rPr>
        <w:footnoteRef/>
      </w:r>
      <w:r w:rsidRPr="00032CF0">
        <w:rPr>
          <w:rtl/>
        </w:rPr>
        <w:t xml:space="preserve"> - الظاهر انه "قده" يريد الاحتزاز بقوله "داخلة في عهدة المكلف" عما اذا كانت تلك الجهة العرضية مما لايتبين للعرف الا ببيان الشارع، كالأمر بايجادمايكون ناهيا عن الفحشاء والمنكر، حيث انه لايعرف الناهي عن الفحشاء والمنكر الا من قبل الشارع، فقد استظهر “قده” في مثل ذلك كون الحكم الشرعي متعلقا بسببه ومنشأ انتزاعه، كما يأتي توضيحه في المتن.</w:t>
      </w:r>
    </w:p>
  </w:footnote>
  <w:footnote w:id="412">
    <w:p w14:paraId="382F353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ص25 </w:t>
      </w:r>
    </w:p>
  </w:footnote>
  <w:footnote w:id="413">
    <w:p w14:paraId="06183F5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ج1ص200</w:t>
      </w:r>
    </w:p>
  </w:footnote>
  <w:footnote w:id="414">
    <w:p w14:paraId="6B41C7D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الدراية ج1 ص99</w:t>
      </w:r>
    </w:p>
  </w:footnote>
  <w:footnote w:id="415">
    <w:p w14:paraId="559C4C89"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ج1ص172</w:t>
      </w:r>
    </w:p>
  </w:footnote>
  <w:footnote w:id="416">
    <w:p w14:paraId="6830FDE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-راجع محاضرات في اصول الفقه ج2 ص 308و439</w:t>
      </w:r>
    </w:p>
  </w:footnote>
  <w:footnote w:id="417">
    <w:p w14:paraId="3A899AD4" w14:textId="77777777" w:rsidR="00A902FE" w:rsidRPr="00032CF0" w:rsidRDefault="00A902FE" w:rsidP="009C58C8">
      <w:pPr>
        <w:pStyle w:val="a4"/>
        <w:ind w:left="0"/>
        <w:jc w:val="both"/>
      </w:pPr>
      <w:r w:rsidRPr="00032CF0">
        <w:rPr>
          <w:rStyle w:val="a6"/>
          <w:vertAlign w:val="baseline"/>
          <w:rtl/>
        </w:rPr>
        <w:footnoteRef/>
      </w:r>
      <w:r w:rsidRPr="00032CF0">
        <w:rPr>
          <w:rtl/>
        </w:rPr>
        <w:t>- منتقى الاصول ج2 ص265</w:t>
      </w:r>
    </w:p>
  </w:footnote>
  <w:footnote w:id="418">
    <w:p w14:paraId="4C057FE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دروس في علم الاصول ج1ص127</w:t>
      </w:r>
    </w:p>
  </w:footnote>
  <w:footnote w:id="419">
    <w:p w14:paraId="0A095076"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شرح العروة الوثقى ج1ص151 و152</w:t>
      </w:r>
    </w:p>
  </w:footnote>
  <w:footnote w:id="420">
    <w:p w14:paraId="22607C8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وسائل الشيعة ج1ص387 باب 15 من ابواب الوضوء ح2</w:t>
      </w:r>
    </w:p>
  </w:footnote>
  <w:footnote w:id="421">
    <w:p w14:paraId="6A965A0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باب 1 من ابواب افعال الصلاة ح1</w:t>
      </w:r>
    </w:p>
  </w:footnote>
  <w:footnote w:id="422">
    <w:p w14:paraId="25098D1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-سورة البقرة الآية185</w:t>
      </w:r>
    </w:p>
  </w:footnote>
  <w:footnote w:id="423">
    <w:p w14:paraId="7A76D2E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وسائل الشيعة ج5 ص125</w:t>
      </w:r>
    </w:p>
  </w:footnote>
  <w:footnote w:id="424">
    <w:p w14:paraId="3B857AB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ج1ص182</w:t>
      </w:r>
    </w:p>
  </w:footnote>
  <w:footnote w:id="425">
    <w:p w14:paraId="0AC1FBD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ج1ص177</w:t>
      </w:r>
    </w:p>
  </w:footnote>
  <w:footnote w:id="426">
    <w:p w14:paraId="4EE6A7B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-وسائل الشيعة ج1ص368 باب 2 من ابواب وجوب الوضوء ح1</w:t>
      </w:r>
    </w:p>
  </w:footnote>
  <w:footnote w:id="427">
    <w:p w14:paraId="01BCFE10" w14:textId="77777777" w:rsidR="00A902FE" w:rsidRPr="00032CF0" w:rsidRDefault="00A902FE" w:rsidP="009C58C8">
      <w:pPr>
        <w:pStyle w:val="a4"/>
        <w:ind w:left="0"/>
        <w:jc w:val="both"/>
      </w:pPr>
      <w:r w:rsidRPr="00032CF0">
        <w:rPr>
          <w:rStyle w:val="a6"/>
          <w:vertAlign w:val="baseline"/>
          <w:rtl/>
        </w:rPr>
        <w:footnoteRef/>
      </w:r>
      <w:r w:rsidRPr="00032CF0">
        <w:rPr>
          <w:rtl/>
        </w:rPr>
        <w:t>-وسائل الشيعة ج1ص470 باب42 من ابواب الوضوء ح5</w:t>
      </w:r>
    </w:p>
  </w:footnote>
  <w:footnote w:id="428">
    <w:p w14:paraId="4A6B527A" w14:textId="77777777" w:rsidR="00A902FE" w:rsidRPr="00032CF0" w:rsidRDefault="00A902FE" w:rsidP="009C58C8">
      <w:pPr>
        <w:pStyle w:val="a4"/>
        <w:ind w:left="0"/>
        <w:jc w:val="both"/>
      </w:pPr>
      <w:r w:rsidRPr="00032CF0">
        <w:rPr>
          <w:rStyle w:val="a6"/>
          <w:vertAlign w:val="baseline"/>
          <w:rtl/>
        </w:rPr>
        <w:footnoteRef/>
      </w:r>
      <w:r w:rsidRPr="00032CF0">
        <w:rPr>
          <w:rtl/>
        </w:rPr>
        <w:t>-</w:t>
      </w:r>
      <w:r w:rsidRPr="00032CF0">
        <w:t xml:space="preserve"> </w:t>
      </w:r>
      <w:r w:rsidRPr="00032CF0">
        <w:rPr>
          <w:rtl/>
        </w:rPr>
        <w:t>وسائل الشيعة ج 7ص234 باب 1من ابواب قواطع الصلاة ح4</w:t>
      </w:r>
    </w:p>
  </w:footnote>
  <w:footnote w:id="429">
    <w:p w14:paraId="1247E1A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-الكافي ج2ص18</w:t>
      </w:r>
    </w:p>
  </w:footnote>
  <w:footnote w:id="430">
    <w:p w14:paraId="6AA95BA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ص31</w:t>
      </w:r>
    </w:p>
  </w:footnote>
  <w:footnote w:id="431">
    <w:p w14:paraId="7E2ECDA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الدراية ج1ص 125</w:t>
      </w:r>
    </w:p>
  </w:footnote>
  <w:footnote w:id="432">
    <w:p w14:paraId="64950072" w14:textId="77777777" w:rsidR="00A902FE" w:rsidRPr="00032CF0" w:rsidRDefault="00A902FE" w:rsidP="009C58C8">
      <w:pPr>
        <w:pStyle w:val="a4"/>
        <w:ind w:left="0"/>
        <w:jc w:val="both"/>
      </w:pPr>
      <w:r w:rsidRPr="00032CF0">
        <w:rPr>
          <w:rStyle w:val="a6"/>
          <w:vertAlign w:val="baseline"/>
          <w:rtl/>
        </w:rPr>
        <w:footnoteRef/>
      </w:r>
      <w:r w:rsidRPr="00032CF0">
        <w:rPr>
          <w:rtl/>
        </w:rPr>
        <w:t>- وسائل ج2ص277باب3 من ابواب الحيض ح4</w:t>
      </w:r>
    </w:p>
  </w:footnote>
  <w:footnote w:id="433">
    <w:p w14:paraId="433F01D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ج1ص129</w:t>
      </w:r>
    </w:p>
  </w:footnote>
  <w:footnote w:id="434">
    <w:p w14:paraId="63364236" w14:textId="77777777" w:rsidR="00A902FE" w:rsidRPr="00032CF0" w:rsidRDefault="00A902FE" w:rsidP="009C58C8">
      <w:pPr>
        <w:pStyle w:val="a4"/>
        <w:ind w:left="0"/>
        <w:jc w:val="both"/>
      </w:pPr>
      <w:r w:rsidRPr="00032CF0">
        <w:rPr>
          <w:rStyle w:val="a6"/>
          <w:vertAlign w:val="baseline"/>
          <w:rtl/>
        </w:rPr>
        <w:footnoteRef/>
      </w:r>
      <w:r w:rsidRPr="00032CF0">
        <w:rPr>
          <w:rtl/>
        </w:rPr>
        <w:t>- نهاية الدراية ج1 ص129</w:t>
      </w:r>
    </w:p>
  </w:footnote>
  <w:footnote w:id="435">
    <w:p w14:paraId="3396F8C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ج1ص207</w:t>
      </w:r>
    </w:p>
  </w:footnote>
  <w:footnote w:id="436">
    <w:p w14:paraId="41D3622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ص32</w:t>
      </w:r>
    </w:p>
  </w:footnote>
  <w:footnote w:id="437">
    <w:p w14:paraId="65696D46" w14:textId="77777777" w:rsidR="00A902FE" w:rsidRPr="00032CF0" w:rsidRDefault="00A902FE" w:rsidP="009C58C8">
      <w:pPr>
        <w:pStyle w:val="a4"/>
        <w:ind w:left="0"/>
        <w:jc w:val="both"/>
      </w:pPr>
      <w:r w:rsidRPr="00032CF0">
        <w:rPr>
          <w:rStyle w:val="a6"/>
          <w:vertAlign w:val="baseline"/>
          <w:rtl/>
        </w:rPr>
        <w:footnoteRef/>
      </w:r>
      <w:r w:rsidRPr="00032CF0">
        <w:rPr>
          <w:rtl/>
        </w:rPr>
        <w:t>- وسائل الشيعة ج2ص272 باب2 من ابواب الحيض ح1</w:t>
      </w:r>
    </w:p>
  </w:footnote>
  <w:footnote w:id="438">
    <w:p w14:paraId="189200F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ج1ص193</w:t>
      </w:r>
    </w:p>
  </w:footnote>
  <w:footnote w:id="439">
    <w:p w14:paraId="343C5BE6" w14:textId="77777777" w:rsidR="00A902FE" w:rsidRPr="00032CF0" w:rsidRDefault="00A902FE" w:rsidP="00620E61">
      <w:pPr>
        <w:pStyle w:val="hamesh14"/>
        <w:rPr>
          <w:rtl/>
        </w:rPr>
      </w:pPr>
      <w:r w:rsidRPr="00032CF0">
        <w:rPr>
          <w:rStyle w:val="a6"/>
          <w:vertAlign w:val="baseline"/>
          <w:rtl/>
        </w:rPr>
        <w:footnoteRef/>
      </w:r>
      <w:r w:rsidRPr="00032CF0">
        <w:rPr>
          <w:rtl/>
        </w:rPr>
        <w:t xml:space="preserve"> -قد مر سابقا انه كان يصح ان يراد من الصحيح ما يكون محصلا للغرض، وحينئذ لم‌يكن في خطاب الأمر به اي محذور.</w:t>
      </w:r>
    </w:p>
  </w:footnote>
  <w:footnote w:id="440">
    <w:p w14:paraId="0A9E61A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ج1ص211</w:t>
      </w:r>
    </w:p>
  </w:footnote>
  <w:footnote w:id="441">
    <w:p w14:paraId="7915B229" w14:textId="77777777" w:rsidR="00A902FE" w:rsidRPr="00032CF0" w:rsidRDefault="00A902FE" w:rsidP="009C58C8">
      <w:pPr>
        <w:pStyle w:val="a4"/>
        <w:ind w:left="0"/>
        <w:jc w:val="both"/>
        <w:rPr>
          <w:caps/>
        </w:rPr>
      </w:pPr>
      <w:r w:rsidRPr="00032CF0">
        <w:rPr>
          <w:rStyle w:val="a6"/>
          <w:vertAlign w:val="baseline"/>
          <w:rtl/>
        </w:rPr>
        <w:footnoteRef/>
      </w:r>
      <w:r w:rsidRPr="00032CF0">
        <w:rPr>
          <w:rtl/>
        </w:rPr>
        <w:t xml:space="preserve"> -كفاية الاصول ص33</w:t>
      </w:r>
    </w:p>
  </w:footnote>
  <w:footnote w:id="442">
    <w:p w14:paraId="5060D55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ج1ص195</w:t>
      </w:r>
    </w:p>
  </w:footnote>
  <w:footnote w:id="443">
    <w:p w14:paraId="2DE4592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ج1ص212</w:t>
      </w:r>
    </w:p>
  </w:footnote>
  <w:footnote w:id="444">
    <w:p w14:paraId="2C3DB12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ج5 ص477</w:t>
      </w:r>
    </w:p>
  </w:footnote>
  <w:footnote w:id="445">
    <w:p w14:paraId="55C2A3B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ج1ص213</w:t>
      </w:r>
    </w:p>
  </w:footnote>
  <w:footnote w:id="446">
    <w:p w14:paraId="270EE52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ج1ص137</w:t>
      </w:r>
    </w:p>
  </w:footnote>
  <w:footnote w:id="447">
    <w:p w14:paraId="01796B2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ج1ص199</w:t>
      </w:r>
    </w:p>
  </w:footnote>
  <w:footnote w:id="448">
    <w:p w14:paraId="2A0F645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ج1ص214</w:t>
      </w:r>
    </w:p>
  </w:footnote>
  <w:footnote w:id="449">
    <w:p w14:paraId="2B88726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منتقى الاصول ج1ص295</w:t>
      </w:r>
    </w:p>
  </w:footnote>
  <w:footnote w:id="450">
    <w:p w14:paraId="2C9901B7" w14:textId="77777777" w:rsidR="00A902FE" w:rsidRPr="00032CF0" w:rsidRDefault="00A902FE" w:rsidP="009C58C8">
      <w:pPr>
        <w:pStyle w:val="a4"/>
        <w:ind w:left="0"/>
        <w:jc w:val="both"/>
      </w:pPr>
      <w:r w:rsidRPr="00032CF0">
        <w:rPr>
          <w:rStyle w:val="a6"/>
          <w:vertAlign w:val="baseline"/>
          <w:rtl/>
        </w:rPr>
        <w:footnoteRef/>
      </w:r>
      <w:r w:rsidRPr="00032CF0">
        <w:rPr>
          <w:rtl/>
        </w:rPr>
        <w:t>- كفاية الاصول ص35</w:t>
      </w:r>
    </w:p>
  </w:footnote>
  <w:footnote w:id="451">
    <w:p w14:paraId="04E39F17" w14:textId="77777777" w:rsidR="00A902FE" w:rsidRPr="00032CF0" w:rsidRDefault="00A902FE" w:rsidP="009C58C8">
      <w:pPr>
        <w:pStyle w:val="a4"/>
        <w:ind w:left="0"/>
        <w:jc w:val="both"/>
      </w:pPr>
      <w:r w:rsidRPr="00032CF0">
        <w:rPr>
          <w:rStyle w:val="a6"/>
          <w:vertAlign w:val="baseline"/>
          <w:rtl/>
        </w:rPr>
        <w:footnoteRef/>
      </w:r>
      <w:r w:rsidRPr="00032CF0">
        <w:rPr>
          <w:rtl/>
        </w:rPr>
        <w:t>- كفاية الاصول ص35</w:t>
      </w:r>
    </w:p>
  </w:footnote>
  <w:footnote w:id="452">
    <w:p w14:paraId="2B5AE9C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النهاية ج1ص 54</w:t>
      </w:r>
    </w:p>
  </w:footnote>
  <w:footnote w:id="453">
    <w:p w14:paraId="59C6F36F"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وقاية الاذهان ص88</w:t>
      </w:r>
    </w:p>
  </w:footnote>
  <w:footnote w:id="454">
    <w:p w14:paraId="4075C8BF"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ج1ص210</w:t>
      </w:r>
    </w:p>
  </w:footnote>
  <w:footnote w:id="455">
    <w:p w14:paraId="01A31A43"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ج1ص149</w:t>
      </w:r>
    </w:p>
  </w:footnote>
  <w:footnote w:id="456">
    <w:p w14:paraId="69332BC4" w14:textId="77777777" w:rsidR="00A902FE" w:rsidRPr="00032CF0" w:rsidRDefault="00A902FE" w:rsidP="009C58C8">
      <w:pPr>
        <w:pStyle w:val="a4"/>
        <w:ind w:left="0"/>
        <w:jc w:val="both"/>
      </w:pPr>
      <w:r w:rsidRPr="00032CF0">
        <w:rPr>
          <w:rStyle w:val="a6"/>
          <w:vertAlign w:val="baseline"/>
          <w:rtl/>
        </w:rPr>
        <w:footnoteRef/>
      </w:r>
      <w:r w:rsidRPr="00032CF0">
        <w:rPr>
          <w:rtl/>
        </w:rPr>
        <w:t>-كفاية الاصول ص36</w:t>
      </w:r>
    </w:p>
  </w:footnote>
  <w:footnote w:id="457">
    <w:p w14:paraId="6B22FD94"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وقاية الاذهان ص88</w:t>
      </w:r>
    </w:p>
  </w:footnote>
  <w:footnote w:id="458">
    <w:p w14:paraId="38671A5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-اجود التقريرات ج1 ص51</w:t>
      </w:r>
    </w:p>
  </w:footnote>
  <w:footnote w:id="459">
    <w:p w14:paraId="666A53F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-مقالات الاصول ج1 ص162</w:t>
      </w:r>
    </w:p>
  </w:footnote>
  <w:footnote w:id="460">
    <w:p w14:paraId="18234AA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ج1ص152</w:t>
      </w:r>
    </w:p>
  </w:footnote>
  <w:footnote w:id="461">
    <w:p w14:paraId="1CF48792"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الدراية ج1ص78</w:t>
      </w:r>
    </w:p>
  </w:footnote>
  <w:footnote w:id="462">
    <w:p w14:paraId="6C01B2C5" w14:textId="77777777" w:rsidR="00A902FE" w:rsidRPr="00032CF0" w:rsidRDefault="00A902FE" w:rsidP="009C58C8">
      <w:pPr>
        <w:pStyle w:val="a4"/>
        <w:ind w:left="0"/>
        <w:jc w:val="both"/>
      </w:pPr>
      <w:r w:rsidRPr="00032CF0">
        <w:rPr>
          <w:rStyle w:val="a6"/>
          <w:vertAlign w:val="baseline"/>
          <w:rtl/>
        </w:rPr>
        <w:footnoteRef/>
      </w:r>
      <w:r w:rsidRPr="00032CF0">
        <w:rPr>
          <w:rtl/>
        </w:rPr>
        <w:t>- دررالفوائدج1ص27</w:t>
      </w:r>
    </w:p>
  </w:footnote>
  <w:footnote w:id="463">
    <w:p w14:paraId="18341B6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ج1ص 155</w:t>
      </w:r>
    </w:p>
  </w:footnote>
  <w:footnote w:id="464">
    <w:p w14:paraId="220B8D7E"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مقالات الاصول ج1 ص164</w:t>
      </w:r>
    </w:p>
  </w:footnote>
  <w:footnote w:id="465">
    <w:p w14:paraId="303FDD2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قوانين الاصول ص63</w:t>
      </w:r>
    </w:p>
  </w:footnote>
  <w:footnote w:id="466">
    <w:p w14:paraId="1D14453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ص37</w:t>
      </w:r>
    </w:p>
  </w:footnote>
  <w:footnote w:id="467">
    <w:p w14:paraId="2DAF0D5E" w14:textId="77777777" w:rsidR="00A902FE" w:rsidRPr="00032CF0" w:rsidRDefault="00A902FE" w:rsidP="009C58C8">
      <w:pPr>
        <w:pStyle w:val="a4"/>
        <w:ind w:left="0"/>
        <w:jc w:val="both"/>
      </w:pPr>
      <w:r w:rsidRPr="00032CF0">
        <w:rPr>
          <w:rStyle w:val="a6"/>
          <w:vertAlign w:val="baseline"/>
          <w:rtl/>
        </w:rPr>
        <w:footnoteRef/>
      </w:r>
      <w:r w:rsidRPr="00032CF0">
        <w:rPr>
          <w:rtl/>
        </w:rPr>
        <w:t>- معالم الدين ص39</w:t>
      </w:r>
    </w:p>
  </w:footnote>
  <w:footnote w:id="468">
    <w:p w14:paraId="2FA09B34"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ج1ص156</w:t>
      </w:r>
    </w:p>
  </w:footnote>
  <w:footnote w:id="469">
    <w:p w14:paraId="3F6EDB6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الافكارج1ص115</w:t>
      </w:r>
    </w:p>
  </w:footnote>
  <w:footnote w:id="470">
    <w:p w14:paraId="1AE2E8A4"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ج1ص158</w:t>
      </w:r>
    </w:p>
  </w:footnote>
  <w:footnote w:id="471">
    <w:p w14:paraId="0E038B3C"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النهاية ج1ص59</w:t>
      </w:r>
    </w:p>
  </w:footnote>
  <w:footnote w:id="472">
    <w:p w14:paraId="3901445B"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نهاية الدراية ج1ص160</w:t>
      </w:r>
    </w:p>
  </w:footnote>
  <w:footnote w:id="473">
    <w:p w14:paraId="00A81C72"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ج1ص158</w:t>
      </w:r>
    </w:p>
  </w:footnote>
  <w:footnote w:id="474">
    <w:p w14:paraId="4C57FC8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-وسائل الشيعة ج27ص204</w:t>
      </w:r>
    </w:p>
  </w:footnote>
  <w:footnote w:id="475">
    <w:p w14:paraId="667FD34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ص38</w:t>
      </w:r>
    </w:p>
  </w:footnote>
  <w:footnote w:id="476">
    <w:p w14:paraId="50DA643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-منتقى الاصول ج1ص319</w:t>
      </w:r>
    </w:p>
  </w:footnote>
  <w:footnote w:id="477">
    <w:p w14:paraId="6542E4F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مستمسك العروة الوثقى ج6 ص288</w:t>
      </w:r>
    </w:p>
  </w:footnote>
  <w:footnote w:id="478">
    <w:p w14:paraId="525611B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-موسوعة الامام الخوئي ج14ص500</w:t>
      </w:r>
    </w:p>
  </w:footnote>
  <w:footnote w:id="479">
    <w:p w14:paraId="4AF3B39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-منتقى الاصول ج1 ص321</w:t>
      </w:r>
    </w:p>
  </w:footnote>
  <w:footnote w:id="480">
    <w:p w14:paraId="023C79BA"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حكاه عنه المحقق الاصفهاني في نهاية الدارية ج1ص69</w:t>
      </w:r>
    </w:p>
  </w:footnote>
  <w:footnote w:id="481">
    <w:p w14:paraId="651682F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منطق الاشارات والتبيهات ج1ص31</w:t>
      </w:r>
    </w:p>
  </w:footnote>
  <w:footnote w:id="482">
    <w:p w14:paraId="2BAA8ED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ص39</w:t>
      </w:r>
    </w:p>
  </w:footnote>
  <w:footnote w:id="483">
    <w:p w14:paraId="493630B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ايضاح الفوائد ج3ص52</w:t>
      </w:r>
    </w:p>
  </w:footnote>
  <w:footnote w:id="484">
    <w:p w14:paraId="3EF86E5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-مسالك الافهام ج7 ص269</w:t>
      </w:r>
    </w:p>
  </w:footnote>
  <w:footnote w:id="485">
    <w:p w14:paraId="5BADFBD6" w14:textId="77777777" w:rsidR="00A902FE" w:rsidRPr="00032CF0" w:rsidRDefault="00A902FE" w:rsidP="009C58C8">
      <w:pPr>
        <w:pStyle w:val="a4"/>
        <w:ind w:left="0"/>
        <w:jc w:val="both"/>
      </w:pPr>
      <w:r w:rsidRPr="00032CF0">
        <w:rPr>
          <w:rStyle w:val="a6"/>
          <w:vertAlign w:val="baseline"/>
          <w:rtl/>
        </w:rPr>
        <w:footnoteRef/>
      </w:r>
      <w:r w:rsidRPr="00032CF0">
        <w:rPr>
          <w:rtl/>
        </w:rPr>
        <w:t>- وسائل الشيعة ج20ص371 ابواب ما يحرم بالرضاع باب1 ح1</w:t>
      </w:r>
    </w:p>
  </w:footnote>
  <w:footnote w:id="486">
    <w:p w14:paraId="3CA320BA"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وسائل الشيعة ج 20ص458 باب18 من ابواب ما يحرم بالمصاهرة ح2</w:t>
      </w:r>
    </w:p>
  </w:footnote>
  <w:footnote w:id="487">
    <w:p w14:paraId="592B4D32"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ج1ص223</w:t>
      </w:r>
    </w:p>
  </w:footnote>
  <w:footnote w:id="488">
    <w:p w14:paraId="6D3D57E5"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الافكارج1ص131</w:t>
      </w:r>
    </w:p>
  </w:footnote>
  <w:footnote w:id="489">
    <w:p w14:paraId="6561D92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-سورة النساء، الآية 23</w:t>
      </w:r>
    </w:p>
  </w:footnote>
  <w:footnote w:id="490">
    <w:p w14:paraId="75D3F1B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-جواهر الكلام ج29 ص 334</w:t>
      </w:r>
    </w:p>
  </w:footnote>
  <w:footnote w:id="491">
    <w:p w14:paraId="5EEE2B04" w14:textId="77777777" w:rsidR="00A902FE" w:rsidRPr="00032CF0" w:rsidRDefault="00A902FE" w:rsidP="009C58C8">
      <w:pPr>
        <w:pStyle w:val="a4"/>
        <w:ind w:left="0"/>
        <w:jc w:val="both"/>
        <w:rPr>
          <w:rFonts w:hint="cs"/>
        </w:rPr>
      </w:pPr>
      <w:r w:rsidRPr="00032CF0">
        <w:rPr>
          <w:rStyle w:val="a6"/>
          <w:vertAlign w:val="baseline"/>
          <w:rtl/>
        </w:rPr>
        <w:footnoteRef/>
      </w:r>
      <w:r w:rsidRPr="00032CF0">
        <w:rPr>
          <w:rtl/>
        </w:rPr>
        <w:t xml:space="preserve"> -سورة </w:t>
      </w:r>
      <w:r>
        <w:rPr>
          <w:rFonts w:hint="cs"/>
          <w:rtl/>
        </w:rPr>
        <w:t>النساء الآية 23</w:t>
      </w:r>
    </w:p>
  </w:footnote>
  <w:footnote w:id="492">
    <w:p w14:paraId="71F5116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-موسوعة الامام الخوئي ج32 كتاب النكاح ص19</w:t>
      </w:r>
    </w:p>
  </w:footnote>
  <w:footnote w:id="493">
    <w:p w14:paraId="61A91A7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وسائل الشيعة ج20 ص397 باب8 من ابواب ما يحرم بالرضاع ح9</w:t>
      </w:r>
    </w:p>
  </w:footnote>
  <w:footnote w:id="494">
    <w:p w14:paraId="2F69523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وسائل الشيعة ج 20ص466 باب21 من ابواب ما يحرم بالمصاهرة ح4</w:t>
      </w:r>
    </w:p>
  </w:footnote>
  <w:footnote w:id="495">
    <w:p w14:paraId="76842C5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وسائل الشيعة ج20 ص430باب 8من ابواب ما يحرم بالمصاهرة ح</w:t>
      </w:r>
      <w:r w:rsidRPr="00032CF0">
        <w:t>6</w:t>
      </w:r>
    </w:p>
  </w:footnote>
  <w:footnote w:id="496">
    <w:p w14:paraId="47A7264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-سورة </w:t>
      </w:r>
      <w:r>
        <w:rPr>
          <w:rFonts w:hint="cs"/>
          <w:rtl/>
        </w:rPr>
        <w:t>النساء الآية 23</w:t>
      </w:r>
    </w:p>
  </w:footnote>
  <w:footnote w:id="497">
    <w:p w14:paraId="7274760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وسائل الشيعة ج20 ص402 باب14 من ابواب التحريم بالرضاع ح1</w:t>
      </w:r>
    </w:p>
  </w:footnote>
  <w:footnote w:id="498">
    <w:p w14:paraId="78E14E5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-مسالك الافهام ج7ص269</w:t>
      </w:r>
    </w:p>
  </w:footnote>
  <w:footnote w:id="499">
    <w:p w14:paraId="7686A72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رجال الكشي ج6 ص566</w:t>
      </w:r>
    </w:p>
  </w:footnote>
  <w:footnote w:id="500">
    <w:p w14:paraId="26C8989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-عيون أخبار الرضا ج‏2 ص 127</w:t>
      </w:r>
    </w:p>
  </w:footnote>
  <w:footnote w:id="501">
    <w:p w14:paraId="789346C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تفسير القمي ج1ص313</w:t>
      </w:r>
    </w:p>
  </w:footnote>
  <w:footnote w:id="502">
    <w:p w14:paraId="450E28C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تفسير القمي ج1ص102</w:t>
      </w:r>
    </w:p>
  </w:footnote>
  <w:footnote w:id="503">
    <w:p w14:paraId="4B3F9CB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راجع تفسير القمي ج2ص271 و272 و299</w:t>
      </w:r>
    </w:p>
  </w:footnote>
  <w:footnote w:id="504">
    <w:p w14:paraId="626C997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تفسير القمي ج1ص279و313و389</w:t>
      </w:r>
    </w:p>
  </w:footnote>
  <w:footnote w:id="505">
    <w:p w14:paraId="7B4904E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تفسير القمي ج1ص270و286</w:t>
      </w:r>
    </w:p>
  </w:footnote>
  <w:footnote w:id="506">
    <w:p w14:paraId="3B4F2B5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الذريعة الى تصانيف الشيعة ج4ص303</w:t>
      </w:r>
    </w:p>
  </w:footnote>
  <w:footnote w:id="507">
    <w:p w14:paraId="673DFB9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تفسير القمي ج1 ص4</w:t>
      </w:r>
    </w:p>
  </w:footnote>
  <w:footnote w:id="508">
    <w:p w14:paraId="4FE909D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تفسير القمي ج1ص27</w:t>
      </w:r>
    </w:p>
  </w:footnote>
  <w:footnote w:id="509">
    <w:p w14:paraId="3A2C973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-خاتمة المستدرك ج2 ص 20-11</w:t>
      </w:r>
    </w:p>
  </w:footnote>
  <w:footnote w:id="510">
    <w:p w14:paraId="5BB0EAD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-بحار الانوار ج107ص192</w:t>
      </w:r>
    </w:p>
  </w:footnote>
  <w:footnote w:id="511">
    <w:p w14:paraId="2D2E5B94" w14:textId="77777777" w:rsidR="00A902FE" w:rsidRPr="00032CF0" w:rsidRDefault="00A902FE" w:rsidP="006036F5">
      <w:pPr>
        <w:pStyle w:val="a4"/>
        <w:ind w:left="0"/>
        <w:jc w:val="both"/>
      </w:pPr>
      <w:r w:rsidRPr="00032CF0">
        <w:rPr>
          <w:rStyle w:val="a6"/>
          <w:vertAlign w:val="baseline"/>
          <w:rtl/>
        </w:rPr>
        <w:footnoteRef/>
      </w:r>
      <w:r w:rsidRPr="00032CF0">
        <w:rPr>
          <w:rtl/>
        </w:rPr>
        <w:t xml:space="preserve"> -مباحث الاصول القسم الثاني ج 3 ص242، ولكنه لم‌يقبل نظرية تعويض السند في بحوثه في الفقه ج1ص464 وكذافي دورته الثانية من الاصول، راجع ج 5 ص60 من بحوث في علم الاصول.</w:t>
      </w:r>
    </w:p>
  </w:footnote>
  <w:footnote w:id="512">
    <w:p w14:paraId="667C00F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تهذيب الاحكام ج9 ص 441 </w:t>
      </w:r>
    </w:p>
  </w:footnote>
  <w:footnote w:id="513">
    <w:p w14:paraId="3E3D4F5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-الاستبصار ج3 ص 156</w:t>
      </w:r>
    </w:p>
  </w:footnote>
  <w:footnote w:id="514">
    <w:p w14:paraId="511A312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-تهذيب الاحكام ج8 ص360، الاستبصار ج4 ص27</w:t>
      </w:r>
    </w:p>
  </w:footnote>
  <w:footnote w:id="515">
    <w:p w14:paraId="74DD3A06"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تهذيب التهذيب ج3ص162</w:t>
      </w:r>
    </w:p>
  </w:footnote>
  <w:footnote w:id="516">
    <w:p w14:paraId="6607FE9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وسيلة النجاة ص722 وتحرير الوسيلة ج2ص272</w:t>
      </w:r>
    </w:p>
  </w:footnote>
  <w:footnote w:id="517">
    <w:p w14:paraId="5BBF2EB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وسائل الشيعة ج20 ص399باب10 من ابواب ما يحرم بالرضاع ح1</w:t>
      </w:r>
    </w:p>
  </w:footnote>
  <w:footnote w:id="518">
    <w:p w14:paraId="506F007C"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 ص226</w:t>
      </w:r>
    </w:p>
  </w:footnote>
  <w:footnote w:id="519">
    <w:p w14:paraId="4D727A2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وسائل الشيعة ج20 ص400 باب10 من ابواب ما يحرم بالرضاع ح2</w:t>
      </w:r>
    </w:p>
  </w:footnote>
  <w:footnote w:id="520">
    <w:p w14:paraId="3BC3F8B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ج1ص228</w:t>
      </w:r>
    </w:p>
  </w:footnote>
  <w:footnote w:id="521">
    <w:p w14:paraId="682A3FB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-سورة القيامة الآية37</w:t>
      </w:r>
    </w:p>
  </w:footnote>
  <w:footnote w:id="522">
    <w:p w14:paraId="37DABC73" w14:textId="77777777" w:rsidR="00A902FE" w:rsidRPr="00032CF0" w:rsidRDefault="00A902FE" w:rsidP="00620E61">
      <w:pPr>
        <w:pStyle w:val="hamesh14"/>
      </w:pPr>
      <w:r w:rsidRPr="00032CF0">
        <w:rPr>
          <w:rStyle w:val="a6"/>
          <w:vertAlign w:val="baseline"/>
          <w:rtl/>
        </w:rPr>
        <w:footnoteRef/>
      </w:r>
      <w:r w:rsidRPr="00032CF0">
        <w:rPr>
          <w:rtl/>
        </w:rPr>
        <w:t xml:space="preserve"> - لايخفى ان ما ذكرناه كان بملاحظة النظرة العرفية، واما ما أقيم من البرهان في الفلسفة على وجود الهيولى التي يعرض عليها الصورة الجسمية والصور النوعية من ان للبيض مثلا حيثيتين حيثية كونه بيضا وهذا فعل وحيثية استعداده لان يكون فرخا وهذا قوة وهما حيثيتان متباينتان فلابد من تركب البيض منهما ويسمى ذلك ببرهان القوّة والفعل ونظيره برهان الفصل والوصل، فهو مخدوش اولا: بان حيثية استعداد البيض لأن يكون فرخا امر انتزاعي فان تحقق صورة الفرخية له معلول لعدة جهات بعضها موجودة فعلا وهي نفس وجود البيض وبعضها مفقودة فلو وجدت تحققت العلة التامة لصيرورته فرخا، وهذا نظير ان نقول ان في الحجر قوة الكسر دون ورق الشجر، فانه لايعني وجود حيثية واقعية أخرى في الحجر وراء مرتبته الوجودية الفعلية، وثانيا: انه لايثبت بهذا البرهان وجود الهيولى الأولى التي يعرضها الصورة الأولى وهي الصورة الجسمية لانه بعد عدم انفكاكها عن الصورة الجسمية وعدم فرض صورة سابقة عليها فلايوجد اي برهان على وجود قوة لحوق الصورة الجسمية وراء نفس الصورة التي افيض وجودها من كتم العدم بحوله وقوته تعالى.</w:t>
      </w:r>
    </w:p>
  </w:footnote>
  <w:footnote w:id="523">
    <w:p w14:paraId="5D7C5C5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ج1ص364</w:t>
      </w:r>
    </w:p>
  </w:footnote>
  <w:footnote w:id="524">
    <w:p w14:paraId="06F08520"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اجود التقريرات ج1ص84</w:t>
      </w:r>
    </w:p>
  </w:footnote>
  <w:footnote w:id="525">
    <w:p w14:paraId="542FE395"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اجود التقريرات ج1ص84</w:t>
      </w:r>
    </w:p>
  </w:footnote>
  <w:footnote w:id="526">
    <w:p w14:paraId="4C3AA57E" w14:textId="77777777" w:rsidR="00A902FE" w:rsidRPr="00032CF0" w:rsidRDefault="00A902FE" w:rsidP="00620E61">
      <w:pPr>
        <w:pStyle w:val="hamesh14"/>
        <w:rPr>
          <w:rtl/>
        </w:rPr>
      </w:pPr>
      <w:r w:rsidRPr="00032CF0">
        <w:rPr>
          <w:rStyle w:val="a6"/>
          <w:vertAlign w:val="baseline"/>
          <w:rtl/>
        </w:rPr>
        <w:footnoteRef/>
      </w:r>
      <w:r w:rsidRPr="00032CF0">
        <w:rPr>
          <w:rtl/>
        </w:rPr>
        <w:t xml:space="preserve"> - كفاية الاصول ص40، لايخفى ما في تمثيله "قده" بلفظ الواجب من الاشكال، فان ما هو منحصر به تعالى كلمة الواجب لذاته وهي جملة مركبة لاوضع مستقل لها.</w:t>
      </w:r>
    </w:p>
  </w:footnote>
  <w:footnote w:id="527">
    <w:p w14:paraId="00EBAEDD" w14:textId="77777777" w:rsidR="00A902FE" w:rsidRPr="00032CF0" w:rsidRDefault="00A902FE" w:rsidP="009C58C8">
      <w:pPr>
        <w:pStyle w:val="a4"/>
        <w:ind w:left="0"/>
        <w:jc w:val="both"/>
      </w:pPr>
      <w:r w:rsidRPr="00032CF0">
        <w:rPr>
          <w:rStyle w:val="a6"/>
          <w:vertAlign w:val="baseline"/>
          <w:rtl/>
        </w:rPr>
        <w:footnoteRef/>
      </w:r>
      <w:r w:rsidRPr="00032CF0">
        <w:rPr>
          <w:rtl/>
        </w:rPr>
        <w:t>- نهاية الدراية ج1ص171</w:t>
      </w:r>
    </w:p>
  </w:footnote>
  <w:footnote w:id="528">
    <w:p w14:paraId="6CA010D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ج1ص368</w:t>
      </w:r>
    </w:p>
  </w:footnote>
  <w:footnote w:id="529">
    <w:p w14:paraId="53B265D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تهذيب الاصول ج1ص87</w:t>
      </w:r>
    </w:p>
  </w:footnote>
  <w:footnote w:id="530">
    <w:p w14:paraId="7DFAB45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ج1ص368</w:t>
      </w:r>
    </w:p>
  </w:footnote>
  <w:footnote w:id="531">
    <w:p w14:paraId="15E62EE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-بدائع الافكار ص162</w:t>
      </w:r>
    </w:p>
  </w:footnote>
  <w:footnote w:id="532">
    <w:p w14:paraId="3AA2029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ج1ص171</w:t>
      </w:r>
    </w:p>
  </w:footnote>
  <w:footnote w:id="533">
    <w:p w14:paraId="744A87A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 ص369</w:t>
      </w:r>
    </w:p>
  </w:footnote>
  <w:footnote w:id="534">
    <w:p w14:paraId="6A42732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ج1 ص170</w:t>
      </w:r>
    </w:p>
  </w:footnote>
  <w:footnote w:id="535">
    <w:p w14:paraId="12493BAC"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-نهاية الدراية ج1ص171</w:t>
      </w:r>
    </w:p>
  </w:footnote>
  <w:footnote w:id="536">
    <w:p w14:paraId="1E83036A"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ج1ص370</w:t>
      </w:r>
    </w:p>
  </w:footnote>
  <w:footnote w:id="537">
    <w:p w14:paraId="2326A964"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ج1ص371</w:t>
      </w:r>
    </w:p>
  </w:footnote>
  <w:footnote w:id="538">
    <w:p w14:paraId="1D3D176E" w14:textId="77777777" w:rsidR="00A902FE" w:rsidRPr="00032CF0" w:rsidRDefault="00A902FE" w:rsidP="009C58C8">
      <w:pPr>
        <w:pStyle w:val="a4"/>
        <w:ind w:left="0"/>
        <w:jc w:val="both"/>
      </w:pPr>
      <w:r w:rsidRPr="00032CF0">
        <w:rPr>
          <w:rStyle w:val="a6"/>
          <w:vertAlign w:val="baseline"/>
          <w:rtl/>
        </w:rPr>
        <w:footnoteRef/>
      </w:r>
      <w:r w:rsidRPr="00032CF0">
        <w:rPr>
          <w:rtl/>
        </w:rPr>
        <w:t>- كفاية الاصول ص41</w:t>
      </w:r>
    </w:p>
  </w:footnote>
  <w:footnote w:id="539">
    <w:p w14:paraId="4BB88FFB"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منتقى الاصول ج1ص337</w:t>
      </w:r>
    </w:p>
  </w:footnote>
  <w:footnote w:id="540">
    <w:p w14:paraId="027872C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ج1ص235</w:t>
      </w:r>
    </w:p>
  </w:footnote>
  <w:footnote w:id="541">
    <w:p w14:paraId="61D88AB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-دررالفوائدج1ص29</w:t>
      </w:r>
    </w:p>
  </w:footnote>
  <w:footnote w:id="542">
    <w:p w14:paraId="4B4E9ECB" w14:textId="77777777" w:rsidR="00A902FE" w:rsidRPr="00032CF0" w:rsidRDefault="00A902FE" w:rsidP="006036F5">
      <w:pPr>
        <w:pStyle w:val="a4"/>
        <w:ind w:left="0"/>
        <w:jc w:val="both"/>
        <w:rPr>
          <w:rtl/>
        </w:rPr>
      </w:pPr>
      <w:r w:rsidRPr="00032CF0">
        <w:rPr>
          <w:rStyle w:val="a6"/>
          <w:vertAlign w:val="baseline"/>
          <w:rtl/>
        </w:rPr>
        <w:footnoteRef/>
      </w:r>
      <w:r w:rsidRPr="00032CF0">
        <w:rPr>
          <w:rtl/>
        </w:rPr>
        <w:t xml:space="preserve"> - افاضة العوائد للسيد الگلپايگاني "قده" ج1ص70</w:t>
      </w:r>
    </w:p>
  </w:footnote>
  <w:footnote w:id="543">
    <w:p w14:paraId="222EBC7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-اجود التقريرات ج1ص74</w:t>
      </w:r>
    </w:p>
  </w:footnote>
  <w:footnote w:id="544">
    <w:p w14:paraId="76002E1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اجود التقريرات ج1ص74</w:t>
      </w:r>
    </w:p>
  </w:footnote>
  <w:footnote w:id="545">
    <w:p w14:paraId="7FF4150B" w14:textId="77777777" w:rsidR="00A902FE" w:rsidRPr="00032CF0" w:rsidRDefault="00A902FE" w:rsidP="009C58C8">
      <w:pPr>
        <w:pStyle w:val="a4"/>
        <w:ind w:left="0"/>
        <w:jc w:val="both"/>
      </w:pPr>
      <w:r w:rsidRPr="00032CF0">
        <w:rPr>
          <w:rStyle w:val="a6"/>
          <w:vertAlign w:val="baseline"/>
          <w:rtl/>
        </w:rPr>
        <w:footnoteRef/>
      </w:r>
      <w:r w:rsidRPr="00032CF0">
        <w:rPr>
          <w:rtl/>
        </w:rPr>
        <w:t>- مباحث الاصول ج1ص428</w:t>
      </w:r>
    </w:p>
  </w:footnote>
  <w:footnote w:id="546">
    <w:p w14:paraId="51D8434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ج1ص372</w:t>
      </w:r>
    </w:p>
  </w:footnote>
  <w:footnote w:id="547">
    <w:p w14:paraId="709AC7FF"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ج1ص307</w:t>
      </w:r>
    </w:p>
  </w:footnote>
  <w:footnote w:id="548">
    <w:p w14:paraId="7CF77878"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 ص251</w:t>
      </w:r>
    </w:p>
  </w:footnote>
  <w:footnote w:id="549">
    <w:p w14:paraId="3CD5971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 ص250</w:t>
      </w:r>
    </w:p>
  </w:footnote>
  <w:footnote w:id="550">
    <w:p w14:paraId="6912452A"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ج1ص373</w:t>
      </w:r>
    </w:p>
  </w:footnote>
  <w:footnote w:id="551">
    <w:p w14:paraId="7CF4471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ج1ص374</w:t>
      </w:r>
    </w:p>
  </w:footnote>
  <w:footnote w:id="552">
    <w:p w14:paraId="4258B16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ص46</w:t>
      </w:r>
    </w:p>
  </w:footnote>
  <w:footnote w:id="553">
    <w:p w14:paraId="5F9A60C2"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ج1ص375</w:t>
      </w:r>
    </w:p>
  </w:footnote>
  <w:footnote w:id="554">
    <w:p w14:paraId="407ECFF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ج1ص374</w:t>
      </w:r>
    </w:p>
  </w:footnote>
  <w:footnote w:id="555">
    <w:p w14:paraId="5BFDEAC2"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ص47 </w:t>
      </w:r>
    </w:p>
  </w:footnote>
  <w:footnote w:id="556">
    <w:p w14:paraId="37240A1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-سورة النور الآية2</w:t>
      </w:r>
    </w:p>
  </w:footnote>
  <w:footnote w:id="557">
    <w:p w14:paraId="7CA4DB1D"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-سورة المائدة الآية38</w:t>
      </w:r>
    </w:p>
  </w:footnote>
  <w:footnote w:id="558">
    <w:p w14:paraId="5B76ECE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-محاضرات في اصول الفقه ج1ص 256</w:t>
      </w:r>
    </w:p>
  </w:footnote>
  <w:footnote w:id="559">
    <w:p w14:paraId="7C6B6668"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الكافي ج1ص175، الخصال ص310</w:t>
      </w:r>
    </w:p>
  </w:footnote>
  <w:footnote w:id="560">
    <w:p w14:paraId="3F4493B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تفسير الفخر الرازي ج1ص811</w:t>
      </w:r>
    </w:p>
  </w:footnote>
  <w:footnote w:id="561">
    <w:p w14:paraId="44E4086F"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تفسير البرهان ج1ص324 </w:t>
      </w:r>
    </w:p>
  </w:footnote>
  <w:footnote w:id="562">
    <w:p w14:paraId="7B245733"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ج1ص261</w:t>
      </w:r>
    </w:p>
  </w:footnote>
  <w:footnote w:id="563">
    <w:p w14:paraId="3C32274E"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افاضة العوائد ج 1ص77</w:t>
      </w:r>
    </w:p>
  </w:footnote>
  <w:footnote w:id="564">
    <w:p w14:paraId="6B1AA4D7" w14:textId="77777777" w:rsidR="00A902FE" w:rsidRPr="00032CF0" w:rsidRDefault="00A902FE" w:rsidP="009C58C8">
      <w:pPr>
        <w:pStyle w:val="a4"/>
        <w:ind w:left="0"/>
        <w:jc w:val="both"/>
      </w:pPr>
      <w:r w:rsidRPr="00032CF0">
        <w:rPr>
          <w:rStyle w:val="a6"/>
          <w:vertAlign w:val="baseline"/>
          <w:rtl/>
        </w:rPr>
        <w:footnoteRef/>
      </w:r>
      <w:r w:rsidRPr="00032CF0">
        <w:rPr>
          <w:rtl/>
        </w:rPr>
        <w:t>- الميزان ج1ص274</w:t>
      </w:r>
    </w:p>
  </w:footnote>
  <w:footnote w:id="565">
    <w:p w14:paraId="7832AD36"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الفرق بينهما ان الصناعة تحتاج الى خبروية كالنجار بخلاف الحرفة كالحمال.</w:t>
      </w:r>
    </w:p>
  </w:footnote>
  <w:footnote w:id="566">
    <w:p w14:paraId="4B2BDA0A"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ج1ص376</w:t>
      </w:r>
    </w:p>
  </w:footnote>
  <w:footnote w:id="567">
    <w:p w14:paraId="6C58A15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نهاية النهاية ج1ص70</w:t>
      </w:r>
    </w:p>
  </w:footnote>
  <w:footnote w:id="568">
    <w:p w14:paraId="1F32CCD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 45</w:t>
      </w:r>
    </w:p>
  </w:footnote>
  <w:footnote w:id="569">
    <w:p w14:paraId="7AEA2C1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شرح العروة الوثقى ج1 ص 151</w:t>
      </w:r>
    </w:p>
  </w:footnote>
  <w:footnote w:id="570">
    <w:p w14:paraId="04AAB7E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ج1ص379</w:t>
      </w:r>
    </w:p>
  </w:footnote>
  <w:footnote w:id="571">
    <w:p w14:paraId="245E572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حكي عنه انه اختار في آخر حياته حكومة استصحاب عدم الجعل الزائد على استصحاب بقاء المجعول. راجع كتاب القضاء والشهادات ج1ص186 </w:t>
      </w:r>
    </w:p>
  </w:footnote>
  <w:footnote w:id="572">
    <w:p w14:paraId="5242A0DA"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بحوث في علم الاصول ج5ص364</w:t>
      </w:r>
    </w:p>
  </w:footnote>
  <w:footnote w:id="573">
    <w:p w14:paraId="6121A6AE"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ج1ص381</w:t>
      </w:r>
    </w:p>
  </w:footnote>
  <w:footnote w:id="574">
    <w:p w14:paraId="63045918"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شرح مطالع الانوار ص11</w:t>
      </w:r>
    </w:p>
  </w:footnote>
  <w:footnote w:id="575">
    <w:p w14:paraId="38DADF8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كفاية الاصول ص51</w:t>
      </w:r>
    </w:p>
  </w:footnote>
  <w:footnote w:id="576">
    <w:p w14:paraId="3FBE613D" w14:textId="77777777" w:rsidR="00A902FE" w:rsidRPr="00032CF0" w:rsidRDefault="00A902FE" w:rsidP="00770FC5">
      <w:pPr>
        <w:pStyle w:val="a4"/>
        <w:ind w:left="0"/>
        <w:jc w:val="both"/>
        <w:rPr>
          <w:rtl/>
        </w:rPr>
      </w:pPr>
      <w:r w:rsidRPr="00032CF0">
        <w:rPr>
          <w:rStyle w:val="a6"/>
          <w:vertAlign w:val="baseline"/>
          <w:rtl/>
        </w:rPr>
        <w:footnoteRef/>
      </w:r>
      <w:r w:rsidRPr="00032CF0">
        <w:t xml:space="preserve"> </w:t>
      </w:r>
      <w:r w:rsidRPr="00032CF0">
        <w:rPr>
          <w:rtl/>
        </w:rPr>
        <w:t xml:space="preserve">-بحوث </w:t>
      </w:r>
      <w:r>
        <w:rPr>
          <w:rFonts w:hint="cs"/>
          <w:rtl/>
        </w:rPr>
        <w:t>ف</w:t>
      </w:r>
      <w:r w:rsidRPr="00032CF0">
        <w:rPr>
          <w:rtl/>
        </w:rPr>
        <w:t>ي علم الاصول ج1 س 320</w:t>
      </w:r>
    </w:p>
  </w:footnote>
  <w:footnote w:id="577">
    <w:p w14:paraId="05A52C2B"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ج1ص191 وذكر نظير ذلك في البحوث ج1ص322.</w:t>
      </w:r>
    </w:p>
  </w:footnote>
  <w:footnote w:id="578">
    <w:p w14:paraId="2C9C1A48" w14:textId="77777777" w:rsidR="00A902FE" w:rsidRPr="00032CF0" w:rsidRDefault="00A902FE" w:rsidP="009C58C8">
      <w:pPr>
        <w:pStyle w:val="a4"/>
        <w:ind w:left="0"/>
        <w:jc w:val="both"/>
        <w:rPr>
          <w:rtl/>
        </w:rPr>
      </w:pPr>
      <w:r w:rsidRPr="00032CF0">
        <w:rPr>
          <w:rStyle w:val="a6"/>
          <w:vertAlign w:val="baseline"/>
          <w:rtl/>
        </w:rPr>
        <w:footnoteRef/>
      </w:r>
      <w:r w:rsidRPr="00032CF0">
        <w:t xml:space="preserve"> </w:t>
      </w:r>
      <w:r w:rsidRPr="00032CF0">
        <w:rPr>
          <w:rtl/>
        </w:rPr>
        <w:t>-محاضرات في اصول الفقه ج1 ص290</w:t>
      </w:r>
    </w:p>
  </w:footnote>
  <w:footnote w:id="579">
    <w:p w14:paraId="7BA8F985" w14:textId="77777777" w:rsidR="00A902FE" w:rsidRPr="00032CF0" w:rsidRDefault="00A902FE" w:rsidP="009C58C8">
      <w:pPr>
        <w:pStyle w:val="a4"/>
        <w:ind w:left="0"/>
        <w:jc w:val="both"/>
        <w:rPr>
          <w:rtl/>
        </w:rPr>
      </w:pPr>
      <w:r w:rsidRPr="00032CF0">
        <w:rPr>
          <w:rStyle w:val="a6"/>
          <w:vertAlign w:val="baseline"/>
          <w:rtl/>
        </w:rPr>
        <w:footnoteRef/>
      </w:r>
      <w:r w:rsidRPr="00032CF0">
        <w:t xml:space="preserve"> </w:t>
      </w:r>
      <w:r w:rsidRPr="00032CF0">
        <w:rPr>
          <w:rtl/>
        </w:rPr>
        <w:t>- بحوث في علم الاصول ج1 ص 323</w:t>
      </w:r>
    </w:p>
  </w:footnote>
  <w:footnote w:id="580">
    <w:p w14:paraId="1C795A74" w14:textId="77777777" w:rsidR="00A902FE" w:rsidRPr="00032CF0" w:rsidRDefault="00A902FE" w:rsidP="009C58C8">
      <w:pPr>
        <w:pStyle w:val="a4"/>
        <w:ind w:left="0"/>
        <w:jc w:val="both"/>
        <w:rPr>
          <w:rtl/>
        </w:rPr>
      </w:pPr>
      <w:r w:rsidRPr="00032CF0">
        <w:rPr>
          <w:rStyle w:val="a6"/>
          <w:vertAlign w:val="baseline"/>
          <w:rtl/>
        </w:rPr>
        <w:footnoteRef/>
      </w:r>
      <w:r w:rsidRPr="00032CF0">
        <w:t xml:space="preserve"> </w:t>
      </w:r>
      <w:r w:rsidRPr="00032CF0">
        <w:rPr>
          <w:rtl/>
        </w:rPr>
        <w:t>-الفصول الغروية ص62</w:t>
      </w:r>
    </w:p>
  </w:footnote>
  <w:footnote w:id="581">
    <w:p w14:paraId="768FE6C9" w14:textId="77777777" w:rsidR="00A902FE" w:rsidRPr="00032CF0" w:rsidRDefault="00A902FE" w:rsidP="009C58C8">
      <w:pPr>
        <w:pStyle w:val="a4"/>
        <w:ind w:left="0"/>
        <w:jc w:val="both"/>
        <w:rPr>
          <w:rtl/>
        </w:rPr>
      </w:pPr>
      <w:r w:rsidRPr="00032CF0">
        <w:rPr>
          <w:rStyle w:val="a6"/>
          <w:vertAlign w:val="baseline"/>
          <w:rtl/>
        </w:rPr>
        <w:footnoteRef/>
      </w:r>
      <w:r w:rsidRPr="00032CF0">
        <w:t xml:space="preserve"> </w:t>
      </w:r>
      <w:r w:rsidRPr="00032CF0">
        <w:rPr>
          <w:rtl/>
        </w:rPr>
        <w:t>-بحوث في علم الاصول ج1 ص 323</w:t>
      </w:r>
    </w:p>
  </w:footnote>
  <w:footnote w:id="582">
    <w:p w14:paraId="09959446" w14:textId="77777777" w:rsidR="00A902FE" w:rsidRPr="00032CF0" w:rsidRDefault="00A902FE" w:rsidP="009C58C8">
      <w:pPr>
        <w:pStyle w:val="a4"/>
        <w:ind w:left="0"/>
        <w:jc w:val="both"/>
        <w:rPr>
          <w:rtl/>
        </w:rPr>
      </w:pPr>
      <w:r w:rsidRPr="00032CF0">
        <w:rPr>
          <w:rStyle w:val="a6"/>
          <w:vertAlign w:val="baseline"/>
          <w:rtl/>
        </w:rPr>
        <w:footnoteRef/>
      </w:r>
      <w:r w:rsidRPr="00032CF0">
        <w:t xml:space="preserve"> </w:t>
      </w:r>
      <w:r w:rsidRPr="00032CF0">
        <w:rPr>
          <w:rtl/>
        </w:rPr>
        <w:t>- اجود التقريرات ج1ص73</w:t>
      </w:r>
    </w:p>
  </w:footnote>
  <w:footnote w:id="583">
    <w:p w14:paraId="4A660098"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ج1ص279</w:t>
      </w:r>
    </w:p>
  </w:footnote>
  <w:footnote w:id="584">
    <w:p w14:paraId="4631A5C7"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ج1ص325</w:t>
      </w:r>
    </w:p>
  </w:footnote>
  <w:footnote w:id="585">
    <w:p w14:paraId="79B1A5F8"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محاضرات في اصول الفقه ج1ص279</w:t>
      </w:r>
    </w:p>
  </w:footnote>
  <w:footnote w:id="586">
    <w:p w14:paraId="2F3923C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ج1ص325</w:t>
      </w:r>
    </w:p>
  </w:footnote>
  <w:footnote w:id="587">
    <w:p w14:paraId="3E1DD5AB"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ج1ص280</w:t>
      </w:r>
    </w:p>
  </w:footnote>
  <w:footnote w:id="588">
    <w:p w14:paraId="199AD53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ج1ص326</w:t>
      </w:r>
    </w:p>
  </w:footnote>
  <w:footnote w:id="589">
    <w:p w14:paraId="63F18AFF"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ص54</w:t>
      </w:r>
    </w:p>
  </w:footnote>
  <w:footnote w:id="590">
    <w:p w14:paraId="446E3C7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 ص321</w:t>
      </w:r>
    </w:p>
  </w:footnote>
  <w:footnote w:id="591">
    <w:p w14:paraId="541192CA" w14:textId="77777777" w:rsidR="00A902FE" w:rsidRPr="00032CF0" w:rsidRDefault="00A902FE" w:rsidP="009C58C8">
      <w:pPr>
        <w:pStyle w:val="a4"/>
        <w:ind w:left="0"/>
        <w:jc w:val="both"/>
      </w:pPr>
      <w:r w:rsidRPr="00032CF0">
        <w:rPr>
          <w:rStyle w:val="a6"/>
          <w:vertAlign w:val="baseline"/>
          <w:rtl/>
        </w:rPr>
        <w:footnoteRef/>
      </w:r>
      <w:r w:rsidRPr="00032CF0">
        <w:rPr>
          <w:rtl/>
        </w:rPr>
        <w:t>- الفصول الغروية ص61</w:t>
      </w:r>
    </w:p>
  </w:footnote>
  <w:footnote w:id="592">
    <w:p w14:paraId="4139441F" w14:textId="77777777" w:rsidR="00A902FE" w:rsidRPr="00032CF0" w:rsidRDefault="00A902FE" w:rsidP="009C58C8">
      <w:pPr>
        <w:pStyle w:val="a4"/>
        <w:ind w:left="0"/>
        <w:jc w:val="both"/>
      </w:pPr>
      <w:r w:rsidRPr="00032CF0">
        <w:rPr>
          <w:rStyle w:val="a6"/>
          <w:vertAlign w:val="baseline"/>
          <w:rtl/>
        </w:rPr>
        <w:footnoteRef/>
      </w:r>
      <w:r w:rsidRPr="00032CF0">
        <w:rPr>
          <w:rtl/>
        </w:rPr>
        <w:t>- كفاية الاصول ص52</w:t>
      </w:r>
    </w:p>
  </w:footnote>
  <w:footnote w:id="593">
    <w:p w14:paraId="4CF732F3" w14:textId="77777777" w:rsidR="00A902FE" w:rsidRPr="00032CF0" w:rsidRDefault="00A902FE" w:rsidP="009C58C8">
      <w:pPr>
        <w:pStyle w:val="a4"/>
        <w:ind w:left="0"/>
        <w:jc w:val="both"/>
      </w:pPr>
      <w:r w:rsidRPr="00032CF0">
        <w:rPr>
          <w:rStyle w:val="a6"/>
          <w:vertAlign w:val="baseline"/>
          <w:rtl/>
        </w:rPr>
        <w:footnoteRef/>
      </w:r>
      <w:r w:rsidRPr="00032CF0">
        <w:rPr>
          <w:rtl/>
        </w:rPr>
        <w:t>- بحوث في علم الاصول ج1ص331</w:t>
      </w:r>
    </w:p>
  </w:footnote>
  <w:footnote w:id="594">
    <w:p w14:paraId="426A7E60"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-بحوث في علم الاصول ج1ص331</w:t>
      </w:r>
    </w:p>
  </w:footnote>
  <w:footnote w:id="595">
    <w:p w14:paraId="0A7F0A83" w14:textId="77777777" w:rsidR="00A902FE" w:rsidRPr="00032CF0" w:rsidRDefault="00A902FE" w:rsidP="009C58C8">
      <w:pPr>
        <w:pStyle w:val="a4"/>
        <w:ind w:left="0"/>
        <w:jc w:val="both"/>
      </w:pPr>
      <w:r w:rsidRPr="00032CF0">
        <w:rPr>
          <w:rStyle w:val="a6"/>
          <w:vertAlign w:val="baseline"/>
          <w:rtl/>
        </w:rPr>
        <w:footnoteRef/>
      </w:r>
      <w:r w:rsidRPr="00032CF0">
        <w:rPr>
          <w:rtl/>
        </w:rPr>
        <w:t>- كفاية الاصول ص52</w:t>
      </w:r>
    </w:p>
  </w:footnote>
  <w:footnote w:id="596">
    <w:p w14:paraId="46C2EAB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-اجود التقريرات ج1ص69</w:t>
      </w:r>
    </w:p>
  </w:footnote>
  <w:footnote w:id="597">
    <w:p w14:paraId="3EB2CE30" w14:textId="77777777" w:rsidR="00A902FE" w:rsidRPr="00032CF0" w:rsidRDefault="00A902FE" w:rsidP="009C58C8">
      <w:pPr>
        <w:pStyle w:val="a4"/>
        <w:ind w:left="0"/>
        <w:jc w:val="both"/>
      </w:pPr>
      <w:r w:rsidRPr="00032CF0">
        <w:rPr>
          <w:rStyle w:val="a6"/>
          <w:vertAlign w:val="baseline"/>
          <w:rtl/>
        </w:rPr>
        <w:footnoteRef/>
      </w:r>
      <w:r w:rsidRPr="00032CF0">
        <w:rPr>
          <w:rtl/>
        </w:rPr>
        <w:t>- محاضرات في اصول الفقه ج1 ص270</w:t>
      </w:r>
    </w:p>
  </w:footnote>
  <w:footnote w:id="598">
    <w:p w14:paraId="6C9CD642" w14:textId="77777777" w:rsidR="00A902FE" w:rsidRPr="00032CF0" w:rsidRDefault="00A902FE" w:rsidP="009C58C8">
      <w:pPr>
        <w:pStyle w:val="a4"/>
        <w:ind w:left="0"/>
        <w:jc w:val="both"/>
      </w:pPr>
      <w:r w:rsidRPr="00032CF0">
        <w:rPr>
          <w:rStyle w:val="a6"/>
          <w:vertAlign w:val="baseline"/>
          <w:rtl/>
        </w:rPr>
        <w:footnoteRef/>
      </w:r>
      <w:r w:rsidRPr="00032CF0">
        <w:rPr>
          <w:rtl/>
        </w:rPr>
        <w:t>- اجود التقريرات ج1 ص70</w:t>
      </w:r>
    </w:p>
  </w:footnote>
  <w:footnote w:id="599">
    <w:p w14:paraId="57D4A579"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محاضرات في اصول الفقه ج1ص271</w:t>
      </w:r>
    </w:p>
  </w:footnote>
  <w:footnote w:id="600">
    <w:p w14:paraId="13DD0AC5"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الاسفار ج4ص2</w:t>
      </w:r>
    </w:p>
  </w:footnote>
  <w:footnote w:id="601">
    <w:p w14:paraId="21F2EC0E" w14:textId="77777777" w:rsidR="00A902FE" w:rsidRPr="00032CF0" w:rsidRDefault="00A902FE" w:rsidP="00620E61">
      <w:pPr>
        <w:pStyle w:val="hamesh14"/>
      </w:pPr>
      <w:r w:rsidRPr="00032CF0">
        <w:rPr>
          <w:rStyle w:val="a6"/>
          <w:vertAlign w:val="baseline"/>
          <w:rtl/>
        </w:rPr>
        <w:footnoteRef/>
      </w:r>
      <w:r w:rsidRPr="00032CF0">
        <w:rPr>
          <w:rtl/>
        </w:rPr>
        <w:t xml:space="preserve"> - نعم اقيم البرهان على نفي كون العرض جنسا، حيث قالوا ان معنى العرض كون الوجود رابطيا بان يكون وجودا لغيره وهذا من حيثيات الوجود وليس من ذاتيات الماهية التي يلحقها الوجود ولكن يرد عليه النقض بالجوهر الذي عدوه من الاجناس فانه بناء عليه يكون هو ايضا من حيثيات الوجود اي كونه لنفسه والانصاف ان للمقولات العرضية جهة مشتركة ذاتية تخصها وهي كونه بحيث يلحقها الوجود الرابطي، ولاريب في ان للوجود الرابطي حدا مشتركا لايشمل الجوهرفيمكن انتزاع ماهية من هذا الحد المشترك فان الماهيات تنتزع من حدود الوجود وح تكون هذه الماهية المنتزعة عن الحد المشترك للوجودات الرابطية جنسا لهاوهذايعني كون العرض جنسا كالجوهر.</w:t>
      </w:r>
    </w:p>
  </w:footnote>
  <w:footnote w:id="602">
    <w:p w14:paraId="7F56894F" w14:textId="77777777" w:rsidR="00A902FE" w:rsidRPr="00032CF0" w:rsidRDefault="00A902FE" w:rsidP="009C58C8">
      <w:pPr>
        <w:pStyle w:val="a4"/>
        <w:ind w:left="0"/>
        <w:jc w:val="both"/>
      </w:pPr>
      <w:r w:rsidRPr="00032CF0">
        <w:rPr>
          <w:rStyle w:val="a6"/>
          <w:vertAlign w:val="baseline"/>
          <w:rtl/>
        </w:rPr>
        <w:footnoteRef/>
      </w:r>
      <w:r w:rsidRPr="00032CF0">
        <w:rPr>
          <w:rtl/>
        </w:rPr>
        <w:t>- الفصول الغروية ص62</w:t>
      </w:r>
    </w:p>
  </w:footnote>
  <w:footnote w:id="603">
    <w:p w14:paraId="35DE8CB1"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دروس في مسائل علم الاصول ج1ص207</w:t>
      </w:r>
    </w:p>
  </w:footnote>
  <w:footnote w:id="604">
    <w:p w14:paraId="35C838D8" w14:textId="77777777" w:rsidR="00A902FE" w:rsidRPr="00032CF0" w:rsidRDefault="00A902FE" w:rsidP="009C58C8">
      <w:pPr>
        <w:pStyle w:val="a4"/>
        <w:ind w:left="0"/>
        <w:jc w:val="both"/>
        <w:rPr>
          <w:rtl/>
        </w:rPr>
      </w:pPr>
      <w:r w:rsidRPr="00032CF0">
        <w:rPr>
          <w:rStyle w:val="a6"/>
          <w:vertAlign w:val="baseline"/>
          <w:rtl/>
        </w:rPr>
        <w:footnoteRef/>
      </w:r>
      <w:r w:rsidRPr="00032CF0">
        <w:t xml:space="preserve"> </w:t>
      </w:r>
      <w:r w:rsidRPr="00032CF0">
        <w:rPr>
          <w:rtl/>
        </w:rPr>
        <w:t>-بحوث في عتم الاصول ج1 ص330</w:t>
      </w:r>
    </w:p>
  </w:footnote>
  <w:footnote w:id="605">
    <w:p w14:paraId="5D398870" w14:textId="77777777" w:rsidR="00A902FE" w:rsidRPr="00032CF0" w:rsidRDefault="00A902FE" w:rsidP="009C58C8">
      <w:pPr>
        <w:pStyle w:val="a4"/>
        <w:ind w:left="0"/>
        <w:jc w:val="both"/>
      </w:pPr>
      <w:r w:rsidRPr="00032CF0">
        <w:rPr>
          <w:rStyle w:val="a6"/>
          <w:vertAlign w:val="baseline"/>
          <w:rtl/>
        </w:rPr>
        <w:footnoteRef/>
      </w:r>
      <w:r w:rsidRPr="00032CF0">
        <w:rPr>
          <w:rtl/>
        </w:rPr>
        <w:t>- تعليقة مباحث الاصول ج 1ص 589</w:t>
      </w:r>
    </w:p>
  </w:footnote>
  <w:footnote w:id="606">
    <w:p w14:paraId="033425F4"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-الفصول الغروية ص 62</w:t>
      </w:r>
    </w:p>
  </w:footnote>
  <w:footnote w:id="607">
    <w:p w14:paraId="02A0BF63" w14:textId="77777777" w:rsidR="00A902FE" w:rsidRPr="00032CF0" w:rsidRDefault="00A902FE" w:rsidP="009C58C8">
      <w:pPr>
        <w:pStyle w:val="a4"/>
        <w:ind w:left="0"/>
        <w:jc w:val="both"/>
        <w:rPr>
          <w:rtl/>
        </w:rPr>
      </w:pPr>
      <w:r w:rsidRPr="00032CF0">
        <w:rPr>
          <w:rStyle w:val="a6"/>
          <w:vertAlign w:val="baseline"/>
          <w:rtl/>
        </w:rPr>
        <w:footnoteRef/>
      </w:r>
      <w:r w:rsidRPr="00032CF0">
        <w:rPr>
          <w:rtl/>
        </w:rPr>
        <w:t xml:space="preserve"> - كفاية الاصول ص57</w:t>
      </w:r>
    </w:p>
  </w:footnote>
  <w:footnote w:id="608">
    <w:p w14:paraId="6BDADFDA"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 بحوث في علم الاصول ج1 ص335</w:t>
      </w:r>
    </w:p>
  </w:footnote>
  <w:footnote w:id="609">
    <w:p w14:paraId="46CAA973" w14:textId="77777777" w:rsidR="00A902FE" w:rsidRPr="00032CF0" w:rsidRDefault="00A902FE" w:rsidP="009C58C8">
      <w:pPr>
        <w:pStyle w:val="a4"/>
        <w:ind w:left="0"/>
        <w:jc w:val="both"/>
      </w:pPr>
      <w:r w:rsidRPr="00032CF0">
        <w:rPr>
          <w:rStyle w:val="a6"/>
          <w:vertAlign w:val="baseline"/>
          <w:rtl/>
        </w:rPr>
        <w:footnoteRef/>
      </w:r>
      <w:r w:rsidRPr="00032CF0">
        <w:rPr>
          <w:rtl/>
        </w:rPr>
        <w:t xml:space="preserve"> -كفاية الاصول ص58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B5F6" w14:textId="77777777" w:rsidR="00A902FE" w:rsidRPr="000817B9" w:rsidRDefault="00A902FE" w:rsidP="004001B2">
    <w:pPr>
      <w:pStyle w:val="aa"/>
      <w:widowControl/>
      <w:tabs>
        <w:tab w:val="clear" w:pos="4153"/>
        <w:tab w:val="clear" w:pos="7145"/>
        <w:tab w:val="clear" w:pos="8306"/>
        <w:tab w:val="right" w:leader="dot" w:pos="6917"/>
      </w:tabs>
      <w:spacing w:before="240"/>
      <w:ind w:left="0"/>
      <w:rPr>
        <w:rFonts w:hint="cs"/>
        <w:b/>
        <w:bCs/>
        <w:rtl/>
      </w:rPr>
    </w:pP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0B5233">
      <w:rPr>
        <w:rStyle w:val="a8"/>
        <w:b/>
        <w:bCs/>
        <w:rtl/>
      </w:rPr>
      <w:t>30</w:t>
    </w:r>
    <w:r w:rsidRPr="000817B9">
      <w:rPr>
        <w:rStyle w:val="a8"/>
        <w:b/>
        <w:bCs/>
      </w:rPr>
      <w:fldChar w:fldCharType="end"/>
    </w:r>
    <w:r w:rsidRPr="000817B9">
      <w:rPr>
        <w:rStyle w:val="a8"/>
        <w:b/>
        <w:bCs/>
      </w:rPr>
      <w:tab/>
    </w:r>
    <w:r w:rsidRPr="000817B9">
      <w:rPr>
        <w:rStyle w:val="a8"/>
        <w:rFonts w:hint="cs"/>
        <w:b/>
        <w:bCs/>
        <w:rtl/>
      </w:rPr>
      <w:t>أبحاث</w:t>
    </w:r>
    <w:r w:rsidRPr="000817B9">
      <w:rPr>
        <w:rStyle w:val="a8"/>
        <w:rFonts w:hint="eastAsia"/>
        <w:b/>
        <w:bCs/>
        <w:rtl/>
      </w:rPr>
      <w:t>‌</w:t>
    </w:r>
    <w:r w:rsidRPr="000817B9">
      <w:rPr>
        <w:rStyle w:val="a8"/>
        <w:rFonts w:hint="cs"/>
        <w:b/>
        <w:bCs/>
        <w:rtl/>
      </w:rPr>
      <w:t>أصولية-مباحث</w:t>
    </w:r>
    <w:r w:rsidRPr="000817B9">
      <w:rPr>
        <w:rStyle w:val="a8"/>
        <w:rFonts w:hint="eastAsia"/>
        <w:b/>
        <w:bCs/>
        <w:rtl/>
      </w:rPr>
      <w:t>‌</w:t>
    </w:r>
    <w:r w:rsidRPr="000817B9">
      <w:rPr>
        <w:rStyle w:val="a8"/>
        <w:rFonts w:hint="cs"/>
        <w:b/>
        <w:bCs/>
        <w:rtl/>
      </w:rPr>
      <w:t>الألفاظ-الجزءالأول</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230A" w14:textId="77777777" w:rsidR="00A902FE" w:rsidRPr="000817B9" w:rsidRDefault="00A902FE" w:rsidP="004001B2">
    <w:pPr>
      <w:pStyle w:val="aa"/>
      <w:widowControl/>
      <w:tabs>
        <w:tab w:val="clear" w:pos="4153"/>
        <w:tab w:val="clear" w:pos="7145"/>
        <w:tab w:val="clear" w:pos="8306"/>
        <w:tab w:val="right" w:leader="dot" w:pos="6917"/>
      </w:tabs>
      <w:spacing w:before="240"/>
      <w:ind w:left="0"/>
      <w:rPr>
        <w:rFonts w:hint="cs"/>
        <w:b/>
        <w:bCs/>
      </w:rPr>
    </w:pPr>
    <w:r w:rsidRPr="000817B9">
      <w:rPr>
        <w:rFonts w:hint="cs"/>
        <w:b/>
        <w:bCs/>
        <w:rtl/>
      </w:rPr>
      <w:t>استعمال اللفظ في المعنى المجازي</w:t>
    </w:r>
    <w:r w:rsidRPr="000817B9">
      <w:rPr>
        <w:b/>
        <w:bCs/>
        <w:rtl/>
      </w:rPr>
      <w:tab/>
    </w: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131774">
      <w:rPr>
        <w:rStyle w:val="a8"/>
        <w:b/>
        <w:bCs/>
        <w:rtl/>
      </w:rPr>
      <w:t>325</w:t>
    </w:r>
    <w:r w:rsidRPr="000817B9">
      <w:rPr>
        <w:rStyle w:val="a8"/>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6B68" w14:textId="77777777" w:rsidR="00A902FE" w:rsidRPr="000817B9" w:rsidRDefault="00A902FE" w:rsidP="004001B2">
    <w:pPr>
      <w:pStyle w:val="aa"/>
      <w:widowControl/>
      <w:tabs>
        <w:tab w:val="clear" w:pos="4153"/>
        <w:tab w:val="clear" w:pos="7145"/>
        <w:tab w:val="clear" w:pos="8306"/>
        <w:tab w:val="right" w:leader="dot" w:pos="6917"/>
      </w:tabs>
      <w:spacing w:before="240"/>
      <w:ind w:left="0"/>
      <w:rPr>
        <w:rFonts w:hint="cs"/>
        <w:b/>
        <w:bCs/>
      </w:rPr>
    </w:pPr>
    <w:r w:rsidRPr="000817B9">
      <w:rPr>
        <w:rFonts w:hint="cs"/>
        <w:b/>
        <w:bCs/>
        <w:rtl/>
      </w:rPr>
      <w:t>اقسام الدلالة وحقيقة الاستعمال</w:t>
    </w:r>
    <w:r w:rsidRPr="000817B9">
      <w:rPr>
        <w:b/>
        <w:bCs/>
        <w:rtl/>
      </w:rPr>
      <w:tab/>
    </w: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131774">
      <w:rPr>
        <w:rStyle w:val="a8"/>
        <w:b/>
        <w:bCs/>
        <w:rtl/>
      </w:rPr>
      <w:t>343</w:t>
    </w:r>
    <w:r w:rsidRPr="000817B9">
      <w:rPr>
        <w:rStyle w:val="a8"/>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356D" w14:textId="77777777" w:rsidR="00A902FE" w:rsidRPr="000817B9" w:rsidRDefault="00A902FE" w:rsidP="001E4AEF">
    <w:pPr>
      <w:pStyle w:val="aa"/>
      <w:widowControl/>
      <w:tabs>
        <w:tab w:val="clear" w:pos="4153"/>
        <w:tab w:val="clear" w:pos="7145"/>
        <w:tab w:val="right" w:leader="dot" w:pos="6747"/>
      </w:tabs>
      <w:spacing w:before="240"/>
      <w:ind w:left="0"/>
      <w:rPr>
        <w:rFonts w:hint="cs"/>
        <w:b/>
        <w:bCs/>
      </w:rPr>
    </w:pPr>
    <w:r w:rsidRPr="000817B9">
      <w:rPr>
        <w:rFonts w:hint="cs"/>
        <w:b/>
        <w:bCs/>
        <w:rtl/>
      </w:rPr>
      <w:t>وضع المركبات</w:t>
    </w:r>
    <w:r w:rsidRPr="000817B9">
      <w:rPr>
        <w:b/>
        <w:bCs/>
        <w:rtl/>
      </w:rPr>
      <w:tab/>
    </w: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131774">
      <w:rPr>
        <w:rStyle w:val="a8"/>
        <w:b/>
        <w:bCs/>
        <w:rtl/>
      </w:rPr>
      <w:t>345</w:t>
    </w:r>
    <w:r w:rsidRPr="000817B9">
      <w:rPr>
        <w:rStyle w:val="a8"/>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03F3" w14:textId="77777777" w:rsidR="00A902FE" w:rsidRPr="000817B9" w:rsidRDefault="00A902FE" w:rsidP="004001B2">
    <w:pPr>
      <w:pStyle w:val="aa"/>
      <w:widowControl/>
      <w:tabs>
        <w:tab w:val="clear" w:pos="4153"/>
        <w:tab w:val="clear" w:pos="7145"/>
        <w:tab w:val="clear" w:pos="8306"/>
        <w:tab w:val="right" w:leader="dot" w:pos="6917"/>
      </w:tabs>
      <w:spacing w:before="240"/>
      <w:ind w:left="0"/>
      <w:rPr>
        <w:rFonts w:hint="cs"/>
        <w:b/>
        <w:bCs/>
      </w:rPr>
    </w:pPr>
    <w:r w:rsidRPr="000817B9">
      <w:rPr>
        <w:rFonts w:hint="cs"/>
        <w:b/>
        <w:bCs/>
        <w:rtl/>
      </w:rPr>
      <w:t>علائم الحقيقة والمجاز</w:t>
    </w:r>
    <w:r w:rsidRPr="000817B9">
      <w:rPr>
        <w:b/>
        <w:bCs/>
        <w:rtl/>
      </w:rPr>
      <w:tab/>
    </w: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131774">
      <w:rPr>
        <w:rStyle w:val="a8"/>
        <w:b/>
        <w:bCs/>
        <w:rtl/>
      </w:rPr>
      <w:t>363</w:t>
    </w:r>
    <w:r w:rsidRPr="000817B9">
      <w:rPr>
        <w:rStyle w:val="a8"/>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FA01" w14:textId="77777777" w:rsidR="00A902FE" w:rsidRPr="000817B9" w:rsidRDefault="00A902FE" w:rsidP="004001B2">
    <w:pPr>
      <w:pStyle w:val="aa"/>
      <w:widowControl/>
      <w:tabs>
        <w:tab w:val="clear" w:pos="4153"/>
        <w:tab w:val="clear" w:pos="7145"/>
        <w:tab w:val="clear" w:pos="8306"/>
        <w:tab w:val="right" w:leader="dot" w:pos="6917"/>
      </w:tabs>
      <w:spacing w:before="240"/>
      <w:ind w:left="0"/>
      <w:rPr>
        <w:rFonts w:hint="cs"/>
        <w:b/>
        <w:bCs/>
      </w:rPr>
    </w:pPr>
    <w:r w:rsidRPr="000817B9">
      <w:rPr>
        <w:rFonts w:hint="cs"/>
        <w:b/>
        <w:bCs/>
        <w:rtl/>
      </w:rPr>
      <w:t>تعارض الأحوال</w:t>
    </w:r>
    <w:r w:rsidRPr="000817B9">
      <w:rPr>
        <w:b/>
        <w:bCs/>
        <w:rtl/>
      </w:rPr>
      <w:tab/>
    </w: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131774">
      <w:rPr>
        <w:rStyle w:val="a8"/>
        <w:b/>
        <w:bCs/>
        <w:rtl/>
      </w:rPr>
      <w:t>369</w:t>
    </w:r>
    <w:r w:rsidRPr="000817B9">
      <w:rPr>
        <w:rStyle w:val="a8"/>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EBE7" w14:textId="77777777" w:rsidR="00A902FE" w:rsidRPr="00032CF0" w:rsidRDefault="00A902FE" w:rsidP="004001B2">
    <w:pPr>
      <w:pStyle w:val="aa"/>
      <w:widowControl/>
      <w:tabs>
        <w:tab w:val="clear" w:pos="4153"/>
        <w:tab w:val="clear" w:pos="7145"/>
        <w:tab w:val="clear" w:pos="8306"/>
        <w:tab w:val="right" w:leader="dot" w:pos="6917"/>
      </w:tabs>
      <w:spacing w:before="240"/>
      <w:ind w:left="0"/>
      <w:rPr>
        <w:rFonts w:hint="cs"/>
        <w:b/>
        <w:bCs/>
      </w:rPr>
    </w:pPr>
    <w:r w:rsidRPr="00032CF0">
      <w:rPr>
        <w:rFonts w:hint="cs"/>
        <w:b/>
        <w:bCs/>
        <w:rtl/>
      </w:rPr>
      <w:t>الحقيقة الشرعية</w:t>
    </w:r>
    <w:r w:rsidRPr="00032CF0">
      <w:rPr>
        <w:b/>
        <w:bCs/>
        <w:rtl/>
      </w:rPr>
      <w:tab/>
    </w:r>
    <w:r w:rsidRPr="00032CF0">
      <w:rPr>
        <w:rStyle w:val="a8"/>
        <w:b/>
        <w:bCs/>
      </w:rPr>
      <w:fldChar w:fldCharType="begin"/>
    </w:r>
    <w:r w:rsidRPr="00032CF0">
      <w:rPr>
        <w:rStyle w:val="a8"/>
        <w:b/>
        <w:bCs/>
      </w:rPr>
      <w:instrText xml:space="preserve"> PAGE </w:instrText>
    </w:r>
    <w:r w:rsidRPr="00032CF0">
      <w:rPr>
        <w:rStyle w:val="a8"/>
        <w:b/>
        <w:bCs/>
      </w:rPr>
      <w:fldChar w:fldCharType="separate"/>
    </w:r>
    <w:r w:rsidR="00131774">
      <w:rPr>
        <w:rStyle w:val="a8"/>
        <w:b/>
        <w:bCs/>
        <w:rtl/>
      </w:rPr>
      <w:t>381</w:t>
    </w:r>
    <w:r w:rsidRPr="00032CF0">
      <w:rPr>
        <w:rStyle w:val="a8"/>
        <w:b/>
        <w:bC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94E9" w14:textId="77777777" w:rsidR="00A902FE" w:rsidRPr="00032CF0" w:rsidRDefault="00A902FE" w:rsidP="004001B2">
    <w:pPr>
      <w:pStyle w:val="aa"/>
      <w:widowControl/>
      <w:tabs>
        <w:tab w:val="clear" w:pos="4153"/>
        <w:tab w:val="clear" w:pos="7145"/>
        <w:tab w:val="clear" w:pos="8306"/>
        <w:tab w:val="right" w:leader="dot" w:pos="6917"/>
      </w:tabs>
      <w:spacing w:before="240"/>
      <w:ind w:left="0"/>
      <w:rPr>
        <w:rFonts w:hint="cs"/>
        <w:b/>
        <w:bCs/>
      </w:rPr>
    </w:pPr>
    <w:r w:rsidRPr="00032CF0">
      <w:rPr>
        <w:rFonts w:hint="cs"/>
        <w:b/>
        <w:bCs/>
        <w:rtl/>
      </w:rPr>
      <w:t>الصحيح والأعم</w:t>
    </w:r>
    <w:r w:rsidRPr="00032CF0">
      <w:rPr>
        <w:b/>
        <w:bCs/>
        <w:rtl/>
      </w:rPr>
      <w:tab/>
    </w:r>
    <w:r w:rsidRPr="00032CF0">
      <w:rPr>
        <w:rStyle w:val="a8"/>
        <w:b/>
        <w:bCs/>
      </w:rPr>
      <w:fldChar w:fldCharType="begin"/>
    </w:r>
    <w:r w:rsidRPr="00032CF0">
      <w:rPr>
        <w:rStyle w:val="a8"/>
        <w:b/>
        <w:bCs/>
      </w:rPr>
      <w:instrText xml:space="preserve"> PAGE </w:instrText>
    </w:r>
    <w:r w:rsidRPr="00032CF0">
      <w:rPr>
        <w:rStyle w:val="a8"/>
        <w:b/>
        <w:bCs/>
      </w:rPr>
      <w:fldChar w:fldCharType="separate"/>
    </w:r>
    <w:r w:rsidR="00A67DF3">
      <w:rPr>
        <w:rStyle w:val="a8"/>
        <w:b/>
        <w:bCs/>
        <w:rtl/>
      </w:rPr>
      <w:t>469</w:t>
    </w:r>
    <w:r w:rsidRPr="00032CF0">
      <w:rPr>
        <w:rStyle w:val="a8"/>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C857" w14:textId="77777777" w:rsidR="00A902FE" w:rsidRPr="00032CF0" w:rsidRDefault="00A902FE" w:rsidP="004001B2">
    <w:pPr>
      <w:pStyle w:val="aa"/>
      <w:widowControl/>
      <w:tabs>
        <w:tab w:val="clear" w:pos="4153"/>
        <w:tab w:val="clear" w:pos="7145"/>
        <w:tab w:val="clear" w:pos="8306"/>
        <w:tab w:val="right" w:leader="dot" w:pos="6917"/>
      </w:tabs>
      <w:spacing w:before="240"/>
      <w:ind w:left="0"/>
      <w:rPr>
        <w:rFonts w:hint="cs"/>
        <w:b/>
        <w:bCs/>
      </w:rPr>
    </w:pPr>
    <w:r w:rsidRPr="00032CF0">
      <w:rPr>
        <w:rFonts w:hint="cs"/>
        <w:b/>
        <w:bCs/>
        <w:rtl/>
      </w:rPr>
      <w:t>الاشتراك اللفظي</w:t>
    </w:r>
    <w:r w:rsidRPr="00032CF0">
      <w:rPr>
        <w:b/>
        <w:bCs/>
        <w:rtl/>
      </w:rPr>
      <w:tab/>
    </w:r>
    <w:r w:rsidRPr="00032CF0">
      <w:rPr>
        <w:rStyle w:val="a8"/>
        <w:b/>
        <w:bCs/>
      </w:rPr>
      <w:fldChar w:fldCharType="begin"/>
    </w:r>
    <w:r w:rsidRPr="00032CF0">
      <w:rPr>
        <w:rStyle w:val="a8"/>
        <w:b/>
        <w:bCs/>
      </w:rPr>
      <w:instrText xml:space="preserve"> PAGE </w:instrText>
    </w:r>
    <w:r w:rsidRPr="00032CF0">
      <w:rPr>
        <w:rStyle w:val="a8"/>
        <w:b/>
        <w:bCs/>
      </w:rPr>
      <w:fldChar w:fldCharType="separate"/>
    </w:r>
    <w:r w:rsidR="00131774">
      <w:rPr>
        <w:rStyle w:val="a8"/>
        <w:b/>
        <w:bCs/>
        <w:rtl/>
      </w:rPr>
      <w:t>473</w:t>
    </w:r>
    <w:r w:rsidRPr="00032CF0">
      <w:rPr>
        <w:rStyle w:val="a8"/>
        <w:b/>
        <w:bC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8974" w14:textId="77777777" w:rsidR="00A902FE" w:rsidRPr="00032CF0" w:rsidRDefault="00A902FE" w:rsidP="004001B2">
    <w:pPr>
      <w:pStyle w:val="aa"/>
      <w:widowControl/>
      <w:tabs>
        <w:tab w:val="clear" w:pos="4153"/>
        <w:tab w:val="clear" w:pos="7145"/>
        <w:tab w:val="clear" w:pos="8306"/>
        <w:tab w:val="right" w:leader="dot" w:pos="6917"/>
      </w:tabs>
      <w:spacing w:before="240"/>
      <w:ind w:left="0"/>
      <w:rPr>
        <w:rFonts w:hint="cs"/>
        <w:b/>
        <w:bCs/>
      </w:rPr>
    </w:pPr>
    <w:r w:rsidRPr="00032CF0">
      <w:rPr>
        <w:rFonts w:hint="cs"/>
        <w:b/>
        <w:bCs/>
        <w:rtl/>
      </w:rPr>
      <w:t>استعمال اللفظ في اكثر من معنى واحد</w:t>
    </w:r>
    <w:r w:rsidRPr="00032CF0">
      <w:rPr>
        <w:b/>
        <w:bCs/>
        <w:rtl/>
      </w:rPr>
      <w:tab/>
    </w:r>
    <w:r w:rsidRPr="00032CF0">
      <w:rPr>
        <w:rStyle w:val="a8"/>
        <w:b/>
        <w:bCs/>
      </w:rPr>
      <w:fldChar w:fldCharType="begin"/>
    </w:r>
    <w:r w:rsidRPr="00032CF0">
      <w:rPr>
        <w:rStyle w:val="a8"/>
        <w:b/>
        <w:bCs/>
      </w:rPr>
      <w:instrText xml:space="preserve"> PAGE </w:instrText>
    </w:r>
    <w:r w:rsidRPr="00032CF0">
      <w:rPr>
        <w:rStyle w:val="a8"/>
        <w:b/>
        <w:bCs/>
      </w:rPr>
      <w:fldChar w:fldCharType="separate"/>
    </w:r>
    <w:r w:rsidR="00131774">
      <w:rPr>
        <w:rStyle w:val="a8"/>
        <w:b/>
        <w:bCs/>
        <w:rtl/>
      </w:rPr>
      <w:t>507</w:t>
    </w:r>
    <w:r w:rsidRPr="00032CF0">
      <w:rPr>
        <w:rStyle w:val="a8"/>
        <w:b/>
        <w:bC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FBBB" w14:textId="77777777" w:rsidR="00A902FE" w:rsidRPr="00032CF0" w:rsidRDefault="00A902FE" w:rsidP="004001B2">
    <w:pPr>
      <w:pStyle w:val="aa"/>
      <w:widowControl/>
      <w:tabs>
        <w:tab w:val="clear" w:pos="4153"/>
        <w:tab w:val="clear" w:pos="7145"/>
        <w:tab w:val="clear" w:pos="8306"/>
        <w:tab w:val="right" w:leader="dot" w:pos="6917"/>
      </w:tabs>
      <w:spacing w:before="240"/>
      <w:ind w:left="0"/>
      <w:rPr>
        <w:rFonts w:hint="cs"/>
        <w:b/>
        <w:bCs/>
        <w:rtl/>
      </w:rPr>
    </w:pPr>
    <w:r w:rsidRPr="00032CF0">
      <w:rPr>
        <w:rStyle w:val="a8"/>
        <w:b/>
        <w:bCs/>
      </w:rPr>
      <w:fldChar w:fldCharType="begin"/>
    </w:r>
    <w:r w:rsidRPr="00032CF0">
      <w:rPr>
        <w:rStyle w:val="a8"/>
        <w:b/>
        <w:bCs/>
      </w:rPr>
      <w:instrText xml:space="preserve"> PAGE </w:instrText>
    </w:r>
    <w:r w:rsidRPr="00032CF0">
      <w:rPr>
        <w:rStyle w:val="a8"/>
        <w:b/>
        <w:bCs/>
      </w:rPr>
      <w:fldChar w:fldCharType="separate"/>
    </w:r>
    <w:r w:rsidR="00131774">
      <w:rPr>
        <w:rStyle w:val="a8"/>
        <w:b/>
        <w:bCs/>
        <w:rtl/>
      </w:rPr>
      <w:t>616</w:t>
    </w:r>
    <w:r w:rsidRPr="00032CF0">
      <w:rPr>
        <w:rStyle w:val="a8"/>
        <w:b/>
        <w:bCs/>
      </w:rPr>
      <w:fldChar w:fldCharType="end"/>
    </w:r>
    <w:r w:rsidRPr="00032CF0">
      <w:rPr>
        <w:rStyle w:val="a8"/>
        <w:b/>
        <w:bCs/>
      </w:rPr>
      <w:tab/>
    </w:r>
    <w:r w:rsidRPr="00032CF0">
      <w:rPr>
        <w:rStyle w:val="a8"/>
        <w:rFonts w:hint="cs"/>
        <w:b/>
        <w:bCs/>
        <w:rtl/>
      </w:rPr>
      <w:t>أبحاث</w:t>
    </w:r>
    <w:r w:rsidRPr="00032CF0">
      <w:rPr>
        <w:rStyle w:val="a8"/>
        <w:rFonts w:hint="eastAsia"/>
        <w:b/>
        <w:bCs/>
        <w:rtl/>
      </w:rPr>
      <w:t>‌</w:t>
    </w:r>
    <w:r w:rsidRPr="00032CF0">
      <w:rPr>
        <w:rStyle w:val="a8"/>
        <w:rFonts w:hint="cs"/>
        <w:b/>
        <w:bCs/>
        <w:rtl/>
      </w:rPr>
      <w:t>أصولية-مباحث</w:t>
    </w:r>
    <w:r w:rsidRPr="00032CF0">
      <w:rPr>
        <w:rStyle w:val="a8"/>
        <w:rFonts w:hint="eastAsia"/>
        <w:b/>
        <w:bCs/>
        <w:rtl/>
      </w:rPr>
      <w:t>‌</w:t>
    </w:r>
    <w:r w:rsidRPr="00032CF0">
      <w:rPr>
        <w:rStyle w:val="a8"/>
        <w:rFonts w:hint="cs"/>
        <w:b/>
        <w:bCs/>
        <w:rtl/>
      </w:rPr>
      <w:t>الألفاظ-الجزءالأول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7810" w14:textId="77777777" w:rsidR="00A902FE" w:rsidRPr="000817B9" w:rsidRDefault="00A902FE" w:rsidP="004001B2">
    <w:pPr>
      <w:pStyle w:val="aa"/>
      <w:widowControl/>
      <w:tabs>
        <w:tab w:val="clear" w:pos="4153"/>
        <w:tab w:val="clear" w:pos="7145"/>
        <w:tab w:val="clear" w:pos="8306"/>
        <w:tab w:val="right" w:leader="dot" w:pos="6917"/>
      </w:tabs>
      <w:spacing w:before="240"/>
      <w:ind w:left="0"/>
      <w:rPr>
        <w:rFonts w:hint="cs"/>
        <w:b/>
        <w:bCs/>
      </w:rPr>
    </w:pPr>
    <w:r w:rsidRPr="000817B9">
      <w:rPr>
        <w:rFonts w:hint="cs"/>
        <w:b/>
        <w:bCs/>
        <w:rtl/>
      </w:rPr>
      <w:t>تعريف علم الاصول</w:t>
    </w:r>
    <w:r w:rsidRPr="000817B9">
      <w:rPr>
        <w:rFonts w:hint="cs"/>
        <w:b/>
        <w:bCs/>
        <w:rtl/>
      </w:rPr>
      <w:tab/>
    </w: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0B5233">
      <w:rPr>
        <w:rStyle w:val="a8"/>
        <w:b/>
        <w:bCs/>
        <w:rtl/>
      </w:rPr>
      <w:t>29</w:t>
    </w:r>
    <w:r w:rsidRPr="000817B9">
      <w:rPr>
        <w:rStyle w:val="a8"/>
        <w:b/>
        <w:bC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8203" w14:textId="77777777" w:rsidR="00A902FE" w:rsidRPr="00032CF0" w:rsidRDefault="00A902FE" w:rsidP="004001B2">
    <w:pPr>
      <w:pStyle w:val="aa"/>
      <w:widowControl/>
      <w:tabs>
        <w:tab w:val="clear" w:pos="4153"/>
        <w:tab w:val="clear" w:pos="7145"/>
        <w:tab w:val="clear" w:pos="8306"/>
        <w:tab w:val="right" w:leader="dot" w:pos="6917"/>
      </w:tabs>
      <w:spacing w:before="240"/>
      <w:ind w:left="0"/>
      <w:rPr>
        <w:rFonts w:hint="cs"/>
        <w:b/>
        <w:bCs/>
      </w:rPr>
    </w:pPr>
    <w:r w:rsidRPr="00032CF0">
      <w:rPr>
        <w:rFonts w:hint="cs"/>
        <w:b/>
        <w:bCs/>
        <w:rtl/>
      </w:rPr>
      <w:t>فهرس المطالب</w:t>
    </w:r>
    <w:r w:rsidRPr="00032CF0">
      <w:rPr>
        <w:b/>
        <w:bCs/>
        <w:rtl/>
      </w:rPr>
      <w:tab/>
    </w:r>
    <w:r w:rsidRPr="00032CF0">
      <w:rPr>
        <w:rStyle w:val="a8"/>
        <w:b/>
        <w:bCs/>
      </w:rPr>
      <w:fldChar w:fldCharType="begin"/>
    </w:r>
    <w:r w:rsidRPr="00032CF0">
      <w:rPr>
        <w:rStyle w:val="a8"/>
        <w:b/>
        <w:bCs/>
      </w:rPr>
      <w:instrText xml:space="preserve"> PAGE </w:instrText>
    </w:r>
    <w:r w:rsidRPr="00032CF0">
      <w:rPr>
        <w:rStyle w:val="a8"/>
        <w:b/>
        <w:bCs/>
      </w:rPr>
      <w:fldChar w:fldCharType="separate"/>
    </w:r>
    <w:r w:rsidR="00131774">
      <w:rPr>
        <w:rStyle w:val="a8"/>
        <w:b/>
        <w:bCs/>
        <w:rtl/>
      </w:rPr>
      <w:t>617</w:t>
    </w:r>
    <w:r w:rsidRPr="00032CF0">
      <w:rPr>
        <w:rStyle w:val="a8"/>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D556" w14:textId="77777777" w:rsidR="00A902FE" w:rsidRPr="000817B9" w:rsidRDefault="00A902FE" w:rsidP="001E4AEF">
    <w:pPr>
      <w:pStyle w:val="aa"/>
      <w:widowControl/>
      <w:tabs>
        <w:tab w:val="clear" w:pos="4153"/>
        <w:tab w:val="clear" w:pos="7145"/>
        <w:tab w:val="right" w:leader="dot" w:pos="6747"/>
      </w:tabs>
      <w:spacing w:before="240"/>
      <w:ind w:left="0"/>
      <w:rPr>
        <w:rFonts w:hint="cs"/>
        <w:b/>
        <w:bCs/>
      </w:rPr>
    </w:pPr>
    <w:r w:rsidRPr="000817B9">
      <w:rPr>
        <w:rFonts w:hint="cs"/>
        <w:b/>
        <w:bCs/>
        <w:rtl/>
      </w:rPr>
      <w:t>اقسام الدليل على الجعل الشرعي</w:t>
    </w:r>
    <w:r w:rsidRPr="000817B9">
      <w:rPr>
        <w:b/>
        <w:bCs/>
        <w:rtl/>
      </w:rPr>
      <w:tab/>
    </w: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0B5233">
      <w:rPr>
        <w:rStyle w:val="a8"/>
        <w:b/>
        <w:bCs/>
        <w:rtl/>
      </w:rPr>
      <w:t>53</w:t>
    </w:r>
    <w:r w:rsidRPr="000817B9">
      <w:rPr>
        <w:rStyle w:val="a8"/>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98E7" w14:textId="77777777" w:rsidR="00A902FE" w:rsidRPr="000817B9" w:rsidRDefault="00A902FE" w:rsidP="004001B2">
    <w:pPr>
      <w:pStyle w:val="aa"/>
      <w:widowControl/>
      <w:tabs>
        <w:tab w:val="clear" w:pos="4153"/>
        <w:tab w:val="clear" w:pos="7145"/>
        <w:tab w:val="clear" w:pos="8306"/>
        <w:tab w:val="right" w:leader="dot" w:pos="6917"/>
      </w:tabs>
      <w:spacing w:before="240"/>
      <w:ind w:left="0"/>
      <w:rPr>
        <w:rFonts w:hint="cs"/>
        <w:b/>
        <w:bCs/>
        <w:rtl/>
      </w:rPr>
    </w:pP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0B5233">
      <w:rPr>
        <w:rStyle w:val="a8"/>
        <w:b/>
        <w:bCs/>
        <w:rtl/>
      </w:rPr>
      <w:t>50</w:t>
    </w:r>
    <w:r w:rsidRPr="000817B9">
      <w:rPr>
        <w:rStyle w:val="a8"/>
        <w:b/>
        <w:bCs/>
      </w:rPr>
      <w:fldChar w:fldCharType="end"/>
    </w:r>
    <w:r w:rsidRPr="000817B9">
      <w:rPr>
        <w:rStyle w:val="a8"/>
        <w:b/>
        <w:bCs/>
      </w:rPr>
      <w:tab/>
    </w:r>
    <w:r w:rsidRPr="000817B9">
      <w:rPr>
        <w:rStyle w:val="a8"/>
        <w:rFonts w:hint="cs"/>
        <w:b/>
        <w:bCs/>
        <w:rtl/>
      </w:rPr>
      <w:t>أبحاث</w:t>
    </w:r>
    <w:r w:rsidRPr="000817B9">
      <w:rPr>
        <w:rStyle w:val="a8"/>
        <w:rFonts w:hint="eastAsia"/>
        <w:b/>
        <w:bCs/>
        <w:rtl/>
      </w:rPr>
      <w:t>‌</w:t>
    </w:r>
    <w:r w:rsidRPr="000817B9">
      <w:rPr>
        <w:rStyle w:val="a8"/>
        <w:rFonts w:hint="cs"/>
        <w:b/>
        <w:bCs/>
        <w:rtl/>
      </w:rPr>
      <w:t>أصولية-مباحث</w:t>
    </w:r>
    <w:r w:rsidRPr="000817B9">
      <w:rPr>
        <w:rStyle w:val="a8"/>
        <w:rFonts w:hint="eastAsia"/>
        <w:b/>
        <w:bCs/>
        <w:rtl/>
      </w:rPr>
      <w:t>‌</w:t>
    </w:r>
    <w:r w:rsidRPr="000817B9">
      <w:rPr>
        <w:rStyle w:val="a8"/>
        <w:rFonts w:hint="cs"/>
        <w:b/>
        <w:bCs/>
        <w:rtl/>
      </w:rPr>
      <w:t>الألفاظ-الجزءالأول</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E0E8" w14:textId="77777777" w:rsidR="00A902FE" w:rsidRPr="000817B9" w:rsidRDefault="00A902FE" w:rsidP="004001B2">
    <w:pPr>
      <w:pStyle w:val="aa"/>
      <w:widowControl/>
      <w:tabs>
        <w:tab w:val="clear" w:pos="4153"/>
        <w:tab w:val="clear" w:pos="7145"/>
        <w:tab w:val="clear" w:pos="8306"/>
        <w:tab w:val="right" w:leader="dot" w:pos="6917"/>
      </w:tabs>
      <w:spacing w:before="240"/>
      <w:ind w:left="0"/>
      <w:rPr>
        <w:rFonts w:hint="cs"/>
        <w:b/>
        <w:bCs/>
        <w:rtl/>
      </w:rPr>
    </w:pP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0B5233">
      <w:rPr>
        <w:rStyle w:val="a8"/>
        <w:b/>
        <w:bCs/>
        <w:rtl/>
      </w:rPr>
      <w:t>222</w:t>
    </w:r>
    <w:r w:rsidRPr="000817B9">
      <w:rPr>
        <w:rStyle w:val="a8"/>
        <w:b/>
        <w:bCs/>
      </w:rPr>
      <w:fldChar w:fldCharType="end"/>
    </w:r>
    <w:r w:rsidRPr="000817B9">
      <w:rPr>
        <w:rStyle w:val="a8"/>
        <w:b/>
        <w:bCs/>
      </w:rPr>
      <w:tab/>
    </w:r>
    <w:r w:rsidRPr="000817B9">
      <w:rPr>
        <w:rStyle w:val="a8"/>
        <w:rFonts w:hint="cs"/>
        <w:b/>
        <w:bCs/>
        <w:rtl/>
      </w:rPr>
      <w:t>أبحاث</w:t>
    </w:r>
    <w:r w:rsidRPr="000817B9">
      <w:rPr>
        <w:rStyle w:val="a8"/>
        <w:rFonts w:hint="eastAsia"/>
        <w:b/>
        <w:bCs/>
        <w:rtl/>
      </w:rPr>
      <w:t>‌</w:t>
    </w:r>
    <w:r w:rsidRPr="000817B9">
      <w:rPr>
        <w:rStyle w:val="a8"/>
        <w:rFonts w:hint="cs"/>
        <w:b/>
        <w:bCs/>
        <w:rtl/>
      </w:rPr>
      <w:t>أصولية-مباحث</w:t>
    </w:r>
    <w:r w:rsidRPr="000817B9">
      <w:rPr>
        <w:rStyle w:val="a8"/>
        <w:rFonts w:hint="eastAsia"/>
        <w:b/>
        <w:bCs/>
        <w:rtl/>
      </w:rPr>
      <w:t>‌</w:t>
    </w:r>
    <w:r w:rsidRPr="000817B9">
      <w:rPr>
        <w:rStyle w:val="a8"/>
        <w:rFonts w:hint="cs"/>
        <w:b/>
        <w:bCs/>
        <w:rtl/>
      </w:rPr>
      <w:t>الألفاظ-الجزءالأول</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1D44" w14:textId="77777777" w:rsidR="00A902FE" w:rsidRPr="000817B9" w:rsidRDefault="00A902FE" w:rsidP="004001B2">
    <w:pPr>
      <w:pStyle w:val="aa"/>
      <w:widowControl/>
      <w:tabs>
        <w:tab w:val="clear" w:pos="4153"/>
        <w:tab w:val="clear" w:pos="7145"/>
        <w:tab w:val="clear" w:pos="8306"/>
        <w:tab w:val="right" w:leader="dot" w:pos="6917"/>
      </w:tabs>
      <w:spacing w:before="240"/>
      <w:ind w:left="0"/>
      <w:rPr>
        <w:rFonts w:hint="cs"/>
        <w:b/>
        <w:bCs/>
      </w:rPr>
    </w:pPr>
    <w:r w:rsidRPr="000817B9">
      <w:rPr>
        <w:rFonts w:hint="cs"/>
        <w:b/>
        <w:bCs/>
        <w:rtl/>
      </w:rPr>
      <w:t>موضوع علم الاصول</w:t>
    </w:r>
    <w:r w:rsidRPr="000817B9">
      <w:rPr>
        <w:b/>
        <w:bCs/>
        <w:rtl/>
      </w:rPr>
      <w:tab/>
    </w: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0B5233">
      <w:rPr>
        <w:rStyle w:val="a8"/>
        <w:b/>
        <w:bCs/>
        <w:rtl/>
      </w:rPr>
      <w:t>75</w:t>
    </w:r>
    <w:r w:rsidRPr="000817B9">
      <w:rPr>
        <w:rStyle w:val="a8"/>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1785" w14:textId="77777777" w:rsidR="00A902FE" w:rsidRPr="000817B9" w:rsidRDefault="00A902FE" w:rsidP="004001B2">
    <w:pPr>
      <w:pStyle w:val="aa"/>
      <w:widowControl/>
      <w:tabs>
        <w:tab w:val="clear" w:pos="4153"/>
        <w:tab w:val="clear" w:pos="7145"/>
        <w:tab w:val="clear" w:pos="8306"/>
        <w:tab w:val="right" w:leader="dot" w:pos="6917"/>
      </w:tabs>
      <w:spacing w:before="240"/>
      <w:ind w:left="0"/>
      <w:rPr>
        <w:rFonts w:hint="cs"/>
        <w:b/>
        <w:bCs/>
      </w:rPr>
    </w:pPr>
    <w:r w:rsidRPr="000817B9">
      <w:rPr>
        <w:rFonts w:hint="cs"/>
        <w:b/>
        <w:bCs/>
        <w:rtl/>
      </w:rPr>
      <w:t>تقسيم علم الاصول</w:t>
    </w:r>
    <w:r w:rsidRPr="000817B9">
      <w:rPr>
        <w:b/>
        <w:bCs/>
        <w:rtl/>
      </w:rPr>
      <w:tab/>
    </w: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0B5233">
      <w:rPr>
        <w:rStyle w:val="a8"/>
        <w:b/>
        <w:bCs/>
        <w:rtl/>
      </w:rPr>
      <w:t>91</w:t>
    </w:r>
    <w:r w:rsidRPr="000817B9">
      <w:rPr>
        <w:rStyle w:val="a8"/>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A518" w14:textId="77777777" w:rsidR="00A902FE" w:rsidRPr="000817B9" w:rsidRDefault="00A902FE" w:rsidP="004001B2">
    <w:pPr>
      <w:pStyle w:val="aa"/>
      <w:widowControl/>
      <w:tabs>
        <w:tab w:val="clear" w:pos="4153"/>
        <w:tab w:val="clear" w:pos="7145"/>
        <w:tab w:val="clear" w:pos="8306"/>
        <w:tab w:val="right" w:leader="dot" w:pos="6917"/>
      </w:tabs>
      <w:spacing w:before="240"/>
      <w:ind w:left="0"/>
      <w:rPr>
        <w:rFonts w:hint="cs"/>
        <w:b/>
        <w:bCs/>
      </w:rPr>
    </w:pPr>
    <w:r w:rsidRPr="000817B9">
      <w:rPr>
        <w:rFonts w:hint="cs"/>
        <w:b/>
        <w:bCs/>
        <w:rtl/>
      </w:rPr>
      <w:t>مباحث الوضع</w:t>
    </w:r>
    <w:r w:rsidRPr="000817B9">
      <w:rPr>
        <w:b/>
        <w:bCs/>
        <w:rtl/>
      </w:rPr>
      <w:tab/>
    </w: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0B5233">
      <w:rPr>
        <w:rStyle w:val="a8"/>
        <w:b/>
        <w:bCs/>
        <w:rtl/>
      </w:rPr>
      <w:t>221</w:t>
    </w:r>
    <w:r w:rsidRPr="000817B9">
      <w:rPr>
        <w:rStyle w:val="a8"/>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B82C" w14:textId="77777777" w:rsidR="00A902FE" w:rsidRPr="000817B9" w:rsidRDefault="00A902FE" w:rsidP="004001B2">
    <w:pPr>
      <w:pStyle w:val="aa"/>
      <w:widowControl/>
      <w:tabs>
        <w:tab w:val="clear" w:pos="4153"/>
        <w:tab w:val="clear" w:pos="7145"/>
        <w:tab w:val="clear" w:pos="8306"/>
        <w:tab w:val="right" w:leader="dot" w:pos="6917"/>
      </w:tabs>
      <w:spacing w:before="240"/>
      <w:ind w:left="0"/>
      <w:rPr>
        <w:rFonts w:hint="cs"/>
        <w:b/>
        <w:bCs/>
      </w:rPr>
    </w:pPr>
    <w:r w:rsidRPr="000817B9">
      <w:rPr>
        <w:rFonts w:hint="cs"/>
        <w:b/>
        <w:bCs/>
        <w:rtl/>
      </w:rPr>
      <w:t>تبعية الدلالة للإرادة</w:t>
    </w:r>
    <w:r w:rsidRPr="000817B9">
      <w:rPr>
        <w:b/>
        <w:bCs/>
        <w:rtl/>
      </w:rPr>
      <w:tab/>
    </w:r>
    <w:r w:rsidRPr="000817B9">
      <w:rPr>
        <w:rStyle w:val="a8"/>
        <w:b/>
        <w:bCs/>
      </w:rPr>
      <w:fldChar w:fldCharType="begin"/>
    </w:r>
    <w:r w:rsidRPr="000817B9">
      <w:rPr>
        <w:rStyle w:val="a8"/>
        <w:b/>
        <w:bCs/>
      </w:rPr>
      <w:instrText xml:space="preserve"> PAGE </w:instrText>
    </w:r>
    <w:r w:rsidRPr="000817B9">
      <w:rPr>
        <w:rStyle w:val="a8"/>
        <w:b/>
        <w:bCs/>
      </w:rPr>
      <w:fldChar w:fldCharType="separate"/>
    </w:r>
    <w:r w:rsidR="00131774">
      <w:rPr>
        <w:rStyle w:val="a8"/>
        <w:b/>
        <w:bCs/>
        <w:rtl/>
      </w:rPr>
      <w:t>313</w:t>
    </w:r>
    <w:r w:rsidRPr="000817B9">
      <w:rPr>
        <w:rStyle w:val="a8"/>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2AB"/>
    <w:multiLevelType w:val="hybridMultilevel"/>
    <w:tmpl w:val="054CAF2C"/>
    <w:lvl w:ilvl="0" w:tplc="A42A4FF0">
      <w:start w:val="1"/>
      <w:numFmt w:val="decimal"/>
      <w:lvlText w:val="%1-"/>
      <w:lvlJc w:val="left"/>
      <w:pPr>
        <w:ind w:left="2295" w:hanging="103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7F0A50"/>
    <w:multiLevelType w:val="hybridMultilevel"/>
    <w:tmpl w:val="BBF2BA80"/>
    <w:lvl w:ilvl="0" w:tplc="2F6A8160">
      <w:start w:val="1"/>
      <w:numFmt w:val="decimal"/>
      <w:lvlText w:val="%1-"/>
      <w:lvlJc w:val="left"/>
      <w:pPr>
        <w:ind w:left="1003" w:hanging="72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 w15:restartNumberingAfterBreak="0">
    <w:nsid w:val="0FE91DE3"/>
    <w:multiLevelType w:val="hybridMultilevel"/>
    <w:tmpl w:val="0EBC94A2"/>
    <w:lvl w:ilvl="0" w:tplc="61C07A6C">
      <w:start w:val="1"/>
      <w:numFmt w:val="decimal"/>
      <w:lvlText w:val="%1-"/>
      <w:lvlJc w:val="left"/>
      <w:pPr>
        <w:ind w:left="1202" w:hanging="72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3" w15:restartNumberingAfterBreak="0">
    <w:nsid w:val="2C6303E8"/>
    <w:multiLevelType w:val="hybridMultilevel"/>
    <w:tmpl w:val="450C5084"/>
    <w:lvl w:ilvl="0" w:tplc="34D432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AA3C0A"/>
    <w:multiLevelType w:val="hybridMultilevel"/>
    <w:tmpl w:val="5CC45D92"/>
    <w:lvl w:ilvl="0" w:tplc="20747B44">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51CC53A7"/>
    <w:multiLevelType w:val="hybridMultilevel"/>
    <w:tmpl w:val="D9C4CD90"/>
    <w:lvl w:ilvl="0" w:tplc="A93E3CB8">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57C55A3D"/>
    <w:multiLevelType w:val="hybridMultilevel"/>
    <w:tmpl w:val="361AD1CA"/>
    <w:lvl w:ilvl="0" w:tplc="96583406">
      <w:numFmt w:val="bullet"/>
      <w:lvlText w:val="-"/>
      <w:lvlJc w:val="left"/>
      <w:pPr>
        <w:tabs>
          <w:tab w:val="num" w:pos="587"/>
        </w:tabs>
        <w:ind w:left="587" w:hanging="360"/>
      </w:pPr>
      <w:rPr>
        <w:rFonts w:ascii="Times New Roman" w:eastAsia="Times New Roman" w:hAnsi="Times New Roman" w:cs="Traditional Arabic" w:hint="default"/>
      </w:rPr>
    </w:lvl>
    <w:lvl w:ilvl="1" w:tplc="04090003" w:tentative="1">
      <w:start w:val="1"/>
      <w:numFmt w:val="bullet"/>
      <w:lvlText w:val="o"/>
      <w:lvlJc w:val="left"/>
      <w:pPr>
        <w:tabs>
          <w:tab w:val="num" w:pos="1307"/>
        </w:tabs>
        <w:ind w:left="1307" w:hanging="360"/>
      </w:pPr>
      <w:rPr>
        <w:rFonts w:ascii="Courier New" w:hAnsi="Courier New" w:cs="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cs="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cs="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abstractNum w:abstractNumId="7" w15:restartNumberingAfterBreak="0">
    <w:nsid w:val="5F4F1720"/>
    <w:multiLevelType w:val="hybridMultilevel"/>
    <w:tmpl w:val="5E127576"/>
    <w:lvl w:ilvl="0" w:tplc="6D084E82">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15:restartNumberingAfterBreak="0">
    <w:nsid w:val="73251521"/>
    <w:multiLevelType w:val="hybridMultilevel"/>
    <w:tmpl w:val="442259AE"/>
    <w:lvl w:ilvl="0" w:tplc="57FE21A0">
      <w:start w:val="1"/>
      <w:numFmt w:val="decimal"/>
      <w:lvlText w:val="%1-"/>
      <w:lvlJc w:val="left"/>
      <w:pPr>
        <w:ind w:left="1202" w:hanging="72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9" w15:restartNumberingAfterBreak="0">
    <w:nsid w:val="7FE25299"/>
    <w:multiLevelType w:val="hybridMultilevel"/>
    <w:tmpl w:val="6F78EE0A"/>
    <w:lvl w:ilvl="0" w:tplc="24C4F526">
      <w:start w:val="1"/>
      <w:numFmt w:val="decimal"/>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16cid:durableId="1436170520">
    <w:abstractNumId w:val="6"/>
  </w:num>
  <w:num w:numId="2" w16cid:durableId="100077692">
    <w:abstractNumId w:val="1"/>
  </w:num>
  <w:num w:numId="3" w16cid:durableId="276758609">
    <w:abstractNumId w:val="2"/>
  </w:num>
  <w:num w:numId="4" w16cid:durableId="1317685304">
    <w:abstractNumId w:val="9"/>
  </w:num>
  <w:num w:numId="5" w16cid:durableId="1528979346">
    <w:abstractNumId w:val="3"/>
  </w:num>
  <w:num w:numId="6" w16cid:durableId="703940464">
    <w:abstractNumId w:val="0"/>
  </w:num>
  <w:num w:numId="7" w16cid:durableId="1542282829">
    <w:abstractNumId w:val="8"/>
  </w:num>
  <w:num w:numId="8" w16cid:durableId="2067947967">
    <w:abstractNumId w:val="4"/>
  </w:num>
  <w:num w:numId="9" w16cid:durableId="867179974">
    <w:abstractNumId w:val="7"/>
  </w:num>
  <w:num w:numId="10" w16cid:durableId="2056737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asan"/>
  <w:evenAndOddHeaders/>
  <w:drawingGridHorizontalSpacing w:val="187"/>
  <w:displayVerticalDrawingGridEvery w:val="2"/>
  <w:characterSpacingControl w:val="doNotCompress"/>
  <w:hdrShapeDefaults>
    <o:shapedefaults v:ext="edit" spidmax="3074"/>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F8"/>
    <w:rsid w:val="00000CA6"/>
    <w:rsid w:val="00000EC1"/>
    <w:rsid w:val="000011FF"/>
    <w:rsid w:val="000015B0"/>
    <w:rsid w:val="00001D7B"/>
    <w:rsid w:val="00002044"/>
    <w:rsid w:val="00002426"/>
    <w:rsid w:val="000026AA"/>
    <w:rsid w:val="000028DB"/>
    <w:rsid w:val="00003B72"/>
    <w:rsid w:val="00003DA2"/>
    <w:rsid w:val="0000402F"/>
    <w:rsid w:val="00004A9E"/>
    <w:rsid w:val="00004B03"/>
    <w:rsid w:val="000050C4"/>
    <w:rsid w:val="000053BF"/>
    <w:rsid w:val="00006654"/>
    <w:rsid w:val="00006921"/>
    <w:rsid w:val="00006A51"/>
    <w:rsid w:val="00006D2B"/>
    <w:rsid w:val="00006F59"/>
    <w:rsid w:val="000071A2"/>
    <w:rsid w:val="00007A40"/>
    <w:rsid w:val="00007CD7"/>
    <w:rsid w:val="000103AC"/>
    <w:rsid w:val="00012800"/>
    <w:rsid w:val="0001291B"/>
    <w:rsid w:val="00012B84"/>
    <w:rsid w:val="00013370"/>
    <w:rsid w:val="0001343D"/>
    <w:rsid w:val="000135A2"/>
    <w:rsid w:val="00013743"/>
    <w:rsid w:val="00013809"/>
    <w:rsid w:val="00013814"/>
    <w:rsid w:val="00013909"/>
    <w:rsid w:val="00013B84"/>
    <w:rsid w:val="00014026"/>
    <w:rsid w:val="000140C9"/>
    <w:rsid w:val="000140F9"/>
    <w:rsid w:val="00014111"/>
    <w:rsid w:val="00014387"/>
    <w:rsid w:val="000149E5"/>
    <w:rsid w:val="00014A46"/>
    <w:rsid w:val="00014DB5"/>
    <w:rsid w:val="00014E9E"/>
    <w:rsid w:val="000153E0"/>
    <w:rsid w:val="0001544A"/>
    <w:rsid w:val="00015A2C"/>
    <w:rsid w:val="00016959"/>
    <w:rsid w:val="000169EC"/>
    <w:rsid w:val="00016A63"/>
    <w:rsid w:val="00016BEF"/>
    <w:rsid w:val="0001753E"/>
    <w:rsid w:val="0001775D"/>
    <w:rsid w:val="000177A8"/>
    <w:rsid w:val="00017994"/>
    <w:rsid w:val="000203B5"/>
    <w:rsid w:val="00020654"/>
    <w:rsid w:val="00020B24"/>
    <w:rsid w:val="00020CE3"/>
    <w:rsid w:val="00020F13"/>
    <w:rsid w:val="0002103D"/>
    <w:rsid w:val="000217A7"/>
    <w:rsid w:val="00021EC4"/>
    <w:rsid w:val="00022130"/>
    <w:rsid w:val="00022453"/>
    <w:rsid w:val="0002271F"/>
    <w:rsid w:val="000228F2"/>
    <w:rsid w:val="00022978"/>
    <w:rsid w:val="00022A4C"/>
    <w:rsid w:val="00022C1E"/>
    <w:rsid w:val="00023610"/>
    <w:rsid w:val="000242F3"/>
    <w:rsid w:val="0002478A"/>
    <w:rsid w:val="000249B9"/>
    <w:rsid w:val="00025303"/>
    <w:rsid w:val="0002563E"/>
    <w:rsid w:val="0002659E"/>
    <w:rsid w:val="00026FD4"/>
    <w:rsid w:val="00027085"/>
    <w:rsid w:val="0002719D"/>
    <w:rsid w:val="000275AF"/>
    <w:rsid w:val="00027634"/>
    <w:rsid w:val="000303CE"/>
    <w:rsid w:val="00030484"/>
    <w:rsid w:val="00030878"/>
    <w:rsid w:val="00031DFA"/>
    <w:rsid w:val="00031E51"/>
    <w:rsid w:val="00031F9D"/>
    <w:rsid w:val="0003206A"/>
    <w:rsid w:val="000320C6"/>
    <w:rsid w:val="000324F3"/>
    <w:rsid w:val="00032527"/>
    <w:rsid w:val="000328DB"/>
    <w:rsid w:val="00032CF0"/>
    <w:rsid w:val="000330A9"/>
    <w:rsid w:val="0003354E"/>
    <w:rsid w:val="000340E3"/>
    <w:rsid w:val="00034992"/>
    <w:rsid w:val="00034A83"/>
    <w:rsid w:val="00034BB8"/>
    <w:rsid w:val="00034F3E"/>
    <w:rsid w:val="00035852"/>
    <w:rsid w:val="00035A25"/>
    <w:rsid w:val="00035B5F"/>
    <w:rsid w:val="000363AC"/>
    <w:rsid w:val="0003671E"/>
    <w:rsid w:val="0003683E"/>
    <w:rsid w:val="00036B48"/>
    <w:rsid w:val="00036D8B"/>
    <w:rsid w:val="00036EAE"/>
    <w:rsid w:val="000371FD"/>
    <w:rsid w:val="0003763F"/>
    <w:rsid w:val="0003786E"/>
    <w:rsid w:val="00037E7B"/>
    <w:rsid w:val="00040099"/>
    <w:rsid w:val="00040243"/>
    <w:rsid w:val="000403C3"/>
    <w:rsid w:val="00040A28"/>
    <w:rsid w:val="00040C87"/>
    <w:rsid w:val="00040D4A"/>
    <w:rsid w:val="00040D4D"/>
    <w:rsid w:val="000410B3"/>
    <w:rsid w:val="0004110A"/>
    <w:rsid w:val="00041CB8"/>
    <w:rsid w:val="00041E5D"/>
    <w:rsid w:val="00041EE4"/>
    <w:rsid w:val="000420E9"/>
    <w:rsid w:val="00042DCA"/>
    <w:rsid w:val="00043AD0"/>
    <w:rsid w:val="00043AD7"/>
    <w:rsid w:val="00043E20"/>
    <w:rsid w:val="00043ECD"/>
    <w:rsid w:val="00044287"/>
    <w:rsid w:val="000443E4"/>
    <w:rsid w:val="0004485C"/>
    <w:rsid w:val="000452AD"/>
    <w:rsid w:val="00045715"/>
    <w:rsid w:val="00045799"/>
    <w:rsid w:val="00045DE3"/>
    <w:rsid w:val="000462D7"/>
    <w:rsid w:val="00046411"/>
    <w:rsid w:val="000465AB"/>
    <w:rsid w:val="000466A9"/>
    <w:rsid w:val="00046F16"/>
    <w:rsid w:val="0004718F"/>
    <w:rsid w:val="00047397"/>
    <w:rsid w:val="00047615"/>
    <w:rsid w:val="00047966"/>
    <w:rsid w:val="00047E9F"/>
    <w:rsid w:val="0005045E"/>
    <w:rsid w:val="0005046C"/>
    <w:rsid w:val="00051CCE"/>
    <w:rsid w:val="000527D5"/>
    <w:rsid w:val="00052908"/>
    <w:rsid w:val="00052A58"/>
    <w:rsid w:val="00052B7C"/>
    <w:rsid w:val="00052BD9"/>
    <w:rsid w:val="00052BF2"/>
    <w:rsid w:val="00053124"/>
    <w:rsid w:val="000538AF"/>
    <w:rsid w:val="00053CE3"/>
    <w:rsid w:val="0005437B"/>
    <w:rsid w:val="00054748"/>
    <w:rsid w:val="00054C0C"/>
    <w:rsid w:val="00054D71"/>
    <w:rsid w:val="000557CD"/>
    <w:rsid w:val="00055BC6"/>
    <w:rsid w:val="00055D18"/>
    <w:rsid w:val="00055E7A"/>
    <w:rsid w:val="000563CE"/>
    <w:rsid w:val="000569D4"/>
    <w:rsid w:val="00057051"/>
    <w:rsid w:val="000574FB"/>
    <w:rsid w:val="00057574"/>
    <w:rsid w:val="00057A84"/>
    <w:rsid w:val="00057D31"/>
    <w:rsid w:val="00057D64"/>
    <w:rsid w:val="00057E70"/>
    <w:rsid w:val="00060483"/>
    <w:rsid w:val="000606FD"/>
    <w:rsid w:val="0006072A"/>
    <w:rsid w:val="00060C4C"/>
    <w:rsid w:val="00061262"/>
    <w:rsid w:val="0006189C"/>
    <w:rsid w:val="000622C9"/>
    <w:rsid w:val="0006242D"/>
    <w:rsid w:val="00062461"/>
    <w:rsid w:val="000627A4"/>
    <w:rsid w:val="000627C7"/>
    <w:rsid w:val="00062AF6"/>
    <w:rsid w:val="00062BB2"/>
    <w:rsid w:val="00063209"/>
    <w:rsid w:val="00063777"/>
    <w:rsid w:val="00063B99"/>
    <w:rsid w:val="00064320"/>
    <w:rsid w:val="00064F4E"/>
    <w:rsid w:val="00065777"/>
    <w:rsid w:val="00065801"/>
    <w:rsid w:val="00065FB3"/>
    <w:rsid w:val="000665D3"/>
    <w:rsid w:val="000667B2"/>
    <w:rsid w:val="00066A7E"/>
    <w:rsid w:val="00067003"/>
    <w:rsid w:val="00067063"/>
    <w:rsid w:val="000670F2"/>
    <w:rsid w:val="00067B38"/>
    <w:rsid w:val="00067E52"/>
    <w:rsid w:val="000700AE"/>
    <w:rsid w:val="000700DD"/>
    <w:rsid w:val="000709BD"/>
    <w:rsid w:val="00071250"/>
    <w:rsid w:val="000714FE"/>
    <w:rsid w:val="000717A3"/>
    <w:rsid w:val="0007274D"/>
    <w:rsid w:val="0007283A"/>
    <w:rsid w:val="00072D5C"/>
    <w:rsid w:val="000734A7"/>
    <w:rsid w:val="00073B1B"/>
    <w:rsid w:val="00073F88"/>
    <w:rsid w:val="000740A0"/>
    <w:rsid w:val="000740E0"/>
    <w:rsid w:val="000740E9"/>
    <w:rsid w:val="0007429C"/>
    <w:rsid w:val="00074BED"/>
    <w:rsid w:val="00075220"/>
    <w:rsid w:val="0007554D"/>
    <w:rsid w:val="00076349"/>
    <w:rsid w:val="00076F8F"/>
    <w:rsid w:val="000770FC"/>
    <w:rsid w:val="00077317"/>
    <w:rsid w:val="000776D5"/>
    <w:rsid w:val="00077B74"/>
    <w:rsid w:val="00077BA4"/>
    <w:rsid w:val="00077C16"/>
    <w:rsid w:val="00077E4A"/>
    <w:rsid w:val="000808B9"/>
    <w:rsid w:val="00080B88"/>
    <w:rsid w:val="00080C62"/>
    <w:rsid w:val="000813F0"/>
    <w:rsid w:val="000814CA"/>
    <w:rsid w:val="000816F3"/>
    <w:rsid w:val="00081792"/>
    <w:rsid w:val="000817B9"/>
    <w:rsid w:val="00081B00"/>
    <w:rsid w:val="00081B17"/>
    <w:rsid w:val="00081F2B"/>
    <w:rsid w:val="00082208"/>
    <w:rsid w:val="000824CA"/>
    <w:rsid w:val="00082A58"/>
    <w:rsid w:val="00082B08"/>
    <w:rsid w:val="00083043"/>
    <w:rsid w:val="000830CE"/>
    <w:rsid w:val="0008362E"/>
    <w:rsid w:val="00083852"/>
    <w:rsid w:val="00083881"/>
    <w:rsid w:val="00083AA3"/>
    <w:rsid w:val="0008414C"/>
    <w:rsid w:val="00084150"/>
    <w:rsid w:val="0008424F"/>
    <w:rsid w:val="00084288"/>
    <w:rsid w:val="000844B2"/>
    <w:rsid w:val="0008464F"/>
    <w:rsid w:val="0008558E"/>
    <w:rsid w:val="000856AF"/>
    <w:rsid w:val="00085755"/>
    <w:rsid w:val="0008579D"/>
    <w:rsid w:val="00085819"/>
    <w:rsid w:val="000859CC"/>
    <w:rsid w:val="00086763"/>
    <w:rsid w:val="00086C0C"/>
    <w:rsid w:val="00087204"/>
    <w:rsid w:val="0008723C"/>
    <w:rsid w:val="0009005F"/>
    <w:rsid w:val="000901B2"/>
    <w:rsid w:val="00090501"/>
    <w:rsid w:val="000905FE"/>
    <w:rsid w:val="00090B1E"/>
    <w:rsid w:val="00090E11"/>
    <w:rsid w:val="00091A03"/>
    <w:rsid w:val="00091AFD"/>
    <w:rsid w:val="00091B08"/>
    <w:rsid w:val="00091F65"/>
    <w:rsid w:val="00091FBB"/>
    <w:rsid w:val="00092271"/>
    <w:rsid w:val="000928EC"/>
    <w:rsid w:val="000938D5"/>
    <w:rsid w:val="00093A7A"/>
    <w:rsid w:val="00094282"/>
    <w:rsid w:val="00094501"/>
    <w:rsid w:val="0009469C"/>
    <w:rsid w:val="00094A92"/>
    <w:rsid w:val="00094F6E"/>
    <w:rsid w:val="0009513C"/>
    <w:rsid w:val="000953A2"/>
    <w:rsid w:val="00095F88"/>
    <w:rsid w:val="00096772"/>
    <w:rsid w:val="000970D1"/>
    <w:rsid w:val="00097312"/>
    <w:rsid w:val="0009762A"/>
    <w:rsid w:val="000979ED"/>
    <w:rsid w:val="00097A05"/>
    <w:rsid w:val="00097BB3"/>
    <w:rsid w:val="00097E87"/>
    <w:rsid w:val="00097F57"/>
    <w:rsid w:val="000A00DE"/>
    <w:rsid w:val="000A014C"/>
    <w:rsid w:val="000A054A"/>
    <w:rsid w:val="000A087C"/>
    <w:rsid w:val="000A0A9C"/>
    <w:rsid w:val="000A0E30"/>
    <w:rsid w:val="000A16F8"/>
    <w:rsid w:val="000A1B20"/>
    <w:rsid w:val="000A1B32"/>
    <w:rsid w:val="000A1C32"/>
    <w:rsid w:val="000A20EC"/>
    <w:rsid w:val="000A2C5D"/>
    <w:rsid w:val="000A2FBD"/>
    <w:rsid w:val="000A336D"/>
    <w:rsid w:val="000A3412"/>
    <w:rsid w:val="000A3FB1"/>
    <w:rsid w:val="000A45BE"/>
    <w:rsid w:val="000A48C8"/>
    <w:rsid w:val="000A4D7E"/>
    <w:rsid w:val="000A4DCB"/>
    <w:rsid w:val="000A4DDA"/>
    <w:rsid w:val="000A4E5F"/>
    <w:rsid w:val="000A58C7"/>
    <w:rsid w:val="000A5AC8"/>
    <w:rsid w:val="000A6008"/>
    <w:rsid w:val="000A65ED"/>
    <w:rsid w:val="000A6663"/>
    <w:rsid w:val="000A66D5"/>
    <w:rsid w:val="000A6B9F"/>
    <w:rsid w:val="000A6E5C"/>
    <w:rsid w:val="000A7208"/>
    <w:rsid w:val="000A7F9C"/>
    <w:rsid w:val="000B05CA"/>
    <w:rsid w:val="000B072F"/>
    <w:rsid w:val="000B0A38"/>
    <w:rsid w:val="000B0E1A"/>
    <w:rsid w:val="000B0E61"/>
    <w:rsid w:val="000B11D9"/>
    <w:rsid w:val="000B1202"/>
    <w:rsid w:val="000B1294"/>
    <w:rsid w:val="000B12D0"/>
    <w:rsid w:val="000B13DD"/>
    <w:rsid w:val="000B1968"/>
    <w:rsid w:val="000B19D8"/>
    <w:rsid w:val="000B1BC0"/>
    <w:rsid w:val="000B20BA"/>
    <w:rsid w:val="000B2EB0"/>
    <w:rsid w:val="000B39A8"/>
    <w:rsid w:val="000B3A1D"/>
    <w:rsid w:val="000B3B4A"/>
    <w:rsid w:val="000B3BDE"/>
    <w:rsid w:val="000B3C8C"/>
    <w:rsid w:val="000B42F7"/>
    <w:rsid w:val="000B445D"/>
    <w:rsid w:val="000B47D4"/>
    <w:rsid w:val="000B48B5"/>
    <w:rsid w:val="000B4AB4"/>
    <w:rsid w:val="000B4DEB"/>
    <w:rsid w:val="000B4F6D"/>
    <w:rsid w:val="000B5233"/>
    <w:rsid w:val="000B6132"/>
    <w:rsid w:val="000B6D18"/>
    <w:rsid w:val="000B712F"/>
    <w:rsid w:val="000B7223"/>
    <w:rsid w:val="000B75ED"/>
    <w:rsid w:val="000B798E"/>
    <w:rsid w:val="000B7E57"/>
    <w:rsid w:val="000B7E9E"/>
    <w:rsid w:val="000C0C18"/>
    <w:rsid w:val="000C0C7E"/>
    <w:rsid w:val="000C1922"/>
    <w:rsid w:val="000C1B11"/>
    <w:rsid w:val="000C21C0"/>
    <w:rsid w:val="000C23CD"/>
    <w:rsid w:val="000C26F6"/>
    <w:rsid w:val="000C2BD3"/>
    <w:rsid w:val="000C314D"/>
    <w:rsid w:val="000C3638"/>
    <w:rsid w:val="000C3B1A"/>
    <w:rsid w:val="000C5011"/>
    <w:rsid w:val="000C5194"/>
    <w:rsid w:val="000C5199"/>
    <w:rsid w:val="000C5601"/>
    <w:rsid w:val="000C5892"/>
    <w:rsid w:val="000C59A2"/>
    <w:rsid w:val="000C5AEE"/>
    <w:rsid w:val="000C5BBA"/>
    <w:rsid w:val="000C5F97"/>
    <w:rsid w:val="000C677F"/>
    <w:rsid w:val="000C74D2"/>
    <w:rsid w:val="000C77FD"/>
    <w:rsid w:val="000C797D"/>
    <w:rsid w:val="000C79DA"/>
    <w:rsid w:val="000D060F"/>
    <w:rsid w:val="000D093C"/>
    <w:rsid w:val="000D11F4"/>
    <w:rsid w:val="000D1560"/>
    <w:rsid w:val="000D1832"/>
    <w:rsid w:val="000D1B93"/>
    <w:rsid w:val="000D226E"/>
    <w:rsid w:val="000D335C"/>
    <w:rsid w:val="000D33DA"/>
    <w:rsid w:val="000D36CC"/>
    <w:rsid w:val="000D39BA"/>
    <w:rsid w:val="000D3A51"/>
    <w:rsid w:val="000D41E5"/>
    <w:rsid w:val="000D475C"/>
    <w:rsid w:val="000D47FF"/>
    <w:rsid w:val="000D4946"/>
    <w:rsid w:val="000D49DC"/>
    <w:rsid w:val="000D4B35"/>
    <w:rsid w:val="000D4C60"/>
    <w:rsid w:val="000D6727"/>
    <w:rsid w:val="000D6A4B"/>
    <w:rsid w:val="000D6BCB"/>
    <w:rsid w:val="000D6D3A"/>
    <w:rsid w:val="000D7A69"/>
    <w:rsid w:val="000D7EC8"/>
    <w:rsid w:val="000E0413"/>
    <w:rsid w:val="000E09CA"/>
    <w:rsid w:val="000E10E9"/>
    <w:rsid w:val="000E110E"/>
    <w:rsid w:val="000E1A6D"/>
    <w:rsid w:val="000E2397"/>
    <w:rsid w:val="000E2683"/>
    <w:rsid w:val="000E2B33"/>
    <w:rsid w:val="000E2C38"/>
    <w:rsid w:val="000E3B4C"/>
    <w:rsid w:val="000E3CB9"/>
    <w:rsid w:val="000E3E35"/>
    <w:rsid w:val="000E4158"/>
    <w:rsid w:val="000E5183"/>
    <w:rsid w:val="000E58C7"/>
    <w:rsid w:val="000E5FDC"/>
    <w:rsid w:val="000E69BF"/>
    <w:rsid w:val="000E6DB1"/>
    <w:rsid w:val="000E6E7A"/>
    <w:rsid w:val="000E6F77"/>
    <w:rsid w:val="000E7B85"/>
    <w:rsid w:val="000E7CEB"/>
    <w:rsid w:val="000F0145"/>
    <w:rsid w:val="000F05E4"/>
    <w:rsid w:val="000F0AAD"/>
    <w:rsid w:val="000F0DD6"/>
    <w:rsid w:val="000F0DFC"/>
    <w:rsid w:val="000F18F1"/>
    <w:rsid w:val="000F1F7D"/>
    <w:rsid w:val="000F2870"/>
    <w:rsid w:val="000F29B3"/>
    <w:rsid w:val="000F2A89"/>
    <w:rsid w:val="000F2B38"/>
    <w:rsid w:val="000F3203"/>
    <w:rsid w:val="000F3439"/>
    <w:rsid w:val="000F3582"/>
    <w:rsid w:val="000F37E0"/>
    <w:rsid w:val="000F3848"/>
    <w:rsid w:val="000F38CC"/>
    <w:rsid w:val="000F3C16"/>
    <w:rsid w:val="000F3FBE"/>
    <w:rsid w:val="000F4047"/>
    <w:rsid w:val="000F42E6"/>
    <w:rsid w:val="000F4414"/>
    <w:rsid w:val="000F4D18"/>
    <w:rsid w:val="000F4D8C"/>
    <w:rsid w:val="000F5136"/>
    <w:rsid w:val="000F5574"/>
    <w:rsid w:val="000F5EC0"/>
    <w:rsid w:val="000F612D"/>
    <w:rsid w:val="000F66F2"/>
    <w:rsid w:val="000F686D"/>
    <w:rsid w:val="000F6EB5"/>
    <w:rsid w:val="000F7004"/>
    <w:rsid w:val="000F71E0"/>
    <w:rsid w:val="000F72F5"/>
    <w:rsid w:val="000F756B"/>
    <w:rsid w:val="000F7672"/>
    <w:rsid w:val="000F774C"/>
    <w:rsid w:val="000F7893"/>
    <w:rsid w:val="000F79A2"/>
    <w:rsid w:val="000F79F9"/>
    <w:rsid w:val="000F7BF0"/>
    <w:rsid w:val="000F7DBA"/>
    <w:rsid w:val="0010025B"/>
    <w:rsid w:val="00100990"/>
    <w:rsid w:val="00100C84"/>
    <w:rsid w:val="00100ED0"/>
    <w:rsid w:val="00101557"/>
    <w:rsid w:val="00101848"/>
    <w:rsid w:val="00101B46"/>
    <w:rsid w:val="00102BAE"/>
    <w:rsid w:val="0010363E"/>
    <w:rsid w:val="00103928"/>
    <w:rsid w:val="00103C21"/>
    <w:rsid w:val="00103C62"/>
    <w:rsid w:val="00103D0C"/>
    <w:rsid w:val="00104222"/>
    <w:rsid w:val="00104A5D"/>
    <w:rsid w:val="00104DC6"/>
    <w:rsid w:val="00105148"/>
    <w:rsid w:val="0010524D"/>
    <w:rsid w:val="00105E5A"/>
    <w:rsid w:val="00105E65"/>
    <w:rsid w:val="00106ABF"/>
    <w:rsid w:val="001070B3"/>
    <w:rsid w:val="001073A4"/>
    <w:rsid w:val="00107CDC"/>
    <w:rsid w:val="00107D1E"/>
    <w:rsid w:val="00107F38"/>
    <w:rsid w:val="00107FC6"/>
    <w:rsid w:val="00110080"/>
    <w:rsid w:val="001106F2"/>
    <w:rsid w:val="00110937"/>
    <w:rsid w:val="001116B1"/>
    <w:rsid w:val="00111885"/>
    <w:rsid w:val="00111DC5"/>
    <w:rsid w:val="00111E0D"/>
    <w:rsid w:val="00112240"/>
    <w:rsid w:val="00112D76"/>
    <w:rsid w:val="00113802"/>
    <w:rsid w:val="001139A8"/>
    <w:rsid w:val="00113A3C"/>
    <w:rsid w:val="00113DD4"/>
    <w:rsid w:val="00114397"/>
    <w:rsid w:val="00114521"/>
    <w:rsid w:val="00114635"/>
    <w:rsid w:val="0011498F"/>
    <w:rsid w:val="00114F6E"/>
    <w:rsid w:val="001150BE"/>
    <w:rsid w:val="001154E8"/>
    <w:rsid w:val="00115965"/>
    <w:rsid w:val="00115D1C"/>
    <w:rsid w:val="001163DE"/>
    <w:rsid w:val="00116A02"/>
    <w:rsid w:val="00116F41"/>
    <w:rsid w:val="00117579"/>
    <w:rsid w:val="001175A8"/>
    <w:rsid w:val="0011763B"/>
    <w:rsid w:val="00117690"/>
    <w:rsid w:val="00117B0D"/>
    <w:rsid w:val="001207B7"/>
    <w:rsid w:val="001209B2"/>
    <w:rsid w:val="00121336"/>
    <w:rsid w:val="001217F5"/>
    <w:rsid w:val="0012251B"/>
    <w:rsid w:val="00122BB0"/>
    <w:rsid w:val="00122F17"/>
    <w:rsid w:val="00123151"/>
    <w:rsid w:val="001238C0"/>
    <w:rsid w:val="00123B5B"/>
    <w:rsid w:val="00123EA1"/>
    <w:rsid w:val="0012486D"/>
    <w:rsid w:val="0012497C"/>
    <w:rsid w:val="001249F9"/>
    <w:rsid w:val="00125120"/>
    <w:rsid w:val="001252A2"/>
    <w:rsid w:val="001258ED"/>
    <w:rsid w:val="001267E4"/>
    <w:rsid w:val="001275DB"/>
    <w:rsid w:val="00127813"/>
    <w:rsid w:val="001279FC"/>
    <w:rsid w:val="00127CB3"/>
    <w:rsid w:val="001302A3"/>
    <w:rsid w:val="00130592"/>
    <w:rsid w:val="00130A89"/>
    <w:rsid w:val="00131322"/>
    <w:rsid w:val="001314BF"/>
    <w:rsid w:val="00131774"/>
    <w:rsid w:val="00131885"/>
    <w:rsid w:val="0013341E"/>
    <w:rsid w:val="001340C7"/>
    <w:rsid w:val="00134130"/>
    <w:rsid w:val="00134660"/>
    <w:rsid w:val="00134D50"/>
    <w:rsid w:val="0013515E"/>
    <w:rsid w:val="00135368"/>
    <w:rsid w:val="0013577D"/>
    <w:rsid w:val="001363DA"/>
    <w:rsid w:val="00136C1D"/>
    <w:rsid w:val="00137387"/>
    <w:rsid w:val="0013768B"/>
    <w:rsid w:val="00137871"/>
    <w:rsid w:val="00137D83"/>
    <w:rsid w:val="00137E7C"/>
    <w:rsid w:val="001408F5"/>
    <w:rsid w:val="00140E4C"/>
    <w:rsid w:val="00140E71"/>
    <w:rsid w:val="00140E75"/>
    <w:rsid w:val="00140F64"/>
    <w:rsid w:val="00141046"/>
    <w:rsid w:val="0014109C"/>
    <w:rsid w:val="00141685"/>
    <w:rsid w:val="00142012"/>
    <w:rsid w:val="00142356"/>
    <w:rsid w:val="00142397"/>
    <w:rsid w:val="001425DF"/>
    <w:rsid w:val="00142B42"/>
    <w:rsid w:val="0014312A"/>
    <w:rsid w:val="00143C9A"/>
    <w:rsid w:val="00144BB9"/>
    <w:rsid w:val="00145BC5"/>
    <w:rsid w:val="00145DC2"/>
    <w:rsid w:val="0014616E"/>
    <w:rsid w:val="0014691A"/>
    <w:rsid w:val="0014709C"/>
    <w:rsid w:val="001478F5"/>
    <w:rsid w:val="00147F94"/>
    <w:rsid w:val="001508B2"/>
    <w:rsid w:val="00150E4D"/>
    <w:rsid w:val="00150E9E"/>
    <w:rsid w:val="00150FB1"/>
    <w:rsid w:val="00151889"/>
    <w:rsid w:val="001518C2"/>
    <w:rsid w:val="001519DB"/>
    <w:rsid w:val="00151D10"/>
    <w:rsid w:val="00151FF8"/>
    <w:rsid w:val="001527CB"/>
    <w:rsid w:val="00152E8A"/>
    <w:rsid w:val="001531BE"/>
    <w:rsid w:val="0015456C"/>
    <w:rsid w:val="001546C8"/>
    <w:rsid w:val="001547CF"/>
    <w:rsid w:val="00154971"/>
    <w:rsid w:val="00154CFA"/>
    <w:rsid w:val="00155172"/>
    <w:rsid w:val="001556FD"/>
    <w:rsid w:val="00155799"/>
    <w:rsid w:val="00155D4A"/>
    <w:rsid w:val="00156624"/>
    <w:rsid w:val="0015678D"/>
    <w:rsid w:val="00156D17"/>
    <w:rsid w:val="00157156"/>
    <w:rsid w:val="00157B46"/>
    <w:rsid w:val="00160235"/>
    <w:rsid w:val="00160892"/>
    <w:rsid w:val="00160A02"/>
    <w:rsid w:val="00160A17"/>
    <w:rsid w:val="00160D85"/>
    <w:rsid w:val="00160F5F"/>
    <w:rsid w:val="00160F65"/>
    <w:rsid w:val="00160FBD"/>
    <w:rsid w:val="00161200"/>
    <w:rsid w:val="0016133F"/>
    <w:rsid w:val="00161647"/>
    <w:rsid w:val="00162907"/>
    <w:rsid w:val="00162CDD"/>
    <w:rsid w:val="00162FC5"/>
    <w:rsid w:val="001642E5"/>
    <w:rsid w:val="001645A8"/>
    <w:rsid w:val="00164B08"/>
    <w:rsid w:val="00164F39"/>
    <w:rsid w:val="0016546C"/>
    <w:rsid w:val="00165EA6"/>
    <w:rsid w:val="00166D08"/>
    <w:rsid w:val="00166DFC"/>
    <w:rsid w:val="00167A42"/>
    <w:rsid w:val="00167EEC"/>
    <w:rsid w:val="00167F88"/>
    <w:rsid w:val="00170C59"/>
    <w:rsid w:val="00170FE7"/>
    <w:rsid w:val="0017119D"/>
    <w:rsid w:val="00171BC9"/>
    <w:rsid w:val="00171FE0"/>
    <w:rsid w:val="001724BE"/>
    <w:rsid w:val="001725E5"/>
    <w:rsid w:val="0017269B"/>
    <w:rsid w:val="0017288F"/>
    <w:rsid w:val="00172CBF"/>
    <w:rsid w:val="001737D5"/>
    <w:rsid w:val="001738C4"/>
    <w:rsid w:val="001739E0"/>
    <w:rsid w:val="00173A2F"/>
    <w:rsid w:val="00174B10"/>
    <w:rsid w:val="00175177"/>
    <w:rsid w:val="001753AA"/>
    <w:rsid w:val="001756AA"/>
    <w:rsid w:val="00175B08"/>
    <w:rsid w:val="00175B27"/>
    <w:rsid w:val="00175EE2"/>
    <w:rsid w:val="001763F8"/>
    <w:rsid w:val="001764C0"/>
    <w:rsid w:val="001766F2"/>
    <w:rsid w:val="00176B2B"/>
    <w:rsid w:val="0017762E"/>
    <w:rsid w:val="00177A1D"/>
    <w:rsid w:val="00177A93"/>
    <w:rsid w:val="00177C63"/>
    <w:rsid w:val="00177C96"/>
    <w:rsid w:val="00177FDC"/>
    <w:rsid w:val="001802C4"/>
    <w:rsid w:val="001806CD"/>
    <w:rsid w:val="001807B9"/>
    <w:rsid w:val="0018124B"/>
    <w:rsid w:val="00181275"/>
    <w:rsid w:val="001814C1"/>
    <w:rsid w:val="0018171B"/>
    <w:rsid w:val="00181959"/>
    <w:rsid w:val="00181EBF"/>
    <w:rsid w:val="001823B3"/>
    <w:rsid w:val="001823C7"/>
    <w:rsid w:val="0018246E"/>
    <w:rsid w:val="0018247B"/>
    <w:rsid w:val="00182A3D"/>
    <w:rsid w:val="00182DA6"/>
    <w:rsid w:val="00183852"/>
    <w:rsid w:val="00184134"/>
    <w:rsid w:val="00184290"/>
    <w:rsid w:val="00184411"/>
    <w:rsid w:val="00184C09"/>
    <w:rsid w:val="00184DAB"/>
    <w:rsid w:val="001853D7"/>
    <w:rsid w:val="00185B8A"/>
    <w:rsid w:val="00185CA8"/>
    <w:rsid w:val="00186047"/>
    <w:rsid w:val="001860EC"/>
    <w:rsid w:val="0018617D"/>
    <w:rsid w:val="0018679D"/>
    <w:rsid w:val="00187B8E"/>
    <w:rsid w:val="001902DD"/>
    <w:rsid w:val="001907F8"/>
    <w:rsid w:val="00190839"/>
    <w:rsid w:val="00190C3A"/>
    <w:rsid w:val="00191E6C"/>
    <w:rsid w:val="00192018"/>
    <w:rsid w:val="001921F4"/>
    <w:rsid w:val="00192526"/>
    <w:rsid w:val="00192647"/>
    <w:rsid w:val="00192703"/>
    <w:rsid w:val="00193724"/>
    <w:rsid w:val="001944C8"/>
    <w:rsid w:val="00194A80"/>
    <w:rsid w:val="00194EA5"/>
    <w:rsid w:val="0019523F"/>
    <w:rsid w:val="00195388"/>
    <w:rsid w:val="0019590C"/>
    <w:rsid w:val="001959FD"/>
    <w:rsid w:val="00195BBC"/>
    <w:rsid w:val="00195F08"/>
    <w:rsid w:val="00196EF7"/>
    <w:rsid w:val="0019716D"/>
    <w:rsid w:val="00197584"/>
    <w:rsid w:val="001975FB"/>
    <w:rsid w:val="00197AE2"/>
    <w:rsid w:val="001A0EB7"/>
    <w:rsid w:val="001A10EB"/>
    <w:rsid w:val="001A116C"/>
    <w:rsid w:val="001A14D2"/>
    <w:rsid w:val="001A1530"/>
    <w:rsid w:val="001A1E09"/>
    <w:rsid w:val="001A2876"/>
    <w:rsid w:val="001A28BC"/>
    <w:rsid w:val="001A2B65"/>
    <w:rsid w:val="001A3470"/>
    <w:rsid w:val="001A3FB0"/>
    <w:rsid w:val="001A4007"/>
    <w:rsid w:val="001A40BB"/>
    <w:rsid w:val="001A42D0"/>
    <w:rsid w:val="001A464A"/>
    <w:rsid w:val="001A4880"/>
    <w:rsid w:val="001A49C2"/>
    <w:rsid w:val="001A5194"/>
    <w:rsid w:val="001A51E9"/>
    <w:rsid w:val="001A5769"/>
    <w:rsid w:val="001A5C05"/>
    <w:rsid w:val="001A5E03"/>
    <w:rsid w:val="001A6452"/>
    <w:rsid w:val="001A661A"/>
    <w:rsid w:val="001A680D"/>
    <w:rsid w:val="001A6C79"/>
    <w:rsid w:val="001A705E"/>
    <w:rsid w:val="001A719C"/>
    <w:rsid w:val="001A72BA"/>
    <w:rsid w:val="001A7DF8"/>
    <w:rsid w:val="001B0032"/>
    <w:rsid w:val="001B0C7A"/>
    <w:rsid w:val="001B0DA6"/>
    <w:rsid w:val="001B10BC"/>
    <w:rsid w:val="001B159C"/>
    <w:rsid w:val="001B16E4"/>
    <w:rsid w:val="001B1A53"/>
    <w:rsid w:val="001B1F9E"/>
    <w:rsid w:val="001B2AB3"/>
    <w:rsid w:val="001B30A8"/>
    <w:rsid w:val="001B3112"/>
    <w:rsid w:val="001B3747"/>
    <w:rsid w:val="001B39EE"/>
    <w:rsid w:val="001B3D80"/>
    <w:rsid w:val="001B3F8D"/>
    <w:rsid w:val="001B41CD"/>
    <w:rsid w:val="001B42A7"/>
    <w:rsid w:val="001B4457"/>
    <w:rsid w:val="001B48ED"/>
    <w:rsid w:val="001B4D9A"/>
    <w:rsid w:val="001B4F1B"/>
    <w:rsid w:val="001B4FD8"/>
    <w:rsid w:val="001B5176"/>
    <w:rsid w:val="001B546D"/>
    <w:rsid w:val="001B5726"/>
    <w:rsid w:val="001B5CA4"/>
    <w:rsid w:val="001B63C6"/>
    <w:rsid w:val="001B6593"/>
    <w:rsid w:val="001B6B2E"/>
    <w:rsid w:val="001B6B84"/>
    <w:rsid w:val="001B71F1"/>
    <w:rsid w:val="001B725A"/>
    <w:rsid w:val="001B7486"/>
    <w:rsid w:val="001B758C"/>
    <w:rsid w:val="001B792F"/>
    <w:rsid w:val="001B7A17"/>
    <w:rsid w:val="001B7B2E"/>
    <w:rsid w:val="001B7B54"/>
    <w:rsid w:val="001B7CAD"/>
    <w:rsid w:val="001C00B5"/>
    <w:rsid w:val="001C0210"/>
    <w:rsid w:val="001C0724"/>
    <w:rsid w:val="001C0761"/>
    <w:rsid w:val="001C0BD3"/>
    <w:rsid w:val="001C12E7"/>
    <w:rsid w:val="001C1332"/>
    <w:rsid w:val="001C1378"/>
    <w:rsid w:val="001C168D"/>
    <w:rsid w:val="001C2034"/>
    <w:rsid w:val="001C2BE4"/>
    <w:rsid w:val="001C2D1C"/>
    <w:rsid w:val="001C2E79"/>
    <w:rsid w:val="001C2ECE"/>
    <w:rsid w:val="001C370F"/>
    <w:rsid w:val="001C3B71"/>
    <w:rsid w:val="001C3D33"/>
    <w:rsid w:val="001C3E62"/>
    <w:rsid w:val="001C3F48"/>
    <w:rsid w:val="001C4124"/>
    <w:rsid w:val="001C42C0"/>
    <w:rsid w:val="001C5098"/>
    <w:rsid w:val="001C5944"/>
    <w:rsid w:val="001C69EA"/>
    <w:rsid w:val="001C6A1C"/>
    <w:rsid w:val="001C73C7"/>
    <w:rsid w:val="001C797D"/>
    <w:rsid w:val="001D0030"/>
    <w:rsid w:val="001D04EF"/>
    <w:rsid w:val="001D0566"/>
    <w:rsid w:val="001D0AF1"/>
    <w:rsid w:val="001D0B7F"/>
    <w:rsid w:val="001D0C39"/>
    <w:rsid w:val="001D118E"/>
    <w:rsid w:val="001D1F79"/>
    <w:rsid w:val="001D23F8"/>
    <w:rsid w:val="001D2915"/>
    <w:rsid w:val="001D291D"/>
    <w:rsid w:val="001D2D89"/>
    <w:rsid w:val="001D3558"/>
    <w:rsid w:val="001D3A41"/>
    <w:rsid w:val="001D3AE6"/>
    <w:rsid w:val="001D3FC2"/>
    <w:rsid w:val="001D4F66"/>
    <w:rsid w:val="001D51D5"/>
    <w:rsid w:val="001D52B0"/>
    <w:rsid w:val="001D554C"/>
    <w:rsid w:val="001D58C4"/>
    <w:rsid w:val="001D5BF0"/>
    <w:rsid w:val="001D5C81"/>
    <w:rsid w:val="001D5EF1"/>
    <w:rsid w:val="001D5EF2"/>
    <w:rsid w:val="001D6076"/>
    <w:rsid w:val="001D6B05"/>
    <w:rsid w:val="001D6C00"/>
    <w:rsid w:val="001D734A"/>
    <w:rsid w:val="001D760A"/>
    <w:rsid w:val="001D7B2B"/>
    <w:rsid w:val="001D7E5F"/>
    <w:rsid w:val="001E0401"/>
    <w:rsid w:val="001E0846"/>
    <w:rsid w:val="001E0BB5"/>
    <w:rsid w:val="001E0D12"/>
    <w:rsid w:val="001E120D"/>
    <w:rsid w:val="001E172C"/>
    <w:rsid w:val="001E1F56"/>
    <w:rsid w:val="001E21DD"/>
    <w:rsid w:val="001E284A"/>
    <w:rsid w:val="001E286F"/>
    <w:rsid w:val="001E2BD5"/>
    <w:rsid w:val="001E2C3C"/>
    <w:rsid w:val="001E2C4B"/>
    <w:rsid w:val="001E3380"/>
    <w:rsid w:val="001E370E"/>
    <w:rsid w:val="001E385A"/>
    <w:rsid w:val="001E3883"/>
    <w:rsid w:val="001E3DC7"/>
    <w:rsid w:val="001E45AD"/>
    <w:rsid w:val="001E4AEF"/>
    <w:rsid w:val="001E4B51"/>
    <w:rsid w:val="001E52A2"/>
    <w:rsid w:val="001E5347"/>
    <w:rsid w:val="001E568E"/>
    <w:rsid w:val="001E6779"/>
    <w:rsid w:val="001E6982"/>
    <w:rsid w:val="001E6FE9"/>
    <w:rsid w:val="001E730B"/>
    <w:rsid w:val="001E73C7"/>
    <w:rsid w:val="001E7958"/>
    <w:rsid w:val="001F0194"/>
    <w:rsid w:val="001F05A7"/>
    <w:rsid w:val="001F0760"/>
    <w:rsid w:val="001F0AF9"/>
    <w:rsid w:val="001F0DF8"/>
    <w:rsid w:val="001F0E48"/>
    <w:rsid w:val="001F113F"/>
    <w:rsid w:val="001F1703"/>
    <w:rsid w:val="001F19C5"/>
    <w:rsid w:val="001F1BE3"/>
    <w:rsid w:val="001F1EEC"/>
    <w:rsid w:val="001F278C"/>
    <w:rsid w:val="001F2B17"/>
    <w:rsid w:val="001F2B31"/>
    <w:rsid w:val="001F2C1E"/>
    <w:rsid w:val="001F2FC6"/>
    <w:rsid w:val="001F33F2"/>
    <w:rsid w:val="001F349F"/>
    <w:rsid w:val="001F37C9"/>
    <w:rsid w:val="001F3E3E"/>
    <w:rsid w:val="001F4028"/>
    <w:rsid w:val="001F4079"/>
    <w:rsid w:val="001F439B"/>
    <w:rsid w:val="001F4CBB"/>
    <w:rsid w:val="001F55DE"/>
    <w:rsid w:val="001F55FE"/>
    <w:rsid w:val="001F5665"/>
    <w:rsid w:val="001F5976"/>
    <w:rsid w:val="001F5CC7"/>
    <w:rsid w:val="001F5DE4"/>
    <w:rsid w:val="001F5E2A"/>
    <w:rsid w:val="001F6408"/>
    <w:rsid w:val="001F6C19"/>
    <w:rsid w:val="001F6DBE"/>
    <w:rsid w:val="001F6F91"/>
    <w:rsid w:val="001F6FCB"/>
    <w:rsid w:val="001F7342"/>
    <w:rsid w:val="001F7915"/>
    <w:rsid w:val="001F7AEE"/>
    <w:rsid w:val="00200AB7"/>
    <w:rsid w:val="00200B4F"/>
    <w:rsid w:val="00201ACE"/>
    <w:rsid w:val="00202701"/>
    <w:rsid w:val="00202D2B"/>
    <w:rsid w:val="00202F1F"/>
    <w:rsid w:val="002031CD"/>
    <w:rsid w:val="0020329F"/>
    <w:rsid w:val="002034A8"/>
    <w:rsid w:val="00203693"/>
    <w:rsid w:val="00203A08"/>
    <w:rsid w:val="00203C52"/>
    <w:rsid w:val="00204361"/>
    <w:rsid w:val="002049EF"/>
    <w:rsid w:val="00205556"/>
    <w:rsid w:val="00205570"/>
    <w:rsid w:val="00205B02"/>
    <w:rsid w:val="00205B5D"/>
    <w:rsid w:val="00205FD5"/>
    <w:rsid w:val="00206440"/>
    <w:rsid w:val="002069B5"/>
    <w:rsid w:val="002071B9"/>
    <w:rsid w:val="0020735B"/>
    <w:rsid w:val="002074FA"/>
    <w:rsid w:val="002101EC"/>
    <w:rsid w:val="00210474"/>
    <w:rsid w:val="0021060D"/>
    <w:rsid w:val="002106A5"/>
    <w:rsid w:val="00210F6A"/>
    <w:rsid w:val="00211681"/>
    <w:rsid w:val="00211A89"/>
    <w:rsid w:val="00211AC2"/>
    <w:rsid w:val="00211C80"/>
    <w:rsid w:val="00212207"/>
    <w:rsid w:val="00212462"/>
    <w:rsid w:val="002126E7"/>
    <w:rsid w:val="00212B5F"/>
    <w:rsid w:val="00212C77"/>
    <w:rsid w:val="00212CD2"/>
    <w:rsid w:val="00212E26"/>
    <w:rsid w:val="00212FE5"/>
    <w:rsid w:val="0021345E"/>
    <w:rsid w:val="0021355D"/>
    <w:rsid w:val="00213862"/>
    <w:rsid w:val="0021406F"/>
    <w:rsid w:val="002141FD"/>
    <w:rsid w:val="00214C82"/>
    <w:rsid w:val="00215812"/>
    <w:rsid w:val="00215CCD"/>
    <w:rsid w:val="00216578"/>
    <w:rsid w:val="00216D8E"/>
    <w:rsid w:val="00216F34"/>
    <w:rsid w:val="00217093"/>
    <w:rsid w:val="0021765E"/>
    <w:rsid w:val="00217915"/>
    <w:rsid w:val="00217942"/>
    <w:rsid w:val="00217EBE"/>
    <w:rsid w:val="002202BF"/>
    <w:rsid w:val="00221CE2"/>
    <w:rsid w:val="00221E39"/>
    <w:rsid w:val="00221F9D"/>
    <w:rsid w:val="002221E2"/>
    <w:rsid w:val="0022253D"/>
    <w:rsid w:val="0022288A"/>
    <w:rsid w:val="00222B4E"/>
    <w:rsid w:val="00222D51"/>
    <w:rsid w:val="00223521"/>
    <w:rsid w:val="0022380C"/>
    <w:rsid w:val="00223849"/>
    <w:rsid w:val="00224031"/>
    <w:rsid w:val="002243BA"/>
    <w:rsid w:val="00224680"/>
    <w:rsid w:val="002249E2"/>
    <w:rsid w:val="00225179"/>
    <w:rsid w:val="00225B57"/>
    <w:rsid w:val="002262BF"/>
    <w:rsid w:val="002267DA"/>
    <w:rsid w:val="002268C7"/>
    <w:rsid w:val="00226A2D"/>
    <w:rsid w:val="00227021"/>
    <w:rsid w:val="00227054"/>
    <w:rsid w:val="0022726C"/>
    <w:rsid w:val="0022780E"/>
    <w:rsid w:val="00227952"/>
    <w:rsid w:val="00227D44"/>
    <w:rsid w:val="00227F42"/>
    <w:rsid w:val="002304EC"/>
    <w:rsid w:val="00232E08"/>
    <w:rsid w:val="00232E58"/>
    <w:rsid w:val="002333B4"/>
    <w:rsid w:val="00233947"/>
    <w:rsid w:val="00234148"/>
    <w:rsid w:val="0023493E"/>
    <w:rsid w:val="00234F04"/>
    <w:rsid w:val="00234F17"/>
    <w:rsid w:val="002350ED"/>
    <w:rsid w:val="00235A92"/>
    <w:rsid w:val="00235D5E"/>
    <w:rsid w:val="0023608C"/>
    <w:rsid w:val="002360C6"/>
    <w:rsid w:val="0023625A"/>
    <w:rsid w:val="002364DF"/>
    <w:rsid w:val="00236608"/>
    <w:rsid w:val="00236C51"/>
    <w:rsid w:val="00236DDD"/>
    <w:rsid w:val="00236E4D"/>
    <w:rsid w:val="00237629"/>
    <w:rsid w:val="00237810"/>
    <w:rsid w:val="0024064F"/>
    <w:rsid w:val="00240A92"/>
    <w:rsid w:val="00241048"/>
    <w:rsid w:val="002419F7"/>
    <w:rsid w:val="002420B0"/>
    <w:rsid w:val="002422D2"/>
    <w:rsid w:val="002424A1"/>
    <w:rsid w:val="0024281C"/>
    <w:rsid w:val="00242A59"/>
    <w:rsid w:val="00242C27"/>
    <w:rsid w:val="00243122"/>
    <w:rsid w:val="00243195"/>
    <w:rsid w:val="00243ED7"/>
    <w:rsid w:val="00243F4A"/>
    <w:rsid w:val="002440C4"/>
    <w:rsid w:val="002449B6"/>
    <w:rsid w:val="00244B5F"/>
    <w:rsid w:val="002453F2"/>
    <w:rsid w:val="0024541C"/>
    <w:rsid w:val="0024546A"/>
    <w:rsid w:val="0024575F"/>
    <w:rsid w:val="00245C26"/>
    <w:rsid w:val="00245CC0"/>
    <w:rsid w:val="00245D04"/>
    <w:rsid w:val="00245F8F"/>
    <w:rsid w:val="00246166"/>
    <w:rsid w:val="002462EC"/>
    <w:rsid w:val="002466B0"/>
    <w:rsid w:val="00246E61"/>
    <w:rsid w:val="00246F0D"/>
    <w:rsid w:val="00247131"/>
    <w:rsid w:val="0024732D"/>
    <w:rsid w:val="0024755D"/>
    <w:rsid w:val="002478E5"/>
    <w:rsid w:val="00247ADE"/>
    <w:rsid w:val="00247B21"/>
    <w:rsid w:val="0025020F"/>
    <w:rsid w:val="00250468"/>
    <w:rsid w:val="00250517"/>
    <w:rsid w:val="00250719"/>
    <w:rsid w:val="00251CB6"/>
    <w:rsid w:val="00251D5B"/>
    <w:rsid w:val="0025223A"/>
    <w:rsid w:val="002525B1"/>
    <w:rsid w:val="00252679"/>
    <w:rsid w:val="00252800"/>
    <w:rsid w:val="002528E1"/>
    <w:rsid w:val="00253138"/>
    <w:rsid w:val="0025319A"/>
    <w:rsid w:val="00253388"/>
    <w:rsid w:val="00253B84"/>
    <w:rsid w:val="00254B82"/>
    <w:rsid w:val="00254EF5"/>
    <w:rsid w:val="0025530F"/>
    <w:rsid w:val="00255694"/>
    <w:rsid w:val="002561C5"/>
    <w:rsid w:val="0025621E"/>
    <w:rsid w:val="0025649E"/>
    <w:rsid w:val="0025668E"/>
    <w:rsid w:val="00256767"/>
    <w:rsid w:val="0025705B"/>
    <w:rsid w:val="002570D9"/>
    <w:rsid w:val="002571CF"/>
    <w:rsid w:val="00257C3E"/>
    <w:rsid w:val="00260453"/>
    <w:rsid w:val="0026078E"/>
    <w:rsid w:val="00260DCE"/>
    <w:rsid w:val="00261499"/>
    <w:rsid w:val="00261D9B"/>
    <w:rsid w:val="0026253B"/>
    <w:rsid w:val="0026259A"/>
    <w:rsid w:val="0026289B"/>
    <w:rsid w:val="00263AD0"/>
    <w:rsid w:val="00263D56"/>
    <w:rsid w:val="002642AB"/>
    <w:rsid w:val="00264330"/>
    <w:rsid w:val="00264948"/>
    <w:rsid w:val="00264BAF"/>
    <w:rsid w:val="00264BF1"/>
    <w:rsid w:val="00265382"/>
    <w:rsid w:val="00265400"/>
    <w:rsid w:val="00265433"/>
    <w:rsid w:val="00265571"/>
    <w:rsid w:val="00265FB1"/>
    <w:rsid w:val="00266184"/>
    <w:rsid w:val="002664D5"/>
    <w:rsid w:val="002667D8"/>
    <w:rsid w:val="002669D2"/>
    <w:rsid w:val="00270478"/>
    <w:rsid w:val="00270557"/>
    <w:rsid w:val="00270A6B"/>
    <w:rsid w:val="002712DF"/>
    <w:rsid w:val="00271644"/>
    <w:rsid w:val="002718AD"/>
    <w:rsid w:val="00271906"/>
    <w:rsid w:val="00271C3F"/>
    <w:rsid w:val="002720AD"/>
    <w:rsid w:val="002720F6"/>
    <w:rsid w:val="00272132"/>
    <w:rsid w:val="00272398"/>
    <w:rsid w:val="0027274A"/>
    <w:rsid w:val="00272F5A"/>
    <w:rsid w:val="00273058"/>
    <w:rsid w:val="00273087"/>
    <w:rsid w:val="0027343A"/>
    <w:rsid w:val="002734F4"/>
    <w:rsid w:val="002736C1"/>
    <w:rsid w:val="0027384A"/>
    <w:rsid w:val="00273E05"/>
    <w:rsid w:val="00274D72"/>
    <w:rsid w:val="0027583A"/>
    <w:rsid w:val="00275B74"/>
    <w:rsid w:val="002761D5"/>
    <w:rsid w:val="00276301"/>
    <w:rsid w:val="00276810"/>
    <w:rsid w:val="00276936"/>
    <w:rsid w:val="00276EB7"/>
    <w:rsid w:val="0028096E"/>
    <w:rsid w:val="00280B83"/>
    <w:rsid w:val="00280DDC"/>
    <w:rsid w:val="00280F84"/>
    <w:rsid w:val="0028109D"/>
    <w:rsid w:val="0028127A"/>
    <w:rsid w:val="00282302"/>
    <w:rsid w:val="002823CB"/>
    <w:rsid w:val="00282892"/>
    <w:rsid w:val="00282A7F"/>
    <w:rsid w:val="00282C7E"/>
    <w:rsid w:val="00282FAF"/>
    <w:rsid w:val="0028330D"/>
    <w:rsid w:val="002842B1"/>
    <w:rsid w:val="002849F3"/>
    <w:rsid w:val="00284EA2"/>
    <w:rsid w:val="00284F16"/>
    <w:rsid w:val="00285797"/>
    <w:rsid w:val="002859A2"/>
    <w:rsid w:val="00285CE0"/>
    <w:rsid w:val="002864A8"/>
    <w:rsid w:val="00286627"/>
    <w:rsid w:val="00286903"/>
    <w:rsid w:val="00286FB8"/>
    <w:rsid w:val="00287979"/>
    <w:rsid w:val="00287C33"/>
    <w:rsid w:val="00287F90"/>
    <w:rsid w:val="00290198"/>
    <w:rsid w:val="00290E2C"/>
    <w:rsid w:val="0029148F"/>
    <w:rsid w:val="0029219F"/>
    <w:rsid w:val="00292301"/>
    <w:rsid w:val="002923B5"/>
    <w:rsid w:val="00292C26"/>
    <w:rsid w:val="00292CCC"/>
    <w:rsid w:val="00292EBD"/>
    <w:rsid w:val="00293410"/>
    <w:rsid w:val="00293CFE"/>
    <w:rsid w:val="002940BF"/>
    <w:rsid w:val="00294213"/>
    <w:rsid w:val="002944BB"/>
    <w:rsid w:val="002944C2"/>
    <w:rsid w:val="00294971"/>
    <w:rsid w:val="00294FCE"/>
    <w:rsid w:val="00295A64"/>
    <w:rsid w:val="00295B7F"/>
    <w:rsid w:val="00295CBC"/>
    <w:rsid w:val="00296677"/>
    <w:rsid w:val="0029672C"/>
    <w:rsid w:val="00296A49"/>
    <w:rsid w:val="00296D33"/>
    <w:rsid w:val="00296EE9"/>
    <w:rsid w:val="00297753"/>
    <w:rsid w:val="002A0049"/>
    <w:rsid w:val="002A0171"/>
    <w:rsid w:val="002A03B8"/>
    <w:rsid w:val="002A070F"/>
    <w:rsid w:val="002A0D83"/>
    <w:rsid w:val="002A0ECC"/>
    <w:rsid w:val="002A152C"/>
    <w:rsid w:val="002A222F"/>
    <w:rsid w:val="002A23C9"/>
    <w:rsid w:val="002A24F6"/>
    <w:rsid w:val="002A2600"/>
    <w:rsid w:val="002A26A3"/>
    <w:rsid w:val="002A28EB"/>
    <w:rsid w:val="002A2A39"/>
    <w:rsid w:val="002A2A6E"/>
    <w:rsid w:val="002A2C9F"/>
    <w:rsid w:val="002A2ECF"/>
    <w:rsid w:val="002A313A"/>
    <w:rsid w:val="002A31FB"/>
    <w:rsid w:val="002A3900"/>
    <w:rsid w:val="002A3C36"/>
    <w:rsid w:val="002A3EE1"/>
    <w:rsid w:val="002A43F8"/>
    <w:rsid w:val="002A47B5"/>
    <w:rsid w:val="002A5DB5"/>
    <w:rsid w:val="002A61DE"/>
    <w:rsid w:val="002A634C"/>
    <w:rsid w:val="002A6BC4"/>
    <w:rsid w:val="002A6F4A"/>
    <w:rsid w:val="002A6FB2"/>
    <w:rsid w:val="002A728E"/>
    <w:rsid w:val="002A755A"/>
    <w:rsid w:val="002B0CF7"/>
    <w:rsid w:val="002B1114"/>
    <w:rsid w:val="002B122C"/>
    <w:rsid w:val="002B1AA5"/>
    <w:rsid w:val="002B1EA9"/>
    <w:rsid w:val="002B2197"/>
    <w:rsid w:val="002B3208"/>
    <w:rsid w:val="002B355C"/>
    <w:rsid w:val="002B3624"/>
    <w:rsid w:val="002B3916"/>
    <w:rsid w:val="002B3D27"/>
    <w:rsid w:val="002B42B8"/>
    <w:rsid w:val="002B4471"/>
    <w:rsid w:val="002B460C"/>
    <w:rsid w:val="002B4726"/>
    <w:rsid w:val="002B4BFF"/>
    <w:rsid w:val="002B4C85"/>
    <w:rsid w:val="002B55FF"/>
    <w:rsid w:val="002B5A1C"/>
    <w:rsid w:val="002B5EED"/>
    <w:rsid w:val="002B657D"/>
    <w:rsid w:val="002B6698"/>
    <w:rsid w:val="002B7224"/>
    <w:rsid w:val="002B7A00"/>
    <w:rsid w:val="002B7A3E"/>
    <w:rsid w:val="002B7BD1"/>
    <w:rsid w:val="002C0341"/>
    <w:rsid w:val="002C03F7"/>
    <w:rsid w:val="002C0818"/>
    <w:rsid w:val="002C0E4A"/>
    <w:rsid w:val="002C0FA4"/>
    <w:rsid w:val="002C14C9"/>
    <w:rsid w:val="002C1829"/>
    <w:rsid w:val="002C1963"/>
    <w:rsid w:val="002C1C5D"/>
    <w:rsid w:val="002C1F82"/>
    <w:rsid w:val="002C26FC"/>
    <w:rsid w:val="002C2B14"/>
    <w:rsid w:val="002C306E"/>
    <w:rsid w:val="002C3648"/>
    <w:rsid w:val="002C3668"/>
    <w:rsid w:val="002C41DC"/>
    <w:rsid w:val="002C4529"/>
    <w:rsid w:val="002C46C4"/>
    <w:rsid w:val="002C517F"/>
    <w:rsid w:val="002C5914"/>
    <w:rsid w:val="002C5CD9"/>
    <w:rsid w:val="002C5D2D"/>
    <w:rsid w:val="002C672E"/>
    <w:rsid w:val="002C734E"/>
    <w:rsid w:val="002C7840"/>
    <w:rsid w:val="002C78D7"/>
    <w:rsid w:val="002C7A8F"/>
    <w:rsid w:val="002C7EB6"/>
    <w:rsid w:val="002C7FDF"/>
    <w:rsid w:val="002D0FCB"/>
    <w:rsid w:val="002D1703"/>
    <w:rsid w:val="002D19CA"/>
    <w:rsid w:val="002D1CFE"/>
    <w:rsid w:val="002D2DBE"/>
    <w:rsid w:val="002D2FAE"/>
    <w:rsid w:val="002D3582"/>
    <w:rsid w:val="002D35AA"/>
    <w:rsid w:val="002D3819"/>
    <w:rsid w:val="002D3A39"/>
    <w:rsid w:val="002D430C"/>
    <w:rsid w:val="002D4C14"/>
    <w:rsid w:val="002D506F"/>
    <w:rsid w:val="002D50E6"/>
    <w:rsid w:val="002D55C7"/>
    <w:rsid w:val="002D5B2B"/>
    <w:rsid w:val="002D5C8E"/>
    <w:rsid w:val="002D5E0A"/>
    <w:rsid w:val="002D6ACE"/>
    <w:rsid w:val="002D6BCE"/>
    <w:rsid w:val="002D73E7"/>
    <w:rsid w:val="002D774B"/>
    <w:rsid w:val="002D7F71"/>
    <w:rsid w:val="002D7FBB"/>
    <w:rsid w:val="002D7FE4"/>
    <w:rsid w:val="002E0990"/>
    <w:rsid w:val="002E0F9E"/>
    <w:rsid w:val="002E0FB0"/>
    <w:rsid w:val="002E154B"/>
    <w:rsid w:val="002E1DFD"/>
    <w:rsid w:val="002E1E0C"/>
    <w:rsid w:val="002E29BD"/>
    <w:rsid w:val="002E2A28"/>
    <w:rsid w:val="002E33C1"/>
    <w:rsid w:val="002E3569"/>
    <w:rsid w:val="002E35FF"/>
    <w:rsid w:val="002E3A3D"/>
    <w:rsid w:val="002E42CA"/>
    <w:rsid w:val="002E4D72"/>
    <w:rsid w:val="002E5C09"/>
    <w:rsid w:val="002E6052"/>
    <w:rsid w:val="002E6469"/>
    <w:rsid w:val="002E6B62"/>
    <w:rsid w:val="002E6B7B"/>
    <w:rsid w:val="002E7779"/>
    <w:rsid w:val="002E78E8"/>
    <w:rsid w:val="002E7DC1"/>
    <w:rsid w:val="002F0446"/>
    <w:rsid w:val="002F0CA1"/>
    <w:rsid w:val="002F1976"/>
    <w:rsid w:val="002F199A"/>
    <w:rsid w:val="002F1C1D"/>
    <w:rsid w:val="002F1D9E"/>
    <w:rsid w:val="002F301C"/>
    <w:rsid w:val="002F320D"/>
    <w:rsid w:val="002F3465"/>
    <w:rsid w:val="002F3718"/>
    <w:rsid w:val="002F37A8"/>
    <w:rsid w:val="002F37BB"/>
    <w:rsid w:val="002F3A85"/>
    <w:rsid w:val="002F3F6B"/>
    <w:rsid w:val="002F41CB"/>
    <w:rsid w:val="002F4F03"/>
    <w:rsid w:val="002F4F8E"/>
    <w:rsid w:val="002F5121"/>
    <w:rsid w:val="002F5674"/>
    <w:rsid w:val="002F5852"/>
    <w:rsid w:val="002F5D88"/>
    <w:rsid w:val="002F5F5C"/>
    <w:rsid w:val="002F684B"/>
    <w:rsid w:val="002F6C6B"/>
    <w:rsid w:val="002F7CD2"/>
    <w:rsid w:val="0030045C"/>
    <w:rsid w:val="0030073C"/>
    <w:rsid w:val="00300AE8"/>
    <w:rsid w:val="003012EC"/>
    <w:rsid w:val="003017E6"/>
    <w:rsid w:val="00301EC4"/>
    <w:rsid w:val="003020E9"/>
    <w:rsid w:val="0030228E"/>
    <w:rsid w:val="0030232D"/>
    <w:rsid w:val="00302B23"/>
    <w:rsid w:val="00302B95"/>
    <w:rsid w:val="00303065"/>
    <w:rsid w:val="00303487"/>
    <w:rsid w:val="003035F5"/>
    <w:rsid w:val="003037CF"/>
    <w:rsid w:val="00303D36"/>
    <w:rsid w:val="00303D66"/>
    <w:rsid w:val="00304258"/>
    <w:rsid w:val="00305699"/>
    <w:rsid w:val="00305B69"/>
    <w:rsid w:val="00305CBD"/>
    <w:rsid w:val="00305F88"/>
    <w:rsid w:val="003063EA"/>
    <w:rsid w:val="00306845"/>
    <w:rsid w:val="00306C35"/>
    <w:rsid w:val="00307071"/>
    <w:rsid w:val="00307095"/>
    <w:rsid w:val="00307CC6"/>
    <w:rsid w:val="00307E9C"/>
    <w:rsid w:val="00307F9F"/>
    <w:rsid w:val="00310170"/>
    <w:rsid w:val="00310386"/>
    <w:rsid w:val="00310E5F"/>
    <w:rsid w:val="00311046"/>
    <w:rsid w:val="00311583"/>
    <w:rsid w:val="00311589"/>
    <w:rsid w:val="0031168E"/>
    <w:rsid w:val="00311ACD"/>
    <w:rsid w:val="00311B3C"/>
    <w:rsid w:val="00312213"/>
    <w:rsid w:val="00312F2B"/>
    <w:rsid w:val="003131E2"/>
    <w:rsid w:val="003134B8"/>
    <w:rsid w:val="00313F97"/>
    <w:rsid w:val="0031462A"/>
    <w:rsid w:val="003146B5"/>
    <w:rsid w:val="00315487"/>
    <w:rsid w:val="00315871"/>
    <w:rsid w:val="00315A7C"/>
    <w:rsid w:val="00315D32"/>
    <w:rsid w:val="00315D3C"/>
    <w:rsid w:val="00315FAC"/>
    <w:rsid w:val="003160AF"/>
    <w:rsid w:val="003169A3"/>
    <w:rsid w:val="00316CE1"/>
    <w:rsid w:val="003174FB"/>
    <w:rsid w:val="003202D7"/>
    <w:rsid w:val="0032096C"/>
    <w:rsid w:val="00320A90"/>
    <w:rsid w:val="00320D47"/>
    <w:rsid w:val="00320DC3"/>
    <w:rsid w:val="003211F6"/>
    <w:rsid w:val="003213FA"/>
    <w:rsid w:val="0032162E"/>
    <w:rsid w:val="00321798"/>
    <w:rsid w:val="00321AB1"/>
    <w:rsid w:val="00321ADD"/>
    <w:rsid w:val="00321B91"/>
    <w:rsid w:val="00321C62"/>
    <w:rsid w:val="00321D04"/>
    <w:rsid w:val="00322754"/>
    <w:rsid w:val="00322960"/>
    <w:rsid w:val="003230A7"/>
    <w:rsid w:val="003232D8"/>
    <w:rsid w:val="00323366"/>
    <w:rsid w:val="00324129"/>
    <w:rsid w:val="00324994"/>
    <w:rsid w:val="00324E3E"/>
    <w:rsid w:val="003251E2"/>
    <w:rsid w:val="003253FD"/>
    <w:rsid w:val="003254DC"/>
    <w:rsid w:val="003254EB"/>
    <w:rsid w:val="003259E9"/>
    <w:rsid w:val="00326032"/>
    <w:rsid w:val="003262E6"/>
    <w:rsid w:val="003271E2"/>
    <w:rsid w:val="00327256"/>
    <w:rsid w:val="003275F2"/>
    <w:rsid w:val="003279EA"/>
    <w:rsid w:val="00327EF0"/>
    <w:rsid w:val="0033038E"/>
    <w:rsid w:val="00330777"/>
    <w:rsid w:val="003309E0"/>
    <w:rsid w:val="00330C0B"/>
    <w:rsid w:val="00330E02"/>
    <w:rsid w:val="00330FB0"/>
    <w:rsid w:val="0033151F"/>
    <w:rsid w:val="0033185E"/>
    <w:rsid w:val="00332757"/>
    <w:rsid w:val="00332BB4"/>
    <w:rsid w:val="00333049"/>
    <w:rsid w:val="003334CB"/>
    <w:rsid w:val="00333B3F"/>
    <w:rsid w:val="003340F5"/>
    <w:rsid w:val="003350E4"/>
    <w:rsid w:val="00335193"/>
    <w:rsid w:val="00335490"/>
    <w:rsid w:val="00335848"/>
    <w:rsid w:val="00335BFB"/>
    <w:rsid w:val="00335C81"/>
    <w:rsid w:val="00335F30"/>
    <w:rsid w:val="00336998"/>
    <w:rsid w:val="00336FD9"/>
    <w:rsid w:val="00337173"/>
    <w:rsid w:val="003378EC"/>
    <w:rsid w:val="003404B4"/>
    <w:rsid w:val="003411C4"/>
    <w:rsid w:val="00341F1D"/>
    <w:rsid w:val="00342AC7"/>
    <w:rsid w:val="0034307D"/>
    <w:rsid w:val="0034381F"/>
    <w:rsid w:val="003438DE"/>
    <w:rsid w:val="00343AFF"/>
    <w:rsid w:val="00344044"/>
    <w:rsid w:val="0034518B"/>
    <w:rsid w:val="00345720"/>
    <w:rsid w:val="00345B6E"/>
    <w:rsid w:val="00346660"/>
    <w:rsid w:val="00346665"/>
    <w:rsid w:val="00346C8B"/>
    <w:rsid w:val="00346CE0"/>
    <w:rsid w:val="003472B4"/>
    <w:rsid w:val="003478FC"/>
    <w:rsid w:val="00347A1D"/>
    <w:rsid w:val="00347A7D"/>
    <w:rsid w:val="00347A8C"/>
    <w:rsid w:val="00347AAA"/>
    <w:rsid w:val="00347AC0"/>
    <w:rsid w:val="00347B24"/>
    <w:rsid w:val="00347B4F"/>
    <w:rsid w:val="00347D23"/>
    <w:rsid w:val="003501D5"/>
    <w:rsid w:val="00351678"/>
    <w:rsid w:val="0035178D"/>
    <w:rsid w:val="00351A94"/>
    <w:rsid w:val="00352753"/>
    <w:rsid w:val="00352A88"/>
    <w:rsid w:val="00353149"/>
    <w:rsid w:val="00353287"/>
    <w:rsid w:val="003535EB"/>
    <w:rsid w:val="00353F0E"/>
    <w:rsid w:val="003540F6"/>
    <w:rsid w:val="003546B2"/>
    <w:rsid w:val="00354BC9"/>
    <w:rsid w:val="00354CD8"/>
    <w:rsid w:val="00355236"/>
    <w:rsid w:val="003553FE"/>
    <w:rsid w:val="0035564B"/>
    <w:rsid w:val="003556C1"/>
    <w:rsid w:val="00355827"/>
    <w:rsid w:val="003565C1"/>
    <w:rsid w:val="00356B4A"/>
    <w:rsid w:val="00357CE9"/>
    <w:rsid w:val="0036023B"/>
    <w:rsid w:val="003605FC"/>
    <w:rsid w:val="00360881"/>
    <w:rsid w:val="00360C39"/>
    <w:rsid w:val="00360CF7"/>
    <w:rsid w:val="00360F5C"/>
    <w:rsid w:val="0036120D"/>
    <w:rsid w:val="003613F3"/>
    <w:rsid w:val="00361414"/>
    <w:rsid w:val="00361432"/>
    <w:rsid w:val="00361B8B"/>
    <w:rsid w:val="0036239B"/>
    <w:rsid w:val="003623DB"/>
    <w:rsid w:val="00362506"/>
    <w:rsid w:val="0036334A"/>
    <w:rsid w:val="00363758"/>
    <w:rsid w:val="003638D1"/>
    <w:rsid w:val="00363BC8"/>
    <w:rsid w:val="00363C3C"/>
    <w:rsid w:val="00363E47"/>
    <w:rsid w:val="00363F1F"/>
    <w:rsid w:val="00364BE0"/>
    <w:rsid w:val="00364DAA"/>
    <w:rsid w:val="00365257"/>
    <w:rsid w:val="003654AB"/>
    <w:rsid w:val="0036563E"/>
    <w:rsid w:val="00365A79"/>
    <w:rsid w:val="00365CC2"/>
    <w:rsid w:val="00366560"/>
    <w:rsid w:val="003667A1"/>
    <w:rsid w:val="003669B7"/>
    <w:rsid w:val="00366A5E"/>
    <w:rsid w:val="00366DF7"/>
    <w:rsid w:val="00367347"/>
    <w:rsid w:val="00367CCB"/>
    <w:rsid w:val="0037068C"/>
    <w:rsid w:val="00370C11"/>
    <w:rsid w:val="00370CAE"/>
    <w:rsid w:val="00371212"/>
    <w:rsid w:val="0037139E"/>
    <w:rsid w:val="00371518"/>
    <w:rsid w:val="0037152E"/>
    <w:rsid w:val="003716FD"/>
    <w:rsid w:val="00371AC4"/>
    <w:rsid w:val="0037207F"/>
    <w:rsid w:val="0037243F"/>
    <w:rsid w:val="00372893"/>
    <w:rsid w:val="003729E8"/>
    <w:rsid w:val="00373371"/>
    <w:rsid w:val="0037348C"/>
    <w:rsid w:val="00373666"/>
    <w:rsid w:val="00373944"/>
    <w:rsid w:val="00373E0B"/>
    <w:rsid w:val="00373F0B"/>
    <w:rsid w:val="003740AB"/>
    <w:rsid w:val="003743D5"/>
    <w:rsid w:val="0037442A"/>
    <w:rsid w:val="003747D3"/>
    <w:rsid w:val="003758E6"/>
    <w:rsid w:val="00375A02"/>
    <w:rsid w:val="00375C5E"/>
    <w:rsid w:val="00376268"/>
    <w:rsid w:val="00376B1D"/>
    <w:rsid w:val="00376DFA"/>
    <w:rsid w:val="00376ECD"/>
    <w:rsid w:val="003773F7"/>
    <w:rsid w:val="00377C0D"/>
    <w:rsid w:val="003808B5"/>
    <w:rsid w:val="0038119E"/>
    <w:rsid w:val="003827D9"/>
    <w:rsid w:val="00382B0A"/>
    <w:rsid w:val="00382DA2"/>
    <w:rsid w:val="00382ED4"/>
    <w:rsid w:val="00383022"/>
    <w:rsid w:val="00383615"/>
    <w:rsid w:val="00383D1B"/>
    <w:rsid w:val="00383DEA"/>
    <w:rsid w:val="00383FA3"/>
    <w:rsid w:val="0038453D"/>
    <w:rsid w:val="003846C6"/>
    <w:rsid w:val="003847D5"/>
    <w:rsid w:val="00384A96"/>
    <w:rsid w:val="00384D7F"/>
    <w:rsid w:val="00384E02"/>
    <w:rsid w:val="00384F3F"/>
    <w:rsid w:val="003853E0"/>
    <w:rsid w:val="00385D18"/>
    <w:rsid w:val="003863F6"/>
    <w:rsid w:val="003864C9"/>
    <w:rsid w:val="0038695B"/>
    <w:rsid w:val="00386E13"/>
    <w:rsid w:val="00387008"/>
    <w:rsid w:val="00387121"/>
    <w:rsid w:val="00387146"/>
    <w:rsid w:val="003872A0"/>
    <w:rsid w:val="003873A8"/>
    <w:rsid w:val="00387717"/>
    <w:rsid w:val="00387A34"/>
    <w:rsid w:val="00390439"/>
    <w:rsid w:val="003904C5"/>
    <w:rsid w:val="0039093E"/>
    <w:rsid w:val="00390A35"/>
    <w:rsid w:val="00390B76"/>
    <w:rsid w:val="00391156"/>
    <w:rsid w:val="00391C37"/>
    <w:rsid w:val="0039201E"/>
    <w:rsid w:val="003922EB"/>
    <w:rsid w:val="0039239C"/>
    <w:rsid w:val="003927DE"/>
    <w:rsid w:val="0039288F"/>
    <w:rsid w:val="003928E3"/>
    <w:rsid w:val="00392BFF"/>
    <w:rsid w:val="0039355B"/>
    <w:rsid w:val="003946CC"/>
    <w:rsid w:val="00394B7E"/>
    <w:rsid w:val="00395007"/>
    <w:rsid w:val="003957E0"/>
    <w:rsid w:val="0039587C"/>
    <w:rsid w:val="00395CC8"/>
    <w:rsid w:val="003961B6"/>
    <w:rsid w:val="00396266"/>
    <w:rsid w:val="003962F3"/>
    <w:rsid w:val="00396CB1"/>
    <w:rsid w:val="00396DEC"/>
    <w:rsid w:val="00397255"/>
    <w:rsid w:val="00397334"/>
    <w:rsid w:val="00397C98"/>
    <w:rsid w:val="003A04FF"/>
    <w:rsid w:val="003A06BE"/>
    <w:rsid w:val="003A0F51"/>
    <w:rsid w:val="003A1531"/>
    <w:rsid w:val="003A1F9A"/>
    <w:rsid w:val="003A219C"/>
    <w:rsid w:val="003A24D2"/>
    <w:rsid w:val="003A2D8C"/>
    <w:rsid w:val="003A2E90"/>
    <w:rsid w:val="003A36CC"/>
    <w:rsid w:val="003A36D8"/>
    <w:rsid w:val="003A3C13"/>
    <w:rsid w:val="003A4557"/>
    <w:rsid w:val="003A4657"/>
    <w:rsid w:val="003A4722"/>
    <w:rsid w:val="003A4801"/>
    <w:rsid w:val="003A5B59"/>
    <w:rsid w:val="003A5DBA"/>
    <w:rsid w:val="003A5F4D"/>
    <w:rsid w:val="003A638C"/>
    <w:rsid w:val="003A699C"/>
    <w:rsid w:val="003A789D"/>
    <w:rsid w:val="003A78BD"/>
    <w:rsid w:val="003A7F25"/>
    <w:rsid w:val="003B02B4"/>
    <w:rsid w:val="003B0E64"/>
    <w:rsid w:val="003B0FAE"/>
    <w:rsid w:val="003B1037"/>
    <w:rsid w:val="003B12AA"/>
    <w:rsid w:val="003B140E"/>
    <w:rsid w:val="003B1726"/>
    <w:rsid w:val="003B1960"/>
    <w:rsid w:val="003B1A96"/>
    <w:rsid w:val="003B1E11"/>
    <w:rsid w:val="003B2023"/>
    <w:rsid w:val="003B20CE"/>
    <w:rsid w:val="003B24CF"/>
    <w:rsid w:val="003B2879"/>
    <w:rsid w:val="003B2A49"/>
    <w:rsid w:val="003B3495"/>
    <w:rsid w:val="003B43DA"/>
    <w:rsid w:val="003B4715"/>
    <w:rsid w:val="003B5A95"/>
    <w:rsid w:val="003B5AF4"/>
    <w:rsid w:val="003B5E67"/>
    <w:rsid w:val="003B5F9D"/>
    <w:rsid w:val="003B702A"/>
    <w:rsid w:val="003B718C"/>
    <w:rsid w:val="003B7509"/>
    <w:rsid w:val="003C02E1"/>
    <w:rsid w:val="003C04FD"/>
    <w:rsid w:val="003C0BE8"/>
    <w:rsid w:val="003C1136"/>
    <w:rsid w:val="003C1814"/>
    <w:rsid w:val="003C2270"/>
    <w:rsid w:val="003C22D5"/>
    <w:rsid w:val="003C2516"/>
    <w:rsid w:val="003C2864"/>
    <w:rsid w:val="003C2ECF"/>
    <w:rsid w:val="003C2F01"/>
    <w:rsid w:val="003C2F8A"/>
    <w:rsid w:val="003C3688"/>
    <w:rsid w:val="003C36EA"/>
    <w:rsid w:val="003C3707"/>
    <w:rsid w:val="003C493C"/>
    <w:rsid w:val="003C4AC2"/>
    <w:rsid w:val="003C4B9A"/>
    <w:rsid w:val="003C4F0C"/>
    <w:rsid w:val="003C52E2"/>
    <w:rsid w:val="003C53CD"/>
    <w:rsid w:val="003C5412"/>
    <w:rsid w:val="003C558A"/>
    <w:rsid w:val="003C5BDA"/>
    <w:rsid w:val="003C5EA7"/>
    <w:rsid w:val="003C6584"/>
    <w:rsid w:val="003C69E1"/>
    <w:rsid w:val="003C6A9D"/>
    <w:rsid w:val="003C6F1E"/>
    <w:rsid w:val="003C74B7"/>
    <w:rsid w:val="003C74C1"/>
    <w:rsid w:val="003C7B22"/>
    <w:rsid w:val="003C7B2E"/>
    <w:rsid w:val="003C7F07"/>
    <w:rsid w:val="003D0325"/>
    <w:rsid w:val="003D0625"/>
    <w:rsid w:val="003D18B1"/>
    <w:rsid w:val="003D1A08"/>
    <w:rsid w:val="003D1C10"/>
    <w:rsid w:val="003D1D55"/>
    <w:rsid w:val="003D1E99"/>
    <w:rsid w:val="003D204B"/>
    <w:rsid w:val="003D21A8"/>
    <w:rsid w:val="003D23D6"/>
    <w:rsid w:val="003D254D"/>
    <w:rsid w:val="003D2CF9"/>
    <w:rsid w:val="003D3153"/>
    <w:rsid w:val="003D3320"/>
    <w:rsid w:val="003D3590"/>
    <w:rsid w:val="003D3A7E"/>
    <w:rsid w:val="003D3BDF"/>
    <w:rsid w:val="003D3C58"/>
    <w:rsid w:val="003D3E04"/>
    <w:rsid w:val="003D4810"/>
    <w:rsid w:val="003D4C01"/>
    <w:rsid w:val="003D4DE2"/>
    <w:rsid w:val="003D5204"/>
    <w:rsid w:val="003D54B3"/>
    <w:rsid w:val="003D56A1"/>
    <w:rsid w:val="003D5A2A"/>
    <w:rsid w:val="003D5AAE"/>
    <w:rsid w:val="003D5B7A"/>
    <w:rsid w:val="003D6C54"/>
    <w:rsid w:val="003D7702"/>
    <w:rsid w:val="003D7FA0"/>
    <w:rsid w:val="003E046D"/>
    <w:rsid w:val="003E0E1C"/>
    <w:rsid w:val="003E10D8"/>
    <w:rsid w:val="003E144E"/>
    <w:rsid w:val="003E147A"/>
    <w:rsid w:val="003E1F7D"/>
    <w:rsid w:val="003E27A9"/>
    <w:rsid w:val="003E2B3E"/>
    <w:rsid w:val="003E2C2B"/>
    <w:rsid w:val="003E33FC"/>
    <w:rsid w:val="003E3DBD"/>
    <w:rsid w:val="003E477B"/>
    <w:rsid w:val="003E494C"/>
    <w:rsid w:val="003E4F43"/>
    <w:rsid w:val="003E5084"/>
    <w:rsid w:val="003E5240"/>
    <w:rsid w:val="003E59E3"/>
    <w:rsid w:val="003E5ACF"/>
    <w:rsid w:val="003E67F6"/>
    <w:rsid w:val="003E6FC0"/>
    <w:rsid w:val="003E721F"/>
    <w:rsid w:val="003E740D"/>
    <w:rsid w:val="003E76D1"/>
    <w:rsid w:val="003E76FE"/>
    <w:rsid w:val="003E771E"/>
    <w:rsid w:val="003E7985"/>
    <w:rsid w:val="003F01EC"/>
    <w:rsid w:val="003F07F3"/>
    <w:rsid w:val="003F0970"/>
    <w:rsid w:val="003F0A52"/>
    <w:rsid w:val="003F0EC9"/>
    <w:rsid w:val="003F10CD"/>
    <w:rsid w:val="003F11B1"/>
    <w:rsid w:val="003F169D"/>
    <w:rsid w:val="003F188F"/>
    <w:rsid w:val="003F1B97"/>
    <w:rsid w:val="003F2440"/>
    <w:rsid w:val="003F26F0"/>
    <w:rsid w:val="003F2F54"/>
    <w:rsid w:val="003F3150"/>
    <w:rsid w:val="003F324F"/>
    <w:rsid w:val="003F3257"/>
    <w:rsid w:val="003F364D"/>
    <w:rsid w:val="003F365D"/>
    <w:rsid w:val="003F396C"/>
    <w:rsid w:val="003F3BC5"/>
    <w:rsid w:val="003F5275"/>
    <w:rsid w:val="003F55D6"/>
    <w:rsid w:val="003F5740"/>
    <w:rsid w:val="003F59D1"/>
    <w:rsid w:val="003F5C86"/>
    <w:rsid w:val="003F60CA"/>
    <w:rsid w:val="003F6106"/>
    <w:rsid w:val="003F6258"/>
    <w:rsid w:val="003F7100"/>
    <w:rsid w:val="003F7377"/>
    <w:rsid w:val="003F74CA"/>
    <w:rsid w:val="003F7A39"/>
    <w:rsid w:val="003F7BF4"/>
    <w:rsid w:val="004001B2"/>
    <w:rsid w:val="00400384"/>
    <w:rsid w:val="004006EC"/>
    <w:rsid w:val="00400BB3"/>
    <w:rsid w:val="00400C78"/>
    <w:rsid w:val="00400C8F"/>
    <w:rsid w:val="00400EC9"/>
    <w:rsid w:val="00401122"/>
    <w:rsid w:val="00401750"/>
    <w:rsid w:val="00401C01"/>
    <w:rsid w:val="00401F8B"/>
    <w:rsid w:val="00402673"/>
    <w:rsid w:val="00402689"/>
    <w:rsid w:val="00402AAA"/>
    <w:rsid w:val="00402E5F"/>
    <w:rsid w:val="00403529"/>
    <w:rsid w:val="0040454E"/>
    <w:rsid w:val="00404AD5"/>
    <w:rsid w:val="0040540C"/>
    <w:rsid w:val="0040555A"/>
    <w:rsid w:val="00406200"/>
    <w:rsid w:val="00406525"/>
    <w:rsid w:val="004068D0"/>
    <w:rsid w:val="00406AAF"/>
    <w:rsid w:val="00407746"/>
    <w:rsid w:val="00407C50"/>
    <w:rsid w:val="004119A0"/>
    <w:rsid w:val="0041216E"/>
    <w:rsid w:val="00412432"/>
    <w:rsid w:val="004125E1"/>
    <w:rsid w:val="00412768"/>
    <w:rsid w:val="004129AC"/>
    <w:rsid w:val="00412D4D"/>
    <w:rsid w:val="004135EB"/>
    <w:rsid w:val="0041380B"/>
    <w:rsid w:val="00413ECB"/>
    <w:rsid w:val="00413EEE"/>
    <w:rsid w:val="004142E8"/>
    <w:rsid w:val="0041455E"/>
    <w:rsid w:val="0041486B"/>
    <w:rsid w:val="00414AE0"/>
    <w:rsid w:val="00414FA7"/>
    <w:rsid w:val="004150EF"/>
    <w:rsid w:val="004150FD"/>
    <w:rsid w:val="0041581A"/>
    <w:rsid w:val="00415A64"/>
    <w:rsid w:val="00415AC7"/>
    <w:rsid w:val="00415BE0"/>
    <w:rsid w:val="004160CB"/>
    <w:rsid w:val="00416996"/>
    <w:rsid w:val="00416B5E"/>
    <w:rsid w:val="00417548"/>
    <w:rsid w:val="00417559"/>
    <w:rsid w:val="004179F0"/>
    <w:rsid w:val="00417F07"/>
    <w:rsid w:val="00420181"/>
    <w:rsid w:val="004210F3"/>
    <w:rsid w:val="004211C4"/>
    <w:rsid w:val="00421354"/>
    <w:rsid w:val="00421A0E"/>
    <w:rsid w:val="004223AE"/>
    <w:rsid w:val="00422432"/>
    <w:rsid w:val="004225A2"/>
    <w:rsid w:val="00422690"/>
    <w:rsid w:val="004227FC"/>
    <w:rsid w:val="00422E43"/>
    <w:rsid w:val="00423497"/>
    <w:rsid w:val="00423529"/>
    <w:rsid w:val="0042357B"/>
    <w:rsid w:val="00423699"/>
    <w:rsid w:val="00423C4B"/>
    <w:rsid w:val="00423D25"/>
    <w:rsid w:val="00423D32"/>
    <w:rsid w:val="00424061"/>
    <w:rsid w:val="004244C7"/>
    <w:rsid w:val="004247AF"/>
    <w:rsid w:val="00424838"/>
    <w:rsid w:val="004248A4"/>
    <w:rsid w:val="00424C01"/>
    <w:rsid w:val="00424C77"/>
    <w:rsid w:val="00424F57"/>
    <w:rsid w:val="00425674"/>
    <w:rsid w:val="004258C4"/>
    <w:rsid w:val="004258F9"/>
    <w:rsid w:val="00425F25"/>
    <w:rsid w:val="00426A2D"/>
    <w:rsid w:val="004270CB"/>
    <w:rsid w:val="00427300"/>
    <w:rsid w:val="0042769A"/>
    <w:rsid w:val="0043063A"/>
    <w:rsid w:val="004308A5"/>
    <w:rsid w:val="00430A2B"/>
    <w:rsid w:val="0043169F"/>
    <w:rsid w:val="004317A3"/>
    <w:rsid w:val="00431D8F"/>
    <w:rsid w:val="00431F51"/>
    <w:rsid w:val="00432247"/>
    <w:rsid w:val="004328BE"/>
    <w:rsid w:val="00432F1A"/>
    <w:rsid w:val="00432FC6"/>
    <w:rsid w:val="0043370D"/>
    <w:rsid w:val="004341FC"/>
    <w:rsid w:val="00434A1A"/>
    <w:rsid w:val="004351B6"/>
    <w:rsid w:val="00435367"/>
    <w:rsid w:val="004356E8"/>
    <w:rsid w:val="004357B3"/>
    <w:rsid w:val="00435ADF"/>
    <w:rsid w:val="00435B7F"/>
    <w:rsid w:val="00435C23"/>
    <w:rsid w:val="00436588"/>
    <w:rsid w:val="004368C9"/>
    <w:rsid w:val="00436D47"/>
    <w:rsid w:val="00437028"/>
    <w:rsid w:val="00437131"/>
    <w:rsid w:val="0043719C"/>
    <w:rsid w:val="0043727B"/>
    <w:rsid w:val="004373F2"/>
    <w:rsid w:val="0043778D"/>
    <w:rsid w:val="0043779B"/>
    <w:rsid w:val="004377AC"/>
    <w:rsid w:val="00437AB5"/>
    <w:rsid w:val="00437BC0"/>
    <w:rsid w:val="00440D06"/>
    <w:rsid w:val="00440E5F"/>
    <w:rsid w:val="0044135E"/>
    <w:rsid w:val="00441500"/>
    <w:rsid w:val="00441FEB"/>
    <w:rsid w:val="004428F4"/>
    <w:rsid w:val="0044299B"/>
    <w:rsid w:val="00442DEE"/>
    <w:rsid w:val="00443177"/>
    <w:rsid w:val="00443750"/>
    <w:rsid w:val="00443A93"/>
    <w:rsid w:val="00443CE4"/>
    <w:rsid w:val="00443DFA"/>
    <w:rsid w:val="004440DC"/>
    <w:rsid w:val="0044452A"/>
    <w:rsid w:val="00445229"/>
    <w:rsid w:val="00445431"/>
    <w:rsid w:val="004458AA"/>
    <w:rsid w:val="00445C8A"/>
    <w:rsid w:val="00445DC9"/>
    <w:rsid w:val="00446027"/>
    <w:rsid w:val="00446767"/>
    <w:rsid w:val="004471A2"/>
    <w:rsid w:val="00447241"/>
    <w:rsid w:val="004472F7"/>
    <w:rsid w:val="004475B1"/>
    <w:rsid w:val="00447D23"/>
    <w:rsid w:val="00447D31"/>
    <w:rsid w:val="00447DC9"/>
    <w:rsid w:val="00447EBE"/>
    <w:rsid w:val="004504AB"/>
    <w:rsid w:val="00450A9A"/>
    <w:rsid w:val="00450E2C"/>
    <w:rsid w:val="00451122"/>
    <w:rsid w:val="0045144A"/>
    <w:rsid w:val="0045155E"/>
    <w:rsid w:val="004518BE"/>
    <w:rsid w:val="004519BD"/>
    <w:rsid w:val="004520C1"/>
    <w:rsid w:val="00452410"/>
    <w:rsid w:val="0045248F"/>
    <w:rsid w:val="0045254E"/>
    <w:rsid w:val="0045263E"/>
    <w:rsid w:val="004529AD"/>
    <w:rsid w:val="00452CC3"/>
    <w:rsid w:val="00452E24"/>
    <w:rsid w:val="004535A7"/>
    <w:rsid w:val="004535AB"/>
    <w:rsid w:val="00453A0F"/>
    <w:rsid w:val="00453E53"/>
    <w:rsid w:val="00453EB8"/>
    <w:rsid w:val="004541B3"/>
    <w:rsid w:val="004545F4"/>
    <w:rsid w:val="00454DFE"/>
    <w:rsid w:val="0045530F"/>
    <w:rsid w:val="004555C5"/>
    <w:rsid w:val="00455679"/>
    <w:rsid w:val="00455893"/>
    <w:rsid w:val="00456089"/>
    <w:rsid w:val="00456400"/>
    <w:rsid w:val="0045668E"/>
    <w:rsid w:val="00456DE6"/>
    <w:rsid w:val="00457299"/>
    <w:rsid w:val="00457743"/>
    <w:rsid w:val="00457892"/>
    <w:rsid w:val="00457B7F"/>
    <w:rsid w:val="00460320"/>
    <w:rsid w:val="00460383"/>
    <w:rsid w:val="004605DE"/>
    <w:rsid w:val="00460748"/>
    <w:rsid w:val="004607F9"/>
    <w:rsid w:val="004609B7"/>
    <w:rsid w:val="00460E40"/>
    <w:rsid w:val="00460E55"/>
    <w:rsid w:val="00460E98"/>
    <w:rsid w:val="0046173A"/>
    <w:rsid w:val="00461B56"/>
    <w:rsid w:val="00461F82"/>
    <w:rsid w:val="00462C61"/>
    <w:rsid w:val="00462E6F"/>
    <w:rsid w:val="0046338D"/>
    <w:rsid w:val="004642C4"/>
    <w:rsid w:val="00464590"/>
    <w:rsid w:val="00464B80"/>
    <w:rsid w:val="00464BBF"/>
    <w:rsid w:val="00464CD4"/>
    <w:rsid w:val="004653CD"/>
    <w:rsid w:val="00465BB1"/>
    <w:rsid w:val="00465DB7"/>
    <w:rsid w:val="00465E21"/>
    <w:rsid w:val="00465E54"/>
    <w:rsid w:val="00466163"/>
    <w:rsid w:val="0046631F"/>
    <w:rsid w:val="00466430"/>
    <w:rsid w:val="004664E1"/>
    <w:rsid w:val="00467359"/>
    <w:rsid w:val="0046762F"/>
    <w:rsid w:val="004704B1"/>
    <w:rsid w:val="004704ED"/>
    <w:rsid w:val="00470A7C"/>
    <w:rsid w:val="00471D4F"/>
    <w:rsid w:val="00471F73"/>
    <w:rsid w:val="0047259F"/>
    <w:rsid w:val="00473221"/>
    <w:rsid w:val="0047356B"/>
    <w:rsid w:val="00473877"/>
    <w:rsid w:val="00473949"/>
    <w:rsid w:val="0047418D"/>
    <w:rsid w:val="00474507"/>
    <w:rsid w:val="00474C34"/>
    <w:rsid w:val="00474D76"/>
    <w:rsid w:val="00474F55"/>
    <w:rsid w:val="00475195"/>
    <w:rsid w:val="004753F6"/>
    <w:rsid w:val="00475B85"/>
    <w:rsid w:val="004763CD"/>
    <w:rsid w:val="00476DE6"/>
    <w:rsid w:val="00476F0F"/>
    <w:rsid w:val="00476F37"/>
    <w:rsid w:val="004771BA"/>
    <w:rsid w:val="00477B3C"/>
    <w:rsid w:val="004804A8"/>
    <w:rsid w:val="0048054D"/>
    <w:rsid w:val="00480661"/>
    <w:rsid w:val="004808D7"/>
    <w:rsid w:val="00480D5D"/>
    <w:rsid w:val="00481195"/>
    <w:rsid w:val="0048119C"/>
    <w:rsid w:val="00481208"/>
    <w:rsid w:val="0048130D"/>
    <w:rsid w:val="00481F31"/>
    <w:rsid w:val="00481F56"/>
    <w:rsid w:val="00482547"/>
    <w:rsid w:val="00482DDA"/>
    <w:rsid w:val="00482E0A"/>
    <w:rsid w:val="00482E8B"/>
    <w:rsid w:val="00483065"/>
    <w:rsid w:val="004838A1"/>
    <w:rsid w:val="00483F7B"/>
    <w:rsid w:val="00484097"/>
    <w:rsid w:val="00484A3A"/>
    <w:rsid w:val="00484BB4"/>
    <w:rsid w:val="00485077"/>
    <w:rsid w:val="00485F9A"/>
    <w:rsid w:val="00486421"/>
    <w:rsid w:val="0048655C"/>
    <w:rsid w:val="0048665F"/>
    <w:rsid w:val="0048670B"/>
    <w:rsid w:val="004869A0"/>
    <w:rsid w:val="00486C69"/>
    <w:rsid w:val="00486D0F"/>
    <w:rsid w:val="00487391"/>
    <w:rsid w:val="004879D4"/>
    <w:rsid w:val="00487D5A"/>
    <w:rsid w:val="00487ECF"/>
    <w:rsid w:val="00490D18"/>
    <w:rsid w:val="00490ED5"/>
    <w:rsid w:val="00491462"/>
    <w:rsid w:val="00491D64"/>
    <w:rsid w:val="00491E4C"/>
    <w:rsid w:val="004921E1"/>
    <w:rsid w:val="00492562"/>
    <w:rsid w:val="00492821"/>
    <w:rsid w:val="00492EF4"/>
    <w:rsid w:val="004936C7"/>
    <w:rsid w:val="0049387C"/>
    <w:rsid w:val="00493BB3"/>
    <w:rsid w:val="00493BB9"/>
    <w:rsid w:val="00493D7C"/>
    <w:rsid w:val="00493EC9"/>
    <w:rsid w:val="00494830"/>
    <w:rsid w:val="00494975"/>
    <w:rsid w:val="00494E84"/>
    <w:rsid w:val="00495311"/>
    <w:rsid w:val="004958A9"/>
    <w:rsid w:val="00495E59"/>
    <w:rsid w:val="00496054"/>
    <w:rsid w:val="00496668"/>
    <w:rsid w:val="00496746"/>
    <w:rsid w:val="00496E6E"/>
    <w:rsid w:val="004976A4"/>
    <w:rsid w:val="0049794B"/>
    <w:rsid w:val="004A013E"/>
    <w:rsid w:val="004A11E7"/>
    <w:rsid w:val="004A1845"/>
    <w:rsid w:val="004A1BF0"/>
    <w:rsid w:val="004A1D53"/>
    <w:rsid w:val="004A1F57"/>
    <w:rsid w:val="004A32BD"/>
    <w:rsid w:val="004A34F2"/>
    <w:rsid w:val="004A3538"/>
    <w:rsid w:val="004A353E"/>
    <w:rsid w:val="004A37D2"/>
    <w:rsid w:val="004A3C81"/>
    <w:rsid w:val="004A45D7"/>
    <w:rsid w:val="004A4CB3"/>
    <w:rsid w:val="004A4E6A"/>
    <w:rsid w:val="004A50DD"/>
    <w:rsid w:val="004A53FB"/>
    <w:rsid w:val="004A62A2"/>
    <w:rsid w:val="004A6A52"/>
    <w:rsid w:val="004A7136"/>
    <w:rsid w:val="004A7771"/>
    <w:rsid w:val="004A788A"/>
    <w:rsid w:val="004A7B85"/>
    <w:rsid w:val="004A7D76"/>
    <w:rsid w:val="004A7EBE"/>
    <w:rsid w:val="004B01EE"/>
    <w:rsid w:val="004B04C4"/>
    <w:rsid w:val="004B04FC"/>
    <w:rsid w:val="004B070E"/>
    <w:rsid w:val="004B0F81"/>
    <w:rsid w:val="004B167A"/>
    <w:rsid w:val="004B1DD7"/>
    <w:rsid w:val="004B2611"/>
    <w:rsid w:val="004B2652"/>
    <w:rsid w:val="004B27C3"/>
    <w:rsid w:val="004B3111"/>
    <w:rsid w:val="004B31BE"/>
    <w:rsid w:val="004B39B6"/>
    <w:rsid w:val="004B3ECE"/>
    <w:rsid w:val="004B4403"/>
    <w:rsid w:val="004B44F8"/>
    <w:rsid w:val="004B4518"/>
    <w:rsid w:val="004B4C53"/>
    <w:rsid w:val="004B4DB1"/>
    <w:rsid w:val="004B5388"/>
    <w:rsid w:val="004B6276"/>
    <w:rsid w:val="004B69BC"/>
    <w:rsid w:val="004B6CC8"/>
    <w:rsid w:val="004B74DF"/>
    <w:rsid w:val="004B754B"/>
    <w:rsid w:val="004B75B9"/>
    <w:rsid w:val="004B77F9"/>
    <w:rsid w:val="004B7A51"/>
    <w:rsid w:val="004B7D07"/>
    <w:rsid w:val="004B7F6F"/>
    <w:rsid w:val="004C03B7"/>
    <w:rsid w:val="004C0C52"/>
    <w:rsid w:val="004C1363"/>
    <w:rsid w:val="004C1D0B"/>
    <w:rsid w:val="004C1E41"/>
    <w:rsid w:val="004C22F0"/>
    <w:rsid w:val="004C23B2"/>
    <w:rsid w:val="004C241C"/>
    <w:rsid w:val="004C2A53"/>
    <w:rsid w:val="004C2AF9"/>
    <w:rsid w:val="004C2D1F"/>
    <w:rsid w:val="004C35E6"/>
    <w:rsid w:val="004C39FF"/>
    <w:rsid w:val="004C400E"/>
    <w:rsid w:val="004C40E2"/>
    <w:rsid w:val="004C41A0"/>
    <w:rsid w:val="004C519C"/>
    <w:rsid w:val="004C561F"/>
    <w:rsid w:val="004C567E"/>
    <w:rsid w:val="004C571F"/>
    <w:rsid w:val="004C6100"/>
    <w:rsid w:val="004C63FB"/>
    <w:rsid w:val="004C665E"/>
    <w:rsid w:val="004C6756"/>
    <w:rsid w:val="004C683E"/>
    <w:rsid w:val="004C71D0"/>
    <w:rsid w:val="004C78D9"/>
    <w:rsid w:val="004C7B4E"/>
    <w:rsid w:val="004C7E3E"/>
    <w:rsid w:val="004C7EB6"/>
    <w:rsid w:val="004D0747"/>
    <w:rsid w:val="004D0BBE"/>
    <w:rsid w:val="004D0CAB"/>
    <w:rsid w:val="004D0F49"/>
    <w:rsid w:val="004D12A8"/>
    <w:rsid w:val="004D1AAE"/>
    <w:rsid w:val="004D1C0F"/>
    <w:rsid w:val="004D24C9"/>
    <w:rsid w:val="004D3450"/>
    <w:rsid w:val="004D3DCD"/>
    <w:rsid w:val="004D4031"/>
    <w:rsid w:val="004D419C"/>
    <w:rsid w:val="004D41E2"/>
    <w:rsid w:val="004D49AF"/>
    <w:rsid w:val="004D49C7"/>
    <w:rsid w:val="004D5A49"/>
    <w:rsid w:val="004D5AF1"/>
    <w:rsid w:val="004D5C91"/>
    <w:rsid w:val="004D5D4B"/>
    <w:rsid w:val="004D5EC7"/>
    <w:rsid w:val="004D63A8"/>
    <w:rsid w:val="004D7599"/>
    <w:rsid w:val="004D7660"/>
    <w:rsid w:val="004D76C0"/>
    <w:rsid w:val="004D77F4"/>
    <w:rsid w:val="004D7EE2"/>
    <w:rsid w:val="004E012E"/>
    <w:rsid w:val="004E01D4"/>
    <w:rsid w:val="004E07AE"/>
    <w:rsid w:val="004E0992"/>
    <w:rsid w:val="004E0FE7"/>
    <w:rsid w:val="004E171A"/>
    <w:rsid w:val="004E198B"/>
    <w:rsid w:val="004E1A78"/>
    <w:rsid w:val="004E1B2C"/>
    <w:rsid w:val="004E20A1"/>
    <w:rsid w:val="004E22F7"/>
    <w:rsid w:val="004E2318"/>
    <w:rsid w:val="004E24D2"/>
    <w:rsid w:val="004E26D3"/>
    <w:rsid w:val="004E31A2"/>
    <w:rsid w:val="004E3346"/>
    <w:rsid w:val="004E34DB"/>
    <w:rsid w:val="004E367B"/>
    <w:rsid w:val="004E3725"/>
    <w:rsid w:val="004E38C1"/>
    <w:rsid w:val="004E392C"/>
    <w:rsid w:val="004E3B56"/>
    <w:rsid w:val="004E3E94"/>
    <w:rsid w:val="004E3F75"/>
    <w:rsid w:val="004E41B2"/>
    <w:rsid w:val="004E48F0"/>
    <w:rsid w:val="004E4A81"/>
    <w:rsid w:val="004E4E84"/>
    <w:rsid w:val="004E4F1E"/>
    <w:rsid w:val="004E58A3"/>
    <w:rsid w:val="004E58E5"/>
    <w:rsid w:val="004E5971"/>
    <w:rsid w:val="004E6037"/>
    <w:rsid w:val="004E6076"/>
    <w:rsid w:val="004E6761"/>
    <w:rsid w:val="004E69FC"/>
    <w:rsid w:val="004E6AA8"/>
    <w:rsid w:val="004E6AE5"/>
    <w:rsid w:val="004E76E9"/>
    <w:rsid w:val="004E7A04"/>
    <w:rsid w:val="004F0379"/>
    <w:rsid w:val="004F082F"/>
    <w:rsid w:val="004F0A14"/>
    <w:rsid w:val="004F190D"/>
    <w:rsid w:val="004F1DCE"/>
    <w:rsid w:val="004F2924"/>
    <w:rsid w:val="004F2C11"/>
    <w:rsid w:val="004F3632"/>
    <w:rsid w:val="004F3D77"/>
    <w:rsid w:val="004F3DF1"/>
    <w:rsid w:val="004F442C"/>
    <w:rsid w:val="004F4B72"/>
    <w:rsid w:val="004F5212"/>
    <w:rsid w:val="004F621F"/>
    <w:rsid w:val="004F6B53"/>
    <w:rsid w:val="004F6B64"/>
    <w:rsid w:val="004F6B98"/>
    <w:rsid w:val="004F71A7"/>
    <w:rsid w:val="00500082"/>
    <w:rsid w:val="005004E1"/>
    <w:rsid w:val="00500710"/>
    <w:rsid w:val="00500C38"/>
    <w:rsid w:val="0050102E"/>
    <w:rsid w:val="00501041"/>
    <w:rsid w:val="005010FA"/>
    <w:rsid w:val="00501129"/>
    <w:rsid w:val="00501827"/>
    <w:rsid w:val="00501ABE"/>
    <w:rsid w:val="00501DFE"/>
    <w:rsid w:val="0050265B"/>
    <w:rsid w:val="0050366B"/>
    <w:rsid w:val="005036C2"/>
    <w:rsid w:val="0050380D"/>
    <w:rsid w:val="005039F0"/>
    <w:rsid w:val="00503A23"/>
    <w:rsid w:val="00503F90"/>
    <w:rsid w:val="0050438C"/>
    <w:rsid w:val="0050446C"/>
    <w:rsid w:val="00504572"/>
    <w:rsid w:val="00504874"/>
    <w:rsid w:val="00504D94"/>
    <w:rsid w:val="00504ED3"/>
    <w:rsid w:val="00504F3D"/>
    <w:rsid w:val="00505CC0"/>
    <w:rsid w:val="00506197"/>
    <w:rsid w:val="005066A2"/>
    <w:rsid w:val="00506B46"/>
    <w:rsid w:val="00506CD5"/>
    <w:rsid w:val="0050733A"/>
    <w:rsid w:val="00507AF8"/>
    <w:rsid w:val="00507FA5"/>
    <w:rsid w:val="00510345"/>
    <w:rsid w:val="00510558"/>
    <w:rsid w:val="00510AC0"/>
    <w:rsid w:val="00510C33"/>
    <w:rsid w:val="00510C50"/>
    <w:rsid w:val="00510CE0"/>
    <w:rsid w:val="005114AD"/>
    <w:rsid w:val="005117A6"/>
    <w:rsid w:val="00511B49"/>
    <w:rsid w:val="00511BD0"/>
    <w:rsid w:val="00511F4F"/>
    <w:rsid w:val="005120E6"/>
    <w:rsid w:val="005121EA"/>
    <w:rsid w:val="005127C9"/>
    <w:rsid w:val="005132FE"/>
    <w:rsid w:val="005138B7"/>
    <w:rsid w:val="00513B57"/>
    <w:rsid w:val="00513C6F"/>
    <w:rsid w:val="00513D56"/>
    <w:rsid w:val="00514021"/>
    <w:rsid w:val="00514023"/>
    <w:rsid w:val="005140E8"/>
    <w:rsid w:val="00514697"/>
    <w:rsid w:val="0051478C"/>
    <w:rsid w:val="00514D3E"/>
    <w:rsid w:val="00514FA8"/>
    <w:rsid w:val="005157FA"/>
    <w:rsid w:val="005159F5"/>
    <w:rsid w:val="00515E7B"/>
    <w:rsid w:val="0051615D"/>
    <w:rsid w:val="00516661"/>
    <w:rsid w:val="005209E4"/>
    <w:rsid w:val="005210AF"/>
    <w:rsid w:val="00521AF7"/>
    <w:rsid w:val="00521B6D"/>
    <w:rsid w:val="00522287"/>
    <w:rsid w:val="005222A8"/>
    <w:rsid w:val="005229D8"/>
    <w:rsid w:val="00522FCA"/>
    <w:rsid w:val="00523170"/>
    <w:rsid w:val="0052345A"/>
    <w:rsid w:val="0052378B"/>
    <w:rsid w:val="00523839"/>
    <w:rsid w:val="00523DD6"/>
    <w:rsid w:val="005247C8"/>
    <w:rsid w:val="00524EC8"/>
    <w:rsid w:val="005253B2"/>
    <w:rsid w:val="00525629"/>
    <w:rsid w:val="005258B7"/>
    <w:rsid w:val="00525D25"/>
    <w:rsid w:val="00525D8B"/>
    <w:rsid w:val="00525D8F"/>
    <w:rsid w:val="00526038"/>
    <w:rsid w:val="005262FE"/>
    <w:rsid w:val="00526C9C"/>
    <w:rsid w:val="0052771D"/>
    <w:rsid w:val="00527AD1"/>
    <w:rsid w:val="00527BAC"/>
    <w:rsid w:val="00530045"/>
    <w:rsid w:val="00530ADC"/>
    <w:rsid w:val="00530BA4"/>
    <w:rsid w:val="00530EF2"/>
    <w:rsid w:val="00531150"/>
    <w:rsid w:val="005313C3"/>
    <w:rsid w:val="00531F2D"/>
    <w:rsid w:val="00531F6F"/>
    <w:rsid w:val="005321C1"/>
    <w:rsid w:val="00532274"/>
    <w:rsid w:val="00532853"/>
    <w:rsid w:val="00532BFA"/>
    <w:rsid w:val="00532D52"/>
    <w:rsid w:val="00532F5D"/>
    <w:rsid w:val="00533028"/>
    <w:rsid w:val="00533375"/>
    <w:rsid w:val="005334DE"/>
    <w:rsid w:val="00533710"/>
    <w:rsid w:val="0053372C"/>
    <w:rsid w:val="00533898"/>
    <w:rsid w:val="005338B0"/>
    <w:rsid w:val="00533A85"/>
    <w:rsid w:val="005342B6"/>
    <w:rsid w:val="0053474E"/>
    <w:rsid w:val="00534AC3"/>
    <w:rsid w:val="00534EC4"/>
    <w:rsid w:val="00535302"/>
    <w:rsid w:val="00535508"/>
    <w:rsid w:val="00535EEE"/>
    <w:rsid w:val="00537178"/>
    <w:rsid w:val="00537362"/>
    <w:rsid w:val="005375F9"/>
    <w:rsid w:val="00537885"/>
    <w:rsid w:val="00537AB6"/>
    <w:rsid w:val="00537BFE"/>
    <w:rsid w:val="00537CCD"/>
    <w:rsid w:val="0054001F"/>
    <w:rsid w:val="005405E9"/>
    <w:rsid w:val="00540E11"/>
    <w:rsid w:val="00540EE5"/>
    <w:rsid w:val="005412BA"/>
    <w:rsid w:val="00541D9D"/>
    <w:rsid w:val="0054274C"/>
    <w:rsid w:val="005428C4"/>
    <w:rsid w:val="00543286"/>
    <w:rsid w:val="00543358"/>
    <w:rsid w:val="00543484"/>
    <w:rsid w:val="005437CA"/>
    <w:rsid w:val="00543F73"/>
    <w:rsid w:val="00543F74"/>
    <w:rsid w:val="0054486B"/>
    <w:rsid w:val="00545178"/>
    <w:rsid w:val="005451AE"/>
    <w:rsid w:val="005452B3"/>
    <w:rsid w:val="0054555D"/>
    <w:rsid w:val="0054562D"/>
    <w:rsid w:val="005459FD"/>
    <w:rsid w:val="00545C2B"/>
    <w:rsid w:val="00545E87"/>
    <w:rsid w:val="005462D2"/>
    <w:rsid w:val="005463C8"/>
    <w:rsid w:val="005468DB"/>
    <w:rsid w:val="0054692C"/>
    <w:rsid w:val="00546C88"/>
    <w:rsid w:val="00546F16"/>
    <w:rsid w:val="005477F3"/>
    <w:rsid w:val="00547DBB"/>
    <w:rsid w:val="00550141"/>
    <w:rsid w:val="00550158"/>
    <w:rsid w:val="00550448"/>
    <w:rsid w:val="00550624"/>
    <w:rsid w:val="00550DAB"/>
    <w:rsid w:val="00551738"/>
    <w:rsid w:val="0055185B"/>
    <w:rsid w:val="005518D0"/>
    <w:rsid w:val="00552057"/>
    <w:rsid w:val="00552A1D"/>
    <w:rsid w:val="00552C84"/>
    <w:rsid w:val="00553953"/>
    <w:rsid w:val="00553CB8"/>
    <w:rsid w:val="00553E62"/>
    <w:rsid w:val="00554188"/>
    <w:rsid w:val="005541EC"/>
    <w:rsid w:val="00554617"/>
    <w:rsid w:val="00554DB8"/>
    <w:rsid w:val="00554FD3"/>
    <w:rsid w:val="0055517D"/>
    <w:rsid w:val="00555F6A"/>
    <w:rsid w:val="00556085"/>
    <w:rsid w:val="005560D5"/>
    <w:rsid w:val="005563A2"/>
    <w:rsid w:val="005563C0"/>
    <w:rsid w:val="00556512"/>
    <w:rsid w:val="00556693"/>
    <w:rsid w:val="00556721"/>
    <w:rsid w:val="00556BC0"/>
    <w:rsid w:val="00556FCD"/>
    <w:rsid w:val="00557190"/>
    <w:rsid w:val="0055728F"/>
    <w:rsid w:val="0055773D"/>
    <w:rsid w:val="00557D06"/>
    <w:rsid w:val="00557D83"/>
    <w:rsid w:val="0056090E"/>
    <w:rsid w:val="00560CEA"/>
    <w:rsid w:val="00560E08"/>
    <w:rsid w:val="005612B3"/>
    <w:rsid w:val="005614ED"/>
    <w:rsid w:val="00561510"/>
    <w:rsid w:val="005619CD"/>
    <w:rsid w:val="00561BA8"/>
    <w:rsid w:val="00562157"/>
    <w:rsid w:val="00562634"/>
    <w:rsid w:val="00562FF8"/>
    <w:rsid w:val="00563048"/>
    <w:rsid w:val="00563674"/>
    <w:rsid w:val="005640B4"/>
    <w:rsid w:val="00564822"/>
    <w:rsid w:val="0056497A"/>
    <w:rsid w:val="00564ABF"/>
    <w:rsid w:val="00564CD6"/>
    <w:rsid w:val="005652EC"/>
    <w:rsid w:val="0056537F"/>
    <w:rsid w:val="00565546"/>
    <w:rsid w:val="0056562C"/>
    <w:rsid w:val="005663C8"/>
    <w:rsid w:val="00566458"/>
    <w:rsid w:val="00566AFD"/>
    <w:rsid w:val="00566B24"/>
    <w:rsid w:val="00566D55"/>
    <w:rsid w:val="00567265"/>
    <w:rsid w:val="005672D6"/>
    <w:rsid w:val="00567885"/>
    <w:rsid w:val="00570F54"/>
    <w:rsid w:val="00571330"/>
    <w:rsid w:val="00571365"/>
    <w:rsid w:val="005714C4"/>
    <w:rsid w:val="0057167A"/>
    <w:rsid w:val="005718BC"/>
    <w:rsid w:val="005719DB"/>
    <w:rsid w:val="00571A7F"/>
    <w:rsid w:val="00571F94"/>
    <w:rsid w:val="0057413B"/>
    <w:rsid w:val="005744AC"/>
    <w:rsid w:val="00574753"/>
    <w:rsid w:val="0057475A"/>
    <w:rsid w:val="00574C78"/>
    <w:rsid w:val="005755BD"/>
    <w:rsid w:val="00575B10"/>
    <w:rsid w:val="00576693"/>
    <w:rsid w:val="005775AA"/>
    <w:rsid w:val="00577BCA"/>
    <w:rsid w:val="00577D84"/>
    <w:rsid w:val="0058005C"/>
    <w:rsid w:val="0058008B"/>
    <w:rsid w:val="0058016A"/>
    <w:rsid w:val="005805AE"/>
    <w:rsid w:val="005806A9"/>
    <w:rsid w:val="005809C7"/>
    <w:rsid w:val="00580A4E"/>
    <w:rsid w:val="00580A59"/>
    <w:rsid w:val="00580E4B"/>
    <w:rsid w:val="00581679"/>
    <w:rsid w:val="00581854"/>
    <w:rsid w:val="0058189B"/>
    <w:rsid w:val="00581BBE"/>
    <w:rsid w:val="00581CE4"/>
    <w:rsid w:val="00581DF3"/>
    <w:rsid w:val="00581E85"/>
    <w:rsid w:val="005824CF"/>
    <w:rsid w:val="0058284C"/>
    <w:rsid w:val="00582C64"/>
    <w:rsid w:val="00583147"/>
    <w:rsid w:val="005833F6"/>
    <w:rsid w:val="0058375F"/>
    <w:rsid w:val="00583A76"/>
    <w:rsid w:val="00583B10"/>
    <w:rsid w:val="00583EB0"/>
    <w:rsid w:val="005847A6"/>
    <w:rsid w:val="00585666"/>
    <w:rsid w:val="0058569E"/>
    <w:rsid w:val="005856D6"/>
    <w:rsid w:val="00585D76"/>
    <w:rsid w:val="00585E21"/>
    <w:rsid w:val="005861A4"/>
    <w:rsid w:val="00586C41"/>
    <w:rsid w:val="00587058"/>
    <w:rsid w:val="005870F5"/>
    <w:rsid w:val="0058795F"/>
    <w:rsid w:val="00587B5C"/>
    <w:rsid w:val="0059006A"/>
    <w:rsid w:val="005900B7"/>
    <w:rsid w:val="00590704"/>
    <w:rsid w:val="00590DDE"/>
    <w:rsid w:val="005912AB"/>
    <w:rsid w:val="00591B78"/>
    <w:rsid w:val="00592162"/>
    <w:rsid w:val="00592487"/>
    <w:rsid w:val="00592A92"/>
    <w:rsid w:val="00592BE2"/>
    <w:rsid w:val="00592CE6"/>
    <w:rsid w:val="00592F1D"/>
    <w:rsid w:val="0059317F"/>
    <w:rsid w:val="0059369C"/>
    <w:rsid w:val="00593DBB"/>
    <w:rsid w:val="00594359"/>
    <w:rsid w:val="00594521"/>
    <w:rsid w:val="005946E3"/>
    <w:rsid w:val="005946F2"/>
    <w:rsid w:val="005949A8"/>
    <w:rsid w:val="00594A56"/>
    <w:rsid w:val="00594A7E"/>
    <w:rsid w:val="00594A9D"/>
    <w:rsid w:val="005951BD"/>
    <w:rsid w:val="00595A44"/>
    <w:rsid w:val="00595C8A"/>
    <w:rsid w:val="005960DF"/>
    <w:rsid w:val="00596B89"/>
    <w:rsid w:val="00596E51"/>
    <w:rsid w:val="00597596"/>
    <w:rsid w:val="00597C25"/>
    <w:rsid w:val="00597C50"/>
    <w:rsid w:val="00597DE9"/>
    <w:rsid w:val="005A074A"/>
    <w:rsid w:val="005A0C48"/>
    <w:rsid w:val="005A0D63"/>
    <w:rsid w:val="005A1472"/>
    <w:rsid w:val="005A1BAF"/>
    <w:rsid w:val="005A1C74"/>
    <w:rsid w:val="005A2060"/>
    <w:rsid w:val="005A20ED"/>
    <w:rsid w:val="005A21C2"/>
    <w:rsid w:val="005A2EAB"/>
    <w:rsid w:val="005A2F2C"/>
    <w:rsid w:val="005A32C0"/>
    <w:rsid w:val="005A36FA"/>
    <w:rsid w:val="005A3F0C"/>
    <w:rsid w:val="005A3F51"/>
    <w:rsid w:val="005A4336"/>
    <w:rsid w:val="005A495B"/>
    <w:rsid w:val="005A4DB5"/>
    <w:rsid w:val="005A523F"/>
    <w:rsid w:val="005A5403"/>
    <w:rsid w:val="005A57CC"/>
    <w:rsid w:val="005A59F4"/>
    <w:rsid w:val="005A5BB1"/>
    <w:rsid w:val="005A6059"/>
    <w:rsid w:val="005A6900"/>
    <w:rsid w:val="005A694B"/>
    <w:rsid w:val="005A6A84"/>
    <w:rsid w:val="005A6CDB"/>
    <w:rsid w:val="005A6E41"/>
    <w:rsid w:val="005A7721"/>
    <w:rsid w:val="005A79C8"/>
    <w:rsid w:val="005A79D8"/>
    <w:rsid w:val="005A7E44"/>
    <w:rsid w:val="005B016E"/>
    <w:rsid w:val="005B0229"/>
    <w:rsid w:val="005B0637"/>
    <w:rsid w:val="005B10FA"/>
    <w:rsid w:val="005B12FD"/>
    <w:rsid w:val="005B157D"/>
    <w:rsid w:val="005B15E4"/>
    <w:rsid w:val="005B1EE1"/>
    <w:rsid w:val="005B211C"/>
    <w:rsid w:val="005B3095"/>
    <w:rsid w:val="005B36B1"/>
    <w:rsid w:val="005B3BCD"/>
    <w:rsid w:val="005B3E03"/>
    <w:rsid w:val="005B41D6"/>
    <w:rsid w:val="005B4386"/>
    <w:rsid w:val="005B4448"/>
    <w:rsid w:val="005B564C"/>
    <w:rsid w:val="005B5965"/>
    <w:rsid w:val="005B599C"/>
    <w:rsid w:val="005B5A09"/>
    <w:rsid w:val="005B5A34"/>
    <w:rsid w:val="005B5BA2"/>
    <w:rsid w:val="005B5D3B"/>
    <w:rsid w:val="005B6458"/>
    <w:rsid w:val="005B672B"/>
    <w:rsid w:val="005B6BFD"/>
    <w:rsid w:val="005B6C23"/>
    <w:rsid w:val="005B77FD"/>
    <w:rsid w:val="005B7BA6"/>
    <w:rsid w:val="005B7CAD"/>
    <w:rsid w:val="005C0E81"/>
    <w:rsid w:val="005C0F6C"/>
    <w:rsid w:val="005C1281"/>
    <w:rsid w:val="005C131D"/>
    <w:rsid w:val="005C1418"/>
    <w:rsid w:val="005C16E3"/>
    <w:rsid w:val="005C1869"/>
    <w:rsid w:val="005C1F52"/>
    <w:rsid w:val="005C2C68"/>
    <w:rsid w:val="005C3135"/>
    <w:rsid w:val="005C3373"/>
    <w:rsid w:val="005C384B"/>
    <w:rsid w:val="005C463A"/>
    <w:rsid w:val="005C4908"/>
    <w:rsid w:val="005C4BF5"/>
    <w:rsid w:val="005C582D"/>
    <w:rsid w:val="005C5D6F"/>
    <w:rsid w:val="005C5DAC"/>
    <w:rsid w:val="005C5EB7"/>
    <w:rsid w:val="005C5FD5"/>
    <w:rsid w:val="005C6148"/>
    <w:rsid w:val="005C6259"/>
    <w:rsid w:val="005C625E"/>
    <w:rsid w:val="005C633D"/>
    <w:rsid w:val="005C6405"/>
    <w:rsid w:val="005C6482"/>
    <w:rsid w:val="005C6C6E"/>
    <w:rsid w:val="005C6E8F"/>
    <w:rsid w:val="005C7179"/>
    <w:rsid w:val="005C73D1"/>
    <w:rsid w:val="005D03BA"/>
    <w:rsid w:val="005D042A"/>
    <w:rsid w:val="005D0AE0"/>
    <w:rsid w:val="005D0EC5"/>
    <w:rsid w:val="005D1048"/>
    <w:rsid w:val="005D1E38"/>
    <w:rsid w:val="005D272C"/>
    <w:rsid w:val="005D3376"/>
    <w:rsid w:val="005D3764"/>
    <w:rsid w:val="005D3AA5"/>
    <w:rsid w:val="005D3B31"/>
    <w:rsid w:val="005D40E8"/>
    <w:rsid w:val="005D47BD"/>
    <w:rsid w:val="005D4B7B"/>
    <w:rsid w:val="005D4DB3"/>
    <w:rsid w:val="005D5A20"/>
    <w:rsid w:val="005D6517"/>
    <w:rsid w:val="005D6A8D"/>
    <w:rsid w:val="005D6BAD"/>
    <w:rsid w:val="005D6C21"/>
    <w:rsid w:val="005D6C5B"/>
    <w:rsid w:val="005D6CDF"/>
    <w:rsid w:val="005D6E2A"/>
    <w:rsid w:val="005D6FA8"/>
    <w:rsid w:val="005D7474"/>
    <w:rsid w:val="005D7D62"/>
    <w:rsid w:val="005E0165"/>
    <w:rsid w:val="005E0FA3"/>
    <w:rsid w:val="005E1663"/>
    <w:rsid w:val="005E16AC"/>
    <w:rsid w:val="005E1E2D"/>
    <w:rsid w:val="005E23B6"/>
    <w:rsid w:val="005E23E4"/>
    <w:rsid w:val="005E28EC"/>
    <w:rsid w:val="005E2B60"/>
    <w:rsid w:val="005E2EBE"/>
    <w:rsid w:val="005E2EE8"/>
    <w:rsid w:val="005E32E7"/>
    <w:rsid w:val="005E348D"/>
    <w:rsid w:val="005E3A35"/>
    <w:rsid w:val="005E3BD8"/>
    <w:rsid w:val="005E4955"/>
    <w:rsid w:val="005E4FA6"/>
    <w:rsid w:val="005E52DA"/>
    <w:rsid w:val="005E530A"/>
    <w:rsid w:val="005E542F"/>
    <w:rsid w:val="005E5A00"/>
    <w:rsid w:val="005E72E5"/>
    <w:rsid w:val="005E7339"/>
    <w:rsid w:val="005E74F7"/>
    <w:rsid w:val="005E7712"/>
    <w:rsid w:val="005E77C4"/>
    <w:rsid w:val="005E77EC"/>
    <w:rsid w:val="005E7AE8"/>
    <w:rsid w:val="005F0563"/>
    <w:rsid w:val="005F07D1"/>
    <w:rsid w:val="005F09B7"/>
    <w:rsid w:val="005F0EF6"/>
    <w:rsid w:val="005F1415"/>
    <w:rsid w:val="005F14B7"/>
    <w:rsid w:val="005F15D0"/>
    <w:rsid w:val="005F19B8"/>
    <w:rsid w:val="005F1F40"/>
    <w:rsid w:val="005F26C3"/>
    <w:rsid w:val="005F298F"/>
    <w:rsid w:val="005F2FBB"/>
    <w:rsid w:val="005F3798"/>
    <w:rsid w:val="005F384B"/>
    <w:rsid w:val="005F3E86"/>
    <w:rsid w:val="005F4815"/>
    <w:rsid w:val="005F4BA8"/>
    <w:rsid w:val="005F4BBB"/>
    <w:rsid w:val="005F5210"/>
    <w:rsid w:val="005F5324"/>
    <w:rsid w:val="005F59D8"/>
    <w:rsid w:val="005F5C40"/>
    <w:rsid w:val="005F5CE0"/>
    <w:rsid w:val="005F63C5"/>
    <w:rsid w:val="005F6DF6"/>
    <w:rsid w:val="005F7115"/>
    <w:rsid w:val="005F7510"/>
    <w:rsid w:val="005F7E58"/>
    <w:rsid w:val="00602011"/>
    <w:rsid w:val="00602544"/>
    <w:rsid w:val="00602F84"/>
    <w:rsid w:val="00603323"/>
    <w:rsid w:val="00603338"/>
    <w:rsid w:val="006035C7"/>
    <w:rsid w:val="006036F5"/>
    <w:rsid w:val="00603922"/>
    <w:rsid w:val="00604177"/>
    <w:rsid w:val="0060479C"/>
    <w:rsid w:val="00604806"/>
    <w:rsid w:val="00605535"/>
    <w:rsid w:val="0060586F"/>
    <w:rsid w:val="00605BA5"/>
    <w:rsid w:val="00605BCB"/>
    <w:rsid w:val="00605BDB"/>
    <w:rsid w:val="00605CC0"/>
    <w:rsid w:val="00605EA6"/>
    <w:rsid w:val="006063F7"/>
    <w:rsid w:val="00606982"/>
    <w:rsid w:val="00606E2D"/>
    <w:rsid w:val="00607767"/>
    <w:rsid w:val="00607C16"/>
    <w:rsid w:val="00607D4B"/>
    <w:rsid w:val="0061083F"/>
    <w:rsid w:val="00610B76"/>
    <w:rsid w:val="00610BC0"/>
    <w:rsid w:val="00610EE9"/>
    <w:rsid w:val="00611287"/>
    <w:rsid w:val="006128D6"/>
    <w:rsid w:val="00612F1C"/>
    <w:rsid w:val="00613171"/>
    <w:rsid w:val="00613C0C"/>
    <w:rsid w:val="0061429E"/>
    <w:rsid w:val="0061433E"/>
    <w:rsid w:val="006146E3"/>
    <w:rsid w:val="0061476A"/>
    <w:rsid w:val="00614A3D"/>
    <w:rsid w:val="00614B33"/>
    <w:rsid w:val="00614B7C"/>
    <w:rsid w:val="006159CB"/>
    <w:rsid w:val="00615BA1"/>
    <w:rsid w:val="00616497"/>
    <w:rsid w:val="00620069"/>
    <w:rsid w:val="0062021E"/>
    <w:rsid w:val="0062052C"/>
    <w:rsid w:val="00620C8D"/>
    <w:rsid w:val="00620E61"/>
    <w:rsid w:val="00621355"/>
    <w:rsid w:val="0062199B"/>
    <w:rsid w:val="00621B68"/>
    <w:rsid w:val="00621D39"/>
    <w:rsid w:val="00622BBF"/>
    <w:rsid w:val="0062303C"/>
    <w:rsid w:val="00623300"/>
    <w:rsid w:val="00623454"/>
    <w:rsid w:val="00623486"/>
    <w:rsid w:val="00623BED"/>
    <w:rsid w:val="00623EF4"/>
    <w:rsid w:val="00624025"/>
    <w:rsid w:val="00624AB2"/>
    <w:rsid w:val="006256F7"/>
    <w:rsid w:val="00625804"/>
    <w:rsid w:val="00625A68"/>
    <w:rsid w:val="00626255"/>
    <w:rsid w:val="00627116"/>
    <w:rsid w:val="00627231"/>
    <w:rsid w:val="00627496"/>
    <w:rsid w:val="006278A3"/>
    <w:rsid w:val="00627F40"/>
    <w:rsid w:val="00630556"/>
    <w:rsid w:val="00630669"/>
    <w:rsid w:val="00630760"/>
    <w:rsid w:val="00630B3B"/>
    <w:rsid w:val="006312B6"/>
    <w:rsid w:val="006318CA"/>
    <w:rsid w:val="00631AE6"/>
    <w:rsid w:val="00631B96"/>
    <w:rsid w:val="00631F6B"/>
    <w:rsid w:val="0063232E"/>
    <w:rsid w:val="00632356"/>
    <w:rsid w:val="00632404"/>
    <w:rsid w:val="00632BAF"/>
    <w:rsid w:val="00632D42"/>
    <w:rsid w:val="00633760"/>
    <w:rsid w:val="00633BE9"/>
    <w:rsid w:val="00633D9E"/>
    <w:rsid w:val="00633FFC"/>
    <w:rsid w:val="00634227"/>
    <w:rsid w:val="0063440E"/>
    <w:rsid w:val="00634555"/>
    <w:rsid w:val="00634D2A"/>
    <w:rsid w:val="00635341"/>
    <w:rsid w:val="006353CF"/>
    <w:rsid w:val="00635699"/>
    <w:rsid w:val="00635850"/>
    <w:rsid w:val="00635E24"/>
    <w:rsid w:val="00636280"/>
    <w:rsid w:val="00636A42"/>
    <w:rsid w:val="00637409"/>
    <w:rsid w:val="00637714"/>
    <w:rsid w:val="00637FEF"/>
    <w:rsid w:val="00640DF0"/>
    <w:rsid w:val="00640E0D"/>
    <w:rsid w:val="00640F12"/>
    <w:rsid w:val="00641739"/>
    <w:rsid w:val="00641F25"/>
    <w:rsid w:val="006423AF"/>
    <w:rsid w:val="0064274E"/>
    <w:rsid w:val="00642A36"/>
    <w:rsid w:val="00642C10"/>
    <w:rsid w:val="00642CDC"/>
    <w:rsid w:val="00642D7A"/>
    <w:rsid w:val="00642F18"/>
    <w:rsid w:val="00643097"/>
    <w:rsid w:val="00643611"/>
    <w:rsid w:val="00643F0F"/>
    <w:rsid w:val="00644493"/>
    <w:rsid w:val="006445C9"/>
    <w:rsid w:val="0064462F"/>
    <w:rsid w:val="00644C80"/>
    <w:rsid w:val="00644CF3"/>
    <w:rsid w:val="00645B1B"/>
    <w:rsid w:val="00645B93"/>
    <w:rsid w:val="00646017"/>
    <w:rsid w:val="00646053"/>
    <w:rsid w:val="0064645D"/>
    <w:rsid w:val="00646793"/>
    <w:rsid w:val="00646DBE"/>
    <w:rsid w:val="006474B9"/>
    <w:rsid w:val="0064768B"/>
    <w:rsid w:val="00647C61"/>
    <w:rsid w:val="00647D05"/>
    <w:rsid w:val="00650297"/>
    <w:rsid w:val="00650334"/>
    <w:rsid w:val="00650510"/>
    <w:rsid w:val="0065146A"/>
    <w:rsid w:val="0065148A"/>
    <w:rsid w:val="00651C75"/>
    <w:rsid w:val="00651C91"/>
    <w:rsid w:val="00651D90"/>
    <w:rsid w:val="006528C7"/>
    <w:rsid w:val="006531FF"/>
    <w:rsid w:val="00653289"/>
    <w:rsid w:val="0065390F"/>
    <w:rsid w:val="00654DAF"/>
    <w:rsid w:val="00654EA3"/>
    <w:rsid w:val="006552B0"/>
    <w:rsid w:val="006552F6"/>
    <w:rsid w:val="00655A7A"/>
    <w:rsid w:val="00655FFA"/>
    <w:rsid w:val="00656091"/>
    <w:rsid w:val="006563A8"/>
    <w:rsid w:val="00656D54"/>
    <w:rsid w:val="00657A31"/>
    <w:rsid w:val="0066025C"/>
    <w:rsid w:val="006605FF"/>
    <w:rsid w:val="00660AA5"/>
    <w:rsid w:val="00660B64"/>
    <w:rsid w:val="00660D45"/>
    <w:rsid w:val="00660EA7"/>
    <w:rsid w:val="00660EF9"/>
    <w:rsid w:val="006617DF"/>
    <w:rsid w:val="00662BCB"/>
    <w:rsid w:val="0066359B"/>
    <w:rsid w:val="00663807"/>
    <w:rsid w:val="00663AC6"/>
    <w:rsid w:val="00663B2E"/>
    <w:rsid w:val="00663CCE"/>
    <w:rsid w:val="00663F8E"/>
    <w:rsid w:val="006642B0"/>
    <w:rsid w:val="006644A7"/>
    <w:rsid w:val="00664584"/>
    <w:rsid w:val="00664F43"/>
    <w:rsid w:val="00665208"/>
    <w:rsid w:val="00665346"/>
    <w:rsid w:val="00665602"/>
    <w:rsid w:val="0066572B"/>
    <w:rsid w:val="00665A10"/>
    <w:rsid w:val="00665B4E"/>
    <w:rsid w:val="00666DCD"/>
    <w:rsid w:val="006675C0"/>
    <w:rsid w:val="006677D7"/>
    <w:rsid w:val="00670C1B"/>
    <w:rsid w:val="00670DFD"/>
    <w:rsid w:val="00670EA8"/>
    <w:rsid w:val="00670F1B"/>
    <w:rsid w:val="006711D5"/>
    <w:rsid w:val="006715F0"/>
    <w:rsid w:val="00671765"/>
    <w:rsid w:val="006719B7"/>
    <w:rsid w:val="00671E88"/>
    <w:rsid w:val="00671ECD"/>
    <w:rsid w:val="00671F64"/>
    <w:rsid w:val="00672032"/>
    <w:rsid w:val="00672138"/>
    <w:rsid w:val="0067215B"/>
    <w:rsid w:val="006721C6"/>
    <w:rsid w:val="00672272"/>
    <w:rsid w:val="00672757"/>
    <w:rsid w:val="00672979"/>
    <w:rsid w:val="00672AF9"/>
    <w:rsid w:val="00672D2A"/>
    <w:rsid w:val="00672E22"/>
    <w:rsid w:val="006730A8"/>
    <w:rsid w:val="00673C1C"/>
    <w:rsid w:val="00673C49"/>
    <w:rsid w:val="00674020"/>
    <w:rsid w:val="006740CB"/>
    <w:rsid w:val="00674384"/>
    <w:rsid w:val="006743EF"/>
    <w:rsid w:val="00674B48"/>
    <w:rsid w:val="00674C0B"/>
    <w:rsid w:val="00674CC2"/>
    <w:rsid w:val="0067503C"/>
    <w:rsid w:val="00675470"/>
    <w:rsid w:val="0067582E"/>
    <w:rsid w:val="00675F18"/>
    <w:rsid w:val="006764A5"/>
    <w:rsid w:val="006765CF"/>
    <w:rsid w:val="00676704"/>
    <w:rsid w:val="0067698C"/>
    <w:rsid w:val="00676C8D"/>
    <w:rsid w:val="00676F37"/>
    <w:rsid w:val="00676F3E"/>
    <w:rsid w:val="0067706A"/>
    <w:rsid w:val="00677402"/>
    <w:rsid w:val="006774BB"/>
    <w:rsid w:val="0067784E"/>
    <w:rsid w:val="00677A40"/>
    <w:rsid w:val="00677D90"/>
    <w:rsid w:val="00677FAD"/>
    <w:rsid w:val="006804B8"/>
    <w:rsid w:val="00680946"/>
    <w:rsid w:val="006809ED"/>
    <w:rsid w:val="006818AB"/>
    <w:rsid w:val="0068196C"/>
    <w:rsid w:val="006819B6"/>
    <w:rsid w:val="00682325"/>
    <w:rsid w:val="00682C98"/>
    <w:rsid w:val="00682FD2"/>
    <w:rsid w:val="00683076"/>
    <w:rsid w:val="00683187"/>
    <w:rsid w:val="006832F2"/>
    <w:rsid w:val="0068346B"/>
    <w:rsid w:val="006839EE"/>
    <w:rsid w:val="0068414A"/>
    <w:rsid w:val="006847A9"/>
    <w:rsid w:val="00684946"/>
    <w:rsid w:val="00684A7C"/>
    <w:rsid w:val="00684D2A"/>
    <w:rsid w:val="00684D87"/>
    <w:rsid w:val="006854E0"/>
    <w:rsid w:val="00685587"/>
    <w:rsid w:val="006856D5"/>
    <w:rsid w:val="00687AF6"/>
    <w:rsid w:val="00687CAE"/>
    <w:rsid w:val="00690A47"/>
    <w:rsid w:val="006912A9"/>
    <w:rsid w:val="0069182D"/>
    <w:rsid w:val="00691D1F"/>
    <w:rsid w:val="00692211"/>
    <w:rsid w:val="00692329"/>
    <w:rsid w:val="00692921"/>
    <w:rsid w:val="00692BCF"/>
    <w:rsid w:val="00693067"/>
    <w:rsid w:val="00693A51"/>
    <w:rsid w:val="00693C5E"/>
    <w:rsid w:val="00693EAF"/>
    <w:rsid w:val="0069444D"/>
    <w:rsid w:val="0069517D"/>
    <w:rsid w:val="006952DF"/>
    <w:rsid w:val="006954A6"/>
    <w:rsid w:val="00695B0A"/>
    <w:rsid w:val="006960AB"/>
    <w:rsid w:val="0069668B"/>
    <w:rsid w:val="00696739"/>
    <w:rsid w:val="00696968"/>
    <w:rsid w:val="0069751E"/>
    <w:rsid w:val="00697BCF"/>
    <w:rsid w:val="00697D54"/>
    <w:rsid w:val="00697F1E"/>
    <w:rsid w:val="006A0173"/>
    <w:rsid w:val="006A0268"/>
    <w:rsid w:val="006A0318"/>
    <w:rsid w:val="006A0478"/>
    <w:rsid w:val="006A052E"/>
    <w:rsid w:val="006A0FA2"/>
    <w:rsid w:val="006A2173"/>
    <w:rsid w:val="006A2240"/>
    <w:rsid w:val="006A260C"/>
    <w:rsid w:val="006A2A3B"/>
    <w:rsid w:val="006A2CC8"/>
    <w:rsid w:val="006A3223"/>
    <w:rsid w:val="006A339B"/>
    <w:rsid w:val="006A356C"/>
    <w:rsid w:val="006A4570"/>
    <w:rsid w:val="006A47D3"/>
    <w:rsid w:val="006A4DA9"/>
    <w:rsid w:val="006A4FDF"/>
    <w:rsid w:val="006A528C"/>
    <w:rsid w:val="006A55AE"/>
    <w:rsid w:val="006A58E1"/>
    <w:rsid w:val="006A5ACB"/>
    <w:rsid w:val="006A605F"/>
    <w:rsid w:val="006A6549"/>
    <w:rsid w:val="006A67EE"/>
    <w:rsid w:val="006A6BA6"/>
    <w:rsid w:val="006A7496"/>
    <w:rsid w:val="006A7A89"/>
    <w:rsid w:val="006A7C73"/>
    <w:rsid w:val="006A7EA6"/>
    <w:rsid w:val="006B00FF"/>
    <w:rsid w:val="006B0C1E"/>
    <w:rsid w:val="006B129C"/>
    <w:rsid w:val="006B3014"/>
    <w:rsid w:val="006B3576"/>
    <w:rsid w:val="006B3AE4"/>
    <w:rsid w:val="006B3E1A"/>
    <w:rsid w:val="006B45E3"/>
    <w:rsid w:val="006B46D0"/>
    <w:rsid w:val="006B4871"/>
    <w:rsid w:val="006B48E6"/>
    <w:rsid w:val="006B4D44"/>
    <w:rsid w:val="006B4DCB"/>
    <w:rsid w:val="006B4E70"/>
    <w:rsid w:val="006B4F34"/>
    <w:rsid w:val="006B57E7"/>
    <w:rsid w:val="006B59FC"/>
    <w:rsid w:val="006B5A08"/>
    <w:rsid w:val="006B5F79"/>
    <w:rsid w:val="006B61D8"/>
    <w:rsid w:val="006B6E9C"/>
    <w:rsid w:val="006B6F08"/>
    <w:rsid w:val="006B6FE8"/>
    <w:rsid w:val="006B71BE"/>
    <w:rsid w:val="006B79D0"/>
    <w:rsid w:val="006B7B90"/>
    <w:rsid w:val="006B7FDF"/>
    <w:rsid w:val="006C0044"/>
    <w:rsid w:val="006C01E7"/>
    <w:rsid w:val="006C173D"/>
    <w:rsid w:val="006C1E42"/>
    <w:rsid w:val="006C2351"/>
    <w:rsid w:val="006C2445"/>
    <w:rsid w:val="006C247E"/>
    <w:rsid w:val="006C2B20"/>
    <w:rsid w:val="006C2BD9"/>
    <w:rsid w:val="006C2D50"/>
    <w:rsid w:val="006C31B3"/>
    <w:rsid w:val="006C33C8"/>
    <w:rsid w:val="006C3B38"/>
    <w:rsid w:val="006C3D23"/>
    <w:rsid w:val="006C4AAB"/>
    <w:rsid w:val="006C4E63"/>
    <w:rsid w:val="006C5200"/>
    <w:rsid w:val="006C550A"/>
    <w:rsid w:val="006C66E1"/>
    <w:rsid w:val="006C7357"/>
    <w:rsid w:val="006C7B2F"/>
    <w:rsid w:val="006C7C42"/>
    <w:rsid w:val="006C7C82"/>
    <w:rsid w:val="006C7D72"/>
    <w:rsid w:val="006D05C1"/>
    <w:rsid w:val="006D0889"/>
    <w:rsid w:val="006D13EF"/>
    <w:rsid w:val="006D1900"/>
    <w:rsid w:val="006D1A12"/>
    <w:rsid w:val="006D22A3"/>
    <w:rsid w:val="006D374F"/>
    <w:rsid w:val="006D3DB8"/>
    <w:rsid w:val="006D3DC8"/>
    <w:rsid w:val="006D44F3"/>
    <w:rsid w:val="006D4763"/>
    <w:rsid w:val="006D4E27"/>
    <w:rsid w:val="006D4F4C"/>
    <w:rsid w:val="006D5F9B"/>
    <w:rsid w:val="006D6133"/>
    <w:rsid w:val="006D61DC"/>
    <w:rsid w:val="006D62E8"/>
    <w:rsid w:val="006D69AC"/>
    <w:rsid w:val="006D6C83"/>
    <w:rsid w:val="006D73D6"/>
    <w:rsid w:val="006D7483"/>
    <w:rsid w:val="006D76FD"/>
    <w:rsid w:val="006E0951"/>
    <w:rsid w:val="006E0A04"/>
    <w:rsid w:val="006E0BC4"/>
    <w:rsid w:val="006E0F83"/>
    <w:rsid w:val="006E0FCC"/>
    <w:rsid w:val="006E19CA"/>
    <w:rsid w:val="006E19D2"/>
    <w:rsid w:val="006E206F"/>
    <w:rsid w:val="006E2740"/>
    <w:rsid w:val="006E314D"/>
    <w:rsid w:val="006E3470"/>
    <w:rsid w:val="006E3909"/>
    <w:rsid w:val="006E407F"/>
    <w:rsid w:val="006E5277"/>
    <w:rsid w:val="006E55E2"/>
    <w:rsid w:val="006E5BF1"/>
    <w:rsid w:val="006E6556"/>
    <w:rsid w:val="006E66FD"/>
    <w:rsid w:val="006E68E9"/>
    <w:rsid w:val="006E6CA4"/>
    <w:rsid w:val="006E7289"/>
    <w:rsid w:val="006E7C8E"/>
    <w:rsid w:val="006E7E24"/>
    <w:rsid w:val="006F0812"/>
    <w:rsid w:val="006F09EA"/>
    <w:rsid w:val="006F151E"/>
    <w:rsid w:val="006F2335"/>
    <w:rsid w:val="006F2BDE"/>
    <w:rsid w:val="006F2C1F"/>
    <w:rsid w:val="006F3140"/>
    <w:rsid w:val="006F3897"/>
    <w:rsid w:val="006F3A15"/>
    <w:rsid w:val="006F3D0B"/>
    <w:rsid w:val="006F3F05"/>
    <w:rsid w:val="006F42DF"/>
    <w:rsid w:val="006F44E5"/>
    <w:rsid w:val="006F44F0"/>
    <w:rsid w:val="006F46E2"/>
    <w:rsid w:val="006F475A"/>
    <w:rsid w:val="006F4C5F"/>
    <w:rsid w:val="006F4DC0"/>
    <w:rsid w:val="006F5243"/>
    <w:rsid w:val="006F5899"/>
    <w:rsid w:val="006F5EF9"/>
    <w:rsid w:val="006F635C"/>
    <w:rsid w:val="006F681C"/>
    <w:rsid w:val="006F7288"/>
    <w:rsid w:val="006F7487"/>
    <w:rsid w:val="00700004"/>
    <w:rsid w:val="00700506"/>
    <w:rsid w:val="0070088B"/>
    <w:rsid w:val="007008CD"/>
    <w:rsid w:val="00700945"/>
    <w:rsid w:val="00700AB9"/>
    <w:rsid w:val="00700F25"/>
    <w:rsid w:val="007016F7"/>
    <w:rsid w:val="00701A21"/>
    <w:rsid w:val="00701D79"/>
    <w:rsid w:val="007020BB"/>
    <w:rsid w:val="007020F2"/>
    <w:rsid w:val="00702174"/>
    <w:rsid w:val="0070294C"/>
    <w:rsid w:val="0070316A"/>
    <w:rsid w:val="00703662"/>
    <w:rsid w:val="00703B6C"/>
    <w:rsid w:val="0070436D"/>
    <w:rsid w:val="00704686"/>
    <w:rsid w:val="00704DEB"/>
    <w:rsid w:val="00704F5C"/>
    <w:rsid w:val="00705087"/>
    <w:rsid w:val="007058EF"/>
    <w:rsid w:val="00705B37"/>
    <w:rsid w:val="00705F4A"/>
    <w:rsid w:val="00706063"/>
    <w:rsid w:val="00706235"/>
    <w:rsid w:val="007069E8"/>
    <w:rsid w:val="00706B02"/>
    <w:rsid w:val="00706E46"/>
    <w:rsid w:val="00710377"/>
    <w:rsid w:val="00710409"/>
    <w:rsid w:val="00711015"/>
    <w:rsid w:val="007111D0"/>
    <w:rsid w:val="007113B5"/>
    <w:rsid w:val="007116BB"/>
    <w:rsid w:val="00711898"/>
    <w:rsid w:val="007118B7"/>
    <w:rsid w:val="00711F30"/>
    <w:rsid w:val="007121EA"/>
    <w:rsid w:val="007127C1"/>
    <w:rsid w:val="00712BD7"/>
    <w:rsid w:val="00712E8B"/>
    <w:rsid w:val="00713089"/>
    <w:rsid w:val="0071375F"/>
    <w:rsid w:val="00713DC8"/>
    <w:rsid w:val="007141E7"/>
    <w:rsid w:val="007153AC"/>
    <w:rsid w:val="00715AF9"/>
    <w:rsid w:val="00715CEF"/>
    <w:rsid w:val="0071669E"/>
    <w:rsid w:val="007171D6"/>
    <w:rsid w:val="007175E2"/>
    <w:rsid w:val="00717681"/>
    <w:rsid w:val="007179B2"/>
    <w:rsid w:val="00717F13"/>
    <w:rsid w:val="00720A01"/>
    <w:rsid w:val="007211B9"/>
    <w:rsid w:val="007211EC"/>
    <w:rsid w:val="00721336"/>
    <w:rsid w:val="007213EC"/>
    <w:rsid w:val="00721719"/>
    <w:rsid w:val="00721A36"/>
    <w:rsid w:val="00722297"/>
    <w:rsid w:val="00722AFD"/>
    <w:rsid w:val="00722CF5"/>
    <w:rsid w:val="00723731"/>
    <w:rsid w:val="00724342"/>
    <w:rsid w:val="0072461C"/>
    <w:rsid w:val="00724686"/>
    <w:rsid w:val="0072472B"/>
    <w:rsid w:val="007249AF"/>
    <w:rsid w:val="00724C98"/>
    <w:rsid w:val="00724FC4"/>
    <w:rsid w:val="00725679"/>
    <w:rsid w:val="0072592E"/>
    <w:rsid w:val="00725C39"/>
    <w:rsid w:val="00726162"/>
    <w:rsid w:val="00726301"/>
    <w:rsid w:val="0072655F"/>
    <w:rsid w:val="00726D0F"/>
    <w:rsid w:val="0072732E"/>
    <w:rsid w:val="00727491"/>
    <w:rsid w:val="0072755D"/>
    <w:rsid w:val="007278C7"/>
    <w:rsid w:val="00727951"/>
    <w:rsid w:val="007279D1"/>
    <w:rsid w:val="00727A71"/>
    <w:rsid w:val="00727CFB"/>
    <w:rsid w:val="00727E2C"/>
    <w:rsid w:val="00727EA9"/>
    <w:rsid w:val="007300B8"/>
    <w:rsid w:val="00730972"/>
    <w:rsid w:val="0073111C"/>
    <w:rsid w:val="00731346"/>
    <w:rsid w:val="00731778"/>
    <w:rsid w:val="00731CA5"/>
    <w:rsid w:val="00732BF6"/>
    <w:rsid w:val="00732D3B"/>
    <w:rsid w:val="00732DC3"/>
    <w:rsid w:val="0073414B"/>
    <w:rsid w:val="0073433D"/>
    <w:rsid w:val="00735475"/>
    <w:rsid w:val="00735B1C"/>
    <w:rsid w:val="00735D20"/>
    <w:rsid w:val="00735EAC"/>
    <w:rsid w:val="007362CA"/>
    <w:rsid w:val="00736875"/>
    <w:rsid w:val="00736892"/>
    <w:rsid w:val="007368E7"/>
    <w:rsid w:val="00736D6B"/>
    <w:rsid w:val="00736ED5"/>
    <w:rsid w:val="00736EFC"/>
    <w:rsid w:val="00737668"/>
    <w:rsid w:val="00737786"/>
    <w:rsid w:val="00737B5E"/>
    <w:rsid w:val="00737BAC"/>
    <w:rsid w:val="0074086E"/>
    <w:rsid w:val="00740ED5"/>
    <w:rsid w:val="007415A8"/>
    <w:rsid w:val="007416AA"/>
    <w:rsid w:val="00741A29"/>
    <w:rsid w:val="00741EE3"/>
    <w:rsid w:val="007420D3"/>
    <w:rsid w:val="007425FE"/>
    <w:rsid w:val="007428A3"/>
    <w:rsid w:val="0074334C"/>
    <w:rsid w:val="007435FF"/>
    <w:rsid w:val="00743CDE"/>
    <w:rsid w:val="00744194"/>
    <w:rsid w:val="00744A82"/>
    <w:rsid w:val="00744B75"/>
    <w:rsid w:val="00744BF5"/>
    <w:rsid w:val="00744D9C"/>
    <w:rsid w:val="007454EB"/>
    <w:rsid w:val="0074588C"/>
    <w:rsid w:val="00745AD5"/>
    <w:rsid w:val="00745C95"/>
    <w:rsid w:val="00745D48"/>
    <w:rsid w:val="0074623B"/>
    <w:rsid w:val="007465FE"/>
    <w:rsid w:val="00746814"/>
    <w:rsid w:val="00746B5A"/>
    <w:rsid w:val="00746D44"/>
    <w:rsid w:val="007479A7"/>
    <w:rsid w:val="00747BCC"/>
    <w:rsid w:val="00747C89"/>
    <w:rsid w:val="00747E3A"/>
    <w:rsid w:val="0075004A"/>
    <w:rsid w:val="007507EB"/>
    <w:rsid w:val="007509B9"/>
    <w:rsid w:val="007513D8"/>
    <w:rsid w:val="007514C7"/>
    <w:rsid w:val="007522D6"/>
    <w:rsid w:val="007526D2"/>
    <w:rsid w:val="00753572"/>
    <w:rsid w:val="007536B1"/>
    <w:rsid w:val="0075389B"/>
    <w:rsid w:val="007538B2"/>
    <w:rsid w:val="007538C5"/>
    <w:rsid w:val="00753DD9"/>
    <w:rsid w:val="00753F3A"/>
    <w:rsid w:val="007543E1"/>
    <w:rsid w:val="00754622"/>
    <w:rsid w:val="007548A4"/>
    <w:rsid w:val="0075512F"/>
    <w:rsid w:val="0075531D"/>
    <w:rsid w:val="00755F25"/>
    <w:rsid w:val="00755F7D"/>
    <w:rsid w:val="00756009"/>
    <w:rsid w:val="007561B3"/>
    <w:rsid w:val="00756695"/>
    <w:rsid w:val="007572A0"/>
    <w:rsid w:val="0075755A"/>
    <w:rsid w:val="00757DB6"/>
    <w:rsid w:val="00760DC3"/>
    <w:rsid w:val="00760FDC"/>
    <w:rsid w:val="00761515"/>
    <w:rsid w:val="00761E85"/>
    <w:rsid w:val="00762151"/>
    <w:rsid w:val="00762562"/>
    <w:rsid w:val="00762758"/>
    <w:rsid w:val="0076291D"/>
    <w:rsid w:val="00762A48"/>
    <w:rsid w:val="00762F8A"/>
    <w:rsid w:val="00763372"/>
    <w:rsid w:val="00763D33"/>
    <w:rsid w:val="007642BA"/>
    <w:rsid w:val="007643E8"/>
    <w:rsid w:val="007644A3"/>
    <w:rsid w:val="007644AD"/>
    <w:rsid w:val="00764B1E"/>
    <w:rsid w:val="00764DAC"/>
    <w:rsid w:val="0076548B"/>
    <w:rsid w:val="0076559D"/>
    <w:rsid w:val="007656A5"/>
    <w:rsid w:val="007658B0"/>
    <w:rsid w:val="00765ABE"/>
    <w:rsid w:val="00765D1F"/>
    <w:rsid w:val="0076608E"/>
    <w:rsid w:val="00766AD1"/>
    <w:rsid w:val="00767014"/>
    <w:rsid w:val="0076706E"/>
    <w:rsid w:val="007679B5"/>
    <w:rsid w:val="007679DE"/>
    <w:rsid w:val="00770041"/>
    <w:rsid w:val="0077075B"/>
    <w:rsid w:val="00770D44"/>
    <w:rsid w:val="00770FC5"/>
    <w:rsid w:val="007714E7"/>
    <w:rsid w:val="007715C3"/>
    <w:rsid w:val="007715ED"/>
    <w:rsid w:val="00771681"/>
    <w:rsid w:val="00771707"/>
    <w:rsid w:val="0077181E"/>
    <w:rsid w:val="00771991"/>
    <w:rsid w:val="007719AD"/>
    <w:rsid w:val="00771A13"/>
    <w:rsid w:val="00771DCB"/>
    <w:rsid w:val="0077224F"/>
    <w:rsid w:val="00772343"/>
    <w:rsid w:val="00772440"/>
    <w:rsid w:val="00772516"/>
    <w:rsid w:val="00772662"/>
    <w:rsid w:val="0077323B"/>
    <w:rsid w:val="00773413"/>
    <w:rsid w:val="00773A7C"/>
    <w:rsid w:val="00773C8B"/>
    <w:rsid w:val="00773EE6"/>
    <w:rsid w:val="00773F40"/>
    <w:rsid w:val="007743B7"/>
    <w:rsid w:val="00775681"/>
    <w:rsid w:val="007757B6"/>
    <w:rsid w:val="007766A5"/>
    <w:rsid w:val="00776847"/>
    <w:rsid w:val="00776964"/>
    <w:rsid w:val="00776BC2"/>
    <w:rsid w:val="00777B90"/>
    <w:rsid w:val="00777EDB"/>
    <w:rsid w:val="00780816"/>
    <w:rsid w:val="007808B3"/>
    <w:rsid w:val="00780DF2"/>
    <w:rsid w:val="00780EB4"/>
    <w:rsid w:val="007813DB"/>
    <w:rsid w:val="007819E1"/>
    <w:rsid w:val="00781DEB"/>
    <w:rsid w:val="00781EF1"/>
    <w:rsid w:val="00782097"/>
    <w:rsid w:val="007820D7"/>
    <w:rsid w:val="00782241"/>
    <w:rsid w:val="00782777"/>
    <w:rsid w:val="00782E37"/>
    <w:rsid w:val="00783059"/>
    <w:rsid w:val="00783988"/>
    <w:rsid w:val="00783F9C"/>
    <w:rsid w:val="00785636"/>
    <w:rsid w:val="0078573E"/>
    <w:rsid w:val="00785F30"/>
    <w:rsid w:val="00785F3C"/>
    <w:rsid w:val="007861CB"/>
    <w:rsid w:val="00786394"/>
    <w:rsid w:val="007867DF"/>
    <w:rsid w:val="00786956"/>
    <w:rsid w:val="00786B9D"/>
    <w:rsid w:val="00786EE9"/>
    <w:rsid w:val="00787950"/>
    <w:rsid w:val="00787CE6"/>
    <w:rsid w:val="00787D3A"/>
    <w:rsid w:val="00790209"/>
    <w:rsid w:val="00790941"/>
    <w:rsid w:val="00790A22"/>
    <w:rsid w:val="00790F44"/>
    <w:rsid w:val="0079145C"/>
    <w:rsid w:val="007914A6"/>
    <w:rsid w:val="007917BA"/>
    <w:rsid w:val="007928A1"/>
    <w:rsid w:val="0079296C"/>
    <w:rsid w:val="00792ED2"/>
    <w:rsid w:val="00792FC3"/>
    <w:rsid w:val="00793654"/>
    <w:rsid w:val="00793A31"/>
    <w:rsid w:val="00793AE5"/>
    <w:rsid w:val="00793BB3"/>
    <w:rsid w:val="00794306"/>
    <w:rsid w:val="0079473D"/>
    <w:rsid w:val="00794912"/>
    <w:rsid w:val="0079493B"/>
    <w:rsid w:val="00794D30"/>
    <w:rsid w:val="00795AAE"/>
    <w:rsid w:val="007960AF"/>
    <w:rsid w:val="00796451"/>
    <w:rsid w:val="007969F0"/>
    <w:rsid w:val="00796A64"/>
    <w:rsid w:val="00796C40"/>
    <w:rsid w:val="00796C82"/>
    <w:rsid w:val="00797179"/>
    <w:rsid w:val="00797350"/>
    <w:rsid w:val="00797457"/>
    <w:rsid w:val="007974F6"/>
    <w:rsid w:val="00797FF7"/>
    <w:rsid w:val="007A0148"/>
    <w:rsid w:val="007A01A5"/>
    <w:rsid w:val="007A06A5"/>
    <w:rsid w:val="007A0B89"/>
    <w:rsid w:val="007A0C69"/>
    <w:rsid w:val="007A151B"/>
    <w:rsid w:val="007A17B1"/>
    <w:rsid w:val="007A18AB"/>
    <w:rsid w:val="007A18C9"/>
    <w:rsid w:val="007A1C7E"/>
    <w:rsid w:val="007A1ED0"/>
    <w:rsid w:val="007A2648"/>
    <w:rsid w:val="007A3244"/>
    <w:rsid w:val="007A3657"/>
    <w:rsid w:val="007A38CB"/>
    <w:rsid w:val="007A3B4C"/>
    <w:rsid w:val="007A3C32"/>
    <w:rsid w:val="007A3C5E"/>
    <w:rsid w:val="007A4A0D"/>
    <w:rsid w:val="007A4A21"/>
    <w:rsid w:val="007A4B6E"/>
    <w:rsid w:val="007A53E1"/>
    <w:rsid w:val="007A591F"/>
    <w:rsid w:val="007A5BD9"/>
    <w:rsid w:val="007A5DB6"/>
    <w:rsid w:val="007A5F32"/>
    <w:rsid w:val="007A6BDD"/>
    <w:rsid w:val="007A71E2"/>
    <w:rsid w:val="007A740E"/>
    <w:rsid w:val="007A747C"/>
    <w:rsid w:val="007A7BD6"/>
    <w:rsid w:val="007A7F1C"/>
    <w:rsid w:val="007B16EE"/>
    <w:rsid w:val="007B1CC0"/>
    <w:rsid w:val="007B1D3C"/>
    <w:rsid w:val="007B299C"/>
    <w:rsid w:val="007B2E78"/>
    <w:rsid w:val="007B3017"/>
    <w:rsid w:val="007B320D"/>
    <w:rsid w:val="007B32DA"/>
    <w:rsid w:val="007B3C17"/>
    <w:rsid w:val="007B3DE7"/>
    <w:rsid w:val="007B3FC8"/>
    <w:rsid w:val="007B4922"/>
    <w:rsid w:val="007B4D4C"/>
    <w:rsid w:val="007B4E35"/>
    <w:rsid w:val="007B4EE8"/>
    <w:rsid w:val="007B57C4"/>
    <w:rsid w:val="007B5C0C"/>
    <w:rsid w:val="007B5F23"/>
    <w:rsid w:val="007B6652"/>
    <w:rsid w:val="007B6D05"/>
    <w:rsid w:val="007B75C9"/>
    <w:rsid w:val="007B7AC1"/>
    <w:rsid w:val="007B7CAF"/>
    <w:rsid w:val="007C0B13"/>
    <w:rsid w:val="007C1B8B"/>
    <w:rsid w:val="007C28D4"/>
    <w:rsid w:val="007C28F1"/>
    <w:rsid w:val="007C3480"/>
    <w:rsid w:val="007C3541"/>
    <w:rsid w:val="007C3F5D"/>
    <w:rsid w:val="007C44D0"/>
    <w:rsid w:val="007C44F2"/>
    <w:rsid w:val="007C4CFE"/>
    <w:rsid w:val="007C4ED5"/>
    <w:rsid w:val="007C532E"/>
    <w:rsid w:val="007C5594"/>
    <w:rsid w:val="007C55CA"/>
    <w:rsid w:val="007C5A13"/>
    <w:rsid w:val="007C601C"/>
    <w:rsid w:val="007C6577"/>
    <w:rsid w:val="007C6994"/>
    <w:rsid w:val="007C69EC"/>
    <w:rsid w:val="007C6B19"/>
    <w:rsid w:val="007C6CAD"/>
    <w:rsid w:val="007C6D99"/>
    <w:rsid w:val="007C6E7B"/>
    <w:rsid w:val="007C7482"/>
    <w:rsid w:val="007C7524"/>
    <w:rsid w:val="007C7BD6"/>
    <w:rsid w:val="007C7D9D"/>
    <w:rsid w:val="007D0900"/>
    <w:rsid w:val="007D0AA7"/>
    <w:rsid w:val="007D125D"/>
    <w:rsid w:val="007D1630"/>
    <w:rsid w:val="007D173F"/>
    <w:rsid w:val="007D18CD"/>
    <w:rsid w:val="007D1D1E"/>
    <w:rsid w:val="007D1FF7"/>
    <w:rsid w:val="007D232D"/>
    <w:rsid w:val="007D24DC"/>
    <w:rsid w:val="007D2646"/>
    <w:rsid w:val="007D27C1"/>
    <w:rsid w:val="007D2CE9"/>
    <w:rsid w:val="007D2D3B"/>
    <w:rsid w:val="007D2EE8"/>
    <w:rsid w:val="007D30AF"/>
    <w:rsid w:val="007D30D9"/>
    <w:rsid w:val="007D31AF"/>
    <w:rsid w:val="007D3F6A"/>
    <w:rsid w:val="007D427A"/>
    <w:rsid w:val="007D43A0"/>
    <w:rsid w:val="007D43AA"/>
    <w:rsid w:val="007D49CD"/>
    <w:rsid w:val="007D555B"/>
    <w:rsid w:val="007D56EE"/>
    <w:rsid w:val="007D5799"/>
    <w:rsid w:val="007D5B5B"/>
    <w:rsid w:val="007D6112"/>
    <w:rsid w:val="007D6AA3"/>
    <w:rsid w:val="007D710E"/>
    <w:rsid w:val="007D7158"/>
    <w:rsid w:val="007D75C6"/>
    <w:rsid w:val="007D7D5F"/>
    <w:rsid w:val="007D7F9C"/>
    <w:rsid w:val="007E0BB0"/>
    <w:rsid w:val="007E0EF5"/>
    <w:rsid w:val="007E21B6"/>
    <w:rsid w:val="007E28C3"/>
    <w:rsid w:val="007E2BE0"/>
    <w:rsid w:val="007E3FEC"/>
    <w:rsid w:val="007E4299"/>
    <w:rsid w:val="007E4AE4"/>
    <w:rsid w:val="007E4B84"/>
    <w:rsid w:val="007E4C3B"/>
    <w:rsid w:val="007E524C"/>
    <w:rsid w:val="007E544E"/>
    <w:rsid w:val="007E5BF7"/>
    <w:rsid w:val="007E5FBE"/>
    <w:rsid w:val="007E6099"/>
    <w:rsid w:val="007E69AF"/>
    <w:rsid w:val="007E69BF"/>
    <w:rsid w:val="007E6B10"/>
    <w:rsid w:val="007E6BBD"/>
    <w:rsid w:val="007E736F"/>
    <w:rsid w:val="007E742C"/>
    <w:rsid w:val="007E7A0C"/>
    <w:rsid w:val="007E7D10"/>
    <w:rsid w:val="007F0277"/>
    <w:rsid w:val="007F0364"/>
    <w:rsid w:val="007F0539"/>
    <w:rsid w:val="007F0779"/>
    <w:rsid w:val="007F09FE"/>
    <w:rsid w:val="007F0FA7"/>
    <w:rsid w:val="007F10DF"/>
    <w:rsid w:val="007F1237"/>
    <w:rsid w:val="007F1830"/>
    <w:rsid w:val="007F193F"/>
    <w:rsid w:val="007F1BAF"/>
    <w:rsid w:val="007F20CD"/>
    <w:rsid w:val="007F21EC"/>
    <w:rsid w:val="007F2BFB"/>
    <w:rsid w:val="007F2F62"/>
    <w:rsid w:val="007F34C7"/>
    <w:rsid w:val="007F4039"/>
    <w:rsid w:val="007F556B"/>
    <w:rsid w:val="007F5659"/>
    <w:rsid w:val="007F57D9"/>
    <w:rsid w:val="007F65E2"/>
    <w:rsid w:val="007F670E"/>
    <w:rsid w:val="007F6743"/>
    <w:rsid w:val="007F6AF5"/>
    <w:rsid w:val="007F6AF7"/>
    <w:rsid w:val="007F6C7A"/>
    <w:rsid w:val="007F7462"/>
    <w:rsid w:val="007F7849"/>
    <w:rsid w:val="0080000B"/>
    <w:rsid w:val="00800100"/>
    <w:rsid w:val="00800B5F"/>
    <w:rsid w:val="00800D4F"/>
    <w:rsid w:val="00800EA3"/>
    <w:rsid w:val="00800ED5"/>
    <w:rsid w:val="008014DA"/>
    <w:rsid w:val="0080155C"/>
    <w:rsid w:val="00801A1D"/>
    <w:rsid w:val="00801A26"/>
    <w:rsid w:val="00801C46"/>
    <w:rsid w:val="00801D53"/>
    <w:rsid w:val="00801EF2"/>
    <w:rsid w:val="008024AC"/>
    <w:rsid w:val="008026F3"/>
    <w:rsid w:val="008031F7"/>
    <w:rsid w:val="00803680"/>
    <w:rsid w:val="00803698"/>
    <w:rsid w:val="00803C33"/>
    <w:rsid w:val="008042A8"/>
    <w:rsid w:val="008042CF"/>
    <w:rsid w:val="00804544"/>
    <w:rsid w:val="00804923"/>
    <w:rsid w:val="00804DBF"/>
    <w:rsid w:val="00805763"/>
    <w:rsid w:val="00805E71"/>
    <w:rsid w:val="00806FD3"/>
    <w:rsid w:val="008102B1"/>
    <w:rsid w:val="00810AAA"/>
    <w:rsid w:val="00810DB3"/>
    <w:rsid w:val="00811601"/>
    <w:rsid w:val="008116EB"/>
    <w:rsid w:val="00811D64"/>
    <w:rsid w:val="008122ED"/>
    <w:rsid w:val="00812826"/>
    <w:rsid w:val="00812DB7"/>
    <w:rsid w:val="00812E50"/>
    <w:rsid w:val="0081328B"/>
    <w:rsid w:val="008133C7"/>
    <w:rsid w:val="008133DB"/>
    <w:rsid w:val="00813AE4"/>
    <w:rsid w:val="00813ED9"/>
    <w:rsid w:val="00813F4C"/>
    <w:rsid w:val="00814841"/>
    <w:rsid w:val="0081496C"/>
    <w:rsid w:val="00814C33"/>
    <w:rsid w:val="008153C3"/>
    <w:rsid w:val="0081557F"/>
    <w:rsid w:val="00815622"/>
    <w:rsid w:val="00815925"/>
    <w:rsid w:val="00815D67"/>
    <w:rsid w:val="00815FF8"/>
    <w:rsid w:val="008174BE"/>
    <w:rsid w:val="00817984"/>
    <w:rsid w:val="00817EF1"/>
    <w:rsid w:val="00820114"/>
    <w:rsid w:val="008201A0"/>
    <w:rsid w:val="0082035D"/>
    <w:rsid w:val="00820EEB"/>
    <w:rsid w:val="00821029"/>
    <w:rsid w:val="0082149E"/>
    <w:rsid w:val="0082181C"/>
    <w:rsid w:val="008219EB"/>
    <w:rsid w:val="00821B9F"/>
    <w:rsid w:val="00822289"/>
    <w:rsid w:val="0082246C"/>
    <w:rsid w:val="00822BDC"/>
    <w:rsid w:val="00823064"/>
    <w:rsid w:val="00823082"/>
    <w:rsid w:val="008232F6"/>
    <w:rsid w:val="0082380B"/>
    <w:rsid w:val="00823904"/>
    <w:rsid w:val="00824080"/>
    <w:rsid w:val="00824389"/>
    <w:rsid w:val="00824390"/>
    <w:rsid w:val="00824E18"/>
    <w:rsid w:val="00825346"/>
    <w:rsid w:val="00825793"/>
    <w:rsid w:val="008257C4"/>
    <w:rsid w:val="008262A0"/>
    <w:rsid w:val="0082650C"/>
    <w:rsid w:val="00826602"/>
    <w:rsid w:val="00826808"/>
    <w:rsid w:val="008274D4"/>
    <w:rsid w:val="00827C3F"/>
    <w:rsid w:val="0083014A"/>
    <w:rsid w:val="008309BB"/>
    <w:rsid w:val="00830A6D"/>
    <w:rsid w:val="00830A93"/>
    <w:rsid w:val="00830C75"/>
    <w:rsid w:val="008319A0"/>
    <w:rsid w:val="00831B15"/>
    <w:rsid w:val="00831B65"/>
    <w:rsid w:val="00831D81"/>
    <w:rsid w:val="00832131"/>
    <w:rsid w:val="0083259B"/>
    <w:rsid w:val="00832778"/>
    <w:rsid w:val="0083284A"/>
    <w:rsid w:val="008331A9"/>
    <w:rsid w:val="00833203"/>
    <w:rsid w:val="0083341B"/>
    <w:rsid w:val="00833497"/>
    <w:rsid w:val="00833925"/>
    <w:rsid w:val="008341E4"/>
    <w:rsid w:val="0083429B"/>
    <w:rsid w:val="0083487C"/>
    <w:rsid w:val="00834E34"/>
    <w:rsid w:val="00834FF0"/>
    <w:rsid w:val="0083571D"/>
    <w:rsid w:val="00835A7F"/>
    <w:rsid w:val="00836A09"/>
    <w:rsid w:val="00836EC1"/>
    <w:rsid w:val="008401C5"/>
    <w:rsid w:val="008408C2"/>
    <w:rsid w:val="00840C75"/>
    <w:rsid w:val="0084125C"/>
    <w:rsid w:val="008415FA"/>
    <w:rsid w:val="00841640"/>
    <w:rsid w:val="00841D81"/>
    <w:rsid w:val="0084220C"/>
    <w:rsid w:val="00842726"/>
    <w:rsid w:val="008427AB"/>
    <w:rsid w:val="0084290B"/>
    <w:rsid w:val="00842A29"/>
    <w:rsid w:val="008432AD"/>
    <w:rsid w:val="00844603"/>
    <w:rsid w:val="0084476D"/>
    <w:rsid w:val="00844919"/>
    <w:rsid w:val="00844C55"/>
    <w:rsid w:val="008455BE"/>
    <w:rsid w:val="00845981"/>
    <w:rsid w:val="00846295"/>
    <w:rsid w:val="008463AE"/>
    <w:rsid w:val="008474F7"/>
    <w:rsid w:val="008477B0"/>
    <w:rsid w:val="0085016B"/>
    <w:rsid w:val="0085076D"/>
    <w:rsid w:val="00850B43"/>
    <w:rsid w:val="00850C73"/>
    <w:rsid w:val="00850D2A"/>
    <w:rsid w:val="00850D6F"/>
    <w:rsid w:val="00851268"/>
    <w:rsid w:val="008516D3"/>
    <w:rsid w:val="0085170E"/>
    <w:rsid w:val="00851958"/>
    <w:rsid w:val="00851DC4"/>
    <w:rsid w:val="00851E58"/>
    <w:rsid w:val="00851EE3"/>
    <w:rsid w:val="0085202C"/>
    <w:rsid w:val="00852238"/>
    <w:rsid w:val="00852BEF"/>
    <w:rsid w:val="00853D9B"/>
    <w:rsid w:val="00854111"/>
    <w:rsid w:val="00854637"/>
    <w:rsid w:val="008547DC"/>
    <w:rsid w:val="00854A5D"/>
    <w:rsid w:val="00854B7F"/>
    <w:rsid w:val="008553C7"/>
    <w:rsid w:val="00855401"/>
    <w:rsid w:val="0085591B"/>
    <w:rsid w:val="008561C2"/>
    <w:rsid w:val="00856647"/>
    <w:rsid w:val="008568DC"/>
    <w:rsid w:val="00856B6D"/>
    <w:rsid w:val="00856E9F"/>
    <w:rsid w:val="0085755D"/>
    <w:rsid w:val="00857577"/>
    <w:rsid w:val="00857C60"/>
    <w:rsid w:val="00860321"/>
    <w:rsid w:val="0086033E"/>
    <w:rsid w:val="00860389"/>
    <w:rsid w:val="00860401"/>
    <w:rsid w:val="008604A4"/>
    <w:rsid w:val="008618DF"/>
    <w:rsid w:val="00861DF8"/>
    <w:rsid w:val="00861FB1"/>
    <w:rsid w:val="0086200A"/>
    <w:rsid w:val="0086225B"/>
    <w:rsid w:val="008627E6"/>
    <w:rsid w:val="008627FD"/>
    <w:rsid w:val="00862C48"/>
    <w:rsid w:val="008630E0"/>
    <w:rsid w:val="008630E3"/>
    <w:rsid w:val="00863280"/>
    <w:rsid w:val="008635CE"/>
    <w:rsid w:val="00863693"/>
    <w:rsid w:val="008639D6"/>
    <w:rsid w:val="00863AC6"/>
    <w:rsid w:val="00863C19"/>
    <w:rsid w:val="00863C60"/>
    <w:rsid w:val="00864134"/>
    <w:rsid w:val="008645BE"/>
    <w:rsid w:val="008653D0"/>
    <w:rsid w:val="008653F2"/>
    <w:rsid w:val="00866442"/>
    <w:rsid w:val="008664A6"/>
    <w:rsid w:val="00866591"/>
    <w:rsid w:val="00866AC3"/>
    <w:rsid w:val="00867025"/>
    <w:rsid w:val="0086724D"/>
    <w:rsid w:val="0086769F"/>
    <w:rsid w:val="00867DEC"/>
    <w:rsid w:val="0087005E"/>
    <w:rsid w:val="008702F2"/>
    <w:rsid w:val="00870A7E"/>
    <w:rsid w:val="008715FC"/>
    <w:rsid w:val="00871829"/>
    <w:rsid w:val="00872E6F"/>
    <w:rsid w:val="00872F0E"/>
    <w:rsid w:val="00872FAB"/>
    <w:rsid w:val="00873463"/>
    <w:rsid w:val="0087346C"/>
    <w:rsid w:val="00873856"/>
    <w:rsid w:val="00873B33"/>
    <w:rsid w:val="00873E94"/>
    <w:rsid w:val="00873FA7"/>
    <w:rsid w:val="008744AF"/>
    <w:rsid w:val="0087467C"/>
    <w:rsid w:val="008748DD"/>
    <w:rsid w:val="00874CCA"/>
    <w:rsid w:val="00874D47"/>
    <w:rsid w:val="00874F45"/>
    <w:rsid w:val="0087519B"/>
    <w:rsid w:val="0087557C"/>
    <w:rsid w:val="00875D7D"/>
    <w:rsid w:val="00876755"/>
    <w:rsid w:val="0087722B"/>
    <w:rsid w:val="00877312"/>
    <w:rsid w:val="00877640"/>
    <w:rsid w:val="0087774A"/>
    <w:rsid w:val="00877E5C"/>
    <w:rsid w:val="00877F33"/>
    <w:rsid w:val="008807C7"/>
    <w:rsid w:val="008809DE"/>
    <w:rsid w:val="00880D3B"/>
    <w:rsid w:val="00880F83"/>
    <w:rsid w:val="00881365"/>
    <w:rsid w:val="008817D4"/>
    <w:rsid w:val="008818AD"/>
    <w:rsid w:val="00881D31"/>
    <w:rsid w:val="00881E09"/>
    <w:rsid w:val="00881E6E"/>
    <w:rsid w:val="00882198"/>
    <w:rsid w:val="00882935"/>
    <w:rsid w:val="00882A6E"/>
    <w:rsid w:val="00882E03"/>
    <w:rsid w:val="00883267"/>
    <w:rsid w:val="00883334"/>
    <w:rsid w:val="008835A4"/>
    <w:rsid w:val="008837A1"/>
    <w:rsid w:val="008837AE"/>
    <w:rsid w:val="008840F5"/>
    <w:rsid w:val="0088524D"/>
    <w:rsid w:val="008853FC"/>
    <w:rsid w:val="00885A87"/>
    <w:rsid w:val="00885CE4"/>
    <w:rsid w:val="00886377"/>
    <w:rsid w:val="008863D3"/>
    <w:rsid w:val="00886E07"/>
    <w:rsid w:val="00886F1C"/>
    <w:rsid w:val="00887122"/>
    <w:rsid w:val="008871C9"/>
    <w:rsid w:val="0089063A"/>
    <w:rsid w:val="00890A8E"/>
    <w:rsid w:val="00890EBA"/>
    <w:rsid w:val="0089125D"/>
    <w:rsid w:val="008912F0"/>
    <w:rsid w:val="00891854"/>
    <w:rsid w:val="00891C36"/>
    <w:rsid w:val="00891F2E"/>
    <w:rsid w:val="00892125"/>
    <w:rsid w:val="00892401"/>
    <w:rsid w:val="008928F4"/>
    <w:rsid w:val="00892993"/>
    <w:rsid w:val="00892DFE"/>
    <w:rsid w:val="008937D1"/>
    <w:rsid w:val="00893AA1"/>
    <w:rsid w:val="00893FAA"/>
    <w:rsid w:val="008940A1"/>
    <w:rsid w:val="00894B4B"/>
    <w:rsid w:val="00894DC4"/>
    <w:rsid w:val="00895071"/>
    <w:rsid w:val="008950ED"/>
    <w:rsid w:val="00896403"/>
    <w:rsid w:val="0089669D"/>
    <w:rsid w:val="008971BB"/>
    <w:rsid w:val="00897493"/>
    <w:rsid w:val="008A03A7"/>
    <w:rsid w:val="008A05DF"/>
    <w:rsid w:val="008A09EE"/>
    <w:rsid w:val="008A0CB8"/>
    <w:rsid w:val="008A0D23"/>
    <w:rsid w:val="008A0E5E"/>
    <w:rsid w:val="008A171F"/>
    <w:rsid w:val="008A1BF0"/>
    <w:rsid w:val="008A25E3"/>
    <w:rsid w:val="008A2917"/>
    <w:rsid w:val="008A2F58"/>
    <w:rsid w:val="008A30CC"/>
    <w:rsid w:val="008A3272"/>
    <w:rsid w:val="008A39EB"/>
    <w:rsid w:val="008A3DE8"/>
    <w:rsid w:val="008A4466"/>
    <w:rsid w:val="008A4480"/>
    <w:rsid w:val="008A4663"/>
    <w:rsid w:val="008A48C0"/>
    <w:rsid w:val="008A54F5"/>
    <w:rsid w:val="008A5C4F"/>
    <w:rsid w:val="008A65E6"/>
    <w:rsid w:val="008A6950"/>
    <w:rsid w:val="008A6A20"/>
    <w:rsid w:val="008A6B98"/>
    <w:rsid w:val="008A6EF5"/>
    <w:rsid w:val="008A7E4B"/>
    <w:rsid w:val="008B038D"/>
    <w:rsid w:val="008B0AF0"/>
    <w:rsid w:val="008B0BB3"/>
    <w:rsid w:val="008B1603"/>
    <w:rsid w:val="008B1BA2"/>
    <w:rsid w:val="008B2335"/>
    <w:rsid w:val="008B2617"/>
    <w:rsid w:val="008B2851"/>
    <w:rsid w:val="008B286D"/>
    <w:rsid w:val="008B29B8"/>
    <w:rsid w:val="008B2FDE"/>
    <w:rsid w:val="008B3591"/>
    <w:rsid w:val="008B3630"/>
    <w:rsid w:val="008B3D4C"/>
    <w:rsid w:val="008B3E7E"/>
    <w:rsid w:val="008B4495"/>
    <w:rsid w:val="008B5475"/>
    <w:rsid w:val="008B54E5"/>
    <w:rsid w:val="008B5E96"/>
    <w:rsid w:val="008B5F29"/>
    <w:rsid w:val="008B6DDE"/>
    <w:rsid w:val="008B708C"/>
    <w:rsid w:val="008B738B"/>
    <w:rsid w:val="008B751A"/>
    <w:rsid w:val="008C08F7"/>
    <w:rsid w:val="008C1470"/>
    <w:rsid w:val="008C14DD"/>
    <w:rsid w:val="008C1AF6"/>
    <w:rsid w:val="008C2376"/>
    <w:rsid w:val="008C2410"/>
    <w:rsid w:val="008C28CE"/>
    <w:rsid w:val="008C2C97"/>
    <w:rsid w:val="008C2FEB"/>
    <w:rsid w:val="008C3574"/>
    <w:rsid w:val="008C37A1"/>
    <w:rsid w:val="008C4537"/>
    <w:rsid w:val="008C4A16"/>
    <w:rsid w:val="008C5C5A"/>
    <w:rsid w:val="008C5FBC"/>
    <w:rsid w:val="008C623C"/>
    <w:rsid w:val="008C634C"/>
    <w:rsid w:val="008C63CC"/>
    <w:rsid w:val="008C64A3"/>
    <w:rsid w:val="008C65FE"/>
    <w:rsid w:val="008C6A91"/>
    <w:rsid w:val="008C6BD4"/>
    <w:rsid w:val="008C6C6D"/>
    <w:rsid w:val="008C7632"/>
    <w:rsid w:val="008D041E"/>
    <w:rsid w:val="008D098E"/>
    <w:rsid w:val="008D0CE7"/>
    <w:rsid w:val="008D1C15"/>
    <w:rsid w:val="008D22B2"/>
    <w:rsid w:val="008D2529"/>
    <w:rsid w:val="008D2B11"/>
    <w:rsid w:val="008D36E5"/>
    <w:rsid w:val="008D399A"/>
    <w:rsid w:val="008D47A5"/>
    <w:rsid w:val="008D4A6C"/>
    <w:rsid w:val="008D4CEB"/>
    <w:rsid w:val="008D5425"/>
    <w:rsid w:val="008D561C"/>
    <w:rsid w:val="008D5891"/>
    <w:rsid w:val="008D5A5A"/>
    <w:rsid w:val="008D5B9A"/>
    <w:rsid w:val="008D5DFA"/>
    <w:rsid w:val="008D6874"/>
    <w:rsid w:val="008D6A54"/>
    <w:rsid w:val="008D6D94"/>
    <w:rsid w:val="008D6F1F"/>
    <w:rsid w:val="008D7292"/>
    <w:rsid w:val="008D7966"/>
    <w:rsid w:val="008D7B3D"/>
    <w:rsid w:val="008D7F9B"/>
    <w:rsid w:val="008E0668"/>
    <w:rsid w:val="008E06FF"/>
    <w:rsid w:val="008E0981"/>
    <w:rsid w:val="008E0B1B"/>
    <w:rsid w:val="008E1739"/>
    <w:rsid w:val="008E1AA6"/>
    <w:rsid w:val="008E2748"/>
    <w:rsid w:val="008E27B2"/>
    <w:rsid w:val="008E2B3B"/>
    <w:rsid w:val="008E2B9F"/>
    <w:rsid w:val="008E3125"/>
    <w:rsid w:val="008E32AB"/>
    <w:rsid w:val="008E388B"/>
    <w:rsid w:val="008E3A92"/>
    <w:rsid w:val="008E3BE6"/>
    <w:rsid w:val="008E3CD3"/>
    <w:rsid w:val="008E4166"/>
    <w:rsid w:val="008E41A3"/>
    <w:rsid w:val="008E52DE"/>
    <w:rsid w:val="008E5A8E"/>
    <w:rsid w:val="008E5BE3"/>
    <w:rsid w:val="008E5D3D"/>
    <w:rsid w:val="008E5E88"/>
    <w:rsid w:val="008E6268"/>
    <w:rsid w:val="008E727E"/>
    <w:rsid w:val="008E789C"/>
    <w:rsid w:val="008E7EEE"/>
    <w:rsid w:val="008F00CC"/>
    <w:rsid w:val="008F05E8"/>
    <w:rsid w:val="008F1198"/>
    <w:rsid w:val="008F1240"/>
    <w:rsid w:val="008F14E7"/>
    <w:rsid w:val="008F15C1"/>
    <w:rsid w:val="008F16AF"/>
    <w:rsid w:val="008F190F"/>
    <w:rsid w:val="008F1EC7"/>
    <w:rsid w:val="008F28C9"/>
    <w:rsid w:val="008F2A26"/>
    <w:rsid w:val="008F300C"/>
    <w:rsid w:val="008F374B"/>
    <w:rsid w:val="008F3AB8"/>
    <w:rsid w:val="008F433C"/>
    <w:rsid w:val="008F437F"/>
    <w:rsid w:val="008F4592"/>
    <w:rsid w:val="008F5264"/>
    <w:rsid w:val="008F541D"/>
    <w:rsid w:val="008F5B64"/>
    <w:rsid w:val="008F5E97"/>
    <w:rsid w:val="008F62FB"/>
    <w:rsid w:val="008F6451"/>
    <w:rsid w:val="008F6D2B"/>
    <w:rsid w:val="008F7211"/>
    <w:rsid w:val="008F7513"/>
    <w:rsid w:val="008F7B5A"/>
    <w:rsid w:val="008F7B6E"/>
    <w:rsid w:val="008F7BDD"/>
    <w:rsid w:val="008F7DAC"/>
    <w:rsid w:val="009005E4"/>
    <w:rsid w:val="00900687"/>
    <w:rsid w:val="00900AD9"/>
    <w:rsid w:val="00900EB9"/>
    <w:rsid w:val="00901326"/>
    <w:rsid w:val="00901E52"/>
    <w:rsid w:val="00901F26"/>
    <w:rsid w:val="0090224F"/>
    <w:rsid w:val="0090279B"/>
    <w:rsid w:val="00902922"/>
    <w:rsid w:val="0090317C"/>
    <w:rsid w:val="0090343B"/>
    <w:rsid w:val="00903665"/>
    <w:rsid w:val="00903671"/>
    <w:rsid w:val="00903A8B"/>
    <w:rsid w:val="00903AF8"/>
    <w:rsid w:val="0090406A"/>
    <w:rsid w:val="009049CC"/>
    <w:rsid w:val="00904CAB"/>
    <w:rsid w:val="00904EF3"/>
    <w:rsid w:val="0090500C"/>
    <w:rsid w:val="009051EA"/>
    <w:rsid w:val="009052C2"/>
    <w:rsid w:val="0090539D"/>
    <w:rsid w:val="009055A6"/>
    <w:rsid w:val="00905A20"/>
    <w:rsid w:val="00905F9B"/>
    <w:rsid w:val="00906A8A"/>
    <w:rsid w:val="00906ABB"/>
    <w:rsid w:val="00907149"/>
    <w:rsid w:val="009071B5"/>
    <w:rsid w:val="009071DF"/>
    <w:rsid w:val="00907232"/>
    <w:rsid w:val="009072FE"/>
    <w:rsid w:val="009075ED"/>
    <w:rsid w:val="00907918"/>
    <w:rsid w:val="0091008F"/>
    <w:rsid w:val="00910219"/>
    <w:rsid w:val="009103B2"/>
    <w:rsid w:val="0091069C"/>
    <w:rsid w:val="00910791"/>
    <w:rsid w:val="00910C53"/>
    <w:rsid w:val="0091107C"/>
    <w:rsid w:val="009116E7"/>
    <w:rsid w:val="00911B86"/>
    <w:rsid w:val="00911CF2"/>
    <w:rsid w:val="00912146"/>
    <w:rsid w:val="00912996"/>
    <w:rsid w:val="00912C0E"/>
    <w:rsid w:val="00912F73"/>
    <w:rsid w:val="00913070"/>
    <w:rsid w:val="0091509D"/>
    <w:rsid w:val="009151A5"/>
    <w:rsid w:val="0091524C"/>
    <w:rsid w:val="009153E4"/>
    <w:rsid w:val="009155F6"/>
    <w:rsid w:val="00915DC8"/>
    <w:rsid w:val="00915F4B"/>
    <w:rsid w:val="0091613A"/>
    <w:rsid w:val="0091666C"/>
    <w:rsid w:val="0091720E"/>
    <w:rsid w:val="009173C7"/>
    <w:rsid w:val="009178EF"/>
    <w:rsid w:val="00917937"/>
    <w:rsid w:val="00917A39"/>
    <w:rsid w:val="009200AD"/>
    <w:rsid w:val="00920423"/>
    <w:rsid w:val="009208D3"/>
    <w:rsid w:val="00920F44"/>
    <w:rsid w:val="0092115B"/>
    <w:rsid w:val="0092116A"/>
    <w:rsid w:val="00921744"/>
    <w:rsid w:val="009222AD"/>
    <w:rsid w:val="00922885"/>
    <w:rsid w:val="00922B94"/>
    <w:rsid w:val="00922E2F"/>
    <w:rsid w:val="00922E5C"/>
    <w:rsid w:val="009231C0"/>
    <w:rsid w:val="0092344A"/>
    <w:rsid w:val="00923589"/>
    <w:rsid w:val="00923790"/>
    <w:rsid w:val="0092495E"/>
    <w:rsid w:val="00924C2D"/>
    <w:rsid w:val="00924DF5"/>
    <w:rsid w:val="00924E4B"/>
    <w:rsid w:val="009252AB"/>
    <w:rsid w:val="0092644F"/>
    <w:rsid w:val="009265E1"/>
    <w:rsid w:val="00926904"/>
    <w:rsid w:val="00926C39"/>
    <w:rsid w:val="00927E76"/>
    <w:rsid w:val="00930B9A"/>
    <w:rsid w:val="0093128D"/>
    <w:rsid w:val="00931771"/>
    <w:rsid w:val="00931AF3"/>
    <w:rsid w:val="00931B70"/>
    <w:rsid w:val="00931E63"/>
    <w:rsid w:val="00932285"/>
    <w:rsid w:val="00932411"/>
    <w:rsid w:val="0093290F"/>
    <w:rsid w:val="009331ED"/>
    <w:rsid w:val="00933B33"/>
    <w:rsid w:val="0093411C"/>
    <w:rsid w:val="0093416E"/>
    <w:rsid w:val="009342B8"/>
    <w:rsid w:val="00934CA1"/>
    <w:rsid w:val="00935467"/>
    <w:rsid w:val="00935746"/>
    <w:rsid w:val="00935825"/>
    <w:rsid w:val="00935F4D"/>
    <w:rsid w:val="00936111"/>
    <w:rsid w:val="009361BE"/>
    <w:rsid w:val="00936740"/>
    <w:rsid w:val="0093696B"/>
    <w:rsid w:val="00936BE6"/>
    <w:rsid w:val="00936CF6"/>
    <w:rsid w:val="00936EA4"/>
    <w:rsid w:val="00936EB5"/>
    <w:rsid w:val="009371C9"/>
    <w:rsid w:val="0093756C"/>
    <w:rsid w:val="009377FD"/>
    <w:rsid w:val="009400F0"/>
    <w:rsid w:val="009402B0"/>
    <w:rsid w:val="00940C7D"/>
    <w:rsid w:val="00940D3C"/>
    <w:rsid w:val="00940FCE"/>
    <w:rsid w:val="00941099"/>
    <w:rsid w:val="009414CF"/>
    <w:rsid w:val="00941664"/>
    <w:rsid w:val="00941ED1"/>
    <w:rsid w:val="009421C4"/>
    <w:rsid w:val="009421D7"/>
    <w:rsid w:val="00942672"/>
    <w:rsid w:val="00942AE4"/>
    <w:rsid w:val="0094318F"/>
    <w:rsid w:val="009439D6"/>
    <w:rsid w:val="0094429A"/>
    <w:rsid w:val="009448F1"/>
    <w:rsid w:val="00944C44"/>
    <w:rsid w:val="009450B7"/>
    <w:rsid w:val="00945852"/>
    <w:rsid w:val="00945FF3"/>
    <w:rsid w:val="009467F7"/>
    <w:rsid w:val="00946C21"/>
    <w:rsid w:val="009470A8"/>
    <w:rsid w:val="009472E3"/>
    <w:rsid w:val="00947D7C"/>
    <w:rsid w:val="00947F15"/>
    <w:rsid w:val="00950268"/>
    <w:rsid w:val="00950368"/>
    <w:rsid w:val="00950FB3"/>
    <w:rsid w:val="009511B7"/>
    <w:rsid w:val="0095126B"/>
    <w:rsid w:val="0095132B"/>
    <w:rsid w:val="00951410"/>
    <w:rsid w:val="00951796"/>
    <w:rsid w:val="00951CE9"/>
    <w:rsid w:val="00951D4B"/>
    <w:rsid w:val="00953339"/>
    <w:rsid w:val="0095392A"/>
    <w:rsid w:val="009539FB"/>
    <w:rsid w:val="00953F83"/>
    <w:rsid w:val="00954659"/>
    <w:rsid w:val="00954B6D"/>
    <w:rsid w:val="00954EAD"/>
    <w:rsid w:val="009556D3"/>
    <w:rsid w:val="0095592A"/>
    <w:rsid w:val="00955F8D"/>
    <w:rsid w:val="009560EE"/>
    <w:rsid w:val="00956DEA"/>
    <w:rsid w:val="00957155"/>
    <w:rsid w:val="00957390"/>
    <w:rsid w:val="009574E8"/>
    <w:rsid w:val="009576C8"/>
    <w:rsid w:val="009578EA"/>
    <w:rsid w:val="00957C26"/>
    <w:rsid w:val="00960155"/>
    <w:rsid w:val="009605A0"/>
    <w:rsid w:val="00960703"/>
    <w:rsid w:val="00960C65"/>
    <w:rsid w:val="0096198B"/>
    <w:rsid w:val="00961B92"/>
    <w:rsid w:val="009621ED"/>
    <w:rsid w:val="00962DBD"/>
    <w:rsid w:val="00963292"/>
    <w:rsid w:val="00963328"/>
    <w:rsid w:val="009638C9"/>
    <w:rsid w:val="00963918"/>
    <w:rsid w:val="009643EB"/>
    <w:rsid w:val="009649A1"/>
    <w:rsid w:val="00964E85"/>
    <w:rsid w:val="009656A9"/>
    <w:rsid w:val="009659AE"/>
    <w:rsid w:val="00965CAB"/>
    <w:rsid w:val="009660BB"/>
    <w:rsid w:val="0096632C"/>
    <w:rsid w:val="00966429"/>
    <w:rsid w:val="00966831"/>
    <w:rsid w:val="00966BE0"/>
    <w:rsid w:val="00967071"/>
    <w:rsid w:val="0096746B"/>
    <w:rsid w:val="00967CF7"/>
    <w:rsid w:val="00970331"/>
    <w:rsid w:val="00970376"/>
    <w:rsid w:val="009703CB"/>
    <w:rsid w:val="00970682"/>
    <w:rsid w:val="00970759"/>
    <w:rsid w:val="00970A62"/>
    <w:rsid w:val="00971094"/>
    <w:rsid w:val="009711F2"/>
    <w:rsid w:val="0097209D"/>
    <w:rsid w:val="00972322"/>
    <w:rsid w:val="0097234C"/>
    <w:rsid w:val="00972951"/>
    <w:rsid w:val="00972B29"/>
    <w:rsid w:val="00972C8A"/>
    <w:rsid w:val="00972DCE"/>
    <w:rsid w:val="009730D1"/>
    <w:rsid w:val="0097338E"/>
    <w:rsid w:val="009733E0"/>
    <w:rsid w:val="009734EA"/>
    <w:rsid w:val="00973BC0"/>
    <w:rsid w:val="00973D2A"/>
    <w:rsid w:val="00973FFB"/>
    <w:rsid w:val="00974155"/>
    <w:rsid w:val="0097436F"/>
    <w:rsid w:val="00974884"/>
    <w:rsid w:val="00974AC8"/>
    <w:rsid w:val="00975174"/>
    <w:rsid w:val="0097558B"/>
    <w:rsid w:val="00975935"/>
    <w:rsid w:val="00975BA2"/>
    <w:rsid w:val="009760D2"/>
    <w:rsid w:val="009761EB"/>
    <w:rsid w:val="00976AF2"/>
    <w:rsid w:val="00976FC0"/>
    <w:rsid w:val="00977087"/>
    <w:rsid w:val="00977D5E"/>
    <w:rsid w:val="00980174"/>
    <w:rsid w:val="009804B5"/>
    <w:rsid w:val="00980735"/>
    <w:rsid w:val="00980BC5"/>
    <w:rsid w:val="00980F71"/>
    <w:rsid w:val="009810B9"/>
    <w:rsid w:val="00981171"/>
    <w:rsid w:val="009813AE"/>
    <w:rsid w:val="0098147F"/>
    <w:rsid w:val="009816BF"/>
    <w:rsid w:val="00981E8D"/>
    <w:rsid w:val="00982348"/>
    <w:rsid w:val="009826DB"/>
    <w:rsid w:val="00982A77"/>
    <w:rsid w:val="00982EBB"/>
    <w:rsid w:val="009833C7"/>
    <w:rsid w:val="0098381B"/>
    <w:rsid w:val="00983B96"/>
    <w:rsid w:val="00984947"/>
    <w:rsid w:val="0098538E"/>
    <w:rsid w:val="009854F4"/>
    <w:rsid w:val="00985520"/>
    <w:rsid w:val="00985588"/>
    <w:rsid w:val="00985AA6"/>
    <w:rsid w:val="00986221"/>
    <w:rsid w:val="00986404"/>
    <w:rsid w:val="009866E3"/>
    <w:rsid w:val="009867AE"/>
    <w:rsid w:val="00986BAA"/>
    <w:rsid w:val="00986C13"/>
    <w:rsid w:val="00986E0B"/>
    <w:rsid w:val="00987828"/>
    <w:rsid w:val="00987913"/>
    <w:rsid w:val="00987F57"/>
    <w:rsid w:val="0099047F"/>
    <w:rsid w:val="009909C6"/>
    <w:rsid w:val="00990C2C"/>
    <w:rsid w:val="0099121D"/>
    <w:rsid w:val="009912CD"/>
    <w:rsid w:val="00991755"/>
    <w:rsid w:val="00991DE9"/>
    <w:rsid w:val="0099210A"/>
    <w:rsid w:val="0099223C"/>
    <w:rsid w:val="00992853"/>
    <w:rsid w:val="00992865"/>
    <w:rsid w:val="00992D67"/>
    <w:rsid w:val="00992EA5"/>
    <w:rsid w:val="00993049"/>
    <w:rsid w:val="0099319A"/>
    <w:rsid w:val="009932A8"/>
    <w:rsid w:val="0099345F"/>
    <w:rsid w:val="0099376E"/>
    <w:rsid w:val="009937F5"/>
    <w:rsid w:val="00993D01"/>
    <w:rsid w:val="00993DAF"/>
    <w:rsid w:val="00993DD7"/>
    <w:rsid w:val="00994642"/>
    <w:rsid w:val="009947E4"/>
    <w:rsid w:val="00994AB1"/>
    <w:rsid w:val="00995263"/>
    <w:rsid w:val="00995312"/>
    <w:rsid w:val="0099565C"/>
    <w:rsid w:val="00995A24"/>
    <w:rsid w:val="00995D88"/>
    <w:rsid w:val="00995DE9"/>
    <w:rsid w:val="00995EC3"/>
    <w:rsid w:val="00995F92"/>
    <w:rsid w:val="00996521"/>
    <w:rsid w:val="009969C3"/>
    <w:rsid w:val="009977FE"/>
    <w:rsid w:val="009A0301"/>
    <w:rsid w:val="009A0B1E"/>
    <w:rsid w:val="009A0BEA"/>
    <w:rsid w:val="009A1C92"/>
    <w:rsid w:val="009A1FBF"/>
    <w:rsid w:val="009A2DED"/>
    <w:rsid w:val="009A2EA9"/>
    <w:rsid w:val="009A310B"/>
    <w:rsid w:val="009A348D"/>
    <w:rsid w:val="009A350C"/>
    <w:rsid w:val="009A3648"/>
    <w:rsid w:val="009A3BD3"/>
    <w:rsid w:val="009A3C9F"/>
    <w:rsid w:val="009A3CDE"/>
    <w:rsid w:val="009A465B"/>
    <w:rsid w:val="009A496B"/>
    <w:rsid w:val="009A4A5A"/>
    <w:rsid w:val="009A4CFE"/>
    <w:rsid w:val="009A4EEC"/>
    <w:rsid w:val="009A53A7"/>
    <w:rsid w:val="009A553E"/>
    <w:rsid w:val="009A57E2"/>
    <w:rsid w:val="009A5B7B"/>
    <w:rsid w:val="009A5BDA"/>
    <w:rsid w:val="009A5C87"/>
    <w:rsid w:val="009A5CF0"/>
    <w:rsid w:val="009A66BC"/>
    <w:rsid w:val="009A66DD"/>
    <w:rsid w:val="009A703E"/>
    <w:rsid w:val="009A77F9"/>
    <w:rsid w:val="009A7F7C"/>
    <w:rsid w:val="009B008B"/>
    <w:rsid w:val="009B0CCE"/>
    <w:rsid w:val="009B0D80"/>
    <w:rsid w:val="009B0EB2"/>
    <w:rsid w:val="009B1EEE"/>
    <w:rsid w:val="009B220F"/>
    <w:rsid w:val="009B31B1"/>
    <w:rsid w:val="009B331B"/>
    <w:rsid w:val="009B431D"/>
    <w:rsid w:val="009B4330"/>
    <w:rsid w:val="009B48B0"/>
    <w:rsid w:val="009B51D2"/>
    <w:rsid w:val="009B5728"/>
    <w:rsid w:val="009B579B"/>
    <w:rsid w:val="009B5C7A"/>
    <w:rsid w:val="009B6B5F"/>
    <w:rsid w:val="009B7094"/>
    <w:rsid w:val="009B7255"/>
    <w:rsid w:val="009B7541"/>
    <w:rsid w:val="009B78F8"/>
    <w:rsid w:val="009B78FD"/>
    <w:rsid w:val="009B7A36"/>
    <w:rsid w:val="009B7CCB"/>
    <w:rsid w:val="009B7F40"/>
    <w:rsid w:val="009C0855"/>
    <w:rsid w:val="009C0B7C"/>
    <w:rsid w:val="009C0CDB"/>
    <w:rsid w:val="009C0CE2"/>
    <w:rsid w:val="009C0F5F"/>
    <w:rsid w:val="009C167E"/>
    <w:rsid w:val="009C1C74"/>
    <w:rsid w:val="009C21F4"/>
    <w:rsid w:val="009C2682"/>
    <w:rsid w:val="009C28CB"/>
    <w:rsid w:val="009C2B11"/>
    <w:rsid w:val="009C35CE"/>
    <w:rsid w:val="009C3787"/>
    <w:rsid w:val="009C401F"/>
    <w:rsid w:val="009C44AD"/>
    <w:rsid w:val="009C4880"/>
    <w:rsid w:val="009C4A3C"/>
    <w:rsid w:val="009C4C33"/>
    <w:rsid w:val="009C4CE1"/>
    <w:rsid w:val="009C4F59"/>
    <w:rsid w:val="009C55C7"/>
    <w:rsid w:val="009C58C8"/>
    <w:rsid w:val="009C61B7"/>
    <w:rsid w:val="009C62BD"/>
    <w:rsid w:val="009C6593"/>
    <w:rsid w:val="009C680C"/>
    <w:rsid w:val="009C6A11"/>
    <w:rsid w:val="009C6A37"/>
    <w:rsid w:val="009C6E2E"/>
    <w:rsid w:val="009C6FEB"/>
    <w:rsid w:val="009C7464"/>
    <w:rsid w:val="009C78EA"/>
    <w:rsid w:val="009C795C"/>
    <w:rsid w:val="009C7982"/>
    <w:rsid w:val="009C79C3"/>
    <w:rsid w:val="009C7A9A"/>
    <w:rsid w:val="009C7B5C"/>
    <w:rsid w:val="009D026A"/>
    <w:rsid w:val="009D029E"/>
    <w:rsid w:val="009D07B7"/>
    <w:rsid w:val="009D0801"/>
    <w:rsid w:val="009D0CF4"/>
    <w:rsid w:val="009D0D02"/>
    <w:rsid w:val="009D18FC"/>
    <w:rsid w:val="009D1A44"/>
    <w:rsid w:val="009D1F02"/>
    <w:rsid w:val="009D202B"/>
    <w:rsid w:val="009D213C"/>
    <w:rsid w:val="009D25DF"/>
    <w:rsid w:val="009D2AD4"/>
    <w:rsid w:val="009D3233"/>
    <w:rsid w:val="009D32EC"/>
    <w:rsid w:val="009D3438"/>
    <w:rsid w:val="009D35DA"/>
    <w:rsid w:val="009D36D7"/>
    <w:rsid w:val="009D451F"/>
    <w:rsid w:val="009D4783"/>
    <w:rsid w:val="009D49A6"/>
    <w:rsid w:val="009D51E9"/>
    <w:rsid w:val="009D5593"/>
    <w:rsid w:val="009D571F"/>
    <w:rsid w:val="009D5A44"/>
    <w:rsid w:val="009D5B15"/>
    <w:rsid w:val="009D5C10"/>
    <w:rsid w:val="009D600B"/>
    <w:rsid w:val="009D7051"/>
    <w:rsid w:val="009D715E"/>
    <w:rsid w:val="009D737B"/>
    <w:rsid w:val="009D7ADE"/>
    <w:rsid w:val="009D7BAC"/>
    <w:rsid w:val="009E01FA"/>
    <w:rsid w:val="009E02C7"/>
    <w:rsid w:val="009E02D6"/>
    <w:rsid w:val="009E0470"/>
    <w:rsid w:val="009E0772"/>
    <w:rsid w:val="009E0B06"/>
    <w:rsid w:val="009E1149"/>
    <w:rsid w:val="009E16E7"/>
    <w:rsid w:val="009E1CF7"/>
    <w:rsid w:val="009E1DE5"/>
    <w:rsid w:val="009E22F7"/>
    <w:rsid w:val="009E2C5C"/>
    <w:rsid w:val="009E2E30"/>
    <w:rsid w:val="009E353C"/>
    <w:rsid w:val="009E3741"/>
    <w:rsid w:val="009E3EE9"/>
    <w:rsid w:val="009E446A"/>
    <w:rsid w:val="009E452E"/>
    <w:rsid w:val="009E48B9"/>
    <w:rsid w:val="009E493F"/>
    <w:rsid w:val="009E4D0F"/>
    <w:rsid w:val="009E4D8D"/>
    <w:rsid w:val="009E520F"/>
    <w:rsid w:val="009E5281"/>
    <w:rsid w:val="009E52EA"/>
    <w:rsid w:val="009E53D7"/>
    <w:rsid w:val="009E5671"/>
    <w:rsid w:val="009E5A47"/>
    <w:rsid w:val="009E5A6D"/>
    <w:rsid w:val="009E5B47"/>
    <w:rsid w:val="009E5D84"/>
    <w:rsid w:val="009E60D7"/>
    <w:rsid w:val="009E63D8"/>
    <w:rsid w:val="009E6438"/>
    <w:rsid w:val="009E66D9"/>
    <w:rsid w:val="009E673A"/>
    <w:rsid w:val="009E67FE"/>
    <w:rsid w:val="009E6D53"/>
    <w:rsid w:val="009E7722"/>
    <w:rsid w:val="009E7B34"/>
    <w:rsid w:val="009E7D3C"/>
    <w:rsid w:val="009E7E4C"/>
    <w:rsid w:val="009E7F91"/>
    <w:rsid w:val="009F0127"/>
    <w:rsid w:val="009F021A"/>
    <w:rsid w:val="009F0ADD"/>
    <w:rsid w:val="009F1241"/>
    <w:rsid w:val="009F14EE"/>
    <w:rsid w:val="009F1B83"/>
    <w:rsid w:val="009F1D18"/>
    <w:rsid w:val="009F2153"/>
    <w:rsid w:val="009F21FD"/>
    <w:rsid w:val="009F2206"/>
    <w:rsid w:val="009F3297"/>
    <w:rsid w:val="009F3877"/>
    <w:rsid w:val="009F4677"/>
    <w:rsid w:val="009F4708"/>
    <w:rsid w:val="009F47A4"/>
    <w:rsid w:val="009F47F4"/>
    <w:rsid w:val="009F490A"/>
    <w:rsid w:val="009F52A5"/>
    <w:rsid w:val="009F586E"/>
    <w:rsid w:val="009F5E72"/>
    <w:rsid w:val="009F5E78"/>
    <w:rsid w:val="009F6800"/>
    <w:rsid w:val="009F6B80"/>
    <w:rsid w:val="009F6F45"/>
    <w:rsid w:val="009F6FF3"/>
    <w:rsid w:val="009F7151"/>
    <w:rsid w:val="009F73AD"/>
    <w:rsid w:val="009F7567"/>
    <w:rsid w:val="009F7615"/>
    <w:rsid w:val="009F7815"/>
    <w:rsid w:val="009F7FD8"/>
    <w:rsid w:val="00A00356"/>
    <w:rsid w:val="00A006BF"/>
    <w:rsid w:val="00A00A1F"/>
    <w:rsid w:val="00A00A9E"/>
    <w:rsid w:val="00A00AAE"/>
    <w:rsid w:val="00A00CD4"/>
    <w:rsid w:val="00A00E9C"/>
    <w:rsid w:val="00A01652"/>
    <w:rsid w:val="00A018F5"/>
    <w:rsid w:val="00A01AE1"/>
    <w:rsid w:val="00A02481"/>
    <w:rsid w:val="00A02D7A"/>
    <w:rsid w:val="00A02EDA"/>
    <w:rsid w:val="00A03832"/>
    <w:rsid w:val="00A03A8B"/>
    <w:rsid w:val="00A03EF4"/>
    <w:rsid w:val="00A03F43"/>
    <w:rsid w:val="00A042E0"/>
    <w:rsid w:val="00A0434D"/>
    <w:rsid w:val="00A04847"/>
    <w:rsid w:val="00A0486E"/>
    <w:rsid w:val="00A0487C"/>
    <w:rsid w:val="00A048F7"/>
    <w:rsid w:val="00A04AE8"/>
    <w:rsid w:val="00A04C0A"/>
    <w:rsid w:val="00A05DF5"/>
    <w:rsid w:val="00A0608E"/>
    <w:rsid w:val="00A06BA9"/>
    <w:rsid w:val="00A06F58"/>
    <w:rsid w:val="00A07ADD"/>
    <w:rsid w:val="00A10A1A"/>
    <w:rsid w:val="00A10F25"/>
    <w:rsid w:val="00A1161F"/>
    <w:rsid w:val="00A11698"/>
    <w:rsid w:val="00A11B48"/>
    <w:rsid w:val="00A11BE0"/>
    <w:rsid w:val="00A11C41"/>
    <w:rsid w:val="00A11D9D"/>
    <w:rsid w:val="00A11F32"/>
    <w:rsid w:val="00A120D0"/>
    <w:rsid w:val="00A12591"/>
    <w:rsid w:val="00A126BE"/>
    <w:rsid w:val="00A12ACF"/>
    <w:rsid w:val="00A12CE6"/>
    <w:rsid w:val="00A12FCF"/>
    <w:rsid w:val="00A13414"/>
    <w:rsid w:val="00A13468"/>
    <w:rsid w:val="00A13605"/>
    <w:rsid w:val="00A1379E"/>
    <w:rsid w:val="00A13A12"/>
    <w:rsid w:val="00A13E0F"/>
    <w:rsid w:val="00A14360"/>
    <w:rsid w:val="00A149D6"/>
    <w:rsid w:val="00A14E3F"/>
    <w:rsid w:val="00A15209"/>
    <w:rsid w:val="00A1554C"/>
    <w:rsid w:val="00A1557C"/>
    <w:rsid w:val="00A1599C"/>
    <w:rsid w:val="00A15DE7"/>
    <w:rsid w:val="00A167BB"/>
    <w:rsid w:val="00A16D27"/>
    <w:rsid w:val="00A175C6"/>
    <w:rsid w:val="00A1784C"/>
    <w:rsid w:val="00A17CC8"/>
    <w:rsid w:val="00A204B3"/>
    <w:rsid w:val="00A20885"/>
    <w:rsid w:val="00A20A1C"/>
    <w:rsid w:val="00A20AFF"/>
    <w:rsid w:val="00A20D50"/>
    <w:rsid w:val="00A211AD"/>
    <w:rsid w:val="00A217F8"/>
    <w:rsid w:val="00A21EF6"/>
    <w:rsid w:val="00A21FDD"/>
    <w:rsid w:val="00A223C4"/>
    <w:rsid w:val="00A22885"/>
    <w:rsid w:val="00A22A79"/>
    <w:rsid w:val="00A22B4E"/>
    <w:rsid w:val="00A235A4"/>
    <w:rsid w:val="00A23626"/>
    <w:rsid w:val="00A23662"/>
    <w:rsid w:val="00A241B7"/>
    <w:rsid w:val="00A24412"/>
    <w:rsid w:val="00A245FC"/>
    <w:rsid w:val="00A246C9"/>
    <w:rsid w:val="00A24E20"/>
    <w:rsid w:val="00A257CC"/>
    <w:rsid w:val="00A25AEA"/>
    <w:rsid w:val="00A261A8"/>
    <w:rsid w:val="00A26285"/>
    <w:rsid w:val="00A26DDC"/>
    <w:rsid w:val="00A270B5"/>
    <w:rsid w:val="00A273D4"/>
    <w:rsid w:val="00A2788A"/>
    <w:rsid w:val="00A27A59"/>
    <w:rsid w:val="00A27ED1"/>
    <w:rsid w:val="00A27F39"/>
    <w:rsid w:val="00A3026D"/>
    <w:rsid w:val="00A30437"/>
    <w:rsid w:val="00A30483"/>
    <w:rsid w:val="00A305BF"/>
    <w:rsid w:val="00A305E8"/>
    <w:rsid w:val="00A30AF9"/>
    <w:rsid w:val="00A30B27"/>
    <w:rsid w:val="00A30D19"/>
    <w:rsid w:val="00A3188D"/>
    <w:rsid w:val="00A31B69"/>
    <w:rsid w:val="00A31CB4"/>
    <w:rsid w:val="00A32E6A"/>
    <w:rsid w:val="00A33068"/>
    <w:rsid w:val="00A33621"/>
    <w:rsid w:val="00A3393F"/>
    <w:rsid w:val="00A3406F"/>
    <w:rsid w:val="00A340DF"/>
    <w:rsid w:val="00A34399"/>
    <w:rsid w:val="00A34786"/>
    <w:rsid w:val="00A34A3F"/>
    <w:rsid w:val="00A34AEC"/>
    <w:rsid w:val="00A34E89"/>
    <w:rsid w:val="00A353FC"/>
    <w:rsid w:val="00A3557D"/>
    <w:rsid w:val="00A356B5"/>
    <w:rsid w:val="00A35B6C"/>
    <w:rsid w:val="00A35C65"/>
    <w:rsid w:val="00A35EF4"/>
    <w:rsid w:val="00A36422"/>
    <w:rsid w:val="00A36BEA"/>
    <w:rsid w:val="00A37225"/>
    <w:rsid w:val="00A373C8"/>
    <w:rsid w:val="00A40328"/>
    <w:rsid w:val="00A4084D"/>
    <w:rsid w:val="00A4094C"/>
    <w:rsid w:val="00A40A2B"/>
    <w:rsid w:val="00A40AE5"/>
    <w:rsid w:val="00A41053"/>
    <w:rsid w:val="00A41258"/>
    <w:rsid w:val="00A412EF"/>
    <w:rsid w:val="00A4134A"/>
    <w:rsid w:val="00A4259F"/>
    <w:rsid w:val="00A42D33"/>
    <w:rsid w:val="00A42D95"/>
    <w:rsid w:val="00A43EED"/>
    <w:rsid w:val="00A440FF"/>
    <w:rsid w:val="00A46625"/>
    <w:rsid w:val="00A46D0E"/>
    <w:rsid w:val="00A471EC"/>
    <w:rsid w:val="00A47237"/>
    <w:rsid w:val="00A472BA"/>
    <w:rsid w:val="00A4775E"/>
    <w:rsid w:val="00A4777B"/>
    <w:rsid w:val="00A47938"/>
    <w:rsid w:val="00A50429"/>
    <w:rsid w:val="00A50B22"/>
    <w:rsid w:val="00A50CA4"/>
    <w:rsid w:val="00A50D2A"/>
    <w:rsid w:val="00A51997"/>
    <w:rsid w:val="00A51D28"/>
    <w:rsid w:val="00A522D0"/>
    <w:rsid w:val="00A53075"/>
    <w:rsid w:val="00A5354E"/>
    <w:rsid w:val="00A540D3"/>
    <w:rsid w:val="00A547C8"/>
    <w:rsid w:val="00A54A16"/>
    <w:rsid w:val="00A54A52"/>
    <w:rsid w:val="00A550B5"/>
    <w:rsid w:val="00A55235"/>
    <w:rsid w:val="00A553C2"/>
    <w:rsid w:val="00A5551C"/>
    <w:rsid w:val="00A56019"/>
    <w:rsid w:val="00A562EF"/>
    <w:rsid w:val="00A57230"/>
    <w:rsid w:val="00A5773B"/>
    <w:rsid w:val="00A57D18"/>
    <w:rsid w:val="00A615C1"/>
    <w:rsid w:val="00A61BAE"/>
    <w:rsid w:val="00A61D74"/>
    <w:rsid w:val="00A61EFE"/>
    <w:rsid w:val="00A62637"/>
    <w:rsid w:val="00A62FCA"/>
    <w:rsid w:val="00A63009"/>
    <w:rsid w:val="00A632A0"/>
    <w:rsid w:val="00A635E9"/>
    <w:rsid w:val="00A637F3"/>
    <w:rsid w:val="00A63DAC"/>
    <w:rsid w:val="00A6449A"/>
    <w:rsid w:val="00A64519"/>
    <w:rsid w:val="00A64F3B"/>
    <w:rsid w:val="00A64F96"/>
    <w:rsid w:val="00A64FCC"/>
    <w:rsid w:val="00A65593"/>
    <w:rsid w:val="00A65CBB"/>
    <w:rsid w:val="00A660C2"/>
    <w:rsid w:val="00A66A44"/>
    <w:rsid w:val="00A66B7B"/>
    <w:rsid w:val="00A66EA5"/>
    <w:rsid w:val="00A6761C"/>
    <w:rsid w:val="00A676A4"/>
    <w:rsid w:val="00A6794D"/>
    <w:rsid w:val="00A67DF3"/>
    <w:rsid w:val="00A67F8D"/>
    <w:rsid w:val="00A70016"/>
    <w:rsid w:val="00A70E0C"/>
    <w:rsid w:val="00A70FE5"/>
    <w:rsid w:val="00A711C0"/>
    <w:rsid w:val="00A7164F"/>
    <w:rsid w:val="00A716F7"/>
    <w:rsid w:val="00A71BDD"/>
    <w:rsid w:val="00A7233B"/>
    <w:rsid w:val="00A725AC"/>
    <w:rsid w:val="00A7262F"/>
    <w:rsid w:val="00A7305C"/>
    <w:rsid w:val="00A7323D"/>
    <w:rsid w:val="00A73333"/>
    <w:rsid w:val="00A73A83"/>
    <w:rsid w:val="00A73C71"/>
    <w:rsid w:val="00A745C2"/>
    <w:rsid w:val="00A74973"/>
    <w:rsid w:val="00A75147"/>
    <w:rsid w:val="00A75389"/>
    <w:rsid w:val="00A754AC"/>
    <w:rsid w:val="00A7568A"/>
    <w:rsid w:val="00A756C5"/>
    <w:rsid w:val="00A757D2"/>
    <w:rsid w:val="00A759DE"/>
    <w:rsid w:val="00A75E13"/>
    <w:rsid w:val="00A7612C"/>
    <w:rsid w:val="00A76414"/>
    <w:rsid w:val="00A76490"/>
    <w:rsid w:val="00A7673A"/>
    <w:rsid w:val="00A76A5C"/>
    <w:rsid w:val="00A76F90"/>
    <w:rsid w:val="00A76FBA"/>
    <w:rsid w:val="00A771C6"/>
    <w:rsid w:val="00A772DF"/>
    <w:rsid w:val="00A8125C"/>
    <w:rsid w:val="00A81FB3"/>
    <w:rsid w:val="00A8214C"/>
    <w:rsid w:val="00A8221B"/>
    <w:rsid w:val="00A82897"/>
    <w:rsid w:val="00A829C9"/>
    <w:rsid w:val="00A83148"/>
    <w:rsid w:val="00A83339"/>
    <w:rsid w:val="00A8385B"/>
    <w:rsid w:val="00A846E8"/>
    <w:rsid w:val="00A85427"/>
    <w:rsid w:val="00A85749"/>
    <w:rsid w:val="00A85B43"/>
    <w:rsid w:val="00A85D54"/>
    <w:rsid w:val="00A85F17"/>
    <w:rsid w:val="00A862E4"/>
    <w:rsid w:val="00A867FF"/>
    <w:rsid w:val="00A8680A"/>
    <w:rsid w:val="00A86D02"/>
    <w:rsid w:val="00A86DCC"/>
    <w:rsid w:val="00A87024"/>
    <w:rsid w:val="00A8705F"/>
    <w:rsid w:val="00A87839"/>
    <w:rsid w:val="00A87B69"/>
    <w:rsid w:val="00A902FE"/>
    <w:rsid w:val="00A9078A"/>
    <w:rsid w:val="00A90BC5"/>
    <w:rsid w:val="00A90BC8"/>
    <w:rsid w:val="00A90EDA"/>
    <w:rsid w:val="00A90EEB"/>
    <w:rsid w:val="00A91558"/>
    <w:rsid w:val="00A91826"/>
    <w:rsid w:val="00A92078"/>
    <w:rsid w:val="00A92A1D"/>
    <w:rsid w:val="00A92AFA"/>
    <w:rsid w:val="00A92E11"/>
    <w:rsid w:val="00A935B9"/>
    <w:rsid w:val="00A938F3"/>
    <w:rsid w:val="00A93A7D"/>
    <w:rsid w:val="00A93E94"/>
    <w:rsid w:val="00A94A33"/>
    <w:rsid w:val="00A94B94"/>
    <w:rsid w:val="00A94E56"/>
    <w:rsid w:val="00A94EB0"/>
    <w:rsid w:val="00A94F25"/>
    <w:rsid w:val="00A9527C"/>
    <w:rsid w:val="00A95301"/>
    <w:rsid w:val="00A9542D"/>
    <w:rsid w:val="00A95A4A"/>
    <w:rsid w:val="00A95D63"/>
    <w:rsid w:val="00A95EEB"/>
    <w:rsid w:val="00A95EF1"/>
    <w:rsid w:val="00A960B7"/>
    <w:rsid w:val="00A9727F"/>
    <w:rsid w:val="00A97450"/>
    <w:rsid w:val="00A97A19"/>
    <w:rsid w:val="00AA131B"/>
    <w:rsid w:val="00AA1534"/>
    <w:rsid w:val="00AA1B75"/>
    <w:rsid w:val="00AA1EB6"/>
    <w:rsid w:val="00AA2962"/>
    <w:rsid w:val="00AA362B"/>
    <w:rsid w:val="00AA37EB"/>
    <w:rsid w:val="00AA41D3"/>
    <w:rsid w:val="00AA484D"/>
    <w:rsid w:val="00AA4B71"/>
    <w:rsid w:val="00AA4B81"/>
    <w:rsid w:val="00AA4DC6"/>
    <w:rsid w:val="00AA5376"/>
    <w:rsid w:val="00AA5F2B"/>
    <w:rsid w:val="00AA674C"/>
    <w:rsid w:val="00AA6835"/>
    <w:rsid w:val="00AA6A06"/>
    <w:rsid w:val="00AA7238"/>
    <w:rsid w:val="00AA7282"/>
    <w:rsid w:val="00AA794E"/>
    <w:rsid w:val="00AA7BDC"/>
    <w:rsid w:val="00AA7BEF"/>
    <w:rsid w:val="00AA7E61"/>
    <w:rsid w:val="00AB0089"/>
    <w:rsid w:val="00AB024F"/>
    <w:rsid w:val="00AB091B"/>
    <w:rsid w:val="00AB0C99"/>
    <w:rsid w:val="00AB119C"/>
    <w:rsid w:val="00AB1B12"/>
    <w:rsid w:val="00AB1BAF"/>
    <w:rsid w:val="00AB2281"/>
    <w:rsid w:val="00AB24EC"/>
    <w:rsid w:val="00AB29C2"/>
    <w:rsid w:val="00AB2D14"/>
    <w:rsid w:val="00AB32B7"/>
    <w:rsid w:val="00AB33DD"/>
    <w:rsid w:val="00AB3F96"/>
    <w:rsid w:val="00AB46CF"/>
    <w:rsid w:val="00AB4F52"/>
    <w:rsid w:val="00AB5266"/>
    <w:rsid w:val="00AB539A"/>
    <w:rsid w:val="00AB552B"/>
    <w:rsid w:val="00AB5594"/>
    <w:rsid w:val="00AB5604"/>
    <w:rsid w:val="00AB57C8"/>
    <w:rsid w:val="00AB5985"/>
    <w:rsid w:val="00AB5B7C"/>
    <w:rsid w:val="00AB62D4"/>
    <w:rsid w:val="00AB630C"/>
    <w:rsid w:val="00AB698E"/>
    <w:rsid w:val="00AB6CB5"/>
    <w:rsid w:val="00AB6D84"/>
    <w:rsid w:val="00AB6D88"/>
    <w:rsid w:val="00AB6E74"/>
    <w:rsid w:val="00AB7550"/>
    <w:rsid w:val="00AB78DD"/>
    <w:rsid w:val="00AB7EFA"/>
    <w:rsid w:val="00AB7EFD"/>
    <w:rsid w:val="00AC0990"/>
    <w:rsid w:val="00AC130B"/>
    <w:rsid w:val="00AC141A"/>
    <w:rsid w:val="00AC150C"/>
    <w:rsid w:val="00AC1D4B"/>
    <w:rsid w:val="00AC1F38"/>
    <w:rsid w:val="00AC2448"/>
    <w:rsid w:val="00AC28E2"/>
    <w:rsid w:val="00AC2AC2"/>
    <w:rsid w:val="00AC2DFD"/>
    <w:rsid w:val="00AC2EB4"/>
    <w:rsid w:val="00AC3F09"/>
    <w:rsid w:val="00AC3F24"/>
    <w:rsid w:val="00AC3FFD"/>
    <w:rsid w:val="00AC4326"/>
    <w:rsid w:val="00AC4514"/>
    <w:rsid w:val="00AC4C38"/>
    <w:rsid w:val="00AC5D7D"/>
    <w:rsid w:val="00AC5FB2"/>
    <w:rsid w:val="00AC648F"/>
    <w:rsid w:val="00AC64E8"/>
    <w:rsid w:val="00AC6C13"/>
    <w:rsid w:val="00AC7FE9"/>
    <w:rsid w:val="00AD06A0"/>
    <w:rsid w:val="00AD1127"/>
    <w:rsid w:val="00AD20FF"/>
    <w:rsid w:val="00AD27F7"/>
    <w:rsid w:val="00AD2ADB"/>
    <w:rsid w:val="00AD2C5E"/>
    <w:rsid w:val="00AD2CCA"/>
    <w:rsid w:val="00AD2F59"/>
    <w:rsid w:val="00AD32F8"/>
    <w:rsid w:val="00AD3591"/>
    <w:rsid w:val="00AD397D"/>
    <w:rsid w:val="00AD3C84"/>
    <w:rsid w:val="00AD41A3"/>
    <w:rsid w:val="00AD482D"/>
    <w:rsid w:val="00AD4905"/>
    <w:rsid w:val="00AD4A67"/>
    <w:rsid w:val="00AD4E3E"/>
    <w:rsid w:val="00AD5220"/>
    <w:rsid w:val="00AD52B8"/>
    <w:rsid w:val="00AD5673"/>
    <w:rsid w:val="00AD5C37"/>
    <w:rsid w:val="00AD5D7A"/>
    <w:rsid w:val="00AD5F1F"/>
    <w:rsid w:val="00AD65F8"/>
    <w:rsid w:val="00AD6778"/>
    <w:rsid w:val="00AD6B4F"/>
    <w:rsid w:val="00AD6CC9"/>
    <w:rsid w:val="00AD7EF1"/>
    <w:rsid w:val="00AE0393"/>
    <w:rsid w:val="00AE120B"/>
    <w:rsid w:val="00AE12CE"/>
    <w:rsid w:val="00AE13E4"/>
    <w:rsid w:val="00AE1429"/>
    <w:rsid w:val="00AE17CE"/>
    <w:rsid w:val="00AE2748"/>
    <w:rsid w:val="00AE2C2D"/>
    <w:rsid w:val="00AE2DD6"/>
    <w:rsid w:val="00AE3276"/>
    <w:rsid w:val="00AE3CAF"/>
    <w:rsid w:val="00AE4317"/>
    <w:rsid w:val="00AE4732"/>
    <w:rsid w:val="00AE47A4"/>
    <w:rsid w:val="00AE4A36"/>
    <w:rsid w:val="00AE5264"/>
    <w:rsid w:val="00AE55A9"/>
    <w:rsid w:val="00AE5833"/>
    <w:rsid w:val="00AE5E6E"/>
    <w:rsid w:val="00AE661D"/>
    <w:rsid w:val="00AE6817"/>
    <w:rsid w:val="00AE698F"/>
    <w:rsid w:val="00AE6AED"/>
    <w:rsid w:val="00AE6E3D"/>
    <w:rsid w:val="00AE701C"/>
    <w:rsid w:val="00AE7021"/>
    <w:rsid w:val="00AE7303"/>
    <w:rsid w:val="00AE7378"/>
    <w:rsid w:val="00AE773B"/>
    <w:rsid w:val="00AE7871"/>
    <w:rsid w:val="00AF07D2"/>
    <w:rsid w:val="00AF0AB1"/>
    <w:rsid w:val="00AF0EE1"/>
    <w:rsid w:val="00AF11DF"/>
    <w:rsid w:val="00AF161E"/>
    <w:rsid w:val="00AF18B1"/>
    <w:rsid w:val="00AF1EEB"/>
    <w:rsid w:val="00AF1F6B"/>
    <w:rsid w:val="00AF20D4"/>
    <w:rsid w:val="00AF232D"/>
    <w:rsid w:val="00AF2C66"/>
    <w:rsid w:val="00AF2E55"/>
    <w:rsid w:val="00AF3933"/>
    <w:rsid w:val="00AF3B0B"/>
    <w:rsid w:val="00AF51BF"/>
    <w:rsid w:val="00AF56DE"/>
    <w:rsid w:val="00AF5A5C"/>
    <w:rsid w:val="00AF5D6D"/>
    <w:rsid w:val="00AF6460"/>
    <w:rsid w:val="00AF6627"/>
    <w:rsid w:val="00B0004D"/>
    <w:rsid w:val="00B002E4"/>
    <w:rsid w:val="00B00575"/>
    <w:rsid w:val="00B00C16"/>
    <w:rsid w:val="00B00EF1"/>
    <w:rsid w:val="00B01322"/>
    <w:rsid w:val="00B016D2"/>
    <w:rsid w:val="00B017F3"/>
    <w:rsid w:val="00B02511"/>
    <w:rsid w:val="00B02571"/>
    <w:rsid w:val="00B026E9"/>
    <w:rsid w:val="00B02762"/>
    <w:rsid w:val="00B0280F"/>
    <w:rsid w:val="00B0294F"/>
    <w:rsid w:val="00B02E4A"/>
    <w:rsid w:val="00B03437"/>
    <w:rsid w:val="00B035E5"/>
    <w:rsid w:val="00B03A89"/>
    <w:rsid w:val="00B03E86"/>
    <w:rsid w:val="00B042FD"/>
    <w:rsid w:val="00B0465B"/>
    <w:rsid w:val="00B04757"/>
    <w:rsid w:val="00B04EB0"/>
    <w:rsid w:val="00B05561"/>
    <w:rsid w:val="00B05E56"/>
    <w:rsid w:val="00B06400"/>
    <w:rsid w:val="00B0676E"/>
    <w:rsid w:val="00B067E6"/>
    <w:rsid w:val="00B06EB3"/>
    <w:rsid w:val="00B06FAC"/>
    <w:rsid w:val="00B0713C"/>
    <w:rsid w:val="00B075F6"/>
    <w:rsid w:val="00B07813"/>
    <w:rsid w:val="00B103E8"/>
    <w:rsid w:val="00B10A4F"/>
    <w:rsid w:val="00B10F93"/>
    <w:rsid w:val="00B11D21"/>
    <w:rsid w:val="00B129DF"/>
    <w:rsid w:val="00B12A14"/>
    <w:rsid w:val="00B12DF2"/>
    <w:rsid w:val="00B130B3"/>
    <w:rsid w:val="00B13862"/>
    <w:rsid w:val="00B13A08"/>
    <w:rsid w:val="00B13CD3"/>
    <w:rsid w:val="00B143F9"/>
    <w:rsid w:val="00B145F5"/>
    <w:rsid w:val="00B14B0A"/>
    <w:rsid w:val="00B14CF9"/>
    <w:rsid w:val="00B14FBE"/>
    <w:rsid w:val="00B156F2"/>
    <w:rsid w:val="00B15B6A"/>
    <w:rsid w:val="00B16086"/>
    <w:rsid w:val="00B1676A"/>
    <w:rsid w:val="00B168A3"/>
    <w:rsid w:val="00B16E2C"/>
    <w:rsid w:val="00B1734E"/>
    <w:rsid w:val="00B179A2"/>
    <w:rsid w:val="00B20AC6"/>
    <w:rsid w:val="00B2159D"/>
    <w:rsid w:val="00B219E1"/>
    <w:rsid w:val="00B21AF3"/>
    <w:rsid w:val="00B21B8B"/>
    <w:rsid w:val="00B21C3B"/>
    <w:rsid w:val="00B21D0C"/>
    <w:rsid w:val="00B23722"/>
    <w:rsid w:val="00B23C25"/>
    <w:rsid w:val="00B23D8D"/>
    <w:rsid w:val="00B24054"/>
    <w:rsid w:val="00B244E2"/>
    <w:rsid w:val="00B249A7"/>
    <w:rsid w:val="00B253CE"/>
    <w:rsid w:val="00B25A23"/>
    <w:rsid w:val="00B25CC1"/>
    <w:rsid w:val="00B26020"/>
    <w:rsid w:val="00B26051"/>
    <w:rsid w:val="00B27081"/>
    <w:rsid w:val="00B274FE"/>
    <w:rsid w:val="00B27599"/>
    <w:rsid w:val="00B27E27"/>
    <w:rsid w:val="00B27E8D"/>
    <w:rsid w:val="00B300C6"/>
    <w:rsid w:val="00B300D5"/>
    <w:rsid w:val="00B30105"/>
    <w:rsid w:val="00B3055B"/>
    <w:rsid w:val="00B30694"/>
    <w:rsid w:val="00B306CF"/>
    <w:rsid w:val="00B30CBB"/>
    <w:rsid w:val="00B30D7A"/>
    <w:rsid w:val="00B315FA"/>
    <w:rsid w:val="00B31DA1"/>
    <w:rsid w:val="00B31F10"/>
    <w:rsid w:val="00B329D0"/>
    <w:rsid w:val="00B33023"/>
    <w:rsid w:val="00B33325"/>
    <w:rsid w:val="00B33929"/>
    <w:rsid w:val="00B339C0"/>
    <w:rsid w:val="00B33E56"/>
    <w:rsid w:val="00B34710"/>
    <w:rsid w:val="00B34974"/>
    <w:rsid w:val="00B35DF1"/>
    <w:rsid w:val="00B35F46"/>
    <w:rsid w:val="00B35F8B"/>
    <w:rsid w:val="00B36225"/>
    <w:rsid w:val="00B3664C"/>
    <w:rsid w:val="00B36779"/>
    <w:rsid w:val="00B37708"/>
    <w:rsid w:val="00B37D41"/>
    <w:rsid w:val="00B409F1"/>
    <w:rsid w:val="00B40A68"/>
    <w:rsid w:val="00B40BB8"/>
    <w:rsid w:val="00B40D6A"/>
    <w:rsid w:val="00B414B0"/>
    <w:rsid w:val="00B4195C"/>
    <w:rsid w:val="00B42A8D"/>
    <w:rsid w:val="00B42D61"/>
    <w:rsid w:val="00B42E1B"/>
    <w:rsid w:val="00B43497"/>
    <w:rsid w:val="00B43716"/>
    <w:rsid w:val="00B43AA8"/>
    <w:rsid w:val="00B43BCE"/>
    <w:rsid w:val="00B43D7B"/>
    <w:rsid w:val="00B4492A"/>
    <w:rsid w:val="00B44BE3"/>
    <w:rsid w:val="00B44EF5"/>
    <w:rsid w:val="00B44FFE"/>
    <w:rsid w:val="00B4526E"/>
    <w:rsid w:val="00B45390"/>
    <w:rsid w:val="00B45A1E"/>
    <w:rsid w:val="00B46509"/>
    <w:rsid w:val="00B46CA0"/>
    <w:rsid w:val="00B471FD"/>
    <w:rsid w:val="00B475C7"/>
    <w:rsid w:val="00B47647"/>
    <w:rsid w:val="00B500C1"/>
    <w:rsid w:val="00B50444"/>
    <w:rsid w:val="00B51840"/>
    <w:rsid w:val="00B51875"/>
    <w:rsid w:val="00B51933"/>
    <w:rsid w:val="00B52372"/>
    <w:rsid w:val="00B524BE"/>
    <w:rsid w:val="00B52587"/>
    <w:rsid w:val="00B52817"/>
    <w:rsid w:val="00B52AE9"/>
    <w:rsid w:val="00B536C9"/>
    <w:rsid w:val="00B53A7E"/>
    <w:rsid w:val="00B53A9C"/>
    <w:rsid w:val="00B53F6F"/>
    <w:rsid w:val="00B5406D"/>
    <w:rsid w:val="00B55087"/>
    <w:rsid w:val="00B557F6"/>
    <w:rsid w:val="00B55BAD"/>
    <w:rsid w:val="00B56C20"/>
    <w:rsid w:val="00B56F12"/>
    <w:rsid w:val="00B5743E"/>
    <w:rsid w:val="00B57E29"/>
    <w:rsid w:val="00B60220"/>
    <w:rsid w:val="00B609B8"/>
    <w:rsid w:val="00B610A1"/>
    <w:rsid w:val="00B61A7A"/>
    <w:rsid w:val="00B62748"/>
    <w:rsid w:val="00B629AB"/>
    <w:rsid w:val="00B63002"/>
    <w:rsid w:val="00B63509"/>
    <w:rsid w:val="00B6497A"/>
    <w:rsid w:val="00B65094"/>
    <w:rsid w:val="00B655E7"/>
    <w:rsid w:val="00B664F5"/>
    <w:rsid w:val="00B66508"/>
    <w:rsid w:val="00B66A95"/>
    <w:rsid w:val="00B66FDB"/>
    <w:rsid w:val="00B66FE4"/>
    <w:rsid w:val="00B6720F"/>
    <w:rsid w:val="00B67257"/>
    <w:rsid w:val="00B672A5"/>
    <w:rsid w:val="00B6738D"/>
    <w:rsid w:val="00B70109"/>
    <w:rsid w:val="00B70FCC"/>
    <w:rsid w:val="00B7100C"/>
    <w:rsid w:val="00B710EC"/>
    <w:rsid w:val="00B717D3"/>
    <w:rsid w:val="00B718BD"/>
    <w:rsid w:val="00B725BB"/>
    <w:rsid w:val="00B729EB"/>
    <w:rsid w:val="00B72D7D"/>
    <w:rsid w:val="00B73035"/>
    <w:rsid w:val="00B7328C"/>
    <w:rsid w:val="00B734FC"/>
    <w:rsid w:val="00B73BC2"/>
    <w:rsid w:val="00B73C2F"/>
    <w:rsid w:val="00B74367"/>
    <w:rsid w:val="00B74B32"/>
    <w:rsid w:val="00B74E27"/>
    <w:rsid w:val="00B75ACA"/>
    <w:rsid w:val="00B75B06"/>
    <w:rsid w:val="00B76624"/>
    <w:rsid w:val="00B766F0"/>
    <w:rsid w:val="00B76A0C"/>
    <w:rsid w:val="00B76AE0"/>
    <w:rsid w:val="00B76F57"/>
    <w:rsid w:val="00B77790"/>
    <w:rsid w:val="00B77958"/>
    <w:rsid w:val="00B8052D"/>
    <w:rsid w:val="00B80700"/>
    <w:rsid w:val="00B8119D"/>
    <w:rsid w:val="00B82097"/>
    <w:rsid w:val="00B826DC"/>
    <w:rsid w:val="00B828D0"/>
    <w:rsid w:val="00B82BA7"/>
    <w:rsid w:val="00B82C62"/>
    <w:rsid w:val="00B82FE8"/>
    <w:rsid w:val="00B83133"/>
    <w:rsid w:val="00B83789"/>
    <w:rsid w:val="00B837A3"/>
    <w:rsid w:val="00B83D7D"/>
    <w:rsid w:val="00B85311"/>
    <w:rsid w:val="00B8553D"/>
    <w:rsid w:val="00B85823"/>
    <w:rsid w:val="00B85838"/>
    <w:rsid w:val="00B85A5A"/>
    <w:rsid w:val="00B85AC1"/>
    <w:rsid w:val="00B85BEE"/>
    <w:rsid w:val="00B85F80"/>
    <w:rsid w:val="00B86A7C"/>
    <w:rsid w:val="00B86B71"/>
    <w:rsid w:val="00B87209"/>
    <w:rsid w:val="00B8739B"/>
    <w:rsid w:val="00B876FD"/>
    <w:rsid w:val="00B87DBD"/>
    <w:rsid w:val="00B900E1"/>
    <w:rsid w:val="00B90215"/>
    <w:rsid w:val="00B906CA"/>
    <w:rsid w:val="00B90AA0"/>
    <w:rsid w:val="00B90C9C"/>
    <w:rsid w:val="00B912F3"/>
    <w:rsid w:val="00B915EA"/>
    <w:rsid w:val="00B9171C"/>
    <w:rsid w:val="00B919C0"/>
    <w:rsid w:val="00B91C5F"/>
    <w:rsid w:val="00B92853"/>
    <w:rsid w:val="00B93857"/>
    <w:rsid w:val="00B93ED0"/>
    <w:rsid w:val="00B94052"/>
    <w:rsid w:val="00B9484F"/>
    <w:rsid w:val="00B94C94"/>
    <w:rsid w:val="00B957CF"/>
    <w:rsid w:val="00B95F9F"/>
    <w:rsid w:val="00B96257"/>
    <w:rsid w:val="00B964F3"/>
    <w:rsid w:val="00B96AA5"/>
    <w:rsid w:val="00B9775E"/>
    <w:rsid w:val="00B9795B"/>
    <w:rsid w:val="00B97A89"/>
    <w:rsid w:val="00BA00E9"/>
    <w:rsid w:val="00BA035E"/>
    <w:rsid w:val="00BA0428"/>
    <w:rsid w:val="00BA042F"/>
    <w:rsid w:val="00BA0732"/>
    <w:rsid w:val="00BA07A8"/>
    <w:rsid w:val="00BA0C5C"/>
    <w:rsid w:val="00BA13EB"/>
    <w:rsid w:val="00BA3235"/>
    <w:rsid w:val="00BA364E"/>
    <w:rsid w:val="00BA3700"/>
    <w:rsid w:val="00BA44BD"/>
    <w:rsid w:val="00BA4685"/>
    <w:rsid w:val="00BA4BBA"/>
    <w:rsid w:val="00BA4CE6"/>
    <w:rsid w:val="00BA4FA3"/>
    <w:rsid w:val="00BA5280"/>
    <w:rsid w:val="00BA53ED"/>
    <w:rsid w:val="00BA5CA0"/>
    <w:rsid w:val="00BA60F8"/>
    <w:rsid w:val="00BA645A"/>
    <w:rsid w:val="00BA7726"/>
    <w:rsid w:val="00BA7B41"/>
    <w:rsid w:val="00BA7F11"/>
    <w:rsid w:val="00BB0238"/>
    <w:rsid w:val="00BB04E1"/>
    <w:rsid w:val="00BB0EC6"/>
    <w:rsid w:val="00BB1137"/>
    <w:rsid w:val="00BB18AF"/>
    <w:rsid w:val="00BB23C1"/>
    <w:rsid w:val="00BB2BBA"/>
    <w:rsid w:val="00BB2FF3"/>
    <w:rsid w:val="00BB372D"/>
    <w:rsid w:val="00BB3972"/>
    <w:rsid w:val="00BB440B"/>
    <w:rsid w:val="00BB45E2"/>
    <w:rsid w:val="00BB4696"/>
    <w:rsid w:val="00BB4737"/>
    <w:rsid w:val="00BB4DB0"/>
    <w:rsid w:val="00BB50DE"/>
    <w:rsid w:val="00BB512E"/>
    <w:rsid w:val="00BB5CEA"/>
    <w:rsid w:val="00BB5D4C"/>
    <w:rsid w:val="00BB60DA"/>
    <w:rsid w:val="00BB6190"/>
    <w:rsid w:val="00BB6676"/>
    <w:rsid w:val="00BB6E39"/>
    <w:rsid w:val="00BB6FA7"/>
    <w:rsid w:val="00BB755E"/>
    <w:rsid w:val="00BB7E4B"/>
    <w:rsid w:val="00BC027E"/>
    <w:rsid w:val="00BC08CB"/>
    <w:rsid w:val="00BC09B8"/>
    <w:rsid w:val="00BC0C97"/>
    <w:rsid w:val="00BC100D"/>
    <w:rsid w:val="00BC1281"/>
    <w:rsid w:val="00BC1427"/>
    <w:rsid w:val="00BC15B9"/>
    <w:rsid w:val="00BC1E1D"/>
    <w:rsid w:val="00BC28DD"/>
    <w:rsid w:val="00BC2959"/>
    <w:rsid w:val="00BC2D91"/>
    <w:rsid w:val="00BC2E33"/>
    <w:rsid w:val="00BC41C4"/>
    <w:rsid w:val="00BC4227"/>
    <w:rsid w:val="00BC44DA"/>
    <w:rsid w:val="00BC4B98"/>
    <w:rsid w:val="00BC4D55"/>
    <w:rsid w:val="00BC4E94"/>
    <w:rsid w:val="00BC52A4"/>
    <w:rsid w:val="00BC5301"/>
    <w:rsid w:val="00BC54B1"/>
    <w:rsid w:val="00BC5597"/>
    <w:rsid w:val="00BC5AB3"/>
    <w:rsid w:val="00BC5F5C"/>
    <w:rsid w:val="00BC5FA1"/>
    <w:rsid w:val="00BC62E4"/>
    <w:rsid w:val="00BC674A"/>
    <w:rsid w:val="00BC6E91"/>
    <w:rsid w:val="00BC7090"/>
    <w:rsid w:val="00BC72D1"/>
    <w:rsid w:val="00BC7BD7"/>
    <w:rsid w:val="00BD005E"/>
    <w:rsid w:val="00BD0934"/>
    <w:rsid w:val="00BD0E47"/>
    <w:rsid w:val="00BD10E7"/>
    <w:rsid w:val="00BD1AAD"/>
    <w:rsid w:val="00BD1F7D"/>
    <w:rsid w:val="00BD2100"/>
    <w:rsid w:val="00BD2349"/>
    <w:rsid w:val="00BD26F6"/>
    <w:rsid w:val="00BD2B2D"/>
    <w:rsid w:val="00BD2C8A"/>
    <w:rsid w:val="00BD2E15"/>
    <w:rsid w:val="00BD30A1"/>
    <w:rsid w:val="00BD34F8"/>
    <w:rsid w:val="00BD357D"/>
    <w:rsid w:val="00BD3A8B"/>
    <w:rsid w:val="00BD3B29"/>
    <w:rsid w:val="00BD4391"/>
    <w:rsid w:val="00BD4B43"/>
    <w:rsid w:val="00BD4F15"/>
    <w:rsid w:val="00BD510F"/>
    <w:rsid w:val="00BD517B"/>
    <w:rsid w:val="00BD52BC"/>
    <w:rsid w:val="00BD5671"/>
    <w:rsid w:val="00BD5765"/>
    <w:rsid w:val="00BD5E5F"/>
    <w:rsid w:val="00BD5EBD"/>
    <w:rsid w:val="00BD600A"/>
    <w:rsid w:val="00BD6184"/>
    <w:rsid w:val="00BD6310"/>
    <w:rsid w:val="00BD69E3"/>
    <w:rsid w:val="00BD6A10"/>
    <w:rsid w:val="00BD6B55"/>
    <w:rsid w:val="00BD6DF7"/>
    <w:rsid w:val="00BD712F"/>
    <w:rsid w:val="00BD72B0"/>
    <w:rsid w:val="00BD77C5"/>
    <w:rsid w:val="00BD7D3B"/>
    <w:rsid w:val="00BD7E56"/>
    <w:rsid w:val="00BD7FFE"/>
    <w:rsid w:val="00BE0456"/>
    <w:rsid w:val="00BE063C"/>
    <w:rsid w:val="00BE06CC"/>
    <w:rsid w:val="00BE093A"/>
    <w:rsid w:val="00BE09CD"/>
    <w:rsid w:val="00BE0A66"/>
    <w:rsid w:val="00BE0B07"/>
    <w:rsid w:val="00BE0BB7"/>
    <w:rsid w:val="00BE0D0F"/>
    <w:rsid w:val="00BE1C63"/>
    <w:rsid w:val="00BE2AF5"/>
    <w:rsid w:val="00BE2B4E"/>
    <w:rsid w:val="00BE2E1B"/>
    <w:rsid w:val="00BE3573"/>
    <w:rsid w:val="00BE3CE2"/>
    <w:rsid w:val="00BE4454"/>
    <w:rsid w:val="00BE45AB"/>
    <w:rsid w:val="00BE4A5A"/>
    <w:rsid w:val="00BE4CBA"/>
    <w:rsid w:val="00BE558B"/>
    <w:rsid w:val="00BE5EF3"/>
    <w:rsid w:val="00BE608E"/>
    <w:rsid w:val="00BE624F"/>
    <w:rsid w:val="00BE6B28"/>
    <w:rsid w:val="00BE6F92"/>
    <w:rsid w:val="00BE701E"/>
    <w:rsid w:val="00BE725A"/>
    <w:rsid w:val="00BE7680"/>
    <w:rsid w:val="00BE76D8"/>
    <w:rsid w:val="00BE7EA7"/>
    <w:rsid w:val="00BF0064"/>
    <w:rsid w:val="00BF0104"/>
    <w:rsid w:val="00BF06AB"/>
    <w:rsid w:val="00BF0A1D"/>
    <w:rsid w:val="00BF0A5B"/>
    <w:rsid w:val="00BF0F0D"/>
    <w:rsid w:val="00BF1843"/>
    <w:rsid w:val="00BF184F"/>
    <w:rsid w:val="00BF1A9B"/>
    <w:rsid w:val="00BF1BF8"/>
    <w:rsid w:val="00BF1F07"/>
    <w:rsid w:val="00BF23F6"/>
    <w:rsid w:val="00BF2BB0"/>
    <w:rsid w:val="00BF3031"/>
    <w:rsid w:val="00BF375D"/>
    <w:rsid w:val="00BF3C80"/>
    <w:rsid w:val="00BF419E"/>
    <w:rsid w:val="00BF469C"/>
    <w:rsid w:val="00BF49EC"/>
    <w:rsid w:val="00BF5197"/>
    <w:rsid w:val="00BF5B7F"/>
    <w:rsid w:val="00BF5D29"/>
    <w:rsid w:val="00BF5D65"/>
    <w:rsid w:val="00BF690A"/>
    <w:rsid w:val="00BF6CF7"/>
    <w:rsid w:val="00BF7022"/>
    <w:rsid w:val="00BF7324"/>
    <w:rsid w:val="00BF75EA"/>
    <w:rsid w:val="00BF7624"/>
    <w:rsid w:val="00BF7BC3"/>
    <w:rsid w:val="00BF7DA7"/>
    <w:rsid w:val="00C01B3C"/>
    <w:rsid w:val="00C01CAD"/>
    <w:rsid w:val="00C01CDC"/>
    <w:rsid w:val="00C01F62"/>
    <w:rsid w:val="00C020C1"/>
    <w:rsid w:val="00C023E0"/>
    <w:rsid w:val="00C026CC"/>
    <w:rsid w:val="00C02970"/>
    <w:rsid w:val="00C02C7A"/>
    <w:rsid w:val="00C0322A"/>
    <w:rsid w:val="00C03338"/>
    <w:rsid w:val="00C039C8"/>
    <w:rsid w:val="00C04041"/>
    <w:rsid w:val="00C04076"/>
    <w:rsid w:val="00C04A42"/>
    <w:rsid w:val="00C04C87"/>
    <w:rsid w:val="00C04CCD"/>
    <w:rsid w:val="00C04DBB"/>
    <w:rsid w:val="00C05017"/>
    <w:rsid w:val="00C053D0"/>
    <w:rsid w:val="00C05A25"/>
    <w:rsid w:val="00C06073"/>
    <w:rsid w:val="00C06850"/>
    <w:rsid w:val="00C06980"/>
    <w:rsid w:val="00C06AEE"/>
    <w:rsid w:val="00C0745B"/>
    <w:rsid w:val="00C10121"/>
    <w:rsid w:val="00C10199"/>
    <w:rsid w:val="00C103C2"/>
    <w:rsid w:val="00C1069B"/>
    <w:rsid w:val="00C10893"/>
    <w:rsid w:val="00C109DD"/>
    <w:rsid w:val="00C10D0D"/>
    <w:rsid w:val="00C11808"/>
    <w:rsid w:val="00C11850"/>
    <w:rsid w:val="00C11A0F"/>
    <w:rsid w:val="00C11C28"/>
    <w:rsid w:val="00C1224F"/>
    <w:rsid w:val="00C126AD"/>
    <w:rsid w:val="00C1304E"/>
    <w:rsid w:val="00C136A9"/>
    <w:rsid w:val="00C14158"/>
    <w:rsid w:val="00C146C9"/>
    <w:rsid w:val="00C147D5"/>
    <w:rsid w:val="00C14921"/>
    <w:rsid w:val="00C149D7"/>
    <w:rsid w:val="00C14E38"/>
    <w:rsid w:val="00C1520B"/>
    <w:rsid w:val="00C15257"/>
    <w:rsid w:val="00C1560F"/>
    <w:rsid w:val="00C15694"/>
    <w:rsid w:val="00C1586F"/>
    <w:rsid w:val="00C158E7"/>
    <w:rsid w:val="00C17867"/>
    <w:rsid w:val="00C17BAC"/>
    <w:rsid w:val="00C17D0B"/>
    <w:rsid w:val="00C20A36"/>
    <w:rsid w:val="00C21120"/>
    <w:rsid w:val="00C21416"/>
    <w:rsid w:val="00C2159A"/>
    <w:rsid w:val="00C218C2"/>
    <w:rsid w:val="00C226EA"/>
    <w:rsid w:val="00C23084"/>
    <w:rsid w:val="00C23463"/>
    <w:rsid w:val="00C23CAF"/>
    <w:rsid w:val="00C24237"/>
    <w:rsid w:val="00C25206"/>
    <w:rsid w:val="00C25B29"/>
    <w:rsid w:val="00C26800"/>
    <w:rsid w:val="00C26A38"/>
    <w:rsid w:val="00C26B14"/>
    <w:rsid w:val="00C26EFF"/>
    <w:rsid w:val="00C26F23"/>
    <w:rsid w:val="00C2787A"/>
    <w:rsid w:val="00C27D8C"/>
    <w:rsid w:val="00C27E66"/>
    <w:rsid w:val="00C301EB"/>
    <w:rsid w:val="00C31F01"/>
    <w:rsid w:val="00C3247B"/>
    <w:rsid w:val="00C32518"/>
    <w:rsid w:val="00C32B9B"/>
    <w:rsid w:val="00C33019"/>
    <w:rsid w:val="00C33047"/>
    <w:rsid w:val="00C33066"/>
    <w:rsid w:val="00C3352F"/>
    <w:rsid w:val="00C33597"/>
    <w:rsid w:val="00C3393E"/>
    <w:rsid w:val="00C33AD6"/>
    <w:rsid w:val="00C33DA1"/>
    <w:rsid w:val="00C34162"/>
    <w:rsid w:val="00C341CF"/>
    <w:rsid w:val="00C34376"/>
    <w:rsid w:val="00C34512"/>
    <w:rsid w:val="00C34E46"/>
    <w:rsid w:val="00C352A1"/>
    <w:rsid w:val="00C352CD"/>
    <w:rsid w:val="00C357A7"/>
    <w:rsid w:val="00C35B74"/>
    <w:rsid w:val="00C35E85"/>
    <w:rsid w:val="00C3644F"/>
    <w:rsid w:val="00C3661A"/>
    <w:rsid w:val="00C36B1A"/>
    <w:rsid w:val="00C36E2A"/>
    <w:rsid w:val="00C40134"/>
    <w:rsid w:val="00C40203"/>
    <w:rsid w:val="00C4074E"/>
    <w:rsid w:val="00C40998"/>
    <w:rsid w:val="00C40AD9"/>
    <w:rsid w:val="00C40D99"/>
    <w:rsid w:val="00C40DDA"/>
    <w:rsid w:val="00C41C60"/>
    <w:rsid w:val="00C4213F"/>
    <w:rsid w:val="00C422FA"/>
    <w:rsid w:val="00C4262D"/>
    <w:rsid w:val="00C429AB"/>
    <w:rsid w:val="00C42AA9"/>
    <w:rsid w:val="00C43449"/>
    <w:rsid w:val="00C438EE"/>
    <w:rsid w:val="00C43AFB"/>
    <w:rsid w:val="00C43D3B"/>
    <w:rsid w:val="00C43D4A"/>
    <w:rsid w:val="00C43E3B"/>
    <w:rsid w:val="00C45096"/>
    <w:rsid w:val="00C450FA"/>
    <w:rsid w:val="00C451CB"/>
    <w:rsid w:val="00C451D8"/>
    <w:rsid w:val="00C45502"/>
    <w:rsid w:val="00C45661"/>
    <w:rsid w:val="00C4579B"/>
    <w:rsid w:val="00C463BC"/>
    <w:rsid w:val="00C46B9E"/>
    <w:rsid w:val="00C46E56"/>
    <w:rsid w:val="00C46EF1"/>
    <w:rsid w:val="00C46F59"/>
    <w:rsid w:val="00C473CB"/>
    <w:rsid w:val="00C47877"/>
    <w:rsid w:val="00C4790F"/>
    <w:rsid w:val="00C50627"/>
    <w:rsid w:val="00C50C05"/>
    <w:rsid w:val="00C515C2"/>
    <w:rsid w:val="00C51CB5"/>
    <w:rsid w:val="00C51D5B"/>
    <w:rsid w:val="00C52414"/>
    <w:rsid w:val="00C52F49"/>
    <w:rsid w:val="00C53C19"/>
    <w:rsid w:val="00C53F94"/>
    <w:rsid w:val="00C5415A"/>
    <w:rsid w:val="00C54BEB"/>
    <w:rsid w:val="00C54DB8"/>
    <w:rsid w:val="00C55023"/>
    <w:rsid w:val="00C55272"/>
    <w:rsid w:val="00C55A67"/>
    <w:rsid w:val="00C55BC6"/>
    <w:rsid w:val="00C55CFF"/>
    <w:rsid w:val="00C55F9F"/>
    <w:rsid w:val="00C560CF"/>
    <w:rsid w:val="00C56780"/>
    <w:rsid w:val="00C5686C"/>
    <w:rsid w:val="00C574E9"/>
    <w:rsid w:val="00C57884"/>
    <w:rsid w:val="00C6034B"/>
    <w:rsid w:val="00C6141A"/>
    <w:rsid w:val="00C61EB2"/>
    <w:rsid w:val="00C61EDB"/>
    <w:rsid w:val="00C61F14"/>
    <w:rsid w:val="00C626E9"/>
    <w:rsid w:val="00C6276E"/>
    <w:rsid w:val="00C62A40"/>
    <w:rsid w:val="00C63986"/>
    <w:rsid w:val="00C63AB1"/>
    <w:rsid w:val="00C63AB6"/>
    <w:rsid w:val="00C63C2D"/>
    <w:rsid w:val="00C63DB3"/>
    <w:rsid w:val="00C63F5C"/>
    <w:rsid w:val="00C64455"/>
    <w:rsid w:val="00C6469A"/>
    <w:rsid w:val="00C646AD"/>
    <w:rsid w:val="00C64763"/>
    <w:rsid w:val="00C64986"/>
    <w:rsid w:val="00C65614"/>
    <w:rsid w:val="00C6577B"/>
    <w:rsid w:val="00C65D5B"/>
    <w:rsid w:val="00C66567"/>
    <w:rsid w:val="00C6670E"/>
    <w:rsid w:val="00C668EC"/>
    <w:rsid w:val="00C6728E"/>
    <w:rsid w:val="00C674E8"/>
    <w:rsid w:val="00C6764C"/>
    <w:rsid w:val="00C67650"/>
    <w:rsid w:val="00C6777B"/>
    <w:rsid w:val="00C67D72"/>
    <w:rsid w:val="00C70E1B"/>
    <w:rsid w:val="00C70E8E"/>
    <w:rsid w:val="00C7131A"/>
    <w:rsid w:val="00C71613"/>
    <w:rsid w:val="00C7185F"/>
    <w:rsid w:val="00C71C4B"/>
    <w:rsid w:val="00C720F3"/>
    <w:rsid w:val="00C72E05"/>
    <w:rsid w:val="00C72E5D"/>
    <w:rsid w:val="00C7312A"/>
    <w:rsid w:val="00C73183"/>
    <w:rsid w:val="00C73287"/>
    <w:rsid w:val="00C7344D"/>
    <w:rsid w:val="00C73905"/>
    <w:rsid w:val="00C73A7A"/>
    <w:rsid w:val="00C73E44"/>
    <w:rsid w:val="00C73F8F"/>
    <w:rsid w:val="00C75125"/>
    <w:rsid w:val="00C75523"/>
    <w:rsid w:val="00C7588D"/>
    <w:rsid w:val="00C75CEF"/>
    <w:rsid w:val="00C76058"/>
    <w:rsid w:val="00C76457"/>
    <w:rsid w:val="00C76883"/>
    <w:rsid w:val="00C76BB9"/>
    <w:rsid w:val="00C77327"/>
    <w:rsid w:val="00C77390"/>
    <w:rsid w:val="00C774D9"/>
    <w:rsid w:val="00C7786C"/>
    <w:rsid w:val="00C7789F"/>
    <w:rsid w:val="00C77974"/>
    <w:rsid w:val="00C77C8B"/>
    <w:rsid w:val="00C77FB7"/>
    <w:rsid w:val="00C803AF"/>
    <w:rsid w:val="00C8059E"/>
    <w:rsid w:val="00C80755"/>
    <w:rsid w:val="00C80DC3"/>
    <w:rsid w:val="00C80DD6"/>
    <w:rsid w:val="00C81373"/>
    <w:rsid w:val="00C81374"/>
    <w:rsid w:val="00C81498"/>
    <w:rsid w:val="00C815EB"/>
    <w:rsid w:val="00C8167C"/>
    <w:rsid w:val="00C817A5"/>
    <w:rsid w:val="00C817B9"/>
    <w:rsid w:val="00C818FB"/>
    <w:rsid w:val="00C81D99"/>
    <w:rsid w:val="00C8224E"/>
    <w:rsid w:val="00C830AC"/>
    <w:rsid w:val="00C84562"/>
    <w:rsid w:val="00C85035"/>
    <w:rsid w:val="00C85887"/>
    <w:rsid w:val="00C8605A"/>
    <w:rsid w:val="00C861C9"/>
    <w:rsid w:val="00C86362"/>
    <w:rsid w:val="00C87019"/>
    <w:rsid w:val="00C87551"/>
    <w:rsid w:val="00C87723"/>
    <w:rsid w:val="00C87ACD"/>
    <w:rsid w:val="00C87F03"/>
    <w:rsid w:val="00C900C4"/>
    <w:rsid w:val="00C90353"/>
    <w:rsid w:val="00C905B0"/>
    <w:rsid w:val="00C90BE8"/>
    <w:rsid w:val="00C91489"/>
    <w:rsid w:val="00C91568"/>
    <w:rsid w:val="00C917C4"/>
    <w:rsid w:val="00C91827"/>
    <w:rsid w:val="00C92097"/>
    <w:rsid w:val="00C92775"/>
    <w:rsid w:val="00C929EB"/>
    <w:rsid w:val="00C92D56"/>
    <w:rsid w:val="00C93305"/>
    <w:rsid w:val="00C9333C"/>
    <w:rsid w:val="00C93983"/>
    <w:rsid w:val="00C93AA7"/>
    <w:rsid w:val="00C93CC6"/>
    <w:rsid w:val="00C93DD3"/>
    <w:rsid w:val="00C9441B"/>
    <w:rsid w:val="00C944D6"/>
    <w:rsid w:val="00C945F9"/>
    <w:rsid w:val="00C94671"/>
    <w:rsid w:val="00C94A47"/>
    <w:rsid w:val="00C94F5A"/>
    <w:rsid w:val="00C95246"/>
    <w:rsid w:val="00C95AF5"/>
    <w:rsid w:val="00C96A47"/>
    <w:rsid w:val="00C96C7D"/>
    <w:rsid w:val="00C96D18"/>
    <w:rsid w:val="00C9727F"/>
    <w:rsid w:val="00C974A1"/>
    <w:rsid w:val="00C97D90"/>
    <w:rsid w:val="00CA0666"/>
    <w:rsid w:val="00CA06D5"/>
    <w:rsid w:val="00CA06DA"/>
    <w:rsid w:val="00CA0CA6"/>
    <w:rsid w:val="00CA1505"/>
    <w:rsid w:val="00CA1517"/>
    <w:rsid w:val="00CA15E2"/>
    <w:rsid w:val="00CA1857"/>
    <w:rsid w:val="00CA249C"/>
    <w:rsid w:val="00CA2614"/>
    <w:rsid w:val="00CA26A2"/>
    <w:rsid w:val="00CA292E"/>
    <w:rsid w:val="00CA2B9E"/>
    <w:rsid w:val="00CA2FE6"/>
    <w:rsid w:val="00CA3215"/>
    <w:rsid w:val="00CA36EF"/>
    <w:rsid w:val="00CA3869"/>
    <w:rsid w:val="00CA46A9"/>
    <w:rsid w:val="00CA49CB"/>
    <w:rsid w:val="00CA49D7"/>
    <w:rsid w:val="00CA4AC1"/>
    <w:rsid w:val="00CA4DD0"/>
    <w:rsid w:val="00CA59B6"/>
    <w:rsid w:val="00CA5B06"/>
    <w:rsid w:val="00CA6132"/>
    <w:rsid w:val="00CA613C"/>
    <w:rsid w:val="00CA7534"/>
    <w:rsid w:val="00CA78C8"/>
    <w:rsid w:val="00CA7BAD"/>
    <w:rsid w:val="00CA7DC4"/>
    <w:rsid w:val="00CA7E7C"/>
    <w:rsid w:val="00CB0186"/>
    <w:rsid w:val="00CB02DD"/>
    <w:rsid w:val="00CB0760"/>
    <w:rsid w:val="00CB14BA"/>
    <w:rsid w:val="00CB19EC"/>
    <w:rsid w:val="00CB1A8F"/>
    <w:rsid w:val="00CB2A6B"/>
    <w:rsid w:val="00CB30F7"/>
    <w:rsid w:val="00CB3234"/>
    <w:rsid w:val="00CB3518"/>
    <w:rsid w:val="00CB3927"/>
    <w:rsid w:val="00CB499E"/>
    <w:rsid w:val="00CB4C29"/>
    <w:rsid w:val="00CB4CCB"/>
    <w:rsid w:val="00CB4E5C"/>
    <w:rsid w:val="00CB5AF7"/>
    <w:rsid w:val="00CB6291"/>
    <w:rsid w:val="00CB6A07"/>
    <w:rsid w:val="00CB6C35"/>
    <w:rsid w:val="00CB6D50"/>
    <w:rsid w:val="00CB71D5"/>
    <w:rsid w:val="00CB7364"/>
    <w:rsid w:val="00CB7D5B"/>
    <w:rsid w:val="00CC04AB"/>
    <w:rsid w:val="00CC0B89"/>
    <w:rsid w:val="00CC1059"/>
    <w:rsid w:val="00CC1288"/>
    <w:rsid w:val="00CC15C1"/>
    <w:rsid w:val="00CC17B8"/>
    <w:rsid w:val="00CC1950"/>
    <w:rsid w:val="00CC20B8"/>
    <w:rsid w:val="00CC22DA"/>
    <w:rsid w:val="00CC2761"/>
    <w:rsid w:val="00CC2AEC"/>
    <w:rsid w:val="00CC3641"/>
    <w:rsid w:val="00CC3973"/>
    <w:rsid w:val="00CC3A44"/>
    <w:rsid w:val="00CC3D94"/>
    <w:rsid w:val="00CC41F1"/>
    <w:rsid w:val="00CC41F4"/>
    <w:rsid w:val="00CC427B"/>
    <w:rsid w:val="00CC4A15"/>
    <w:rsid w:val="00CC4C3B"/>
    <w:rsid w:val="00CC4E81"/>
    <w:rsid w:val="00CC4F7E"/>
    <w:rsid w:val="00CC5B1D"/>
    <w:rsid w:val="00CC6183"/>
    <w:rsid w:val="00CC65DB"/>
    <w:rsid w:val="00CC676B"/>
    <w:rsid w:val="00CC67DE"/>
    <w:rsid w:val="00CC6B28"/>
    <w:rsid w:val="00CC6FB4"/>
    <w:rsid w:val="00CC7081"/>
    <w:rsid w:val="00CC733C"/>
    <w:rsid w:val="00CC768D"/>
    <w:rsid w:val="00CC779D"/>
    <w:rsid w:val="00CC786D"/>
    <w:rsid w:val="00CC7AF3"/>
    <w:rsid w:val="00CC7BAC"/>
    <w:rsid w:val="00CD06C8"/>
    <w:rsid w:val="00CD09C5"/>
    <w:rsid w:val="00CD0BED"/>
    <w:rsid w:val="00CD0D55"/>
    <w:rsid w:val="00CD1315"/>
    <w:rsid w:val="00CD1383"/>
    <w:rsid w:val="00CD14BB"/>
    <w:rsid w:val="00CD1A28"/>
    <w:rsid w:val="00CD1DAD"/>
    <w:rsid w:val="00CD22C5"/>
    <w:rsid w:val="00CD23B2"/>
    <w:rsid w:val="00CD360B"/>
    <w:rsid w:val="00CD3FD6"/>
    <w:rsid w:val="00CD4405"/>
    <w:rsid w:val="00CD455C"/>
    <w:rsid w:val="00CD534F"/>
    <w:rsid w:val="00CD5D7E"/>
    <w:rsid w:val="00CD60BE"/>
    <w:rsid w:val="00CD64C3"/>
    <w:rsid w:val="00CD6792"/>
    <w:rsid w:val="00CD7335"/>
    <w:rsid w:val="00CD76A2"/>
    <w:rsid w:val="00CD78F3"/>
    <w:rsid w:val="00CD79D5"/>
    <w:rsid w:val="00CD7CE8"/>
    <w:rsid w:val="00CE0272"/>
    <w:rsid w:val="00CE029B"/>
    <w:rsid w:val="00CE0662"/>
    <w:rsid w:val="00CE255D"/>
    <w:rsid w:val="00CE2707"/>
    <w:rsid w:val="00CE2B1D"/>
    <w:rsid w:val="00CE37E8"/>
    <w:rsid w:val="00CE46EA"/>
    <w:rsid w:val="00CE4996"/>
    <w:rsid w:val="00CE4CB3"/>
    <w:rsid w:val="00CE4D92"/>
    <w:rsid w:val="00CE540A"/>
    <w:rsid w:val="00CE5535"/>
    <w:rsid w:val="00CE5786"/>
    <w:rsid w:val="00CE5809"/>
    <w:rsid w:val="00CE58CF"/>
    <w:rsid w:val="00CE59AF"/>
    <w:rsid w:val="00CE5A53"/>
    <w:rsid w:val="00CE6260"/>
    <w:rsid w:val="00CE6546"/>
    <w:rsid w:val="00CE658B"/>
    <w:rsid w:val="00CE65C1"/>
    <w:rsid w:val="00CE6838"/>
    <w:rsid w:val="00CE68A8"/>
    <w:rsid w:val="00CE6C0F"/>
    <w:rsid w:val="00CE6CB9"/>
    <w:rsid w:val="00CE7030"/>
    <w:rsid w:val="00CE7633"/>
    <w:rsid w:val="00CE7E04"/>
    <w:rsid w:val="00CE7F5B"/>
    <w:rsid w:val="00CF00A1"/>
    <w:rsid w:val="00CF0B70"/>
    <w:rsid w:val="00CF112A"/>
    <w:rsid w:val="00CF1341"/>
    <w:rsid w:val="00CF1461"/>
    <w:rsid w:val="00CF1591"/>
    <w:rsid w:val="00CF1840"/>
    <w:rsid w:val="00CF1B28"/>
    <w:rsid w:val="00CF1B68"/>
    <w:rsid w:val="00CF206E"/>
    <w:rsid w:val="00CF22C7"/>
    <w:rsid w:val="00CF23C1"/>
    <w:rsid w:val="00CF357C"/>
    <w:rsid w:val="00CF360F"/>
    <w:rsid w:val="00CF41B8"/>
    <w:rsid w:val="00CF4517"/>
    <w:rsid w:val="00CF4774"/>
    <w:rsid w:val="00CF4C33"/>
    <w:rsid w:val="00CF4DA0"/>
    <w:rsid w:val="00CF4E09"/>
    <w:rsid w:val="00CF6113"/>
    <w:rsid w:val="00CF6287"/>
    <w:rsid w:val="00CF682D"/>
    <w:rsid w:val="00CF692D"/>
    <w:rsid w:val="00CF6E3C"/>
    <w:rsid w:val="00CF780C"/>
    <w:rsid w:val="00CF7F32"/>
    <w:rsid w:val="00D0009F"/>
    <w:rsid w:val="00D00444"/>
    <w:rsid w:val="00D00BEA"/>
    <w:rsid w:val="00D00E58"/>
    <w:rsid w:val="00D00E9B"/>
    <w:rsid w:val="00D00EF9"/>
    <w:rsid w:val="00D017A6"/>
    <w:rsid w:val="00D0180F"/>
    <w:rsid w:val="00D01C90"/>
    <w:rsid w:val="00D0257E"/>
    <w:rsid w:val="00D02C14"/>
    <w:rsid w:val="00D02C8A"/>
    <w:rsid w:val="00D03285"/>
    <w:rsid w:val="00D03374"/>
    <w:rsid w:val="00D03853"/>
    <w:rsid w:val="00D04201"/>
    <w:rsid w:val="00D044AC"/>
    <w:rsid w:val="00D049D1"/>
    <w:rsid w:val="00D052EE"/>
    <w:rsid w:val="00D05718"/>
    <w:rsid w:val="00D05805"/>
    <w:rsid w:val="00D0586D"/>
    <w:rsid w:val="00D05B8A"/>
    <w:rsid w:val="00D05D16"/>
    <w:rsid w:val="00D06033"/>
    <w:rsid w:val="00D066C5"/>
    <w:rsid w:val="00D06AA3"/>
    <w:rsid w:val="00D06D5B"/>
    <w:rsid w:val="00D06EAC"/>
    <w:rsid w:val="00D0719C"/>
    <w:rsid w:val="00D07A44"/>
    <w:rsid w:val="00D1027E"/>
    <w:rsid w:val="00D1071C"/>
    <w:rsid w:val="00D109D4"/>
    <w:rsid w:val="00D10DFC"/>
    <w:rsid w:val="00D116A3"/>
    <w:rsid w:val="00D11C3F"/>
    <w:rsid w:val="00D12293"/>
    <w:rsid w:val="00D1273A"/>
    <w:rsid w:val="00D12D37"/>
    <w:rsid w:val="00D12DD7"/>
    <w:rsid w:val="00D131A0"/>
    <w:rsid w:val="00D134B1"/>
    <w:rsid w:val="00D135F8"/>
    <w:rsid w:val="00D137C7"/>
    <w:rsid w:val="00D13F89"/>
    <w:rsid w:val="00D14983"/>
    <w:rsid w:val="00D149A4"/>
    <w:rsid w:val="00D14CD2"/>
    <w:rsid w:val="00D14E0E"/>
    <w:rsid w:val="00D14FC6"/>
    <w:rsid w:val="00D1513C"/>
    <w:rsid w:val="00D1565F"/>
    <w:rsid w:val="00D161C9"/>
    <w:rsid w:val="00D16641"/>
    <w:rsid w:val="00D177E6"/>
    <w:rsid w:val="00D179CC"/>
    <w:rsid w:val="00D179EE"/>
    <w:rsid w:val="00D17C80"/>
    <w:rsid w:val="00D17E18"/>
    <w:rsid w:val="00D20032"/>
    <w:rsid w:val="00D202FD"/>
    <w:rsid w:val="00D2047A"/>
    <w:rsid w:val="00D2119A"/>
    <w:rsid w:val="00D21772"/>
    <w:rsid w:val="00D21C59"/>
    <w:rsid w:val="00D22475"/>
    <w:rsid w:val="00D22CA5"/>
    <w:rsid w:val="00D230E9"/>
    <w:rsid w:val="00D231D9"/>
    <w:rsid w:val="00D23541"/>
    <w:rsid w:val="00D2381D"/>
    <w:rsid w:val="00D23A26"/>
    <w:rsid w:val="00D24208"/>
    <w:rsid w:val="00D24300"/>
    <w:rsid w:val="00D244A2"/>
    <w:rsid w:val="00D2457C"/>
    <w:rsid w:val="00D24E79"/>
    <w:rsid w:val="00D24FA1"/>
    <w:rsid w:val="00D25073"/>
    <w:rsid w:val="00D25355"/>
    <w:rsid w:val="00D25918"/>
    <w:rsid w:val="00D2630D"/>
    <w:rsid w:val="00D26502"/>
    <w:rsid w:val="00D26CFF"/>
    <w:rsid w:val="00D26FBB"/>
    <w:rsid w:val="00D270B6"/>
    <w:rsid w:val="00D27471"/>
    <w:rsid w:val="00D27714"/>
    <w:rsid w:val="00D2794E"/>
    <w:rsid w:val="00D3000E"/>
    <w:rsid w:val="00D301CC"/>
    <w:rsid w:val="00D30387"/>
    <w:rsid w:val="00D304B8"/>
    <w:rsid w:val="00D307D8"/>
    <w:rsid w:val="00D3090D"/>
    <w:rsid w:val="00D309BA"/>
    <w:rsid w:val="00D30CBF"/>
    <w:rsid w:val="00D3185C"/>
    <w:rsid w:val="00D31909"/>
    <w:rsid w:val="00D31941"/>
    <w:rsid w:val="00D31A01"/>
    <w:rsid w:val="00D31B40"/>
    <w:rsid w:val="00D3206E"/>
    <w:rsid w:val="00D326A0"/>
    <w:rsid w:val="00D32C19"/>
    <w:rsid w:val="00D33756"/>
    <w:rsid w:val="00D33808"/>
    <w:rsid w:val="00D33B63"/>
    <w:rsid w:val="00D33D63"/>
    <w:rsid w:val="00D33EC7"/>
    <w:rsid w:val="00D3419A"/>
    <w:rsid w:val="00D34F28"/>
    <w:rsid w:val="00D34FA4"/>
    <w:rsid w:val="00D35543"/>
    <w:rsid w:val="00D3566A"/>
    <w:rsid w:val="00D35682"/>
    <w:rsid w:val="00D35BB8"/>
    <w:rsid w:val="00D3757F"/>
    <w:rsid w:val="00D375B9"/>
    <w:rsid w:val="00D401CE"/>
    <w:rsid w:val="00D408F2"/>
    <w:rsid w:val="00D40C99"/>
    <w:rsid w:val="00D413A5"/>
    <w:rsid w:val="00D4157A"/>
    <w:rsid w:val="00D418EC"/>
    <w:rsid w:val="00D41D6F"/>
    <w:rsid w:val="00D42141"/>
    <w:rsid w:val="00D423F6"/>
    <w:rsid w:val="00D42C34"/>
    <w:rsid w:val="00D43468"/>
    <w:rsid w:val="00D43DE7"/>
    <w:rsid w:val="00D442FD"/>
    <w:rsid w:val="00D44695"/>
    <w:rsid w:val="00D45595"/>
    <w:rsid w:val="00D45EA3"/>
    <w:rsid w:val="00D45FB4"/>
    <w:rsid w:val="00D460C6"/>
    <w:rsid w:val="00D46667"/>
    <w:rsid w:val="00D46BF9"/>
    <w:rsid w:val="00D47136"/>
    <w:rsid w:val="00D4721F"/>
    <w:rsid w:val="00D472CB"/>
    <w:rsid w:val="00D477BF"/>
    <w:rsid w:val="00D4787E"/>
    <w:rsid w:val="00D47ADF"/>
    <w:rsid w:val="00D47C59"/>
    <w:rsid w:val="00D50247"/>
    <w:rsid w:val="00D5051A"/>
    <w:rsid w:val="00D50609"/>
    <w:rsid w:val="00D5073B"/>
    <w:rsid w:val="00D50BB3"/>
    <w:rsid w:val="00D51D62"/>
    <w:rsid w:val="00D52C6D"/>
    <w:rsid w:val="00D52D1A"/>
    <w:rsid w:val="00D53150"/>
    <w:rsid w:val="00D531D0"/>
    <w:rsid w:val="00D53563"/>
    <w:rsid w:val="00D5367A"/>
    <w:rsid w:val="00D53C5D"/>
    <w:rsid w:val="00D5439E"/>
    <w:rsid w:val="00D549AB"/>
    <w:rsid w:val="00D551ED"/>
    <w:rsid w:val="00D55660"/>
    <w:rsid w:val="00D56558"/>
    <w:rsid w:val="00D56755"/>
    <w:rsid w:val="00D56A41"/>
    <w:rsid w:val="00D56F7D"/>
    <w:rsid w:val="00D57655"/>
    <w:rsid w:val="00D578C9"/>
    <w:rsid w:val="00D579F3"/>
    <w:rsid w:val="00D57C0E"/>
    <w:rsid w:val="00D57E5F"/>
    <w:rsid w:val="00D60767"/>
    <w:rsid w:val="00D610D8"/>
    <w:rsid w:val="00D6116C"/>
    <w:rsid w:val="00D61815"/>
    <w:rsid w:val="00D6260F"/>
    <w:rsid w:val="00D62D13"/>
    <w:rsid w:val="00D638CD"/>
    <w:rsid w:val="00D63EA3"/>
    <w:rsid w:val="00D64279"/>
    <w:rsid w:val="00D646BF"/>
    <w:rsid w:val="00D648E1"/>
    <w:rsid w:val="00D64FF1"/>
    <w:rsid w:val="00D65165"/>
    <w:rsid w:val="00D65A72"/>
    <w:rsid w:val="00D65AEC"/>
    <w:rsid w:val="00D65F40"/>
    <w:rsid w:val="00D66285"/>
    <w:rsid w:val="00D66C52"/>
    <w:rsid w:val="00D66C5B"/>
    <w:rsid w:val="00D6731C"/>
    <w:rsid w:val="00D677DC"/>
    <w:rsid w:val="00D679FE"/>
    <w:rsid w:val="00D70722"/>
    <w:rsid w:val="00D70D7F"/>
    <w:rsid w:val="00D70ED4"/>
    <w:rsid w:val="00D719A8"/>
    <w:rsid w:val="00D71BB6"/>
    <w:rsid w:val="00D71D7C"/>
    <w:rsid w:val="00D71FE8"/>
    <w:rsid w:val="00D731B2"/>
    <w:rsid w:val="00D73582"/>
    <w:rsid w:val="00D73FCC"/>
    <w:rsid w:val="00D73FFD"/>
    <w:rsid w:val="00D7424D"/>
    <w:rsid w:val="00D74859"/>
    <w:rsid w:val="00D74AF5"/>
    <w:rsid w:val="00D74B0E"/>
    <w:rsid w:val="00D74C20"/>
    <w:rsid w:val="00D74CD1"/>
    <w:rsid w:val="00D754DB"/>
    <w:rsid w:val="00D755EA"/>
    <w:rsid w:val="00D758A3"/>
    <w:rsid w:val="00D7614A"/>
    <w:rsid w:val="00D7691F"/>
    <w:rsid w:val="00D76FB7"/>
    <w:rsid w:val="00D76FEB"/>
    <w:rsid w:val="00D774DC"/>
    <w:rsid w:val="00D77E09"/>
    <w:rsid w:val="00D806BB"/>
    <w:rsid w:val="00D80F1D"/>
    <w:rsid w:val="00D815DE"/>
    <w:rsid w:val="00D8225D"/>
    <w:rsid w:val="00D822B8"/>
    <w:rsid w:val="00D8253F"/>
    <w:rsid w:val="00D835A3"/>
    <w:rsid w:val="00D83EC7"/>
    <w:rsid w:val="00D83F9D"/>
    <w:rsid w:val="00D85258"/>
    <w:rsid w:val="00D857C6"/>
    <w:rsid w:val="00D8597C"/>
    <w:rsid w:val="00D85AA6"/>
    <w:rsid w:val="00D85EA0"/>
    <w:rsid w:val="00D86960"/>
    <w:rsid w:val="00D869A9"/>
    <w:rsid w:val="00D869BE"/>
    <w:rsid w:val="00D86F29"/>
    <w:rsid w:val="00D87EB2"/>
    <w:rsid w:val="00D87FD1"/>
    <w:rsid w:val="00D90A61"/>
    <w:rsid w:val="00D90A72"/>
    <w:rsid w:val="00D90AF9"/>
    <w:rsid w:val="00D90D89"/>
    <w:rsid w:val="00D9118C"/>
    <w:rsid w:val="00D92544"/>
    <w:rsid w:val="00D92979"/>
    <w:rsid w:val="00D93370"/>
    <w:rsid w:val="00D934DA"/>
    <w:rsid w:val="00D944A2"/>
    <w:rsid w:val="00D94589"/>
    <w:rsid w:val="00D946FF"/>
    <w:rsid w:val="00D9487F"/>
    <w:rsid w:val="00D94D9E"/>
    <w:rsid w:val="00D95E27"/>
    <w:rsid w:val="00D9639E"/>
    <w:rsid w:val="00D964C4"/>
    <w:rsid w:val="00D965CA"/>
    <w:rsid w:val="00D96EF8"/>
    <w:rsid w:val="00D971DB"/>
    <w:rsid w:val="00D97474"/>
    <w:rsid w:val="00D97515"/>
    <w:rsid w:val="00D97759"/>
    <w:rsid w:val="00D97BD5"/>
    <w:rsid w:val="00D97EFD"/>
    <w:rsid w:val="00DA047B"/>
    <w:rsid w:val="00DA0B1E"/>
    <w:rsid w:val="00DA0FB2"/>
    <w:rsid w:val="00DA1522"/>
    <w:rsid w:val="00DA1A9F"/>
    <w:rsid w:val="00DA1EBA"/>
    <w:rsid w:val="00DA20D6"/>
    <w:rsid w:val="00DA2694"/>
    <w:rsid w:val="00DA2DC7"/>
    <w:rsid w:val="00DA30EC"/>
    <w:rsid w:val="00DA3602"/>
    <w:rsid w:val="00DA3D0F"/>
    <w:rsid w:val="00DA3E85"/>
    <w:rsid w:val="00DA4225"/>
    <w:rsid w:val="00DA4AF6"/>
    <w:rsid w:val="00DA5429"/>
    <w:rsid w:val="00DA580D"/>
    <w:rsid w:val="00DA587E"/>
    <w:rsid w:val="00DA623B"/>
    <w:rsid w:val="00DA669E"/>
    <w:rsid w:val="00DA6779"/>
    <w:rsid w:val="00DA6B1E"/>
    <w:rsid w:val="00DA7474"/>
    <w:rsid w:val="00DA7611"/>
    <w:rsid w:val="00DA7C26"/>
    <w:rsid w:val="00DA7C47"/>
    <w:rsid w:val="00DA7D01"/>
    <w:rsid w:val="00DA7FF7"/>
    <w:rsid w:val="00DB0044"/>
    <w:rsid w:val="00DB03BE"/>
    <w:rsid w:val="00DB064F"/>
    <w:rsid w:val="00DB0BB3"/>
    <w:rsid w:val="00DB1449"/>
    <w:rsid w:val="00DB1BDC"/>
    <w:rsid w:val="00DB2B48"/>
    <w:rsid w:val="00DB2C58"/>
    <w:rsid w:val="00DB2EA9"/>
    <w:rsid w:val="00DB2F8E"/>
    <w:rsid w:val="00DB338F"/>
    <w:rsid w:val="00DB3466"/>
    <w:rsid w:val="00DB3F86"/>
    <w:rsid w:val="00DB43D2"/>
    <w:rsid w:val="00DB452A"/>
    <w:rsid w:val="00DB45F7"/>
    <w:rsid w:val="00DB45FA"/>
    <w:rsid w:val="00DB524D"/>
    <w:rsid w:val="00DB540E"/>
    <w:rsid w:val="00DB5769"/>
    <w:rsid w:val="00DB58B2"/>
    <w:rsid w:val="00DB58BB"/>
    <w:rsid w:val="00DB5CB5"/>
    <w:rsid w:val="00DB64B4"/>
    <w:rsid w:val="00DB6692"/>
    <w:rsid w:val="00DB6F69"/>
    <w:rsid w:val="00DB70DC"/>
    <w:rsid w:val="00DB7126"/>
    <w:rsid w:val="00DB7A1A"/>
    <w:rsid w:val="00DB7C2C"/>
    <w:rsid w:val="00DC0002"/>
    <w:rsid w:val="00DC015C"/>
    <w:rsid w:val="00DC077D"/>
    <w:rsid w:val="00DC0AC6"/>
    <w:rsid w:val="00DC134A"/>
    <w:rsid w:val="00DC1795"/>
    <w:rsid w:val="00DC1CCF"/>
    <w:rsid w:val="00DC1D07"/>
    <w:rsid w:val="00DC201B"/>
    <w:rsid w:val="00DC2788"/>
    <w:rsid w:val="00DC2912"/>
    <w:rsid w:val="00DC2C2E"/>
    <w:rsid w:val="00DC2D4B"/>
    <w:rsid w:val="00DC2E6F"/>
    <w:rsid w:val="00DC3136"/>
    <w:rsid w:val="00DC3419"/>
    <w:rsid w:val="00DC3D30"/>
    <w:rsid w:val="00DC4523"/>
    <w:rsid w:val="00DC48E3"/>
    <w:rsid w:val="00DC48F8"/>
    <w:rsid w:val="00DC517F"/>
    <w:rsid w:val="00DC567B"/>
    <w:rsid w:val="00DC58DB"/>
    <w:rsid w:val="00DC5A3D"/>
    <w:rsid w:val="00DC5F94"/>
    <w:rsid w:val="00DC61B3"/>
    <w:rsid w:val="00DC68AC"/>
    <w:rsid w:val="00DC6D1C"/>
    <w:rsid w:val="00DC6EA4"/>
    <w:rsid w:val="00DC713D"/>
    <w:rsid w:val="00DC7472"/>
    <w:rsid w:val="00DC7503"/>
    <w:rsid w:val="00DD032F"/>
    <w:rsid w:val="00DD0814"/>
    <w:rsid w:val="00DD0A98"/>
    <w:rsid w:val="00DD0CAC"/>
    <w:rsid w:val="00DD0EEB"/>
    <w:rsid w:val="00DD0F8E"/>
    <w:rsid w:val="00DD15D1"/>
    <w:rsid w:val="00DD15F1"/>
    <w:rsid w:val="00DD1C3B"/>
    <w:rsid w:val="00DD1D0A"/>
    <w:rsid w:val="00DD1E49"/>
    <w:rsid w:val="00DD1EAF"/>
    <w:rsid w:val="00DD253F"/>
    <w:rsid w:val="00DD268E"/>
    <w:rsid w:val="00DD289A"/>
    <w:rsid w:val="00DD292D"/>
    <w:rsid w:val="00DD2AAE"/>
    <w:rsid w:val="00DD2C4A"/>
    <w:rsid w:val="00DD2CE8"/>
    <w:rsid w:val="00DD35FB"/>
    <w:rsid w:val="00DD3989"/>
    <w:rsid w:val="00DD3BAF"/>
    <w:rsid w:val="00DD3C08"/>
    <w:rsid w:val="00DD3CEB"/>
    <w:rsid w:val="00DD46C3"/>
    <w:rsid w:val="00DD4707"/>
    <w:rsid w:val="00DD4991"/>
    <w:rsid w:val="00DD4B48"/>
    <w:rsid w:val="00DD5307"/>
    <w:rsid w:val="00DD55C1"/>
    <w:rsid w:val="00DD5858"/>
    <w:rsid w:val="00DD5C7C"/>
    <w:rsid w:val="00DD6A79"/>
    <w:rsid w:val="00DD6FD7"/>
    <w:rsid w:val="00DD74DA"/>
    <w:rsid w:val="00DD7505"/>
    <w:rsid w:val="00DD76D0"/>
    <w:rsid w:val="00DE0006"/>
    <w:rsid w:val="00DE0454"/>
    <w:rsid w:val="00DE04FB"/>
    <w:rsid w:val="00DE07FA"/>
    <w:rsid w:val="00DE0B14"/>
    <w:rsid w:val="00DE0B18"/>
    <w:rsid w:val="00DE0D79"/>
    <w:rsid w:val="00DE0E9F"/>
    <w:rsid w:val="00DE12CC"/>
    <w:rsid w:val="00DE1E6A"/>
    <w:rsid w:val="00DE2F6C"/>
    <w:rsid w:val="00DE3114"/>
    <w:rsid w:val="00DE3228"/>
    <w:rsid w:val="00DE376F"/>
    <w:rsid w:val="00DE3E40"/>
    <w:rsid w:val="00DE3EF8"/>
    <w:rsid w:val="00DE4166"/>
    <w:rsid w:val="00DE4FF9"/>
    <w:rsid w:val="00DE52DA"/>
    <w:rsid w:val="00DE5657"/>
    <w:rsid w:val="00DE5BCF"/>
    <w:rsid w:val="00DE646D"/>
    <w:rsid w:val="00DE657A"/>
    <w:rsid w:val="00DE671E"/>
    <w:rsid w:val="00DE67CE"/>
    <w:rsid w:val="00DE7919"/>
    <w:rsid w:val="00DF09F9"/>
    <w:rsid w:val="00DF0A11"/>
    <w:rsid w:val="00DF1803"/>
    <w:rsid w:val="00DF19CC"/>
    <w:rsid w:val="00DF1C7D"/>
    <w:rsid w:val="00DF3521"/>
    <w:rsid w:val="00DF3524"/>
    <w:rsid w:val="00DF3D0A"/>
    <w:rsid w:val="00DF3D60"/>
    <w:rsid w:val="00DF3D6B"/>
    <w:rsid w:val="00DF4B92"/>
    <w:rsid w:val="00DF4D57"/>
    <w:rsid w:val="00DF5176"/>
    <w:rsid w:val="00DF52C6"/>
    <w:rsid w:val="00DF56B0"/>
    <w:rsid w:val="00DF59BF"/>
    <w:rsid w:val="00DF5DF3"/>
    <w:rsid w:val="00DF6207"/>
    <w:rsid w:val="00DF6BA2"/>
    <w:rsid w:val="00DF7596"/>
    <w:rsid w:val="00DF769B"/>
    <w:rsid w:val="00DF7C62"/>
    <w:rsid w:val="00E000C4"/>
    <w:rsid w:val="00E00208"/>
    <w:rsid w:val="00E002AA"/>
    <w:rsid w:val="00E00BFC"/>
    <w:rsid w:val="00E00C6F"/>
    <w:rsid w:val="00E01900"/>
    <w:rsid w:val="00E01FDF"/>
    <w:rsid w:val="00E02193"/>
    <w:rsid w:val="00E02345"/>
    <w:rsid w:val="00E0317E"/>
    <w:rsid w:val="00E03324"/>
    <w:rsid w:val="00E03C40"/>
    <w:rsid w:val="00E041C7"/>
    <w:rsid w:val="00E0452B"/>
    <w:rsid w:val="00E04B47"/>
    <w:rsid w:val="00E05BF7"/>
    <w:rsid w:val="00E061BB"/>
    <w:rsid w:val="00E064D2"/>
    <w:rsid w:val="00E06592"/>
    <w:rsid w:val="00E065EE"/>
    <w:rsid w:val="00E0755F"/>
    <w:rsid w:val="00E078CC"/>
    <w:rsid w:val="00E1007F"/>
    <w:rsid w:val="00E1016E"/>
    <w:rsid w:val="00E10865"/>
    <w:rsid w:val="00E11194"/>
    <w:rsid w:val="00E11B4C"/>
    <w:rsid w:val="00E126D6"/>
    <w:rsid w:val="00E129D6"/>
    <w:rsid w:val="00E134DB"/>
    <w:rsid w:val="00E13612"/>
    <w:rsid w:val="00E13D9C"/>
    <w:rsid w:val="00E1420F"/>
    <w:rsid w:val="00E14C1D"/>
    <w:rsid w:val="00E14FCA"/>
    <w:rsid w:val="00E15CD6"/>
    <w:rsid w:val="00E162CA"/>
    <w:rsid w:val="00E16AEA"/>
    <w:rsid w:val="00E17046"/>
    <w:rsid w:val="00E1720A"/>
    <w:rsid w:val="00E17291"/>
    <w:rsid w:val="00E177CD"/>
    <w:rsid w:val="00E17AFA"/>
    <w:rsid w:val="00E17E7C"/>
    <w:rsid w:val="00E2004F"/>
    <w:rsid w:val="00E20179"/>
    <w:rsid w:val="00E20514"/>
    <w:rsid w:val="00E20541"/>
    <w:rsid w:val="00E20D7E"/>
    <w:rsid w:val="00E20E3C"/>
    <w:rsid w:val="00E20F43"/>
    <w:rsid w:val="00E2151E"/>
    <w:rsid w:val="00E21579"/>
    <w:rsid w:val="00E215E7"/>
    <w:rsid w:val="00E216A0"/>
    <w:rsid w:val="00E21730"/>
    <w:rsid w:val="00E21D39"/>
    <w:rsid w:val="00E221B3"/>
    <w:rsid w:val="00E224EF"/>
    <w:rsid w:val="00E22B2C"/>
    <w:rsid w:val="00E22EEE"/>
    <w:rsid w:val="00E233A1"/>
    <w:rsid w:val="00E2349E"/>
    <w:rsid w:val="00E23B14"/>
    <w:rsid w:val="00E2443A"/>
    <w:rsid w:val="00E256C4"/>
    <w:rsid w:val="00E257FF"/>
    <w:rsid w:val="00E25A92"/>
    <w:rsid w:val="00E25BA2"/>
    <w:rsid w:val="00E25C89"/>
    <w:rsid w:val="00E25F9A"/>
    <w:rsid w:val="00E264AF"/>
    <w:rsid w:val="00E265F0"/>
    <w:rsid w:val="00E26C6D"/>
    <w:rsid w:val="00E26DE5"/>
    <w:rsid w:val="00E26E46"/>
    <w:rsid w:val="00E27355"/>
    <w:rsid w:val="00E27A07"/>
    <w:rsid w:val="00E27D90"/>
    <w:rsid w:val="00E3273C"/>
    <w:rsid w:val="00E32BD3"/>
    <w:rsid w:val="00E3330D"/>
    <w:rsid w:val="00E3378D"/>
    <w:rsid w:val="00E3466D"/>
    <w:rsid w:val="00E34727"/>
    <w:rsid w:val="00E34A28"/>
    <w:rsid w:val="00E361BB"/>
    <w:rsid w:val="00E36D01"/>
    <w:rsid w:val="00E36F35"/>
    <w:rsid w:val="00E37736"/>
    <w:rsid w:val="00E40451"/>
    <w:rsid w:val="00E4078F"/>
    <w:rsid w:val="00E40872"/>
    <w:rsid w:val="00E40BC1"/>
    <w:rsid w:val="00E4101F"/>
    <w:rsid w:val="00E41197"/>
    <w:rsid w:val="00E417EE"/>
    <w:rsid w:val="00E418FC"/>
    <w:rsid w:val="00E41B71"/>
    <w:rsid w:val="00E41BC6"/>
    <w:rsid w:val="00E41EAD"/>
    <w:rsid w:val="00E4212B"/>
    <w:rsid w:val="00E428E8"/>
    <w:rsid w:val="00E42908"/>
    <w:rsid w:val="00E4315C"/>
    <w:rsid w:val="00E433C1"/>
    <w:rsid w:val="00E433E9"/>
    <w:rsid w:val="00E43829"/>
    <w:rsid w:val="00E4389F"/>
    <w:rsid w:val="00E44168"/>
    <w:rsid w:val="00E452B9"/>
    <w:rsid w:val="00E454A6"/>
    <w:rsid w:val="00E45576"/>
    <w:rsid w:val="00E45EB7"/>
    <w:rsid w:val="00E46891"/>
    <w:rsid w:val="00E4781C"/>
    <w:rsid w:val="00E479A2"/>
    <w:rsid w:val="00E47A48"/>
    <w:rsid w:val="00E50413"/>
    <w:rsid w:val="00E50E61"/>
    <w:rsid w:val="00E51090"/>
    <w:rsid w:val="00E5116F"/>
    <w:rsid w:val="00E51170"/>
    <w:rsid w:val="00E51BC7"/>
    <w:rsid w:val="00E51F52"/>
    <w:rsid w:val="00E52212"/>
    <w:rsid w:val="00E522E8"/>
    <w:rsid w:val="00E524CC"/>
    <w:rsid w:val="00E525DB"/>
    <w:rsid w:val="00E52B4A"/>
    <w:rsid w:val="00E53ABE"/>
    <w:rsid w:val="00E53BD7"/>
    <w:rsid w:val="00E53FA7"/>
    <w:rsid w:val="00E542DD"/>
    <w:rsid w:val="00E5442F"/>
    <w:rsid w:val="00E54433"/>
    <w:rsid w:val="00E54458"/>
    <w:rsid w:val="00E549AD"/>
    <w:rsid w:val="00E54D73"/>
    <w:rsid w:val="00E55079"/>
    <w:rsid w:val="00E55371"/>
    <w:rsid w:val="00E555E1"/>
    <w:rsid w:val="00E555E7"/>
    <w:rsid w:val="00E55749"/>
    <w:rsid w:val="00E557B6"/>
    <w:rsid w:val="00E557D2"/>
    <w:rsid w:val="00E55EAC"/>
    <w:rsid w:val="00E55EF2"/>
    <w:rsid w:val="00E561A6"/>
    <w:rsid w:val="00E563F1"/>
    <w:rsid w:val="00E56527"/>
    <w:rsid w:val="00E565B6"/>
    <w:rsid w:val="00E5673C"/>
    <w:rsid w:val="00E569F5"/>
    <w:rsid w:val="00E57054"/>
    <w:rsid w:val="00E57B19"/>
    <w:rsid w:val="00E57FE5"/>
    <w:rsid w:val="00E6002B"/>
    <w:rsid w:val="00E6014C"/>
    <w:rsid w:val="00E60472"/>
    <w:rsid w:val="00E60938"/>
    <w:rsid w:val="00E609D1"/>
    <w:rsid w:val="00E60B90"/>
    <w:rsid w:val="00E6126A"/>
    <w:rsid w:val="00E615CF"/>
    <w:rsid w:val="00E6169D"/>
    <w:rsid w:val="00E61867"/>
    <w:rsid w:val="00E61E47"/>
    <w:rsid w:val="00E61EED"/>
    <w:rsid w:val="00E629BB"/>
    <w:rsid w:val="00E62E35"/>
    <w:rsid w:val="00E62F0A"/>
    <w:rsid w:val="00E634A7"/>
    <w:rsid w:val="00E64037"/>
    <w:rsid w:val="00E64471"/>
    <w:rsid w:val="00E644F6"/>
    <w:rsid w:val="00E66292"/>
    <w:rsid w:val="00E6638C"/>
    <w:rsid w:val="00E66437"/>
    <w:rsid w:val="00E6670F"/>
    <w:rsid w:val="00E66E56"/>
    <w:rsid w:val="00E6783A"/>
    <w:rsid w:val="00E67AAC"/>
    <w:rsid w:val="00E7043E"/>
    <w:rsid w:val="00E70832"/>
    <w:rsid w:val="00E70881"/>
    <w:rsid w:val="00E70960"/>
    <w:rsid w:val="00E7188A"/>
    <w:rsid w:val="00E71910"/>
    <w:rsid w:val="00E7195C"/>
    <w:rsid w:val="00E71B94"/>
    <w:rsid w:val="00E722F0"/>
    <w:rsid w:val="00E72346"/>
    <w:rsid w:val="00E73784"/>
    <w:rsid w:val="00E73A39"/>
    <w:rsid w:val="00E7430D"/>
    <w:rsid w:val="00E7435B"/>
    <w:rsid w:val="00E748F4"/>
    <w:rsid w:val="00E74AC4"/>
    <w:rsid w:val="00E74E84"/>
    <w:rsid w:val="00E74FC6"/>
    <w:rsid w:val="00E752D1"/>
    <w:rsid w:val="00E75775"/>
    <w:rsid w:val="00E7682F"/>
    <w:rsid w:val="00E76BA9"/>
    <w:rsid w:val="00E76F4F"/>
    <w:rsid w:val="00E77256"/>
    <w:rsid w:val="00E7756A"/>
    <w:rsid w:val="00E778C5"/>
    <w:rsid w:val="00E77BA9"/>
    <w:rsid w:val="00E804CF"/>
    <w:rsid w:val="00E8052B"/>
    <w:rsid w:val="00E80703"/>
    <w:rsid w:val="00E80A70"/>
    <w:rsid w:val="00E80FAC"/>
    <w:rsid w:val="00E8128F"/>
    <w:rsid w:val="00E81C17"/>
    <w:rsid w:val="00E82B3B"/>
    <w:rsid w:val="00E833B3"/>
    <w:rsid w:val="00E838C6"/>
    <w:rsid w:val="00E83F8F"/>
    <w:rsid w:val="00E83FE2"/>
    <w:rsid w:val="00E846A4"/>
    <w:rsid w:val="00E84B7A"/>
    <w:rsid w:val="00E84E68"/>
    <w:rsid w:val="00E85108"/>
    <w:rsid w:val="00E8545D"/>
    <w:rsid w:val="00E855E7"/>
    <w:rsid w:val="00E85887"/>
    <w:rsid w:val="00E858D3"/>
    <w:rsid w:val="00E859D7"/>
    <w:rsid w:val="00E85EF5"/>
    <w:rsid w:val="00E867EE"/>
    <w:rsid w:val="00E86AE0"/>
    <w:rsid w:val="00E86D6C"/>
    <w:rsid w:val="00E86EFD"/>
    <w:rsid w:val="00E87A62"/>
    <w:rsid w:val="00E87B17"/>
    <w:rsid w:val="00E87BDF"/>
    <w:rsid w:val="00E909BE"/>
    <w:rsid w:val="00E9109F"/>
    <w:rsid w:val="00E9133E"/>
    <w:rsid w:val="00E917AC"/>
    <w:rsid w:val="00E928CE"/>
    <w:rsid w:val="00E92959"/>
    <w:rsid w:val="00E92A13"/>
    <w:rsid w:val="00E92A19"/>
    <w:rsid w:val="00E92CFE"/>
    <w:rsid w:val="00E93900"/>
    <w:rsid w:val="00E93CA5"/>
    <w:rsid w:val="00E93E1F"/>
    <w:rsid w:val="00E93E62"/>
    <w:rsid w:val="00E93F68"/>
    <w:rsid w:val="00E943F3"/>
    <w:rsid w:val="00E9454B"/>
    <w:rsid w:val="00E94A02"/>
    <w:rsid w:val="00E94D4C"/>
    <w:rsid w:val="00E94FF7"/>
    <w:rsid w:val="00E95533"/>
    <w:rsid w:val="00E95963"/>
    <w:rsid w:val="00E95990"/>
    <w:rsid w:val="00E95AD4"/>
    <w:rsid w:val="00E95E8D"/>
    <w:rsid w:val="00E96167"/>
    <w:rsid w:val="00E96336"/>
    <w:rsid w:val="00E96A86"/>
    <w:rsid w:val="00E96B73"/>
    <w:rsid w:val="00E96D6C"/>
    <w:rsid w:val="00E97906"/>
    <w:rsid w:val="00E97A3A"/>
    <w:rsid w:val="00E97C3D"/>
    <w:rsid w:val="00EA0C28"/>
    <w:rsid w:val="00EA0F52"/>
    <w:rsid w:val="00EA17C7"/>
    <w:rsid w:val="00EA24FC"/>
    <w:rsid w:val="00EA2662"/>
    <w:rsid w:val="00EA2672"/>
    <w:rsid w:val="00EA295A"/>
    <w:rsid w:val="00EA2A28"/>
    <w:rsid w:val="00EA2C26"/>
    <w:rsid w:val="00EA2C2A"/>
    <w:rsid w:val="00EA2DAF"/>
    <w:rsid w:val="00EA2FBB"/>
    <w:rsid w:val="00EA33E1"/>
    <w:rsid w:val="00EA3716"/>
    <w:rsid w:val="00EA3A64"/>
    <w:rsid w:val="00EA3EF8"/>
    <w:rsid w:val="00EA3F2E"/>
    <w:rsid w:val="00EA4271"/>
    <w:rsid w:val="00EA47B3"/>
    <w:rsid w:val="00EA49EE"/>
    <w:rsid w:val="00EA4DFD"/>
    <w:rsid w:val="00EA4F7F"/>
    <w:rsid w:val="00EA5422"/>
    <w:rsid w:val="00EA5EFC"/>
    <w:rsid w:val="00EA6234"/>
    <w:rsid w:val="00EA6622"/>
    <w:rsid w:val="00EA6EC4"/>
    <w:rsid w:val="00EA78A7"/>
    <w:rsid w:val="00EA7B66"/>
    <w:rsid w:val="00EB0884"/>
    <w:rsid w:val="00EB1079"/>
    <w:rsid w:val="00EB1140"/>
    <w:rsid w:val="00EB1413"/>
    <w:rsid w:val="00EB14FB"/>
    <w:rsid w:val="00EB1C13"/>
    <w:rsid w:val="00EB1F4D"/>
    <w:rsid w:val="00EB2255"/>
    <w:rsid w:val="00EB24C9"/>
    <w:rsid w:val="00EB3109"/>
    <w:rsid w:val="00EB377F"/>
    <w:rsid w:val="00EB41F1"/>
    <w:rsid w:val="00EB48FE"/>
    <w:rsid w:val="00EB5458"/>
    <w:rsid w:val="00EB5841"/>
    <w:rsid w:val="00EB5F84"/>
    <w:rsid w:val="00EB6042"/>
    <w:rsid w:val="00EB6F5F"/>
    <w:rsid w:val="00EB709A"/>
    <w:rsid w:val="00EB7112"/>
    <w:rsid w:val="00EB7401"/>
    <w:rsid w:val="00EB7927"/>
    <w:rsid w:val="00EC04A9"/>
    <w:rsid w:val="00EC05DF"/>
    <w:rsid w:val="00EC0760"/>
    <w:rsid w:val="00EC0879"/>
    <w:rsid w:val="00EC0B31"/>
    <w:rsid w:val="00EC0F57"/>
    <w:rsid w:val="00EC13E1"/>
    <w:rsid w:val="00EC14CE"/>
    <w:rsid w:val="00EC182A"/>
    <w:rsid w:val="00EC18CD"/>
    <w:rsid w:val="00EC1EBB"/>
    <w:rsid w:val="00EC206A"/>
    <w:rsid w:val="00EC2E6B"/>
    <w:rsid w:val="00EC34AD"/>
    <w:rsid w:val="00EC42B0"/>
    <w:rsid w:val="00EC4688"/>
    <w:rsid w:val="00EC48DF"/>
    <w:rsid w:val="00EC4A99"/>
    <w:rsid w:val="00EC4FC8"/>
    <w:rsid w:val="00EC590B"/>
    <w:rsid w:val="00EC597D"/>
    <w:rsid w:val="00EC5A85"/>
    <w:rsid w:val="00EC6718"/>
    <w:rsid w:val="00EC67F4"/>
    <w:rsid w:val="00EC690A"/>
    <w:rsid w:val="00EC6B14"/>
    <w:rsid w:val="00EC6B4A"/>
    <w:rsid w:val="00EC700B"/>
    <w:rsid w:val="00EC7666"/>
    <w:rsid w:val="00EC7CE6"/>
    <w:rsid w:val="00EC7EDF"/>
    <w:rsid w:val="00ED03E2"/>
    <w:rsid w:val="00ED058C"/>
    <w:rsid w:val="00ED058E"/>
    <w:rsid w:val="00ED06B1"/>
    <w:rsid w:val="00ED091F"/>
    <w:rsid w:val="00ED15DA"/>
    <w:rsid w:val="00ED1D1E"/>
    <w:rsid w:val="00ED1F2B"/>
    <w:rsid w:val="00ED2A6C"/>
    <w:rsid w:val="00ED2BC6"/>
    <w:rsid w:val="00ED2C40"/>
    <w:rsid w:val="00ED2C5C"/>
    <w:rsid w:val="00ED351B"/>
    <w:rsid w:val="00ED38D4"/>
    <w:rsid w:val="00ED3ECD"/>
    <w:rsid w:val="00ED4569"/>
    <w:rsid w:val="00ED49ED"/>
    <w:rsid w:val="00ED5122"/>
    <w:rsid w:val="00ED5C78"/>
    <w:rsid w:val="00ED5D02"/>
    <w:rsid w:val="00ED5DC3"/>
    <w:rsid w:val="00ED5DFC"/>
    <w:rsid w:val="00ED6020"/>
    <w:rsid w:val="00ED620F"/>
    <w:rsid w:val="00ED6826"/>
    <w:rsid w:val="00ED699C"/>
    <w:rsid w:val="00ED6F07"/>
    <w:rsid w:val="00ED74FD"/>
    <w:rsid w:val="00EE072E"/>
    <w:rsid w:val="00EE0B68"/>
    <w:rsid w:val="00EE132B"/>
    <w:rsid w:val="00EE1337"/>
    <w:rsid w:val="00EE1525"/>
    <w:rsid w:val="00EE15C0"/>
    <w:rsid w:val="00EE1C7A"/>
    <w:rsid w:val="00EE1D96"/>
    <w:rsid w:val="00EE1F97"/>
    <w:rsid w:val="00EE2357"/>
    <w:rsid w:val="00EE25F7"/>
    <w:rsid w:val="00EE3776"/>
    <w:rsid w:val="00EE3784"/>
    <w:rsid w:val="00EE37C6"/>
    <w:rsid w:val="00EE3B0B"/>
    <w:rsid w:val="00EE4755"/>
    <w:rsid w:val="00EE4815"/>
    <w:rsid w:val="00EE4D82"/>
    <w:rsid w:val="00EE4E15"/>
    <w:rsid w:val="00EE56A3"/>
    <w:rsid w:val="00EE5749"/>
    <w:rsid w:val="00EE705A"/>
    <w:rsid w:val="00EE71CC"/>
    <w:rsid w:val="00EE7322"/>
    <w:rsid w:val="00EE7509"/>
    <w:rsid w:val="00EF0293"/>
    <w:rsid w:val="00EF02DB"/>
    <w:rsid w:val="00EF058A"/>
    <w:rsid w:val="00EF082F"/>
    <w:rsid w:val="00EF0A05"/>
    <w:rsid w:val="00EF0ACE"/>
    <w:rsid w:val="00EF0F68"/>
    <w:rsid w:val="00EF154A"/>
    <w:rsid w:val="00EF1A7D"/>
    <w:rsid w:val="00EF217D"/>
    <w:rsid w:val="00EF2D37"/>
    <w:rsid w:val="00EF359B"/>
    <w:rsid w:val="00EF3BA4"/>
    <w:rsid w:val="00EF47DA"/>
    <w:rsid w:val="00EF4ACC"/>
    <w:rsid w:val="00EF4B74"/>
    <w:rsid w:val="00EF4BEF"/>
    <w:rsid w:val="00EF4F3D"/>
    <w:rsid w:val="00EF5210"/>
    <w:rsid w:val="00EF54ED"/>
    <w:rsid w:val="00EF5A70"/>
    <w:rsid w:val="00EF5AB5"/>
    <w:rsid w:val="00EF7057"/>
    <w:rsid w:val="00EF7119"/>
    <w:rsid w:val="00EF7272"/>
    <w:rsid w:val="00EF736A"/>
    <w:rsid w:val="00EF77D9"/>
    <w:rsid w:val="00F008CF"/>
    <w:rsid w:val="00F013C3"/>
    <w:rsid w:val="00F016E1"/>
    <w:rsid w:val="00F01B2C"/>
    <w:rsid w:val="00F02780"/>
    <w:rsid w:val="00F02933"/>
    <w:rsid w:val="00F03267"/>
    <w:rsid w:val="00F035E8"/>
    <w:rsid w:val="00F036EB"/>
    <w:rsid w:val="00F03731"/>
    <w:rsid w:val="00F03A90"/>
    <w:rsid w:val="00F03CF5"/>
    <w:rsid w:val="00F03FE1"/>
    <w:rsid w:val="00F03FEE"/>
    <w:rsid w:val="00F04AF4"/>
    <w:rsid w:val="00F0517E"/>
    <w:rsid w:val="00F055FB"/>
    <w:rsid w:val="00F067F2"/>
    <w:rsid w:val="00F06CC9"/>
    <w:rsid w:val="00F07192"/>
    <w:rsid w:val="00F0737B"/>
    <w:rsid w:val="00F073E7"/>
    <w:rsid w:val="00F07540"/>
    <w:rsid w:val="00F1090E"/>
    <w:rsid w:val="00F10FA5"/>
    <w:rsid w:val="00F11267"/>
    <w:rsid w:val="00F1143B"/>
    <w:rsid w:val="00F11830"/>
    <w:rsid w:val="00F128AA"/>
    <w:rsid w:val="00F12E7E"/>
    <w:rsid w:val="00F1301D"/>
    <w:rsid w:val="00F131CA"/>
    <w:rsid w:val="00F135F6"/>
    <w:rsid w:val="00F137D4"/>
    <w:rsid w:val="00F140F6"/>
    <w:rsid w:val="00F14258"/>
    <w:rsid w:val="00F146F5"/>
    <w:rsid w:val="00F147F6"/>
    <w:rsid w:val="00F16108"/>
    <w:rsid w:val="00F1620F"/>
    <w:rsid w:val="00F1713E"/>
    <w:rsid w:val="00F200A1"/>
    <w:rsid w:val="00F209A7"/>
    <w:rsid w:val="00F20AB7"/>
    <w:rsid w:val="00F21024"/>
    <w:rsid w:val="00F2169A"/>
    <w:rsid w:val="00F217CD"/>
    <w:rsid w:val="00F21881"/>
    <w:rsid w:val="00F2193C"/>
    <w:rsid w:val="00F21CD0"/>
    <w:rsid w:val="00F22067"/>
    <w:rsid w:val="00F22664"/>
    <w:rsid w:val="00F2285E"/>
    <w:rsid w:val="00F22D44"/>
    <w:rsid w:val="00F2348E"/>
    <w:rsid w:val="00F23AA2"/>
    <w:rsid w:val="00F23C17"/>
    <w:rsid w:val="00F241A5"/>
    <w:rsid w:val="00F24429"/>
    <w:rsid w:val="00F2446E"/>
    <w:rsid w:val="00F24EF8"/>
    <w:rsid w:val="00F25B00"/>
    <w:rsid w:val="00F26EB4"/>
    <w:rsid w:val="00F274AB"/>
    <w:rsid w:val="00F2755B"/>
    <w:rsid w:val="00F27FAE"/>
    <w:rsid w:val="00F3027A"/>
    <w:rsid w:val="00F30538"/>
    <w:rsid w:val="00F30B56"/>
    <w:rsid w:val="00F30D59"/>
    <w:rsid w:val="00F31336"/>
    <w:rsid w:val="00F3150F"/>
    <w:rsid w:val="00F32151"/>
    <w:rsid w:val="00F32670"/>
    <w:rsid w:val="00F328CA"/>
    <w:rsid w:val="00F32A20"/>
    <w:rsid w:val="00F32B3C"/>
    <w:rsid w:val="00F32EE1"/>
    <w:rsid w:val="00F32F17"/>
    <w:rsid w:val="00F32FB2"/>
    <w:rsid w:val="00F33396"/>
    <w:rsid w:val="00F335D8"/>
    <w:rsid w:val="00F33698"/>
    <w:rsid w:val="00F338F7"/>
    <w:rsid w:val="00F338FC"/>
    <w:rsid w:val="00F34233"/>
    <w:rsid w:val="00F34A79"/>
    <w:rsid w:val="00F34B37"/>
    <w:rsid w:val="00F353AB"/>
    <w:rsid w:val="00F355E0"/>
    <w:rsid w:val="00F35600"/>
    <w:rsid w:val="00F35BF8"/>
    <w:rsid w:val="00F35E4D"/>
    <w:rsid w:val="00F35F52"/>
    <w:rsid w:val="00F362F4"/>
    <w:rsid w:val="00F36838"/>
    <w:rsid w:val="00F36897"/>
    <w:rsid w:val="00F3699D"/>
    <w:rsid w:val="00F36BBE"/>
    <w:rsid w:val="00F36BE7"/>
    <w:rsid w:val="00F372DC"/>
    <w:rsid w:val="00F374B3"/>
    <w:rsid w:val="00F37728"/>
    <w:rsid w:val="00F4008D"/>
    <w:rsid w:val="00F41604"/>
    <w:rsid w:val="00F41E92"/>
    <w:rsid w:val="00F41FB6"/>
    <w:rsid w:val="00F42BEE"/>
    <w:rsid w:val="00F42CA6"/>
    <w:rsid w:val="00F4330B"/>
    <w:rsid w:val="00F438DC"/>
    <w:rsid w:val="00F4390B"/>
    <w:rsid w:val="00F44182"/>
    <w:rsid w:val="00F44EAD"/>
    <w:rsid w:val="00F452FE"/>
    <w:rsid w:val="00F45684"/>
    <w:rsid w:val="00F45D05"/>
    <w:rsid w:val="00F45DAF"/>
    <w:rsid w:val="00F46024"/>
    <w:rsid w:val="00F46117"/>
    <w:rsid w:val="00F464D0"/>
    <w:rsid w:val="00F4683D"/>
    <w:rsid w:val="00F46FDC"/>
    <w:rsid w:val="00F471EB"/>
    <w:rsid w:val="00F47ACF"/>
    <w:rsid w:val="00F47EA4"/>
    <w:rsid w:val="00F5086B"/>
    <w:rsid w:val="00F508AF"/>
    <w:rsid w:val="00F50A2D"/>
    <w:rsid w:val="00F50AEC"/>
    <w:rsid w:val="00F50ECE"/>
    <w:rsid w:val="00F50EDE"/>
    <w:rsid w:val="00F510F5"/>
    <w:rsid w:val="00F51394"/>
    <w:rsid w:val="00F515A2"/>
    <w:rsid w:val="00F51820"/>
    <w:rsid w:val="00F52491"/>
    <w:rsid w:val="00F527D7"/>
    <w:rsid w:val="00F52F17"/>
    <w:rsid w:val="00F532E9"/>
    <w:rsid w:val="00F53802"/>
    <w:rsid w:val="00F53BBA"/>
    <w:rsid w:val="00F5402A"/>
    <w:rsid w:val="00F547D9"/>
    <w:rsid w:val="00F54B7A"/>
    <w:rsid w:val="00F54CB1"/>
    <w:rsid w:val="00F557E5"/>
    <w:rsid w:val="00F5596B"/>
    <w:rsid w:val="00F55A6F"/>
    <w:rsid w:val="00F55D31"/>
    <w:rsid w:val="00F56354"/>
    <w:rsid w:val="00F56B14"/>
    <w:rsid w:val="00F56B48"/>
    <w:rsid w:val="00F56C87"/>
    <w:rsid w:val="00F56DC6"/>
    <w:rsid w:val="00F57144"/>
    <w:rsid w:val="00F57AD9"/>
    <w:rsid w:val="00F57B39"/>
    <w:rsid w:val="00F60402"/>
    <w:rsid w:val="00F60F90"/>
    <w:rsid w:val="00F610FC"/>
    <w:rsid w:val="00F6181D"/>
    <w:rsid w:val="00F61BA2"/>
    <w:rsid w:val="00F61D31"/>
    <w:rsid w:val="00F62789"/>
    <w:rsid w:val="00F629DD"/>
    <w:rsid w:val="00F62D86"/>
    <w:rsid w:val="00F6313E"/>
    <w:rsid w:val="00F63522"/>
    <w:rsid w:val="00F6358C"/>
    <w:rsid w:val="00F63830"/>
    <w:rsid w:val="00F63E8F"/>
    <w:rsid w:val="00F641FB"/>
    <w:rsid w:val="00F64887"/>
    <w:rsid w:val="00F64A83"/>
    <w:rsid w:val="00F64BA6"/>
    <w:rsid w:val="00F64C93"/>
    <w:rsid w:val="00F651CF"/>
    <w:rsid w:val="00F652A1"/>
    <w:rsid w:val="00F654F4"/>
    <w:rsid w:val="00F65D58"/>
    <w:rsid w:val="00F660EB"/>
    <w:rsid w:val="00F66A8A"/>
    <w:rsid w:val="00F66DA3"/>
    <w:rsid w:val="00F66EC8"/>
    <w:rsid w:val="00F67C12"/>
    <w:rsid w:val="00F67D5F"/>
    <w:rsid w:val="00F67E33"/>
    <w:rsid w:val="00F67F81"/>
    <w:rsid w:val="00F70046"/>
    <w:rsid w:val="00F70AF5"/>
    <w:rsid w:val="00F70D76"/>
    <w:rsid w:val="00F716C9"/>
    <w:rsid w:val="00F7197B"/>
    <w:rsid w:val="00F71BE0"/>
    <w:rsid w:val="00F71CDE"/>
    <w:rsid w:val="00F71EDE"/>
    <w:rsid w:val="00F7229D"/>
    <w:rsid w:val="00F72403"/>
    <w:rsid w:val="00F725FA"/>
    <w:rsid w:val="00F72641"/>
    <w:rsid w:val="00F72879"/>
    <w:rsid w:val="00F728B6"/>
    <w:rsid w:val="00F7313E"/>
    <w:rsid w:val="00F732CF"/>
    <w:rsid w:val="00F73522"/>
    <w:rsid w:val="00F73F36"/>
    <w:rsid w:val="00F73F8C"/>
    <w:rsid w:val="00F74955"/>
    <w:rsid w:val="00F74F8F"/>
    <w:rsid w:val="00F7585F"/>
    <w:rsid w:val="00F75B45"/>
    <w:rsid w:val="00F75BE9"/>
    <w:rsid w:val="00F75F3B"/>
    <w:rsid w:val="00F7650D"/>
    <w:rsid w:val="00F767CE"/>
    <w:rsid w:val="00F77117"/>
    <w:rsid w:val="00F775FD"/>
    <w:rsid w:val="00F778E6"/>
    <w:rsid w:val="00F77F43"/>
    <w:rsid w:val="00F812A2"/>
    <w:rsid w:val="00F81469"/>
    <w:rsid w:val="00F81C1A"/>
    <w:rsid w:val="00F81C95"/>
    <w:rsid w:val="00F828C6"/>
    <w:rsid w:val="00F8290C"/>
    <w:rsid w:val="00F83056"/>
    <w:rsid w:val="00F831DA"/>
    <w:rsid w:val="00F833BA"/>
    <w:rsid w:val="00F8419D"/>
    <w:rsid w:val="00F844E1"/>
    <w:rsid w:val="00F84B56"/>
    <w:rsid w:val="00F84C32"/>
    <w:rsid w:val="00F84EA2"/>
    <w:rsid w:val="00F8519A"/>
    <w:rsid w:val="00F8531F"/>
    <w:rsid w:val="00F85C1E"/>
    <w:rsid w:val="00F85D31"/>
    <w:rsid w:val="00F86927"/>
    <w:rsid w:val="00F869BF"/>
    <w:rsid w:val="00F87664"/>
    <w:rsid w:val="00F87A26"/>
    <w:rsid w:val="00F87E9A"/>
    <w:rsid w:val="00F90398"/>
    <w:rsid w:val="00F90502"/>
    <w:rsid w:val="00F91063"/>
    <w:rsid w:val="00F9149B"/>
    <w:rsid w:val="00F919B8"/>
    <w:rsid w:val="00F93528"/>
    <w:rsid w:val="00F93934"/>
    <w:rsid w:val="00F93A2F"/>
    <w:rsid w:val="00F9402F"/>
    <w:rsid w:val="00F948B9"/>
    <w:rsid w:val="00F94AA8"/>
    <w:rsid w:val="00F94C8D"/>
    <w:rsid w:val="00F95037"/>
    <w:rsid w:val="00F954FB"/>
    <w:rsid w:val="00F95520"/>
    <w:rsid w:val="00F9583B"/>
    <w:rsid w:val="00F95A33"/>
    <w:rsid w:val="00F95FAE"/>
    <w:rsid w:val="00F96201"/>
    <w:rsid w:val="00F967A3"/>
    <w:rsid w:val="00F9680A"/>
    <w:rsid w:val="00F9693D"/>
    <w:rsid w:val="00F96FD5"/>
    <w:rsid w:val="00F97AA5"/>
    <w:rsid w:val="00F97FC8"/>
    <w:rsid w:val="00FA0539"/>
    <w:rsid w:val="00FA0920"/>
    <w:rsid w:val="00FA0C08"/>
    <w:rsid w:val="00FA202F"/>
    <w:rsid w:val="00FA2696"/>
    <w:rsid w:val="00FA2A20"/>
    <w:rsid w:val="00FA2ABD"/>
    <w:rsid w:val="00FA2D00"/>
    <w:rsid w:val="00FA2E87"/>
    <w:rsid w:val="00FA3AFD"/>
    <w:rsid w:val="00FA3B10"/>
    <w:rsid w:val="00FA3CBA"/>
    <w:rsid w:val="00FA41F1"/>
    <w:rsid w:val="00FA432D"/>
    <w:rsid w:val="00FA4977"/>
    <w:rsid w:val="00FA49A6"/>
    <w:rsid w:val="00FA4A39"/>
    <w:rsid w:val="00FA4B2C"/>
    <w:rsid w:val="00FA4CFD"/>
    <w:rsid w:val="00FA52A0"/>
    <w:rsid w:val="00FA53C0"/>
    <w:rsid w:val="00FA597A"/>
    <w:rsid w:val="00FA5C12"/>
    <w:rsid w:val="00FA5CBB"/>
    <w:rsid w:val="00FA5D34"/>
    <w:rsid w:val="00FA5F99"/>
    <w:rsid w:val="00FA6047"/>
    <w:rsid w:val="00FA6340"/>
    <w:rsid w:val="00FA6BC5"/>
    <w:rsid w:val="00FA7073"/>
    <w:rsid w:val="00FA7554"/>
    <w:rsid w:val="00FA7964"/>
    <w:rsid w:val="00FB00C4"/>
    <w:rsid w:val="00FB012D"/>
    <w:rsid w:val="00FB0507"/>
    <w:rsid w:val="00FB069C"/>
    <w:rsid w:val="00FB0D77"/>
    <w:rsid w:val="00FB1002"/>
    <w:rsid w:val="00FB1195"/>
    <w:rsid w:val="00FB13D5"/>
    <w:rsid w:val="00FB18B4"/>
    <w:rsid w:val="00FB276C"/>
    <w:rsid w:val="00FB2AE8"/>
    <w:rsid w:val="00FB2B96"/>
    <w:rsid w:val="00FB3196"/>
    <w:rsid w:val="00FB3738"/>
    <w:rsid w:val="00FB391E"/>
    <w:rsid w:val="00FB3B88"/>
    <w:rsid w:val="00FB3C3D"/>
    <w:rsid w:val="00FB45B6"/>
    <w:rsid w:val="00FB57C7"/>
    <w:rsid w:val="00FB59BC"/>
    <w:rsid w:val="00FB5CF4"/>
    <w:rsid w:val="00FB5F20"/>
    <w:rsid w:val="00FB5F8D"/>
    <w:rsid w:val="00FB64C8"/>
    <w:rsid w:val="00FB65E9"/>
    <w:rsid w:val="00FB6786"/>
    <w:rsid w:val="00FB6BF4"/>
    <w:rsid w:val="00FB79B8"/>
    <w:rsid w:val="00FB7B13"/>
    <w:rsid w:val="00FB7E34"/>
    <w:rsid w:val="00FC00E0"/>
    <w:rsid w:val="00FC0917"/>
    <w:rsid w:val="00FC0B2D"/>
    <w:rsid w:val="00FC0B65"/>
    <w:rsid w:val="00FC1B37"/>
    <w:rsid w:val="00FC204F"/>
    <w:rsid w:val="00FC22D0"/>
    <w:rsid w:val="00FC27C6"/>
    <w:rsid w:val="00FC30E4"/>
    <w:rsid w:val="00FC337E"/>
    <w:rsid w:val="00FC3671"/>
    <w:rsid w:val="00FC3CC0"/>
    <w:rsid w:val="00FC3F02"/>
    <w:rsid w:val="00FC48DD"/>
    <w:rsid w:val="00FC540B"/>
    <w:rsid w:val="00FC560D"/>
    <w:rsid w:val="00FC5941"/>
    <w:rsid w:val="00FC5BC0"/>
    <w:rsid w:val="00FC5D98"/>
    <w:rsid w:val="00FC5D9F"/>
    <w:rsid w:val="00FC62CA"/>
    <w:rsid w:val="00FC6A67"/>
    <w:rsid w:val="00FC6BFE"/>
    <w:rsid w:val="00FC6C65"/>
    <w:rsid w:val="00FC6CF1"/>
    <w:rsid w:val="00FC6F6E"/>
    <w:rsid w:val="00FC730E"/>
    <w:rsid w:val="00FC76AE"/>
    <w:rsid w:val="00FC7710"/>
    <w:rsid w:val="00FC7AFF"/>
    <w:rsid w:val="00FD124F"/>
    <w:rsid w:val="00FD160F"/>
    <w:rsid w:val="00FD1FBC"/>
    <w:rsid w:val="00FD211F"/>
    <w:rsid w:val="00FD22ED"/>
    <w:rsid w:val="00FD24CF"/>
    <w:rsid w:val="00FD34B9"/>
    <w:rsid w:val="00FD38A2"/>
    <w:rsid w:val="00FD3C87"/>
    <w:rsid w:val="00FD4A65"/>
    <w:rsid w:val="00FD55AE"/>
    <w:rsid w:val="00FD5BAD"/>
    <w:rsid w:val="00FD5C58"/>
    <w:rsid w:val="00FD61BC"/>
    <w:rsid w:val="00FD6781"/>
    <w:rsid w:val="00FD71DD"/>
    <w:rsid w:val="00FD7234"/>
    <w:rsid w:val="00FD7760"/>
    <w:rsid w:val="00FD77F1"/>
    <w:rsid w:val="00FD7B21"/>
    <w:rsid w:val="00FD7C38"/>
    <w:rsid w:val="00FD7D63"/>
    <w:rsid w:val="00FE054A"/>
    <w:rsid w:val="00FE05D1"/>
    <w:rsid w:val="00FE061A"/>
    <w:rsid w:val="00FE07B8"/>
    <w:rsid w:val="00FE0E6A"/>
    <w:rsid w:val="00FE0F65"/>
    <w:rsid w:val="00FE0FA7"/>
    <w:rsid w:val="00FE1280"/>
    <w:rsid w:val="00FE2042"/>
    <w:rsid w:val="00FE3388"/>
    <w:rsid w:val="00FE3CC4"/>
    <w:rsid w:val="00FE3E1D"/>
    <w:rsid w:val="00FE4573"/>
    <w:rsid w:val="00FE48A3"/>
    <w:rsid w:val="00FE49A0"/>
    <w:rsid w:val="00FE4B85"/>
    <w:rsid w:val="00FE4FD5"/>
    <w:rsid w:val="00FE50FD"/>
    <w:rsid w:val="00FE58F7"/>
    <w:rsid w:val="00FE673D"/>
    <w:rsid w:val="00FE684F"/>
    <w:rsid w:val="00FE7429"/>
    <w:rsid w:val="00FE759C"/>
    <w:rsid w:val="00FE772E"/>
    <w:rsid w:val="00FE7917"/>
    <w:rsid w:val="00FE7BF3"/>
    <w:rsid w:val="00FE7F50"/>
    <w:rsid w:val="00FF0714"/>
    <w:rsid w:val="00FF13B3"/>
    <w:rsid w:val="00FF1DF0"/>
    <w:rsid w:val="00FF1EC8"/>
    <w:rsid w:val="00FF2055"/>
    <w:rsid w:val="00FF2756"/>
    <w:rsid w:val="00FF3152"/>
    <w:rsid w:val="00FF3631"/>
    <w:rsid w:val="00FF3710"/>
    <w:rsid w:val="00FF3BCD"/>
    <w:rsid w:val="00FF401C"/>
    <w:rsid w:val="00FF48F1"/>
    <w:rsid w:val="00FF4D0F"/>
    <w:rsid w:val="00FF4D6E"/>
    <w:rsid w:val="00FF4DB8"/>
    <w:rsid w:val="00FF4EBC"/>
    <w:rsid w:val="00FF4EEF"/>
    <w:rsid w:val="00FF52C0"/>
    <w:rsid w:val="00FF55C1"/>
    <w:rsid w:val="00FF57AB"/>
    <w:rsid w:val="00FF5BE7"/>
    <w:rsid w:val="00FF5CE1"/>
    <w:rsid w:val="00FF6150"/>
    <w:rsid w:val="00FF6626"/>
    <w:rsid w:val="00FF6627"/>
    <w:rsid w:val="00FF69DE"/>
    <w:rsid w:val="00FF6C15"/>
    <w:rsid w:val="00FF6DFA"/>
    <w:rsid w:val="00FF7425"/>
    <w:rsid w:val="00FF76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E2C173C"/>
  <w15:chartTrackingRefBased/>
  <w15:docId w15:val="{1148FB42-0BEC-46D6-98E5-E6DEE773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106ABF"/>
    <w:pPr>
      <w:widowControl w:val="0"/>
      <w:tabs>
        <w:tab w:val="right" w:leader="dot" w:pos="7145"/>
      </w:tabs>
      <w:bidi/>
      <w:ind w:left="227"/>
      <w:contextualSpacing/>
    </w:pPr>
    <w:rPr>
      <w:rFonts w:ascii="Scheherazade" w:hAnsi="Scheherazade" w:cs="Scheherazade"/>
      <w:noProof/>
      <w:kern w:val="24"/>
      <w:sz w:val="28"/>
      <w:szCs w:val="28"/>
      <w:lang w:bidi="ar-SA"/>
    </w:rPr>
  </w:style>
  <w:style w:type="paragraph" w:styleId="a0">
    <w:name w:val="heading 1"/>
    <w:basedOn w:val="a"/>
    <w:next w:val="a"/>
    <w:qFormat/>
    <w:rsid w:val="002A6BC4"/>
    <w:pPr>
      <w:keepNext/>
      <w:spacing w:before="240" w:after="60"/>
      <w:outlineLvl w:val="0"/>
    </w:pPr>
    <w:rPr>
      <w:rFonts w:ascii="Arial" w:hAnsi="Arial" w:cs="Arial"/>
      <w:b/>
      <w:bCs/>
      <w:kern w:val="32"/>
      <w:sz w:val="32"/>
      <w:szCs w:val="32"/>
    </w:rPr>
  </w:style>
  <w:style w:type="paragraph" w:styleId="2">
    <w:name w:val="heading 2"/>
    <w:basedOn w:val="a"/>
    <w:next w:val="a"/>
    <w:qFormat/>
    <w:rsid w:val="007179B2"/>
    <w:pPr>
      <w:keepNext/>
      <w:spacing w:before="240" w:after="60"/>
      <w:outlineLvl w:val="1"/>
    </w:pPr>
    <w:rPr>
      <w:rFonts w:ascii="Arial" w:hAnsi="Arial" w:cs="Arial"/>
      <w:b/>
      <w:bCs/>
      <w:i/>
      <w:iCs/>
    </w:rPr>
  </w:style>
  <w:style w:type="paragraph" w:styleId="3">
    <w:name w:val="heading 3"/>
    <w:basedOn w:val="a"/>
    <w:next w:val="a"/>
    <w:autoRedefine/>
    <w:qFormat/>
    <w:rsid w:val="000B0E61"/>
    <w:pPr>
      <w:keepNext/>
      <w:tabs>
        <w:tab w:val="clear" w:pos="7145"/>
      </w:tabs>
      <w:spacing w:before="120"/>
      <w:ind w:left="0"/>
      <w:outlineLvl w:val="2"/>
    </w:pPr>
    <w:rPr>
      <w:b/>
      <w:bCs/>
      <w:sz w:val="36"/>
      <w:szCs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Style1">
    <w:name w:val="Style1"/>
    <w:basedOn w:val="a"/>
    <w:autoRedefine/>
    <w:rsid w:val="00947D7C"/>
    <w:pPr>
      <w:spacing w:line="360" w:lineRule="auto"/>
      <w:ind w:left="1440" w:hanging="360"/>
    </w:pPr>
    <w:rPr>
      <w:rFonts w:ascii="Tahoma" w:hAnsi="Tahoma"/>
      <w:sz w:val="36"/>
      <w:szCs w:val="36"/>
    </w:rPr>
  </w:style>
  <w:style w:type="paragraph" w:styleId="1">
    <w:name w:val="toc 1"/>
    <w:basedOn w:val="a"/>
    <w:next w:val="a"/>
    <w:autoRedefine/>
    <w:semiHidden/>
    <w:rsid w:val="00907232"/>
    <w:pPr>
      <w:spacing w:before="120" w:after="120"/>
    </w:pPr>
    <w:rPr>
      <w:rFonts w:cs="Times New Roman"/>
      <w:b/>
      <w:bCs/>
      <w:caps/>
      <w:sz w:val="20"/>
      <w:szCs w:val="24"/>
    </w:rPr>
  </w:style>
  <w:style w:type="paragraph" w:styleId="20">
    <w:name w:val="toc 2"/>
    <w:basedOn w:val="a"/>
    <w:next w:val="a"/>
    <w:autoRedefine/>
    <w:semiHidden/>
    <w:rsid w:val="00907232"/>
    <w:pPr>
      <w:ind w:left="240"/>
    </w:pPr>
    <w:rPr>
      <w:rFonts w:cs="Times New Roman"/>
      <w:smallCaps/>
      <w:sz w:val="20"/>
      <w:szCs w:val="24"/>
    </w:rPr>
  </w:style>
  <w:style w:type="paragraph" w:customStyle="1" w:styleId="StyleTOC4">
    <w:name w:val="Style TOC 4 +"/>
    <w:basedOn w:val="4"/>
    <w:rsid w:val="00907232"/>
    <w:pPr>
      <w:tabs>
        <w:tab w:val="right" w:leader="dot" w:pos="8630"/>
      </w:tabs>
      <w:bidi w:val="0"/>
      <w:jc w:val="right"/>
    </w:pPr>
  </w:style>
  <w:style w:type="paragraph" w:styleId="4">
    <w:name w:val="toc 4"/>
    <w:basedOn w:val="a"/>
    <w:next w:val="a"/>
    <w:autoRedefine/>
    <w:semiHidden/>
    <w:rsid w:val="00907232"/>
    <w:pPr>
      <w:ind w:left="720"/>
    </w:pPr>
    <w:rPr>
      <w:rFonts w:cs="Times New Roman"/>
      <w:sz w:val="18"/>
      <w:szCs w:val="21"/>
    </w:rPr>
  </w:style>
  <w:style w:type="paragraph" w:styleId="30">
    <w:name w:val="toc 3"/>
    <w:basedOn w:val="a"/>
    <w:next w:val="a"/>
    <w:autoRedefine/>
    <w:semiHidden/>
    <w:rsid w:val="00DC5A3D"/>
    <w:pPr>
      <w:tabs>
        <w:tab w:val="right" w:leader="dot" w:pos="8777"/>
      </w:tabs>
      <w:ind w:left="480"/>
      <w:jc w:val="center"/>
    </w:pPr>
    <w:rPr>
      <w:i/>
      <w:iCs/>
      <w:sz w:val="36"/>
      <w:szCs w:val="36"/>
    </w:rPr>
  </w:style>
  <w:style w:type="paragraph" w:customStyle="1" w:styleId="StyleStyleTOC4">
    <w:name w:val="Style Style TOC 4 + +"/>
    <w:basedOn w:val="StyleTOC4"/>
    <w:autoRedefine/>
    <w:rsid w:val="00907232"/>
    <w:pPr>
      <w:bidi/>
    </w:pPr>
  </w:style>
  <w:style w:type="paragraph" w:customStyle="1" w:styleId="StyleTOC3">
    <w:name w:val="Style TOC 3 +"/>
    <w:basedOn w:val="30"/>
    <w:autoRedefine/>
    <w:rsid w:val="00907232"/>
    <w:pPr>
      <w:jc w:val="left"/>
    </w:pPr>
  </w:style>
  <w:style w:type="paragraph" w:customStyle="1" w:styleId="StyleTOC2">
    <w:name w:val="Style TOC 2 +"/>
    <w:basedOn w:val="20"/>
    <w:autoRedefine/>
    <w:rsid w:val="00907232"/>
  </w:style>
  <w:style w:type="paragraph" w:styleId="a4">
    <w:name w:val="footnote text"/>
    <w:basedOn w:val="a"/>
    <w:link w:val="a5"/>
    <w:semiHidden/>
    <w:rsid w:val="00815FF8"/>
    <w:rPr>
      <w:sz w:val="20"/>
      <w:szCs w:val="20"/>
    </w:rPr>
  </w:style>
  <w:style w:type="character" w:styleId="a6">
    <w:name w:val="footnote reference"/>
    <w:semiHidden/>
    <w:rsid w:val="00815FF8"/>
    <w:rPr>
      <w:vertAlign w:val="superscript"/>
    </w:rPr>
  </w:style>
  <w:style w:type="paragraph" w:styleId="a7">
    <w:name w:val="footer"/>
    <w:basedOn w:val="a"/>
    <w:rsid w:val="0096746B"/>
    <w:pPr>
      <w:tabs>
        <w:tab w:val="center" w:pos="4320"/>
        <w:tab w:val="right" w:pos="8640"/>
      </w:tabs>
    </w:pPr>
  </w:style>
  <w:style w:type="character" w:styleId="a8">
    <w:name w:val="page number"/>
    <w:basedOn w:val="a1"/>
    <w:rsid w:val="0096746B"/>
  </w:style>
  <w:style w:type="character" w:styleId="a9">
    <w:name w:val="Hyperlink"/>
    <w:uiPriority w:val="99"/>
    <w:rsid w:val="00990C2C"/>
    <w:rPr>
      <w:color w:val="auto"/>
      <w:u w:val="none"/>
    </w:rPr>
  </w:style>
  <w:style w:type="paragraph" w:customStyle="1" w:styleId="hasan">
    <w:name w:val="hasan"/>
    <w:basedOn w:val="a"/>
    <w:autoRedefine/>
    <w:rsid w:val="00990C2C"/>
    <w:pPr>
      <w:spacing w:before="120" w:line="16" w:lineRule="atLeast"/>
      <w:ind w:firstLine="284"/>
      <w:jc w:val="both"/>
    </w:pPr>
    <w:rPr>
      <w:rFonts w:ascii="Traditional Arabic" w:hAnsi="Traditional Arabic" w:cs="Traditional Arabic"/>
      <w:sz w:val="34"/>
      <w:szCs w:val="34"/>
    </w:rPr>
  </w:style>
  <w:style w:type="paragraph" w:styleId="aa">
    <w:name w:val="header"/>
    <w:basedOn w:val="a"/>
    <w:rsid w:val="00192018"/>
    <w:pPr>
      <w:tabs>
        <w:tab w:val="center" w:pos="4153"/>
        <w:tab w:val="right" w:pos="8306"/>
      </w:tabs>
    </w:pPr>
  </w:style>
  <w:style w:type="paragraph" w:customStyle="1" w:styleId="StyleComplexTraditionalArabic17ptJustifiedFirstline">
    <w:name w:val="Style (Complex) Traditional Arabic 17 pt Justified First line:  ..."/>
    <w:basedOn w:val="a"/>
    <w:rsid w:val="009C0F5F"/>
    <w:pPr>
      <w:spacing w:before="120" w:line="216" w:lineRule="auto"/>
      <w:ind w:firstLine="284"/>
      <w:jc w:val="both"/>
    </w:pPr>
    <w:rPr>
      <w:rFonts w:cs="Traditional Arabic"/>
      <w:sz w:val="34"/>
      <w:szCs w:val="34"/>
    </w:rPr>
  </w:style>
  <w:style w:type="character" w:styleId="ab">
    <w:name w:val="annotation reference"/>
    <w:semiHidden/>
    <w:rsid w:val="006B48E6"/>
    <w:rPr>
      <w:sz w:val="16"/>
      <w:szCs w:val="16"/>
    </w:rPr>
  </w:style>
  <w:style w:type="paragraph" w:styleId="ac">
    <w:name w:val="annotation text"/>
    <w:basedOn w:val="a"/>
    <w:semiHidden/>
    <w:rsid w:val="006B48E6"/>
    <w:rPr>
      <w:sz w:val="20"/>
      <w:szCs w:val="20"/>
    </w:rPr>
  </w:style>
  <w:style w:type="paragraph" w:styleId="ad">
    <w:name w:val="annotation subject"/>
    <w:basedOn w:val="ac"/>
    <w:next w:val="ac"/>
    <w:semiHidden/>
    <w:rsid w:val="006B48E6"/>
    <w:rPr>
      <w:b/>
      <w:bCs/>
    </w:rPr>
  </w:style>
  <w:style w:type="paragraph" w:styleId="ae">
    <w:name w:val="Balloon Text"/>
    <w:basedOn w:val="a"/>
    <w:semiHidden/>
    <w:rsid w:val="006B48E6"/>
    <w:rPr>
      <w:rFonts w:ascii="Tahoma" w:hAnsi="Tahoma" w:cs="Tahoma"/>
      <w:sz w:val="16"/>
      <w:szCs w:val="16"/>
    </w:rPr>
  </w:style>
  <w:style w:type="character" w:styleId="af">
    <w:name w:val="FollowedHyperlink"/>
    <w:rsid w:val="008014DA"/>
    <w:rPr>
      <w:color w:val="auto"/>
      <w:u w:val="none"/>
    </w:rPr>
  </w:style>
  <w:style w:type="paragraph" w:styleId="5">
    <w:name w:val="toc 5"/>
    <w:basedOn w:val="a"/>
    <w:next w:val="a"/>
    <w:autoRedefine/>
    <w:semiHidden/>
    <w:rsid w:val="00B04757"/>
    <w:pPr>
      <w:ind w:left="960"/>
    </w:pPr>
    <w:rPr>
      <w:rFonts w:cs="Times New Roman"/>
      <w:sz w:val="18"/>
      <w:szCs w:val="21"/>
    </w:rPr>
  </w:style>
  <w:style w:type="paragraph" w:styleId="6">
    <w:name w:val="toc 6"/>
    <w:basedOn w:val="a"/>
    <w:next w:val="a"/>
    <w:autoRedefine/>
    <w:semiHidden/>
    <w:rsid w:val="00B04757"/>
    <w:pPr>
      <w:ind w:left="1200"/>
    </w:pPr>
    <w:rPr>
      <w:rFonts w:cs="Times New Roman"/>
      <w:sz w:val="18"/>
      <w:szCs w:val="21"/>
    </w:rPr>
  </w:style>
  <w:style w:type="paragraph" w:styleId="7">
    <w:name w:val="toc 7"/>
    <w:basedOn w:val="a"/>
    <w:next w:val="a"/>
    <w:autoRedefine/>
    <w:semiHidden/>
    <w:rsid w:val="00B04757"/>
    <w:pPr>
      <w:ind w:left="1440"/>
    </w:pPr>
    <w:rPr>
      <w:rFonts w:cs="Times New Roman"/>
      <w:sz w:val="18"/>
      <w:szCs w:val="21"/>
    </w:rPr>
  </w:style>
  <w:style w:type="paragraph" w:styleId="8">
    <w:name w:val="toc 8"/>
    <w:basedOn w:val="a"/>
    <w:next w:val="a"/>
    <w:autoRedefine/>
    <w:semiHidden/>
    <w:rsid w:val="00B04757"/>
    <w:pPr>
      <w:ind w:left="1680"/>
    </w:pPr>
    <w:rPr>
      <w:rFonts w:cs="Times New Roman"/>
      <w:sz w:val="18"/>
      <w:szCs w:val="21"/>
    </w:rPr>
  </w:style>
  <w:style w:type="paragraph" w:styleId="9">
    <w:name w:val="toc 9"/>
    <w:basedOn w:val="a"/>
    <w:next w:val="a"/>
    <w:autoRedefine/>
    <w:semiHidden/>
    <w:rsid w:val="00B04757"/>
    <w:pPr>
      <w:ind w:left="1920"/>
    </w:pPr>
    <w:rPr>
      <w:rFonts w:cs="Times New Roman"/>
      <w:sz w:val="18"/>
      <w:szCs w:val="21"/>
    </w:rPr>
  </w:style>
  <w:style w:type="paragraph" w:styleId="af0">
    <w:name w:val="Document Map"/>
    <w:basedOn w:val="a"/>
    <w:semiHidden/>
    <w:rsid w:val="004377AC"/>
    <w:pPr>
      <w:shd w:val="clear" w:color="auto" w:fill="000080"/>
    </w:pPr>
    <w:rPr>
      <w:rFonts w:ascii="Tahoma" w:hAnsi="Tahoma" w:cs="Tahoma"/>
      <w:sz w:val="20"/>
      <w:szCs w:val="20"/>
    </w:rPr>
  </w:style>
  <w:style w:type="character" w:customStyle="1" w:styleId="hasanChar">
    <w:name w:val="hasan Char"/>
    <w:rsid w:val="00DB2EA9"/>
    <w:rPr>
      <w:rFonts w:ascii="Traditional Arabic" w:eastAsia="SimSun" w:hAnsi="Traditional Arabic" w:cs="Traditional Arabic"/>
      <w:sz w:val="36"/>
      <w:szCs w:val="36"/>
      <w:lang w:val="en-US" w:eastAsia="en-US" w:bidi="ar-SA"/>
    </w:rPr>
  </w:style>
  <w:style w:type="paragraph" w:styleId="af1">
    <w:name w:val="Plain Text"/>
    <w:basedOn w:val="a"/>
    <w:rsid w:val="001249F9"/>
    <w:pPr>
      <w:widowControl/>
      <w:contextualSpacing w:val="0"/>
    </w:pPr>
    <w:rPr>
      <w:rFonts w:ascii="Courier New" w:hAnsi="Courier New" w:cs="Courier New"/>
      <w:kern w:val="0"/>
      <w:sz w:val="20"/>
      <w:szCs w:val="20"/>
    </w:rPr>
  </w:style>
  <w:style w:type="paragraph" w:styleId="af2">
    <w:name w:val="caption"/>
    <w:basedOn w:val="a"/>
    <w:next w:val="a"/>
    <w:qFormat/>
    <w:rsid w:val="00321C62"/>
    <w:rPr>
      <w:b/>
      <w:bCs/>
      <w:sz w:val="20"/>
      <w:szCs w:val="20"/>
    </w:rPr>
  </w:style>
  <w:style w:type="character" w:customStyle="1" w:styleId="a5">
    <w:name w:val="متن پاورقی نویسه"/>
    <w:link w:val="a4"/>
    <w:semiHidden/>
    <w:rsid w:val="005468DB"/>
    <w:rPr>
      <w:rFonts w:cs="Traditional Arabic"/>
      <w:kern w:val="24"/>
    </w:rPr>
  </w:style>
  <w:style w:type="character" w:customStyle="1" w:styleId="FootnoteTextChar1">
    <w:name w:val="Footnote Text Char1"/>
    <w:semiHidden/>
    <w:locked/>
    <w:rsid w:val="00954B6D"/>
    <w:rPr>
      <w:rFonts w:cs="Traditional Arabic"/>
      <w:lang w:val="en-US" w:eastAsia="en-US" w:bidi="ar-SA"/>
    </w:rPr>
  </w:style>
  <w:style w:type="paragraph" w:customStyle="1" w:styleId="Style2">
    <w:name w:val="Style2"/>
    <w:basedOn w:val="a"/>
    <w:link w:val="Style2Char"/>
    <w:autoRedefine/>
    <w:qFormat/>
    <w:rsid w:val="00223521"/>
    <w:pPr>
      <w:jc w:val="both"/>
    </w:pPr>
  </w:style>
  <w:style w:type="character" w:customStyle="1" w:styleId="Style4">
    <w:name w:val="Style4"/>
    <w:rsid w:val="00A7233B"/>
    <w:rPr>
      <w:rFonts w:ascii="Traditional Arabic" w:hAnsi="Traditional Arabic" w:cs="Traditional Arabic"/>
      <w:b/>
      <w:bCs/>
      <w:sz w:val="36"/>
      <w:szCs w:val="36"/>
    </w:rPr>
  </w:style>
  <w:style w:type="character" w:customStyle="1" w:styleId="Style2Char">
    <w:name w:val="Style2 Char"/>
    <w:link w:val="Style2"/>
    <w:rsid w:val="00223521"/>
    <w:rPr>
      <w:rFonts w:cs="Traditional Arabic"/>
      <w:kern w:val="24"/>
      <w:sz w:val="36"/>
      <w:szCs w:val="36"/>
    </w:rPr>
  </w:style>
  <w:style w:type="paragraph" w:customStyle="1" w:styleId="hamesh14">
    <w:name w:val="hamesh14"/>
    <w:basedOn w:val="a"/>
    <w:rsid w:val="00620E61"/>
    <w:pPr>
      <w:tabs>
        <w:tab w:val="clear" w:pos="7145"/>
      </w:tabs>
      <w:ind w:left="0" w:firstLine="227"/>
      <w:contextualSpacing w:val="0"/>
      <w:jc w:val="both"/>
    </w:pPr>
    <w:rPr>
      <w:b/>
      <w:kern w:val="0"/>
    </w:rPr>
  </w:style>
  <w:style w:type="paragraph" w:customStyle="1" w:styleId="khotoothamesh">
    <w:name w:val="khotoot hamesh"/>
    <w:basedOn w:val="a"/>
    <w:autoRedefine/>
    <w:rsid w:val="00620E61"/>
    <w:pPr>
      <w:tabs>
        <w:tab w:val="clear" w:pos="7145"/>
      </w:tabs>
      <w:bidi w:val="0"/>
      <w:spacing w:line="120" w:lineRule="auto"/>
      <w:ind w:left="0" w:firstLine="227"/>
      <w:contextualSpacing w:val="0"/>
      <w:jc w:val="both"/>
    </w:pPr>
    <w:rPr>
      <w:kern w:val="0"/>
      <w:sz w:val="20"/>
      <w:szCs w:val="20"/>
    </w:rPr>
  </w:style>
  <w:style w:type="paragraph" w:customStyle="1" w:styleId="sarsafhezog">
    <w:name w:val="sar safhe zog"/>
    <w:basedOn w:val="a"/>
    <w:autoRedefine/>
    <w:rsid w:val="00620E61"/>
    <w:pPr>
      <w:tabs>
        <w:tab w:val="clear" w:pos="7145"/>
        <w:tab w:val="right" w:leader="dot" w:pos="6946"/>
      </w:tabs>
      <w:ind w:left="0"/>
      <w:contextualSpacing w:val="0"/>
      <w:jc w:val="both"/>
    </w:pPr>
    <w:rPr>
      <w:bCs/>
      <w:kern w:val="0"/>
      <w:sz w:val="32"/>
      <w:szCs w:val="32"/>
    </w:rPr>
  </w:style>
  <w:style w:type="paragraph" w:customStyle="1" w:styleId="sarsafhehketab">
    <w:name w:val="sar safheh ketab"/>
    <w:basedOn w:val="a"/>
    <w:autoRedefine/>
    <w:rsid w:val="00620E61"/>
    <w:pPr>
      <w:tabs>
        <w:tab w:val="clear" w:pos="7145"/>
        <w:tab w:val="right" w:leader="dot" w:pos="6946"/>
      </w:tabs>
      <w:ind w:left="0"/>
      <w:contextualSpacing w:val="0"/>
      <w:jc w:val="both"/>
    </w:pPr>
    <w:rPr>
      <w:b/>
      <w:bCs/>
      <w:kern w:val="0"/>
      <w:sz w:val="32"/>
      <w:szCs w:val="32"/>
    </w:rPr>
  </w:style>
  <w:style w:type="paragraph" w:styleId="af3">
    <w:name w:val="Normal (Web)"/>
    <w:basedOn w:val="a"/>
    <w:rsid w:val="000C5BBA"/>
    <w:pPr>
      <w:widowControl/>
      <w:tabs>
        <w:tab w:val="clear" w:pos="7145"/>
      </w:tabs>
      <w:bidi w:val="0"/>
      <w:spacing w:before="100" w:beforeAutospacing="1" w:after="100" w:afterAutospacing="1"/>
      <w:ind w:left="0"/>
      <w:contextualSpacing w:val="0"/>
    </w:pPr>
    <w:rPr>
      <w:rFonts w:ascii="Times New Roman" w:hAnsi="Times New Roman" w:cs="Times New Roman"/>
      <w:noProof w:val="0"/>
      <w:kern w:val="0"/>
      <w:sz w:val="24"/>
      <w:szCs w:val="24"/>
    </w:rPr>
  </w:style>
  <w:style w:type="paragraph" w:styleId="af4">
    <w:name w:val="endnote text"/>
    <w:basedOn w:val="a"/>
    <w:semiHidden/>
    <w:rsid w:val="00C05017"/>
    <w:rPr>
      <w:sz w:val="20"/>
      <w:szCs w:val="20"/>
    </w:rPr>
  </w:style>
  <w:style w:type="character" w:styleId="af5">
    <w:name w:val="endnote reference"/>
    <w:semiHidden/>
    <w:rsid w:val="00C05017"/>
    <w:rPr>
      <w:vertAlign w:val="superscript"/>
    </w:rPr>
  </w:style>
  <w:style w:type="paragraph" w:customStyle="1" w:styleId="40">
    <w:name w:val="عنوان4"/>
    <w:basedOn w:val="a"/>
    <w:link w:val="41"/>
    <w:autoRedefine/>
    <w:qFormat/>
    <w:rsid w:val="00D66285"/>
    <w:pPr>
      <w:widowControl/>
      <w:tabs>
        <w:tab w:val="clear" w:pos="7145"/>
      </w:tabs>
      <w:spacing w:before="200" w:line="276" w:lineRule="auto"/>
      <w:ind w:left="0" w:firstLine="227"/>
      <w:contextualSpacing w:val="0"/>
      <w:outlineLvl w:val="3"/>
    </w:pPr>
    <w:rPr>
      <w:rFonts w:ascii="Calibri" w:eastAsia="Scheherazade" w:hAnsi="Calibri"/>
      <w:b/>
      <w:bCs/>
      <w:noProof w:val="0"/>
      <w:color w:val="FF0000"/>
      <w:kern w:val="0"/>
      <w:sz w:val="34"/>
      <w:szCs w:val="34"/>
      <w:lang w:bidi="fa-IR"/>
    </w:rPr>
  </w:style>
  <w:style w:type="character" w:customStyle="1" w:styleId="41">
    <w:name w:val="عنوان4 نویسه"/>
    <w:link w:val="40"/>
    <w:rsid w:val="00D66285"/>
    <w:rPr>
      <w:rFonts w:ascii="Calibri" w:eastAsia="Scheherazade" w:hAnsi="Calibri" w:cs="Scheherazade"/>
      <w:b/>
      <w:bCs/>
      <w:color w:val="FF0000"/>
      <w:sz w:val="34"/>
      <w:szCs w:val="34"/>
      <w:lang w:val="en-US"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2842">
      <w:bodyDiv w:val="1"/>
      <w:marLeft w:val="0"/>
      <w:marRight w:val="0"/>
      <w:marTop w:val="0"/>
      <w:marBottom w:val="0"/>
      <w:divBdr>
        <w:top w:val="none" w:sz="0" w:space="0" w:color="auto"/>
        <w:left w:val="none" w:sz="0" w:space="0" w:color="auto"/>
        <w:bottom w:val="none" w:sz="0" w:space="0" w:color="auto"/>
        <w:right w:val="none" w:sz="0" w:space="0" w:color="auto"/>
      </w:divBdr>
    </w:div>
    <w:div w:id="537205883">
      <w:bodyDiv w:val="1"/>
      <w:marLeft w:val="0"/>
      <w:marRight w:val="0"/>
      <w:marTop w:val="0"/>
      <w:marBottom w:val="0"/>
      <w:divBdr>
        <w:top w:val="none" w:sz="0" w:space="0" w:color="auto"/>
        <w:left w:val="none" w:sz="0" w:space="0" w:color="auto"/>
        <w:bottom w:val="none" w:sz="0" w:space="0" w:color="auto"/>
        <w:right w:val="none" w:sz="0" w:space="0" w:color="auto"/>
      </w:divBdr>
    </w:div>
    <w:div w:id="1249509849">
      <w:bodyDiv w:val="1"/>
      <w:marLeft w:val="0"/>
      <w:marRight w:val="0"/>
      <w:marTop w:val="0"/>
      <w:marBottom w:val="0"/>
      <w:divBdr>
        <w:top w:val="none" w:sz="0" w:space="0" w:color="auto"/>
        <w:left w:val="none" w:sz="0" w:space="0" w:color="auto"/>
        <w:bottom w:val="none" w:sz="0" w:space="0" w:color="auto"/>
        <w:right w:val="none" w:sz="0" w:space="0" w:color="auto"/>
      </w:divBdr>
    </w:div>
    <w:div w:id="1303778399">
      <w:bodyDiv w:val="1"/>
      <w:marLeft w:val="0"/>
      <w:marRight w:val="0"/>
      <w:marTop w:val="0"/>
      <w:marBottom w:val="0"/>
      <w:divBdr>
        <w:top w:val="none" w:sz="0" w:space="0" w:color="auto"/>
        <w:left w:val="none" w:sz="0" w:space="0" w:color="auto"/>
        <w:bottom w:val="none" w:sz="0" w:space="0" w:color="auto"/>
        <w:right w:val="none" w:sz="0" w:space="0" w:color="auto"/>
      </w:divBdr>
    </w:div>
    <w:div w:id="1702775899">
      <w:bodyDiv w:val="1"/>
      <w:marLeft w:val="0"/>
      <w:marRight w:val="0"/>
      <w:marTop w:val="0"/>
      <w:marBottom w:val="0"/>
      <w:divBdr>
        <w:top w:val="none" w:sz="0" w:space="0" w:color="auto"/>
        <w:left w:val="none" w:sz="0" w:space="0" w:color="auto"/>
        <w:bottom w:val="none" w:sz="0" w:space="0" w:color="auto"/>
        <w:right w:val="none" w:sz="0" w:space="0" w:color="auto"/>
      </w:divBdr>
    </w:div>
    <w:div w:id="21217946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8" Type="http://schemas.microsoft.com/office/2011/relationships/commentsExtended" Target="commentsExtended.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117974</Words>
  <Characters>672454</Characters>
  <Application>Microsoft Office Word</Application>
  <DocSecurity>0</DocSecurity>
  <Lines>5603</Lines>
  <Paragraphs>1577</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vt:lpstr>
    </vt:vector>
  </TitlesOfParts>
  <Company/>
  <LinksUpToDate>false</LinksUpToDate>
  <CharactersWithSpaces>788851</CharactersWithSpaces>
  <SharedDoc>false</SharedDoc>
  <HLinks>
    <vt:vector size="6" baseType="variant">
      <vt:variant>
        <vt:i4>112264736</vt:i4>
      </vt:variant>
      <vt:variant>
        <vt:i4>0</vt:i4>
      </vt:variant>
      <vt:variant>
        <vt:i4>0</vt:i4>
      </vt:variant>
      <vt:variant>
        <vt:i4>5</vt:i4>
      </vt:variant>
      <vt:variant>
        <vt:lpwstr/>
      </vt:variant>
      <vt:variant>
        <vt:lpwstr>اوتصحیح</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استاد شهيدي</dc:creator>
  <cp:keywords/>
  <dc:description/>
  <cp:lastModifiedBy>حسین یزدانی</cp:lastModifiedBy>
  <cp:revision>2</cp:revision>
  <cp:lastPrinted>2015-09-04T19:40:00Z</cp:lastPrinted>
  <dcterms:created xsi:type="dcterms:W3CDTF">2023-04-16T10:18:00Z</dcterms:created>
  <dcterms:modified xsi:type="dcterms:W3CDTF">2023-04-16T10:18:00Z</dcterms:modified>
</cp:coreProperties>
</file>